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6120384" cy="774192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20384" cy="7741920"/>
                    </a:xfrm>
                    <a:prstGeom prst="rect">
                      <a:avLst/>
                    </a:prstGeom>
                  </pic:spPr>
                </pic:pic>
              </a:graphicData>
            </a:graphic>
          </wp:inline>
        </w:drawing>
      </w:r>
      <w:r>
        <w:rPr>
          <w:sz w:val="20"/>
        </w:rPr>
      </w:r>
    </w:p>
    <w:p>
      <w:pPr>
        <w:spacing w:after="0"/>
        <w:rPr>
          <w:sz w:val="20"/>
        </w:rPr>
        <w:sectPr>
          <w:type w:val="continuous"/>
          <w:pgSz w:w="9640" w:h="1220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spacing w:line="507" w:lineRule="exact" w:before="0"/>
        <w:ind w:left="66" w:right="67" w:firstLine="0"/>
        <w:jc w:val="center"/>
        <w:rPr>
          <w:b/>
          <w:sz w:val="48"/>
        </w:rPr>
      </w:pPr>
      <w:r>
        <w:rPr>
          <w:b/>
          <w:color w:val="231F20"/>
          <w:w w:val="105"/>
          <w:sz w:val="48"/>
        </w:rPr>
        <w:t>Gobiernos municipales y partidos</w:t>
      </w:r>
    </w:p>
    <w:p>
      <w:pPr>
        <w:spacing w:before="48"/>
        <w:ind w:left="66" w:right="66" w:firstLine="0"/>
        <w:jc w:val="center"/>
        <w:rPr>
          <w:b/>
          <w:sz w:val="48"/>
        </w:rPr>
      </w:pPr>
      <w:r>
        <w:rPr>
          <w:b/>
          <w:color w:val="231F20"/>
          <w:w w:val="105"/>
          <w:sz w:val="48"/>
        </w:rPr>
        <w:t>políticos en el Estado de México</w:t>
      </w:r>
    </w:p>
    <w:p>
      <w:pPr>
        <w:pStyle w:val="BodyText"/>
        <w:rPr>
          <w:b/>
          <w:sz w:val="48"/>
        </w:rPr>
      </w:pPr>
    </w:p>
    <w:p>
      <w:pPr>
        <w:pStyle w:val="BodyText"/>
        <w:rPr>
          <w:b/>
          <w:sz w:val="48"/>
        </w:rPr>
      </w:pPr>
    </w:p>
    <w:p>
      <w:pPr>
        <w:pStyle w:val="BodyText"/>
        <w:rPr>
          <w:b/>
          <w:sz w:val="48"/>
        </w:rPr>
      </w:pPr>
    </w:p>
    <w:p>
      <w:pPr>
        <w:spacing w:line="417" w:lineRule="auto" w:before="360"/>
        <w:ind w:left="66" w:right="65" w:firstLine="0"/>
        <w:jc w:val="center"/>
        <w:rPr>
          <w:sz w:val="30"/>
        </w:rPr>
      </w:pPr>
      <w:r>
        <w:rPr>
          <w:color w:val="231F20"/>
          <w:spacing w:val="2"/>
          <w:w w:val="105"/>
          <w:sz w:val="30"/>
        </w:rPr>
        <w:t>Miguel</w:t>
      </w:r>
      <w:r>
        <w:rPr>
          <w:color w:val="231F20"/>
          <w:spacing w:val="-25"/>
          <w:w w:val="105"/>
          <w:sz w:val="30"/>
        </w:rPr>
        <w:t> </w:t>
      </w:r>
      <w:r>
        <w:rPr>
          <w:color w:val="231F20"/>
          <w:w w:val="105"/>
          <w:sz w:val="30"/>
        </w:rPr>
        <w:t>Ángel</w:t>
      </w:r>
      <w:r>
        <w:rPr>
          <w:color w:val="231F20"/>
          <w:spacing w:val="-25"/>
          <w:w w:val="105"/>
          <w:sz w:val="30"/>
        </w:rPr>
        <w:t> </w:t>
      </w:r>
      <w:r>
        <w:rPr>
          <w:color w:val="231F20"/>
          <w:w w:val="105"/>
          <w:sz w:val="30"/>
        </w:rPr>
        <w:t>Sánchez</w:t>
      </w:r>
      <w:r>
        <w:rPr>
          <w:color w:val="231F20"/>
          <w:spacing w:val="-25"/>
          <w:w w:val="105"/>
          <w:sz w:val="30"/>
        </w:rPr>
        <w:t> </w:t>
      </w:r>
      <w:r>
        <w:rPr>
          <w:color w:val="231F20"/>
          <w:w w:val="105"/>
          <w:sz w:val="30"/>
        </w:rPr>
        <w:t>Ramos</w:t>
      </w:r>
      <w:r>
        <w:rPr>
          <w:color w:val="231F20"/>
          <w:spacing w:val="-25"/>
          <w:w w:val="105"/>
          <w:sz w:val="30"/>
        </w:rPr>
        <w:t> </w:t>
      </w:r>
      <w:r>
        <w:rPr>
          <w:color w:val="231F20"/>
          <w:w w:val="105"/>
          <w:sz w:val="30"/>
        </w:rPr>
        <w:t>|</w:t>
      </w:r>
      <w:r>
        <w:rPr>
          <w:color w:val="231F20"/>
          <w:spacing w:val="-25"/>
          <w:w w:val="105"/>
          <w:sz w:val="30"/>
        </w:rPr>
        <w:t> </w:t>
      </w:r>
      <w:r>
        <w:rPr>
          <w:color w:val="231F20"/>
          <w:spacing w:val="2"/>
          <w:w w:val="105"/>
          <w:sz w:val="30"/>
        </w:rPr>
        <w:t>Francisco</w:t>
      </w:r>
      <w:r>
        <w:rPr>
          <w:color w:val="231F20"/>
          <w:spacing w:val="-25"/>
          <w:w w:val="105"/>
          <w:sz w:val="30"/>
        </w:rPr>
        <w:t> </w:t>
      </w:r>
      <w:r>
        <w:rPr>
          <w:color w:val="231F20"/>
          <w:w w:val="105"/>
          <w:sz w:val="30"/>
        </w:rPr>
        <w:t>Reveles</w:t>
      </w:r>
      <w:r>
        <w:rPr>
          <w:color w:val="231F20"/>
          <w:spacing w:val="-25"/>
          <w:w w:val="105"/>
          <w:sz w:val="30"/>
        </w:rPr>
        <w:t> </w:t>
      </w:r>
      <w:r>
        <w:rPr>
          <w:color w:val="231F20"/>
          <w:w w:val="105"/>
          <w:sz w:val="30"/>
        </w:rPr>
        <w:t>Vázquez </w:t>
      </w:r>
      <w:r>
        <w:rPr>
          <w:color w:val="231F20"/>
          <w:w w:val="140"/>
          <w:sz w:val="30"/>
        </w:rPr>
        <w:t>coordinadores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drawing>
          <wp:anchor distT="0" distB="0" distL="0" distR="0" allowOverlap="1" layoutInCell="1" locked="0" behindDoc="0" simplePos="0" relativeHeight="0">
            <wp:simplePos x="0" y="0"/>
            <wp:positionH relativeFrom="page">
              <wp:posOffset>2424443</wp:posOffset>
            </wp:positionH>
            <wp:positionV relativeFrom="paragraph">
              <wp:posOffset>217452</wp:posOffset>
            </wp:positionV>
            <wp:extent cx="1293880" cy="600075"/>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293880" cy="600075"/>
                    </a:xfrm>
                    <a:prstGeom prst="rect">
                      <a:avLst/>
                    </a:prstGeom>
                  </pic:spPr>
                </pic:pic>
              </a:graphicData>
            </a:graphic>
          </wp:anchor>
        </w:drawing>
      </w:r>
    </w:p>
    <w:p>
      <w:pPr>
        <w:spacing w:after="0"/>
        <w:rPr>
          <w:sz w:val="26"/>
        </w:rPr>
        <w:sectPr>
          <w:pgSz w:w="9640" w:h="12190"/>
          <w:pgMar w:top="1120" w:bottom="280" w:left="1000" w:right="1000"/>
        </w:sectPr>
      </w:pPr>
    </w:p>
    <w:p>
      <w:pPr>
        <w:pStyle w:val="BodyText"/>
        <w:spacing w:before="8"/>
        <w:rPr>
          <w:sz w:val="6"/>
        </w:rPr>
      </w:pPr>
    </w:p>
    <w:p>
      <w:pPr>
        <w:pStyle w:val="BodyText"/>
        <w:ind w:left="2226"/>
        <w:rPr>
          <w:sz w:val="20"/>
        </w:rPr>
      </w:pPr>
      <w:r>
        <w:rPr>
          <w:sz w:val="20"/>
        </w:rPr>
        <w:pict>
          <v:group style="width:125.65pt;height:59.7pt;mso-position-horizontal-relative:char;mso-position-vertical-relative:line" coordorigin="0,0" coordsize="2513,1194">
            <v:shape style="position:absolute;left:967;top:10;width:650;height:101" type="#_x0000_t75" stroked="false">
              <v:imagedata r:id="rId7" o:title=""/>
            </v:shape>
            <v:shape style="position:absolute;left:1667;top:0;width:803;height:119" type="#_x0000_t75" stroked="false">
              <v:imagedata r:id="rId8" o:title=""/>
            </v:shape>
            <v:line style="position:absolute" from="2494,10" to="2494,109" stroked="true" strokeweight=".95pt" strokecolor="#4a4a4c"/>
            <v:shape style="position:absolute;left:1272;top:144;width:391;height:363" type="#_x0000_t75" stroked="false">
              <v:imagedata r:id="rId9" o:title=""/>
            </v:shape>
            <v:shape style="position:absolute;left:1696;top:175;width:232;height:302" coordorigin="1696,175" coordsize="232,302" path="m1793,175l1696,175,1696,477,1757,477,1757,363,1796,363,1816,362,1833,362,1847,360,1859,358,1870,356,1881,351,1901,337,1910,327,1917,314,1918,311,1757,311,1757,226,1919,226,1917,221,1909,209,1900,198,1890,190,1878,184,1866,179,1855,177,1839,176,1819,175,1793,175xm1919,226l1757,226,1801,226,1813,226,1823,227,1830,228,1840,230,1848,234,1861,248,1864,257,1864,277,1862,285,1852,299,1846,304,1838,307,1830,309,1820,310,1806,311,1790,311,1918,311,1921,304,1924,293,1926,281,1927,268,1926,250,1922,235,1919,226xe" filled="true" fillcolor="#4a4a4c" stroked="false">
              <v:path arrowok="t"/>
              <v:fill type="solid"/>
            </v:shape>
            <v:shape style="position:absolute;left:1938;top:175;width:303;height:302" coordorigin="1938,175" coordsize="303,302" path="m2120,175l2056,175,1938,477,2003,477,2028,408,2214,408,2193,357,2047,357,2087,245,2148,245,2120,175xm2214,408l2149,408,2175,477,2241,477,2214,408xm2148,245l2087,245,2129,357,2193,357,2148,245xe" filled="true" fillcolor="#4a4a4c" stroked="false">
              <v:path arrowok="t"/>
              <v:fill type="solid"/>
            </v:shape>
            <v:shape style="position:absolute;left:2256;top:170;width:246;height:313" coordorigin="2256,170" coordsize="246,313" path="m2315,373l2256,378,2260,402,2268,423,2279,441,2292,455,2309,467,2330,475,2353,480,2380,482,2399,481,2416,479,2432,476,2446,471,2458,465,2469,457,2479,448,2487,437,2490,430,2381,430,2368,430,2356,427,2346,423,2337,416,2329,408,2323,398,2318,387,2315,373xm2377,170l2360,170,2345,172,2330,175,2317,180,2306,186,2296,193,2287,201,2280,211,2274,221,2270,231,2267,242,2267,254,2268,271,2274,287,2282,301,2294,315,2306,323,2321,331,2341,338,2363,344,2381,349,2394,352,2405,355,2412,358,2422,361,2430,366,2438,376,2440,382,2440,400,2435,410,2425,418,2417,423,2407,427,2395,430,2381,430,2490,430,2493,426,2498,414,2500,401,2501,389,2500,375,2498,362,2494,351,2489,341,2483,331,2475,323,2466,316,2456,310,2444,304,2429,299,2411,293,2370,283,2354,278,2342,273,2334,268,2328,263,2325,257,2325,242,2328,236,2335,231,2343,226,2352,223,2364,221,2376,220,2482,220,2475,208,2462,194,2446,184,2427,176,2403,171,2377,170xm2482,220l2393,220,2406,223,2423,237,2429,248,2432,264,2492,261,2490,241,2484,224,2482,220xe" filled="true" fillcolor="#4a4a4c" stroked="false">
              <v:path arrowok="t"/>
              <v:fill type="solid"/>
            </v:shape>
            <v:shape style="position:absolute;left:1804;top:511;width:85;height:101" coordorigin="1804,511" coordsize="85,101" path="m1861,511l1836,511,1825,516,1808,534,1804,546,1804,578,1808,590,1825,608,1835,612,1859,612,1867,610,1881,599,1883,595,1841,595,1835,593,1826,582,1824,574,1824,550,1826,541,1835,531,1841,528,1884,528,1883,526,1879,522,1871,515,1861,511xm1870,575l1868,582,1865,587,1858,594,1853,595,1883,595,1886,591,1889,581,1870,575xm1884,528l1854,528,1858,530,1866,536,1868,540,1869,545,1889,540,1886,532,1884,528xe" filled="true" fillcolor="#95979a" stroked="false">
              <v:path arrowok="t"/>
              <v:fill type="solid"/>
            </v:shape>
            <v:line style="position:absolute" from="1917,513" to="1917,611" stroked="true" strokeweight=".985pt" strokecolor="#95979a"/>
            <v:shape style="position:absolute;left:1954;top:513;width:75;height:98" coordorigin="1954,513" coordsize="75,98" path="m2027,513l1954,513,1954,611,2028,611,2028,594,1974,594,1974,568,2023,568,2023,551,1974,551,1974,530,2027,530,2027,513xe" filled="true" fillcolor="#95979a" stroked="false">
              <v:path arrowok="t"/>
              <v:fill type="solid"/>
            </v:shape>
            <v:shape style="position:absolute;left:2046;top:513;width:78;height:98" coordorigin="2046,513" coordsize="78,98" path="m2066,513l2046,513,2046,611,2065,611,2065,547,2086,547,2066,513xm2086,547l2065,547,2104,611,2124,611,2124,578,2106,578,2086,547xm2124,513l2106,513,2106,578,2124,578,2124,513xe" filled="true" fillcolor="#95979a" stroked="false">
              <v:path arrowok="t"/>
              <v:fill type="solid"/>
            </v:shape>
            <v:shape style="position:absolute;left:2151;top:511;width:85;height:101" coordorigin="2151,511" coordsize="85,101" path="m2208,511l2183,511,2172,516,2155,534,2151,546,2151,578,2155,590,2171,608,2182,612,2205,612,2214,610,2228,599,2230,595,2188,595,2182,593,2173,582,2171,574,2171,550,2173,541,2182,531,2188,528,2231,528,2230,526,2225,522,2218,515,2208,511xm2216,575l2215,582,2212,587,2205,594,2200,595,2230,595,2233,591,2235,581,2216,575xm2231,528l2200,528,2205,530,2212,536,2215,540,2216,545,2235,540,2233,532,2231,528xe" filled="true" fillcolor="#95979a" stroked="false">
              <v:path arrowok="t"/>
              <v:fill type="solid"/>
            </v:shape>
            <v:line style="position:absolute" from="2263,513" to="2263,611" stroked="true" strokeweight=".985pt" strokecolor="#95979a"/>
            <v:shape style="position:absolute;left:2290;top:513;width:98;height:98" coordorigin="2290,513" coordsize="98,98" path="m2349,513l2328,513,2290,611,2311,611,2319,588,2379,588,2372,572,2325,572,2338,536,2358,536,2349,513xm2379,588l2358,588,2366,611,2388,611,2379,588xm2358,536l2338,536,2351,572,2372,572,2358,536xe" filled="true" fillcolor="#95979a" stroked="false">
              <v:path arrowok="t"/>
              <v:fill type="solid"/>
            </v:shape>
            <v:shape style="position:absolute;left:2393;top:511;width:80;height:101" coordorigin="2393,511" coordsize="80,101" path="m2412,577l2393,579,2394,590,2398,598,2412,609,2421,612,2442,612,2449,611,2460,606,2465,603,2469,596,2428,596,2423,594,2416,588,2413,583,2412,577xm2444,511l2425,511,2418,513,2408,517,2404,520,2398,529,2397,533,2397,546,2400,553,2410,562,2417,565,2436,570,2441,571,2447,573,2449,575,2452,578,2453,580,2453,586,2451,589,2445,594,2440,596,2469,596,2471,593,2472,588,2472,576,2471,571,2466,562,2462,559,2453,554,2446,552,2427,547,2421,545,2416,542,2415,540,2415,535,2416,533,2422,529,2426,528,2467,528,2466,525,2454,514,2444,511xm2467,528l2438,528,2442,529,2447,533,2449,537,2450,542,2470,541,2469,532,2467,528xe" filled="true" fillcolor="#95979a" stroked="false">
              <v:path arrowok="t"/>
              <v:fill type="solid"/>
            </v:shape>
            <v:shape style="position:absolute;left:1815;top:650;width:681;height:117" type="#_x0000_t75" stroked="false">
              <v:imagedata r:id="rId10" o:title=""/>
            </v:shape>
            <v:shape style="position:absolute;left:1265;top:795;width:436;height:117" type="#_x0000_t75" stroked="false">
              <v:imagedata r:id="rId11" o:title=""/>
            </v:shape>
            <v:shape style="position:absolute;left:1721;top:795;width:790;height:117" type="#_x0000_t75" stroked="false">
              <v:imagedata r:id="rId12" o:title=""/>
            </v:shape>
            <v:shape style="position:absolute;left:1705;top:949;width:92;height:98" coordorigin="1705,949" coordsize="92,98" path="m1728,949l1705,949,1741,1005,1741,1046,1761,1046,1761,1005,1772,987,1751,987,1728,949xm1796,949l1774,949,1751,987,1772,987,1796,949xe" filled="true" fillcolor="#6d6e71" stroked="false">
              <v:path arrowok="t"/>
              <v:fill type="solid"/>
            </v:shape>
            <v:shape style="position:absolute;left:1832;top:939;width:680;height:117" type="#_x0000_t75" stroked="false">
              <v:imagedata r:id="rId13" o:title=""/>
            </v:shape>
            <v:shape style="position:absolute;left:1710;top:1095;width:82;height:98" coordorigin="1710,1095" coordsize="82,98" path="m1755,1095l1710,1095,1710,1192,1755,1192,1761,1191,1771,1188,1775,1186,1783,1178,1785,1176,1730,1176,1730,1111,1785,1111,1784,1110,1776,1101,1771,1098,1761,1095,1755,1095xm1785,1111l1747,1111,1752,1111,1759,1113,1762,1114,1767,1119,1769,1122,1771,1130,1772,1135,1772,1152,1771,1157,1769,1166,1767,1169,1763,1173,1760,1174,1754,1175,1750,1176,1785,1176,1787,1172,1791,1159,1792,1152,1792,1135,1791,1127,1787,1115,1785,1111xe" filled="true" fillcolor="#6d6e71" stroked="false">
              <v:path arrowok="t"/>
              <v:fill type="solid"/>
            </v:shape>
            <v:shape style="position:absolute;left:1809;top:1095;width:75;height:98" coordorigin="1809,1095" coordsize="75,98" path="m1881,1095l1809,1095,1809,1192,1883,1192,1883,1176,1829,1176,1829,1149,1878,1149,1878,1133,1829,1133,1829,1111,1881,1111,1881,1095xe" filled="true" fillcolor="#6d6e71" stroked="false">
              <v:path arrowok="t"/>
              <v:fill type="solid"/>
            </v:shape>
            <v:shape style="position:absolute;left:1949;top:1093;width:562;height:101" type="#_x0000_t75" stroked="false">
              <v:imagedata r:id="rId14" o:title=""/>
            </v:shape>
            <v:shape style="position:absolute;left:0;top:136;width:916;height:920" coordorigin="0,136" coordsize="916,920" path="m478,136l405,138,332,153,263,179,199,215,144,259,96,312,58,371,28,435,9,503,0,574,3,647,17,720,43,790,79,854,124,910,176,958,235,997,299,1026,367,1046,438,1055,510,1052,583,1038,638,1018,454,1018,380,1010,310,990,244,958,185,916,133,863,91,801,60,731,64,725,71,717,81,707,99,688,48,688,38,612,41,537,58,465,86,397,125,336,175,282,234,237,273,237,276,225,278,217,280,212,295,205,311,199,326,194,343,189,365,183,388,178,411,175,434,174,637,174,617,164,549,145,478,136xm268,578l230,578,233,595,237,612,241,628,245,645,269,716,301,789,341,865,392,941,454,1018,638,1018,644,1015,503,1015,446,950,398,884,359,820,327,756,301,695,281,635,276,614,271,594,268,578xm642,437l602,437,607,451,612,466,617,481,621,495,637,560,648,632,653,707,653,731,653,794,645,885,628,982,615,988,601,993,587,998,573,1002,555,1007,538,1010,520,1013,503,1015,644,1015,653,1012,716,976,736,960,671,960,685,866,691,778,691,696,684,620,673,550,657,485,653,472,649,459,645,447,642,437xm885,434l691,434,744,437,798,444,854,455,857,463,860,472,862,481,877,560,877,574,876,642,860,719,831,791,789,857,735,914,671,960,736,960,772,931,819,879,858,820,888,756,907,688,916,617,913,544,898,470,885,434xm273,237l234,237,224,289,216,358,214,441,223,537,164,580,115,621,76,658,48,688,99,688,106,680,140,649,181,614,230,578,268,578,267,574,263,556,309,529,336,515,257,515,253,463,252,459,251,418,251,403,253,368,256,327,260,300,264,275,269,254,273,237xm637,174l434,174,437,177,442,181,450,189,478,220,513,265,551,326,588,401,555,406,523,411,492,418,462,426,405,444,352,466,303,490,257,515,336,515,360,504,414,481,472,462,503,454,535,447,568,441,602,437,642,437,641,435,691,434,885,434,877,413,836,413,782,403,728,398,718,398,627,398,591,321,554,259,518,210,487,174,638,174,637,174xm638,174l487,174,560,186,629,210,693,246,749,292,798,348,836,413,877,413,872,400,836,337,792,281,739,233,681,194,638,174xm677,396l627,398,718,398,677,396xe" filled="true" fillcolor="#231f20" stroked="false">
              <v:path arrowok="t"/>
              <v:fill type="solid"/>
            </v:shape>
          </v:group>
        </w:pict>
      </w:r>
      <w:r>
        <w:rPr>
          <w:sz w:val="20"/>
        </w:rPr>
      </w:r>
    </w:p>
    <w:p>
      <w:pPr>
        <w:pStyle w:val="BodyText"/>
        <w:rPr>
          <w:sz w:val="20"/>
        </w:rPr>
      </w:pPr>
    </w:p>
    <w:p>
      <w:pPr>
        <w:spacing w:after="0"/>
        <w:rPr>
          <w:sz w:val="20"/>
        </w:rPr>
        <w:sectPr>
          <w:pgSz w:w="9640" w:h="12190"/>
          <w:pgMar w:top="1120" w:bottom="280" w:left="1340" w:right="1340"/>
        </w:sectPr>
      </w:pPr>
    </w:p>
    <w:p>
      <w:pPr>
        <w:pStyle w:val="BodyText"/>
        <w:spacing w:before="1"/>
        <w:rPr>
          <w:sz w:val="17"/>
        </w:rPr>
      </w:pPr>
    </w:p>
    <w:p>
      <w:pPr>
        <w:spacing w:before="0"/>
        <w:ind w:left="0" w:right="0" w:firstLine="0"/>
        <w:jc w:val="right"/>
        <w:rPr>
          <w:rFonts w:ascii="Cambria" w:hAnsi="Cambria"/>
          <w:b/>
          <w:sz w:val="16"/>
        </w:rPr>
      </w:pPr>
      <w:r>
        <w:rPr>
          <w:rFonts w:ascii="Cambria" w:hAnsi="Cambria"/>
          <w:b/>
          <w:color w:val="231F20"/>
          <w:sz w:val="16"/>
        </w:rPr>
        <w:t>Consejo Científtco iapas</w:t>
      </w:r>
    </w:p>
    <w:p>
      <w:pPr>
        <w:pStyle w:val="BodyText"/>
        <w:rPr>
          <w:rFonts w:ascii="Cambria"/>
          <w:b/>
          <w:sz w:val="20"/>
        </w:rPr>
      </w:pPr>
    </w:p>
    <w:p>
      <w:pPr>
        <w:spacing w:line="559" w:lineRule="auto" w:before="0"/>
        <w:ind w:left="1565" w:right="0" w:firstLine="438"/>
        <w:jc w:val="right"/>
        <w:rPr>
          <w:sz w:val="16"/>
        </w:rPr>
      </w:pPr>
      <w:r>
        <w:rPr>
          <w:color w:val="231F20"/>
          <w:sz w:val="16"/>
        </w:rPr>
        <w:t>Bernardo Kliksberg</w:t>
      </w:r>
      <w:r>
        <w:rPr>
          <w:color w:val="231F20"/>
          <w:w w:val="96"/>
          <w:sz w:val="16"/>
        </w:rPr>
        <w:t> </w:t>
      </w:r>
      <w:r>
        <w:rPr>
          <w:color w:val="231F20"/>
          <w:sz w:val="16"/>
        </w:rPr>
        <w:t>Luis F. Aguilar Villanueva</w:t>
      </w:r>
      <w:r>
        <w:rPr>
          <w:color w:val="231F20"/>
          <w:w w:val="102"/>
          <w:sz w:val="16"/>
        </w:rPr>
        <w:t> </w:t>
      </w:r>
      <w:r>
        <w:rPr>
          <w:color w:val="231F20"/>
          <w:sz w:val="16"/>
        </w:rPr>
        <w:t>Leonardo  Morlino</w:t>
      </w:r>
    </w:p>
    <w:p>
      <w:pPr>
        <w:spacing w:line="559" w:lineRule="auto" w:before="8"/>
        <w:ind w:left="1472" w:right="0" w:firstLine="508"/>
        <w:jc w:val="right"/>
        <w:rPr>
          <w:sz w:val="16"/>
        </w:rPr>
      </w:pPr>
      <w:r>
        <w:rPr>
          <w:color w:val="231F20"/>
          <w:w w:val="105"/>
          <w:sz w:val="16"/>
        </w:rPr>
        <w:t>Diego Valadés Ríos</w:t>
      </w:r>
      <w:r>
        <w:rPr>
          <w:color w:val="231F20"/>
          <w:w w:val="99"/>
          <w:sz w:val="16"/>
        </w:rPr>
        <w:t> </w:t>
      </w:r>
      <w:r>
        <w:rPr>
          <w:color w:val="231F20"/>
          <w:w w:val="105"/>
          <w:sz w:val="16"/>
        </w:rPr>
        <w:t>Enrique Cabrero Mendoza</w:t>
      </w:r>
    </w:p>
    <w:p>
      <w:pPr>
        <w:spacing w:line="559" w:lineRule="auto" w:before="8"/>
        <w:ind w:left="1570" w:right="1" w:firstLine="517"/>
        <w:jc w:val="right"/>
        <w:rPr>
          <w:sz w:val="16"/>
        </w:rPr>
      </w:pPr>
      <w:r>
        <w:rPr>
          <w:color w:val="231F20"/>
          <w:w w:val="105"/>
          <w:sz w:val="16"/>
        </w:rPr>
        <w:t>Nuria Cunill Grau</w:t>
      </w:r>
      <w:r>
        <w:rPr>
          <w:color w:val="231F20"/>
          <w:w w:val="108"/>
          <w:sz w:val="16"/>
        </w:rPr>
        <w:t> </w:t>
      </w:r>
      <w:r>
        <w:rPr>
          <w:color w:val="231F20"/>
          <w:w w:val="105"/>
          <w:sz w:val="16"/>
        </w:rPr>
        <w:t>Manuel Villoria Mendieta</w:t>
      </w:r>
    </w:p>
    <w:p>
      <w:pPr>
        <w:spacing w:line="559" w:lineRule="auto" w:before="8"/>
        <w:ind w:left="1567" w:right="0" w:firstLine="586"/>
        <w:jc w:val="right"/>
        <w:rPr>
          <w:sz w:val="16"/>
        </w:rPr>
      </w:pPr>
      <w:r>
        <w:rPr>
          <w:color w:val="231F20"/>
          <w:sz w:val="16"/>
        </w:rPr>
        <w:t>Ricardo Carneiro</w:t>
      </w:r>
      <w:r>
        <w:rPr>
          <w:color w:val="231F20"/>
          <w:w w:val="109"/>
          <w:sz w:val="16"/>
        </w:rPr>
        <w:t> </w:t>
      </w:r>
      <w:r>
        <w:rPr>
          <w:color w:val="231F20"/>
          <w:sz w:val="16"/>
        </w:rPr>
        <w:t>Roberto Moreno Espinosa</w:t>
      </w:r>
      <w:r>
        <w:rPr>
          <w:color w:val="231F20"/>
          <w:w w:val="102"/>
          <w:sz w:val="16"/>
        </w:rPr>
        <w:t> </w:t>
      </w:r>
      <w:r>
        <w:rPr>
          <w:color w:val="231F20"/>
          <w:sz w:val="16"/>
        </w:rPr>
        <w:t>Donald E. Klingner</w:t>
      </w:r>
    </w:p>
    <w:p>
      <w:pPr>
        <w:spacing w:line="559" w:lineRule="auto" w:before="8"/>
        <w:ind w:left="1634" w:right="1" w:hanging="601"/>
        <w:jc w:val="right"/>
        <w:rPr>
          <w:sz w:val="16"/>
        </w:rPr>
      </w:pPr>
      <w:r>
        <w:rPr>
          <w:color w:val="231F20"/>
          <w:w w:val="105"/>
          <w:sz w:val="16"/>
        </w:rPr>
        <w:t>Juan de Dios Pineda Guadarrama</w:t>
      </w:r>
      <w:r>
        <w:rPr>
          <w:color w:val="231F20"/>
          <w:w w:val="102"/>
          <w:sz w:val="16"/>
        </w:rPr>
        <w:t> </w:t>
      </w:r>
      <w:r>
        <w:rPr>
          <w:color w:val="231F20"/>
          <w:w w:val="105"/>
          <w:sz w:val="16"/>
        </w:rPr>
        <w:t>Ricardo Uvalle Berrones</w:t>
      </w:r>
      <w:r>
        <w:rPr>
          <w:color w:val="231F20"/>
          <w:w w:val="99"/>
          <w:sz w:val="16"/>
        </w:rPr>
        <w:t> </w:t>
      </w:r>
      <w:r>
        <w:rPr>
          <w:color w:val="231F20"/>
          <w:w w:val="105"/>
          <w:sz w:val="16"/>
        </w:rPr>
        <w:t>Ricardo Varela Juárez</w:t>
      </w:r>
      <w:r>
        <w:rPr>
          <w:color w:val="231F20"/>
          <w:w w:val="100"/>
          <w:sz w:val="16"/>
        </w:rPr>
        <w:t> </w:t>
      </w:r>
      <w:r>
        <w:rPr>
          <w:color w:val="231F20"/>
          <w:w w:val="105"/>
          <w:sz w:val="16"/>
        </w:rPr>
        <w:t>Gianfranco Pasquino</w:t>
      </w:r>
    </w:p>
    <w:p>
      <w:pPr>
        <w:spacing w:before="8"/>
        <w:ind w:left="0" w:right="1" w:firstLine="0"/>
        <w:jc w:val="right"/>
        <w:rPr>
          <w:sz w:val="16"/>
        </w:rPr>
      </w:pPr>
      <w:r>
        <w:rPr>
          <w:color w:val="231F20"/>
          <w:sz w:val="16"/>
        </w:rPr>
        <w:t>Fred A. Lazin</w:t>
      </w:r>
    </w:p>
    <w:p>
      <w:pPr>
        <w:pStyle w:val="BodyText"/>
        <w:spacing w:before="1"/>
        <w:rPr>
          <w:sz w:val="17"/>
        </w:rPr>
      </w:pPr>
      <w:r>
        <w:rPr/>
        <w:br w:type="column"/>
      </w:r>
      <w:r>
        <w:rPr>
          <w:sz w:val="17"/>
        </w:rPr>
      </w:r>
    </w:p>
    <w:p>
      <w:pPr>
        <w:spacing w:before="0"/>
        <w:ind w:left="240" w:right="1555" w:firstLine="0"/>
        <w:jc w:val="left"/>
        <w:rPr>
          <w:rFonts w:ascii="Cambria"/>
          <w:b/>
          <w:sz w:val="16"/>
        </w:rPr>
      </w:pPr>
      <w:r>
        <w:rPr>
          <w:rFonts w:ascii="Cambria"/>
          <w:b/>
          <w:color w:val="231F20"/>
          <w:sz w:val="16"/>
        </w:rPr>
        <w:t>Consejo Directivo iapas</w:t>
      </w:r>
    </w:p>
    <w:p>
      <w:pPr>
        <w:pStyle w:val="BodyText"/>
        <w:rPr>
          <w:rFonts w:ascii="Cambria"/>
          <w:b/>
          <w:sz w:val="20"/>
        </w:rPr>
      </w:pPr>
    </w:p>
    <w:p>
      <w:pPr>
        <w:spacing w:line="278" w:lineRule="auto" w:before="0"/>
        <w:ind w:left="240" w:right="1555" w:firstLine="0"/>
        <w:jc w:val="left"/>
        <w:rPr>
          <w:sz w:val="16"/>
        </w:rPr>
      </w:pPr>
      <w:r>
        <w:rPr>
          <w:color w:val="231F20"/>
          <w:w w:val="105"/>
          <w:sz w:val="16"/>
        </w:rPr>
        <w:t>Roberto Moreno Espinosa </w:t>
      </w:r>
      <w:r>
        <w:rPr>
          <w:color w:val="231F20"/>
          <w:w w:val="110"/>
          <w:sz w:val="16"/>
        </w:rPr>
        <w:t>presidente</w:t>
      </w:r>
    </w:p>
    <w:p>
      <w:pPr>
        <w:pStyle w:val="BodyText"/>
        <w:spacing w:before="8"/>
        <w:rPr>
          <w:sz w:val="18"/>
        </w:rPr>
      </w:pPr>
    </w:p>
    <w:p>
      <w:pPr>
        <w:spacing w:line="278" w:lineRule="auto" w:before="0"/>
        <w:ind w:left="240" w:right="0" w:firstLine="0"/>
        <w:jc w:val="left"/>
        <w:rPr>
          <w:sz w:val="16"/>
        </w:rPr>
      </w:pPr>
      <w:r>
        <w:rPr>
          <w:color w:val="231F20"/>
          <w:w w:val="105"/>
          <w:sz w:val="16"/>
        </w:rPr>
        <w:t>Oscar Mauricio Covarrubias Moreno </w:t>
      </w:r>
      <w:r>
        <w:rPr>
          <w:color w:val="231F20"/>
          <w:w w:val="110"/>
          <w:sz w:val="16"/>
        </w:rPr>
        <w:t>vicepresidente</w:t>
      </w:r>
    </w:p>
    <w:p>
      <w:pPr>
        <w:pStyle w:val="BodyText"/>
        <w:spacing w:before="8"/>
        <w:rPr>
          <w:sz w:val="18"/>
        </w:rPr>
      </w:pPr>
    </w:p>
    <w:p>
      <w:pPr>
        <w:spacing w:before="0"/>
        <w:ind w:left="240" w:right="1555" w:firstLine="0"/>
        <w:jc w:val="left"/>
        <w:rPr>
          <w:sz w:val="16"/>
        </w:rPr>
      </w:pPr>
      <w:r>
        <w:rPr>
          <w:color w:val="231F20"/>
          <w:sz w:val="16"/>
        </w:rPr>
        <w:t>Elena Jeannetti Dávila</w:t>
      </w:r>
    </w:p>
    <w:p>
      <w:pPr>
        <w:spacing w:line="278" w:lineRule="auto" w:before="30"/>
        <w:ind w:left="240" w:right="0" w:firstLine="0"/>
        <w:jc w:val="left"/>
        <w:rPr>
          <w:sz w:val="16"/>
        </w:rPr>
      </w:pPr>
      <w:r>
        <w:rPr>
          <w:color w:val="231F20"/>
          <w:w w:val="130"/>
          <w:sz w:val="16"/>
        </w:rPr>
        <w:t>directora de investigación y desarrollo académico</w:t>
      </w:r>
    </w:p>
    <w:p>
      <w:pPr>
        <w:pStyle w:val="BodyText"/>
        <w:spacing w:before="8"/>
        <w:rPr>
          <w:sz w:val="18"/>
        </w:rPr>
      </w:pPr>
    </w:p>
    <w:p>
      <w:pPr>
        <w:spacing w:before="0"/>
        <w:ind w:left="240" w:right="1555" w:firstLine="0"/>
        <w:jc w:val="left"/>
        <w:rPr>
          <w:sz w:val="16"/>
        </w:rPr>
      </w:pPr>
      <w:r>
        <w:rPr>
          <w:color w:val="231F20"/>
          <w:sz w:val="16"/>
        </w:rPr>
        <w:t>José  Morales Ramírez</w:t>
      </w:r>
    </w:p>
    <w:p>
      <w:pPr>
        <w:spacing w:before="30"/>
        <w:ind w:left="240" w:right="0" w:firstLine="0"/>
        <w:jc w:val="left"/>
        <w:rPr>
          <w:sz w:val="16"/>
        </w:rPr>
      </w:pPr>
      <w:r>
        <w:rPr>
          <w:color w:val="231F20"/>
          <w:w w:val="135"/>
          <w:sz w:val="16"/>
        </w:rPr>
        <w:t>director de vinculación institucional</w:t>
      </w:r>
    </w:p>
    <w:p>
      <w:pPr>
        <w:pStyle w:val="BodyText"/>
        <w:spacing w:before="2"/>
        <w:rPr>
          <w:sz w:val="21"/>
        </w:rPr>
      </w:pPr>
    </w:p>
    <w:p>
      <w:pPr>
        <w:spacing w:before="0"/>
        <w:ind w:left="240" w:right="0" w:firstLine="0"/>
        <w:jc w:val="left"/>
        <w:rPr>
          <w:sz w:val="16"/>
        </w:rPr>
      </w:pPr>
      <w:r>
        <w:rPr>
          <w:color w:val="231F20"/>
          <w:w w:val="105"/>
          <w:sz w:val="16"/>
        </w:rPr>
        <w:t>César Nicandro Cruz Rubio</w:t>
      </w:r>
    </w:p>
    <w:p>
      <w:pPr>
        <w:spacing w:line="278" w:lineRule="auto" w:before="30"/>
        <w:ind w:left="240" w:right="0" w:firstLine="0"/>
        <w:jc w:val="left"/>
        <w:rPr>
          <w:sz w:val="16"/>
        </w:rPr>
      </w:pPr>
      <w:r>
        <w:rPr>
          <w:color w:val="231F20"/>
          <w:w w:val="125"/>
          <w:sz w:val="16"/>
        </w:rPr>
        <w:t>director de promoción y divulgación científica</w:t>
      </w:r>
    </w:p>
    <w:p>
      <w:pPr>
        <w:pStyle w:val="BodyText"/>
        <w:spacing w:before="8"/>
        <w:rPr>
          <w:sz w:val="18"/>
        </w:rPr>
      </w:pPr>
    </w:p>
    <w:p>
      <w:pPr>
        <w:spacing w:before="0"/>
        <w:ind w:left="240" w:right="1555" w:firstLine="0"/>
        <w:jc w:val="left"/>
        <w:rPr>
          <w:sz w:val="16"/>
        </w:rPr>
      </w:pPr>
      <w:r>
        <w:rPr>
          <w:color w:val="231F20"/>
          <w:sz w:val="16"/>
        </w:rPr>
        <w:t>Adriana  Plasencia Díaz</w:t>
      </w:r>
    </w:p>
    <w:p>
      <w:pPr>
        <w:spacing w:before="30"/>
        <w:ind w:left="240" w:right="0" w:firstLine="0"/>
        <w:jc w:val="left"/>
        <w:rPr>
          <w:sz w:val="16"/>
        </w:rPr>
      </w:pPr>
      <w:r>
        <w:rPr>
          <w:color w:val="231F20"/>
          <w:w w:val="125"/>
          <w:sz w:val="16"/>
        </w:rPr>
        <w:t>directora de administración y  logística</w:t>
      </w:r>
    </w:p>
    <w:p>
      <w:pPr>
        <w:pStyle w:val="BodyText"/>
        <w:spacing w:before="2"/>
        <w:rPr>
          <w:sz w:val="21"/>
        </w:rPr>
      </w:pPr>
    </w:p>
    <w:p>
      <w:pPr>
        <w:spacing w:before="0"/>
        <w:ind w:left="240" w:right="0" w:firstLine="0"/>
        <w:jc w:val="left"/>
        <w:rPr>
          <w:sz w:val="16"/>
        </w:rPr>
      </w:pPr>
      <w:r>
        <w:rPr>
          <w:color w:val="231F20"/>
          <w:sz w:val="16"/>
        </w:rPr>
        <w:t>José Antonio Rosique  Cañas</w:t>
      </w:r>
    </w:p>
    <w:p>
      <w:pPr>
        <w:spacing w:before="30"/>
        <w:ind w:left="240" w:right="0" w:firstLine="0"/>
        <w:jc w:val="left"/>
        <w:rPr>
          <w:sz w:val="16"/>
        </w:rPr>
      </w:pPr>
      <w:r>
        <w:rPr>
          <w:color w:val="231F20"/>
          <w:w w:val="130"/>
          <w:sz w:val="16"/>
        </w:rPr>
        <w:t>director de relaciones internacionales</w:t>
      </w:r>
    </w:p>
    <w:p>
      <w:pPr>
        <w:pStyle w:val="BodyText"/>
        <w:spacing w:before="2"/>
        <w:rPr>
          <w:sz w:val="21"/>
        </w:rPr>
      </w:pPr>
    </w:p>
    <w:p>
      <w:pPr>
        <w:spacing w:line="278" w:lineRule="auto" w:before="0"/>
        <w:ind w:left="240" w:right="458" w:firstLine="0"/>
        <w:jc w:val="left"/>
        <w:rPr>
          <w:sz w:val="16"/>
        </w:rPr>
      </w:pPr>
      <w:r>
        <w:rPr>
          <w:color w:val="231F20"/>
          <w:w w:val="115"/>
          <w:sz w:val="16"/>
        </w:rPr>
        <w:t>Juan Miguel Morales y Gómez </w:t>
      </w:r>
      <w:r>
        <w:rPr>
          <w:color w:val="231F20"/>
          <w:w w:val="125"/>
          <w:sz w:val="16"/>
        </w:rPr>
        <w:t>director </w:t>
      </w:r>
      <w:r>
        <w:rPr>
          <w:color w:val="231F20"/>
          <w:w w:val="115"/>
          <w:sz w:val="16"/>
        </w:rPr>
        <w:t>de admisión y membresía</w:t>
      </w:r>
    </w:p>
    <w:p>
      <w:pPr>
        <w:pStyle w:val="BodyText"/>
        <w:spacing w:before="8"/>
        <w:rPr>
          <w:sz w:val="18"/>
        </w:rPr>
      </w:pPr>
    </w:p>
    <w:p>
      <w:pPr>
        <w:spacing w:before="0"/>
        <w:ind w:left="240" w:right="1555" w:firstLine="0"/>
        <w:jc w:val="left"/>
        <w:rPr>
          <w:sz w:val="16"/>
        </w:rPr>
      </w:pPr>
      <w:r>
        <w:rPr>
          <w:color w:val="231F20"/>
          <w:w w:val="105"/>
          <w:sz w:val="16"/>
        </w:rPr>
        <w:t>Miguel Moreno Plata</w:t>
      </w:r>
    </w:p>
    <w:p>
      <w:pPr>
        <w:spacing w:before="30"/>
        <w:ind w:left="240" w:right="0" w:firstLine="0"/>
        <w:jc w:val="left"/>
        <w:rPr>
          <w:sz w:val="16"/>
        </w:rPr>
      </w:pPr>
      <w:r>
        <w:rPr>
          <w:color w:val="231F20"/>
          <w:w w:val="135"/>
          <w:sz w:val="16"/>
        </w:rPr>
        <w:t>director de estudios de futuro</w:t>
      </w:r>
    </w:p>
    <w:p>
      <w:pPr>
        <w:pStyle w:val="BodyText"/>
        <w:spacing w:before="2"/>
        <w:rPr>
          <w:sz w:val="21"/>
        </w:rPr>
      </w:pPr>
    </w:p>
    <w:p>
      <w:pPr>
        <w:spacing w:line="278" w:lineRule="auto" w:before="0"/>
        <w:ind w:left="240" w:right="823" w:firstLine="0"/>
        <w:jc w:val="left"/>
        <w:rPr>
          <w:sz w:val="16"/>
        </w:rPr>
      </w:pPr>
      <w:r>
        <w:rPr>
          <w:color w:val="231F20"/>
          <w:spacing w:val="2"/>
          <w:w w:val="110"/>
          <w:sz w:val="16"/>
        </w:rPr>
        <w:t>María</w:t>
      </w:r>
      <w:r>
        <w:rPr>
          <w:color w:val="231F20"/>
          <w:spacing w:val="-31"/>
          <w:w w:val="110"/>
          <w:sz w:val="16"/>
        </w:rPr>
        <w:t> </w:t>
      </w:r>
      <w:r>
        <w:rPr>
          <w:color w:val="231F20"/>
          <w:w w:val="110"/>
          <w:sz w:val="16"/>
        </w:rPr>
        <w:t>de</w:t>
      </w:r>
      <w:r>
        <w:rPr>
          <w:color w:val="231F20"/>
          <w:spacing w:val="-31"/>
          <w:w w:val="110"/>
          <w:sz w:val="16"/>
        </w:rPr>
        <w:t> </w:t>
      </w:r>
      <w:r>
        <w:rPr>
          <w:color w:val="231F20"/>
          <w:w w:val="110"/>
          <w:sz w:val="16"/>
        </w:rPr>
        <w:t>los</w:t>
      </w:r>
      <w:r>
        <w:rPr>
          <w:color w:val="231F20"/>
          <w:spacing w:val="-31"/>
          <w:w w:val="110"/>
          <w:sz w:val="16"/>
        </w:rPr>
        <w:t> </w:t>
      </w:r>
      <w:r>
        <w:rPr>
          <w:color w:val="231F20"/>
          <w:w w:val="110"/>
          <w:sz w:val="16"/>
        </w:rPr>
        <w:t>Ángeles</w:t>
      </w:r>
      <w:r>
        <w:rPr>
          <w:color w:val="231F20"/>
          <w:spacing w:val="-31"/>
          <w:w w:val="110"/>
          <w:sz w:val="16"/>
        </w:rPr>
        <w:t> </w:t>
      </w:r>
      <w:r>
        <w:rPr>
          <w:color w:val="231F20"/>
          <w:w w:val="110"/>
          <w:sz w:val="16"/>
        </w:rPr>
        <w:t>Maya</w:t>
      </w:r>
      <w:r>
        <w:rPr>
          <w:color w:val="231F20"/>
          <w:spacing w:val="-31"/>
          <w:w w:val="110"/>
          <w:sz w:val="16"/>
        </w:rPr>
        <w:t> </w:t>
      </w:r>
      <w:r>
        <w:rPr>
          <w:color w:val="231F20"/>
          <w:spacing w:val="2"/>
          <w:w w:val="110"/>
          <w:sz w:val="16"/>
        </w:rPr>
        <w:t>Martínez </w:t>
      </w:r>
      <w:r>
        <w:rPr>
          <w:color w:val="231F20"/>
          <w:w w:val="125"/>
          <w:sz w:val="16"/>
        </w:rPr>
        <w:t>tesorera</w:t>
      </w:r>
    </w:p>
    <w:p>
      <w:pPr>
        <w:pStyle w:val="BodyText"/>
        <w:spacing w:before="8"/>
        <w:rPr>
          <w:sz w:val="18"/>
        </w:rPr>
      </w:pPr>
    </w:p>
    <w:p>
      <w:pPr>
        <w:spacing w:line="278" w:lineRule="auto" w:before="0"/>
        <w:ind w:left="240" w:right="1555" w:firstLine="0"/>
        <w:jc w:val="left"/>
        <w:rPr>
          <w:sz w:val="16"/>
        </w:rPr>
      </w:pPr>
      <w:r>
        <w:rPr>
          <w:color w:val="231F20"/>
          <w:w w:val="105"/>
          <w:sz w:val="16"/>
        </w:rPr>
        <w:t>Jorge Enrique Pérez Lara </w:t>
      </w:r>
      <w:r>
        <w:rPr>
          <w:color w:val="231F20"/>
          <w:w w:val="165"/>
          <w:sz w:val="16"/>
        </w:rPr>
        <w:t>r</w:t>
      </w:r>
      <w:r>
        <w:rPr>
          <w:color w:val="231F20"/>
          <w:w w:val="112"/>
          <w:sz w:val="16"/>
        </w:rPr>
        <w:t>e</w:t>
      </w:r>
      <w:r>
        <w:rPr>
          <w:color w:val="231F20"/>
          <w:w w:val="101"/>
          <w:sz w:val="16"/>
        </w:rPr>
        <w:t>p</w:t>
      </w:r>
      <w:r>
        <w:rPr>
          <w:color w:val="231F20"/>
          <w:w w:val="165"/>
          <w:sz w:val="16"/>
        </w:rPr>
        <w:t>r</w:t>
      </w:r>
      <w:r>
        <w:rPr>
          <w:color w:val="231F20"/>
          <w:w w:val="112"/>
          <w:sz w:val="16"/>
        </w:rPr>
        <w:t>e</w:t>
      </w:r>
      <w:r>
        <w:rPr>
          <w:color w:val="231F20"/>
          <w:w w:val="118"/>
          <w:sz w:val="16"/>
        </w:rPr>
        <w:t>s</w:t>
      </w:r>
      <w:r>
        <w:rPr>
          <w:color w:val="231F20"/>
          <w:w w:val="112"/>
          <w:sz w:val="16"/>
        </w:rPr>
        <w:t>e</w:t>
      </w:r>
      <w:r>
        <w:rPr>
          <w:color w:val="231F20"/>
          <w:w w:val="129"/>
          <w:sz w:val="16"/>
        </w:rPr>
        <w:t>n</w:t>
      </w:r>
      <w:r>
        <w:rPr>
          <w:color w:val="231F20"/>
          <w:w w:val="203"/>
          <w:sz w:val="16"/>
        </w:rPr>
        <w:t>t</w:t>
      </w:r>
      <w:r>
        <w:rPr>
          <w:color w:val="231F20"/>
          <w:w w:val="133"/>
          <w:sz w:val="16"/>
        </w:rPr>
        <w:t>a</w:t>
      </w:r>
      <w:r>
        <w:rPr>
          <w:color w:val="231F20"/>
          <w:w w:val="129"/>
          <w:sz w:val="16"/>
        </w:rPr>
        <w:t>n</w:t>
      </w:r>
      <w:r>
        <w:rPr>
          <w:color w:val="231F20"/>
          <w:w w:val="203"/>
          <w:sz w:val="16"/>
        </w:rPr>
        <w:t>t</w:t>
      </w:r>
      <w:r>
        <w:rPr>
          <w:color w:val="231F20"/>
          <w:w w:val="112"/>
          <w:sz w:val="16"/>
        </w:rPr>
        <w:t>e</w:t>
      </w:r>
      <w:r>
        <w:rPr>
          <w:color w:val="231F20"/>
          <w:sz w:val="16"/>
        </w:rPr>
        <w:t> </w:t>
      </w:r>
      <w:r>
        <w:rPr>
          <w:color w:val="231F20"/>
          <w:w w:val="175"/>
          <w:sz w:val="16"/>
        </w:rPr>
        <w:t>l</w:t>
      </w:r>
      <w:r>
        <w:rPr>
          <w:color w:val="231F20"/>
          <w:w w:val="117"/>
          <w:sz w:val="16"/>
        </w:rPr>
        <w:t>eg</w:t>
      </w:r>
      <w:r>
        <w:rPr>
          <w:color w:val="231F20"/>
          <w:w w:val="133"/>
          <w:sz w:val="16"/>
        </w:rPr>
        <w:t>a</w:t>
      </w:r>
      <w:r>
        <w:rPr>
          <w:color w:val="231F20"/>
          <w:w w:val="175"/>
          <w:sz w:val="16"/>
        </w:rPr>
        <w:t>l</w:t>
      </w:r>
    </w:p>
    <w:p>
      <w:pPr>
        <w:spacing w:after="0" w:line="278" w:lineRule="auto"/>
        <w:jc w:val="left"/>
        <w:rPr>
          <w:sz w:val="16"/>
        </w:rPr>
        <w:sectPr>
          <w:type w:val="continuous"/>
          <w:pgSz w:w="9640" w:h="12190"/>
          <w:pgMar w:top="0" w:bottom="0" w:left="1340" w:right="1340"/>
          <w:cols w:num="2" w:equalWidth="0">
            <w:col w:w="3341" w:space="40"/>
            <w:col w:w="3579"/>
          </w:cols>
        </w:sectPr>
      </w:pPr>
    </w:p>
    <w:p>
      <w:pPr>
        <w:spacing w:before="36"/>
        <w:ind w:left="0" w:right="0" w:firstLine="0"/>
        <w:jc w:val="right"/>
        <w:rPr>
          <w:rFonts w:ascii="Cambria" w:hAnsi="Cambria"/>
          <w:b/>
          <w:sz w:val="16"/>
        </w:rPr>
      </w:pPr>
      <w:r>
        <w:rPr>
          <w:rFonts w:ascii="Cambria" w:hAnsi="Cambria"/>
          <w:b/>
          <w:color w:val="231F20"/>
          <w:w w:val="95"/>
          <w:sz w:val="16"/>
        </w:rPr>
        <w:t>Gobiernos municipales y partidos  políticos</w:t>
      </w:r>
    </w:p>
    <w:p>
      <w:pPr>
        <w:spacing w:line="180" w:lineRule="exact" w:before="12"/>
        <w:ind w:left="2188" w:right="0" w:firstLine="76"/>
        <w:jc w:val="right"/>
        <w:rPr>
          <w:sz w:val="16"/>
        </w:rPr>
      </w:pPr>
      <w:r>
        <w:rPr>
          <w:rFonts w:ascii="Cambria" w:hAnsi="Cambria"/>
          <w:b/>
          <w:color w:val="231F20"/>
          <w:sz w:val="16"/>
        </w:rPr>
        <w:t>en el Estado de México</w:t>
      </w:r>
      <w:r>
        <w:rPr>
          <w:rFonts w:ascii="Cambria" w:hAnsi="Cambria"/>
          <w:b/>
          <w:color w:val="231F20"/>
          <w:w w:val="95"/>
          <w:sz w:val="16"/>
        </w:rPr>
        <w:t> </w:t>
      </w:r>
      <w:r>
        <w:rPr>
          <w:rFonts w:ascii="Cambria" w:hAnsi="Cambria"/>
          <w:b/>
          <w:color w:val="231F20"/>
          <w:sz w:val="16"/>
        </w:rPr>
        <w:t>isbn: </w:t>
      </w:r>
      <w:r>
        <w:rPr>
          <w:color w:val="231F20"/>
          <w:sz w:val="16"/>
        </w:rPr>
        <w:t>978-607-96906-2-5</w:t>
      </w:r>
    </w:p>
    <w:p>
      <w:pPr>
        <w:pStyle w:val="BodyText"/>
        <w:spacing w:before="7"/>
        <w:rPr>
          <w:sz w:val="15"/>
        </w:rPr>
      </w:pPr>
    </w:p>
    <w:p>
      <w:pPr>
        <w:spacing w:line="180" w:lineRule="exact" w:before="0"/>
        <w:ind w:left="1158" w:right="0" w:hanging="260"/>
        <w:jc w:val="right"/>
        <w:rPr>
          <w:sz w:val="16"/>
        </w:rPr>
      </w:pPr>
      <w:r>
        <w:rPr>
          <w:rFonts w:ascii="Cambria" w:hAnsi="Cambria"/>
          <w:b/>
          <w:color w:val="231F20"/>
          <w:w w:val="105"/>
          <w:sz w:val="16"/>
        </w:rPr>
        <w:t>Autor</w:t>
      </w:r>
      <w:r>
        <w:rPr>
          <w:color w:val="231F20"/>
          <w:w w:val="105"/>
          <w:sz w:val="16"/>
        </w:rPr>
        <w:t>:</w:t>
      </w:r>
      <w:r>
        <w:rPr>
          <w:color w:val="231F20"/>
          <w:spacing w:val="-27"/>
          <w:w w:val="105"/>
          <w:sz w:val="16"/>
        </w:rPr>
        <w:t> </w:t>
      </w:r>
      <w:r>
        <w:rPr>
          <w:color w:val="231F20"/>
          <w:w w:val="105"/>
          <w:sz w:val="16"/>
        </w:rPr>
        <w:t>Sánchez</w:t>
      </w:r>
      <w:r>
        <w:rPr>
          <w:color w:val="231F20"/>
          <w:spacing w:val="-27"/>
          <w:w w:val="105"/>
          <w:sz w:val="16"/>
        </w:rPr>
        <w:t> </w:t>
      </w:r>
      <w:r>
        <w:rPr>
          <w:color w:val="231F20"/>
          <w:w w:val="105"/>
          <w:sz w:val="16"/>
        </w:rPr>
        <w:t>Ramos,</w:t>
      </w:r>
      <w:r>
        <w:rPr>
          <w:color w:val="231F20"/>
          <w:spacing w:val="-27"/>
          <w:w w:val="105"/>
          <w:sz w:val="16"/>
        </w:rPr>
        <w:t> </w:t>
      </w:r>
      <w:r>
        <w:rPr>
          <w:color w:val="231F20"/>
          <w:w w:val="105"/>
          <w:sz w:val="16"/>
        </w:rPr>
        <w:t>Miguel</w:t>
      </w:r>
      <w:r>
        <w:rPr>
          <w:color w:val="231F20"/>
          <w:spacing w:val="-27"/>
          <w:w w:val="105"/>
          <w:sz w:val="16"/>
        </w:rPr>
        <w:t> </w:t>
      </w:r>
      <w:r>
        <w:rPr>
          <w:color w:val="231F20"/>
          <w:w w:val="105"/>
          <w:sz w:val="16"/>
        </w:rPr>
        <w:t>(coordinador)</w:t>
      </w:r>
      <w:r>
        <w:rPr>
          <w:color w:val="231F20"/>
          <w:w w:val="106"/>
          <w:sz w:val="16"/>
        </w:rPr>
        <w:t> </w:t>
      </w:r>
      <w:r>
        <w:rPr>
          <w:color w:val="231F20"/>
          <w:sz w:val="16"/>
        </w:rPr>
        <w:t>Reveles Vázquez, Francisco </w:t>
      </w:r>
      <w:r>
        <w:rPr>
          <w:color w:val="231F20"/>
          <w:spacing w:val="1"/>
          <w:sz w:val="16"/>
        </w:rPr>
        <w:t> </w:t>
      </w:r>
      <w:r>
        <w:rPr>
          <w:color w:val="231F20"/>
          <w:sz w:val="16"/>
        </w:rPr>
        <w:t>(coordinador)</w:t>
      </w:r>
    </w:p>
    <w:p>
      <w:pPr>
        <w:spacing w:line="180" w:lineRule="exact" w:before="0"/>
        <w:ind w:left="2095" w:right="0" w:firstLine="122"/>
        <w:jc w:val="right"/>
        <w:rPr>
          <w:sz w:val="16"/>
        </w:rPr>
      </w:pPr>
      <w:r>
        <w:rPr>
          <w:color w:val="231F20"/>
          <w:w w:val="105"/>
          <w:sz w:val="16"/>
        </w:rPr>
        <w:t>Martínez</w:t>
      </w:r>
      <w:r>
        <w:rPr>
          <w:color w:val="231F20"/>
          <w:spacing w:val="-23"/>
          <w:w w:val="105"/>
          <w:sz w:val="16"/>
        </w:rPr>
        <w:t> </w:t>
      </w:r>
      <w:r>
        <w:rPr>
          <w:color w:val="231F20"/>
          <w:w w:val="105"/>
          <w:sz w:val="16"/>
        </w:rPr>
        <w:t>Valdes,</w:t>
      </w:r>
      <w:r>
        <w:rPr>
          <w:color w:val="231F20"/>
          <w:spacing w:val="-23"/>
          <w:w w:val="105"/>
          <w:sz w:val="16"/>
        </w:rPr>
        <w:t> </w:t>
      </w:r>
      <w:r>
        <w:rPr>
          <w:color w:val="231F20"/>
          <w:w w:val="105"/>
          <w:sz w:val="16"/>
        </w:rPr>
        <w:t>Gustavo</w:t>
      </w:r>
      <w:r>
        <w:rPr>
          <w:color w:val="231F20"/>
          <w:w w:val="99"/>
          <w:sz w:val="16"/>
        </w:rPr>
        <w:t> </w:t>
      </w:r>
      <w:r>
        <w:rPr>
          <w:color w:val="231F20"/>
          <w:w w:val="105"/>
          <w:sz w:val="16"/>
        </w:rPr>
        <w:t>López</w:t>
      </w:r>
      <w:r>
        <w:rPr>
          <w:color w:val="231F20"/>
          <w:spacing w:val="-19"/>
          <w:w w:val="105"/>
          <w:sz w:val="16"/>
        </w:rPr>
        <w:t> </w:t>
      </w:r>
      <w:r>
        <w:rPr>
          <w:color w:val="231F20"/>
          <w:w w:val="105"/>
          <w:sz w:val="16"/>
        </w:rPr>
        <w:t>Anzúrez,</w:t>
      </w:r>
      <w:r>
        <w:rPr>
          <w:color w:val="231F20"/>
          <w:spacing w:val="-19"/>
          <w:w w:val="105"/>
          <w:sz w:val="16"/>
        </w:rPr>
        <w:t> </w:t>
      </w:r>
      <w:r>
        <w:rPr>
          <w:color w:val="231F20"/>
          <w:w w:val="105"/>
          <w:sz w:val="16"/>
        </w:rPr>
        <w:t>Cintya</w:t>
      </w:r>
      <w:r>
        <w:rPr>
          <w:color w:val="231F20"/>
          <w:w w:val="102"/>
          <w:sz w:val="16"/>
        </w:rPr>
        <w:t> </w:t>
      </w:r>
      <w:r>
        <w:rPr>
          <w:color w:val="231F20"/>
          <w:w w:val="105"/>
          <w:sz w:val="16"/>
        </w:rPr>
        <w:t>Silva</w:t>
      </w:r>
      <w:r>
        <w:rPr>
          <w:color w:val="231F20"/>
          <w:spacing w:val="-24"/>
          <w:w w:val="105"/>
          <w:sz w:val="16"/>
        </w:rPr>
        <w:t> </w:t>
      </w:r>
      <w:r>
        <w:rPr>
          <w:color w:val="231F20"/>
          <w:w w:val="105"/>
          <w:sz w:val="16"/>
        </w:rPr>
        <w:t>Rivera,</w:t>
      </w:r>
      <w:r>
        <w:rPr>
          <w:color w:val="231F20"/>
          <w:spacing w:val="-24"/>
          <w:w w:val="105"/>
          <w:sz w:val="16"/>
        </w:rPr>
        <w:t> </w:t>
      </w:r>
      <w:r>
        <w:rPr>
          <w:color w:val="231F20"/>
          <w:w w:val="105"/>
          <w:sz w:val="16"/>
        </w:rPr>
        <w:t>María</w:t>
      </w:r>
      <w:r>
        <w:rPr>
          <w:color w:val="231F20"/>
          <w:spacing w:val="-24"/>
          <w:w w:val="105"/>
          <w:sz w:val="16"/>
        </w:rPr>
        <w:t> </w:t>
      </w:r>
      <w:r>
        <w:rPr>
          <w:color w:val="231F20"/>
          <w:w w:val="105"/>
          <w:sz w:val="16"/>
        </w:rPr>
        <w:t>del</w:t>
      </w:r>
      <w:r>
        <w:rPr>
          <w:color w:val="231F20"/>
          <w:spacing w:val="-24"/>
          <w:w w:val="105"/>
          <w:sz w:val="16"/>
        </w:rPr>
        <w:t> </w:t>
      </w:r>
      <w:r>
        <w:rPr>
          <w:color w:val="231F20"/>
          <w:w w:val="105"/>
          <w:sz w:val="16"/>
        </w:rPr>
        <w:t>Pilar</w:t>
      </w:r>
      <w:r>
        <w:rPr>
          <w:color w:val="231F20"/>
          <w:w w:val="107"/>
          <w:sz w:val="16"/>
        </w:rPr>
        <w:t> </w:t>
      </w:r>
      <w:r>
        <w:rPr>
          <w:color w:val="231F20"/>
          <w:w w:val="105"/>
          <w:sz w:val="16"/>
        </w:rPr>
        <w:t>Cisneros Rancho,</w:t>
      </w:r>
      <w:r>
        <w:rPr>
          <w:color w:val="231F20"/>
          <w:spacing w:val="-32"/>
          <w:w w:val="105"/>
          <w:sz w:val="16"/>
        </w:rPr>
        <w:t> </w:t>
      </w:r>
      <w:r>
        <w:rPr>
          <w:color w:val="231F20"/>
          <w:w w:val="105"/>
          <w:sz w:val="16"/>
        </w:rPr>
        <w:t>Gregorio</w:t>
      </w:r>
    </w:p>
    <w:p>
      <w:pPr>
        <w:spacing w:line="180" w:lineRule="exact" w:before="0"/>
        <w:ind w:left="2172" w:right="0" w:hanging="285"/>
        <w:jc w:val="right"/>
        <w:rPr>
          <w:sz w:val="16"/>
        </w:rPr>
      </w:pPr>
      <w:r>
        <w:rPr>
          <w:color w:val="231F20"/>
          <w:w w:val="105"/>
          <w:sz w:val="16"/>
        </w:rPr>
        <w:t>Martínez Martínez, Francisco Espejel Espinoza, Alberto Flores López, Ramiro Cortés Padilla, Ricardo</w:t>
      </w:r>
    </w:p>
    <w:p>
      <w:pPr>
        <w:spacing w:line="180" w:lineRule="exact" w:before="0"/>
        <w:ind w:left="1821" w:right="0" w:hanging="59"/>
        <w:jc w:val="right"/>
        <w:rPr>
          <w:sz w:val="16"/>
        </w:rPr>
      </w:pPr>
      <w:r>
        <w:rPr>
          <w:color w:val="231F20"/>
          <w:w w:val="105"/>
          <w:sz w:val="16"/>
        </w:rPr>
        <w:t>Meléndez</w:t>
      </w:r>
      <w:r>
        <w:rPr>
          <w:color w:val="231F20"/>
          <w:spacing w:val="-24"/>
          <w:w w:val="105"/>
          <w:sz w:val="16"/>
        </w:rPr>
        <w:t> </w:t>
      </w:r>
      <w:r>
        <w:rPr>
          <w:color w:val="231F20"/>
          <w:w w:val="105"/>
          <w:sz w:val="16"/>
        </w:rPr>
        <w:t>Rivera,</w:t>
      </w:r>
      <w:r>
        <w:rPr>
          <w:color w:val="231F20"/>
          <w:spacing w:val="-24"/>
          <w:w w:val="105"/>
          <w:sz w:val="16"/>
        </w:rPr>
        <w:t> </w:t>
      </w:r>
      <w:r>
        <w:rPr>
          <w:color w:val="231F20"/>
          <w:w w:val="105"/>
          <w:sz w:val="16"/>
        </w:rPr>
        <w:t>Monica</w:t>
      </w:r>
      <w:r>
        <w:rPr>
          <w:color w:val="231F20"/>
          <w:spacing w:val="-24"/>
          <w:w w:val="105"/>
          <w:sz w:val="16"/>
        </w:rPr>
        <w:t> </w:t>
      </w:r>
      <w:r>
        <w:rPr>
          <w:color w:val="231F20"/>
          <w:w w:val="105"/>
          <w:sz w:val="16"/>
        </w:rPr>
        <w:t>Selene</w:t>
      </w:r>
      <w:r>
        <w:rPr>
          <w:color w:val="231F20"/>
          <w:w w:val="103"/>
          <w:sz w:val="16"/>
        </w:rPr>
        <w:t> </w:t>
      </w:r>
      <w:r>
        <w:rPr>
          <w:color w:val="231F20"/>
          <w:sz w:val="16"/>
        </w:rPr>
        <w:t>Fernández</w:t>
      </w:r>
      <w:r>
        <w:rPr>
          <w:color w:val="231F20"/>
          <w:spacing w:val="11"/>
          <w:sz w:val="16"/>
        </w:rPr>
        <w:t> </w:t>
      </w:r>
      <w:r>
        <w:rPr>
          <w:color w:val="231F20"/>
          <w:sz w:val="16"/>
        </w:rPr>
        <w:t>Jiménez,</w:t>
      </w:r>
      <w:r>
        <w:rPr>
          <w:color w:val="231F20"/>
          <w:spacing w:val="11"/>
          <w:sz w:val="16"/>
        </w:rPr>
        <w:t> </w:t>
      </w:r>
      <w:r>
        <w:rPr>
          <w:color w:val="231F20"/>
          <w:sz w:val="16"/>
        </w:rPr>
        <w:t>Jeany</w:t>
      </w:r>
      <w:r>
        <w:rPr>
          <w:color w:val="231F20"/>
          <w:w w:val="91"/>
          <w:sz w:val="16"/>
        </w:rPr>
        <w:t> </w:t>
      </w:r>
      <w:r>
        <w:rPr>
          <w:color w:val="231F20"/>
          <w:w w:val="105"/>
          <w:sz w:val="16"/>
        </w:rPr>
        <w:t>Jaimes</w:t>
      </w:r>
      <w:r>
        <w:rPr>
          <w:color w:val="231F20"/>
          <w:spacing w:val="-16"/>
          <w:w w:val="105"/>
          <w:sz w:val="16"/>
        </w:rPr>
        <w:t> </w:t>
      </w:r>
      <w:r>
        <w:rPr>
          <w:color w:val="231F20"/>
          <w:w w:val="105"/>
          <w:sz w:val="16"/>
        </w:rPr>
        <w:t>Estrada,</w:t>
      </w:r>
      <w:r>
        <w:rPr>
          <w:color w:val="231F20"/>
          <w:spacing w:val="-16"/>
          <w:w w:val="105"/>
          <w:sz w:val="16"/>
        </w:rPr>
        <w:t> </w:t>
      </w:r>
      <w:r>
        <w:rPr>
          <w:color w:val="231F20"/>
          <w:w w:val="105"/>
          <w:sz w:val="16"/>
        </w:rPr>
        <w:t>Orlando</w:t>
      </w:r>
      <w:r>
        <w:rPr>
          <w:color w:val="231F20"/>
          <w:spacing w:val="-16"/>
          <w:w w:val="105"/>
          <w:sz w:val="16"/>
        </w:rPr>
        <w:t> </w:t>
      </w:r>
      <w:r>
        <w:rPr>
          <w:color w:val="231F20"/>
          <w:w w:val="105"/>
          <w:sz w:val="16"/>
        </w:rPr>
        <w:t>Justino</w:t>
      </w:r>
    </w:p>
    <w:p>
      <w:pPr>
        <w:pStyle w:val="BodyText"/>
        <w:spacing w:before="7"/>
        <w:rPr>
          <w:sz w:val="15"/>
        </w:rPr>
      </w:pPr>
    </w:p>
    <w:p>
      <w:pPr>
        <w:spacing w:line="180" w:lineRule="exact" w:before="0"/>
        <w:ind w:left="904" w:right="0" w:hanging="61"/>
        <w:jc w:val="right"/>
        <w:rPr>
          <w:sz w:val="16"/>
        </w:rPr>
      </w:pPr>
      <w:r>
        <w:rPr>
          <w:rFonts w:ascii="Cambria" w:hAnsi="Cambria"/>
          <w:b/>
          <w:color w:val="231F20"/>
          <w:w w:val="105"/>
          <w:sz w:val="16"/>
        </w:rPr>
        <w:t>Editorial:</w:t>
      </w:r>
      <w:r>
        <w:rPr>
          <w:rFonts w:ascii="Cambria" w:hAnsi="Cambria"/>
          <w:b/>
          <w:color w:val="231F20"/>
          <w:spacing w:val="-24"/>
          <w:w w:val="105"/>
          <w:sz w:val="16"/>
        </w:rPr>
        <w:t> </w:t>
      </w:r>
      <w:r>
        <w:rPr>
          <w:color w:val="231F20"/>
          <w:w w:val="105"/>
          <w:sz w:val="16"/>
        </w:rPr>
        <w:t>Academia</w:t>
      </w:r>
      <w:r>
        <w:rPr>
          <w:color w:val="231F20"/>
          <w:spacing w:val="-29"/>
          <w:w w:val="105"/>
          <w:sz w:val="16"/>
        </w:rPr>
        <w:t> </w:t>
      </w:r>
      <w:r>
        <w:rPr>
          <w:color w:val="231F20"/>
          <w:w w:val="105"/>
          <w:sz w:val="16"/>
        </w:rPr>
        <w:t>Internacional</w:t>
      </w:r>
      <w:r>
        <w:rPr>
          <w:color w:val="231F20"/>
          <w:spacing w:val="-29"/>
          <w:w w:val="105"/>
          <w:sz w:val="16"/>
        </w:rPr>
        <w:t> </w:t>
      </w:r>
      <w:r>
        <w:rPr>
          <w:color w:val="231F20"/>
          <w:w w:val="105"/>
          <w:sz w:val="16"/>
        </w:rPr>
        <w:t>de</w:t>
      </w:r>
      <w:r>
        <w:rPr>
          <w:color w:val="231F20"/>
          <w:spacing w:val="-29"/>
          <w:w w:val="105"/>
          <w:sz w:val="16"/>
        </w:rPr>
        <w:t> </w:t>
      </w:r>
      <w:r>
        <w:rPr>
          <w:color w:val="231F20"/>
          <w:w w:val="105"/>
          <w:sz w:val="16"/>
        </w:rPr>
        <w:t>Ciencias</w:t>
      </w:r>
      <w:r>
        <w:rPr>
          <w:color w:val="231F20"/>
          <w:w w:val="99"/>
          <w:sz w:val="16"/>
        </w:rPr>
        <w:t> </w:t>
      </w:r>
      <w:r>
        <w:rPr>
          <w:color w:val="231F20"/>
          <w:w w:val="105"/>
          <w:sz w:val="16"/>
        </w:rPr>
        <w:t>Político-Administrativas</w:t>
      </w:r>
      <w:r>
        <w:rPr>
          <w:color w:val="231F20"/>
          <w:spacing w:val="-17"/>
          <w:w w:val="105"/>
          <w:sz w:val="16"/>
        </w:rPr>
        <w:t> </w:t>
      </w:r>
      <w:r>
        <w:rPr>
          <w:color w:val="231F20"/>
          <w:w w:val="105"/>
          <w:sz w:val="16"/>
        </w:rPr>
        <w:t>y</w:t>
      </w:r>
      <w:r>
        <w:rPr>
          <w:color w:val="231F20"/>
          <w:spacing w:val="-17"/>
          <w:w w:val="105"/>
          <w:sz w:val="16"/>
        </w:rPr>
        <w:t> </w:t>
      </w:r>
      <w:r>
        <w:rPr>
          <w:color w:val="231F20"/>
          <w:w w:val="105"/>
          <w:sz w:val="16"/>
        </w:rPr>
        <w:t>Estudios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Futuro</w:t>
      </w:r>
    </w:p>
    <w:p>
      <w:pPr>
        <w:pStyle w:val="BodyText"/>
        <w:spacing w:before="7"/>
        <w:rPr>
          <w:sz w:val="15"/>
        </w:rPr>
      </w:pPr>
    </w:p>
    <w:p>
      <w:pPr>
        <w:spacing w:line="180" w:lineRule="exact" w:before="0"/>
        <w:ind w:left="2396" w:right="0" w:hanging="130"/>
        <w:jc w:val="right"/>
        <w:rPr>
          <w:sz w:val="16"/>
        </w:rPr>
      </w:pPr>
      <w:r>
        <w:rPr>
          <w:rFonts w:ascii="Cambria" w:hAnsi="Cambria"/>
          <w:b/>
          <w:color w:val="231F20"/>
          <w:sz w:val="16"/>
        </w:rPr>
        <w:t>Materia: </w:t>
      </w:r>
      <w:r>
        <w:rPr>
          <w:color w:val="231F20"/>
          <w:sz w:val="16"/>
        </w:rPr>
        <w:t>Ciencia política</w:t>
      </w:r>
      <w:r>
        <w:rPr>
          <w:color w:val="231F20"/>
          <w:w w:val="102"/>
          <w:sz w:val="16"/>
        </w:rPr>
        <w:t> </w:t>
      </w:r>
      <w:r>
        <w:rPr>
          <w:color w:val="231F20"/>
          <w:sz w:val="16"/>
        </w:rPr>
        <w:t>(Política y gobierno)</w:t>
      </w:r>
    </w:p>
    <w:p>
      <w:pPr>
        <w:pStyle w:val="BodyText"/>
        <w:spacing w:before="11"/>
        <w:rPr>
          <w:sz w:val="14"/>
        </w:rPr>
      </w:pPr>
    </w:p>
    <w:p>
      <w:pPr>
        <w:spacing w:before="0"/>
        <w:ind w:left="0" w:right="0" w:firstLine="0"/>
        <w:jc w:val="right"/>
        <w:rPr>
          <w:sz w:val="16"/>
        </w:rPr>
      </w:pPr>
      <w:r>
        <w:rPr>
          <w:rFonts w:ascii="Cambria"/>
          <w:b/>
          <w:color w:val="231F20"/>
          <w:w w:val="95"/>
          <w:sz w:val="16"/>
        </w:rPr>
        <w:t>Publicado:  </w:t>
      </w:r>
      <w:r>
        <w:rPr>
          <w:color w:val="231F20"/>
          <w:w w:val="95"/>
          <w:sz w:val="16"/>
        </w:rPr>
        <w:t>2016-02-04</w:t>
      </w:r>
    </w:p>
    <w:p>
      <w:pPr>
        <w:pStyle w:val="BodyText"/>
        <w:spacing w:before="11"/>
        <w:rPr>
          <w:sz w:val="14"/>
        </w:rPr>
      </w:pPr>
    </w:p>
    <w:p>
      <w:pPr>
        <w:spacing w:before="0"/>
        <w:ind w:left="0" w:right="0" w:firstLine="0"/>
        <w:jc w:val="right"/>
        <w:rPr>
          <w:sz w:val="16"/>
        </w:rPr>
      </w:pPr>
      <w:r>
        <w:rPr>
          <w:rFonts w:ascii="Cambria" w:hAnsi="Cambria"/>
          <w:b/>
          <w:color w:val="231F20"/>
          <w:sz w:val="16"/>
        </w:rPr>
        <w:t>Nº Edición: </w:t>
      </w:r>
      <w:r>
        <w:rPr>
          <w:color w:val="231F20"/>
          <w:sz w:val="16"/>
        </w:rPr>
        <w:t>1</w:t>
      </w:r>
    </w:p>
    <w:p>
      <w:pPr>
        <w:pStyle w:val="BodyText"/>
        <w:spacing w:before="7"/>
        <w:rPr>
          <w:sz w:val="13"/>
        </w:rPr>
      </w:pPr>
    </w:p>
    <w:p>
      <w:pPr>
        <w:spacing w:line="400" w:lineRule="auto" w:before="0"/>
        <w:ind w:left="1469" w:right="0" w:firstLine="1304"/>
        <w:jc w:val="right"/>
        <w:rPr>
          <w:rFonts w:ascii="Palatino Linotype" w:hAnsi="Palatino Linotype"/>
          <w:i/>
          <w:sz w:val="16"/>
        </w:rPr>
      </w:pPr>
      <w:r>
        <w:rPr>
          <w:rFonts w:ascii="Palatino Linotype" w:hAnsi="Palatino Linotype"/>
          <w:b/>
          <w:color w:val="231F20"/>
          <w:sz w:val="16"/>
        </w:rPr>
        <w:t>Idioma: </w:t>
      </w:r>
      <w:r>
        <w:rPr>
          <w:color w:val="231F20"/>
          <w:sz w:val="16"/>
        </w:rPr>
        <w:t>Español</w:t>
      </w:r>
      <w:r>
        <w:rPr>
          <w:color w:val="231F20"/>
          <w:w w:val="104"/>
          <w:sz w:val="16"/>
        </w:rPr>
        <w:t> </w:t>
      </w:r>
      <w:r>
        <w:rPr>
          <w:color w:val="231F20"/>
          <w:w w:val="105"/>
          <w:sz w:val="16"/>
        </w:rPr>
        <w:t>Hecho en México / </w:t>
      </w:r>
      <w:r>
        <w:rPr>
          <w:rFonts w:ascii="Palatino Linotype" w:hAnsi="Palatino Linotype"/>
          <w:i/>
          <w:color w:val="231F20"/>
          <w:w w:val="105"/>
          <w:sz w:val="16"/>
        </w:rPr>
        <w:t>Made in Mexico</w:t>
      </w:r>
    </w:p>
    <w:p>
      <w:pPr>
        <w:pStyle w:val="BodyText"/>
        <w:spacing w:before="7"/>
        <w:rPr>
          <w:rFonts w:ascii="Palatino Linotype"/>
          <w:i/>
        </w:rPr>
      </w:pPr>
    </w:p>
    <w:p>
      <w:pPr>
        <w:spacing w:line="220" w:lineRule="exact" w:before="0"/>
        <w:ind w:left="110" w:right="0" w:firstLine="0"/>
        <w:jc w:val="both"/>
        <w:rPr>
          <w:sz w:val="16"/>
        </w:rPr>
      </w:pPr>
      <w:r>
        <w:rPr>
          <w:color w:val="231F20"/>
          <w:w w:val="105"/>
          <w:sz w:val="16"/>
        </w:rPr>
        <w:t>Este trabajo es un producto editorial del proyecto de investigación denominado: </w:t>
      </w:r>
      <w:r>
        <w:rPr>
          <w:rFonts w:ascii="Palatino Linotype" w:hAnsi="Palatino Linotype"/>
          <w:i/>
          <w:color w:val="231F20"/>
          <w:w w:val="105"/>
          <w:sz w:val="16"/>
        </w:rPr>
        <w:t>Los partidos políticos en el </w:t>
      </w:r>
      <w:r>
        <w:rPr>
          <w:rFonts w:ascii="Palatino Linotype" w:hAnsi="Palatino Linotype"/>
          <w:i/>
          <w:color w:val="231F20"/>
          <w:w w:val="105"/>
          <w:sz w:val="16"/>
        </w:rPr>
        <w:t>Estado de México: desarrollo, gestión gubernamental, trabajo legislativo y democracia interna</w:t>
      </w:r>
      <w:r>
        <w:rPr>
          <w:color w:val="231F20"/>
          <w:w w:val="105"/>
          <w:sz w:val="16"/>
        </w:rPr>
        <w:t>, auspiciado por el Comité Académico del Instituto Electoral del Estado de México.</w:t>
      </w:r>
    </w:p>
    <w:p>
      <w:pPr>
        <w:pStyle w:val="BodyText"/>
        <w:spacing w:before="2"/>
        <w:rPr>
          <w:sz w:val="6"/>
        </w:rPr>
      </w:pPr>
      <w:r>
        <w:rPr/>
        <w:br w:type="column"/>
      </w:r>
      <w:r>
        <w:rPr>
          <w:sz w:val="6"/>
        </w:rPr>
      </w:r>
    </w:p>
    <w:p>
      <w:pPr>
        <w:pStyle w:val="BodyText"/>
        <w:ind w:left="1022"/>
        <w:rPr>
          <w:sz w:val="20"/>
        </w:rPr>
      </w:pPr>
      <w:r>
        <w:rPr>
          <w:sz w:val="20"/>
        </w:rPr>
        <w:drawing>
          <wp:inline distT="0" distB="0" distL="0" distR="0">
            <wp:extent cx="1242542" cy="576262"/>
            <wp:effectExtent l="0" t="0" r="0" b="0"/>
            <wp:docPr id="5" name="image11.png" descr=""/>
            <wp:cNvGraphicFramePr>
              <a:graphicFrameLocks noChangeAspect="1"/>
            </wp:cNvGraphicFramePr>
            <a:graphic>
              <a:graphicData uri="http://schemas.openxmlformats.org/drawingml/2006/picture">
                <pic:pic>
                  <pic:nvPicPr>
                    <pic:cNvPr id="6" name="image11.png"/>
                    <pic:cNvPicPr/>
                  </pic:nvPicPr>
                  <pic:blipFill>
                    <a:blip r:embed="rId15" cstate="print"/>
                    <a:stretch>
                      <a:fillRect/>
                    </a:stretch>
                  </pic:blipFill>
                  <pic:spPr>
                    <a:xfrm>
                      <a:off x="0" y="0"/>
                      <a:ext cx="1242542" cy="576262"/>
                    </a:xfrm>
                    <a:prstGeom prst="rect">
                      <a:avLst/>
                    </a:prstGeom>
                  </pic:spPr>
                </pic:pic>
              </a:graphicData>
            </a:graphic>
          </wp:inline>
        </w:drawing>
      </w:r>
      <w:r>
        <w:rPr>
          <w:sz w:val="20"/>
        </w:rPr>
      </w:r>
    </w:p>
    <w:p>
      <w:pPr>
        <w:pStyle w:val="BodyText"/>
        <w:rPr>
          <w:sz w:val="16"/>
        </w:rPr>
      </w:pPr>
    </w:p>
    <w:p>
      <w:pPr>
        <w:pStyle w:val="BodyText"/>
        <w:rPr>
          <w:sz w:val="16"/>
        </w:rPr>
      </w:pPr>
    </w:p>
    <w:p>
      <w:pPr>
        <w:pStyle w:val="BodyText"/>
        <w:spacing w:before="2"/>
        <w:rPr>
          <w:sz w:val="17"/>
        </w:rPr>
      </w:pPr>
    </w:p>
    <w:p>
      <w:pPr>
        <w:spacing w:line="266" w:lineRule="auto" w:before="0"/>
        <w:ind w:left="110" w:right="108" w:firstLine="0"/>
        <w:jc w:val="both"/>
        <w:rPr>
          <w:sz w:val="16"/>
        </w:rPr>
      </w:pPr>
      <w:r>
        <w:rPr>
          <w:color w:val="231F20"/>
          <w:w w:val="105"/>
          <w:sz w:val="16"/>
        </w:rPr>
        <w:t>La Academia Internacional de Ciencias Político Admi- </w:t>
      </w:r>
      <w:r>
        <w:rPr>
          <w:color w:val="231F20"/>
          <w:spacing w:val="2"/>
          <w:w w:val="105"/>
          <w:sz w:val="16"/>
        </w:rPr>
        <w:t>nistrativas </w:t>
      </w:r>
      <w:r>
        <w:rPr>
          <w:color w:val="231F20"/>
          <w:w w:val="105"/>
          <w:sz w:val="16"/>
        </w:rPr>
        <w:t>y Estudios de Futuro, ac (aicpaef) o </w:t>
      </w:r>
      <w:r>
        <w:rPr>
          <w:rFonts w:ascii="Palatino Linotype" w:hAnsi="Palatino Linotype"/>
          <w:i/>
          <w:color w:val="231F20"/>
          <w:w w:val="105"/>
          <w:sz w:val="16"/>
        </w:rPr>
        <w:t>Inter- </w:t>
      </w:r>
      <w:r>
        <w:rPr>
          <w:rFonts w:ascii="Palatino Linotype" w:hAnsi="Palatino Linotype"/>
          <w:i/>
          <w:color w:val="231F20"/>
          <w:w w:val="105"/>
          <w:sz w:val="16"/>
        </w:rPr>
        <w:t>national</w:t>
      </w:r>
      <w:r>
        <w:rPr>
          <w:rFonts w:ascii="Palatino Linotype" w:hAnsi="Palatino Linotype"/>
          <w:i/>
          <w:color w:val="231F20"/>
          <w:spacing w:val="-9"/>
          <w:w w:val="105"/>
          <w:sz w:val="16"/>
        </w:rPr>
        <w:t> </w:t>
      </w:r>
      <w:r>
        <w:rPr>
          <w:rFonts w:ascii="Palatino Linotype" w:hAnsi="Palatino Linotype"/>
          <w:i/>
          <w:color w:val="231F20"/>
          <w:w w:val="105"/>
          <w:sz w:val="16"/>
        </w:rPr>
        <w:t>Academy</w:t>
      </w:r>
      <w:r>
        <w:rPr>
          <w:rFonts w:ascii="Palatino Linotype" w:hAnsi="Palatino Linotype"/>
          <w:i/>
          <w:color w:val="231F20"/>
          <w:spacing w:val="-9"/>
          <w:w w:val="105"/>
          <w:sz w:val="16"/>
        </w:rPr>
        <w:t> </w:t>
      </w:r>
      <w:r>
        <w:rPr>
          <w:rFonts w:ascii="Palatino Linotype" w:hAnsi="Palatino Linotype"/>
          <w:i/>
          <w:color w:val="231F20"/>
          <w:w w:val="105"/>
          <w:sz w:val="16"/>
        </w:rPr>
        <w:t>of</w:t>
      </w:r>
      <w:r>
        <w:rPr>
          <w:rFonts w:ascii="Palatino Linotype" w:hAnsi="Palatino Linotype"/>
          <w:i/>
          <w:color w:val="231F20"/>
          <w:spacing w:val="-9"/>
          <w:w w:val="105"/>
          <w:sz w:val="16"/>
        </w:rPr>
        <w:t> </w:t>
      </w:r>
      <w:r>
        <w:rPr>
          <w:rFonts w:ascii="Palatino Linotype" w:hAnsi="Palatino Linotype"/>
          <w:i/>
          <w:color w:val="231F20"/>
          <w:w w:val="105"/>
          <w:sz w:val="16"/>
        </w:rPr>
        <w:t>Political</w:t>
      </w:r>
      <w:r>
        <w:rPr>
          <w:rFonts w:ascii="Palatino Linotype" w:hAnsi="Palatino Linotype"/>
          <w:i/>
          <w:color w:val="231F20"/>
          <w:spacing w:val="-9"/>
          <w:w w:val="105"/>
          <w:sz w:val="16"/>
        </w:rPr>
        <w:t> </w:t>
      </w:r>
      <w:r>
        <w:rPr>
          <w:rFonts w:ascii="Palatino Linotype" w:hAnsi="Palatino Linotype"/>
          <w:i/>
          <w:color w:val="231F20"/>
          <w:w w:val="105"/>
          <w:sz w:val="16"/>
        </w:rPr>
        <w:t>&amp;</w:t>
      </w:r>
      <w:r>
        <w:rPr>
          <w:rFonts w:ascii="Palatino Linotype" w:hAnsi="Palatino Linotype"/>
          <w:i/>
          <w:color w:val="231F20"/>
          <w:spacing w:val="-9"/>
          <w:w w:val="105"/>
          <w:sz w:val="16"/>
        </w:rPr>
        <w:t> </w:t>
      </w:r>
      <w:r>
        <w:rPr>
          <w:rFonts w:ascii="Palatino Linotype" w:hAnsi="Palatino Linotype"/>
          <w:i/>
          <w:color w:val="231F20"/>
          <w:w w:val="105"/>
          <w:sz w:val="16"/>
        </w:rPr>
        <w:t>Administrative</w:t>
      </w:r>
      <w:r>
        <w:rPr>
          <w:rFonts w:ascii="Palatino Linotype" w:hAnsi="Palatino Linotype"/>
          <w:i/>
          <w:color w:val="231F20"/>
          <w:spacing w:val="-9"/>
          <w:w w:val="105"/>
          <w:sz w:val="16"/>
        </w:rPr>
        <w:t> </w:t>
      </w:r>
      <w:r>
        <w:rPr>
          <w:rFonts w:ascii="Palatino Linotype" w:hAnsi="Palatino Linotype"/>
          <w:i/>
          <w:color w:val="231F20"/>
          <w:w w:val="105"/>
          <w:sz w:val="16"/>
        </w:rPr>
        <w:t>Sciences and Future </w:t>
      </w:r>
      <w:r>
        <w:rPr>
          <w:rFonts w:ascii="Palatino Linotype" w:hAnsi="Palatino Linotype"/>
          <w:i/>
          <w:color w:val="231F20"/>
          <w:spacing w:val="2"/>
          <w:w w:val="105"/>
          <w:sz w:val="16"/>
        </w:rPr>
        <w:t>Studies </w:t>
      </w:r>
      <w:r>
        <w:rPr>
          <w:color w:val="231F20"/>
          <w:w w:val="105"/>
          <w:sz w:val="16"/>
        </w:rPr>
        <w:t>(iapas-fs) -por su denominación y </w:t>
      </w:r>
      <w:r>
        <w:rPr>
          <w:color w:val="231F20"/>
          <w:spacing w:val="2"/>
          <w:w w:val="105"/>
          <w:sz w:val="16"/>
        </w:rPr>
        <w:t>siglas </w:t>
      </w:r>
      <w:r>
        <w:rPr>
          <w:color w:val="231F20"/>
          <w:w w:val="105"/>
          <w:sz w:val="16"/>
        </w:rPr>
        <w:t>en </w:t>
      </w:r>
      <w:r>
        <w:rPr>
          <w:color w:val="231F20"/>
          <w:spacing w:val="2"/>
          <w:w w:val="105"/>
          <w:sz w:val="16"/>
        </w:rPr>
        <w:t>inglés- </w:t>
      </w:r>
      <w:r>
        <w:rPr>
          <w:color w:val="231F20"/>
          <w:w w:val="105"/>
          <w:sz w:val="16"/>
        </w:rPr>
        <w:t>es </w:t>
      </w:r>
      <w:r>
        <w:rPr>
          <w:color w:val="231F20"/>
          <w:spacing w:val="2"/>
          <w:w w:val="105"/>
          <w:sz w:val="16"/>
        </w:rPr>
        <w:t>una </w:t>
      </w:r>
      <w:r>
        <w:rPr>
          <w:color w:val="231F20"/>
          <w:w w:val="105"/>
          <w:sz w:val="16"/>
        </w:rPr>
        <w:t>iniciativa impulsada por </w:t>
      </w:r>
      <w:r>
        <w:rPr>
          <w:color w:val="231F20"/>
          <w:spacing w:val="2"/>
          <w:w w:val="105"/>
          <w:sz w:val="16"/>
        </w:rPr>
        <w:t>una </w:t>
      </w:r>
      <w:r>
        <w:rPr>
          <w:color w:val="231F20"/>
          <w:w w:val="105"/>
          <w:sz w:val="16"/>
        </w:rPr>
        <w:t>red de investigadores a nivel internacional, para contribuir  </w:t>
      </w:r>
      <w:r>
        <w:rPr>
          <w:color w:val="231F20"/>
          <w:spacing w:val="2"/>
          <w:w w:val="105"/>
          <w:sz w:val="16"/>
        </w:rPr>
        <w:t>al </w:t>
      </w:r>
      <w:r>
        <w:rPr>
          <w:color w:val="231F20"/>
          <w:w w:val="105"/>
          <w:sz w:val="16"/>
        </w:rPr>
        <w:t>debate y la generación de nuevo conocimiento en </w:t>
      </w:r>
      <w:r>
        <w:rPr>
          <w:color w:val="231F20"/>
          <w:spacing w:val="2"/>
          <w:w w:val="105"/>
          <w:sz w:val="16"/>
        </w:rPr>
        <w:t>las </w:t>
      </w:r>
      <w:r>
        <w:rPr>
          <w:color w:val="231F20"/>
          <w:w w:val="105"/>
          <w:sz w:val="16"/>
        </w:rPr>
        <w:t>ciencias político </w:t>
      </w:r>
      <w:r>
        <w:rPr>
          <w:color w:val="231F20"/>
          <w:spacing w:val="2"/>
          <w:w w:val="105"/>
          <w:sz w:val="16"/>
        </w:rPr>
        <w:t>administrativas </w:t>
      </w:r>
      <w:r>
        <w:rPr>
          <w:color w:val="231F20"/>
          <w:w w:val="105"/>
          <w:sz w:val="16"/>
        </w:rPr>
        <w:t>y escenarios de </w:t>
      </w:r>
      <w:r>
        <w:rPr>
          <w:color w:val="231F20"/>
          <w:spacing w:val="26"/>
          <w:w w:val="105"/>
          <w:sz w:val="16"/>
        </w:rPr>
        <w:t> </w:t>
      </w:r>
      <w:r>
        <w:rPr>
          <w:color w:val="231F20"/>
          <w:spacing w:val="2"/>
          <w:w w:val="105"/>
          <w:sz w:val="16"/>
        </w:rPr>
        <w:t>futuro</w:t>
      </w:r>
    </w:p>
    <w:p>
      <w:pPr>
        <w:spacing w:before="22"/>
        <w:ind w:left="110" w:right="1423" w:firstLine="0"/>
        <w:jc w:val="left"/>
        <w:rPr>
          <w:sz w:val="16"/>
        </w:rPr>
      </w:pPr>
      <w:r>
        <w:rPr>
          <w:color w:val="231F20"/>
          <w:w w:val="105"/>
          <w:sz w:val="16"/>
        </w:rPr>
        <w:t>en favor del desarrollo.</w:t>
      </w:r>
    </w:p>
    <w:p>
      <w:pPr>
        <w:pStyle w:val="BodyText"/>
        <w:spacing w:before="5"/>
        <w:rPr>
          <w:sz w:val="17"/>
        </w:rPr>
      </w:pPr>
    </w:p>
    <w:p>
      <w:pPr>
        <w:spacing w:before="1"/>
        <w:ind w:left="110" w:right="1423" w:firstLine="0"/>
        <w:jc w:val="left"/>
        <w:rPr>
          <w:rFonts w:ascii="Cambria"/>
          <w:b/>
          <w:sz w:val="16"/>
        </w:rPr>
      </w:pPr>
      <w:hyperlink r:id="rId16">
        <w:r>
          <w:rPr>
            <w:rFonts w:ascii="Cambria"/>
            <w:b/>
            <w:color w:val="231F20"/>
            <w:sz w:val="16"/>
          </w:rPr>
          <w:t>www.iapas.mx</w:t>
        </w:r>
      </w:hyperlink>
    </w:p>
    <w:p>
      <w:pPr>
        <w:spacing w:line="254" w:lineRule="auto" w:before="10"/>
        <w:ind w:left="110" w:right="1423" w:firstLine="0"/>
        <w:jc w:val="left"/>
        <w:rPr>
          <w:rFonts w:ascii="Cambria"/>
          <w:b/>
          <w:sz w:val="16"/>
        </w:rPr>
      </w:pPr>
      <w:r>
        <w:rPr>
          <w:rFonts w:ascii="Cambria"/>
          <w:b/>
          <w:color w:val="231F20"/>
          <w:sz w:val="16"/>
        </w:rPr>
        <w:t>Email: </w:t>
      </w:r>
      <w:hyperlink r:id="rId17">
        <w:r>
          <w:rPr>
            <w:color w:val="231F20"/>
            <w:sz w:val="16"/>
          </w:rPr>
          <w:t>jorge.perez@iapas.mx</w:t>
        </w:r>
      </w:hyperlink>
      <w:r>
        <w:rPr>
          <w:color w:val="231F20"/>
          <w:sz w:val="16"/>
        </w:rPr>
        <w:t> </w:t>
      </w:r>
      <w:r>
        <w:rPr>
          <w:rFonts w:ascii="Cambria"/>
          <w:b/>
          <w:color w:val="231F20"/>
          <w:sz w:val="16"/>
        </w:rPr>
        <w:t>Twitter: @iapasfs Facebook.com/IAPASF</w:t>
      </w:r>
    </w:p>
    <w:p>
      <w:pPr>
        <w:pStyle w:val="BodyText"/>
        <w:rPr>
          <w:rFonts w:ascii="Cambria"/>
          <w:b/>
          <w:sz w:val="16"/>
        </w:rPr>
      </w:pPr>
    </w:p>
    <w:p>
      <w:pPr>
        <w:spacing w:before="97"/>
        <w:ind w:left="110" w:right="1423" w:firstLine="0"/>
        <w:jc w:val="left"/>
        <w:rPr>
          <w:sz w:val="16"/>
        </w:rPr>
      </w:pPr>
      <w:r>
        <w:rPr>
          <w:color w:val="231F20"/>
          <w:w w:val="105"/>
          <w:sz w:val="16"/>
        </w:rPr>
        <w:t>Documento editado y preparado por:</w:t>
      </w:r>
    </w:p>
    <w:p>
      <w:pPr>
        <w:spacing w:before="8"/>
        <w:ind w:left="110" w:right="147" w:firstLine="0"/>
        <w:jc w:val="left"/>
        <w:rPr>
          <w:sz w:val="16"/>
        </w:rPr>
      </w:pPr>
      <w:r>
        <w:rPr>
          <w:color w:val="231F20"/>
          <w:sz w:val="16"/>
        </w:rPr>
        <w:t>Miguel Sánchez Ramos y Francisco Reveles Vázquez</w:t>
      </w:r>
    </w:p>
    <w:p>
      <w:pPr>
        <w:pStyle w:val="BodyText"/>
        <w:spacing w:before="4"/>
        <w:rPr>
          <w:sz w:val="17"/>
        </w:rPr>
      </w:pPr>
    </w:p>
    <w:p>
      <w:pPr>
        <w:spacing w:before="0"/>
        <w:ind w:left="110" w:right="147" w:firstLine="0"/>
        <w:jc w:val="left"/>
        <w:rPr>
          <w:sz w:val="16"/>
        </w:rPr>
      </w:pPr>
      <w:r>
        <w:rPr>
          <w:color w:val="231F20"/>
          <w:w w:val="105"/>
          <w:sz w:val="16"/>
        </w:rPr>
        <w:t>Antiguo Camino a San Pedro Mártir No. 42,</w:t>
      </w:r>
    </w:p>
    <w:p>
      <w:pPr>
        <w:spacing w:line="249" w:lineRule="auto" w:before="8"/>
        <w:ind w:left="110" w:right="147" w:firstLine="0"/>
        <w:jc w:val="left"/>
        <w:rPr>
          <w:sz w:val="16"/>
        </w:rPr>
      </w:pPr>
      <w:r>
        <w:rPr>
          <w:color w:val="231F20"/>
          <w:sz w:val="16"/>
        </w:rPr>
        <w:t>Casa 5, Colonia Villa Tlalpan, Delegación Tlalpan. México, Distrito Federal, 14630, México</w:t>
      </w:r>
    </w:p>
    <w:p>
      <w:pPr>
        <w:pStyle w:val="BodyText"/>
        <w:spacing w:before="8"/>
        <w:rPr>
          <w:sz w:val="16"/>
        </w:rPr>
      </w:pPr>
    </w:p>
    <w:p>
      <w:pPr>
        <w:spacing w:before="1"/>
        <w:ind w:left="110" w:right="1423" w:firstLine="0"/>
        <w:jc w:val="left"/>
        <w:rPr>
          <w:sz w:val="16"/>
        </w:rPr>
      </w:pPr>
      <w:r>
        <w:rPr>
          <w:color w:val="231F20"/>
          <w:w w:val="95"/>
          <w:sz w:val="16"/>
        </w:rPr>
        <w:t>RENIECYT NO. 2014/19119</w:t>
      </w:r>
    </w:p>
    <w:p>
      <w:pPr>
        <w:spacing w:after="0"/>
        <w:jc w:val="left"/>
        <w:rPr>
          <w:sz w:val="16"/>
        </w:rPr>
        <w:sectPr>
          <w:pgSz w:w="9640" w:h="12190"/>
          <w:pgMar w:top="1120" w:bottom="280" w:left="740" w:right="740"/>
          <w:cols w:num="2" w:equalWidth="0">
            <w:col w:w="3938" w:space="172"/>
            <w:col w:w="4050"/>
          </w:cols>
        </w:sectPr>
      </w:pPr>
    </w:p>
    <w:p>
      <w:pPr>
        <w:pStyle w:val="BodyText"/>
        <w:spacing w:before="6"/>
        <w:rPr>
          <w:sz w:val="18"/>
        </w:rPr>
      </w:pPr>
    </w:p>
    <w:p>
      <w:pPr>
        <w:pStyle w:val="BodyText"/>
        <w:ind w:left="110"/>
        <w:rPr>
          <w:sz w:val="20"/>
        </w:rPr>
      </w:pPr>
      <w:r>
        <w:rPr>
          <w:sz w:val="20"/>
        </w:rPr>
        <w:pict>
          <v:group style="width:70.350pt;height:24.65pt;mso-position-horizontal-relative:char;mso-position-vertical-relative:line" coordorigin="0,0" coordsize="1407,493">
            <v:shape style="position:absolute;left:0;top:0;width:1407;height:493" coordorigin="0,0" coordsize="1407,493" path="m1395,0l12,0,0,12,0,490,3,492,1404,492,1407,490,1407,12,1395,0xe" filled="true" fillcolor="#020302" stroked="false">
              <v:path arrowok="t"/>
              <v:fill type="solid"/>
            </v:shape>
            <v:shape style="position:absolute;left:12;top:12;width:1384;height:442" coordorigin="12,12" coordsize="1384,442" path="m427,345l63,345,95,389,138,423,188,445,245,453,301,445,352,423,395,389,427,345xm1389,12l18,12,12,18,12,345,1395,345,1395,18,1389,12xe" filled="true" fillcolor="#d1d3d4" stroked="false">
              <v:path arrowok="t"/>
              <v:fill type="solid"/>
            </v:shape>
            <v:shape style="position:absolute;left:527;top:384;width:66;height:78" coordorigin="527,384" coordsize="66,78" path="m568,384l527,384,527,462,568,462,572,461,578,459,581,458,587,454,589,452,591,448,544,448,544,427,589,427,587,423,583,421,578,419,582,418,584,416,584,415,544,415,544,397,588,397,588,397,587,394,586,392,584,390,580,387,577,386,571,384,568,384xm589,427l567,427,570,428,574,431,575,434,575,440,575,442,574,444,573,445,570,447,569,447,566,448,563,448,591,448,592,446,592,443,592,434,591,430,589,427xm588,397l544,397,563,397,566,398,567,398,570,400,570,401,572,403,572,404,572,409,571,412,567,415,565,415,584,415,588,410,589,407,589,400,588,397xe" filled="true" fillcolor="#ffffff" stroked="false">
              <v:path arrowok="t"/>
              <v:fill type="solid"/>
            </v:shape>
            <v:shape style="position:absolute;left:595;top:384;width:75;height:78" coordorigin="595,384" coordsize="75,78" path="m615,384l595,384,624,431,624,462,641,462,641,432,651,415,633,415,615,384xm670,384l651,384,633,415,651,415,670,384xe" filled="true" fillcolor="#ffffff" stroked="false">
              <v:path arrowok="t"/>
              <v:fill type="solid"/>
            </v:shape>
            <v:shape style="position:absolute;left:833;top:384;width:66;height:78" coordorigin="833,384" coordsize="66,78" path="m850,384l833,384,833,462,849,462,849,410,866,410,850,384xm866,410l849,410,882,462,899,462,899,436,883,436,866,410xm899,384l883,384,883,436,899,436,899,384xe" filled="true" fillcolor="#ffffff" stroked="false">
              <v:path arrowok="t"/>
              <v:fill type="solid"/>
            </v:shape>
            <v:shape style="position:absolute;left:911;top:382;width:73;height:82" coordorigin="911,382" coordsize="73,82" path="m953,382l943,382,937,383,928,387,924,390,917,398,915,402,911,412,911,416,911,429,911,434,915,444,917,448,924,455,928,458,937,462,943,463,953,463,958,463,966,460,969,458,975,452,977,449,945,449,942,448,936,445,934,443,931,438,929,436,928,429,928,426,928,420,928,416,929,410,931,407,934,402,936,400,942,397,945,396,978,396,976,395,974,392,971,389,968,387,965,385,957,383,953,382xm983,432l966,432,966,437,964,441,958,447,954,449,977,449,978,449,981,441,982,437,982,436,983,432xm978,396l951,396,953,397,957,398,958,399,961,402,963,403,965,406,965,408,966,410,982,410,982,406,980,402,978,396xe" filled="true" fillcolor="#ffffff" stroked="false">
              <v:path arrowok="t"/>
              <v:fill type="solid"/>
            </v:shape>
            <v:shape style="position:absolute;left:1136;top:384;width:66;height:78" coordorigin="1136,384" coordsize="66,78" path="m1153,384l1136,384,1136,462,1152,462,1152,410,1169,410,1153,384xm1169,410l1152,410,1185,462,1202,462,1202,436,1186,436,1169,410xm1202,384l1186,384,1186,436,1202,436,1202,384xe" filled="true" fillcolor="#ffffff" stroked="false">
              <v:path arrowok="t"/>
              <v:fill type="solid"/>
            </v:shape>
            <v:shape style="position:absolute;left:1217;top:384;width:69;height:78" coordorigin="1217,384" coordsize="69,78" path="m1255,384l1217,384,1217,462,1256,462,1261,461,1270,457,1274,454,1279,447,1234,447,1234,398,1280,398,1279,397,1272,390,1269,388,1260,385,1255,384xm1280,398l1250,398,1254,399,1260,401,1262,403,1265,408,1267,410,1268,417,1268,420,1268,428,1268,432,1266,438,1264,440,1261,444,1259,445,1254,447,1252,447,1279,447,1280,447,1282,443,1283,438,1285,433,1286,428,1286,416,1285,410,1281,401,1280,398xe" filled="true" fillcolor="#ffffff" stroked="false">
              <v:path arrowok="t"/>
              <v:fill type="solid"/>
            </v:shape>
            <v:shape style="position:absolute;left:62;top:46;width:366;height:367" type="#_x0000_t75" stroked="false">
              <v:imagedata r:id="rId18" o:title=""/>
            </v:shape>
            <v:shape style="position:absolute;left:777;top:40;width:272;height:272" type="#_x0000_t75" stroked="false">
              <v:imagedata r:id="rId19" o:title=""/>
            </v:shape>
            <v:shape style="position:absolute;left:1083;top:40;width:272;height:272" type="#_x0000_t75" stroked="false">
              <v:imagedata r:id="rId20" o:title=""/>
            </v:shape>
            <v:shape style="position:absolute;left:471;top:40;width:272;height:272" type="#_x0000_t75" stroked="false">
              <v:imagedata r:id="rId21" o:title=""/>
            </v:shape>
          </v:group>
        </w:pict>
      </w:r>
      <w:r>
        <w:rPr>
          <w:sz w:val="20"/>
        </w:rPr>
      </w:r>
    </w:p>
    <w:p>
      <w:pPr>
        <w:pStyle w:val="BodyText"/>
        <w:spacing w:before="7"/>
        <w:rPr>
          <w:sz w:val="9"/>
        </w:rPr>
      </w:pPr>
    </w:p>
    <w:p>
      <w:pPr>
        <w:spacing w:line="180" w:lineRule="exact" w:before="59"/>
        <w:ind w:left="110" w:right="108" w:firstLine="0"/>
        <w:jc w:val="both"/>
        <w:rPr>
          <w:sz w:val="16"/>
        </w:rPr>
      </w:pPr>
      <w:r>
        <w:rPr/>
        <w:drawing>
          <wp:anchor distT="0" distB="0" distL="0" distR="0" allowOverlap="1" layoutInCell="1" locked="0" behindDoc="0" simplePos="0" relativeHeight="1096">
            <wp:simplePos x="0" y="0"/>
            <wp:positionH relativeFrom="page">
              <wp:posOffset>3642029</wp:posOffset>
            </wp:positionH>
            <wp:positionV relativeFrom="paragraph">
              <wp:posOffset>-979275</wp:posOffset>
            </wp:positionV>
            <wp:extent cx="1285200" cy="812343"/>
            <wp:effectExtent l="0" t="0" r="0" b="0"/>
            <wp:wrapNone/>
            <wp:docPr id="7" name="image16.png" descr=""/>
            <wp:cNvGraphicFramePr>
              <a:graphicFrameLocks noChangeAspect="1"/>
            </wp:cNvGraphicFramePr>
            <a:graphic>
              <a:graphicData uri="http://schemas.openxmlformats.org/drawingml/2006/picture">
                <pic:pic>
                  <pic:nvPicPr>
                    <pic:cNvPr id="8" name="image16.png"/>
                    <pic:cNvPicPr/>
                  </pic:nvPicPr>
                  <pic:blipFill>
                    <a:blip r:embed="rId22" cstate="print"/>
                    <a:stretch>
                      <a:fillRect/>
                    </a:stretch>
                  </pic:blipFill>
                  <pic:spPr>
                    <a:xfrm>
                      <a:off x="0" y="0"/>
                      <a:ext cx="1285200" cy="812343"/>
                    </a:xfrm>
                    <a:prstGeom prst="rect">
                      <a:avLst/>
                    </a:prstGeom>
                  </pic:spPr>
                </pic:pic>
              </a:graphicData>
            </a:graphic>
          </wp:anchor>
        </w:drawing>
      </w:r>
      <w:r>
        <w:rPr>
          <w:color w:val="231F20"/>
          <w:w w:val="105"/>
          <w:sz w:val="16"/>
        </w:rPr>
        <w:t>Licencia</w:t>
      </w:r>
      <w:r>
        <w:rPr>
          <w:color w:val="231F20"/>
          <w:spacing w:val="-10"/>
          <w:w w:val="105"/>
          <w:sz w:val="16"/>
        </w:rPr>
        <w:t> </w:t>
      </w:r>
      <w:r>
        <w:rPr>
          <w:rFonts w:ascii="Palatino Linotype" w:hAnsi="Palatino Linotype"/>
          <w:i/>
          <w:color w:val="231F20"/>
          <w:w w:val="105"/>
          <w:sz w:val="16"/>
        </w:rPr>
        <w:t>Creative</w:t>
      </w:r>
      <w:r>
        <w:rPr>
          <w:rFonts w:ascii="Palatino Linotype" w:hAnsi="Palatino Linotype"/>
          <w:i/>
          <w:color w:val="231F20"/>
          <w:spacing w:val="-10"/>
          <w:w w:val="105"/>
          <w:sz w:val="16"/>
        </w:rPr>
        <w:t> </w:t>
      </w:r>
      <w:r>
        <w:rPr>
          <w:rFonts w:ascii="Palatino Linotype" w:hAnsi="Palatino Linotype"/>
          <w:i/>
          <w:color w:val="231F20"/>
          <w:w w:val="105"/>
          <w:sz w:val="16"/>
        </w:rPr>
        <w:t>Commons</w:t>
      </w:r>
      <w:r>
        <w:rPr>
          <w:rFonts w:ascii="Palatino Linotype" w:hAnsi="Palatino Linotype"/>
          <w:i/>
          <w:color w:val="231F20"/>
          <w:spacing w:val="-10"/>
          <w:w w:val="105"/>
          <w:sz w:val="16"/>
        </w:rPr>
        <w:t> </w:t>
      </w:r>
      <w:r>
        <w:rPr>
          <w:rFonts w:ascii="Palatino Linotype" w:hAnsi="Palatino Linotype"/>
          <w:i/>
          <w:color w:val="231F20"/>
          <w:w w:val="105"/>
          <w:sz w:val="16"/>
        </w:rPr>
        <w:t>License</w:t>
      </w:r>
      <w:r>
        <w:rPr>
          <w:rFonts w:ascii="Palatino Linotype" w:hAnsi="Palatino Linotype"/>
          <w:i/>
          <w:color w:val="231F20"/>
          <w:spacing w:val="-10"/>
          <w:w w:val="105"/>
          <w:sz w:val="16"/>
        </w:rPr>
        <w:t> </w:t>
      </w:r>
      <w:r>
        <w:rPr>
          <w:rFonts w:ascii="Palatino Linotype" w:hAnsi="Palatino Linotype"/>
          <w:i/>
          <w:color w:val="231F20"/>
          <w:w w:val="105"/>
          <w:sz w:val="16"/>
        </w:rPr>
        <w:t>3.0</w:t>
      </w:r>
      <w:r>
        <w:rPr>
          <w:rFonts w:ascii="Palatino Linotype" w:hAnsi="Palatino Linotype"/>
          <w:i/>
          <w:color w:val="231F20"/>
          <w:spacing w:val="-10"/>
          <w:w w:val="105"/>
          <w:sz w:val="16"/>
        </w:rPr>
        <w:t> </w:t>
      </w:r>
      <w:r>
        <w:rPr>
          <w:color w:val="231F20"/>
          <w:w w:val="105"/>
          <w:sz w:val="16"/>
        </w:rPr>
        <w:t>Reconocimiento-No</w:t>
      </w:r>
      <w:r>
        <w:rPr>
          <w:color w:val="231F20"/>
          <w:spacing w:val="-10"/>
          <w:w w:val="105"/>
          <w:sz w:val="16"/>
        </w:rPr>
        <w:t> </w:t>
      </w:r>
      <w:r>
        <w:rPr>
          <w:color w:val="231F20"/>
          <w:w w:val="105"/>
          <w:sz w:val="16"/>
        </w:rPr>
        <w:t>Comercial-Sin</w:t>
      </w:r>
      <w:r>
        <w:rPr>
          <w:color w:val="231F20"/>
          <w:spacing w:val="-10"/>
          <w:w w:val="105"/>
          <w:sz w:val="16"/>
        </w:rPr>
        <w:t> </w:t>
      </w:r>
      <w:r>
        <w:rPr>
          <w:color w:val="231F20"/>
          <w:w w:val="105"/>
          <w:sz w:val="16"/>
        </w:rPr>
        <w:t>Obras</w:t>
      </w:r>
      <w:r>
        <w:rPr>
          <w:color w:val="231F20"/>
          <w:spacing w:val="-10"/>
          <w:w w:val="105"/>
          <w:sz w:val="16"/>
        </w:rPr>
        <w:t> </w:t>
      </w:r>
      <w:r>
        <w:rPr>
          <w:color w:val="231F20"/>
          <w:w w:val="105"/>
          <w:sz w:val="16"/>
        </w:rPr>
        <w:t>Derivadas.</w:t>
      </w:r>
      <w:r>
        <w:rPr>
          <w:color w:val="231F20"/>
          <w:spacing w:val="-10"/>
          <w:w w:val="105"/>
          <w:sz w:val="16"/>
        </w:rPr>
        <w:t> </w:t>
      </w:r>
      <w:r>
        <w:rPr>
          <w:color w:val="231F20"/>
          <w:w w:val="105"/>
          <w:sz w:val="16"/>
        </w:rPr>
        <w:t>Usted</w:t>
      </w:r>
      <w:r>
        <w:rPr>
          <w:color w:val="231F20"/>
          <w:spacing w:val="-10"/>
          <w:w w:val="105"/>
          <w:sz w:val="16"/>
        </w:rPr>
        <w:t> </w:t>
      </w:r>
      <w:r>
        <w:rPr>
          <w:color w:val="231F20"/>
          <w:w w:val="105"/>
          <w:sz w:val="16"/>
        </w:rPr>
        <w:t>es</w:t>
      </w:r>
      <w:r>
        <w:rPr>
          <w:color w:val="231F20"/>
          <w:spacing w:val="-10"/>
          <w:w w:val="105"/>
          <w:sz w:val="16"/>
        </w:rPr>
        <w:t> </w:t>
      </w:r>
      <w:r>
        <w:rPr>
          <w:color w:val="231F20"/>
          <w:w w:val="105"/>
          <w:sz w:val="16"/>
        </w:rPr>
        <w:t>libre</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copiar, </w:t>
      </w:r>
      <w:r>
        <w:rPr>
          <w:color w:val="231F20"/>
          <w:spacing w:val="2"/>
          <w:w w:val="105"/>
          <w:sz w:val="16"/>
        </w:rPr>
        <w:t>distribuir </w:t>
      </w:r>
      <w:r>
        <w:rPr>
          <w:color w:val="231F20"/>
          <w:w w:val="105"/>
          <w:sz w:val="16"/>
        </w:rPr>
        <w:t>y comunicar públicamente la obra bajo </w:t>
      </w:r>
      <w:r>
        <w:rPr>
          <w:color w:val="231F20"/>
          <w:spacing w:val="2"/>
          <w:w w:val="105"/>
          <w:sz w:val="16"/>
        </w:rPr>
        <w:t>las </w:t>
      </w:r>
      <w:r>
        <w:rPr>
          <w:color w:val="231F20"/>
          <w:w w:val="105"/>
          <w:sz w:val="16"/>
        </w:rPr>
        <w:t>condiciones siguientes: Reconocimiento - Debe reconocer los créditos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obra</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manera</w:t>
      </w:r>
      <w:r>
        <w:rPr>
          <w:color w:val="231F20"/>
          <w:spacing w:val="-6"/>
          <w:w w:val="105"/>
          <w:sz w:val="16"/>
        </w:rPr>
        <w:t> </w:t>
      </w:r>
      <w:r>
        <w:rPr>
          <w:color w:val="231F20"/>
          <w:w w:val="105"/>
          <w:sz w:val="16"/>
        </w:rPr>
        <w:t>especificada</w:t>
      </w:r>
      <w:r>
        <w:rPr>
          <w:color w:val="231F20"/>
          <w:spacing w:val="-6"/>
          <w:w w:val="105"/>
          <w:sz w:val="16"/>
        </w:rPr>
        <w:t> </w:t>
      </w:r>
      <w:r>
        <w:rPr>
          <w:color w:val="231F20"/>
          <w:w w:val="105"/>
          <w:sz w:val="16"/>
        </w:rPr>
        <w:t>por</w:t>
      </w:r>
      <w:r>
        <w:rPr>
          <w:color w:val="231F20"/>
          <w:spacing w:val="-6"/>
          <w:w w:val="105"/>
          <w:sz w:val="16"/>
        </w:rPr>
        <w:t> </w:t>
      </w:r>
      <w:r>
        <w:rPr>
          <w:color w:val="231F20"/>
          <w:w w:val="105"/>
          <w:sz w:val="16"/>
        </w:rPr>
        <w:t>el</w:t>
      </w:r>
      <w:r>
        <w:rPr>
          <w:color w:val="231F20"/>
          <w:spacing w:val="-6"/>
          <w:w w:val="105"/>
          <w:sz w:val="16"/>
        </w:rPr>
        <w:t> </w:t>
      </w:r>
      <w:r>
        <w:rPr>
          <w:color w:val="231F20"/>
          <w:w w:val="105"/>
          <w:sz w:val="16"/>
        </w:rPr>
        <w:t>autor</w:t>
      </w:r>
      <w:r>
        <w:rPr>
          <w:color w:val="231F20"/>
          <w:spacing w:val="-6"/>
          <w:w w:val="105"/>
          <w:sz w:val="16"/>
        </w:rPr>
        <w:t> </w:t>
      </w:r>
      <w:r>
        <w:rPr>
          <w:color w:val="231F20"/>
          <w:w w:val="105"/>
          <w:sz w:val="16"/>
        </w:rPr>
        <w:t>o</w:t>
      </w:r>
      <w:r>
        <w:rPr>
          <w:color w:val="231F20"/>
          <w:spacing w:val="-6"/>
          <w:w w:val="105"/>
          <w:sz w:val="16"/>
        </w:rPr>
        <w:t> </w:t>
      </w:r>
      <w:r>
        <w:rPr>
          <w:color w:val="231F20"/>
          <w:w w:val="105"/>
          <w:sz w:val="16"/>
        </w:rPr>
        <w:t>el</w:t>
      </w:r>
      <w:r>
        <w:rPr>
          <w:color w:val="231F20"/>
          <w:spacing w:val="-6"/>
          <w:w w:val="105"/>
          <w:sz w:val="16"/>
        </w:rPr>
        <w:t> </w:t>
      </w:r>
      <w:r>
        <w:rPr>
          <w:color w:val="231F20"/>
          <w:w w:val="105"/>
          <w:sz w:val="16"/>
        </w:rPr>
        <w:t>licenciador</w:t>
      </w:r>
      <w:r>
        <w:rPr>
          <w:color w:val="231F20"/>
          <w:spacing w:val="-6"/>
          <w:w w:val="105"/>
          <w:sz w:val="16"/>
        </w:rPr>
        <w:t> </w:t>
      </w:r>
      <w:r>
        <w:rPr>
          <w:color w:val="231F20"/>
          <w:w w:val="105"/>
          <w:sz w:val="16"/>
        </w:rPr>
        <w:t>(pero</w:t>
      </w:r>
      <w:r>
        <w:rPr>
          <w:color w:val="231F20"/>
          <w:spacing w:val="-6"/>
          <w:w w:val="105"/>
          <w:sz w:val="16"/>
        </w:rPr>
        <w:t> </w:t>
      </w:r>
      <w:r>
        <w:rPr>
          <w:color w:val="231F20"/>
          <w:w w:val="105"/>
          <w:sz w:val="16"/>
        </w:rPr>
        <w:t>no</w:t>
      </w:r>
      <w:r>
        <w:rPr>
          <w:color w:val="231F20"/>
          <w:spacing w:val="-6"/>
          <w:w w:val="105"/>
          <w:sz w:val="16"/>
        </w:rPr>
        <w:t> </w:t>
      </w:r>
      <w:r>
        <w:rPr>
          <w:color w:val="231F20"/>
          <w:w w:val="105"/>
          <w:sz w:val="16"/>
        </w:rPr>
        <w:t>de</w:t>
      </w:r>
      <w:r>
        <w:rPr>
          <w:color w:val="231F20"/>
          <w:spacing w:val="-6"/>
          <w:w w:val="105"/>
          <w:sz w:val="16"/>
        </w:rPr>
        <w:t> </w:t>
      </w:r>
      <w:r>
        <w:rPr>
          <w:color w:val="231F20"/>
          <w:spacing w:val="2"/>
          <w:w w:val="105"/>
          <w:sz w:val="16"/>
        </w:rPr>
        <w:t>una</w:t>
      </w:r>
      <w:r>
        <w:rPr>
          <w:color w:val="231F20"/>
          <w:spacing w:val="-6"/>
          <w:w w:val="105"/>
          <w:sz w:val="16"/>
        </w:rPr>
        <w:t> </w:t>
      </w:r>
      <w:r>
        <w:rPr>
          <w:color w:val="231F20"/>
          <w:w w:val="105"/>
          <w:sz w:val="16"/>
        </w:rPr>
        <w:t>manera</w:t>
      </w:r>
      <w:r>
        <w:rPr>
          <w:color w:val="231F20"/>
          <w:spacing w:val="-6"/>
          <w:w w:val="105"/>
          <w:sz w:val="16"/>
        </w:rPr>
        <w:t> </w:t>
      </w:r>
      <w:r>
        <w:rPr>
          <w:color w:val="231F20"/>
          <w:w w:val="105"/>
          <w:sz w:val="16"/>
        </w:rPr>
        <w:t>que</w:t>
      </w:r>
      <w:r>
        <w:rPr>
          <w:color w:val="231F20"/>
          <w:spacing w:val="-6"/>
          <w:w w:val="105"/>
          <w:sz w:val="16"/>
        </w:rPr>
        <w:t> </w:t>
      </w:r>
      <w:r>
        <w:rPr>
          <w:color w:val="231F20"/>
          <w:w w:val="105"/>
          <w:sz w:val="16"/>
        </w:rPr>
        <w:t>sugiera</w:t>
      </w:r>
      <w:r>
        <w:rPr>
          <w:color w:val="231F20"/>
          <w:spacing w:val="-6"/>
          <w:w w:val="105"/>
          <w:sz w:val="16"/>
        </w:rPr>
        <w:t> </w:t>
      </w:r>
      <w:r>
        <w:rPr>
          <w:color w:val="231F20"/>
          <w:w w:val="105"/>
          <w:sz w:val="16"/>
        </w:rPr>
        <w:t>que</w:t>
      </w:r>
      <w:r>
        <w:rPr>
          <w:color w:val="231F20"/>
          <w:spacing w:val="-6"/>
          <w:w w:val="105"/>
          <w:sz w:val="16"/>
        </w:rPr>
        <w:t> </w:t>
      </w:r>
      <w:r>
        <w:rPr>
          <w:color w:val="231F20"/>
          <w:w w:val="105"/>
          <w:sz w:val="16"/>
        </w:rPr>
        <w:t>tiene su</w:t>
      </w:r>
      <w:r>
        <w:rPr>
          <w:color w:val="231F20"/>
          <w:spacing w:val="-3"/>
          <w:w w:val="105"/>
          <w:sz w:val="16"/>
        </w:rPr>
        <w:t> </w:t>
      </w:r>
      <w:r>
        <w:rPr>
          <w:color w:val="231F20"/>
          <w:w w:val="105"/>
          <w:sz w:val="16"/>
        </w:rPr>
        <w:t>apoyo</w:t>
      </w:r>
      <w:r>
        <w:rPr>
          <w:color w:val="231F20"/>
          <w:spacing w:val="-3"/>
          <w:w w:val="105"/>
          <w:sz w:val="16"/>
        </w:rPr>
        <w:t> </w:t>
      </w:r>
      <w:r>
        <w:rPr>
          <w:color w:val="231F20"/>
          <w:w w:val="105"/>
          <w:sz w:val="16"/>
        </w:rPr>
        <w:t>o</w:t>
      </w:r>
      <w:r>
        <w:rPr>
          <w:color w:val="231F20"/>
          <w:spacing w:val="-3"/>
          <w:w w:val="105"/>
          <w:sz w:val="16"/>
        </w:rPr>
        <w:t> </w:t>
      </w:r>
      <w:r>
        <w:rPr>
          <w:color w:val="231F20"/>
          <w:w w:val="105"/>
          <w:sz w:val="16"/>
        </w:rPr>
        <w:t>apoyan</w:t>
      </w:r>
      <w:r>
        <w:rPr>
          <w:color w:val="231F20"/>
          <w:spacing w:val="-3"/>
          <w:w w:val="105"/>
          <w:sz w:val="16"/>
        </w:rPr>
        <w:t> </w:t>
      </w:r>
      <w:r>
        <w:rPr>
          <w:color w:val="231F20"/>
          <w:w w:val="105"/>
          <w:sz w:val="16"/>
        </w:rPr>
        <w:t>el</w:t>
      </w:r>
      <w:r>
        <w:rPr>
          <w:color w:val="231F20"/>
          <w:spacing w:val="-3"/>
          <w:w w:val="105"/>
          <w:sz w:val="16"/>
        </w:rPr>
        <w:t> </w:t>
      </w:r>
      <w:r>
        <w:rPr>
          <w:color w:val="231F20"/>
          <w:spacing w:val="2"/>
          <w:w w:val="105"/>
          <w:sz w:val="16"/>
        </w:rPr>
        <w:t>uso</w:t>
      </w:r>
      <w:r>
        <w:rPr>
          <w:color w:val="231F20"/>
          <w:spacing w:val="-3"/>
          <w:w w:val="105"/>
          <w:sz w:val="16"/>
        </w:rPr>
        <w:t> </w:t>
      </w:r>
      <w:r>
        <w:rPr>
          <w:color w:val="231F20"/>
          <w:w w:val="105"/>
          <w:sz w:val="16"/>
        </w:rPr>
        <w:t>que</w:t>
      </w:r>
      <w:r>
        <w:rPr>
          <w:color w:val="231F20"/>
          <w:spacing w:val="-3"/>
          <w:w w:val="105"/>
          <w:sz w:val="16"/>
        </w:rPr>
        <w:t> </w:t>
      </w:r>
      <w:r>
        <w:rPr>
          <w:color w:val="231F20"/>
          <w:w w:val="105"/>
          <w:sz w:val="16"/>
        </w:rPr>
        <w:t>hace</w:t>
      </w:r>
      <w:r>
        <w:rPr>
          <w:color w:val="231F20"/>
          <w:spacing w:val="-3"/>
          <w:w w:val="105"/>
          <w:sz w:val="16"/>
        </w:rPr>
        <w:t> </w:t>
      </w:r>
      <w:r>
        <w:rPr>
          <w:color w:val="231F20"/>
          <w:w w:val="105"/>
          <w:sz w:val="16"/>
        </w:rPr>
        <w:t>de</w:t>
      </w:r>
      <w:r>
        <w:rPr>
          <w:color w:val="231F20"/>
          <w:spacing w:val="-3"/>
          <w:w w:val="105"/>
          <w:sz w:val="16"/>
        </w:rPr>
        <w:t> </w:t>
      </w:r>
      <w:r>
        <w:rPr>
          <w:color w:val="231F20"/>
          <w:w w:val="105"/>
          <w:sz w:val="16"/>
        </w:rPr>
        <w:t>su</w:t>
      </w:r>
      <w:r>
        <w:rPr>
          <w:color w:val="231F20"/>
          <w:spacing w:val="-3"/>
          <w:w w:val="105"/>
          <w:sz w:val="16"/>
        </w:rPr>
        <w:t> </w:t>
      </w:r>
      <w:r>
        <w:rPr>
          <w:color w:val="231F20"/>
          <w:w w:val="105"/>
          <w:sz w:val="16"/>
        </w:rPr>
        <w:t>obra).</w:t>
      </w:r>
      <w:r>
        <w:rPr>
          <w:color w:val="231F20"/>
          <w:spacing w:val="-3"/>
          <w:w w:val="105"/>
          <w:sz w:val="16"/>
        </w:rPr>
        <w:t> </w:t>
      </w:r>
      <w:r>
        <w:rPr>
          <w:color w:val="231F20"/>
          <w:w w:val="105"/>
          <w:sz w:val="16"/>
        </w:rPr>
        <w:t>No</w:t>
      </w:r>
      <w:r>
        <w:rPr>
          <w:color w:val="231F20"/>
          <w:spacing w:val="-3"/>
          <w:w w:val="105"/>
          <w:sz w:val="16"/>
        </w:rPr>
        <w:t> </w:t>
      </w:r>
      <w:r>
        <w:rPr>
          <w:color w:val="231F20"/>
          <w:w w:val="105"/>
          <w:sz w:val="16"/>
        </w:rPr>
        <w:t>comercial</w:t>
      </w:r>
      <w:r>
        <w:rPr>
          <w:color w:val="231F20"/>
          <w:spacing w:val="-3"/>
          <w:w w:val="105"/>
          <w:sz w:val="16"/>
        </w:rPr>
        <w:t> </w:t>
      </w:r>
      <w:r>
        <w:rPr>
          <w:color w:val="231F20"/>
          <w:w w:val="105"/>
          <w:sz w:val="16"/>
        </w:rPr>
        <w:t>-</w:t>
      </w:r>
      <w:r>
        <w:rPr>
          <w:color w:val="231F20"/>
          <w:spacing w:val="-3"/>
          <w:w w:val="105"/>
          <w:sz w:val="16"/>
        </w:rPr>
        <w:t> </w:t>
      </w:r>
      <w:r>
        <w:rPr>
          <w:color w:val="231F20"/>
          <w:w w:val="105"/>
          <w:sz w:val="16"/>
        </w:rPr>
        <w:t>No</w:t>
      </w:r>
      <w:r>
        <w:rPr>
          <w:color w:val="231F20"/>
          <w:spacing w:val="-3"/>
          <w:w w:val="105"/>
          <w:sz w:val="16"/>
        </w:rPr>
        <w:t> </w:t>
      </w:r>
      <w:r>
        <w:rPr>
          <w:color w:val="231F20"/>
          <w:w w:val="105"/>
          <w:sz w:val="16"/>
        </w:rPr>
        <w:t>puede</w:t>
      </w:r>
      <w:r>
        <w:rPr>
          <w:color w:val="231F20"/>
          <w:spacing w:val="-3"/>
          <w:w w:val="105"/>
          <w:sz w:val="16"/>
        </w:rPr>
        <w:t> </w:t>
      </w:r>
      <w:r>
        <w:rPr>
          <w:color w:val="231F20"/>
          <w:spacing w:val="3"/>
          <w:w w:val="105"/>
          <w:sz w:val="16"/>
        </w:rPr>
        <w:t>utilizar</w:t>
      </w:r>
      <w:r>
        <w:rPr>
          <w:color w:val="231F20"/>
          <w:spacing w:val="-3"/>
          <w:w w:val="105"/>
          <w:sz w:val="16"/>
        </w:rPr>
        <w:t> </w:t>
      </w:r>
      <w:r>
        <w:rPr>
          <w:color w:val="231F20"/>
          <w:w w:val="105"/>
          <w:sz w:val="16"/>
        </w:rPr>
        <w:t>esta</w:t>
      </w:r>
      <w:r>
        <w:rPr>
          <w:color w:val="231F20"/>
          <w:spacing w:val="-3"/>
          <w:w w:val="105"/>
          <w:sz w:val="16"/>
        </w:rPr>
        <w:t> </w:t>
      </w:r>
      <w:r>
        <w:rPr>
          <w:color w:val="231F20"/>
          <w:w w:val="105"/>
          <w:sz w:val="16"/>
        </w:rPr>
        <w:t>obra</w:t>
      </w:r>
      <w:r>
        <w:rPr>
          <w:color w:val="231F20"/>
          <w:spacing w:val="-3"/>
          <w:w w:val="105"/>
          <w:sz w:val="16"/>
        </w:rPr>
        <w:t> </w:t>
      </w:r>
      <w:r>
        <w:rPr>
          <w:color w:val="231F20"/>
          <w:w w:val="105"/>
          <w:sz w:val="16"/>
        </w:rPr>
        <w:t>para</w:t>
      </w:r>
      <w:r>
        <w:rPr>
          <w:color w:val="231F20"/>
          <w:spacing w:val="-3"/>
          <w:w w:val="105"/>
          <w:sz w:val="16"/>
        </w:rPr>
        <w:t> </w:t>
      </w:r>
      <w:r>
        <w:rPr>
          <w:color w:val="231F20"/>
          <w:w w:val="105"/>
          <w:sz w:val="16"/>
        </w:rPr>
        <w:t>fines</w:t>
      </w:r>
      <w:r>
        <w:rPr>
          <w:color w:val="231F20"/>
          <w:spacing w:val="-3"/>
          <w:w w:val="105"/>
          <w:sz w:val="16"/>
        </w:rPr>
        <w:t> </w:t>
      </w:r>
      <w:r>
        <w:rPr>
          <w:color w:val="231F20"/>
          <w:w w:val="105"/>
          <w:sz w:val="16"/>
        </w:rPr>
        <w:t>comerciales.</w:t>
      </w:r>
      <w:r>
        <w:rPr>
          <w:color w:val="231F20"/>
          <w:spacing w:val="-3"/>
          <w:w w:val="105"/>
          <w:sz w:val="16"/>
        </w:rPr>
        <w:t> </w:t>
      </w:r>
      <w:r>
        <w:rPr>
          <w:color w:val="231F20"/>
          <w:w w:val="105"/>
          <w:sz w:val="16"/>
        </w:rPr>
        <w:t>Sin obras derivadas - No se puede alterar, </w:t>
      </w:r>
      <w:r>
        <w:rPr>
          <w:color w:val="231F20"/>
          <w:spacing w:val="2"/>
          <w:w w:val="105"/>
          <w:sz w:val="16"/>
        </w:rPr>
        <w:t>transformar </w:t>
      </w:r>
      <w:r>
        <w:rPr>
          <w:color w:val="231F20"/>
          <w:w w:val="105"/>
          <w:sz w:val="16"/>
        </w:rPr>
        <w:t>o generar </w:t>
      </w:r>
      <w:r>
        <w:rPr>
          <w:color w:val="231F20"/>
          <w:spacing w:val="2"/>
          <w:w w:val="105"/>
          <w:sz w:val="16"/>
        </w:rPr>
        <w:t>una </w:t>
      </w:r>
      <w:r>
        <w:rPr>
          <w:color w:val="231F20"/>
          <w:w w:val="105"/>
          <w:sz w:val="16"/>
        </w:rPr>
        <w:t>obra derivada a </w:t>
      </w:r>
      <w:r>
        <w:rPr>
          <w:color w:val="231F20"/>
          <w:spacing w:val="3"/>
          <w:w w:val="105"/>
          <w:sz w:val="16"/>
        </w:rPr>
        <w:t>partir </w:t>
      </w:r>
      <w:r>
        <w:rPr>
          <w:color w:val="231F20"/>
          <w:w w:val="105"/>
          <w:sz w:val="16"/>
        </w:rPr>
        <w:t>de esta</w:t>
      </w:r>
      <w:r>
        <w:rPr>
          <w:color w:val="231F20"/>
          <w:spacing w:val="-3"/>
          <w:w w:val="105"/>
          <w:sz w:val="16"/>
        </w:rPr>
        <w:t> </w:t>
      </w:r>
      <w:r>
        <w:rPr>
          <w:color w:val="231F20"/>
          <w:w w:val="105"/>
          <w:sz w:val="16"/>
        </w:rPr>
        <w:t>obra.</w:t>
      </w:r>
    </w:p>
    <w:p>
      <w:pPr>
        <w:spacing w:line="180" w:lineRule="exact" w:before="0"/>
        <w:ind w:left="110" w:right="0" w:firstLine="0"/>
        <w:jc w:val="both"/>
        <w:rPr>
          <w:rFonts w:ascii="Cambria" w:hAnsi="Cambria"/>
          <w:b/>
          <w:sz w:val="16"/>
        </w:rPr>
      </w:pPr>
      <w:r>
        <w:rPr>
          <w:color w:val="231F20"/>
          <w:w w:val="95"/>
          <w:sz w:val="16"/>
        </w:rPr>
        <w:t>Más información en </w:t>
      </w:r>
      <w:hyperlink r:id="rId23">
        <w:r>
          <w:rPr>
            <w:rFonts w:ascii="Cambria" w:hAnsi="Cambria"/>
            <w:b/>
            <w:color w:val="231F20"/>
            <w:w w:val="95"/>
            <w:sz w:val="16"/>
          </w:rPr>
          <w:t>http://creativecommons.org/licenses/by-nc-nd/3.0/es/</w:t>
        </w:r>
      </w:hyperlink>
    </w:p>
    <w:p>
      <w:pPr>
        <w:spacing w:after="0" w:line="180" w:lineRule="exact"/>
        <w:jc w:val="both"/>
        <w:rPr>
          <w:rFonts w:ascii="Cambria" w:hAnsi="Cambria"/>
          <w:sz w:val="16"/>
        </w:rPr>
        <w:sectPr>
          <w:type w:val="continuous"/>
          <w:pgSz w:w="9640" w:h="12190"/>
          <w:pgMar w:top="0" w:bottom="0" w:left="740" w:right="740"/>
        </w:sectPr>
      </w:pPr>
    </w:p>
    <w:p>
      <w:pPr>
        <w:spacing w:before="109"/>
        <w:ind w:left="110" w:right="0" w:firstLine="0"/>
        <w:jc w:val="left"/>
        <w:rPr>
          <w:b/>
          <w:sz w:val="28"/>
        </w:rPr>
      </w:pPr>
      <w:r>
        <w:rPr>
          <w:b/>
          <w:color w:val="231F20"/>
          <w:w w:val="105"/>
          <w:sz w:val="28"/>
        </w:rPr>
        <w:t>Índice</w:t>
      </w:r>
    </w:p>
    <w:p>
      <w:pPr>
        <w:pStyle w:val="BodyText"/>
        <w:spacing w:before="8"/>
        <w:rPr>
          <w:b/>
          <w:sz w:val="28"/>
        </w:rPr>
      </w:pPr>
    </w:p>
    <w:p>
      <w:pPr>
        <w:pStyle w:val="Heading5"/>
        <w:tabs>
          <w:tab w:pos="7621" w:val="left" w:leader="none"/>
        </w:tabs>
        <w:ind w:left="478" w:right="0"/>
        <w:rPr>
          <w:b w:val="0"/>
        </w:rPr>
      </w:pPr>
      <w:r>
        <w:rPr/>
        <w:pict>
          <v:line style="position:absolute;mso-position-horizontal-relative:page;mso-position-vertical-relative:paragraph;z-index:-600688" from="130.199097pt,10.452133pt" to="130.199097pt,10.452133pt" stroked="true" strokeweight=".5pt" strokecolor="#231f20">
            <w10:wrap type="none"/>
          </v:line>
        </w:pict>
      </w:r>
      <w:r>
        <w:rPr/>
        <w:pict>
          <v:line style="position:absolute;mso-position-horizontal-relative:page;mso-position-vertical-relative:paragraph;z-index:-600664" from="418.819092pt,10.452133pt" to="418.819092pt,10.452133pt" stroked="true" strokeweight=".5pt" strokecolor="#231f20">
            <w10:wrap type="none"/>
          </v:line>
        </w:pict>
      </w:r>
      <w:r>
        <w:rPr>
          <w:rFonts w:ascii="Cambria" w:hAnsi="Cambria"/>
          <w:color w:val="231F20"/>
        </w:rPr>
        <w:t>Presentación</w:t>
      </w:r>
      <w:r>
        <w:rPr>
          <w:rFonts w:ascii="Cambria" w:hAnsi="Cambria"/>
          <w:color w:val="231F20"/>
          <w:u w:val="dotted" w:color="231F20"/>
        </w:rPr>
        <w:tab/>
      </w:r>
      <w:r>
        <w:rPr>
          <w:b w:val="0"/>
          <w:color w:val="231F20"/>
        </w:rPr>
        <w:t>6</w:t>
      </w:r>
    </w:p>
    <w:p>
      <w:pPr>
        <w:pStyle w:val="BodyText"/>
        <w:spacing w:before="8"/>
        <w:rPr>
          <w:sz w:val="29"/>
        </w:rPr>
      </w:pPr>
    </w:p>
    <w:p>
      <w:pPr>
        <w:spacing w:before="0"/>
        <w:ind w:left="478" w:right="0" w:firstLine="0"/>
        <w:jc w:val="left"/>
        <w:rPr>
          <w:rFonts w:ascii="Cambria" w:hAnsi="Cambria"/>
          <w:b/>
          <w:sz w:val="22"/>
        </w:rPr>
      </w:pPr>
      <w:r>
        <w:rPr>
          <w:rFonts w:ascii="Cambria" w:hAnsi="Cambria"/>
          <w:b/>
          <w:color w:val="231F20"/>
          <w:w w:val="95"/>
          <w:sz w:val="22"/>
        </w:rPr>
        <w:t>Gobiernos municipales y partidos políticos en el Estado de México</w:t>
      </w:r>
    </w:p>
    <w:p>
      <w:pPr>
        <w:tabs>
          <w:tab w:pos="7573" w:val="left" w:leader="none"/>
        </w:tabs>
        <w:spacing w:before="41"/>
        <w:ind w:left="710" w:right="0" w:firstLine="0"/>
        <w:jc w:val="left"/>
        <w:rPr>
          <w:sz w:val="20"/>
        </w:rPr>
      </w:pPr>
      <w:r>
        <w:rPr/>
        <w:pict>
          <v:line style="position:absolute;mso-position-horizontal-relative:page;mso-position-vertical-relative:paragraph;z-index:-600352" from="318.184998pt,13.482739pt" to="318.184998pt,13.482739pt" stroked="true" strokeweight=".5pt" strokecolor="#231f20">
            <w10:wrap type="none"/>
          </v:line>
        </w:pict>
      </w:r>
      <w:r>
        <w:rPr/>
        <w:pict>
          <v:line style="position:absolute;mso-position-horizontal-relative:page;mso-position-vertical-relative:paragraph;z-index:-600328" from="416.445007pt,13.482739pt" to="416.445007pt,13.482739pt" stroked="true" strokeweight=".5pt" strokecolor="#231f20">
            <w10:wrap type="none"/>
          </v:line>
        </w:pict>
      </w:r>
      <w:r>
        <w:rPr>
          <w:rFonts w:ascii="Palatino Linotype" w:hAnsi="Palatino Linotype"/>
          <w:i/>
          <w:color w:val="231F20"/>
          <w:w w:val="105"/>
          <w:sz w:val="20"/>
        </w:rPr>
        <w:t>Miguel</w:t>
      </w:r>
      <w:r>
        <w:rPr>
          <w:rFonts w:ascii="Palatino Linotype" w:hAnsi="Palatino Linotype"/>
          <w:i/>
          <w:color w:val="231F20"/>
          <w:spacing w:val="-9"/>
          <w:w w:val="105"/>
          <w:sz w:val="20"/>
        </w:rPr>
        <w:t> </w:t>
      </w:r>
      <w:r>
        <w:rPr>
          <w:rFonts w:ascii="Palatino Linotype" w:hAnsi="Palatino Linotype"/>
          <w:i/>
          <w:color w:val="231F20"/>
          <w:w w:val="105"/>
          <w:sz w:val="20"/>
        </w:rPr>
        <w:t>Ángel</w:t>
      </w:r>
      <w:r>
        <w:rPr>
          <w:rFonts w:ascii="Palatino Linotype" w:hAnsi="Palatino Linotype"/>
          <w:i/>
          <w:color w:val="231F20"/>
          <w:spacing w:val="-9"/>
          <w:w w:val="105"/>
          <w:sz w:val="20"/>
        </w:rPr>
        <w:t> </w:t>
      </w:r>
      <w:r>
        <w:rPr>
          <w:rFonts w:ascii="Palatino Linotype" w:hAnsi="Palatino Linotype"/>
          <w:i/>
          <w:color w:val="231F20"/>
          <w:w w:val="105"/>
          <w:sz w:val="20"/>
        </w:rPr>
        <w:t>Sánchez</w:t>
      </w:r>
      <w:r>
        <w:rPr>
          <w:rFonts w:ascii="Palatino Linotype" w:hAnsi="Palatino Linotype"/>
          <w:i/>
          <w:color w:val="231F20"/>
          <w:spacing w:val="-9"/>
          <w:w w:val="105"/>
          <w:sz w:val="20"/>
        </w:rPr>
        <w:t> </w:t>
      </w:r>
      <w:r>
        <w:rPr>
          <w:rFonts w:ascii="Palatino Linotype" w:hAnsi="Palatino Linotype"/>
          <w:i/>
          <w:color w:val="231F20"/>
          <w:w w:val="105"/>
          <w:sz w:val="20"/>
        </w:rPr>
        <w:t>Ramos</w:t>
      </w:r>
      <w:r>
        <w:rPr>
          <w:rFonts w:ascii="Palatino Linotype" w:hAnsi="Palatino Linotype"/>
          <w:i/>
          <w:color w:val="231F20"/>
          <w:spacing w:val="-9"/>
          <w:w w:val="105"/>
          <w:sz w:val="20"/>
        </w:rPr>
        <w:t> </w:t>
      </w:r>
      <w:r>
        <w:rPr>
          <w:color w:val="231F20"/>
          <w:w w:val="140"/>
          <w:sz w:val="20"/>
        </w:rPr>
        <w:t>|</w:t>
      </w:r>
      <w:r>
        <w:rPr>
          <w:color w:val="231F20"/>
          <w:spacing w:val="-26"/>
          <w:w w:val="140"/>
          <w:sz w:val="20"/>
        </w:rPr>
        <w:t> </w:t>
      </w:r>
      <w:r>
        <w:rPr>
          <w:rFonts w:ascii="Palatino Linotype" w:hAnsi="Palatino Linotype"/>
          <w:i/>
          <w:color w:val="231F20"/>
          <w:w w:val="105"/>
          <w:sz w:val="20"/>
        </w:rPr>
        <w:t>Francisco</w:t>
      </w:r>
      <w:r>
        <w:rPr>
          <w:rFonts w:ascii="Palatino Linotype" w:hAnsi="Palatino Linotype"/>
          <w:i/>
          <w:color w:val="231F20"/>
          <w:spacing w:val="-9"/>
          <w:w w:val="105"/>
          <w:sz w:val="20"/>
        </w:rPr>
        <w:t> </w:t>
      </w:r>
      <w:r>
        <w:rPr>
          <w:rFonts w:ascii="Palatino Linotype" w:hAnsi="Palatino Linotype"/>
          <w:i/>
          <w:color w:val="231F20"/>
          <w:w w:val="105"/>
          <w:sz w:val="20"/>
        </w:rPr>
        <w:t>Reveles</w:t>
      </w:r>
      <w:r>
        <w:rPr>
          <w:rFonts w:ascii="Palatino Linotype" w:hAnsi="Palatino Linotype"/>
          <w:i/>
          <w:color w:val="231F20"/>
          <w:spacing w:val="-9"/>
          <w:w w:val="105"/>
          <w:sz w:val="20"/>
        </w:rPr>
        <w:t> </w:t>
      </w:r>
      <w:r>
        <w:rPr>
          <w:rFonts w:ascii="Palatino Linotype" w:hAnsi="Palatino Linotype"/>
          <w:i/>
          <w:color w:val="231F20"/>
          <w:w w:val="105"/>
          <w:sz w:val="20"/>
        </w:rPr>
        <w:t>Vázquez</w:t>
      </w:r>
      <w:r>
        <w:rPr>
          <w:rFonts w:ascii="Palatino Linotype" w:hAnsi="Palatino Linotype"/>
          <w:i/>
          <w:color w:val="231F20"/>
          <w:w w:val="105"/>
          <w:sz w:val="20"/>
          <w:u w:val="dotted" w:color="231F20"/>
        </w:rPr>
        <w:tab/>
      </w:r>
      <w:r>
        <w:rPr>
          <w:color w:val="231F20"/>
          <w:w w:val="105"/>
          <w:sz w:val="20"/>
        </w:rPr>
        <w:t>9</w:t>
      </w:r>
    </w:p>
    <w:p>
      <w:pPr>
        <w:pStyle w:val="BodyText"/>
        <w:spacing w:before="1"/>
        <w:rPr>
          <w:sz w:val="29"/>
        </w:rPr>
      </w:pPr>
    </w:p>
    <w:p>
      <w:pPr>
        <w:pStyle w:val="Heading5"/>
        <w:tabs>
          <w:tab w:pos="7573" w:val="left" w:leader="none"/>
        </w:tabs>
        <w:ind w:left="478" w:right="0"/>
        <w:rPr>
          <w:b w:val="0"/>
          <w:sz w:val="20"/>
        </w:rPr>
      </w:pPr>
      <w:r>
        <w:rPr/>
        <w:pict>
          <v:line style="position:absolute;mso-position-horizontal-relative:page;mso-position-vertical-relative:paragraph;z-index:-600400" from="315.018005pt,9.975922pt" to="315.018005pt,9.975922pt" stroked="true" strokeweight=".5pt" strokecolor="#231f20">
            <w10:wrap type="none"/>
          </v:line>
        </w:pict>
      </w:r>
      <w:r>
        <w:rPr/>
        <w:pict>
          <v:line style="position:absolute;mso-position-horizontal-relative:page;mso-position-vertical-relative:paragraph;z-index:-600376" from="416.445007pt,9.975922pt" to="416.445007pt,9.975922pt" stroked="true" strokeweight=".5pt" strokecolor="#231f20">
            <w10:wrap type="none"/>
          </v:line>
        </w:pict>
      </w:r>
      <w:r>
        <w:rPr>
          <w:color w:val="231F20"/>
          <w:spacing w:val="-3"/>
        </w:rPr>
        <w:t>PARTIDO</w:t>
      </w:r>
      <w:r>
        <w:rPr>
          <w:color w:val="231F20"/>
          <w:spacing w:val="-7"/>
        </w:rPr>
        <w:t> </w:t>
      </w:r>
      <w:r>
        <w:rPr>
          <w:color w:val="231F20"/>
        </w:rPr>
        <w:t>REVOLUCIONARIO</w:t>
      </w:r>
      <w:r>
        <w:rPr>
          <w:color w:val="231F20"/>
          <w:spacing w:val="-7"/>
        </w:rPr>
        <w:t> </w:t>
      </w:r>
      <w:r>
        <w:rPr>
          <w:color w:val="231F20"/>
        </w:rPr>
        <w:t>INSTITUCIONAL</w:t>
      </w:r>
      <w:r>
        <w:rPr>
          <w:color w:val="231F20"/>
          <w:u w:val="dotted" w:color="231F20"/>
        </w:rPr>
        <w:tab/>
      </w:r>
      <w:r>
        <w:rPr>
          <w:b w:val="0"/>
          <w:color w:val="231F20"/>
          <w:spacing w:val="-3"/>
          <w:sz w:val="20"/>
        </w:rPr>
        <w:t>27</w:t>
      </w:r>
    </w:p>
    <w:p>
      <w:pPr>
        <w:pStyle w:val="BodyText"/>
        <w:spacing w:before="9"/>
        <w:rPr>
          <w:sz w:val="29"/>
        </w:rPr>
      </w:pPr>
    </w:p>
    <w:p>
      <w:pPr>
        <w:spacing w:before="1"/>
        <w:ind w:left="478" w:right="0" w:firstLine="0"/>
        <w:jc w:val="left"/>
        <w:rPr>
          <w:rFonts w:ascii="Cambria"/>
          <w:b/>
          <w:sz w:val="22"/>
        </w:rPr>
      </w:pPr>
      <w:r>
        <w:rPr>
          <w:rFonts w:ascii="Cambria"/>
          <w:b/>
          <w:color w:val="231F20"/>
          <w:w w:val="95"/>
          <w:sz w:val="22"/>
        </w:rPr>
        <w:t>Decisiones de gobierno municipal sin partido local.</w:t>
      </w:r>
    </w:p>
    <w:p>
      <w:pPr>
        <w:spacing w:line="278" w:lineRule="auto" w:before="42"/>
        <w:ind w:left="478" w:right="710" w:firstLine="0"/>
        <w:jc w:val="left"/>
        <w:rPr>
          <w:rFonts w:ascii="Cambria" w:hAnsi="Cambria"/>
          <w:b/>
          <w:sz w:val="22"/>
        </w:rPr>
      </w:pPr>
      <w:r>
        <w:rPr>
          <w:rFonts w:ascii="Cambria" w:hAnsi="Cambria"/>
          <w:b/>
          <w:color w:val="231F20"/>
          <w:w w:val="95"/>
          <w:sz w:val="22"/>
        </w:rPr>
        <w:t>Diseño institucional y estructuración centralizada del gobierno municipal de Huixquilucan</w:t>
      </w:r>
    </w:p>
    <w:p>
      <w:pPr>
        <w:tabs>
          <w:tab w:pos="7563" w:val="left" w:leader="none"/>
        </w:tabs>
        <w:spacing w:line="270" w:lineRule="exact" w:before="0"/>
        <w:ind w:left="710" w:right="0" w:firstLine="0"/>
        <w:jc w:val="left"/>
        <w:rPr>
          <w:sz w:val="20"/>
        </w:rPr>
      </w:pPr>
      <w:r>
        <w:rPr/>
        <w:pict>
          <v:line style="position:absolute;mso-position-horizontal-relative:page;mso-position-vertical-relative:paragraph;z-index:-600448" from="186.041702pt,10.592692pt" to="186.041702pt,10.592692pt" stroked="true" strokeweight=".5pt" strokecolor="#231f20">
            <w10:wrap type="none"/>
          </v:line>
        </w:pict>
      </w:r>
      <w:r>
        <w:rPr/>
        <w:pict>
          <v:line style="position:absolute;mso-position-horizontal-relative:page;mso-position-vertical-relative:paragraph;z-index:-600424" from="415.944702pt,10.592692pt" to="415.944702pt,10.592692pt" stroked="true" strokeweight=".5pt" strokecolor="#231f20">
            <w10:wrap type="none"/>
          </v:line>
        </w:pict>
      </w:r>
      <w:r>
        <w:rPr>
          <w:rFonts w:ascii="Palatino Linotype" w:hAnsi="Palatino Linotype"/>
          <w:i/>
          <w:color w:val="231F20"/>
          <w:sz w:val="20"/>
        </w:rPr>
        <w:t>Gustavo</w:t>
      </w:r>
      <w:r>
        <w:rPr>
          <w:rFonts w:ascii="Palatino Linotype" w:hAnsi="Palatino Linotype"/>
          <w:i/>
          <w:color w:val="231F20"/>
          <w:spacing w:val="-3"/>
          <w:sz w:val="20"/>
        </w:rPr>
        <w:t> </w:t>
      </w:r>
      <w:r>
        <w:rPr>
          <w:rFonts w:ascii="Palatino Linotype" w:hAnsi="Palatino Linotype"/>
          <w:i/>
          <w:color w:val="231F20"/>
          <w:sz w:val="20"/>
        </w:rPr>
        <w:t>Martínez</w:t>
      </w:r>
      <w:r>
        <w:rPr>
          <w:rFonts w:ascii="Palatino Linotype" w:hAnsi="Palatino Linotype"/>
          <w:i/>
          <w:color w:val="231F20"/>
          <w:spacing w:val="-3"/>
          <w:sz w:val="20"/>
        </w:rPr>
        <w:t> </w:t>
      </w:r>
      <w:r>
        <w:rPr>
          <w:rFonts w:ascii="Palatino Linotype" w:hAnsi="Palatino Linotype"/>
          <w:i/>
          <w:color w:val="231F20"/>
          <w:sz w:val="20"/>
        </w:rPr>
        <w:t>Valdes</w:t>
      </w:r>
      <w:r>
        <w:rPr>
          <w:rFonts w:ascii="Palatino Linotype" w:hAnsi="Palatino Linotype"/>
          <w:i/>
          <w:color w:val="231F20"/>
          <w:sz w:val="20"/>
          <w:u w:val="dotted" w:color="231F20"/>
        </w:rPr>
        <w:tab/>
      </w:r>
      <w:r>
        <w:rPr>
          <w:color w:val="231F20"/>
          <w:sz w:val="20"/>
        </w:rPr>
        <w:t>28</w:t>
      </w:r>
    </w:p>
    <w:p>
      <w:pPr>
        <w:pStyle w:val="BodyText"/>
        <w:spacing w:before="9"/>
        <w:rPr>
          <w:sz w:val="28"/>
        </w:rPr>
      </w:pPr>
    </w:p>
    <w:p>
      <w:pPr>
        <w:pStyle w:val="Heading5"/>
        <w:spacing w:line="278" w:lineRule="auto"/>
        <w:ind w:left="478" w:right="2755"/>
        <w:rPr>
          <w:rFonts w:ascii="Cambria" w:hAnsi="Cambria"/>
        </w:rPr>
      </w:pPr>
      <w:r>
        <w:rPr>
          <w:rFonts w:ascii="Cambria" w:hAnsi="Cambria"/>
          <w:color w:val="231F20"/>
          <w:w w:val="95"/>
        </w:rPr>
        <w:t>La tradición partidista en los gobiernos locales: </w:t>
      </w:r>
      <w:r>
        <w:rPr>
          <w:rFonts w:ascii="Cambria" w:hAnsi="Cambria"/>
          <w:color w:val="231F20"/>
        </w:rPr>
        <w:t>el pri en Ixtapan de la Sal</w:t>
      </w:r>
    </w:p>
    <w:p>
      <w:pPr>
        <w:tabs>
          <w:tab w:pos="7568" w:val="left" w:leader="none"/>
        </w:tabs>
        <w:spacing w:before="0"/>
        <w:ind w:left="730" w:right="0" w:firstLine="0"/>
        <w:jc w:val="left"/>
        <w:rPr>
          <w:sz w:val="20"/>
        </w:rPr>
      </w:pPr>
      <w:r>
        <w:rPr/>
        <w:pict>
          <v:line style="position:absolute;mso-position-horizontal-relative:page;mso-position-vertical-relative:paragraph;z-index:-600544" from="170.451096pt,10.700439pt" to="170.451096pt,10.700439pt" stroked="true" strokeweight=".5pt" strokecolor="#231f20">
            <w10:wrap type="none"/>
          </v:line>
        </w:pict>
      </w:r>
      <w:r>
        <w:rPr/>
        <w:pict>
          <v:line style="position:absolute;mso-position-horizontal-relative:page;mso-position-vertical-relative:paragraph;z-index:-600520" from="416.195099pt,10.700439pt" to="416.195099pt,10.700439pt" stroked="true" strokeweight=".5pt" strokecolor="#231f20">
            <w10:wrap type="none"/>
          </v:line>
        </w:pict>
      </w:r>
      <w:r>
        <w:rPr>
          <w:rFonts w:ascii="Palatino Linotype" w:hAnsi="Palatino Linotype"/>
          <w:i/>
          <w:color w:val="231F20"/>
          <w:sz w:val="20"/>
        </w:rPr>
        <w:t>Cintya</w:t>
      </w:r>
      <w:r>
        <w:rPr>
          <w:rFonts w:ascii="Palatino Linotype" w:hAnsi="Palatino Linotype"/>
          <w:i/>
          <w:color w:val="231F20"/>
          <w:spacing w:val="-3"/>
          <w:sz w:val="20"/>
        </w:rPr>
        <w:t> </w:t>
      </w:r>
      <w:r>
        <w:rPr>
          <w:rFonts w:ascii="Palatino Linotype" w:hAnsi="Palatino Linotype"/>
          <w:i/>
          <w:color w:val="231F20"/>
          <w:sz w:val="20"/>
        </w:rPr>
        <w:t>López</w:t>
      </w:r>
      <w:r>
        <w:rPr>
          <w:rFonts w:ascii="Palatino Linotype" w:hAnsi="Palatino Linotype"/>
          <w:i/>
          <w:color w:val="231F20"/>
          <w:spacing w:val="-3"/>
          <w:sz w:val="20"/>
        </w:rPr>
        <w:t> </w:t>
      </w:r>
      <w:r>
        <w:rPr>
          <w:rFonts w:ascii="Palatino Linotype" w:hAnsi="Palatino Linotype"/>
          <w:i/>
          <w:color w:val="231F20"/>
          <w:sz w:val="20"/>
        </w:rPr>
        <w:t>Anzúrez</w:t>
      </w:r>
      <w:r>
        <w:rPr>
          <w:rFonts w:ascii="Palatino Linotype" w:hAnsi="Palatino Linotype"/>
          <w:i/>
          <w:color w:val="231F20"/>
          <w:sz w:val="20"/>
          <w:u w:val="dotted" w:color="231F20"/>
        </w:rPr>
        <w:tab/>
      </w:r>
      <w:r>
        <w:rPr>
          <w:color w:val="231F20"/>
          <w:spacing w:val="-5"/>
          <w:sz w:val="20"/>
        </w:rPr>
        <w:t>82</w:t>
      </w:r>
    </w:p>
    <w:p>
      <w:pPr>
        <w:pStyle w:val="BodyText"/>
        <w:spacing w:before="9"/>
        <w:rPr>
          <w:sz w:val="28"/>
        </w:rPr>
      </w:pPr>
    </w:p>
    <w:p>
      <w:pPr>
        <w:pStyle w:val="Heading5"/>
        <w:ind w:left="478" w:right="0"/>
        <w:rPr>
          <w:rFonts w:ascii="Cambria" w:hAnsi="Cambria"/>
        </w:rPr>
      </w:pPr>
      <w:r>
        <w:rPr>
          <w:rFonts w:ascii="Cambria" w:hAnsi="Cambria"/>
          <w:color w:val="231F20"/>
          <w:w w:val="95"/>
        </w:rPr>
        <w:t>La experiencia de un gobierno priísta: Tejupilco</w:t>
      </w:r>
    </w:p>
    <w:p>
      <w:pPr>
        <w:tabs>
          <w:tab w:pos="3407" w:val="left" w:leader="none"/>
          <w:tab w:pos="7541" w:val="left" w:leader="none"/>
        </w:tabs>
        <w:spacing w:before="41"/>
        <w:ind w:left="730" w:right="0" w:firstLine="0"/>
        <w:jc w:val="left"/>
        <w:rPr>
          <w:sz w:val="22"/>
        </w:rPr>
      </w:pPr>
      <w:r>
        <w:rPr/>
        <w:pict>
          <v:line style="position:absolute;mso-position-horizontal-relative:page;mso-position-vertical-relative:paragraph;z-index:-600496" from="205.884201pt,12.537854pt" to="205.884201pt,12.537854pt" stroked="true" strokeweight=".5pt" strokecolor="#231f20">
            <w10:wrap type="none"/>
          </v:line>
        </w:pict>
      </w:r>
      <w:r>
        <w:rPr/>
        <w:pict>
          <v:line style="position:absolute;mso-position-horizontal-relative:page;mso-position-vertical-relative:paragraph;z-index:-600472" from="416.194214pt,12.537854pt" to="416.194214pt,12.537854pt" stroked="true" strokeweight=".5pt" strokecolor="#231f20">
            <w10:wrap type="none"/>
          </v:line>
        </w:pict>
      </w:r>
      <w:r>
        <w:rPr>
          <w:rFonts w:ascii="Palatino Linotype" w:hAnsi="Palatino Linotype"/>
          <w:i/>
          <w:color w:val="231F20"/>
          <w:sz w:val="20"/>
        </w:rPr>
        <w:t>María del Pilar</w:t>
      </w:r>
      <w:r>
        <w:rPr>
          <w:rFonts w:ascii="Palatino Linotype" w:hAnsi="Palatino Linotype"/>
          <w:i/>
          <w:color w:val="231F20"/>
          <w:spacing w:val="15"/>
          <w:sz w:val="20"/>
        </w:rPr>
        <w:t> </w:t>
      </w:r>
      <w:r>
        <w:rPr>
          <w:rFonts w:ascii="Palatino Linotype" w:hAnsi="Palatino Linotype"/>
          <w:i/>
          <w:color w:val="231F20"/>
          <w:sz w:val="20"/>
        </w:rPr>
        <w:t>Silva</w:t>
      </w:r>
      <w:r>
        <w:rPr>
          <w:rFonts w:ascii="Palatino Linotype" w:hAnsi="Palatino Linotype"/>
          <w:i/>
          <w:color w:val="231F20"/>
          <w:spacing w:val="5"/>
          <w:sz w:val="20"/>
        </w:rPr>
        <w:t> </w:t>
      </w:r>
      <w:r>
        <w:rPr>
          <w:rFonts w:ascii="Palatino Linotype" w:hAnsi="Palatino Linotype"/>
          <w:i/>
          <w:color w:val="231F20"/>
          <w:sz w:val="20"/>
        </w:rPr>
        <w:t>Rivera</w:t>
        <w:tab/>
      </w:r>
      <w:r>
        <w:rPr>
          <w:rFonts w:ascii="Palatino Linotype" w:hAnsi="Palatino Linotype"/>
          <w:i/>
          <w:color w:val="231F20"/>
          <w:sz w:val="20"/>
          <w:u w:val="dotted" w:color="231F20"/>
        </w:rPr>
        <w:t> </w:t>
        <w:tab/>
      </w:r>
      <w:r>
        <w:rPr>
          <w:color w:val="231F20"/>
          <w:spacing w:val="-4"/>
          <w:sz w:val="22"/>
        </w:rPr>
        <w:t>138</w:t>
      </w:r>
    </w:p>
    <w:p>
      <w:pPr>
        <w:pStyle w:val="BodyText"/>
        <w:spacing w:before="9"/>
        <w:rPr>
          <w:sz w:val="28"/>
        </w:rPr>
      </w:pPr>
    </w:p>
    <w:p>
      <w:pPr>
        <w:pStyle w:val="Heading5"/>
        <w:ind w:left="478" w:right="0"/>
        <w:rPr>
          <w:rFonts w:ascii="Cambria" w:hAnsi="Cambria"/>
        </w:rPr>
      </w:pPr>
      <w:r>
        <w:rPr>
          <w:rFonts w:ascii="Cambria" w:hAnsi="Cambria"/>
          <w:color w:val="231F20"/>
          <w:w w:val="95"/>
        </w:rPr>
        <w:t>Chimalhuacán, gobierno subordinado a un partido político</w:t>
      </w:r>
    </w:p>
    <w:p>
      <w:pPr>
        <w:tabs>
          <w:tab w:pos="7563" w:val="left" w:leader="none"/>
        </w:tabs>
        <w:spacing w:before="41"/>
        <w:ind w:left="730" w:right="0" w:firstLine="0"/>
        <w:jc w:val="left"/>
        <w:rPr>
          <w:sz w:val="20"/>
        </w:rPr>
      </w:pPr>
      <w:r>
        <w:rPr/>
        <w:pict>
          <v:line style="position:absolute;mso-position-horizontal-relative:page;mso-position-vertical-relative:paragraph;z-index:-600640" from="187.459pt,12.392148pt" to="187.459pt,12.392148pt" stroked="true" strokeweight=".5pt" strokecolor="#231f20">
            <w10:wrap type="none"/>
          </v:line>
        </w:pict>
      </w:r>
      <w:r>
        <w:rPr/>
        <w:pict>
          <v:line style="position:absolute;mso-position-horizontal-relative:page;mso-position-vertical-relative:paragraph;z-index:-600616" from="415.945007pt,12.392148pt" to="415.945007pt,12.392148pt" stroked="true" strokeweight=".5pt" strokecolor="#231f20">
            <w10:wrap type="none"/>
          </v:line>
        </w:pict>
      </w:r>
      <w:r>
        <w:rPr>
          <w:rFonts w:ascii="Palatino Linotype"/>
          <w:i/>
          <w:color w:val="231F20"/>
          <w:sz w:val="20"/>
        </w:rPr>
        <w:t>Gregorio</w:t>
      </w:r>
      <w:r>
        <w:rPr>
          <w:rFonts w:ascii="Palatino Linotype"/>
          <w:i/>
          <w:color w:val="231F20"/>
          <w:spacing w:val="2"/>
          <w:sz w:val="20"/>
        </w:rPr>
        <w:t> </w:t>
      </w:r>
      <w:r>
        <w:rPr>
          <w:rFonts w:ascii="Palatino Linotype"/>
          <w:i/>
          <w:color w:val="231F20"/>
          <w:sz w:val="20"/>
        </w:rPr>
        <w:t>Cisneros</w:t>
      </w:r>
      <w:r>
        <w:rPr>
          <w:rFonts w:ascii="Palatino Linotype"/>
          <w:i/>
          <w:color w:val="231F20"/>
          <w:spacing w:val="2"/>
          <w:sz w:val="20"/>
        </w:rPr>
        <w:t> </w:t>
      </w:r>
      <w:r>
        <w:rPr>
          <w:rFonts w:ascii="Palatino Linotype"/>
          <w:i/>
          <w:color w:val="231F20"/>
          <w:sz w:val="20"/>
        </w:rPr>
        <w:t>Rancho</w:t>
      </w:r>
      <w:r>
        <w:rPr>
          <w:rFonts w:ascii="Palatino Linotype"/>
          <w:i/>
          <w:color w:val="231F20"/>
          <w:sz w:val="20"/>
          <w:u w:val="dotted" w:color="231F20"/>
        </w:rPr>
        <w:t> </w:t>
        <w:tab/>
      </w:r>
      <w:r>
        <w:rPr>
          <w:color w:val="231F20"/>
          <w:spacing w:val="-3"/>
          <w:sz w:val="20"/>
        </w:rPr>
        <w:t>177</w:t>
      </w:r>
    </w:p>
    <w:p>
      <w:pPr>
        <w:pStyle w:val="BodyText"/>
        <w:spacing w:before="9"/>
        <w:rPr>
          <w:sz w:val="28"/>
        </w:rPr>
      </w:pPr>
    </w:p>
    <w:p>
      <w:pPr>
        <w:pStyle w:val="Heading5"/>
        <w:ind w:left="478" w:right="0"/>
        <w:rPr>
          <w:rFonts w:ascii="Cambria" w:hAnsi="Cambria"/>
        </w:rPr>
      </w:pPr>
      <w:r>
        <w:rPr>
          <w:rFonts w:ascii="Cambria" w:hAnsi="Cambria"/>
          <w:color w:val="231F20"/>
          <w:w w:val="95"/>
        </w:rPr>
        <w:t>El pri en la administración pública municipal: Tepotzotlán</w:t>
      </w:r>
    </w:p>
    <w:p>
      <w:pPr>
        <w:tabs>
          <w:tab w:pos="7500" w:val="left" w:leader="none"/>
        </w:tabs>
        <w:spacing w:before="41"/>
        <w:ind w:left="710" w:right="0" w:firstLine="0"/>
        <w:jc w:val="left"/>
        <w:rPr>
          <w:sz w:val="20"/>
        </w:rPr>
      </w:pPr>
      <w:r>
        <w:rPr/>
        <w:pict>
          <v:line style="position:absolute;mso-position-horizontal-relative:page;mso-position-vertical-relative:paragraph;z-index:-600592" from="202.199097pt,13.246549pt" to="202.199097pt,13.246549pt" stroked="true" strokeweight=".5pt" strokecolor="#231f20">
            <w10:wrap type="none"/>
          </v:line>
        </w:pict>
      </w:r>
      <w:r>
        <w:rPr/>
        <w:pict>
          <v:line style="position:absolute;mso-position-horizontal-relative:page;mso-position-vertical-relative:paragraph;z-index:-600568" from="412.795105pt,13.246549pt" to="412.795105pt,13.246549pt" stroked="true" strokeweight=".5pt" strokecolor="#231f20">
            <w10:wrap type="none"/>
          </v:line>
        </w:pict>
      </w:r>
      <w:r>
        <w:rPr>
          <w:rFonts w:ascii="Palatino Linotype" w:hAnsi="Palatino Linotype"/>
          <w:i/>
          <w:color w:val="231F20"/>
          <w:sz w:val="20"/>
        </w:rPr>
        <w:t>Francisco</w:t>
      </w:r>
      <w:r>
        <w:rPr>
          <w:rFonts w:ascii="Palatino Linotype" w:hAnsi="Palatino Linotype"/>
          <w:i/>
          <w:color w:val="231F20"/>
          <w:spacing w:val="-3"/>
          <w:sz w:val="20"/>
        </w:rPr>
        <w:t> </w:t>
      </w:r>
      <w:r>
        <w:rPr>
          <w:rFonts w:ascii="Palatino Linotype" w:hAnsi="Palatino Linotype"/>
          <w:i/>
          <w:color w:val="231F20"/>
          <w:sz w:val="20"/>
        </w:rPr>
        <w:t>Martínez</w:t>
      </w:r>
      <w:r>
        <w:rPr>
          <w:rFonts w:ascii="Palatino Linotype" w:hAnsi="Palatino Linotype"/>
          <w:i/>
          <w:color w:val="231F20"/>
          <w:spacing w:val="-3"/>
          <w:sz w:val="20"/>
        </w:rPr>
        <w:t> </w:t>
      </w:r>
      <w:r>
        <w:rPr>
          <w:rFonts w:ascii="Palatino Linotype" w:hAnsi="Palatino Linotype"/>
          <w:i/>
          <w:color w:val="231F20"/>
          <w:sz w:val="20"/>
        </w:rPr>
        <w:t>Martínez</w:t>
      </w:r>
      <w:r>
        <w:rPr>
          <w:rFonts w:ascii="Palatino Linotype" w:hAnsi="Palatino Linotype"/>
          <w:i/>
          <w:color w:val="231F20"/>
          <w:sz w:val="20"/>
          <w:u w:val="dotted" w:color="231F20"/>
        </w:rPr>
        <w:tab/>
      </w:r>
      <w:r>
        <w:rPr>
          <w:color w:val="231F20"/>
          <w:sz w:val="20"/>
        </w:rPr>
        <w:t>202</w:t>
      </w:r>
    </w:p>
    <w:p>
      <w:pPr>
        <w:spacing w:after="0"/>
        <w:jc w:val="left"/>
        <w:rPr>
          <w:sz w:val="20"/>
        </w:rPr>
        <w:sectPr>
          <w:pgSz w:w="9640" w:h="12190"/>
          <w:pgMar w:top="1120" w:bottom="280" w:left="740" w:right="960"/>
        </w:sectPr>
      </w:pPr>
    </w:p>
    <w:p>
      <w:pPr>
        <w:pStyle w:val="BodyText"/>
        <w:spacing w:before="5"/>
        <w:rPr>
          <w:sz w:val="11"/>
        </w:rPr>
      </w:pPr>
    </w:p>
    <w:p>
      <w:pPr>
        <w:pStyle w:val="Heading5"/>
        <w:tabs>
          <w:tab w:pos="7078" w:val="left" w:leader="none"/>
        </w:tabs>
        <w:spacing w:before="34"/>
        <w:ind w:left="118" w:right="0"/>
        <w:rPr>
          <w:b w:val="0"/>
          <w:sz w:val="20"/>
        </w:rPr>
      </w:pPr>
      <w:r>
        <w:rPr/>
        <w:pict>
          <v:line style="position:absolute;mso-position-horizontal-relative:page;mso-position-vertical-relative:paragraph;z-index:-600304" from="226.435394pt,11.982623pt" to="226.435394pt,11.982623pt" stroked="true" strokeweight=".5pt" strokecolor="#231f20">
            <w10:wrap type="none"/>
          </v:line>
        </w:pict>
      </w:r>
      <w:r>
        <w:rPr/>
        <w:pict>
          <v:line style="position:absolute;mso-position-horizontal-relative:page;mso-position-vertical-relative:paragraph;z-index:-600280" from="409.694397pt,11.982623pt" to="409.694397pt,11.982623pt" stroked="true" strokeweight=".5pt" strokecolor="#231f20">
            <w10:wrap type="none"/>
          </v:line>
        </w:pict>
      </w:r>
      <w:r>
        <w:rPr>
          <w:color w:val="231F20"/>
          <w:spacing w:val="-3"/>
        </w:rPr>
        <w:t>PARTIDO</w:t>
      </w:r>
      <w:r>
        <w:rPr>
          <w:color w:val="231F20"/>
          <w:spacing w:val="-6"/>
        </w:rPr>
        <w:t> </w:t>
      </w:r>
      <w:r>
        <w:rPr>
          <w:color w:val="231F20"/>
          <w:spacing w:val="-4"/>
        </w:rPr>
        <w:t>ACCIÓN</w:t>
      </w:r>
      <w:r>
        <w:rPr>
          <w:color w:val="231F20"/>
          <w:spacing w:val="-6"/>
        </w:rPr>
        <w:t> </w:t>
      </w:r>
      <w:r>
        <w:rPr>
          <w:color w:val="231F20"/>
          <w:spacing w:val="-3"/>
        </w:rPr>
        <w:t>NACIONAL</w:t>
      </w:r>
      <w:r>
        <w:rPr>
          <w:color w:val="231F20"/>
          <w:spacing w:val="-3"/>
          <w:u w:val="dotted" w:color="231F20"/>
        </w:rPr>
        <w:tab/>
      </w:r>
      <w:r>
        <w:rPr>
          <w:b w:val="0"/>
          <w:color w:val="231F20"/>
          <w:spacing w:val="-3"/>
          <w:sz w:val="20"/>
        </w:rPr>
        <w:t>235</w:t>
      </w:r>
    </w:p>
    <w:p>
      <w:pPr>
        <w:pStyle w:val="BodyText"/>
        <w:spacing w:before="9"/>
        <w:rPr>
          <w:sz w:val="29"/>
        </w:rPr>
      </w:pPr>
    </w:p>
    <w:p>
      <w:pPr>
        <w:spacing w:before="1"/>
        <w:ind w:left="118" w:right="0" w:firstLine="0"/>
        <w:jc w:val="left"/>
        <w:rPr>
          <w:rFonts w:ascii="Cambria" w:hAnsi="Cambria"/>
          <w:b/>
          <w:sz w:val="22"/>
        </w:rPr>
      </w:pPr>
      <w:r>
        <w:rPr>
          <w:rFonts w:ascii="Cambria" w:hAnsi="Cambria"/>
          <w:b/>
          <w:color w:val="231F20"/>
          <w:w w:val="95"/>
          <w:sz w:val="22"/>
        </w:rPr>
        <w:t>Acción Nacional en Naucalpan: planeación y resultados</w:t>
      </w:r>
    </w:p>
    <w:p>
      <w:pPr>
        <w:tabs>
          <w:tab w:pos="7088" w:val="left" w:leader="none"/>
        </w:tabs>
        <w:spacing w:before="41"/>
        <w:ind w:left="330" w:right="0" w:firstLine="0"/>
        <w:jc w:val="left"/>
        <w:rPr>
          <w:sz w:val="20"/>
        </w:rPr>
      </w:pPr>
      <w:r>
        <w:rPr/>
        <w:pict>
          <v:line style="position:absolute;mso-position-horizontal-relative:page;mso-position-vertical-relative:paragraph;z-index:-600256" from="184.797699pt,12.298032pt" to="184.797699pt,12.298032pt" stroked="true" strokeweight=".5pt" strokecolor="#231f20">
            <w10:wrap type="none"/>
          </v:line>
        </w:pict>
      </w:r>
      <w:r>
        <w:rPr/>
        <w:pict>
          <v:line style="position:absolute;mso-position-horizontal-relative:page;mso-position-vertical-relative:paragraph;z-index:-600232" from="410.194702pt,12.298032pt" to="410.194702pt,12.298032pt" stroked="true" strokeweight=".5pt" strokecolor="#231f20">
            <w10:wrap type="none"/>
          </v:line>
        </w:pict>
      </w:r>
      <w:r>
        <w:rPr>
          <w:rFonts w:ascii="Palatino Linotype" w:hAnsi="Palatino Linotype"/>
          <w:i/>
          <w:color w:val="231F20"/>
          <w:sz w:val="20"/>
        </w:rPr>
        <w:t>Francisco</w:t>
      </w:r>
      <w:r>
        <w:rPr>
          <w:rFonts w:ascii="Palatino Linotype" w:hAnsi="Palatino Linotype"/>
          <w:i/>
          <w:color w:val="231F20"/>
          <w:spacing w:val="-3"/>
          <w:sz w:val="20"/>
        </w:rPr>
        <w:t> </w:t>
      </w:r>
      <w:r>
        <w:rPr>
          <w:rFonts w:ascii="Palatino Linotype" w:hAnsi="Palatino Linotype"/>
          <w:i/>
          <w:color w:val="231F20"/>
          <w:sz w:val="20"/>
        </w:rPr>
        <w:t>Reveles</w:t>
      </w:r>
      <w:r>
        <w:rPr>
          <w:rFonts w:ascii="Palatino Linotype" w:hAnsi="Palatino Linotype"/>
          <w:i/>
          <w:color w:val="231F20"/>
          <w:spacing w:val="-3"/>
          <w:sz w:val="20"/>
        </w:rPr>
        <w:t> </w:t>
      </w:r>
      <w:r>
        <w:rPr>
          <w:rFonts w:ascii="Palatino Linotype" w:hAnsi="Palatino Linotype"/>
          <w:i/>
          <w:color w:val="231F20"/>
          <w:sz w:val="20"/>
        </w:rPr>
        <w:t>Vázquez</w:t>
      </w:r>
      <w:r>
        <w:rPr>
          <w:rFonts w:ascii="Palatino Linotype" w:hAnsi="Palatino Linotype"/>
          <w:i/>
          <w:color w:val="231F20"/>
          <w:sz w:val="20"/>
          <w:u w:val="dotted" w:color="231F20"/>
        </w:rPr>
        <w:tab/>
      </w:r>
      <w:r>
        <w:rPr>
          <w:color w:val="231F20"/>
          <w:spacing w:val="-3"/>
          <w:sz w:val="20"/>
        </w:rPr>
        <w:t>236</w:t>
      </w:r>
    </w:p>
    <w:p>
      <w:pPr>
        <w:pStyle w:val="BodyText"/>
        <w:spacing w:before="9"/>
        <w:rPr>
          <w:sz w:val="28"/>
        </w:rPr>
      </w:pPr>
    </w:p>
    <w:p>
      <w:pPr>
        <w:pStyle w:val="Heading5"/>
        <w:ind w:left="118" w:right="0"/>
        <w:rPr>
          <w:rFonts w:ascii="Cambria"/>
        </w:rPr>
      </w:pPr>
      <w:r>
        <w:rPr>
          <w:rFonts w:ascii="Cambria"/>
          <w:color w:val="231F20"/>
          <w:w w:val="95"/>
        </w:rPr>
        <w:t>Tlalnepantla de Baz, 2000 - 2008. Tres gestiones panistas</w:t>
      </w:r>
    </w:p>
    <w:p>
      <w:pPr>
        <w:tabs>
          <w:tab w:pos="7088" w:val="left" w:leader="none"/>
        </w:tabs>
        <w:spacing w:before="41"/>
        <w:ind w:left="470" w:right="0" w:firstLine="0"/>
        <w:jc w:val="left"/>
        <w:rPr>
          <w:sz w:val="20"/>
        </w:rPr>
      </w:pPr>
      <w:r>
        <w:rPr/>
        <w:pict>
          <v:line style="position:absolute;mso-position-horizontal-relative:page;mso-position-vertical-relative:paragraph;z-index:-600208" from="184.797699pt,12.298032pt" to="184.797699pt,12.298032pt" stroked="true" strokeweight=".5pt" strokecolor="#231f20">
            <w10:wrap type="none"/>
          </v:line>
        </w:pict>
      </w:r>
      <w:r>
        <w:rPr/>
        <w:pict>
          <v:line style="position:absolute;mso-position-horizontal-relative:page;mso-position-vertical-relative:paragraph;z-index:-600184" from="410.194702pt,12.298032pt" to="410.194702pt,12.298032pt" stroked="true" strokeweight=".5pt" strokecolor="#231f20">
            <w10:wrap type="none"/>
          </v:line>
        </w:pict>
      </w:r>
      <w:r>
        <w:rPr>
          <w:rFonts w:ascii="Palatino Linotype"/>
          <w:i/>
          <w:color w:val="231F20"/>
          <w:sz w:val="20"/>
        </w:rPr>
        <w:t>Alberto</w:t>
      </w:r>
      <w:r>
        <w:rPr>
          <w:rFonts w:ascii="Palatino Linotype"/>
          <w:i/>
          <w:color w:val="231F20"/>
          <w:spacing w:val="-3"/>
          <w:sz w:val="20"/>
        </w:rPr>
        <w:t> </w:t>
      </w:r>
      <w:r>
        <w:rPr>
          <w:rFonts w:ascii="Palatino Linotype"/>
          <w:i/>
          <w:color w:val="231F20"/>
          <w:sz w:val="20"/>
        </w:rPr>
        <w:t>Espejel</w:t>
      </w:r>
      <w:r>
        <w:rPr>
          <w:rFonts w:ascii="Palatino Linotype"/>
          <w:i/>
          <w:color w:val="231F20"/>
          <w:spacing w:val="-3"/>
          <w:sz w:val="20"/>
        </w:rPr>
        <w:t> </w:t>
      </w:r>
      <w:r>
        <w:rPr>
          <w:rFonts w:ascii="Palatino Linotype"/>
          <w:i/>
          <w:color w:val="231F20"/>
          <w:sz w:val="20"/>
        </w:rPr>
        <w:t>Espinoza</w:t>
      </w:r>
      <w:r>
        <w:rPr>
          <w:rFonts w:ascii="Palatino Linotype"/>
          <w:i/>
          <w:color w:val="231F20"/>
          <w:sz w:val="20"/>
          <w:u w:val="dotted" w:color="231F20"/>
        </w:rPr>
        <w:tab/>
      </w:r>
      <w:r>
        <w:rPr>
          <w:color w:val="231F20"/>
          <w:sz w:val="20"/>
        </w:rPr>
        <w:t>287</w:t>
      </w:r>
    </w:p>
    <w:p>
      <w:pPr>
        <w:pStyle w:val="BodyText"/>
        <w:spacing w:before="9"/>
        <w:rPr>
          <w:sz w:val="28"/>
        </w:rPr>
      </w:pPr>
    </w:p>
    <w:p>
      <w:pPr>
        <w:pStyle w:val="Heading5"/>
        <w:ind w:left="118" w:right="0"/>
        <w:rPr>
          <w:rFonts w:ascii="Cambria" w:hAnsi="Cambria"/>
        </w:rPr>
      </w:pPr>
      <w:r>
        <w:rPr>
          <w:rFonts w:ascii="Cambria" w:hAnsi="Cambria"/>
          <w:color w:val="231F20"/>
          <w:w w:val="95"/>
        </w:rPr>
        <w:t>Atlautla: desempeño panista</w:t>
      </w:r>
    </w:p>
    <w:p>
      <w:pPr>
        <w:tabs>
          <w:tab w:pos="7088" w:val="left" w:leader="none"/>
        </w:tabs>
        <w:spacing w:before="41"/>
        <w:ind w:left="450" w:right="0" w:firstLine="0"/>
        <w:jc w:val="left"/>
        <w:rPr>
          <w:sz w:val="20"/>
        </w:rPr>
      </w:pPr>
      <w:r>
        <w:rPr/>
        <w:pict>
          <v:line style="position:absolute;mso-position-horizontal-relative:page;mso-position-vertical-relative:paragraph;z-index:-600064" from="169.033798pt,12.072934pt" to="169.033798pt,12.072934pt" stroked="true" strokeweight=".5pt" strokecolor="#231f20">
            <w10:wrap type="none"/>
          </v:line>
        </w:pict>
      </w:r>
      <w:r>
        <w:rPr/>
        <w:pict>
          <v:line style="position:absolute;mso-position-horizontal-relative:page;mso-position-vertical-relative:paragraph;z-index:-600040" from="410.194794pt,12.072934pt" to="410.194794pt,12.072934pt" stroked="true" strokeweight=".5pt" strokecolor="#231f20">
            <w10:wrap type="none"/>
          </v:line>
        </w:pict>
      </w:r>
      <w:r>
        <w:rPr>
          <w:rFonts w:ascii="Palatino Linotype" w:hAnsi="Palatino Linotype"/>
          <w:i/>
          <w:color w:val="231F20"/>
          <w:sz w:val="20"/>
        </w:rPr>
        <w:t>Ramiro</w:t>
      </w:r>
      <w:r>
        <w:rPr>
          <w:rFonts w:ascii="Palatino Linotype" w:hAnsi="Palatino Linotype"/>
          <w:i/>
          <w:color w:val="231F20"/>
          <w:spacing w:val="-3"/>
          <w:sz w:val="20"/>
        </w:rPr>
        <w:t> </w:t>
      </w:r>
      <w:r>
        <w:rPr>
          <w:rFonts w:ascii="Palatino Linotype" w:hAnsi="Palatino Linotype"/>
          <w:i/>
          <w:color w:val="231F20"/>
          <w:sz w:val="20"/>
        </w:rPr>
        <w:t>Flores</w:t>
      </w:r>
      <w:r>
        <w:rPr>
          <w:rFonts w:ascii="Palatino Linotype" w:hAnsi="Palatino Linotype"/>
          <w:i/>
          <w:color w:val="231F20"/>
          <w:spacing w:val="-3"/>
          <w:sz w:val="20"/>
        </w:rPr>
        <w:t> </w:t>
      </w:r>
      <w:r>
        <w:rPr>
          <w:rFonts w:ascii="Palatino Linotype" w:hAnsi="Palatino Linotype"/>
          <w:i/>
          <w:color w:val="231F20"/>
          <w:sz w:val="20"/>
        </w:rPr>
        <w:t>López</w:t>
      </w:r>
      <w:r>
        <w:rPr>
          <w:rFonts w:ascii="Palatino Linotype" w:hAnsi="Palatino Linotype"/>
          <w:i/>
          <w:color w:val="231F20"/>
          <w:sz w:val="20"/>
          <w:u w:val="dotted" w:color="231F20"/>
        </w:rPr>
        <w:tab/>
      </w:r>
      <w:r>
        <w:rPr>
          <w:color w:val="231F20"/>
          <w:sz w:val="20"/>
        </w:rPr>
        <w:t>327</w:t>
      </w:r>
    </w:p>
    <w:p>
      <w:pPr>
        <w:pStyle w:val="BodyText"/>
        <w:spacing w:before="1"/>
        <w:rPr>
          <w:sz w:val="29"/>
        </w:rPr>
      </w:pPr>
    </w:p>
    <w:p>
      <w:pPr>
        <w:pStyle w:val="Heading5"/>
        <w:tabs>
          <w:tab w:pos="7088" w:val="left" w:leader="none"/>
        </w:tabs>
        <w:ind w:left="118" w:right="0"/>
        <w:rPr>
          <w:b w:val="0"/>
          <w:sz w:val="20"/>
        </w:rPr>
      </w:pPr>
      <w:r>
        <w:rPr/>
        <w:pict>
          <v:line style="position:absolute;mso-position-horizontal-relative:page;mso-position-vertical-relative:paragraph;z-index:-599968" from="313.97641pt,10.519516pt" to="313.97641pt,10.519516pt" stroked="true" strokeweight=".5pt" strokecolor="#231f20">
            <w10:wrap type="none"/>
          </v:line>
        </w:pict>
      </w:r>
      <w:r>
        <w:rPr/>
        <w:pict>
          <v:line style="position:absolute;mso-position-horizontal-relative:page;mso-position-vertical-relative:paragraph;z-index:-599944" from="410.194397pt,10.519516pt" to="410.194397pt,10.519516pt" stroked="true" strokeweight=".5pt" strokecolor="#231f20">
            <w10:wrap type="none"/>
          </v:line>
        </w:pict>
      </w:r>
      <w:r>
        <w:rPr>
          <w:color w:val="231F20"/>
          <w:spacing w:val="-3"/>
        </w:rPr>
        <w:t>PARTIDO </w:t>
      </w:r>
      <w:r>
        <w:rPr>
          <w:color w:val="231F20"/>
        </w:rPr>
        <w:t>DE LA</w:t>
      </w:r>
      <w:r>
        <w:rPr>
          <w:color w:val="231F20"/>
          <w:spacing w:val="-19"/>
        </w:rPr>
        <w:t> </w:t>
      </w:r>
      <w:r>
        <w:rPr>
          <w:color w:val="231F20"/>
          <w:spacing w:val="-3"/>
        </w:rPr>
        <w:t>REVOLUCIÓN</w:t>
      </w:r>
      <w:r>
        <w:rPr>
          <w:color w:val="231F20"/>
          <w:spacing w:val="-8"/>
        </w:rPr>
        <w:t> </w:t>
      </w:r>
      <w:r>
        <w:rPr>
          <w:color w:val="231F20"/>
        </w:rPr>
        <w:t>DEMOCRÁTICA</w:t>
      </w:r>
      <w:r>
        <w:rPr>
          <w:color w:val="231F20"/>
          <w:u w:val="dotted" w:color="231F20"/>
        </w:rPr>
        <w:tab/>
      </w:r>
      <w:r>
        <w:rPr>
          <w:b w:val="0"/>
          <w:color w:val="231F20"/>
          <w:spacing w:val="-3"/>
          <w:sz w:val="20"/>
        </w:rPr>
        <w:t>350</w:t>
      </w:r>
    </w:p>
    <w:p>
      <w:pPr>
        <w:pStyle w:val="BodyText"/>
        <w:spacing w:before="9"/>
        <w:rPr>
          <w:sz w:val="29"/>
        </w:rPr>
      </w:pPr>
    </w:p>
    <w:p>
      <w:pPr>
        <w:spacing w:before="1"/>
        <w:ind w:left="118" w:right="0" w:firstLine="0"/>
        <w:jc w:val="left"/>
        <w:rPr>
          <w:rFonts w:ascii="Cambria"/>
          <w:b/>
          <w:sz w:val="22"/>
        </w:rPr>
      </w:pPr>
      <w:r>
        <w:rPr>
          <w:rFonts w:ascii="Cambria"/>
          <w:b/>
          <w:color w:val="231F20"/>
          <w:sz w:val="22"/>
        </w:rPr>
        <w:t>El gobierno del prd en Amecameca</w:t>
      </w:r>
    </w:p>
    <w:p>
      <w:pPr>
        <w:tabs>
          <w:tab w:pos="7088" w:val="left" w:leader="none"/>
        </w:tabs>
        <w:spacing w:before="41"/>
        <w:ind w:left="470" w:right="0" w:firstLine="0"/>
        <w:jc w:val="left"/>
        <w:rPr>
          <w:sz w:val="20"/>
        </w:rPr>
      </w:pPr>
      <w:r>
        <w:rPr/>
        <w:pict>
          <v:line style="position:absolute;mso-position-horizontal-relative:page;mso-position-vertical-relative:paragraph;z-index:-600016" from="206.592804pt,11.758039pt" to="206.592804pt,11.758039pt" stroked="true" strokeweight=".5pt" strokecolor="#231f20">
            <w10:wrap type="none"/>
          </v:line>
        </w:pict>
      </w:r>
      <w:r>
        <w:rPr/>
        <w:pict>
          <v:line style="position:absolute;mso-position-horizontal-relative:page;mso-position-vertical-relative:paragraph;z-index:-599992" from="410.194794pt,11.758039pt" to="410.194794pt,11.758039pt" stroked="true" strokeweight=".5pt" strokecolor="#231f20">
            <w10:wrap type="none"/>
          </v:line>
        </w:pict>
      </w:r>
      <w:r>
        <w:rPr>
          <w:rFonts w:ascii="Palatino Linotype" w:hAnsi="Palatino Linotype"/>
          <w:i/>
          <w:color w:val="231F20"/>
          <w:sz w:val="20"/>
        </w:rPr>
        <w:t>Miguel Ángel</w:t>
      </w:r>
      <w:r>
        <w:rPr>
          <w:rFonts w:ascii="Palatino Linotype" w:hAnsi="Palatino Linotype"/>
          <w:i/>
          <w:color w:val="231F20"/>
          <w:spacing w:val="-7"/>
          <w:sz w:val="20"/>
        </w:rPr>
        <w:t> </w:t>
      </w:r>
      <w:r>
        <w:rPr>
          <w:rFonts w:ascii="Palatino Linotype" w:hAnsi="Palatino Linotype"/>
          <w:i/>
          <w:color w:val="231F20"/>
          <w:sz w:val="20"/>
        </w:rPr>
        <w:t>Sánchez</w:t>
      </w:r>
      <w:r>
        <w:rPr>
          <w:rFonts w:ascii="Palatino Linotype" w:hAnsi="Palatino Linotype"/>
          <w:i/>
          <w:color w:val="231F20"/>
          <w:spacing w:val="-4"/>
          <w:sz w:val="20"/>
        </w:rPr>
        <w:t> </w:t>
      </w:r>
      <w:r>
        <w:rPr>
          <w:rFonts w:ascii="Palatino Linotype" w:hAnsi="Palatino Linotype"/>
          <w:i/>
          <w:color w:val="231F20"/>
          <w:sz w:val="20"/>
        </w:rPr>
        <w:t>Ramos</w:t>
      </w:r>
      <w:r>
        <w:rPr>
          <w:rFonts w:ascii="Palatino Linotype" w:hAnsi="Palatino Linotype"/>
          <w:i/>
          <w:color w:val="231F20"/>
          <w:sz w:val="20"/>
          <w:u w:val="dotted" w:color="231F20"/>
        </w:rPr>
        <w:tab/>
      </w:r>
      <w:r>
        <w:rPr>
          <w:color w:val="231F20"/>
          <w:sz w:val="20"/>
        </w:rPr>
        <w:t>351</w:t>
      </w:r>
    </w:p>
    <w:p>
      <w:pPr>
        <w:pStyle w:val="BodyText"/>
        <w:spacing w:before="9"/>
        <w:rPr>
          <w:sz w:val="28"/>
        </w:rPr>
      </w:pPr>
    </w:p>
    <w:p>
      <w:pPr>
        <w:pStyle w:val="Heading5"/>
        <w:ind w:left="118" w:right="0"/>
        <w:rPr>
          <w:rFonts w:ascii="Cambria" w:hAnsi="Cambria"/>
        </w:rPr>
      </w:pPr>
      <w:r>
        <w:rPr>
          <w:rFonts w:ascii="Cambria" w:hAnsi="Cambria"/>
          <w:color w:val="231F20"/>
          <w:w w:val="95"/>
        </w:rPr>
        <w:t>El predominio del prd en Nezahualcóyotl</w:t>
      </w:r>
    </w:p>
    <w:p>
      <w:pPr>
        <w:tabs>
          <w:tab w:pos="7088" w:val="left" w:leader="none"/>
        </w:tabs>
        <w:spacing w:before="41"/>
        <w:ind w:left="470" w:right="0" w:firstLine="0"/>
        <w:jc w:val="left"/>
        <w:rPr>
          <w:sz w:val="20"/>
        </w:rPr>
      </w:pPr>
      <w:r>
        <w:rPr/>
        <w:pict>
          <v:line style="position:absolute;mso-position-horizontal-relative:page;mso-position-vertical-relative:paragraph;z-index:-599920" from="179.663696pt,12.254041pt" to="179.663696pt,12.254041pt" stroked="true" strokeweight=".5pt" strokecolor="#231f20">
            <w10:wrap type="none"/>
          </v:line>
        </w:pict>
      </w:r>
      <w:r>
        <w:rPr/>
        <w:pict>
          <v:line style="position:absolute;mso-position-horizontal-relative:page;mso-position-vertical-relative:paragraph;z-index:-599896" from="410.194702pt,12.254041pt" to="410.194702pt,12.254041pt" stroked="true" strokeweight=".5pt" strokecolor="#231f20">
            <w10:wrap type="none"/>
          </v:line>
        </w:pict>
      </w:r>
      <w:r>
        <w:rPr>
          <w:rFonts w:ascii="Palatino Linotype" w:hAnsi="Palatino Linotype"/>
          <w:i/>
          <w:color w:val="231F20"/>
          <w:w w:val="105"/>
          <w:sz w:val="20"/>
        </w:rPr>
        <w:t>Ricardo</w:t>
      </w:r>
      <w:r>
        <w:rPr>
          <w:rFonts w:ascii="Palatino Linotype" w:hAnsi="Palatino Linotype"/>
          <w:i/>
          <w:color w:val="231F20"/>
          <w:spacing w:val="-6"/>
          <w:w w:val="105"/>
          <w:sz w:val="20"/>
        </w:rPr>
        <w:t> </w:t>
      </w:r>
      <w:r>
        <w:rPr>
          <w:rFonts w:ascii="Palatino Linotype" w:hAnsi="Palatino Linotype"/>
          <w:i/>
          <w:color w:val="231F20"/>
          <w:w w:val="105"/>
          <w:sz w:val="20"/>
        </w:rPr>
        <w:t>Cortés</w:t>
      </w:r>
      <w:r>
        <w:rPr>
          <w:rFonts w:ascii="Palatino Linotype" w:hAnsi="Palatino Linotype"/>
          <w:i/>
          <w:color w:val="231F20"/>
          <w:spacing w:val="-6"/>
          <w:w w:val="105"/>
          <w:sz w:val="20"/>
        </w:rPr>
        <w:t> </w:t>
      </w:r>
      <w:r>
        <w:rPr>
          <w:rFonts w:ascii="Palatino Linotype" w:hAnsi="Palatino Linotype"/>
          <w:i/>
          <w:color w:val="231F20"/>
          <w:w w:val="105"/>
          <w:sz w:val="20"/>
        </w:rPr>
        <w:t>Padilla</w:t>
      </w:r>
      <w:r>
        <w:rPr>
          <w:rFonts w:ascii="Palatino Linotype" w:hAnsi="Palatino Linotype"/>
          <w:i/>
          <w:color w:val="231F20"/>
          <w:w w:val="105"/>
          <w:sz w:val="20"/>
          <w:u w:val="dotted" w:color="231F20"/>
        </w:rPr>
        <w:tab/>
      </w:r>
      <w:r>
        <w:rPr>
          <w:color w:val="231F20"/>
          <w:spacing w:val="-4"/>
          <w:w w:val="105"/>
          <w:sz w:val="20"/>
        </w:rPr>
        <w:t>382</w:t>
      </w:r>
    </w:p>
    <w:p>
      <w:pPr>
        <w:pStyle w:val="BodyText"/>
        <w:spacing w:before="9"/>
        <w:rPr>
          <w:sz w:val="28"/>
        </w:rPr>
      </w:pPr>
    </w:p>
    <w:p>
      <w:pPr>
        <w:pStyle w:val="Heading5"/>
        <w:ind w:left="118" w:right="0"/>
        <w:rPr>
          <w:rFonts w:ascii="Cambria"/>
        </w:rPr>
      </w:pPr>
      <w:r>
        <w:rPr>
          <w:rFonts w:ascii="Cambria"/>
          <w:color w:val="231F20"/>
          <w:w w:val="95"/>
        </w:rPr>
        <w:t>El gobierno del municipio de Chalco</w:t>
      </w:r>
    </w:p>
    <w:p>
      <w:pPr>
        <w:tabs>
          <w:tab w:pos="7088" w:val="left" w:leader="none"/>
        </w:tabs>
        <w:spacing w:before="41"/>
        <w:ind w:left="470" w:right="0" w:firstLine="0"/>
        <w:jc w:val="left"/>
        <w:rPr>
          <w:sz w:val="20"/>
        </w:rPr>
      </w:pPr>
      <w:r>
        <w:rPr/>
        <w:pict>
          <v:line style="position:absolute;mso-position-horizontal-relative:page;mso-position-vertical-relative:paragraph;z-index:-599872" from="328.624298pt,12.986661pt" to="328.624298pt,12.986661pt" stroked="true" strokeweight=".5pt" strokecolor="#231f20">
            <w10:wrap type="none"/>
          </v:line>
        </w:pict>
      </w:r>
      <w:r>
        <w:rPr/>
        <w:pict>
          <v:line style="position:absolute;mso-position-horizontal-relative:page;mso-position-vertical-relative:paragraph;z-index:-599848" from="410.194305pt,12.986661pt" to="410.194305pt,12.986661pt" stroked="true" strokeweight=".5pt" strokecolor="#231f20">
            <w10:wrap type="none"/>
          </v:line>
        </w:pict>
      </w:r>
      <w:r>
        <w:rPr>
          <w:rFonts w:ascii="Palatino Linotype" w:hAnsi="Palatino Linotype"/>
          <w:i/>
          <w:color w:val="231F20"/>
          <w:w w:val="110"/>
          <w:sz w:val="20"/>
        </w:rPr>
        <w:t>Mónica</w:t>
      </w:r>
      <w:r>
        <w:rPr>
          <w:rFonts w:ascii="Palatino Linotype" w:hAnsi="Palatino Linotype"/>
          <w:i/>
          <w:color w:val="231F20"/>
          <w:spacing w:val="-16"/>
          <w:w w:val="110"/>
          <w:sz w:val="20"/>
        </w:rPr>
        <w:t> </w:t>
      </w:r>
      <w:r>
        <w:rPr>
          <w:rFonts w:ascii="Palatino Linotype" w:hAnsi="Palatino Linotype"/>
          <w:i/>
          <w:color w:val="231F20"/>
          <w:w w:val="110"/>
          <w:sz w:val="20"/>
        </w:rPr>
        <w:t>Selene</w:t>
      </w:r>
      <w:r>
        <w:rPr>
          <w:rFonts w:ascii="Palatino Linotype" w:hAnsi="Palatino Linotype"/>
          <w:i/>
          <w:color w:val="231F20"/>
          <w:spacing w:val="-16"/>
          <w:w w:val="110"/>
          <w:sz w:val="20"/>
        </w:rPr>
        <w:t> </w:t>
      </w:r>
      <w:r>
        <w:rPr>
          <w:rFonts w:ascii="Palatino Linotype" w:hAnsi="Palatino Linotype"/>
          <w:i/>
          <w:color w:val="231F20"/>
          <w:w w:val="110"/>
          <w:sz w:val="20"/>
        </w:rPr>
        <w:t>Meléndez</w:t>
      </w:r>
      <w:r>
        <w:rPr>
          <w:rFonts w:ascii="Palatino Linotype" w:hAnsi="Palatino Linotype"/>
          <w:i/>
          <w:color w:val="231F20"/>
          <w:spacing w:val="-16"/>
          <w:w w:val="110"/>
          <w:sz w:val="20"/>
        </w:rPr>
        <w:t> </w:t>
      </w:r>
      <w:r>
        <w:rPr>
          <w:rFonts w:ascii="Palatino Linotype" w:hAnsi="Palatino Linotype"/>
          <w:i/>
          <w:color w:val="231F20"/>
          <w:w w:val="110"/>
          <w:sz w:val="20"/>
        </w:rPr>
        <w:t>Rivera</w:t>
      </w:r>
      <w:r>
        <w:rPr>
          <w:rFonts w:ascii="Palatino Linotype" w:hAnsi="Palatino Linotype"/>
          <w:i/>
          <w:color w:val="231F20"/>
          <w:spacing w:val="-16"/>
          <w:w w:val="110"/>
          <w:sz w:val="20"/>
        </w:rPr>
        <w:t> </w:t>
      </w:r>
      <w:r>
        <w:rPr>
          <w:color w:val="231F20"/>
          <w:w w:val="140"/>
          <w:sz w:val="20"/>
        </w:rPr>
        <w:t>|</w:t>
      </w:r>
      <w:r>
        <w:rPr>
          <w:color w:val="231F20"/>
          <w:spacing w:val="-31"/>
          <w:w w:val="140"/>
          <w:sz w:val="20"/>
        </w:rPr>
        <w:t> </w:t>
      </w:r>
      <w:r>
        <w:rPr>
          <w:rFonts w:ascii="Palatino Linotype" w:hAnsi="Palatino Linotype"/>
          <w:i/>
          <w:color w:val="231F20"/>
          <w:w w:val="110"/>
          <w:sz w:val="20"/>
        </w:rPr>
        <w:t>Jeany</w:t>
      </w:r>
      <w:r>
        <w:rPr>
          <w:rFonts w:ascii="Palatino Linotype" w:hAnsi="Palatino Linotype"/>
          <w:i/>
          <w:color w:val="231F20"/>
          <w:spacing w:val="-16"/>
          <w:w w:val="110"/>
          <w:sz w:val="20"/>
        </w:rPr>
        <w:t> </w:t>
      </w:r>
      <w:r>
        <w:rPr>
          <w:rFonts w:ascii="Palatino Linotype" w:hAnsi="Palatino Linotype"/>
          <w:i/>
          <w:color w:val="231F20"/>
          <w:w w:val="110"/>
          <w:sz w:val="20"/>
        </w:rPr>
        <w:t>Fernández</w:t>
      </w:r>
      <w:r>
        <w:rPr>
          <w:rFonts w:ascii="Palatino Linotype" w:hAnsi="Palatino Linotype"/>
          <w:i/>
          <w:color w:val="231F20"/>
          <w:spacing w:val="-16"/>
          <w:w w:val="110"/>
          <w:sz w:val="20"/>
        </w:rPr>
        <w:t> </w:t>
      </w:r>
      <w:r>
        <w:rPr>
          <w:rFonts w:ascii="Palatino Linotype" w:hAnsi="Palatino Linotype"/>
          <w:i/>
          <w:color w:val="231F20"/>
          <w:w w:val="110"/>
          <w:sz w:val="20"/>
        </w:rPr>
        <w:t>Jiménez</w:t>
      </w:r>
      <w:r>
        <w:rPr>
          <w:rFonts w:ascii="Palatino Linotype" w:hAnsi="Palatino Linotype"/>
          <w:i/>
          <w:color w:val="231F20"/>
          <w:w w:val="110"/>
          <w:sz w:val="20"/>
          <w:u w:val="dotted" w:color="231F20"/>
        </w:rPr>
        <w:tab/>
      </w:r>
      <w:r>
        <w:rPr>
          <w:color w:val="231F20"/>
          <w:spacing w:val="-7"/>
          <w:w w:val="110"/>
          <w:sz w:val="20"/>
        </w:rPr>
        <w:t>417</w:t>
      </w:r>
    </w:p>
    <w:p>
      <w:pPr>
        <w:pStyle w:val="BodyText"/>
        <w:spacing w:before="1"/>
        <w:rPr>
          <w:sz w:val="29"/>
        </w:rPr>
      </w:pPr>
    </w:p>
    <w:p>
      <w:pPr>
        <w:pStyle w:val="Heading5"/>
        <w:tabs>
          <w:tab w:pos="7088" w:val="left" w:leader="none"/>
        </w:tabs>
        <w:ind w:left="118" w:right="0"/>
        <w:rPr>
          <w:b w:val="0"/>
          <w:sz w:val="20"/>
        </w:rPr>
      </w:pPr>
      <w:r>
        <w:rPr/>
        <w:pict>
          <v:line style="position:absolute;mso-position-horizontal-relative:page;mso-position-vertical-relative:paragraph;z-index:-600160" from="195.254303pt,9.38504pt" to="195.254303pt,9.38504pt" stroked="true" strokeweight=".5pt" strokecolor="#231f20">
            <w10:wrap type="none"/>
          </v:line>
        </w:pict>
      </w:r>
      <w:r>
        <w:rPr/>
        <w:pict>
          <v:line style="position:absolute;mso-position-horizontal-relative:page;mso-position-vertical-relative:paragraph;z-index:-600136" from="410.194305pt,9.38504pt" to="410.194305pt,9.38504pt" stroked="true" strokeweight=".5pt" strokecolor="#231f20">
            <w10:wrap type="none"/>
          </v:line>
        </w:pict>
      </w:r>
      <w:r>
        <w:rPr>
          <w:color w:val="231F20"/>
          <w:spacing w:val="-3"/>
        </w:rPr>
        <w:t>PARTIDO</w:t>
      </w:r>
      <w:r>
        <w:rPr>
          <w:color w:val="231F20"/>
          <w:spacing w:val="-7"/>
        </w:rPr>
        <w:t> </w:t>
      </w:r>
      <w:r>
        <w:rPr>
          <w:color w:val="231F20"/>
        </w:rPr>
        <w:t>DEL</w:t>
      </w:r>
      <w:r>
        <w:rPr>
          <w:color w:val="231F20"/>
          <w:spacing w:val="-7"/>
        </w:rPr>
        <w:t> </w:t>
      </w:r>
      <w:r>
        <w:rPr>
          <w:color w:val="231F20"/>
        </w:rPr>
        <w:t>TRABAJO</w:t>
      </w:r>
      <w:r>
        <w:rPr>
          <w:color w:val="231F20"/>
          <w:u w:val="dotted" w:color="231F20"/>
        </w:rPr>
        <w:tab/>
      </w:r>
      <w:r>
        <w:rPr>
          <w:b w:val="0"/>
          <w:color w:val="231F20"/>
          <w:sz w:val="20"/>
        </w:rPr>
        <w:t>445</w:t>
      </w:r>
    </w:p>
    <w:p>
      <w:pPr>
        <w:pStyle w:val="BodyText"/>
        <w:spacing w:before="9"/>
        <w:rPr>
          <w:sz w:val="29"/>
        </w:rPr>
      </w:pPr>
    </w:p>
    <w:p>
      <w:pPr>
        <w:spacing w:before="1"/>
        <w:ind w:left="118" w:right="0" w:firstLine="0"/>
        <w:jc w:val="left"/>
        <w:rPr>
          <w:rFonts w:ascii="Cambria" w:hAnsi="Cambria"/>
          <w:b/>
          <w:sz w:val="22"/>
        </w:rPr>
      </w:pPr>
      <w:r>
        <w:rPr>
          <w:rFonts w:ascii="Cambria" w:hAnsi="Cambria"/>
          <w:b/>
          <w:color w:val="231F20"/>
          <w:sz w:val="22"/>
        </w:rPr>
        <w:t>La gestión del Partido del Trabajo en el municipio de Ozumba</w:t>
      </w:r>
    </w:p>
    <w:p>
      <w:pPr>
        <w:tabs>
          <w:tab w:pos="7088" w:val="left" w:leader="none"/>
        </w:tabs>
        <w:spacing w:before="41"/>
        <w:ind w:left="470" w:right="0" w:firstLine="0"/>
        <w:jc w:val="left"/>
        <w:rPr>
          <w:sz w:val="20"/>
        </w:rPr>
      </w:pPr>
      <w:r>
        <w:rPr/>
        <w:pict>
          <v:line style="position:absolute;mso-position-horizontal-relative:page;mso-position-vertical-relative:paragraph;z-index:-600112" from="216.514099pt,12.01785pt" to="216.514099pt,12.01785pt" stroked="true" strokeweight=".5pt" strokecolor="#231f20">
            <w10:wrap type="none"/>
          </v:line>
        </w:pict>
      </w:r>
      <w:r>
        <w:rPr/>
        <w:pict>
          <v:line style="position:absolute;mso-position-horizontal-relative:page;mso-position-vertical-relative:paragraph;z-index:-600088" from="410.195099pt,12.01785pt" to="410.195099pt,12.01785pt" stroked="true" strokeweight=".5pt" strokecolor="#231f20">
            <w10:wrap type="none"/>
          </v:line>
        </w:pict>
      </w:r>
      <w:r>
        <w:rPr>
          <w:rFonts w:ascii="Palatino Linotype"/>
          <w:i/>
          <w:color w:val="231F20"/>
          <w:w w:val="105"/>
          <w:sz w:val="20"/>
        </w:rPr>
        <w:t>Orlando Justino</w:t>
      </w:r>
      <w:r>
        <w:rPr>
          <w:rFonts w:ascii="Palatino Linotype"/>
          <w:i/>
          <w:color w:val="231F20"/>
          <w:spacing w:val="-12"/>
          <w:w w:val="105"/>
          <w:sz w:val="20"/>
        </w:rPr>
        <w:t> </w:t>
      </w:r>
      <w:r>
        <w:rPr>
          <w:rFonts w:ascii="Palatino Linotype"/>
          <w:i/>
          <w:color w:val="231F20"/>
          <w:w w:val="105"/>
          <w:sz w:val="20"/>
        </w:rPr>
        <w:t>Jaimes</w:t>
      </w:r>
      <w:r>
        <w:rPr>
          <w:rFonts w:ascii="Palatino Linotype"/>
          <w:i/>
          <w:color w:val="231F20"/>
          <w:spacing w:val="-6"/>
          <w:w w:val="105"/>
          <w:sz w:val="20"/>
        </w:rPr>
        <w:t> </w:t>
      </w:r>
      <w:r>
        <w:rPr>
          <w:rFonts w:ascii="Palatino Linotype"/>
          <w:i/>
          <w:color w:val="231F20"/>
          <w:w w:val="105"/>
          <w:sz w:val="20"/>
        </w:rPr>
        <w:t>Estrada</w:t>
      </w:r>
      <w:r>
        <w:rPr>
          <w:rFonts w:ascii="Palatino Linotype"/>
          <w:i/>
          <w:color w:val="231F20"/>
          <w:w w:val="105"/>
          <w:sz w:val="20"/>
          <w:u w:val="dotted" w:color="231F20"/>
        </w:rPr>
        <w:tab/>
      </w:r>
      <w:r>
        <w:rPr>
          <w:color w:val="231F20"/>
          <w:w w:val="105"/>
          <w:sz w:val="20"/>
        </w:rPr>
        <w:t>446</w:t>
      </w:r>
    </w:p>
    <w:p>
      <w:pPr>
        <w:spacing w:after="0"/>
        <w:jc w:val="left"/>
        <w:rPr>
          <w:sz w:val="20"/>
        </w:rPr>
        <w:sectPr>
          <w:pgSz w:w="9640" w:h="12190"/>
          <w:pgMar w:top="1120" w:bottom="280" w:left="110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pPr>
      <w:r>
        <w:rPr>
          <w:color w:val="231F20"/>
          <w:w w:val="105"/>
        </w:rPr>
        <w:t>Presentación</w:t>
      </w:r>
    </w:p>
    <w:p>
      <w:pPr>
        <w:pStyle w:val="BodyText"/>
        <w:spacing w:before="10"/>
        <w:rPr>
          <w:b/>
          <w:sz w:val="27"/>
        </w:rPr>
      </w:pPr>
    </w:p>
    <w:p>
      <w:pPr>
        <w:pStyle w:val="BodyText"/>
        <w:spacing w:line="285" w:lineRule="auto"/>
        <w:ind w:left="110" w:right="108"/>
        <w:jc w:val="both"/>
      </w:pPr>
      <w:r>
        <w:rPr>
          <w:color w:val="231F20"/>
          <w:spacing w:val="-17"/>
          <w:w w:val="102"/>
        </w:rPr>
        <w:t>P</w:t>
      </w:r>
      <w:r>
        <w:rPr>
          <w:color w:val="231F20"/>
          <w:spacing w:val="2"/>
          <w:w w:val="133"/>
        </w:rPr>
        <w:t>a</w:t>
      </w:r>
      <w:r>
        <w:rPr>
          <w:color w:val="231F20"/>
          <w:spacing w:val="3"/>
          <w:w w:val="165"/>
        </w:rPr>
        <w:t>r</w:t>
      </w:r>
      <w:r>
        <w:rPr>
          <w:color w:val="231F20"/>
          <w:w w:val="133"/>
        </w:rPr>
        <w:t>a</w:t>
      </w:r>
      <w:r>
        <w:rPr>
          <w:color w:val="231F20"/>
          <w:spacing w:val="11"/>
        </w:rPr>
        <w:t> </w:t>
      </w:r>
      <w:r>
        <w:rPr>
          <w:color w:val="231F20"/>
          <w:spacing w:val="-2"/>
          <w:w w:val="127"/>
        </w:rPr>
        <w:t>c</w:t>
      </w:r>
      <w:r>
        <w:rPr>
          <w:color w:val="231F20"/>
          <w:spacing w:val="-6"/>
          <w:w w:val="127"/>
        </w:rPr>
        <w:t>o</w:t>
      </w:r>
      <w:r>
        <w:rPr>
          <w:color w:val="231F20"/>
          <w:w w:val="98"/>
        </w:rPr>
        <w:t>m</w:t>
      </w:r>
      <w:r>
        <w:rPr>
          <w:color w:val="231F20"/>
          <w:spacing w:val="-5"/>
          <w:w w:val="101"/>
        </w:rPr>
        <w:t>p</w:t>
      </w:r>
      <w:r>
        <w:rPr>
          <w:color w:val="231F20"/>
          <w:spacing w:val="1"/>
          <w:w w:val="165"/>
        </w:rPr>
        <w:t>r</w:t>
      </w:r>
      <w:r>
        <w:rPr>
          <w:color w:val="231F20"/>
          <w:spacing w:val="-2"/>
          <w:w w:val="112"/>
        </w:rPr>
        <w:t>e</w:t>
      </w:r>
      <w:r>
        <w:rPr>
          <w:color w:val="231F20"/>
          <w:spacing w:val="1"/>
          <w:w w:val="129"/>
        </w:rPr>
        <w:t>n</w:t>
      </w:r>
      <w:r>
        <w:rPr>
          <w:color w:val="231F20"/>
          <w:spacing w:val="-7"/>
          <w:w w:val="123"/>
        </w:rPr>
        <w:t>d</w:t>
      </w:r>
      <w:r>
        <w:rPr>
          <w:color w:val="231F20"/>
          <w:spacing w:val="-2"/>
          <w:w w:val="112"/>
        </w:rPr>
        <w:t>e</w:t>
      </w:r>
      <w:r>
        <w:rPr>
          <w:color w:val="231F20"/>
          <w:w w:val="165"/>
        </w:rPr>
        <w:t>r</w:t>
      </w:r>
      <w:r>
        <w:rPr>
          <w:color w:val="231F20"/>
          <w:spacing w:val="11"/>
        </w:rPr>
        <w:t> </w:t>
      </w:r>
      <w:r>
        <w:rPr>
          <w:color w:val="231F20"/>
          <w:w w:val="133"/>
        </w:rPr>
        <w:t>a</w:t>
      </w:r>
      <w:r>
        <w:rPr>
          <w:color w:val="231F20"/>
          <w:spacing w:val="11"/>
        </w:rPr>
        <w:t> </w:t>
      </w:r>
      <w:r>
        <w:rPr>
          <w:color w:val="231F20"/>
          <w:spacing w:val="-3"/>
          <w:w w:val="144"/>
        </w:rPr>
        <w:t>f</w:t>
      </w:r>
      <w:r>
        <w:rPr>
          <w:color w:val="231F20"/>
          <w:spacing w:val="-6"/>
          <w:w w:val="127"/>
        </w:rPr>
        <w:t>o</w:t>
      </w:r>
      <w:r>
        <w:rPr>
          <w:color w:val="231F20"/>
          <w:spacing w:val="1"/>
          <w:w w:val="129"/>
        </w:rPr>
        <w:t>n</w:t>
      </w:r>
      <w:r>
        <w:rPr>
          <w:color w:val="231F20"/>
          <w:spacing w:val="-1"/>
          <w:w w:val="123"/>
        </w:rPr>
        <w:t>d</w:t>
      </w:r>
      <w:r>
        <w:rPr>
          <w:color w:val="231F20"/>
          <w:w w:val="127"/>
        </w:rPr>
        <w:t>o</w:t>
      </w:r>
      <w:r>
        <w:rPr>
          <w:color w:val="231F20"/>
          <w:spacing w:val="11"/>
        </w:rPr>
        <w:t> </w:t>
      </w:r>
      <w:r>
        <w:rPr>
          <w:color w:val="231F20"/>
          <w:w w:val="133"/>
        </w:rPr>
        <w:t>a</w:t>
      </w:r>
      <w:r>
        <w:rPr>
          <w:color w:val="231F20"/>
          <w:spacing w:val="11"/>
        </w:rPr>
        <w:t> </w:t>
      </w:r>
      <w:r>
        <w:rPr>
          <w:color w:val="231F20"/>
          <w:spacing w:val="-1"/>
          <w:w w:val="175"/>
        </w:rPr>
        <w:t>l</w:t>
      </w:r>
      <w:r>
        <w:rPr>
          <w:color w:val="231F20"/>
          <w:spacing w:val="-4"/>
          <w:w w:val="127"/>
        </w:rPr>
        <w:t>o</w:t>
      </w:r>
      <w:r>
        <w:rPr>
          <w:color w:val="231F20"/>
          <w:w w:val="118"/>
        </w:rPr>
        <w:t>s</w:t>
      </w:r>
      <w:r>
        <w:rPr>
          <w:color w:val="231F20"/>
          <w:spacing w:val="11"/>
        </w:rPr>
        <w:t> </w:t>
      </w:r>
      <w:r>
        <w:rPr>
          <w:color w:val="231F20"/>
          <w:spacing w:val="-16"/>
          <w:w w:val="101"/>
        </w:rPr>
        <w:t>p</w:t>
      </w:r>
      <w:r>
        <w:rPr>
          <w:color w:val="231F20"/>
          <w:spacing w:val="2"/>
          <w:w w:val="133"/>
        </w:rPr>
        <w:t>a</w:t>
      </w:r>
      <w:r>
        <w:rPr>
          <w:color w:val="231F20"/>
          <w:spacing w:val="-6"/>
          <w:w w:val="165"/>
        </w:rPr>
        <w:t>r</w:t>
      </w:r>
      <w:r>
        <w:rPr>
          <w:color w:val="231F20"/>
          <w:spacing w:val="-1"/>
          <w:w w:val="203"/>
        </w:rPr>
        <w:t>t</w:t>
      </w:r>
      <w:r>
        <w:rPr>
          <w:color w:val="231F20"/>
          <w:w w:val="121"/>
        </w:rPr>
        <w:t>i</w:t>
      </w:r>
      <w:r>
        <w:rPr>
          <w:color w:val="231F20"/>
          <w:spacing w:val="-1"/>
          <w:w w:val="121"/>
        </w:rPr>
        <w:t>d</w:t>
      </w:r>
      <w:r>
        <w:rPr>
          <w:color w:val="231F20"/>
          <w:spacing w:val="-4"/>
          <w:w w:val="127"/>
        </w:rPr>
        <w:t>o</w:t>
      </w:r>
      <w:r>
        <w:rPr>
          <w:color w:val="231F20"/>
          <w:w w:val="118"/>
        </w:rPr>
        <w:t>s</w:t>
      </w:r>
      <w:r>
        <w:rPr>
          <w:color w:val="231F20"/>
          <w:spacing w:val="11"/>
        </w:rPr>
        <w:t> </w:t>
      </w:r>
      <w:r>
        <w:rPr>
          <w:color w:val="231F20"/>
          <w:spacing w:val="-2"/>
          <w:w w:val="101"/>
        </w:rPr>
        <w:t>p</w:t>
      </w:r>
      <w:r>
        <w:rPr>
          <w:color w:val="231F20"/>
          <w:spacing w:val="-6"/>
          <w:w w:val="127"/>
        </w:rPr>
        <w:t>o</w:t>
      </w:r>
      <w:r>
        <w:rPr>
          <w:color w:val="231F20"/>
          <w:spacing w:val="-1"/>
          <w:w w:val="175"/>
        </w:rPr>
        <w:t>l</w:t>
      </w:r>
      <w:r>
        <w:rPr>
          <w:color w:val="231F20"/>
          <w:spacing w:val="-3"/>
          <w:w w:val="116"/>
        </w:rPr>
        <w:t>í</w:t>
      </w:r>
      <w:r>
        <w:rPr>
          <w:color w:val="231F20"/>
          <w:spacing w:val="-1"/>
          <w:w w:val="203"/>
        </w:rPr>
        <w:t>t</w:t>
      </w:r>
      <w:r>
        <w:rPr>
          <w:color w:val="231F20"/>
          <w:spacing w:val="-6"/>
          <w:w w:val="116"/>
        </w:rPr>
        <w:t>i</w:t>
      </w:r>
      <w:r>
        <w:rPr>
          <w:color w:val="231F20"/>
          <w:spacing w:val="-2"/>
          <w:w w:val="127"/>
        </w:rPr>
        <w:t>c</w:t>
      </w:r>
      <w:r>
        <w:rPr>
          <w:color w:val="231F20"/>
          <w:spacing w:val="-4"/>
          <w:w w:val="127"/>
        </w:rPr>
        <w:t>o</w:t>
      </w:r>
      <w:r>
        <w:rPr>
          <w:color w:val="231F20"/>
          <w:w w:val="118"/>
        </w:rPr>
        <w:t>s</w:t>
      </w:r>
      <w:r>
        <w:rPr>
          <w:color w:val="231F20"/>
          <w:spacing w:val="11"/>
        </w:rPr>
        <w:t> </w:t>
      </w:r>
      <w:r>
        <w:rPr>
          <w:color w:val="231F20"/>
          <w:spacing w:val="-2"/>
          <w:w w:val="112"/>
        </w:rPr>
        <w:t>e</w:t>
      </w:r>
      <w:r>
        <w:rPr>
          <w:color w:val="231F20"/>
          <w:w w:val="129"/>
        </w:rPr>
        <w:t>n</w:t>
      </w:r>
      <w:r>
        <w:rPr>
          <w:color w:val="231F20"/>
          <w:spacing w:val="11"/>
        </w:rPr>
        <w:t> </w:t>
      </w:r>
      <w:r>
        <w:rPr>
          <w:color w:val="231F20"/>
          <w:spacing w:val="-2"/>
          <w:w w:val="112"/>
        </w:rPr>
        <w:t>e</w:t>
      </w:r>
      <w:r>
        <w:rPr>
          <w:color w:val="231F20"/>
          <w:w w:val="175"/>
        </w:rPr>
        <w:t>l</w:t>
      </w:r>
      <w:r>
        <w:rPr>
          <w:color w:val="231F20"/>
          <w:spacing w:val="11"/>
        </w:rPr>
        <w:t> </w:t>
      </w:r>
      <w:r>
        <w:rPr>
          <w:color w:val="231F20"/>
          <w:w w:val="92"/>
        </w:rPr>
        <w:t>E</w:t>
      </w:r>
      <w:r>
        <w:rPr>
          <w:color w:val="231F20"/>
          <w:spacing w:val="-5"/>
          <w:w w:val="118"/>
        </w:rPr>
        <w:t>s</w:t>
      </w:r>
      <w:r>
        <w:rPr>
          <w:color w:val="231F20"/>
          <w:spacing w:val="-9"/>
          <w:w w:val="203"/>
        </w:rPr>
        <w:t>t</w:t>
      </w:r>
      <w:r>
        <w:rPr>
          <w:color w:val="231F20"/>
          <w:spacing w:val="2"/>
          <w:w w:val="133"/>
        </w:rPr>
        <w:t>a</w:t>
      </w:r>
      <w:r>
        <w:rPr>
          <w:color w:val="231F20"/>
          <w:spacing w:val="-1"/>
          <w:w w:val="123"/>
        </w:rPr>
        <w:t>d</w:t>
      </w:r>
      <w:r>
        <w:rPr>
          <w:color w:val="231F20"/>
          <w:w w:val="127"/>
        </w:rPr>
        <w:t>o</w:t>
      </w:r>
      <w:r>
        <w:rPr>
          <w:color w:val="231F20"/>
          <w:spacing w:val="11"/>
        </w:rPr>
        <w:t> </w:t>
      </w:r>
      <w:r>
        <w:rPr>
          <w:color w:val="231F20"/>
          <w:spacing w:val="-7"/>
          <w:w w:val="123"/>
        </w:rPr>
        <w:t>d</w:t>
      </w:r>
      <w:r>
        <w:rPr>
          <w:color w:val="231F20"/>
          <w:w w:val="112"/>
        </w:rPr>
        <w:t>e</w:t>
      </w:r>
      <w:r>
        <w:rPr>
          <w:color w:val="231F20"/>
          <w:spacing w:val="11"/>
        </w:rPr>
        <w:t> </w:t>
      </w:r>
      <w:r>
        <w:rPr>
          <w:color w:val="231F20"/>
          <w:spacing w:val="2"/>
          <w:w w:val="104"/>
        </w:rPr>
        <w:t>M</w:t>
      </w:r>
      <w:r>
        <w:rPr>
          <w:color w:val="231F20"/>
          <w:spacing w:val="-1"/>
          <w:w w:val="112"/>
        </w:rPr>
        <w:t>é</w:t>
      </w:r>
      <w:r>
        <w:rPr>
          <w:color w:val="231F20"/>
          <w:spacing w:val="1"/>
          <w:w w:val="117"/>
        </w:rPr>
        <w:t>x</w:t>
      </w:r>
      <w:r>
        <w:rPr>
          <w:color w:val="231F20"/>
          <w:spacing w:val="-6"/>
          <w:w w:val="116"/>
        </w:rPr>
        <w:t>i</w:t>
      </w:r>
      <w:r>
        <w:rPr>
          <w:color w:val="231F20"/>
          <w:spacing w:val="-2"/>
          <w:w w:val="127"/>
        </w:rPr>
        <w:t>c</w:t>
      </w:r>
      <w:r>
        <w:rPr>
          <w:color w:val="231F20"/>
          <w:w w:val="127"/>
        </w:rPr>
        <w:t>o </w:t>
      </w:r>
      <w:r>
        <w:rPr>
          <w:color w:val="231F20"/>
          <w:w w:val="110"/>
        </w:rPr>
        <w:t>se</w:t>
      </w:r>
      <w:r>
        <w:rPr>
          <w:color w:val="231F20"/>
          <w:spacing w:val="-22"/>
          <w:w w:val="110"/>
        </w:rPr>
        <w:t> </w:t>
      </w:r>
      <w:r>
        <w:rPr>
          <w:color w:val="231F20"/>
          <w:w w:val="110"/>
        </w:rPr>
        <w:t>requiere</w:t>
      </w:r>
      <w:r>
        <w:rPr>
          <w:color w:val="231F20"/>
          <w:spacing w:val="-22"/>
          <w:w w:val="110"/>
        </w:rPr>
        <w:t> </w:t>
      </w:r>
      <w:r>
        <w:rPr>
          <w:color w:val="231F20"/>
          <w:w w:val="110"/>
        </w:rPr>
        <w:t>realizar</w:t>
      </w:r>
      <w:r>
        <w:rPr>
          <w:color w:val="231F20"/>
          <w:spacing w:val="-22"/>
          <w:w w:val="110"/>
        </w:rPr>
        <w:t> </w:t>
      </w:r>
      <w:r>
        <w:rPr>
          <w:color w:val="231F20"/>
          <w:w w:val="110"/>
        </w:rPr>
        <w:t>investigación</w:t>
      </w:r>
      <w:r>
        <w:rPr>
          <w:color w:val="231F20"/>
          <w:spacing w:val="-22"/>
          <w:w w:val="110"/>
        </w:rPr>
        <w:t> </w:t>
      </w:r>
      <w:r>
        <w:rPr>
          <w:color w:val="231F20"/>
          <w:w w:val="110"/>
        </w:rPr>
        <w:t>sobre</w:t>
      </w:r>
      <w:r>
        <w:rPr>
          <w:color w:val="231F20"/>
          <w:spacing w:val="-22"/>
          <w:w w:val="110"/>
        </w:rPr>
        <w:t> </w:t>
      </w:r>
      <w:r>
        <w:rPr>
          <w:color w:val="231F20"/>
          <w:w w:val="110"/>
        </w:rPr>
        <w:t>tres</w:t>
      </w:r>
      <w:r>
        <w:rPr>
          <w:color w:val="231F20"/>
          <w:spacing w:val="-22"/>
          <w:w w:val="110"/>
        </w:rPr>
        <w:t> </w:t>
      </w:r>
      <w:r>
        <w:rPr>
          <w:color w:val="231F20"/>
          <w:w w:val="110"/>
        </w:rPr>
        <w:t>líneas</w:t>
      </w:r>
      <w:r>
        <w:rPr>
          <w:color w:val="231F20"/>
          <w:spacing w:val="-22"/>
          <w:w w:val="110"/>
        </w:rPr>
        <w:t> </w:t>
      </w:r>
      <w:r>
        <w:rPr>
          <w:color w:val="231F20"/>
          <w:w w:val="110"/>
        </w:rPr>
        <w:t>esenciales:</w:t>
      </w:r>
      <w:r>
        <w:rPr>
          <w:color w:val="231F20"/>
          <w:spacing w:val="-22"/>
          <w:w w:val="110"/>
        </w:rPr>
        <w:t> </w:t>
      </w:r>
      <w:r>
        <w:rPr>
          <w:color w:val="231F20"/>
          <w:w w:val="110"/>
        </w:rPr>
        <w:t>en</w:t>
      </w:r>
      <w:r>
        <w:rPr>
          <w:color w:val="231F20"/>
          <w:spacing w:val="-22"/>
          <w:w w:val="110"/>
        </w:rPr>
        <w:t> </w:t>
      </w:r>
      <w:r>
        <w:rPr>
          <w:color w:val="231F20"/>
          <w:w w:val="110"/>
        </w:rPr>
        <w:t>primer</w:t>
      </w:r>
      <w:r>
        <w:rPr>
          <w:color w:val="231F20"/>
          <w:spacing w:val="-22"/>
          <w:w w:val="110"/>
        </w:rPr>
        <w:t> </w:t>
      </w:r>
      <w:r>
        <w:rPr>
          <w:color w:val="231F20"/>
          <w:w w:val="110"/>
        </w:rPr>
        <w:t>término,</w:t>
      </w:r>
      <w:r>
        <w:rPr>
          <w:color w:val="231F20"/>
          <w:spacing w:val="-22"/>
          <w:w w:val="110"/>
        </w:rPr>
        <w:t> </w:t>
      </w:r>
      <w:r>
        <w:rPr>
          <w:color w:val="231F20"/>
          <w:w w:val="110"/>
        </w:rPr>
        <w:t>sus orígenes</w:t>
      </w:r>
      <w:r>
        <w:rPr>
          <w:color w:val="231F20"/>
          <w:spacing w:val="-31"/>
          <w:w w:val="110"/>
        </w:rPr>
        <w:t> </w:t>
      </w:r>
      <w:r>
        <w:rPr>
          <w:color w:val="231F20"/>
          <w:w w:val="110"/>
        </w:rPr>
        <w:t>y</w:t>
      </w:r>
      <w:r>
        <w:rPr>
          <w:color w:val="231F20"/>
          <w:spacing w:val="-31"/>
          <w:w w:val="110"/>
        </w:rPr>
        <w:t> </w:t>
      </w:r>
      <w:r>
        <w:rPr>
          <w:color w:val="231F20"/>
          <w:w w:val="110"/>
        </w:rPr>
        <w:t>desarrollo;</w:t>
      </w:r>
      <w:r>
        <w:rPr>
          <w:color w:val="231F20"/>
          <w:spacing w:val="-31"/>
          <w:w w:val="110"/>
        </w:rPr>
        <w:t> </w:t>
      </w:r>
      <w:r>
        <w:rPr>
          <w:color w:val="231F20"/>
          <w:w w:val="110"/>
        </w:rPr>
        <w:t>en</w:t>
      </w:r>
      <w:r>
        <w:rPr>
          <w:color w:val="231F20"/>
          <w:spacing w:val="-31"/>
          <w:w w:val="110"/>
        </w:rPr>
        <w:t> </w:t>
      </w:r>
      <w:r>
        <w:rPr>
          <w:color w:val="231F20"/>
          <w:w w:val="110"/>
        </w:rPr>
        <w:t>segundo,</w:t>
      </w:r>
      <w:r>
        <w:rPr>
          <w:color w:val="231F20"/>
          <w:spacing w:val="-31"/>
          <w:w w:val="110"/>
        </w:rPr>
        <w:t> </w:t>
      </w:r>
      <w:r>
        <w:rPr>
          <w:color w:val="231F20"/>
          <w:w w:val="110"/>
        </w:rPr>
        <w:t>su</w:t>
      </w:r>
      <w:r>
        <w:rPr>
          <w:color w:val="231F20"/>
          <w:spacing w:val="-31"/>
          <w:w w:val="110"/>
        </w:rPr>
        <w:t> </w:t>
      </w:r>
      <w:r>
        <w:rPr>
          <w:color w:val="231F20"/>
          <w:w w:val="110"/>
        </w:rPr>
        <w:t>experiencia</w:t>
      </w:r>
      <w:r>
        <w:rPr>
          <w:color w:val="231F20"/>
          <w:spacing w:val="-31"/>
          <w:w w:val="110"/>
        </w:rPr>
        <w:t> </w:t>
      </w:r>
      <w:r>
        <w:rPr>
          <w:color w:val="231F20"/>
          <w:w w:val="110"/>
        </w:rPr>
        <w:t>de</w:t>
      </w:r>
      <w:r>
        <w:rPr>
          <w:color w:val="231F20"/>
          <w:spacing w:val="-31"/>
          <w:w w:val="110"/>
        </w:rPr>
        <w:t> </w:t>
      </w:r>
      <w:r>
        <w:rPr>
          <w:color w:val="231F20"/>
          <w:w w:val="110"/>
        </w:rPr>
        <w:t>gobierno;</w:t>
      </w:r>
      <w:r>
        <w:rPr>
          <w:color w:val="231F20"/>
          <w:spacing w:val="-31"/>
          <w:w w:val="110"/>
        </w:rPr>
        <w:t> </w:t>
      </w:r>
      <w:r>
        <w:rPr>
          <w:color w:val="231F20"/>
          <w:w w:val="110"/>
        </w:rPr>
        <w:t>y</w:t>
      </w:r>
      <w:r>
        <w:rPr>
          <w:color w:val="231F20"/>
          <w:spacing w:val="-31"/>
          <w:w w:val="110"/>
        </w:rPr>
        <w:t> </w:t>
      </w:r>
      <w:r>
        <w:rPr>
          <w:color w:val="231F20"/>
          <w:w w:val="110"/>
        </w:rPr>
        <w:t>en</w:t>
      </w:r>
      <w:r>
        <w:rPr>
          <w:color w:val="231F20"/>
          <w:spacing w:val="-31"/>
          <w:w w:val="110"/>
        </w:rPr>
        <w:t> </w:t>
      </w:r>
      <w:r>
        <w:rPr>
          <w:color w:val="231F20"/>
          <w:w w:val="110"/>
        </w:rPr>
        <w:t>tercero,</w:t>
      </w:r>
      <w:r>
        <w:rPr>
          <w:color w:val="231F20"/>
          <w:spacing w:val="-31"/>
          <w:w w:val="110"/>
        </w:rPr>
        <w:t> </w:t>
      </w:r>
      <w:r>
        <w:rPr>
          <w:color w:val="231F20"/>
          <w:w w:val="110"/>
        </w:rPr>
        <w:t>su</w:t>
      </w:r>
      <w:r>
        <w:rPr>
          <w:color w:val="231F20"/>
          <w:spacing w:val="-31"/>
          <w:w w:val="110"/>
        </w:rPr>
        <w:t> </w:t>
      </w:r>
      <w:r>
        <w:rPr>
          <w:color w:val="231F20"/>
          <w:w w:val="110"/>
        </w:rPr>
        <w:t>trabajo parlamentario.</w:t>
      </w:r>
      <w:r>
        <w:rPr>
          <w:color w:val="231F20"/>
          <w:spacing w:val="-28"/>
          <w:w w:val="110"/>
        </w:rPr>
        <w:t> </w:t>
      </w:r>
      <w:r>
        <w:rPr>
          <w:color w:val="231F20"/>
          <w:w w:val="110"/>
        </w:rPr>
        <w:t>En</w:t>
      </w:r>
      <w:r>
        <w:rPr>
          <w:color w:val="231F20"/>
          <w:spacing w:val="-28"/>
          <w:w w:val="110"/>
        </w:rPr>
        <w:t> </w:t>
      </w:r>
      <w:r>
        <w:rPr>
          <w:color w:val="231F20"/>
          <w:w w:val="110"/>
        </w:rPr>
        <w:t>esta</w:t>
      </w:r>
      <w:r>
        <w:rPr>
          <w:color w:val="231F20"/>
          <w:spacing w:val="-28"/>
          <w:w w:val="110"/>
        </w:rPr>
        <w:t> </w:t>
      </w:r>
      <w:r>
        <w:rPr>
          <w:color w:val="231F20"/>
          <w:w w:val="110"/>
        </w:rPr>
        <w:t>obra</w:t>
      </w:r>
      <w:r>
        <w:rPr>
          <w:color w:val="231F20"/>
          <w:spacing w:val="-28"/>
          <w:w w:val="110"/>
        </w:rPr>
        <w:t> </w:t>
      </w:r>
      <w:r>
        <w:rPr>
          <w:color w:val="231F20"/>
          <w:w w:val="110"/>
        </w:rPr>
        <w:t>abordamos</w:t>
      </w:r>
      <w:r>
        <w:rPr>
          <w:color w:val="231F20"/>
          <w:spacing w:val="-28"/>
          <w:w w:val="110"/>
        </w:rPr>
        <w:t> </w:t>
      </w:r>
      <w:r>
        <w:rPr>
          <w:color w:val="231F20"/>
          <w:w w:val="110"/>
        </w:rPr>
        <w:t>la</w:t>
      </w:r>
      <w:r>
        <w:rPr>
          <w:color w:val="231F20"/>
          <w:spacing w:val="-28"/>
          <w:w w:val="110"/>
        </w:rPr>
        <w:t> </w:t>
      </w:r>
      <w:r>
        <w:rPr>
          <w:color w:val="231F20"/>
          <w:w w:val="110"/>
        </w:rPr>
        <w:t>segunda</w:t>
      </w:r>
      <w:r>
        <w:rPr>
          <w:color w:val="231F20"/>
          <w:spacing w:val="-28"/>
          <w:w w:val="110"/>
        </w:rPr>
        <w:t> </w:t>
      </w:r>
      <w:r>
        <w:rPr>
          <w:color w:val="231F20"/>
          <w:w w:val="110"/>
        </w:rPr>
        <w:t>línea,</w:t>
      </w:r>
      <w:r>
        <w:rPr>
          <w:color w:val="231F20"/>
          <w:spacing w:val="-28"/>
          <w:w w:val="110"/>
        </w:rPr>
        <w:t> </w:t>
      </w:r>
      <w:r>
        <w:rPr>
          <w:color w:val="231F20"/>
          <w:w w:val="110"/>
        </w:rPr>
        <w:t>considerando</w:t>
      </w:r>
      <w:r>
        <w:rPr>
          <w:color w:val="231F20"/>
          <w:spacing w:val="-28"/>
          <w:w w:val="110"/>
        </w:rPr>
        <w:t> </w:t>
      </w:r>
      <w:r>
        <w:rPr>
          <w:color w:val="231F20"/>
          <w:w w:val="110"/>
        </w:rPr>
        <w:t>el</w:t>
      </w:r>
      <w:r>
        <w:rPr>
          <w:color w:val="231F20"/>
          <w:spacing w:val="-28"/>
          <w:w w:val="110"/>
        </w:rPr>
        <w:t> </w:t>
      </w:r>
      <w:r>
        <w:rPr>
          <w:color w:val="231F20"/>
          <w:w w:val="110"/>
        </w:rPr>
        <w:t>desempeño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partidos</w:t>
      </w:r>
      <w:r>
        <w:rPr>
          <w:color w:val="231F20"/>
          <w:spacing w:val="-16"/>
          <w:w w:val="105"/>
        </w:rPr>
        <w:t> </w:t>
      </w:r>
      <w:r>
        <w:rPr>
          <w:color w:val="231F20"/>
          <w:w w:val="105"/>
        </w:rPr>
        <w:t>Revolucionario</w:t>
      </w:r>
      <w:r>
        <w:rPr>
          <w:color w:val="231F20"/>
          <w:spacing w:val="-16"/>
          <w:w w:val="105"/>
        </w:rPr>
        <w:t> </w:t>
      </w:r>
      <w:r>
        <w:rPr>
          <w:color w:val="231F20"/>
          <w:w w:val="105"/>
        </w:rPr>
        <w:t>Institucional,</w:t>
      </w:r>
      <w:r>
        <w:rPr>
          <w:color w:val="231F20"/>
          <w:spacing w:val="-16"/>
          <w:w w:val="105"/>
        </w:rPr>
        <w:t> </w:t>
      </w:r>
      <w:r>
        <w:rPr>
          <w:color w:val="231F20"/>
          <w:w w:val="105"/>
        </w:rPr>
        <w:t>Acción</w:t>
      </w:r>
      <w:r>
        <w:rPr>
          <w:color w:val="231F20"/>
          <w:spacing w:val="-16"/>
          <w:w w:val="105"/>
        </w:rPr>
        <w:t> </w:t>
      </w:r>
      <w:r>
        <w:rPr>
          <w:color w:val="231F20"/>
          <w:w w:val="105"/>
        </w:rPr>
        <w:t>Nacional,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Revolución</w:t>
      </w:r>
      <w:r>
        <w:rPr>
          <w:color w:val="231F20"/>
          <w:spacing w:val="-16"/>
          <w:w w:val="105"/>
        </w:rPr>
        <w:t> </w:t>
      </w:r>
      <w:r>
        <w:rPr>
          <w:color w:val="231F20"/>
          <w:w w:val="105"/>
        </w:rPr>
        <w:t>Demo- </w:t>
      </w:r>
      <w:r>
        <w:rPr>
          <w:color w:val="231F20"/>
          <w:w w:val="110"/>
        </w:rPr>
        <w:t>crática</w:t>
      </w:r>
      <w:r>
        <w:rPr>
          <w:color w:val="231F20"/>
          <w:spacing w:val="-32"/>
          <w:w w:val="110"/>
        </w:rPr>
        <w:t> </w:t>
      </w:r>
      <w:r>
        <w:rPr>
          <w:color w:val="231F20"/>
          <w:w w:val="110"/>
        </w:rPr>
        <w:t>y</w:t>
      </w:r>
      <w:r>
        <w:rPr>
          <w:color w:val="231F20"/>
          <w:spacing w:val="-32"/>
          <w:w w:val="110"/>
        </w:rPr>
        <w:t> </w:t>
      </w:r>
      <w:r>
        <w:rPr>
          <w:color w:val="231F20"/>
          <w:w w:val="110"/>
        </w:rPr>
        <w:t>del</w:t>
      </w:r>
      <w:r>
        <w:rPr>
          <w:color w:val="231F20"/>
          <w:spacing w:val="-32"/>
          <w:w w:val="110"/>
        </w:rPr>
        <w:t> </w:t>
      </w:r>
      <w:r>
        <w:rPr>
          <w:color w:val="231F20"/>
          <w:spacing w:val="-3"/>
          <w:w w:val="110"/>
        </w:rPr>
        <w:t>Trabajo</w:t>
      </w:r>
      <w:r>
        <w:rPr>
          <w:color w:val="231F20"/>
          <w:spacing w:val="-32"/>
          <w:w w:val="110"/>
        </w:rPr>
        <w:t> </w:t>
      </w:r>
      <w:r>
        <w:rPr>
          <w:color w:val="231F20"/>
          <w:spacing w:val="2"/>
          <w:w w:val="110"/>
        </w:rPr>
        <w:t>al</w:t>
      </w:r>
      <w:r>
        <w:rPr>
          <w:color w:val="231F20"/>
          <w:spacing w:val="-32"/>
          <w:w w:val="110"/>
        </w:rPr>
        <w:t> </w:t>
      </w:r>
      <w:r>
        <w:rPr>
          <w:color w:val="231F20"/>
          <w:w w:val="110"/>
        </w:rPr>
        <w:t>frente</w:t>
      </w:r>
      <w:r>
        <w:rPr>
          <w:color w:val="231F20"/>
          <w:spacing w:val="-32"/>
          <w:w w:val="110"/>
        </w:rPr>
        <w:t> </w:t>
      </w:r>
      <w:r>
        <w:rPr>
          <w:color w:val="231F20"/>
          <w:w w:val="110"/>
        </w:rPr>
        <w:t>de</w:t>
      </w:r>
      <w:r>
        <w:rPr>
          <w:color w:val="231F20"/>
          <w:spacing w:val="-32"/>
          <w:w w:val="110"/>
        </w:rPr>
        <w:t> </w:t>
      </w:r>
      <w:r>
        <w:rPr>
          <w:color w:val="231F20"/>
          <w:w w:val="110"/>
        </w:rPr>
        <w:t>doce</w:t>
      </w:r>
      <w:r>
        <w:rPr>
          <w:color w:val="231F20"/>
          <w:spacing w:val="-32"/>
          <w:w w:val="110"/>
        </w:rPr>
        <w:t> </w:t>
      </w:r>
      <w:r>
        <w:rPr>
          <w:color w:val="231F20"/>
          <w:w w:val="110"/>
        </w:rPr>
        <w:t>municipios</w:t>
      </w:r>
      <w:r>
        <w:rPr>
          <w:color w:val="231F20"/>
          <w:spacing w:val="-32"/>
          <w:w w:val="110"/>
        </w:rPr>
        <w:t> </w:t>
      </w:r>
      <w:r>
        <w:rPr>
          <w:color w:val="231F20"/>
          <w:w w:val="110"/>
        </w:rPr>
        <w:t>del</w:t>
      </w:r>
      <w:r>
        <w:rPr>
          <w:color w:val="231F20"/>
          <w:spacing w:val="-32"/>
          <w:w w:val="110"/>
        </w:rPr>
        <w:t> </w:t>
      </w:r>
      <w:r>
        <w:rPr>
          <w:color w:val="231F20"/>
          <w:w w:val="110"/>
        </w:rPr>
        <w:t>Estado</w:t>
      </w:r>
      <w:r>
        <w:rPr>
          <w:color w:val="231F20"/>
          <w:spacing w:val="-32"/>
          <w:w w:val="110"/>
        </w:rPr>
        <w:t> </w:t>
      </w:r>
      <w:r>
        <w:rPr>
          <w:color w:val="231F20"/>
          <w:w w:val="110"/>
        </w:rPr>
        <w:t>de</w:t>
      </w:r>
      <w:r>
        <w:rPr>
          <w:color w:val="231F20"/>
          <w:spacing w:val="-32"/>
          <w:w w:val="110"/>
        </w:rPr>
        <w:t> </w:t>
      </w:r>
      <w:r>
        <w:rPr>
          <w:color w:val="231F20"/>
          <w:w w:val="110"/>
        </w:rPr>
        <w:t>México:</w:t>
      </w:r>
      <w:r>
        <w:rPr>
          <w:color w:val="231F20"/>
          <w:spacing w:val="-32"/>
          <w:w w:val="110"/>
        </w:rPr>
        <w:t> </w:t>
      </w:r>
      <w:r>
        <w:rPr>
          <w:color w:val="231F20"/>
          <w:w w:val="110"/>
        </w:rPr>
        <w:t>Amecameca, Atlautla</w:t>
      </w:r>
      <w:r>
        <w:rPr>
          <w:color w:val="231F20"/>
          <w:spacing w:val="-39"/>
          <w:w w:val="110"/>
        </w:rPr>
        <w:t> </w:t>
      </w:r>
      <w:r>
        <w:rPr>
          <w:color w:val="231F20"/>
          <w:w w:val="110"/>
        </w:rPr>
        <w:t>de</w:t>
      </w:r>
      <w:r>
        <w:rPr>
          <w:color w:val="231F20"/>
          <w:spacing w:val="-39"/>
          <w:w w:val="110"/>
        </w:rPr>
        <w:t> </w:t>
      </w:r>
      <w:r>
        <w:rPr>
          <w:color w:val="231F20"/>
          <w:w w:val="110"/>
        </w:rPr>
        <w:t>Victoria,</w:t>
      </w:r>
      <w:r>
        <w:rPr>
          <w:color w:val="231F20"/>
          <w:spacing w:val="-39"/>
          <w:w w:val="110"/>
        </w:rPr>
        <w:t> </w:t>
      </w:r>
      <w:r>
        <w:rPr>
          <w:color w:val="231F20"/>
          <w:w w:val="110"/>
        </w:rPr>
        <w:t>Chalco,</w:t>
      </w:r>
      <w:r>
        <w:rPr>
          <w:color w:val="231F20"/>
          <w:spacing w:val="-39"/>
          <w:w w:val="110"/>
        </w:rPr>
        <w:t> </w:t>
      </w:r>
      <w:r>
        <w:rPr>
          <w:color w:val="231F20"/>
          <w:w w:val="110"/>
        </w:rPr>
        <w:t>Chimalhuacán,</w:t>
      </w:r>
      <w:r>
        <w:rPr>
          <w:color w:val="231F20"/>
          <w:spacing w:val="-39"/>
          <w:w w:val="110"/>
        </w:rPr>
        <w:t> </w:t>
      </w:r>
      <w:r>
        <w:rPr>
          <w:color w:val="231F20"/>
          <w:w w:val="110"/>
        </w:rPr>
        <w:t>Huixquilucan,</w:t>
      </w:r>
      <w:r>
        <w:rPr>
          <w:color w:val="231F20"/>
          <w:spacing w:val="-39"/>
          <w:w w:val="110"/>
        </w:rPr>
        <w:t> </w:t>
      </w:r>
      <w:r>
        <w:rPr>
          <w:color w:val="231F20"/>
          <w:w w:val="110"/>
        </w:rPr>
        <w:t>Ixtapan</w:t>
      </w:r>
      <w:r>
        <w:rPr>
          <w:color w:val="231F20"/>
          <w:spacing w:val="-39"/>
          <w:w w:val="110"/>
        </w:rPr>
        <w:t> </w:t>
      </w:r>
      <w:r>
        <w:rPr>
          <w:color w:val="231F20"/>
          <w:w w:val="110"/>
        </w:rPr>
        <w:t>de</w:t>
      </w:r>
      <w:r>
        <w:rPr>
          <w:color w:val="231F20"/>
          <w:spacing w:val="-39"/>
          <w:w w:val="110"/>
        </w:rPr>
        <w:t> </w:t>
      </w:r>
      <w:r>
        <w:rPr>
          <w:color w:val="231F20"/>
          <w:w w:val="110"/>
        </w:rPr>
        <w:t>la</w:t>
      </w:r>
      <w:r>
        <w:rPr>
          <w:color w:val="231F20"/>
          <w:spacing w:val="-39"/>
          <w:w w:val="110"/>
        </w:rPr>
        <w:t> </w:t>
      </w:r>
      <w:r>
        <w:rPr>
          <w:color w:val="231F20"/>
          <w:w w:val="110"/>
        </w:rPr>
        <w:t>Sal,</w:t>
      </w:r>
      <w:r>
        <w:rPr>
          <w:color w:val="231F20"/>
          <w:spacing w:val="-39"/>
          <w:w w:val="110"/>
        </w:rPr>
        <w:t> </w:t>
      </w:r>
      <w:r>
        <w:rPr>
          <w:color w:val="231F20"/>
          <w:w w:val="110"/>
        </w:rPr>
        <w:t>Naucal- pan,</w:t>
      </w:r>
      <w:r>
        <w:rPr>
          <w:color w:val="231F20"/>
          <w:spacing w:val="-34"/>
          <w:w w:val="110"/>
        </w:rPr>
        <w:t> </w:t>
      </w:r>
      <w:r>
        <w:rPr>
          <w:color w:val="231F20"/>
          <w:w w:val="110"/>
        </w:rPr>
        <w:t>Nezahualcóyotl,</w:t>
      </w:r>
      <w:r>
        <w:rPr>
          <w:color w:val="231F20"/>
          <w:spacing w:val="-34"/>
          <w:w w:val="110"/>
        </w:rPr>
        <w:t> </w:t>
      </w:r>
      <w:r>
        <w:rPr>
          <w:color w:val="231F20"/>
          <w:w w:val="110"/>
        </w:rPr>
        <w:t>Ozumba,</w:t>
      </w:r>
      <w:r>
        <w:rPr>
          <w:color w:val="231F20"/>
          <w:spacing w:val="-34"/>
          <w:w w:val="110"/>
        </w:rPr>
        <w:t> </w:t>
      </w:r>
      <w:r>
        <w:rPr>
          <w:color w:val="231F20"/>
          <w:spacing w:val="-4"/>
          <w:w w:val="110"/>
        </w:rPr>
        <w:t>Tejupilco,</w:t>
      </w:r>
      <w:r>
        <w:rPr>
          <w:color w:val="231F20"/>
          <w:spacing w:val="-34"/>
          <w:w w:val="110"/>
        </w:rPr>
        <w:t> </w:t>
      </w:r>
      <w:r>
        <w:rPr>
          <w:color w:val="231F20"/>
          <w:w w:val="110"/>
        </w:rPr>
        <w:t>Tepotzotlán</w:t>
      </w:r>
      <w:r>
        <w:rPr>
          <w:color w:val="231F20"/>
          <w:spacing w:val="-34"/>
          <w:w w:val="110"/>
        </w:rPr>
        <w:t> </w:t>
      </w:r>
      <w:r>
        <w:rPr>
          <w:color w:val="231F20"/>
          <w:w w:val="110"/>
        </w:rPr>
        <w:t>y</w:t>
      </w:r>
      <w:r>
        <w:rPr>
          <w:color w:val="231F20"/>
          <w:spacing w:val="-34"/>
          <w:w w:val="110"/>
        </w:rPr>
        <w:t> </w:t>
      </w:r>
      <w:r>
        <w:rPr>
          <w:color w:val="231F20"/>
          <w:w w:val="110"/>
        </w:rPr>
        <w:t>Tlalnepantla.</w:t>
      </w:r>
      <w:r>
        <w:rPr>
          <w:color w:val="231F20"/>
          <w:spacing w:val="-34"/>
          <w:w w:val="110"/>
        </w:rPr>
        <w:t> </w:t>
      </w:r>
      <w:r>
        <w:rPr>
          <w:color w:val="231F20"/>
          <w:w w:val="110"/>
        </w:rPr>
        <w:t>El</w:t>
      </w:r>
      <w:r>
        <w:rPr>
          <w:color w:val="231F20"/>
          <w:spacing w:val="-34"/>
          <w:w w:val="110"/>
        </w:rPr>
        <w:t> </w:t>
      </w:r>
      <w:r>
        <w:rPr>
          <w:color w:val="231F20"/>
          <w:w w:val="110"/>
        </w:rPr>
        <w:t>objetivo</w:t>
      </w:r>
      <w:r>
        <w:rPr>
          <w:color w:val="231F20"/>
          <w:spacing w:val="-34"/>
          <w:w w:val="110"/>
        </w:rPr>
        <w:t> </w:t>
      </w:r>
      <w:r>
        <w:rPr>
          <w:color w:val="231F20"/>
          <w:w w:val="110"/>
        </w:rPr>
        <w:t>fue </w:t>
      </w:r>
      <w:r>
        <w:rPr>
          <w:color w:val="231F20"/>
          <w:spacing w:val="2"/>
          <w:w w:val="110"/>
        </w:rPr>
        <w:t>analizar</w:t>
      </w:r>
      <w:r>
        <w:rPr>
          <w:color w:val="231F20"/>
          <w:spacing w:val="-40"/>
          <w:w w:val="110"/>
        </w:rPr>
        <w:t> </w:t>
      </w:r>
      <w:r>
        <w:rPr>
          <w:color w:val="231F20"/>
          <w:w w:val="110"/>
        </w:rPr>
        <w:t>tanto</w:t>
      </w:r>
      <w:r>
        <w:rPr>
          <w:color w:val="231F20"/>
          <w:spacing w:val="-40"/>
          <w:w w:val="110"/>
        </w:rPr>
        <w:t> </w:t>
      </w:r>
      <w:r>
        <w:rPr>
          <w:color w:val="231F20"/>
          <w:w w:val="110"/>
        </w:rPr>
        <w:t>la</w:t>
      </w:r>
      <w:r>
        <w:rPr>
          <w:color w:val="231F20"/>
          <w:spacing w:val="-40"/>
          <w:w w:val="110"/>
        </w:rPr>
        <w:t> </w:t>
      </w:r>
      <w:r>
        <w:rPr>
          <w:color w:val="231F20"/>
          <w:w w:val="110"/>
        </w:rPr>
        <w:t>gestión</w:t>
      </w:r>
      <w:r>
        <w:rPr>
          <w:color w:val="231F20"/>
          <w:spacing w:val="-40"/>
          <w:w w:val="110"/>
        </w:rPr>
        <w:t> </w:t>
      </w:r>
      <w:r>
        <w:rPr>
          <w:color w:val="231F20"/>
          <w:w w:val="110"/>
        </w:rPr>
        <w:t>de</w:t>
      </w:r>
      <w:r>
        <w:rPr>
          <w:color w:val="231F20"/>
          <w:spacing w:val="-40"/>
          <w:w w:val="110"/>
        </w:rPr>
        <w:t> </w:t>
      </w:r>
      <w:r>
        <w:rPr>
          <w:color w:val="231F20"/>
          <w:w w:val="110"/>
        </w:rPr>
        <w:t>gobierno</w:t>
      </w:r>
      <w:r>
        <w:rPr>
          <w:color w:val="231F20"/>
          <w:spacing w:val="-40"/>
          <w:w w:val="110"/>
        </w:rPr>
        <w:t> </w:t>
      </w:r>
      <w:r>
        <w:rPr>
          <w:color w:val="231F20"/>
          <w:w w:val="110"/>
        </w:rPr>
        <w:t>como</w:t>
      </w:r>
      <w:r>
        <w:rPr>
          <w:color w:val="231F20"/>
          <w:spacing w:val="-40"/>
          <w:w w:val="110"/>
        </w:rPr>
        <w:t> </w:t>
      </w:r>
      <w:r>
        <w:rPr>
          <w:color w:val="231F20"/>
          <w:w w:val="110"/>
        </w:rPr>
        <w:t>la</w:t>
      </w:r>
      <w:r>
        <w:rPr>
          <w:color w:val="231F20"/>
          <w:spacing w:val="-40"/>
          <w:w w:val="110"/>
        </w:rPr>
        <w:t> </w:t>
      </w:r>
      <w:r>
        <w:rPr>
          <w:color w:val="231F20"/>
          <w:w w:val="110"/>
        </w:rPr>
        <w:t>influencia</w:t>
      </w:r>
      <w:r>
        <w:rPr>
          <w:color w:val="231F20"/>
          <w:spacing w:val="-40"/>
          <w:w w:val="110"/>
        </w:rPr>
        <w:t> </w:t>
      </w:r>
      <w:r>
        <w:rPr>
          <w:color w:val="231F20"/>
          <w:w w:val="110"/>
        </w:rPr>
        <w:t>del</w:t>
      </w:r>
      <w:r>
        <w:rPr>
          <w:color w:val="231F20"/>
          <w:spacing w:val="-40"/>
          <w:w w:val="110"/>
        </w:rPr>
        <w:t> </w:t>
      </w:r>
      <w:r>
        <w:rPr>
          <w:color w:val="231F20"/>
          <w:w w:val="110"/>
        </w:rPr>
        <w:t>partido</w:t>
      </w:r>
      <w:r>
        <w:rPr>
          <w:color w:val="231F20"/>
          <w:spacing w:val="-40"/>
          <w:w w:val="110"/>
        </w:rPr>
        <w:t> </w:t>
      </w:r>
      <w:r>
        <w:rPr>
          <w:color w:val="231F20"/>
          <w:w w:val="110"/>
        </w:rPr>
        <w:t>en</w:t>
      </w:r>
      <w:r>
        <w:rPr>
          <w:color w:val="231F20"/>
          <w:spacing w:val="-40"/>
          <w:w w:val="110"/>
        </w:rPr>
        <w:t> </w:t>
      </w:r>
      <w:r>
        <w:rPr>
          <w:color w:val="231F20"/>
          <w:w w:val="110"/>
        </w:rPr>
        <w:t>el</w:t>
      </w:r>
      <w:r>
        <w:rPr>
          <w:color w:val="231F20"/>
          <w:spacing w:val="-40"/>
          <w:w w:val="110"/>
        </w:rPr>
        <w:t> </w:t>
      </w:r>
      <w:r>
        <w:rPr>
          <w:color w:val="231F20"/>
          <w:w w:val="110"/>
        </w:rPr>
        <w:t>municipio.</w:t>
      </w:r>
    </w:p>
    <w:p>
      <w:pPr>
        <w:pStyle w:val="BodyText"/>
        <w:spacing w:before="1"/>
        <w:rPr>
          <w:sz w:val="26"/>
        </w:rPr>
      </w:pPr>
    </w:p>
    <w:p>
      <w:pPr>
        <w:pStyle w:val="BodyText"/>
        <w:spacing w:line="285" w:lineRule="auto"/>
        <w:ind w:left="110" w:right="107"/>
        <w:jc w:val="both"/>
      </w:pPr>
      <w:r>
        <w:rPr>
          <w:color w:val="231F20"/>
          <w:w w:val="105"/>
        </w:rPr>
        <w:t>Para tal fin se tomaron en cuenta factores socioeconómicos, de diseño institucional y, naturalmente, de desempeño gubernamental propiamente dicho.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actualidad</w:t>
      </w:r>
      <w:r>
        <w:rPr>
          <w:color w:val="231F20"/>
          <w:spacing w:val="-14"/>
          <w:w w:val="105"/>
        </w:rPr>
        <w:t> </w:t>
      </w:r>
      <w:r>
        <w:rPr>
          <w:color w:val="231F20"/>
          <w:w w:val="105"/>
        </w:rPr>
        <w:t>el</w:t>
      </w:r>
      <w:r>
        <w:rPr>
          <w:color w:val="231F20"/>
          <w:spacing w:val="-14"/>
          <w:w w:val="105"/>
        </w:rPr>
        <w:t> </w:t>
      </w:r>
      <w:r>
        <w:rPr>
          <w:color w:val="231F20"/>
          <w:w w:val="105"/>
        </w:rPr>
        <w:t>desarrollo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partidos</w:t>
      </w:r>
      <w:r>
        <w:rPr>
          <w:color w:val="231F20"/>
          <w:spacing w:val="-14"/>
          <w:w w:val="105"/>
        </w:rPr>
        <w:t> </w:t>
      </w:r>
      <w:r>
        <w:rPr>
          <w:color w:val="231F20"/>
          <w:w w:val="105"/>
        </w:rPr>
        <w:t>requiere</w:t>
      </w:r>
      <w:r>
        <w:rPr>
          <w:color w:val="231F20"/>
          <w:spacing w:val="-14"/>
          <w:w w:val="105"/>
        </w:rPr>
        <w:t> </w:t>
      </w:r>
      <w:r>
        <w:rPr>
          <w:color w:val="231F20"/>
          <w:w w:val="105"/>
        </w:rPr>
        <w:t>ser</w:t>
      </w:r>
      <w:r>
        <w:rPr>
          <w:color w:val="231F20"/>
          <w:spacing w:val="-14"/>
          <w:w w:val="105"/>
        </w:rPr>
        <w:t> </w:t>
      </w:r>
      <w:r>
        <w:rPr>
          <w:color w:val="231F20"/>
          <w:w w:val="105"/>
        </w:rPr>
        <w:t>explicado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luz</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formu- lación</w:t>
      </w:r>
      <w:r>
        <w:rPr>
          <w:color w:val="231F20"/>
          <w:spacing w:val="-5"/>
          <w:w w:val="105"/>
        </w:rPr>
        <w:t> </w:t>
      </w:r>
      <w:r>
        <w:rPr>
          <w:color w:val="231F20"/>
          <w:w w:val="105"/>
        </w:rPr>
        <w:t>de</w:t>
      </w:r>
      <w:r>
        <w:rPr>
          <w:color w:val="231F20"/>
          <w:spacing w:val="-5"/>
          <w:w w:val="105"/>
        </w:rPr>
        <w:t> </w:t>
      </w:r>
      <w:r>
        <w:rPr>
          <w:color w:val="231F20"/>
          <w:w w:val="105"/>
        </w:rPr>
        <w:t>políticas</w:t>
      </w:r>
      <w:r>
        <w:rPr>
          <w:color w:val="231F20"/>
          <w:spacing w:val="-5"/>
          <w:w w:val="105"/>
        </w:rPr>
        <w:t> </w:t>
      </w:r>
      <w:r>
        <w:rPr>
          <w:color w:val="231F20"/>
          <w:w w:val="105"/>
        </w:rPr>
        <w:t>públicas</w:t>
      </w:r>
      <w:r>
        <w:rPr>
          <w:color w:val="231F20"/>
          <w:spacing w:val="-5"/>
          <w:w w:val="105"/>
        </w:rPr>
        <w:t> </w:t>
      </w:r>
      <w:r>
        <w:rPr>
          <w:color w:val="231F20"/>
          <w:w w:val="105"/>
        </w:rPr>
        <w:t>y</w:t>
      </w:r>
      <w:r>
        <w:rPr>
          <w:color w:val="231F20"/>
          <w:spacing w:val="-5"/>
          <w:w w:val="105"/>
        </w:rPr>
        <w:t> </w:t>
      </w:r>
      <w:r>
        <w:rPr>
          <w:color w:val="231F20"/>
          <w:w w:val="105"/>
        </w:rPr>
        <w:t>de</w:t>
      </w:r>
      <w:r>
        <w:rPr>
          <w:color w:val="231F20"/>
          <w:spacing w:val="-5"/>
          <w:w w:val="105"/>
        </w:rPr>
        <w:t> </w:t>
      </w:r>
      <w:r>
        <w:rPr>
          <w:color w:val="231F20"/>
          <w:w w:val="105"/>
        </w:rPr>
        <w:t>leyes.</w:t>
      </w:r>
      <w:r>
        <w:rPr>
          <w:color w:val="231F20"/>
          <w:spacing w:val="-5"/>
          <w:w w:val="105"/>
        </w:rPr>
        <w:t> </w:t>
      </w:r>
      <w:r>
        <w:rPr>
          <w:color w:val="231F20"/>
          <w:w w:val="105"/>
        </w:rPr>
        <w:t>Aquí</w:t>
      </w:r>
      <w:r>
        <w:rPr>
          <w:color w:val="231F20"/>
          <w:spacing w:val="-5"/>
          <w:w w:val="105"/>
        </w:rPr>
        <w:t> </w:t>
      </w:r>
      <w:r>
        <w:rPr>
          <w:color w:val="231F20"/>
          <w:w w:val="105"/>
        </w:rPr>
        <w:t>se</w:t>
      </w:r>
      <w:r>
        <w:rPr>
          <w:color w:val="231F20"/>
          <w:spacing w:val="-5"/>
          <w:w w:val="105"/>
        </w:rPr>
        <w:t> </w:t>
      </w:r>
      <w:r>
        <w:rPr>
          <w:color w:val="231F20"/>
          <w:w w:val="105"/>
        </w:rPr>
        <w:t>trata</w:t>
      </w:r>
      <w:r>
        <w:rPr>
          <w:color w:val="231F20"/>
          <w:spacing w:val="-5"/>
          <w:w w:val="105"/>
        </w:rPr>
        <w:t> </w:t>
      </w:r>
      <w:r>
        <w:rPr>
          <w:color w:val="231F20"/>
          <w:w w:val="105"/>
        </w:rPr>
        <w:t>de</w:t>
      </w:r>
      <w:r>
        <w:rPr>
          <w:color w:val="231F20"/>
          <w:spacing w:val="-5"/>
          <w:w w:val="105"/>
        </w:rPr>
        <w:t> </w:t>
      </w:r>
      <w:r>
        <w:rPr>
          <w:color w:val="231F20"/>
          <w:w w:val="105"/>
        </w:rPr>
        <w:t>superar</w:t>
      </w:r>
      <w:r>
        <w:rPr>
          <w:color w:val="231F20"/>
          <w:spacing w:val="-5"/>
          <w:w w:val="105"/>
        </w:rPr>
        <w:t> </w:t>
      </w:r>
      <w:r>
        <w:rPr>
          <w:color w:val="231F20"/>
          <w:w w:val="105"/>
        </w:rPr>
        <w:t>la</w:t>
      </w:r>
      <w:r>
        <w:rPr>
          <w:color w:val="231F20"/>
          <w:spacing w:val="-5"/>
          <w:w w:val="105"/>
        </w:rPr>
        <w:t> </w:t>
      </w:r>
      <w:r>
        <w:rPr>
          <w:color w:val="231F20"/>
          <w:w w:val="105"/>
        </w:rPr>
        <w:t>visión</w:t>
      </w:r>
      <w:r>
        <w:rPr>
          <w:color w:val="231F20"/>
          <w:spacing w:val="-5"/>
          <w:w w:val="105"/>
        </w:rPr>
        <w:t> </w:t>
      </w:r>
      <w:r>
        <w:rPr>
          <w:color w:val="231F20"/>
          <w:w w:val="105"/>
        </w:rPr>
        <w:t>centrada</w:t>
      </w:r>
      <w:r>
        <w:rPr>
          <w:color w:val="231F20"/>
          <w:spacing w:val="-5"/>
          <w:w w:val="105"/>
        </w:rPr>
        <w:t> </w:t>
      </w:r>
      <w:r>
        <w:rPr>
          <w:color w:val="231F20"/>
          <w:w w:val="105"/>
        </w:rPr>
        <w:t>en</w:t>
      </w:r>
      <w:r>
        <w:rPr>
          <w:color w:val="231F20"/>
          <w:spacing w:val="-5"/>
          <w:w w:val="105"/>
        </w:rPr>
        <w:t> </w:t>
      </w:r>
      <w:r>
        <w:rPr>
          <w:color w:val="231F20"/>
          <w:w w:val="105"/>
        </w:rPr>
        <w:t>la presencia electoral de los partidos como único recurso para valorar su inserción en la sociedad,</w:t>
      </w:r>
      <w:r>
        <w:rPr>
          <w:color w:val="231F20"/>
          <w:spacing w:val="-13"/>
          <w:w w:val="105"/>
        </w:rPr>
        <w:t> </w:t>
      </w:r>
      <w:r>
        <w:rPr>
          <w:color w:val="231F20"/>
          <w:w w:val="105"/>
        </w:rPr>
        <w:t>o</w:t>
      </w:r>
      <w:r>
        <w:rPr>
          <w:color w:val="231F20"/>
          <w:spacing w:val="-13"/>
          <w:w w:val="105"/>
        </w:rPr>
        <w:t> </w:t>
      </w:r>
      <w:r>
        <w:rPr>
          <w:color w:val="231F20"/>
          <w:w w:val="105"/>
        </w:rPr>
        <w:t>bien</w:t>
      </w:r>
      <w:r>
        <w:rPr>
          <w:color w:val="231F20"/>
          <w:spacing w:val="-13"/>
          <w:w w:val="105"/>
        </w:rPr>
        <w:t> </w:t>
      </w:r>
      <w:r>
        <w:rPr>
          <w:color w:val="231F20"/>
          <w:w w:val="105"/>
        </w:rPr>
        <w:t>para</w:t>
      </w:r>
      <w:r>
        <w:rPr>
          <w:color w:val="231F20"/>
          <w:spacing w:val="-13"/>
          <w:w w:val="105"/>
        </w:rPr>
        <w:t> </w:t>
      </w:r>
      <w:r>
        <w:rPr>
          <w:color w:val="231F20"/>
          <w:w w:val="105"/>
        </w:rPr>
        <w:t>explicar</w:t>
      </w:r>
      <w:r>
        <w:rPr>
          <w:color w:val="231F20"/>
          <w:spacing w:val="-13"/>
          <w:w w:val="105"/>
        </w:rPr>
        <w:t> </w:t>
      </w:r>
      <w:r>
        <w:rPr>
          <w:color w:val="231F20"/>
          <w:w w:val="105"/>
        </w:rPr>
        <w:t>su</w:t>
      </w:r>
      <w:r>
        <w:rPr>
          <w:color w:val="231F20"/>
          <w:spacing w:val="-13"/>
          <w:w w:val="105"/>
        </w:rPr>
        <w:t> </w:t>
      </w:r>
      <w:r>
        <w:rPr>
          <w:color w:val="231F20"/>
          <w:w w:val="105"/>
        </w:rPr>
        <w:t>éxito</w:t>
      </w:r>
      <w:r>
        <w:rPr>
          <w:color w:val="231F20"/>
          <w:spacing w:val="-13"/>
          <w:w w:val="105"/>
        </w:rPr>
        <w:t> </w:t>
      </w:r>
      <w:r>
        <w:rPr>
          <w:color w:val="231F20"/>
          <w:w w:val="105"/>
        </w:rPr>
        <w:t>o</w:t>
      </w:r>
      <w:r>
        <w:rPr>
          <w:color w:val="231F20"/>
          <w:spacing w:val="-13"/>
          <w:w w:val="105"/>
        </w:rPr>
        <w:t> </w:t>
      </w:r>
      <w:r>
        <w:rPr>
          <w:color w:val="231F20"/>
          <w:w w:val="105"/>
        </w:rPr>
        <w:t>fracaso</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urnas</w:t>
      </w:r>
      <w:r>
        <w:rPr>
          <w:color w:val="231F20"/>
          <w:spacing w:val="-13"/>
          <w:w w:val="105"/>
        </w:rPr>
        <w:t> </w:t>
      </w:r>
      <w:r>
        <w:rPr>
          <w:color w:val="231F20"/>
          <w:w w:val="105"/>
        </w:rPr>
        <w:t>electorales.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24"/>
          <w:w w:val="105"/>
        </w:rPr>
        <w:t> </w:t>
      </w:r>
      <w:r>
        <w:rPr>
          <w:color w:val="231F20"/>
          <w:spacing w:val="-5"/>
          <w:w w:val="105"/>
        </w:rPr>
        <w:t>libro</w:t>
      </w:r>
      <w:r>
        <w:rPr>
          <w:color w:val="231F20"/>
          <w:spacing w:val="-24"/>
          <w:w w:val="105"/>
        </w:rPr>
        <w:t> </w:t>
      </w:r>
      <w:r>
        <w:rPr>
          <w:color w:val="231F20"/>
          <w:w w:val="105"/>
        </w:rPr>
        <w:t>se</w:t>
      </w:r>
      <w:r>
        <w:rPr>
          <w:color w:val="231F20"/>
          <w:spacing w:val="-24"/>
          <w:w w:val="105"/>
        </w:rPr>
        <w:t> </w:t>
      </w:r>
      <w:r>
        <w:rPr>
          <w:color w:val="231F20"/>
          <w:spacing w:val="-4"/>
          <w:w w:val="105"/>
        </w:rPr>
        <w:t>integra</w:t>
      </w:r>
      <w:r>
        <w:rPr>
          <w:color w:val="231F20"/>
          <w:spacing w:val="-24"/>
          <w:w w:val="105"/>
        </w:rPr>
        <w:t> </w:t>
      </w:r>
      <w:r>
        <w:rPr>
          <w:color w:val="231F20"/>
          <w:spacing w:val="-4"/>
          <w:w w:val="105"/>
        </w:rPr>
        <w:t>por</w:t>
      </w:r>
      <w:r>
        <w:rPr>
          <w:color w:val="231F20"/>
          <w:spacing w:val="-24"/>
          <w:w w:val="105"/>
        </w:rPr>
        <w:t> </w:t>
      </w:r>
      <w:r>
        <w:rPr>
          <w:color w:val="231F20"/>
          <w:w w:val="105"/>
        </w:rPr>
        <w:t>un</w:t>
      </w:r>
      <w:r>
        <w:rPr>
          <w:color w:val="231F20"/>
          <w:spacing w:val="-24"/>
          <w:w w:val="105"/>
        </w:rPr>
        <w:t> </w:t>
      </w:r>
      <w:r>
        <w:rPr>
          <w:color w:val="231F20"/>
          <w:spacing w:val="-4"/>
          <w:w w:val="105"/>
        </w:rPr>
        <w:t>estudio</w:t>
      </w:r>
      <w:r>
        <w:rPr>
          <w:color w:val="231F20"/>
          <w:spacing w:val="-24"/>
          <w:w w:val="105"/>
        </w:rPr>
        <w:t> </w:t>
      </w:r>
      <w:r>
        <w:rPr>
          <w:color w:val="231F20"/>
          <w:spacing w:val="-5"/>
          <w:w w:val="105"/>
        </w:rPr>
        <w:t>introductorio</w:t>
      </w:r>
      <w:r>
        <w:rPr>
          <w:color w:val="231F20"/>
          <w:spacing w:val="-24"/>
          <w:w w:val="105"/>
        </w:rPr>
        <w:t> </w:t>
      </w:r>
      <w:r>
        <w:rPr>
          <w:color w:val="231F20"/>
          <w:spacing w:val="-6"/>
          <w:w w:val="105"/>
        </w:rPr>
        <w:t>donde</w:t>
      </w:r>
      <w:r>
        <w:rPr>
          <w:color w:val="231F20"/>
          <w:spacing w:val="-24"/>
          <w:w w:val="105"/>
        </w:rPr>
        <w:t> </w:t>
      </w:r>
      <w:r>
        <w:rPr>
          <w:color w:val="231F20"/>
          <w:w w:val="105"/>
        </w:rPr>
        <w:t>se</w:t>
      </w:r>
      <w:r>
        <w:rPr>
          <w:color w:val="231F20"/>
          <w:spacing w:val="-24"/>
          <w:w w:val="105"/>
        </w:rPr>
        <w:t> </w:t>
      </w:r>
      <w:r>
        <w:rPr>
          <w:color w:val="231F20"/>
          <w:spacing w:val="-5"/>
          <w:w w:val="105"/>
        </w:rPr>
        <w:t>presenta</w:t>
      </w:r>
      <w:r>
        <w:rPr>
          <w:color w:val="231F20"/>
          <w:spacing w:val="-24"/>
          <w:w w:val="105"/>
        </w:rPr>
        <w:t> </w:t>
      </w:r>
      <w:r>
        <w:rPr>
          <w:color w:val="231F20"/>
          <w:spacing w:val="-3"/>
          <w:w w:val="105"/>
        </w:rPr>
        <w:t>el</w:t>
      </w:r>
      <w:r>
        <w:rPr>
          <w:color w:val="231F20"/>
          <w:spacing w:val="-24"/>
          <w:w w:val="105"/>
        </w:rPr>
        <w:t> </w:t>
      </w:r>
      <w:r>
        <w:rPr>
          <w:color w:val="231F20"/>
          <w:spacing w:val="-6"/>
          <w:w w:val="105"/>
        </w:rPr>
        <w:t>modelo</w:t>
      </w:r>
      <w:r>
        <w:rPr>
          <w:color w:val="231F20"/>
          <w:spacing w:val="-24"/>
          <w:w w:val="105"/>
        </w:rPr>
        <w:t> </w:t>
      </w:r>
      <w:r>
        <w:rPr>
          <w:color w:val="231F20"/>
          <w:spacing w:val="-5"/>
          <w:w w:val="105"/>
        </w:rPr>
        <w:t>general</w:t>
      </w:r>
      <w:r>
        <w:rPr>
          <w:color w:val="231F20"/>
          <w:spacing w:val="-24"/>
          <w:w w:val="105"/>
        </w:rPr>
        <w:t> </w:t>
      </w:r>
      <w:r>
        <w:rPr>
          <w:color w:val="231F20"/>
          <w:spacing w:val="-4"/>
          <w:w w:val="105"/>
        </w:rPr>
        <w:t>de</w:t>
      </w:r>
      <w:r>
        <w:rPr>
          <w:color w:val="231F20"/>
          <w:spacing w:val="-24"/>
          <w:w w:val="105"/>
        </w:rPr>
        <w:t> </w:t>
      </w:r>
      <w:r>
        <w:rPr>
          <w:color w:val="231F20"/>
          <w:w w:val="105"/>
        </w:rPr>
        <w:t>análi- </w:t>
      </w:r>
      <w:r>
        <w:rPr>
          <w:color w:val="231F20"/>
          <w:spacing w:val="-3"/>
          <w:w w:val="105"/>
        </w:rPr>
        <w:t>sis</w:t>
      </w:r>
      <w:r>
        <w:rPr>
          <w:color w:val="231F20"/>
          <w:spacing w:val="-24"/>
          <w:w w:val="105"/>
        </w:rPr>
        <w:t> </w:t>
      </w:r>
      <w:r>
        <w:rPr>
          <w:color w:val="231F20"/>
          <w:spacing w:val="-4"/>
          <w:w w:val="105"/>
        </w:rPr>
        <w:t>que</w:t>
      </w:r>
      <w:r>
        <w:rPr>
          <w:color w:val="231F20"/>
          <w:spacing w:val="-24"/>
          <w:w w:val="105"/>
        </w:rPr>
        <w:t> </w:t>
      </w:r>
      <w:r>
        <w:rPr>
          <w:color w:val="231F20"/>
          <w:w w:val="105"/>
        </w:rPr>
        <w:t>se</w:t>
      </w:r>
      <w:r>
        <w:rPr>
          <w:color w:val="231F20"/>
          <w:spacing w:val="-24"/>
          <w:w w:val="105"/>
        </w:rPr>
        <w:t> </w:t>
      </w:r>
      <w:r>
        <w:rPr>
          <w:color w:val="231F20"/>
          <w:spacing w:val="-4"/>
          <w:w w:val="105"/>
        </w:rPr>
        <w:t>tuvo</w:t>
      </w:r>
      <w:r>
        <w:rPr>
          <w:color w:val="231F20"/>
          <w:spacing w:val="-24"/>
          <w:w w:val="105"/>
        </w:rPr>
        <w:t> </w:t>
      </w:r>
      <w:r>
        <w:rPr>
          <w:color w:val="231F20"/>
          <w:spacing w:val="-6"/>
          <w:w w:val="105"/>
        </w:rPr>
        <w:t>presente</w:t>
      </w:r>
      <w:r>
        <w:rPr>
          <w:color w:val="231F20"/>
          <w:spacing w:val="-24"/>
          <w:w w:val="105"/>
        </w:rPr>
        <w:t> </w:t>
      </w:r>
      <w:r>
        <w:rPr>
          <w:color w:val="231F20"/>
          <w:w w:val="105"/>
        </w:rPr>
        <w:t>al</w:t>
      </w:r>
      <w:r>
        <w:rPr>
          <w:color w:val="231F20"/>
          <w:spacing w:val="-24"/>
          <w:w w:val="105"/>
        </w:rPr>
        <w:t> </w:t>
      </w:r>
      <w:r>
        <w:rPr>
          <w:color w:val="231F20"/>
          <w:spacing w:val="-4"/>
          <w:w w:val="105"/>
        </w:rPr>
        <w:t>elaborar</w:t>
      </w:r>
      <w:r>
        <w:rPr>
          <w:color w:val="231F20"/>
          <w:spacing w:val="-24"/>
          <w:w w:val="105"/>
        </w:rPr>
        <w:t> </w:t>
      </w:r>
      <w:r>
        <w:rPr>
          <w:color w:val="231F20"/>
          <w:spacing w:val="-4"/>
          <w:w w:val="105"/>
        </w:rPr>
        <w:t>los</w:t>
      </w:r>
      <w:r>
        <w:rPr>
          <w:color w:val="231F20"/>
          <w:spacing w:val="-24"/>
          <w:w w:val="105"/>
        </w:rPr>
        <w:t> </w:t>
      </w:r>
      <w:r>
        <w:rPr>
          <w:color w:val="231F20"/>
          <w:spacing w:val="-5"/>
          <w:w w:val="105"/>
        </w:rPr>
        <w:t>respectivos</w:t>
      </w:r>
      <w:r>
        <w:rPr>
          <w:color w:val="231F20"/>
          <w:spacing w:val="-24"/>
          <w:w w:val="105"/>
        </w:rPr>
        <w:t> </w:t>
      </w:r>
      <w:r>
        <w:rPr>
          <w:color w:val="231F20"/>
          <w:spacing w:val="-5"/>
          <w:w w:val="105"/>
        </w:rPr>
        <w:t>trabajos</w:t>
      </w:r>
      <w:r>
        <w:rPr>
          <w:color w:val="231F20"/>
          <w:spacing w:val="-24"/>
          <w:w w:val="105"/>
        </w:rPr>
        <w:t> </w:t>
      </w:r>
      <w:r>
        <w:rPr>
          <w:color w:val="231F20"/>
          <w:spacing w:val="-4"/>
          <w:w w:val="105"/>
        </w:rPr>
        <w:t>por</w:t>
      </w:r>
      <w:r>
        <w:rPr>
          <w:color w:val="231F20"/>
          <w:spacing w:val="-24"/>
          <w:w w:val="105"/>
        </w:rPr>
        <w:t> </w:t>
      </w:r>
      <w:r>
        <w:rPr>
          <w:color w:val="231F20"/>
          <w:spacing w:val="-6"/>
          <w:w w:val="105"/>
        </w:rPr>
        <w:t>municipio.</w:t>
      </w:r>
      <w:r>
        <w:rPr>
          <w:color w:val="231F20"/>
          <w:spacing w:val="-24"/>
          <w:w w:val="105"/>
        </w:rPr>
        <w:t> </w:t>
      </w:r>
      <w:r>
        <w:rPr>
          <w:color w:val="231F20"/>
          <w:w w:val="105"/>
        </w:rPr>
        <w:t>Al</w:t>
      </w:r>
      <w:r>
        <w:rPr>
          <w:color w:val="231F20"/>
          <w:spacing w:val="-24"/>
          <w:w w:val="105"/>
        </w:rPr>
        <w:t> </w:t>
      </w:r>
      <w:r>
        <w:rPr>
          <w:color w:val="231F20"/>
          <w:spacing w:val="-4"/>
          <w:w w:val="105"/>
        </w:rPr>
        <w:t>mismo</w:t>
      </w:r>
      <w:r>
        <w:rPr>
          <w:color w:val="231F20"/>
          <w:spacing w:val="-24"/>
          <w:w w:val="105"/>
        </w:rPr>
        <w:t> </w:t>
      </w:r>
      <w:r>
        <w:rPr>
          <w:color w:val="231F20"/>
          <w:spacing w:val="-5"/>
          <w:w w:val="105"/>
        </w:rPr>
        <w:t>tiempo, </w:t>
      </w:r>
      <w:r>
        <w:rPr>
          <w:color w:val="231F20"/>
          <w:spacing w:val="-4"/>
          <w:w w:val="105"/>
        </w:rPr>
        <w:t>en</w:t>
      </w:r>
      <w:r>
        <w:rPr>
          <w:color w:val="231F20"/>
          <w:spacing w:val="-28"/>
          <w:w w:val="105"/>
        </w:rPr>
        <w:t> </w:t>
      </w:r>
      <w:r>
        <w:rPr>
          <w:color w:val="231F20"/>
          <w:spacing w:val="-3"/>
          <w:w w:val="105"/>
        </w:rPr>
        <w:t>ese</w:t>
      </w:r>
      <w:r>
        <w:rPr>
          <w:color w:val="231F20"/>
          <w:spacing w:val="-28"/>
          <w:w w:val="105"/>
        </w:rPr>
        <w:t> </w:t>
      </w:r>
      <w:r>
        <w:rPr>
          <w:color w:val="231F20"/>
          <w:spacing w:val="-4"/>
          <w:w w:val="105"/>
        </w:rPr>
        <w:t>capítulo</w:t>
      </w:r>
      <w:r>
        <w:rPr>
          <w:color w:val="231F20"/>
          <w:spacing w:val="-28"/>
          <w:w w:val="105"/>
        </w:rPr>
        <w:t> </w:t>
      </w:r>
      <w:r>
        <w:rPr>
          <w:color w:val="231F20"/>
          <w:spacing w:val="-3"/>
          <w:w w:val="105"/>
        </w:rPr>
        <w:t>inicial</w:t>
      </w:r>
      <w:r>
        <w:rPr>
          <w:color w:val="231F20"/>
          <w:spacing w:val="-28"/>
          <w:w w:val="105"/>
        </w:rPr>
        <w:t> </w:t>
      </w:r>
      <w:r>
        <w:rPr>
          <w:color w:val="231F20"/>
          <w:w w:val="105"/>
        </w:rPr>
        <w:t>se</w:t>
      </w:r>
      <w:r>
        <w:rPr>
          <w:color w:val="231F20"/>
          <w:spacing w:val="-28"/>
          <w:w w:val="105"/>
        </w:rPr>
        <w:t> </w:t>
      </w:r>
      <w:r>
        <w:rPr>
          <w:color w:val="231F20"/>
          <w:spacing w:val="-3"/>
          <w:w w:val="105"/>
        </w:rPr>
        <w:t>señalan</w:t>
      </w:r>
      <w:r>
        <w:rPr>
          <w:color w:val="231F20"/>
          <w:spacing w:val="-28"/>
          <w:w w:val="105"/>
        </w:rPr>
        <w:t> </w:t>
      </w:r>
      <w:r>
        <w:rPr>
          <w:color w:val="231F20"/>
          <w:w w:val="105"/>
        </w:rPr>
        <w:t>las</w:t>
      </w:r>
      <w:r>
        <w:rPr>
          <w:color w:val="231F20"/>
          <w:spacing w:val="-28"/>
          <w:w w:val="105"/>
        </w:rPr>
        <w:t> </w:t>
      </w:r>
      <w:r>
        <w:rPr>
          <w:color w:val="231F20"/>
          <w:spacing w:val="-6"/>
          <w:w w:val="105"/>
        </w:rPr>
        <w:t>conclusiones</w:t>
      </w:r>
      <w:r>
        <w:rPr>
          <w:color w:val="231F20"/>
          <w:spacing w:val="-28"/>
          <w:w w:val="105"/>
        </w:rPr>
        <w:t> </w:t>
      </w:r>
      <w:r>
        <w:rPr>
          <w:color w:val="231F20"/>
          <w:spacing w:val="-5"/>
          <w:w w:val="105"/>
        </w:rPr>
        <w:t>obtenidas.</w:t>
      </w:r>
      <w:r>
        <w:rPr>
          <w:color w:val="231F20"/>
          <w:spacing w:val="-28"/>
          <w:w w:val="105"/>
        </w:rPr>
        <w:t> </w:t>
      </w:r>
      <w:r>
        <w:rPr>
          <w:color w:val="231F20"/>
          <w:spacing w:val="-4"/>
          <w:w w:val="105"/>
        </w:rPr>
        <w:t>Primero</w:t>
      </w:r>
      <w:r>
        <w:rPr>
          <w:color w:val="231F20"/>
          <w:spacing w:val="-28"/>
          <w:w w:val="105"/>
        </w:rPr>
        <w:t> </w:t>
      </w:r>
      <w:r>
        <w:rPr>
          <w:color w:val="231F20"/>
          <w:w w:val="105"/>
        </w:rPr>
        <w:t>se</w:t>
      </w:r>
      <w:r>
        <w:rPr>
          <w:color w:val="231F20"/>
          <w:spacing w:val="-28"/>
          <w:w w:val="105"/>
        </w:rPr>
        <w:t> </w:t>
      </w:r>
      <w:r>
        <w:rPr>
          <w:color w:val="231F20"/>
          <w:spacing w:val="-4"/>
          <w:w w:val="105"/>
        </w:rPr>
        <w:t>destacan</w:t>
      </w:r>
      <w:r>
        <w:rPr>
          <w:color w:val="231F20"/>
          <w:spacing w:val="-28"/>
          <w:w w:val="105"/>
        </w:rPr>
        <w:t> </w:t>
      </w:r>
      <w:r>
        <w:rPr>
          <w:color w:val="231F20"/>
          <w:spacing w:val="-4"/>
          <w:w w:val="105"/>
        </w:rPr>
        <w:t>los</w:t>
      </w:r>
      <w:r>
        <w:rPr>
          <w:color w:val="231F20"/>
          <w:spacing w:val="-28"/>
          <w:w w:val="105"/>
        </w:rPr>
        <w:t> </w:t>
      </w:r>
      <w:r>
        <w:rPr>
          <w:color w:val="231F20"/>
          <w:spacing w:val="-5"/>
          <w:w w:val="105"/>
        </w:rPr>
        <w:t>factores </w:t>
      </w:r>
      <w:r>
        <w:rPr>
          <w:color w:val="231F20"/>
          <w:spacing w:val="-4"/>
          <w:w w:val="105"/>
        </w:rPr>
        <w:t>formales</w:t>
      </w:r>
      <w:r>
        <w:rPr>
          <w:color w:val="231F20"/>
          <w:spacing w:val="-21"/>
          <w:w w:val="105"/>
        </w:rPr>
        <w:t> </w:t>
      </w:r>
      <w:r>
        <w:rPr>
          <w:color w:val="231F20"/>
          <w:w w:val="105"/>
        </w:rPr>
        <w:t>e</w:t>
      </w:r>
      <w:r>
        <w:rPr>
          <w:color w:val="231F20"/>
          <w:spacing w:val="-21"/>
          <w:w w:val="105"/>
        </w:rPr>
        <w:t> </w:t>
      </w:r>
      <w:r>
        <w:rPr>
          <w:color w:val="231F20"/>
          <w:spacing w:val="-4"/>
          <w:w w:val="105"/>
        </w:rPr>
        <w:t>informales</w:t>
      </w:r>
      <w:r>
        <w:rPr>
          <w:color w:val="231F20"/>
          <w:spacing w:val="-21"/>
          <w:w w:val="105"/>
        </w:rPr>
        <w:t> </w:t>
      </w:r>
      <w:r>
        <w:rPr>
          <w:color w:val="231F20"/>
          <w:spacing w:val="-4"/>
          <w:w w:val="105"/>
        </w:rPr>
        <w:t>que</w:t>
      </w:r>
      <w:r>
        <w:rPr>
          <w:color w:val="231F20"/>
          <w:spacing w:val="-21"/>
          <w:w w:val="105"/>
        </w:rPr>
        <w:t> </w:t>
      </w:r>
      <w:r>
        <w:rPr>
          <w:color w:val="231F20"/>
          <w:spacing w:val="-3"/>
          <w:w w:val="105"/>
        </w:rPr>
        <w:t>delimitan</w:t>
      </w:r>
      <w:r>
        <w:rPr>
          <w:color w:val="231F20"/>
          <w:spacing w:val="-21"/>
          <w:w w:val="105"/>
        </w:rPr>
        <w:t> </w:t>
      </w:r>
      <w:r>
        <w:rPr>
          <w:color w:val="231F20"/>
          <w:w w:val="105"/>
        </w:rPr>
        <w:t>la</w:t>
      </w:r>
      <w:r>
        <w:rPr>
          <w:color w:val="231F20"/>
          <w:spacing w:val="-21"/>
          <w:w w:val="105"/>
        </w:rPr>
        <w:t> </w:t>
      </w:r>
      <w:r>
        <w:rPr>
          <w:color w:val="231F20"/>
          <w:spacing w:val="-6"/>
          <w:w w:val="105"/>
        </w:rPr>
        <w:t>acción</w:t>
      </w:r>
      <w:r>
        <w:rPr>
          <w:color w:val="231F20"/>
          <w:spacing w:val="-21"/>
          <w:w w:val="105"/>
        </w:rPr>
        <w:t> </w:t>
      </w:r>
      <w:r>
        <w:rPr>
          <w:color w:val="231F20"/>
          <w:spacing w:val="-4"/>
          <w:w w:val="105"/>
        </w:rPr>
        <w:t>de</w:t>
      </w:r>
      <w:r>
        <w:rPr>
          <w:color w:val="231F20"/>
          <w:spacing w:val="-21"/>
          <w:w w:val="105"/>
        </w:rPr>
        <w:t> </w:t>
      </w:r>
      <w:r>
        <w:rPr>
          <w:color w:val="231F20"/>
          <w:spacing w:val="-6"/>
          <w:w w:val="105"/>
        </w:rPr>
        <w:t>gobierno</w:t>
      </w:r>
      <w:r>
        <w:rPr>
          <w:color w:val="231F20"/>
          <w:spacing w:val="-21"/>
          <w:w w:val="105"/>
        </w:rPr>
        <w:t> </w:t>
      </w:r>
      <w:r>
        <w:rPr>
          <w:color w:val="231F20"/>
          <w:spacing w:val="-4"/>
          <w:w w:val="105"/>
        </w:rPr>
        <w:t>en</w:t>
      </w:r>
      <w:r>
        <w:rPr>
          <w:color w:val="231F20"/>
          <w:spacing w:val="-21"/>
          <w:w w:val="105"/>
        </w:rPr>
        <w:t> </w:t>
      </w:r>
      <w:r>
        <w:rPr>
          <w:color w:val="231F20"/>
          <w:spacing w:val="-3"/>
          <w:w w:val="105"/>
        </w:rPr>
        <w:t>el</w:t>
      </w:r>
      <w:r>
        <w:rPr>
          <w:color w:val="231F20"/>
          <w:spacing w:val="-21"/>
          <w:w w:val="105"/>
        </w:rPr>
        <w:t> </w:t>
      </w:r>
      <w:r>
        <w:rPr>
          <w:color w:val="231F20"/>
          <w:spacing w:val="-4"/>
          <w:w w:val="105"/>
        </w:rPr>
        <w:t>plano</w:t>
      </w:r>
      <w:r>
        <w:rPr>
          <w:color w:val="231F20"/>
          <w:spacing w:val="-21"/>
          <w:w w:val="105"/>
        </w:rPr>
        <w:t> </w:t>
      </w:r>
      <w:r>
        <w:rPr>
          <w:color w:val="231F20"/>
          <w:spacing w:val="-4"/>
          <w:w w:val="105"/>
        </w:rPr>
        <w:t>municipal,</w:t>
      </w:r>
      <w:r>
        <w:rPr>
          <w:color w:val="231F20"/>
          <w:spacing w:val="-21"/>
          <w:w w:val="105"/>
        </w:rPr>
        <w:t> </w:t>
      </w:r>
      <w:r>
        <w:rPr>
          <w:color w:val="231F20"/>
          <w:spacing w:val="-3"/>
          <w:w w:val="105"/>
        </w:rPr>
        <w:t>tanto</w:t>
      </w:r>
      <w:r>
        <w:rPr>
          <w:color w:val="231F20"/>
          <w:spacing w:val="-21"/>
          <w:w w:val="105"/>
        </w:rPr>
        <w:t> </w:t>
      </w:r>
      <w:r>
        <w:rPr>
          <w:color w:val="231F20"/>
          <w:spacing w:val="-4"/>
          <w:w w:val="105"/>
        </w:rPr>
        <w:t>en</w:t>
      </w:r>
      <w:r>
        <w:rPr>
          <w:color w:val="231F20"/>
          <w:spacing w:val="-21"/>
          <w:w w:val="105"/>
        </w:rPr>
        <w:t> </w:t>
      </w:r>
      <w:r>
        <w:rPr>
          <w:color w:val="231F20"/>
          <w:spacing w:val="-4"/>
          <w:w w:val="105"/>
        </w:rPr>
        <w:t>lo que</w:t>
      </w:r>
      <w:r>
        <w:rPr>
          <w:color w:val="231F20"/>
          <w:spacing w:val="-14"/>
          <w:w w:val="105"/>
        </w:rPr>
        <w:t> </w:t>
      </w:r>
      <w:r>
        <w:rPr>
          <w:color w:val="231F20"/>
          <w:w w:val="105"/>
        </w:rPr>
        <w:t>se</w:t>
      </w:r>
      <w:r>
        <w:rPr>
          <w:color w:val="231F20"/>
          <w:spacing w:val="-14"/>
          <w:w w:val="105"/>
        </w:rPr>
        <w:t> </w:t>
      </w:r>
      <w:r>
        <w:rPr>
          <w:color w:val="231F20"/>
          <w:spacing w:val="-5"/>
          <w:w w:val="105"/>
        </w:rPr>
        <w:t>refiere</w:t>
      </w:r>
      <w:r>
        <w:rPr>
          <w:color w:val="231F20"/>
          <w:spacing w:val="-14"/>
          <w:w w:val="105"/>
        </w:rPr>
        <w:t> </w:t>
      </w:r>
      <w:r>
        <w:rPr>
          <w:color w:val="231F20"/>
          <w:w w:val="105"/>
        </w:rPr>
        <w:t>al</w:t>
      </w:r>
      <w:r>
        <w:rPr>
          <w:color w:val="231F20"/>
          <w:spacing w:val="-14"/>
          <w:w w:val="105"/>
        </w:rPr>
        <w:t> </w:t>
      </w:r>
      <w:r>
        <w:rPr>
          <w:color w:val="231F20"/>
          <w:spacing w:val="-4"/>
          <w:w w:val="105"/>
        </w:rPr>
        <w:t>diseño</w:t>
      </w:r>
      <w:r>
        <w:rPr>
          <w:color w:val="231F20"/>
          <w:spacing w:val="-14"/>
          <w:w w:val="105"/>
        </w:rPr>
        <w:t> </w:t>
      </w:r>
      <w:r>
        <w:rPr>
          <w:color w:val="231F20"/>
          <w:spacing w:val="-4"/>
          <w:w w:val="105"/>
        </w:rPr>
        <w:t>institucional</w:t>
      </w:r>
      <w:r>
        <w:rPr>
          <w:color w:val="231F20"/>
          <w:spacing w:val="-14"/>
          <w:w w:val="105"/>
        </w:rPr>
        <w:t> </w:t>
      </w:r>
      <w:r>
        <w:rPr>
          <w:color w:val="231F20"/>
          <w:spacing w:val="-6"/>
          <w:w w:val="105"/>
        </w:rPr>
        <w:t>como</w:t>
      </w:r>
      <w:r>
        <w:rPr>
          <w:color w:val="231F20"/>
          <w:spacing w:val="-14"/>
          <w:w w:val="105"/>
        </w:rPr>
        <w:t> </w:t>
      </w:r>
      <w:r>
        <w:rPr>
          <w:color w:val="231F20"/>
          <w:spacing w:val="-4"/>
          <w:w w:val="105"/>
        </w:rPr>
        <w:t>en</w:t>
      </w:r>
      <w:r>
        <w:rPr>
          <w:color w:val="231F20"/>
          <w:spacing w:val="-14"/>
          <w:w w:val="105"/>
        </w:rPr>
        <w:t> </w:t>
      </w:r>
      <w:r>
        <w:rPr>
          <w:color w:val="231F20"/>
          <w:spacing w:val="-6"/>
          <w:w w:val="105"/>
        </w:rPr>
        <w:t>relación</w:t>
      </w:r>
      <w:r>
        <w:rPr>
          <w:color w:val="231F20"/>
          <w:spacing w:val="-14"/>
          <w:w w:val="105"/>
        </w:rPr>
        <w:t> </w:t>
      </w:r>
      <w:r>
        <w:rPr>
          <w:color w:val="231F20"/>
          <w:spacing w:val="-5"/>
          <w:w w:val="105"/>
        </w:rPr>
        <w:t>con</w:t>
      </w:r>
      <w:r>
        <w:rPr>
          <w:color w:val="231F20"/>
          <w:spacing w:val="-14"/>
          <w:w w:val="105"/>
        </w:rPr>
        <w:t> </w:t>
      </w:r>
      <w:r>
        <w:rPr>
          <w:color w:val="231F20"/>
          <w:spacing w:val="-3"/>
          <w:w w:val="105"/>
        </w:rPr>
        <w:t>su</w:t>
      </w:r>
      <w:r>
        <w:rPr>
          <w:color w:val="231F20"/>
          <w:spacing w:val="-14"/>
          <w:w w:val="105"/>
        </w:rPr>
        <w:t> </w:t>
      </w:r>
      <w:r>
        <w:rPr>
          <w:color w:val="231F20"/>
          <w:spacing w:val="-6"/>
          <w:w w:val="105"/>
        </w:rPr>
        <w:t>desempeño</w:t>
      </w:r>
      <w:r>
        <w:rPr>
          <w:color w:val="231F20"/>
          <w:spacing w:val="-14"/>
          <w:w w:val="105"/>
        </w:rPr>
        <w:t> </w:t>
      </w:r>
      <w:r>
        <w:rPr>
          <w:color w:val="231F20"/>
          <w:spacing w:val="-4"/>
          <w:w w:val="105"/>
        </w:rPr>
        <w:t>gubernamental.</w:t>
      </w:r>
    </w:p>
    <w:p>
      <w:pPr>
        <w:spacing w:after="0" w:line="285" w:lineRule="auto"/>
        <w:jc w:val="both"/>
        <w:sectPr>
          <w:footerReference w:type="default" r:id="rId24"/>
          <w:pgSz w:w="9640" w:h="12190"/>
          <w:pgMar w:footer="743" w:header="0" w:top="1120" w:bottom="940" w:left="740" w:right="740"/>
          <w:pgNumType w:start="6"/>
        </w:sectPr>
      </w:pPr>
    </w:p>
    <w:p>
      <w:pPr>
        <w:pStyle w:val="BodyText"/>
        <w:spacing w:before="3"/>
        <w:rPr>
          <w:sz w:val="11"/>
        </w:rPr>
      </w:pPr>
    </w:p>
    <w:p>
      <w:pPr>
        <w:pStyle w:val="BodyText"/>
        <w:spacing w:line="285" w:lineRule="auto" w:before="36"/>
        <w:ind w:left="110" w:right="107"/>
        <w:jc w:val="both"/>
      </w:pPr>
      <w:r>
        <w:rPr>
          <w:color w:val="231F20"/>
          <w:w w:val="105"/>
        </w:rPr>
        <w:t>Algo</w:t>
      </w:r>
      <w:r>
        <w:rPr>
          <w:color w:val="231F20"/>
          <w:spacing w:val="-8"/>
          <w:w w:val="105"/>
        </w:rPr>
        <w:t> </w:t>
      </w:r>
      <w:r>
        <w:rPr>
          <w:color w:val="231F20"/>
          <w:w w:val="105"/>
        </w:rPr>
        <w:t>a</w:t>
      </w:r>
      <w:r>
        <w:rPr>
          <w:color w:val="231F20"/>
          <w:spacing w:val="-8"/>
          <w:w w:val="105"/>
        </w:rPr>
        <w:t> </w:t>
      </w:r>
      <w:r>
        <w:rPr>
          <w:color w:val="231F20"/>
          <w:w w:val="105"/>
        </w:rPr>
        <w:t>destacar</w:t>
      </w:r>
      <w:r>
        <w:rPr>
          <w:color w:val="231F20"/>
          <w:spacing w:val="-8"/>
          <w:w w:val="105"/>
        </w:rPr>
        <w:t> </w:t>
      </w:r>
      <w:r>
        <w:rPr>
          <w:color w:val="231F20"/>
          <w:w w:val="105"/>
        </w:rPr>
        <w:t>es</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características</w:t>
      </w:r>
      <w:r>
        <w:rPr>
          <w:color w:val="231F20"/>
          <w:spacing w:val="-8"/>
          <w:w w:val="105"/>
        </w:rPr>
        <w:t> </w:t>
      </w:r>
      <w:r>
        <w:rPr>
          <w:color w:val="231F20"/>
          <w:w w:val="105"/>
        </w:rPr>
        <w:t>socioeconómicas</w:t>
      </w:r>
      <w:r>
        <w:rPr>
          <w:color w:val="231F20"/>
          <w:spacing w:val="-8"/>
          <w:w w:val="105"/>
        </w:rPr>
        <w:t> </w:t>
      </w:r>
      <w:r>
        <w:rPr>
          <w:color w:val="231F20"/>
          <w:w w:val="105"/>
        </w:rPr>
        <w:t>de</w:t>
      </w:r>
      <w:r>
        <w:rPr>
          <w:color w:val="231F20"/>
          <w:spacing w:val="-8"/>
          <w:w w:val="105"/>
        </w:rPr>
        <w:t> </w:t>
      </w:r>
      <w:r>
        <w:rPr>
          <w:color w:val="231F20"/>
          <w:w w:val="105"/>
        </w:rPr>
        <w:t>cada</w:t>
      </w:r>
      <w:r>
        <w:rPr>
          <w:color w:val="231F20"/>
          <w:spacing w:val="-8"/>
          <w:w w:val="105"/>
        </w:rPr>
        <w:t> </w:t>
      </w:r>
      <w:r>
        <w:rPr>
          <w:color w:val="231F20"/>
          <w:w w:val="105"/>
        </w:rPr>
        <w:t>municipio</w:t>
      </w:r>
      <w:r>
        <w:rPr>
          <w:color w:val="231F20"/>
          <w:spacing w:val="-8"/>
          <w:w w:val="105"/>
        </w:rPr>
        <w:t> </w:t>
      </w:r>
      <w:r>
        <w:rPr>
          <w:color w:val="231F20"/>
          <w:w w:val="105"/>
        </w:rPr>
        <w:t>determi- nan,</w:t>
      </w:r>
      <w:r>
        <w:rPr>
          <w:color w:val="231F20"/>
          <w:spacing w:val="-16"/>
          <w:w w:val="105"/>
        </w:rPr>
        <w:t> </w:t>
      </w:r>
      <w:r>
        <w:rPr>
          <w:color w:val="231F20"/>
          <w:w w:val="105"/>
        </w:rPr>
        <w:t>hasta</w:t>
      </w:r>
      <w:r>
        <w:rPr>
          <w:color w:val="231F20"/>
          <w:spacing w:val="-16"/>
          <w:w w:val="105"/>
        </w:rPr>
        <w:t> </w:t>
      </w:r>
      <w:r>
        <w:rPr>
          <w:color w:val="231F20"/>
          <w:w w:val="105"/>
        </w:rPr>
        <w:t>cierto</w:t>
      </w:r>
      <w:r>
        <w:rPr>
          <w:color w:val="231F20"/>
          <w:spacing w:val="-16"/>
          <w:w w:val="105"/>
        </w:rPr>
        <w:t> </w:t>
      </w:r>
      <w:r>
        <w:rPr>
          <w:color w:val="231F20"/>
          <w:w w:val="105"/>
        </w:rPr>
        <w:t>punto,</w:t>
      </w:r>
      <w:r>
        <w:rPr>
          <w:color w:val="231F20"/>
          <w:spacing w:val="-16"/>
          <w:w w:val="105"/>
        </w:rPr>
        <w:t> </w:t>
      </w:r>
      <w:r>
        <w:rPr>
          <w:color w:val="231F20"/>
          <w:w w:val="105"/>
        </w:rPr>
        <w:t>las</w:t>
      </w:r>
      <w:r>
        <w:rPr>
          <w:color w:val="231F20"/>
          <w:spacing w:val="-16"/>
          <w:w w:val="105"/>
        </w:rPr>
        <w:t> </w:t>
      </w:r>
      <w:r>
        <w:rPr>
          <w:color w:val="231F20"/>
          <w:w w:val="105"/>
        </w:rPr>
        <w:t>respuestas</w:t>
      </w:r>
      <w:r>
        <w:rPr>
          <w:color w:val="231F20"/>
          <w:spacing w:val="-16"/>
          <w:w w:val="105"/>
        </w:rPr>
        <w:t> </w:t>
      </w:r>
      <w:r>
        <w:rPr>
          <w:color w:val="231F20"/>
          <w:w w:val="105"/>
        </w:rPr>
        <w:t>del</w:t>
      </w:r>
      <w:r>
        <w:rPr>
          <w:color w:val="231F20"/>
          <w:spacing w:val="-16"/>
          <w:w w:val="105"/>
        </w:rPr>
        <w:t> </w:t>
      </w:r>
      <w:r>
        <w:rPr>
          <w:color w:val="231F20"/>
          <w:w w:val="105"/>
        </w:rPr>
        <w:t>gobierno,</w:t>
      </w:r>
      <w:r>
        <w:rPr>
          <w:color w:val="231F20"/>
          <w:spacing w:val="-16"/>
          <w:w w:val="105"/>
        </w:rPr>
        <w:t> </w:t>
      </w:r>
      <w:r>
        <w:rPr>
          <w:color w:val="231F20"/>
          <w:w w:val="105"/>
        </w:rPr>
        <w:t>ya</w:t>
      </w:r>
      <w:r>
        <w:rPr>
          <w:color w:val="231F20"/>
          <w:spacing w:val="-16"/>
          <w:w w:val="105"/>
        </w:rPr>
        <w:t> </w:t>
      </w:r>
      <w:r>
        <w:rPr>
          <w:color w:val="231F20"/>
          <w:w w:val="105"/>
        </w:rPr>
        <w:t>sea</w:t>
      </w:r>
      <w:r>
        <w:rPr>
          <w:color w:val="231F20"/>
          <w:spacing w:val="-16"/>
          <w:w w:val="105"/>
        </w:rPr>
        <w:t> </w:t>
      </w:r>
      <w:r>
        <w:rPr>
          <w:color w:val="231F20"/>
          <w:w w:val="105"/>
        </w:rPr>
        <w:t>en</w:t>
      </w:r>
      <w:r>
        <w:rPr>
          <w:color w:val="231F20"/>
          <w:spacing w:val="-16"/>
          <w:w w:val="105"/>
        </w:rPr>
        <w:t> </w:t>
      </w:r>
      <w:r>
        <w:rPr>
          <w:color w:val="231F20"/>
          <w:w w:val="105"/>
        </w:rPr>
        <w:t>materia</w:t>
      </w:r>
      <w:r>
        <w:rPr>
          <w:color w:val="231F20"/>
          <w:spacing w:val="-16"/>
          <w:w w:val="105"/>
        </w:rPr>
        <w:t> </w:t>
      </w:r>
      <w:r>
        <w:rPr>
          <w:color w:val="231F20"/>
          <w:w w:val="105"/>
        </w:rPr>
        <w:t>de</w:t>
      </w:r>
      <w:r>
        <w:rPr>
          <w:color w:val="231F20"/>
          <w:spacing w:val="-16"/>
          <w:w w:val="105"/>
        </w:rPr>
        <w:t> </w:t>
      </w:r>
      <w:r>
        <w:rPr>
          <w:color w:val="231F20"/>
          <w:w w:val="105"/>
        </w:rPr>
        <w:t>obras</w:t>
      </w:r>
      <w:r>
        <w:rPr>
          <w:color w:val="231F20"/>
          <w:spacing w:val="-16"/>
          <w:w w:val="105"/>
        </w:rPr>
        <w:t> </w:t>
      </w:r>
      <w:r>
        <w:rPr>
          <w:color w:val="231F20"/>
          <w:w w:val="105"/>
        </w:rPr>
        <w:t>públicas, servicios,</w:t>
      </w:r>
      <w:r>
        <w:rPr>
          <w:color w:val="231F20"/>
          <w:spacing w:val="-21"/>
          <w:w w:val="105"/>
        </w:rPr>
        <w:t> </w:t>
      </w:r>
      <w:r>
        <w:rPr>
          <w:color w:val="231F20"/>
          <w:w w:val="105"/>
        </w:rPr>
        <w:t>gestión</w:t>
      </w:r>
      <w:r>
        <w:rPr>
          <w:color w:val="231F20"/>
          <w:spacing w:val="-21"/>
          <w:w w:val="105"/>
        </w:rPr>
        <w:t> </w:t>
      </w:r>
      <w:r>
        <w:rPr>
          <w:color w:val="231F20"/>
          <w:w w:val="105"/>
        </w:rPr>
        <w:t>social</w:t>
      </w:r>
      <w:r>
        <w:rPr>
          <w:color w:val="231F20"/>
          <w:spacing w:val="-21"/>
          <w:w w:val="105"/>
        </w:rPr>
        <w:t> </w:t>
      </w:r>
      <w:r>
        <w:rPr>
          <w:color w:val="231F20"/>
          <w:w w:val="105"/>
        </w:rPr>
        <w:t>o</w:t>
      </w:r>
      <w:r>
        <w:rPr>
          <w:color w:val="231F20"/>
          <w:spacing w:val="-21"/>
          <w:w w:val="105"/>
        </w:rPr>
        <w:t> </w:t>
      </w:r>
      <w:r>
        <w:rPr>
          <w:color w:val="231F20"/>
          <w:w w:val="105"/>
        </w:rPr>
        <w:t>acciones</w:t>
      </w:r>
      <w:r>
        <w:rPr>
          <w:color w:val="231F20"/>
          <w:spacing w:val="-21"/>
          <w:w w:val="105"/>
        </w:rPr>
        <w:t> </w:t>
      </w:r>
      <w:r>
        <w:rPr>
          <w:color w:val="231F20"/>
          <w:w w:val="105"/>
        </w:rPr>
        <w:t>de</w:t>
      </w:r>
      <w:r>
        <w:rPr>
          <w:color w:val="231F20"/>
          <w:spacing w:val="-21"/>
          <w:w w:val="105"/>
        </w:rPr>
        <w:t> </w:t>
      </w:r>
      <w:r>
        <w:rPr>
          <w:color w:val="231F20"/>
          <w:w w:val="105"/>
        </w:rPr>
        <w:t>otra</w:t>
      </w:r>
      <w:r>
        <w:rPr>
          <w:color w:val="231F20"/>
          <w:spacing w:val="-21"/>
          <w:w w:val="105"/>
        </w:rPr>
        <w:t> </w:t>
      </w:r>
      <w:r>
        <w:rPr>
          <w:color w:val="231F20"/>
          <w:w w:val="105"/>
        </w:rPr>
        <w:t>índole.</w:t>
      </w:r>
    </w:p>
    <w:p>
      <w:pPr>
        <w:pStyle w:val="BodyText"/>
        <w:spacing w:before="1"/>
        <w:rPr>
          <w:sz w:val="26"/>
        </w:rPr>
      </w:pPr>
    </w:p>
    <w:p>
      <w:pPr>
        <w:pStyle w:val="BodyText"/>
        <w:spacing w:line="285" w:lineRule="auto"/>
        <w:ind w:left="110" w:right="108"/>
        <w:jc w:val="both"/>
      </w:pPr>
      <w:r>
        <w:rPr>
          <w:color w:val="231F20"/>
          <w:w w:val="105"/>
        </w:rPr>
        <w:t>Posteriormente se apuntan los rasgos distintivos de las administraciones por partido, éstos</w:t>
      </w:r>
      <w:r>
        <w:rPr>
          <w:color w:val="231F20"/>
          <w:spacing w:val="-28"/>
          <w:w w:val="105"/>
        </w:rPr>
        <w:t> </w:t>
      </w:r>
      <w:r>
        <w:rPr>
          <w:color w:val="231F20"/>
          <w:w w:val="105"/>
        </w:rPr>
        <w:t>revelan</w:t>
      </w:r>
      <w:r>
        <w:rPr>
          <w:color w:val="231F20"/>
          <w:spacing w:val="-28"/>
          <w:w w:val="105"/>
        </w:rPr>
        <w:t> </w:t>
      </w:r>
      <w:r>
        <w:rPr>
          <w:color w:val="231F20"/>
          <w:w w:val="105"/>
        </w:rPr>
        <w:t>posiciones</w:t>
      </w:r>
      <w:r>
        <w:rPr>
          <w:color w:val="231F20"/>
          <w:spacing w:val="-28"/>
          <w:w w:val="105"/>
        </w:rPr>
        <w:t> </w:t>
      </w:r>
      <w:r>
        <w:rPr>
          <w:color w:val="231F20"/>
          <w:w w:val="105"/>
        </w:rPr>
        <w:t>ideológicas</w:t>
      </w:r>
      <w:r>
        <w:rPr>
          <w:color w:val="231F20"/>
          <w:spacing w:val="-28"/>
          <w:w w:val="105"/>
        </w:rPr>
        <w:t> </w:t>
      </w:r>
      <w:r>
        <w:rPr>
          <w:color w:val="231F20"/>
          <w:w w:val="105"/>
        </w:rPr>
        <w:t>que</w:t>
      </w:r>
      <w:r>
        <w:rPr>
          <w:color w:val="231F20"/>
          <w:spacing w:val="-28"/>
          <w:w w:val="105"/>
        </w:rPr>
        <w:t> </w:t>
      </w:r>
      <w:r>
        <w:rPr>
          <w:color w:val="231F20"/>
          <w:w w:val="105"/>
        </w:rPr>
        <w:t>llegan</w:t>
      </w:r>
      <w:r>
        <w:rPr>
          <w:color w:val="231F20"/>
          <w:spacing w:val="-28"/>
          <w:w w:val="105"/>
        </w:rPr>
        <w:t> </w:t>
      </w:r>
      <w:r>
        <w:rPr>
          <w:color w:val="231F20"/>
          <w:w w:val="105"/>
        </w:rPr>
        <w:t>a</w:t>
      </w:r>
      <w:r>
        <w:rPr>
          <w:color w:val="231F20"/>
          <w:spacing w:val="-28"/>
          <w:w w:val="105"/>
        </w:rPr>
        <w:t> </w:t>
      </w:r>
      <w:r>
        <w:rPr>
          <w:color w:val="231F20"/>
          <w:w w:val="105"/>
        </w:rPr>
        <w:t>implantarse</w:t>
      </w:r>
      <w:r>
        <w:rPr>
          <w:color w:val="231F20"/>
          <w:spacing w:val="-28"/>
          <w:w w:val="105"/>
        </w:rPr>
        <w:t> </w:t>
      </w:r>
      <w:r>
        <w:rPr>
          <w:color w:val="231F20"/>
          <w:w w:val="105"/>
        </w:rPr>
        <w:t>como</w:t>
      </w:r>
      <w:r>
        <w:rPr>
          <w:color w:val="231F20"/>
          <w:spacing w:val="-28"/>
          <w:w w:val="105"/>
        </w:rPr>
        <w:t> </w:t>
      </w:r>
      <w:r>
        <w:rPr>
          <w:color w:val="231F20"/>
          <w:w w:val="105"/>
        </w:rPr>
        <w:t>sellos</w:t>
      </w:r>
      <w:r>
        <w:rPr>
          <w:color w:val="231F20"/>
          <w:spacing w:val="-28"/>
          <w:w w:val="105"/>
        </w:rPr>
        <w:t> </w:t>
      </w:r>
      <w:r>
        <w:rPr>
          <w:color w:val="231F20"/>
          <w:w w:val="105"/>
        </w:rPr>
        <w:t>característicos de una organización partidista en el</w:t>
      </w:r>
      <w:r>
        <w:rPr>
          <w:color w:val="231F20"/>
          <w:spacing w:val="-21"/>
          <w:w w:val="105"/>
        </w:rPr>
        <w:t> </w:t>
      </w:r>
      <w:r>
        <w:rPr>
          <w:color w:val="231F20"/>
          <w:spacing w:val="-2"/>
          <w:w w:val="105"/>
        </w:rPr>
        <w:t>poder.</w:t>
      </w:r>
    </w:p>
    <w:p>
      <w:pPr>
        <w:pStyle w:val="BodyText"/>
        <w:spacing w:before="1"/>
        <w:rPr>
          <w:sz w:val="26"/>
        </w:rPr>
      </w:pPr>
    </w:p>
    <w:p>
      <w:pPr>
        <w:pStyle w:val="BodyText"/>
        <w:spacing w:line="285" w:lineRule="auto"/>
        <w:ind w:left="110" w:right="108"/>
        <w:jc w:val="both"/>
      </w:pPr>
      <w:r>
        <w:rPr>
          <w:color w:val="231F20"/>
          <w:w w:val="105"/>
        </w:rPr>
        <w:t>Después del capítulo introductorio se exponen </w:t>
      </w:r>
      <w:r>
        <w:rPr>
          <w:color w:val="231F20"/>
          <w:spacing w:val="-2"/>
          <w:w w:val="105"/>
        </w:rPr>
        <w:t>los </w:t>
      </w:r>
      <w:r>
        <w:rPr>
          <w:color w:val="231F20"/>
          <w:w w:val="105"/>
        </w:rPr>
        <w:t>estudios por cada partido, </w:t>
      </w:r>
      <w:r>
        <w:rPr>
          <w:color w:val="231F20"/>
          <w:spacing w:val="-3"/>
          <w:w w:val="105"/>
        </w:rPr>
        <w:t>comen- </w:t>
      </w:r>
      <w:r>
        <w:rPr>
          <w:color w:val="231F20"/>
          <w:w w:val="105"/>
        </w:rPr>
        <w:t>zando</w:t>
      </w:r>
      <w:r>
        <w:rPr>
          <w:color w:val="231F20"/>
          <w:spacing w:val="-13"/>
          <w:w w:val="105"/>
        </w:rPr>
        <w:t> </w:t>
      </w:r>
      <w:r>
        <w:rPr>
          <w:color w:val="231F20"/>
          <w:w w:val="105"/>
        </w:rPr>
        <w:t>por</w:t>
      </w:r>
      <w:r>
        <w:rPr>
          <w:color w:val="231F20"/>
          <w:spacing w:val="-13"/>
          <w:w w:val="105"/>
        </w:rPr>
        <w:t> </w:t>
      </w:r>
      <w:r>
        <w:rPr>
          <w:color w:val="231F20"/>
          <w:spacing w:val="-2"/>
          <w:w w:val="105"/>
        </w:rPr>
        <w:t>los</w:t>
      </w:r>
      <w:r>
        <w:rPr>
          <w:color w:val="231F20"/>
          <w:spacing w:val="-13"/>
          <w:w w:val="105"/>
        </w:rPr>
        <w:t> </w:t>
      </w:r>
      <w:r>
        <w:rPr>
          <w:color w:val="231F20"/>
          <w:w w:val="105"/>
        </w:rPr>
        <w:t>del</w:t>
      </w:r>
      <w:r>
        <w:rPr>
          <w:color w:val="231F20"/>
          <w:spacing w:val="-13"/>
          <w:w w:val="105"/>
        </w:rPr>
        <w:t> </w:t>
      </w:r>
      <w:r>
        <w:rPr>
          <w:color w:val="231F20"/>
          <w:w w:val="105"/>
        </w:rPr>
        <w:t>PRI,</w:t>
      </w:r>
      <w:r>
        <w:rPr>
          <w:color w:val="231F20"/>
          <w:spacing w:val="-13"/>
          <w:w w:val="105"/>
        </w:rPr>
        <w:t> </w:t>
      </w:r>
      <w:r>
        <w:rPr>
          <w:color w:val="231F20"/>
          <w:w w:val="105"/>
        </w:rPr>
        <w:t>siguiendo</w:t>
      </w:r>
      <w:r>
        <w:rPr>
          <w:color w:val="231F20"/>
          <w:spacing w:val="-13"/>
          <w:w w:val="105"/>
        </w:rPr>
        <w:t> </w:t>
      </w:r>
      <w:r>
        <w:rPr>
          <w:color w:val="231F20"/>
          <w:spacing w:val="-2"/>
          <w:w w:val="105"/>
        </w:rPr>
        <w:t>con</w:t>
      </w:r>
      <w:r>
        <w:rPr>
          <w:color w:val="231F20"/>
          <w:spacing w:val="-13"/>
          <w:w w:val="105"/>
        </w:rPr>
        <w:t> </w:t>
      </w:r>
      <w:r>
        <w:rPr>
          <w:color w:val="231F20"/>
          <w:spacing w:val="-2"/>
          <w:w w:val="105"/>
        </w:rPr>
        <w:t>los</w:t>
      </w:r>
      <w:r>
        <w:rPr>
          <w:color w:val="231F20"/>
          <w:spacing w:val="-13"/>
          <w:w w:val="105"/>
        </w:rPr>
        <w:t> </w:t>
      </w:r>
      <w:r>
        <w:rPr>
          <w:color w:val="231F20"/>
          <w:w w:val="105"/>
        </w:rPr>
        <w:t>del</w:t>
      </w:r>
      <w:r>
        <w:rPr>
          <w:color w:val="231F20"/>
          <w:spacing w:val="-13"/>
          <w:w w:val="105"/>
        </w:rPr>
        <w:t> </w:t>
      </w:r>
      <w:r>
        <w:rPr>
          <w:color w:val="231F20"/>
          <w:spacing w:val="-5"/>
          <w:w w:val="105"/>
        </w:rPr>
        <w:t>PAN,</w:t>
      </w:r>
      <w:r>
        <w:rPr>
          <w:color w:val="231F20"/>
          <w:spacing w:val="-13"/>
          <w:w w:val="105"/>
        </w:rPr>
        <w:t> </w:t>
      </w:r>
      <w:r>
        <w:rPr>
          <w:color w:val="231F20"/>
          <w:spacing w:val="-2"/>
          <w:w w:val="105"/>
        </w:rPr>
        <w:t>los</w:t>
      </w:r>
      <w:r>
        <w:rPr>
          <w:color w:val="231F20"/>
          <w:spacing w:val="-13"/>
          <w:w w:val="105"/>
        </w:rPr>
        <w:t> </w:t>
      </w:r>
      <w:r>
        <w:rPr>
          <w:color w:val="231F20"/>
          <w:w w:val="105"/>
        </w:rPr>
        <w:t>del</w:t>
      </w:r>
      <w:r>
        <w:rPr>
          <w:color w:val="231F20"/>
          <w:spacing w:val="-13"/>
          <w:w w:val="105"/>
        </w:rPr>
        <w:t> </w:t>
      </w:r>
      <w:r>
        <w:rPr>
          <w:color w:val="231F20"/>
          <w:w w:val="105"/>
        </w:rPr>
        <w:t>PRD</w:t>
      </w:r>
      <w:r>
        <w:rPr>
          <w:color w:val="231F20"/>
          <w:spacing w:val="-13"/>
          <w:w w:val="105"/>
        </w:rPr>
        <w:t> </w:t>
      </w:r>
      <w:r>
        <w:rPr>
          <w:color w:val="231F20"/>
          <w:w w:val="105"/>
        </w:rPr>
        <w:t>y</w:t>
      </w:r>
      <w:r>
        <w:rPr>
          <w:color w:val="231F20"/>
          <w:spacing w:val="-13"/>
          <w:w w:val="105"/>
        </w:rPr>
        <w:t> </w:t>
      </w:r>
      <w:r>
        <w:rPr>
          <w:color w:val="231F20"/>
          <w:w w:val="105"/>
        </w:rPr>
        <w:t>uno</w:t>
      </w:r>
      <w:r>
        <w:rPr>
          <w:color w:val="231F20"/>
          <w:spacing w:val="-13"/>
          <w:w w:val="105"/>
        </w:rPr>
        <w:t> </w:t>
      </w:r>
      <w:r>
        <w:rPr>
          <w:color w:val="231F20"/>
          <w:w w:val="105"/>
        </w:rPr>
        <w:t>del</w:t>
      </w:r>
      <w:r>
        <w:rPr>
          <w:color w:val="231F20"/>
          <w:spacing w:val="-13"/>
          <w:w w:val="105"/>
        </w:rPr>
        <w:t> </w:t>
      </w:r>
      <w:r>
        <w:rPr>
          <w:color w:val="231F20"/>
          <w:spacing w:val="-6"/>
          <w:w w:val="105"/>
        </w:rPr>
        <w:t>PT.</w:t>
      </w:r>
      <w:r>
        <w:rPr>
          <w:color w:val="231F20"/>
          <w:spacing w:val="-13"/>
          <w:w w:val="105"/>
        </w:rPr>
        <w:t> </w:t>
      </w:r>
      <w:r>
        <w:rPr>
          <w:color w:val="231F20"/>
          <w:w w:val="105"/>
        </w:rPr>
        <w:t>El</w:t>
      </w:r>
      <w:r>
        <w:rPr>
          <w:color w:val="231F20"/>
          <w:spacing w:val="-13"/>
          <w:w w:val="105"/>
        </w:rPr>
        <w:t> </w:t>
      </w:r>
      <w:r>
        <w:rPr>
          <w:color w:val="231F20"/>
          <w:spacing w:val="-3"/>
          <w:w w:val="105"/>
        </w:rPr>
        <w:t>orden</w:t>
      </w:r>
      <w:r>
        <w:rPr>
          <w:color w:val="231F20"/>
          <w:spacing w:val="-13"/>
          <w:w w:val="105"/>
        </w:rPr>
        <w:t> </w:t>
      </w:r>
      <w:r>
        <w:rPr>
          <w:color w:val="231F20"/>
          <w:w w:val="105"/>
        </w:rPr>
        <w:t>se determinó</w:t>
      </w:r>
      <w:r>
        <w:rPr>
          <w:color w:val="231F20"/>
          <w:spacing w:val="-15"/>
          <w:w w:val="105"/>
        </w:rPr>
        <w:t> </w:t>
      </w:r>
      <w:r>
        <w:rPr>
          <w:color w:val="231F20"/>
          <w:spacing w:val="-2"/>
          <w:w w:val="105"/>
        </w:rPr>
        <w:t>con</w:t>
      </w:r>
      <w:r>
        <w:rPr>
          <w:color w:val="231F20"/>
          <w:spacing w:val="-15"/>
          <w:w w:val="105"/>
        </w:rPr>
        <w:t> </w:t>
      </w:r>
      <w:r>
        <w:rPr>
          <w:color w:val="231F20"/>
          <w:w w:val="105"/>
        </w:rPr>
        <w:t>base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peso</w:t>
      </w:r>
      <w:r>
        <w:rPr>
          <w:color w:val="231F20"/>
          <w:spacing w:val="-15"/>
          <w:w w:val="105"/>
        </w:rPr>
        <w:t> </w:t>
      </w:r>
      <w:r>
        <w:rPr>
          <w:color w:val="231F20"/>
          <w:w w:val="105"/>
        </w:rPr>
        <w:t>electoral</w:t>
      </w:r>
      <w:r>
        <w:rPr>
          <w:color w:val="231F20"/>
          <w:spacing w:val="-15"/>
          <w:w w:val="105"/>
        </w:rPr>
        <w:t> </w:t>
      </w:r>
      <w:r>
        <w:rPr>
          <w:color w:val="231F20"/>
          <w:w w:val="105"/>
        </w:rPr>
        <w:t>cada</w:t>
      </w:r>
      <w:r>
        <w:rPr>
          <w:color w:val="231F20"/>
          <w:spacing w:val="-15"/>
          <w:w w:val="105"/>
        </w:rPr>
        <w:t> </w:t>
      </w:r>
      <w:r>
        <w:rPr>
          <w:color w:val="231F20"/>
          <w:w w:val="105"/>
        </w:rPr>
        <w:t>uno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sistema</w:t>
      </w:r>
      <w:r>
        <w:rPr>
          <w:color w:val="231F20"/>
          <w:spacing w:val="-15"/>
          <w:w w:val="105"/>
        </w:rPr>
        <w:t> </w:t>
      </w:r>
      <w:r>
        <w:rPr>
          <w:color w:val="231F20"/>
          <w:w w:val="105"/>
        </w:rPr>
        <w:t>de</w:t>
      </w:r>
      <w:r>
        <w:rPr>
          <w:color w:val="231F20"/>
          <w:spacing w:val="-15"/>
          <w:w w:val="105"/>
        </w:rPr>
        <w:t> </w:t>
      </w:r>
      <w:r>
        <w:rPr>
          <w:color w:val="231F20"/>
          <w:w w:val="105"/>
        </w:rPr>
        <w:t>partidos</w:t>
      </w:r>
      <w:r>
        <w:rPr>
          <w:color w:val="231F20"/>
          <w:spacing w:val="-15"/>
          <w:w w:val="105"/>
        </w:rPr>
        <w:t> </w:t>
      </w:r>
      <w:r>
        <w:rPr>
          <w:color w:val="231F20"/>
          <w:w w:val="105"/>
        </w:rPr>
        <w:t>mexiquense.</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7"/>
          <w:w w:val="105"/>
        </w:rPr>
        <w:t> </w:t>
      </w:r>
      <w:r>
        <w:rPr>
          <w:color w:val="231F20"/>
          <w:w w:val="105"/>
        </w:rPr>
        <w:t>capítulos</w:t>
      </w:r>
      <w:r>
        <w:rPr>
          <w:color w:val="231F20"/>
          <w:spacing w:val="-7"/>
          <w:w w:val="105"/>
        </w:rPr>
        <w:t> </w:t>
      </w:r>
      <w:r>
        <w:rPr>
          <w:color w:val="231F20"/>
          <w:w w:val="105"/>
        </w:rPr>
        <w:t>de</w:t>
      </w:r>
      <w:r>
        <w:rPr>
          <w:color w:val="231F20"/>
          <w:spacing w:val="-7"/>
          <w:w w:val="105"/>
        </w:rPr>
        <w:t> </w:t>
      </w:r>
      <w:r>
        <w:rPr>
          <w:color w:val="231F20"/>
          <w:w w:val="105"/>
        </w:rPr>
        <w:t>esta</w:t>
      </w:r>
      <w:r>
        <w:rPr>
          <w:color w:val="231F20"/>
          <w:spacing w:val="-7"/>
          <w:w w:val="105"/>
        </w:rPr>
        <w:t> </w:t>
      </w:r>
      <w:r>
        <w:rPr>
          <w:color w:val="231F20"/>
          <w:w w:val="105"/>
        </w:rPr>
        <w:t>obra</w:t>
      </w:r>
      <w:r>
        <w:rPr>
          <w:color w:val="231F20"/>
          <w:spacing w:val="-7"/>
          <w:w w:val="105"/>
        </w:rPr>
        <w:t> </w:t>
      </w:r>
      <w:r>
        <w:rPr>
          <w:color w:val="231F20"/>
          <w:w w:val="105"/>
        </w:rPr>
        <w:t>fueron</w:t>
      </w:r>
      <w:r>
        <w:rPr>
          <w:color w:val="231F20"/>
          <w:spacing w:val="-7"/>
          <w:w w:val="105"/>
        </w:rPr>
        <w:t> </w:t>
      </w:r>
      <w:r>
        <w:rPr>
          <w:color w:val="231F20"/>
          <w:w w:val="105"/>
        </w:rPr>
        <w:t>discutidos</w:t>
      </w:r>
      <w:r>
        <w:rPr>
          <w:color w:val="231F20"/>
          <w:spacing w:val="-7"/>
          <w:w w:val="105"/>
        </w:rPr>
        <w:t> </w:t>
      </w:r>
      <w:r>
        <w:rPr>
          <w:color w:val="231F20"/>
          <w:w w:val="105"/>
        </w:rPr>
        <w:t>más</w:t>
      </w:r>
      <w:r>
        <w:rPr>
          <w:color w:val="231F20"/>
          <w:spacing w:val="-7"/>
          <w:w w:val="105"/>
        </w:rPr>
        <w:t> </w:t>
      </w:r>
      <w:r>
        <w:rPr>
          <w:color w:val="231F20"/>
          <w:w w:val="105"/>
        </w:rPr>
        <w:t>de</w:t>
      </w:r>
      <w:r>
        <w:rPr>
          <w:color w:val="231F20"/>
          <w:spacing w:val="-7"/>
          <w:w w:val="105"/>
        </w:rPr>
        <w:t> </w:t>
      </w:r>
      <w:r>
        <w:rPr>
          <w:color w:val="231F20"/>
          <w:w w:val="105"/>
        </w:rPr>
        <w:t>una</w:t>
      </w:r>
      <w:r>
        <w:rPr>
          <w:color w:val="231F20"/>
          <w:spacing w:val="-7"/>
          <w:w w:val="105"/>
        </w:rPr>
        <w:t> </w:t>
      </w:r>
      <w:r>
        <w:rPr>
          <w:color w:val="231F20"/>
          <w:w w:val="105"/>
        </w:rPr>
        <w:t>vez</w:t>
      </w:r>
      <w:r>
        <w:rPr>
          <w:color w:val="231F20"/>
          <w:spacing w:val="-7"/>
          <w:w w:val="105"/>
        </w:rPr>
        <w:t> </w:t>
      </w:r>
      <w:r>
        <w:rPr>
          <w:color w:val="231F20"/>
          <w:w w:val="105"/>
        </w:rPr>
        <w:t>entre</w:t>
      </w:r>
      <w:r>
        <w:rPr>
          <w:color w:val="231F20"/>
          <w:spacing w:val="-7"/>
          <w:w w:val="105"/>
        </w:rPr>
        <w:t> </w:t>
      </w:r>
      <w:r>
        <w:rPr>
          <w:color w:val="231F20"/>
          <w:w w:val="105"/>
        </w:rPr>
        <w:t>todos</w:t>
      </w:r>
      <w:r>
        <w:rPr>
          <w:color w:val="231F20"/>
          <w:spacing w:val="-7"/>
          <w:w w:val="105"/>
        </w:rPr>
        <w:t> </w:t>
      </w:r>
      <w:r>
        <w:rPr>
          <w:color w:val="231F20"/>
          <w:w w:val="105"/>
        </w:rPr>
        <w:t>los</w:t>
      </w:r>
      <w:r>
        <w:rPr>
          <w:color w:val="231F20"/>
          <w:spacing w:val="-7"/>
          <w:w w:val="105"/>
        </w:rPr>
        <w:t> </w:t>
      </w:r>
      <w:r>
        <w:rPr>
          <w:color w:val="231F20"/>
          <w:w w:val="105"/>
        </w:rPr>
        <w:t>participan- tes</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spacing w:val="2"/>
          <w:w w:val="105"/>
        </w:rPr>
        <w:t>fin</w:t>
      </w:r>
      <w:r>
        <w:rPr>
          <w:color w:val="231F20"/>
          <w:spacing w:val="-4"/>
          <w:w w:val="105"/>
        </w:rPr>
        <w:t> </w:t>
      </w:r>
      <w:r>
        <w:rPr>
          <w:color w:val="231F20"/>
          <w:w w:val="105"/>
        </w:rPr>
        <w:t>de</w:t>
      </w:r>
      <w:r>
        <w:rPr>
          <w:color w:val="231F20"/>
          <w:spacing w:val="-4"/>
          <w:w w:val="105"/>
        </w:rPr>
        <w:t> </w:t>
      </w:r>
      <w:r>
        <w:rPr>
          <w:color w:val="231F20"/>
          <w:w w:val="105"/>
        </w:rPr>
        <w:t>corregirlos</w:t>
      </w:r>
      <w:r>
        <w:rPr>
          <w:color w:val="231F20"/>
          <w:spacing w:val="-4"/>
          <w:w w:val="105"/>
        </w:rPr>
        <w:t> </w:t>
      </w:r>
      <w:r>
        <w:rPr>
          <w:color w:val="231F20"/>
          <w:w w:val="105"/>
        </w:rPr>
        <w:t>y</w:t>
      </w:r>
      <w:r>
        <w:rPr>
          <w:color w:val="231F20"/>
          <w:spacing w:val="-4"/>
          <w:w w:val="105"/>
        </w:rPr>
        <w:t> </w:t>
      </w:r>
      <w:r>
        <w:rPr>
          <w:color w:val="231F20"/>
          <w:w w:val="105"/>
        </w:rPr>
        <w:t>enriquecerlos,</w:t>
      </w:r>
      <w:r>
        <w:rPr>
          <w:color w:val="231F20"/>
          <w:spacing w:val="-4"/>
          <w:w w:val="105"/>
        </w:rPr>
        <w:t> </w:t>
      </w:r>
      <w:r>
        <w:rPr>
          <w:color w:val="231F20"/>
          <w:w w:val="105"/>
        </w:rPr>
        <w:t>de</w:t>
      </w:r>
      <w:r>
        <w:rPr>
          <w:color w:val="231F20"/>
          <w:spacing w:val="-4"/>
          <w:w w:val="105"/>
        </w:rPr>
        <w:t> </w:t>
      </w:r>
      <w:r>
        <w:rPr>
          <w:color w:val="231F20"/>
          <w:w w:val="105"/>
        </w:rPr>
        <w:t>suerte</w:t>
      </w:r>
      <w:r>
        <w:rPr>
          <w:color w:val="231F20"/>
          <w:spacing w:val="-4"/>
          <w:w w:val="105"/>
        </w:rPr>
        <w:t> </w:t>
      </w:r>
      <w:r>
        <w:rPr>
          <w:color w:val="231F20"/>
          <w:w w:val="105"/>
        </w:rPr>
        <w:t>que</w:t>
      </w:r>
      <w:r>
        <w:rPr>
          <w:color w:val="231F20"/>
          <w:spacing w:val="-4"/>
          <w:w w:val="105"/>
        </w:rPr>
        <w:t> </w:t>
      </w:r>
      <w:r>
        <w:rPr>
          <w:color w:val="231F20"/>
          <w:w w:val="105"/>
        </w:rPr>
        <w:t>aportaran</w:t>
      </w:r>
      <w:r>
        <w:rPr>
          <w:color w:val="231F20"/>
          <w:spacing w:val="-4"/>
          <w:w w:val="105"/>
        </w:rPr>
        <w:t> </w:t>
      </w:r>
      <w:r>
        <w:rPr>
          <w:color w:val="231F20"/>
          <w:w w:val="105"/>
        </w:rPr>
        <w:t>conocimiento</w:t>
      </w:r>
      <w:r>
        <w:rPr>
          <w:color w:val="231F20"/>
          <w:spacing w:val="-4"/>
          <w:w w:val="105"/>
        </w:rPr>
        <w:t> </w:t>
      </w:r>
      <w:r>
        <w:rPr>
          <w:color w:val="231F20"/>
          <w:w w:val="105"/>
        </w:rPr>
        <w:t>útil para</w:t>
      </w:r>
      <w:r>
        <w:rPr>
          <w:color w:val="231F20"/>
          <w:spacing w:val="-15"/>
          <w:w w:val="105"/>
        </w:rPr>
        <w:t> </w:t>
      </w:r>
      <w:r>
        <w:rPr>
          <w:color w:val="231F20"/>
          <w:w w:val="105"/>
        </w:rPr>
        <w:t>la</w:t>
      </w:r>
      <w:r>
        <w:rPr>
          <w:color w:val="231F20"/>
          <w:spacing w:val="-15"/>
          <w:w w:val="105"/>
        </w:rPr>
        <w:t> </w:t>
      </w:r>
      <w:r>
        <w:rPr>
          <w:color w:val="231F20"/>
          <w:w w:val="105"/>
        </w:rPr>
        <w:t>comprensión</w:t>
      </w:r>
      <w:r>
        <w:rPr>
          <w:color w:val="231F20"/>
          <w:spacing w:val="-15"/>
          <w:w w:val="105"/>
        </w:rPr>
        <w:t> </w:t>
      </w:r>
      <w:r>
        <w:rPr>
          <w:color w:val="231F20"/>
          <w:w w:val="105"/>
        </w:rPr>
        <w:t>de</w:t>
      </w:r>
      <w:r>
        <w:rPr>
          <w:color w:val="231F20"/>
          <w:spacing w:val="-15"/>
          <w:w w:val="105"/>
        </w:rPr>
        <w:t> </w:t>
      </w:r>
      <w:r>
        <w:rPr>
          <w:color w:val="231F20"/>
          <w:w w:val="105"/>
        </w:rPr>
        <w:t>partidos</w:t>
      </w:r>
      <w:r>
        <w:rPr>
          <w:color w:val="231F20"/>
          <w:spacing w:val="-15"/>
          <w:w w:val="105"/>
        </w:rPr>
        <w:t> </w:t>
      </w:r>
      <w:r>
        <w:rPr>
          <w:color w:val="231F20"/>
          <w:w w:val="105"/>
        </w:rPr>
        <w:t>y</w:t>
      </w:r>
      <w:r>
        <w:rPr>
          <w:color w:val="231F20"/>
          <w:spacing w:val="-15"/>
          <w:w w:val="105"/>
        </w:rPr>
        <w:t> </w:t>
      </w:r>
      <w:r>
        <w:rPr>
          <w:color w:val="231F20"/>
          <w:w w:val="105"/>
        </w:rPr>
        <w:t>gobiernos</w:t>
      </w:r>
      <w:r>
        <w:rPr>
          <w:color w:val="231F20"/>
          <w:spacing w:val="-15"/>
          <w:w w:val="105"/>
        </w:rPr>
        <w:t> </w:t>
      </w:r>
      <w:r>
        <w:rPr>
          <w:color w:val="231F20"/>
          <w:w w:val="105"/>
        </w:rPr>
        <w:t>municipales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w:t>
      </w:r>
    </w:p>
    <w:p>
      <w:pPr>
        <w:pStyle w:val="BodyText"/>
        <w:spacing w:before="1"/>
        <w:rPr>
          <w:sz w:val="26"/>
        </w:rPr>
      </w:pPr>
    </w:p>
    <w:p>
      <w:pPr>
        <w:pStyle w:val="BodyText"/>
        <w:spacing w:line="285" w:lineRule="auto"/>
        <w:ind w:left="110" w:right="108"/>
        <w:jc w:val="both"/>
      </w:pPr>
      <w:r>
        <w:rPr>
          <w:color w:val="231F20"/>
          <w:w w:val="105"/>
        </w:rPr>
        <w:t>Para la realización de estos trabajos se elaboró una base de datos sobre gobiernos </w:t>
      </w:r>
      <w:r>
        <w:rPr>
          <w:color w:val="231F20"/>
          <w:spacing w:val="-3"/>
          <w:w w:val="105"/>
        </w:rPr>
        <w:t>mu- </w:t>
      </w:r>
      <w:r>
        <w:rPr>
          <w:color w:val="231F20"/>
          <w:w w:val="105"/>
        </w:rPr>
        <w:t>nicipales de la entidad, cuyo contenido se nutrió de documentos institucionales, datos oficiales,</w:t>
      </w:r>
      <w:r>
        <w:rPr>
          <w:color w:val="231F20"/>
          <w:spacing w:val="-12"/>
          <w:w w:val="105"/>
        </w:rPr>
        <w:t> </w:t>
      </w:r>
      <w:r>
        <w:rPr>
          <w:color w:val="231F20"/>
          <w:w w:val="105"/>
        </w:rPr>
        <w:t>índices</w:t>
      </w:r>
      <w:r>
        <w:rPr>
          <w:color w:val="231F20"/>
          <w:spacing w:val="-12"/>
          <w:w w:val="105"/>
        </w:rPr>
        <w:t> </w:t>
      </w:r>
      <w:r>
        <w:rPr>
          <w:color w:val="231F20"/>
          <w:w w:val="105"/>
        </w:rPr>
        <w:t>de</w:t>
      </w:r>
      <w:r>
        <w:rPr>
          <w:color w:val="231F20"/>
          <w:spacing w:val="-12"/>
          <w:w w:val="105"/>
        </w:rPr>
        <w:t> </w:t>
      </w:r>
      <w:r>
        <w:rPr>
          <w:color w:val="231F20"/>
          <w:w w:val="105"/>
        </w:rPr>
        <w:t>evaluación</w:t>
      </w:r>
      <w:r>
        <w:rPr>
          <w:color w:val="231F20"/>
          <w:spacing w:val="-12"/>
          <w:w w:val="105"/>
        </w:rPr>
        <w:t> </w:t>
      </w:r>
      <w:r>
        <w:rPr>
          <w:color w:val="231F20"/>
          <w:w w:val="105"/>
        </w:rPr>
        <w:t>de</w:t>
      </w:r>
      <w:r>
        <w:rPr>
          <w:color w:val="231F20"/>
          <w:spacing w:val="-12"/>
          <w:w w:val="105"/>
        </w:rPr>
        <w:t> </w:t>
      </w:r>
      <w:r>
        <w:rPr>
          <w:color w:val="231F20"/>
          <w:w w:val="105"/>
        </w:rPr>
        <w:t>gobiernos,</w:t>
      </w:r>
      <w:r>
        <w:rPr>
          <w:color w:val="231F20"/>
          <w:spacing w:val="-12"/>
          <w:w w:val="105"/>
        </w:rPr>
        <w:t> </w:t>
      </w:r>
      <w:r>
        <w:rPr>
          <w:color w:val="231F20"/>
          <w:w w:val="105"/>
        </w:rPr>
        <w:t>estudios</w:t>
      </w:r>
      <w:r>
        <w:rPr>
          <w:color w:val="231F20"/>
          <w:spacing w:val="-12"/>
          <w:w w:val="105"/>
        </w:rPr>
        <w:t> </w:t>
      </w:r>
      <w:r>
        <w:rPr>
          <w:color w:val="231F20"/>
          <w:w w:val="105"/>
        </w:rPr>
        <w:t>analíticos</w:t>
      </w:r>
      <w:r>
        <w:rPr>
          <w:color w:val="231F20"/>
          <w:spacing w:val="-12"/>
          <w:w w:val="105"/>
        </w:rPr>
        <w:t> </w:t>
      </w:r>
      <w:r>
        <w:rPr>
          <w:color w:val="231F20"/>
          <w:w w:val="105"/>
        </w:rPr>
        <w:t>publicados</w:t>
      </w:r>
      <w:r>
        <w:rPr>
          <w:color w:val="231F20"/>
          <w:spacing w:val="-12"/>
          <w:w w:val="105"/>
        </w:rPr>
        <w:t> </w:t>
      </w:r>
      <w:r>
        <w:rPr>
          <w:color w:val="231F20"/>
          <w:w w:val="105"/>
        </w:rPr>
        <w:t>en</w:t>
      </w:r>
      <w:r>
        <w:rPr>
          <w:color w:val="231F20"/>
          <w:spacing w:val="-12"/>
          <w:w w:val="105"/>
        </w:rPr>
        <w:t> </w:t>
      </w:r>
      <w:r>
        <w:rPr>
          <w:color w:val="231F20"/>
          <w:w w:val="105"/>
        </w:rPr>
        <w:t>libros</w:t>
      </w:r>
      <w:r>
        <w:rPr>
          <w:color w:val="231F20"/>
          <w:spacing w:val="-12"/>
          <w:w w:val="105"/>
        </w:rPr>
        <w:t> </w:t>
      </w:r>
      <w:r>
        <w:rPr>
          <w:color w:val="231F20"/>
          <w:w w:val="105"/>
        </w:rPr>
        <w:t>y revistas</w:t>
      </w:r>
      <w:r>
        <w:rPr>
          <w:color w:val="231F20"/>
          <w:spacing w:val="-15"/>
          <w:w w:val="105"/>
        </w:rPr>
        <w:t> </w:t>
      </w:r>
      <w:r>
        <w:rPr>
          <w:color w:val="231F20"/>
          <w:w w:val="105"/>
        </w:rPr>
        <w:t>especializadas,</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tesis</w:t>
      </w:r>
      <w:r>
        <w:rPr>
          <w:color w:val="231F20"/>
          <w:spacing w:val="-15"/>
          <w:w w:val="105"/>
        </w:rPr>
        <w:t> </w:t>
      </w:r>
      <w:r>
        <w:rPr>
          <w:color w:val="231F20"/>
          <w:w w:val="105"/>
        </w:rPr>
        <w:t>de</w:t>
      </w:r>
      <w:r>
        <w:rPr>
          <w:color w:val="231F20"/>
          <w:spacing w:val="-15"/>
          <w:w w:val="105"/>
        </w:rPr>
        <w:t> </w:t>
      </w:r>
      <w:r>
        <w:rPr>
          <w:color w:val="231F20"/>
          <w:w w:val="105"/>
        </w:rPr>
        <w:t>licenciatura</w:t>
      </w:r>
      <w:r>
        <w:rPr>
          <w:color w:val="231F20"/>
          <w:spacing w:val="-15"/>
          <w:w w:val="105"/>
        </w:rPr>
        <w:t> </w:t>
      </w:r>
      <w:r>
        <w:rPr>
          <w:color w:val="231F20"/>
          <w:w w:val="105"/>
        </w:rPr>
        <w:t>y</w:t>
      </w:r>
      <w:r>
        <w:rPr>
          <w:color w:val="231F20"/>
          <w:spacing w:val="-15"/>
          <w:w w:val="105"/>
        </w:rPr>
        <w:t> </w:t>
      </w:r>
      <w:r>
        <w:rPr>
          <w:color w:val="231F20"/>
          <w:w w:val="105"/>
        </w:rPr>
        <w:t>posgrado</w:t>
      </w:r>
      <w:r>
        <w:rPr>
          <w:color w:val="231F20"/>
          <w:spacing w:val="-15"/>
          <w:w w:val="105"/>
        </w:rPr>
        <w:t> </w:t>
      </w:r>
      <w:r>
        <w:rPr>
          <w:color w:val="231F20"/>
          <w:w w:val="105"/>
        </w:rPr>
        <w:t>de</w:t>
      </w:r>
      <w:r>
        <w:rPr>
          <w:color w:val="231F20"/>
          <w:spacing w:val="-15"/>
          <w:w w:val="105"/>
        </w:rPr>
        <w:t> </w:t>
      </w:r>
      <w:r>
        <w:rPr>
          <w:color w:val="231F20"/>
          <w:w w:val="105"/>
        </w:rPr>
        <w:t>diversas</w:t>
      </w:r>
      <w:r>
        <w:rPr>
          <w:color w:val="231F20"/>
          <w:spacing w:val="-15"/>
          <w:w w:val="105"/>
        </w:rPr>
        <w:t> </w:t>
      </w:r>
      <w:r>
        <w:rPr>
          <w:color w:val="231F20"/>
          <w:w w:val="105"/>
        </w:rPr>
        <w:t>institucio- nes.</w:t>
      </w:r>
      <w:r>
        <w:rPr>
          <w:color w:val="231F20"/>
          <w:spacing w:val="-14"/>
          <w:w w:val="105"/>
        </w:rPr>
        <w:t> </w:t>
      </w:r>
      <w:r>
        <w:rPr>
          <w:color w:val="231F20"/>
          <w:w w:val="105"/>
        </w:rPr>
        <w:t>Estas</w:t>
      </w:r>
      <w:r>
        <w:rPr>
          <w:color w:val="231F20"/>
          <w:spacing w:val="-14"/>
          <w:w w:val="105"/>
        </w:rPr>
        <w:t> </w:t>
      </w:r>
      <w:r>
        <w:rPr>
          <w:color w:val="231F20"/>
          <w:w w:val="105"/>
        </w:rPr>
        <w:t>fuentes</w:t>
      </w:r>
      <w:r>
        <w:rPr>
          <w:color w:val="231F20"/>
          <w:spacing w:val="-14"/>
          <w:w w:val="105"/>
        </w:rPr>
        <w:t> </w:t>
      </w:r>
      <w:r>
        <w:rPr>
          <w:color w:val="231F20"/>
          <w:w w:val="105"/>
        </w:rPr>
        <w:t>se</w:t>
      </w:r>
      <w:r>
        <w:rPr>
          <w:color w:val="231F20"/>
          <w:spacing w:val="-14"/>
          <w:w w:val="105"/>
        </w:rPr>
        <w:t> </w:t>
      </w:r>
      <w:r>
        <w:rPr>
          <w:color w:val="231F20"/>
          <w:w w:val="105"/>
        </w:rPr>
        <w:t>complementaron</w:t>
      </w:r>
      <w:r>
        <w:rPr>
          <w:color w:val="231F20"/>
          <w:spacing w:val="-14"/>
          <w:w w:val="105"/>
        </w:rPr>
        <w:t> </w:t>
      </w:r>
      <w:r>
        <w:rPr>
          <w:color w:val="231F20"/>
          <w:w w:val="105"/>
        </w:rPr>
        <w:t>con</w:t>
      </w:r>
      <w:r>
        <w:rPr>
          <w:color w:val="231F20"/>
          <w:spacing w:val="-14"/>
          <w:w w:val="105"/>
        </w:rPr>
        <w:t> </w:t>
      </w:r>
      <w:r>
        <w:rPr>
          <w:color w:val="231F20"/>
          <w:w w:val="105"/>
        </w:rPr>
        <w:t>entrevistas</w:t>
      </w:r>
      <w:r>
        <w:rPr>
          <w:color w:val="231F20"/>
          <w:spacing w:val="-14"/>
          <w:w w:val="105"/>
        </w:rPr>
        <w:t> </w:t>
      </w:r>
      <w:r>
        <w:rPr>
          <w:color w:val="231F20"/>
          <w:w w:val="105"/>
        </w:rPr>
        <w:t>a</w:t>
      </w:r>
      <w:r>
        <w:rPr>
          <w:color w:val="231F20"/>
          <w:spacing w:val="-14"/>
          <w:w w:val="105"/>
        </w:rPr>
        <w:t> </w:t>
      </w:r>
      <w:r>
        <w:rPr>
          <w:color w:val="231F20"/>
          <w:w w:val="105"/>
        </w:rPr>
        <w:t>presidentes</w:t>
      </w:r>
      <w:r>
        <w:rPr>
          <w:color w:val="231F20"/>
          <w:spacing w:val="-14"/>
          <w:w w:val="105"/>
        </w:rPr>
        <w:t> </w:t>
      </w:r>
      <w:r>
        <w:rPr>
          <w:color w:val="231F20"/>
          <w:w w:val="105"/>
        </w:rPr>
        <w:t>municipales</w:t>
      </w:r>
      <w:r>
        <w:rPr>
          <w:color w:val="231F20"/>
          <w:spacing w:val="-14"/>
          <w:w w:val="105"/>
        </w:rPr>
        <w:t> </w:t>
      </w:r>
      <w:r>
        <w:rPr>
          <w:color w:val="231F20"/>
          <w:w w:val="105"/>
        </w:rPr>
        <w:t>o</w:t>
      </w:r>
      <w:r>
        <w:rPr>
          <w:color w:val="231F20"/>
          <w:spacing w:val="-14"/>
          <w:w w:val="105"/>
        </w:rPr>
        <w:t> </w:t>
      </w:r>
      <w:r>
        <w:rPr>
          <w:color w:val="231F20"/>
          <w:w w:val="105"/>
        </w:rPr>
        <w:t>bien, a</w:t>
      </w:r>
      <w:r>
        <w:rPr>
          <w:color w:val="231F20"/>
          <w:spacing w:val="-12"/>
          <w:w w:val="105"/>
        </w:rPr>
        <w:t> </w:t>
      </w:r>
      <w:r>
        <w:rPr>
          <w:color w:val="231F20"/>
          <w:w w:val="105"/>
        </w:rPr>
        <w:t>integrantes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administración</w:t>
      </w:r>
      <w:r>
        <w:rPr>
          <w:color w:val="231F20"/>
          <w:spacing w:val="-12"/>
          <w:w w:val="105"/>
        </w:rPr>
        <w:t> </w:t>
      </w:r>
      <w:r>
        <w:rPr>
          <w:color w:val="231F20"/>
          <w:w w:val="105"/>
        </w:rPr>
        <w:t>municipal,</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casos</w:t>
      </w:r>
      <w:r>
        <w:rPr>
          <w:color w:val="231F20"/>
          <w:spacing w:val="-12"/>
          <w:w w:val="105"/>
        </w:rPr>
        <w:t> </w:t>
      </w:r>
      <w:r>
        <w:rPr>
          <w:color w:val="231F20"/>
          <w:w w:val="105"/>
        </w:rPr>
        <w:t>estudiados.</w:t>
      </w:r>
    </w:p>
    <w:p>
      <w:pPr>
        <w:pStyle w:val="BodyText"/>
        <w:spacing w:before="1"/>
        <w:rPr>
          <w:sz w:val="26"/>
        </w:rPr>
      </w:pPr>
    </w:p>
    <w:p>
      <w:pPr>
        <w:pStyle w:val="BodyText"/>
        <w:spacing w:line="285" w:lineRule="auto"/>
        <w:ind w:left="110" w:right="107"/>
        <w:jc w:val="both"/>
      </w:pPr>
      <w:r>
        <w:rPr>
          <w:color w:val="231F20"/>
          <w:w w:val="105"/>
        </w:rPr>
        <w:t>Para el cumplimiento de estas tareas se formó un equipo de trabajo integrado por pro- fesores,</w:t>
      </w:r>
      <w:r>
        <w:rPr>
          <w:color w:val="231F20"/>
          <w:spacing w:val="-25"/>
          <w:w w:val="105"/>
        </w:rPr>
        <w:t> </w:t>
      </w:r>
      <w:r>
        <w:rPr>
          <w:color w:val="231F20"/>
          <w:w w:val="105"/>
        </w:rPr>
        <w:t>becarios</w:t>
      </w:r>
      <w:r>
        <w:rPr>
          <w:color w:val="231F20"/>
          <w:spacing w:val="-25"/>
          <w:w w:val="105"/>
        </w:rPr>
        <w:t> </w:t>
      </w:r>
      <w:r>
        <w:rPr>
          <w:color w:val="231F20"/>
          <w:w w:val="105"/>
        </w:rPr>
        <w:t>y</w:t>
      </w:r>
      <w:r>
        <w:rPr>
          <w:color w:val="231F20"/>
          <w:spacing w:val="-25"/>
          <w:w w:val="105"/>
        </w:rPr>
        <w:t> </w:t>
      </w:r>
      <w:r>
        <w:rPr>
          <w:color w:val="231F20"/>
          <w:w w:val="105"/>
        </w:rPr>
        <w:t>estudiantes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Universidad</w:t>
      </w:r>
      <w:r>
        <w:rPr>
          <w:color w:val="231F20"/>
          <w:spacing w:val="-25"/>
          <w:w w:val="105"/>
        </w:rPr>
        <w:t> </w:t>
      </w:r>
      <w:r>
        <w:rPr>
          <w:color w:val="231F20"/>
          <w:w w:val="105"/>
        </w:rPr>
        <w:t>Autónoma</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México</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w w:val="105"/>
        </w:rPr>
        <w:t>la Universidad</w:t>
      </w:r>
      <w:r>
        <w:rPr>
          <w:color w:val="231F20"/>
          <w:spacing w:val="-24"/>
          <w:w w:val="105"/>
        </w:rPr>
        <w:t> </w:t>
      </w:r>
      <w:r>
        <w:rPr>
          <w:color w:val="231F20"/>
          <w:w w:val="105"/>
        </w:rPr>
        <w:t>Nacional</w:t>
      </w:r>
      <w:r>
        <w:rPr>
          <w:color w:val="231F20"/>
          <w:spacing w:val="-24"/>
          <w:w w:val="105"/>
        </w:rPr>
        <w:t> </w:t>
      </w:r>
      <w:r>
        <w:rPr>
          <w:color w:val="231F20"/>
          <w:w w:val="105"/>
        </w:rPr>
        <w:t>Autónoma</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w w:val="105"/>
        </w:rPr>
        <w:t>En</w:t>
      </w:r>
      <w:r>
        <w:rPr>
          <w:color w:val="231F20"/>
          <w:spacing w:val="-24"/>
          <w:w w:val="105"/>
        </w:rPr>
        <w:t> </w:t>
      </w:r>
      <w:r>
        <w:rPr>
          <w:color w:val="231F20"/>
          <w:w w:val="105"/>
        </w:rPr>
        <w:t>especial</w:t>
      </w:r>
      <w:r>
        <w:rPr>
          <w:color w:val="231F20"/>
          <w:spacing w:val="-24"/>
          <w:w w:val="105"/>
        </w:rPr>
        <w:t> </w:t>
      </w:r>
      <w:r>
        <w:rPr>
          <w:color w:val="231F20"/>
          <w:w w:val="105"/>
        </w:rPr>
        <w:t>deseamos</w:t>
      </w:r>
      <w:r>
        <w:rPr>
          <w:color w:val="231F20"/>
          <w:spacing w:val="-24"/>
          <w:w w:val="105"/>
        </w:rPr>
        <w:t> </w:t>
      </w:r>
      <w:r>
        <w:rPr>
          <w:color w:val="231F20"/>
          <w:w w:val="105"/>
        </w:rPr>
        <w:t>agradecer</w:t>
      </w:r>
      <w:r>
        <w:rPr>
          <w:color w:val="231F20"/>
          <w:spacing w:val="-24"/>
          <w:w w:val="105"/>
        </w:rPr>
        <w:t> </w:t>
      </w:r>
      <w:r>
        <w:rPr>
          <w:color w:val="231F20"/>
          <w:w w:val="105"/>
        </w:rPr>
        <w:t>la</w:t>
      </w:r>
      <w:r>
        <w:rPr>
          <w:color w:val="231F20"/>
          <w:spacing w:val="-24"/>
          <w:w w:val="105"/>
        </w:rPr>
        <w:t> </w:t>
      </w:r>
      <w:r>
        <w:rPr>
          <w:color w:val="231F20"/>
          <w:w w:val="105"/>
        </w:rPr>
        <w:t>colabo- ración</w:t>
      </w:r>
      <w:r>
        <w:rPr>
          <w:color w:val="231F20"/>
          <w:spacing w:val="-13"/>
          <w:w w:val="105"/>
        </w:rPr>
        <w:t> </w:t>
      </w:r>
      <w:r>
        <w:rPr>
          <w:color w:val="231F20"/>
          <w:w w:val="105"/>
        </w:rPr>
        <w:t>de</w:t>
      </w:r>
      <w:r>
        <w:rPr>
          <w:color w:val="231F20"/>
          <w:spacing w:val="-13"/>
          <w:w w:val="105"/>
        </w:rPr>
        <w:t> </w:t>
      </w:r>
      <w:r>
        <w:rPr>
          <w:color w:val="231F20"/>
          <w:w w:val="105"/>
        </w:rPr>
        <w:t>Miguel</w:t>
      </w:r>
      <w:r>
        <w:rPr>
          <w:color w:val="231F20"/>
          <w:spacing w:val="-13"/>
          <w:w w:val="105"/>
        </w:rPr>
        <w:t> </w:t>
      </w:r>
      <w:r>
        <w:rPr>
          <w:color w:val="231F20"/>
          <w:w w:val="105"/>
        </w:rPr>
        <w:t>Jesús</w:t>
      </w:r>
      <w:r>
        <w:rPr>
          <w:color w:val="231F20"/>
          <w:spacing w:val="-13"/>
          <w:w w:val="105"/>
        </w:rPr>
        <w:t> </w:t>
      </w:r>
      <w:r>
        <w:rPr>
          <w:color w:val="231F20"/>
          <w:w w:val="105"/>
        </w:rPr>
        <w:t>Islas</w:t>
      </w:r>
      <w:r>
        <w:rPr>
          <w:color w:val="231F20"/>
          <w:spacing w:val="-13"/>
          <w:w w:val="105"/>
        </w:rPr>
        <w:t> </w:t>
      </w:r>
      <w:r>
        <w:rPr>
          <w:color w:val="231F20"/>
          <w:w w:val="105"/>
        </w:rPr>
        <w:t>Santiago,</w:t>
      </w:r>
      <w:r>
        <w:rPr>
          <w:color w:val="231F20"/>
          <w:spacing w:val="-13"/>
          <w:w w:val="105"/>
        </w:rPr>
        <w:t> </w:t>
      </w:r>
      <w:r>
        <w:rPr>
          <w:color w:val="231F20"/>
          <w:spacing w:val="2"/>
          <w:w w:val="105"/>
        </w:rPr>
        <w:t>Arturo</w:t>
      </w:r>
      <w:r>
        <w:rPr>
          <w:color w:val="231F20"/>
          <w:spacing w:val="-13"/>
          <w:w w:val="105"/>
        </w:rPr>
        <w:t> </w:t>
      </w:r>
      <w:r>
        <w:rPr>
          <w:color w:val="231F20"/>
          <w:w w:val="105"/>
        </w:rPr>
        <w:t>López</w:t>
      </w:r>
      <w:r>
        <w:rPr>
          <w:color w:val="231F20"/>
          <w:spacing w:val="-13"/>
          <w:w w:val="105"/>
        </w:rPr>
        <w:t> </w:t>
      </w:r>
      <w:r>
        <w:rPr>
          <w:color w:val="231F20"/>
          <w:spacing w:val="-3"/>
          <w:w w:val="105"/>
        </w:rPr>
        <w:t>Perdomo,</w:t>
      </w:r>
      <w:r>
        <w:rPr>
          <w:color w:val="231F20"/>
          <w:spacing w:val="-13"/>
          <w:w w:val="105"/>
        </w:rPr>
        <w:t> </w:t>
      </w:r>
      <w:r>
        <w:rPr>
          <w:color w:val="231F20"/>
          <w:w w:val="105"/>
        </w:rPr>
        <w:t>José</w:t>
      </w:r>
      <w:r>
        <w:rPr>
          <w:color w:val="231F20"/>
          <w:spacing w:val="-13"/>
          <w:w w:val="105"/>
        </w:rPr>
        <w:t> </w:t>
      </w:r>
      <w:r>
        <w:rPr>
          <w:color w:val="231F20"/>
          <w:w w:val="105"/>
        </w:rPr>
        <w:t>Guadalupe</w:t>
      </w:r>
      <w:r>
        <w:rPr>
          <w:color w:val="231F20"/>
          <w:spacing w:val="-13"/>
          <w:w w:val="105"/>
        </w:rPr>
        <w:t> </w:t>
      </w:r>
      <w:r>
        <w:rPr>
          <w:color w:val="231F20"/>
          <w:w w:val="105"/>
        </w:rPr>
        <w:t>Chávez López</w:t>
      </w:r>
      <w:r>
        <w:rPr>
          <w:color w:val="231F20"/>
          <w:spacing w:val="-4"/>
          <w:w w:val="105"/>
        </w:rPr>
        <w:t> </w:t>
      </w:r>
      <w:r>
        <w:rPr>
          <w:color w:val="231F20"/>
          <w:w w:val="105"/>
        </w:rPr>
        <w:t>y</w:t>
      </w:r>
      <w:r>
        <w:rPr>
          <w:color w:val="231F20"/>
          <w:spacing w:val="-4"/>
          <w:w w:val="105"/>
        </w:rPr>
        <w:t> </w:t>
      </w:r>
      <w:r>
        <w:rPr>
          <w:color w:val="231F20"/>
          <w:w w:val="105"/>
        </w:rPr>
        <w:t>Luis</w:t>
      </w:r>
      <w:r>
        <w:rPr>
          <w:color w:val="231F20"/>
          <w:spacing w:val="-4"/>
          <w:w w:val="105"/>
        </w:rPr>
        <w:t> </w:t>
      </w:r>
      <w:r>
        <w:rPr>
          <w:color w:val="231F20"/>
          <w:w w:val="105"/>
        </w:rPr>
        <w:t>Daniel</w:t>
      </w:r>
      <w:r>
        <w:rPr>
          <w:color w:val="231F20"/>
          <w:spacing w:val="-4"/>
          <w:w w:val="105"/>
        </w:rPr>
        <w:t> </w:t>
      </w:r>
      <w:r>
        <w:rPr>
          <w:color w:val="231F20"/>
          <w:w w:val="105"/>
        </w:rPr>
        <w:t>Aguilar,</w:t>
      </w:r>
      <w:r>
        <w:rPr>
          <w:color w:val="231F20"/>
          <w:spacing w:val="-4"/>
          <w:w w:val="105"/>
        </w:rPr>
        <w:t> </w:t>
      </w:r>
      <w:r>
        <w:rPr>
          <w:color w:val="231F20"/>
          <w:w w:val="105"/>
        </w:rPr>
        <w:t>quienes</w:t>
      </w:r>
      <w:r>
        <w:rPr>
          <w:color w:val="231F20"/>
          <w:spacing w:val="-4"/>
          <w:w w:val="105"/>
        </w:rPr>
        <w:t> </w:t>
      </w:r>
      <w:r>
        <w:rPr>
          <w:color w:val="231F20"/>
          <w:w w:val="105"/>
        </w:rPr>
        <w:t>participaron</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recolección</w:t>
      </w:r>
      <w:r>
        <w:rPr>
          <w:color w:val="231F20"/>
          <w:spacing w:val="-4"/>
          <w:w w:val="105"/>
        </w:rPr>
        <w:t> </w:t>
      </w:r>
      <w:r>
        <w:rPr>
          <w:color w:val="231F20"/>
          <w:w w:val="105"/>
        </w:rPr>
        <w:t>de</w:t>
      </w:r>
      <w:r>
        <w:rPr>
          <w:color w:val="231F20"/>
          <w:spacing w:val="-4"/>
          <w:w w:val="105"/>
        </w:rPr>
        <w:t> </w:t>
      </w:r>
      <w:r>
        <w:rPr>
          <w:color w:val="231F20"/>
          <w:w w:val="105"/>
        </w:rPr>
        <w:t>una</w:t>
      </w:r>
      <w:r>
        <w:rPr>
          <w:color w:val="231F20"/>
          <w:spacing w:val="-4"/>
          <w:w w:val="105"/>
        </w:rPr>
        <w:t> </w:t>
      </w:r>
      <w:r>
        <w:rPr>
          <w:color w:val="231F20"/>
          <w:w w:val="105"/>
        </w:rPr>
        <w:t>parte</w:t>
      </w:r>
      <w:r>
        <w:rPr>
          <w:color w:val="231F20"/>
          <w:spacing w:val="-4"/>
          <w:w w:val="105"/>
        </w:rPr>
        <w:t> </w:t>
      </w:r>
      <w:r>
        <w:rPr>
          <w:color w:val="231F20"/>
          <w:w w:val="105"/>
        </w:rPr>
        <w:t>de</w:t>
      </w:r>
      <w:r>
        <w:rPr>
          <w:color w:val="231F20"/>
          <w:spacing w:val="-4"/>
          <w:w w:val="105"/>
        </w:rPr>
        <w:t> </w:t>
      </w:r>
      <w:r>
        <w:rPr>
          <w:color w:val="231F20"/>
          <w:w w:val="105"/>
        </w:rPr>
        <w:t>la información</w:t>
      </w:r>
      <w:r>
        <w:rPr>
          <w:color w:val="231F20"/>
          <w:spacing w:val="-14"/>
          <w:w w:val="105"/>
        </w:rPr>
        <w:t> </w:t>
      </w:r>
      <w:r>
        <w:rPr>
          <w:color w:val="231F20"/>
          <w:w w:val="105"/>
        </w:rPr>
        <w:t>que</w:t>
      </w:r>
      <w:r>
        <w:rPr>
          <w:color w:val="231F20"/>
          <w:spacing w:val="-14"/>
          <w:w w:val="105"/>
        </w:rPr>
        <w:t> </w:t>
      </w:r>
      <w:r>
        <w:rPr>
          <w:color w:val="231F20"/>
          <w:w w:val="105"/>
        </w:rPr>
        <w:t>alimentó</w:t>
      </w:r>
      <w:r>
        <w:rPr>
          <w:color w:val="231F20"/>
          <w:spacing w:val="-14"/>
          <w:w w:val="105"/>
        </w:rPr>
        <w:t> </w:t>
      </w:r>
      <w:r>
        <w:rPr>
          <w:color w:val="231F20"/>
          <w:w w:val="105"/>
        </w:rPr>
        <w:t>la</w:t>
      </w:r>
      <w:r>
        <w:rPr>
          <w:color w:val="231F20"/>
          <w:spacing w:val="-14"/>
          <w:w w:val="105"/>
        </w:rPr>
        <w:t> </w:t>
      </w:r>
      <w:r>
        <w:rPr>
          <w:color w:val="231F20"/>
          <w:w w:val="105"/>
        </w:rPr>
        <w:t>base.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Esta</w:t>
      </w:r>
      <w:r>
        <w:rPr>
          <w:color w:val="231F20"/>
          <w:spacing w:val="-11"/>
          <w:w w:val="105"/>
        </w:rPr>
        <w:t> </w:t>
      </w:r>
      <w:r>
        <w:rPr>
          <w:color w:val="231F20"/>
          <w:w w:val="105"/>
        </w:rPr>
        <w:t>obra</w:t>
      </w:r>
      <w:r>
        <w:rPr>
          <w:color w:val="231F20"/>
          <w:spacing w:val="-11"/>
          <w:w w:val="105"/>
        </w:rPr>
        <w:t> </w:t>
      </w:r>
      <w:r>
        <w:rPr>
          <w:color w:val="231F20"/>
          <w:w w:val="105"/>
        </w:rPr>
        <w:t>se</w:t>
      </w:r>
      <w:r>
        <w:rPr>
          <w:color w:val="231F20"/>
          <w:spacing w:val="-11"/>
          <w:w w:val="105"/>
        </w:rPr>
        <w:t> </w:t>
      </w:r>
      <w:r>
        <w:rPr>
          <w:color w:val="231F20"/>
          <w:w w:val="105"/>
        </w:rPr>
        <w:t>inscribe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proyecto</w:t>
      </w:r>
      <w:r>
        <w:rPr>
          <w:color w:val="231F20"/>
          <w:spacing w:val="-11"/>
          <w:w w:val="105"/>
        </w:rPr>
        <w:t> </w:t>
      </w:r>
      <w:r>
        <w:rPr>
          <w:color w:val="231F20"/>
          <w:w w:val="105"/>
        </w:rPr>
        <w:t>de</w:t>
      </w:r>
      <w:r>
        <w:rPr>
          <w:color w:val="231F20"/>
          <w:spacing w:val="-11"/>
          <w:w w:val="105"/>
        </w:rPr>
        <w:t> </w:t>
      </w:r>
      <w:r>
        <w:rPr>
          <w:color w:val="231F20"/>
          <w:w w:val="105"/>
        </w:rPr>
        <w:t>investigación</w:t>
      </w:r>
      <w:r>
        <w:rPr>
          <w:color w:val="231F20"/>
          <w:spacing w:val="-11"/>
          <w:w w:val="105"/>
        </w:rPr>
        <w:t> </w:t>
      </w:r>
      <w:r>
        <w:rPr>
          <w:color w:val="231F20"/>
          <w:w w:val="105"/>
        </w:rPr>
        <w:t>denominado:</w:t>
      </w:r>
      <w:r>
        <w:rPr>
          <w:color w:val="231F20"/>
          <w:spacing w:val="-11"/>
          <w:w w:val="105"/>
        </w:rPr>
        <w:t> </w:t>
      </w:r>
      <w:r>
        <w:rPr>
          <w:color w:val="231F20"/>
          <w:w w:val="105"/>
        </w:rPr>
        <w:t>“Los</w:t>
      </w:r>
      <w:r>
        <w:rPr>
          <w:color w:val="231F20"/>
          <w:spacing w:val="-11"/>
          <w:w w:val="105"/>
        </w:rPr>
        <w:t> </w:t>
      </w:r>
      <w:r>
        <w:rPr>
          <w:color w:val="231F20"/>
          <w:w w:val="105"/>
        </w:rPr>
        <w:t>partidos</w:t>
      </w:r>
      <w:r>
        <w:rPr>
          <w:color w:val="231F20"/>
          <w:spacing w:val="-11"/>
          <w:w w:val="105"/>
        </w:rPr>
        <w:t> </w:t>
      </w:r>
      <w:r>
        <w:rPr>
          <w:color w:val="231F20"/>
          <w:w w:val="105"/>
        </w:rPr>
        <w:t>políti- cos en el Estado de México: desarrollo, gestión gubernamental, trabajo parlamentario y</w:t>
      </w:r>
      <w:r>
        <w:rPr>
          <w:color w:val="231F20"/>
          <w:spacing w:val="-6"/>
          <w:w w:val="105"/>
        </w:rPr>
        <w:t> </w:t>
      </w:r>
      <w:r>
        <w:rPr>
          <w:color w:val="231F20"/>
          <w:w w:val="105"/>
        </w:rPr>
        <w:t>democracia</w:t>
      </w:r>
      <w:r>
        <w:rPr>
          <w:color w:val="231F20"/>
          <w:spacing w:val="-6"/>
          <w:w w:val="105"/>
        </w:rPr>
        <w:t> </w:t>
      </w:r>
      <w:r>
        <w:rPr>
          <w:color w:val="231F20"/>
          <w:spacing w:val="-3"/>
          <w:w w:val="105"/>
        </w:rPr>
        <w:t>interna”.</w:t>
      </w:r>
      <w:r>
        <w:rPr>
          <w:color w:val="231F20"/>
          <w:spacing w:val="-6"/>
          <w:w w:val="105"/>
        </w:rPr>
        <w:t> </w:t>
      </w:r>
      <w:r>
        <w:rPr>
          <w:color w:val="231F20"/>
          <w:w w:val="105"/>
        </w:rPr>
        <w:t>Su</w:t>
      </w:r>
      <w:r>
        <w:rPr>
          <w:color w:val="231F20"/>
          <w:spacing w:val="-6"/>
          <w:w w:val="105"/>
        </w:rPr>
        <w:t> </w:t>
      </w:r>
      <w:r>
        <w:rPr>
          <w:color w:val="231F20"/>
          <w:w w:val="105"/>
        </w:rPr>
        <w:t>conclusión</w:t>
      </w:r>
      <w:r>
        <w:rPr>
          <w:color w:val="231F20"/>
          <w:spacing w:val="-6"/>
          <w:w w:val="105"/>
        </w:rPr>
        <w:t> </w:t>
      </w:r>
      <w:r>
        <w:rPr>
          <w:color w:val="231F20"/>
          <w:w w:val="105"/>
        </w:rPr>
        <w:t>no</w:t>
      </w:r>
      <w:r>
        <w:rPr>
          <w:color w:val="231F20"/>
          <w:spacing w:val="-6"/>
          <w:w w:val="105"/>
        </w:rPr>
        <w:t> </w:t>
      </w:r>
      <w:r>
        <w:rPr>
          <w:color w:val="231F20"/>
          <w:w w:val="105"/>
        </w:rPr>
        <w:t>habría</w:t>
      </w:r>
      <w:r>
        <w:rPr>
          <w:color w:val="231F20"/>
          <w:spacing w:val="-6"/>
          <w:w w:val="105"/>
        </w:rPr>
        <w:t> </w:t>
      </w:r>
      <w:r>
        <w:rPr>
          <w:color w:val="231F20"/>
          <w:w w:val="105"/>
        </w:rPr>
        <w:t>sido</w:t>
      </w:r>
      <w:r>
        <w:rPr>
          <w:color w:val="231F20"/>
          <w:spacing w:val="-6"/>
          <w:w w:val="105"/>
        </w:rPr>
        <w:t> </w:t>
      </w:r>
      <w:r>
        <w:rPr>
          <w:color w:val="231F20"/>
          <w:w w:val="105"/>
        </w:rPr>
        <w:t>posible</w:t>
      </w:r>
      <w:r>
        <w:rPr>
          <w:color w:val="231F20"/>
          <w:spacing w:val="-6"/>
          <w:w w:val="105"/>
        </w:rPr>
        <w:t> </w:t>
      </w:r>
      <w:r>
        <w:rPr>
          <w:color w:val="231F20"/>
          <w:w w:val="105"/>
        </w:rPr>
        <w:t>sin</w:t>
      </w:r>
      <w:r>
        <w:rPr>
          <w:color w:val="231F20"/>
          <w:spacing w:val="-6"/>
          <w:w w:val="105"/>
        </w:rPr>
        <w:t> </w:t>
      </w:r>
      <w:r>
        <w:rPr>
          <w:color w:val="231F20"/>
          <w:w w:val="105"/>
        </w:rPr>
        <w:t>el</w:t>
      </w:r>
      <w:r>
        <w:rPr>
          <w:color w:val="231F20"/>
          <w:spacing w:val="-6"/>
          <w:w w:val="105"/>
        </w:rPr>
        <w:t> </w:t>
      </w:r>
      <w:r>
        <w:rPr>
          <w:color w:val="231F20"/>
          <w:w w:val="105"/>
        </w:rPr>
        <w:t>auspicio</w:t>
      </w:r>
      <w:r>
        <w:rPr>
          <w:color w:val="231F20"/>
          <w:spacing w:val="-6"/>
          <w:w w:val="105"/>
        </w:rPr>
        <w:t> </w:t>
      </w:r>
      <w:r>
        <w:rPr>
          <w:color w:val="231F20"/>
          <w:w w:val="105"/>
        </w:rPr>
        <w:t>del</w:t>
      </w:r>
      <w:r>
        <w:rPr>
          <w:color w:val="231F20"/>
          <w:spacing w:val="-6"/>
          <w:w w:val="105"/>
        </w:rPr>
        <w:t> </w:t>
      </w:r>
      <w:r>
        <w:rPr>
          <w:color w:val="231F20"/>
          <w:w w:val="105"/>
        </w:rPr>
        <w:t>Comité Académico</w:t>
      </w:r>
      <w:r>
        <w:rPr>
          <w:color w:val="231F20"/>
          <w:spacing w:val="-19"/>
          <w:w w:val="105"/>
        </w:rPr>
        <w:t> </w:t>
      </w:r>
      <w:r>
        <w:rPr>
          <w:color w:val="231F20"/>
          <w:w w:val="105"/>
        </w:rPr>
        <w:t>del</w:t>
      </w:r>
      <w:r>
        <w:rPr>
          <w:color w:val="231F20"/>
          <w:spacing w:val="-19"/>
          <w:w w:val="105"/>
        </w:rPr>
        <w:t> </w:t>
      </w:r>
      <w:r>
        <w:rPr>
          <w:color w:val="231F20"/>
          <w:w w:val="105"/>
        </w:rPr>
        <w:t>Instituto</w:t>
      </w:r>
      <w:r>
        <w:rPr>
          <w:color w:val="231F20"/>
          <w:spacing w:val="-19"/>
          <w:w w:val="105"/>
        </w:rPr>
        <w:t> </w:t>
      </w:r>
      <w:r>
        <w:rPr>
          <w:color w:val="231F20"/>
          <w:w w:val="105"/>
        </w:rPr>
        <w:t>Electoral</w:t>
      </w:r>
      <w:r>
        <w:rPr>
          <w:color w:val="231F20"/>
          <w:spacing w:val="-19"/>
          <w:w w:val="105"/>
        </w:rPr>
        <w:t> </w:t>
      </w:r>
      <w:r>
        <w:rPr>
          <w:color w:val="231F20"/>
          <w:w w:val="105"/>
        </w:rPr>
        <w:t>del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w:t>
      </w:r>
    </w:p>
    <w:p>
      <w:pPr>
        <w:pStyle w:val="BodyText"/>
        <w:spacing w:before="1"/>
        <w:rPr>
          <w:sz w:val="26"/>
        </w:rPr>
      </w:pPr>
    </w:p>
    <w:p>
      <w:pPr>
        <w:pStyle w:val="BodyText"/>
        <w:spacing w:line="285" w:lineRule="auto"/>
        <w:ind w:left="110" w:right="107"/>
        <w:jc w:val="both"/>
      </w:pPr>
      <w:r>
        <w:rPr>
          <w:color w:val="231F20"/>
          <w:w w:val="105"/>
        </w:rPr>
        <w:t>Cabe destacar que los capítulos que integran la obra, fueron dictaminados por pares académicos en el sistema de doble ciego.</w:t>
      </w:r>
    </w:p>
    <w:p>
      <w:pPr>
        <w:spacing w:after="0" w:line="285" w:lineRule="auto"/>
        <w:jc w:val="both"/>
        <w:sectPr>
          <w:pgSz w:w="9640" w:h="12190"/>
          <w:pgMar w:header="0" w:footer="743" w:top="1120" w:bottom="94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spacing w:line="367" w:lineRule="auto"/>
        <w:ind w:left="2382" w:right="574" w:hanging="1489"/>
        <w:jc w:val="left"/>
      </w:pPr>
      <w:r>
        <w:rPr>
          <w:color w:val="231F20"/>
          <w:spacing w:val="-3"/>
          <w:w w:val="105"/>
        </w:rPr>
        <w:t>Gobiernos</w:t>
      </w:r>
      <w:r>
        <w:rPr>
          <w:color w:val="231F20"/>
          <w:spacing w:val="-26"/>
          <w:w w:val="105"/>
        </w:rPr>
        <w:t> </w:t>
      </w:r>
      <w:r>
        <w:rPr>
          <w:color w:val="231F20"/>
          <w:w w:val="105"/>
        </w:rPr>
        <w:t>municipales</w:t>
      </w:r>
      <w:r>
        <w:rPr>
          <w:color w:val="231F20"/>
          <w:spacing w:val="-26"/>
          <w:w w:val="105"/>
        </w:rPr>
        <w:t> </w:t>
      </w:r>
      <w:r>
        <w:rPr>
          <w:color w:val="231F20"/>
          <w:w w:val="105"/>
        </w:rPr>
        <w:t>y</w:t>
      </w:r>
      <w:r>
        <w:rPr>
          <w:color w:val="231F20"/>
          <w:spacing w:val="-26"/>
          <w:w w:val="105"/>
        </w:rPr>
        <w:t> </w:t>
      </w:r>
      <w:r>
        <w:rPr>
          <w:color w:val="231F20"/>
          <w:w w:val="105"/>
        </w:rPr>
        <w:t>partidos</w:t>
      </w:r>
      <w:r>
        <w:rPr>
          <w:color w:val="231F20"/>
          <w:spacing w:val="-26"/>
          <w:w w:val="105"/>
        </w:rPr>
        <w:t> </w:t>
      </w:r>
      <w:r>
        <w:rPr>
          <w:color w:val="231F20"/>
          <w:w w:val="105"/>
        </w:rPr>
        <w:t>políticos en</w:t>
      </w:r>
      <w:r>
        <w:rPr>
          <w:color w:val="231F20"/>
          <w:spacing w:val="-21"/>
          <w:w w:val="105"/>
        </w:rPr>
        <w:t> </w:t>
      </w:r>
      <w:r>
        <w:rPr>
          <w:color w:val="231F20"/>
          <w:w w:val="105"/>
        </w:rPr>
        <w:t>el</w:t>
      </w:r>
      <w:r>
        <w:rPr>
          <w:color w:val="231F20"/>
          <w:spacing w:val="-21"/>
          <w:w w:val="105"/>
        </w:rPr>
        <w:t> </w:t>
      </w:r>
      <w:r>
        <w:rPr>
          <w:color w:val="231F20"/>
          <w:w w:val="105"/>
        </w:rPr>
        <w:t>Estado</w:t>
      </w:r>
      <w:r>
        <w:rPr>
          <w:color w:val="231F20"/>
          <w:spacing w:val="-21"/>
          <w:w w:val="105"/>
        </w:rPr>
        <w:t> </w:t>
      </w:r>
      <w:r>
        <w:rPr>
          <w:color w:val="231F20"/>
          <w:spacing w:val="-3"/>
          <w:w w:val="105"/>
        </w:rPr>
        <w:t>de</w:t>
      </w:r>
      <w:r>
        <w:rPr>
          <w:color w:val="231F20"/>
          <w:spacing w:val="-21"/>
          <w:w w:val="105"/>
        </w:rPr>
        <w:t> </w:t>
      </w:r>
      <w:r>
        <w:rPr>
          <w:color w:val="231F20"/>
          <w:spacing w:val="-3"/>
          <w:w w:val="105"/>
        </w:rPr>
        <w:t>México</w:t>
      </w:r>
    </w:p>
    <w:p>
      <w:pPr>
        <w:spacing w:before="140"/>
        <w:ind w:left="110" w:right="-2" w:firstLine="3219"/>
        <w:jc w:val="left"/>
        <w:rPr>
          <w:i/>
          <w:sz w:val="20"/>
        </w:rPr>
      </w:pPr>
      <w:r>
        <w:rPr>
          <w:i/>
          <w:color w:val="231F20"/>
          <w:sz w:val="20"/>
        </w:rPr>
        <w:t>Miguel Ángel Sánchez Ramos | Francisco Reveles Vázquez</w:t>
      </w:r>
    </w:p>
    <w:p>
      <w:pPr>
        <w:pStyle w:val="BodyText"/>
        <w:rPr>
          <w:i/>
          <w:sz w:val="20"/>
        </w:rPr>
      </w:pPr>
    </w:p>
    <w:p>
      <w:pPr>
        <w:pStyle w:val="BodyText"/>
        <w:spacing w:line="285" w:lineRule="auto" w:before="121"/>
        <w:ind w:left="110" w:right="108"/>
        <w:jc w:val="both"/>
      </w:pPr>
      <w:r>
        <w:rPr>
          <w:color w:val="231F20"/>
          <w:spacing w:val="-2"/>
          <w:w w:val="92"/>
        </w:rPr>
        <w:t>E</w:t>
      </w:r>
      <w:r>
        <w:rPr>
          <w:color w:val="231F20"/>
          <w:w w:val="175"/>
        </w:rPr>
        <w:t>l</w:t>
      </w:r>
      <w:r>
        <w:rPr>
          <w:color w:val="231F20"/>
          <w:spacing w:val="-7"/>
        </w:rPr>
        <w:t> </w:t>
      </w:r>
      <w:r>
        <w:rPr>
          <w:color w:val="231F20"/>
          <w:spacing w:val="-2"/>
          <w:w w:val="112"/>
        </w:rPr>
        <w:t>e</w:t>
      </w:r>
      <w:r>
        <w:rPr>
          <w:color w:val="231F20"/>
          <w:spacing w:val="-5"/>
          <w:w w:val="118"/>
        </w:rPr>
        <w:t>s</w:t>
      </w:r>
      <w:r>
        <w:rPr>
          <w:color w:val="231F20"/>
          <w:spacing w:val="1"/>
          <w:w w:val="203"/>
        </w:rPr>
        <w:t>t</w:t>
      </w:r>
      <w:r>
        <w:rPr>
          <w:color w:val="231F20"/>
          <w:spacing w:val="1"/>
          <w:w w:val="124"/>
        </w:rPr>
        <w:t>u</w:t>
      </w:r>
      <w:r>
        <w:rPr>
          <w:color w:val="231F20"/>
          <w:spacing w:val="-7"/>
          <w:w w:val="123"/>
        </w:rPr>
        <w:t>d</w:t>
      </w:r>
      <w:r>
        <w:rPr>
          <w:color w:val="231F20"/>
          <w:spacing w:val="-6"/>
          <w:w w:val="116"/>
        </w:rPr>
        <w:t>i</w:t>
      </w:r>
      <w:r>
        <w:rPr>
          <w:color w:val="231F20"/>
          <w:w w:val="127"/>
        </w:rPr>
        <w:t>o</w:t>
      </w:r>
      <w:r>
        <w:rPr>
          <w:color w:val="231F20"/>
          <w:spacing w:val="-7"/>
        </w:rPr>
        <w:t> </w:t>
      </w:r>
      <w:r>
        <w:rPr>
          <w:color w:val="231F20"/>
          <w:spacing w:val="-7"/>
          <w:w w:val="123"/>
        </w:rPr>
        <w:t>d</w:t>
      </w:r>
      <w:r>
        <w:rPr>
          <w:color w:val="231F20"/>
          <w:w w:val="112"/>
        </w:rPr>
        <w:t>e</w:t>
      </w:r>
      <w:r>
        <w:rPr>
          <w:color w:val="231F20"/>
          <w:spacing w:val="-7"/>
        </w:rPr>
        <w:t> </w:t>
      </w:r>
      <w:r>
        <w:rPr>
          <w:color w:val="231F20"/>
          <w:spacing w:val="-1"/>
          <w:w w:val="175"/>
        </w:rPr>
        <w:t>l</w:t>
      </w:r>
      <w:r>
        <w:rPr>
          <w:color w:val="231F20"/>
          <w:spacing w:val="-4"/>
          <w:w w:val="127"/>
        </w:rPr>
        <w:t>o</w:t>
      </w:r>
      <w:r>
        <w:rPr>
          <w:color w:val="231F20"/>
          <w:w w:val="118"/>
        </w:rPr>
        <w:t>s</w:t>
      </w:r>
      <w:r>
        <w:rPr>
          <w:color w:val="231F20"/>
          <w:spacing w:val="-7"/>
        </w:rPr>
        <w:t> </w:t>
      </w:r>
      <w:r>
        <w:rPr>
          <w:color w:val="231F20"/>
          <w:spacing w:val="-3"/>
          <w:w w:val="121"/>
        </w:rPr>
        <w:t>g</w:t>
      </w:r>
      <w:r>
        <w:rPr>
          <w:color w:val="231F20"/>
          <w:spacing w:val="-7"/>
          <w:w w:val="127"/>
        </w:rPr>
        <w:t>o</w:t>
      </w:r>
      <w:r>
        <w:rPr>
          <w:color w:val="231F20"/>
          <w:spacing w:val="-6"/>
          <w:w w:val="108"/>
        </w:rPr>
        <w:t>b</w:t>
      </w:r>
      <w:r>
        <w:rPr>
          <w:color w:val="231F20"/>
          <w:w w:val="116"/>
        </w:rPr>
        <w:t>i</w:t>
      </w:r>
      <w:r>
        <w:rPr>
          <w:color w:val="231F20"/>
          <w:spacing w:val="-2"/>
          <w:w w:val="112"/>
        </w:rPr>
        <w:t>e</w:t>
      </w:r>
      <w:r>
        <w:rPr>
          <w:color w:val="231F20"/>
          <w:spacing w:val="1"/>
          <w:w w:val="165"/>
        </w:rPr>
        <w:t>r</w:t>
      </w:r>
      <w:r>
        <w:rPr>
          <w:color w:val="231F20"/>
          <w:spacing w:val="-6"/>
          <w:w w:val="129"/>
        </w:rPr>
        <w:t>n</w:t>
      </w:r>
      <w:r>
        <w:rPr>
          <w:color w:val="231F20"/>
          <w:spacing w:val="-4"/>
          <w:w w:val="127"/>
        </w:rPr>
        <w:t>o</w:t>
      </w:r>
      <w:r>
        <w:rPr>
          <w:color w:val="231F20"/>
          <w:w w:val="118"/>
        </w:rPr>
        <w:t>s</w:t>
      </w:r>
      <w:r>
        <w:rPr>
          <w:color w:val="231F20"/>
          <w:spacing w:val="-7"/>
        </w:rPr>
        <w:t> </w:t>
      </w:r>
      <w:r>
        <w:rPr>
          <w:color w:val="231F20"/>
          <w:spacing w:val="-7"/>
          <w:w w:val="123"/>
        </w:rPr>
        <w:t>d</w:t>
      </w:r>
      <w:r>
        <w:rPr>
          <w:color w:val="231F20"/>
          <w:w w:val="112"/>
        </w:rPr>
        <w:t>e</w:t>
      </w:r>
      <w:r>
        <w:rPr>
          <w:color w:val="231F20"/>
          <w:spacing w:val="-7"/>
        </w:rPr>
        <w:t> </w:t>
      </w:r>
      <w:r>
        <w:rPr>
          <w:color w:val="231F20"/>
          <w:spacing w:val="-16"/>
          <w:w w:val="101"/>
        </w:rPr>
        <w:t>p</w:t>
      </w:r>
      <w:r>
        <w:rPr>
          <w:color w:val="231F20"/>
          <w:spacing w:val="2"/>
          <w:w w:val="133"/>
        </w:rPr>
        <w:t>a</w:t>
      </w:r>
      <w:r>
        <w:rPr>
          <w:color w:val="231F20"/>
          <w:spacing w:val="-6"/>
          <w:w w:val="165"/>
        </w:rPr>
        <w:t>r</w:t>
      </w:r>
      <w:r>
        <w:rPr>
          <w:color w:val="231F20"/>
          <w:spacing w:val="-1"/>
          <w:w w:val="203"/>
        </w:rPr>
        <w:t>t</w:t>
      </w:r>
      <w:r>
        <w:rPr>
          <w:color w:val="231F20"/>
          <w:w w:val="116"/>
        </w:rPr>
        <w:t>i</w:t>
      </w:r>
      <w:r>
        <w:rPr>
          <w:color w:val="231F20"/>
          <w:spacing w:val="-1"/>
          <w:w w:val="123"/>
        </w:rPr>
        <w:t>d</w:t>
      </w:r>
      <w:r>
        <w:rPr>
          <w:color w:val="231F20"/>
          <w:w w:val="127"/>
        </w:rPr>
        <w:t>o</w:t>
      </w:r>
      <w:r>
        <w:rPr>
          <w:color w:val="231F20"/>
          <w:spacing w:val="-7"/>
        </w:rPr>
        <w:t> </w:t>
      </w:r>
      <w:r>
        <w:rPr>
          <w:color w:val="231F20"/>
          <w:spacing w:val="-6"/>
          <w:w w:val="129"/>
        </w:rPr>
        <w:t>n</w:t>
      </w:r>
      <w:r>
        <w:rPr>
          <w:color w:val="231F20"/>
          <w:spacing w:val="-4"/>
          <w:w w:val="127"/>
        </w:rPr>
        <w:t>o</w:t>
      </w:r>
      <w:r>
        <w:rPr>
          <w:color w:val="231F20"/>
          <w:w w:val="118"/>
        </w:rPr>
        <w:t>s</w:t>
      </w:r>
      <w:r>
        <w:rPr>
          <w:color w:val="231F20"/>
          <w:spacing w:val="-7"/>
        </w:rPr>
        <w:t> </w:t>
      </w:r>
      <w:r>
        <w:rPr>
          <w:color w:val="231F20"/>
          <w:spacing w:val="1"/>
          <w:w w:val="116"/>
        </w:rPr>
        <w:t>i</w:t>
      </w:r>
      <w:r>
        <w:rPr>
          <w:color w:val="231F20"/>
          <w:w w:val="98"/>
        </w:rPr>
        <w:t>m</w:t>
      </w:r>
      <w:r>
        <w:rPr>
          <w:color w:val="231F20"/>
          <w:spacing w:val="-5"/>
          <w:w w:val="101"/>
        </w:rPr>
        <w:t>p</w:t>
      </w:r>
      <w:r>
        <w:rPr>
          <w:color w:val="231F20"/>
          <w:spacing w:val="1"/>
          <w:w w:val="124"/>
        </w:rPr>
        <w:t>u</w:t>
      </w:r>
      <w:r>
        <w:rPr>
          <w:color w:val="231F20"/>
          <w:w w:val="142"/>
        </w:rPr>
        <w:t>l</w:t>
      </w:r>
      <w:r>
        <w:rPr>
          <w:color w:val="231F20"/>
          <w:spacing w:val="-3"/>
          <w:w w:val="142"/>
        </w:rPr>
        <w:t>s</w:t>
      </w:r>
      <w:r>
        <w:rPr>
          <w:color w:val="231F20"/>
          <w:w w:val="133"/>
        </w:rPr>
        <w:t>a</w:t>
      </w:r>
      <w:r>
        <w:rPr>
          <w:color w:val="231F20"/>
          <w:spacing w:val="-7"/>
        </w:rPr>
        <w:t> </w:t>
      </w:r>
      <w:r>
        <w:rPr>
          <w:color w:val="231F20"/>
          <w:w w:val="133"/>
        </w:rPr>
        <w:t>a</w:t>
      </w:r>
      <w:r>
        <w:rPr>
          <w:color w:val="231F20"/>
          <w:spacing w:val="-7"/>
        </w:rPr>
        <w:t> </w:t>
      </w:r>
      <w:r>
        <w:rPr>
          <w:color w:val="231F20"/>
          <w:spacing w:val="-2"/>
          <w:w w:val="127"/>
        </w:rPr>
        <w:t>c</w:t>
      </w:r>
      <w:r>
        <w:rPr>
          <w:color w:val="231F20"/>
          <w:spacing w:val="-6"/>
          <w:w w:val="127"/>
        </w:rPr>
        <w:t>o</w:t>
      </w:r>
      <w:r>
        <w:rPr>
          <w:color w:val="231F20"/>
          <w:w w:val="98"/>
        </w:rPr>
        <w:t>m</w:t>
      </w:r>
      <w:r>
        <w:rPr>
          <w:color w:val="231F20"/>
          <w:spacing w:val="-5"/>
          <w:w w:val="101"/>
        </w:rPr>
        <w:t>p</w:t>
      </w:r>
      <w:r>
        <w:rPr>
          <w:color w:val="231F20"/>
          <w:spacing w:val="1"/>
          <w:w w:val="165"/>
        </w:rPr>
        <w:t>r</w:t>
      </w:r>
      <w:r>
        <w:rPr>
          <w:color w:val="231F20"/>
          <w:spacing w:val="-2"/>
          <w:w w:val="112"/>
        </w:rPr>
        <w:t>e</w:t>
      </w:r>
      <w:r>
        <w:rPr>
          <w:color w:val="231F20"/>
          <w:spacing w:val="1"/>
          <w:w w:val="129"/>
        </w:rPr>
        <w:t>n</w:t>
      </w:r>
      <w:r>
        <w:rPr>
          <w:color w:val="231F20"/>
          <w:spacing w:val="-7"/>
          <w:w w:val="123"/>
        </w:rPr>
        <w:t>d</w:t>
      </w:r>
      <w:r>
        <w:rPr>
          <w:color w:val="231F20"/>
          <w:spacing w:val="-2"/>
          <w:w w:val="112"/>
        </w:rPr>
        <w:t>e</w:t>
      </w:r>
      <w:r>
        <w:rPr>
          <w:color w:val="231F20"/>
          <w:w w:val="165"/>
        </w:rPr>
        <w:t>r</w:t>
      </w:r>
      <w:r>
        <w:rPr>
          <w:color w:val="231F20"/>
          <w:spacing w:val="-6"/>
        </w:rPr>
        <w:t> </w:t>
      </w:r>
      <w:r>
        <w:rPr>
          <w:color w:val="231F20"/>
          <w:spacing w:val="-3"/>
          <w:w w:val="93"/>
        </w:rPr>
        <w:t>l</w:t>
      </w:r>
      <w:r>
        <w:rPr>
          <w:color w:val="231F20"/>
          <w:w w:val="102"/>
        </w:rPr>
        <w:t>os</w:t>
      </w:r>
      <w:r>
        <w:rPr>
          <w:color w:val="231F20"/>
          <w:spacing w:val="-7"/>
        </w:rPr>
        <w:t> </w:t>
      </w:r>
      <w:r>
        <w:rPr>
          <w:color w:val="231F20"/>
          <w:spacing w:val="5"/>
          <w:w w:val="93"/>
        </w:rPr>
        <w:t>v</w:t>
      </w:r>
      <w:r>
        <w:rPr>
          <w:color w:val="231F20"/>
          <w:spacing w:val="3"/>
          <w:w w:val="96"/>
        </w:rPr>
        <w:t>í</w:t>
      </w:r>
      <w:r>
        <w:rPr>
          <w:color w:val="231F20"/>
          <w:spacing w:val="-3"/>
          <w:w w:val="111"/>
        </w:rPr>
        <w:t>n</w:t>
      </w:r>
      <w:r>
        <w:rPr>
          <w:color w:val="231F20"/>
          <w:spacing w:val="2"/>
          <w:w w:val="102"/>
        </w:rPr>
        <w:t>c</w:t>
      </w:r>
      <w:r>
        <w:rPr>
          <w:color w:val="231F20"/>
          <w:spacing w:val="5"/>
          <w:w w:val="108"/>
        </w:rPr>
        <w:t>u</w:t>
      </w:r>
      <w:r>
        <w:rPr>
          <w:color w:val="231F20"/>
          <w:spacing w:val="-3"/>
          <w:w w:val="93"/>
        </w:rPr>
        <w:t>l</w:t>
      </w:r>
      <w:r>
        <w:rPr>
          <w:color w:val="231F20"/>
          <w:w w:val="102"/>
        </w:rPr>
        <w:t>os </w:t>
      </w:r>
      <w:r>
        <w:rPr>
          <w:color w:val="231F20"/>
          <w:w w:val="110"/>
        </w:rPr>
        <w:t>que</w:t>
      </w:r>
      <w:r>
        <w:rPr>
          <w:color w:val="231F20"/>
          <w:spacing w:val="-44"/>
          <w:w w:val="110"/>
        </w:rPr>
        <w:t> </w:t>
      </w:r>
      <w:r>
        <w:rPr>
          <w:color w:val="231F20"/>
          <w:w w:val="110"/>
        </w:rPr>
        <w:t>se</w:t>
      </w:r>
      <w:r>
        <w:rPr>
          <w:color w:val="231F20"/>
          <w:spacing w:val="-44"/>
          <w:w w:val="110"/>
        </w:rPr>
        <w:t> </w:t>
      </w:r>
      <w:r>
        <w:rPr>
          <w:color w:val="231F20"/>
          <w:w w:val="110"/>
        </w:rPr>
        <w:t>establecen</w:t>
      </w:r>
      <w:r>
        <w:rPr>
          <w:color w:val="231F20"/>
          <w:spacing w:val="-44"/>
          <w:w w:val="110"/>
        </w:rPr>
        <w:t> </w:t>
      </w:r>
      <w:r>
        <w:rPr>
          <w:color w:val="231F20"/>
          <w:w w:val="110"/>
        </w:rPr>
        <w:t>entre</w:t>
      </w:r>
      <w:r>
        <w:rPr>
          <w:color w:val="231F20"/>
          <w:spacing w:val="-44"/>
          <w:w w:val="110"/>
        </w:rPr>
        <w:t> </w:t>
      </w:r>
      <w:r>
        <w:rPr>
          <w:color w:val="231F20"/>
          <w:w w:val="110"/>
        </w:rPr>
        <w:t>dos</w:t>
      </w:r>
      <w:r>
        <w:rPr>
          <w:color w:val="231F20"/>
          <w:spacing w:val="-44"/>
          <w:w w:val="110"/>
        </w:rPr>
        <w:t> </w:t>
      </w:r>
      <w:r>
        <w:rPr>
          <w:color w:val="231F20"/>
          <w:w w:val="110"/>
        </w:rPr>
        <w:t>entes</w:t>
      </w:r>
      <w:r>
        <w:rPr>
          <w:color w:val="231F20"/>
          <w:spacing w:val="-44"/>
          <w:w w:val="110"/>
        </w:rPr>
        <w:t> </w:t>
      </w:r>
      <w:r>
        <w:rPr>
          <w:color w:val="231F20"/>
          <w:w w:val="110"/>
        </w:rPr>
        <w:t>políticos.</w:t>
      </w:r>
      <w:r>
        <w:rPr>
          <w:color w:val="231F20"/>
          <w:spacing w:val="-44"/>
          <w:w w:val="110"/>
        </w:rPr>
        <w:t> </w:t>
      </w:r>
      <w:r>
        <w:rPr>
          <w:color w:val="231F20"/>
          <w:w w:val="110"/>
        </w:rPr>
        <w:t>Lo</w:t>
      </w:r>
      <w:r>
        <w:rPr>
          <w:color w:val="231F20"/>
          <w:spacing w:val="-44"/>
          <w:w w:val="110"/>
        </w:rPr>
        <w:t> </w:t>
      </w:r>
      <w:r>
        <w:rPr>
          <w:color w:val="231F20"/>
          <w:w w:val="110"/>
        </w:rPr>
        <w:t>que</w:t>
      </w:r>
      <w:r>
        <w:rPr>
          <w:color w:val="231F20"/>
          <w:spacing w:val="-44"/>
          <w:w w:val="110"/>
        </w:rPr>
        <w:t> </w:t>
      </w:r>
      <w:r>
        <w:rPr>
          <w:color w:val="231F20"/>
          <w:w w:val="110"/>
        </w:rPr>
        <w:t>mayor</w:t>
      </w:r>
      <w:r>
        <w:rPr>
          <w:color w:val="231F20"/>
          <w:spacing w:val="-44"/>
          <w:w w:val="110"/>
        </w:rPr>
        <w:t> </w:t>
      </w:r>
      <w:r>
        <w:rPr>
          <w:color w:val="231F20"/>
          <w:w w:val="110"/>
        </w:rPr>
        <w:t>relevancia</w:t>
      </w:r>
      <w:r>
        <w:rPr>
          <w:color w:val="231F20"/>
          <w:spacing w:val="-44"/>
          <w:w w:val="110"/>
        </w:rPr>
        <w:t> </w:t>
      </w:r>
      <w:r>
        <w:rPr>
          <w:color w:val="231F20"/>
          <w:w w:val="110"/>
        </w:rPr>
        <w:t>tiene</w:t>
      </w:r>
      <w:r>
        <w:rPr>
          <w:color w:val="231F20"/>
          <w:spacing w:val="-44"/>
          <w:w w:val="110"/>
        </w:rPr>
        <w:t> </w:t>
      </w:r>
      <w:r>
        <w:rPr>
          <w:color w:val="231F20"/>
          <w:w w:val="110"/>
        </w:rPr>
        <w:t>en</w:t>
      </w:r>
      <w:r>
        <w:rPr>
          <w:color w:val="231F20"/>
          <w:spacing w:val="-44"/>
          <w:w w:val="110"/>
        </w:rPr>
        <w:t> </w:t>
      </w:r>
      <w:r>
        <w:rPr>
          <w:color w:val="231F20"/>
          <w:w w:val="110"/>
        </w:rPr>
        <w:t>este</w:t>
      </w:r>
      <w:r>
        <w:rPr>
          <w:color w:val="231F20"/>
          <w:spacing w:val="-44"/>
          <w:w w:val="110"/>
        </w:rPr>
        <w:t> </w:t>
      </w:r>
      <w:r>
        <w:rPr>
          <w:color w:val="231F20"/>
          <w:w w:val="110"/>
        </w:rPr>
        <w:t>tipo</w:t>
      </w:r>
      <w:r>
        <w:rPr>
          <w:color w:val="231F20"/>
          <w:spacing w:val="-44"/>
          <w:w w:val="110"/>
        </w:rPr>
        <w:t> </w:t>
      </w:r>
      <w:r>
        <w:rPr>
          <w:color w:val="231F20"/>
          <w:w w:val="110"/>
        </w:rPr>
        <w:t>de </w:t>
      </w:r>
      <w:r>
        <w:rPr>
          <w:color w:val="231F20"/>
          <w:spacing w:val="2"/>
          <w:w w:val="110"/>
        </w:rPr>
        <w:t>análisis</w:t>
      </w:r>
      <w:r>
        <w:rPr>
          <w:color w:val="231F20"/>
          <w:spacing w:val="-38"/>
          <w:w w:val="110"/>
        </w:rPr>
        <w:t> </w:t>
      </w:r>
      <w:r>
        <w:rPr>
          <w:color w:val="231F20"/>
          <w:w w:val="110"/>
        </w:rPr>
        <w:t>es</w:t>
      </w:r>
      <w:r>
        <w:rPr>
          <w:color w:val="231F20"/>
          <w:spacing w:val="-38"/>
          <w:w w:val="110"/>
        </w:rPr>
        <w:t> </w:t>
      </w:r>
      <w:r>
        <w:rPr>
          <w:color w:val="231F20"/>
          <w:w w:val="110"/>
        </w:rPr>
        <w:t>identificar</w:t>
      </w:r>
      <w:r>
        <w:rPr>
          <w:color w:val="231F20"/>
          <w:spacing w:val="-38"/>
          <w:w w:val="110"/>
        </w:rPr>
        <w:t> </w:t>
      </w:r>
      <w:r>
        <w:rPr>
          <w:color w:val="231F20"/>
          <w:w w:val="110"/>
        </w:rPr>
        <w:t>la</w:t>
      </w:r>
      <w:r>
        <w:rPr>
          <w:color w:val="231F20"/>
          <w:spacing w:val="-38"/>
          <w:w w:val="110"/>
        </w:rPr>
        <w:t> </w:t>
      </w:r>
      <w:r>
        <w:rPr>
          <w:color w:val="231F20"/>
          <w:w w:val="110"/>
        </w:rPr>
        <w:t>preponderancia</w:t>
      </w:r>
      <w:r>
        <w:rPr>
          <w:color w:val="231F20"/>
          <w:spacing w:val="-38"/>
          <w:w w:val="110"/>
        </w:rPr>
        <w:t> </w:t>
      </w:r>
      <w:r>
        <w:rPr>
          <w:color w:val="231F20"/>
          <w:w w:val="110"/>
        </w:rPr>
        <w:t>que</w:t>
      </w:r>
      <w:r>
        <w:rPr>
          <w:color w:val="231F20"/>
          <w:spacing w:val="-38"/>
          <w:w w:val="110"/>
        </w:rPr>
        <w:t> </w:t>
      </w:r>
      <w:r>
        <w:rPr>
          <w:color w:val="231F20"/>
          <w:w w:val="110"/>
        </w:rPr>
        <w:t>el</w:t>
      </w:r>
      <w:r>
        <w:rPr>
          <w:color w:val="231F20"/>
          <w:spacing w:val="-38"/>
          <w:w w:val="110"/>
        </w:rPr>
        <w:t> </w:t>
      </w:r>
      <w:r>
        <w:rPr>
          <w:color w:val="231F20"/>
          <w:w w:val="110"/>
        </w:rPr>
        <w:t>partido</w:t>
      </w:r>
      <w:r>
        <w:rPr>
          <w:color w:val="231F20"/>
          <w:spacing w:val="-38"/>
          <w:w w:val="110"/>
        </w:rPr>
        <w:t> </w:t>
      </w:r>
      <w:r>
        <w:rPr>
          <w:color w:val="231F20"/>
          <w:w w:val="110"/>
        </w:rPr>
        <w:t>gobernante</w:t>
      </w:r>
      <w:r>
        <w:rPr>
          <w:color w:val="231F20"/>
          <w:spacing w:val="-38"/>
          <w:w w:val="110"/>
        </w:rPr>
        <w:t> </w:t>
      </w:r>
      <w:r>
        <w:rPr>
          <w:color w:val="231F20"/>
          <w:w w:val="110"/>
        </w:rPr>
        <w:t>asume</w:t>
      </w:r>
      <w:r>
        <w:rPr>
          <w:color w:val="231F20"/>
          <w:spacing w:val="-38"/>
          <w:w w:val="110"/>
        </w:rPr>
        <w:t> </w:t>
      </w:r>
      <w:r>
        <w:rPr>
          <w:color w:val="231F20"/>
          <w:w w:val="110"/>
        </w:rPr>
        <w:t>en</w:t>
      </w:r>
      <w:r>
        <w:rPr>
          <w:color w:val="231F20"/>
          <w:spacing w:val="-38"/>
          <w:w w:val="110"/>
        </w:rPr>
        <w:t> </w:t>
      </w:r>
      <w:r>
        <w:rPr>
          <w:color w:val="231F20"/>
          <w:w w:val="110"/>
        </w:rPr>
        <w:t>la</w:t>
      </w:r>
      <w:r>
        <w:rPr>
          <w:color w:val="231F20"/>
          <w:spacing w:val="-38"/>
          <w:w w:val="110"/>
        </w:rPr>
        <w:t> </w:t>
      </w:r>
      <w:r>
        <w:rPr>
          <w:color w:val="231F20"/>
          <w:w w:val="110"/>
        </w:rPr>
        <w:t>compo- sición</w:t>
      </w:r>
      <w:r>
        <w:rPr>
          <w:color w:val="231F20"/>
          <w:spacing w:val="-43"/>
          <w:w w:val="110"/>
        </w:rPr>
        <w:t> </w:t>
      </w:r>
      <w:r>
        <w:rPr>
          <w:color w:val="231F20"/>
          <w:w w:val="110"/>
        </w:rPr>
        <w:t>del</w:t>
      </w:r>
      <w:r>
        <w:rPr>
          <w:color w:val="231F20"/>
          <w:spacing w:val="-43"/>
          <w:w w:val="110"/>
        </w:rPr>
        <w:t> </w:t>
      </w:r>
      <w:r>
        <w:rPr>
          <w:color w:val="231F20"/>
          <w:w w:val="110"/>
        </w:rPr>
        <w:t>gobierno</w:t>
      </w:r>
      <w:r>
        <w:rPr>
          <w:color w:val="231F20"/>
          <w:spacing w:val="-43"/>
          <w:w w:val="110"/>
        </w:rPr>
        <w:t> </w:t>
      </w:r>
      <w:r>
        <w:rPr>
          <w:color w:val="231F20"/>
          <w:spacing w:val="-7"/>
          <w:w w:val="110"/>
        </w:rPr>
        <w:t>y,</w:t>
      </w:r>
      <w:r>
        <w:rPr>
          <w:color w:val="231F20"/>
          <w:spacing w:val="-43"/>
          <w:w w:val="110"/>
        </w:rPr>
        <w:t> </w:t>
      </w:r>
      <w:r>
        <w:rPr>
          <w:color w:val="231F20"/>
          <w:w w:val="110"/>
        </w:rPr>
        <w:t>principalmente,</w:t>
      </w:r>
      <w:r>
        <w:rPr>
          <w:color w:val="231F20"/>
          <w:spacing w:val="-43"/>
          <w:w w:val="110"/>
        </w:rPr>
        <w:t> </w:t>
      </w:r>
      <w:r>
        <w:rPr>
          <w:color w:val="231F20"/>
          <w:w w:val="110"/>
        </w:rPr>
        <w:t>en</w:t>
      </w:r>
      <w:r>
        <w:rPr>
          <w:color w:val="231F20"/>
          <w:spacing w:val="-43"/>
          <w:w w:val="110"/>
        </w:rPr>
        <w:t> </w:t>
      </w:r>
      <w:r>
        <w:rPr>
          <w:color w:val="231F20"/>
          <w:w w:val="110"/>
        </w:rPr>
        <w:t>la</w:t>
      </w:r>
      <w:r>
        <w:rPr>
          <w:color w:val="231F20"/>
          <w:spacing w:val="-43"/>
          <w:w w:val="110"/>
        </w:rPr>
        <w:t> </w:t>
      </w:r>
      <w:r>
        <w:rPr>
          <w:color w:val="231F20"/>
          <w:w w:val="110"/>
        </w:rPr>
        <w:t>toma</w:t>
      </w:r>
      <w:r>
        <w:rPr>
          <w:color w:val="231F20"/>
          <w:spacing w:val="-43"/>
          <w:w w:val="110"/>
        </w:rPr>
        <w:t> </w:t>
      </w:r>
      <w:r>
        <w:rPr>
          <w:color w:val="231F20"/>
          <w:w w:val="110"/>
        </w:rPr>
        <w:t>de</w:t>
      </w:r>
      <w:r>
        <w:rPr>
          <w:color w:val="231F20"/>
          <w:spacing w:val="-43"/>
          <w:w w:val="110"/>
        </w:rPr>
        <w:t> </w:t>
      </w:r>
      <w:r>
        <w:rPr>
          <w:color w:val="231F20"/>
          <w:w w:val="110"/>
        </w:rPr>
        <w:t>decisiones</w:t>
      </w:r>
      <w:r>
        <w:rPr>
          <w:color w:val="231F20"/>
          <w:spacing w:val="-43"/>
          <w:w w:val="110"/>
        </w:rPr>
        <w:t> </w:t>
      </w:r>
      <w:r>
        <w:rPr>
          <w:color w:val="231F20"/>
          <w:w w:val="110"/>
        </w:rPr>
        <w:t>en</w:t>
      </w:r>
      <w:r>
        <w:rPr>
          <w:color w:val="231F20"/>
          <w:spacing w:val="-43"/>
          <w:w w:val="110"/>
        </w:rPr>
        <w:t> </w:t>
      </w:r>
      <w:r>
        <w:rPr>
          <w:color w:val="231F20"/>
          <w:w w:val="110"/>
        </w:rPr>
        <w:t>el</w:t>
      </w:r>
      <w:r>
        <w:rPr>
          <w:color w:val="231F20"/>
          <w:spacing w:val="-43"/>
          <w:w w:val="110"/>
        </w:rPr>
        <w:t> </w:t>
      </w:r>
      <w:r>
        <w:rPr>
          <w:color w:val="231F20"/>
          <w:w w:val="110"/>
        </w:rPr>
        <w:t>ejercicio</w:t>
      </w:r>
      <w:r>
        <w:rPr>
          <w:color w:val="231F20"/>
          <w:spacing w:val="-43"/>
          <w:w w:val="110"/>
        </w:rPr>
        <w:t> </w:t>
      </w:r>
      <w:r>
        <w:rPr>
          <w:color w:val="231F20"/>
          <w:w w:val="110"/>
        </w:rPr>
        <w:t>del</w:t>
      </w:r>
      <w:r>
        <w:rPr>
          <w:color w:val="231F20"/>
          <w:spacing w:val="-43"/>
          <w:w w:val="110"/>
        </w:rPr>
        <w:t> </w:t>
      </w:r>
      <w:r>
        <w:rPr>
          <w:color w:val="231F20"/>
          <w:spacing w:val="-2"/>
          <w:w w:val="110"/>
        </w:rPr>
        <w:t>poder. </w:t>
      </w:r>
      <w:r>
        <w:rPr>
          <w:color w:val="231F20"/>
          <w:w w:val="110"/>
        </w:rPr>
        <w:t>Para</w:t>
      </w:r>
      <w:r>
        <w:rPr>
          <w:color w:val="231F20"/>
          <w:spacing w:val="-43"/>
          <w:w w:val="110"/>
        </w:rPr>
        <w:t> </w:t>
      </w:r>
      <w:r>
        <w:rPr>
          <w:color w:val="231F20"/>
          <w:w w:val="110"/>
        </w:rPr>
        <w:t>ello</w:t>
      </w:r>
      <w:r>
        <w:rPr>
          <w:color w:val="231F20"/>
          <w:spacing w:val="-43"/>
          <w:w w:val="110"/>
        </w:rPr>
        <w:t> </w:t>
      </w:r>
      <w:r>
        <w:rPr>
          <w:color w:val="231F20"/>
          <w:w w:val="110"/>
        </w:rPr>
        <w:t>es</w:t>
      </w:r>
      <w:r>
        <w:rPr>
          <w:color w:val="231F20"/>
          <w:spacing w:val="-43"/>
          <w:w w:val="110"/>
        </w:rPr>
        <w:t> </w:t>
      </w:r>
      <w:r>
        <w:rPr>
          <w:color w:val="231F20"/>
          <w:w w:val="110"/>
        </w:rPr>
        <w:t>necesario</w:t>
      </w:r>
      <w:r>
        <w:rPr>
          <w:color w:val="231F20"/>
          <w:spacing w:val="-43"/>
          <w:w w:val="110"/>
        </w:rPr>
        <w:t> </w:t>
      </w:r>
      <w:r>
        <w:rPr>
          <w:color w:val="231F20"/>
          <w:w w:val="110"/>
        </w:rPr>
        <w:t>tratar</w:t>
      </w:r>
      <w:r>
        <w:rPr>
          <w:color w:val="231F20"/>
          <w:spacing w:val="-43"/>
          <w:w w:val="110"/>
        </w:rPr>
        <w:t> </w:t>
      </w:r>
      <w:r>
        <w:rPr>
          <w:color w:val="231F20"/>
          <w:w w:val="110"/>
        </w:rPr>
        <w:t>el</w:t>
      </w:r>
      <w:r>
        <w:rPr>
          <w:color w:val="231F20"/>
          <w:spacing w:val="-43"/>
          <w:w w:val="110"/>
        </w:rPr>
        <w:t> </w:t>
      </w:r>
      <w:r>
        <w:rPr>
          <w:color w:val="231F20"/>
          <w:w w:val="110"/>
        </w:rPr>
        <w:t>desempeño</w:t>
      </w:r>
      <w:r>
        <w:rPr>
          <w:color w:val="231F20"/>
          <w:spacing w:val="-43"/>
          <w:w w:val="110"/>
        </w:rPr>
        <w:t> </w:t>
      </w:r>
      <w:r>
        <w:rPr>
          <w:color w:val="231F20"/>
          <w:w w:val="110"/>
        </w:rPr>
        <w:t>que</w:t>
      </w:r>
      <w:r>
        <w:rPr>
          <w:color w:val="231F20"/>
          <w:spacing w:val="-43"/>
          <w:w w:val="110"/>
        </w:rPr>
        <w:t> </w:t>
      </w:r>
      <w:r>
        <w:rPr>
          <w:color w:val="231F20"/>
          <w:w w:val="110"/>
        </w:rPr>
        <w:t>tienen</w:t>
      </w:r>
      <w:r>
        <w:rPr>
          <w:color w:val="231F20"/>
          <w:spacing w:val="-43"/>
          <w:w w:val="110"/>
        </w:rPr>
        <w:t> </w:t>
      </w:r>
      <w:r>
        <w:rPr>
          <w:color w:val="231F20"/>
          <w:w w:val="110"/>
        </w:rPr>
        <w:t>los</w:t>
      </w:r>
      <w:r>
        <w:rPr>
          <w:color w:val="231F20"/>
          <w:spacing w:val="-43"/>
          <w:w w:val="110"/>
        </w:rPr>
        <w:t> </w:t>
      </w:r>
      <w:r>
        <w:rPr>
          <w:color w:val="231F20"/>
          <w:w w:val="110"/>
        </w:rPr>
        <w:t>gobiernos,</w:t>
      </w:r>
      <w:r>
        <w:rPr>
          <w:color w:val="231F20"/>
          <w:spacing w:val="-43"/>
          <w:w w:val="110"/>
        </w:rPr>
        <w:t> </w:t>
      </w:r>
      <w:r>
        <w:rPr>
          <w:color w:val="231F20"/>
          <w:w w:val="110"/>
        </w:rPr>
        <w:t>y</w:t>
      </w:r>
      <w:r>
        <w:rPr>
          <w:color w:val="231F20"/>
          <w:spacing w:val="-43"/>
          <w:w w:val="110"/>
        </w:rPr>
        <w:t> </w:t>
      </w:r>
      <w:r>
        <w:rPr>
          <w:color w:val="231F20"/>
          <w:w w:val="110"/>
        </w:rPr>
        <w:t>de</w:t>
      </w:r>
      <w:r>
        <w:rPr>
          <w:color w:val="231F20"/>
          <w:spacing w:val="-43"/>
          <w:w w:val="110"/>
        </w:rPr>
        <w:t> </w:t>
      </w:r>
      <w:r>
        <w:rPr>
          <w:color w:val="231F20"/>
          <w:w w:val="110"/>
        </w:rPr>
        <w:t>esa</w:t>
      </w:r>
      <w:r>
        <w:rPr>
          <w:color w:val="231F20"/>
          <w:spacing w:val="-43"/>
          <w:w w:val="110"/>
        </w:rPr>
        <w:t> </w:t>
      </w:r>
      <w:r>
        <w:rPr>
          <w:color w:val="231F20"/>
          <w:w w:val="110"/>
        </w:rPr>
        <w:t>forma</w:t>
      </w:r>
      <w:r>
        <w:rPr>
          <w:color w:val="231F20"/>
          <w:spacing w:val="-43"/>
          <w:w w:val="110"/>
        </w:rPr>
        <w:t> </w:t>
      </w:r>
      <w:r>
        <w:rPr>
          <w:color w:val="231F20"/>
          <w:w w:val="110"/>
        </w:rPr>
        <w:t>com- </w:t>
      </w:r>
      <w:r>
        <w:rPr>
          <w:color w:val="231F20"/>
          <w:spacing w:val="-3"/>
          <w:w w:val="110"/>
        </w:rPr>
        <w:t>prender</w:t>
      </w:r>
      <w:r>
        <w:rPr>
          <w:color w:val="231F20"/>
          <w:spacing w:val="-36"/>
          <w:w w:val="110"/>
        </w:rPr>
        <w:t> </w:t>
      </w:r>
      <w:r>
        <w:rPr>
          <w:color w:val="231F20"/>
          <w:w w:val="110"/>
        </w:rPr>
        <w:t>la</w:t>
      </w:r>
      <w:r>
        <w:rPr>
          <w:color w:val="231F20"/>
          <w:spacing w:val="-36"/>
          <w:w w:val="110"/>
        </w:rPr>
        <w:t> </w:t>
      </w:r>
      <w:r>
        <w:rPr>
          <w:color w:val="231F20"/>
          <w:w w:val="110"/>
        </w:rPr>
        <w:t>relación</w:t>
      </w:r>
      <w:r>
        <w:rPr>
          <w:color w:val="231F20"/>
          <w:spacing w:val="-36"/>
          <w:w w:val="110"/>
        </w:rPr>
        <w:t> </w:t>
      </w:r>
      <w:r>
        <w:rPr>
          <w:color w:val="231F20"/>
          <w:w w:val="110"/>
        </w:rPr>
        <w:t>que</w:t>
      </w:r>
      <w:r>
        <w:rPr>
          <w:color w:val="231F20"/>
          <w:spacing w:val="-36"/>
          <w:w w:val="110"/>
        </w:rPr>
        <w:t> </w:t>
      </w:r>
      <w:r>
        <w:rPr>
          <w:color w:val="231F20"/>
          <w:w w:val="110"/>
        </w:rPr>
        <w:t>se</w:t>
      </w:r>
      <w:r>
        <w:rPr>
          <w:color w:val="231F20"/>
          <w:spacing w:val="-36"/>
          <w:w w:val="110"/>
        </w:rPr>
        <w:t> </w:t>
      </w:r>
      <w:r>
        <w:rPr>
          <w:color w:val="231F20"/>
          <w:w w:val="110"/>
        </w:rPr>
        <w:t>establece</w:t>
      </w:r>
      <w:r>
        <w:rPr>
          <w:color w:val="231F20"/>
          <w:spacing w:val="-36"/>
          <w:w w:val="110"/>
        </w:rPr>
        <w:t> </w:t>
      </w:r>
      <w:r>
        <w:rPr>
          <w:color w:val="231F20"/>
          <w:w w:val="110"/>
        </w:rPr>
        <w:t>entre</w:t>
      </w:r>
      <w:r>
        <w:rPr>
          <w:color w:val="231F20"/>
          <w:spacing w:val="-36"/>
          <w:w w:val="110"/>
        </w:rPr>
        <w:t> </w:t>
      </w:r>
      <w:r>
        <w:rPr>
          <w:color w:val="231F20"/>
          <w:w w:val="110"/>
        </w:rPr>
        <w:t>el</w:t>
      </w:r>
      <w:r>
        <w:rPr>
          <w:color w:val="231F20"/>
          <w:spacing w:val="-36"/>
          <w:w w:val="110"/>
        </w:rPr>
        <w:t> </w:t>
      </w:r>
      <w:r>
        <w:rPr>
          <w:color w:val="231F20"/>
          <w:w w:val="110"/>
        </w:rPr>
        <w:t>partido</w:t>
      </w:r>
      <w:r>
        <w:rPr>
          <w:color w:val="231F20"/>
          <w:spacing w:val="-36"/>
          <w:w w:val="110"/>
        </w:rPr>
        <w:t> </w:t>
      </w:r>
      <w:r>
        <w:rPr>
          <w:color w:val="231F20"/>
          <w:w w:val="110"/>
        </w:rPr>
        <w:t>y</w:t>
      </w:r>
      <w:r>
        <w:rPr>
          <w:color w:val="231F20"/>
          <w:spacing w:val="-36"/>
          <w:w w:val="110"/>
        </w:rPr>
        <w:t> </w:t>
      </w:r>
      <w:r>
        <w:rPr>
          <w:color w:val="231F20"/>
          <w:w w:val="110"/>
        </w:rPr>
        <w:t>el</w:t>
      </w:r>
      <w:r>
        <w:rPr>
          <w:color w:val="231F20"/>
          <w:spacing w:val="-36"/>
          <w:w w:val="110"/>
        </w:rPr>
        <w:t> </w:t>
      </w:r>
      <w:r>
        <w:rPr>
          <w:color w:val="231F20"/>
          <w:spacing w:val="-3"/>
          <w:w w:val="110"/>
        </w:rPr>
        <w:t>gobierno.</w:t>
      </w:r>
    </w:p>
    <w:p>
      <w:pPr>
        <w:pStyle w:val="BodyText"/>
        <w:spacing w:before="1"/>
        <w:rPr>
          <w:sz w:val="26"/>
        </w:rPr>
      </w:pPr>
    </w:p>
    <w:p>
      <w:pPr>
        <w:pStyle w:val="BodyText"/>
        <w:spacing w:line="285" w:lineRule="auto"/>
        <w:ind w:left="110" w:right="107"/>
        <w:jc w:val="both"/>
      </w:pPr>
      <w:r>
        <w:rPr>
          <w:color w:val="231F20"/>
          <w:w w:val="105"/>
        </w:rPr>
        <w:t>El </w:t>
      </w:r>
      <w:r>
        <w:rPr>
          <w:color w:val="231F20"/>
          <w:spacing w:val="2"/>
          <w:w w:val="105"/>
        </w:rPr>
        <w:t>caso </w:t>
      </w:r>
      <w:r>
        <w:rPr>
          <w:color w:val="231F20"/>
          <w:w w:val="105"/>
        </w:rPr>
        <w:t>de los gobiernos </w:t>
      </w:r>
      <w:r>
        <w:rPr>
          <w:color w:val="231F20"/>
          <w:spacing w:val="2"/>
          <w:w w:val="105"/>
        </w:rPr>
        <w:t>municipales </w:t>
      </w:r>
      <w:r>
        <w:rPr>
          <w:color w:val="231F20"/>
          <w:w w:val="105"/>
        </w:rPr>
        <w:t>es </w:t>
      </w:r>
      <w:r>
        <w:rPr>
          <w:color w:val="231F20"/>
          <w:spacing w:val="2"/>
          <w:w w:val="105"/>
        </w:rPr>
        <w:t>sui </w:t>
      </w:r>
      <w:r>
        <w:rPr>
          <w:color w:val="231F20"/>
          <w:w w:val="105"/>
        </w:rPr>
        <w:t>generis. La integración del gobierno co- rresponde a </w:t>
      </w:r>
      <w:r>
        <w:rPr>
          <w:color w:val="231F20"/>
          <w:spacing w:val="3"/>
          <w:w w:val="105"/>
        </w:rPr>
        <w:t>un </w:t>
      </w:r>
      <w:r>
        <w:rPr>
          <w:color w:val="231F20"/>
          <w:w w:val="105"/>
        </w:rPr>
        <w:t>órgano colegiado: el ayuntamiento, que </w:t>
      </w:r>
      <w:r>
        <w:rPr>
          <w:color w:val="231F20"/>
          <w:spacing w:val="2"/>
          <w:w w:val="105"/>
        </w:rPr>
        <w:t>está </w:t>
      </w:r>
      <w:r>
        <w:rPr>
          <w:color w:val="231F20"/>
          <w:w w:val="105"/>
        </w:rPr>
        <w:t>compuesto mayoritaria- mente por </w:t>
      </w:r>
      <w:r>
        <w:rPr>
          <w:color w:val="231F20"/>
          <w:spacing w:val="3"/>
          <w:w w:val="105"/>
        </w:rPr>
        <w:t>un </w:t>
      </w:r>
      <w:r>
        <w:rPr>
          <w:color w:val="231F20"/>
          <w:spacing w:val="2"/>
          <w:w w:val="105"/>
        </w:rPr>
        <w:t>partido. </w:t>
      </w:r>
      <w:r>
        <w:rPr>
          <w:color w:val="231F20"/>
          <w:spacing w:val="4"/>
          <w:w w:val="105"/>
        </w:rPr>
        <w:t>Al </w:t>
      </w:r>
      <w:r>
        <w:rPr>
          <w:color w:val="231F20"/>
          <w:w w:val="105"/>
        </w:rPr>
        <w:t>menos </w:t>
      </w:r>
      <w:r>
        <w:rPr>
          <w:color w:val="231F20"/>
          <w:spacing w:val="2"/>
          <w:w w:val="105"/>
        </w:rPr>
        <w:t>esta </w:t>
      </w:r>
      <w:r>
        <w:rPr>
          <w:color w:val="231F20"/>
          <w:w w:val="105"/>
        </w:rPr>
        <w:t>es la situación en los municipios del Estado de México que tienen </w:t>
      </w:r>
      <w:r>
        <w:rPr>
          <w:color w:val="231F20"/>
          <w:spacing w:val="3"/>
          <w:w w:val="105"/>
        </w:rPr>
        <w:t>un </w:t>
      </w:r>
      <w:r>
        <w:rPr>
          <w:color w:val="231F20"/>
          <w:w w:val="105"/>
        </w:rPr>
        <w:t>sistema </w:t>
      </w:r>
      <w:r>
        <w:rPr>
          <w:color w:val="231F20"/>
          <w:spacing w:val="2"/>
          <w:w w:val="105"/>
        </w:rPr>
        <w:t>electoral </w:t>
      </w:r>
      <w:r>
        <w:rPr>
          <w:color w:val="231F20"/>
          <w:spacing w:val="4"/>
          <w:w w:val="105"/>
        </w:rPr>
        <w:t>mixto </w:t>
      </w:r>
      <w:r>
        <w:rPr>
          <w:color w:val="231F20"/>
          <w:w w:val="105"/>
        </w:rPr>
        <w:t>con dominante mayoritario. Además,  el</w:t>
      </w:r>
      <w:r>
        <w:rPr>
          <w:color w:val="231F20"/>
          <w:spacing w:val="-8"/>
          <w:w w:val="105"/>
        </w:rPr>
        <w:t> </w:t>
      </w:r>
      <w:r>
        <w:rPr>
          <w:color w:val="231F20"/>
          <w:w w:val="105"/>
        </w:rPr>
        <w:t>presidente</w:t>
      </w:r>
      <w:r>
        <w:rPr>
          <w:color w:val="231F20"/>
          <w:spacing w:val="-8"/>
          <w:w w:val="105"/>
        </w:rPr>
        <w:t> </w:t>
      </w:r>
      <w:r>
        <w:rPr>
          <w:color w:val="231F20"/>
          <w:spacing w:val="2"/>
          <w:w w:val="105"/>
        </w:rPr>
        <w:t>municipal</w:t>
      </w:r>
      <w:r>
        <w:rPr>
          <w:color w:val="231F20"/>
          <w:spacing w:val="-8"/>
          <w:w w:val="105"/>
        </w:rPr>
        <w:t> </w:t>
      </w:r>
      <w:r>
        <w:rPr>
          <w:color w:val="231F20"/>
          <w:w w:val="105"/>
        </w:rPr>
        <w:t>tiene</w:t>
      </w:r>
      <w:r>
        <w:rPr>
          <w:color w:val="231F20"/>
          <w:spacing w:val="-8"/>
          <w:w w:val="105"/>
        </w:rPr>
        <w:t> </w:t>
      </w:r>
      <w:r>
        <w:rPr>
          <w:color w:val="231F20"/>
          <w:w w:val="105"/>
        </w:rPr>
        <w:t>reconocida</w:t>
      </w:r>
      <w:r>
        <w:rPr>
          <w:color w:val="231F20"/>
          <w:spacing w:val="-8"/>
          <w:w w:val="105"/>
        </w:rPr>
        <w:t> </w:t>
      </w:r>
      <w:r>
        <w:rPr>
          <w:color w:val="231F20"/>
          <w:w w:val="105"/>
        </w:rPr>
        <w:t>la</w:t>
      </w:r>
      <w:r>
        <w:rPr>
          <w:color w:val="231F20"/>
          <w:spacing w:val="-8"/>
          <w:w w:val="105"/>
        </w:rPr>
        <w:t> </w:t>
      </w:r>
      <w:r>
        <w:rPr>
          <w:color w:val="231F20"/>
          <w:spacing w:val="2"/>
          <w:w w:val="105"/>
        </w:rPr>
        <w:t>facultad</w:t>
      </w:r>
      <w:r>
        <w:rPr>
          <w:color w:val="231F20"/>
          <w:spacing w:val="-8"/>
          <w:w w:val="105"/>
        </w:rPr>
        <w:t> </w:t>
      </w:r>
      <w:r>
        <w:rPr>
          <w:color w:val="231F20"/>
          <w:w w:val="105"/>
        </w:rPr>
        <w:t>de</w:t>
      </w:r>
      <w:r>
        <w:rPr>
          <w:color w:val="231F20"/>
          <w:spacing w:val="-8"/>
          <w:w w:val="105"/>
        </w:rPr>
        <w:t> </w:t>
      </w:r>
      <w:r>
        <w:rPr>
          <w:color w:val="231F20"/>
          <w:w w:val="105"/>
        </w:rPr>
        <w:t>ser</w:t>
      </w:r>
      <w:r>
        <w:rPr>
          <w:color w:val="231F20"/>
          <w:spacing w:val="-8"/>
          <w:w w:val="105"/>
        </w:rPr>
        <w:t> </w:t>
      </w:r>
      <w:r>
        <w:rPr>
          <w:color w:val="231F20"/>
          <w:w w:val="105"/>
        </w:rPr>
        <w:t>el</w:t>
      </w:r>
      <w:r>
        <w:rPr>
          <w:color w:val="231F20"/>
          <w:spacing w:val="-8"/>
          <w:w w:val="105"/>
        </w:rPr>
        <w:t> </w:t>
      </w:r>
      <w:r>
        <w:rPr>
          <w:color w:val="231F20"/>
          <w:w w:val="105"/>
        </w:rPr>
        <w:t>ejecutivo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acuerdos del</w:t>
      </w:r>
      <w:r>
        <w:rPr>
          <w:color w:val="231F20"/>
          <w:spacing w:val="-8"/>
          <w:w w:val="105"/>
        </w:rPr>
        <w:t> </w:t>
      </w:r>
      <w:r>
        <w:rPr>
          <w:color w:val="231F20"/>
          <w:w w:val="105"/>
        </w:rPr>
        <w:t>cabildo.</w:t>
      </w:r>
      <w:r>
        <w:rPr>
          <w:color w:val="231F20"/>
          <w:spacing w:val="-8"/>
          <w:w w:val="105"/>
        </w:rPr>
        <w:t> </w:t>
      </w:r>
      <w:r>
        <w:rPr>
          <w:color w:val="231F20"/>
          <w:spacing w:val="2"/>
          <w:w w:val="105"/>
        </w:rPr>
        <w:t>Así</w:t>
      </w:r>
      <w:r>
        <w:rPr>
          <w:color w:val="231F20"/>
          <w:spacing w:val="-8"/>
          <w:w w:val="105"/>
        </w:rPr>
        <w:t> </w:t>
      </w:r>
      <w:r>
        <w:rPr>
          <w:color w:val="231F20"/>
          <w:spacing w:val="2"/>
          <w:w w:val="105"/>
        </w:rPr>
        <w:t>las</w:t>
      </w:r>
      <w:r>
        <w:rPr>
          <w:color w:val="231F20"/>
          <w:spacing w:val="-8"/>
          <w:w w:val="105"/>
        </w:rPr>
        <w:t> </w:t>
      </w:r>
      <w:r>
        <w:rPr>
          <w:color w:val="231F20"/>
          <w:spacing w:val="2"/>
          <w:w w:val="105"/>
        </w:rPr>
        <w:t>cosas</w:t>
      </w:r>
      <w:r>
        <w:rPr>
          <w:color w:val="231F20"/>
          <w:spacing w:val="-8"/>
          <w:w w:val="105"/>
        </w:rPr>
        <w:t> </w:t>
      </w:r>
      <w:r>
        <w:rPr>
          <w:color w:val="231F20"/>
          <w:w w:val="105"/>
        </w:rPr>
        <w:t>hay</w:t>
      </w:r>
      <w:r>
        <w:rPr>
          <w:color w:val="231F20"/>
          <w:spacing w:val="-8"/>
          <w:w w:val="105"/>
        </w:rPr>
        <w:t> </w:t>
      </w:r>
      <w:r>
        <w:rPr>
          <w:color w:val="231F20"/>
          <w:spacing w:val="3"/>
          <w:w w:val="105"/>
        </w:rPr>
        <w:t>una</w:t>
      </w:r>
      <w:r>
        <w:rPr>
          <w:color w:val="231F20"/>
          <w:spacing w:val="-8"/>
          <w:w w:val="105"/>
        </w:rPr>
        <w:t> </w:t>
      </w:r>
      <w:r>
        <w:rPr>
          <w:color w:val="231F20"/>
          <w:w w:val="105"/>
        </w:rPr>
        <w:t>doble</w:t>
      </w:r>
      <w:r>
        <w:rPr>
          <w:color w:val="231F20"/>
          <w:spacing w:val="-8"/>
          <w:w w:val="105"/>
        </w:rPr>
        <w:t> </w:t>
      </w:r>
      <w:r>
        <w:rPr>
          <w:color w:val="231F20"/>
          <w:spacing w:val="4"/>
          <w:w w:val="105"/>
        </w:rPr>
        <w:t>figura</w:t>
      </w:r>
      <w:r>
        <w:rPr>
          <w:color w:val="231F20"/>
          <w:spacing w:val="-8"/>
          <w:w w:val="105"/>
        </w:rPr>
        <w:t> </w:t>
      </w:r>
      <w:r>
        <w:rPr>
          <w:color w:val="231F20"/>
          <w:spacing w:val="2"/>
          <w:w w:val="105"/>
        </w:rPr>
        <w:t>institucional</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gobierno</w:t>
      </w:r>
      <w:r>
        <w:rPr>
          <w:color w:val="231F20"/>
          <w:spacing w:val="-8"/>
          <w:w w:val="105"/>
        </w:rPr>
        <w:t> </w:t>
      </w:r>
      <w:r>
        <w:rPr>
          <w:color w:val="231F20"/>
          <w:w w:val="105"/>
        </w:rPr>
        <w:t>y</w:t>
      </w:r>
      <w:r>
        <w:rPr>
          <w:color w:val="231F20"/>
          <w:spacing w:val="-8"/>
          <w:w w:val="105"/>
        </w:rPr>
        <w:t> </w:t>
      </w:r>
      <w:r>
        <w:rPr>
          <w:color w:val="231F20"/>
          <w:spacing w:val="3"/>
          <w:w w:val="105"/>
        </w:rPr>
        <w:t>adminis- </w:t>
      </w:r>
      <w:r>
        <w:rPr>
          <w:color w:val="231F20"/>
          <w:w w:val="105"/>
        </w:rPr>
        <w:t>tración </w:t>
      </w:r>
      <w:r>
        <w:rPr>
          <w:color w:val="231F20"/>
          <w:spacing w:val="2"/>
          <w:w w:val="105"/>
        </w:rPr>
        <w:t>municipal. </w:t>
      </w:r>
      <w:r>
        <w:rPr>
          <w:color w:val="231F20"/>
          <w:w w:val="105"/>
        </w:rPr>
        <w:t>Como </w:t>
      </w:r>
      <w:r>
        <w:rPr>
          <w:color w:val="231F20"/>
          <w:spacing w:val="4"/>
          <w:w w:val="105"/>
        </w:rPr>
        <w:t>máxima </w:t>
      </w:r>
      <w:r>
        <w:rPr>
          <w:color w:val="231F20"/>
          <w:w w:val="105"/>
        </w:rPr>
        <w:t>autoridad, corresponde </w:t>
      </w:r>
      <w:r>
        <w:rPr>
          <w:color w:val="231F20"/>
          <w:spacing w:val="3"/>
          <w:w w:val="105"/>
        </w:rPr>
        <w:t>al </w:t>
      </w:r>
      <w:r>
        <w:rPr>
          <w:color w:val="231F20"/>
          <w:spacing w:val="2"/>
          <w:w w:val="105"/>
        </w:rPr>
        <w:t>ayuntamiento </w:t>
      </w:r>
      <w:r>
        <w:rPr>
          <w:color w:val="231F20"/>
          <w:w w:val="105"/>
        </w:rPr>
        <w:t>ejercerla, pero su ejecución es atribución del presidente </w:t>
      </w:r>
      <w:r>
        <w:rPr>
          <w:color w:val="231F20"/>
          <w:spacing w:val="2"/>
          <w:w w:val="105"/>
        </w:rPr>
        <w:t>municipal. </w:t>
      </w:r>
      <w:r>
        <w:rPr>
          <w:color w:val="231F20"/>
          <w:w w:val="105"/>
        </w:rPr>
        <w:t>Entonces, el Ayuntamiento dispone y el presidente ejecuta, </w:t>
      </w:r>
      <w:r>
        <w:rPr>
          <w:color w:val="231F20"/>
          <w:spacing w:val="2"/>
          <w:w w:val="105"/>
        </w:rPr>
        <w:t>para </w:t>
      </w:r>
      <w:r>
        <w:rPr>
          <w:color w:val="231F20"/>
          <w:w w:val="105"/>
        </w:rPr>
        <w:t>lo </w:t>
      </w:r>
      <w:r>
        <w:rPr>
          <w:color w:val="231F20"/>
          <w:spacing w:val="3"/>
          <w:w w:val="105"/>
        </w:rPr>
        <w:t>cual </w:t>
      </w:r>
      <w:r>
        <w:rPr>
          <w:color w:val="231F20"/>
          <w:w w:val="105"/>
        </w:rPr>
        <w:t>se apoya en órganos de la </w:t>
      </w:r>
      <w:r>
        <w:rPr>
          <w:color w:val="231F20"/>
          <w:spacing w:val="3"/>
          <w:w w:val="105"/>
        </w:rPr>
        <w:t>administra- </w:t>
      </w:r>
      <w:r>
        <w:rPr>
          <w:color w:val="231F20"/>
          <w:w w:val="105"/>
        </w:rPr>
        <w:t>ción</w:t>
      </w:r>
      <w:r>
        <w:rPr>
          <w:color w:val="231F20"/>
          <w:spacing w:val="-5"/>
          <w:w w:val="105"/>
        </w:rPr>
        <w:t> </w:t>
      </w:r>
      <w:r>
        <w:rPr>
          <w:color w:val="231F20"/>
          <w:spacing w:val="2"/>
          <w:w w:val="105"/>
        </w:rPr>
        <w:t>municipal</w:t>
      </w:r>
      <w:r>
        <w:rPr>
          <w:color w:val="231F20"/>
          <w:spacing w:val="-5"/>
          <w:w w:val="105"/>
        </w:rPr>
        <w:t> </w:t>
      </w:r>
      <w:r>
        <w:rPr>
          <w:color w:val="231F20"/>
          <w:w w:val="105"/>
        </w:rPr>
        <w:t>que</w:t>
      </w:r>
      <w:r>
        <w:rPr>
          <w:color w:val="231F20"/>
          <w:spacing w:val="-5"/>
          <w:w w:val="105"/>
        </w:rPr>
        <w:t> </w:t>
      </w:r>
      <w:r>
        <w:rPr>
          <w:color w:val="231F20"/>
          <w:spacing w:val="3"/>
          <w:w w:val="105"/>
        </w:rPr>
        <w:t>están</w:t>
      </w:r>
      <w:r>
        <w:rPr>
          <w:color w:val="231F20"/>
          <w:spacing w:val="-5"/>
          <w:w w:val="105"/>
        </w:rPr>
        <w:t> </w:t>
      </w:r>
      <w:r>
        <w:rPr>
          <w:color w:val="231F20"/>
          <w:w w:val="105"/>
        </w:rPr>
        <w:t>bajo</w:t>
      </w:r>
      <w:r>
        <w:rPr>
          <w:color w:val="231F20"/>
          <w:spacing w:val="-5"/>
          <w:w w:val="105"/>
        </w:rPr>
        <w:t> </w:t>
      </w:r>
      <w:r>
        <w:rPr>
          <w:color w:val="231F20"/>
          <w:w w:val="105"/>
        </w:rPr>
        <w:t>su</w:t>
      </w:r>
      <w:r>
        <w:rPr>
          <w:color w:val="231F20"/>
          <w:spacing w:val="-5"/>
          <w:w w:val="105"/>
        </w:rPr>
        <w:t> </w:t>
      </w:r>
      <w:r>
        <w:rPr>
          <w:color w:val="231F20"/>
          <w:w w:val="105"/>
        </w:rPr>
        <w:t>responsabilidad,</w:t>
      </w:r>
      <w:r>
        <w:rPr>
          <w:color w:val="231F20"/>
          <w:spacing w:val="-5"/>
          <w:w w:val="105"/>
        </w:rPr>
        <w:t> </w:t>
      </w:r>
      <w:r>
        <w:rPr>
          <w:color w:val="231F20"/>
          <w:w w:val="105"/>
        </w:rPr>
        <w:t>aun</w:t>
      </w:r>
      <w:r>
        <w:rPr>
          <w:color w:val="231F20"/>
          <w:spacing w:val="-5"/>
          <w:w w:val="105"/>
        </w:rPr>
        <w:t> </w:t>
      </w:r>
      <w:r>
        <w:rPr>
          <w:color w:val="231F20"/>
          <w:w w:val="105"/>
        </w:rPr>
        <w:t>cuando</w:t>
      </w:r>
      <w:r>
        <w:rPr>
          <w:color w:val="231F20"/>
          <w:spacing w:val="-5"/>
          <w:w w:val="105"/>
        </w:rPr>
        <w:t> </w:t>
      </w:r>
      <w:r>
        <w:rPr>
          <w:color w:val="231F20"/>
          <w:w w:val="105"/>
        </w:rPr>
        <w:t>el</w:t>
      </w:r>
      <w:r>
        <w:rPr>
          <w:color w:val="231F20"/>
          <w:spacing w:val="-5"/>
          <w:w w:val="105"/>
        </w:rPr>
        <w:t> </w:t>
      </w:r>
      <w:r>
        <w:rPr>
          <w:color w:val="231F20"/>
          <w:w w:val="105"/>
        </w:rPr>
        <w:t>órgano</w:t>
      </w:r>
      <w:r>
        <w:rPr>
          <w:color w:val="231F20"/>
          <w:spacing w:val="-5"/>
          <w:w w:val="105"/>
        </w:rPr>
        <w:t> </w:t>
      </w:r>
      <w:r>
        <w:rPr>
          <w:color w:val="231F20"/>
          <w:w w:val="105"/>
        </w:rPr>
        <w:t>colegiado</w:t>
      </w:r>
      <w:r>
        <w:rPr>
          <w:color w:val="231F20"/>
          <w:spacing w:val="-5"/>
          <w:w w:val="105"/>
        </w:rPr>
        <w:t> </w:t>
      </w:r>
      <w:r>
        <w:rPr>
          <w:color w:val="231F20"/>
          <w:w w:val="105"/>
        </w:rPr>
        <w:t>sea quien los nombre considerando su propuesta. No es, por lo tanto, en </w:t>
      </w:r>
      <w:r>
        <w:rPr>
          <w:color w:val="231F20"/>
          <w:spacing w:val="2"/>
          <w:w w:val="105"/>
        </w:rPr>
        <w:t>estricto </w:t>
      </w:r>
      <w:r>
        <w:rPr>
          <w:color w:val="231F20"/>
          <w:w w:val="105"/>
        </w:rPr>
        <w:t>sentido </w:t>
      </w:r>
      <w:r>
        <w:rPr>
          <w:color w:val="231F20"/>
          <w:spacing w:val="3"/>
          <w:w w:val="105"/>
        </w:rPr>
        <w:t>un </w:t>
      </w:r>
      <w:r>
        <w:rPr>
          <w:color w:val="231F20"/>
          <w:w w:val="105"/>
        </w:rPr>
        <w:t>régimen </w:t>
      </w:r>
      <w:r>
        <w:rPr>
          <w:color w:val="231F20"/>
          <w:spacing w:val="2"/>
          <w:w w:val="105"/>
        </w:rPr>
        <w:t>presidencialista. </w:t>
      </w:r>
      <w:r>
        <w:rPr>
          <w:color w:val="231F20"/>
          <w:w w:val="105"/>
        </w:rPr>
        <w:t>Pero en mucho se </w:t>
      </w:r>
      <w:r>
        <w:rPr>
          <w:color w:val="231F20"/>
          <w:spacing w:val="2"/>
          <w:w w:val="105"/>
        </w:rPr>
        <w:t>alimenta </w:t>
      </w:r>
      <w:r>
        <w:rPr>
          <w:color w:val="231F20"/>
          <w:w w:val="105"/>
        </w:rPr>
        <w:t>de </w:t>
      </w:r>
      <w:r>
        <w:rPr>
          <w:color w:val="231F20"/>
          <w:spacing w:val="3"/>
          <w:w w:val="105"/>
        </w:rPr>
        <w:t>una cultura </w:t>
      </w:r>
      <w:r>
        <w:rPr>
          <w:color w:val="231F20"/>
          <w:w w:val="105"/>
        </w:rPr>
        <w:t>política  </w:t>
      </w:r>
      <w:r>
        <w:rPr>
          <w:color w:val="231F20"/>
          <w:spacing w:val="42"/>
          <w:w w:val="105"/>
        </w:rPr>
        <w:t> </w:t>
      </w:r>
      <w:r>
        <w:rPr>
          <w:color w:val="231F20"/>
          <w:w w:val="105"/>
        </w:rPr>
        <w:t>que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rPr>
        <w:t>exalta la figura del presidente municipal y le otorga facultades más allá de las legales.</w:t>
      </w:r>
    </w:p>
    <w:p>
      <w:pPr>
        <w:pStyle w:val="BodyText"/>
        <w:spacing w:before="2"/>
        <w:rPr>
          <w:sz w:val="30"/>
        </w:rPr>
      </w:pPr>
    </w:p>
    <w:p>
      <w:pPr>
        <w:pStyle w:val="BodyText"/>
        <w:spacing w:line="285" w:lineRule="auto"/>
        <w:ind w:left="110" w:right="107"/>
        <w:jc w:val="both"/>
      </w:pPr>
      <w:r>
        <w:rPr>
          <w:color w:val="231F20"/>
          <w:w w:val="105"/>
        </w:rPr>
        <w:t>Considerada</w:t>
      </w:r>
      <w:r>
        <w:rPr>
          <w:color w:val="231F20"/>
          <w:spacing w:val="-12"/>
          <w:w w:val="105"/>
        </w:rPr>
        <w:t> </w:t>
      </w:r>
      <w:r>
        <w:rPr>
          <w:color w:val="231F20"/>
          <w:w w:val="105"/>
        </w:rPr>
        <w:t>la</w:t>
      </w:r>
      <w:r>
        <w:rPr>
          <w:color w:val="231F20"/>
          <w:spacing w:val="-12"/>
          <w:w w:val="105"/>
        </w:rPr>
        <w:t> </w:t>
      </w:r>
      <w:r>
        <w:rPr>
          <w:color w:val="231F20"/>
          <w:w w:val="105"/>
        </w:rPr>
        <w:t>forma</w:t>
      </w:r>
      <w:r>
        <w:rPr>
          <w:color w:val="231F20"/>
          <w:spacing w:val="-12"/>
          <w:w w:val="105"/>
        </w:rPr>
        <w:t> </w:t>
      </w:r>
      <w:r>
        <w:rPr>
          <w:color w:val="231F20"/>
          <w:w w:val="105"/>
        </w:rPr>
        <w:t>en</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integra</w:t>
      </w:r>
      <w:r>
        <w:rPr>
          <w:color w:val="231F20"/>
          <w:spacing w:val="-12"/>
          <w:w w:val="105"/>
        </w:rPr>
        <w:t> </w:t>
      </w:r>
      <w:r>
        <w:rPr>
          <w:color w:val="231F20"/>
          <w:w w:val="105"/>
        </w:rPr>
        <w:t>el</w:t>
      </w:r>
      <w:r>
        <w:rPr>
          <w:color w:val="231F20"/>
          <w:spacing w:val="-12"/>
          <w:w w:val="105"/>
        </w:rPr>
        <w:t> </w:t>
      </w:r>
      <w:r>
        <w:rPr>
          <w:color w:val="231F20"/>
          <w:w w:val="105"/>
        </w:rPr>
        <w:t>gobierno,</w:t>
      </w:r>
      <w:r>
        <w:rPr>
          <w:color w:val="231F20"/>
          <w:spacing w:val="-12"/>
          <w:w w:val="105"/>
        </w:rPr>
        <w:t> </w:t>
      </w:r>
      <w:r>
        <w:rPr>
          <w:color w:val="231F20"/>
          <w:w w:val="105"/>
        </w:rPr>
        <w:t>resulta</w:t>
      </w:r>
      <w:r>
        <w:rPr>
          <w:color w:val="231F20"/>
          <w:spacing w:val="-12"/>
          <w:w w:val="105"/>
        </w:rPr>
        <w:t> </w:t>
      </w:r>
      <w:r>
        <w:rPr>
          <w:color w:val="231F20"/>
          <w:w w:val="105"/>
        </w:rPr>
        <w:t>aún</w:t>
      </w:r>
      <w:r>
        <w:rPr>
          <w:color w:val="231F20"/>
          <w:spacing w:val="-12"/>
          <w:w w:val="105"/>
        </w:rPr>
        <w:t> </w:t>
      </w:r>
      <w:r>
        <w:rPr>
          <w:color w:val="231F20"/>
          <w:w w:val="105"/>
        </w:rPr>
        <w:t>más</w:t>
      </w:r>
      <w:r>
        <w:rPr>
          <w:color w:val="231F20"/>
          <w:spacing w:val="-12"/>
          <w:w w:val="105"/>
        </w:rPr>
        <w:t> </w:t>
      </w:r>
      <w:r>
        <w:rPr>
          <w:color w:val="231F20"/>
          <w:w w:val="105"/>
        </w:rPr>
        <w:t>interesante</w:t>
      </w:r>
      <w:r>
        <w:rPr>
          <w:color w:val="231F20"/>
          <w:spacing w:val="-12"/>
          <w:w w:val="105"/>
        </w:rPr>
        <w:t> </w:t>
      </w:r>
      <w:r>
        <w:rPr>
          <w:color w:val="231F20"/>
          <w:w w:val="105"/>
        </w:rPr>
        <w:t>el</w:t>
      </w:r>
      <w:r>
        <w:rPr>
          <w:color w:val="231F20"/>
          <w:spacing w:val="-12"/>
          <w:w w:val="105"/>
        </w:rPr>
        <w:t> </w:t>
      </w:r>
      <w:r>
        <w:rPr>
          <w:color w:val="231F20"/>
          <w:w w:val="105"/>
        </w:rPr>
        <w:t>estu- dio</w:t>
      </w:r>
      <w:r>
        <w:rPr>
          <w:color w:val="231F20"/>
          <w:spacing w:val="-6"/>
          <w:w w:val="105"/>
        </w:rPr>
        <w:t> </w:t>
      </w:r>
      <w:r>
        <w:rPr>
          <w:color w:val="231F20"/>
          <w:w w:val="105"/>
        </w:rPr>
        <w:t>del</w:t>
      </w:r>
      <w:r>
        <w:rPr>
          <w:color w:val="231F20"/>
          <w:spacing w:val="-6"/>
          <w:w w:val="105"/>
        </w:rPr>
        <w:t> </w:t>
      </w:r>
      <w:r>
        <w:rPr>
          <w:color w:val="231F20"/>
          <w:w w:val="105"/>
        </w:rPr>
        <w:t>gobierno</w:t>
      </w:r>
      <w:r>
        <w:rPr>
          <w:color w:val="231F20"/>
          <w:spacing w:val="-6"/>
          <w:w w:val="105"/>
        </w:rPr>
        <w:t> </w:t>
      </w:r>
      <w:r>
        <w:rPr>
          <w:color w:val="231F20"/>
          <w:w w:val="105"/>
        </w:rPr>
        <w:t>de</w:t>
      </w:r>
      <w:r>
        <w:rPr>
          <w:color w:val="231F20"/>
          <w:spacing w:val="-6"/>
          <w:w w:val="105"/>
        </w:rPr>
        <w:t> </w:t>
      </w:r>
      <w:r>
        <w:rPr>
          <w:color w:val="231F20"/>
          <w:w w:val="105"/>
        </w:rPr>
        <w:t>partido,</w:t>
      </w:r>
      <w:r>
        <w:rPr>
          <w:color w:val="231F20"/>
          <w:spacing w:val="-6"/>
          <w:w w:val="105"/>
        </w:rPr>
        <w:t> </w:t>
      </w:r>
      <w:r>
        <w:rPr>
          <w:color w:val="231F20"/>
          <w:w w:val="105"/>
        </w:rPr>
        <w:t>porque</w:t>
      </w:r>
      <w:r>
        <w:rPr>
          <w:color w:val="231F20"/>
          <w:spacing w:val="-6"/>
          <w:w w:val="105"/>
        </w:rPr>
        <w:t> </w:t>
      </w:r>
      <w:r>
        <w:rPr>
          <w:color w:val="231F20"/>
          <w:w w:val="105"/>
        </w:rPr>
        <w:t>hay</w:t>
      </w:r>
      <w:r>
        <w:rPr>
          <w:color w:val="231F20"/>
          <w:spacing w:val="-6"/>
          <w:w w:val="105"/>
        </w:rPr>
        <w:t> </w:t>
      </w:r>
      <w:r>
        <w:rPr>
          <w:color w:val="231F20"/>
          <w:w w:val="105"/>
        </w:rPr>
        <w:t>diversas</w:t>
      </w:r>
      <w:r>
        <w:rPr>
          <w:color w:val="231F20"/>
          <w:spacing w:val="-6"/>
          <w:w w:val="105"/>
        </w:rPr>
        <w:t> </w:t>
      </w:r>
      <w:r>
        <w:rPr>
          <w:color w:val="231F20"/>
          <w:w w:val="105"/>
        </w:rPr>
        <w:t>preguntas</w:t>
      </w:r>
      <w:r>
        <w:rPr>
          <w:color w:val="231F20"/>
          <w:spacing w:val="-6"/>
          <w:w w:val="105"/>
        </w:rPr>
        <w:t> </w:t>
      </w:r>
      <w:r>
        <w:rPr>
          <w:color w:val="231F20"/>
          <w:w w:val="105"/>
        </w:rPr>
        <w:t>por</w:t>
      </w:r>
      <w:r>
        <w:rPr>
          <w:color w:val="231F20"/>
          <w:spacing w:val="-6"/>
          <w:w w:val="105"/>
        </w:rPr>
        <w:t> </w:t>
      </w:r>
      <w:r>
        <w:rPr>
          <w:color w:val="231F20"/>
          <w:spacing w:val="-3"/>
          <w:w w:val="105"/>
        </w:rPr>
        <w:t>responder.</w:t>
      </w:r>
      <w:r>
        <w:rPr>
          <w:color w:val="231F20"/>
          <w:spacing w:val="-6"/>
          <w:w w:val="105"/>
        </w:rPr>
        <w:t> </w:t>
      </w:r>
      <w:r>
        <w:rPr>
          <w:color w:val="231F20"/>
          <w:w w:val="105"/>
        </w:rPr>
        <w:t>La</w:t>
      </w:r>
      <w:r>
        <w:rPr>
          <w:color w:val="231F20"/>
          <w:spacing w:val="-6"/>
          <w:w w:val="105"/>
        </w:rPr>
        <w:t> </w:t>
      </w:r>
      <w:r>
        <w:rPr>
          <w:color w:val="231F20"/>
          <w:w w:val="105"/>
        </w:rPr>
        <w:t>principal es</w:t>
      </w:r>
      <w:r>
        <w:rPr>
          <w:color w:val="231F20"/>
          <w:spacing w:val="-12"/>
          <w:w w:val="105"/>
        </w:rPr>
        <w:t> </w:t>
      </w:r>
      <w:r>
        <w:rPr>
          <w:color w:val="231F20"/>
          <w:w w:val="105"/>
        </w:rPr>
        <w:t>cómo</w:t>
      </w:r>
      <w:r>
        <w:rPr>
          <w:color w:val="231F20"/>
          <w:spacing w:val="-12"/>
          <w:w w:val="105"/>
        </w:rPr>
        <w:t> </w:t>
      </w:r>
      <w:r>
        <w:rPr>
          <w:color w:val="231F20"/>
          <w:w w:val="105"/>
        </w:rPr>
        <w:t>gobiernan</w:t>
      </w:r>
      <w:r>
        <w:rPr>
          <w:color w:val="231F20"/>
          <w:spacing w:val="-12"/>
          <w:w w:val="105"/>
        </w:rPr>
        <w:t> </w:t>
      </w:r>
      <w:r>
        <w:rPr>
          <w:color w:val="231F20"/>
          <w:w w:val="105"/>
        </w:rPr>
        <w:t>los</w:t>
      </w:r>
      <w:r>
        <w:rPr>
          <w:color w:val="231F20"/>
          <w:spacing w:val="-12"/>
          <w:w w:val="105"/>
        </w:rPr>
        <w:t> </w:t>
      </w:r>
      <w:r>
        <w:rPr>
          <w:color w:val="231F20"/>
          <w:w w:val="105"/>
        </w:rPr>
        <w:t>partidos</w:t>
      </w:r>
      <w:r>
        <w:rPr>
          <w:color w:val="231F20"/>
          <w:spacing w:val="-12"/>
          <w:w w:val="105"/>
        </w:rPr>
        <w:t> </w:t>
      </w:r>
      <w:r>
        <w:rPr>
          <w:color w:val="231F20"/>
          <w:w w:val="105"/>
        </w:rPr>
        <w:t>políticos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plano</w:t>
      </w:r>
      <w:r>
        <w:rPr>
          <w:color w:val="231F20"/>
          <w:spacing w:val="-12"/>
          <w:w w:val="105"/>
        </w:rPr>
        <w:t> </w:t>
      </w:r>
      <w:r>
        <w:rPr>
          <w:color w:val="231F20"/>
          <w:w w:val="105"/>
        </w:rPr>
        <w:t>municipal</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 De</w:t>
      </w:r>
      <w:r>
        <w:rPr>
          <w:color w:val="231F20"/>
          <w:spacing w:val="-6"/>
          <w:w w:val="105"/>
        </w:rPr>
        <w:t> </w:t>
      </w:r>
      <w:r>
        <w:rPr>
          <w:color w:val="231F20"/>
          <w:w w:val="105"/>
        </w:rPr>
        <w:t>ella</w:t>
      </w:r>
      <w:r>
        <w:rPr>
          <w:color w:val="231F20"/>
          <w:spacing w:val="-6"/>
          <w:w w:val="105"/>
        </w:rPr>
        <w:t> </w:t>
      </w:r>
      <w:r>
        <w:rPr>
          <w:color w:val="231F20"/>
          <w:w w:val="105"/>
        </w:rPr>
        <w:t>surgen</w:t>
      </w:r>
      <w:r>
        <w:rPr>
          <w:color w:val="231F20"/>
          <w:spacing w:val="-6"/>
          <w:w w:val="105"/>
        </w:rPr>
        <w:t> </w:t>
      </w:r>
      <w:r>
        <w:rPr>
          <w:color w:val="231F20"/>
          <w:w w:val="105"/>
        </w:rPr>
        <w:t>otras</w:t>
      </w:r>
      <w:r>
        <w:rPr>
          <w:color w:val="231F20"/>
          <w:spacing w:val="-6"/>
          <w:w w:val="105"/>
        </w:rPr>
        <w:t> </w:t>
      </w:r>
      <w:r>
        <w:rPr>
          <w:color w:val="231F20"/>
          <w:w w:val="105"/>
        </w:rPr>
        <w:t>cuestiones:</w:t>
      </w:r>
      <w:r>
        <w:rPr>
          <w:color w:val="231F20"/>
          <w:spacing w:val="-6"/>
          <w:w w:val="105"/>
        </w:rPr>
        <w:t> </w:t>
      </w:r>
      <w:r>
        <w:rPr>
          <w:color w:val="231F20"/>
          <w:spacing w:val="-4"/>
          <w:w w:val="105"/>
        </w:rPr>
        <w:t>¿Hay</w:t>
      </w:r>
      <w:r>
        <w:rPr>
          <w:color w:val="231F20"/>
          <w:spacing w:val="-6"/>
          <w:w w:val="105"/>
        </w:rPr>
        <w:t> </w:t>
      </w:r>
      <w:r>
        <w:rPr>
          <w:color w:val="231F20"/>
          <w:w w:val="105"/>
        </w:rPr>
        <w:t>diferencia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forma</w:t>
      </w:r>
      <w:r>
        <w:rPr>
          <w:color w:val="231F20"/>
          <w:spacing w:val="-6"/>
          <w:w w:val="105"/>
        </w:rPr>
        <w:t> </w:t>
      </w:r>
      <w:r>
        <w:rPr>
          <w:color w:val="231F20"/>
          <w:w w:val="105"/>
        </w:rPr>
        <w:t>en</w:t>
      </w:r>
      <w:r>
        <w:rPr>
          <w:color w:val="231F20"/>
          <w:spacing w:val="-6"/>
          <w:w w:val="105"/>
        </w:rPr>
        <w:t> </w:t>
      </w:r>
      <w:r>
        <w:rPr>
          <w:color w:val="231F20"/>
          <w:w w:val="105"/>
        </w:rPr>
        <w:t>cómo</w:t>
      </w:r>
      <w:r>
        <w:rPr>
          <w:color w:val="231F20"/>
          <w:spacing w:val="-6"/>
          <w:w w:val="105"/>
        </w:rPr>
        <w:t> </w:t>
      </w:r>
      <w:r>
        <w:rPr>
          <w:color w:val="231F20"/>
          <w:w w:val="105"/>
        </w:rPr>
        <w:t>se</w:t>
      </w:r>
      <w:r>
        <w:rPr>
          <w:color w:val="231F20"/>
          <w:spacing w:val="-6"/>
          <w:w w:val="105"/>
        </w:rPr>
        <w:t> </w:t>
      </w:r>
      <w:r>
        <w:rPr>
          <w:color w:val="231F20"/>
          <w:w w:val="105"/>
        </w:rPr>
        <w:t>gobierna</w:t>
      </w:r>
      <w:r>
        <w:rPr>
          <w:color w:val="231F20"/>
          <w:spacing w:val="-6"/>
          <w:w w:val="105"/>
        </w:rPr>
        <w:t> </w:t>
      </w:r>
      <w:r>
        <w:rPr>
          <w:color w:val="231F20"/>
          <w:w w:val="105"/>
        </w:rPr>
        <w:t>a</w:t>
      </w:r>
      <w:r>
        <w:rPr>
          <w:color w:val="231F20"/>
          <w:spacing w:val="-6"/>
          <w:w w:val="105"/>
        </w:rPr>
        <w:t> </w:t>
      </w:r>
      <w:r>
        <w:rPr>
          <w:color w:val="231F20"/>
          <w:w w:val="105"/>
        </w:rPr>
        <w:t>los municipios</w:t>
      </w:r>
      <w:r>
        <w:rPr>
          <w:color w:val="231F20"/>
          <w:spacing w:val="-24"/>
          <w:w w:val="105"/>
        </w:rPr>
        <w:t> </w:t>
      </w:r>
      <w:r>
        <w:rPr>
          <w:color w:val="231F20"/>
          <w:w w:val="105"/>
        </w:rPr>
        <w:t>por</w:t>
      </w:r>
      <w:r>
        <w:rPr>
          <w:color w:val="231F20"/>
          <w:spacing w:val="-24"/>
          <w:w w:val="105"/>
        </w:rPr>
        <w:t> </w:t>
      </w:r>
      <w:r>
        <w:rPr>
          <w:color w:val="231F20"/>
          <w:w w:val="105"/>
        </w:rPr>
        <w:t>parte</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partidos</w:t>
      </w:r>
      <w:r>
        <w:rPr>
          <w:color w:val="231F20"/>
          <w:spacing w:val="-24"/>
          <w:w w:val="105"/>
        </w:rPr>
        <w:t> </w:t>
      </w:r>
      <w:r>
        <w:rPr>
          <w:color w:val="231F20"/>
          <w:w w:val="105"/>
        </w:rPr>
        <w:t>políticos?</w:t>
      </w:r>
      <w:r>
        <w:rPr>
          <w:color w:val="231F20"/>
          <w:spacing w:val="-24"/>
          <w:w w:val="105"/>
        </w:rPr>
        <w:t> </w:t>
      </w:r>
      <w:r>
        <w:rPr>
          <w:color w:val="231F20"/>
          <w:spacing w:val="-4"/>
          <w:w w:val="105"/>
        </w:rPr>
        <w:t>¿Hay</w:t>
      </w:r>
      <w:r>
        <w:rPr>
          <w:color w:val="231F20"/>
          <w:spacing w:val="-24"/>
          <w:w w:val="105"/>
        </w:rPr>
        <w:t> </w:t>
      </w:r>
      <w:r>
        <w:rPr>
          <w:color w:val="231F20"/>
          <w:w w:val="105"/>
        </w:rPr>
        <w:t>una</w:t>
      </w:r>
      <w:r>
        <w:rPr>
          <w:color w:val="231F20"/>
          <w:spacing w:val="-24"/>
          <w:w w:val="105"/>
        </w:rPr>
        <w:t> </w:t>
      </w:r>
      <w:r>
        <w:rPr>
          <w:color w:val="231F20"/>
          <w:w w:val="105"/>
        </w:rPr>
        <w:t>identificación</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ejercicio</w:t>
      </w:r>
      <w:r>
        <w:rPr>
          <w:color w:val="231F20"/>
          <w:spacing w:val="-24"/>
          <w:w w:val="105"/>
        </w:rPr>
        <w:t> </w:t>
      </w:r>
      <w:r>
        <w:rPr>
          <w:color w:val="231F20"/>
          <w:w w:val="105"/>
        </w:rPr>
        <w:t>del gobierno</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ideología</w:t>
      </w:r>
      <w:r>
        <w:rPr>
          <w:color w:val="231F20"/>
          <w:spacing w:val="-23"/>
          <w:w w:val="105"/>
        </w:rPr>
        <w:t> </w:t>
      </w:r>
      <w:r>
        <w:rPr>
          <w:color w:val="231F20"/>
          <w:w w:val="105"/>
        </w:rPr>
        <w:t>del</w:t>
      </w:r>
      <w:r>
        <w:rPr>
          <w:color w:val="231F20"/>
          <w:spacing w:val="-23"/>
          <w:w w:val="105"/>
        </w:rPr>
        <w:t> </w:t>
      </w:r>
      <w:r>
        <w:rPr>
          <w:color w:val="231F20"/>
          <w:w w:val="105"/>
        </w:rPr>
        <w:t>partido?</w:t>
      </w:r>
      <w:r>
        <w:rPr>
          <w:color w:val="231F20"/>
          <w:spacing w:val="-23"/>
          <w:w w:val="105"/>
        </w:rPr>
        <w:t> </w:t>
      </w:r>
      <w:r>
        <w:rPr>
          <w:color w:val="231F20"/>
          <w:w w:val="105"/>
        </w:rPr>
        <w:t>La</w:t>
      </w:r>
      <w:r>
        <w:rPr>
          <w:color w:val="231F20"/>
          <w:spacing w:val="-23"/>
          <w:w w:val="105"/>
        </w:rPr>
        <w:t> </w:t>
      </w:r>
      <w:r>
        <w:rPr>
          <w:color w:val="231F20"/>
          <w:w w:val="105"/>
        </w:rPr>
        <w:t>lista</w:t>
      </w:r>
      <w:r>
        <w:rPr>
          <w:color w:val="231F20"/>
          <w:spacing w:val="-23"/>
          <w:w w:val="105"/>
        </w:rPr>
        <w:t> </w:t>
      </w:r>
      <w:r>
        <w:rPr>
          <w:color w:val="231F20"/>
          <w:w w:val="105"/>
        </w:rPr>
        <w:t>puede</w:t>
      </w:r>
      <w:r>
        <w:rPr>
          <w:color w:val="231F20"/>
          <w:spacing w:val="-23"/>
          <w:w w:val="105"/>
        </w:rPr>
        <w:t> </w:t>
      </w:r>
      <w:r>
        <w:rPr>
          <w:color w:val="231F20"/>
          <w:w w:val="105"/>
        </w:rPr>
        <w:t>ser</w:t>
      </w:r>
      <w:r>
        <w:rPr>
          <w:color w:val="231F20"/>
          <w:spacing w:val="-23"/>
          <w:w w:val="105"/>
        </w:rPr>
        <w:t> </w:t>
      </w:r>
      <w:r>
        <w:rPr>
          <w:color w:val="231F20"/>
          <w:w w:val="105"/>
        </w:rPr>
        <w:t>larga,</w:t>
      </w:r>
      <w:r>
        <w:rPr>
          <w:color w:val="231F20"/>
          <w:spacing w:val="-23"/>
          <w:w w:val="105"/>
        </w:rPr>
        <w:t> </w:t>
      </w:r>
      <w:r>
        <w:rPr>
          <w:color w:val="231F20"/>
          <w:w w:val="105"/>
        </w:rPr>
        <w:t>sin</w:t>
      </w:r>
      <w:r>
        <w:rPr>
          <w:color w:val="231F20"/>
          <w:spacing w:val="-23"/>
          <w:w w:val="105"/>
        </w:rPr>
        <w:t> </w:t>
      </w:r>
      <w:r>
        <w:rPr>
          <w:color w:val="231F20"/>
          <w:w w:val="105"/>
        </w:rPr>
        <w:t>embargo,</w:t>
      </w:r>
      <w:r>
        <w:rPr>
          <w:color w:val="231F20"/>
          <w:spacing w:val="-23"/>
          <w:w w:val="105"/>
        </w:rPr>
        <w:t> </w:t>
      </w:r>
      <w:r>
        <w:rPr>
          <w:color w:val="231F20"/>
          <w:w w:val="105"/>
        </w:rPr>
        <w:t>el</w:t>
      </w:r>
      <w:r>
        <w:rPr>
          <w:color w:val="231F20"/>
          <w:spacing w:val="-23"/>
          <w:w w:val="105"/>
        </w:rPr>
        <w:t> </w:t>
      </w:r>
      <w:r>
        <w:rPr>
          <w:color w:val="231F20"/>
          <w:w w:val="105"/>
        </w:rPr>
        <w:t>sentido</w:t>
      </w:r>
      <w:r>
        <w:rPr>
          <w:color w:val="231F20"/>
          <w:spacing w:val="-23"/>
          <w:w w:val="105"/>
        </w:rPr>
        <w:t> </w:t>
      </w:r>
      <w:r>
        <w:rPr>
          <w:color w:val="231F20"/>
          <w:w w:val="105"/>
        </w:rPr>
        <w:t>de la investigación queda recuperado con estas preguntas, mismas que nos llevan a com- </w:t>
      </w:r>
      <w:r>
        <w:rPr>
          <w:color w:val="231F20"/>
          <w:spacing w:val="-3"/>
          <w:w w:val="105"/>
        </w:rPr>
        <w:t>prender </w:t>
      </w:r>
      <w:r>
        <w:rPr>
          <w:color w:val="231F20"/>
          <w:w w:val="105"/>
        </w:rPr>
        <w:t>el desempeño</w:t>
      </w:r>
      <w:r>
        <w:rPr>
          <w:color w:val="231F20"/>
          <w:spacing w:val="7"/>
          <w:w w:val="105"/>
        </w:rPr>
        <w:t> </w:t>
      </w:r>
      <w:r>
        <w:rPr>
          <w:color w:val="231F20"/>
          <w:w w:val="105"/>
        </w:rPr>
        <w:t>gubernamental.</w:t>
      </w:r>
    </w:p>
    <w:p>
      <w:pPr>
        <w:pStyle w:val="BodyText"/>
        <w:spacing w:before="1"/>
        <w:rPr>
          <w:sz w:val="26"/>
        </w:rPr>
      </w:pPr>
    </w:p>
    <w:p>
      <w:pPr>
        <w:pStyle w:val="BodyText"/>
        <w:spacing w:line="285" w:lineRule="auto"/>
        <w:ind w:left="110" w:right="107"/>
        <w:jc w:val="both"/>
      </w:pPr>
      <w:r>
        <w:rPr>
          <w:color w:val="231F20"/>
        </w:rPr>
        <w:t>En esta obra nos centramos en el desempeño porque las funciones de los partidos en el gobierno se pueden agrupar en las siguientes: </w:t>
      </w:r>
      <w:r>
        <w:rPr>
          <w:color w:val="231F20"/>
          <w:spacing w:val="-7"/>
        </w:rPr>
        <w:t>1) </w:t>
      </w:r>
      <w:r>
        <w:rPr>
          <w:color w:val="231F20"/>
        </w:rPr>
        <w:t>diseñadores de campañas y buscadores  de votos; </w:t>
      </w:r>
      <w:r>
        <w:rPr>
          <w:color w:val="231F20"/>
          <w:spacing w:val="-4"/>
        </w:rPr>
        <w:t>2) </w:t>
      </w:r>
      <w:r>
        <w:rPr>
          <w:color w:val="231F20"/>
        </w:rPr>
        <w:t>constructores de políticas y </w:t>
      </w:r>
      <w:r>
        <w:rPr>
          <w:color w:val="231F20"/>
          <w:spacing w:val="-4"/>
        </w:rPr>
        <w:t>3) </w:t>
      </w:r>
      <w:r>
        <w:rPr>
          <w:color w:val="231F20"/>
        </w:rPr>
        <w:t>agencias de reclutamiento para funcionarios     y empleados del </w:t>
      </w:r>
      <w:r>
        <w:rPr>
          <w:color w:val="231F20"/>
          <w:spacing w:val="-3"/>
        </w:rPr>
        <w:t>gobierno.  </w:t>
      </w:r>
      <w:r>
        <w:rPr>
          <w:color w:val="231F20"/>
        </w:rPr>
        <w:t>La primera es una función que todos los partidos realizan y    ha sido la más estudiada por los especialistas. Las otras dos son las de mayor interés en estas líneas, de </w:t>
      </w:r>
      <w:r>
        <w:rPr>
          <w:color w:val="231F20"/>
          <w:spacing w:val="2"/>
        </w:rPr>
        <w:t>ahí </w:t>
      </w:r>
      <w:r>
        <w:rPr>
          <w:color w:val="231F20"/>
        </w:rPr>
        <w:t>que estudiando el desempeño se pueda localizar el vínculo que existe entre un partido y su  </w:t>
      </w:r>
      <w:r>
        <w:rPr>
          <w:color w:val="231F20"/>
          <w:spacing w:val="17"/>
        </w:rPr>
        <w:t> </w:t>
      </w:r>
      <w:r>
        <w:rPr>
          <w:color w:val="231F20"/>
          <w:spacing w:val="-3"/>
        </w:rPr>
        <w:t>gobierno.</w:t>
      </w:r>
    </w:p>
    <w:p>
      <w:pPr>
        <w:pStyle w:val="BodyText"/>
        <w:spacing w:before="1"/>
        <w:rPr>
          <w:sz w:val="26"/>
        </w:rPr>
      </w:pPr>
    </w:p>
    <w:p>
      <w:pPr>
        <w:pStyle w:val="BodyText"/>
        <w:spacing w:line="285" w:lineRule="auto"/>
        <w:ind w:left="110" w:right="107"/>
        <w:jc w:val="both"/>
      </w:pPr>
      <w:r>
        <w:rPr>
          <w:color w:val="231F20"/>
          <w:w w:val="105"/>
        </w:rPr>
        <w:t>Para</w:t>
      </w:r>
      <w:r>
        <w:rPr>
          <w:color w:val="231F20"/>
          <w:spacing w:val="-12"/>
          <w:w w:val="105"/>
        </w:rPr>
        <w:t> </w:t>
      </w:r>
      <w:r>
        <w:rPr>
          <w:color w:val="231F20"/>
          <w:spacing w:val="2"/>
          <w:w w:val="105"/>
        </w:rPr>
        <w:t>guiar</w:t>
      </w:r>
      <w:r>
        <w:rPr>
          <w:color w:val="231F20"/>
          <w:spacing w:val="-12"/>
          <w:w w:val="105"/>
        </w:rPr>
        <w:t> </w:t>
      </w:r>
      <w:r>
        <w:rPr>
          <w:color w:val="231F20"/>
          <w:w w:val="105"/>
        </w:rPr>
        <w:t>la</w:t>
      </w:r>
      <w:r>
        <w:rPr>
          <w:color w:val="231F20"/>
          <w:spacing w:val="-12"/>
          <w:w w:val="105"/>
        </w:rPr>
        <w:t> </w:t>
      </w:r>
      <w:r>
        <w:rPr>
          <w:color w:val="231F20"/>
          <w:w w:val="105"/>
        </w:rPr>
        <w:t>investigación</w:t>
      </w:r>
      <w:r>
        <w:rPr>
          <w:color w:val="231F20"/>
          <w:spacing w:val="-12"/>
          <w:w w:val="105"/>
        </w:rPr>
        <w:t> </w:t>
      </w:r>
      <w:r>
        <w:rPr>
          <w:color w:val="231F20"/>
          <w:w w:val="105"/>
        </w:rPr>
        <w:t>sobre</w:t>
      </w:r>
      <w:r>
        <w:rPr>
          <w:color w:val="231F20"/>
          <w:spacing w:val="-12"/>
          <w:w w:val="105"/>
        </w:rPr>
        <w:t> </w:t>
      </w:r>
      <w:r>
        <w:rPr>
          <w:color w:val="231F20"/>
          <w:w w:val="105"/>
        </w:rPr>
        <w:t>el</w:t>
      </w:r>
      <w:r>
        <w:rPr>
          <w:color w:val="231F20"/>
          <w:spacing w:val="-12"/>
          <w:w w:val="105"/>
        </w:rPr>
        <w:t> </w:t>
      </w:r>
      <w:r>
        <w:rPr>
          <w:color w:val="231F20"/>
          <w:w w:val="105"/>
        </w:rPr>
        <w:t>tema,</w:t>
      </w:r>
      <w:r>
        <w:rPr>
          <w:color w:val="231F20"/>
          <w:spacing w:val="-12"/>
          <w:w w:val="105"/>
        </w:rPr>
        <w:t> </w:t>
      </w:r>
      <w:r>
        <w:rPr>
          <w:color w:val="231F20"/>
          <w:w w:val="105"/>
        </w:rPr>
        <w:t>fue</w:t>
      </w:r>
      <w:r>
        <w:rPr>
          <w:color w:val="231F20"/>
          <w:spacing w:val="-12"/>
          <w:w w:val="105"/>
        </w:rPr>
        <w:t> </w:t>
      </w:r>
      <w:r>
        <w:rPr>
          <w:color w:val="231F20"/>
          <w:w w:val="105"/>
        </w:rPr>
        <w:t>necesario</w:t>
      </w:r>
      <w:r>
        <w:rPr>
          <w:color w:val="231F20"/>
          <w:spacing w:val="-12"/>
          <w:w w:val="105"/>
        </w:rPr>
        <w:t> </w:t>
      </w:r>
      <w:r>
        <w:rPr>
          <w:color w:val="231F20"/>
          <w:w w:val="105"/>
        </w:rPr>
        <w:t>hacer</w:t>
      </w:r>
      <w:r>
        <w:rPr>
          <w:color w:val="231F20"/>
          <w:spacing w:val="-12"/>
          <w:w w:val="105"/>
        </w:rPr>
        <w:t> </w:t>
      </w:r>
      <w:r>
        <w:rPr>
          <w:color w:val="231F20"/>
          <w:w w:val="105"/>
        </w:rPr>
        <w:t>una</w:t>
      </w:r>
      <w:r>
        <w:rPr>
          <w:color w:val="231F20"/>
          <w:spacing w:val="-12"/>
          <w:w w:val="105"/>
        </w:rPr>
        <w:t> </w:t>
      </w:r>
      <w:r>
        <w:rPr>
          <w:color w:val="231F20"/>
          <w:w w:val="105"/>
        </w:rPr>
        <w:t>revisión</w:t>
      </w:r>
      <w:r>
        <w:rPr>
          <w:color w:val="231F20"/>
          <w:spacing w:val="-12"/>
          <w:w w:val="105"/>
        </w:rPr>
        <w:t> </w:t>
      </w:r>
      <w:r>
        <w:rPr>
          <w:color w:val="231F20"/>
          <w:w w:val="105"/>
        </w:rPr>
        <w:t>sobre</w:t>
      </w:r>
      <w:r>
        <w:rPr>
          <w:color w:val="231F20"/>
          <w:spacing w:val="-12"/>
          <w:w w:val="105"/>
        </w:rPr>
        <w:t> </w:t>
      </w:r>
      <w:r>
        <w:rPr>
          <w:color w:val="231F20"/>
          <w:w w:val="105"/>
        </w:rPr>
        <w:t>los</w:t>
      </w:r>
      <w:r>
        <w:rPr>
          <w:color w:val="231F20"/>
          <w:spacing w:val="-12"/>
          <w:w w:val="105"/>
        </w:rPr>
        <w:t> </w:t>
      </w:r>
      <w:r>
        <w:rPr>
          <w:color w:val="231F20"/>
          <w:w w:val="105"/>
        </w:rPr>
        <w:t>es- tudios</w:t>
      </w:r>
      <w:r>
        <w:rPr>
          <w:color w:val="231F20"/>
          <w:spacing w:val="-15"/>
          <w:w w:val="105"/>
        </w:rPr>
        <w:t> </w:t>
      </w:r>
      <w:r>
        <w:rPr>
          <w:color w:val="231F20"/>
          <w:w w:val="105"/>
        </w:rPr>
        <w:t>realizados</w:t>
      </w:r>
      <w:r>
        <w:rPr>
          <w:color w:val="231F20"/>
          <w:spacing w:val="-15"/>
          <w:w w:val="105"/>
        </w:rPr>
        <w:t> </w:t>
      </w:r>
      <w:r>
        <w:rPr>
          <w:color w:val="231F20"/>
          <w:spacing w:val="2"/>
          <w:w w:val="105"/>
        </w:rPr>
        <w:t>al</w:t>
      </w:r>
      <w:r>
        <w:rPr>
          <w:color w:val="231F20"/>
          <w:spacing w:val="-15"/>
          <w:w w:val="105"/>
        </w:rPr>
        <w:t> </w:t>
      </w:r>
      <w:r>
        <w:rPr>
          <w:color w:val="231F20"/>
          <w:w w:val="105"/>
        </w:rPr>
        <w:t>respecto.</w:t>
      </w:r>
      <w:r>
        <w:rPr>
          <w:color w:val="231F20"/>
          <w:spacing w:val="-15"/>
          <w:w w:val="105"/>
        </w:rPr>
        <w:t> </w:t>
      </w:r>
      <w:r>
        <w:rPr>
          <w:color w:val="231F20"/>
          <w:w w:val="105"/>
        </w:rPr>
        <w:t>El</w:t>
      </w:r>
      <w:r>
        <w:rPr>
          <w:color w:val="231F20"/>
          <w:spacing w:val="-15"/>
          <w:w w:val="105"/>
        </w:rPr>
        <w:t> </w:t>
      </w:r>
      <w:r>
        <w:rPr>
          <w:color w:val="231F20"/>
          <w:w w:val="105"/>
        </w:rPr>
        <w:t>desempeño</w:t>
      </w:r>
      <w:r>
        <w:rPr>
          <w:color w:val="231F20"/>
          <w:spacing w:val="-15"/>
          <w:w w:val="105"/>
        </w:rPr>
        <w:t> </w:t>
      </w:r>
      <w:r>
        <w:rPr>
          <w:color w:val="231F20"/>
          <w:w w:val="105"/>
        </w:rPr>
        <w:t>del</w:t>
      </w:r>
      <w:r>
        <w:rPr>
          <w:color w:val="231F20"/>
          <w:spacing w:val="-15"/>
          <w:w w:val="105"/>
        </w:rPr>
        <w:t> </w:t>
      </w:r>
      <w:r>
        <w:rPr>
          <w:color w:val="231F20"/>
          <w:w w:val="105"/>
        </w:rPr>
        <w:t>gobierno</w:t>
      </w:r>
      <w:r>
        <w:rPr>
          <w:color w:val="231F20"/>
          <w:spacing w:val="-15"/>
          <w:w w:val="105"/>
        </w:rPr>
        <w:t> </w:t>
      </w:r>
      <w:r>
        <w:rPr>
          <w:color w:val="231F20"/>
          <w:w w:val="105"/>
        </w:rPr>
        <w:t>local</w:t>
      </w:r>
      <w:r>
        <w:rPr>
          <w:color w:val="231F20"/>
          <w:spacing w:val="-15"/>
          <w:w w:val="105"/>
        </w:rPr>
        <w:t> </w:t>
      </w:r>
      <w:r>
        <w:rPr>
          <w:color w:val="231F20"/>
          <w:w w:val="105"/>
        </w:rPr>
        <w:t>ha</w:t>
      </w:r>
      <w:r>
        <w:rPr>
          <w:color w:val="231F20"/>
          <w:spacing w:val="-15"/>
          <w:w w:val="105"/>
        </w:rPr>
        <w:t> </w:t>
      </w:r>
      <w:r>
        <w:rPr>
          <w:color w:val="231F20"/>
          <w:w w:val="105"/>
        </w:rPr>
        <w:t>sido</w:t>
      </w:r>
      <w:r>
        <w:rPr>
          <w:color w:val="231F20"/>
          <w:spacing w:val="-15"/>
          <w:w w:val="105"/>
        </w:rPr>
        <w:t> </w:t>
      </w:r>
      <w:r>
        <w:rPr>
          <w:color w:val="231F20"/>
          <w:w w:val="105"/>
        </w:rPr>
        <w:t>analizado</w:t>
      </w:r>
      <w:r>
        <w:rPr>
          <w:color w:val="231F20"/>
          <w:spacing w:val="-15"/>
          <w:w w:val="105"/>
        </w:rPr>
        <w:t> </w:t>
      </w:r>
      <w:r>
        <w:rPr>
          <w:color w:val="231F20"/>
          <w:w w:val="105"/>
        </w:rPr>
        <w:t>por</w:t>
      </w:r>
      <w:r>
        <w:rPr>
          <w:color w:val="231F20"/>
          <w:spacing w:val="-15"/>
          <w:w w:val="105"/>
        </w:rPr>
        <w:t> </w:t>
      </w:r>
      <w:r>
        <w:rPr>
          <w:color w:val="231F20"/>
          <w:w w:val="105"/>
        </w:rPr>
        <w:t>di- ferentes</w:t>
      </w:r>
      <w:r>
        <w:rPr>
          <w:color w:val="231F20"/>
          <w:spacing w:val="-22"/>
          <w:w w:val="105"/>
        </w:rPr>
        <w:t> </w:t>
      </w:r>
      <w:r>
        <w:rPr>
          <w:color w:val="231F20"/>
          <w:w w:val="105"/>
        </w:rPr>
        <w:t>investigadores,</w:t>
      </w:r>
      <w:r>
        <w:rPr>
          <w:color w:val="231F20"/>
          <w:spacing w:val="-22"/>
          <w:w w:val="105"/>
        </w:rPr>
        <w:t> </w:t>
      </w:r>
      <w:r>
        <w:rPr>
          <w:color w:val="231F20"/>
          <w:w w:val="105"/>
        </w:rPr>
        <w:t>centros</w:t>
      </w:r>
      <w:r>
        <w:rPr>
          <w:color w:val="231F20"/>
          <w:spacing w:val="-22"/>
          <w:w w:val="105"/>
        </w:rPr>
        <w:t> </w:t>
      </w:r>
      <w:r>
        <w:rPr>
          <w:color w:val="231F20"/>
          <w:w w:val="105"/>
        </w:rPr>
        <w:t>de</w:t>
      </w:r>
      <w:r>
        <w:rPr>
          <w:color w:val="231F20"/>
          <w:spacing w:val="-22"/>
          <w:w w:val="105"/>
        </w:rPr>
        <w:t> </w:t>
      </w:r>
      <w:r>
        <w:rPr>
          <w:color w:val="231F20"/>
          <w:w w:val="105"/>
        </w:rPr>
        <w:t>investigación</w:t>
      </w:r>
      <w:r>
        <w:rPr>
          <w:color w:val="231F20"/>
          <w:spacing w:val="-22"/>
          <w:w w:val="105"/>
        </w:rPr>
        <w:t> </w:t>
      </w:r>
      <w:r>
        <w:rPr>
          <w:color w:val="231F20"/>
          <w:w w:val="105"/>
        </w:rPr>
        <w:t>e</w:t>
      </w:r>
      <w:r>
        <w:rPr>
          <w:color w:val="231F20"/>
          <w:spacing w:val="-22"/>
          <w:w w:val="105"/>
        </w:rPr>
        <w:t> </w:t>
      </w:r>
      <w:r>
        <w:rPr>
          <w:color w:val="231F20"/>
          <w:w w:val="105"/>
        </w:rPr>
        <w:t>instituciones</w:t>
      </w:r>
      <w:r>
        <w:rPr>
          <w:color w:val="231F20"/>
          <w:spacing w:val="-22"/>
          <w:w w:val="105"/>
        </w:rPr>
        <w:t> </w:t>
      </w:r>
      <w:r>
        <w:rPr>
          <w:color w:val="231F20"/>
          <w:w w:val="105"/>
        </w:rPr>
        <w:t>de</w:t>
      </w:r>
      <w:r>
        <w:rPr>
          <w:color w:val="231F20"/>
          <w:spacing w:val="-22"/>
          <w:w w:val="105"/>
        </w:rPr>
        <w:t> </w:t>
      </w:r>
      <w:r>
        <w:rPr>
          <w:color w:val="231F20"/>
          <w:w w:val="105"/>
        </w:rPr>
        <w:t>gobierno,</w:t>
      </w:r>
      <w:r>
        <w:rPr>
          <w:color w:val="231F20"/>
          <w:spacing w:val="-22"/>
          <w:w w:val="105"/>
        </w:rPr>
        <w:t> </w:t>
      </w:r>
      <w:r>
        <w:rPr>
          <w:color w:val="231F20"/>
          <w:w w:val="105"/>
        </w:rPr>
        <w:t>tales</w:t>
      </w:r>
      <w:r>
        <w:rPr>
          <w:color w:val="231F20"/>
          <w:spacing w:val="-22"/>
          <w:w w:val="105"/>
        </w:rPr>
        <w:t> </w:t>
      </w:r>
      <w:r>
        <w:rPr>
          <w:color w:val="231F20"/>
          <w:w w:val="105"/>
        </w:rPr>
        <w:t>como el</w:t>
      </w:r>
      <w:r>
        <w:rPr>
          <w:color w:val="231F20"/>
          <w:spacing w:val="-12"/>
          <w:w w:val="105"/>
        </w:rPr>
        <w:t> </w:t>
      </w:r>
      <w:r>
        <w:rPr>
          <w:color w:val="231F20"/>
          <w:w w:val="105"/>
        </w:rPr>
        <w:t>Instituto</w:t>
      </w:r>
      <w:r>
        <w:rPr>
          <w:color w:val="231F20"/>
          <w:spacing w:val="-12"/>
          <w:w w:val="105"/>
        </w:rPr>
        <w:t> </w:t>
      </w:r>
      <w:r>
        <w:rPr>
          <w:color w:val="231F20"/>
          <w:w w:val="105"/>
        </w:rPr>
        <w:t>Nacional</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Federalismo</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Desarrollo</w:t>
      </w:r>
      <w:r>
        <w:rPr>
          <w:color w:val="231F20"/>
          <w:spacing w:val="-12"/>
          <w:w w:val="105"/>
        </w:rPr>
        <w:t> </w:t>
      </w:r>
      <w:r>
        <w:rPr>
          <w:color w:val="231F20"/>
          <w:w w:val="105"/>
        </w:rPr>
        <w:t>Municipal</w:t>
      </w:r>
      <w:r>
        <w:rPr>
          <w:color w:val="231F20"/>
          <w:spacing w:val="-12"/>
          <w:w w:val="105"/>
        </w:rPr>
        <w:t> </w:t>
      </w:r>
      <w:r>
        <w:rPr>
          <w:color w:val="231F20"/>
          <w:w w:val="105"/>
        </w:rPr>
        <w:t>(INAFED),</w:t>
      </w:r>
      <w:r>
        <w:rPr>
          <w:color w:val="231F20"/>
          <w:spacing w:val="-12"/>
          <w:w w:val="105"/>
        </w:rPr>
        <w:t> </w:t>
      </w:r>
      <w:r>
        <w:rPr>
          <w:color w:val="231F20"/>
          <w:w w:val="105"/>
        </w:rPr>
        <w:t>el</w:t>
      </w:r>
      <w:r>
        <w:rPr>
          <w:color w:val="231F20"/>
          <w:spacing w:val="-12"/>
          <w:w w:val="105"/>
        </w:rPr>
        <w:t> </w:t>
      </w:r>
      <w:r>
        <w:rPr>
          <w:color w:val="231F20"/>
          <w:w w:val="105"/>
        </w:rPr>
        <w:t>Cen- tro</w:t>
      </w:r>
      <w:r>
        <w:rPr>
          <w:color w:val="231F20"/>
          <w:spacing w:val="-8"/>
          <w:w w:val="105"/>
        </w:rPr>
        <w:t> </w:t>
      </w:r>
      <w:r>
        <w:rPr>
          <w:color w:val="231F20"/>
          <w:w w:val="105"/>
        </w:rPr>
        <w:t>de</w:t>
      </w:r>
      <w:r>
        <w:rPr>
          <w:color w:val="231F20"/>
          <w:spacing w:val="-8"/>
          <w:w w:val="105"/>
        </w:rPr>
        <w:t> </w:t>
      </w:r>
      <w:r>
        <w:rPr>
          <w:color w:val="231F20"/>
          <w:w w:val="105"/>
        </w:rPr>
        <w:t>Servicios</w:t>
      </w:r>
      <w:r>
        <w:rPr>
          <w:color w:val="231F20"/>
          <w:spacing w:val="-8"/>
          <w:w w:val="105"/>
        </w:rPr>
        <w:t> </w:t>
      </w:r>
      <w:r>
        <w:rPr>
          <w:color w:val="231F20"/>
          <w:w w:val="105"/>
        </w:rPr>
        <w:t>Municipales</w:t>
      </w:r>
      <w:r>
        <w:rPr>
          <w:color w:val="231F20"/>
          <w:spacing w:val="-8"/>
          <w:w w:val="105"/>
        </w:rPr>
        <w:t> </w:t>
      </w:r>
      <w:r>
        <w:rPr>
          <w:color w:val="231F20"/>
          <w:w w:val="105"/>
        </w:rPr>
        <w:t>“Heriberto</w:t>
      </w:r>
      <w:r>
        <w:rPr>
          <w:color w:val="231F20"/>
          <w:spacing w:val="-8"/>
          <w:w w:val="105"/>
        </w:rPr>
        <w:t> </w:t>
      </w:r>
      <w:r>
        <w:rPr>
          <w:color w:val="231F20"/>
          <w:spacing w:val="-4"/>
          <w:w w:val="105"/>
        </w:rPr>
        <w:t>Jara”,</w:t>
      </w:r>
      <w:r>
        <w:rPr>
          <w:color w:val="231F20"/>
          <w:spacing w:val="-8"/>
          <w:w w:val="105"/>
        </w:rPr>
        <w:t> </w:t>
      </w:r>
      <w:r>
        <w:rPr>
          <w:color w:val="231F20"/>
          <w:w w:val="105"/>
        </w:rPr>
        <w:t>el</w:t>
      </w:r>
      <w:r>
        <w:rPr>
          <w:color w:val="231F20"/>
          <w:spacing w:val="-8"/>
          <w:w w:val="105"/>
        </w:rPr>
        <w:t> </w:t>
      </w:r>
      <w:r>
        <w:rPr>
          <w:color w:val="231F20"/>
          <w:w w:val="105"/>
        </w:rPr>
        <w:t>Banco</w:t>
      </w:r>
      <w:r>
        <w:rPr>
          <w:color w:val="231F20"/>
          <w:spacing w:val="-8"/>
          <w:w w:val="105"/>
        </w:rPr>
        <w:t> </w:t>
      </w:r>
      <w:r>
        <w:rPr>
          <w:color w:val="231F20"/>
          <w:w w:val="105"/>
        </w:rPr>
        <w:t>Nacional</w:t>
      </w:r>
      <w:r>
        <w:rPr>
          <w:color w:val="231F20"/>
          <w:spacing w:val="-8"/>
          <w:w w:val="105"/>
        </w:rPr>
        <w:t> </w:t>
      </w:r>
      <w:r>
        <w:rPr>
          <w:color w:val="231F20"/>
          <w:w w:val="105"/>
        </w:rPr>
        <w:t>de</w:t>
      </w:r>
      <w:r>
        <w:rPr>
          <w:color w:val="231F20"/>
          <w:spacing w:val="-8"/>
          <w:w w:val="105"/>
        </w:rPr>
        <w:t> </w:t>
      </w:r>
      <w:r>
        <w:rPr>
          <w:color w:val="231F20"/>
          <w:w w:val="105"/>
        </w:rPr>
        <w:t>Obras</w:t>
      </w:r>
      <w:r>
        <w:rPr>
          <w:color w:val="231F20"/>
          <w:spacing w:val="-8"/>
          <w:w w:val="105"/>
        </w:rPr>
        <w:t> </w:t>
      </w:r>
      <w:r>
        <w:rPr>
          <w:color w:val="231F20"/>
          <w:w w:val="105"/>
        </w:rPr>
        <w:t>y</w:t>
      </w:r>
      <w:r>
        <w:rPr>
          <w:color w:val="231F20"/>
          <w:spacing w:val="-8"/>
          <w:w w:val="105"/>
        </w:rPr>
        <w:t> </w:t>
      </w:r>
      <w:r>
        <w:rPr>
          <w:color w:val="231F20"/>
          <w:w w:val="105"/>
        </w:rPr>
        <w:t>Servicios Públicos</w:t>
      </w:r>
      <w:r>
        <w:rPr>
          <w:color w:val="231F20"/>
          <w:spacing w:val="-24"/>
          <w:w w:val="105"/>
        </w:rPr>
        <w:t> </w:t>
      </w:r>
      <w:r>
        <w:rPr>
          <w:color w:val="231F20"/>
          <w:w w:val="105"/>
        </w:rPr>
        <w:t>(BANOBRAS),</w:t>
      </w:r>
      <w:r>
        <w:rPr>
          <w:color w:val="231F20"/>
          <w:spacing w:val="-24"/>
          <w:w w:val="105"/>
        </w:rPr>
        <w:t> </w:t>
      </w:r>
      <w:r>
        <w:rPr>
          <w:color w:val="231F20"/>
          <w:w w:val="105"/>
        </w:rPr>
        <w:t>la</w:t>
      </w:r>
      <w:r>
        <w:rPr>
          <w:color w:val="231F20"/>
          <w:spacing w:val="-24"/>
          <w:w w:val="105"/>
        </w:rPr>
        <w:t> </w:t>
      </w:r>
      <w:r>
        <w:rPr>
          <w:color w:val="231F20"/>
          <w:w w:val="105"/>
        </w:rPr>
        <w:t>Asociación</w:t>
      </w:r>
      <w:r>
        <w:rPr>
          <w:color w:val="231F20"/>
          <w:spacing w:val="-24"/>
          <w:w w:val="105"/>
        </w:rPr>
        <w:t> </w:t>
      </w:r>
      <w:r>
        <w:rPr>
          <w:color w:val="231F20"/>
          <w:w w:val="105"/>
        </w:rPr>
        <w:t>de</w:t>
      </w:r>
      <w:r>
        <w:rPr>
          <w:color w:val="231F20"/>
          <w:spacing w:val="-24"/>
          <w:w w:val="105"/>
        </w:rPr>
        <w:t> </w:t>
      </w:r>
      <w:r>
        <w:rPr>
          <w:color w:val="231F20"/>
          <w:w w:val="105"/>
        </w:rPr>
        <w:t>Municipios</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w w:val="105"/>
        </w:rPr>
        <w:t>(AMMAC),</w:t>
      </w:r>
      <w:r>
        <w:rPr>
          <w:color w:val="231F20"/>
          <w:spacing w:val="-24"/>
          <w:w w:val="105"/>
        </w:rPr>
        <w:t> </w:t>
      </w:r>
      <w:r>
        <w:rPr>
          <w:color w:val="231F20"/>
          <w:w w:val="105"/>
        </w:rPr>
        <w:t>el</w:t>
      </w:r>
      <w:r>
        <w:rPr>
          <w:color w:val="231F20"/>
          <w:spacing w:val="-24"/>
          <w:w w:val="105"/>
        </w:rPr>
        <w:t> </w:t>
      </w:r>
      <w:r>
        <w:rPr>
          <w:color w:val="231F20"/>
          <w:w w:val="105"/>
        </w:rPr>
        <w:t>Centro de</w:t>
      </w:r>
      <w:r>
        <w:rPr>
          <w:color w:val="231F20"/>
          <w:spacing w:val="-20"/>
          <w:w w:val="105"/>
        </w:rPr>
        <w:t> </w:t>
      </w:r>
      <w:r>
        <w:rPr>
          <w:color w:val="231F20"/>
          <w:w w:val="105"/>
        </w:rPr>
        <w:t>Investigación</w:t>
      </w:r>
      <w:r>
        <w:rPr>
          <w:color w:val="231F20"/>
          <w:spacing w:val="-20"/>
          <w:w w:val="105"/>
        </w:rPr>
        <w:t> </w:t>
      </w:r>
      <w:r>
        <w:rPr>
          <w:color w:val="231F20"/>
          <w:w w:val="105"/>
        </w:rPr>
        <w:t>y</w:t>
      </w:r>
      <w:r>
        <w:rPr>
          <w:color w:val="231F20"/>
          <w:spacing w:val="-20"/>
          <w:w w:val="105"/>
        </w:rPr>
        <w:t> </w:t>
      </w:r>
      <w:r>
        <w:rPr>
          <w:color w:val="231F20"/>
          <w:w w:val="105"/>
        </w:rPr>
        <w:t>Docencia</w:t>
      </w:r>
      <w:r>
        <w:rPr>
          <w:color w:val="231F20"/>
          <w:spacing w:val="-20"/>
          <w:w w:val="105"/>
        </w:rPr>
        <w:t> </w:t>
      </w:r>
      <w:r>
        <w:rPr>
          <w:color w:val="231F20"/>
          <w:w w:val="105"/>
        </w:rPr>
        <w:t>Económicas</w:t>
      </w:r>
      <w:r>
        <w:rPr>
          <w:color w:val="231F20"/>
          <w:spacing w:val="-20"/>
          <w:w w:val="105"/>
        </w:rPr>
        <w:t> </w:t>
      </w:r>
      <w:r>
        <w:rPr>
          <w:color w:val="231F20"/>
          <w:spacing w:val="-3"/>
          <w:w w:val="105"/>
        </w:rPr>
        <w:t>(CIDE),</w:t>
      </w:r>
      <w:r>
        <w:rPr>
          <w:color w:val="231F20"/>
          <w:spacing w:val="-20"/>
          <w:w w:val="105"/>
        </w:rPr>
        <w:t> </w:t>
      </w:r>
      <w:r>
        <w:rPr>
          <w:color w:val="231F20"/>
          <w:w w:val="105"/>
        </w:rPr>
        <w:t>el</w:t>
      </w:r>
      <w:r>
        <w:rPr>
          <w:color w:val="231F20"/>
          <w:spacing w:val="-20"/>
          <w:w w:val="105"/>
        </w:rPr>
        <w:t> </w:t>
      </w:r>
      <w:r>
        <w:rPr>
          <w:color w:val="231F20"/>
          <w:w w:val="105"/>
        </w:rPr>
        <w:t>Instituto</w:t>
      </w:r>
      <w:r>
        <w:rPr>
          <w:color w:val="231F20"/>
          <w:spacing w:val="-20"/>
          <w:w w:val="105"/>
        </w:rPr>
        <w:t> </w:t>
      </w:r>
      <w:r>
        <w:rPr>
          <w:color w:val="231F20"/>
          <w:spacing w:val="-3"/>
          <w:w w:val="105"/>
        </w:rPr>
        <w:t>Tecnológico</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Estudios Superiores</w:t>
      </w:r>
      <w:r>
        <w:rPr>
          <w:color w:val="231F20"/>
          <w:spacing w:val="-18"/>
          <w:w w:val="105"/>
        </w:rPr>
        <w:t> </w:t>
      </w:r>
      <w:r>
        <w:rPr>
          <w:color w:val="231F20"/>
          <w:w w:val="105"/>
        </w:rPr>
        <w:t>de</w:t>
      </w:r>
      <w:r>
        <w:rPr>
          <w:color w:val="231F20"/>
          <w:spacing w:val="-18"/>
          <w:w w:val="105"/>
        </w:rPr>
        <w:t> </w:t>
      </w:r>
      <w:r>
        <w:rPr>
          <w:color w:val="231F20"/>
          <w:w w:val="105"/>
        </w:rPr>
        <w:t>Monterrey</w:t>
      </w:r>
      <w:r>
        <w:rPr>
          <w:color w:val="231F20"/>
          <w:spacing w:val="-18"/>
          <w:w w:val="105"/>
        </w:rPr>
        <w:t> </w:t>
      </w:r>
      <w:r>
        <w:rPr>
          <w:color w:val="231F20"/>
          <w:w w:val="105"/>
        </w:rPr>
        <w:t>(ITESM)</w:t>
      </w:r>
      <w:r>
        <w:rPr>
          <w:color w:val="231F20"/>
          <w:spacing w:val="-18"/>
          <w:w w:val="105"/>
        </w:rPr>
        <w:t> </w:t>
      </w:r>
      <w:r>
        <w:rPr>
          <w:color w:val="231F20"/>
          <w:w w:val="105"/>
        </w:rPr>
        <w:t>el</w:t>
      </w:r>
      <w:r>
        <w:rPr>
          <w:color w:val="231F20"/>
          <w:spacing w:val="-18"/>
          <w:w w:val="105"/>
        </w:rPr>
        <w:t> </w:t>
      </w:r>
      <w:r>
        <w:rPr>
          <w:color w:val="231F20"/>
          <w:w w:val="105"/>
        </w:rPr>
        <w:t>Consejo</w:t>
      </w:r>
      <w:r>
        <w:rPr>
          <w:color w:val="231F20"/>
          <w:spacing w:val="-18"/>
          <w:w w:val="105"/>
        </w:rPr>
        <w:t> </w:t>
      </w:r>
      <w:r>
        <w:rPr>
          <w:color w:val="231F20"/>
          <w:w w:val="105"/>
        </w:rPr>
        <w:t>Nacional</w:t>
      </w:r>
      <w:r>
        <w:rPr>
          <w:color w:val="231F20"/>
          <w:spacing w:val="-18"/>
          <w:w w:val="105"/>
        </w:rPr>
        <w:t> </w:t>
      </w:r>
      <w:r>
        <w:rPr>
          <w:color w:val="231F20"/>
          <w:w w:val="105"/>
        </w:rPr>
        <w:t>de</w:t>
      </w:r>
      <w:r>
        <w:rPr>
          <w:color w:val="231F20"/>
          <w:spacing w:val="-18"/>
          <w:w w:val="105"/>
        </w:rPr>
        <w:t> </w:t>
      </w:r>
      <w:r>
        <w:rPr>
          <w:color w:val="231F20"/>
          <w:spacing w:val="-3"/>
          <w:w w:val="105"/>
        </w:rPr>
        <w:t>Población</w:t>
      </w:r>
      <w:r>
        <w:rPr>
          <w:color w:val="231F20"/>
          <w:spacing w:val="-18"/>
          <w:w w:val="105"/>
        </w:rPr>
        <w:t> </w:t>
      </w:r>
      <w:r>
        <w:rPr>
          <w:color w:val="231F20"/>
          <w:spacing w:val="-4"/>
          <w:w w:val="105"/>
        </w:rPr>
        <w:t>(CONAPO),</w:t>
      </w:r>
      <w:r>
        <w:rPr>
          <w:color w:val="231F20"/>
          <w:spacing w:val="-18"/>
          <w:w w:val="105"/>
        </w:rPr>
        <w:t> </w:t>
      </w:r>
      <w:r>
        <w:rPr>
          <w:color w:val="231F20"/>
          <w:spacing w:val="-3"/>
          <w:w w:val="105"/>
        </w:rPr>
        <w:t>Jorge </w:t>
      </w:r>
      <w:r>
        <w:rPr>
          <w:color w:val="231F20"/>
          <w:w w:val="105"/>
        </w:rPr>
        <w:t>Ibarra</w:t>
      </w:r>
      <w:r>
        <w:rPr>
          <w:color w:val="231F20"/>
          <w:spacing w:val="-15"/>
          <w:w w:val="105"/>
        </w:rPr>
        <w:t> </w:t>
      </w:r>
      <w:r>
        <w:rPr>
          <w:color w:val="231F20"/>
          <w:w w:val="105"/>
        </w:rPr>
        <w:t>Salazar,</w:t>
      </w:r>
      <w:r>
        <w:rPr>
          <w:color w:val="231F20"/>
          <w:spacing w:val="-15"/>
          <w:w w:val="105"/>
        </w:rPr>
        <w:t> </w:t>
      </w:r>
      <w:r>
        <w:rPr>
          <w:color w:val="231F20"/>
          <w:w w:val="105"/>
        </w:rPr>
        <w:t>Transparencia</w:t>
      </w:r>
      <w:r>
        <w:rPr>
          <w:color w:val="231F20"/>
          <w:spacing w:val="-15"/>
          <w:w w:val="105"/>
        </w:rPr>
        <w:t> </w:t>
      </w:r>
      <w:r>
        <w:rPr>
          <w:color w:val="231F20"/>
          <w:w w:val="105"/>
        </w:rPr>
        <w:t>Mexicana,</w:t>
      </w:r>
      <w:r>
        <w:rPr>
          <w:color w:val="231F20"/>
          <w:spacing w:val="-15"/>
          <w:w w:val="105"/>
        </w:rPr>
        <w:t> </w:t>
      </w:r>
      <w:r>
        <w:rPr>
          <w:color w:val="231F20"/>
          <w:w w:val="105"/>
        </w:rPr>
        <w:t>Matthew</w:t>
      </w:r>
      <w:r>
        <w:rPr>
          <w:color w:val="231F20"/>
          <w:spacing w:val="-15"/>
          <w:w w:val="105"/>
        </w:rPr>
        <w:t> </w:t>
      </w:r>
      <w:r>
        <w:rPr>
          <w:color w:val="231F20"/>
          <w:w w:val="105"/>
        </w:rPr>
        <w:t>R.</w:t>
      </w:r>
      <w:r>
        <w:rPr>
          <w:color w:val="231F20"/>
          <w:spacing w:val="-15"/>
          <w:w w:val="105"/>
        </w:rPr>
        <w:t> </w:t>
      </w:r>
      <w:r>
        <w:rPr>
          <w:color w:val="231F20"/>
          <w:w w:val="105"/>
        </w:rPr>
        <w:t>Cleary,</w:t>
      </w:r>
      <w:r>
        <w:rPr>
          <w:color w:val="231F20"/>
          <w:spacing w:val="-15"/>
          <w:w w:val="105"/>
        </w:rPr>
        <w:t> </w:t>
      </w:r>
      <w:r>
        <w:rPr>
          <w:color w:val="231F20"/>
          <w:w w:val="105"/>
        </w:rPr>
        <w:t>entre</w:t>
      </w:r>
      <w:r>
        <w:rPr>
          <w:color w:val="231F20"/>
          <w:spacing w:val="-15"/>
          <w:w w:val="105"/>
        </w:rPr>
        <w:t> </w:t>
      </w:r>
      <w:r>
        <w:rPr>
          <w:color w:val="231F20"/>
          <w:w w:val="105"/>
        </w:rPr>
        <w:t>otros.</w:t>
      </w:r>
    </w:p>
    <w:p>
      <w:pPr>
        <w:pStyle w:val="BodyText"/>
        <w:spacing w:before="1"/>
        <w:rPr>
          <w:sz w:val="26"/>
        </w:rPr>
      </w:pPr>
    </w:p>
    <w:p>
      <w:pPr>
        <w:pStyle w:val="BodyText"/>
        <w:spacing w:line="285" w:lineRule="auto"/>
        <w:ind w:left="110" w:right="108"/>
        <w:jc w:val="both"/>
      </w:pPr>
      <w:r>
        <w:rPr>
          <w:color w:val="231F20"/>
          <w:w w:val="105"/>
        </w:rPr>
        <w:t>El INAFED diseñó un estudio para el </w:t>
      </w:r>
      <w:r>
        <w:rPr>
          <w:color w:val="231F20"/>
          <w:spacing w:val="2"/>
          <w:w w:val="105"/>
        </w:rPr>
        <w:t>análisis </w:t>
      </w:r>
      <w:r>
        <w:rPr>
          <w:color w:val="231F20"/>
          <w:w w:val="105"/>
        </w:rPr>
        <w:t>del trabajo en las administraciones </w:t>
      </w:r>
      <w:r>
        <w:rPr>
          <w:color w:val="231F20"/>
          <w:spacing w:val="-3"/>
          <w:w w:val="105"/>
        </w:rPr>
        <w:t>mu- </w:t>
      </w:r>
      <w:r>
        <w:rPr>
          <w:color w:val="231F20"/>
          <w:w w:val="105"/>
        </w:rPr>
        <w:t>nicipales,</w:t>
      </w:r>
      <w:r>
        <w:rPr>
          <w:color w:val="231F20"/>
          <w:spacing w:val="-13"/>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denominó</w:t>
      </w:r>
      <w:r>
        <w:rPr>
          <w:color w:val="231F20"/>
          <w:spacing w:val="-13"/>
          <w:w w:val="105"/>
        </w:rPr>
        <w:t> </w:t>
      </w:r>
      <w:r>
        <w:rPr>
          <w:color w:val="231F20"/>
          <w:w w:val="105"/>
        </w:rPr>
        <w:t>“La</w:t>
      </w:r>
      <w:r>
        <w:rPr>
          <w:color w:val="231F20"/>
          <w:spacing w:val="-13"/>
          <w:w w:val="105"/>
        </w:rPr>
        <w:t> </w:t>
      </w:r>
      <w:r>
        <w:rPr>
          <w:color w:val="231F20"/>
          <w:w w:val="105"/>
        </w:rPr>
        <w:t>Agenda</w:t>
      </w:r>
      <w:r>
        <w:rPr>
          <w:color w:val="231F20"/>
          <w:spacing w:val="-13"/>
          <w:w w:val="105"/>
        </w:rPr>
        <w:t> </w:t>
      </w:r>
      <w:r>
        <w:rPr>
          <w:color w:val="231F20"/>
          <w:w w:val="105"/>
        </w:rPr>
        <w:t>desde</w:t>
      </w:r>
      <w:r>
        <w:rPr>
          <w:color w:val="231F20"/>
          <w:spacing w:val="-13"/>
          <w:w w:val="105"/>
        </w:rPr>
        <w:t> </w:t>
      </w:r>
      <w:r>
        <w:rPr>
          <w:color w:val="231F20"/>
          <w:w w:val="105"/>
        </w:rPr>
        <w:t>lo</w:t>
      </w:r>
      <w:r>
        <w:rPr>
          <w:color w:val="231F20"/>
          <w:spacing w:val="-13"/>
          <w:w w:val="105"/>
        </w:rPr>
        <w:t> </w:t>
      </w:r>
      <w:r>
        <w:rPr>
          <w:color w:val="231F20"/>
          <w:w w:val="105"/>
        </w:rPr>
        <w:t>Local”.</w:t>
      </w:r>
      <w:r>
        <w:rPr>
          <w:color w:val="231F20"/>
          <w:spacing w:val="-13"/>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proyecto</w:t>
      </w:r>
      <w:r>
        <w:rPr>
          <w:color w:val="231F20"/>
          <w:spacing w:val="-13"/>
          <w:w w:val="105"/>
        </w:rPr>
        <w:t> </w:t>
      </w:r>
      <w:r>
        <w:rPr>
          <w:color w:val="231F20"/>
          <w:w w:val="105"/>
        </w:rPr>
        <w:t>basado</w:t>
      </w:r>
      <w:r>
        <w:rPr>
          <w:color w:val="231F20"/>
          <w:spacing w:val="-13"/>
          <w:w w:val="105"/>
        </w:rPr>
        <w:t> </w:t>
      </w:r>
      <w:r>
        <w:rPr>
          <w:color w:val="231F20"/>
          <w:w w:val="105"/>
        </w:rPr>
        <w:t>en</w:t>
      </w:r>
      <w:r>
        <w:rPr>
          <w:color w:val="231F20"/>
          <w:spacing w:val="-13"/>
          <w:w w:val="105"/>
        </w:rPr>
        <w:t> </w:t>
      </w:r>
      <w:r>
        <w:rPr>
          <w:color w:val="231F20"/>
          <w:w w:val="105"/>
        </w:rPr>
        <w:t>una</w:t>
      </w:r>
    </w:p>
    <w:p>
      <w:pPr>
        <w:spacing w:after="0" w:line="285" w:lineRule="auto"/>
        <w:jc w:val="both"/>
        <w:sectPr>
          <w:footerReference w:type="default" r:id="rId25"/>
          <w:pgSz w:w="9640" w:h="12190"/>
          <w:pgMar w:footer="743" w:header="0" w:top="1120" w:bottom="940" w:left="740" w:right="740"/>
          <w:pgNumType w:start="10"/>
        </w:sectPr>
      </w:pPr>
    </w:p>
    <w:p>
      <w:pPr>
        <w:pStyle w:val="BodyText"/>
        <w:spacing w:before="3"/>
        <w:rPr>
          <w:sz w:val="11"/>
        </w:rPr>
      </w:pPr>
    </w:p>
    <w:p>
      <w:pPr>
        <w:pStyle w:val="BodyText"/>
        <w:spacing w:line="285" w:lineRule="auto" w:before="36"/>
        <w:ind w:left="110" w:right="108"/>
        <w:jc w:val="both"/>
      </w:pPr>
      <w:r>
        <w:rPr>
          <w:color w:val="231F20"/>
          <w:w w:val="105"/>
        </w:rPr>
        <w:t>metodología</w:t>
      </w:r>
      <w:r>
        <w:rPr>
          <w:color w:val="231F20"/>
          <w:spacing w:val="-6"/>
          <w:w w:val="105"/>
        </w:rPr>
        <w:t> </w:t>
      </w:r>
      <w:r>
        <w:rPr>
          <w:color w:val="231F20"/>
          <w:w w:val="105"/>
        </w:rPr>
        <w:t>para</w:t>
      </w:r>
      <w:r>
        <w:rPr>
          <w:color w:val="231F20"/>
          <w:spacing w:val="-6"/>
          <w:w w:val="105"/>
        </w:rPr>
        <w:t> </w:t>
      </w:r>
      <w:r>
        <w:rPr>
          <w:color w:val="231F20"/>
          <w:w w:val="105"/>
        </w:rPr>
        <w:t>lograr</w:t>
      </w:r>
      <w:r>
        <w:rPr>
          <w:color w:val="231F20"/>
          <w:spacing w:val="-6"/>
          <w:w w:val="105"/>
        </w:rPr>
        <w:t> </w:t>
      </w:r>
      <w:r>
        <w:rPr>
          <w:color w:val="231F20"/>
          <w:w w:val="105"/>
        </w:rPr>
        <w:t>un</w:t>
      </w:r>
      <w:r>
        <w:rPr>
          <w:color w:val="231F20"/>
          <w:spacing w:val="-6"/>
          <w:w w:val="105"/>
        </w:rPr>
        <w:t> </w:t>
      </w:r>
      <w:r>
        <w:rPr>
          <w:color w:val="231F20"/>
          <w:w w:val="105"/>
        </w:rPr>
        <w:t>diagnóstico</w:t>
      </w:r>
      <w:r>
        <w:rPr>
          <w:color w:val="231F20"/>
          <w:spacing w:val="-6"/>
          <w:w w:val="105"/>
        </w:rPr>
        <w:t> </w:t>
      </w:r>
      <w:r>
        <w:rPr>
          <w:color w:val="231F20"/>
          <w:w w:val="105"/>
        </w:rPr>
        <w:t>adecuado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condiciones</w:t>
      </w:r>
      <w:r>
        <w:rPr>
          <w:color w:val="231F20"/>
          <w:spacing w:val="-6"/>
          <w:w w:val="105"/>
        </w:rPr>
        <w:t> </w:t>
      </w:r>
      <w:r>
        <w:rPr>
          <w:color w:val="231F20"/>
          <w:w w:val="105"/>
        </w:rPr>
        <w:t>de</w:t>
      </w:r>
      <w:r>
        <w:rPr>
          <w:color w:val="231F20"/>
          <w:spacing w:val="-6"/>
          <w:w w:val="105"/>
        </w:rPr>
        <w:t> </w:t>
      </w:r>
      <w:r>
        <w:rPr>
          <w:color w:val="231F20"/>
          <w:w w:val="105"/>
        </w:rPr>
        <w:t>desarrollo</w:t>
      </w:r>
      <w:r>
        <w:rPr>
          <w:color w:val="231F20"/>
          <w:spacing w:val="-6"/>
          <w:w w:val="105"/>
        </w:rPr>
        <w:t> </w:t>
      </w:r>
      <w:r>
        <w:rPr>
          <w:color w:val="231F20"/>
          <w:w w:val="105"/>
        </w:rPr>
        <w:t>que se presentan en los municipios y sus gobiernos. Fomenta que sean las mismas admi- nistraciones las que se autodiagnostiquen a través de un sistema con 39 indiciadores clasificados</w:t>
      </w:r>
      <w:r>
        <w:rPr>
          <w:color w:val="231F20"/>
          <w:spacing w:val="-8"/>
          <w:w w:val="105"/>
        </w:rPr>
        <w:t> </w:t>
      </w:r>
      <w:r>
        <w:rPr>
          <w:color w:val="231F20"/>
          <w:w w:val="105"/>
        </w:rPr>
        <w:t>en</w:t>
      </w:r>
      <w:r>
        <w:rPr>
          <w:color w:val="231F20"/>
          <w:spacing w:val="-8"/>
          <w:w w:val="105"/>
        </w:rPr>
        <w:t> </w:t>
      </w:r>
      <w:r>
        <w:rPr>
          <w:color w:val="231F20"/>
          <w:w w:val="105"/>
        </w:rPr>
        <w:t>cuatro</w:t>
      </w:r>
      <w:r>
        <w:rPr>
          <w:color w:val="231F20"/>
          <w:spacing w:val="-8"/>
          <w:w w:val="105"/>
        </w:rPr>
        <w:t> </w:t>
      </w:r>
      <w:r>
        <w:rPr>
          <w:color w:val="231F20"/>
          <w:w w:val="105"/>
        </w:rPr>
        <w:t>categorías:</w:t>
      </w:r>
      <w:r>
        <w:rPr>
          <w:color w:val="231F20"/>
          <w:spacing w:val="-8"/>
          <w:w w:val="105"/>
        </w:rPr>
        <w:t> </w:t>
      </w:r>
      <w:r>
        <w:rPr>
          <w:color w:val="231F20"/>
          <w:spacing w:val="-7"/>
          <w:w w:val="105"/>
        </w:rPr>
        <w:t>1)</w:t>
      </w:r>
      <w:r>
        <w:rPr>
          <w:color w:val="231F20"/>
          <w:spacing w:val="-8"/>
          <w:w w:val="105"/>
        </w:rPr>
        <w:t> </w:t>
      </w:r>
      <w:r>
        <w:rPr>
          <w:color w:val="231F20"/>
          <w:w w:val="105"/>
        </w:rPr>
        <w:t>Desarrollo</w:t>
      </w:r>
      <w:r>
        <w:rPr>
          <w:color w:val="231F20"/>
          <w:spacing w:val="-8"/>
          <w:w w:val="105"/>
        </w:rPr>
        <w:t> </w:t>
      </w:r>
      <w:r>
        <w:rPr>
          <w:color w:val="231F20"/>
          <w:w w:val="105"/>
        </w:rPr>
        <w:t>Institucional</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Buen</w:t>
      </w:r>
      <w:r>
        <w:rPr>
          <w:color w:val="231F20"/>
          <w:spacing w:val="-8"/>
          <w:w w:val="105"/>
        </w:rPr>
        <w:t> </w:t>
      </w:r>
      <w:r>
        <w:rPr>
          <w:color w:val="231F20"/>
          <w:w w:val="105"/>
        </w:rPr>
        <w:t>Gobierno,</w:t>
      </w:r>
      <w:r>
        <w:rPr>
          <w:color w:val="231F20"/>
          <w:spacing w:val="-8"/>
          <w:w w:val="105"/>
        </w:rPr>
        <w:t> </w:t>
      </w:r>
      <w:r>
        <w:rPr>
          <w:color w:val="231F20"/>
          <w:spacing w:val="-4"/>
          <w:w w:val="105"/>
        </w:rPr>
        <w:t>2) </w:t>
      </w:r>
      <w:r>
        <w:rPr>
          <w:color w:val="231F20"/>
          <w:w w:val="105"/>
        </w:rPr>
        <w:t>Desarrollo</w:t>
      </w:r>
      <w:r>
        <w:rPr>
          <w:color w:val="231F20"/>
          <w:spacing w:val="-17"/>
          <w:w w:val="105"/>
        </w:rPr>
        <w:t> </w:t>
      </w:r>
      <w:r>
        <w:rPr>
          <w:color w:val="231F20"/>
          <w:w w:val="105"/>
        </w:rPr>
        <w:t>Económico</w:t>
      </w:r>
      <w:r>
        <w:rPr>
          <w:color w:val="231F20"/>
          <w:spacing w:val="-17"/>
          <w:w w:val="105"/>
        </w:rPr>
        <w:t> </w:t>
      </w:r>
      <w:r>
        <w:rPr>
          <w:color w:val="231F20"/>
          <w:w w:val="105"/>
        </w:rPr>
        <w:t>Sostenible,</w:t>
      </w:r>
      <w:r>
        <w:rPr>
          <w:color w:val="231F20"/>
          <w:spacing w:val="-17"/>
          <w:w w:val="105"/>
        </w:rPr>
        <w:t> </w:t>
      </w:r>
      <w:r>
        <w:rPr>
          <w:color w:val="231F20"/>
          <w:spacing w:val="-4"/>
          <w:w w:val="105"/>
        </w:rPr>
        <w:t>3)</w:t>
      </w:r>
      <w:r>
        <w:rPr>
          <w:color w:val="231F20"/>
          <w:spacing w:val="-17"/>
          <w:w w:val="105"/>
        </w:rPr>
        <w:t> </w:t>
      </w:r>
      <w:r>
        <w:rPr>
          <w:color w:val="231F20"/>
          <w:w w:val="105"/>
        </w:rPr>
        <w:t>Desarrollo</w:t>
      </w:r>
      <w:r>
        <w:rPr>
          <w:color w:val="231F20"/>
          <w:spacing w:val="-17"/>
          <w:w w:val="105"/>
        </w:rPr>
        <w:t> </w:t>
      </w:r>
      <w:r>
        <w:rPr>
          <w:color w:val="231F20"/>
          <w:w w:val="105"/>
        </w:rPr>
        <w:t>Social</w:t>
      </w:r>
      <w:r>
        <w:rPr>
          <w:color w:val="231F20"/>
          <w:spacing w:val="-17"/>
          <w:w w:val="105"/>
        </w:rPr>
        <w:t> </w:t>
      </w:r>
      <w:r>
        <w:rPr>
          <w:color w:val="231F20"/>
          <w:w w:val="105"/>
        </w:rPr>
        <w:t>Incluyente</w:t>
      </w:r>
      <w:r>
        <w:rPr>
          <w:color w:val="231F20"/>
          <w:spacing w:val="-17"/>
          <w:w w:val="105"/>
        </w:rPr>
        <w:t> </w:t>
      </w:r>
      <w:r>
        <w:rPr>
          <w:color w:val="231F20"/>
          <w:spacing w:val="-7"/>
          <w:w w:val="105"/>
        </w:rPr>
        <w:t>y,</w:t>
      </w:r>
      <w:r>
        <w:rPr>
          <w:color w:val="231F20"/>
          <w:spacing w:val="-17"/>
          <w:w w:val="105"/>
        </w:rPr>
        <w:t> </w:t>
      </w:r>
      <w:r>
        <w:rPr>
          <w:color w:val="231F20"/>
          <w:spacing w:val="-4"/>
          <w:w w:val="105"/>
        </w:rPr>
        <w:t>4)</w:t>
      </w:r>
      <w:r>
        <w:rPr>
          <w:color w:val="231F20"/>
          <w:spacing w:val="-17"/>
          <w:w w:val="105"/>
        </w:rPr>
        <w:t> </w:t>
      </w:r>
      <w:r>
        <w:rPr>
          <w:color w:val="231F20"/>
          <w:w w:val="105"/>
        </w:rPr>
        <w:t>Desarrollo</w:t>
      </w:r>
      <w:r>
        <w:rPr>
          <w:color w:val="231F20"/>
          <w:spacing w:val="-17"/>
          <w:w w:val="105"/>
        </w:rPr>
        <w:t> </w:t>
      </w:r>
      <w:r>
        <w:rPr>
          <w:color w:val="231F20"/>
          <w:w w:val="105"/>
        </w:rPr>
        <w:t>Am- biental Sustentable. Estos indicadores conforman 233 parámetros que se </w:t>
      </w:r>
      <w:r>
        <w:rPr>
          <w:color w:val="231F20"/>
          <w:spacing w:val="2"/>
          <w:w w:val="105"/>
        </w:rPr>
        <w:t>califican</w:t>
      </w:r>
      <w:r>
        <w:rPr>
          <w:color w:val="231F20"/>
          <w:spacing w:val="-37"/>
          <w:w w:val="105"/>
        </w:rPr>
        <w:t> </w:t>
      </w:r>
      <w:r>
        <w:rPr>
          <w:color w:val="231F20"/>
          <w:w w:val="105"/>
        </w:rPr>
        <w:t>con una técnica de</w:t>
      </w:r>
      <w:r>
        <w:rPr>
          <w:color w:val="231F20"/>
          <w:spacing w:val="-31"/>
          <w:w w:val="105"/>
        </w:rPr>
        <w:t> </w:t>
      </w:r>
      <w:r>
        <w:rPr>
          <w:color w:val="231F20"/>
          <w:w w:val="105"/>
        </w:rPr>
        <w:t>semáforo.</w:t>
      </w:r>
    </w:p>
    <w:p>
      <w:pPr>
        <w:pStyle w:val="BodyText"/>
        <w:spacing w:before="1"/>
        <w:rPr>
          <w:sz w:val="26"/>
        </w:rPr>
      </w:pPr>
    </w:p>
    <w:p>
      <w:pPr>
        <w:pStyle w:val="BodyText"/>
        <w:spacing w:line="285" w:lineRule="auto"/>
        <w:ind w:left="110" w:right="108"/>
        <w:jc w:val="both"/>
      </w:pPr>
      <w:r>
        <w:rPr>
          <w:color w:val="231F20"/>
        </w:rPr>
        <w:t>El Centro de Servicios Municipales “Heriberto Jara” parte de la metodología propuesta por Alicia Ziccardi y Homero Saltalamacchia. Mide la disposición al Buen Gobierno: eficacia, eficiencia, honestidad, transparencia, atención a demandas e impulso a la par- ticipación  ciudadana.</w:t>
      </w:r>
    </w:p>
    <w:p>
      <w:pPr>
        <w:pStyle w:val="BodyText"/>
        <w:spacing w:before="1"/>
        <w:rPr>
          <w:sz w:val="26"/>
        </w:rPr>
      </w:pPr>
    </w:p>
    <w:p>
      <w:pPr>
        <w:pStyle w:val="BodyText"/>
        <w:spacing w:line="285" w:lineRule="auto"/>
        <w:ind w:left="110" w:right="-2"/>
      </w:pPr>
      <w:r>
        <w:rPr>
          <w:color w:val="231F20"/>
          <w:w w:val="105"/>
        </w:rPr>
        <w:t>BANOBRAS</w:t>
      </w:r>
      <w:r>
        <w:rPr>
          <w:color w:val="231F20"/>
          <w:spacing w:val="-27"/>
          <w:w w:val="105"/>
        </w:rPr>
        <w:t> </w:t>
      </w:r>
      <w:r>
        <w:rPr>
          <w:color w:val="231F20"/>
          <w:w w:val="105"/>
        </w:rPr>
        <w:t>realiza</w:t>
      </w:r>
      <w:r>
        <w:rPr>
          <w:color w:val="231F20"/>
          <w:spacing w:val="-27"/>
          <w:w w:val="105"/>
        </w:rPr>
        <w:t> </w:t>
      </w:r>
      <w:r>
        <w:rPr>
          <w:color w:val="231F20"/>
          <w:w w:val="105"/>
        </w:rPr>
        <w:t>un</w:t>
      </w:r>
      <w:r>
        <w:rPr>
          <w:color w:val="231F20"/>
          <w:spacing w:val="-27"/>
          <w:w w:val="105"/>
        </w:rPr>
        <w:t> </w:t>
      </w:r>
      <w:r>
        <w:rPr>
          <w:color w:val="231F20"/>
          <w:spacing w:val="2"/>
          <w:w w:val="105"/>
        </w:rPr>
        <w:t>análisis</w:t>
      </w:r>
      <w:r>
        <w:rPr>
          <w:color w:val="231F20"/>
          <w:spacing w:val="-27"/>
          <w:w w:val="105"/>
        </w:rPr>
        <w:t> </w:t>
      </w:r>
      <w:r>
        <w:rPr>
          <w:color w:val="231F20"/>
          <w:w w:val="105"/>
        </w:rPr>
        <w:t>que,</w:t>
      </w:r>
      <w:r>
        <w:rPr>
          <w:color w:val="231F20"/>
          <w:spacing w:val="-27"/>
          <w:w w:val="105"/>
        </w:rPr>
        <w:t> </w:t>
      </w:r>
      <w:r>
        <w:rPr>
          <w:color w:val="231F20"/>
          <w:w w:val="105"/>
        </w:rPr>
        <w:t>más</w:t>
      </w:r>
      <w:r>
        <w:rPr>
          <w:color w:val="231F20"/>
          <w:spacing w:val="-27"/>
          <w:w w:val="105"/>
        </w:rPr>
        <w:t> </w:t>
      </w:r>
      <w:r>
        <w:rPr>
          <w:color w:val="231F20"/>
          <w:w w:val="105"/>
        </w:rPr>
        <w:t>que</w:t>
      </w:r>
      <w:r>
        <w:rPr>
          <w:color w:val="231F20"/>
          <w:spacing w:val="-27"/>
          <w:w w:val="105"/>
        </w:rPr>
        <w:t> </w:t>
      </w:r>
      <w:r>
        <w:rPr>
          <w:color w:val="231F20"/>
          <w:w w:val="105"/>
        </w:rPr>
        <w:t>evaluar</w:t>
      </w:r>
      <w:r>
        <w:rPr>
          <w:color w:val="231F20"/>
          <w:spacing w:val="-27"/>
          <w:w w:val="105"/>
        </w:rPr>
        <w:t> </w:t>
      </w:r>
      <w:r>
        <w:rPr>
          <w:color w:val="231F20"/>
          <w:w w:val="105"/>
        </w:rPr>
        <w:t>el</w:t>
      </w:r>
      <w:r>
        <w:rPr>
          <w:color w:val="231F20"/>
          <w:spacing w:val="-27"/>
          <w:w w:val="105"/>
        </w:rPr>
        <w:t> </w:t>
      </w:r>
      <w:r>
        <w:rPr>
          <w:color w:val="231F20"/>
          <w:w w:val="105"/>
        </w:rPr>
        <w:t>desempeño,</w:t>
      </w:r>
      <w:r>
        <w:rPr>
          <w:color w:val="231F20"/>
          <w:spacing w:val="-27"/>
          <w:w w:val="105"/>
        </w:rPr>
        <w:t> </w:t>
      </w:r>
      <w:r>
        <w:rPr>
          <w:color w:val="231F20"/>
          <w:w w:val="105"/>
        </w:rPr>
        <w:t>tiene</w:t>
      </w:r>
      <w:r>
        <w:rPr>
          <w:color w:val="231F20"/>
          <w:spacing w:val="-27"/>
          <w:w w:val="105"/>
        </w:rPr>
        <w:t> </w:t>
      </w:r>
      <w:r>
        <w:rPr>
          <w:color w:val="231F20"/>
          <w:w w:val="105"/>
        </w:rPr>
        <w:t>la</w:t>
      </w:r>
      <w:r>
        <w:rPr>
          <w:color w:val="231F20"/>
          <w:spacing w:val="-27"/>
          <w:w w:val="105"/>
        </w:rPr>
        <w:t> </w:t>
      </w:r>
      <w:r>
        <w:rPr>
          <w:color w:val="231F20"/>
          <w:w w:val="105"/>
        </w:rPr>
        <w:t>finalidad</w:t>
      </w:r>
      <w:r>
        <w:rPr>
          <w:color w:val="231F20"/>
          <w:spacing w:val="-27"/>
          <w:w w:val="105"/>
        </w:rPr>
        <w:t> </w:t>
      </w:r>
      <w:r>
        <w:rPr>
          <w:color w:val="231F20"/>
          <w:w w:val="105"/>
        </w:rPr>
        <w:t>de identificar</w:t>
      </w:r>
      <w:r>
        <w:rPr>
          <w:color w:val="231F20"/>
          <w:spacing w:val="-16"/>
          <w:w w:val="105"/>
        </w:rPr>
        <w:t> </w:t>
      </w:r>
      <w:r>
        <w:rPr>
          <w:color w:val="231F20"/>
          <w:w w:val="105"/>
        </w:rPr>
        <w:t>la</w:t>
      </w:r>
      <w:r>
        <w:rPr>
          <w:color w:val="231F20"/>
          <w:spacing w:val="-16"/>
          <w:w w:val="105"/>
        </w:rPr>
        <w:t> </w:t>
      </w:r>
      <w:r>
        <w:rPr>
          <w:color w:val="231F20"/>
          <w:w w:val="105"/>
        </w:rPr>
        <w:t>capacidad</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w w:val="105"/>
        </w:rPr>
        <w:t>que</w:t>
      </w:r>
      <w:r>
        <w:rPr>
          <w:color w:val="231F20"/>
          <w:spacing w:val="-16"/>
          <w:w w:val="105"/>
        </w:rPr>
        <w:t> </w:t>
      </w:r>
      <w:r>
        <w:rPr>
          <w:color w:val="231F20"/>
          <w:w w:val="105"/>
        </w:rPr>
        <w:t>solicita</w:t>
      </w:r>
      <w:r>
        <w:rPr>
          <w:color w:val="231F20"/>
          <w:spacing w:val="-16"/>
          <w:w w:val="105"/>
        </w:rPr>
        <w:t> </w:t>
      </w:r>
      <w:r>
        <w:rPr>
          <w:color w:val="231F20"/>
          <w:w w:val="105"/>
        </w:rPr>
        <w:t>financiamiento</w:t>
      </w:r>
      <w:r>
        <w:rPr>
          <w:color w:val="231F20"/>
          <w:spacing w:val="-16"/>
          <w:w w:val="105"/>
        </w:rPr>
        <w:t> </w:t>
      </w:r>
      <w:r>
        <w:rPr>
          <w:color w:val="231F20"/>
          <w:w w:val="105"/>
        </w:rPr>
        <w:t>para</w:t>
      </w:r>
      <w:r>
        <w:rPr>
          <w:color w:val="231F20"/>
          <w:spacing w:val="-16"/>
          <w:w w:val="105"/>
        </w:rPr>
        <w:t> </w:t>
      </w:r>
      <w:r>
        <w:rPr>
          <w:color w:val="231F20"/>
          <w:w w:val="105"/>
        </w:rPr>
        <w:t>lo</w:t>
      </w:r>
      <w:r>
        <w:rPr>
          <w:color w:val="231F20"/>
          <w:spacing w:val="-16"/>
          <w:w w:val="105"/>
        </w:rPr>
        <w:t> </w:t>
      </w:r>
      <w:r>
        <w:rPr>
          <w:color w:val="231F20"/>
          <w:w w:val="105"/>
        </w:rPr>
        <w:t>conducente,</w:t>
      </w:r>
      <w:r>
        <w:rPr>
          <w:color w:val="231F20"/>
          <w:spacing w:val="-16"/>
          <w:w w:val="105"/>
        </w:rPr>
        <w:t> </w:t>
      </w:r>
      <w:r>
        <w:rPr>
          <w:color w:val="231F20"/>
          <w:w w:val="105"/>
        </w:rPr>
        <w:t>a través de tres aspectos y 15 indicadores, los cuales se enlistan a continuación: Operación:</w:t>
      </w:r>
      <w:r>
        <w:rPr>
          <w:color w:val="231F20"/>
          <w:spacing w:val="-27"/>
          <w:w w:val="105"/>
        </w:rPr>
        <w:t> </w:t>
      </w:r>
      <w:r>
        <w:rPr>
          <w:color w:val="231F20"/>
          <w:spacing w:val="-7"/>
          <w:w w:val="105"/>
        </w:rPr>
        <w:t>1)</w:t>
      </w:r>
      <w:r>
        <w:rPr>
          <w:color w:val="231F20"/>
          <w:spacing w:val="-27"/>
          <w:w w:val="105"/>
        </w:rPr>
        <w:t> </w:t>
      </w:r>
      <w:r>
        <w:rPr>
          <w:color w:val="231F20"/>
          <w:w w:val="105"/>
        </w:rPr>
        <w:t>Cobertura-recolección,</w:t>
      </w:r>
      <w:r>
        <w:rPr>
          <w:color w:val="231F20"/>
          <w:spacing w:val="-27"/>
          <w:w w:val="105"/>
        </w:rPr>
        <w:t> </w:t>
      </w:r>
      <w:r>
        <w:rPr>
          <w:color w:val="231F20"/>
          <w:spacing w:val="-4"/>
          <w:w w:val="105"/>
        </w:rPr>
        <w:t>2)</w:t>
      </w:r>
      <w:r>
        <w:rPr>
          <w:color w:val="231F20"/>
          <w:spacing w:val="-27"/>
          <w:w w:val="105"/>
        </w:rPr>
        <w:t> </w:t>
      </w:r>
      <w:r>
        <w:rPr>
          <w:color w:val="231F20"/>
          <w:w w:val="105"/>
        </w:rPr>
        <w:t>Cobertura-disposición,</w:t>
      </w:r>
      <w:r>
        <w:rPr>
          <w:color w:val="231F20"/>
          <w:spacing w:val="-27"/>
          <w:w w:val="105"/>
        </w:rPr>
        <w:t> </w:t>
      </w:r>
      <w:r>
        <w:rPr>
          <w:color w:val="231F20"/>
          <w:spacing w:val="-4"/>
          <w:w w:val="105"/>
        </w:rPr>
        <w:t>3)</w:t>
      </w:r>
      <w:r>
        <w:rPr>
          <w:color w:val="231F20"/>
          <w:spacing w:val="-27"/>
          <w:w w:val="105"/>
        </w:rPr>
        <w:t> </w:t>
      </w:r>
      <w:r>
        <w:rPr>
          <w:color w:val="231F20"/>
          <w:w w:val="105"/>
        </w:rPr>
        <w:t>Eficiencia</w:t>
      </w:r>
      <w:r>
        <w:rPr>
          <w:color w:val="231F20"/>
          <w:spacing w:val="-27"/>
          <w:w w:val="105"/>
        </w:rPr>
        <w:t> </w:t>
      </w:r>
      <w:r>
        <w:rPr>
          <w:color w:val="231F20"/>
          <w:w w:val="105"/>
        </w:rPr>
        <w:t>de</w:t>
      </w:r>
      <w:r>
        <w:rPr>
          <w:color w:val="231F20"/>
          <w:spacing w:val="-27"/>
          <w:w w:val="105"/>
        </w:rPr>
        <w:t> </w:t>
      </w:r>
      <w:r>
        <w:rPr>
          <w:color w:val="231F20"/>
          <w:w w:val="105"/>
        </w:rPr>
        <w:t>equipa- miento,</w:t>
      </w:r>
      <w:r>
        <w:rPr>
          <w:color w:val="231F20"/>
          <w:spacing w:val="-25"/>
          <w:w w:val="105"/>
        </w:rPr>
        <w:t> </w:t>
      </w:r>
      <w:r>
        <w:rPr>
          <w:color w:val="231F20"/>
          <w:spacing w:val="-4"/>
          <w:w w:val="105"/>
        </w:rPr>
        <w:t>4)</w:t>
      </w:r>
      <w:r>
        <w:rPr>
          <w:color w:val="231F20"/>
          <w:spacing w:val="-25"/>
          <w:w w:val="105"/>
        </w:rPr>
        <w:t> </w:t>
      </w:r>
      <w:r>
        <w:rPr>
          <w:color w:val="231F20"/>
          <w:w w:val="105"/>
        </w:rPr>
        <w:t>Eficiencia</w:t>
      </w:r>
      <w:r>
        <w:rPr>
          <w:color w:val="231F20"/>
          <w:spacing w:val="-25"/>
          <w:w w:val="105"/>
        </w:rPr>
        <w:t> </w:t>
      </w:r>
      <w:r>
        <w:rPr>
          <w:color w:val="231F20"/>
          <w:w w:val="105"/>
        </w:rPr>
        <w:t>operativa</w:t>
      </w:r>
      <w:r>
        <w:rPr>
          <w:color w:val="231F20"/>
          <w:spacing w:val="-25"/>
          <w:w w:val="105"/>
        </w:rPr>
        <w:t> </w:t>
      </w:r>
      <w:r>
        <w:rPr>
          <w:color w:val="231F20"/>
          <w:w w:val="105"/>
        </w:rPr>
        <w:t>(recursos</w:t>
      </w:r>
      <w:r>
        <w:rPr>
          <w:color w:val="231F20"/>
          <w:spacing w:val="-25"/>
          <w:w w:val="105"/>
        </w:rPr>
        <w:t> </w:t>
      </w:r>
      <w:r>
        <w:rPr>
          <w:color w:val="231F20"/>
          <w:w w:val="105"/>
        </w:rPr>
        <w:t>humanos),</w:t>
      </w:r>
      <w:r>
        <w:rPr>
          <w:color w:val="231F20"/>
          <w:spacing w:val="-25"/>
          <w:w w:val="105"/>
        </w:rPr>
        <w:t> </w:t>
      </w:r>
      <w:r>
        <w:rPr>
          <w:color w:val="231F20"/>
          <w:w w:val="105"/>
        </w:rPr>
        <w:t>5)</w:t>
      </w:r>
      <w:r>
        <w:rPr>
          <w:color w:val="231F20"/>
          <w:spacing w:val="-25"/>
          <w:w w:val="105"/>
        </w:rPr>
        <w:t> </w:t>
      </w:r>
      <w:r>
        <w:rPr>
          <w:color w:val="231F20"/>
          <w:w w:val="105"/>
        </w:rPr>
        <w:t>Recuperación</w:t>
      </w:r>
      <w:r>
        <w:rPr>
          <w:color w:val="231F20"/>
          <w:spacing w:val="-25"/>
          <w:w w:val="105"/>
        </w:rPr>
        <w:t> </w:t>
      </w:r>
      <w:r>
        <w:rPr>
          <w:color w:val="231F20"/>
          <w:w w:val="105"/>
        </w:rPr>
        <w:t>de</w:t>
      </w:r>
      <w:r>
        <w:rPr>
          <w:color w:val="231F20"/>
          <w:spacing w:val="-25"/>
          <w:w w:val="105"/>
        </w:rPr>
        <w:t> </w:t>
      </w:r>
      <w:r>
        <w:rPr>
          <w:color w:val="231F20"/>
          <w:w w:val="105"/>
        </w:rPr>
        <w:t>Materiales.</w:t>
      </w:r>
    </w:p>
    <w:p>
      <w:pPr>
        <w:pStyle w:val="BodyText"/>
        <w:spacing w:line="285" w:lineRule="auto" w:before="1"/>
        <w:ind w:left="110" w:right="108"/>
        <w:jc w:val="both"/>
      </w:pPr>
      <w:r>
        <w:rPr>
          <w:color w:val="231F20"/>
          <w:w w:val="105"/>
        </w:rPr>
        <w:t>Gestión:</w:t>
      </w:r>
      <w:r>
        <w:rPr>
          <w:color w:val="231F20"/>
          <w:spacing w:val="-26"/>
          <w:w w:val="105"/>
        </w:rPr>
        <w:t> </w:t>
      </w:r>
      <w:r>
        <w:rPr>
          <w:color w:val="231F20"/>
          <w:spacing w:val="-3"/>
          <w:w w:val="105"/>
        </w:rPr>
        <w:t>6)</w:t>
      </w:r>
      <w:r>
        <w:rPr>
          <w:color w:val="231F20"/>
          <w:spacing w:val="-26"/>
          <w:w w:val="105"/>
        </w:rPr>
        <w:t> </w:t>
      </w:r>
      <w:r>
        <w:rPr>
          <w:color w:val="231F20"/>
          <w:w w:val="105"/>
        </w:rPr>
        <w:t>Eficiencia</w:t>
      </w:r>
      <w:r>
        <w:rPr>
          <w:color w:val="231F20"/>
          <w:spacing w:val="-27"/>
          <w:w w:val="105"/>
        </w:rPr>
        <w:t> </w:t>
      </w:r>
      <w:r>
        <w:rPr>
          <w:color w:val="231F20"/>
          <w:w w:val="105"/>
        </w:rPr>
        <w:t>Administrativa,</w:t>
      </w:r>
      <w:r>
        <w:rPr>
          <w:color w:val="231F20"/>
          <w:spacing w:val="-26"/>
          <w:w w:val="105"/>
        </w:rPr>
        <w:t> </w:t>
      </w:r>
      <w:r>
        <w:rPr>
          <w:color w:val="231F20"/>
          <w:w w:val="105"/>
        </w:rPr>
        <w:t>7)</w:t>
      </w:r>
      <w:r>
        <w:rPr>
          <w:color w:val="231F20"/>
          <w:spacing w:val="-26"/>
          <w:w w:val="105"/>
        </w:rPr>
        <w:t> </w:t>
      </w:r>
      <w:r>
        <w:rPr>
          <w:color w:val="231F20"/>
          <w:w w:val="105"/>
        </w:rPr>
        <w:t>Unidad</w:t>
      </w:r>
      <w:r>
        <w:rPr>
          <w:color w:val="231F20"/>
          <w:spacing w:val="-27"/>
          <w:w w:val="105"/>
        </w:rPr>
        <w:t> </w:t>
      </w:r>
      <w:r>
        <w:rPr>
          <w:color w:val="231F20"/>
          <w:w w:val="105"/>
        </w:rPr>
        <w:t>de</w:t>
      </w:r>
      <w:r>
        <w:rPr>
          <w:color w:val="231F20"/>
          <w:spacing w:val="-26"/>
          <w:w w:val="105"/>
        </w:rPr>
        <w:t> </w:t>
      </w:r>
      <w:r>
        <w:rPr>
          <w:color w:val="231F20"/>
          <w:w w:val="105"/>
        </w:rPr>
        <w:t>atención</w:t>
      </w:r>
      <w:r>
        <w:rPr>
          <w:color w:val="231F20"/>
          <w:spacing w:val="-26"/>
          <w:w w:val="105"/>
        </w:rPr>
        <w:t> </w:t>
      </w:r>
      <w:r>
        <w:rPr>
          <w:color w:val="231F20"/>
          <w:w w:val="105"/>
        </w:rPr>
        <w:t>ciudadana,</w:t>
      </w:r>
      <w:r>
        <w:rPr>
          <w:color w:val="231F20"/>
          <w:spacing w:val="-27"/>
          <w:w w:val="105"/>
        </w:rPr>
        <w:t> </w:t>
      </w:r>
      <w:r>
        <w:rPr>
          <w:color w:val="231F20"/>
          <w:spacing w:val="-4"/>
          <w:w w:val="105"/>
        </w:rPr>
        <w:t>8)</w:t>
      </w:r>
      <w:r>
        <w:rPr>
          <w:color w:val="231F20"/>
          <w:spacing w:val="-26"/>
          <w:w w:val="105"/>
        </w:rPr>
        <w:t> </w:t>
      </w:r>
      <w:r>
        <w:rPr>
          <w:color w:val="231F20"/>
          <w:w w:val="105"/>
        </w:rPr>
        <w:t>Profesionali- zación,</w:t>
      </w:r>
      <w:r>
        <w:rPr>
          <w:color w:val="231F20"/>
          <w:spacing w:val="-21"/>
          <w:w w:val="105"/>
        </w:rPr>
        <w:t> </w:t>
      </w:r>
      <w:r>
        <w:rPr>
          <w:color w:val="231F20"/>
          <w:spacing w:val="-4"/>
          <w:w w:val="105"/>
        </w:rPr>
        <w:t>9)</w:t>
      </w:r>
      <w:r>
        <w:rPr>
          <w:color w:val="231F20"/>
          <w:spacing w:val="-21"/>
          <w:w w:val="105"/>
        </w:rPr>
        <w:t> </w:t>
      </w:r>
      <w:r>
        <w:rPr>
          <w:color w:val="231F20"/>
          <w:w w:val="105"/>
        </w:rPr>
        <w:t>Control</w:t>
      </w:r>
      <w:r>
        <w:rPr>
          <w:color w:val="231F20"/>
          <w:spacing w:val="-21"/>
          <w:w w:val="105"/>
        </w:rPr>
        <w:t> </w:t>
      </w:r>
      <w:r>
        <w:rPr>
          <w:color w:val="231F20"/>
          <w:w w:val="105"/>
        </w:rPr>
        <w:t>de</w:t>
      </w:r>
      <w:r>
        <w:rPr>
          <w:color w:val="231F20"/>
          <w:spacing w:val="-21"/>
          <w:w w:val="105"/>
        </w:rPr>
        <w:t> </w:t>
      </w:r>
      <w:r>
        <w:rPr>
          <w:color w:val="231F20"/>
          <w:w w:val="105"/>
        </w:rPr>
        <w:t>Residuos</w:t>
      </w:r>
      <w:r>
        <w:rPr>
          <w:color w:val="231F20"/>
          <w:spacing w:val="-21"/>
          <w:w w:val="105"/>
        </w:rPr>
        <w:t> </w:t>
      </w:r>
      <w:r>
        <w:rPr>
          <w:color w:val="231F20"/>
          <w:w w:val="105"/>
        </w:rPr>
        <w:t>Peligrosos,</w:t>
      </w:r>
      <w:r>
        <w:rPr>
          <w:color w:val="231F20"/>
          <w:spacing w:val="-21"/>
          <w:w w:val="105"/>
        </w:rPr>
        <w:t> </w:t>
      </w:r>
      <w:r>
        <w:rPr>
          <w:color w:val="231F20"/>
          <w:spacing w:val="-5"/>
          <w:w w:val="105"/>
        </w:rPr>
        <w:t>10)</w:t>
      </w:r>
      <w:r>
        <w:rPr>
          <w:color w:val="231F20"/>
          <w:spacing w:val="-21"/>
          <w:w w:val="105"/>
        </w:rPr>
        <w:t> </w:t>
      </w:r>
      <w:r>
        <w:rPr>
          <w:color w:val="231F20"/>
          <w:w w:val="105"/>
        </w:rPr>
        <w:t>Padrón</w:t>
      </w:r>
      <w:r>
        <w:rPr>
          <w:color w:val="231F20"/>
          <w:spacing w:val="-21"/>
          <w:w w:val="105"/>
        </w:rPr>
        <w:t> </w:t>
      </w:r>
      <w:r>
        <w:rPr>
          <w:color w:val="231F20"/>
          <w:w w:val="105"/>
        </w:rPr>
        <w:t>de</w:t>
      </w:r>
      <w:r>
        <w:rPr>
          <w:color w:val="231F20"/>
          <w:spacing w:val="-21"/>
          <w:w w:val="105"/>
        </w:rPr>
        <w:t> </w:t>
      </w:r>
      <w:r>
        <w:rPr>
          <w:color w:val="231F20"/>
          <w:w w:val="105"/>
        </w:rPr>
        <w:t>usuarios,</w:t>
      </w:r>
      <w:r>
        <w:rPr>
          <w:color w:val="231F20"/>
          <w:spacing w:val="-21"/>
          <w:w w:val="105"/>
        </w:rPr>
        <w:t> </w:t>
      </w:r>
      <w:r>
        <w:rPr>
          <w:color w:val="231F20"/>
          <w:spacing w:val="-7"/>
          <w:w w:val="105"/>
        </w:rPr>
        <w:t>11)</w:t>
      </w:r>
      <w:r>
        <w:rPr>
          <w:color w:val="231F20"/>
          <w:spacing w:val="-21"/>
          <w:w w:val="105"/>
        </w:rPr>
        <w:t> </w:t>
      </w:r>
      <w:r>
        <w:rPr>
          <w:color w:val="231F20"/>
          <w:w w:val="105"/>
        </w:rPr>
        <w:t>Campañas.</w:t>
      </w:r>
    </w:p>
    <w:p>
      <w:pPr>
        <w:pStyle w:val="BodyText"/>
        <w:spacing w:before="1"/>
        <w:ind w:left="110"/>
        <w:jc w:val="both"/>
      </w:pPr>
      <w:r>
        <w:rPr>
          <w:color w:val="231F20"/>
        </w:rPr>
        <w:t>Finanzas: 12) Recuperación del servicio, 13)  Eficiencia costo integral,    14)  Inversiones,</w:t>
      </w:r>
    </w:p>
    <w:p>
      <w:pPr>
        <w:pStyle w:val="BodyText"/>
        <w:spacing w:before="47"/>
        <w:ind w:left="110"/>
        <w:jc w:val="both"/>
      </w:pPr>
      <w:r>
        <w:rPr>
          <w:color w:val="231F20"/>
        </w:rPr>
        <w:t>15)  financiamiento.</w:t>
      </w:r>
    </w:p>
    <w:p>
      <w:pPr>
        <w:pStyle w:val="BodyText"/>
        <w:spacing w:before="2"/>
        <w:rPr>
          <w:sz w:val="30"/>
        </w:rPr>
      </w:pPr>
    </w:p>
    <w:p>
      <w:pPr>
        <w:pStyle w:val="BodyText"/>
        <w:spacing w:line="285" w:lineRule="auto"/>
        <w:ind w:left="110" w:right="107"/>
        <w:jc w:val="both"/>
      </w:pPr>
      <w:r>
        <w:rPr>
          <w:color w:val="231F20"/>
          <w:w w:val="105"/>
        </w:rPr>
        <w:t>La</w:t>
      </w:r>
      <w:r>
        <w:rPr>
          <w:color w:val="231F20"/>
          <w:spacing w:val="-28"/>
          <w:w w:val="105"/>
        </w:rPr>
        <w:t> </w:t>
      </w:r>
      <w:r>
        <w:rPr>
          <w:color w:val="231F20"/>
          <w:w w:val="105"/>
        </w:rPr>
        <w:t>AMMAC</w:t>
      </w:r>
      <w:r>
        <w:rPr>
          <w:color w:val="231F20"/>
          <w:spacing w:val="-28"/>
          <w:w w:val="105"/>
        </w:rPr>
        <w:t> </w:t>
      </w:r>
      <w:r>
        <w:rPr>
          <w:color w:val="231F20"/>
          <w:w w:val="105"/>
        </w:rPr>
        <w:t>lleva</w:t>
      </w:r>
      <w:r>
        <w:rPr>
          <w:color w:val="231F20"/>
          <w:spacing w:val="-28"/>
          <w:w w:val="105"/>
        </w:rPr>
        <w:t> </w:t>
      </w:r>
      <w:r>
        <w:rPr>
          <w:color w:val="231F20"/>
          <w:w w:val="105"/>
        </w:rPr>
        <w:t>a</w:t>
      </w:r>
      <w:r>
        <w:rPr>
          <w:color w:val="231F20"/>
          <w:spacing w:val="-28"/>
          <w:w w:val="105"/>
        </w:rPr>
        <w:t> </w:t>
      </w:r>
      <w:r>
        <w:rPr>
          <w:color w:val="231F20"/>
          <w:w w:val="105"/>
        </w:rPr>
        <w:t>cabo</w:t>
      </w:r>
      <w:r>
        <w:rPr>
          <w:color w:val="231F20"/>
          <w:spacing w:val="-28"/>
          <w:w w:val="105"/>
        </w:rPr>
        <w:t> </w:t>
      </w:r>
      <w:r>
        <w:rPr>
          <w:color w:val="231F20"/>
          <w:spacing w:val="-3"/>
          <w:w w:val="105"/>
        </w:rPr>
        <w:t>estudios</w:t>
      </w:r>
      <w:r>
        <w:rPr>
          <w:color w:val="231F20"/>
          <w:spacing w:val="-28"/>
          <w:w w:val="105"/>
        </w:rPr>
        <w:t> </w:t>
      </w:r>
      <w:r>
        <w:rPr>
          <w:color w:val="231F20"/>
          <w:spacing w:val="-3"/>
          <w:w w:val="105"/>
        </w:rPr>
        <w:t>de</w:t>
      </w:r>
      <w:r>
        <w:rPr>
          <w:color w:val="231F20"/>
          <w:spacing w:val="-28"/>
          <w:w w:val="105"/>
        </w:rPr>
        <w:t> </w:t>
      </w:r>
      <w:r>
        <w:rPr>
          <w:color w:val="231F20"/>
          <w:spacing w:val="-3"/>
          <w:w w:val="105"/>
        </w:rPr>
        <w:t>los</w:t>
      </w:r>
      <w:r>
        <w:rPr>
          <w:color w:val="231F20"/>
          <w:spacing w:val="-28"/>
          <w:w w:val="105"/>
        </w:rPr>
        <w:t> </w:t>
      </w:r>
      <w:r>
        <w:rPr>
          <w:color w:val="231F20"/>
          <w:spacing w:val="-4"/>
          <w:w w:val="105"/>
        </w:rPr>
        <w:t>municipios</w:t>
      </w:r>
      <w:r>
        <w:rPr>
          <w:color w:val="231F20"/>
          <w:spacing w:val="-28"/>
          <w:w w:val="105"/>
        </w:rPr>
        <w:t> </w:t>
      </w:r>
      <w:r>
        <w:rPr>
          <w:color w:val="231F20"/>
          <w:w w:val="105"/>
        </w:rPr>
        <w:t>a</w:t>
      </w:r>
      <w:r>
        <w:rPr>
          <w:color w:val="231F20"/>
          <w:spacing w:val="-28"/>
          <w:w w:val="105"/>
        </w:rPr>
        <w:t> </w:t>
      </w:r>
      <w:r>
        <w:rPr>
          <w:color w:val="231F20"/>
          <w:spacing w:val="-3"/>
          <w:w w:val="105"/>
        </w:rPr>
        <w:t>través</w:t>
      </w:r>
      <w:r>
        <w:rPr>
          <w:color w:val="231F20"/>
          <w:spacing w:val="-28"/>
          <w:w w:val="105"/>
        </w:rPr>
        <w:t> </w:t>
      </w:r>
      <w:r>
        <w:rPr>
          <w:color w:val="231F20"/>
          <w:spacing w:val="-3"/>
          <w:w w:val="105"/>
        </w:rPr>
        <w:t>de</w:t>
      </w:r>
      <w:r>
        <w:rPr>
          <w:color w:val="231F20"/>
          <w:spacing w:val="-28"/>
          <w:w w:val="105"/>
        </w:rPr>
        <w:t> </w:t>
      </w:r>
      <w:r>
        <w:rPr>
          <w:color w:val="231F20"/>
          <w:w w:val="105"/>
        </w:rPr>
        <w:t>un</w:t>
      </w:r>
      <w:r>
        <w:rPr>
          <w:color w:val="231F20"/>
          <w:spacing w:val="-28"/>
          <w:w w:val="105"/>
        </w:rPr>
        <w:t> </w:t>
      </w:r>
      <w:r>
        <w:rPr>
          <w:color w:val="231F20"/>
          <w:spacing w:val="-3"/>
          <w:w w:val="105"/>
        </w:rPr>
        <w:t>“Sistema</w:t>
      </w:r>
      <w:r>
        <w:rPr>
          <w:color w:val="231F20"/>
          <w:spacing w:val="-28"/>
          <w:w w:val="105"/>
        </w:rPr>
        <w:t> </w:t>
      </w:r>
      <w:r>
        <w:rPr>
          <w:color w:val="231F20"/>
          <w:spacing w:val="-3"/>
          <w:w w:val="105"/>
        </w:rPr>
        <w:t>de</w:t>
      </w:r>
      <w:r>
        <w:rPr>
          <w:color w:val="231F20"/>
          <w:spacing w:val="-28"/>
          <w:w w:val="105"/>
        </w:rPr>
        <w:t> </w:t>
      </w:r>
      <w:r>
        <w:rPr>
          <w:color w:val="231F20"/>
          <w:spacing w:val="-4"/>
          <w:w w:val="105"/>
        </w:rPr>
        <w:t>Indicadores </w:t>
      </w:r>
      <w:r>
        <w:rPr>
          <w:color w:val="231F20"/>
          <w:spacing w:val="-3"/>
          <w:w w:val="105"/>
        </w:rPr>
        <w:t>de</w:t>
      </w:r>
      <w:r>
        <w:rPr>
          <w:color w:val="231F20"/>
          <w:spacing w:val="-32"/>
          <w:w w:val="105"/>
        </w:rPr>
        <w:t> </w:t>
      </w:r>
      <w:r>
        <w:rPr>
          <w:color w:val="231F20"/>
          <w:spacing w:val="-4"/>
          <w:w w:val="105"/>
        </w:rPr>
        <w:t>Desempeño”</w:t>
      </w:r>
      <w:r>
        <w:rPr>
          <w:color w:val="231F20"/>
          <w:spacing w:val="-32"/>
          <w:w w:val="105"/>
        </w:rPr>
        <w:t> </w:t>
      </w:r>
      <w:r>
        <w:rPr>
          <w:color w:val="231F20"/>
          <w:spacing w:val="-5"/>
          <w:w w:val="105"/>
        </w:rPr>
        <w:t>(SINDES),</w:t>
      </w:r>
      <w:r>
        <w:rPr>
          <w:color w:val="231F20"/>
          <w:spacing w:val="-32"/>
          <w:w w:val="105"/>
        </w:rPr>
        <w:t> </w:t>
      </w:r>
      <w:r>
        <w:rPr>
          <w:color w:val="231F20"/>
          <w:spacing w:val="-3"/>
          <w:w w:val="105"/>
        </w:rPr>
        <w:t>que</w:t>
      </w:r>
      <w:r>
        <w:rPr>
          <w:color w:val="231F20"/>
          <w:spacing w:val="-32"/>
          <w:w w:val="105"/>
        </w:rPr>
        <w:t> </w:t>
      </w:r>
      <w:r>
        <w:rPr>
          <w:color w:val="231F20"/>
          <w:spacing w:val="-3"/>
          <w:w w:val="105"/>
        </w:rPr>
        <w:t>permite</w:t>
      </w:r>
      <w:r>
        <w:rPr>
          <w:color w:val="231F20"/>
          <w:spacing w:val="-32"/>
          <w:w w:val="105"/>
        </w:rPr>
        <w:t> </w:t>
      </w:r>
      <w:r>
        <w:rPr>
          <w:color w:val="231F20"/>
          <w:w w:val="105"/>
        </w:rPr>
        <w:t>medir</w:t>
      </w:r>
      <w:r>
        <w:rPr>
          <w:color w:val="231F20"/>
          <w:spacing w:val="-32"/>
          <w:w w:val="105"/>
        </w:rPr>
        <w:t> </w:t>
      </w:r>
      <w:r>
        <w:rPr>
          <w:color w:val="231F20"/>
          <w:w w:val="105"/>
        </w:rPr>
        <w:t>y</w:t>
      </w:r>
      <w:r>
        <w:rPr>
          <w:color w:val="231F20"/>
          <w:spacing w:val="-32"/>
          <w:w w:val="105"/>
        </w:rPr>
        <w:t> </w:t>
      </w:r>
      <w:r>
        <w:rPr>
          <w:color w:val="231F20"/>
          <w:w w:val="105"/>
        </w:rPr>
        <w:t>evaluar</w:t>
      </w:r>
      <w:r>
        <w:rPr>
          <w:color w:val="231F20"/>
          <w:spacing w:val="-32"/>
          <w:w w:val="105"/>
        </w:rPr>
        <w:t> </w:t>
      </w:r>
      <w:r>
        <w:rPr>
          <w:color w:val="231F20"/>
          <w:w w:val="105"/>
        </w:rPr>
        <w:t>las</w:t>
      </w:r>
      <w:r>
        <w:rPr>
          <w:color w:val="231F20"/>
          <w:spacing w:val="-32"/>
          <w:w w:val="105"/>
        </w:rPr>
        <w:t> </w:t>
      </w:r>
      <w:r>
        <w:rPr>
          <w:color w:val="231F20"/>
          <w:spacing w:val="-4"/>
          <w:w w:val="105"/>
        </w:rPr>
        <w:t>gestiones</w:t>
      </w:r>
      <w:r>
        <w:rPr>
          <w:color w:val="231F20"/>
          <w:spacing w:val="-32"/>
          <w:w w:val="105"/>
        </w:rPr>
        <w:t> </w:t>
      </w:r>
      <w:r>
        <w:rPr>
          <w:color w:val="231F20"/>
          <w:spacing w:val="-3"/>
          <w:w w:val="105"/>
        </w:rPr>
        <w:t>de</w:t>
      </w:r>
      <w:r>
        <w:rPr>
          <w:color w:val="231F20"/>
          <w:spacing w:val="-32"/>
          <w:w w:val="105"/>
        </w:rPr>
        <w:t> </w:t>
      </w:r>
      <w:r>
        <w:rPr>
          <w:color w:val="231F20"/>
          <w:spacing w:val="-3"/>
          <w:w w:val="105"/>
        </w:rPr>
        <w:t>los</w:t>
      </w:r>
      <w:r>
        <w:rPr>
          <w:color w:val="231F20"/>
          <w:spacing w:val="-32"/>
          <w:w w:val="105"/>
        </w:rPr>
        <w:t> </w:t>
      </w:r>
      <w:r>
        <w:rPr>
          <w:color w:val="231F20"/>
          <w:spacing w:val="-4"/>
          <w:w w:val="105"/>
        </w:rPr>
        <w:t>municipios</w:t>
      </w:r>
      <w:r>
        <w:rPr>
          <w:color w:val="231F20"/>
          <w:spacing w:val="-32"/>
          <w:w w:val="105"/>
        </w:rPr>
        <w:t> </w:t>
      </w:r>
      <w:r>
        <w:rPr>
          <w:color w:val="231F20"/>
          <w:spacing w:val="-3"/>
          <w:w w:val="105"/>
        </w:rPr>
        <w:t>me- </w:t>
      </w:r>
      <w:r>
        <w:rPr>
          <w:color w:val="231F20"/>
          <w:w w:val="105"/>
        </w:rPr>
        <w:t>diante</w:t>
      </w:r>
      <w:r>
        <w:rPr>
          <w:color w:val="231F20"/>
          <w:spacing w:val="-6"/>
          <w:w w:val="105"/>
        </w:rPr>
        <w:t> </w:t>
      </w:r>
      <w:r>
        <w:rPr>
          <w:color w:val="231F20"/>
          <w:w w:val="105"/>
        </w:rPr>
        <w:t>un</w:t>
      </w:r>
      <w:r>
        <w:rPr>
          <w:color w:val="231F20"/>
          <w:spacing w:val="-6"/>
          <w:w w:val="105"/>
        </w:rPr>
        <w:t> </w:t>
      </w:r>
      <w:r>
        <w:rPr>
          <w:color w:val="231F20"/>
          <w:spacing w:val="-4"/>
          <w:w w:val="105"/>
        </w:rPr>
        <w:t>conjunto</w:t>
      </w:r>
      <w:r>
        <w:rPr>
          <w:color w:val="231F20"/>
          <w:spacing w:val="-6"/>
          <w:w w:val="105"/>
        </w:rPr>
        <w:t> </w:t>
      </w:r>
      <w:r>
        <w:rPr>
          <w:color w:val="231F20"/>
          <w:spacing w:val="-3"/>
          <w:w w:val="105"/>
        </w:rPr>
        <w:t>de</w:t>
      </w:r>
      <w:r>
        <w:rPr>
          <w:color w:val="231F20"/>
          <w:spacing w:val="-6"/>
          <w:w w:val="105"/>
        </w:rPr>
        <w:t> </w:t>
      </w:r>
      <w:r>
        <w:rPr>
          <w:color w:val="231F20"/>
          <w:spacing w:val="-7"/>
          <w:w w:val="105"/>
        </w:rPr>
        <w:t>51</w:t>
      </w:r>
      <w:r>
        <w:rPr>
          <w:color w:val="231F20"/>
          <w:spacing w:val="-6"/>
          <w:w w:val="105"/>
        </w:rPr>
        <w:t> </w:t>
      </w:r>
      <w:r>
        <w:rPr>
          <w:color w:val="231F20"/>
          <w:spacing w:val="-4"/>
          <w:w w:val="105"/>
        </w:rPr>
        <w:t>indiciadores</w:t>
      </w:r>
      <w:r>
        <w:rPr>
          <w:color w:val="231F20"/>
          <w:spacing w:val="-6"/>
          <w:w w:val="105"/>
        </w:rPr>
        <w:t> </w:t>
      </w:r>
      <w:r>
        <w:rPr>
          <w:color w:val="231F20"/>
          <w:spacing w:val="-3"/>
          <w:w w:val="105"/>
        </w:rPr>
        <w:t>de</w:t>
      </w:r>
      <w:r>
        <w:rPr>
          <w:color w:val="231F20"/>
          <w:spacing w:val="-6"/>
          <w:w w:val="105"/>
        </w:rPr>
        <w:t> </w:t>
      </w:r>
      <w:r>
        <w:rPr>
          <w:color w:val="231F20"/>
          <w:spacing w:val="-4"/>
          <w:w w:val="105"/>
        </w:rPr>
        <w:t>desempeño</w:t>
      </w:r>
      <w:r>
        <w:rPr>
          <w:color w:val="231F20"/>
          <w:spacing w:val="-6"/>
          <w:w w:val="105"/>
        </w:rPr>
        <w:t> </w:t>
      </w:r>
      <w:r>
        <w:rPr>
          <w:color w:val="231F20"/>
          <w:spacing w:val="-3"/>
          <w:w w:val="105"/>
        </w:rPr>
        <w:t>en</w:t>
      </w:r>
      <w:r>
        <w:rPr>
          <w:color w:val="231F20"/>
          <w:spacing w:val="-6"/>
          <w:w w:val="105"/>
        </w:rPr>
        <w:t> </w:t>
      </w:r>
      <w:r>
        <w:rPr>
          <w:color w:val="231F20"/>
          <w:w w:val="105"/>
        </w:rPr>
        <w:t>las</w:t>
      </w:r>
      <w:r>
        <w:rPr>
          <w:color w:val="231F20"/>
          <w:spacing w:val="-6"/>
          <w:w w:val="105"/>
        </w:rPr>
        <w:t> </w:t>
      </w:r>
      <w:r>
        <w:rPr>
          <w:color w:val="231F20"/>
          <w:w w:val="105"/>
        </w:rPr>
        <w:t>áreas</w:t>
      </w:r>
      <w:r>
        <w:rPr>
          <w:color w:val="231F20"/>
          <w:spacing w:val="-6"/>
          <w:w w:val="105"/>
        </w:rPr>
        <w:t> </w:t>
      </w:r>
      <w:r>
        <w:rPr>
          <w:color w:val="231F20"/>
          <w:spacing w:val="-3"/>
          <w:w w:val="105"/>
        </w:rPr>
        <w:t>de</w:t>
      </w:r>
      <w:r>
        <w:rPr>
          <w:color w:val="231F20"/>
          <w:spacing w:val="-6"/>
          <w:w w:val="105"/>
        </w:rPr>
        <w:t> </w:t>
      </w:r>
      <w:r>
        <w:rPr>
          <w:color w:val="231F20"/>
          <w:w w:val="105"/>
        </w:rPr>
        <w:t>agua,</w:t>
      </w:r>
      <w:r>
        <w:rPr>
          <w:color w:val="231F20"/>
          <w:spacing w:val="-6"/>
          <w:w w:val="105"/>
        </w:rPr>
        <w:t> </w:t>
      </w:r>
      <w:r>
        <w:rPr>
          <w:color w:val="231F20"/>
          <w:spacing w:val="-4"/>
          <w:w w:val="105"/>
        </w:rPr>
        <w:t>recolección</w:t>
      </w:r>
      <w:r>
        <w:rPr>
          <w:color w:val="231F20"/>
          <w:spacing w:val="-6"/>
          <w:w w:val="105"/>
        </w:rPr>
        <w:t> </w:t>
      </w:r>
      <w:r>
        <w:rPr>
          <w:color w:val="231F20"/>
          <w:spacing w:val="-3"/>
          <w:w w:val="105"/>
        </w:rPr>
        <w:t>de </w:t>
      </w:r>
      <w:r>
        <w:rPr>
          <w:color w:val="231F20"/>
          <w:w w:val="105"/>
        </w:rPr>
        <w:t>basura,</w:t>
      </w:r>
      <w:r>
        <w:rPr>
          <w:color w:val="231F20"/>
          <w:spacing w:val="-27"/>
          <w:w w:val="105"/>
        </w:rPr>
        <w:t> </w:t>
      </w:r>
      <w:r>
        <w:rPr>
          <w:color w:val="231F20"/>
          <w:w w:val="105"/>
        </w:rPr>
        <w:t>vialidad,</w:t>
      </w:r>
      <w:r>
        <w:rPr>
          <w:color w:val="231F20"/>
          <w:spacing w:val="-27"/>
          <w:w w:val="105"/>
        </w:rPr>
        <w:t> </w:t>
      </w:r>
      <w:r>
        <w:rPr>
          <w:color w:val="231F20"/>
          <w:spacing w:val="-3"/>
          <w:w w:val="105"/>
        </w:rPr>
        <w:t>parques</w:t>
      </w:r>
      <w:r>
        <w:rPr>
          <w:color w:val="231F20"/>
          <w:spacing w:val="-27"/>
          <w:w w:val="105"/>
        </w:rPr>
        <w:t> </w:t>
      </w:r>
      <w:r>
        <w:rPr>
          <w:color w:val="231F20"/>
          <w:w w:val="105"/>
        </w:rPr>
        <w:t>y</w:t>
      </w:r>
      <w:r>
        <w:rPr>
          <w:color w:val="231F20"/>
          <w:spacing w:val="-27"/>
          <w:w w:val="105"/>
        </w:rPr>
        <w:t> </w:t>
      </w:r>
      <w:r>
        <w:rPr>
          <w:color w:val="231F20"/>
          <w:spacing w:val="-3"/>
          <w:w w:val="105"/>
        </w:rPr>
        <w:t>jardines,</w:t>
      </w:r>
      <w:r>
        <w:rPr>
          <w:color w:val="231F20"/>
          <w:spacing w:val="-27"/>
          <w:w w:val="105"/>
        </w:rPr>
        <w:t> </w:t>
      </w:r>
      <w:r>
        <w:rPr>
          <w:color w:val="231F20"/>
          <w:spacing w:val="-4"/>
          <w:w w:val="105"/>
        </w:rPr>
        <w:t>gestión</w:t>
      </w:r>
      <w:r>
        <w:rPr>
          <w:color w:val="231F20"/>
          <w:spacing w:val="-27"/>
          <w:w w:val="105"/>
        </w:rPr>
        <w:t> </w:t>
      </w:r>
      <w:r>
        <w:rPr>
          <w:color w:val="231F20"/>
          <w:w w:val="105"/>
        </w:rPr>
        <w:t>administrativa,</w:t>
      </w:r>
      <w:r>
        <w:rPr>
          <w:color w:val="231F20"/>
          <w:spacing w:val="-27"/>
          <w:w w:val="105"/>
        </w:rPr>
        <w:t> </w:t>
      </w:r>
      <w:r>
        <w:rPr>
          <w:color w:val="231F20"/>
          <w:spacing w:val="-3"/>
          <w:w w:val="105"/>
        </w:rPr>
        <w:t>seguridad,</w:t>
      </w:r>
      <w:r>
        <w:rPr>
          <w:color w:val="231F20"/>
          <w:spacing w:val="-27"/>
          <w:w w:val="105"/>
        </w:rPr>
        <w:t> </w:t>
      </w:r>
      <w:r>
        <w:rPr>
          <w:color w:val="231F20"/>
          <w:spacing w:val="-4"/>
          <w:w w:val="105"/>
        </w:rPr>
        <w:t>residuos,</w:t>
      </w:r>
      <w:r>
        <w:rPr>
          <w:color w:val="231F20"/>
          <w:spacing w:val="-27"/>
          <w:w w:val="105"/>
        </w:rPr>
        <w:t> </w:t>
      </w:r>
      <w:r>
        <w:rPr>
          <w:color w:val="231F20"/>
          <w:w w:val="105"/>
        </w:rPr>
        <w:t>y</w:t>
      </w:r>
      <w:r>
        <w:rPr>
          <w:color w:val="231F20"/>
          <w:spacing w:val="-27"/>
          <w:w w:val="105"/>
        </w:rPr>
        <w:t> </w:t>
      </w:r>
      <w:r>
        <w:rPr>
          <w:color w:val="231F20"/>
          <w:spacing w:val="-3"/>
          <w:w w:val="105"/>
        </w:rPr>
        <w:t>otros.</w:t>
      </w:r>
    </w:p>
    <w:p>
      <w:pPr>
        <w:pStyle w:val="BodyText"/>
        <w:spacing w:before="1"/>
        <w:rPr>
          <w:sz w:val="26"/>
        </w:rPr>
      </w:pPr>
    </w:p>
    <w:p>
      <w:pPr>
        <w:pStyle w:val="BodyText"/>
        <w:spacing w:line="285" w:lineRule="auto"/>
        <w:ind w:left="110" w:right="108"/>
        <w:jc w:val="both"/>
      </w:pPr>
      <w:r>
        <w:rPr>
          <w:color w:val="231F20"/>
          <w:w w:val="105"/>
        </w:rPr>
        <w:t>El CIDE ha promovido un método de análisis factorial, aplicándolo con cuatro com- ponentes que pueden identificarse analíticamente: económico, sociodemográfico, ur- bano espacial e institucional.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El ITEM ha establecido una serie de índices para el estudio de los municipios. Entre ellos</w:t>
      </w:r>
      <w:r>
        <w:rPr>
          <w:color w:val="231F20"/>
          <w:spacing w:val="-14"/>
          <w:w w:val="105"/>
        </w:rPr>
        <w:t> </w:t>
      </w:r>
      <w:r>
        <w:rPr>
          <w:color w:val="231F20"/>
          <w:w w:val="105"/>
        </w:rPr>
        <w:t>se</w:t>
      </w:r>
      <w:r>
        <w:rPr>
          <w:color w:val="231F20"/>
          <w:spacing w:val="-14"/>
          <w:w w:val="105"/>
        </w:rPr>
        <w:t> </w:t>
      </w:r>
      <w:r>
        <w:rPr>
          <w:color w:val="231F20"/>
          <w:w w:val="105"/>
        </w:rPr>
        <w:t>encuentran</w:t>
      </w:r>
      <w:r>
        <w:rPr>
          <w:color w:val="231F20"/>
          <w:spacing w:val="-14"/>
          <w:w w:val="105"/>
        </w:rPr>
        <w:t> </w:t>
      </w:r>
      <w:r>
        <w:rPr>
          <w:color w:val="231F20"/>
          <w:w w:val="105"/>
        </w:rPr>
        <w:t>el</w:t>
      </w:r>
      <w:r>
        <w:rPr>
          <w:color w:val="231F20"/>
          <w:spacing w:val="-14"/>
          <w:w w:val="105"/>
        </w:rPr>
        <w:t> </w:t>
      </w:r>
      <w:r>
        <w:rPr>
          <w:color w:val="231F20"/>
          <w:w w:val="105"/>
        </w:rPr>
        <w:t>global</w:t>
      </w:r>
      <w:r>
        <w:rPr>
          <w:color w:val="231F20"/>
          <w:spacing w:val="-14"/>
          <w:w w:val="105"/>
        </w:rPr>
        <w:t> </w:t>
      </w:r>
      <w:r>
        <w:rPr>
          <w:color w:val="231F20"/>
          <w:w w:val="105"/>
        </w:rPr>
        <w:t>de</w:t>
      </w:r>
      <w:r>
        <w:rPr>
          <w:color w:val="231F20"/>
          <w:spacing w:val="-14"/>
          <w:w w:val="105"/>
        </w:rPr>
        <w:t> </w:t>
      </w:r>
      <w:r>
        <w:rPr>
          <w:color w:val="231F20"/>
          <w:w w:val="105"/>
        </w:rPr>
        <w:t>desempeño,</w:t>
      </w:r>
      <w:r>
        <w:rPr>
          <w:color w:val="231F20"/>
          <w:spacing w:val="-14"/>
          <w:w w:val="105"/>
        </w:rPr>
        <w:t> </w:t>
      </w:r>
      <w:r>
        <w:rPr>
          <w:color w:val="231F20"/>
          <w:w w:val="105"/>
        </w:rPr>
        <w:t>desempeño</w:t>
      </w:r>
      <w:r>
        <w:rPr>
          <w:color w:val="231F20"/>
          <w:spacing w:val="-14"/>
          <w:w w:val="105"/>
        </w:rPr>
        <w:t> </w:t>
      </w:r>
      <w:r>
        <w:rPr>
          <w:color w:val="231F20"/>
          <w:w w:val="105"/>
        </w:rPr>
        <w:t>fiscal,</w:t>
      </w:r>
      <w:r>
        <w:rPr>
          <w:color w:val="231F20"/>
          <w:spacing w:val="-14"/>
          <w:w w:val="105"/>
        </w:rPr>
        <w:t> </w:t>
      </w:r>
      <w:r>
        <w:rPr>
          <w:color w:val="231F20"/>
          <w:w w:val="105"/>
        </w:rPr>
        <w:t>capacidad</w:t>
      </w:r>
      <w:r>
        <w:rPr>
          <w:color w:val="231F20"/>
          <w:spacing w:val="-14"/>
          <w:w w:val="105"/>
        </w:rPr>
        <w:t> </w:t>
      </w:r>
      <w:r>
        <w:rPr>
          <w:color w:val="231F20"/>
          <w:w w:val="105"/>
        </w:rPr>
        <w:t>fiscal,</w:t>
      </w:r>
      <w:r>
        <w:rPr>
          <w:color w:val="231F20"/>
          <w:spacing w:val="-14"/>
          <w:w w:val="105"/>
        </w:rPr>
        <w:t> </w:t>
      </w:r>
      <w:r>
        <w:rPr>
          <w:color w:val="231F20"/>
          <w:w w:val="105"/>
        </w:rPr>
        <w:t>esfuer- zo</w:t>
      </w:r>
      <w:r>
        <w:rPr>
          <w:color w:val="231F20"/>
          <w:spacing w:val="-19"/>
          <w:w w:val="105"/>
        </w:rPr>
        <w:t> </w:t>
      </w:r>
      <w:r>
        <w:rPr>
          <w:color w:val="231F20"/>
          <w:w w:val="105"/>
        </w:rPr>
        <w:t>fiscal,</w:t>
      </w:r>
      <w:r>
        <w:rPr>
          <w:color w:val="231F20"/>
          <w:spacing w:val="-19"/>
          <w:w w:val="105"/>
        </w:rPr>
        <w:t> </w:t>
      </w:r>
      <w:r>
        <w:rPr>
          <w:color w:val="231F20"/>
          <w:w w:val="105"/>
        </w:rPr>
        <w:t>desempeño</w:t>
      </w:r>
      <w:r>
        <w:rPr>
          <w:color w:val="231F20"/>
          <w:spacing w:val="-19"/>
          <w:w w:val="105"/>
        </w:rPr>
        <w:t> </w:t>
      </w:r>
      <w:r>
        <w:rPr>
          <w:color w:val="231F20"/>
          <w:w w:val="105"/>
        </w:rPr>
        <w:t>financiero,</w:t>
      </w:r>
      <w:r>
        <w:rPr>
          <w:color w:val="231F20"/>
          <w:spacing w:val="-19"/>
          <w:w w:val="105"/>
        </w:rPr>
        <w:t> </w:t>
      </w:r>
      <w:r>
        <w:rPr>
          <w:color w:val="231F20"/>
          <w:w w:val="105"/>
        </w:rPr>
        <w:t>endeudamiento,</w:t>
      </w:r>
      <w:r>
        <w:rPr>
          <w:color w:val="231F20"/>
          <w:spacing w:val="-19"/>
          <w:w w:val="105"/>
        </w:rPr>
        <w:t> </w:t>
      </w:r>
      <w:r>
        <w:rPr>
          <w:color w:val="231F20"/>
          <w:w w:val="105"/>
        </w:rPr>
        <w:t>dependencia,</w:t>
      </w:r>
      <w:r>
        <w:rPr>
          <w:color w:val="231F20"/>
          <w:spacing w:val="-19"/>
          <w:w w:val="105"/>
        </w:rPr>
        <w:t> </w:t>
      </w:r>
      <w:r>
        <w:rPr>
          <w:color w:val="231F20"/>
          <w:w w:val="105"/>
        </w:rPr>
        <w:t>capacidad</w:t>
      </w:r>
      <w:r>
        <w:rPr>
          <w:color w:val="231F20"/>
          <w:spacing w:val="-19"/>
          <w:w w:val="105"/>
        </w:rPr>
        <w:t> </w:t>
      </w:r>
      <w:r>
        <w:rPr>
          <w:color w:val="231F20"/>
          <w:w w:val="105"/>
        </w:rPr>
        <w:t>de</w:t>
      </w:r>
      <w:r>
        <w:rPr>
          <w:color w:val="231F20"/>
          <w:spacing w:val="-19"/>
          <w:w w:val="105"/>
        </w:rPr>
        <w:t> </w:t>
      </w:r>
      <w:r>
        <w:rPr>
          <w:color w:val="231F20"/>
          <w:w w:val="105"/>
        </w:rPr>
        <w:t>operación, desempeño administrativo, desempeño en provisión de servicios, infraestructura, co- bertura de</w:t>
      </w:r>
      <w:r>
        <w:rPr>
          <w:color w:val="231F20"/>
          <w:spacing w:val="-15"/>
          <w:w w:val="105"/>
        </w:rPr>
        <w:t> </w:t>
      </w:r>
      <w:r>
        <w:rPr>
          <w:color w:val="231F20"/>
          <w:w w:val="105"/>
        </w:rPr>
        <w:t>servicios.</w:t>
      </w:r>
    </w:p>
    <w:p>
      <w:pPr>
        <w:pStyle w:val="BodyText"/>
        <w:spacing w:before="1"/>
        <w:rPr>
          <w:sz w:val="26"/>
        </w:rPr>
      </w:pPr>
    </w:p>
    <w:p>
      <w:pPr>
        <w:pStyle w:val="BodyText"/>
        <w:spacing w:line="285" w:lineRule="auto"/>
        <w:ind w:left="110" w:right="108"/>
        <w:jc w:val="both"/>
      </w:pPr>
      <w:r>
        <w:rPr>
          <w:color w:val="231F20"/>
        </w:rPr>
        <w:t>El CONAPO estima índices que son referentes para la toma de decisiones y la elabora- ción de políticas. Entre otros están los de marginación y de desarrollo humano y social, con tres indicadores: sobrevivencia, educación y el PIB per  cápita.</w:t>
      </w:r>
    </w:p>
    <w:p>
      <w:pPr>
        <w:pStyle w:val="BodyText"/>
        <w:spacing w:before="1"/>
        <w:rPr>
          <w:sz w:val="26"/>
        </w:rPr>
      </w:pPr>
    </w:p>
    <w:p>
      <w:pPr>
        <w:pStyle w:val="BodyText"/>
        <w:spacing w:line="285" w:lineRule="auto"/>
        <w:ind w:left="110" w:right="109"/>
        <w:jc w:val="both"/>
      </w:pPr>
      <w:r>
        <w:rPr>
          <w:color w:val="231F20"/>
          <w:w w:val="105"/>
        </w:rPr>
        <w:t>Transparencia Mexicana lleva a cabo estudios referentes a los niveles de corrupción y buen gobierno; se basan en encuestas de apreciación para construir sus índices.</w:t>
      </w:r>
    </w:p>
    <w:p>
      <w:pPr>
        <w:pStyle w:val="BodyText"/>
        <w:spacing w:before="1"/>
        <w:rPr>
          <w:sz w:val="26"/>
        </w:rPr>
      </w:pPr>
    </w:p>
    <w:p>
      <w:pPr>
        <w:pStyle w:val="BodyText"/>
        <w:spacing w:line="285" w:lineRule="auto"/>
        <w:ind w:left="110" w:right="109"/>
        <w:jc w:val="both"/>
      </w:pPr>
      <w:r>
        <w:rPr>
          <w:color w:val="231F20"/>
          <w:spacing w:val="-3"/>
          <w:w w:val="105"/>
        </w:rPr>
        <w:t>Jorge</w:t>
      </w:r>
      <w:r>
        <w:rPr>
          <w:color w:val="231F20"/>
          <w:spacing w:val="-17"/>
          <w:w w:val="105"/>
        </w:rPr>
        <w:t> </w:t>
      </w:r>
      <w:r>
        <w:rPr>
          <w:color w:val="231F20"/>
          <w:w w:val="105"/>
        </w:rPr>
        <w:t>Ibarra</w:t>
      </w:r>
      <w:r>
        <w:rPr>
          <w:color w:val="231F20"/>
          <w:spacing w:val="-17"/>
          <w:w w:val="105"/>
        </w:rPr>
        <w:t> </w:t>
      </w:r>
      <w:r>
        <w:rPr>
          <w:color w:val="231F20"/>
          <w:w w:val="105"/>
        </w:rPr>
        <w:t>y</w:t>
      </w:r>
      <w:r>
        <w:rPr>
          <w:color w:val="231F20"/>
          <w:spacing w:val="-17"/>
          <w:w w:val="105"/>
        </w:rPr>
        <w:t> </w:t>
      </w:r>
      <w:r>
        <w:rPr>
          <w:color w:val="231F20"/>
          <w:w w:val="105"/>
        </w:rPr>
        <w:t>otros</w:t>
      </w:r>
      <w:r>
        <w:rPr>
          <w:color w:val="231F20"/>
          <w:spacing w:val="-17"/>
          <w:w w:val="105"/>
        </w:rPr>
        <w:t> </w:t>
      </w:r>
      <w:r>
        <w:rPr>
          <w:color w:val="231F20"/>
          <w:w w:val="105"/>
        </w:rPr>
        <w:t>investigadores</w:t>
      </w:r>
      <w:r>
        <w:rPr>
          <w:color w:val="231F20"/>
          <w:spacing w:val="-17"/>
          <w:w w:val="105"/>
        </w:rPr>
        <w:t> </w:t>
      </w:r>
      <w:r>
        <w:rPr>
          <w:color w:val="231F20"/>
          <w:w w:val="105"/>
        </w:rPr>
        <w:t>realizaron</w:t>
      </w:r>
      <w:r>
        <w:rPr>
          <w:color w:val="231F20"/>
          <w:spacing w:val="-17"/>
          <w:w w:val="105"/>
        </w:rPr>
        <w:t> </w:t>
      </w:r>
      <w:r>
        <w:rPr>
          <w:color w:val="231F20"/>
          <w:w w:val="105"/>
        </w:rPr>
        <w:t>un</w:t>
      </w:r>
      <w:r>
        <w:rPr>
          <w:color w:val="231F20"/>
          <w:spacing w:val="-17"/>
          <w:w w:val="105"/>
        </w:rPr>
        <w:t> </w:t>
      </w:r>
      <w:r>
        <w:rPr>
          <w:color w:val="231F20"/>
          <w:w w:val="105"/>
        </w:rPr>
        <w:t>estudio</w:t>
      </w:r>
      <w:r>
        <w:rPr>
          <w:color w:val="231F20"/>
          <w:spacing w:val="-17"/>
          <w:w w:val="105"/>
        </w:rPr>
        <w:t> </w:t>
      </w:r>
      <w:r>
        <w:rPr>
          <w:color w:val="231F20"/>
          <w:w w:val="105"/>
        </w:rPr>
        <w:t>del</w:t>
      </w:r>
      <w:r>
        <w:rPr>
          <w:color w:val="231F20"/>
          <w:spacing w:val="-17"/>
          <w:w w:val="105"/>
        </w:rPr>
        <w:t> </w:t>
      </w:r>
      <w:r>
        <w:rPr>
          <w:color w:val="231F20"/>
          <w:w w:val="105"/>
        </w:rPr>
        <w:t>desempeño</w:t>
      </w:r>
      <w:r>
        <w:rPr>
          <w:color w:val="231F20"/>
          <w:spacing w:val="-17"/>
          <w:w w:val="105"/>
        </w:rPr>
        <w:t> </w:t>
      </w:r>
      <w:r>
        <w:rPr>
          <w:color w:val="231F20"/>
          <w:w w:val="105"/>
        </w:rPr>
        <w:t>del</w:t>
      </w:r>
      <w:r>
        <w:rPr>
          <w:color w:val="231F20"/>
          <w:spacing w:val="-17"/>
          <w:w w:val="105"/>
        </w:rPr>
        <w:t> </w:t>
      </w:r>
      <w:r>
        <w:rPr>
          <w:color w:val="231F20"/>
          <w:w w:val="105"/>
        </w:rPr>
        <w:t>gobierno</w:t>
      </w:r>
      <w:r>
        <w:rPr>
          <w:color w:val="231F20"/>
          <w:spacing w:val="-17"/>
          <w:w w:val="105"/>
        </w:rPr>
        <w:t> </w:t>
      </w:r>
      <w:r>
        <w:rPr>
          <w:color w:val="231F20"/>
          <w:w w:val="105"/>
        </w:rPr>
        <w:t>de los</w:t>
      </w:r>
      <w:r>
        <w:rPr>
          <w:color w:val="231F20"/>
          <w:spacing w:val="-14"/>
          <w:w w:val="105"/>
        </w:rPr>
        <w:t> </w:t>
      </w:r>
      <w:r>
        <w:rPr>
          <w:color w:val="231F20"/>
          <w:w w:val="105"/>
        </w:rPr>
        <w:t>100</w:t>
      </w:r>
      <w:r>
        <w:rPr>
          <w:color w:val="231F20"/>
          <w:spacing w:val="-14"/>
          <w:w w:val="105"/>
        </w:rPr>
        <w:t> </w:t>
      </w:r>
      <w:r>
        <w:rPr>
          <w:color w:val="231F20"/>
          <w:w w:val="105"/>
        </w:rPr>
        <w:t>municipios</w:t>
      </w:r>
      <w:r>
        <w:rPr>
          <w:color w:val="231F20"/>
          <w:spacing w:val="-14"/>
          <w:w w:val="105"/>
        </w:rPr>
        <w:t> </w:t>
      </w:r>
      <w:r>
        <w:rPr>
          <w:color w:val="231F20"/>
          <w:w w:val="105"/>
        </w:rPr>
        <w:t>más</w:t>
      </w:r>
      <w:r>
        <w:rPr>
          <w:color w:val="231F20"/>
          <w:spacing w:val="-14"/>
          <w:w w:val="105"/>
        </w:rPr>
        <w:t> </w:t>
      </w:r>
      <w:r>
        <w:rPr>
          <w:color w:val="231F20"/>
          <w:w w:val="105"/>
        </w:rPr>
        <w:t>poblados,</w:t>
      </w:r>
      <w:r>
        <w:rPr>
          <w:color w:val="231F20"/>
          <w:spacing w:val="-14"/>
          <w:w w:val="105"/>
        </w:rPr>
        <w:t> </w:t>
      </w:r>
      <w:r>
        <w:rPr>
          <w:color w:val="231F20"/>
          <w:w w:val="105"/>
        </w:rPr>
        <w:t>analizando</w:t>
      </w:r>
      <w:r>
        <w:rPr>
          <w:color w:val="231F20"/>
          <w:spacing w:val="-14"/>
          <w:w w:val="105"/>
        </w:rPr>
        <w:t> </w:t>
      </w:r>
      <w:r>
        <w:rPr>
          <w:color w:val="231F20"/>
          <w:w w:val="105"/>
        </w:rPr>
        <w:t>los</w:t>
      </w:r>
      <w:r>
        <w:rPr>
          <w:color w:val="231F20"/>
          <w:spacing w:val="-14"/>
          <w:w w:val="105"/>
        </w:rPr>
        <w:t> </w:t>
      </w:r>
      <w:r>
        <w:rPr>
          <w:color w:val="231F20"/>
          <w:w w:val="105"/>
        </w:rPr>
        <w:t>aspectos</w:t>
      </w:r>
      <w:r>
        <w:rPr>
          <w:color w:val="231F20"/>
          <w:spacing w:val="-14"/>
          <w:w w:val="105"/>
        </w:rPr>
        <w:t> </w:t>
      </w:r>
      <w:r>
        <w:rPr>
          <w:color w:val="231F20"/>
          <w:w w:val="105"/>
        </w:rPr>
        <w:t>económicos,</w:t>
      </w:r>
      <w:r>
        <w:rPr>
          <w:color w:val="231F20"/>
          <w:spacing w:val="-14"/>
          <w:w w:val="105"/>
        </w:rPr>
        <w:t> </w:t>
      </w:r>
      <w:r>
        <w:rPr>
          <w:color w:val="231F20"/>
          <w:w w:val="105"/>
        </w:rPr>
        <w:t>de</w:t>
      </w:r>
      <w:r>
        <w:rPr>
          <w:color w:val="231F20"/>
          <w:spacing w:val="-14"/>
          <w:w w:val="105"/>
        </w:rPr>
        <w:t> </w:t>
      </w:r>
      <w:r>
        <w:rPr>
          <w:color w:val="231F20"/>
          <w:w w:val="105"/>
        </w:rPr>
        <w:t>provisión</w:t>
      </w:r>
      <w:r>
        <w:rPr>
          <w:color w:val="231F20"/>
          <w:spacing w:val="-14"/>
          <w:w w:val="105"/>
        </w:rPr>
        <w:t> </w:t>
      </w:r>
      <w:r>
        <w:rPr>
          <w:color w:val="231F20"/>
          <w:w w:val="105"/>
        </w:rPr>
        <w:t>de servicios</w:t>
      </w:r>
      <w:r>
        <w:rPr>
          <w:color w:val="231F20"/>
          <w:spacing w:val="-32"/>
          <w:w w:val="105"/>
        </w:rPr>
        <w:t> </w:t>
      </w:r>
      <w:r>
        <w:rPr>
          <w:color w:val="231F20"/>
          <w:w w:val="105"/>
        </w:rPr>
        <w:t>y</w:t>
      </w:r>
      <w:r>
        <w:rPr>
          <w:color w:val="231F20"/>
          <w:spacing w:val="-32"/>
          <w:w w:val="105"/>
        </w:rPr>
        <w:t> </w:t>
      </w:r>
      <w:r>
        <w:rPr>
          <w:color w:val="231F20"/>
          <w:spacing w:val="2"/>
          <w:w w:val="105"/>
        </w:rPr>
        <w:t>finanzas</w:t>
      </w:r>
      <w:r>
        <w:rPr>
          <w:color w:val="231F20"/>
          <w:spacing w:val="-32"/>
          <w:w w:val="105"/>
        </w:rPr>
        <w:t> </w:t>
      </w:r>
      <w:r>
        <w:rPr>
          <w:color w:val="231F20"/>
          <w:w w:val="105"/>
        </w:rPr>
        <w:t>públicas.</w:t>
      </w:r>
    </w:p>
    <w:p>
      <w:pPr>
        <w:pStyle w:val="BodyText"/>
        <w:spacing w:before="1"/>
        <w:rPr>
          <w:sz w:val="26"/>
        </w:rPr>
      </w:pPr>
    </w:p>
    <w:p>
      <w:pPr>
        <w:pStyle w:val="BodyText"/>
        <w:spacing w:line="285" w:lineRule="auto"/>
        <w:ind w:left="110" w:right="107"/>
        <w:jc w:val="both"/>
      </w:pPr>
      <w:r>
        <w:rPr>
          <w:color w:val="231F20"/>
        </w:rPr>
        <w:t>Matthew R. Cleary ha revisado el desempeño vinculado a los partidos políticos tenien-  do como base del </w:t>
      </w:r>
      <w:r>
        <w:rPr>
          <w:color w:val="231F20"/>
          <w:spacing w:val="2"/>
        </w:rPr>
        <w:t>análisis </w:t>
      </w:r>
      <w:r>
        <w:rPr>
          <w:color w:val="231F20"/>
        </w:rPr>
        <w:t>la competitividad electoral como variable dependiente. En        la variable independiente se encuentra la capacidad financiera, prestación de servicios, alfabetización, participación, pobreza, población  </w:t>
      </w:r>
      <w:r>
        <w:rPr>
          <w:color w:val="231F20"/>
          <w:spacing w:val="26"/>
        </w:rPr>
        <w:t> </w:t>
      </w:r>
      <w:r>
        <w:rPr>
          <w:color w:val="231F20"/>
        </w:rPr>
        <w:t>indígena.</w:t>
      </w:r>
    </w:p>
    <w:p>
      <w:pPr>
        <w:pStyle w:val="BodyText"/>
        <w:spacing w:before="1"/>
        <w:rPr>
          <w:sz w:val="26"/>
        </w:rPr>
      </w:pPr>
    </w:p>
    <w:p>
      <w:pPr>
        <w:pStyle w:val="BodyText"/>
        <w:spacing w:line="285" w:lineRule="auto"/>
        <w:ind w:left="110" w:right="108"/>
        <w:jc w:val="both"/>
      </w:pPr>
      <w:r>
        <w:rPr>
          <w:color w:val="231F20"/>
          <w:spacing w:val="-5"/>
          <w:w w:val="105"/>
        </w:rPr>
        <w:t>Una</w:t>
      </w:r>
      <w:r>
        <w:rPr>
          <w:color w:val="231F20"/>
          <w:spacing w:val="-13"/>
          <w:w w:val="105"/>
        </w:rPr>
        <w:t> </w:t>
      </w:r>
      <w:r>
        <w:rPr>
          <w:color w:val="231F20"/>
          <w:spacing w:val="-4"/>
          <w:w w:val="105"/>
        </w:rPr>
        <w:t>red</w:t>
      </w:r>
      <w:r>
        <w:rPr>
          <w:color w:val="231F20"/>
          <w:spacing w:val="-13"/>
          <w:w w:val="105"/>
        </w:rPr>
        <w:t> </w:t>
      </w:r>
      <w:r>
        <w:rPr>
          <w:color w:val="231F20"/>
          <w:spacing w:val="-4"/>
          <w:w w:val="105"/>
        </w:rPr>
        <w:t>de</w:t>
      </w:r>
      <w:r>
        <w:rPr>
          <w:color w:val="231F20"/>
          <w:spacing w:val="-13"/>
          <w:w w:val="105"/>
        </w:rPr>
        <w:t> </w:t>
      </w:r>
      <w:r>
        <w:rPr>
          <w:color w:val="231F20"/>
          <w:spacing w:val="-6"/>
          <w:w w:val="105"/>
        </w:rPr>
        <w:t>investigadores</w:t>
      </w:r>
      <w:r>
        <w:rPr>
          <w:color w:val="231F20"/>
          <w:spacing w:val="-13"/>
          <w:w w:val="105"/>
        </w:rPr>
        <w:t> </w:t>
      </w:r>
      <w:r>
        <w:rPr>
          <w:color w:val="231F20"/>
          <w:spacing w:val="-6"/>
          <w:w w:val="105"/>
        </w:rPr>
        <w:t>sobre</w:t>
      </w:r>
      <w:r>
        <w:rPr>
          <w:color w:val="231F20"/>
          <w:spacing w:val="-13"/>
          <w:w w:val="105"/>
        </w:rPr>
        <w:t> </w:t>
      </w:r>
      <w:r>
        <w:rPr>
          <w:color w:val="231F20"/>
          <w:spacing w:val="-6"/>
          <w:w w:val="105"/>
        </w:rPr>
        <w:t>gobiernos</w:t>
      </w:r>
      <w:r>
        <w:rPr>
          <w:color w:val="231F20"/>
          <w:spacing w:val="-13"/>
          <w:w w:val="105"/>
        </w:rPr>
        <w:t> </w:t>
      </w:r>
      <w:r>
        <w:rPr>
          <w:color w:val="231F20"/>
          <w:spacing w:val="-4"/>
          <w:w w:val="105"/>
        </w:rPr>
        <w:t>locales</w:t>
      </w:r>
      <w:r>
        <w:rPr>
          <w:color w:val="231F20"/>
          <w:spacing w:val="-13"/>
          <w:w w:val="105"/>
        </w:rPr>
        <w:t> </w:t>
      </w:r>
      <w:r>
        <w:rPr>
          <w:color w:val="231F20"/>
          <w:spacing w:val="-4"/>
          <w:w w:val="105"/>
        </w:rPr>
        <w:t>que</w:t>
      </w:r>
      <w:r>
        <w:rPr>
          <w:color w:val="231F20"/>
          <w:spacing w:val="-13"/>
          <w:w w:val="105"/>
        </w:rPr>
        <w:t> </w:t>
      </w:r>
      <w:r>
        <w:rPr>
          <w:color w:val="231F20"/>
          <w:spacing w:val="-5"/>
          <w:w w:val="105"/>
        </w:rPr>
        <w:t>conforman</w:t>
      </w:r>
      <w:r>
        <w:rPr>
          <w:color w:val="231F20"/>
          <w:spacing w:val="-13"/>
          <w:w w:val="105"/>
        </w:rPr>
        <w:t> </w:t>
      </w:r>
      <w:r>
        <w:rPr>
          <w:color w:val="231F20"/>
          <w:spacing w:val="-3"/>
          <w:w w:val="105"/>
        </w:rPr>
        <w:t>Alicia</w:t>
      </w:r>
      <w:r>
        <w:rPr>
          <w:color w:val="231F20"/>
          <w:spacing w:val="-13"/>
          <w:w w:val="105"/>
        </w:rPr>
        <w:t> </w:t>
      </w:r>
      <w:r>
        <w:rPr>
          <w:color w:val="231F20"/>
          <w:spacing w:val="-4"/>
          <w:w w:val="105"/>
        </w:rPr>
        <w:t>Ziccardi,</w:t>
      </w:r>
      <w:r>
        <w:rPr>
          <w:color w:val="231F20"/>
          <w:spacing w:val="-13"/>
          <w:w w:val="105"/>
        </w:rPr>
        <w:t> </w:t>
      </w:r>
      <w:r>
        <w:rPr>
          <w:color w:val="231F20"/>
          <w:spacing w:val="-5"/>
          <w:w w:val="105"/>
        </w:rPr>
        <w:t>Gustavo </w:t>
      </w:r>
      <w:r>
        <w:rPr>
          <w:color w:val="231F20"/>
          <w:spacing w:val="-4"/>
          <w:w w:val="105"/>
        </w:rPr>
        <w:t>de</w:t>
      </w:r>
      <w:r>
        <w:rPr>
          <w:color w:val="231F20"/>
          <w:spacing w:val="-9"/>
          <w:w w:val="105"/>
        </w:rPr>
        <w:t> </w:t>
      </w:r>
      <w:r>
        <w:rPr>
          <w:color w:val="231F20"/>
          <w:w w:val="105"/>
        </w:rPr>
        <w:t>la</w:t>
      </w:r>
      <w:r>
        <w:rPr>
          <w:color w:val="231F20"/>
          <w:spacing w:val="-9"/>
          <w:w w:val="105"/>
        </w:rPr>
        <w:t> </w:t>
      </w:r>
      <w:r>
        <w:rPr>
          <w:color w:val="231F20"/>
          <w:spacing w:val="-4"/>
          <w:w w:val="105"/>
        </w:rPr>
        <w:t>Garza,</w:t>
      </w:r>
      <w:r>
        <w:rPr>
          <w:color w:val="231F20"/>
          <w:spacing w:val="-9"/>
          <w:w w:val="105"/>
        </w:rPr>
        <w:t> </w:t>
      </w:r>
      <w:r>
        <w:rPr>
          <w:color w:val="231F20"/>
          <w:spacing w:val="-4"/>
          <w:w w:val="105"/>
        </w:rPr>
        <w:t>Juan</w:t>
      </w:r>
      <w:r>
        <w:rPr>
          <w:color w:val="231F20"/>
          <w:spacing w:val="-9"/>
          <w:w w:val="105"/>
        </w:rPr>
        <w:t> </w:t>
      </w:r>
      <w:r>
        <w:rPr>
          <w:color w:val="231F20"/>
          <w:spacing w:val="-5"/>
          <w:w w:val="105"/>
        </w:rPr>
        <w:t>Manuel</w:t>
      </w:r>
      <w:r>
        <w:rPr>
          <w:color w:val="231F20"/>
          <w:spacing w:val="-9"/>
          <w:w w:val="105"/>
        </w:rPr>
        <w:t> </w:t>
      </w:r>
      <w:r>
        <w:rPr>
          <w:color w:val="231F20"/>
          <w:spacing w:val="-4"/>
          <w:w w:val="105"/>
        </w:rPr>
        <w:t>Ramírez,</w:t>
      </w:r>
      <w:r>
        <w:rPr>
          <w:color w:val="231F20"/>
          <w:spacing w:val="-9"/>
          <w:w w:val="105"/>
        </w:rPr>
        <w:t> </w:t>
      </w:r>
      <w:r>
        <w:rPr>
          <w:color w:val="231F20"/>
          <w:spacing w:val="-8"/>
          <w:w w:val="105"/>
        </w:rPr>
        <w:t>Tonatiuh</w:t>
      </w:r>
      <w:r>
        <w:rPr>
          <w:color w:val="231F20"/>
          <w:spacing w:val="-9"/>
          <w:w w:val="105"/>
        </w:rPr>
        <w:t> </w:t>
      </w:r>
      <w:r>
        <w:rPr>
          <w:color w:val="231F20"/>
          <w:spacing w:val="-4"/>
          <w:w w:val="105"/>
        </w:rPr>
        <w:t>Guillén,</w:t>
      </w:r>
      <w:r>
        <w:rPr>
          <w:color w:val="231F20"/>
          <w:spacing w:val="-9"/>
          <w:w w:val="105"/>
        </w:rPr>
        <w:t> </w:t>
      </w:r>
      <w:r>
        <w:rPr>
          <w:color w:val="231F20"/>
          <w:spacing w:val="-5"/>
          <w:w w:val="105"/>
        </w:rPr>
        <w:t>Enrique</w:t>
      </w:r>
      <w:r>
        <w:rPr>
          <w:color w:val="231F20"/>
          <w:spacing w:val="-9"/>
          <w:w w:val="105"/>
        </w:rPr>
        <w:t> </w:t>
      </w:r>
      <w:r>
        <w:rPr>
          <w:color w:val="231F20"/>
          <w:spacing w:val="-6"/>
          <w:w w:val="105"/>
        </w:rPr>
        <w:t>Cabrero,</w:t>
      </w:r>
      <w:r>
        <w:rPr>
          <w:color w:val="231F20"/>
          <w:spacing w:val="-9"/>
          <w:w w:val="105"/>
        </w:rPr>
        <w:t> </w:t>
      </w:r>
      <w:r>
        <w:rPr>
          <w:color w:val="231F20"/>
          <w:spacing w:val="-5"/>
          <w:w w:val="105"/>
        </w:rPr>
        <w:t>Socorro</w:t>
      </w:r>
      <w:r>
        <w:rPr>
          <w:color w:val="231F20"/>
          <w:spacing w:val="-9"/>
          <w:w w:val="105"/>
        </w:rPr>
        <w:t> </w:t>
      </w:r>
      <w:r>
        <w:rPr>
          <w:color w:val="231F20"/>
          <w:spacing w:val="-3"/>
          <w:w w:val="105"/>
        </w:rPr>
        <w:t>Arzaluz</w:t>
      </w:r>
      <w:r>
        <w:rPr>
          <w:color w:val="231F20"/>
          <w:spacing w:val="-9"/>
          <w:w w:val="105"/>
        </w:rPr>
        <w:t> </w:t>
      </w:r>
      <w:r>
        <w:rPr>
          <w:color w:val="231F20"/>
          <w:w w:val="105"/>
        </w:rPr>
        <w:t>y </w:t>
      </w:r>
      <w:r>
        <w:rPr>
          <w:color w:val="231F20"/>
          <w:spacing w:val="-5"/>
          <w:w w:val="105"/>
        </w:rPr>
        <w:t>otros,</w:t>
      </w:r>
      <w:r>
        <w:rPr>
          <w:color w:val="231F20"/>
          <w:spacing w:val="-26"/>
          <w:w w:val="105"/>
        </w:rPr>
        <w:t> </w:t>
      </w:r>
      <w:r>
        <w:rPr>
          <w:color w:val="231F20"/>
          <w:spacing w:val="-4"/>
          <w:w w:val="105"/>
        </w:rPr>
        <w:t>estudian</w:t>
      </w:r>
      <w:r>
        <w:rPr>
          <w:color w:val="231F20"/>
          <w:spacing w:val="-26"/>
          <w:w w:val="105"/>
        </w:rPr>
        <w:t> </w:t>
      </w:r>
      <w:r>
        <w:rPr>
          <w:color w:val="231F20"/>
          <w:w w:val="105"/>
        </w:rPr>
        <w:t>a</w:t>
      </w:r>
      <w:r>
        <w:rPr>
          <w:color w:val="231F20"/>
          <w:spacing w:val="-26"/>
          <w:w w:val="105"/>
        </w:rPr>
        <w:t> </w:t>
      </w:r>
      <w:r>
        <w:rPr>
          <w:color w:val="231F20"/>
          <w:spacing w:val="-5"/>
          <w:w w:val="105"/>
        </w:rPr>
        <w:t>los</w:t>
      </w:r>
      <w:r>
        <w:rPr>
          <w:color w:val="231F20"/>
          <w:spacing w:val="-26"/>
          <w:w w:val="105"/>
        </w:rPr>
        <w:t> </w:t>
      </w:r>
      <w:r>
        <w:rPr>
          <w:color w:val="231F20"/>
          <w:spacing w:val="-6"/>
          <w:w w:val="105"/>
        </w:rPr>
        <w:t>gobiernos</w:t>
      </w:r>
      <w:r>
        <w:rPr>
          <w:color w:val="231F20"/>
          <w:spacing w:val="-26"/>
          <w:w w:val="105"/>
        </w:rPr>
        <w:t> </w:t>
      </w:r>
      <w:r>
        <w:rPr>
          <w:color w:val="231F20"/>
          <w:spacing w:val="-4"/>
          <w:w w:val="105"/>
        </w:rPr>
        <w:t>locales</w:t>
      </w:r>
      <w:r>
        <w:rPr>
          <w:color w:val="231F20"/>
          <w:spacing w:val="-26"/>
          <w:w w:val="105"/>
        </w:rPr>
        <w:t> </w:t>
      </w:r>
      <w:r>
        <w:rPr>
          <w:color w:val="231F20"/>
          <w:spacing w:val="-5"/>
          <w:w w:val="105"/>
        </w:rPr>
        <w:t>pero</w:t>
      </w:r>
      <w:r>
        <w:rPr>
          <w:color w:val="231F20"/>
          <w:spacing w:val="-26"/>
          <w:w w:val="105"/>
        </w:rPr>
        <w:t> </w:t>
      </w:r>
      <w:r>
        <w:rPr>
          <w:color w:val="231F20"/>
          <w:spacing w:val="-6"/>
          <w:w w:val="105"/>
        </w:rPr>
        <w:t>sobre</w:t>
      </w:r>
      <w:r>
        <w:rPr>
          <w:color w:val="231F20"/>
          <w:spacing w:val="-26"/>
          <w:w w:val="105"/>
        </w:rPr>
        <w:t> </w:t>
      </w:r>
      <w:r>
        <w:rPr>
          <w:color w:val="231F20"/>
          <w:spacing w:val="-5"/>
          <w:w w:val="105"/>
        </w:rPr>
        <w:t>todo</w:t>
      </w:r>
      <w:r>
        <w:rPr>
          <w:color w:val="231F20"/>
          <w:spacing w:val="-26"/>
          <w:w w:val="105"/>
        </w:rPr>
        <w:t> </w:t>
      </w:r>
      <w:r>
        <w:rPr>
          <w:color w:val="231F20"/>
          <w:w w:val="105"/>
        </w:rPr>
        <w:t>a</w:t>
      </w:r>
      <w:r>
        <w:rPr>
          <w:color w:val="231F20"/>
          <w:spacing w:val="-26"/>
          <w:w w:val="105"/>
        </w:rPr>
        <w:t> </w:t>
      </w:r>
      <w:r>
        <w:rPr>
          <w:color w:val="231F20"/>
          <w:spacing w:val="-5"/>
          <w:w w:val="105"/>
        </w:rPr>
        <w:t>los</w:t>
      </w:r>
      <w:r>
        <w:rPr>
          <w:color w:val="231F20"/>
          <w:spacing w:val="-26"/>
          <w:w w:val="105"/>
        </w:rPr>
        <w:t> </w:t>
      </w:r>
      <w:r>
        <w:rPr>
          <w:color w:val="231F20"/>
          <w:spacing w:val="-5"/>
          <w:w w:val="105"/>
        </w:rPr>
        <w:t>metropolitanos,</w:t>
      </w:r>
      <w:r>
        <w:rPr>
          <w:color w:val="231F20"/>
          <w:spacing w:val="-26"/>
          <w:w w:val="105"/>
        </w:rPr>
        <w:t> </w:t>
      </w:r>
      <w:r>
        <w:rPr>
          <w:color w:val="231F20"/>
          <w:spacing w:val="-6"/>
          <w:w w:val="105"/>
        </w:rPr>
        <w:t>como</w:t>
      </w:r>
      <w:r>
        <w:rPr>
          <w:color w:val="231F20"/>
          <w:spacing w:val="-26"/>
          <w:w w:val="105"/>
        </w:rPr>
        <w:t> </w:t>
      </w:r>
      <w:r>
        <w:rPr>
          <w:color w:val="231F20"/>
          <w:spacing w:val="-5"/>
          <w:w w:val="105"/>
        </w:rPr>
        <w:t>Guadalaja- </w:t>
      </w:r>
      <w:r>
        <w:rPr>
          <w:color w:val="231F20"/>
          <w:spacing w:val="-4"/>
          <w:w w:val="105"/>
        </w:rPr>
        <w:t>ra,</w:t>
      </w:r>
      <w:r>
        <w:rPr>
          <w:color w:val="231F20"/>
          <w:spacing w:val="-15"/>
          <w:w w:val="105"/>
        </w:rPr>
        <w:t> </w:t>
      </w:r>
      <w:r>
        <w:rPr>
          <w:color w:val="231F20"/>
          <w:spacing w:val="-8"/>
          <w:w w:val="105"/>
        </w:rPr>
        <w:t>Monterrey,</w:t>
      </w:r>
      <w:r>
        <w:rPr>
          <w:color w:val="231F20"/>
          <w:spacing w:val="-15"/>
          <w:w w:val="105"/>
        </w:rPr>
        <w:t> </w:t>
      </w:r>
      <w:r>
        <w:rPr>
          <w:color w:val="231F20"/>
          <w:spacing w:val="-6"/>
          <w:w w:val="105"/>
        </w:rPr>
        <w:t>ciudades</w:t>
      </w:r>
      <w:r>
        <w:rPr>
          <w:color w:val="231F20"/>
          <w:spacing w:val="-15"/>
          <w:w w:val="105"/>
        </w:rPr>
        <w:t> </w:t>
      </w:r>
      <w:r>
        <w:rPr>
          <w:color w:val="231F20"/>
          <w:spacing w:val="-4"/>
          <w:w w:val="105"/>
        </w:rPr>
        <w:t>de</w:t>
      </w:r>
      <w:r>
        <w:rPr>
          <w:color w:val="231F20"/>
          <w:spacing w:val="-15"/>
          <w:w w:val="105"/>
        </w:rPr>
        <w:t> </w:t>
      </w:r>
      <w:r>
        <w:rPr>
          <w:color w:val="231F20"/>
          <w:w w:val="105"/>
        </w:rPr>
        <w:t>la</w:t>
      </w:r>
      <w:r>
        <w:rPr>
          <w:color w:val="231F20"/>
          <w:spacing w:val="-15"/>
          <w:w w:val="105"/>
        </w:rPr>
        <w:t> </w:t>
      </w:r>
      <w:r>
        <w:rPr>
          <w:color w:val="231F20"/>
          <w:spacing w:val="-6"/>
          <w:w w:val="105"/>
        </w:rPr>
        <w:t>frontera</w:t>
      </w:r>
      <w:r>
        <w:rPr>
          <w:color w:val="231F20"/>
          <w:spacing w:val="-15"/>
          <w:w w:val="105"/>
        </w:rPr>
        <w:t> </w:t>
      </w:r>
      <w:r>
        <w:rPr>
          <w:color w:val="231F20"/>
          <w:spacing w:val="-5"/>
          <w:w w:val="105"/>
        </w:rPr>
        <w:t>norte,</w:t>
      </w:r>
      <w:r>
        <w:rPr>
          <w:color w:val="231F20"/>
          <w:spacing w:val="-15"/>
          <w:w w:val="105"/>
        </w:rPr>
        <w:t> </w:t>
      </w:r>
      <w:r>
        <w:rPr>
          <w:color w:val="231F20"/>
          <w:w w:val="105"/>
        </w:rPr>
        <w:t>la</w:t>
      </w:r>
      <w:r>
        <w:rPr>
          <w:color w:val="231F20"/>
          <w:spacing w:val="-15"/>
          <w:w w:val="105"/>
        </w:rPr>
        <w:t> </w:t>
      </w:r>
      <w:r>
        <w:rPr>
          <w:color w:val="231F20"/>
          <w:spacing w:val="-4"/>
          <w:w w:val="105"/>
        </w:rPr>
        <w:t>zona</w:t>
      </w:r>
      <w:r>
        <w:rPr>
          <w:color w:val="231F20"/>
          <w:spacing w:val="-15"/>
          <w:w w:val="105"/>
        </w:rPr>
        <w:t> </w:t>
      </w:r>
      <w:r>
        <w:rPr>
          <w:color w:val="231F20"/>
          <w:spacing w:val="-5"/>
          <w:w w:val="105"/>
        </w:rPr>
        <w:t>metropolitana</w:t>
      </w:r>
      <w:r>
        <w:rPr>
          <w:color w:val="231F20"/>
          <w:spacing w:val="-15"/>
          <w:w w:val="105"/>
        </w:rPr>
        <w:t> </w:t>
      </w:r>
      <w:r>
        <w:rPr>
          <w:color w:val="231F20"/>
          <w:spacing w:val="-4"/>
          <w:w w:val="105"/>
        </w:rPr>
        <w:t>de</w:t>
      </w:r>
      <w:r>
        <w:rPr>
          <w:color w:val="231F20"/>
          <w:spacing w:val="-15"/>
          <w:w w:val="105"/>
        </w:rPr>
        <w:t> </w:t>
      </w:r>
      <w:r>
        <w:rPr>
          <w:color w:val="231F20"/>
          <w:w w:val="105"/>
        </w:rPr>
        <w:t>la</w:t>
      </w:r>
      <w:r>
        <w:rPr>
          <w:color w:val="231F20"/>
          <w:spacing w:val="-15"/>
          <w:w w:val="105"/>
        </w:rPr>
        <w:t> </w:t>
      </w:r>
      <w:r>
        <w:rPr>
          <w:color w:val="231F20"/>
          <w:spacing w:val="-6"/>
          <w:w w:val="105"/>
        </w:rPr>
        <w:t>ciudad</w:t>
      </w:r>
      <w:r>
        <w:rPr>
          <w:color w:val="231F20"/>
          <w:spacing w:val="-15"/>
          <w:w w:val="105"/>
        </w:rPr>
        <w:t> </w:t>
      </w:r>
      <w:r>
        <w:rPr>
          <w:color w:val="231F20"/>
          <w:spacing w:val="-4"/>
          <w:w w:val="105"/>
        </w:rPr>
        <w:t>de</w:t>
      </w:r>
      <w:r>
        <w:rPr>
          <w:color w:val="231F20"/>
          <w:spacing w:val="-15"/>
          <w:w w:val="105"/>
        </w:rPr>
        <w:t> </w:t>
      </w:r>
      <w:r>
        <w:rPr>
          <w:color w:val="231F20"/>
          <w:spacing w:val="-6"/>
          <w:w w:val="105"/>
        </w:rPr>
        <w:t>México.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nivel</w:t>
      </w:r>
      <w:r>
        <w:rPr>
          <w:color w:val="231F20"/>
          <w:spacing w:val="-3"/>
          <w:w w:val="105"/>
        </w:rPr>
        <w:t> </w:t>
      </w:r>
      <w:r>
        <w:rPr>
          <w:color w:val="231F20"/>
          <w:w w:val="105"/>
        </w:rPr>
        <w:t>federal</w:t>
      </w:r>
      <w:r>
        <w:rPr>
          <w:color w:val="231F20"/>
          <w:spacing w:val="-3"/>
          <w:w w:val="105"/>
        </w:rPr>
        <w:t> </w:t>
      </w:r>
      <w:r>
        <w:rPr>
          <w:color w:val="231F20"/>
          <w:w w:val="105"/>
        </w:rPr>
        <w:t>se</w:t>
      </w:r>
      <w:r>
        <w:rPr>
          <w:color w:val="231F20"/>
          <w:spacing w:val="-3"/>
          <w:w w:val="105"/>
        </w:rPr>
        <w:t> </w:t>
      </w:r>
      <w:r>
        <w:rPr>
          <w:color w:val="231F20"/>
          <w:w w:val="105"/>
        </w:rPr>
        <w:t>ha</w:t>
      </w:r>
      <w:r>
        <w:rPr>
          <w:color w:val="231F20"/>
          <w:spacing w:val="-3"/>
          <w:w w:val="105"/>
        </w:rPr>
        <w:t> </w:t>
      </w:r>
      <w:r>
        <w:rPr>
          <w:color w:val="231F20"/>
          <w:w w:val="105"/>
        </w:rPr>
        <w:t>constituido</w:t>
      </w:r>
      <w:r>
        <w:rPr>
          <w:color w:val="231F20"/>
          <w:spacing w:val="-3"/>
          <w:w w:val="105"/>
        </w:rPr>
        <w:t> </w:t>
      </w:r>
      <w:r>
        <w:rPr>
          <w:color w:val="231F20"/>
          <w:w w:val="105"/>
        </w:rPr>
        <w:t>por</w:t>
      </w:r>
      <w:r>
        <w:rPr>
          <w:color w:val="231F20"/>
          <w:spacing w:val="-3"/>
          <w:w w:val="105"/>
        </w:rPr>
        <w:t> </w:t>
      </w:r>
      <w:r>
        <w:rPr>
          <w:color w:val="231F20"/>
          <w:w w:val="105"/>
        </w:rPr>
        <w:t>ley</w:t>
      </w:r>
      <w:r>
        <w:rPr>
          <w:color w:val="231F20"/>
          <w:spacing w:val="-3"/>
          <w:w w:val="105"/>
        </w:rPr>
        <w:t> </w:t>
      </w:r>
      <w:r>
        <w:rPr>
          <w:color w:val="231F20"/>
          <w:w w:val="105"/>
        </w:rPr>
        <w:t>el</w:t>
      </w:r>
      <w:r>
        <w:rPr>
          <w:color w:val="231F20"/>
          <w:spacing w:val="-3"/>
          <w:w w:val="105"/>
        </w:rPr>
        <w:t> </w:t>
      </w:r>
      <w:r>
        <w:rPr>
          <w:color w:val="231F20"/>
          <w:w w:val="105"/>
        </w:rPr>
        <w:t>Sistema</w:t>
      </w:r>
      <w:r>
        <w:rPr>
          <w:color w:val="231F20"/>
          <w:spacing w:val="-3"/>
          <w:w w:val="105"/>
        </w:rPr>
        <w:t> </w:t>
      </w:r>
      <w:r>
        <w:rPr>
          <w:color w:val="231F20"/>
          <w:w w:val="105"/>
        </w:rPr>
        <w:t>de</w:t>
      </w:r>
      <w:r>
        <w:rPr>
          <w:color w:val="231F20"/>
          <w:spacing w:val="-3"/>
          <w:w w:val="105"/>
        </w:rPr>
        <w:t> </w:t>
      </w:r>
      <w:r>
        <w:rPr>
          <w:color w:val="231F20"/>
          <w:w w:val="105"/>
        </w:rPr>
        <w:t>Evaluación</w:t>
      </w:r>
      <w:r>
        <w:rPr>
          <w:color w:val="231F20"/>
          <w:spacing w:val="-3"/>
          <w:w w:val="105"/>
        </w:rPr>
        <w:t> </w:t>
      </w:r>
      <w:r>
        <w:rPr>
          <w:color w:val="231F20"/>
          <w:w w:val="105"/>
        </w:rPr>
        <w:t>del</w:t>
      </w:r>
      <w:r>
        <w:rPr>
          <w:color w:val="231F20"/>
          <w:spacing w:val="-3"/>
          <w:w w:val="105"/>
        </w:rPr>
        <w:t> </w:t>
      </w:r>
      <w:r>
        <w:rPr>
          <w:color w:val="231F20"/>
          <w:w w:val="105"/>
        </w:rPr>
        <w:t>Desempeño, un</w:t>
      </w:r>
      <w:r>
        <w:rPr>
          <w:color w:val="231F20"/>
          <w:spacing w:val="-11"/>
          <w:w w:val="105"/>
        </w:rPr>
        <w:t> </w:t>
      </w:r>
      <w:r>
        <w:rPr>
          <w:color w:val="231F20"/>
          <w:w w:val="105"/>
        </w:rPr>
        <w:t>buen</w:t>
      </w:r>
      <w:r>
        <w:rPr>
          <w:color w:val="231F20"/>
          <w:spacing w:val="-11"/>
          <w:w w:val="105"/>
        </w:rPr>
        <w:t> </w:t>
      </w:r>
      <w:r>
        <w:rPr>
          <w:color w:val="231F20"/>
          <w:w w:val="105"/>
        </w:rPr>
        <w:t>intento</w:t>
      </w:r>
      <w:r>
        <w:rPr>
          <w:color w:val="231F20"/>
          <w:spacing w:val="-11"/>
          <w:w w:val="105"/>
        </w:rPr>
        <w:t> </w:t>
      </w:r>
      <w:r>
        <w:rPr>
          <w:color w:val="231F20"/>
          <w:w w:val="105"/>
        </w:rPr>
        <w:t>por</w:t>
      </w:r>
      <w:r>
        <w:rPr>
          <w:color w:val="231F20"/>
          <w:spacing w:val="-11"/>
          <w:w w:val="105"/>
        </w:rPr>
        <w:t> </w:t>
      </w:r>
      <w:r>
        <w:rPr>
          <w:color w:val="231F20"/>
          <w:w w:val="105"/>
        </w:rPr>
        <w:t>trabajar</w:t>
      </w:r>
      <w:r>
        <w:rPr>
          <w:color w:val="231F20"/>
          <w:spacing w:val="-11"/>
          <w:w w:val="105"/>
        </w:rPr>
        <w:t> </w:t>
      </w:r>
      <w:r>
        <w:rPr>
          <w:color w:val="231F20"/>
          <w:w w:val="105"/>
        </w:rPr>
        <w:t>con</w:t>
      </w:r>
      <w:r>
        <w:rPr>
          <w:color w:val="231F20"/>
          <w:spacing w:val="-11"/>
          <w:w w:val="105"/>
        </w:rPr>
        <w:t> </w:t>
      </w:r>
      <w:r>
        <w:rPr>
          <w:color w:val="231F20"/>
          <w:w w:val="105"/>
        </w:rPr>
        <w:t>mediciones</w:t>
      </w:r>
      <w:r>
        <w:rPr>
          <w:color w:val="231F20"/>
          <w:spacing w:val="-11"/>
          <w:w w:val="105"/>
        </w:rPr>
        <w:t> </w:t>
      </w:r>
      <w:r>
        <w:rPr>
          <w:color w:val="231F20"/>
          <w:w w:val="105"/>
        </w:rPr>
        <w:t>que</w:t>
      </w:r>
      <w:r>
        <w:rPr>
          <w:color w:val="231F20"/>
          <w:spacing w:val="-11"/>
          <w:w w:val="105"/>
        </w:rPr>
        <w:t> </w:t>
      </w:r>
      <w:r>
        <w:rPr>
          <w:color w:val="231F20"/>
          <w:w w:val="105"/>
        </w:rPr>
        <w:t>garanticen</w:t>
      </w:r>
      <w:r>
        <w:rPr>
          <w:color w:val="231F20"/>
          <w:spacing w:val="-11"/>
          <w:w w:val="105"/>
        </w:rPr>
        <w:t> </w:t>
      </w:r>
      <w:r>
        <w:rPr>
          <w:color w:val="231F20"/>
          <w:w w:val="105"/>
        </w:rPr>
        <w:t>la</w:t>
      </w:r>
      <w:r>
        <w:rPr>
          <w:color w:val="231F20"/>
          <w:spacing w:val="-11"/>
          <w:w w:val="105"/>
        </w:rPr>
        <w:t> </w:t>
      </w:r>
      <w:r>
        <w:rPr>
          <w:color w:val="231F20"/>
          <w:w w:val="105"/>
        </w:rPr>
        <w:t>certeza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ejercicio</w:t>
      </w:r>
      <w:r>
        <w:rPr>
          <w:color w:val="231F20"/>
          <w:spacing w:val="-11"/>
          <w:w w:val="105"/>
        </w:rPr>
        <w:t> </w:t>
      </w:r>
      <w:r>
        <w:rPr>
          <w:color w:val="231F20"/>
          <w:w w:val="105"/>
        </w:rPr>
        <w:t>de la</w:t>
      </w:r>
      <w:r>
        <w:rPr>
          <w:color w:val="231F20"/>
          <w:spacing w:val="-10"/>
          <w:w w:val="105"/>
        </w:rPr>
        <w:t> </w:t>
      </w:r>
      <w:r>
        <w:rPr>
          <w:color w:val="231F20"/>
          <w:w w:val="105"/>
        </w:rPr>
        <w:t>función</w:t>
      </w:r>
      <w:r>
        <w:rPr>
          <w:color w:val="231F20"/>
          <w:spacing w:val="-10"/>
          <w:w w:val="105"/>
        </w:rPr>
        <w:t> </w:t>
      </w:r>
      <w:r>
        <w:rPr>
          <w:color w:val="231F20"/>
          <w:w w:val="105"/>
        </w:rPr>
        <w:t>pública.</w:t>
      </w:r>
      <w:r>
        <w:rPr>
          <w:color w:val="231F20"/>
          <w:spacing w:val="-10"/>
          <w:w w:val="105"/>
        </w:rPr>
        <w:t> </w:t>
      </w:r>
      <w:r>
        <w:rPr>
          <w:color w:val="231F20"/>
          <w:w w:val="105"/>
        </w:rPr>
        <w:t>La</w:t>
      </w:r>
      <w:r>
        <w:rPr>
          <w:color w:val="231F20"/>
          <w:spacing w:val="-10"/>
          <w:w w:val="105"/>
        </w:rPr>
        <w:t> </w:t>
      </w:r>
      <w:r>
        <w:rPr>
          <w:color w:val="231F20"/>
          <w:w w:val="105"/>
        </w:rPr>
        <w:t>propuesta</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sistema</w:t>
      </w:r>
      <w:r>
        <w:rPr>
          <w:color w:val="231F20"/>
          <w:spacing w:val="-10"/>
          <w:w w:val="105"/>
        </w:rPr>
        <w:t> </w:t>
      </w:r>
      <w:r>
        <w:rPr>
          <w:color w:val="231F20"/>
          <w:w w:val="105"/>
        </w:rPr>
        <w:t>son</w:t>
      </w:r>
      <w:r>
        <w:rPr>
          <w:color w:val="231F20"/>
          <w:spacing w:val="-10"/>
          <w:w w:val="105"/>
        </w:rPr>
        <w:t> </w:t>
      </w:r>
      <w:r>
        <w:rPr>
          <w:color w:val="231F20"/>
          <w:w w:val="105"/>
        </w:rPr>
        <w:t>bastante</w:t>
      </w:r>
      <w:r>
        <w:rPr>
          <w:color w:val="231F20"/>
          <w:spacing w:val="-10"/>
          <w:w w:val="105"/>
        </w:rPr>
        <w:t> </w:t>
      </w:r>
      <w:r>
        <w:rPr>
          <w:color w:val="231F20"/>
          <w:w w:val="105"/>
        </w:rPr>
        <w:t>sólidos,</w:t>
      </w:r>
      <w:r>
        <w:rPr>
          <w:color w:val="231F20"/>
          <w:spacing w:val="-10"/>
          <w:w w:val="105"/>
        </w:rPr>
        <w:t> </w:t>
      </w:r>
      <w:r>
        <w:rPr>
          <w:color w:val="231F20"/>
          <w:w w:val="105"/>
        </w:rPr>
        <w:t>desafortunadamente sólo</w:t>
      </w:r>
      <w:r>
        <w:rPr>
          <w:color w:val="231F20"/>
          <w:spacing w:val="-18"/>
          <w:w w:val="105"/>
        </w:rPr>
        <w:t> </w:t>
      </w:r>
      <w:r>
        <w:rPr>
          <w:color w:val="231F20"/>
          <w:w w:val="105"/>
        </w:rPr>
        <w:t>se</w:t>
      </w:r>
      <w:r>
        <w:rPr>
          <w:color w:val="231F20"/>
          <w:spacing w:val="-18"/>
          <w:w w:val="105"/>
        </w:rPr>
        <w:t> </w:t>
      </w:r>
      <w:r>
        <w:rPr>
          <w:color w:val="231F20"/>
          <w:w w:val="105"/>
        </w:rPr>
        <w:t>ha</w:t>
      </w:r>
      <w:r>
        <w:rPr>
          <w:color w:val="231F20"/>
          <w:spacing w:val="-18"/>
          <w:w w:val="105"/>
        </w:rPr>
        <w:t> </w:t>
      </w:r>
      <w:r>
        <w:rPr>
          <w:color w:val="231F20"/>
          <w:w w:val="105"/>
        </w:rPr>
        <w:t>quedado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plano</w:t>
      </w:r>
      <w:r>
        <w:rPr>
          <w:color w:val="231F20"/>
          <w:spacing w:val="-18"/>
          <w:w w:val="105"/>
        </w:rPr>
        <w:t> </w:t>
      </w:r>
      <w:r>
        <w:rPr>
          <w:color w:val="231F20"/>
          <w:w w:val="105"/>
        </w:rPr>
        <w:t>federal</w:t>
      </w:r>
      <w:r>
        <w:rPr>
          <w:color w:val="231F20"/>
          <w:spacing w:val="-18"/>
          <w:w w:val="105"/>
        </w:rPr>
        <w:t> </w:t>
      </w:r>
      <w:r>
        <w:rPr>
          <w:color w:val="231F20"/>
          <w:w w:val="105"/>
        </w:rPr>
        <w:t>y</w:t>
      </w:r>
      <w:r>
        <w:rPr>
          <w:color w:val="231F20"/>
          <w:spacing w:val="-18"/>
          <w:w w:val="105"/>
        </w:rPr>
        <w:t> </w:t>
      </w:r>
      <w:r>
        <w:rPr>
          <w:color w:val="231F20"/>
          <w:w w:val="105"/>
        </w:rPr>
        <w:t>no</w:t>
      </w:r>
      <w:r>
        <w:rPr>
          <w:color w:val="231F20"/>
          <w:spacing w:val="-18"/>
          <w:w w:val="105"/>
        </w:rPr>
        <w:t> </w:t>
      </w:r>
      <w:r>
        <w:rPr>
          <w:color w:val="231F20"/>
          <w:w w:val="105"/>
        </w:rPr>
        <w:t>ha</w:t>
      </w:r>
      <w:r>
        <w:rPr>
          <w:color w:val="231F20"/>
          <w:spacing w:val="-18"/>
          <w:w w:val="105"/>
        </w:rPr>
        <w:t> </w:t>
      </w:r>
      <w:r>
        <w:rPr>
          <w:color w:val="231F20"/>
          <w:w w:val="105"/>
        </w:rPr>
        <w:t>llegado</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gobiernos</w:t>
      </w:r>
      <w:r>
        <w:rPr>
          <w:color w:val="231F20"/>
          <w:spacing w:val="-18"/>
          <w:w w:val="105"/>
        </w:rPr>
        <w:t> </w:t>
      </w:r>
      <w:r>
        <w:rPr>
          <w:color w:val="231F20"/>
          <w:w w:val="105"/>
        </w:rPr>
        <w:t>locales.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los</w:t>
      </w:r>
      <w:r>
        <w:rPr>
          <w:color w:val="231F20"/>
          <w:spacing w:val="-9"/>
          <w:w w:val="105"/>
        </w:rPr>
        <w:t> </w:t>
      </w:r>
      <w:r>
        <w:rPr>
          <w:color w:val="231F20"/>
          <w:w w:val="105"/>
        </w:rPr>
        <w:t>mencionados</w:t>
      </w:r>
      <w:r>
        <w:rPr>
          <w:color w:val="231F20"/>
          <w:spacing w:val="-9"/>
          <w:w w:val="105"/>
        </w:rPr>
        <w:t> </w:t>
      </w:r>
      <w:r>
        <w:rPr>
          <w:color w:val="231F20"/>
          <w:spacing w:val="2"/>
          <w:w w:val="105"/>
        </w:rPr>
        <w:t>al</w:t>
      </w:r>
      <w:r>
        <w:rPr>
          <w:color w:val="231F20"/>
          <w:spacing w:val="-9"/>
          <w:w w:val="105"/>
        </w:rPr>
        <w:t> </w:t>
      </w:r>
      <w:r>
        <w:rPr>
          <w:color w:val="231F20"/>
          <w:w w:val="105"/>
        </w:rPr>
        <w:t>nivel</w:t>
      </w:r>
      <w:r>
        <w:rPr>
          <w:color w:val="231F20"/>
          <w:spacing w:val="-9"/>
          <w:w w:val="105"/>
        </w:rPr>
        <w:t> </w:t>
      </w:r>
      <w:r>
        <w:rPr>
          <w:color w:val="231F20"/>
          <w:w w:val="105"/>
        </w:rPr>
        <w:t>nacional,</w:t>
      </w:r>
      <w:r>
        <w:rPr>
          <w:color w:val="231F20"/>
          <w:spacing w:val="-9"/>
          <w:w w:val="105"/>
        </w:rPr>
        <w:t> </w:t>
      </w:r>
      <w:r>
        <w:rPr>
          <w:color w:val="231F20"/>
          <w:w w:val="105"/>
        </w:rPr>
        <w:t>también</w:t>
      </w:r>
      <w:r>
        <w:rPr>
          <w:color w:val="231F20"/>
          <w:spacing w:val="-9"/>
          <w:w w:val="105"/>
        </w:rPr>
        <w:t> </w:t>
      </w:r>
      <w:r>
        <w:rPr>
          <w:color w:val="231F20"/>
          <w:w w:val="105"/>
        </w:rPr>
        <w:t>existen</w:t>
      </w:r>
      <w:r>
        <w:rPr>
          <w:color w:val="231F20"/>
          <w:spacing w:val="-9"/>
          <w:w w:val="105"/>
        </w:rPr>
        <w:t> </w:t>
      </w:r>
      <w:r>
        <w:rPr>
          <w:color w:val="231F20"/>
          <w:w w:val="105"/>
        </w:rPr>
        <w:t>instituciones</w:t>
      </w:r>
      <w:r>
        <w:rPr>
          <w:color w:val="231F20"/>
          <w:spacing w:val="-9"/>
          <w:w w:val="105"/>
        </w:rPr>
        <w:t> </w:t>
      </w:r>
      <w:r>
        <w:rPr>
          <w:color w:val="231F20"/>
          <w:w w:val="105"/>
        </w:rPr>
        <w:t>e</w:t>
      </w:r>
      <w:r>
        <w:rPr>
          <w:color w:val="231F20"/>
          <w:spacing w:val="-9"/>
          <w:w w:val="105"/>
        </w:rPr>
        <w:t> </w:t>
      </w:r>
      <w:r>
        <w:rPr>
          <w:color w:val="231F20"/>
          <w:w w:val="105"/>
        </w:rPr>
        <w:t>investiga- dores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plano</w:t>
      </w:r>
      <w:r>
        <w:rPr>
          <w:color w:val="231F20"/>
          <w:spacing w:val="-7"/>
          <w:w w:val="105"/>
        </w:rPr>
        <w:t> </w:t>
      </w:r>
      <w:r>
        <w:rPr>
          <w:color w:val="231F20"/>
          <w:w w:val="105"/>
        </w:rPr>
        <w:t>internacional</w:t>
      </w:r>
      <w:r>
        <w:rPr>
          <w:color w:val="231F20"/>
          <w:spacing w:val="-7"/>
          <w:w w:val="105"/>
        </w:rPr>
        <w:t> </w:t>
      </w:r>
      <w:r>
        <w:rPr>
          <w:color w:val="231F20"/>
          <w:w w:val="105"/>
        </w:rPr>
        <w:t>que</w:t>
      </w:r>
      <w:r>
        <w:rPr>
          <w:color w:val="231F20"/>
          <w:spacing w:val="-7"/>
          <w:w w:val="105"/>
        </w:rPr>
        <w:t> </w:t>
      </w:r>
      <w:r>
        <w:rPr>
          <w:color w:val="231F20"/>
          <w:w w:val="105"/>
        </w:rPr>
        <w:t>tratan</w:t>
      </w:r>
      <w:r>
        <w:rPr>
          <w:color w:val="231F20"/>
          <w:spacing w:val="-7"/>
          <w:w w:val="105"/>
        </w:rPr>
        <w:t> </w:t>
      </w:r>
      <w:r>
        <w:rPr>
          <w:color w:val="231F20"/>
          <w:w w:val="105"/>
        </w:rPr>
        <w:t>de</w:t>
      </w:r>
      <w:r>
        <w:rPr>
          <w:color w:val="231F20"/>
          <w:spacing w:val="-7"/>
          <w:w w:val="105"/>
        </w:rPr>
        <w:t> </w:t>
      </w:r>
      <w:r>
        <w:rPr>
          <w:color w:val="231F20"/>
          <w:w w:val="105"/>
        </w:rPr>
        <w:t>medir</w:t>
      </w:r>
      <w:r>
        <w:rPr>
          <w:color w:val="231F20"/>
          <w:spacing w:val="-7"/>
          <w:w w:val="105"/>
        </w:rPr>
        <w:t> </w:t>
      </w:r>
      <w:r>
        <w:rPr>
          <w:color w:val="231F20"/>
          <w:w w:val="105"/>
        </w:rPr>
        <w:t>el</w:t>
      </w:r>
      <w:r>
        <w:rPr>
          <w:color w:val="231F20"/>
          <w:spacing w:val="-7"/>
          <w:w w:val="105"/>
        </w:rPr>
        <w:t> </w:t>
      </w:r>
      <w:r>
        <w:rPr>
          <w:color w:val="231F20"/>
          <w:w w:val="105"/>
        </w:rPr>
        <w:t>desempeño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gobiernos,</w:t>
      </w:r>
      <w:r>
        <w:rPr>
          <w:color w:val="231F20"/>
          <w:spacing w:val="-7"/>
          <w:w w:val="105"/>
        </w:rPr>
        <w:t> </w:t>
      </w:r>
      <w:r>
        <w:rPr>
          <w:color w:val="231F20"/>
          <w:w w:val="105"/>
        </w:rPr>
        <w:t>por </w:t>
      </w:r>
      <w:r>
        <w:rPr>
          <w:color w:val="231F20"/>
          <w:spacing w:val="-3"/>
          <w:w w:val="105"/>
        </w:rPr>
        <w:t>ejemplo:</w:t>
      </w:r>
      <w:r>
        <w:rPr>
          <w:color w:val="231F20"/>
          <w:spacing w:val="-29"/>
          <w:w w:val="105"/>
        </w:rPr>
        <w:t> </w:t>
      </w:r>
      <w:r>
        <w:rPr>
          <w:color w:val="231F20"/>
          <w:w w:val="105"/>
        </w:rPr>
        <w:t>Bussines</w:t>
      </w:r>
      <w:r>
        <w:rPr>
          <w:color w:val="231F20"/>
          <w:spacing w:val="-29"/>
          <w:w w:val="105"/>
        </w:rPr>
        <w:t> </w:t>
      </w:r>
      <w:r>
        <w:rPr>
          <w:color w:val="231F20"/>
          <w:w w:val="105"/>
        </w:rPr>
        <w:t>Environment</w:t>
      </w:r>
      <w:r>
        <w:rPr>
          <w:color w:val="231F20"/>
          <w:spacing w:val="-29"/>
          <w:w w:val="105"/>
        </w:rPr>
        <w:t> </w:t>
      </w:r>
      <w:r>
        <w:rPr>
          <w:color w:val="231F20"/>
          <w:w w:val="105"/>
        </w:rPr>
        <w:t>and</w:t>
      </w:r>
      <w:r>
        <w:rPr>
          <w:color w:val="231F20"/>
          <w:spacing w:val="-29"/>
          <w:w w:val="105"/>
        </w:rPr>
        <w:t> </w:t>
      </w:r>
      <w:r>
        <w:rPr>
          <w:color w:val="231F20"/>
          <w:w w:val="105"/>
        </w:rPr>
        <w:t>Enterprise,</w:t>
      </w:r>
      <w:r>
        <w:rPr>
          <w:color w:val="231F20"/>
          <w:spacing w:val="-29"/>
          <w:w w:val="105"/>
        </w:rPr>
        <w:t> </w:t>
      </w:r>
      <w:r>
        <w:rPr>
          <w:color w:val="231F20"/>
          <w:w w:val="105"/>
        </w:rPr>
        <w:t>Performance</w:t>
      </w:r>
      <w:r>
        <w:rPr>
          <w:color w:val="231F20"/>
          <w:spacing w:val="-29"/>
          <w:w w:val="105"/>
        </w:rPr>
        <w:t> </w:t>
      </w:r>
      <w:r>
        <w:rPr>
          <w:color w:val="231F20"/>
          <w:w w:val="105"/>
        </w:rPr>
        <w:t>Survey</w:t>
      </w:r>
      <w:r>
        <w:rPr>
          <w:color w:val="231F20"/>
          <w:spacing w:val="-29"/>
          <w:w w:val="105"/>
        </w:rPr>
        <w:t> </w:t>
      </w:r>
      <w:r>
        <w:rPr>
          <w:color w:val="231F20"/>
          <w:spacing w:val="-3"/>
          <w:w w:val="105"/>
        </w:rPr>
        <w:t>(BEEPS),</w:t>
      </w:r>
      <w:r>
        <w:rPr>
          <w:color w:val="231F20"/>
          <w:spacing w:val="-29"/>
          <w:w w:val="105"/>
        </w:rPr>
        <w:t> </w:t>
      </w:r>
      <w:r>
        <w:rPr>
          <w:color w:val="231F20"/>
          <w:w w:val="105"/>
        </w:rPr>
        <w:t>Bussines Environment Risk Intelligence, Comisión Económica para América Latina </w:t>
      </w:r>
      <w:r>
        <w:rPr>
          <w:color w:val="231F20"/>
          <w:spacing w:val="-5"/>
          <w:w w:val="105"/>
        </w:rPr>
        <w:t>(CEPAL), </w:t>
      </w:r>
      <w:r>
        <w:rPr>
          <w:color w:val="231F20"/>
          <w:w w:val="105"/>
        </w:rPr>
        <w:t>Country Policy and Institucional Assesment </w:t>
      </w:r>
      <w:r>
        <w:rPr>
          <w:color w:val="231F20"/>
          <w:spacing w:val="-4"/>
          <w:w w:val="105"/>
        </w:rPr>
        <w:t>(CPIA), </w:t>
      </w:r>
      <w:r>
        <w:rPr>
          <w:color w:val="231F20"/>
          <w:w w:val="105"/>
        </w:rPr>
        <w:t>European Bank </w:t>
      </w:r>
      <w:r>
        <w:rPr>
          <w:color w:val="231F20"/>
          <w:spacing w:val="-3"/>
          <w:w w:val="105"/>
        </w:rPr>
        <w:t>for </w:t>
      </w:r>
      <w:r>
        <w:rPr>
          <w:color w:val="231F20"/>
          <w:w w:val="105"/>
        </w:rPr>
        <w:t>Reconstruc- tion</w:t>
      </w:r>
      <w:r>
        <w:rPr>
          <w:color w:val="231F20"/>
          <w:spacing w:val="-7"/>
          <w:w w:val="105"/>
        </w:rPr>
        <w:t> </w:t>
      </w:r>
      <w:r>
        <w:rPr>
          <w:color w:val="231F20"/>
          <w:w w:val="105"/>
        </w:rPr>
        <w:t>and</w:t>
      </w:r>
      <w:r>
        <w:rPr>
          <w:color w:val="231F20"/>
          <w:spacing w:val="-7"/>
          <w:w w:val="105"/>
        </w:rPr>
        <w:t> </w:t>
      </w:r>
      <w:r>
        <w:rPr>
          <w:color w:val="231F20"/>
          <w:w w:val="105"/>
        </w:rPr>
        <w:t>Development,</w:t>
      </w:r>
      <w:r>
        <w:rPr>
          <w:color w:val="231F20"/>
          <w:spacing w:val="-7"/>
          <w:w w:val="105"/>
        </w:rPr>
        <w:t> </w:t>
      </w:r>
      <w:r>
        <w:rPr>
          <w:color w:val="231F20"/>
          <w:w w:val="105"/>
        </w:rPr>
        <w:t>Freedom</w:t>
      </w:r>
      <w:r>
        <w:rPr>
          <w:color w:val="231F20"/>
          <w:spacing w:val="-7"/>
          <w:w w:val="105"/>
        </w:rPr>
        <w:t> </w:t>
      </w:r>
      <w:r>
        <w:rPr>
          <w:color w:val="231F20"/>
          <w:w w:val="105"/>
        </w:rPr>
        <w:t>House,</w:t>
      </w:r>
      <w:r>
        <w:rPr>
          <w:color w:val="231F20"/>
          <w:spacing w:val="-7"/>
          <w:w w:val="105"/>
        </w:rPr>
        <w:t> </w:t>
      </w:r>
      <w:r>
        <w:rPr>
          <w:color w:val="231F20"/>
          <w:w w:val="105"/>
        </w:rPr>
        <w:t>Global</w:t>
      </w:r>
      <w:r>
        <w:rPr>
          <w:color w:val="231F20"/>
          <w:spacing w:val="-7"/>
          <w:w w:val="105"/>
        </w:rPr>
        <w:t> </w:t>
      </w:r>
      <w:r>
        <w:rPr>
          <w:color w:val="231F20"/>
          <w:w w:val="105"/>
        </w:rPr>
        <w:t>Insight’s</w:t>
      </w:r>
      <w:r>
        <w:rPr>
          <w:color w:val="231F20"/>
          <w:spacing w:val="-7"/>
          <w:w w:val="105"/>
        </w:rPr>
        <w:t> </w:t>
      </w:r>
      <w:r>
        <w:rPr>
          <w:color w:val="231F20"/>
          <w:w w:val="105"/>
        </w:rPr>
        <w:t>DRI/Mc</w:t>
      </w:r>
      <w:r>
        <w:rPr>
          <w:color w:val="231F20"/>
          <w:spacing w:val="-7"/>
          <w:w w:val="105"/>
        </w:rPr>
        <w:t> </w:t>
      </w:r>
      <w:r>
        <w:rPr>
          <w:color w:val="231F20"/>
          <w:w w:val="105"/>
        </w:rPr>
        <w:t>Graw</w:t>
      </w:r>
      <w:r>
        <w:rPr>
          <w:color w:val="231F20"/>
          <w:spacing w:val="-7"/>
          <w:w w:val="105"/>
        </w:rPr>
        <w:t> </w:t>
      </w:r>
      <w:r>
        <w:rPr>
          <w:color w:val="231F20"/>
          <w:w w:val="105"/>
        </w:rPr>
        <w:t>Hill,</w:t>
      </w:r>
      <w:r>
        <w:rPr>
          <w:color w:val="231F20"/>
          <w:spacing w:val="-7"/>
          <w:w w:val="105"/>
        </w:rPr>
        <w:t> </w:t>
      </w:r>
      <w:r>
        <w:rPr>
          <w:color w:val="231F20"/>
          <w:w w:val="105"/>
        </w:rPr>
        <w:t>Heritage Foundation,</w:t>
      </w:r>
      <w:r>
        <w:rPr>
          <w:color w:val="231F20"/>
          <w:spacing w:val="-6"/>
          <w:w w:val="105"/>
        </w:rPr>
        <w:t> </w:t>
      </w:r>
      <w:r>
        <w:rPr>
          <w:color w:val="231F20"/>
          <w:w w:val="105"/>
        </w:rPr>
        <w:t>Wall</w:t>
      </w:r>
      <w:r>
        <w:rPr>
          <w:color w:val="231F20"/>
          <w:spacing w:val="-6"/>
          <w:w w:val="105"/>
        </w:rPr>
        <w:t> </w:t>
      </w:r>
      <w:r>
        <w:rPr>
          <w:color w:val="231F20"/>
          <w:w w:val="105"/>
        </w:rPr>
        <w:t>Street</w:t>
      </w:r>
      <w:r>
        <w:rPr>
          <w:color w:val="231F20"/>
          <w:spacing w:val="-6"/>
          <w:w w:val="105"/>
        </w:rPr>
        <w:t> </w:t>
      </w:r>
      <w:r>
        <w:rPr>
          <w:color w:val="231F20"/>
          <w:w w:val="105"/>
        </w:rPr>
        <w:t>Journal,</w:t>
      </w:r>
      <w:r>
        <w:rPr>
          <w:color w:val="231F20"/>
          <w:spacing w:val="-6"/>
          <w:w w:val="105"/>
        </w:rPr>
        <w:t> </w:t>
      </w:r>
      <w:r>
        <w:rPr>
          <w:color w:val="231F20"/>
          <w:w w:val="105"/>
        </w:rPr>
        <w:t>Human</w:t>
      </w:r>
      <w:r>
        <w:rPr>
          <w:color w:val="231F20"/>
          <w:spacing w:val="-6"/>
          <w:w w:val="105"/>
        </w:rPr>
        <w:t> </w:t>
      </w:r>
      <w:r>
        <w:rPr>
          <w:color w:val="231F20"/>
          <w:w w:val="105"/>
        </w:rPr>
        <w:t>Rights</w:t>
      </w:r>
      <w:r>
        <w:rPr>
          <w:color w:val="231F20"/>
          <w:spacing w:val="-6"/>
          <w:w w:val="105"/>
        </w:rPr>
        <w:t> </w:t>
      </w:r>
      <w:r>
        <w:rPr>
          <w:color w:val="231F20"/>
          <w:w w:val="105"/>
        </w:rPr>
        <w:t>Database,</w:t>
      </w:r>
      <w:r>
        <w:rPr>
          <w:color w:val="231F20"/>
          <w:spacing w:val="-6"/>
          <w:w w:val="105"/>
        </w:rPr>
        <w:t> </w:t>
      </w:r>
      <w:r>
        <w:rPr>
          <w:color w:val="231F20"/>
          <w:w w:val="105"/>
        </w:rPr>
        <w:t>Institute</w:t>
      </w:r>
      <w:r>
        <w:rPr>
          <w:color w:val="231F20"/>
          <w:spacing w:val="-6"/>
          <w:w w:val="105"/>
        </w:rPr>
        <w:t> </w:t>
      </w:r>
      <w:r>
        <w:rPr>
          <w:color w:val="231F20"/>
          <w:w w:val="105"/>
        </w:rPr>
        <w:t>form</w:t>
      </w:r>
      <w:r>
        <w:rPr>
          <w:color w:val="231F20"/>
          <w:spacing w:val="-6"/>
          <w:w w:val="105"/>
        </w:rPr>
        <w:t> </w:t>
      </w:r>
      <w:r>
        <w:rPr>
          <w:color w:val="231F20"/>
          <w:w w:val="105"/>
        </w:rPr>
        <w:t>Management Development,</w:t>
      </w:r>
      <w:r>
        <w:rPr>
          <w:color w:val="231F20"/>
          <w:spacing w:val="-13"/>
          <w:w w:val="105"/>
        </w:rPr>
        <w:t> </w:t>
      </w:r>
      <w:r>
        <w:rPr>
          <w:color w:val="231F20"/>
          <w:w w:val="105"/>
        </w:rPr>
        <w:t>International</w:t>
      </w:r>
      <w:r>
        <w:rPr>
          <w:color w:val="231F20"/>
          <w:spacing w:val="-13"/>
          <w:w w:val="105"/>
        </w:rPr>
        <w:t> </w:t>
      </w:r>
      <w:r>
        <w:rPr>
          <w:color w:val="231F20"/>
          <w:w w:val="105"/>
        </w:rPr>
        <w:t>City/country</w:t>
      </w:r>
      <w:r>
        <w:rPr>
          <w:color w:val="231F20"/>
          <w:spacing w:val="-13"/>
          <w:w w:val="105"/>
        </w:rPr>
        <w:t> </w:t>
      </w:r>
      <w:r>
        <w:rPr>
          <w:color w:val="231F20"/>
          <w:w w:val="105"/>
        </w:rPr>
        <w:t>Management</w:t>
      </w:r>
      <w:r>
        <w:rPr>
          <w:color w:val="231F20"/>
          <w:spacing w:val="-13"/>
          <w:w w:val="105"/>
        </w:rPr>
        <w:t> </w:t>
      </w:r>
      <w:r>
        <w:rPr>
          <w:color w:val="231F20"/>
          <w:w w:val="105"/>
        </w:rPr>
        <w:t>Association</w:t>
      </w:r>
      <w:r>
        <w:rPr>
          <w:color w:val="231F20"/>
          <w:spacing w:val="-13"/>
          <w:w w:val="105"/>
        </w:rPr>
        <w:t> </w:t>
      </w:r>
      <w:r>
        <w:rPr>
          <w:color w:val="231F20"/>
          <w:w w:val="105"/>
        </w:rPr>
        <w:t>(ICMA),</w:t>
      </w:r>
      <w:r>
        <w:rPr>
          <w:color w:val="231F20"/>
          <w:spacing w:val="-13"/>
          <w:w w:val="105"/>
        </w:rPr>
        <w:t> </w:t>
      </w:r>
      <w:r>
        <w:rPr>
          <w:color w:val="231F20"/>
          <w:w w:val="105"/>
        </w:rPr>
        <w:t>ONU</w:t>
      </w:r>
      <w:r>
        <w:rPr>
          <w:color w:val="231F20"/>
          <w:spacing w:val="-13"/>
          <w:w w:val="105"/>
        </w:rPr>
        <w:t> </w:t>
      </w:r>
      <w:r>
        <w:rPr>
          <w:color w:val="231F20"/>
          <w:w w:val="105"/>
        </w:rPr>
        <w:t>y</w:t>
      </w:r>
      <w:r>
        <w:rPr>
          <w:color w:val="231F20"/>
          <w:spacing w:val="-13"/>
          <w:w w:val="105"/>
        </w:rPr>
        <w:t> </w:t>
      </w:r>
      <w:r>
        <w:rPr>
          <w:color w:val="231F20"/>
          <w:w w:val="105"/>
        </w:rPr>
        <w:t>la OCDE.</w:t>
      </w:r>
      <w:r>
        <w:rPr>
          <w:color w:val="231F20"/>
          <w:spacing w:val="-12"/>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veces</w:t>
      </w:r>
      <w:r>
        <w:rPr>
          <w:color w:val="231F20"/>
          <w:spacing w:val="-12"/>
          <w:w w:val="105"/>
        </w:rPr>
        <w:t> </w:t>
      </w:r>
      <w:r>
        <w:rPr>
          <w:color w:val="231F20"/>
          <w:w w:val="105"/>
        </w:rPr>
        <w:t>sus</w:t>
      </w:r>
      <w:r>
        <w:rPr>
          <w:color w:val="231F20"/>
          <w:spacing w:val="-12"/>
          <w:w w:val="105"/>
        </w:rPr>
        <w:t> </w:t>
      </w:r>
      <w:r>
        <w:rPr>
          <w:color w:val="231F20"/>
          <w:w w:val="105"/>
        </w:rPr>
        <w:t>resultados</w:t>
      </w:r>
      <w:r>
        <w:rPr>
          <w:color w:val="231F20"/>
          <w:spacing w:val="-12"/>
          <w:w w:val="105"/>
        </w:rPr>
        <w:t> </w:t>
      </w:r>
      <w:r>
        <w:rPr>
          <w:color w:val="231F20"/>
          <w:w w:val="105"/>
        </w:rPr>
        <w:t>son</w:t>
      </w:r>
      <w:r>
        <w:rPr>
          <w:color w:val="231F20"/>
          <w:spacing w:val="-12"/>
          <w:w w:val="105"/>
        </w:rPr>
        <w:t> </w:t>
      </w:r>
      <w:r>
        <w:rPr>
          <w:color w:val="231F20"/>
          <w:w w:val="105"/>
        </w:rPr>
        <w:t>extrapolados,</w:t>
      </w:r>
      <w:r>
        <w:rPr>
          <w:color w:val="231F20"/>
          <w:spacing w:val="-12"/>
          <w:w w:val="105"/>
        </w:rPr>
        <w:t> </w:t>
      </w:r>
      <w:r>
        <w:rPr>
          <w:color w:val="231F20"/>
          <w:w w:val="105"/>
        </w:rPr>
        <w:t>generalizados</w:t>
      </w:r>
      <w:r>
        <w:rPr>
          <w:color w:val="231F20"/>
          <w:spacing w:val="-12"/>
          <w:w w:val="105"/>
        </w:rPr>
        <w:t> </w:t>
      </w:r>
      <w:r>
        <w:rPr>
          <w:color w:val="231F20"/>
          <w:w w:val="105"/>
        </w:rPr>
        <w:t>a</w:t>
      </w:r>
      <w:r>
        <w:rPr>
          <w:color w:val="231F20"/>
          <w:spacing w:val="-12"/>
          <w:w w:val="105"/>
        </w:rPr>
        <w:t> </w:t>
      </w:r>
      <w:r>
        <w:rPr>
          <w:color w:val="231F20"/>
          <w:spacing w:val="2"/>
          <w:w w:val="105"/>
        </w:rPr>
        <w:t>partir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muestra</w:t>
      </w:r>
      <w:r>
        <w:rPr>
          <w:color w:val="231F20"/>
          <w:spacing w:val="-15"/>
          <w:w w:val="105"/>
        </w:rPr>
        <w:t> </w:t>
      </w:r>
      <w:r>
        <w:rPr>
          <w:color w:val="231F20"/>
          <w:w w:val="105"/>
        </w:rPr>
        <w:t>nacional,</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limita</w:t>
      </w:r>
      <w:r>
        <w:rPr>
          <w:color w:val="231F20"/>
          <w:spacing w:val="-15"/>
          <w:w w:val="105"/>
        </w:rPr>
        <w:t> </w:t>
      </w:r>
      <w:r>
        <w:rPr>
          <w:color w:val="231F20"/>
          <w:w w:val="105"/>
        </w:rPr>
        <w:t>el</w:t>
      </w:r>
      <w:r>
        <w:rPr>
          <w:color w:val="231F20"/>
          <w:spacing w:val="-15"/>
          <w:w w:val="105"/>
        </w:rPr>
        <w:t> </w:t>
      </w:r>
      <w:r>
        <w:rPr>
          <w:color w:val="231F20"/>
          <w:spacing w:val="2"/>
          <w:w w:val="105"/>
        </w:rPr>
        <w:t>análisis</w:t>
      </w:r>
      <w:r>
        <w:rPr>
          <w:color w:val="231F20"/>
          <w:spacing w:val="-15"/>
          <w:w w:val="105"/>
        </w:rPr>
        <w:t> </w:t>
      </w:r>
      <w:r>
        <w:rPr>
          <w:color w:val="231F20"/>
          <w:w w:val="105"/>
        </w:rPr>
        <w:t>de</w:t>
      </w:r>
      <w:r>
        <w:rPr>
          <w:color w:val="231F20"/>
          <w:spacing w:val="-15"/>
          <w:w w:val="105"/>
        </w:rPr>
        <w:t> </w:t>
      </w:r>
      <w:r>
        <w:rPr>
          <w:color w:val="231F20"/>
          <w:w w:val="105"/>
        </w:rPr>
        <w:t>municipios</w:t>
      </w:r>
      <w:r>
        <w:rPr>
          <w:color w:val="231F20"/>
          <w:spacing w:val="-15"/>
          <w:w w:val="105"/>
        </w:rPr>
        <w:t> </w:t>
      </w:r>
      <w:r>
        <w:rPr>
          <w:color w:val="231F20"/>
          <w:w w:val="105"/>
        </w:rPr>
        <w:t>específicos.</w:t>
      </w:r>
    </w:p>
    <w:p>
      <w:pPr>
        <w:pStyle w:val="BodyText"/>
        <w:spacing w:before="1"/>
        <w:rPr>
          <w:sz w:val="26"/>
        </w:rPr>
      </w:pPr>
    </w:p>
    <w:p>
      <w:pPr>
        <w:pStyle w:val="BodyText"/>
        <w:spacing w:line="285" w:lineRule="auto"/>
        <w:ind w:left="110" w:right="107"/>
        <w:jc w:val="both"/>
      </w:pPr>
      <w:r>
        <w:rPr>
          <w:color w:val="231F20"/>
          <w:spacing w:val="-3"/>
          <w:w w:val="105"/>
        </w:rPr>
        <w:t>Un</w:t>
      </w:r>
      <w:r>
        <w:rPr>
          <w:color w:val="231F20"/>
          <w:spacing w:val="-11"/>
          <w:w w:val="105"/>
        </w:rPr>
        <w:t> </w:t>
      </w:r>
      <w:r>
        <w:rPr>
          <w:color w:val="231F20"/>
          <w:w w:val="105"/>
        </w:rPr>
        <w:t>gran</w:t>
      </w:r>
      <w:r>
        <w:rPr>
          <w:color w:val="231F20"/>
          <w:spacing w:val="-11"/>
          <w:w w:val="105"/>
        </w:rPr>
        <w:t> </w:t>
      </w:r>
      <w:r>
        <w:rPr>
          <w:color w:val="231F20"/>
          <w:w w:val="105"/>
        </w:rPr>
        <w:t>número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trabajos</w:t>
      </w:r>
      <w:r>
        <w:rPr>
          <w:color w:val="231F20"/>
          <w:spacing w:val="-11"/>
          <w:w w:val="105"/>
        </w:rPr>
        <w:t> </w:t>
      </w:r>
      <w:r>
        <w:rPr>
          <w:color w:val="231F20"/>
          <w:w w:val="105"/>
        </w:rPr>
        <w:t>señalados</w:t>
      </w:r>
      <w:r>
        <w:rPr>
          <w:color w:val="231F20"/>
          <w:spacing w:val="-11"/>
          <w:w w:val="105"/>
        </w:rPr>
        <w:t> </w:t>
      </w:r>
      <w:r>
        <w:rPr>
          <w:color w:val="231F20"/>
          <w:w w:val="105"/>
        </w:rPr>
        <w:t>(salvo</w:t>
      </w:r>
      <w:r>
        <w:rPr>
          <w:color w:val="231F20"/>
          <w:spacing w:val="-11"/>
          <w:w w:val="105"/>
        </w:rPr>
        <w:t> </w:t>
      </w:r>
      <w:r>
        <w:rPr>
          <w:color w:val="231F20"/>
          <w:w w:val="105"/>
        </w:rPr>
        <w:t>las</w:t>
      </w:r>
      <w:r>
        <w:rPr>
          <w:color w:val="231F20"/>
          <w:spacing w:val="-11"/>
          <w:w w:val="105"/>
        </w:rPr>
        <w:t> </w:t>
      </w:r>
      <w:r>
        <w:rPr>
          <w:color w:val="231F20"/>
          <w:w w:val="105"/>
        </w:rPr>
        <w:t>excepciones</w:t>
      </w:r>
      <w:r>
        <w:rPr>
          <w:color w:val="231F20"/>
          <w:spacing w:val="-11"/>
          <w:w w:val="105"/>
        </w:rPr>
        <w:t> </w:t>
      </w:r>
      <w:r>
        <w:rPr>
          <w:color w:val="231F20"/>
          <w:w w:val="105"/>
        </w:rPr>
        <w:t>marcadas)</w:t>
      </w:r>
      <w:r>
        <w:rPr>
          <w:color w:val="231F20"/>
          <w:spacing w:val="-11"/>
          <w:w w:val="105"/>
        </w:rPr>
        <w:t> </w:t>
      </w:r>
      <w:r>
        <w:rPr>
          <w:color w:val="231F20"/>
          <w:w w:val="105"/>
        </w:rPr>
        <w:t>ven</w:t>
      </w:r>
      <w:r>
        <w:rPr>
          <w:color w:val="231F20"/>
          <w:spacing w:val="-11"/>
          <w:w w:val="105"/>
        </w:rPr>
        <w:t> </w:t>
      </w:r>
      <w:r>
        <w:rPr>
          <w:color w:val="231F20"/>
          <w:spacing w:val="2"/>
          <w:w w:val="105"/>
        </w:rPr>
        <w:t>al</w:t>
      </w:r>
      <w:r>
        <w:rPr>
          <w:color w:val="231F20"/>
          <w:spacing w:val="-11"/>
          <w:w w:val="105"/>
        </w:rPr>
        <w:t> </w:t>
      </w:r>
      <w:r>
        <w:rPr>
          <w:color w:val="231F20"/>
          <w:w w:val="105"/>
        </w:rPr>
        <w:t>des- empeño del gobierno como un asunto despolitizado, cuando el ejercicio del gobierno local</w:t>
      </w:r>
      <w:r>
        <w:rPr>
          <w:color w:val="231F20"/>
          <w:spacing w:val="-16"/>
          <w:w w:val="105"/>
        </w:rPr>
        <w:t> </w:t>
      </w:r>
      <w:r>
        <w:rPr>
          <w:color w:val="231F20"/>
          <w:w w:val="105"/>
        </w:rPr>
        <w:t>está</w:t>
      </w:r>
      <w:r>
        <w:rPr>
          <w:color w:val="231F20"/>
          <w:spacing w:val="-16"/>
          <w:w w:val="105"/>
        </w:rPr>
        <w:t> </w:t>
      </w:r>
      <w:r>
        <w:rPr>
          <w:color w:val="231F20"/>
          <w:w w:val="105"/>
        </w:rPr>
        <w:t>impregnado</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fuerte</w:t>
      </w:r>
      <w:r>
        <w:rPr>
          <w:color w:val="231F20"/>
          <w:spacing w:val="-16"/>
          <w:w w:val="105"/>
        </w:rPr>
        <w:t> </w:t>
      </w:r>
      <w:r>
        <w:rPr>
          <w:color w:val="231F20"/>
          <w:w w:val="105"/>
        </w:rPr>
        <w:t>carga</w:t>
      </w:r>
      <w:r>
        <w:rPr>
          <w:color w:val="231F20"/>
          <w:spacing w:val="-16"/>
          <w:w w:val="105"/>
        </w:rPr>
        <w:t> </w:t>
      </w:r>
      <w:r>
        <w:rPr>
          <w:color w:val="231F20"/>
          <w:w w:val="105"/>
        </w:rPr>
        <w:t>política.</w:t>
      </w:r>
      <w:r>
        <w:rPr>
          <w:color w:val="231F20"/>
          <w:spacing w:val="-16"/>
          <w:w w:val="105"/>
        </w:rPr>
        <w:t> </w:t>
      </w:r>
      <w:r>
        <w:rPr>
          <w:color w:val="231F20"/>
          <w:spacing w:val="-3"/>
          <w:w w:val="105"/>
        </w:rPr>
        <w:t>Un</w:t>
      </w:r>
      <w:r>
        <w:rPr>
          <w:color w:val="231F20"/>
          <w:spacing w:val="-16"/>
          <w:w w:val="105"/>
        </w:rPr>
        <w:t> </w:t>
      </w:r>
      <w:r>
        <w:rPr>
          <w:color w:val="231F20"/>
          <w:w w:val="105"/>
        </w:rPr>
        <w:t>aspecto</w:t>
      </w:r>
      <w:r>
        <w:rPr>
          <w:color w:val="231F20"/>
          <w:spacing w:val="-16"/>
          <w:w w:val="105"/>
        </w:rPr>
        <w:t> </w:t>
      </w:r>
      <w:r>
        <w:rPr>
          <w:color w:val="231F20"/>
          <w:w w:val="105"/>
        </w:rPr>
        <w:t>para</w:t>
      </w:r>
      <w:r>
        <w:rPr>
          <w:color w:val="231F20"/>
          <w:spacing w:val="-16"/>
          <w:w w:val="105"/>
        </w:rPr>
        <w:t> </w:t>
      </w:r>
      <w:r>
        <w:rPr>
          <w:color w:val="231F20"/>
          <w:w w:val="105"/>
        </w:rPr>
        <w:t>nada</w:t>
      </w:r>
      <w:r>
        <w:rPr>
          <w:color w:val="231F20"/>
          <w:spacing w:val="-16"/>
          <w:w w:val="105"/>
        </w:rPr>
        <w:t> </w:t>
      </w:r>
      <w:r>
        <w:rPr>
          <w:color w:val="231F20"/>
          <w:w w:val="105"/>
        </w:rPr>
        <w:t>menor</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in- fluencia</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relación</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partidos</w:t>
      </w:r>
      <w:r>
        <w:rPr>
          <w:color w:val="231F20"/>
          <w:spacing w:val="-15"/>
          <w:w w:val="105"/>
        </w:rPr>
        <w:t> </w:t>
      </w:r>
      <w:r>
        <w:rPr>
          <w:color w:val="231F20"/>
          <w:w w:val="105"/>
        </w:rPr>
        <w:t>políticos</w:t>
      </w:r>
      <w:r>
        <w:rPr>
          <w:color w:val="231F20"/>
          <w:spacing w:val="-15"/>
          <w:w w:val="105"/>
        </w:rPr>
        <w:t> </w:t>
      </w:r>
      <w:r>
        <w:rPr>
          <w:color w:val="231F20"/>
          <w:w w:val="105"/>
        </w:rPr>
        <w:t>guardan</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gobernante.</w:t>
      </w:r>
      <w:r>
        <w:rPr>
          <w:color w:val="231F20"/>
          <w:spacing w:val="-15"/>
          <w:w w:val="105"/>
        </w:rPr>
        <w:t> </w:t>
      </w:r>
      <w:r>
        <w:rPr>
          <w:color w:val="231F20"/>
          <w:w w:val="105"/>
        </w:rPr>
        <w:t>Es</w:t>
      </w:r>
      <w:r>
        <w:rPr>
          <w:color w:val="231F20"/>
          <w:spacing w:val="-15"/>
          <w:w w:val="105"/>
        </w:rPr>
        <w:t> </w:t>
      </w:r>
      <w:r>
        <w:rPr>
          <w:color w:val="231F20"/>
          <w:w w:val="105"/>
        </w:rPr>
        <w:t>necesario poner</w:t>
      </w:r>
      <w:r>
        <w:rPr>
          <w:color w:val="231F20"/>
          <w:spacing w:val="-12"/>
          <w:w w:val="105"/>
        </w:rPr>
        <w:t> </w:t>
      </w:r>
      <w:r>
        <w:rPr>
          <w:color w:val="231F20"/>
          <w:w w:val="105"/>
        </w:rPr>
        <w:t>énfasis</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y</w:t>
      </w:r>
      <w:r>
        <w:rPr>
          <w:color w:val="231F20"/>
          <w:spacing w:val="-12"/>
          <w:w w:val="105"/>
        </w:rPr>
        <w:t> </w:t>
      </w:r>
      <w:r>
        <w:rPr>
          <w:color w:val="231F20"/>
          <w:w w:val="105"/>
        </w:rPr>
        <w:t>otros</w:t>
      </w:r>
      <w:r>
        <w:rPr>
          <w:color w:val="231F20"/>
          <w:spacing w:val="-12"/>
          <w:w w:val="105"/>
        </w:rPr>
        <w:t> </w:t>
      </w:r>
      <w:r>
        <w:rPr>
          <w:color w:val="231F20"/>
          <w:w w:val="105"/>
        </w:rPr>
        <w:t>aspectos</w:t>
      </w:r>
      <w:r>
        <w:rPr>
          <w:color w:val="231F20"/>
          <w:spacing w:val="-12"/>
          <w:w w:val="105"/>
        </w:rPr>
        <w:t> </w:t>
      </w:r>
      <w:r>
        <w:rPr>
          <w:color w:val="231F20"/>
          <w:w w:val="105"/>
        </w:rPr>
        <w:t>que</w:t>
      </w:r>
      <w:r>
        <w:rPr>
          <w:color w:val="231F20"/>
          <w:spacing w:val="-12"/>
          <w:w w:val="105"/>
        </w:rPr>
        <w:t> </w:t>
      </w:r>
      <w:r>
        <w:rPr>
          <w:color w:val="231F20"/>
          <w:w w:val="105"/>
        </w:rPr>
        <w:t>nos</w:t>
      </w:r>
      <w:r>
        <w:rPr>
          <w:color w:val="231F20"/>
          <w:spacing w:val="-12"/>
          <w:w w:val="105"/>
        </w:rPr>
        <w:t> </w:t>
      </w:r>
      <w:r>
        <w:rPr>
          <w:color w:val="231F20"/>
          <w:w w:val="105"/>
        </w:rPr>
        <w:t>permitan</w:t>
      </w:r>
      <w:r>
        <w:rPr>
          <w:color w:val="231F20"/>
          <w:spacing w:val="-12"/>
          <w:w w:val="105"/>
        </w:rPr>
        <w:t> </w:t>
      </w:r>
      <w:r>
        <w:rPr>
          <w:color w:val="231F20"/>
          <w:w w:val="105"/>
        </w:rPr>
        <w:t>diferenciar</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gobiernos,</w:t>
      </w:r>
      <w:r>
        <w:rPr>
          <w:color w:val="231F20"/>
          <w:spacing w:val="-12"/>
          <w:w w:val="105"/>
        </w:rPr>
        <w:t> </w:t>
      </w:r>
      <w:r>
        <w:rPr>
          <w:color w:val="231F20"/>
          <w:w w:val="105"/>
        </w:rPr>
        <w:t>que nos</w:t>
      </w:r>
      <w:r>
        <w:rPr>
          <w:color w:val="231F20"/>
          <w:spacing w:val="-10"/>
          <w:w w:val="105"/>
        </w:rPr>
        <w:t> </w:t>
      </w:r>
      <w:r>
        <w:rPr>
          <w:color w:val="231F20"/>
          <w:w w:val="105"/>
        </w:rPr>
        <w:t>arrojen</w:t>
      </w:r>
      <w:r>
        <w:rPr>
          <w:color w:val="231F20"/>
          <w:spacing w:val="-10"/>
          <w:w w:val="105"/>
        </w:rPr>
        <w:t> </w:t>
      </w:r>
      <w:r>
        <w:rPr>
          <w:color w:val="231F20"/>
          <w:w w:val="105"/>
        </w:rPr>
        <w:t>semejanzas</w:t>
      </w:r>
      <w:r>
        <w:rPr>
          <w:color w:val="231F20"/>
          <w:spacing w:val="-10"/>
          <w:w w:val="105"/>
        </w:rPr>
        <w:t> </w:t>
      </w:r>
      <w:r>
        <w:rPr>
          <w:color w:val="231F20"/>
          <w:w w:val="105"/>
        </w:rPr>
        <w:t>y</w:t>
      </w:r>
      <w:r>
        <w:rPr>
          <w:color w:val="231F20"/>
          <w:spacing w:val="-10"/>
          <w:w w:val="105"/>
        </w:rPr>
        <w:t> </w:t>
      </w:r>
      <w:r>
        <w:rPr>
          <w:color w:val="231F20"/>
          <w:w w:val="105"/>
        </w:rPr>
        <w:t>divergencias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formulación</w:t>
      </w:r>
      <w:r>
        <w:rPr>
          <w:color w:val="231F20"/>
          <w:spacing w:val="-10"/>
          <w:w w:val="105"/>
        </w:rPr>
        <w:t> </w:t>
      </w:r>
      <w:r>
        <w:rPr>
          <w:color w:val="231F20"/>
          <w:w w:val="105"/>
        </w:rPr>
        <w:t>e</w:t>
      </w:r>
      <w:r>
        <w:rPr>
          <w:color w:val="231F20"/>
          <w:spacing w:val="-10"/>
          <w:w w:val="105"/>
        </w:rPr>
        <w:t> </w:t>
      </w:r>
      <w:r>
        <w:rPr>
          <w:color w:val="231F20"/>
          <w:w w:val="105"/>
        </w:rPr>
        <w:t>instrumentación</w:t>
      </w:r>
      <w:r>
        <w:rPr>
          <w:color w:val="231F20"/>
          <w:spacing w:val="-10"/>
          <w:w w:val="105"/>
        </w:rPr>
        <w:t> </w:t>
      </w:r>
      <w:r>
        <w:rPr>
          <w:color w:val="231F20"/>
          <w:w w:val="105"/>
        </w:rPr>
        <w:t>de</w:t>
      </w:r>
      <w:r>
        <w:rPr>
          <w:color w:val="231F20"/>
          <w:spacing w:val="-10"/>
          <w:w w:val="105"/>
        </w:rPr>
        <w:t> </w:t>
      </w:r>
      <w:r>
        <w:rPr>
          <w:color w:val="231F20"/>
          <w:w w:val="105"/>
        </w:rPr>
        <w:t>normas, planes y</w:t>
      </w:r>
      <w:r>
        <w:rPr>
          <w:color w:val="231F20"/>
          <w:spacing w:val="-35"/>
          <w:w w:val="105"/>
        </w:rPr>
        <w:t> </w:t>
      </w:r>
      <w:r>
        <w:rPr>
          <w:color w:val="231F20"/>
          <w:w w:val="105"/>
        </w:rPr>
        <w:t>programas.</w:t>
      </w:r>
    </w:p>
    <w:p>
      <w:pPr>
        <w:pStyle w:val="BodyText"/>
        <w:spacing w:before="1"/>
        <w:rPr>
          <w:sz w:val="26"/>
        </w:rPr>
      </w:pPr>
    </w:p>
    <w:p>
      <w:pPr>
        <w:pStyle w:val="BodyText"/>
        <w:spacing w:line="285" w:lineRule="auto"/>
        <w:ind w:left="110" w:right="107"/>
        <w:jc w:val="both"/>
      </w:pPr>
      <w:r>
        <w:rPr>
          <w:color w:val="231F20"/>
          <w:w w:val="105"/>
        </w:rPr>
        <w:t>Ante</w:t>
      </w:r>
      <w:r>
        <w:rPr>
          <w:color w:val="231F20"/>
          <w:spacing w:val="-22"/>
          <w:w w:val="105"/>
        </w:rPr>
        <w:t> </w:t>
      </w:r>
      <w:r>
        <w:rPr>
          <w:color w:val="231F20"/>
          <w:w w:val="105"/>
        </w:rPr>
        <w:t>este</w:t>
      </w:r>
      <w:r>
        <w:rPr>
          <w:color w:val="231F20"/>
          <w:spacing w:val="-22"/>
          <w:w w:val="105"/>
        </w:rPr>
        <w:t> </w:t>
      </w:r>
      <w:r>
        <w:rPr>
          <w:color w:val="231F20"/>
          <w:w w:val="105"/>
        </w:rPr>
        <w:t>panorama,</w:t>
      </w:r>
      <w:r>
        <w:rPr>
          <w:color w:val="231F20"/>
          <w:spacing w:val="-22"/>
          <w:w w:val="105"/>
        </w:rPr>
        <w:t> </w:t>
      </w:r>
      <w:r>
        <w:rPr>
          <w:color w:val="231F20"/>
          <w:w w:val="105"/>
        </w:rPr>
        <w:t>decidimos</w:t>
      </w:r>
      <w:r>
        <w:rPr>
          <w:color w:val="231F20"/>
          <w:spacing w:val="-22"/>
          <w:w w:val="105"/>
        </w:rPr>
        <w:t> </w:t>
      </w:r>
      <w:r>
        <w:rPr>
          <w:color w:val="231F20"/>
          <w:spacing w:val="2"/>
          <w:w w:val="105"/>
        </w:rPr>
        <w:t>analizar</w:t>
      </w:r>
      <w:r>
        <w:rPr>
          <w:color w:val="231F20"/>
          <w:spacing w:val="-22"/>
          <w:w w:val="105"/>
        </w:rPr>
        <w:t> </w:t>
      </w:r>
      <w:r>
        <w:rPr>
          <w:color w:val="231F20"/>
          <w:w w:val="105"/>
        </w:rPr>
        <w:t>el</w:t>
      </w:r>
      <w:r>
        <w:rPr>
          <w:color w:val="231F20"/>
          <w:spacing w:val="-22"/>
          <w:w w:val="105"/>
        </w:rPr>
        <w:t> </w:t>
      </w:r>
      <w:r>
        <w:rPr>
          <w:color w:val="231F20"/>
          <w:w w:val="105"/>
        </w:rPr>
        <w:t>desempeño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gobiernos</w:t>
      </w:r>
      <w:r>
        <w:rPr>
          <w:color w:val="231F20"/>
          <w:spacing w:val="-22"/>
          <w:w w:val="105"/>
        </w:rPr>
        <w:t> </w:t>
      </w:r>
      <w:r>
        <w:rPr>
          <w:color w:val="231F20"/>
          <w:w w:val="105"/>
        </w:rPr>
        <w:t>municipales</w:t>
      </w:r>
      <w:r>
        <w:rPr>
          <w:color w:val="231F20"/>
          <w:spacing w:val="-22"/>
          <w:w w:val="105"/>
        </w:rPr>
        <w:t> </w:t>
      </w:r>
      <w:r>
        <w:rPr>
          <w:color w:val="231F20"/>
          <w:w w:val="105"/>
        </w:rPr>
        <w:t>y</w:t>
      </w:r>
      <w:r>
        <w:rPr>
          <w:color w:val="231F20"/>
          <w:spacing w:val="-22"/>
          <w:w w:val="105"/>
        </w:rPr>
        <w:t> </w:t>
      </w:r>
      <w:r>
        <w:rPr>
          <w:color w:val="231F20"/>
          <w:w w:val="105"/>
        </w:rPr>
        <w:t>la influencia de los partidos en ellos, considerando tres conjuntos de variables importan- tes:</w:t>
      </w:r>
      <w:r>
        <w:rPr>
          <w:color w:val="231F20"/>
          <w:spacing w:val="-17"/>
          <w:w w:val="105"/>
        </w:rPr>
        <w:t> </w:t>
      </w:r>
      <w:r>
        <w:rPr>
          <w:color w:val="231F20"/>
          <w:spacing w:val="-4"/>
          <w:w w:val="105"/>
        </w:rPr>
        <w:t>a)</w:t>
      </w:r>
      <w:r>
        <w:rPr>
          <w:color w:val="231F20"/>
          <w:spacing w:val="-17"/>
          <w:w w:val="105"/>
        </w:rPr>
        <w:t> </w:t>
      </w:r>
      <w:r>
        <w:rPr>
          <w:color w:val="231F20"/>
          <w:w w:val="105"/>
        </w:rPr>
        <w:t>factores</w:t>
      </w:r>
      <w:r>
        <w:rPr>
          <w:color w:val="231F20"/>
          <w:spacing w:val="-17"/>
          <w:w w:val="105"/>
        </w:rPr>
        <w:t> </w:t>
      </w:r>
      <w:r>
        <w:rPr>
          <w:color w:val="231F20"/>
          <w:w w:val="105"/>
        </w:rPr>
        <w:t>socio</w:t>
      </w:r>
      <w:r>
        <w:rPr>
          <w:color w:val="231F20"/>
          <w:spacing w:val="-17"/>
          <w:w w:val="105"/>
        </w:rPr>
        <w:t> </w:t>
      </w:r>
      <w:r>
        <w:rPr>
          <w:color w:val="231F20"/>
          <w:w w:val="105"/>
        </w:rPr>
        <w:t>económicos;</w:t>
      </w:r>
      <w:r>
        <w:rPr>
          <w:color w:val="231F20"/>
          <w:spacing w:val="-17"/>
          <w:w w:val="105"/>
        </w:rPr>
        <w:t> </w:t>
      </w:r>
      <w:r>
        <w:rPr>
          <w:color w:val="231F20"/>
          <w:spacing w:val="-6"/>
          <w:w w:val="105"/>
        </w:rPr>
        <w:t>b)</w:t>
      </w:r>
      <w:r>
        <w:rPr>
          <w:color w:val="231F20"/>
          <w:spacing w:val="-17"/>
          <w:w w:val="105"/>
        </w:rPr>
        <w:t> </w:t>
      </w:r>
      <w:r>
        <w:rPr>
          <w:color w:val="231F20"/>
          <w:w w:val="105"/>
        </w:rPr>
        <w:t>diseño</w:t>
      </w:r>
      <w:r>
        <w:rPr>
          <w:color w:val="231F20"/>
          <w:spacing w:val="-17"/>
          <w:w w:val="105"/>
        </w:rPr>
        <w:t> </w:t>
      </w:r>
      <w:r>
        <w:rPr>
          <w:color w:val="231F20"/>
          <w:w w:val="105"/>
        </w:rPr>
        <w:t>institucional,</w:t>
      </w:r>
      <w:r>
        <w:rPr>
          <w:color w:val="231F20"/>
          <w:spacing w:val="-17"/>
          <w:w w:val="105"/>
        </w:rPr>
        <w:t> </w:t>
      </w:r>
      <w:r>
        <w:rPr>
          <w:color w:val="231F20"/>
          <w:w w:val="105"/>
        </w:rPr>
        <w:t>y</w:t>
      </w:r>
      <w:r>
        <w:rPr>
          <w:color w:val="231F20"/>
          <w:spacing w:val="-17"/>
          <w:w w:val="105"/>
        </w:rPr>
        <w:t> </w:t>
      </w:r>
      <w:r>
        <w:rPr>
          <w:color w:val="231F20"/>
          <w:spacing w:val="-4"/>
          <w:w w:val="105"/>
        </w:rPr>
        <w:t>3)</w:t>
      </w:r>
      <w:r>
        <w:rPr>
          <w:color w:val="231F20"/>
          <w:spacing w:val="-17"/>
          <w:w w:val="105"/>
        </w:rPr>
        <w:t> </w:t>
      </w:r>
      <w:r>
        <w:rPr>
          <w:color w:val="231F20"/>
          <w:w w:val="105"/>
        </w:rPr>
        <w:t>desempeño</w:t>
      </w:r>
      <w:r>
        <w:rPr>
          <w:color w:val="231F20"/>
          <w:spacing w:val="-17"/>
          <w:w w:val="105"/>
        </w:rPr>
        <w:t> </w:t>
      </w:r>
      <w:r>
        <w:rPr>
          <w:color w:val="231F20"/>
          <w:w w:val="105"/>
        </w:rPr>
        <w:t>institucional.</w:t>
      </w:r>
    </w:p>
    <w:p>
      <w:pPr>
        <w:pStyle w:val="BodyText"/>
        <w:spacing w:before="1"/>
        <w:rPr>
          <w:sz w:val="26"/>
        </w:rPr>
      </w:pPr>
    </w:p>
    <w:p>
      <w:pPr>
        <w:pStyle w:val="BodyText"/>
        <w:spacing w:line="285" w:lineRule="auto"/>
        <w:ind w:left="110" w:right="108"/>
        <w:jc w:val="both"/>
      </w:pPr>
      <w:r>
        <w:rPr>
          <w:color w:val="231F20"/>
          <w:w w:val="105"/>
        </w:rPr>
        <w:t>Para </w:t>
      </w:r>
      <w:r>
        <w:rPr>
          <w:color w:val="231F20"/>
          <w:spacing w:val="-3"/>
          <w:w w:val="105"/>
        </w:rPr>
        <w:t>comprender </w:t>
      </w:r>
      <w:r>
        <w:rPr>
          <w:color w:val="231F20"/>
          <w:w w:val="105"/>
        </w:rPr>
        <w:t>la primera variable, la de los factores socio-económicos, se decidió que</w:t>
      </w:r>
      <w:r>
        <w:rPr>
          <w:color w:val="231F20"/>
          <w:spacing w:val="-6"/>
          <w:w w:val="105"/>
        </w:rPr>
        <w:t> </w:t>
      </w:r>
      <w:r>
        <w:rPr>
          <w:color w:val="231F20"/>
          <w:w w:val="105"/>
        </w:rPr>
        <w:t>era</w:t>
      </w:r>
      <w:r>
        <w:rPr>
          <w:color w:val="231F20"/>
          <w:spacing w:val="-6"/>
          <w:w w:val="105"/>
        </w:rPr>
        <w:t> </w:t>
      </w:r>
      <w:r>
        <w:rPr>
          <w:color w:val="231F20"/>
          <w:w w:val="105"/>
        </w:rPr>
        <w:t>importante</w:t>
      </w:r>
      <w:r>
        <w:rPr>
          <w:color w:val="231F20"/>
          <w:spacing w:val="-6"/>
          <w:w w:val="105"/>
        </w:rPr>
        <w:t> </w:t>
      </w:r>
      <w:r>
        <w:rPr>
          <w:color w:val="231F20"/>
          <w:w w:val="105"/>
        </w:rPr>
        <w:t>conocer</w:t>
      </w:r>
      <w:r>
        <w:rPr>
          <w:color w:val="231F20"/>
          <w:spacing w:val="-6"/>
          <w:w w:val="105"/>
        </w:rPr>
        <w:t> </w:t>
      </w:r>
      <w:r>
        <w:rPr>
          <w:color w:val="231F20"/>
          <w:w w:val="105"/>
        </w:rPr>
        <w:t>la</w:t>
      </w:r>
      <w:r>
        <w:rPr>
          <w:color w:val="231F20"/>
          <w:spacing w:val="-6"/>
          <w:w w:val="105"/>
        </w:rPr>
        <w:t> </w:t>
      </w:r>
      <w:r>
        <w:rPr>
          <w:color w:val="231F20"/>
          <w:w w:val="105"/>
        </w:rPr>
        <w:t>situación</w:t>
      </w:r>
      <w:r>
        <w:rPr>
          <w:color w:val="231F20"/>
          <w:spacing w:val="-6"/>
          <w:w w:val="105"/>
        </w:rPr>
        <w:t> </w:t>
      </w:r>
      <w:r>
        <w:rPr>
          <w:color w:val="231F20"/>
          <w:w w:val="105"/>
        </w:rPr>
        <w:t>del</w:t>
      </w:r>
      <w:r>
        <w:rPr>
          <w:color w:val="231F20"/>
          <w:spacing w:val="-6"/>
          <w:w w:val="105"/>
        </w:rPr>
        <w:t> </w:t>
      </w:r>
      <w:r>
        <w:rPr>
          <w:color w:val="231F20"/>
          <w:w w:val="105"/>
        </w:rPr>
        <w:t>municipio</w:t>
      </w:r>
      <w:r>
        <w:rPr>
          <w:color w:val="231F20"/>
          <w:spacing w:val="-6"/>
          <w:w w:val="105"/>
        </w:rPr>
        <w:t> </w:t>
      </w:r>
      <w:r>
        <w:rPr>
          <w:color w:val="231F20"/>
          <w:spacing w:val="-3"/>
          <w:w w:val="105"/>
        </w:rPr>
        <w:t>referente</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niveles</w:t>
      </w:r>
      <w:r>
        <w:rPr>
          <w:color w:val="231F20"/>
          <w:spacing w:val="-6"/>
          <w:w w:val="105"/>
        </w:rPr>
        <w:t> </w:t>
      </w:r>
      <w:r>
        <w:rPr>
          <w:color w:val="231F20"/>
          <w:w w:val="105"/>
        </w:rPr>
        <w:t>de</w:t>
      </w:r>
      <w:r>
        <w:rPr>
          <w:color w:val="231F20"/>
          <w:spacing w:val="-6"/>
          <w:w w:val="105"/>
        </w:rPr>
        <w:t> </w:t>
      </w:r>
      <w:r>
        <w:rPr>
          <w:color w:val="231F20"/>
          <w:w w:val="105"/>
        </w:rPr>
        <w:t>margi- nación,</w:t>
      </w:r>
      <w:r>
        <w:rPr>
          <w:color w:val="231F20"/>
          <w:spacing w:val="-12"/>
          <w:w w:val="105"/>
        </w:rPr>
        <w:t> </w:t>
      </w:r>
      <w:r>
        <w:rPr>
          <w:color w:val="231F20"/>
          <w:w w:val="105"/>
        </w:rPr>
        <w:t>gasto</w:t>
      </w:r>
      <w:r>
        <w:rPr>
          <w:color w:val="231F20"/>
          <w:spacing w:val="-12"/>
          <w:w w:val="105"/>
        </w:rPr>
        <w:t> </w:t>
      </w:r>
      <w:r>
        <w:rPr>
          <w:color w:val="231F20"/>
          <w:w w:val="105"/>
        </w:rPr>
        <w:t>per</w:t>
      </w:r>
      <w:r>
        <w:rPr>
          <w:color w:val="231F20"/>
          <w:spacing w:val="-12"/>
          <w:w w:val="105"/>
        </w:rPr>
        <w:t> </w:t>
      </w:r>
      <w:r>
        <w:rPr>
          <w:color w:val="231F20"/>
          <w:w w:val="105"/>
        </w:rPr>
        <w:t>cápita</w:t>
      </w:r>
      <w:r>
        <w:rPr>
          <w:color w:val="231F20"/>
          <w:spacing w:val="-12"/>
          <w:w w:val="105"/>
        </w:rPr>
        <w:t> </w:t>
      </w:r>
      <w:r>
        <w:rPr>
          <w:color w:val="231F20"/>
          <w:w w:val="105"/>
        </w:rPr>
        <w:t>en</w:t>
      </w:r>
      <w:r>
        <w:rPr>
          <w:color w:val="231F20"/>
          <w:spacing w:val="-12"/>
          <w:w w:val="105"/>
        </w:rPr>
        <w:t> </w:t>
      </w:r>
      <w:r>
        <w:rPr>
          <w:color w:val="231F20"/>
          <w:w w:val="105"/>
        </w:rPr>
        <w:t>obras</w:t>
      </w:r>
      <w:r>
        <w:rPr>
          <w:color w:val="231F20"/>
          <w:spacing w:val="-12"/>
          <w:w w:val="105"/>
        </w:rPr>
        <w:t> </w:t>
      </w:r>
      <w:r>
        <w:rPr>
          <w:color w:val="231F20"/>
          <w:w w:val="105"/>
        </w:rPr>
        <w:t>y</w:t>
      </w:r>
      <w:r>
        <w:rPr>
          <w:color w:val="231F20"/>
          <w:spacing w:val="-12"/>
          <w:w w:val="105"/>
        </w:rPr>
        <w:t> </w:t>
      </w:r>
      <w:r>
        <w:rPr>
          <w:color w:val="231F20"/>
          <w:w w:val="105"/>
        </w:rPr>
        <w:t>en</w:t>
      </w:r>
      <w:r>
        <w:rPr>
          <w:color w:val="231F20"/>
          <w:spacing w:val="-12"/>
          <w:w w:val="105"/>
        </w:rPr>
        <w:t> </w:t>
      </w:r>
      <w:r>
        <w:rPr>
          <w:color w:val="231F20"/>
          <w:w w:val="105"/>
        </w:rPr>
        <w:t>inversión.</w:t>
      </w:r>
      <w:r>
        <w:rPr>
          <w:color w:val="231F20"/>
          <w:spacing w:val="-12"/>
          <w:w w:val="105"/>
        </w:rPr>
        <w:t> </w:t>
      </w:r>
      <w:r>
        <w:rPr>
          <w:color w:val="231F20"/>
          <w:w w:val="105"/>
        </w:rPr>
        <w:t>Esto</w:t>
      </w:r>
      <w:r>
        <w:rPr>
          <w:color w:val="231F20"/>
          <w:spacing w:val="-12"/>
          <w:w w:val="105"/>
        </w:rPr>
        <w:t> </w:t>
      </w:r>
      <w:r>
        <w:rPr>
          <w:color w:val="231F20"/>
          <w:w w:val="105"/>
        </w:rPr>
        <w:t>facilitará</w:t>
      </w:r>
      <w:r>
        <w:rPr>
          <w:color w:val="231F20"/>
          <w:spacing w:val="-12"/>
          <w:w w:val="105"/>
        </w:rPr>
        <w:t> </w:t>
      </w:r>
      <w:r>
        <w:rPr>
          <w:color w:val="231F20"/>
          <w:spacing w:val="2"/>
          <w:w w:val="105"/>
        </w:rPr>
        <w:t>al</w:t>
      </w:r>
      <w:r>
        <w:rPr>
          <w:color w:val="231F20"/>
          <w:spacing w:val="-12"/>
          <w:w w:val="105"/>
        </w:rPr>
        <w:t> </w:t>
      </w:r>
      <w:r>
        <w:rPr>
          <w:color w:val="231F20"/>
          <w:w w:val="105"/>
        </w:rPr>
        <w:t>lector</w:t>
      </w:r>
      <w:r>
        <w:rPr>
          <w:color w:val="231F20"/>
          <w:spacing w:val="-12"/>
          <w:w w:val="105"/>
        </w:rPr>
        <w:t> </w:t>
      </w:r>
      <w:r>
        <w:rPr>
          <w:color w:val="231F20"/>
          <w:w w:val="105"/>
        </w:rPr>
        <w:t>la</w:t>
      </w:r>
      <w:r>
        <w:rPr>
          <w:color w:val="231F20"/>
          <w:spacing w:val="-12"/>
          <w:w w:val="105"/>
        </w:rPr>
        <w:t> </w:t>
      </w:r>
      <w:r>
        <w:rPr>
          <w:color w:val="231F20"/>
          <w:w w:val="105"/>
        </w:rPr>
        <w:t>comparación entre</w:t>
      </w:r>
      <w:r>
        <w:rPr>
          <w:color w:val="231F20"/>
          <w:spacing w:val="-15"/>
          <w:w w:val="105"/>
        </w:rPr>
        <w:t> </w:t>
      </w:r>
      <w:r>
        <w:rPr>
          <w:color w:val="231F20"/>
          <w:w w:val="105"/>
        </w:rPr>
        <w:t>los</w:t>
      </w:r>
      <w:r>
        <w:rPr>
          <w:color w:val="231F20"/>
          <w:spacing w:val="-15"/>
          <w:w w:val="105"/>
        </w:rPr>
        <w:t> </w:t>
      </w:r>
      <w:r>
        <w:rPr>
          <w:color w:val="231F20"/>
          <w:w w:val="105"/>
        </w:rPr>
        <w:t>municipios,</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establecer</w:t>
      </w:r>
      <w:r>
        <w:rPr>
          <w:color w:val="231F20"/>
          <w:spacing w:val="-15"/>
          <w:w w:val="105"/>
        </w:rPr>
        <w:t> </w:t>
      </w:r>
      <w:r>
        <w:rPr>
          <w:color w:val="231F20"/>
          <w:w w:val="105"/>
        </w:rPr>
        <w:t>sus</w:t>
      </w:r>
      <w:r>
        <w:rPr>
          <w:color w:val="231F20"/>
          <w:spacing w:val="-15"/>
          <w:w w:val="105"/>
        </w:rPr>
        <w:t> </w:t>
      </w:r>
      <w:r>
        <w:rPr>
          <w:color w:val="231F20"/>
          <w:w w:val="105"/>
        </w:rPr>
        <w:t>propias</w:t>
      </w:r>
      <w:r>
        <w:rPr>
          <w:color w:val="231F20"/>
          <w:spacing w:val="-15"/>
          <w:w w:val="105"/>
        </w:rPr>
        <w:t> </w:t>
      </w:r>
      <w:r>
        <w:rPr>
          <w:color w:val="231F20"/>
          <w:w w:val="105"/>
        </w:rPr>
        <w:t>conclusiones,</w:t>
      </w:r>
      <w:r>
        <w:rPr>
          <w:color w:val="231F20"/>
          <w:spacing w:val="-15"/>
          <w:w w:val="105"/>
        </w:rPr>
        <w:t> </w:t>
      </w:r>
      <w:r>
        <w:rPr>
          <w:color w:val="231F20"/>
          <w:w w:val="105"/>
        </w:rPr>
        <w:t>ponderando</w:t>
      </w:r>
      <w:r>
        <w:rPr>
          <w:color w:val="231F20"/>
          <w:spacing w:val="-15"/>
          <w:w w:val="105"/>
        </w:rPr>
        <w:t> </w:t>
      </w:r>
      <w:r>
        <w:rPr>
          <w:color w:val="231F20"/>
          <w:w w:val="105"/>
        </w:rPr>
        <w:t>no</w:t>
      </w:r>
      <w:r>
        <w:rPr>
          <w:color w:val="231F20"/>
          <w:spacing w:val="-15"/>
          <w:w w:val="105"/>
        </w:rPr>
        <w:t> </w:t>
      </w:r>
      <w:r>
        <w:rPr>
          <w:color w:val="231F20"/>
          <w:spacing w:val="-3"/>
          <w:w w:val="105"/>
        </w:rPr>
        <w:t>sólo </w:t>
      </w:r>
      <w:r>
        <w:rPr>
          <w:color w:val="231F20"/>
          <w:w w:val="105"/>
        </w:rPr>
        <w:t>el</w:t>
      </w:r>
      <w:r>
        <w:rPr>
          <w:color w:val="231F20"/>
          <w:spacing w:val="-15"/>
          <w:w w:val="105"/>
        </w:rPr>
        <w:t> </w:t>
      </w:r>
      <w:r>
        <w:rPr>
          <w:color w:val="231F20"/>
          <w:w w:val="105"/>
        </w:rPr>
        <w:t>ejercicio</w:t>
      </w:r>
      <w:r>
        <w:rPr>
          <w:color w:val="231F20"/>
          <w:spacing w:val="-15"/>
          <w:w w:val="105"/>
        </w:rPr>
        <w:t> </w:t>
      </w:r>
      <w:r>
        <w:rPr>
          <w:color w:val="231F20"/>
          <w:w w:val="105"/>
        </w:rPr>
        <w:t>del</w:t>
      </w:r>
      <w:r>
        <w:rPr>
          <w:color w:val="231F20"/>
          <w:spacing w:val="-15"/>
          <w:w w:val="105"/>
        </w:rPr>
        <w:t> </w:t>
      </w:r>
      <w:r>
        <w:rPr>
          <w:color w:val="231F20"/>
          <w:w w:val="105"/>
        </w:rPr>
        <w:t>partido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sino</w:t>
      </w:r>
      <w:r>
        <w:rPr>
          <w:color w:val="231F20"/>
          <w:spacing w:val="-15"/>
          <w:w w:val="105"/>
        </w:rPr>
        <w:t> </w:t>
      </w:r>
      <w:r>
        <w:rPr>
          <w:color w:val="231F20"/>
          <w:w w:val="105"/>
        </w:rPr>
        <w:t>también</w:t>
      </w:r>
      <w:r>
        <w:rPr>
          <w:color w:val="231F20"/>
          <w:spacing w:val="-15"/>
          <w:w w:val="105"/>
        </w:rPr>
        <w:t> </w:t>
      </w:r>
      <w:r>
        <w:rPr>
          <w:color w:val="231F20"/>
          <w:w w:val="105"/>
        </w:rPr>
        <w:t>las</w:t>
      </w:r>
      <w:r>
        <w:rPr>
          <w:color w:val="231F20"/>
          <w:spacing w:val="-15"/>
          <w:w w:val="105"/>
        </w:rPr>
        <w:t> </w:t>
      </w:r>
      <w:r>
        <w:rPr>
          <w:color w:val="231F20"/>
          <w:w w:val="105"/>
        </w:rPr>
        <w:t>características</w:t>
      </w:r>
      <w:r>
        <w:rPr>
          <w:color w:val="231F20"/>
          <w:spacing w:val="-15"/>
          <w:w w:val="105"/>
        </w:rPr>
        <w:t> </w:t>
      </w:r>
      <w:r>
        <w:rPr>
          <w:color w:val="231F20"/>
          <w:w w:val="105"/>
        </w:rPr>
        <w:t>del</w:t>
      </w:r>
      <w:r>
        <w:rPr>
          <w:color w:val="231F20"/>
          <w:spacing w:val="-15"/>
          <w:w w:val="105"/>
        </w:rPr>
        <w:t> </w:t>
      </w:r>
      <w:r>
        <w:rPr>
          <w:color w:val="231F20"/>
          <w:w w:val="105"/>
        </w:rPr>
        <w:t>municipio.</w:t>
      </w:r>
    </w:p>
    <w:p>
      <w:pPr>
        <w:pStyle w:val="BodyText"/>
        <w:spacing w:before="1"/>
        <w:rPr>
          <w:sz w:val="26"/>
        </w:rPr>
      </w:pPr>
    </w:p>
    <w:p>
      <w:pPr>
        <w:pStyle w:val="BodyText"/>
        <w:spacing w:line="285" w:lineRule="auto"/>
        <w:ind w:left="110" w:right="108"/>
        <w:jc w:val="both"/>
      </w:pPr>
      <w:r>
        <w:rPr>
          <w:color w:val="231F20"/>
          <w:w w:val="105"/>
        </w:rPr>
        <w:t>El</w:t>
      </w:r>
      <w:r>
        <w:rPr>
          <w:color w:val="231F20"/>
          <w:spacing w:val="-8"/>
          <w:w w:val="105"/>
        </w:rPr>
        <w:t> </w:t>
      </w:r>
      <w:r>
        <w:rPr>
          <w:color w:val="231F20"/>
          <w:w w:val="105"/>
        </w:rPr>
        <w:t>diseño</w:t>
      </w:r>
      <w:r>
        <w:rPr>
          <w:color w:val="231F20"/>
          <w:spacing w:val="-8"/>
          <w:w w:val="105"/>
        </w:rPr>
        <w:t> </w:t>
      </w:r>
      <w:r>
        <w:rPr>
          <w:color w:val="231F20"/>
          <w:w w:val="105"/>
        </w:rPr>
        <w:t>institucional</w:t>
      </w:r>
      <w:r>
        <w:rPr>
          <w:color w:val="231F20"/>
          <w:spacing w:val="-8"/>
          <w:w w:val="105"/>
        </w:rPr>
        <w:t> </w:t>
      </w:r>
      <w:r>
        <w:rPr>
          <w:color w:val="231F20"/>
          <w:w w:val="105"/>
        </w:rPr>
        <w:t>es</w:t>
      </w:r>
      <w:r>
        <w:rPr>
          <w:color w:val="231F20"/>
          <w:spacing w:val="-8"/>
          <w:w w:val="105"/>
        </w:rPr>
        <w:t> </w:t>
      </w:r>
      <w:r>
        <w:rPr>
          <w:color w:val="231F20"/>
          <w:w w:val="105"/>
        </w:rPr>
        <w:t>un</w:t>
      </w:r>
      <w:r>
        <w:rPr>
          <w:color w:val="231F20"/>
          <w:spacing w:val="-8"/>
          <w:w w:val="105"/>
        </w:rPr>
        <w:t> </w:t>
      </w:r>
      <w:r>
        <w:rPr>
          <w:color w:val="231F20"/>
          <w:spacing w:val="-3"/>
          <w:w w:val="105"/>
        </w:rPr>
        <w:t>referente</w:t>
      </w:r>
      <w:r>
        <w:rPr>
          <w:color w:val="231F20"/>
          <w:spacing w:val="-8"/>
          <w:w w:val="105"/>
        </w:rPr>
        <w:t> </w:t>
      </w:r>
      <w:r>
        <w:rPr>
          <w:color w:val="231F20"/>
          <w:w w:val="105"/>
        </w:rPr>
        <w:t>básico</w:t>
      </w:r>
      <w:r>
        <w:rPr>
          <w:color w:val="231F20"/>
          <w:spacing w:val="-8"/>
          <w:w w:val="105"/>
        </w:rPr>
        <w:t> </w:t>
      </w:r>
      <w:r>
        <w:rPr>
          <w:color w:val="231F20"/>
          <w:w w:val="105"/>
        </w:rPr>
        <w:t>para</w:t>
      </w:r>
      <w:r>
        <w:rPr>
          <w:color w:val="231F20"/>
          <w:spacing w:val="-8"/>
          <w:w w:val="105"/>
        </w:rPr>
        <w:t> </w:t>
      </w:r>
      <w:r>
        <w:rPr>
          <w:color w:val="231F20"/>
          <w:spacing w:val="-3"/>
          <w:w w:val="105"/>
        </w:rPr>
        <w:t>comprender</w:t>
      </w:r>
      <w:r>
        <w:rPr>
          <w:color w:val="231F20"/>
          <w:spacing w:val="-8"/>
          <w:w w:val="105"/>
        </w:rPr>
        <w:t> </w:t>
      </w:r>
      <w:r>
        <w:rPr>
          <w:color w:val="231F20"/>
          <w:w w:val="105"/>
        </w:rPr>
        <w:t>el</w:t>
      </w:r>
      <w:r>
        <w:rPr>
          <w:color w:val="231F20"/>
          <w:spacing w:val="-8"/>
          <w:w w:val="105"/>
        </w:rPr>
        <w:t> </w:t>
      </w:r>
      <w:r>
        <w:rPr>
          <w:color w:val="231F20"/>
          <w:w w:val="105"/>
        </w:rPr>
        <w:t>proyecto</w:t>
      </w:r>
      <w:r>
        <w:rPr>
          <w:color w:val="231F20"/>
          <w:spacing w:val="-8"/>
          <w:w w:val="105"/>
        </w:rPr>
        <w:t> </w:t>
      </w:r>
      <w:r>
        <w:rPr>
          <w:color w:val="231F20"/>
          <w:w w:val="105"/>
        </w:rPr>
        <w:t>y</w:t>
      </w:r>
      <w:r>
        <w:rPr>
          <w:color w:val="231F20"/>
          <w:spacing w:val="-8"/>
          <w:w w:val="105"/>
        </w:rPr>
        <w:t> </w:t>
      </w:r>
      <w:r>
        <w:rPr>
          <w:color w:val="231F20"/>
          <w:w w:val="105"/>
        </w:rPr>
        <w:t>normativi- dad</w:t>
      </w:r>
      <w:r>
        <w:rPr>
          <w:color w:val="231F20"/>
          <w:spacing w:val="-5"/>
          <w:w w:val="105"/>
        </w:rPr>
        <w:t> </w:t>
      </w:r>
      <w:r>
        <w:rPr>
          <w:color w:val="231F20"/>
          <w:w w:val="105"/>
        </w:rPr>
        <w:t>que</w:t>
      </w:r>
      <w:r>
        <w:rPr>
          <w:color w:val="231F20"/>
          <w:spacing w:val="-5"/>
          <w:w w:val="105"/>
        </w:rPr>
        <w:t> </w:t>
      </w:r>
      <w:r>
        <w:rPr>
          <w:color w:val="231F20"/>
          <w:w w:val="105"/>
        </w:rPr>
        <w:t>rige</w:t>
      </w:r>
      <w:r>
        <w:rPr>
          <w:color w:val="231F20"/>
          <w:spacing w:val="-5"/>
          <w:w w:val="105"/>
        </w:rPr>
        <w:t> </w:t>
      </w:r>
      <w:r>
        <w:rPr>
          <w:color w:val="231F20"/>
          <w:spacing w:val="2"/>
          <w:w w:val="105"/>
        </w:rPr>
        <w:t>al</w:t>
      </w:r>
      <w:r>
        <w:rPr>
          <w:color w:val="231F20"/>
          <w:spacing w:val="-5"/>
          <w:w w:val="105"/>
        </w:rPr>
        <w:t> </w:t>
      </w:r>
      <w:r>
        <w:rPr>
          <w:color w:val="231F20"/>
          <w:w w:val="105"/>
        </w:rPr>
        <w:t>municipio,</w:t>
      </w:r>
      <w:r>
        <w:rPr>
          <w:color w:val="231F20"/>
          <w:spacing w:val="-5"/>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para</w:t>
      </w:r>
      <w:r>
        <w:rPr>
          <w:color w:val="231F20"/>
          <w:spacing w:val="-5"/>
          <w:w w:val="105"/>
        </w:rPr>
        <w:t> </w:t>
      </w:r>
      <w:r>
        <w:rPr>
          <w:color w:val="231F20"/>
          <w:w w:val="105"/>
        </w:rPr>
        <w:t>considerar</w:t>
      </w:r>
      <w:r>
        <w:rPr>
          <w:color w:val="231F20"/>
          <w:spacing w:val="-5"/>
          <w:w w:val="105"/>
        </w:rPr>
        <w:t> </w:t>
      </w:r>
      <w:r>
        <w:rPr>
          <w:color w:val="231F20"/>
          <w:w w:val="105"/>
        </w:rPr>
        <w:t>e</w:t>
      </w:r>
      <w:r>
        <w:rPr>
          <w:color w:val="231F20"/>
          <w:spacing w:val="-5"/>
          <w:w w:val="105"/>
        </w:rPr>
        <w:t> </w:t>
      </w:r>
      <w:r>
        <w:rPr>
          <w:color w:val="231F20"/>
          <w:w w:val="105"/>
        </w:rPr>
        <w:t>identificar</w:t>
      </w:r>
      <w:r>
        <w:rPr>
          <w:color w:val="231F20"/>
          <w:spacing w:val="-5"/>
          <w:w w:val="105"/>
        </w:rPr>
        <w:t> </w:t>
      </w:r>
      <w:r>
        <w:rPr>
          <w:color w:val="231F20"/>
          <w:w w:val="105"/>
        </w:rPr>
        <w:t>el</w:t>
      </w:r>
      <w:r>
        <w:rPr>
          <w:color w:val="231F20"/>
          <w:spacing w:val="-5"/>
          <w:w w:val="105"/>
        </w:rPr>
        <w:t> </w:t>
      </w:r>
      <w:r>
        <w:rPr>
          <w:color w:val="231F20"/>
          <w:w w:val="105"/>
        </w:rPr>
        <w:t>predominio</w:t>
      </w:r>
      <w:r>
        <w:rPr>
          <w:color w:val="231F20"/>
          <w:spacing w:val="-5"/>
          <w:w w:val="105"/>
        </w:rPr>
        <w:t> </w:t>
      </w:r>
      <w:r>
        <w:rPr>
          <w:color w:val="231F20"/>
          <w:w w:val="105"/>
        </w:rPr>
        <w:t>que</w:t>
      </w:r>
      <w:r>
        <w:rPr>
          <w:color w:val="231F20"/>
          <w:spacing w:val="-5"/>
          <w:w w:val="105"/>
        </w:rPr>
        <w:t> </w:t>
      </w:r>
      <w:r>
        <w:rPr>
          <w:color w:val="231F20"/>
          <w:w w:val="105"/>
        </w:rPr>
        <w:t>en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su</w:t>
      </w:r>
      <w:r>
        <w:rPr>
          <w:color w:val="231F20"/>
          <w:spacing w:val="-9"/>
          <w:w w:val="105"/>
        </w:rPr>
        <w:t> </w:t>
      </w:r>
      <w:r>
        <w:rPr>
          <w:color w:val="231F20"/>
          <w:spacing w:val="-3"/>
          <w:w w:val="105"/>
        </w:rPr>
        <w:t>momento</w:t>
      </w:r>
      <w:r>
        <w:rPr>
          <w:color w:val="231F20"/>
          <w:spacing w:val="-9"/>
          <w:w w:val="105"/>
        </w:rPr>
        <w:t> </w:t>
      </w:r>
      <w:r>
        <w:rPr>
          <w:color w:val="231F20"/>
          <w:w w:val="105"/>
        </w:rPr>
        <w:t>tiene</w:t>
      </w:r>
      <w:r>
        <w:rPr>
          <w:color w:val="231F20"/>
          <w:spacing w:val="-9"/>
          <w:w w:val="105"/>
        </w:rPr>
        <w:t> </w:t>
      </w:r>
      <w:r>
        <w:rPr>
          <w:color w:val="231F20"/>
          <w:w w:val="105"/>
        </w:rPr>
        <w:t>un</w:t>
      </w:r>
      <w:r>
        <w:rPr>
          <w:color w:val="231F20"/>
          <w:spacing w:val="-9"/>
          <w:w w:val="105"/>
        </w:rPr>
        <w:t> </w:t>
      </w:r>
      <w:r>
        <w:rPr>
          <w:color w:val="231F20"/>
          <w:w w:val="105"/>
        </w:rPr>
        <w:t>partido</w:t>
      </w:r>
      <w:r>
        <w:rPr>
          <w:color w:val="231F20"/>
          <w:spacing w:val="-9"/>
          <w:w w:val="105"/>
        </w:rPr>
        <w:t> </w:t>
      </w:r>
      <w:r>
        <w:rPr>
          <w:color w:val="231F20"/>
          <w:spacing w:val="2"/>
          <w:w w:val="105"/>
        </w:rPr>
        <w:t>al</w:t>
      </w:r>
      <w:r>
        <w:rPr>
          <w:color w:val="231F20"/>
          <w:spacing w:val="-9"/>
          <w:w w:val="105"/>
        </w:rPr>
        <w:t> </w:t>
      </w:r>
      <w:r>
        <w:rPr>
          <w:color w:val="231F20"/>
          <w:w w:val="105"/>
        </w:rPr>
        <w:t>establecer</w:t>
      </w:r>
      <w:r>
        <w:rPr>
          <w:color w:val="231F20"/>
          <w:spacing w:val="-9"/>
          <w:w w:val="105"/>
        </w:rPr>
        <w:t> </w:t>
      </w:r>
      <w:r>
        <w:rPr>
          <w:color w:val="231F20"/>
          <w:w w:val="105"/>
        </w:rPr>
        <w:t>determinadas</w:t>
      </w:r>
      <w:r>
        <w:rPr>
          <w:color w:val="231F20"/>
          <w:spacing w:val="-9"/>
          <w:w w:val="105"/>
        </w:rPr>
        <w:t> </w:t>
      </w:r>
      <w:r>
        <w:rPr>
          <w:color w:val="231F20"/>
          <w:w w:val="105"/>
        </w:rPr>
        <w:t>acciones</w:t>
      </w:r>
      <w:r>
        <w:rPr>
          <w:color w:val="231F20"/>
          <w:spacing w:val="-9"/>
          <w:w w:val="105"/>
        </w:rPr>
        <w:t> </w:t>
      </w:r>
      <w:r>
        <w:rPr>
          <w:color w:val="231F20"/>
          <w:w w:val="105"/>
        </w:rPr>
        <w:t>o</w:t>
      </w:r>
      <w:r>
        <w:rPr>
          <w:color w:val="231F20"/>
          <w:spacing w:val="-9"/>
          <w:w w:val="105"/>
        </w:rPr>
        <w:t> </w:t>
      </w:r>
      <w:r>
        <w:rPr>
          <w:color w:val="231F20"/>
          <w:w w:val="105"/>
        </w:rPr>
        <w:t>reglas.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diseño institucional</w:t>
      </w:r>
      <w:r>
        <w:rPr>
          <w:color w:val="231F20"/>
          <w:spacing w:val="-9"/>
          <w:w w:val="105"/>
        </w:rPr>
        <w:t> </w:t>
      </w:r>
      <w:r>
        <w:rPr>
          <w:color w:val="231F20"/>
          <w:w w:val="105"/>
        </w:rPr>
        <w:t>se</w:t>
      </w:r>
      <w:r>
        <w:rPr>
          <w:color w:val="231F20"/>
          <w:spacing w:val="-9"/>
          <w:w w:val="105"/>
        </w:rPr>
        <w:t> </w:t>
      </w:r>
      <w:r>
        <w:rPr>
          <w:color w:val="231F20"/>
          <w:w w:val="105"/>
        </w:rPr>
        <w:t>establece</w:t>
      </w:r>
      <w:r>
        <w:rPr>
          <w:color w:val="231F20"/>
          <w:spacing w:val="-9"/>
          <w:w w:val="105"/>
        </w:rPr>
        <w:t> </w:t>
      </w:r>
      <w:r>
        <w:rPr>
          <w:color w:val="231F20"/>
          <w:w w:val="105"/>
        </w:rPr>
        <w:t>la</w:t>
      </w:r>
      <w:r>
        <w:rPr>
          <w:color w:val="231F20"/>
          <w:spacing w:val="-9"/>
          <w:w w:val="105"/>
        </w:rPr>
        <w:t> </w:t>
      </w:r>
      <w:r>
        <w:rPr>
          <w:color w:val="231F20"/>
          <w:w w:val="105"/>
        </w:rPr>
        <w:t>forma</w:t>
      </w:r>
      <w:r>
        <w:rPr>
          <w:color w:val="231F20"/>
          <w:spacing w:val="-9"/>
          <w:w w:val="105"/>
        </w:rPr>
        <w:t> </w:t>
      </w:r>
      <w:r>
        <w:rPr>
          <w:color w:val="231F20"/>
          <w:w w:val="105"/>
        </w:rPr>
        <w:t>de</w:t>
      </w:r>
      <w:r>
        <w:rPr>
          <w:color w:val="231F20"/>
          <w:spacing w:val="-9"/>
          <w:w w:val="105"/>
        </w:rPr>
        <w:t> </w:t>
      </w:r>
      <w:r>
        <w:rPr>
          <w:color w:val="231F20"/>
          <w:w w:val="105"/>
        </w:rPr>
        <w:t>operar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municipal,</w:t>
      </w:r>
      <w:r>
        <w:rPr>
          <w:color w:val="231F20"/>
          <w:spacing w:val="-9"/>
          <w:w w:val="105"/>
        </w:rPr>
        <w:t> </w:t>
      </w:r>
      <w:r>
        <w:rPr>
          <w:color w:val="231F20"/>
          <w:w w:val="105"/>
        </w:rPr>
        <w:t>por</w:t>
      </w:r>
      <w:r>
        <w:rPr>
          <w:color w:val="231F20"/>
          <w:spacing w:val="-9"/>
          <w:w w:val="105"/>
        </w:rPr>
        <w:t> </w:t>
      </w:r>
      <w:r>
        <w:rPr>
          <w:color w:val="231F20"/>
          <w:w w:val="105"/>
        </w:rPr>
        <w:t>eso</w:t>
      </w:r>
      <w:r>
        <w:rPr>
          <w:color w:val="231F20"/>
          <w:spacing w:val="-9"/>
          <w:w w:val="105"/>
        </w:rPr>
        <w:t> </w:t>
      </w:r>
      <w:r>
        <w:rPr>
          <w:color w:val="231F20"/>
          <w:w w:val="105"/>
        </w:rPr>
        <w:t>se </w:t>
      </w:r>
      <w:r>
        <w:rPr>
          <w:color w:val="231F20"/>
          <w:spacing w:val="2"/>
          <w:w w:val="105"/>
        </w:rPr>
        <w:t>analizan</w:t>
      </w:r>
      <w:r>
        <w:rPr>
          <w:color w:val="231F20"/>
          <w:spacing w:val="-10"/>
          <w:w w:val="105"/>
        </w:rPr>
        <w:t> </w:t>
      </w:r>
      <w:r>
        <w:rPr>
          <w:color w:val="231F20"/>
          <w:w w:val="105"/>
        </w:rPr>
        <w:t>las</w:t>
      </w:r>
      <w:r>
        <w:rPr>
          <w:color w:val="231F20"/>
          <w:spacing w:val="-10"/>
          <w:w w:val="105"/>
        </w:rPr>
        <w:t> </w:t>
      </w:r>
      <w:r>
        <w:rPr>
          <w:color w:val="231F20"/>
          <w:w w:val="105"/>
        </w:rPr>
        <w:t>normas</w:t>
      </w:r>
      <w:r>
        <w:rPr>
          <w:color w:val="231F20"/>
          <w:spacing w:val="-10"/>
          <w:w w:val="105"/>
        </w:rPr>
        <w:t> </w:t>
      </w:r>
      <w:r>
        <w:rPr>
          <w:color w:val="231F20"/>
          <w:w w:val="105"/>
        </w:rPr>
        <w:t>de</w:t>
      </w:r>
      <w:r>
        <w:rPr>
          <w:color w:val="231F20"/>
          <w:spacing w:val="-10"/>
          <w:w w:val="105"/>
        </w:rPr>
        <w:t> </w:t>
      </w:r>
      <w:r>
        <w:rPr>
          <w:color w:val="231F20"/>
          <w:w w:val="105"/>
        </w:rPr>
        <w:t>dirección</w:t>
      </w:r>
      <w:r>
        <w:rPr>
          <w:color w:val="231F20"/>
          <w:spacing w:val="-10"/>
          <w:w w:val="105"/>
        </w:rPr>
        <w:t> </w:t>
      </w:r>
      <w:r>
        <w:rPr>
          <w:color w:val="231F20"/>
          <w:w w:val="105"/>
        </w:rPr>
        <w:t>como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Bando</w:t>
      </w:r>
      <w:r>
        <w:rPr>
          <w:color w:val="231F20"/>
          <w:spacing w:val="-10"/>
          <w:w w:val="105"/>
        </w:rPr>
        <w:t> </w:t>
      </w:r>
      <w:r>
        <w:rPr>
          <w:color w:val="231F20"/>
          <w:w w:val="105"/>
        </w:rPr>
        <w:t>de</w:t>
      </w:r>
      <w:r>
        <w:rPr>
          <w:color w:val="231F20"/>
          <w:spacing w:val="-10"/>
          <w:w w:val="105"/>
        </w:rPr>
        <w:t> </w:t>
      </w:r>
      <w:r>
        <w:rPr>
          <w:color w:val="231F20"/>
          <w:w w:val="105"/>
        </w:rPr>
        <w:t>Policía</w:t>
      </w:r>
      <w:r>
        <w:rPr>
          <w:color w:val="231F20"/>
          <w:spacing w:val="-10"/>
          <w:w w:val="105"/>
        </w:rPr>
        <w:t> </w:t>
      </w:r>
      <w:r>
        <w:rPr>
          <w:color w:val="231F20"/>
          <w:w w:val="105"/>
        </w:rPr>
        <w:t>y</w:t>
      </w:r>
      <w:r>
        <w:rPr>
          <w:color w:val="231F20"/>
          <w:spacing w:val="-10"/>
          <w:w w:val="105"/>
        </w:rPr>
        <w:t> </w:t>
      </w:r>
      <w:r>
        <w:rPr>
          <w:color w:val="231F20"/>
          <w:w w:val="105"/>
        </w:rPr>
        <w:t>Buen</w:t>
      </w:r>
      <w:r>
        <w:rPr>
          <w:color w:val="231F20"/>
          <w:spacing w:val="-10"/>
          <w:w w:val="105"/>
        </w:rPr>
        <w:t> </w:t>
      </w:r>
      <w:r>
        <w:rPr>
          <w:color w:val="231F20"/>
          <w:w w:val="105"/>
        </w:rPr>
        <w:t>Gobierno,</w:t>
      </w:r>
      <w:r>
        <w:rPr>
          <w:color w:val="231F20"/>
          <w:spacing w:val="-10"/>
          <w:w w:val="105"/>
        </w:rPr>
        <w:t> </w:t>
      </w:r>
      <w:r>
        <w:rPr>
          <w:color w:val="231F20"/>
          <w:w w:val="105"/>
        </w:rPr>
        <w:t>los</w:t>
      </w:r>
      <w:r>
        <w:rPr>
          <w:color w:val="231F20"/>
          <w:spacing w:val="-10"/>
          <w:w w:val="105"/>
        </w:rPr>
        <w:t> </w:t>
      </w:r>
      <w:r>
        <w:rPr>
          <w:color w:val="231F20"/>
          <w:w w:val="105"/>
        </w:rPr>
        <w:t>re- glamentos,</w:t>
      </w:r>
      <w:r>
        <w:rPr>
          <w:color w:val="231F20"/>
          <w:spacing w:val="-21"/>
          <w:w w:val="105"/>
        </w:rPr>
        <w:t> </w:t>
      </w:r>
      <w:r>
        <w:rPr>
          <w:color w:val="231F20"/>
          <w:w w:val="105"/>
        </w:rPr>
        <w:t>las</w:t>
      </w:r>
      <w:r>
        <w:rPr>
          <w:color w:val="231F20"/>
          <w:spacing w:val="-21"/>
          <w:w w:val="105"/>
        </w:rPr>
        <w:t> </w:t>
      </w:r>
      <w:r>
        <w:rPr>
          <w:color w:val="231F20"/>
          <w:w w:val="105"/>
        </w:rPr>
        <w:t>actas</w:t>
      </w:r>
      <w:r>
        <w:rPr>
          <w:color w:val="231F20"/>
          <w:spacing w:val="-21"/>
          <w:w w:val="105"/>
        </w:rPr>
        <w:t> </w:t>
      </w:r>
      <w:r>
        <w:rPr>
          <w:color w:val="231F20"/>
          <w:w w:val="105"/>
        </w:rPr>
        <w:t>de</w:t>
      </w:r>
      <w:r>
        <w:rPr>
          <w:color w:val="231F20"/>
          <w:spacing w:val="-21"/>
          <w:w w:val="105"/>
        </w:rPr>
        <w:t> </w:t>
      </w:r>
      <w:r>
        <w:rPr>
          <w:color w:val="231F20"/>
          <w:w w:val="105"/>
        </w:rPr>
        <w:t>cabildo;</w:t>
      </w:r>
      <w:r>
        <w:rPr>
          <w:color w:val="231F20"/>
          <w:spacing w:val="-21"/>
          <w:w w:val="105"/>
        </w:rPr>
        <w:t> </w:t>
      </w:r>
      <w:r>
        <w:rPr>
          <w:color w:val="231F20"/>
          <w:w w:val="105"/>
        </w:rPr>
        <w:t>las</w:t>
      </w:r>
      <w:r>
        <w:rPr>
          <w:color w:val="231F20"/>
          <w:spacing w:val="-21"/>
          <w:w w:val="105"/>
        </w:rPr>
        <w:t> </w:t>
      </w:r>
      <w:r>
        <w:rPr>
          <w:color w:val="231F20"/>
          <w:w w:val="105"/>
        </w:rPr>
        <w:t>normas</w:t>
      </w:r>
      <w:r>
        <w:rPr>
          <w:color w:val="231F20"/>
          <w:spacing w:val="-21"/>
          <w:w w:val="105"/>
        </w:rPr>
        <w:t> </w:t>
      </w:r>
      <w:r>
        <w:rPr>
          <w:color w:val="231F20"/>
          <w:w w:val="105"/>
        </w:rPr>
        <w:t>de</w:t>
      </w:r>
      <w:r>
        <w:rPr>
          <w:color w:val="231F20"/>
          <w:spacing w:val="-21"/>
          <w:w w:val="105"/>
        </w:rPr>
        <w:t> </w:t>
      </w:r>
      <w:r>
        <w:rPr>
          <w:color w:val="231F20"/>
          <w:w w:val="105"/>
        </w:rPr>
        <w:t>operación</w:t>
      </w:r>
      <w:r>
        <w:rPr>
          <w:color w:val="231F20"/>
          <w:spacing w:val="-21"/>
          <w:w w:val="105"/>
        </w:rPr>
        <w:t> </w:t>
      </w:r>
      <w:r>
        <w:rPr>
          <w:color w:val="231F20"/>
          <w:w w:val="105"/>
        </w:rPr>
        <w:t>como</w:t>
      </w:r>
      <w:r>
        <w:rPr>
          <w:color w:val="231F20"/>
          <w:spacing w:val="-21"/>
          <w:w w:val="105"/>
        </w:rPr>
        <w:t> </w:t>
      </w:r>
      <w:r>
        <w:rPr>
          <w:color w:val="231F20"/>
          <w:w w:val="105"/>
        </w:rPr>
        <w:t>es</w:t>
      </w:r>
      <w:r>
        <w:rPr>
          <w:color w:val="231F20"/>
          <w:spacing w:val="-21"/>
          <w:w w:val="105"/>
        </w:rPr>
        <w:t> </w:t>
      </w:r>
      <w:r>
        <w:rPr>
          <w:color w:val="231F20"/>
          <w:w w:val="105"/>
        </w:rPr>
        <w:t>el</w:t>
      </w:r>
      <w:r>
        <w:rPr>
          <w:color w:val="231F20"/>
          <w:spacing w:val="-21"/>
          <w:w w:val="105"/>
        </w:rPr>
        <w:t> </w:t>
      </w:r>
      <w:r>
        <w:rPr>
          <w:color w:val="231F20"/>
          <w:w w:val="105"/>
        </w:rPr>
        <w:t>Plan</w:t>
      </w:r>
      <w:r>
        <w:rPr>
          <w:color w:val="231F20"/>
          <w:spacing w:val="-21"/>
          <w:w w:val="105"/>
        </w:rPr>
        <w:t> </w:t>
      </w:r>
      <w:r>
        <w:rPr>
          <w:color w:val="231F20"/>
          <w:w w:val="105"/>
        </w:rPr>
        <w:t>de</w:t>
      </w:r>
      <w:r>
        <w:rPr>
          <w:color w:val="231F20"/>
          <w:spacing w:val="-21"/>
          <w:w w:val="105"/>
        </w:rPr>
        <w:t> </w:t>
      </w:r>
      <w:r>
        <w:rPr>
          <w:color w:val="231F20"/>
          <w:w w:val="105"/>
        </w:rPr>
        <w:t>Desarrollo</w:t>
      </w:r>
      <w:r>
        <w:rPr>
          <w:color w:val="231F20"/>
          <w:spacing w:val="-21"/>
          <w:w w:val="105"/>
        </w:rPr>
        <w:t> </w:t>
      </w:r>
      <w:r>
        <w:rPr>
          <w:color w:val="231F20"/>
          <w:w w:val="105"/>
        </w:rPr>
        <w:t>y los</w:t>
      </w:r>
      <w:r>
        <w:rPr>
          <w:color w:val="231F20"/>
          <w:spacing w:val="-11"/>
          <w:w w:val="105"/>
        </w:rPr>
        <w:t> </w:t>
      </w:r>
      <w:r>
        <w:rPr>
          <w:color w:val="231F20"/>
          <w:w w:val="105"/>
        </w:rPr>
        <w:t>Programas</w:t>
      </w:r>
      <w:r>
        <w:rPr>
          <w:color w:val="231F20"/>
          <w:spacing w:val="-11"/>
          <w:w w:val="105"/>
        </w:rPr>
        <w:t> </w:t>
      </w:r>
      <w:r>
        <w:rPr>
          <w:color w:val="231F20"/>
          <w:w w:val="105"/>
        </w:rPr>
        <w:t>de</w:t>
      </w:r>
      <w:r>
        <w:rPr>
          <w:color w:val="231F20"/>
          <w:spacing w:val="-11"/>
          <w:w w:val="105"/>
        </w:rPr>
        <w:t> </w:t>
      </w:r>
      <w:r>
        <w:rPr>
          <w:color w:val="231F20"/>
          <w:w w:val="105"/>
        </w:rPr>
        <w:t>Inversión;</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estructura</w:t>
      </w:r>
      <w:r>
        <w:rPr>
          <w:color w:val="231F20"/>
          <w:spacing w:val="-11"/>
          <w:w w:val="105"/>
        </w:rPr>
        <w:t> </w:t>
      </w:r>
      <w:r>
        <w:rPr>
          <w:color w:val="231F20"/>
          <w:w w:val="105"/>
        </w:rPr>
        <w:t>organizacional</w:t>
      </w:r>
      <w:r>
        <w:rPr>
          <w:color w:val="231F20"/>
          <w:spacing w:val="-11"/>
          <w:w w:val="105"/>
        </w:rPr>
        <w:t> </w:t>
      </w:r>
      <w:r>
        <w:rPr>
          <w:color w:val="231F20"/>
          <w:w w:val="105"/>
        </w:rPr>
        <w:t>por</w:t>
      </w:r>
      <w:r>
        <w:rPr>
          <w:color w:val="231F20"/>
          <w:spacing w:val="-11"/>
          <w:w w:val="105"/>
        </w:rPr>
        <w:t> </w:t>
      </w:r>
      <w:r>
        <w:rPr>
          <w:color w:val="231F20"/>
          <w:w w:val="105"/>
        </w:rPr>
        <w:t>medio</w:t>
      </w:r>
      <w:r>
        <w:rPr>
          <w:color w:val="231F20"/>
          <w:spacing w:val="-11"/>
          <w:w w:val="105"/>
        </w:rPr>
        <w:t> </w:t>
      </w:r>
      <w:r>
        <w:rPr>
          <w:color w:val="231F20"/>
          <w:w w:val="105"/>
        </w:rPr>
        <w:t>de</w:t>
      </w:r>
      <w:r>
        <w:rPr>
          <w:color w:val="231F20"/>
          <w:spacing w:val="-11"/>
          <w:w w:val="105"/>
        </w:rPr>
        <w:t> </w:t>
      </w:r>
      <w:r>
        <w:rPr>
          <w:color w:val="231F20"/>
          <w:w w:val="105"/>
        </w:rPr>
        <w:t>organigramas, </w:t>
      </w:r>
      <w:r>
        <w:rPr>
          <w:color w:val="231F20"/>
          <w:spacing w:val="2"/>
          <w:w w:val="105"/>
        </w:rPr>
        <w:t>cartas</w:t>
      </w:r>
      <w:r>
        <w:rPr>
          <w:color w:val="231F20"/>
          <w:spacing w:val="-12"/>
          <w:w w:val="105"/>
        </w:rPr>
        <w:t> </w:t>
      </w:r>
      <w:r>
        <w:rPr>
          <w:color w:val="231F20"/>
          <w:w w:val="105"/>
        </w:rPr>
        <w:t>de</w:t>
      </w:r>
      <w:r>
        <w:rPr>
          <w:color w:val="231F20"/>
          <w:spacing w:val="-12"/>
          <w:w w:val="105"/>
        </w:rPr>
        <w:t> </w:t>
      </w:r>
      <w:r>
        <w:rPr>
          <w:color w:val="231F20"/>
          <w:w w:val="105"/>
        </w:rPr>
        <w:t>organización</w:t>
      </w:r>
      <w:r>
        <w:rPr>
          <w:color w:val="231F20"/>
          <w:spacing w:val="-12"/>
          <w:w w:val="105"/>
        </w:rPr>
        <w:t> </w:t>
      </w:r>
      <w:r>
        <w:rPr>
          <w:color w:val="231F20"/>
          <w:w w:val="105"/>
        </w:rPr>
        <w:t>o</w:t>
      </w:r>
      <w:r>
        <w:rPr>
          <w:color w:val="231F20"/>
          <w:spacing w:val="-12"/>
          <w:w w:val="105"/>
        </w:rPr>
        <w:t> </w:t>
      </w:r>
      <w:r>
        <w:rPr>
          <w:color w:val="231F20"/>
          <w:w w:val="105"/>
        </w:rPr>
        <w:t>manuales</w:t>
      </w:r>
      <w:r>
        <w:rPr>
          <w:color w:val="231F20"/>
          <w:spacing w:val="-12"/>
          <w:w w:val="105"/>
        </w:rPr>
        <w:t> </w:t>
      </w:r>
      <w:r>
        <w:rPr>
          <w:color w:val="231F20"/>
          <w:w w:val="105"/>
        </w:rPr>
        <w:t>de</w:t>
      </w:r>
      <w:r>
        <w:rPr>
          <w:color w:val="231F20"/>
          <w:spacing w:val="-12"/>
          <w:w w:val="105"/>
        </w:rPr>
        <w:t> </w:t>
      </w:r>
      <w:r>
        <w:rPr>
          <w:color w:val="231F20"/>
          <w:w w:val="105"/>
        </w:rPr>
        <w:t>organización</w:t>
      </w:r>
      <w:r>
        <w:rPr>
          <w:color w:val="231F20"/>
          <w:spacing w:val="-12"/>
          <w:w w:val="105"/>
        </w:rPr>
        <w:t> </w:t>
      </w:r>
      <w:r>
        <w:rPr>
          <w:color w:val="231F20"/>
          <w:w w:val="105"/>
        </w:rPr>
        <w:t>y</w:t>
      </w:r>
      <w:r>
        <w:rPr>
          <w:color w:val="231F20"/>
          <w:spacing w:val="-12"/>
          <w:w w:val="105"/>
        </w:rPr>
        <w:t> </w:t>
      </w:r>
      <w:r>
        <w:rPr>
          <w:color w:val="231F20"/>
          <w:w w:val="105"/>
        </w:rPr>
        <w:t>procedimientos.</w:t>
      </w:r>
    </w:p>
    <w:p>
      <w:pPr>
        <w:pStyle w:val="BodyText"/>
        <w:spacing w:before="1"/>
        <w:rPr>
          <w:sz w:val="26"/>
        </w:rPr>
      </w:pPr>
    </w:p>
    <w:p>
      <w:pPr>
        <w:pStyle w:val="BodyText"/>
        <w:spacing w:line="285" w:lineRule="auto"/>
        <w:ind w:left="110" w:right="106"/>
        <w:jc w:val="both"/>
      </w:pPr>
      <w:r>
        <w:rPr>
          <w:color w:val="231F20"/>
          <w:w w:val="105"/>
        </w:rPr>
        <w:t>La</w:t>
      </w:r>
      <w:r>
        <w:rPr>
          <w:color w:val="231F20"/>
          <w:spacing w:val="-10"/>
          <w:w w:val="105"/>
        </w:rPr>
        <w:t> </w:t>
      </w:r>
      <w:r>
        <w:rPr>
          <w:color w:val="231F20"/>
          <w:w w:val="105"/>
        </w:rPr>
        <w:t>tercera</w:t>
      </w:r>
      <w:r>
        <w:rPr>
          <w:color w:val="231F20"/>
          <w:spacing w:val="-10"/>
          <w:w w:val="105"/>
        </w:rPr>
        <w:t> </w:t>
      </w:r>
      <w:r>
        <w:rPr>
          <w:color w:val="231F20"/>
          <w:w w:val="105"/>
        </w:rPr>
        <w:t>variable</w:t>
      </w:r>
      <w:r>
        <w:rPr>
          <w:color w:val="231F20"/>
          <w:spacing w:val="-10"/>
          <w:w w:val="105"/>
        </w:rPr>
        <w:t> </w:t>
      </w:r>
      <w:r>
        <w:rPr>
          <w:color w:val="231F20"/>
          <w:w w:val="105"/>
        </w:rPr>
        <w:t>en</w:t>
      </w:r>
      <w:r>
        <w:rPr>
          <w:color w:val="231F20"/>
          <w:spacing w:val="-10"/>
          <w:w w:val="105"/>
        </w:rPr>
        <w:t> </w:t>
      </w:r>
      <w:r>
        <w:rPr>
          <w:color w:val="231F20"/>
          <w:w w:val="105"/>
        </w:rPr>
        <w:t>estudio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desempeño</w:t>
      </w:r>
      <w:r>
        <w:rPr>
          <w:color w:val="231F20"/>
          <w:spacing w:val="-10"/>
          <w:w w:val="105"/>
        </w:rPr>
        <w:t> </w:t>
      </w:r>
      <w:r>
        <w:rPr>
          <w:color w:val="231F20"/>
          <w:w w:val="105"/>
        </w:rPr>
        <w:t>institucional</w:t>
      </w:r>
      <w:r>
        <w:rPr>
          <w:color w:val="231F20"/>
          <w:spacing w:val="-10"/>
          <w:w w:val="105"/>
        </w:rPr>
        <w:t> </w:t>
      </w:r>
      <w:r>
        <w:rPr>
          <w:color w:val="231F20"/>
          <w:w w:val="105"/>
        </w:rPr>
        <w:t>como</w:t>
      </w:r>
      <w:r>
        <w:rPr>
          <w:color w:val="231F20"/>
          <w:spacing w:val="-10"/>
          <w:w w:val="105"/>
        </w:rPr>
        <w:t> </w:t>
      </w:r>
      <w:r>
        <w:rPr>
          <w:color w:val="231F20"/>
          <w:w w:val="105"/>
        </w:rPr>
        <w:t>indicador</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efec- tividad</w:t>
      </w:r>
      <w:r>
        <w:rPr>
          <w:color w:val="231F20"/>
          <w:spacing w:val="-10"/>
          <w:w w:val="105"/>
        </w:rPr>
        <w:t> </w:t>
      </w:r>
      <w:r>
        <w:rPr>
          <w:color w:val="231F20"/>
          <w:w w:val="105"/>
        </w:rPr>
        <w:t>del</w:t>
      </w:r>
      <w:r>
        <w:rPr>
          <w:color w:val="231F20"/>
          <w:spacing w:val="-10"/>
          <w:w w:val="105"/>
        </w:rPr>
        <w:t> </w:t>
      </w:r>
      <w:r>
        <w:rPr>
          <w:color w:val="231F20"/>
          <w:w w:val="105"/>
        </w:rPr>
        <w:t>gobierno</w:t>
      </w:r>
      <w:r>
        <w:rPr>
          <w:color w:val="231F20"/>
          <w:spacing w:val="-10"/>
          <w:w w:val="105"/>
        </w:rPr>
        <w:t> </w:t>
      </w:r>
      <w:r>
        <w:rPr>
          <w:color w:val="231F20"/>
          <w:w w:val="105"/>
        </w:rPr>
        <w:t>para</w:t>
      </w:r>
      <w:r>
        <w:rPr>
          <w:color w:val="231F20"/>
          <w:spacing w:val="-10"/>
          <w:w w:val="105"/>
        </w:rPr>
        <w:t> </w:t>
      </w:r>
      <w:r>
        <w:rPr>
          <w:color w:val="231F20"/>
          <w:w w:val="105"/>
        </w:rPr>
        <w:t>dar</w:t>
      </w:r>
      <w:r>
        <w:rPr>
          <w:color w:val="231F20"/>
          <w:spacing w:val="-10"/>
          <w:w w:val="105"/>
        </w:rPr>
        <w:t> </w:t>
      </w:r>
      <w:r>
        <w:rPr>
          <w:color w:val="231F20"/>
          <w:w w:val="105"/>
        </w:rPr>
        <w:t>respuesta</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demandas</w:t>
      </w:r>
      <w:r>
        <w:rPr>
          <w:color w:val="231F20"/>
          <w:spacing w:val="-10"/>
          <w:w w:val="105"/>
        </w:rPr>
        <w:t> </w:t>
      </w:r>
      <w:r>
        <w:rPr>
          <w:color w:val="231F20"/>
          <w:w w:val="105"/>
        </w:rPr>
        <w:t>ciudadanas.</w:t>
      </w:r>
      <w:r>
        <w:rPr>
          <w:color w:val="231F20"/>
          <w:spacing w:val="-10"/>
          <w:w w:val="105"/>
        </w:rPr>
        <w:t> </w:t>
      </w:r>
      <w:r>
        <w:rPr>
          <w:color w:val="231F20"/>
          <w:w w:val="105"/>
        </w:rPr>
        <w:t>Para</w:t>
      </w:r>
      <w:r>
        <w:rPr>
          <w:color w:val="231F20"/>
          <w:spacing w:val="-10"/>
          <w:w w:val="105"/>
        </w:rPr>
        <w:t> </w:t>
      </w:r>
      <w:r>
        <w:rPr>
          <w:color w:val="231F20"/>
          <w:w w:val="105"/>
        </w:rPr>
        <w:t>ello,</w:t>
      </w:r>
      <w:r>
        <w:rPr>
          <w:color w:val="231F20"/>
          <w:spacing w:val="-10"/>
          <w:w w:val="105"/>
        </w:rPr>
        <w:t> </w:t>
      </w:r>
      <w:r>
        <w:rPr>
          <w:color w:val="231F20"/>
          <w:w w:val="105"/>
        </w:rPr>
        <w:t>dentro</w:t>
      </w:r>
      <w:r>
        <w:rPr>
          <w:color w:val="231F20"/>
          <w:spacing w:val="-10"/>
          <w:w w:val="105"/>
        </w:rPr>
        <w:t> </w:t>
      </w:r>
      <w:r>
        <w:rPr>
          <w:color w:val="231F20"/>
          <w:w w:val="105"/>
        </w:rPr>
        <w:t>de esta variable se establecieron ocho dimensiones: </w:t>
      </w:r>
      <w:r>
        <w:rPr>
          <w:color w:val="231F20"/>
          <w:spacing w:val="-7"/>
          <w:w w:val="105"/>
        </w:rPr>
        <w:t>1) </w:t>
      </w:r>
      <w:r>
        <w:rPr>
          <w:color w:val="231F20"/>
          <w:w w:val="105"/>
        </w:rPr>
        <w:t>autonomía financiera, que se esta- blece con la razón entre los ingresos directos y los indirectos; a mayor ingreso directo es</w:t>
      </w:r>
      <w:r>
        <w:rPr>
          <w:color w:val="231F20"/>
          <w:spacing w:val="-17"/>
          <w:w w:val="105"/>
        </w:rPr>
        <w:t> </w:t>
      </w:r>
      <w:r>
        <w:rPr>
          <w:color w:val="231F20"/>
          <w:w w:val="105"/>
        </w:rPr>
        <w:t>mayor</w:t>
      </w:r>
      <w:r>
        <w:rPr>
          <w:color w:val="231F20"/>
          <w:spacing w:val="-17"/>
          <w:w w:val="105"/>
        </w:rPr>
        <w:t> </w:t>
      </w:r>
      <w:r>
        <w:rPr>
          <w:color w:val="231F20"/>
          <w:w w:val="105"/>
        </w:rPr>
        <w:t>la</w:t>
      </w:r>
      <w:r>
        <w:rPr>
          <w:color w:val="231F20"/>
          <w:spacing w:val="-17"/>
          <w:w w:val="105"/>
        </w:rPr>
        <w:t> </w:t>
      </w:r>
      <w:r>
        <w:rPr>
          <w:color w:val="231F20"/>
          <w:w w:val="105"/>
        </w:rPr>
        <w:t>autonomía,</w:t>
      </w:r>
      <w:r>
        <w:rPr>
          <w:color w:val="231F20"/>
          <w:spacing w:val="-17"/>
          <w:w w:val="105"/>
        </w:rPr>
        <w:t> </w:t>
      </w:r>
      <w:r>
        <w:rPr>
          <w:color w:val="231F20"/>
          <w:w w:val="105"/>
        </w:rPr>
        <w:t>disposición</w:t>
      </w:r>
      <w:r>
        <w:rPr>
          <w:color w:val="231F20"/>
          <w:spacing w:val="-17"/>
          <w:w w:val="105"/>
        </w:rPr>
        <w:t> </w:t>
      </w:r>
      <w:r>
        <w:rPr>
          <w:color w:val="231F20"/>
          <w:w w:val="105"/>
        </w:rPr>
        <w:t>y</w:t>
      </w:r>
      <w:r>
        <w:rPr>
          <w:color w:val="231F20"/>
          <w:spacing w:val="-17"/>
          <w:w w:val="105"/>
        </w:rPr>
        <w:t> </w:t>
      </w:r>
      <w:r>
        <w:rPr>
          <w:color w:val="231F20"/>
          <w:w w:val="105"/>
        </w:rPr>
        <w:t>aplicación</w:t>
      </w:r>
      <w:r>
        <w:rPr>
          <w:color w:val="231F20"/>
          <w:spacing w:val="-17"/>
          <w:w w:val="105"/>
        </w:rPr>
        <w:t> </w:t>
      </w:r>
      <w:r>
        <w:rPr>
          <w:color w:val="231F20"/>
          <w:w w:val="105"/>
        </w:rPr>
        <w:t>del</w:t>
      </w:r>
      <w:r>
        <w:rPr>
          <w:color w:val="231F20"/>
          <w:spacing w:val="-17"/>
          <w:w w:val="105"/>
        </w:rPr>
        <w:t> </w:t>
      </w:r>
      <w:r>
        <w:rPr>
          <w:color w:val="231F20"/>
          <w:w w:val="105"/>
        </w:rPr>
        <w:t>presupuesto;</w:t>
      </w:r>
      <w:r>
        <w:rPr>
          <w:color w:val="231F20"/>
          <w:spacing w:val="-17"/>
          <w:w w:val="105"/>
        </w:rPr>
        <w:t> </w:t>
      </w:r>
      <w:r>
        <w:rPr>
          <w:color w:val="231F20"/>
          <w:spacing w:val="-4"/>
          <w:w w:val="105"/>
        </w:rPr>
        <w:t>2)</w:t>
      </w:r>
      <w:r>
        <w:rPr>
          <w:color w:val="231F20"/>
          <w:spacing w:val="-17"/>
          <w:w w:val="105"/>
        </w:rPr>
        <w:t> </w:t>
      </w:r>
      <w:r>
        <w:rPr>
          <w:color w:val="231F20"/>
          <w:w w:val="105"/>
        </w:rPr>
        <w:t>autonomía</w:t>
      </w:r>
      <w:r>
        <w:rPr>
          <w:color w:val="231F20"/>
          <w:spacing w:val="-17"/>
          <w:w w:val="105"/>
        </w:rPr>
        <w:t> </w:t>
      </w:r>
      <w:r>
        <w:rPr>
          <w:color w:val="231F20"/>
          <w:w w:val="105"/>
        </w:rPr>
        <w:t>política, considerada</w:t>
      </w:r>
      <w:r>
        <w:rPr>
          <w:color w:val="231F20"/>
          <w:spacing w:val="-15"/>
          <w:w w:val="105"/>
        </w:rPr>
        <w:t> </w:t>
      </w:r>
      <w:r>
        <w:rPr>
          <w:color w:val="231F20"/>
          <w:w w:val="105"/>
        </w:rPr>
        <w:t>como</w:t>
      </w:r>
      <w:r>
        <w:rPr>
          <w:color w:val="231F20"/>
          <w:spacing w:val="-15"/>
          <w:w w:val="105"/>
        </w:rPr>
        <w:t> </w:t>
      </w:r>
      <w:r>
        <w:rPr>
          <w:color w:val="231F20"/>
          <w:w w:val="105"/>
        </w:rPr>
        <w:t>el</w:t>
      </w:r>
      <w:r>
        <w:rPr>
          <w:color w:val="231F20"/>
          <w:spacing w:val="-15"/>
          <w:w w:val="105"/>
        </w:rPr>
        <w:t> </w:t>
      </w:r>
      <w:r>
        <w:rPr>
          <w:color w:val="231F20"/>
          <w:w w:val="105"/>
        </w:rPr>
        <w:t>grado</w:t>
      </w:r>
      <w:r>
        <w:rPr>
          <w:color w:val="231F20"/>
          <w:spacing w:val="-15"/>
          <w:w w:val="105"/>
        </w:rPr>
        <w:t> </w:t>
      </w:r>
      <w:r>
        <w:rPr>
          <w:color w:val="231F20"/>
          <w:w w:val="105"/>
        </w:rPr>
        <w:t>de</w:t>
      </w:r>
      <w:r>
        <w:rPr>
          <w:color w:val="231F20"/>
          <w:spacing w:val="-15"/>
          <w:w w:val="105"/>
        </w:rPr>
        <w:t> </w:t>
      </w:r>
      <w:r>
        <w:rPr>
          <w:color w:val="231F20"/>
          <w:w w:val="105"/>
        </w:rPr>
        <w:t>identidad</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establece</w:t>
      </w:r>
      <w:r>
        <w:rPr>
          <w:color w:val="231F20"/>
          <w:spacing w:val="-15"/>
          <w:w w:val="105"/>
        </w:rPr>
        <w:t> </w:t>
      </w:r>
      <w:r>
        <w:rPr>
          <w:color w:val="231F20"/>
          <w:w w:val="105"/>
        </w:rPr>
        <w:t>en</w:t>
      </w:r>
      <w:r>
        <w:rPr>
          <w:color w:val="231F20"/>
          <w:spacing w:val="-15"/>
          <w:w w:val="105"/>
        </w:rPr>
        <w:t> </w:t>
      </w:r>
      <w:r>
        <w:rPr>
          <w:color w:val="231F20"/>
          <w:w w:val="105"/>
        </w:rPr>
        <w:t>términos</w:t>
      </w:r>
      <w:r>
        <w:rPr>
          <w:color w:val="231F20"/>
          <w:spacing w:val="-15"/>
          <w:w w:val="105"/>
        </w:rPr>
        <w:t> </w:t>
      </w:r>
      <w:r>
        <w:rPr>
          <w:color w:val="231F20"/>
          <w:w w:val="105"/>
        </w:rPr>
        <w:t>de</w:t>
      </w:r>
      <w:r>
        <w:rPr>
          <w:color w:val="231F20"/>
          <w:spacing w:val="-15"/>
          <w:w w:val="105"/>
        </w:rPr>
        <w:t> </w:t>
      </w:r>
      <w:r>
        <w:rPr>
          <w:color w:val="231F20"/>
          <w:w w:val="105"/>
        </w:rPr>
        <w:t>política</w:t>
      </w:r>
      <w:r>
        <w:rPr>
          <w:color w:val="231F20"/>
          <w:spacing w:val="-15"/>
          <w:w w:val="105"/>
        </w:rPr>
        <w:t> </w:t>
      </w:r>
      <w:r>
        <w:rPr>
          <w:color w:val="231F20"/>
          <w:w w:val="105"/>
        </w:rPr>
        <w:t>con</w:t>
      </w:r>
      <w:r>
        <w:rPr>
          <w:color w:val="231F20"/>
          <w:spacing w:val="-15"/>
          <w:w w:val="105"/>
        </w:rPr>
        <w:t> </w:t>
      </w:r>
      <w:r>
        <w:rPr>
          <w:color w:val="231F20"/>
          <w:w w:val="105"/>
        </w:rPr>
        <w:t>los actores</w:t>
      </w:r>
      <w:r>
        <w:rPr>
          <w:color w:val="231F20"/>
          <w:spacing w:val="-25"/>
          <w:w w:val="105"/>
        </w:rPr>
        <w:t> </w:t>
      </w:r>
      <w:r>
        <w:rPr>
          <w:color w:val="231F20"/>
          <w:w w:val="105"/>
        </w:rPr>
        <w:t>políticos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región</w:t>
      </w:r>
      <w:r>
        <w:rPr>
          <w:color w:val="231F20"/>
          <w:spacing w:val="-25"/>
          <w:w w:val="105"/>
        </w:rPr>
        <w:t> </w:t>
      </w:r>
      <w:r>
        <w:rPr>
          <w:color w:val="231F20"/>
          <w:w w:val="105"/>
        </w:rPr>
        <w:t>o</w:t>
      </w:r>
      <w:r>
        <w:rPr>
          <w:color w:val="231F20"/>
          <w:spacing w:val="-25"/>
          <w:w w:val="105"/>
        </w:rPr>
        <w:t> </w:t>
      </w:r>
      <w:r>
        <w:rPr>
          <w:color w:val="231F20"/>
          <w:w w:val="105"/>
        </w:rPr>
        <w:t>del</w:t>
      </w:r>
      <w:r>
        <w:rPr>
          <w:color w:val="231F20"/>
          <w:spacing w:val="-25"/>
          <w:w w:val="105"/>
        </w:rPr>
        <w:t> </w:t>
      </w:r>
      <w:r>
        <w:rPr>
          <w:color w:val="231F20"/>
          <w:w w:val="105"/>
        </w:rPr>
        <w:t>municipio</w:t>
      </w:r>
      <w:r>
        <w:rPr>
          <w:color w:val="231F20"/>
          <w:spacing w:val="-25"/>
          <w:w w:val="105"/>
        </w:rPr>
        <w:t> </w:t>
      </w:r>
      <w:r>
        <w:rPr>
          <w:color w:val="231F20"/>
          <w:w w:val="105"/>
        </w:rPr>
        <w:t>y</w:t>
      </w:r>
      <w:r>
        <w:rPr>
          <w:color w:val="231F20"/>
          <w:spacing w:val="-25"/>
          <w:w w:val="105"/>
        </w:rPr>
        <w:t> </w:t>
      </w:r>
      <w:r>
        <w:rPr>
          <w:color w:val="231F20"/>
          <w:w w:val="105"/>
        </w:rPr>
        <w:t>no</w:t>
      </w:r>
      <w:r>
        <w:rPr>
          <w:color w:val="231F20"/>
          <w:spacing w:val="-25"/>
          <w:w w:val="105"/>
        </w:rPr>
        <w:t> </w:t>
      </w:r>
      <w:r>
        <w:rPr>
          <w:color w:val="231F20"/>
          <w:w w:val="105"/>
        </w:rPr>
        <w:t>con</w:t>
      </w:r>
      <w:r>
        <w:rPr>
          <w:color w:val="231F20"/>
          <w:spacing w:val="-25"/>
          <w:w w:val="105"/>
        </w:rPr>
        <w:t> </w:t>
      </w:r>
      <w:r>
        <w:rPr>
          <w:color w:val="231F20"/>
          <w:w w:val="105"/>
        </w:rPr>
        <w:t>los</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spacing w:val="-4"/>
          <w:w w:val="105"/>
        </w:rPr>
        <w:t>3)</w:t>
      </w:r>
      <w:r>
        <w:rPr>
          <w:color w:val="231F20"/>
          <w:spacing w:val="-25"/>
          <w:w w:val="105"/>
        </w:rPr>
        <w:t> </w:t>
      </w:r>
      <w:r>
        <w:rPr>
          <w:color w:val="231F20"/>
          <w:w w:val="105"/>
        </w:rPr>
        <w:t>consolidación</w:t>
      </w:r>
      <w:r>
        <w:rPr>
          <w:color w:val="231F20"/>
          <w:spacing w:val="-25"/>
          <w:w w:val="105"/>
        </w:rPr>
        <w:t> </w:t>
      </w:r>
      <w:r>
        <w:rPr>
          <w:color w:val="231F20"/>
          <w:w w:val="105"/>
        </w:rPr>
        <w:t>de la estructura, concerniente a la estabilidad de funcionarios en la administración muni- cipal;</w:t>
      </w:r>
      <w:r>
        <w:rPr>
          <w:color w:val="231F20"/>
          <w:spacing w:val="-19"/>
          <w:w w:val="105"/>
        </w:rPr>
        <w:t> </w:t>
      </w:r>
      <w:r>
        <w:rPr>
          <w:color w:val="231F20"/>
          <w:spacing w:val="-4"/>
          <w:w w:val="105"/>
        </w:rPr>
        <w:t>4)</w:t>
      </w:r>
      <w:r>
        <w:rPr>
          <w:color w:val="231F20"/>
          <w:spacing w:val="-19"/>
          <w:w w:val="105"/>
        </w:rPr>
        <w:t> </w:t>
      </w:r>
      <w:r>
        <w:rPr>
          <w:color w:val="231F20"/>
          <w:w w:val="105"/>
        </w:rPr>
        <w:t>sistema</w:t>
      </w:r>
      <w:r>
        <w:rPr>
          <w:color w:val="231F20"/>
          <w:spacing w:val="-19"/>
          <w:w w:val="105"/>
        </w:rPr>
        <w:t> </w:t>
      </w:r>
      <w:r>
        <w:rPr>
          <w:color w:val="231F20"/>
          <w:w w:val="105"/>
        </w:rPr>
        <w:t>de</w:t>
      </w:r>
      <w:r>
        <w:rPr>
          <w:color w:val="231F20"/>
          <w:spacing w:val="-19"/>
          <w:w w:val="105"/>
        </w:rPr>
        <w:t> </w:t>
      </w:r>
      <w:r>
        <w:rPr>
          <w:color w:val="231F20"/>
          <w:w w:val="105"/>
        </w:rPr>
        <w:t>información</w:t>
      </w:r>
      <w:r>
        <w:rPr>
          <w:color w:val="231F20"/>
          <w:spacing w:val="-19"/>
          <w:w w:val="105"/>
        </w:rPr>
        <w:t> </w:t>
      </w:r>
      <w:r>
        <w:rPr>
          <w:color w:val="231F20"/>
          <w:w w:val="105"/>
        </w:rPr>
        <w:t>municipal,</w:t>
      </w:r>
      <w:r>
        <w:rPr>
          <w:color w:val="231F20"/>
          <w:spacing w:val="-19"/>
          <w:w w:val="105"/>
        </w:rPr>
        <w:t> </w:t>
      </w:r>
      <w:r>
        <w:rPr>
          <w:color w:val="231F20"/>
          <w:w w:val="105"/>
        </w:rPr>
        <w:t>como</w:t>
      </w:r>
      <w:r>
        <w:rPr>
          <w:color w:val="231F20"/>
          <w:spacing w:val="-19"/>
          <w:w w:val="105"/>
        </w:rPr>
        <w:t> </w:t>
      </w:r>
      <w:r>
        <w:rPr>
          <w:color w:val="231F20"/>
          <w:w w:val="105"/>
        </w:rPr>
        <w:t>el</w:t>
      </w:r>
      <w:r>
        <w:rPr>
          <w:color w:val="231F20"/>
          <w:spacing w:val="-19"/>
          <w:w w:val="105"/>
        </w:rPr>
        <w:t> </w:t>
      </w:r>
      <w:r>
        <w:rPr>
          <w:color w:val="231F20"/>
          <w:w w:val="105"/>
        </w:rPr>
        <w:t>conjunto</w:t>
      </w:r>
      <w:r>
        <w:rPr>
          <w:color w:val="231F20"/>
          <w:spacing w:val="-19"/>
          <w:w w:val="105"/>
        </w:rPr>
        <w:t> </w:t>
      </w:r>
      <w:r>
        <w:rPr>
          <w:color w:val="231F20"/>
          <w:w w:val="105"/>
        </w:rPr>
        <w:t>de</w:t>
      </w:r>
      <w:r>
        <w:rPr>
          <w:color w:val="231F20"/>
          <w:spacing w:val="-19"/>
          <w:w w:val="105"/>
        </w:rPr>
        <w:t> </w:t>
      </w:r>
      <w:r>
        <w:rPr>
          <w:color w:val="231F20"/>
          <w:w w:val="105"/>
        </w:rPr>
        <w:t>elementos</w:t>
      </w:r>
      <w:r>
        <w:rPr>
          <w:color w:val="231F20"/>
          <w:spacing w:val="-19"/>
          <w:w w:val="105"/>
        </w:rPr>
        <w:t> </w:t>
      </w:r>
      <w:r>
        <w:rPr>
          <w:color w:val="231F20"/>
          <w:w w:val="105"/>
        </w:rPr>
        <w:t>que</w:t>
      </w:r>
      <w:r>
        <w:rPr>
          <w:color w:val="231F20"/>
          <w:spacing w:val="-19"/>
          <w:w w:val="105"/>
        </w:rPr>
        <w:t> </w:t>
      </w:r>
      <w:r>
        <w:rPr>
          <w:color w:val="231F20"/>
          <w:w w:val="105"/>
        </w:rPr>
        <w:t>guardan y</w:t>
      </w:r>
      <w:r>
        <w:rPr>
          <w:color w:val="231F20"/>
          <w:spacing w:val="-6"/>
          <w:w w:val="105"/>
        </w:rPr>
        <w:t> </w:t>
      </w:r>
      <w:r>
        <w:rPr>
          <w:color w:val="231F20"/>
          <w:w w:val="105"/>
        </w:rPr>
        <w:t>sistematizan</w:t>
      </w:r>
      <w:r>
        <w:rPr>
          <w:color w:val="231F20"/>
          <w:spacing w:val="-6"/>
          <w:w w:val="105"/>
        </w:rPr>
        <w:t> </w:t>
      </w:r>
      <w:r>
        <w:rPr>
          <w:color w:val="231F20"/>
          <w:w w:val="105"/>
        </w:rPr>
        <w:t>la</w:t>
      </w:r>
      <w:r>
        <w:rPr>
          <w:color w:val="231F20"/>
          <w:spacing w:val="-6"/>
          <w:w w:val="105"/>
        </w:rPr>
        <w:t> </w:t>
      </w:r>
      <w:r>
        <w:rPr>
          <w:color w:val="231F20"/>
          <w:w w:val="105"/>
        </w:rPr>
        <w:t>información</w:t>
      </w:r>
      <w:r>
        <w:rPr>
          <w:color w:val="231F20"/>
          <w:spacing w:val="-6"/>
          <w:w w:val="105"/>
        </w:rPr>
        <w:t> </w:t>
      </w:r>
      <w:r>
        <w:rPr>
          <w:color w:val="231F20"/>
          <w:w w:val="105"/>
        </w:rPr>
        <w:t>municipal</w:t>
      </w:r>
      <w:r>
        <w:rPr>
          <w:color w:val="231F20"/>
          <w:spacing w:val="-6"/>
          <w:w w:val="105"/>
        </w:rPr>
        <w:t> </w:t>
      </w:r>
      <w:r>
        <w:rPr>
          <w:color w:val="231F20"/>
          <w:w w:val="105"/>
        </w:rPr>
        <w:t>agregada</w:t>
      </w:r>
      <w:r>
        <w:rPr>
          <w:color w:val="231F20"/>
          <w:spacing w:val="-6"/>
          <w:w w:val="105"/>
        </w:rPr>
        <w:t> </w:t>
      </w:r>
      <w:r>
        <w:rPr>
          <w:color w:val="231F20"/>
          <w:w w:val="105"/>
        </w:rPr>
        <w:t>y</w:t>
      </w:r>
      <w:r>
        <w:rPr>
          <w:color w:val="231F20"/>
          <w:spacing w:val="-6"/>
          <w:w w:val="105"/>
        </w:rPr>
        <w:t> </w:t>
      </w:r>
      <w:r>
        <w:rPr>
          <w:color w:val="231F20"/>
          <w:w w:val="105"/>
        </w:rPr>
        <w:t>desagregada</w:t>
      </w:r>
      <w:r>
        <w:rPr>
          <w:color w:val="231F20"/>
          <w:spacing w:val="-6"/>
          <w:w w:val="10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w w:val="105"/>
        </w:rPr>
        <w:t>toma</w:t>
      </w:r>
      <w:r>
        <w:rPr>
          <w:color w:val="231F20"/>
          <w:spacing w:val="-6"/>
          <w:w w:val="105"/>
        </w:rPr>
        <w:t> </w:t>
      </w:r>
      <w:r>
        <w:rPr>
          <w:color w:val="231F20"/>
          <w:w w:val="105"/>
        </w:rPr>
        <w:t>de</w:t>
      </w:r>
      <w:r>
        <w:rPr>
          <w:color w:val="231F20"/>
          <w:spacing w:val="-6"/>
          <w:w w:val="105"/>
        </w:rPr>
        <w:t> </w:t>
      </w:r>
      <w:r>
        <w:rPr>
          <w:color w:val="231F20"/>
          <w:w w:val="105"/>
        </w:rPr>
        <w:t>deci- siones;</w:t>
      </w:r>
      <w:r>
        <w:rPr>
          <w:color w:val="231F20"/>
          <w:spacing w:val="-23"/>
          <w:w w:val="105"/>
        </w:rPr>
        <w:t> </w:t>
      </w:r>
      <w:r>
        <w:rPr>
          <w:color w:val="231F20"/>
          <w:w w:val="105"/>
        </w:rPr>
        <w:t>5)</w:t>
      </w:r>
      <w:r>
        <w:rPr>
          <w:color w:val="231F20"/>
          <w:spacing w:val="-23"/>
          <w:w w:val="105"/>
        </w:rPr>
        <w:t> </w:t>
      </w:r>
      <w:r>
        <w:rPr>
          <w:color w:val="231F20"/>
          <w:w w:val="105"/>
        </w:rPr>
        <w:t>producción</w:t>
      </w:r>
      <w:r>
        <w:rPr>
          <w:color w:val="231F20"/>
          <w:spacing w:val="-23"/>
          <w:w w:val="105"/>
        </w:rPr>
        <w:t> </w:t>
      </w:r>
      <w:r>
        <w:rPr>
          <w:color w:val="231F20"/>
          <w:w w:val="105"/>
        </w:rPr>
        <w:t>reglamentaria,</w:t>
      </w:r>
      <w:r>
        <w:rPr>
          <w:color w:val="231F20"/>
          <w:spacing w:val="-23"/>
          <w:w w:val="105"/>
        </w:rPr>
        <w:t> </w:t>
      </w:r>
      <w:r>
        <w:rPr>
          <w:color w:val="231F20"/>
          <w:w w:val="105"/>
        </w:rPr>
        <w:t>como</w:t>
      </w:r>
      <w:r>
        <w:rPr>
          <w:color w:val="231F20"/>
          <w:spacing w:val="-23"/>
          <w:w w:val="105"/>
        </w:rPr>
        <w:t> </w:t>
      </w:r>
      <w:r>
        <w:rPr>
          <w:color w:val="231F20"/>
          <w:w w:val="105"/>
        </w:rPr>
        <w:t>la</w:t>
      </w:r>
      <w:r>
        <w:rPr>
          <w:color w:val="231F20"/>
          <w:spacing w:val="-23"/>
          <w:w w:val="105"/>
        </w:rPr>
        <w:t> </w:t>
      </w:r>
      <w:r>
        <w:rPr>
          <w:color w:val="231F20"/>
          <w:w w:val="105"/>
        </w:rPr>
        <w:t>expedición</w:t>
      </w:r>
      <w:r>
        <w:rPr>
          <w:color w:val="231F20"/>
          <w:spacing w:val="-23"/>
          <w:w w:val="105"/>
        </w:rPr>
        <w:t> </w:t>
      </w:r>
      <w:r>
        <w:rPr>
          <w:color w:val="231F20"/>
          <w:w w:val="105"/>
        </w:rPr>
        <w:t>de</w:t>
      </w:r>
      <w:r>
        <w:rPr>
          <w:color w:val="231F20"/>
          <w:spacing w:val="-23"/>
          <w:w w:val="105"/>
        </w:rPr>
        <w:t> </w:t>
      </w:r>
      <w:r>
        <w:rPr>
          <w:color w:val="231F20"/>
          <w:w w:val="105"/>
        </w:rPr>
        <w:t>normas</w:t>
      </w:r>
      <w:r>
        <w:rPr>
          <w:color w:val="231F20"/>
          <w:spacing w:val="-23"/>
          <w:w w:val="105"/>
        </w:rPr>
        <w:t> </w:t>
      </w:r>
      <w:r>
        <w:rPr>
          <w:color w:val="231F20"/>
          <w:w w:val="105"/>
        </w:rPr>
        <w:t>del</w:t>
      </w:r>
      <w:r>
        <w:rPr>
          <w:color w:val="231F20"/>
          <w:spacing w:val="-23"/>
          <w:w w:val="105"/>
        </w:rPr>
        <w:t> </w:t>
      </w:r>
      <w:r>
        <w:rPr>
          <w:color w:val="231F20"/>
          <w:w w:val="105"/>
        </w:rPr>
        <w:t>orden</w:t>
      </w:r>
      <w:r>
        <w:rPr>
          <w:color w:val="231F20"/>
          <w:spacing w:val="-23"/>
          <w:w w:val="105"/>
        </w:rPr>
        <w:t> </w:t>
      </w:r>
      <w:r>
        <w:rPr>
          <w:color w:val="231F20"/>
          <w:w w:val="105"/>
        </w:rPr>
        <w:t>municipal que le permiten </w:t>
      </w:r>
      <w:r>
        <w:rPr>
          <w:color w:val="231F20"/>
          <w:spacing w:val="2"/>
          <w:w w:val="105"/>
        </w:rPr>
        <w:t>al </w:t>
      </w:r>
      <w:r>
        <w:rPr>
          <w:color w:val="231F20"/>
          <w:w w:val="105"/>
        </w:rPr>
        <w:t>ayuntamiento el gobierno sobre los ciudadanos o los habitantes; </w:t>
      </w:r>
      <w:r>
        <w:rPr>
          <w:color w:val="231F20"/>
          <w:spacing w:val="-3"/>
          <w:w w:val="105"/>
        </w:rPr>
        <w:t>6) </w:t>
      </w:r>
      <w:r>
        <w:rPr>
          <w:color w:val="231F20"/>
          <w:w w:val="105"/>
        </w:rPr>
        <w:t>obras públicas, como el conjunto de acciones para creación, mantenimiento, transfor- mación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infraestructura</w:t>
      </w:r>
      <w:r>
        <w:rPr>
          <w:color w:val="231F20"/>
          <w:spacing w:val="-9"/>
          <w:w w:val="105"/>
        </w:rPr>
        <w:t> </w:t>
      </w:r>
      <w:r>
        <w:rPr>
          <w:color w:val="231F20"/>
          <w:w w:val="105"/>
        </w:rPr>
        <w:t>básica</w:t>
      </w:r>
      <w:r>
        <w:rPr>
          <w:color w:val="231F20"/>
          <w:spacing w:val="-9"/>
          <w:w w:val="105"/>
        </w:rPr>
        <w:t> </w:t>
      </w:r>
      <w:r>
        <w:rPr>
          <w:color w:val="231F20"/>
          <w:w w:val="105"/>
        </w:rPr>
        <w:t>municipal</w:t>
      </w:r>
      <w:r>
        <w:rPr>
          <w:color w:val="231F20"/>
          <w:spacing w:val="-9"/>
          <w:w w:val="105"/>
        </w:rPr>
        <w:t> </w:t>
      </w:r>
      <w:r>
        <w:rPr>
          <w:color w:val="231F20"/>
          <w:w w:val="105"/>
        </w:rPr>
        <w:t>destinada</w:t>
      </w:r>
      <w:r>
        <w:rPr>
          <w:color w:val="231F20"/>
          <w:spacing w:val="-9"/>
          <w:w w:val="105"/>
        </w:rPr>
        <w:t> </w:t>
      </w:r>
      <w:r>
        <w:rPr>
          <w:color w:val="231F20"/>
          <w:spacing w:val="2"/>
          <w:w w:val="105"/>
        </w:rPr>
        <w:t>al</w:t>
      </w:r>
      <w:r>
        <w:rPr>
          <w:color w:val="231F20"/>
          <w:spacing w:val="-9"/>
          <w:w w:val="105"/>
        </w:rPr>
        <w:t> </w:t>
      </w:r>
      <w:r>
        <w:rPr>
          <w:color w:val="231F20"/>
          <w:w w:val="105"/>
        </w:rPr>
        <w:t>servicio</w:t>
      </w:r>
      <w:r>
        <w:rPr>
          <w:color w:val="231F20"/>
          <w:spacing w:val="-9"/>
          <w:w w:val="105"/>
        </w:rPr>
        <w:t> </w:t>
      </w:r>
      <w:r>
        <w:rPr>
          <w:color w:val="231F20"/>
          <w:w w:val="105"/>
        </w:rPr>
        <w:t>público;</w:t>
      </w:r>
      <w:r>
        <w:rPr>
          <w:color w:val="231F20"/>
          <w:spacing w:val="-9"/>
          <w:w w:val="105"/>
        </w:rPr>
        <w:t> </w:t>
      </w:r>
      <w:r>
        <w:rPr>
          <w:color w:val="231F20"/>
          <w:w w:val="105"/>
        </w:rPr>
        <w:t>7)</w:t>
      </w:r>
      <w:r>
        <w:rPr>
          <w:color w:val="231F20"/>
          <w:spacing w:val="-9"/>
          <w:w w:val="105"/>
        </w:rPr>
        <w:t> </w:t>
      </w:r>
      <w:r>
        <w:rPr>
          <w:color w:val="231F20"/>
          <w:w w:val="105"/>
        </w:rPr>
        <w:t>integra- ción social en la toma de decisiones, como la relación que define el nivel de inserción de</w:t>
      </w:r>
      <w:r>
        <w:rPr>
          <w:color w:val="231F20"/>
          <w:spacing w:val="-12"/>
          <w:w w:val="105"/>
        </w:rPr>
        <w:t> </w:t>
      </w:r>
      <w:r>
        <w:rPr>
          <w:color w:val="231F20"/>
          <w:w w:val="105"/>
        </w:rPr>
        <w:t>los</w:t>
      </w:r>
      <w:r>
        <w:rPr>
          <w:color w:val="231F20"/>
          <w:spacing w:val="-12"/>
          <w:w w:val="105"/>
        </w:rPr>
        <w:t> </w:t>
      </w:r>
      <w:r>
        <w:rPr>
          <w:color w:val="231F20"/>
          <w:w w:val="105"/>
        </w:rPr>
        <w:t>ciudadanos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de</w:t>
      </w:r>
      <w:r>
        <w:rPr>
          <w:color w:val="231F20"/>
          <w:spacing w:val="-12"/>
          <w:w w:val="105"/>
        </w:rPr>
        <w:t> </w:t>
      </w:r>
      <w:r>
        <w:rPr>
          <w:color w:val="231F20"/>
          <w:w w:val="105"/>
        </w:rPr>
        <w:t>toma</w:t>
      </w:r>
      <w:r>
        <w:rPr>
          <w:color w:val="231F20"/>
          <w:spacing w:val="-12"/>
          <w:w w:val="105"/>
        </w:rPr>
        <w:t> </w:t>
      </w:r>
      <w:r>
        <w:rPr>
          <w:color w:val="231F20"/>
          <w:w w:val="105"/>
        </w:rPr>
        <w:t>de</w:t>
      </w:r>
      <w:r>
        <w:rPr>
          <w:color w:val="231F20"/>
          <w:spacing w:val="-12"/>
          <w:w w:val="105"/>
        </w:rPr>
        <w:t> </w:t>
      </w:r>
      <w:r>
        <w:rPr>
          <w:color w:val="231F20"/>
          <w:w w:val="105"/>
        </w:rPr>
        <w:t>decisiones;</w:t>
      </w:r>
      <w:r>
        <w:rPr>
          <w:color w:val="231F20"/>
          <w:spacing w:val="-12"/>
          <w:w w:val="105"/>
        </w:rPr>
        <w:t> </w:t>
      </w:r>
      <w:r>
        <w:rPr>
          <w:color w:val="231F20"/>
          <w:spacing w:val="-4"/>
          <w:w w:val="105"/>
        </w:rPr>
        <w:t>8)</w:t>
      </w:r>
      <w:r>
        <w:rPr>
          <w:color w:val="231F20"/>
          <w:spacing w:val="-12"/>
          <w:w w:val="105"/>
        </w:rPr>
        <w:t> </w:t>
      </w:r>
      <w:r>
        <w:rPr>
          <w:color w:val="231F20"/>
          <w:w w:val="105"/>
        </w:rPr>
        <w:t>eficacia</w:t>
      </w:r>
      <w:r>
        <w:rPr>
          <w:color w:val="231F20"/>
          <w:spacing w:val="-12"/>
          <w:w w:val="105"/>
        </w:rPr>
        <w:t> </w:t>
      </w:r>
      <w:r>
        <w:rPr>
          <w:color w:val="231F20"/>
          <w:w w:val="105"/>
        </w:rPr>
        <w:t>como</w:t>
      </w:r>
      <w:r>
        <w:rPr>
          <w:color w:val="231F20"/>
          <w:spacing w:val="-12"/>
          <w:w w:val="105"/>
        </w:rPr>
        <w:t> </w:t>
      </w:r>
      <w:r>
        <w:rPr>
          <w:color w:val="231F20"/>
          <w:w w:val="105"/>
        </w:rPr>
        <w:t>la</w:t>
      </w:r>
      <w:r>
        <w:rPr>
          <w:color w:val="231F20"/>
          <w:spacing w:val="-12"/>
          <w:w w:val="105"/>
        </w:rPr>
        <w:t> </w:t>
      </w:r>
      <w:r>
        <w:rPr>
          <w:color w:val="231F20"/>
          <w:w w:val="105"/>
        </w:rPr>
        <w:t>relación</w:t>
      </w:r>
      <w:r>
        <w:rPr>
          <w:color w:val="231F20"/>
          <w:spacing w:val="-12"/>
          <w:w w:val="105"/>
        </w:rPr>
        <w:t> </w:t>
      </w:r>
      <w:r>
        <w:rPr>
          <w:color w:val="231F20"/>
          <w:w w:val="105"/>
        </w:rPr>
        <w:t>que el</w:t>
      </w:r>
      <w:r>
        <w:rPr>
          <w:color w:val="231F20"/>
          <w:spacing w:val="-14"/>
          <w:w w:val="105"/>
        </w:rPr>
        <w:t> </w:t>
      </w:r>
      <w:r>
        <w:rPr>
          <w:color w:val="231F20"/>
          <w:w w:val="105"/>
        </w:rPr>
        <w:t>gobierno</w:t>
      </w:r>
      <w:r>
        <w:rPr>
          <w:color w:val="231F20"/>
          <w:spacing w:val="-14"/>
          <w:w w:val="105"/>
        </w:rPr>
        <w:t> </w:t>
      </w:r>
      <w:r>
        <w:rPr>
          <w:color w:val="231F20"/>
          <w:w w:val="105"/>
        </w:rPr>
        <w:t>establece</w:t>
      </w:r>
      <w:r>
        <w:rPr>
          <w:color w:val="231F20"/>
          <w:spacing w:val="-14"/>
          <w:w w:val="105"/>
        </w:rPr>
        <w:t> </w:t>
      </w:r>
      <w:r>
        <w:rPr>
          <w:color w:val="231F20"/>
          <w:w w:val="105"/>
        </w:rPr>
        <w:t>para</w:t>
      </w:r>
      <w:r>
        <w:rPr>
          <w:color w:val="231F20"/>
          <w:spacing w:val="-14"/>
          <w:w w:val="105"/>
        </w:rPr>
        <w:t> </w:t>
      </w:r>
      <w:r>
        <w:rPr>
          <w:color w:val="231F20"/>
          <w:w w:val="105"/>
        </w:rPr>
        <w:t>la</w:t>
      </w:r>
      <w:r>
        <w:rPr>
          <w:color w:val="231F20"/>
          <w:spacing w:val="-14"/>
          <w:w w:val="105"/>
        </w:rPr>
        <w:t> </w:t>
      </w:r>
      <w:r>
        <w:rPr>
          <w:color w:val="231F20"/>
          <w:w w:val="105"/>
        </w:rPr>
        <w:t>consecución</w:t>
      </w:r>
      <w:r>
        <w:rPr>
          <w:color w:val="231F20"/>
          <w:spacing w:val="-14"/>
          <w:w w:val="105"/>
        </w:rPr>
        <w:t> </w:t>
      </w:r>
      <w:r>
        <w:rPr>
          <w:color w:val="231F20"/>
          <w:w w:val="105"/>
        </w:rPr>
        <w:t>de</w:t>
      </w:r>
      <w:r>
        <w:rPr>
          <w:color w:val="231F20"/>
          <w:spacing w:val="-14"/>
          <w:w w:val="105"/>
        </w:rPr>
        <w:t> </w:t>
      </w:r>
      <w:r>
        <w:rPr>
          <w:color w:val="231F20"/>
          <w:w w:val="105"/>
        </w:rPr>
        <w:t>sus</w:t>
      </w:r>
      <w:r>
        <w:rPr>
          <w:color w:val="231F20"/>
          <w:spacing w:val="-14"/>
          <w:w w:val="105"/>
        </w:rPr>
        <w:t> </w:t>
      </w:r>
      <w:r>
        <w:rPr>
          <w:color w:val="231F20"/>
          <w:w w:val="105"/>
        </w:rPr>
        <w:t>objetivos</w:t>
      </w:r>
      <w:r>
        <w:rPr>
          <w:color w:val="231F20"/>
          <w:spacing w:val="-14"/>
          <w:w w:val="105"/>
        </w:rPr>
        <w:t> </w:t>
      </w:r>
      <w:r>
        <w:rPr>
          <w:color w:val="231F20"/>
          <w:w w:val="105"/>
        </w:rPr>
        <w:t>(plenamente</w:t>
      </w:r>
      <w:r>
        <w:rPr>
          <w:color w:val="231F20"/>
          <w:spacing w:val="-14"/>
          <w:w w:val="105"/>
        </w:rPr>
        <w:t> </w:t>
      </w:r>
      <w:r>
        <w:rPr>
          <w:color w:val="231F20"/>
          <w:w w:val="105"/>
        </w:rPr>
        <w:t>identificados)</w:t>
      </w:r>
      <w:r>
        <w:rPr>
          <w:color w:val="231F20"/>
          <w:spacing w:val="-14"/>
          <w:w w:val="105"/>
        </w:rPr>
        <w:t> </w:t>
      </w:r>
      <w:r>
        <w:rPr>
          <w:color w:val="231F20"/>
          <w:w w:val="105"/>
        </w:rPr>
        <w:t>y con</w:t>
      </w:r>
      <w:r>
        <w:rPr>
          <w:color w:val="231F20"/>
          <w:spacing w:val="-16"/>
          <w:w w:val="105"/>
        </w:rPr>
        <w:t> </w:t>
      </w:r>
      <w:r>
        <w:rPr>
          <w:color w:val="231F20"/>
          <w:w w:val="105"/>
        </w:rPr>
        <w:t>personal</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desarrolla</w:t>
      </w:r>
      <w:r>
        <w:rPr>
          <w:color w:val="231F20"/>
          <w:spacing w:val="-16"/>
          <w:w w:val="105"/>
        </w:rPr>
        <w:t> </w:t>
      </w:r>
      <w:r>
        <w:rPr>
          <w:color w:val="231F20"/>
          <w:w w:val="105"/>
        </w:rPr>
        <w:t>como</w:t>
      </w:r>
      <w:r>
        <w:rPr>
          <w:color w:val="231F20"/>
          <w:spacing w:val="-16"/>
          <w:w w:val="105"/>
        </w:rPr>
        <w:t> </w:t>
      </w:r>
      <w:r>
        <w:rPr>
          <w:color w:val="231F20"/>
          <w:w w:val="105"/>
        </w:rPr>
        <w:t>burocracia</w:t>
      </w:r>
      <w:r>
        <w:rPr>
          <w:color w:val="231F20"/>
          <w:spacing w:val="-16"/>
          <w:w w:val="105"/>
        </w:rPr>
        <w:t> </w:t>
      </w:r>
      <w:r>
        <w:rPr>
          <w:color w:val="231F20"/>
          <w:w w:val="105"/>
        </w:rPr>
        <w:t>capacitada</w:t>
      </w:r>
      <w:r>
        <w:rPr>
          <w:color w:val="231F20"/>
          <w:spacing w:val="-16"/>
          <w:w w:val="105"/>
        </w:rPr>
        <w:t> </w:t>
      </w:r>
      <w:r>
        <w:rPr>
          <w:color w:val="231F20"/>
          <w:w w:val="105"/>
        </w:rPr>
        <w:t>y</w:t>
      </w:r>
      <w:r>
        <w:rPr>
          <w:color w:val="231F20"/>
          <w:spacing w:val="-16"/>
          <w:w w:val="105"/>
        </w:rPr>
        <w:t> </w:t>
      </w:r>
      <w:r>
        <w:rPr>
          <w:color w:val="231F20"/>
          <w:w w:val="105"/>
        </w:rPr>
        <w:t>profesional.</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11"/>
          <w:w w:val="105"/>
        </w:rPr>
        <w:t> </w:t>
      </w:r>
      <w:r>
        <w:rPr>
          <w:color w:val="231F20"/>
          <w:w w:val="105"/>
        </w:rPr>
        <w:t>municipios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escogieron</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spacing w:val="2"/>
          <w:w w:val="105"/>
        </w:rPr>
        <w:t>análisis</w:t>
      </w:r>
      <w:r>
        <w:rPr>
          <w:color w:val="231F20"/>
          <w:spacing w:val="-11"/>
          <w:w w:val="105"/>
        </w:rPr>
        <w:t> </w:t>
      </w:r>
      <w:r>
        <w:rPr>
          <w:color w:val="231F20"/>
          <w:w w:val="105"/>
        </w:rPr>
        <w:t>respondieron</w:t>
      </w:r>
      <w:r>
        <w:rPr>
          <w:color w:val="231F20"/>
          <w:spacing w:val="-11"/>
          <w:w w:val="105"/>
        </w:rPr>
        <w:t> </w:t>
      </w:r>
      <w:r>
        <w:rPr>
          <w:color w:val="231F20"/>
          <w:w w:val="105"/>
        </w:rPr>
        <w:t>a</w:t>
      </w:r>
      <w:r>
        <w:rPr>
          <w:color w:val="231F20"/>
          <w:spacing w:val="-11"/>
          <w:w w:val="105"/>
        </w:rPr>
        <w:t> </w:t>
      </w:r>
      <w:r>
        <w:rPr>
          <w:color w:val="231F20"/>
          <w:w w:val="105"/>
        </w:rPr>
        <w:t>una</w:t>
      </w:r>
      <w:r>
        <w:rPr>
          <w:color w:val="231F20"/>
          <w:spacing w:val="-11"/>
          <w:w w:val="105"/>
        </w:rPr>
        <w:t> </w:t>
      </w:r>
      <w:r>
        <w:rPr>
          <w:color w:val="231F20"/>
          <w:w w:val="105"/>
        </w:rPr>
        <w:t>muestra</w:t>
      </w:r>
      <w:r>
        <w:rPr>
          <w:color w:val="231F20"/>
          <w:spacing w:val="-11"/>
          <w:w w:val="105"/>
        </w:rPr>
        <w:t> </w:t>
      </w:r>
      <w:r>
        <w:rPr>
          <w:color w:val="231F20"/>
          <w:w w:val="105"/>
        </w:rPr>
        <w:t>que</w:t>
      </w:r>
      <w:r>
        <w:rPr>
          <w:color w:val="231F20"/>
          <w:spacing w:val="-11"/>
          <w:w w:val="105"/>
        </w:rPr>
        <w:t> </w:t>
      </w:r>
      <w:r>
        <w:rPr>
          <w:color w:val="231F20"/>
          <w:w w:val="105"/>
        </w:rPr>
        <w:t>tuvo como</w:t>
      </w:r>
      <w:r>
        <w:rPr>
          <w:color w:val="231F20"/>
          <w:spacing w:val="-21"/>
          <w:w w:val="105"/>
        </w:rPr>
        <w:t> </w:t>
      </w:r>
      <w:r>
        <w:rPr>
          <w:color w:val="231F20"/>
          <w:w w:val="105"/>
        </w:rPr>
        <w:t>base</w:t>
      </w:r>
      <w:r>
        <w:rPr>
          <w:color w:val="231F20"/>
          <w:spacing w:val="-21"/>
          <w:w w:val="105"/>
        </w:rPr>
        <w:t> </w:t>
      </w:r>
      <w:r>
        <w:rPr>
          <w:color w:val="231F20"/>
          <w:w w:val="105"/>
        </w:rPr>
        <w:t>gobiernos</w:t>
      </w:r>
      <w:r>
        <w:rPr>
          <w:color w:val="231F20"/>
          <w:spacing w:val="-21"/>
          <w:w w:val="105"/>
        </w:rPr>
        <w:t> </w:t>
      </w:r>
      <w:r>
        <w:rPr>
          <w:color w:val="231F20"/>
          <w:w w:val="105"/>
        </w:rPr>
        <w:t>municipales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trienio</w:t>
      </w:r>
      <w:r>
        <w:rPr>
          <w:color w:val="231F20"/>
          <w:spacing w:val="-21"/>
          <w:w w:val="105"/>
        </w:rPr>
        <w:t> </w:t>
      </w:r>
      <w:r>
        <w:rPr>
          <w:color w:val="231F20"/>
          <w:w w:val="105"/>
        </w:rPr>
        <w:t>2006-2009.</w:t>
      </w:r>
      <w:r>
        <w:rPr>
          <w:color w:val="231F20"/>
          <w:spacing w:val="-21"/>
          <w:w w:val="105"/>
        </w:rPr>
        <w:t> </w:t>
      </w:r>
      <w:r>
        <w:rPr>
          <w:color w:val="231F20"/>
          <w:w w:val="105"/>
        </w:rPr>
        <w:t>Se</w:t>
      </w:r>
      <w:r>
        <w:rPr>
          <w:color w:val="231F20"/>
          <w:spacing w:val="-21"/>
          <w:w w:val="105"/>
        </w:rPr>
        <w:t> </w:t>
      </w:r>
      <w:r>
        <w:rPr>
          <w:color w:val="231F20"/>
          <w:w w:val="105"/>
        </w:rPr>
        <w:t>analizaron</w:t>
      </w:r>
      <w:r>
        <w:rPr>
          <w:color w:val="231F20"/>
          <w:spacing w:val="-21"/>
          <w:w w:val="105"/>
        </w:rPr>
        <w:t> </w:t>
      </w:r>
      <w:r>
        <w:rPr>
          <w:color w:val="231F20"/>
          <w:w w:val="105"/>
        </w:rPr>
        <w:t>trece</w:t>
      </w:r>
      <w:r>
        <w:rPr>
          <w:color w:val="231F20"/>
          <w:spacing w:val="-21"/>
          <w:w w:val="105"/>
        </w:rPr>
        <w:t> </w:t>
      </w:r>
      <w:r>
        <w:rPr>
          <w:color w:val="231F20"/>
          <w:w w:val="105"/>
        </w:rPr>
        <w:t>gestiones en</w:t>
      </w:r>
      <w:r>
        <w:rPr>
          <w:color w:val="231F20"/>
          <w:spacing w:val="-10"/>
          <w:w w:val="105"/>
        </w:rPr>
        <w:t> </w:t>
      </w:r>
      <w:r>
        <w:rPr>
          <w:color w:val="231F20"/>
          <w:w w:val="105"/>
        </w:rPr>
        <w:t>total:</w:t>
      </w:r>
      <w:r>
        <w:rPr>
          <w:color w:val="231F20"/>
          <w:spacing w:val="-10"/>
          <w:w w:val="105"/>
        </w:rPr>
        <w:t> </w:t>
      </w:r>
      <w:r>
        <w:rPr>
          <w:color w:val="231F20"/>
          <w:w w:val="105"/>
        </w:rPr>
        <w:t>cinco</w:t>
      </w:r>
      <w:r>
        <w:rPr>
          <w:color w:val="231F20"/>
          <w:spacing w:val="-10"/>
          <w:w w:val="105"/>
        </w:rPr>
        <w:t> </w:t>
      </w:r>
      <w:r>
        <w:rPr>
          <w:color w:val="231F20"/>
          <w:w w:val="105"/>
        </w:rPr>
        <w:t>del</w:t>
      </w:r>
      <w:r>
        <w:rPr>
          <w:color w:val="231F20"/>
          <w:spacing w:val="-10"/>
          <w:w w:val="105"/>
        </w:rPr>
        <w:t> </w:t>
      </w:r>
      <w:r>
        <w:rPr>
          <w:color w:val="231F20"/>
          <w:w w:val="105"/>
        </w:rPr>
        <w:t>Partido</w:t>
      </w:r>
      <w:r>
        <w:rPr>
          <w:color w:val="231F20"/>
          <w:spacing w:val="-10"/>
          <w:w w:val="105"/>
        </w:rPr>
        <w:t> </w:t>
      </w:r>
      <w:r>
        <w:rPr>
          <w:color w:val="231F20"/>
          <w:w w:val="105"/>
        </w:rPr>
        <w:t>Revolucionario</w:t>
      </w:r>
      <w:r>
        <w:rPr>
          <w:color w:val="231F20"/>
          <w:spacing w:val="-10"/>
          <w:w w:val="105"/>
        </w:rPr>
        <w:t> </w:t>
      </w:r>
      <w:r>
        <w:rPr>
          <w:color w:val="231F20"/>
          <w:w w:val="105"/>
        </w:rPr>
        <w:t>Institucional;</w:t>
      </w:r>
      <w:r>
        <w:rPr>
          <w:color w:val="231F20"/>
          <w:spacing w:val="-10"/>
          <w:w w:val="105"/>
        </w:rPr>
        <w:t> </w:t>
      </w:r>
      <w:r>
        <w:rPr>
          <w:color w:val="231F20"/>
          <w:w w:val="105"/>
        </w:rPr>
        <w:t>tres</w:t>
      </w:r>
      <w:r>
        <w:rPr>
          <w:color w:val="231F20"/>
          <w:spacing w:val="-10"/>
          <w:w w:val="105"/>
        </w:rPr>
        <w:t> </w:t>
      </w:r>
      <w:r>
        <w:rPr>
          <w:color w:val="231F20"/>
          <w:w w:val="105"/>
        </w:rPr>
        <w:t>del</w:t>
      </w:r>
      <w:r>
        <w:rPr>
          <w:color w:val="231F20"/>
          <w:spacing w:val="-10"/>
          <w:w w:val="105"/>
        </w:rPr>
        <w:t> </w:t>
      </w:r>
      <w:r>
        <w:rPr>
          <w:color w:val="231F20"/>
          <w:w w:val="105"/>
        </w:rPr>
        <w:t>Partido</w:t>
      </w:r>
      <w:r>
        <w:rPr>
          <w:color w:val="231F20"/>
          <w:spacing w:val="-10"/>
          <w:w w:val="105"/>
        </w:rPr>
        <w:t> </w:t>
      </w:r>
      <w:r>
        <w:rPr>
          <w:color w:val="231F20"/>
          <w:w w:val="105"/>
        </w:rPr>
        <w:t>Acción</w:t>
      </w:r>
      <w:r>
        <w:rPr>
          <w:color w:val="231F20"/>
          <w:spacing w:val="-10"/>
          <w:w w:val="105"/>
        </w:rPr>
        <w:t> </w:t>
      </w:r>
      <w:r>
        <w:rPr>
          <w:color w:val="231F20"/>
          <w:w w:val="105"/>
        </w:rPr>
        <w:t>Nacio- nal;</w:t>
      </w:r>
      <w:r>
        <w:rPr>
          <w:color w:val="231F20"/>
          <w:spacing w:val="-12"/>
          <w:w w:val="105"/>
        </w:rPr>
        <w:t> </w:t>
      </w:r>
      <w:r>
        <w:rPr>
          <w:color w:val="231F20"/>
          <w:w w:val="105"/>
        </w:rPr>
        <w:t>cuatro</w:t>
      </w:r>
      <w:r>
        <w:rPr>
          <w:color w:val="231F20"/>
          <w:spacing w:val="-12"/>
          <w:w w:val="105"/>
        </w:rPr>
        <w:t> </w:t>
      </w:r>
      <w:r>
        <w:rPr>
          <w:color w:val="231F20"/>
          <w:w w:val="105"/>
        </w:rPr>
        <w:t>del</w:t>
      </w:r>
      <w:r>
        <w:rPr>
          <w:color w:val="231F20"/>
          <w:spacing w:val="-12"/>
          <w:w w:val="105"/>
        </w:rPr>
        <w:t> </w:t>
      </w:r>
      <w:r>
        <w:rPr>
          <w:color w:val="231F20"/>
          <w:w w:val="105"/>
        </w:rPr>
        <w:t>Partido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3"/>
          <w:w w:val="105"/>
        </w:rPr>
        <w:t>Revolución</w:t>
      </w:r>
      <w:r>
        <w:rPr>
          <w:color w:val="231F20"/>
          <w:spacing w:val="-12"/>
          <w:w w:val="105"/>
        </w:rPr>
        <w:t> </w:t>
      </w:r>
      <w:r>
        <w:rPr>
          <w:color w:val="231F20"/>
          <w:w w:val="105"/>
        </w:rPr>
        <w:t>Democrática</w:t>
      </w:r>
      <w:r>
        <w:rPr>
          <w:color w:val="231F20"/>
          <w:spacing w:val="-12"/>
          <w:w w:val="105"/>
        </w:rPr>
        <w:t> </w:t>
      </w:r>
      <w:r>
        <w:rPr>
          <w:color w:val="231F20"/>
          <w:w w:val="105"/>
        </w:rPr>
        <w:t>y</w:t>
      </w:r>
      <w:r>
        <w:rPr>
          <w:color w:val="231F20"/>
          <w:spacing w:val="-12"/>
          <w:w w:val="105"/>
        </w:rPr>
        <w:t> </w:t>
      </w:r>
      <w:r>
        <w:rPr>
          <w:color w:val="231F20"/>
          <w:w w:val="105"/>
        </w:rPr>
        <w:t>una</w:t>
      </w:r>
      <w:r>
        <w:rPr>
          <w:color w:val="231F20"/>
          <w:spacing w:val="-12"/>
          <w:w w:val="105"/>
        </w:rPr>
        <w:t> </w:t>
      </w:r>
      <w:r>
        <w:rPr>
          <w:color w:val="231F20"/>
          <w:w w:val="105"/>
        </w:rPr>
        <w:t>del</w:t>
      </w:r>
      <w:r>
        <w:rPr>
          <w:color w:val="231F20"/>
          <w:spacing w:val="-12"/>
          <w:w w:val="105"/>
        </w:rPr>
        <w:t> </w:t>
      </w:r>
      <w:r>
        <w:rPr>
          <w:color w:val="231F20"/>
          <w:w w:val="105"/>
        </w:rPr>
        <w:t>Partido</w:t>
      </w:r>
      <w:r>
        <w:rPr>
          <w:color w:val="231F20"/>
          <w:spacing w:val="-12"/>
          <w:w w:val="105"/>
        </w:rPr>
        <w:t> </w:t>
      </w:r>
      <w:r>
        <w:rPr>
          <w:color w:val="231F20"/>
          <w:w w:val="105"/>
        </w:rPr>
        <w:t>del</w:t>
      </w:r>
      <w:r>
        <w:rPr>
          <w:color w:val="231F20"/>
          <w:spacing w:val="-12"/>
          <w:w w:val="105"/>
        </w:rPr>
        <w:t> </w:t>
      </w:r>
      <w:r>
        <w:rPr>
          <w:color w:val="231F20"/>
          <w:spacing w:val="-3"/>
          <w:w w:val="105"/>
        </w:rPr>
        <w:t>Trabajo.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rPr>
        <w:t>Las presidencias municipales analizadas fueron del PRI: Chimalhuacán, Huixquilucan, Ixtapan de la Sal, </w:t>
      </w:r>
      <w:r>
        <w:rPr>
          <w:color w:val="231F20"/>
          <w:spacing w:val="-4"/>
        </w:rPr>
        <w:t>Tejupilco </w:t>
      </w:r>
      <w:r>
        <w:rPr>
          <w:color w:val="231F20"/>
        </w:rPr>
        <w:t>y Tepotzotlán; del </w:t>
      </w:r>
      <w:r>
        <w:rPr>
          <w:color w:val="231F20"/>
          <w:spacing w:val="-4"/>
        </w:rPr>
        <w:t>PAN: </w:t>
      </w:r>
      <w:r>
        <w:rPr>
          <w:color w:val="231F20"/>
        </w:rPr>
        <w:t>Atlautla, Naucalpan y Tlalnepantla; del PRD Amecameca, Chalco y Nezahualcóyotl, y finalmente del PT Ozumba. En el   caso de Chalco hay que hacer una acotación puesto que el presidente municipal empezó su periodo de gobierno </w:t>
      </w:r>
      <w:r>
        <w:rPr>
          <w:color w:val="231F20"/>
          <w:spacing w:val="-2"/>
        </w:rPr>
        <w:t>siendo </w:t>
      </w:r>
      <w:r>
        <w:rPr>
          <w:color w:val="231F20"/>
        </w:rPr>
        <w:t>militante del PRD pero, debido a fuertes pugnas internas, terminó afiliado a Convergencia. Su gestión refleja mejor el desempeño del PRD que el del  partido  minoritario</w:t>
      </w:r>
      <w:r>
        <w:rPr>
          <w:color w:val="231F20"/>
          <w:spacing w:val="41"/>
        </w:rPr>
        <w:t> </w:t>
      </w:r>
      <w:r>
        <w:rPr>
          <w:color w:val="231F20"/>
        </w:rPr>
        <w:t>mencionado.</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6"/>
          <w:w w:val="105"/>
        </w:rPr>
        <w:t> </w:t>
      </w:r>
      <w:r>
        <w:rPr>
          <w:color w:val="231F20"/>
          <w:w w:val="105"/>
        </w:rPr>
        <w:t>esquema</w:t>
      </w:r>
      <w:r>
        <w:rPr>
          <w:color w:val="231F20"/>
          <w:spacing w:val="-16"/>
          <w:w w:val="105"/>
        </w:rPr>
        <w:t> </w:t>
      </w:r>
      <w:r>
        <w:rPr>
          <w:color w:val="231F20"/>
          <w:w w:val="105"/>
        </w:rPr>
        <w:t>de</w:t>
      </w:r>
      <w:r>
        <w:rPr>
          <w:color w:val="231F20"/>
          <w:spacing w:val="-16"/>
          <w:w w:val="105"/>
        </w:rPr>
        <w:t> </w:t>
      </w:r>
      <w:r>
        <w:rPr>
          <w:color w:val="231F20"/>
          <w:spacing w:val="2"/>
          <w:w w:val="105"/>
        </w:rPr>
        <w:t>análisis</w:t>
      </w:r>
      <w:r>
        <w:rPr>
          <w:color w:val="231F20"/>
          <w:spacing w:val="-16"/>
          <w:w w:val="105"/>
        </w:rPr>
        <w:t> </w:t>
      </w:r>
      <w:r>
        <w:rPr>
          <w:color w:val="231F20"/>
          <w:w w:val="105"/>
        </w:rPr>
        <w:t>propuesto</w:t>
      </w:r>
      <w:r>
        <w:rPr>
          <w:color w:val="231F20"/>
          <w:spacing w:val="-16"/>
          <w:w w:val="105"/>
        </w:rPr>
        <w:t> </w:t>
      </w:r>
      <w:r>
        <w:rPr>
          <w:color w:val="231F20"/>
          <w:w w:val="105"/>
        </w:rPr>
        <w:t>fue</w:t>
      </w:r>
      <w:r>
        <w:rPr>
          <w:color w:val="231F20"/>
          <w:spacing w:val="-16"/>
          <w:w w:val="105"/>
        </w:rPr>
        <w:t> </w:t>
      </w:r>
      <w:r>
        <w:rPr>
          <w:color w:val="231F20"/>
          <w:w w:val="105"/>
        </w:rPr>
        <w:t>indicativo,</w:t>
      </w:r>
      <w:r>
        <w:rPr>
          <w:color w:val="231F20"/>
          <w:spacing w:val="-16"/>
          <w:w w:val="105"/>
        </w:rPr>
        <w:t> </w:t>
      </w:r>
      <w:r>
        <w:rPr>
          <w:color w:val="231F20"/>
          <w:w w:val="105"/>
        </w:rPr>
        <w:t>cada</w:t>
      </w:r>
      <w:r>
        <w:rPr>
          <w:color w:val="231F20"/>
          <w:spacing w:val="-16"/>
          <w:w w:val="105"/>
        </w:rPr>
        <w:t> </w:t>
      </w:r>
      <w:r>
        <w:rPr>
          <w:color w:val="231F20"/>
          <w:w w:val="105"/>
        </w:rPr>
        <w:t>uno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autores</w:t>
      </w:r>
      <w:r>
        <w:rPr>
          <w:color w:val="231F20"/>
          <w:spacing w:val="-16"/>
          <w:w w:val="105"/>
        </w:rPr>
        <w:t> </w:t>
      </w:r>
      <w:r>
        <w:rPr>
          <w:color w:val="231F20"/>
          <w:w w:val="105"/>
        </w:rPr>
        <w:t>recurrió</w:t>
      </w:r>
      <w:r>
        <w:rPr>
          <w:color w:val="231F20"/>
          <w:spacing w:val="-16"/>
          <w:w w:val="105"/>
        </w:rPr>
        <w:t> </w:t>
      </w:r>
      <w:r>
        <w:rPr>
          <w:color w:val="231F20"/>
          <w:w w:val="105"/>
        </w:rPr>
        <w:t>a</w:t>
      </w:r>
      <w:r>
        <w:rPr>
          <w:color w:val="231F20"/>
          <w:spacing w:val="-16"/>
          <w:w w:val="105"/>
        </w:rPr>
        <w:t> </w:t>
      </w:r>
      <w:r>
        <w:rPr>
          <w:color w:val="231F20"/>
          <w:w w:val="105"/>
        </w:rPr>
        <w:t>él</w:t>
      </w:r>
      <w:r>
        <w:rPr>
          <w:color w:val="231F20"/>
          <w:spacing w:val="-16"/>
          <w:w w:val="105"/>
        </w:rPr>
        <w:t> </w:t>
      </w:r>
      <w:r>
        <w:rPr>
          <w:color w:val="231F20"/>
          <w:w w:val="105"/>
        </w:rPr>
        <w:t>en la</w:t>
      </w:r>
      <w:r>
        <w:rPr>
          <w:color w:val="231F20"/>
          <w:spacing w:val="-17"/>
          <w:w w:val="105"/>
        </w:rPr>
        <w:t> </w:t>
      </w:r>
      <w:r>
        <w:rPr>
          <w:color w:val="231F20"/>
          <w:w w:val="105"/>
        </w:rPr>
        <w:t>medida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posibilidades</w:t>
      </w:r>
      <w:r>
        <w:rPr>
          <w:color w:val="231F20"/>
          <w:spacing w:val="-17"/>
          <w:w w:val="105"/>
        </w:rPr>
        <w:t> </w:t>
      </w:r>
      <w:r>
        <w:rPr>
          <w:color w:val="231F20"/>
          <w:w w:val="105"/>
        </w:rPr>
        <w:t>de</w:t>
      </w:r>
      <w:r>
        <w:rPr>
          <w:color w:val="231F20"/>
          <w:spacing w:val="-17"/>
          <w:w w:val="105"/>
        </w:rPr>
        <w:t> </w:t>
      </w:r>
      <w:r>
        <w:rPr>
          <w:color w:val="231F20"/>
          <w:w w:val="105"/>
        </w:rPr>
        <w:t>investigación</w:t>
      </w:r>
      <w:r>
        <w:rPr>
          <w:color w:val="231F20"/>
          <w:spacing w:val="-17"/>
          <w:w w:val="105"/>
        </w:rPr>
        <w:t> </w:t>
      </w:r>
      <w:r>
        <w:rPr>
          <w:color w:val="231F20"/>
          <w:w w:val="105"/>
        </w:rPr>
        <w:t>del</w:t>
      </w:r>
      <w:r>
        <w:rPr>
          <w:color w:val="231F20"/>
          <w:spacing w:val="-17"/>
          <w:w w:val="105"/>
        </w:rPr>
        <w:t> </w:t>
      </w:r>
      <w:r>
        <w:rPr>
          <w:color w:val="231F20"/>
          <w:spacing w:val="-3"/>
          <w:w w:val="105"/>
        </w:rPr>
        <w:t>propio</w:t>
      </w:r>
      <w:r>
        <w:rPr>
          <w:color w:val="231F20"/>
          <w:spacing w:val="-17"/>
          <w:w w:val="105"/>
        </w:rPr>
        <w:t> </w:t>
      </w:r>
      <w:r>
        <w:rPr>
          <w:color w:val="231F20"/>
          <w:w w:val="105"/>
        </w:rPr>
        <w:t>estudio</w:t>
      </w:r>
      <w:r>
        <w:rPr>
          <w:color w:val="231F20"/>
          <w:spacing w:val="-17"/>
          <w:w w:val="105"/>
        </w:rPr>
        <w:t> </w:t>
      </w:r>
      <w:r>
        <w:rPr>
          <w:color w:val="231F20"/>
          <w:w w:val="105"/>
        </w:rPr>
        <w:t>de</w:t>
      </w:r>
      <w:r>
        <w:rPr>
          <w:color w:val="231F20"/>
          <w:spacing w:val="-17"/>
          <w:w w:val="105"/>
        </w:rPr>
        <w:t> </w:t>
      </w:r>
      <w:r>
        <w:rPr>
          <w:color w:val="231F20"/>
          <w:w w:val="105"/>
        </w:rPr>
        <w:t>caso.</w:t>
      </w:r>
      <w:r>
        <w:rPr>
          <w:color w:val="231F20"/>
          <w:spacing w:val="-17"/>
          <w:w w:val="105"/>
        </w:rPr>
        <w:t> </w:t>
      </w:r>
      <w:r>
        <w:rPr>
          <w:color w:val="231F20"/>
          <w:w w:val="105"/>
        </w:rPr>
        <w:t>En</w:t>
      </w:r>
      <w:r>
        <w:rPr>
          <w:color w:val="231F20"/>
          <w:spacing w:val="-17"/>
          <w:w w:val="105"/>
        </w:rPr>
        <w:t> </w:t>
      </w:r>
      <w:r>
        <w:rPr>
          <w:color w:val="231F20"/>
          <w:w w:val="105"/>
        </w:rPr>
        <w:t>ocasiones la carencia de información dificultó el tratamiento de algunos temas, por lo que se dio mayor atención a aquellos que estaban ampliamente documentados. Sin embargo en otros</w:t>
      </w:r>
      <w:r>
        <w:rPr>
          <w:color w:val="231F20"/>
          <w:spacing w:val="-5"/>
          <w:w w:val="105"/>
        </w:rPr>
        <w:t> </w:t>
      </w:r>
      <w:r>
        <w:rPr>
          <w:color w:val="231F20"/>
          <w:w w:val="105"/>
        </w:rPr>
        <w:t>fue</w:t>
      </w:r>
      <w:r>
        <w:rPr>
          <w:color w:val="231F20"/>
          <w:spacing w:val="-5"/>
          <w:w w:val="105"/>
        </w:rPr>
        <w:t> </w:t>
      </w:r>
      <w:r>
        <w:rPr>
          <w:color w:val="231F20"/>
          <w:w w:val="105"/>
        </w:rPr>
        <w:t>el</w:t>
      </w:r>
      <w:r>
        <w:rPr>
          <w:color w:val="231F20"/>
          <w:spacing w:val="-5"/>
          <w:w w:val="105"/>
        </w:rPr>
        <w:t> </w:t>
      </w:r>
      <w:r>
        <w:rPr>
          <w:color w:val="231F20"/>
          <w:w w:val="105"/>
        </w:rPr>
        <w:t>mismo</w:t>
      </w:r>
      <w:r>
        <w:rPr>
          <w:color w:val="231F20"/>
          <w:spacing w:val="-5"/>
          <w:w w:val="105"/>
        </w:rPr>
        <w:t> </w:t>
      </w:r>
      <w:r>
        <w:rPr>
          <w:color w:val="231F20"/>
          <w:w w:val="105"/>
        </w:rPr>
        <w:t>objeto</w:t>
      </w:r>
      <w:r>
        <w:rPr>
          <w:color w:val="231F20"/>
          <w:spacing w:val="-5"/>
          <w:w w:val="105"/>
        </w:rPr>
        <w:t> </w:t>
      </w:r>
      <w:r>
        <w:rPr>
          <w:color w:val="231F20"/>
          <w:w w:val="105"/>
        </w:rPr>
        <w:t>de</w:t>
      </w:r>
      <w:r>
        <w:rPr>
          <w:color w:val="231F20"/>
          <w:spacing w:val="-5"/>
          <w:w w:val="105"/>
        </w:rPr>
        <w:t> </w:t>
      </w:r>
      <w:r>
        <w:rPr>
          <w:color w:val="231F20"/>
          <w:w w:val="105"/>
        </w:rPr>
        <w:t>estudio</w:t>
      </w:r>
      <w:r>
        <w:rPr>
          <w:color w:val="231F20"/>
          <w:spacing w:val="-5"/>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demandaba</w:t>
      </w:r>
      <w:r>
        <w:rPr>
          <w:color w:val="231F20"/>
          <w:spacing w:val="-5"/>
          <w:w w:val="105"/>
        </w:rPr>
        <w:t> </w:t>
      </w:r>
      <w:r>
        <w:rPr>
          <w:color w:val="231F20"/>
          <w:w w:val="105"/>
        </w:rPr>
        <w:t>la</w:t>
      </w:r>
      <w:r>
        <w:rPr>
          <w:color w:val="231F20"/>
          <w:spacing w:val="-5"/>
          <w:w w:val="105"/>
        </w:rPr>
        <w:t> </w:t>
      </w:r>
      <w:r>
        <w:rPr>
          <w:color w:val="231F20"/>
          <w:w w:val="105"/>
        </w:rPr>
        <w:t>atención</w:t>
      </w:r>
      <w:r>
        <w:rPr>
          <w:color w:val="231F20"/>
          <w:spacing w:val="-5"/>
          <w:w w:val="105"/>
        </w:rPr>
        <w:t> </w:t>
      </w:r>
      <w:r>
        <w:rPr>
          <w:color w:val="231F20"/>
          <w:w w:val="105"/>
        </w:rPr>
        <w:t>sobre</w:t>
      </w:r>
      <w:r>
        <w:rPr>
          <w:color w:val="231F20"/>
          <w:spacing w:val="-5"/>
          <w:w w:val="105"/>
        </w:rPr>
        <w:t> </w:t>
      </w:r>
      <w:r>
        <w:rPr>
          <w:color w:val="231F20"/>
          <w:w w:val="105"/>
        </w:rPr>
        <w:t>ciertos</w:t>
      </w:r>
      <w:r>
        <w:rPr>
          <w:color w:val="231F20"/>
          <w:spacing w:val="-5"/>
          <w:w w:val="105"/>
        </w:rPr>
        <w:t> </w:t>
      </w:r>
      <w:r>
        <w:rPr>
          <w:color w:val="231F20"/>
          <w:w w:val="105"/>
        </w:rPr>
        <w:t>temas que</w:t>
      </w:r>
      <w:r>
        <w:rPr>
          <w:color w:val="231F20"/>
          <w:spacing w:val="-6"/>
          <w:w w:val="105"/>
        </w:rPr>
        <w:t> </w:t>
      </w:r>
      <w:r>
        <w:rPr>
          <w:color w:val="231F20"/>
          <w:w w:val="105"/>
        </w:rPr>
        <w:t>resaltaban</w:t>
      </w:r>
      <w:r>
        <w:rPr>
          <w:color w:val="231F20"/>
          <w:spacing w:val="-6"/>
          <w:w w:val="105"/>
        </w:rPr>
        <w:t> </w:t>
      </w:r>
      <w:r>
        <w:rPr>
          <w:color w:val="231F20"/>
          <w:w w:val="105"/>
        </w:rPr>
        <w:t>por</w:t>
      </w:r>
      <w:r>
        <w:rPr>
          <w:color w:val="231F20"/>
          <w:spacing w:val="-6"/>
          <w:w w:val="105"/>
        </w:rPr>
        <w:t> </w:t>
      </w:r>
      <w:r>
        <w:rPr>
          <w:color w:val="231F20"/>
          <w:w w:val="105"/>
        </w:rPr>
        <w:t>sí</w:t>
      </w:r>
      <w:r>
        <w:rPr>
          <w:color w:val="231F20"/>
          <w:spacing w:val="-6"/>
          <w:w w:val="105"/>
        </w:rPr>
        <w:t> </w:t>
      </w:r>
      <w:r>
        <w:rPr>
          <w:color w:val="231F20"/>
          <w:w w:val="105"/>
        </w:rPr>
        <w:t>mismos,</w:t>
      </w:r>
      <w:r>
        <w:rPr>
          <w:color w:val="231F20"/>
          <w:spacing w:val="-6"/>
          <w:w w:val="105"/>
        </w:rPr>
        <w:t> </w:t>
      </w:r>
      <w:r>
        <w:rPr>
          <w:color w:val="231F20"/>
          <w:w w:val="105"/>
        </w:rPr>
        <w:t>como</w:t>
      </w:r>
      <w:r>
        <w:rPr>
          <w:color w:val="231F20"/>
          <w:spacing w:val="-6"/>
          <w:w w:val="105"/>
        </w:rPr>
        <w:t> </w:t>
      </w:r>
      <w:r>
        <w:rPr>
          <w:color w:val="231F20"/>
          <w:w w:val="105"/>
        </w:rPr>
        <w:t>la</w:t>
      </w:r>
      <w:r>
        <w:rPr>
          <w:color w:val="231F20"/>
          <w:spacing w:val="-6"/>
          <w:w w:val="105"/>
        </w:rPr>
        <w:t> </w:t>
      </w:r>
      <w:r>
        <w:rPr>
          <w:color w:val="231F20"/>
          <w:w w:val="105"/>
        </w:rPr>
        <w:t>centralización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toma</w:t>
      </w:r>
      <w:r>
        <w:rPr>
          <w:color w:val="231F20"/>
          <w:spacing w:val="-6"/>
          <w:w w:val="105"/>
        </w:rPr>
        <w:t> </w:t>
      </w:r>
      <w:r>
        <w:rPr>
          <w:color w:val="231F20"/>
          <w:w w:val="105"/>
        </w:rPr>
        <w:t>de</w:t>
      </w:r>
      <w:r>
        <w:rPr>
          <w:color w:val="231F20"/>
          <w:spacing w:val="-6"/>
          <w:w w:val="105"/>
        </w:rPr>
        <w:t> </w:t>
      </w:r>
      <w:r>
        <w:rPr>
          <w:color w:val="231F20"/>
          <w:w w:val="105"/>
        </w:rPr>
        <w:t>decisiones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fi- gura</w:t>
      </w:r>
      <w:r>
        <w:rPr>
          <w:color w:val="231F20"/>
          <w:spacing w:val="-22"/>
          <w:w w:val="105"/>
        </w:rPr>
        <w:t> </w:t>
      </w:r>
      <w:r>
        <w:rPr>
          <w:color w:val="231F20"/>
          <w:w w:val="105"/>
        </w:rPr>
        <w:t>del</w:t>
      </w:r>
      <w:r>
        <w:rPr>
          <w:color w:val="231F20"/>
          <w:spacing w:val="-22"/>
          <w:w w:val="105"/>
        </w:rPr>
        <w:t> </w:t>
      </w:r>
      <w:r>
        <w:rPr>
          <w:color w:val="231F20"/>
          <w:w w:val="105"/>
        </w:rPr>
        <w:t>presidente</w:t>
      </w:r>
      <w:r>
        <w:rPr>
          <w:color w:val="231F20"/>
          <w:spacing w:val="-22"/>
          <w:w w:val="105"/>
        </w:rPr>
        <w:t> </w:t>
      </w:r>
      <w:r>
        <w:rPr>
          <w:color w:val="231F20"/>
          <w:w w:val="105"/>
        </w:rPr>
        <w:t>municipal,</w:t>
      </w:r>
      <w:r>
        <w:rPr>
          <w:color w:val="231F20"/>
          <w:spacing w:val="-22"/>
          <w:w w:val="105"/>
        </w:rPr>
        <w:t> </w:t>
      </w:r>
      <w:r>
        <w:rPr>
          <w:color w:val="231F20"/>
          <w:w w:val="105"/>
        </w:rPr>
        <w:t>la</w:t>
      </w:r>
      <w:r>
        <w:rPr>
          <w:color w:val="231F20"/>
          <w:spacing w:val="-22"/>
          <w:w w:val="105"/>
        </w:rPr>
        <w:t> </w:t>
      </w:r>
      <w:r>
        <w:rPr>
          <w:color w:val="231F20"/>
          <w:w w:val="105"/>
        </w:rPr>
        <w:t>relación</w:t>
      </w:r>
      <w:r>
        <w:rPr>
          <w:color w:val="231F20"/>
          <w:spacing w:val="-22"/>
          <w:w w:val="105"/>
        </w:rPr>
        <w:t> </w:t>
      </w:r>
      <w:r>
        <w:rPr>
          <w:color w:val="231F20"/>
          <w:w w:val="105"/>
        </w:rPr>
        <w:t>entre</w:t>
      </w:r>
      <w:r>
        <w:rPr>
          <w:color w:val="231F20"/>
          <w:spacing w:val="-22"/>
          <w:w w:val="105"/>
        </w:rPr>
        <w:t> </w:t>
      </w:r>
      <w:r>
        <w:rPr>
          <w:color w:val="231F20"/>
          <w:w w:val="105"/>
        </w:rPr>
        <w:t>el</w:t>
      </w:r>
      <w:r>
        <w:rPr>
          <w:color w:val="231F20"/>
          <w:spacing w:val="-22"/>
          <w:w w:val="105"/>
        </w:rPr>
        <w:t> </w:t>
      </w:r>
      <w:r>
        <w:rPr>
          <w:color w:val="231F20"/>
          <w:w w:val="105"/>
        </w:rPr>
        <w:t>gobierno</w:t>
      </w:r>
      <w:r>
        <w:rPr>
          <w:color w:val="231F20"/>
          <w:spacing w:val="-22"/>
          <w:w w:val="105"/>
        </w:rPr>
        <w:t> </w:t>
      </w:r>
      <w:r>
        <w:rPr>
          <w:color w:val="231F20"/>
          <w:w w:val="105"/>
        </w:rPr>
        <w:t>y</w:t>
      </w:r>
      <w:r>
        <w:rPr>
          <w:color w:val="231F20"/>
          <w:spacing w:val="-22"/>
          <w:w w:val="105"/>
        </w:rPr>
        <w:t> </w:t>
      </w:r>
      <w:r>
        <w:rPr>
          <w:color w:val="231F20"/>
          <w:w w:val="105"/>
        </w:rPr>
        <w:t>las</w:t>
      </w:r>
      <w:r>
        <w:rPr>
          <w:color w:val="231F20"/>
          <w:spacing w:val="-22"/>
          <w:w w:val="105"/>
        </w:rPr>
        <w:t> </w:t>
      </w:r>
      <w:r>
        <w:rPr>
          <w:color w:val="231F20"/>
          <w:w w:val="105"/>
        </w:rPr>
        <w:t>organizaciones</w:t>
      </w:r>
      <w:r>
        <w:rPr>
          <w:color w:val="231F20"/>
          <w:spacing w:val="-22"/>
          <w:w w:val="105"/>
        </w:rPr>
        <w:t> </w:t>
      </w:r>
      <w:r>
        <w:rPr>
          <w:color w:val="231F20"/>
          <w:w w:val="105"/>
        </w:rPr>
        <w:t>sociales o</w:t>
      </w:r>
      <w:r>
        <w:rPr>
          <w:color w:val="231F20"/>
          <w:spacing w:val="-19"/>
          <w:w w:val="105"/>
        </w:rPr>
        <w:t> </w:t>
      </w:r>
      <w:r>
        <w:rPr>
          <w:color w:val="231F20"/>
          <w:w w:val="105"/>
        </w:rPr>
        <w:t>bien,</w:t>
      </w:r>
      <w:r>
        <w:rPr>
          <w:color w:val="231F20"/>
          <w:spacing w:val="-19"/>
          <w:w w:val="105"/>
        </w:rPr>
        <w:t> </w:t>
      </w:r>
      <w:r>
        <w:rPr>
          <w:color w:val="231F20"/>
          <w:w w:val="105"/>
        </w:rPr>
        <w:t>la</w:t>
      </w:r>
      <w:r>
        <w:rPr>
          <w:color w:val="231F20"/>
          <w:spacing w:val="-19"/>
          <w:w w:val="105"/>
        </w:rPr>
        <w:t> </w:t>
      </w:r>
      <w:r>
        <w:rPr>
          <w:color w:val="231F20"/>
          <w:w w:val="105"/>
        </w:rPr>
        <w:t>influencia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iniciativa</w:t>
      </w:r>
      <w:r>
        <w:rPr>
          <w:color w:val="231F20"/>
          <w:spacing w:val="-19"/>
          <w:w w:val="105"/>
        </w:rPr>
        <w:t> </w:t>
      </w:r>
      <w:r>
        <w:rPr>
          <w:color w:val="231F20"/>
          <w:w w:val="105"/>
        </w:rPr>
        <w:t>privada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ejercicio</w:t>
      </w:r>
      <w:r>
        <w:rPr>
          <w:color w:val="231F20"/>
          <w:spacing w:val="-19"/>
          <w:w w:val="105"/>
        </w:rPr>
        <w:t> </w:t>
      </w:r>
      <w:r>
        <w:rPr>
          <w:color w:val="231F20"/>
          <w:w w:val="105"/>
        </w:rPr>
        <w:t>del</w:t>
      </w:r>
      <w:r>
        <w:rPr>
          <w:color w:val="231F20"/>
          <w:spacing w:val="-19"/>
          <w:w w:val="105"/>
        </w:rPr>
        <w:t> </w:t>
      </w:r>
      <w:r>
        <w:rPr>
          <w:color w:val="231F20"/>
          <w:w w:val="105"/>
        </w:rPr>
        <w:t>poder</w:t>
      </w:r>
      <w:r>
        <w:rPr>
          <w:color w:val="231F20"/>
          <w:spacing w:val="-19"/>
          <w:w w:val="105"/>
        </w:rPr>
        <w:t> </w:t>
      </w:r>
      <w:r>
        <w:rPr>
          <w:color w:val="231F20"/>
          <w:w w:val="105"/>
        </w:rPr>
        <w:t>local.</w:t>
      </w:r>
    </w:p>
    <w:p>
      <w:pPr>
        <w:pStyle w:val="BodyText"/>
        <w:spacing w:before="1"/>
        <w:rPr>
          <w:sz w:val="26"/>
        </w:rPr>
      </w:pPr>
    </w:p>
    <w:p>
      <w:pPr>
        <w:pStyle w:val="BodyText"/>
        <w:spacing w:line="285" w:lineRule="auto"/>
        <w:ind w:left="110" w:right="108"/>
        <w:jc w:val="both"/>
      </w:pPr>
      <w:r>
        <w:rPr>
          <w:color w:val="231F20"/>
        </w:rPr>
        <w:t>Los distintos tipos de municipios estudiados permiten hacer una evaluación general de   los gobiernos de partido en el Estado de México. Entre los casos se </w:t>
      </w:r>
      <w:r>
        <w:rPr>
          <w:color w:val="231F20"/>
          <w:spacing w:val="2"/>
        </w:rPr>
        <w:t>hallan </w:t>
      </w:r>
      <w:r>
        <w:rPr>
          <w:color w:val="231F20"/>
        </w:rPr>
        <w:t>municipios grandes (Nezahualcóyotl), con elevados indicadores de desarrollo económico (Naucal- pan), con una alta densidad de población (Tlalnepantla) o con un fuerte potencial de desarrollo ulterior (Ixtapan de la Sal). </w:t>
      </w:r>
      <w:r>
        <w:rPr>
          <w:color w:val="231F20"/>
          <w:spacing w:val="-3"/>
        </w:rPr>
        <w:t>Pero </w:t>
      </w:r>
      <w:r>
        <w:rPr>
          <w:color w:val="231F20"/>
        </w:rPr>
        <w:t>también se estudiaron municipios de media-  no tamaño (Amecameca) y perfil socioeconómico (Chalco) e incluso algunos </w:t>
      </w:r>
      <w:r>
        <w:rPr>
          <w:color w:val="231F20"/>
          <w:spacing w:val="-3"/>
        </w:rPr>
        <w:t>donde </w:t>
      </w:r>
      <w:r>
        <w:rPr>
          <w:color w:val="231F20"/>
        </w:rPr>
        <w:t>las carencias en todos los sentidos son evidentes   (Atlautla).</w:t>
      </w:r>
    </w:p>
    <w:p>
      <w:pPr>
        <w:pStyle w:val="BodyText"/>
        <w:spacing w:before="1"/>
        <w:rPr>
          <w:sz w:val="26"/>
        </w:rPr>
      </w:pPr>
    </w:p>
    <w:p>
      <w:pPr>
        <w:pStyle w:val="BodyText"/>
        <w:spacing w:line="285" w:lineRule="auto"/>
        <w:ind w:left="110" w:right="107"/>
        <w:jc w:val="both"/>
      </w:pPr>
      <w:r>
        <w:rPr>
          <w:color w:val="231F20"/>
          <w:w w:val="105"/>
        </w:rPr>
        <w:t>En la dimensión política, la mayoría de los municipios estudiados en esta obra tienen como característica principal el predominio electoral de un partido. Es decir, que un partido</w:t>
      </w:r>
      <w:r>
        <w:rPr>
          <w:color w:val="231F20"/>
          <w:spacing w:val="-8"/>
          <w:w w:val="105"/>
        </w:rPr>
        <w:t> </w:t>
      </w:r>
      <w:r>
        <w:rPr>
          <w:color w:val="231F20"/>
          <w:w w:val="105"/>
        </w:rPr>
        <w:t>ha</w:t>
      </w:r>
      <w:r>
        <w:rPr>
          <w:color w:val="231F20"/>
          <w:spacing w:val="-8"/>
          <w:w w:val="105"/>
        </w:rPr>
        <w:t> </w:t>
      </w:r>
      <w:r>
        <w:rPr>
          <w:color w:val="231F20"/>
          <w:w w:val="105"/>
        </w:rPr>
        <w:t>ganado</w:t>
      </w:r>
      <w:r>
        <w:rPr>
          <w:color w:val="231F20"/>
          <w:spacing w:val="-8"/>
          <w:w w:val="105"/>
        </w:rPr>
        <w:t> </w:t>
      </w:r>
      <w:r>
        <w:rPr>
          <w:color w:val="231F20"/>
          <w:w w:val="105"/>
        </w:rPr>
        <w:t>la</w:t>
      </w:r>
      <w:r>
        <w:rPr>
          <w:color w:val="231F20"/>
          <w:spacing w:val="-8"/>
          <w:w w:val="105"/>
        </w:rPr>
        <w:t> </w:t>
      </w:r>
      <w:r>
        <w:rPr>
          <w:color w:val="231F20"/>
          <w:w w:val="105"/>
        </w:rPr>
        <w:t>presidencia</w:t>
      </w:r>
      <w:r>
        <w:rPr>
          <w:color w:val="231F20"/>
          <w:spacing w:val="-8"/>
          <w:w w:val="105"/>
        </w:rPr>
        <w:t> </w:t>
      </w:r>
      <w:r>
        <w:rPr>
          <w:color w:val="231F20"/>
          <w:w w:val="105"/>
        </w:rPr>
        <w:t>municipal</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menos</w:t>
      </w:r>
      <w:r>
        <w:rPr>
          <w:color w:val="231F20"/>
          <w:spacing w:val="-8"/>
          <w:w w:val="105"/>
        </w:rPr>
        <w:t> </w:t>
      </w:r>
      <w:r>
        <w:rPr>
          <w:color w:val="231F20"/>
          <w:w w:val="105"/>
        </w:rPr>
        <w:t>tres</w:t>
      </w:r>
      <w:r>
        <w:rPr>
          <w:color w:val="231F20"/>
          <w:spacing w:val="-8"/>
          <w:w w:val="105"/>
        </w:rPr>
        <w:t> </w:t>
      </w:r>
      <w:r>
        <w:rPr>
          <w:color w:val="231F20"/>
          <w:w w:val="105"/>
        </w:rPr>
        <w:t>veces.</w:t>
      </w:r>
      <w:r>
        <w:rPr>
          <w:color w:val="231F20"/>
          <w:spacing w:val="-8"/>
          <w:w w:val="105"/>
        </w:rPr>
        <w:t> </w:t>
      </w:r>
      <w:r>
        <w:rPr>
          <w:color w:val="231F20"/>
          <w:spacing w:val="-7"/>
          <w:w w:val="105"/>
        </w:rPr>
        <w:t>Ya</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trata</w:t>
      </w:r>
      <w:r>
        <w:rPr>
          <w:color w:val="231F20"/>
          <w:spacing w:val="-8"/>
          <w:w w:val="105"/>
        </w:rPr>
        <w:t> </w:t>
      </w:r>
      <w:r>
        <w:rPr>
          <w:color w:val="231F20"/>
          <w:w w:val="105"/>
        </w:rPr>
        <w:t>sólo del</w:t>
      </w:r>
      <w:r>
        <w:rPr>
          <w:color w:val="231F20"/>
          <w:spacing w:val="-7"/>
          <w:w w:val="105"/>
        </w:rPr>
        <w:t> </w:t>
      </w:r>
      <w:r>
        <w:rPr>
          <w:color w:val="231F20"/>
          <w:w w:val="105"/>
        </w:rPr>
        <w:t>PRI,</w:t>
      </w:r>
      <w:r>
        <w:rPr>
          <w:color w:val="231F20"/>
          <w:spacing w:val="-7"/>
          <w:w w:val="105"/>
        </w:rPr>
        <w:t> </w:t>
      </w:r>
      <w:r>
        <w:rPr>
          <w:color w:val="231F20"/>
          <w:w w:val="105"/>
        </w:rPr>
        <w:t>sino</w:t>
      </w:r>
      <w:r>
        <w:rPr>
          <w:color w:val="231F20"/>
          <w:spacing w:val="-7"/>
          <w:w w:val="105"/>
        </w:rPr>
        <w:t> </w:t>
      </w:r>
      <w:r>
        <w:rPr>
          <w:color w:val="231F20"/>
          <w:w w:val="105"/>
        </w:rPr>
        <w:t>también</w:t>
      </w:r>
      <w:r>
        <w:rPr>
          <w:color w:val="231F20"/>
          <w:spacing w:val="-7"/>
          <w:w w:val="105"/>
        </w:rPr>
        <w:t> </w:t>
      </w:r>
      <w:r>
        <w:rPr>
          <w:color w:val="231F20"/>
          <w:w w:val="105"/>
        </w:rPr>
        <w:t>del</w:t>
      </w:r>
      <w:r>
        <w:rPr>
          <w:color w:val="231F20"/>
          <w:spacing w:val="-7"/>
          <w:w w:val="105"/>
        </w:rPr>
        <w:t> </w:t>
      </w:r>
      <w:r>
        <w:rPr>
          <w:color w:val="231F20"/>
          <w:spacing w:val="-4"/>
          <w:w w:val="105"/>
        </w:rPr>
        <w:t>PAN</w:t>
      </w:r>
      <w:r>
        <w:rPr>
          <w:color w:val="231F20"/>
          <w:spacing w:val="-7"/>
          <w:w w:val="105"/>
        </w:rPr>
        <w:t> </w:t>
      </w:r>
      <w:r>
        <w:rPr>
          <w:color w:val="231F20"/>
          <w:w w:val="105"/>
        </w:rPr>
        <w:t>o</w:t>
      </w:r>
      <w:r>
        <w:rPr>
          <w:color w:val="231F20"/>
          <w:spacing w:val="-7"/>
          <w:w w:val="105"/>
        </w:rPr>
        <w:t> </w:t>
      </w:r>
      <w:r>
        <w:rPr>
          <w:color w:val="231F20"/>
          <w:w w:val="105"/>
        </w:rPr>
        <w:t>del</w:t>
      </w:r>
      <w:r>
        <w:rPr>
          <w:color w:val="231F20"/>
          <w:spacing w:val="-7"/>
          <w:w w:val="105"/>
        </w:rPr>
        <w:t> </w:t>
      </w:r>
      <w:r>
        <w:rPr>
          <w:color w:val="231F20"/>
          <w:spacing w:val="-3"/>
          <w:w w:val="105"/>
        </w:rPr>
        <w:t>PRD.</w:t>
      </w:r>
      <w:r>
        <w:rPr>
          <w:color w:val="231F20"/>
          <w:spacing w:val="-7"/>
          <w:w w:val="105"/>
        </w:rPr>
        <w:t> </w:t>
      </w:r>
      <w:r>
        <w:rPr>
          <w:color w:val="231F20"/>
          <w:w w:val="105"/>
        </w:rPr>
        <w:t>Del</w:t>
      </w:r>
      <w:r>
        <w:rPr>
          <w:color w:val="231F20"/>
          <w:spacing w:val="-7"/>
          <w:w w:val="105"/>
        </w:rPr>
        <w:t> </w:t>
      </w:r>
      <w:r>
        <w:rPr>
          <w:color w:val="231F20"/>
          <w:w w:val="105"/>
        </w:rPr>
        <w:t>primer</w:t>
      </w:r>
      <w:r>
        <w:rPr>
          <w:color w:val="231F20"/>
          <w:spacing w:val="-7"/>
          <w:w w:val="105"/>
        </w:rPr>
        <w:t> </w:t>
      </w:r>
      <w:r>
        <w:rPr>
          <w:color w:val="231F20"/>
          <w:w w:val="105"/>
        </w:rPr>
        <w:t>partido</w:t>
      </w:r>
      <w:r>
        <w:rPr>
          <w:color w:val="231F20"/>
          <w:spacing w:val="-7"/>
          <w:w w:val="105"/>
        </w:rPr>
        <w:t> </w:t>
      </w:r>
      <w:r>
        <w:rPr>
          <w:color w:val="231F20"/>
          <w:w w:val="105"/>
        </w:rPr>
        <w:t>se</w:t>
      </w:r>
      <w:r>
        <w:rPr>
          <w:color w:val="231F20"/>
          <w:spacing w:val="-7"/>
          <w:w w:val="105"/>
        </w:rPr>
        <w:t> </w:t>
      </w:r>
      <w:r>
        <w:rPr>
          <w:color w:val="231F20"/>
          <w:w w:val="105"/>
        </w:rPr>
        <w:t>pueden</w:t>
      </w:r>
      <w:r>
        <w:rPr>
          <w:color w:val="231F20"/>
          <w:spacing w:val="-7"/>
          <w:w w:val="105"/>
        </w:rPr>
        <w:t> </w:t>
      </w:r>
      <w:r>
        <w:rPr>
          <w:color w:val="231F20"/>
          <w:w w:val="105"/>
        </w:rPr>
        <w:t>citar</w:t>
      </w:r>
      <w:r>
        <w:rPr>
          <w:color w:val="231F20"/>
          <w:spacing w:val="-7"/>
          <w:w w:val="105"/>
        </w:rPr>
        <w:t> </w:t>
      </w:r>
      <w:r>
        <w:rPr>
          <w:color w:val="231F20"/>
          <w:w w:val="105"/>
        </w:rPr>
        <w:t>los</w:t>
      </w:r>
      <w:r>
        <w:rPr>
          <w:color w:val="231F20"/>
          <w:spacing w:val="-7"/>
          <w:w w:val="105"/>
        </w:rPr>
        <w:t> </w:t>
      </w:r>
      <w:r>
        <w:rPr>
          <w:color w:val="231F20"/>
          <w:w w:val="105"/>
        </w:rPr>
        <w:t>casos de Huixquilucan, Chimalhuacán e Ixtapan de la Sal. Del segundo, los de Naucalpan y Tlalnepantla. Del tercero, Nezahualcóyotl. Hay otros </w:t>
      </w:r>
      <w:r>
        <w:rPr>
          <w:color w:val="231F20"/>
          <w:spacing w:val="-3"/>
          <w:w w:val="105"/>
        </w:rPr>
        <w:t>donde </w:t>
      </w:r>
      <w:r>
        <w:rPr>
          <w:color w:val="231F20"/>
          <w:w w:val="105"/>
        </w:rPr>
        <w:t>la alternancia ha sido </w:t>
      </w:r>
      <w:r>
        <w:rPr>
          <w:color w:val="231F20"/>
          <w:spacing w:val="18"/>
          <w:w w:val="105"/>
        </w:rPr>
        <w:t> </w:t>
      </w:r>
      <w:r>
        <w:rPr>
          <w:color w:val="231F20"/>
          <w:w w:val="105"/>
        </w:rPr>
        <w:t>fe-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spacing w:val="-3"/>
          <w:w w:val="105"/>
        </w:rPr>
        <w:t>nómeno </w:t>
      </w:r>
      <w:r>
        <w:rPr>
          <w:color w:val="231F20"/>
          <w:w w:val="105"/>
        </w:rPr>
        <w:t>común, no obstante que se aprecia una fuerte presencia de por lo menos dos partidos, no únicamente del triunfador: en Amecameca y </w:t>
      </w:r>
      <w:r>
        <w:rPr>
          <w:color w:val="231F20"/>
          <w:spacing w:val="-4"/>
          <w:w w:val="105"/>
        </w:rPr>
        <w:t>Tejupilco </w:t>
      </w:r>
      <w:r>
        <w:rPr>
          <w:color w:val="231F20"/>
          <w:w w:val="105"/>
        </w:rPr>
        <w:t>la disputa es</w:t>
      </w:r>
      <w:r>
        <w:rPr>
          <w:color w:val="231F20"/>
          <w:spacing w:val="-40"/>
          <w:w w:val="105"/>
        </w:rPr>
        <w:t> </w:t>
      </w:r>
      <w:r>
        <w:rPr>
          <w:color w:val="231F20"/>
          <w:w w:val="105"/>
        </w:rPr>
        <w:t>fuerte entre</w:t>
      </w:r>
      <w:r>
        <w:rPr>
          <w:color w:val="231F20"/>
          <w:spacing w:val="-6"/>
          <w:w w:val="105"/>
        </w:rPr>
        <w:t> </w:t>
      </w:r>
      <w:r>
        <w:rPr>
          <w:color w:val="231F20"/>
          <w:w w:val="105"/>
        </w:rPr>
        <w:t>el</w:t>
      </w:r>
      <w:r>
        <w:rPr>
          <w:color w:val="231F20"/>
          <w:spacing w:val="-6"/>
          <w:w w:val="105"/>
        </w:rPr>
        <w:t> </w:t>
      </w:r>
      <w:r>
        <w:rPr>
          <w:color w:val="231F20"/>
          <w:w w:val="105"/>
        </w:rPr>
        <w:t>PRI</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spacing w:val="-3"/>
          <w:w w:val="105"/>
        </w:rPr>
        <w:t>PRD,</w:t>
      </w:r>
      <w:r>
        <w:rPr>
          <w:color w:val="231F20"/>
          <w:spacing w:val="-6"/>
          <w:w w:val="105"/>
        </w:rPr>
        <w:t> </w:t>
      </w:r>
      <w:r>
        <w:rPr>
          <w:color w:val="231F20"/>
          <w:w w:val="105"/>
        </w:rPr>
        <w:t>mientras</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Tepotzotlán</w:t>
      </w:r>
      <w:r>
        <w:rPr>
          <w:color w:val="231F20"/>
          <w:spacing w:val="-6"/>
          <w:w w:val="105"/>
        </w:rPr>
        <w:t> </w:t>
      </w:r>
      <w:r>
        <w:rPr>
          <w:color w:val="231F20"/>
          <w:w w:val="105"/>
        </w:rPr>
        <w:t>lo</w:t>
      </w:r>
      <w:r>
        <w:rPr>
          <w:color w:val="231F20"/>
          <w:spacing w:val="-6"/>
          <w:w w:val="105"/>
        </w:rPr>
        <w:t> </w:t>
      </w:r>
      <w:r>
        <w:rPr>
          <w:color w:val="231F20"/>
          <w:w w:val="105"/>
        </w:rPr>
        <w:t>es</w:t>
      </w:r>
      <w:r>
        <w:rPr>
          <w:color w:val="231F20"/>
          <w:spacing w:val="-6"/>
          <w:w w:val="105"/>
        </w:rPr>
        <w:t> </w:t>
      </w:r>
      <w:r>
        <w:rPr>
          <w:color w:val="231F20"/>
          <w:w w:val="105"/>
        </w:rPr>
        <w:t>entre</w:t>
      </w:r>
      <w:r>
        <w:rPr>
          <w:color w:val="231F20"/>
          <w:spacing w:val="-6"/>
          <w:w w:val="105"/>
        </w:rPr>
        <w:t> </w:t>
      </w:r>
      <w:r>
        <w:rPr>
          <w:color w:val="231F20"/>
          <w:w w:val="105"/>
        </w:rPr>
        <w:t>el</w:t>
      </w:r>
      <w:r>
        <w:rPr>
          <w:color w:val="231F20"/>
          <w:spacing w:val="-6"/>
          <w:w w:val="105"/>
        </w:rPr>
        <w:t> </w:t>
      </w:r>
      <w:r>
        <w:rPr>
          <w:color w:val="231F20"/>
          <w:w w:val="105"/>
        </w:rPr>
        <w:t>PRI</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spacing w:val="-4"/>
          <w:w w:val="105"/>
        </w:rPr>
        <w:t>PAN.</w:t>
      </w:r>
      <w:r>
        <w:rPr>
          <w:color w:val="231F20"/>
          <w:spacing w:val="-6"/>
          <w:w w:val="105"/>
        </w:rPr>
        <w:t> </w:t>
      </w:r>
      <w:r>
        <w:rPr>
          <w:color w:val="231F20"/>
          <w:w w:val="105"/>
        </w:rPr>
        <w:t>En</w:t>
      </w:r>
      <w:r>
        <w:rPr>
          <w:color w:val="231F20"/>
          <w:spacing w:val="-6"/>
          <w:w w:val="105"/>
        </w:rPr>
        <w:t> </w:t>
      </w:r>
      <w:r>
        <w:rPr>
          <w:color w:val="231F20"/>
          <w:spacing w:val="-5"/>
          <w:w w:val="105"/>
        </w:rPr>
        <w:t>At- </w:t>
      </w:r>
      <w:r>
        <w:rPr>
          <w:color w:val="231F20"/>
          <w:w w:val="105"/>
        </w:rPr>
        <w:t>lautla</w:t>
      </w:r>
      <w:r>
        <w:rPr>
          <w:color w:val="231F20"/>
          <w:spacing w:val="-15"/>
          <w:w w:val="105"/>
        </w:rPr>
        <w:t> </w:t>
      </w:r>
      <w:r>
        <w:rPr>
          <w:color w:val="231F20"/>
          <w:w w:val="105"/>
        </w:rPr>
        <w:t>y</w:t>
      </w:r>
      <w:r>
        <w:rPr>
          <w:color w:val="231F20"/>
          <w:spacing w:val="-15"/>
          <w:w w:val="105"/>
        </w:rPr>
        <w:t> </w:t>
      </w:r>
      <w:r>
        <w:rPr>
          <w:color w:val="231F20"/>
          <w:w w:val="105"/>
        </w:rPr>
        <w:t>Ozumba</w:t>
      </w:r>
      <w:r>
        <w:rPr>
          <w:color w:val="231F20"/>
          <w:spacing w:val="-15"/>
          <w:w w:val="105"/>
        </w:rPr>
        <w:t> </w:t>
      </w:r>
      <w:r>
        <w:rPr>
          <w:color w:val="231F20"/>
          <w:w w:val="105"/>
        </w:rPr>
        <w:t>no</w:t>
      </w:r>
      <w:r>
        <w:rPr>
          <w:color w:val="231F20"/>
          <w:spacing w:val="-15"/>
          <w:w w:val="105"/>
        </w:rPr>
        <w:t> </w:t>
      </w:r>
      <w:r>
        <w:rPr>
          <w:color w:val="231F20"/>
          <w:w w:val="105"/>
        </w:rPr>
        <w:t>hay</w:t>
      </w:r>
      <w:r>
        <w:rPr>
          <w:color w:val="231F20"/>
          <w:spacing w:val="-15"/>
          <w:w w:val="105"/>
        </w:rPr>
        <w:t> </w:t>
      </w:r>
      <w:r>
        <w:rPr>
          <w:color w:val="231F20"/>
          <w:w w:val="105"/>
        </w:rPr>
        <w:t>una</w:t>
      </w:r>
      <w:r>
        <w:rPr>
          <w:color w:val="231F20"/>
          <w:spacing w:val="-15"/>
          <w:w w:val="105"/>
        </w:rPr>
        <w:t> </w:t>
      </w:r>
      <w:r>
        <w:rPr>
          <w:color w:val="231F20"/>
          <w:w w:val="105"/>
        </w:rPr>
        <w:t>fuerza</w:t>
      </w:r>
      <w:r>
        <w:rPr>
          <w:color w:val="231F20"/>
          <w:spacing w:val="-15"/>
          <w:w w:val="105"/>
        </w:rPr>
        <w:t> </w:t>
      </w:r>
      <w:r>
        <w:rPr>
          <w:color w:val="231F20"/>
          <w:w w:val="105"/>
        </w:rPr>
        <w:t>política</w:t>
      </w:r>
      <w:r>
        <w:rPr>
          <w:color w:val="231F20"/>
          <w:spacing w:val="-15"/>
          <w:w w:val="105"/>
        </w:rPr>
        <w:t> </w:t>
      </w:r>
      <w:r>
        <w:rPr>
          <w:color w:val="231F20"/>
          <w:w w:val="105"/>
        </w:rPr>
        <w:t>hegemónica</w:t>
      </w:r>
      <w:r>
        <w:rPr>
          <w:color w:val="231F20"/>
          <w:spacing w:val="-15"/>
          <w:w w:val="105"/>
        </w:rPr>
        <w:t> </w:t>
      </w:r>
      <w:r>
        <w:rPr>
          <w:color w:val="231F20"/>
          <w:w w:val="105"/>
        </w:rPr>
        <w:t>bien</w:t>
      </w:r>
      <w:r>
        <w:rPr>
          <w:color w:val="231F20"/>
          <w:spacing w:val="-15"/>
          <w:w w:val="105"/>
        </w:rPr>
        <w:t> </w:t>
      </w:r>
      <w:r>
        <w:rPr>
          <w:color w:val="231F20"/>
          <w:w w:val="105"/>
        </w:rPr>
        <w:t>definida.</w:t>
      </w:r>
    </w:p>
    <w:p>
      <w:pPr>
        <w:pStyle w:val="BodyText"/>
        <w:spacing w:before="1"/>
        <w:rPr>
          <w:sz w:val="26"/>
        </w:rPr>
      </w:pPr>
    </w:p>
    <w:p>
      <w:pPr>
        <w:pStyle w:val="BodyText"/>
        <w:spacing w:line="285" w:lineRule="auto"/>
        <w:ind w:left="110" w:right="106"/>
        <w:jc w:val="both"/>
      </w:pPr>
      <w:r>
        <w:rPr>
          <w:color w:val="231F20"/>
          <w:w w:val="105"/>
        </w:rPr>
        <w:t>Hay características comunes a todos los municipios sin importar el partido que esté </w:t>
      </w:r>
      <w:r>
        <w:rPr>
          <w:color w:val="231F20"/>
          <w:spacing w:val="2"/>
          <w:w w:val="105"/>
        </w:rPr>
        <w:t>al </w:t>
      </w:r>
      <w:r>
        <w:rPr>
          <w:color w:val="231F20"/>
          <w:w w:val="105"/>
        </w:rPr>
        <w:t>frente</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administración.</w:t>
      </w:r>
      <w:r>
        <w:rPr>
          <w:color w:val="231F20"/>
          <w:spacing w:val="-4"/>
          <w:w w:val="105"/>
        </w:rPr>
        <w:t> </w:t>
      </w:r>
      <w:r>
        <w:rPr>
          <w:color w:val="231F20"/>
          <w:w w:val="105"/>
        </w:rPr>
        <w:t>En</w:t>
      </w:r>
      <w:r>
        <w:rPr>
          <w:color w:val="231F20"/>
          <w:spacing w:val="-4"/>
          <w:w w:val="105"/>
        </w:rPr>
        <w:t> </w:t>
      </w:r>
      <w:r>
        <w:rPr>
          <w:color w:val="231F20"/>
          <w:w w:val="105"/>
        </w:rPr>
        <w:t>nuestro</w:t>
      </w:r>
      <w:r>
        <w:rPr>
          <w:color w:val="231F20"/>
          <w:spacing w:val="-4"/>
          <w:w w:val="105"/>
        </w:rPr>
        <w:t> </w:t>
      </w:r>
      <w:r>
        <w:rPr>
          <w:color w:val="231F20"/>
          <w:w w:val="105"/>
        </w:rPr>
        <w:t>esquema,</w:t>
      </w:r>
      <w:r>
        <w:rPr>
          <w:color w:val="231F20"/>
          <w:spacing w:val="-4"/>
          <w:w w:val="105"/>
        </w:rPr>
        <w:t> </w:t>
      </w:r>
      <w:r>
        <w:rPr>
          <w:color w:val="231F20"/>
          <w:w w:val="105"/>
        </w:rPr>
        <w:t>los</w:t>
      </w:r>
      <w:r>
        <w:rPr>
          <w:color w:val="231F20"/>
          <w:spacing w:val="-4"/>
          <w:w w:val="105"/>
        </w:rPr>
        <w:t> </w:t>
      </w:r>
      <w:r>
        <w:rPr>
          <w:color w:val="231F20"/>
          <w:w w:val="105"/>
        </w:rPr>
        <w:t>factores</w:t>
      </w:r>
      <w:r>
        <w:rPr>
          <w:color w:val="231F20"/>
          <w:spacing w:val="-4"/>
          <w:w w:val="105"/>
        </w:rPr>
        <w:t> </w:t>
      </w:r>
      <w:r>
        <w:rPr>
          <w:color w:val="231F20"/>
          <w:w w:val="105"/>
        </w:rPr>
        <w:t>socioeconómicos</w:t>
      </w:r>
      <w:r>
        <w:rPr>
          <w:color w:val="231F20"/>
          <w:spacing w:val="-4"/>
          <w:w w:val="105"/>
        </w:rPr>
        <w:t> </w:t>
      </w:r>
      <w:r>
        <w:rPr>
          <w:color w:val="231F20"/>
          <w:w w:val="105"/>
        </w:rPr>
        <w:t>eran</w:t>
      </w:r>
      <w:r>
        <w:rPr>
          <w:color w:val="231F20"/>
          <w:spacing w:val="-4"/>
          <w:w w:val="105"/>
        </w:rPr>
        <w:t> </w:t>
      </w:r>
      <w:r>
        <w:rPr>
          <w:color w:val="231F20"/>
          <w:w w:val="105"/>
        </w:rPr>
        <w:t>la primera</w:t>
      </w:r>
      <w:r>
        <w:rPr>
          <w:color w:val="231F20"/>
          <w:spacing w:val="-22"/>
          <w:w w:val="105"/>
        </w:rPr>
        <w:t> </w:t>
      </w:r>
      <w:r>
        <w:rPr>
          <w:color w:val="231F20"/>
          <w:w w:val="105"/>
        </w:rPr>
        <w:t>variable,</w:t>
      </w:r>
      <w:r>
        <w:rPr>
          <w:color w:val="231F20"/>
          <w:spacing w:val="-22"/>
          <w:w w:val="105"/>
        </w:rPr>
        <w:t> </w:t>
      </w:r>
      <w:r>
        <w:rPr>
          <w:color w:val="231F20"/>
          <w:w w:val="105"/>
        </w:rPr>
        <w:t>aunque</w:t>
      </w:r>
      <w:r>
        <w:rPr>
          <w:color w:val="231F20"/>
          <w:spacing w:val="-22"/>
          <w:w w:val="105"/>
        </w:rPr>
        <w:t> </w:t>
      </w:r>
      <w:r>
        <w:rPr>
          <w:color w:val="231F20"/>
          <w:w w:val="105"/>
        </w:rPr>
        <w:t>poco</w:t>
      </w:r>
      <w:r>
        <w:rPr>
          <w:color w:val="231F20"/>
          <w:spacing w:val="-22"/>
          <w:w w:val="105"/>
        </w:rPr>
        <w:t> </w:t>
      </w:r>
      <w:r>
        <w:rPr>
          <w:color w:val="231F20"/>
          <w:w w:val="105"/>
        </w:rPr>
        <w:t>se</w:t>
      </w:r>
      <w:r>
        <w:rPr>
          <w:color w:val="231F20"/>
          <w:spacing w:val="-22"/>
          <w:w w:val="105"/>
        </w:rPr>
        <w:t> </w:t>
      </w:r>
      <w:r>
        <w:rPr>
          <w:color w:val="231F20"/>
          <w:w w:val="105"/>
        </w:rPr>
        <w:t>puede</w:t>
      </w:r>
      <w:r>
        <w:rPr>
          <w:color w:val="231F20"/>
          <w:spacing w:val="-22"/>
          <w:w w:val="105"/>
        </w:rPr>
        <w:t> </w:t>
      </w:r>
      <w:r>
        <w:rPr>
          <w:color w:val="231F20"/>
          <w:w w:val="105"/>
        </w:rPr>
        <w:t>señalar</w:t>
      </w:r>
      <w:r>
        <w:rPr>
          <w:color w:val="231F20"/>
          <w:spacing w:val="-22"/>
          <w:w w:val="105"/>
        </w:rPr>
        <w:t> </w:t>
      </w:r>
      <w:r>
        <w:rPr>
          <w:color w:val="231F20"/>
          <w:spacing w:val="2"/>
          <w:w w:val="105"/>
        </w:rPr>
        <w:t>al</w:t>
      </w:r>
      <w:r>
        <w:rPr>
          <w:color w:val="231F20"/>
          <w:spacing w:val="-22"/>
          <w:w w:val="105"/>
        </w:rPr>
        <w:t> </w:t>
      </w:r>
      <w:r>
        <w:rPr>
          <w:color w:val="231F20"/>
          <w:w w:val="105"/>
        </w:rPr>
        <w:t>respecto.</w:t>
      </w:r>
      <w:r>
        <w:rPr>
          <w:color w:val="231F20"/>
          <w:spacing w:val="-22"/>
          <w:w w:val="105"/>
        </w:rPr>
        <w:t> </w:t>
      </w:r>
      <w:r>
        <w:rPr>
          <w:color w:val="231F20"/>
          <w:w w:val="105"/>
        </w:rPr>
        <w:t>El</w:t>
      </w:r>
      <w:r>
        <w:rPr>
          <w:color w:val="231F20"/>
          <w:spacing w:val="-22"/>
          <w:w w:val="105"/>
        </w:rPr>
        <w:t> </w:t>
      </w:r>
      <w:r>
        <w:rPr>
          <w:color w:val="231F20"/>
          <w:w w:val="105"/>
        </w:rPr>
        <w:t>nivel</w:t>
      </w:r>
      <w:r>
        <w:rPr>
          <w:color w:val="231F20"/>
          <w:spacing w:val="-22"/>
          <w:w w:val="105"/>
        </w:rPr>
        <w:t> </w:t>
      </w:r>
      <w:r>
        <w:rPr>
          <w:color w:val="231F20"/>
          <w:w w:val="105"/>
        </w:rPr>
        <w:t>socioeconómico</w:t>
      </w:r>
      <w:r>
        <w:rPr>
          <w:color w:val="231F20"/>
          <w:spacing w:val="-22"/>
          <w:w w:val="105"/>
        </w:rPr>
        <w:t> </w:t>
      </w:r>
      <w:r>
        <w:rPr>
          <w:color w:val="231F20"/>
          <w:w w:val="105"/>
        </w:rPr>
        <w:t>del municipio</w:t>
      </w:r>
      <w:r>
        <w:rPr>
          <w:color w:val="231F20"/>
          <w:spacing w:val="-5"/>
          <w:w w:val="105"/>
        </w:rPr>
        <w:t> </w:t>
      </w:r>
      <w:r>
        <w:rPr>
          <w:color w:val="231F20"/>
          <w:w w:val="105"/>
        </w:rPr>
        <w:t>no</w:t>
      </w:r>
      <w:r>
        <w:rPr>
          <w:color w:val="231F20"/>
          <w:spacing w:val="-5"/>
          <w:w w:val="105"/>
        </w:rPr>
        <w:t> </w:t>
      </w:r>
      <w:r>
        <w:rPr>
          <w:color w:val="231F20"/>
          <w:w w:val="105"/>
        </w:rPr>
        <w:t>determina</w:t>
      </w:r>
      <w:r>
        <w:rPr>
          <w:color w:val="231F20"/>
          <w:spacing w:val="-5"/>
          <w:w w:val="105"/>
        </w:rPr>
        <w:t> </w:t>
      </w:r>
      <w:r>
        <w:rPr>
          <w:color w:val="231F20"/>
          <w:spacing w:val="2"/>
          <w:w w:val="105"/>
        </w:rPr>
        <w:t>al</w:t>
      </w:r>
      <w:r>
        <w:rPr>
          <w:color w:val="231F20"/>
          <w:spacing w:val="-5"/>
          <w:w w:val="105"/>
        </w:rPr>
        <w:t> </w:t>
      </w:r>
      <w:r>
        <w:rPr>
          <w:color w:val="231F20"/>
          <w:w w:val="105"/>
        </w:rPr>
        <w:t>partido</w:t>
      </w:r>
      <w:r>
        <w:rPr>
          <w:color w:val="231F20"/>
          <w:spacing w:val="-5"/>
          <w:w w:val="105"/>
        </w:rPr>
        <w:t> </w:t>
      </w:r>
      <w:r>
        <w:rPr>
          <w:color w:val="231F20"/>
          <w:spacing w:val="-3"/>
          <w:w w:val="105"/>
        </w:rPr>
        <w:t>ganador,</w:t>
      </w:r>
      <w:r>
        <w:rPr>
          <w:color w:val="231F20"/>
          <w:spacing w:val="-5"/>
          <w:w w:val="105"/>
        </w:rPr>
        <w:t> </w:t>
      </w:r>
      <w:r>
        <w:rPr>
          <w:color w:val="231F20"/>
          <w:w w:val="105"/>
        </w:rPr>
        <w:t>pero</w:t>
      </w:r>
      <w:r>
        <w:rPr>
          <w:color w:val="231F20"/>
          <w:spacing w:val="-5"/>
          <w:w w:val="105"/>
        </w:rPr>
        <w:t> </w:t>
      </w:r>
      <w:r>
        <w:rPr>
          <w:color w:val="231F20"/>
          <w:w w:val="105"/>
        </w:rPr>
        <w:t>si</w:t>
      </w:r>
      <w:r>
        <w:rPr>
          <w:color w:val="231F20"/>
          <w:spacing w:val="-5"/>
          <w:w w:val="105"/>
        </w:rPr>
        <w:t> </w:t>
      </w:r>
      <w:r>
        <w:rPr>
          <w:color w:val="231F20"/>
          <w:w w:val="105"/>
        </w:rPr>
        <w:t>influye</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definición</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prio- ridades de su </w:t>
      </w:r>
      <w:r>
        <w:rPr>
          <w:color w:val="231F20"/>
          <w:spacing w:val="-3"/>
          <w:w w:val="105"/>
        </w:rPr>
        <w:t>gobierno. Un </w:t>
      </w:r>
      <w:r>
        <w:rPr>
          <w:color w:val="231F20"/>
          <w:w w:val="105"/>
        </w:rPr>
        <w:t>municipio con numerosos apremios económicos demanda más</w:t>
      </w:r>
      <w:r>
        <w:rPr>
          <w:color w:val="231F20"/>
          <w:spacing w:val="-15"/>
          <w:w w:val="105"/>
        </w:rPr>
        <w:t> </w:t>
      </w:r>
      <w:r>
        <w:rPr>
          <w:color w:val="231F20"/>
          <w:w w:val="105"/>
        </w:rPr>
        <w:t>obra</w:t>
      </w:r>
      <w:r>
        <w:rPr>
          <w:color w:val="231F20"/>
          <w:spacing w:val="-15"/>
          <w:w w:val="105"/>
        </w:rPr>
        <w:t> </w:t>
      </w:r>
      <w:r>
        <w:rPr>
          <w:color w:val="231F20"/>
          <w:w w:val="105"/>
        </w:rPr>
        <w:t>pública</w:t>
      </w:r>
      <w:r>
        <w:rPr>
          <w:color w:val="231F20"/>
          <w:spacing w:val="-15"/>
          <w:w w:val="105"/>
        </w:rPr>
        <w:t> </w:t>
      </w:r>
      <w:r>
        <w:rPr>
          <w:color w:val="231F20"/>
          <w:w w:val="105"/>
        </w:rPr>
        <w:t>o</w:t>
      </w:r>
      <w:r>
        <w:rPr>
          <w:color w:val="231F20"/>
          <w:spacing w:val="-15"/>
          <w:w w:val="105"/>
        </w:rPr>
        <w:t> </w:t>
      </w:r>
      <w:r>
        <w:rPr>
          <w:color w:val="231F20"/>
          <w:w w:val="105"/>
        </w:rPr>
        <w:t>más</w:t>
      </w:r>
      <w:r>
        <w:rPr>
          <w:color w:val="231F20"/>
          <w:spacing w:val="-15"/>
          <w:w w:val="105"/>
        </w:rPr>
        <w:t> </w:t>
      </w:r>
      <w:r>
        <w:rPr>
          <w:color w:val="231F20"/>
          <w:w w:val="105"/>
        </w:rPr>
        <w:t>empleo,</w:t>
      </w:r>
      <w:r>
        <w:rPr>
          <w:color w:val="231F20"/>
          <w:spacing w:val="-15"/>
          <w:w w:val="105"/>
        </w:rPr>
        <w:t> </w:t>
      </w:r>
      <w:r>
        <w:rPr>
          <w:color w:val="231F20"/>
          <w:w w:val="105"/>
        </w:rPr>
        <w:t>y</w:t>
      </w:r>
      <w:r>
        <w:rPr>
          <w:color w:val="231F20"/>
          <w:spacing w:val="-15"/>
          <w:w w:val="105"/>
        </w:rPr>
        <w:t> </w:t>
      </w:r>
      <w:r>
        <w:rPr>
          <w:color w:val="231F20"/>
          <w:w w:val="105"/>
        </w:rPr>
        <w:t>otro</w:t>
      </w:r>
      <w:r>
        <w:rPr>
          <w:color w:val="231F20"/>
          <w:spacing w:val="-15"/>
          <w:w w:val="105"/>
        </w:rPr>
        <w:t> </w:t>
      </w:r>
      <w:r>
        <w:rPr>
          <w:color w:val="231F20"/>
          <w:w w:val="105"/>
        </w:rPr>
        <w:t>con</w:t>
      </w:r>
      <w:r>
        <w:rPr>
          <w:color w:val="231F20"/>
          <w:spacing w:val="-15"/>
          <w:w w:val="105"/>
        </w:rPr>
        <w:t> </w:t>
      </w:r>
      <w:r>
        <w:rPr>
          <w:color w:val="231F20"/>
          <w:w w:val="105"/>
        </w:rPr>
        <w:t>un</w:t>
      </w:r>
      <w:r>
        <w:rPr>
          <w:color w:val="231F20"/>
          <w:spacing w:val="-15"/>
          <w:w w:val="105"/>
        </w:rPr>
        <w:t> </w:t>
      </w:r>
      <w:r>
        <w:rPr>
          <w:color w:val="231F20"/>
          <w:w w:val="105"/>
        </w:rPr>
        <w:t>desarrollo</w:t>
      </w:r>
      <w:r>
        <w:rPr>
          <w:color w:val="231F20"/>
          <w:spacing w:val="-15"/>
          <w:w w:val="105"/>
        </w:rPr>
        <w:t> </w:t>
      </w:r>
      <w:r>
        <w:rPr>
          <w:color w:val="231F20"/>
          <w:w w:val="105"/>
        </w:rPr>
        <w:t>comercial</w:t>
      </w:r>
      <w:r>
        <w:rPr>
          <w:color w:val="231F20"/>
          <w:spacing w:val="-15"/>
          <w:w w:val="105"/>
        </w:rPr>
        <w:t> </w:t>
      </w:r>
      <w:r>
        <w:rPr>
          <w:color w:val="231F20"/>
          <w:w w:val="105"/>
        </w:rPr>
        <w:t>o</w:t>
      </w:r>
      <w:r>
        <w:rPr>
          <w:color w:val="231F20"/>
          <w:spacing w:val="-15"/>
          <w:w w:val="105"/>
        </w:rPr>
        <w:t> </w:t>
      </w:r>
      <w:r>
        <w:rPr>
          <w:color w:val="231F20"/>
          <w:w w:val="105"/>
        </w:rPr>
        <w:t>industrial</w:t>
      </w:r>
      <w:r>
        <w:rPr>
          <w:color w:val="231F20"/>
          <w:spacing w:val="-15"/>
          <w:w w:val="105"/>
        </w:rPr>
        <w:t> </w:t>
      </w:r>
      <w:r>
        <w:rPr>
          <w:color w:val="231F20"/>
          <w:w w:val="105"/>
        </w:rPr>
        <w:t>pronun- ciado</w:t>
      </w:r>
      <w:r>
        <w:rPr>
          <w:color w:val="231F20"/>
          <w:spacing w:val="-19"/>
          <w:w w:val="105"/>
        </w:rPr>
        <w:t> </w:t>
      </w:r>
      <w:r>
        <w:rPr>
          <w:color w:val="231F20"/>
          <w:w w:val="105"/>
        </w:rPr>
        <w:t>exige</w:t>
      </w:r>
      <w:r>
        <w:rPr>
          <w:color w:val="231F20"/>
          <w:spacing w:val="-19"/>
          <w:w w:val="105"/>
        </w:rPr>
        <w:t> </w:t>
      </w:r>
      <w:r>
        <w:rPr>
          <w:color w:val="231F20"/>
          <w:w w:val="105"/>
        </w:rPr>
        <w:t>la</w:t>
      </w:r>
      <w:r>
        <w:rPr>
          <w:color w:val="231F20"/>
          <w:spacing w:val="-19"/>
          <w:w w:val="105"/>
        </w:rPr>
        <w:t> </w:t>
      </w:r>
      <w:r>
        <w:rPr>
          <w:color w:val="231F20"/>
          <w:w w:val="105"/>
        </w:rPr>
        <w:t>atención</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gobernantes</w:t>
      </w:r>
      <w:r>
        <w:rPr>
          <w:color w:val="231F20"/>
          <w:spacing w:val="-19"/>
          <w:w w:val="105"/>
        </w:rPr>
        <w:t> </w:t>
      </w:r>
      <w:r>
        <w:rPr>
          <w:color w:val="231F20"/>
          <w:w w:val="105"/>
        </w:rPr>
        <w:t>hacia</w:t>
      </w:r>
      <w:r>
        <w:rPr>
          <w:color w:val="231F20"/>
          <w:spacing w:val="-19"/>
          <w:w w:val="105"/>
        </w:rPr>
        <w:t> </w:t>
      </w:r>
      <w:r>
        <w:rPr>
          <w:color w:val="231F20"/>
          <w:w w:val="105"/>
        </w:rPr>
        <w:t>los</w:t>
      </w:r>
      <w:r>
        <w:rPr>
          <w:color w:val="231F20"/>
          <w:spacing w:val="-19"/>
          <w:w w:val="105"/>
        </w:rPr>
        <w:t> </w:t>
      </w:r>
      <w:r>
        <w:rPr>
          <w:color w:val="231F20"/>
          <w:w w:val="105"/>
        </w:rPr>
        <w:t>intereses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inversionistas.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5"/>
          <w:w w:val="105"/>
        </w:rPr>
        <w:t> </w:t>
      </w:r>
      <w:r>
        <w:rPr>
          <w:color w:val="231F20"/>
          <w:spacing w:val="-4"/>
          <w:w w:val="105"/>
        </w:rPr>
        <w:t>evolución</w:t>
      </w:r>
      <w:r>
        <w:rPr>
          <w:color w:val="231F20"/>
          <w:spacing w:val="-15"/>
          <w:w w:val="105"/>
        </w:rPr>
        <w:t> </w:t>
      </w:r>
      <w:r>
        <w:rPr>
          <w:color w:val="231F20"/>
          <w:spacing w:val="-3"/>
          <w:w w:val="105"/>
        </w:rPr>
        <w:t>del</w:t>
      </w:r>
      <w:r>
        <w:rPr>
          <w:color w:val="231F20"/>
          <w:spacing w:val="-15"/>
          <w:w w:val="105"/>
        </w:rPr>
        <w:t> </w:t>
      </w:r>
      <w:r>
        <w:rPr>
          <w:color w:val="231F20"/>
          <w:spacing w:val="-4"/>
          <w:w w:val="105"/>
        </w:rPr>
        <w:t>desempeño</w:t>
      </w:r>
      <w:r>
        <w:rPr>
          <w:color w:val="231F20"/>
          <w:spacing w:val="-15"/>
          <w:w w:val="105"/>
        </w:rPr>
        <w:t> </w:t>
      </w:r>
      <w:r>
        <w:rPr>
          <w:color w:val="231F20"/>
          <w:w w:val="105"/>
        </w:rPr>
        <w:t>en</w:t>
      </w:r>
      <w:r>
        <w:rPr>
          <w:color w:val="231F20"/>
          <w:spacing w:val="-15"/>
          <w:w w:val="105"/>
        </w:rPr>
        <w:t> </w:t>
      </w:r>
      <w:r>
        <w:rPr>
          <w:color w:val="231F20"/>
          <w:w w:val="105"/>
        </w:rPr>
        <w:t>esta</w:t>
      </w:r>
      <w:r>
        <w:rPr>
          <w:color w:val="231F20"/>
          <w:spacing w:val="-15"/>
          <w:w w:val="105"/>
        </w:rPr>
        <w:t> </w:t>
      </w:r>
      <w:r>
        <w:rPr>
          <w:color w:val="231F20"/>
          <w:w w:val="105"/>
        </w:rPr>
        <w:t>dimensión</w:t>
      </w:r>
      <w:r>
        <w:rPr>
          <w:color w:val="231F20"/>
          <w:spacing w:val="-15"/>
          <w:w w:val="105"/>
        </w:rPr>
        <w:t> </w:t>
      </w:r>
      <w:r>
        <w:rPr>
          <w:color w:val="231F20"/>
          <w:spacing w:val="-3"/>
          <w:w w:val="105"/>
        </w:rPr>
        <w:t>solo</w:t>
      </w:r>
      <w:r>
        <w:rPr>
          <w:color w:val="231F20"/>
          <w:spacing w:val="-15"/>
          <w:w w:val="105"/>
        </w:rPr>
        <w:t> </w:t>
      </w:r>
      <w:r>
        <w:rPr>
          <w:color w:val="231F20"/>
          <w:spacing w:val="-3"/>
          <w:w w:val="105"/>
        </w:rPr>
        <w:t>puede</w:t>
      </w:r>
      <w:r>
        <w:rPr>
          <w:color w:val="231F20"/>
          <w:spacing w:val="-15"/>
          <w:w w:val="105"/>
        </w:rPr>
        <w:t> </w:t>
      </w:r>
      <w:r>
        <w:rPr>
          <w:color w:val="231F20"/>
          <w:w w:val="105"/>
        </w:rPr>
        <w:t>evaluarse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largo</w:t>
      </w:r>
      <w:r>
        <w:rPr>
          <w:color w:val="231F20"/>
          <w:spacing w:val="-15"/>
          <w:w w:val="105"/>
        </w:rPr>
        <w:t> </w:t>
      </w:r>
      <w:r>
        <w:rPr>
          <w:color w:val="231F20"/>
          <w:w w:val="105"/>
        </w:rPr>
        <w:t>plazo,</w:t>
      </w:r>
      <w:r>
        <w:rPr>
          <w:color w:val="231F20"/>
          <w:spacing w:val="-15"/>
          <w:w w:val="105"/>
        </w:rPr>
        <w:t> </w:t>
      </w:r>
      <w:r>
        <w:rPr>
          <w:color w:val="231F20"/>
          <w:spacing w:val="-3"/>
          <w:w w:val="105"/>
        </w:rPr>
        <w:t>lo </w:t>
      </w:r>
      <w:r>
        <w:rPr>
          <w:color w:val="231F20"/>
          <w:w w:val="105"/>
        </w:rPr>
        <w:t>cual</w:t>
      </w:r>
      <w:r>
        <w:rPr>
          <w:color w:val="231F20"/>
          <w:spacing w:val="-22"/>
          <w:w w:val="105"/>
        </w:rPr>
        <w:t> </w:t>
      </w:r>
      <w:r>
        <w:rPr>
          <w:color w:val="231F20"/>
          <w:w w:val="105"/>
        </w:rPr>
        <w:t>está</w:t>
      </w:r>
      <w:r>
        <w:rPr>
          <w:color w:val="231F20"/>
          <w:spacing w:val="-22"/>
          <w:w w:val="105"/>
        </w:rPr>
        <w:t> </w:t>
      </w:r>
      <w:r>
        <w:rPr>
          <w:color w:val="231F20"/>
          <w:w w:val="105"/>
        </w:rPr>
        <w:t>fuera</w:t>
      </w:r>
      <w:r>
        <w:rPr>
          <w:color w:val="231F20"/>
          <w:spacing w:val="-22"/>
          <w:w w:val="105"/>
        </w:rPr>
        <w:t> </w:t>
      </w:r>
      <w:r>
        <w:rPr>
          <w:color w:val="231F20"/>
          <w:spacing w:val="-3"/>
          <w:w w:val="105"/>
        </w:rPr>
        <w:t>del</w:t>
      </w:r>
      <w:r>
        <w:rPr>
          <w:color w:val="231F20"/>
          <w:spacing w:val="-22"/>
          <w:w w:val="105"/>
        </w:rPr>
        <w:t> </w:t>
      </w:r>
      <w:r>
        <w:rPr>
          <w:color w:val="231F20"/>
          <w:w w:val="105"/>
        </w:rPr>
        <w:t>alcance</w:t>
      </w:r>
      <w:r>
        <w:rPr>
          <w:color w:val="231F20"/>
          <w:spacing w:val="-22"/>
          <w:w w:val="105"/>
        </w:rPr>
        <w:t> </w:t>
      </w:r>
      <w:r>
        <w:rPr>
          <w:color w:val="231F20"/>
          <w:w w:val="105"/>
        </w:rPr>
        <w:t>de</w:t>
      </w:r>
      <w:r>
        <w:rPr>
          <w:color w:val="231F20"/>
          <w:spacing w:val="-22"/>
          <w:w w:val="105"/>
        </w:rPr>
        <w:t> </w:t>
      </w:r>
      <w:r>
        <w:rPr>
          <w:color w:val="231F20"/>
          <w:spacing w:val="-3"/>
          <w:w w:val="105"/>
        </w:rPr>
        <w:t>los</w:t>
      </w:r>
      <w:r>
        <w:rPr>
          <w:color w:val="231F20"/>
          <w:spacing w:val="-22"/>
          <w:w w:val="105"/>
        </w:rPr>
        <w:t> </w:t>
      </w:r>
      <w:r>
        <w:rPr>
          <w:color w:val="231F20"/>
          <w:spacing w:val="-3"/>
          <w:w w:val="105"/>
        </w:rPr>
        <w:t>objetivos</w:t>
      </w:r>
      <w:r>
        <w:rPr>
          <w:color w:val="231F20"/>
          <w:spacing w:val="-22"/>
          <w:w w:val="105"/>
        </w:rPr>
        <w:t> </w:t>
      </w:r>
      <w:r>
        <w:rPr>
          <w:color w:val="231F20"/>
          <w:w w:val="105"/>
        </w:rPr>
        <w:t>de</w:t>
      </w:r>
      <w:r>
        <w:rPr>
          <w:color w:val="231F20"/>
          <w:spacing w:val="-22"/>
          <w:w w:val="105"/>
        </w:rPr>
        <w:t> </w:t>
      </w:r>
      <w:r>
        <w:rPr>
          <w:color w:val="231F20"/>
          <w:w w:val="105"/>
        </w:rPr>
        <w:t>este</w:t>
      </w:r>
      <w:r>
        <w:rPr>
          <w:color w:val="231F20"/>
          <w:spacing w:val="-22"/>
          <w:w w:val="105"/>
        </w:rPr>
        <w:t> </w:t>
      </w:r>
      <w:r>
        <w:rPr>
          <w:color w:val="231F20"/>
          <w:spacing w:val="-3"/>
          <w:w w:val="105"/>
        </w:rPr>
        <w:t>trabajo.</w:t>
      </w:r>
      <w:r>
        <w:rPr>
          <w:color w:val="231F20"/>
          <w:spacing w:val="-22"/>
          <w:w w:val="105"/>
        </w:rPr>
        <w:t> </w:t>
      </w:r>
      <w:r>
        <w:rPr>
          <w:color w:val="231F20"/>
          <w:w w:val="105"/>
        </w:rPr>
        <w:t>Sin</w:t>
      </w:r>
      <w:r>
        <w:rPr>
          <w:color w:val="231F20"/>
          <w:spacing w:val="-22"/>
          <w:w w:val="105"/>
        </w:rPr>
        <w:t> </w:t>
      </w:r>
      <w:r>
        <w:rPr>
          <w:color w:val="231F20"/>
          <w:spacing w:val="-3"/>
          <w:w w:val="105"/>
        </w:rPr>
        <w:t>embargo,</w:t>
      </w:r>
      <w:r>
        <w:rPr>
          <w:color w:val="231F20"/>
          <w:spacing w:val="-22"/>
          <w:w w:val="105"/>
        </w:rPr>
        <w:t> </w:t>
      </w:r>
      <w:r>
        <w:rPr>
          <w:color w:val="231F20"/>
          <w:w w:val="105"/>
        </w:rPr>
        <w:t>es</w:t>
      </w:r>
      <w:r>
        <w:rPr>
          <w:color w:val="231F20"/>
          <w:spacing w:val="-22"/>
          <w:w w:val="105"/>
        </w:rPr>
        <w:t> </w:t>
      </w:r>
      <w:r>
        <w:rPr>
          <w:color w:val="231F20"/>
          <w:spacing w:val="-4"/>
          <w:w w:val="105"/>
        </w:rPr>
        <w:t>posible</w:t>
      </w:r>
      <w:r>
        <w:rPr>
          <w:color w:val="231F20"/>
          <w:spacing w:val="-22"/>
          <w:w w:val="105"/>
        </w:rPr>
        <w:t> </w:t>
      </w:r>
      <w:r>
        <w:rPr>
          <w:color w:val="231F20"/>
          <w:w w:val="105"/>
        </w:rPr>
        <w:t>señalar </w:t>
      </w:r>
      <w:r>
        <w:rPr>
          <w:color w:val="231F20"/>
          <w:spacing w:val="-3"/>
          <w:w w:val="105"/>
        </w:rPr>
        <w:t>que</w:t>
      </w:r>
      <w:r>
        <w:rPr>
          <w:color w:val="231F20"/>
          <w:spacing w:val="-7"/>
          <w:w w:val="105"/>
        </w:rPr>
        <w:t> </w:t>
      </w:r>
      <w:r>
        <w:rPr>
          <w:color w:val="231F20"/>
          <w:w w:val="105"/>
        </w:rPr>
        <w:t>un</w:t>
      </w:r>
      <w:r>
        <w:rPr>
          <w:color w:val="231F20"/>
          <w:spacing w:val="-7"/>
          <w:w w:val="105"/>
        </w:rPr>
        <w:t> </w:t>
      </w:r>
      <w:r>
        <w:rPr>
          <w:color w:val="231F20"/>
          <w:w w:val="105"/>
        </w:rPr>
        <w:t>partido</w:t>
      </w:r>
      <w:r>
        <w:rPr>
          <w:color w:val="231F20"/>
          <w:spacing w:val="-7"/>
          <w:w w:val="105"/>
        </w:rPr>
        <w:t> </w:t>
      </w:r>
      <w:r>
        <w:rPr>
          <w:color w:val="231F20"/>
          <w:spacing w:val="-3"/>
          <w:w w:val="105"/>
        </w:rPr>
        <w:t>gobernante</w:t>
      </w:r>
      <w:r>
        <w:rPr>
          <w:color w:val="231F20"/>
          <w:spacing w:val="-7"/>
          <w:w w:val="105"/>
        </w:rPr>
        <w:t> </w:t>
      </w:r>
      <w:r>
        <w:rPr>
          <w:color w:val="231F20"/>
          <w:w w:val="105"/>
        </w:rPr>
        <w:t>será</w:t>
      </w:r>
      <w:r>
        <w:rPr>
          <w:color w:val="231F20"/>
          <w:spacing w:val="-7"/>
          <w:w w:val="105"/>
        </w:rPr>
        <w:t> </w:t>
      </w:r>
      <w:r>
        <w:rPr>
          <w:color w:val="231F20"/>
          <w:w w:val="105"/>
        </w:rPr>
        <w:t>más</w:t>
      </w:r>
      <w:r>
        <w:rPr>
          <w:color w:val="231F20"/>
          <w:spacing w:val="-7"/>
          <w:w w:val="105"/>
        </w:rPr>
        <w:t> </w:t>
      </w:r>
      <w:r>
        <w:rPr>
          <w:color w:val="231F20"/>
          <w:w w:val="105"/>
        </w:rPr>
        <w:t>eficaz</w:t>
      </w:r>
      <w:r>
        <w:rPr>
          <w:color w:val="231F20"/>
          <w:spacing w:val="-7"/>
          <w:w w:val="105"/>
        </w:rPr>
        <w:t> </w:t>
      </w:r>
      <w:r>
        <w:rPr>
          <w:color w:val="231F20"/>
          <w:w w:val="105"/>
        </w:rPr>
        <w:t>si</w:t>
      </w:r>
      <w:r>
        <w:rPr>
          <w:color w:val="231F20"/>
          <w:spacing w:val="-7"/>
          <w:w w:val="105"/>
        </w:rPr>
        <w:t> </w:t>
      </w:r>
      <w:r>
        <w:rPr>
          <w:color w:val="231F20"/>
          <w:spacing w:val="-3"/>
          <w:w w:val="105"/>
        </w:rPr>
        <w:t>reconoce</w:t>
      </w:r>
      <w:r>
        <w:rPr>
          <w:color w:val="231F20"/>
          <w:spacing w:val="-7"/>
          <w:w w:val="105"/>
        </w:rPr>
        <w:t> </w:t>
      </w:r>
      <w:r>
        <w:rPr>
          <w:color w:val="231F20"/>
          <w:spacing w:val="-4"/>
          <w:w w:val="105"/>
        </w:rPr>
        <w:t>como</w:t>
      </w:r>
      <w:r>
        <w:rPr>
          <w:color w:val="231F20"/>
          <w:spacing w:val="-7"/>
          <w:w w:val="105"/>
        </w:rPr>
        <w:t> </w:t>
      </w:r>
      <w:r>
        <w:rPr>
          <w:color w:val="231F20"/>
          <w:spacing w:val="-4"/>
          <w:w w:val="105"/>
        </w:rPr>
        <w:t>propios</w:t>
      </w:r>
      <w:r>
        <w:rPr>
          <w:color w:val="231F20"/>
          <w:spacing w:val="-7"/>
          <w:w w:val="105"/>
        </w:rPr>
        <w:t> </w:t>
      </w:r>
      <w:r>
        <w:rPr>
          <w:color w:val="231F20"/>
          <w:spacing w:val="-3"/>
          <w:w w:val="105"/>
        </w:rPr>
        <w:t>los</w:t>
      </w:r>
      <w:r>
        <w:rPr>
          <w:color w:val="231F20"/>
          <w:spacing w:val="-7"/>
          <w:w w:val="105"/>
        </w:rPr>
        <w:t> </w:t>
      </w:r>
      <w:r>
        <w:rPr>
          <w:color w:val="231F20"/>
          <w:spacing w:val="-3"/>
          <w:w w:val="105"/>
        </w:rPr>
        <w:t>intereses</w:t>
      </w:r>
      <w:r>
        <w:rPr>
          <w:color w:val="231F20"/>
          <w:spacing w:val="-7"/>
          <w:w w:val="105"/>
        </w:rPr>
        <w:t> </w:t>
      </w:r>
      <w:r>
        <w:rPr>
          <w:color w:val="231F20"/>
          <w:w w:val="105"/>
        </w:rPr>
        <w:t>de</w:t>
      </w:r>
      <w:r>
        <w:rPr>
          <w:color w:val="231F20"/>
          <w:spacing w:val="-7"/>
          <w:w w:val="105"/>
        </w:rPr>
        <w:t> </w:t>
      </w:r>
      <w:r>
        <w:rPr>
          <w:color w:val="231F20"/>
          <w:w w:val="105"/>
        </w:rPr>
        <w:t>sus </w:t>
      </w:r>
      <w:r>
        <w:rPr>
          <w:color w:val="231F20"/>
          <w:spacing w:val="-4"/>
          <w:w w:val="105"/>
        </w:rPr>
        <w:t>gobernados</w:t>
      </w:r>
      <w:r>
        <w:rPr>
          <w:color w:val="231F20"/>
          <w:spacing w:val="-11"/>
          <w:w w:val="105"/>
        </w:rPr>
        <w:t> </w:t>
      </w:r>
      <w:r>
        <w:rPr>
          <w:color w:val="231F20"/>
          <w:w w:val="105"/>
        </w:rPr>
        <w:t>y</w:t>
      </w:r>
      <w:r>
        <w:rPr>
          <w:color w:val="231F20"/>
          <w:spacing w:val="-11"/>
          <w:w w:val="105"/>
        </w:rPr>
        <w:t> </w:t>
      </w:r>
      <w:r>
        <w:rPr>
          <w:color w:val="231F20"/>
          <w:w w:val="105"/>
        </w:rPr>
        <w:t>si</w:t>
      </w:r>
      <w:r>
        <w:rPr>
          <w:color w:val="231F20"/>
          <w:spacing w:val="-11"/>
          <w:w w:val="105"/>
        </w:rPr>
        <w:t> </w:t>
      </w:r>
      <w:r>
        <w:rPr>
          <w:color w:val="231F20"/>
          <w:w w:val="105"/>
        </w:rPr>
        <w:t>es</w:t>
      </w:r>
      <w:r>
        <w:rPr>
          <w:color w:val="231F20"/>
          <w:spacing w:val="-11"/>
          <w:w w:val="105"/>
        </w:rPr>
        <w:t> </w:t>
      </w:r>
      <w:r>
        <w:rPr>
          <w:color w:val="231F20"/>
          <w:w w:val="105"/>
        </w:rPr>
        <w:t>capaz</w:t>
      </w:r>
      <w:r>
        <w:rPr>
          <w:color w:val="231F20"/>
          <w:spacing w:val="-11"/>
          <w:w w:val="105"/>
        </w:rPr>
        <w:t> </w:t>
      </w:r>
      <w:r>
        <w:rPr>
          <w:color w:val="231F20"/>
          <w:w w:val="105"/>
        </w:rPr>
        <w:t>de</w:t>
      </w:r>
      <w:r>
        <w:rPr>
          <w:color w:val="231F20"/>
          <w:spacing w:val="-11"/>
          <w:w w:val="105"/>
        </w:rPr>
        <w:t> </w:t>
      </w:r>
      <w:r>
        <w:rPr>
          <w:color w:val="231F20"/>
          <w:spacing w:val="-4"/>
          <w:w w:val="105"/>
        </w:rPr>
        <w:t>responder</w:t>
      </w:r>
      <w:r>
        <w:rPr>
          <w:color w:val="231F20"/>
          <w:spacing w:val="-11"/>
          <w:w w:val="105"/>
        </w:rPr>
        <w:t> </w:t>
      </w:r>
      <w:r>
        <w:rPr>
          <w:color w:val="231F20"/>
          <w:w w:val="105"/>
        </w:rPr>
        <w:t>a</w:t>
      </w:r>
      <w:r>
        <w:rPr>
          <w:color w:val="231F20"/>
          <w:spacing w:val="-11"/>
          <w:w w:val="105"/>
        </w:rPr>
        <w:t> </w:t>
      </w:r>
      <w:r>
        <w:rPr>
          <w:color w:val="231F20"/>
          <w:w w:val="105"/>
        </w:rPr>
        <w:t>sus</w:t>
      </w:r>
      <w:r>
        <w:rPr>
          <w:color w:val="231F20"/>
          <w:spacing w:val="-11"/>
          <w:w w:val="105"/>
        </w:rPr>
        <w:t> </w:t>
      </w:r>
      <w:r>
        <w:rPr>
          <w:color w:val="231F20"/>
          <w:w w:val="105"/>
        </w:rPr>
        <w:t>demandas.</w:t>
      </w:r>
      <w:r>
        <w:rPr>
          <w:color w:val="231F20"/>
          <w:spacing w:val="-11"/>
          <w:w w:val="105"/>
        </w:rPr>
        <w:t> </w:t>
      </w:r>
      <w:r>
        <w:rPr>
          <w:color w:val="231F20"/>
          <w:spacing w:val="-3"/>
          <w:w w:val="105"/>
        </w:rPr>
        <w:t>Cuando</w:t>
      </w:r>
      <w:r>
        <w:rPr>
          <w:color w:val="231F20"/>
          <w:spacing w:val="-11"/>
          <w:w w:val="105"/>
        </w:rPr>
        <w:t> </w:t>
      </w:r>
      <w:r>
        <w:rPr>
          <w:color w:val="231F20"/>
          <w:spacing w:val="-3"/>
          <w:w w:val="105"/>
        </w:rPr>
        <w:t>los</w:t>
      </w:r>
      <w:r>
        <w:rPr>
          <w:color w:val="231F20"/>
          <w:spacing w:val="-11"/>
          <w:w w:val="105"/>
        </w:rPr>
        <w:t> </w:t>
      </w:r>
      <w:r>
        <w:rPr>
          <w:color w:val="231F20"/>
          <w:spacing w:val="-3"/>
          <w:w w:val="105"/>
        </w:rPr>
        <w:t>intereses</w:t>
      </w:r>
      <w:r>
        <w:rPr>
          <w:color w:val="231F20"/>
          <w:spacing w:val="-11"/>
          <w:w w:val="105"/>
        </w:rPr>
        <w:t> </w:t>
      </w:r>
      <w:r>
        <w:rPr>
          <w:color w:val="231F20"/>
          <w:spacing w:val="-3"/>
          <w:w w:val="105"/>
        </w:rPr>
        <w:t>entre</w:t>
      </w:r>
      <w:r>
        <w:rPr>
          <w:color w:val="231F20"/>
          <w:spacing w:val="-11"/>
          <w:w w:val="105"/>
        </w:rPr>
        <w:t> </w:t>
      </w:r>
      <w:r>
        <w:rPr>
          <w:color w:val="231F20"/>
          <w:spacing w:val="-5"/>
          <w:w w:val="105"/>
        </w:rPr>
        <w:t>gober- </w:t>
      </w:r>
      <w:r>
        <w:rPr>
          <w:color w:val="231F20"/>
          <w:w w:val="105"/>
        </w:rPr>
        <w:t>nantes</w:t>
      </w:r>
      <w:r>
        <w:rPr>
          <w:color w:val="231F20"/>
          <w:spacing w:val="-10"/>
          <w:w w:val="105"/>
        </w:rPr>
        <w:t> </w:t>
      </w:r>
      <w:r>
        <w:rPr>
          <w:color w:val="231F20"/>
          <w:w w:val="105"/>
        </w:rPr>
        <w:t>y</w:t>
      </w:r>
      <w:r>
        <w:rPr>
          <w:color w:val="231F20"/>
          <w:spacing w:val="-10"/>
          <w:w w:val="105"/>
        </w:rPr>
        <w:t> </w:t>
      </w:r>
      <w:r>
        <w:rPr>
          <w:color w:val="231F20"/>
          <w:spacing w:val="-4"/>
          <w:w w:val="105"/>
        </w:rPr>
        <w:t>gobernados</w:t>
      </w:r>
      <w:r>
        <w:rPr>
          <w:color w:val="231F20"/>
          <w:spacing w:val="-10"/>
          <w:w w:val="105"/>
        </w:rPr>
        <w:t> </w:t>
      </w:r>
      <w:r>
        <w:rPr>
          <w:color w:val="231F20"/>
          <w:spacing w:val="-3"/>
          <w:w w:val="105"/>
        </w:rPr>
        <w:t>son</w:t>
      </w:r>
      <w:r>
        <w:rPr>
          <w:color w:val="231F20"/>
          <w:spacing w:val="-10"/>
          <w:w w:val="105"/>
        </w:rPr>
        <w:t> </w:t>
      </w:r>
      <w:r>
        <w:rPr>
          <w:color w:val="231F20"/>
          <w:spacing w:val="-4"/>
          <w:w w:val="105"/>
        </w:rPr>
        <w:t>divergentes,</w:t>
      </w:r>
      <w:r>
        <w:rPr>
          <w:color w:val="231F20"/>
          <w:spacing w:val="-10"/>
          <w:w w:val="105"/>
        </w:rPr>
        <w:t> </w:t>
      </w:r>
      <w:r>
        <w:rPr>
          <w:color w:val="231F20"/>
          <w:w w:val="105"/>
        </w:rPr>
        <w:t>la</w:t>
      </w:r>
      <w:r>
        <w:rPr>
          <w:color w:val="231F20"/>
          <w:spacing w:val="-10"/>
          <w:w w:val="105"/>
        </w:rPr>
        <w:t> </w:t>
      </w:r>
      <w:r>
        <w:rPr>
          <w:color w:val="231F20"/>
          <w:spacing w:val="-3"/>
          <w:w w:val="105"/>
        </w:rPr>
        <w:t>eficiencia</w:t>
      </w:r>
      <w:r>
        <w:rPr>
          <w:color w:val="231F20"/>
          <w:spacing w:val="-10"/>
          <w:w w:val="105"/>
        </w:rPr>
        <w:t> </w:t>
      </w:r>
      <w:r>
        <w:rPr>
          <w:color w:val="231F20"/>
          <w:w w:val="105"/>
        </w:rPr>
        <w:t>administrativa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legitimidad</w:t>
      </w:r>
      <w:r>
        <w:rPr>
          <w:color w:val="231F20"/>
          <w:spacing w:val="-10"/>
          <w:w w:val="105"/>
        </w:rPr>
        <w:t> </w:t>
      </w:r>
      <w:r>
        <w:rPr>
          <w:color w:val="231F20"/>
          <w:spacing w:val="-3"/>
          <w:w w:val="105"/>
        </w:rPr>
        <w:t>demo- </w:t>
      </w:r>
      <w:r>
        <w:rPr>
          <w:color w:val="231F20"/>
          <w:w w:val="105"/>
        </w:rPr>
        <w:t>crática</w:t>
      </w:r>
      <w:r>
        <w:rPr>
          <w:color w:val="231F20"/>
          <w:spacing w:val="-12"/>
          <w:w w:val="105"/>
        </w:rPr>
        <w:t> </w:t>
      </w:r>
      <w:r>
        <w:rPr>
          <w:color w:val="231F20"/>
          <w:w w:val="105"/>
        </w:rPr>
        <w:t>se</w:t>
      </w:r>
      <w:r>
        <w:rPr>
          <w:color w:val="231F20"/>
          <w:spacing w:val="-12"/>
          <w:w w:val="105"/>
        </w:rPr>
        <w:t> </w:t>
      </w:r>
      <w:r>
        <w:rPr>
          <w:color w:val="231F20"/>
          <w:spacing w:val="-4"/>
          <w:w w:val="105"/>
        </w:rPr>
        <w:t>ponen</w:t>
      </w:r>
      <w:r>
        <w:rPr>
          <w:color w:val="231F20"/>
          <w:spacing w:val="-12"/>
          <w:w w:val="105"/>
        </w:rPr>
        <w:t> </w:t>
      </w:r>
      <w:r>
        <w:rPr>
          <w:color w:val="231F20"/>
          <w:w w:val="105"/>
        </w:rPr>
        <w:t>en</w:t>
      </w:r>
      <w:r>
        <w:rPr>
          <w:color w:val="231F20"/>
          <w:spacing w:val="-12"/>
          <w:w w:val="105"/>
        </w:rPr>
        <w:t> </w:t>
      </w:r>
      <w:r>
        <w:rPr>
          <w:color w:val="231F20"/>
          <w:spacing w:val="-3"/>
          <w:w w:val="105"/>
        </w:rPr>
        <w:t>entredicho,</w:t>
      </w:r>
      <w:r>
        <w:rPr>
          <w:color w:val="231F20"/>
          <w:spacing w:val="-12"/>
          <w:w w:val="105"/>
        </w:rPr>
        <w:t> </w:t>
      </w:r>
      <w:r>
        <w:rPr>
          <w:color w:val="231F20"/>
          <w:spacing w:val="-3"/>
          <w:w w:val="105"/>
        </w:rPr>
        <w:t>con</w:t>
      </w:r>
      <w:r>
        <w:rPr>
          <w:color w:val="231F20"/>
          <w:spacing w:val="-12"/>
          <w:w w:val="105"/>
        </w:rPr>
        <w:t> </w:t>
      </w:r>
      <w:r>
        <w:rPr>
          <w:color w:val="231F20"/>
          <w:spacing w:val="-3"/>
          <w:w w:val="105"/>
        </w:rPr>
        <w:t>consecuencias</w:t>
      </w:r>
      <w:r>
        <w:rPr>
          <w:color w:val="231F20"/>
          <w:spacing w:val="-12"/>
          <w:w w:val="105"/>
        </w:rPr>
        <w:t> </w:t>
      </w:r>
      <w:r>
        <w:rPr>
          <w:color w:val="231F20"/>
          <w:spacing w:val="-3"/>
          <w:w w:val="105"/>
        </w:rPr>
        <w:t>negativas</w:t>
      </w:r>
      <w:r>
        <w:rPr>
          <w:color w:val="231F20"/>
          <w:spacing w:val="-12"/>
          <w:w w:val="105"/>
        </w:rPr>
        <w:t> </w:t>
      </w:r>
      <w:r>
        <w:rPr>
          <w:color w:val="231F20"/>
          <w:w w:val="105"/>
        </w:rPr>
        <w:t>para</w:t>
      </w:r>
      <w:r>
        <w:rPr>
          <w:color w:val="231F20"/>
          <w:spacing w:val="-12"/>
          <w:w w:val="105"/>
        </w:rPr>
        <w:t> </w:t>
      </w:r>
      <w:r>
        <w:rPr>
          <w:color w:val="231F20"/>
          <w:spacing w:val="-3"/>
          <w:w w:val="105"/>
        </w:rPr>
        <w:t>todos:</w:t>
      </w:r>
      <w:r>
        <w:rPr>
          <w:color w:val="231F20"/>
          <w:spacing w:val="-12"/>
          <w:w w:val="105"/>
        </w:rPr>
        <w:t> </w:t>
      </w:r>
      <w:r>
        <w:rPr>
          <w:color w:val="231F20"/>
          <w:w w:val="105"/>
        </w:rPr>
        <w:t>unos</w:t>
      </w:r>
      <w:r>
        <w:rPr>
          <w:color w:val="231F20"/>
          <w:spacing w:val="-12"/>
          <w:w w:val="105"/>
        </w:rPr>
        <w:t> </w:t>
      </w:r>
      <w:r>
        <w:rPr>
          <w:color w:val="231F20"/>
          <w:w w:val="105"/>
        </w:rPr>
        <w:t>al</w:t>
      </w:r>
      <w:r>
        <w:rPr>
          <w:color w:val="231F20"/>
          <w:spacing w:val="-12"/>
          <w:w w:val="105"/>
        </w:rPr>
        <w:t> </w:t>
      </w:r>
      <w:r>
        <w:rPr>
          <w:color w:val="231F20"/>
          <w:spacing w:val="-4"/>
          <w:w w:val="105"/>
        </w:rPr>
        <w:t>perder</w:t>
      </w:r>
      <w:r>
        <w:rPr>
          <w:color w:val="231F20"/>
          <w:spacing w:val="-12"/>
          <w:w w:val="105"/>
        </w:rPr>
        <w:t> </w:t>
      </w:r>
      <w:r>
        <w:rPr>
          <w:color w:val="231F20"/>
          <w:w w:val="105"/>
        </w:rPr>
        <w:t>el </w:t>
      </w:r>
      <w:r>
        <w:rPr>
          <w:color w:val="231F20"/>
          <w:spacing w:val="-3"/>
          <w:w w:val="105"/>
        </w:rPr>
        <w:t>poder</w:t>
      </w:r>
      <w:r>
        <w:rPr>
          <w:color w:val="231F20"/>
          <w:spacing w:val="-16"/>
          <w:w w:val="105"/>
        </w:rPr>
        <w:t> </w:t>
      </w:r>
      <w:r>
        <w:rPr>
          <w:color w:val="231F20"/>
          <w:spacing w:val="-3"/>
          <w:w w:val="105"/>
        </w:rPr>
        <w:t>político</w:t>
      </w:r>
      <w:r>
        <w:rPr>
          <w:color w:val="231F20"/>
          <w:spacing w:val="-16"/>
          <w:w w:val="105"/>
        </w:rPr>
        <w:t> </w:t>
      </w:r>
      <w:r>
        <w:rPr>
          <w:color w:val="231F20"/>
          <w:w w:val="105"/>
        </w:rPr>
        <w:t>y</w:t>
      </w:r>
      <w:r>
        <w:rPr>
          <w:color w:val="231F20"/>
          <w:spacing w:val="-16"/>
          <w:w w:val="105"/>
        </w:rPr>
        <w:t> </w:t>
      </w:r>
      <w:r>
        <w:rPr>
          <w:color w:val="231F20"/>
          <w:spacing w:val="-3"/>
          <w:w w:val="105"/>
        </w:rPr>
        <w:t>otros</w:t>
      </w:r>
      <w:r>
        <w:rPr>
          <w:color w:val="231F20"/>
          <w:spacing w:val="-16"/>
          <w:w w:val="105"/>
        </w:rPr>
        <w:t> </w:t>
      </w:r>
      <w:r>
        <w:rPr>
          <w:color w:val="231F20"/>
          <w:spacing w:val="-3"/>
          <w:w w:val="105"/>
        </w:rPr>
        <w:t>por</w:t>
      </w:r>
      <w:r>
        <w:rPr>
          <w:color w:val="231F20"/>
          <w:spacing w:val="-16"/>
          <w:w w:val="105"/>
        </w:rPr>
        <w:t> </w:t>
      </w:r>
      <w:r>
        <w:rPr>
          <w:color w:val="231F20"/>
          <w:spacing w:val="-3"/>
          <w:w w:val="105"/>
        </w:rPr>
        <w:t>permanecer</w:t>
      </w:r>
      <w:r>
        <w:rPr>
          <w:color w:val="231F20"/>
          <w:spacing w:val="-16"/>
          <w:w w:val="105"/>
        </w:rPr>
        <w:t> </w:t>
      </w:r>
      <w:r>
        <w:rPr>
          <w:color w:val="231F20"/>
          <w:w w:val="105"/>
        </w:rPr>
        <w:t>insatisfechos</w:t>
      </w:r>
      <w:r>
        <w:rPr>
          <w:color w:val="231F20"/>
          <w:spacing w:val="-16"/>
          <w:w w:val="105"/>
        </w:rPr>
        <w:t> </w:t>
      </w:r>
      <w:r>
        <w:rPr>
          <w:color w:val="231F20"/>
          <w:w w:val="105"/>
        </w:rPr>
        <w:t>en</w:t>
      </w:r>
      <w:r>
        <w:rPr>
          <w:color w:val="231F20"/>
          <w:spacing w:val="-16"/>
          <w:w w:val="105"/>
        </w:rPr>
        <w:t> </w:t>
      </w:r>
      <w:r>
        <w:rPr>
          <w:color w:val="231F20"/>
          <w:w w:val="105"/>
        </w:rPr>
        <w:t>sus</w:t>
      </w:r>
      <w:r>
        <w:rPr>
          <w:color w:val="231F20"/>
          <w:spacing w:val="-16"/>
          <w:w w:val="105"/>
        </w:rPr>
        <w:t> </w:t>
      </w:r>
      <w:r>
        <w:rPr>
          <w:color w:val="231F20"/>
          <w:spacing w:val="-4"/>
          <w:w w:val="105"/>
        </w:rPr>
        <w:t>necesidades</w:t>
      </w:r>
      <w:r>
        <w:rPr>
          <w:color w:val="231F20"/>
          <w:spacing w:val="-16"/>
          <w:w w:val="105"/>
        </w:rPr>
        <w:t> </w:t>
      </w:r>
      <w:r>
        <w:rPr>
          <w:color w:val="231F20"/>
          <w:w w:val="105"/>
        </w:rPr>
        <w:t>más</w:t>
      </w:r>
      <w:r>
        <w:rPr>
          <w:color w:val="231F20"/>
          <w:spacing w:val="-16"/>
          <w:w w:val="105"/>
        </w:rPr>
        <w:t> </w:t>
      </w:r>
      <w:r>
        <w:rPr>
          <w:color w:val="231F20"/>
          <w:w w:val="105"/>
        </w:rPr>
        <w:t>imperiosas.</w:t>
      </w:r>
    </w:p>
    <w:p>
      <w:pPr>
        <w:pStyle w:val="BodyText"/>
        <w:spacing w:before="1"/>
        <w:rPr>
          <w:sz w:val="26"/>
        </w:rPr>
      </w:pPr>
    </w:p>
    <w:p>
      <w:pPr>
        <w:pStyle w:val="BodyText"/>
        <w:spacing w:line="285" w:lineRule="auto"/>
        <w:ind w:left="110" w:right="108"/>
        <w:jc w:val="both"/>
      </w:pPr>
      <w:r>
        <w:rPr>
          <w:color w:val="231F20"/>
          <w:w w:val="105"/>
        </w:rPr>
        <w:t>Hay</w:t>
      </w:r>
      <w:r>
        <w:rPr>
          <w:color w:val="231F20"/>
          <w:spacing w:val="-5"/>
          <w:w w:val="105"/>
        </w:rPr>
        <w:t> </w:t>
      </w:r>
      <w:r>
        <w:rPr>
          <w:color w:val="231F20"/>
          <w:w w:val="105"/>
        </w:rPr>
        <w:t>dos</w:t>
      </w:r>
      <w:r>
        <w:rPr>
          <w:color w:val="231F20"/>
          <w:spacing w:val="-5"/>
          <w:w w:val="105"/>
        </w:rPr>
        <w:t> </w:t>
      </w:r>
      <w:r>
        <w:rPr>
          <w:color w:val="231F20"/>
          <w:w w:val="105"/>
        </w:rPr>
        <w:t>variables</w:t>
      </w:r>
      <w:r>
        <w:rPr>
          <w:color w:val="231F20"/>
          <w:spacing w:val="-5"/>
          <w:w w:val="105"/>
        </w:rPr>
        <w:t> </w:t>
      </w:r>
      <w:r>
        <w:rPr>
          <w:color w:val="231F20"/>
          <w:w w:val="105"/>
        </w:rPr>
        <w:t>generales:</w:t>
      </w:r>
      <w:r>
        <w:rPr>
          <w:color w:val="231F20"/>
          <w:spacing w:val="-5"/>
          <w:w w:val="105"/>
        </w:rPr>
        <w:t> </w:t>
      </w:r>
      <w:r>
        <w:rPr>
          <w:color w:val="231F20"/>
          <w:w w:val="105"/>
        </w:rPr>
        <w:t>el</w:t>
      </w:r>
      <w:r>
        <w:rPr>
          <w:color w:val="231F20"/>
          <w:spacing w:val="-5"/>
          <w:w w:val="105"/>
        </w:rPr>
        <w:t> </w:t>
      </w:r>
      <w:r>
        <w:rPr>
          <w:color w:val="231F20"/>
          <w:w w:val="105"/>
        </w:rPr>
        <w:t>diseño</w:t>
      </w:r>
      <w:r>
        <w:rPr>
          <w:color w:val="231F20"/>
          <w:spacing w:val="-5"/>
          <w:w w:val="105"/>
        </w:rPr>
        <w:t> </w:t>
      </w:r>
      <w:r>
        <w:rPr>
          <w:color w:val="231F20"/>
          <w:w w:val="105"/>
        </w:rPr>
        <w:t>institucional</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desempeño</w:t>
      </w:r>
      <w:r>
        <w:rPr>
          <w:color w:val="231F20"/>
          <w:spacing w:val="-5"/>
          <w:w w:val="105"/>
        </w:rPr>
        <w:t> </w:t>
      </w:r>
      <w:r>
        <w:rPr>
          <w:color w:val="231F20"/>
          <w:w w:val="105"/>
        </w:rPr>
        <w:t>institucional,</w:t>
      </w:r>
      <w:r>
        <w:rPr>
          <w:color w:val="231F20"/>
          <w:spacing w:val="-5"/>
          <w:w w:val="105"/>
        </w:rPr>
        <w:t> </w:t>
      </w:r>
      <w:r>
        <w:rPr>
          <w:color w:val="231F20"/>
          <w:w w:val="105"/>
        </w:rPr>
        <w:t>mis- mas que tienen características comunes a todo tipo de gobiernos, independientemente de su filiación</w:t>
      </w:r>
      <w:r>
        <w:rPr>
          <w:color w:val="231F20"/>
          <w:spacing w:val="-30"/>
          <w:w w:val="105"/>
        </w:rPr>
        <w:t> </w:t>
      </w:r>
      <w:r>
        <w:rPr>
          <w:color w:val="231F20"/>
          <w:w w:val="105"/>
        </w:rPr>
        <w:t>partidista.</w:t>
      </w:r>
    </w:p>
    <w:p>
      <w:pPr>
        <w:pStyle w:val="BodyText"/>
        <w:spacing w:before="9"/>
      </w:pPr>
    </w:p>
    <w:p>
      <w:pPr>
        <w:pStyle w:val="Heading3"/>
      </w:pPr>
      <w:r>
        <w:rPr>
          <w:color w:val="231F20"/>
          <w:w w:val="105"/>
        </w:rPr>
        <w:t>Diseño institucional</w:t>
      </w:r>
    </w:p>
    <w:p>
      <w:pPr>
        <w:pStyle w:val="BodyText"/>
        <w:spacing w:line="285" w:lineRule="auto" w:before="38"/>
        <w:ind w:left="110" w:right="108"/>
        <w:jc w:val="both"/>
      </w:pPr>
      <w:r>
        <w:rPr>
          <w:color w:val="231F20"/>
          <w:w w:val="105"/>
        </w:rPr>
        <w:t>La</w:t>
      </w:r>
      <w:r>
        <w:rPr>
          <w:color w:val="231F20"/>
          <w:spacing w:val="-7"/>
          <w:w w:val="105"/>
        </w:rPr>
        <w:t> </w:t>
      </w:r>
      <w:r>
        <w:rPr>
          <w:color w:val="231F20"/>
          <w:w w:val="105"/>
        </w:rPr>
        <w:t>gestión</w:t>
      </w:r>
      <w:r>
        <w:rPr>
          <w:color w:val="231F20"/>
          <w:spacing w:val="-7"/>
          <w:w w:val="105"/>
        </w:rPr>
        <w:t> </w:t>
      </w:r>
      <w:r>
        <w:rPr>
          <w:color w:val="231F20"/>
          <w:w w:val="105"/>
        </w:rPr>
        <w:t>municipal</w:t>
      </w:r>
      <w:r>
        <w:rPr>
          <w:color w:val="231F20"/>
          <w:spacing w:val="-7"/>
          <w:w w:val="105"/>
        </w:rPr>
        <w:t> </w:t>
      </w:r>
      <w:r>
        <w:rPr>
          <w:color w:val="231F20"/>
          <w:w w:val="105"/>
        </w:rPr>
        <w:t>se</w:t>
      </w:r>
      <w:r>
        <w:rPr>
          <w:color w:val="231F20"/>
          <w:spacing w:val="-7"/>
          <w:w w:val="105"/>
        </w:rPr>
        <w:t> </w:t>
      </w:r>
      <w:r>
        <w:rPr>
          <w:color w:val="231F20"/>
          <w:w w:val="105"/>
        </w:rPr>
        <w:t>ve</w:t>
      </w:r>
      <w:r>
        <w:rPr>
          <w:color w:val="231F20"/>
          <w:spacing w:val="-7"/>
          <w:w w:val="105"/>
        </w:rPr>
        <w:t> </w:t>
      </w:r>
      <w:r>
        <w:rPr>
          <w:color w:val="231F20"/>
          <w:w w:val="105"/>
        </w:rPr>
        <w:t>impactada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funcionamiento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distintos</w:t>
      </w:r>
      <w:r>
        <w:rPr>
          <w:color w:val="231F20"/>
          <w:spacing w:val="-7"/>
          <w:w w:val="105"/>
        </w:rPr>
        <w:t> </w:t>
      </w:r>
      <w:r>
        <w:rPr>
          <w:color w:val="231F20"/>
          <w:w w:val="105"/>
        </w:rPr>
        <w:t>órdenes</w:t>
      </w:r>
      <w:r>
        <w:rPr>
          <w:color w:val="231F20"/>
          <w:spacing w:val="-7"/>
          <w:w w:val="105"/>
        </w:rPr>
        <w:t> </w:t>
      </w:r>
      <w:r>
        <w:rPr>
          <w:color w:val="231F20"/>
          <w:w w:val="105"/>
        </w:rPr>
        <w:t>de </w:t>
      </w:r>
      <w:r>
        <w:rPr>
          <w:color w:val="231F20"/>
          <w:spacing w:val="-2"/>
          <w:w w:val="105"/>
        </w:rPr>
        <w:t>gobierno.</w:t>
      </w:r>
      <w:r>
        <w:rPr>
          <w:color w:val="231F20"/>
          <w:spacing w:val="-5"/>
          <w:w w:val="105"/>
        </w:rPr>
        <w:t> </w:t>
      </w:r>
      <w:r>
        <w:rPr>
          <w:color w:val="231F20"/>
          <w:w w:val="105"/>
        </w:rPr>
        <w:t>El</w:t>
      </w:r>
      <w:r>
        <w:rPr>
          <w:color w:val="231F20"/>
          <w:spacing w:val="-5"/>
          <w:w w:val="105"/>
        </w:rPr>
        <w:t> </w:t>
      </w:r>
      <w:r>
        <w:rPr>
          <w:color w:val="231F20"/>
          <w:w w:val="105"/>
        </w:rPr>
        <w:t>gobierno</w:t>
      </w:r>
      <w:r>
        <w:rPr>
          <w:color w:val="231F20"/>
          <w:spacing w:val="-5"/>
          <w:w w:val="105"/>
        </w:rPr>
        <w:t> </w:t>
      </w:r>
      <w:r>
        <w:rPr>
          <w:color w:val="231F20"/>
          <w:w w:val="105"/>
        </w:rPr>
        <w:t>estatal,</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entidad</w:t>
      </w:r>
      <w:r>
        <w:rPr>
          <w:color w:val="231F20"/>
          <w:spacing w:val="-5"/>
          <w:w w:val="105"/>
        </w:rPr>
        <w:t> </w:t>
      </w:r>
      <w:r>
        <w:rPr>
          <w:color w:val="231F20"/>
          <w:w w:val="105"/>
        </w:rPr>
        <w:t>mexiquense,</w:t>
      </w:r>
      <w:r>
        <w:rPr>
          <w:color w:val="231F20"/>
          <w:spacing w:val="-5"/>
          <w:w w:val="105"/>
        </w:rPr>
        <w:t> </w:t>
      </w:r>
      <w:r>
        <w:rPr>
          <w:color w:val="231F20"/>
          <w:w w:val="105"/>
        </w:rPr>
        <w:t>ejerce</w:t>
      </w:r>
      <w:r>
        <w:rPr>
          <w:color w:val="231F20"/>
          <w:spacing w:val="-5"/>
          <w:w w:val="105"/>
        </w:rPr>
        <w:t> </w:t>
      </w:r>
      <w:r>
        <w:rPr>
          <w:color w:val="231F20"/>
          <w:w w:val="105"/>
        </w:rPr>
        <w:t>un</w:t>
      </w:r>
      <w:r>
        <w:rPr>
          <w:color w:val="231F20"/>
          <w:spacing w:val="-5"/>
          <w:w w:val="105"/>
        </w:rPr>
        <w:t> </w:t>
      </w:r>
      <w:r>
        <w:rPr>
          <w:color w:val="231F20"/>
          <w:w w:val="105"/>
        </w:rPr>
        <w:t>constante control</w:t>
      </w:r>
      <w:r>
        <w:rPr>
          <w:color w:val="231F20"/>
          <w:spacing w:val="-20"/>
          <w:w w:val="105"/>
        </w:rPr>
        <w:t> </w:t>
      </w:r>
      <w:r>
        <w:rPr>
          <w:color w:val="231F20"/>
          <w:w w:val="105"/>
        </w:rPr>
        <w:t>sobre</w:t>
      </w:r>
      <w:r>
        <w:rPr>
          <w:color w:val="231F20"/>
          <w:spacing w:val="-20"/>
          <w:w w:val="105"/>
        </w:rPr>
        <w:t> </w:t>
      </w:r>
      <w:r>
        <w:rPr>
          <w:color w:val="231F20"/>
          <w:w w:val="105"/>
        </w:rPr>
        <w:t>el</w:t>
      </w:r>
      <w:r>
        <w:rPr>
          <w:color w:val="231F20"/>
          <w:spacing w:val="-20"/>
          <w:w w:val="105"/>
        </w:rPr>
        <w:t> </w:t>
      </w:r>
      <w:r>
        <w:rPr>
          <w:color w:val="231F20"/>
          <w:w w:val="105"/>
        </w:rPr>
        <w:t>desempeño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gobiernos.</w:t>
      </w:r>
      <w:r>
        <w:rPr>
          <w:color w:val="231F20"/>
          <w:spacing w:val="-20"/>
          <w:w w:val="105"/>
        </w:rPr>
        <w:t> </w:t>
      </w:r>
      <w:r>
        <w:rPr>
          <w:color w:val="231F20"/>
          <w:w w:val="105"/>
        </w:rPr>
        <w:t>Facultado</w:t>
      </w:r>
      <w:r>
        <w:rPr>
          <w:color w:val="231F20"/>
          <w:spacing w:val="-20"/>
          <w:w w:val="105"/>
        </w:rPr>
        <w:t> </w:t>
      </w:r>
      <w:r>
        <w:rPr>
          <w:color w:val="231F20"/>
          <w:w w:val="105"/>
        </w:rPr>
        <w:t>por</w:t>
      </w:r>
      <w:r>
        <w:rPr>
          <w:color w:val="231F20"/>
          <w:spacing w:val="-20"/>
          <w:w w:val="105"/>
        </w:rPr>
        <w:t> </w:t>
      </w:r>
      <w:r>
        <w:rPr>
          <w:color w:val="231F20"/>
          <w:spacing w:val="-4"/>
          <w:w w:val="105"/>
        </w:rPr>
        <w:t>ley,</w:t>
      </w:r>
      <w:r>
        <w:rPr>
          <w:color w:val="231F20"/>
          <w:spacing w:val="-20"/>
          <w:w w:val="105"/>
        </w:rPr>
        <w:t> </w:t>
      </w:r>
      <w:r>
        <w:rPr>
          <w:color w:val="231F20"/>
          <w:w w:val="105"/>
        </w:rPr>
        <w:t>interviene</w:t>
      </w:r>
      <w:r>
        <w:rPr>
          <w:color w:val="231F20"/>
          <w:spacing w:val="-20"/>
          <w:w w:val="105"/>
        </w:rPr>
        <w:t> </w:t>
      </w:r>
      <w:r>
        <w:rPr>
          <w:color w:val="231F20"/>
          <w:w w:val="105"/>
        </w:rPr>
        <w:t>en</w:t>
      </w:r>
      <w:r>
        <w:rPr>
          <w:color w:val="231F20"/>
          <w:spacing w:val="-20"/>
          <w:w w:val="105"/>
        </w:rPr>
        <w:t> </w:t>
      </w:r>
      <w:r>
        <w:rPr>
          <w:color w:val="231F20"/>
          <w:w w:val="105"/>
        </w:rPr>
        <w:t>materia</w:t>
      </w:r>
      <w:r>
        <w:rPr>
          <w:color w:val="231F20"/>
          <w:spacing w:val="-20"/>
          <w:w w:val="105"/>
        </w:rPr>
        <w:t> </w:t>
      </w:r>
      <w:r>
        <w:rPr>
          <w:color w:val="231F20"/>
          <w:w w:val="105"/>
        </w:rPr>
        <w:t>de coordinación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planeación</w:t>
      </w:r>
      <w:r>
        <w:rPr>
          <w:color w:val="231F20"/>
          <w:spacing w:val="-21"/>
          <w:w w:val="105"/>
        </w:rPr>
        <w:t> </w:t>
      </w:r>
      <w:r>
        <w:rPr>
          <w:color w:val="231F20"/>
          <w:w w:val="105"/>
        </w:rPr>
        <w:t>municipal</w:t>
      </w:r>
      <w:r>
        <w:rPr>
          <w:color w:val="231F20"/>
          <w:spacing w:val="-21"/>
          <w:w w:val="105"/>
        </w:rPr>
        <w:t> </w:t>
      </w:r>
      <w:r>
        <w:rPr>
          <w:color w:val="231F20"/>
          <w:w w:val="105"/>
        </w:rPr>
        <w:t>y</w:t>
      </w:r>
      <w:r>
        <w:rPr>
          <w:color w:val="231F20"/>
          <w:spacing w:val="-21"/>
          <w:w w:val="105"/>
        </w:rPr>
        <w:t> </w:t>
      </w:r>
      <w:r>
        <w:rPr>
          <w:color w:val="231F20"/>
          <w:w w:val="105"/>
        </w:rPr>
        <w:t>en</w:t>
      </w:r>
      <w:r>
        <w:rPr>
          <w:color w:val="231F20"/>
          <w:spacing w:val="-21"/>
          <w:w w:val="105"/>
        </w:rPr>
        <w:t> </w:t>
      </w:r>
      <w:r>
        <w:rPr>
          <w:color w:val="231F20"/>
          <w:w w:val="105"/>
        </w:rPr>
        <w:t>lo</w:t>
      </w:r>
      <w:r>
        <w:rPr>
          <w:color w:val="231F20"/>
          <w:spacing w:val="-21"/>
          <w:w w:val="105"/>
        </w:rPr>
        <w:t> </w:t>
      </w:r>
      <w:r>
        <w:rPr>
          <w:color w:val="231F20"/>
          <w:spacing w:val="-3"/>
          <w:w w:val="105"/>
        </w:rPr>
        <w:t>referente</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evaluaciones</w:t>
      </w:r>
      <w:r>
        <w:rPr>
          <w:color w:val="231F20"/>
          <w:spacing w:val="-21"/>
          <w:w w:val="105"/>
        </w:rPr>
        <w:t> </w:t>
      </w:r>
      <w:r>
        <w:rPr>
          <w:color w:val="231F20"/>
          <w:w w:val="105"/>
        </w:rPr>
        <w:t>respectivas, además de </w:t>
      </w:r>
      <w:r>
        <w:rPr>
          <w:color w:val="231F20"/>
          <w:spacing w:val="2"/>
          <w:w w:val="105"/>
        </w:rPr>
        <w:t>fiscalizar </w:t>
      </w:r>
      <w:r>
        <w:rPr>
          <w:color w:val="231F20"/>
          <w:w w:val="105"/>
        </w:rPr>
        <w:t>el uso del presupuesto. </w:t>
      </w:r>
      <w:r>
        <w:rPr>
          <w:color w:val="231F20"/>
          <w:spacing w:val="-7"/>
          <w:w w:val="105"/>
        </w:rPr>
        <w:t>Todo </w:t>
      </w:r>
      <w:r>
        <w:rPr>
          <w:color w:val="231F20"/>
          <w:w w:val="105"/>
        </w:rPr>
        <w:t>esto sin olvidar las inversiones  </w:t>
      </w:r>
      <w:r>
        <w:rPr>
          <w:color w:val="231F20"/>
          <w:spacing w:val="56"/>
          <w:w w:val="105"/>
        </w:rPr>
        <w:t> </w:t>
      </w:r>
      <w:r>
        <w:rPr>
          <w:color w:val="231F20"/>
          <w:w w:val="105"/>
        </w:rPr>
        <w:t>en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10"/>
        <w:jc w:val="both"/>
      </w:pPr>
      <w:r>
        <w:rPr>
          <w:color w:val="231F20"/>
          <w:w w:val="105"/>
        </w:rPr>
        <w:t>obras</w:t>
      </w:r>
      <w:r>
        <w:rPr>
          <w:color w:val="231F20"/>
          <w:spacing w:val="-15"/>
          <w:w w:val="105"/>
        </w:rPr>
        <w:t> </w:t>
      </w:r>
      <w:r>
        <w:rPr>
          <w:color w:val="231F20"/>
          <w:w w:val="105"/>
        </w:rPr>
        <w:t>públicas</w:t>
      </w:r>
      <w:r>
        <w:rPr>
          <w:color w:val="231F20"/>
          <w:spacing w:val="-15"/>
          <w:w w:val="105"/>
        </w:rPr>
        <w:t> </w:t>
      </w:r>
      <w:r>
        <w:rPr>
          <w:color w:val="231F20"/>
          <w:w w:val="105"/>
        </w:rPr>
        <w:t>que</w:t>
      </w:r>
      <w:r>
        <w:rPr>
          <w:color w:val="231F20"/>
          <w:spacing w:val="-15"/>
          <w:w w:val="105"/>
        </w:rPr>
        <w:t> </w:t>
      </w:r>
      <w:r>
        <w:rPr>
          <w:color w:val="231F20"/>
          <w:w w:val="105"/>
        </w:rPr>
        <w:t>ejerce</w:t>
      </w:r>
      <w:r>
        <w:rPr>
          <w:color w:val="231F20"/>
          <w:spacing w:val="-15"/>
          <w:w w:val="105"/>
        </w:rPr>
        <w:t> </w:t>
      </w: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estatal</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municipios,</w:t>
      </w:r>
      <w:r>
        <w:rPr>
          <w:color w:val="231F20"/>
          <w:spacing w:val="-15"/>
          <w:w w:val="105"/>
        </w:rPr>
        <w:t> </w:t>
      </w:r>
      <w:r>
        <w:rPr>
          <w:color w:val="231F20"/>
          <w:w w:val="105"/>
        </w:rPr>
        <w:t>las</w:t>
      </w:r>
      <w:r>
        <w:rPr>
          <w:color w:val="231F20"/>
          <w:spacing w:val="-15"/>
          <w:w w:val="105"/>
        </w:rPr>
        <w:t> </w:t>
      </w:r>
      <w:r>
        <w:rPr>
          <w:color w:val="231F20"/>
          <w:w w:val="105"/>
        </w:rPr>
        <w:t>cuales</w:t>
      </w:r>
      <w:r>
        <w:rPr>
          <w:color w:val="231F20"/>
          <w:spacing w:val="-15"/>
          <w:w w:val="105"/>
        </w:rPr>
        <w:t> </w:t>
      </w:r>
      <w:r>
        <w:rPr>
          <w:color w:val="231F20"/>
          <w:w w:val="105"/>
        </w:rPr>
        <w:t>son</w:t>
      </w:r>
      <w:r>
        <w:rPr>
          <w:color w:val="231F20"/>
          <w:spacing w:val="-15"/>
          <w:w w:val="105"/>
        </w:rPr>
        <w:t> </w:t>
      </w:r>
      <w:r>
        <w:rPr>
          <w:color w:val="231F20"/>
          <w:w w:val="105"/>
        </w:rPr>
        <w:t>de</w:t>
      </w:r>
      <w:r>
        <w:rPr>
          <w:color w:val="231F20"/>
          <w:spacing w:val="-15"/>
          <w:w w:val="105"/>
        </w:rPr>
        <w:t> </w:t>
      </w:r>
      <w:r>
        <w:rPr>
          <w:color w:val="231F20"/>
          <w:w w:val="105"/>
        </w:rPr>
        <w:t>crucial importancia</w:t>
      </w:r>
      <w:r>
        <w:rPr>
          <w:color w:val="231F20"/>
          <w:spacing w:val="-15"/>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limitaciones</w:t>
      </w:r>
      <w:r>
        <w:rPr>
          <w:color w:val="231F20"/>
          <w:spacing w:val="-15"/>
          <w:w w:val="105"/>
        </w:rPr>
        <w:t> </w:t>
      </w:r>
      <w:r>
        <w:rPr>
          <w:color w:val="231F20"/>
          <w:w w:val="105"/>
        </w:rPr>
        <w:t>presupuestales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municipios.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4"/>
          <w:w w:val="105"/>
        </w:rPr>
        <w:t> </w:t>
      </w:r>
      <w:r>
        <w:rPr>
          <w:color w:val="231F20"/>
          <w:w w:val="105"/>
        </w:rPr>
        <w:t>estructura</w:t>
      </w:r>
      <w:r>
        <w:rPr>
          <w:color w:val="231F20"/>
          <w:spacing w:val="-14"/>
          <w:w w:val="105"/>
        </w:rPr>
        <w:t> </w:t>
      </w:r>
      <w:r>
        <w:rPr>
          <w:color w:val="231F20"/>
          <w:w w:val="105"/>
        </w:rPr>
        <w:t>de</w:t>
      </w:r>
      <w:r>
        <w:rPr>
          <w:color w:val="231F20"/>
          <w:spacing w:val="-14"/>
          <w:w w:val="105"/>
        </w:rPr>
        <w:t> </w:t>
      </w:r>
      <w:r>
        <w:rPr>
          <w:color w:val="231F20"/>
          <w:w w:val="105"/>
        </w:rPr>
        <w:t>gobierno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plano</w:t>
      </w:r>
      <w:r>
        <w:rPr>
          <w:color w:val="231F20"/>
          <w:spacing w:val="-14"/>
          <w:w w:val="105"/>
        </w:rPr>
        <w:t> </w:t>
      </w:r>
      <w:r>
        <w:rPr>
          <w:color w:val="231F20"/>
          <w:w w:val="105"/>
        </w:rPr>
        <w:t>estatal</w:t>
      </w:r>
      <w:r>
        <w:rPr>
          <w:color w:val="231F20"/>
          <w:spacing w:val="-14"/>
          <w:w w:val="105"/>
        </w:rPr>
        <w:t> </w:t>
      </w:r>
      <w:r>
        <w:rPr>
          <w:color w:val="231F20"/>
          <w:w w:val="105"/>
        </w:rPr>
        <w:t>y</w:t>
      </w:r>
      <w:r>
        <w:rPr>
          <w:color w:val="231F20"/>
          <w:spacing w:val="-14"/>
          <w:w w:val="105"/>
        </w:rPr>
        <w:t> </w:t>
      </w:r>
      <w:r>
        <w:rPr>
          <w:color w:val="231F20"/>
          <w:w w:val="105"/>
        </w:rPr>
        <w:t>local</w:t>
      </w:r>
      <w:r>
        <w:rPr>
          <w:color w:val="231F20"/>
          <w:spacing w:val="-14"/>
          <w:w w:val="105"/>
        </w:rPr>
        <w:t> </w:t>
      </w:r>
      <w:r>
        <w:rPr>
          <w:color w:val="231F20"/>
          <w:w w:val="105"/>
        </w:rPr>
        <w:t>ya</w:t>
      </w:r>
      <w:r>
        <w:rPr>
          <w:color w:val="231F20"/>
          <w:spacing w:val="-14"/>
          <w:w w:val="105"/>
        </w:rPr>
        <w:t> </w:t>
      </w:r>
      <w:r>
        <w:rPr>
          <w:color w:val="231F20"/>
          <w:w w:val="105"/>
        </w:rPr>
        <w:t>está</w:t>
      </w:r>
      <w:r>
        <w:rPr>
          <w:color w:val="231F20"/>
          <w:spacing w:val="-14"/>
          <w:w w:val="105"/>
        </w:rPr>
        <w:t> </w:t>
      </w:r>
      <w:r>
        <w:rPr>
          <w:color w:val="231F20"/>
          <w:w w:val="105"/>
        </w:rPr>
        <w:t>dada,</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quienes</w:t>
      </w:r>
      <w:r>
        <w:rPr>
          <w:color w:val="231F20"/>
          <w:spacing w:val="-14"/>
          <w:w w:val="105"/>
        </w:rPr>
        <w:t> </w:t>
      </w:r>
      <w:r>
        <w:rPr>
          <w:color w:val="231F20"/>
          <w:w w:val="105"/>
        </w:rPr>
        <w:t>lle- gan</w:t>
      </w:r>
      <w:r>
        <w:rPr>
          <w:color w:val="231F20"/>
          <w:spacing w:val="-6"/>
          <w:w w:val="105"/>
        </w:rPr>
        <w:t> </w:t>
      </w:r>
      <w:r>
        <w:rPr>
          <w:color w:val="231F20"/>
          <w:w w:val="105"/>
        </w:rPr>
        <w:t>por</w:t>
      </w:r>
      <w:r>
        <w:rPr>
          <w:color w:val="231F20"/>
          <w:spacing w:val="-6"/>
          <w:w w:val="105"/>
        </w:rPr>
        <w:t> </w:t>
      </w:r>
      <w:r>
        <w:rPr>
          <w:color w:val="231F20"/>
          <w:w w:val="105"/>
        </w:rPr>
        <w:t>primera</w:t>
      </w:r>
      <w:r>
        <w:rPr>
          <w:color w:val="231F20"/>
          <w:spacing w:val="-6"/>
          <w:w w:val="105"/>
        </w:rPr>
        <w:t> </w:t>
      </w:r>
      <w:r>
        <w:rPr>
          <w:color w:val="231F20"/>
          <w:w w:val="105"/>
        </w:rPr>
        <w:t>vez</w:t>
      </w:r>
      <w:r>
        <w:rPr>
          <w:color w:val="231F20"/>
          <w:spacing w:val="-6"/>
          <w:w w:val="105"/>
        </w:rPr>
        <w:t> </w:t>
      </w:r>
      <w:r>
        <w:rPr>
          <w:color w:val="231F20"/>
          <w:spacing w:val="2"/>
          <w:w w:val="105"/>
        </w:rPr>
        <w:t>al</w:t>
      </w:r>
      <w:r>
        <w:rPr>
          <w:color w:val="231F20"/>
          <w:spacing w:val="-6"/>
          <w:w w:val="105"/>
        </w:rPr>
        <w:t> </w:t>
      </w:r>
      <w:r>
        <w:rPr>
          <w:color w:val="231F20"/>
          <w:w w:val="105"/>
        </w:rPr>
        <w:t>gobierno</w:t>
      </w:r>
      <w:r>
        <w:rPr>
          <w:color w:val="231F20"/>
          <w:spacing w:val="-6"/>
          <w:w w:val="105"/>
        </w:rPr>
        <w:t> </w:t>
      </w:r>
      <w:r>
        <w:rPr>
          <w:color w:val="231F20"/>
          <w:w w:val="105"/>
        </w:rPr>
        <w:t>municipal</w:t>
      </w:r>
      <w:r>
        <w:rPr>
          <w:color w:val="231F20"/>
          <w:spacing w:val="-6"/>
          <w:w w:val="105"/>
        </w:rPr>
        <w:t> </w:t>
      </w:r>
      <w:r>
        <w:rPr>
          <w:color w:val="231F20"/>
          <w:w w:val="105"/>
        </w:rPr>
        <w:t>carecen</w:t>
      </w:r>
      <w:r>
        <w:rPr>
          <w:color w:val="231F20"/>
          <w:spacing w:val="-6"/>
          <w:w w:val="105"/>
        </w:rPr>
        <w:t> </w:t>
      </w:r>
      <w:r>
        <w:rPr>
          <w:color w:val="231F20"/>
          <w:w w:val="105"/>
        </w:rPr>
        <w:t>de</w:t>
      </w:r>
      <w:r>
        <w:rPr>
          <w:color w:val="231F20"/>
          <w:spacing w:val="-6"/>
          <w:w w:val="105"/>
        </w:rPr>
        <w:t> </w:t>
      </w:r>
      <w:r>
        <w:rPr>
          <w:color w:val="231F20"/>
          <w:w w:val="105"/>
        </w:rPr>
        <w:t>capacidad</w:t>
      </w:r>
      <w:r>
        <w:rPr>
          <w:color w:val="231F20"/>
          <w:spacing w:val="-6"/>
          <w:w w:val="105"/>
        </w:rPr>
        <w:t> </w:t>
      </w:r>
      <w:r>
        <w:rPr>
          <w:color w:val="231F20"/>
          <w:w w:val="105"/>
        </w:rPr>
        <w:t>para</w:t>
      </w:r>
      <w:r>
        <w:rPr>
          <w:color w:val="231F20"/>
          <w:spacing w:val="-6"/>
          <w:w w:val="105"/>
        </w:rPr>
        <w:t> </w:t>
      </w:r>
      <w:r>
        <w:rPr>
          <w:color w:val="231F20"/>
          <w:w w:val="105"/>
        </w:rPr>
        <w:t>modificarla,</w:t>
      </w:r>
      <w:r>
        <w:rPr>
          <w:color w:val="231F20"/>
          <w:spacing w:val="-6"/>
          <w:w w:val="105"/>
        </w:rPr>
        <w:t> </w:t>
      </w:r>
      <w:r>
        <w:rPr>
          <w:color w:val="231F20"/>
          <w:w w:val="105"/>
        </w:rPr>
        <w:t>por el</w:t>
      </w:r>
      <w:r>
        <w:rPr>
          <w:color w:val="231F20"/>
          <w:spacing w:val="-22"/>
          <w:w w:val="105"/>
        </w:rPr>
        <w:t> </w:t>
      </w:r>
      <w:r>
        <w:rPr>
          <w:color w:val="231F20"/>
          <w:w w:val="105"/>
        </w:rPr>
        <w:t>contrario,</w:t>
      </w:r>
      <w:r>
        <w:rPr>
          <w:color w:val="231F20"/>
          <w:spacing w:val="-22"/>
          <w:w w:val="105"/>
        </w:rPr>
        <w:t> </w:t>
      </w:r>
      <w:r>
        <w:rPr>
          <w:color w:val="231F20"/>
          <w:w w:val="105"/>
        </w:rPr>
        <w:t>deben</w:t>
      </w:r>
      <w:r>
        <w:rPr>
          <w:color w:val="231F20"/>
          <w:spacing w:val="-22"/>
          <w:w w:val="105"/>
        </w:rPr>
        <w:t> </w:t>
      </w:r>
      <w:r>
        <w:rPr>
          <w:color w:val="231F20"/>
          <w:w w:val="105"/>
        </w:rPr>
        <w:t>atenerse</w:t>
      </w:r>
      <w:r>
        <w:rPr>
          <w:color w:val="231F20"/>
          <w:spacing w:val="-22"/>
          <w:w w:val="105"/>
        </w:rPr>
        <w:t> </w:t>
      </w:r>
      <w:r>
        <w:rPr>
          <w:color w:val="231F20"/>
          <w:spacing w:val="2"/>
          <w:w w:val="105"/>
        </w:rPr>
        <w:t>al</w:t>
      </w:r>
      <w:r>
        <w:rPr>
          <w:color w:val="231F20"/>
          <w:spacing w:val="-22"/>
          <w:w w:val="105"/>
        </w:rPr>
        <w:t> </w:t>
      </w:r>
      <w:r>
        <w:rPr>
          <w:color w:val="231F20"/>
          <w:w w:val="105"/>
        </w:rPr>
        <w:t>marco</w:t>
      </w:r>
      <w:r>
        <w:rPr>
          <w:color w:val="231F20"/>
          <w:spacing w:val="-22"/>
          <w:w w:val="105"/>
        </w:rPr>
        <w:t> </w:t>
      </w:r>
      <w:r>
        <w:rPr>
          <w:color w:val="231F20"/>
          <w:w w:val="105"/>
        </w:rPr>
        <w:t>legal</w:t>
      </w:r>
      <w:r>
        <w:rPr>
          <w:color w:val="231F20"/>
          <w:spacing w:val="-22"/>
          <w:w w:val="105"/>
        </w:rPr>
        <w:t> </w:t>
      </w:r>
      <w:r>
        <w:rPr>
          <w:color w:val="231F20"/>
          <w:w w:val="105"/>
        </w:rPr>
        <w:t>preestablecido,</w:t>
      </w:r>
      <w:r>
        <w:rPr>
          <w:color w:val="231F20"/>
          <w:spacing w:val="-22"/>
          <w:w w:val="105"/>
        </w:rPr>
        <w:t> </w:t>
      </w:r>
      <w:r>
        <w:rPr>
          <w:color w:val="231F20"/>
          <w:w w:val="105"/>
        </w:rPr>
        <w:t>con</w:t>
      </w:r>
      <w:r>
        <w:rPr>
          <w:color w:val="231F20"/>
          <w:spacing w:val="-22"/>
          <w:w w:val="105"/>
        </w:rPr>
        <w:t> </w:t>
      </w:r>
      <w:r>
        <w:rPr>
          <w:color w:val="231F20"/>
          <w:w w:val="105"/>
        </w:rPr>
        <w:t>las</w:t>
      </w:r>
      <w:r>
        <w:rPr>
          <w:color w:val="231F20"/>
          <w:spacing w:val="-22"/>
          <w:w w:val="105"/>
        </w:rPr>
        <w:t> </w:t>
      </w:r>
      <w:r>
        <w:rPr>
          <w:color w:val="231F20"/>
          <w:w w:val="105"/>
        </w:rPr>
        <w:t>ventajas</w:t>
      </w:r>
      <w:r>
        <w:rPr>
          <w:color w:val="231F20"/>
          <w:spacing w:val="-22"/>
          <w:w w:val="105"/>
        </w:rPr>
        <w:t> </w:t>
      </w:r>
      <w:r>
        <w:rPr>
          <w:color w:val="231F20"/>
          <w:w w:val="105"/>
        </w:rPr>
        <w:t>y</w:t>
      </w:r>
      <w:r>
        <w:rPr>
          <w:color w:val="231F20"/>
          <w:spacing w:val="-22"/>
          <w:w w:val="105"/>
        </w:rPr>
        <w:t> </w:t>
      </w:r>
      <w:r>
        <w:rPr>
          <w:color w:val="231F20"/>
          <w:w w:val="105"/>
        </w:rPr>
        <w:t>desventajas que</w:t>
      </w:r>
      <w:r>
        <w:rPr>
          <w:color w:val="231F20"/>
          <w:spacing w:val="-3"/>
          <w:w w:val="105"/>
        </w:rPr>
        <w:t> </w:t>
      </w:r>
      <w:r>
        <w:rPr>
          <w:color w:val="231F20"/>
          <w:w w:val="105"/>
        </w:rPr>
        <w:t>ello</w:t>
      </w:r>
      <w:r>
        <w:rPr>
          <w:color w:val="231F20"/>
          <w:spacing w:val="-3"/>
          <w:w w:val="105"/>
        </w:rPr>
        <w:t> </w:t>
      </w:r>
      <w:r>
        <w:rPr>
          <w:color w:val="231F20"/>
          <w:w w:val="105"/>
        </w:rPr>
        <w:t>implica.</w:t>
      </w:r>
      <w:r>
        <w:rPr>
          <w:color w:val="231F20"/>
          <w:spacing w:val="-3"/>
          <w:w w:val="105"/>
        </w:rPr>
        <w:t> </w:t>
      </w:r>
      <w:r>
        <w:rPr>
          <w:color w:val="231F20"/>
          <w:w w:val="105"/>
        </w:rPr>
        <w:t>Naturalmente,</w:t>
      </w:r>
      <w:r>
        <w:rPr>
          <w:color w:val="231F20"/>
          <w:spacing w:val="-3"/>
          <w:w w:val="105"/>
        </w:rPr>
        <w:t> </w:t>
      </w:r>
      <w:r>
        <w:rPr>
          <w:color w:val="231F20"/>
          <w:w w:val="105"/>
        </w:rPr>
        <w:t>para</w:t>
      </w:r>
      <w:r>
        <w:rPr>
          <w:color w:val="231F20"/>
          <w:spacing w:val="-3"/>
          <w:w w:val="105"/>
        </w:rPr>
        <w:t> </w:t>
      </w:r>
      <w:r>
        <w:rPr>
          <w:color w:val="231F20"/>
          <w:w w:val="105"/>
        </w:rPr>
        <w:t>el</w:t>
      </w:r>
      <w:r>
        <w:rPr>
          <w:color w:val="231F20"/>
          <w:spacing w:val="-3"/>
          <w:w w:val="105"/>
        </w:rPr>
        <w:t> </w:t>
      </w:r>
      <w:r>
        <w:rPr>
          <w:color w:val="231F20"/>
          <w:w w:val="105"/>
        </w:rPr>
        <w:t>partido</w:t>
      </w:r>
      <w:r>
        <w:rPr>
          <w:color w:val="231F20"/>
          <w:spacing w:val="-3"/>
          <w:w w:val="105"/>
        </w:rPr>
        <w:t> </w:t>
      </w:r>
      <w:r>
        <w:rPr>
          <w:color w:val="231F20"/>
          <w:w w:val="105"/>
        </w:rPr>
        <w:t>que</w:t>
      </w:r>
      <w:r>
        <w:rPr>
          <w:color w:val="231F20"/>
          <w:spacing w:val="-3"/>
          <w:w w:val="105"/>
        </w:rPr>
        <w:t> </w:t>
      </w:r>
      <w:r>
        <w:rPr>
          <w:color w:val="231F20"/>
          <w:spacing w:val="2"/>
          <w:w w:val="105"/>
        </w:rPr>
        <w:t>al</w:t>
      </w:r>
      <w:r>
        <w:rPr>
          <w:color w:val="231F20"/>
          <w:spacing w:val="-3"/>
          <w:w w:val="105"/>
        </w:rPr>
        <w:t> </w:t>
      </w:r>
      <w:r>
        <w:rPr>
          <w:color w:val="231F20"/>
          <w:w w:val="105"/>
        </w:rPr>
        <w:t>mismo</w:t>
      </w:r>
      <w:r>
        <w:rPr>
          <w:color w:val="231F20"/>
          <w:spacing w:val="-3"/>
          <w:w w:val="105"/>
        </w:rPr>
        <w:t> </w:t>
      </w:r>
      <w:r>
        <w:rPr>
          <w:color w:val="231F20"/>
          <w:w w:val="105"/>
        </w:rPr>
        <w:t>tiempo</w:t>
      </w:r>
      <w:r>
        <w:rPr>
          <w:color w:val="231F20"/>
          <w:spacing w:val="-3"/>
          <w:w w:val="105"/>
        </w:rPr>
        <w:t> </w:t>
      </w:r>
      <w:r>
        <w:rPr>
          <w:color w:val="231F20"/>
          <w:w w:val="105"/>
        </w:rPr>
        <w:t>es</w:t>
      </w:r>
      <w:r>
        <w:rPr>
          <w:color w:val="231F20"/>
          <w:spacing w:val="-3"/>
          <w:w w:val="105"/>
        </w:rPr>
        <w:t> </w:t>
      </w:r>
      <w:r>
        <w:rPr>
          <w:color w:val="231F20"/>
          <w:w w:val="105"/>
        </w:rPr>
        <w:t>gobierno</w:t>
      </w:r>
      <w:r>
        <w:rPr>
          <w:color w:val="231F20"/>
          <w:spacing w:val="-3"/>
          <w:w w:val="105"/>
        </w:rPr>
        <w:t> </w:t>
      </w:r>
      <w:r>
        <w:rPr>
          <w:color w:val="231F20"/>
          <w:w w:val="105"/>
        </w:rPr>
        <w:t>en</w:t>
      </w:r>
      <w:r>
        <w:rPr>
          <w:color w:val="231F20"/>
          <w:spacing w:val="-3"/>
          <w:w w:val="105"/>
        </w:rPr>
        <w:t> </w:t>
      </w:r>
      <w:r>
        <w:rPr>
          <w:color w:val="231F20"/>
          <w:w w:val="105"/>
        </w:rPr>
        <w:t>la entidad</w:t>
      </w:r>
      <w:r>
        <w:rPr>
          <w:color w:val="231F20"/>
          <w:spacing w:val="-3"/>
          <w:w w:val="105"/>
        </w:rPr>
        <w:t> </w:t>
      </w:r>
      <w:r>
        <w:rPr>
          <w:color w:val="231F20"/>
          <w:w w:val="105"/>
        </w:rPr>
        <w:t>y</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municipio,</w:t>
      </w:r>
      <w:r>
        <w:rPr>
          <w:color w:val="231F20"/>
          <w:spacing w:val="-3"/>
          <w:w w:val="105"/>
        </w:rPr>
        <w:t> </w:t>
      </w:r>
      <w:r>
        <w:rPr>
          <w:color w:val="231F20"/>
          <w:w w:val="105"/>
        </w:rPr>
        <w:t>la</w:t>
      </w:r>
      <w:r>
        <w:rPr>
          <w:color w:val="231F20"/>
          <w:spacing w:val="-3"/>
          <w:w w:val="105"/>
        </w:rPr>
        <w:t> </w:t>
      </w:r>
      <w:r>
        <w:rPr>
          <w:color w:val="231F20"/>
          <w:w w:val="105"/>
        </w:rPr>
        <w:t>situación</w:t>
      </w:r>
      <w:r>
        <w:rPr>
          <w:color w:val="231F20"/>
          <w:spacing w:val="-3"/>
          <w:w w:val="105"/>
        </w:rPr>
        <w:t> </w:t>
      </w:r>
      <w:r>
        <w:rPr>
          <w:color w:val="231F20"/>
          <w:w w:val="105"/>
        </w:rPr>
        <w:t>es</w:t>
      </w:r>
      <w:r>
        <w:rPr>
          <w:color w:val="231F20"/>
          <w:spacing w:val="-3"/>
          <w:w w:val="105"/>
        </w:rPr>
        <w:t> </w:t>
      </w:r>
      <w:r>
        <w:rPr>
          <w:color w:val="231F20"/>
          <w:w w:val="105"/>
        </w:rPr>
        <w:t>más</w:t>
      </w:r>
      <w:r>
        <w:rPr>
          <w:color w:val="231F20"/>
          <w:spacing w:val="-3"/>
          <w:w w:val="105"/>
        </w:rPr>
        <w:t> </w:t>
      </w:r>
      <w:r>
        <w:rPr>
          <w:color w:val="231F20"/>
          <w:w w:val="105"/>
        </w:rPr>
        <w:t>ventajosa</w:t>
      </w:r>
      <w:r>
        <w:rPr>
          <w:color w:val="231F20"/>
          <w:spacing w:val="-3"/>
          <w:w w:val="105"/>
        </w:rPr>
        <w:t> </w:t>
      </w:r>
      <w:r>
        <w:rPr>
          <w:color w:val="231F20"/>
          <w:w w:val="105"/>
        </w:rPr>
        <w:t>ya</w:t>
      </w:r>
      <w:r>
        <w:rPr>
          <w:color w:val="231F20"/>
          <w:spacing w:val="-3"/>
          <w:w w:val="105"/>
        </w:rPr>
        <w:t> </w:t>
      </w:r>
      <w:r>
        <w:rPr>
          <w:color w:val="231F20"/>
          <w:w w:val="105"/>
        </w:rPr>
        <w:t>que</w:t>
      </w:r>
      <w:r>
        <w:rPr>
          <w:color w:val="231F20"/>
          <w:spacing w:val="-3"/>
          <w:w w:val="105"/>
        </w:rPr>
        <w:t> </w:t>
      </w:r>
      <w:r>
        <w:rPr>
          <w:color w:val="231F20"/>
          <w:w w:val="105"/>
        </w:rPr>
        <w:t>su</w:t>
      </w:r>
      <w:r>
        <w:rPr>
          <w:color w:val="231F20"/>
          <w:spacing w:val="-3"/>
          <w:w w:val="105"/>
        </w:rPr>
        <w:t> </w:t>
      </w:r>
      <w:r>
        <w:rPr>
          <w:color w:val="231F20"/>
          <w:w w:val="105"/>
        </w:rPr>
        <w:t>grado</w:t>
      </w:r>
      <w:r>
        <w:rPr>
          <w:color w:val="231F20"/>
          <w:spacing w:val="-3"/>
          <w:w w:val="105"/>
        </w:rPr>
        <w:t> </w:t>
      </w:r>
      <w:r>
        <w:rPr>
          <w:color w:val="231F20"/>
          <w:w w:val="105"/>
        </w:rPr>
        <w:t>de</w:t>
      </w:r>
      <w:r>
        <w:rPr>
          <w:color w:val="231F20"/>
          <w:spacing w:val="-3"/>
          <w:w w:val="105"/>
        </w:rPr>
        <w:t> </w:t>
      </w:r>
      <w:r>
        <w:rPr>
          <w:color w:val="231F20"/>
          <w:w w:val="105"/>
        </w:rPr>
        <w:t>autonomía respecto</w:t>
      </w:r>
      <w:r>
        <w:rPr>
          <w:color w:val="231F20"/>
          <w:spacing w:val="-22"/>
          <w:w w:val="105"/>
        </w:rPr>
        <w:t> </w:t>
      </w:r>
      <w:r>
        <w:rPr>
          <w:color w:val="231F20"/>
          <w:w w:val="105"/>
        </w:rPr>
        <w:t>del</w:t>
      </w:r>
      <w:r>
        <w:rPr>
          <w:color w:val="231F20"/>
          <w:spacing w:val="-22"/>
          <w:w w:val="105"/>
        </w:rPr>
        <w:t> </w:t>
      </w:r>
      <w:r>
        <w:rPr>
          <w:color w:val="231F20"/>
          <w:w w:val="105"/>
        </w:rPr>
        <w:t>gobierno</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no</w:t>
      </w:r>
      <w:r>
        <w:rPr>
          <w:color w:val="231F20"/>
          <w:spacing w:val="-22"/>
          <w:w w:val="105"/>
        </w:rPr>
        <w:t> </w:t>
      </w:r>
      <w:r>
        <w:rPr>
          <w:color w:val="231F20"/>
          <w:w w:val="105"/>
        </w:rPr>
        <w:t>depende</w:t>
      </w:r>
      <w:r>
        <w:rPr>
          <w:color w:val="231F20"/>
          <w:spacing w:val="-22"/>
          <w:w w:val="105"/>
        </w:rPr>
        <w:t> </w:t>
      </w:r>
      <w:r>
        <w:rPr>
          <w:color w:val="231F20"/>
          <w:w w:val="105"/>
        </w:rPr>
        <w:t>de</w:t>
      </w:r>
      <w:r>
        <w:rPr>
          <w:color w:val="231F20"/>
          <w:spacing w:val="-22"/>
          <w:w w:val="105"/>
        </w:rPr>
        <w:t> </w:t>
      </w:r>
      <w:r>
        <w:rPr>
          <w:color w:val="231F20"/>
          <w:w w:val="105"/>
        </w:rPr>
        <w:t>luchas</w:t>
      </w:r>
      <w:r>
        <w:rPr>
          <w:color w:val="231F20"/>
          <w:spacing w:val="-22"/>
          <w:w w:val="105"/>
        </w:rPr>
        <w:t> </w:t>
      </w:r>
      <w:r>
        <w:rPr>
          <w:color w:val="231F20"/>
          <w:w w:val="105"/>
        </w:rPr>
        <w:t>o</w:t>
      </w:r>
      <w:r>
        <w:rPr>
          <w:color w:val="231F20"/>
          <w:spacing w:val="-22"/>
          <w:w w:val="105"/>
        </w:rPr>
        <w:t> </w:t>
      </w:r>
      <w:r>
        <w:rPr>
          <w:color w:val="231F20"/>
          <w:w w:val="105"/>
        </w:rPr>
        <w:t>negociaciones,</w:t>
      </w:r>
      <w:r>
        <w:rPr>
          <w:color w:val="231F20"/>
          <w:spacing w:val="-22"/>
          <w:w w:val="105"/>
        </w:rPr>
        <w:t> </w:t>
      </w:r>
      <w:r>
        <w:rPr>
          <w:color w:val="231F20"/>
          <w:w w:val="105"/>
        </w:rPr>
        <w:t>sino</w:t>
      </w:r>
      <w:r>
        <w:rPr>
          <w:color w:val="231F20"/>
          <w:spacing w:val="-22"/>
          <w:w w:val="105"/>
        </w:rPr>
        <w:t> </w:t>
      </w:r>
      <w:r>
        <w:rPr>
          <w:color w:val="231F20"/>
          <w:w w:val="105"/>
        </w:rPr>
        <w:t>más</w:t>
      </w:r>
      <w:r>
        <w:rPr>
          <w:color w:val="231F20"/>
          <w:spacing w:val="-22"/>
          <w:w w:val="105"/>
        </w:rPr>
        <w:t> </w:t>
      </w:r>
      <w:r>
        <w:rPr>
          <w:color w:val="231F20"/>
          <w:w w:val="105"/>
        </w:rPr>
        <w:t>bien</w:t>
      </w:r>
      <w:r>
        <w:rPr>
          <w:color w:val="231F20"/>
          <w:spacing w:val="-22"/>
          <w:w w:val="105"/>
        </w:rPr>
        <w:t> </w:t>
      </w:r>
      <w:r>
        <w:rPr>
          <w:color w:val="231F20"/>
          <w:w w:val="105"/>
        </w:rPr>
        <w:t>de su</w:t>
      </w:r>
      <w:r>
        <w:rPr>
          <w:color w:val="231F20"/>
          <w:spacing w:val="-14"/>
          <w:w w:val="105"/>
        </w:rPr>
        <w:t> </w:t>
      </w:r>
      <w:r>
        <w:rPr>
          <w:color w:val="231F20"/>
          <w:w w:val="105"/>
        </w:rPr>
        <w:t>lealtad</w:t>
      </w:r>
      <w:r>
        <w:rPr>
          <w:color w:val="231F20"/>
          <w:spacing w:val="-14"/>
          <w:w w:val="105"/>
        </w:rPr>
        <w:t> </w:t>
      </w:r>
      <w:r>
        <w:rPr>
          <w:color w:val="231F20"/>
          <w:w w:val="105"/>
        </w:rPr>
        <w:t>o</w:t>
      </w:r>
      <w:r>
        <w:rPr>
          <w:color w:val="231F20"/>
          <w:spacing w:val="-14"/>
          <w:w w:val="105"/>
        </w:rPr>
        <w:t> </w:t>
      </w:r>
      <w:r>
        <w:rPr>
          <w:color w:val="231F20"/>
          <w:w w:val="105"/>
        </w:rPr>
        <w:t>su</w:t>
      </w:r>
      <w:r>
        <w:rPr>
          <w:color w:val="231F20"/>
          <w:spacing w:val="-14"/>
          <w:w w:val="105"/>
        </w:rPr>
        <w:t> </w:t>
      </w:r>
      <w:r>
        <w:rPr>
          <w:color w:val="231F20"/>
          <w:w w:val="105"/>
        </w:rPr>
        <w:t>alineamiento</w:t>
      </w:r>
      <w:r>
        <w:rPr>
          <w:color w:val="231F20"/>
          <w:spacing w:val="-14"/>
          <w:w w:val="105"/>
        </w:rPr>
        <w:t> </w:t>
      </w:r>
      <w:r>
        <w:rPr>
          <w:color w:val="231F20"/>
          <w:w w:val="105"/>
        </w:rPr>
        <w:t>hacia</w:t>
      </w:r>
      <w:r>
        <w:rPr>
          <w:color w:val="231F20"/>
          <w:spacing w:val="-14"/>
          <w:w w:val="105"/>
        </w:rPr>
        <w:t> </w:t>
      </w:r>
      <w:r>
        <w:rPr>
          <w:color w:val="231F20"/>
          <w:w w:val="105"/>
        </w:rPr>
        <w:t>los</w:t>
      </w:r>
      <w:r>
        <w:rPr>
          <w:color w:val="231F20"/>
          <w:spacing w:val="-14"/>
          <w:w w:val="105"/>
        </w:rPr>
        <w:t> </w:t>
      </w:r>
      <w:r>
        <w:rPr>
          <w:color w:val="231F20"/>
          <w:w w:val="105"/>
        </w:rPr>
        <w:t>grupos</w:t>
      </w:r>
      <w:r>
        <w:rPr>
          <w:color w:val="231F20"/>
          <w:spacing w:val="-14"/>
          <w:w w:val="105"/>
        </w:rPr>
        <w:t> </w:t>
      </w:r>
      <w:r>
        <w:rPr>
          <w:color w:val="231F20"/>
          <w:w w:val="105"/>
        </w:rPr>
        <w:t>políticos</w:t>
      </w:r>
      <w:r>
        <w:rPr>
          <w:color w:val="231F20"/>
          <w:spacing w:val="-14"/>
          <w:w w:val="105"/>
        </w:rPr>
        <w:t> </w:t>
      </w:r>
      <w:r>
        <w:rPr>
          <w:color w:val="231F20"/>
          <w:w w:val="105"/>
        </w:rPr>
        <w:t>más</w:t>
      </w:r>
      <w:r>
        <w:rPr>
          <w:color w:val="231F20"/>
          <w:spacing w:val="-14"/>
          <w:w w:val="105"/>
        </w:rPr>
        <w:t> </w:t>
      </w:r>
      <w:r>
        <w:rPr>
          <w:color w:val="231F20"/>
          <w:w w:val="105"/>
        </w:rPr>
        <w:t>relevantes.</w:t>
      </w:r>
    </w:p>
    <w:p>
      <w:pPr>
        <w:pStyle w:val="BodyText"/>
        <w:spacing w:before="1"/>
        <w:rPr>
          <w:sz w:val="26"/>
        </w:rPr>
      </w:pPr>
    </w:p>
    <w:p>
      <w:pPr>
        <w:pStyle w:val="BodyText"/>
        <w:spacing w:line="285" w:lineRule="auto"/>
        <w:ind w:left="110" w:right="108"/>
        <w:jc w:val="both"/>
      </w:pPr>
      <w:r>
        <w:rPr>
          <w:color w:val="231F20"/>
          <w:w w:val="105"/>
        </w:rPr>
        <w:t>Las</w:t>
      </w:r>
      <w:r>
        <w:rPr>
          <w:color w:val="231F20"/>
          <w:spacing w:val="-5"/>
          <w:w w:val="105"/>
        </w:rPr>
        <w:t> </w:t>
      </w:r>
      <w:r>
        <w:rPr>
          <w:color w:val="231F20"/>
          <w:w w:val="105"/>
        </w:rPr>
        <w:t>leyes</w:t>
      </w:r>
      <w:r>
        <w:rPr>
          <w:color w:val="231F20"/>
          <w:spacing w:val="-5"/>
          <w:w w:val="105"/>
        </w:rPr>
        <w:t> </w:t>
      </w:r>
      <w:r>
        <w:rPr>
          <w:color w:val="231F20"/>
          <w:w w:val="105"/>
        </w:rPr>
        <w:t>que</w:t>
      </w:r>
      <w:r>
        <w:rPr>
          <w:color w:val="231F20"/>
          <w:spacing w:val="-5"/>
          <w:w w:val="105"/>
        </w:rPr>
        <w:t> </w:t>
      </w:r>
      <w:r>
        <w:rPr>
          <w:color w:val="231F20"/>
          <w:w w:val="105"/>
        </w:rPr>
        <w:t>rigen</w:t>
      </w:r>
      <w:r>
        <w:rPr>
          <w:color w:val="231F20"/>
          <w:spacing w:val="-5"/>
          <w:w w:val="105"/>
        </w:rPr>
        <w:t> </w:t>
      </w:r>
      <w:r>
        <w:rPr>
          <w:color w:val="231F20"/>
          <w:w w:val="105"/>
        </w:rPr>
        <w:t>el</w:t>
      </w:r>
      <w:r>
        <w:rPr>
          <w:color w:val="231F20"/>
          <w:spacing w:val="-5"/>
          <w:w w:val="105"/>
        </w:rPr>
        <w:t> </w:t>
      </w:r>
      <w:r>
        <w:rPr>
          <w:color w:val="231F20"/>
          <w:w w:val="105"/>
        </w:rPr>
        <w:t>quehacer</w:t>
      </w:r>
      <w:r>
        <w:rPr>
          <w:color w:val="231F20"/>
          <w:spacing w:val="-5"/>
          <w:w w:val="105"/>
        </w:rPr>
        <w:t> </w:t>
      </w:r>
      <w:r>
        <w:rPr>
          <w:color w:val="231F20"/>
          <w:w w:val="105"/>
        </w:rPr>
        <w:t>municipal</w:t>
      </w:r>
      <w:r>
        <w:rPr>
          <w:color w:val="231F20"/>
          <w:spacing w:val="-5"/>
          <w:w w:val="105"/>
        </w:rPr>
        <w:t> </w:t>
      </w:r>
      <w:r>
        <w:rPr>
          <w:color w:val="231F20"/>
          <w:w w:val="105"/>
        </w:rPr>
        <w:t>hacen</w:t>
      </w:r>
      <w:r>
        <w:rPr>
          <w:color w:val="231F20"/>
          <w:spacing w:val="-5"/>
          <w:w w:val="105"/>
        </w:rPr>
        <w:t> </w:t>
      </w:r>
      <w:r>
        <w:rPr>
          <w:color w:val="231F20"/>
          <w:w w:val="105"/>
        </w:rPr>
        <w:t>más</w:t>
      </w:r>
      <w:r>
        <w:rPr>
          <w:color w:val="231F20"/>
          <w:spacing w:val="-5"/>
          <w:w w:val="105"/>
        </w:rPr>
        <w:t> </w:t>
      </w:r>
      <w:r>
        <w:rPr>
          <w:color w:val="231F20"/>
          <w:w w:val="105"/>
        </w:rPr>
        <w:t>uniforme</w:t>
      </w:r>
      <w:r>
        <w:rPr>
          <w:color w:val="231F20"/>
          <w:spacing w:val="-5"/>
          <w:w w:val="105"/>
        </w:rPr>
        <w:t> </w:t>
      </w:r>
      <w:r>
        <w:rPr>
          <w:color w:val="231F20"/>
          <w:w w:val="105"/>
        </w:rPr>
        <w:t>el</w:t>
      </w:r>
      <w:r>
        <w:rPr>
          <w:color w:val="231F20"/>
          <w:spacing w:val="-5"/>
          <w:w w:val="105"/>
        </w:rPr>
        <w:t> </w:t>
      </w:r>
      <w:r>
        <w:rPr>
          <w:color w:val="231F20"/>
          <w:w w:val="105"/>
        </w:rPr>
        <w:t>desempeño</w:t>
      </w:r>
      <w:r>
        <w:rPr>
          <w:color w:val="231F20"/>
          <w:spacing w:val="-5"/>
          <w:w w:val="105"/>
        </w:rPr>
        <w:t> </w:t>
      </w:r>
      <w:r>
        <w:rPr>
          <w:color w:val="231F20"/>
          <w:w w:val="105"/>
        </w:rPr>
        <w:t>de</w:t>
      </w:r>
      <w:r>
        <w:rPr>
          <w:color w:val="231F20"/>
          <w:spacing w:val="-5"/>
          <w:w w:val="105"/>
        </w:rPr>
        <w:t> </w:t>
      </w:r>
      <w:r>
        <w:rPr>
          <w:color w:val="231F20"/>
          <w:w w:val="105"/>
        </w:rPr>
        <w:t>todos los</w:t>
      </w:r>
      <w:r>
        <w:rPr>
          <w:color w:val="231F20"/>
          <w:spacing w:val="-23"/>
          <w:w w:val="105"/>
        </w:rPr>
        <w:t> </w:t>
      </w:r>
      <w:r>
        <w:rPr>
          <w:color w:val="231F20"/>
          <w:w w:val="105"/>
        </w:rPr>
        <w:t>gobernantes.</w:t>
      </w:r>
      <w:r>
        <w:rPr>
          <w:color w:val="231F20"/>
          <w:spacing w:val="-23"/>
          <w:w w:val="105"/>
        </w:rPr>
        <w:t> </w:t>
      </w:r>
      <w:r>
        <w:rPr>
          <w:color w:val="231F20"/>
          <w:spacing w:val="-3"/>
          <w:w w:val="105"/>
        </w:rPr>
        <w:t>Por</w:t>
      </w:r>
      <w:r>
        <w:rPr>
          <w:color w:val="231F20"/>
          <w:spacing w:val="-23"/>
          <w:w w:val="105"/>
        </w:rPr>
        <w:t> </w:t>
      </w:r>
      <w:r>
        <w:rPr>
          <w:color w:val="231F20"/>
          <w:w w:val="105"/>
        </w:rPr>
        <w:t>ello,</w:t>
      </w:r>
      <w:r>
        <w:rPr>
          <w:color w:val="231F20"/>
          <w:spacing w:val="-23"/>
          <w:w w:val="105"/>
        </w:rPr>
        <w:t> </w:t>
      </w:r>
      <w:r>
        <w:rPr>
          <w:color w:val="231F20"/>
          <w:spacing w:val="2"/>
          <w:w w:val="105"/>
        </w:rPr>
        <w:t>al</w:t>
      </w:r>
      <w:r>
        <w:rPr>
          <w:color w:val="231F20"/>
          <w:spacing w:val="-23"/>
          <w:w w:val="105"/>
        </w:rPr>
        <w:t> </w:t>
      </w:r>
      <w:r>
        <w:rPr>
          <w:color w:val="231F20"/>
          <w:w w:val="105"/>
        </w:rPr>
        <w:t>iniciar</w:t>
      </w:r>
      <w:r>
        <w:rPr>
          <w:color w:val="231F20"/>
          <w:spacing w:val="-23"/>
          <w:w w:val="105"/>
        </w:rPr>
        <w:t> </w:t>
      </w:r>
      <w:r>
        <w:rPr>
          <w:color w:val="231F20"/>
          <w:w w:val="105"/>
        </w:rPr>
        <w:t>una</w:t>
      </w:r>
      <w:r>
        <w:rPr>
          <w:color w:val="231F20"/>
          <w:spacing w:val="-23"/>
          <w:w w:val="105"/>
        </w:rPr>
        <w:t> </w:t>
      </w:r>
      <w:r>
        <w:rPr>
          <w:color w:val="231F20"/>
          <w:w w:val="105"/>
        </w:rPr>
        <w:t>gestión,</w:t>
      </w:r>
      <w:r>
        <w:rPr>
          <w:color w:val="231F20"/>
          <w:spacing w:val="-23"/>
          <w:w w:val="105"/>
        </w:rPr>
        <w:t> </w:t>
      </w:r>
      <w:r>
        <w:rPr>
          <w:color w:val="231F20"/>
          <w:w w:val="105"/>
        </w:rPr>
        <w:t>todos</w:t>
      </w:r>
      <w:r>
        <w:rPr>
          <w:color w:val="231F20"/>
          <w:spacing w:val="-23"/>
          <w:w w:val="105"/>
        </w:rPr>
        <w:t> </w:t>
      </w:r>
      <w:r>
        <w:rPr>
          <w:color w:val="231F20"/>
          <w:w w:val="105"/>
        </w:rPr>
        <w:t>los</w:t>
      </w:r>
      <w:r>
        <w:rPr>
          <w:color w:val="231F20"/>
          <w:spacing w:val="-23"/>
          <w:w w:val="105"/>
        </w:rPr>
        <w:t> </w:t>
      </w:r>
      <w:r>
        <w:rPr>
          <w:color w:val="231F20"/>
          <w:w w:val="105"/>
        </w:rPr>
        <w:t>alcaldes</w:t>
      </w:r>
      <w:r>
        <w:rPr>
          <w:color w:val="231F20"/>
          <w:spacing w:val="-23"/>
          <w:w w:val="105"/>
        </w:rPr>
        <w:t> </w:t>
      </w:r>
      <w:r>
        <w:rPr>
          <w:color w:val="231F20"/>
          <w:w w:val="105"/>
        </w:rPr>
        <w:t>tienen</w:t>
      </w:r>
      <w:r>
        <w:rPr>
          <w:color w:val="231F20"/>
          <w:spacing w:val="-23"/>
          <w:w w:val="105"/>
        </w:rPr>
        <w:t> </w:t>
      </w:r>
      <w:r>
        <w:rPr>
          <w:color w:val="231F20"/>
          <w:w w:val="105"/>
        </w:rPr>
        <w:t>la</w:t>
      </w:r>
      <w:r>
        <w:rPr>
          <w:color w:val="231F20"/>
          <w:spacing w:val="-23"/>
          <w:w w:val="105"/>
        </w:rPr>
        <w:t> </w:t>
      </w:r>
      <w:r>
        <w:rPr>
          <w:color w:val="231F20"/>
          <w:w w:val="105"/>
        </w:rPr>
        <w:t>obligación</w:t>
      </w:r>
      <w:r>
        <w:rPr>
          <w:color w:val="231F20"/>
          <w:spacing w:val="-23"/>
          <w:w w:val="105"/>
        </w:rPr>
        <w:t> </w:t>
      </w:r>
      <w:r>
        <w:rPr>
          <w:color w:val="231F20"/>
          <w:w w:val="105"/>
        </w:rPr>
        <w:t>de cumplir</w:t>
      </w:r>
      <w:r>
        <w:rPr>
          <w:color w:val="231F20"/>
          <w:spacing w:val="-10"/>
          <w:w w:val="105"/>
        </w:rPr>
        <w:t> </w:t>
      </w:r>
      <w:r>
        <w:rPr>
          <w:color w:val="231F20"/>
          <w:w w:val="105"/>
        </w:rPr>
        <w:t>formalmente</w:t>
      </w:r>
      <w:r>
        <w:rPr>
          <w:color w:val="231F20"/>
          <w:spacing w:val="-10"/>
          <w:w w:val="105"/>
        </w:rPr>
        <w:t> </w:t>
      </w:r>
      <w:r>
        <w:rPr>
          <w:color w:val="231F20"/>
          <w:w w:val="105"/>
        </w:rPr>
        <w:t>con</w:t>
      </w:r>
      <w:r>
        <w:rPr>
          <w:color w:val="231F20"/>
          <w:spacing w:val="-10"/>
          <w:w w:val="105"/>
        </w:rPr>
        <w:t> </w:t>
      </w:r>
      <w:r>
        <w:rPr>
          <w:color w:val="231F20"/>
          <w:w w:val="105"/>
        </w:rPr>
        <w:t>su</w:t>
      </w:r>
      <w:r>
        <w:rPr>
          <w:color w:val="231F20"/>
          <w:spacing w:val="-10"/>
          <w:w w:val="105"/>
        </w:rPr>
        <w:t> </w:t>
      </w:r>
      <w:r>
        <w:rPr>
          <w:color w:val="231F20"/>
          <w:w w:val="105"/>
        </w:rPr>
        <w:t>tarea</w:t>
      </w:r>
      <w:r>
        <w:rPr>
          <w:color w:val="231F20"/>
          <w:spacing w:val="-10"/>
          <w:w w:val="105"/>
        </w:rPr>
        <w:t> </w:t>
      </w:r>
      <w:r>
        <w:rPr>
          <w:color w:val="231F20"/>
          <w:w w:val="105"/>
        </w:rPr>
        <w:t>de</w:t>
      </w:r>
      <w:r>
        <w:rPr>
          <w:color w:val="231F20"/>
          <w:spacing w:val="-10"/>
          <w:w w:val="105"/>
        </w:rPr>
        <w:t> </w:t>
      </w:r>
      <w:r>
        <w:rPr>
          <w:color w:val="231F20"/>
          <w:w w:val="105"/>
        </w:rPr>
        <w:t>planeación.</w:t>
      </w:r>
      <w:r>
        <w:rPr>
          <w:color w:val="231F20"/>
          <w:spacing w:val="-10"/>
          <w:w w:val="105"/>
        </w:rPr>
        <w:t> </w:t>
      </w:r>
      <w:r>
        <w:rPr>
          <w:color w:val="231F20"/>
          <w:w w:val="105"/>
        </w:rPr>
        <w:t>Deben</w:t>
      </w:r>
      <w:r>
        <w:rPr>
          <w:color w:val="231F20"/>
          <w:spacing w:val="-10"/>
          <w:w w:val="105"/>
        </w:rPr>
        <w:t> </w:t>
      </w:r>
      <w:r>
        <w:rPr>
          <w:color w:val="231F20"/>
          <w:w w:val="105"/>
        </w:rPr>
        <w:t>hacer</w:t>
      </w:r>
      <w:r>
        <w:rPr>
          <w:color w:val="231F20"/>
          <w:spacing w:val="-10"/>
          <w:w w:val="105"/>
        </w:rPr>
        <w:t> </w:t>
      </w:r>
      <w:r>
        <w:rPr>
          <w:color w:val="231F20"/>
          <w:w w:val="105"/>
        </w:rPr>
        <w:t>un</w:t>
      </w:r>
      <w:r>
        <w:rPr>
          <w:color w:val="231F20"/>
          <w:spacing w:val="-10"/>
          <w:w w:val="105"/>
        </w:rPr>
        <w:t> </w:t>
      </w:r>
      <w:r>
        <w:rPr>
          <w:color w:val="231F20"/>
          <w:w w:val="105"/>
        </w:rPr>
        <w:t>diagnóstico,</w:t>
      </w:r>
      <w:r>
        <w:rPr>
          <w:color w:val="231F20"/>
          <w:spacing w:val="-10"/>
          <w:w w:val="105"/>
        </w:rPr>
        <w:t> </w:t>
      </w:r>
      <w:r>
        <w:rPr>
          <w:color w:val="231F20"/>
          <w:w w:val="105"/>
        </w:rPr>
        <w:t>elaborar un plan de desarrollo, señalar metas y realizar su evaluación periódicamente. Asimis- mo,</w:t>
      </w:r>
      <w:r>
        <w:rPr>
          <w:color w:val="231F20"/>
          <w:spacing w:val="-7"/>
          <w:w w:val="105"/>
        </w:rPr>
        <w:t> </w:t>
      </w:r>
      <w:r>
        <w:rPr>
          <w:color w:val="231F20"/>
          <w:w w:val="105"/>
        </w:rPr>
        <w:t>todos</w:t>
      </w:r>
      <w:r>
        <w:rPr>
          <w:color w:val="231F20"/>
          <w:spacing w:val="-7"/>
          <w:w w:val="105"/>
        </w:rPr>
        <w:t> </w:t>
      </w:r>
      <w:r>
        <w:rPr>
          <w:color w:val="231F20"/>
          <w:w w:val="105"/>
        </w:rPr>
        <w:t>requieren</w:t>
      </w:r>
      <w:r>
        <w:rPr>
          <w:color w:val="231F20"/>
          <w:spacing w:val="-7"/>
          <w:w w:val="105"/>
        </w:rPr>
        <w:t> </w:t>
      </w:r>
      <w:r>
        <w:rPr>
          <w:color w:val="231F20"/>
          <w:w w:val="105"/>
        </w:rPr>
        <w:t>de</w:t>
      </w:r>
      <w:r>
        <w:rPr>
          <w:color w:val="231F20"/>
          <w:spacing w:val="-7"/>
          <w:w w:val="105"/>
        </w:rPr>
        <w:t> </w:t>
      </w:r>
      <w:r>
        <w:rPr>
          <w:color w:val="231F20"/>
          <w:w w:val="105"/>
        </w:rPr>
        <w:t>leyes</w:t>
      </w:r>
      <w:r>
        <w:rPr>
          <w:color w:val="231F20"/>
          <w:spacing w:val="-7"/>
          <w:w w:val="105"/>
        </w:rPr>
        <w:t> </w:t>
      </w:r>
      <w:r>
        <w:rPr>
          <w:color w:val="231F20"/>
          <w:w w:val="105"/>
        </w:rPr>
        <w:t>y</w:t>
      </w:r>
      <w:r>
        <w:rPr>
          <w:color w:val="231F20"/>
          <w:spacing w:val="-7"/>
          <w:w w:val="105"/>
        </w:rPr>
        <w:t> </w:t>
      </w:r>
      <w:r>
        <w:rPr>
          <w:color w:val="231F20"/>
          <w:w w:val="105"/>
        </w:rPr>
        <w:t>reglamentos</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cumplimiento</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tareas,</w:t>
      </w:r>
      <w:r>
        <w:rPr>
          <w:color w:val="231F20"/>
          <w:spacing w:val="-7"/>
          <w:w w:val="105"/>
        </w:rPr>
        <w:t> </w:t>
      </w:r>
      <w:r>
        <w:rPr>
          <w:color w:val="231F20"/>
          <w:w w:val="105"/>
        </w:rPr>
        <w:t>de</w:t>
      </w:r>
      <w:r>
        <w:rPr>
          <w:color w:val="231F20"/>
          <w:spacing w:val="-7"/>
          <w:w w:val="105"/>
        </w:rPr>
        <w:t> </w:t>
      </w:r>
      <w:r>
        <w:rPr>
          <w:color w:val="231F20"/>
          <w:w w:val="105"/>
        </w:rPr>
        <w:t>ma- nera</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discrecionalidad</w:t>
      </w:r>
      <w:r>
        <w:rPr>
          <w:color w:val="231F20"/>
          <w:spacing w:val="-27"/>
          <w:w w:val="105"/>
        </w:rPr>
        <w:t> </w:t>
      </w:r>
      <w:r>
        <w:rPr>
          <w:color w:val="231F20"/>
          <w:w w:val="105"/>
        </w:rPr>
        <w:t>sea</w:t>
      </w:r>
      <w:r>
        <w:rPr>
          <w:color w:val="231F20"/>
          <w:spacing w:val="-27"/>
          <w:w w:val="105"/>
        </w:rPr>
        <w:t> </w:t>
      </w:r>
      <w:r>
        <w:rPr>
          <w:color w:val="231F20"/>
          <w:w w:val="105"/>
        </w:rPr>
        <w:t>expulsada</w:t>
      </w:r>
      <w:r>
        <w:rPr>
          <w:color w:val="231F20"/>
          <w:spacing w:val="-27"/>
          <w:w w:val="105"/>
        </w:rPr>
        <w:t> </w:t>
      </w:r>
      <w:r>
        <w:rPr>
          <w:color w:val="231F20"/>
          <w:w w:val="105"/>
        </w:rPr>
        <w:t>del</w:t>
      </w:r>
      <w:r>
        <w:rPr>
          <w:color w:val="231F20"/>
          <w:spacing w:val="-27"/>
          <w:w w:val="105"/>
        </w:rPr>
        <w:t> </w:t>
      </w:r>
      <w:r>
        <w:rPr>
          <w:color w:val="231F20"/>
          <w:w w:val="105"/>
        </w:rPr>
        <w:t>ejercicio</w:t>
      </w:r>
      <w:r>
        <w:rPr>
          <w:color w:val="231F20"/>
          <w:spacing w:val="-27"/>
          <w:w w:val="105"/>
        </w:rPr>
        <w:t> </w:t>
      </w:r>
      <w:r>
        <w:rPr>
          <w:color w:val="231F20"/>
          <w:w w:val="105"/>
        </w:rPr>
        <w:t>del</w:t>
      </w:r>
      <w:r>
        <w:rPr>
          <w:color w:val="231F20"/>
          <w:spacing w:val="-27"/>
          <w:w w:val="105"/>
        </w:rPr>
        <w:t> </w:t>
      </w:r>
      <w:r>
        <w:rPr>
          <w:color w:val="231F20"/>
          <w:spacing w:val="-3"/>
          <w:w w:val="105"/>
        </w:rPr>
        <w:t>gobierno.</w:t>
      </w:r>
      <w:r>
        <w:rPr>
          <w:color w:val="231F20"/>
          <w:spacing w:val="-27"/>
          <w:w w:val="105"/>
        </w:rPr>
        <w:t> </w:t>
      </w:r>
      <w:r>
        <w:rPr>
          <w:color w:val="231F20"/>
          <w:w w:val="105"/>
        </w:rPr>
        <w:t>Y</w:t>
      </w:r>
      <w:r>
        <w:rPr>
          <w:color w:val="231F20"/>
          <w:spacing w:val="-27"/>
          <w:w w:val="105"/>
        </w:rPr>
        <w:t> </w:t>
      </w:r>
      <w:r>
        <w:rPr>
          <w:color w:val="231F20"/>
          <w:w w:val="105"/>
        </w:rPr>
        <w:t>estas</w:t>
      </w:r>
      <w:r>
        <w:rPr>
          <w:color w:val="231F20"/>
          <w:spacing w:val="-27"/>
          <w:w w:val="105"/>
        </w:rPr>
        <w:t> </w:t>
      </w:r>
      <w:r>
        <w:rPr>
          <w:color w:val="231F20"/>
          <w:w w:val="105"/>
        </w:rPr>
        <w:t>acciones,</w:t>
      </w:r>
      <w:r>
        <w:rPr>
          <w:color w:val="231F20"/>
          <w:spacing w:val="-27"/>
          <w:w w:val="105"/>
        </w:rPr>
        <w:t> </w:t>
      </w:r>
      <w:r>
        <w:rPr>
          <w:color w:val="231F20"/>
          <w:w w:val="105"/>
        </w:rPr>
        <w:t>se dice,</w:t>
      </w:r>
      <w:r>
        <w:rPr>
          <w:color w:val="231F20"/>
          <w:spacing w:val="-12"/>
          <w:w w:val="105"/>
        </w:rPr>
        <w:t> </w:t>
      </w:r>
      <w:r>
        <w:rPr>
          <w:color w:val="231F20"/>
          <w:w w:val="105"/>
        </w:rPr>
        <w:t>deben</w:t>
      </w:r>
      <w:r>
        <w:rPr>
          <w:color w:val="231F20"/>
          <w:spacing w:val="-12"/>
          <w:w w:val="105"/>
        </w:rPr>
        <w:t> </w:t>
      </w:r>
      <w:r>
        <w:rPr>
          <w:color w:val="231F20"/>
          <w:w w:val="105"/>
        </w:rPr>
        <w:t>llevarse</w:t>
      </w:r>
      <w:r>
        <w:rPr>
          <w:color w:val="231F20"/>
          <w:spacing w:val="-12"/>
          <w:w w:val="105"/>
        </w:rPr>
        <w:t> </w:t>
      </w:r>
      <w:r>
        <w:rPr>
          <w:color w:val="231F20"/>
          <w:w w:val="105"/>
        </w:rPr>
        <w:t>a</w:t>
      </w:r>
      <w:r>
        <w:rPr>
          <w:color w:val="231F20"/>
          <w:spacing w:val="-12"/>
          <w:w w:val="105"/>
        </w:rPr>
        <w:t> </w:t>
      </w:r>
      <w:r>
        <w:rPr>
          <w:color w:val="231F20"/>
          <w:w w:val="105"/>
        </w:rPr>
        <w:t>cabo</w:t>
      </w:r>
      <w:r>
        <w:rPr>
          <w:color w:val="231F20"/>
          <w:spacing w:val="-12"/>
          <w:w w:val="105"/>
        </w:rPr>
        <w:t> </w:t>
      </w:r>
      <w:r>
        <w:rPr>
          <w:color w:val="231F20"/>
          <w:w w:val="105"/>
        </w:rPr>
        <w:t>tomando</w:t>
      </w:r>
      <w:r>
        <w:rPr>
          <w:color w:val="231F20"/>
          <w:spacing w:val="-12"/>
          <w:w w:val="105"/>
        </w:rPr>
        <w:t> </w:t>
      </w:r>
      <w:r>
        <w:rPr>
          <w:color w:val="231F20"/>
          <w:w w:val="105"/>
        </w:rPr>
        <w:t>en</w:t>
      </w:r>
      <w:r>
        <w:rPr>
          <w:color w:val="231F20"/>
          <w:spacing w:val="-12"/>
          <w:w w:val="105"/>
        </w:rPr>
        <w:t> </w:t>
      </w:r>
      <w:r>
        <w:rPr>
          <w:color w:val="231F20"/>
          <w:w w:val="105"/>
        </w:rPr>
        <w:t>cuenta</w:t>
      </w:r>
      <w:r>
        <w:rPr>
          <w:color w:val="231F20"/>
          <w:spacing w:val="-12"/>
          <w:w w:val="105"/>
        </w:rPr>
        <w:t> </w:t>
      </w:r>
      <w:r>
        <w:rPr>
          <w:color w:val="231F20"/>
          <w:w w:val="105"/>
        </w:rPr>
        <w:t>el</w:t>
      </w:r>
      <w:r>
        <w:rPr>
          <w:color w:val="231F20"/>
          <w:spacing w:val="-12"/>
          <w:w w:val="105"/>
        </w:rPr>
        <w:t> </w:t>
      </w:r>
      <w:r>
        <w:rPr>
          <w:color w:val="231F20"/>
          <w:w w:val="105"/>
        </w:rPr>
        <w:t>parecer</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gobernados.</w:t>
      </w:r>
    </w:p>
    <w:p>
      <w:pPr>
        <w:pStyle w:val="BodyText"/>
        <w:spacing w:before="1"/>
        <w:rPr>
          <w:sz w:val="26"/>
        </w:rPr>
      </w:pPr>
    </w:p>
    <w:p>
      <w:pPr>
        <w:pStyle w:val="BodyText"/>
        <w:spacing w:line="285" w:lineRule="auto"/>
        <w:ind w:left="110" w:right="107"/>
        <w:jc w:val="both"/>
      </w:pPr>
      <w:r>
        <w:rPr>
          <w:color w:val="231F20"/>
          <w:w w:val="105"/>
        </w:rPr>
        <w:t>Como se aprecia en nuestros trabajos, a </w:t>
      </w:r>
      <w:r>
        <w:rPr>
          <w:color w:val="231F20"/>
          <w:spacing w:val="-3"/>
          <w:w w:val="105"/>
        </w:rPr>
        <w:t>menudo </w:t>
      </w:r>
      <w:r>
        <w:rPr>
          <w:color w:val="231F20"/>
          <w:w w:val="105"/>
        </w:rPr>
        <w:t>este tipo de disposiciones legales se cumplen, no obstante no es por convicción, sino por obligación. Si bien normalmente los</w:t>
      </w:r>
      <w:r>
        <w:rPr>
          <w:color w:val="231F20"/>
          <w:spacing w:val="-19"/>
          <w:w w:val="105"/>
        </w:rPr>
        <w:t> </w:t>
      </w:r>
      <w:r>
        <w:rPr>
          <w:color w:val="231F20"/>
          <w:w w:val="105"/>
        </w:rPr>
        <w:t>diagnósticos</w:t>
      </w:r>
      <w:r>
        <w:rPr>
          <w:color w:val="231F20"/>
          <w:spacing w:val="-19"/>
          <w:w w:val="105"/>
        </w:rPr>
        <w:t> </w:t>
      </w:r>
      <w:r>
        <w:rPr>
          <w:color w:val="231F20"/>
          <w:w w:val="105"/>
        </w:rPr>
        <w:t>reflejan</w:t>
      </w:r>
      <w:r>
        <w:rPr>
          <w:color w:val="231F20"/>
          <w:spacing w:val="-19"/>
          <w:w w:val="105"/>
        </w:rPr>
        <w:t> </w:t>
      </w:r>
      <w:r>
        <w:rPr>
          <w:color w:val="231F20"/>
          <w:w w:val="105"/>
        </w:rPr>
        <w:t>los</w:t>
      </w:r>
      <w:r>
        <w:rPr>
          <w:color w:val="231F20"/>
          <w:spacing w:val="-19"/>
          <w:w w:val="105"/>
        </w:rPr>
        <w:t> </w:t>
      </w:r>
      <w:r>
        <w:rPr>
          <w:color w:val="231F20"/>
          <w:w w:val="105"/>
        </w:rPr>
        <w:t>problemas</w:t>
      </w:r>
      <w:r>
        <w:rPr>
          <w:color w:val="231F20"/>
          <w:spacing w:val="-19"/>
          <w:w w:val="105"/>
        </w:rPr>
        <w:t> </w:t>
      </w:r>
      <w:r>
        <w:rPr>
          <w:color w:val="231F20"/>
          <w:w w:val="105"/>
        </w:rPr>
        <w:t>más</w:t>
      </w:r>
      <w:r>
        <w:rPr>
          <w:color w:val="231F20"/>
          <w:spacing w:val="-19"/>
          <w:w w:val="105"/>
        </w:rPr>
        <w:t> </w:t>
      </w:r>
      <w:r>
        <w:rPr>
          <w:color w:val="231F20"/>
          <w:w w:val="105"/>
        </w:rPr>
        <w:t>candentes,</w:t>
      </w:r>
      <w:r>
        <w:rPr>
          <w:color w:val="231F20"/>
          <w:spacing w:val="-19"/>
          <w:w w:val="105"/>
        </w:rPr>
        <w:t> </w:t>
      </w:r>
      <w:r>
        <w:rPr>
          <w:color w:val="231F20"/>
          <w:w w:val="105"/>
        </w:rPr>
        <w:t>los</w:t>
      </w:r>
      <w:r>
        <w:rPr>
          <w:color w:val="231F20"/>
          <w:spacing w:val="-19"/>
          <w:w w:val="105"/>
        </w:rPr>
        <w:t> </w:t>
      </w:r>
      <w:r>
        <w:rPr>
          <w:color w:val="231F20"/>
          <w:w w:val="105"/>
        </w:rPr>
        <w:t>planes</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w w:val="105"/>
        </w:rPr>
        <w:t>no</w:t>
      </w:r>
      <w:r>
        <w:rPr>
          <w:color w:val="231F20"/>
          <w:spacing w:val="-19"/>
          <w:w w:val="105"/>
        </w:rPr>
        <w:t> </w:t>
      </w:r>
      <w:r>
        <w:rPr>
          <w:color w:val="231F20"/>
          <w:w w:val="105"/>
        </w:rPr>
        <w:t>nece- sariamente suelen ser rigurosos proyectos de </w:t>
      </w:r>
      <w:r>
        <w:rPr>
          <w:color w:val="231F20"/>
          <w:spacing w:val="-3"/>
          <w:w w:val="105"/>
        </w:rPr>
        <w:t>gobierno. </w:t>
      </w:r>
      <w:r>
        <w:rPr>
          <w:color w:val="231F20"/>
          <w:w w:val="105"/>
        </w:rPr>
        <w:t>Aunque generalmente se alude a consultas ciudadanas para su elaboración, no hay pruebas fehacientes de una gran influencia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gobernados</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definición.</w:t>
      </w:r>
      <w:r>
        <w:rPr>
          <w:color w:val="231F20"/>
          <w:spacing w:val="-9"/>
          <w:w w:val="105"/>
        </w:rPr>
        <w:t> </w:t>
      </w:r>
      <w:r>
        <w:rPr>
          <w:color w:val="231F20"/>
          <w:w w:val="105"/>
        </w:rPr>
        <w:t>Desde</w:t>
      </w:r>
      <w:r>
        <w:rPr>
          <w:color w:val="231F20"/>
          <w:spacing w:val="-9"/>
          <w:w w:val="105"/>
        </w:rPr>
        <w:t> </w:t>
      </w:r>
      <w:r>
        <w:rPr>
          <w:color w:val="231F20"/>
          <w:w w:val="105"/>
        </w:rPr>
        <w:t>la</w:t>
      </w:r>
      <w:r>
        <w:rPr>
          <w:color w:val="231F20"/>
          <w:spacing w:val="-9"/>
          <w:w w:val="105"/>
        </w:rPr>
        <w:t> </w:t>
      </w:r>
      <w:r>
        <w:rPr>
          <w:color w:val="231F20"/>
          <w:w w:val="105"/>
        </w:rPr>
        <w:t>planeación,</w:t>
      </w:r>
      <w:r>
        <w:rPr>
          <w:color w:val="231F20"/>
          <w:spacing w:val="-9"/>
          <w:w w:val="105"/>
        </w:rPr>
        <w:t> </w:t>
      </w:r>
      <w:r>
        <w:rPr>
          <w:color w:val="231F20"/>
          <w:w w:val="105"/>
        </w:rPr>
        <w:t>la</w:t>
      </w:r>
      <w:r>
        <w:rPr>
          <w:color w:val="231F20"/>
          <w:spacing w:val="-9"/>
          <w:w w:val="105"/>
        </w:rPr>
        <w:t> </w:t>
      </w:r>
      <w:r>
        <w:rPr>
          <w:color w:val="231F20"/>
          <w:w w:val="105"/>
        </w:rPr>
        <w:t>toma</w:t>
      </w:r>
      <w:r>
        <w:rPr>
          <w:color w:val="231F20"/>
          <w:spacing w:val="-9"/>
          <w:w w:val="105"/>
        </w:rPr>
        <w:t> </w:t>
      </w:r>
      <w:r>
        <w:rPr>
          <w:color w:val="231F20"/>
          <w:w w:val="105"/>
        </w:rPr>
        <w:t>de</w:t>
      </w:r>
      <w:r>
        <w:rPr>
          <w:color w:val="231F20"/>
          <w:spacing w:val="-9"/>
          <w:w w:val="105"/>
        </w:rPr>
        <w:t> </w:t>
      </w:r>
      <w:r>
        <w:rPr>
          <w:color w:val="231F20"/>
          <w:w w:val="105"/>
        </w:rPr>
        <w:t>decisio- nes</w:t>
      </w:r>
      <w:r>
        <w:rPr>
          <w:color w:val="231F20"/>
          <w:spacing w:val="-12"/>
          <w:w w:val="105"/>
        </w:rPr>
        <w:t> </w:t>
      </w:r>
      <w:r>
        <w:rPr>
          <w:color w:val="231F20"/>
          <w:w w:val="105"/>
        </w:rPr>
        <w:t>se</w:t>
      </w:r>
      <w:r>
        <w:rPr>
          <w:color w:val="231F20"/>
          <w:spacing w:val="-12"/>
          <w:w w:val="105"/>
        </w:rPr>
        <w:t> </w:t>
      </w:r>
      <w:r>
        <w:rPr>
          <w:color w:val="231F20"/>
          <w:w w:val="105"/>
        </w:rPr>
        <w:t>centraliza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2"/>
          <w:w w:val="105"/>
        </w:rPr>
        <w:t>figura</w:t>
      </w:r>
      <w:r>
        <w:rPr>
          <w:color w:val="231F20"/>
          <w:spacing w:val="-12"/>
          <w:w w:val="105"/>
        </w:rPr>
        <w:t> </w:t>
      </w:r>
      <w:r>
        <w:rPr>
          <w:color w:val="231F20"/>
          <w:w w:val="105"/>
        </w:rPr>
        <w:t>del</w:t>
      </w:r>
      <w:r>
        <w:rPr>
          <w:color w:val="231F20"/>
          <w:spacing w:val="-12"/>
          <w:w w:val="105"/>
        </w:rPr>
        <w:t> </w:t>
      </w:r>
      <w:r>
        <w:rPr>
          <w:color w:val="231F20"/>
          <w:w w:val="105"/>
        </w:rPr>
        <w:t>presidente</w:t>
      </w:r>
      <w:r>
        <w:rPr>
          <w:color w:val="231F20"/>
          <w:spacing w:val="-12"/>
          <w:w w:val="105"/>
        </w:rPr>
        <w:t> </w:t>
      </w:r>
      <w:r>
        <w:rPr>
          <w:color w:val="231F20"/>
          <w:w w:val="105"/>
        </w:rPr>
        <w:t>municipal,</w:t>
      </w:r>
      <w:r>
        <w:rPr>
          <w:color w:val="231F20"/>
          <w:spacing w:val="-12"/>
          <w:w w:val="105"/>
        </w:rPr>
        <w:t> </w:t>
      </w:r>
      <w:r>
        <w:rPr>
          <w:color w:val="231F20"/>
          <w:w w:val="105"/>
        </w:rPr>
        <w:t>quien</w:t>
      </w:r>
      <w:r>
        <w:rPr>
          <w:color w:val="231F20"/>
          <w:spacing w:val="-12"/>
          <w:w w:val="105"/>
        </w:rPr>
        <w:t> </w:t>
      </w:r>
      <w:r>
        <w:rPr>
          <w:color w:val="231F20"/>
          <w:w w:val="105"/>
        </w:rPr>
        <w:t>tiene</w:t>
      </w:r>
      <w:r>
        <w:rPr>
          <w:color w:val="231F20"/>
          <w:spacing w:val="-12"/>
          <w:w w:val="105"/>
        </w:rPr>
        <w:t> </w:t>
      </w:r>
      <w:r>
        <w:rPr>
          <w:color w:val="231F20"/>
          <w:w w:val="105"/>
        </w:rPr>
        <w:t>el</w:t>
      </w:r>
      <w:r>
        <w:rPr>
          <w:color w:val="231F20"/>
          <w:spacing w:val="-12"/>
          <w:w w:val="105"/>
        </w:rPr>
        <w:t> </w:t>
      </w:r>
      <w:r>
        <w:rPr>
          <w:color w:val="231F20"/>
          <w:w w:val="105"/>
        </w:rPr>
        <w:t>papel</w:t>
      </w:r>
      <w:r>
        <w:rPr>
          <w:color w:val="231F20"/>
          <w:spacing w:val="-12"/>
          <w:w w:val="105"/>
        </w:rPr>
        <w:t> </w:t>
      </w:r>
      <w:r>
        <w:rPr>
          <w:color w:val="231F20"/>
          <w:w w:val="105"/>
        </w:rPr>
        <w:t>ejecutivo</w:t>
      </w:r>
      <w:r>
        <w:rPr>
          <w:color w:val="231F20"/>
          <w:spacing w:val="-12"/>
          <w:w w:val="105"/>
        </w:rPr>
        <w:t> </w:t>
      </w:r>
      <w:r>
        <w:rPr>
          <w:color w:val="231F20"/>
          <w:w w:val="105"/>
        </w:rPr>
        <w:t>en el ayuntamiento. Como lo constatan Gustavo Martínez y Cyntia López con el PRI en Huixquilucan</w:t>
      </w:r>
      <w:r>
        <w:rPr>
          <w:color w:val="231F20"/>
          <w:spacing w:val="-8"/>
          <w:w w:val="105"/>
        </w:rPr>
        <w:t> </w:t>
      </w:r>
      <w:r>
        <w:rPr>
          <w:color w:val="231F20"/>
          <w:w w:val="105"/>
        </w:rPr>
        <w:t>e</w:t>
      </w:r>
      <w:r>
        <w:rPr>
          <w:color w:val="231F20"/>
          <w:spacing w:val="-8"/>
          <w:w w:val="105"/>
        </w:rPr>
        <w:t> </w:t>
      </w:r>
      <w:r>
        <w:rPr>
          <w:color w:val="231F20"/>
          <w:w w:val="105"/>
        </w:rPr>
        <w:t>Ixtapan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Sal,</w:t>
      </w:r>
      <w:r>
        <w:rPr>
          <w:color w:val="231F20"/>
          <w:spacing w:val="-8"/>
          <w:w w:val="105"/>
        </w:rPr>
        <w:t> </w:t>
      </w:r>
      <w:r>
        <w:rPr>
          <w:color w:val="231F20"/>
          <w:w w:val="105"/>
        </w:rPr>
        <w:t>respectivamente;</w:t>
      </w:r>
      <w:r>
        <w:rPr>
          <w:color w:val="231F20"/>
          <w:spacing w:val="-8"/>
          <w:w w:val="105"/>
        </w:rPr>
        <w:t> </w:t>
      </w:r>
      <w:r>
        <w:rPr>
          <w:color w:val="231F20"/>
          <w:w w:val="105"/>
        </w:rPr>
        <w:t>Miguel</w:t>
      </w:r>
      <w:r>
        <w:rPr>
          <w:color w:val="231F20"/>
          <w:spacing w:val="-8"/>
          <w:w w:val="105"/>
        </w:rPr>
        <w:t> </w:t>
      </w:r>
      <w:r>
        <w:rPr>
          <w:color w:val="231F20"/>
          <w:w w:val="105"/>
        </w:rPr>
        <w:t>Ángel</w:t>
      </w:r>
      <w:r>
        <w:rPr>
          <w:color w:val="231F20"/>
          <w:spacing w:val="-8"/>
          <w:w w:val="105"/>
        </w:rPr>
        <w:t> </w:t>
      </w:r>
      <w:r>
        <w:rPr>
          <w:color w:val="231F20"/>
          <w:w w:val="105"/>
        </w:rPr>
        <w:t>Sánchez</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PRD en</w:t>
      </w:r>
      <w:r>
        <w:rPr>
          <w:color w:val="231F20"/>
          <w:spacing w:val="-13"/>
          <w:w w:val="105"/>
        </w:rPr>
        <w:t> </w:t>
      </w:r>
      <w:r>
        <w:rPr>
          <w:color w:val="231F20"/>
          <w:w w:val="105"/>
        </w:rPr>
        <w:t>Amecameca</w:t>
      </w:r>
      <w:r>
        <w:rPr>
          <w:color w:val="231F20"/>
          <w:spacing w:val="-13"/>
          <w:w w:val="105"/>
        </w:rPr>
        <w:t> </w:t>
      </w:r>
      <w:r>
        <w:rPr>
          <w:color w:val="231F20"/>
          <w:w w:val="105"/>
        </w:rPr>
        <w:t>y</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3"/>
          <w:w w:val="105"/>
        </w:rPr>
        <w:t> </w:t>
      </w:r>
      <w:r>
        <w:rPr>
          <w:color w:val="231F20"/>
          <w:spacing w:val="-4"/>
          <w:w w:val="105"/>
        </w:rPr>
        <w:t>PAN</w:t>
      </w:r>
      <w:r>
        <w:rPr>
          <w:color w:val="231F20"/>
          <w:spacing w:val="-13"/>
          <w:w w:val="105"/>
        </w:rPr>
        <w:t> </w:t>
      </w:r>
      <w:r>
        <w:rPr>
          <w:color w:val="231F20"/>
          <w:w w:val="105"/>
        </w:rPr>
        <w:t>en</w:t>
      </w:r>
      <w:r>
        <w:rPr>
          <w:color w:val="231F20"/>
          <w:spacing w:val="-12"/>
          <w:w w:val="105"/>
        </w:rPr>
        <w:t> </w:t>
      </w:r>
      <w:r>
        <w:rPr>
          <w:color w:val="231F20"/>
          <w:w w:val="105"/>
        </w:rPr>
        <w:t>Atlautla,</w:t>
      </w:r>
      <w:r>
        <w:rPr>
          <w:color w:val="231F20"/>
          <w:spacing w:val="-13"/>
          <w:w w:val="105"/>
        </w:rPr>
        <w:t> </w:t>
      </w:r>
      <w:r>
        <w:rPr>
          <w:color w:val="231F20"/>
          <w:w w:val="105"/>
        </w:rPr>
        <w:t>no</w:t>
      </w:r>
      <w:r>
        <w:rPr>
          <w:color w:val="231F20"/>
          <w:spacing w:val="-12"/>
          <w:w w:val="105"/>
        </w:rPr>
        <w:t> </w:t>
      </w:r>
      <w:r>
        <w:rPr>
          <w:color w:val="231F20"/>
          <w:w w:val="105"/>
        </w:rPr>
        <w:t>importa</w:t>
      </w:r>
      <w:r>
        <w:rPr>
          <w:color w:val="231F20"/>
          <w:spacing w:val="-12"/>
          <w:w w:val="105"/>
        </w:rPr>
        <w:t> </w:t>
      </w:r>
      <w:r>
        <w:rPr>
          <w:color w:val="231F20"/>
          <w:w w:val="105"/>
        </w:rPr>
        <w:t>cuál</w:t>
      </w:r>
      <w:r>
        <w:rPr>
          <w:color w:val="231F20"/>
          <w:spacing w:val="-12"/>
          <w:w w:val="105"/>
        </w:rPr>
        <w:t> </w:t>
      </w:r>
      <w:r>
        <w:rPr>
          <w:color w:val="231F20"/>
          <w:w w:val="105"/>
        </w:rPr>
        <w:t>partido</w:t>
      </w:r>
      <w:r>
        <w:rPr>
          <w:color w:val="231F20"/>
          <w:spacing w:val="-12"/>
          <w:w w:val="105"/>
        </w:rPr>
        <w:t> </w:t>
      </w:r>
      <w:r>
        <w:rPr>
          <w:color w:val="231F20"/>
          <w:w w:val="105"/>
        </w:rPr>
        <w:t>sea</w:t>
      </w:r>
      <w:r>
        <w:rPr>
          <w:color w:val="231F20"/>
          <w:spacing w:val="-12"/>
          <w:w w:val="105"/>
        </w:rPr>
        <w:t> </w:t>
      </w:r>
      <w:r>
        <w:rPr>
          <w:color w:val="231F20"/>
          <w:w w:val="105"/>
        </w:rPr>
        <w:t>titular</w:t>
      </w:r>
      <w:r>
        <w:rPr>
          <w:color w:val="231F20"/>
          <w:spacing w:val="-12"/>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alcal- día,</w:t>
      </w:r>
      <w:r>
        <w:rPr>
          <w:color w:val="231F20"/>
          <w:spacing w:val="-15"/>
          <w:w w:val="105"/>
        </w:rPr>
        <w:t> </w:t>
      </w:r>
      <w:r>
        <w:rPr>
          <w:color w:val="231F20"/>
          <w:w w:val="105"/>
        </w:rPr>
        <w:t>la</w:t>
      </w:r>
      <w:r>
        <w:rPr>
          <w:color w:val="231F20"/>
          <w:spacing w:val="-15"/>
          <w:w w:val="105"/>
        </w:rPr>
        <w:t> </w:t>
      </w:r>
      <w:r>
        <w:rPr>
          <w:color w:val="231F20"/>
          <w:w w:val="105"/>
        </w:rPr>
        <w:t>toma</w:t>
      </w:r>
      <w:r>
        <w:rPr>
          <w:color w:val="231F20"/>
          <w:spacing w:val="-15"/>
          <w:w w:val="105"/>
        </w:rPr>
        <w:t> </w:t>
      </w:r>
      <w:r>
        <w:rPr>
          <w:color w:val="231F20"/>
          <w:w w:val="105"/>
        </w:rPr>
        <w:t>de</w:t>
      </w:r>
      <w:r>
        <w:rPr>
          <w:color w:val="231F20"/>
          <w:spacing w:val="-15"/>
          <w:w w:val="105"/>
        </w:rPr>
        <w:t> </w:t>
      </w:r>
      <w:r>
        <w:rPr>
          <w:color w:val="231F20"/>
          <w:w w:val="105"/>
        </w:rPr>
        <w:t>decisiones</w:t>
      </w:r>
      <w:r>
        <w:rPr>
          <w:color w:val="231F20"/>
          <w:spacing w:val="-15"/>
          <w:w w:val="105"/>
        </w:rPr>
        <w:t> </w:t>
      </w:r>
      <w:r>
        <w:rPr>
          <w:color w:val="231F20"/>
          <w:w w:val="105"/>
        </w:rPr>
        <w:t>recae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Esto</w:t>
      </w:r>
      <w:r>
        <w:rPr>
          <w:color w:val="231F20"/>
          <w:spacing w:val="-21"/>
          <w:w w:val="105"/>
        </w:rPr>
        <w:t> </w:t>
      </w:r>
      <w:r>
        <w:rPr>
          <w:color w:val="231F20"/>
          <w:w w:val="105"/>
        </w:rPr>
        <w:t>se</w:t>
      </w:r>
      <w:r>
        <w:rPr>
          <w:color w:val="231F20"/>
          <w:spacing w:val="-21"/>
          <w:w w:val="105"/>
        </w:rPr>
        <w:t> </w:t>
      </w:r>
      <w:r>
        <w:rPr>
          <w:color w:val="231F20"/>
          <w:w w:val="105"/>
        </w:rPr>
        <w:t>deriva</w:t>
      </w:r>
      <w:r>
        <w:rPr>
          <w:color w:val="231F20"/>
          <w:spacing w:val="-21"/>
          <w:w w:val="105"/>
        </w:rPr>
        <w:t> </w:t>
      </w:r>
      <w:r>
        <w:rPr>
          <w:color w:val="231F20"/>
          <w:w w:val="105"/>
        </w:rPr>
        <w:t>de</w:t>
      </w:r>
      <w:r>
        <w:rPr>
          <w:color w:val="231F20"/>
          <w:spacing w:val="-21"/>
          <w:w w:val="105"/>
        </w:rPr>
        <w:t> </w:t>
      </w:r>
      <w:r>
        <w:rPr>
          <w:color w:val="231F20"/>
          <w:w w:val="105"/>
        </w:rPr>
        <w:t>varios</w:t>
      </w:r>
      <w:r>
        <w:rPr>
          <w:color w:val="231F20"/>
          <w:spacing w:val="-21"/>
          <w:w w:val="105"/>
        </w:rPr>
        <w:t> </w:t>
      </w:r>
      <w:r>
        <w:rPr>
          <w:color w:val="231F20"/>
          <w:w w:val="105"/>
        </w:rPr>
        <w:t>factores</w:t>
      </w:r>
      <w:r>
        <w:rPr>
          <w:color w:val="231F20"/>
          <w:spacing w:val="-21"/>
          <w:w w:val="105"/>
        </w:rPr>
        <w:t> </w:t>
      </w:r>
      <w:r>
        <w:rPr>
          <w:color w:val="231F20"/>
          <w:w w:val="105"/>
        </w:rPr>
        <w:t>formales</w:t>
      </w:r>
      <w:r>
        <w:rPr>
          <w:color w:val="231F20"/>
          <w:spacing w:val="-21"/>
          <w:w w:val="105"/>
        </w:rPr>
        <w:t> </w:t>
      </w:r>
      <w:r>
        <w:rPr>
          <w:color w:val="231F20"/>
          <w:w w:val="105"/>
        </w:rPr>
        <w:t>e</w:t>
      </w:r>
      <w:r>
        <w:rPr>
          <w:color w:val="231F20"/>
          <w:spacing w:val="-21"/>
          <w:w w:val="105"/>
        </w:rPr>
        <w:t> </w:t>
      </w:r>
      <w:r>
        <w:rPr>
          <w:color w:val="231F20"/>
          <w:w w:val="105"/>
        </w:rPr>
        <w:t>informales.</w:t>
      </w:r>
      <w:r>
        <w:rPr>
          <w:color w:val="231F20"/>
          <w:spacing w:val="-21"/>
          <w:w w:val="105"/>
        </w:rPr>
        <w:t> </w:t>
      </w:r>
      <w:r>
        <w:rPr>
          <w:color w:val="231F20"/>
          <w:w w:val="105"/>
        </w:rPr>
        <w:t>En</w:t>
      </w:r>
      <w:r>
        <w:rPr>
          <w:color w:val="231F20"/>
          <w:spacing w:val="-21"/>
          <w:w w:val="105"/>
        </w:rPr>
        <w:t> </w:t>
      </w:r>
      <w:r>
        <w:rPr>
          <w:color w:val="231F20"/>
          <w:w w:val="105"/>
        </w:rPr>
        <w:t>primer</w:t>
      </w:r>
      <w:r>
        <w:rPr>
          <w:color w:val="231F20"/>
          <w:spacing w:val="-21"/>
          <w:w w:val="105"/>
        </w:rPr>
        <w:t> </w:t>
      </w:r>
      <w:r>
        <w:rPr>
          <w:color w:val="231F20"/>
          <w:spacing w:val="-3"/>
          <w:w w:val="105"/>
        </w:rPr>
        <w:t>lugar,</w:t>
      </w:r>
      <w:r>
        <w:rPr>
          <w:color w:val="231F20"/>
          <w:spacing w:val="-21"/>
          <w:w w:val="105"/>
        </w:rPr>
        <w:t> </w:t>
      </w:r>
      <w:r>
        <w:rPr>
          <w:color w:val="231F20"/>
          <w:w w:val="105"/>
        </w:rPr>
        <w:t>las</w:t>
      </w:r>
      <w:r>
        <w:rPr>
          <w:color w:val="231F20"/>
          <w:spacing w:val="-21"/>
          <w:w w:val="105"/>
        </w:rPr>
        <w:t> </w:t>
      </w:r>
      <w:r>
        <w:rPr>
          <w:color w:val="231F20"/>
          <w:w w:val="105"/>
        </w:rPr>
        <w:t>atribuciones legales</w:t>
      </w:r>
      <w:r>
        <w:rPr>
          <w:color w:val="231F20"/>
          <w:spacing w:val="-9"/>
          <w:w w:val="105"/>
        </w:rPr>
        <w:t> </w:t>
      </w:r>
      <w:r>
        <w:rPr>
          <w:color w:val="231F20"/>
          <w:w w:val="105"/>
        </w:rPr>
        <w:t>del</w:t>
      </w:r>
      <w:r>
        <w:rPr>
          <w:color w:val="231F20"/>
          <w:spacing w:val="-9"/>
          <w:w w:val="105"/>
        </w:rPr>
        <w:t> </w:t>
      </w:r>
      <w:r>
        <w:rPr>
          <w:color w:val="231F20"/>
          <w:w w:val="105"/>
        </w:rPr>
        <w:t>presidente</w:t>
      </w:r>
      <w:r>
        <w:rPr>
          <w:color w:val="231F20"/>
          <w:spacing w:val="-9"/>
          <w:w w:val="105"/>
        </w:rPr>
        <w:t> </w:t>
      </w:r>
      <w:r>
        <w:rPr>
          <w:color w:val="231F20"/>
          <w:w w:val="105"/>
        </w:rPr>
        <w:t>que,</w:t>
      </w:r>
      <w:r>
        <w:rPr>
          <w:color w:val="231F20"/>
          <w:spacing w:val="-9"/>
          <w:w w:val="105"/>
        </w:rPr>
        <w:t> </w:t>
      </w:r>
      <w:r>
        <w:rPr>
          <w:color w:val="231F20"/>
          <w:w w:val="105"/>
        </w:rPr>
        <w:t>obviamente</w:t>
      </w:r>
      <w:r>
        <w:rPr>
          <w:color w:val="231F20"/>
          <w:spacing w:val="-9"/>
          <w:w w:val="105"/>
        </w:rPr>
        <w:t> </w:t>
      </w:r>
      <w:r>
        <w:rPr>
          <w:color w:val="231F20"/>
          <w:w w:val="105"/>
        </w:rPr>
        <w:t>le</w:t>
      </w:r>
      <w:r>
        <w:rPr>
          <w:color w:val="231F20"/>
          <w:spacing w:val="-9"/>
          <w:w w:val="105"/>
        </w:rPr>
        <w:t> </w:t>
      </w:r>
      <w:r>
        <w:rPr>
          <w:color w:val="231F20"/>
          <w:w w:val="105"/>
        </w:rPr>
        <w:t>conceden</w:t>
      </w:r>
      <w:r>
        <w:rPr>
          <w:color w:val="231F20"/>
          <w:spacing w:val="-9"/>
          <w:w w:val="105"/>
        </w:rPr>
        <w:t> </w:t>
      </w:r>
      <w:r>
        <w:rPr>
          <w:color w:val="231F20"/>
          <w:w w:val="105"/>
        </w:rPr>
        <w:t>un</w:t>
      </w:r>
      <w:r>
        <w:rPr>
          <w:color w:val="231F20"/>
          <w:spacing w:val="-9"/>
          <w:w w:val="105"/>
        </w:rPr>
        <w:t> </w:t>
      </w:r>
      <w:r>
        <w:rPr>
          <w:color w:val="231F20"/>
          <w:w w:val="105"/>
        </w:rPr>
        <w:t>papel</w:t>
      </w:r>
      <w:r>
        <w:rPr>
          <w:color w:val="231F20"/>
          <w:spacing w:val="-9"/>
          <w:w w:val="105"/>
        </w:rPr>
        <w:t> </w:t>
      </w:r>
      <w:r>
        <w:rPr>
          <w:color w:val="231F20"/>
          <w:w w:val="105"/>
        </w:rPr>
        <w:t>indiscutible</w:t>
      </w:r>
      <w:r>
        <w:rPr>
          <w:color w:val="231F20"/>
          <w:spacing w:val="-9"/>
          <w:w w:val="105"/>
        </w:rPr>
        <w:t> </w:t>
      </w:r>
      <w:r>
        <w:rPr>
          <w:color w:val="231F20"/>
          <w:w w:val="105"/>
        </w:rPr>
        <w:t>para</w:t>
      </w:r>
      <w:r>
        <w:rPr>
          <w:color w:val="231F20"/>
          <w:spacing w:val="-9"/>
          <w:w w:val="105"/>
        </w:rPr>
        <w:t> </w:t>
      </w:r>
      <w:r>
        <w:rPr>
          <w:color w:val="231F20"/>
          <w:w w:val="105"/>
        </w:rPr>
        <w:t>asegurar la</w:t>
      </w:r>
      <w:r>
        <w:rPr>
          <w:color w:val="231F20"/>
          <w:spacing w:val="-25"/>
          <w:w w:val="105"/>
        </w:rPr>
        <w:t> </w:t>
      </w:r>
      <w:r>
        <w:rPr>
          <w:color w:val="231F20"/>
          <w:w w:val="105"/>
        </w:rPr>
        <w:t>eficacia</w:t>
      </w:r>
      <w:r>
        <w:rPr>
          <w:color w:val="231F20"/>
          <w:spacing w:val="-25"/>
          <w:w w:val="105"/>
        </w:rPr>
        <w:t> </w:t>
      </w:r>
      <w:r>
        <w:rPr>
          <w:color w:val="231F20"/>
          <w:w w:val="105"/>
        </w:rPr>
        <w:t>gubernamental,</w:t>
      </w:r>
      <w:r>
        <w:rPr>
          <w:color w:val="231F20"/>
          <w:spacing w:val="-25"/>
          <w:w w:val="105"/>
        </w:rPr>
        <w:t> </w:t>
      </w:r>
      <w:r>
        <w:rPr>
          <w:color w:val="231F20"/>
          <w:w w:val="105"/>
        </w:rPr>
        <w:t>responsabilizándolo</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planeación</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ejecución</w:t>
      </w:r>
      <w:r>
        <w:rPr>
          <w:color w:val="231F20"/>
          <w:spacing w:val="-25"/>
          <w:w w:val="105"/>
        </w:rPr>
        <w:t> </w:t>
      </w:r>
      <w:r>
        <w:rPr>
          <w:color w:val="231F20"/>
          <w:w w:val="105"/>
        </w:rPr>
        <w:t>de</w:t>
      </w:r>
      <w:r>
        <w:rPr>
          <w:color w:val="231F20"/>
          <w:spacing w:val="-25"/>
          <w:w w:val="105"/>
        </w:rPr>
        <w:t> </w:t>
      </w:r>
      <w:r>
        <w:rPr>
          <w:color w:val="231F20"/>
          <w:w w:val="105"/>
        </w:rPr>
        <w:t>pla- nes</w:t>
      </w:r>
      <w:r>
        <w:rPr>
          <w:color w:val="231F20"/>
          <w:spacing w:val="-20"/>
          <w:w w:val="105"/>
        </w:rPr>
        <w:t> </w:t>
      </w:r>
      <w:r>
        <w:rPr>
          <w:color w:val="231F20"/>
          <w:w w:val="105"/>
        </w:rPr>
        <w:t>y</w:t>
      </w:r>
      <w:r>
        <w:rPr>
          <w:color w:val="231F20"/>
          <w:spacing w:val="-20"/>
          <w:w w:val="105"/>
        </w:rPr>
        <w:t> </w:t>
      </w:r>
      <w:r>
        <w:rPr>
          <w:color w:val="231F20"/>
          <w:w w:val="105"/>
        </w:rPr>
        <w:t>programas</w:t>
      </w:r>
      <w:r>
        <w:rPr>
          <w:color w:val="231F20"/>
          <w:spacing w:val="-20"/>
          <w:w w:val="105"/>
        </w:rPr>
        <w:t> </w:t>
      </w:r>
      <w:r>
        <w:rPr>
          <w:color w:val="231F20"/>
          <w:w w:val="105"/>
        </w:rPr>
        <w:t>de</w:t>
      </w:r>
      <w:r>
        <w:rPr>
          <w:color w:val="231F20"/>
          <w:spacing w:val="-20"/>
          <w:w w:val="105"/>
        </w:rPr>
        <w:t> </w:t>
      </w:r>
      <w:r>
        <w:rPr>
          <w:color w:val="231F20"/>
          <w:w w:val="105"/>
        </w:rPr>
        <w:t>gobierno;</w:t>
      </w:r>
      <w:r>
        <w:rPr>
          <w:color w:val="231F20"/>
          <w:spacing w:val="-20"/>
          <w:w w:val="105"/>
        </w:rPr>
        <w:t> </w:t>
      </w:r>
      <w:r>
        <w:rPr>
          <w:color w:val="231F20"/>
          <w:w w:val="105"/>
        </w:rPr>
        <w:t>en</w:t>
      </w:r>
      <w:r>
        <w:rPr>
          <w:color w:val="231F20"/>
          <w:spacing w:val="-20"/>
          <w:w w:val="105"/>
        </w:rPr>
        <w:t> </w:t>
      </w:r>
      <w:r>
        <w:rPr>
          <w:color w:val="231F20"/>
          <w:w w:val="105"/>
        </w:rPr>
        <w:t>segundo,</w:t>
      </w:r>
      <w:r>
        <w:rPr>
          <w:color w:val="231F20"/>
          <w:spacing w:val="-20"/>
          <w:w w:val="105"/>
        </w:rPr>
        <w:t> </w:t>
      </w:r>
      <w:r>
        <w:rPr>
          <w:color w:val="231F20"/>
          <w:w w:val="105"/>
        </w:rPr>
        <w:t>el</w:t>
      </w:r>
      <w:r>
        <w:rPr>
          <w:color w:val="231F20"/>
          <w:spacing w:val="-20"/>
          <w:w w:val="105"/>
        </w:rPr>
        <w:t> </w:t>
      </w:r>
      <w:r>
        <w:rPr>
          <w:color w:val="231F20"/>
          <w:w w:val="105"/>
        </w:rPr>
        <w:t>sistema</w:t>
      </w:r>
      <w:r>
        <w:rPr>
          <w:color w:val="231F20"/>
          <w:spacing w:val="-20"/>
          <w:w w:val="105"/>
        </w:rPr>
        <w:t> </w:t>
      </w:r>
      <w:r>
        <w:rPr>
          <w:color w:val="231F20"/>
          <w:w w:val="105"/>
        </w:rPr>
        <w:t>electoral</w:t>
      </w:r>
      <w:r>
        <w:rPr>
          <w:color w:val="231F20"/>
          <w:spacing w:val="-20"/>
          <w:w w:val="105"/>
        </w:rPr>
        <w:t> </w:t>
      </w:r>
      <w:r>
        <w:rPr>
          <w:color w:val="231F20"/>
          <w:w w:val="105"/>
        </w:rPr>
        <w:t>de</w:t>
      </w:r>
      <w:r>
        <w:rPr>
          <w:color w:val="231F20"/>
          <w:spacing w:val="-20"/>
          <w:w w:val="105"/>
        </w:rPr>
        <w:t> </w:t>
      </w:r>
      <w:r>
        <w:rPr>
          <w:color w:val="231F20"/>
          <w:w w:val="105"/>
        </w:rPr>
        <w:t>mayoría,</w:t>
      </w:r>
      <w:r>
        <w:rPr>
          <w:color w:val="231F20"/>
          <w:spacing w:val="-20"/>
          <w:w w:val="105"/>
        </w:rPr>
        <w:t> </w:t>
      </w:r>
      <w:r>
        <w:rPr>
          <w:color w:val="231F20"/>
          <w:w w:val="105"/>
        </w:rPr>
        <w:t>que</w:t>
      </w:r>
      <w:r>
        <w:rPr>
          <w:color w:val="231F20"/>
          <w:spacing w:val="-20"/>
          <w:w w:val="105"/>
        </w:rPr>
        <w:t> </w:t>
      </w:r>
      <w:r>
        <w:rPr>
          <w:color w:val="231F20"/>
          <w:w w:val="105"/>
        </w:rPr>
        <w:t>garantiza el</w:t>
      </w:r>
      <w:r>
        <w:rPr>
          <w:color w:val="231F20"/>
          <w:spacing w:val="-5"/>
          <w:w w:val="105"/>
        </w:rPr>
        <w:t> </w:t>
      </w:r>
      <w:r>
        <w:rPr>
          <w:color w:val="231F20"/>
          <w:w w:val="105"/>
        </w:rPr>
        <w:t>predominio</w:t>
      </w:r>
      <w:r>
        <w:rPr>
          <w:color w:val="231F20"/>
          <w:spacing w:val="-5"/>
          <w:w w:val="105"/>
        </w:rPr>
        <w:t> </w:t>
      </w:r>
      <w:r>
        <w:rPr>
          <w:color w:val="231F20"/>
          <w:w w:val="105"/>
        </w:rPr>
        <w:t>del</w:t>
      </w:r>
      <w:r>
        <w:rPr>
          <w:color w:val="231F20"/>
          <w:spacing w:val="-5"/>
          <w:w w:val="105"/>
        </w:rPr>
        <w:t> </w:t>
      </w:r>
      <w:r>
        <w:rPr>
          <w:color w:val="231F20"/>
          <w:w w:val="105"/>
        </w:rPr>
        <w:t>partido</w:t>
      </w:r>
      <w:r>
        <w:rPr>
          <w:color w:val="231F20"/>
          <w:spacing w:val="-5"/>
          <w:w w:val="105"/>
        </w:rPr>
        <w:t> </w:t>
      </w:r>
      <w:r>
        <w:rPr>
          <w:color w:val="231F20"/>
          <w:w w:val="105"/>
        </w:rPr>
        <w:t>ganador</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elecciones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integración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administra- ción</w:t>
      </w:r>
      <w:r>
        <w:rPr>
          <w:color w:val="231F20"/>
          <w:spacing w:val="-14"/>
          <w:w w:val="105"/>
        </w:rPr>
        <w:t> </w:t>
      </w:r>
      <w:r>
        <w:rPr>
          <w:color w:val="231F20"/>
          <w:w w:val="105"/>
        </w:rPr>
        <w:t>municipal</w:t>
      </w:r>
      <w:r>
        <w:rPr>
          <w:color w:val="231F20"/>
          <w:spacing w:val="-14"/>
          <w:w w:val="105"/>
        </w:rPr>
        <w:t> </w:t>
      </w:r>
      <w:r>
        <w:rPr>
          <w:color w:val="231F20"/>
          <w:w w:val="105"/>
        </w:rPr>
        <w:t>y</w:t>
      </w:r>
      <w:r>
        <w:rPr>
          <w:color w:val="231F20"/>
          <w:spacing w:val="-14"/>
          <w:w w:val="105"/>
        </w:rPr>
        <w:t> </w:t>
      </w:r>
      <w:r>
        <w:rPr>
          <w:color w:val="231F20"/>
          <w:w w:val="105"/>
        </w:rPr>
        <w:t>del</w:t>
      </w:r>
      <w:r>
        <w:rPr>
          <w:color w:val="231F20"/>
          <w:spacing w:val="-14"/>
          <w:w w:val="105"/>
        </w:rPr>
        <w:t> </w:t>
      </w:r>
      <w:r>
        <w:rPr>
          <w:color w:val="231F20"/>
          <w:w w:val="105"/>
        </w:rPr>
        <w:t>cabildo;</w:t>
      </w:r>
      <w:r>
        <w:rPr>
          <w:color w:val="231F20"/>
          <w:spacing w:val="-14"/>
          <w:w w:val="105"/>
        </w:rPr>
        <w:t> </w:t>
      </w:r>
      <w:r>
        <w:rPr>
          <w:color w:val="231F20"/>
          <w:w w:val="105"/>
        </w:rPr>
        <w:t>en</w:t>
      </w:r>
      <w:r>
        <w:rPr>
          <w:color w:val="231F20"/>
          <w:spacing w:val="-14"/>
          <w:w w:val="105"/>
        </w:rPr>
        <w:t> </w:t>
      </w:r>
      <w:r>
        <w:rPr>
          <w:color w:val="231F20"/>
          <w:w w:val="105"/>
        </w:rPr>
        <w:t>tercer</w:t>
      </w:r>
      <w:r>
        <w:rPr>
          <w:color w:val="231F20"/>
          <w:spacing w:val="-14"/>
          <w:w w:val="105"/>
        </w:rPr>
        <w:t> </w:t>
      </w:r>
      <w:r>
        <w:rPr>
          <w:color w:val="231F20"/>
          <w:spacing w:val="-3"/>
          <w:w w:val="105"/>
        </w:rPr>
        <w:t>lugar,</w:t>
      </w:r>
      <w:r>
        <w:rPr>
          <w:color w:val="231F20"/>
          <w:spacing w:val="-14"/>
          <w:w w:val="105"/>
        </w:rPr>
        <w:t> </w:t>
      </w:r>
      <w:r>
        <w:rPr>
          <w:color w:val="231F20"/>
          <w:w w:val="105"/>
        </w:rPr>
        <w:t>la</w:t>
      </w:r>
      <w:r>
        <w:rPr>
          <w:color w:val="231F20"/>
          <w:spacing w:val="-14"/>
          <w:w w:val="105"/>
        </w:rPr>
        <w:t> </w:t>
      </w:r>
      <w:r>
        <w:rPr>
          <w:color w:val="231F20"/>
          <w:w w:val="105"/>
        </w:rPr>
        <w:t>concentración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información</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su manejo por parte del presidente municipal, colocándose por encima del conocimiento de</w:t>
      </w:r>
      <w:r>
        <w:rPr>
          <w:color w:val="231F20"/>
          <w:spacing w:val="-11"/>
          <w:w w:val="105"/>
        </w:rPr>
        <w:t> </w:t>
      </w:r>
      <w:r>
        <w:rPr>
          <w:color w:val="231F20"/>
          <w:w w:val="105"/>
        </w:rPr>
        <w:t>síndicos</w:t>
      </w:r>
      <w:r>
        <w:rPr>
          <w:color w:val="231F20"/>
          <w:spacing w:val="-11"/>
          <w:w w:val="105"/>
        </w:rPr>
        <w:t> </w:t>
      </w:r>
      <w:r>
        <w:rPr>
          <w:color w:val="231F20"/>
          <w:w w:val="105"/>
        </w:rPr>
        <w:t>y</w:t>
      </w:r>
      <w:r>
        <w:rPr>
          <w:color w:val="231F20"/>
          <w:spacing w:val="-11"/>
          <w:w w:val="105"/>
        </w:rPr>
        <w:t> </w:t>
      </w:r>
      <w:r>
        <w:rPr>
          <w:color w:val="231F20"/>
          <w:w w:val="105"/>
        </w:rPr>
        <w:t>regidores</w:t>
      </w:r>
      <w:r>
        <w:rPr>
          <w:color w:val="231F20"/>
          <w:spacing w:val="-11"/>
          <w:w w:val="105"/>
        </w:rPr>
        <w:t> </w:t>
      </w:r>
      <w:r>
        <w:rPr>
          <w:color w:val="231F20"/>
          <w:w w:val="105"/>
        </w:rPr>
        <w:t>y</w:t>
      </w:r>
      <w:r>
        <w:rPr>
          <w:color w:val="231F20"/>
          <w:spacing w:val="-11"/>
          <w:w w:val="105"/>
        </w:rPr>
        <w:t> </w:t>
      </w:r>
      <w:r>
        <w:rPr>
          <w:color w:val="231F20"/>
          <w:w w:val="105"/>
        </w:rPr>
        <w:t>dosificando</w:t>
      </w:r>
      <w:r>
        <w:rPr>
          <w:color w:val="231F20"/>
          <w:spacing w:val="-11"/>
          <w:w w:val="105"/>
        </w:rPr>
        <w:t> </w:t>
      </w:r>
      <w:r>
        <w:rPr>
          <w:color w:val="231F20"/>
          <w:w w:val="105"/>
        </w:rPr>
        <w:t>el</w:t>
      </w:r>
      <w:r>
        <w:rPr>
          <w:color w:val="231F20"/>
          <w:spacing w:val="-11"/>
          <w:w w:val="105"/>
        </w:rPr>
        <w:t> </w:t>
      </w:r>
      <w:r>
        <w:rPr>
          <w:color w:val="231F20"/>
          <w:w w:val="105"/>
        </w:rPr>
        <w:t>acceso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información</w:t>
      </w:r>
      <w:r>
        <w:rPr>
          <w:color w:val="231F20"/>
          <w:spacing w:val="-11"/>
          <w:w w:val="105"/>
        </w:rPr>
        <w:t> </w:t>
      </w:r>
      <w:r>
        <w:rPr>
          <w:color w:val="231F20"/>
          <w:w w:val="105"/>
        </w:rPr>
        <w:t>para</w:t>
      </w:r>
      <w:r>
        <w:rPr>
          <w:color w:val="231F20"/>
          <w:spacing w:val="-11"/>
          <w:w w:val="105"/>
        </w:rPr>
        <w:t> </w:t>
      </w:r>
      <w:r>
        <w:rPr>
          <w:color w:val="231F20"/>
          <w:w w:val="105"/>
        </w:rPr>
        <w:t>los</w:t>
      </w:r>
      <w:r>
        <w:rPr>
          <w:color w:val="231F20"/>
          <w:spacing w:val="-11"/>
          <w:w w:val="105"/>
        </w:rPr>
        <w:t> </w:t>
      </w:r>
      <w:r>
        <w:rPr>
          <w:color w:val="231F20"/>
          <w:w w:val="105"/>
        </w:rPr>
        <w:t>interesados</w:t>
      </w:r>
      <w:r>
        <w:rPr>
          <w:color w:val="231F20"/>
          <w:spacing w:val="-11"/>
          <w:w w:val="105"/>
        </w:rPr>
        <w:t> </w:t>
      </w:r>
      <w:r>
        <w:rPr>
          <w:color w:val="231F20"/>
          <w:w w:val="105"/>
        </w:rPr>
        <w:t>en general; en cuarto, las redes de poder centralizadas por el presidente municipal, quien tiene</w:t>
      </w:r>
      <w:r>
        <w:rPr>
          <w:color w:val="231F20"/>
          <w:spacing w:val="-7"/>
          <w:w w:val="105"/>
        </w:rPr>
        <w:t> </w:t>
      </w:r>
      <w:r>
        <w:rPr>
          <w:color w:val="231F20"/>
          <w:w w:val="105"/>
        </w:rPr>
        <w:t>la</w:t>
      </w:r>
      <w:r>
        <w:rPr>
          <w:color w:val="231F20"/>
          <w:spacing w:val="-7"/>
          <w:w w:val="105"/>
        </w:rPr>
        <w:t> </w:t>
      </w:r>
      <w:r>
        <w:rPr>
          <w:color w:val="231F20"/>
          <w:w w:val="105"/>
        </w:rPr>
        <w:t>capacidad</w:t>
      </w:r>
      <w:r>
        <w:rPr>
          <w:color w:val="231F20"/>
          <w:spacing w:val="-7"/>
          <w:w w:val="105"/>
        </w:rPr>
        <w:t> </w:t>
      </w:r>
      <w:r>
        <w:rPr>
          <w:color w:val="231F20"/>
          <w:w w:val="105"/>
        </w:rPr>
        <w:t>de</w:t>
      </w:r>
      <w:r>
        <w:rPr>
          <w:color w:val="231F20"/>
          <w:spacing w:val="-7"/>
          <w:w w:val="105"/>
        </w:rPr>
        <w:t> </w:t>
      </w:r>
      <w:r>
        <w:rPr>
          <w:color w:val="231F20"/>
          <w:w w:val="105"/>
        </w:rPr>
        <w:t>establecer</w:t>
      </w:r>
      <w:r>
        <w:rPr>
          <w:color w:val="231F20"/>
          <w:spacing w:val="-7"/>
          <w:w w:val="105"/>
        </w:rPr>
        <w:t> </w:t>
      </w:r>
      <w:r>
        <w:rPr>
          <w:color w:val="231F20"/>
          <w:w w:val="105"/>
        </w:rPr>
        <w:t>vínculos</w:t>
      </w:r>
      <w:r>
        <w:rPr>
          <w:color w:val="231F20"/>
          <w:spacing w:val="-7"/>
          <w:w w:val="105"/>
        </w:rPr>
        <w:t> </w:t>
      </w:r>
      <w:r>
        <w:rPr>
          <w:color w:val="231F20"/>
          <w:w w:val="105"/>
        </w:rPr>
        <w:t>con</w:t>
      </w:r>
      <w:r>
        <w:rPr>
          <w:color w:val="231F20"/>
          <w:spacing w:val="-7"/>
          <w:w w:val="105"/>
        </w:rPr>
        <w:t> </w:t>
      </w:r>
      <w:r>
        <w:rPr>
          <w:color w:val="231F20"/>
          <w:w w:val="105"/>
        </w:rPr>
        <w:t>las</w:t>
      </w:r>
      <w:r>
        <w:rPr>
          <w:color w:val="231F20"/>
          <w:spacing w:val="-7"/>
          <w:w w:val="105"/>
        </w:rPr>
        <w:t> </w:t>
      </w:r>
      <w:r>
        <w:rPr>
          <w:color w:val="231F20"/>
          <w:w w:val="105"/>
        </w:rPr>
        <w:t>élites</w:t>
      </w:r>
      <w:r>
        <w:rPr>
          <w:color w:val="231F20"/>
          <w:spacing w:val="-7"/>
          <w:w w:val="105"/>
        </w:rPr>
        <w:t> </w:t>
      </w:r>
      <w:r>
        <w:rPr>
          <w:color w:val="231F20"/>
          <w:w w:val="105"/>
        </w:rPr>
        <w:t>políticas</w:t>
      </w:r>
      <w:r>
        <w:rPr>
          <w:color w:val="231F20"/>
          <w:spacing w:val="-7"/>
          <w:w w:val="105"/>
        </w:rPr>
        <w:t> </w:t>
      </w:r>
      <w:r>
        <w:rPr>
          <w:color w:val="231F20"/>
          <w:w w:val="105"/>
        </w:rPr>
        <w:t>estatales</w:t>
      </w:r>
      <w:r>
        <w:rPr>
          <w:color w:val="231F20"/>
          <w:spacing w:val="-7"/>
          <w:w w:val="105"/>
        </w:rPr>
        <w:t> </w:t>
      </w:r>
      <w:r>
        <w:rPr>
          <w:color w:val="231F20"/>
          <w:spacing w:val="-6"/>
          <w:w w:val="105"/>
        </w:rPr>
        <w:t>(e</w:t>
      </w:r>
      <w:r>
        <w:rPr>
          <w:color w:val="231F20"/>
          <w:spacing w:val="-7"/>
          <w:w w:val="105"/>
        </w:rPr>
        <w:t> </w:t>
      </w:r>
      <w:r>
        <w:rPr>
          <w:color w:val="231F20"/>
          <w:w w:val="105"/>
        </w:rPr>
        <w:t>incluso</w:t>
      </w:r>
      <w:r>
        <w:rPr>
          <w:color w:val="231F20"/>
          <w:spacing w:val="-7"/>
          <w:w w:val="105"/>
        </w:rPr>
        <w:t> </w:t>
      </w:r>
      <w:r>
        <w:rPr>
          <w:color w:val="231F20"/>
          <w:w w:val="105"/>
        </w:rPr>
        <w:t>na- cionales);</w:t>
      </w:r>
      <w:r>
        <w:rPr>
          <w:color w:val="231F20"/>
          <w:spacing w:val="-15"/>
          <w:w w:val="105"/>
        </w:rPr>
        <w:t> </w:t>
      </w:r>
      <w:r>
        <w:rPr>
          <w:color w:val="231F20"/>
          <w:w w:val="105"/>
        </w:rPr>
        <w:t>en</w:t>
      </w:r>
      <w:r>
        <w:rPr>
          <w:color w:val="231F20"/>
          <w:spacing w:val="-15"/>
          <w:w w:val="105"/>
        </w:rPr>
        <w:t> </w:t>
      </w:r>
      <w:r>
        <w:rPr>
          <w:color w:val="231F20"/>
          <w:w w:val="105"/>
        </w:rPr>
        <w:t>quinto,</w:t>
      </w:r>
      <w:r>
        <w:rPr>
          <w:color w:val="231F20"/>
          <w:spacing w:val="-15"/>
          <w:w w:val="105"/>
        </w:rPr>
        <w:t> </w:t>
      </w:r>
      <w:r>
        <w:rPr>
          <w:color w:val="231F20"/>
          <w:w w:val="105"/>
        </w:rPr>
        <w:t>la</w:t>
      </w:r>
      <w:r>
        <w:rPr>
          <w:color w:val="231F20"/>
          <w:spacing w:val="-15"/>
          <w:w w:val="105"/>
        </w:rPr>
        <w:t> </w:t>
      </w:r>
      <w:r>
        <w:rPr>
          <w:color w:val="231F20"/>
          <w:w w:val="105"/>
        </w:rPr>
        <w:t>elevada</w:t>
      </w:r>
      <w:r>
        <w:rPr>
          <w:color w:val="231F20"/>
          <w:spacing w:val="-15"/>
          <w:w w:val="105"/>
        </w:rPr>
        <w:t> </w:t>
      </w:r>
      <w:r>
        <w:rPr>
          <w:color w:val="231F20"/>
          <w:w w:val="105"/>
        </w:rPr>
        <w:t>discrecionalidad</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manejo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recursos</w:t>
      </w:r>
      <w:r>
        <w:rPr>
          <w:color w:val="231F20"/>
          <w:spacing w:val="-15"/>
          <w:w w:val="105"/>
        </w:rPr>
        <w:t> </w:t>
      </w:r>
      <w:r>
        <w:rPr>
          <w:color w:val="231F20"/>
          <w:w w:val="105"/>
        </w:rPr>
        <w:t>del</w:t>
      </w:r>
      <w:r>
        <w:rPr>
          <w:color w:val="231F20"/>
          <w:spacing w:val="-15"/>
          <w:w w:val="105"/>
        </w:rPr>
        <w:t> </w:t>
      </w:r>
      <w:r>
        <w:rPr>
          <w:color w:val="231F20"/>
          <w:w w:val="105"/>
        </w:rPr>
        <w:t>erario, debido</w:t>
      </w:r>
      <w:r>
        <w:rPr>
          <w:color w:val="231F20"/>
          <w:spacing w:val="-16"/>
          <w:w w:val="105"/>
        </w:rPr>
        <w:t> </w:t>
      </w:r>
      <w:r>
        <w:rPr>
          <w:color w:val="231F20"/>
          <w:w w:val="105"/>
        </w:rPr>
        <w:t>tanto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falta</w:t>
      </w:r>
      <w:r>
        <w:rPr>
          <w:color w:val="231F20"/>
          <w:spacing w:val="-16"/>
          <w:w w:val="105"/>
        </w:rPr>
        <w:t> </w:t>
      </w:r>
      <w:r>
        <w:rPr>
          <w:color w:val="231F20"/>
          <w:w w:val="105"/>
        </w:rPr>
        <w:t>de</w:t>
      </w:r>
      <w:r>
        <w:rPr>
          <w:color w:val="231F20"/>
          <w:spacing w:val="-16"/>
          <w:w w:val="105"/>
        </w:rPr>
        <w:t> </w:t>
      </w:r>
      <w:r>
        <w:rPr>
          <w:color w:val="231F20"/>
          <w:w w:val="105"/>
        </w:rPr>
        <w:t>leyes</w:t>
      </w:r>
      <w:r>
        <w:rPr>
          <w:color w:val="231F20"/>
          <w:spacing w:val="-16"/>
          <w:w w:val="105"/>
        </w:rPr>
        <w:t> </w:t>
      </w:r>
      <w:r>
        <w:rPr>
          <w:color w:val="231F20"/>
          <w:w w:val="105"/>
        </w:rPr>
        <w:t>como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inexistencia</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genuina</w:t>
      </w:r>
      <w:r>
        <w:rPr>
          <w:color w:val="231F20"/>
          <w:spacing w:val="-16"/>
          <w:w w:val="105"/>
        </w:rPr>
        <w:t> </w:t>
      </w:r>
      <w:r>
        <w:rPr>
          <w:color w:val="231F20"/>
          <w:w w:val="105"/>
        </w:rPr>
        <w:t>rendición</w:t>
      </w:r>
      <w:r>
        <w:rPr>
          <w:color w:val="231F20"/>
          <w:spacing w:val="-16"/>
          <w:w w:val="105"/>
        </w:rPr>
        <w:t> </w:t>
      </w:r>
      <w:r>
        <w:rPr>
          <w:color w:val="231F20"/>
          <w:w w:val="105"/>
        </w:rPr>
        <w:t>de</w:t>
      </w:r>
      <w:r>
        <w:rPr>
          <w:color w:val="231F20"/>
          <w:spacing w:val="-16"/>
          <w:w w:val="105"/>
        </w:rPr>
        <w:t> </w:t>
      </w:r>
      <w:r>
        <w:rPr>
          <w:color w:val="231F20"/>
          <w:w w:val="105"/>
        </w:rPr>
        <w:t>cuen- tas;</w:t>
      </w:r>
      <w:r>
        <w:rPr>
          <w:color w:val="231F20"/>
          <w:spacing w:val="-5"/>
          <w:w w:val="105"/>
        </w:rPr>
        <w:t> </w:t>
      </w:r>
      <w:r>
        <w:rPr>
          <w:color w:val="231F20"/>
          <w:w w:val="105"/>
        </w:rPr>
        <w:t>en</w:t>
      </w:r>
      <w:r>
        <w:rPr>
          <w:color w:val="231F20"/>
          <w:spacing w:val="-5"/>
          <w:w w:val="105"/>
        </w:rPr>
        <w:t> </w:t>
      </w:r>
      <w:r>
        <w:rPr>
          <w:color w:val="231F20"/>
          <w:w w:val="105"/>
        </w:rPr>
        <w:t>sexto,</w:t>
      </w:r>
      <w:r>
        <w:rPr>
          <w:color w:val="231F20"/>
          <w:spacing w:val="-5"/>
          <w:w w:val="105"/>
        </w:rPr>
        <w:t> </w:t>
      </w:r>
      <w:r>
        <w:rPr>
          <w:color w:val="231F20"/>
          <w:w w:val="105"/>
        </w:rPr>
        <w:t>prácticas</w:t>
      </w:r>
      <w:r>
        <w:rPr>
          <w:color w:val="231F20"/>
          <w:spacing w:val="-5"/>
          <w:w w:val="105"/>
        </w:rPr>
        <w:t> </w:t>
      </w:r>
      <w:r>
        <w:rPr>
          <w:color w:val="231F20"/>
          <w:w w:val="105"/>
        </w:rPr>
        <w:t>políticas</w:t>
      </w:r>
      <w:r>
        <w:rPr>
          <w:color w:val="231F20"/>
          <w:spacing w:val="-5"/>
          <w:w w:val="105"/>
        </w:rPr>
        <w:t> </w:t>
      </w:r>
      <w:r>
        <w:rPr>
          <w:color w:val="231F20"/>
          <w:w w:val="105"/>
        </w:rPr>
        <w:t>no</w:t>
      </w:r>
      <w:r>
        <w:rPr>
          <w:color w:val="231F20"/>
          <w:spacing w:val="-5"/>
          <w:w w:val="105"/>
        </w:rPr>
        <w:t> </w:t>
      </w:r>
      <w:r>
        <w:rPr>
          <w:color w:val="231F20"/>
          <w:w w:val="105"/>
        </w:rPr>
        <w:t>democráticas</w:t>
      </w:r>
      <w:r>
        <w:rPr>
          <w:color w:val="231F20"/>
          <w:spacing w:val="-5"/>
          <w:w w:val="105"/>
        </w:rPr>
        <w:t> </w:t>
      </w:r>
      <w:r>
        <w:rPr>
          <w:color w:val="231F20"/>
          <w:w w:val="105"/>
        </w:rPr>
        <w:t>como</w:t>
      </w:r>
      <w:r>
        <w:rPr>
          <w:color w:val="231F20"/>
          <w:spacing w:val="-5"/>
          <w:w w:val="105"/>
        </w:rPr>
        <w:t> </w:t>
      </w:r>
      <w:r>
        <w:rPr>
          <w:color w:val="231F20"/>
          <w:w w:val="105"/>
        </w:rPr>
        <w:t>el</w:t>
      </w:r>
      <w:r>
        <w:rPr>
          <w:color w:val="231F20"/>
          <w:spacing w:val="-5"/>
          <w:w w:val="105"/>
        </w:rPr>
        <w:t> </w:t>
      </w:r>
      <w:r>
        <w:rPr>
          <w:color w:val="231F20"/>
          <w:w w:val="105"/>
        </w:rPr>
        <w:t>patronazgo</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clientelismo que</w:t>
      </w:r>
      <w:r>
        <w:rPr>
          <w:color w:val="231F20"/>
          <w:spacing w:val="-12"/>
          <w:w w:val="105"/>
        </w:rPr>
        <w:t> </w:t>
      </w:r>
      <w:r>
        <w:rPr>
          <w:color w:val="231F20"/>
          <w:w w:val="105"/>
        </w:rPr>
        <w:t>agrandan</w:t>
      </w:r>
      <w:r>
        <w:rPr>
          <w:color w:val="231F20"/>
          <w:spacing w:val="-12"/>
          <w:w w:val="105"/>
        </w:rPr>
        <w:t> </w:t>
      </w:r>
      <w:r>
        <w:rPr>
          <w:color w:val="231F20"/>
          <w:w w:val="105"/>
        </w:rPr>
        <w:t>la</w:t>
      </w:r>
      <w:r>
        <w:rPr>
          <w:color w:val="231F20"/>
          <w:spacing w:val="-12"/>
          <w:w w:val="105"/>
        </w:rPr>
        <w:t> </w:t>
      </w:r>
      <w:r>
        <w:rPr>
          <w:color w:val="231F20"/>
          <w:spacing w:val="2"/>
          <w:w w:val="105"/>
        </w:rPr>
        <w:t>figura</w:t>
      </w:r>
      <w:r>
        <w:rPr>
          <w:color w:val="231F20"/>
          <w:spacing w:val="-12"/>
          <w:w w:val="105"/>
        </w:rPr>
        <w:t> </w:t>
      </w:r>
      <w:r>
        <w:rPr>
          <w:color w:val="231F20"/>
          <w:w w:val="105"/>
        </w:rPr>
        <w:t>del</w:t>
      </w:r>
      <w:r>
        <w:rPr>
          <w:color w:val="231F20"/>
          <w:spacing w:val="-12"/>
          <w:w w:val="105"/>
        </w:rPr>
        <w:t> </w:t>
      </w:r>
      <w:r>
        <w:rPr>
          <w:color w:val="231F20"/>
          <w:w w:val="105"/>
        </w:rPr>
        <w:t>alcalde,</w:t>
      </w:r>
      <w:r>
        <w:rPr>
          <w:color w:val="231F20"/>
          <w:spacing w:val="-12"/>
          <w:w w:val="105"/>
        </w:rPr>
        <w:t> </w:t>
      </w:r>
      <w:r>
        <w:rPr>
          <w:color w:val="231F20"/>
          <w:w w:val="105"/>
        </w:rPr>
        <w:t>sea</w:t>
      </w:r>
      <w:r>
        <w:rPr>
          <w:color w:val="231F20"/>
          <w:spacing w:val="-12"/>
          <w:w w:val="105"/>
        </w:rPr>
        <w:t> </w:t>
      </w:r>
      <w:r>
        <w:rPr>
          <w:color w:val="231F20"/>
          <w:w w:val="105"/>
        </w:rPr>
        <w:t>cual</w:t>
      </w:r>
      <w:r>
        <w:rPr>
          <w:color w:val="231F20"/>
          <w:spacing w:val="-12"/>
          <w:w w:val="105"/>
        </w:rPr>
        <w:t> </w:t>
      </w:r>
      <w:r>
        <w:rPr>
          <w:color w:val="231F20"/>
          <w:w w:val="105"/>
        </w:rPr>
        <w:t>sea</w:t>
      </w:r>
      <w:r>
        <w:rPr>
          <w:color w:val="231F20"/>
          <w:spacing w:val="-12"/>
          <w:w w:val="105"/>
        </w:rPr>
        <w:t> </w:t>
      </w:r>
      <w:r>
        <w:rPr>
          <w:color w:val="231F20"/>
          <w:w w:val="105"/>
        </w:rPr>
        <w:t>su</w:t>
      </w:r>
      <w:r>
        <w:rPr>
          <w:color w:val="231F20"/>
          <w:spacing w:val="-12"/>
          <w:w w:val="105"/>
        </w:rPr>
        <w:t> </w:t>
      </w:r>
      <w:r>
        <w:rPr>
          <w:color w:val="231F20"/>
          <w:w w:val="105"/>
        </w:rPr>
        <w:t>personalidad;</w:t>
      </w:r>
      <w:r>
        <w:rPr>
          <w:color w:val="231F20"/>
          <w:spacing w:val="-12"/>
          <w:w w:val="105"/>
        </w:rPr>
        <w:t> </w:t>
      </w:r>
      <w:r>
        <w:rPr>
          <w:color w:val="231F20"/>
          <w:w w:val="105"/>
        </w:rPr>
        <w:t>y</w:t>
      </w:r>
      <w:r>
        <w:rPr>
          <w:color w:val="231F20"/>
          <w:spacing w:val="-12"/>
          <w:w w:val="105"/>
        </w:rPr>
        <w:t> </w:t>
      </w:r>
      <w:r>
        <w:rPr>
          <w:color w:val="231F20"/>
          <w:w w:val="105"/>
        </w:rPr>
        <w:t>séptimo,</w:t>
      </w:r>
      <w:r>
        <w:rPr>
          <w:color w:val="231F20"/>
          <w:spacing w:val="-12"/>
          <w:w w:val="105"/>
        </w:rPr>
        <w:t> </w:t>
      </w:r>
      <w:r>
        <w:rPr>
          <w:color w:val="231F20"/>
          <w:w w:val="105"/>
        </w:rPr>
        <w:t>en</w:t>
      </w:r>
      <w:r>
        <w:rPr>
          <w:color w:val="231F20"/>
          <w:spacing w:val="-12"/>
          <w:w w:val="105"/>
        </w:rPr>
        <w:t> </w:t>
      </w:r>
      <w:r>
        <w:rPr>
          <w:color w:val="231F20"/>
          <w:w w:val="105"/>
        </w:rPr>
        <w:t>no</w:t>
      </w:r>
      <w:r>
        <w:rPr>
          <w:color w:val="231F20"/>
          <w:spacing w:val="-12"/>
          <w:w w:val="105"/>
        </w:rPr>
        <w:t> </w:t>
      </w:r>
      <w:r>
        <w:rPr>
          <w:color w:val="231F20"/>
          <w:w w:val="105"/>
        </w:rPr>
        <w:t>pocas ocasiones,</w:t>
      </w:r>
      <w:r>
        <w:rPr>
          <w:color w:val="231F20"/>
          <w:spacing w:val="-16"/>
          <w:w w:val="105"/>
        </w:rPr>
        <w:t> </w:t>
      </w:r>
      <w:r>
        <w:rPr>
          <w:color w:val="231F20"/>
          <w:w w:val="105"/>
        </w:rPr>
        <w:t>la</w:t>
      </w:r>
      <w:r>
        <w:rPr>
          <w:color w:val="231F20"/>
          <w:spacing w:val="-16"/>
          <w:w w:val="105"/>
        </w:rPr>
        <w:t> </w:t>
      </w:r>
      <w:r>
        <w:rPr>
          <w:color w:val="231F20"/>
          <w:w w:val="105"/>
        </w:rPr>
        <w:t>existencia</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cultura</w:t>
      </w:r>
      <w:r>
        <w:rPr>
          <w:color w:val="231F20"/>
          <w:spacing w:val="-16"/>
          <w:w w:val="105"/>
        </w:rPr>
        <w:t> </w:t>
      </w:r>
      <w:r>
        <w:rPr>
          <w:color w:val="231F20"/>
          <w:w w:val="105"/>
        </w:rPr>
        <w:t>política</w:t>
      </w:r>
      <w:r>
        <w:rPr>
          <w:color w:val="231F20"/>
          <w:spacing w:val="-16"/>
          <w:w w:val="105"/>
        </w:rPr>
        <w:t> </w:t>
      </w:r>
      <w:r>
        <w:rPr>
          <w:color w:val="231F20"/>
          <w:w w:val="105"/>
        </w:rPr>
        <w:t>autoritaria</w:t>
      </w:r>
      <w:r>
        <w:rPr>
          <w:color w:val="231F20"/>
          <w:spacing w:val="-16"/>
          <w:w w:val="105"/>
        </w:rPr>
        <w:t> </w:t>
      </w:r>
      <w:r>
        <w:rPr>
          <w:color w:val="231F20"/>
          <w:w w:val="105"/>
        </w:rPr>
        <w:t>de</w:t>
      </w:r>
      <w:r>
        <w:rPr>
          <w:color w:val="231F20"/>
          <w:spacing w:val="-16"/>
          <w:w w:val="105"/>
        </w:rPr>
        <w:t> </w:t>
      </w:r>
      <w:r>
        <w:rPr>
          <w:color w:val="231F20"/>
          <w:w w:val="105"/>
        </w:rPr>
        <w:t>parte</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integrantes</w:t>
      </w:r>
      <w:r>
        <w:rPr>
          <w:color w:val="231F20"/>
          <w:spacing w:val="-16"/>
          <w:w w:val="105"/>
        </w:rPr>
        <w:t> </w:t>
      </w:r>
      <w:r>
        <w:rPr>
          <w:color w:val="231F20"/>
          <w:w w:val="105"/>
        </w:rPr>
        <w:t>del cabildo</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cual</w:t>
      </w:r>
      <w:r>
        <w:rPr>
          <w:color w:val="231F20"/>
          <w:spacing w:val="-12"/>
          <w:w w:val="105"/>
        </w:rPr>
        <w:t> </w:t>
      </w:r>
      <w:r>
        <w:rPr>
          <w:color w:val="231F20"/>
          <w:w w:val="105"/>
        </w:rPr>
        <w:t>se</w:t>
      </w:r>
      <w:r>
        <w:rPr>
          <w:color w:val="231F20"/>
          <w:spacing w:val="-12"/>
          <w:w w:val="105"/>
        </w:rPr>
        <w:t> </w:t>
      </w:r>
      <w:r>
        <w:rPr>
          <w:color w:val="231F20"/>
          <w:w w:val="105"/>
        </w:rPr>
        <w:t>continúa</w:t>
      </w:r>
      <w:r>
        <w:rPr>
          <w:color w:val="231F20"/>
          <w:spacing w:val="-12"/>
          <w:w w:val="105"/>
        </w:rPr>
        <w:t> </w:t>
      </w:r>
      <w:r>
        <w:rPr>
          <w:color w:val="231F20"/>
          <w:w w:val="105"/>
        </w:rPr>
        <w:t>viendo</w:t>
      </w:r>
      <w:r>
        <w:rPr>
          <w:color w:val="231F20"/>
          <w:spacing w:val="-12"/>
          <w:w w:val="105"/>
        </w:rPr>
        <w:t> </w:t>
      </w:r>
      <w:r>
        <w:rPr>
          <w:color w:val="231F20"/>
          <w:spacing w:val="2"/>
          <w:w w:val="105"/>
        </w:rPr>
        <w:t>al</w:t>
      </w:r>
      <w:r>
        <w:rPr>
          <w:color w:val="231F20"/>
          <w:spacing w:val="-12"/>
          <w:w w:val="105"/>
        </w:rPr>
        <w:t> </w:t>
      </w:r>
      <w:r>
        <w:rPr>
          <w:color w:val="231F20"/>
          <w:w w:val="105"/>
        </w:rPr>
        <w:t>presidente</w:t>
      </w:r>
      <w:r>
        <w:rPr>
          <w:color w:val="231F20"/>
          <w:spacing w:val="-12"/>
          <w:w w:val="105"/>
        </w:rPr>
        <w:t> </w:t>
      </w:r>
      <w:r>
        <w:rPr>
          <w:color w:val="231F20"/>
          <w:w w:val="105"/>
        </w:rPr>
        <w:t>municipal</w:t>
      </w:r>
      <w:r>
        <w:rPr>
          <w:color w:val="231F20"/>
          <w:spacing w:val="-12"/>
          <w:w w:val="105"/>
        </w:rPr>
        <w:t> </w:t>
      </w:r>
      <w:r>
        <w:rPr>
          <w:color w:val="231F20"/>
          <w:w w:val="105"/>
        </w:rPr>
        <w:t>como</w:t>
      </w:r>
      <w:r>
        <w:rPr>
          <w:color w:val="231F20"/>
          <w:spacing w:val="-12"/>
          <w:w w:val="105"/>
        </w:rPr>
        <w:t> </w:t>
      </w:r>
      <w:r>
        <w:rPr>
          <w:color w:val="231F20"/>
          <w:w w:val="105"/>
        </w:rPr>
        <w:t>un ser</w:t>
      </w:r>
      <w:r>
        <w:rPr>
          <w:color w:val="231F20"/>
          <w:spacing w:val="-17"/>
          <w:w w:val="105"/>
        </w:rPr>
        <w:t> </w:t>
      </w:r>
      <w:r>
        <w:rPr>
          <w:color w:val="231F20"/>
          <w:w w:val="105"/>
        </w:rPr>
        <w:t>todo</w:t>
      </w:r>
      <w:r>
        <w:rPr>
          <w:color w:val="231F20"/>
          <w:spacing w:val="-17"/>
          <w:w w:val="105"/>
        </w:rPr>
        <w:t> </w:t>
      </w:r>
      <w:r>
        <w:rPr>
          <w:color w:val="231F20"/>
          <w:w w:val="105"/>
        </w:rPr>
        <w:t>poderoso,</w:t>
      </w:r>
      <w:r>
        <w:rPr>
          <w:color w:val="231F20"/>
          <w:spacing w:val="-17"/>
          <w:w w:val="105"/>
        </w:rPr>
        <w:t> </w:t>
      </w:r>
      <w:r>
        <w:rPr>
          <w:color w:val="231F20"/>
          <w:w w:val="105"/>
        </w:rPr>
        <w:t>de</w:t>
      </w:r>
      <w:r>
        <w:rPr>
          <w:color w:val="231F20"/>
          <w:spacing w:val="-17"/>
          <w:w w:val="105"/>
        </w:rPr>
        <w:t> </w:t>
      </w:r>
      <w:r>
        <w:rPr>
          <w:color w:val="231F20"/>
          <w:w w:val="105"/>
        </w:rPr>
        <w:t>liderazgo</w:t>
      </w:r>
      <w:r>
        <w:rPr>
          <w:color w:val="231F20"/>
          <w:spacing w:val="-17"/>
          <w:w w:val="105"/>
        </w:rPr>
        <w:t> </w:t>
      </w:r>
      <w:r>
        <w:rPr>
          <w:color w:val="231F20"/>
          <w:w w:val="105"/>
        </w:rPr>
        <w:t>incuestionable</w:t>
      </w:r>
      <w:r>
        <w:rPr>
          <w:color w:val="231F20"/>
          <w:spacing w:val="-17"/>
          <w:w w:val="105"/>
        </w:rPr>
        <w:t> </w:t>
      </w:r>
      <w:r>
        <w:rPr>
          <w:color w:val="231F20"/>
          <w:w w:val="105"/>
        </w:rPr>
        <w:t>y</w:t>
      </w:r>
      <w:r>
        <w:rPr>
          <w:color w:val="231F20"/>
          <w:spacing w:val="-17"/>
          <w:w w:val="105"/>
        </w:rPr>
        <w:t> </w:t>
      </w:r>
      <w:r>
        <w:rPr>
          <w:color w:val="231F20"/>
          <w:w w:val="105"/>
        </w:rPr>
        <w:t>enteramente</w:t>
      </w:r>
      <w:r>
        <w:rPr>
          <w:color w:val="231F20"/>
          <w:spacing w:val="-17"/>
          <w:w w:val="105"/>
        </w:rPr>
        <w:t> </w:t>
      </w:r>
      <w:r>
        <w:rPr>
          <w:color w:val="231F20"/>
          <w:w w:val="105"/>
        </w:rPr>
        <w:t>venerable.</w:t>
      </w:r>
    </w:p>
    <w:p>
      <w:pPr>
        <w:pStyle w:val="BodyText"/>
        <w:spacing w:before="1"/>
        <w:rPr>
          <w:sz w:val="26"/>
        </w:rPr>
      </w:pPr>
    </w:p>
    <w:p>
      <w:pPr>
        <w:pStyle w:val="BodyText"/>
        <w:spacing w:line="285" w:lineRule="auto"/>
        <w:ind w:left="110" w:right="108"/>
        <w:jc w:val="both"/>
      </w:pPr>
      <w:r>
        <w:rPr>
          <w:color w:val="231F20"/>
          <w:w w:val="105"/>
        </w:rPr>
        <w:t>Bandos y reglamentos son herramientas de gobierno que no </w:t>
      </w:r>
      <w:r>
        <w:rPr>
          <w:color w:val="231F20"/>
          <w:spacing w:val="-3"/>
          <w:w w:val="105"/>
        </w:rPr>
        <w:t>siempre </w:t>
      </w:r>
      <w:r>
        <w:rPr>
          <w:color w:val="231F20"/>
          <w:w w:val="105"/>
        </w:rPr>
        <w:t>están presentes. Su</w:t>
      </w:r>
      <w:r>
        <w:rPr>
          <w:color w:val="231F20"/>
          <w:spacing w:val="-16"/>
          <w:w w:val="105"/>
        </w:rPr>
        <w:t> </w:t>
      </w:r>
      <w:r>
        <w:rPr>
          <w:color w:val="231F20"/>
          <w:w w:val="105"/>
        </w:rPr>
        <w:t>confección</w:t>
      </w:r>
      <w:r>
        <w:rPr>
          <w:color w:val="231F20"/>
          <w:spacing w:val="-16"/>
          <w:w w:val="105"/>
        </w:rPr>
        <w:t> </w:t>
      </w:r>
      <w:r>
        <w:rPr>
          <w:color w:val="231F20"/>
          <w:w w:val="105"/>
        </w:rPr>
        <w:t>depende,</w:t>
      </w:r>
      <w:r>
        <w:rPr>
          <w:color w:val="231F20"/>
          <w:spacing w:val="-16"/>
          <w:w w:val="105"/>
        </w:rPr>
        <w:t> </w:t>
      </w:r>
      <w:r>
        <w:rPr>
          <w:color w:val="231F20"/>
          <w:w w:val="105"/>
        </w:rPr>
        <w:t>por</w:t>
      </w:r>
      <w:r>
        <w:rPr>
          <w:color w:val="231F20"/>
          <w:spacing w:val="-16"/>
          <w:w w:val="105"/>
        </w:rPr>
        <w:t> </w:t>
      </w:r>
      <w:r>
        <w:rPr>
          <w:color w:val="231F20"/>
          <w:w w:val="105"/>
        </w:rPr>
        <w:t>todo</w:t>
      </w:r>
      <w:r>
        <w:rPr>
          <w:color w:val="231F20"/>
          <w:spacing w:val="-16"/>
          <w:w w:val="105"/>
        </w:rPr>
        <w:t> </w:t>
      </w:r>
      <w:r>
        <w:rPr>
          <w:color w:val="231F20"/>
          <w:w w:val="105"/>
        </w:rPr>
        <w:t>lo</w:t>
      </w:r>
      <w:r>
        <w:rPr>
          <w:color w:val="231F20"/>
          <w:spacing w:val="-16"/>
          <w:w w:val="105"/>
        </w:rPr>
        <w:t> </w:t>
      </w:r>
      <w:r>
        <w:rPr>
          <w:color w:val="231F20"/>
          <w:w w:val="105"/>
        </w:rPr>
        <w:t>ya</w:t>
      </w:r>
      <w:r>
        <w:rPr>
          <w:color w:val="231F20"/>
          <w:spacing w:val="-16"/>
          <w:w w:val="105"/>
        </w:rPr>
        <w:t> </w:t>
      </w:r>
      <w:r>
        <w:rPr>
          <w:color w:val="231F20"/>
          <w:w w:val="105"/>
        </w:rPr>
        <w:t>señalado,</w:t>
      </w:r>
      <w:r>
        <w:rPr>
          <w:color w:val="231F20"/>
          <w:spacing w:val="-16"/>
          <w:w w:val="105"/>
        </w:rPr>
        <w:t> </w:t>
      </w:r>
      <w:r>
        <w:rPr>
          <w:color w:val="231F20"/>
          <w:w w:val="105"/>
        </w:rPr>
        <w:t>del</w:t>
      </w:r>
      <w:r>
        <w:rPr>
          <w:color w:val="231F20"/>
          <w:spacing w:val="-16"/>
          <w:w w:val="105"/>
        </w:rPr>
        <w:t> </w:t>
      </w:r>
      <w:r>
        <w:rPr>
          <w:color w:val="231F20"/>
          <w:w w:val="105"/>
        </w:rPr>
        <w:t>presidente</w:t>
      </w:r>
      <w:r>
        <w:rPr>
          <w:color w:val="231F20"/>
          <w:spacing w:val="-16"/>
          <w:w w:val="105"/>
        </w:rPr>
        <w:t> </w:t>
      </w:r>
      <w:r>
        <w:rPr>
          <w:color w:val="231F20"/>
          <w:w w:val="105"/>
        </w:rPr>
        <w:t>municipal,</w:t>
      </w:r>
      <w:r>
        <w:rPr>
          <w:color w:val="231F20"/>
          <w:spacing w:val="-16"/>
          <w:w w:val="105"/>
        </w:rPr>
        <w:t> </w:t>
      </w:r>
      <w:r>
        <w:rPr>
          <w:color w:val="231F20"/>
          <w:w w:val="105"/>
        </w:rPr>
        <w:t>por</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su inexistencia</w:t>
      </w:r>
      <w:r>
        <w:rPr>
          <w:color w:val="231F20"/>
          <w:spacing w:val="-7"/>
          <w:w w:val="105"/>
        </w:rPr>
        <w:t> </w:t>
      </w:r>
      <w:r>
        <w:rPr>
          <w:color w:val="231F20"/>
          <w:w w:val="105"/>
        </w:rPr>
        <w:t>denota</w:t>
      </w:r>
      <w:r>
        <w:rPr>
          <w:color w:val="231F20"/>
          <w:spacing w:val="-7"/>
          <w:w w:val="105"/>
        </w:rPr>
        <w:t> </w:t>
      </w:r>
      <w:r>
        <w:rPr>
          <w:color w:val="231F20"/>
          <w:w w:val="105"/>
        </w:rPr>
        <w:t>un</w:t>
      </w:r>
      <w:r>
        <w:rPr>
          <w:color w:val="231F20"/>
          <w:spacing w:val="-7"/>
          <w:w w:val="105"/>
        </w:rPr>
        <w:t> </w:t>
      </w:r>
      <w:r>
        <w:rPr>
          <w:color w:val="231F20"/>
          <w:w w:val="105"/>
        </w:rPr>
        <w:t>claro</w:t>
      </w:r>
      <w:r>
        <w:rPr>
          <w:color w:val="231F20"/>
          <w:spacing w:val="-7"/>
          <w:w w:val="105"/>
        </w:rPr>
        <w:t> </w:t>
      </w:r>
      <w:r>
        <w:rPr>
          <w:color w:val="231F20"/>
          <w:w w:val="105"/>
        </w:rPr>
        <w:t>interés</w:t>
      </w:r>
      <w:r>
        <w:rPr>
          <w:color w:val="231F20"/>
          <w:spacing w:val="-7"/>
          <w:w w:val="105"/>
        </w:rPr>
        <w:t> </w:t>
      </w:r>
      <w:r>
        <w:rPr>
          <w:color w:val="231F20"/>
          <w:w w:val="105"/>
        </w:rPr>
        <w:t>por</w:t>
      </w:r>
      <w:r>
        <w:rPr>
          <w:color w:val="231F20"/>
          <w:spacing w:val="-7"/>
          <w:w w:val="105"/>
        </w:rPr>
        <w:t> </w:t>
      </w:r>
      <w:r>
        <w:rPr>
          <w:color w:val="231F20"/>
          <w:w w:val="105"/>
        </w:rPr>
        <w:t>evitar</w:t>
      </w:r>
      <w:r>
        <w:rPr>
          <w:color w:val="231F20"/>
          <w:spacing w:val="-7"/>
          <w:w w:val="105"/>
        </w:rPr>
        <w:t> </w:t>
      </w:r>
      <w:r>
        <w:rPr>
          <w:color w:val="231F20"/>
          <w:w w:val="105"/>
        </w:rPr>
        <w:t>el</w:t>
      </w:r>
      <w:r>
        <w:rPr>
          <w:color w:val="231F20"/>
          <w:spacing w:val="-7"/>
          <w:w w:val="105"/>
        </w:rPr>
        <w:t> </w:t>
      </w:r>
      <w:r>
        <w:rPr>
          <w:color w:val="231F20"/>
          <w:w w:val="105"/>
        </w:rPr>
        <w:t>control</w:t>
      </w:r>
      <w:r>
        <w:rPr>
          <w:color w:val="231F20"/>
          <w:spacing w:val="-7"/>
          <w:w w:val="105"/>
        </w:rPr>
        <w:t> </w:t>
      </w:r>
      <w:r>
        <w:rPr>
          <w:color w:val="231F20"/>
          <w:w w:val="105"/>
        </w:rPr>
        <w:t>legal</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acciones.</w:t>
      </w:r>
      <w:r>
        <w:rPr>
          <w:color w:val="231F20"/>
          <w:spacing w:val="-7"/>
          <w:w w:val="105"/>
        </w:rPr>
        <w:t> </w:t>
      </w:r>
      <w:r>
        <w:rPr>
          <w:color w:val="231F20"/>
          <w:spacing w:val="-3"/>
          <w:w w:val="105"/>
        </w:rPr>
        <w:t>Por</w:t>
      </w:r>
      <w:r>
        <w:rPr>
          <w:color w:val="231F20"/>
          <w:spacing w:val="-7"/>
          <w:w w:val="105"/>
        </w:rPr>
        <w:t> </w:t>
      </w:r>
      <w:r>
        <w:rPr>
          <w:color w:val="231F20"/>
          <w:w w:val="105"/>
        </w:rPr>
        <w:t>otro lado,</w:t>
      </w:r>
      <w:r>
        <w:rPr>
          <w:color w:val="231F20"/>
          <w:spacing w:val="-5"/>
          <w:w w:val="105"/>
        </w:rPr>
        <w:t> </w:t>
      </w:r>
      <w:r>
        <w:rPr>
          <w:color w:val="231F20"/>
          <w:w w:val="105"/>
        </w:rPr>
        <w:t>no</w:t>
      </w:r>
      <w:r>
        <w:rPr>
          <w:color w:val="231F20"/>
          <w:spacing w:val="-5"/>
          <w:w w:val="105"/>
        </w:rPr>
        <w:t> </w:t>
      </w:r>
      <w:r>
        <w:rPr>
          <w:color w:val="231F20"/>
          <w:w w:val="105"/>
        </w:rPr>
        <w:t>es</w:t>
      </w:r>
      <w:r>
        <w:rPr>
          <w:color w:val="231F20"/>
          <w:spacing w:val="-5"/>
          <w:w w:val="105"/>
        </w:rPr>
        <w:t> </w:t>
      </w:r>
      <w:r>
        <w:rPr>
          <w:color w:val="231F20"/>
          <w:w w:val="105"/>
        </w:rPr>
        <w:t>raro</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privilegios</w:t>
      </w:r>
      <w:r>
        <w:rPr>
          <w:color w:val="231F20"/>
          <w:spacing w:val="-5"/>
          <w:w w:val="105"/>
        </w:rPr>
        <w:t> </w:t>
      </w:r>
      <w:r>
        <w:rPr>
          <w:color w:val="231F20"/>
          <w:w w:val="105"/>
        </w:rPr>
        <w:t>del</w:t>
      </w:r>
      <w:r>
        <w:rPr>
          <w:color w:val="231F20"/>
          <w:spacing w:val="-5"/>
          <w:w w:val="105"/>
        </w:rPr>
        <w:t> </w:t>
      </w:r>
      <w:r>
        <w:rPr>
          <w:color w:val="231F20"/>
          <w:w w:val="105"/>
        </w:rPr>
        <w:t>ejercicio</w:t>
      </w:r>
      <w:r>
        <w:rPr>
          <w:color w:val="231F20"/>
          <w:spacing w:val="-5"/>
          <w:w w:val="105"/>
        </w:rPr>
        <w:t> </w:t>
      </w:r>
      <w:r>
        <w:rPr>
          <w:color w:val="231F20"/>
          <w:w w:val="105"/>
        </w:rPr>
        <w:t>del</w:t>
      </w:r>
      <w:r>
        <w:rPr>
          <w:color w:val="231F20"/>
          <w:spacing w:val="-5"/>
          <w:w w:val="105"/>
        </w:rPr>
        <w:t> </w:t>
      </w:r>
      <w:r>
        <w:rPr>
          <w:color w:val="231F20"/>
          <w:w w:val="105"/>
        </w:rPr>
        <w:t>poder</w:t>
      </w:r>
      <w:r>
        <w:rPr>
          <w:color w:val="231F20"/>
          <w:spacing w:val="-5"/>
          <w:w w:val="105"/>
        </w:rPr>
        <w:t> </w:t>
      </w:r>
      <w:r>
        <w:rPr>
          <w:color w:val="231F20"/>
          <w:w w:val="105"/>
        </w:rPr>
        <w:t>den</w:t>
      </w:r>
      <w:r>
        <w:rPr>
          <w:color w:val="231F20"/>
          <w:spacing w:val="-5"/>
          <w:w w:val="105"/>
        </w:rPr>
        <w:t> </w:t>
      </w:r>
      <w:r>
        <w:rPr>
          <w:color w:val="231F20"/>
          <w:w w:val="105"/>
        </w:rPr>
        <w:t>lugar</w:t>
      </w:r>
      <w:r>
        <w:rPr>
          <w:color w:val="231F20"/>
          <w:spacing w:val="-5"/>
          <w:w w:val="105"/>
        </w:rPr>
        <w:t> </w:t>
      </w:r>
      <w:r>
        <w:rPr>
          <w:color w:val="231F20"/>
          <w:spacing w:val="2"/>
          <w:w w:val="105"/>
        </w:rPr>
        <w:t>al</w:t>
      </w:r>
      <w:r>
        <w:rPr>
          <w:color w:val="231F20"/>
          <w:spacing w:val="-5"/>
          <w:w w:val="105"/>
        </w:rPr>
        <w:t> </w:t>
      </w:r>
      <w:r>
        <w:rPr>
          <w:color w:val="231F20"/>
          <w:w w:val="105"/>
        </w:rPr>
        <w:t>establecimiento de</w:t>
      </w:r>
      <w:r>
        <w:rPr>
          <w:color w:val="231F20"/>
          <w:spacing w:val="-15"/>
          <w:w w:val="105"/>
        </w:rPr>
        <w:t> </w:t>
      </w:r>
      <w:r>
        <w:rPr>
          <w:color w:val="231F20"/>
          <w:w w:val="105"/>
        </w:rPr>
        <w:t>complicidades</w:t>
      </w:r>
      <w:r>
        <w:rPr>
          <w:color w:val="231F20"/>
          <w:spacing w:val="-15"/>
          <w:w w:val="105"/>
        </w:rPr>
        <w:t> </w:t>
      </w:r>
      <w:r>
        <w:rPr>
          <w:color w:val="231F20"/>
          <w:w w:val="105"/>
        </w:rPr>
        <w:t>entre</w:t>
      </w:r>
      <w:r>
        <w:rPr>
          <w:color w:val="231F20"/>
          <w:spacing w:val="-15"/>
          <w:w w:val="105"/>
        </w:rPr>
        <w:t> </w:t>
      </w:r>
      <w:r>
        <w:rPr>
          <w:color w:val="231F20"/>
          <w:w w:val="105"/>
        </w:rPr>
        <w:t>presidente,</w:t>
      </w:r>
      <w:r>
        <w:rPr>
          <w:color w:val="231F20"/>
          <w:spacing w:val="-15"/>
          <w:w w:val="105"/>
        </w:rPr>
        <w:t> </w:t>
      </w:r>
      <w:r>
        <w:rPr>
          <w:color w:val="231F20"/>
          <w:w w:val="105"/>
        </w:rPr>
        <w:t>síndicos</w:t>
      </w:r>
      <w:r>
        <w:rPr>
          <w:color w:val="231F20"/>
          <w:spacing w:val="-15"/>
          <w:w w:val="105"/>
        </w:rPr>
        <w:t> </w:t>
      </w:r>
      <w:r>
        <w:rPr>
          <w:color w:val="231F20"/>
          <w:w w:val="105"/>
        </w:rPr>
        <w:t>y</w:t>
      </w:r>
      <w:r>
        <w:rPr>
          <w:color w:val="231F20"/>
          <w:spacing w:val="-15"/>
          <w:w w:val="105"/>
        </w:rPr>
        <w:t> </w:t>
      </w:r>
      <w:r>
        <w:rPr>
          <w:color w:val="231F20"/>
          <w:w w:val="105"/>
        </w:rPr>
        <w:t>regidores.</w:t>
      </w:r>
      <w:r>
        <w:rPr>
          <w:color w:val="231F20"/>
          <w:spacing w:val="-15"/>
          <w:w w:val="105"/>
        </w:rPr>
        <w:t> </w:t>
      </w:r>
      <w:r>
        <w:rPr>
          <w:color w:val="231F20"/>
          <w:w w:val="105"/>
        </w:rPr>
        <w:t>Aunque</w:t>
      </w:r>
      <w:r>
        <w:rPr>
          <w:color w:val="231F20"/>
          <w:spacing w:val="-15"/>
          <w:w w:val="105"/>
        </w:rPr>
        <w:t> </w:t>
      </w:r>
      <w:r>
        <w:rPr>
          <w:color w:val="231F20"/>
          <w:w w:val="105"/>
        </w:rPr>
        <w:t>no</w:t>
      </w:r>
      <w:r>
        <w:rPr>
          <w:color w:val="231F20"/>
          <w:spacing w:val="-15"/>
          <w:w w:val="105"/>
        </w:rPr>
        <w:t> </w:t>
      </w:r>
      <w:r>
        <w:rPr>
          <w:color w:val="231F20"/>
          <w:w w:val="105"/>
        </w:rPr>
        <w:t>fue</w:t>
      </w:r>
      <w:r>
        <w:rPr>
          <w:color w:val="231F20"/>
          <w:spacing w:val="-15"/>
          <w:w w:val="105"/>
        </w:rPr>
        <w:t> </w:t>
      </w:r>
      <w:r>
        <w:rPr>
          <w:color w:val="231F20"/>
          <w:w w:val="105"/>
        </w:rPr>
        <w:t>un</w:t>
      </w:r>
      <w:r>
        <w:rPr>
          <w:color w:val="231F20"/>
          <w:spacing w:val="-15"/>
          <w:w w:val="105"/>
        </w:rPr>
        <w:t> </w:t>
      </w:r>
      <w:r>
        <w:rPr>
          <w:color w:val="231F20"/>
          <w:w w:val="105"/>
        </w:rPr>
        <w:t>tema</w:t>
      </w:r>
      <w:r>
        <w:rPr>
          <w:color w:val="231F20"/>
          <w:spacing w:val="-15"/>
          <w:w w:val="105"/>
        </w:rPr>
        <w:t> </w:t>
      </w:r>
      <w:r>
        <w:rPr>
          <w:color w:val="231F20"/>
          <w:w w:val="105"/>
        </w:rPr>
        <w:t>tratado en</w:t>
      </w:r>
      <w:r>
        <w:rPr>
          <w:color w:val="231F20"/>
          <w:spacing w:val="-13"/>
          <w:w w:val="105"/>
        </w:rPr>
        <w:t> </w:t>
      </w:r>
      <w:r>
        <w:rPr>
          <w:color w:val="231F20"/>
          <w:w w:val="105"/>
        </w:rPr>
        <w:t>nuestras</w:t>
      </w:r>
      <w:r>
        <w:rPr>
          <w:color w:val="231F20"/>
          <w:spacing w:val="-13"/>
          <w:w w:val="105"/>
        </w:rPr>
        <w:t> </w:t>
      </w:r>
      <w:r>
        <w:rPr>
          <w:color w:val="231F20"/>
          <w:w w:val="105"/>
        </w:rPr>
        <w:t>investigaciones,</w:t>
      </w:r>
      <w:r>
        <w:rPr>
          <w:color w:val="231F20"/>
          <w:spacing w:val="-13"/>
          <w:w w:val="105"/>
        </w:rPr>
        <w:t> </w:t>
      </w:r>
      <w:r>
        <w:rPr>
          <w:color w:val="231F20"/>
          <w:w w:val="105"/>
        </w:rPr>
        <w:t>los</w:t>
      </w:r>
      <w:r>
        <w:rPr>
          <w:color w:val="231F20"/>
          <w:spacing w:val="-13"/>
          <w:w w:val="105"/>
        </w:rPr>
        <w:t> </w:t>
      </w:r>
      <w:r>
        <w:rPr>
          <w:color w:val="231F20"/>
          <w:w w:val="105"/>
        </w:rPr>
        <w:t>elevados</w:t>
      </w:r>
      <w:r>
        <w:rPr>
          <w:color w:val="231F20"/>
          <w:spacing w:val="-13"/>
          <w:w w:val="105"/>
        </w:rPr>
        <w:t> </w:t>
      </w:r>
      <w:r>
        <w:rPr>
          <w:color w:val="231F20"/>
          <w:w w:val="105"/>
        </w:rPr>
        <w:t>ingresos</w:t>
      </w:r>
      <w:r>
        <w:rPr>
          <w:color w:val="231F20"/>
          <w:spacing w:val="-13"/>
          <w:w w:val="105"/>
        </w:rPr>
        <w:t> </w:t>
      </w:r>
      <w:r>
        <w:rPr>
          <w:color w:val="231F20"/>
          <w:w w:val="105"/>
        </w:rPr>
        <w:t>salariales</w:t>
      </w:r>
      <w:r>
        <w:rPr>
          <w:color w:val="231F20"/>
          <w:spacing w:val="-13"/>
          <w:w w:val="105"/>
        </w:rPr>
        <w:t> </w:t>
      </w:r>
      <w:r>
        <w:rPr>
          <w:color w:val="231F20"/>
          <w:w w:val="105"/>
        </w:rPr>
        <w:t>de</w:t>
      </w:r>
      <w:r>
        <w:rPr>
          <w:color w:val="231F20"/>
          <w:spacing w:val="-13"/>
          <w:w w:val="105"/>
        </w:rPr>
        <w:t> </w:t>
      </w:r>
      <w:r>
        <w:rPr>
          <w:color w:val="231F20"/>
          <w:w w:val="105"/>
        </w:rPr>
        <w:t>muchos</w:t>
      </w:r>
      <w:r>
        <w:rPr>
          <w:color w:val="231F20"/>
          <w:spacing w:val="-13"/>
          <w:w w:val="105"/>
        </w:rPr>
        <w:t> </w:t>
      </w:r>
      <w:r>
        <w:rPr>
          <w:color w:val="231F20"/>
          <w:w w:val="105"/>
        </w:rPr>
        <w:t>ayuntamientos, principalmente del Estado de México, se explican solamente por el consentimiento de la</w:t>
      </w:r>
      <w:r>
        <w:rPr>
          <w:color w:val="231F20"/>
          <w:spacing w:val="-18"/>
          <w:w w:val="105"/>
        </w:rPr>
        <w:t> </w:t>
      </w:r>
      <w:r>
        <w:rPr>
          <w:color w:val="231F20"/>
          <w:w w:val="105"/>
        </w:rPr>
        <w:t>mayoría</w:t>
      </w:r>
      <w:r>
        <w:rPr>
          <w:color w:val="231F20"/>
          <w:spacing w:val="-18"/>
          <w:w w:val="105"/>
        </w:rPr>
        <w:t> </w:t>
      </w:r>
      <w:r>
        <w:rPr>
          <w:color w:val="231F20"/>
          <w:w w:val="105"/>
        </w:rPr>
        <w:t>de</w:t>
      </w:r>
      <w:r>
        <w:rPr>
          <w:color w:val="231F20"/>
          <w:spacing w:val="-18"/>
          <w:w w:val="105"/>
        </w:rPr>
        <w:t> </w:t>
      </w:r>
      <w:r>
        <w:rPr>
          <w:color w:val="231F20"/>
          <w:w w:val="105"/>
        </w:rPr>
        <w:t>sus</w:t>
      </w:r>
      <w:r>
        <w:rPr>
          <w:color w:val="231F20"/>
          <w:spacing w:val="-18"/>
          <w:w w:val="105"/>
        </w:rPr>
        <w:t> </w:t>
      </w:r>
      <w:r>
        <w:rPr>
          <w:color w:val="231F20"/>
          <w:w w:val="105"/>
        </w:rPr>
        <w:t>miembros.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3"/>
          <w:w w:val="105"/>
        </w:rPr>
        <w:t> </w:t>
      </w:r>
      <w:r>
        <w:rPr>
          <w:color w:val="231F20"/>
          <w:w w:val="105"/>
        </w:rPr>
        <w:t>regulación</w:t>
      </w:r>
      <w:r>
        <w:rPr>
          <w:color w:val="231F20"/>
          <w:spacing w:val="-13"/>
          <w:w w:val="105"/>
        </w:rPr>
        <w:t> </w:t>
      </w:r>
      <w:r>
        <w:rPr>
          <w:color w:val="231F20"/>
          <w:w w:val="105"/>
        </w:rPr>
        <w:t>del</w:t>
      </w:r>
      <w:r>
        <w:rPr>
          <w:color w:val="231F20"/>
          <w:spacing w:val="-13"/>
          <w:w w:val="105"/>
        </w:rPr>
        <w:t> </w:t>
      </w:r>
      <w:r>
        <w:rPr>
          <w:color w:val="231F20"/>
          <w:w w:val="105"/>
        </w:rPr>
        <w:t>trabajo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gobernantes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plano</w:t>
      </w:r>
      <w:r>
        <w:rPr>
          <w:color w:val="231F20"/>
          <w:spacing w:val="-13"/>
          <w:w w:val="105"/>
        </w:rPr>
        <w:t> </w:t>
      </w:r>
      <w:r>
        <w:rPr>
          <w:color w:val="231F20"/>
          <w:w w:val="105"/>
        </w:rPr>
        <w:t>local</w:t>
      </w:r>
      <w:r>
        <w:rPr>
          <w:color w:val="231F20"/>
          <w:spacing w:val="-13"/>
          <w:w w:val="105"/>
        </w:rPr>
        <w:t> </w:t>
      </w:r>
      <w:r>
        <w:rPr>
          <w:color w:val="231F20"/>
          <w:w w:val="105"/>
        </w:rPr>
        <w:t>no</w:t>
      </w:r>
      <w:r>
        <w:rPr>
          <w:color w:val="231F20"/>
          <w:spacing w:val="-13"/>
          <w:w w:val="105"/>
        </w:rPr>
        <w:t> </w:t>
      </w:r>
      <w:r>
        <w:rPr>
          <w:color w:val="231F20"/>
          <w:w w:val="105"/>
        </w:rPr>
        <w:t>es</w:t>
      </w:r>
      <w:r>
        <w:rPr>
          <w:color w:val="231F20"/>
          <w:spacing w:val="-13"/>
          <w:w w:val="105"/>
        </w:rPr>
        <w:t> </w:t>
      </w:r>
      <w:r>
        <w:rPr>
          <w:color w:val="231F20"/>
          <w:w w:val="105"/>
        </w:rPr>
        <w:t>necesariamente</w:t>
      </w:r>
      <w:r>
        <w:rPr>
          <w:color w:val="231F20"/>
          <w:spacing w:val="-13"/>
          <w:w w:val="105"/>
        </w:rPr>
        <w:t> </w:t>
      </w:r>
      <w:r>
        <w:rPr>
          <w:color w:val="231F20"/>
          <w:w w:val="105"/>
        </w:rPr>
        <w:t>una </w:t>
      </w:r>
      <w:r>
        <w:rPr>
          <w:color w:val="231F20"/>
          <w:spacing w:val="2"/>
          <w:w w:val="105"/>
        </w:rPr>
        <w:t>camisa</w:t>
      </w:r>
      <w:r>
        <w:rPr>
          <w:color w:val="231F20"/>
          <w:spacing w:val="-5"/>
          <w:w w:val="105"/>
        </w:rPr>
        <w:t> </w:t>
      </w:r>
      <w:r>
        <w:rPr>
          <w:color w:val="231F20"/>
          <w:w w:val="105"/>
        </w:rPr>
        <w:t>de</w:t>
      </w:r>
      <w:r>
        <w:rPr>
          <w:color w:val="231F20"/>
          <w:spacing w:val="-5"/>
          <w:w w:val="105"/>
        </w:rPr>
        <w:t> </w:t>
      </w:r>
      <w:r>
        <w:rPr>
          <w:color w:val="231F20"/>
          <w:w w:val="105"/>
        </w:rPr>
        <w:t>fuerza,</w:t>
      </w:r>
      <w:r>
        <w:rPr>
          <w:color w:val="231F20"/>
          <w:spacing w:val="-5"/>
          <w:w w:val="105"/>
        </w:rPr>
        <w:t> </w:t>
      </w:r>
      <w:r>
        <w:rPr>
          <w:color w:val="231F20"/>
          <w:spacing w:val="2"/>
          <w:w w:val="105"/>
        </w:rPr>
        <w:t>al</w:t>
      </w:r>
      <w:r>
        <w:rPr>
          <w:color w:val="231F20"/>
          <w:spacing w:val="-5"/>
          <w:w w:val="105"/>
        </w:rPr>
        <w:t> </w:t>
      </w:r>
      <w:r>
        <w:rPr>
          <w:color w:val="231F20"/>
          <w:w w:val="105"/>
        </w:rPr>
        <w:t>contrario,</w:t>
      </w:r>
      <w:r>
        <w:rPr>
          <w:color w:val="231F20"/>
          <w:spacing w:val="-5"/>
          <w:w w:val="105"/>
        </w:rPr>
        <w:t> </w:t>
      </w:r>
      <w:r>
        <w:rPr>
          <w:color w:val="231F20"/>
          <w:w w:val="105"/>
        </w:rPr>
        <w:t>en</w:t>
      </w:r>
      <w:r>
        <w:rPr>
          <w:color w:val="231F20"/>
          <w:spacing w:val="-5"/>
          <w:w w:val="105"/>
        </w:rPr>
        <w:t> </w:t>
      </w:r>
      <w:r>
        <w:rPr>
          <w:color w:val="231F20"/>
          <w:w w:val="105"/>
        </w:rPr>
        <w:t>ciertas</w:t>
      </w:r>
      <w:r>
        <w:rPr>
          <w:color w:val="231F20"/>
          <w:spacing w:val="-5"/>
          <w:w w:val="105"/>
        </w:rPr>
        <w:t> </w:t>
      </w:r>
      <w:r>
        <w:rPr>
          <w:color w:val="231F20"/>
          <w:w w:val="105"/>
        </w:rPr>
        <w:t>materias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mayor</w:t>
      </w:r>
      <w:r>
        <w:rPr>
          <w:color w:val="231F20"/>
          <w:spacing w:val="-5"/>
          <w:w w:val="105"/>
        </w:rPr>
        <w:t> </w:t>
      </w:r>
      <w:r>
        <w:rPr>
          <w:color w:val="231F20"/>
          <w:w w:val="105"/>
        </w:rPr>
        <w:t>relevancia</w:t>
      </w:r>
      <w:r>
        <w:rPr>
          <w:color w:val="231F20"/>
          <w:spacing w:val="-5"/>
          <w:w w:val="105"/>
        </w:rPr>
        <w:t> </w:t>
      </w:r>
      <w:r>
        <w:rPr>
          <w:color w:val="231F20"/>
          <w:w w:val="105"/>
        </w:rPr>
        <w:t>ha</w:t>
      </w:r>
      <w:r>
        <w:rPr>
          <w:color w:val="231F20"/>
          <w:spacing w:val="-5"/>
          <w:w w:val="105"/>
        </w:rPr>
        <w:t> </w:t>
      </w:r>
      <w:r>
        <w:rPr>
          <w:color w:val="231F20"/>
          <w:w w:val="105"/>
        </w:rPr>
        <w:t>permitido un</w:t>
      </w:r>
      <w:r>
        <w:rPr>
          <w:color w:val="231F20"/>
          <w:spacing w:val="-4"/>
          <w:w w:val="105"/>
        </w:rPr>
        <w:t> </w:t>
      </w:r>
      <w:r>
        <w:rPr>
          <w:color w:val="231F20"/>
          <w:w w:val="105"/>
        </w:rPr>
        <w:t>avance</w:t>
      </w:r>
      <w:r>
        <w:rPr>
          <w:color w:val="231F20"/>
          <w:spacing w:val="-4"/>
          <w:w w:val="105"/>
        </w:rPr>
        <w:t> </w:t>
      </w:r>
      <w:r>
        <w:rPr>
          <w:color w:val="231F20"/>
          <w:w w:val="105"/>
        </w:rPr>
        <w:t>significativo;</w:t>
      </w:r>
      <w:r>
        <w:rPr>
          <w:color w:val="231F20"/>
          <w:spacing w:val="-4"/>
          <w:w w:val="105"/>
        </w:rPr>
        <w:t> </w:t>
      </w:r>
      <w:r>
        <w:rPr>
          <w:color w:val="231F20"/>
          <w:w w:val="105"/>
        </w:rPr>
        <w:t>por</w:t>
      </w:r>
      <w:r>
        <w:rPr>
          <w:color w:val="231F20"/>
          <w:spacing w:val="-4"/>
          <w:w w:val="105"/>
        </w:rPr>
        <w:t> </w:t>
      </w:r>
      <w:r>
        <w:rPr>
          <w:color w:val="231F20"/>
          <w:spacing w:val="-3"/>
          <w:w w:val="105"/>
        </w:rPr>
        <w:t>ejemplo</w:t>
      </w:r>
      <w:r>
        <w:rPr>
          <w:color w:val="231F20"/>
          <w:spacing w:val="-4"/>
          <w:w w:val="105"/>
        </w:rPr>
        <w:t> </w:t>
      </w:r>
      <w:r>
        <w:rPr>
          <w:color w:val="231F20"/>
          <w:w w:val="105"/>
        </w:rPr>
        <w:t>en</w:t>
      </w:r>
      <w:r>
        <w:rPr>
          <w:color w:val="231F20"/>
          <w:spacing w:val="-4"/>
          <w:w w:val="105"/>
        </w:rPr>
        <w:t> </w:t>
      </w:r>
      <w:r>
        <w:rPr>
          <w:color w:val="231F20"/>
          <w:w w:val="105"/>
        </w:rPr>
        <w:t>cuanto</w:t>
      </w:r>
      <w:r>
        <w:rPr>
          <w:color w:val="231F20"/>
          <w:spacing w:val="-4"/>
          <w:w w:val="105"/>
        </w:rPr>
        <w:t> </w:t>
      </w:r>
      <w:r>
        <w:rPr>
          <w:color w:val="231F20"/>
          <w:w w:val="105"/>
        </w:rPr>
        <w:t>a</w:t>
      </w:r>
      <w:r>
        <w:rPr>
          <w:color w:val="231F20"/>
          <w:spacing w:val="-4"/>
          <w:w w:val="105"/>
        </w:rPr>
        <w:t> </w:t>
      </w:r>
      <w:r>
        <w:rPr>
          <w:color w:val="231F20"/>
          <w:w w:val="105"/>
        </w:rPr>
        <w:t>participación</w:t>
      </w:r>
      <w:r>
        <w:rPr>
          <w:color w:val="231F20"/>
          <w:spacing w:val="-4"/>
          <w:w w:val="105"/>
        </w:rPr>
        <w:t> </w:t>
      </w:r>
      <w:r>
        <w:rPr>
          <w:color w:val="231F20"/>
          <w:w w:val="105"/>
        </w:rPr>
        <w:t>ciudadana</w:t>
      </w:r>
      <w:r>
        <w:rPr>
          <w:color w:val="231F20"/>
          <w:spacing w:val="-4"/>
          <w:w w:val="105"/>
        </w:rPr>
        <w:t> </w:t>
      </w:r>
      <w:r>
        <w:rPr>
          <w:color w:val="231F20"/>
          <w:w w:val="105"/>
        </w:rPr>
        <w:t>y</w:t>
      </w:r>
      <w:r>
        <w:rPr>
          <w:color w:val="231F20"/>
          <w:spacing w:val="-4"/>
          <w:w w:val="105"/>
        </w:rPr>
        <w:t> </w:t>
      </w:r>
      <w:r>
        <w:rPr>
          <w:color w:val="231F20"/>
          <w:w w:val="105"/>
        </w:rPr>
        <w:t>acceso</w:t>
      </w:r>
      <w:r>
        <w:rPr>
          <w:color w:val="231F20"/>
          <w:spacing w:val="-4"/>
          <w:w w:val="105"/>
        </w:rPr>
        <w:t> </w:t>
      </w:r>
      <w:r>
        <w:rPr>
          <w:color w:val="231F20"/>
          <w:w w:val="105"/>
        </w:rPr>
        <w:t>a</w:t>
      </w:r>
      <w:r>
        <w:rPr>
          <w:color w:val="231F20"/>
          <w:spacing w:val="-4"/>
          <w:w w:val="105"/>
        </w:rPr>
        <w:t> </w:t>
      </w:r>
      <w:r>
        <w:rPr>
          <w:color w:val="231F20"/>
          <w:w w:val="105"/>
        </w:rPr>
        <w:t>la información. Paradójicamente es en estas mismas materias en </w:t>
      </w:r>
      <w:r>
        <w:rPr>
          <w:color w:val="231F20"/>
          <w:spacing w:val="-3"/>
          <w:w w:val="105"/>
        </w:rPr>
        <w:t>donde </w:t>
      </w:r>
      <w:r>
        <w:rPr>
          <w:color w:val="231F20"/>
          <w:w w:val="105"/>
        </w:rPr>
        <w:t>se dejan ver  </w:t>
      </w:r>
      <w:r>
        <w:rPr>
          <w:color w:val="231F20"/>
          <w:spacing w:val="14"/>
          <w:w w:val="105"/>
        </w:rPr>
        <w:t> </w:t>
      </w:r>
      <w:r>
        <w:rPr>
          <w:color w:val="231F20"/>
          <w:w w:val="105"/>
        </w:rPr>
        <w:t>las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dificultades reales para que tal avance sea amplio, completo y permanente en todos y cada uno de los ayuntamientos.</w:t>
      </w:r>
    </w:p>
    <w:p>
      <w:pPr>
        <w:pStyle w:val="BodyText"/>
        <w:spacing w:before="10"/>
      </w:pPr>
    </w:p>
    <w:p>
      <w:pPr>
        <w:pStyle w:val="Heading3"/>
      </w:pPr>
      <w:r>
        <w:rPr>
          <w:color w:val="231F20"/>
          <w:w w:val="105"/>
        </w:rPr>
        <w:t>Desempeño institucional</w:t>
      </w:r>
    </w:p>
    <w:p>
      <w:pPr>
        <w:pStyle w:val="BodyText"/>
        <w:spacing w:line="285" w:lineRule="auto" w:before="38"/>
        <w:ind w:left="110" w:right="107"/>
        <w:jc w:val="both"/>
      </w:pPr>
      <w:r>
        <w:rPr>
          <w:color w:val="231F20"/>
          <w:w w:val="105"/>
        </w:rPr>
        <w:t>En</w:t>
      </w:r>
      <w:r>
        <w:rPr>
          <w:color w:val="231F20"/>
          <w:spacing w:val="-11"/>
          <w:w w:val="105"/>
        </w:rPr>
        <w:t> </w:t>
      </w:r>
      <w:r>
        <w:rPr>
          <w:color w:val="231F20"/>
          <w:w w:val="105"/>
        </w:rPr>
        <w:t>esta</w:t>
      </w:r>
      <w:r>
        <w:rPr>
          <w:color w:val="231F20"/>
          <w:spacing w:val="-11"/>
          <w:w w:val="105"/>
        </w:rPr>
        <w:t> </w:t>
      </w:r>
      <w:r>
        <w:rPr>
          <w:color w:val="231F20"/>
          <w:w w:val="105"/>
        </w:rPr>
        <w:t>dimensión</w:t>
      </w:r>
      <w:r>
        <w:rPr>
          <w:color w:val="231F20"/>
          <w:spacing w:val="-11"/>
          <w:w w:val="105"/>
        </w:rPr>
        <w:t> </w:t>
      </w:r>
      <w:r>
        <w:rPr>
          <w:color w:val="231F20"/>
          <w:w w:val="105"/>
        </w:rPr>
        <w:t>hay</w:t>
      </w:r>
      <w:r>
        <w:rPr>
          <w:color w:val="231F20"/>
          <w:spacing w:val="-11"/>
          <w:w w:val="105"/>
        </w:rPr>
        <w:t> </w:t>
      </w:r>
      <w:r>
        <w:rPr>
          <w:color w:val="231F20"/>
          <w:w w:val="105"/>
        </w:rPr>
        <w:t>un</w:t>
      </w:r>
      <w:r>
        <w:rPr>
          <w:color w:val="231F20"/>
          <w:spacing w:val="-11"/>
          <w:w w:val="105"/>
        </w:rPr>
        <w:t> </w:t>
      </w:r>
      <w:r>
        <w:rPr>
          <w:color w:val="231F20"/>
          <w:w w:val="105"/>
        </w:rPr>
        <w:t>conjunto</w:t>
      </w:r>
      <w:r>
        <w:rPr>
          <w:color w:val="231F20"/>
          <w:spacing w:val="-11"/>
          <w:w w:val="105"/>
        </w:rPr>
        <w:t> </w:t>
      </w:r>
      <w:r>
        <w:rPr>
          <w:color w:val="231F20"/>
          <w:w w:val="105"/>
        </w:rPr>
        <w:t>de</w:t>
      </w:r>
      <w:r>
        <w:rPr>
          <w:color w:val="231F20"/>
          <w:spacing w:val="-11"/>
          <w:w w:val="105"/>
        </w:rPr>
        <w:t> </w:t>
      </w:r>
      <w:r>
        <w:rPr>
          <w:color w:val="231F20"/>
          <w:w w:val="105"/>
        </w:rPr>
        <w:t>elementos</w:t>
      </w:r>
      <w:r>
        <w:rPr>
          <w:color w:val="231F20"/>
          <w:spacing w:val="-11"/>
          <w:w w:val="105"/>
        </w:rPr>
        <w:t> </w:t>
      </w:r>
      <w:r>
        <w:rPr>
          <w:color w:val="231F20"/>
          <w:w w:val="105"/>
        </w:rPr>
        <w:t>que</w:t>
      </w:r>
      <w:r>
        <w:rPr>
          <w:color w:val="231F20"/>
          <w:spacing w:val="-11"/>
          <w:w w:val="105"/>
        </w:rPr>
        <w:t> </w:t>
      </w:r>
      <w:r>
        <w:rPr>
          <w:color w:val="231F20"/>
          <w:w w:val="105"/>
        </w:rPr>
        <w:t>caracterizan</w:t>
      </w:r>
      <w:r>
        <w:rPr>
          <w:color w:val="231F20"/>
          <w:spacing w:val="-11"/>
          <w:w w:val="105"/>
        </w:rPr>
        <w:t> </w:t>
      </w:r>
      <w:r>
        <w:rPr>
          <w:color w:val="231F20"/>
          <w:w w:val="105"/>
        </w:rPr>
        <w:t>las</w:t>
      </w:r>
      <w:r>
        <w:rPr>
          <w:color w:val="231F20"/>
          <w:spacing w:val="-11"/>
          <w:w w:val="105"/>
        </w:rPr>
        <w:t> </w:t>
      </w:r>
      <w:r>
        <w:rPr>
          <w:color w:val="231F20"/>
          <w:w w:val="105"/>
        </w:rPr>
        <w:t>administraciones estudiadas. La principal es la limitada autonomía financiera, puesto que lo normal es que los recursos del gobierno provengan de las arcas federales o estatales. En conse- cuencia,</w:t>
      </w:r>
      <w:r>
        <w:rPr>
          <w:color w:val="231F20"/>
          <w:spacing w:val="-17"/>
          <w:w w:val="105"/>
        </w:rPr>
        <w:t> </w:t>
      </w:r>
      <w:r>
        <w:rPr>
          <w:color w:val="231F20"/>
          <w:w w:val="105"/>
        </w:rPr>
        <w:t>la</w:t>
      </w:r>
      <w:r>
        <w:rPr>
          <w:color w:val="231F20"/>
          <w:spacing w:val="-17"/>
          <w:w w:val="105"/>
        </w:rPr>
        <w:t> </w:t>
      </w:r>
      <w:r>
        <w:rPr>
          <w:color w:val="231F20"/>
          <w:w w:val="105"/>
        </w:rPr>
        <w:t>capacidad</w:t>
      </w:r>
      <w:r>
        <w:rPr>
          <w:color w:val="231F20"/>
          <w:spacing w:val="-17"/>
          <w:w w:val="105"/>
        </w:rPr>
        <w:t> </w:t>
      </w:r>
      <w:r>
        <w:rPr>
          <w:color w:val="231F20"/>
          <w:w w:val="105"/>
        </w:rPr>
        <w:t>del</w:t>
      </w:r>
      <w:r>
        <w:rPr>
          <w:color w:val="231F20"/>
          <w:spacing w:val="-17"/>
          <w:w w:val="105"/>
        </w:rPr>
        <w:t> </w:t>
      </w:r>
      <w:r>
        <w:rPr>
          <w:color w:val="231F20"/>
          <w:w w:val="105"/>
        </w:rPr>
        <w:t>municipio</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manejo</w:t>
      </w:r>
      <w:r>
        <w:rPr>
          <w:color w:val="231F20"/>
          <w:spacing w:val="-17"/>
          <w:w w:val="105"/>
        </w:rPr>
        <w:t> </w:t>
      </w:r>
      <w:r>
        <w:rPr>
          <w:color w:val="231F20"/>
          <w:w w:val="105"/>
        </w:rPr>
        <w:t>del</w:t>
      </w:r>
      <w:r>
        <w:rPr>
          <w:color w:val="231F20"/>
          <w:spacing w:val="-17"/>
          <w:w w:val="105"/>
        </w:rPr>
        <w:t> </w:t>
      </w:r>
      <w:r>
        <w:rPr>
          <w:color w:val="231F20"/>
          <w:w w:val="105"/>
        </w:rPr>
        <w:t>presupuesto</w:t>
      </w:r>
      <w:r>
        <w:rPr>
          <w:color w:val="231F20"/>
          <w:spacing w:val="-17"/>
          <w:w w:val="105"/>
        </w:rPr>
        <w:t> </w:t>
      </w:r>
      <w:r>
        <w:rPr>
          <w:color w:val="231F20"/>
          <w:w w:val="105"/>
        </w:rPr>
        <w:t>es</w:t>
      </w:r>
      <w:r>
        <w:rPr>
          <w:color w:val="231F20"/>
          <w:spacing w:val="-17"/>
          <w:w w:val="105"/>
        </w:rPr>
        <w:t> </w:t>
      </w:r>
      <w:r>
        <w:rPr>
          <w:color w:val="231F20"/>
          <w:w w:val="105"/>
        </w:rPr>
        <w:t>limitada.</w:t>
      </w:r>
      <w:r>
        <w:rPr>
          <w:color w:val="231F20"/>
          <w:spacing w:val="-17"/>
          <w:w w:val="105"/>
        </w:rPr>
        <w:t> </w:t>
      </w:r>
      <w:r>
        <w:rPr>
          <w:color w:val="231F20"/>
          <w:w w:val="105"/>
        </w:rPr>
        <w:t>Hay</w:t>
      </w:r>
      <w:r>
        <w:rPr>
          <w:color w:val="231F20"/>
          <w:spacing w:val="-17"/>
          <w:w w:val="105"/>
        </w:rPr>
        <w:t> </w:t>
      </w:r>
      <w:r>
        <w:rPr>
          <w:color w:val="231F20"/>
          <w:spacing w:val="-3"/>
          <w:w w:val="105"/>
        </w:rPr>
        <w:t>ac- </w:t>
      </w:r>
      <w:r>
        <w:rPr>
          <w:color w:val="231F20"/>
          <w:w w:val="105"/>
        </w:rPr>
        <w:t>ciones</w:t>
      </w:r>
      <w:r>
        <w:rPr>
          <w:color w:val="231F20"/>
          <w:spacing w:val="-13"/>
          <w:w w:val="105"/>
        </w:rPr>
        <w:t> </w:t>
      </w:r>
      <w:r>
        <w:rPr>
          <w:color w:val="231F20"/>
          <w:w w:val="105"/>
        </w:rPr>
        <w:t>que</w:t>
      </w:r>
      <w:r>
        <w:rPr>
          <w:color w:val="231F20"/>
          <w:spacing w:val="-13"/>
          <w:w w:val="105"/>
        </w:rPr>
        <w:t> </w:t>
      </w:r>
      <w:r>
        <w:rPr>
          <w:color w:val="231F20"/>
          <w:w w:val="105"/>
        </w:rPr>
        <w:t>forzosamente</w:t>
      </w:r>
      <w:r>
        <w:rPr>
          <w:color w:val="231F20"/>
          <w:spacing w:val="-13"/>
          <w:w w:val="105"/>
        </w:rPr>
        <w:t> </w:t>
      </w:r>
      <w:r>
        <w:rPr>
          <w:color w:val="231F20"/>
          <w:w w:val="105"/>
        </w:rPr>
        <w:t>deben</w:t>
      </w:r>
      <w:r>
        <w:rPr>
          <w:color w:val="231F20"/>
          <w:spacing w:val="-13"/>
          <w:w w:val="105"/>
        </w:rPr>
        <w:t> </w:t>
      </w:r>
      <w:r>
        <w:rPr>
          <w:color w:val="231F20"/>
          <w:w w:val="105"/>
        </w:rPr>
        <w:t>replicarse</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plano</w:t>
      </w:r>
      <w:r>
        <w:rPr>
          <w:color w:val="231F20"/>
          <w:spacing w:val="-13"/>
          <w:w w:val="105"/>
        </w:rPr>
        <w:t> </w:t>
      </w:r>
      <w:r>
        <w:rPr>
          <w:color w:val="231F20"/>
          <w:w w:val="105"/>
        </w:rPr>
        <w:t>local,</w:t>
      </w:r>
      <w:r>
        <w:rPr>
          <w:color w:val="231F20"/>
          <w:spacing w:val="-13"/>
          <w:w w:val="105"/>
        </w:rPr>
        <w:t> </w:t>
      </w:r>
      <w:r>
        <w:rPr>
          <w:color w:val="231F20"/>
          <w:w w:val="105"/>
        </w:rPr>
        <w:t>pues</w:t>
      </w:r>
      <w:r>
        <w:rPr>
          <w:color w:val="231F20"/>
          <w:spacing w:val="-13"/>
          <w:w w:val="105"/>
        </w:rPr>
        <w:t> </w:t>
      </w:r>
      <w:r>
        <w:rPr>
          <w:color w:val="231F20"/>
          <w:w w:val="105"/>
        </w:rPr>
        <w:t>los</w:t>
      </w:r>
      <w:r>
        <w:rPr>
          <w:color w:val="231F20"/>
          <w:spacing w:val="-13"/>
          <w:w w:val="105"/>
        </w:rPr>
        <w:t> </w:t>
      </w:r>
      <w:r>
        <w:rPr>
          <w:color w:val="231F20"/>
          <w:w w:val="105"/>
        </w:rPr>
        <w:t>recursos</w:t>
      </w:r>
      <w:r>
        <w:rPr>
          <w:color w:val="231F20"/>
          <w:spacing w:val="-13"/>
          <w:w w:val="105"/>
        </w:rPr>
        <w:t> </w:t>
      </w:r>
      <w:r>
        <w:rPr>
          <w:color w:val="231F20"/>
          <w:w w:val="105"/>
        </w:rPr>
        <w:t>dependen de instancias nacionales, independientemente del grado de convicción ideológica que los gobernantes tengan </w:t>
      </w:r>
      <w:r>
        <w:rPr>
          <w:color w:val="231F20"/>
          <w:spacing w:val="2"/>
          <w:w w:val="105"/>
        </w:rPr>
        <w:t>al</w:t>
      </w:r>
      <w:r>
        <w:rPr>
          <w:color w:val="231F20"/>
          <w:spacing w:val="-42"/>
          <w:w w:val="105"/>
        </w:rPr>
        <w:t> </w:t>
      </w:r>
      <w:r>
        <w:rPr>
          <w:color w:val="231F20"/>
          <w:w w:val="105"/>
        </w:rPr>
        <w:t>respecto.</w:t>
      </w:r>
    </w:p>
    <w:p>
      <w:pPr>
        <w:pStyle w:val="BodyText"/>
        <w:spacing w:before="1"/>
        <w:rPr>
          <w:sz w:val="26"/>
        </w:rPr>
      </w:pPr>
    </w:p>
    <w:p>
      <w:pPr>
        <w:pStyle w:val="BodyText"/>
        <w:spacing w:line="285" w:lineRule="auto"/>
        <w:ind w:left="110" w:right="106"/>
        <w:jc w:val="both"/>
      </w:pPr>
      <w:r>
        <w:rPr>
          <w:color w:val="231F20"/>
          <w:spacing w:val="2"/>
          <w:w w:val="105"/>
        </w:rPr>
        <w:t>Los</w:t>
      </w:r>
      <w:r>
        <w:rPr>
          <w:color w:val="231F20"/>
          <w:spacing w:val="-10"/>
          <w:w w:val="105"/>
        </w:rPr>
        <w:t> </w:t>
      </w:r>
      <w:r>
        <w:rPr>
          <w:color w:val="231F20"/>
          <w:w w:val="105"/>
        </w:rPr>
        <w:t>municipios</w:t>
      </w:r>
      <w:r>
        <w:rPr>
          <w:color w:val="231F20"/>
          <w:spacing w:val="-10"/>
          <w:w w:val="105"/>
        </w:rPr>
        <w:t> </w:t>
      </w:r>
      <w:r>
        <w:rPr>
          <w:color w:val="231F20"/>
          <w:w w:val="105"/>
        </w:rPr>
        <w:t>con</w:t>
      </w:r>
      <w:r>
        <w:rPr>
          <w:color w:val="231F20"/>
          <w:spacing w:val="-10"/>
          <w:w w:val="105"/>
        </w:rPr>
        <w:t> </w:t>
      </w:r>
      <w:r>
        <w:rPr>
          <w:color w:val="231F20"/>
          <w:spacing w:val="3"/>
          <w:w w:val="105"/>
        </w:rPr>
        <w:t>un</w:t>
      </w:r>
      <w:r>
        <w:rPr>
          <w:color w:val="231F20"/>
          <w:spacing w:val="-10"/>
          <w:w w:val="105"/>
        </w:rPr>
        <w:t> </w:t>
      </w:r>
      <w:r>
        <w:rPr>
          <w:color w:val="231F20"/>
          <w:w w:val="105"/>
        </w:rPr>
        <w:t>alto</w:t>
      </w:r>
      <w:r>
        <w:rPr>
          <w:color w:val="231F20"/>
          <w:spacing w:val="-10"/>
          <w:w w:val="105"/>
        </w:rPr>
        <w:t> </w:t>
      </w:r>
      <w:r>
        <w:rPr>
          <w:color w:val="231F20"/>
          <w:w w:val="105"/>
        </w:rPr>
        <w:t>nivel</w:t>
      </w:r>
      <w:r>
        <w:rPr>
          <w:color w:val="231F20"/>
          <w:spacing w:val="-10"/>
          <w:w w:val="105"/>
        </w:rPr>
        <w:t> </w:t>
      </w:r>
      <w:r>
        <w:rPr>
          <w:color w:val="231F20"/>
          <w:w w:val="105"/>
        </w:rPr>
        <w:t>de</w:t>
      </w:r>
      <w:r>
        <w:rPr>
          <w:color w:val="231F20"/>
          <w:spacing w:val="-10"/>
          <w:w w:val="105"/>
        </w:rPr>
        <w:t> </w:t>
      </w:r>
      <w:r>
        <w:rPr>
          <w:color w:val="231F20"/>
          <w:w w:val="105"/>
        </w:rPr>
        <w:t>desarrollo,</w:t>
      </w:r>
      <w:r>
        <w:rPr>
          <w:color w:val="231F20"/>
          <w:spacing w:val="-10"/>
          <w:w w:val="105"/>
        </w:rPr>
        <w:t> </w:t>
      </w:r>
      <w:r>
        <w:rPr>
          <w:color w:val="231F20"/>
          <w:w w:val="105"/>
        </w:rPr>
        <w:t>como</w:t>
      </w:r>
      <w:r>
        <w:rPr>
          <w:color w:val="231F20"/>
          <w:spacing w:val="-10"/>
          <w:w w:val="105"/>
        </w:rPr>
        <w:t> </w:t>
      </w:r>
      <w:r>
        <w:rPr>
          <w:color w:val="231F20"/>
          <w:w w:val="105"/>
        </w:rPr>
        <w:t>Naucalpan,</w:t>
      </w:r>
      <w:r>
        <w:rPr>
          <w:color w:val="231F20"/>
          <w:spacing w:val="-10"/>
          <w:w w:val="105"/>
        </w:rPr>
        <w:t> </w:t>
      </w:r>
      <w:r>
        <w:rPr>
          <w:color w:val="231F20"/>
          <w:w w:val="105"/>
        </w:rPr>
        <w:t>tienen</w:t>
      </w:r>
      <w:r>
        <w:rPr>
          <w:color w:val="231F20"/>
          <w:spacing w:val="-10"/>
          <w:w w:val="105"/>
        </w:rPr>
        <w:t> </w:t>
      </w:r>
      <w:r>
        <w:rPr>
          <w:color w:val="231F20"/>
          <w:w w:val="105"/>
        </w:rPr>
        <w:t>ventajas,</w:t>
      </w:r>
      <w:r>
        <w:rPr>
          <w:color w:val="231F20"/>
          <w:spacing w:val="-10"/>
          <w:w w:val="105"/>
        </w:rPr>
        <w:t> </w:t>
      </w:r>
      <w:r>
        <w:rPr>
          <w:color w:val="231F20"/>
          <w:w w:val="105"/>
        </w:rPr>
        <w:t>pues sus </w:t>
      </w:r>
      <w:r>
        <w:rPr>
          <w:color w:val="231F20"/>
          <w:spacing w:val="2"/>
          <w:w w:val="105"/>
        </w:rPr>
        <w:t>recursos </w:t>
      </w:r>
      <w:r>
        <w:rPr>
          <w:color w:val="231F20"/>
          <w:w w:val="105"/>
        </w:rPr>
        <w:t>propios les </w:t>
      </w:r>
      <w:r>
        <w:rPr>
          <w:color w:val="231F20"/>
          <w:spacing w:val="2"/>
          <w:w w:val="105"/>
        </w:rPr>
        <w:t>dan </w:t>
      </w:r>
      <w:r>
        <w:rPr>
          <w:color w:val="231F20"/>
          <w:spacing w:val="3"/>
          <w:w w:val="105"/>
        </w:rPr>
        <w:t>un </w:t>
      </w:r>
      <w:r>
        <w:rPr>
          <w:color w:val="231F20"/>
          <w:w w:val="105"/>
        </w:rPr>
        <w:t>margen de </w:t>
      </w:r>
      <w:r>
        <w:rPr>
          <w:color w:val="231F20"/>
          <w:spacing w:val="2"/>
          <w:w w:val="105"/>
        </w:rPr>
        <w:t>maniobra </w:t>
      </w:r>
      <w:r>
        <w:rPr>
          <w:color w:val="231F20"/>
          <w:w w:val="105"/>
        </w:rPr>
        <w:t>mayor. La contribución de la </w:t>
      </w:r>
      <w:r>
        <w:rPr>
          <w:color w:val="231F20"/>
          <w:spacing w:val="2"/>
          <w:w w:val="105"/>
        </w:rPr>
        <w:t>iniciativa</w:t>
      </w:r>
      <w:r>
        <w:rPr>
          <w:color w:val="231F20"/>
          <w:spacing w:val="-5"/>
          <w:w w:val="105"/>
        </w:rPr>
        <w:t> </w:t>
      </w:r>
      <w:r>
        <w:rPr>
          <w:color w:val="231F20"/>
          <w:w w:val="105"/>
        </w:rPr>
        <w:t>privada</w:t>
      </w:r>
      <w:r>
        <w:rPr>
          <w:color w:val="231F20"/>
          <w:spacing w:val="-5"/>
          <w:w w:val="105"/>
        </w:rPr>
        <w:t> </w:t>
      </w:r>
      <w:r>
        <w:rPr>
          <w:color w:val="231F20"/>
          <w:w w:val="105"/>
        </w:rPr>
        <w:t>en</w:t>
      </w:r>
      <w:r>
        <w:rPr>
          <w:color w:val="231F20"/>
          <w:spacing w:val="-5"/>
          <w:w w:val="105"/>
        </w:rPr>
        <w:t> </w:t>
      </w:r>
      <w:r>
        <w:rPr>
          <w:color w:val="231F20"/>
          <w:w w:val="105"/>
        </w:rPr>
        <w:t>polos</w:t>
      </w:r>
      <w:r>
        <w:rPr>
          <w:color w:val="231F20"/>
          <w:spacing w:val="-5"/>
          <w:w w:val="105"/>
        </w:rPr>
        <w:t> </w:t>
      </w:r>
      <w:r>
        <w:rPr>
          <w:color w:val="231F20"/>
          <w:w w:val="105"/>
        </w:rPr>
        <w:t>de</w:t>
      </w:r>
      <w:r>
        <w:rPr>
          <w:color w:val="231F20"/>
          <w:spacing w:val="-5"/>
          <w:w w:val="105"/>
        </w:rPr>
        <w:t> </w:t>
      </w:r>
      <w:r>
        <w:rPr>
          <w:color w:val="231F20"/>
          <w:spacing w:val="2"/>
          <w:w w:val="105"/>
        </w:rPr>
        <w:t>desarrollo</w:t>
      </w:r>
      <w:r>
        <w:rPr>
          <w:color w:val="231F20"/>
          <w:spacing w:val="-5"/>
          <w:w w:val="105"/>
        </w:rPr>
        <w:t> </w:t>
      </w:r>
      <w:r>
        <w:rPr>
          <w:color w:val="231F20"/>
          <w:w w:val="105"/>
        </w:rPr>
        <w:t>consolidados</w:t>
      </w:r>
      <w:r>
        <w:rPr>
          <w:color w:val="231F20"/>
          <w:spacing w:val="-5"/>
          <w:w w:val="105"/>
        </w:rPr>
        <w:t> </w:t>
      </w:r>
      <w:r>
        <w:rPr>
          <w:color w:val="231F20"/>
          <w:w w:val="105"/>
        </w:rPr>
        <w:t>o</w:t>
      </w:r>
      <w:r>
        <w:rPr>
          <w:color w:val="231F20"/>
          <w:spacing w:val="-5"/>
          <w:w w:val="105"/>
        </w:rPr>
        <w:t> </w:t>
      </w:r>
      <w:r>
        <w:rPr>
          <w:color w:val="231F20"/>
          <w:w w:val="105"/>
        </w:rPr>
        <w:t>en</w:t>
      </w:r>
      <w:r>
        <w:rPr>
          <w:color w:val="231F20"/>
          <w:spacing w:val="-5"/>
          <w:w w:val="105"/>
        </w:rPr>
        <w:t> </w:t>
      </w:r>
      <w:r>
        <w:rPr>
          <w:color w:val="231F20"/>
          <w:w w:val="105"/>
        </w:rPr>
        <w:t>ciernes</w:t>
      </w:r>
      <w:r>
        <w:rPr>
          <w:color w:val="231F20"/>
          <w:spacing w:val="-5"/>
          <w:w w:val="105"/>
        </w:rPr>
        <w:t> </w:t>
      </w:r>
      <w:r>
        <w:rPr>
          <w:color w:val="231F20"/>
          <w:w w:val="105"/>
        </w:rPr>
        <w:t>llega</w:t>
      </w:r>
      <w:r>
        <w:rPr>
          <w:color w:val="231F20"/>
          <w:spacing w:val="-5"/>
          <w:w w:val="105"/>
        </w:rPr>
        <w:t> </w:t>
      </w:r>
      <w:r>
        <w:rPr>
          <w:color w:val="231F20"/>
          <w:w w:val="105"/>
        </w:rPr>
        <w:t>a</w:t>
      </w:r>
      <w:r>
        <w:rPr>
          <w:color w:val="231F20"/>
          <w:spacing w:val="-5"/>
          <w:w w:val="105"/>
        </w:rPr>
        <w:t> </w:t>
      </w:r>
      <w:r>
        <w:rPr>
          <w:color w:val="231F20"/>
          <w:w w:val="105"/>
        </w:rPr>
        <w:t>ser</w:t>
      </w:r>
      <w:r>
        <w:rPr>
          <w:color w:val="231F20"/>
          <w:spacing w:val="-5"/>
          <w:w w:val="105"/>
        </w:rPr>
        <w:t> </w:t>
      </w:r>
      <w:r>
        <w:rPr>
          <w:color w:val="231F20"/>
          <w:w w:val="105"/>
        </w:rPr>
        <w:t>relevan- te, no sólo económica sino políticamente. Hay municipios que </w:t>
      </w:r>
      <w:r>
        <w:rPr>
          <w:color w:val="231F20"/>
          <w:spacing w:val="2"/>
          <w:w w:val="105"/>
        </w:rPr>
        <w:t>sacan </w:t>
      </w:r>
      <w:r>
        <w:rPr>
          <w:color w:val="231F20"/>
          <w:w w:val="105"/>
        </w:rPr>
        <w:t>ventajas de sus </w:t>
      </w:r>
      <w:r>
        <w:rPr>
          <w:color w:val="231F20"/>
          <w:spacing w:val="2"/>
          <w:w w:val="105"/>
        </w:rPr>
        <w:t>características </w:t>
      </w:r>
      <w:r>
        <w:rPr>
          <w:color w:val="231F20"/>
          <w:spacing w:val="3"/>
          <w:w w:val="105"/>
        </w:rPr>
        <w:t>específicas, </w:t>
      </w:r>
      <w:r>
        <w:rPr>
          <w:color w:val="231F20"/>
          <w:w w:val="105"/>
        </w:rPr>
        <w:t>principalmente como centros </w:t>
      </w:r>
      <w:r>
        <w:rPr>
          <w:color w:val="231F20"/>
          <w:spacing w:val="3"/>
          <w:w w:val="105"/>
        </w:rPr>
        <w:t>turísticos </w:t>
      </w:r>
      <w:r>
        <w:rPr>
          <w:color w:val="231F20"/>
          <w:spacing w:val="-3"/>
          <w:w w:val="105"/>
        </w:rPr>
        <w:t>(como </w:t>
      </w:r>
      <w:r>
        <w:rPr>
          <w:color w:val="231F20"/>
          <w:w w:val="105"/>
        </w:rPr>
        <w:t>el </w:t>
      </w:r>
      <w:r>
        <w:rPr>
          <w:color w:val="231F20"/>
          <w:spacing w:val="2"/>
          <w:w w:val="105"/>
        </w:rPr>
        <w:t>caso </w:t>
      </w:r>
      <w:r>
        <w:rPr>
          <w:color w:val="231F20"/>
          <w:w w:val="105"/>
        </w:rPr>
        <w:t>de </w:t>
      </w:r>
      <w:r>
        <w:rPr>
          <w:color w:val="231F20"/>
          <w:spacing w:val="3"/>
          <w:w w:val="105"/>
        </w:rPr>
        <w:t>Ixtapan </w:t>
      </w:r>
      <w:r>
        <w:rPr>
          <w:color w:val="231F20"/>
          <w:w w:val="105"/>
        </w:rPr>
        <w:t>de la Sal), aunque a menudo la dependencia de </w:t>
      </w:r>
      <w:r>
        <w:rPr>
          <w:color w:val="231F20"/>
          <w:spacing w:val="3"/>
          <w:w w:val="105"/>
        </w:rPr>
        <w:t>una </w:t>
      </w:r>
      <w:r>
        <w:rPr>
          <w:color w:val="231F20"/>
          <w:w w:val="105"/>
        </w:rPr>
        <w:t>sola fuente de </w:t>
      </w:r>
      <w:r>
        <w:rPr>
          <w:color w:val="231F20"/>
          <w:spacing w:val="2"/>
          <w:w w:val="105"/>
        </w:rPr>
        <w:t>recursos </w:t>
      </w:r>
      <w:r>
        <w:rPr>
          <w:color w:val="231F20"/>
          <w:w w:val="105"/>
        </w:rPr>
        <w:t>constituye su </w:t>
      </w:r>
      <w:r>
        <w:rPr>
          <w:color w:val="231F20"/>
          <w:spacing w:val="2"/>
          <w:w w:val="105"/>
        </w:rPr>
        <w:t>talón </w:t>
      </w:r>
      <w:r>
        <w:rPr>
          <w:color w:val="231F20"/>
          <w:w w:val="105"/>
        </w:rPr>
        <w:t>de</w:t>
      </w:r>
      <w:r>
        <w:rPr>
          <w:color w:val="231F20"/>
          <w:spacing w:val="-11"/>
          <w:w w:val="105"/>
        </w:rPr>
        <w:t> </w:t>
      </w:r>
      <w:r>
        <w:rPr>
          <w:color w:val="231F20"/>
          <w:spacing w:val="2"/>
          <w:w w:val="105"/>
        </w:rPr>
        <w:t>Aquiles.</w:t>
      </w:r>
    </w:p>
    <w:p>
      <w:pPr>
        <w:pStyle w:val="BodyText"/>
        <w:spacing w:before="1"/>
        <w:rPr>
          <w:sz w:val="26"/>
        </w:rPr>
      </w:pPr>
    </w:p>
    <w:p>
      <w:pPr>
        <w:pStyle w:val="BodyText"/>
        <w:spacing w:line="285" w:lineRule="auto"/>
        <w:ind w:left="110" w:right="106"/>
        <w:jc w:val="both"/>
      </w:pPr>
      <w:r>
        <w:rPr>
          <w:color w:val="231F20"/>
          <w:w w:val="105"/>
        </w:rPr>
        <w:t>La</w:t>
      </w:r>
      <w:r>
        <w:rPr>
          <w:color w:val="231F20"/>
          <w:spacing w:val="-10"/>
          <w:w w:val="105"/>
        </w:rPr>
        <w:t> </w:t>
      </w:r>
      <w:r>
        <w:rPr>
          <w:color w:val="231F20"/>
          <w:w w:val="105"/>
        </w:rPr>
        <w:t>autonomía</w:t>
      </w:r>
      <w:r>
        <w:rPr>
          <w:color w:val="231F20"/>
          <w:spacing w:val="-10"/>
          <w:w w:val="105"/>
        </w:rPr>
        <w:t> </w:t>
      </w:r>
      <w:r>
        <w:rPr>
          <w:color w:val="231F20"/>
          <w:w w:val="105"/>
        </w:rPr>
        <w:t>política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municipio</w:t>
      </w:r>
      <w:r>
        <w:rPr>
          <w:color w:val="231F20"/>
          <w:spacing w:val="-10"/>
          <w:w w:val="105"/>
        </w:rPr>
        <w:t> </w:t>
      </w:r>
      <w:r>
        <w:rPr>
          <w:color w:val="231F20"/>
          <w:w w:val="105"/>
        </w:rPr>
        <w:t>es</w:t>
      </w:r>
      <w:r>
        <w:rPr>
          <w:color w:val="231F20"/>
          <w:spacing w:val="-10"/>
          <w:w w:val="105"/>
        </w:rPr>
        <w:t> </w:t>
      </w:r>
      <w:r>
        <w:rPr>
          <w:color w:val="231F20"/>
          <w:w w:val="105"/>
        </w:rPr>
        <w:t>endeble</w:t>
      </w:r>
      <w:r>
        <w:rPr>
          <w:color w:val="231F20"/>
          <w:spacing w:val="-10"/>
          <w:w w:val="105"/>
        </w:rPr>
        <w:t> </w:t>
      </w:r>
      <w:r>
        <w:rPr>
          <w:color w:val="231F20"/>
          <w:w w:val="105"/>
        </w:rPr>
        <w:t>porque</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mayoría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casos</w:t>
      </w:r>
      <w:r>
        <w:rPr>
          <w:color w:val="231F20"/>
          <w:spacing w:val="-10"/>
          <w:w w:val="105"/>
        </w:rPr>
        <w:t> </w:t>
      </w:r>
      <w:r>
        <w:rPr>
          <w:color w:val="231F20"/>
          <w:w w:val="105"/>
        </w:rPr>
        <w:t>los presidentes</w:t>
      </w:r>
      <w:r>
        <w:rPr>
          <w:color w:val="231F20"/>
          <w:spacing w:val="-16"/>
          <w:w w:val="105"/>
        </w:rPr>
        <w:t> </w:t>
      </w:r>
      <w:r>
        <w:rPr>
          <w:color w:val="231F20"/>
          <w:w w:val="105"/>
        </w:rPr>
        <w:t>municipales</w:t>
      </w:r>
      <w:r>
        <w:rPr>
          <w:color w:val="231F20"/>
          <w:spacing w:val="-16"/>
          <w:w w:val="105"/>
        </w:rPr>
        <w:t> </w:t>
      </w:r>
      <w:r>
        <w:rPr>
          <w:color w:val="231F20"/>
          <w:w w:val="105"/>
        </w:rPr>
        <w:t>pertenecen</w:t>
      </w:r>
      <w:r>
        <w:rPr>
          <w:color w:val="231F20"/>
          <w:spacing w:val="-16"/>
          <w:w w:val="105"/>
        </w:rPr>
        <w:t> </w:t>
      </w:r>
      <w:r>
        <w:rPr>
          <w:color w:val="231F20"/>
          <w:w w:val="105"/>
        </w:rPr>
        <w:t>a</w:t>
      </w:r>
      <w:r>
        <w:rPr>
          <w:color w:val="231F20"/>
          <w:spacing w:val="-16"/>
          <w:w w:val="105"/>
        </w:rPr>
        <w:t> </w:t>
      </w:r>
      <w:r>
        <w:rPr>
          <w:color w:val="231F20"/>
          <w:w w:val="105"/>
        </w:rPr>
        <w:t>corrientes</w:t>
      </w:r>
      <w:r>
        <w:rPr>
          <w:color w:val="231F20"/>
          <w:spacing w:val="-16"/>
          <w:w w:val="105"/>
        </w:rPr>
        <w:t> </w:t>
      </w:r>
      <w:r>
        <w:rPr>
          <w:color w:val="231F20"/>
          <w:w w:val="105"/>
        </w:rPr>
        <w:t>políticas</w:t>
      </w:r>
      <w:r>
        <w:rPr>
          <w:color w:val="231F20"/>
          <w:spacing w:val="-16"/>
          <w:w w:val="105"/>
        </w:rPr>
        <w:t> </w:t>
      </w:r>
      <w:r>
        <w:rPr>
          <w:color w:val="231F20"/>
          <w:w w:val="105"/>
        </w:rPr>
        <w:t>estatales</w:t>
      </w:r>
      <w:r>
        <w:rPr>
          <w:color w:val="231F20"/>
          <w:spacing w:val="-16"/>
          <w:w w:val="105"/>
        </w:rPr>
        <w:t> </w:t>
      </w:r>
      <w:r>
        <w:rPr>
          <w:color w:val="231F20"/>
          <w:w w:val="105"/>
        </w:rPr>
        <w:t>o</w:t>
      </w:r>
      <w:r>
        <w:rPr>
          <w:color w:val="231F20"/>
          <w:spacing w:val="-16"/>
          <w:w w:val="105"/>
        </w:rPr>
        <w:t> </w:t>
      </w:r>
      <w:r>
        <w:rPr>
          <w:color w:val="231F20"/>
          <w:w w:val="105"/>
        </w:rPr>
        <w:t>nacionales,</w:t>
      </w:r>
      <w:r>
        <w:rPr>
          <w:color w:val="231F20"/>
          <w:spacing w:val="-16"/>
          <w:w w:val="105"/>
        </w:rPr>
        <w:t> </w:t>
      </w:r>
      <w:r>
        <w:rPr>
          <w:color w:val="231F20"/>
          <w:w w:val="105"/>
        </w:rPr>
        <w:t>sin</w:t>
      </w:r>
      <w:r>
        <w:rPr>
          <w:color w:val="231F20"/>
          <w:spacing w:val="-16"/>
          <w:w w:val="105"/>
        </w:rPr>
        <w:t> </w:t>
      </w:r>
      <w:r>
        <w:rPr>
          <w:color w:val="231F20"/>
          <w:w w:val="105"/>
        </w:rPr>
        <w:t>que haya</w:t>
      </w:r>
      <w:r>
        <w:rPr>
          <w:color w:val="231F20"/>
          <w:spacing w:val="-7"/>
          <w:w w:val="105"/>
        </w:rPr>
        <w:t> </w:t>
      </w:r>
      <w:r>
        <w:rPr>
          <w:color w:val="231F20"/>
          <w:w w:val="105"/>
        </w:rPr>
        <w:t>una</w:t>
      </w:r>
      <w:r>
        <w:rPr>
          <w:color w:val="231F20"/>
          <w:spacing w:val="-7"/>
          <w:w w:val="105"/>
        </w:rPr>
        <w:t> </w:t>
      </w:r>
      <w:r>
        <w:rPr>
          <w:color w:val="231F20"/>
          <w:w w:val="105"/>
        </w:rPr>
        <w:t>preocupación</w:t>
      </w:r>
      <w:r>
        <w:rPr>
          <w:color w:val="231F20"/>
          <w:spacing w:val="-7"/>
          <w:w w:val="105"/>
        </w:rPr>
        <w:t> </w:t>
      </w:r>
      <w:r>
        <w:rPr>
          <w:color w:val="231F20"/>
          <w:w w:val="105"/>
        </w:rPr>
        <w:t>por</w:t>
      </w:r>
      <w:r>
        <w:rPr>
          <w:color w:val="231F20"/>
          <w:spacing w:val="-7"/>
          <w:w w:val="105"/>
        </w:rPr>
        <w:t> </w:t>
      </w:r>
      <w:r>
        <w:rPr>
          <w:color w:val="231F20"/>
          <w:w w:val="105"/>
        </w:rPr>
        <w:t>fortalecer</w:t>
      </w:r>
      <w:r>
        <w:rPr>
          <w:color w:val="231F20"/>
          <w:spacing w:val="-7"/>
          <w:w w:val="105"/>
        </w:rPr>
        <w:t> </w:t>
      </w:r>
      <w:r>
        <w:rPr>
          <w:color w:val="231F20"/>
          <w:w w:val="105"/>
        </w:rPr>
        <w:t>expresiones</w:t>
      </w:r>
      <w:r>
        <w:rPr>
          <w:color w:val="231F20"/>
          <w:spacing w:val="-7"/>
          <w:w w:val="105"/>
        </w:rPr>
        <w:t> </w:t>
      </w:r>
      <w:r>
        <w:rPr>
          <w:color w:val="231F20"/>
          <w:w w:val="105"/>
        </w:rPr>
        <w:t>más</w:t>
      </w:r>
      <w:r>
        <w:rPr>
          <w:color w:val="231F20"/>
          <w:spacing w:val="-7"/>
          <w:w w:val="105"/>
        </w:rPr>
        <w:t> </w:t>
      </w:r>
      <w:r>
        <w:rPr>
          <w:color w:val="231F20"/>
          <w:w w:val="105"/>
        </w:rPr>
        <w:t>locales</w:t>
      </w:r>
      <w:r>
        <w:rPr>
          <w:color w:val="231F20"/>
          <w:spacing w:val="-7"/>
          <w:w w:val="105"/>
        </w:rPr>
        <w:t> </w:t>
      </w:r>
      <w:r>
        <w:rPr>
          <w:color w:val="231F20"/>
          <w:w w:val="105"/>
        </w:rPr>
        <w:t>o</w:t>
      </w:r>
      <w:r>
        <w:rPr>
          <w:color w:val="231F20"/>
          <w:spacing w:val="-7"/>
          <w:w w:val="105"/>
        </w:rPr>
        <w:t> </w:t>
      </w:r>
      <w:r>
        <w:rPr>
          <w:color w:val="231F20"/>
          <w:w w:val="105"/>
        </w:rPr>
        <w:t>regionales.</w:t>
      </w:r>
      <w:r>
        <w:rPr>
          <w:color w:val="231F20"/>
          <w:spacing w:val="-7"/>
          <w:w w:val="105"/>
        </w:rPr>
        <w:t> </w:t>
      </w:r>
      <w:r>
        <w:rPr>
          <w:color w:val="231F20"/>
          <w:w w:val="105"/>
        </w:rPr>
        <w:t>Se</w:t>
      </w:r>
      <w:r>
        <w:rPr>
          <w:color w:val="231F20"/>
          <w:spacing w:val="-7"/>
          <w:w w:val="105"/>
        </w:rPr>
        <w:t> </w:t>
      </w:r>
      <w:r>
        <w:rPr>
          <w:color w:val="231F20"/>
          <w:w w:val="105"/>
        </w:rPr>
        <w:t>trata</w:t>
      </w:r>
      <w:r>
        <w:rPr>
          <w:color w:val="231F20"/>
          <w:spacing w:val="-7"/>
          <w:w w:val="105"/>
        </w:rPr>
        <w:t> </w:t>
      </w:r>
      <w:r>
        <w:rPr>
          <w:color w:val="231F20"/>
          <w:w w:val="105"/>
        </w:rPr>
        <w:t>de un funcionamiento natural de las corrientes políticas partidistas que deja en segundo plano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política</w:t>
      </w:r>
      <w:r>
        <w:rPr>
          <w:color w:val="231F20"/>
          <w:spacing w:val="-5"/>
          <w:w w:val="105"/>
        </w:rPr>
        <w:t> </w:t>
      </w:r>
      <w:r>
        <w:rPr>
          <w:color w:val="231F20"/>
          <w:w w:val="105"/>
        </w:rPr>
        <w:t>local.</w:t>
      </w:r>
      <w:r>
        <w:rPr>
          <w:color w:val="231F20"/>
          <w:spacing w:val="-5"/>
          <w:w w:val="105"/>
        </w:rPr>
        <w:t> </w:t>
      </w:r>
      <w:r>
        <w:rPr>
          <w:color w:val="231F20"/>
          <w:spacing w:val="-4"/>
          <w:w w:val="105"/>
        </w:rPr>
        <w:t>Tal</w:t>
      </w:r>
      <w:r>
        <w:rPr>
          <w:color w:val="231F20"/>
          <w:spacing w:val="-5"/>
          <w:w w:val="105"/>
        </w:rPr>
        <w:t> </w:t>
      </w:r>
      <w:r>
        <w:rPr>
          <w:color w:val="231F20"/>
          <w:spacing w:val="-3"/>
          <w:w w:val="105"/>
        </w:rPr>
        <w:t>fenómeno</w:t>
      </w:r>
      <w:r>
        <w:rPr>
          <w:color w:val="231F20"/>
          <w:spacing w:val="-5"/>
          <w:w w:val="105"/>
        </w:rPr>
        <w:t> </w:t>
      </w:r>
      <w:r>
        <w:rPr>
          <w:color w:val="231F20"/>
          <w:w w:val="105"/>
        </w:rPr>
        <w:t>no</w:t>
      </w:r>
      <w:r>
        <w:rPr>
          <w:color w:val="231F20"/>
          <w:spacing w:val="-5"/>
          <w:w w:val="105"/>
        </w:rPr>
        <w:t> </w:t>
      </w:r>
      <w:r>
        <w:rPr>
          <w:color w:val="231F20"/>
          <w:w w:val="105"/>
        </w:rPr>
        <w:t>evidenciaría</w:t>
      </w:r>
      <w:r>
        <w:rPr>
          <w:color w:val="231F20"/>
          <w:spacing w:val="-5"/>
          <w:w w:val="105"/>
        </w:rPr>
        <w:t> </w:t>
      </w:r>
      <w:r>
        <w:rPr>
          <w:color w:val="231F20"/>
          <w:spacing w:val="2"/>
          <w:w w:val="105"/>
        </w:rPr>
        <w:t>ningún</w:t>
      </w:r>
      <w:r>
        <w:rPr>
          <w:color w:val="231F20"/>
          <w:spacing w:val="-5"/>
          <w:w w:val="105"/>
        </w:rPr>
        <w:t> </w:t>
      </w:r>
      <w:r>
        <w:rPr>
          <w:color w:val="231F20"/>
          <w:w w:val="105"/>
        </w:rPr>
        <w:t>problema</w:t>
      </w:r>
      <w:r>
        <w:rPr>
          <w:color w:val="231F20"/>
          <w:spacing w:val="-5"/>
          <w:w w:val="105"/>
        </w:rPr>
        <w:t> </w:t>
      </w:r>
      <w:r>
        <w:rPr>
          <w:color w:val="231F20"/>
          <w:w w:val="105"/>
        </w:rPr>
        <w:t>de</w:t>
      </w:r>
      <w:r>
        <w:rPr>
          <w:color w:val="231F20"/>
          <w:spacing w:val="-5"/>
          <w:w w:val="105"/>
        </w:rPr>
        <w:t> </w:t>
      </w:r>
      <w:r>
        <w:rPr>
          <w:color w:val="231F20"/>
          <w:w w:val="105"/>
        </w:rPr>
        <w:t>no</w:t>
      </w:r>
      <w:r>
        <w:rPr>
          <w:color w:val="231F20"/>
          <w:spacing w:val="-5"/>
          <w:w w:val="105"/>
        </w:rPr>
        <w:t> </w:t>
      </w:r>
      <w:r>
        <w:rPr>
          <w:color w:val="231F20"/>
          <w:w w:val="105"/>
        </w:rPr>
        <w:t>ser</w:t>
      </w:r>
      <w:r>
        <w:rPr>
          <w:color w:val="231F20"/>
          <w:spacing w:val="-5"/>
          <w:w w:val="105"/>
        </w:rPr>
        <w:t> </w:t>
      </w:r>
      <w:r>
        <w:rPr>
          <w:color w:val="231F20"/>
          <w:spacing w:val="-3"/>
          <w:w w:val="105"/>
        </w:rPr>
        <w:t>por- </w:t>
      </w:r>
      <w:r>
        <w:rPr>
          <w:color w:val="231F20"/>
          <w:w w:val="105"/>
        </w:rPr>
        <w:t>que,</w:t>
      </w:r>
      <w:r>
        <w:rPr>
          <w:color w:val="231F20"/>
          <w:spacing w:val="-17"/>
          <w:w w:val="105"/>
        </w:rPr>
        <w:t> </w:t>
      </w:r>
      <w:r>
        <w:rPr>
          <w:color w:val="231F20"/>
          <w:spacing w:val="2"/>
          <w:w w:val="105"/>
        </w:rPr>
        <w:t>al</w:t>
      </w:r>
      <w:r>
        <w:rPr>
          <w:color w:val="231F20"/>
          <w:spacing w:val="-17"/>
          <w:w w:val="105"/>
        </w:rPr>
        <w:t> </w:t>
      </w:r>
      <w:r>
        <w:rPr>
          <w:color w:val="231F20"/>
          <w:w w:val="105"/>
        </w:rPr>
        <w:t>parecer,</w:t>
      </w:r>
      <w:r>
        <w:rPr>
          <w:color w:val="231F20"/>
          <w:spacing w:val="-17"/>
          <w:w w:val="105"/>
        </w:rPr>
        <w:t> </w:t>
      </w:r>
      <w:r>
        <w:rPr>
          <w:color w:val="231F20"/>
          <w:w w:val="105"/>
        </w:rPr>
        <w:t>esto</w:t>
      </w:r>
      <w:r>
        <w:rPr>
          <w:color w:val="231F20"/>
          <w:spacing w:val="-17"/>
          <w:w w:val="105"/>
        </w:rPr>
        <w:t> </w:t>
      </w:r>
      <w:r>
        <w:rPr>
          <w:color w:val="231F20"/>
          <w:w w:val="105"/>
        </w:rPr>
        <w:t>fomenta</w:t>
      </w:r>
      <w:r>
        <w:rPr>
          <w:color w:val="231F20"/>
          <w:spacing w:val="-17"/>
          <w:w w:val="105"/>
        </w:rPr>
        <w:t> </w:t>
      </w:r>
      <w:r>
        <w:rPr>
          <w:color w:val="231F20"/>
          <w:w w:val="105"/>
        </w:rPr>
        <w:t>la</w:t>
      </w:r>
      <w:r>
        <w:rPr>
          <w:color w:val="231F20"/>
          <w:spacing w:val="-17"/>
          <w:w w:val="105"/>
        </w:rPr>
        <w:t> </w:t>
      </w:r>
      <w:r>
        <w:rPr>
          <w:color w:val="231F20"/>
          <w:w w:val="105"/>
        </w:rPr>
        <w:t>búsqueda</w:t>
      </w:r>
      <w:r>
        <w:rPr>
          <w:color w:val="231F20"/>
          <w:spacing w:val="-17"/>
          <w:w w:val="105"/>
        </w:rPr>
        <w:t> </w:t>
      </w:r>
      <w:r>
        <w:rPr>
          <w:color w:val="231F20"/>
          <w:w w:val="105"/>
        </w:rPr>
        <w:t>de</w:t>
      </w:r>
      <w:r>
        <w:rPr>
          <w:color w:val="231F20"/>
          <w:spacing w:val="-17"/>
          <w:w w:val="105"/>
        </w:rPr>
        <w:t> </w:t>
      </w:r>
      <w:r>
        <w:rPr>
          <w:color w:val="231F20"/>
          <w:w w:val="105"/>
        </w:rPr>
        <w:t>intereses</w:t>
      </w:r>
      <w:r>
        <w:rPr>
          <w:color w:val="231F20"/>
          <w:spacing w:val="-17"/>
          <w:w w:val="105"/>
        </w:rPr>
        <w:t> </w:t>
      </w:r>
      <w:r>
        <w:rPr>
          <w:color w:val="231F20"/>
          <w:w w:val="105"/>
        </w:rPr>
        <w:t>personales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líderes</w:t>
      </w:r>
      <w:r>
        <w:rPr>
          <w:color w:val="231F20"/>
          <w:spacing w:val="-17"/>
          <w:w w:val="105"/>
        </w:rPr>
        <w:t> </w:t>
      </w:r>
      <w:r>
        <w:rPr>
          <w:color w:val="231F20"/>
          <w:w w:val="105"/>
        </w:rPr>
        <w:t>políticos y</w:t>
      </w:r>
      <w:r>
        <w:rPr>
          <w:color w:val="231F20"/>
          <w:spacing w:val="-13"/>
          <w:w w:val="105"/>
        </w:rPr>
        <w:t> </w:t>
      </w:r>
      <w:r>
        <w:rPr>
          <w:color w:val="231F20"/>
          <w:w w:val="105"/>
        </w:rPr>
        <w:t>no</w:t>
      </w:r>
      <w:r>
        <w:rPr>
          <w:color w:val="231F20"/>
          <w:spacing w:val="-13"/>
          <w:w w:val="105"/>
        </w:rPr>
        <w:t> </w:t>
      </w:r>
      <w:r>
        <w:rPr>
          <w:color w:val="231F20"/>
          <w:w w:val="105"/>
        </w:rPr>
        <w:t>de</w:t>
      </w:r>
      <w:r>
        <w:rPr>
          <w:color w:val="231F20"/>
          <w:spacing w:val="-13"/>
          <w:w w:val="105"/>
        </w:rPr>
        <w:t> </w:t>
      </w:r>
      <w:r>
        <w:rPr>
          <w:color w:val="231F20"/>
          <w:w w:val="105"/>
        </w:rPr>
        <w:t>grupo;</w:t>
      </w:r>
      <w:r>
        <w:rPr>
          <w:color w:val="231F20"/>
          <w:spacing w:val="-13"/>
          <w:w w:val="105"/>
        </w:rPr>
        <w:t> </w:t>
      </w:r>
      <w:r>
        <w:rPr>
          <w:color w:val="231F20"/>
          <w:w w:val="105"/>
        </w:rPr>
        <w:t>y</w:t>
      </w:r>
      <w:r>
        <w:rPr>
          <w:color w:val="231F20"/>
          <w:spacing w:val="-13"/>
          <w:w w:val="105"/>
        </w:rPr>
        <w:t> </w:t>
      </w:r>
      <w:r>
        <w:rPr>
          <w:color w:val="231F20"/>
          <w:spacing w:val="-3"/>
          <w:w w:val="105"/>
        </w:rPr>
        <w:t>mucho</w:t>
      </w:r>
      <w:r>
        <w:rPr>
          <w:color w:val="231F20"/>
          <w:spacing w:val="-13"/>
          <w:w w:val="105"/>
        </w:rPr>
        <w:t> </w:t>
      </w:r>
      <w:r>
        <w:rPr>
          <w:color w:val="231F20"/>
          <w:w w:val="105"/>
        </w:rPr>
        <w:t>menos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ciudadanía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localidad</w:t>
      </w:r>
      <w:r>
        <w:rPr>
          <w:color w:val="231F20"/>
          <w:spacing w:val="-13"/>
          <w:w w:val="105"/>
        </w:rPr>
        <w:t> </w:t>
      </w:r>
      <w:r>
        <w:rPr>
          <w:color w:val="231F20"/>
          <w:spacing w:val="-3"/>
          <w:w w:val="105"/>
        </w:rPr>
        <w:t>donde</w:t>
      </w:r>
      <w:r>
        <w:rPr>
          <w:color w:val="231F20"/>
          <w:spacing w:val="-13"/>
          <w:w w:val="105"/>
        </w:rPr>
        <w:t> </w:t>
      </w:r>
      <w:r>
        <w:rPr>
          <w:color w:val="231F20"/>
          <w:w w:val="105"/>
        </w:rPr>
        <w:t>gobierna.</w:t>
      </w:r>
    </w:p>
    <w:p>
      <w:pPr>
        <w:pStyle w:val="BodyText"/>
        <w:spacing w:before="1"/>
        <w:rPr>
          <w:sz w:val="26"/>
        </w:rPr>
      </w:pPr>
    </w:p>
    <w:p>
      <w:pPr>
        <w:pStyle w:val="BodyText"/>
        <w:spacing w:line="285" w:lineRule="auto"/>
        <w:ind w:left="110" w:right="107"/>
        <w:jc w:val="both"/>
      </w:pPr>
      <w:r>
        <w:rPr>
          <w:color w:val="231F20"/>
          <w:w w:val="105"/>
        </w:rPr>
        <w:t>La integración de funcionarios en la administración municipal está en manos del </w:t>
      </w:r>
      <w:r>
        <w:rPr>
          <w:color w:val="231F20"/>
          <w:spacing w:val="-3"/>
          <w:w w:val="105"/>
        </w:rPr>
        <w:t>pre- </w:t>
      </w:r>
      <w:r>
        <w:rPr>
          <w:color w:val="231F20"/>
          <w:w w:val="105"/>
        </w:rPr>
        <w:t>sidente</w:t>
      </w:r>
      <w:r>
        <w:rPr>
          <w:color w:val="231F20"/>
          <w:spacing w:val="-10"/>
          <w:w w:val="105"/>
        </w:rPr>
        <w:t> </w:t>
      </w:r>
      <w:r>
        <w:rPr>
          <w:color w:val="231F20"/>
          <w:w w:val="105"/>
        </w:rPr>
        <w:t>municipal.</w:t>
      </w:r>
      <w:r>
        <w:rPr>
          <w:color w:val="231F20"/>
          <w:spacing w:val="-10"/>
          <w:w w:val="105"/>
        </w:rPr>
        <w:t> </w:t>
      </w:r>
      <w:r>
        <w:rPr>
          <w:color w:val="231F20"/>
          <w:w w:val="105"/>
        </w:rPr>
        <w:t>Los</w:t>
      </w:r>
      <w:r>
        <w:rPr>
          <w:color w:val="231F20"/>
          <w:spacing w:val="-10"/>
          <w:w w:val="105"/>
        </w:rPr>
        <w:t> </w:t>
      </w:r>
      <w:r>
        <w:rPr>
          <w:color w:val="231F20"/>
          <w:w w:val="105"/>
        </w:rPr>
        <w:t>criterios</w:t>
      </w:r>
      <w:r>
        <w:rPr>
          <w:color w:val="231F20"/>
          <w:spacing w:val="-10"/>
          <w:w w:val="105"/>
        </w:rPr>
        <w:t> </w:t>
      </w:r>
      <w:r>
        <w:rPr>
          <w:color w:val="231F20"/>
          <w:w w:val="105"/>
        </w:rPr>
        <w:t>que</w:t>
      </w:r>
      <w:r>
        <w:rPr>
          <w:color w:val="231F20"/>
          <w:spacing w:val="-10"/>
          <w:w w:val="105"/>
        </w:rPr>
        <w:t> </w:t>
      </w:r>
      <w:r>
        <w:rPr>
          <w:color w:val="231F20"/>
          <w:w w:val="105"/>
        </w:rPr>
        <w:t>sigue</w:t>
      </w:r>
      <w:r>
        <w:rPr>
          <w:color w:val="231F20"/>
          <w:spacing w:val="-10"/>
          <w:w w:val="105"/>
        </w:rPr>
        <w:t> </w:t>
      </w:r>
      <w:r>
        <w:rPr>
          <w:color w:val="231F20"/>
          <w:w w:val="105"/>
        </w:rPr>
        <w:t>para</w:t>
      </w:r>
      <w:r>
        <w:rPr>
          <w:color w:val="231F20"/>
          <w:spacing w:val="-10"/>
          <w:w w:val="105"/>
        </w:rPr>
        <w:t> </w:t>
      </w:r>
      <w:r>
        <w:rPr>
          <w:color w:val="231F20"/>
          <w:w w:val="105"/>
        </w:rPr>
        <w:t>ello</w:t>
      </w:r>
      <w:r>
        <w:rPr>
          <w:color w:val="231F20"/>
          <w:spacing w:val="-10"/>
          <w:w w:val="105"/>
        </w:rPr>
        <w:t> </w:t>
      </w:r>
      <w:r>
        <w:rPr>
          <w:color w:val="231F20"/>
          <w:w w:val="105"/>
        </w:rPr>
        <w:t>no</w:t>
      </w:r>
      <w:r>
        <w:rPr>
          <w:color w:val="231F20"/>
          <w:spacing w:val="-10"/>
          <w:w w:val="105"/>
        </w:rPr>
        <w:t> </w:t>
      </w:r>
      <w:r>
        <w:rPr>
          <w:color w:val="231F20"/>
          <w:w w:val="105"/>
        </w:rPr>
        <w:t>solamente</w:t>
      </w:r>
      <w:r>
        <w:rPr>
          <w:color w:val="231F20"/>
          <w:spacing w:val="-10"/>
          <w:w w:val="105"/>
        </w:rPr>
        <w:t> </w:t>
      </w:r>
      <w:r>
        <w:rPr>
          <w:color w:val="231F20"/>
          <w:w w:val="105"/>
        </w:rPr>
        <w:t>implican</w:t>
      </w:r>
      <w:r>
        <w:rPr>
          <w:color w:val="231F20"/>
          <w:spacing w:val="-10"/>
          <w:w w:val="105"/>
        </w:rPr>
        <w:t> </w:t>
      </w:r>
      <w:r>
        <w:rPr>
          <w:color w:val="231F20"/>
          <w:w w:val="105"/>
        </w:rPr>
        <w:t>aptitudes</w:t>
      </w:r>
      <w:r>
        <w:rPr>
          <w:color w:val="231F20"/>
          <w:spacing w:val="-10"/>
          <w:w w:val="105"/>
        </w:rPr>
        <w:t> </w:t>
      </w:r>
      <w:r>
        <w:rPr>
          <w:color w:val="231F20"/>
          <w:w w:val="105"/>
        </w:rPr>
        <w:t>de los</w:t>
      </w:r>
      <w:r>
        <w:rPr>
          <w:color w:val="231F20"/>
          <w:spacing w:val="-23"/>
          <w:w w:val="105"/>
        </w:rPr>
        <w:t> </w:t>
      </w:r>
      <w:r>
        <w:rPr>
          <w:color w:val="231F20"/>
          <w:w w:val="105"/>
        </w:rPr>
        <w:t>nuevos</w:t>
      </w:r>
      <w:r>
        <w:rPr>
          <w:color w:val="231F20"/>
          <w:spacing w:val="-23"/>
          <w:w w:val="105"/>
        </w:rPr>
        <w:t> </w:t>
      </w:r>
      <w:r>
        <w:rPr>
          <w:color w:val="231F20"/>
          <w:w w:val="105"/>
        </w:rPr>
        <w:t>gobernantes,</w:t>
      </w:r>
      <w:r>
        <w:rPr>
          <w:color w:val="231F20"/>
          <w:spacing w:val="-23"/>
          <w:w w:val="105"/>
        </w:rPr>
        <w:t> </w:t>
      </w:r>
      <w:r>
        <w:rPr>
          <w:color w:val="231F20"/>
          <w:w w:val="105"/>
        </w:rPr>
        <w:t>sino</w:t>
      </w:r>
      <w:r>
        <w:rPr>
          <w:color w:val="231F20"/>
          <w:spacing w:val="-23"/>
          <w:w w:val="105"/>
        </w:rPr>
        <w:t> </w:t>
      </w:r>
      <w:r>
        <w:rPr>
          <w:color w:val="231F20"/>
          <w:w w:val="105"/>
        </w:rPr>
        <w:t>también</w:t>
      </w:r>
      <w:r>
        <w:rPr>
          <w:color w:val="231F20"/>
          <w:spacing w:val="-23"/>
          <w:w w:val="105"/>
        </w:rPr>
        <w:t> </w:t>
      </w:r>
      <w:r>
        <w:rPr>
          <w:color w:val="231F20"/>
          <w:w w:val="105"/>
        </w:rPr>
        <w:t>lealtades</w:t>
      </w:r>
      <w:r>
        <w:rPr>
          <w:color w:val="231F20"/>
          <w:spacing w:val="-23"/>
          <w:w w:val="105"/>
        </w:rPr>
        <w:t> </w:t>
      </w:r>
      <w:r>
        <w:rPr>
          <w:color w:val="231F20"/>
          <w:w w:val="105"/>
        </w:rPr>
        <w:t>y</w:t>
      </w:r>
      <w:r>
        <w:rPr>
          <w:color w:val="231F20"/>
          <w:spacing w:val="-23"/>
          <w:w w:val="105"/>
        </w:rPr>
        <w:t> </w:t>
      </w:r>
      <w:r>
        <w:rPr>
          <w:color w:val="231F20"/>
          <w:w w:val="105"/>
        </w:rPr>
        <w:t>compromisos</w:t>
      </w:r>
      <w:r>
        <w:rPr>
          <w:color w:val="231F20"/>
          <w:spacing w:val="-23"/>
          <w:w w:val="105"/>
        </w:rPr>
        <w:t> </w:t>
      </w:r>
      <w:r>
        <w:rPr>
          <w:color w:val="231F20"/>
          <w:w w:val="105"/>
        </w:rPr>
        <w:t>políticos,</w:t>
      </w:r>
      <w:r>
        <w:rPr>
          <w:color w:val="231F20"/>
          <w:spacing w:val="-23"/>
          <w:w w:val="105"/>
        </w:rPr>
        <w:t> </w:t>
      </w:r>
      <w:r>
        <w:rPr>
          <w:color w:val="231F20"/>
          <w:w w:val="105"/>
        </w:rPr>
        <w:t>como</w:t>
      </w:r>
      <w:r>
        <w:rPr>
          <w:color w:val="231F20"/>
          <w:spacing w:val="-23"/>
          <w:w w:val="105"/>
        </w:rPr>
        <w:t> </w:t>
      </w:r>
      <w:r>
        <w:rPr>
          <w:color w:val="231F20"/>
          <w:w w:val="105"/>
        </w:rPr>
        <w:t>en</w:t>
      </w:r>
      <w:r>
        <w:rPr>
          <w:color w:val="231F20"/>
          <w:spacing w:val="-23"/>
          <w:w w:val="105"/>
        </w:rPr>
        <w:t> </w:t>
      </w:r>
      <w:r>
        <w:rPr>
          <w:color w:val="231F20"/>
          <w:w w:val="105"/>
        </w:rPr>
        <w:t>Huix-</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quilucan, Chimalhuacán o Amecameca. </w:t>
      </w:r>
      <w:r>
        <w:rPr>
          <w:color w:val="231F20"/>
          <w:spacing w:val="-3"/>
          <w:w w:val="105"/>
        </w:rPr>
        <w:t>Por </w:t>
      </w:r>
      <w:r>
        <w:rPr>
          <w:color w:val="231F20"/>
          <w:w w:val="105"/>
        </w:rPr>
        <w:t>ello, la estabilidad de dichos funcionarios no está del todo garantizada.</w:t>
      </w:r>
    </w:p>
    <w:p>
      <w:pPr>
        <w:pStyle w:val="BodyText"/>
        <w:spacing w:before="1"/>
        <w:rPr>
          <w:sz w:val="26"/>
        </w:rPr>
      </w:pPr>
    </w:p>
    <w:p>
      <w:pPr>
        <w:pStyle w:val="BodyText"/>
        <w:spacing w:line="285" w:lineRule="auto"/>
        <w:ind w:left="110" w:right="108"/>
        <w:jc w:val="both"/>
      </w:pPr>
      <w:r>
        <w:rPr>
          <w:color w:val="231F20"/>
          <w:w w:val="105"/>
        </w:rPr>
        <w:t>La</w:t>
      </w:r>
      <w:r>
        <w:rPr>
          <w:color w:val="231F20"/>
          <w:spacing w:val="-21"/>
          <w:w w:val="105"/>
        </w:rPr>
        <w:t> </w:t>
      </w:r>
      <w:r>
        <w:rPr>
          <w:color w:val="231F20"/>
          <w:w w:val="105"/>
        </w:rPr>
        <w:t>eficacia</w:t>
      </w:r>
      <w:r>
        <w:rPr>
          <w:color w:val="231F20"/>
          <w:spacing w:val="-21"/>
          <w:w w:val="105"/>
        </w:rPr>
        <w:t> </w:t>
      </w:r>
      <w:r>
        <w:rPr>
          <w:color w:val="231F20"/>
          <w:w w:val="105"/>
        </w:rPr>
        <w:t>administrativa</w:t>
      </w:r>
      <w:r>
        <w:rPr>
          <w:color w:val="231F20"/>
          <w:spacing w:val="-21"/>
          <w:w w:val="105"/>
        </w:rPr>
        <w:t> </w:t>
      </w:r>
      <w:r>
        <w:rPr>
          <w:color w:val="231F20"/>
          <w:w w:val="105"/>
        </w:rPr>
        <w:t>se</w:t>
      </w:r>
      <w:r>
        <w:rPr>
          <w:color w:val="231F20"/>
          <w:spacing w:val="-21"/>
          <w:w w:val="105"/>
        </w:rPr>
        <w:t> </w:t>
      </w:r>
      <w:r>
        <w:rPr>
          <w:color w:val="231F20"/>
          <w:w w:val="105"/>
        </w:rPr>
        <w:t>evalúa</w:t>
      </w:r>
      <w:r>
        <w:rPr>
          <w:color w:val="231F20"/>
          <w:spacing w:val="-21"/>
          <w:w w:val="105"/>
        </w:rPr>
        <w:t> </w:t>
      </w:r>
      <w:r>
        <w:rPr>
          <w:color w:val="231F20"/>
          <w:w w:val="105"/>
        </w:rPr>
        <w:t>con</w:t>
      </w:r>
      <w:r>
        <w:rPr>
          <w:color w:val="231F20"/>
          <w:spacing w:val="-21"/>
          <w:w w:val="105"/>
        </w:rPr>
        <w:t> </w:t>
      </w:r>
      <w:r>
        <w:rPr>
          <w:color w:val="231F20"/>
          <w:w w:val="105"/>
        </w:rPr>
        <w:t>base</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profesionalización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cuadros</w:t>
      </w:r>
      <w:r>
        <w:rPr>
          <w:color w:val="231F20"/>
          <w:spacing w:val="-21"/>
          <w:w w:val="105"/>
        </w:rPr>
        <w:t> </w:t>
      </w:r>
      <w:r>
        <w:rPr>
          <w:color w:val="231F20"/>
          <w:spacing w:val="-3"/>
          <w:w w:val="105"/>
        </w:rPr>
        <w:t>bu- </w:t>
      </w:r>
      <w:r>
        <w:rPr>
          <w:color w:val="231F20"/>
          <w:w w:val="105"/>
        </w:rPr>
        <w:t>rocráticos,</w:t>
      </w:r>
      <w:r>
        <w:rPr>
          <w:color w:val="231F20"/>
          <w:spacing w:val="-12"/>
          <w:w w:val="105"/>
        </w:rPr>
        <w:t> </w:t>
      </w:r>
      <w:r>
        <w:rPr>
          <w:color w:val="231F20"/>
          <w:spacing w:val="2"/>
          <w:w w:val="105"/>
        </w:rPr>
        <w:t>al</w:t>
      </w:r>
      <w:r>
        <w:rPr>
          <w:color w:val="231F20"/>
          <w:spacing w:val="-12"/>
          <w:w w:val="105"/>
        </w:rPr>
        <w:t> </w:t>
      </w:r>
      <w:r>
        <w:rPr>
          <w:color w:val="231F20"/>
          <w:w w:val="105"/>
        </w:rPr>
        <w:t>parecer</w:t>
      </w:r>
      <w:r>
        <w:rPr>
          <w:color w:val="231F20"/>
          <w:spacing w:val="-12"/>
          <w:w w:val="105"/>
        </w:rPr>
        <w:t> </w:t>
      </w:r>
      <w:r>
        <w:rPr>
          <w:color w:val="231F20"/>
          <w:w w:val="105"/>
        </w:rPr>
        <w:t>el</w:t>
      </w:r>
      <w:r>
        <w:rPr>
          <w:color w:val="231F20"/>
          <w:spacing w:val="-12"/>
          <w:w w:val="105"/>
        </w:rPr>
        <w:t> </w:t>
      </w:r>
      <w:r>
        <w:rPr>
          <w:color w:val="231F20"/>
          <w:w w:val="105"/>
        </w:rPr>
        <w:t>tamaño</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w w:val="105"/>
        </w:rPr>
        <w:t>incide</w:t>
      </w:r>
      <w:r>
        <w:rPr>
          <w:color w:val="231F20"/>
          <w:spacing w:val="-12"/>
          <w:w w:val="105"/>
        </w:rPr>
        <w:t> </w:t>
      </w:r>
      <w:r>
        <w:rPr>
          <w:color w:val="231F20"/>
          <w:w w:val="105"/>
        </w:rPr>
        <w:t>significativamente</w:t>
      </w:r>
      <w:r>
        <w:rPr>
          <w:color w:val="231F20"/>
          <w:spacing w:val="-12"/>
          <w:w w:val="105"/>
        </w:rPr>
        <w:t> </w:t>
      </w:r>
      <w:r>
        <w:rPr>
          <w:color w:val="231F20"/>
          <w:w w:val="105"/>
        </w:rPr>
        <w:t>como</w:t>
      </w:r>
      <w:r>
        <w:rPr>
          <w:color w:val="231F20"/>
          <w:spacing w:val="-12"/>
          <w:w w:val="105"/>
        </w:rPr>
        <w:t> </w:t>
      </w:r>
      <w:r>
        <w:rPr>
          <w:color w:val="231F20"/>
          <w:w w:val="105"/>
        </w:rPr>
        <w:t>se</w:t>
      </w:r>
      <w:r>
        <w:rPr>
          <w:color w:val="231F20"/>
          <w:spacing w:val="-12"/>
          <w:w w:val="105"/>
        </w:rPr>
        <w:t> </w:t>
      </w:r>
      <w:r>
        <w:rPr>
          <w:color w:val="231F20"/>
          <w:w w:val="105"/>
        </w:rPr>
        <w:t>perci- be</w:t>
      </w:r>
      <w:r>
        <w:rPr>
          <w:color w:val="231F20"/>
          <w:spacing w:val="-21"/>
          <w:w w:val="105"/>
        </w:rPr>
        <w:t> </w:t>
      </w:r>
      <w:r>
        <w:rPr>
          <w:color w:val="231F20"/>
          <w:w w:val="105"/>
        </w:rPr>
        <w:t>en</w:t>
      </w:r>
      <w:r>
        <w:rPr>
          <w:color w:val="231F20"/>
          <w:spacing w:val="-21"/>
          <w:w w:val="105"/>
        </w:rPr>
        <w:t> </w:t>
      </w:r>
      <w:r>
        <w:rPr>
          <w:color w:val="231F20"/>
          <w:w w:val="105"/>
        </w:rPr>
        <w:t>Ozumba,</w:t>
      </w:r>
      <w:r>
        <w:rPr>
          <w:color w:val="231F20"/>
          <w:spacing w:val="-21"/>
          <w:w w:val="105"/>
        </w:rPr>
        <w:t> </w:t>
      </w:r>
      <w:r>
        <w:rPr>
          <w:color w:val="231F20"/>
          <w:w w:val="105"/>
        </w:rPr>
        <w:t>Atlautla,</w:t>
      </w:r>
      <w:r>
        <w:rPr>
          <w:color w:val="231F20"/>
          <w:spacing w:val="-21"/>
          <w:w w:val="105"/>
        </w:rPr>
        <w:t> </w:t>
      </w:r>
      <w:r>
        <w:rPr>
          <w:color w:val="231F20"/>
          <w:w w:val="105"/>
        </w:rPr>
        <w:t>y</w:t>
      </w:r>
      <w:r>
        <w:rPr>
          <w:color w:val="231F20"/>
          <w:spacing w:val="-21"/>
          <w:w w:val="105"/>
        </w:rPr>
        <w:t> </w:t>
      </w:r>
      <w:r>
        <w:rPr>
          <w:color w:val="231F20"/>
          <w:w w:val="105"/>
        </w:rPr>
        <w:t>relativamente</w:t>
      </w:r>
      <w:r>
        <w:rPr>
          <w:color w:val="231F20"/>
          <w:spacing w:val="-21"/>
          <w:w w:val="105"/>
        </w:rPr>
        <w:t> </w:t>
      </w:r>
      <w:r>
        <w:rPr>
          <w:color w:val="231F20"/>
          <w:w w:val="105"/>
        </w:rPr>
        <w:t>en</w:t>
      </w:r>
      <w:r>
        <w:rPr>
          <w:color w:val="231F20"/>
          <w:spacing w:val="-21"/>
          <w:w w:val="105"/>
        </w:rPr>
        <w:t> </w:t>
      </w:r>
      <w:r>
        <w:rPr>
          <w:color w:val="231F20"/>
          <w:w w:val="105"/>
        </w:rPr>
        <w:t>Amecameca</w:t>
      </w:r>
      <w:r>
        <w:rPr>
          <w:color w:val="231F20"/>
          <w:spacing w:val="-21"/>
          <w:w w:val="105"/>
        </w:rPr>
        <w:t> </w:t>
      </w:r>
      <w:r>
        <w:rPr>
          <w:color w:val="231F20"/>
          <w:w w:val="105"/>
        </w:rPr>
        <w:t>y</w:t>
      </w:r>
      <w:r>
        <w:rPr>
          <w:color w:val="231F20"/>
          <w:spacing w:val="-21"/>
          <w:w w:val="105"/>
        </w:rPr>
        <w:t> </w:t>
      </w:r>
      <w:r>
        <w:rPr>
          <w:color w:val="231F20"/>
          <w:w w:val="105"/>
        </w:rPr>
        <w:t>Tepotzotlán.</w:t>
      </w:r>
      <w:r>
        <w:rPr>
          <w:color w:val="231F20"/>
          <w:spacing w:val="-21"/>
          <w:w w:val="105"/>
        </w:rPr>
        <w:t> </w:t>
      </w:r>
      <w:r>
        <w:rPr>
          <w:color w:val="231F20"/>
          <w:w w:val="105"/>
        </w:rPr>
        <w:t>A</w:t>
      </w:r>
      <w:r>
        <w:rPr>
          <w:color w:val="231F20"/>
          <w:spacing w:val="-21"/>
          <w:w w:val="105"/>
        </w:rPr>
        <w:t> </w:t>
      </w:r>
      <w:r>
        <w:rPr>
          <w:color w:val="231F20"/>
          <w:w w:val="105"/>
        </w:rPr>
        <w:t>medida</w:t>
      </w:r>
      <w:r>
        <w:rPr>
          <w:color w:val="231F20"/>
          <w:spacing w:val="-21"/>
          <w:w w:val="105"/>
        </w:rPr>
        <w:t> </w:t>
      </w:r>
      <w:r>
        <w:rPr>
          <w:color w:val="231F20"/>
          <w:w w:val="105"/>
        </w:rPr>
        <w:t>que</w:t>
      </w:r>
      <w:r>
        <w:rPr>
          <w:color w:val="231F20"/>
          <w:spacing w:val="-21"/>
          <w:w w:val="105"/>
        </w:rPr>
        <w:t> </w:t>
      </w:r>
      <w:r>
        <w:rPr>
          <w:color w:val="231F20"/>
          <w:w w:val="105"/>
        </w:rPr>
        <w:t>el municipio</w:t>
      </w:r>
      <w:r>
        <w:rPr>
          <w:color w:val="231F20"/>
          <w:spacing w:val="-24"/>
          <w:w w:val="105"/>
        </w:rPr>
        <w:t> </w:t>
      </w:r>
      <w:r>
        <w:rPr>
          <w:color w:val="231F20"/>
          <w:w w:val="105"/>
        </w:rPr>
        <w:t>tenga</w:t>
      </w:r>
      <w:r>
        <w:rPr>
          <w:color w:val="231F20"/>
          <w:spacing w:val="-24"/>
          <w:w w:val="105"/>
        </w:rPr>
        <w:t> </w:t>
      </w:r>
      <w:r>
        <w:rPr>
          <w:color w:val="231F20"/>
          <w:w w:val="105"/>
        </w:rPr>
        <w:t>menor</w:t>
      </w:r>
      <w:r>
        <w:rPr>
          <w:color w:val="231F20"/>
          <w:spacing w:val="-24"/>
          <w:w w:val="105"/>
        </w:rPr>
        <w:t> </w:t>
      </w:r>
      <w:r>
        <w:rPr>
          <w:color w:val="231F20"/>
          <w:w w:val="105"/>
        </w:rPr>
        <w:t>tamaño,</w:t>
      </w:r>
      <w:r>
        <w:rPr>
          <w:color w:val="231F20"/>
          <w:spacing w:val="-24"/>
          <w:w w:val="105"/>
        </w:rPr>
        <w:t> </w:t>
      </w:r>
      <w:r>
        <w:rPr>
          <w:color w:val="231F20"/>
          <w:w w:val="105"/>
        </w:rPr>
        <w:t>así</w:t>
      </w:r>
      <w:r>
        <w:rPr>
          <w:color w:val="231F20"/>
          <w:spacing w:val="-24"/>
          <w:w w:val="105"/>
        </w:rPr>
        <w:t> </w:t>
      </w:r>
      <w:r>
        <w:rPr>
          <w:color w:val="231F20"/>
          <w:w w:val="105"/>
        </w:rPr>
        <w:t>como</w:t>
      </w:r>
      <w:r>
        <w:rPr>
          <w:color w:val="231F20"/>
          <w:spacing w:val="-24"/>
          <w:w w:val="105"/>
        </w:rPr>
        <w:t> </w:t>
      </w:r>
      <w:r>
        <w:rPr>
          <w:color w:val="231F20"/>
          <w:w w:val="105"/>
        </w:rPr>
        <w:t>menos</w:t>
      </w:r>
      <w:r>
        <w:rPr>
          <w:color w:val="231F20"/>
          <w:spacing w:val="-24"/>
          <w:w w:val="105"/>
        </w:rPr>
        <w:t> </w:t>
      </w:r>
      <w:r>
        <w:rPr>
          <w:color w:val="231F20"/>
          <w:w w:val="105"/>
        </w:rPr>
        <w:t>relevancia</w:t>
      </w:r>
      <w:r>
        <w:rPr>
          <w:color w:val="231F20"/>
          <w:spacing w:val="-24"/>
          <w:w w:val="105"/>
        </w:rPr>
        <w:t> </w:t>
      </w:r>
      <w:r>
        <w:rPr>
          <w:color w:val="231F20"/>
          <w:w w:val="105"/>
        </w:rPr>
        <w:t>política</w:t>
      </w:r>
      <w:r>
        <w:rPr>
          <w:color w:val="231F20"/>
          <w:spacing w:val="-24"/>
          <w:w w:val="105"/>
        </w:rPr>
        <w:t> </w:t>
      </w:r>
      <w:r>
        <w:rPr>
          <w:color w:val="231F20"/>
          <w:w w:val="105"/>
        </w:rPr>
        <w:t>y</w:t>
      </w:r>
      <w:r>
        <w:rPr>
          <w:color w:val="231F20"/>
          <w:spacing w:val="-24"/>
          <w:w w:val="105"/>
        </w:rPr>
        <w:t> </w:t>
      </w:r>
      <w:r>
        <w:rPr>
          <w:color w:val="231F20"/>
          <w:w w:val="105"/>
        </w:rPr>
        <w:t>económica,</w:t>
      </w:r>
      <w:r>
        <w:rPr>
          <w:color w:val="231F20"/>
          <w:spacing w:val="-24"/>
          <w:w w:val="105"/>
        </w:rPr>
        <w:t> </w:t>
      </w:r>
      <w:r>
        <w:rPr>
          <w:color w:val="231F20"/>
          <w:w w:val="105"/>
        </w:rPr>
        <w:t>tendrá menos preocupación por designar a gente con la preparación adecuada para gobernar. Más</w:t>
      </w:r>
      <w:r>
        <w:rPr>
          <w:color w:val="231F20"/>
          <w:spacing w:val="-24"/>
          <w:w w:val="105"/>
        </w:rPr>
        <w:t> </w:t>
      </w:r>
      <w:r>
        <w:rPr>
          <w:color w:val="231F20"/>
          <w:spacing w:val="2"/>
          <w:w w:val="105"/>
        </w:rPr>
        <w:t>allá</w:t>
      </w:r>
      <w:r>
        <w:rPr>
          <w:color w:val="231F20"/>
          <w:spacing w:val="-24"/>
          <w:w w:val="105"/>
        </w:rPr>
        <w:t> </w:t>
      </w:r>
      <w:r>
        <w:rPr>
          <w:color w:val="231F20"/>
          <w:w w:val="105"/>
        </w:rPr>
        <w:t>de</w:t>
      </w:r>
      <w:r>
        <w:rPr>
          <w:color w:val="231F20"/>
          <w:spacing w:val="-24"/>
          <w:w w:val="105"/>
        </w:rPr>
        <w:t> </w:t>
      </w:r>
      <w:r>
        <w:rPr>
          <w:color w:val="231F20"/>
          <w:w w:val="105"/>
        </w:rPr>
        <w:t>ello,</w:t>
      </w:r>
      <w:r>
        <w:rPr>
          <w:color w:val="231F20"/>
          <w:spacing w:val="-24"/>
          <w:w w:val="105"/>
        </w:rPr>
        <w:t> </w:t>
      </w:r>
      <w:r>
        <w:rPr>
          <w:color w:val="231F20"/>
          <w:w w:val="105"/>
        </w:rPr>
        <w:t>en</w:t>
      </w:r>
      <w:r>
        <w:rPr>
          <w:color w:val="231F20"/>
          <w:spacing w:val="-24"/>
          <w:w w:val="105"/>
        </w:rPr>
        <w:t> </w:t>
      </w:r>
      <w:r>
        <w:rPr>
          <w:color w:val="231F20"/>
          <w:w w:val="105"/>
        </w:rPr>
        <w:t>términos</w:t>
      </w:r>
      <w:r>
        <w:rPr>
          <w:color w:val="231F20"/>
          <w:spacing w:val="-24"/>
          <w:w w:val="105"/>
        </w:rPr>
        <w:t> </w:t>
      </w:r>
      <w:r>
        <w:rPr>
          <w:color w:val="231F20"/>
          <w:w w:val="105"/>
        </w:rPr>
        <w:t>generales</w:t>
      </w:r>
      <w:r>
        <w:rPr>
          <w:color w:val="231F20"/>
          <w:spacing w:val="-24"/>
          <w:w w:val="105"/>
        </w:rPr>
        <w:t> </w:t>
      </w:r>
      <w:r>
        <w:rPr>
          <w:color w:val="231F20"/>
          <w:w w:val="105"/>
        </w:rPr>
        <w:t>la</w:t>
      </w:r>
      <w:r>
        <w:rPr>
          <w:color w:val="231F20"/>
          <w:spacing w:val="-24"/>
          <w:w w:val="105"/>
        </w:rPr>
        <w:t> </w:t>
      </w:r>
      <w:r>
        <w:rPr>
          <w:color w:val="231F20"/>
          <w:w w:val="105"/>
        </w:rPr>
        <w:t>profesionalización</w:t>
      </w:r>
      <w:r>
        <w:rPr>
          <w:color w:val="231F20"/>
          <w:spacing w:val="-24"/>
          <w:w w:val="105"/>
        </w:rPr>
        <w:t> </w:t>
      </w:r>
      <w:r>
        <w:rPr>
          <w:color w:val="231F20"/>
          <w:w w:val="105"/>
        </w:rPr>
        <w:t>sigue</w:t>
      </w:r>
      <w:r>
        <w:rPr>
          <w:color w:val="231F20"/>
          <w:spacing w:val="-24"/>
          <w:w w:val="105"/>
        </w:rPr>
        <w:t> </w:t>
      </w:r>
      <w:r>
        <w:rPr>
          <w:color w:val="231F20"/>
          <w:spacing w:val="-2"/>
          <w:w w:val="105"/>
        </w:rPr>
        <w:t>siendo</w:t>
      </w:r>
      <w:r>
        <w:rPr>
          <w:color w:val="231F20"/>
          <w:spacing w:val="-24"/>
          <w:w w:val="105"/>
        </w:rPr>
        <w:t> </w:t>
      </w:r>
      <w:r>
        <w:rPr>
          <w:color w:val="231F20"/>
          <w:w w:val="105"/>
        </w:rPr>
        <w:t>una</w:t>
      </w:r>
      <w:r>
        <w:rPr>
          <w:color w:val="231F20"/>
          <w:spacing w:val="-24"/>
          <w:w w:val="105"/>
        </w:rPr>
        <w:t> </w:t>
      </w:r>
      <w:r>
        <w:rPr>
          <w:color w:val="231F20"/>
          <w:w w:val="105"/>
        </w:rPr>
        <w:t>asignatura pendiente</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gobiernos</w:t>
      </w:r>
      <w:r>
        <w:rPr>
          <w:color w:val="231F20"/>
          <w:spacing w:val="-15"/>
          <w:w w:val="105"/>
        </w:rPr>
        <w:t> </w:t>
      </w:r>
      <w:r>
        <w:rPr>
          <w:color w:val="231F20"/>
          <w:w w:val="105"/>
        </w:rPr>
        <w:t>municipales.</w:t>
      </w:r>
      <w:r>
        <w:rPr>
          <w:color w:val="231F20"/>
          <w:spacing w:val="-15"/>
          <w:w w:val="105"/>
        </w:rPr>
        <w:t> </w:t>
      </w:r>
      <w:r>
        <w:rPr>
          <w:color w:val="231F20"/>
          <w:w w:val="105"/>
        </w:rPr>
        <w:t>No</w:t>
      </w:r>
      <w:r>
        <w:rPr>
          <w:color w:val="231F20"/>
          <w:spacing w:val="-15"/>
          <w:w w:val="105"/>
        </w:rPr>
        <w:t> </w:t>
      </w:r>
      <w:r>
        <w:rPr>
          <w:color w:val="231F20"/>
          <w:w w:val="105"/>
        </w:rPr>
        <w:t>existe</w:t>
      </w:r>
      <w:r>
        <w:rPr>
          <w:color w:val="231F20"/>
          <w:spacing w:val="-15"/>
          <w:w w:val="105"/>
        </w:rPr>
        <w:t> </w:t>
      </w:r>
      <w:r>
        <w:rPr>
          <w:color w:val="231F20"/>
          <w:w w:val="105"/>
        </w:rPr>
        <w:t>un</w:t>
      </w:r>
      <w:r>
        <w:rPr>
          <w:color w:val="231F20"/>
          <w:spacing w:val="-15"/>
          <w:w w:val="105"/>
        </w:rPr>
        <w:t> </w:t>
      </w:r>
      <w:r>
        <w:rPr>
          <w:color w:val="231F20"/>
          <w:w w:val="105"/>
        </w:rPr>
        <w:t>programa</w:t>
      </w:r>
      <w:r>
        <w:rPr>
          <w:color w:val="231F20"/>
          <w:spacing w:val="-15"/>
          <w:w w:val="105"/>
        </w:rPr>
        <w:t> </w:t>
      </w:r>
      <w:r>
        <w:rPr>
          <w:color w:val="231F20"/>
          <w:w w:val="105"/>
        </w:rPr>
        <w:t>de</w:t>
      </w:r>
      <w:r>
        <w:rPr>
          <w:color w:val="231F20"/>
          <w:spacing w:val="-15"/>
          <w:w w:val="105"/>
        </w:rPr>
        <w:t> </w:t>
      </w:r>
      <w:r>
        <w:rPr>
          <w:color w:val="231F20"/>
          <w:w w:val="105"/>
        </w:rPr>
        <w:t>modernización</w:t>
      </w:r>
      <w:r>
        <w:rPr>
          <w:color w:val="231F20"/>
          <w:spacing w:val="-15"/>
          <w:w w:val="105"/>
        </w:rPr>
        <w:t> </w:t>
      </w:r>
      <w:r>
        <w:rPr>
          <w:color w:val="231F20"/>
          <w:w w:val="105"/>
        </w:rPr>
        <w:t>de</w:t>
      </w:r>
      <w:r>
        <w:rPr>
          <w:color w:val="231F20"/>
          <w:spacing w:val="-15"/>
          <w:w w:val="105"/>
        </w:rPr>
        <w:t> </w:t>
      </w:r>
      <w:r>
        <w:rPr>
          <w:color w:val="231F20"/>
          <w:w w:val="105"/>
        </w:rPr>
        <w:t>la administración</w:t>
      </w:r>
      <w:r>
        <w:rPr>
          <w:color w:val="231F20"/>
          <w:spacing w:val="-9"/>
          <w:w w:val="105"/>
        </w:rPr>
        <w:t> </w:t>
      </w:r>
      <w:r>
        <w:rPr>
          <w:color w:val="231F20"/>
          <w:w w:val="105"/>
        </w:rPr>
        <w:t>municipal</w:t>
      </w:r>
      <w:r>
        <w:rPr>
          <w:color w:val="231F20"/>
          <w:spacing w:val="-9"/>
          <w:w w:val="105"/>
        </w:rPr>
        <w:t> </w:t>
      </w:r>
      <w:r>
        <w:rPr>
          <w:color w:val="231F20"/>
          <w:spacing w:val="2"/>
          <w:w w:val="105"/>
        </w:rPr>
        <w:t>al</w:t>
      </w:r>
      <w:r>
        <w:rPr>
          <w:color w:val="231F20"/>
          <w:spacing w:val="-9"/>
          <w:w w:val="105"/>
        </w:rPr>
        <w:t> </w:t>
      </w:r>
      <w:r>
        <w:rPr>
          <w:color w:val="231F20"/>
          <w:w w:val="105"/>
        </w:rPr>
        <w:t>respecto</w:t>
      </w:r>
      <w:r>
        <w:rPr>
          <w:color w:val="231F20"/>
          <w:spacing w:val="-9"/>
          <w:w w:val="105"/>
        </w:rPr>
        <w:t> </w:t>
      </w:r>
      <w:r>
        <w:rPr>
          <w:color w:val="231F20"/>
          <w:spacing w:val="-7"/>
          <w:w w:val="105"/>
        </w:rPr>
        <w:t>y,</w:t>
      </w:r>
      <w:r>
        <w:rPr>
          <w:color w:val="231F20"/>
          <w:spacing w:val="-9"/>
          <w:w w:val="105"/>
        </w:rPr>
        <w:t> </w:t>
      </w:r>
      <w:r>
        <w:rPr>
          <w:color w:val="231F20"/>
          <w:w w:val="105"/>
        </w:rPr>
        <w:t>por</w:t>
      </w:r>
      <w:r>
        <w:rPr>
          <w:color w:val="231F20"/>
          <w:spacing w:val="-9"/>
          <w:w w:val="105"/>
        </w:rPr>
        <w:t> </w:t>
      </w:r>
      <w:r>
        <w:rPr>
          <w:color w:val="231F20"/>
          <w:w w:val="105"/>
        </w:rPr>
        <w:t>ende,</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visto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profesionalización como un asunto que merece estar en la agenda de gobierno municipal. La improvisa- ción, el patronazgo y la falta de evaluación del desempeño son algunos factores que obstaculizan</w:t>
      </w:r>
      <w:r>
        <w:rPr>
          <w:color w:val="231F20"/>
          <w:spacing w:val="-7"/>
          <w:w w:val="105"/>
        </w:rPr>
        <w:t> </w:t>
      </w:r>
      <w:r>
        <w:rPr>
          <w:color w:val="231F20"/>
          <w:w w:val="105"/>
        </w:rPr>
        <w:t>el</w:t>
      </w:r>
      <w:r>
        <w:rPr>
          <w:color w:val="231F20"/>
          <w:spacing w:val="-7"/>
          <w:w w:val="105"/>
        </w:rPr>
        <w:t> </w:t>
      </w:r>
      <w:r>
        <w:rPr>
          <w:color w:val="231F20"/>
          <w:w w:val="105"/>
        </w:rPr>
        <w:t>profesionalismo</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situación</w:t>
      </w:r>
      <w:r>
        <w:rPr>
          <w:color w:val="231F20"/>
          <w:spacing w:val="-7"/>
          <w:w w:val="105"/>
        </w:rPr>
        <w:t> </w:t>
      </w:r>
      <w:r>
        <w:rPr>
          <w:color w:val="231F20"/>
          <w:w w:val="105"/>
        </w:rPr>
        <w:t>que</w:t>
      </w:r>
      <w:r>
        <w:rPr>
          <w:color w:val="231F20"/>
          <w:spacing w:val="-7"/>
          <w:w w:val="105"/>
        </w:rPr>
        <w:t> </w:t>
      </w:r>
      <w:r>
        <w:rPr>
          <w:color w:val="231F20"/>
          <w:w w:val="105"/>
        </w:rPr>
        <w:t>afecta</w:t>
      </w:r>
      <w:r>
        <w:rPr>
          <w:color w:val="231F20"/>
          <w:spacing w:val="-7"/>
          <w:w w:val="105"/>
        </w:rPr>
        <w:t> </w:t>
      </w:r>
      <w:r>
        <w:rPr>
          <w:color w:val="231F20"/>
          <w:w w:val="105"/>
        </w:rPr>
        <w:t>directamente</w:t>
      </w:r>
      <w:r>
        <w:rPr>
          <w:color w:val="231F20"/>
          <w:spacing w:val="-7"/>
          <w:w w:val="105"/>
        </w:rPr>
        <w:t> </w:t>
      </w:r>
      <w:r>
        <w:rPr>
          <w:color w:val="231F20"/>
          <w:w w:val="105"/>
        </w:rPr>
        <w:t>a los</w:t>
      </w:r>
      <w:r>
        <w:rPr>
          <w:color w:val="231F20"/>
          <w:spacing w:val="-28"/>
          <w:w w:val="105"/>
        </w:rPr>
        <w:t> </w:t>
      </w:r>
      <w:r>
        <w:rPr>
          <w:color w:val="231F20"/>
          <w:w w:val="105"/>
        </w:rPr>
        <w:t>niveles</w:t>
      </w:r>
      <w:r>
        <w:rPr>
          <w:color w:val="231F20"/>
          <w:spacing w:val="-28"/>
          <w:w w:val="105"/>
        </w:rPr>
        <w:t> </w:t>
      </w:r>
      <w:r>
        <w:rPr>
          <w:color w:val="231F20"/>
          <w:w w:val="105"/>
        </w:rPr>
        <w:t>de</w:t>
      </w:r>
      <w:r>
        <w:rPr>
          <w:color w:val="231F20"/>
          <w:spacing w:val="-28"/>
          <w:w w:val="105"/>
        </w:rPr>
        <w:t> </w:t>
      </w:r>
      <w:r>
        <w:rPr>
          <w:color w:val="231F20"/>
          <w:w w:val="105"/>
        </w:rPr>
        <w:t>efectividad</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gobiernos.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6"/>
          <w:w w:val="105"/>
        </w:rPr>
        <w:t> </w:t>
      </w:r>
      <w:r>
        <w:rPr>
          <w:color w:val="231F20"/>
          <w:w w:val="105"/>
        </w:rPr>
        <w:t>producción</w:t>
      </w:r>
      <w:r>
        <w:rPr>
          <w:color w:val="231F20"/>
          <w:spacing w:val="-6"/>
          <w:w w:val="105"/>
        </w:rPr>
        <w:t> </w:t>
      </w:r>
      <w:r>
        <w:rPr>
          <w:color w:val="231F20"/>
          <w:w w:val="105"/>
        </w:rPr>
        <w:t>reglamentaria</w:t>
      </w:r>
      <w:r>
        <w:rPr>
          <w:color w:val="231F20"/>
          <w:spacing w:val="-6"/>
          <w:w w:val="105"/>
        </w:rPr>
        <w:t> </w:t>
      </w:r>
      <w:r>
        <w:rPr>
          <w:color w:val="231F20"/>
          <w:w w:val="105"/>
        </w:rPr>
        <w:t>queda</w:t>
      </w:r>
      <w:r>
        <w:rPr>
          <w:color w:val="231F20"/>
          <w:spacing w:val="-6"/>
          <w:w w:val="105"/>
        </w:rPr>
        <w:t> </w:t>
      </w:r>
      <w:r>
        <w:rPr>
          <w:color w:val="231F20"/>
          <w:spacing w:val="2"/>
          <w:w w:val="105"/>
        </w:rPr>
        <w:t>al</w:t>
      </w:r>
      <w:r>
        <w:rPr>
          <w:color w:val="231F20"/>
          <w:spacing w:val="-6"/>
          <w:w w:val="105"/>
        </w:rPr>
        <w:t> </w:t>
      </w:r>
      <w:r>
        <w:rPr>
          <w:color w:val="231F20"/>
          <w:w w:val="105"/>
        </w:rPr>
        <w:t>libre</w:t>
      </w:r>
      <w:r>
        <w:rPr>
          <w:color w:val="231F20"/>
          <w:spacing w:val="-6"/>
          <w:w w:val="105"/>
        </w:rPr>
        <w:t> </w:t>
      </w:r>
      <w:r>
        <w:rPr>
          <w:color w:val="231F20"/>
          <w:w w:val="105"/>
        </w:rPr>
        <w:t>albedrío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gobernantes,</w:t>
      </w:r>
      <w:r>
        <w:rPr>
          <w:color w:val="231F20"/>
          <w:spacing w:val="-6"/>
          <w:w w:val="105"/>
        </w:rPr>
        <w:t> </w:t>
      </w:r>
      <w:r>
        <w:rPr>
          <w:color w:val="231F20"/>
          <w:w w:val="105"/>
        </w:rPr>
        <w:t>lo</w:t>
      </w:r>
      <w:r>
        <w:rPr>
          <w:color w:val="231F20"/>
          <w:spacing w:val="-6"/>
          <w:w w:val="105"/>
        </w:rPr>
        <w:t> </w:t>
      </w:r>
      <w:r>
        <w:rPr>
          <w:color w:val="231F20"/>
          <w:w w:val="105"/>
        </w:rPr>
        <w:t>cual</w:t>
      </w:r>
      <w:r>
        <w:rPr>
          <w:color w:val="231F20"/>
          <w:spacing w:val="-6"/>
          <w:w w:val="105"/>
        </w:rPr>
        <w:t> </w:t>
      </w:r>
      <w:r>
        <w:rPr>
          <w:color w:val="231F20"/>
          <w:w w:val="105"/>
        </w:rPr>
        <w:t>llega</w:t>
      </w:r>
      <w:r>
        <w:rPr>
          <w:color w:val="231F20"/>
          <w:spacing w:val="-6"/>
          <w:w w:val="105"/>
        </w:rPr>
        <w:t> </w:t>
      </w:r>
      <w:r>
        <w:rPr>
          <w:color w:val="231F20"/>
          <w:w w:val="105"/>
        </w:rPr>
        <w:t>a ser</w:t>
      </w:r>
      <w:r>
        <w:rPr>
          <w:color w:val="231F20"/>
          <w:spacing w:val="-11"/>
          <w:w w:val="105"/>
        </w:rPr>
        <w:t> </w:t>
      </w:r>
      <w:r>
        <w:rPr>
          <w:color w:val="231F20"/>
          <w:w w:val="105"/>
        </w:rPr>
        <w:t>más</w:t>
      </w:r>
      <w:r>
        <w:rPr>
          <w:color w:val="231F20"/>
          <w:spacing w:val="-11"/>
          <w:w w:val="105"/>
        </w:rPr>
        <w:t> </w:t>
      </w:r>
      <w:r>
        <w:rPr>
          <w:color w:val="231F20"/>
          <w:w w:val="105"/>
        </w:rPr>
        <w:t>evidente</w:t>
      </w:r>
      <w:r>
        <w:rPr>
          <w:color w:val="231F20"/>
          <w:spacing w:val="-11"/>
          <w:w w:val="105"/>
        </w:rPr>
        <w:t> </w:t>
      </w:r>
      <w:r>
        <w:rPr>
          <w:color w:val="231F20"/>
          <w:w w:val="105"/>
        </w:rPr>
        <w:t>en</w:t>
      </w:r>
      <w:r>
        <w:rPr>
          <w:color w:val="231F20"/>
          <w:spacing w:val="-11"/>
          <w:w w:val="105"/>
        </w:rPr>
        <w:t> </w:t>
      </w:r>
      <w:r>
        <w:rPr>
          <w:color w:val="231F20"/>
          <w:w w:val="105"/>
        </w:rPr>
        <w:t>municipios</w:t>
      </w:r>
      <w:r>
        <w:rPr>
          <w:color w:val="231F20"/>
          <w:spacing w:val="-11"/>
          <w:w w:val="105"/>
        </w:rPr>
        <w:t> </w:t>
      </w:r>
      <w:r>
        <w:rPr>
          <w:color w:val="231F20"/>
          <w:w w:val="105"/>
        </w:rPr>
        <w:t>pequeños</w:t>
      </w:r>
      <w:r>
        <w:rPr>
          <w:color w:val="231F20"/>
          <w:spacing w:val="-11"/>
          <w:w w:val="105"/>
        </w:rPr>
        <w:t> </w:t>
      </w:r>
      <w:r>
        <w:rPr>
          <w:color w:val="231F20"/>
          <w:w w:val="105"/>
        </w:rPr>
        <w:t>como</w:t>
      </w:r>
      <w:r>
        <w:rPr>
          <w:color w:val="231F20"/>
          <w:spacing w:val="-11"/>
          <w:w w:val="105"/>
        </w:rPr>
        <w:t> </w:t>
      </w:r>
      <w:r>
        <w:rPr>
          <w:color w:val="231F20"/>
          <w:w w:val="105"/>
        </w:rPr>
        <w:t>Atlautla,</w:t>
      </w:r>
      <w:r>
        <w:rPr>
          <w:color w:val="231F20"/>
          <w:spacing w:val="-11"/>
          <w:w w:val="105"/>
        </w:rPr>
        <w:t> </w:t>
      </w:r>
      <w:r>
        <w:rPr>
          <w:color w:val="231F20"/>
          <w:w w:val="105"/>
        </w:rPr>
        <w:t>sin</w:t>
      </w:r>
      <w:r>
        <w:rPr>
          <w:color w:val="231F20"/>
          <w:spacing w:val="-11"/>
          <w:w w:val="105"/>
        </w:rPr>
        <w:t> </w:t>
      </w:r>
      <w:r>
        <w:rPr>
          <w:color w:val="231F20"/>
          <w:w w:val="105"/>
        </w:rPr>
        <w:t>que</w:t>
      </w:r>
      <w:r>
        <w:rPr>
          <w:color w:val="231F20"/>
          <w:spacing w:val="-11"/>
          <w:w w:val="105"/>
        </w:rPr>
        <w:t> </w:t>
      </w:r>
      <w:r>
        <w:rPr>
          <w:color w:val="231F20"/>
          <w:w w:val="105"/>
        </w:rPr>
        <w:t>sea</w:t>
      </w:r>
      <w:r>
        <w:rPr>
          <w:color w:val="231F20"/>
          <w:spacing w:val="-11"/>
          <w:w w:val="105"/>
        </w:rPr>
        <w:t> </w:t>
      </w:r>
      <w:r>
        <w:rPr>
          <w:color w:val="231F20"/>
          <w:w w:val="105"/>
        </w:rPr>
        <w:t>privativo</w:t>
      </w:r>
      <w:r>
        <w:rPr>
          <w:color w:val="231F20"/>
          <w:spacing w:val="-11"/>
          <w:w w:val="105"/>
        </w:rPr>
        <w:t> </w:t>
      </w:r>
      <w:r>
        <w:rPr>
          <w:color w:val="231F20"/>
          <w:w w:val="105"/>
        </w:rPr>
        <w:t>de</w:t>
      </w:r>
      <w:r>
        <w:rPr>
          <w:color w:val="231F20"/>
          <w:spacing w:val="-11"/>
          <w:w w:val="105"/>
        </w:rPr>
        <w:t> </w:t>
      </w:r>
      <w:r>
        <w:rPr>
          <w:color w:val="231F20"/>
          <w:w w:val="105"/>
        </w:rPr>
        <w:t>ellos, más bien pareciera de un </w:t>
      </w:r>
      <w:r>
        <w:rPr>
          <w:color w:val="231F20"/>
          <w:spacing w:val="-3"/>
          <w:w w:val="105"/>
        </w:rPr>
        <w:t>fenómeno </w:t>
      </w:r>
      <w:r>
        <w:rPr>
          <w:color w:val="231F20"/>
          <w:w w:val="105"/>
        </w:rPr>
        <w:t>usual en el quehacer cotidiano de los ayuntamien- tos.</w:t>
      </w:r>
      <w:r>
        <w:rPr>
          <w:color w:val="231F20"/>
          <w:spacing w:val="-13"/>
          <w:w w:val="105"/>
        </w:rPr>
        <w:t> </w:t>
      </w:r>
      <w:r>
        <w:rPr>
          <w:color w:val="231F20"/>
          <w:w w:val="105"/>
        </w:rPr>
        <w:t>Los</w:t>
      </w:r>
      <w:r>
        <w:rPr>
          <w:color w:val="231F20"/>
          <w:spacing w:val="-13"/>
          <w:w w:val="105"/>
        </w:rPr>
        <w:t> </w:t>
      </w:r>
      <w:r>
        <w:rPr>
          <w:color w:val="231F20"/>
          <w:w w:val="105"/>
        </w:rPr>
        <w:t>reglamentos</w:t>
      </w:r>
      <w:r>
        <w:rPr>
          <w:color w:val="231F20"/>
          <w:spacing w:val="-13"/>
          <w:w w:val="105"/>
        </w:rPr>
        <w:t> </w:t>
      </w:r>
      <w:r>
        <w:rPr>
          <w:color w:val="231F20"/>
          <w:w w:val="105"/>
        </w:rPr>
        <w:t>se</w:t>
      </w:r>
      <w:r>
        <w:rPr>
          <w:color w:val="231F20"/>
          <w:spacing w:val="-13"/>
          <w:w w:val="105"/>
        </w:rPr>
        <w:t> </w:t>
      </w:r>
      <w:r>
        <w:rPr>
          <w:color w:val="231F20"/>
          <w:w w:val="105"/>
        </w:rPr>
        <w:t>convierten</w:t>
      </w:r>
      <w:r>
        <w:rPr>
          <w:color w:val="231F20"/>
          <w:spacing w:val="-13"/>
          <w:w w:val="105"/>
        </w:rPr>
        <w:t> </w:t>
      </w:r>
      <w:r>
        <w:rPr>
          <w:color w:val="231F20"/>
          <w:w w:val="105"/>
        </w:rPr>
        <w:t>en</w:t>
      </w:r>
      <w:r>
        <w:rPr>
          <w:color w:val="231F20"/>
          <w:spacing w:val="-13"/>
          <w:w w:val="105"/>
        </w:rPr>
        <w:t> </w:t>
      </w:r>
      <w:r>
        <w:rPr>
          <w:color w:val="231F20"/>
          <w:w w:val="105"/>
        </w:rPr>
        <w:t>instrumentos</w:t>
      </w:r>
      <w:r>
        <w:rPr>
          <w:color w:val="231F20"/>
          <w:spacing w:val="-13"/>
          <w:w w:val="105"/>
        </w:rPr>
        <w:t> </w:t>
      </w:r>
      <w:r>
        <w:rPr>
          <w:color w:val="231F20"/>
          <w:w w:val="105"/>
        </w:rPr>
        <w:t>que</w:t>
      </w:r>
      <w:r>
        <w:rPr>
          <w:color w:val="231F20"/>
          <w:spacing w:val="-13"/>
          <w:w w:val="105"/>
        </w:rPr>
        <w:t> </w:t>
      </w:r>
      <w:r>
        <w:rPr>
          <w:color w:val="231F20"/>
          <w:w w:val="105"/>
        </w:rPr>
        <w:t>facilitan</w:t>
      </w:r>
      <w:r>
        <w:rPr>
          <w:color w:val="231F20"/>
          <w:spacing w:val="-13"/>
          <w:w w:val="105"/>
        </w:rPr>
        <w:t> </w:t>
      </w:r>
      <w:r>
        <w:rPr>
          <w:color w:val="231F20"/>
          <w:w w:val="105"/>
        </w:rPr>
        <w:t>el</w:t>
      </w:r>
      <w:r>
        <w:rPr>
          <w:color w:val="231F20"/>
          <w:spacing w:val="-13"/>
          <w:w w:val="105"/>
        </w:rPr>
        <w:t> </w:t>
      </w:r>
      <w:r>
        <w:rPr>
          <w:color w:val="231F20"/>
          <w:w w:val="105"/>
        </w:rPr>
        <w:t>gobierno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spacing w:val="-3"/>
          <w:w w:val="105"/>
        </w:rPr>
        <w:t>mu- </w:t>
      </w:r>
      <w:r>
        <w:rPr>
          <w:color w:val="231F20"/>
          <w:w w:val="105"/>
        </w:rPr>
        <w:t>nicipios,</w:t>
      </w:r>
      <w:r>
        <w:rPr>
          <w:color w:val="231F20"/>
          <w:spacing w:val="-24"/>
          <w:w w:val="105"/>
        </w:rPr>
        <w:t> </w:t>
      </w:r>
      <w:r>
        <w:rPr>
          <w:color w:val="231F20"/>
          <w:w w:val="105"/>
        </w:rPr>
        <w:t>por</w:t>
      </w:r>
      <w:r>
        <w:rPr>
          <w:color w:val="231F20"/>
          <w:spacing w:val="-24"/>
          <w:w w:val="105"/>
        </w:rPr>
        <w:t> </w:t>
      </w:r>
      <w:r>
        <w:rPr>
          <w:color w:val="231F20"/>
          <w:w w:val="105"/>
        </w:rPr>
        <w:t>ello,</w:t>
      </w:r>
      <w:r>
        <w:rPr>
          <w:color w:val="231F20"/>
          <w:spacing w:val="-24"/>
          <w:w w:val="105"/>
        </w:rPr>
        <w:t> </w:t>
      </w:r>
      <w:r>
        <w:rPr>
          <w:color w:val="231F20"/>
          <w:spacing w:val="2"/>
          <w:w w:val="105"/>
        </w:rPr>
        <w:t>al</w:t>
      </w:r>
      <w:r>
        <w:rPr>
          <w:color w:val="231F20"/>
          <w:spacing w:val="-24"/>
          <w:w w:val="105"/>
        </w:rPr>
        <w:t> </w:t>
      </w:r>
      <w:r>
        <w:rPr>
          <w:color w:val="231F20"/>
          <w:w w:val="105"/>
        </w:rPr>
        <w:t>carecer</w:t>
      </w:r>
      <w:r>
        <w:rPr>
          <w:color w:val="231F20"/>
          <w:spacing w:val="-24"/>
          <w:w w:val="105"/>
        </w:rPr>
        <w:t> </w:t>
      </w:r>
      <w:r>
        <w:rPr>
          <w:color w:val="231F20"/>
          <w:w w:val="105"/>
        </w:rPr>
        <w:t>de</w:t>
      </w:r>
      <w:r>
        <w:rPr>
          <w:color w:val="231F20"/>
          <w:spacing w:val="-24"/>
          <w:w w:val="105"/>
        </w:rPr>
        <w:t> </w:t>
      </w:r>
      <w:r>
        <w:rPr>
          <w:color w:val="231F20"/>
          <w:w w:val="105"/>
        </w:rPr>
        <w:t>producción</w:t>
      </w:r>
      <w:r>
        <w:rPr>
          <w:color w:val="231F20"/>
          <w:spacing w:val="-24"/>
          <w:w w:val="105"/>
        </w:rPr>
        <w:t> </w:t>
      </w:r>
      <w:r>
        <w:rPr>
          <w:color w:val="231F20"/>
          <w:w w:val="105"/>
        </w:rPr>
        <w:t>reglamentaria</w:t>
      </w:r>
      <w:r>
        <w:rPr>
          <w:color w:val="231F20"/>
          <w:spacing w:val="-24"/>
          <w:w w:val="105"/>
        </w:rPr>
        <w:t> </w:t>
      </w:r>
      <w:r>
        <w:rPr>
          <w:color w:val="231F20"/>
          <w:w w:val="105"/>
        </w:rPr>
        <w:t>se</w:t>
      </w:r>
      <w:r>
        <w:rPr>
          <w:color w:val="231F20"/>
          <w:spacing w:val="-24"/>
          <w:w w:val="105"/>
        </w:rPr>
        <w:t> </w:t>
      </w:r>
      <w:r>
        <w:rPr>
          <w:color w:val="231F20"/>
          <w:w w:val="105"/>
        </w:rPr>
        <w:t>aumenta</w:t>
      </w:r>
      <w:r>
        <w:rPr>
          <w:color w:val="231F20"/>
          <w:spacing w:val="-24"/>
          <w:w w:val="105"/>
        </w:rPr>
        <w:t> </w:t>
      </w:r>
      <w:r>
        <w:rPr>
          <w:color w:val="231F20"/>
          <w:w w:val="105"/>
        </w:rPr>
        <w:t>la</w:t>
      </w:r>
      <w:r>
        <w:rPr>
          <w:color w:val="231F20"/>
          <w:spacing w:val="-24"/>
          <w:w w:val="105"/>
        </w:rPr>
        <w:t> </w:t>
      </w:r>
      <w:r>
        <w:rPr>
          <w:color w:val="231F20"/>
          <w:w w:val="105"/>
        </w:rPr>
        <w:t>discrecionalidad y</w:t>
      </w:r>
      <w:r>
        <w:rPr>
          <w:color w:val="231F20"/>
          <w:spacing w:val="-14"/>
          <w:w w:val="105"/>
        </w:rPr>
        <w:t> </w:t>
      </w:r>
      <w:r>
        <w:rPr>
          <w:color w:val="231F20"/>
          <w:w w:val="105"/>
        </w:rPr>
        <w:t>el</w:t>
      </w:r>
      <w:r>
        <w:rPr>
          <w:color w:val="231F20"/>
          <w:spacing w:val="-14"/>
          <w:w w:val="105"/>
        </w:rPr>
        <w:t> </w:t>
      </w:r>
      <w:r>
        <w:rPr>
          <w:color w:val="231F20"/>
          <w:w w:val="105"/>
        </w:rPr>
        <w:t>autoritarismo,</w:t>
      </w:r>
      <w:r>
        <w:rPr>
          <w:color w:val="231F20"/>
          <w:spacing w:val="-14"/>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la</w:t>
      </w:r>
      <w:r>
        <w:rPr>
          <w:color w:val="231F20"/>
          <w:spacing w:val="-14"/>
          <w:w w:val="105"/>
        </w:rPr>
        <w:t> </w:t>
      </w:r>
      <w:r>
        <w:rPr>
          <w:color w:val="231F20"/>
          <w:w w:val="105"/>
        </w:rPr>
        <w:t>confusión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proyecto</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del</w:t>
      </w:r>
      <w:r>
        <w:rPr>
          <w:color w:val="231F20"/>
          <w:spacing w:val="-14"/>
          <w:w w:val="105"/>
        </w:rPr>
        <w:t> </w:t>
      </w:r>
      <w:r>
        <w:rPr>
          <w:color w:val="231F20"/>
          <w:spacing w:val="-3"/>
          <w:w w:val="105"/>
        </w:rPr>
        <w:t>pueblo.</w:t>
      </w:r>
    </w:p>
    <w:p>
      <w:pPr>
        <w:pStyle w:val="BodyText"/>
        <w:spacing w:before="1"/>
        <w:rPr>
          <w:sz w:val="26"/>
        </w:rPr>
      </w:pPr>
    </w:p>
    <w:p>
      <w:pPr>
        <w:pStyle w:val="BodyText"/>
        <w:spacing w:line="285" w:lineRule="auto"/>
        <w:ind w:left="110" w:right="107"/>
        <w:jc w:val="both"/>
      </w:pPr>
      <w:r>
        <w:rPr>
          <w:color w:val="231F20"/>
        </w:rPr>
        <w:t>La obra pública es, probablemente junto con los servicios públicos, la principal acción de gobierno en este nivel. Por un lado, todos los gobiernos de cualquier signo ideológico se ven obligados a responder a las demandas más sentidas de la población. Por otro, la obra pública es percibida de manera directa por los demandantes, las diferencias están en el número y en el tipo de  beneficiarios.</w:t>
      </w:r>
    </w:p>
    <w:p>
      <w:pPr>
        <w:pStyle w:val="BodyText"/>
        <w:spacing w:before="1"/>
        <w:rPr>
          <w:sz w:val="26"/>
        </w:rPr>
      </w:pPr>
    </w:p>
    <w:p>
      <w:pPr>
        <w:pStyle w:val="BodyText"/>
        <w:spacing w:line="285" w:lineRule="auto"/>
        <w:ind w:left="110" w:right="108"/>
        <w:jc w:val="both"/>
      </w:pPr>
      <w:r>
        <w:rPr>
          <w:color w:val="231F20"/>
          <w:spacing w:val="2"/>
          <w:w w:val="105"/>
        </w:rPr>
        <w:t>Restringida </w:t>
      </w:r>
      <w:r>
        <w:rPr>
          <w:color w:val="231F20"/>
          <w:w w:val="105"/>
        </w:rPr>
        <w:t>en </w:t>
      </w:r>
      <w:r>
        <w:rPr>
          <w:color w:val="231F20"/>
          <w:spacing w:val="2"/>
          <w:w w:val="105"/>
        </w:rPr>
        <w:t>cuanto </w:t>
      </w:r>
      <w:r>
        <w:rPr>
          <w:color w:val="231F20"/>
          <w:w w:val="105"/>
        </w:rPr>
        <w:t>a </w:t>
      </w:r>
      <w:r>
        <w:rPr>
          <w:color w:val="231F20"/>
          <w:spacing w:val="2"/>
          <w:w w:val="105"/>
        </w:rPr>
        <w:t>recursos, </w:t>
      </w:r>
      <w:r>
        <w:rPr>
          <w:color w:val="231F20"/>
          <w:w w:val="105"/>
        </w:rPr>
        <w:t>el manejo que se puede hacer de </w:t>
      </w:r>
      <w:r>
        <w:rPr>
          <w:color w:val="231F20"/>
          <w:spacing w:val="2"/>
          <w:w w:val="105"/>
        </w:rPr>
        <w:t>las </w:t>
      </w:r>
      <w:r>
        <w:rPr>
          <w:color w:val="231F20"/>
          <w:w w:val="105"/>
        </w:rPr>
        <w:t>obras públicas es</w:t>
      </w:r>
      <w:r>
        <w:rPr>
          <w:color w:val="231F20"/>
          <w:spacing w:val="-17"/>
          <w:w w:val="105"/>
        </w:rPr>
        <w:t> </w:t>
      </w:r>
      <w:r>
        <w:rPr>
          <w:color w:val="231F20"/>
          <w:spacing w:val="2"/>
          <w:w w:val="105"/>
        </w:rPr>
        <w:t>ilimitado.</w:t>
      </w:r>
      <w:r>
        <w:rPr>
          <w:color w:val="231F20"/>
          <w:spacing w:val="-17"/>
          <w:w w:val="105"/>
        </w:rPr>
        <w:t> </w:t>
      </w:r>
      <w:r>
        <w:rPr>
          <w:color w:val="231F20"/>
          <w:w w:val="105"/>
        </w:rPr>
        <w:t>Aun</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spacing w:val="2"/>
          <w:w w:val="105"/>
        </w:rPr>
        <w:t>supervisión</w:t>
      </w:r>
      <w:r>
        <w:rPr>
          <w:color w:val="231F20"/>
          <w:spacing w:val="-17"/>
          <w:w w:val="105"/>
        </w:rPr>
        <w:t> </w:t>
      </w:r>
      <w:r>
        <w:rPr>
          <w:color w:val="231F20"/>
          <w:w w:val="105"/>
        </w:rPr>
        <w:t>y</w:t>
      </w:r>
      <w:r>
        <w:rPr>
          <w:color w:val="231F20"/>
          <w:spacing w:val="-17"/>
          <w:w w:val="105"/>
        </w:rPr>
        <w:t> </w:t>
      </w:r>
      <w:r>
        <w:rPr>
          <w:color w:val="231F20"/>
          <w:spacing w:val="3"/>
          <w:w w:val="105"/>
        </w:rPr>
        <w:t>vigilancia</w:t>
      </w:r>
      <w:r>
        <w:rPr>
          <w:color w:val="231F20"/>
          <w:spacing w:val="-17"/>
          <w:w w:val="105"/>
        </w:rPr>
        <w:t> </w:t>
      </w:r>
      <w:r>
        <w:rPr>
          <w:color w:val="231F20"/>
          <w:w w:val="105"/>
        </w:rPr>
        <w:t>ciudadanas,</w:t>
      </w:r>
      <w:r>
        <w:rPr>
          <w:color w:val="231F20"/>
          <w:spacing w:val="-17"/>
          <w:w w:val="105"/>
        </w:rPr>
        <w:t> </w:t>
      </w:r>
      <w:r>
        <w:rPr>
          <w:color w:val="231F20"/>
          <w:w w:val="105"/>
        </w:rPr>
        <w:t>la</w:t>
      </w:r>
      <w:r>
        <w:rPr>
          <w:color w:val="231F20"/>
          <w:spacing w:val="-17"/>
          <w:w w:val="105"/>
        </w:rPr>
        <w:t> </w:t>
      </w:r>
      <w:r>
        <w:rPr>
          <w:color w:val="231F20"/>
          <w:spacing w:val="2"/>
          <w:w w:val="105"/>
        </w:rPr>
        <w:t>realización</w:t>
      </w:r>
      <w:r>
        <w:rPr>
          <w:color w:val="231F20"/>
          <w:spacing w:val="-17"/>
          <w:w w:val="105"/>
        </w:rPr>
        <w:t> </w:t>
      </w:r>
      <w:r>
        <w:rPr>
          <w:color w:val="231F20"/>
          <w:w w:val="105"/>
        </w:rPr>
        <w:t>de</w:t>
      </w:r>
      <w:r>
        <w:rPr>
          <w:color w:val="231F20"/>
          <w:spacing w:val="-17"/>
          <w:w w:val="105"/>
        </w:rPr>
        <w:t> </w:t>
      </w:r>
      <w:r>
        <w:rPr>
          <w:color w:val="231F20"/>
          <w:w w:val="105"/>
        </w:rPr>
        <w:t>obra</w:t>
      </w:r>
      <w:r>
        <w:rPr>
          <w:color w:val="231F20"/>
          <w:spacing w:val="-17"/>
          <w:w w:val="105"/>
        </w:rPr>
        <w:t> </w:t>
      </w:r>
      <w:r>
        <w:rPr>
          <w:color w:val="231F20"/>
          <w:w w:val="105"/>
        </w:rPr>
        <w:t>pú-</w:t>
      </w:r>
    </w:p>
    <w:p>
      <w:pPr>
        <w:spacing w:after="0" w:line="285" w:lineRule="auto"/>
        <w:jc w:val="both"/>
        <w:sectPr>
          <w:footerReference w:type="default" r:id="rId26"/>
          <w:pgSz w:w="9640" w:h="12190"/>
          <w:pgMar w:footer="743" w:header="0" w:top="1120" w:bottom="940" w:left="740" w:right="740"/>
          <w:pgNumType w:start="20"/>
        </w:sectPr>
      </w:pPr>
    </w:p>
    <w:p>
      <w:pPr>
        <w:pStyle w:val="BodyText"/>
        <w:spacing w:before="3"/>
        <w:rPr>
          <w:sz w:val="11"/>
        </w:rPr>
      </w:pPr>
    </w:p>
    <w:p>
      <w:pPr>
        <w:pStyle w:val="BodyText"/>
        <w:spacing w:line="285" w:lineRule="auto" w:before="36"/>
        <w:ind w:left="110" w:right="105"/>
        <w:jc w:val="both"/>
      </w:pPr>
      <w:r>
        <w:rPr>
          <w:color w:val="231F20"/>
          <w:w w:val="105"/>
        </w:rPr>
        <w:t>blica</w:t>
      </w:r>
      <w:r>
        <w:rPr>
          <w:color w:val="231F20"/>
          <w:spacing w:val="-10"/>
          <w:w w:val="105"/>
        </w:rPr>
        <w:t> </w:t>
      </w:r>
      <w:r>
        <w:rPr>
          <w:color w:val="231F20"/>
          <w:w w:val="105"/>
        </w:rPr>
        <w:t>puede</w:t>
      </w:r>
      <w:r>
        <w:rPr>
          <w:color w:val="231F20"/>
          <w:spacing w:val="-10"/>
          <w:w w:val="105"/>
        </w:rPr>
        <w:t> </w:t>
      </w:r>
      <w:r>
        <w:rPr>
          <w:color w:val="231F20"/>
          <w:spacing w:val="2"/>
          <w:w w:val="105"/>
        </w:rPr>
        <w:t>regirse</w:t>
      </w:r>
      <w:r>
        <w:rPr>
          <w:color w:val="231F20"/>
          <w:spacing w:val="-10"/>
          <w:w w:val="105"/>
        </w:rPr>
        <w:t> </w:t>
      </w:r>
      <w:r>
        <w:rPr>
          <w:color w:val="231F20"/>
          <w:w w:val="105"/>
        </w:rPr>
        <w:t>por</w:t>
      </w:r>
      <w:r>
        <w:rPr>
          <w:color w:val="231F20"/>
          <w:spacing w:val="-10"/>
          <w:w w:val="105"/>
        </w:rPr>
        <w:t> </w:t>
      </w:r>
      <w:r>
        <w:rPr>
          <w:color w:val="231F20"/>
          <w:spacing w:val="2"/>
          <w:w w:val="105"/>
        </w:rPr>
        <w:t>las</w:t>
      </w:r>
      <w:r>
        <w:rPr>
          <w:color w:val="231F20"/>
          <w:spacing w:val="-10"/>
          <w:w w:val="105"/>
        </w:rPr>
        <w:t> </w:t>
      </w:r>
      <w:r>
        <w:rPr>
          <w:color w:val="231F20"/>
          <w:w w:val="105"/>
        </w:rPr>
        <w:t>necesidades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población</w:t>
      </w:r>
      <w:r>
        <w:rPr>
          <w:color w:val="231F20"/>
          <w:spacing w:val="-10"/>
          <w:w w:val="105"/>
        </w:rPr>
        <w:t> </w:t>
      </w:r>
      <w:r>
        <w:rPr>
          <w:color w:val="231F20"/>
          <w:w w:val="105"/>
        </w:rPr>
        <w:t>o</w:t>
      </w:r>
      <w:r>
        <w:rPr>
          <w:color w:val="231F20"/>
          <w:spacing w:val="-10"/>
          <w:w w:val="105"/>
        </w:rPr>
        <w:t> </w:t>
      </w:r>
      <w:r>
        <w:rPr>
          <w:color w:val="231F20"/>
          <w:w w:val="105"/>
        </w:rPr>
        <w:t>bien</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búsqueda</w:t>
      </w:r>
      <w:r>
        <w:rPr>
          <w:color w:val="231F20"/>
          <w:spacing w:val="-10"/>
          <w:w w:val="105"/>
        </w:rPr>
        <w:t> </w:t>
      </w:r>
      <w:r>
        <w:rPr>
          <w:color w:val="231F20"/>
          <w:w w:val="105"/>
        </w:rPr>
        <w:t>de</w:t>
      </w:r>
      <w:r>
        <w:rPr>
          <w:color w:val="231F20"/>
          <w:spacing w:val="-10"/>
          <w:w w:val="105"/>
        </w:rPr>
        <w:t> </w:t>
      </w:r>
      <w:r>
        <w:rPr>
          <w:color w:val="231F20"/>
          <w:w w:val="105"/>
        </w:rPr>
        <w:t>votos </w:t>
      </w:r>
      <w:r>
        <w:rPr>
          <w:color w:val="231F20"/>
          <w:spacing w:val="-3"/>
          <w:w w:val="105"/>
        </w:rPr>
        <w:t>(como</w:t>
      </w:r>
      <w:r>
        <w:rPr>
          <w:color w:val="231F20"/>
          <w:spacing w:val="-14"/>
          <w:w w:val="105"/>
        </w:rPr>
        <w:t> </w:t>
      </w:r>
      <w:r>
        <w:rPr>
          <w:color w:val="231F20"/>
          <w:w w:val="105"/>
        </w:rPr>
        <w:t>lo</w:t>
      </w:r>
      <w:r>
        <w:rPr>
          <w:color w:val="231F20"/>
          <w:spacing w:val="-14"/>
          <w:w w:val="105"/>
        </w:rPr>
        <w:t> </w:t>
      </w:r>
      <w:r>
        <w:rPr>
          <w:color w:val="231F20"/>
          <w:w w:val="105"/>
        </w:rPr>
        <w:t>sugiere</w:t>
      </w:r>
      <w:r>
        <w:rPr>
          <w:color w:val="231F20"/>
          <w:spacing w:val="-14"/>
          <w:w w:val="105"/>
        </w:rPr>
        <w:t> </w:t>
      </w:r>
      <w:r>
        <w:rPr>
          <w:color w:val="231F20"/>
          <w:spacing w:val="3"/>
          <w:w w:val="105"/>
        </w:rPr>
        <w:t>Alberto</w:t>
      </w:r>
      <w:r>
        <w:rPr>
          <w:color w:val="231F20"/>
          <w:spacing w:val="-14"/>
          <w:w w:val="105"/>
        </w:rPr>
        <w:t> </w:t>
      </w:r>
      <w:r>
        <w:rPr>
          <w:color w:val="231F20"/>
          <w:w w:val="105"/>
        </w:rPr>
        <w:t>Espejel</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2"/>
          <w:w w:val="105"/>
        </w:rPr>
        <w:t>caso</w:t>
      </w:r>
      <w:r>
        <w:rPr>
          <w:color w:val="231F20"/>
          <w:spacing w:val="-14"/>
          <w:w w:val="105"/>
        </w:rPr>
        <w:t> </w:t>
      </w:r>
      <w:r>
        <w:rPr>
          <w:color w:val="231F20"/>
          <w:w w:val="105"/>
        </w:rPr>
        <w:t>del</w:t>
      </w:r>
      <w:r>
        <w:rPr>
          <w:color w:val="231F20"/>
          <w:spacing w:val="-14"/>
          <w:w w:val="105"/>
        </w:rPr>
        <w:t> </w:t>
      </w:r>
      <w:r>
        <w:rPr>
          <w:color w:val="231F20"/>
          <w:w w:val="105"/>
        </w:rPr>
        <w:t>gobierno</w:t>
      </w:r>
      <w:r>
        <w:rPr>
          <w:color w:val="231F20"/>
          <w:spacing w:val="-14"/>
          <w:w w:val="105"/>
        </w:rPr>
        <w:t> </w:t>
      </w:r>
      <w:r>
        <w:rPr>
          <w:color w:val="231F20"/>
          <w:spacing w:val="3"/>
          <w:w w:val="105"/>
        </w:rPr>
        <w:t>panista</w:t>
      </w:r>
      <w:r>
        <w:rPr>
          <w:color w:val="231F20"/>
          <w:spacing w:val="-14"/>
          <w:w w:val="105"/>
        </w:rPr>
        <w:t> </w:t>
      </w:r>
      <w:r>
        <w:rPr>
          <w:color w:val="231F20"/>
          <w:w w:val="105"/>
        </w:rPr>
        <w:t>de</w:t>
      </w:r>
      <w:r>
        <w:rPr>
          <w:color w:val="231F20"/>
          <w:spacing w:val="-14"/>
          <w:w w:val="105"/>
        </w:rPr>
        <w:t> </w:t>
      </w:r>
      <w:r>
        <w:rPr>
          <w:color w:val="231F20"/>
          <w:w w:val="105"/>
        </w:rPr>
        <w:t>Tlalnepantla).</w:t>
      </w:r>
      <w:r>
        <w:rPr>
          <w:color w:val="231F20"/>
          <w:spacing w:val="-14"/>
          <w:w w:val="105"/>
        </w:rPr>
        <w:t> </w:t>
      </w:r>
      <w:r>
        <w:rPr>
          <w:color w:val="231F20"/>
          <w:spacing w:val="2"/>
          <w:w w:val="105"/>
        </w:rPr>
        <w:t>Más </w:t>
      </w:r>
      <w:r>
        <w:rPr>
          <w:color w:val="231F20"/>
          <w:w w:val="105"/>
        </w:rPr>
        <w:t>aún, la propaganda de la obra pública </w:t>
      </w:r>
      <w:r>
        <w:rPr>
          <w:color w:val="231F20"/>
          <w:spacing w:val="2"/>
          <w:w w:val="105"/>
        </w:rPr>
        <w:t>realizada </w:t>
      </w:r>
      <w:r>
        <w:rPr>
          <w:color w:val="231F20"/>
          <w:w w:val="105"/>
        </w:rPr>
        <w:t>se ha convertido en </w:t>
      </w:r>
      <w:r>
        <w:rPr>
          <w:color w:val="231F20"/>
          <w:spacing w:val="3"/>
          <w:w w:val="105"/>
        </w:rPr>
        <w:t>un </w:t>
      </w:r>
      <w:r>
        <w:rPr>
          <w:color w:val="231F20"/>
          <w:w w:val="105"/>
        </w:rPr>
        <w:t>factor decisivo en la lucha por el poder, como lo </w:t>
      </w:r>
      <w:r>
        <w:rPr>
          <w:color w:val="231F20"/>
          <w:spacing w:val="2"/>
          <w:w w:val="105"/>
        </w:rPr>
        <w:t>señala Ricardo Cortés </w:t>
      </w:r>
      <w:r>
        <w:rPr>
          <w:color w:val="231F20"/>
          <w:w w:val="105"/>
        </w:rPr>
        <w:t>en el </w:t>
      </w:r>
      <w:r>
        <w:rPr>
          <w:color w:val="231F20"/>
          <w:spacing w:val="2"/>
          <w:w w:val="105"/>
        </w:rPr>
        <w:t>caso </w:t>
      </w:r>
      <w:r>
        <w:rPr>
          <w:color w:val="231F20"/>
          <w:w w:val="105"/>
        </w:rPr>
        <w:t>del gobierno del PRD en</w:t>
      </w:r>
      <w:r>
        <w:rPr>
          <w:color w:val="231F20"/>
          <w:spacing w:val="-25"/>
          <w:w w:val="105"/>
        </w:rPr>
        <w:t> </w:t>
      </w:r>
      <w:r>
        <w:rPr>
          <w:color w:val="231F20"/>
          <w:w w:val="105"/>
        </w:rPr>
        <w:t>Nezahualcóyotl.</w:t>
      </w:r>
    </w:p>
    <w:p>
      <w:pPr>
        <w:pStyle w:val="BodyText"/>
        <w:spacing w:before="1"/>
        <w:rPr>
          <w:sz w:val="26"/>
        </w:rPr>
      </w:pPr>
    </w:p>
    <w:p>
      <w:pPr>
        <w:pStyle w:val="BodyText"/>
        <w:spacing w:line="285" w:lineRule="auto"/>
        <w:ind w:left="110" w:right="108"/>
        <w:jc w:val="both"/>
      </w:pPr>
      <w:r>
        <w:rPr>
          <w:color w:val="231F20"/>
        </w:rPr>
        <w:t>La integración social en la toma de decisiones en general está restringida, lo cual deriva del marco legal establecido, no depende de un gobierno municipal en particular. La par- ticipación ciudadana no es un principio de acción de ninguno de los partidos del siste-  ma, por lo que su poca presencia en los casos estudiados no resulta extraña. Si bien para los</w:t>
      </w:r>
      <w:r>
        <w:rPr>
          <w:color w:val="231F20"/>
          <w:spacing w:val="16"/>
        </w:rPr>
        <w:t> </w:t>
      </w:r>
      <w:r>
        <w:rPr>
          <w:color w:val="231F20"/>
        </w:rPr>
        <w:t>especialistas</w:t>
      </w:r>
      <w:r>
        <w:rPr>
          <w:color w:val="231F20"/>
          <w:spacing w:val="16"/>
        </w:rPr>
        <w:t> </w:t>
      </w:r>
      <w:r>
        <w:rPr>
          <w:color w:val="231F20"/>
        </w:rPr>
        <w:t>es</w:t>
      </w:r>
      <w:r>
        <w:rPr>
          <w:color w:val="231F20"/>
          <w:spacing w:val="16"/>
        </w:rPr>
        <w:t> </w:t>
      </w:r>
      <w:r>
        <w:rPr>
          <w:color w:val="231F20"/>
        </w:rPr>
        <w:t>importante,</w:t>
      </w:r>
      <w:r>
        <w:rPr>
          <w:color w:val="231F20"/>
          <w:spacing w:val="16"/>
        </w:rPr>
        <w:t> </w:t>
      </w:r>
      <w:r>
        <w:rPr>
          <w:color w:val="231F20"/>
        </w:rPr>
        <w:t>no</w:t>
      </w:r>
      <w:r>
        <w:rPr>
          <w:color w:val="231F20"/>
          <w:spacing w:val="16"/>
        </w:rPr>
        <w:t> </w:t>
      </w:r>
      <w:r>
        <w:rPr>
          <w:color w:val="231F20"/>
        </w:rPr>
        <w:t>lo</w:t>
      </w:r>
      <w:r>
        <w:rPr>
          <w:color w:val="231F20"/>
          <w:spacing w:val="16"/>
        </w:rPr>
        <w:t> </w:t>
      </w:r>
      <w:r>
        <w:rPr>
          <w:color w:val="231F20"/>
        </w:rPr>
        <w:t>es</w:t>
      </w:r>
      <w:r>
        <w:rPr>
          <w:color w:val="231F20"/>
          <w:spacing w:val="16"/>
        </w:rPr>
        <w:t> </w:t>
      </w:r>
      <w:r>
        <w:rPr>
          <w:color w:val="231F20"/>
        </w:rPr>
        <w:t>para</w:t>
      </w:r>
      <w:r>
        <w:rPr>
          <w:color w:val="231F20"/>
          <w:spacing w:val="16"/>
        </w:rPr>
        <w:t> </w:t>
      </w:r>
      <w:r>
        <w:rPr>
          <w:color w:val="231F20"/>
        </w:rPr>
        <w:t>los</w:t>
      </w:r>
      <w:r>
        <w:rPr>
          <w:color w:val="231F20"/>
          <w:spacing w:val="16"/>
        </w:rPr>
        <w:t> </w:t>
      </w:r>
      <w:r>
        <w:rPr>
          <w:color w:val="231F20"/>
        </w:rPr>
        <w:t>partidos</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gobernantes</w:t>
      </w:r>
      <w:r>
        <w:rPr>
          <w:color w:val="231F20"/>
          <w:spacing w:val="16"/>
        </w:rPr>
        <w:t> </w:t>
      </w:r>
      <w:r>
        <w:rPr>
          <w:color w:val="231F20"/>
        </w:rPr>
        <w:t>en</w:t>
      </w:r>
      <w:r>
        <w:rPr>
          <w:color w:val="231F20"/>
          <w:spacing w:val="16"/>
        </w:rPr>
        <w:t> </w:t>
      </w:r>
      <w:r>
        <w:rPr>
          <w:color w:val="231F20"/>
        </w:rPr>
        <w:t>general.</w:t>
      </w:r>
    </w:p>
    <w:p>
      <w:pPr>
        <w:pStyle w:val="BodyText"/>
        <w:spacing w:before="1"/>
        <w:rPr>
          <w:sz w:val="26"/>
        </w:rPr>
      </w:pPr>
    </w:p>
    <w:p>
      <w:pPr>
        <w:pStyle w:val="BodyText"/>
        <w:spacing w:line="285" w:lineRule="auto"/>
        <w:ind w:left="110" w:right="107"/>
        <w:jc w:val="both"/>
      </w:pPr>
      <w:r>
        <w:rPr>
          <w:color w:val="231F20"/>
          <w:w w:val="105"/>
        </w:rPr>
        <w:t>Algo</w:t>
      </w:r>
      <w:r>
        <w:rPr>
          <w:color w:val="231F20"/>
          <w:spacing w:val="-23"/>
          <w:w w:val="105"/>
        </w:rPr>
        <w:t> </w:t>
      </w:r>
      <w:r>
        <w:rPr>
          <w:color w:val="231F20"/>
          <w:w w:val="105"/>
        </w:rPr>
        <w:t>semejante</w:t>
      </w:r>
      <w:r>
        <w:rPr>
          <w:color w:val="231F20"/>
          <w:spacing w:val="-23"/>
          <w:w w:val="105"/>
        </w:rPr>
        <w:t> </w:t>
      </w:r>
      <w:r>
        <w:rPr>
          <w:color w:val="231F20"/>
          <w:w w:val="105"/>
        </w:rPr>
        <w:t>puede</w:t>
      </w:r>
      <w:r>
        <w:rPr>
          <w:color w:val="231F20"/>
          <w:spacing w:val="-23"/>
          <w:w w:val="105"/>
        </w:rPr>
        <w:t> </w:t>
      </w:r>
      <w:r>
        <w:rPr>
          <w:color w:val="231F20"/>
          <w:w w:val="105"/>
        </w:rPr>
        <w:t>decirse</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políticas</w:t>
      </w:r>
      <w:r>
        <w:rPr>
          <w:color w:val="231F20"/>
          <w:spacing w:val="-23"/>
          <w:w w:val="105"/>
        </w:rPr>
        <w:t> </w:t>
      </w:r>
      <w:r>
        <w:rPr>
          <w:color w:val="231F20"/>
          <w:w w:val="105"/>
        </w:rPr>
        <w:t>de</w:t>
      </w:r>
      <w:r>
        <w:rPr>
          <w:color w:val="231F20"/>
          <w:spacing w:val="-23"/>
          <w:w w:val="105"/>
        </w:rPr>
        <w:t> </w:t>
      </w:r>
      <w:r>
        <w:rPr>
          <w:color w:val="231F20"/>
          <w:w w:val="105"/>
        </w:rPr>
        <w:t>acceso</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información.</w:t>
      </w:r>
      <w:r>
        <w:rPr>
          <w:color w:val="231F20"/>
          <w:spacing w:val="-23"/>
          <w:w w:val="105"/>
        </w:rPr>
        <w:t> </w:t>
      </w:r>
      <w:r>
        <w:rPr>
          <w:color w:val="231F20"/>
          <w:spacing w:val="-3"/>
          <w:w w:val="105"/>
        </w:rPr>
        <w:t>Aunque</w:t>
      </w:r>
      <w:r>
        <w:rPr>
          <w:color w:val="231F20"/>
          <w:spacing w:val="-23"/>
          <w:w w:val="105"/>
        </w:rPr>
        <w:t> </w:t>
      </w:r>
      <w:r>
        <w:rPr>
          <w:color w:val="231F20"/>
          <w:w w:val="105"/>
        </w:rPr>
        <w:t>esto</w:t>
      </w:r>
      <w:r>
        <w:rPr>
          <w:color w:val="231F20"/>
          <w:spacing w:val="-23"/>
          <w:w w:val="105"/>
        </w:rPr>
        <w:t> </w:t>
      </w:r>
      <w:r>
        <w:rPr>
          <w:color w:val="231F20"/>
          <w:w w:val="105"/>
        </w:rPr>
        <w:t>se impuso</w:t>
      </w:r>
      <w:r>
        <w:rPr>
          <w:color w:val="231F20"/>
          <w:spacing w:val="-9"/>
          <w:w w:val="105"/>
        </w:rPr>
        <w:t> </w:t>
      </w:r>
      <w:r>
        <w:rPr>
          <w:color w:val="231F20"/>
          <w:w w:val="105"/>
        </w:rPr>
        <w:t>desde</w:t>
      </w:r>
      <w:r>
        <w:rPr>
          <w:color w:val="231F20"/>
          <w:spacing w:val="-9"/>
          <w:w w:val="105"/>
        </w:rPr>
        <w:t> </w:t>
      </w:r>
      <w:r>
        <w:rPr>
          <w:color w:val="231F20"/>
          <w:w w:val="105"/>
        </w:rPr>
        <w:t>hace</w:t>
      </w:r>
      <w:r>
        <w:rPr>
          <w:color w:val="231F20"/>
          <w:spacing w:val="-9"/>
          <w:w w:val="105"/>
        </w:rPr>
        <w:t> </w:t>
      </w:r>
      <w:r>
        <w:rPr>
          <w:color w:val="231F20"/>
          <w:w w:val="105"/>
        </w:rPr>
        <w:t>varios</w:t>
      </w:r>
      <w:r>
        <w:rPr>
          <w:color w:val="231F20"/>
          <w:spacing w:val="-9"/>
          <w:w w:val="105"/>
        </w:rPr>
        <w:t> </w:t>
      </w:r>
      <w:r>
        <w:rPr>
          <w:color w:val="231F20"/>
          <w:w w:val="105"/>
        </w:rPr>
        <w:t>años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plano</w:t>
      </w:r>
      <w:r>
        <w:rPr>
          <w:color w:val="231F20"/>
          <w:spacing w:val="-9"/>
          <w:w w:val="105"/>
        </w:rPr>
        <w:t> </w:t>
      </w:r>
      <w:r>
        <w:rPr>
          <w:color w:val="231F20"/>
          <w:w w:val="105"/>
        </w:rPr>
        <w:t>federal</w:t>
      </w:r>
      <w:r>
        <w:rPr>
          <w:color w:val="231F20"/>
          <w:spacing w:val="-9"/>
          <w:w w:val="105"/>
        </w:rPr>
        <w:t> </w:t>
      </w:r>
      <w:r>
        <w:rPr>
          <w:color w:val="231F20"/>
          <w:spacing w:val="-2"/>
          <w:w w:val="105"/>
        </w:rPr>
        <w:t>con</w:t>
      </w:r>
      <w:r>
        <w:rPr>
          <w:color w:val="231F20"/>
          <w:spacing w:val="-9"/>
          <w:w w:val="105"/>
        </w:rPr>
        <w:t> </w:t>
      </w:r>
      <w:r>
        <w:rPr>
          <w:color w:val="231F20"/>
          <w:w w:val="105"/>
        </w:rPr>
        <w:t>la</w:t>
      </w:r>
      <w:r>
        <w:rPr>
          <w:color w:val="231F20"/>
          <w:spacing w:val="-9"/>
          <w:w w:val="105"/>
        </w:rPr>
        <w:t> </w:t>
      </w:r>
      <w:r>
        <w:rPr>
          <w:color w:val="231F20"/>
          <w:w w:val="105"/>
        </w:rPr>
        <w:t>Ley</w:t>
      </w:r>
      <w:r>
        <w:rPr>
          <w:color w:val="231F20"/>
          <w:spacing w:val="-9"/>
          <w:w w:val="105"/>
        </w:rPr>
        <w:t> </w:t>
      </w:r>
      <w:r>
        <w:rPr>
          <w:color w:val="231F20"/>
          <w:w w:val="105"/>
        </w:rPr>
        <w:t>Federal</w:t>
      </w:r>
      <w:r>
        <w:rPr>
          <w:color w:val="231F20"/>
          <w:spacing w:val="-9"/>
          <w:w w:val="105"/>
        </w:rPr>
        <w:t> </w:t>
      </w:r>
      <w:r>
        <w:rPr>
          <w:color w:val="231F20"/>
          <w:w w:val="105"/>
        </w:rPr>
        <w:t>de</w:t>
      </w:r>
      <w:r>
        <w:rPr>
          <w:color w:val="231F20"/>
          <w:spacing w:val="-9"/>
          <w:w w:val="105"/>
        </w:rPr>
        <w:t> </w:t>
      </w:r>
      <w:r>
        <w:rPr>
          <w:color w:val="231F20"/>
          <w:w w:val="105"/>
        </w:rPr>
        <w:t>Transparencia y Acceso a la Información Pública Gubernamental, en el plano municipal </w:t>
      </w:r>
      <w:r>
        <w:rPr>
          <w:color w:val="231F20"/>
          <w:spacing w:val="-2"/>
          <w:w w:val="105"/>
        </w:rPr>
        <w:t>los </w:t>
      </w:r>
      <w:r>
        <w:rPr>
          <w:color w:val="231F20"/>
          <w:w w:val="105"/>
        </w:rPr>
        <w:t>avances son exiguos y en realidad no están del todo institucionalizados, </w:t>
      </w:r>
      <w:r>
        <w:rPr>
          <w:color w:val="231F20"/>
          <w:spacing w:val="-3"/>
          <w:w w:val="105"/>
        </w:rPr>
        <w:t>como </w:t>
      </w:r>
      <w:r>
        <w:rPr>
          <w:color w:val="231F20"/>
          <w:w w:val="105"/>
        </w:rPr>
        <w:t>indica Gustavo Martínez</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caso</w:t>
      </w:r>
      <w:r>
        <w:rPr>
          <w:color w:val="231F20"/>
          <w:spacing w:val="-16"/>
          <w:w w:val="105"/>
        </w:rPr>
        <w:t> </w:t>
      </w:r>
      <w:r>
        <w:rPr>
          <w:color w:val="231F20"/>
          <w:w w:val="105"/>
        </w:rPr>
        <w:t>de</w:t>
      </w:r>
      <w:r>
        <w:rPr>
          <w:color w:val="231F20"/>
          <w:spacing w:val="-16"/>
          <w:w w:val="105"/>
        </w:rPr>
        <w:t> </w:t>
      </w:r>
      <w:r>
        <w:rPr>
          <w:color w:val="231F20"/>
          <w:w w:val="105"/>
        </w:rPr>
        <w:t>Huixquilucan.</w:t>
      </w:r>
      <w:r>
        <w:rPr>
          <w:color w:val="231F20"/>
          <w:spacing w:val="-16"/>
          <w:w w:val="105"/>
        </w:rPr>
        <w:t> </w:t>
      </w:r>
      <w:r>
        <w:rPr>
          <w:color w:val="231F20"/>
          <w:spacing w:val="-4"/>
          <w:w w:val="105"/>
        </w:rPr>
        <w:t>Por</w:t>
      </w:r>
      <w:r>
        <w:rPr>
          <w:color w:val="231F20"/>
          <w:spacing w:val="-16"/>
          <w:w w:val="105"/>
        </w:rPr>
        <w:t> </w:t>
      </w:r>
      <w:r>
        <w:rPr>
          <w:color w:val="231F20"/>
          <w:w w:val="105"/>
        </w:rPr>
        <w:t>disposición</w:t>
      </w:r>
      <w:r>
        <w:rPr>
          <w:color w:val="231F20"/>
          <w:spacing w:val="-16"/>
          <w:w w:val="105"/>
        </w:rPr>
        <w:t> </w:t>
      </w:r>
      <w:r>
        <w:rPr>
          <w:color w:val="231F20"/>
          <w:w w:val="105"/>
        </w:rPr>
        <w:t>legal,</w:t>
      </w:r>
      <w:r>
        <w:rPr>
          <w:color w:val="231F20"/>
          <w:spacing w:val="-16"/>
          <w:w w:val="105"/>
        </w:rPr>
        <w:t> </w:t>
      </w:r>
      <w:r>
        <w:rPr>
          <w:color w:val="231F20"/>
          <w:spacing w:val="-2"/>
          <w:w w:val="105"/>
        </w:rPr>
        <w:t>los</w:t>
      </w:r>
      <w:r>
        <w:rPr>
          <w:color w:val="231F20"/>
          <w:spacing w:val="-16"/>
          <w:w w:val="105"/>
        </w:rPr>
        <w:t> </w:t>
      </w:r>
      <w:r>
        <w:rPr>
          <w:color w:val="231F20"/>
          <w:w w:val="105"/>
        </w:rPr>
        <w:t>municipios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entidad </w:t>
      </w:r>
      <w:r>
        <w:rPr>
          <w:color w:val="231F20"/>
          <w:w w:val="105"/>
        </w:rPr>
        <w:t>mexiquense</w:t>
      </w:r>
      <w:r>
        <w:rPr>
          <w:color w:val="231F20"/>
          <w:spacing w:val="-20"/>
          <w:w w:val="105"/>
        </w:rPr>
        <w:t> </w:t>
      </w:r>
      <w:r>
        <w:rPr>
          <w:color w:val="231F20"/>
          <w:w w:val="105"/>
        </w:rPr>
        <w:t>están</w:t>
      </w:r>
      <w:r>
        <w:rPr>
          <w:color w:val="231F20"/>
          <w:spacing w:val="-20"/>
          <w:w w:val="105"/>
        </w:rPr>
        <w:t> </w:t>
      </w:r>
      <w:r>
        <w:rPr>
          <w:color w:val="231F20"/>
          <w:spacing w:val="-3"/>
          <w:w w:val="105"/>
        </w:rPr>
        <w:t>obligados</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transparencia</w:t>
      </w:r>
      <w:r>
        <w:rPr>
          <w:color w:val="231F20"/>
          <w:spacing w:val="-20"/>
          <w:w w:val="105"/>
        </w:rPr>
        <w:t> </w:t>
      </w:r>
      <w:r>
        <w:rPr>
          <w:color w:val="231F20"/>
          <w:w w:val="105"/>
        </w:rPr>
        <w:t>incluso</w:t>
      </w:r>
      <w:r>
        <w:rPr>
          <w:color w:val="231F20"/>
          <w:spacing w:val="-20"/>
          <w:w w:val="105"/>
        </w:rPr>
        <w:t> </w:t>
      </w:r>
      <w:r>
        <w:rPr>
          <w:color w:val="231F20"/>
          <w:w w:val="105"/>
        </w:rPr>
        <w:t>hay</w:t>
      </w:r>
      <w:r>
        <w:rPr>
          <w:color w:val="231F20"/>
          <w:spacing w:val="-20"/>
          <w:w w:val="105"/>
        </w:rPr>
        <w:t> </w:t>
      </w:r>
      <w:r>
        <w:rPr>
          <w:color w:val="231F20"/>
          <w:w w:val="105"/>
        </w:rPr>
        <w:t>dependencias</w:t>
      </w:r>
      <w:r>
        <w:rPr>
          <w:color w:val="231F20"/>
          <w:spacing w:val="-20"/>
          <w:w w:val="105"/>
        </w:rPr>
        <w:t> </w:t>
      </w:r>
      <w:r>
        <w:rPr>
          <w:color w:val="231F20"/>
          <w:w w:val="105"/>
        </w:rPr>
        <w:t>creadas</w:t>
      </w:r>
      <w:r>
        <w:rPr>
          <w:color w:val="231F20"/>
          <w:spacing w:val="-20"/>
          <w:w w:val="105"/>
        </w:rPr>
        <w:t> </w:t>
      </w:r>
      <w:r>
        <w:rPr>
          <w:color w:val="231F20"/>
          <w:w w:val="105"/>
        </w:rPr>
        <w:t>ex</w:t>
      </w:r>
      <w:r>
        <w:rPr>
          <w:color w:val="231F20"/>
          <w:spacing w:val="-20"/>
          <w:w w:val="105"/>
        </w:rPr>
        <w:t> </w:t>
      </w:r>
      <w:r>
        <w:rPr>
          <w:color w:val="231F20"/>
          <w:w w:val="105"/>
        </w:rPr>
        <w:t>pro- feso</w:t>
      </w:r>
      <w:r>
        <w:rPr>
          <w:color w:val="231F20"/>
          <w:spacing w:val="-11"/>
          <w:w w:val="105"/>
        </w:rPr>
        <w:t> </w:t>
      </w:r>
      <w:r>
        <w:rPr>
          <w:color w:val="231F20"/>
          <w:w w:val="105"/>
        </w:rPr>
        <w:t>para</w:t>
      </w:r>
      <w:r>
        <w:rPr>
          <w:color w:val="231F20"/>
          <w:spacing w:val="-11"/>
          <w:w w:val="105"/>
        </w:rPr>
        <w:t> </w:t>
      </w:r>
      <w:r>
        <w:rPr>
          <w:color w:val="231F20"/>
          <w:w w:val="105"/>
        </w:rPr>
        <w:t>dar</w:t>
      </w:r>
      <w:r>
        <w:rPr>
          <w:color w:val="231F20"/>
          <w:spacing w:val="-11"/>
          <w:w w:val="105"/>
        </w:rPr>
        <w:t> </w:t>
      </w:r>
      <w:r>
        <w:rPr>
          <w:color w:val="231F20"/>
          <w:w w:val="105"/>
        </w:rPr>
        <w:t>información</w:t>
      </w:r>
      <w:r>
        <w:rPr>
          <w:color w:val="231F20"/>
          <w:spacing w:val="-11"/>
          <w:w w:val="105"/>
        </w:rPr>
        <w:t> </w:t>
      </w:r>
      <w:r>
        <w:rPr>
          <w:color w:val="231F20"/>
          <w:spacing w:val="-3"/>
          <w:w w:val="105"/>
        </w:rPr>
        <w:t>sobre</w:t>
      </w:r>
      <w:r>
        <w:rPr>
          <w:color w:val="231F20"/>
          <w:spacing w:val="-11"/>
          <w:w w:val="105"/>
        </w:rPr>
        <w:t> </w:t>
      </w:r>
      <w:r>
        <w:rPr>
          <w:color w:val="231F20"/>
          <w:w w:val="105"/>
        </w:rPr>
        <w:t>la</w:t>
      </w:r>
      <w:r>
        <w:rPr>
          <w:color w:val="231F20"/>
          <w:spacing w:val="-11"/>
          <w:w w:val="105"/>
        </w:rPr>
        <w:t> </w:t>
      </w:r>
      <w:r>
        <w:rPr>
          <w:color w:val="231F20"/>
          <w:w w:val="105"/>
        </w:rPr>
        <w:t>gestión</w:t>
      </w:r>
      <w:r>
        <w:rPr>
          <w:color w:val="231F20"/>
          <w:spacing w:val="-11"/>
          <w:w w:val="105"/>
        </w:rPr>
        <w:t> </w:t>
      </w:r>
      <w:r>
        <w:rPr>
          <w:color w:val="231F20"/>
          <w:w w:val="105"/>
        </w:rPr>
        <w:t>pública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ciudadanía</w:t>
      </w:r>
      <w:r>
        <w:rPr>
          <w:color w:val="231F20"/>
          <w:spacing w:val="-11"/>
          <w:w w:val="105"/>
        </w:rPr>
        <w:t> </w:t>
      </w:r>
      <w:r>
        <w:rPr>
          <w:color w:val="231F20"/>
          <w:w w:val="105"/>
        </w:rPr>
        <w:t>ha</w:t>
      </w:r>
      <w:r>
        <w:rPr>
          <w:color w:val="231F20"/>
          <w:spacing w:val="-11"/>
          <w:w w:val="105"/>
        </w:rPr>
        <w:t> </w:t>
      </w:r>
      <w:r>
        <w:rPr>
          <w:color w:val="231F20"/>
          <w:spacing w:val="-3"/>
          <w:w w:val="105"/>
        </w:rPr>
        <w:t>dado</w:t>
      </w:r>
      <w:r>
        <w:rPr>
          <w:color w:val="231F20"/>
          <w:spacing w:val="-11"/>
          <w:w w:val="105"/>
        </w:rPr>
        <w:t> </w:t>
      </w:r>
      <w:r>
        <w:rPr>
          <w:color w:val="231F20"/>
          <w:w w:val="105"/>
        </w:rPr>
        <w:t>prueba</w:t>
      </w:r>
      <w:r>
        <w:rPr>
          <w:color w:val="231F20"/>
          <w:spacing w:val="-11"/>
          <w:w w:val="105"/>
        </w:rPr>
        <w:t> </w:t>
      </w:r>
      <w:r>
        <w:rPr>
          <w:color w:val="231F20"/>
          <w:w w:val="105"/>
        </w:rPr>
        <w:t>de</w:t>
      </w:r>
      <w:r>
        <w:rPr>
          <w:color w:val="231F20"/>
          <w:spacing w:val="-11"/>
          <w:w w:val="105"/>
        </w:rPr>
        <w:t> </w:t>
      </w:r>
      <w:r>
        <w:rPr>
          <w:color w:val="231F20"/>
          <w:w w:val="105"/>
        </w:rPr>
        <w:t>su </w:t>
      </w:r>
      <w:r>
        <w:rPr>
          <w:color w:val="231F20"/>
          <w:spacing w:val="-3"/>
          <w:w w:val="105"/>
        </w:rPr>
        <w:t>creciente</w:t>
      </w:r>
      <w:r>
        <w:rPr>
          <w:color w:val="231F20"/>
          <w:spacing w:val="-10"/>
          <w:w w:val="105"/>
        </w:rPr>
        <w:t> </w:t>
      </w:r>
      <w:r>
        <w:rPr>
          <w:color w:val="231F20"/>
          <w:w w:val="105"/>
        </w:rPr>
        <w:t>interés</w:t>
      </w:r>
      <w:r>
        <w:rPr>
          <w:color w:val="231F20"/>
          <w:spacing w:val="-10"/>
          <w:w w:val="105"/>
        </w:rPr>
        <w:t> </w:t>
      </w:r>
      <w:r>
        <w:rPr>
          <w:color w:val="231F20"/>
          <w:w w:val="105"/>
        </w:rPr>
        <w:t>por</w:t>
      </w:r>
      <w:r>
        <w:rPr>
          <w:color w:val="231F20"/>
          <w:spacing w:val="-10"/>
          <w:w w:val="105"/>
        </w:rPr>
        <w:t> </w:t>
      </w:r>
      <w:r>
        <w:rPr>
          <w:color w:val="231F20"/>
          <w:spacing w:val="-3"/>
          <w:w w:val="105"/>
        </w:rPr>
        <w:t>conocer</w:t>
      </w:r>
      <w:r>
        <w:rPr>
          <w:color w:val="231F20"/>
          <w:spacing w:val="-10"/>
          <w:w w:val="105"/>
        </w:rPr>
        <w:t> </w:t>
      </w:r>
      <w:r>
        <w:rPr>
          <w:color w:val="231F20"/>
          <w:w w:val="105"/>
        </w:rPr>
        <w:t>la</w:t>
      </w:r>
      <w:r>
        <w:rPr>
          <w:color w:val="231F20"/>
          <w:spacing w:val="-10"/>
          <w:w w:val="105"/>
        </w:rPr>
        <w:t> </w:t>
      </w:r>
      <w:r>
        <w:rPr>
          <w:color w:val="231F20"/>
          <w:w w:val="105"/>
        </w:rPr>
        <w:t>cosa</w:t>
      </w:r>
      <w:r>
        <w:rPr>
          <w:color w:val="231F20"/>
          <w:spacing w:val="-10"/>
          <w:w w:val="105"/>
        </w:rPr>
        <w:t> </w:t>
      </w:r>
      <w:r>
        <w:rPr>
          <w:color w:val="231F20"/>
          <w:w w:val="105"/>
        </w:rPr>
        <w:t>pública</w:t>
      </w:r>
      <w:r>
        <w:rPr>
          <w:color w:val="231F20"/>
          <w:spacing w:val="-10"/>
          <w:w w:val="105"/>
        </w:rPr>
        <w:t> </w:t>
      </w:r>
      <w:r>
        <w:rPr>
          <w:color w:val="231F20"/>
          <w:w w:val="105"/>
        </w:rPr>
        <w:t>de</w:t>
      </w:r>
      <w:r>
        <w:rPr>
          <w:color w:val="231F20"/>
          <w:spacing w:val="-10"/>
          <w:w w:val="105"/>
        </w:rPr>
        <w:t> </w:t>
      </w:r>
      <w:r>
        <w:rPr>
          <w:color w:val="231F20"/>
          <w:w w:val="105"/>
        </w:rPr>
        <w:t>este</w:t>
      </w:r>
      <w:r>
        <w:rPr>
          <w:color w:val="231F20"/>
          <w:spacing w:val="-10"/>
          <w:w w:val="105"/>
        </w:rPr>
        <w:t> </w:t>
      </w:r>
      <w:r>
        <w:rPr>
          <w:color w:val="231F20"/>
          <w:spacing w:val="-3"/>
          <w:w w:val="105"/>
        </w:rPr>
        <w:t>modo</w:t>
      </w:r>
      <w:r>
        <w:rPr>
          <w:color w:val="231F20"/>
          <w:spacing w:val="-10"/>
          <w:w w:val="105"/>
        </w:rPr>
        <w:t> </w:t>
      </w:r>
      <w:r>
        <w:rPr>
          <w:color w:val="231F20"/>
          <w:spacing w:val="-5"/>
          <w:w w:val="105"/>
        </w:rPr>
        <w:t>(como</w:t>
      </w:r>
      <w:r>
        <w:rPr>
          <w:color w:val="231F20"/>
          <w:spacing w:val="-10"/>
          <w:w w:val="105"/>
        </w:rPr>
        <w:t> </w:t>
      </w:r>
      <w:r>
        <w:rPr>
          <w:color w:val="231F20"/>
          <w:w w:val="105"/>
        </w:rPr>
        <w:t>en</w:t>
      </w:r>
      <w:r>
        <w:rPr>
          <w:color w:val="231F20"/>
          <w:spacing w:val="-10"/>
          <w:w w:val="105"/>
        </w:rPr>
        <w:t> </w:t>
      </w:r>
      <w:r>
        <w:rPr>
          <w:color w:val="231F20"/>
          <w:spacing w:val="-3"/>
          <w:w w:val="105"/>
        </w:rPr>
        <w:t>Naucalpan).</w:t>
      </w:r>
      <w:r>
        <w:rPr>
          <w:color w:val="231F20"/>
          <w:spacing w:val="-10"/>
          <w:w w:val="105"/>
        </w:rPr>
        <w:t> </w:t>
      </w:r>
      <w:r>
        <w:rPr>
          <w:color w:val="231F20"/>
          <w:spacing w:val="-4"/>
          <w:w w:val="105"/>
        </w:rPr>
        <w:t>Pero</w:t>
      </w:r>
      <w:r>
        <w:rPr>
          <w:color w:val="231F20"/>
          <w:spacing w:val="-10"/>
          <w:w w:val="105"/>
        </w:rPr>
        <w:t> </w:t>
      </w:r>
      <w:r>
        <w:rPr>
          <w:color w:val="231F20"/>
          <w:w w:val="105"/>
        </w:rPr>
        <w:t>el cumplimiento</w:t>
      </w:r>
      <w:r>
        <w:rPr>
          <w:color w:val="231F20"/>
          <w:spacing w:val="-25"/>
          <w:w w:val="105"/>
        </w:rPr>
        <w:t> </w:t>
      </w:r>
      <w:r>
        <w:rPr>
          <w:color w:val="231F20"/>
          <w:w w:val="105"/>
        </w:rPr>
        <w:t>de</w:t>
      </w:r>
      <w:r>
        <w:rPr>
          <w:color w:val="231F20"/>
          <w:spacing w:val="-25"/>
          <w:w w:val="105"/>
        </w:rPr>
        <w:t> </w:t>
      </w:r>
      <w:r>
        <w:rPr>
          <w:color w:val="231F20"/>
          <w:w w:val="105"/>
        </w:rPr>
        <w:t>esta</w:t>
      </w:r>
      <w:r>
        <w:rPr>
          <w:color w:val="231F20"/>
          <w:spacing w:val="-25"/>
          <w:w w:val="105"/>
        </w:rPr>
        <w:t> </w:t>
      </w:r>
      <w:r>
        <w:rPr>
          <w:color w:val="231F20"/>
          <w:w w:val="105"/>
        </w:rPr>
        <w:t>disposición</w:t>
      </w:r>
      <w:r>
        <w:rPr>
          <w:color w:val="231F20"/>
          <w:spacing w:val="-25"/>
          <w:w w:val="105"/>
        </w:rPr>
        <w:t> </w:t>
      </w:r>
      <w:r>
        <w:rPr>
          <w:color w:val="231F20"/>
          <w:w w:val="105"/>
        </w:rPr>
        <w:t>legal</w:t>
      </w:r>
      <w:r>
        <w:rPr>
          <w:color w:val="231F20"/>
          <w:spacing w:val="-25"/>
          <w:w w:val="105"/>
        </w:rPr>
        <w:t> </w:t>
      </w:r>
      <w:r>
        <w:rPr>
          <w:color w:val="231F20"/>
          <w:w w:val="105"/>
        </w:rPr>
        <w:t>es</w:t>
      </w:r>
      <w:r>
        <w:rPr>
          <w:color w:val="231F20"/>
          <w:spacing w:val="-25"/>
          <w:w w:val="105"/>
        </w:rPr>
        <w:t> </w:t>
      </w:r>
      <w:r>
        <w:rPr>
          <w:color w:val="231F20"/>
          <w:spacing w:val="-3"/>
          <w:w w:val="105"/>
        </w:rPr>
        <w:t>diferenciado,</w:t>
      </w:r>
      <w:r>
        <w:rPr>
          <w:color w:val="231F20"/>
          <w:spacing w:val="-25"/>
          <w:w w:val="105"/>
        </w:rPr>
        <w:t> </w:t>
      </w:r>
      <w:r>
        <w:rPr>
          <w:color w:val="231F20"/>
          <w:w w:val="105"/>
        </w:rPr>
        <w:t>en</w:t>
      </w:r>
      <w:r>
        <w:rPr>
          <w:color w:val="231F20"/>
          <w:spacing w:val="-25"/>
          <w:w w:val="105"/>
        </w:rPr>
        <w:t> </w:t>
      </w:r>
      <w:r>
        <w:rPr>
          <w:color w:val="231F20"/>
          <w:w w:val="105"/>
        </w:rPr>
        <w:t>general,</w:t>
      </w:r>
      <w:r>
        <w:rPr>
          <w:color w:val="231F20"/>
          <w:spacing w:val="-25"/>
          <w:w w:val="105"/>
        </w:rPr>
        <w:t> </w:t>
      </w:r>
      <w:r>
        <w:rPr>
          <w:color w:val="231F20"/>
          <w:spacing w:val="-2"/>
          <w:w w:val="105"/>
        </w:rPr>
        <w:t>los</w:t>
      </w:r>
      <w:r>
        <w:rPr>
          <w:color w:val="231F20"/>
          <w:spacing w:val="-25"/>
          <w:w w:val="105"/>
        </w:rPr>
        <w:t> </w:t>
      </w:r>
      <w:r>
        <w:rPr>
          <w:color w:val="231F20"/>
          <w:spacing w:val="-3"/>
          <w:w w:val="105"/>
        </w:rPr>
        <w:t>gobiernos</w:t>
      </w:r>
      <w:r>
        <w:rPr>
          <w:color w:val="231F20"/>
          <w:spacing w:val="-25"/>
          <w:w w:val="105"/>
        </w:rPr>
        <w:t> </w:t>
      </w:r>
      <w:r>
        <w:rPr>
          <w:color w:val="231F20"/>
          <w:spacing w:val="-3"/>
          <w:w w:val="105"/>
        </w:rPr>
        <w:t>tienden, </w:t>
      </w:r>
      <w:r>
        <w:rPr>
          <w:color w:val="231F20"/>
          <w:w w:val="105"/>
        </w:rPr>
        <w:t>en</w:t>
      </w:r>
      <w:r>
        <w:rPr>
          <w:color w:val="231F20"/>
          <w:spacing w:val="-7"/>
          <w:w w:val="105"/>
        </w:rPr>
        <w:t> </w:t>
      </w:r>
      <w:r>
        <w:rPr>
          <w:color w:val="231F20"/>
          <w:w w:val="105"/>
        </w:rPr>
        <w:t>primer</w:t>
      </w:r>
      <w:r>
        <w:rPr>
          <w:color w:val="231F20"/>
          <w:spacing w:val="-7"/>
          <w:w w:val="105"/>
        </w:rPr>
        <w:t> </w:t>
      </w:r>
      <w:r>
        <w:rPr>
          <w:color w:val="231F20"/>
          <w:spacing w:val="-4"/>
          <w:w w:val="105"/>
        </w:rPr>
        <w:t>lugar,</w:t>
      </w:r>
      <w:r>
        <w:rPr>
          <w:color w:val="231F20"/>
          <w:spacing w:val="-7"/>
          <w:w w:val="105"/>
        </w:rPr>
        <w:t> </w:t>
      </w:r>
      <w:r>
        <w:rPr>
          <w:color w:val="231F20"/>
          <w:w w:val="105"/>
        </w:rPr>
        <w:t>a</w:t>
      </w:r>
      <w:r>
        <w:rPr>
          <w:color w:val="231F20"/>
          <w:spacing w:val="-7"/>
          <w:w w:val="105"/>
        </w:rPr>
        <w:t> </w:t>
      </w:r>
      <w:r>
        <w:rPr>
          <w:color w:val="231F20"/>
          <w:w w:val="105"/>
        </w:rPr>
        <w:t>obscurecer</w:t>
      </w:r>
      <w:r>
        <w:rPr>
          <w:color w:val="231F20"/>
          <w:spacing w:val="-7"/>
          <w:w w:val="105"/>
        </w:rPr>
        <w:t> </w:t>
      </w:r>
      <w:r>
        <w:rPr>
          <w:color w:val="231F20"/>
          <w:w w:val="105"/>
        </w:rPr>
        <w:t>su</w:t>
      </w:r>
      <w:r>
        <w:rPr>
          <w:color w:val="231F20"/>
          <w:spacing w:val="-7"/>
          <w:w w:val="105"/>
        </w:rPr>
        <w:t> </w:t>
      </w:r>
      <w:r>
        <w:rPr>
          <w:color w:val="231F20"/>
          <w:spacing w:val="-3"/>
          <w:w w:val="105"/>
        </w:rPr>
        <w:t>ejercicio</w:t>
      </w:r>
      <w:r>
        <w:rPr>
          <w:color w:val="231F20"/>
          <w:spacing w:val="-7"/>
          <w:w w:val="105"/>
        </w:rPr>
        <w:t> </w:t>
      </w:r>
      <w:r>
        <w:rPr>
          <w:color w:val="231F20"/>
          <w:spacing w:val="-8"/>
          <w:w w:val="105"/>
        </w:rPr>
        <w:t>y,</w:t>
      </w:r>
      <w:r>
        <w:rPr>
          <w:color w:val="231F20"/>
          <w:spacing w:val="-7"/>
          <w:w w:val="105"/>
        </w:rPr>
        <w:t> </w:t>
      </w:r>
      <w:r>
        <w:rPr>
          <w:color w:val="231F20"/>
          <w:w w:val="105"/>
        </w:rPr>
        <w:t>en</w:t>
      </w:r>
      <w:r>
        <w:rPr>
          <w:color w:val="231F20"/>
          <w:spacing w:val="-7"/>
          <w:w w:val="105"/>
        </w:rPr>
        <w:t> </w:t>
      </w:r>
      <w:r>
        <w:rPr>
          <w:color w:val="231F20"/>
          <w:w w:val="105"/>
        </w:rPr>
        <w:t>segundo,</w:t>
      </w:r>
      <w:r>
        <w:rPr>
          <w:color w:val="231F20"/>
          <w:spacing w:val="-7"/>
          <w:w w:val="105"/>
        </w:rPr>
        <w:t> </w:t>
      </w:r>
      <w:r>
        <w:rPr>
          <w:color w:val="231F20"/>
          <w:w w:val="105"/>
        </w:rPr>
        <w:t>a</w:t>
      </w:r>
      <w:r>
        <w:rPr>
          <w:color w:val="231F20"/>
          <w:spacing w:val="-7"/>
          <w:w w:val="105"/>
        </w:rPr>
        <w:t> </w:t>
      </w:r>
      <w:r>
        <w:rPr>
          <w:color w:val="231F20"/>
          <w:w w:val="105"/>
        </w:rPr>
        <w:t>obstaculizar</w:t>
      </w:r>
      <w:r>
        <w:rPr>
          <w:color w:val="231F20"/>
          <w:spacing w:val="-7"/>
          <w:w w:val="105"/>
        </w:rPr>
        <w:t> </w:t>
      </w:r>
      <w:r>
        <w:rPr>
          <w:color w:val="231F20"/>
          <w:w w:val="105"/>
        </w:rPr>
        <w:t>la</w:t>
      </w:r>
      <w:r>
        <w:rPr>
          <w:color w:val="231F20"/>
          <w:spacing w:val="-7"/>
          <w:w w:val="105"/>
        </w:rPr>
        <w:t> </w:t>
      </w:r>
      <w:r>
        <w:rPr>
          <w:color w:val="231F20"/>
          <w:w w:val="105"/>
        </w:rPr>
        <w:t>difusión</w:t>
      </w:r>
      <w:r>
        <w:rPr>
          <w:color w:val="231F20"/>
          <w:spacing w:val="-7"/>
          <w:w w:val="105"/>
        </w:rPr>
        <w:t> </w:t>
      </w:r>
      <w:r>
        <w:rPr>
          <w:color w:val="231F20"/>
          <w:w w:val="105"/>
        </w:rPr>
        <w:t>de</w:t>
      </w:r>
      <w:r>
        <w:rPr>
          <w:color w:val="231F20"/>
          <w:spacing w:val="-7"/>
          <w:w w:val="105"/>
        </w:rPr>
        <w:t> </w:t>
      </w:r>
      <w:r>
        <w:rPr>
          <w:color w:val="231F20"/>
          <w:w w:val="105"/>
        </w:rPr>
        <w:t>la información </w:t>
      </w:r>
      <w:r>
        <w:rPr>
          <w:color w:val="231F20"/>
          <w:spacing w:val="-3"/>
          <w:w w:val="105"/>
        </w:rPr>
        <w:t>correspondiente. </w:t>
      </w:r>
      <w:r>
        <w:rPr>
          <w:color w:val="231F20"/>
          <w:w w:val="105"/>
        </w:rPr>
        <w:t>No es de extrañar que esto suceda, pues la disposición legal</w:t>
      </w:r>
      <w:r>
        <w:rPr>
          <w:color w:val="231F20"/>
          <w:spacing w:val="-17"/>
          <w:w w:val="105"/>
        </w:rPr>
        <w:t> </w:t>
      </w:r>
      <w:r>
        <w:rPr>
          <w:color w:val="231F20"/>
          <w:w w:val="105"/>
        </w:rPr>
        <w:t>tiene</w:t>
      </w:r>
      <w:r>
        <w:rPr>
          <w:color w:val="231F20"/>
          <w:spacing w:val="-17"/>
          <w:w w:val="105"/>
        </w:rPr>
        <w:t> </w:t>
      </w:r>
      <w:r>
        <w:rPr>
          <w:color w:val="231F20"/>
          <w:w w:val="105"/>
        </w:rPr>
        <w:t>que</w:t>
      </w:r>
      <w:r>
        <w:rPr>
          <w:color w:val="231F20"/>
          <w:spacing w:val="-17"/>
          <w:w w:val="105"/>
        </w:rPr>
        <w:t> </w:t>
      </w:r>
      <w:r>
        <w:rPr>
          <w:color w:val="231F20"/>
          <w:spacing w:val="-3"/>
          <w:w w:val="105"/>
        </w:rPr>
        <w:t>ver</w:t>
      </w:r>
      <w:r>
        <w:rPr>
          <w:color w:val="231F20"/>
          <w:spacing w:val="-17"/>
          <w:w w:val="105"/>
        </w:rPr>
        <w:t> </w:t>
      </w:r>
      <w:r>
        <w:rPr>
          <w:color w:val="231F20"/>
          <w:w w:val="105"/>
        </w:rPr>
        <w:t>no</w:t>
      </w:r>
      <w:r>
        <w:rPr>
          <w:color w:val="231F20"/>
          <w:spacing w:val="-17"/>
          <w:w w:val="105"/>
        </w:rPr>
        <w:t> </w:t>
      </w:r>
      <w:r>
        <w:rPr>
          <w:color w:val="231F20"/>
          <w:spacing w:val="-3"/>
          <w:w w:val="105"/>
        </w:rPr>
        <w:t>sólo</w:t>
      </w:r>
      <w:r>
        <w:rPr>
          <w:color w:val="231F20"/>
          <w:spacing w:val="-17"/>
          <w:w w:val="105"/>
        </w:rPr>
        <w:t> </w:t>
      </w:r>
      <w:r>
        <w:rPr>
          <w:color w:val="231F20"/>
          <w:spacing w:val="-2"/>
          <w:w w:val="105"/>
        </w:rPr>
        <w:t>con</w:t>
      </w:r>
      <w:r>
        <w:rPr>
          <w:color w:val="231F20"/>
          <w:spacing w:val="-17"/>
          <w:w w:val="105"/>
        </w:rPr>
        <w:t> </w:t>
      </w:r>
      <w:r>
        <w:rPr>
          <w:color w:val="231F20"/>
          <w:w w:val="105"/>
        </w:rPr>
        <w:t>las</w:t>
      </w:r>
      <w:r>
        <w:rPr>
          <w:color w:val="231F20"/>
          <w:spacing w:val="-17"/>
          <w:w w:val="105"/>
        </w:rPr>
        <w:t> </w:t>
      </w:r>
      <w:r>
        <w:rPr>
          <w:color w:val="231F20"/>
          <w:spacing w:val="-3"/>
          <w:w w:val="105"/>
        </w:rPr>
        <w:t>convicciones</w:t>
      </w:r>
      <w:r>
        <w:rPr>
          <w:color w:val="231F20"/>
          <w:spacing w:val="-17"/>
          <w:w w:val="105"/>
        </w:rPr>
        <w:t> </w:t>
      </w:r>
      <w:r>
        <w:rPr>
          <w:color w:val="231F20"/>
          <w:w w:val="105"/>
        </w:rPr>
        <w:t>ideológicas</w:t>
      </w:r>
      <w:r>
        <w:rPr>
          <w:color w:val="231F20"/>
          <w:spacing w:val="-17"/>
          <w:w w:val="105"/>
        </w:rPr>
        <w:t> </w:t>
      </w:r>
      <w:r>
        <w:rPr>
          <w:color w:val="231F20"/>
          <w:w w:val="105"/>
        </w:rPr>
        <w:t>de</w:t>
      </w:r>
      <w:r>
        <w:rPr>
          <w:color w:val="231F20"/>
          <w:spacing w:val="-17"/>
          <w:w w:val="105"/>
        </w:rPr>
        <w:t> </w:t>
      </w:r>
      <w:r>
        <w:rPr>
          <w:color w:val="231F20"/>
          <w:spacing w:val="-2"/>
          <w:w w:val="105"/>
        </w:rPr>
        <w:t>los</w:t>
      </w:r>
      <w:r>
        <w:rPr>
          <w:color w:val="231F20"/>
          <w:spacing w:val="-17"/>
          <w:w w:val="105"/>
        </w:rPr>
        <w:t> </w:t>
      </w:r>
      <w:r>
        <w:rPr>
          <w:color w:val="231F20"/>
          <w:w w:val="105"/>
        </w:rPr>
        <w:t>partidos,</w:t>
      </w:r>
      <w:r>
        <w:rPr>
          <w:color w:val="231F20"/>
          <w:spacing w:val="-17"/>
          <w:w w:val="105"/>
        </w:rPr>
        <w:t> </w:t>
      </w:r>
      <w:r>
        <w:rPr>
          <w:color w:val="231F20"/>
          <w:w w:val="105"/>
        </w:rPr>
        <w:t>sino</w:t>
      </w:r>
      <w:r>
        <w:rPr>
          <w:color w:val="231F20"/>
          <w:spacing w:val="-17"/>
          <w:w w:val="105"/>
        </w:rPr>
        <w:t> </w:t>
      </w:r>
      <w:r>
        <w:rPr>
          <w:color w:val="231F20"/>
          <w:w w:val="105"/>
        </w:rPr>
        <w:t>también </w:t>
      </w:r>
      <w:r>
        <w:rPr>
          <w:color w:val="231F20"/>
          <w:spacing w:val="-2"/>
          <w:w w:val="105"/>
        </w:rPr>
        <w:t>con</w:t>
      </w:r>
      <w:r>
        <w:rPr>
          <w:color w:val="231F20"/>
          <w:spacing w:val="-18"/>
          <w:w w:val="105"/>
        </w:rPr>
        <w:t> </w:t>
      </w:r>
      <w:r>
        <w:rPr>
          <w:color w:val="231F20"/>
          <w:w w:val="105"/>
        </w:rPr>
        <w:t>el</w:t>
      </w:r>
      <w:r>
        <w:rPr>
          <w:color w:val="231F20"/>
          <w:spacing w:val="-18"/>
          <w:w w:val="105"/>
        </w:rPr>
        <w:t> </w:t>
      </w:r>
      <w:r>
        <w:rPr>
          <w:color w:val="231F20"/>
          <w:w w:val="105"/>
        </w:rPr>
        <w:t>grado</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compromiso</w:t>
      </w:r>
      <w:r>
        <w:rPr>
          <w:color w:val="231F20"/>
          <w:spacing w:val="-18"/>
          <w:w w:val="105"/>
        </w:rPr>
        <w:t> </w:t>
      </w:r>
      <w:r>
        <w:rPr>
          <w:color w:val="231F20"/>
          <w:spacing w:val="-2"/>
          <w:w w:val="105"/>
        </w:rPr>
        <w:t>con</w:t>
      </w:r>
      <w:r>
        <w:rPr>
          <w:color w:val="231F20"/>
          <w:spacing w:val="-18"/>
          <w:w w:val="105"/>
        </w:rPr>
        <w:t> </w:t>
      </w:r>
      <w:r>
        <w:rPr>
          <w:color w:val="231F20"/>
          <w:w w:val="105"/>
        </w:rPr>
        <w:t>la</w:t>
      </w:r>
      <w:r>
        <w:rPr>
          <w:color w:val="231F20"/>
          <w:spacing w:val="-18"/>
          <w:w w:val="105"/>
        </w:rPr>
        <w:t> </w:t>
      </w:r>
      <w:r>
        <w:rPr>
          <w:color w:val="231F20"/>
          <w:w w:val="105"/>
        </w:rPr>
        <w:t>democracia,</w:t>
      </w:r>
      <w:r>
        <w:rPr>
          <w:color w:val="231F20"/>
          <w:spacing w:val="-18"/>
          <w:w w:val="105"/>
        </w:rPr>
        <w:t> </w:t>
      </w:r>
      <w:r>
        <w:rPr>
          <w:color w:val="231F20"/>
          <w:w w:val="105"/>
        </w:rPr>
        <w:t>que</w:t>
      </w:r>
      <w:r>
        <w:rPr>
          <w:color w:val="231F20"/>
          <w:spacing w:val="-18"/>
          <w:w w:val="105"/>
        </w:rPr>
        <w:t> </w:t>
      </w:r>
      <w:r>
        <w:rPr>
          <w:color w:val="231F20"/>
          <w:w w:val="105"/>
        </w:rPr>
        <w:t>es</w:t>
      </w:r>
      <w:r>
        <w:rPr>
          <w:color w:val="231F20"/>
          <w:spacing w:val="-18"/>
          <w:w w:val="105"/>
        </w:rPr>
        <w:t> </w:t>
      </w:r>
      <w:r>
        <w:rPr>
          <w:color w:val="231F20"/>
          <w:w w:val="105"/>
        </w:rPr>
        <w:t>obviamente</w:t>
      </w:r>
      <w:r>
        <w:rPr>
          <w:color w:val="231F20"/>
          <w:spacing w:val="-18"/>
          <w:w w:val="105"/>
        </w:rPr>
        <w:t> </w:t>
      </w:r>
      <w:r>
        <w:rPr>
          <w:color w:val="231F20"/>
          <w:spacing w:val="-3"/>
          <w:w w:val="105"/>
        </w:rPr>
        <w:t>diferenciado.</w:t>
      </w:r>
    </w:p>
    <w:p>
      <w:pPr>
        <w:pStyle w:val="BodyText"/>
        <w:spacing w:before="8"/>
      </w:pPr>
    </w:p>
    <w:p>
      <w:pPr>
        <w:pStyle w:val="Heading3"/>
        <w:spacing w:before="1"/>
      </w:pPr>
      <w:r>
        <w:rPr>
          <w:color w:val="231F20"/>
          <w:w w:val="105"/>
        </w:rPr>
        <w:t>Los rasgos distintivos</w:t>
      </w:r>
    </w:p>
    <w:p>
      <w:pPr>
        <w:pStyle w:val="BodyText"/>
        <w:spacing w:line="285" w:lineRule="auto" w:before="38"/>
        <w:ind w:left="110" w:right="108"/>
        <w:jc w:val="both"/>
      </w:pPr>
      <w:r>
        <w:rPr>
          <w:color w:val="231F20"/>
          <w:w w:val="105"/>
        </w:rPr>
        <w:t>En</w:t>
      </w:r>
      <w:r>
        <w:rPr>
          <w:color w:val="231F20"/>
          <w:spacing w:val="-10"/>
          <w:w w:val="105"/>
        </w:rPr>
        <w:t> </w:t>
      </w:r>
      <w:r>
        <w:rPr>
          <w:color w:val="231F20"/>
          <w:w w:val="105"/>
        </w:rPr>
        <w:t>términos</w:t>
      </w:r>
      <w:r>
        <w:rPr>
          <w:color w:val="231F20"/>
          <w:spacing w:val="-10"/>
          <w:w w:val="105"/>
        </w:rPr>
        <w:t> </w:t>
      </w:r>
      <w:r>
        <w:rPr>
          <w:color w:val="231F20"/>
          <w:w w:val="105"/>
        </w:rPr>
        <w:t>generales,</w:t>
      </w:r>
      <w:r>
        <w:rPr>
          <w:color w:val="231F20"/>
          <w:spacing w:val="-10"/>
          <w:w w:val="105"/>
        </w:rPr>
        <w:t> </w:t>
      </w:r>
      <w:r>
        <w:rPr>
          <w:color w:val="231F20"/>
          <w:w w:val="105"/>
        </w:rPr>
        <w:t>el</w:t>
      </w:r>
      <w:r>
        <w:rPr>
          <w:color w:val="231F20"/>
          <w:spacing w:val="-10"/>
          <w:w w:val="105"/>
        </w:rPr>
        <w:t> </w:t>
      </w:r>
      <w:r>
        <w:rPr>
          <w:color w:val="231F20"/>
          <w:w w:val="105"/>
        </w:rPr>
        <w:t>PRI</w:t>
      </w:r>
      <w:r>
        <w:rPr>
          <w:color w:val="231F20"/>
          <w:spacing w:val="-10"/>
          <w:w w:val="105"/>
        </w:rPr>
        <w:t> </w:t>
      </w:r>
      <w:r>
        <w:rPr>
          <w:color w:val="231F20"/>
          <w:w w:val="105"/>
        </w:rPr>
        <w:t>tiene</w:t>
      </w:r>
      <w:r>
        <w:rPr>
          <w:color w:val="231F20"/>
          <w:spacing w:val="-10"/>
          <w:w w:val="105"/>
        </w:rPr>
        <w:t> </w:t>
      </w:r>
      <w:r>
        <w:rPr>
          <w:color w:val="231F20"/>
          <w:w w:val="105"/>
        </w:rPr>
        <w:t>experiencias</w:t>
      </w:r>
      <w:r>
        <w:rPr>
          <w:color w:val="231F20"/>
          <w:spacing w:val="-10"/>
          <w:w w:val="105"/>
        </w:rPr>
        <w:t> </w:t>
      </w:r>
      <w:r>
        <w:rPr>
          <w:color w:val="231F20"/>
          <w:w w:val="105"/>
        </w:rPr>
        <w:t>de</w:t>
      </w:r>
      <w:r>
        <w:rPr>
          <w:color w:val="231F20"/>
          <w:spacing w:val="-10"/>
          <w:w w:val="105"/>
        </w:rPr>
        <w:t> </w:t>
      </w:r>
      <w:r>
        <w:rPr>
          <w:color w:val="231F20"/>
          <w:w w:val="105"/>
        </w:rPr>
        <w:t>gobierno</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presencia</w:t>
      </w:r>
      <w:r>
        <w:rPr>
          <w:color w:val="231F20"/>
          <w:spacing w:val="-10"/>
          <w:w w:val="105"/>
        </w:rPr>
        <w:t> </w:t>
      </w:r>
      <w:r>
        <w:rPr>
          <w:color w:val="231F20"/>
          <w:w w:val="105"/>
        </w:rPr>
        <w:t>de un</w:t>
      </w:r>
      <w:r>
        <w:rPr>
          <w:color w:val="231F20"/>
          <w:spacing w:val="-6"/>
          <w:w w:val="105"/>
        </w:rPr>
        <w:t> </w:t>
      </w:r>
      <w:r>
        <w:rPr>
          <w:color w:val="231F20"/>
          <w:w w:val="105"/>
        </w:rPr>
        <w:t>liderazgo</w:t>
      </w:r>
      <w:r>
        <w:rPr>
          <w:color w:val="231F20"/>
          <w:spacing w:val="-6"/>
          <w:w w:val="105"/>
        </w:rPr>
        <w:t> </w:t>
      </w:r>
      <w:r>
        <w:rPr>
          <w:color w:val="231F20"/>
          <w:w w:val="105"/>
        </w:rPr>
        <w:t>fuerte</w:t>
      </w:r>
      <w:r>
        <w:rPr>
          <w:color w:val="231F20"/>
          <w:spacing w:val="-6"/>
          <w:w w:val="105"/>
        </w:rPr>
        <w:t> </w:t>
      </w:r>
      <w:r>
        <w:rPr>
          <w:color w:val="231F20"/>
          <w:w w:val="105"/>
        </w:rPr>
        <w:t>es</w:t>
      </w:r>
      <w:r>
        <w:rPr>
          <w:color w:val="231F20"/>
          <w:spacing w:val="-6"/>
          <w:w w:val="105"/>
        </w:rPr>
        <w:t> </w:t>
      </w:r>
      <w:r>
        <w:rPr>
          <w:color w:val="231F20"/>
          <w:w w:val="105"/>
        </w:rPr>
        <w:t>la</w:t>
      </w:r>
      <w:r>
        <w:rPr>
          <w:color w:val="231F20"/>
          <w:spacing w:val="-6"/>
          <w:w w:val="105"/>
        </w:rPr>
        <w:t> </w:t>
      </w:r>
      <w:r>
        <w:rPr>
          <w:color w:val="231F20"/>
          <w:spacing w:val="2"/>
          <w:w w:val="105"/>
        </w:rPr>
        <w:t>figura</w:t>
      </w:r>
      <w:r>
        <w:rPr>
          <w:color w:val="231F20"/>
          <w:spacing w:val="-6"/>
          <w:w w:val="105"/>
        </w:rPr>
        <w:t> </w:t>
      </w:r>
      <w:r>
        <w:rPr>
          <w:color w:val="231F20"/>
          <w:w w:val="105"/>
        </w:rPr>
        <w:t>del</w:t>
      </w:r>
      <w:r>
        <w:rPr>
          <w:color w:val="231F20"/>
          <w:spacing w:val="-6"/>
          <w:w w:val="105"/>
        </w:rPr>
        <w:t> </w:t>
      </w:r>
      <w:r>
        <w:rPr>
          <w:color w:val="231F20"/>
          <w:w w:val="105"/>
        </w:rPr>
        <w:t>presidente</w:t>
      </w:r>
      <w:r>
        <w:rPr>
          <w:color w:val="231F20"/>
          <w:spacing w:val="-6"/>
          <w:w w:val="105"/>
        </w:rPr>
        <w:t> </w:t>
      </w:r>
      <w:r>
        <w:rPr>
          <w:color w:val="231F20"/>
          <w:w w:val="105"/>
        </w:rPr>
        <w:t>municipal.</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trata</w:t>
      </w:r>
      <w:r>
        <w:rPr>
          <w:color w:val="231F20"/>
          <w:spacing w:val="-6"/>
          <w:w w:val="105"/>
        </w:rPr>
        <w:t> </w:t>
      </w:r>
      <w:r>
        <w:rPr>
          <w:color w:val="231F20"/>
          <w:w w:val="105"/>
        </w:rPr>
        <w:t>solamente</w:t>
      </w:r>
      <w:r>
        <w:rPr>
          <w:color w:val="231F20"/>
          <w:spacing w:val="-6"/>
          <w:w w:val="105"/>
        </w:rPr>
        <w:t> </w:t>
      </w:r>
      <w:r>
        <w:rPr>
          <w:color w:val="231F20"/>
          <w:w w:val="105"/>
        </w:rPr>
        <w:t>de</w:t>
      </w:r>
      <w:r>
        <w:rPr>
          <w:color w:val="231F20"/>
          <w:spacing w:val="-6"/>
          <w:w w:val="105"/>
        </w:rPr>
        <w:t> </w:t>
      </w:r>
      <w:r>
        <w:rPr>
          <w:color w:val="231F20"/>
          <w:w w:val="105"/>
        </w:rPr>
        <w:t>fac- tores institucionales, sino un modo de ser del priísmo en general. La construcción de corrientes políticas en torno </w:t>
      </w:r>
      <w:r>
        <w:rPr>
          <w:color w:val="231F20"/>
          <w:spacing w:val="2"/>
          <w:w w:val="105"/>
        </w:rPr>
        <w:t>al </w:t>
      </w:r>
      <w:r>
        <w:rPr>
          <w:color w:val="231F20"/>
          <w:w w:val="105"/>
        </w:rPr>
        <w:t>gobernador o bien alrededor del presidente </w:t>
      </w:r>
      <w:r>
        <w:rPr>
          <w:color w:val="231F20"/>
          <w:spacing w:val="42"/>
          <w:w w:val="105"/>
        </w:rPr>
        <w:t> </w:t>
      </w:r>
      <w:r>
        <w:rPr>
          <w:color w:val="231F20"/>
          <w:w w:val="105"/>
        </w:rPr>
        <w:t>municipal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parece</w:t>
      </w:r>
      <w:r>
        <w:rPr>
          <w:color w:val="231F20"/>
          <w:spacing w:val="-20"/>
          <w:w w:val="105"/>
        </w:rPr>
        <w:t> </w:t>
      </w:r>
      <w:r>
        <w:rPr>
          <w:color w:val="231F20"/>
          <w:w w:val="105"/>
        </w:rPr>
        <w:t>emular</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del</w:t>
      </w:r>
      <w:r>
        <w:rPr>
          <w:color w:val="231F20"/>
          <w:spacing w:val="-20"/>
          <w:w w:val="105"/>
        </w:rPr>
        <w:t> </w:t>
      </w:r>
      <w:r>
        <w:rPr>
          <w:color w:val="231F20"/>
          <w:w w:val="105"/>
        </w:rPr>
        <w:t>presidente</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República</w:t>
      </w:r>
      <w:r>
        <w:rPr>
          <w:color w:val="231F20"/>
          <w:spacing w:val="-20"/>
          <w:w w:val="105"/>
        </w:rPr>
        <w:t> </w:t>
      </w:r>
      <w:r>
        <w:rPr>
          <w:color w:val="231F20"/>
          <w:w w:val="105"/>
        </w:rPr>
        <w:t>o</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secretario</w:t>
      </w:r>
      <w:r>
        <w:rPr>
          <w:color w:val="231F20"/>
          <w:spacing w:val="-20"/>
          <w:w w:val="105"/>
        </w:rPr>
        <w:t> </w:t>
      </w:r>
      <w:r>
        <w:rPr>
          <w:color w:val="231F20"/>
          <w:w w:val="105"/>
        </w:rPr>
        <w:t>de</w:t>
      </w:r>
      <w:r>
        <w:rPr>
          <w:color w:val="231F20"/>
          <w:spacing w:val="-20"/>
          <w:w w:val="105"/>
        </w:rPr>
        <w:t> </w:t>
      </w:r>
      <w:r>
        <w:rPr>
          <w:color w:val="231F20"/>
          <w:w w:val="105"/>
        </w:rPr>
        <w:t>Estado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épo- ca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hegemonía</w:t>
      </w:r>
      <w:r>
        <w:rPr>
          <w:color w:val="231F20"/>
          <w:spacing w:val="-5"/>
          <w:w w:val="105"/>
        </w:rPr>
        <w:t> </w:t>
      </w:r>
      <w:r>
        <w:rPr>
          <w:color w:val="231F20"/>
          <w:w w:val="105"/>
        </w:rPr>
        <w:t>priísta.</w:t>
      </w:r>
      <w:r>
        <w:rPr>
          <w:color w:val="231F20"/>
          <w:spacing w:val="-5"/>
          <w:w w:val="105"/>
        </w:rPr>
        <w:t> </w:t>
      </w:r>
      <w:r>
        <w:rPr>
          <w:color w:val="231F20"/>
          <w:w w:val="105"/>
        </w:rPr>
        <w:t>Cuando</w:t>
      </w:r>
      <w:r>
        <w:rPr>
          <w:color w:val="231F20"/>
          <w:spacing w:val="-5"/>
          <w:w w:val="105"/>
        </w:rPr>
        <w:t> </w:t>
      </w:r>
      <w:r>
        <w:rPr>
          <w:color w:val="231F20"/>
          <w:w w:val="105"/>
        </w:rPr>
        <w:t>el</w:t>
      </w:r>
      <w:r>
        <w:rPr>
          <w:color w:val="231F20"/>
          <w:spacing w:val="-5"/>
          <w:w w:val="105"/>
        </w:rPr>
        <w:t> </w:t>
      </w:r>
      <w:r>
        <w:rPr>
          <w:color w:val="231F20"/>
          <w:w w:val="105"/>
        </w:rPr>
        <w:t>juego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grupos</w:t>
      </w:r>
      <w:r>
        <w:rPr>
          <w:color w:val="231F20"/>
          <w:spacing w:val="-5"/>
          <w:w w:val="105"/>
        </w:rPr>
        <w:t> </w:t>
      </w:r>
      <w:r>
        <w:rPr>
          <w:color w:val="231F20"/>
          <w:w w:val="105"/>
        </w:rPr>
        <w:t>se</w:t>
      </w:r>
      <w:r>
        <w:rPr>
          <w:color w:val="231F20"/>
          <w:spacing w:val="-5"/>
          <w:w w:val="105"/>
        </w:rPr>
        <w:t> </w:t>
      </w:r>
      <w:r>
        <w:rPr>
          <w:color w:val="231F20"/>
          <w:w w:val="105"/>
        </w:rPr>
        <w:t>fractura,</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spacing w:val="-3"/>
          <w:w w:val="105"/>
        </w:rPr>
        <w:t>pierde </w:t>
      </w:r>
      <w:r>
        <w:rPr>
          <w:color w:val="231F20"/>
          <w:w w:val="105"/>
        </w:rPr>
        <w:t>votos</w:t>
      </w:r>
      <w:r>
        <w:rPr>
          <w:color w:val="231F20"/>
          <w:spacing w:val="-18"/>
          <w:w w:val="105"/>
        </w:rPr>
        <w:t> </w:t>
      </w:r>
      <w:r>
        <w:rPr>
          <w:color w:val="231F20"/>
          <w:w w:val="105"/>
        </w:rPr>
        <w:t>y</w:t>
      </w:r>
      <w:r>
        <w:rPr>
          <w:color w:val="231F20"/>
          <w:spacing w:val="-18"/>
          <w:w w:val="105"/>
        </w:rPr>
        <w:t> </w:t>
      </w:r>
      <w:r>
        <w:rPr>
          <w:color w:val="231F20"/>
          <w:w w:val="105"/>
        </w:rPr>
        <w:t>cede</w:t>
      </w:r>
      <w:r>
        <w:rPr>
          <w:color w:val="231F20"/>
          <w:spacing w:val="-18"/>
          <w:w w:val="105"/>
        </w:rPr>
        <w:t> </w:t>
      </w:r>
      <w:r>
        <w:rPr>
          <w:color w:val="231F20"/>
          <w:w w:val="105"/>
        </w:rPr>
        <w:t>el</w:t>
      </w:r>
      <w:r>
        <w:rPr>
          <w:color w:val="231F20"/>
          <w:spacing w:val="-18"/>
          <w:w w:val="105"/>
        </w:rPr>
        <w:t> </w:t>
      </w:r>
      <w:r>
        <w:rPr>
          <w:color w:val="231F20"/>
          <w:w w:val="105"/>
        </w:rPr>
        <w:t>poder</w:t>
      </w:r>
      <w:r>
        <w:rPr>
          <w:color w:val="231F20"/>
          <w:spacing w:val="-18"/>
          <w:w w:val="105"/>
        </w:rPr>
        <w:t> </w:t>
      </w:r>
      <w:r>
        <w:rPr>
          <w:color w:val="231F20"/>
          <w:w w:val="105"/>
        </w:rPr>
        <w:t>a</w:t>
      </w:r>
      <w:r>
        <w:rPr>
          <w:color w:val="231F20"/>
          <w:spacing w:val="-18"/>
          <w:w w:val="105"/>
        </w:rPr>
        <w:t> </w:t>
      </w:r>
      <w:r>
        <w:rPr>
          <w:color w:val="231F20"/>
          <w:w w:val="105"/>
        </w:rPr>
        <w:t>sus</w:t>
      </w:r>
      <w:r>
        <w:rPr>
          <w:color w:val="231F20"/>
          <w:spacing w:val="-18"/>
          <w:w w:val="105"/>
        </w:rPr>
        <w:t> </w:t>
      </w:r>
      <w:r>
        <w:rPr>
          <w:color w:val="231F20"/>
          <w:w w:val="105"/>
        </w:rPr>
        <w:t>adversarios.</w:t>
      </w:r>
    </w:p>
    <w:p>
      <w:pPr>
        <w:pStyle w:val="BodyText"/>
        <w:spacing w:before="1"/>
        <w:rPr>
          <w:sz w:val="26"/>
        </w:rPr>
      </w:pPr>
    </w:p>
    <w:p>
      <w:pPr>
        <w:pStyle w:val="BodyText"/>
        <w:spacing w:line="285" w:lineRule="auto"/>
        <w:ind w:left="110" w:right="107"/>
        <w:jc w:val="both"/>
      </w:pPr>
      <w:r>
        <w:rPr>
          <w:color w:val="231F20"/>
          <w:w w:val="105"/>
        </w:rPr>
        <w:t>Asimismo,</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gobiernos</w:t>
      </w:r>
      <w:r>
        <w:rPr>
          <w:color w:val="231F20"/>
          <w:spacing w:val="-21"/>
          <w:w w:val="105"/>
        </w:rPr>
        <w:t> </w:t>
      </w:r>
      <w:r>
        <w:rPr>
          <w:color w:val="231F20"/>
          <w:w w:val="105"/>
        </w:rPr>
        <w:t>municipales</w:t>
      </w:r>
      <w:r>
        <w:rPr>
          <w:color w:val="231F20"/>
          <w:spacing w:val="-21"/>
          <w:w w:val="105"/>
        </w:rPr>
        <w:t> </w:t>
      </w:r>
      <w:r>
        <w:rPr>
          <w:color w:val="231F20"/>
          <w:w w:val="105"/>
        </w:rPr>
        <w:t>priístas</w:t>
      </w:r>
      <w:r>
        <w:rPr>
          <w:color w:val="231F20"/>
          <w:spacing w:val="-21"/>
          <w:w w:val="105"/>
        </w:rPr>
        <w:t> </w:t>
      </w:r>
      <w:r>
        <w:rPr>
          <w:color w:val="231F20"/>
          <w:w w:val="105"/>
        </w:rPr>
        <w:t>hay</w:t>
      </w:r>
      <w:r>
        <w:rPr>
          <w:color w:val="231F20"/>
          <w:spacing w:val="-21"/>
          <w:w w:val="105"/>
        </w:rPr>
        <w:t> </w:t>
      </w:r>
      <w:r>
        <w:rPr>
          <w:color w:val="231F20"/>
          <w:w w:val="105"/>
        </w:rPr>
        <w:t>vínculos</w:t>
      </w:r>
      <w:r>
        <w:rPr>
          <w:color w:val="231F20"/>
          <w:spacing w:val="-21"/>
          <w:w w:val="105"/>
        </w:rPr>
        <w:t> </w:t>
      </w:r>
      <w:r>
        <w:rPr>
          <w:color w:val="231F20"/>
          <w:w w:val="105"/>
        </w:rPr>
        <w:t>sólidos</w:t>
      </w:r>
      <w:r>
        <w:rPr>
          <w:color w:val="231F20"/>
          <w:spacing w:val="-21"/>
          <w:w w:val="105"/>
        </w:rPr>
        <w:t> </w:t>
      </w:r>
      <w:r>
        <w:rPr>
          <w:color w:val="231F20"/>
          <w:w w:val="105"/>
        </w:rPr>
        <w:t>entre</w:t>
      </w:r>
      <w:r>
        <w:rPr>
          <w:color w:val="231F20"/>
          <w:spacing w:val="-21"/>
          <w:w w:val="105"/>
        </w:rPr>
        <w:t> </w:t>
      </w:r>
      <w:r>
        <w:rPr>
          <w:color w:val="231F20"/>
          <w:w w:val="105"/>
        </w:rPr>
        <w:t>gobernantes y partido, pues por lo regular los cuadros provienen de la organización. Normalmente el</w:t>
      </w:r>
      <w:r>
        <w:rPr>
          <w:color w:val="231F20"/>
          <w:spacing w:val="-20"/>
          <w:w w:val="105"/>
        </w:rPr>
        <w:t> </w:t>
      </w:r>
      <w:r>
        <w:rPr>
          <w:color w:val="231F20"/>
          <w:w w:val="105"/>
        </w:rPr>
        <w:t>presidente</w:t>
      </w:r>
      <w:r>
        <w:rPr>
          <w:color w:val="231F20"/>
          <w:spacing w:val="-20"/>
          <w:w w:val="105"/>
        </w:rPr>
        <w:t> </w:t>
      </w:r>
      <w:r>
        <w:rPr>
          <w:color w:val="231F20"/>
          <w:w w:val="105"/>
        </w:rPr>
        <w:t>municipal</w:t>
      </w:r>
      <w:r>
        <w:rPr>
          <w:color w:val="231F20"/>
          <w:spacing w:val="-20"/>
          <w:w w:val="105"/>
        </w:rPr>
        <w:t> </w:t>
      </w:r>
      <w:r>
        <w:rPr>
          <w:color w:val="231F20"/>
          <w:w w:val="105"/>
        </w:rPr>
        <w:t>tiene</w:t>
      </w:r>
      <w:r>
        <w:rPr>
          <w:color w:val="231F20"/>
          <w:spacing w:val="-20"/>
          <w:w w:val="105"/>
        </w:rPr>
        <w:t> </w:t>
      </w:r>
      <w:r>
        <w:rPr>
          <w:color w:val="231F20"/>
          <w:w w:val="105"/>
        </w:rPr>
        <w:t>fuertes</w:t>
      </w:r>
      <w:r>
        <w:rPr>
          <w:color w:val="231F20"/>
          <w:spacing w:val="-20"/>
          <w:w w:val="105"/>
        </w:rPr>
        <w:t> </w:t>
      </w:r>
      <w:r>
        <w:rPr>
          <w:color w:val="231F20"/>
          <w:w w:val="105"/>
        </w:rPr>
        <w:t>relaciones</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w w:val="105"/>
        </w:rPr>
        <w:t>gobernador</w:t>
      </w:r>
      <w:r>
        <w:rPr>
          <w:color w:val="231F20"/>
          <w:spacing w:val="-20"/>
          <w:w w:val="105"/>
        </w:rPr>
        <w:t> </w:t>
      </w:r>
      <w:r>
        <w:rPr>
          <w:color w:val="231F20"/>
          <w:w w:val="105"/>
        </w:rPr>
        <w:t>y</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dirigencia</w:t>
      </w:r>
      <w:r>
        <w:rPr>
          <w:color w:val="231F20"/>
          <w:spacing w:val="-20"/>
          <w:w w:val="105"/>
        </w:rPr>
        <w:t> </w:t>
      </w:r>
      <w:r>
        <w:rPr>
          <w:color w:val="231F20"/>
          <w:w w:val="105"/>
        </w:rPr>
        <w:t>es- tatal</w:t>
      </w:r>
      <w:r>
        <w:rPr>
          <w:color w:val="231F20"/>
          <w:spacing w:val="-7"/>
          <w:w w:val="105"/>
        </w:rPr>
        <w:t> </w:t>
      </w:r>
      <w:r>
        <w:rPr>
          <w:color w:val="231F20"/>
          <w:w w:val="105"/>
        </w:rPr>
        <w:t>del</w:t>
      </w:r>
      <w:r>
        <w:rPr>
          <w:color w:val="231F20"/>
          <w:spacing w:val="-7"/>
          <w:w w:val="105"/>
        </w:rPr>
        <w:t> </w:t>
      </w:r>
      <w:r>
        <w:rPr>
          <w:color w:val="231F20"/>
          <w:w w:val="105"/>
        </w:rPr>
        <w:t>partido,</w:t>
      </w:r>
      <w:r>
        <w:rPr>
          <w:color w:val="231F20"/>
          <w:spacing w:val="-7"/>
          <w:w w:val="105"/>
        </w:rPr>
        <w:t> </w:t>
      </w:r>
      <w:r>
        <w:rPr>
          <w:color w:val="231F20"/>
          <w:w w:val="105"/>
        </w:rPr>
        <w:t>como</w:t>
      </w:r>
      <w:r>
        <w:rPr>
          <w:color w:val="231F20"/>
          <w:spacing w:val="-7"/>
          <w:w w:val="105"/>
        </w:rPr>
        <w:t> </w:t>
      </w:r>
      <w:r>
        <w:rPr>
          <w:color w:val="231F20"/>
          <w:w w:val="105"/>
        </w:rPr>
        <w:t>lo</w:t>
      </w:r>
      <w:r>
        <w:rPr>
          <w:color w:val="231F20"/>
          <w:spacing w:val="-7"/>
          <w:w w:val="105"/>
        </w:rPr>
        <w:t> </w:t>
      </w:r>
      <w:r>
        <w:rPr>
          <w:color w:val="231F20"/>
          <w:w w:val="105"/>
        </w:rPr>
        <w:t>señalan</w:t>
      </w:r>
      <w:r>
        <w:rPr>
          <w:color w:val="231F20"/>
          <w:spacing w:val="-7"/>
          <w:w w:val="105"/>
        </w:rPr>
        <w:t> </w:t>
      </w:r>
      <w:r>
        <w:rPr>
          <w:color w:val="231F20"/>
          <w:w w:val="105"/>
        </w:rPr>
        <w:t>Gustavo</w:t>
      </w:r>
      <w:r>
        <w:rPr>
          <w:color w:val="231F20"/>
          <w:spacing w:val="-7"/>
          <w:w w:val="105"/>
        </w:rPr>
        <w:t> </w:t>
      </w:r>
      <w:r>
        <w:rPr>
          <w:color w:val="231F20"/>
          <w:w w:val="105"/>
        </w:rPr>
        <w:t>Martínez</w:t>
      </w:r>
      <w:r>
        <w:rPr>
          <w:color w:val="231F20"/>
          <w:spacing w:val="-7"/>
          <w:w w:val="105"/>
        </w:rPr>
        <w:t> </w:t>
      </w:r>
      <w:r>
        <w:rPr>
          <w:color w:val="231F20"/>
          <w:w w:val="105"/>
        </w:rPr>
        <w:t>en</w:t>
      </w:r>
      <w:r>
        <w:rPr>
          <w:color w:val="231F20"/>
          <w:spacing w:val="-7"/>
          <w:w w:val="105"/>
        </w:rPr>
        <w:t> </w:t>
      </w:r>
      <w:r>
        <w:rPr>
          <w:color w:val="231F20"/>
          <w:w w:val="105"/>
        </w:rPr>
        <w:t>Huixquilucan</w:t>
      </w:r>
      <w:r>
        <w:rPr>
          <w:color w:val="231F20"/>
          <w:spacing w:val="-7"/>
          <w:w w:val="105"/>
        </w:rPr>
        <w:t> </w:t>
      </w:r>
      <w:r>
        <w:rPr>
          <w:color w:val="231F20"/>
          <w:w w:val="105"/>
        </w:rPr>
        <w:t>y</w:t>
      </w:r>
      <w:r>
        <w:rPr>
          <w:color w:val="231F20"/>
          <w:spacing w:val="-7"/>
          <w:w w:val="105"/>
        </w:rPr>
        <w:t> </w:t>
      </w:r>
      <w:r>
        <w:rPr>
          <w:color w:val="231F20"/>
          <w:w w:val="105"/>
        </w:rPr>
        <w:t>María</w:t>
      </w:r>
      <w:r>
        <w:rPr>
          <w:color w:val="231F20"/>
          <w:spacing w:val="-7"/>
          <w:w w:val="105"/>
        </w:rPr>
        <w:t> </w:t>
      </w:r>
      <w:r>
        <w:rPr>
          <w:color w:val="231F20"/>
          <w:w w:val="105"/>
        </w:rPr>
        <w:t>del</w:t>
      </w:r>
      <w:r>
        <w:rPr>
          <w:color w:val="231F20"/>
          <w:spacing w:val="-7"/>
          <w:w w:val="105"/>
        </w:rPr>
        <w:t> </w:t>
      </w:r>
      <w:r>
        <w:rPr>
          <w:color w:val="231F20"/>
          <w:w w:val="105"/>
        </w:rPr>
        <w:t>Pilar Silva en </w:t>
      </w:r>
      <w:r>
        <w:rPr>
          <w:color w:val="231F20"/>
          <w:spacing w:val="-4"/>
          <w:w w:val="105"/>
        </w:rPr>
        <w:t>Tejupilco. </w:t>
      </w:r>
      <w:r>
        <w:rPr>
          <w:color w:val="231F20"/>
          <w:w w:val="105"/>
        </w:rPr>
        <w:t>En ocasiones el uso de prácticas autoritarias usuales en el régimen político</w:t>
      </w:r>
      <w:r>
        <w:rPr>
          <w:color w:val="231F20"/>
          <w:spacing w:val="-8"/>
          <w:w w:val="105"/>
        </w:rPr>
        <w:t> </w:t>
      </w:r>
      <w:r>
        <w:rPr>
          <w:color w:val="231F20"/>
          <w:w w:val="105"/>
        </w:rPr>
        <w:t>autocrático</w:t>
      </w:r>
      <w:r>
        <w:rPr>
          <w:color w:val="231F20"/>
          <w:spacing w:val="-8"/>
          <w:w w:val="105"/>
        </w:rPr>
        <w:t> </w:t>
      </w:r>
      <w:r>
        <w:rPr>
          <w:color w:val="231F20"/>
          <w:w w:val="105"/>
        </w:rPr>
        <w:t>sigue</w:t>
      </w:r>
      <w:r>
        <w:rPr>
          <w:color w:val="231F20"/>
          <w:spacing w:val="-8"/>
          <w:w w:val="105"/>
        </w:rPr>
        <w:t> </w:t>
      </w:r>
      <w:r>
        <w:rPr>
          <w:color w:val="231F20"/>
          <w:w w:val="105"/>
        </w:rPr>
        <w:t>presente,</w:t>
      </w:r>
      <w:r>
        <w:rPr>
          <w:color w:val="231F20"/>
          <w:spacing w:val="-8"/>
          <w:w w:val="105"/>
        </w:rPr>
        <w:t> </w:t>
      </w:r>
      <w:r>
        <w:rPr>
          <w:color w:val="231F20"/>
          <w:w w:val="105"/>
        </w:rPr>
        <w:t>como</w:t>
      </w:r>
      <w:r>
        <w:rPr>
          <w:color w:val="231F20"/>
          <w:spacing w:val="-8"/>
          <w:w w:val="105"/>
        </w:rPr>
        <w:t> </w:t>
      </w:r>
      <w:r>
        <w:rPr>
          <w:color w:val="231F20"/>
          <w:w w:val="105"/>
        </w:rPr>
        <w:t>indica</w:t>
      </w:r>
      <w:r>
        <w:rPr>
          <w:color w:val="231F20"/>
          <w:spacing w:val="-8"/>
          <w:w w:val="105"/>
        </w:rPr>
        <w:t> </w:t>
      </w:r>
      <w:r>
        <w:rPr>
          <w:color w:val="231F20"/>
          <w:w w:val="105"/>
        </w:rPr>
        <w:t>Cyntia</w:t>
      </w:r>
      <w:r>
        <w:rPr>
          <w:color w:val="231F20"/>
          <w:spacing w:val="-8"/>
          <w:w w:val="105"/>
        </w:rPr>
        <w:t> </w:t>
      </w:r>
      <w:r>
        <w:rPr>
          <w:color w:val="231F20"/>
          <w:w w:val="105"/>
        </w:rPr>
        <w:t>López</w:t>
      </w:r>
      <w:r>
        <w:rPr>
          <w:color w:val="231F20"/>
          <w:spacing w:val="-8"/>
          <w:w w:val="105"/>
        </w:rPr>
        <w:t> </w:t>
      </w:r>
      <w:r>
        <w:rPr>
          <w:color w:val="231F20"/>
          <w:spacing w:val="2"/>
          <w:w w:val="105"/>
        </w:rPr>
        <w:t>al</w:t>
      </w:r>
      <w:r>
        <w:rPr>
          <w:color w:val="231F20"/>
          <w:spacing w:val="-8"/>
          <w:w w:val="105"/>
        </w:rPr>
        <w:t> </w:t>
      </w:r>
      <w:r>
        <w:rPr>
          <w:color w:val="231F20"/>
          <w:w w:val="105"/>
        </w:rPr>
        <w:t>estudiar</w:t>
      </w:r>
      <w:r>
        <w:rPr>
          <w:color w:val="231F20"/>
          <w:spacing w:val="-8"/>
          <w:w w:val="105"/>
        </w:rPr>
        <w:t> </w:t>
      </w:r>
      <w:r>
        <w:rPr>
          <w:color w:val="231F20"/>
          <w:w w:val="105"/>
        </w:rPr>
        <w:t>Ixtapan</w:t>
      </w:r>
      <w:r>
        <w:rPr>
          <w:color w:val="231F20"/>
          <w:spacing w:val="-8"/>
          <w:w w:val="105"/>
        </w:rPr>
        <w:t> </w:t>
      </w:r>
      <w:r>
        <w:rPr>
          <w:color w:val="231F20"/>
          <w:w w:val="105"/>
        </w:rPr>
        <w:t>de</w:t>
      </w:r>
      <w:r>
        <w:rPr>
          <w:color w:val="231F20"/>
          <w:spacing w:val="-8"/>
          <w:w w:val="105"/>
        </w:rPr>
        <w:t> </w:t>
      </w:r>
      <w:r>
        <w:rPr>
          <w:color w:val="231F20"/>
          <w:w w:val="105"/>
        </w:rPr>
        <w:t>la Sal;</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nivel</w:t>
      </w:r>
      <w:r>
        <w:rPr>
          <w:color w:val="231F20"/>
          <w:spacing w:val="-15"/>
          <w:w w:val="105"/>
        </w:rPr>
        <w:t> </w:t>
      </w:r>
      <w:r>
        <w:rPr>
          <w:color w:val="231F20"/>
          <w:w w:val="105"/>
        </w:rPr>
        <w:t>exacerbado,</w:t>
      </w:r>
      <w:r>
        <w:rPr>
          <w:color w:val="231F20"/>
          <w:spacing w:val="-15"/>
          <w:w w:val="105"/>
        </w:rPr>
        <w:t> </w:t>
      </w:r>
      <w:r>
        <w:rPr>
          <w:color w:val="231F20"/>
          <w:w w:val="105"/>
        </w:rPr>
        <w:t>como</w:t>
      </w:r>
      <w:r>
        <w:rPr>
          <w:color w:val="231F20"/>
          <w:spacing w:val="-15"/>
          <w:w w:val="105"/>
        </w:rPr>
        <w:t> </w:t>
      </w:r>
      <w:r>
        <w:rPr>
          <w:color w:val="231F20"/>
          <w:w w:val="105"/>
        </w:rPr>
        <w:t>se</w:t>
      </w:r>
      <w:r>
        <w:rPr>
          <w:color w:val="231F20"/>
          <w:spacing w:val="-15"/>
          <w:w w:val="105"/>
        </w:rPr>
        <w:t> </w:t>
      </w:r>
      <w:r>
        <w:rPr>
          <w:color w:val="231F20"/>
          <w:w w:val="105"/>
        </w:rPr>
        <w:t>deja</w:t>
      </w:r>
      <w:r>
        <w:rPr>
          <w:color w:val="231F20"/>
          <w:spacing w:val="-15"/>
          <w:w w:val="105"/>
        </w:rPr>
        <w:t> </w:t>
      </w:r>
      <w:r>
        <w:rPr>
          <w:color w:val="231F20"/>
          <w:w w:val="105"/>
        </w:rPr>
        <w:t>ver</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caciquismo</w:t>
      </w:r>
      <w:r>
        <w:rPr>
          <w:color w:val="231F20"/>
          <w:spacing w:val="-15"/>
          <w:w w:val="105"/>
        </w:rPr>
        <w:t> </w:t>
      </w:r>
      <w:r>
        <w:rPr>
          <w:color w:val="231F20"/>
          <w:w w:val="105"/>
        </w:rPr>
        <w:t>en</w:t>
      </w:r>
      <w:r>
        <w:rPr>
          <w:color w:val="231F20"/>
          <w:spacing w:val="-15"/>
          <w:w w:val="105"/>
        </w:rPr>
        <w:t> </w:t>
      </w:r>
      <w:r>
        <w:rPr>
          <w:color w:val="231F20"/>
          <w:w w:val="105"/>
        </w:rPr>
        <w:t>Chimalhuacán</w:t>
      </w:r>
      <w:r>
        <w:rPr>
          <w:color w:val="231F20"/>
          <w:spacing w:val="-15"/>
          <w:w w:val="105"/>
        </w:rPr>
        <w:t> </w:t>
      </w:r>
      <w:r>
        <w:rPr>
          <w:color w:val="231F20"/>
          <w:w w:val="105"/>
        </w:rPr>
        <w:t>ana- lizado</w:t>
      </w:r>
      <w:r>
        <w:rPr>
          <w:color w:val="231F20"/>
          <w:spacing w:val="-24"/>
          <w:w w:val="105"/>
        </w:rPr>
        <w:t> </w:t>
      </w:r>
      <w:r>
        <w:rPr>
          <w:color w:val="231F20"/>
          <w:w w:val="105"/>
        </w:rPr>
        <w:t>por</w:t>
      </w:r>
      <w:r>
        <w:rPr>
          <w:color w:val="231F20"/>
          <w:spacing w:val="-24"/>
          <w:w w:val="105"/>
        </w:rPr>
        <w:t> </w:t>
      </w:r>
      <w:r>
        <w:rPr>
          <w:color w:val="231F20"/>
          <w:w w:val="105"/>
        </w:rPr>
        <w:t>Gregorio</w:t>
      </w:r>
      <w:r>
        <w:rPr>
          <w:color w:val="231F20"/>
          <w:spacing w:val="-24"/>
          <w:w w:val="105"/>
        </w:rPr>
        <w:t> </w:t>
      </w:r>
      <w:r>
        <w:rPr>
          <w:color w:val="231F20"/>
          <w:w w:val="105"/>
        </w:rPr>
        <w:t>Cisneros.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2"/>
          <w:w w:val="105"/>
        </w:rPr>
        <w:t> </w:t>
      </w:r>
      <w:r>
        <w:rPr>
          <w:color w:val="231F20"/>
          <w:w w:val="105"/>
        </w:rPr>
        <w:t>influencia</w:t>
      </w:r>
      <w:r>
        <w:rPr>
          <w:color w:val="231F20"/>
          <w:spacing w:val="-12"/>
          <w:w w:val="105"/>
        </w:rPr>
        <w:t> </w:t>
      </w:r>
      <w:r>
        <w:rPr>
          <w:color w:val="231F20"/>
          <w:w w:val="105"/>
        </w:rPr>
        <w:t>del</w:t>
      </w:r>
      <w:r>
        <w:rPr>
          <w:color w:val="231F20"/>
          <w:spacing w:val="-12"/>
          <w:w w:val="105"/>
        </w:rPr>
        <w:t> </w:t>
      </w:r>
      <w:r>
        <w:rPr>
          <w:color w:val="231F20"/>
          <w:w w:val="105"/>
        </w:rPr>
        <w:t>partido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formulación</w:t>
      </w:r>
      <w:r>
        <w:rPr>
          <w:color w:val="231F20"/>
          <w:spacing w:val="-12"/>
          <w:w w:val="105"/>
        </w:rPr>
        <w:t> </w:t>
      </w:r>
      <w:r>
        <w:rPr>
          <w:color w:val="231F20"/>
          <w:w w:val="105"/>
        </w:rPr>
        <w:t>del</w:t>
      </w:r>
      <w:r>
        <w:rPr>
          <w:color w:val="231F20"/>
          <w:spacing w:val="-12"/>
          <w:w w:val="105"/>
        </w:rPr>
        <w:t> </w:t>
      </w:r>
      <w:r>
        <w:rPr>
          <w:color w:val="231F20"/>
          <w:w w:val="105"/>
        </w:rPr>
        <w:t>programa</w:t>
      </w:r>
      <w:r>
        <w:rPr>
          <w:color w:val="231F20"/>
          <w:spacing w:val="-12"/>
          <w:w w:val="105"/>
        </w:rPr>
        <w:t> </w:t>
      </w:r>
      <w:r>
        <w:rPr>
          <w:color w:val="231F20"/>
          <w:w w:val="105"/>
        </w:rPr>
        <w:t>de</w:t>
      </w:r>
      <w:r>
        <w:rPr>
          <w:color w:val="231F20"/>
          <w:spacing w:val="-12"/>
          <w:w w:val="105"/>
        </w:rPr>
        <w:t> </w:t>
      </w:r>
      <w:r>
        <w:rPr>
          <w:color w:val="231F20"/>
          <w:w w:val="105"/>
        </w:rPr>
        <w:t>gobierno,</w:t>
      </w:r>
      <w:r>
        <w:rPr>
          <w:color w:val="231F20"/>
          <w:spacing w:val="-12"/>
          <w:w w:val="105"/>
        </w:rPr>
        <w:t> </w:t>
      </w:r>
      <w:r>
        <w:rPr>
          <w:color w:val="231F20"/>
          <w:spacing w:val="2"/>
          <w:w w:val="105"/>
        </w:rPr>
        <w:t>al</w:t>
      </w:r>
      <w:r>
        <w:rPr>
          <w:color w:val="231F20"/>
          <w:spacing w:val="-12"/>
          <w:w w:val="105"/>
        </w:rPr>
        <w:t> </w:t>
      </w:r>
      <w:r>
        <w:rPr>
          <w:color w:val="231F20"/>
          <w:w w:val="105"/>
        </w:rPr>
        <w:t>parecer,</w:t>
      </w:r>
      <w:r>
        <w:rPr>
          <w:color w:val="231F20"/>
          <w:spacing w:val="-12"/>
          <w:w w:val="105"/>
        </w:rPr>
        <w:t> </w:t>
      </w:r>
      <w:r>
        <w:rPr>
          <w:color w:val="231F20"/>
          <w:w w:val="105"/>
        </w:rPr>
        <w:t>a</w:t>
      </w:r>
      <w:r>
        <w:rPr>
          <w:color w:val="231F20"/>
          <w:spacing w:val="-12"/>
          <w:w w:val="105"/>
        </w:rPr>
        <w:t> </w:t>
      </w:r>
      <w:r>
        <w:rPr>
          <w:color w:val="231F20"/>
          <w:w w:val="105"/>
        </w:rPr>
        <w:t>me- </w:t>
      </w:r>
      <w:r>
        <w:rPr>
          <w:color w:val="231F20"/>
          <w:spacing w:val="-3"/>
          <w:w w:val="105"/>
        </w:rPr>
        <w:t>nudo</w:t>
      </w:r>
      <w:r>
        <w:rPr>
          <w:color w:val="231F20"/>
          <w:spacing w:val="-7"/>
          <w:w w:val="105"/>
        </w:rPr>
        <w:t> </w:t>
      </w:r>
      <w:r>
        <w:rPr>
          <w:color w:val="231F20"/>
          <w:w w:val="105"/>
        </w:rPr>
        <w:t>es</w:t>
      </w:r>
      <w:r>
        <w:rPr>
          <w:color w:val="231F20"/>
          <w:spacing w:val="-7"/>
          <w:w w:val="105"/>
        </w:rPr>
        <w:t> </w:t>
      </w:r>
      <w:r>
        <w:rPr>
          <w:color w:val="231F20"/>
          <w:w w:val="105"/>
        </w:rPr>
        <w:t>reducida;</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caso</w:t>
      </w:r>
      <w:r>
        <w:rPr>
          <w:color w:val="231F20"/>
          <w:spacing w:val="-7"/>
          <w:w w:val="105"/>
        </w:rPr>
        <w:t> </w:t>
      </w:r>
      <w:r>
        <w:rPr>
          <w:color w:val="231F20"/>
          <w:w w:val="105"/>
        </w:rPr>
        <w:t>ejemplar</w:t>
      </w:r>
      <w:r>
        <w:rPr>
          <w:color w:val="231F20"/>
          <w:spacing w:val="-7"/>
          <w:w w:val="105"/>
        </w:rPr>
        <w:t> </w:t>
      </w:r>
      <w:r>
        <w:rPr>
          <w:color w:val="231F20"/>
          <w:w w:val="105"/>
        </w:rPr>
        <w:t>de</w:t>
      </w:r>
      <w:r>
        <w:rPr>
          <w:color w:val="231F20"/>
          <w:spacing w:val="-7"/>
          <w:w w:val="105"/>
        </w:rPr>
        <w:t> </w:t>
      </w:r>
      <w:r>
        <w:rPr>
          <w:color w:val="231F20"/>
          <w:spacing w:val="-4"/>
          <w:w w:val="105"/>
        </w:rPr>
        <w:t>Tejupilco.</w:t>
      </w:r>
      <w:r>
        <w:rPr>
          <w:color w:val="231F20"/>
          <w:spacing w:val="-7"/>
          <w:w w:val="105"/>
        </w:rPr>
        <w:t> </w:t>
      </w:r>
      <w:r>
        <w:rPr>
          <w:color w:val="231F20"/>
          <w:w w:val="105"/>
        </w:rPr>
        <w:t>Sin</w:t>
      </w:r>
      <w:r>
        <w:rPr>
          <w:color w:val="231F20"/>
          <w:spacing w:val="-7"/>
          <w:w w:val="105"/>
        </w:rPr>
        <w:t> </w:t>
      </w:r>
      <w:r>
        <w:rPr>
          <w:color w:val="231F20"/>
          <w:w w:val="105"/>
        </w:rPr>
        <w:t>embargo,</w:t>
      </w:r>
      <w:r>
        <w:rPr>
          <w:color w:val="231F20"/>
          <w:spacing w:val="-7"/>
          <w:w w:val="105"/>
        </w:rPr>
        <w:t> </w:t>
      </w:r>
      <w:r>
        <w:rPr>
          <w:color w:val="231F20"/>
          <w:w w:val="105"/>
        </w:rPr>
        <w:t>el</w:t>
      </w:r>
      <w:r>
        <w:rPr>
          <w:color w:val="231F20"/>
          <w:spacing w:val="-7"/>
          <w:w w:val="105"/>
        </w:rPr>
        <w:t> </w:t>
      </w:r>
      <w:r>
        <w:rPr>
          <w:color w:val="231F20"/>
          <w:w w:val="105"/>
        </w:rPr>
        <w:t>peso</w:t>
      </w:r>
      <w:r>
        <w:rPr>
          <w:color w:val="231F20"/>
          <w:spacing w:val="-7"/>
          <w:w w:val="105"/>
        </w:rPr>
        <w:t> </w:t>
      </w:r>
      <w:r>
        <w:rPr>
          <w:color w:val="231F20"/>
          <w:w w:val="105"/>
        </w:rPr>
        <w:t>del</w:t>
      </w:r>
      <w:r>
        <w:rPr>
          <w:color w:val="231F20"/>
          <w:spacing w:val="-7"/>
          <w:w w:val="105"/>
        </w:rPr>
        <w:t> </w:t>
      </w:r>
      <w:r>
        <w:rPr>
          <w:color w:val="231F20"/>
          <w:w w:val="105"/>
        </w:rPr>
        <w:t>presidente municipal tiende a ser menor respecto de los casos de otros partidos, debido a la larga experiencia</w:t>
      </w:r>
      <w:r>
        <w:rPr>
          <w:color w:val="231F20"/>
          <w:spacing w:val="-19"/>
          <w:w w:val="105"/>
        </w:rPr>
        <w:t> </w:t>
      </w:r>
      <w:r>
        <w:rPr>
          <w:color w:val="231F20"/>
          <w:w w:val="105"/>
        </w:rPr>
        <w:t>del</w:t>
      </w:r>
      <w:r>
        <w:rPr>
          <w:color w:val="231F20"/>
          <w:spacing w:val="-19"/>
          <w:w w:val="105"/>
        </w:rPr>
        <w:t> </w:t>
      </w:r>
      <w:r>
        <w:rPr>
          <w:color w:val="231F20"/>
          <w:w w:val="105"/>
        </w:rPr>
        <w:t>priísmo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ejercicio</w:t>
      </w:r>
      <w:r>
        <w:rPr>
          <w:color w:val="231F20"/>
          <w:spacing w:val="-19"/>
          <w:w w:val="105"/>
        </w:rPr>
        <w:t> </w:t>
      </w:r>
      <w:r>
        <w:rPr>
          <w:color w:val="231F20"/>
          <w:w w:val="105"/>
        </w:rPr>
        <w:t>del</w:t>
      </w:r>
      <w:r>
        <w:rPr>
          <w:color w:val="231F20"/>
          <w:spacing w:val="-19"/>
          <w:w w:val="105"/>
        </w:rPr>
        <w:t> </w:t>
      </w:r>
      <w:r>
        <w:rPr>
          <w:color w:val="231F20"/>
          <w:spacing w:val="-2"/>
          <w:w w:val="105"/>
        </w:rPr>
        <w:t>poder.</w:t>
      </w:r>
    </w:p>
    <w:p>
      <w:pPr>
        <w:pStyle w:val="BodyText"/>
        <w:spacing w:before="1"/>
        <w:rPr>
          <w:sz w:val="26"/>
        </w:rPr>
      </w:pPr>
    </w:p>
    <w:p>
      <w:pPr>
        <w:pStyle w:val="BodyText"/>
        <w:spacing w:line="285" w:lineRule="auto"/>
        <w:ind w:left="110" w:right="107"/>
        <w:jc w:val="both"/>
      </w:pPr>
      <w:r>
        <w:rPr>
          <w:color w:val="231F20"/>
          <w:w w:val="105"/>
        </w:rPr>
        <w:t>La</w:t>
      </w:r>
      <w:r>
        <w:rPr>
          <w:color w:val="231F20"/>
          <w:spacing w:val="-8"/>
          <w:w w:val="105"/>
        </w:rPr>
        <w:t> </w:t>
      </w:r>
      <w:r>
        <w:rPr>
          <w:color w:val="231F20"/>
          <w:w w:val="105"/>
        </w:rPr>
        <w:t>obra</w:t>
      </w:r>
      <w:r>
        <w:rPr>
          <w:color w:val="231F20"/>
          <w:spacing w:val="-8"/>
          <w:w w:val="105"/>
        </w:rPr>
        <w:t> </w:t>
      </w:r>
      <w:r>
        <w:rPr>
          <w:color w:val="231F20"/>
          <w:w w:val="105"/>
        </w:rPr>
        <w:t>pública</w:t>
      </w:r>
      <w:r>
        <w:rPr>
          <w:color w:val="231F20"/>
          <w:spacing w:val="-8"/>
          <w:w w:val="105"/>
        </w:rPr>
        <w:t> </w:t>
      </w:r>
      <w:r>
        <w:rPr>
          <w:color w:val="231F20"/>
          <w:w w:val="105"/>
        </w:rPr>
        <w:t>es</w:t>
      </w:r>
      <w:r>
        <w:rPr>
          <w:color w:val="231F20"/>
          <w:spacing w:val="-8"/>
          <w:w w:val="105"/>
        </w:rPr>
        <w:t> </w:t>
      </w:r>
      <w:r>
        <w:rPr>
          <w:color w:val="231F20"/>
          <w:w w:val="105"/>
        </w:rPr>
        <w:t>la</w:t>
      </w:r>
      <w:r>
        <w:rPr>
          <w:color w:val="231F20"/>
          <w:spacing w:val="-8"/>
          <w:w w:val="105"/>
        </w:rPr>
        <w:t> </w:t>
      </w:r>
      <w:r>
        <w:rPr>
          <w:color w:val="231F20"/>
          <w:spacing w:val="2"/>
          <w:w w:val="105"/>
        </w:rPr>
        <w:t>carta</w:t>
      </w:r>
      <w:r>
        <w:rPr>
          <w:color w:val="231F20"/>
          <w:spacing w:val="-8"/>
          <w:w w:val="105"/>
        </w:rPr>
        <w:t> </w:t>
      </w:r>
      <w:r>
        <w:rPr>
          <w:color w:val="231F20"/>
          <w:w w:val="105"/>
        </w:rPr>
        <w:t>de</w:t>
      </w:r>
      <w:r>
        <w:rPr>
          <w:color w:val="231F20"/>
          <w:spacing w:val="-8"/>
          <w:w w:val="105"/>
        </w:rPr>
        <w:t> </w:t>
      </w:r>
      <w:r>
        <w:rPr>
          <w:color w:val="231F20"/>
          <w:w w:val="105"/>
        </w:rPr>
        <w:t>presentación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priístas</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contiendas</w:t>
      </w:r>
      <w:r>
        <w:rPr>
          <w:color w:val="231F20"/>
          <w:spacing w:val="-8"/>
          <w:w w:val="105"/>
        </w:rPr>
        <w:t> </w:t>
      </w:r>
      <w:r>
        <w:rPr>
          <w:color w:val="231F20"/>
          <w:w w:val="105"/>
        </w:rPr>
        <w:t>electorales; acostumbrados</w:t>
      </w:r>
      <w:r>
        <w:rPr>
          <w:color w:val="231F20"/>
          <w:spacing w:val="-12"/>
          <w:w w:val="105"/>
        </w:rPr>
        <w:t> </w:t>
      </w:r>
      <w:r>
        <w:rPr>
          <w:color w:val="231F20"/>
          <w:spacing w:val="2"/>
          <w:w w:val="105"/>
        </w:rPr>
        <w:t>al</w:t>
      </w:r>
      <w:r>
        <w:rPr>
          <w:color w:val="231F20"/>
          <w:spacing w:val="-12"/>
          <w:w w:val="105"/>
        </w:rPr>
        <w:t> </w:t>
      </w:r>
      <w:r>
        <w:rPr>
          <w:color w:val="231F20"/>
          <w:w w:val="105"/>
        </w:rPr>
        <w:t>intercambio</w:t>
      </w:r>
      <w:r>
        <w:rPr>
          <w:color w:val="231F20"/>
          <w:spacing w:val="-12"/>
          <w:w w:val="105"/>
        </w:rPr>
        <w:t> </w:t>
      </w:r>
      <w:r>
        <w:rPr>
          <w:color w:val="231F20"/>
          <w:w w:val="105"/>
        </w:rPr>
        <w:t>de</w:t>
      </w:r>
      <w:r>
        <w:rPr>
          <w:color w:val="231F20"/>
          <w:spacing w:val="-12"/>
          <w:w w:val="105"/>
        </w:rPr>
        <w:t> </w:t>
      </w:r>
      <w:r>
        <w:rPr>
          <w:color w:val="231F20"/>
          <w:w w:val="105"/>
        </w:rPr>
        <w:t>bienes</w:t>
      </w:r>
      <w:r>
        <w:rPr>
          <w:color w:val="231F20"/>
          <w:spacing w:val="-12"/>
          <w:w w:val="105"/>
        </w:rPr>
        <w:t> </w:t>
      </w:r>
      <w:r>
        <w:rPr>
          <w:color w:val="231F20"/>
          <w:w w:val="105"/>
        </w:rPr>
        <w:t>por</w:t>
      </w:r>
      <w:r>
        <w:rPr>
          <w:color w:val="231F20"/>
          <w:spacing w:val="-12"/>
          <w:w w:val="105"/>
        </w:rPr>
        <w:t> </w:t>
      </w:r>
      <w:r>
        <w:rPr>
          <w:color w:val="231F20"/>
          <w:w w:val="105"/>
        </w:rPr>
        <w:t>votos,</w:t>
      </w:r>
      <w:r>
        <w:rPr>
          <w:color w:val="231F20"/>
          <w:spacing w:val="-12"/>
          <w:w w:val="105"/>
        </w:rPr>
        <w:t> </w:t>
      </w:r>
      <w:r>
        <w:rPr>
          <w:color w:val="231F20"/>
          <w:w w:val="105"/>
        </w:rPr>
        <w:t>el</w:t>
      </w:r>
      <w:r>
        <w:rPr>
          <w:color w:val="231F20"/>
          <w:spacing w:val="-12"/>
          <w:w w:val="105"/>
        </w:rPr>
        <w:t> </w:t>
      </w:r>
      <w:r>
        <w:rPr>
          <w:color w:val="231F20"/>
          <w:w w:val="105"/>
        </w:rPr>
        <w:t>cumplimiento</w:t>
      </w:r>
      <w:r>
        <w:rPr>
          <w:color w:val="231F20"/>
          <w:spacing w:val="-12"/>
          <w:w w:val="105"/>
        </w:rPr>
        <w:t> </w:t>
      </w:r>
      <w:r>
        <w:rPr>
          <w:color w:val="231F20"/>
          <w:w w:val="105"/>
        </w:rPr>
        <w:t>eficaz</w:t>
      </w:r>
      <w:r>
        <w:rPr>
          <w:color w:val="231F20"/>
          <w:spacing w:val="-12"/>
          <w:w w:val="105"/>
        </w:rPr>
        <w:t> </w:t>
      </w:r>
      <w:r>
        <w:rPr>
          <w:color w:val="231F20"/>
          <w:w w:val="105"/>
        </w:rPr>
        <w:t>de</w:t>
      </w:r>
      <w:r>
        <w:rPr>
          <w:color w:val="231F20"/>
          <w:spacing w:val="-12"/>
          <w:w w:val="105"/>
        </w:rPr>
        <w:t> </w:t>
      </w:r>
      <w:r>
        <w:rPr>
          <w:color w:val="231F20"/>
          <w:w w:val="105"/>
        </w:rPr>
        <w:t>esta</w:t>
      </w:r>
      <w:r>
        <w:rPr>
          <w:color w:val="231F20"/>
          <w:spacing w:val="-12"/>
          <w:w w:val="105"/>
        </w:rPr>
        <w:t> </w:t>
      </w:r>
      <w:r>
        <w:rPr>
          <w:color w:val="231F20"/>
          <w:w w:val="105"/>
        </w:rPr>
        <w:t>tran- sacción le sigue asegurando triunfos, pese a que no se perciban elementos distintivos de</w:t>
      </w:r>
      <w:r>
        <w:rPr>
          <w:color w:val="231F20"/>
          <w:spacing w:val="-14"/>
          <w:w w:val="105"/>
        </w:rPr>
        <w:t> </w:t>
      </w:r>
      <w:r>
        <w:rPr>
          <w:color w:val="231F20"/>
          <w:w w:val="105"/>
        </w:rPr>
        <w:t>gran</w:t>
      </w:r>
      <w:r>
        <w:rPr>
          <w:color w:val="231F20"/>
          <w:spacing w:val="-14"/>
          <w:w w:val="105"/>
        </w:rPr>
        <w:t> </w:t>
      </w:r>
      <w:r>
        <w:rPr>
          <w:color w:val="231F20"/>
          <w:w w:val="105"/>
        </w:rPr>
        <w:t>relevancia</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desempeño</w:t>
      </w:r>
      <w:r>
        <w:rPr>
          <w:color w:val="231F20"/>
          <w:spacing w:val="-14"/>
          <w:w w:val="105"/>
        </w:rPr>
        <w:t> </w:t>
      </w:r>
      <w:r>
        <w:rPr>
          <w:color w:val="231F20"/>
          <w:w w:val="105"/>
        </w:rPr>
        <w:t>de</w:t>
      </w:r>
      <w:r>
        <w:rPr>
          <w:color w:val="231F20"/>
          <w:spacing w:val="-14"/>
          <w:w w:val="105"/>
        </w:rPr>
        <w:t> </w:t>
      </w:r>
      <w:r>
        <w:rPr>
          <w:color w:val="231F20"/>
          <w:spacing w:val="-3"/>
          <w:w w:val="105"/>
        </w:rPr>
        <w:t>gobierno.</w:t>
      </w:r>
      <w:r>
        <w:rPr>
          <w:color w:val="231F20"/>
          <w:spacing w:val="-14"/>
          <w:w w:val="105"/>
        </w:rPr>
        <w:t> </w:t>
      </w:r>
      <w:r>
        <w:rPr>
          <w:color w:val="231F20"/>
          <w:w w:val="105"/>
        </w:rPr>
        <w:t>La</w:t>
      </w:r>
      <w:r>
        <w:rPr>
          <w:color w:val="231F20"/>
          <w:spacing w:val="-14"/>
          <w:w w:val="105"/>
        </w:rPr>
        <w:t> </w:t>
      </w:r>
      <w:r>
        <w:rPr>
          <w:color w:val="231F20"/>
          <w:w w:val="105"/>
        </w:rPr>
        <w:t>propaganda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obras</w:t>
      </w:r>
      <w:r>
        <w:rPr>
          <w:color w:val="231F20"/>
          <w:spacing w:val="-14"/>
          <w:w w:val="105"/>
        </w:rPr>
        <w:t> </w:t>
      </w:r>
      <w:r>
        <w:rPr>
          <w:color w:val="231F20"/>
          <w:w w:val="105"/>
        </w:rPr>
        <w:t>realizadas es sustantiva para la conservación de los cargos, como apunta Francisco Martínez en referencia</w:t>
      </w:r>
      <w:r>
        <w:rPr>
          <w:color w:val="231F20"/>
          <w:spacing w:val="-24"/>
          <w:w w:val="105"/>
        </w:rPr>
        <w:t> </w:t>
      </w:r>
      <w:r>
        <w:rPr>
          <w:color w:val="231F20"/>
          <w:w w:val="105"/>
        </w:rPr>
        <w:t>a</w:t>
      </w:r>
      <w:r>
        <w:rPr>
          <w:color w:val="231F20"/>
          <w:spacing w:val="-24"/>
          <w:w w:val="105"/>
        </w:rPr>
        <w:t> </w:t>
      </w:r>
      <w:r>
        <w:rPr>
          <w:color w:val="231F20"/>
          <w:w w:val="105"/>
        </w:rPr>
        <w:t>Tepotzotlán.</w:t>
      </w:r>
    </w:p>
    <w:p>
      <w:pPr>
        <w:pStyle w:val="BodyText"/>
        <w:spacing w:before="1"/>
        <w:rPr>
          <w:sz w:val="26"/>
        </w:rPr>
      </w:pPr>
    </w:p>
    <w:p>
      <w:pPr>
        <w:pStyle w:val="BodyText"/>
        <w:spacing w:line="285" w:lineRule="auto"/>
        <w:ind w:left="110" w:right="108"/>
        <w:jc w:val="both"/>
      </w:pPr>
      <w:r>
        <w:rPr>
          <w:color w:val="231F20"/>
          <w:w w:val="105"/>
        </w:rPr>
        <w:t>La cohesión del priísmo sigue </w:t>
      </w:r>
      <w:r>
        <w:rPr>
          <w:color w:val="231F20"/>
          <w:spacing w:val="-2"/>
          <w:w w:val="105"/>
        </w:rPr>
        <w:t>siendo </w:t>
      </w:r>
      <w:r>
        <w:rPr>
          <w:color w:val="231F20"/>
          <w:w w:val="105"/>
        </w:rPr>
        <w:t>una condición indispensable para su buen des- empeño,</w:t>
      </w:r>
      <w:r>
        <w:rPr>
          <w:color w:val="231F20"/>
          <w:spacing w:val="-4"/>
          <w:w w:val="105"/>
        </w:rPr>
        <w:t> </w:t>
      </w:r>
      <w:r>
        <w:rPr>
          <w:color w:val="231F20"/>
          <w:w w:val="105"/>
        </w:rPr>
        <w:t>más</w:t>
      </w:r>
      <w:r>
        <w:rPr>
          <w:color w:val="231F20"/>
          <w:spacing w:val="-4"/>
          <w:w w:val="105"/>
        </w:rPr>
        <w:t> </w:t>
      </w:r>
      <w:r>
        <w:rPr>
          <w:color w:val="231F20"/>
          <w:spacing w:val="2"/>
          <w:w w:val="105"/>
        </w:rPr>
        <w:t>allá</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resultados</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gestión</w:t>
      </w:r>
      <w:r>
        <w:rPr>
          <w:color w:val="231F20"/>
          <w:spacing w:val="-4"/>
          <w:w w:val="105"/>
        </w:rPr>
        <w:t> </w:t>
      </w:r>
      <w:r>
        <w:rPr>
          <w:color w:val="231F20"/>
          <w:w w:val="105"/>
        </w:rPr>
        <w:t>pública.</w:t>
      </w:r>
      <w:r>
        <w:rPr>
          <w:color w:val="231F20"/>
          <w:spacing w:val="-4"/>
          <w:w w:val="105"/>
        </w:rPr>
        <w:t> </w:t>
      </w:r>
      <w:r>
        <w:rPr>
          <w:color w:val="231F20"/>
          <w:w w:val="105"/>
        </w:rPr>
        <w:t>Los</w:t>
      </w:r>
      <w:r>
        <w:rPr>
          <w:color w:val="231F20"/>
          <w:spacing w:val="-4"/>
          <w:w w:val="105"/>
        </w:rPr>
        <w:t> </w:t>
      </w:r>
      <w:r>
        <w:rPr>
          <w:color w:val="231F20"/>
          <w:w w:val="105"/>
        </w:rPr>
        <w:t>éxitos</w:t>
      </w:r>
      <w:r>
        <w:rPr>
          <w:color w:val="231F20"/>
          <w:spacing w:val="-4"/>
          <w:w w:val="105"/>
        </w:rPr>
        <w:t> </w:t>
      </w:r>
      <w:r>
        <w:rPr>
          <w:color w:val="231F20"/>
          <w:w w:val="105"/>
        </w:rPr>
        <w:t>electorales</w:t>
      </w:r>
      <w:r>
        <w:rPr>
          <w:color w:val="231F20"/>
          <w:spacing w:val="-4"/>
          <w:w w:val="105"/>
        </w:rPr>
        <w:t> </w:t>
      </w:r>
      <w:r>
        <w:rPr>
          <w:color w:val="231F20"/>
          <w:w w:val="105"/>
        </w:rPr>
        <w:t>de</w:t>
      </w:r>
      <w:r>
        <w:rPr>
          <w:color w:val="231F20"/>
          <w:spacing w:val="-4"/>
          <w:w w:val="105"/>
        </w:rPr>
        <w:t> </w:t>
      </w:r>
      <w:r>
        <w:rPr>
          <w:color w:val="231F20"/>
          <w:w w:val="105"/>
        </w:rPr>
        <w:t>sus adversarios,</w:t>
      </w:r>
      <w:r>
        <w:rPr>
          <w:color w:val="231F20"/>
          <w:spacing w:val="-6"/>
          <w:w w:val="105"/>
        </w:rPr>
        <w:t> </w:t>
      </w:r>
      <w:r>
        <w:rPr>
          <w:color w:val="231F20"/>
          <w:w w:val="105"/>
        </w:rPr>
        <w:t>en</w:t>
      </w:r>
      <w:r>
        <w:rPr>
          <w:color w:val="231F20"/>
          <w:spacing w:val="-6"/>
          <w:w w:val="105"/>
        </w:rPr>
        <w:t> </w:t>
      </w:r>
      <w:r>
        <w:rPr>
          <w:color w:val="231F20"/>
          <w:w w:val="105"/>
        </w:rPr>
        <w:t>buena</w:t>
      </w:r>
      <w:r>
        <w:rPr>
          <w:color w:val="231F20"/>
          <w:spacing w:val="-6"/>
          <w:w w:val="105"/>
        </w:rPr>
        <w:t> </w:t>
      </w:r>
      <w:r>
        <w:rPr>
          <w:color w:val="231F20"/>
          <w:w w:val="105"/>
        </w:rPr>
        <w:t>medida,</w:t>
      </w:r>
      <w:r>
        <w:rPr>
          <w:color w:val="231F20"/>
          <w:spacing w:val="-6"/>
          <w:w w:val="105"/>
        </w:rPr>
        <w:t> </w:t>
      </w:r>
      <w:r>
        <w:rPr>
          <w:color w:val="231F20"/>
          <w:w w:val="105"/>
        </w:rPr>
        <w:t>han</w:t>
      </w:r>
      <w:r>
        <w:rPr>
          <w:color w:val="231F20"/>
          <w:spacing w:val="-6"/>
          <w:w w:val="105"/>
        </w:rPr>
        <w:t> </w:t>
      </w:r>
      <w:r>
        <w:rPr>
          <w:color w:val="231F20"/>
          <w:w w:val="105"/>
        </w:rPr>
        <w:t>sido</w:t>
      </w:r>
      <w:r>
        <w:rPr>
          <w:color w:val="231F20"/>
          <w:spacing w:val="-6"/>
          <w:w w:val="105"/>
        </w:rPr>
        <w:t> </w:t>
      </w:r>
      <w:r>
        <w:rPr>
          <w:color w:val="231F20"/>
          <w:w w:val="105"/>
        </w:rPr>
        <w:t>producto</w:t>
      </w:r>
      <w:r>
        <w:rPr>
          <w:color w:val="231F20"/>
          <w:spacing w:val="-6"/>
          <w:w w:val="105"/>
        </w:rPr>
        <w:t> </w:t>
      </w:r>
      <w:r>
        <w:rPr>
          <w:color w:val="231F20"/>
          <w:w w:val="105"/>
        </w:rPr>
        <w:t>de</w:t>
      </w:r>
      <w:r>
        <w:rPr>
          <w:color w:val="231F20"/>
          <w:spacing w:val="-6"/>
          <w:w w:val="105"/>
        </w:rPr>
        <w:t> </w:t>
      </w:r>
      <w:r>
        <w:rPr>
          <w:color w:val="231F20"/>
          <w:w w:val="105"/>
        </w:rPr>
        <w:t>fracturas</w:t>
      </w:r>
      <w:r>
        <w:rPr>
          <w:color w:val="231F20"/>
          <w:spacing w:val="-6"/>
          <w:w w:val="105"/>
        </w:rPr>
        <w:t> </w:t>
      </w:r>
      <w:r>
        <w:rPr>
          <w:color w:val="231F20"/>
          <w:w w:val="105"/>
        </w:rPr>
        <w:t>internas</w:t>
      </w:r>
      <w:r>
        <w:rPr>
          <w:color w:val="231F20"/>
          <w:spacing w:val="-6"/>
          <w:w w:val="105"/>
        </w:rPr>
        <w:t> </w:t>
      </w:r>
      <w:r>
        <w:rPr>
          <w:color w:val="231F20"/>
          <w:w w:val="105"/>
        </w:rPr>
        <w:t>que</w:t>
      </w:r>
      <w:r>
        <w:rPr>
          <w:color w:val="231F20"/>
          <w:spacing w:val="-6"/>
          <w:w w:val="105"/>
        </w:rPr>
        <w:t> </w:t>
      </w:r>
      <w:r>
        <w:rPr>
          <w:color w:val="231F20"/>
          <w:w w:val="105"/>
        </w:rPr>
        <w:t>lo</w:t>
      </w:r>
      <w:r>
        <w:rPr>
          <w:color w:val="231F20"/>
          <w:spacing w:val="-6"/>
          <w:w w:val="105"/>
        </w:rPr>
        <w:t> </w:t>
      </w:r>
      <w:r>
        <w:rPr>
          <w:color w:val="231F20"/>
          <w:w w:val="105"/>
        </w:rPr>
        <w:t>han</w:t>
      </w:r>
      <w:r>
        <w:rPr>
          <w:color w:val="231F20"/>
          <w:spacing w:val="-6"/>
          <w:w w:val="105"/>
        </w:rPr>
        <w:t> </w:t>
      </w:r>
      <w:r>
        <w:rPr>
          <w:color w:val="231F20"/>
          <w:w w:val="105"/>
        </w:rPr>
        <w:t>debi- litado</w:t>
      </w:r>
      <w:r>
        <w:rPr>
          <w:color w:val="231F20"/>
          <w:spacing w:val="-13"/>
          <w:w w:val="105"/>
        </w:rPr>
        <w:t> </w:t>
      </w:r>
      <w:r>
        <w:rPr>
          <w:color w:val="231F20"/>
          <w:spacing w:val="2"/>
          <w:w w:val="105"/>
        </w:rPr>
        <w:t>al</w:t>
      </w:r>
      <w:r>
        <w:rPr>
          <w:color w:val="231F20"/>
          <w:spacing w:val="-13"/>
          <w:w w:val="105"/>
        </w:rPr>
        <w:t> </w:t>
      </w:r>
      <w:r>
        <w:rPr>
          <w:color w:val="231F20"/>
          <w:w w:val="105"/>
        </w:rPr>
        <w:t>máximo,</w:t>
      </w:r>
      <w:r>
        <w:rPr>
          <w:color w:val="231F20"/>
          <w:spacing w:val="-13"/>
          <w:w w:val="105"/>
        </w:rPr>
        <w:t> </w:t>
      </w:r>
      <w:r>
        <w:rPr>
          <w:color w:val="231F20"/>
          <w:spacing w:val="2"/>
          <w:w w:val="105"/>
        </w:rPr>
        <w:t>al</w:t>
      </w:r>
      <w:r>
        <w:rPr>
          <w:color w:val="231F20"/>
          <w:spacing w:val="-13"/>
          <w:w w:val="105"/>
        </w:rPr>
        <w:t> </w:t>
      </w:r>
      <w:r>
        <w:rPr>
          <w:color w:val="231F20"/>
          <w:w w:val="105"/>
        </w:rPr>
        <w:t>menos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plano</w:t>
      </w:r>
      <w:r>
        <w:rPr>
          <w:color w:val="231F20"/>
          <w:spacing w:val="-13"/>
          <w:w w:val="105"/>
        </w:rPr>
        <w:t> </w:t>
      </w:r>
      <w:r>
        <w:rPr>
          <w:color w:val="231F20"/>
          <w:w w:val="105"/>
        </w:rPr>
        <w:t>municipal.</w:t>
      </w:r>
    </w:p>
    <w:p>
      <w:pPr>
        <w:pStyle w:val="BodyText"/>
        <w:spacing w:before="1"/>
        <w:rPr>
          <w:sz w:val="26"/>
        </w:rPr>
      </w:pPr>
    </w:p>
    <w:p>
      <w:pPr>
        <w:pStyle w:val="BodyText"/>
        <w:ind w:left="110"/>
        <w:jc w:val="both"/>
      </w:pPr>
      <w:r>
        <w:rPr>
          <w:color w:val="231F20"/>
        </w:rPr>
        <w:t>Las gestiones del PAN sobresalen por la búsqueda de la eficiencia y la eficacia   adminis-</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trativas, con base en la idea de que gobiernos honestos tendrán mejor desempeño que cualquier otro. Los panistas han ubicado prioridades rentables políticamente, como la inseguridad</w:t>
      </w:r>
      <w:r>
        <w:rPr>
          <w:color w:val="231F20"/>
          <w:spacing w:val="-16"/>
          <w:w w:val="105"/>
        </w:rPr>
        <w:t> </w:t>
      </w:r>
      <w:r>
        <w:rPr>
          <w:color w:val="231F20"/>
          <w:w w:val="105"/>
        </w:rPr>
        <w:t>en</w:t>
      </w:r>
      <w:r>
        <w:rPr>
          <w:color w:val="231F20"/>
          <w:spacing w:val="-16"/>
          <w:w w:val="105"/>
        </w:rPr>
        <w:t> </w:t>
      </w:r>
      <w:r>
        <w:rPr>
          <w:color w:val="231F20"/>
          <w:w w:val="105"/>
        </w:rPr>
        <w:t>Naucalpan</w:t>
      </w:r>
      <w:r>
        <w:rPr>
          <w:color w:val="231F20"/>
          <w:spacing w:val="-16"/>
          <w:w w:val="105"/>
        </w:rPr>
        <w:t> </w:t>
      </w:r>
      <w:r>
        <w:rPr>
          <w:color w:val="231F20"/>
          <w:w w:val="105"/>
        </w:rPr>
        <w:t>o</w:t>
      </w:r>
      <w:r>
        <w:rPr>
          <w:color w:val="231F20"/>
          <w:spacing w:val="-16"/>
          <w:w w:val="105"/>
        </w:rPr>
        <w:t> </w:t>
      </w:r>
      <w:r>
        <w:rPr>
          <w:color w:val="231F20"/>
          <w:w w:val="105"/>
        </w:rPr>
        <w:t>la</w:t>
      </w:r>
      <w:r>
        <w:rPr>
          <w:color w:val="231F20"/>
          <w:spacing w:val="-16"/>
          <w:w w:val="105"/>
        </w:rPr>
        <w:t> </w:t>
      </w:r>
      <w:r>
        <w:rPr>
          <w:color w:val="231F20"/>
          <w:w w:val="105"/>
        </w:rPr>
        <w:t>demanda</w:t>
      </w:r>
      <w:r>
        <w:rPr>
          <w:color w:val="231F20"/>
          <w:spacing w:val="-16"/>
          <w:w w:val="105"/>
        </w:rPr>
        <w:t> </w:t>
      </w:r>
      <w:r>
        <w:rPr>
          <w:color w:val="231F20"/>
          <w:w w:val="105"/>
        </w:rPr>
        <w:t>de</w:t>
      </w:r>
      <w:r>
        <w:rPr>
          <w:color w:val="231F20"/>
          <w:spacing w:val="-16"/>
          <w:w w:val="105"/>
        </w:rPr>
        <w:t> </w:t>
      </w:r>
      <w:r>
        <w:rPr>
          <w:color w:val="231F20"/>
          <w:w w:val="105"/>
        </w:rPr>
        <w:t>vivienda</w:t>
      </w:r>
      <w:r>
        <w:rPr>
          <w:color w:val="231F20"/>
          <w:spacing w:val="-16"/>
          <w:w w:val="105"/>
        </w:rPr>
        <w:t> </w:t>
      </w:r>
      <w:r>
        <w:rPr>
          <w:color w:val="231F20"/>
          <w:w w:val="105"/>
        </w:rPr>
        <w:t>en</w:t>
      </w:r>
      <w:r>
        <w:rPr>
          <w:color w:val="231F20"/>
          <w:spacing w:val="-16"/>
          <w:w w:val="105"/>
        </w:rPr>
        <w:t> </w:t>
      </w:r>
      <w:r>
        <w:rPr>
          <w:color w:val="231F20"/>
          <w:w w:val="105"/>
        </w:rPr>
        <w:t>Tlalnepantla,</w:t>
      </w:r>
      <w:r>
        <w:rPr>
          <w:color w:val="231F20"/>
          <w:spacing w:val="-16"/>
          <w:w w:val="105"/>
        </w:rPr>
        <w:t> </w:t>
      </w:r>
      <w:r>
        <w:rPr>
          <w:color w:val="231F20"/>
          <w:w w:val="105"/>
        </w:rPr>
        <w:t>para</w:t>
      </w:r>
      <w:r>
        <w:rPr>
          <w:color w:val="231F20"/>
          <w:spacing w:val="-16"/>
          <w:w w:val="105"/>
        </w:rPr>
        <w:t> </w:t>
      </w:r>
      <w:r>
        <w:rPr>
          <w:color w:val="231F20"/>
          <w:w w:val="105"/>
        </w:rPr>
        <w:t>convocar</w:t>
      </w:r>
      <w:r>
        <w:rPr>
          <w:color w:val="231F20"/>
          <w:spacing w:val="-16"/>
          <w:w w:val="105"/>
        </w:rPr>
        <w:t> </w:t>
      </w:r>
      <w:r>
        <w:rPr>
          <w:color w:val="231F20"/>
          <w:w w:val="105"/>
        </w:rPr>
        <w:t>a</w:t>
      </w:r>
      <w:r>
        <w:rPr>
          <w:color w:val="231F20"/>
          <w:spacing w:val="-16"/>
          <w:w w:val="105"/>
        </w:rPr>
        <w:t> </w:t>
      </w:r>
      <w:r>
        <w:rPr>
          <w:color w:val="231F20"/>
          <w:w w:val="105"/>
        </w:rPr>
        <w:t>la ciudadanía</w:t>
      </w:r>
      <w:r>
        <w:rPr>
          <w:color w:val="231F20"/>
          <w:spacing w:val="-5"/>
          <w:w w:val="105"/>
        </w:rPr>
        <w:t> </w:t>
      </w:r>
      <w:r>
        <w:rPr>
          <w:color w:val="231F20"/>
          <w:w w:val="105"/>
        </w:rPr>
        <w:t>a</w:t>
      </w:r>
      <w:r>
        <w:rPr>
          <w:color w:val="231F20"/>
          <w:spacing w:val="-5"/>
          <w:w w:val="105"/>
        </w:rPr>
        <w:t> </w:t>
      </w:r>
      <w:r>
        <w:rPr>
          <w:color w:val="231F20"/>
          <w:w w:val="105"/>
        </w:rPr>
        <w:t>sufragar</w:t>
      </w:r>
      <w:r>
        <w:rPr>
          <w:color w:val="231F20"/>
          <w:spacing w:val="-5"/>
          <w:w w:val="105"/>
        </w:rPr>
        <w:t> </w:t>
      </w:r>
      <w:r>
        <w:rPr>
          <w:color w:val="231F20"/>
          <w:w w:val="105"/>
        </w:rPr>
        <w:t>a</w:t>
      </w:r>
      <w:r>
        <w:rPr>
          <w:color w:val="231F20"/>
          <w:spacing w:val="-5"/>
          <w:w w:val="105"/>
        </w:rPr>
        <w:t> </w:t>
      </w:r>
      <w:r>
        <w:rPr>
          <w:color w:val="231F20"/>
          <w:w w:val="105"/>
        </w:rPr>
        <w:t>su</w:t>
      </w:r>
      <w:r>
        <w:rPr>
          <w:color w:val="231F20"/>
          <w:spacing w:val="-5"/>
          <w:w w:val="105"/>
        </w:rPr>
        <w:t> </w:t>
      </w:r>
      <w:r>
        <w:rPr>
          <w:color w:val="231F20"/>
          <w:w w:val="105"/>
        </w:rPr>
        <w:t>favor</w:t>
      </w:r>
      <w:r>
        <w:rPr>
          <w:color w:val="231F20"/>
          <w:spacing w:val="-5"/>
          <w:w w:val="105"/>
        </w:rPr>
        <w:t> </w:t>
      </w:r>
      <w:r>
        <w:rPr>
          <w:color w:val="231F20"/>
          <w:spacing w:val="-7"/>
          <w:w w:val="105"/>
        </w:rPr>
        <w:t>y,</w:t>
      </w:r>
      <w:r>
        <w:rPr>
          <w:color w:val="231F20"/>
          <w:spacing w:val="-5"/>
          <w:w w:val="105"/>
        </w:rPr>
        <w:t> </w:t>
      </w:r>
      <w:r>
        <w:rPr>
          <w:color w:val="231F20"/>
          <w:w w:val="105"/>
        </w:rPr>
        <w:t>posteriormente,</w:t>
      </w:r>
      <w:r>
        <w:rPr>
          <w:color w:val="231F20"/>
          <w:spacing w:val="-5"/>
          <w:w w:val="105"/>
        </w:rPr>
        <w:t> </w:t>
      </w:r>
      <w:r>
        <w:rPr>
          <w:color w:val="231F20"/>
          <w:w w:val="105"/>
        </w:rPr>
        <w:t>para</w:t>
      </w:r>
      <w:r>
        <w:rPr>
          <w:color w:val="231F20"/>
          <w:spacing w:val="-5"/>
          <w:w w:val="105"/>
        </w:rPr>
        <w:t> </w:t>
      </w:r>
      <w:r>
        <w:rPr>
          <w:color w:val="231F20"/>
          <w:w w:val="105"/>
        </w:rPr>
        <w:t>respaldarlo</w:t>
      </w:r>
      <w:r>
        <w:rPr>
          <w:color w:val="231F20"/>
          <w:spacing w:val="-5"/>
          <w:w w:val="105"/>
        </w:rPr>
        <w:t> </w:t>
      </w:r>
      <w:r>
        <w:rPr>
          <w:color w:val="231F20"/>
          <w:w w:val="105"/>
        </w:rPr>
        <w:t>ya</w:t>
      </w:r>
      <w:r>
        <w:rPr>
          <w:color w:val="231F20"/>
          <w:spacing w:val="-5"/>
          <w:w w:val="105"/>
        </w:rPr>
        <w:t> </w:t>
      </w:r>
      <w:r>
        <w:rPr>
          <w:color w:val="231F20"/>
          <w:w w:val="105"/>
        </w:rPr>
        <w:t>como</w:t>
      </w:r>
      <w:r>
        <w:rPr>
          <w:color w:val="231F20"/>
          <w:spacing w:val="-5"/>
          <w:w w:val="105"/>
        </w:rPr>
        <w:t> </w:t>
      </w:r>
      <w:r>
        <w:rPr>
          <w:color w:val="231F20"/>
          <w:spacing w:val="-3"/>
          <w:w w:val="105"/>
        </w:rPr>
        <w:t>gobierno. </w:t>
      </w:r>
      <w:r>
        <w:rPr>
          <w:color w:val="231F20"/>
          <w:w w:val="105"/>
        </w:rPr>
        <w:t>Las</w:t>
      </w:r>
      <w:r>
        <w:rPr>
          <w:color w:val="231F20"/>
          <w:spacing w:val="-17"/>
          <w:w w:val="105"/>
        </w:rPr>
        <w:t> </w:t>
      </w:r>
      <w:r>
        <w:rPr>
          <w:color w:val="231F20"/>
          <w:w w:val="105"/>
        </w:rPr>
        <w:t>políticas</w:t>
      </w:r>
      <w:r>
        <w:rPr>
          <w:color w:val="231F20"/>
          <w:spacing w:val="-17"/>
          <w:w w:val="105"/>
        </w:rPr>
        <w:t> </w:t>
      </w:r>
      <w:r>
        <w:rPr>
          <w:color w:val="231F20"/>
          <w:w w:val="105"/>
        </w:rPr>
        <w:t>sociales</w:t>
      </w:r>
      <w:r>
        <w:rPr>
          <w:color w:val="231F20"/>
          <w:spacing w:val="-17"/>
          <w:w w:val="105"/>
        </w:rPr>
        <w:t> </w:t>
      </w:r>
      <w:r>
        <w:rPr>
          <w:color w:val="231F20"/>
          <w:w w:val="105"/>
        </w:rPr>
        <w:t>también</w:t>
      </w:r>
      <w:r>
        <w:rPr>
          <w:color w:val="231F20"/>
          <w:spacing w:val="-17"/>
          <w:w w:val="105"/>
        </w:rPr>
        <w:t> </w:t>
      </w:r>
      <w:r>
        <w:rPr>
          <w:color w:val="231F20"/>
          <w:w w:val="105"/>
        </w:rPr>
        <w:t>han</w:t>
      </w:r>
      <w:r>
        <w:rPr>
          <w:color w:val="231F20"/>
          <w:spacing w:val="-17"/>
          <w:w w:val="105"/>
        </w:rPr>
        <w:t> </w:t>
      </w:r>
      <w:r>
        <w:rPr>
          <w:color w:val="231F20"/>
          <w:w w:val="105"/>
        </w:rPr>
        <w:t>sido</w:t>
      </w:r>
      <w:r>
        <w:rPr>
          <w:color w:val="231F20"/>
          <w:spacing w:val="-17"/>
          <w:w w:val="105"/>
        </w:rPr>
        <w:t> </w:t>
      </w:r>
      <w:r>
        <w:rPr>
          <w:color w:val="231F20"/>
          <w:w w:val="105"/>
        </w:rPr>
        <w:t>publicitadas,</w:t>
      </w:r>
      <w:r>
        <w:rPr>
          <w:color w:val="231F20"/>
          <w:spacing w:val="-17"/>
          <w:w w:val="105"/>
        </w:rPr>
        <w:t> </w:t>
      </w:r>
      <w:r>
        <w:rPr>
          <w:color w:val="231F20"/>
          <w:w w:val="105"/>
        </w:rPr>
        <w:t>pero</w:t>
      </w:r>
      <w:r>
        <w:rPr>
          <w:color w:val="231F20"/>
          <w:spacing w:val="-17"/>
          <w:w w:val="105"/>
        </w:rPr>
        <w:t> </w:t>
      </w:r>
      <w:r>
        <w:rPr>
          <w:color w:val="231F20"/>
          <w:w w:val="105"/>
        </w:rPr>
        <w:t>su</w:t>
      </w:r>
      <w:r>
        <w:rPr>
          <w:color w:val="231F20"/>
          <w:spacing w:val="-17"/>
          <w:w w:val="105"/>
        </w:rPr>
        <w:t> </w:t>
      </w:r>
      <w:r>
        <w:rPr>
          <w:color w:val="231F20"/>
          <w:w w:val="105"/>
        </w:rPr>
        <w:t>limitada</w:t>
      </w:r>
      <w:r>
        <w:rPr>
          <w:color w:val="231F20"/>
          <w:spacing w:val="-17"/>
          <w:w w:val="105"/>
        </w:rPr>
        <w:t> </w:t>
      </w:r>
      <w:r>
        <w:rPr>
          <w:color w:val="231F20"/>
          <w:w w:val="105"/>
        </w:rPr>
        <w:t>cobertura</w:t>
      </w:r>
      <w:r>
        <w:rPr>
          <w:color w:val="231F20"/>
          <w:spacing w:val="-17"/>
          <w:w w:val="105"/>
        </w:rPr>
        <w:t> </w:t>
      </w:r>
      <w:r>
        <w:rPr>
          <w:color w:val="231F20"/>
          <w:w w:val="105"/>
        </w:rPr>
        <w:t>es</w:t>
      </w:r>
      <w:r>
        <w:rPr>
          <w:color w:val="231F20"/>
          <w:spacing w:val="-17"/>
          <w:w w:val="105"/>
        </w:rPr>
        <w:t> </w:t>
      </w:r>
      <w:r>
        <w:rPr>
          <w:color w:val="231F20"/>
          <w:w w:val="105"/>
        </w:rPr>
        <w:t>prue- ba</w:t>
      </w:r>
      <w:r>
        <w:rPr>
          <w:color w:val="231F20"/>
          <w:spacing w:val="-12"/>
          <w:w w:val="105"/>
        </w:rPr>
        <w:t> </w:t>
      </w:r>
      <w:r>
        <w:rPr>
          <w:color w:val="231F20"/>
          <w:w w:val="105"/>
        </w:rPr>
        <w:t>fehaciente</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w w:val="105"/>
        </w:rPr>
        <w:t>preocupación</w:t>
      </w:r>
      <w:r>
        <w:rPr>
          <w:color w:val="231F20"/>
          <w:spacing w:val="-12"/>
          <w:w w:val="105"/>
        </w:rPr>
        <w:t> </w:t>
      </w:r>
      <w:r>
        <w:rPr>
          <w:color w:val="231F20"/>
          <w:w w:val="105"/>
        </w:rPr>
        <w:t>central</w:t>
      </w:r>
      <w:r>
        <w:rPr>
          <w:color w:val="231F20"/>
          <w:spacing w:val="-12"/>
          <w:w w:val="105"/>
        </w:rPr>
        <w:t> </w:t>
      </w:r>
      <w:r>
        <w:rPr>
          <w:color w:val="231F20"/>
          <w:w w:val="105"/>
        </w:rPr>
        <w:t>de</w:t>
      </w:r>
      <w:r>
        <w:rPr>
          <w:color w:val="231F20"/>
          <w:spacing w:val="-12"/>
          <w:w w:val="105"/>
        </w:rPr>
        <w:t> </w:t>
      </w:r>
      <w:r>
        <w:rPr>
          <w:color w:val="231F20"/>
          <w:w w:val="105"/>
        </w:rPr>
        <w:t>este</w:t>
      </w:r>
      <w:r>
        <w:rPr>
          <w:color w:val="231F20"/>
          <w:spacing w:val="-12"/>
          <w:w w:val="105"/>
        </w:rPr>
        <w:t> </w:t>
      </w:r>
      <w:r>
        <w:rPr>
          <w:color w:val="231F20"/>
          <w:w w:val="105"/>
        </w:rPr>
        <w:t>tipo</w:t>
      </w:r>
      <w:r>
        <w:rPr>
          <w:color w:val="231F20"/>
          <w:spacing w:val="-12"/>
          <w:w w:val="105"/>
        </w:rPr>
        <w:t> </w:t>
      </w:r>
      <w:r>
        <w:rPr>
          <w:color w:val="231F20"/>
          <w:w w:val="105"/>
        </w:rPr>
        <w:t>de</w:t>
      </w:r>
      <w:r>
        <w:rPr>
          <w:color w:val="231F20"/>
          <w:spacing w:val="-12"/>
          <w:w w:val="105"/>
        </w:rPr>
        <w:t> </w:t>
      </w:r>
      <w:r>
        <w:rPr>
          <w:color w:val="231F20"/>
          <w:w w:val="105"/>
        </w:rPr>
        <w:t>gobiernos.</w:t>
      </w:r>
    </w:p>
    <w:p>
      <w:pPr>
        <w:pStyle w:val="BodyText"/>
        <w:spacing w:before="1"/>
        <w:rPr>
          <w:sz w:val="26"/>
        </w:rPr>
      </w:pPr>
    </w:p>
    <w:p>
      <w:pPr>
        <w:pStyle w:val="BodyText"/>
        <w:spacing w:line="285" w:lineRule="auto"/>
        <w:ind w:left="110" w:right="107"/>
        <w:jc w:val="both"/>
      </w:pPr>
      <w:r>
        <w:rPr>
          <w:color w:val="231F20"/>
          <w:w w:val="105"/>
        </w:rPr>
        <w:t>El panismo ha estimulado la participación ciudadana, considerando no sólo la indivi- dual</w:t>
      </w:r>
      <w:r>
        <w:rPr>
          <w:color w:val="231F20"/>
          <w:spacing w:val="-9"/>
          <w:w w:val="105"/>
        </w:rPr>
        <w:t> </w:t>
      </w:r>
      <w:r>
        <w:rPr>
          <w:color w:val="231F20"/>
          <w:w w:val="105"/>
        </w:rPr>
        <w:t>sino</w:t>
      </w:r>
      <w:r>
        <w:rPr>
          <w:color w:val="231F20"/>
          <w:spacing w:val="-9"/>
          <w:w w:val="105"/>
        </w:rPr>
        <w:t> </w:t>
      </w:r>
      <w:r>
        <w:rPr>
          <w:color w:val="231F20"/>
          <w:w w:val="105"/>
        </w:rPr>
        <w:t>también</w:t>
      </w:r>
      <w:r>
        <w:rPr>
          <w:color w:val="231F20"/>
          <w:spacing w:val="-9"/>
          <w:w w:val="105"/>
        </w:rPr>
        <w:t> </w:t>
      </w:r>
      <w:r>
        <w:rPr>
          <w:color w:val="231F20"/>
          <w:w w:val="105"/>
        </w:rPr>
        <w:t>la</w:t>
      </w:r>
      <w:r>
        <w:rPr>
          <w:color w:val="231F20"/>
          <w:spacing w:val="-9"/>
          <w:w w:val="105"/>
        </w:rPr>
        <w:t> </w:t>
      </w:r>
      <w:r>
        <w:rPr>
          <w:color w:val="231F20"/>
          <w:w w:val="105"/>
        </w:rPr>
        <w:t>de</w:t>
      </w:r>
      <w:r>
        <w:rPr>
          <w:color w:val="231F20"/>
          <w:spacing w:val="-9"/>
          <w:w w:val="105"/>
        </w:rPr>
        <w:t> </w:t>
      </w:r>
      <w:r>
        <w:rPr>
          <w:color w:val="231F20"/>
          <w:w w:val="105"/>
        </w:rPr>
        <w:t>organizaciones</w:t>
      </w:r>
      <w:r>
        <w:rPr>
          <w:color w:val="231F20"/>
          <w:spacing w:val="-9"/>
          <w:w w:val="105"/>
        </w:rPr>
        <w:t> </w:t>
      </w:r>
      <w:r>
        <w:rPr>
          <w:color w:val="231F20"/>
          <w:w w:val="105"/>
        </w:rPr>
        <w:t>de</w:t>
      </w:r>
      <w:r>
        <w:rPr>
          <w:color w:val="231F20"/>
          <w:spacing w:val="-9"/>
          <w:w w:val="105"/>
        </w:rPr>
        <w:t> </w:t>
      </w:r>
      <w:r>
        <w:rPr>
          <w:color w:val="231F20"/>
          <w:w w:val="105"/>
        </w:rPr>
        <w:t>corte</w:t>
      </w:r>
      <w:r>
        <w:rPr>
          <w:color w:val="231F20"/>
          <w:spacing w:val="-9"/>
          <w:w w:val="105"/>
        </w:rPr>
        <w:t> </w:t>
      </w:r>
      <w:r>
        <w:rPr>
          <w:color w:val="231F20"/>
          <w:w w:val="105"/>
        </w:rPr>
        <w:t>cívico.</w:t>
      </w:r>
      <w:r>
        <w:rPr>
          <w:color w:val="231F20"/>
          <w:spacing w:val="-9"/>
          <w:w w:val="105"/>
        </w:rPr>
        <w:t> </w:t>
      </w:r>
      <w:r>
        <w:rPr>
          <w:color w:val="231F20"/>
          <w:w w:val="105"/>
        </w:rPr>
        <w:t>Como</w:t>
      </w:r>
      <w:r>
        <w:rPr>
          <w:color w:val="231F20"/>
          <w:spacing w:val="-9"/>
          <w:w w:val="105"/>
        </w:rPr>
        <w:t> </w:t>
      </w:r>
      <w:r>
        <w:rPr>
          <w:color w:val="231F20"/>
          <w:w w:val="105"/>
        </w:rPr>
        <w:t>es</w:t>
      </w:r>
      <w:r>
        <w:rPr>
          <w:color w:val="231F20"/>
          <w:spacing w:val="-9"/>
          <w:w w:val="105"/>
        </w:rPr>
        <w:t> </w:t>
      </w:r>
      <w:r>
        <w:rPr>
          <w:color w:val="231F20"/>
          <w:w w:val="105"/>
        </w:rPr>
        <w:t>obvio,</w:t>
      </w:r>
      <w:r>
        <w:rPr>
          <w:color w:val="231F20"/>
          <w:spacing w:val="-9"/>
          <w:w w:val="105"/>
        </w:rPr>
        <w:t> </w:t>
      </w:r>
      <w:r>
        <w:rPr>
          <w:color w:val="231F20"/>
          <w:w w:val="105"/>
        </w:rPr>
        <w:t>estas</w:t>
      </w:r>
      <w:r>
        <w:rPr>
          <w:color w:val="231F20"/>
          <w:spacing w:val="-9"/>
          <w:w w:val="105"/>
        </w:rPr>
        <w:t> </w:t>
      </w:r>
      <w:r>
        <w:rPr>
          <w:color w:val="231F20"/>
          <w:w w:val="105"/>
        </w:rPr>
        <w:t>organiza- ciones</w:t>
      </w:r>
      <w:r>
        <w:rPr>
          <w:color w:val="231F20"/>
          <w:spacing w:val="-13"/>
          <w:w w:val="105"/>
        </w:rPr>
        <w:t> </w:t>
      </w:r>
      <w:r>
        <w:rPr>
          <w:color w:val="231F20"/>
          <w:w w:val="105"/>
        </w:rPr>
        <w:t>provienen</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mayoría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iniciativa</w:t>
      </w:r>
      <w:r>
        <w:rPr>
          <w:color w:val="231F20"/>
          <w:spacing w:val="-13"/>
          <w:w w:val="105"/>
        </w:rPr>
        <w:t> </w:t>
      </w:r>
      <w:r>
        <w:rPr>
          <w:color w:val="231F20"/>
          <w:w w:val="105"/>
        </w:rPr>
        <w:t>privada,</w:t>
      </w:r>
      <w:r>
        <w:rPr>
          <w:color w:val="231F20"/>
          <w:spacing w:val="-13"/>
          <w:w w:val="105"/>
        </w:rPr>
        <w:t> </w:t>
      </w:r>
      <w:r>
        <w:rPr>
          <w:color w:val="231F20"/>
          <w:w w:val="105"/>
        </w:rPr>
        <w:t>la</w:t>
      </w:r>
      <w:r>
        <w:rPr>
          <w:color w:val="231F20"/>
          <w:spacing w:val="-13"/>
          <w:w w:val="105"/>
        </w:rPr>
        <w:t> </w:t>
      </w:r>
      <w:r>
        <w:rPr>
          <w:color w:val="231F20"/>
          <w:w w:val="105"/>
        </w:rPr>
        <w:t>cual</w:t>
      </w:r>
      <w:r>
        <w:rPr>
          <w:color w:val="231F20"/>
          <w:spacing w:val="-13"/>
          <w:w w:val="105"/>
        </w:rPr>
        <w:t> </w:t>
      </w:r>
      <w:r>
        <w:rPr>
          <w:color w:val="231F20"/>
          <w:w w:val="105"/>
        </w:rPr>
        <w:t>tiene</w:t>
      </w:r>
      <w:r>
        <w:rPr>
          <w:color w:val="231F20"/>
          <w:spacing w:val="-13"/>
          <w:w w:val="105"/>
        </w:rPr>
        <w:t> </w:t>
      </w:r>
      <w:r>
        <w:rPr>
          <w:color w:val="231F20"/>
          <w:w w:val="105"/>
        </w:rPr>
        <w:t>una</w:t>
      </w:r>
      <w:r>
        <w:rPr>
          <w:color w:val="231F20"/>
          <w:spacing w:val="-13"/>
          <w:w w:val="105"/>
        </w:rPr>
        <w:t> </w:t>
      </w:r>
      <w:r>
        <w:rPr>
          <w:color w:val="231F20"/>
          <w:w w:val="105"/>
        </w:rPr>
        <w:t>influencia</w:t>
      </w:r>
      <w:r>
        <w:rPr>
          <w:color w:val="231F20"/>
          <w:spacing w:val="-13"/>
          <w:w w:val="105"/>
        </w:rPr>
        <w:t> </w:t>
      </w:r>
      <w:r>
        <w:rPr>
          <w:color w:val="231F20"/>
          <w:spacing w:val="-3"/>
          <w:w w:val="105"/>
        </w:rPr>
        <w:t>sig- </w:t>
      </w:r>
      <w:r>
        <w:rPr>
          <w:color w:val="231F20"/>
          <w:w w:val="105"/>
        </w:rPr>
        <w:t>nificativa</w:t>
      </w:r>
      <w:r>
        <w:rPr>
          <w:color w:val="231F20"/>
          <w:spacing w:val="-19"/>
          <w:w w:val="105"/>
        </w:rPr>
        <w:t> </w:t>
      </w:r>
      <w:r>
        <w:rPr>
          <w:color w:val="231F20"/>
          <w:w w:val="105"/>
        </w:rPr>
        <w:t>en</w:t>
      </w:r>
      <w:r>
        <w:rPr>
          <w:color w:val="231F20"/>
          <w:spacing w:val="-19"/>
          <w:w w:val="105"/>
        </w:rPr>
        <w:t> </w:t>
      </w:r>
      <w:r>
        <w:rPr>
          <w:color w:val="231F20"/>
          <w:w w:val="105"/>
        </w:rPr>
        <w:t>Naucalpan</w:t>
      </w:r>
      <w:r>
        <w:rPr>
          <w:color w:val="231F20"/>
          <w:spacing w:val="-19"/>
          <w:w w:val="105"/>
        </w:rPr>
        <w:t> </w:t>
      </w:r>
      <w:r>
        <w:rPr>
          <w:color w:val="231F20"/>
          <w:w w:val="105"/>
        </w:rPr>
        <w:t>y</w:t>
      </w:r>
      <w:r>
        <w:rPr>
          <w:color w:val="231F20"/>
          <w:spacing w:val="-19"/>
          <w:w w:val="105"/>
        </w:rPr>
        <w:t> </w:t>
      </w:r>
      <w:r>
        <w:rPr>
          <w:color w:val="231F20"/>
          <w:w w:val="105"/>
        </w:rPr>
        <w:t>Tlalnepantla.</w:t>
      </w:r>
      <w:r>
        <w:rPr>
          <w:color w:val="231F20"/>
          <w:spacing w:val="-19"/>
          <w:w w:val="105"/>
        </w:rPr>
        <w:t> </w:t>
      </w:r>
      <w:r>
        <w:rPr>
          <w:color w:val="231F20"/>
          <w:w w:val="105"/>
        </w:rPr>
        <w:t>Aunque</w:t>
      </w:r>
      <w:r>
        <w:rPr>
          <w:color w:val="231F20"/>
          <w:spacing w:val="-19"/>
          <w:w w:val="105"/>
        </w:rPr>
        <w:t> </w:t>
      </w:r>
      <w:r>
        <w:rPr>
          <w:color w:val="231F20"/>
          <w:w w:val="105"/>
        </w:rPr>
        <w:t>esto</w:t>
      </w:r>
      <w:r>
        <w:rPr>
          <w:color w:val="231F20"/>
          <w:spacing w:val="-19"/>
          <w:w w:val="105"/>
        </w:rPr>
        <w:t> </w:t>
      </w:r>
      <w:r>
        <w:rPr>
          <w:color w:val="231F20"/>
          <w:w w:val="105"/>
        </w:rPr>
        <w:t>resulta</w:t>
      </w:r>
      <w:r>
        <w:rPr>
          <w:color w:val="231F20"/>
          <w:spacing w:val="-19"/>
          <w:w w:val="105"/>
        </w:rPr>
        <w:t> </w:t>
      </w:r>
      <w:r>
        <w:rPr>
          <w:color w:val="231F20"/>
          <w:w w:val="105"/>
        </w:rPr>
        <w:t>lógico</w:t>
      </w:r>
      <w:r>
        <w:rPr>
          <w:color w:val="231F20"/>
          <w:spacing w:val="-19"/>
          <w:w w:val="105"/>
        </w:rPr>
        <w:t> </w:t>
      </w:r>
      <w:r>
        <w:rPr>
          <w:color w:val="231F20"/>
          <w:w w:val="105"/>
        </w:rPr>
        <w:t>debido</w:t>
      </w:r>
      <w:r>
        <w:rPr>
          <w:color w:val="231F20"/>
          <w:spacing w:val="-19"/>
          <w:w w:val="105"/>
        </w:rPr>
        <w:t> </w:t>
      </w:r>
      <w:r>
        <w:rPr>
          <w:color w:val="231F20"/>
          <w:w w:val="105"/>
        </w:rPr>
        <w:t>también</w:t>
      </w:r>
      <w:r>
        <w:rPr>
          <w:color w:val="231F20"/>
          <w:spacing w:val="-19"/>
          <w:w w:val="105"/>
        </w:rPr>
        <w:t> </w:t>
      </w:r>
      <w:r>
        <w:rPr>
          <w:color w:val="231F20"/>
          <w:w w:val="105"/>
        </w:rPr>
        <w:t>a</w:t>
      </w:r>
      <w:r>
        <w:rPr>
          <w:color w:val="231F20"/>
          <w:spacing w:val="-19"/>
          <w:w w:val="105"/>
        </w:rPr>
        <w:t> </w:t>
      </w:r>
      <w:r>
        <w:rPr>
          <w:color w:val="231F20"/>
          <w:w w:val="105"/>
        </w:rPr>
        <w:t>las características</w:t>
      </w:r>
      <w:r>
        <w:rPr>
          <w:color w:val="231F20"/>
          <w:spacing w:val="-17"/>
          <w:w w:val="105"/>
        </w:rPr>
        <w:t> </w:t>
      </w:r>
      <w:r>
        <w:rPr>
          <w:color w:val="231F20"/>
          <w:w w:val="105"/>
        </w:rPr>
        <w:t>económicas</w:t>
      </w:r>
      <w:r>
        <w:rPr>
          <w:color w:val="231F20"/>
          <w:spacing w:val="-17"/>
          <w:w w:val="105"/>
        </w:rPr>
        <w:t> </w:t>
      </w:r>
      <w:r>
        <w:rPr>
          <w:color w:val="231F20"/>
          <w:w w:val="105"/>
        </w:rPr>
        <w:t>de</w:t>
      </w:r>
      <w:r>
        <w:rPr>
          <w:color w:val="231F20"/>
          <w:spacing w:val="-17"/>
          <w:w w:val="105"/>
        </w:rPr>
        <w:t> </w:t>
      </w:r>
      <w:r>
        <w:rPr>
          <w:color w:val="231F20"/>
          <w:w w:val="105"/>
        </w:rPr>
        <w:t>estos</w:t>
      </w:r>
      <w:r>
        <w:rPr>
          <w:color w:val="231F20"/>
          <w:spacing w:val="-17"/>
          <w:w w:val="105"/>
        </w:rPr>
        <w:t> </w:t>
      </w:r>
      <w:r>
        <w:rPr>
          <w:color w:val="231F20"/>
          <w:w w:val="105"/>
        </w:rPr>
        <w:t>municipios,</w:t>
      </w:r>
      <w:r>
        <w:rPr>
          <w:color w:val="231F20"/>
          <w:spacing w:val="-17"/>
          <w:w w:val="105"/>
        </w:rPr>
        <w:t> </w:t>
      </w:r>
      <w:r>
        <w:rPr>
          <w:color w:val="231F20"/>
          <w:w w:val="105"/>
        </w:rPr>
        <w:t>no</w:t>
      </w:r>
      <w:r>
        <w:rPr>
          <w:color w:val="231F20"/>
          <w:spacing w:val="-17"/>
          <w:w w:val="105"/>
        </w:rPr>
        <w:t> </w:t>
      </w:r>
      <w:r>
        <w:rPr>
          <w:color w:val="231F20"/>
          <w:w w:val="105"/>
        </w:rPr>
        <w:t>deben</w:t>
      </w:r>
      <w:r>
        <w:rPr>
          <w:color w:val="231F20"/>
          <w:spacing w:val="-17"/>
          <w:w w:val="105"/>
        </w:rPr>
        <w:t> </w:t>
      </w:r>
      <w:r>
        <w:rPr>
          <w:color w:val="231F20"/>
          <w:w w:val="105"/>
        </w:rPr>
        <w:t>dejarse</w:t>
      </w:r>
      <w:r>
        <w:rPr>
          <w:color w:val="231F20"/>
          <w:spacing w:val="-17"/>
          <w:w w:val="105"/>
        </w:rPr>
        <w:t> </w:t>
      </w:r>
      <w:r>
        <w:rPr>
          <w:color w:val="231F20"/>
          <w:w w:val="105"/>
        </w:rPr>
        <w:t>de</w:t>
      </w:r>
      <w:r>
        <w:rPr>
          <w:color w:val="231F20"/>
          <w:spacing w:val="-17"/>
          <w:w w:val="105"/>
        </w:rPr>
        <w:t> </w:t>
      </w:r>
      <w:r>
        <w:rPr>
          <w:color w:val="231F20"/>
          <w:w w:val="105"/>
        </w:rPr>
        <w:t>lado</w:t>
      </w:r>
      <w:r>
        <w:rPr>
          <w:color w:val="231F20"/>
          <w:spacing w:val="-17"/>
          <w:w w:val="105"/>
        </w:rPr>
        <w:t> </w:t>
      </w:r>
      <w:r>
        <w:rPr>
          <w:color w:val="231F20"/>
          <w:w w:val="105"/>
        </w:rPr>
        <w:t>las</w:t>
      </w:r>
      <w:r>
        <w:rPr>
          <w:color w:val="231F20"/>
          <w:spacing w:val="-17"/>
          <w:w w:val="105"/>
        </w:rPr>
        <w:t> </w:t>
      </w:r>
      <w:r>
        <w:rPr>
          <w:color w:val="231F20"/>
          <w:w w:val="105"/>
        </w:rPr>
        <w:t>posiciones ideológicas</w:t>
      </w:r>
      <w:r>
        <w:rPr>
          <w:color w:val="231F20"/>
          <w:spacing w:val="-19"/>
          <w:w w:val="105"/>
        </w:rPr>
        <w:t> </w:t>
      </w:r>
      <w:r>
        <w:rPr>
          <w:color w:val="231F20"/>
          <w:w w:val="105"/>
        </w:rPr>
        <w:t>del</w:t>
      </w:r>
      <w:r>
        <w:rPr>
          <w:color w:val="231F20"/>
          <w:spacing w:val="-19"/>
          <w:w w:val="105"/>
        </w:rPr>
        <w:t> </w:t>
      </w:r>
      <w:r>
        <w:rPr>
          <w:color w:val="231F20"/>
          <w:w w:val="105"/>
        </w:rPr>
        <w:t>panismo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explicación</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tipo</w:t>
      </w:r>
      <w:r>
        <w:rPr>
          <w:color w:val="231F20"/>
          <w:spacing w:val="-19"/>
          <w:w w:val="105"/>
        </w:rPr>
        <w:t> </w:t>
      </w:r>
      <w:r>
        <w:rPr>
          <w:color w:val="231F20"/>
          <w:w w:val="105"/>
        </w:rPr>
        <w:t>de</w:t>
      </w:r>
      <w:r>
        <w:rPr>
          <w:color w:val="231F20"/>
          <w:spacing w:val="-19"/>
          <w:w w:val="105"/>
        </w:rPr>
        <w:t> </w:t>
      </w:r>
      <w:r>
        <w:rPr>
          <w:color w:val="231F20"/>
          <w:w w:val="105"/>
        </w:rPr>
        <w:t>acciones.</w:t>
      </w:r>
    </w:p>
    <w:p>
      <w:pPr>
        <w:pStyle w:val="BodyText"/>
        <w:spacing w:before="1"/>
        <w:rPr>
          <w:sz w:val="26"/>
        </w:rPr>
      </w:pPr>
    </w:p>
    <w:p>
      <w:pPr>
        <w:pStyle w:val="BodyText"/>
        <w:spacing w:line="285" w:lineRule="auto"/>
        <w:ind w:left="110" w:right="106"/>
        <w:jc w:val="both"/>
      </w:pPr>
      <w:r>
        <w:rPr>
          <w:color w:val="231F20"/>
          <w:w w:val="105"/>
        </w:rPr>
        <w:t>Una medida novedosa instaurada en Tlalnepantla fue la del programa de presupuesto participativo, el cual implica la intervención de los ciudadanos en la determinación de obras</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cuales</w:t>
      </w:r>
      <w:r>
        <w:rPr>
          <w:color w:val="231F20"/>
          <w:spacing w:val="-10"/>
          <w:w w:val="105"/>
        </w:rPr>
        <w:t> </w:t>
      </w:r>
      <w:r>
        <w:rPr>
          <w:color w:val="231F20"/>
          <w:w w:val="105"/>
        </w:rPr>
        <w:t>se</w:t>
      </w:r>
      <w:r>
        <w:rPr>
          <w:color w:val="231F20"/>
          <w:spacing w:val="-10"/>
          <w:w w:val="105"/>
        </w:rPr>
        <w:t> </w:t>
      </w:r>
      <w:r>
        <w:rPr>
          <w:color w:val="231F20"/>
          <w:w w:val="105"/>
        </w:rPr>
        <w:t>destinará</w:t>
      </w:r>
      <w:r>
        <w:rPr>
          <w:color w:val="231F20"/>
          <w:spacing w:val="-10"/>
          <w:w w:val="105"/>
        </w:rPr>
        <w:t> </w:t>
      </w:r>
      <w:r>
        <w:rPr>
          <w:color w:val="231F20"/>
          <w:w w:val="105"/>
        </w:rPr>
        <w:t>una</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del</w:t>
      </w:r>
      <w:r>
        <w:rPr>
          <w:color w:val="231F20"/>
          <w:spacing w:val="-10"/>
          <w:w w:val="105"/>
        </w:rPr>
        <w:t> </w:t>
      </w:r>
      <w:r>
        <w:rPr>
          <w:color w:val="231F20"/>
          <w:w w:val="105"/>
        </w:rPr>
        <w:t>erario.</w:t>
      </w:r>
      <w:r>
        <w:rPr>
          <w:color w:val="231F20"/>
          <w:spacing w:val="-10"/>
          <w:w w:val="105"/>
        </w:rPr>
        <w:t> </w:t>
      </w:r>
      <w:r>
        <w:rPr>
          <w:color w:val="231F20"/>
          <w:w w:val="105"/>
        </w:rPr>
        <w:t>Aunque</w:t>
      </w:r>
      <w:r>
        <w:rPr>
          <w:color w:val="231F20"/>
          <w:spacing w:val="-10"/>
          <w:w w:val="105"/>
        </w:rPr>
        <w:t> </w:t>
      </w:r>
      <w:r>
        <w:rPr>
          <w:color w:val="231F20"/>
          <w:w w:val="105"/>
        </w:rPr>
        <w:t>limitada,</w:t>
      </w:r>
      <w:r>
        <w:rPr>
          <w:color w:val="231F20"/>
          <w:spacing w:val="-10"/>
          <w:w w:val="105"/>
        </w:rPr>
        <w:t> </w:t>
      </w:r>
      <w:r>
        <w:rPr>
          <w:color w:val="231F20"/>
          <w:spacing w:val="2"/>
          <w:w w:val="105"/>
        </w:rPr>
        <w:t>tal </w:t>
      </w:r>
      <w:r>
        <w:rPr>
          <w:color w:val="231F20"/>
          <w:w w:val="105"/>
        </w:rPr>
        <w:t>acción</w:t>
      </w:r>
      <w:r>
        <w:rPr>
          <w:color w:val="231F20"/>
          <w:spacing w:val="-13"/>
          <w:w w:val="105"/>
        </w:rPr>
        <w:t> </w:t>
      </w:r>
      <w:r>
        <w:rPr>
          <w:color w:val="231F20"/>
          <w:w w:val="105"/>
        </w:rPr>
        <w:t>constituye</w:t>
      </w:r>
      <w:r>
        <w:rPr>
          <w:color w:val="231F20"/>
          <w:spacing w:val="-13"/>
          <w:w w:val="105"/>
        </w:rPr>
        <w:t> </w:t>
      </w:r>
      <w:r>
        <w:rPr>
          <w:color w:val="231F20"/>
          <w:w w:val="105"/>
        </w:rPr>
        <w:t>una</w:t>
      </w:r>
      <w:r>
        <w:rPr>
          <w:color w:val="231F20"/>
          <w:spacing w:val="-13"/>
          <w:w w:val="105"/>
        </w:rPr>
        <w:t> </w:t>
      </w:r>
      <w:r>
        <w:rPr>
          <w:color w:val="231F20"/>
          <w:w w:val="105"/>
        </w:rPr>
        <w:t>experiencia</w:t>
      </w:r>
      <w:r>
        <w:rPr>
          <w:color w:val="231F20"/>
          <w:spacing w:val="-13"/>
          <w:w w:val="105"/>
        </w:rPr>
        <w:t> </w:t>
      </w:r>
      <w:r>
        <w:rPr>
          <w:color w:val="231F20"/>
          <w:w w:val="105"/>
        </w:rPr>
        <w:t>inédita</w:t>
      </w:r>
      <w:r>
        <w:rPr>
          <w:color w:val="231F20"/>
          <w:spacing w:val="-13"/>
          <w:w w:val="105"/>
        </w:rPr>
        <w:t> </w:t>
      </w:r>
      <w:r>
        <w:rPr>
          <w:color w:val="231F20"/>
          <w:w w:val="105"/>
        </w:rPr>
        <w:t>que</w:t>
      </w:r>
      <w:r>
        <w:rPr>
          <w:color w:val="231F20"/>
          <w:spacing w:val="-13"/>
          <w:w w:val="105"/>
        </w:rPr>
        <w:t> </w:t>
      </w:r>
      <w:r>
        <w:rPr>
          <w:color w:val="231F20"/>
          <w:w w:val="105"/>
        </w:rPr>
        <w:t>abre</w:t>
      </w:r>
      <w:r>
        <w:rPr>
          <w:color w:val="231F20"/>
          <w:spacing w:val="-13"/>
          <w:w w:val="105"/>
        </w:rPr>
        <w:t> </w:t>
      </w:r>
      <w:r>
        <w:rPr>
          <w:color w:val="231F20"/>
          <w:w w:val="105"/>
        </w:rPr>
        <w:t>las</w:t>
      </w:r>
      <w:r>
        <w:rPr>
          <w:color w:val="231F20"/>
          <w:spacing w:val="-13"/>
          <w:w w:val="105"/>
        </w:rPr>
        <w:t> </w:t>
      </w:r>
      <w:r>
        <w:rPr>
          <w:color w:val="231F20"/>
          <w:w w:val="105"/>
        </w:rPr>
        <w:t>puertas</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acción</w:t>
      </w:r>
      <w:r>
        <w:rPr>
          <w:color w:val="231F20"/>
          <w:spacing w:val="-13"/>
          <w:w w:val="105"/>
        </w:rPr>
        <w:t> </w:t>
      </w:r>
      <w:r>
        <w:rPr>
          <w:color w:val="231F20"/>
          <w:w w:val="105"/>
        </w:rPr>
        <w:t>ciudadana</w:t>
      </w:r>
      <w:r>
        <w:rPr>
          <w:color w:val="231F20"/>
          <w:spacing w:val="-13"/>
          <w:w w:val="105"/>
        </w:rPr>
        <w:t> </w:t>
      </w:r>
      <w:r>
        <w:rPr>
          <w:color w:val="231F20"/>
          <w:w w:val="105"/>
        </w:rPr>
        <w:t>sin el</w:t>
      </w:r>
      <w:r>
        <w:rPr>
          <w:color w:val="231F20"/>
          <w:spacing w:val="-17"/>
          <w:w w:val="105"/>
        </w:rPr>
        <w:t> </w:t>
      </w:r>
      <w:r>
        <w:rPr>
          <w:color w:val="231F20"/>
          <w:w w:val="105"/>
        </w:rPr>
        <w:t>concurso</w:t>
      </w:r>
      <w:r>
        <w:rPr>
          <w:color w:val="231F20"/>
          <w:spacing w:val="-17"/>
          <w:w w:val="105"/>
        </w:rPr>
        <w:t> </w:t>
      </w:r>
      <w:r>
        <w:rPr>
          <w:color w:val="231F20"/>
          <w:w w:val="105"/>
        </w:rPr>
        <w:t>de</w:t>
      </w:r>
      <w:r>
        <w:rPr>
          <w:color w:val="231F20"/>
          <w:spacing w:val="-17"/>
          <w:w w:val="105"/>
        </w:rPr>
        <w:t> </w:t>
      </w:r>
      <w:r>
        <w:rPr>
          <w:color w:val="231F20"/>
          <w:w w:val="105"/>
        </w:rPr>
        <w:t>corporaciones</w:t>
      </w:r>
      <w:r>
        <w:rPr>
          <w:color w:val="231F20"/>
          <w:spacing w:val="-17"/>
          <w:w w:val="105"/>
        </w:rPr>
        <w:t> </w:t>
      </w:r>
      <w:r>
        <w:rPr>
          <w:color w:val="231F20"/>
          <w:w w:val="105"/>
        </w:rPr>
        <w:t>o</w:t>
      </w:r>
      <w:r>
        <w:rPr>
          <w:color w:val="231F20"/>
          <w:spacing w:val="-17"/>
          <w:w w:val="105"/>
        </w:rPr>
        <w:t> </w:t>
      </w:r>
      <w:r>
        <w:rPr>
          <w:color w:val="231F20"/>
          <w:w w:val="105"/>
        </w:rPr>
        <w:t>clientelas</w:t>
      </w:r>
      <w:r>
        <w:rPr>
          <w:color w:val="231F20"/>
          <w:spacing w:val="-17"/>
          <w:w w:val="105"/>
        </w:rPr>
        <w:t> </w:t>
      </w:r>
      <w:r>
        <w:rPr>
          <w:color w:val="231F20"/>
          <w:w w:val="105"/>
        </w:rPr>
        <w:t>electorales.</w:t>
      </w:r>
    </w:p>
    <w:p>
      <w:pPr>
        <w:pStyle w:val="BodyText"/>
        <w:spacing w:before="1"/>
        <w:rPr>
          <w:sz w:val="26"/>
        </w:rPr>
      </w:pPr>
    </w:p>
    <w:p>
      <w:pPr>
        <w:pStyle w:val="BodyText"/>
        <w:spacing w:line="285" w:lineRule="auto"/>
        <w:ind w:left="110" w:right="108"/>
        <w:jc w:val="both"/>
      </w:pPr>
      <w:r>
        <w:rPr>
          <w:color w:val="231F20"/>
          <w:w w:val="105"/>
        </w:rPr>
        <w:t>Pese a </w:t>
      </w:r>
      <w:r>
        <w:rPr>
          <w:color w:val="231F20"/>
          <w:spacing w:val="-3"/>
          <w:w w:val="105"/>
        </w:rPr>
        <w:t>todo, </w:t>
      </w:r>
      <w:r>
        <w:rPr>
          <w:color w:val="231F20"/>
          <w:w w:val="105"/>
        </w:rPr>
        <w:t>entre </w:t>
      </w:r>
      <w:r>
        <w:rPr>
          <w:color w:val="231F20"/>
          <w:spacing w:val="-2"/>
          <w:w w:val="105"/>
        </w:rPr>
        <w:t>los </w:t>
      </w:r>
      <w:r>
        <w:rPr>
          <w:color w:val="231F20"/>
          <w:w w:val="105"/>
        </w:rPr>
        <w:t>panistas predomina una </w:t>
      </w:r>
      <w:r>
        <w:rPr>
          <w:color w:val="231F20"/>
          <w:spacing w:val="-3"/>
          <w:w w:val="105"/>
        </w:rPr>
        <w:t>concepción </w:t>
      </w:r>
      <w:r>
        <w:rPr>
          <w:color w:val="231F20"/>
          <w:w w:val="105"/>
        </w:rPr>
        <w:t>limitada de la participación ciudadana,</w:t>
      </w:r>
      <w:r>
        <w:rPr>
          <w:color w:val="231F20"/>
          <w:spacing w:val="-25"/>
          <w:w w:val="105"/>
        </w:rPr>
        <w:t> </w:t>
      </w:r>
      <w:r>
        <w:rPr>
          <w:color w:val="231F20"/>
          <w:w w:val="105"/>
        </w:rPr>
        <w:t>al</w:t>
      </w:r>
      <w:r>
        <w:rPr>
          <w:color w:val="231F20"/>
          <w:spacing w:val="-25"/>
          <w:w w:val="105"/>
        </w:rPr>
        <w:t> </w:t>
      </w:r>
      <w:r>
        <w:rPr>
          <w:color w:val="231F20"/>
          <w:w w:val="105"/>
        </w:rPr>
        <w:t>grado</w:t>
      </w:r>
      <w:r>
        <w:rPr>
          <w:color w:val="231F20"/>
          <w:spacing w:val="-25"/>
          <w:w w:val="105"/>
        </w:rPr>
        <w:t> </w:t>
      </w:r>
      <w:r>
        <w:rPr>
          <w:color w:val="231F20"/>
          <w:w w:val="105"/>
        </w:rPr>
        <w:t>de</w:t>
      </w:r>
      <w:r>
        <w:rPr>
          <w:color w:val="231F20"/>
          <w:spacing w:val="-25"/>
          <w:w w:val="105"/>
        </w:rPr>
        <w:t> </w:t>
      </w:r>
      <w:r>
        <w:rPr>
          <w:color w:val="231F20"/>
          <w:w w:val="105"/>
        </w:rPr>
        <w:t>considerar</w:t>
      </w:r>
      <w:r>
        <w:rPr>
          <w:color w:val="231F20"/>
          <w:spacing w:val="-25"/>
          <w:w w:val="105"/>
        </w:rPr>
        <w:t> </w:t>
      </w:r>
      <w:r>
        <w:rPr>
          <w:color w:val="231F20"/>
          <w:spacing w:val="-3"/>
          <w:w w:val="105"/>
        </w:rPr>
        <w:t>como</w:t>
      </w:r>
      <w:r>
        <w:rPr>
          <w:color w:val="231F20"/>
          <w:spacing w:val="-25"/>
          <w:w w:val="105"/>
        </w:rPr>
        <w:t> </w:t>
      </w:r>
      <w:r>
        <w:rPr>
          <w:color w:val="231F20"/>
          <w:spacing w:val="2"/>
          <w:w w:val="105"/>
        </w:rPr>
        <w:t>tal</w:t>
      </w:r>
      <w:r>
        <w:rPr>
          <w:color w:val="231F20"/>
          <w:spacing w:val="-25"/>
          <w:w w:val="105"/>
        </w:rPr>
        <w:t> </w:t>
      </w:r>
      <w:r>
        <w:rPr>
          <w:color w:val="231F20"/>
          <w:w w:val="105"/>
        </w:rPr>
        <w:t>la</w:t>
      </w:r>
      <w:r>
        <w:rPr>
          <w:color w:val="231F20"/>
          <w:spacing w:val="-25"/>
          <w:w w:val="105"/>
        </w:rPr>
        <w:t> </w:t>
      </w:r>
      <w:r>
        <w:rPr>
          <w:color w:val="231F20"/>
          <w:w w:val="105"/>
        </w:rPr>
        <w:t>asistencia</w:t>
      </w:r>
      <w:r>
        <w:rPr>
          <w:color w:val="231F20"/>
          <w:spacing w:val="-25"/>
          <w:w w:val="105"/>
        </w:rPr>
        <w:t> </w:t>
      </w:r>
      <w:r>
        <w:rPr>
          <w:color w:val="231F20"/>
          <w:w w:val="105"/>
        </w:rPr>
        <w:t>de</w:t>
      </w:r>
      <w:r>
        <w:rPr>
          <w:color w:val="231F20"/>
          <w:spacing w:val="-25"/>
          <w:w w:val="105"/>
        </w:rPr>
        <w:t> </w:t>
      </w:r>
      <w:r>
        <w:rPr>
          <w:color w:val="231F20"/>
          <w:w w:val="105"/>
        </w:rPr>
        <w:t>ciudadanos</w:t>
      </w:r>
      <w:r>
        <w:rPr>
          <w:color w:val="231F20"/>
          <w:spacing w:val="-25"/>
          <w:w w:val="105"/>
        </w:rPr>
        <w:t> </w:t>
      </w:r>
      <w:r>
        <w:rPr>
          <w:color w:val="231F20"/>
          <w:w w:val="105"/>
        </w:rPr>
        <w:t>a</w:t>
      </w:r>
      <w:r>
        <w:rPr>
          <w:color w:val="231F20"/>
          <w:spacing w:val="-25"/>
          <w:w w:val="105"/>
        </w:rPr>
        <w:t> </w:t>
      </w:r>
      <w:r>
        <w:rPr>
          <w:color w:val="231F20"/>
          <w:spacing w:val="-3"/>
          <w:w w:val="105"/>
        </w:rPr>
        <w:t>eventos</w:t>
      </w:r>
      <w:r>
        <w:rPr>
          <w:color w:val="231F20"/>
          <w:spacing w:val="-25"/>
          <w:w w:val="105"/>
        </w:rPr>
        <w:t> </w:t>
      </w:r>
      <w:r>
        <w:rPr>
          <w:color w:val="231F20"/>
          <w:spacing w:val="-3"/>
          <w:w w:val="105"/>
        </w:rPr>
        <w:t>públicos </w:t>
      </w:r>
      <w:r>
        <w:rPr>
          <w:color w:val="231F20"/>
          <w:w w:val="105"/>
        </w:rPr>
        <w:t>del</w:t>
      </w:r>
      <w:r>
        <w:rPr>
          <w:color w:val="231F20"/>
          <w:spacing w:val="-17"/>
          <w:w w:val="105"/>
        </w:rPr>
        <w:t> </w:t>
      </w:r>
      <w:r>
        <w:rPr>
          <w:color w:val="231F20"/>
          <w:spacing w:val="-3"/>
          <w:w w:val="105"/>
        </w:rPr>
        <w:t>presidente</w:t>
      </w:r>
      <w:r>
        <w:rPr>
          <w:color w:val="231F20"/>
          <w:spacing w:val="-17"/>
          <w:w w:val="105"/>
        </w:rPr>
        <w:t> </w:t>
      </w:r>
      <w:r>
        <w:rPr>
          <w:color w:val="231F20"/>
          <w:w w:val="105"/>
        </w:rPr>
        <w:t>municipal</w:t>
      </w:r>
      <w:r>
        <w:rPr>
          <w:color w:val="231F20"/>
          <w:spacing w:val="-17"/>
          <w:w w:val="105"/>
        </w:rPr>
        <w:t> </w:t>
      </w:r>
      <w:r>
        <w:rPr>
          <w:color w:val="231F20"/>
          <w:spacing w:val="-5"/>
          <w:w w:val="105"/>
        </w:rPr>
        <w:t>(como</w:t>
      </w:r>
      <w:r>
        <w:rPr>
          <w:color w:val="231F20"/>
          <w:spacing w:val="-17"/>
          <w:w w:val="105"/>
        </w:rPr>
        <w:t> </w:t>
      </w:r>
      <w:r>
        <w:rPr>
          <w:color w:val="231F20"/>
          <w:w w:val="105"/>
        </w:rPr>
        <w:t>sucede</w:t>
      </w:r>
      <w:r>
        <w:rPr>
          <w:color w:val="231F20"/>
          <w:spacing w:val="-17"/>
          <w:w w:val="105"/>
        </w:rPr>
        <w:t> </w:t>
      </w:r>
      <w:r>
        <w:rPr>
          <w:color w:val="231F20"/>
          <w:w w:val="105"/>
        </w:rPr>
        <w:t>en</w:t>
      </w:r>
      <w:r>
        <w:rPr>
          <w:color w:val="231F20"/>
          <w:spacing w:val="-17"/>
          <w:w w:val="105"/>
        </w:rPr>
        <w:t> </w:t>
      </w:r>
      <w:r>
        <w:rPr>
          <w:color w:val="231F20"/>
          <w:spacing w:val="-3"/>
          <w:w w:val="105"/>
        </w:rPr>
        <w:t>Naucalpan).</w:t>
      </w:r>
      <w:r>
        <w:rPr>
          <w:color w:val="231F20"/>
          <w:spacing w:val="-17"/>
          <w:w w:val="105"/>
        </w:rPr>
        <w:t> </w:t>
      </w:r>
      <w:r>
        <w:rPr>
          <w:color w:val="231F20"/>
          <w:w w:val="105"/>
        </w:rPr>
        <w:t>De</w:t>
      </w:r>
      <w:r>
        <w:rPr>
          <w:color w:val="231F20"/>
          <w:spacing w:val="-17"/>
          <w:w w:val="105"/>
        </w:rPr>
        <w:t> </w:t>
      </w:r>
      <w:r>
        <w:rPr>
          <w:color w:val="231F20"/>
          <w:w w:val="105"/>
        </w:rPr>
        <w:t>ser</w:t>
      </w:r>
      <w:r>
        <w:rPr>
          <w:color w:val="231F20"/>
          <w:spacing w:val="-17"/>
          <w:w w:val="105"/>
        </w:rPr>
        <w:t> </w:t>
      </w:r>
      <w:r>
        <w:rPr>
          <w:color w:val="231F20"/>
          <w:w w:val="105"/>
        </w:rPr>
        <w:t>así,</w:t>
      </w:r>
      <w:r>
        <w:rPr>
          <w:color w:val="231F20"/>
          <w:spacing w:val="-17"/>
          <w:w w:val="105"/>
        </w:rPr>
        <w:t> </w:t>
      </w:r>
      <w:r>
        <w:rPr>
          <w:color w:val="231F20"/>
          <w:w w:val="105"/>
        </w:rPr>
        <w:t>la</w:t>
      </w:r>
      <w:r>
        <w:rPr>
          <w:color w:val="231F20"/>
          <w:spacing w:val="-17"/>
          <w:w w:val="105"/>
        </w:rPr>
        <w:t> </w:t>
      </w:r>
      <w:r>
        <w:rPr>
          <w:color w:val="231F20"/>
          <w:w w:val="105"/>
        </w:rPr>
        <w:t>participación</w:t>
      </w:r>
      <w:r>
        <w:rPr>
          <w:color w:val="231F20"/>
          <w:spacing w:val="-17"/>
          <w:w w:val="105"/>
        </w:rPr>
        <w:t> </w:t>
      </w:r>
      <w:r>
        <w:rPr>
          <w:color w:val="231F20"/>
          <w:spacing w:val="-3"/>
          <w:w w:val="105"/>
        </w:rPr>
        <w:t>ciuda- </w:t>
      </w:r>
      <w:r>
        <w:rPr>
          <w:color w:val="231F20"/>
          <w:w w:val="105"/>
        </w:rPr>
        <w:t>dana</w:t>
      </w:r>
      <w:r>
        <w:rPr>
          <w:color w:val="231F20"/>
          <w:spacing w:val="-13"/>
          <w:w w:val="105"/>
        </w:rPr>
        <w:t> </w:t>
      </w:r>
      <w:r>
        <w:rPr>
          <w:color w:val="231F20"/>
          <w:w w:val="105"/>
        </w:rPr>
        <w:t>habría</w:t>
      </w:r>
      <w:r>
        <w:rPr>
          <w:color w:val="231F20"/>
          <w:spacing w:val="-13"/>
          <w:w w:val="105"/>
        </w:rPr>
        <w:t> </w:t>
      </w:r>
      <w:r>
        <w:rPr>
          <w:color w:val="231F20"/>
          <w:spacing w:val="-3"/>
          <w:w w:val="105"/>
        </w:rPr>
        <w:t>sido</w:t>
      </w:r>
      <w:r>
        <w:rPr>
          <w:color w:val="231F20"/>
          <w:spacing w:val="-13"/>
          <w:w w:val="105"/>
        </w:rPr>
        <w:t> </w:t>
      </w:r>
      <w:r>
        <w:rPr>
          <w:color w:val="231F20"/>
          <w:w w:val="105"/>
        </w:rPr>
        <w:t>el</w:t>
      </w:r>
      <w:r>
        <w:rPr>
          <w:color w:val="231F20"/>
          <w:spacing w:val="-13"/>
          <w:w w:val="105"/>
        </w:rPr>
        <w:t> </w:t>
      </w:r>
      <w:r>
        <w:rPr>
          <w:color w:val="231F20"/>
          <w:w w:val="105"/>
        </w:rPr>
        <w:t>sello</w:t>
      </w:r>
      <w:r>
        <w:rPr>
          <w:color w:val="231F20"/>
          <w:spacing w:val="-13"/>
          <w:w w:val="105"/>
        </w:rPr>
        <w:t> </w:t>
      </w:r>
      <w:r>
        <w:rPr>
          <w:color w:val="231F20"/>
          <w:w w:val="105"/>
        </w:rPr>
        <w:t>característico</w:t>
      </w:r>
      <w:r>
        <w:rPr>
          <w:color w:val="231F20"/>
          <w:spacing w:val="-13"/>
          <w:w w:val="105"/>
        </w:rPr>
        <w:t> </w:t>
      </w:r>
      <w:r>
        <w:rPr>
          <w:color w:val="231F20"/>
          <w:w w:val="105"/>
        </w:rPr>
        <w:t>del</w:t>
      </w:r>
      <w:r>
        <w:rPr>
          <w:color w:val="231F20"/>
          <w:spacing w:val="-13"/>
          <w:w w:val="105"/>
        </w:rPr>
        <w:t> </w:t>
      </w:r>
      <w:r>
        <w:rPr>
          <w:color w:val="231F20"/>
          <w:w w:val="105"/>
        </w:rPr>
        <w:t>priísmo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poder</w:t>
      </w:r>
      <w:r>
        <w:rPr>
          <w:color w:val="231F20"/>
          <w:spacing w:val="-13"/>
          <w:w w:val="105"/>
        </w:rPr>
        <w:t> </w:t>
      </w:r>
      <w:r>
        <w:rPr>
          <w:color w:val="231F20"/>
          <w:w w:val="105"/>
        </w:rPr>
        <w:t>durante</w:t>
      </w:r>
      <w:r>
        <w:rPr>
          <w:color w:val="231F20"/>
          <w:spacing w:val="-13"/>
          <w:w w:val="105"/>
        </w:rPr>
        <w:t> </w:t>
      </w:r>
      <w:r>
        <w:rPr>
          <w:color w:val="231F20"/>
          <w:spacing w:val="-3"/>
          <w:w w:val="105"/>
        </w:rPr>
        <w:t>muchos</w:t>
      </w:r>
      <w:r>
        <w:rPr>
          <w:color w:val="231F20"/>
          <w:spacing w:val="-13"/>
          <w:w w:val="105"/>
        </w:rPr>
        <w:t> </w:t>
      </w:r>
      <w:r>
        <w:rPr>
          <w:color w:val="231F20"/>
          <w:w w:val="105"/>
        </w:rPr>
        <w:t>años.</w:t>
      </w:r>
    </w:p>
    <w:p>
      <w:pPr>
        <w:pStyle w:val="BodyText"/>
        <w:spacing w:before="1"/>
        <w:rPr>
          <w:sz w:val="26"/>
        </w:rPr>
      </w:pPr>
    </w:p>
    <w:p>
      <w:pPr>
        <w:pStyle w:val="BodyText"/>
        <w:spacing w:line="285" w:lineRule="auto"/>
        <w:ind w:left="110" w:right="107"/>
        <w:jc w:val="both"/>
      </w:pPr>
      <w:r>
        <w:rPr>
          <w:color w:val="231F20"/>
          <w:w w:val="105"/>
        </w:rPr>
        <w:t>Los panistas han impulsado la transparencia en sus gobiernos, pero sin tener una con- cepción</w:t>
      </w:r>
      <w:r>
        <w:rPr>
          <w:color w:val="231F20"/>
          <w:spacing w:val="-23"/>
          <w:w w:val="105"/>
        </w:rPr>
        <w:t> </w:t>
      </w:r>
      <w:r>
        <w:rPr>
          <w:color w:val="231F20"/>
          <w:w w:val="105"/>
        </w:rPr>
        <w:t>acabada</w:t>
      </w:r>
      <w:r>
        <w:rPr>
          <w:color w:val="231F20"/>
          <w:spacing w:val="-23"/>
          <w:w w:val="105"/>
        </w:rPr>
        <w:t> </w:t>
      </w:r>
      <w:r>
        <w:rPr>
          <w:color w:val="231F20"/>
          <w:w w:val="105"/>
        </w:rPr>
        <w:t>y</w:t>
      </w:r>
      <w:r>
        <w:rPr>
          <w:color w:val="231F20"/>
          <w:spacing w:val="-23"/>
          <w:w w:val="105"/>
        </w:rPr>
        <w:t> </w:t>
      </w:r>
      <w:r>
        <w:rPr>
          <w:color w:val="231F20"/>
          <w:w w:val="105"/>
        </w:rPr>
        <w:t>basada</w:t>
      </w:r>
      <w:r>
        <w:rPr>
          <w:color w:val="231F20"/>
          <w:spacing w:val="-23"/>
          <w:w w:val="105"/>
        </w:rPr>
        <w:t> </w:t>
      </w:r>
      <w:r>
        <w:rPr>
          <w:color w:val="231F20"/>
          <w:w w:val="105"/>
        </w:rPr>
        <w:t>en</w:t>
      </w:r>
      <w:r>
        <w:rPr>
          <w:color w:val="231F20"/>
          <w:spacing w:val="-23"/>
          <w:w w:val="105"/>
        </w:rPr>
        <w:t> </w:t>
      </w:r>
      <w:r>
        <w:rPr>
          <w:color w:val="231F20"/>
          <w:w w:val="105"/>
        </w:rPr>
        <w:t>principios</w:t>
      </w:r>
      <w:r>
        <w:rPr>
          <w:color w:val="231F20"/>
          <w:spacing w:val="-23"/>
          <w:w w:val="105"/>
        </w:rPr>
        <w:t> </w:t>
      </w:r>
      <w:r>
        <w:rPr>
          <w:color w:val="231F20"/>
          <w:w w:val="105"/>
        </w:rPr>
        <w:t>democráticos.</w:t>
      </w:r>
      <w:r>
        <w:rPr>
          <w:color w:val="231F20"/>
          <w:spacing w:val="-23"/>
          <w:w w:val="105"/>
        </w:rPr>
        <w:t> </w:t>
      </w:r>
      <w:r>
        <w:rPr>
          <w:color w:val="231F20"/>
          <w:w w:val="105"/>
        </w:rPr>
        <w:t>Aunque</w:t>
      </w:r>
      <w:r>
        <w:rPr>
          <w:color w:val="231F20"/>
          <w:spacing w:val="-23"/>
          <w:w w:val="105"/>
        </w:rPr>
        <w:t> </w:t>
      </w:r>
      <w:r>
        <w:rPr>
          <w:color w:val="231F20"/>
          <w:w w:val="105"/>
        </w:rPr>
        <w:t>sus</w:t>
      </w:r>
      <w:r>
        <w:rPr>
          <w:color w:val="231F20"/>
          <w:spacing w:val="-23"/>
          <w:w w:val="105"/>
        </w:rPr>
        <w:t> </w:t>
      </w:r>
      <w:r>
        <w:rPr>
          <w:color w:val="231F20"/>
          <w:w w:val="105"/>
        </w:rPr>
        <w:t>avances</w:t>
      </w:r>
      <w:r>
        <w:rPr>
          <w:color w:val="231F20"/>
          <w:spacing w:val="-23"/>
          <w:w w:val="105"/>
        </w:rPr>
        <w:t> </w:t>
      </w:r>
      <w:r>
        <w:rPr>
          <w:color w:val="231F20"/>
          <w:w w:val="105"/>
        </w:rPr>
        <w:t>formales</w:t>
      </w:r>
      <w:r>
        <w:rPr>
          <w:color w:val="231F20"/>
          <w:spacing w:val="-23"/>
          <w:w w:val="105"/>
        </w:rPr>
        <w:t> </w:t>
      </w:r>
      <w:r>
        <w:rPr>
          <w:color w:val="231F20"/>
          <w:w w:val="105"/>
        </w:rPr>
        <w:t>son importantes, la transparencia sigue </w:t>
      </w:r>
      <w:r>
        <w:rPr>
          <w:color w:val="231F20"/>
          <w:spacing w:val="-3"/>
          <w:w w:val="105"/>
        </w:rPr>
        <w:t>siendo, </w:t>
      </w:r>
      <w:r>
        <w:rPr>
          <w:color w:val="231F20"/>
          <w:w w:val="105"/>
        </w:rPr>
        <w:t>cuando menos, obstaculizada por cuadros burocráticos</w:t>
      </w:r>
      <w:r>
        <w:rPr>
          <w:color w:val="231F20"/>
          <w:spacing w:val="-10"/>
          <w:w w:val="105"/>
        </w:rPr>
        <w:t> </w:t>
      </w:r>
      <w:r>
        <w:rPr>
          <w:color w:val="231F20"/>
          <w:w w:val="105"/>
        </w:rPr>
        <w:t>que</w:t>
      </w:r>
      <w:r>
        <w:rPr>
          <w:color w:val="231F20"/>
          <w:spacing w:val="-10"/>
          <w:w w:val="105"/>
        </w:rPr>
        <w:t> </w:t>
      </w:r>
      <w:r>
        <w:rPr>
          <w:color w:val="231F20"/>
          <w:w w:val="105"/>
        </w:rPr>
        <w:t>tienen</w:t>
      </w:r>
      <w:r>
        <w:rPr>
          <w:color w:val="231F20"/>
          <w:spacing w:val="-10"/>
          <w:w w:val="105"/>
        </w:rPr>
        <w:t> </w:t>
      </w:r>
      <w:r>
        <w:rPr>
          <w:color w:val="231F20"/>
          <w:w w:val="105"/>
        </w:rPr>
        <w:t>valores</w:t>
      </w:r>
      <w:r>
        <w:rPr>
          <w:color w:val="231F20"/>
          <w:spacing w:val="-10"/>
          <w:w w:val="105"/>
        </w:rPr>
        <w:t> </w:t>
      </w:r>
      <w:r>
        <w:rPr>
          <w:color w:val="231F20"/>
          <w:w w:val="105"/>
        </w:rPr>
        <w:t>y</w:t>
      </w:r>
      <w:r>
        <w:rPr>
          <w:color w:val="231F20"/>
          <w:spacing w:val="-10"/>
          <w:w w:val="105"/>
        </w:rPr>
        <w:t> </w:t>
      </w:r>
      <w:r>
        <w:rPr>
          <w:color w:val="231F20"/>
          <w:w w:val="105"/>
        </w:rPr>
        <w:t>prácticas</w:t>
      </w:r>
      <w:r>
        <w:rPr>
          <w:color w:val="231F20"/>
          <w:spacing w:val="-10"/>
          <w:w w:val="105"/>
        </w:rPr>
        <w:t> </w:t>
      </w:r>
      <w:r>
        <w:rPr>
          <w:color w:val="231F20"/>
          <w:w w:val="105"/>
        </w:rPr>
        <w:t>autoritarias.</w:t>
      </w:r>
      <w:r>
        <w:rPr>
          <w:color w:val="231F20"/>
          <w:spacing w:val="-10"/>
          <w:w w:val="105"/>
        </w:rPr>
        <w:t> </w:t>
      </w:r>
      <w:r>
        <w:rPr>
          <w:color w:val="231F20"/>
          <w:w w:val="105"/>
        </w:rPr>
        <w:t>La</w:t>
      </w:r>
      <w:r>
        <w:rPr>
          <w:color w:val="231F20"/>
          <w:spacing w:val="-10"/>
          <w:w w:val="105"/>
        </w:rPr>
        <w:t> </w:t>
      </w:r>
      <w:r>
        <w:rPr>
          <w:color w:val="231F20"/>
          <w:w w:val="105"/>
        </w:rPr>
        <w:t>capacitación</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formación política de sus funcionarios no son tareas realizadas sistemáticamente por el panismo en</w:t>
      </w:r>
      <w:r>
        <w:rPr>
          <w:color w:val="231F20"/>
          <w:spacing w:val="-23"/>
          <w:w w:val="105"/>
        </w:rPr>
        <w:t> </w:t>
      </w:r>
      <w:r>
        <w:rPr>
          <w:color w:val="231F20"/>
          <w:w w:val="105"/>
        </w:rPr>
        <w:t>el</w:t>
      </w:r>
      <w:r>
        <w:rPr>
          <w:color w:val="231F20"/>
          <w:spacing w:val="-23"/>
          <w:w w:val="105"/>
        </w:rPr>
        <w:t> </w:t>
      </w:r>
      <w:r>
        <w:rPr>
          <w:color w:val="231F20"/>
          <w:spacing w:val="-2"/>
          <w:w w:val="105"/>
        </w:rPr>
        <w:t>poder.</w:t>
      </w:r>
      <w:r>
        <w:rPr>
          <w:color w:val="231F20"/>
          <w:spacing w:val="-23"/>
          <w:w w:val="105"/>
        </w:rPr>
        <w:t> </w:t>
      </w:r>
      <w:r>
        <w:rPr>
          <w:color w:val="231F20"/>
          <w:w w:val="105"/>
        </w:rPr>
        <w:t>Una</w:t>
      </w:r>
      <w:r>
        <w:rPr>
          <w:color w:val="231F20"/>
          <w:spacing w:val="-23"/>
          <w:w w:val="105"/>
        </w:rPr>
        <w:t> </w:t>
      </w:r>
      <w:r>
        <w:rPr>
          <w:color w:val="231F20"/>
          <w:w w:val="105"/>
        </w:rPr>
        <w:t>hipótesis</w:t>
      </w:r>
      <w:r>
        <w:rPr>
          <w:color w:val="231F20"/>
          <w:spacing w:val="-23"/>
          <w:w w:val="105"/>
        </w:rPr>
        <w:t> </w:t>
      </w:r>
      <w:r>
        <w:rPr>
          <w:color w:val="231F20"/>
          <w:w w:val="105"/>
        </w:rPr>
        <w:t>alternativa</w:t>
      </w:r>
      <w:r>
        <w:rPr>
          <w:color w:val="231F20"/>
          <w:spacing w:val="-23"/>
          <w:w w:val="105"/>
        </w:rPr>
        <w:t> </w:t>
      </w:r>
      <w:r>
        <w:rPr>
          <w:color w:val="231F20"/>
          <w:w w:val="105"/>
        </w:rPr>
        <w:t>sería</w:t>
      </w:r>
      <w:r>
        <w:rPr>
          <w:color w:val="231F20"/>
          <w:spacing w:val="-23"/>
          <w:w w:val="105"/>
        </w:rPr>
        <w:t> </w:t>
      </w:r>
      <w:r>
        <w:rPr>
          <w:color w:val="231F20"/>
          <w:w w:val="105"/>
        </w:rPr>
        <w:t>que</w:t>
      </w:r>
      <w:r>
        <w:rPr>
          <w:color w:val="231F20"/>
          <w:spacing w:val="-23"/>
          <w:w w:val="105"/>
        </w:rPr>
        <w:t> </w:t>
      </w:r>
      <w:r>
        <w:rPr>
          <w:color w:val="231F20"/>
          <w:w w:val="105"/>
        </w:rPr>
        <w:t>las</w:t>
      </w:r>
      <w:r>
        <w:rPr>
          <w:color w:val="231F20"/>
          <w:spacing w:val="-23"/>
          <w:w w:val="105"/>
        </w:rPr>
        <w:t> </w:t>
      </w:r>
      <w:r>
        <w:rPr>
          <w:color w:val="231F20"/>
          <w:w w:val="105"/>
        </w:rPr>
        <w:t>convicciones</w:t>
      </w:r>
      <w:r>
        <w:rPr>
          <w:color w:val="231F20"/>
          <w:spacing w:val="-23"/>
          <w:w w:val="105"/>
        </w:rPr>
        <w:t> </w:t>
      </w:r>
      <w:r>
        <w:rPr>
          <w:color w:val="231F20"/>
          <w:w w:val="105"/>
        </w:rPr>
        <w:t>democráticas</w:t>
      </w:r>
      <w:r>
        <w:rPr>
          <w:color w:val="231F20"/>
          <w:spacing w:val="-23"/>
          <w:w w:val="105"/>
        </w:rPr>
        <w:t> </w:t>
      </w:r>
      <w:r>
        <w:rPr>
          <w:color w:val="231F20"/>
          <w:w w:val="105"/>
        </w:rPr>
        <w:t>de</w:t>
      </w:r>
      <w:r>
        <w:rPr>
          <w:color w:val="231F20"/>
          <w:spacing w:val="-23"/>
          <w:w w:val="105"/>
        </w:rPr>
        <w:t> </w:t>
      </w:r>
      <w:r>
        <w:rPr>
          <w:color w:val="231F20"/>
          <w:w w:val="105"/>
        </w:rPr>
        <w:t>Acción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Nacional</w:t>
      </w:r>
      <w:r>
        <w:rPr>
          <w:color w:val="231F20"/>
          <w:spacing w:val="-5"/>
          <w:w w:val="105"/>
        </w:rPr>
        <w:t> </w:t>
      </w:r>
      <w:r>
        <w:rPr>
          <w:color w:val="231F20"/>
          <w:w w:val="105"/>
        </w:rPr>
        <w:t>respecto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trasparencia</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acceso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información</w:t>
      </w:r>
      <w:r>
        <w:rPr>
          <w:color w:val="231F20"/>
          <w:spacing w:val="-5"/>
          <w:w w:val="105"/>
        </w:rPr>
        <w:t> </w:t>
      </w:r>
      <w:r>
        <w:rPr>
          <w:color w:val="231F20"/>
          <w:w w:val="105"/>
        </w:rPr>
        <w:t>son</w:t>
      </w:r>
      <w:r>
        <w:rPr>
          <w:color w:val="231F20"/>
          <w:spacing w:val="-5"/>
          <w:w w:val="105"/>
        </w:rPr>
        <w:t> </w:t>
      </w:r>
      <w:r>
        <w:rPr>
          <w:color w:val="231F20"/>
          <w:w w:val="105"/>
        </w:rPr>
        <w:t>simplemente</w:t>
      </w:r>
      <w:r>
        <w:rPr>
          <w:color w:val="231F20"/>
          <w:spacing w:val="-5"/>
          <w:w w:val="105"/>
        </w:rPr>
        <w:t> </w:t>
      </w:r>
      <w:r>
        <w:rPr>
          <w:color w:val="231F20"/>
          <w:w w:val="105"/>
        </w:rPr>
        <w:t>po- siciones</w:t>
      </w:r>
      <w:r>
        <w:rPr>
          <w:color w:val="231F20"/>
          <w:spacing w:val="-12"/>
          <w:w w:val="105"/>
        </w:rPr>
        <w:t> </w:t>
      </w:r>
      <w:r>
        <w:rPr>
          <w:color w:val="231F20"/>
          <w:w w:val="105"/>
        </w:rPr>
        <w:t>políticamente</w:t>
      </w:r>
      <w:r>
        <w:rPr>
          <w:color w:val="231F20"/>
          <w:spacing w:val="-12"/>
          <w:w w:val="105"/>
        </w:rPr>
        <w:t> </w:t>
      </w:r>
      <w:r>
        <w:rPr>
          <w:color w:val="231F20"/>
          <w:w w:val="105"/>
        </w:rPr>
        <w:t>correctas,</w:t>
      </w:r>
      <w:r>
        <w:rPr>
          <w:color w:val="231F20"/>
          <w:spacing w:val="-12"/>
          <w:w w:val="105"/>
        </w:rPr>
        <w:t> </w:t>
      </w:r>
      <w:r>
        <w:rPr>
          <w:color w:val="231F20"/>
          <w:w w:val="105"/>
        </w:rPr>
        <w:t>para</w:t>
      </w:r>
      <w:r>
        <w:rPr>
          <w:color w:val="231F20"/>
          <w:spacing w:val="-12"/>
          <w:w w:val="105"/>
        </w:rPr>
        <w:t> </w:t>
      </w:r>
      <w:r>
        <w:rPr>
          <w:color w:val="231F20"/>
          <w:w w:val="105"/>
        </w:rPr>
        <w:t>sostener</w:t>
      </w:r>
      <w:r>
        <w:rPr>
          <w:color w:val="231F20"/>
          <w:spacing w:val="-12"/>
          <w:w w:val="105"/>
        </w:rPr>
        <w:t> </w:t>
      </w:r>
      <w:r>
        <w:rPr>
          <w:color w:val="231F20"/>
          <w:w w:val="105"/>
        </w:rPr>
        <w:t>una</w:t>
      </w:r>
      <w:r>
        <w:rPr>
          <w:color w:val="231F20"/>
          <w:spacing w:val="-12"/>
          <w:w w:val="105"/>
        </w:rPr>
        <w:t> </w:t>
      </w:r>
      <w:r>
        <w:rPr>
          <w:color w:val="231F20"/>
          <w:w w:val="105"/>
        </w:rPr>
        <w:t>fachada</w:t>
      </w:r>
      <w:r>
        <w:rPr>
          <w:color w:val="231F20"/>
          <w:spacing w:val="-12"/>
          <w:w w:val="105"/>
        </w:rPr>
        <w:t> </w:t>
      </w:r>
      <w:r>
        <w:rPr>
          <w:color w:val="231F20"/>
          <w:w w:val="105"/>
        </w:rPr>
        <w:t>liberal</w:t>
      </w:r>
      <w:r>
        <w:rPr>
          <w:color w:val="231F20"/>
          <w:spacing w:val="-12"/>
          <w:w w:val="105"/>
        </w:rPr>
        <w:t> </w:t>
      </w:r>
      <w:r>
        <w:rPr>
          <w:color w:val="231F20"/>
          <w:w w:val="105"/>
        </w:rPr>
        <w:t>que</w:t>
      </w:r>
      <w:r>
        <w:rPr>
          <w:color w:val="231F20"/>
          <w:spacing w:val="-12"/>
          <w:w w:val="105"/>
        </w:rPr>
        <w:t> </w:t>
      </w:r>
      <w:r>
        <w:rPr>
          <w:color w:val="231F20"/>
          <w:w w:val="105"/>
        </w:rPr>
        <w:t>le</w:t>
      </w:r>
      <w:r>
        <w:rPr>
          <w:color w:val="231F20"/>
          <w:spacing w:val="-12"/>
          <w:w w:val="105"/>
        </w:rPr>
        <w:t> </w:t>
      </w:r>
      <w:r>
        <w:rPr>
          <w:color w:val="231F20"/>
          <w:w w:val="105"/>
        </w:rPr>
        <w:t>reditúe</w:t>
      </w:r>
      <w:r>
        <w:rPr>
          <w:color w:val="231F20"/>
          <w:spacing w:val="-12"/>
          <w:w w:val="105"/>
        </w:rPr>
        <w:t> </w:t>
      </w:r>
      <w:r>
        <w:rPr>
          <w:color w:val="231F20"/>
          <w:w w:val="105"/>
        </w:rPr>
        <w:t>votos.</w:t>
      </w:r>
    </w:p>
    <w:p>
      <w:pPr>
        <w:pStyle w:val="BodyText"/>
        <w:spacing w:before="1"/>
        <w:rPr>
          <w:sz w:val="26"/>
        </w:rPr>
      </w:pPr>
    </w:p>
    <w:p>
      <w:pPr>
        <w:pStyle w:val="BodyText"/>
        <w:spacing w:line="285" w:lineRule="auto"/>
        <w:ind w:left="110" w:right="109"/>
        <w:jc w:val="both"/>
      </w:pPr>
      <w:r>
        <w:rPr>
          <w:color w:val="231F20"/>
          <w:w w:val="105"/>
        </w:rPr>
        <w:t>La</w:t>
      </w:r>
      <w:r>
        <w:rPr>
          <w:color w:val="231F20"/>
          <w:spacing w:val="-5"/>
          <w:w w:val="105"/>
        </w:rPr>
        <w:t> </w:t>
      </w:r>
      <w:r>
        <w:rPr>
          <w:color w:val="231F20"/>
          <w:spacing w:val="3"/>
          <w:w w:val="105"/>
        </w:rPr>
        <w:t>falta</w:t>
      </w:r>
      <w:r>
        <w:rPr>
          <w:color w:val="231F20"/>
          <w:spacing w:val="-5"/>
          <w:w w:val="105"/>
        </w:rPr>
        <w:t> </w:t>
      </w:r>
      <w:r>
        <w:rPr>
          <w:color w:val="231F20"/>
          <w:w w:val="105"/>
        </w:rPr>
        <w:t>de</w:t>
      </w:r>
      <w:r>
        <w:rPr>
          <w:color w:val="231F20"/>
          <w:spacing w:val="-5"/>
          <w:w w:val="105"/>
        </w:rPr>
        <w:t> </w:t>
      </w:r>
      <w:r>
        <w:rPr>
          <w:color w:val="231F20"/>
          <w:w w:val="105"/>
        </w:rPr>
        <w:t>consistencia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formación</w:t>
      </w:r>
      <w:r>
        <w:rPr>
          <w:color w:val="231F20"/>
          <w:spacing w:val="-5"/>
          <w:w w:val="105"/>
        </w:rPr>
        <w:t> </w:t>
      </w:r>
      <w:r>
        <w:rPr>
          <w:color w:val="231F20"/>
          <w:w w:val="105"/>
        </w:rPr>
        <w:t>de</w:t>
      </w:r>
      <w:r>
        <w:rPr>
          <w:color w:val="231F20"/>
          <w:spacing w:val="-5"/>
          <w:w w:val="105"/>
        </w:rPr>
        <w:t> </w:t>
      </w:r>
      <w:r>
        <w:rPr>
          <w:color w:val="231F20"/>
          <w:w w:val="105"/>
        </w:rPr>
        <w:t>cuadros</w:t>
      </w:r>
      <w:r>
        <w:rPr>
          <w:color w:val="231F20"/>
          <w:spacing w:val="-5"/>
          <w:w w:val="105"/>
        </w:rPr>
        <w:t> </w:t>
      </w:r>
      <w:r>
        <w:rPr>
          <w:color w:val="231F20"/>
          <w:w w:val="105"/>
        </w:rPr>
        <w:t>por</w:t>
      </w:r>
      <w:r>
        <w:rPr>
          <w:color w:val="231F20"/>
          <w:spacing w:val="-5"/>
          <w:w w:val="105"/>
        </w:rPr>
        <w:t> </w:t>
      </w:r>
      <w:r>
        <w:rPr>
          <w:color w:val="231F20"/>
          <w:spacing w:val="3"/>
          <w:w w:val="105"/>
        </w:rPr>
        <w:t>parte</w:t>
      </w:r>
      <w:r>
        <w:rPr>
          <w:color w:val="231F20"/>
          <w:spacing w:val="-5"/>
          <w:w w:val="105"/>
        </w:rPr>
        <w:t> </w:t>
      </w:r>
      <w:r>
        <w:rPr>
          <w:color w:val="231F20"/>
          <w:w w:val="105"/>
        </w:rPr>
        <w:t>del</w:t>
      </w:r>
      <w:r>
        <w:rPr>
          <w:color w:val="231F20"/>
          <w:spacing w:val="-5"/>
          <w:w w:val="105"/>
        </w:rPr>
        <w:t> </w:t>
      </w:r>
      <w:r>
        <w:rPr>
          <w:color w:val="231F20"/>
          <w:spacing w:val="-3"/>
          <w:w w:val="105"/>
        </w:rPr>
        <w:t>PAN</w:t>
      </w:r>
      <w:r>
        <w:rPr>
          <w:color w:val="231F20"/>
          <w:spacing w:val="-5"/>
          <w:w w:val="105"/>
        </w:rPr>
        <w:t> </w:t>
      </w:r>
      <w:r>
        <w:rPr>
          <w:color w:val="231F20"/>
          <w:w w:val="105"/>
        </w:rPr>
        <w:t>se</w:t>
      </w:r>
      <w:r>
        <w:rPr>
          <w:color w:val="231F20"/>
          <w:spacing w:val="-5"/>
          <w:w w:val="105"/>
        </w:rPr>
        <w:t> </w:t>
      </w:r>
      <w:r>
        <w:rPr>
          <w:color w:val="231F20"/>
          <w:w w:val="105"/>
        </w:rPr>
        <w:t>aprecia</w:t>
      </w:r>
      <w:r>
        <w:rPr>
          <w:color w:val="231F20"/>
          <w:spacing w:val="-5"/>
          <w:w w:val="105"/>
        </w:rPr>
        <w:t> </w:t>
      </w:r>
      <w:r>
        <w:rPr>
          <w:color w:val="231F20"/>
          <w:w w:val="105"/>
        </w:rPr>
        <w:t>en</w:t>
      </w:r>
      <w:r>
        <w:rPr>
          <w:color w:val="231F20"/>
          <w:spacing w:val="-5"/>
          <w:w w:val="105"/>
        </w:rPr>
        <w:t> </w:t>
      </w:r>
      <w:r>
        <w:rPr>
          <w:color w:val="231F20"/>
          <w:w w:val="105"/>
        </w:rPr>
        <w:t>el ejercicio de gobierno en </w:t>
      </w:r>
      <w:r>
        <w:rPr>
          <w:color w:val="231F20"/>
          <w:spacing w:val="3"/>
          <w:w w:val="105"/>
        </w:rPr>
        <w:t>algunos </w:t>
      </w:r>
      <w:r>
        <w:rPr>
          <w:color w:val="231F20"/>
          <w:spacing w:val="2"/>
          <w:w w:val="105"/>
        </w:rPr>
        <w:t>casos, </w:t>
      </w:r>
      <w:r>
        <w:rPr>
          <w:color w:val="231F20"/>
          <w:w w:val="105"/>
        </w:rPr>
        <w:t>como en el </w:t>
      </w:r>
      <w:r>
        <w:rPr>
          <w:color w:val="231F20"/>
          <w:spacing w:val="2"/>
          <w:w w:val="105"/>
        </w:rPr>
        <w:t>Atlautla. </w:t>
      </w:r>
      <w:r>
        <w:rPr>
          <w:color w:val="231F20"/>
          <w:w w:val="105"/>
        </w:rPr>
        <w:t>Fenómeno </w:t>
      </w:r>
      <w:r>
        <w:rPr>
          <w:color w:val="231F20"/>
          <w:spacing w:val="3"/>
          <w:w w:val="105"/>
        </w:rPr>
        <w:t>natural </w:t>
      </w:r>
      <w:r>
        <w:rPr>
          <w:color w:val="231F20"/>
          <w:w w:val="105"/>
        </w:rPr>
        <w:t>en el </w:t>
      </w:r>
      <w:r>
        <w:rPr>
          <w:color w:val="231F20"/>
          <w:spacing w:val="2"/>
          <w:w w:val="105"/>
        </w:rPr>
        <w:t>caso </w:t>
      </w:r>
      <w:r>
        <w:rPr>
          <w:color w:val="231F20"/>
          <w:w w:val="105"/>
        </w:rPr>
        <w:t>del primer acceso </w:t>
      </w:r>
      <w:r>
        <w:rPr>
          <w:color w:val="231F20"/>
          <w:spacing w:val="3"/>
          <w:w w:val="105"/>
        </w:rPr>
        <w:t>al </w:t>
      </w:r>
      <w:r>
        <w:rPr>
          <w:color w:val="231F20"/>
          <w:w w:val="105"/>
        </w:rPr>
        <w:t>poder en cierto municipio, pero no en donde su hegemonía es</w:t>
      </w:r>
      <w:r>
        <w:rPr>
          <w:color w:val="231F20"/>
          <w:spacing w:val="-21"/>
          <w:w w:val="105"/>
        </w:rPr>
        <w:t> </w:t>
      </w:r>
      <w:r>
        <w:rPr>
          <w:color w:val="231F20"/>
          <w:spacing w:val="2"/>
          <w:w w:val="105"/>
        </w:rPr>
        <w:t>indiscutible.</w:t>
      </w:r>
    </w:p>
    <w:p>
      <w:pPr>
        <w:pStyle w:val="BodyText"/>
        <w:spacing w:before="1"/>
        <w:rPr>
          <w:sz w:val="26"/>
        </w:rPr>
      </w:pPr>
    </w:p>
    <w:p>
      <w:pPr>
        <w:pStyle w:val="BodyText"/>
        <w:spacing w:line="285" w:lineRule="auto"/>
        <w:ind w:left="110" w:right="107"/>
        <w:jc w:val="both"/>
      </w:pPr>
      <w:r>
        <w:rPr>
          <w:color w:val="231F20"/>
          <w:w w:val="105"/>
        </w:rPr>
        <w:t>Los gobiernos del PRD destacan por su amplia obra pública, la cual es canalizada por las organizaciones sociales que pululan en su seno o que le son afines. Este partido muestra una recurrente capacidad de movilización al fomentar, prácticas clientelistas el uso de la propaganda para difundir sus obras es una constante, indispensable para la obtención de sufragios.</w:t>
      </w:r>
    </w:p>
    <w:p>
      <w:pPr>
        <w:pStyle w:val="BodyText"/>
        <w:spacing w:before="1"/>
        <w:rPr>
          <w:sz w:val="26"/>
        </w:rPr>
      </w:pPr>
    </w:p>
    <w:p>
      <w:pPr>
        <w:pStyle w:val="BodyText"/>
        <w:spacing w:line="285" w:lineRule="auto"/>
        <w:ind w:left="110" w:right="107"/>
        <w:jc w:val="both"/>
      </w:pPr>
      <w:r>
        <w:rPr>
          <w:color w:val="231F20"/>
        </w:rPr>
        <w:t>No es difícil ubicar la política social como prioridad del PRD en el gobierno municipal.  El elevado </w:t>
      </w:r>
      <w:r>
        <w:rPr>
          <w:color w:val="231F20"/>
          <w:spacing w:val="-3"/>
        </w:rPr>
        <w:t>monto </w:t>
      </w:r>
      <w:r>
        <w:rPr>
          <w:color w:val="231F20"/>
        </w:rPr>
        <w:t>de recursos y la extensa cobertura de los sectores beneficiados dan cuenta de ello, sin embargo, las acciones específicas no revelan un programa de </w:t>
      </w:r>
      <w:r>
        <w:rPr>
          <w:color w:val="231F20"/>
          <w:spacing w:val="-4"/>
        </w:rPr>
        <w:t>gobier-  </w:t>
      </w:r>
      <w:r>
        <w:rPr>
          <w:color w:val="231F20"/>
        </w:rPr>
        <w:t>no de largo plazo, ni siquiera en las plazas de dominio perredista </w:t>
      </w:r>
      <w:r>
        <w:rPr>
          <w:color w:val="231F20"/>
          <w:spacing w:val="-4"/>
        </w:rPr>
        <w:t>(como </w:t>
      </w:r>
      <w:r>
        <w:rPr>
          <w:color w:val="231F20"/>
        </w:rPr>
        <w:t>se aprecia en Nezahualcóyotl). </w:t>
      </w:r>
      <w:r>
        <w:rPr>
          <w:color w:val="231F20"/>
          <w:spacing w:val="-3"/>
        </w:rPr>
        <w:t>Por </w:t>
      </w:r>
      <w:r>
        <w:rPr>
          <w:color w:val="231F20"/>
        </w:rPr>
        <w:t>otro lado, </w:t>
      </w:r>
      <w:r>
        <w:rPr>
          <w:color w:val="231F20"/>
          <w:spacing w:val="2"/>
        </w:rPr>
        <w:t>al </w:t>
      </w:r>
      <w:r>
        <w:rPr>
          <w:color w:val="231F20"/>
        </w:rPr>
        <w:t>perder de </w:t>
      </w:r>
      <w:r>
        <w:rPr>
          <w:color w:val="231F20"/>
          <w:spacing w:val="2"/>
        </w:rPr>
        <w:t>vista </w:t>
      </w:r>
      <w:r>
        <w:rPr>
          <w:color w:val="231F20"/>
        </w:rPr>
        <w:t>ciertas necesidades, como el impulso  del desarrollo económico, el alcance de sus decisiones se queda corto y no contribuye decididamente, por </w:t>
      </w:r>
      <w:r>
        <w:rPr>
          <w:color w:val="231F20"/>
          <w:spacing w:val="-3"/>
        </w:rPr>
        <w:t>ejemplo,  </w:t>
      </w:r>
      <w:r>
        <w:rPr>
          <w:color w:val="231F20"/>
          <w:spacing w:val="2"/>
        </w:rPr>
        <w:t>al </w:t>
      </w:r>
      <w:r>
        <w:rPr>
          <w:color w:val="231F20"/>
          <w:spacing w:val="-3"/>
        </w:rPr>
        <w:t>fomento  </w:t>
      </w:r>
      <w:r>
        <w:rPr>
          <w:color w:val="231F20"/>
        </w:rPr>
        <w:t>del</w:t>
      </w:r>
      <w:r>
        <w:rPr>
          <w:color w:val="231F20"/>
          <w:spacing w:val="42"/>
        </w:rPr>
        <w:t> </w:t>
      </w:r>
      <w:r>
        <w:rPr>
          <w:color w:val="231F20"/>
        </w:rPr>
        <w:t>empleo.</w:t>
      </w:r>
    </w:p>
    <w:p>
      <w:pPr>
        <w:pStyle w:val="BodyText"/>
        <w:spacing w:before="1"/>
        <w:rPr>
          <w:sz w:val="26"/>
        </w:rPr>
      </w:pPr>
    </w:p>
    <w:p>
      <w:pPr>
        <w:pStyle w:val="BodyText"/>
        <w:spacing w:line="285" w:lineRule="auto"/>
        <w:ind w:left="110" w:right="108"/>
        <w:jc w:val="both"/>
      </w:pPr>
      <w:r>
        <w:rPr>
          <w:color w:val="231F20"/>
          <w:w w:val="105"/>
        </w:rPr>
        <w:t>Los presidentes municipales del partido tienen una evidente pertenencia a las co- rrientes políticas estatales. Esto es sintomático del funcionamiento del partido en la entidad, sobre todo si se considera que Nezahualcóyotl es el asiento regional más im- portante del perredismo mexiquense y de sus liderazgos estatales. Esta característica debilita la formación y capacitación de cuadros administrativos, pues los compromi- sos entre las corrientes pesan mucho más que otros criterios en la integración de la administración pública municipal.</w:t>
      </w:r>
    </w:p>
    <w:p>
      <w:pPr>
        <w:pStyle w:val="BodyText"/>
        <w:spacing w:before="1"/>
        <w:rPr>
          <w:sz w:val="26"/>
        </w:rPr>
      </w:pPr>
    </w:p>
    <w:p>
      <w:pPr>
        <w:pStyle w:val="BodyText"/>
        <w:ind w:left="110"/>
        <w:jc w:val="both"/>
      </w:pPr>
      <w:r>
        <w:rPr>
          <w:color w:val="231F20"/>
          <w:w w:val="105"/>
        </w:rPr>
        <w:t>La</w:t>
      </w:r>
      <w:r>
        <w:rPr>
          <w:color w:val="231F20"/>
          <w:spacing w:val="-16"/>
          <w:w w:val="105"/>
        </w:rPr>
        <w:t> </w:t>
      </w:r>
      <w:r>
        <w:rPr>
          <w:color w:val="231F20"/>
          <w:w w:val="105"/>
        </w:rPr>
        <w:t>participación</w:t>
      </w:r>
      <w:r>
        <w:rPr>
          <w:color w:val="231F20"/>
          <w:spacing w:val="-16"/>
          <w:w w:val="105"/>
        </w:rPr>
        <w:t> </w:t>
      </w:r>
      <w:r>
        <w:rPr>
          <w:color w:val="231F20"/>
          <w:w w:val="105"/>
        </w:rPr>
        <w:t>ciudadana</w:t>
      </w:r>
      <w:r>
        <w:rPr>
          <w:color w:val="231F20"/>
          <w:spacing w:val="-16"/>
          <w:w w:val="105"/>
        </w:rPr>
        <w:t> </w:t>
      </w:r>
      <w:r>
        <w:rPr>
          <w:color w:val="231F20"/>
          <w:w w:val="105"/>
        </w:rPr>
        <w:t>no</w:t>
      </w:r>
      <w:r>
        <w:rPr>
          <w:color w:val="231F20"/>
          <w:spacing w:val="-16"/>
          <w:w w:val="105"/>
        </w:rPr>
        <w:t> </w:t>
      </w:r>
      <w:r>
        <w:rPr>
          <w:color w:val="231F20"/>
          <w:w w:val="105"/>
        </w:rPr>
        <w:t>es</w:t>
      </w:r>
      <w:r>
        <w:rPr>
          <w:color w:val="231F20"/>
          <w:spacing w:val="-16"/>
          <w:w w:val="105"/>
        </w:rPr>
        <w:t> </w:t>
      </w:r>
      <w:r>
        <w:rPr>
          <w:color w:val="231F20"/>
          <w:w w:val="105"/>
        </w:rPr>
        <w:t>signo</w:t>
      </w:r>
      <w:r>
        <w:rPr>
          <w:color w:val="231F20"/>
          <w:spacing w:val="-16"/>
          <w:w w:val="105"/>
        </w:rPr>
        <w:t> </w:t>
      </w:r>
      <w:r>
        <w:rPr>
          <w:color w:val="231F20"/>
          <w:w w:val="105"/>
        </w:rPr>
        <w:t>característico</w:t>
      </w:r>
      <w:r>
        <w:rPr>
          <w:color w:val="231F20"/>
          <w:spacing w:val="-16"/>
          <w:w w:val="105"/>
        </w:rPr>
        <w:t> </w:t>
      </w:r>
      <w:r>
        <w:rPr>
          <w:color w:val="231F20"/>
          <w:w w:val="105"/>
        </w:rPr>
        <w:t>del</w:t>
      </w:r>
      <w:r>
        <w:rPr>
          <w:color w:val="231F20"/>
          <w:spacing w:val="-16"/>
          <w:w w:val="105"/>
        </w:rPr>
        <w:t> </w:t>
      </w:r>
      <w:r>
        <w:rPr>
          <w:color w:val="231F20"/>
          <w:w w:val="105"/>
        </w:rPr>
        <w:t>perredismo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poder,</w:t>
      </w:r>
      <w:r>
        <w:rPr>
          <w:color w:val="231F20"/>
          <w:spacing w:val="-16"/>
          <w:w w:val="105"/>
        </w:rPr>
        <w:t> </w:t>
      </w:r>
      <w:r>
        <w:rPr>
          <w:color w:val="231F20"/>
          <w:spacing w:val="2"/>
          <w:w w:val="105"/>
        </w:rPr>
        <w:t>al</w:t>
      </w:r>
      <w:r>
        <w:rPr>
          <w:color w:val="231F20"/>
          <w:spacing w:val="-16"/>
          <w:w w:val="105"/>
        </w:rPr>
        <w:t> </w:t>
      </w:r>
      <w:r>
        <w:rPr>
          <w:color w:val="231F20"/>
          <w:w w:val="105"/>
        </w:rPr>
        <w:t>me-</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nos</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casos</w:t>
      </w:r>
      <w:r>
        <w:rPr>
          <w:color w:val="231F20"/>
          <w:spacing w:val="-10"/>
          <w:w w:val="105"/>
        </w:rPr>
        <w:t> </w:t>
      </w:r>
      <w:r>
        <w:rPr>
          <w:color w:val="231F20"/>
          <w:w w:val="105"/>
        </w:rPr>
        <w:t>analizados.</w:t>
      </w:r>
      <w:r>
        <w:rPr>
          <w:color w:val="231F20"/>
          <w:spacing w:val="-10"/>
          <w:w w:val="105"/>
        </w:rPr>
        <w:t> </w:t>
      </w:r>
      <w:r>
        <w:rPr>
          <w:color w:val="231F20"/>
          <w:w w:val="105"/>
        </w:rPr>
        <w:t>Llama</w:t>
      </w:r>
      <w:r>
        <w:rPr>
          <w:color w:val="231F20"/>
          <w:spacing w:val="-10"/>
          <w:w w:val="105"/>
        </w:rPr>
        <w:t> </w:t>
      </w:r>
      <w:r>
        <w:rPr>
          <w:color w:val="231F20"/>
          <w:w w:val="105"/>
        </w:rPr>
        <w:t>la</w:t>
      </w:r>
      <w:r>
        <w:rPr>
          <w:color w:val="231F20"/>
          <w:spacing w:val="-10"/>
          <w:w w:val="105"/>
        </w:rPr>
        <w:t> </w:t>
      </w:r>
      <w:r>
        <w:rPr>
          <w:color w:val="231F20"/>
          <w:w w:val="105"/>
        </w:rPr>
        <w:t>atención</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sentido</w:t>
      </w:r>
      <w:r>
        <w:rPr>
          <w:color w:val="231F20"/>
          <w:spacing w:val="-10"/>
          <w:w w:val="105"/>
        </w:rPr>
        <w:t> </w:t>
      </w:r>
      <w:r>
        <w:rPr>
          <w:color w:val="231F20"/>
          <w:w w:val="105"/>
        </w:rPr>
        <w:t>colectivista</w:t>
      </w:r>
      <w:r>
        <w:rPr>
          <w:color w:val="231F20"/>
          <w:spacing w:val="-10"/>
          <w:w w:val="105"/>
        </w:rPr>
        <w:t> </w:t>
      </w:r>
      <w:r>
        <w:rPr>
          <w:color w:val="231F20"/>
          <w:w w:val="105"/>
        </w:rPr>
        <w:t>del</w:t>
      </w:r>
      <w:r>
        <w:rPr>
          <w:color w:val="231F20"/>
          <w:spacing w:val="-10"/>
          <w:w w:val="105"/>
        </w:rPr>
        <w:t> </w:t>
      </w:r>
      <w:r>
        <w:rPr>
          <w:color w:val="231F20"/>
          <w:w w:val="105"/>
        </w:rPr>
        <w:t>ideario</w:t>
      </w:r>
      <w:r>
        <w:rPr>
          <w:color w:val="231F20"/>
          <w:spacing w:val="-10"/>
          <w:w w:val="105"/>
        </w:rPr>
        <w:t> </w:t>
      </w:r>
      <w:r>
        <w:rPr>
          <w:color w:val="231F20"/>
          <w:w w:val="105"/>
        </w:rPr>
        <w:t>de este</w:t>
      </w:r>
      <w:r>
        <w:rPr>
          <w:color w:val="231F20"/>
          <w:spacing w:val="-16"/>
          <w:w w:val="105"/>
        </w:rPr>
        <w:t> </w:t>
      </w:r>
      <w:r>
        <w:rPr>
          <w:color w:val="231F20"/>
          <w:w w:val="105"/>
        </w:rPr>
        <w:t>partido</w:t>
      </w:r>
      <w:r>
        <w:rPr>
          <w:color w:val="231F20"/>
          <w:spacing w:val="-16"/>
          <w:w w:val="105"/>
        </w:rPr>
        <w:t> </w:t>
      </w:r>
      <w:r>
        <w:rPr>
          <w:color w:val="231F20"/>
          <w:w w:val="105"/>
        </w:rPr>
        <w:t>no</w:t>
      </w:r>
      <w:r>
        <w:rPr>
          <w:color w:val="231F20"/>
          <w:spacing w:val="-16"/>
          <w:w w:val="105"/>
        </w:rPr>
        <w:t> </w:t>
      </w:r>
      <w:r>
        <w:rPr>
          <w:color w:val="231F20"/>
          <w:w w:val="105"/>
        </w:rPr>
        <w:t>se</w:t>
      </w:r>
      <w:r>
        <w:rPr>
          <w:color w:val="231F20"/>
          <w:spacing w:val="-16"/>
          <w:w w:val="105"/>
        </w:rPr>
        <w:t> </w:t>
      </w:r>
      <w:r>
        <w:rPr>
          <w:color w:val="231F20"/>
          <w:w w:val="105"/>
        </w:rPr>
        <w:t>vea</w:t>
      </w:r>
      <w:r>
        <w:rPr>
          <w:color w:val="231F20"/>
          <w:spacing w:val="-16"/>
          <w:w w:val="105"/>
        </w:rPr>
        <w:t> </w:t>
      </w:r>
      <w:r>
        <w:rPr>
          <w:color w:val="231F20"/>
          <w:w w:val="105"/>
        </w:rPr>
        <w:t>reflejado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creación</w:t>
      </w:r>
      <w:r>
        <w:rPr>
          <w:color w:val="231F20"/>
          <w:spacing w:val="-16"/>
          <w:w w:val="105"/>
        </w:rPr>
        <w:t> </w:t>
      </w:r>
      <w:r>
        <w:rPr>
          <w:color w:val="231F20"/>
          <w:w w:val="105"/>
        </w:rPr>
        <w:t>o</w:t>
      </w:r>
      <w:r>
        <w:rPr>
          <w:color w:val="231F20"/>
          <w:spacing w:val="-16"/>
          <w:w w:val="105"/>
        </w:rPr>
        <w:t> </w:t>
      </w:r>
      <w:r>
        <w:rPr>
          <w:color w:val="231F20"/>
          <w:w w:val="105"/>
        </w:rPr>
        <w:t>ampliación</w:t>
      </w:r>
      <w:r>
        <w:rPr>
          <w:color w:val="231F20"/>
          <w:spacing w:val="-16"/>
          <w:w w:val="105"/>
        </w:rPr>
        <w:t> </w:t>
      </w:r>
      <w:r>
        <w:rPr>
          <w:color w:val="231F20"/>
          <w:w w:val="105"/>
        </w:rPr>
        <w:t>de</w:t>
      </w:r>
      <w:r>
        <w:rPr>
          <w:color w:val="231F20"/>
          <w:spacing w:val="-16"/>
          <w:w w:val="105"/>
        </w:rPr>
        <w:t> </w:t>
      </w:r>
      <w:r>
        <w:rPr>
          <w:color w:val="231F20"/>
          <w:w w:val="105"/>
        </w:rPr>
        <w:t>espacios</w:t>
      </w:r>
      <w:r>
        <w:rPr>
          <w:color w:val="231F20"/>
          <w:spacing w:val="-16"/>
          <w:w w:val="105"/>
        </w:rPr>
        <w:t> </w:t>
      </w:r>
      <w:r>
        <w:rPr>
          <w:color w:val="231F20"/>
          <w:w w:val="105"/>
        </w:rPr>
        <w:t>de</w:t>
      </w:r>
      <w:r>
        <w:rPr>
          <w:color w:val="231F20"/>
          <w:spacing w:val="-16"/>
          <w:w w:val="105"/>
        </w:rPr>
        <w:t> </w:t>
      </w:r>
      <w:r>
        <w:rPr>
          <w:color w:val="231F20"/>
          <w:w w:val="105"/>
        </w:rPr>
        <w:t>participación ciudadana</w:t>
      </w:r>
      <w:r>
        <w:rPr>
          <w:color w:val="231F20"/>
          <w:spacing w:val="-9"/>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caso</w:t>
      </w:r>
      <w:r>
        <w:rPr>
          <w:color w:val="231F20"/>
          <w:spacing w:val="-9"/>
          <w:w w:val="105"/>
        </w:rPr>
        <w:t> </w:t>
      </w:r>
      <w:r>
        <w:rPr>
          <w:color w:val="231F20"/>
          <w:w w:val="105"/>
        </w:rPr>
        <w:t>de</w:t>
      </w:r>
      <w:r>
        <w:rPr>
          <w:color w:val="231F20"/>
          <w:spacing w:val="-9"/>
          <w:w w:val="105"/>
        </w:rPr>
        <w:t> </w:t>
      </w:r>
      <w:r>
        <w:rPr>
          <w:color w:val="231F20"/>
          <w:w w:val="105"/>
        </w:rPr>
        <w:t>existir,</w:t>
      </w:r>
      <w:r>
        <w:rPr>
          <w:color w:val="231F20"/>
          <w:spacing w:val="-9"/>
          <w:w w:val="105"/>
        </w:rPr>
        <w:t> </w:t>
      </w:r>
      <w:r>
        <w:rPr>
          <w:color w:val="231F20"/>
          <w:w w:val="105"/>
        </w:rPr>
        <w:t>las</w:t>
      </w:r>
      <w:r>
        <w:rPr>
          <w:color w:val="231F20"/>
          <w:spacing w:val="-9"/>
          <w:w w:val="105"/>
        </w:rPr>
        <w:t> </w:t>
      </w:r>
      <w:r>
        <w:rPr>
          <w:color w:val="231F20"/>
          <w:w w:val="105"/>
        </w:rPr>
        <w:t>corrientes</w:t>
      </w:r>
      <w:r>
        <w:rPr>
          <w:color w:val="231F20"/>
          <w:spacing w:val="-9"/>
          <w:w w:val="105"/>
        </w:rPr>
        <w:t> </w:t>
      </w:r>
      <w:r>
        <w:rPr>
          <w:color w:val="231F20"/>
          <w:w w:val="105"/>
        </w:rPr>
        <w:t>políticas</w:t>
      </w:r>
      <w:r>
        <w:rPr>
          <w:color w:val="231F20"/>
          <w:spacing w:val="-9"/>
          <w:w w:val="105"/>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organizaciones</w:t>
      </w:r>
      <w:r>
        <w:rPr>
          <w:color w:val="231F20"/>
          <w:spacing w:val="-9"/>
          <w:w w:val="105"/>
        </w:rPr>
        <w:t> </w:t>
      </w:r>
      <w:r>
        <w:rPr>
          <w:color w:val="231F20"/>
          <w:w w:val="105"/>
        </w:rPr>
        <w:t>sociales</w:t>
      </w:r>
      <w:r>
        <w:rPr>
          <w:color w:val="231F20"/>
          <w:spacing w:val="-9"/>
          <w:w w:val="105"/>
        </w:rPr>
        <w:t> </w:t>
      </w:r>
      <w:r>
        <w:rPr>
          <w:color w:val="231F20"/>
          <w:w w:val="105"/>
        </w:rPr>
        <w:t>del partido tienden a coparlos, </w:t>
      </w:r>
      <w:r>
        <w:rPr>
          <w:color w:val="231F20"/>
          <w:spacing w:val="-3"/>
          <w:w w:val="105"/>
        </w:rPr>
        <w:t>reproduciendo </w:t>
      </w:r>
      <w:r>
        <w:rPr>
          <w:color w:val="231F20"/>
          <w:w w:val="105"/>
        </w:rPr>
        <w:t>una lógica clientelar y no ciudadana en la toma</w:t>
      </w:r>
      <w:r>
        <w:rPr>
          <w:color w:val="231F20"/>
          <w:spacing w:val="-8"/>
          <w:w w:val="105"/>
        </w:rPr>
        <w:t> </w:t>
      </w:r>
      <w:r>
        <w:rPr>
          <w:color w:val="231F20"/>
          <w:w w:val="105"/>
        </w:rPr>
        <w:t>de</w:t>
      </w:r>
      <w:r>
        <w:rPr>
          <w:color w:val="231F20"/>
          <w:spacing w:val="-8"/>
          <w:w w:val="105"/>
        </w:rPr>
        <w:t> </w:t>
      </w:r>
      <w:r>
        <w:rPr>
          <w:color w:val="231F20"/>
          <w:w w:val="105"/>
        </w:rPr>
        <w:t>decisiones.</w:t>
      </w:r>
      <w:r>
        <w:rPr>
          <w:color w:val="231F20"/>
          <w:spacing w:val="-8"/>
          <w:w w:val="105"/>
        </w:rPr>
        <w:t> </w:t>
      </w:r>
      <w:r>
        <w:rPr>
          <w:color w:val="231F20"/>
          <w:w w:val="105"/>
        </w:rPr>
        <w:t>Con</w:t>
      </w:r>
      <w:r>
        <w:rPr>
          <w:color w:val="231F20"/>
          <w:spacing w:val="-8"/>
          <w:w w:val="105"/>
        </w:rPr>
        <w:t> </w:t>
      </w:r>
      <w:r>
        <w:rPr>
          <w:color w:val="231F20"/>
          <w:w w:val="105"/>
        </w:rPr>
        <w:t>ello,</w:t>
      </w:r>
      <w:r>
        <w:rPr>
          <w:color w:val="231F20"/>
          <w:spacing w:val="-8"/>
          <w:w w:val="105"/>
        </w:rPr>
        <w:t> </w:t>
      </w:r>
      <w:r>
        <w:rPr>
          <w:color w:val="231F20"/>
          <w:w w:val="105"/>
        </w:rPr>
        <w:t>las</w:t>
      </w:r>
      <w:r>
        <w:rPr>
          <w:color w:val="231F20"/>
          <w:spacing w:val="-8"/>
          <w:w w:val="105"/>
        </w:rPr>
        <w:t> </w:t>
      </w:r>
      <w:r>
        <w:rPr>
          <w:color w:val="231F20"/>
          <w:w w:val="105"/>
        </w:rPr>
        <w:t>prácticas</w:t>
      </w:r>
      <w:r>
        <w:rPr>
          <w:color w:val="231F20"/>
          <w:spacing w:val="-8"/>
          <w:w w:val="105"/>
        </w:rPr>
        <w:t> </w:t>
      </w:r>
      <w:r>
        <w:rPr>
          <w:color w:val="231F20"/>
          <w:w w:val="105"/>
        </w:rPr>
        <w:t>de</w:t>
      </w:r>
      <w:r>
        <w:rPr>
          <w:color w:val="231F20"/>
          <w:spacing w:val="-8"/>
          <w:w w:val="105"/>
        </w:rPr>
        <w:t> </w:t>
      </w:r>
      <w:r>
        <w:rPr>
          <w:color w:val="231F20"/>
          <w:w w:val="105"/>
        </w:rPr>
        <w:t>corte</w:t>
      </w:r>
      <w:r>
        <w:rPr>
          <w:color w:val="231F20"/>
          <w:spacing w:val="-8"/>
          <w:w w:val="105"/>
        </w:rPr>
        <w:t> </w:t>
      </w:r>
      <w:r>
        <w:rPr>
          <w:color w:val="231F20"/>
          <w:w w:val="105"/>
        </w:rPr>
        <w:t>genuinamente</w:t>
      </w:r>
      <w:r>
        <w:rPr>
          <w:color w:val="231F20"/>
          <w:spacing w:val="-8"/>
          <w:w w:val="105"/>
        </w:rPr>
        <w:t> </w:t>
      </w:r>
      <w:r>
        <w:rPr>
          <w:color w:val="231F20"/>
          <w:w w:val="105"/>
        </w:rPr>
        <w:t>democrático</w:t>
      </w:r>
      <w:r>
        <w:rPr>
          <w:color w:val="231F20"/>
          <w:spacing w:val="-8"/>
          <w:w w:val="105"/>
        </w:rPr>
        <w:t> </w:t>
      </w:r>
      <w:r>
        <w:rPr>
          <w:color w:val="231F20"/>
          <w:w w:val="105"/>
        </w:rPr>
        <w:t>quedan supeditadas</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corrientes,</w:t>
      </w:r>
      <w:r>
        <w:rPr>
          <w:color w:val="231F20"/>
          <w:spacing w:val="-7"/>
          <w:w w:val="105"/>
        </w:rPr>
        <w:t> </w:t>
      </w:r>
      <w:r>
        <w:rPr>
          <w:color w:val="231F20"/>
          <w:w w:val="105"/>
        </w:rPr>
        <w:t>demeritando</w:t>
      </w:r>
      <w:r>
        <w:rPr>
          <w:color w:val="231F20"/>
          <w:spacing w:val="-7"/>
          <w:w w:val="105"/>
        </w:rPr>
        <w:t> </w:t>
      </w:r>
      <w:r>
        <w:rPr>
          <w:color w:val="231F20"/>
          <w:w w:val="105"/>
        </w:rPr>
        <w:t>la</w:t>
      </w:r>
      <w:r>
        <w:rPr>
          <w:color w:val="231F20"/>
          <w:spacing w:val="-7"/>
          <w:w w:val="105"/>
        </w:rPr>
        <w:t> </w:t>
      </w:r>
      <w:r>
        <w:rPr>
          <w:color w:val="231F20"/>
          <w:w w:val="105"/>
        </w:rPr>
        <w:t>participación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ciudadanos</w:t>
      </w:r>
      <w:r>
        <w:rPr>
          <w:color w:val="231F20"/>
          <w:spacing w:val="-7"/>
          <w:w w:val="105"/>
        </w:rPr>
        <w:t> </w:t>
      </w:r>
      <w:r>
        <w:rPr>
          <w:color w:val="231F20"/>
          <w:w w:val="105"/>
        </w:rPr>
        <w:t>en</w:t>
      </w:r>
      <w:r>
        <w:rPr>
          <w:color w:val="231F20"/>
          <w:spacing w:val="-7"/>
          <w:w w:val="105"/>
        </w:rPr>
        <w:t> </w:t>
      </w:r>
      <w:r>
        <w:rPr>
          <w:color w:val="231F20"/>
          <w:w w:val="105"/>
        </w:rPr>
        <w:t>lo</w:t>
      </w:r>
      <w:r>
        <w:rPr>
          <w:color w:val="231F20"/>
          <w:spacing w:val="-7"/>
          <w:w w:val="105"/>
        </w:rPr>
        <w:t> </w:t>
      </w:r>
      <w:r>
        <w:rPr>
          <w:color w:val="231F20"/>
          <w:w w:val="105"/>
        </w:rPr>
        <w:t>indi- vidual,</w:t>
      </w:r>
      <w:r>
        <w:rPr>
          <w:color w:val="231F20"/>
          <w:spacing w:val="-22"/>
          <w:w w:val="105"/>
        </w:rPr>
        <w:t> </w:t>
      </w:r>
      <w:r>
        <w:rPr>
          <w:color w:val="231F20"/>
          <w:w w:val="105"/>
        </w:rPr>
        <w:t>reduciéndola</w:t>
      </w:r>
      <w:r>
        <w:rPr>
          <w:color w:val="231F20"/>
          <w:spacing w:val="-22"/>
          <w:w w:val="105"/>
        </w:rPr>
        <w:t> </w:t>
      </w:r>
      <w:r>
        <w:rPr>
          <w:color w:val="231F20"/>
          <w:spacing w:val="2"/>
          <w:w w:val="105"/>
        </w:rPr>
        <w:t>al</w:t>
      </w:r>
      <w:r>
        <w:rPr>
          <w:color w:val="231F20"/>
          <w:spacing w:val="-22"/>
          <w:w w:val="105"/>
        </w:rPr>
        <w:t> </w:t>
      </w:r>
      <w:r>
        <w:rPr>
          <w:color w:val="231F20"/>
          <w:w w:val="105"/>
        </w:rPr>
        <w:t>simple</w:t>
      </w:r>
      <w:r>
        <w:rPr>
          <w:color w:val="231F20"/>
          <w:spacing w:val="-22"/>
          <w:w w:val="105"/>
        </w:rPr>
        <w:t> </w:t>
      </w:r>
      <w:r>
        <w:rPr>
          <w:color w:val="231F20"/>
          <w:w w:val="105"/>
        </w:rPr>
        <w:t>acto</w:t>
      </w:r>
      <w:r>
        <w:rPr>
          <w:color w:val="231F20"/>
          <w:spacing w:val="-22"/>
          <w:w w:val="105"/>
        </w:rPr>
        <w:t> </w:t>
      </w:r>
      <w:r>
        <w:rPr>
          <w:color w:val="231F20"/>
          <w:w w:val="105"/>
        </w:rPr>
        <w:t>de</w:t>
      </w:r>
      <w:r>
        <w:rPr>
          <w:color w:val="231F20"/>
          <w:spacing w:val="-22"/>
          <w:w w:val="105"/>
        </w:rPr>
        <w:t> </w:t>
      </w:r>
      <w:r>
        <w:rPr>
          <w:color w:val="231F20"/>
          <w:w w:val="105"/>
        </w:rPr>
        <w:t>votar.</w:t>
      </w:r>
    </w:p>
    <w:p>
      <w:pPr>
        <w:pStyle w:val="BodyText"/>
        <w:spacing w:before="1"/>
        <w:rPr>
          <w:sz w:val="26"/>
        </w:rPr>
      </w:pPr>
    </w:p>
    <w:p>
      <w:pPr>
        <w:pStyle w:val="BodyText"/>
        <w:spacing w:line="285" w:lineRule="auto"/>
        <w:ind w:left="110" w:right="108"/>
        <w:jc w:val="both"/>
      </w:pPr>
      <w:r>
        <w:rPr>
          <w:color w:val="231F20"/>
          <w:w w:val="105"/>
        </w:rPr>
        <w:t>En el único caso de un gobierno de un partido minoritario se percibe la poca capacita- 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cuadros</w:t>
      </w:r>
      <w:r>
        <w:rPr>
          <w:color w:val="231F20"/>
          <w:spacing w:val="-13"/>
          <w:w w:val="105"/>
        </w:rPr>
        <w:t> </w:t>
      </w:r>
      <w:r>
        <w:rPr>
          <w:color w:val="231F20"/>
          <w:w w:val="105"/>
        </w:rPr>
        <w:t>administrativos,</w:t>
      </w:r>
      <w:r>
        <w:rPr>
          <w:color w:val="231F20"/>
          <w:spacing w:val="-13"/>
          <w:w w:val="105"/>
        </w:rPr>
        <w:t> </w:t>
      </w:r>
      <w:r>
        <w:rPr>
          <w:color w:val="231F20"/>
          <w:w w:val="105"/>
        </w:rPr>
        <w:t>producto</w:t>
      </w:r>
      <w:r>
        <w:rPr>
          <w:color w:val="231F20"/>
          <w:spacing w:val="-13"/>
          <w:w w:val="105"/>
        </w:rPr>
        <w:t> </w:t>
      </w:r>
      <w:r>
        <w:rPr>
          <w:color w:val="231F20"/>
          <w:w w:val="105"/>
        </w:rPr>
        <w:t>probablemente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incipiente</w:t>
      </w:r>
      <w:r>
        <w:rPr>
          <w:color w:val="231F20"/>
          <w:spacing w:val="-13"/>
          <w:w w:val="105"/>
        </w:rPr>
        <w:t> </w:t>
      </w:r>
      <w:r>
        <w:rPr>
          <w:color w:val="231F20"/>
          <w:w w:val="105"/>
        </w:rPr>
        <w:t>experien- cia del partido en el ejercicio del </w:t>
      </w:r>
      <w:r>
        <w:rPr>
          <w:color w:val="231F20"/>
          <w:spacing w:val="-2"/>
          <w:w w:val="105"/>
        </w:rPr>
        <w:t>poder. </w:t>
      </w:r>
      <w:r>
        <w:rPr>
          <w:color w:val="231F20"/>
          <w:spacing w:val="-3"/>
          <w:w w:val="105"/>
        </w:rPr>
        <w:t>Por </w:t>
      </w:r>
      <w:r>
        <w:rPr>
          <w:color w:val="231F20"/>
          <w:w w:val="105"/>
        </w:rPr>
        <w:t>otro lado, se cumple con las formalidades del</w:t>
      </w:r>
      <w:r>
        <w:rPr>
          <w:color w:val="231F20"/>
          <w:spacing w:val="-4"/>
          <w:w w:val="105"/>
        </w:rPr>
        <w:t> </w:t>
      </w:r>
      <w:r>
        <w:rPr>
          <w:color w:val="231F20"/>
          <w:w w:val="105"/>
        </w:rPr>
        <w:t>ejercicio</w:t>
      </w:r>
      <w:r>
        <w:rPr>
          <w:color w:val="231F20"/>
          <w:spacing w:val="-4"/>
          <w:w w:val="105"/>
        </w:rPr>
        <w:t> </w:t>
      </w:r>
      <w:r>
        <w:rPr>
          <w:color w:val="231F20"/>
          <w:w w:val="105"/>
        </w:rPr>
        <w:t>del</w:t>
      </w:r>
      <w:r>
        <w:rPr>
          <w:color w:val="231F20"/>
          <w:spacing w:val="-4"/>
          <w:w w:val="105"/>
        </w:rPr>
        <w:t> </w:t>
      </w:r>
      <w:r>
        <w:rPr>
          <w:color w:val="231F20"/>
          <w:spacing w:val="-3"/>
          <w:w w:val="105"/>
        </w:rPr>
        <w:t>poder,</w:t>
      </w:r>
      <w:r>
        <w:rPr>
          <w:color w:val="231F20"/>
          <w:spacing w:val="-4"/>
          <w:w w:val="105"/>
        </w:rPr>
        <w:t> </w:t>
      </w:r>
      <w:r>
        <w:rPr>
          <w:color w:val="231F20"/>
          <w:w w:val="105"/>
        </w:rPr>
        <w:t>pero</w:t>
      </w:r>
      <w:r>
        <w:rPr>
          <w:color w:val="231F20"/>
          <w:spacing w:val="-4"/>
          <w:w w:val="105"/>
        </w:rPr>
        <w:t> </w:t>
      </w:r>
      <w:r>
        <w:rPr>
          <w:color w:val="231F20"/>
          <w:w w:val="105"/>
        </w:rPr>
        <w:t>sin</w:t>
      </w:r>
      <w:r>
        <w:rPr>
          <w:color w:val="231F20"/>
          <w:spacing w:val="-4"/>
          <w:w w:val="105"/>
        </w:rPr>
        <w:t> </w:t>
      </w:r>
      <w:r>
        <w:rPr>
          <w:color w:val="231F20"/>
          <w:w w:val="105"/>
        </w:rPr>
        <w:t>el</w:t>
      </w:r>
      <w:r>
        <w:rPr>
          <w:color w:val="231F20"/>
          <w:spacing w:val="-4"/>
          <w:w w:val="105"/>
        </w:rPr>
        <w:t> </w:t>
      </w:r>
      <w:r>
        <w:rPr>
          <w:color w:val="231F20"/>
          <w:w w:val="105"/>
        </w:rPr>
        <w:t>peso</w:t>
      </w:r>
      <w:r>
        <w:rPr>
          <w:color w:val="231F20"/>
          <w:spacing w:val="-4"/>
          <w:w w:val="105"/>
        </w:rPr>
        <w:t> </w:t>
      </w:r>
      <w:r>
        <w:rPr>
          <w:color w:val="231F20"/>
          <w:w w:val="105"/>
        </w:rPr>
        <w:t>determinante</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principios</w:t>
      </w:r>
      <w:r>
        <w:rPr>
          <w:color w:val="231F20"/>
          <w:spacing w:val="-4"/>
          <w:w w:val="105"/>
        </w:rPr>
        <w:t> </w:t>
      </w:r>
      <w:r>
        <w:rPr>
          <w:color w:val="231F20"/>
          <w:w w:val="105"/>
        </w:rPr>
        <w:t>doctrinarios</w:t>
      </w:r>
      <w:r>
        <w:rPr>
          <w:color w:val="231F20"/>
          <w:spacing w:val="-4"/>
          <w:w w:val="105"/>
        </w:rPr>
        <w:t> </w:t>
      </w:r>
      <w:r>
        <w:rPr>
          <w:color w:val="231F20"/>
          <w:w w:val="105"/>
        </w:rPr>
        <w:t>del </w:t>
      </w:r>
      <w:r>
        <w:rPr>
          <w:color w:val="231F20"/>
          <w:spacing w:val="-5"/>
          <w:w w:val="105"/>
        </w:rPr>
        <w:t>PT.</w:t>
      </w:r>
      <w:r>
        <w:rPr>
          <w:color w:val="231F20"/>
          <w:spacing w:val="-9"/>
          <w:w w:val="105"/>
        </w:rPr>
        <w:t> </w:t>
      </w:r>
      <w:r>
        <w:rPr>
          <w:color w:val="231F20"/>
          <w:w w:val="105"/>
        </w:rPr>
        <w:t>La</w:t>
      </w:r>
      <w:r>
        <w:rPr>
          <w:color w:val="231F20"/>
          <w:spacing w:val="-9"/>
          <w:w w:val="105"/>
        </w:rPr>
        <w:t> </w:t>
      </w:r>
      <w:r>
        <w:rPr>
          <w:color w:val="231F20"/>
          <w:w w:val="105"/>
        </w:rPr>
        <w:t>obra</w:t>
      </w:r>
      <w:r>
        <w:rPr>
          <w:color w:val="231F20"/>
          <w:spacing w:val="-9"/>
          <w:w w:val="105"/>
        </w:rPr>
        <w:t> </w:t>
      </w:r>
      <w:r>
        <w:rPr>
          <w:color w:val="231F20"/>
          <w:w w:val="105"/>
        </w:rPr>
        <w:t>pública</w:t>
      </w:r>
      <w:r>
        <w:rPr>
          <w:color w:val="231F20"/>
          <w:spacing w:val="-9"/>
          <w:w w:val="105"/>
        </w:rPr>
        <w:t> </w:t>
      </w:r>
      <w:r>
        <w:rPr>
          <w:color w:val="231F20"/>
          <w:w w:val="105"/>
        </w:rPr>
        <w:t>es</w:t>
      </w:r>
      <w:r>
        <w:rPr>
          <w:color w:val="231F20"/>
          <w:spacing w:val="-9"/>
          <w:w w:val="105"/>
        </w:rPr>
        <w:t> </w:t>
      </w:r>
      <w:r>
        <w:rPr>
          <w:color w:val="231F20"/>
          <w:w w:val="105"/>
        </w:rPr>
        <w:t>su</w:t>
      </w:r>
      <w:r>
        <w:rPr>
          <w:color w:val="231F20"/>
          <w:spacing w:val="-9"/>
          <w:w w:val="105"/>
        </w:rPr>
        <w:t> </w:t>
      </w:r>
      <w:r>
        <w:rPr>
          <w:color w:val="231F20"/>
          <w:w w:val="105"/>
        </w:rPr>
        <w:t>prioridad,</w:t>
      </w:r>
      <w:r>
        <w:rPr>
          <w:color w:val="231F20"/>
          <w:spacing w:val="-9"/>
          <w:w w:val="105"/>
        </w:rPr>
        <w:t> </w:t>
      </w:r>
      <w:r>
        <w:rPr>
          <w:color w:val="231F20"/>
          <w:w w:val="105"/>
        </w:rPr>
        <w:t>aunque</w:t>
      </w:r>
      <w:r>
        <w:rPr>
          <w:color w:val="231F20"/>
          <w:spacing w:val="-9"/>
          <w:w w:val="105"/>
        </w:rPr>
        <w:t> </w:t>
      </w:r>
      <w:r>
        <w:rPr>
          <w:color w:val="231F20"/>
          <w:w w:val="105"/>
        </w:rPr>
        <w:t>las</w:t>
      </w:r>
      <w:r>
        <w:rPr>
          <w:color w:val="231F20"/>
          <w:spacing w:val="-9"/>
          <w:w w:val="105"/>
        </w:rPr>
        <w:t> </w:t>
      </w:r>
      <w:r>
        <w:rPr>
          <w:color w:val="231F20"/>
          <w:w w:val="105"/>
        </w:rPr>
        <w:t>características</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w w:val="105"/>
        </w:rPr>
        <w:t>y</w:t>
      </w:r>
      <w:r>
        <w:rPr>
          <w:color w:val="231F20"/>
          <w:spacing w:val="-9"/>
          <w:w w:val="105"/>
        </w:rPr>
        <w:t> </w:t>
      </w:r>
      <w:r>
        <w:rPr>
          <w:color w:val="231F20"/>
          <w:w w:val="105"/>
        </w:rPr>
        <w:t>su</w:t>
      </w:r>
      <w:r>
        <w:rPr>
          <w:color w:val="231F20"/>
          <w:spacing w:val="-9"/>
          <w:w w:val="105"/>
        </w:rPr>
        <w:t> </w:t>
      </w:r>
      <w:r>
        <w:rPr>
          <w:color w:val="231F20"/>
          <w:w w:val="105"/>
        </w:rPr>
        <w:t>redu- cido</w:t>
      </w:r>
      <w:r>
        <w:rPr>
          <w:color w:val="231F20"/>
          <w:spacing w:val="-14"/>
          <w:w w:val="105"/>
        </w:rPr>
        <w:t> </w:t>
      </w:r>
      <w:r>
        <w:rPr>
          <w:color w:val="231F20"/>
          <w:w w:val="105"/>
        </w:rPr>
        <w:t>presupuesto</w:t>
      </w:r>
      <w:r>
        <w:rPr>
          <w:color w:val="231F20"/>
          <w:spacing w:val="-14"/>
          <w:w w:val="105"/>
        </w:rPr>
        <w:t> </w:t>
      </w:r>
      <w:r>
        <w:rPr>
          <w:color w:val="231F20"/>
          <w:w w:val="105"/>
        </w:rPr>
        <w:t>restringen</w:t>
      </w:r>
      <w:r>
        <w:rPr>
          <w:color w:val="231F20"/>
          <w:spacing w:val="-14"/>
          <w:w w:val="105"/>
        </w:rPr>
        <w:t> </w:t>
      </w:r>
      <w:r>
        <w:rPr>
          <w:color w:val="231F20"/>
          <w:w w:val="105"/>
        </w:rPr>
        <w:t>su</w:t>
      </w:r>
      <w:r>
        <w:rPr>
          <w:color w:val="231F20"/>
          <w:spacing w:val="-14"/>
          <w:w w:val="105"/>
        </w:rPr>
        <w:t> </w:t>
      </w:r>
      <w:r>
        <w:rPr>
          <w:color w:val="231F20"/>
          <w:w w:val="105"/>
        </w:rPr>
        <w:t>cobertura.</w:t>
      </w:r>
      <w:r>
        <w:rPr>
          <w:color w:val="231F20"/>
          <w:spacing w:val="-14"/>
          <w:w w:val="105"/>
        </w:rPr>
        <w:t> </w:t>
      </w:r>
      <w:r>
        <w:rPr>
          <w:color w:val="231F20"/>
          <w:w w:val="105"/>
        </w:rPr>
        <w:t>Algo</w:t>
      </w:r>
      <w:r>
        <w:rPr>
          <w:color w:val="231F20"/>
          <w:spacing w:val="-14"/>
          <w:w w:val="105"/>
        </w:rPr>
        <w:t> </w:t>
      </w:r>
      <w:r>
        <w:rPr>
          <w:color w:val="231F20"/>
          <w:w w:val="105"/>
        </w:rPr>
        <w:t>que</w:t>
      </w:r>
      <w:r>
        <w:rPr>
          <w:color w:val="231F20"/>
          <w:spacing w:val="-14"/>
          <w:w w:val="105"/>
        </w:rPr>
        <w:t> </w:t>
      </w:r>
      <w:r>
        <w:rPr>
          <w:color w:val="231F20"/>
          <w:w w:val="105"/>
        </w:rPr>
        <w:t>llama</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es</w:t>
      </w:r>
      <w:r>
        <w:rPr>
          <w:color w:val="231F20"/>
          <w:spacing w:val="-14"/>
          <w:w w:val="105"/>
        </w:rPr>
        <w:t> </w:t>
      </w:r>
      <w:r>
        <w:rPr>
          <w:color w:val="231F20"/>
          <w:w w:val="105"/>
        </w:rPr>
        <w:t>el</w:t>
      </w:r>
      <w:r>
        <w:rPr>
          <w:color w:val="231F20"/>
          <w:spacing w:val="-14"/>
          <w:w w:val="105"/>
        </w:rPr>
        <w:t> </w:t>
      </w:r>
      <w:r>
        <w:rPr>
          <w:color w:val="231F20"/>
          <w:w w:val="105"/>
        </w:rPr>
        <w:t>hecho</w:t>
      </w:r>
      <w:r>
        <w:rPr>
          <w:color w:val="231F20"/>
          <w:spacing w:val="-14"/>
          <w:w w:val="105"/>
        </w:rPr>
        <w:t> </w:t>
      </w:r>
      <w:r>
        <w:rPr>
          <w:color w:val="231F20"/>
          <w:w w:val="105"/>
        </w:rPr>
        <w:t>de</w:t>
      </w:r>
      <w:r>
        <w:rPr>
          <w:color w:val="231F20"/>
          <w:spacing w:val="-14"/>
          <w:w w:val="105"/>
        </w:rPr>
        <w:t> </w:t>
      </w:r>
      <w:r>
        <w:rPr>
          <w:color w:val="231F20"/>
          <w:w w:val="105"/>
        </w:rPr>
        <w:t>que tampoco hay un fuerte impulso de la participación ciudadana, cuando la orientación izquierdista</w:t>
      </w:r>
      <w:r>
        <w:rPr>
          <w:color w:val="231F20"/>
          <w:spacing w:val="-17"/>
          <w:w w:val="105"/>
        </w:rPr>
        <w:t> </w:t>
      </w:r>
      <w:r>
        <w:rPr>
          <w:color w:val="231F20"/>
          <w:w w:val="105"/>
        </w:rPr>
        <w:t>del</w:t>
      </w:r>
      <w:r>
        <w:rPr>
          <w:color w:val="231F20"/>
          <w:spacing w:val="-17"/>
          <w:w w:val="105"/>
        </w:rPr>
        <w:t> </w:t>
      </w:r>
      <w:r>
        <w:rPr>
          <w:color w:val="231F20"/>
          <w:w w:val="105"/>
        </w:rPr>
        <w:t>partido</w:t>
      </w:r>
      <w:r>
        <w:rPr>
          <w:color w:val="231F20"/>
          <w:spacing w:val="-17"/>
          <w:w w:val="105"/>
        </w:rPr>
        <w:t> </w:t>
      </w:r>
      <w:r>
        <w:rPr>
          <w:color w:val="231F20"/>
          <w:w w:val="105"/>
        </w:rPr>
        <w:t>alude</w:t>
      </w:r>
      <w:r>
        <w:rPr>
          <w:color w:val="231F20"/>
          <w:spacing w:val="-17"/>
          <w:w w:val="105"/>
        </w:rPr>
        <w:t> </w:t>
      </w:r>
      <w:r>
        <w:rPr>
          <w:color w:val="231F20"/>
          <w:spacing w:val="2"/>
          <w:w w:val="105"/>
        </w:rPr>
        <w:t>al</w:t>
      </w:r>
      <w:r>
        <w:rPr>
          <w:color w:val="231F20"/>
          <w:spacing w:val="-17"/>
          <w:w w:val="105"/>
        </w:rPr>
        <w:t> </w:t>
      </w:r>
      <w:r>
        <w:rPr>
          <w:color w:val="231F20"/>
          <w:w w:val="105"/>
        </w:rPr>
        <w:t>poder</w:t>
      </w:r>
      <w:r>
        <w:rPr>
          <w:color w:val="231F20"/>
          <w:spacing w:val="-17"/>
          <w:w w:val="105"/>
        </w:rPr>
        <w:t> </w:t>
      </w:r>
      <w:r>
        <w:rPr>
          <w:color w:val="231F20"/>
          <w:w w:val="105"/>
        </w:rPr>
        <w:t>de</w:t>
      </w:r>
      <w:r>
        <w:rPr>
          <w:color w:val="231F20"/>
          <w:spacing w:val="-17"/>
          <w:w w:val="105"/>
        </w:rPr>
        <w:t> </w:t>
      </w:r>
      <w:r>
        <w:rPr>
          <w:color w:val="231F20"/>
          <w:spacing w:val="2"/>
          <w:w w:val="105"/>
        </w:rPr>
        <w:t>“las</w:t>
      </w:r>
      <w:r>
        <w:rPr>
          <w:color w:val="231F20"/>
          <w:spacing w:val="-17"/>
          <w:w w:val="105"/>
        </w:rPr>
        <w:t> </w:t>
      </w:r>
      <w:r>
        <w:rPr>
          <w:color w:val="231F20"/>
          <w:w w:val="105"/>
        </w:rPr>
        <w:t>masas”.</w:t>
      </w:r>
    </w:p>
    <w:p>
      <w:pPr>
        <w:pStyle w:val="BodyText"/>
        <w:spacing w:before="9"/>
      </w:pPr>
    </w:p>
    <w:p>
      <w:pPr>
        <w:pStyle w:val="Heading3"/>
      </w:pPr>
      <w:r>
        <w:rPr>
          <w:color w:val="231F20"/>
          <w:w w:val="105"/>
        </w:rPr>
        <w:t>Recapitulación</w:t>
      </w:r>
    </w:p>
    <w:p>
      <w:pPr>
        <w:pStyle w:val="BodyText"/>
        <w:spacing w:line="285" w:lineRule="auto" w:before="38"/>
        <w:ind w:left="110" w:right="108"/>
        <w:jc w:val="both"/>
      </w:pPr>
      <w:r>
        <w:rPr>
          <w:color w:val="231F20"/>
          <w:w w:val="105"/>
        </w:rPr>
        <w:t>Nuestro</w:t>
      </w:r>
      <w:r>
        <w:rPr>
          <w:color w:val="231F20"/>
          <w:spacing w:val="-12"/>
          <w:w w:val="105"/>
        </w:rPr>
        <w:t> </w:t>
      </w:r>
      <w:r>
        <w:rPr>
          <w:color w:val="231F20"/>
          <w:w w:val="105"/>
        </w:rPr>
        <w:t>centro</w:t>
      </w:r>
      <w:r>
        <w:rPr>
          <w:color w:val="231F20"/>
          <w:spacing w:val="-12"/>
          <w:w w:val="105"/>
        </w:rPr>
        <w:t> </w:t>
      </w:r>
      <w:r>
        <w:rPr>
          <w:color w:val="231F20"/>
          <w:w w:val="105"/>
        </w:rPr>
        <w:t>de</w:t>
      </w:r>
      <w:r>
        <w:rPr>
          <w:color w:val="231F20"/>
          <w:spacing w:val="-12"/>
          <w:w w:val="105"/>
        </w:rPr>
        <w:t> </w:t>
      </w:r>
      <w:r>
        <w:rPr>
          <w:color w:val="231F20"/>
          <w:w w:val="105"/>
        </w:rPr>
        <w:t>atención</w:t>
      </w:r>
      <w:r>
        <w:rPr>
          <w:color w:val="231F20"/>
          <w:spacing w:val="-12"/>
          <w:w w:val="105"/>
        </w:rPr>
        <w:t> </w:t>
      </w:r>
      <w:r>
        <w:rPr>
          <w:color w:val="231F20"/>
          <w:w w:val="105"/>
        </w:rPr>
        <w:t>fue</w:t>
      </w:r>
      <w:r>
        <w:rPr>
          <w:color w:val="231F20"/>
          <w:spacing w:val="-12"/>
          <w:w w:val="105"/>
        </w:rPr>
        <w:t> </w:t>
      </w:r>
      <w:r>
        <w:rPr>
          <w:color w:val="231F20"/>
          <w:w w:val="105"/>
        </w:rPr>
        <w:t>el</w:t>
      </w:r>
      <w:r>
        <w:rPr>
          <w:color w:val="231F20"/>
          <w:spacing w:val="-12"/>
          <w:w w:val="105"/>
        </w:rPr>
        <w:t> </w:t>
      </w:r>
      <w:r>
        <w:rPr>
          <w:color w:val="231F20"/>
          <w:w w:val="105"/>
        </w:rPr>
        <w:t>desempeño</w:t>
      </w:r>
      <w:r>
        <w:rPr>
          <w:color w:val="231F20"/>
          <w:spacing w:val="-12"/>
          <w:w w:val="105"/>
        </w:rPr>
        <w:t> </w:t>
      </w:r>
      <w:r>
        <w:rPr>
          <w:color w:val="231F20"/>
          <w:w w:val="105"/>
        </w:rPr>
        <w:t>gubernamental</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partidos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plano municipal. El tema exige mayor tiempo de </w:t>
      </w:r>
      <w:r>
        <w:rPr>
          <w:color w:val="231F20"/>
          <w:spacing w:val="2"/>
          <w:w w:val="105"/>
        </w:rPr>
        <w:t>análisis </w:t>
      </w:r>
      <w:r>
        <w:rPr>
          <w:color w:val="231F20"/>
          <w:w w:val="105"/>
        </w:rPr>
        <w:t>para hacer una evaluación más in- tegral</w:t>
      </w:r>
      <w:r>
        <w:rPr>
          <w:color w:val="231F20"/>
          <w:spacing w:val="-5"/>
          <w:w w:val="105"/>
        </w:rPr>
        <w:t> </w:t>
      </w:r>
      <w:r>
        <w:rPr>
          <w:color w:val="231F20"/>
          <w:w w:val="105"/>
        </w:rPr>
        <w:t>que</w:t>
      </w:r>
      <w:r>
        <w:rPr>
          <w:color w:val="231F20"/>
          <w:spacing w:val="-5"/>
          <w:w w:val="105"/>
        </w:rPr>
        <w:t> </w:t>
      </w:r>
      <w:r>
        <w:rPr>
          <w:color w:val="231F20"/>
          <w:w w:val="105"/>
        </w:rPr>
        <w:t>tome</w:t>
      </w:r>
      <w:r>
        <w:rPr>
          <w:color w:val="231F20"/>
          <w:spacing w:val="-5"/>
          <w:w w:val="105"/>
        </w:rPr>
        <w:t> </w:t>
      </w:r>
      <w:r>
        <w:rPr>
          <w:color w:val="231F20"/>
          <w:w w:val="105"/>
        </w:rPr>
        <w:t>en</w:t>
      </w:r>
      <w:r>
        <w:rPr>
          <w:color w:val="231F20"/>
          <w:spacing w:val="-5"/>
          <w:w w:val="105"/>
        </w:rPr>
        <w:t> </w:t>
      </w:r>
      <w:r>
        <w:rPr>
          <w:color w:val="231F20"/>
          <w:w w:val="105"/>
        </w:rPr>
        <w:t>cuenta</w:t>
      </w:r>
      <w:r>
        <w:rPr>
          <w:color w:val="231F20"/>
          <w:spacing w:val="-5"/>
          <w:w w:val="105"/>
        </w:rPr>
        <w:t> </w:t>
      </w:r>
      <w:r>
        <w:rPr>
          <w:color w:val="231F20"/>
          <w:w w:val="105"/>
        </w:rPr>
        <w:t>varias</w:t>
      </w:r>
      <w:r>
        <w:rPr>
          <w:color w:val="231F20"/>
          <w:spacing w:val="-5"/>
          <w:w w:val="105"/>
        </w:rPr>
        <w:t> </w:t>
      </w:r>
      <w:r>
        <w:rPr>
          <w:color w:val="231F20"/>
          <w:w w:val="105"/>
        </w:rPr>
        <w:t>gestiones</w:t>
      </w:r>
      <w:r>
        <w:rPr>
          <w:color w:val="231F20"/>
          <w:spacing w:val="-5"/>
          <w:w w:val="105"/>
        </w:rPr>
        <w:t> </w:t>
      </w:r>
      <w:r>
        <w:rPr>
          <w:color w:val="231F20"/>
          <w:w w:val="105"/>
        </w:rPr>
        <w:t>del</w:t>
      </w:r>
      <w:r>
        <w:rPr>
          <w:color w:val="231F20"/>
          <w:spacing w:val="-5"/>
          <w:w w:val="105"/>
        </w:rPr>
        <w:t> </w:t>
      </w:r>
      <w:r>
        <w:rPr>
          <w:color w:val="231F20"/>
          <w:w w:val="105"/>
        </w:rPr>
        <w:t>partido.</w:t>
      </w:r>
      <w:r>
        <w:rPr>
          <w:color w:val="231F20"/>
          <w:spacing w:val="-5"/>
          <w:w w:val="105"/>
        </w:rPr>
        <w:t> </w:t>
      </w:r>
      <w:r>
        <w:rPr>
          <w:color w:val="231F20"/>
          <w:w w:val="105"/>
        </w:rPr>
        <w:t>Aunque</w:t>
      </w:r>
      <w:r>
        <w:rPr>
          <w:color w:val="231F20"/>
          <w:spacing w:val="-5"/>
          <w:w w:val="105"/>
        </w:rPr>
        <w:t> </w:t>
      </w:r>
      <w:r>
        <w:rPr>
          <w:color w:val="231F20"/>
          <w:w w:val="105"/>
        </w:rPr>
        <w:t>algunos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trabajos de</w:t>
      </w:r>
      <w:r>
        <w:rPr>
          <w:color w:val="231F20"/>
          <w:spacing w:val="-19"/>
          <w:w w:val="105"/>
        </w:rPr>
        <w:t> </w:t>
      </w:r>
      <w:r>
        <w:rPr>
          <w:color w:val="231F20"/>
          <w:w w:val="105"/>
        </w:rPr>
        <w:t>esta</w:t>
      </w:r>
      <w:r>
        <w:rPr>
          <w:color w:val="231F20"/>
          <w:spacing w:val="-19"/>
          <w:w w:val="105"/>
        </w:rPr>
        <w:t> </w:t>
      </w:r>
      <w:r>
        <w:rPr>
          <w:color w:val="231F20"/>
          <w:w w:val="105"/>
        </w:rPr>
        <w:t>obra</w:t>
      </w:r>
      <w:r>
        <w:rPr>
          <w:color w:val="231F20"/>
          <w:spacing w:val="-19"/>
          <w:w w:val="105"/>
        </w:rPr>
        <w:t> </w:t>
      </w:r>
      <w:r>
        <w:rPr>
          <w:color w:val="231F20"/>
          <w:w w:val="105"/>
        </w:rPr>
        <w:t>abarcaron</w:t>
      </w:r>
      <w:r>
        <w:rPr>
          <w:color w:val="231F20"/>
          <w:spacing w:val="-19"/>
          <w:w w:val="105"/>
        </w:rPr>
        <w:t> </w:t>
      </w:r>
      <w:r>
        <w:rPr>
          <w:color w:val="231F20"/>
          <w:w w:val="105"/>
        </w:rPr>
        <w:t>varias</w:t>
      </w:r>
      <w:r>
        <w:rPr>
          <w:color w:val="231F20"/>
          <w:spacing w:val="-19"/>
          <w:w w:val="105"/>
        </w:rPr>
        <w:t> </w:t>
      </w:r>
      <w:r>
        <w:rPr>
          <w:color w:val="231F20"/>
          <w:w w:val="105"/>
        </w:rPr>
        <w:t>gestiones,</w:t>
      </w:r>
      <w:r>
        <w:rPr>
          <w:color w:val="231F20"/>
          <w:spacing w:val="-19"/>
          <w:w w:val="105"/>
        </w:rPr>
        <w:t> </w:t>
      </w:r>
      <w:r>
        <w:rPr>
          <w:color w:val="231F20"/>
          <w:w w:val="105"/>
        </w:rPr>
        <w:t>la</w:t>
      </w:r>
      <w:r>
        <w:rPr>
          <w:color w:val="231F20"/>
          <w:spacing w:val="-19"/>
          <w:w w:val="105"/>
        </w:rPr>
        <w:t> </w:t>
      </w:r>
      <w:r>
        <w:rPr>
          <w:color w:val="231F20"/>
          <w:w w:val="105"/>
        </w:rPr>
        <w:t>mayoría</w:t>
      </w:r>
      <w:r>
        <w:rPr>
          <w:color w:val="231F20"/>
          <w:spacing w:val="-19"/>
          <w:w w:val="105"/>
        </w:rPr>
        <w:t> </w:t>
      </w:r>
      <w:r>
        <w:rPr>
          <w:color w:val="231F20"/>
          <w:w w:val="105"/>
        </w:rPr>
        <w:t>se</w:t>
      </w:r>
      <w:r>
        <w:rPr>
          <w:color w:val="231F20"/>
          <w:spacing w:val="-19"/>
          <w:w w:val="105"/>
        </w:rPr>
        <w:t> </w:t>
      </w:r>
      <w:r>
        <w:rPr>
          <w:color w:val="231F20"/>
          <w:w w:val="105"/>
        </w:rPr>
        <w:t>centró</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periodo</w:t>
      </w:r>
      <w:r>
        <w:rPr>
          <w:color w:val="231F20"/>
          <w:spacing w:val="-19"/>
          <w:w w:val="105"/>
        </w:rPr>
        <w:t> </w:t>
      </w:r>
      <w:r>
        <w:rPr>
          <w:color w:val="231F20"/>
          <w:spacing w:val="2"/>
          <w:w w:val="105"/>
        </w:rPr>
        <w:t>2006-2009</w:t>
      </w:r>
      <w:r>
        <w:rPr>
          <w:color w:val="231F20"/>
          <w:spacing w:val="-19"/>
          <w:w w:val="105"/>
        </w:rPr>
        <w:t> </w:t>
      </w:r>
      <w:r>
        <w:rPr>
          <w:color w:val="231F20"/>
          <w:w w:val="105"/>
        </w:rPr>
        <w:t>se considera que un tiempo de </w:t>
      </w:r>
      <w:r>
        <w:rPr>
          <w:color w:val="231F20"/>
          <w:spacing w:val="2"/>
          <w:w w:val="105"/>
        </w:rPr>
        <w:t>análisis </w:t>
      </w:r>
      <w:r>
        <w:rPr>
          <w:color w:val="231F20"/>
          <w:w w:val="105"/>
        </w:rPr>
        <w:t>más amplio podría enriquecer los estudios de los partidos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ejercicio</w:t>
      </w:r>
      <w:r>
        <w:rPr>
          <w:color w:val="231F20"/>
          <w:spacing w:val="-16"/>
          <w:w w:val="105"/>
        </w:rPr>
        <w:t> </w:t>
      </w:r>
      <w:r>
        <w:rPr>
          <w:color w:val="231F20"/>
          <w:w w:val="105"/>
        </w:rPr>
        <w:t>del</w:t>
      </w:r>
      <w:r>
        <w:rPr>
          <w:color w:val="231F20"/>
          <w:spacing w:val="-16"/>
          <w:w w:val="105"/>
        </w:rPr>
        <w:t> </w:t>
      </w:r>
      <w:r>
        <w:rPr>
          <w:color w:val="231F20"/>
          <w:spacing w:val="-3"/>
          <w:w w:val="105"/>
        </w:rPr>
        <w:t>gobierno.</w:t>
      </w:r>
    </w:p>
    <w:p>
      <w:pPr>
        <w:pStyle w:val="BodyText"/>
        <w:spacing w:before="1"/>
        <w:rPr>
          <w:sz w:val="26"/>
        </w:rPr>
      </w:pPr>
    </w:p>
    <w:p>
      <w:pPr>
        <w:pStyle w:val="BodyText"/>
        <w:spacing w:line="285" w:lineRule="auto"/>
        <w:ind w:left="110" w:right="106"/>
        <w:jc w:val="both"/>
      </w:pPr>
      <w:r>
        <w:rPr>
          <w:color w:val="231F20"/>
          <w:w w:val="105"/>
        </w:rPr>
        <w:t>No obstante, las conclusiones generales de los </w:t>
      </w:r>
      <w:r>
        <w:rPr>
          <w:color w:val="231F20"/>
          <w:spacing w:val="2"/>
          <w:w w:val="105"/>
        </w:rPr>
        <w:t>análisis </w:t>
      </w:r>
      <w:r>
        <w:rPr>
          <w:color w:val="231F20"/>
          <w:w w:val="105"/>
        </w:rPr>
        <w:t>son igualmente evidentes: hay un</w:t>
      </w:r>
      <w:r>
        <w:rPr>
          <w:color w:val="231F20"/>
          <w:spacing w:val="-4"/>
          <w:w w:val="105"/>
        </w:rPr>
        <w:t> </w:t>
      </w:r>
      <w:r>
        <w:rPr>
          <w:color w:val="231F20"/>
          <w:w w:val="105"/>
        </w:rPr>
        <w:t>conjunto</w:t>
      </w:r>
      <w:r>
        <w:rPr>
          <w:color w:val="231F20"/>
          <w:spacing w:val="-4"/>
          <w:w w:val="105"/>
        </w:rPr>
        <w:t> </w:t>
      </w:r>
      <w:r>
        <w:rPr>
          <w:color w:val="231F20"/>
          <w:w w:val="105"/>
        </w:rPr>
        <w:t>de</w:t>
      </w:r>
      <w:r>
        <w:rPr>
          <w:color w:val="231F20"/>
          <w:spacing w:val="-4"/>
          <w:w w:val="105"/>
        </w:rPr>
        <w:t> </w:t>
      </w:r>
      <w:r>
        <w:rPr>
          <w:color w:val="231F20"/>
          <w:w w:val="105"/>
        </w:rPr>
        <w:t>factores</w:t>
      </w:r>
      <w:r>
        <w:rPr>
          <w:color w:val="231F20"/>
          <w:spacing w:val="-4"/>
          <w:w w:val="105"/>
        </w:rPr>
        <w:t> </w:t>
      </w:r>
      <w:r>
        <w:rPr>
          <w:color w:val="231F20"/>
          <w:w w:val="105"/>
        </w:rPr>
        <w:t>institucionales,</w:t>
      </w:r>
      <w:r>
        <w:rPr>
          <w:color w:val="231F20"/>
          <w:spacing w:val="-4"/>
          <w:w w:val="105"/>
        </w:rPr>
        <w:t> </w:t>
      </w:r>
      <w:r>
        <w:rPr>
          <w:color w:val="231F20"/>
          <w:w w:val="105"/>
        </w:rPr>
        <w:t>formales</w:t>
      </w:r>
      <w:r>
        <w:rPr>
          <w:color w:val="231F20"/>
          <w:spacing w:val="-4"/>
          <w:w w:val="105"/>
        </w:rPr>
        <w:t> </w:t>
      </w:r>
      <w:r>
        <w:rPr>
          <w:color w:val="231F20"/>
          <w:w w:val="105"/>
        </w:rPr>
        <w:t>e</w:t>
      </w:r>
      <w:r>
        <w:rPr>
          <w:color w:val="231F20"/>
          <w:spacing w:val="-4"/>
          <w:w w:val="105"/>
        </w:rPr>
        <w:t> </w:t>
      </w:r>
      <w:r>
        <w:rPr>
          <w:color w:val="231F20"/>
          <w:w w:val="105"/>
        </w:rPr>
        <w:t>informales,</w:t>
      </w:r>
      <w:r>
        <w:rPr>
          <w:color w:val="231F20"/>
          <w:spacing w:val="-4"/>
          <w:w w:val="105"/>
        </w:rPr>
        <w:t> </w:t>
      </w:r>
      <w:r>
        <w:rPr>
          <w:color w:val="231F20"/>
          <w:w w:val="105"/>
        </w:rPr>
        <w:t>que</w:t>
      </w:r>
      <w:r>
        <w:rPr>
          <w:color w:val="231F20"/>
          <w:spacing w:val="-4"/>
          <w:w w:val="105"/>
        </w:rPr>
        <w:t> </w:t>
      </w:r>
      <w:r>
        <w:rPr>
          <w:color w:val="231F20"/>
          <w:w w:val="105"/>
        </w:rPr>
        <w:t>delimitan</w:t>
      </w:r>
      <w:r>
        <w:rPr>
          <w:color w:val="231F20"/>
          <w:spacing w:val="-4"/>
          <w:w w:val="105"/>
        </w:rPr>
        <w:t> </w:t>
      </w:r>
      <w:r>
        <w:rPr>
          <w:color w:val="231F20"/>
          <w:w w:val="105"/>
        </w:rPr>
        <w:t>la</w:t>
      </w:r>
      <w:r>
        <w:rPr>
          <w:color w:val="231F20"/>
          <w:spacing w:val="-4"/>
          <w:w w:val="105"/>
        </w:rPr>
        <w:t> </w:t>
      </w:r>
      <w:r>
        <w:rPr>
          <w:color w:val="231F20"/>
          <w:w w:val="105"/>
        </w:rPr>
        <w:t>acción de los partidos en el ejercicio del poder y que no pueden controlar por completo. Los gobiernos de partido tienen que sortear todo tipo de dinámicas para atender y dar sa- tisfacción a las demandas ciudadanas: recursos limitados, reglamentación municipal no</w:t>
      </w:r>
      <w:r>
        <w:rPr>
          <w:color w:val="231F20"/>
          <w:spacing w:val="-17"/>
          <w:w w:val="105"/>
        </w:rPr>
        <w:t> </w:t>
      </w:r>
      <w:r>
        <w:rPr>
          <w:color w:val="231F20"/>
          <w:w w:val="105"/>
        </w:rPr>
        <w:t>vigente</w:t>
      </w:r>
      <w:r>
        <w:rPr>
          <w:color w:val="231F20"/>
          <w:spacing w:val="-17"/>
          <w:w w:val="105"/>
        </w:rPr>
        <w:t> </w:t>
      </w:r>
      <w:r>
        <w:rPr>
          <w:color w:val="231F20"/>
          <w:w w:val="105"/>
        </w:rPr>
        <w:t>o</w:t>
      </w:r>
      <w:r>
        <w:rPr>
          <w:color w:val="231F20"/>
          <w:spacing w:val="-17"/>
          <w:w w:val="105"/>
        </w:rPr>
        <w:t> </w:t>
      </w:r>
      <w:r>
        <w:rPr>
          <w:color w:val="231F20"/>
          <w:w w:val="105"/>
        </w:rPr>
        <w:t>inacabada,</w:t>
      </w:r>
      <w:r>
        <w:rPr>
          <w:color w:val="231F20"/>
          <w:spacing w:val="-17"/>
          <w:w w:val="105"/>
        </w:rPr>
        <w:t> </w:t>
      </w:r>
      <w:r>
        <w:rPr>
          <w:color w:val="231F20"/>
          <w:w w:val="105"/>
        </w:rPr>
        <w:t>carencia</w:t>
      </w:r>
      <w:r>
        <w:rPr>
          <w:color w:val="231F20"/>
          <w:spacing w:val="-17"/>
          <w:w w:val="105"/>
        </w:rPr>
        <w:t> </w:t>
      </w:r>
      <w:r>
        <w:rPr>
          <w:color w:val="231F20"/>
          <w:w w:val="105"/>
        </w:rPr>
        <w:t>de</w:t>
      </w:r>
      <w:r>
        <w:rPr>
          <w:color w:val="231F20"/>
          <w:spacing w:val="-17"/>
          <w:w w:val="105"/>
        </w:rPr>
        <w:t> </w:t>
      </w:r>
      <w:r>
        <w:rPr>
          <w:color w:val="231F20"/>
          <w:w w:val="105"/>
        </w:rPr>
        <w:t>profesionalización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cuadros</w:t>
      </w:r>
      <w:r>
        <w:rPr>
          <w:color w:val="231F20"/>
          <w:spacing w:val="-17"/>
          <w:w w:val="105"/>
        </w:rPr>
        <w:t> </w:t>
      </w:r>
      <w:r>
        <w:rPr>
          <w:color w:val="231F20"/>
          <w:w w:val="105"/>
        </w:rPr>
        <w:t>administrativos</w:t>
      </w:r>
      <w:r>
        <w:rPr>
          <w:color w:val="231F20"/>
          <w:spacing w:val="-17"/>
          <w:w w:val="105"/>
        </w:rPr>
        <w:t> </w:t>
      </w:r>
      <w:r>
        <w:rPr>
          <w:color w:val="231F20"/>
          <w:w w:val="105"/>
        </w:rPr>
        <w:t>y</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rPr>
        <w:t>políticos. Sin embargo, a pesar de eso se realizan obras, se brindan servicios, se atienden asuntos y se logra una convivencia política con los otros órdenes de gobierno que, jun- tos,  mantienen  la estabilidad.</w:t>
      </w:r>
    </w:p>
    <w:p>
      <w:pPr>
        <w:pStyle w:val="BodyText"/>
        <w:spacing w:before="1"/>
        <w:rPr>
          <w:sz w:val="26"/>
        </w:rPr>
      </w:pPr>
    </w:p>
    <w:p>
      <w:pPr>
        <w:pStyle w:val="BodyText"/>
        <w:spacing w:line="285" w:lineRule="auto"/>
        <w:ind w:left="110" w:right="108"/>
        <w:jc w:val="both"/>
      </w:pPr>
      <w:r>
        <w:rPr>
          <w:color w:val="231F20"/>
          <w:w w:val="105"/>
        </w:rPr>
        <w:t>Otro</w:t>
      </w:r>
      <w:r>
        <w:rPr>
          <w:color w:val="231F20"/>
          <w:spacing w:val="-7"/>
          <w:w w:val="105"/>
        </w:rPr>
        <w:t> </w:t>
      </w:r>
      <w:r>
        <w:rPr>
          <w:color w:val="231F20"/>
          <w:w w:val="105"/>
        </w:rPr>
        <w:t>rasgo</w:t>
      </w:r>
      <w:r>
        <w:rPr>
          <w:color w:val="231F20"/>
          <w:spacing w:val="-7"/>
          <w:w w:val="105"/>
        </w:rPr>
        <w:t> </w:t>
      </w:r>
      <w:r>
        <w:rPr>
          <w:color w:val="231F20"/>
          <w:w w:val="105"/>
        </w:rPr>
        <w:t>común</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gobiernos</w:t>
      </w:r>
      <w:r>
        <w:rPr>
          <w:color w:val="231F20"/>
          <w:spacing w:val="-7"/>
          <w:w w:val="105"/>
        </w:rPr>
        <w:t> </w:t>
      </w:r>
      <w:r>
        <w:rPr>
          <w:color w:val="231F20"/>
          <w:w w:val="105"/>
        </w:rPr>
        <w:t>municipales</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hecho</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el</w:t>
      </w:r>
      <w:r>
        <w:rPr>
          <w:color w:val="231F20"/>
          <w:spacing w:val="-7"/>
          <w:w w:val="105"/>
        </w:rPr>
        <w:t> </w:t>
      </w:r>
      <w:r>
        <w:rPr>
          <w:color w:val="231F20"/>
          <w:w w:val="105"/>
        </w:rPr>
        <w:t>presidente</w:t>
      </w:r>
      <w:r>
        <w:rPr>
          <w:color w:val="231F20"/>
          <w:spacing w:val="-7"/>
          <w:w w:val="105"/>
        </w:rPr>
        <w:t> </w:t>
      </w:r>
      <w:r>
        <w:rPr>
          <w:color w:val="231F20"/>
          <w:w w:val="105"/>
        </w:rPr>
        <w:t>muni- cipal es el actor de mayor trascendencia en el desempeño, quien le impregna un estilo personal</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gestión,</w:t>
      </w:r>
      <w:r>
        <w:rPr>
          <w:color w:val="231F20"/>
          <w:spacing w:val="-13"/>
          <w:w w:val="105"/>
        </w:rPr>
        <w:t> </w:t>
      </w:r>
      <w:r>
        <w:rPr>
          <w:color w:val="231F20"/>
          <w:w w:val="105"/>
        </w:rPr>
        <w:t>en</w:t>
      </w:r>
      <w:r>
        <w:rPr>
          <w:color w:val="231F20"/>
          <w:spacing w:val="-13"/>
          <w:w w:val="105"/>
        </w:rPr>
        <w:t> </w:t>
      </w:r>
      <w:r>
        <w:rPr>
          <w:color w:val="231F20"/>
          <w:w w:val="105"/>
        </w:rPr>
        <w:t>ocasiones</w:t>
      </w:r>
      <w:r>
        <w:rPr>
          <w:color w:val="231F20"/>
          <w:spacing w:val="-13"/>
          <w:w w:val="105"/>
        </w:rPr>
        <w:t> </w:t>
      </w:r>
      <w:r>
        <w:rPr>
          <w:color w:val="231F20"/>
          <w:w w:val="105"/>
        </w:rPr>
        <w:t>alineada</w:t>
      </w:r>
      <w:r>
        <w:rPr>
          <w:color w:val="231F20"/>
          <w:spacing w:val="-13"/>
          <w:w w:val="105"/>
        </w:rPr>
        <w:t> </w:t>
      </w:r>
      <w:r>
        <w:rPr>
          <w:color w:val="231F20"/>
          <w:spacing w:val="2"/>
          <w:w w:val="105"/>
        </w:rPr>
        <w:t>al</w:t>
      </w:r>
      <w:r>
        <w:rPr>
          <w:color w:val="231F20"/>
          <w:spacing w:val="-13"/>
          <w:w w:val="105"/>
        </w:rPr>
        <w:t> </w:t>
      </w:r>
      <w:r>
        <w:rPr>
          <w:color w:val="231F20"/>
          <w:w w:val="105"/>
        </w:rPr>
        <w:t>partido,</w:t>
      </w:r>
      <w:r>
        <w:rPr>
          <w:color w:val="231F20"/>
          <w:spacing w:val="-13"/>
          <w:w w:val="105"/>
        </w:rPr>
        <w:t> </w:t>
      </w:r>
      <w:r>
        <w:rPr>
          <w:color w:val="231F20"/>
          <w:w w:val="105"/>
        </w:rPr>
        <w:t>en</w:t>
      </w:r>
      <w:r>
        <w:rPr>
          <w:color w:val="231F20"/>
          <w:spacing w:val="-13"/>
          <w:w w:val="105"/>
        </w:rPr>
        <w:t> </w:t>
      </w:r>
      <w:r>
        <w:rPr>
          <w:color w:val="231F20"/>
          <w:w w:val="105"/>
        </w:rPr>
        <w:t>otras</w:t>
      </w:r>
      <w:r>
        <w:rPr>
          <w:color w:val="231F20"/>
          <w:spacing w:val="-13"/>
          <w:w w:val="105"/>
        </w:rPr>
        <w:t> </w:t>
      </w:r>
      <w:r>
        <w:rPr>
          <w:color w:val="231F20"/>
          <w:w w:val="105"/>
        </w:rPr>
        <w:t>alejada</w:t>
      </w:r>
      <w:r>
        <w:rPr>
          <w:color w:val="231F20"/>
          <w:spacing w:val="-13"/>
          <w:w w:val="105"/>
        </w:rPr>
        <w:t> </w:t>
      </w:r>
      <w:r>
        <w:rPr>
          <w:color w:val="231F20"/>
          <w:w w:val="105"/>
        </w:rPr>
        <w:t>del</w:t>
      </w:r>
      <w:r>
        <w:rPr>
          <w:color w:val="231F20"/>
          <w:spacing w:val="-13"/>
          <w:w w:val="105"/>
        </w:rPr>
        <w:t> </w:t>
      </w:r>
      <w:r>
        <w:rPr>
          <w:color w:val="231F20"/>
          <w:w w:val="105"/>
        </w:rPr>
        <w:t>partido</w:t>
      </w:r>
      <w:r>
        <w:rPr>
          <w:color w:val="231F20"/>
          <w:spacing w:val="-13"/>
          <w:w w:val="105"/>
        </w:rPr>
        <w:t> </w:t>
      </w:r>
      <w:r>
        <w:rPr>
          <w:color w:val="231F20"/>
          <w:spacing w:val="-7"/>
          <w:w w:val="105"/>
        </w:rPr>
        <w:t>y,</w:t>
      </w:r>
      <w:r>
        <w:rPr>
          <w:color w:val="231F20"/>
          <w:spacing w:val="-13"/>
          <w:w w:val="105"/>
        </w:rPr>
        <w:t> </w:t>
      </w:r>
      <w:r>
        <w:rPr>
          <w:color w:val="231F20"/>
          <w:w w:val="105"/>
        </w:rPr>
        <w:t>las menos,</w:t>
      </w:r>
      <w:r>
        <w:rPr>
          <w:color w:val="231F20"/>
          <w:spacing w:val="-13"/>
          <w:w w:val="105"/>
        </w:rPr>
        <w:t> </w:t>
      </w:r>
      <w:r>
        <w:rPr>
          <w:color w:val="231F20"/>
          <w:w w:val="105"/>
        </w:rPr>
        <w:t>a</w:t>
      </w:r>
      <w:r>
        <w:rPr>
          <w:color w:val="231F20"/>
          <w:spacing w:val="-13"/>
          <w:w w:val="105"/>
        </w:rPr>
        <w:t> </w:t>
      </w:r>
      <w:r>
        <w:rPr>
          <w:color w:val="231F20"/>
          <w:w w:val="105"/>
        </w:rPr>
        <w:t>pesar</w:t>
      </w:r>
      <w:r>
        <w:rPr>
          <w:color w:val="231F20"/>
          <w:spacing w:val="-13"/>
          <w:w w:val="105"/>
        </w:rPr>
        <w:t> </w:t>
      </w:r>
      <w:r>
        <w:rPr>
          <w:color w:val="231F20"/>
          <w:w w:val="105"/>
        </w:rPr>
        <w:t>del</w:t>
      </w:r>
      <w:r>
        <w:rPr>
          <w:color w:val="231F20"/>
          <w:spacing w:val="-13"/>
          <w:w w:val="105"/>
        </w:rPr>
        <w:t> </w:t>
      </w:r>
      <w:r>
        <w:rPr>
          <w:color w:val="231F20"/>
          <w:w w:val="105"/>
        </w:rPr>
        <w:t>partido</w:t>
      </w:r>
      <w:r>
        <w:rPr>
          <w:color w:val="231F20"/>
          <w:spacing w:val="-13"/>
          <w:w w:val="105"/>
        </w:rPr>
        <w:t> </w:t>
      </w:r>
      <w:r>
        <w:rPr>
          <w:color w:val="231F20"/>
          <w:w w:val="105"/>
        </w:rPr>
        <w:t>político</w:t>
      </w:r>
      <w:r>
        <w:rPr>
          <w:color w:val="231F20"/>
          <w:spacing w:val="-13"/>
          <w:w w:val="105"/>
        </w:rPr>
        <w:t> </w:t>
      </w:r>
      <w:r>
        <w:rPr>
          <w:color w:val="231F20"/>
          <w:w w:val="105"/>
        </w:rPr>
        <w:t>que</w:t>
      </w:r>
      <w:r>
        <w:rPr>
          <w:color w:val="231F20"/>
          <w:spacing w:val="-13"/>
          <w:w w:val="105"/>
        </w:rPr>
        <w:t> </w:t>
      </w:r>
      <w:r>
        <w:rPr>
          <w:color w:val="231F20"/>
          <w:w w:val="105"/>
        </w:rPr>
        <w:t>lo</w:t>
      </w:r>
      <w:r>
        <w:rPr>
          <w:color w:val="231F20"/>
          <w:spacing w:val="-13"/>
          <w:w w:val="105"/>
        </w:rPr>
        <w:t> </w:t>
      </w:r>
      <w:r>
        <w:rPr>
          <w:color w:val="231F20"/>
          <w:w w:val="105"/>
        </w:rPr>
        <w:t>llevó</w:t>
      </w:r>
      <w:r>
        <w:rPr>
          <w:color w:val="231F20"/>
          <w:spacing w:val="-13"/>
          <w:w w:val="105"/>
        </w:rPr>
        <w:t> </w:t>
      </w:r>
      <w:r>
        <w:rPr>
          <w:color w:val="231F20"/>
          <w:spacing w:val="2"/>
          <w:w w:val="105"/>
        </w:rPr>
        <w:t>al</w:t>
      </w:r>
      <w:r>
        <w:rPr>
          <w:color w:val="231F20"/>
          <w:spacing w:val="-13"/>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spacing w:val="-3"/>
          <w:w w:val="105"/>
        </w:rPr>
        <w:t>Pese</w:t>
      </w:r>
      <w:r>
        <w:rPr>
          <w:color w:val="231F20"/>
          <w:spacing w:val="-10"/>
          <w:w w:val="105"/>
        </w:rPr>
        <w:t> </w:t>
      </w:r>
      <w:r>
        <w:rPr>
          <w:color w:val="231F20"/>
          <w:w w:val="105"/>
        </w:rPr>
        <w:t>a</w:t>
      </w:r>
      <w:r>
        <w:rPr>
          <w:color w:val="231F20"/>
          <w:spacing w:val="-9"/>
          <w:w w:val="105"/>
        </w:rPr>
        <w:t> </w:t>
      </w:r>
      <w:r>
        <w:rPr>
          <w:color w:val="231F20"/>
          <w:spacing w:val="-3"/>
          <w:w w:val="105"/>
        </w:rPr>
        <w:t>todo,</w:t>
      </w:r>
      <w:r>
        <w:rPr>
          <w:color w:val="231F20"/>
          <w:spacing w:val="-9"/>
          <w:w w:val="105"/>
        </w:rPr>
        <w:t> </w:t>
      </w:r>
      <w:r>
        <w:rPr>
          <w:color w:val="231F20"/>
          <w:spacing w:val="-4"/>
          <w:w w:val="105"/>
        </w:rPr>
        <w:t>dependiendo</w:t>
      </w:r>
      <w:r>
        <w:rPr>
          <w:color w:val="231F20"/>
          <w:spacing w:val="-10"/>
          <w:w w:val="105"/>
        </w:rPr>
        <w:t> </w:t>
      </w:r>
      <w:r>
        <w:rPr>
          <w:color w:val="231F20"/>
          <w:spacing w:val="-3"/>
          <w:w w:val="105"/>
        </w:rPr>
        <w:t>del</w:t>
      </w:r>
      <w:r>
        <w:rPr>
          <w:color w:val="231F20"/>
          <w:spacing w:val="-9"/>
          <w:w w:val="105"/>
        </w:rPr>
        <w:t> </w:t>
      </w:r>
      <w:r>
        <w:rPr>
          <w:color w:val="231F20"/>
          <w:w w:val="105"/>
        </w:rPr>
        <w:t>partido</w:t>
      </w:r>
      <w:r>
        <w:rPr>
          <w:color w:val="231F20"/>
          <w:spacing w:val="-9"/>
          <w:w w:val="105"/>
        </w:rPr>
        <w:t> </w:t>
      </w:r>
      <w:r>
        <w:rPr>
          <w:color w:val="231F20"/>
          <w:spacing w:val="-3"/>
          <w:w w:val="105"/>
        </w:rPr>
        <w:t>que</w:t>
      </w:r>
      <w:r>
        <w:rPr>
          <w:color w:val="231F20"/>
          <w:spacing w:val="-9"/>
          <w:w w:val="105"/>
        </w:rPr>
        <w:t> </w:t>
      </w:r>
      <w:r>
        <w:rPr>
          <w:color w:val="231F20"/>
          <w:w w:val="105"/>
        </w:rPr>
        <w:t>esté</w:t>
      </w:r>
      <w:r>
        <w:rPr>
          <w:color w:val="231F20"/>
          <w:spacing w:val="-10"/>
          <w:w w:val="105"/>
        </w:rPr>
        <w:t> </w:t>
      </w:r>
      <w:r>
        <w:rPr>
          <w:color w:val="231F20"/>
          <w:w w:val="105"/>
        </w:rPr>
        <w:t>a</w:t>
      </w:r>
      <w:r>
        <w:rPr>
          <w:color w:val="231F20"/>
          <w:spacing w:val="-9"/>
          <w:w w:val="105"/>
        </w:rPr>
        <w:t> </w:t>
      </w:r>
      <w:r>
        <w:rPr>
          <w:color w:val="231F20"/>
          <w:w w:val="105"/>
        </w:rPr>
        <w:t>cargo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10"/>
          <w:w w:val="105"/>
        </w:rPr>
        <w:t> </w:t>
      </w:r>
      <w:r>
        <w:rPr>
          <w:color w:val="231F20"/>
          <w:spacing w:val="-3"/>
          <w:w w:val="105"/>
        </w:rPr>
        <w:t>toma</w:t>
      </w:r>
      <w:r>
        <w:rPr>
          <w:color w:val="231F20"/>
          <w:spacing w:val="-9"/>
          <w:w w:val="105"/>
        </w:rPr>
        <w:t> </w:t>
      </w:r>
      <w:r>
        <w:rPr>
          <w:color w:val="231F20"/>
          <w:w w:val="105"/>
        </w:rPr>
        <w:t>de</w:t>
      </w:r>
      <w:r>
        <w:rPr>
          <w:color w:val="231F20"/>
          <w:spacing w:val="-9"/>
          <w:w w:val="105"/>
        </w:rPr>
        <w:t> </w:t>
      </w:r>
      <w:r>
        <w:rPr>
          <w:color w:val="231F20"/>
          <w:spacing w:val="-3"/>
          <w:w w:val="105"/>
        </w:rPr>
        <w:t>decisiones,</w:t>
      </w:r>
      <w:r>
        <w:rPr>
          <w:color w:val="231F20"/>
          <w:spacing w:val="-9"/>
          <w:w w:val="105"/>
        </w:rPr>
        <w:t> </w:t>
      </w:r>
      <w:r>
        <w:rPr>
          <w:color w:val="231F20"/>
          <w:spacing w:val="-3"/>
          <w:w w:val="105"/>
        </w:rPr>
        <w:t>hay</w:t>
      </w:r>
      <w:r>
        <w:rPr>
          <w:color w:val="231F20"/>
          <w:spacing w:val="-9"/>
          <w:w w:val="105"/>
        </w:rPr>
        <w:t> </w:t>
      </w:r>
      <w:r>
        <w:rPr>
          <w:color w:val="231F20"/>
          <w:w w:val="105"/>
        </w:rPr>
        <w:t>dife- </w:t>
      </w:r>
      <w:r>
        <w:rPr>
          <w:color w:val="231F20"/>
          <w:spacing w:val="-3"/>
          <w:w w:val="105"/>
        </w:rPr>
        <w:t>rencias</w:t>
      </w:r>
      <w:r>
        <w:rPr>
          <w:color w:val="231F20"/>
          <w:spacing w:val="-7"/>
          <w:w w:val="105"/>
        </w:rPr>
        <w:t> </w:t>
      </w:r>
      <w:r>
        <w:rPr>
          <w:color w:val="231F20"/>
          <w:spacing w:val="-3"/>
          <w:w w:val="105"/>
        </w:rPr>
        <w:t>entre</w:t>
      </w:r>
      <w:r>
        <w:rPr>
          <w:color w:val="231F20"/>
          <w:spacing w:val="-7"/>
          <w:w w:val="105"/>
        </w:rPr>
        <w:t> </w:t>
      </w:r>
      <w:r>
        <w:rPr>
          <w:color w:val="231F20"/>
          <w:spacing w:val="-3"/>
          <w:w w:val="105"/>
        </w:rPr>
        <w:t>los</w:t>
      </w:r>
      <w:r>
        <w:rPr>
          <w:color w:val="231F20"/>
          <w:spacing w:val="-7"/>
          <w:w w:val="105"/>
        </w:rPr>
        <w:t> </w:t>
      </w:r>
      <w:r>
        <w:rPr>
          <w:color w:val="231F20"/>
          <w:spacing w:val="-4"/>
          <w:w w:val="105"/>
        </w:rPr>
        <w:t>gobiernos.</w:t>
      </w:r>
      <w:r>
        <w:rPr>
          <w:color w:val="231F20"/>
          <w:spacing w:val="-7"/>
          <w:w w:val="105"/>
        </w:rPr>
        <w:t> </w:t>
      </w:r>
      <w:r>
        <w:rPr>
          <w:color w:val="231F20"/>
          <w:w w:val="105"/>
        </w:rPr>
        <w:t>Sus</w:t>
      </w:r>
      <w:r>
        <w:rPr>
          <w:color w:val="231F20"/>
          <w:spacing w:val="-7"/>
          <w:w w:val="105"/>
        </w:rPr>
        <w:t> </w:t>
      </w:r>
      <w:r>
        <w:rPr>
          <w:color w:val="231F20"/>
          <w:spacing w:val="-4"/>
          <w:w w:val="105"/>
        </w:rPr>
        <w:t>posiciones</w:t>
      </w:r>
      <w:r>
        <w:rPr>
          <w:color w:val="231F20"/>
          <w:spacing w:val="-7"/>
          <w:w w:val="105"/>
        </w:rPr>
        <w:t> </w:t>
      </w:r>
      <w:r>
        <w:rPr>
          <w:color w:val="231F20"/>
          <w:spacing w:val="-3"/>
          <w:w w:val="105"/>
        </w:rPr>
        <w:t>ideológicas</w:t>
      </w:r>
      <w:r>
        <w:rPr>
          <w:color w:val="231F20"/>
          <w:spacing w:val="-7"/>
          <w:w w:val="105"/>
        </w:rPr>
        <w:t> </w:t>
      </w:r>
      <w:r>
        <w:rPr>
          <w:color w:val="231F20"/>
          <w:w w:val="105"/>
        </w:rPr>
        <w:t>se</w:t>
      </w:r>
      <w:r>
        <w:rPr>
          <w:color w:val="231F20"/>
          <w:spacing w:val="-7"/>
          <w:w w:val="105"/>
        </w:rPr>
        <w:t> </w:t>
      </w:r>
      <w:r>
        <w:rPr>
          <w:color w:val="231F20"/>
          <w:w w:val="105"/>
        </w:rPr>
        <w:t>notan</w:t>
      </w:r>
      <w:r>
        <w:rPr>
          <w:color w:val="231F20"/>
          <w:spacing w:val="-7"/>
          <w:w w:val="105"/>
        </w:rPr>
        <w:t> </w:t>
      </w:r>
      <w:r>
        <w:rPr>
          <w:color w:val="231F20"/>
          <w:w w:val="105"/>
        </w:rPr>
        <w:t>en</w:t>
      </w:r>
      <w:r>
        <w:rPr>
          <w:color w:val="231F20"/>
          <w:spacing w:val="-7"/>
          <w:w w:val="105"/>
        </w:rPr>
        <w:t> </w:t>
      </w:r>
      <w:r>
        <w:rPr>
          <w:color w:val="231F20"/>
          <w:spacing w:val="-3"/>
          <w:w w:val="105"/>
        </w:rPr>
        <w:t>torno</w:t>
      </w:r>
      <w:r>
        <w:rPr>
          <w:color w:val="231F20"/>
          <w:spacing w:val="-7"/>
          <w:w w:val="105"/>
        </w:rPr>
        <w:t> </w:t>
      </w:r>
      <w:r>
        <w:rPr>
          <w:color w:val="231F20"/>
          <w:w w:val="105"/>
        </w:rPr>
        <w:t>al</w:t>
      </w:r>
      <w:r>
        <w:rPr>
          <w:color w:val="231F20"/>
          <w:spacing w:val="-7"/>
          <w:w w:val="105"/>
        </w:rPr>
        <w:t> </w:t>
      </w:r>
      <w:r>
        <w:rPr>
          <w:color w:val="231F20"/>
          <w:spacing w:val="-3"/>
          <w:w w:val="105"/>
        </w:rPr>
        <w:t>papel</w:t>
      </w:r>
      <w:r>
        <w:rPr>
          <w:color w:val="231F20"/>
          <w:spacing w:val="-7"/>
          <w:w w:val="105"/>
        </w:rPr>
        <w:t> </w:t>
      </w:r>
      <w:r>
        <w:rPr>
          <w:color w:val="231F20"/>
          <w:spacing w:val="-3"/>
          <w:w w:val="105"/>
        </w:rPr>
        <w:t>del</w:t>
      </w:r>
      <w:r>
        <w:rPr>
          <w:color w:val="231F20"/>
          <w:spacing w:val="-7"/>
          <w:w w:val="105"/>
        </w:rPr>
        <w:t> </w:t>
      </w:r>
      <w:r>
        <w:rPr>
          <w:color w:val="231F20"/>
          <w:w w:val="105"/>
        </w:rPr>
        <w:t>go- </w:t>
      </w:r>
      <w:r>
        <w:rPr>
          <w:color w:val="231F20"/>
          <w:spacing w:val="-4"/>
          <w:w w:val="105"/>
        </w:rPr>
        <w:t>bierno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spacing w:val="-3"/>
          <w:w w:val="105"/>
        </w:rPr>
        <w:t>satisfacción</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spacing w:val="-4"/>
          <w:w w:val="105"/>
        </w:rPr>
        <w:t>necesidades</w:t>
      </w:r>
      <w:r>
        <w:rPr>
          <w:color w:val="231F20"/>
          <w:spacing w:val="-20"/>
          <w:w w:val="105"/>
        </w:rPr>
        <w:t> </w:t>
      </w:r>
      <w:r>
        <w:rPr>
          <w:color w:val="231F20"/>
          <w:w w:val="105"/>
        </w:rPr>
        <w:t>sociales,</w:t>
      </w:r>
      <w:r>
        <w:rPr>
          <w:color w:val="231F20"/>
          <w:spacing w:val="-20"/>
          <w:w w:val="105"/>
        </w:rPr>
        <w:t> </w:t>
      </w:r>
      <w:r>
        <w:rPr>
          <w:color w:val="231F20"/>
          <w:w w:val="105"/>
        </w:rPr>
        <w:t>ya</w:t>
      </w:r>
      <w:r>
        <w:rPr>
          <w:color w:val="231F20"/>
          <w:spacing w:val="-20"/>
          <w:w w:val="105"/>
        </w:rPr>
        <w:t> </w:t>
      </w:r>
      <w:r>
        <w:rPr>
          <w:color w:val="231F20"/>
          <w:w w:val="105"/>
        </w:rPr>
        <w:t>sea</w:t>
      </w:r>
      <w:r>
        <w:rPr>
          <w:color w:val="231F20"/>
          <w:spacing w:val="-20"/>
          <w:w w:val="105"/>
        </w:rPr>
        <w:t> </w:t>
      </w:r>
      <w:r>
        <w:rPr>
          <w:color w:val="231F20"/>
          <w:w w:val="105"/>
        </w:rPr>
        <w:t>en</w:t>
      </w:r>
      <w:r>
        <w:rPr>
          <w:color w:val="231F20"/>
          <w:spacing w:val="-20"/>
          <w:w w:val="105"/>
        </w:rPr>
        <w:t> </w:t>
      </w:r>
      <w:r>
        <w:rPr>
          <w:color w:val="231F20"/>
          <w:spacing w:val="-3"/>
          <w:w w:val="105"/>
        </w:rPr>
        <w:t>forma</w:t>
      </w:r>
      <w:r>
        <w:rPr>
          <w:color w:val="231F20"/>
          <w:spacing w:val="-20"/>
          <w:w w:val="105"/>
        </w:rPr>
        <w:t> </w:t>
      </w:r>
      <w:r>
        <w:rPr>
          <w:color w:val="231F20"/>
          <w:w w:val="105"/>
        </w:rPr>
        <w:t>masiva</w:t>
      </w:r>
      <w:r>
        <w:rPr>
          <w:color w:val="231F20"/>
          <w:spacing w:val="-20"/>
          <w:w w:val="105"/>
        </w:rPr>
        <w:t> </w:t>
      </w:r>
      <w:r>
        <w:rPr>
          <w:color w:val="231F20"/>
          <w:w w:val="105"/>
        </w:rPr>
        <w:t>o</w:t>
      </w:r>
      <w:r>
        <w:rPr>
          <w:color w:val="231F20"/>
          <w:spacing w:val="-20"/>
          <w:w w:val="105"/>
        </w:rPr>
        <w:t> </w:t>
      </w:r>
      <w:r>
        <w:rPr>
          <w:color w:val="231F20"/>
          <w:w w:val="105"/>
        </w:rPr>
        <w:t>focalizada, en</w:t>
      </w:r>
      <w:r>
        <w:rPr>
          <w:color w:val="231F20"/>
          <w:spacing w:val="-8"/>
          <w:w w:val="105"/>
        </w:rPr>
        <w:t> </w:t>
      </w:r>
      <w:r>
        <w:rPr>
          <w:color w:val="231F20"/>
          <w:w w:val="105"/>
        </w:rPr>
        <w:t>cuanto</w:t>
      </w:r>
      <w:r>
        <w:rPr>
          <w:color w:val="231F20"/>
          <w:spacing w:val="-8"/>
          <w:w w:val="105"/>
        </w:rPr>
        <w:t> </w:t>
      </w:r>
      <w:r>
        <w:rPr>
          <w:color w:val="231F20"/>
          <w:w w:val="105"/>
        </w:rPr>
        <w:t>al</w:t>
      </w:r>
      <w:r>
        <w:rPr>
          <w:color w:val="231F20"/>
          <w:spacing w:val="-8"/>
          <w:w w:val="105"/>
        </w:rPr>
        <w:t> </w:t>
      </w:r>
      <w:r>
        <w:rPr>
          <w:color w:val="231F20"/>
          <w:w w:val="105"/>
        </w:rPr>
        <w:t>peso</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tipo</w:t>
      </w:r>
      <w:r>
        <w:rPr>
          <w:color w:val="231F20"/>
          <w:spacing w:val="-8"/>
          <w:w w:val="105"/>
        </w:rPr>
        <w:t> </w:t>
      </w:r>
      <w:r>
        <w:rPr>
          <w:color w:val="231F20"/>
          <w:w w:val="105"/>
        </w:rPr>
        <w:t>de</w:t>
      </w:r>
      <w:r>
        <w:rPr>
          <w:color w:val="231F20"/>
          <w:spacing w:val="-8"/>
          <w:w w:val="105"/>
        </w:rPr>
        <w:t> </w:t>
      </w:r>
      <w:r>
        <w:rPr>
          <w:color w:val="231F20"/>
          <w:spacing w:val="-3"/>
          <w:w w:val="105"/>
        </w:rPr>
        <w:t>participación</w:t>
      </w:r>
      <w:r>
        <w:rPr>
          <w:color w:val="231F20"/>
          <w:spacing w:val="-8"/>
          <w:w w:val="105"/>
        </w:rPr>
        <w:t> </w:t>
      </w:r>
      <w:r>
        <w:rPr>
          <w:color w:val="231F20"/>
          <w:spacing w:val="-3"/>
          <w:w w:val="105"/>
        </w:rPr>
        <w:t>ciudadana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3"/>
          <w:w w:val="105"/>
        </w:rPr>
        <w:t>gestión</w:t>
      </w:r>
      <w:r>
        <w:rPr>
          <w:color w:val="231F20"/>
          <w:spacing w:val="-8"/>
          <w:w w:val="105"/>
        </w:rPr>
        <w:t> </w:t>
      </w:r>
      <w:r>
        <w:rPr>
          <w:color w:val="231F20"/>
          <w:w w:val="105"/>
        </w:rPr>
        <w:t>municipal</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4"/>
          <w:w w:val="105"/>
        </w:rPr>
        <w:t>rela- </w:t>
      </w:r>
      <w:r>
        <w:rPr>
          <w:color w:val="231F20"/>
          <w:spacing w:val="-3"/>
          <w:w w:val="105"/>
        </w:rPr>
        <w:t>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administración</w:t>
      </w:r>
      <w:r>
        <w:rPr>
          <w:color w:val="231F20"/>
          <w:spacing w:val="-23"/>
          <w:w w:val="105"/>
        </w:rPr>
        <w:t> </w:t>
      </w:r>
      <w:r>
        <w:rPr>
          <w:color w:val="231F20"/>
          <w:spacing w:val="-3"/>
          <w:w w:val="105"/>
        </w:rPr>
        <w:t>con</w:t>
      </w:r>
      <w:r>
        <w:rPr>
          <w:color w:val="231F20"/>
          <w:spacing w:val="-23"/>
          <w:w w:val="105"/>
        </w:rPr>
        <w:t> </w:t>
      </w:r>
      <w:r>
        <w:rPr>
          <w:color w:val="231F20"/>
          <w:w w:val="105"/>
        </w:rPr>
        <w:t>la</w:t>
      </w:r>
      <w:r>
        <w:rPr>
          <w:color w:val="231F20"/>
          <w:spacing w:val="-23"/>
          <w:w w:val="105"/>
        </w:rPr>
        <w:t> </w:t>
      </w:r>
      <w:r>
        <w:rPr>
          <w:color w:val="231F20"/>
          <w:spacing w:val="-3"/>
          <w:w w:val="105"/>
        </w:rPr>
        <w:t>sociedad</w:t>
      </w:r>
      <w:r>
        <w:rPr>
          <w:color w:val="231F20"/>
          <w:spacing w:val="-23"/>
          <w:w w:val="105"/>
        </w:rPr>
        <w:t> </w:t>
      </w:r>
      <w:r>
        <w:rPr>
          <w:color w:val="231F20"/>
          <w:spacing w:val="-6"/>
          <w:w w:val="105"/>
        </w:rPr>
        <w:t>(con</w:t>
      </w:r>
      <w:r>
        <w:rPr>
          <w:color w:val="231F20"/>
          <w:spacing w:val="-23"/>
          <w:w w:val="105"/>
        </w:rPr>
        <w:t> </w:t>
      </w:r>
      <w:r>
        <w:rPr>
          <w:color w:val="231F20"/>
          <w:w w:val="105"/>
        </w:rPr>
        <w:t>grupos</w:t>
      </w:r>
      <w:r>
        <w:rPr>
          <w:color w:val="231F20"/>
          <w:spacing w:val="-23"/>
          <w:w w:val="105"/>
        </w:rPr>
        <w:t> </w:t>
      </w:r>
      <w:r>
        <w:rPr>
          <w:color w:val="231F20"/>
          <w:w w:val="105"/>
        </w:rPr>
        <w:t>de</w:t>
      </w:r>
      <w:r>
        <w:rPr>
          <w:color w:val="231F20"/>
          <w:spacing w:val="-23"/>
          <w:w w:val="105"/>
        </w:rPr>
        <w:t> </w:t>
      </w:r>
      <w:r>
        <w:rPr>
          <w:color w:val="231F20"/>
          <w:spacing w:val="-3"/>
          <w:w w:val="105"/>
        </w:rPr>
        <w:t>interés</w:t>
      </w:r>
      <w:r>
        <w:rPr>
          <w:color w:val="231F20"/>
          <w:spacing w:val="-23"/>
          <w:w w:val="105"/>
        </w:rPr>
        <w:t> </w:t>
      </w:r>
      <w:r>
        <w:rPr>
          <w:color w:val="231F20"/>
          <w:w w:val="105"/>
        </w:rPr>
        <w:t>o</w:t>
      </w:r>
      <w:r>
        <w:rPr>
          <w:color w:val="231F20"/>
          <w:spacing w:val="-23"/>
          <w:w w:val="105"/>
        </w:rPr>
        <w:t> </w:t>
      </w:r>
      <w:r>
        <w:rPr>
          <w:color w:val="231F20"/>
          <w:spacing w:val="-4"/>
          <w:w w:val="105"/>
        </w:rPr>
        <w:t>bien</w:t>
      </w:r>
      <w:r>
        <w:rPr>
          <w:color w:val="231F20"/>
          <w:spacing w:val="-23"/>
          <w:w w:val="105"/>
        </w:rPr>
        <w:t> </w:t>
      </w:r>
      <w:r>
        <w:rPr>
          <w:color w:val="231F20"/>
          <w:spacing w:val="-3"/>
          <w:w w:val="105"/>
        </w:rPr>
        <w:t>con</w:t>
      </w:r>
      <w:r>
        <w:rPr>
          <w:color w:val="231F20"/>
          <w:spacing w:val="-23"/>
          <w:w w:val="105"/>
        </w:rPr>
        <w:t> </w:t>
      </w:r>
      <w:r>
        <w:rPr>
          <w:color w:val="231F20"/>
          <w:spacing w:val="-3"/>
          <w:w w:val="105"/>
        </w:rPr>
        <w:t>organizaciones sociales)</w:t>
      </w:r>
      <w:r>
        <w:rPr>
          <w:color w:val="231F20"/>
          <w:spacing w:val="-21"/>
          <w:w w:val="105"/>
        </w:rPr>
        <w:t> </w:t>
      </w:r>
      <w:r>
        <w:rPr>
          <w:color w:val="231F20"/>
          <w:spacing w:val="-8"/>
          <w:w w:val="105"/>
        </w:rPr>
        <w:t>y,</w:t>
      </w:r>
      <w:r>
        <w:rPr>
          <w:color w:val="231F20"/>
          <w:spacing w:val="-21"/>
          <w:w w:val="105"/>
        </w:rPr>
        <w:t> </w:t>
      </w:r>
      <w:r>
        <w:rPr>
          <w:color w:val="231F20"/>
          <w:w w:val="105"/>
        </w:rPr>
        <w:t>naturalmente,</w:t>
      </w:r>
      <w:r>
        <w:rPr>
          <w:color w:val="231F20"/>
          <w:spacing w:val="-21"/>
          <w:w w:val="105"/>
        </w:rPr>
        <w:t> </w:t>
      </w:r>
      <w:r>
        <w:rPr>
          <w:color w:val="231F20"/>
          <w:w w:val="105"/>
        </w:rPr>
        <w:t>en</w:t>
      </w:r>
      <w:r>
        <w:rPr>
          <w:color w:val="231F20"/>
          <w:spacing w:val="-21"/>
          <w:w w:val="105"/>
        </w:rPr>
        <w:t> </w:t>
      </w:r>
      <w:r>
        <w:rPr>
          <w:color w:val="231F20"/>
          <w:spacing w:val="-3"/>
          <w:w w:val="105"/>
        </w:rPr>
        <w:t>los</w:t>
      </w:r>
      <w:r>
        <w:rPr>
          <w:color w:val="231F20"/>
          <w:spacing w:val="-21"/>
          <w:w w:val="105"/>
        </w:rPr>
        <w:t> </w:t>
      </w:r>
      <w:r>
        <w:rPr>
          <w:color w:val="231F20"/>
          <w:w w:val="105"/>
        </w:rPr>
        <w:t>vínculos</w:t>
      </w:r>
      <w:r>
        <w:rPr>
          <w:color w:val="231F20"/>
          <w:spacing w:val="-21"/>
          <w:w w:val="105"/>
        </w:rPr>
        <w:t> </w:t>
      </w:r>
      <w:r>
        <w:rPr>
          <w:color w:val="231F20"/>
          <w:w w:val="105"/>
        </w:rPr>
        <w:t>cotidianos</w:t>
      </w:r>
      <w:r>
        <w:rPr>
          <w:color w:val="231F20"/>
          <w:spacing w:val="-21"/>
          <w:w w:val="105"/>
        </w:rPr>
        <w:t> </w:t>
      </w:r>
      <w:r>
        <w:rPr>
          <w:color w:val="231F20"/>
          <w:spacing w:val="-3"/>
          <w:w w:val="105"/>
        </w:rPr>
        <w:t>entre</w:t>
      </w:r>
      <w:r>
        <w:rPr>
          <w:color w:val="231F20"/>
          <w:spacing w:val="-21"/>
          <w:w w:val="105"/>
        </w:rPr>
        <w:t> </w:t>
      </w:r>
      <w:r>
        <w:rPr>
          <w:color w:val="231F20"/>
          <w:w w:val="105"/>
        </w:rPr>
        <w:t>partido</w:t>
      </w:r>
      <w:r>
        <w:rPr>
          <w:color w:val="231F20"/>
          <w:spacing w:val="-21"/>
          <w:w w:val="105"/>
        </w:rPr>
        <w:t> </w:t>
      </w:r>
      <w:r>
        <w:rPr>
          <w:color w:val="231F20"/>
          <w:w w:val="105"/>
        </w:rPr>
        <w:t>y</w:t>
      </w:r>
      <w:r>
        <w:rPr>
          <w:color w:val="231F20"/>
          <w:spacing w:val="-21"/>
          <w:w w:val="105"/>
        </w:rPr>
        <w:t> </w:t>
      </w:r>
      <w:r>
        <w:rPr>
          <w:color w:val="231F20"/>
          <w:spacing w:val="-4"/>
          <w:w w:val="105"/>
        </w:rPr>
        <w:t>gobierno.</w:t>
      </w:r>
      <w:r>
        <w:rPr>
          <w:color w:val="231F20"/>
          <w:spacing w:val="-21"/>
          <w:w w:val="105"/>
        </w:rPr>
        <w:t> </w:t>
      </w:r>
      <w:r>
        <w:rPr>
          <w:color w:val="231F20"/>
          <w:spacing w:val="-7"/>
          <w:w w:val="105"/>
        </w:rPr>
        <w:t>Todos</w:t>
      </w:r>
      <w:r>
        <w:rPr>
          <w:color w:val="231F20"/>
          <w:spacing w:val="-21"/>
          <w:w w:val="105"/>
        </w:rPr>
        <w:t> </w:t>
      </w:r>
      <w:r>
        <w:rPr>
          <w:color w:val="231F20"/>
          <w:spacing w:val="-3"/>
          <w:w w:val="105"/>
        </w:rPr>
        <w:t>estos </w:t>
      </w:r>
      <w:r>
        <w:rPr>
          <w:color w:val="231F20"/>
          <w:spacing w:val="-4"/>
          <w:w w:val="105"/>
        </w:rPr>
        <w:t>elementos</w:t>
      </w:r>
      <w:r>
        <w:rPr>
          <w:color w:val="231F20"/>
          <w:spacing w:val="-14"/>
          <w:w w:val="105"/>
        </w:rPr>
        <w:t> </w:t>
      </w:r>
      <w:r>
        <w:rPr>
          <w:color w:val="231F20"/>
          <w:w w:val="105"/>
        </w:rPr>
        <w:t>deberían</w:t>
      </w:r>
      <w:r>
        <w:rPr>
          <w:color w:val="231F20"/>
          <w:spacing w:val="-14"/>
          <w:w w:val="105"/>
        </w:rPr>
        <w:t> </w:t>
      </w:r>
      <w:r>
        <w:rPr>
          <w:color w:val="231F20"/>
          <w:w w:val="105"/>
        </w:rPr>
        <w:t>constituir</w:t>
      </w:r>
      <w:r>
        <w:rPr>
          <w:color w:val="231F20"/>
          <w:spacing w:val="-14"/>
          <w:w w:val="105"/>
        </w:rPr>
        <w:t> </w:t>
      </w:r>
      <w:r>
        <w:rPr>
          <w:color w:val="231F20"/>
          <w:w w:val="105"/>
        </w:rPr>
        <w:t>las</w:t>
      </w:r>
      <w:r>
        <w:rPr>
          <w:color w:val="231F20"/>
          <w:spacing w:val="-14"/>
          <w:w w:val="105"/>
        </w:rPr>
        <w:t> </w:t>
      </w:r>
      <w:r>
        <w:rPr>
          <w:color w:val="231F20"/>
          <w:w w:val="105"/>
        </w:rPr>
        <w:t>razones</w:t>
      </w:r>
      <w:r>
        <w:rPr>
          <w:color w:val="231F20"/>
          <w:spacing w:val="-14"/>
          <w:w w:val="105"/>
        </w:rPr>
        <w:t> </w:t>
      </w:r>
      <w:r>
        <w:rPr>
          <w:color w:val="231F20"/>
          <w:w w:val="105"/>
        </w:rPr>
        <w:t>sustantivas</w:t>
      </w:r>
      <w:r>
        <w:rPr>
          <w:color w:val="231F20"/>
          <w:spacing w:val="-14"/>
          <w:w w:val="105"/>
        </w:rPr>
        <w:t> </w:t>
      </w:r>
      <w:r>
        <w:rPr>
          <w:color w:val="231F20"/>
          <w:w w:val="105"/>
        </w:rPr>
        <w:t>para</w:t>
      </w:r>
      <w:r>
        <w:rPr>
          <w:color w:val="231F20"/>
          <w:spacing w:val="-14"/>
          <w:w w:val="105"/>
        </w:rPr>
        <w:t> </w:t>
      </w:r>
      <w:r>
        <w:rPr>
          <w:color w:val="231F20"/>
          <w:spacing w:val="-3"/>
          <w:w w:val="105"/>
        </w:rPr>
        <w:t>que</w:t>
      </w:r>
      <w:r>
        <w:rPr>
          <w:color w:val="231F20"/>
          <w:spacing w:val="-14"/>
          <w:w w:val="105"/>
        </w:rPr>
        <w:t> </w:t>
      </w:r>
      <w:r>
        <w:rPr>
          <w:color w:val="231F20"/>
          <w:w w:val="105"/>
        </w:rPr>
        <w:t>el</w:t>
      </w:r>
      <w:r>
        <w:rPr>
          <w:color w:val="231F20"/>
          <w:spacing w:val="-14"/>
          <w:w w:val="105"/>
        </w:rPr>
        <w:t> </w:t>
      </w:r>
      <w:r>
        <w:rPr>
          <w:color w:val="231F20"/>
          <w:spacing w:val="-3"/>
          <w:w w:val="105"/>
        </w:rPr>
        <w:t>ciudadano</w:t>
      </w:r>
      <w:r>
        <w:rPr>
          <w:color w:val="231F20"/>
          <w:spacing w:val="-14"/>
          <w:w w:val="105"/>
        </w:rPr>
        <w:t> </w:t>
      </w:r>
      <w:r>
        <w:rPr>
          <w:color w:val="231F20"/>
          <w:w w:val="105"/>
        </w:rPr>
        <w:t>determinara </w:t>
      </w:r>
      <w:r>
        <w:rPr>
          <w:color w:val="231F20"/>
          <w:spacing w:val="-3"/>
          <w:w w:val="105"/>
        </w:rPr>
        <w:t>con</w:t>
      </w:r>
      <w:r>
        <w:rPr>
          <w:color w:val="231F20"/>
          <w:spacing w:val="-11"/>
          <w:w w:val="105"/>
        </w:rPr>
        <w:t> </w:t>
      </w:r>
      <w:r>
        <w:rPr>
          <w:color w:val="231F20"/>
          <w:spacing w:val="-3"/>
          <w:w w:val="105"/>
        </w:rPr>
        <w:t>conocimiento</w:t>
      </w:r>
      <w:r>
        <w:rPr>
          <w:color w:val="231F20"/>
          <w:spacing w:val="-11"/>
          <w:w w:val="105"/>
        </w:rPr>
        <w:t> </w:t>
      </w:r>
      <w:r>
        <w:rPr>
          <w:color w:val="231F20"/>
          <w:w w:val="105"/>
        </w:rPr>
        <w:t>de</w:t>
      </w:r>
      <w:r>
        <w:rPr>
          <w:color w:val="231F20"/>
          <w:spacing w:val="-11"/>
          <w:w w:val="105"/>
        </w:rPr>
        <w:t> </w:t>
      </w:r>
      <w:r>
        <w:rPr>
          <w:color w:val="231F20"/>
          <w:w w:val="105"/>
        </w:rPr>
        <w:t>causa</w:t>
      </w:r>
      <w:r>
        <w:rPr>
          <w:color w:val="231F20"/>
          <w:spacing w:val="-11"/>
          <w:w w:val="105"/>
        </w:rPr>
        <w:t> </w:t>
      </w:r>
      <w:r>
        <w:rPr>
          <w:color w:val="231F20"/>
          <w:spacing w:val="-3"/>
          <w:w w:val="105"/>
        </w:rPr>
        <w:t>quiénes</w:t>
      </w:r>
      <w:r>
        <w:rPr>
          <w:color w:val="231F20"/>
          <w:spacing w:val="-11"/>
          <w:w w:val="105"/>
        </w:rPr>
        <w:t> </w:t>
      </w:r>
      <w:r>
        <w:rPr>
          <w:color w:val="231F20"/>
          <w:spacing w:val="-3"/>
          <w:w w:val="105"/>
        </w:rPr>
        <w:t>son</w:t>
      </w:r>
      <w:r>
        <w:rPr>
          <w:color w:val="231F20"/>
          <w:spacing w:val="-11"/>
          <w:w w:val="105"/>
        </w:rPr>
        <w:t> </w:t>
      </w:r>
      <w:r>
        <w:rPr>
          <w:color w:val="231F20"/>
          <w:w w:val="105"/>
        </w:rPr>
        <w:t>o</w:t>
      </w:r>
      <w:r>
        <w:rPr>
          <w:color w:val="231F20"/>
          <w:spacing w:val="-11"/>
          <w:w w:val="105"/>
        </w:rPr>
        <w:t> </w:t>
      </w:r>
      <w:r>
        <w:rPr>
          <w:color w:val="231F20"/>
          <w:spacing w:val="-3"/>
          <w:w w:val="105"/>
        </w:rPr>
        <w:t>quiénes</w:t>
      </w:r>
      <w:r>
        <w:rPr>
          <w:color w:val="231F20"/>
          <w:spacing w:val="-11"/>
          <w:w w:val="105"/>
        </w:rPr>
        <w:t> </w:t>
      </w:r>
      <w:r>
        <w:rPr>
          <w:color w:val="231F20"/>
          <w:w w:val="105"/>
        </w:rPr>
        <w:t>serán</w:t>
      </w:r>
      <w:r>
        <w:rPr>
          <w:color w:val="231F20"/>
          <w:spacing w:val="-11"/>
          <w:w w:val="105"/>
        </w:rPr>
        <w:t> </w:t>
      </w:r>
      <w:r>
        <w:rPr>
          <w:color w:val="231F20"/>
          <w:w w:val="105"/>
        </w:rPr>
        <w:t>sus</w:t>
      </w:r>
      <w:r>
        <w:rPr>
          <w:color w:val="231F20"/>
          <w:spacing w:val="-11"/>
          <w:w w:val="105"/>
        </w:rPr>
        <w:t> </w:t>
      </w:r>
      <w:r>
        <w:rPr>
          <w:color w:val="231F20"/>
          <w:spacing w:val="-3"/>
          <w:w w:val="105"/>
        </w:rPr>
        <w:t>gobernantes.</w:t>
      </w:r>
    </w:p>
    <w:p>
      <w:pPr>
        <w:spacing w:after="0" w:line="285" w:lineRule="auto"/>
        <w:jc w:val="both"/>
        <w:sectPr>
          <w:pgSz w:w="9640" w:h="12190"/>
          <w:pgMar w:header="0" w:footer="743" w:top="1120" w:bottom="94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spacing w:val="-8"/>
          <w:w w:val="130"/>
        </w:rPr>
        <w:t>Partido Revolucionario </w:t>
      </w:r>
      <w:r>
        <w:rPr>
          <w:color w:val="231F20"/>
          <w:spacing w:val="-9"/>
          <w:w w:val="130"/>
        </w:rPr>
        <w:t>Institucional</w:t>
      </w:r>
    </w:p>
    <w:p>
      <w:pPr>
        <w:spacing w:after="0"/>
        <w:sectPr>
          <w:footerReference w:type="default" r:id="rId27"/>
          <w:pgSz w:w="9640" w:h="12190"/>
          <w:pgMar w:footer="0" w:header="0" w:top="1120" w:bottom="280" w:left="1240" w:right="12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pStyle w:val="Heading2"/>
        <w:spacing w:line="367" w:lineRule="auto"/>
        <w:ind w:left="104"/>
      </w:pPr>
      <w:r>
        <w:rPr>
          <w:color w:val="231F20"/>
          <w:w w:val="105"/>
        </w:rPr>
        <w:t>Decisiones </w:t>
      </w:r>
      <w:r>
        <w:rPr>
          <w:color w:val="231F20"/>
          <w:spacing w:val="-3"/>
          <w:w w:val="105"/>
        </w:rPr>
        <w:t>de </w:t>
      </w:r>
      <w:r>
        <w:rPr>
          <w:color w:val="231F20"/>
          <w:spacing w:val="-4"/>
          <w:w w:val="105"/>
        </w:rPr>
        <w:t>gobierno </w:t>
      </w:r>
      <w:r>
        <w:rPr>
          <w:color w:val="231F20"/>
          <w:w w:val="105"/>
        </w:rPr>
        <w:t>municipal sin partido local. Diseño institucional y estructuración centralizada </w:t>
      </w:r>
      <w:r>
        <w:rPr>
          <w:color w:val="231F20"/>
          <w:spacing w:val="-4"/>
          <w:w w:val="105"/>
        </w:rPr>
        <w:t>del gobierno </w:t>
      </w:r>
      <w:r>
        <w:rPr>
          <w:color w:val="231F20"/>
          <w:w w:val="105"/>
        </w:rPr>
        <w:t>municipal </w:t>
      </w:r>
      <w:r>
        <w:rPr>
          <w:color w:val="231F20"/>
          <w:spacing w:val="-3"/>
          <w:w w:val="105"/>
        </w:rPr>
        <w:t>de </w:t>
      </w:r>
      <w:r>
        <w:rPr>
          <w:color w:val="231F20"/>
          <w:w w:val="105"/>
        </w:rPr>
        <w:t>Huixquilucan</w:t>
      </w:r>
    </w:p>
    <w:p>
      <w:pPr>
        <w:spacing w:before="140"/>
        <w:ind w:left="0" w:right="108" w:firstLine="0"/>
        <w:jc w:val="right"/>
        <w:rPr>
          <w:i/>
          <w:sz w:val="20"/>
        </w:rPr>
      </w:pPr>
      <w:r>
        <w:rPr>
          <w:i/>
          <w:color w:val="231F20"/>
          <w:sz w:val="20"/>
        </w:rPr>
        <w:t>Gustavo  Martínez Valdes</w:t>
      </w:r>
    </w:p>
    <w:p>
      <w:pPr>
        <w:pStyle w:val="BodyText"/>
        <w:spacing w:before="3"/>
        <w:rPr>
          <w:i/>
          <w:sz w:val="27"/>
        </w:rPr>
      </w:pPr>
    </w:p>
    <w:p>
      <w:pPr>
        <w:pStyle w:val="Heading3"/>
      </w:pPr>
      <w:r>
        <w:rPr>
          <w:color w:val="231F20"/>
          <w:w w:val="105"/>
        </w:rPr>
        <w:t>Introducción</w:t>
      </w:r>
    </w:p>
    <w:p>
      <w:pPr>
        <w:pStyle w:val="BodyText"/>
        <w:spacing w:line="285" w:lineRule="auto" w:before="38"/>
        <w:ind w:left="110" w:right="107"/>
        <w:jc w:val="both"/>
      </w:pPr>
      <w:r>
        <w:rPr>
          <w:color w:val="231F20"/>
          <w:w w:val="105"/>
        </w:rPr>
        <w:t>El</w:t>
      </w:r>
      <w:r>
        <w:rPr>
          <w:color w:val="231F20"/>
          <w:spacing w:val="-18"/>
          <w:w w:val="105"/>
        </w:rPr>
        <w:t> </w:t>
      </w:r>
      <w:r>
        <w:rPr>
          <w:color w:val="231F20"/>
          <w:w w:val="105"/>
        </w:rPr>
        <w:t>principal</w:t>
      </w:r>
      <w:r>
        <w:rPr>
          <w:color w:val="231F20"/>
          <w:spacing w:val="-18"/>
          <w:w w:val="105"/>
        </w:rPr>
        <w:t> </w:t>
      </w:r>
      <w:r>
        <w:rPr>
          <w:color w:val="231F20"/>
          <w:w w:val="105"/>
        </w:rPr>
        <w:t>objetivo</w:t>
      </w:r>
      <w:r>
        <w:rPr>
          <w:color w:val="231F20"/>
          <w:spacing w:val="-18"/>
          <w:w w:val="105"/>
        </w:rPr>
        <w:t> </w:t>
      </w:r>
      <w:r>
        <w:rPr>
          <w:color w:val="231F20"/>
          <w:w w:val="105"/>
        </w:rPr>
        <w:t>de</w:t>
      </w:r>
      <w:r>
        <w:rPr>
          <w:color w:val="231F20"/>
          <w:spacing w:val="-18"/>
          <w:w w:val="105"/>
        </w:rPr>
        <w:t> </w:t>
      </w:r>
      <w:r>
        <w:rPr>
          <w:color w:val="231F20"/>
          <w:w w:val="105"/>
        </w:rPr>
        <w:t>este</w:t>
      </w:r>
      <w:r>
        <w:rPr>
          <w:color w:val="231F20"/>
          <w:spacing w:val="-18"/>
          <w:w w:val="105"/>
        </w:rPr>
        <w:t> </w:t>
      </w:r>
      <w:r>
        <w:rPr>
          <w:color w:val="231F20"/>
          <w:w w:val="105"/>
        </w:rPr>
        <w:t>artículo</w:t>
      </w:r>
      <w:r>
        <w:rPr>
          <w:color w:val="231F20"/>
          <w:spacing w:val="-18"/>
          <w:w w:val="105"/>
        </w:rPr>
        <w:t> </w:t>
      </w:r>
      <w:r>
        <w:rPr>
          <w:color w:val="231F20"/>
          <w:w w:val="105"/>
        </w:rPr>
        <w:t>consiste</w:t>
      </w:r>
      <w:r>
        <w:rPr>
          <w:color w:val="231F20"/>
          <w:spacing w:val="-18"/>
          <w:w w:val="105"/>
        </w:rPr>
        <w:t> </w:t>
      </w:r>
      <w:r>
        <w:rPr>
          <w:color w:val="231F20"/>
          <w:w w:val="105"/>
        </w:rPr>
        <w:t>en</w:t>
      </w:r>
      <w:r>
        <w:rPr>
          <w:color w:val="231F20"/>
          <w:spacing w:val="-18"/>
          <w:w w:val="105"/>
        </w:rPr>
        <w:t> </w:t>
      </w:r>
      <w:r>
        <w:rPr>
          <w:color w:val="231F20"/>
          <w:spacing w:val="2"/>
          <w:w w:val="105"/>
        </w:rPr>
        <w:t>analizar</w:t>
      </w:r>
      <w:r>
        <w:rPr>
          <w:color w:val="231F20"/>
          <w:spacing w:val="-18"/>
          <w:w w:val="105"/>
        </w:rPr>
        <w:t> </w:t>
      </w:r>
      <w:r>
        <w:rPr>
          <w:color w:val="231F20"/>
          <w:w w:val="105"/>
        </w:rPr>
        <w:t>las</w:t>
      </w:r>
      <w:r>
        <w:rPr>
          <w:color w:val="231F20"/>
          <w:spacing w:val="-18"/>
          <w:w w:val="105"/>
        </w:rPr>
        <w:t> </w:t>
      </w:r>
      <w:r>
        <w:rPr>
          <w:color w:val="231F20"/>
          <w:w w:val="105"/>
        </w:rPr>
        <w:t>condiciones</w:t>
      </w:r>
      <w:r>
        <w:rPr>
          <w:color w:val="231F20"/>
          <w:spacing w:val="-18"/>
          <w:w w:val="105"/>
        </w:rPr>
        <w:t> </w:t>
      </w:r>
      <w:r>
        <w:rPr>
          <w:color w:val="231F20"/>
          <w:w w:val="105"/>
        </w:rPr>
        <w:t>institucionales que caracterizan </w:t>
      </w:r>
      <w:r>
        <w:rPr>
          <w:color w:val="231F20"/>
          <w:spacing w:val="2"/>
          <w:w w:val="105"/>
        </w:rPr>
        <w:t>al </w:t>
      </w:r>
      <w:r>
        <w:rPr>
          <w:color w:val="231F20"/>
          <w:w w:val="105"/>
        </w:rPr>
        <w:t>gobierno municipal de Huixquilucan, Estado de México. De esta manera</w:t>
      </w:r>
      <w:r>
        <w:rPr>
          <w:color w:val="231F20"/>
          <w:spacing w:val="-18"/>
          <w:w w:val="105"/>
        </w:rPr>
        <w:t> </w:t>
      </w:r>
      <w:r>
        <w:rPr>
          <w:color w:val="231F20"/>
          <w:w w:val="105"/>
        </w:rPr>
        <w:t>se</w:t>
      </w:r>
      <w:r>
        <w:rPr>
          <w:color w:val="231F20"/>
          <w:spacing w:val="-18"/>
          <w:w w:val="105"/>
        </w:rPr>
        <w:t> </w:t>
      </w:r>
      <w:r>
        <w:rPr>
          <w:color w:val="231F20"/>
          <w:w w:val="105"/>
        </w:rPr>
        <w:t>pretende</w:t>
      </w:r>
      <w:r>
        <w:rPr>
          <w:color w:val="231F20"/>
          <w:spacing w:val="-18"/>
          <w:w w:val="105"/>
        </w:rPr>
        <w:t> </w:t>
      </w:r>
      <w:r>
        <w:rPr>
          <w:color w:val="231F20"/>
          <w:w w:val="105"/>
        </w:rPr>
        <w:t>identificar</w:t>
      </w:r>
      <w:r>
        <w:rPr>
          <w:color w:val="231F20"/>
          <w:spacing w:val="-18"/>
          <w:w w:val="105"/>
        </w:rPr>
        <w:t> </w:t>
      </w:r>
      <w:r>
        <w:rPr>
          <w:color w:val="231F20"/>
          <w:w w:val="105"/>
        </w:rPr>
        <w:t>los</w:t>
      </w:r>
      <w:r>
        <w:rPr>
          <w:color w:val="231F20"/>
          <w:spacing w:val="-18"/>
          <w:w w:val="105"/>
        </w:rPr>
        <w:t> </w:t>
      </w:r>
      <w:r>
        <w:rPr>
          <w:color w:val="231F20"/>
          <w:w w:val="105"/>
        </w:rPr>
        <w:t>principales</w:t>
      </w:r>
      <w:r>
        <w:rPr>
          <w:color w:val="231F20"/>
          <w:spacing w:val="-18"/>
          <w:w w:val="105"/>
        </w:rPr>
        <w:t> </w:t>
      </w:r>
      <w:r>
        <w:rPr>
          <w:color w:val="231F20"/>
          <w:w w:val="105"/>
        </w:rPr>
        <w:t>factores</w:t>
      </w:r>
      <w:r>
        <w:rPr>
          <w:color w:val="231F20"/>
          <w:spacing w:val="-18"/>
          <w:w w:val="105"/>
        </w:rPr>
        <w:t> </w:t>
      </w:r>
      <w:r>
        <w:rPr>
          <w:color w:val="231F20"/>
          <w:w w:val="105"/>
        </w:rPr>
        <w:t>institucionales</w:t>
      </w:r>
      <w:r>
        <w:rPr>
          <w:color w:val="231F20"/>
          <w:spacing w:val="-18"/>
          <w:w w:val="105"/>
        </w:rPr>
        <w:t> </w:t>
      </w:r>
      <w:r>
        <w:rPr>
          <w:color w:val="231F20"/>
          <w:w w:val="105"/>
        </w:rPr>
        <w:t>que</w:t>
      </w:r>
      <w:r>
        <w:rPr>
          <w:color w:val="231F20"/>
          <w:spacing w:val="-18"/>
          <w:w w:val="105"/>
        </w:rPr>
        <w:t> </w:t>
      </w:r>
      <w:r>
        <w:rPr>
          <w:color w:val="231F20"/>
          <w:w w:val="105"/>
        </w:rPr>
        <w:t>influyen</w:t>
      </w:r>
      <w:r>
        <w:rPr>
          <w:color w:val="231F20"/>
          <w:spacing w:val="-18"/>
          <w:w w:val="105"/>
        </w:rPr>
        <w:t> </w:t>
      </w:r>
      <w:r>
        <w:rPr>
          <w:color w:val="231F20"/>
          <w:w w:val="105"/>
        </w:rPr>
        <w:t>en</w:t>
      </w:r>
      <w:r>
        <w:rPr>
          <w:color w:val="231F20"/>
          <w:spacing w:val="-18"/>
          <w:w w:val="105"/>
        </w:rPr>
        <w:t> </w:t>
      </w:r>
      <w:r>
        <w:rPr>
          <w:color w:val="231F20"/>
          <w:w w:val="105"/>
        </w:rPr>
        <w:t>la toma</w:t>
      </w:r>
      <w:r>
        <w:rPr>
          <w:color w:val="231F20"/>
          <w:spacing w:val="-16"/>
          <w:w w:val="105"/>
        </w:rPr>
        <w:t> </w:t>
      </w:r>
      <w:r>
        <w:rPr>
          <w:color w:val="231F20"/>
          <w:w w:val="105"/>
        </w:rPr>
        <w:t>de</w:t>
      </w:r>
      <w:r>
        <w:rPr>
          <w:color w:val="231F20"/>
          <w:spacing w:val="-16"/>
          <w:w w:val="105"/>
        </w:rPr>
        <w:t> </w:t>
      </w:r>
      <w:r>
        <w:rPr>
          <w:color w:val="231F20"/>
          <w:w w:val="105"/>
        </w:rPr>
        <w:t>decisiones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pública</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spacing w:val="-7"/>
          <w:w w:val="105"/>
        </w:rPr>
        <w:t>y,</w:t>
      </w:r>
      <w:r>
        <w:rPr>
          <w:color w:val="231F20"/>
          <w:spacing w:val="-16"/>
          <w:w w:val="105"/>
        </w:rPr>
        <w:t> </w:t>
      </w:r>
      <w:r>
        <w:rPr>
          <w:color w:val="231F20"/>
          <w:w w:val="105"/>
        </w:rPr>
        <w:t>de</w:t>
      </w:r>
      <w:r>
        <w:rPr>
          <w:color w:val="231F20"/>
          <w:spacing w:val="-16"/>
          <w:w w:val="105"/>
        </w:rPr>
        <w:t> </w:t>
      </w:r>
      <w:r>
        <w:rPr>
          <w:color w:val="231F20"/>
          <w:w w:val="105"/>
        </w:rPr>
        <w:t>manera</w:t>
      </w:r>
      <w:r>
        <w:rPr>
          <w:color w:val="231F20"/>
          <w:spacing w:val="-16"/>
          <w:w w:val="105"/>
        </w:rPr>
        <w:t> </w:t>
      </w:r>
      <w:r>
        <w:rPr>
          <w:color w:val="231F20"/>
          <w:w w:val="105"/>
        </w:rPr>
        <w:t>secundaria, se</w:t>
      </w:r>
      <w:r>
        <w:rPr>
          <w:color w:val="231F20"/>
          <w:spacing w:val="-9"/>
          <w:w w:val="105"/>
        </w:rPr>
        <w:t> </w:t>
      </w:r>
      <w:r>
        <w:rPr>
          <w:color w:val="231F20"/>
          <w:w w:val="105"/>
        </w:rPr>
        <w:t>pretende</w:t>
      </w:r>
      <w:r>
        <w:rPr>
          <w:color w:val="231F20"/>
          <w:spacing w:val="-9"/>
          <w:w w:val="105"/>
        </w:rPr>
        <w:t> </w:t>
      </w:r>
      <w:r>
        <w:rPr>
          <w:color w:val="231F20"/>
          <w:w w:val="105"/>
        </w:rPr>
        <w:t>identificar</w:t>
      </w:r>
      <w:r>
        <w:rPr>
          <w:color w:val="231F20"/>
          <w:spacing w:val="-9"/>
          <w:w w:val="105"/>
        </w:rPr>
        <w:t> </w:t>
      </w:r>
      <w:r>
        <w:rPr>
          <w:color w:val="231F20"/>
          <w:w w:val="105"/>
        </w:rPr>
        <w:t>el</w:t>
      </w:r>
      <w:r>
        <w:rPr>
          <w:color w:val="231F20"/>
          <w:spacing w:val="-9"/>
          <w:w w:val="105"/>
        </w:rPr>
        <w:t> </w:t>
      </w:r>
      <w:r>
        <w:rPr>
          <w:color w:val="231F20"/>
          <w:w w:val="105"/>
        </w:rPr>
        <w:t>grado</w:t>
      </w:r>
      <w:r>
        <w:rPr>
          <w:color w:val="231F20"/>
          <w:spacing w:val="-9"/>
          <w:w w:val="105"/>
        </w:rPr>
        <w:t> </w:t>
      </w:r>
      <w:r>
        <w:rPr>
          <w:color w:val="231F20"/>
          <w:w w:val="105"/>
        </w:rPr>
        <w:t>de</w:t>
      </w:r>
      <w:r>
        <w:rPr>
          <w:color w:val="231F20"/>
          <w:spacing w:val="-9"/>
          <w:w w:val="105"/>
        </w:rPr>
        <w:t> </w:t>
      </w:r>
      <w:r>
        <w:rPr>
          <w:color w:val="231F20"/>
          <w:w w:val="105"/>
        </w:rPr>
        <w:t>intervención</w:t>
      </w:r>
      <w:r>
        <w:rPr>
          <w:color w:val="231F20"/>
          <w:spacing w:val="-9"/>
          <w:w w:val="105"/>
        </w:rPr>
        <w:t> </w:t>
      </w:r>
      <w:r>
        <w:rPr>
          <w:color w:val="231F20"/>
          <w:w w:val="105"/>
        </w:rPr>
        <w:t>del</w:t>
      </w:r>
      <w:r>
        <w:rPr>
          <w:color w:val="231F20"/>
          <w:spacing w:val="-9"/>
          <w:w w:val="105"/>
        </w:rPr>
        <w:t> </w:t>
      </w:r>
      <w:r>
        <w:rPr>
          <w:color w:val="231F20"/>
          <w:w w:val="105"/>
        </w:rPr>
        <w:t>partido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spacing w:val="2"/>
          <w:w w:val="105"/>
        </w:rPr>
        <w:t>al</w:t>
      </w:r>
      <w:r>
        <w:rPr>
          <w:color w:val="231F20"/>
          <w:spacing w:val="-9"/>
          <w:w w:val="105"/>
        </w:rPr>
        <w:t> </w:t>
      </w:r>
      <w:r>
        <w:rPr>
          <w:color w:val="231F20"/>
          <w:w w:val="105"/>
        </w:rPr>
        <w:t>interior</w:t>
      </w:r>
      <w:r>
        <w:rPr>
          <w:color w:val="231F20"/>
          <w:spacing w:val="-9"/>
          <w:w w:val="105"/>
        </w:rPr>
        <w:t> </w:t>
      </w:r>
      <w:r>
        <w:rPr>
          <w:color w:val="231F20"/>
          <w:w w:val="105"/>
        </w:rPr>
        <w:t>de la estructura administrativa y del</w:t>
      </w:r>
      <w:r>
        <w:rPr>
          <w:color w:val="231F20"/>
          <w:spacing w:val="-35"/>
          <w:w w:val="105"/>
        </w:rPr>
        <w:t> </w:t>
      </w:r>
      <w:r>
        <w:rPr>
          <w:color w:val="231F20"/>
          <w:w w:val="105"/>
        </w:rPr>
        <w:t>cabildo.</w:t>
      </w:r>
    </w:p>
    <w:p>
      <w:pPr>
        <w:pStyle w:val="BodyText"/>
        <w:spacing w:before="1"/>
        <w:rPr>
          <w:sz w:val="26"/>
        </w:rPr>
      </w:pPr>
    </w:p>
    <w:p>
      <w:pPr>
        <w:pStyle w:val="BodyText"/>
        <w:spacing w:line="285" w:lineRule="auto"/>
        <w:ind w:left="110" w:right="108"/>
        <w:jc w:val="both"/>
      </w:pPr>
      <w:r>
        <w:rPr>
          <w:color w:val="231F20"/>
          <w:w w:val="105"/>
        </w:rPr>
        <w:t>La importancia de estudiar a este municipio radica en que es el territorio en el que se ha registrado el mayor nivel de ingresos per cápita anual en la entidad mexiquense</w:t>
      </w:r>
      <w:r>
        <w:rPr>
          <w:color w:val="231F20"/>
          <w:w w:val="105"/>
          <w:position w:val="7"/>
          <w:sz w:val="13"/>
        </w:rPr>
        <w:t>1</w:t>
      </w:r>
      <w:r>
        <w:rPr>
          <w:color w:val="231F20"/>
          <w:w w:val="105"/>
        </w:rPr>
        <w:t>. Sin</w:t>
      </w:r>
      <w:r>
        <w:rPr>
          <w:color w:val="231F20"/>
          <w:spacing w:val="-8"/>
          <w:w w:val="105"/>
        </w:rPr>
        <w:t> </w:t>
      </w:r>
      <w:r>
        <w:rPr>
          <w:color w:val="231F20"/>
          <w:w w:val="105"/>
        </w:rPr>
        <w:t>embargo,</w:t>
      </w:r>
      <w:r>
        <w:rPr>
          <w:color w:val="231F20"/>
          <w:spacing w:val="-8"/>
          <w:w w:val="105"/>
        </w:rPr>
        <w:t> </w:t>
      </w:r>
      <w:r>
        <w:rPr>
          <w:color w:val="231F20"/>
          <w:w w:val="105"/>
        </w:rPr>
        <w:t>esto</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traducido</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mejor</w:t>
      </w:r>
      <w:r>
        <w:rPr>
          <w:color w:val="231F20"/>
          <w:spacing w:val="-8"/>
          <w:w w:val="105"/>
        </w:rPr>
        <w:t> </w:t>
      </w:r>
      <w:r>
        <w:rPr>
          <w:color w:val="231F20"/>
          <w:w w:val="105"/>
        </w:rPr>
        <w:t>nivel</w:t>
      </w:r>
      <w:r>
        <w:rPr>
          <w:color w:val="231F20"/>
          <w:spacing w:val="-8"/>
          <w:w w:val="105"/>
        </w:rPr>
        <w:t> </w:t>
      </w:r>
      <w:r>
        <w:rPr>
          <w:color w:val="231F20"/>
          <w:w w:val="105"/>
        </w:rPr>
        <w:t>de</w:t>
      </w:r>
      <w:r>
        <w:rPr>
          <w:color w:val="231F20"/>
          <w:spacing w:val="-8"/>
          <w:w w:val="105"/>
        </w:rPr>
        <w:t> </w:t>
      </w:r>
      <w:r>
        <w:rPr>
          <w:color w:val="231F20"/>
          <w:w w:val="105"/>
        </w:rPr>
        <w:t>desarrollo</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habitantes, inclusive descendió en el </w:t>
      </w:r>
      <w:r>
        <w:rPr>
          <w:color w:val="231F20"/>
          <w:spacing w:val="2"/>
          <w:w w:val="105"/>
        </w:rPr>
        <w:t>ranking </w:t>
      </w:r>
      <w:r>
        <w:rPr>
          <w:color w:val="231F20"/>
          <w:w w:val="105"/>
        </w:rPr>
        <w:t>estatal</w:t>
      </w:r>
      <w:r>
        <w:rPr>
          <w:color w:val="231F20"/>
          <w:w w:val="105"/>
          <w:position w:val="7"/>
          <w:sz w:val="13"/>
        </w:rPr>
        <w:t>2 </w:t>
      </w:r>
      <w:r>
        <w:rPr>
          <w:color w:val="231F20"/>
          <w:w w:val="105"/>
        </w:rPr>
        <w:t>de las mediciones realizadas en el Índice de Desarrollo</w:t>
      </w:r>
      <w:r>
        <w:rPr>
          <w:color w:val="231F20"/>
          <w:spacing w:val="-22"/>
          <w:w w:val="105"/>
        </w:rPr>
        <w:t> </w:t>
      </w:r>
      <w:r>
        <w:rPr>
          <w:color w:val="231F20"/>
          <w:w w:val="105"/>
        </w:rPr>
        <w:t>Humano</w:t>
      </w:r>
      <w:r>
        <w:rPr>
          <w:color w:val="231F20"/>
          <w:spacing w:val="-22"/>
          <w:w w:val="105"/>
        </w:rPr>
        <w:t> </w:t>
      </w:r>
      <w:r>
        <w:rPr>
          <w:color w:val="231F20"/>
          <w:w w:val="105"/>
        </w:rPr>
        <w:t>para</w:t>
      </w:r>
      <w:r>
        <w:rPr>
          <w:color w:val="231F20"/>
          <w:spacing w:val="-22"/>
          <w:w w:val="105"/>
        </w:rPr>
        <w:t> </w:t>
      </w:r>
      <w:r>
        <w:rPr>
          <w:color w:val="231F20"/>
          <w:w w:val="105"/>
        </w:rPr>
        <w:t>el</w:t>
      </w:r>
      <w:r>
        <w:rPr>
          <w:color w:val="231F20"/>
          <w:spacing w:val="-22"/>
          <w:w w:val="105"/>
        </w:rPr>
        <w:t> </w:t>
      </w:r>
      <w:r>
        <w:rPr>
          <w:color w:val="231F20"/>
          <w:w w:val="105"/>
        </w:rPr>
        <w:t>año</w:t>
      </w:r>
      <w:r>
        <w:rPr>
          <w:color w:val="231F20"/>
          <w:spacing w:val="-22"/>
          <w:w w:val="105"/>
        </w:rPr>
        <w:t> </w:t>
      </w:r>
      <w:r>
        <w:rPr>
          <w:color w:val="231F20"/>
          <w:spacing w:val="4"/>
          <w:w w:val="105"/>
        </w:rPr>
        <w:t>2000</w:t>
      </w:r>
      <w:r>
        <w:rPr>
          <w:color w:val="231F20"/>
          <w:spacing w:val="-22"/>
          <w:w w:val="105"/>
        </w:rPr>
        <w:t> </w:t>
      </w:r>
      <w:r>
        <w:rPr>
          <w:color w:val="231F20"/>
          <w:w w:val="105"/>
        </w:rPr>
        <w:t>y</w:t>
      </w:r>
      <w:r>
        <w:rPr>
          <w:color w:val="231F20"/>
          <w:spacing w:val="-22"/>
          <w:w w:val="105"/>
        </w:rPr>
        <w:t> </w:t>
      </w:r>
      <w:r>
        <w:rPr>
          <w:color w:val="231F20"/>
          <w:spacing w:val="2"/>
          <w:w w:val="105"/>
        </w:rPr>
        <w:t>2005.</w:t>
      </w:r>
      <w:r>
        <w:rPr>
          <w:color w:val="231F20"/>
          <w:spacing w:val="-22"/>
          <w:w w:val="105"/>
        </w:rPr>
        <w:t> </w:t>
      </w:r>
      <w:r>
        <w:rPr>
          <w:color w:val="231F20"/>
          <w:w w:val="105"/>
        </w:rPr>
        <w:t>De</w:t>
      </w:r>
      <w:r>
        <w:rPr>
          <w:color w:val="231F20"/>
          <w:spacing w:val="-22"/>
          <w:w w:val="105"/>
        </w:rPr>
        <w:t> </w:t>
      </w:r>
      <w:r>
        <w:rPr>
          <w:color w:val="231F20"/>
          <w:w w:val="105"/>
        </w:rPr>
        <w:t>acuerdo</w:t>
      </w:r>
      <w:r>
        <w:rPr>
          <w:color w:val="231F20"/>
          <w:spacing w:val="-22"/>
          <w:w w:val="105"/>
        </w:rPr>
        <w:t> </w:t>
      </w:r>
      <w:r>
        <w:rPr>
          <w:color w:val="231F20"/>
          <w:w w:val="105"/>
        </w:rPr>
        <w:t>con</w:t>
      </w:r>
      <w:r>
        <w:rPr>
          <w:color w:val="231F20"/>
          <w:spacing w:val="-22"/>
          <w:w w:val="105"/>
        </w:rPr>
        <w:t> </w:t>
      </w:r>
      <w:r>
        <w:rPr>
          <w:color w:val="231F20"/>
          <w:w w:val="105"/>
        </w:rPr>
        <w:t>estas</w:t>
      </w:r>
      <w:r>
        <w:rPr>
          <w:color w:val="231F20"/>
          <w:spacing w:val="-22"/>
          <w:w w:val="105"/>
        </w:rPr>
        <w:t> </w:t>
      </w:r>
      <w:r>
        <w:rPr>
          <w:color w:val="231F20"/>
          <w:w w:val="105"/>
        </w:rPr>
        <w:t>mediciones,</w:t>
      </w:r>
      <w:r>
        <w:rPr>
          <w:color w:val="231F20"/>
          <w:spacing w:val="-22"/>
          <w:w w:val="105"/>
        </w:rPr>
        <w:t> </w:t>
      </w:r>
      <w:r>
        <w:rPr>
          <w:color w:val="231F20"/>
          <w:w w:val="105"/>
        </w:rPr>
        <w:t>los</w:t>
      </w:r>
      <w:r>
        <w:rPr>
          <w:color w:val="231F20"/>
          <w:spacing w:val="-22"/>
          <w:w w:val="105"/>
        </w:rPr>
        <w:t> </w:t>
      </w:r>
      <w:r>
        <w:rPr>
          <w:color w:val="231F20"/>
          <w:w w:val="105"/>
        </w:rPr>
        <w:t>prin- </w:t>
      </w:r>
      <w:r>
        <w:rPr>
          <w:color w:val="231F20"/>
          <w:w w:val="105"/>
          <w:u w:val="single" w:color="231F20"/>
        </w:rPr>
        <w:t>cipales</w:t>
      </w:r>
      <w:r>
        <w:rPr>
          <w:color w:val="231F20"/>
          <w:spacing w:val="-17"/>
          <w:w w:val="105"/>
          <w:u w:val="single" w:color="231F20"/>
        </w:rPr>
        <w:t> </w:t>
      </w:r>
      <w:r>
        <w:rPr>
          <w:color w:val="231F20"/>
          <w:w w:val="105"/>
          <w:u w:val="single" w:color="231F20"/>
        </w:rPr>
        <w:t>problem</w:t>
      </w:r>
      <w:r>
        <w:rPr>
          <w:color w:val="231F20"/>
          <w:w w:val="105"/>
        </w:rPr>
        <w:t>as</w:t>
      </w:r>
      <w:r>
        <w:rPr>
          <w:color w:val="231F20"/>
          <w:spacing w:val="-17"/>
          <w:w w:val="105"/>
        </w:rPr>
        <w:t> </w:t>
      </w:r>
      <w:r>
        <w:rPr>
          <w:color w:val="231F20"/>
          <w:w w:val="105"/>
        </w:rPr>
        <w:t>del</w:t>
      </w:r>
      <w:r>
        <w:rPr>
          <w:color w:val="231F20"/>
          <w:spacing w:val="-17"/>
          <w:w w:val="105"/>
        </w:rPr>
        <w:t> </w:t>
      </w:r>
      <w:r>
        <w:rPr>
          <w:color w:val="231F20"/>
          <w:w w:val="105"/>
        </w:rPr>
        <w:t>municipio</w:t>
      </w:r>
      <w:r>
        <w:rPr>
          <w:color w:val="231F20"/>
          <w:spacing w:val="-17"/>
          <w:w w:val="105"/>
        </w:rPr>
        <w:t> </w:t>
      </w:r>
      <w:r>
        <w:rPr>
          <w:color w:val="231F20"/>
          <w:w w:val="105"/>
        </w:rPr>
        <w:t>se</w:t>
      </w:r>
      <w:r>
        <w:rPr>
          <w:color w:val="231F20"/>
          <w:spacing w:val="-17"/>
          <w:w w:val="105"/>
        </w:rPr>
        <w:t> </w:t>
      </w:r>
      <w:r>
        <w:rPr>
          <w:color w:val="231F20"/>
          <w:w w:val="105"/>
        </w:rPr>
        <w:t>centran</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servicios</w:t>
      </w:r>
      <w:r>
        <w:rPr>
          <w:color w:val="231F20"/>
          <w:spacing w:val="-17"/>
          <w:w w:val="105"/>
        </w:rPr>
        <w:t> </w:t>
      </w:r>
      <w:r>
        <w:rPr>
          <w:color w:val="231F20"/>
          <w:w w:val="105"/>
        </w:rPr>
        <w:t>de</w:t>
      </w:r>
      <w:r>
        <w:rPr>
          <w:color w:val="231F20"/>
          <w:spacing w:val="-17"/>
          <w:w w:val="105"/>
        </w:rPr>
        <w:t> </w:t>
      </w:r>
      <w:r>
        <w:rPr>
          <w:color w:val="231F20"/>
          <w:w w:val="105"/>
        </w:rPr>
        <w:t>salud</w:t>
      </w:r>
      <w:r>
        <w:rPr>
          <w:color w:val="231F20"/>
          <w:spacing w:val="-17"/>
          <w:w w:val="105"/>
        </w:rPr>
        <w:t> </w:t>
      </w:r>
      <w:r>
        <w:rPr>
          <w:color w:val="231F20"/>
          <w:w w:val="105"/>
        </w:rPr>
        <w:t>y</w:t>
      </w:r>
      <w:r>
        <w:rPr>
          <w:color w:val="231F20"/>
          <w:spacing w:val="-17"/>
          <w:w w:val="105"/>
        </w:rPr>
        <w:t> </w:t>
      </w:r>
      <w:r>
        <w:rPr>
          <w:color w:val="231F20"/>
          <w:w w:val="105"/>
        </w:rPr>
        <w:t>educación.</w:t>
      </w:r>
    </w:p>
    <w:p>
      <w:pPr>
        <w:pStyle w:val="ListParagraph"/>
        <w:numPr>
          <w:ilvl w:val="0"/>
          <w:numId w:val="1"/>
        </w:numPr>
        <w:tabs>
          <w:tab w:pos="228" w:val="left" w:leader="none"/>
        </w:tabs>
        <w:spacing w:line="244" w:lineRule="auto" w:before="53" w:after="0"/>
        <w:ind w:left="110" w:right="108" w:firstLine="0"/>
        <w:jc w:val="both"/>
        <w:rPr>
          <w:sz w:val="16"/>
        </w:rPr>
      </w:pPr>
      <w:r>
        <w:rPr>
          <w:color w:val="231F20"/>
          <w:sz w:val="16"/>
        </w:rPr>
        <w:t>De acuerdo con el Índice de Desarrollo Humano elaborado por el PNUD para los años 2000 y 2005. Este índice está com- puesto</w:t>
      </w:r>
      <w:r>
        <w:rPr>
          <w:color w:val="231F20"/>
          <w:spacing w:val="-8"/>
          <w:sz w:val="16"/>
        </w:rPr>
        <w:t> </w:t>
      </w:r>
      <w:r>
        <w:rPr>
          <w:color w:val="231F20"/>
          <w:sz w:val="16"/>
        </w:rPr>
        <w:t>por</w:t>
      </w:r>
      <w:r>
        <w:rPr>
          <w:color w:val="231F20"/>
          <w:spacing w:val="-8"/>
          <w:sz w:val="16"/>
        </w:rPr>
        <w:t> </w:t>
      </w:r>
      <w:r>
        <w:rPr>
          <w:color w:val="231F20"/>
          <w:sz w:val="16"/>
        </w:rPr>
        <w:t>los</w:t>
      </w:r>
      <w:r>
        <w:rPr>
          <w:color w:val="231F20"/>
          <w:spacing w:val="-8"/>
          <w:sz w:val="16"/>
        </w:rPr>
        <w:t> </w:t>
      </w:r>
      <w:r>
        <w:rPr>
          <w:color w:val="231F20"/>
          <w:sz w:val="16"/>
        </w:rPr>
        <w:t>factores</w:t>
      </w:r>
      <w:r>
        <w:rPr>
          <w:color w:val="231F20"/>
          <w:spacing w:val="-8"/>
          <w:sz w:val="16"/>
        </w:rPr>
        <w:t> </w:t>
      </w:r>
      <w:r>
        <w:rPr>
          <w:color w:val="231F20"/>
          <w:sz w:val="16"/>
        </w:rPr>
        <w:t>de</w:t>
      </w:r>
      <w:r>
        <w:rPr>
          <w:color w:val="231F20"/>
          <w:spacing w:val="-8"/>
          <w:sz w:val="16"/>
        </w:rPr>
        <w:t> </w:t>
      </w:r>
      <w:r>
        <w:rPr>
          <w:color w:val="231F20"/>
          <w:sz w:val="16"/>
        </w:rPr>
        <w:t>salud,</w:t>
      </w:r>
      <w:r>
        <w:rPr>
          <w:color w:val="231F20"/>
          <w:spacing w:val="-8"/>
          <w:sz w:val="16"/>
        </w:rPr>
        <w:t> </w:t>
      </w:r>
      <w:r>
        <w:rPr>
          <w:color w:val="231F20"/>
          <w:sz w:val="16"/>
        </w:rPr>
        <w:t>educación</w:t>
      </w:r>
      <w:r>
        <w:rPr>
          <w:color w:val="231F20"/>
          <w:spacing w:val="-8"/>
          <w:sz w:val="16"/>
        </w:rPr>
        <w:t> </w:t>
      </w:r>
      <w:r>
        <w:rPr>
          <w:color w:val="231F20"/>
          <w:sz w:val="16"/>
        </w:rPr>
        <w:t>e</w:t>
      </w:r>
      <w:r>
        <w:rPr>
          <w:color w:val="231F20"/>
          <w:spacing w:val="-8"/>
          <w:sz w:val="16"/>
        </w:rPr>
        <w:t> </w:t>
      </w:r>
      <w:r>
        <w:rPr>
          <w:color w:val="231F20"/>
          <w:sz w:val="16"/>
        </w:rPr>
        <w:t>ingreso</w:t>
      </w:r>
      <w:r>
        <w:rPr>
          <w:color w:val="231F20"/>
          <w:spacing w:val="-8"/>
          <w:sz w:val="16"/>
        </w:rPr>
        <w:t> </w:t>
      </w:r>
      <w:r>
        <w:rPr>
          <w:color w:val="231F20"/>
          <w:sz w:val="16"/>
        </w:rPr>
        <w:t>per</w:t>
      </w:r>
      <w:r>
        <w:rPr>
          <w:color w:val="231F20"/>
          <w:spacing w:val="-8"/>
          <w:sz w:val="16"/>
        </w:rPr>
        <w:t> </w:t>
      </w:r>
      <w:r>
        <w:rPr>
          <w:color w:val="231F20"/>
          <w:sz w:val="16"/>
        </w:rPr>
        <w:t>cápita.</w:t>
      </w:r>
    </w:p>
    <w:p>
      <w:pPr>
        <w:pStyle w:val="ListParagraph"/>
        <w:numPr>
          <w:ilvl w:val="0"/>
          <w:numId w:val="1"/>
        </w:numPr>
        <w:tabs>
          <w:tab w:pos="224" w:val="left" w:leader="none"/>
        </w:tabs>
        <w:spacing w:line="244" w:lineRule="auto" w:before="0" w:after="0"/>
        <w:ind w:left="110" w:right="109" w:firstLine="0"/>
        <w:jc w:val="both"/>
        <w:rPr>
          <w:sz w:val="16"/>
        </w:rPr>
      </w:pP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año</w:t>
      </w:r>
      <w:r>
        <w:rPr>
          <w:color w:val="231F20"/>
          <w:spacing w:val="-8"/>
          <w:sz w:val="16"/>
        </w:rPr>
        <w:t> </w:t>
      </w:r>
      <w:r>
        <w:rPr>
          <w:color w:val="231F20"/>
          <w:sz w:val="16"/>
        </w:rPr>
        <w:t>2000,</w:t>
      </w:r>
      <w:r>
        <w:rPr>
          <w:color w:val="231F20"/>
          <w:spacing w:val="-8"/>
          <w:sz w:val="16"/>
        </w:rPr>
        <w:t> </w:t>
      </w:r>
      <w:r>
        <w:rPr>
          <w:color w:val="231F20"/>
          <w:sz w:val="16"/>
        </w:rPr>
        <w:t>el</w:t>
      </w:r>
      <w:r>
        <w:rPr>
          <w:color w:val="231F20"/>
          <w:spacing w:val="-8"/>
          <w:sz w:val="16"/>
        </w:rPr>
        <w:t> </w:t>
      </w:r>
      <w:r>
        <w:rPr>
          <w:color w:val="231F20"/>
          <w:sz w:val="16"/>
        </w:rPr>
        <w:t>“Índice</w:t>
      </w:r>
      <w:r>
        <w:rPr>
          <w:color w:val="231F20"/>
          <w:spacing w:val="-8"/>
          <w:sz w:val="16"/>
        </w:rPr>
        <w:t> </w:t>
      </w:r>
      <w:r>
        <w:rPr>
          <w:color w:val="231F20"/>
          <w:sz w:val="16"/>
        </w:rPr>
        <w:t>de</w:t>
      </w:r>
      <w:r>
        <w:rPr>
          <w:color w:val="231F20"/>
          <w:spacing w:val="-8"/>
          <w:sz w:val="16"/>
        </w:rPr>
        <w:t> </w:t>
      </w:r>
      <w:r>
        <w:rPr>
          <w:color w:val="231F20"/>
          <w:sz w:val="16"/>
        </w:rPr>
        <w:t>Desarrollo</w:t>
      </w:r>
      <w:r>
        <w:rPr>
          <w:color w:val="231F20"/>
          <w:spacing w:val="-8"/>
          <w:sz w:val="16"/>
        </w:rPr>
        <w:t> </w:t>
      </w:r>
      <w:r>
        <w:rPr>
          <w:color w:val="231F20"/>
          <w:sz w:val="16"/>
        </w:rPr>
        <w:t>Humano”</w:t>
      </w:r>
      <w:r>
        <w:rPr>
          <w:color w:val="231F20"/>
          <w:spacing w:val="-8"/>
          <w:sz w:val="16"/>
        </w:rPr>
        <w:t> </w:t>
      </w:r>
      <w:r>
        <w:rPr>
          <w:color w:val="231F20"/>
          <w:sz w:val="16"/>
        </w:rPr>
        <w:t>ubicó</w:t>
      </w:r>
      <w:r>
        <w:rPr>
          <w:color w:val="231F20"/>
          <w:spacing w:val="-8"/>
          <w:sz w:val="16"/>
        </w:rPr>
        <w:t> </w:t>
      </w:r>
      <w:r>
        <w:rPr>
          <w:color w:val="231F20"/>
          <w:sz w:val="16"/>
        </w:rPr>
        <w:t>al</w:t>
      </w:r>
      <w:r>
        <w:rPr>
          <w:color w:val="231F20"/>
          <w:spacing w:val="-8"/>
          <w:sz w:val="16"/>
        </w:rPr>
        <w:t> </w:t>
      </w:r>
      <w:r>
        <w:rPr>
          <w:color w:val="231F20"/>
          <w:sz w:val="16"/>
        </w:rPr>
        <w:t>municipio</w:t>
      </w:r>
      <w:r>
        <w:rPr>
          <w:color w:val="231F20"/>
          <w:spacing w:val="-8"/>
          <w:sz w:val="16"/>
        </w:rPr>
        <w:t> </w:t>
      </w:r>
      <w:r>
        <w:rPr>
          <w:color w:val="231F20"/>
          <w:sz w:val="16"/>
        </w:rPr>
        <w:t>de</w:t>
      </w:r>
      <w:r>
        <w:rPr>
          <w:color w:val="231F20"/>
          <w:spacing w:val="-8"/>
          <w:sz w:val="16"/>
        </w:rPr>
        <w:t> </w:t>
      </w:r>
      <w:r>
        <w:rPr>
          <w:color w:val="231F20"/>
          <w:sz w:val="16"/>
        </w:rPr>
        <w:t>Huixquilucan</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lugar</w:t>
      </w:r>
      <w:r>
        <w:rPr>
          <w:color w:val="231F20"/>
          <w:spacing w:val="-8"/>
          <w:sz w:val="16"/>
        </w:rPr>
        <w:t> </w:t>
      </w:r>
      <w:r>
        <w:rPr>
          <w:color w:val="231F20"/>
          <w:sz w:val="16"/>
        </w:rPr>
        <w:t>4</w:t>
      </w:r>
      <w:r>
        <w:rPr>
          <w:color w:val="231F20"/>
          <w:spacing w:val="-8"/>
          <w:sz w:val="16"/>
        </w:rPr>
        <w:t> </w:t>
      </w:r>
      <w:r>
        <w:rPr>
          <w:color w:val="231F20"/>
          <w:sz w:val="16"/>
        </w:rPr>
        <w:t>a</w:t>
      </w:r>
      <w:r>
        <w:rPr>
          <w:color w:val="231F20"/>
          <w:spacing w:val="-8"/>
          <w:sz w:val="16"/>
        </w:rPr>
        <w:t> </w:t>
      </w:r>
      <w:r>
        <w:rPr>
          <w:color w:val="231F20"/>
          <w:sz w:val="16"/>
        </w:rPr>
        <w:t>nivel</w:t>
      </w:r>
      <w:r>
        <w:rPr>
          <w:color w:val="231F20"/>
          <w:spacing w:val="-8"/>
          <w:sz w:val="16"/>
        </w:rPr>
        <w:t> </w:t>
      </w:r>
      <w:r>
        <w:rPr>
          <w:color w:val="231F20"/>
          <w:sz w:val="16"/>
        </w:rPr>
        <w:t>estatal,</w:t>
      </w:r>
      <w:r>
        <w:rPr>
          <w:color w:val="231F20"/>
          <w:spacing w:val="-8"/>
          <w:sz w:val="16"/>
        </w:rPr>
        <w:t> </w:t>
      </w:r>
      <w:r>
        <w:rPr>
          <w:color w:val="231F20"/>
          <w:sz w:val="16"/>
        </w:rPr>
        <w:t>y</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pacing w:val="-5"/>
          <w:sz w:val="16"/>
        </w:rPr>
        <w:t>31 </w:t>
      </w:r>
      <w:r>
        <w:rPr>
          <w:color w:val="231F20"/>
          <w:sz w:val="16"/>
        </w:rPr>
        <w:t>nacional;</w:t>
      </w:r>
      <w:r>
        <w:rPr>
          <w:color w:val="231F20"/>
          <w:spacing w:val="-12"/>
          <w:sz w:val="16"/>
        </w:rPr>
        <w:t> </w:t>
      </w:r>
      <w:r>
        <w:rPr>
          <w:color w:val="231F20"/>
          <w:sz w:val="16"/>
        </w:rPr>
        <w:t>para</w:t>
      </w:r>
      <w:r>
        <w:rPr>
          <w:color w:val="231F20"/>
          <w:spacing w:val="-12"/>
          <w:sz w:val="16"/>
        </w:rPr>
        <w:t> </w:t>
      </w:r>
      <w:r>
        <w:rPr>
          <w:color w:val="231F20"/>
          <w:sz w:val="16"/>
        </w:rPr>
        <w:t>las</w:t>
      </w:r>
      <w:r>
        <w:rPr>
          <w:color w:val="231F20"/>
          <w:spacing w:val="-12"/>
          <w:sz w:val="16"/>
        </w:rPr>
        <w:t> </w:t>
      </w:r>
      <w:r>
        <w:rPr>
          <w:color w:val="231F20"/>
          <w:sz w:val="16"/>
        </w:rPr>
        <w:t>mediciones</w:t>
      </w:r>
      <w:r>
        <w:rPr>
          <w:color w:val="231F20"/>
          <w:spacing w:val="-12"/>
          <w:sz w:val="16"/>
        </w:rPr>
        <w:t> </w:t>
      </w:r>
      <w:r>
        <w:rPr>
          <w:color w:val="231F20"/>
          <w:sz w:val="16"/>
        </w:rPr>
        <w:t>del</w:t>
      </w:r>
      <w:r>
        <w:rPr>
          <w:color w:val="231F20"/>
          <w:spacing w:val="-12"/>
          <w:sz w:val="16"/>
        </w:rPr>
        <w:t> </w:t>
      </w:r>
      <w:r>
        <w:rPr>
          <w:color w:val="231F20"/>
          <w:sz w:val="16"/>
        </w:rPr>
        <w:t>año</w:t>
      </w:r>
      <w:r>
        <w:rPr>
          <w:color w:val="231F20"/>
          <w:spacing w:val="-12"/>
          <w:sz w:val="16"/>
        </w:rPr>
        <w:t> </w:t>
      </w:r>
      <w:r>
        <w:rPr>
          <w:color w:val="231F20"/>
          <w:sz w:val="16"/>
        </w:rPr>
        <w:t>2005</w:t>
      </w:r>
      <w:r>
        <w:rPr>
          <w:color w:val="231F20"/>
          <w:spacing w:val="-12"/>
          <w:sz w:val="16"/>
        </w:rPr>
        <w:t> </w:t>
      </w:r>
      <w:r>
        <w:rPr>
          <w:color w:val="231F20"/>
          <w:sz w:val="16"/>
        </w:rPr>
        <w:t>pasó</w:t>
      </w:r>
      <w:r>
        <w:rPr>
          <w:color w:val="231F20"/>
          <w:spacing w:val="-12"/>
          <w:sz w:val="16"/>
        </w:rPr>
        <w:t> </w:t>
      </w:r>
      <w:r>
        <w:rPr>
          <w:color w:val="231F20"/>
          <w:sz w:val="16"/>
        </w:rPr>
        <w:t>al</w:t>
      </w:r>
      <w:r>
        <w:rPr>
          <w:color w:val="231F20"/>
          <w:spacing w:val="-12"/>
          <w:sz w:val="16"/>
        </w:rPr>
        <w:t> </w:t>
      </w:r>
      <w:r>
        <w:rPr>
          <w:color w:val="231F20"/>
          <w:sz w:val="16"/>
        </w:rPr>
        <w:t>7º</w:t>
      </w:r>
      <w:r>
        <w:rPr>
          <w:color w:val="231F20"/>
          <w:spacing w:val="-12"/>
          <w:sz w:val="16"/>
        </w:rPr>
        <w:t> </w:t>
      </w:r>
      <w:r>
        <w:rPr>
          <w:color w:val="231F20"/>
          <w:sz w:val="16"/>
        </w:rPr>
        <w:t>lugar</w:t>
      </w:r>
      <w:r>
        <w:rPr>
          <w:color w:val="231F20"/>
          <w:spacing w:val="-12"/>
          <w:sz w:val="16"/>
        </w:rPr>
        <w:t> </w:t>
      </w:r>
      <w:r>
        <w:rPr>
          <w:color w:val="231F20"/>
          <w:sz w:val="16"/>
        </w:rPr>
        <w:t>estatal</w:t>
      </w:r>
      <w:r>
        <w:rPr>
          <w:color w:val="231F20"/>
          <w:spacing w:val="-12"/>
          <w:sz w:val="16"/>
        </w:rPr>
        <w:t> </w:t>
      </w:r>
      <w:r>
        <w:rPr>
          <w:color w:val="231F20"/>
          <w:sz w:val="16"/>
        </w:rPr>
        <w:t>y</w:t>
      </w:r>
      <w:r>
        <w:rPr>
          <w:color w:val="231F20"/>
          <w:spacing w:val="-12"/>
          <w:sz w:val="16"/>
        </w:rPr>
        <w:t> </w:t>
      </w:r>
      <w:r>
        <w:rPr>
          <w:color w:val="231F20"/>
          <w:sz w:val="16"/>
        </w:rPr>
        <w:t>al</w:t>
      </w:r>
      <w:r>
        <w:rPr>
          <w:color w:val="231F20"/>
          <w:spacing w:val="-12"/>
          <w:sz w:val="16"/>
        </w:rPr>
        <w:t> </w:t>
      </w:r>
      <w:r>
        <w:rPr>
          <w:color w:val="231F20"/>
          <w:spacing w:val="-3"/>
          <w:sz w:val="16"/>
        </w:rPr>
        <w:t>42</w:t>
      </w:r>
      <w:r>
        <w:rPr>
          <w:color w:val="231F20"/>
          <w:spacing w:val="-12"/>
          <w:sz w:val="16"/>
        </w:rPr>
        <w:t> </w:t>
      </w:r>
      <w:r>
        <w:rPr>
          <w:color w:val="231F20"/>
          <w:sz w:val="16"/>
        </w:rPr>
        <w:t>nacional</w:t>
      </w:r>
      <w:r>
        <w:rPr>
          <w:color w:val="231F20"/>
          <w:spacing w:val="-12"/>
          <w:sz w:val="16"/>
        </w:rPr>
        <w:t> </w:t>
      </w:r>
      <w:r>
        <w:rPr>
          <w:color w:val="231F20"/>
          <w:sz w:val="16"/>
        </w:rPr>
        <w:t>(PNUD,</w:t>
      </w:r>
      <w:r>
        <w:rPr>
          <w:color w:val="231F20"/>
          <w:spacing w:val="-12"/>
          <w:sz w:val="16"/>
        </w:rPr>
        <w:t> </w:t>
      </w:r>
      <w:r>
        <w:rPr>
          <w:color w:val="231F20"/>
          <w:sz w:val="16"/>
        </w:rPr>
        <w:t>2005)</w:t>
      </w:r>
    </w:p>
    <w:p>
      <w:pPr>
        <w:spacing w:after="0" w:line="244" w:lineRule="auto"/>
        <w:jc w:val="both"/>
        <w:rPr>
          <w:sz w:val="16"/>
        </w:rPr>
        <w:sectPr>
          <w:footerReference w:type="default" r:id="rId28"/>
          <w:pgSz w:w="9640" w:h="12190"/>
          <w:pgMar w:footer="743" w:header="0" w:top="1120" w:bottom="940" w:left="740" w:right="740"/>
          <w:pgNumType w:start="28"/>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Por </w:t>
      </w:r>
      <w:r>
        <w:rPr>
          <w:color w:val="231F20"/>
          <w:w w:val="105"/>
        </w:rPr>
        <w:t>otra parte, el índice de marginación señala que Huixquilucan mantiene un grado bajo. No obstante entre las mediciones calculadas entre los años </w:t>
      </w:r>
      <w:r>
        <w:rPr>
          <w:color w:val="231F20"/>
          <w:spacing w:val="4"/>
          <w:w w:val="105"/>
        </w:rPr>
        <w:t>2000 </w:t>
      </w:r>
      <w:r>
        <w:rPr>
          <w:color w:val="231F20"/>
          <w:w w:val="105"/>
        </w:rPr>
        <w:t>y </w:t>
      </w:r>
      <w:r>
        <w:rPr>
          <w:color w:val="231F20"/>
          <w:spacing w:val="3"/>
          <w:w w:val="105"/>
        </w:rPr>
        <w:t>2005 </w:t>
      </w:r>
      <w:r>
        <w:rPr>
          <w:color w:val="231F20"/>
          <w:w w:val="105"/>
        </w:rPr>
        <w:t>se</w:t>
      </w:r>
      <w:r>
        <w:rPr>
          <w:color w:val="231F20"/>
          <w:spacing w:val="-31"/>
          <w:w w:val="105"/>
        </w:rPr>
        <w:t> </w:t>
      </w:r>
      <w:r>
        <w:rPr>
          <w:color w:val="231F20"/>
          <w:w w:val="105"/>
        </w:rPr>
        <w:t>man- tuvo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mismo</w:t>
      </w:r>
      <w:r>
        <w:rPr>
          <w:color w:val="231F20"/>
          <w:spacing w:val="-9"/>
          <w:w w:val="105"/>
        </w:rPr>
        <w:t> </w:t>
      </w:r>
      <w:r>
        <w:rPr>
          <w:color w:val="231F20"/>
          <w:spacing w:val="2"/>
          <w:w w:val="105"/>
        </w:rPr>
        <w:t>ranking</w:t>
      </w:r>
      <w:r>
        <w:rPr>
          <w:color w:val="231F20"/>
          <w:spacing w:val="-9"/>
          <w:w w:val="105"/>
        </w:rPr>
        <w:t> </w:t>
      </w:r>
      <w:r>
        <w:rPr>
          <w:color w:val="231F20"/>
          <w:w w:val="105"/>
        </w:rPr>
        <w:t>estatal</w:t>
      </w:r>
      <w:r>
        <w:rPr>
          <w:color w:val="231F20"/>
          <w:spacing w:val="-9"/>
          <w:w w:val="105"/>
        </w:rPr>
        <w:t> </w:t>
      </w:r>
      <w:r>
        <w:rPr>
          <w:color w:val="231F20"/>
          <w:w w:val="105"/>
        </w:rPr>
        <w:t>(lugar</w:t>
      </w:r>
      <w:r>
        <w:rPr>
          <w:color w:val="231F20"/>
          <w:spacing w:val="-9"/>
          <w:w w:val="105"/>
        </w:rPr>
        <w:t> </w:t>
      </w:r>
      <w:r>
        <w:rPr>
          <w:color w:val="231F20"/>
          <w:spacing w:val="-4"/>
          <w:w w:val="105"/>
        </w:rPr>
        <w:t>112</w:t>
      </w:r>
      <w:r>
        <w:rPr>
          <w:color w:val="231F20"/>
          <w:spacing w:val="-9"/>
          <w:w w:val="105"/>
        </w:rPr>
        <w:t> </w:t>
      </w:r>
      <w:r>
        <w:rPr>
          <w:color w:val="231F20"/>
          <w:w w:val="105"/>
        </w:rPr>
        <w:t>de</w:t>
      </w:r>
      <w:r>
        <w:rPr>
          <w:color w:val="231F20"/>
          <w:spacing w:val="-9"/>
          <w:w w:val="105"/>
        </w:rPr>
        <w:t> </w:t>
      </w:r>
      <w:r>
        <w:rPr>
          <w:color w:val="231F20"/>
          <w:w w:val="105"/>
        </w:rPr>
        <w:t>entre</w:t>
      </w:r>
      <w:r>
        <w:rPr>
          <w:color w:val="231F20"/>
          <w:spacing w:val="-9"/>
          <w:w w:val="105"/>
        </w:rPr>
        <w:t> </w:t>
      </w:r>
      <w:r>
        <w:rPr>
          <w:color w:val="231F20"/>
          <w:w w:val="105"/>
        </w:rPr>
        <w:t>los</w:t>
      </w:r>
      <w:r>
        <w:rPr>
          <w:color w:val="231F20"/>
          <w:spacing w:val="-9"/>
          <w:w w:val="105"/>
        </w:rPr>
        <w:t> </w:t>
      </w:r>
      <w:r>
        <w:rPr>
          <w:color w:val="231F20"/>
          <w:w w:val="105"/>
        </w:rPr>
        <w:t>125</w:t>
      </w:r>
      <w:r>
        <w:rPr>
          <w:color w:val="231F20"/>
          <w:spacing w:val="-9"/>
          <w:w w:val="105"/>
        </w:rPr>
        <w:t> </w:t>
      </w:r>
      <w:r>
        <w:rPr>
          <w:color w:val="231F20"/>
          <w:w w:val="105"/>
        </w:rPr>
        <w:t>municipios</w:t>
      </w:r>
      <w:r>
        <w:rPr>
          <w:color w:val="231F20"/>
          <w:spacing w:val="-9"/>
          <w:w w:val="105"/>
        </w:rPr>
        <w:t> </w:t>
      </w:r>
      <w:r>
        <w:rPr>
          <w:color w:val="231F20"/>
          <w:w w:val="105"/>
        </w:rPr>
        <w:t>mexiquenses), inclusive</w:t>
      </w:r>
      <w:r>
        <w:rPr>
          <w:color w:val="231F20"/>
          <w:spacing w:val="-16"/>
          <w:w w:val="105"/>
        </w:rPr>
        <w:t> </w:t>
      </w:r>
      <w:r>
        <w:rPr>
          <w:color w:val="231F20"/>
          <w:w w:val="105"/>
        </w:rPr>
        <w:t>aumentó</w:t>
      </w:r>
      <w:r>
        <w:rPr>
          <w:color w:val="231F20"/>
          <w:spacing w:val="-16"/>
          <w:w w:val="105"/>
        </w:rPr>
        <w:t> </w:t>
      </w:r>
      <w:r>
        <w:rPr>
          <w:color w:val="231F20"/>
          <w:w w:val="105"/>
        </w:rPr>
        <w:t>su</w:t>
      </w:r>
      <w:r>
        <w:rPr>
          <w:color w:val="231F20"/>
          <w:spacing w:val="-16"/>
          <w:w w:val="105"/>
        </w:rPr>
        <w:t> </w:t>
      </w:r>
      <w:r>
        <w:rPr>
          <w:color w:val="231F20"/>
          <w:w w:val="105"/>
        </w:rPr>
        <w:t>índice</w:t>
      </w:r>
      <w:r>
        <w:rPr>
          <w:color w:val="231F20"/>
          <w:spacing w:val="-16"/>
          <w:w w:val="105"/>
        </w:rPr>
        <w:t> </w:t>
      </w:r>
      <w:r>
        <w:rPr>
          <w:color w:val="231F20"/>
          <w:w w:val="105"/>
        </w:rPr>
        <w:t>de</w:t>
      </w:r>
      <w:r>
        <w:rPr>
          <w:color w:val="231F20"/>
          <w:spacing w:val="-16"/>
          <w:w w:val="105"/>
        </w:rPr>
        <w:t> </w:t>
      </w:r>
      <w:r>
        <w:rPr>
          <w:color w:val="231F20"/>
          <w:w w:val="105"/>
        </w:rPr>
        <w:t>marginación</w:t>
      </w:r>
      <w:r>
        <w:rPr>
          <w:color w:val="231F20"/>
          <w:w w:val="105"/>
          <w:position w:val="7"/>
          <w:sz w:val="13"/>
        </w:rPr>
        <w:t>3</w:t>
      </w:r>
      <w:r>
        <w:rPr>
          <w:color w:val="231F20"/>
          <w:w w:val="105"/>
        </w:rPr>
        <w:t>.</w:t>
      </w:r>
    </w:p>
    <w:p>
      <w:pPr>
        <w:pStyle w:val="BodyText"/>
        <w:spacing w:before="1"/>
        <w:rPr>
          <w:sz w:val="26"/>
        </w:rPr>
      </w:pPr>
    </w:p>
    <w:p>
      <w:pPr>
        <w:pStyle w:val="BodyText"/>
        <w:spacing w:line="285" w:lineRule="auto"/>
        <w:ind w:left="110" w:right="109"/>
        <w:jc w:val="both"/>
      </w:pPr>
      <w:r>
        <w:rPr>
          <w:color w:val="231F20"/>
          <w:w w:val="105"/>
        </w:rPr>
        <w:t>A pesar de que el municipio huixquiluquense registró uno de los mejores niveles de ingresos</w:t>
      </w:r>
      <w:r>
        <w:rPr>
          <w:color w:val="231F20"/>
          <w:spacing w:val="-10"/>
          <w:w w:val="105"/>
        </w:rPr>
        <w:t> </w:t>
      </w:r>
      <w:r>
        <w:rPr>
          <w:color w:val="231F20"/>
          <w:w w:val="105"/>
        </w:rPr>
        <w:t>per</w:t>
      </w:r>
      <w:r>
        <w:rPr>
          <w:color w:val="231F20"/>
          <w:spacing w:val="-10"/>
          <w:w w:val="105"/>
        </w:rPr>
        <w:t> </w:t>
      </w:r>
      <w:r>
        <w:rPr>
          <w:color w:val="231F20"/>
          <w:w w:val="105"/>
        </w:rPr>
        <w:t>cápita</w:t>
      </w:r>
      <w:r>
        <w:rPr>
          <w:color w:val="231F20"/>
          <w:spacing w:val="-10"/>
          <w:w w:val="105"/>
        </w:rPr>
        <w:t> </w:t>
      </w:r>
      <w:r>
        <w:rPr>
          <w:color w:val="231F20"/>
          <w:w w:val="105"/>
        </w:rPr>
        <w:t>a</w:t>
      </w:r>
      <w:r>
        <w:rPr>
          <w:color w:val="231F20"/>
          <w:spacing w:val="-10"/>
          <w:w w:val="105"/>
        </w:rPr>
        <w:t> </w:t>
      </w:r>
      <w:r>
        <w:rPr>
          <w:color w:val="231F20"/>
          <w:w w:val="105"/>
        </w:rPr>
        <w:t>nivel</w:t>
      </w:r>
      <w:r>
        <w:rPr>
          <w:color w:val="231F20"/>
          <w:spacing w:val="-10"/>
          <w:w w:val="105"/>
        </w:rPr>
        <w:t> </w:t>
      </w:r>
      <w:r>
        <w:rPr>
          <w:color w:val="231F20"/>
          <w:w w:val="105"/>
        </w:rPr>
        <w:t>estatal,</w:t>
      </w:r>
      <w:r>
        <w:rPr>
          <w:color w:val="231F20"/>
          <w:spacing w:val="-10"/>
          <w:w w:val="105"/>
        </w:rPr>
        <w:t> </w:t>
      </w:r>
      <w:r>
        <w:rPr>
          <w:color w:val="231F20"/>
          <w:w w:val="105"/>
        </w:rPr>
        <w:t>ello</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w w:val="105"/>
        </w:rPr>
        <w:t>reflejado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nivel</w:t>
      </w:r>
      <w:r>
        <w:rPr>
          <w:color w:val="231F20"/>
          <w:spacing w:val="-10"/>
          <w:w w:val="105"/>
        </w:rPr>
        <w:t> </w:t>
      </w:r>
      <w:r>
        <w:rPr>
          <w:color w:val="231F20"/>
          <w:w w:val="105"/>
        </w:rPr>
        <w:t>de</w:t>
      </w:r>
      <w:r>
        <w:rPr>
          <w:color w:val="231F20"/>
          <w:spacing w:val="-10"/>
          <w:w w:val="105"/>
        </w:rPr>
        <w:t> </w:t>
      </w:r>
      <w:r>
        <w:rPr>
          <w:color w:val="231F20"/>
          <w:w w:val="105"/>
        </w:rPr>
        <w:t>desarrollo,</w:t>
      </w:r>
      <w:r>
        <w:rPr>
          <w:color w:val="231F20"/>
          <w:spacing w:val="-10"/>
          <w:w w:val="105"/>
        </w:rPr>
        <w:t> </w:t>
      </w:r>
      <w:r>
        <w:rPr>
          <w:color w:val="231F20"/>
          <w:w w:val="105"/>
        </w:rPr>
        <w:t>ni</w:t>
      </w:r>
      <w:r>
        <w:rPr>
          <w:color w:val="231F20"/>
          <w:spacing w:val="-10"/>
          <w:w w:val="105"/>
        </w:rPr>
        <w:t> </w:t>
      </w:r>
      <w:r>
        <w:rPr>
          <w:color w:val="231F20"/>
          <w:w w:val="105"/>
        </w:rPr>
        <w:t>en una</w:t>
      </w:r>
      <w:r>
        <w:rPr>
          <w:color w:val="231F20"/>
          <w:spacing w:val="-10"/>
          <w:w w:val="105"/>
        </w:rPr>
        <w:t> </w:t>
      </w:r>
      <w:r>
        <w:rPr>
          <w:color w:val="231F20"/>
          <w:w w:val="105"/>
        </w:rPr>
        <w:t>menor</w:t>
      </w:r>
      <w:r>
        <w:rPr>
          <w:color w:val="231F20"/>
          <w:spacing w:val="-10"/>
          <w:w w:val="105"/>
        </w:rPr>
        <w:t> </w:t>
      </w:r>
      <w:r>
        <w:rPr>
          <w:color w:val="231F20"/>
          <w:w w:val="105"/>
        </w:rPr>
        <w:t>marginación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condiciones</w:t>
      </w:r>
      <w:r>
        <w:rPr>
          <w:color w:val="231F20"/>
          <w:spacing w:val="-10"/>
          <w:w w:val="105"/>
        </w:rPr>
        <w:t> </w:t>
      </w:r>
      <w:r>
        <w:rPr>
          <w:color w:val="231F20"/>
          <w:w w:val="105"/>
        </w:rPr>
        <w:t>que</w:t>
      </w:r>
      <w:r>
        <w:rPr>
          <w:color w:val="231F20"/>
          <w:spacing w:val="-10"/>
          <w:w w:val="105"/>
        </w:rPr>
        <w:t> </w:t>
      </w:r>
      <w:r>
        <w:rPr>
          <w:color w:val="231F20"/>
          <w:w w:val="105"/>
        </w:rPr>
        <w:t>aquejan</w:t>
      </w:r>
      <w:r>
        <w:rPr>
          <w:color w:val="231F20"/>
          <w:spacing w:val="-10"/>
          <w:w w:val="105"/>
        </w:rPr>
        <w:t> </w:t>
      </w:r>
      <w:r>
        <w:rPr>
          <w:color w:val="231F20"/>
          <w:w w:val="105"/>
        </w:rPr>
        <w:t>a</w:t>
      </w:r>
      <w:r>
        <w:rPr>
          <w:color w:val="231F20"/>
          <w:spacing w:val="-10"/>
          <w:w w:val="105"/>
        </w:rPr>
        <w:t> </w:t>
      </w:r>
      <w:r>
        <w:rPr>
          <w:color w:val="231F20"/>
          <w:w w:val="105"/>
        </w:rPr>
        <w:t>sus</w:t>
      </w:r>
      <w:r>
        <w:rPr>
          <w:color w:val="231F20"/>
          <w:spacing w:val="-10"/>
          <w:w w:val="105"/>
        </w:rPr>
        <w:t> </w:t>
      </w:r>
      <w:r>
        <w:rPr>
          <w:color w:val="231F20"/>
          <w:w w:val="105"/>
        </w:rPr>
        <w:t>habitantes.</w:t>
      </w:r>
    </w:p>
    <w:p>
      <w:pPr>
        <w:pStyle w:val="BodyText"/>
        <w:spacing w:before="1"/>
        <w:rPr>
          <w:sz w:val="26"/>
        </w:rPr>
      </w:pPr>
    </w:p>
    <w:p>
      <w:pPr>
        <w:pStyle w:val="BodyText"/>
        <w:spacing w:line="285" w:lineRule="auto"/>
        <w:ind w:left="110" w:right="107"/>
        <w:jc w:val="both"/>
      </w:pPr>
      <w:r>
        <w:rPr>
          <w:color w:val="231F20"/>
          <w:w w:val="105"/>
        </w:rPr>
        <w:t>Si</w:t>
      </w:r>
      <w:r>
        <w:rPr>
          <w:color w:val="231F20"/>
          <w:spacing w:val="-8"/>
          <w:w w:val="105"/>
        </w:rPr>
        <w:t> </w:t>
      </w:r>
      <w:r>
        <w:rPr>
          <w:color w:val="231F20"/>
          <w:w w:val="105"/>
        </w:rPr>
        <w:t>bien</w:t>
      </w:r>
      <w:r>
        <w:rPr>
          <w:color w:val="231F20"/>
          <w:spacing w:val="-8"/>
          <w:w w:val="105"/>
        </w:rPr>
        <w:t> </w:t>
      </w:r>
      <w:r>
        <w:rPr>
          <w:color w:val="231F20"/>
          <w:w w:val="105"/>
        </w:rPr>
        <w:t>las</w:t>
      </w:r>
      <w:r>
        <w:rPr>
          <w:color w:val="231F20"/>
          <w:spacing w:val="-8"/>
          <w:w w:val="105"/>
        </w:rPr>
        <w:t> </w:t>
      </w:r>
      <w:r>
        <w:rPr>
          <w:color w:val="231F20"/>
          <w:w w:val="105"/>
        </w:rPr>
        <w:t>circunstancias</w:t>
      </w:r>
      <w:r>
        <w:rPr>
          <w:color w:val="231F20"/>
          <w:spacing w:val="-8"/>
          <w:w w:val="105"/>
        </w:rPr>
        <w:t> </w:t>
      </w:r>
      <w:r>
        <w:rPr>
          <w:color w:val="231F20"/>
          <w:w w:val="105"/>
        </w:rPr>
        <w:t>que</w:t>
      </w:r>
      <w:r>
        <w:rPr>
          <w:color w:val="231F20"/>
          <w:spacing w:val="-8"/>
          <w:w w:val="105"/>
        </w:rPr>
        <w:t> </w:t>
      </w:r>
      <w:r>
        <w:rPr>
          <w:color w:val="231F20"/>
          <w:w w:val="105"/>
        </w:rPr>
        <w:t>caracterizan</w:t>
      </w:r>
      <w:r>
        <w:rPr>
          <w:color w:val="231F20"/>
          <w:spacing w:val="-8"/>
          <w:w w:val="105"/>
        </w:rPr>
        <w:t> </w:t>
      </w:r>
      <w:r>
        <w:rPr>
          <w:color w:val="231F20"/>
          <w:spacing w:val="2"/>
          <w:w w:val="105"/>
        </w:rPr>
        <w:t>al</w:t>
      </w:r>
      <w:r>
        <w:rPr>
          <w:color w:val="231F20"/>
          <w:spacing w:val="-8"/>
          <w:w w:val="105"/>
        </w:rPr>
        <w:t> </w:t>
      </w:r>
      <w:r>
        <w:rPr>
          <w:color w:val="231F20"/>
          <w:w w:val="105"/>
        </w:rPr>
        <w:t>municipio</w:t>
      </w:r>
      <w:r>
        <w:rPr>
          <w:color w:val="231F20"/>
          <w:spacing w:val="-8"/>
          <w:w w:val="105"/>
        </w:rPr>
        <w:t> </w:t>
      </w:r>
      <w:r>
        <w:rPr>
          <w:color w:val="231F20"/>
          <w:w w:val="105"/>
        </w:rPr>
        <w:t>se</w:t>
      </w:r>
      <w:r>
        <w:rPr>
          <w:color w:val="231F20"/>
          <w:spacing w:val="-8"/>
          <w:w w:val="105"/>
        </w:rPr>
        <w:t> </w:t>
      </w:r>
      <w:r>
        <w:rPr>
          <w:color w:val="231F20"/>
          <w:w w:val="105"/>
        </w:rPr>
        <w:t>ubican</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grado</w:t>
      </w:r>
      <w:r>
        <w:rPr>
          <w:color w:val="231F20"/>
          <w:spacing w:val="-8"/>
          <w:w w:val="105"/>
        </w:rPr>
        <w:t> </w:t>
      </w:r>
      <w:r>
        <w:rPr>
          <w:color w:val="231F20"/>
          <w:w w:val="105"/>
        </w:rPr>
        <w:t>de</w:t>
      </w:r>
      <w:r>
        <w:rPr>
          <w:color w:val="231F20"/>
          <w:spacing w:val="-8"/>
          <w:w w:val="105"/>
        </w:rPr>
        <w:t> </w:t>
      </w:r>
      <w:r>
        <w:rPr>
          <w:color w:val="231F20"/>
          <w:w w:val="105"/>
        </w:rPr>
        <w:t>desa- rrollo</w:t>
      </w:r>
      <w:r>
        <w:rPr>
          <w:color w:val="231F20"/>
          <w:spacing w:val="-10"/>
          <w:w w:val="105"/>
        </w:rPr>
        <w:t> </w:t>
      </w:r>
      <w:r>
        <w:rPr>
          <w:color w:val="231F20"/>
          <w:w w:val="105"/>
        </w:rPr>
        <w:t>humano</w:t>
      </w:r>
      <w:r>
        <w:rPr>
          <w:color w:val="231F20"/>
          <w:spacing w:val="-10"/>
          <w:w w:val="105"/>
        </w:rPr>
        <w:t> </w:t>
      </w:r>
      <w:r>
        <w:rPr>
          <w:color w:val="231F20"/>
          <w:w w:val="105"/>
        </w:rPr>
        <w:t>alto</w:t>
      </w:r>
      <w:r>
        <w:rPr>
          <w:color w:val="231F20"/>
          <w:spacing w:val="-10"/>
          <w:w w:val="105"/>
        </w:rPr>
        <w:t> </w:t>
      </w:r>
      <w:r>
        <w:rPr>
          <w:color w:val="231F20"/>
          <w:w w:val="105"/>
        </w:rPr>
        <w:t>y</w:t>
      </w:r>
      <w:r>
        <w:rPr>
          <w:color w:val="231F20"/>
          <w:spacing w:val="-10"/>
          <w:w w:val="105"/>
        </w:rPr>
        <w:t> </w:t>
      </w:r>
      <w:r>
        <w:rPr>
          <w:color w:val="231F20"/>
          <w:w w:val="105"/>
        </w:rPr>
        <w:t>con</w:t>
      </w:r>
      <w:r>
        <w:rPr>
          <w:color w:val="231F20"/>
          <w:spacing w:val="-10"/>
          <w:w w:val="105"/>
        </w:rPr>
        <w:t> </w:t>
      </w:r>
      <w:r>
        <w:rPr>
          <w:color w:val="231F20"/>
          <w:w w:val="105"/>
        </w:rPr>
        <w:t>muy</w:t>
      </w:r>
      <w:r>
        <w:rPr>
          <w:color w:val="231F20"/>
          <w:spacing w:val="-10"/>
          <w:w w:val="105"/>
        </w:rPr>
        <w:t> </w:t>
      </w:r>
      <w:r>
        <w:rPr>
          <w:color w:val="231F20"/>
          <w:w w:val="105"/>
        </w:rPr>
        <w:t>bajo</w:t>
      </w:r>
      <w:r>
        <w:rPr>
          <w:color w:val="231F20"/>
          <w:spacing w:val="-10"/>
          <w:w w:val="105"/>
        </w:rPr>
        <w:t> </w:t>
      </w:r>
      <w:r>
        <w:rPr>
          <w:color w:val="231F20"/>
          <w:w w:val="105"/>
        </w:rPr>
        <w:t>grado</w:t>
      </w:r>
      <w:r>
        <w:rPr>
          <w:color w:val="231F20"/>
          <w:spacing w:val="-10"/>
          <w:w w:val="105"/>
        </w:rPr>
        <w:t> </w:t>
      </w:r>
      <w:r>
        <w:rPr>
          <w:color w:val="231F20"/>
          <w:w w:val="105"/>
        </w:rPr>
        <w:t>de</w:t>
      </w:r>
      <w:r>
        <w:rPr>
          <w:color w:val="231F20"/>
          <w:spacing w:val="-10"/>
          <w:w w:val="105"/>
        </w:rPr>
        <w:t> </w:t>
      </w:r>
      <w:r>
        <w:rPr>
          <w:color w:val="231F20"/>
          <w:w w:val="105"/>
        </w:rPr>
        <w:t>marginación,</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intento</w:t>
      </w:r>
      <w:r>
        <w:rPr>
          <w:color w:val="231F20"/>
          <w:spacing w:val="-10"/>
          <w:w w:val="105"/>
        </w:rPr>
        <w:t> </w:t>
      </w:r>
      <w:r>
        <w:rPr>
          <w:color w:val="231F20"/>
          <w:w w:val="105"/>
        </w:rPr>
        <w:t>resaltar</w:t>
      </w:r>
      <w:r>
        <w:rPr>
          <w:color w:val="231F20"/>
          <w:spacing w:val="-10"/>
          <w:w w:val="105"/>
        </w:rPr>
        <w:t> </w:t>
      </w:r>
      <w:r>
        <w:rPr>
          <w:color w:val="231F20"/>
          <w:w w:val="105"/>
        </w:rPr>
        <w:t>es</w:t>
      </w:r>
      <w:r>
        <w:rPr>
          <w:color w:val="231F20"/>
          <w:spacing w:val="-10"/>
          <w:w w:val="105"/>
        </w:rPr>
        <w:t> </w:t>
      </w:r>
      <w:r>
        <w:rPr>
          <w:color w:val="231F20"/>
          <w:w w:val="105"/>
        </w:rPr>
        <w:t>que parecería</w:t>
      </w:r>
      <w:r>
        <w:rPr>
          <w:color w:val="231F20"/>
          <w:spacing w:val="-13"/>
          <w:w w:val="105"/>
        </w:rPr>
        <w:t> </w:t>
      </w:r>
      <w:r>
        <w:rPr>
          <w:color w:val="231F20"/>
          <w:w w:val="105"/>
        </w:rPr>
        <w:t>que</w:t>
      </w:r>
      <w:r>
        <w:rPr>
          <w:color w:val="231F20"/>
          <w:spacing w:val="-13"/>
          <w:w w:val="105"/>
        </w:rPr>
        <w:t> </w:t>
      </w:r>
      <w:r>
        <w:rPr>
          <w:color w:val="231F20"/>
          <w:w w:val="105"/>
        </w:rPr>
        <w:t>han</w:t>
      </w:r>
      <w:r>
        <w:rPr>
          <w:color w:val="231F20"/>
          <w:spacing w:val="-13"/>
          <w:w w:val="105"/>
        </w:rPr>
        <w:t> </w:t>
      </w:r>
      <w:r>
        <w:rPr>
          <w:color w:val="231F20"/>
          <w:w w:val="105"/>
        </w:rPr>
        <w:t>existido</w:t>
      </w:r>
      <w:r>
        <w:rPr>
          <w:color w:val="231F20"/>
          <w:spacing w:val="-13"/>
          <w:w w:val="105"/>
        </w:rPr>
        <w:t> </w:t>
      </w:r>
      <w:r>
        <w:rPr>
          <w:color w:val="231F20"/>
          <w:w w:val="105"/>
        </w:rPr>
        <w:t>obstáculos</w:t>
      </w:r>
      <w:r>
        <w:rPr>
          <w:color w:val="231F20"/>
          <w:spacing w:val="-13"/>
          <w:w w:val="105"/>
        </w:rPr>
        <w:t> </w:t>
      </w:r>
      <w:r>
        <w:rPr>
          <w:color w:val="231F20"/>
          <w:w w:val="105"/>
        </w:rPr>
        <w:t>para</w:t>
      </w:r>
      <w:r>
        <w:rPr>
          <w:color w:val="231F20"/>
          <w:spacing w:val="-13"/>
          <w:w w:val="105"/>
        </w:rPr>
        <w:t> </w:t>
      </w:r>
      <w:r>
        <w:rPr>
          <w:color w:val="231F20"/>
          <w:w w:val="105"/>
        </w:rPr>
        <w:t>alcanzar</w:t>
      </w:r>
      <w:r>
        <w:rPr>
          <w:color w:val="231F20"/>
          <w:spacing w:val="-13"/>
          <w:w w:val="105"/>
        </w:rPr>
        <w:t> </w:t>
      </w:r>
      <w:r>
        <w:rPr>
          <w:color w:val="231F20"/>
          <w:w w:val="105"/>
        </w:rPr>
        <w:t>un</w:t>
      </w:r>
      <w:r>
        <w:rPr>
          <w:color w:val="231F20"/>
          <w:spacing w:val="-13"/>
          <w:w w:val="105"/>
        </w:rPr>
        <w:t> </w:t>
      </w:r>
      <w:r>
        <w:rPr>
          <w:color w:val="231F20"/>
          <w:w w:val="105"/>
        </w:rPr>
        <w:t>mejor</w:t>
      </w:r>
      <w:r>
        <w:rPr>
          <w:color w:val="231F20"/>
          <w:spacing w:val="-13"/>
          <w:w w:val="105"/>
        </w:rPr>
        <w:t> </w:t>
      </w:r>
      <w:r>
        <w:rPr>
          <w:color w:val="231F20"/>
          <w:w w:val="105"/>
        </w:rPr>
        <w:t>desarrollo</w:t>
      </w:r>
      <w:r>
        <w:rPr>
          <w:color w:val="231F20"/>
          <w:spacing w:val="-13"/>
          <w:w w:val="105"/>
        </w:rPr>
        <w:t> </w:t>
      </w:r>
      <w:r>
        <w:rPr>
          <w:color w:val="231F20"/>
          <w:w w:val="105"/>
        </w:rPr>
        <w:t>democrático</w:t>
      </w:r>
      <w:r>
        <w:rPr>
          <w:color w:val="231F20"/>
          <w:spacing w:val="-13"/>
          <w:w w:val="105"/>
        </w:rPr>
        <w:t> </w:t>
      </w:r>
      <w:r>
        <w:rPr>
          <w:color w:val="231F20"/>
          <w:spacing w:val="2"/>
          <w:w w:val="105"/>
        </w:rPr>
        <w:t>al </w:t>
      </w:r>
      <w:r>
        <w:rPr>
          <w:color w:val="231F20"/>
          <w:w w:val="105"/>
        </w:rPr>
        <w:t>interior de su</w:t>
      </w:r>
      <w:r>
        <w:rPr>
          <w:color w:val="231F20"/>
          <w:spacing w:val="-4"/>
          <w:w w:val="105"/>
        </w:rPr>
        <w:t> </w:t>
      </w:r>
      <w:r>
        <w:rPr>
          <w:color w:val="231F20"/>
          <w:w w:val="105"/>
        </w:rPr>
        <w:t>territorio.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25"/>
          <w:w w:val="105"/>
        </w:rPr>
        <w:t> </w:t>
      </w:r>
      <w:r>
        <w:rPr>
          <w:color w:val="231F20"/>
          <w:w w:val="105"/>
        </w:rPr>
        <w:t>términos</w:t>
      </w:r>
      <w:r>
        <w:rPr>
          <w:color w:val="231F20"/>
          <w:spacing w:val="-25"/>
          <w:w w:val="105"/>
        </w:rPr>
        <w:t> </w:t>
      </w:r>
      <w:r>
        <w:rPr>
          <w:color w:val="231F20"/>
          <w:w w:val="105"/>
        </w:rPr>
        <w:t>generales</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planteado</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principales</w:t>
      </w:r>
      <w:r>
        <w:rPr>
          <w:color w:val="231F20"/>
          <w:spacing w:val="-25"/>
          <w:w w:val="105"/>
        </w:rPr>
        <w:t> </w:t>
      </w:r>
      <w:r>
        <w:rPr>
          <w:color w:val="231F20"/>
          <w:w w:val="105"/>
        </w:rPr>
        <w:t>problemas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gobiernos</w:t>
      </w:r>
      <w:r>
        <w:rPr>
          <w:color w:val="231F20"/>
          <w:spacing w:val="-25"/>
          <w:w w:val="105"/>
        </w:rPr>
        <w:t> </w:t>
      </w:r>
      <w:r>
        <w:rPr>
          <w:color w:val="231F20"/>
          <w:w w:val="105"/>
        </w:rPr>
        <w:t>lo- cales</w:t>
      </w:r>
      <w:r>
        <w:rPr>
          <w:color w:val="231F20"/>
          <w:spacing w:val="-19"/>
          <w:w w:val="105"/>
        </w:rPr>
        <w:t> </w:t>
      </w:r>
      <w:r>
        <w:rPr>
          <w:color w:val="231F20"/>
          <w:w w:val="105"/>
        </w:rPr>
        <w:t>en</w:t>
      </w:r>
      <w:r>
        <w:rPr>
          <w:color w:val="231F20"/>
          <w:spacing w:val="-19"/>
          <w:w w:val="105"/>
        </w:rPr>
        <w:t> </w:t>
      </w:r>
      <w:r>
        <w:rPr>
          <w:color w:val="231F20"/>
          <w:w w:val="105"/>
        </w:rPr>
        <w:t>México</w:t>
      </w:r>
      <w:r>
        <w:rPr>
          <w:color w:val="231F20"/>
          <w:spacing w:val="-19"/>
          <w:w w:val="105"/>
        </w:rPr>
        <w:t> </w:t>
      </w:r>
      <w:r>
        <w:rPr>
          <w:color w:val="231F20"/>
          <w:w w:val="105"/>
        </w:rPr>
        <w:t>radican</w:t>
      </w:r>
      <w:r>
        <w:rPr>
          <w:color w:val="231F20"/>
          <w:spacing w:val="-19"/>
          <w:w w:val="105"/>
        </w:rPr>
        <w:t> </w:t>
      </w:r>
      <w:r>
        <w:rPr>
          <w:color w:val="231F20"/>
          <w:w w:val="105"/>
        </w:rPr>
        <w:t>en</w:t>
      </w:r>
      <w:r>
        <w:rPr>
          <w:color w:val="231F20"/>
          <w:spacing w:val="-19"/>
          <w:w w:val="105"/>
        </w:rPr>
        <w:t> </w:t>
      </w:r>
      <w:r>
        <w:rPr>
          <w:color w:val="231F20"/>
          <w:spacing w:val="-4"/>
          <w:w w:val="105"/>
        </w:rPr>
        <w:t>“su</w:t>
      </w:r>
      <w:r>
        <w:rPr>
          <w:color w:val="231F20"/>
          <w:spacing w:val="-19"/>
          <w:w w:val="105"/>
        </w:rPr>
        <w:t> </w:t>
      </w:r>
      <w:r>
        <w:rPr>
          <w:color w:val="231F20"/>
          <w:w w:val="105"/>
        </w:rPr>
        <w:t>debilidad</w:t>
      </w:r>
      <w:r>
        <w:rPr>
          <w:color w:val="231F20"/>
          <w:spacing w:val="-19"/>
          <w:w w:val="105"/>
        </w:rPr>
        <w:t> </w:t>
      </w:r>
      <w:r>
        <w:rPr>
          <w:color w:val="231F20"/>
          <w:w w:val="105"/>
        </w:rPr>
        <w:t>institucional,</w:t>
      </w:r>
      <w:r>
        <w:rPr>
          <w:color w:val="231F20"/>
          <w:spacing w:val="-19"/>
          <w:w w:val="105"/>
        </w:rPr>
        <w:t> </w:t>
      </w:r>
      <w:r>
        <w:rPr>
          <w:color w:val="231F20"/>
          <w:w w:val="105"/>
        </w:rPr>
        <w:t>la</w:t>
      </w:r>
      <w:r>
        <w:rPr>
          <w:color w:val="231F20"/>
          <w:spacing w:val="-19"/>
          <w:w w:val="105"/>
        </w:rPr>
        <w:t> </w:t>
      </w:r>
      <w:r>
        <w:rPr>
          <w:color w:val="231F20"/>
          <w:w w:val="105"/>
        </w:rPr>
        <w:t>carencia</w:t>
      </w:r>
      <w:r>
        <w:rPr>
          <w:color w:val="231F20"/>
          <w:spacing w:val="-19"/>
          <w:w w:val="105"/>
        </w:rPr>
        <w:t> </w:t>
      </w:r>
      <w:r>
        <w:rPr>
          <w:color w:val="231F20"/>
          <w:w w:val="105"/>
        </w:rPr>
        <w:t>de</w:t>
      </w:r>
      <w:r>
        <w:rPr>
          <w:color w:val="231F20"/>
          <w:spacing w:val="-19"/>
          <w:w w:val="105"/>
        </w:rPr>
        <w:t> </w:t>
      </w:r>
      <w:r>
        <w:rPr>
          <w:color w:val="231F20"/>
          <w:w w:val="105"/>
        </w:rPr>
        <w:t>recursos</w:t>
      </w:r>
      <w:r>
        <w:rPr>
          <w:color w:val="231F20"/>
          <w:spacing w:val="-19"/>
          <w:w w:val="105"/>
        </w:rPr>
        <w:t> </w:t>
      </w:r>
      <w:r>
        <w:rPr>
          <w:color w:val="231F20"/>
          <w:w w:val="105"/>
        </w:rPr>
        <w:t>económi- cos,</w:t>
      </w:r>
      <w:r>
        <w:rPr>
          <w:color w:val="231F20"/>
          <w:spacing w:val="-4"/>
          <w:w w:val="105"/>
        </w:rPr>
        <w:t> </w:t>
      </w:r>
      <w:r>
        <w:rPr>
          <w:color w:val="231F20"/>
          <w:w w:val="105"/>
        </w:rPr>
        <w:t>la</w:t>
      </w:r>
      <w:r>
        <w:rPr>
          <w:color w:val="231F20"/>
          <w:spacing w:val="-4"/>
          <w:w w:val="105"/>
        </w:rPr>
        <w:t> </w:t>
      </w:r>
      <w:r>
        <w:rPr>
          <w:color w:val="231F20"/>
          <w:w w:val="105"/>
        </w:rPr>
        <w:t>fragilidad</w:t>
      </w:r>
      <w:r>
        <w:rPr>
          <w:color w:val="231F20"/>
          <w:spacing w:val="-4"/>
          <w:w w:val="105"/>
        </w:rPr>
        <w:t> </w:t>
      </w:r>
      <w:r>
        <w:rPr>
          <w:color w:val="231F20"/>
          <w:w w:val="105"/>
        </w:rPr>
        <w:t>de</w:t>
      </w:r>
      <w:r>
        <w:rPr>
          <w:color w:val="231F20"/>
          <w:spacing w:val="-4"/>
          <w:w w:val="105"/>
        </w:rPr>
        <w:t> </w:t>
      </w:r>
      <w:r>
        <w:rPr>
          <w:color w:val="231F20"/>
          <w:w w:val="105"/>
        </w:rPr>
        <w:t>sus</w:t>
      </w:r>
      <w:r>
        <w:rPr>
          <w:color w:val="231F20"/>
          <w:spacing w:val="-4"/>
          <w:w w:val="105"/>
        </w:rPr>
        <w:t> </w:t>
      </w:r>
      <w:r>
        <w:rPr>
          <w:color w:val="231F20"/>
          <w:w w:val="105"/>
        </w:rPr>
        <w:t>estructuras</w:t>
      </w:r>
      <w:r>
        <w:rPr>
          <w:color w:val="231F20"/>
          <w:spacing w:val="-4"/>
          <w:w w:val="105"/>
        </w:rPr>
        <w:t> </w:t>
      </w:r>
      <w:r>
        <w:rPr>
          <w:color w:val="231F20"/>
          <w:w w:val="105"/>
        </w:rPr>
        <w:t>administrativas</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w w:val="105"/>
        </w:rPr>
        <w:t>ausencia</w:t>
      </w:r>
      <w:r>
        <w:rPr>
          <w:color w:val="231F20"/>
          <w:spacing w:val="-4"/>
          <w:w w:val="105"/>
        </w:rPr>
        <w:t> </w:t>
      </w:r>
      <w:r>
        <w:rPr>
          <w:color w:val="231F20"/>
          <w:w w:val="105"/>
        </w:rPr>
        <w:t>de</w:t>
      </w:r>
      <w:r>
        <w:rPr>
          <w:color w:val="231F20"/>
          <w:spacing w:val="-4"/>
          <w:w w:val="105"/>
        </w:rPr>
        <w:t> </w:t>
      </w:r>
      <w:r>
        <w:rPr>
          <w:color w:val="231F20"/>
          <w:w w:val="105"/>
        </w:rPr>
        <w:t>recursos</w:t>
      </w:r>
      <w:r>
        <w:rPr>
          <w:color w:val="231F20"/>
          <w:spacing w:val="-4"/>
          <w:w w:val="105"/>
        </w:rPr>
        <w:t> </w:t>
      </w:r>
      <w:r>
        <w:rPr>
          <w:color w:val="231F20"/>
          <w:w w:val="105"/>
        </w:rPr>
        <w:t>humanos profesionales y suficientemente capacitados para la función gubernamental”</w:t>
      </w:r>
      <w:r>
        <w:rPr>
          <w:color w:val="231F20"/>
          <w:spacing w:val="-39"/>
          <w:w w:val="105"/>
        </w:rPr>
        <w:t> </w:t>
      </w:r>
      <w:r>
        <w:rPr>
          <w:color w:val="231F20"/>
          <w:spacing w:val="-3"/>
          <w:w w:val="105"/>
        </w:rPr>
        <w:t>(Cabrero, </w:t>
      </w:r>
      <w:r>
        <w:rPr>
          <w:color w:val="231F20"/>
          <w:spacing w:val="4"/>
          <w:w w:val="105"/>
        </w:rPr>
        <w:t>2000: </w:t>
      </w:r>
      <w:r>
        <w:rPr>
          <w:color w:val="231F20"/>
          <w:spacing w:val="-5"/>
          <w:w w:val="105"/>
        </w:rPr>
        <w:t>9). </w:t>
      </w:r>
      <w:r>
        <w:rPr>
          <w:color w:val="231F20"/>
          <w:w w:val="105"/>
        </w:rPr>
        <w:t>Esta </w:t>
      </w:r>
      <w:r>
        <w:rPr>
          <w:color w:val="231F20"/>
          <w:spacing w:val="-3"/>
          <w:w w:val="105"/>
        </w:rPr>
        <w:t>“condición </w:t>
      </w:r>
      <w:r>
        <w:rPr>
          <w:color w:val="231F20"/>
          <w:w w:val="105"/>
        </w:rPr>
        <w:t>estructural de precariedad del municipio mexicano” a la</w:t>
      </w:r>
      <w:r>
        <w:rPr>
          <w:color w:val="231F20"/>
          <w:spacing w:val="-39"/>
          <w:w w:val="105"/>
        </w:rPr>
        <w:t> </w:t>
      </w:r>
      <w:r>
        <w:rPr>
          <w:color w:val="231F20"/>
          <w:w w:val="105"/>
        </w:rPr>
        <w:t>que se refiere Cabrero, ha limitado la capacidad de promoción del desarrollo económico y democrático</w:t>
      </w:r>
      <w:r>
        <w:rPr>
          <w:color w:val="231F20"/>
          <w:spacing w:val="-7"/>
          <w:w w:val="105"/>
        </w:rPr>
        <w:t> </w:t>
      </w:r>
      <w:r>
        <w:rPr>
          <w:color w:val="231F20"/>
          <w:w w:val="105"/>
        </w:rPr>
        <w:t>por</w:t>
      </w:r>
      <w:r>
        <w:rPr>
          <w:color w:val="231F20"/>
          <w:spacing w:val="-7"/>
          <w:w w:val="105"/>
        </w:rPr>
        <w:t> </w:t>
      </w:r>
      <w:r>
        <w:rPr>
          <w:color w:val="231F20"/>
          <w:w w:val="105"/>
        </w:rPr>
        <w:t>parte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ayuntamientos,</w:t>
      </w:r>
      <w:r>
        <w:rPr>
          <w:color w:val="231F20"/>
          <w:spacing w:val="-7"/>
          <w:w w:val="105"/>
        </w:rPr>
        <w:t> </w:t>
      </w:r>
      <w:r>
        <w:rPr>
          <w:color w:val="231F20"/>
          <w:w w:val="105"/>
        </w:rPr>
        <w:t>en</w:t>
      </w:r>
      <w:r>
        <w:rPr>
          <w:color w:val="231F20"/>
          <w:spacing w:val="-7"/>
          <w:w w:val="105"/>
        </w:rPr>
        <w:t> </w:t>
      </w:r>
      <w:r>
        <w:rPr>
          <w:color w:val="231F20"/>
          <w:spacing w:val="-3"/>
          <w:w w:val="105"/>
        </w:rPr>
        <w:t>donde</w:t>
      </w:r>
      <w:r>
        <w:rPr>
          <w:color w:val="231F20"/>
          <w:spacing w:val="-7"/>
          <w:w w:val="105"/>
        </w:rPr>
        <w:t> </w:t>
      </w:r>
      <w:r>
        <w:rPr>
          <w:color w:val="231F20"/>
          <w:w w:val="105"/>
        </w:rPr>
        <w:t>los</w:t>
      </w:r>
      <w:r>
        <w:rPr>
          <w:color w:val="231F20"/>
          <w:spacing w:val="-7"/>
          <w:w w:val="105"/>
        </w:rPr>
        <w:t> </w:t>
      </w:r>
      <w:r>
        <w:rPr>
          <w:color w:val="231F20"/>
          <w:w w:val="105"/>
        </w:rPr>
        <w:t>partidos</w:t>
      </w:r>
      <w:r>
        <w:rPr>
          <w:color w:val="231F20"/>
          <w:spacing w:val="-7"/>
          <w:w w:val="105"/>
        </w:rPr>
        <w:t> </w:t>
      </w:r>
      <w:r>
        <w:rPr>
          <w:color w:val="231F20"/>
          <w:w w:val="105"/>
        </w:rPr>
        <w:t>políticos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loca- lidad</w:t>
      </w:r>
      <w:r>
        <w:rPr>
          <w:color w:val="231F20"/>
          <w:spacing w:val="-5"/>
          <w:w w:val="105"/>
        </w:rPr>
        <w:t> </w:t>
      </w:r>
      <w:r>
        <w:rPr>
          <w:color w:val="231F20"/>
          <w:w w:val="105"/>
        </w:rPr>
        <w:t>han</w:t>
      </w:r>
      <w:r>
        <w:rPr>
          <w:color w:val="231F20"/>
          <w:spacing w:val="-5"/>
          <w:w w:val="105"/>
        </w:rPr>
        <w:t> </w:t>
      </w:r>
      <w:r>
        <w:rPr>
          <w:color w:val="231F20"/>
          <w:w w:val="105"/>
        </w:rPr>
        <w:t>mostrado</w:t>
      </w:r>
      <w:r>
        <w:rPr>
          <w:color w:val="231F20"/>
          <w:spacing w:val="-5"/>
          <w:w w:val="105"/>
        </w:rPr>
        <w:t> </w:t>
      </w:r>
      <w:r>
        <w:rPr>
          <w:color w:val="231F20"/>
          <w:w w:val="105"/>
        </w:rPr>
        <w:t>poca</w:t>
      </w:r>
      <w:r>
        <w:rPr>
          <w:color w:val="231F20"/>
          <w:spacing w:val="-5"/>
          <w:w w:val="105"/>
        </w:rPr>
        <w:t> </w:t>
      </w:r>
      <w:r>
        <w:rPr>
          <w:color w:val="231F20"/>
          <w:w w:val="105"/>
        </w:rPr>
        <w:t>influencia</w:t>
      </w:r>
      <w:r>
        <w:rPr>
          <w:color w:val="231F20"/>
          <w:spacing w:val="-5"/>
          <w:w w:val="105"/>
        </w:rPr>
        <w:t> </w:t>
      </w:r>
      <w:r>
        <w:rPr>
          <w:color w:val="231F20"/>
          <w:w w:val="105"/>
        </w:rPr>
        <w:t>para</w:t>
      </w:r>
      <w:r>
        <w:rPr>
          <w:color w:val="231F20"/>
          <w:spacing w:val="-5"/>
          <w:w w:val="105"/>
        </w:rPr>
        <w:t> </w:t>
      </w:r>
      <w:r>
        <w:rPr>
          <w:color w:val="231F20"/>
          <w:w w:val="105"/>
        </w:rPr>
        <w:t>intervenir</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mejoramiento.</w:t>
      </w:r>
    </w:p>
    <w:p>
      <w:pPr>
        <w:pStyle w:val="BodyText"/>
        <w:spacing w:before="1"/>
        <w:rPr>
          <w:sz w:val="26"/>
        </w:rPr>
      </w:pPr>
    </w:p>
    <w:p>
      <w:pPr>
        <w:pStyle w:val="BodyText"/>
        <w:spacing w:line="285" w:lineRule="auto"/>
        <w:ind w:left="110" w:right="107"/>
        <w:jc w:val="both"/>
      </w:pPr>
      <w:r>
        <w:rPr>
          <w:color w:val="231F20"/>
          <w:spacing w:val="2"/>
          <w:w w:val="105"/>
        </w:rPr>
        <w:t>Huixquilucan</w:t>
      </w:r>
      <w:r>
        <w:rPr>
          <w:color w:val="231F20"/>
          <w:spacing w:val="-4"/>
          <w:w w:val="105"/>
        </w:rPr>
        <w:t> </w:t>
      </w:r>
      <w:r>
        <w:rPr>
          <w:color w:val="231F20"/>
          <w:w w:val="105"/>
        </w:rPr>
        <w:t>no</w:t>
      </w:r>
      <w:r>
        <w:rPr>
          <w:color w:val="231F20"/>
          <w:spacing w:val="-4"/>
          <w:w w:val="105"/>
        </w:rPr>
        <w:t> </w:t>
      </w:r>
      <w:r>
        <w:rPr>
          <w:color w:val="231F20"/>
          <w:spacing w:val="2"/>
          <w:w w:val="105"/>
        </w:rPr>
        <w:t>parece</w:t>
      </w:r>
      <w:r>
        <w:rPr>
          <w:color w:val="231F20"/>
          <w:spacing w:val="-4"/>
          <w:w w:val="105"/>
        </w:rPr>
        <w:t> </w:t>
      </w:r>
      <w:r>
        <w:rPr>
          <w:color w:val="231F20"/>
          <w:w w:val="105"/>
        </w:rPr>
        <w:t>ser</w:t>
      </w:r>
      <w:r>
        <w:rPr>
          <w:color w:val="231F20"/>
          <w:spacing w:val="-4"/>
          <w:w w:val="105"/>
        </w:rPr>
        <w:t> </w:t>
      </w:r>
      <w:r>
        <w:rPr>
          <w:color w:val="231F20"/>
          <w:w w:val="105"/>
        </w:rPr>
        <w:t>la</w:t>
      </w:r>
      <w:r>
        <w:rPr>
          <w:color w:val="231F20"/>
          <w:spacing w:val="-4"/>
          <w:w w:val="105"/>
        </w:rPr>
        <w:t> </w:t>
      </w:r>
      <w:r>
        <w:rPr>
          <w:color w:val="231F20"/>
          <w:w w:val="105"/>
        </w:rPr>
        <w:t>excepción</w:t>
      </w:r>
      <w:r>
        <w:rPr>
          <w:color w:val="231F20"/>
          <w:spacing w:val="-4"/>
          <w:w w:val="105"/>
        </w:rPr>
        <w:t> </w:t>
      </w:r>
      <w:r>
        <w:rPr>
          <w:color w:val="231F20"/>
          <w:spacing w:val="3"/>
          <w:w w:val="105"/>
        </w:rPr>
        <w:t>al</w:t>
      </w:r>
      <w:r>
        <w:rPr>
          <w:color w:val="231F20"/>
          <w:spacing w:val="-4"/>
          <w:w w:val="105"/>
        </w:rPr>
        <w:t> </w:t>
      </w:r>
      <w:r>
        <w:rPr>
          <w:color w:val="231F20"/>
          <w:spacing w:val="2"/>
          <w:w w:val="105"/>
        </w:rPr>
        <w:t>diagnóstico</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problemas</w:t>
      </w:r>
      <w:r>
        <w:rPr>
          <w:color w:val="231F20"/>
          <w:spacing w:val="-4"/>
          <w:w w:val="105"/>
        </w:rPr>
        <w:t> </w:t>
      </w:r>
      <w:r>
        <w:rPr>
          <w:color w:val="231F20"/>
          <w:w w:val="105"/>
        </w:rPr>
        <w:t>que</w:t>
      </w:r>
      <w:r>
        <w:rPr>
          <w:color w:val="231F20"/>
          <w:spacing w:val="-4"/>
          <w:w w:val="105"/>
        </w:rPr>
        <w:t> </w:t>
      </w:r>
      <w:r>
        <w:rPr>
          <w:color w:val="231F20"/>
          <w:w w:val="105"/>
        </w:rPr>
        <w:t>aquejan a</w:t>
      </w:r>
      <w:r>
        <w:rPr>
          <w:color w:val="231F20"/>
          <w:spacing w:val="-4"/>
          <w:w w:val="105"/>
        </w:rPr>
        <w:t> </w:t>
      </w:r>
      <w:r>
        <w:rPr>
          <w:color w:val="231F20"/>
          <w:w w:val="105"/>
        </w:rPr>
        <w:t>los</w:t>
      </w:r>
      <w:r>
        <w:rPr>
          <w:color w:val="231F20"/>
          <w:spacing w:val="-4"/>
          <w:w w:val="105"/>
        </w:rPr>
        <w:t> </w:t>
      </w:r>
      <w:r>
        <w:rPr>
          <w:color w:val="231F20"/>
          <w:spacing w:val="2"/>
          <w:w w:val="105"/>
        </w:rPr>
        <w:t>ayuntamientos</w:t>
      </w:r>
      <w:r>
        <w:rPr>
          <w:color w:val="231F20"/>
          <w:spacing w:val="-4"/>
          <w:w w:val="105"/>
        </w:rPr>
        <w:t> </w:t>
      </w:r>
      <w:r>
        <w:rPr>
          <w:color w:val="231F20"/>
          <w:spacing w:val="2"/>
          <w:w w:val="105"/>
        </w:rPr>
        <w:t>mexicanos,</w:t>
      </w:r>
      <w:r>
        <w:rPr>
          <w:color w:val="231F20"/>
          <w:spacing w:val="-4"/>
          <w:w w:val="105"/>
        </w:rPr>
        <w:t> </w:t>
      </w:r>
      <w:r>
        <w:rPr>
          <w:color w:val="231F20"/>
          <w:w w:val="105"/>
        </w:rPr>
        <w:t>sin</w:t>
      </w:r>
      <w:r>
        <w:rPr>
          <w:color w:val="231F20"/>
          <w:spacing w:val="-4"/>
          <w:w w:val="105"/>
        </w:rPr>
        <w:t> </w:t>
      </w:r>
      <w:r>
        <w:rPr>
          <w:color w:val="231F20"/>
          <w:w w:val="105"/>
        </w:rPr>
        <w:t>embargo,</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interior</w:t>
      </w:r>
      <w:r>
        <w:rPr>
          <w:color w:val="231F20"/>
          <w:spacing w:val="-4"/>
          <w:w w:val="105"/>
        </w:rPr>
        <w:t> </w:t>
      </w:r>
      <w:r>
        <w:rPr>
          <w:color w:val="231F20"/>
          <w:spacing w:val="2"/>
          <w:w w:val="105"/>
        </w:rPr>
        <w:t>existen</w:t>
      </w:r>
      <w:r>
        <w:rPr>
          <w:color w:val="231F20"/>
          <w:spacing w:val="-4"/>
          <w:w w:val="105"/>
        </w:rPr>
        <w:t> </w:t>
      </w:r>
      <w:r>
        <w:rPr>
          <w:color w:val="231F20"/>
          <w:w w:val="105"/>
        </w:rPr>
        <w:t>condiciones</w:t>
      </w:r>
      <w:r>
        <w:rPr>
          <w:color w:val="231F20"/>
          <w:spacing w:val="-4"/>
          <w:w w:val="105"/>
        </w:rPr>
        <w:t> </w:t>
      </w:r>
      <w:r>
        <w:rPr>
          <w:color w:val="231F20"/>
          <w:spacing w:val="2"/>
          <w:w w:val="105"/>
        </w:rPr>
        <w:t>insti- tucionales</w:t>
      </w:r>
      <w:r>
        <w:rPr>
          <w:color w:val="231F20"/>
          <w:spacing w:val="-14"/>
          <w:w w:val="105"/>
        </w:rPr>
        <w:t> </w:t>
      </w:r>
      <w:r>
        <w:rPr>
          <w:color w:val="231F20"/>
          <w:w w:val="105"/>
        </w:rPr>
        <w:t>que</w:t>
      </w:r>
      <w:r>
        <w:rPr>
          <w:color w:val="231F20"/>
          <w:spacing w:val="-14"/>
          <w:w w:val="105"/>
        </w:rPr>
        <w:t> </w:t>
      </w:r>
      <w:r>
        <w:rPr>
          <w:color w:val="231F20"/>
          <w:w w:val="105"/>
        </w:rPr>
        <w:t>fomentan</w:t>
      </w:r>
      <w:r>
        <w:rPr>
          <w:color w:val="231F20"/>
          <w:spacing w:val="-14"/>
          <w:w w:val="105"/>
        </w:rPr>
        <w:t> </w:t>
      </w:r>
      <w:r>
        <w:rPr>
          <w:color w:val="231F20"/>
          <w:w w:val="105"/>
        </w:rPr>
        <w:t>la</w:t>
      </w:r>
      <w:r>
        <w:rPr>
          <w:color w:val="231F20"/>
          <w:spacing w:val="-14"/>
          <w:w w:val="105"/>
        </w:rPr>
        <w:t> </w:t>
      </w:r>
      <w:r>
        <w:rPr>
          <w:color w:val="231F20"/>
          <w:spacing w:val="2"/>
          <w:w w:val="105"/>
        </w:rPr>
        <w:t>centralización</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spacing w:val="2"/>
          <w:w w:val="105"/>
        </w:rPr>
        <w:t>personalización</w:t>
      </w:r>
      <w:r>
        <w:rPr>
          <w:color w:val="231F20"/>
          <w:spacing w:val="-14"/>
          <w:w w:val="105"/>
        </w:rPr>
        <w:t> </w:t>
      </w:r>
      <w:r>
        <w:rPr>
          <w:color w:val="231F20"/>
          <w:w w:val="105"/>
        </w:rPr>
        <w:t>del</w:t>
      </w:r>
      <w:r>
        <w:rPr>
          <w:color w:val="231F20"/>
          <w:spacing w:val="-14"/>
          <w:w w:val="105"/>
        </w:rPr>
        <w:t> </w:t>
      </w:r>
      <w:r>
        <w:rPr>
          <w:color w:val="231F20"/>
          <w:w w:val="105"/>
        </w:rPr>
        <w:t>accionar</w:t>
      </w:r>
      <w:r>
        <w:rPr>
          <w:color w:val="231F20"/>
          <w:spacing w:val="-14"/>
          <w:w w:val="105"/>
        </w:rPr>
        <w:t> </w:t>
      </w:r>
      <w:r>
        <w:rPr>
          <w:color w:val="231F20"/>
          <w:w w:val="105"/>
        </w:rPr>
        <w:t>del</w:t>
      </w:r>
      <w:r>
        <w:rPr>
          <w:color w:val="231F20"/>
          <w:spacing w:val="-14"/>
          <w:w w:val="105"/>
        </w:rPr>
        <w:t> </w:t>
      </w:r>
      <w:r>
        <w:rPr>
          <w:color w:val="231F20"/>
          <w:w w:val="105"/>
        </w:rPr>
        <w:t>gobier- no</w:t>
      </w:r>
      <w:r>
        <w:rPr>
          <w:color w:val="231F20"/>
          <w:spacing w:val="-3"/>
          <w:w w:val="105"/>
        </w:rPr>
        <w:t> </w:t>
      </w:r>
      <w:r>
        <w:rPr>
          <w:color w:val="231F20"/>
          <w:w w:val="105"/>
        </w:rPr>
        <w:t>en</w:t>
      </w:r>
      <w:r>
        <w:rPr>
          <w:color w:val="231F20"/>
          <w:spacing w:val="-3"/>
          <w:w w:val="105"/>
        </w:rPr>
        <w:t> </w:t>
      </w:r>
      <w:r>
        <w:rPr>
          <w:color w:val="231F20"/>
          <w:w w:val="105"/>
        </w:rPr>
        <w:t>la</w:t>
      </w:r>
      <w:r>
        <w:rPr>
          <w:color w:val="231F20"/>
          <w:spacing w:val="-3"/>
          <w:w w:val="105"/>
        </w:rPr>
        <w:t> </w:t>
      </w:r>
      <w:r>
        <w:rPr>
          <w:color w:val="231F20"/>
          <w:w w:val="105"/>
        </w:rPr>
        <w:t>toma</w:t>
      </w:r>
      <w:r>
        <w:rPr>
          <w:color w:val="231F20"/>
          <w:spacing w:val="-3"/>
          <w:w w:val="105"/>
        </w:rPr>
        <w:t> </w:t>
      </w:r>
      <w:r>
        <w:rPr>
          <w:color w:val="231F20"/>
          <w:w w:val="105"/>
        </w:rPr>
        <w:t>de</w:t>
      </w:r>
      <w:r>
        <w:rPr>
          <w:color w:val="231F20"/>
          <w:spacing w:val="-3"/>
          <w:w w:val="105"/>
        </w:rPr>
        <w:t> </w:t>
      </w:r>
      <w:r>
        <w:rPr>
          <w:color w:val="231F20"/>
          <w:w w:val="105"/>
        </w:rPr>
        <w:t>decisiones</w:t>
      </w:r>
      <w:r>
        <w:rPr>
          <w:color w:val="231F20"/>
          <w:spacing w:val="-3"/>
          <w:w w:val="105"/>
        </w:rPr>
        <w:t> </w:t>
      </w:r>
      <w:r>
        <w:rPr>
          <w:color w:val="231F20"/>
          <w:w w:val="105"/>
        </w:rPr>
        <w:t>y</w:t>
      </w:r>
      <w:r>
        <w:rPr>
          <w:color w:val="231F20"/>
          <w:spacing w:val="-3"/>
          <w:w w:val="105"/>
        </w:rPr>
        <w:t> </w:t>
      </w:r>
      <w:r>
        <w:rPr>
          <w:color w:val="231F20"/>
          <w:w w:val="105"/>
        </w:rPr>
        <w:t>en</w:t>
      </w:r>
      <w:r>
        <w:rPr>
          <w:color w:val="231F20"/>
          <w:spacing w:val="-3"/>
          <w:w w:val="105"/>
        </w:rPr>
        <w:t> </w:t>
      </w:r>
      <w:r>
        <w:rPr>
          <w:color w:val="231F20"/>
          <w:w w:val="105"/>
        </w:rPr>
        <w:t>la</w:t>
      </w:r>
      <w:r>
        <w:rPr>
          <w:color w:val="231F20"/>
          <w:spacing w:val="-3"/>
          <w:w w:val="105"/>
        </w:rPr>
        <w:t> </w:t>
      </w:r>
      <w:r>
        <w:rPr>
          <w:color w:val="231F20"/>
          <w:spacing w:val="2"/>
          <w:w w:val="105"/>
        </w:rPr>
        <w:t>definición</w:t>
      </w:r>
      <w:r>
        <w:rPr>
          <w:color w:val="231F20"/>
          <w:spacing w:val="-3"/>
          <w:w w:val="105"/>
        </w:rPr>
        <w:t> </w:t>
      </w:r>
      <w:r>
        <w:rPr>
          <w:color w:val="231F20"/>
          <w:w w:val="105"/>
        </w:rPr>
        <w:t>de</w:t>
      </w:r>
      <w:r>
        <w:rPr>
          <w:color w:val="231F20"/>
          <w:spacing w:val="-3"/>
          <w:w w:val="105"/>
        </w:rPr>
        <w:t> </w:t>
      </w:r>
      <w:r>
        <w:rPr>
          <w:color w:val="231F20"/>
          <w:w w:val="105"/>
        </w:rPr>
        <w:t>sus</w:t>
      </w:r>
      <w:r>
        <w:rPr>
          <w:color w:val="231F20"/>
          <w:spacing w:val="-3"/>
          <w:w w:val="105"/>
        </w:rPr>
        <w:t> </w:t>
      </w:r>
      <w:r>
        <w:rPr>
          <w:color w:val="231F20"/>
          <w:spacing w:val="2"/>
          <w:w w:val="105"/>
        </w:rPr>
        <w:t>políticas,</w:t>
      </w:r>
      <w:r>
        <w:rPr>
          <w:color w:val="231F20"/>
          <w:spacing w:val="-3"/>
          <w:w w:val="105"/>
        </w:rPr>
        <w:t> </w:t>
      </w:r>
      <w:r>
        <w:rPr>
          <w:color w:val="231F20"/>
          <w:spacing w:val="3"/>
          <w:w w:val="105"/>
        </w:rPr>
        <w:t>al</w:t>
      </w:r>
      <w:r>
        <w:rPr>
          <w:color w:val="231F20"/>
          <w:spacing w:val="-3"/>
          <w:w w:val="105"/>
        </w:rPr>
        <w:t> </w:t>
      </w:r>
      <w:r>
        <w:rPr>
          <w:color w:val="231F20"/>
          <w:w w:val="105"/>
        </w:rPr>
        <w:t>grado</w:t>
      </w:r>
      <w:r>
        <w:rPr>
          <w:color w:val="231F20"/>
          <w:spacing w:val="-3"/>
          <w:w w:val="105"/>
        </w:rPr>
        <w:t> </w:t>
      </w:r>
      <w:r>
        <w:rPr>
          <w:color w:val="231F20"/>
          <w:w w:val="105"/>
        </w:rPr>
        <w:t>de</w:t>
      </w:r>
      <w:r>
        <w:rPr>
          <w:color w:val="231F20"/>
          <w:spacing w:val="-3"/>
          <w:w w:val="105"/>
        </w:rPr>
        <w:t> </w:t>
      </w:r>
      <w:r>
        <w:rPr>
          <w:color w:val="231F20"/>
          <w:w w:val="105"/>
        </w:rPr>
        <w:t>convertirse </w:t>
      </w:r>
      <w:r>
        <w:rPr>
          <w:color w:val="231F20"/>
          <w:w w:val="105"/>
          <w:u w:val="single" w:color="231F20"/>
        </w:rPr>
        <w:t>en uno de los p</w:t>
      </w:r>
      <w:r>
        <w:rPr>
          <w:color w:val="231F20"/>
          <w:w w:val="105"/>
        </w:rPr>
        <w:t>rincipales </w:t>
      </w:r>
      <w:r>
        <w:rPr>
          <w:color w:val="231F20"/>
          <w:spacing w:val="2"/>
          <w:w w:val="105"/>
        </w:rPr>
        <w:t>obstáculos para </w:t>
      </w:r>
      <w:r>
        <w:rPr>
          <w:color w:val="231F20"/>
          <w:w w:val="105"/>
        </w:rPr>
        <w:t>fomentar el </w:t>
      </w:r>
      <w:r>
        <w:rPr>
          <w:color w:val="231F20"/>
          <w:spacing w:val="2"/>
          <w:w w:val="105"/>
        </w:rPr>
        <w:t>desarrollo </w:t>
      </w:r>
      <w:r>
        <w:rPr>
          <w:color w:val="231F20"/>
          <w:w w:val="105"/>
        </w:rPr>
        <w:t>económico y </w:t>
      </w:r>
      <w:r>
        <w:rPr>
          <w:color w:val="231F20"/>
          <w:spacing w:val="22"/>
          <w:w w:val="105"/>
        </w:rPr>
        <w:t> </w:t>
      </w:r>
      <w:r>
        <w:rPr>
          <w:color w:val="231F20"/>
          <w:w w:val="105"/>
        </w:rPr>
        <w:t>demo-</w:t>
      </w:r>
    </w:p>
    <w:p>
      <w:pPr>
        <w:pStyle w:val="ListParagraph"/>
        <w:numPr>
          <w:ilvl w:val="0"/>
          <w:numId w:val="1"/>
        </w:numPr>
        <w:tabs>
          <w:tab w:pos="223" w:val="left" w:leader="none"/>
        </w:tabs>
        <w:spacing w:line="244" w:lineRule="auto" w:before="52" w:after="0"/>
        <w:ind w:left="110" w:right="107" w:firstLine="0"/>
        <w:jc w:val="both"/>
        <w:rPr>
          <w:sz w:val="16"/>
        </w:rPr>
      </w:pPr>
      <w:r>
        <w:rPr>
          <w:color w:val="231F20"/>
          <w:sz w:val="16"/>
        </w:rPr>
        <w:t>El</w:t>
      </w:r>
      <w:r>
        <w:rPr>
          <w:color w:val="231F20"/>
          <w:spacing w:val="-9"/>
          <w:sz w:val="16"/>
        </w:rPr>
        <w:t> </w:t>
      </w:r>
      <w:r>
        <w:rPr>
          <w:color w:val="231F20"/>
          <w:sz w:val="16"/>
        </w:rPr>
        <w:t>“Índice</w:t>
      </w:r>
      <w:r>
        <w:rPr>
          <w:color w:val="231F20"/>
          <w:spacing w:val="-9"/>
          <w:sz w:val="16"/>
        </w:rPr>
        <w:t> </w:t>
      </w:r>
      <w:r>
        <w:rPr>
          <w:color w:val="231F20"/>
          <w:sz w:val="16"/>
        </w:rPr>
        <w:t>de</w:t>
      </w:r>
      <w:r>
        <w:rPr>
          <w:color w:val="231F20"/>
          <w:spacing w:val="-9"/>
          <w:sz w:val="16"/>
        </w:rPr>
        <w:t> </w:t>
      </w:r>
      <w:r>
        <w:rPr>
          <w:color w:val="231F20"/>
          <w:sz w:val="16"/>
        </w:rPr>
        <w:t>Marginación</w:t>
      </w:r>
      <w:r>
        <w:rPr>
          <w:color w:val="231F20"/>
          <w:spacing w:val="-9"/>
          <w:sz w:val="16"/>
        </w:rPr>
        <w:t> </w:t>
      </w:r>
      <w:r>
        <w:rPr>
          <w:color w:val="231F20"/>
          <w:sz w:val="16"/>
        </w:rPr>
        <w:t>e</w:t>
      </w:r>
      <w:r>
        <w:rPr>
          <w:color w:val="231F20"/>
          <w:spacing w:val="-9"/>
          <w:sz w:val="16"/>
        </w:rPr>
        <w:t> </w:t>
      </w:r>
      <w:r>
        <w:rPr>
          <w:color w:val="231F20"/>
          <w:sz w:val="16"/>
        </w:rPr>
        <w:t>Indicadores</w:t>
      </w:r>
      <w:r>
        <w:rPr>
          <w:color w:val="231F20"/>
          <w:spacing w:val="-9"/>
          <w:sz w:val="16"/>
        </w:rPr>
        <w:t> </w:t>
      </w:r>
      <w:r>
        <w:rPr>
          <w:color w:val="231F20"/>
          <w:sz w:val="16"/>
        </w:rPr>
        <w:t>Socioeconómicos”</w:t>
      </w:r>
      <w:r>
        <w:rPr>
          <w:color w:val="231F20"/>
          <w:spacing w:val="-9"/>
          <w:sz w:val="16"/>
        </w:rPr>
        <w:t> </w:t>
      </w:r>
      <w:r>
        <w:rPr>
          <w:color w:val="231F20"/>
          <w:sz w:val="16"/>
        </w:rPr>
        <w:t>que</w:t>
      </w:r>
      <w:r>
        <w:rPr>
          <w:color w:val="231F20"/>
          <w:spacing w:val="-9"/>
          <w:sz w:val="16"/>
        </w:rPr>
        <w:t> </w:t>
      </w:r>
      <w:r>
        <w:rPr>
          <w:color w:val="231F20"/>
          <w:sz w:val="16"/>
        </w:rPr>
        <w:t>elaboró</w:t>
      </w:r>
      <w:r>
        <w:rPr>
          <w:color w:val="231F20"/>
          <w:spacing w:val="-9"/>
          <w:sz w:val="16"/>
        </w:rPr>
        <w:t> </w:t>
      </w:r>
      <w:r>
        <w:rPr>
          <w:color w:val="231F20"/>
          <w:sz w:val="16"/>
        </w:rPr>
        <w:t>la</w:t>
      </w:r>
      <w:r>
        <w:rPr>
          <w:color w:val="231F20"/>
          <w:spacing w:val="-9"/>
          <w:sz w:val="16"/>
        </w:rPr>
        <w:t> </w:t>
      </w:r>
      <w:r>
        <w:rPr>
          <w:color w:val="231F20"/>
          <w:sz w:val="16"/>
        </w:rPr>
        <w:t>CONAPO</w:t>
      </w:r>
      <w:r>
        <w:rPr>
          <w:color w:val="231F20"/>
          <w:spacing w:val="-9"/>
          <w:sz w:val="16"/>
        </w:rPr>
        <w:t> </w:t>
      </w:r>
      <w:r>
        <w:rPr>
          <w:color w:val="231F20"/>
          <w:sz w:val="16"/>
        </w:rPr>
        <w:t>mide</w:t>
      </w:r>
      <w:r>
        <w:rPr>
          <w:color w:val="231F20"/>
          <w:spacing w:val="-9"/>
          <w:sz w:val="16"/>
        </w:rPr>
        <w:t> </w:t>
      </w:r>
      <w:r>
        <w:rPr>
          <w:color w:val="231F20"/>
          <w:sz w:val="16"/>
        </w:rPr>
        <w:t>una</w:t>
      </w:r>
      <w:r>
        <w:rPr>
          <w:color w:val="231F20"/>
          <w:spacing w:val="-9"/>
          <w:sz w:val="16"/>
        </w:rPr>
        <w:t> </w:t>
      </w:r>
      <w:r>
        <w:rPr>
          <w:color w:val="231F20"/>
          <w:sz w:val="16"/>
        </w:rPr>
        <w:t>serie</w:t>
      </w:r>
      <w:r>
        <w:rPr>
          <w:color w:val="231F20"/>
          <w:spacing w:val="-9"/>
          <w:sz w:val="16"/>
        </w:rPr>
        <w:t> </w:t>
      </w:r>
      <w:r>
        <w:rPr>
          <w:color w:val="231F20"/>
          <w:sz w:val="16"/>
        </w:rPr>
        <w:t>de</w:t>
      </w:r>
      <w:r>
        <w:rPr>
          <w:color w:val="231F20"/>
          <w:spacing w:val="-9"/>
          <w:sz w:val="16"/>
        </w:rPr>
        <w:t> </w:t>
      </w:r>
      <w:r>
        <w:rPr>
          <w:color w:val="231F20"/>
          <w:sz w:val="16"/>
        </w:rPr>
        <w:t>carencias</w:t>
      </w:r>
      <w:r>
        <w:rPr>
          <w:color w:val="231F20"/>
          <w:spacing w:val="-9"/>
          <w:sz w:val="16"/>
        </w:rPr>
        <w:t> </w:t>
      </w:r>
      <w:r>
        <w:rPr>
          <w:color w:val="231F20"/>
          <w:sz w:val="16"/>
        </w:rPr>
        <w:t>básicas</w:t>
      </w:r>
      <w:r>
        <w:rPr>
          <w:color w:val="231F20"/>
          <w:spacing w:val="-9"/>
          <w:sz w:val="16"/>
        </w:rPr>
        <w:t> </w:t>
      </w:r>
      <w:r>
        <w:rPr>
          <w:color w:val="231F20"/>
          <w:sz w:val="16"/>
        </w:rPr>
        <w:t>de las</w:t>
      </w:r>
      <w:r>
        <w:rPr>
          <w:color w:val="231F20"/>
          <w:spacing w:val="-10"/>
          <w:sz w:val="16"/>
        </w:rPr>
        <w:t> </w:t>
      </w:r>
      <w:r>
        <w:rPr>
          <w:color w:val="231F20"/>
          <w:sz w:val="16"/>
        </w:rPr>
        <w:t>condiciones</w:t>
      </w:r>
      <w:r>
        <w:rPr>
          <w:color w:val="231F20"/>
          <w:spacing w:val="-10"/>
          <w:sz w:val="16"/>
        </w:rPr>
        <w:t> </w:t>
      </w:r>
      <w:r>
        <w:rPr>
          <w:color w:val="231F20"/>
          <w:sz w:val="16"/>
        </w:rPr>
        <w:t>de</w:t>
      </w:r>
      <w:r>
        <w:rPr>
          <w:color w:val="231F20"/>
          <w:spacing w:val="-10"/>
          <w:sz w:val="16"/>
        </w:rPr>
        <w:t> </w:t>
      </w:r>
      <w:r>
        <w:rPr>
          <w:color w:val="231F20"/>
          <w:sz w:val="16"/>
        </w:rPr>
        <w:t>vida</w:t>
      </w:r>
      <w:r>
        <w:rPr>
          <w:color w:val="231F20"/>
          <w:spacing w:val="-10"/>
          <w:sz w:val="16"/>
        </w:rPr>
        <w:t> </w:t>
      </w:r>
      <w:r>
        <w:rPr>
          <w:color w:val="231F20"/>
          <w:sz w:val="16"/>
        </w:rPr>
        <w:t>de</w:t>
      </w:r>
      <w:r>
        <w:rPr>
          <w:color w:val="231F20"/>
          <w:spacing w:val="-10"/>
          <w:sz w:val="16"/>
        </w:rPr>
        <w:t> </w:t>
      </w:r>
      <w:r>
        <w:rPr>
          <w:color w:val="231F20"/>
          <w:sz w:val="16"/>
        </w:rPr>
        <w:t>los</w:t>
      </w:r>
      <w:r>
        <w:rPr>
          <w:color w:val="231F20"/>
          <w:spacing w:val="-10"/>
          <w:sz w:val="16"/>
        </w:rPr>
        <w:t> </w:t>
      </w:r>
      <w:r>
        <w:rPr>
          <w:color w:val="231F20"/>
          <w:sz w:val="16"/>
        </w:rPr>
        <w:t>habitantes</w:t>
      </w:r>
      <w:r>
        <w:rPr>
          <w:color w:val="231F20"/>
          <w:spacing w:val="-10"/>
          <w:sz w:val="16"/>
        </w:rPr>
        <w:t> </w:t>
      </w:r>
      <w:r>
        <w:rPr>
          <w:color w:val="231F20"/>
          <w:sz w:val="16"/>
        </w:rPr>
        <w:t>en</w:t>
      </w:r>
      <w:r>
        <w:rPr>
          <w:color w:val="231F20"/>
          <w:spacing w:val="-10"/>
          <w:sz w:val="16"/>
        </w:rPr>
        <w:t> </w:t>
      </w:r>
      <w:r>
        <w:rPr>
          <w:color w:val="231F20"/>
          <w:sz w:val="16"/>
        </w:rPr>
        <w:t>un</w:t>
      </w:r>
      <w:r>
        <w:rPr>
          <w:color w:val="231F20"/>
          <w:spacing w:val="-10"/>
          <w:sz w:val="16"/>
        </w:rPr>
        <w:t> </w:t>
      </w:r>
      <w:r>
        <w:rPr>
          <w:color w:val="231F20"/>
          <w:sz w:val="16"/>
        </w:rPr>
        <w:t>territorio</w:t>
      </w:r>
      <w:r>
        <w:rPr>
          <w:color w:val="231F20"/>
          <w:spacing w:val="-10"/>
          <w:sz w:val="16"/>
        </w:rPr>
        <w:t> </w:t>
      </w:r>
      <w:r>
        <w:rPr>
          <w:color w:val="231F20"/>
          <w:sz w:val="16"/>
        </w:rPr>
        <w:t>particular.</w:t>
      </w:r>
      <w:r>
        <w:rPr>
          <w:color w:val="231F20"/>
          <w:spacing w:val="-10"/>
          <w:sz w:val="16"/>
        </w:rPr>
        <w:t> </w:t>
      </w:r>
      <w:r>
        <w:rPr>
          <w:color w:val="231F20"/>
          <w:sz w:val="16"/>
        </w:rPr>
        <w:t>En</w:t>
      </w:r>
      <w:r>
        <w:rPr>
          <w:color w:val="231F20"/>
          <w:spacing w:val="-10"/>
          <w:sz w:val="16"/>
        </w:rPr>
        <w:t> </w:t>
      </w:r>
      <w:r>
        <w:rPr>
          <w:color w:val="231F20"/>
          <w:sz w:val="16"/>
        </w:rPr>
        <w:t>las</w:t>
      </w:r>
      <w:r>
        <w:rPr>
          <w:color w:val="231F20"/>
          <w:spacing w:val="-10"/>
          <w:sz w:val="16"/>
        </w:rPr>
        <w:t> </w:t>
      </w:r>
      <w:r>
        <w:rPr>
          <w:color w:val="231F20"/>
          <w:sz w:val="16"/>
        </w:rPr>
        <w:t>mediciones</w:t>
      </w:r>
      <w:r>
        <w:rPr>
          <w:color w:val="231F20"/>
          <w:spacing w:val="-10"/>
          <w:sz w:val="16"/>
        </w:rPr>
        <w:t> </w:t>
      </w:r>
      <w:r>
        <w:rPr>
          <w:color w:val="231F20"/>
          <w:sz w:val="16"/>
        </w:rPr>
        <w:t>realizadas</w:t>
      </w:r>
      <w:r>
        <w:rPr>
          <w:color w:val="231F20"/>
          <w:spacing w:val="-10"/>
          <w:sz w:val="16"/>
        </w:rPr>
        <w:t> </w:t>
      </w:r>
      <w:r>
        <w:rPr>
          <w:color w:val="231F20"/>
          <w:sz w:val="16"/>
        </w:rPr>
        <w:t>entre</w:t>
      </w:r>
      <w:r>
        <w:rPr>
          <w:color w:val="231F20"/>
          <w:spacing w:val="-10"/>
          <w:sz w:val="16"/>
        </w:rPr>
        <w:t> </w:t>
      </w:r>
      <w:r>
        <w:rPr>
          <w:color w:val="231F20"/>
          <w:sz w:val="16"/>
        </w:rPr>
        <w:t>el</w:t>
      </w:r>
      <w:r>
        <w:rPr>
          <w:color w:val="231F20"/>
          <w:spacing w:val="-10"/>
          <w:sz w:val="16"/>
        </w:rPr>
        <w:t> </w:t>
      </w:r>
      <w:r>
        <w:rPr>
          <w:color w:val="231F20"/>
          <w:sz w:val="16"/>
        </w:rPr>
        <w:t>año</w:t>
      </w:r>
      <w:r>
        <w:rPr>
          <w:color w:val="231F20"/>
          <w:spacing w:val="-10"/>
          <w:sz w:val="16"/>
        </w:rPr>
        <w:t> </w:t>
      </w:r>
      <w:r>
        <w:rPr>
          <w:color w:val="231F20"/>
          <w:sz w:val="16"/>
        </w:rPr>
        <w:t>2000</w:t>
      </w:r>
      <w:r>
        <w:rPr>
          <w:color w:val="231F20"/>
          <w:spacing w:val="-10"/>
          <w:sz w:val="16"/>
        </w:rPr>
        <w:t> </w:t>
      </w:r>
      <w:r>
        <w:rPr>
          <w:color w:val="231F20"/>
          <w:sz w:val="16"/>
        </w:rPr>
        <w:t>y</w:t>
      </w:r>
      <w:r>
        <w:rPr>
          <w:color w:val="231F20"/>
          <w:spacing w:val="-10"/>
          <w:sz w:val="16"/>
        </w:rPr>
        <w:t> </w:t>
      </w:r>
      <w:r>
        <w:rPr>
          <w:color w:val="231F20"/>
          <w:sz w:val="16"/>
        </w:rPr>
        <w:t>el</w:t>
      </w:r>
      <w:r>
        <w:rPr>
          <w:color w:val="231F20"/>
          <w:spacing w:val="-10"/>
          <w:sz w:val="16"/>
        </w:rPr>
        <w:t> </w:t>
      </w:r>
      <w:r>
        <w:rPr>
          <w:color w:val="231F20"/>
          <w:sz w:val="16"/>
        </w:rPr>
        <w:t>2005, Huixquilucan</w:t>
      </w:r>
      <w:r>
        <w:rPr>
          <w:color w:val="231F20"/>
          <w:spacing w:val="-12"/>
          <w:sz w:val="16"/>
        </w:rPr>
        <w:t> </w:t>
      </w:r>
      <w:r>
        <w:rPr>
          <w:color w:val="231F20"/>
          <w:sz w:val="16"/>
        </w:rPr>
        <w:t>pasó</w:t>
      </w:r>
      <w:r>
        <w:rPr>
          <w:color w:val="231F20"/>
          <w:spacing w:val="-12"/>
          <w:sz w:val="16"/>
        </w:rPr>
        <w:t> </w:t>
      </w:r>
      <w:r>
        <w:rPr>
          <w:color w:val="231F20"/>
          <w:sz w:val="16"/>
        </w:rPr>
        <w:t>de</w:t>
      </w:r>
      <w:r>
        <w:rPr>
          <w:color w:val="231F20"/>
          <w:spacing w:val="-12"/>
          <w:sz w:val="16"/>
        </w:rPr>
        <w:t> </w:t>
      </w:r>
      <w:r>
        <w:rPr>
          <w:color w:val="231F20"/>
          <w:spacing w:val="-5"/>
          <w:sz w:val="16"/>
        </w:rPr>
        <w:t>-1.68138</w:t>
      </w:r>
      <w:r>
        <w:rPr>
          <w:color w:val="231F20"/>
          <w:spacing w:val="-12"/>
          <w:sz w:val="16"/>
        </w:rPr>
        <w:t> </w:t>
      </w:r>
      <w:r>
        <w:rPr>
          <w:color w:val="231F20"/>
          <w:sz w:val="16"/>
        </w:rPr>
        <w:t>a</w:t>
      </w:r>
      <w:r>
        <w:rPr>
          <w:color w:val="231F20"/>
          <w:spacing w:val="-12"/>
          <w:sz w:val="16"/>
        </w:rPr>
        <w:t> </w:t>
      </w:r>
      <w:r>
        <w:rPr>
          <w:color w:val="231F20"/>
          <w:spacing w:val="-5"/>
          <w:sz w:val="16"/>
        </w:rPr>
        <w:t>-1.62154,</w:t>
      </w:r>
      <w:r>
        <w:rPr>
          <w:color w:val="231F20"/>
          <w:spacing w:val="-12"/>
          <w:sz w:val="16"/>
        </w:rPr>
        <w:t> </w:t>
      </w:r>
      <w:r>
        <w:rPr>
          <w:color w:val="231F20"/>
          <w:sz w:val="16"/>
        </w:rPr>
        <w:t>respectivamente.</w:t>
      </w:r>
      <w:r>
        <w:rPr>
          <w:color w:val="231F20"/>
          <w:spacing w:val="-12"/>
          <w:sz w:val="16"/>
        </w:rPr>
        <w:t> </w:t>
      </w:r>
      <w:r>
        <w:rPr>
          <w:color w:val="231F20"/>
          <w:sz w:val="16"/>
        </w:rPr>
        <w:t>A</w:t>
      </w:r>
      <w:r>
        <w:rPr>
          <w:color w:val="231F20"/>
          <w:spacing w:val="-12"/>
          <w:sz w:val="16"/>
        </w:rPr>
        <w:t> </w:t>
      </w:r>
      <w:r>
        <w:rPr>
          <w:color w:val="231F20"/>
          <w:sz w:val="16"/>
        </w:rPr>
        <w:t>medida</w:t>
      </w:r>
      <w:r>
        <w:rPr>
          <w:color w:val="231F20"/>
          <w:spacing w:val="-12"/>
          <w:sz w:val="16"/>
        </w:rPr>
        <w:t> </w:t>
      </w:r>
      <w:r>
        <w:rPr>
          <w:color w:val="231F20"/>
          <w:sz w:val="16"/>
        </w:rPr>
        <w:t>que</w:t>
      </w:r>
      <w:r>
        <w:rPr>
          <w:color w:val="231F20"/>
          <w:spacing w:val="-12"/>
          <w:sz w:val="16"/>
        </w:rPr>
        <w:t> </w:t>
      </w:r>
      <w:r>
        <w:rPr>
          <w:color w:val="231F20"/>
          <w:sz w:val="16"/>
        </w:rPr>
        <w:t>dicho</w:t>
      </w:r>
      <w:r>
        <w:rPr>
          <w:color w:val="231F20"/>
          <w:spacing w:val="-12"/>
          <w:sz w:val="16"/>
        </w:rPr>
        <w:t> </w:t>
      </w:r>
      <w:r>
        <w:rPr>
          <w:color w:val="231F20"/>
          <w:sz w:val="16"/>
        </w:rPr>
        <w:t>índice</w:t>
      </w:r>
      <w:r>
        <w:rPr>
          <w:color w:val="231F20"/>
          <w:spacing w:val="-12"/>
          <w:sz w:val="16"/>
        </w:rPr>
        <w:t> </w:t>
      </w:r>
      <w:r>
        <w:rPr>
          <w:color w:val="231F20"/>
          <w:sz w:val="16"/>
        </w:rPr>
        <w:t>tiende</w:t>
      </w:r>
      <w:r>
        <w:rPr>
          <w:color w:val="231F20"/>
          <w:spacing w:val="-12"/>
          <w:sz w:val="16"/>
        </w:rPr>
        <w:t> </w:t>
      </w:r>
      <w:r>
        <w:rPr>
          <w:color w:val="231F20"/>
          <w:sz w:val="16"/>
        </w:rPr>
        <w:t>a</w:t>
      </w:r>
      <w:r>
        <w:rPr>
          <w:color w:val="231F20"/>
          <w:spacing w:val="-12"/>
          <w:sz w:val="16"/>
        </w:rPr>
        <w:t> </w:t>
      </w:r>
      <w:r>
        <w:rPr>
          <w:color w:val="231F20"/>
          <w:sz w:val="16"/>
        </w:rPr>
        <w:t>ser</w:t>
      </w:r>
      <w:r>
        <w:rPr>
          <w:color w:val="231F20"/>
          <w:spacing w:val="-12"/>
          <w:sz w:val="16"/>
        </w:rPr>
        <w:t> </w:t>
      </w:r>
      <w:r>
        <w:rPr>
          <w:color w:val="231F20"/>
          <w:sz w:val="16"/>
        </w:rPr>
        <w:t>menor,</w:t>
      </w:r>
      <w:r>
        <w:rPr>
          <w:color w:val="231F20"/>
          <w:spacing w:val="-12"/>
          <w:sz w:val="16"/>
        </w:rPr>
        <w:t> </w:t>
      </w:r>
      <w:r>
        <w:rPr>
          <w:color w:val="231F20"/>
          <w:sz w:val="16"/>
        </w:rPr>
        <w:t>la</w:t>
      </w:r>
      <w:r>
        <w:rPr>
          <w:color w:val="231F20"/>
          <w:spacing w:val="-12"/>
          <w:sz w:val="16"/>
        </w:rPr>
        <w:t> </w:t>
      </w:r>
      <w:r>
        <w:rPr>
          <w:color w:val="231F20"/>
          <w:sz w:val="16"/>
        </w:rPr>
        <w:t>marginación</w:t>
      </w:r>
      <w:r>
        <w:rPr>
          <w:color w:val="231F20"/>
          <w:spacing w:val="-12"/>
          <w:sz w:val="16"/>
        </w:rPr>
        <w:t> </w:t>
      </w:r>
      <w:r>
        <w:rPr>
          <w:color w:val="231F20"/>
          <w:sz w:val="16"/>
        </w:rPr>
        <w:t>de los</w:t>
      </w:r>
      <w:r>
        <w:rPr>
          <w:color w:val="231F20"/>
          <w:spacing w:val="-19"/>
          <w:sz w:val="16"/>
        </w:rPr>
        <w:t> </w:t>
      </w:r>
      <w:r>
        <w:rPr>
          <w:color w:val="231F20"/>
          <w:sz w:val="16"/>
        </w:rPr>
        <w:t>habitantes</w:t>
      </w:r>
      <w:r>
        <w:rPr>
          <w:color w:val="231F20"/>
          <w:spacing w:val="-19"/>
          <w:sz w:val="16"/>
        </w:rPr>
        <w:t> </w:t>
      </w:r>
      <w:r>
        <w:rPr>
          <w:color w:val="231F20"/>
          <w:sz w:val="16"/>
        </w:rPr>
        <w:t>del</w:t>
      </w:r>
      <w:r>
        <w:rPr>
          <w:color w:val="231F20"/>
          <w:spacing w:val="-19"/>
          <w:sz w:val="16"/>
        </w:rPr>
        <w:t> </w:t>
      </w:r>
      <w:r>
        <w:rPr>
          <w:color w:val="231F20"/>
          <w:sz w:val="16"/>
        </w:rPr>
        <w:t>territorio</w:t>
      </w:r>
      <w:r>
        <w:rPr>
          <w:color w:val="231F20"/>
          <w:spacing w:val="-19"/>
          <w:sz w:val="16"/>
        </w:rPr>
        <w:t> </w:t>
      </w:r>
      <w:r>
        <w:rPr>
          <w:color w:val="231F20"/>
          <w:sz w:val="16"/>
        </w:rPr>
        <w:t>también</w:t>
      </w:r>
      <w:r>
        <w:rPr>
          <w:color w:val="231F20"/>
          <w:spacing w:val="-19"/>
          <w:sz w:val="16"/>
        </w:rPr>
        <w:t> </w:t>
      </w:r>
      <w:r>
        <w:rPr>
          <w:color w:val="231F20"/>
          <w:sz w:val="16"/>
        </w:rPr>
        <w:t>disminuye</w:t>
      </w:r>
      <w:r>
        <w:rPr>
          <w:color w:val="231F20"/>
          <w:spacing w:val="-19"/>
          <w:sz w:val="16"/>
        </w:rPr>
        <w:t> </w:t>
      </w:r>
      <w:r>
        <w:rPr>
          <w:color w:val="231F20"/>
          <w:sz w:val="16"/>
        </w:rPr>
        <w:t>(CONAPO,</w:t>
      </w:r>
      <w:r>
        <w:rPr>
          <w:color w:val="231F20"/>
          <w:spacing w:val="-19"/>
          <w:sz w:val="16"/>
        </w:rPr>
        <w:t> </w:t>
      </w:r>
      <w:r>
        <w:rPr>
          <w:color w:val="231F20"/>
          <w:sz w:val="16"/>
        </w:rPr>
        <w:t>2005)</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w w:val="105"/>
        </w:rPr>
        <w:t>crático del municipio, aun por encima de </w:t>
      </w:r>
      <w:r>
        <w:rPr>
          <w:color w:val="231F20"/>
          <w:spacing w:val="2"/>
          <w:w w:val="105"/>
        </w:rPr>
        <w:t>sus </w:t>
      </w:r>
      <w:r>
        <w:rPr>
          <w:color w:val="231F20"/>
          <w:w w:val="105"/>
        </w:rPr>
        <w:t>los </w:t>
      </w:r>
      <w:r>
        <w:rPr>
          <w:color w:val="231F20"/>
          <w:spacing w:val="2"/>
          <w:w w:val="105"/>
        </w:rPr>
        <w:t>partidos </w:t>
      </w:r>
      <w:r>
        <w:rPr>
          <w:color w:val="231F20"/>
          <w:w w:val="105"/>
        </w:rPr>
        <w:t>políticos en su</w:t>
      </w:r>
      <w:r>
        <w:rPr>
          <w:color w:val="231F20"/>
          <w:spacing w:val="55"/>
          <w:w w:val="105"/>
        </w:rPr>
        <w:t> </w:t>
      </w:r>
      <w:r>
        <w:rPr>
          <w:color w:val="231F20"/>
          <w:w w:val="105"/>
        </w:rPr>
        <w:t>territorio.</w:t>
      </w:r>
    </w:p>
    <w:p>
      <w:pPr>
        <w:pStyle w:val="BodyText"/>
        <w:spacing w:before="2"/>
        <w:rPr>
          <w:sz w:val="30"/>
        </w:rPr>
      </w:pPr>
    </w:p>
    <w:p>
      <w:pPr>
        <w:pStyle w:val="BodyText"/>
        <w:spacing w:line="285" w:lineRule="auto"/>
        <w:ind w:left="110" w:right="107"/>
        <w:jc w:val="both"/>
      </w:pPr>
      <w:r>
        <w:rPr>
          <w:color w:val="231F20"/>
          <w:w w:val="105"/>
        </w:rPr>
        <w:t>Por un lado, para analizar las condiciones del ayuntamiento huixquiluquense conside- ro que es pertinente identificar el comportamiento de las finanzas municipales. Esto permitirá identificar el grado de flexibilidad financiera del gobierno para invertir en políticas de impacto social, como las obras públicas.</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10"/>
          <w:w w:val="105"/>
        </w:rPr>
        <w:t> </w:t>
      </w:r>
      <w:r>
        <w:rPr>
          <w:color w:val="231F20"/>
          <w:w w:val="105"/>
        </w:rPr>
        <w:t>el</w:t>
      </w:r>
      <w:r>
        <w:rPr>
          <w:color w:val="231F20"/>
          <w:spacing w:val="-10"/>
          <w:w w:val="105"/>
        </w:rPr>
        <w:t> </w:t>
      </w:r>
      <w:r>
        <w:rPr>
          <w:color w:val="231F20"/>
          <w:w w:val="105"/>
        </w:rPr>
        <w:t>otro</w:t>
      </w:r>
      <w:r>
        <w:rPr>
          <w:color w:val="231F20"/>
          <w:spacing w:val="-10"/>
          <w:w w:val="105"/>
        </w:rPr>
        <w:t> </w:t>
      </w:r>
      <w:r>
        <w:rPr>
          <w:color w:val="231F20"/>
          <w:w w:val="105"/>
        </w:rPr>
        <w:t>lado,</w:t>
      </w:r>
      <w:r>
        <w:rPr>
          <w:color w:val="231F20"/>
          <w:spacing w:val="-10"/>
          <w:w w:val="105"/>
        </w:rPr>
        <w:t> </w:t>
      </w:r>
      <w:r>
        <w:rPr>
          <w:color w:val="231F20"/>
          <w:w w:val="105"/>
        </w:rPr>
        <w:t>el</w:t>
      </w:r>
      <w:r>
        <w:rPr>
          <w:color w:val="231F20"/>
          <w:spacing w:val="-10"/>
          <w:w w:val="105"/>
        </w:rPr>
        <w:t> </w:t>
      </w:r>
      <w:r>
        <w:rPr>
          <w:color w:val="231F20"/>
          <w:w w:val="105"/>
        </w:rPr>
        <w:t>marco</w:t>
      </w:r>
      <w:r>
        <w:rPr>
          <w:color w:val="231F20"/>
          <w:spacing w:val="-10"/>
          <w:w w:val="105"/>
        </w:rPr>
        <w:t> </w:t>
      </w:r>
      <w:r>
        <w:rPr>
          <w:color w:val="231F20"/>
          <w:w w:val="105"/>
        </w:rPr>
        <w:t>institucional</w:t>
      </w:r>
      <w:r>
        <w:rPr>
          <w:color w:val="231F20"/>
          <w:spacing w:val="-10"/>
          <w:w w:val="105"/>
        </w:rPr>
        <w:t> </w:t>
      </w:r>
      <w:r>
        <w:rPr>
          <w:color w:val="231F20"/>
          <w:w w:val="105"/>
        </w:rPr>
        <w:t>que</w:t>
      </w:r>
      <w:r>
        <w:rPr>
          <w:color w:val="231F20"/>
          <w:spacing w:val="-10"/>
          <w:w w:val="105"/>
        </w:rPr>
        <w:t> </w:t>
      </w:r>
      <w:r>
        <w:rPr>
          <w:color w:val="231F20"/>
          <w:w w:val="105"/>
        </w:rPr>
        <w:t>define</w:t>
      </w:r>
      <w:r>
        <w:rPr>
          <w:color w:val="231F20"/>
          <w:spacing w:val="-10"/>
          <w:w w:val="105"/>
        </w:rPr>
        <w:t> </w:t>
      </w:r>
      <w:r>
        <w:rPr>
          <w:color w:val="231F20"/>
          <w:w w:val="105"/>
        </w:rPr>
        <w:t>la</w:t>
      </w:r>
      <w:r>
        <w:rPr>
          <w:color w:val="231F20"/>
          <w:spacing w:val="-10"/>
          <w:w w:val="105"/>
        </w:rPr>
        <w:t> </w:t>
      </w:r>
      <w:r>
        <w:rPr>
          <w:color w:val="231F20"/>
          <w:w w:val="105"/>
        </w:rPr>
        <w:t>integración</w:t>
      </w:r>
      <w:r>
        <w:rPr>
          <w:color w:val="231F20"/>
          <w:spacing w:val="-10"/>
          <w:w w:val="105"/>
        </w:rPr>
        <w:t> </w:t>
      </w:r>
      <w:r>
        <w:rPr>
          <w:color w:val="231F20"/>
          <w:w w:val="105"/>
        </w:rPr>
        <w:t>del</w:t>
      </w:r>
      <w:r>
        <w:rPr>
          <w:color w:val="231F20"/>
          <w:spacing w:val="-10"/>
          <w:w w:val="105"/>
        </w:rPr>
        <w:t> </w:t>
      </w:r>
      <w:r>
        <w:rPr>
          <w:color w:val="231F20"/>
          <w:w w:val="105"/>
        </w:rPr>
        <w:t>Ayuntamiento</w:t>
      </w:r>
      <w:r>
        <w:rPr>
          <w:color w:val="231F20"/>
          <w:spacing w:val="-10"/>
          <w:w w:val="105"/>
        </w:rPr>
        <w:t> </w:t>
      </w:r>
      <w:r>
        <w:rPr>
          <w:color w:val="231F20"/>
          <w:spacing w:val="-3"/>
          <w:w w:val="105"/>
        </w:rPr>
        <w:t>mu- </w:t>
      </w:r>
      <w:r>
        <w:rPr>
          <w:color w:val="231F20"/>
          <w:w w:val="105"/>
        </w:rPr>
        <w:t>nicipal</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Administración</w:t>
      </w:r>
      <w:r>
        <w:rPr>
          <w:color w:val="231F20"/>
          <w:spacing w:val="-6"/>
          <w:w w:val="105"/>
        </w:rPr>
        <w:t> </w:t>
      </w:r>
      <w:r>
        <w:rPr>
          <w:color w:val="231F20"/>
          <w:w w:val="105"/>
        </w:rPr>
        <w:t>Pública</w:t>
      </w:r>
      <w:r>
        <w:rPr>
          <w:color w:val="231F20"/>
          <w:spacing w:val="-6"/>
          <w:w w:val="105"/>
        </w:rPr>
        <w:t> </w:t>
      </w:r>
      <w:r>
        <w:rPr>
          <w:color w:val="231F20"/>
          <w:w w:val="105"/>
        </w:rPr>
        <w:t>Municipal</w:t>
      </w:r>
      <w:r>
        <w:rPr>
          <w:color w:val="231F20"/>
          <w:spacing w:val="-6"/>
          <w:w w:val="105"/>
        </w:rPr>
        <w:t> </w:t>
      </w:r>
      <w:r>
        <w:rPr>
          <w:color w:val="231F20"/>
          <w:spacing w:val="-3"/>
          <w:w w:val="105"/>
        </w:rPr>
        <w:t>(APM)</w:t>
      </w:r>
      <w:r>
        <w:rPr>
          <w:color w:val="231F20"/>
          <w:spacing w:val="-6"/>
          <w:w w:val="105"/>
        </w:rPr>
        <w:t> </w:t>
      </w:r>
      <w:r>
        <w:rPr>
          <w:color w:val="231F20"/>
          <w:w w:val="105"/>
        </w:rPr>
        <w:t>centralizada</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elemento</w:t>
      </w:r>
      <w:r>
        <w:rPr>
          <w:color w:val="231F20"/>
          <w:spacing w:val="-6"/>
          <w:w w:val="105"/>
        </w:rPr>
        <w:t> </w:t>
      </w:r>
      <w:r>
        <w:rPr>
          <w:color w:val="231F20"/>
          <w:w w:val="105"/>
        </w:rPr>
        <w:t>a través del cual pretendo adentrarme </w:t>
      </w:r>
      <w:r>
        <w:rPr>
          <w:color w:val="231F20"/>
          <w:spacing w:val="2"/>
          <w:w w:val="105"/>
        </w:rPr>
        <w:t>al </w:t>
      </w:r>
      <w:r>
        <w:rPr>
          <w:color w:val="231F20"/>
          <w:w w:val="105"/>
        </w:rPr>
        <w:t>grado de desarrollo democrático del gobierno huixquiluquense</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influencia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partidos</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integración.</w:t>
      </w:r>
      <w:r>
        <w:rPr>
          <w:color w:val="231F20"/>
          <w:spacing w:val="-9"/>
          <w:w w:val="105"/>
        </w:rPr>
        <w:t> </w:t>
      </w:r>
      <w:r>
        <w:rPr>
          <w:color w:val="231F20"/>
          <w:w w:val="105"/>
        </w:rPr>
        <w:t>Con</w:t>
      </w:r>
      <w:r>
        <w:rPr>
          <w:color w:val="231F20"/>
          <w:spacing w:val="-9"/>
          <w:w w:val="105"/>
        </w:rPr>
        <w:t> </w:t>
      </w:r>
      <w:r>
        <w:rPr>
          <w:color w:val="231F20"/>
          <w:w w:val="105"/>
        </w:rPr>
        <w:t>esto</w:t>
      </w:r>
      <w:r>
        <w:rPr>
          <w:color w:val="231F20"/>
          <w:spacing w:val="-9"/>
          <w:w w:val="105"/>
        </w:rPr>
        <w:t> </w:t>
      </w:r>
      <w:r>
        <w:rPr>
          <w:color w:val="231F20"/>
          <w:w w:val="105"/>
        </w:rPr>
        <w:t>busco</w:t>
      </w:r>
      <w:r>
        <w:rPr>
          <w:color w:val="231F20"/>
          <w:spacing w:val="-9"/>
          <w:w w:val="105"/>
        </w:rPr>
        <w:t> </w:t>
      </w:r>
      <w:r>
        <w:rPr>
          <w:color w:val="231F20"/>
          <w:w w:val="105"/>
        </w:rPr>
        <w:t>iden- tificar</w:t>
      </w:r>
      <w:r>
        <w:rPr>
          <w:color w:val="231F20"/>
          <w:spacing w:val="-4"/>
          <w:w w:val="105"/>
        </w:rPr>
        <w:t> </w:t>
      </w:r>
      <w:r>
        <w:rPr>
          <w:color w:val="231F20"/>
          <w:w w:val="105"/>
        </w:rPr>
        <w:t>los</w:t>
      </w:r>
      <w:r>
        <w:rPr>
          <w:color w:val="231F20"/>
          <w:spacing w:val="-4"/>
          <w:w w:val="105"/>
        </w:rPr>
        <w:t> </w:t>
      </w:r>
      <w:r>
        <w:rPr>
          <w:color w:val="231F20"/>
          <w:w w:val="105"/>
        </w:rPr>
        <w:t>incentivos</w:t>
      </w:r>
      <w:r>
        <w:rPr>
          <w:color w:val="231F20"/>
          <w:spacing w:val="-4"/>
          <w:w w:val="105"/>
        </w:rPr>
        <w:t> </w:t>
      </w:r>
      <w:r>
        <w:rPr>
          <w:color w:val="231F20"/>
          <w:w w:val="105"/>
        </w:rPr>
        <w:t>formales</w:t>
      </w:r>
      <w:r>
        <w:rPr>
          <w:color w:val="231F20"/>
          <w:spacing w:val="-4"/>
          <w:w w:val="105"/>
        </w:rPr>
        <w:t> </w:t>
      </w:r>
      <w:r>
        <w:rPr>
          <w:color w:val="231F20"/>
          <w:w w:val="105"/>
        </w:rPr>
        <w:t>que</w:t>
      </w:r>
      <w:r>
        <w:rPr>
          <w:color w:val="231F20"/>
          <w:spacing w:val="-4"/>
          <w:w w:val="105"/>
        </w:rPr>
        <w:t> </w:t>
      </w:r>
      <w:r>
        <w:rPr>
          <w:color w:val="231F20"/>
          <w:w w:val="105"/>
        </w:rPr>
        <w:t>influyen</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toma</w:t>
      </w:r>
      <w:r>
        <w:rPr>
          <w:color w:val="231F20"/>
          <w:spacing w:val="-4"/>
          <w:w w:val="105"/>
        </w:rPr>
        <w:t> </w:t>
      </w:r>
      <w:r>
        <w:rPr>
          <w:color w:val="231F20"/>
          <w:w w:val="105"/>
        </w:rPr>
        <w:t>de</w:t>
      </w:r>
      <w:r>
        <w:rPr>
          <w:color w:val="231F20"/>
          <w:spacing w:val="-4"/>
          <w:w w:val="105"/>
        </w:rPr>
        <w:t> </w:t>
      </w:r>
      <w:r>
        <w:rPr>
          <w:color w:val="231F20"/>
          <w:w w:val="105"/>
        </w:rPr>
        <w:t>decisiones</w:t>
      </w:r>
      <w:r>
        <w:rPr>
          <w:color w:val="231F20"/>
          <w:spacing w:val="-4"/>
          <w:w w:val="105"/>
        </w:rPr>
        <w:t> </w:t>
      </w:r>
      <w:r>
        <w:rPr>
          <w:color w:val="231F20"/>
          <w:w w:val="105"/>
        </w:rPr>
        <w:t>y</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definición de</w:t>
      </w:r>
      <w:r>
        <w:rPr>
          <w:color w:val="231F20"/>
          <w:spacing w:val="-10"/>
          <w:w w:val="105"/>
        </w:rPr>
        <w:t> </w:t>
      </w:r>
      <w:r>
        <w:rPr>
          <w:color w:val="231F20"/>
          <w:w w:val="105"/>
        </w:rPr>
        <w:t>políticas</w:t>
      </w:r>
      <w:r>
        <w:rPr>
          <w:color w:val="231F20"/>
          <w:spacing w:val="-10"/>
          <w:w w:val="105"/>
        </w:rPr>
        <w:t> </w:t>
      </w:r>
      <w:r>
        <w:rPr>
          <w:color w:val="231F20"/>
          <w:w w:val="105"/>
        </w:rPr>
        <w:t>del</w:t>
      </w:r>
      <w:r>
        <w:rPr>
          <w:color w:val="231F20"/>
          <w:spacing w:val="-10"/>
          <w:w w:val="105"/>
        </w:rPr>
        <w:t> </w:t>
      </w:r>
      <w:r>
        <w:rPr>
          <w:color w:val="231F20"/>
          <w:w w:val="105"/>
        </w:rPr>
        <w:t>gobierno,</w:t>
      </w:r>
      <w:r>
        <w:rPr>
          <w:color w:val="231F20"/>
          <w:spacing w:val="-10"/>
          <w:w w:val="105"/>
        </w:rPr>
        <w:t> </w:t>
      </w:r>
      <w:r>
        <w:rPr>
          <w:color w:val="231F20"/>
          <w:w w:val="105"/>
        </w:rPr>
        <w:t>y</w:t>
      </w:r>
      <w:r>
        <w:rPr>
          <w:color w:val="231F20"/>
          <w:spacing w:val="-10"/>
          <w:w w:val="105"/>
        </w:rPr>
        <w:t> </w:t>
      </w:r>
      <w:r>
        <w:rPr>
          <w:color w:val="231F20"/>
          <w:w w:val="105"/>
        </w:rPr>
        <w:t>que</w:t>
      </w:r>
      <w:r>
        <w:rPr>
          <w:color w:val="231F20"/>
          <w:spacing w:val="-10"/>
          <w:w w:val="105"/>
        </w:rPr>
        <w:t> </w:t>
      </w:r>
      <w:r>
        <w:rPr>
          <w:color w:val="231F20"/>
          <w:w w:val="105"/>
        </w:rPr>
        <w:t>considero</w:t>
      </w:r>
      <w:r>
        <w:rPr>
          <w:color w:val="231F20"/>
          <w:spacing w:val="-10"/>
          <w:w w:val="105"/>
        </w:rPr>
        <w:t> </w:t>
      </w:r>
      <w:r>
        <w:rPr>
          <w:color w:val="231F20"/>
          <w:w w:val="105"/>
        </w:rPr>
        <w:t>que</w:t>
      </w:r>
      <w:r>
        <w:rPr>
          <w:color w:val="231F20"/>
          <w:spacing w:val="-10"/>
          <w:w w:val="105"/>
        </w:rPr>
        <w:t> </w:t>
      </w:r>
      <w:r>
        <w:rPr>
          <w:color w:val="231F20"/>
          <w:w w:val="105"/>
        </w:rPr>
        <w:t>tienden</w:t>
      </w:r>
      <w:r>
        <w:rPr>
          <w:color w:val="231F20"/>
          <w:spacing w:val="-10"/>
          <w:w w:val="105"/>
        </w:rPr>
        <w:t> </w:t>
      </w:r>
      <w:r>
        <w:rPr>
          <w:color w:val="231F20"/>
          <w:w w:val="105"/>
        </w:rPr>
        <w:t>a</w:t>
      </w:r>
      <w:r>
        <w:rPr>
          <w:color w:val="231F20"/>
          <w:spacing w:val="-10"/>
          <w:w w:val="105"/>
        </w:rPr>
        <w:t> </w:t>
      </w:r>
      <w:r>
        <w:rPr>
          <w:color w:val="231F20"/>
          <w:w w:val="105"/>
        </w:rPr>
        <w:t>fomentar</w:t>
      </w:r>
      <w:r>
        <w:rPr>
          <w:color w:val="231F20"/>
          <w:spacing w:val="-10"/>
          <w:w w:val="105"/>
        </w:rPr>
        <w:t> </w:t>
      </w:r>
      <w:r>
        <w:rPr>
          <w:color w:val="231F20"/>
          <w:w w:val="105"/>
        </w:rPr>
        <w:t>un</w:t>
      </w:r>
      <w:r>
        <w:rPr>
          <w:color w:val="231F20"/>
          <w:spacing w:val="-10"/>
          <w:w w:val="105"/>
        </w:rPr>
        <w:t> </w:t>
      </w:r>
      <w:r>
        <w:rPr>
          <w:color w:val="231F20"/>
          <w:w w:val="105"/>
        </w:rPr>
        <w:t>desarrollo</w:t>
      </w:r>
      <w:r>
        <w:rPr>
          <w:color w:val="231F20"/>
          <w:spacing w:val="-10"/>
          <w:w w:val="105"/>
        </w:rPr>
        <w:t> </w:t>
      </w:r>
      <w:r>
        <w:rPr>
          <w:color w:val="231F20"/>
          <w:w w:val="105"/>
        </w:rPr>
        <w:t>institu- cional</w:t>
      </w:r>
      <w:r>
        <w:rPr>
          <w:color w:val="231F20"/>
          <w:spacing w:val="-5"/>
          <w:w w:val="105"/>
        </w:rPr>
        <w:t> </w:t>
      </w:r>
      <w:r>
        <w:rPr>
          <w:color w:val="231F20"/>
          <w:w w:val="105"/>
        </w:rPr>
        <w:t>caracterizado</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centralización</w:t>
      </w:r>
      <w:r>
        <w:rPr>
          <w:color w:val="231F20"/>
          <w:spacing w:val="-5"/>
          <w:w w:val="105"/>
        </w:rPr>
        <w:t> </w:t>
      </w:r>
      <w:r>
        <w:rPr>
          <w:color w:val="231F20"/>
          <w:w w:val="105"/>
        </w:rPr>
        <w:t>del</w:t>
      </w:r>
      <w:r>
        <w:rPr>
          <w:color w:val="231F20"/>
          <w:spacing w:val="-5"/>
          <w:w w:val="105"/>
        </w:rPr>
        <w:t> </w:t>
      </w:r>
      <w:r>
        <w:rPr>
          <w:color w:val="231F20"/>
          <w:w w:val="105"/>
        </w:rPr>
        <w:t>gobierno</w:t>
      </w:r>
      <w:r>
        <w:rPr>
          <w:color w:val="231F20"/>
          <w:spacing w:val="-5"/>
          <w:w w:val="105"/>
        </w:rPr>
        <w:t> </w:t>
      </w:r>
      <w:r>
        <w:rPr>
          <w:color w:val="231F20"/>
          <w:w w:val="105"/>
        </w:rPr>
        <w:t>en</w:t>
      </w:r>
      <w:r>
        <w:rPr>
          <w:color w:val="231F20"/>
          <w:spacing w:val="-5"/>
          <w:w w:val="105"/>
        </w:rPr>
        <w:t> </w:t>
      </w:r>
      <w:r>
        <w:rPr>
          <w:color w:val="231F20"/>
          <w:w w:val="105"/>
        </w:rPr>
        <w:t>torno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preferencias</w:t>
      </w:r>
      <w:r>
        <w:rPr>
          <w:color w:val="231F20"/>
          <w:spacing w:val="-5"/>
          <w:w w:val="105"/>
        </w:rPr>
        <w:t> </w:t>
      </w:r>
      <w:r>
        <w:rPr>
          <w:color w:val="231F20"/>
          <w:w w:val="105"/>
        </w:rPr>
        <w:t>del presidente municipal en</w:t>
      </w:r>
      <w:r>
        <w:rPr>
          <w:color w:val="231F20"/>
          <w:spacing w:val="-5"/>
          <w:w w:val="105"/>
        </w:rPr>
        <w:t> </w:t>
      </w:r>
      <w:r>
        <w:rPr>
          <w:color w:val="231F20"/>
          <w:w w:val="105"/>
        </w:rPr>
        <w:t>turno.</w:t>
      </w:r>
    </w:p>
    <w:p>
      <w:pPr>
        <w:pStyle w:val="BodyText"/>
        <w:spacing w:before="1"/>
        <w:rPr>
          <w:sz w:val="26"/>
        </w:rPr>
      </w:pPr>
    </w:p>
    <w:p>
      <w:pPr>
        <w:pStyle w:val="BodyText"/>
        <w:spacing w:line="285" w:lineRule="auto"/>
        <w:ind w:left="110" w:right="106"/>
        <w:jc w:val="both"/>
      </w:pPr>
      <w:r>
        <w:rPr>
          <w:color w:val="231F20"/>
          <w:spacing w:val="-3"/>
          <w:w w:val="105"/>
        </w:rPr>
        <w:t>Por </w:t>
      </w:r>
      <w:r>
        <w:rPr>
          <w:color w:val="231F20"/>
          <w:w w:val="105"/>
        </w:rPr>
        <w:t>último, las instituciones electorales son factores externos que también influyen y refuerzan</w:t>
      </w:r>
      <w:r>
        <w:rPr>
          <w:color w:val="231F20"/>
          <w:spacing w:val="-5"/>
          <w:w w:val="105"/>
        </w:rPr>
        <w:t> </w:t>
      </w:r>
      <w:r>
        <w:rPr>
          <w:color w:val="231F20"/>
          <w:w w:val="105"/>
        </w:rPr>
        <w:t>la</w:t>
      </w:r>
      <w:r>
        <w:rPr>
          <w:color w:val="231F20"/>
          <w:spacing w:val="-5"/>
          <w:w w:val="105"/>
        </w:rPr>
        <w:t> </w:t>
      </w:r>
      <w:r>
        <w:rPr>
          <w:color w:val="231F20"/>
          <w:w w:val="105"/>
        </w:rPr>
        <w:t>personalización</w:t>
      </w:r>
      <w:r>
        <w:rPr>
          <w:color w:val="231F20"/>
          <w:spacing w:val="-5"/>
          <w:w w:val="105"/>
        </w:rPr>
        <w:t> </w:t>
      </w:r>
      <w:r>
        <w:rPr>
          <w:color w:val="231F20"/>
          <w:w w:val="105"/>
        </w:rPr>
        <w:t>del</w:t>
      </w:r>
      <w:r>
        <w:rPr>
          <w:color w:val="231F20"/>
          <w:spacing w:val="-5"/>
          <w:w w:val="105"/>
        </w:rPr>
        <w:t> </w:t>
      </w:r>
      <w:r>
        <w:rPr>
          <w:color w:val="231F20"/>
          <w:w w:val="105"/>
        </w:rPr>
        <w:t>alcalde</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decisiones.</w:t>
      </w:r>
      <w:r>
        <w:rPr>
          <w:color w:val="231F20"/>
          <w:spacing w:val="-5"/>
          <w:w w:val="105"/>
        </w:rPr>
        <w:t> </w:t>
      </w:r>
      <w:r>
        <w:rPr>
          <w:color w:val="231F20"/>
          <w:w w:val="105"/>
        </w:rPr>
        <w:t>En</w:t>
      </w:r>
      <w:r>
        <w:rPr>
          <w:color w:val="231F20"/>
          <w:spacing w:val="-5"/>
          <w:w w:val="105"/>
        </w:rPr>
        <w:t> </w:t>
      </w:r>
      <w:r>
        <w:rPr>
          <w:color w:val="231F20"/>
          <w:w w:val="105"/>
        </w:rPr>
        <w:t>particular</w:t>
      </w:r>
      <w:r>
        <w:rPr>
          <w:color w:val="231F20"/>
          <w:spacing w:val="-5"/>
          <w:w w:val="105"/>
        </w:rPr>
        <w:t> </w:t>
      </w:r>
      <w:r>
        <w:rPr>
          <w:color w:val="231F20"/>
          <w:w w:val="105"/>
        </w:rPr>
        <w:t>parece que</w:t>
      </w:r>
      <w:r>
        <w:rPr>
          <w:color w:val="231F20"/>
          <w:spacing w:val="-8"/>
          <w:w w:val="105"/>
        </w:rPr>
        <w:t> </w:t>
      </w:r>
      <w:r>
        <w:rPr>
          <w:color w:val="231F20"/>
          <w:w w:val="105"/>
        </w:rPr>
        <w:t>la</w:t>
      </w:r>
      <w:r>
        <w:rPr>
          <w:color w:val="231F20"/>
          <w:spacing w:val="-9"/>
          <w:w w:val="105"/>
        </w:rPr>
        <w:t> </w:t>
      </w:r>
      <w:r>
        <w:rPr>
          <w:color w:val="231F20"/>
          <w:w w:val="105"/>
        </w:rPr>
        <w:t>fórmula</w:t>
      </w:r>
      <w:r>
        <w:rPr>
          <w:color w:val="231F20"/>
          <w:spacing w:val="-9"/>
          <w:w w:val="105"/>
        </w:rPr>
        <w:t> </w:t>
      </w:r>
      <w:r>
        <w:rPr>
          <w:color w:val="231F20"/>
          <w:w w:val="105"/>
        </w:rPr>
        <w:t>electoral</w:t>
      </w:r>
      <w:r>
        <w:rPr>
          <w:color w:val="231F20"/>
          <w:spacing w:val="-9"/>
          <w:w w:val="105"/>
        </w:rPr>
        <w:t> </w:t>
      </w:r>
      <w:r>
        <w:rPr>
          <w:color w:val="231F20"/>
          <w:w w:val="105"/>
        </w:rPr>
        <w:t>por</w:t>
      </w:r>
      <w:r>
        <w:rPr>
          <w:color w:val="231F20"/>
          <w:spacing w:val="-8"/>
          <w:w w:val="105"/>
        </w:rPr>
        <w:t> </w:t>
      </w:r>
      <w:r>
        <w:rPr>
          <w:color w:val="231F20"/>
          <w:w w:val="105"/>
        </w:rPr>
        <w:t>la</w:t>
      </w:r>
      <w:r>
        <w:rPr>
          <w:color w:val="231F20"/>
          <w:spacing w:val="-9"/>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integra,</w:t>
      </w:r>
      <w:r>
        <w:rPr>
          <w:color w:val="231F20"/>
          <w:spacing w:val="-8"/>
          <w:w w:val="105"/>
        </w:rPr>
        <w:t> </w:t>
      </w:r>
      <w:r>
        <w:rPr>
          <w:color w:val="231F20"/>
          <w:w w:val="105"/>
        </w:rPr>
        <w:t>caracterizada</w:t>
      </w:r>
      <w:r>
        <w:rPr>
          <w:color w:val="231F20"/>
          <w:spacing w:val="-8"/>
          <w:w w:val="105"/>
        </w:rPr>
        <w:t> </w:t>
      </w:r>
      <w:r>
        <w:rPr>
          <w:color w:val="231F20"/>
          <w:w w:val="105"/>
        </w:rPr>
        <w:t>por</w:t>
      </w:r>
      <w:r>
        <w:rPr>
          <w:color w:val="231F20"/>
          <w:spacing w:val="-8"/>
          <w:w w:val="105"/>
        </w:rPr>
        <w:t> </w:t>
      </w:r>
      <w:r>
        <w:rPr>
          <w:color w:val="231F20"/>
          <w:w w:val="105"/>
        </w:rPr>
        <w:t>conformarse</w:t>
      </w:r>
      <w:r>
        <w:rPr>
          <w:color w:val="231F20"/>
          <w:spacing w:val="-8"/>
          <w:w w:val="105"/>
        </w:rPr>
        <w:t> </w:t>
      </w:r>
      <w:r>
        <w:rPr>
          <w:color w:val="231F20"/>
          <w:w w:val="105"/>
        </w:rPr>
        <w:t>como</w:t>
      </w:r>
      <w:r>
        <w:rPr>
          <w:color w:val="231F20"/>
          <w:spacing w:val="-8"/>
          <w:w w:val="105"/>
        </w:rPr>
        <w:t> </w:t>
      </w:r>
      <w:r>
        <w:rPr>
          <w:color w:val="231F20"/>
          <w:w w:val="105"/>
        </w:rPr>
        <w:t>una lista</w:t>
      </w:r>
      <w:r>
        <w:rPr>
          <w:color w:val="231F20"/>
          <w:spacing w:val="-4"/>
          <w:w w:val="105"/>
        </w:rPr>
        <w:t> </w:t>
      </w:r>
      <w:r>
        <w:rPr>
          <w:color w:val="231F20"/>
          <w:w w:val="105"/>
        </w:rPr>
        <w:t>bloqueada</w:t>
      </w:r>
      <w:r>
        <w:rPr>
          <w:color w:val="231F20"/>
          <w:spacing w:val="-4"/>
          <w:w w:val="105"/>
        </w:rPr>
        <w:t> </w:t>
      </w:r>
      <w:r>
        <w:rPr>
          <w:color w:val="231F20"/>
          <w:w w:val="105"/>
        </w:rPr>
        <w:t>y</w:t>
      </w:r>
      <w:r>
        <w:rPr>
          <w:color w:val="231F20"/>
          <w:spacing w:val="-4"/>
          <w:w w:val="105"/>
        </w:rPr>
        <w:t> </w:t>
      </w:r>
      <w:r>
        <w:rPr>
          <w:color w:val="231F20"/>
          <w:w w:val="105"/>
        </w:rPr>
        <w:t>cerrada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partidos,</w:t>
      </w:r>
      <w:r>
        <w:rPr>
          <w:color w:val="231F20"/>
          <w:spacing w:val="-4"/>
          <w:w w:val="105"/>
        </w:rPr>
        <w:t> </w:t>
      </w:r>
      <w:r>
        <w:rPr>
          <w:color w:val="231F20"/>
          <w:w w:val="105"/>
        </w:rPr>
        <w:t>tiende</w:t>
      </w:r>
      <w:r>
        <w:rPr>
          <w:color w:val="231F20"/>
          <w:spacing w:val="-4"/>
          <w:w w:val="105"/>
        </w:rPr>
        <w:t> </w:t>
      </w:r>
      <w:r>
        <w:rPr>
          <w:color w:val="231F20"/>
          <w:w w:val="105"/>
        </w:rPr>
        <w:t>a</w:t>
      </w:r>
      <w:r>
        <w:rPr>
          <w:color w:val="231F20"/>
          <w:spacing w:val="-4"/>
          <w:w w:val="105"/>
        </w:rPr>
        <w:t> </w:t>
      </w:r>
      <w:r>
        <w:rPr>
          <w:color w:val="231F20"/>
          <w:w w:val="105"/>
        </w:rPr>
        <w:t>reforzar</w:t>
      </w:r>
      <w:r>
        <w:rPr>
          <w:color w:val="231F20"/>
          <w:spacing w:val="-4"/>
          <w:w w:val="105"/>
        </w:rPr>
        <w:t> </w:t>
      </w:r>
      <w:r>
        <w:rPr>
          <w:color w:val="231F20"/>
          <w:w w:val="105"/>
        </w:rPr>
        <w:t>la</w:t>
      </w:r>
      <w:r>
        <w:rPr>
          <w:color w:val="231F20"/>
          <w:spacing w:val="-4"/>
          <w:w w:val="105"/>
        </w:rPr>
        <w:t> </w:t>
      </w:r>
      <w:r>
        <w:rPr>
          <w:color w:val="231F20"/>
          <w:w w:val="105"/>
        </w:rPr>
        <w:t>presencia</w:t>
      </w:r>
      <w:r>
        <w:rPr>
          <w:color w:val="231F20"/>
          <w:spacing w:val="-4"/>
          <w:w w:val="105"/>
        </w:rPr>
        <w:t> </w:t>
      </w:r>
      <w:r>
        <w:rPr>
          <w:color w:val="231F20"/>
          <w:w w:val="105"/>
        </w:rPr>
        <w:t>del</w:t>
      </w:r>
      <w:r>
        <w:rPr>
          <w:color w:val="231F20"/>
          <w:spacing w:val="-4"/>
          <w:w w:val="105"/>
        </w:rPr>
        <w:t> </w:t>
      </w:r>
      <w:r>
        <w:rPr>
          <w:color w:val="231F20"/>
          <w:w w:val="105"/>
        </w:rPr>
        <w:t>candidato</w:t>
      </w:r>
      <w:r>
        <w:rPr>
          <w:color w:val="231F20"/>
          <w:spacing w:val="-4"/>
          <w:w w:val="105"/>
        </w:rPr>
        <w:t> </w:t>
      </w:r>
      <w:r>
        <w:rPr>
          <w:color w:val="231F20"/>
          <w:w w:val="105"/>
        </w:rPr>
        <w:t>a presidente</w:t>
      </w:r>
      <w:r>
        <w:rPr>
          <w:color w:val="231F20"/>
          <w:spacing w:val="-12"/>
          <w:w w:val="105"/>
        </w:rPr>
        <w:t> </w:t>
      </w:r>
      <w:r>
        <w:rPr>
          <w:color w:val="231F20"/>
          <w:w w:val="105"/>
        </w:rPr>
        <w:t>municipal</w:t>
      </w:r>
      <w:r>
        <w:rPr>
          <w:color w:val="231F20"/>
          <w:spacing w:val="-12"/>
          <w:w w:val="105"/>
        </w:rPr>
        <w:t> </w:t>
      </w:r>
      <w:r>
        <w:rPr>
          <w:color w:val="231F20"/>
          <w:w w:val="105"/>
        </w:rPr>
        <w:t>puesto</w:t>
      </w:r>
      <w:r>
        <w:rPr>
          <w:color w:val="231F20"/>
          <w:spacing w:val="-12"/>
          <w:w w:val="105"/>
        </w:rPr>
        <w:t> </w:t>
      </w:r>
      <w:r>
        <w:rPr>
          <w:color w:val="231F20"/>
          <w:w w:val="105"/>
        </w:rPr>
        <w:t>que</w:t>
      </w:r>
      <w:r>
        <w:rPr>
          <w:color w:val="231F20"/>
          <w:spacing w:val="-12"/>
          <w:w w:val="105"/>
        </w:rPr>
        <w:t> </w:t>
      </w:r>
      <w:r>
        <w:rPr>
          <w:color w:val="231F20"/>
          <w:w w:val="105"/>
        </w:rPr>
        <w:t>es</w:t>
      </w:r>
      <w:r>
        <w:rPr>
          <w:color w:val="231F20"/>
          <w:spacing w:val="-12"/>
          <w:w w:val="105"/>
        </w:rPr>
        <w:t> </w:t>
      </w:r>
      <w:r>
        <w:rPr>
          <w:color w:val="231F20"/>
          <w:w w:val="105"/>
        </w:rPr>
        <w:t>él</w:t>
      </w:r>
      <w:r>
        <w:rPr>
          <w:color w:val="231F20"/>
          <w:spacing w:val="-12"/>
          <w:w w:val="105"/>
        </w:rPr>
        <w:t> </w:t>
      </w:r>
      <w:r>
        <w:rPr>
          <w:color w:val="231F20"/>
          <w:w w:val="105"/>
        </w:rPr>
        <w:t>quien</w:t>
      </w:r>
      <w:r>
        <w:rPr>
          <w:color w:val="231F20"/>
          <w:spacing w:val="-12"/>
          <w:w w:val="105"/>
        </w:rPr>
        <w:t> </w:t>
      </w:r>
      <w:r>
        <w:rPr>
          <w:color w:val="231F20"/>
          <w:w w:val="105"/>
        </w:rPr>
        <w:t>encabeza</w:t>
      </w:r>
      <w:r>
        <w:rPr>
          <w:color w:val="231F20"/>
          <w:spacing w:val="-12"/>
          <w:w w:val="105"/>
        </w:rPr>
        <w:t> </w:t>
      </w:r>
      <w:r>
        <w:rPr>
          <w:color w:val="231F20"/>
          <w:w w:val="105"/>
        </w:rPr>
        <w:t>dicho</w:t>
      </w:r>
      <w:r>
        <w:rPr>
          <w:color w:val="231F20"/>
          <w:spacing w:val="-12"/>
          <w:w w:val="105"/>
        </w:rPr>
        <w:t> </w:t>
      </w:r>
      <w:r>
        <w:rPr>
          <w:color w:val="231F20"/>
          <w:w w:val="105"/>
        </w:rPr>
        <w:t>listado.</w:t>
      </w:r>
      <w:r>
        <w:rPr>
          <w:color w:val="231F20"/>
          <w:spacing w:val="-12"/>
          <w:w w:val="105"/>
        </w:rPr>
        <w:t> </w:t>
      </w:r>
      <w:r>
        <w:rPr>
          <w:color w:val="231F20"/>
          <w:w w:val="105"/>
        </w:rPr>
        <w:t>A</w:t>
      </w:r>
      <w:r>
        <w:rPr>
          <w:color w:val="231F20"/>
          <w:spacing w:val="-12"/>
          <w:w w:val="105"/>
        </w:rPr>
        <w:t> </w:t>
      </w:r>
      <w:r>
        <w:rPr>
          <w:color w:val="231F20"/>
          <w:w w:val="105"/>
        </w:rPr>
        <w:t>su</w:t>
      </w:r>
      <w:r>
        <w:rPr>
          <w:color w:val="231F20"/>
          <w:spacing w:val="-12"/>
          <w:w w:val="105"/>
        </w:rPr>
        <w:t> </w:t>
      </w:r>
      <w:r>
        <w:rPr>
          <w:color w:val="231F20"/>
          <w:w w:val="105"/>
        </w:rPr>
        <w:t>vez,</w:t>
      </w:r>
      <w:r>
        <w:rPr>
          <w:color w:val="231F20"/>
          <w:spacing w:val="-12"/>
          <w:w w:val="105"/>
        </w:rPr>
        <w:t> </w:t>
      </w:r>
      <w:r>
        <w:rPr>
          <w:color w:val="231F20"/>
          <w:w w:val="105"/>
        </w:rPr>
        <w:t>estas</w:t>
      </w:r>
      <w:r>
        <w:rPr>
          <w:color w:val="231F20"/>
          <w:spacing w:val="-12"/>
          <w:w w:val="105"/>
        </w:rPr>
        <w:t> </w:t>
      </w:r>
      <w:r>
        <w:rPr>
          <w:color w:val="231F20"/>
          <w:w w:val="105"/>
        </w:rPr>
        <w:t>ins- tituciones electorales influyen en la relación que mantiene el gobernante en turno con su</w:t>
      </w:r>
      <w:r>
        <w:rPr>
          <w:color w:val="231F20"/>
          <w:spacing w:val="-15"/>
          <w:w w:val="105"/>
        </w:rPr>
        <w:t> </w:t>
      </w:r>
      <w:r>
        <w:rPr>
          <w:color w:val="231F20"/>
          <w:w w:val="105"/>
        </w:rPr>
        <w:t>partido</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spacing w:val="-3"/>
          <w:w w:val="105"/>
        </w:rPr>
        <w:t>donde</w:t>
      </w:r>
      <w:r>
        <w:rPr>
          <w:color w:val="231F20"/>
          <w:spacing w:val="-15"/>
          <w:w w:val="105"/>
        </w:rPr>
        <w:t> </w:t>
      </w:r>
      <w:r>
        <w:rPr>
          <w:color w:val="231F20"/>
          <w:w w:val="105"/>
        </w:rPr>
        <w:t>su</w:t>
      </w:r>
      <w:r>
        <w:rPr>
          <w:color w:val="231F20"/>
          <w:spacing w:val="-15"/>
          <w:w w:val="105"/>
        </w:rPr>
        <w:t> </w:t>
      </w:r>
      <w:r>
        <w:rPr>
          <w:color w:val="231F20"/>
          <w:w w:val="105"/>
        </w:rPr>
        <w:t>atención</w:t>
      </w:r>
      <w:r>
        <w:rPr>
          <w:color w:val="231F20"/>
          <w:spacing w:val="-15"/>
          <w:w w:val="105"/>
        </w:rPr>
        <w:t> </w:t>
      </w:r>
      <w:r>
        <w:rPr>
          <w:color w:val="231F20"/>
          <w:w w:val="105"/>
        </w:rPr>
        <w:t>gira</w:t>
      </w:r>
      <w:r>
        <w:rPr>
          <w:color w:val="231F20"/>
          <w:spacing w:val="-15"/>
          <w:w w:val="105"/>
        </w:rPr>
        <w:t> </w:t>
      </w:r>
      <w:r>
        <w:rPr>
          <w:color w:val="231F20"/>
          <w:w w:val="105"/>
        </w:rPr>
        <w:t>hacia</w:t>
      </w:r>
      <w:r>
        <w:rPr>
          <w:color w:val="231F20"/>
          <w:spacing w:val="-15"/>
          <w:w w:val="105"/>
        </w:rPr>
        <w:t> </w:t>
      </w:r>
      <w:r>
        <w:rPr>
          <w:color w:val="231F20"/>
          <w:w w:val="105"/>
        </w:rPr>
        <w:t>la</w:t>
      </w:r>
      <w:r>
        <w:rPr>
          <w:color w:val="231F20"/>
          <w:spacing w:val="-15"/>
          <w:w w:val="105"/>
        </w:rPr>
        <w:t> </w:t>
      </w:r>
      <w:r>
        <w:rPr>
          <w:color w:val="231F20"/>
          <w:w w:val="105"/>
        </w:rPr>
        <w:t>preponderancia</w:t>
      </w:r>
      <w:r>
        <w:rPr>
          <w:color w:val="231F20"/>
          <w:spacing w:val="-15"/>
          <w:w w:val="105"/>
        </w:rPr>
        <w:t> </w:t>
      </w:r>
      <w:r>
        <w:rPr>
          <w:color w:val="231F20"/>
          <w:w w:val="105"/>
        </w:rPr>
        <w:t>del</w:t>
      </w:r>
      <w:r>
        <w:rPr>
          <w:color w:val="231F20"/>
          <w:spacing w:val="-15"/>
          <w:w w:val="105"/>
        </w:rPr>
        <w:t> </w:t>
      </w:r>
      <w:r>
        <w:rPr>
          <w:color w:val="231F20"/>
          <w:w w:val="105"/>
        </w:rPr>
        <w:t>partido</w:t>
      </w:r>
      <w:r>
        <w:rPr>
          <w:color w:val="231F20"/>
          <w:spacing w:val="-15"/>
          <w:w w:val="105"/>
        </w:rPr>
        <w:t> </w:t>
      </w:r>
      <w:r>
        <w:rPr>
          <w:color w:val="231F20"/>
          <w:w w:val="105"/>
        </w:rPr>
        <w:t>a</w:t>
      </w:r>
      <w:r>
        <w:rPr>
          <w:color w:val="231F20"/>
          <w:spacing w:val="-15"/>
          <w:w w:val="105"/>
        </w:rPr>
        <w:t> </w:t>
      </w:r>
      <w:r>
        <w:rPr>
          <w:color w:val="231F20"/>
          <w:w w:val="105"/>
        </w:rPr>
        <w:t>nivel</w:t>
      </w:r>
      <w:r>
        <w:rPr>
          <w:color w:val="231F20"/>
          <w:spacing w:val="-15"/>
          <w:w w:val="105"/>
        </w:rPr>
        <w:t> </w:t>
      </w:r>
      <w:r>
        <w:rPr>
          <w:color w:val="231F20"/>
          <w:w w:val="105"/>
        </w:rPr>
        <w:t>estatal por</w:t>
      </w:r>
      <w:r>
        <w:rPr>
          <w:color w:val="231F20"/>
          <w:spacing w:val="-10"/>
          <w:w w:val="105"/>
        </w:rPr>
        <w:t> </w:t>
      </w:r>
      <w:r>
        <w:rPr>
          <w:color w:val="231F20"/>
          <w:w w:val="105"/>
        </w:rPr>
        <w:t>encima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organización</w:t>
      </w:r>
      <w:r>
        <w:rPr>
          <w:color w:val="231F20"/>
          <w:spacing w:val="-10"/>
          <w:w w:val="105"/>
        </w:rPr>
        <w:t> </w:t>
      </w:r>
      <w:r>
        <w:rPr>
          <w:color w:val="231F20"/>
          <w:w w:val="105"/>
        </w:rPr>
        <w:t>partidista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municipio.</w:t>
      </w:r>
    </w:p>
    <w:p>
      <w:pPr>
        <w:pStyle w:val="BodyText"/>
        <w:spacing w:before="1"/>
        <w:rPr>
          <w:sz w:val="26"/>
        </w:rPr>
      </w:pPr>
    </w:p>
    <w:p>
      <w:pPr>
        <w:pStyle w:val="BodyText"/>
        <w:spacing w:line="285" w:lineRule="auto"/>
        <w:ind w:left="110" w:right="108"/>
        <w:jc w:val="both"/>
      </w:pPr>
      <w:r>
        <w:rPr>
          <w:color w:val="231F20"/>
          <w:w w:val="105"/>
        </w:rPr>
        <w:t>Este </w:t>
      </w:r>
      <w:r>
        <w:rPr>
          <w:color w:val="231F20"/>
          <w:spacing w:val="3"/>
          <w:w w:val="105"/>
        </w:rPr>
        <w:t>artículo </w:t>
      </w:r>
      <w:r>
        <w:rPr>
          <w:color w:val="231F20"/>
          <w:spacing w:val="2"/>
          <w:w w:val="105"/>
        </w:rPr>
        <w:t>está </w:t>
      </w:r>
      <w:r>
        <w:rPr>
          <w:color w:val="231F20"/>
          <w:w w:val="105"/>
        </w:rPr>
        <w:t>integrado por tres </w:t>
      </w:r>
      <w:r>
        <w:rPr>
          <w:color w:val="231F20"/>
          <w:spacing w:val="2"/>
          <w:w w:val="105"/>
        </w:rPr>
        <w:t>apartados </w:t>
      </w:r>
      <w:r>
        <w:rPr>
          <w:color w:val="231F20"/>
          <w:w w:val="105"/>
        </w:rPr>
        <w:t>principales. En el primero presento </w:t>
      </w:r>
      <w:r>
        <w:rPr>
          <w:color w:val="231F20"/>
          <w:spacing w:val="3"/>
          <w:w w:val="105"/>
        </w:rPr>
        <w:t>una </w:t>
      </w:r>
      <w:r>
        <w:rPr>
          <w:color w:val="231F20"/>
          <w:w w:val="105"/>
        </w:rPr>
        <w:t>descripción de los </w:t>
      </w:r>
      <w:r>
        <w:rPr>
          <w:color w:val="231F20"/>
          <w:spacing w:val="2"/>
          <w:w w:val="105"/>
        </w:rPr>
        <w:t>aspectos </w:t>
      </w:r>
      <w:r>
        <w:rPr>
          <w:color w:val="231F20"/>
          <w:w w:val="105"/>
        </w:rPr>
        <w:t>socioeconómicos de los habitantes del municipio. Aquí pretendo </w:t>
      </w:r>
      <w:r>
        <w:rPr>
          <w:color w:val="231F20"/>
          <w:spacing w:val="2"/>
          <w:w w:val="105"/>
        </w:rPr>
        <w:t>resaltar las características </w:t>
      </w:r>
      <w:r>
        <w:rPr>
          <w:color w:val="231F20"/>
          <w:w w:val="105"/>
        </w:rPr>
        <w:t>que permiten considerar a </w:t>
      </w:r>
      <w:r>
        <w:rPr>
          <w:color w:val="231F20"/>
          <w:spacing w:val="2"/>
          <w:w w:val="105"/>
        </w:rPr>
        <w:t>Huixquilucan </w:t>
      </w:r>
      <w:r>
        <w:rPr>
          <w:color w:val="231F20"/>
          <w:w w:val="105"/>
        </w:rPr>
        <w:t>como </w:t>
      </w:r>
      <w:r>
        <w:rPr>
          <w:color w:val="231F20"/>
          <w:spacing w:val="3"/>
          <w:w w:val="105"/>
        </w:rPr>
        <w:t>un </w:t>
      </w:r>
      <w:r>
        <w:rPr>
          <w:color w:val="231F20"/>
          <w:w w:val="105"/>
        </w:rPr>
        <w:t>municipio de corte </w:t>
      </w:r>
      <w:r>
        <w:rPr>
          <w:color w:val="231F20"/>
          <w:spacing w:val="2"/>
          <w:w w:val="105"/>
        </w:rPr>
        <w:t>urbano </w:t>
      </w:r>
      <w:r>
        <w:rPr>
          <w:color w:val="231F20"/>
          <w:w w:val="105"/>
        </w:rPr>
        <w:t>de altos </w:t>
      </w:r>
      <w:r>
        <w:rPr>
          <w:color w:val="231F20"/>
          <w:spacing w:val="2"/>
          <w:w w:val="105"/>
        </w:rPr>
        <w:t>ingresos </w:t>
      </w:r>
      <w:r>
        <w:rPr>
          <w:color w:val="231F20"/>
          <w:w w:val="105"/>
        </w:rPr>
        <w:t>y </w:t>
      </w:r>
      <w:r>
        <w:rPr>
          <w:color w:val="231F20"/>
          <w:spacing w:val="2"/>
          <w:w w:val="105"/>
        </w:rPr>
        <w:t>desarrollo </w:t>
      </w:r>
      <w:r>
        <w:rPr>
          <w:color w:val="231F20"/>
          <w:w w:val="105"/>
        </w:rPr>
        <w:t>humano, así como de baja</w:t>
      </w:r>
      <w:r>
        <w:rPr>
          <w:color w:val="231F20"/>
          <w:spacing w:val="-21"/>
          <w:w w:val="105"/>
        </w:rPr>
        <w:t> </w:t>
      </w:r>
      <w:r>
        <w:rPr>
          <w:color w:val="231F20"/>
          <w:spacing w:val="2"/>
          <w:w w:val="105"/>
        </w:rPr>
        <w:t>marginación.</w:t>
      </w:r>
    </w:p>
    <w:p>
      <w:pPr>
        <w:spacing w:after="0" w:line="285" w:lineRule="auto"/>
        <w:jc w:val="both"/>
        <w:sectPr>
          <w:footerReference w:type="default" r:id="rId29"/>
          <w:pgSz w:w="9640" w:h="12190"/>
          <w:pgMar w:footer="743" w:header="0" w:top="1120" w:bottom="940" w:left="740" w:right="740"/>
          <w:pgNumType w:start="30"/>
        </w:sectPr>
      </w:pPr>
    </w:p>
    <w:p>
      <w:pPr>
        <w:pStyle w:val="BodyText"/>
        <w:spacing w:before="3"/>
        <w:rPr>
          <w:sz w:val="11"/>
        </w:rPr>
      </w:pPr>
    </w:p>
    <w:p>
      <w:pPr>
        <w:pStyle w:val="BodyText"/>
        <w:spacing w:line="285" w:lineRule="auto" w:before="36"/>
        <w:ind w:left="110" w:right="107"/>
        <w:jc w:val="both"/>
      </w:pPr>
      <w:r>
        <w:rPr>
          <w:color w:val="231F20"/>
          <w:w w:val="105"/>
        </w:rPr>
        <w:t>En el segundo apartado señalo las principales características del marco institucional para</w:t>
      </w:r>
      <w:r>
        <w:rPr>
          <w:color w:val="231F20"/>
          <w:spacing w:val="-14"/>
          <w:w w:val="105"/>
        </w:rPr>
        <w:t> </w:t>
      </w:r>
      <w:r>
        <w:rPr>
          <w:color w:val="231F20"/>
          <w:w w:val="105"/>
        </w:rPr>
        <w:t>la</w:t>
      </w:r>
      <w:r>
        <w:rPr>
          <w:color w:val="231F20"/>
          <w:spacing w:val="-14"/>
          <w:w w:val="105"/>
        </w:rPr>
        <w:t> </w:t>
      </w:r>
      <w:r>
        <w:rPr>
          <w:color w:val="231F20"/>
          <w:w w:val="105"/>
        </w:rPr>
        <w:t>integración</w:t>
      </w:r>
      <w:r>
        <w:rPr>
          <w:color w:val="231F20"/>
          <w:spacing w:val="-14"/>
          <w:w w:val="105"/>
        </w:rPr>
        <w:t> </w:t>
      </w:r>
      <w:r>
        <w:rPr>
          <w:color w:val="231F20"/>
          <w:w w:val="105"/>
        </w:rPr>
        <w:t>y</w:t>
      </w:r>
      <w:r>
        <w:rPr>
          <w:color w:val="231F20"/>
          <w:spacing w:val="-14"/>
          <w:w w:val="105"/>
        </w:rPr>
        <w:t> </w:t>
      </w:r>
      <w:r>
        <w:rPr>
          <w:color w:val="231F20"/>
          <w:w w:val="105"/>
        </w:rPr>
        <w:t>toma</w:t>
      </w:r>
      <w:r>
        <w:rPr>
          <w:color w:val="231F20"/>
          <w:spacing w:val="-14"/>
          <w:w w:val="105"/>
        </w:rPr>
        <w:t> </w:t>
      </w:r>
      <w:r>
        <w:rPr>
          <w:color w:val="231F20"/>
          <w:w w:val="105"/>
        </w:rPr>
        <w:t>de</w:t>
      </w:r>
      <w:r>
        <w:rPr>
          <w:color w:val="231F20"/>
          <w:spacing w:val="-14"/>
          <w:w w:val="105"/>
        </w:rPr>
        <w:t> </w:t>
      </w:r>
      <w:r>
        <w:rPr>
          <w:color w:val="231F20"/>
          <w:w w:val="105"/>
        </w:rPr>
        <w:t>decisiones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ayuntamiento</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APM.</w:t>
      </w:r>
      <w:r>
        <w:rPr>
          <w:color w:val="231F20"/>
          <w:spacing w:val="-14"/>
          <w:w w:val="105"/>
        </w:rPr>
        <w:t> </w:t>
      </w:r>
      <w:r>
        <w:rPr>
          <w:color w:val="231F20"/>
          <w:w w:val="105"/>
        </w:rPr>
        <w:t>Busco</w:t>
      </w:r>
      <w:r>
        <w:rPr>
          <w:color w:val="231F20"/>
          <w:spacing w:val="-14"/>
          <w:w w:val="105"/>
        </w:rPr>
        <w:t> </w:t>
      </w:r>
      <w:r>
        <w:rPr>
          <w:color w:val="231F20"/>
          <w:w w:val="105"/>
        </w:rPr>
        <w:t>identi- ficar</w:t>
      </w:r>
      <w:r>
        <w:rPr>
          <w:color w:val="231F20"/>
          <w:spacing w:val="-7"/>
          <w:w w:val="105"/>
        </w:rPr>
        <w:t> </w:t>
      </w:r>
      <w:r>
        <w:rPr>
          <w:color w:val="231F20"/>
          <w:w w:val="105"/>
        </w:rPr>
        <w:t>los</w:t>
      </w:r>
      <w:r>
        <w:rPr>
          <w:color w:val="231F20"/>
          <w:spacing w:val="-7"/>
          <w:w w:val="105"/>
        </w:rPr>
        <w:t> </w:t>
      </w:r>
      <w:r>
        <w:rPr>
          <w:color w:val="231F20"/>
          <w:w w:val="105"/>
        </w:rPr>
        <w:t>incentivos</w:t>
      </w:r>
      <w:r>
        <w:rPr>
          <w:color w:val="231F20"/>
          <w:spacing w:val="-7"/>
          <w:w w:val="105"/>
        </w:rPr>
        <w:t> </w:t>
      </w:r>
      <w:r>
        <w:rPr>
          <w:color w:val="231F20"/>
          <w:w w:val="105"/>
        </w:rPr>
        <w:t>que</w:t>
      </w:r>
      <w:r>
        <w:rPr>
          <w:color w:val="231F20"/>
          <w:spacing w:val="-7"/>
          <w:w w:val="105"/>
        </w:rPr>
        <w:t> </w:t>
      </w:r>
      <w:r>
        <w:rPr>
          <w:color w:val="231F20"/>
          <w:w w:val="105"/>
        </w:rPr>
        <w:t>influyen</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desempeño</w:t>
      </w:r>
      <w:r>
        <w:rPr>
          <w:color w:val="231F20"/>
          <w:spacing w:val="-7"/>
          <w:w w:val="105"/>
        </w:rPr>
        <w:t> </w:t>
      </w:r>
      <w:r>
        <w:rPr>
          <w:color w:val="231F20"/>
          <w:w w:val="105"/>
        </w:rPr>
        <w:t>institucional</w:t>
      </w:r>
      <w:r>
        <w:rPr>
          <w:color w:val="231F20"/>
          <w:spacing w:val="-7"/>
          <w:w w:val="105"/>
        </w:rPr>
        <w:t> </w:t>
      </w:r>
      <w:r>
        <w:rPr>
          <w:color w:val="231F20"/>
          <w:w w:val="105"/>
        </w:rPr>
        <w:t>del</w:t>
      </w:r>
      <w:r>
        <w:rPr>
          <w:color w:val="231F20"/>
          <w:spacing w:val="-7"/>
          <w:w w:val="105"/>
        </w:rPr>
        <w:t> </w:t>
      </w:r>
      <w:r>
        <w:rPr>
          <w:color w:val="231F20"/>
          <w:w w:val="105"/>
        </w:rPr>
        <w:t>gobierno</w:t>
      </w:r>
      <w:r>
        <w:rPr>
          <w:color w:val="231F20"/>
          <w:spacing w:val="-7"/>
          <w:w w:val="105"/>
        </w:rPr>
        <w:t> </w:t>
      </w:r>
      <w:r>
        <w:rPr>
          <w:color w:val="231F20"/>
          <w:w w:val="105"/>
        </w:rPr>
        <w:t>municipal en</w:t>
      </w:r>
      <w:r>
        <w:rPr>
          <w:color w:val="231F20"/>
          <w:spacing w:val="-9"/>
          <w:w w:val="105"/>
        </w:rPr>
        <w:t> </w:t>
      </w:r>
      <w:r>
        <w:rPr>
          <w:color w:val="231F20"/>
          <w:w w:val="105"/>
        </w:rPr>
        <w:t>los</w:t>
      </w:r>
      <w:r>
        <w:rPr>
          <w:color w:val="231F20"/>
          <w:spacing w:val="-9"/>
          <w:w w:val="105"/>
        </w:rPr>
        <w:t> </w:t>
      </w:r>
      <w:r>
        <w:rPr>
          <w:color w:val="231F20"/>
          <w:w w:val="105"/>
        </w:rPr>
        <w:t>rubros</w:t>
      </w:r>
      <w:r>
        <w:rPr>
          <w:color w:val="231F20"/>
          <w:spacing w:val="-9"/>
          <w:w w:val="105"/>
        </w:rPr>
        <w:t> </w:t>
      </w:r>
      <w:r>
        <w:rPr>
          <w:color w:val="231F20"/>
          <w:w w:val="105"/>
        </w:rPr>
        <w:t>del</w:t>
      </w:r>
      <w:r>
        <w:rPr>
          <w:color w:val="231F20"/>
          <w:spacing w:val="-9"/>
          <w:w w:val="105"/>
        </w:rPr>
        <w:t> </w:t>
      </w:r>
      <w:r>
        <w:rPr>
          <w:color w:val="231F20"/>
          <w:w w:val="105"/>
        </w:rPr>
        <w:t>comportamiento</w:t>
      </w:r>
      <w:r>
        <w:rPr>
          <w:color w:val="231F20"/>
          <w:spacing w:val="-9"/>
          <w:w w:val="105"/>
        </w:rPr>
        <w:t> </w:t>
      </w:r>
      <w:r>
        <w:rPr>
          <w:color w:val="231F20"/>
          <w:w w:val="105"/>
        </w:rPr>
        <w:t>financiero,</w:t>
      </w:r>
      <w:r>
        <w:rPr>
          <w:color w:val="231F20"/>
          <w:spacing w:val="-9"/>
          <w:w w:val="105"/>
        </w:rPr>
        <w:t> </w:t>
      </w:r>
      <w:r>
        <w:rPr>
          <w:color w:val="231F20"/>
          <w:w w:val="105"/>
        </w:rPr>
        <w:t>la</w:t>
      </w:r>
      <w:r>
        <w:rPr>
          <w:color w:val="231F20"/>
          <w:spacing w:val="-9"/>
          <w:w w:val="105"/>
        </w:rPr>
        <w:t> </w:t>
      </w:r>
      <w:r>
        <w:rPr>
          <w:color w:val="231F20"/>
          <w:w w:val="105"/>
        </w:rPr>
        <w:t>estabilidad</w:t>
      </w:r>
      <w:r>
        <w:rPr>
          <w:color w:val="231F20"/>
          <w:spacing w:val="-9"/>
          <w:w w:val="105"/>
        </w:rPr>
        <w:t> </w:t>
      </w:r>
      <w:r>
        <w:rPr>
          <w:color w:val="231F20"/>
          <w:w w:val="105"/>
        </w:rPr>
        <w:t>de</w:t>
      </w:r>
      <w:r>
        <w:rPr>
          <w:color w:val="231F20"/>
          <w:spacing w:val="-9"/>
          <w:w w:val="105"/>
        </w:rPr>
        <w:t> </w:t>
      </w:r>
      <w:r>
        <w:rPr>
          <w:color w:val="231F20"/>
          <w:w w:val="105"/>
        </w:rPr>
        <w:t>sus</w:t>
      </w:r>
      <w:r>
        <w:rPr>
          <w:color w:val="231F20"/>
          <w:spacing w:val="-9"/>
          <w:w w:val="105"/>
        </w:rPr>
        <w:t> </w:t>
      </w:r>
      <w:r>
        <w:rPr>
          <w:color w:val="231F20"/>
          <w:w w:val="105"/>
        </w:rPr>
        <w:t>estructuras</w:t>
      </w:r>
      <w:r>
        <w:rPr>
          <w:color w:val="231F20"/>
          <w:spacing w:val="-9"/>
          <w:w w:val="105"/>
        </w:rPr>
        <w:t> </w:t>
      </w:r>
      <w:r>
        <w:rPr>
          <w:color w:val="231F20"/>
          <w:w w:val="105"/>
        </w:rPr>
        <w:t>adminis- trativas y </w:t>
      </w:r>
      <w:r>
        <w:rPr>
          <w:color w:val="231F20"/>
          <w:spacing w:val="-5"/>
          <w:w w:val="105"/>
        </w:rPr>
        <w:t>“el </w:t>
      </w:r>
      <w:r>
        <w:rPr>
          <w:color w:val="231F20"/>
          <w:w w:val="105"/>
        </w:rPr>
        <w:t>estilo personal de gobernar” del alcalde en turno. Para ello se dividió en tres</w:t>
      </w:r>
      <w:r>
        <w:rPr>
          <w:color w:val="231F20"/>
          <w:spacing w:val="-14"/>
          <w:w w:val="105"/>
        </w:rPr>
        <w:t> </w:t>
      </w:r>
      <w:r>
        <w:rPr>
          <w:color w:val="231F20"/>
          <w:w w:val="105"/>
        </w:rPr>
        <w:t>epígrafes: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primero</w:t>
      </w:r>
      <w:r>
        <w:rPr>
          <w:color w:val="231F20"/>
          <w:spacing w:val="-14"/>
          <w:w w:val="105"/>
        </w:rPr>
        <w:t> </w:t>
      </w:r>
      <w:r>
        <w:rPr>
          <w:color w:val="231F20"/>
          <w:w w:val="105"/>
        </w:rPr>
        <w:t>se</w:t>
      </w:r>
      <w:r>
        <w:rPr>
          <w:color w:val="231F20"/>
          <w:spacing w:val="-14"/>
          <w:w w:val="105"/>
        </w:rPr>
        <w:t> </w:t>
      </w:r>
      <w:r>
        <w:rPr>
          <w:color w:val="231F20"/>
          <w:w w:val="105"/>
        </w:rPr>
        <w:t>describe</w:t>
      </w:r>
      <w:r>
        <w:rPr>
          <w:color w:val="231F20"/>
          <w:spacing w:val="-14"/>
          <w:w w:val="105"/>
        </w:rPr>
        <w:t> </w:t>
      </w:r>
      <w:r>
        <w:rPr>
          <w:color w:val="231F20"/>
          <w:w w:val="105"/>
        </w:rPr>
        <w:t>el</w:t>
      </w:r>
      <w:r>
        <w:rPr>
          <w:color w:val="231F20"/>
          <w:spacing w:val="-14"/>
          <w:w w:val="105"/>
        </w:rPr>
        <w:t> </w:t>
      </w:r>
      <w:r>
        <w:rPr>
          <w:color w:val="231F20"/>
          <w:w w:val="105"/>
        </w:rPr>
        <w:t>comportamiento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spacing w:val="2"/>
          <w:w w:val="105"/>
        </w:rPr>
        <w:t>finanzas</w:t>
      </w:r>
      <w:r>
        <w:rPr>
          <w:color w:val="231F20"/>
          <w:spacing w:val="-14"/>
          <w:w w:val="105"/>
        </w:rPr>
        <w:t> </w:t>
      </w:r>
      <w:r>
        <w:rPr>
          <w:color w:val="231F20"/>
          <w:w w:val="105"/>
        </w:rPr>
        <w:t>municipales durante</w:t>
      </w:r>
      <w:r>
        <w:rPr>
          <w:color w:val="231F20"/>
          <w:spacing w:val="-10"/>
          <w:w w:val="105"/>
        </w:rPr>
        <w:t> </w:t>
      </w:r>
      <w:r>
        <w:rPr>
          <w:color w:val="231F20"/>
          <w:w w:val="105"/>
        </w:rPr>
        <w:t>el</w:t>
      </w:r>
      <w:r>
        <w:rPr>
          <w:color w:val="231F20"/>
          <w:spacing w:val="-10"/>
          <w:w w:val="105"/>
        </w:rPr>
        <w:t> </w:t>
      </w:r>
      <w:r>
        <w:rPr>
          <w:color w:val="231F20"/>
          <w:w w:val="105"/>
        </w:rPr>
        <w:t>periodo</w:t>
      </w:r>
      <w:r>
        <w:rPr>
          <w:color w:val="231F20"/>
          <w:spacing w:val="-10"/>
          <w:w w:val="105"/>
        </w:rPr>
        <w:t> </w:t>
      </w:r>
      <w:r>
        <w:rPr>
          <w:color w:val="231F20"/>
          <w:w w:val="105"/>
        </w:rPr>
        <w:t>2001</w:t>
      </w:r>
      <w:r>
        <w:rPr>
          <w:color w:val="231F20"/>
          <w:spacing w:val="-10"/>
          <w:w w:val="105"/>
        </w:rPr>
        <w:t> </w:t>
      </w:r>
      <w:r>
        <w:rPr>
          <w:color w:val="231F20"/>
          <w:w w:val="105"/>
        </w:rPr>
        <w:t>a</w:t>
      </w:r>
      <w:r>
        <w:rPr>
          <w:color w:val="231F20"/>
          <w:spacing w:val="-10"/>
          <w:w w:val="105"/>
        </w:rPr>
        <w:t> </w:t>
      </w:r>
      <w:r>
        <w:rPr>
          <w:color w:val="231F20"/>
          <w:spacing w:val="3"/>
          <w:w w:val="105"/>
        </w:rPr>
        <w:t>2008</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spacing w:val="2"/>
          <w:w w:val="105"/>
        </w:rPr>
        <w:t>fin</w:t>
      </w:r>
      <w:r>
        <w:rPr>
          <w:color w:val="231F20"/>
          <w:spacing w:val="-10"/>
          <w:w w:val="105"/>
        </w:rPr>
        <w:t> </w:t>
      </w:r>
      <w:r>
        <w:rPr>
          <w:color w:val="231F20"/>
          <w:w w:val="105"/>
        </w:rPr>
        <w:t>de</w:t>
      </w:r>
      <w:r>
        <w:rPr>
          <w:color w:val="231F20"/>
          <w:spacing w:val="-10"/>
          <w:w w:val="105"/>
        </w:rPr>
        <w:t> </w:t>
      </w:r>
      <w:r>
        <w:rPr>
          <w:color w:val="231F20"/>
          <w:w w:val="105"/>
        </w:rPr>
        <w:t>observar</w:t>
      </w:r>
      <w:r>
        <w:rPr>
          <w:color w:val="231F20"/>
          <w:spacing w:val="-10"/>
          <w:w w:val="105"/>
        </w:rPr>
        <w:t> </w:t>
      </w:r>
      <w:r>
        <w:rPr>
          <w:color w:val="231F20"/>
          <w:w w:val="105"/>
        </w:rPr>
        <w:t>su</w:t>
      </w:r>
      <w:r>
        <w:rPr>
          <w:color w:val="231F20"/>
          <w:spacing w:val="-10"/>
          <w:w w:val="105"/>
        </w:rPr>
        <w:t> </w:t>
      </w:r>
      <w:r>
        <w:rPr>
          <w:color w:val="231F20"/>
          <w:w w:val="105"/>
        </w:rPr>
        <w:t>grado</w:t>
      </w:r>
      <w:r>
        <w:rPr>
          <w:color w:val="231F20"/>
          <w:spacing w:val="-10"/>
          <w:w w:val="105"/>
        </w:rPr>
        <w:t> </w:t>
      </w:r>
      <w:r>
        <w:rPr>
          <w:color w:val="231F20"/>
          <w:w w:val="105"/>
        </w:rPr>
        <w:t>de</w:t>
      </w:r>
      <w:r>
        <w:rPr>
          <w:color w:val="231F20"/>
          <w:spacing w:val="-10"/>
          <w:w w:val="105"/>
        </w:rPr>
        <w:t> </w:t>
      </w:r>
      <w:r>
        <w:rPr>
          <w:color w:val="231F20"/>
          <w:w w:val="105"/>
        </w:rPr>
        <w:t>maniobra</w:t>
      </w:r>
      <w:r>
        <w:rPr>
          <w:color w:val="231F20"/>
          <w:spacing w:val="-10"/>
          <w:w w:val="105"/>
        </w:rPr>
        <w:t> </w:t>
      </w:r>
      <w:r>
        <w:rPr>
          <w:color w:val="231F20"/>
          <w:w w:val="105"/>
        </w:rPr>
        <w:t>financiera; en</w:t>
      </w:r>
      <w:r>
        <w:rPr>
          <w:color w:val="231F20"/>
          <w:spacing w:val="-20"/>
          <w:w w:val="105"/>
        </w:rPr>
        <w:t> </w:t>
      </w:r>
      <w:r>
        <w:rPr>
          <w:color w:val="231F20"/>
          <w:w w:val="105"/>
        </w:rPr>
        <w:t>el</w:t>
      </w:r>
      <w:r>
        <w:rPr>
          <w:color w:val="231F20"/>
          <w:spacing w:val="-20"/>
          <w:w w:val="105"/>
        </w:rPr>
        <w:t> </w:t>
      </w:r>
      <w:r>
        <w:rPr>
          <w:color w:val="231F20"/>
          <w:w w:val="105"/>
        </w:rPr>
        <w:t>segundo</w:t>
      </w:r>
      <w:r>
        <w:rPr>
          <w:color w:val="231F20"/>
          <w:spacing w:val="-20"/>
          <w:w w:val="105"/>
        </w:rPr>
        <w:t> </w:t>
      </w:r>
      <w:r>
        <w:rPr>
          <w:color w:val="231F20"/>
          <w:w w:val="105"/>
        </w:rPr>
        <w:t>se</w:t>
      </w:r>
      <w:r>
        <w:rPr>
          <w:color w:val="231F20"/>
          <w:spacing w:val="-20"/>
          <w:w w:val="105"/>
        </w:rPr>
        <w:t> </w:t>
      </w:r>
      <w:r>
        <w:rPr>
          <w:color w:val="231F20"/>
          <w:w w:val="105"/>
        </w:rPr>
        <w:t>compararon</w:t>
      </w:r>
      <w:r>
        <w:rPr>
          <w:color w:val="231F20"/>
          <w:spacing w:val="-20"/>
          <w:w w:val="105"/>
        </w:rPr>
        <w:t> </w:t>
      </w:r>
      <w:r>
        <w:rPr>
          <w:color w:val="231F20"/>
          <w:w w:val="105"/>
        </w:rPr>
        <w:t>los</w:t>
      </w:r>
      <w:r>
        <w:rPr>
          <w:color w:val="231F20"/>
          <w:spacing w:val="-20"/>
          <w:w w:val="105"/>
        </w:rPr>
        <w:t> </w:t>
      </w:r>
      <w:r>
        <w:rPr>
          <w:color w:val="231F20"/>
          <w:w w:val="105"/>
        </w:rPr>
        <w:t>ejercicios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gobiernos</w:t>
      </w:r>
      <w:r>
        <w:rPr>
          <w:color w:val="231F20"/>
          <w:spacing w:val="-20"/>
          <w:w w:val="105"/>
        </w:rPr>
        <w:t> </w:t>
      </w:r>
      <w:r>
        <w:rPr>
          <w:color w:val="231F20"/>
          <w:w w:val="105"/>
        </w:rPr>
        <w:t>municipales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periodos 2003-2006</w:t>
      </w:r>
      <w:r>
        <w:rPr>
          <w:color w:val="231F20"/>
          <w:spacing w:val="-15"/>
          <w:w w:val="105"/>
        </w:rPr>
        <w:t> </w:t>
      </w:r>
      <w:r>
        <w:rPr>
          <w:color w:val="231F20"/>
          <w:w w:val="105"/>
        </w:rPr>
        <w:t>y</w:t>
      </w:r>
      <w:r>
        <w:rPr>
          <w:color w:val="231F20"/>
          <w:spacing w:val="-15"/>
          <w:w w:val="105"/>
        </w:rPr>
        <w:t> </w:t>
      </w:r>
      <w:r>
        <w:rPr>
          <w:color w:val="231F20"/>
          <w:w w:val="105"/>
        </w:rPr>
        <w:t>2006-2009,</w:t>
      </w:r>
      <w:r>
        <w:rPr>
          <w:color w:val="231F20"/>
          <w:spacing w:val="-15"/>
          <w:w w:val="105"/>
        </w:rPr>
        <w:t> </w:t>
      </w:r>
      <w:r>
        <w:rPr>
          <w:color w:val="231F20"/>
          <w:w w:val="105"/>
        </w:rPr>
        <w:t>ambos</w:t>
      </w:r>
      <w:r>
        <w:rPr>
          <w:color w:val="231F20"/>
          <w:spacing w:val="-15"/>
          <w:w w:val="105"/>
        </w:rPr>
        <w:t> </w:t>
      </w:r>
      <w:r>
        <w:rPr>
          <w:color w:val="231F20"/>
          <w:w w:val="105"/>
        </w:rPr>
        <w:t>surgidos</w:t>
      </w:r>
      <w:r>
        <w:rPr>
          <w:color w:val="231F20"/>
          <w:spacing w:val="-15"/>
          <w:w w:val="105"/>
        </w:rPr>
        <w:t> </w:t>
      </w:r>
      <w:r>
        <w:rPr>
          <w:color w:val="231F20"/>
          <w:w w:val="105"/>
        </w:rPr>
        <w:t>del</w:t>
      </w:r>
      <w:r>
        <w:rPr>
          <w:color w:val="231F20"/>
          <w:spacing w:val="-15"/>
          <w:w w:val="105"/>
        </w:rPr>
        <w:t> </w:t>
      </w:r>
      <w:r>
        <w:rPr>
          <w:color w:val="231F20"/>
          <w:w w:val="105"/>
        </w:rPr>
        <w:t>mismo</w:t>
      </w:r>
      <w:r>
        <w:rPr>
          <w:color w:val="231F20"/>
          <w:spacing w:val="-15"/>
          <w:w w:val="105"/>
        </w:rPr>
        <w:t> </w:t>
      </w:r>
      <w:r>
        <w:rPr>
          <w:color w:val="231F20"/>
          <w:w w:val="105"/>
        </w:rPr>
        <w:t>partido</w:t>
      </w:r>
      <w:r>
        <w:rPr>
          <w:color w:val="231F20"/>
          <w:spacing w:val="-15"/>
          <w:w w:val="105"/>
        </w:rPr>
        <w:t> </w:t>
      </w:r>
      <w:r>
        <w:rPr>
          <w:color w:val="231F20"/>
          <w:w w:val="105"/>
        </w:rPr>
        <w:t>político,</w:t>
      </w:r>
      <w:r>
        <w:rPr>
          <w:color w:val="231F20"/>
          <w:spacing w:val="-15"/>
          <w:w w:val="105"/>
        </w:rPr>
        <w:t> </w:t>
      </w:r>
      <w:r>
        <w:rPr>
          <w:color w:val="231F20"/>
          <w:w w:val="105"/>
        </w:rPr>
        <w:t>el</w:t>
      </w:r>
      <w:r>
        <w:rPr>
          <w:color w:val="231F20"/>
          <w:spacing w:val="-15"/>
          <w:w w:val="105"/>
        </w:rPr>
        <w:t> </w:t>
      </w:r>
      <w:r>
        <w:rPr>
          <w:color w:val="231F20"/>
          <w:w w:val="105"/>
        </w:rPr>
        <w:t>Revolucionario Institucional </w:t>
      </w:r>
      <w:r>
        <w:rPr>
          <w:color w:val="231F20"/>
          <w:spacing w:val="-3"/>
          <w:w w:val="105"/>
        </w:rPr>
        <w:t>(PRI). </w:t>
      </w:r>
      <w:r>
        <w:rPr>
          <w:color w:val="231F20"/>
          <w:w w:val="105"/>
        </w:rPr>
        <w:t>Con esto se buscó observar la continuidad de las administraciones municipales.</w:t>
      </w:r>
      <w:r>
        <w:rPr>
          <w:color w:val="231F20"/>
          <w:spacing w:val="-16"/>
          <w:w w:val="105"/>
        </w:rPr>
        <w:t> </w:t>
      </w:r>
      <w:r>
        <w:rPr>
          <w:color w:val="231F20"/>
          <w:w w:val="105"/>
        </w:rPr>
        <w:t>El</w:t>
      </w:r>
      <w:r>
        <w:rPr>
          <w:color w:val="231F20"/>
          <w:spacing w:val="-16"/>
          <w:w w:val="105"/>
        </w:rPr>
        <w:t> </w:t>
      </w:r>
      <w:r>
        <w:rPr>
          <w:color w:val="231F20"/>
          <w:w w:val="105"/>
        </w:rPr>
        <w:t>último</w:t>
      </w:r>
      <w:r>
        <w:rPr>
          <w:color w:val="231F20"/>
          <w:spacing w:val="-16"/>
          <w:w w:val="105"/>
        </w:rPr>
        <w:t> </w:t>
      </w:r>
      <w:r>
        <w:rPr>
          <w:color w:val="231F20"/>
          <w:w w:val="105"/>
        </w:rPr>
        <w:t>epígrafe</w:t>
      </w:r>
      <w:r>
        <w:rPr>
          <w:color w:val="231F20"/>
          <w:spacing w:val="-16"/>
          <w:w w:val="105"/>
        </w:rPr>
        <w:t> </w:t>
      </w:r>
      <w:r>
        <w:rPr>
          <w:color w:val="231F20"/>
          <w:spacing w:val="2"/>
          <w:w w:val="105"/>
        </w:rPr>
        <w:t>analiza</w:t>
      </w:r>
      <w:r>
        <w:rPr>
          <w:color w:val="231F20"/>
          <w:spacing w:val="-16"/>
          <w:w w:val="105"/>
        </w:rPr>
        <w:t> </w:t>
      </w:r>
      <w:r>
        <w:rPr>
          <w:color w:val="231F20"/>
          <w:w w:val="105"/>
        </w:rPr>
        <w:t>con</w:t>
      </w:r>
      <w:r>
        <w:rPr>
          <w:color w:val="231F20"/>
          <w:spacing w:val="-16"/>
          <w:w w:val="105"/>
        </w:rPr>
        <w:t> </w:t>
      </w:r>
      <w:r>
        <w:rPr>
          <w:color w:val="231F20"/>
          <w:w w:val="105"/>
        </w:rPr>
        <w:t>mayor</w:t>
      </w:r>
      <w:r>
        <w:rPr>
          <w:color w:val="231F20"/>
          <w:spacing w:val="-16"/>
          <w:w w:val="105"/>
        </w:rPr>
        <w:t> </w:t>
      </w:r>
      <w:r>
        <w:rPr>
          <w:color w:val="231F20"/>
          <w:w w:val="105"/>
        </w:rPr>
        <w:t>detenimiento</w:t>
      </w:r>
      <w:r>
        <w:rPr>
          <w:color w:val="231F20"/>
          <w:spacing w:val="-16"/>
          <w:w w:val="105"/>
        </w:rPr>
        <w:t> </w:t>
      </w:r>
      <w:r>
        <w:rPr>
          <w:color w:val="231F20"/>
          <w:w w:val="105"/>
        </w:rPr>
        <w:t>la</w:t>
      </w:r>
      <w:r>
        <w:rPr>
          <w:color w:val="231F20"/>
          <w:spacing w:val="-16"/>
          <w:w w:val="105"/>
        </w:rPr>
        <w:t> </w:t>
      </w:r>
      <w:r>
        <w:rPr>
          <w:color w:val="231F20"/>
          <w:w w:val="105"/>
        </w:rPr>
        <w:t>importancia</w:t>
      </w:r>
      <w:r>
        <w:rPr>
          <w:color w:val="231F20"/>
          <w:spacing w:val="-16"/>
          <w:w w:val="105"/>
        </w:rPr>
        <w:t> </w:t>
      </w:r>
      <w:r>
        <w:rPr>
          <w:color w:val="231F20"/>
          <w:w w:val="105"/>
        </w:rPr>
        <w:t>del</w:t>
      </w:r>
      <w:r>
        <w:rPr>
          <w:color w:val="231F20"/>
          <w:spacing w:val="-16"/>
          <w:w w:val="105"/>
        </w:rPr>
        <w:t> </w:t>
      </w:r>
      <w:r>
        <w:rPr>
          <w:color w:val="231F20"/>
          <w:spacing w:val="-4"/>
          <w:w w:val="105"/>
        </w:rPr>
        <w:t>“es- </w:t>
      </w:r>
      <w:r>
        <w:rPr>
          <w:color w:val="231F20"/>
          <w:w w:val="105"/>
        </w:rPr>
        <w:t>tilo personal de gobernar” frente a la influencia del partido en el gobierno durante la toma</w:t>
      </w:r>
      <w:r>
        <w:rPr>
          <w:color w:val="231F20"/>
          <w:spacing w:val="-10"/>
          <w:w w:val="105"/>
        </w:rPr>
        <w:t> </w:t>
      </w:r>
      <w:r>
        <w:rPr>
          <w:color w:val="231F20"/>
          <w:w w:val="105"/>
        </w:rPr>
        <w:t>de</w:t>
      </w:r>
      <w:r>
        <w:rPr>
          <w:color w:val="231F20"/>
          <w:spacing w:val="-10"/>
          <w:w w:val="105"/>
        </w:rPr>
        <w:t> </w:t>
      </w:r>
      <w:r>
        <w:rPr>
          <w:color w:val="231F20"/>
          <w:w w:val="105"/>
        </w:rPr>
        <w:t>decisiones</w:t>
      </w:r>
      <w:r>
        <w:rPr>
          <w:color w:val="231F20"/>
          <w:spacing w:val="-10"/>
          <w:w w:val="105"/>
        </w:rPr>
        <w:t> </w:t>
      </w:r>
      <w:r>
        <w:rPr>
          <w:color w:val="231F20"/>
          <w:w w:val="105"/>
        </w:rPr>
        <w:t>del</w:t>
      </w:r>
      <w:r>
        <w:rPr>
          <w:color w:val="231F20"/>
          <w:spacing w:val="-10"/>
          <w:w w:val="105"/>
        </w:rPr>
        <w:t> </w:t>
      </w:r>
      <w:r>
        <w:rPr>
          <w:color w:val="231F20"/>
          <w:w w:val="105"/>
        </w:rPr>
        <w:t>ayuntamiento,</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disposición</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rendición</w:t>
      </w:r>
      <w:r>
        <w:rPr>
          <w:color w:val="231F20"/>
          <w:spacing w:val="-10"/>
          <w:w w:val="105"/>
        </w:rPr>
        <w:t> </w:t>
      </w:r>
      <w:r>
        <w:rPr>
          <w:color w:val="231F20"/>
          <w:w w:val="105"/>
        </w:rPr>
        <w:t>de</w:t>
      </w:r>
      <w:r>
        <w:rPr>
          <w:color w:val="231F20"/>
          <w:spacing w:val="-10"/>
          <w:w w:val="105"/>
        </w:rPr>
        <w:t> </w:t>
      </w:r>
      <w:r>
        <w:rPr>
          <w:color w:val="231F20"/>
          <w:w w:val="105"/>
        </w:rPr>
        <w:t>cuentas en</w:t>
      </w:r>
      <w:r>
        <w:rPr>
          <w:color w:val="231F20"/>
          <w:spacing w:val="-20"/>
          <w:w w:val="105"/>
        </w:rPr>
        <w:t> </w:t>
      </w:r>
      <w:r>
        <w:rPr>
          <w:color w:val="231F20"/>
          <w:w w:val="105"/>
        </w:rPr>
        <w:t>el</w:t>
      </w:r>
      <w:r>
        <w:rPr>
          <w:color w:val="231F20"/>
          <w:spacing w:val="-20"/>
          <w:w w:val="105"/>
        </w:rPr>
        <w:t> </w:t>
      </w:r>
      <w:r>
        <w:rPr>
          <w:color w:val="231F20"/>
          <w:w w:val="105"/>
        </w:rPr>
        <w:t>gobierno</w:t>
      </w:r>
      <w:r>
        <w:rPr>
          <w:color w:val="231F20"/>
          <w:spacing w:val="-20"/>
          <w:w w:val="105"/>
        </w:rPr>
        <w:t> </w:t>
      </w:r>
      <w:r>
        <w:rPr>
          <w:color w:val="231F20"/>
          <w:w w:val="105"/>
        </w:rPr>
        <w:t>municipal</w:t>
      </w:r>
      <w:r>
        <w:rPr>
          <w:color w:val="231F20"/>
          <w:spacing w:val="-20"/>
          <w:w w:val="105"/>
        </w:rPr>
        <w:t> </w:t>
      </w:r>
      <w:r>
        <w:rPr>
          <w:color w:val="231F20"/>
          <w:w w:val="105"/>
        </w:rPr>
        <w:t>del</w:t>
      </w:r>
      <w:r>
        <w:rPr>
          <w:color w:val="231F20"/>
          <w:spacing w:val="-20"/>
          <w:w w:val="105"/>
        </w:rPr>
        <w:t> </w:t>
      </w:r>
      <w:r>
        <w:rPr>
          <w:color w:val="231F20"/>
          <w:w w:val="105"/>
        </w:rPr>
        <w:t>periodo</w:t>
      </w:r>
      <w:r>
        <w:rPr>
          <w:color w:val="231F20"/>
          <w:spacing w:val="-20"/>
          <w:w w:val="105"/>
        </w:rPr>
        <w:t> </w:t>
      </w:r>
      <w:r>
        <w:rPr>
          <w:color w:val="231F20"/>
          <w:w w:val="105"/>
        </w:rPr>
        <w:t>2006-2009.</w:t>
      </w:r>
    </w:p>
    <w:p>
      <w:pPr>
        <w:pStyle w:val="BodyText"/>
        <w:spacing w:before="1"/>
        <w:rPr>
          <w:sz w:val="26"/>
        </w:rPr>
      </w:pPr>
    </w:p>
    <w:p>
      <w:pPr>
        <w:pStyle w:val="BodyText"/>
        <w:spacing w:line="285" w:lineRule="auto"/>
        <w:ind w:left="110" w:right="107"/>
        <w:jc w:val="both"/>
      </w:pPr>
      <w:r>
        <w:rPr>
          <w:color w:val="231F20"/>
          <w:w w:val="105"/>
        </w:rPr>
        <w:t>En el tercer apartado, a manera de conclusión, presento una reflexión sobre los prin- cipales</w:t>
      </w:r>
      <w:r>
        <w:rPr>
          <w:color w:val="231F20"/>
          <w:spacing w:val="-6"/>
          <w:w w:val="105"/>
        </w:rPr>
        <w:t> </w:t>
      </w:r>
      <w:r>
        <w:rPr>
          <w:color w:val="231F20"/>
          <w:w w:val="105"/>
        </w:rPr>
        <w:t>incentivos</w:t>
      </w:r>
      <w:r>
        <w:rPr>
          <w:color w:val="231F20"/>
          <w:spacing w:val="-6"/>
          <w:w w:val="105"/>
        </w:rPr>
        <w:t> </w:t>
      </w:r>
      <w:r>
        <w:rPr>
          <w:color w:val="231F20"/>
          <w:w w:val="105"/>
        </w:rPr>
        <w:t>que</w:t>
      </w:r>
      <w:r>
        <w:rPr>
          <w:color w:val="231F20"/>
          <w:spacing w:val="-6"/>
          <w:w w:val="105"/>
        </w:rPr>
        <w:t> </w:t>
      </w:r>
      <w:r>
        <w:rPr>
          <w:color w:val="231F20"/>
          <w:w w:val="105"/>
        </w:rPr>
        <w:t>están</w:t>
      </w:r>
      <w:r>
        <w:rPr>
          <w:color w:val="231F20"/>
          <w:spacing w:val="-6"/>
          <w:w w:val="105"/>
        </w:rPr>
        <w:t> </w:t>
      </w:r>
      <w:r>
        <w:rPr>
          <w:color w:val="231F20"/>
          <w:w w:val="105"/>
        </w:rPr>
        <w:t>fomentando</w:t>
      </w:r>
      <w:r>
        <w:rPr>
          <w:color w:val="231F20"/>
          <w:spacing w:val="-6"/>
          <w:w w:val="105"/>
        </w:rPr>
        <w:t> </w:t>
      </w:r>
      <w:r>
        <w:rPr>
          <w:color w:val="231F20"/>
          <w:w w:val="105"/>
        </w:rPr>
        <w:t>la</w:t>
      </w:r>
      <w:r>
        <w:rPr>
          <w:color w:val="231F20"/>
          <w:spacing w:val="-6"/>
          <w:w w:val="105"/>
        </w:rPr>
        <w:t> </w:t>
      </w:r>
      <w:r>
        <w:rPr>
          <w:color w:val="231F20"/>
          <w:w w:val="105"/>
        </w:rPr>
        <w:t>centralización</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toma</w:t>
      </w:r>
      <w:r>
        <w:rPr>
          <w:color w:val="231F20"/>
          <w:spacing w:val="-6"/>
          <w:w w:val="105"/>
        </w:rPr>
        <w:t> </w:t>
      </w:r>
      <w:r>
        <w:rPr>
          <w:color w:val="231F20"/>
          <w:w w:val="105"/>
        </w:rPr>
        <w:t>de</w:t>
      </w:r>
      <w:r>
        <w:rPr>
          <w:color w:val="231F20"/>
          <w:spacing w:val="-6"/>
          <w:w w:val="105"/>
        </w:rPr>
        <w:t> </w:t>
      </w:r>
      <w:r>
        <w:rPr>
          <w:color w:val="231F20"/>
          <w:w w:val="105"/>
        </w:rPr>
        <w:t>decisiones</w:t>
      </w:r>
      <w:r>
        <w:rPr>
          <w:color w:val="231F20"/>
          <w:spacing w:val="-6"/>
          <w:w w:val="105"/>
        </w:rPr>
        <w:t> </w:t>
      </w:r>
      <w:r>
        <w:rPr>
          <w:color w:val="231F20"/>
          <w:w w:val="105"/>
        </w:rPr>
        <w:t>del gobierno</w:t>
      </w:r>
      <w:r>
        <w:rPr>
          <w:color w:val="231F20"/>
          <w:spacing w:val="-18"/>
          <w:w w:val="105"/>
        </w:rPr>
        <w:t> </w:t>
      </w:r>
      <w:r>
        <w:rPr>
          <w:color w:val="231F20"/>
          <w:w w:val="105"/>
        </w:rPr>
        <w:t>municipal</w:t>
      </w:r>
      <w:r>
        <w:rPr>
          <w:color w:val="231F20"/>
          <w:spacing w:val="-18"/>
          <w:w w:val="105"/>
        </w:rPr>
        <w:t> </w:t>
      </w:r>
      <w:r>
        <w:rPr>
          <w:color w:val="231F20"/>
          <w:w w:val="105"/>
        </w:rPr>
        <w:t>de</w:t>
      </w:r>
      <w:r>
        <w:rPr>
          <w:color w:val="231F20"/>
          <w:spacing w:val="-18"/>
          <w:w w:val="105"/>
        </w:rPr>
        <w:t> </w:t>
      </w:r>
      <w:r>
        <w:rPr>
          <w:color w:val="231F20"/>
          <w:w w:val="105"/>
        </w:rPr>
        <w:t>Huixquilucan.</w:t>
      </w:r>
      <w:r>
        <w:rPr>
          <w:color w:val="231F20"/>
          <w:spacing w:val="-18"/>
          <w:w w:val="105"/>
        </w:rPr>
        <w:t> </w:t>
      </w:r>
      <w:r>
        <w:rPr>
          <w:color w:val="231F20"/>
          <w:w w:val="105"/>
        </w:rPr>
        <w:t>Aquí</w:t>
      </w:r>
      <w:r>
        <w:rPr>
          <w:color w:val="231F20"/>
          <w:spacing w:val="-18"/>
          <w:w w:val="105"/>
        </w:rPr>
        <w:t> </w:t>
      </w:r>
      <w:r>
        <w:rPr>
          <w:color w:val="231F20"/>
          <w:w w:val="105"/>
        </w:rPr>
        <w:t>se</w:t>
      </w:r>
      <w:r>
        <w:rPr>
          <w:color w:val="231F20"/>
          <w:spacing w:val="-18"/>
          <w:w w:val="105"/>
        </w:rPr>
        <w:t> </w:t>
      </w:r>
      <w:r>
        <w:rPr>
          <w:color w:val="231F20"/>
          <w:w w:val="105"/>
        </w:rPr>
        <w:t>desea</w:t>
      </w:r>
      <w:r>
        <w:rPr>
          <w:color w:val="231F20"/>
          <w:spacing w:val="-18"/>
          <w:w w:val="105"/>
        </w:rPr>
        <w:t> </w:t>
      </w:r>
      <w:r>
        <w:rPr>
          <w:color w:val="231F20"/>
          <w:w w:val="105"/>
        </w:rPr>
        <w:t>identificar</w:t>
      </w:r>
      <w:r>
        <w:rPr>
          <w:color w:val="231F20"/>
          <w:spacing w:val="-18"/>
          <w:w w:val="105"/>
        </w:rPr>
        <w:t> </w:t>
      </w:r>
      <w:r>
        <w:rPr>
          <w:color w:val="231F20"/>
          <w:w w:val="105"/>
        </w:rPr>
        <w:t>la</w:t>
      </w:r>
      <w:r>
        <w:rPr>
          <w:color w:val="231F20"/>
          <w:spacing w:val="-18"/>
          <w:w w:val="105"/>
        </w:rPr>
        <w:t> </w:t>
      </w:r>
      <w:r>
        <w:rPr>
          <w:color w:val="231F20"/>
          <w:w w:val="105"/>
        </w:rPr>
        <w:t>interacción</w:t>
      </w:r>
      <w:r>
        <w:rPr>
          <w:color w:val="231F20"/>
          <w:spacing w:val="-18"/>
          <w:w w:val="105"/>
        </w:rPr>
        <w:t> </w:t>
      </w:r>
      <w:r>
        <w:rPr>
          <w:color w:val="231F20"/>
          <w:w w:val="105"/>
        </w:rPr>
        <w:t>dentro</w:t>
      </w:r>
      <w:r>
        <w:rPr>
          <w:color w:val="231F20"/>
          <w:spacing w:val="-18"/>
          <w:w w:val="105"/>
        </w:rPr>
        <w:t> </w:t>
      </w:r>
      <w:r>
        <w:rPr>
          <w:color w:val="231F20"/>
          <w:w w:val="105"/>
        </w:rPr>
        <w:t>del gobierno</w:t>
      </w:r>
      <w:r>
        <w:rPr>
          <w:color w:val="231F20"/>
          <w:spacing w:val="-22"/>
          <w:w w:val="105"/>
        </w:rPr>
        <w:t> </w:t>
      </w:r>
      <w:r>
        <w:rPr>
          <w:color w:val="231F20"/>
          <w:w w:val="105"/>
        </w:rPr>
        <w:t>municipal</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toma</w:t>
      </w:r>
      <w:r>
        <w:rPr>
          <w:color w:val="231F20"/>
          <w:spacing w:val="-22"/>
          <w:w w:val="105"/>
        </w:rPr>
        <w:t> </w:t>
      </w:r>
      <w:r>
        <w:rPr>
          <w:color w:val="231F20"/>
          <w:w w:val="105"/>
        </w:rPr>
        <w:t>de</w:t>
      </w:r>
      <w:r>
        <w:rPr>
          <w:color w:val="231F20"/>
          <w:spacing w:val="-22"/>
          <w:w w:val="105"/>
        </w:rPr>
        <w:t> </w:t>
      </w:r>
      <w:r>
        <w:rPr>
          <w:color w:val="231F20"/>
          <w:w w:val="105"/>
        </w:rPr>
        <w:t>decisiones,</w:t>
      </w:r>
      <w:r>
        <w:rPr>
          <w:color w:val="231F20"/>
          <w:spacing w:val="-22"/>
          <w:w w:val="105"/>
        </w:rPr>
        <w:t> </w:t>
      </w:r>
      <w:r>
        <w:rPr>
          <w:color w:val="231F20"/>
          <w:w w:val="105"/>
        </w:rPr>
        <w:t>así</w:t>
      </w:r>
      <w:r>
        <w:rPr>
          <w:color w:val="231F20"/>
          <w:spacing w:val="-22"/>
          <w:w w:val="105"/>
        </w:rPr>
        <w:t> </w:t>
      </w:r>
      <w:r>
        <w:rPr>
          <w:color w:val="231F20"/>
          <w:w w:val="105"/>
        </w:rPr>
        <w:t>como</w:t>
      </w:r>
      <w:r>
        <w:rPr>
          <w:color w:val="231F20"/>
          <w:spacing w:val="-22"/>
          <w:w w:val="105"/>
        </w:rPr>
        <w:t> </w:t>
      </w:r>
      <w:r>
        <w:rPr>
          <w:color w:val="231F20"/>
          <w:spacing w:val="2"/>
          <w:w w:val="105"/>
        </w:rPr>
        <w:t>al</w:t>
      </w:r>
      <w:r>
        <w:rPr>
          <w:color w:val="231F20"/>
          <w:spacing w:val="-22"/>
          <w:w w:val="105"/>
        </w:rPr>
        <w:t> </w:t>
      </w:r>
      <w:r>
        <w:rPr>
          <w:color w:val="231F20"/>
          <w:w w:val="105"/>
        </w:rPr>
        <w:t>“público”</w:t>
      </w:r>
      <w:r>
        <w:rPr>
          <w:color w:val="231F20"/>
          <w:spacing w:val="-22"/>
          <w:w w:val="105"/>
        </w:rPr>
        <w:t> </w:t>
      </w:r>
      <w:r>
        <w:rPr>
          <w:color w:val="231F20"/>
          <w:spacing w:val="2"/>
          <w:w w:val="105"/>
        </w:rPr>
        <w:t>al</w:t>
      </w:r>
      <w:r>
        <w:rPr>
          <w:color w:val="231F20"/>
          <w:spacing w:val="-22"/>
          <w:w w:val="105"/>
        </w:rPr>
        <w:t> </w:t>
      </w:r>
      <w:r>
        <w:rPr>
          <w:color w:val="231F20"/>
          <w:w w:val="105"/>
        </w:rPr>
        <w:t>que</w:t>
      </w:r>
      <w:r>
        <w:rPr>
          <w:color w:val="231F20"/>
          <w:spacing w:val="-22"/>
          <w:w w:val="105"/>
        </w:rPr>
        <w:t> </w:t>
      </w:r>
      <w:r>
        <w:rPr>
          <w:color w:val="231F20"/>
          <w:w w:val="105"/>
        </w:rPr>
        <w:t>éstas</w:t>
      </w:r>
      <w:r>
        <w:rPr>
          <w:color w:val="231F20"/>
          <w:spacing w:val="-22"/>
          <w:w w:val="105"/>
        </w:rPr>
        <w:t> </w:t>
      </w:r>
      <w:r>
        <w:rPr>
          <w:color w:val="231F20"/>
          <w:w w:val="105"/>
        </w:rPr>
        <w:t>se</w:t>
      </w:r>
      <w:r>
        <w:rPr>
          <w:color w:val="231F20"/>
          <w:spacing w:val="-22"/>
          <w:w w:val="105"/>
        </w:rPr>
        <w:t> </w:t>
      </w:r>
      <w:r>
        <w:rPr>
          <w:color w:val="231F20"/>
          <w:w w:val="105"/>
        </w:rPr>
        <w:t>orien- tan.</w:t>
      </w:r>
      <w:r>
        <w:rPr>
          <w:color w:val="231F20"/>
          <w:spacing w:val="-8"/>
          <w:w w:val="105"/>
        </w:rPr>
        <w:t> </w:t>
      </w:r>
      <w:r>
        <w:rPr>
          <w:color w:val="231F20"/>
          <w:w w:val="105"/>
        </w:rPr>
        <w:t>Con</w:t>
      </w:r>
      <w:r>
        <w:rPr>
          <w:color w:val="231F20"/>
          <w:spacing w:val="-8"/>
          <w:w w:val="105"/>
        </w:rPr>
        <w:t> </w:t>
      </w:r>
      <w:r>
        <w:rPr>
          <w:color w:val="231F20"/>
          <w:w w:val="105"/>
        </w:rPr>
        <w:t>ello</w:t>
      </w:r>
      <w:r>
        <w:rPr>
          <w:color w:val="231F20"/>
          <w:spacing w:val="-8"/>
          <w:w w:val="105"/>
        </w:rPr>
        <w:t> </w:t>
      </w:r>
      <w:r>
        <w:rPr>
          <w:color w:val="231F20"/>
          <w:w w:val="105"/>
        </w:rPr>
        <w:t>se</w:t>
      </w:r>
      <w:r>
        <w:rPr>
          <w:color w:val="231F20"/>
          <w:spacing w:val="-8"/>
          <w:w w:val="105"/>
        </w:rPr>
        <w:t> </w:t>
      </w:r>
      <w:r>
        <w:rPr>
          <w:color w:val="231F20"/>
          <w:w w:val="105"/>
        </w:rPr>
        <w:t>pretende</w:t>
      </w:r>
      <w:r>
        <w:rPr>
          <w:color w:val="231F20"/>
          <w:spacing w:val="-8"/>
          <w:w w:val="105"/>
        </w:rPr>
        <w:t> </w:t>
      </w:r>
      <w:r>
        <w:rPr>
          <w:color w:val="231F20"/>
          <w:w w:val="105"/>
        </w:rPr>
        <w:t>reflexionar</w:t>
      </w:r>
      <w:r>
        <w:rPr>
          <w:color w:val="231F20"/>
          <w:spacing w:val="-8"/>
          <w:w w:val="105"/>
        </w:rPr>
        <w:t> </w:t>
      </w:r>
      <w:r>
        <w:rPr>
          <w:color w:val="231F20"/>
          <w:w w:val="105"/>
        </w:rPr>
        <w:t>sobre</w:t>
      </w:r>
      <w:r>
        <w:rPr>
          <w:color w:val="231F20"/>
          <w:spacing w:val="-8"/>
          <w:w w:val="105"/>
        </w:rPr>
        <w:t> </w:t>
      </w:r>
      <w:r>
        <w:rPr>
          <w:color w:val="231F20"/>
          <w:w w:val="105"/>
        </w:rPr>
        <w:t>la</w:t>
      </w:r>
      <w:r>
        <w:rPr>
          <w:color w:val="231F20"/>
          <w:spacing w:val="-8"/>
          <w:w w:val="105"/>
        </w:rPr>
        <w:t> </w:t>
      </w:r>
      <w:r>
        <w:rPr>
          <w:color w:val="231F20"/>
          <w:w w:val="105"/>
        </w:rPr>
        <w:t>pertinencia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criterios</w:t>
      </w:r>
      <w:r>
        <w:rPr>
          <w:color w:val="231F20"/>
          <w:spacing w:val="-8"/>
          <w:w w:val="105"/>
        </w:rPr>
        <w:t> </w:t>
      </w:r>
      <w:r>
        <w:rPr>
          <w:color w:val="231F20"/>
          <w:w w:val="105"/>
        </w:rPr>
        <w:t>y</w:t>
      </w:r>
      <w:r>
        <w:rPr>
          <w:color w:val="231F20"/>
          <w:spacing w:val="-8"/>
          <w:w w:val="105"/>
        </w:rPr>
        <w:t> </w:t>
      </w:r>
      <w:r>
        <w:rPr>
          <w:color w:val="231F20"/>
          <w:w w:val="105"/>
        </w:rPr>
        <w:t>formas</w:t>
      </w:r>
      <w:r>
        <w:rPr>
          <w:color w:val="231F20"/>
          <w:spacing w:val="-8"/>
          <w:w w:val="105"/>
        </w:rPr>
        <w:t> </w:t>
      </w:r>
      <w:r>
        <w:rPr>
          <w:color w:val="231F20"/>
          <w:w w:val="105"/>
        </w:rPr>
        <w:t>de</w:t>
      </w:r>
      <w:r>
        <w:rPr>
          <w:color w:val="231F20"/>
          <w:spacing w:val="-8"/>
          <w:w w:val="105"/>
        </w:rPr>
        <w:t> </w:t>
      </w:r>
      <w:r>
        <w:rPr>
          <w:color w:val="231F20"/>
          <w:w w:val="105"/>
        </w:rPr>
        <w:t>la toma</w:t>
      </w:r>
      <w:r>
        <w:rPr>
          <w:color w:val="231F20"/>
          <w:spacing w:val="-12"/>
          <w:w w:val="105"/>
        </w:rPr>
        <w:t> </w:t>
      </w:r>
      <w:r>
        <w:rPr>
          <w:color w:val="231F20"/>
          <w:w w:val="105"/>
        </w:rPr>
        <w:t>de</w:t>
      </w:r>
      <w:r>
        <w:rPr>
          <w:color w:val="231F20"/>
          <w:spacing w:val="-12"/>
          <w:w w:val="105"/>
        </w:rPr>
        <w:t> </w:t>
      </w:r>
      <w:r>
        <w:rPr>
          <w:color w:val="231F20"/>
          <w:w w:val="105"/>
        </w:rPr>
        <w:t>decisiones</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para</w:t>
      </w:r>
      <w:r>
        <w:rPr>
          <w:color w:val="231F20"/>
          <w:spacing w:val="-12"/>
          <w:w w:val="105"/>
        </w:rPr>
        <w:t> </w:t>
      </w:r>
      <w:r>
        <w:rPr>
          <w:color w:val="231F20"/>
          <w:w w:val="105"/>
        </w:rPr>
        <w:t>fomentar</w:t>
      </w:r>
      <w:r>
        <w:rPr>
          <w:color w:val="231F20"/>
          <w:spacing w:val="-12"/>
          <w:w w:val="105"/>
        </w:rPr>
        <w:t> </w:t>
      </w:r>
      <w:r>
        <w:rPr>
          <w:color w:val="231F20"/>
          <w:w w:val="105"/>
        </w:rPr>
        <w:t>el</w:t>
      </w:r>
      <w:r>
        <w:rPr>
          <w:color w:val="231F20"/>
          <w:spacing w:val="-12"/>
          <w:w w:val="105"/>
        </w:rPr>
        <w:t> </w:t>
      </w:r>
      <w:r>
        <w:rPr>
          <w:color w:val="231F20"/>
          <w:w w:val="105"/>
        </w:rPr>
        <w:t>desarrollo</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habitantes.</w:t>
      </w:r>
    </w:p>
    <w:p>
      <w:pPr>
        <w:pStyle w:val="BodyText"/>
        <w:spacing w:before="9"/>
      </w:pPr>
    </w:p>
    <w:p>
      <w:pPr>
        <w:pStyle w:val="Heading3"/>
        <w:numPr>
          <w:ilvl w:val="0"/>
          <w:numId w:val="2"/>
        </w:numPr>
        <w:tabs>
          <w:tab w:pos="336" w:val="left" w:leader="none"/>
        </w:tabs>
        <w:spacing w:line="240" w:lineRule="auto" w:before="0" w:after="0"/>
        <w:ind w:left="110" w:right="0" w:firstLine="0"/>
        <w:jc w:val="both"/>
      </w:pPr>
      <w:r>
        <w:rPr>
          <w:color w:val="231F20"/>
          <w:w w:val="105"/>
        </w:rPr>
        <w:t>Panorama</w:t>
      </w:r>
      <w:r>
        <w:rPr>
          <w:color w:val="231F20"/>
          <w:spacing w:val="-24"/>
          <w:w w:val="105"/>
        </w:rPr>
        <w:t> </w:t>
      </w:r>
      <w:r>
        <w:rPr>
          <w:color w:val="231F20"/>
          <w:w w:val="105"/>
        </w:rPr>
        <w:t>socioeconómico</w:t>
      </w:r>
      <w:r>
        <w:rPr>
          <w:color w:val="231F20"/>
          <w:spacing w:val="-24"/>
          <w:w w:val="105"/>
        </w:rPr>
        <w:t> </w:t>
      </w:r>
      <w:r>
        <w:rPr>
          <w:color w:val="231F20"/>
          <w:w w:val="105"/>
        </w:rPr>
        <w:t>de</w:t>
      </w:r>
      <w:r>
        <w:rPr>
          <w:color w:val="231F20"/>
          <w:spacing w:val="-24"/>
          <w:w w:val="105"/>
        </w:rPr>
        <w:t> </w:t>
      </w:r>
      <w:r>
        <w:rPr>
          <w:color w:val="231F20"/>
          <w:w w:val="105"/>
        </w:rPr>
        <w:t>Huixquilucan</w:t>
      </w:r>
    </w:p>
    <w:p>
      <w:pPr>
        <w:pStyle w:val="BodyText"/>
        <w:spacing w:line="285" w:lineRule="auto" w:before="38"/>
        <w:ind w:left="110" w:right="107"/>
        <w:jc w:val="both"/>
      </w:pPr>
      <w:r>
        <w:rPr>
          <w:color w:val="231F20"/>
          <w:w w:val="105"/>
        </w:rPr>
        <w:t>Huixquilucan es uno de los catorce municipios mexiquenses que colindan con el Dis- trito Federal</w:t>
      </w:r>
      <w:r>
        <w:rPr>
          <w:color w:val="231F20"/>
          <w:w w:val="105"/>
          <w:position w:val="7"/>
          <w:sz w:val="13"/>
        </w:rPr>
        <w:t>4</w:t>
      </w:r>
      <w:r>
        <w:rPr>
          <w:color w:val="231F20"/>
          <w:w w:val="105"/>
        </w:rPr>
        <w:t>. Estos territorios tienen gran importancia </w:t>
      </w:r>
      <w:r>
        <w:rPr>
          <w:color w:val="231F20"/>
          <w:spacing w:val="2"/>
          <w:w w:val="105"/>
        </w:rPr>
        <w:t>al </w:t>
      </w:r>
      <w:r>
        <w:rPr>
          <w:color w:val="231F20"/>
          <w:w w:val="105"/>
        </w:rPr>
        <w:t>interior de la entidad puesto que</w:t>
      </w:r>
      <w:r>
        <w:rPr>
          <w:color w:val="231F20"/>
          <w:spacing w:val="-16"/>
          <w:w w:val="105"/>
        </w:rPr>
        <w:t> </w:t>
      </w:r>
      <w:r>
        <w:rPr>
          <w:color w:val="231F20"/>
          <w:w w:val="105"/>
        </w:rPr>
        <w:t>en</w:t>
      </w:r>
      <w:r>
        <w:rPr>
          <w:color w:val="231F20"/>
          <w:spacing w:val="-16"/>
          <w:w w:val="105"/>
        </w:rPr>
        <w:t> </w:t>
      </w:r>
      <w:r>
        <w:rPr>
          <w:color w:val="231F20"/>
          <w:w w:val="105"/>
        </w:rPr>
        <w:t>ellos</w:t>
      </w:r>
      <w:r>
        <w:rPr>
          <w:color w:val="231F20"/>
          <w:spacing w:val="-16"/>
          <w:w w:val="105"/>
        </w:rPr>
        <w:t> </w:t>
      </w:r>
      <w:r>
        <w:rPr>
          <w:color w:val="231F20"/>
          <w:w w:val="105"/>
        </w:rPr>
        <w:t>radica</w:t>
      </w:r>
      <w:r>
        <w:rPr>
          <w:color w:val="231F20"/>
          <w:spacing w:val="-16"/>
          <w:w w:val="105"/>
        </w:rPr>
        <w:t> </w:t>
      </w:r>
      <w:r>
        <w:rPr>
          <w:color w:val="231F20"/>
          <w:w w:val="105"/>
        </w:rPr>
        <w:t>un</w:t>
      </w:r>
      <w:r>
        <w:rPr>
          <w:color w:val="231F20"/>
          <w:spacing w:val="-16"/>
          <w:w w:val="105"/>
        </w:rPr>
        <w:t> </w:t>
      </w:r>
      <w:r>
        <w:rPr>
          <w:color w:val="231F20"/>
          <w:w w:val="105"/>
        </w:rPr>
        <w:t>poco</w:t>
      </w:r>
      <w:r>
        <w:rPr>
          <w:color w:val="231F20"/>
          <w:spacing w:val="-16"/>
          <w:w w:val="105"/>
        </w:rPr>
        <w:t> </w:t>
      </w:r>
      <w:r>
        <w:rPr>
          <w:color w:val="231F20"/>
          <w:w w:val="105"/>
        </w:rPr>
        <w:t>más</w:t>
      </w:r>
      <w:r>
        <w:rPr>
          <w:color w:val="231F20"/>
          <w:spacing w:val="-16"/>
          <w:w w:val="105"/>
        </w:rPr>
        <w:t> </w:t>
      </w:r>
      <w:r>
        <w:rPr>
          <w:color w:val="231F20"/>
          <w:w w:val="105"/>
        </w:rPr>
        <w:t>del</w:t>
      </w:r>
      <w:r>
        <w:rPr>
          <w:color w:val="231F20"/>
          <w:spacing w:val="-16"/>
          <w:w w:val="105"/>
        </w:rPr>
        <w:t> </w:t>
      </w:r>
      <w:r>
        <w:rPr>
          <w:color w:val="231F20"/>
          <w:w w:val="105"/>
        </w:rPr>
        <w:t>49%</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mexiquense,</w:t>
      </w:r>
      <w:r>
        <w:rPr>
          <w:color w:val="231F20"/>
          <w:spacing w:val="-16"/>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también se</w:t>
      </w:r>
      <w:r>
        <w:rPr>
          <w:color w:val="231F20"/>
          <w:spacing w:val="-14"/>
          <w:w w:val="105"/>
        </w:rPr>
        <w:t> </w:t>
      </w:r>
      <w:r>
        <w:rPr>
          <w:color w:val="231F20"/>
          <w:w w:val="105"/>
        </w:rPr>
        <w:t>concentra</w:t>
      </w:r>
      <w:r>
        <w:rPr>
          <w:color w:val="231F20"/>
          <w:spacing w:val="-14"/>
          <w:w w:val="105"/>
        </w:rPr>
        <w:t> </w:t>
      </w:r>
      <w:r>
        <w:rPr>
          <w:color w:val="231F20"/>
          <w:w w:val="105"/>
        </w:rPr>
        <w:t>más</w:t>
      </w:r>
      <w:r>
        <w:rPr>
          <w:color w:val="231F20"/>
          <w:spacing w:val="-14"/>
          <w:w w:val="105"/>
        </w:rPr>
        <w:t> </w:t>
      </w:r>
      <w:r>
        <w:rPr>
          <w:color w:val="231F20"/>
          <w:w w:val="105"/>
        </w:rPr>
        <w:t>del</w:t>
      </w:r>
      <w:r>
        <w:rPr>
          <w:color w:val="231F20"/>
          <w:spacing w:val="-14"/>
          <w:w w:val="105"/>
        </w:rPr>
        <w:t> </w:t>
      </w:r>
      <w:r>
        <w:rPr>
          <w:color w:val="231F20"/>
          <w:w w:val="105"/>
        </w:rPr>
        <w:t>50%</w:t>
      </w:r>
      <w:r>
        <w:rPr>
          <w:color w:val="231F20"/>
          <w:spacing w:val="-14"/>
          <w:w w:val="105"/>
        </w:rPr>
        <w:t> </w:t>
      </w:r>
      <w:r>
        <w:rPr>
          <w:color w:val="231F20"/>
          <w:w w:val="105"/>
        </w:rPr>
        <w:t>del</w:t>
      </w:r>
      <w:r>
        <w:rPr>
          <w:color w:val="231F20"/>
          <w:spacing w:val="-14"/>
          <w:w w:val="105"/>
        </w:rPr>
        <w:t> </w:t>
      </w:r>
      <w:r>
        <w:rPr>
          <w:color w:val="231F20"/>
          <w:w w:val="105"/>
        </w:rPr>
        <w:t>padrón</w:t>
      </w:r>
      <w:r>
        <w:rPr>
          <w:color w:val="231F20"/>
          <w:spacing w:val="-14"/>
          <w:w w:val="105"/>
        </w:rPr>
        <w:t> </w:t>
      </w:r>
      <w:r>
        <w:rPr>
          <w:color w:val="231F20"/>
          <w:w w:val="105"/>
        </w:rPr>
        <w:t>electoral</w:t>
      </w:r>
      <w:r>
        <w:rPr>
          <w:color w:val="231F20"/>
          <w:spacing w:val="-14"/>
          <w:w w:val="105"/>
        </w:rPr>
        <w:t> </w:t>
      </w:r>
      <w:r>
        <w:rPr>
          <w:color w:val="231F20"/>
          <w:w w:val="105"/>
        </w:rPr>
        <w:t>estatal.</w:t>
      </w:r>
    </w:p>
    <w:p>
      <w:pPr>
        <w:pStyle w:val="BodyText"/>
        <w:spacing w:before="3"/>
      </w:pPr>
      <w:r>
        <w:rPr/>
        <w:pict>
          <v:line style="position:absolute;mso-position-horizontal-relative:page;mso-position-vertical-relative:paragraph;z-index:1984;mso-wrap-distance-left:0;mso-wrap-distance-right:0" from="42.519699pt,15.297885pt" to="114.519699pt,15.297885pt" stroked="true" strokeweight="1pt" strokecolor="#231f20">
            <w10:wrap type="topAndBottom"/>
          </v:line>
        </w:pict>
      </w:r>
    </w:p>
    <w:p>
      <w:pPr>
        <w:pStyle w:val="ListParagraph"/>
        <w:numPr>
          <w:ilvl w:val="0"/>
          <w:numId w:val="1"/>
        </w:numPr>
        <w:tabs>
          <w:tab w:pos="219" w:val="left" w:leader="none"/>
        </w:tabs>
        <w:spacing w:line="244" w:lineRule="auto" w:before="8" w:after="0"/>
        <w:ind w:left="110" w:right="108" w:firstLine="0"/>
        <w:jc w:val="both"/>
        <w:rPr>
          <w:sz w:val="16"/>
        </w:rPr>
      </w:pPr>
      <w:r>
        <w:rPr>
          <w:color w:val="231F20"/>
          <w:sz w:val="16"/>
        </w:rPr>
        <w:t>Son</w:t>
      </w:r>
      <w:r>
        <w:rPr>
          <w:color w:val="231F20"/>
          <w:spacing w:val="-14"/>
          <w:sz w:val="16"/>
        </w:rPr>
        <w:t> </w:t>
      </w:r>
      <w:r>
        <w:rPr>
          <w:color w:val="231F20"/>
          <w:sz w:val="16"/>
        </w:rPr>
        <w:t>catorce</w:t>
      </w:r>
      <w:r>
        <w:rPr>
          <w:color w:val="231F20"/>
          <w:spacing w:val="-14"/>
          <w:sz w:val="16"/>
        </w:rPr>
        <w:t> </w:t>
      </w:r>
      <w:r>
        <w:rPr>
          <w:color w:val="231F20"/>
          <w:sz w:val="16"/>
        </w:rPr>
        <w:t>los</w:t>
      </w:r>
      <w:r>
        <w:rPr>
          <w:color w:val="231F20"/>
          <w:spacing w:val="-14"/>
          <w:sz w:val="16"/>
        </w:rPr>
        <w:t> </w:t>
      </w:r>
      <w:r>
        <w:rPr>
          <w:color w:val="231F20"/>
          <w:sz w:val="16"/>
        </w:rPr>
        <w:t>municipios</w:t>
      </w:r>
      <w:r>
        <w:rPr>
          <w:color w:val="231F20"/>
          <w:spacing w:val="-14"/>
          <w:sz w:val="16"/>
        </w:rPr>
        <w:t> </w:t>
      </w:r>
      <w:r>
        <w:rPr>
          <w:color w:val="231F20"/>
          <w:sz w:val="16"/>
        </w:rPr>
        <w:t>mexiquenses</w:t>
      </w:r>
      <w:r>
        <w:rPr>
          <w:color w:val="231F20"/>
          <w:spacing w:val="-15"/>
          <w:sz w:val="16"/>
        </w:rPr>
        <w:t> </w:t>
      </w:r>
      <w:r>
        <w:rPr>
          <w:color w:val="231F20"/>
          <w:sz w:val="16"/>
        </w:rPr>
        <w:t>colindantes</w:t>
      </w:r>
      <w:r>
        <w:rPr>
          <w:color w:val="231F20"/>
          <w:spacing w:val="-15"/>
          <w:sz w:val="16"/>
        </w:rPr>
        <w:t> </w:t>
      </w:r>
      <w:r>
        <w:rPr>
          <w:color w:val="231F20"/>
          <w:sz w:val="16"/>
        </w:rPr>
        <w:t>con</w:t>
      </w:r>
      <w:r>
        <w:rPr>
          <w:color w:val="231F20"/>
          <w:spacing w:val="-14"/>
          <w:sz w:val="16"/>
        </w:rPr>
        <w:t> </w:t>
      </w:r>
      <w:r>
        <w:rPr>
          <w:color w:val="231F20"/>
          <w:sz w:val="16"/>
        </w:rPr>
        <w:t>el</w:t>
      </w:r>
      <w:r>
        <w:rPr>
          <w:color w:val="231F20"/>
          <w:spacing w:val="-14"/>
          <w:sz w:val="16"/>
        </w:rPr>
        <w:t> </w:t>
      </w:r>
      <w:r>
        <w:rPr>
          <w:color w:val="231F20"/>
          <w:sz w:val="16"/>
        </w:rPr>
        <w:t>Distrito</w:t>
      </w:r>
      <w:r>
        <w:rPr>
          <w:color w:val="231F20"/>
          <w:spacing w:val="-14"/>
          <w:sz w:val="16"/>
        </w:rPr>
        <w:t> </w:t>
      </w:r>
      <w:r>
        <w:rPr>
          <w:color w:val="231F20"/>
          <w:sz w:val="16"/>
        </w:rPr>
        <w:t>Federal,</w:t>
      </w:r>
      <w:r>
        <w:rPr>
          <w:color w:val="231F20"/>
          <w:spacing w:val="-14"/>
          <w:sz w:val="16"/>
        </w:rPr>
        <w:t> </w:t>
      </w:r>
      <w:r>
        <w:rPr>
          <w:color w:val="231F20"/>
          <w:sz w:val="16"/>
        </w:rPr>
        <w:t>estos</w:t>
      </w:r>
      <w:r>
        <w:rPr>
          <w:color w:val="231F20"/>
          <w:spacing w:val="-14"/>
          <w:sz w:val="16"/>
        </w:rPr>
        <w:t> </w:t>
      </w:r>
      <w:r>
        <w:rPr>
          <w:color w:val="231F20"/>
          <w:sz w:val="16"/>
        </w:rPr>
        <w:t>son:</w:t>
      </w:r>
      <w:r>
        <w:rPr>
          <w:color w:val="231F20"/>
          <w:spacing w:val="-15"/>
          <w:sz w:val="16"/>
        </w:rPr>
        <w:t> </w:t>
      </w:r>
      <w:r>
        <w:rPr>
          <w:color w:val="231F20"/>
          <w:sz w:val="16"/>
        </w:rPr>
        <w:t>Chalco,</w:t>
      </w:r>
      <w:r>
        <w:rPr>
          <w:color w:val="231F20"/>
          <w:spacing w:val="-14"/>
          <w:sz w:val="16"/>
        </w:rPr>
        <w:t> </w:t>
      </w:r>
      <w:r>
        <w:rPr>
          <w:color w:val="231F20"/>
          <w:sz w:val="16"/>
        </w:rPr>
        <w:t>Coacalco,</w:t>
      </w:r>
      <w:r>
        <w:rPr>
          <w:color w:val="231F20"/>
          <w:spacing w:val="-14"/>
          <w:sz w:val="16"/>
        </w:rPr>
        <w:t> </w:t>
      </w:r>
      <w:r>
        <w:rPr>
          <w:color w:val="231F20"/>
          <w:sz w:val="16"/>
        </w:rPr>
        <w:t>Ecatepec,</w:t>
      </w:r>
      <w:r>
        <w:rPr>
          <w:color w:val="231F20"/>
          <w:spacing w:val="-15"/>
          <w:sz w:val="16"/>
        </w:rPr>
        <w:t> </w:t>
      </w:r>
      <w:r>
        <w:rPr>
          <w:color w:val="231F20"/>
          <w:sz w:val="16"/>
        </w:rPr>
        <w:t>Huixqui- lucan,</w:t>
      </w:r>
      <w:r>
        <w:rPr>
          <w:color w:val="231F20"/>
          <w:spacing w:val="-15"/>
          <w:sz w:val="16"/>
        </w:rPr>
        <w:t> </w:t>
      </w:r>
      <w:r>
        <w:rPr>
          <w:color w:val="231F20"/>
          <w:sz w:val="16"/>
        </w:rPr>
        <w:t>Ixtapaluca,</w:t>
      </w:r>
      <w:r>
        <w:rPr>
          <w:color w:val="231F20"/>
          <w:spacing w:val="-15"/>
          <w:sz w:val="16"/>
        </w:rPr>
        <w:t> </w:t>
      </w:r>
      <w:r>
        <w:rPr>
          <w:color w:val="231F20"/>
          <w:sz w:val="16"/>
        </w:rPr>
        <w:t>Juchitepec,</w:t>
      </w:r>
      <w:r>
        <w:rPr>
          <w:color w:val="231F20"/>
          <w:spacing w:val="-15"/>
          <w:sz w:val="16"/>
        </w:rPr>
        <w:t> </w:t>
      </w:r>
      <w:r>
        <w:rPr>
          <w:color w:val="231F20"/>
          <w:sz w:val="16"/>
        </w:rPr>
        <w:t>Naucalpan,</w:t>
      </w:r>
      <w:r>
        <w:rPr>
          <w:color w:val="231F20"/>
          <w:spacing w:val="-15"/>
          <w:sz w:val="16"/>
        </w:rPr>
        <w:t> </w:t>
      </w:r>
      <w:r>
        <w:rPr>
          <w:color w:val="231F20"/>
          <w:sz w:val="16"/>
        </w:rPr>
        <w:t>Nezahualcóyotl,</w:t>
      </w:r>
      <w:r>
        <w:rPr>
          <w:color w:val="231F20"/>
          <w:spacing w:val="-15"/>
          <w:sz w:val="16"/>
        </w:rPr>
        <w:t> </w:t>
      </w:r>
      <w:r>
        <w:rPr>
          <w:color w:val="231F20"/>
          <w:sz w:val="16"/>
        </w:rPr>
        <w:t>Ocoyoacac,</w:t>
      </w:r>
      <w:r>
        <w:rPr>
          <w:color w:val="231F20"/>
          <w:spacing w:val="-15"/>
          <w:sz w:val="16"/>
        </w:rPr>
        <w:t> </w:t>
      </w:r>
      <w:r>
        <w:rPr>
          <w:color w:val="231F20"/>
          <w:sz w:val="16"/>
        </w:rPr>
        <w:t>La</w:t>
      </w:r>
      <w:r>
        <w:rPr>
          <w:color w:val="231F20"/>
          <w:spacing w:val="-15"/>
          <w:sz w:val="16"/>
        </w:rPr>
        <w:t> </w:t>
      </w:r>
      <w:r>
        <w:rPr>
          <w:color w:val="231F20"/>
          <w:sz w:val="16"/>
        </w:rPr>
        <w:t>Paz,</w:t>
      </w:r>
      <w:r>
        <w:rPr>
          <w:color w:val="231F20"/>
          <w:spacing w:val="-15"/>
          <w:sz w:val="16"/>
        </w:rPr>
        <w:t> </w:t>
      </w:r>
      <w:r>
        <w:rPr>
          <w:color w:val="231F20"/>
          <w:sz w:val="16"/>
        </w:rPr>
        <w:t>Tlalnepantla,</w:t>
      </w:r>
      <w:r>
        <w:rPr>
          <w:color w:val="231F20"/>
          <w:spacing w:val="-15"/>
          <w:sz w:val="16"/>
        </w:rPr>
        <w:t> </w:t>
      </w:r>
      <w:r>
        <w:rPr>
          <w:color w:val="231F20"/>
          <w:sz w:val="16"/>
        </w:rPr>
        <w:t>Tultitlán,</w:t>
      </w:r>
      <w:r>
        <w:rPr>
          <w:color w:val="231F20"/>
          <w:spacing w:val="-15"/>
          <w:sz w:val="16"/>
        </w:rPr>
        <w:t> </w:t>
      </w:r>
      <w:r>
        <w:rPr>
          <w:color w:val="231F20"/>
          <w:sz w:val="16"/>
        </w:rPr>
        <w:t>Valle</w:t>
      </w:r>
      <w:r>
        <w:rPr>
          <w:color w:val="231F20"/>
          <w:spacing w:val="-15"/>
          <w:sz w:val="16"/>
        </w:rPr>
        <w:t> </w:t>
      </w:r>
      <w:r>
        <w:rPr>
          <w:color w:val="231F20"/>
          <w:sz w:val="16"/>
        </w:rPr>
        <w:t>de</w:t>
      </w:r>
      <w:r>
        <w:rPr>
          <w:color w:val="231F20"/>
          <w:spacing w:val="-15"/>
          <w:sz w:val="16"/>
        </w:rPr>
        <w:t> </w:t>
      </w:r>
      <w:r>
        <w:rPr>
          <w:color w:val="231F20"/>
          <w:sz w:val="16"/>
        </w:rPr>
        <w:t>Chalco</w:t>
      </w:r>
      <w:r>
        <w:rPr>
          <w:color w:val="231F20"/>
          <w:spacing w:val="-15"/>
          <w:sz w:val="16"/>
        </w:rPr>
        <w:t> </w:t>
      </w:r>
      <w:r>
        <w:rPr>
          <w:color w:val="231F20"/>
          <w:sz w:val="16"/>
        </w:rPr>
        <w:t>Solidari- dad</w:t>
      </w:r>
      <w:r>
        <w:rPr>
          <w:color w:val="231F20"/>
          <w:spacing w:val="-7"/>
          <w:sz w:val="16"/>
        </w:rPr>
        <w:t> </w:t>
      </w:r>
      <w:r>
        <w:rPr>
          <w:color w:val="231F20"/>
          <w:sz w:val="16"/>
        </w:rPr>
        <w:t>y</w:t>
      </w:r>
      <w:r>
        <w:rPr>
          <w:color w:val="231F20"/>
          <w:spacing w:val="-7"/>
          <w:sz w:val="16"/>
        </w:rPr>
        <w:t> </w:t>
      </w:r>
      <w:r>
        <w:rPr>
          <w:color w:val="231F20"/>
          <w:sz w:val="16"/>
        </w:rPr>
        <w:t>Xalatlaco.</w:t>
      </w:r>
      <w:r>
        <w:rPr>
          <w:color w:val="231F20"/>
          <w:spacing w:val="-7"/>
          <w:sz w:val="16"/>
        </w:rPr>
        <w:t> </w:t>
      </w:r>
      <w:r>
        <w:rPr>
          <w:color w:val="231F20"/>
          <w:sz w:val="16"/>
        </w:rPr>
        <w:t>No</w:t>
      </w:r>
      <w:r>
        <w:rPr>
          <w:color w:val="231F20"/>
          <w:spacing w:val="-7"/>
          <w:sz w:val="16"/>
        </w:rPr>
        <w:t> </w:t>
      </w:r>
      <w:r>
        <w:rPr>
          <w:color w:val="231F20"/>
          <w:sz w:val="16"/>
        </w:rPr>
        <w:t>incluí</w:t>
      </w:r>
      <w:r>
        <w:rPr>
          <w:color w:val="231F20"/>
          <w:spacing w:val="-7"/>
          <w:sz w:val="16"/>
        </w:rPr>
        <w:t> </w:t>
      </w:r>
      <w:r>
        <w:rPr>
          <w:color w:val="231F20"/>
          <w:sz w:val="16"/>
        </w:rPr>
        <w:t>al</w:t>
      </w:r>
      <w:r>
        <w:rPr>
          <w:color w:val="231F20"/>
          <w:spacing w:val="-7"/>
          <w:sz w:val="16"/>
        </w:rPr>
        <w:t> </w:t>
      </w:r>
      <w:r>
        <w:rPr>
          <w:color w:val="231F20"/>
          <w:sz w:val="16"/>
        </w:rPr>
        <w:t>municipio</w:t>
      </w:r>
      <w:r>
        <w:rPr>
          <w:color w:val="231F20"/>
          <w:spacing w:val="-7"/>
          <w:sz w:val="16"/>
        </w:rPr>
        <w:t> </w:t>
      </w:r>
      <w:r>
        <w:rPr>
          <w:color w:val="231F20"/>
          <w:sz w:val="16"/>
        </w:rPr>
        <w:t>de</w:t>
      </w:r>
      <w:r>
        <w:rPr>
          <w:color w:val="231F20"/>
          <w:spacing w:val="-7"/>
          <w:sz w:val="16"/>
        </w:rPr>
        <w:t> </w:t>
      </w:r>
      <w:r>
        <w:rPr>
          <w:color w:val="231F20"/>
          <w:sz w:val="16"/>
        </w:rPr>
        <w:t>Tenango</w:t>
      </w:r>
      <w:r>
        <w:rPr>
          <w:color w:val="231F20"/>
          <w:spacing w:val="-7"/>
          <w:sz w:val="16"/>
        </w:rPr>
        <w:t> </w:t>
      </w:r>
      <w:r>
        <w:rPr>
          <w:color w:val="231F20"/>
          <w:sz w:val="16"/>
        </w:rPr>
        <w:t>del</w:t>
      </w:r>
      <w:r>
        <w:rPr>
          <w:color w:val="231F20"/>
          <w:spacing w:val="-7"/>
          <w:sz w:val="16"/>
        </w:rPr>
        <w:t> </w:t>
      </w:r>
      <w:r>
        <w:rPr>
          <w:color w:val="231F20"/>
          <w:sz w:val="16"/>
        </w:rPr>
        <w:t>Aire</w:t>
      </w:r>
      <w:r>
        <w:rPr>
          <w:color w:val="231F20"/>
          <w:spacing w:val="-7"/>
          <w:sz w:val="16"/>
        </w:rPr>
        <w:t> </w:t>
      </w:r>
      <w:r>
        <w:rPr>
          <w:color w:val="231F20"/>
          <w:sz w:val="16"/>
        </w:rPr>
        <w:t>debido</w:t>
      </w:r>
      <w:r>
        <w:rPr>
          <w:color w:val="231F20"/>
          <w:spacing w:val="-7"/>
          <w:sz w:val="16"/>
        </w:rPr>
        <w:t> </w:t>
      </w:r>
      <w:r>
        <w:rPr>
          <w:color w:val="231F20"/>
          <w:sz w:val="16"/>
        </w:rPr>
        <w:t>a</w:t>
      </w:r>
      <w:r>
        <w:rPr>
          <w:color w:val="231F20"/>
          <w:spacing w:val="-7"/>
          <w:sz w:val="16"/>
        </w:rPr>
        <w:t> </w:t>
      </w:r>
      <w:r>
        <w:rPr>
          <w:color w:val="231F20"/>
          <w:sz w:val="16"/>
        </w:rPr>
        <w:t>que</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cartografía</w:t>
      </w:r>
      <w:r>
        <w:rPr>
          <w:color w:val="231F20"/>
          <w:spacing w:val="-7"/>
          <w:sz w:val="16"/>
        </w:rPr>
        <w:t> </w:t>
      </w:r>
      <w:r>
        <w:rPr>
          <w:color w:val="231F20"/>
          <w:sz w:val="16"/>
        </w:rPr>
        <w:t>del</w:t>
      </w:r>
      <w:r>
        <w:rPr>
          <w:color w:val="231F20"/>
          <w:spacing w:val="-7"/>
          <w:sz w:val="16"/>
        </w:rPr>
        <w:t> </w:t>
      </w:r>
      <w:r>
        <w:rPr>
          <w:color w:val="231F20"/>
          <w:sz w:val="16"/>
        </w:rPr>
        <w:t>gobierno</w:t>
      </w:r>
      <w:r>
        <w:rPr>
          <w:color w:val="231F20"/>
          <w:spacing w:val="-7"/>
          <w:sz w:val="16"/>
        </w:rPr>
        <w:t> </w:t>
      </w:r>
      <w:r>
        <w:rPr>
          <w:color w:val="231F20"/>
          <w:sz w:val="16"/>
        </w:rPr>
        <w:t>del</w:t>
      </w:r>
      <w:r>
        <w:rPr>
          <w:color w:val="231F20"/>
          <w:spacing w:val="-7"/>
          <w:sz w:val="16"/>
        </w:rPr>
        <w:t> </w:t>
      </w:r>
      <w:r>
        <w:rPr>
          <w:color w:val="231F20"/>
          <w:sz w:val="16"/>
        </w:rPr>
        <w:t>Estado</w:t>
      </w:r>
      <w:r>
        <w:rPr>
          <w:color w:val="231F20"/>
          <w:spacing w:val="-7"/>
          <w:sz w:val="16"/>
        </w:rPr>
        <w:t> </w:t>
      </w:r>
      <w:r>
        <w:rPr>
          <w:color w:val="231F20"/>
          <w:sz w:val="16"/>
        </w:rPr>
        <w:t>de</w:t>
      </w:r>
      <w:r>
        <w:rPr>
          <w:color w:val="231F20"/>
          <w:spacing w:val="-7"/>
          <w:sz w:val="16"/>
        </w:rPr>
        <w:t> </w:t>
      </w:r>
      <w:r>
        <w:rPr>
          <w:color w:val="231F20"/>
          <w:sz w:val="16"/>
        </w:rPr>
        <w:t>México no</w:t>
      </w:r>
      <w:r>
        <w:rPr>
          <w:color w:val="231F20"/>
          <w:spacing w:val="-11"/>
          <w:sz w:val="16"/>
        </w:rPr>
        <w:t> </w:t>
      </w:r>
      <w:r>
        <w:rPr>
          <w:color w:val="231F20"/>
          <w:sz w:val="16"/>
        </w:rPr>
        <w:t>se</w:t>
      </w:r>
      <w:r>
        <w:rPr>
          <w:color w:val="231F20"/>
          <w:spacing w:val="-11"/>
          <w:sz w:val="16"/>
        </w:rPr>
        <w:t> </w:t>
      </w:r>
      <w:r>
        <w:rPr>
          <w:color w:val="231F20"/>
          <w:sz w:val="16"/>
        </w:rPr>
        <w:t>le</w:t>
      </w:r>
      <w:r>
        <w:rPr>
          <w:color w:val="231F20"/>
          <w:spacing w:val="-11"/>
          <w:sz w:val="16"/>
        </w:rPr>
        <w:t> </w:t>
      </w:r>
      <w:r>
        <w:rPr>
          <w:color w:val="231F20"/>
          <w:sz w:val="16"/>
        </w:rPr>
        <w:t>ubicó</w:t>
      </w:r>
      <w:r>
        <w:rPr>
          <w:color w:val="231F20"/>
          <w:spacing w:val="-11"/>
          <w:sz w:val="16"/>
        </w:rPr>
        <w:t> </w:t>
      </w:r>
      <w:r>
        <w:rPr>
          <w:color w:val="231F20"/>
          <w:sz w:val="16"/>
        </w:rPr>
        <w:t>colindancia</w:t>
      </w:r>
      <w:r>
        <w:rPr>
          <w:color w:val="231F20"/>
          <w:spacing w:val="-11"/>
          <w:sz w:val="16"/>
        </w:rPr>
        <w:t> </w:t>
      </w:r>
      <w:r>
        <w:rPr>
          <w:color w:val="231F20"/>
          <w:sz w:val="16"/>
        </w:rPr>
        <w:t>con</w:t>
      </w:r>
      <w:r>
        <w:rPr>
          <w:color w:val="231F20"/>
          <w:spacing w:val="-11"/>
          <w:sz w:val="16"/>
        </w:rPr>
        <w:t> </w:t>
      </w:r>
      <w:r>
        <w:rPr>
          <w:color w:val="231F20"/>
          <w:sz w:val="16"/>
        </w:rPr>
        <w:t>el</w:t>
      </w:r>
      <w:r>
        <w:rPr>
          <w:color w:val="231F20"/>
          <w:spacing w:val="-11"/>
          <w:sz w:val="16"/>
        </w:rPr>
        <w:t> </w:t>
      </w:r>
      <w:r>
        <w:rPr>
          <w:color w:val="231F20"/>
          <w:spacing w:val="-4"/>
          <w:sz w:val="16"/>
        </w:rPr>
        <w:t>D.F.,</w:t>
      </w:r>
      <w:r>
        <w:rPr>
          <w:color w:val="231F20"/>
          <w:spacing w:val="-11"/>
          <w:sz w:val="16"/>
        </w:rPr>
        <w:t> </w:t>
      </w:r>
      <w:r>
        <w:rPr>
          <w:color w:val="231F20"/>
          <w:sz w:val="16"/>
        </w:rPr>
        <w:t>véase</w:t>
      </w:r>
      <w:r>
        <w:rPr>
          <w:color w:val="231F20"/>
          <w:spacing w:val="-11"/>
          <w:sz w:val="16"/>
        </w:rPr>
        <w:t> </w:t>
      </w:r>
      <w:r>
        <w:rPr>
          <w:color w:val="231F20"/>
          <w:sz w:val="16"/>
        </w:rPr>
        <w:t>en</w:t>
      </w:r>
      <w:r>
        <w:rPr>
          <w:color w:val="231F20"/>
          <w:spacing w:val="-11"/>
          <w:sz w:val="16"/>
        </w:rPr>
        <w:t> </w:t>
      </w:r>
      <w:r>
        <w:rPr>
          <w:color w:val="231F20"/>
          <w:sz w:val="16"/>
        </w:rPr>
        <w:t>(GOBIERNO</w:t>
      </w:r>
      <w:r>
        <w:rPr>
          <w:color w:val="231F20"/>
          <w:spacing w:val="-11"/>
          <w:sz w:val="16"/>
        </w:rPr>
        <w:t> </w:t>
      </w:r>
      <w:r>
        <w:rPr>
          <w:color w:val="231F20"/>
          <w:sz w:val="16"/>
        </w:rPr>
        <w:t>DEL</w:t>
      </w:r>
      <w:r>
        <w:rPr>
          <w:color w:val="231F20"/>
          <w:spacing w:val="-11"/>
          <w:sz w:val="16"/>
        </w:rPr>
        <w:t> </w:t>
      </w:r>
      <w:r>
        <w:rPr>
          <w:color w:val="231F20"/>
          <w:sz w:val="16"/>
        </w:rPr>
        <w:t>ESTADO</w:t>
      </w:r>
      <w:r>
        <w:rPr>
          <w:color w:val="231F20"/>
          <w:spacing w:val="-11"/>
          <w:sz w:val="16"/>
        </w:rPr>
        <w:t> </w:t>
      </w:r>
      <w:r>
        <w:rPr>
          <w:color w:val="231F20"/>
          <w:sz w:val="16"/>
        </w:rPr>
        <w:t>DE</w:t>
      </w:r>
      <w:r>
        <w:rPr>
          <w:color w:val="231F20"/>
          <w:spacing w:val="-11"/>
          <w:sz w:val="16"/>
        </w:rPr>
        <w:t> </w:t>
      </w:r>
      <w:r>
        <w:rPr>
          <w:color w:val="231F20"/>
          <w:sz w:val="16"/>
        </w:rPr>
        <w:t>MÉXICO,</w:t>
      </w:r>
      <w:r>
        <w:rPr>
          <w:color w:val="231F20"/>
          <w:spacing w:val="-11"/>
          <w:sz w:val="16"/>
        </w:rPr>
        <w:t> </w:t>
      </w:r>
      <w:r>
        <w:rPr>
          <w:color w:val="231F20"/>
          <w:sz w:val="16"/>
        </w:rPr>
        <w:t>2008).</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Actualmente</w:t>
      </w:r>
      <w:r>
        <w:rPr>
          <w:color w:val="231F20"/>
          <w:spacing w:val="-10"/>
          <w:w w:val="105"/>
        </w:rPr>
        <w:t> </w:t>
      </w:r>
      <w:r>
        <w:rPr>
          <w:color w:val="231F20"/>
          <w:w w:val="105"/>
        </w:rPr>
        <w:t>el</w:t>
      </w:r>
      <w:r>
        <w:rPr>
          <w:color w:val="231F20"/>
          <w:spacing w:val="-10"/>
          <w:w w:val="105"/>
        </w:rPr>
        <w:t> </w:t>
      </w:r>
      <w:r>
        <w:rPr>
          <w:color w:val="231F20"/>
          <w:w w:val="105"/>
        </w:rPr>
        <w:t>PRD</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partido</w:t>
      </w:r>
      <w:r>
        <w:rPr>
          <w:color w:val="231F20"/>
          <w:spacing w:val="-10"/>
          <w:w w:val="105"/>
        </w:rPr>
        <w:t> </w:t>
      </w:r>
      <w:r>
        <w:rPr>
          <w:color w:val="231F20"/>
          <w:w w:val="105"/>
        </w:rPr>
        <w:t>que</w:t>
      </w:r>
      <w:r>
        <w:rPr>
          <w:color w:val="231F20"/>
          <w:spacing w:val="-10"/>
          <w:w w:val="105"/>
        </w:rPr>
        <w:t> </w:t>
      </w:r>
      <w:r>
        <w:rPr>
          <w:color w:val="231F20"/>
          <w:w w:val="105"/>
        </w:rPr>
        <w:t>ejerce</w:t>
      </w:r>
      <w:r>
        <w:rPr>
          <w:color w:val="231F20"/>
          <w:spacing w:val="-10"/>
          <w:w w:val="105"/>
        </w:rPr>
        <w:t> </w:t>
      </w:r>
      <w:r>
        <w:rPr>
          <w:color w:val="231F20"/>
          <w:w w:val="105"/>
        </w:rPr>
        <w:t>el</w:t>
      </w:r>
      <w:r>
        <w:rPr>
          <w:color w:val="231F20"/>
          <w:spacing w:val="-10"/>
          <w:w w:val="105"/>
        </w:rPr>
        <w:t> </w:t>
      </w:r>
      <w:r>
        <w:rPr>
          <w:color w:val="231F20"/>
          <w:w w:val="105"/>
        </w:rPr>
        <w:t>gobierno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mayor</w:t>
      </w:r>
      <w:r>
        <w:rPr>
          <w:color w:val="231F20"/>
          <w:spacing w:val="-10"/>
          <w:w w:val="105"/>
        </w:rPr>
        <w:t> </w:t>
      </w:r>
      <w:r>
        <w:rPr>
          <w:color w:val="231F20"/>
          <w:w w:val="105"/>
        </w:rPr>
        <w:t>cantidad</w:t>
      </w:r>
      <w:r>
        <w:rPr>
          <w:color w:val="231F20"/>
          <w:spacing w:val="-10"/>
          <w:w w:val="105"/>
        </w:rPr>
        <w:t> </w:t>
      </w:r>
      <w:r>
        <w:rPr>
          <w:color w:val="231F20"/>
          <w:w w:val="105"/>
        </w:rPr>
        <w:t>de</w:t>
      </w:r>
      <w:r>
        <w:rPr>
          <w:color w:val="231F20"/>
          <w:spacing w:val="-10"/>
          <w:w w:val="105"/>
        </w:rPr>
        <w:t> </w:t>
      </w:r>
      <w:r>
        <w:rPr>
          <w:color w:val="231F20"/>
          <w:w w:val="105"/>
        </w:rPr>
        <w:t>ayun- tamientos de esta región pues tiene el control en seis de ellos (Chalco, Ecatepec, Ixta- paluca, Nezahualcóyotl, La Paz y Valle de Chalco Solidaridad) concentrados en la re- gión</w:t>
      </w:r>
      <w:r>
        <w:rPr>
          <w:color w:val="231F20"/>
          <w:spacing w:val="-18"/>
          <w:w w:val="105"/>
        </w:rPr>
        <w:t> </w:t>
      </w:r>
      <w:r>
        <w:rPr>
          <w:color w:val="231F20"/>
          <w:w w:val="105"/>
        </w:rPr>
        <w:t>oriente</w:t>
      </w:r>
      <w:r>
        <w:rPr>
          <w:color w:val="231F20"/>
          <w:spacing w:val="-18"/>
          <w:w w:val="105"/>
        </w:rPr>
        <w:t> </w:t>
      </w:r>
      <w:r>
        <w:rPr>
          <w:color w:val="231F20"/>
          <w:w w:val="105"/>
        </w:rPr>
        <w:t>del</w:t>
      </w:r>
      <w:r>
        <w:rPr>
          <w:color w:val="231F20"/>
          <w:spacing w:val="-18"/>
          <w:w w:val="105"/>
        </w:rPr>
        <w:t> </w:t>
      </w:r>
      <w:r>
        <w:rPr>
          <w:color w:val="231F20"/>
          <w:w w:val="105"/>
        </w:rPr>
        <w:t>estado;</w:t>
      </w:r>
      <w:r>
        <w:rPr>
          <w:color w:val="231F20"/>
          <w:spacing w:val="-18"/>
          <w:w w:val="105"/>
        </w:rPr>
        <w:t> </w:t>
      </w:r>
      <w:r>
        <w:rPr>
          <w:color w:val="231F20"/>
          <w:w w:val="105"/>
        </w:rPr>
        <w:t>el</w:t>
      </w:r>
      <w:r>
        <w:rPr>
          <w:color w:val="231F20"/>
          <w:spacing w:val="-18"/>
          <w:w w:val="105"/>
        </w:rPr>
        <w:t> </w:t>
      </w:r>
      <w:r>
        <w:rPr>
          <w:color w:val="231F20"/>
          <w:w w:val="105"/>
        </w:rPr>
        <w:t>PRI</w:t>
      </w:r>
      <w:r>
        <w:rPr>
          <w:color w:val="231F20"/>
          <w:spacing w:val="-18"/>
          <w:w w:val="105"/>
        </w:rPr>
        <w:t> </w:t>
      </w:r>
      <w:r>
        <w:rPr>
          <w:color w:val="231F20"/>
          <w:w w:val="105"/>
        </w:rPr>
        <w:t>le</w:t>
      </w:r>
      <w:r>
        <w:rPr>
          <w:color w:val="231F20"/>
          <w:spacing w:val="-18"/>
          <w:w w:val="105"/>
        </w:rPr>
        <w:t> </w:t>
      </w:r>
      <w:r>
        <w:rPr>
          <w:color w:val="231F20"/>
          <w:w w:val="105"/>
        </w:rPr>
        <w:t>sigue</w:t>
      </w:r>
      <w:r>
        <w:rPr>
          <w:color w:val="231F20"/>
          <w:spacing w:val="-18"/>
          <w:w w:val="105"/>
        </w:rPr>
        <w:t> </w:t>
      </w:r>
      <w:r>
        <w:rPr>
          <w:color w:val="231F20"/>
          <w:w w:val="105"/>
        </w:rPr>
        <w:t>con</w:t>
      </w:r>
      <w:r>
        <w:rPr>
          <w:color w:val="231F20"/>
          <w:spacing w:val="-18"/>
          <w:w w:val="105"/>
        </w:rPr>
        <w:t> </w:t>
      </w:r>
      <w:r>
        <w:rPr>
          <w:color w:val="231F20"/>
          <w:w w:val="105"/>
        </w:rPr>
        <w:t>cuatro</w:t>
      </w:r>
      <w:r>
        <w:rPr>
          <w:color w:val="231F20"/>
          <w:spacing w:val="-18"/>
          <w:w w:val="105"/>
        </w:rPr>
        <w:t> </w:t>
      </w:r>
      <w:r>
        <w:rPr>
          <w:color w:val="231F20"/>
          <w:w w:val="105"/>
        </w:rPr>
        <w:t>(Coacalco,</w:t>
      </w:r>
      <w:r>
        <w:rPr>
          <w:color w:val="231F20"/>
          <w:spacing w:val="-18"/>
          <w:w w:val="105"/>
        </w:rPr>
        <w:t> </w:t>
      </w:r>
      <w:r>
        <w:rPr>
          <w:color w:val="231F20"/>
          <w:w w:val="105"/>
        </w:rPr>
        <w:t>Huixquilucan,</w:t>
      </w:r>
      <w:r>
        <w:rPr>
          <w:color w:val="231F20"/>
          <w:spacing w:val="-18"/>
          <w:w w:val="105"/>
        </w:rPr>
        <w:t> </w:t>
      </w:r>
      <w:r>
        <w:rPr>
          <w:color w:val="231F20"/>
          <w:w w:val="105"/>
        </w:rPr>
        <w:t>Juchitepec, </w:t>
      </w:r>
      <w:r>
        <w:rPr>
          <w:color w:val="231F20"/>
          <w:spacing w:val="-3"/>
          <w:w w:val="105"/>
        </w:rPr>
        <w:t>Ocoyoacac);</w:t>
      </w:r>
      <w:r>
        <w:rPr>
          <w:color w:val="231F20"/>
          <w:spacing w:val="-13"/>
          <w:w w:val="105"/>
        </w:rPr>
        <w:t> </w:t>
      </w:r>
      <w:r>
        <w:rPr>
          <w:color w:val="231F20"/>
          <w:w w:val="105"/>
        </w:rPr>
        <w:t>el</w:t>
      </w:r>
      <w:r>
        <w:rPr>
          <w:color w:val="231F20"/>
          <w:spacing w:val="-13"/>
          <w:w w:val="105"/>
        </w:rPr>
        <w:t> </w:t>
      </w:r>
      <w:r>
        <w:rPr>
          <w:color w:val="231F20"/>
          <w:spacing w:val="-4"/>
          <w:w w:val="105"/>
        </w:rPr>
        <w:t>PAN</w:t>
      </w:r>
      <w:r>
        <w:rPr>
          <w:color w:val="231F20"/>
          <w:spacing w:val="-13"/>
          <w:w w:val="105"/>
        </w:rPr>
        <w:t> </w:t>
      </w:r>
      <w:r>
        <w:rPr>
          <w:color w:val="231F20"/>
          <w:w w:val="105"/>
        </w:rPr>
        <w:t>tiene</w:t>
      </w:r>
      <w:r>
        <w:rPr>
          <w:color w:val="231F20"/>
          <w:spacing w:val="-13"/>
          <w:w w:val="105"/>
        </w:rPr>
        <w:t> </w:t>
      </w:r>
      <w:r>
        <w:rPr>
          <w:color w:val="231F20"/>
          <w:w w:val="105"/>
        </w:rPr>
        <w:t>el</w:t>
      </w:r>
      <w:r>
        <w:rPr>
          <w:color w:val="231F20"/>
          <w:spacing w:val="-13"/>
          <w:w w:val="105"/>
        </w:rPr>
        <w:t> </w:t>
      </w:r>
      <w:r>
        <w:rPr>
          <w:color w:val="231F20"/>
          <w:w w:val="105"/>
        </w:rPr>
        <w:t>poder</w:t>
      </w:r>
      <w:r>
        <w:rPr>
          <w:color w:val="231F20"/>
          <w:spacing w:val="-13"/>
          <w:w w:val="105"/>
        </w:rPr>
        <w:t> </w:t>
      </w:r>
      <w:r>
        <w:rPr>
          <w:color w:val="231F20"/>
          <w:w w:val="105"/>
        </w:rPr>
        <w:t>en</w:t>
      </w:r>
      <w:r>
        <w:rPr>
          <w:color w:val="231F20"/>
          <w:spacing w:val="-13"/>
          <w:w w:val="105"/>
        </w:rPr>
        <w:t> </w:t>
      </w:r>
      <w:r>
        <w:rPr>
          <w:color w:val="231F20"/>
          <w:w w:val="105"/>
        </w:rPr>
        <w:t>tres</w:t>
      </w:r>
      <w:r>
        <w:rPr>
          <w:color w:val="231F20"/>
          <w:spacing w:val="-13"/>
          <w:w w:val="105"/>
        </w:rPr>
        <w:t> </w:t>
      </w:r>
      <w:r>
        <w:rPr>
          <w:color w:val="231F20"/>
          <w:w w:val="105"/>
        </w:rPr>
        <w:t>administraciones</w:t>
      </w:r>
      <w:r>
        <w:rPr>
          <w:color w:val="231F20"/>
          <w:spacing w:val="-13"/>
          <w:w w:val="105"/>
        </w:rPr>
        <w:t> </w:t>
      </w:r>
      <w:r>
        <w:rPr>
          <w:color w:val="231F20"/>
          <w:w w:val="105"/>
        </w:rPr>
        <w:t>(Naucalpan,</w:t>
      </w:r>
      <w:r>
        <w:rPr>
          <w:color w:val="231F20"/>
          <w:spacing w:val="-13"/>
          <w:w w:val="105"/>
        </w:rPr>
        <w:t> </w:t>
      </w:r>
      <w:r>
        <w:rPr>
          <w:color w:val="231F20"/>
          <w:w w:val="105"/>
        </w:rPr>
        <w:t>Tlalnepantla</w:t>
      </w:r>
      <w:r>
        <w:rPr>
          <w:color w:val="231F20"/>
          <w:spacing w:val="-13"/>
          <w:w w:val="105"/>
        </w:rPr>
        <w:t> </w:t>
      </w:r>
      <w:r>
        <w:rPr>
          <w:color w:val="231F20"/>
          <w:w w:val="105"/>
        </w:rPr>
        <w:t>y Tultitlán)</w:t>
      </w:r>
      <w:r>
        <w:rPr>
          <w:color w:val="231F20"/>
          <w:spacing w:val="-8"/>
          <w:w w:val="105"/>
        </w:rPr>
        <w:t> </w:t>
      </w:r>
      <w:r>
        <w:rPr>
          <w:color w:val="231F20"/>
          <w:w w:val="105"/>
        </w:rPr>
        <w:t>ubicadas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zona</w:t>
      </w:r>
      <w:r>
        <w:rPr>
          <w:color w:val="231F20"/>
          <w:spacing w:val="-8"/>
          <w:w w:val="105"/>
        </w:rPr>
        <w:t> </w:t>
      </w:r>
      <w:r>
        <w:rPr>
          <w:color w:val="231F20"/>
          <w:w w:val="105"/>
        </w:rPr>
        <w:t>conurbada</w:t>
      </w:r>
      <w:r>
        <w:rPr>
          <w:color w:val="231F20"/>
          <w:spacing w:val="-8"/>
          <w:w w:val="105"/>
        </w:rPr>
        <w:t> </w:t>
      </w:r>
      <w:r>
        <w:rPr>
          <w:color w:val="231F20"/>
          <w:w w:val="105"/>
        </w:rPr>
        <w:t>poniente</w:t>
      </w:r>
      <w:r>
        <w:rPr>
          <w:color w:val="231F20"/>
          <w:spacing w:val="-7"/>
          <w:w w:val="105"/>
        </w:rPr>
        <w:t> </w:t>
      </w:r>
      <w:r>
        <w:rPr>
          <w:color w:val="231F20"/>
          <w:w w:val="105"/>
        </w:rPr>
        <w:t>del</w:t>
      </w:r>
      <w:r>
        <w:rPr>
          <w:color w:val="231F20"/>
          <w:spacing w:val="-8"/>
          <w:w w:val="105"/>
        </w:rPr>
        <w:t> </w:t>
      </w:r>
      <w:r>
        <w:rPr>
          <w:color w:val="231F20"/>
          <w:w w:val="105"/>
        </w:rPr>
        <w:t>Valle</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8"/>
          <w:w w:val="105"/>
        </w:rPr>
        <w:t> </w:t>
      </w:r>
      <w:r>
        <w:rPr>
          <w:color w:val="231F20"/>
          <w:w w:val="105"/>
        </w:rPr>
        <w:t>llamada</w:t>
      </w:r>
      <w:r>
        <w:rPr>
          <w:color w:val="231F20"/>
          <w:spacing w:val="-8"/>
          <w:w w:val="105"/>
        </w:rPr>
        <w:t> </w:t>
      </w:r>
      <w:r>
        <w:rPr>
          <w:color w:val="231F20"/>
          <w:spacing w:val="-5"/>
          <w:w w:val="105"/>
        </w:rPr>
        <w:t>“el</w:t>
      </w:r>
      <w:r>
        <w:rPr>
          <w:color w:val="231F20"/>
          <w:spacing w:val="-8"/>
          <w:w w:val="105"/>
        </w:rPr>
        <w:t> </w:t>
      </w:r>
      <w:r>
        <w:rPr>
          <w:color w:val="231F20"/>
          <w:w w:val="105"/>
        </w:rPr>
        <w:t>co- rredor</w:t>
      </w:r>
      <w:r>
        <w:rPr>
          <w:color w:val="231F20"/>
          <w:spacing w:val="-19"/>
          <w:w w:val="105"/>
        </w:rPr>
        <w:t> </w:t>
      </w:r>
      <w:r>
        <w:rPr>
          <w:color w:val="231F20"/>
          <w:w w:val="105"/>
        </w:rPr>
        <w:t>azul”;</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spacing w:val="2"/>
          <w:w w:val="105"/>
        </w:rPr>
        <w:t>alianza</w:t>
      </w:r>
      <w:r>
        <w:rPr>
          <w:color w:val="231F20"/>
          <w:spacing w:val="-19"/>
          <w:w w:val="105"/>
        </w:rPr>
        <w:t> </w:t>
      </w:r>
      <w:r>
        <w:rPr>
          <w:color w:val="231F20"/>
          <w:w w:val="105"/>
        </w:rPr>
        <w:t>del</w:t>
      </w:r>
      <w:r>
        <w:rPr>
          <w:color w:val="231F20"/>
          <w:spacing w:val="-19"/>
          <w:w w:val="105"/>
        </w:rPr>
        <w:t> </w:t>
      </w:r>
      <w:r>
        <w:rPr>
          <w:color w:val="231F20"/>
          <w:w w:val="105"/>
        </w:rPr>
        <w:t>PT</w:t>
      </w:r>
      <w:r>
        <w:rPr>
          <w:color w:val="231F20"/>
          <w:spacing w:val="-19"/>
          <w:w w:val="105"/>
        </w:rPr>
        <w:t> </w:t>
      </w:r>
      <w:r>
        <w:rPr>
          <w:color w:val="231F20"/>
          <w:w w:val="105"/>
        </w:rPr>
        <w:t>y</w:t>
      </w:r>
      <w:r>
        <w:rPr>
          <w:color w:val="231F20"/>
          <w:spacing w:val="-19"/>
          <w:w w:val="105"/>
        </w:rPr>
        <w:t> </w:t>
      </w:r>
      <w:r>
        <w:rPr>
          <w:color w:val="231F20"/>
          <w:w w:val="105"/>
        </w:rPr>
        <w:t>Convergencia</w:t>
      </w:r>
      <w:r>
        <w:rPr>
          <w:color w:val="231F20"/>
          <w:spacing w:val="-19"/>
          <w:w w:val="105"/>
        </w:rPr>
        <w:t> </w:t>
      </w:r>
      <w:r>
        <w:rPr>
          <w:color w:val="231F20"/>
          <w:w w:val="105"/>
        </w:rPr>
        <w:t>gobierna</w:t>
      </w:r>
      <w:r>
        <w:rPr>
          <w:color w:val="231F20"/>
          <w:spacing w:val="-19"/>
          <w:w w:val="105"/>
        </w:rPr>
        <w:t> </w:t>
      </w:r>
      <w:r>
        <w:rPr>
          <w:color w:val="231F20"/>
          <w:w w:val="105"/>
        </w:rPr>
        <w:t>el</w:t>
      </w:r>
      <w:r>
        <w:rPr>
          <w:color w:val="231F20"/>
          <w:spacing w:val="-19"/>
          <w:w w:val="105"/>
        </w:rPr>
        <w:t> </w:t>
      </w:r>
      <w:r>
        <w:rPr>
          <w:color w:val="231F20"/>
          <w:w w:val="105"/>
        </w:rPr>
        <w:t>municipio</w:t>
      </w:r>
      <w:r>
        <w:rPr>
          <w:color w:val="231F20"/>
          <w:spacing w:val="-19"/>
          <w:w w:val="105"/>
        </w:rPr>
        <w:t> </w:t>
      </w:r>
      <w:r>
        <w:rPr>
          <w:color w:val="231F20"/>
          <w:w w:val="105"/>
        </w:rPr>
        <w:t>de</w:t>
      </w:r>
      <w:r>
        <w:rPr>
          <w:color w:val="231F20"/>
          <w:spacing w:val="-19"/>
          <w:w w:val="105"/>
        </w:rPr>
        <w:t> </w:t>
      </w:r>
      <w:r>
        <w:rPr>
          <w:color w:val="231F20"/>
          <w:w w:val="105"/>
        </w:rPr>
        <w:t>Xalatlaco.</w:t>
      </w:r>
      <w:r>
        <w:rPr>
          <w:color w:val="231F20"/>
          <w:spacing w:val="-19"/>
          <w:w w:val="105"/>
        </w:rPr>
        <w:t> </w:t>
      </w:r>
      <w:r>
        <w:rPr>
          <w:color w:val="231F20"/>
          <w:w w:val="105"/>
        </w:rPr>
        <w:t>De esta</w:t>
      </w:r>
      <w:r>
        <w:rPr>
          <w:color w:val="231F20"/>
          <w:spacing w:val="-18"/>
          <w:w w:val="105"/>
        </w:rPr>
        <w:t> </w:t>
      </w:r>
      <w:r>
        <w:rPr>
          <w:color w:val="231F20"/>
          <w:w w:val="105"/>
        </w:rPr>
        <w:t>manera,</w:t>
      </w:r>
      <w:r>
        <w:rPr>
          <w:color w:val="231F20"/>
          <w:spacing w:val="-18"/>
          <w:w w:val="105"/>
        </w:rPr>
        <w:t> </w:t>
      </w:r>
      <w:r>
        <w:rPr>
          <w:color w:val="231F20"/>
          <w:w w:val="105"/>
        </w:rPr>
        <w:t>el</w:t>
      </w:r>
      <w:r>
        <w:rPr>
          <w:color w:val="231F20"/>
          <w:spacing w:val="-18"/>
          <w:w w:val="105"/>
        </w:rPr>
        <w:t> </w:t>
      </w:r>
      <w:r>
        <w:rPr>
          <w:color w:val="231F20"/>
          <w:w w:val="105"/>
        </w:rPr>
        <w:t>PRD</w:t>
      </w:r>
      <w:r>
        <w:rPr>
          <w:color w:val="231F20"/>
          <w:spacing w:val="-18"/>
          <w:w w:val="105"/>
        </w:rPr>
        <w:t> </w:t>
      </w:r>
      <w:r>
        <w:rPr>
          <w:color w:val="231F20"/>
          <w:w w:val="105"/>
        </w:rPr>
        <w:t>controla</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municipios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región</w:t>
      </w:r>
      <w:r>
        <w:rPr>
          <w:color w:val="231F20"/>
          <w:spacing w:val="-18"/>
          <w:w w:val="105"/>
        </w:rPr>
        <w:t> </w:t>
      </w:r>
      <w:r>
        <w:rPr>
          <w:color w:val="231F20"/>
          <w:w w:val="105"/>
        </w:rPr>
        <w:t>en</w:t>
      </w:r>
      <w:r>
        <w:rPr>
          <w:color w:val="231F20"/>
          <w:spacing w:val="-18"/>
          <w:w w:val="105"/>
        </w:rPr>
        <w:t> </w:t>
      </w:r>
      <w:r>
        <w:rPr>
          <w:color w:val="231F20"/>
          <w:spacing w:val="-3"/>
          <w:w w:val="105"/>
        </w:rPr>
        <w:t>donde</w:t>
      </w:r>
      <w:r>
        <w:rPr>
          <w:color w:val="231F20"/>
          <w:spacing w:val="-18"/>
          <w:w w:val="105"/>
        </w:rPr>
        <w:t> </w:t>
      </w:r>
      <w:r>
        <w:rPr>
          <w:color w:val="231F20"/>
          <w:w w:val="105"/>
        </w:rPr>
        <w:t>radica</w:t>
      </w:r>
      <w:r>
        <w:rPr>
          <w:color w:val="231F20"/>
          <w:spacing w:val="-18"/>
          <w:w w:val="105"/>
        </w:rPr>
        <w:t> </w:t>
      </w:r>
      <w:r>
        <w:rPr>
          <w:color w:val="231F20"/>
          <w:w w:val="105"/>
        </w:rPr>
        <w:t>el</w:t>
      </w:r>
      <w:r>
        <w:rPr>
          <w:color w:val="231F20"/>
          <w:spacing w:val="-18"/>
          <w:w w:val="105"/>
        </w:rPr>
        <w:t> </w:t>
      </w:r>
      <w:r>
        <w:rPr>
          <w:color w:val="231F20"/>
          <w:w w:val="105"/>
        </w:rPr>
        <w:t>29.64%</w:t>
      </w:r>
      <w:r>
        <w:rPr>
          <w:color w:val="231F20"/>
          <w:spacing w:val="-18"/>
          <w:w w:val="105"/>
        </w:rPr>
        <w:t> </w:t>
      </w:r>
      <w:r>
        <w:rPr>
          <w:color w:val="231F20"/>
          <w:w w:val="105"/>
        </w:rPr>
        <w:t>de la</w:t>
      </w:r>
      <w:r>
        <w:rPr>
          <w:color w:val="231F20"/>
          <w:spacing w:val="-27"/>
          <w:w w:val="105"/>
        </w:rPr>
        <w:t> </w:t>
      </w:r>
      <w:r>
        <w:rPr>
          <w:color w:val="231F20"/>
          <w:w w:val="105"/>
        </w:rPr>
        <w:t>población</w:t>
      </w:r>
      <w:r>
        <w:rPr>
          <w:color w:val="231F20"/>
          <w:spacing w:val="-27"/>
          <w:w w:val="105"/>
        </w:rPr>
        <w:t> </w:t>
      </w:r>
      <w:r>
        <w:rPr>
          <w:color w:val="231F20"/>
          <w:w w:val="105"/>
        </w:rPr>
        <w:t>y</w:t>
      </w:r>
      <w:r>
        <w:rPr>
          <w:color w:val="231F20"/>
          <w:spacing w:val="-27"/>
          <w:w w:val="105"/>
        </w:rPr>
        <w:t> </w:t>
      </w:r>
      <w:r>
        <w:rPr>
          <w:color w:val="231F20"/>
          <w:w w:val="105"/>
        </w:rPr>
        <w:t>el</w:t>
      </w:r>
      <w:r>
        <w:rPr>
          <w:color w:val="231F20"/>
          <w:spacing w:val="-27"/>
          <w:w w:val="105"/>
        </w:rPr>
        <w:t> </w:t>
      </w:r>
      <w:r>
        <w:rPr>
          <w:color w:val="231F20"/>
          <w:w w:val="105"/>
        </w:rPr>
        <w:t>30.20%</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votantes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entidad;</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caso</w:t>
      </w:r>
      <w:r>
        <w:rPr>
          <w:color w:val="231F20"/>
          <w:spacing w:val="-27"/>
          <w:w w:val="105"/>
        </w:rPr>
        <w:t> </w:t>
      </w:r>
      <w:r>
        <w:rPr>
          <w:color w:val="231F20"/>
          <w:w w:val="105"/>
        </w:rPr>
        <w:t>del</w:t>
      </w:r>
      <w:r>
        <w:rPr>
          <w:color w:val="231F20"/>
          <w:spacing w:val="-27"/>
          <w:w w:val="105"/>
        </w:rPr>
        <w:t> </w:t>
      </w:r>
      <w:r>
        <w:rPr>
          <w:color w:val="231F20"/>
          <w:w w:val="105"/>
        </w:rPr>
        <w:t>PRI</w:t>
      </w:r>
      <w:r>
        <w:rPr>
          <w:color w:val="231F20"/>
          <w:spacing w:val="-27"/>
          <w:w w:val="105"/>
        </w:rPr>
        <w:t> </w:t>
      </w:r>
      <w:r>
        <w:rPr>
          <w:color w:val="231F20"/>
          <w:w w:val="105"/>
        </w:rPr>
        <w:t>se</w:t>
      </w:r>
      <w:r>
        <w:rPr>
          <w:color w:val="231F20"/>
          <w:spacing w:val="-27"/>
          <w:w w:val="105"/>
        </w:rPr>
        <w:t> </w:t>
      </w:r>
      <w:r>
        <w:rPr>
          <w:color w:val="231F20"/>
          <w:w w:val="105"/>
        </w:rPr>
        <w:t>ubica</w:t>
      </w:r>
      <w:r>
        <w:rPr>
          <w:color w:val="231F20"/>
          <w:spacing w:val="-27"/>
          <w:w w:val="105"/>
        </w:rPr>
        <w:t> </w:t>
      </w:r>
      <w:r>
        <w:rPr>
          <w:color w:val="231F20"/>
          <w:spacing w:val="2"/>
          <w:w w:val="105"/>
        </w:rPr>
        <w:t>al</w:t>
      </w:r>
      <w:r>
        <w:rPr>
          <w:color w:val="231F20"/>
          <w:spacing w:val="-27"/>
          <w:w w:val="105"/>
        </w:rPr>
        <w:t> </w:t>
      </w:r>
      <w:r>
        <w:rPr>
          <w:color w:val="231F20"/>
          <w:spacing w:val="-5"/>
          <w:w w:val="105"/>
        </w:rPr>
        <w:t>4.11% </w:t>
      </w:r>
      <w:r>
        <w:rPr>
          <w:color w:val="231F20"/>
          <w:w w:val="105"/>
        </w:rPr>
        <w:t>de</w:t>
      </w:r>
      <w:r>
        <w:rPr>
          <w:color w:val="231F20"/>
          <w:spacing w:val="-9"/>
          <w:w w:val="105"/>
        </w:rPr>
        <w:t> </w:t>
      </w:r>
      <w:r>
        <w:rPr>
          <w:color w:val="231F20"/>
          <w:w w:val="105"/>
        </w:rPr>
        <w:t>habitantes</w:t>
      </w:r>
      <w:r>
        <w:rPr>
          <w:color w:val="231F20"/>
          <w:spacing w:val="-9"/>
          <w:w w:val="105"/>
        </w:rPr>
        <w:t> </w:t>
      </w:r>
      <w:r>
        <w:rPr>
          <w:color w:val="231F20"/>
          <w:w w:val="105"/>
        </w:rPr>
        <w:t>y</w:t>
      </w:r>
      <w:r>
        <w:rPr>
          <w:color w:val="231F20"/>
          <w:spacing w:val="-9"/>
          <w:w w:val="105"/>
        </w:rPr>
        <w:t> </w:t>
      </w:r>
      <w:r>
        <w:rPr>
          <w:color w:val="231F20"/>
          <w:spacing w:val="2"/>
          <w:w w:val="105"/>
        </w:rPr>
        <w:t>al</w:t>
      </w:r>
      <w:r>
        <w:rPr>
          <w:color w:val="231F20"/>
          <w:spacing w:val="-9"/>
          <w:w w:val="105"/>
        </w:rPr>
        <w:t> </w:t>
      </w:r>
      <w:r>
        <w:rPr>
          <w:color w:val="231F20"/>
          <w:w w:val="105"/>
        </w:rPr>
        <w:t>4.55%</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electores;</w:t>
      </w:r>
      <w:r>
        <w:rPr>
          <w:color w:val="231F20"/>
          <w:spacing w:val="-9"/>
          <w:w w:val="105"/>
        </w:rPr>
        <w:t> </w:t>
      </w:r>
      <w:r>
        <w:rPr>
          <w:color w:val="231F20"/>
          <w:w w:val="105"/>
        </w:rPr>
        <w:t>y</w:t>
      </w:r>
      <w:r>
        <w:rPr>
          <w:color w:val="231F20"/>
          <w:spacing w:val="-9"/>
          <w:w w:val="105"/>
        </w:rPr>
        <w:t> </w:t>
      </w:r>
      <w:r>
        <w:rPr>
          <w:color w:val="231F20"/>
          <w:w w:val="105"/>
        </w:rPr>
        <w:t>bajo</w:t>
      </w:r>
      <w:r>
        <w:rPr>
          <w:color w:val="231F20"/>
          <w:spacing w:val="-9"/>
          <w:w w:val="105"/>
        </w:rPr>
        <w:t> </w:t>
      </w:r>
      <w:r>
        <w:rPr>
          <w:color w:val="231F20"/>
          <w:w w:val="105"/>
        </w:rPr>
        <w:t>las</w:t>
      </w:r>
      <w:r>
        <w:rPr>
          <w:color w:val="231F20"/>
          <w:spacing w:val="-9"/>
          <w:w w:val="105"/>
        </w:rPr>
        <w:t> </w:t>
      </w:r>
      <w:r>
        <w:rPr>
          <w:color w:val="231F20"/>
          <w:w w:val="105"/>
        </w:rPr>
        <w:t>administraciones</w:t>
      </w:r>
      <w:r>
        <w:rPr>
          <w:color w:val="231F20"/>
          <w:spacing w:val="-9"/>
          <w:w w:val="105"/>
        </w:rPr>
        <w:t> </w:t>
      </w:r>
      <w:r>
        <w:rPr>
          <w:color w:val="231F20"/>
          <w:w w:val="105"/>
        </w:rPr>
        <w:t>panistas</w:t>
      </w:r>
      <w:r>
        <w:rPr>
          <w:color w:val="231F20"/>
          <w:spacing w:val="-9"/>
          <w:w w:val="105"/>
        </w:rPr>
        <w:t> </w:t>
      </w:r>
      <w:r>
        <w:rPr>
          <w:color w:val="231F20"/>
          <w:w w:val="105"/>
        </w:rPr>
        <w:t>radica</w:t>
      </w:r>
      <w:r>
        <w:rPr>
          <w:color w:val="231F20"/>
          <w:spacing w:val="-9"/>
          <w:w w:val="105"/>
        </w:rPr>
        <w:t> </w:t>
      </w:r>
      <w:r>
        <w:rPr>
          <w:color w:val="231F20"/>
          <w:w w:val="105"/>
        </w:rPr>
        <w:t>el </w:t>
      </w:r>
      <w:r>
        <w:rPr>
          <w:color w:val="231F20"/>
          <w:spacing w:val="-2"/>
          <w:w w:val="105"/>
        </w:rPr>
        <w:t>16.27%</w:t>
      </w:r>
      <w:r>
        <w:rPr>
          <w:color w:val="231F20"/>
          <w:spacing w:val="-36"/>
          <w:w w:val="105"/>
        </w:rPr>
        <w:t> </w:t>
      </w:r>
      <w:r>
        <w:rPr>
          <w:color w:val="231F20"/>
          <w:w w:val="105"/>
        </w:rPr>
        <w:t>de</w:t>
      </w:r>
      <w:r>
        <w:rPr>
          <w:color w:val="231F20"/>
          <w:spacing w:val="-36"/>
          <w:w w:val="105"/>
        </w:rPr>
        <w:t> </w:t>
      </w:r>
      <w:r>
        <w:rPr>
          <w:color w:val="231F20"/>
          <w:w w:val="105"/>
        </w:rPr>
        <w:t>mexiquenses</w:t>
      </w:r>
      <w:r>
        <w:rPr>
          <w:color w:val="231F20"/>
          <w:spacing w:val="-36"/>
          <w:w w:val="105"/>
        </w:rPr>
        <w:t> </w:t>
      </w:r>
      <w:r>
        <w:rPr>
          <w:color w:val="231F20"/>
          <w:w w:val="105"/>
        </w:rPr>
        <w:t>y</w:t>
      </w:r>
      <w:r>
        <w:rPr>
          <w:color w:val="231F20"/>
          <w:spacing w:val="-36"/>
          <w:w w:val="105"/>
        </w:rPr>
        <w:t> </w:t>
      </w:r>
      <w:r>
        <w:rPr>
          <w:color w:val="231F20"/>
          <w:spacing w:val="2"/>
          <w:w w:val="105"/>
        </w:rPr>
        <w:t>al</w:t>
      </w:r>
      <w:r>
        <w:rPr>
          <w:color w:val="231F20"/>
          <w:spacing w:val="-36"/>
          <w:w w:val="105"/>
        </w:rPr>
        <w:t> </w:t>
      </w:r>
      <w:r>
        <w:rPr>
          <w:color w:val="231F20"/>
          <w:spacing w:val="-4"/>
          <w:w w:val="105"/>
        </w:rPr>
        <w:t>14.13%</w:t>
      </w:r>
      <w:r>
        <w:rPr>
          <w:color w:val="231F20"/>
          <w:spacing w:val="-36"/>
          <w:w w:val="105"/>
        </w:rPr>
        <w:t> </w:t>
      </w:r>
      <w:r>
        <w:rPr>
          <w:color w:val="231F20"/>
          <w:w w:val="105"/>
        </w:rPr>
        <w:t>del</w:t>
      </w:r>
      <w:r>
        <w:rPr>
          <w:color w:val="231F20"/>
          <w:spacing w:val="-36"/>
          <w:w w:val="105"/>
        </w:rPr>
        <w:t> </w:t>
      </w:r>
      <w:r>
        <w:rPr>
          <w:color w:val="231F20"/>
          <w:w w:val="105"/>
        </w:rPr>
        <w:t>electorado.</w:t>
      </w:r>
    </w:p>
    <w:p>
      <w:pPr>
        <w:pStyle w:val="BodyText"/>
        <w:spacing w:before="1"/>
        <w:rPr>
          <w:sz w:val="26"/>
        </w:rPr>
      </w:pPr>
    </w:p>
    <w:p>
      <w:pPr>
        <w:pStyle w:val="BodyText"/>
        <w:spacing w:line="285" w:lineRule="auto"/>
        <w:ind w:left="110" w:right="107"/>
        <w:jc w:val="both"/>
      </w:pPr>
      <w:r>
        <w:rPr>
          <w:color w:val="231F20"/>
          <w:w w:val="105"/>
        </w:rPr>
        <w:t>La</w:t>
      </w:r>
      <w:r>
        <w:rPr>
          <w:color w:val="231F20"/>
          <w:spacing w:val="-8"/>
          <w:w w:val="105"/>
        </w:rPr>
        <w:t> </w:t>
      </w:r>
      <w:r>
        <w:rPr>
          <w:color w:val="231F20"/>
          <w:w w:val="105"/>
        </w:rPr>
        <w:t>importancia</w:t>
      </w:r>
      <w:r>
        <w:rPr>
          <w:color w:val="231F20"/>
          <w:spacing w:val="-8"/>
          <w:w w:val="105"/>
        </w:rPr>
        <w:t> </w:t>
      </w:r>
      <w:r>
        <w:rPr>
          <w:color w:val="231F20"/>
          <w:w w:val="105"/>
        </w:rPr>
        <w:t>política</w:t>
      </w:r>
      <w:r>
        <w:rPr>
          <w:color w:val="231F20"/>
          <w:spacing w:val="-8"/>
          <w:w w:val="105"/>
        </w:rPr>
        <w:t> </w:t>
      </w:r>
      <w:r>
        <w:rPr>
          <w:color w:val="231F20"/>
          <w:w w:val="105"/>
        </w:rPr>
        <w:t>de</w:t>
      </w:r>
      <w:r>
        <w:rPr>
          <w:color w:val="231F20"/>
          <w:spacing w:val="-8"/>
          <w:w w:val="105"/>
        </w:rPr>
        <w:t> </w:t>
      </w:r>
      <w:r>
        <w:rPr>
          <w:color w:val="231F20"/>
          <w:w w:val="105"/>
        </w:rPr>
        <w:t>Huixquilucan</w:t>
      </w:r>
      <w:r>
        <w:rPr>
          <w:color w:val="231F20"/>
          <w:spacing w:val="-8"/>
          <w:w w:val="105"/>
        </w:rPr>
        <w:t> </w:t>
      </w:r>
      <w:r>
        <w:rPr>
          <w:color w:val="231F20"/>
          <w:w w:val="105"/>
        </w:rPr>
        <w:t>radica</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ubicación</w:t>
      </w:r>
      <w:r>
        <w:rPr>
          <w:color w:val="231F20"/>
          <w:spacing w:val="-8"/>
          <w:w w:val="105"/>
        </w:rPr>
        <w:t> </w:t>
      </w:r>
      <w:r>
        <w:rPr>
          <w:color w:val="231F20"/>
          <w:w w:val="105"/>
        </w:rPr>
        <w:t>ya</w:t>
      </w:r>
      <w:r>
        <w:rPr>
          <w:color w:val="231F20"/>
          <w:spacing w:val="-8"/>
          <w:w w:val="105"/>
        </w:rPr>
        <w:t> </w:t>
      </w:r>
      <w:r>
        <w:rPr>
          <w:color w:val="231F20"/>
          <w:w w:val="105"/>
        </w:rPr>
        <w:t>que</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municipio mediante el que se conectan a los valles de </w:t>
      </w:r>
      <w:r>
        <w:rPr>
          <w:color w:val="231F20"/>
          <w:spacing w:val="-6"/>
          <w:w w:val="105"/>
        </w:rPr>
        <w:t>Toluca </w:t>
      </w:r>
      <w:r>
        <w:rPr>
          <w:color w:val="231F20"/>
          <w:w w:val="105"/>
        </w:rPr>
        <w:t>y de México, a la vez que política- mente se ha ubicado como el territorio límite a la expansión del </w:t>
      </w:r>
      <w:r>
        <w:rPr>
          <w:color w:val="231F20"/>
          <w:spacing w:val="-3"/>
          <w:w w:val="105"/>
        </w:rPr>
        <w:t>“corredor </w:t>
      </w:r>
      <w:r>
        <w:rPr>
          <w:color w:val="231F20"/>
          <w:spacing w:val="3"/>
          <w:w w:val="105"/>
        </w:rPr>
        <w:t>azul” </w:t>
      </w:r>
      <w:r>
        <w:rPr>
          <w:color w:val="231F20"/>
          <w:w w:val="105"/>
        </w:rPr>
        <w:t>de</w:t>
      </w:r>
      <w:r>
        <w:rPr>
          <w:color w:val="231F20"/>
          <w:spacing w:val="-37"/>
          <w:w w:val="105"/>
        </w:rPr>
        <w:t> </w:t>
      </w:r>
      <w:r>
        <w:rPr>
          <w:color w:val="231F20"/>
          <w:w w:val="105"/>
        </w:rPr>
        <w:t>los gobiernos municipales controlados por el </w:t>
      </w:r>
      <w:r>
        <w:rPr>
          <w:color w:val="231F20"/>
          <w:spacing w:val="-4"/>
          <w:w w:val="105"/>
        </w:rPr>
        <w:t>PAN, </w:t>
      </w:r>
      <w:r>
        <w:rPr>
          <w:color w:val="231F20"/>
          <w:w w:val="105"/>
        </w:rPr>
        <w:t>lo que ha impedido que se puedan co- nectar</w:t>
      </w:r>
      <w:r>
        <w:rPr>
          <w:color w:val="231F20"/>
          <w:spacing w:val="-20"/>
          <w:w w:val="105"/>
        </w:rPr>
        <w:t> </w:t>
      </w:r>
      <w:r>
        <w:rPr>
          <w:color w:val="231F20"/>
          <w:w w:val="105"/>
        </w:rPr>
        <w:t>aquellos</w:t>
      </w:r>
      <w:r>
        <w:rPr>
          <w:color w:val="231F20"/>
          <w:spacing w:val="-20"/>
          <w:w w:val="105"/>
        </w:rPr>
        <w:t> </w:t>
      </w:r>
      <w:r>
        <w:rPr>
          <w:color w:val="231F20"/>
          <w:w w:val="105"/>
        </w:rPr>
        <w:t>ayuntamientos</w:t>
      </w:r>
      <w:r>
        <w:rPr>
          <w:color w:val="231F20"/>
          <w:spacing w:val="-20"/>
          <w:w w:val="105"/>
        </w:rPr>
        <w:t> </w:t>
      </w:r>
      <w:r>
        <w:rPr>
          <w:color w:val="231F20"/>
          <w:w w:val="105"/>
        </w:rPr>
        <w:t>panistas</w:t>
      </w:r>
      <w:r>
        <w:rPr>
          <w:color w:val="231F20"/>
          <w:spacing w:val="-20"/>
          <w:w w:val="105"/>
        </w:rPr>
        <w:t> </w:t>
      </w:r>
      <w:r>
        <w:rPr>
          <w:color w:val="231F20"/>
          <w:w w:val="105"/>
        </w:rPr>
        <w:t>del</w:t>
      </w:r>
      <w:r>
        <w:rPr>
          <w:color w:val="231F20"/>
          <w:spacing w:val="-20"/>
          <w:w w:val="105"/>
        </w:rPr>
        <w:t> </w:t>
      </w:r>
      <w:r>
        <w:rPr>
          <w:color w:val="231F20"/>
          <w:w w:val="105"/>
        </w:rPr>
        <w:t>Valle</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0"/>
          <w:w w:val="105"/>
        </w:rPr>
        <w:t> </w:t>
      </w:r>
      <w:r>
        <w:rPr>
          <w:color w:val="231F20"/>
          <w:spacing w:val="-5"/>
          <w:w w:val="105"/>
        </w:rPr>
        <w:t>Toluca, </w:t>
      </w:r>
      <w:r>
        <w:rPr>
          <w:color w:val="231F20"/>
          <w:w w:val="105"/>
        </w:rPr>
        <w:t>que</w:t>
      </w:r>
      <w:r>
        <w:rPr>
          <w:color w:val="231F20"/>
          <w:spacing w:val="-11"/>
          <w:w w:val="105"/>
        </w:rPr>
        <w:t> </w:t>
      </w:r>
      <w:r>
        <w:rPr>
          <w:color w:val="231F20"/>
          <w:w w:val="105"/>
        </w:rPr>
        <w:t>también</w:t>
      </w:r>
      <w:r>
        <w:rPr>
          <w:color w:val="231F20"/>
          <w:spacing w:val="-11"/>
          <w:w w:val="105"/>
        </w:rPr>
        <w:t> </w:t>
      </w:r>
      <w:r>
        <w:rPr>
          <w:color w:val="231F20"/>
          <w:w w:val="105"/>
        </w:rPr>
        <w:t>es</w:t>
      </w:r>
      <w:r>
        <w:rPr>
          <w:color w:val="231F20"/>
          <w:spacing w:val="-11"/>
          <w:w w:val="105"/>
        </w:rPr>
        <w:t> </w:t>
      </w:r>
      <w:r>
        <w:rPr>
          <w:color w:val="231F20"/>
          <w:w w:val="105"/>
        </w:rPr>
        <w:t>controlado</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albiazul.</w:t>
      </w:r>
    </w:p>
    <w:p>
      <w:pPr>
        <w:pStyle w:val="BodyText"/>
        <w:spacing w:before="1"/>
        <w:rPr>
          <w:sz w:val="26"/>
        </w:rPr>
      </w:pPr>
    </w:p>
    <w:p>
      <w:pPr>
        <w:pStyle w:val="BodyText"/>
        <w:spacing w:line="285" w:lineRule="auto"/>
        <w:ind w:left="110" w:right="107"/>
        <w:jc w:val="both"/>
      </w:pPr>
      <w:r>
        <w:rPr>
          <w:color w:val="231F20"/>
          <w:w w:val="105"/>
        </w:rPr>
        <w:t>El ayuntamiento huixquiluquense por su parte ha sido gobernado por el PRI en la mayoría de sus administraciones, sin embargo no escapa a la experiencia de la alter- nancia. La única vez que la ha experimentado fue en la renovación para el periodo 2000-2003 cuando triunfó el candidato panista Guillermo Espinoza Cruz; sin em- bargo, después de una administración llena de obstáculos y problemas    internos</w:t>
      </w:r>
      <w:r>
        <w:rPr>
          <w:color w:val="231F20"/>
          <w:w w:val="105"/>
          <w:position w:val="7"/>
          <w:sz w:val="13"/>
        </w:rPr>
        <w:t>5  </w:t>
      </w:r>
      <w:r>
        <w:rPr>
          <w:color w:val="231F20"/>
          <w:w w:val="105"/>
        </w:rPr>
        <w:t>el</w:t>
      </w:r>
    </w:p>
    <w:p>
      <w:pPr>
        <w:pStyle w:val="BodyText"/>
        <w:spacing w:before="6"/>
        <w:rPr>
          <w:sz w:val="13"/>
        </w:rPr>
      </w:pPr>
      <w:r>
        <w:rPr/>
        <w:pict>
          <v:line style="position:absolute;mso-position-horizontal-relative:page;mso-position-vertical-relative:paragraph;z-index:2008;mso-wrap-distance-left:0;mso-wrap-distance-right:0" from="42.519699pt,10.235888pt" to="114.519699pt,10.235888pt" stroked="true" strokeweight="1pt" strokecolor="#231f20">
            <w10:wrap type="topAndBottom"/>
          </v:line>
        </w:pict>
      </w:r>
    </w:p>
    <w:p>
      <w:pPr>
        <w:pStyle w:val="ListParagraph"/>
        <w:numPr>
          <w:ilvl w:val="0"/>
          <w:numId w:val="1"/>
        </w:numPr>
        <w:tabs>
          <w:tab w:pos="236" w:val="left" w:leader="none"/>
        </w:tabs>
        <w:spacing w:line="244" w:lineRule="auto" w:before="8" w:after="0"/>
        <w:ind w:left="110" w:right="107" w:firstLine="0"/>
        <w:jc w:val="both"/>
        <w:rPr>
          <w:sz w:val="16"/>
        </w:rPr>
      </w:pPr>
      <w:r>
        <w:rPr>
          <w:color w:val="231F20"/>
          <w:sz w:val="16"/>
        </w:rPr>
        <w:t>La administración panista de Huixquilucan para el periodo 2000-2003 experimentó diversos obstáculos, principalmente provenientes del gobierno priísta previo que encabezó Javier Calvillo </w:t>
      </w:r>
      <w:r>
        <w:rPr>
          <w:color w:val="231F20"/>
          <w:spacing w:val="-4"/>
          <w:sz w:val="16"/>
        </w:rPr>
        <w:t>(1997-2000), </w:t>
      </w:r>
      <w:r>
        <w:rPr>
          <w:color w:val="231F20"/>
          <w:sz w:val="16"/>
        </w:rPr>
        <w:t>pues hasta varios meses después de la toma de protesta de Guillermo Espinoza, su antecesor no le había entregado los informes del estado de la administración municipal</w:t>
      </w:r>
      <w:r>
        <w:rPr>
          <w:color w:val="231F20"/>
          <w:spacing w:val="-11"/>
          <w:sz w:val="16"/>
        </w:rPr>
        <w:t> </w:t>
      </w:r>
      <w:r>
        <w:rPr>
          <w:color w:val="231F20"/>
          <w:sz w:val="16"/>
        </w:rPr>
        <w:t>(El</w:t>
      </w:r>
      <w:r>
        <w:rPr>
          <w:color w:val="231F20"/>
          <w:spacing w:val="-11"/>
          <w:sz w:val="16"/>
        </w:rPr>
        <w:t> </w:t>
      </w:r>
      <w:r>
        <w:rPr>
          <w:color w:val="231F20"/>
          <w:sz w:val="16"/>
        </w:rPr>
        <w:t>Universal,</w:t>
      </w:r>
      <w:r>
        <w:rPr>
          <w:color w:val="231F20"/>
          <w:spacing w:val="-11"/>
          <w:sz w:val="16"/>
        </w:rPr>
        <w:t> </w:t>
      </w:r>
      <w:r>
        <w:rPr>
          <w:color w:val="231F20"/>
          <w:sz w:val="16"/>
        </w:rPr>
        <w:t>“En</w:t>
      </w:r>
      <w:r>
        <w:rPr>
          <w:color w:val="231F20"/>
          <w:spacing w:val="-11"/>
          <w:sz w:val="16"/>
        </w:rPr>
        <w:t> </w:t>
      </w:r>
      <w:r>
        <w:rPr>
          <w:color w:val="231F20"/>
          <w:sz w:val="16"/>
        </w:rPr>
        <w:t>crisis,</w:t>
      </w:r>
      <w:r>
        <w:rPr>
          <w:color w:val="231F20"/>
          <w:spacing w:val="-11"/>
          <w:sz w:val="16"/>
        </w:rPr>
        <w:t> </w:t>
      </w:r>
      <w:r>
        <w:rPr>
          <w:color w:val="231F20"/>
          <w:sz w:val="16"/>
        </w:rPr>
        <w:t>alcaldía</w:t>
      </w:r>
      <w:r>
        <w:rPr>
          <w:color w:val="231F20"/>
          <w:spacing w:val="-11"/>
          <w:sz w:val="16"/>
        </w:rPr>
        <w:t> </w:t>
      </w:r>
      <w:r>
        <w:rPr>
          <w:color w:val="231F20"/>
          <w:sz w:val="16"/>
        </w:rPr>
        <w:t>de</w:t>
      </w:r>
      <w:r>
        <w:rPr>
          <w:color w:val="231F20"/>
          <w:spacing w:val="-11"/>
          <w:sz w:val="16"/>
        </w:rPr>
        <w:t> </w:t>
      </w:r>
      <w:r>
        <w:rPr>
          <w:color w:val="231F20"/>
          <w:sz w:val="16"/>
        </w:rPr>
        <w:t>Huixquilucan,</w:t>
      </w:r>
      <w:r>
        <w:rPr>
          <w:color w:val="231F20"/>
          <w:spacing w:val="-11"/>
          <w:sz w:val="16"/>
        </w:rPr>
        <w:t> </w:t>
      </w:r>
      <w:r>
        <w:rPr>
          <w:color w:val="231F20"/>
          <w:sz w:val="16"/>
        </w:rPr>
        <w:t>29</w:t>
      </w:r>
      <w:r>
        <w:rPr>
          <w:color w:val="231F20"/>
          <w:spacing w:val="-11"/>
          <w:sz w:val="16"/>
        </w:rPr>
        <w:t> </w:t>
      </w:r>
      <w:r>
        <w:rPr>
          <w:color w:val="231F20"/>
          <w:sz w:val="16"/>
        </w:rPr>
        <w:t>de</w:t>
      </w:r>
      <w:r>
        <w:rPr>
          <w:color w:val="231F20"/>
          <w:spacing w:val="-11"/>
          <w:sz w:val="16"/>
        </w:rPr>
        <w:t> </w:t>
      </w:r>
      <w:r>
        <w:rPr>
          <w:color w:val="231F20"/>
          <w:sz w:val="16"/>
        </w:rPr>
        <w:t>septiembre</w:t>
      </w:r>
      <w:r>
        <w:rPr>
          <w:color w:val="231F20"/>
          <w:spacing w:val="-11"/>
          <w:sz w:val="16"/>
        </w:rPr>
        <w:t> </w:t>
      </w:r>
      <w:r>
        <w:rPr>
          <w:color w:val="231F20"/>
          <w:sz w:val="16"/>
        </w:rPr>
        <w:t>de</w:t>
      </w:r>
      <w:r>
        <w:rPr>
          <w:color w:val="231F20"/>
          <w:spacing w:val="-11"/>
          <w:sz w:val="16"/>
        </w:rPr>
        <w:t> </w:t>
      </w:r>
      <w:r>
        <w:rPr>
          <w:color w:val="231F20"/>
          <w:sz w:val="16"/>
        </w:rPr>
        <w:t>2000).</w:t>
      </w:r>
      <w:r>
        <w:rPr>
          <w:color w:val="231F20"/>
          <w:spacing w:val="-11"/>
          <w:sz w:val="16"/>
        </w:rPr>
        <w:t> </w:t>
      </w:r>
      <w:r>
        <w:rPr>
          <w:color w:val="231F20"/>
          <w:sz w:val="16"/>
        </w:rPr>
        <w:t>Además</w:t>
      </w:r>
      <w:r>
        <w:rPr>
          <w:color w:val="231F20"/>
          <w:spacing w:val="-11"/>
          <w:sz w:val="16"/>
        </w:rPr>
        <w:t> </w:t>
      </w:r>
      <w:r>
        <w:rPr>
          <w:color w:val="231F20"/>
          <w:sz w:val="16"/>
        </w:rPr>
        <w:t>el</w:t>
      </w:r>
      <w:r>
        <w:rPr>
          <w:color w:val="231F20"/>
          <w:spacing w:val="-11"/>
          <w:sz w:val="16"/>
        </w:rPr>
        <w:t> </w:t>
      </w:r>
      <w:r>
        <w:rPr>
          <w:color w:val="231F20"/>
          <w:sz w:val="16"/>
        </w:rPr>
        <w:t>panista</w:t>
      </w:r>
      <w:r>
        <w:rPr>
          <w:color w:val="231F20"/>
          <w:spacing w:val="-11"/>
          <w:sz w:val="16"/>
        </w:rPr>
        <w:t> </w:t>
      </w:r>
      <w:r>
        <w:rPr>
          <w:color w:val="231F20"/>
          <w:sz w:val="16"/>
        </w:rPr>
        <w:t>estuvo</w:t>
      </w:r>
      <w:r>
        <w:rPr>
          <w:color w:val="231F20"/>
          <w:spacing w:val="-11"/>
          <w:sz w:val="16"/>
        </w:rPr>
        <w:t> </w:t>
      </w:r>
      <w:r>
        <w:rPr>
          <w:color w:val="231F20"/>
          <w:sz w:val="16"/>
        </w:rPr>
        <w:t>constante- mente sujeto a presiones y demandas legales interpuestas por la oposición perredista encabezada por el entonces regidor Hilario</w:t>
      </w:r>
      <w:r>
        <w:rPr>
          <w:color w:val="231F20"/>
          <w:spacing w:val="-6"/>
          <w:sz w:val="16"/>
        </w:rPr>
        <w:t> </w:t>
      </w:r>
      <w:r>
        <w:rPr>
          <w:color w:val="231F20"/>
          <w:sz w:val="16"/>
        </w:rPr>
        <w:t>García;</w:t>
      </w:r>
      <w:r>
        <w:rPr>
          <w:color w:val="231F20"/>
          <w:spacing w:val="-6"/>
          <w:sz w:val="16"/>
        </w:rPr>
        <w:t> </w:t>
      </w:r>
      <w:r>
        <w:rPr>
          <w:color w:val="231F20"/>
          <w:sz w:val="16"/>
        </w:rPr>
        <w:t>a</w:t>
      </w:r>
      <w:r>
        <w:rPr>
          <w:color w:val="231F20"/>
          <w:spacing w:val="-6"/>
          <w:sz w:val="16"/>
        </w:rPr>
        <w:t> </w:t>
      </w:r>
      <w:r>
        <w:rPr>
          <w:color w:val="231F20"/>
          <w:sz w:val="16"/>
        </w:rPr>
        <w:t>la</w:t>
      </w:r>
      <w:r>
        <w:rPr>
          <w:color w:val="231F20"/>
          <w:spacing w:val="-6"/>
          <w:sz w:val="16"/>
        </w:rPr>
        <w:t> </w:t>
      </w:r>
      <w:r>
        <w:rPr>
          <w:color w:val="231F20"/>
          <w:sz w:val="16"/>
        </w:rPr>
        <w:t>vez</w:t>
      </w:r>
      <w:r>
        <w:rPr>
          <w:color w:val="231F20"/>
          <w:spacing w:val="-6"/>
          <w:sz w:val="16"/>
        </w:rPr>
        <w:t> </w:t>
      </w:r>
      <w:r>
        <w:rPr>
          <w:color w:val="231F20"/>
          <w:sz w:val="16"/>
        </w:rPr>
        <w:t>que</w:t>
      </w:r>
      <w:r>
        <w:rPr>
          <w:color w:val="231F20"/>
          <w:spacing w:val="-6"/>
          <w:sz w:val="16"/>
        </w:rPr>
        <w:t> </w:t>
      </w:r>
      <w:r>
        <w:rPr>
          <w:color w:val="231F20"/>
          <w:sz w:val="16"/>
        </w:rPr>
        <w:t>existieron</w:t>
      </w:r>
      <w:r>
        <w:rPr>
          <w:color w:val="231F20"/>
          <w:spacing w:val="-6"/>
          <w:sz w:val="16"/>
        </w:rPr>
        <w:t> </w:t>
      </w:r>
      <w:r>
        <w:rPr>
          <w:color w:val="231F20"/>
          <w:sz w:val="16"/>
        </w:rPr>
        <w:t>diversas</w:t>
      </w:r>
      <w:r>
        <w:rPr>
          <w:color w:val="231F20"/>
          <w:spacing w:val="-6"/>
          <w:sz w:val="16"/>
        </w:rPr>
        <w:t> </w:t>
      </w:r>
      <w:r>
        <w:rPr>
          <w:color w:val="231F20"/>
          <w:sz w:val="16"/>
        </w:rPr>
        <w:t>acusaciones</w:t>
      </w:r>
      <w:r>
        <w:rPr>
          <w:color w:val="231F20"/>
          <w:spacing w:val="-6"/>
          <w:sz w:val="16"/>
        </w:rPr>
        <w:t> </w:t>
      </w:r>
      <w:r>
        <w:rPr>
          <w:color w:val="231F20"/>
          <w:sz w:val="16"/>
        </w:rPr>
        <w:t>de</w:t>
      </w:r>
      <w:r>
        <w:rPr>
          <w:color w:val="231F20"/>
          <w:spacing w:val="-6"/>
          <w:sz w:val="16"/>
        </w:rPr>
        <w:t> </w:t>
      </w:r>
      <w:r>
        <w:rPr>
          <w:color w:val="231F20"/>
          <w:sz w:val="16"/>
        </w:rPr>
        <w:t>parte</w:t>
      </w:r>
      <w:r>
        <w:rPr>
          <w:color w:val="231F20"/>
          <w:spacing w:val="-6"/>
          <w:sz w:val="16"/>
        </w:rPr>
        <w:t> </w:t>
      </w:r>
      <w:r>
        <w:rPr>
          <w:color w:val="231F20"/>
          <w:sz w:val="16"/>
        </w:rPr>
        <w:t>de</w:t>
      </w:r>
      <w:r>
        <w:rPr>
          <w:color w:val="231F20"/>
          <w:spacing w:val="-6"/>
          <w:sz w:val="16"/>
        </w:rPr>
        <w:t> </w:t>
      </w:r>
      <w:r>
        <w:rPr>
          <w:color w:val="231F20"/>
          <w:sz w:val="16"/>
        </w:rPr>
        <w:t>varios</w:t>
      </w:r>
      <w:r>
        <w:rPr>
          <w:color w:val="231F20"/>
          <w:spacing w:val="-6"/>
          <w:sz w:val="16"/>
        </w:rPr>
        <w:t> </w:t>
      </w:r>
      <w:r>
        <w:rPr>
          <w:color w:val="231F20"/>
          <w:sz w:val="16"/>
        </w:rPr>
        <w:t>miembros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estructura</w:t>
      </w:r>
      <w:r>
        <w:rPr>
          <w:color w:val="231F20"/>
          <w:spacing w:val="-6"/>
          <w:sz w:val="16"/>
        </w:rPr>
        <w:t> </w:t>
      </w:r>
      <w:r>
        <w:rPr>
          <w:color w:val="231F20"/>
          <w:sz w:val="16"/>
        </w:rPr>
        <w:t>administrativa</w:t>
      </w:r>
      <w:r>
        <w:rPr>
          <w:color w:val="231F20"/>
          <w:spacing w:val="-6"/>
          <w:sz w:val="16"/>
        </w:rPr>
        <w:t> </w:t>
      </w:r>
      <w:r>
        <w:rPr>
          <w:color w:val="231F20"/>
          <w:sz w:val="16"/>
        </w:rPr>
        <w:t>que acusaban a Espinoza Cruz de extorsionarlos y quitarles parte de sus sueldos para pagar las deudas contraídas en campaña, además de que fue detenido y encerrado en la cárcel durante su primer año de gobierno obligándolo a solicitar en varias ocasiones</w:t>
      </w:r>
      <w:r>
        <w:rPr>
          <w:color w:val="231F20"/>
          <w:spacing w:val="-14"/>
          <w:sz w:val="16"/>
        </w:rPr>
        <w:t> </w:t>
      </w:r>
      <w:r>
        <w:rPr>
          <w:color w:val="231F20"/>
          <w:sz w:val="16"/>
        </w:rPr>
        <w:t>licencias</w:t>
      </w:r>
      <w:r>
        <w:rPr>
          <w:color w:val="231F20"/>
          <w:spacing w:val="-14"/>
          <w:sz w:val="16"/>
        </w:rPr>
        <w:t> </w:t>
      </w:r>
      <w:r>
        <w:rPr>
          <w:color w:val="231F20"/>
          <w:sz w:val="16"/>
        </w:rPr>
        <w:t>a</w:t>
      </w:r>
      <w:r>
        <w:rPr>
          <w:color w:val="231F20"/>
          <w:spacing w:val="-14"/>
          <w:sz w:val="16"/>
        </w:rPr>
        <w:t> </w:t>
      </w:r>
      <w:r>
        <w:rPr>
          <w:color w:val="231F20"/>
          <w:sz w:val="16"/>
        </w:rPr>
        <w:t>su</w:t>
      </w:r>
      <w:r>
        <w:rPr>
          <w:color w:val="231F20"/>
          <w:spacing w:val="-14"/>
          <w:sz w:val="16"/>
        </w:rPr>
        <w:t> </w:t>
      </w:r>
      <w:r>
        <w:rPr>
          <w:color w:val="231F20"/>
          <w:sz w:val="16"/>
        </w:rPr>
        <w:t>cargo</w:t>
      </w:r>
      <w:r>
        <w:rPr>
          <w:color w:val="231F20"/>
          <w:spacing w:val="-14"/>
          <w:sz w:val="16"/>
        </w:rPr>
        <w:t> </w:t>
      </w:r>
      <w:r>
        <w:rPr>
          <w:color w:val="231F20"/>
          <w:sz w:val="16"/>
        </w:rPr>
        <w:t>para</w:t>
      </w:r>
      <w:r>
        <w:rPr>
          <w:color w:val="231F20"/>
          <w:spacing w:val="-14"/>
          <w:sz w:val="16"/>
        </w:rPr>
        <w:t> </w:t>
      </w:r>
      <w:r>
        <w:rPr>
          <w:color w:val="231F20"/>
          <w:sz w:val="16"/>
        </w:rPr>
        <w:t>enfrentar</w:t>
      </w:r>
      <w:r>
        <w:rPr>
          <w:color w:val="231F20"/>
          <w:spacing w:val="-14"/>
          <w:sz w:val="16"/>
        </w:rPr>
        <w:t> </w:t>
      </w:r>
      <w:r>
        <w:rPr>
          <w:color w:val="231F20"/>
          <w:sz w:val="16"/>
        </w:rPr>
        <w:t>los</w:t>
      </w:r>
      <w:r>
        <w:rPr>
          <w:color w:val="231F20"/>
          <w:spacing w:val="-14"/>
          <w:sz w:val="16"/>
        </w:rPr>
        <w:t> </w:t>
      </w:r>
      <w:r>
        <w:rPr>
          <w:color w:val="231F20"/>
          <w:sz w:val="16"/>
        </w:rPr>
        <w:t>procesos</w:t>
      </w:r>
      <w:r>
        <w:rPr>
          <w:color w:val="231F20"/>
          <w:spacing w:val="-14"/>
          <w:sz w:val="16"/>
        </w:rPr>
        <w:t> </w:t>
      </w:r>
      <w:r>
        <w:rPr>
          <w:color w:val="231F20"/>
          <w:sz w:val="16"/>
        </w:rPr>
        <w:t>legales</w:t>
      </w:r>
      <w:r>
        <w:rPr>
          <w:color w:val="231F20"/>
          <w:spacing w:val="-14"/>
          <w:sz w:val="16"/>
        </w:rPr>
        <w:t> </w:t>
      </w:r>
      <w:r>
        <w:rPr>
          <w:color w:val="231F20"/>
          <w:sz w:val="16"/>
        </w:rPr>
        <w:t>en</w:t>
      </w:r>
      <w:r>
        <w:rPr>
          <w:color w:val="231F20"/>
          <w:spacing w:val="-14"/>
          <w:sz w:val="16"/>
        </w:rPr>
        <w:t> </w:t>
      </w:r>
      <w:r>
        <w:rPr>
          <w:color w:val="231F20"/>
          <w:sz w:val="16"/>
        </w:rPr>
        <w:t>su</w:t>
      </w:r>
      <w:r>
        <w:rPr>
          <w:color w:val="231F20"/>
          <w:spacing w:val="-14"/>
          <w:sz w:val="16"/>
        </w:rPr>
        <w:t> </w:t>
      </w:r>
      <w:r>
        <w:rPr>
          <w:color w:val="231F20"/>
          <w:sz w:val="16"/>
        </w:rPr>
        <w:t>contra</w:t>
      </w:r>
      <w:r>
        <w:rPr>
          <w:color w:val="231F20"/>
          <w:spacing w:val="-14"/>
          <w:sz w:val="16"/>
        </w:rPr>
        <w:t> </w:t>
      </w:r>
      <w:r>
        <w:rPr>
          <w:color w:val="231F20"/>
          <w:sz w:val="16"/>
        </w:rPr>
        <w:t>(MONTAÑO,</w:t>
      </w:r>
      <w:r>
        <w:rPr>
          <w:color w:val="231F20"/>
          <w:spacing w:val="-14"/>
          <w:sz w:val="16"/>
        </w:rPr>
        <w:t> </w:t>
      </w:r>
      <w:r>
        <w:rPr>
          <w:color w:val="231F20"/>
          <w:sz w:val="16"/>
        </w:rPr>
        <w:t>2002).</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9"/>
        <w:jc w:val="both"/>
      </w:pPr>
      <w:r>
        <w:rPr>
          <w:color w:val="231F20"/>
          <w:w w:val="105"/>
        </w:rPr>
        <w:t>PAN no logró enraizarse en el territorio durante su gestión y fue derrotado por el PRI en la renovación del ayuntamiento siguiente.</w:t>
      </w:r>
    </w:p>
    <w:p>
      <w:pPr>
        <w:pStyle w:val="BodyText"/>
        <w:spacing w:before="1"/>
        <w:rPr>
          <w:sz w:val="26"/>
        </w:rPr>
      </w:pPr>
    </w:p>
    <w:p>
      <w:pPr>
        <w:pStyle w:val="BodyText"/>
        <w:spacing w:line="285" w:lineRule="auto"/>
        <w:ind w:left="110" w:right="108"/>
        <w:jc w:val="both"/>
      </w:pPr>
      <w:r>
        <w:rPr>
          <w:color w:val="231F20"/>
          <w:w w:val="105"/>
        </w:rPr>
        <w:t>El gobierno huixquiluquense se ha convertido en un enclave de interés para el PRI, necesario para mantener su presencia política en los territorios que forman parte de la zona conurbada del valle de México, así como para intentar frenar la expansión del PAN en dicha región.</w:t>
      </w:r>
    </w:p>
    <w:p>
      <w:pPr>
        <w:pStyle w:val="BodyText"/>
        <w:spacing w:before="1"/>
        <w:rPr>
          <w:sz w:val="26"/>
        </w:rPr>
      </w:pPr>
    </w:p>
    <w:p>
      <w:pPr>
        <w:pStyle w:val="BodyText"/>
        <w:spacing w:line="285" w:lineRule="auto"/>
        <w:ind w:left="110" w:right="107"/>
        <w:jc w:val="both"/>
      </w:pPr>
      <w:r>
        <w:rPr>
          <w:color w:val="231F20"/>
          <w:w w:val="105"/>
        </w:rPr>
        <w:t>El aspecto económico del municipio huixquiluquense es otro factor que influye en la importancia</w:t>
      </w:r>
      <w:r>
        <w:rPr>
          <w:color w:val="231F20"/>
          <w:spacing w:val="-8"/>
          <w:w w:val="105"/>
        </w:rPr>
        <w:t> </w:t>
      </w:r>
      <w:r>
        <w:rPr>
          <w:color w:val="231F20"/>
          <w:w w:val="105"/>
        </w:rPr>
        <w:t>para</w:t>
      </w:r>
      <w:r>
        <w:rPr>
          <w:color w:val="231F20"/>
          <w:spacing w:val="-8"/>
          <w:w w:val="105"/>
        </w:rPr>
        <w:t> </w:t>
      </w:r>
      <w:r>
        <w:rPr>
          <w:color w:val="231F20"/>
          <w:w w:val="105"/>
        </w:rPr>
        <w:t>disputarse</w:t>
      </w:r>
      <w:r>
        <w:rPr>
          <w:color w:val="231F20"/>
          <w:spacing w:val="-8"/>
          <w:w w:val="105"/>
        </w:rPr>
        <w:t> </w:t>
      </w:r>
      <w:r>
        <w:rPr>
          <w:color w:val="231F20"/>
          <w:w w:val="105"/>
        </w:rPr>
        <w:t>el</w:t>
      </w:r>
      <w:r>
        <w:rPr>
          <w:color w:val="231F20"/>
          <w:spacing w:val="-8"/>
          <w:w w:val="105"/>
        </w:rPr>
        <w:t> </w:t>
      </w:r>
      <w:r>
        <w:rPr>
          <w:color w:val="231F20"/>
          <w:w w:val="105"/>
        </w:rPr>
        <w:t>control</w:t>
      </w:r>
      <w:r>
        <w:rPr>
          <w:color w:val="231F20"/>
          <w:spacing w:val="-8"/>
          <w:w w:val="105"/>
        </w:rPr>
        <w:t> </w:t>
      </w:r>
      <w:r>
        <w:rPr>
          <w:color w:val="231F20"/>
          <w:w w:val="105"/>
        </w:rPr>
        <w:t>del</w:t>
      </w:r>
      <w:r>
        <w:rPr>
          <w:color w:val="231F20"/>
          <w:spacing w:val="-8"/>
          <w:w w:val="105"/>
        </w:rPr>
        <w:t> </w:t>
      </w:r>
      <w:r>
        <w:rPr>
          <w:color w:val="231F20"/>
          <w:w w:val="105"/>
        </w:rPr>
        <w:t>gobierno</w:t>
      </w:r>
      <w:r>
        <w:rPr>
          <w:color w:val="231F20"/>
          <w:spacing w:val="-8"/>
          <w:w w:val="105"/>
        </w:rPr>
        <w:t> </w:t>
      </w:r>
      <w:r>
        <w:rPr>
          <w:color w:val="231F20"/>
          <w:w w:val="105"/>
        </w:rPr>
        <w:t>municipal</w:t>
      </w:r>
      <w:r>
        <w:rPr>
          <w:color w:val="231F20"/>
          <w:spacing w:val="-8"/>
          <w:w w:val="105"/>
        </w:rPr>
        <w:t> </w:t>
      </w:r>
      <w:r>
        <w:rPr>
          <w:color w:val="231F20"/>
          <w:w w:val="105"/>
        </w:rPr>
        <w:t>pues</w:t>
      </w:r>
      <w:r>
        <w:rPr>
          <w:color w:val="231F20"/>
          <w:spacing w:val="-8"/>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territorio</w:t>
      </w:r>
      <w:r>
        <w:rPr>
          <w:color w:val="231F20"/>
          <w:spacing w:val="-8"/>
          <w:w w:val="105"/>
        </w:rPr>
        <w:t> </w:t>
      </w:r>
      <w:r>
        <w:rPr>
          <w:color w:val="231F20"/>
          <w:w w:val="105"/>
        </w:rPr>
        <w:t>se concentra el mayor nivel de ingresos de la entidad, principalmente </w:t>
      </w:r>
      <w:r>
        <w:rPr>
          <w:color w:val="231F20"/>
          <w:spacing w:val="-3"/>
          <w:w w:val="105"/>
        </w:rPr>
        <w:t>producido </w:t>
      </w:r>
      <w:r>
        <w:rPr>
          <w:color w:val="231F20"/>
          <w:w w:val="105"/>
        </w:rPr>
        <w:t>por una importante expansión de la industria de la construcción de viviendas. De </w:t>
      </w:r>
      <w:r>
        <w:rPr>
          <w:color w:val="231F20"/>
          <w:spacing w:val="2"/>
          <w:w w:val="105"/>
        </w:rPr>
        <w:t>ahí </w:t>
      </w:r>
      <w:r>
        <w:rPr>
          <w:color w:val="231F20"/>
          <w:w w:val="105"/>
        </w:rPr>
        <w:t>que los empresarios</w:t>
      </w:r>
      <w:r>
        <w:rPr>
          <w:color w:val="231F20"/>
          <w:spacing w:val="-11"/>
          <w:w w:val="105"/>
        </w:rPr>
        <w:t> </w:t>
      </w:r>
      <w:r>
        <w:rPr>
          <w:color w:val="231F20"/>
          <w:w w:val="105"/>
        </w:rPr>
        <w:t>de</w:t>
      </w:r>
      <w:r>
        <w:rPr>
          <w:color w:val="231F20"/>
          <w:spacing w:val="-11"/>
          <w:w w:val="105"/>
        </w:rPr>
        <w:t> </w:t>
      </w:r>
      <w:r>
        <w:rPr>
          <w:color w:val="231F20"/>
          <w:w w:val="105"/>
        </w:rPr>
        <w:t>dicho</w:t>
      </w:r>
      <w:r>
        <w:rPr>
          <w:color w:val="231F20"/>
          <w:spacing w:val="-11"/>
          <w:w w:val="105"/>
        </w:rPr>
        <w:t> </w:t>
      </w:r>
      <w:r>
        <w:rPr>
          <w:color w:val="231F20"/>
          <w:w w:val="105"/>
        </w:rPr>
        <w:t>ramo</w:t>
      </w:r>
      <w:r>
        <w:rPr>
          <w:color w:val="231F20"/>
          <w:spacing w:val="-11"/>
          <w:w w:val="105"/>
        </w:rPr>
        <w:t> </w:t>
      </w:r>
      <w:r>
        <w:rPr>
          <w:color w:val="231F20"/>
          <w:w w:val="105"/>
        </w:rPr>
        <w:t>hayan</w:t>
      </w:r>
      <w:r>
        <w:rPr>
          <w:color w:val="231F20"/>
          <w:spacing w:val="-11"/>
          <w:w w:val="105"/>
        </w:rPr>
        <w:t> </w:t>
      </w:r>
      <w:r>
        <w:rPr>
          <w:color w:val="231F20"/>
          <w:w w:val="105"/>
        </w:rPr>
        <w:t>adquirido</w:t>
      </w:r>
      <w:r>
        <w:rPr>
          <w:color w:val="231F20"/>
          <w:spacing w:val="-11"/>
          <w:w w:val="105"/>
        </w:rPr>
        <w:t> </w:t>
      </w:r>
      <w:r>
        <w:rPr>
          <w:color w:val="231F20"/>
          <w:w w:val="105"/>
        </w:rPr>
        <w:t>gran</w:t>
      </w:r>
      <w:r>
        <w:rPr>
          <w:color w:val="231F20"/>
          <w:spacing w:val="-11"/>
          <w:w w:val="105"/>
        </w:rPr>
        <w:t> </w:t>
      </w:r>
      <w:r>
        <w:rPr>
          <w:color w:val="231F20"/>
          <w:w w:val="105"/>
        </w:rPr>
        <w:t>importancia</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gobierno</w:t>
      </w:r>
      <w:r>
        <w:rPr>
          <w:color w:val="231F20"/>
          <w:spacing w:val="-11"/>
          <w:w w:val="105"/>
        </w:rPr>
        <w:t> </w:t>
      </w:r>
      <w:r>
        <w:rPr>
          <w:color w:val="231F20"/>
          <w:w w:val="105"/>
        </w:rPr>
        <w:t>munici- pal</w:t>
      </w:r>
      <w:r>
        <w:rPr>
          <w:color w:val="231F20"/>
          <w:spacing w:val="-9"/>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estatal</w:t>
      </w:r>
      <w:r>
        <w:rPr>
          <w:color w:val="231F20"/>
          <w:w w:val="105"/>
          <w:position w:val="7"/>
          <w:sz w:val="13"/>
        </w:rPr>
        <w:t>6</w:t>
      </w:r>
      <w:r>
        <w:rPr>
          <w:color w:val="231F20"/>
          <w:w w:val="105"/>
        </w:rPr>
        <w:t>,</w:t>
      </w:r>
      <w:r>
        <w:rPr>
          <w:color w:val="231F20"/>
          <w:spacing w:val="-9"/>
          <w:w w:val="105"/>
        </w:rPr>
        <w:t> </w:t>
      </w:r>
      <w:r>
        <w:rPr>
          <w:color w:val="231F20"/>
          <w:w w:val="105"/>
        </w:rPr>
        <w:t>convirtiéndose</w:t>
      </w:r>
      <w:r>
        <w:rPr>
          <w:color w:val="231F20"/>
          <w:spacing w:val="-9"/>
          <w:w w:val="105"/>
        </w:rPr>
        <w:t> </w:t>
      </w:r>
      <w:r>
        <w:rPr>
          <w:color w:val="231F20"/>
          <w:w w:val="105"/>
        </w:rPr>
        <w:t>en</w:t>
      </w:r>
      <w:r>
        <w:rPr>
          <w:color w:val="231F20"/>
          <w:spacing w:val="-9"/>
          <w:w w:val="105"/>
        </w:rPr>
        <w:t> </w:t>
      </w:r>
      <w:r>
        <w:rPr>
          <w:color w:val="231F20"/>
          <w:w w:val="105"/>
        </w:rPr>
        <w:t>uno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principales</w:t>
      </w:r>
      <w:r>
        <w:rPr>
          <w:color w:val="231F20"/>
          <w:spacing w:val="-9"/>
          <w:w w:val="105"/>
        </w:rPr>
        <w:t> </w:t>
      </w:r>
      <w:r>
        <w:rPr>
          <w:color w:val="231F20"/>
          <w:w w:val="105"/>
        </w:rPr>
        <w:t>grupos</w:t>
      </w:r>
      <w:r>
        <w:rPr>
          <w:color w:val="231F20"/>
          <w:spacing w:val="-9"/>
          <w:w w:val="105"/>
        </w:rPr>
        <w:t> </w:t>
      </w:r>
      <w:r>
        <w:rPr>
          <w:color w:val="231F20"/>
          <w:w w:val="105"/>
        </w:rPr>
        <w:t>de</w:t>
      </w:r>
      <w:r>
        <w:rPr>
          <w:color w:val="231F20"/>
          <w:spacing w:val="-9"/>
          <w:w w:val="105"/>
        </w:rPr>
        <w:t> </w:t>
      </w:r>
      <w:r>
        <w:rPr>
          <w:color w:val="231F20"/>
          <w:w w:val="105"/>
        </w:rPr>
        <w:t>interés de la</w:t>
      </w:r>
      <w:r>
        <w:rPr>
          <w:color w:val="231F20"/>
          <w:spacing w:val="-36"/>
          <w:w w:val="105"/>
        </w:rPr>
        <w:t> </w:t>
      </w:r>
      <w:r>
        <w:rPr>
          <w:color w:val="231F20"/>
          <w:spacing w:val="-3"/>
          <w:w w:val="105"/>
        </w:rPr>
        <w:t>región</w:t>
      </w:r>
      <w:r>
        <w:rPr>
          <w:color w:val="231F20"/>
          <w:spacing w:val="-3"/>
          <w:w w:val="105"/>
          <w:position w:val="7"/>
          <w:sz w:val="13"/>
        </w:rPr>
        <w:t>7</w:t>
      </w:r>
      <w:r>
        <w:rPr>
          <w:color w:val="231F20"/>
          <w:spacing w:val="-3"/>
          <w:w w:val="105"/>
        </w:rPr>
        <w:t>.</w:t>
      </w:r>
    </w:p>
    <w:p>
      <w:pPr>
        <w:pStyle w:val="BodyText"/>
        <w:spacing w:before="1"/>
        <w:rPr>
          <w:sz w:val="26"/>
        </w:rPr>
      </w:pPr>
    </w:p>
    <w:p>
      <w:pPr>
        <w:pStyle w:val="BodyText"/>
        <w:spacing w:line="285" w:lineRule="auto"/>
        <w:ind w:left="110" w:right="107"/>
        <w:jc w:val="both"/>
      </w:pPr>
      <w:r>
        <w:rPr>
          <w:color w:val="231F20"/>
        </w:rPr>
        <w:t>Huixquilucan se localiza en la región oriente del Estado de México y colinda </w:t>
      </w:r>
      <w:r>
        <w:rPr>
          <w:color w:val="231F20"/>
          <w:spacing w:val="2"/>
        </w:rPr>
        <w:t>al </w:t>
      </w:r>
      <w:r>
        <w:rPr>
          <w:color w:val="231F20"/>
        </w:rPr>
        <w:t>norte    con Naucalpan, </w:t>
      </w:r>
      <w:r>
        <w:rPr>
          <w:color w:val="231F20"/>
          <w:spacing w:val="2"/>
        </w:rPr>
        <w:t>al </w:t>
      </w:r>
      <w:r>
        <w:rPr>
          <w:color w:val="231F20"/>
        </w:rPr>
        <w:t>sur con Ocoyoacac y </w:t>
      </w:r>
      <w:r>
        <w:rPr>
          <w:color w:val="231F20"/>
          <w:spacing w:val="2"/>
        </w:rPr>
        <w:t>al </w:t>
      </w:r>
      <w:r>
        <w:rPr>
          <w:color w:val="231F20"/>
        </w:rPr>
        <w:t>este con las delegaciones del Distrito Federal Cuajimalpa y Miguel</w:t>
      </w:r>
      <w:r>
        <w:rPr>
          <w:color w:val="231F20"/>
          <w:spacing w:val="27"/>
        </w:rPr>
        <w:t> </w:t>
      </w:r>
      <w:r>
        <w:rPr>
          <w:color w:val="231F20"/>
        </w:rPr>
        <w:t>Hidalgo.</w:t>
      </w:r>
    </w:p>
    <w:p>
      <w:pPr>
        <w:pStyle w:val="BodyText"/>
        <w:spacing w:before="1"/>
        <w:rPr>
          <w:sz w:val="26"/>
        </w:rPr>
      </w:pPr>
    </w:p>
    <w:p>
      <w:pPr>
        <w:pStyle w:val="BodyText"/>
        <w:ind w:left="110"/>
        <w:jc w:val="both"/>
      </w:pPr>
      <w:r>
        <w:rPr>
          <w:color w:val="231F20"/>
          <w:w w:val="105"/>
        </w:rPr>
        <w:t>En el año 2008 su población fue de 234,035</w:t>
      </w:r>
      <w:r>
        <w:rPr>
          <w:color w:val="231F20"/>
          <w:w w:val="105"/>
          <w:position w:val="7"/>
          <w:sz w:val="13"/>
        </w:rPr>
        <w:t>8  </w:t>
      </w:r>
      <w:r>
        <w:rPr>
          <w:color w:val="231F20"/>
          <w:w w:val="105"/>
        </w:rPr>
        <w:t>habitantes asentados en una superficie de</w:t>
      </w:r>
    </w:p>
    <w:p>
      <w:pPr>
        <w:pStyle w:val="BodyText"/>
        <w:spacing w:line="285" w:lineRule="auto" w:before="47"/>
        <w:ind w:left="110" w:right="108"/>
        <w:jc w:val="both"/>
      </w:pPr>
      <w:r>
        <w:rPr>
          <w:color w:val="231F20"/>
          <w:spacing w:val="-5"/>
          <w:w w:val="105"/>
        </w:rPr>
        <w:t>143.52 </w:t>
      </w:r>
      <w:r>
        <w:rPr>
          <w:color w:val="231F20"/>
          <w:w w:val="105"/>
        </w:rPr>
        <w:t>Km</w:t>
      </w:r>
      <w:r>
        <w:rPr>
          <w:color w:val="231F20"/>
          <w:w w:val="105"/>
          <w:position w:val="7"/>
          <w:sz w:val="13"/>
        </w:rPr>
        <w:t>2 </w:t>
      </w:r>
      <w:r>
        <w:rPr>
          <w:color w:val="231F20"/>
          <w:spacing w:val="-3"/>
          <w:w w:val="105"/>
        </w:rPr>
        <w:t>que representan </w:t>
      </w:r>
      <w:r>
        <w:rPr>
          <w:color w:val="231F20"/>
          <w:w w:val="105"/>
        </w:rPr>
        <w:t>el </w:t>
      </w:r>
      <w:r>
        <w:rPr>
          <w:color w:val="231F20"/>
          <w:spacing w:val="-4"/>
          <w:w w:val="105"/>
        </w:rPr>
        <w:t>1.5% </w:t>
      </w:r>
      <w:r>
        <w:rPr>
          <w:color w:val="231F20"/>
          <w:spacing w:val="-3"/>
          <w:w w:val="105"/>
        </w:rPr>
        <w:t>del </w:t>
      </w:r>
      <w:r>
        <w:rPr>
          <w:color w:val="231F20"/>
          <w:w w:val="105"/>
        </w:rPr>
        <w:t>total estatal, </w:t>
      </w:r>
      <w:r>
        <w:rPr>
          <w:color w:val="231F20"/>
          <w:spacing w:val="-3"/>
          <w:w w:val="105"/>
        </w:rPr>
        <w:t>ubicándose </w:t>
      </w:r>
      <w:r>
        <w:rPr>
          <w:color w:val="231F20"/>
          <w:spacing w:val="-4"/>
          <w:w w:val="105"/>
        </w:rPr>
        <w:t>como </w:t>
      </w:r>
      <w:r>
        <w:rPr>
          <w:color w:val="231F20"/>
          <w:w w:val="105"/>
        </w:rPr>
        <w:t>el </w:t>
      </w:r>
      <w:r>
        <w:rPr>
          <w:color w:val="231F20"/>
          <w:spacing w:val="-5"/>
          <w:w w:val="105"/>
        </w:rPr>
        <w:t>17º </w:t>
      </w:r>
      <w:r>
        <w:rPr>
          <w:color w:val="231F20"/>
          <w:spacing w:val="-3"/>
          <w:w w:val="105"/>
        </w:rPr>
        <w:t>municipio mexiquense</w:t>
      </w:r>
      <w:r>
        <w:rPr>
          <w:color w:val="231F20"/>
          <w:spacing w:val="-21"/>
          <w:w w:val="105"/>
        </w:rPr>
        <w:t> </w:t>
      </w:r>
      <w:r>
        <w:rPr>
          <w:color w:val="231F20"/>
          <w:w w:val="105"/>
        </w:rPr>
        <w:t>más</w:t>
      </w:r>
      <w:r>
        <w:rPr>
          <w:color w:val="231F20"/>
          <w:spacing w:val="-21"/>
          <w:w w:val="105"/>
        </w:rPr>
        <w:t> </w:t>
      </w:r>
      <w:r>
        <w:rPr>
          <w:color w:val="231F20"/>
          <w:spacing w:val="-4"/>
          <w:w w:val="105"/>
        </w:rPr>
        <w:t>poblado.</w:t>
      </w:r>
      <w:r>
        <w:rPr>
          <w:color w:val="231F20"/>
          <w:spacing w:val="-21"/>
          <w:w w:val="105"/>
        </w:rPr>
        <w:t> </w:t>
      </w:r>
      <w:r>
        <w:rPr>
          <w:color w:val="231F20"/>
          <w:w w:val="105"/>
        </w:rPr>
        <w:t>A</w:t>
      </w:r>
      <w:r>
        <w:rPr>
          <w:color w:val="231F20"/>
          <w:spacing w:val="-21"/>
          <w:w w:val="105"/>
        </w:rPr>
        <w:t> </w:t>
      </w:r>
      <w:r>
        <w:rPr>
          <w:color w:val="231F20"/>
          <w:w w:val="105"/>
        </w:rPr>
        <w:t>su</w:t>
      </w:r>
      <w:r>
        <w:rPr>
          <w:color w:val="231F20"/>
          <w:spacing w:val="-21"/>
          <w:w w:val="105"/>
        </w:rPr>
        <w:t> </w:t>
      </w:r>
      <w:r>
        <w:rPr>
          <w:color w:val="231F20"/>
          <w:spacing w:val="-3"/>
          <w:w w:val="105"/>
        </w:rPr>
        <w:t>vez,</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spacing w:val="-4"/>
          <w:w w:val="105"/>
        </w:rPr>
        <w:t>elecciones</w:t>
      </w:r>
      <w:r>
        <w:rPr>
          <w:color w:val="231F20"/>
          <w:spacing w:val="-21"/>
          <w:w w:val="105"/>
        </w:rPr>
        <w:t> </w:t>
      </w:r>
      <w:r>
        <w:rPr>
          <w:color w:val="231F20"/>
          <w:spacing w:val="-3"/>
          <w:w w:val="105"/>
        </w:rPr>
        <w:t>del</w:t>
      </w:r>
      <w:r>
        <w:rPr>
          <w:color w:val="231F20"/>
          <w:spacing w:val="-21"/>
          <w:w w:val="105"/>
        </w:rPr>
        <w:t> </w:t>
      </w:r>
      <w:r>
        <w:rPr>
          <w:color w:val="231F20"/>
          <w:w w:val="105"/>
        </w:rPr>
        <w:t>año</w:t>
      </w:r>
      <w:r>
        <w:rPr>
          <w:color w:val="231F20"/>
          <w:spacing w:val="-21"/>
          <w:w w:val="105"/>
        </w:rPr>
        <w:t> </w:t>
      </w:r>
      <w:r>
        <w:rPr>
          <w:color w:val="231F20"/>
          <w:w w:val="105"/>
        </w:rPr>
        <w:t>2006</w:t>
      </w:r>
      <w:r>
        <w:rPr>
          <w:color w:val="231F20"/>
          <w:spacing w:val="-21"/>
          <w:w w:val="105"/>
        </w:rPr>
        <w:t> </w:t>
      </w:r>
      <w:r>
        <w:rPr>
          <w:color w:val="231F20"/>
          <w:w w:val="105"/>
        </w:rPr>
        <w:t>para</w:t>
      </w:r>
      <w:r>
        <w:rPr>
          <w:color w:val="231F20"/>
          <w:spacing w:val="-21"/>
          <w:w w:val="105"/>
        </w:rPr>
        <w:t> </w:t>
      </w:r>
      <w:r>
        <w:rPr>
          <w:color w:val="231F20"/>
          <w:spacing w:val="-3"/>
          <w:w w:val="105"/>
        </w:rPr>
        <w:t>renovar</w:t>
      </w:r>
      <w:r>
        <w:rPr>
          <w:color w:val="231F20"/>
          <w:spacing w:val="-21"/>
          <w:w w:val="105"/>
        </w:rPr>
        <w:t> </w:t>
      </w:r>
      <w:r>
        <w:rPr>
          <w:color w:val="231F20"/>
          <w:w w:val="105"/>
        </w:rPr>
        <w:t>al</w:t>
      </w:r>
      <w:r>
        <w:rPr>
          <w:color w:val="231F20"/>
          <w:spacing w:val="-21"/>
          <w:w w:val="105"/>
        </w:rPr>
        <w:t> </w:t>
      </w:r>
      <w:r>
        <w:rPr>
          <w:color w:val="231F20"/>
          <w:w w:val="105"/>
        </w:rPr>
        <w:t>ayunta- </w:t>
      </w:r>
      <w:r>
        <w:rPr>
          <w:color w:val="231F20"/>
          <w:spacing w:val="-3"/>
          <w:w w:val="105"/>
          <w:u w:val="single" w:color="231F20"/>
        </w:rPr>
        <w:t>miento</w:t>
      </w:r>
      <w:r>
        <w:rPr>
          <w:color w:val="231F20"/>
          <w:spacing w:val="-22"/>
          <w:w w:val="105"/>
          <w:u w:val="single" w:color="231F20"/>
        </w:rPr>
        <w:t> </w:t>
      </w:r>
      <w:r>
        <w:rPr>
          <w:color w:val="231F20"/>
          <w:w w:val="105"/>
          <w:u w:val="single" w:color="231F20"/>
        </w:rPr>
        <w:t>se</w:t>
      </w:r>
      <w:r>
        <w:rPr>
          <w:color w:val="231F20"/>
          <w:spacing w:val="-22"/>
          <w:w w:val="105"/>
          <w:u w:val="single" w:color="231F20"/>
        </w:rPr>
        <w:t> </w:t>
      </w:r>
      <w:r>
        <w:rPr>
          <w:color w:val="231F20"/>
          <w:w w:val="105"/>
          <w:u w:val="single" w:color="231F20"/>
        </w:rPr>
        <w:t>regist</w:t>
      </w:r>
      <w:r>
        <w:rPr>
          <w:color w:val="231F20"/>
          <w:w w:val="105"/>
        </w:rPr>
        <w:t>ró</w:t>
      </w:r>
      <w:r>
        <w:rPr>
          <w:color w:val="231F20"/>
          <w:spacing w:val="-22"/>
          <w:w w:val="105"/>
        </w:rPr>
        <w:t> </w:t>
      </w:r>
      <w:r>
        <w:rPr>
          <w:color w:val="231F20"/>
          <w:w w:val="105"/>
        </w:rPr>
        <w:t>un</w:t>
      </w:r>
      <w:r>
        <w:rPr>
          <w:color w:val="231F20"/>
          <w:spacing w:val="-22"/>
          <w:w w:val="105"/>
        </w:rPr>
        <w:t> </w:t>
      </w:r>
      <w:r>
        <w:rPr>
          <w:color w:val="231F20"/>
          <w:spacing w:val="-3"/>
          <w:w w:val="105"/>
        </w:rPr>
        <w:t>padrón</w:t>
      </w:r>
      <w:r>
        <w:rPr>
          <w:color w:val="231F20"/>
          <w:spacing w:val="-22"/>
          <w:w w:val="105"/>
        </w:rPr>
        <w:t> </w:t>
      </w:r>
      <w:r>
        <w:rPr>
          <w:color w:val="231F20"/>
          <w:w w:val="105"/>
        </w:rPr>
        <w:t>de</w:t>
      </w:r>
      <w:r>
        <w:rPr>
          <w:color w:val="231F20"/>
          <w:spacing w:val="-22"/>
          <w:w w:val="105"/>
        </w:rPr>
        <w:t> </w:t>
      </w:r>
      <w:r>
        <w:rPr>
          <w:color w:val="231F20"/>
          <w:spacing w:val="-4"/>
          <w:w w:val="105"/>
        </w:rPr>
        <w:t>134,216</w:t>
      </w:r>
      <w:r>
        <w:rPr>
          <w:color w:val="231F20"/>
          <w:spacing w:val="-22"/>
          <w:w w:val="105"/>
        </w:rPr>
        <w:t> </w:t>
      </w:r>
      <w:r>
        <w:rPr>
          <w:color w:val="231F20"/>
          <w:spacing w:val="-3"/>
          <w:w w:val="105"/>
        </w:rPr>
        <w:t>electores</w:t>
      </w:r>
      <w:r>
        <w:rPr>
          <w:color w:val="231F20"/>
          <w:spacing w:val="-22"/>
          <w:w w:val="105"/>
        </w:rPr>
        <w:t> </w:t>
      </w:r>
      <w:r>
        <w:rPr>
          <w:color w:val="231F20"/>
          <w:spacing w:val="-3"/>
          <w:w w:val="105"/>
        </w:rPr>
        <w:t>que</w:t>
      </w:r>
      <w:r>
        <w:rPr>
          <w:color w:val="231F20"/>
          <w:spacing w:val="-22"/>
          <w:w w:val="105"/>
        </w:rPr>
        <w:t> </w:t>
      </w:r>
      <w:r>
        <w:rPr>
          <w:color w:val="231F20"/>
          <w:w w:val="105"/>
        </w:rPr>
        <w:t>significó</w:t>
      </w:r>
      <w:r>
        <w:rPr>
          <w:color w:val="231F20"/>
          <w:spacing w:val="-22"/>
          <w:w w:val="105"/>
        </w:rPr>
        <w:t> </w:t>
      </w:r>
      <w:r>
        <w:rPr>
          <w:color w:val="231F20"/>
          <w:w w:val="105"/>
        </w:rPr>
        <w:t>al</w:t>
      </w:r>
      <w:r>
        <w:rPr>
          <w:color w:val="231F20"/>
          <w:spacing w:val="-22"/>
          <w:w w:val="105"/>
        </w:rPr>
        <w:t> </w:t>
      </w:r>
      <w:r>
        <w:rPr>
          <w:color w:val="231F20"/>
          <w:spacing w:val="-4"/>
          <w:w w:val="105"/>
        </w:rPr>
        <w:t>1.48%</w:t>
      </w:r>
      <w:r>
        <w:rPr>
          <w:color w:val="231F20"/>
          <w:spacing w:val="-22"/>
          <w:w w:val="105"/>
        </w:rPr>
        <w:t> </w:t>
      </w:r>
      <w:r>
        <w:rPr>
          <w:color w:val="231F20"/>
          <w:w w:val="105"/>
        </w:rPr>
        <w:t>a</w:t>
      </w:r>
      <w:r>
        <w:rPr>
          <w:color w:val="231F20"/>
          <w:spacing w:val="-22"/>
          <w:w w:val="105"/>
        </w:rPr>
        <w:t> </w:t>
      </w:r>
      <w:r>
        <w:rPr>
          <w:color w:val="231F20"/>
          <w:spacing w:val="-3"/>
          <w:w w:val="105"/>
        </w:rPr>
        <w:t>nivel</w:t>
      </w:r>
      <w:r>
        <w:rPr>
          <w:color w:val="231F20"/>
          <w:spacing w:val="-22"/>
          <w:w w:val="105"/>
        </w:rPr>
        <w:t> </w:t>
      </w:r>
      <w:r>
        <w:rPr>
          <w:color w:val="231F20"/>
          <w:w w:val="105"/>
        </w:rPr>
        <w:t>estatal.</w:t>
      </w:r>
    </w:p>
    <w:p>
      <w:pPr>
        <w:pStyle w:val="ListParagraph"/>
        <w:numPr>
          <w:ilvl w:val="0"/>
          <w:numId w:val="1"/>
        </w:numPr>
        <w:tabs>
          <w:tab w:pos="226" w:val="left" w:leader="none"/>
        </w:tabs>
        <w:spacing w:line="244" w:lineRule="auto" w:before="53" w:after="0"/>
        <w:ind w:left="110" w:right="107" w:firstLine="0"/>
        <w:jc w:val="both"/>
        <w:rPr>
          <w:sz w:val="16"/>
        </w:rPr>
      </w:pPr>
      <w:r>
        <w:rPr>
          <w:color w:val="231F20"/>
          <w:sz w:val="16"/>
        </w:rPr>
        <w:t>Durante</w:t>
      </w:r>
      <w:r>
        <w:rPr>
          <w:color w:val="231F20"/>
          <w:spacing w:val="-10"/>
          <w:sz w:val="16"/>
        </w:rPr>
        <w:t> </w:t>
      </w:r>
      <w:r>
        <w:rPr>
          <w:color w:val="231F20"/>
          <w:sz w:val="16"/>
        </w:rPr>
        <w:t>la</w:t>
      </w:r>
      <w:r>
        <w:rPr>
          <w:color w:val="231F20"/>
          <w:spacing w:val="-10"/>
          <w:sz w:val="16"/>
        </w:rPr>
        <w:t> </w:t>
      </w:r>
      <w:r>
        <w:rPr>
          <w:color w:val="231F20"/>
          <w:sz w:val="16"/>
        </w:rPr>
        <w:t>administración</w:t>
      </w:r>
      <w:r>
        <w:rPr>
          <w:color w:val="231F20"/>
          <w:spacing w:val="-10"/>
          <w:sz w:val="16"/>
        </w:rPr>
        <w:t> </w:t>
      </w:r>
      <w:r>
        <w:rPr>
          <w:color w:val="231F20"/>
          <w:sz w:val="16"/>
        </w:rPr>
        <w:t>del</w:t>
      </w:r>
      <w:r>
        <w:rPr>
          <w:color w:val="231F20"/>
          <w:spacing w:val="-10"/>
          <w:sz w:val="16"/>
        </w:rPr>
        <w:t> </w:t>
      </w:r>
      <w:r>
        <w:rPr>
          <w:color w:val="231F20"/>
          <w:sz w:val="16"/>
        </w:rPr>
        <w:t>gobierno</w:t>
      </w:r>
      <w:r>
        <w:rPr>
          <w:color w:val="231F20"/>
          <w:spacing w:val="-10"/>
          <w:sz w:val="16"/>
        </w:rPr>
        <w:t> </w:t>
      </w:r>
      <w:r>
        <w:rPr>
          <w:color w:val="231F20"/>
          <w:sz w:val="16"/>
        </w:rPr>
        <w:t>estatal</w:t>
      </w:r>
      <w:r>
        <w:rPr>
          <w:color w:val="231F20"/>
          <w:spacing w:val="-10"/>
          <w:sz w:val="16"/>
        </w:rPr>
        <w:t> </w:t>
      </w:r>
      <w:r>
        <w:rPr>
          <w:color w:val="231F20"/>
          <w:sz w:val="16"/>
        </w:rPr>
        <w:t>encabezada</w:t>
      </w:r>
      <w:r>
        <w:rPr>
          <w:color w:val="231F20"/>
          <w:spacing w:val="-10"/>
          <w:sz w:val="16"/>
        </w:rPr>
        <w:t> </w:t>
      </w:r>
      <w:r>
        <w:rPr>
          <w:color w:val="231F20"/>
          <w:sz w:val="16"/>
        </w:rPr>
        <w:t>por</w:t>
      </w:r>
      <w:r>
        <w:rPr>
          <w:color w:val="231F20"/>
          <w:spacing w:val="-10"/>
          <w:sz w:val="16"/>
        </w:rPr>
        <w:t> </w:t>
      </w:r>
      <w:r>
        <w:rPr>
          <w:color w:val="231F20"/>
          <w:sz w:val="16"/>
        </w:rPr>
        <w:t>Arturo</w:t>
      </w:r>
      <w:r>
        <w:rPr>
          <w:color w:val="231F20"/>
          <w:spacing w:val="-10"/>
          <w:sz w:val="16"/>
        </w:rPr>
        <w:t> </w:t>
      </w:r>
      <w:r>
        <w:rPr>
          <w:color w:val="231F20"/>
          <w:sz w:val="16"/>
        </w:rPr>
        <w:t>Montiel</w:t>
      </w:r>
      <w:r>
        <w:rPr>
          <w:color w:val="231F20"/>
          <w:spacing w:val="-10"/>
          <w:sz w:val="16"/>
        </w:rPr>
        <w:t> </w:t>
      </w:r>
      <w:r>
        <w:rPr>
          <w:color w:val="231F20"/>
          <w:sz w:val="16"/>
        </w:rPr>
        <w:t>Rojas</w:t>
      </w:r>
      <w:r>
        <w:rPr>
          <w:color w:val="231F20"/>
          <w:spacing w:val="-10"/>
          <w:sz w:val="16"/>
        </w:rPr>
        <w:t> </w:t>
      </w:r>
      <w:r>
        <w:rPr>
          <w:color w:val="231F20"/>
          <w:sz w:val="16"/>
        </w:rPr>
        <w:t>(1999-2005)</w:t>
      </w:r>
      <w:r>
        <w:rPr>
          <w:color w:val="231F20"/>
          <w:spacing w:val="-10"/>
          <w:sz w:val="16"/>
        </w:rPr>
        <w:t> </w:t>
      </w:r>
      <w:r>
        <w:rPr>
          <w:color w:val="231F20"/>
          <w:sz w:val="16"/>
        </w:rPr>
        <w:t>se</w:t>
      </w:r>
      <w:r>
        <w:rPr>
          <w:color w:val="231F20"/>
          <w:spacing w:val="-10"/>
          <w:sz w:val="16"/>
        </w:rPr>
        <w:t> </w:t>
      </w:r>
      <w:r>
        <w:rPr>
          <w:color w:val="231F20"/>
          <w:sz w:val="16"/>
        </w:rPr>
        <w:t>incorporó</w:t>
      </w:r>
      <w:r>
        <w:rPr>
          <w:color w:val="231F20"/>
          <w:spacing w:val="-10"/>
          <w:sz w:val="16"/>
        </w:rPr>
        <w:t> </w:t>
      </w:r>
      <w:r>
        <w:rPr>
          <w:color w:val="231F20"/>
          <w:sz w:val="16"/>
        </w:rPr>
        <w:t>al</w:t>
      </w:r>
      <w:r>
        <w:rPr>
          <w:color w:val="231F20"/>
          <w:spacing w:val="-10"/>
          <w:sz w:val="16"/>
        </w:rPr>
        <w:t> </w:t>
      </w:r>
      <w:r>
        <w:rPr>
          <w:color w:val="231F20"/>
          <w:sz w:val="16"/>
        </w:rPr>
        <w:t>gabinete a</w:t>
      </w:r>
      <w:r>
        <w:rPr>
          <w:color w:val="231F20"/>
          <w:spacing w:val="-11"/>
          <w:sz w:val="16"/>
        </w:rPr>
        <w:t> </w:t>
      </w:r>
      <w:r>
        <w:rPr>
          <w:color w:val="231F20"/>
          <w:sz w:val="16"/>
        </w:rPr>
        <w:t>Francisco</w:t>
      </w:r>
      <w:r>
        <w:rPr>
          <w:color w:val="231F20"/>
          <w:spacing w:val="-11"/>
          <w:sz w:val="16"/>
        </w:rPr>
        <w:t> </w:t>
      </w:r>
      <w:r>
        <w:rPr>
          <w:color w:val="231F20"/>
          <w:sz w:val="16"/>
        </w:rPr>
        <w:t>Funtanet</w:t>
      </w:r>
      <w:r>
        <w:rPr>
          <w:color w:val="231F20"/>
          <w:spacing w:val="-11"/>
          <w:sz w:val="16"/>
        </w:rPr>
        <w:t> </w:t>
      </w:r>
      <w:r>
        <w:rPr>
          <w:color w:val="231F20"/>
          <w:sz w:val="16"/>
        </w:rPr>
        <w:t>Mange</w:t>
      </w:r>
      <w:r>
        <w:rPr>
          <w:color w:val="231F20"/>
          <w:spacing w:val="-11"/>
          <w:sz w:val="16"/>
        </w:rPr>
        <w:t> </w:t>
      </w:r>
      <w:r>
        <w:rPr>
          <w:color w:val="231F20"/>
          <w:sz w:val="16"/>
        </w:rPr>
        <w:t>como</w:t>
      </w:r>
      <w:r>
        <w:rPr>
          <w:color w:val="231F20"/>
          <w:spacing w:val="-11"/>
          <w:sz w:val="16"/>
        </w:rPr>
        <w:t> </w:t>
      </w:r>
      <w:r>
        <w:rPr>
          <w:color w:val="231F20"/>
          <w:sz w:val="16"/>
        </w:rPr>
        <w:t>Secretario</w:t>
      </w:r>
      <w:r>
        <w:rPr>
          <w:color w:val="231F20"/>
          <w:spacing w:val="-11"/>
          <w:sz w:val="16"/>
        </w:rPr>
        <w:t> </w:t>
      </w:r>
      <w:r>
        <w:rPr>
          <w:color w:val="231F20"/>
          <w:sz w:val="16"/>
        </w:rPr>
        <w:t>de</w:t>
      </w:r>
      <w:r>
        <w:rPr>
          <w:color w:val="231F20"/>
          <w:spacing w:val="-11"/>
          <w:sz w:val="16"/>
        </w:rPr>
        <w:t> </w:t>
      </w:r>
      <w:r>
        <w:rPr>
          <w:color w:val="231F20"/>
          <w:sz w:val="16"/>
        </w:rPr>
        <w:t>Desarrollo</w:t>
      </w:r>
      <w:r>
        <w:rPr>
          <w:color w:val="231F20"/>
          <w:spacing w:val="-11"/>
          <w:sz w:val="16"/>
        </w:rPr>
        <w:t> </w:t>
      </w:r>
      <w:r>
        <w:rPr>
          <w:color w:val="231F20"/>
          <w:sz w:val="16"/>
        </w:rPr>
        <w:t>Económico</w:t>
      </w:r>
      <w:r>
        <w:rPr>
          <w:color w:val="231F20"/>
          <w:spacing w:val="-11"/>
          <w:sz w:val="16"/>
        </w:rPr>
        <w:t> </w:t>
      </w:r>
      <w:r>
        <w:rPr>
          <w:color w:val="231F20"/>
          <w:sz w:val="16"/>
        </w:rPr>
        <w:t>(2002-2004),</w:t>
      </w:r>
      <w:r>
        <w:rPr>
          <w:color w:val="231F20"/>
          <w:spacing w:val="-11"/>
          <w:sz w:val="16"/>
        </w:rPr>
        <w:t> </w:t>
      </w:r>
      <w:r>
        <w:rPr>
          <w:color w:val="231F20"/>
          <w:sz w:val="16"/>
        </w:rPr>
        <w:t>y</w:t>
      </w:r>
      <w:r>
        <w:rPr>
          <w:color w:val="231F20"/>
          <w:spacing w:val="-11"/>
          <w:sz w:val="16"/>
        </w:rPr>
        <w:t> </w:t>
      </w:r>
      <w:r>
        <w:rPr>
          <w:color w:val="231F20"/>
          <w:sz w:val="16"/>
        </w:rPr>
        <w:t>quien</w:t>
      </w:r>
      <w:r>
        <w:rPr>
          <w:color w:val="231F20"/>
          <w:spacing w:val="-11"/>
          <w:sz w:val="16"/>
        </w:rPr>
        <w:t> </w:t>
      </w:r>
      <w:r>
        <w:rPr>
          <w:color w:val="231F20"/>
          <w:sz w:val="16"/>
        </w:rPr>
        <w:t>además</w:t>
      </w:r>
      <w:r>
        <w:rPr>
          <w:color w:val="231F20"/>
          <w:spacing w:val="-11"/>
          <w:sz w:val="16"/>
        </w:rPr>
        <w:t> </w:t>
      </w:r>
      <w:r>
        <w:rPr>
          <w:color w:val="231F20"/>
          <w:sz w:val="16"/>
        </w:rPr>
        <w:t>se</w:t>
      </w:r>
      <w:r>
        <w:rPr>
          <w:color w:val="231F20"/>
          <w:spacing w:val="-11"/>
          <w:sz w:val="16"/>
        </w:rPr>
        <w:t> </w:t>
      </w:r>
      <w:r>
        <w:rPr>
          <w:color w:val="231F20"/>
          <w:sz w:val="16"/>
        </w:rPr>
        <w:t>había</w:t>
      </w:r>
      <w:r>
        <w:rPr>
          <w:color w:val="231F20"/>
          <w:spacing w:val="-11"/>
          <w:sz w:val="16"/>
        </w:rPr>
        <w:t> </w:t>
      </w:r>
      <w:r>
        <w:rPr>
          <w:color w:val="231F20"/>
          <w:sz w:val="16"/>
        </w:rPr>
        <w:t>desempeñado como</w:t>
      </w:r>
      <w:r>
        <w:rPr>
          <w:color w:val="231F20"/>
          <w:spacing w:val="-11"/>
          <w:sz w:val="16"/>
        </w:rPr>
        <w:t> </w:t>
      </w:r>
      <w:r>
        <w:rPr>
          <w:color w:val="231F20"/>
          <w:sz w:val="16"/>
        </w:rPr>
        <w:t>director</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empresa</w:t>
      </w:r>
      <w:r>
        <w:rPr>
          <w:color w:val="231F20"/>
          <w:spacing w:val="-11"/>
          <w:sz w:val="16"/>
        </w:rPr>
        <w:t> </w:t>
      </w:r>
      <w:r>
        <w:rPr>
          <w:color w:val="231F20"/>
          <w:sz w:val="16"/>
        </w:rPr>
        <w:t>inmobiliaria</w:t>
      </w:r>
      <w:r>
        <w:rPr>
          <w:color w:val="231F20"/>
          <w:spacing w:val="-11"/>
          <w:sz w:val="16"/>
        </w:rPr>
        <w:t> </w:t>
      </w:r>
      <w:r>
        <w:rPr>
          <w:color w:val="231F20"/>
          <w:sz w:val="16"/>
        </w:rPr>
        <w:t>Profusa</w:t>
      </w:r>
      <w:r>
        <w:rPr>
          <w:color w:val="231F20"/>
          <w:spacing w:val="-11"/>
          <w:sz w:val="16"/>
        </w:rPr>
        <w:t> </w:t>
      </w:r>
      <w:r>
        <w:rPr>
          <w:color w:val="231F20"/>
          <w:sz w:val="16"/>
        </w:rPr>
        <w:t>a</w:t>
      </w:r>
      <w:r>
        <w:rPr>
          <w:color w:val="231F20"/>
          <w:spacing w:val="-11"/>
          <w:sz w:val="16"/>
        </w:rPr>
        <w:t> </w:t>
      </w:r>
      <w:r>
        <w:rPr>
          <w:color w:val="231F20"/>
          <w:sz w:val="16"/>
        </w:rPr>
        <w:t>la</w:t>
      </w:r>
      <w:r>
        <w:rPr>
          <w:color w:val="231F20"/>
          <w:spacing w:val="-11"/>
          <w:sz w:val="16"/>
        </w:rPr>
        <w:t> </w:t>
      </w:r>
      <w:r>
        <w:rPr>
          <w:color w:val="231F20"/>
          <w:sz w:val="16"/>
        </w:rPr>
        <w:t>que</w:t>
      </w:r>
      <w:r>
        <w:rPr>
          <w:color w:val="231F20"/>
          <w:spacing w:val="-11"/>
          <w:sz w:val="16"/>
        </w:rPr>
        <w:t> </w:t>
      </w:r>
      <w:r>
        <w:rPr>
          <w:color w:val="231F20"/>
          <w:sz w:val="16"/>
        </w:rPr>
        <w:t>se</w:t>
      </w:r>
      <w:r>
        <w:rPr>
          <w:color w:val="231F20"/>
          <w:spacing w:val="-11"/>
          <w:sz w:val="16"/>
        </w:rPr>
        <w:t> </w:t>
      </w:r>
      <w:r>
        <w:rPr>
          <w:color w:val="231F20"/>
          <w:sz w:val="16"/>
        </w:rPr>
        <w:t>le</w:t>
      </w:r>
      <w:r>
        <w:rPr>
          <w:color w:val="231F20"/>
          <w:spacing w:val="-11"/>
          <w:sz w:val="16"/>
        </w:rPr>
        <w:t> </w:t>
      </w:r>
      <w:r>
        <w:rPr>
          <w:color w:val="231F20"/>
          <w:sz w:val="16"/>
        </w:rPr>
        <w:t>otorgaron</w:t>
      </w:r>
      <w:r>
        <w:rPr>
          <w:color w:val="231F20"/>
          <w:spacing w:val="-11"/>
          <w:sz w:val="16"/>
        </w:rPr>
        <w:t> </w:t>
      </w:r>
      <w:r>
        <w:rPr>
          <w:color w:val="231F20"/>
          <w:sz w:val="16"/>
        </w:rPr>
        <w:t>permisos</w:t>
      </w:r>
      <w:r>
        <w:rPr>
          <w:color w:val="231F20"/>
          <w:spacing w:val="-11"/>
          <w:sz w:val="16"/>
        </w:rPr>
        <w:t> </w:t>
      </w:r>
      <w:r>
        <w:rPr>
          <w:color w:val="231F20"/>
          <w:sz w:val="16"/>
        </w:rPr>
        <w:t>de</w:t>
      </w:r>
      <w:r>
        <w:rPr>
          <w:color w:val="231F20"/>
          <w:spacing w:val="-11"/>
          <w:sz w:val="16"/>
        </w:rPr>
        <w:t> </w:t>
      </w:r>
      <w:r>
        <w:rPr>
          <w:color w:val="231F20"/>
          <w:sz w:val="16"/>
        </w:rPr>
        <w:t>construcción</w:t>
      </w:r>
      <w:r>
        <w:rPr>
          <w:color w:val="231F20"/>
          <w:spacing w:val="-11"/>
          <w:sz w:val="16"/>
        </w:rPr>
        <w:t> </w:t>
      </w:r>
      <w:r>
        <w:rPr>
          <w:color w:val="231F20"/>
          <w:sz w:val="16"/>
        </w:rPr>
        <w:t>habitacionales</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mu- nicipio</w:t>
      </w:r>
      <w:r>
        <w:rPr>
          <w:color w:val="231F20"/>
          <w:spacing w:val="-13"/>
          <w:sz w:val="16"/>
        </w:rPr>
        <w:t> </w:t>
      </w:r>
      <w:r>
        <w:rPr>
          <w:color w:val="231F20"/>
          <w:sz w:val="16"/>
        </w:rPr>
        <w:t>y</w:t>
      </w:r>
      <w:r>
        <w:rPr>
          <w:color w:val="231F20"/>
          <w:spacing w:val="-13"/>
          <w:sz w:val="16"/>
        </w:rPr>
        <w:t> </w:t>
      </w:r>
      <w:r>
        <w:rPr>
          <w:color w:val="231F20"/>
          <w:sz w:val="16"/>
        </w:rPr>
        <w:t>en</w:t>
      </w:r>
      <w:r>
        <w:rPr>
          <w:color w:val="231F20"/>
          <w:spacing w:val="-13"/>
          <w:sz w:val="16"/>
        </w:rPr>
        <w:t> </w:t>
      </w:r>
      <w:r>
        <w:rPr>
          <w:color w:val="231F20"/>
          <w:sz w:val="16"/>
        </w:rPr>
        <w:t>la</w:t>
      </w:r>
      <w:r>
        <w:rPr>
          <w:color w:val="231F20"/>
          <w:spacing w:val="-13"/>
          <w:sz w:val="16"/>
        </w:rPr>
        <w:t> </w:t>
      </w:r>
      <w:r>
        <w:rPr>
          <w:color w:val="231F20"/>
          <w:sz w:val="16"/>
        </w:rPr>
        <w:t>entidad</w:t>
      </w:r>
      <w:r>
        <w:rPr>
          <w:color w:val="231F20"/>
          <w:spacing w:val="-13"/>
          <w:sz w:val="16"/>
        </w:rPr>
        <w:t> </w:t>
      </w:r>
      <w:r>
        <w:rPr>
          <w:color w:val="231F20"/>
          <w:sz w:val="16"/>
        </w:rPr>
        <w:t>(Portal,</w:t>
      </w:r>
      <w:r>
        <w:rPr>
          <w:color w:val="231F20"/>
          <w:spacing w:val="-13"/>
          <w:sz w:val="16"/>
        </w:rPr>
        <w:t> </w:t>
      </w:r>
      <w:r>
        <w:rPr>
          <w:color w:val="231F20"/>
          <w:sz w:val="16"/>
        </w:rPr>
        <w:t>2008)</w:t>
      </w:r>
      <w:r>
        <w:rPr>
          <w:color w:val="231F20"/>
          <w:spacing w:val="-13"/>
          <w:sz w:val="16"/>
        </w:rPr>
        <w:t> </w:t>
      </w:r>
      <w:r>
        <w:rPr>
          <w:color w:val="231F20"/>
          <w:sz w:val="16"/>
        </w:rPr>
        <w:t>La</w:t>
      </w:r>
      <w:r>
        <w:rPr>
          <w:color w:val="231F20"/>
          <w:spacing w:val="-13"/>
          <w:sz w:val="16"/>
        </w:rPr>
        <w:t> </w:t>
      </w:r>
      <w:r>
        <w:rPr>
          <w:color w:val="231F20"/>
          <w:sz w:val="16"/>
        </w:rPr>
        <w:t>experiencia</w:t>
      </w:r>
      <w:r>
        <w:rPr>
          <w:color w:val="231F20"/>
          <w:spacing w:val="-13"/>
          <w:sz w:val="16"/>
        </w:rPr>
        <w:t> </w:t>
      </w:r>
      <w:r>
        <w:rPr>
          <w:color w:val="231F20"/>
          <w:sz w:val="16"/>
        </w:rPr>
        <w:t>profesional</w:t>
      </w:r>
      <w:r>
        <w:rPr>
          <w:color w:val="231F20"/>
          <w:spacing w:val="-13"/>
          <w:sz w:val="16"/>
        </w:rPr>
        <w:t> </w:t>
      </w:r>
      <w:r>
        <w:rPr>
          <w:color w:val="231F20"/>
          <w:sz w:val="16"/>
        </w:rPr>
        <w:t>de</w:t>
      </w:r>
      <w:r>
        <w:rPr>
          <w:color w:val="231F20"/>
          <w:spacing w:val="-13"/>
          <w:sz w:val="16"/>
        </w:rPr>
        <w:t> </w:t>
      </w:r>
      <w:r>
        <w:rPr>
          <w:color w:val="231F20"/>
          <w:sz w:val="16"/>
        </w:rPr>
        <w:t>Francisco</w:t>
      </w:r>
      <w:r>
        <w:rPr>
          <w:color w:val="231F20"/>
          <w:spacing w:val="-13"/>
          <w:sz w:val="16"/>
        </w:rPr>
        <w:t> </w:t>
      </w:r>
      <w:r>
        <w:rPr>
          <w:color w:val="231F20"/>
          <w:sz w:val="16"/>
        </w:rPr>
        <w:t>Funtanet</w:t>
      </w:r>
      <w:r>
        <w:rPr>
          <w:color w:val="231F20"/>
          <w:spacing w:val="-13"/>
          <w:sz w:val="16"/>
        </w:rPr>
        <w:t> </w:t>
      </w:r>
      <w:r>
        <w:rPr>
          <w:color w:val="231F20"/>
          <w:sz w:val="16"/>
        </w:rPr>
        <w:t>se</w:t>
      </w:r>
      <w:r>
        <w:rPr>
          <w:color w:val="231F20"/>
          <w:spacing w:val="-13"/>
          <w:sz w:val="16"/>
        </w:rPr>
        <w:t> </w:t>
      </w:r>
      <w:r>
        <w:rPr>
          <w:color w:val="231F20"/>
          <w:sz w:val="16"/>
        </w:rPr>
        <w:t>puede</w:t>
      </w:r>
      <w:r>
        <w:rPr>
          <w:color w:val="231F20"/>
          <w:spacing w:val="-13"/>
          <w:sz w:val="16"/>
        </w:rPr>
        <w:t> </w:t>
      </w:r>
      <w:r>
        <w:rPr>
          <w:color w:val="231F20"/>
          <w:sz w:val="16"/>
        </w:rPr>
        <w:t>consultar</w:t>
      </w:r>
      <w:r>
        <w:rPr>
          <w:color w:val="231F20"/>
          <w:spacing w:val="-13"/>
          <w:sz w:val="16"/>
        </w:rPr>
        <w:t> </w:t>
      </w:r>
      <w:r>
        <w:rPr>
          <w:color w:val="231F20"/>
          <w:sz w:val="16"/>
        </w:rPr>
        <w:t>(FUNTANET,</w:t>
      </w:r>
      <w:r>
        <w:rPr>
          <w:color w:val="231F20"/>
          <w:spacing w:val="-13"/>
          <w:sz w:val="16"/>
        </w:rPr>
        <w:t> </w:t>
      </w:r>
      <w:r>
        <w:rPr>
          <w:color w:val="231F20"/>
          <w:sz w:val="16"/>
        </w:rPr>
        <w:t>2009). 7</w:t>
      </w:r>
      <w:r>
        <w:rPr>
          <w:color w:val="231F20"/>
          <w:spacing w:val="-14"/>
          <w:sz w:val="16"/>
        </w:rPr>
        <w:t> </w:t>
      </w:r>
      <w:r>
        <w:rPr>
          <w:color w:val="231F20"/>
          <w:sz w:val="16"/>
        </w:rPr>
        <w:t>Sin</w:t>
      </w:r>
      <w:r>
        <w:rPr>
          <w:color w:val="231F20"/>
          <w:spacing w:val="-14"/>
          <w:sz w:val="16"/>
        </w:rPr>
        <w:t> </w:t>
      </w:r>
      <w:r>
        <w:rPr>
          <w:color w:val="231F20"/>
          <w:sz w:val="16"/>
        </w:rPr>
        <w:t>embargo</w:t>
      </w:r>
      <w:r>
        <w:rPr>
          <w:color w:val="231F20"/>
          <w:spacing w:val="-14"/>
          <w:sz w:val="16"/>
        </w:rPr>
        <w:t> </w:t>
      </w:r>
      <w:r>
        <w:rPr>
          <w:color w:val="231F20"/>
          <w:sz w:val="16"/>
        </w:rPr>
        <w:t>parecería</w:t>
      </w:r>
      <w:r>
        <w:rPr>
          <w:color w:val="231F20"/>
          <w:spacing w:val="-14"/>
          <w:sz w:val="16"/>
        </w:rPr>
        <w:t> </w:t>
      </w:r>
      <w:r>
        <w:rPr>
          <w:color w:val="231F20"/>
          <w:sz w:val="16"/>
        </w:rPr>
        <w:t>que</w:t>
      </w:r>
      <w:r>
        <w:rPr>
          <w:color w:val="231F20"/>
          <w:spacing w:val="-14"/>
          <w:sz w:val="16"/>
        </w:rPr>
        <w:t> </w:t>
      </w:r>
      <w:r>
        <w:rPr>
          <w:color w:val="231F20"/>
          <w:sz w:val="16"/>
        </w:rPr>
        <w:t>durante</w:t>
      </w:r>
      <w:r>
        <w:rPr>
          <w:color w:val="231F20"/>
          <w:spacing w:val="-14"/>
          <w:sz w:val="16"/>
        </w:rPr>
        <w:t> </w:t>
      </w:r>
      <w:r>
        <w:rPr>
          <w:color w:val="231F20"/>
          <w:sz w:val="16"/>
        </w:rPr>
        <w:t>la</w:t>
      </w:r>
      <w:r>
        <w:rPr>
          <w:color w:val="231F20"/>
          <w:spacing w:val="-14"/>
          <w:sz w:val="16"/>
        </w:rPr>
        <w:t> </w:t>
      </w:r>
      <w:r>
        <w:rPr>
          <w:color w:val="231F20"/>
          <w:sz w:val="16"/>
        </w:rPr>
        <w:t>última</w:t>
      </w:r>
      <w:r>
        <w:rPr>
          <w:color w:val="231F20"/>
          <w:spacing w:val="-14"/>
          <w:sz w:val="16"/>
        </w:rPr>
        <w:t> </w:t>
      </w:r>
      <w:r>
        <w:rPr>
          <w:color w:val="231F20"/>
          <w:sz w:val="16"/>
        </w:rPr>
        <w:t>administración</w:t>
      </w:r>
      <w:r>
        <w:rPr>
          <w:color w:val="231F20"/>
          <w:spacing w:val="-14"/>
          <w:sz w:val="16"/>
        </w:rPr>
        <w:t> </w:t>
      </w:r>
      <w:r>
        <w:rPr>
          <w:color w:val="231F20"/>
          <w:sz w:val="16"/>
        </w:rPr>
        <w:t>municipal</w:t>
      </w:r>
      <w:r>
        <w:rPr>
          <w:color w:val="231F20"/>
          <w:spacing w:val="-14"/>
          <w:sz w:val="16"/>
        </w:rPr>
        <w:t> </w:t>
      </w:r>
      <w:r>
        <w:rPr>
          <w:color w:val="231F20"/>
          <w:sz w:val="16"/>
        </w:rPr>
        <w:t>2006-2009</w:t>
      </w:r>
      <w:r>
        <w:rPr>
          <w:color w:val="231F20"/>
          <w:spacing w:val="-14"/>
          <w:sz w:val="16"/>
        </w:rPr>
        <w:t> </w:t>
      </w:r>
      <w:r>
        <w:rPr>
          <w:color w:val="231F20"/>
          <w:sz w:val="16"/>
        </w:rPr>
        <w:t>la</w:t>
      </w:r>
      <w:r>
        <w:rPr>
          <w:color w:val="231F20"/>
          <w:spacing w:val="-14"/>
          <w:sz w:val="16"/>
        </w:rPr>
        <w:t> </w:t>
      </w:r>
      <w:r>
        <w:rPr>
          <w:color w:val="231F20"/>
          <w:sz w:val="16"/>
        </w:rPr>
        <w:t>influencia</w:t>
      </w:r>
      <w:r>
        <w:rPr>
          <w:color w:val="231F20"/>
          <w:spacing w:val="-14"/>
          <w:sz w:val="16"/>
        </w:rPr>
        <w:t> </w:t>
      </w:r>
      <w:r>
        <w:rPr>
          <w:color w:val="231F20"/>
          <w:sz w:val="16"/>
        </w:rPr>
        <w:t>de</w:t>
      </w:r>
      <w:r>
        <w:rPr>
          <w:color w:val="231F20"/>
          <w:spacing w:val="-14"/>
          <w:sz w:val="16"/>
        </w:rPr>
        <w:t> </w:t>
      </w:r>
      <w:r>
        <w:rPr>
          <w:color w:val="231F20"/>
          <w:sz w:val="16"/>
        </w:rPr>
        <w:t>los</w:t>
      </w:r>
      <w:r>
        <w:rPr>
          <w:color w:val="231F20"/>
          <w:spacing w:val="-14"/>
          <w:sz w:val="16"/>
        </w:rPr>
        <w:t> </w:t>
      </w:r>
      <w:r>
        <w:rPr>
          <w:color w:val="231F20"/>
          <w:sz w:val="16"/>
        </w:rPr>
        <w:t>empresarios</w:t>
      </w:r>
      <w:r>
        <w:rPr>
          <w:color w:val="231F20"/>
          <w:spacing w:val="-14"/>
          <w:sz w:val="16"/>
        </w:rPr>
        <w:t> </w:t>
      </w:r>
      <w:r>
        <w:rPr>
          <w:color w:val="231F20"/>
          <w:sz w:val="16"/>
        </w:rPr>
        <w:t>del</w:t>
      </w:r>
      <w:r>
        <w:rPr>
          <w:color w:val="231F20"/>
          <w:spacing w:val="-14"/>
          <w:sz w:val="16"/>
        </w:rPr>
        <w:t> </w:t>
      </w:r>
      <w:r>
        <w:rPr>
          <w:color w:val="231F20"/>
          <w:sz w:val="16"/>
        </w:rPr>
        <w:t>ramo de la construcción ha ido perdiendo importancia, en parte por la saturación de construcciones residenciales en la zona, al grado</w:t>
      </w:r>
      <w:r>
        <w:rPr>
          <w:color w:val="231F20"/>
          <w:spacing w:val="-12"/>
          <w:sz w:val="16"/>
        </w:rPr>
        <w:t> </w:t>
      </w:r>
      <w:r>
        <w:rPr>
          <w:color w:val="231F20"/>
          <w:sz w:val="16"/>
        </w:rPr>
        <w:t>de</w:t>
      </w:r>
      <w:r>
        <w:rPr>
          <w:color w:val="231F20"/>
          <w:spacing w:val="-12"/>
          <w:sz w:val="16"/>
        </w:rPr>
        <w:t> </w:t>
      </w:r>
      <w:r>
        <w:rPr>
          <w:color w:val="231F20"/>
          <w:sz w:val="16"/>
        </w:rPr>
        <w:t>que</w:t>
      </w:r>
      <w:r>
        <w:rPr>
          <w:color w:val="231F20"/>
          <w:spacing w:val="-12"/>
          <w:sz w:val="16"/>
        </w:rPr>
        <w:t> </w:t>
      </w:r>
      <w:r>
        <w:rPr>
          <w:color w:val="231F20"/>
          <w:sz w:val="16"/>
        </w:rPr>
        <w:t>una</w:t>
      </w:r>
      <w:r>
        <w:rPr>
          <w:color w:val="231F20"/>
          <w:spacing w:val="-12"/>
          <w:sz w:val="16"/>
        </w:rPr>
        <w:t> </w:t>
      </w:r>
      <w:r>
        <w:rPr>
          <w:color w:val="231F20"/>
          <w:sz w:val="16"/>
        </w:rPr>
        <w:t>de</w:t>
      </w:r>
      <w:r>
        <w:rPr>
          <w:color w:val="231F20"/>
          <w:spacing w:val="-12"/>
          <w:sz w:val="16"/>
        </w:rPr>
        <w:t> </w:t>
      </w:r>
      <w:r>
        <w:rPr>
          <w:color w:val="231F20"/>
          <w:sz w:val="16"/>
        </w:rPr>
        <w:t>las</w:t>
      </w:r>
      <w:r>
        <w:rPr>
          <w:color w:val="231F20"/>
          <w:spacing w:val="-12"/>
          <w:sz w:val="16"/>
        </w:rPr>
        <w:t> </w:t>
      </w:r>
      <w:r>
        <w:rPr>
          <w:color w:val="231F20"/>
          <w:sz w:val="16"/>
        </w:rPr>
        <w:t>propuestas</w:t>
      </w:r>
      <w:r>
        <w:rPr>
          <w:color w:val="231F20"/>
          <w:spacing w:val="-12"/>
          <w:sz w:val="16"/>
        </w:rPr>
        <w:t> </w:t>
      </w:r>
      <w:r>
        <w:rPr>
          <w:color w:val="231F20"/>
          <w:sz w:val="16"/>
        </w:rPr>
        <w:t>y</w:t>
      </w:r>
      <w:r>
        <w:rPr>
          <w:color w:val="231F20"/>
          <w:spacing w:val="-12"/>
          <w:sz w:val="16"/>
        </w:rPr>
        <w:t> </w:t>
      </w:r>
      <w:r>
        <w:rPr>
          <w:color w:val="231F20"/>
          <w:sz w:val="16"/>
        </w:rPr>
        <w:t>acciones</w:t>
      </w:r>
      <w:r>
        <w:rPr>
          <w:color w:val="231F20"/>
          <w:spacing w:val="-12"/>
          <w:sz w:val="16"/>
        </w:rPr>
        <w:t> </w:t>
      </w:r>
      <w:r>
        <w:rPr>
          <w:color w:val="231F20"/>
          <w:sz w:val="16"/>
        </w:rPr>
        <w:t>del</w:t>
      </w:r>
      <w:r>
        <w:rPr>
          <w:color w:val="231F20"/>
          <w:spacing w:val="-12"/>
          <w:sz w:val="16"/>
        </w:rPr>
        <w:t> </w:t>
      </w:r>
      <w:r>
        <w:rPr>
          <w:color w:val="231F20"/>
          <w:sz w:val="16"/>
        </w:rPr>
        <w:t>presidente</w:t>
      </w:r>
      <w:r>
        <w:rPr>
          <w:color w:val="231F20"/>
          <w:spacing w:val="-12"/>
          <w:sz w:val="16"/>
        </w:rPr>
        <w:t> </w:t>
      </w:r>
      <w:r>
        <w:rPr>
          <w:color w:val="231F20"/>
          <w:sz w:val="16"/>
        </w:rPr>
        <w:t>municipal</w:t>
      </w:r>
      <w:r>
        <w:rPr>
          <w:color w:val="231F20"/>
          <w:spacing w:val="-12"/>
          <w:sz w:val="16"/>
        </w:rPr>
        <w:t> </w:t>
      </w:r>
      <w:r>
        <w:rPr>
          <w:color w:val="231F20"/>
          <w:sz w:val="16"/>
        </w:rPr>
        <w:t>priísta,</w:t>
      </w:r>
      <w:r>
        <w:rPr>
          <w:color w:val="231F20"/>
          <w:spacing w:val="-12"/>
          <w:sz w:val="16"/>
        </w:rPr>
        <w:t> </w:t>
      </w:r>
      <w:r>
        <w:rPr>
          <w:color w:val="231F20"/>
          <w:sz w:val="16"/>
        </w:rPr>
        <w:t>Adrián</w:t>
      </w:r>
      <w:r>
        <w:rPr>
          <w:color w:val="231F20"/>
          <w:spacing w:val="-12"/>
          <w:sz w:val="16"/>
        </w:rPr>
        <w:t> </w:t>
      </w:r>
      <w:r>
        <w:rPr>
          <w:color w:val="231F20"/>
          <w:sz w:val="16"/>
        </w:rPr>
        <w:t>Fuentes,</w:t>
      </w:r>
      <w:r>
        <w:rPr>
          <w:color w:val="231F20"/>
          <w:spacing w:val="-12"/>
          <w:sz w:val="16"/>
        </w:rPr>
        <w:t> </w:t>
      </w:r>
      <w:r>
        <w:rPr>
          <w:color w:val="231F20"/>
          <w:sz w:val="16"/>
        </w:rPr>
        <w:t>ha</w:t>
      </w:r>
      <w:r>
        <w:rPr>
          <w:color w:val="231F20"/>
          <w:spacing w:val="-12"/>
          <w:sz w:val="16"/>
        </w:rPr>
        <w:t> </w:t>
      </w:r>
      <w:r>
        <w:rPr>
          <w:color w:val="231F20"/>
          <w:sz w:val="16"/>
        </w:rPr>
        <w:t>consistido</w:t>
      </w:r>
      <w:r>
        <w:rPr>
          <w:color w:val="231F20"/>
          <w:spacing w:val="-12"/>
          <w:sz w:val="16"/>
        </w:rPr>
        <w:t> </w:t>
      </w:r>
      <w:r>
        <w:rPr>
          <w:color w:val="231F20"/>
          <w:sz w:val="16"/>
        </w:rPr>
        <w:t>en</w:t>
      </w:r>
      <w:r>
        <w:rPr>
          <w:color w:val="231F20"/>
          <w:spacing w:val="-12"/>
          <w:sz w:val="16"/>
        </w:rPr>
        <w:t> </w:t>
      </w:r>
      <w:r>
        <w:rPr>
          <w:color w:val="231F20"/>
          <w:sz w:val="16"/>
        </w:rPr>
        <w:t>rechazar</w:t>
      </w:r>
      <w:r>
        <w:rPr>
          <w:color w:val="231F20"/>
          <w:spacing w:val="-12"/>
          <w:sz w:val="16"/>
        </w:rPr>
        <w:t> </w:t>
      </w:r>
      <w:r>
        <w:rPr>
          <w:color w:val="231F20"/>
          <w:sz w:val="16"/>
        </w:rPr>
        <w:t>las solicitudes de construcción habitacionales de alto impacto. Entrevista con Justino Antonio Mondragón, Secretario Técnico del</w:t>
      </w:r>
      <w:r>
        <w:rPr>
          <w:color w:val="231F20"/>
          <w:spacing w:val="-15"/>
          <w:sz w:val="16"/>
        </w:rPr>
        <w:t> </w:t>
      </w:r>
      <w:r>
        <w:rPr>
          <w:color w:val="231F20"/>
          <w:sz w:val="16"/>
        </w:rPr>
        <w:t>Ayuntamiento</w:t>
      </w:r>
      <w:r>
        <w:rPr>
          <w:color w:val="231F20"/>
          <w:spacing w:val="-15"/>
          <w:sz w:val="16"/>
        </w:rPr>
        <w:t> </w:t>
      </w:r>
      <w:r>
        <w:rPr>
          <w:color w:val="231F20"/>
          <w:sz w:val="16"/>
        </w:rPr>
        <w:t>2006-2009,</w:t>
      </w:r>
      <w:r>
        <w:rPr>
          <w:color w:val="231F20"/>
          <w:spacing w:val="-15"/>
          <w:sz w:val="16"/>
        </w:rPr>
        <w:t> </w:t>
      </w:r>
      <w:r>
        <w:rPr>
          <w:color w:val="231F20"/>
          <w:sz w:val="16"/>
        </w:rPr>
        <w:t>29</w:t>
      </w:r>
      <w:r>
        <w:rPr>
          <w:color w:val="231F20"/>
          <w:spacing w:val="-15"/>
          <w:sz w:val="16"/>
        </w:rPr>
        <w:t> </w:t>
      </w:r>
      <w:r>
        <w:rPr>
          <w:color w:val="231F20"/>
          <w:sz w:val="16"/>
        </w:rPr>
        <w:t>de</w:t>
      </w:r>
      <w:r>
        <w:rPr>
          <w:color w:val="231F20"/>
          <w:spacing w:val="-15"/>
          <w:sz w:val="16"/>
        </w:rPr>
        <w:t> </w:t>
      </w:r>
      <w:r>
        <w:rPr>
          <w:color w:val="231F20"/>
          <w:sz w:val="16"/>
        </w:rPr>
        <w:t>septiembre</w:t>
      </w:r>
      <w:r>
        <w:rPr>
          <w:color w:val="231F20"/>
          <w:spacing w:val="-15"/>
          <w:sz w:val="16"/>
        </w:rPr>
        <w:t> </w:t>
      </w:r>
      <w:r>
        <w:rPr>
          <w:color w:val="231F20"/>
          <w:sz w:val="16"/>
        </w:rPr>
        <w:t>de</w:t>
      </w:r>
      <w:r>
        <w:rPr>
          <w:color w:val="231F20"/>
          <w:spacing w:val="-15"/>
          <w:sz w:val="16"/>
        </w:rPr>
        <w:t> </w:t>
      </w:r>
      <w:r>
        <w:rPr>
          <w:color w:val="231F20"/>
          <w:sz w:val="16"/>
        </w:rPr>
        <w:t>2008.</w:t>
      </w:r>
    </w:p>
    <w:p>
      <w:pPr>
        <w:pStyle w:val="ListParagraph"/>
        <w:numPr>
          <w:ilvl w:val="0"/>
          <w:numId w:val="3"/>
        </w:numPr>
        <w:tabs>
          <w:tab w:pos="224" w:val="left" w:leader="none"/>
        </w:tabs>
        <w:spacing w:line="240" w:lineRule="auto" w:before="0" w:after="0"/>
        <w:ind w:left="110" w:right="0" w:firstLine="0"/>
        <w:jc w:val="both"/>
        <w:rPr>
          <w:sz w:val="16"/>
        </w:rPr>
      </w:pPr>
      <w:r>
        <w:rPr>
          <w:color w:val="231F20"/>
          <w:sz w:val="16"/>
        </w:rPr>
        <w:t>Datos</w:t>
      </w:r>
      <w:r>
        <w:rPr>
          <w:color w:val="231F20"/>
          <w:spacing w:val="-19"/>
          <w:sz w:val="16"/>
        </w:rPr>
        <w:t> </w:t>
      </w:r>
      <w:r>
        <w:rPr>
          <w:color w:val="231F20"/>
          <w:sz w:val="16"/>
        </w:rPr>
        <w:t>de</w:t>
      </w:r>
      <w:r>
        <w:rPr>
          <w:color w:val="231F20"/>
          <w:spacing w:val="-19"/>
          <w:sz w:val="16"/>
        </w:rPr>
        <w:t> </w:t>
      </w:r>
      <w:r>
        <w:rPr>
          <w:color w:val="231F20"/>
          <w:sz w:val="16"/>
        </w:rPr>
        <w:t>las</w:t>
      </w:r>
      <w:r>
        <w:rPr>
          <w:color w:val="231F20"/>
          <w:spacing w:val="-19"/>
          <w:sz w:val="16"/>
        </w:rPr>
        <w:t> </w:t>
      </w:r>
      <w:r>
        <w:rPr>
          <w:color w:val="231F20"/>
          <w:sz w:val="16"/>
        </w:rPr>
        <w:t>“Proyecciones</w:t>
      </w:r>
      <w:r>
        <w:rPr>
          <w:color w:val="231F20"/>
          <w:spacing w:val="-19"/>
          <w:sz w:val="16"/>
        </w:rPr>
        <w:t> </w:t>
      </w:r>
      <w:r>
        <w:rPr>
          <w:color w:val="231F20"/>
          <w:sz w:val="16"/>
        </w:rPr>
        <w:t>de</w:t>
      </w:r>
      <w:r>
        <w:rPr>
          <w:color w:val="231F20"/>
          <w:spacing w:val="-19"/>
          <w:sz w:val="16"/>
        </w:rPr>
        <w:t> </w:t>
      </w:r>
      <w:r>
        <w:rPr>
          <w:color w:val="231F20"/>
          <w:sz w:val="16"/>
        </w:rPr>
        <w:t>la</w:t>
      </w:r>
      <w:r>
        <w:rPr>
          <w:color w:val="231F20"/>
          <w:spacing w:val="-19"/>
          <w:sz w:val="16"/>
        </w:rPr>
        <w:t> </w:t>
      </w:r>
      <w:r>
        <w:rPr>
          <w:color w:val="231F20"/>
          <w:sz w:val="16"/>
        </w:rPr>
        <w:t>Población</w:t>
      </w:r>
      <w:r>
        <w:rPr>
          <w:color w:val="231F20"/>
          <w:spacing w:val="-19"/>
          <w:sz w:val="16"/>
        </w:rPr>
        <w:t> </w:t>
      </w:r>
      <w:r>
        <w:rPr>
          <w:color w:val="231F20"/>
          <w:sz w:val="16"/>
        </w:rPr>
        <w:t>de</w:t>
      </w:r>
      <w:r>
        <w:rPr>
          <w:color w:val="231F20"/>
          <w:spacing w:val="-19"/>
          <w:sz w:val="16"/>
        </w:rPr>
        <w:t> </w:t>
      </w:r>
      <w:r>
        <w:rPr>
          <w:color w:val="231F20"/>
          <w:sz w:val="16"/>
        </w:rPr>
        <w:t>México,</w:t>
      </w:r>
      <w:r>
        <w:rPr>
          <w:color w:val="231F20"/>
          <w:spacing w:val="-19"/>
          <w:sz w:val="16"/>
        </w:rPr>
        <w:t> </w:t>
      </w:r>
      <w:r>
        <w:rPr>
          <w:color w:val="231F20"/>
          <w:sz w:val="16"/>
        </w:rPr>
        <w:t>2000-2050”</w:t>
      </w:r>
      <w:r>
        <w:rPr>
          <w:color w:val="231F20"/>
          <w:spacing w:val="-19"/>
          <w:sz w:val="16"/>
        </w:rPr>
        <w:t> </w:t>
      </w:r>
      <w:r>
        <w:rPr>
          <w:color w:val="231F20"/>
          <w:sz w:val="16"/>
        </w:rPr>
        <w:t>(CONAPO,</w:t>
      </w:r>
      <w:r>
        <w:rPr>
          <w:color w:val="231F20"/>
          <w:spacing w:val="-19"/>
          <w:sz w:val="16"/>
        </w:rPr>
        <w:t> </w:t>
      </w:r>
      <w:r>
        <w:rPr>
          <w:color w:val="231F20"/>
          <w:sz w:val="16"/>
        </w:rPr>
        <w:t>2005b).</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rPr>
        <w:t>El municipio forma parte de la unidad geomorfológica “Sierra de las Cruces” que separa  a la cuenca de México y del Lerma, así como a los valles de México y de </w:t>
      </w:r>
      <w:r>
        <w:rPr>
          <w:color w:val="231F20"/>
          <w:spacing w:val="-5"/>
        </w:rPr>
        <w:t>Toluca. </w:t>
      </w:r>
      <w:r>
        <w:rPr>
          <w:color w:val="231F20"/>
        </w:rPr>
        <w:t>Esto hace que Huixquilucan se convierta en una especie de “barrera </w:t>
      </w:r>
      <w:r>
        <w:rPr>
          <w:color w:val="231F20"/>
          <w:spacing w:val="2"/>
        </w:rPr>
        <w:t>natural” al </w:t>
      </w:r>
      <w:r>
        <w:rPr>
          <w:color w:val="231F20"/>
        </w:rPr>
        <w:t>tránsito y comunicación de estas regiones. A la vez, en su interior se forman regiones con pen- dientes y cañadas, así como otra con extensas planicies que han sido aprovechadas para   el crecimiento del sector de la construcción de viviendas residenciales para población     de altos</w:t>
      </w:r>
      <w:r>
        <w:rPr>
          <w:color w:val="231F20"/>
          <w:spacing w:val="41"/>
        </w:rPr>
        <w:t> </w:t>
      </w:r>
      <w:r>
        <w:rPr>
          <w:color w:val="231F20"/>
        </w:rPr>
        <w:t>ingresos.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23"/>
          <w:w w:val="105"/>
        </w:rPr>
        <w:t> </w:t>
      </w:r>
      <w:r>
        <w:rPr>
          <w:color w:val="231F20"/>
          <w:w w:val="105"/>
        </w:rPr>
        <w:t>importancia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geomorfología</w:t>
      </w:r>
      <w:r>
        <w:rPr>
          <w:color w:val="231F20"/>
          <w:spacing w:val="-23"/>
          <w:w w:val="105"/>
        </w:rPr>
        <w:t> </w:t>
      </w:r>
      <w:r>
        <w:rPr>
          <w:color w:val="231F20"/>
          <w:w w:val="105"/>
        </w:rPr>
        <w:t>influye</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diversos</w:t>
      </w:r>
      <w:r>
        <w:rPr>
          <w:color w:val="231F20"/>
          <w:spacing w:val="-23"/>
          <w:w w:val="105"/>
        </w:rPr>
        <w:t> </w:t>
      </w:r>
      <w:r>
        <w:rPr>
          <w:color w:val="231F20"/>
          <w:w w:val="105"/>
        </w:rPr>
        <w:t>tipos</w:t>
      </w:r>
      <w:r>
        <w:rPr>
          <w:color w:val="231F20"/>
          <w:spacing w:val="-23"/>
          <w:w w:val="105"/>
        </w:rPr>
        <w:t> </w:t>
      </w:r>
      <w:r>
        <w:rPr>
          <w:color w:val="231F20"/>
          <w:w w:val="105"/>
        </w:rPr>
        <w:t>de</w:t>
      </w:r>
      <w:r>
        <w:rPr>
          <w:color w:val="231F20"/>
          <w:spacing w:val="-23"/>
          <w:w w:val="105"/>
        </w:rPr>
        <w:t> </w:t>
      </w:r>
      <w:r>
        <w:rPr>
          <w:color w:val="231F20"/>
          <w:w w:val="105"/>
        </w:rPr>
        <w:t>asentamientos</w:t>
      </w:r>
      <w:r>
        <w:rPr>
          <w:color w:val="231F20"/>
          <w:spacing w:val="-23"/>
          <w:w w:val="105"/>
        </w:rPr>
        <w:t> </w:t>
      </w:r>
      <w:r>
        <w:rPr>
          <w:color w:val="231F20"/>
          <w:w w:val="105"/>
        </w:rPr>
        <w:t>de</w:t>
      </w:r>
      <w:r>
        <w:rPr>
          <w:color w:val="231F20"/>
          <w:spacing w:val="-23"/>
          <w:w w:val="105"/>
        </w:rPr>
        <w:t> </w:t>
      </w:r>
      <w:r>
        <w:rPr>
          <w:color w:val="231F20"/>
          <w:w w:val="105"/>
        </w:rPr>
        <w:t>las comunidades</w:t>
      </w:r>
      <w:r>
        <w:rPr>
          <w:color w:val="231F20"/>
          <w:w w:val="105"/>
          <w:position w:val="7"/>
          <w:sz w:val="13"/>
        </w:rPr>
        <w:t>9</w:t>
      </w:r>
      <w:r>
        <w:rPr>
          <w:color w:val="231F20"/>
          <w:w w:val="105"/>
        </w:rPr>
        <w:t>,</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prestación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distintos</w:t>
      </w:r>
      <w:r>
        <w:rPr>
          <w:color w:val="231F20"/>
          <w:spacing w:val="-16"/>
          <w:w w:val="105"/>
        </w:rPr>
        <w:t> </w:t>
      </w:r>
      <w:r>
        <w:rPr>
          <w:color w:val="231F20"/>
          <w:w w:val="105"/>
        </w:rPr>
        <w:t>servicios</w:t>
      </w:r>
      <w:r>
        <w:rPr>
          <w:color w:val="231F20"/>
          <w:spacing w:val="-16"/>
          <w:w w:val="105"/>
        </w:rPr>
        <w:t> </w:t>
      </w:r>
      <w:r>
        <w:rPr>
          <w:color w:val="231F20"/>
          <w:w w:val="105"/>
        </w:rPr>
        <w:t>públicos,</w:t>
      </w:r>
      <w:r>
        <w:rPr>
          <w:color w:val="231F20"/>
          <w:spacing w:val="-16"/>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tiem- pos</w:t>
      </w:r>
      <w:r>
        <w:rPr>
          <w:color w:val="231F20"/>
          <w:spacing w:val="-9"/>
          <w:w w:val="105"/>
        </w:rPr>
        <w:t> </w:t>
      </w:r>
      <w:r>
        <w:rPr>
          <w:color w:val="231F20"/>
          <w:w w:val="105"/>
        </w:rPr>
        <w:t>de</w:t>
      </w:r>
      <w:r>
        <w:rPr>
          <w:color w:val="231F20"/>
          <w:spacing w:val="-9"/>
          <w:w w:val="105"/>
        </w:rPr>
        <w:t> </w:t>
      </w:r>
      <w:r>
        <w:rPr>
          <w:color w:val="231F20"/>
          <w:w w:val="105"/>
        </w:rPr>
        <w:t>recorridos</w:t>
      </w:r>
      <w:r>
        <w:rPr>
          <w:color w:val="231F20"/>
          <w:spacing w:val="-9"/>
          <w:w w:val="105"/>
        </w:rPr>
        <w:t> </w:t>
      </w:r>
      <w:r>
        <w:rPr>
          <w:color w:val="231F20"/>
          <w:w w:val="105"/>
        </w:rPr>
        <w:t>dentro</w:t>
      </w:r>
      <w:r>
        <w:rPr>
          <w:color w:val="231F20"/>
          <w:spacing w:val="-9"/>
          <w:w w:val="105"/>
        </w:rPr>
        <w:t> </w:t>
      </w:r>
      <w:r>
        <w:rPr>
          <w:color w:val="231F20"/>
          <w:w w:val="105"/>
        </w:rPr>
        <w:t>del</w:t>
      </w:r>
      <w:r>
        <w:rPr>
          <w:color w:val="231F20"/>
          <w:spacing w:val="-9"/>
          <w:w w:val="105"/>
        </w:rPr>
        <w:t> </w:t>
      </w:r>
      <w:r>
        <w:rPr>
          <w:color w:val="231F20"/>
          <w:w w:val="105"/>
        </w:rPr>
        <w:t>territorio</w:t>
      </w:r>
      <w:r>
        <w:rPr>
          <w:color w:val="231F20"/>
          <w:spacing w:val="-9"/>
          <w:w w:val="105"/>
        </w:rPr>
        <w:t> </w:t>
      </w:r>
      <w:r>
        <w:rPr>
          <w:color w:val="231F20"/>
          <w:w w:val="105"/>
        </w:rPr>
        <w:t>municipal</w:t>
      </w:r>
      <w:r>
        <w:rPr>
          <w:color w:val="231F20"/>
          <w:spacing w:val="-9"/>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políticas</w:t>
      </w:r>
      <w:r>
        <w:rPr>
          <w:color w:val="231F20"/>
          <w:spacing w:val="-9"/>
          <w:w w:val="105"/>
        </w:rPr>
        <w:t> </w:t>
      </w:r>
      <w:r>
        <w:rPr>
          <w:color w:val="231F20"/>
          <w:w w:val="105"/>
        </w:rPr>
        <w:t>de</w:t>
      </w:r>
      <w:r>
        <w:rPr>
          <w:color w:val="231F20"/>
          <w:spacing w:val="-9"/>
          <w:w w:val="105"/>
        </w:rPr>
        <w:t> </w:t>
      </w:r>
      <w:r>
        <w:rPr>
          <w:color w:val="231F20"/>
          <w:w w:val="105"/>
        </w:rPr>
        <w:t>desarrollo</w:t>
      </w:r>
      <w:r>
        <w:rPr>
          <w:color w:val="231F20"/>
          <w:spacing w:val="-9"/>
          <w:w w:val="105"/>
        </w:rPr>
        <w:t> </w:t>
      </w:r>
      <w:r>
        <w:rPr>
          <w:color w:val="231F20"/>
          <w:w w:val="105"/>
        </w:rPr>
        <w:t>urbano y conservación</w:t>
      </w:r>
      <w:r>
        <w:rPr>
          <w:color w:val="231F20"/>
          <w:spacing w:val="-39"/>
          <w:w w:val="105"/>
        </w:rPr>
        <w:t> </w:t>
      </w:r>
      <w:r>
        <w:rPr>
          <w:color w:val="231F20"/>
          <w:spacing w:val="2"/>
          <w:w w:val="105"/>
        </w:rPr>
        <w:t>rural.</w:t>
      </w:r>
    </w:p>
    <w:p>
      <w:pPr>
        <w:pStyle w:val="BodyText"/>
        <w:spacing w:before="1"/>
        <w:rPr>
          <w:sz w:val="26"/>
        </w:rPr>
      </w:pPr>
    </w:p>
    <w:p>
      <w:pPr>
        <w:pStyle w:val="BodyText"/>
        <w:spacing w:line="285" w:lineRule="auto"/>
        <w:ind w:left="110" w:right="108"/>
        <w:jc w:val="both"/>
      </w:pPr>
      <w:r>
        <w:rPr>
          <w:color w:val="231F20"/>
          <w:w w:val="105"/>
        </w:rPr>
        <w:t>Los </w:t>
      </w:r>
      <w:r>
        <w:rPr>
          <w:color w:val="231F20"/>
          <w:spacing w:val="-3"/>
          <w:w w:val="105"/>
        </w:rPr>
        <w:t>datos </w:t>
      </w:r>
      <w:r>
        <w:rPr>
          <w:color w:val="231F20"/>
          <w:w w:val="105"/>
        </w:rPr>
        <w:t>censales muestran un </w:t>
      </w:r>
      <w:r>
        <w:rPr>
          <w:color w:val="231F20"/>
          <w:spacing w:val="-4"/>
          <w:w w:val="105"/>
        </w:rPr>
        <w:t>incremento </w:t>
      </w:r>
      <w:r>
        <w:rPr>
          <w:color w:val="231F20"/>
          <w:spacing w:val="-3"/>
          <w:w w:val="105"/>
        </w:rPr>
        <w:t>sostenido </w:t>
      </w:r>
      <w:r>
        <w:rPr>
          <w:color w:val="231F20"/>
          <w:w w:val="105"/>
        </w:rPr>
        <w:t>en el </w:t>
      </w:r>
      <w:r>
        <w:rPr>
          <w:color w:val="231F20"/>
          <w:spacing w:val="-3"/>
          <w:w w:val="105"/>
        </w:rPr>
        <w:t>número </w:t>
      </w:r>
      <w:r>
        <w:rPr>
          <w:color w:val="231F20"/>
          <w:w w:val="105"/>
        </w:rPr>
        <w:t>de viviendas en el </w:t>
      </w:r>
      <w:r>
        <w:rPr>
          <w:color w:val="231F20"/>
          <w:spacing w:val="-3"/>
          <w:w w:val="105"/>
        </w:rPr>
        <w:t>territorio que, </w:t>
      </w:r>
      <w:r>
        <w:rPr>
          <w:color w:val="231F20"/>
          <w:w w:val="105"/>
        </w:rPr>
        <w:t>a pesar </w:t>
      </w:r>
      <w:r>
        <w:rPr>
          <w:color w:val="231F20"/>
          <w:spacing w:val="-3"/>
          <w:w w:val="105"/>
        </w:rPr>
        <w:t>del crecimiento </w:t>
      </w:r>
      <w:r>
        <w:rPr>
          <w:color w:val="231F20"/>
          <w:w w:val="105"/>
        </w:rPr>
        <w:t>constante de sus </w:t>
      </w:r>
      <w:r>
        <w:rPr>
          <w:color w:val="231F20"/>
          <w:spacing w:val="-3"/>
          <w:w w:val="105"/>
        </w:rPr>
        <w:t>habitantes, </w:t>
      </w:r>
      <w:r>
        <w:rPr>
          <w:color w:val="231F20"/>
          <w:w w:val="105"/>
        </w:rPr>
        <w:t>ha </w:t>
      </w:r>
      <w:r>
        <w:rPr>
          <w:color w:val="231F20"/>
          <w:spacing w:val="-4"/>
          <w:w w:val="105"/>
        </w:rPr>
        <w:t>propiciado </w:t>
      </w:r>
      <w:r>
        <w:rPr>
          <w:color w:val="231F20"/>
          <w:w w:val="105"/>
        </w:rPr>
        <w:t>un </w:t>
      </w:r>
      <w:r>
        <w:rPr>
          <w:color w:val="231F20"/>
          <w:spacing w:val="-3"/>
          <w:w w:val="105"/>
        </w:rPr>
        <w:t>des- </w:t>
      </w:r>
      <w:r>
        <w:rPr>
          <w:color w:val="231F20"/>
          <w:w w:val="105"/>
        </w:rPr>
        <w:t>censo en el </w:t>
      </w:r>
      <w:r>
        <w:rPr>
          <w:color w:val="231F20"/>
          <w:spacing w:val="-3"/>
          <w:w w:val="105"/>
        </w:rPr>
        <w:t>número </w:t>
      </w:r>
      <w:r>
        <w:rPr>
          <w:color w:val="231F20"/>
          <w:w w:val="105"/>
        </w:rPr>
        <w:t>de ocupantes </w:t>
      </w:r>
      <w:r>
        <w:rPr>
          <w:color w:val="231F20"/>
          <w:spacing w:val="-3"/>
          <w:w w:val="105"/>
        </w:rPr>
        <w:t>promedio </w:t>
      </w:r>
      <w:r>
        <w:rPr>
          <w:color w:val="231F20"/>
          <w:w w:val="105"/>
        </w:rPr>
        <w:t>en </w:t>
      </w:r>
      <w:r>
        <w:rPr>
          <w:color w:val="231F20"/>
          <w:spacing w:val="-3"/>
          <w:w w:val="105"/>
        </w:rPr>
        <w:t>los hogares. </w:t>
      </w:r>
      <w:r>
        <w:rPr>
          <w:color w:val="231F20"/>
          <w:w w:val="105"/>
        </w:rPr>
        <w:t>En </w:t>
      </w:r>
      <w:r>
        <w:rPr>
          <w:color w:val="231F20"/>
          <w:spacing w:val="-3"/>
          <w:w w:val="105"/>
        </w:rPr>
        <w:t>1980 </w:t>
      </w:r>
      <w:r>
        <w:rPr>
          <w:color w:val="231F20"/>
          <w:w w:val="105"/>
        </w:rPr>
        <w:t>se </w:t>
      </w:r>
      <w:r>
        <w:rPr>
          <w:color w:val="231F20"/>
          <w:spacing w:val="-3"/>
          <w:w w:val="105"/>
        </w:rPr>
        <w:t>contaba con </w:t>
      </w:r>
      <w:r>
        <w:rPr>
          <w:color w:val="231F20"/>
          <w:w w:val="105"/>
        </w:rPr>
        <w:t>un </w:t>
      </w:r>
      <w:r>
        <w:rPr>
          <w:color w:val="231F20"/>
          <w:spacing w:val="-3"/>
          <w:w w:val="105"/>
        </w:rPr>
        <w:t>promedio </w:t>
      </w:r>
      <w:r>
        <w:rPr>
          <w:color w:val="231F20"/>
          <w:w w:val="105"/>
        </w:rPr>
        <w:t>de 6.02 </w:t>
      </w:r>
      <w:r>
        <w:rPr>
          <w:color w:val="231F20"/>
          <w:spacing w:val="-3"/>
          <w:w w:val="105"/>
        </w:rPr>
        <w:t>habitantes por </w:t>
      </w:r>
      <w:r>
        <w:rPr>
          <w:color w:val="231F20"/>
          <w:w w:val="105"/>
        </w:rPr>
        <w:t>vivienda y para el año 2005 se </w:t>
      </w:r>
      <w:r>
        <w:rPr>
          <w:color w:val="231F20"/>
          <w:spacing w:val="-3"/>
          <w:w w:val="105"/>
        </w:rPr>
        <w:t>había </w:t>
      </w:r>
      <w:r>
        <w:rPr>
          <w:color w:val="231F20"/>
          <w:spacing w:val="-4"/>
          <w:w w:val="105"/>
        </w:rPr>
        <w:t>reducido </w:t>
      </w:r>
      <w:r>
        <w:rPr>
          <w:color w:val="231F20"/>
          <w:w w:val="105"/>
        </w:rPr>
        <w:t>a 4.2.</w:t>
      </w:r>
    </w:p>
    <w:p>
      <w:pPr>
        <w:pStyle w:val="BodyText"/>
        <w:spacing w:before="1"/>
        <w:rPr>
          <w:sz w:val="26"/>
        </w:rPr>
      </w:pPr>
    </w:p>
    <w:p>
      <w:pPr>
        <w:pStyle w:val="BodyText"/>
        <w:spacing w:line="285" w:lineRule="auto"/>
        <w:ind w:left="110" w:right="108"/>
        <w:jc w:val="both"/>
      </w:pPr>
      <w:r>
        <w:rPr>
          <w:color w:val="231F20"/>
          <w:w w:val="105"/>
        </w:rPr>
        <w:t>Entre</w:t>
      </w:r>
      <w:r>
        <w:rPr>
          <w:color w:val="231F20"/>
          <w:spacing w:val="-18"/>
          <w:w w:val="105"/>
        </w:rPr>
        <w:t> </w:t>
      </w:r>
      <w:r>
        <w:rPr>
          <w:color w:val="231F20"/>
          <w:w w:val="105"/>
        </w:rPr>
        <w:t>los</w:t>
      </w:r>
      <w:r>
        <w:rPr>
          <w:color w:val="231F20"/>
          <w:spacing w:val="-18"/>
          <w:w w:val="105"/>
        </w:rPr>
        <w:t> </w:t>
      </w:r>
      <w:r>
        <w:rPr>
          <w:color w:val="231F20"/>
          <w:w w:val="105"/>
        </w:rPr>
        <w:t>años</w:t>
      </w:r>
      <w:r>
        <w:rPr>
          <w:color w:val="231F20"/>
          <w:spacing w:val="-18"/>
          <w:w w:val="105"/>
        </w:rPr>
        <w:t> </w:t>
      </w:r>
      <w:r>
        <w:rPr>
          <w:color w:val="231F20"/>
          <w:w w:val="105"/>
        </w:rPr>
        <w:t>de</w:t>
      </w:r>
      <w:r>
        <w:rPr>
          <w:color w:val="231F20"/>
          <w:spacing w:val="-18"/>
          <w:w w:val="105"/>
        </w:rPr>
        <w:t> </w:t>
      </w:r>
      <w:r>
        <w:rPr>
          <w:color w:val="231F20"/>
          <w:w w:val="105"/>
        </w:rPr>
        <w:t>1990</w:t>
      </w:r>
      <w:r>
        <w:rPr>
          <w:color w:val="231F20"/>
          <w:spacing w:val="-18"/>
          <w:w w:val="105"/>
        </w:rPr>
        <w:t> </w:t>
      </w:r>
      <w:r>
        <w:rPr>
          <w:color w:val="231F20"/>
          <w:w w:val="105"/>
        </w:rPr>
        <w:t>y</w:t>
      </w:r>
      <w:r>
        <w:rPr>
          <w:color w:val="231F20"/>
          <w:spacing w:val="-18"/>
          <w:w w:val="105"/>
        </w:rPr>
        <w:t> </w:t>
      </w:r>
      <w:r>
        <w:rPr>
          <w:color w:val="231F20"/>
          <w:w w:val="105"/>
        </w:rPr>
        <w:t>1995</w:t>
      </w:r>
      <w:r>
        <w:rPr>
          <w:color w:val="231F20"/>
          <w:spacing w:val="-18"/>
          <w:w w:val="105"/>
        </w:rPr>
        <w:t> </w:t>
      </w:r>
      <w:r>
        <w:rPr>
          <w:color w:val="231F20"/>
          <w:w w:val="105"/>
        </w:rPr>
        <w:t>se</w:t>
      </w:r>
      <w:r>
        <w:rPr>
          <w:color w:val="231F20"/>
          <w:spacing w:val="-18"/>
          <w:w w:val="105"/>
        </w:rPr>
        <w:t> </w:t>
      </w:r>
      <w:r>
        <w:rPr>
          <w:color w:val="231F20"/>
          <w:w w:val="105"/>
        </w:rPr>
        <w:t>registró</w:t>
      </w:r>
      <w:r>
        <w:rPr>
          <w:color w:val="231F20"/>
          <w:spacing w:val="-18"/>
          <w:w w:val="105"/>
        </w:rPr>
        <w:t> </w:t>
      </w:r>
      <w:r>
        <w:rPr>
          <w:color w:val="231F20"/>
          <w:w w:val="105"/>
        </w:rPr>
        <w:t>el</w:t>
      </w:r>
      <w:r>
        <w:rPr>
          <w:color w:val="231F20"/>
          <w:spacing w:val="-18"/>
          <w:w w:val="105"/>
        </w:rPr>
        <w:t> </w:t>
      </w:r>
      <w:r>
        <w:rPr>
          <w:color w:val="231F20"/>
          <w:w w:val="105"/>
        </w:rPr>
        <w:t>mayor</w:t>
      </w:r>
      <w:r>
        <w:rPr>
          <w:color w:val="231F20"/>
          <w:spacing w:val="-18"/>
          <w:w w:val="105"/>
        </w:rPr>
        <w:t> </w:t>
      </w:r>
      <w:r>
        <w:rPr>
          <w:color w:val="231F20"/>
          <w:w w:val="105"/>
        </w:rPr>
        <w:t>incremento</w:t>
      </w:r>
      <w:r>
        <w:rPr>
          <w:color w:val="231F20"/>
          <w:spacing w:val="-18"/>
          <w:w w:val="105"/>
        </w:rPr>
        <w:t> </w:t>
      </w:r>
      <w:r>
        <w:rPr>
          <w:color w:val="231F20"/>
          <w:w w:val="105"/>
        </w:rPr>
        <w:t>de</w:t>
      </w:r>
      <w:r>
        <w:rPr>
          <w:color w:val="231F20"/>
          <w:spacing w:val="-18"/>
          <w:w w:val="105"/>
        </w:rPr>
        <w:t> </w:t>
      </w:r>
      <w:r>
        <w:rPr>
          <w:color w:val="231F20"/>
          <w:w w:val="105"/>
        </w:rPr>
        <w:t>habitantes</w:t>
      </w:r>
      <w:r>
        <w:rPr>
          <w:color w:val="231F20"/>
          <w:spacing w:val="-18"/>
          <w:w w:val="105"/>
        </w:rPr>
        <w:t> </w:t>
      </w:r>
      <w:r>
        <w:rPr>
          <w:color w:val="231F20"/>
          <w:w w:val="105"/>
        </w:rPr>
        <w:t>y</w:t>
      </w:r>
      <w:r>
        <w:rPr>
          <w:color w:val="231F20"/>
          <w:spacing w:val="-18"/>
          <w:w w:val="105"/>
        </w:rPr>
        <w:t> </w:t>
      </w:r>
      <w:r>
        <w:rPr>
          <w:color w:val="231F20"/>
          <w:w w:val="105"/>
        </w:rPr>
        <w:t>viviendas en</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lo</w:t>
      </w:r>
      <w:r>
        <w:rPr>
          <w:color w:val="231F20"/>
          <w:spacing w:val="-17"/>
          <w:w w:val="105"/>
        </w:rPr>
        <w:t> </w:t>
      </w:r>
      <w:r>
        <w:rPr>
          <w:color w:val="231F20"/>
          <w:w w:val="105"/>
        </w:rPr>
        <w:t>cual</w:t>
      </w:r>
      <w:r>
        <w:rPr>
          <w:color w:val="231F20"/>
          <w:spacing w:val="-17"/>
          <w:w w:val="105"/>
        </w:rPr>
        <w:t> </w:t>
      </w:r>
      <w:r>
        <w:rPr>
          <w:color w:val="231F20"/>
          <w:w w:val="105"/>
        </w:rPr>
        <w:t>se</w:t>
      </w:r>
      <w:r>
        <w:rPr>
          <w:color w:val="231F20"/>
          <w:spacing w:val="-17"/>
          <w:w w:val="105"/>
        </w:rPr>
        <w:t> </w:t>
      </w:r>
      <w:r>
        <w:rPr>
          <w:color w:val="231F20"/>
          <w:w w:val="105"/>
        </w:rPr>
        <w:t>ha</w:t>
      </w:r>
      <w:r>
        <w:rPr>
          <w:color w:val="231F20"/>
          <w:spacing w:val="-17"/>
          <w:w w:val="105"/>
        </w:rPr>
        <w:t> </w:t>
      </w:r>
      <w:r>
        <w:rPr>
          <w:color w:val="231F20"/>
          <w:w w:val="105"/>
        </w:rPr>
        <w:t>hecho</w:t>
      </w:r>
      <w:r>
        <w:rPr>
          <w:color w:val="231F20"/>
          <w:spacing w:val="-17"/>
          <w:w w:val="105"/>
        </w:rPr>
        <w:t> </w:t>
      </w:r>
      <w:r>
        <w:rPr>
          <w:color w:val="231F20"/>
          <w:w w:val="105"/>
        </w:rPr>
        <w:t>tangible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desarrollo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industria</w:t>
      </w:r>
      <w:r>
        <w:rPr>
          <w:color w:val="231F20"/>
          <w:spacing w:val="-17"/>
          <w:w w:val="105"/>
        </w:rPr>
        <w:t> </w:t>
      </w:r>
      <w:r>
        <w:rPr>
          <w:color w:val="231F20"/>
          <w:w w:val="105"/>
        </w:rPr>
        <w:t>inmobiliaria asentada en la zona residencial del municipio; los fraccionamientos se han convertido en</w:t>
      </w:r>
      <w:r>
        <w:rPr>
          <w:color w:val="231F20"/>
          <w:spacing w:val="-8"/>
          <w:w w:val="105"/>
        </w:rPr>
        <w:t> </w:t>
      </w:r>
      <w:r>
        <w:rPr>
          <w:color w:val="231F20"/>
          <w:w w:val="105"/>
        </w:rPr>
        <w:t>un</w:t>
      </w:r>
      <w:r>
        <w:rPr>
          <w:color w:val="231F20"/>
          <w:spacing w:val="-8"/>
          <w:w w:val="105"/>
        </w:rPr>
        <w:t> </w:t>
      </w:r>
      <w:r>
        <w:rPr>
          <w:color w:val="231F20"/>
          <w:w w:val="105"/>
        </w:rPr>
        <w:t>área</w:t>
      </w:r>
      <w:r>
        <w:rPr>
          <w:color w:val="231F20"/>
          <w:spacing w:val="-8"/>
          <w:w w:val="105"/>
        </w:rPr>
        <w:t> </w:t>
      </w:r>
      <w:r>
        <w:rPr>
          <w:color w:val="231F20"/>
          <w:w w:val="105"/>
        </w:rPr>
        <w:t>habitacional</w:t>
      </w:r>
      <w:r>
        <w:rPr>
          <w:color w:val="231F20"/>
          <w:spacing w:val="-8"/>
          <w:w w:val="105"/>
        </w:rPr>
        <w:t> </w:t>
      </w:r>
      <w:r>
        <w:rPr>
          <w:color w:val="231F20"/>
          <w:w w:val="105"/>
        </w:rPr>
        <w:t>importante</w:t>
      </w:r>
      <w:r>
        <w:rPr>
          <w:color w:val="231F20"/>
          <w:spacing w:val="-8"/>
          <w:w w:val="105"/>
        </w:rPr>
        <w:t> </w:t>
      </w:r>
      <w:r>
        <w:rPr>
          <w:color w:val="231F20"/>
          <w:w w:val="105"/>
        </w:rPr>
        <w:t>para</w:t>
      </w:r>
      <w:r>
        <w:rPr>
          <w:color w:val="231F20"/>
          <w:spacing w:val="-8"/>
          <w:w w:val="105"/>
        </w:rPr>
        <w:t> </w:t>
      </w:r>
      <w:r>
        <w:rPr>
          <w:color w:val="231F20"/>
          <w:w w:val="105"/>
        </w:rPr>
        <w:t>personas</w:t>
      </w:r>
      <w:r>
        <w:rPr>
          <w:color w:val="231F20"/>
          <w:spacing w:val="-8"/>
          <w:w w:val="105"/>
        </w:rPr>
        <w:t> </w:t>
      </w:r>
      <w:r>
        <w:rPr>
          <w:color w:val="231F20"/>
          <w:w w:val="105"/>
        </w:rPr>
        <w:t>de</w:t>
      </w:r>
      <w:r>
        <w:rPr>
          <w:color w:val="231F20"/>
          <w:spacing w:val="-8"/>
          <w:w w:val="105"/>
        </w:rPr>
        <w:t> </w:t>
      </w:r>
      <w:r>
        <w:rPr>
          <w:color w:val="231F20"/>
          <w:w w:val="105"/>
        </w:rPr>
        <w:t>altos</w:t>
      </w:r>
      <w:r>
        <w:rPr>
          <w:color w:val="231F20"/>
          <w:spacing w:val="-8"/>
          <w:w w:val="105"/>
        </w:rPr>
        <w:t> </w:t>
      </w:r>
      <w:r>
        <w:rPr>
          <w:color w:val="231F20"/>
          <w:w w:val="105"/>
        </w:rPr>
        <w:t>niveles</w:t>
      </w:r>
      <w:r>
        <w:rPr>
          <w:color w:val="231F20"/>
          <w:spacing w:val="-8"/>
          <w:w w:val="105"/>
        </w:rPr>
        <w:t> </w:t>
      </w:r>
      <w:r>
        <w:rPr>
          <w:color w:val="231F20"/>
          <w:w w:val="105"/>
        </w:rPr>
        <w:t>de</w:t>
      </w:r>
      <w:r>
        <w:rPr>
          <w:color w:val="231F20"/>
          <w:spacing w:val="-8"/>
          <w:w w:val="105"/>
        </w:rPr>
        <w:t> </w:t>
      </w:r>
      <w:r>
        <w:rPr>
          <w:color w:val="231F20"/>
          <w:w w:val="105"/>
        </w:rPr>
        <w:t>ingresos.</w:t>
      </w:r>
      <w:r>
        <w:rPr>
          <w:color w:val="231F20"/>
          <w:spacing w:val="-8"/>
          <w:w w:val="105"/>
        </w:rPr>
        <w:t> </w:t>
      </w:r>
      <w:r>
        <w:rPr>
          <w:color w:val="231F20"/>
          <w:w w:val="105"/>
        </w:rPr>
        <w:t>En</w:t>
      </w:r>
      <w:r>
        <w:rPr>
          <w:color w:val="231F20"/>
          <w:spacing w:val="-8"/>
          <w:w w:val="105"/>
        </w:rPr>
        <w:t> </w:t>
      </w:r>
      <w:r>
        <w:rPr>
          <w:color w:val="231F20"/>
          <w:w w:val="105"/>
        </w:rPr>
        <w:t>parte esto</w:t>
      </w:r>
      <w:r>
        <w:rPr>
          <w:color w:val="231F20"/>
          <w:spacing w:val="-8"/>
          <w:w w:val="105"/>
        </w:rPr>
        <w:t> </w:t>
      </w:r>
      <w:r>
        <w:rPr>
          <w:color w:val="231F20"/>
          <w:w w:val="105"/>
        </w:rPr>
        <w:t>ha</w:t>
      </w:r>
      <w:r>
        <w:rPr>
          <w:color w:val="231F20"/>
          <w:spacing w:val="-8"/>
          <w:w w:val="105"/>
        </w:rPr>
        <w:t> </w:t>
      </w:r>
      <w:r>
        <w:rPr>
          <w:color w:val="231F20"/>
          <w:w w:val="105"/>
        </w:rPr>
        <w:t>sido</w:t>
      </w:r>
      <w:r>
        <w:rPr>
          <w:color w:val="231F20"/>
          <w:spacing w:val="-8"/>
          <w:w w:val="105"/>
        </w:rPr>
        <w:t> </w:t>
      </w:r>
      <w:r>
        <w:rPr>
          <w:color w:val="231F20"/>
          <w:w w:val="105"/>
        </w:rPr>
        <w:t>fomentado</w:t>
      </w:r>
      <w:r>
        <w:rPr>
          <w:color w:val="231F20"/>
          <w:spacing w:val="-8"/>
          <w:w w:val="105"/>
        </w:rPr>
        <w:t> </w:t>
      </w:r>
      <w:r>
        <w:rPr>
          <w:color w:val="231F20"/>
          <w:w w:val="105"/>
        </w:rPr>
        <w:t>por</w:t>
      </w:r>
      <w:r>
        <w:rPr>
          <w:color w:val="231F20"/>
          <w:spacing w:val="-8"/>
          <w:w w:val="105"/>
        </w:rPr>
        <w:t> </w:t>
      </w:r>
      <w:r>
        <w:rPr>
          <w:color w:val="231F20"/>
          <w:w w:val="105"/>
        </w:rPr>
        <w:t>su</w:t>
      </w:r>
      <w:r>
        <w:rPr>
          <w:color w:val="231F20"/>
          <w:spacing w:val="-8"/>
          <w:w w:val="105"/>
        </w:rPr>
        <w:t> </w:t>
      </w:r>
      <w:r>
        <w:rPr>
          <w:color w:val="231F20"/>
          <w:w w:val="105"/>
        </w:rPr>
        <w:t>colindancia</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Distrito</w:t>
      </w:r>
      <w:r>
        <w:rPr>
          <w:color w:val="231F20"/>
          <w:spacing w:val="-8"/>
          <w:w w:val="105"/>
        </w:rPr>
        <w:t> </w:t>
      </w:r>
      <w:r>
        <w:rPr>
          <w:color w:val="231F20"/>
          <w:w w:val="105"/>
        </w:rPr>
        <w:t>Federal</w:t>
      </w:r>
      <w:r>
        <w:rPr>
          <w:color w:val="231F20"/>
          <w:spacing w:val="-8"/>
          <w:w w:val="105"/>
        </w:rPr>
        <w:t> </w:t>
      </w:r>
      <w:r>
        <w:rPr>
          <w:color w:val="231F20"/>
          <w:w w:val="105"/>
        </w:rPr>
        <w:t>y</w:t>
      </w:r>
      <w:r>
        <w:rPr>
          <w:color w:val="231F20"/>
          <w:spacing w:val="-8"/>
          <w:w w:val="105"/>
        </w:rPr>
        <w:t> </w:t>
      </w:r>
      <w:r>
        <w:rPr>
          <w:color w:val="231F20"/>
          <w:w w:val="105"/>
        </w:rPr>
        <w:t>le</w:t>
      </w:r>
      <w:r>
        <w:rPr>
          <w:color w:val="231F20"/>
          <w:spacing w:val="-8"/>
          <w:w w:val="105"/>
        </w:rPr>
        <w:t> </w:t>
      </w:r>
      <w:r>
        <w:rPr>
          <w:color w:val="231F20"/>
          <w:w w:val="105"/>
        </w:rPr>
        <w:t>ha</w:t>
      </w:r>
      <w:r>
        <w:rPr>
          <w:color w:val="231F20"/>
          <w:spacing w:val="-8"/>
          <w:w w:val="105"/>
        </w:rPr>
        <w:t> </w:t>
      </w:r>
      <w:r>
        <w:rPr>
          <w:color w:val="231F20"/>
          <w:w w:val="105"/>
        </w:rPr>
        <w:t>convertido</w:t>
      </w:r>
      <w:r>
        <w:rPr>
          <w:color w:val="231F20"/>
          <w:spacing w:val="-8"/>
          <w:w w:val="105"/>
        </w:rPr>
        <w:t> </w:t>
      </w:r>
      <w:r>
        <w:rPr>
          <w:color w:val="231F20"/>
          <w:w w:val="105"/>
        </w:rPr>
        <w:t>en un</w:t>
      </w:r>
      <w:r>
        <w:rPr>
          <w:color w:val="231F20"/>
          <w:spacing w:val="-12"/>
          <w:w w:val="105"/>
        </w:rPr>
        <w:t> </w:t>
      </w:r>
      <w:r>
        <w:rPr>
          <w:color w:val="231F20"/>
          <w:w w:val="105"/>
        </w:rPr>
        <w:t>suburbio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zona</w:t>
      </w:r>
      <w:r>
        <w:rPr>
          <w:color w:val="231F20"/>
          <w:spacing w:val="-12"/>
          <w:w w:val="105"/>
        </w:rPr>
        <w:t> </w:t>
      </w:r>
      <w:r>
        <w:rPr>
          <w:color w:val="231F20"/>
          <w:w w:val="105"/>
        </w:rPr>
        <w:t>metropolitana</w:t>
      </w:r>
      <w:r>
        <w:rPr>
          <w:color w:val="231F20"/>
          <w:spacing w:val="-12"/>
          <w:w w:val="105"/>
        </w:rPr>
        <w:t> </w:t>
      </w:r>
      <w:r>
        <w:rPr>
          <w:color w:val="231F20"/>
          <w:w w:val="105"/>
        </w:rPr>
        <w:t>del</w:t>
      </w:r>
      <w:r>
        <w:rPr>
          <w:color w:val="231F20"/>
          <w:spacing w:val="-12"/>
          <w:w w:val="105"/>
        </w:rPr>
        <w:t> </w:t>
      </w:r>
      <w:r>
        <w:rPr>
          <w:color w:val="231F20"/>
          <w:w w:val="105"/>
        </w:rPr>
        <w:t>valle</w:t>
      </w:r>
      <w:r>
        <w:rPr>
          <w:color w:val="231F20"/>
          <w:spacing w:val="-12"/>
          <w:w w:val="105"/>
        </w:rPr>
        <w:t> </w:t>
      </w:r>
      <w:r>
        <w:rPr>
          <w:color w:val="231F20"/>
          <w:w w:val="105"/>
        </w:rPr>
        <w:t>de</w:t>
      </w:r>
      <w:r>
        <w:rPr>
          <w:color w:val="231F20"/>
          <w:spacing w:val="-12"/>
          <w:w w:val="105"/>
        </w:rPr>
        <w:t> </w:t>
      </w:r>
      <w:r>
        <w:rPr>
          <w:color w:val="231F20"/>
          <w:w w:val="105"/>
        </w:rPr>
        <w:t>México.</w:t>
      </w:r>
    </w:p>
    <w:p>
      <w:pPr>
        <w:pStyle w:val="BodyText"/>
        <w:spacing w:before="1"/>
        <w:rPr>
          <w:sz w:val="26"/>
        </w:rPr>
      </w:pPr>
    </w:p>
    <w:p>
      <w:pPr>
        <w:pStyle w:val="BodyText"/>
        <w:spacing w:line="285" w:lineRule="auto"/>
        <w:ind w:left="110" w:right="108"/>
        <w:jc w:val="both"/>
      </w:pPr>
      <w:r>
        <w:rPr>
          <w:color w:val="231F20"/>
          <w:w w:val="105"/>
        </w:rPr>
        <w:t>Huixquilucan registró un grado de </w:t>
      </w:r>
      <w:r>
        <w:rPr>
          <w:color w:val="231F20"/>
          <w:spacing w:val="-4"/>
          <w:w w:val="105"/>
        </w:rPr>
        <w:t>“muy </w:t>
      </w:r>
      <w:r>
        <w:rPr>
          <w:color w:val="231F20"/>
          <w:w w:val="105"/>
        </w:rPr>
        <w:t>baja marginación” en las mediciones realiza- das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CONAPO</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años</w:t>
      </w:r>
      <w:r>
        <w:rPr>
          <w:color w:val="231F20"/>
          <w:spacing w:val="-15"/>
          <w:w w:val="105"/>
        </w:rPr>
        <w:t> </w:t>
      </w:r>
      <w:r>
        <w:rPr>
          <w:color w:val="231F20"/>
          <w:spacing w:val="4"/>
          <w:w w:val="105"/>
        </w:rPr>
        <w:t>2000</w:t>
      </w:r>
      <w:r>
        <w:rPr>
          <w:color w:val="231F20"/>
          <w:spacing w:val="-15"/>
          <w:w w:val="105"/>
        </w:rPr>
        <w:t> </w:t>
      </w:r>
      <w:r>
        <w:rPr>
          <w:color w:val="231F20"/>
          <w:w w:val="105"/>
        </w:rPr>
        <w:t>y</w:t>
      </w:r>
      <w:r>
        <w:rPr>
          <w:color w:val="231F20"/>
          <w:spacing w:val="-15"/>
          <w:w w:val="105"/>
        </w:rPr>
        <w:t> </w:t>
      </w:r>
      <w:r>
        <w:rPr>
          <w:color w:val="231F20"/>
          <w:spacing w:val="2"/>
          <w:w w:val="105"/>
        </w:rPr>
        <w:t>2005.</w:t>
      </w:r>
      <w:r>
        <w:rPr>
          <w:color w:val="231F20"/>
          <w:spacing w:val="-15"/>
          <w:w w:val="105"/>
        </w:rPr>
        <w:t> </w:t>
      </w:r>
      <w:r>
        <w:rPr>
          <w:color w:val="231F20"/>
          <w:w w:val="105"/>
        </w:rPr>
        <w:t>En</w:t>
      </w:r>
      <w:r>
        <w:rPr>
          <w:color w:val="231F20"/>
          <w:spacing w:val="-15"/>
          <w:w w:val="105"/>
        </w:rPr>
        <w:t> </w:t>
      </w:r>
      <w:r>
        <w:rPr>
          <w:color w:val="231F20"/>
          <w:w w:val="105"/>
        </w:rPr>
        <w:t>ambos</w:t>
      </w:r>
      <w:r>
        <w:rPr>
          <w:color w:val="231F20"/>
          <w:spacing w:val="-15"/>
          <w:w w:val="105"/>
        </w:rPr>
        <w:t> </w:t>
      </w:r>
      <w:r>
        <w:rPr>
          <w:color w:val="231F20"/>
          <w:w w:val="105"/>
        </w:rPr>
        <w:t>se</w:t>
      </w:r>
      <w:r>
        <w:rPr>
          <w:color w:val="231F20"/>
          <w:spacing w:val="-15"/>
          <w:w w:val="105"/>
        </w:rPr>
        <w:t> </w:t>
      </w:r>
      <w:r>
        <w:rPr>
          <w:color w:val="231F20"/>
          <w:w w:val="105"/>
        </w:rPr>
        <w:t>ubicó</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lugar</w:t>
      </w:r>
      <w:r>
        <w:rPr>
          <w:color w:val="231F20"/>
          <w:spacing w:val="-15"/>
          <w:w w:val="105"/>
        </w:rPr>
        <w:t> </w:t>
      </w:r>
      <w:r>
        <w:rPr>
          <w:color w:val="231F20"/>
          <w:spacing w:val="-4"/>
          <w:w w:val="105"/>
        </w:rPr>
        <w:t>112</w:t>
      </w:r>
      <w:r>
        <w:rPr>
          <w:color w:val="231F20"/>
          <w:spacing w:val="-15"/>
          <w:w w:val="105"/>
        </w:rPr>
        <w:t> </w:t>
      </w:r>
      <w:r>
        <w:rPr>
          <w:color w:val="231F20"/>
          <w:w w:val="105"/>
        </w:rPr>
        <w:t>a</w:t>
      </w:r>
      <w:r>
        <w:rPr>
          <w:color w:val="231F20"/>
          <w:spacing w:val="-15"/>
          <w:w w:val="105"/>
        </w:rPr>
        <w:t> </w:t>
      </w:r>
      <w:r>
        <w:rPr>
          <w:color w:val="231F20"/>
          <w:w w:val="105"/>
        </w:rPr>
        <w:t>nivel estatal</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total</w:t>
      </w:r>
      <w:r>
        <w:rPr>
          <w:color w:val="231F20"/>
          <w:spacing w:val="-13"/>
          <w:w w:val="105"/>
        </w:rPr>
        <w:t> </w:t>
      </w:r>
      <w:r>
        <w:rPr>
          <w:color w:val="231F20"/>
          <w:w w:val="105"/>
        </w:rPr>
        <w:t>de</w:t>
      </w:r>
      <w:r>
        <w:rPr>
          <w:color w:val="231F20"/>
          <w:spacing w:val="-13"/>
          <w:w w:val="105"/>
        </w:rPr>
        <w:t> </w:t>
      </w:r>
      <w:r>
        <w:rPr>
          <w:color w:val="231F20"/>
          <w:w w:val="105"/>
        </w:rPr>
        <w:t>125</w:t>
      </w:r>
      <w:r>
        <w:rPr>
          <w:color w:val="231F20"/>
          <w:spacing w:val="-13"/>
          <w:w w:val="105"/>
        </w:rPr>
        <w:t> </w:t>
      </w:r>
      <w:r>
        <w:rPr>
          <w:color w:val="231F20"/>
          <w:w w:val="105"/>
        </w:rPr>
        <w:t>municipios.</w:t>
      </w:r>
      <w:r>
        <w:rPr>
          <w:color w:val="231F20"/>
          <w:spacing w:val="-13"/>
          <w:w w:val="105"/>
        </w:rPr>
        <w:t> </w:t>
      </w:r>
      <w:r>
        <w:rPr>
          <w:color w:val="231F20"/>
          <w:w w:val="105"/>
        </w:rPr>
        <w:t>Sin</w:t>
      </w:r>
      <w:r>
        <w:rPr>
          <w:color w:val="231F20"/>
          <w:spacing w:val="-13"/>
          <w:w w:val="105"/>
        </w:rPr>
        <w:t> </w:t>
      </w:r>
      <w:r>
        <w:rPr>
          <w:color w:val="231F20"/>
          <w:w w:val="105"/>
        </w:rPr>
        <w:t>embargo,</w:t>
      </w:r>
      <w:r>
        <w:rPr>
          <w:color w:val="231F20"/>
          <w:spacing w:val="-13"/>
          <w:w w:val="105"/>
        </w:rPr>
        <w:t> </w:t>
      </w:r>
      <w:r>
        <w:rPr>
          <w:color w:val="231F20"/>
          <w:w w:val="105"/>
        </w:rPr>
        <w:t>en</w:t>
      </w:r>
      <w:r>
        <w:rPr>
          <w:color w:val="231F20"/>
          <w:spacing w:val="-13"/>
          <w:w w:val="105"/>
        </w:rPr>
        <w:t> </w:t>
      </w:r>
      <w:r>
        <w:rPr>
          <w:color w:val="231F20"/>
          <w:w w:val="105"/>
        </w:rPr>
        <w:t>dicho</w:t>
      </w:r>
      <w:r>
        <w:rPr>
          <w:color w:val="231F20"/>
          <w:spacing w:val="-13"/>
          <w:w w:val="105"/>
        </w:rPr>
        <w:t> </w:t>
      </w:r>
      <w:r>
        <w:rPr>
          <w:color w:val="231F20"/>
          <w:w w:val="105"/>
        </w:rPr>
        <w:t>periodo</w:t>
      </w:r>
      <w:r>
        <w:rPr>
          <w:color w:val="231F20"/>
          <w:spacing w:val="-13"/>
          <w:w w:val="105"/>
        </w:rPr>
        <w:t> </w:t>
      </w:r>
      <w:r>
        <w:rPr>
          <w:color w:val="231F20"/>
          <w:w w:val="105"/>
        </w:rPr>
        <w:t>su</w:t>
      </w:r>
      <w:r>
        <w:rPr>
          <w:color w:val="231F20"/>
          <w:spacing w:val="-13"/>
          <w:w w:val="105"/>
        </w:rPr>
        <w:t> </w:t>
      </w:r>
      <w:r>
        <w:rPr>
          <w:color w:val="231F20"/>
          <w:w w:val="105"/>
        </w:rPr>
        <w:t>índice</w:t>
      </w:r>
      <w:r>
        <w:rPr>
          <w:color w:val="231F20"/>
          <w:spacing w:val="-13"/>
          <w:w w:val="105"/>
        </w:rPr>
        <w:t> </w:t>
      </w:r>
      <w:r>
        <w:rPr>
          <w:color w:val="231F20"/>
          <w:w w:val="105"/>
        </w:rPr>
        <w:t>se</w:t>
      </w:r>
      <w:r>
        <w:rPr>
          <w:color w:val="231F20"/>
          <w:spacing w:val="-13"/>
          <w:w w:val="105"/>
        </w:rPr>
        <w:t> </w:t>
      </w:r>
      <w:r>
        <w:rPr>
          <w:color w:val="231F20"/>
          <w:w w:val="105"/>
        </w:rPr>
        <w:t>incre-</w:t>
      </w:r>
    </w:p>
    <w:p>
      <w:pPr>
        <w:pStyle w:val="BodyText"/>
        <w:spacing w:before="6"/>
        <w:rPr>
          <w:sz w:val="13"/>
        </w:rPr>
      </w:pPr>
      <w:r>
        <w:rPr/>
        <w:pict>
          <v:line style="position:absolute;mso-position-horizontal-relative:page;mso-position-vertical-relative:paragraph;z-index:2032;mso-wrap-distance-left:0;mso-wrap-distance-right:0" from="42.519699pt,10.266894pt" to="114.519699pt,10.266894pt" stroked="true" strokeweight="1pt" strokecolor="#231f20">
            <w10:wrap type="topAndBottom"/>
          </v:line>
        </w:pict>
      </w:r>
    </w:p>
    <w:p>
      <w:pPr>
        <w:pStyle w:val="ListParagraph"/>
        <w:numPr>
          <w:ilvl w:val="0"/>
          <w:numId w:val="3"/>
        </w:numPr>
        <w:tabs>
          <w:tab w:pos="226" w:val="left" w:leader="none"/>
        </w:tabs>
        <w:spacing w:line="244" w:lineRule="auto" w:before="8" w:after="0"/>
        <w:ind w:left="110" w:right="107" w:firstLine="0"/>
        <w:jc w:val="both"/>
        <w:rPr>
          <w:sz w:val="16"/>
        </w:rPr>
      </w:pPr>
      <w:r>
        <w:rPr>
          <w:color w:val="231F20"/>
          <w:sz w:val="16"/>
        </w:rPr>
        <w:t>El</w:t>
      </w:r>
      <w:r>
        <w:rPr>
          <w:color w:val="231F20"/>
          <w:spacing w:val="-5"/>
          <w:sz w:val="16"/>
        </w:rPr>
        <w:t> </w:t>
      </w:r>
      <w:r>
        <w:rPr>
          <w:color w:val="231F20"/>
          <w:sz w:val="16"/>
        </w:rPr>
        <w:t>Bando</w:t>
      </w:r>
      <w:r>
        <w:rPr>
          <w:color w:val="231F20"/>
          <w:spacing w:val="-5"/>
          <w:sz w:val="16"/>
        </w:rPr>
        <w:t> </w:t>
      </w:r>
      <w:r>
        <w:rPr>
          <w:color w:val="231F20"/>
          <w:sz w:val="16"/>
        </w:rPr>
        <w:t>Municipal</w:t>
      </w:r>
      <w:r>
        <w:rPr>
          <w:color w:val="231F20"/>
          <w:spacing w:val="-6"/>
          <w:sz w:val="16"/>
        </w:rPr>
        <w:t> </w:t>
      </w:r>
      <w:r>
        <w:rPr>
          <w:color w:val="231F20"/>
          <w:sz w:val="16"/>
        </w:rPr>
        <w:t>de</w:t>
      </w:r>
      <w:r>
        <w:rPr>
          <w:color w:val="231F20"/>
          <w:spacing w:val="-6"/>
          <w:sz w:val="16"/>
        </w:rPr>
        <w:t> </w:t>
      </w:r>
      <w:r>
        <w:rPr>
          <w:color w:val="231F20"/>
          <w:sz w:val="16"/>
        </w:rPr>
        <w:t>Huixquilucan,</w:t>
      </w:r>
      <w:r>
        <w:rPr>
          <w:color w:val="231F20"/>
          <w:spacing w:val="-5"/>
          <w:sz w:val="16"/>
        </w:rPr>
        <w:t> </w:t>
      </w:r>
      <w:r>
        <w:rPr>
          <w:color w:val="231F20"/>
          <w:sz w:val="16"/>
        </w:rPr>
        <w:t>2008,</w:t>
      </w:r>
      <w:r>
        <w:rPr>
          <w:color w:val="231F20"/>
          <w:spacing w:val="-6"/>
          <w:sz w:val="16"/>
        </w:rPr>
        <w:t> </w:t>
      </w:r>
      <w:r>
        <w:rPr>
          <w:color w:val="231F20"/>
          <w:sz w:val="16"/>
        </w:rPr>
        <w:t>artículo</w:t>
      </w:r>
      <w:r>
        <w:rPr>
          <w:color w:val="231F20"/>
          <w:spacing w:val="-6"/>
          <w:sz w:val="16"/>
        </w:rPr>
        <w:t> </w:t>
      </w:r>
      <w:r>
        <w:rPr>
          <w:color w:val="231F20"/>
          <w:spacing w:val="-3"/>
          <w:sz w:val="16"/>
        </w:rPr>
        <w:t>14,</w:t>
      </w:r>
      <w:r>
        <w:rPr>
          <w:color w:val="231F20"/>
          <w:spacing w:val="-5"/>
          <w:sz w:val="16"/>
        </w:rPr>
        <w:t> </w:t>
      </w:r>
      <w:r>
        <w:rPr>
          <w:color w:val="231F20"/>
          <w:sz w:val="16"/>
        </w:rPr>
        <w:t>agrupa</w:t>
      </w:r>
      <w:r>
        <w:rPr>
          <w:color w:val="231F20"/>
          <w:spacing w:val="-5"/>
          <w:sz w:val="16"/>
        </w:rPr>
        <w:t> </w:t>
      </w:r>
      <w:r>
        <w:rPr>
          <w:color w:val="231F20"/>
          <w:sz w:val="16"/>
        </w:rPr>
        <w:t>en</w:t>
      </w:r>
      <w:r>
        <w:rPr>
          <w:color w:val="231F20"/>
          <w:spacing w:val="-5"/>
          <w:sz w:val="16"/>
        </w:rPr>
        <w:t> </w:t>
      </w:r>
      <w:r>
        <w:rPr>
          <w:color w:val="231F20"/>
          <w:sz w:val="16"/>
        </w:rPr>
        <w:t>cinco</w:t>
      </w:r>
      <w:r>
        <w:rPr>
          <w:color w:val="231F20"/>
          <w:spacing w:val="-6"/>
          <w:sz w:val="16"/>
        </w:rPr>
        <w:t> </w:t>
      </w:r>
      <w:r>
        <w:rPr>
          <w:color w:val="231F20"/>
          <w:sz w:val="16"/>
        </w:rPr>
        <w:t>regiones</w:t>
      </w:r>
      <w:r>
        <w:rPr>
          <w:color w:val="231F20"/>
          <w:spacing w:val="-6"/>
          <w:sz w:val="16"/>
        </w:rPr>
        <w:t> </w:t>
      </w:r>
      <w:r>
        <w:rPr>
          <w:color w:val="231F20"/>
          <w:sz w:val="16"/>
        </w:rPr>
        <w:t>a</w:t>
      </w:r>
      <w:r>
        <w:rPr>
          <w:color w:val="231F20"/>
          <w:spacing w:val="-5"/>
          <w:sz w:val="16"/>
        </w:rPr>
        <w:t> </w:t>
      </w:r>
      <w:r>
        <w:rPr>
          <w:color w:val="231F20"/>
          <w:sz w:val="16"/>
        </w:rPr>
        <w:t>las</w:t>
      </w:r>
      <w:r>
        <w:rPr>
          <w:color w:val="231F20"/>
          <w:spacing w:val="-5"/>
          <w:sz w:val="16"/>
        </w:rPr>
        <w:t> </w:t>
      </w:r>
      <w:r>
        <w:rPr>
          <w:color w:val="231F20"/>
          <w:sz w:val="16"/>
        </w:rPr>
        <w:t>69</w:t>
      </w:r>
      <w:r>
        <w:rPr>
          <w:color w:val="231F20"/>
          <w:spacing w:val="-6"/>
          <w:sz w:val="16"/>
        </w:rPr>
        <w:t> </w:t>
      </w:r>
      <w:r>
        <w:rPr>
          <w:color w:val="231F20"/>
          <w:sz w:val="16"/>
        </w:rPr>
        <w:t>comunidades</w:t>
      </w:r>
      <w:r>
        <w:rPr>
          <w:color w:val="231F20"/>
          <w:spacing w:val="-6"/>
          <w:sz w:val="16"/>
        </w:rPr>
        <w:t> </w:t>
      </w:r>
      <w:r>
        <w:rPr>
          <w:color w:val="231F20"/>
          <w:sz w:val="16"/>
        </w:rPr>
        <w:t>del</w:t>
      </w:r>
      <w:r>
        <w:rPr>
          <w:color w:val="231F20"/>
          <w:spacing w:val="-6"/>
          <w:sz w:val="16"/>
        </w:rPr>
        <w:t> </w:t>
      </w:r>
      <w:r>
        <w:rPr>
          <w:color w:val="231F20"/>
          <w:sz w:val="16"/>
        </w:rPr>
        <w:t>municipio:</w:t>
      </w:r>
      <w:r>
        <w:rPr>
          <w:color w:val="231F20"/>
          <w:spacing w:val="-6"/>
          <w:sz w:val="16"/>
        </w:rPr>
        <w:t> 1)</w:t>
      </w:r>
      <w:r>
        <w:rPr>
          <w:color w:val="231F20"/>
          <w:spacing w:val="-5"/>
          <w:sz w:val="16"/>
        </w:rPr>
        <w:t> </w:t>
      </w:r>
      <w:r>
        <w:rPr>
          <w:color w:val="231F20"/>
          <w:sz w:val="16"/>
        </w:rPr>
        <w:t>la región</w:t>
      </w:r>
      <w:r>
        <w:rPr>
          <w:color w:val="231F20"/>
          <w:spacing w:val="-10"/>
          <w:sz w:val="16"/>
        </w:rPr>
        <w:t> </w:t>
      </w:r>
      <w:r>
        <w:rPr>
          <w:color w:val="231F20"/>
          <w:sz w:val="16"/>
        </w:rPr>
        <w:t>de</w:t>
      </w:r>
      <w:r>
        <w:rPr>
          <w:color w:val="231F20"/>
          <w:spacing w:val="-10"/>
          <w:sz w:val="16"/>
        </w:rPr>
        <w:t> </w:t>
      </w:r>
      <w:r>
        <w:rPr>
          <w:color w:val="231F20"/>
          <w:sz w:val="16"/>
        </w:rPr>
        <w:t>la</w:t>
      </w:r>
      <w:r>
        <w:rPr>
          <w:color w:val="231F20"/>
          <w:spacing w:val="-10"/>
          <w:sz w:val="16"/>
        </w:rPr>
        <w:t> </w:t>
      </w:r>
      <w:r>
        <w:rPr>
          <w:color w:val="231F20"/>
          <w:sz w:val="16"/>
        </w:rPr>
        <w:t>Cabecera</w:t>
      </w:r>
      <w:r>
        <w:rPr>
          <w:color w:val="231F20"/>
          <w:spacing w:val="-10"/>
          <w:sz w:val="16"/>
        </w:rPr>
        <w:t> </w:t>
      </w:r>
      <w:r>
        <w:rPr>
          <w:color w:val="231F20"/>
          <w:sz w:val="16"/>
        </w:rPr>
        <w:t>municipal</w:t>
      </w:r>
      <w:r>
        <w:rPr>
          <w:color w:val="231F20"/>
          <w:spacing w:val="-10"/>
          <w:sz w:val="16"/>
        </w:rPr>
        <w:t> </w:t>
      </w:r>
      <w:r>
        <w:rPr>
          <w:color w:val="231F20"/>
          <w:sz w:val="16"/>
        </w:rPr>
        <w:t>de</w:t>
      </w:r>
      <w:r>
        <w:rPr>
          <w:color w:val="231F20"/>
          <w:spacing w:val="-10"/>
          <w:sz w:val="16"/>
        </w:rPr>
        <w:t> </w:t>
      </w:r>
      <w:r>
        <w:rPr>
          <w:color w:val="231F20"/>
          <w:sz w:val="16"/>
        </w:rPr>
        <w:t>Villa</w:t>
      </w:r>
      <w:r>
        <w:rPr>
          <w:color w:val="231F20"/>
          <w:spacing w:val="-10"/>
          <w:sz w:val="16"/>
        </w:rPr>
        <w:t> </w:t>
      </w:r>
      <w:r>
        <w:rPr>
          <w:color w:val="231F20"/>
          <w:sz w:val="16"/>
        </w:rPr>
        <w:t>de</w:t>
      </w:r>
      <w:r>
        <w:rPr>
          <w:color w:val="231F20"/>
          <w:spacing w:val="-10"/>
          <w:sz w:val="16"/>
        </w:rPr>
        <w:t> </w:t>
      </w:r>
      <w:r>
        <w:rPr>
          <w:color w:val="231F20"/>
          <w:sz w:val="16"/>
        </w:rPr>
        <w:t>Huixquilucan,</w:t>
      </w:r>
      <w:r>
        <w:rPr>
          <w:color w:val="231F20"/>
          <w:spacing w:val="-10"/>
          <w:sz w:val="16"/>
        </w:rPr>
        <w:t> </w:t>
      </w:r>
      <w:r>
        <w:rPr>
          <w:color w:val="231F20"/>
          <w:sz w:val="16"/>
        </w:rPr>
        <w:t>dividida</w:t>
      </w:r>
      <w:r>
        <w:rPr>
          <w:color w:val="231F20"/>
          <w:spacing w:val="-10"/>
          <w:sz w:val="16"/>
        </w:rPr>
        <w:t> </w:t>
      </w:r>
      <w:r>
        <w:rPr>
          <w:color w:val="231F20"/>
          <w:sz w:val="16"/>
        </w:rPr>
        <w:t>en</w:t>
      </w:r>
      <w:r>
        <w:rPr>
          <w:color w:val="231F20"/>
          <w:spacing w:val="-10"/>
          <w:sz w:val="16"/>
        </w:rPr>
        <w:t> </w:t>
      </w:r>
      <w:r>
        <w:rPr>
          <w:color w:val="231F20"/>
          <w:sz w:val="16"/>
        </w:rPr>
        <w:t>5</w:t>
      </w:r>
      <w:r>
        <w:rPr>
          <w:color w:val="231F20"/>
          <w:spacing w:val="-10"/>
          <w:sz w:val="16"/>
        </w:rPr>
        <w:t> </w:t>
      </w:r>
      <w:r>
        <w:rPr>
          <w:color w:val="231F20"/>
          <w:sz w:val="16"/>
        </w:rPr>
        <w:t>cuarteles;</w:t>
      </w:r>
      <w:r>
        <w:rPr>
          <w:color w:val="231F20"/>
          <w:spacing w:val="-10"/>
          <w:sz w:val="16"/>
        </w:rPr>
        <w:t> </w:t>
      </w:r>
      <w:r>
        <w:rPr>
          <w:color w:val="231F20"/>
          <w:sz w:val="16"/>
        </w:rPr>
        <w:t>2)</w:t>
      </w:r>
      <w:r>
        <w:rPr>
          <w:color w:val="231F20"/>
          <w:spacing w:val="-10"/>
          <w:sz w:val="16"/>
        </w:rPr>
        <w:t> </w:t>
      </w:r>
      <w:r>
        <w:rPr>
          <w:color w:val="231F20"/>
          <w:sz w:val="16"/>
        </w:rPr>
        <w:t>la</w:t>
      </w:r>
      <w:r>
        <w:rPr>
          <w:color w:val="231F20"/>
          <w:spacing w:val="-10"/>
          <w:sz w:val="16"/>
        </w:rPr>
        <w:t> </w:t>
      </w:r>
      <w:r>
        <w:rPr>
          <w:color w:val="231F20"/>
          <w:sz w:val="16"/>
        </w:rPr>
        <w:t>región</w:t>
      </w:r>
      <w:r>
        <w:rPr>
          <w:color w:val="231F20"/>
          <w:spacing w:val="-10"/>
          <w:sz w:val="16"/>
        </w:rPr>
        <w:t> </w:t>
      </w:r>
      <w:r>
        <w:rPr>
          <w:color w:val="231F20"/>
          <w:sz w:val="16"/>
        </w:rPr>
        <w:t>de</w:t>
      </w:r>
      <w:r>
        <w:rPr>
          <w:color w:val="231F20"/>
          <w:spacing w:val="-10"/>
          <w:sz w:val="16"/>
        </w:rPr>
        <w:t> </w:t>
      </w:r>
      <w:r>
        <w:rPr>
          <w:color w:val="231F20"/>
          <w:spacing w:val="-6"/>
          <w:sz w:val="16"/>
        </w:rPr>
        <w:t>13</w:t>
      </w:r>
      <w:r>
        <w:rPr>
          <w:color w:val="231F20"/>
          <w:spacing w:val="-10"/>
          <w:sz w:val="16"/>
        </w:rPr>
        <w:t> </w:t>
      </w:r>
      <w:r>
        <w:rPr>
          <w:color w:val="231F20"/>
          <w:sz w:val="16"/>
        </w:rPr>
        <w:t>rancherías;</w:t>
      </w:r>
      <w:r>
        <w:rPr>
          <w:color w:val="231F20"/>
          <w:spacing w:val="-10"/>
          <w:sz w:val="16"/>
        </w:rPr>
        <w:t> </w:t>
      </w:r>
      <w:r>
        <w:rPr>
          <w:color w:val="231F20"/>
          <w:spacing w:val="-3"/>
          <w:sz w:val="16"/>
        </w:rPr>
        <w:t>3)</w:t>
      </w:r>
      <w:r>
        <w:rPr>
          <w:color w:val="231F20"/>
          <w:spacing w:val="-10"/>
          <w:sz w:val="16"/>
        </w:rPr>
        <w:t> </w:t>
      </w:r>
      <w:r>
        <w:rPr>
          <w:color w:val="231F20"/>
          <w:sz w:val="16"/>
        </w:rPr>
        <w:t>la</w:t>
      </w:r>
      <w:r>
        <w:rPr>
          <w:color w:val="231F20"/>
          <w:spacing w:val="-10"/>
          <w:sz w:val="16"/>
        </w:rPr>
        <w:t> </w:t>
      </w:r>
      <w:r>
        <w:rPr>
          <w:color w:val="231F20"/>
          <w:sz w:val="16"/>
        </w:rPr>
        <w:t>región</w:t>
      </w:r>
      <w:r>
        <w:rPr>
          <w:color w:val="231F20"/>
          <w:spacing w:val="-10"/>
          <w:sz w:val="16"/>
        </w:rPr>
        <w:t> </w:t>
      </w:r>
      <w:r>
        <w:rPr>
          <w:color w:val="231F20"/>
          <w:sz w:val="16"/>
        </w:rPr>
        <w:t>de los</w:t>
      </w:r>
      <w:r>
        <w:rPr>
          <w:color w:val="231F20"/>
          <w:spacing w:val="-16"/>
          <w:sz w:val="16"/>
        </w:rPr>
        <w:t> </w:t>
      </w:r>
      <w:r>
        <w:rPr>
          <w:color w:val="231F20"/>
          <w:spacing w:val="-8"/>
          <w:sz w:val="16"/>
        </w:rPr>
        <w:t>11</w:t>
      </w:r>
      <w:r>
        <w:rPr>
          <w:color w:val="231F20"/>
          <w:spacing w:val="-16"/>
          <w:sz w:val="16"/>
        </w:rPr>
        <w:t> </w:t>
      </w:r>
      <w:r>
        <w:rPr>
          <w:color w:val="231F20"/>
          <w:sz w:val="16"/>
        </w:rPr>
        <w:t>pueblos;</w:t>
      </w:r>
      <w:r>
        <w:rPr>
          <w:color w:val="231F20"/>
          <w:spacing w:val="-16"/>
          <w:sz w:val="16"/>
        </w:rPr>
        <w:t> </w:t>
      </w:r>
      <w:r>
        <w:rPr>
          <w:color w:val="231F20"/>
          <w:sz w:val="16"/>
        </w:rPr>
        <w:t>4)</w:t>
      </w:r>
      <w:r>
        <w:rPr>
          <w:color w:val="231F20"/>
          <w:spacing w:val="-16"/>
          <w:sz w:val="16"/>
        </w:rPr>
        <w:t> </w:t>
      </w:r>
      <w:r>
        <w:rPr>
          <w:color w:val="231F20"/>
          <w:sz w:val="16"/>
        </w:rPr>
        <w:t>la</w:t>
      </w:r>
      <w:r>
        <w:rPr>
          <w:color w:val="231F20"/>
          <w:spacing w:val="-16"/>
          <w:sz w:val="16"/>
        </w:rPr>
        <w:t> </w:t>
      </w:r>
      <w:r>
        <w:rPr>
          <w:color w:val="231F20"/>
          <w:sz w:val="16"/>
        </w:rPr>
        <w:t>región</w:t>
      </w:r>
      <w:r>
        <w:rPr>
          <w:color w:val="231F20"/>
          <w:spacing w:val="-16"/>
          <w:sz w:val="16"/>
        </w:rPr>
        <w:t> </w:t>
      </w:r>
      <w:r>
        <w:rPr>
          <w:color w:val="231F20"/>
          <w:sz w:val="16"/>
        </w:rPr>
        <w:t>de</w:t>
      </w:r>
      <w:r>
        <w:rPr>
          <w:color w:val="231F20"/>
          <w:spacing w:val="-16"/>
          <w:sz w:val="16"/>
        </w:rPr>
        <w:t> </w:t>
      </w:r>
      <w:r>
        <w:rPr>
          <w:color w:val="231F20"/>
          <w:sz w:val="16"/>
        </w:rPr>
        <w:t>20</w:t>
      </w:r>
      <w:r>
        <w:rPr>
          <w:color w:val="231F20"/>
          <w:spacing w:val="-16"/>
          <w:sz w:val="16"/>
        </w:rPr>
        <w:t> </w:t>
      </w:r>
      <w:r>
        <w:rPr>
          <w:color w:val="231F20"/>
          <w:sz w:val="16"/>
        </w:rPr>
        <w:t>colonias;</w:t>
      </w:r>
      <w:r>
        <w:rPr>
          <w:color w:val="231F20"/>
          <w:spacing w:val="-16"/>
          <w:sz w:val="16"/>
        </w:rPr>
        <w:t> </w:t>
      </w:r>
      <w:r>
        <w:rPr>
          <w:color w:val="231F20"/>
          <w:sz w:val="16"/>
        </w:rPr>
        <w:t>5)</w:t>
      </w:r>
      <w:r>
        <w:rPr>
          <w:color w:val="231F20"/>
          <w:spacing w:val="-16"/>
          <w:sz w:val="16"/>
        </w:rPr>
        <w:t> </w:t>
      </w:r>
      <w:r>
        <w:rPr>
          <w:color w:val="231F20"/>
          <w:sz w:val="16"/>
        </w:rPr>
        <w:t>los</w:t>
      </w:r>
      <w:r>
        <w:rPr>
          <w:color w:val="231F20"/>
          <w:spacing w:val="-16"/>
          <w:sz w:val="16"/>
        </w:rPr>
        <w:t> </w:t>
      </w:r>
      <w:r>
        <w:rPr>
          <w:color w:val="231F20"/>
          <w:spacing w:val="-6"/>
          <w:sz w:val="16"/>
        </w:rPr>
        <w:t>19</w:t>
      </w:r>
      <w:r>
        <w:rPr>
          <w:color w:val="231F20"/>
          <w:spacing w:val="-16"/>
          <w:sz w:val="16"/>
        </w:rPr>
        <w:t> </w:t>
      </w:r>
      <w:r>
        <w:rPr>
          <w:color w:val="231F20"/>
          <w:sz w:val="16"/>
        </w:rPr>
        <w:t>fraccionamientos</w:t>
      </w:r>
      <w:r>
        <w:rPr>
          <w:color w:val="231F20"/>
          <w:spacing w:val="-16"/>
          <w:sz w:val="16"/>
        </w:rPr>
        <w:t> </w:t>
      </w:r>
      <w:r>
        <w:rPr>
          <w:color w:val="231F20"/>
          <w:sz w:val="16"/>
        </w:rPr>
        <w:t>residenciales</w:t>
      </w:r>
      <w:r>
        <w:rPr>
          <w:color w:val="231F20"/>
          <w:spacing w:val="-16"/>
          <w:sz w:val="16"/>
        </w:rPr>
        <w:t> </w:t>
      </w:r>
      <w:r>
        <w:rPr>
          <w:color w:val="231F20"/>
          <w:sz w:val="16"/>
        </w:rPr>
        <w:t>(HUIXQUILUCAN,</w:t>
      </w:r>
      <w:r>
        <w:rPr>
          <w:color w:val="231F20"/>
          <w:spacing w:val="-16"/>
          <w:sz w:val="16"/>
        </w:rPr>
        <w:t> </w:t>
      </w:r>
      <w:r>
        <w:rPr>
          <w:color w:val="231F20"/>
          <w:sz w:val="16"/>
        </w:rPr>
        <w:t>2008a).</w:t>
      </w:r>
    </w:p>
    <w:p>
      <w:pPr>
        <w:spacing w:after="0" w:line="244" w:lineRule="auto"/>
        <w:jc w:val="both"/>
        <w:rPr>
          <w:sz w:val="16"/>
        </w:rPr>
        <w:sectPr>
          <w:pgSz w:w="9640" w:h="12190"/>
          <w:pgMar w:header="0" w:footer="743" w:top="1120" w:bottom="940" w:left="740" w:right="740"/>
        </w:sectPr>
      </w:pPr>
    </w:p>
    <w:p>
      <w:pPr>
        <w:pStyle w:val="BodyText"/>
        <w:spacing w:before="5"/>
        <w:rPr>
          <w:rFonts w:ascii="Calibri"/>
          <w:sz w:val="9"/>
        </w:rPr>
      </w:pPr>
    </w:p>
    <w:p>
      <w:pPr>
        <w:pStyle w:val="BodyText"/>
        <w:spacing w:before="50"/>
        <w:ind w:left="110"/>
        <w:jc w:val="both"/>
      </w:pPr>
      <w:r>
        <w:rPr>
          <w:color w:val="231F20"/>
          <w:w w:val="105"/>
        </w:rPr>
        <w:t>mentó de manera marginal al pasar de -1.68138 a -1.62154</w:t>
      </w:r>
      <w:r>
        <w:rPr>
          <w:color w:val="231F20"/>
          <w:w w:val="105"/>
          <w:position w:val="7"/>
          <w:sz w:val="13"/>
        </w:rPr>
        <w:t>10</w:t>
      </w:r>
      <w:r>
        <w:rPr>
          <w:color w:val="231F20"/>
          <w:w w:val="105"/>
        </w:rPr>
        <w:t>, respectivamente.</w:t>
      </w:r>
    </w:p>
    <w:p>
      <w:pPr>
        <w:pStyle w:val="BodyText"/>
        <w:spacing w:before="2"/>
        <w:rPr>
          <w:sz w:val="30"/>
        </w:rPr>
      </w:pPr>
    </w:p>
    <w:p>
      <w:pPr>
        <w:pStyle w:val="BodyText"/>
        <w:spacing w:line="285" w:lineRule="auto"/>
        <w:ind w:left="110" w:right="106"/>
        <w:jc w:val="both"/>
      </w:pPr>
      <w:r>
        <w:rPr>
          <w:color w:val="231F20"/>
          <w:w w:val="105"/>
        </w:rPr>
        <w:t>En ese mismo periodo, </w:t>
      </w:r>
      <w:r>
        <w:rPr>
          <w:color w:val="231F20"/>
          <w:spacing w:val="4"/>
          <w:w w:val="105"/>
        </w:rPr>
        <w:t>2000-2005, </w:t>
      </w:r>
      <w:r>
        <w:rPr>
          <w:color w:val="231F20"/>
          <w:w w:val="105"/>
        </w:rPr>
        <w:t>en el municipio se </w:t>
      </w:r>
      <w:r>
        <w:rPr>
          <w:color w:val="231F20"/>
          <w:spacing w:val="2"/>
          <w:w w:val="105"/>
        </w:rPr>
        <w:t>registraron </w:t>
      </w:r>
      <w:r>
        <w:rPr>
          <w:color w:val="231F20"/>
          <w:w w:val="105"/>
        </w:rPr>
        <w:t>descensos en la mayoría de los indicadores que componen a dicho índice de </w:t>
      </w:r>
      <w:r>
        <w:rPr>
          <w:color w:val="231F20"/>
          <w:spacing w:val="2"/>
          <w:w w:val="105"/>
        </w:rPr>
        <w:t>marginación. </w:t>
      </w:r>
      <w:r>
        <w:rPr>
          <w:color w:val="231F20"/>
          <w:w w:val="105"/>
        </w:rPr>
        <w:t>Solamente se </w:t>
      </w:r>
      <w:r>
        <w:rPr>
          <w:color w:val="231F20"/>
          <w:spacing w:val="2"/>
          <w:w w:val="105"/>
        </w:rPr>
        <w:t>observaron </w:t>
      </w:r>
      <w:r>
        <w:rPr>
          <w:color w:val="231F20"/>
          <w:w w:val="105"/>
        </w:rPr>
        <w:t>problemas en el rubro de </w:t>
      </w:r>
      <w:r>
        <w:rPr>
          <w:color w:val="231F20"/>
          <w:spacing w:val="3"/>
          <w:w w:val="105"/>
        </w:rPr>
        <w:t>cobertura </w:t>
      </w:r>
      <w:r>
        <w:rPr>
          <w:color w:val="231F20"/>
          <w:w w:val="105"/>
        </w:rPr>
        <w:t>del </w:t>
      </w:r>
      <w:r>
        <w:rPr>
          <w:color w:val="231F20"/>
          <w:spacing w:val="2"/>
          <w:w w:val="105"/>
        </w:rPr>
        <w:t>servicio </w:t>
      </w:r>
      <w:r>
        <w:rPr>
          <w:color w:val="231F20"/>
          <w:w w:val="105"/>
        </w:rPr>
        <w:t>de </w:t>
      </w:r>
      <w:r>
        <w:rPr>
          <w:color w:val="231F20"/>
          <w:spacing w:val="2"/>
          <w:w w:val="105"/>
        </w:rPr>
        <w:t>agua </w:t>
      </w:r>
      <w:r>
        <w:rPr>
          <w:color w:val="231F20"/>
          <w:w w:val="105"/>
        </w:rPr>
        <w:t>entubada. A  su vez, el indicador referido </w:t>
      </w:r>
      <w:r>
        <w:rPr>
          <w:color w:val="231F20"/>
          <w:spacing w:val="3"/>
          <w:w w:val="105"/>
        </w:rPr>
        <w:t>al </w:t>
      </w:r>
      <w:r>
        <w:rPr>
          <w:color w:val="231F20"/>
          <w:w w:val="105"/>
        </w:rPr>
        <w:t>porcentaje de población ocupada con bajos </w:t>
      </w:r>
      <w:r>
        <w:rPr>
          <w:color w:val="231F20"/>
          <w:spacing w:val="2"/>
          <w:w w:val="105"/>
        </w:rPr>
        <w:t>ingresos registró </w:t>
      </w:r>
      <w:r>
        <w:rPr>
          <w:color w:val="231F20"/>
          <w:w w:val="105"/>
        </w:rPr>
        <w:t>el mayor</w:t>
      </w:r>
      <w:r>
        <w:rPr>
          <w:color w:val="231F20"/>
          <w:spacing w:val="-20"/>
          <w:w w:val="105"/>
        </w:rPr>
        <w:t> </w:t>
      </w:r>
      <w:r>
        <w:rPr>
          <w:color w:val="231F20"/>
          <w:w w:val="105"/>
        </w:rPr>
        <w:t>descenso.</w:t>
      </w:r>
    </w:p>
    <w:p>
      <w:pPr>
        <w:pStyle w:val="BodyText"/>
        <w:spacing w:before="1"/>
        <w:rPr>
          <w:sz w:val="26"/>
        </w:rPr>
      </w:pPr>
    </w:p>
    <w:p>
      <w:pPr>
        <w:pStyle w:val="BodyText"/>
        <w:spacing w:line="285" w:lineRule="auto"/>
        <w:ind w:left="110" w:right="107"/>
        <w:jc w:val="both"/>
      </w:pPr>
      <w:r>
        <w:rPr>
          <w:color w:val="231F20"/>
          <w:spacing w:val="3"/>
          <w:w w:val="105"/>
        </w:rPr>
        <w:t>Al</w:t>
      </w:r>
      <w:r>
        <w:rPr>
          <w:color w:val="231F20"/>
          <w:spacing w:val="-15"/>
          <w:w w:val="105"/>
        </w:rPr>
        <w:t> </w:t>
      </w:r>
      <w:r>
        <w:rPr>
          <w:color w:val="231F20"/>
          <w:w w:val="105"/>
        </w:rPr>
        <w:t>comparar</w:t>
      </w:r>
      <w:r>
        <w:rPr>
          <w:color w:val="231F20"/>
          <w:spacing w:val="-15"/>
          <w:w w:val="105"/>
        </w:rPr>
        <w:t> </w:t>
      </w:r>
      <w:r>
        <w:rPr>
          <w:color w:val="231F20"/>
          <w:w w:val="105"/>
        </w:rPr>
        <w:t>los</w:t>
      </w:r>
      <w:r>
        <w:rPr>
          <w:color w:val="231F20"/>
          <w:spacing w:val="-15"/>
          <w:w w:val="105"/>
        </w:rPr>
        <w:t> </w:t>
      </w:r>
      <w:r>
        <w:rPr>
          <w:color w:val="231F20"/>
          <w:w w:val="105"/>
        </w:rPr>
        <w:t>niveles</w:t>
      </w:r>
      <w:r>
        <w:rPr>
          <w:color w:val="231F20"/>
          <w:spacing w:val="-15"/>
          <w:w w:val="105"/>
        </w:rPr>
        <w:t> </w:t>
      </w:r>
      <w:r>
        <w:rPr>
          <w:color w:val="231F20"/>
          <w:w w:val="105"/>
        </w:rPr>
        <w:t>de</w:t>
      </w:r>
      <w:r>
        <w:rPr>
          <w:color w:val="231F20"/>
          <w:spacing w:val="-15"/>
          <w:w w:val="105"/>
        </w:rPr>
        <w:t> </w:t>
      </w:r>
      <w:r>
        <w:rPr>
          <w:color w:val="231F20"/>
          <w:w w:val="105"/>
        </w:rPr>
        <w:t>marginación</w:t>
      </w:r>
      <w:r>
        <w:rPr>
          <w:color w:val="231F20"/>
          <w:spacing w:val="-15"/>
          <w:w w:val="105"/>
        </w:rPr>
        <w:t> </w:t>
      </w:r>
      <w:r>
        <w:rPr>
          <w:color w:val="231F20"/>
          <w:w w:val="105"/>
        </w:rPr>
        <w:t>del</w:t>
      </w:r>
      <w:r>
        <w:rPr>
          <w:color w:val="231F20"/>
          <w:spacing w:val="-15"/>
          <w:w w:val="105"/>
        </w:rPr>
        <w:t> </w:t>
      </w:r>
      <w:r>
        <w:rPr>
          <w:color w:val="231F20"/>
          <w:w w:val="105"/>
        </w:rPr>
        <w:t>municipio</w:t>
      </w:r>
      <w:r>
        <w:rPr>
          <w:color w:val="231F20"/>
          <w:spacing w:val="-15"/>
          <w:w w:val="105"/>
        </w:rPr>
        <w:t> </w:t>
      </w:r>
      <w:r>
        <w:rPr>
          <w:color w:val="231F20"/>
          <w:w w:val="105"/>
        </w:rPr>
        <w:t>frente</w:t>
      </w:r>
      <w:r>
        <w:rPr>
          <w:color w:val="231F20"/>
          <w:spacing w:val="-15"/>
          <w:w w:val="105"/>
        </w:rPr>
        <w:t> </w:t>
      </w:r>
      <w:r>
        <w:rPr>
          <w:color w:val="231F20"/>
          <w:spacing w:val="2"/>
          <w:w w:val="105"/>
        </w:rPr>
        <w:t>al</w:t>
      </w:r>
      <w:r>
        <w:rPr>
          <w:color w:val="231F20"/>
          <w:spacing w:val="-15"/>
          <w:w w:val="105"/>
        </w:rPr>
        <w:t> </w:t>
      </w:r>
      <w:r>
        <w:rPr>
          <w:color w:val="231F20"/>
          <w:w w:val="105"/>
        </w:rPr>
        <w:t>promedio</w:t>
      </w:r>
      <w:r>
        <w:rPr>
          <w:color w:val="231F20"/>
          <w:spacing w:val="-15"/>
          <w:w w:val="105"/>
        </w:rPr>
        <w:t> </w:t>
      </w:r>
      <w:r>
        <w:rPr>
          <w:color w:val="231F20"/>
          <w:w w:val="105"/>
        </w:rPr>
        <w:t>estatal,</w:t>
      </w:r>
      <w:r>
        <w:rPr>
          <w:color w:val="231F20"/>
          <w:spacing w:val="-15"/>
          <w:w w:val="105"/>
        </w:rPr>
        <w:t> </w:t>
      </w:r>
      <w:r>
        <w:rPr>
          <w:color w:val="231F20"/>
          <w:w w:val="105"/>
        </w:rPr>
        <w:t>en</w:t>
      </w:r>
      <w:r>
        <w:rPr>
          <w:color w:val="231F20"/>
          <w:spacing w:val="-15"/>
          <w:w w:val="105"/>
        </w:rPr>
        <w:t> </w:t>
      </w:r>
      <w:r>
        <w:rPr>
          <w:color w:val="231F20"/>
          <w:w w:val="105"/>
        </w:rPr>
        <w:t>las mediciones de </w:t>
      </w:r>
      <w:r>
        <w:rPr>
          <w:color w:val="231F20"/>
          <w:spacing w:val="3"/>
          <w:w w:val="105"/>
        </w:rPr>
        <w:t>2005 </w:t>
      </w:r>
      <w:r>
        <w:rPr>
          <w:color w:val="231F20"/>
          <w:w w:val="105"/>
        </w:rPr>
        <w:t>resaltó que Huixquilucan mantuvo menores niveles en casi todos los</w:t>
      </w:r>
      <w:r>
        <w:rPr>
          <w:color w:val="231F20"/>
          <w:spacing w:val="-18"/>
          <w:w w:val="105"/>
        </w:rPr>
        <w:t> </w:t>
      </w:r>
      <w:r>
        <w:rPr>
          <w:color w:val="231F20"/>
          <w:w w:val="105"/>
        </w:rPr>
        <w:t>rubros</w:t>
      </w:r>
      <w:r>
        <w:rPr>
          <w:color w:val="231F20"/>
          <w:spacing w:val="-18"/>
          <w:w w:val="105"/>
        </w:rPr>
        <w:t> </w:t>
      </w:r>
      <w:r>
        <w:rPr>
          <w:color w:val="231F20"/>
          <w:w w:val="105"/>
        </w:rPr>
        <w:t>a</w:t>
      </w:r>
      <w:r>
        <w:rPr>
          <w:color w:val="231F20"/>
          <w:spacing w:val="-18"/>
          <w:w w:val="105"/>
        </w:rPr>
        <w:t> </w:t>
      </w:r>
      <w:r>
        <w:rPr>
          <w:color w:val="231F20"/>
          <w:w w:val="105"/>
        </w:rPr>
        <w:t>excepción</w:t>
      </w:r>
      <w:r>
        <w:rPr>
          <w:color w:val="231F20"/>
          <w:spacing w:val="-18"/>
          <w:w w:val="105"/>
        </w:rPr>
        <w:t> </w:t>
      </w:r>
      <w:r>
        <w:rPr>
          <w:color w:val="231F20"/>
          <w:w w:val="105"/>
        </w:rPr>
        <w:t>de</w:t>
      </w:r>
      <w:r>
        <w:rPr>
          <w:color w:val="231F20"/>
          <w:spacing w:val="-18"/>
          <w:w w:val="105"/>
        </w:rPr>
        <w:t> </w:t>
      </w:r>
      <w:r>
        <w:rPr>
          <w:color w:val="231F20"/>
          <w:w w:val="105"/>
        </w:rPr>
        <w:t>dos:</w:t>
      </w:r>
      <w:r>
        <w:rPr>
          <w:color w:val="231F20"/>
          <w:spacing w:val="-18"/>
          <w:w w:val="105"/>
        </w:rPr>
        <w:t> </w:t>
      </w:r>
      <w:r>
        <w:rPr>
          <w:color w:val="231F20"/>
          <w:w w:val="105"/>
        </w:rPr>
        <w:t>la</w:t>
      </w:r>
      <w:r>
        <w:rPr>
          <w:color w:val="231F20"/>
          <w:spacing w:val="-18"/>
          <w:w w:val="105"/>
        </w:rPr>
        <w:t> </w:t>
      </w:r>
      <w:r>
        <w:rPr>
          <w:color w:val="231F20"/>
          <w:w w:val="105"/>
        </w:rPr>
        <w:t>cobertura</w:t>
      </w:r>
      <w:r>
        <w:rPr>
          <w:color w:val="231F20"/>
          <w:spacing w:val="-18"/>
          <w:w w:val="105"/>
        </w:rPr>
        <w:t> </w:t>
      </w:r>
      <w:r>
        <w:rPr>
          <w:color w:val="231F20"/>
          <w:w w:val="105"/>
        </w:rPr>
        <w:t>de</w:t>
      </w:r>
      <w:r>
        <w:rPr>
          <w:color w:val="231F20"/>
          <w:spacing w:val="-18"/>
          <w:w w:val="105"/>
        </w:rPr>
        <w:t> </w:t>
      </w:r>
      <w:r>
        <w:rPr>
          <w:color w:val="231F20"/>
          <w:w w:val="105"/>
        </w:rPr>
        <w:t>población</w:t>
      </w:r>
      <w:r>
        <w:rPr>
          <w:color w:val="231F20"/>
          <w:spacing w:val="-18"/>
          <w:w w:val="105"/>
        </w:rPr>
        <w:t> </w:t>
      </w:r>
      <w:r>
        <w:rPr>
          <w:color w:val="231F20"/>
          <w:w w:val="105"/>
        </w:rPr>
        <w:t>sin</w:t>
      </w:r>
      <w:r>
        <w:rPr>
          <w:color w:val="231F20"/>
          <w:spacing w:val="-18"/>
          <w:w w:val="105"/>
        </w:rPr>
        <w:t> </w:t>
      </w:r>
      <w:r>
        <w:rPr>
          <w:color w:val="231F20"/>
          <w:w w:val="105"/>
        </w:rPr>
        <w:t>agua</w:t>
      </w:r>
      <w:r>
        <w:rPr>
          <w:color w:val="231F20"/>
          <w:spacing w:val="-18"/>
          <w:w w:val="105"/>
        </w:rPr>
        <w:t> </w:t>
      </w:r>
      <w:r>
        <w:rPr>
          <w:color w:val="231F20"/>
          <w:w w:val="105"/>
        </w:rPr>
        <w:t>entubada</w:t>
      </w:r>
      <w:r>
        <w:rPr>
          <w:color w:val="231F20"/>
          <w:spacing w:val="-18"/>
          <w:w w:val="105"/>
        </w:rPr>
        <w:t> </w:t>
      </w:r>
      <w:r>
        <w:rPr>
          <w:color w:val="231F20"/>
          <w:w w:val="105"/>
        </w:rPr>
        <w:t>el</w:t>
      </w:r>
      <w:r>
        <w:rPr>
          <w:color w:val="231F20"/>
          <w:spacing w:val="-18"/>
          <w:w w:val="105"/>
        </w:rPr>
        <w:t> </w:t>
      </w:r>
      <w:r>
        <w:rPr>
          <w:color w:val="231F20"/>
          <w:w w:val="105"/>
        </w:rPr>
        <w:t>porcentaje de habitantes que viven en localidades pequeñas (tabla </w:t>
      </w:r>
      <w:r>
        <w:rPr>
          <w:color w:val="231F20"/>
          <w:spacing w:val="-7"/>
          <w:w w:val="105"/>
        </w:rPr>
        <w:t>1). </w:t>
      </w:r>
      <w:r>
        <w:rPr>
          <w:color w:val="231F20"/>
          <w:w w:val="105"/>
        </w:rPr>
        <w:t>Estos datos permiten</w:t>
      </w:r>
      <w:r>
        <w:rPr>
          <w:color w:val="231F20"/>
          <w:spacing w:val="-33"/>
          <w:w w:val="105"/>
        </w:rPr>
        <w:t> </w:t>
      </w:r>
      <w:r>
        <w:rPr>
          <w:color w:val="231F20"/>
          <w:w w:val="105"/>
        </w:rPr>
        <w:t>inferir que</w:t>
      </w:r>
      <w:r>
        <w:rPr>
          <w:color w:val="231F20"/>
          <w:spacing w:val="-16"/>
          <w:w w:val="105"/>
        </w:rPr>
        <w:t> </w:t>
      </w:r>
      <w:r>
        <w:rPr>
          <w:color w:val="231F20"/>
          <w:w w:val="105"/>
        </w:rPr>
        <w:t>el</w:t>
      </w:r>
      <w:r>
        <w:rPr>
          <w:color w:val="231F20"/>
          <w:spacing w:val="-16"/>
          <w:w w:val="105"/>
        </w:rPr>
        <w:t> </w:t>
      </w:r>
      <w:r>
        <w:rPr>
          <w:color w:val="231F20"/>
          <w:w w:val="105"/>
        </w:rPr>
        <w:t>gobierno</w:t>
      </w:r>
      <w:r>
        <w:rPr>
          <w:color w:val="231F20"/>
          <w:spacing w:val="-16"/>
          <w:w w:val="105"/>
        </w:rPr>
        <w:t> </w:t>
      </w:r>
      <w:r>
        <w:rPr>
          <w:color w:val="231F20"/>
          <w:w w:val="105"/>
        </w:rPr>
        <w:t>local</w:t>
      </w:r>
      <w:r>
        <w:rPr>
          <w:color w:val="231F20"/>
          <w:spacing w:val="-16"/>
          <w:w w:val="105"/>
        </w:rPr>
        <w:t> </w:t>
      </w:r>
      <w:r>
        <w:rPr>
          <w:color w:val="231F20"/>
          <w:w w:val="105"/>
        </w:rPr>
        <w:t>tuvo</w:t>
      </w:r>
      <w:r>
        <w:rPr>
          <w:color w:val="231F20"/>
          <w:spacing w:val="-16"/>
          <w:w w:val="105"/>
        </w:rPr>
        <w:t> </w:t>
      </w:r>
      <w:r>
        <w:rPr>
          <w:color w:val="231F20"/>
          <w:w w:val="105"/>
        </w:rPr>
        <w:t>problemas</w:t>
      </w:r>
      <w:r>
        <w:rPr>
          <w:color w:val="231F20"/>
          <w:spacing w:val="-16"/>
          <w:w w:val="105"/>
        </w:rPr>
        <w:t> </w:t>
      </w:r>
      <w:r>
        <w:rPr>
          <w:color w:val="231F20"/>
          <w:w w:val="105"/>
        </w:rPr>
        <w:t>para</w:t>
      </w:r>
      <w:r>
        <w:rPr>
          <w:color w:val="231F20"/>
          <w:spacing w:val="-16"/>
          <w:w w:val="105"/>
        </w:rPr>
        <w:t> </w:t>
      </w:r>
      <w:r>
        <w:rPr>
          <w:color w:val="231F20"/>
          <w:w w:val="105"/>
        </w:rPr>
        <w:t>expandir</w:t>
      </w:r>
      <w:r>
        <w:rPr>
          <w:color w:val="231F20"/>
          <w:spacing w:val="-16"/>
          <w:w w:val="105"/>
        </w:rPr>
        <w:t> </w:t>
      </w:r>
      <w:r>
        <w:rPr>
          <w:color w:val="231F20"/>
          <w:w w:val="105"/>
        </w:rPr>
        <w:t>los</w:t>
      </w:r>
      <w:r>
        <w:rPr>
          <w:color w:val="231F20"/>
          <w:spacing w:val="-16"/>
          <w:w w:val="105"/>
        </w:rPr>
        <w:t> </w:t>
      </w:r>
      <w:r>
        <w:rPr>
          <w:color w:val="231F20"/>
          <w:w w:val="105"/>
        </w:rPr>
        <w:t>servicios</w:t>
      </w:r>
      <w:r>
        <w:rPr>
          <w:color w:val="231F20"/>
          <w:spacing w:val="-16"/>
          <w:w w:val="105"/>
        </w:rPr>
        <w:t> </w:t>
      </w:r>
      <w:r>
        <w:rPr>
          <w:color w:val="231F20"/>
          <w:w w:val="105"/>
        </w:rPr>
        <w:t>públicos</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distintas regiones de su</w:t>
      </w:r>
      <w:r>
        <w:rPr>
          <w:color w:val="231F20"/>
          <w:spacing w:val="-33"/>
          <w:w w:val="105"/>
        </w:rPr>
        <w:t> </w:t>
      </w:r>
      <w:r>
        <w:rPr>
          <w:color w:val="231F20"/>
          <w:w w:val="105"/>
        </w:rPr>
        <w:t>territorio.</w:t>
      </w:r>
    </w:p>
    <w:p>
      <w:pPr>
        <w:pStyle w:val="BodyText"/>
        <w:spacing w:before="1"/>
        <w:rPr>
          <w:sz w:val="26"/>
        </w:rPr>
      </w:pPr>
    </w:p>
    <w:p>
      <w:pPr>
        <w:pStyle w:val="Heading5"/>
        <w:spacing w:line="285" w:lineRule="auto"/>
        <w:ind w:left="3178" w:right="378" w:hanging="2657"/>
      </w:pPr>
      <w:r>
        <w:rPr>
          <w:color w:val="231F20"/>
          <w:spacing w:val="-4"/>
          <w:w w:val="105"/>
        </w:rPr>
        <w:t>Tabla</w:t>
      </w:r>
      <w:r>
        <w:rPr>
          <w:color w:val="231F20"/>
          <w:spacing w:val="-19"/>
          <w:w w:val="105"/>
        </w:rPr>
        <w:t> </w:t>
      </w:r>
      <w:r>
        <w:rPr>
          <w:color w:val="231F20"/>
          <w:spacing w:val="-3"/>
          <w:w w:val="105"/>
        </w:rPr>
        <w:t>1.</w:t>
      </w:r>
      <w:r>
        <w:rPr>
          <w:color w:val="231F20"/>
          <w:spacing w:val="-19"/>
          <w:w w:val="105"/>
        </w:rPr>
        <w:t> </w:t>
      </w:r>
      <w:r>
        <w:rPr>
          <w:color w:val="231F20"/>
          <w:w w:val="105"/>
        </w:rPr>
        <w:t>Índices</w:t>
      </w:r>
      <w:r>
        <w:rPr>
          <w:color w:val="231F20"/>
          <w:spacing w:val="-19"/>
          <w:w w:val="105"/>
        </w:rPr>
        <w:t> </w:t>
      </w:r>
      <w:r>
        <w:rPr>
          <w:color w:val="231F20"/>
          <w:w w:val="105"/>
        </w:rPr>
        <w:t>de</w:t>
      </w:r>
      <w:r>
        <w:rPr>
          <w:color w:val="231F20"/>
          <w:spacing w:val="-19"/>
          <w:w w:val="105"/>
        </w:rPr>
        <w:t> </w:t>
      </w:r>
      <w:r>
        <w:rPr>
          <w:color w:val="231F20"/>
          <w:w w:val="105"/>
        </w:rPr>
        <w:t>Marginación</w:t>
      </w:r>
      <w:r>
        <w:rPr>
          <w:color w:val="231F20"/>
          <w:spacing w:val="-19"/>
          <w:w w:val="105"/>
        </w:rPr>
        <w:t> </w:t>
      </w:r>
      <w:r>
        <w:rPr>
          <w:color w:val="231F20"/>
          <w:w w:val="105"/>
        </w:rPr>
        <w:t>para</w:t>
      </w:r>
      <w:r>
        <w:rPr>
          <w:color w:val="231F20"/>
          <w:spacing w:val="-19"/>
          <w:w w:val="105"/>
        </w:rPr>
        <w:t> </w:t>
      </w:r>
      <w:r>
        <w:rPr>
          <w:color w:val="231F20"/>
          <w:w w:val="105"/>
        </w:rPr>
        <w:t>Huixquilucan</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 entre </w:t>
      </w:r>
      <w:r>
        <w:rPr>
          <w:color w:val="231F20"/>
          <w:spacing w:val="3"/>
          <w:w w:val="105"/>
        </w:rPr>
        <w:t>2000 </w:t>
      </w:r>
      <w:r>
        <w:rPr>
          <w:color w:val="231F20"/>
          <w:w w:val="105"/>
        </w:rPr>
        <w:t>y</w:t>
      </w:r>
      <w:r>
        <w:rPr>
          <w:color w:val="231F20"/>
          <w:spacing w:val="-7"/>
          <w:w w:val="105"/>
        </w:rPr>
        <w:t> </w:t>
      </w:r>
      <w:r>
        <w:rPr>
          <w:color w:val="231F20"/>
          <w:w w:val="105"/>
        </w:rPr>
        <w:t>2005.</w:t>
      </w:r>
    </w:p>
    <w:p>
      <w:pPr>
        <w:pStyle w:val="BodyText"/>
        <w:spacing w:before="9"/>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02"/>
        <w:gridCol w:w="622"/>
        <w:gridCol w:w="623"/>
        <w:gridCol w:w="590"/>
        <w:gridCol w:w="803"/>
        <w:gridCol w:w="822"/>
        <w:gridCol w:w="832"/>
        <w:gridCol w:w="658"/>
        <w:gridCol w:w="847"/>
        <w:gridCol w:w="855"/>
        <w:gridCol w:w="575"/>
      </w:tblGrid>
      <w:tr>
        <w:trPr>
          <w:trHeight w:val="532" w:hRule="exact"/>
        </w:trPr>
        <w:tc>
          <w:tcPr>
            <w:tcW w:w="702" w:type="dxa"/>
          </w:tcPr>
          <w:p>
            <w:pPr>
              <w:pStyle w:val="TableParagraph"/>
              <w:spacing w:before="7"/>
              <w:ind w:left="0"/>
              <w:rPr>
                <w:rFonts w:ascii="Times New Roman"/>
                <w:b/>
                <w:sz w:val="14"/>
              </w:rPr>
            </w:pPr>
          </w:p>
          <w:p>
            <w:pPr>
              <w:pStyle w:val="TableParagraph"/>
              <w:ind w:left="246"/>
              <w:rPr>
                <w:sz w:val="16"/>
              </w:rPr>
            </w:pPr>
            <w:r>
              <w:rPr>
                <w:color w:val="231F20"/>
                <w:w w:val="85"/>
                <w:sz w:val="16"/>
              </w:rPr>
              <w:t>Año</w:t>
            </w:r>
          </w:p>
        </w:tc>
        <w:tc>
          <w:tcPr>
            <w:tcW w:w="622" w:type="dxa"/>
          </w:tcPr>
          <w:p>
            <w:pPr>
              <w:pStyle w:val="TableParagraph"/>
              <w:spacing w:line="192" w:lineRule="exact" w:before="71"/>
              <w:ind w:left="141" w:hanging="37"/>
              <w:rPr>
                <w:sz w:val="16"/>
              </w:rPr>
            </w:pPr>
            <w:r>
              <w:rPr>
                <w:color w:val="231F20"/>
                <w:w w:val="85"/>
                <w:sz w:val="16"/>
              </w:rPr>
              <w:t>% Anal- </w:t>
            </w:r>
            <w:r>
              <w:rPr>
                <w:color w:val="231F20"/>
                <w:w w:val="80"/>
                <w:sz w:val="16"/>
              </w:rPr>
              <w:t>fabeta</w:t>
            </w:r>
          </w:p>
        </w:tc>
        <w:tc>
          <w:tcPr>
            <w:tcW w:w="623" w:type="dxa"/>
          </w:tcPr>
          <w:p>
            <w:pPr>
              <w:pStyle w:val="TableParagraph"/>
              <w:spacing w:line="170" w:lineRule="exact"/>
              <w:ind w:left="133" w:right="116" w:firstLine="36"/>
              <w:rPr>
                <w:sz w:val="16"/>
              </w:rPr>
            </w:pPr>
            <w:r>
              <w:rPr>
                <w:color w:val="231F20"/>
                <w:w w:val="85"/>
                <w:sz w:val="16"/>
              </w:rPr>
              <w:t>% sin</w:t>
            </w:r>
          </w:p>
          <w:p>
            <w:pPr>
              <w:pStyle w:val="TableParagraph"/>
              <w:spacing w:line="235" w:lineRule="auto" w:before="1"/>
              <w:ind w:left="241" w:right="116" w:hanging="108"/>
              <w:rPr>
                <w:sz w:val="16"/>
              </w:rPr>
            </w:pPr>
            <w:r>
              <w:rPr>
                <w:color w:val="231F20"/>
                <w:w w:val="80"/>
                <w:sz w:val="16"/>
              </w:rPr>
              <w:t>prima- </w:t>
            </w:r>
            <w:r>
              <w:rPr>
                <w:color w:val="231F20"/>
                <w:w w:val="85"/>
                <w:sz w:val="16"/>
              </w:rPr>
              <w:t>ria</w:t>
            </w:r>
          </w:p>
        </w:tc>
        <w:tc>
          <w:tcPr>
            <w:tcW w:w="590" w:type="dxa"/>
          </w:tcPr>
          <w:p>
            <w:pPr>
              <w:pStyle w:val="TableParagraph"/>
              <w:spacing w:line="170" w:lineRule="exact"/>
              <w:ind w:left="182" w:hanging="29"/>
              <w:rPr>
                <w:sz w:val="16"/>
              </w:rPr>
            </w:pPr>
            <w:r>
              <w:rPr>
                <w:color w:val="231F20"/>
                <w:w w:val="85"/>
                <w:sz w:val="16"/>
              </w:rPr>
              <w:t>% sin</w:t>
            </w:r>
          </w:p>
          <w:p>
            <w:pPr>
              <w:pStyle w:val="TableParagraph"/>
              <w:spacing w:line="235" w:lineRule="auto" w:before="1"/>
              <w:ind w:left="182" w:right="162"/>
              <w:rPr>
                <w:sz w:val="16"/>
              </w:rPr>
            </w:pPr>
            <w:r>
              <w:rPr>
                <w:color w:val="231F20"/>
                <w:w w:val="80"/>
                <w:sz w:val="16"/>
              </w:rPr>
              <w:t>dre-</w:t>
            </w:r>
            <w:r>
              <w:rPr>
                <w:color w:val="231F20"/>
                <w:w w:val="91"/>
                <w:sz w:val="16"/>
              </w:rPr>
              <w:t> </w:t>
            </w:r>
            <w:r>
              <w:rPr>
                <w:color w:val="231F20"/>
                <w:w w:val="75"/>
                <w:sz w:val="16"/>
              </w:rPr>
              <w:t>naje</w:t>
            </w:r>
          </w:p>
        </w:tc>
        <w:tc>
          <w:tcPr>
            <w:tcW w:w="803" w:type="dxa"/>
          </w:tcPr>
          <w:p>
            <w:pPr>
              <w:pStyle w:val="TableParagraph"/>
              <w:spacing w:line="192" w:lineRule="exact" w:before="71"/>
              <w:ind w:left="202" w:right="64" w:hanging="74"/>
              <w:rPr>
                <w:sz w:val="16"/>
              </w:rPr>
            </w:pPr>
            <w:r>
              <w:rPr>
                <w:color w:val="231F20"/>
                <w:w w:val="85"/>
                <w:sz w:val="16"/>
              </w:rPr>
              <w:t>% sin elec- tricidad</w:t>
            </w:r>
          </w:p>
        </w:tc>
        <w:tc>
          <w:tcPr>
            <w:tcW w:w="822" w:type="dxa"/>
          </w:tcPr>
          <w:p>
            <w:pPr>
              <w:pStyle w:val="TableParagraph"/>
              <w:spacing w:line="192" w:lineRule="exact" w:before="71"/>
              <w:ind w:left="163" w:hanging="31"/>
              <w:rPr>
                <w:sz w:val="16"/>
              </w:rPr>
            </w:pPr>
            <w:r>
              <w:rPr>
                <w:color w:val="231F20"/>
                <w:w w:val="85"/>
                <w:sz w:val="16"/>
              </w:rPr>
              <w:t>% sin agua </w:t>
            </w:r>
            <w:r>
              <w:rPr>
                <w:color w:val="231F20"/>
                <w:w w:val="80"/>
                <w:sz w:val="16"/>
              </w:rPr>
              <w:t>entubada</w:t>
            </w:r>
          </w:p>
        </w:tc>
        <w:tc>
          <w:tcPr>
            <w:tcW w:w="832" w:type="dxa"/>
          </w:tcPr>
          <w:p>
            <w:pPr>
              <w:pStyle w:val="TableParagraph"/>
              <w:spacing w:line="170" w:lineRule="exact"/>
              <w:ind w:left="124" w:right="124"/>
              <w:jc w:val="center"/>
              <w:rPr>
                <w:sz w:val="16"/>
              </w:rPr>
            </w:pPr>
            <w:r>
              <w:rPr>
                <w:color w:val="231F20"/>
                <w:w w:val="85"/>
                <w:sz w:val="16"/>
              </w:rPr>
              <w:t>% en</w:t>
            </w:r>
          </w:p>
          <w:p>
            <w:pPr>
              <w:pStyle w:val="TableParagraph"/>
              <w:spacing w:line="235" w:lineRule="auto" w:before="1"/>
              <w:ind w:left="126" w:right="124"/>
              <w:jc w:val="center"/>
              <w:rPr>
                <w:sz w:val="16"/>
              </w:rPr>
            </w:pPr>
            <w:r>
              <w:rPr>
                <w:color w:val="231F20"/>
                <w:w w:val="75"/>
                <w:sz w:val="16"/>
              </w:rPr>
              <w:t>localidades </w:t>
            </w:r>
            <w:r>
              <w:rPr>
                <w:color w:val="231F20"/>
                <w:w w:val="80"/>
                <w:sz w:val="16"/>
              </w:rPr>
              <w:t>pequeñas</w:t>
            </w:r>
          </w:p>
        </w:tc>
        <w:tc>
          <w:tcPr>
            <w:tcW w:w="658" w:type="dxa"/>
          </w:tcPr>
          <w:p>
            <w:pPr>
              <w:pStyle w:val="TableParagraph"/>
              <w:spacing w:line="170" w:lineRule="exact"/>
              <w:ind w:left="190" w:hanging="20"/>
              <w:rPr>
                <w:sz w:val="16"/>
              </w:rPr>
            </w:pPr>
            <w:r>
              <w:rPr>
                <w:color w:val="231F20"/>
                <w:w w:val="80"/>
                <w:sz w:val="16"/>
              </w:rPr>
              <w:t>% con</w:t>
            </w:r>
          </w:p>
          <w:p>
            <w:pPr>
              <w:pStyle w:val="TableParagraph"/>
              <w:spacing w:line="235" w:lineRule="auto" w:before="1"/>
              <w:ind w:left="111" w:firstLine="78"/>
              <w:rPr>
                <w:sz w:val="16"/>
              </w:rPr>
            </w:pPr>
            <w:r>
              <w:rPr>
                <w:color w:val="231F20"/>
                <w:w w:val="85"/>
                <w:sz w:val="16"/>
              </w:rPr>
              <w:t>bajos </w:t>
            </w:r>
            <w:r>
              <w:rPr>
                <w:color w:val="231F20"/>
                <w:w w:val="75"/>
                <w:sz w:val="16"/>
              </w:rPr>
              <w:t>ingresos</w:t>
            </w:r>
          </w:p>
        </w:tc>
        <w:tc>
          <w:tcPr>
            <w:tcW w:w="847" w:type="dxa"/>
          </w:tcPr>
          <w:p>
            <w:pPr>
              <w:pStyle w:val="TableParagraph"/>
              <w:spacing w:line="170" w:lineRule="exact"/>
              <w:ind w:left="182" w:firstLine="8"/>
              <w:rPr>
                <w:sz w:val="16"/>
              </w:rPr>
            </w:pPr>
            <w:r>
              <w:rPr>
                <w:color w:val="231F20"/>
                <w:w w:val="75"/>
                <w:sz w:val="16"/>
              </w:rPr>
              <w:t>Índice de</w:t>
            </w:r>
          </w:p>
          <w:p>
            <w:pPr>
              <w:pStyle w:val="TableParagraph"/>
              <w:spacing w:line="235" w:lineRule="auto" w:before="1"/>
              <w:ind w:left="313" w:right="169" w:hanging="131"/>
              <w:rPr>
                <w:sz w:val="16"/>
              </w:rPr>
            </w:pPr>
            <w:r>
              <w:rPr>
                <w:color w:val="231F20"/>
                <w:w w:val="80"/>
                <w:sz w:val="16"/>
              </w:rPr>
              <w:t>margina- </w:t>
            </w:r>
            <w:r>
              <w:rPr>
                <w:color w:val="231F20"/>
                <w:w w:val="85"/>
                <w:sz w:val="16"/>
              </w:rPr>
              <w:t>ción</w:t>
            </w:r>
          </w:p>
        </w:tc>
        <w:tc>
          <w:tcPr>
            <w:tcW w:w="855" w:type="dxa"/>
          </w:tcPr>
          <w:p>
            <w:pPr>
              <w:pStyle w:val="TableParagraph"/>
              <w:spacing w:line="192" w:lineRule="exact" w:before="71"/>
              <w:ind w:left="104" w:firstLine="92"/>
              <w:rPr>
                <w:sz w:val="16"/>
              </w:rPr>
            </w:pPr>
            <w:r>
              <w:rPr>
                <w:color w:val="231F20"/>
                <w:w w:val="85"/>
                <w:sz w:val="16"/>
              </w:rPr>
              <w:t>Grado de </w:t>
            </w:r>
            <w:r>
              <w:rPr>
                <w:color w:val="231F20"/>
                <w:w w:val="75"/>
                <w:sz w:val="16"/>
              </w:rPr>
              <w:t>marginación</w:t>
            </w:r>
          </w:p>
        </w:tc>
        <w:tc>
          <w:tcPr>
            <w:tcW w:w="575" w:type="dxa"/>
          </w:tcPr>
          <w:p>
            <w:pPr>
              <w:pStyle w:val="TableParagraph"/>
              <w:spacing w:line="192" w:lineRule="exact" w:before="71"/>
              <w:ind w:left="108" w:right="101" w:firstLine="30"/>
              <w:rPr>
                <w:sz w:val="16"/>
              </w:rPr>
            </w:pPr>
            <w:r>
              <w:rPr>
                <w:color w:val="231F20"/>
                <w:w w:val="85"/>
                <w:sz w:val="16"/>
              </w:rPr>
              <w:t>Lugar </w:t>
            </w:r>
            <w:r>
              <w:rPr>
                <w:color w:val="231F20"/>
                <w:w w:val="75"/>
                <w:sz w:val="16"/>
              </w:rPr>
              <w:t>estatal</w:t>
            </w:r>
          </w:p>
        </w:tc>
      </w:tr>
      <w:tr>
        <w:trPr>
          <w:trHeight w:val="290" w:hRule="exact"/>
        </w:trPr>
        <w:tc>
          <w:tcPr>
            <w:tcW w:w="702" w:type="dxa"/>
          </w:tcPr>
          <w:p>
            <w:pPr>
              <w:pStyle w:val="TableParagraph"/>
              <w:spacing w:line="183" w:lineRule="exact"/>
              <w:ind w:left="203"/>
              <w:rPr>
                <w:sz w:val="18"/>
              </w:rPr>
            </w:pPr>
            <w:r>
              <w:rPr>
                <w:color w:val="231F20"/>
                <w:w w:val="85"/>
                <w:sz w:val="18"/>
              </w:rPr>
              <w:t>2000</w:t>
            </w:r>
          </w:p>
        </w:tc>
        <w:tc>
          <w:tcPr>
            <w:tcW w:w="622" w:type="dxa"/>
          </w:tcPr>
          <w:p>
            <w:pPr>
              <w:pStyle w:val="TableParagraph"/>
              <w:spacing w:line="183" w:lineRule="exact"/>
              <w:ind w:left="0" w:right="182"/>
              <w:jc w:val="right"/>
              <w:rPr>
                <w:sz w:val="18"/>
              </w:rPr>
            </w:pPr>
            <w:r>
              <w:rPr>
                <w:color w:val="231F20"/>
                <w:w w:val="75"/>
                <w:sz w:val="18"/>
              </w:rPr>
              <w:t>4.52</w:t>
            </w:r>
          </w:p>
        </w:tc>
        <w:tc>
          <w:tcPr>
            <w:tcW w:w="623" w:type="dxa"/>
          </w:tcPr>
          <w:p>
            <w:pPr>
              <w:pStyle w:val="TableParagraph"/>
              <w:spacing w:line="183" w:lineRule="exact"/>
              <w:ind w:left="110" w:right="110"/>
              <w:jc w:val="center"/>
              <w:rPr>
                <w:sz w:val="18"/>
              </w:rPr>
            </w:pPr>
            <w:r>
              <w:rPr>
                <w:color w:val="231F20"/>
                <w:w w:val="85"/>
                <w:sz w:val="18"/>
              </w:rPr>
              <w:t>17.03</w:t>
            </w:r>
          </w:p>
        </w:tc>
        <w:tc>
          <w:tcPr>
            <w:tcW w:w="590" w:type="dxa"/>
          </w:tcPr>
          <w:p>
            <w:pPr>
              <w:pStyle w:val="TableParagraph"/>
              <w:spacing w:line="183" w:lineRule="exact"/>
              <w:ind w:left="134" w:right="134"/>
              <w:jc w:val="center"/>
              <w:rPr>
                <w:sz w:val="18"/>
              </w:rPr>
            </w:pPr>
            <w:r>
              <w:rPr>
                <w:color w:val="231F20"/>
                <w:w w:val="85"/>
                <w:sz w:val="18"/>
              </w:rPr>
              <w:t>2.96</w:t>
            </w:r>
          </w:p>
        </w:tc>
        <w:tc>
          <w:tcPr>
            <w:tcW w:w="803" w:type="dxa"/>
          </w:tcPr>
          <w:p>
            <w:pPr>
              <w:pStyle w:val="TableParagraph"/>
              <w:spacing w:line="183" w:lineRule="exact"/>
              <w:ind w:left="0" w:right="272"/>
              <w:jc w:val="right"/>
              <w:rPr>
                <w:sz w:val="18"/>
              </w:rPr>
            </w:pPr>
            <w:r>
              <w:rPr>
                <w:color w:val="231F20"/>
                <w:w w:val="75"/>
                <w:sz w:val="18"/>
              </w:rPr>
              <w:t>0.48</w:t>
            </w:r>
          </w:p>
        </w:tc>
        <w:tc>
          <w:tcPr>
            <w:tcW w:w="822" w:type="dxa"/>
          </w:tcPr>
          <w:p>
            <w:pPr>
              <w:pStyle w:val="TableParagraph"/>
              <w:spacing w:line="183" w:lineRule="exact"/>
              <w:ind w:left="250" w:right="250"/>
              <w:jc w:val="center"/>
              <w:rPr>
                <w:sz w:val="18"/>
              </w:rPr>
            </w:pPr>
            <w:r>
              <w:rPr>
                <w:color w:val="231F20"/>
                <w:w w:val="85"/>
                <w:sz w:val="18"/>
              </w:rPr>
              <w:t>4.28</w:t>
            </w:r>
          </w:p>
        </w:tc>
        <w:tc>
          <w:tcPr>
            <w:tcW w:w="832" w:type="dxa"/>
          </w:tcPr>
          <w:p>
            <w:pPr>
              <w:pStyle w:val="TableParagraph"/>
              <w:spacing w:line="183" w:lineRule="exact"/>
              <w:ind w:left="124" w:right="124"/>
              <w:jc w:val="center"/>
              <w:rPr>
                <w:sz w:val="18"/>
              </w:rPr>
            </w:pPr>
            <w:r>
              <w:rPr>
                <w:color w:val="231F20"/>
                <w:w w:val="85"/>
                <w:sz w:val="18"/>
              </w:rPr>
              <w:t>24.24</w:t>
            </w:r>
          </w:p>
        </w:tc>
        <w:tc>
          <w:tcPr>
            <w:tcW w:w="658" w:type="dxa"/>
          </w:tcPr>
          <w:p>
            <w:pPr>
              <w:pStyle w:val="TableParagraph"/>
              <w:spacing w:line="183" w:lineRule="exact"/>
              <w:ind w:left="129" w:right="129"/>
              <w:jc w:val="center"/>
              <w:rPr>
                <w:sz w:val="18"/>
              </w:rPr>
            </w:pPr>
            <w:r>
              <w:rPr>
                <w:color w:val="231F20"/>
                <w:w w:val="85"/>
                <w:sz w:val="18"/>
              </w:rPr>
              <w:t>34.60</w:t>
            </w:r>
          </w:p>
        </w:tc>
        <w:tc>
          <w:tcPr>
            <w:tcW w:w="847" w:type="dxa"/>
          </w:tcPr>
          <w:p>
            <w:pPr>
              <w:pStyle w:val="TableParagraph"/>
              <w:spacing w:line="183" w:lineRule="exact"/>
              <w:ind w:left="0" w:right="174"/>
              <w:jc w:val="right"/>
              <w:rPr>
                <w:sz w:val="18"/>
              </w:rPr>
            </w:pPr>
            <w:r>
              <w:rPr>
                <w:color w:val="231F20"/>
                <w:w w:val="75"/>
                <w:sz w:val="18"/>
              </w:rPr>
              <w:t>-1.68138</w:t>
            </w:r>
          </w:p>
        </w:tc>
        <w:tc>
          <w:tcPr>
            <w:tcW w:w="855" w:type="dxa"/>
          </w:tcPr>
          <w:p>
            <w:pPr>
              <w:pStyle w:val="TableParagraph"/>
              <w:spacing w:line="183" w:lineRule="exact"/>
              <w:ind w:left="163"/>
              <w:rPr>
                <w:sz w:val="18"/>
              </w:rPr>
            </w:pPr>
            <w:r>
              <w:rPr>
                <w:color w:val="231F20"/>
                <w:w w:val="75"/>
                <w:sz w:val="18"/>
              </w:rPr>
              <w:t>Muy bajo</w:t>
            </w:r>
          </w:p>
        </w:tc>
        <w:tc>
          <w:tcPr>
            <w:tcW w:w="575" w:type="dxa"/>
          </w:tcPr>
          <w:p>
            <w:pPr>
              <w:pStyle w:val="TableParagraph"/>
              <w:spacing w:line="183" w:lineRule="exact"/>
              <w:ind w:left="185" w:right="101"/>
              <w:rPr>
                <w:sz w:val="18"/>
              </w:rPr>
            </w:pPr>
            <w:r>
              <w:rPr>
                <w:color w:val="231F20"/>
                <w:w w:val="85"/>
                <w:sz w:val="18"/>
              </w:rPr>
              <w:t>112</w:t>
            </w:r>
          </w:p>
        </w:tc>
      </w:tr>
      <w:tr>
        <w:trPr>
          <w:trHeight w:val="265" w:hRule="exact"/>
        </w:trPr>
        <w:tc>
          <w:tcPr>
            <w:tcW w:w="702" w:type="dxa"/>
          </w:tcPr>
          <w:p>
            <w:pPr>
              <w:pStyle w:val="TableParagraph"/>
              <w:spacing w:line="183" w:lineRule="exact"/>
              <w:ind w:left="205"/>
              <w:rPr>
                <w:sz w:val="18"/>
              </w:rPr>
            </w:pPr>
            <w:r>
              <w:rPr>
                <w:color w:val="231F20"/>
                <w:w w:val="85"/>
                <w:sz w:val="18"/>
              </w:rPr>
              <w:t>2005</w:t>
            </w:r>
          </w:p>
        </w:tc>
        <w:tc>
          <w:tcPr>
            <w:tcW w:w="622" w:type="dxa"/>
          </w:tcPr>
          <w:p>
            <w:pPr>
              <w:pStyle w:val="TableParagraph"/>
              <w:spacing w:line="183" w:lineRule="exact"/>
              <w:ind w:left="0" w:right="181"/>
              <w:jc w:val="right"/>
              <w:rPr>
                <w:sz w:val="18"/>
              </w:rPr>
            </w:pPr>
            <w:r>
              <w:rPr>
                <w:color w:val="231F20"/>
                <w:w w:val="75"/>
                <w:sz w:val="18"/>
              </w:rPr>
              <w:t>3.80</w:t>
            </w:r>
          </w:p>
        </w:tc>
        <w:tc>
          <w:tcPr>
            <w:tcW w:w="623" w:type="dxa"/>
          </w:tcPr>
          <w:p>
            <w:pPr>
              <w:pStyle w:val="TableParagraph"/>
              <w:spacing w:line="183" w:lineRule="exact"/>
              <w:ind w:left="110" w:right="110"/>
              <w:jc w:val="center"/>
              <w:rPr>
                <w:sz w:val="18"/>
              </w:rPr>
            </w:pPr>
            <w:r>
              <w:rPr>
                <w:color w:val="231F20"/>
                <w:w w:val="85"/>
                <w:sz w:val="18"/>
              </w:rPr>
              <w:t>13.22</w:t>
            </w:r>
          </w:p>
        </w:tc>
        <w:tc>
          <w:tcPr>
            <w:tcW w:w="590" w:type="dxa"/>
          </w:tcPr>
          <w:p>
            <w:pPr>
              <w:pStyle w:val="TableParagraph"/>
              <w:spacing w:line="183" w:lineRule="exact"/>
              <w:ind w:left="134" w:right="134"/>
              <w:jc w:val="center"/>
              <w:rPr>
                <w:sz w:val="18"/>
              </w:rPr>
            </w:pPr>
            <w:r>
              <w:rPr>
                <w:color w:val="231F20"/>
                <w:w w:val="85"/>
                <w:sz w:val="18"/>
              </w:rPr>
              <w:t>1.65</w:t>
            </w:r>
          </w:p>
        </w:tc>
        <w:tc>
          <w:tcPr>
            <w:tcW w:w="803" w:type="dxa"/>
          </w:tcPr>
          <w:p>
            <w:pPr>
              <w:pStyle w:val="TableParagraph"/>
              <w:spacing w:line="183" w:lineRule="exact"/>
              <w:ind w:left="0" w:right="272"/>
              <w:jc w:val="right"/>
              <w:rPr>
                <w:sz w:val="18"/>
              </w:rPr>
            </w:pPr>
            <w:r>
              <w:rPr>
                <w:color w:val="231F20"/>
                <w:w w:val="75"/>
                <w:sz w:val="18"/>
              </w:rPr>
              <w:t>0.29</w:t>
            </w:r>
          </w:p>
        </w:tc>
        <w:tc>
          <w:tcPr>
            <w:tcW w:w="822" w:type="dxa"/>
          </w:tcPr>
          <w:p>
            <w:pPr>
              <w:pStyle w:val="TableParagraph"/>
              <w:spacing w:line="183" w:lineRule="exact"/>
              <w:ind w:left="250" w:right="250"/>
              <w:jc w:val="center"/>
              <w:rPr>
                <w:sz w:val="18"/>
              </w:rPr>
            </w:pPr>
            <w:r>
              <w:rPr>
                <w:color w:val="231F20"/>
                <w:w w:val="85"/>
                <w:sz w:val="18"/>
              </w:rPr>
              <w:t>6.25</w:t>
            </w:r>
          </w:p>
        </w:tc>
        <w:tc>
          <w:tcPr>
            <w:tcW w:w="832" w:type="dxa"/>
          </w:tcPr>
          <w:p>
            <w:pPr>
              <w:pStyle w:val="TableParagraph"/>
              <w:spacing w:line="183" w:lineRule="exact"/>
              <w:ind w:left="124" w:right="124"/>
              <w:jc w:val="center"/>
              <w:rPr>
                <w:sz w:val="18"/>
              </w:rPr>
            </w:pPr>
            <w:r>
              <w:rPr>
                <w:color w:val="231F20"/>
                <w:w w:val="85"/>
                <w:sz w:val="18"/>
              </w:rPr>
              <w:t>22.50</w:t>
            </w:r>
          </w:p>
        </w:tc>
        <w:tc>
          <w:tcPr>
            <w:tcW w:w="658" w:type="dxa"/>
          </w:tcPr>
          <w:p>
            <w:pPr>
              <w:pStyle w:val="TableParagraph"/>
              <w:spacing w:line="183" w:lineRule="exact"/>
              <w:ind w:left="129" w:right="129"/>
              <w:jc w:val="center"/>
              <w:rPr>
                <w:sz w:val="18"/>
              </w:rPr>
            </w:pPr>
            <w:r>
              <w:rPr>
                <w:color w:val="231F20"/>
                <w:w w:val="85"/>
                <w:sz w:val="18"/>
              </w:rPr>
              <w:t>28.42</w:t>
            </w:r>
          </w:p>
        </w:tc>
        <w:tc>
          <w:tcPr>
            <w:tcW w:w="847" w:type="dxa"/>
          </w:tcPr>
          <w:p>
            <w:pPr>
              <w:pStyle w:val="TableParagraph"/>
              <w:spacing w:line="183" w:lineRule="exact"/>
              <w:ind w:left="0" w:right="175"/>
              <w:jc w:val="right"/>
              <w:rPr>
                <w:sz w:val="18"/>
              </w:rPr>
            </w:pPr>
            <w:r>
              <w:rPr>
                <w:color w:val="231F20"/>
                <w:w w:val="75"/>
                <w:sz w:val="18"/>
              </w:rPr>
              <w:t>-1.62154</w:t>
            </w:r>
          </w:p>
        </w:tc>
        <w:tc>
          <w:tcPr>
            <w:tcW w:w="855" w:type="dxa"/>
          </w:tcPr>
          <w:p>
            <w:pPr>
              <w:pStyle w:val="TableParagraph"/>
              <w:spacing w:line="183" w:lineRule="exact"/>
              <w:ind w:left="163"/>
              <w:rPr>
                <w:sz w:val="18"/>
              </w:rPr>
            </w:pPr>
            <w:r>
              <w:rPr>
                <w:color w:val="231F20"/>
                <w:w w:val="75"/>
                <w:sz w:val="18"/>
              </w:rPr>
              <w:t>Muy bajo</w:t>
            </w:r>
          </w:p>
        </w:tc>
        <w:tc>
          <w:tcPr>
            <w:tcW w:w="575" w:type="dxa"/>
          </w:tcPr>
          <w:p>
            <w:pPr>
              <w:pStyle w:val="TableParagraph"/>
              <w:spacing w:line="183" w:lineRule="exact"/>
              <w:ind w:left="185" w:right="101"/>
              <w:rPr>
                <w:sz w:val="18"/>
              </w:rPr>
            </w:pPr>
            <w:r>
              <w:rPr>
                <w:color w:val="231F20"/>
                <w:w w:val="85"/>
                <w:sz w:val="18"/>
              </w:rPr>
              <w:t>112</w:t>
            </w:r>
          </w:p>
        </w:tc>
      </w:tr>
      <w:tr>
        <w:trPr>
          <w:trHeight w:val="361" w:hRule="exact"/>
        </w:trPr>
        <w:tc>
          <w:tcPr>
            <w:tcW w:w="702" w:type="dxa"/>
          </w:tcPr>
          <w:p>
            <w:pPr>
              <w:pStyle w:val="TableParagraph"/>
              <w:spacing w:line="181" w:lineRule="exact"/>
              <w:ind w:left="205" w:hanging="85"/>
              <w:rPr>
                <w:sz w:val="18"/>
              </w:rPr>
            </w:pPr>
            <w:r>
              <w:rPr>
                <w:color w:val="231F20"/>
                <w:w w:val="85"/>
                <w:sz w:val="18"/>
              </w:rPr>
              <w:t>Edomex</w:t>
            </w:r>
          </w:p>
          <w:p>
            <w:pPr>
              <w:pStyle w:val="TableParagraph"/>
              <w:spacing w:line="210" w:lineRule="exact"/>
              <w:ind w:left="205"/>
              <w:rPr>
                <w:sz w:val="18"/>
              </w:rPr>
            </w:pPr>
            <w:r>
              <w:rPr>
                <w:color w:val="231F20"/>
                <w:w w:val="85"/>
                <w:sz w:val="18"/>
              </w:rPr>
              <w:t>2005</w:t>
            </w:r>
          </w:p>
        </w:tc>
        <w:tc>
          <w:tcPr>
            <w:tcW w:w="622" w:type="dxa"/>
          </w:tcPr>
          <w:p>
            <w:pPr>
              <w:pStyle w:val="TableParagraph"/>
              <w:spacing w:line="183" w:lineRule="exact"/>
              <w:ind w:left="0" w:right="187"/>
              <w:jc w:val="right"/>
              <w:rPr>
                <w:sz w:val="18"/>
              </w:rPr>
            </w:pPr>
            <w:r>
              <w:rPr>
                <w:color w:val="231F20"/>
                <w:w w:val="75"/>
                <w:sz w:val="18"/>
              </w:rPr>
              <w:t>5.32</w:t>
            </w:r>
          </w:p>
        </w:tc>
        <w:tc>
          <w:tcPr>
            <w:tcW w:w="623" w:type="dxa"/>
          </w:tcPr>
          <w:p>
            <w:pPr>
              <w:pStyle w:val="TableParagraph"/>
              <w:spacing w:line="183" w:lineRule="exact"/>
              <w:ind w:left="109" w:right="112"/>
              <w:jc w:val="center"/>
              <w:rPr>
                <w:sz w:val="18"/>
              </w:rPr>
            </w:pPr>
            <w:r>
              <w:rPr>
                <w:color w:val="231F20"/>
                <w:w w:val="85"/>
                <w:sz w:val="18"/>
              </w:rPr>
              <w:t>16.24</w:t>
            </w:r>
          </w:p>
        </w:tc>
        <w:tc>
          <w:tcPr>
            <w:tcW w:w="590" w:type="dxa"/>
          </w:tcPr>
          <w:p>
            <w:pPr>
              <w:pStyle w:val="TableParagraph"/>
              <w:spacing w:line="183" w:lineRule="exact"/>
              <w:ind w:left="134" w:right="134"/>
              <w:jc w:val="center"/>
              <w:rPr>
                <w:sz w:val="18"/>
              </w:rPr>
            </w:pPr>
            <w:r>
              <w:rPr>
                <w:color w:val="231F20"/>
                <w:w w:val="85"/>
                <w:sz w:val="18"/>
              </w:rPr>
              <w:t>4.76</w:t>
            </w:r>
          </w:p>
        </w:tc>
        <w:tc>
          <w:tcPr>
            <w:tcW w:w="803" w:type="dxa"/>
          </w:tcPr>
          <w:p>
            <w:pPr>
              <w:pStyle w:val="TableParagraph"/>
              <w:spacing w:line="183" w:lineRule="exact"/>
              <w:ind w:left="0" w:right="273"/>
              <w:jc w:val="right"/>
              <w:rPr>
                <w:sz w:val="18"/>
              </w:rPr>
            </w:pPr>
            <w:r>
              <w:rPr>
                <w:color w:val="231F20"/>
                <w:w w:val="75"/>
                <w:sz w:val="18"/>
              </w:rPr>
              <w:t>0.96</w:t>
            </w:r>
          </w:p>
        </w:tc>
        <w:tc>
          <w:tcPr>
            <w:tcW w:w="822" w:type="dxa"/>
          </w:tcPr>
          <w:p>
            <w:pPr>
              <w:pStyle w:val="TableParagraph"/>
              <w:spacing w:line="183" w:lineRule="exact"/>
              <w:ind w:left="250" w:right="250"/>
              <w:jc w:val="center"/>
              <w:rPr>
                <w:sz w:val="18"/>
              </w:rPr>
            </w:pPr>
            <w:r>
              <w:rPr>
                <w:color w:val="231F20"/>
                <w:w w:val="85"/>
                <w:sz w:val="18"/>
              </w:rPr>
              <w:t>6.04</w:t>
            </w:r>
          </w:p>
        </w:tc>
        <w:tc>
          <w:tcPr>
            <w:tcW w:w="832" w:type="dxa"/>
          </w:tcPr>
          <w:p>
            <w:pPr>
              <w:pStyle w:val="TableParagraph"/>
              <w:spacing w:line="183" w:lineRule="exact"/>
              <w:ind w:left="124" w:right="124"/>
              <w:jc w:val="center"/>
              <w:rPr>
                <w:sz w:val="18"/>
              </w:rPr>
            </w:pPr>
            <w:r>
              <w:rPr>
                <w:color w:val="231F20"/>
                <w:w w:val="85"/>
                <w:sz w:val="18"/>
              </w:rPr>
              <w:t>18.63</w:t>
            </w:r>
          </w:p>
        </w:tc>
        <w:tc>
          <w:tcPr>
            <w:tcW w:w="658" w:type="dxa"/>
          </w:tcPr>
          <w:p>
            <w:pPr>
              <w:pStyle w:val="TableParagraph"/>
              <w:spacing w:line="183" w:lineRule="exact"/>
              <w:ind w:left="129" w:right="129"/>
              <w:jc w:val="center"/>
              <w:rPr>
                <w:sz w:val="18"/>
              </w:rPr>
            </w:pPr>
            <w:r>
              <w:rPr>
                <w:color w:val="231F20"/>
                <w:w w:val="85"/>
                <w:sz w:val="18"/>
              </w:rPr>
              <w:t>41.10</w:t>
            </w:r>
          </w:p>
        </w:tc>
        <w:tc>
          <w:tcPr>
            <w:tcW w:w="847" w:type="dxa"/>
          </w:tcPr>
          <w:p>
            <w:pPr/>
          </w:p>
        </w:tc>
        <w:tc>
          <w:tcPr>
            <w:tcW w:w="855" w:type="dxa"/>
          </w:tcPr>
          <w:p>
            <w:pPr/>
          </w:p>
        </w:tc>
        <w:tc>
          <w:tcPr>
            <w:tcW w:w="575" w:type="dxa"/>
          </w:tcPr>
          <w:p>
            <w:pPr/>
          </w:p>
        </w:tc>
      </w:tr>
    </w:tbl>
    <w:p>
      <w:pPr>
        <w:spacing w:before="110"/>
        <w:ind w:left="0" w:right="108" w:firstLine="0"/>
        <w:jc w:val="right"/>
        <w:rPr>
          <w:rFonts w:ascii="Calibri"/>
          <w:sz w:val="16"/>
        </w:rPr>
      </w:pPr>
      <w:r>
        <w:rPr>
          <w:rFonts w:ascii="Calibri"/>
          <w:color w:val="231F20"/>
          <w:w w:val="95"/>
          <w:sz w:val="16"/>
        </w:rPr>
        <w:t>Fuente: (CONAPO, 2005a).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La provisión de servicios públicos municipales sufrió problemas de cobertura ante el incremento del número de viviendas entre los años 1995 y </w:t>
      </w:r>
      <w:r>
        <w:rPr>
          <w:color w:val="231F20"/>
          <w:spacing w:val="2"/>
          <w:w w:val="105"/>
        </w:rPr>
        <w:t>2005. </w:t>
      </w:r>
      <w:r>
        <w:rPr>
          <w:color w:val="231F20"/>
          <w:w w:val="105"/>
        </w:rPr>
        <w:t>Según se observa en el</w:t>
      </w:r>
      <w:r>
        <w:rPr>
          <w:color w:val="231F20"/>
          <w:spacing w:val="-19"/>
          <w:w w:val="105"/>
        </w:rPr>
        <w:t> </w:t>
      </w:r>
      <w:r>
        <w:rPr>
          <w:color w:val="231F20"/>
          <w:w w:val="105"/>
        </w:rPr>
        <w:t>Plan</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w w:val="105"/>
        </w:rPr>
        <w:t>Municipal</w:t>
      </w:r>
      <w:r>
        <w:rPr>
          <w:color w:val="231F20"/>
          <w:spacing w:val="-19"/>
          <w:w w:val="105"/>
        </w:rPr>
        <w:t> </w:t>
      </w:r>
      <w:r>
        <w:rPr>
          <w:color w:val="231F20"/>
          <w:w w:val="105"/>
        </w:rPr>
        <w:t>2006-2009,</w:t>
      </w:r>
      <w:r>
        <w:rPr>
          <w:color w:val="231F20"/>
          <w:spacing w:val="-18"/>
          <w:w w:val="105"/>
        </w:rPr>
        <w:t> </w:t>
      </w:r>
      <w:r>
        <w:rPr>
          <w:color w:val="231F20"/>
          <w:w w:val="105"/>
        </w:rPr>
        <w:t>se</w:t>
      </w:r>
      <w:r>
        <w:rPr>
          <w:color w:val="231F20"/>
          <w:spacing w:val="-19"/>
          <w:w w:val="105"/>
        </w:rPr>
        <w:t> </w:t>
      </w:r>
      <w:r>
        <w:rPr>
          <w:color w:val="231F20"/>
          <w:w w:val="105"/>
        </w:rPr>
        <w:t>registró</w:t>
      </w:r>
      <w:r>
        <w:rPr>
          <w:color w:val="231F20"/>
          <w:spacing w:val="-19"/>
          <w:w w:val="105"/>
        </w:rPr>
        <w:t> </w:t>
      </w:r>
      <w:r>
        <w:rPr>
          <w:color w:val="231F20"/>
          <w:w w:val="105"/>
        </w:rPr>
        <w:t>una</w:t>
      </w:r>
      <w:r>
        <w:rPr>
          <w:color w:val="231F20"/>
          <w:spacing w:val="-19"/>
          <w:w w:val="105"/>
        </w:rPr>
        <w:t> </w:t>
      </w:r>
      <w:r>
        <w:rPr>
          <w:color w:val="231F20"/>
          <w:w w:val="105"/>
        </w:rPr>
        <w:t>tendencia</w:t>
      </w:r>
      <w:r>
        <w:rPr>
          <w:color w:val="231F20"/>
          <w:spacing w:val="-19"/>
          <w:w w:val="105"/>
        </w:rPr>
        <w:t> </w:t>
      </w:r>
      <w:r>
        <w:rPr>
          <w:color w:val="231F20"/>
          <w:w w:val="105"/>
        </w:rPr>
        <w:t>negativa:</w:t>
      </w:r>
      <w:r>
        <w:rPr>
          <w:color w:val="231F20"/>
          <w:spacing w:val="-19"/>
          <w:w w:val="105"/>
        </w:rPr>
        <w:t> </w:t>
      </w:r>
      <w:r>
        <w:rPr>
          <w:color w:val="231F20"/>
          <w:w w:val="105"/>
        </w:rPr>
        <w:t>en</w:t>
      </w:r>
      <w:r>
        <w:rPr>
          <w:color w:val="231F20"/>
          <w:spacing w:val="-19"/>
          <w:w w:val="105"/>
        </w:rPr>
        <w:t> </w:t>
      </w:r>
      <w:r>
        <w:rPr>
          <w:color w:val="231F20"/>
          <w:w w:val="105"/>
        </w:rPr>
        <w:t>1995</w:t>
      </w:r>
    </w:p>
    <w:p>
      <w:pPr>
        <w:pStyle w:val="BodyText"/>
        <w:spacing w:before="7"/>
        <w:rPr>
          <w:sz w:val="13"/>
        </w:rPr>
      </w:pPr>
      <w:r>
        <w:rPr/>
        <w:pict>
          <v:line style="position:absolute;mso-position-horizontal-relative:page;mso-position-vertical-relative:paragraph;z-index:2056;mso-wrap-distance-left:0;mso-wrap-distance-right:0" from="42.519699pt,10.297885pt" to="114.519699pt,10.297885pt" stroked="true" strokeweight="1pt" strokecolor="#231f20">
            <w10:wrap type="topAndBottom"/>
          </v:line>
        </w:pict>
      </w:r>
    </w:p>
    <w:p>
      <w:pPr>
        <w:pStyle w:val="ListParagraph"/>
        <w:numPr>
          <w:ilvl w:val="0"/>
          <w:numId w:val="3"/>
        </w:numPr>
        <w:tabs>
          <w:tab w:pos="297" w:val="left" w:leader="none"/>
        </w:tabs>
        <w:spacing w:line="244" w:lineRule="auto" w:before="8" w:after="0"/>
        <w:ind w:left="110" w:right="109" w:firstLine="0"/>
        <w:jc w:val="both"/>
        <w:rPr>
          <w:sz w:val="16"/>
        </w:rPr>
      </w:pPr>
      <w:r>
        <w:rPr>
          <w:color w:val="231F20"/>
          <w:sz w:val="16"/>
        </w:rPr>
        <w:t>El</w:t>
      </w:r>
      <w:r>
        <w:rPr>
          <w:color w:val="231F20"/>
          <w:spacing w:val="-4"/>
          <w:sz w:val="16"/>
        </w:rPr>
        <w:t> </w:t>
      </w:r>
      <w:r>
        <w:rPr>
          <w:color w:val="231F20"/>
          <w:sz w:val="16"/>
        </w:rPr>
        <w:t>Índice</w:t>
      </w:r>
      <w:r>
        <w:rPr>
          <w:color w:val="231F20"/>
          <w:spacing w:val="-4"/>
          <w:sz w:val="16"/>
        </w:rPr>
        <w:t> </w:t>
      </w:r>
      <w:r>
        <w:rPr>
          <w:color w:val="231F20"/>
          <w:sz w:val="16"/>
        </w:rPr>
        <w:t>de</w:t>
      </w:r>
      <w:r>
        <w:rPr>
          <w:color w:val="231F20"/>
          <w:spacing w:val="-4"/>
          <w:sz w:val="16"/>
        </w:rPr>
        <w:t> </w:t>
      </w:r>
      <w:r>
        <w:rPr>
          <w:color w:val="231F20"/>
          <w:sz w:val="16"/>
        </w:rPr>
        <w:t>Marginación</w:t>
      </w:r>
      <w:r>
        <w:rPr>
          <w:color w:val="231F20"/>
          <w:spacing w:val="-4"/>
          <w:sz w:val="16"/>
        </w:rPr>
        <w:t> </w:t>
      </w:r>
      <w:r>
        <w:rPr>
          <w:color w:val="231F20"/>
          <w:sz w:val="16"/>
        </w:rPr>
        <w:t>elaborado</w:t>
      </w:r>
      <w:r>
        <w:rPr>
          <w:color w:val="231F20"/>
          <w:spacing w:val="-4"/>
          <w:sz w:val="16"/>
        </w:rPr>
        <w:t> </w:t>
      </w:r>
      <w:r>
        <w:rPr>
          <w:color w:val="231F20"/>
          <w:sz w:val="16"/>
        </w:rPr>
        <w:t>por</w:t>
      </w:r>
      <w:r>
        <w:rPr>
          <w:color w:val="231F20"/>
          <w:spacing w:val="-4"/>
          <w:sz w:val="16"/>
        </w:rPr>
        <w:t> </w:t>
      </w:r>
      <w:r>
        <w:rPr>
          <w:color w:val="231F20"/>
          <w:sz w:val="16"/>
        </w:rPr>
        <w:t>el</w:t>
      </w:r>
      <w:r>
        <w:rPr>
          <w:color w:val="231F20"/>
          <w:spacing w:val="-4"/>
          <w:sz w:val="16"/>
        </w:rPr>
        <w:t> </w:t>
      </w:r>
      <w:r>
        <w:rPr>
          <w:color w:val="231F20"/>
          <w:sz w:val="16"/>
        </w:rPr>
        <w:t>Consejo</w:t>
      </w:r>
      <w:r>
        <w:rPr>
          <w:color w:val="231F20"/>
          <w:spacing w:val="-4"/>
          <w:sz w:val="16"/>
        </w:rPr>
        <w:t> </w:t>
      </w:r>
      <w:r>
        <w:rPr>
          <w:color w:val="231F20"/>
          <w:sz w:val="16"/>
        </w:rPr>
        <w:t>Nacional</w:t>
      </w:r>
      <w:r>
        <w:rPr>
          <w:color w:val="231F20"/>
          <w:spacing w:val="-4"/>
          <w:sz w:val="16"/>
        </w:rPr>
        <w:t> </w:t>
      </w:r>
      <w:r>
        <w:rPr>
          <w:color w:val="231F20"/>
          <w:sz w:val="16"/>
        </w:rPr>
        <w:t>de</w:t>
      </w:r>
      <w:r>
        <w:rPr>
          <w:color w:val="231F20"/>
          <w:spacing w:val="-4"/>
          <w:sz w:val="16"/>
        </w:rPr>
        <w:t> </w:t>
      </w:r>
      <w:r>
        <w:rPr>
          <w:color w:val="231F20"/>
          <w:sz w:val="16"/>
        </w:rPr>
        <w:t>Población</w:t>
      </w:r>
      <w:r>
        <w:rPr>
          <w:color w:val="231F20"/>
          <w:spacing w:val="-4"/>
          <w:sz w:val="16"/>
        </w:rPr>
        <w:t> </w:t>
      </w:r>
      <w:r>
        <w:rPr>
          <w:color w:val="231F20"/>
          <w:sz w:val="16"/>
        </w:rPr>
        <w:t>(CONAPO)</w:t>
      </w:r>
      <w:r>
        <w:rPr>
          <w:color w:val="231F20"/>
          <w:spacing w:val="-4"/>
          <w:sz w:val="16"/>
        </w:rPr>
        <w:t> </w:t>
      </w:r>
      <w:r>
        <w:rPr>
          <w:color w:val="231F20"/>
          <w:sz w:val="16"/>
        </w:rPr>
        <w:t>se</w:t>
      </w:r>
      <w:r>
        <w:rPr>
          <w:color w:val="231F20"/>
          <w:spacing w:val="-4"/>
          <w:sz w:val="16"/>
        </w:rPr>
        <w:t> </w:t>
      </w:r>
      <w:r>
        <w:rPr>
          <w:color w:val="231F20"/>
          <w:sz w:val="16"/>
        </w:rPr>
        <w:t>basa</w:t>
      </w:r>
      <w:r>
        <w:rPr>
          <w:color w:val="231F20"/>
          <w:spacing w:val="-4"/>
          <w:sz w:val="16"/>
        </w:rPr>
        <w:t> </w:t>
      </w:r>
      <w:r>
        <w:rPr>
          <w:color w:val="231F20"/>
          <w:sz w:val="16"/>
        </w:rPr>
        <w:t>en</w:t>
      </w:r>
      <w:r>
        <w:rPr>
          <w:color w:val="231F20"/>
          <w:spacing w:val="-4"/>
          <w:sz w:val="16"/>
        </w:rPr>
        <w:t> </w:t>
      </w:r>
      <w:r>
        <w:rPr>
          <w:color w:val="231F20"/>
          <w:sz w:val="16"/>
        </w:rPr>
        <w:t>la</w:t>
      </w:r>
      <w:r>
        <w:rPr>
          <w:color w:val="231F20"/>
          <w:spacing w:val="-4"/>
          <w:sz w:val="16"/>
        </w:rPr>
        <w:t> </w:t>
      </w:r>
      <w:r>
        <w:rPr>
          <w:color w:val="231F20"/>
          <w:sz w:val="16"/>
        </w:rPr>
        <w:t>medición</w:t>
      </w:r>
      <w:r>
        <w:rPr>
          <w:color w:val="231F20"/>
          <w:spacing w:val="-4"/>
          <w:sz w:val="16"/>
        </w:rPr>
        <w:t> </w:t>
      </w:r>
      <w:r>
        <w:rPr>
          <w:color w:val="231F20"/>
          <w:sz w:val="16"/>
        </w:rPr>
        <w:t>de</w:t>
      </w:r>
      <w:r>
        <w:rPr>
          <w:color w:val="231F20"/>
          <w:spacing w:val="-4"/>
          <w:sz w:val="16"/>
        </w:rPr>
        <w:t> </w:t>
      </w:r>
      <w:r>
        <w:rPr>
          <w:color w:val="231F20"/>
          <w:sz w:val="16"/>
        </w:rPr>
        <w:t>una</w:t>
      </w:r>
      <w:r>
        <w:rPr>
          <w:color w:val="231F20"/>
          <w:spacing w:val="-4"/>
          <w:sz w:val="16"/>
        </w:rPr>
        <w:t> </w:t>
      </w:r>
      <w:r>
        <w:rPr>
          <w:color w:val="231F20"/>
          <w:sz w:val="16"/>
        </w:rPr>
        <w:t>serie de</w:t>
      </w:r>
      <w:r>
        <w:rPr>
          <w:color w:val="231F20"/>
          <w:spacing w:val="-3"/>
          <w:sz w:val="16"/>
        </w:rPr>
        <w:t> </w:t>
      </w:r>
      <w:r>
        <w:rPr>
          <w:color w:val="231F20"/>
          <w:sz w:val="16"/>
        </w:rPr>
        <w:t>carencias,</w:t>
      </w:r>
      <w:r>
        <w:rPr>
          <w:color w:val="231F20"/>
          <w:spacing w:val="-3"/>
          <w:sz w:val="16"/>
        </w:rPr>
        <w:t> </w:t>
      </w:r>
      <w:r>
        <w:rPr>
          <w:color w:val="231F20"/>
          <w:sz w:val="16"/>
        </w:rPr>
        <w:t>por</w:t>
      </w:r>
      <w:r>
        <w:rPr>
          <w:color w:val="231F20"/>
          <w:spacing w:val="-3"/>
          <w:sz w:val="16"/>
        </w:rPr>
        <w:t> </w:t>
      </w:r>
      <w:r>
        <w:rPr>
          <w:color w:val="231F20"/>
          <w:sz w:val="16"/>
        </w:rPr>
        <w:t>lo</w:t>
      </w:r>
      <w:r>
        <w:rPr>
          <w:color w:val="231F20"/>
          <w:spacing w:val="-3"/>
          <w:sz w:val="16"/>
        </w:rPr>
        <w:t> </w:t>
      </w:r>
      <w:r>
        <w:rPr>
          <w:color w:val="231F20"/>
          <w:sz w:val="16"/>
        </w:rPr>
        <w:t>que</w:t>
      </w:r>
      <w:r>
        <w:rPr>
          <w:color w:val="231F20"/>
          <w:spacing w:val="-3"/>
          <w:sz w:val="16"/>
        </w:rPr>
        <w:t> </w:t>
      </w:r>
      <w:r>
        <w:rPr>
          <w:color w:val="231F20"/>
          <w:sz w:val="16"/>
        </w:rPr>
        <w:t>a</w:t>
      </w:r>
      <w:r>
        <w:rPr>
          <w:color w:val="231F20"/>
          <w:spacing w:val="-3"/>
          <w:sz w:val="16"/>
        </w:rPr>
        <w:t> </w:t>
      </w:r>
      <w:r>
        <w:rPr>
          <w:color w:val="231F20"/>
          <w:sz w:val="16"/>
        </w:rPr>
        <w:t>medida</w:t>
      </w:r>
      <w:r>
        <w:rPr>
          <w:color w:val="231F20"/>
          <w:spacing w:val="-3"/>
          <w:sz w:val="16"/>
        </w:rPr>
        <w:t> </w:t>
      </w:r>
      <w:r>
        <w:rPr>
          <w:color w:val="231F20"/>
          <w:sz w:val="16"/>
        </w:rPr>
        <w:t>que</w:t>
      </w:r>
      <w:r>
        <w:rPr>
          <w:color w:val="231F20"/>
          <w:spacing w:val="-3"/>
          <w:sz w:val="16"/>
        </w:rPr>
        <w:t> </w:t>
      </w:r>
      <w:r>
        <w:rPr>
          <w:color w:val="231F20"/>
          <w:sz w:val="16"/>
        </w:rPr>
        <w:t>su</w:t>
      </w:r>
      <w:r>
        <w:rPr>
          <w:color w:val="231F20"/>
          <w:spacing w:val="-3"/>
          <w:sz w:val="16"/>
        </w:rPr>
        <w:t> </w:t>
      </w:r>
      <w:r>
        <w:rPr>
          <w:color w:val="231F20"/>
          <w:sz w:val="16"/>
        </w:rPr>
        <w:t>valor</w:t>
      </w:r>
      <w:r>
        <w:rPr>
          <w:color w:val="231F20"/>
          <w:spacing w:val="-3"/>
          <w:sz w:val="16"/>
        </w:rPr>
        <w:t> </w:t>
      </w:r>
      <w:r>
        <w:rPr>
          <w:color w:val="231F20"/>
          <w:sz w:val="16"/>
        </w:rPr>
        <w:t>se</w:t>
      </w:r>
      <w:r>
        <w:rPr>
          <w:color w:val="231F20"/>
          <w:spacing w:val="-3"/>
          <w:sz w:val="16"/>
        </w:rPr>
        <w:t> </w:t>
      </w:r>
      <w:r>
        <w:rPr>
          <w:color w:val="231F20"/>
          <w:sz w:val="16"/>
        </w:rPr>
        <w:t>incrementa,</w:t>
      </w:r>
      <w:r>
        <w:rPr>
          <w:color w:val="231F20"/>
          <w:spacing w:val="-3"/>
          <w:sz w:val="16"/>
        </w:rPr>
        <w:t> </w:t>
      </w:r>
      <w:r>
        <w:rPr>
          <w:color w:val="231F20"/>
          <w:sz w:val="16"/>
        </w:rPr>
        <w:t>la</w:t>
      </w:r>
      <w:r>
        <w:rPr>
          <w:color w:val="231F20"/>
          <w:spacing w:val="-3"/>
          <w:sz w:val="16"/>
        </w:rPr>
        <w:t> </w:t>
      </w:r>
      <w:r>
        <w:rPr>
          <w:color w:val="231F20"/>
          <w:sz w:val="16"/>
        </w:rPr>
        <w:t>marginación</w:t>
      </w:r>
      <w:r>
        <w:rPr>
          <w:color w:val="231F20"/>
          <w:spacing w:val="-3"/>
          <w:sz w:val="16"/>
        </w:rPr>
        <w:t> </w:t>
      </w:r>
      <w:r>
        <w:rPr>
          <w:color w:val="231F20"/>
          <w:sz w:val="16"/>
        </w:rPr>
        <w:t>tiende</w:t>
      </w:r>
      <w:r>
        <w:rPr>
          <w:color w:val="231F20"/>
          <w:spacing w:val="-3"/>
          <w:sz w:val="16"/>
        </w:rPr>
        <w:t> </w:t>
      </w:r>
      <w:r>
        <w:rPr>
          <w:color w:val="231F20"/>
          <w:sz w:val="16"/>
        </w:rPr>
        <w:t>a</w:t>
      </w:r>
      <w:r>
        <w:rPr>
          <w:color w:val="231F20"/>
          <w:spacing w:val="-3"/>
          <w:sz w:val="16"/>
        </w:rPr>
        <w:t> </w:t>
      </w:r>
      <w:r>
        <w:rPr>
          <w:color w:val="231F20"/>
          <w:sz w:val="16"/>
        </w:rPr>
        <w:t>ser</w:t>
      </w:r>
      <w:r>
        <w:rPr>
          <w:color w:val="231F20"/>
          <w:spacing w:val="-3"/>
          <w:sz w:val="16"/>
        </w:rPr>
        <w:t> </w:t>
      </w:r>
      <w:r>
        <w:rPr>
          <w:color w:val="231F20"/>
          <w:sz w:val="16"/>
        </w:rPr>
        <w:t>menor</w:t>
      </w:r>
      <w:r>
        <w:rPr>
          <w:color w:val="231F20"/>
          <w:spacing w:val="-3"/>
          <w:sz w:val="16"/>
        </w:rPr>
        <w:t> </w:t>
      </w:r>
      <w:r>
        <w:rPr>
          <w:color w:val="231F20"/>
          <w:sz w:val="16"/>
        </w:rPr>
        <w:t>y</w:t>
      </w:r>
      <w:r>
        <w:rPr>
          <w:color w:val="231F20"/>
          <w:spacing w:val="-3"/>
          <w:sz w:val="16"/>
        </w:rPr>
        <w:t> </w:t>
      </w:r>
      <w:r>
        <w:rPr>
          <w:color w:val="231F20"/>
          <w:sz w:val="16"/>
        </w:rPr>
        <w:t>viceversa.</w:t>
      </w:r>
      <w:r>
        <w:rPr>
          <w:color w:val="231F20"/>
          <w:spacing w:val="-3"/>
          <w:sz w:val="16"/>
        </w:rPr>
        <w:t> </w:t>
      </w:r>
      <w:r>
        <w:rPr>
          <w:color w:val="231F20"/>
          <w:sz w:val="16"/>
        </w:rPr>
        <w:t>De</w:t>
      </w:r>
      <w:r>
        <w:rPr>
          <w:color w:val="231F20"/>
          <w:spacing w:val="-3"/>
          <w:sz w:val="16"/>
        </w:rPr>
        <w:t> </w:t>
      </w:r>
      <w:r>
        <w:rPr>
          <w:color w:val="231F20"/>
          <w:sz w:val="16"/>
        </w:rPr>
        <w:t>ahí</w:t>
      </w:r>
      <w:r>
        <w:rPr>
          <w:color w:val="231F20"/>
          <w:spacing w:val="-3"/>
          <w:sz w:val="16"/>
        </w:rPr>
        <w:t> </w:t>
      </w:r>
      <w:r>
        <w:rPr>
          <w:color w:val="231F20"/>
          <w:sz w:val="16"/>
        </w:rPr>
        <w:t>que</w:t>
      </w:r>
      <w:r>
        <w:rPr>
          <w:color w:val="231F20"/>
          <w:spacing w:val="-3"/>
          <w:sz w:val="16"/>
        </w:rPr>
        <w:t> </w:t>
      </w:r>
      <w:r>
        <w:rPr>
          <w:color w:val="231F20"/>
          <w:sz w:val="16"/>
        </w:rPr>
        <w:t>el movimiento</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derecha</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escala</w:t>
      </w:r>
      <w:r>
        <w:rPr>
          <w:color w:val="231F20"/>
          <w:spacing w:val="-7"/>
          <w:sz w:val="16"/>
        </w:rPr>
        <w:t> </w:t>
      </w:r>
      <w:r>
        <w:rPr>
          <w:color w:val="231F20"/>
          <w:sz w:val="16"/>
        </w:rPr>
        <w:t>significa</w:t>
      </w:r>
      <w:r>
        <w:rPr>
          <w:color w:val="231F20"/>
          <w:spacing w:val="-7"/>
          <w:sz w:val="16"/>
        </w:rPr>
        <w:t> </w:t>
      </w:r>
      <w:r>
        <w:rPr>
          <w:color w:val="231F20"/>
          <w:sz w:val="16"/>
        </w:rPr>
        <w:t>un</w:t>
      </w:r>
      <w:r>
        <w:rPr>
          <w:color w:val="231F20"/>
          <w:spacing w:val="-7"/>
          <w:sz w:val="16"/>
        </w:rPr>
        <w:t> </w:t>
      </w:r>
      <w:r>
        <w:rPr>
          <w:color w:val="231F20"/>
          <w:sz w:val="16"/>
        </w:rPr>
        <w:t>aumento</w:t>
      </w:r>
      <w:r>
        <w:rPr>
          <w:color w:val="231F20"/>
          <w:spacing w:val="-7"/>
          <w:sz w:val="16"/>
        </w:rPr>
        <w:t> </w:t>
      </w:r>
      <w:r>
        <w:rPr>
          <w:color w:val="231F20"/>
          <w:sz w:val="16"/>
        </w:rPr>
        <w:t>del</w:t>
      </w:r>
      <w:r>
        <w:rPr>
          <w:color w:val="231F20"/>
          <w:spacing w:val="-7"/>
          <w:sz w:val="16"/>
        </w:rPr>
        <w:t> </w:t>
      </w:r>
      <w:r>
        <w:rPr>
          <w:color w:val="231F20"/>
          <w:sz w:val="16"/>
        </w:rPr>
        <w:t>nivel</w:t>
      </w:r>
      <w:r>
        <w:rPr>
          <w:color w:val="231F20"/>
          <w:spacing w:val="-7"/>
          <w:sz w:val="16"/>
        </w:rPr>
        <w:t> </w:t>
      </w:r>
      <w:r>
        <w:rPr>
          <w:color w:val="231F20"/>
          <w:sz w:val="16"/>
        </w:rPr>
        <w:t>de</w:t>
      </w:r>
      <w:r>
        <w:rPr>
          <w:color w:val="231F20"/>
          <w:spacing w:val="-7"/>
          <w:sz w:val="16"/>
        </w:rPr>
        <w:t> </w:t>
      </w:r>
      <w:r>
        <w:rPr>
          <w:color w:val="231F20"/>
          <w:sz w:val="16"/>
        </w:rPr>
        <w:t>marginación.</w:t>
      </w:r>
    </w:p>
    <w:p>
      <w:pPr>
        <w:spacing w:after="0" w:line="244" w:lineRule="auto"/>
        <w:jc w:val="both"/>
        <w:rPr>
          <w:sz w:val="16"/>
        </w:rPr>
        <w:sectPr>
          <w:footerReference w:type="default" r:id="rId30"/>
          <w:pgSz w:w="9640" w:h="12190"/>
          <w:pgMar w:footer="743" w:header="0" w:top="1120" w:bottom="940" w:left="740" w:right="740"/>
          <w:pgNumType w:start="35"/>
        </w:sectPr>
      </w:pPr>
    </w:p>
    <w:p>
      <w:pPr>
        <w:pStyle w:val="BodyText"/>
        <w:spacing w:before="8"/>
        <w:rPr>
          <w:rFonts w:ascii="Calibri"/>
          <w:sz w:val="10"/>
        </w:rPr>
      </w:pPr>
    </w:p>
    <w:p>
      <w:pPr>
        <w:pStyle w:val="BodyText"/>
        <w:spacing w:line="285" w:lineRule="auto" w:before="35"/>
        <w:ind w:left="110" w:right="128"/>
        <w:jc w:val="both"/>
      </w:pPr>
      <w:r>
        <w:rPr>
          <w:color w:val="231F20"/>
        </w:rPr>
        <w:t>existía una cobertura promedio del 95.64% y para el </w:t>
      </w:r>
      <w:r>
        <w:rPr>
          <w:color w:val="231F20"/>
          <w:spacing w:val="3"/>
        </w:rPr>
        <w:t>2005 </w:t>
      </w:r>
      <w:r>
        <w:rPr>
          <w:color w:val="231F20"/>
        </w:rPr>
        <w:t>ésta fue de 86.84% (tabla </w:t>
      </w:r>
      <w:r>
        <w:rPr>
          <w:color w:val="231F20"/>
          <w:spacing w:val="-5"/>
        </w:rPr>
        <w:t>2). </w:t>
      </w:r>
      <w:r>
        <w:rPr>
          <w:color w:val="231F20"/>
        </w:rPr>
        <w:t>En contraste, para el año </w:t>
      </w:r>
      <w:r>
        <w:rPr>
          <w:color w:val="231F20"/>
          <w:spacing w:val="4"/>
        </w:rPr>
        <w:t>2000 </w:t>
      </w:r>
      <w:r>
        <w:rPr>
          <w:color w:val="231F20"/>
        </w:rPr>
        <w:t>existían 5,829 </w:t>
      </w:r>
      <w:r>
        <w:rPr>
          <w:color w:val="231F20"/>
          <w:spacing w:val="-5"/>
        </w:rPr>
        <w:t>(el </w:t>
      </w:r>
      <w:r>
        <w:rPr>
          <w:color w:val="231F20"/>
          <w:spacing w:val="-6"/>
        </w:rPr>
        <w:t>14% </w:t>
      </w:r>
      <w:r>
        <w:rPr>
          <w:color w:val="231F20"/>
        </w:rPr>
        <w:t>del total) viviendas sin el servicio  de agua, 5,373 </w:t>
      </w:r>
      <w:r>
        <w:rPr>
          <w:color w:val="231F20"/>
          <w:spacing w:val="-6"/>
        </w:rPr>
        <w:t>(13%) </w:t>
      </w:r>
      <w:r>
        <w:rPr>
          <w:color w:val="231F20"/>
        </w:rPr>
        <w:t>sin el servicio de drenaje y 2,657 </w:t>
      </w:r>
      <w:r>
        <w:rPr>
          <w:color w:val="231F20"/>
          <w:spacing w:val="-6"/>
        </w:rPr>
        <w:t>(6%) </w:t>
      </w:r>
      <w:r>
        <w:rPr>
          <w:color w:val="231F20"/>
        </w:rPr>
        <w:t>sin servicio de energía eléc- trica. Para el año </w:t>
      </w:r>
      <w:r>
        <w:rPr>
          <w:color w:val="231F20"/>
          <w:spacing w:val="3"/>
        </w:rPr>
        <w:t>2005 </w:t>
      </w:r>
      <w:r>
        <w:rPr>
          <w:color w:val="231F20"/>
        </w:rPr>
        <w:t>las cifras se incrementaron a 8,923 </w:t>
      </w:r>
      <w:r>
        <w:rPr>
          <w:color w:val="231F20"/>
          <w:spacing w:val="-8"/>
        </w:rPr>
        <w:t>(17%)  </w:t>
      </w:r>
      <w:r>
        <w:rPr>
          <w:color w:val="231F20"/>
        </w:rPr>
        <w:t>viviendas sin servicio   de agua entubada, </w:t>
      </w:r>
      <w:r>
        <w:rPr>
          <w:color w:val="231F20"/>
          <w:spacing w:val="-4"/>
        </w:rPr>
        <w:t>6,701 </w:t>
      </w:r>
      <w:r>
        <w:rPr>
          <w:color w:val="231F20"/>
          <w:spacing w:val="-6"/>
        </w:rPr>
        <w:t>(13%) </w:t>
      </w:r>
      <w:r>
        <w:rPr>
          <w:color w:val="231F20"/>
        </w:rPr>
        <w:t>sin drenaje ni alcantarillado y 5,396 </w:t>
      </w:r>
      <w:r>
        <w:rPr>
          <w:color w:val="231F20"/>
          <w:spacing w:val="-7"/>
        </w:rPr>
        <w:t>(10%) </w:t>
      </w:r>
      <w:r>
        <w:rPr>
          <w:color w:val="231F20"/>
        </w:rPr>
        <w:t>sin energía eléctrica (HUIXQUILUCAN,</w:t>
      </w:r>
      <w:r>
        <w:rPr>
          <w:color w:val="231F20"/>
          <w:spacing w:val="41"/>
        </w:rPr>
        <w:t> </w:t>
      </w:r>
      <w:r>
        <w:rPr>
          <w:color w:val="231F20"/>
        </w:rPr>
        <w:t>2006a).</w:t>
      </w:r>
    </w:p>
    <w:p>
      <w:pPr>
        <w:pStyle w:val="BodyText"/>
        <w:spacing w:before="1"/>
        <w:rPr>
          <w:sz w:val="26"/>
        </w:rPr>
      </w:pPr>
    </w:p>
    <w:p>
      <w:pPr>
        <w:pStyle w:val="Heading5"/>
        <w:spacing w:line="285" w:lineRule="auto"/>
        <w:ind w:left="3534" w:right="340" w:hanging="3212"/>
      </w:pPr>
      <w:r>
        <w:rPr>
          <w:color w:val="231F20"/>
          <w:spacing w:val="-4"/>
          <w:w w:val="105"/>
        </w:rPr>
        <w:t>Tabla</w:t>
      </w:r>
      <w:r>
        <w:rPr>
          <w:color w:val="231F20"/>
          <w:spacing w:val="-15"/>
          <w:w w:val="105"/>
        </w:rPr>
        <w:t> </w:t>
      </w:r>
      <w:r>
        <w:rPr>
          <w:color w:val="231F20"/>
          <w:spacing w:val="2"/>
          <w:w w:val="105"/>
        </w:rPr>
        <w:t>2.</w:t>
      </w:r>
      <w:r>
        <w:rPr>
          <w:color w:val="231F20"/>
          <w:spacing w:val="-15"/>
          <w:w w:val="105"/>
        </w:rPr>
        <w:t> </w:t>
      </w:r>
      <w:r>
        <w:rPr>
          <w:color w:val="231F20"/>
          <w:w w:val="105"/>
        </w:rPr>
        <w:t>Cobertura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servicios</w:t>
      </w:r>
      <w:r>
        <w:rPr>
          <w:color w:val="231F20"/>
          <w:spacing w:val="-15"/>
          <w:w w:val="105"/>
        </w:rPr>
        <w:t> </w:t>
      </w:r>
      <w:r>
        <w:rPr>
          <w:color w:val="231F20"/>
          <w:w w:val="105"/>
        </w:rPr>
        <w:t>públicos</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viviendas</w:t>
      </w:r>
      <w:r>
        <w:rPr>
          <w:color w:val="231F20"/>
          <w:spacing w:val="-15"/>
          <w:w w:val="105"/>
        </w:rPr>
        <w:t> </w:t>
      </w:r>
      <w:r>
        <w:rPr>
          <w:color w:val="231F20"/>
          <w:w w:val="105"/>
        </w:rPr>
        <w:t>en</w:t>
      </w:r>
      <w:r>
        <w:rPr>
          <w:color w:val="231F20"/>
          <w:spacing w:val="-15"/>
          <w:w w:val="105"/>
        </w:rPr>
        <w:t> </w:t>
      </w:r>
      <w:r>
        <w:rPr>
          <w:color w:val="231F20"/>
          <w:w w:val="105"/>
        </w:rPr>
        <w:t>Huixquilucan, 1995-2005.</w:t>
      </w:r>
    </w:p>
    <w:p>
      <w:pPr>
        <w:pStyle w:val="BodyText"/>
        <w:spacing w:before="9"/>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19"/>
        <w:gridCol w:w="1031"/>
        <w:gridCol w:w="966"/>
        <w:gridCol w:w="857"/>
        <w:gridCol w:w="953"/>
        <w:gridCol w:w="926"/>
        <w:gridCol w:w="1214"/>
        <w:gridCol w:w="1078"/>
      </w:tblGrid>
      <w:tr>
        <w:trPr>
          <w:trHeight w:val="160" w:hRule="exact"/>
        </w:trPr>
        <w:tc>
          <w:tcPr>
            <w:tcW w:w="919" w:type="dxa"/>
            <w:vMerge w:val="restart"/>
          </w:tcPr>
          <w:p>
            <w:pPr>
              <w:pStyle w:val="TableParagraph"/>
              <w:spacing w:before="84"/>
              <w:ind w:left="313" w:right="313"/>
              <w:jc w:val="center"/>
              <w:rPr>
                <w:b/>
                <w:sz w:val="16"/>
              </w:rPr>
            </w:pPr>
            <w:r>
              <w:rPr>
                <w:b/>
                <w:color w:val="231F20"/>
                <w:w w:val="90"/>
                <w:sz w:val="16"/>
              </w:rPr>
              <w:t>Año</w:t>
            </w:r>
          </w:p>
        </w:tc>
        <w:tc>
          <w:tcPr>
            <w:tcW w:w="1031" w:type="dxa"/>
            <w:vMerge w:val="restart"/>
          </w:tcPr>
          <w:p>
            <w:pPr>
              <w:pStyle w:val="TableParagraph"/>
              <w:spacing w:before="84"/>
              <w:ind w:left="231"/>
              <w:rPr>
                <w:b/>
                <w:sz w:val="16"/>
              </w:rPr>
            </w:pPr>
            <w:r>
              <w:rPr>
                <w:b/>
                <w:color w:val="231F20"/>
                <w:w w:val="95"/>
                <w:sz w:val="16"/>
              </w:rPr>
              <w:t>Viviendas</w:t>
            </w:r>
          </w:p>
        </w:tc>
        <w:tc>
          <w:tcPr>
            <w:tcW w:w="1823" w:type="dxa"/>
            <w:gridSpan w:val="2"/>
          </w:tcPr>
          <w:p>
            <w:pPr/>
          </w:p>
        </w:tc>
        <w:tc>
          <w:tcPr>
            <w:tcW w:w="1879" w:type="dxa"/>
            <w:gridSpan w:val="2"/>
          </w:tcPr>
          <w:p>
            <w:pPr/>
          </w:p>
        </w:tc>
        <w:tc>
          <w:tcPr>
            <w:tcW w:w="2292" w:type="dxa"/>
            <w:gridSpan w:val="2"/>
          </w:tcPr>
          <w:p>
            <w:pPr/>
          </w:p>
        </w:tc>
      </w:tr>
      <w:tr>
        <w:trPr>
          <w:trHeight w:val="204" w:hRule="exact"/>
        </w:trPr>
        <w:tc>
          <w:tcPr>
            <w:tcW w:w="919" w:type="dxa"/>
            <w:vMerge/>
          </w:tcPr>
          <w:p>
            <w:pPr/>
          </w:p>
        </w:tc>
        <w:tc>
          <w:tcPr>
            <w:tcW w:w="1031" w:type="dxa"/>
            <w:vMerge/>
          </w:tcPr>
          <w:p>
            <w:pPr/>
          </w:p>
        </w:tc>
        <w:tc>
          <w:tcPr>
            <w:tcW w:w="966" w:type="dxa"/>
          </w:tcPr>
          <w:p>
            <w:pPr>
              <w:pStyle w:val="TableParagraph"/>
              <w:spacing w:line="11" w:lineRule="exact"/>
              <w:ind w:left="761" w:right="-45"/>
              <w:rPr>
                <w:b/>
                <w:sz w:val="16"/>
              </w:rPr>
            </w:pPr>
            <w:r>
              <w:rPr>
                <w:b/>
                <w:color w:val="231F20"/>
                <w:w w:val="85"/>
                <w:sz w:val="16"/>
              </w:rPr>
              <w:t>Agu</w:t>
            </w:r>
          </w:p>
          <w:p>
            <w:pPr>
              <w:pStyle w:val="TableParagraph"/>
              <w:spacing w:line="189" w:lineRule="exact"/>
              <w:ind w:left="221" w:right="219"/>
              <w:jc w:val="center"/>
              <w:rPr>
                <w:b/>
                <w:sz w:val="16"/>
              </w:rPr>
            </w:pPr>
            <w:r>
              <w:rPr>
                <w:b/>
                <w:color w:val="231F20"/>
                <w:w w:val="95"/>
                <w:sz w:val="16"/>
              </w:rPr>
              <w:t>total</w:t>
            </w:r>
          </w:p>
        </w:tc>
        <w:tc>
          <w:tcPr>
            <w:tcW w:w="857" w:type="dxa"/>
          </w:tcPr>
          <w:p>
            <w:pPr>
              <w:pStyle w:val="TableParagraph"/>
              <w:spacing w:line="11" w:lineRule="exact"/>
              <w:ind w:left="17"/>
              <w:rPr>
                <w:b/>
                <w:sz w:val="16"/>
              </w:rPr>
            </w:pPr>
            <w:r>
              <w:rPr>
                <w:b/>
                <w:color w:val="231F20"/>
                <w:w w:val="85"/>
                <w:sz w:val="16"/>
              </w:rPr>
              <w:t>a</w:t>
            </w:r>
          </w:p>
          <w:p>
            <w:pPr>
              <w:pStyle w:val="TableParagraph"/>
              <w:spacing w:line="189" w:lineRule="exact"/>
              <w:ind w:left="0"/>
              <w:jc w:val="center"/>
              <w:rPr>
                <w:b/>
                <w:sz w:val="16"/>
              </w:rPr>
            </w:pPr>
            <w:r>
              <w:rPr>
                <w:b/>
                <w:color w:val="231F20"/>
                <w:w w:val="90"/>
                <w:sz w:val="16"/>
              </w:rPr>
              <w:t>%</w:t>
            </w:r>
          </w:p>
        </w:tc>
        <w:tc>
          <w:tcPr>
            <w:tcW w:w="953" w:type="dxa"/>
          </w:tcPr>
          <w:p>
            <w:pPr>
              <w:pStyle w:val="TableParagraph"/>
              <w:spacing w:line="11" w:lineRule="exact"/>
              <w:ind w:left="709" w:right="-1"/>
              <w:rPr>
                <w:b/>
                <w:sz w:val="16"/>
              </w:rPr>
            </w:pPr>
            <w:r>
              <w:rPr>
                <w:b/>
                <w:color w:val="231F20"/>
                <w:w w:val="90"/>
                <w:sz w:val="16"/>
              </w:rPr>
              <w:t>Dre</w:t>
            </w:r>
          </w:p>
          <w:p>
            <w:pPr>
              <w:pStyle w:val="TableParagraph"/>
              <w:spacing w:line="189" w:lineRule="exact"/>
              <w:ind w:left="302" w:right="300"/>
              <w:jc w:val="center"/>
              <w:rPr>
                <w:b/>
                <w:sz w:val="16"/>
              </w:rPr>
            </w:pPr>
            <w:r>
              <w:rPr>
                <w:b/>
                <w:color w:val="231F20"/>
                <w:w w:val="95"/>
                <w:sz w:val="16"/>
              </w:rPr>
              <w:t>total</w:t>
            </w:r>
          </w:p>
        </w:tc>
        <w:tc>
          <w:tcPr>
            <w:tcW w:w="926" w:type="dxa"/>
          </w:tcPr>
          <w:p>
            <w:pPr>
              <w:pStyle w:val="TableParagraph"/>
              <w:spacing w:line="11" w:lineRule="exact"/>
              <w:ind w:left="-44"/>
              <w:rPr>
                <w:b/>
                <w:sz w:val="16"/>
              </w:rPr>
            </w:pPr>
            <w:r>
              <w:rPr>
                <w:b/>
                <w:color w:val="231F20"/>
                <w:w w:val="95"/>
                <w:sz w:val="16"/>
              </w:rPr>
              <w:t>naje</w:t>
            </w:r>
          </w:p>
          <w:p>
            <w:pPr>
              <w:pStyle w:val="TableParagraph"/>
              <w:spacing w:line="189" w:lineRule="exact"/>
              <w:ind w:left="0"/>
              <w:jc w:val="center"/>
              <w:rPr>
                <w:b/>
                <w:sz w:val="16"/>
              </w:rPr>
            </w:pPr>
            <w:r>
              <w:rPr>
                <w:b/>
                <w:color w:val="231F20"/>
                <w:w w:val="90"/>
                <w:sz w:val="16"/>
              </w:rPr>
              <w:t>%</w:t>
            </w:r>
          </w:p>
        </w:tc>
        <w:tc>
          <w:tcPr>
            <w:tcW w:w="1214" w:type="dxa"/>
          </w:tcPr>
          <w:p>
            <w:pPr>
              <w:pStyle w:val="TableParagraph"/>
              <w:spacing w:line="11" w:lineRule="exact"/>
              <w:ind w:left="801" w:right="-22"/>
              <w:rPr>
                <w:b/>
                <w:sz w:val="16"/>
              </w:rPr>
            </w:pPr>
            <w:r>
              <w:rPr>
                <w:b/>
                <w:color w:val="231F20"/>
                <w:spacing w:val="2"/>
                <w:w w:val="80"/>
                <w:sz w:val="16"/>
              </w:rPr>
              <w:t>Electric</w:t>
            </w:r>
          </w:p>
          <w:p>
            <w:pPr>
              <w:pStyle w:val="TableParagraph"/>
              <w:spacing w:line="189" w:lineRule="exact"/>
              <w:ind w:left="433" w:right="431"/>
              <w:jc w:val="center"/>
              <w:rPr>
                <w:b/>
                <w:sz w:val="16"/>
              </w:rPr>
            </w:pPr>
            <w:r>
              <w:rPr>
                <w:b/>
                <w:color w:val="231F20"/>
                <w:w w:val="95"/>
                <w:sz w:val="16"/>
              </w:rPr>
              <w:t>total</w:t>
            </w:r>
          </w:p>
        </w:tc>
        <w:tc>
          <w:tcPr>
            <w:tcW w:w="1078" w:type="dxa"/>
          </w:tcPr>
          <w:p>
            <w:pPr>
              <w:pStyle w:val="TableParagraph"/>
              <w:spacing w:line="11" w:lineRule="exact"/>
              <w:ind w:left="13"/>
              <w:rPr>
                <w:b/>
                <w:sz w:val="16"/>
              </w:rPr>
            </w:pPr>
            <w:r>
              <w:rPr>
                <w:b/>
                <w:color w:val="231F20"/>
                <w:w w:val="95"/>
                <w:sz w:val="16"/>
              </w:rPr>
              <w:t>idad</w:t>
            </w:r>
          </w:p>
          <w:p>
            <w:pPr>
              <w:pStyle w:val="TableParagraph"/>
              <w:spacing w:line="189" w:lineRule="exact"/>
              <w:ind w:left="0"/>
              <w:jc w:val="center"/>
              <w:rPr>
                <w:b/>
                <w:sz w:val="16"/>
              </w:rPr>
            </w:pPr>
            <w:r>
              <w:rPr>
                <w:b/>
                <w:color w:val="231F20"/>
                <w:w w:val="90"/>
                <w:sz w:val="16"/>
              </w:rPr>
              <w:t>%</w:t>
            </w:r>
          </w:p>
        </w:tc>
      </w:tr>
      <w:tr>
        <w:trPr>
          <w:trHeight w:val="196" w:hRule="exact"/>
        </w:trPr>
        <w:tc>
          <w:tcPr>
            <w:tcW w:w="919" w:type="dxa"/>
          </w:tcPr>
          <w:p>
            <w:pPr>
              <w:pStyle w:val="TableParagraph"/>
              <w:spacing w:line="222" w:lineRule="exact"/>
              <w:ind w:left="303"/>
              <w:rPr>
                <w:sz w:val="20"/>
              </w:rPr>
            </w:pPr>
            <w:r>
              <w:rPr>
                <w:color w:val="231F20"/>
                <w:w w:val="85"/>
                <w:sz w:val="20"/>
              </w:rPr>
              <w:t>1995</w:t>
            </w:r>
          </w:p>
        </w:tc>
        <w:tc>
          <w:tcPr>
            <w:tcW w:w="1031" w:type="dxa"/>
          </w:tcPr>
          <w:p>
            <w:pPr>
              <w:pStyle w:val="TableParagraph"/>
              <w:spacing w:line="222" w:lineRule="exact"/>
              <w:ind w:left="250" w:right="250"/>
              <w:jc w:val="center"/>
              <w:rPr>
                <w:sz w:val="20"/>
              </w:rPr>
            </w:pPr>
            <w:r>
              <w:rPr>
                <w:color w:val="231F20"/>
                <w:w w:val="85"/>
                <w:sz w:val="20"/>
              </w:rPr>
              <w:t>35,483</w:t>
            </w:r>
          </w:p>
        </w:tc>
        <w:tc>
          <w:tcPr>
            <w:tcW w:w="966" w:type="dxa"/>
          </w:tcPr>
          <w:p>
            <w:pPr>
              <w:pStyle w:val="TableParagraph"/>
              <w:spacing w:line="222" w:lineRule="exact"/>
              <w:ind w:left="221" w:right="221"/>
              <w:jc w:val="center"/>
              <w:rPr>
                <w:sz w:val="20"/>
              </w:rPr>
            </w:pPr>
            <w:r>
              <w:rPr>
                <w:color w:val="231F20"/>
                <w:w w:val="85"/>
                <w:sz w:val="20"/>
              </w:rPr>
              <w:t>33,053</w:t>
            </w:r>
          </w:p>
        </w:tc>
        <w:tc>
          <w:tcPr>
            <w:tcW w:w="857" w:type="dxa"/>
          </w:tcPr>
          <w:p>
            <w:pPr>
              <w:pStyle w:val="TableParagraph"/>
              <w:spacing w:line="222" w:lineRule="exact"/>
              <w:ind w:left="209" w:right="209"/>
              <w:jc w:val="center"/>
              <w:rPr>
                <w:sz w:val="20"/>
              </w:rPr>
            </w:pPr>
            <w:r>
              <w:rPr>
                <w:color w:val="231F20"/>
                <w:w w:val="85"/>
                <w:sz w:val="20"/>
              </w:rPr>
              <w:t>93.15</w:t>
            </w:r>
          </w:p>
        </w:tc>
        <w:tc>
          <w:tcPr>
            <w:tcW w:w="953" w:type="dxa"/>
          </w:tcPr>
          <w:p>
            <w:pPr>
              <w:pStyle w:val="TableParagraph"/>
              <w:spacing w:line="222" w:lineRule="exact"/>
              <w:ind w:left="263" w:right="-1"/>
              <w:rPr>
                <w:sz w:val="20"/>
              </w:rPr>
            </w:pPr>
            <w:r>
              <w:rPr>
                <w:color w:val="231F20"/>
                <w:w w:val="85"/>
                <w:sz w:val="20"/>
              </w:rPr>
              <w:t>33,602</w:t>
            </w:r>
          </w:p>
        </w:tc>
        <w:tc>
          <w:tcPr>
            <w:tcW w:w="926" w:type="dxa"/>
          </w:tcPr>
          <w:p>
            <w:pPr>
              <w:pStyle w:val="TableParagraph"/>
              <w:spacing w:line="222" w:lineRule="exact"/>
              <w:ind w:left="243" w:right="244"/>
              <w:jc w:val="center"/>
              <w:rPr>
                <w:sz w:val="20"/>
              </w:rPr>
            </w:pPr>
            <w:r>
              <w:rPr>
                <w:color w:val="231F20"/>
                <w:w w:val="85"/>
                <w:sz w:val="20"/>
              </w:rPr>
              <w:t>94.7</w:t>
            </w:r>
          </w:p>
        </w:tc>
        <w:tc>
          <w:tcPr>
            <w:tcW w:w="1214" w:type="dxa"/>
          </w:tcPr>
          <w:p>
            <w:pPr>
              <w:pStyle w:val="TableParagraph"/>
              <w:spacing w:line="222" w:lineRule="exact"/>
              <w:ind w:left="404" w:right="-22"/>
              <w:rPr>
                <w:sz w:val="20"/>
              </w:rPr>
            </w:pPr>
            <w:r>
              <w:rPr>
                <w:color w:val="231F20"/>
                <w:w w:val="85"/>
                <w:sz w:val="20"/>
              </w:rPr>
              <w:t>35,153</w:t>
            </w:r>
          </w:p>
        </w:tc>
        <w:tc>
          <w:tcPr>
            <w:tcW w:w="1078" w:type="dxa"/>
          </w:tcPr>
          <w:p>
            <w:pPr>
              <w:pStyle w:val="TableParagraph"/>
              <w:spacing w:line="222" w:lineRule="exact"/>
              <w:ind w:left="365"/>
              <w:rPr>
                <w:sz w:val="20"/>
              </w:rPr>
            </w:pPr>
            <w:r>
              <w:rPr>
                <w:color w:val="231F20"/>
                <w:w w:val="85"/>
                <w:sz w:val="20"/>
              </w:rPr>
              <w:t>99.07</w:t>
            </w:r>
          </w:p>
        </w:tc>
      </w:tr>
      <w:tr>
        <w:trPr>
          <w:trHeight w:val="160" w:hRule="exact"/>
        </w:trPr>
        <w:tc>
          <w:tcPr>
            <w:tcW w:w="919" w:type="dxa"/>
          </w:tcPr>
          <w:p>
            <w:pPr>
              <w:pStyle w:val="TableParagraph"/>
              <w:spacing w:line="190" w:lineRule="exact"/>
              <w:ind w:left="298"/>
              <w:rPr>
                <w:sz w:val="20"/>
              </w:rPr>
            </w:pPr>
            <w:r>
              <w:rPr>
                <w:color w:val="231F20"/>
                <w:w w:val="85"/>
                <w:sz w:val="20"/>
              </w:rPr>
              <w:t>2000</w:t>
            </w:r>
          </w:p>
        </w:tc>
        <w:tc>
          <w:tcPr>
            <w:tcW w:w="1031" w:type="dxa"/>
          </w:tcPr>
          <w:p>
            <w:pPr>
              <w:pStyle w:val="TableParagraph"/>
              <w:spacing w:line="190" w:lineRule="exact"/>
              <w:ind w:left="250" w:right="250"/>
              <w:jc w:val="center"/>
              <w:rPr>
                <w:sz w:val="20"/>
              </w:rPr>
            </w:pPr>
            <w:r>
              <w:rPr>
                <w:color w:val="231F20"/>
                <w:w w:val="85"/>
                <w:sz w:val="20"/>
              </w:rPr>
              <w:t>42,684</w:t>
            </w:r>
          </w:p>
        </w:tc>
        <w:tc>
          <w:tcPr>
            <w:tcW w:w="966" w:type="dxa"/>
          </w:tcPr>
          <w:p>
            <w:pPr>
              <w:pStyle w:val="TableParagraph"/>
              <w:spacing w:line="190" w:lineRule="exact"/>
              <w:ind w:left="220" w:right="221"/>
              <w:jc w:val="center"/>
              <w:rPr>
                <w:sz w:val="20"/>
              </w:rPr>
            </w:pPr>
            <w:r>
              <w:rPr>
                <w:color w:val="231F20"/>
                <w:w w:val="85"/>
                <w:sz w:val="20"/>
              </w:rPr>
              <w:t>36,855</w:t>
            </w:r>
          </w:p>
        </w:tc>
        <w:tc>
          <w:tcPr>
            <w:tcW w:w="857" w:type="dxa"/>
          </w:tcPr>
          <w:p>
            <w:pPr>
              <w:pStyle w:val="TableParagraph"/>
              <w:spacing w:line="190" w:lineRule="exact"/>
              <w:ind w:left="209" w:right="209"/>
              <w:jc w:val="center"/>
              <w:rPr>
                <w:sz w:val="20"/>
              </w:rPr>
            </w:pPr>
            <w:r>
              <w:rPr>
                <w:color w:val="231F20"/>
                <w:w w:val="85"/>
                <w:sz w:val="20"/>
              </w:rPr>
              <w:t>86.34</w:t>
            </w:r>
          </w:p>
        </w:tc>
        <w:tc>
          <w:tcPr>
            <w:tcW w:w="953" w:type="dxa"/>
          </w:tcPr>
          <w:p>
            <w:pPr>
              <w:pStyle w:val="TableParagraph"/>
              <w:spacing w:line="190" w:lineRule="exact"/>
              <w:ind w:left="278" w:right="-1"/>
              <w:rPr>
                <w:sz w:val="20"/>
              </w:rPr>
            </w:pPr>
            <w:r>
              <w:rPr>
                <w:color w:val="231F20"/>
                <w:w w:val="85"/>
                <w:sz w:val="20"/>
              </w:rPr>
              <w:t>37,311</w:t>
            </w:r>
          </w:p>
        </w:tc>
        <w:tc>
          <w:tcPr>
            <w:tcW w:w="926" w:type="dxa"/>
          </w:tcPr>
          <w:p>
            <w:pPr>
              <w:pStyle w:val="TableParagraph"/>
              <w:spacing w:line="190" w:lineRule="exact"/>
              <w:ind w:left="244" w:right="244"/>
              <w:jc w:val="center"/>
              <w:rPr>
                <w:sz w:val="20"/>
              </w:rPr>
            </w:pPr>
            <w:r>
              <w:rPr>
                <w:color w:val="231F20"/>
                <w:w w:val="85"/>
                <w:sz w:val="20"/>
              </w:rPr>
              <w:t>87.41</w:t>
            </w:r>
          </w:p>
        </w:tc>
        <w:tc>
          <w:tcPr>
            <w:tcW w:w="1214" w:type="dxa"/>
          </w:tcPr>
          <w:p>
            <w:pPr>
              <w:pStyle w:val="TableParagraph"/>
              <w:spacing w:line="190" w:lineRule="exact"/>
              <w:ind w:left="392" w:right="-22"/>
              <w:rPr>
                <w:sz w:val="20"/>
              </w:rPr>
            </w:pPr>
            <w:r>
              <w:rPr>
                <w:color w:val="231F20"/>
                <w:w w:val="85"/>
                <w:sz w:val="20"/>
              </w:rPr>
              <w:t>40,027</w:t>
            </w:r>
          </w:p>
        </w:tc>
        <w:tc>
          <w:tcPr>
            <w:tcW w:w="1078" w:type="dxa"/>
          </w:tcPr>
          <w:p>
            <w:pPr>
              <w:pStyle w:val="TableParagraph"/>
              <w:spacing w:line="190" w:lineRule="exact"/>
              <w:ind w:left="366"/>
              <w:rPr>
                <w:sz w:val="20"/>
              </w:rPr>
            </w:pPr>
            <w:r>
              <w:rPr>
                <w:color w:val="231F20"/>
                <w:w w:val="85"/>
                <w:sz w:val="20"/>
              </w:rPr>
              <w:t>93.78</w:t>
            </w:r>
          </w:p>
        </w:tc>
      </w:tr>
      <w:tr>
        <w:trPr>
          <w:trHeight w:val="160" w:hRule="exact"/>
        </w:trPr>
        <w:tc>
          <w:tcPr>
            <w:tcW w:w="919" w:type="dxa"/>
          </w:tcPr>
          <w:p>
            <w:pPr>
              <w:pStyle w:val="TableParagraph"/>
              <w:spacing w:line="190" w:lineRule="exact"/>
              <w:ind w:left="300"/>
              <w:rPr>
                <w:sz w:val="20"/>
              </w:rPr>
            </w:pPr>
            <w:r>
              <w:rPr>
                <w:color w:val="231F20"/>
                <w:w w:val="85"/>
                <w:sz w:val="20"/>
              </w:rPr>
              <w:t>2005</w:t>
            </w:r>
          </w:p>
        </w:tc>
        <w:tc>
          <w:tcPr>
            <w:tcW w:w="1031" w:type="dxa"/>
          </w:tcPr>
          <w:p>
            <w:pPr>
              <w:pStyle w:val="TableParagraph"/>
              <w:spacing w:line="190" w:lineRule="exact"/>
              <w:ind w:left="247" w:right="253"/>
              <w:jc w:val="center"/>
              <w:rPr>
                <w:sz w:val="20"/>
              </w:rPr>
            </w:pPr>
            <w:r>
              <w:rPr>
                <w:color w:val="231F20"/>
                <w:w w:val="85"/>
                <w:sz w:val="20"/>
              </w:rPr>
              <w:t>53,274</w:t>
            </w:r>
          </w:p>
        </w:tc>
        <w:tc>
          <w:tcPr>
            <w:tcW w:w="966" w:type="dxa"/>
          </w:tcPr>
          <w:p>
            <w:pPr>
              <w:pStyle w:val="TableParagraph"/>
              <w:spacing w:line="190" w:lineRule="exact"/>
              <w:ind w:left="221" w:right="221"/>
              <w:jc w:val="center"/>
              <w:rPr>
                <w:sz w:val="20"/>
              </w:rPr>
            </w:pPr>
            <w:r>
              <w:rPr>
                <w:color w:val="231F20"/>
                <w:w w:val="85"/>
                <w:sz w:val="20"/>
              </w:rPr>
              <w:t>44,351</w:t>
            </w:r>
          </w:p>
        </w:tc>
        <w:tc>
          <w:tcPr>
            <w:tcW w:w="857" w:type="dxa"/>
          </w:tcPr>
          <w:p>
            <w:pPr>
              <w:pStyle w:val="TableParagraph"/>
              <w:spacing w:line="190" w:lineRule="exact"/>
              <w:ind w:left="209" w:right="209"/>
              <w:jc w:val="center"/>
              <w:rPr>
                <w:sz w:val="20"/>
              </w:rPr>
            </w:pPr>
            <w:r>
              <w:rPr>
                <w:color w:val="231F20"/>
                <w:w w:val="85"/>
                <w:sz w:val="20"/>
              </w:rPr>
              <w:t>83.25</w:t>
            </w:r>
          </w:p>
        </w:tc>
        <w:tc>
          <w:tcPr>
            <w:tcW w:w="953" w:type="dxa"/>
          </w:tcPr>
          <w:p>
            <w:pPr>
              <w:pStyle w:val="TableParagraph"/>
              <w:spacing w:line="190" w:lineRule="exact"/>
              <w:ind w:left="259" w:right="-1"/>
              <w:rPr>
                <w:sz w:val="20"/>
              </w:rPr>
            </w:pPr>
            <w:r>
              <w:rPr>
                <w:color w:val="231F20"/>
                <w:w w:val="85"/>
                <w:sz w:val="20"/>
              </w:rPr>
              <w:t>46,573</w:t>
            </w:r>
          </w:p>
        </w:tc>
        <w:tc>
          <w:tcPr>
            <w:tcW w:w="926" w:type="dxa"/>
          </w:tcPr>
          <w:p>
            <w:pPr>
              <w:pStyle w:val="TableParagraph"/>
              <w:spacing w:line="190" w:lineRule="exact"/>
              <w:ind w:left="244" w:right="244"/>
              <w:jc w:val="center"/>
              <w:rPr>
                <w:sz w:val="20"/>
              </w:rPr>
            </w:pPr>
            <w:r>
              <w:rPr>
                <w:color w:val="231F20"/>
                <w:w w:val="85"/>
                <w:sz w:val="20"/>
              </w:rPr>
              <w:t>87.42</w:t>
            </w:r>
          </w:p>
        </w:tc>
        <w:tc>
          <w:tcPr>
            <w:tcW w:w="1214" w:type="dxa"/>
          </w:tcPr>
          <w:p>
            <w:pPr>
              <w:pStyle w:val="TableParagraph"/>
              <w:spacing w:line="190" w:lineRule="exact"/>
              <w:ind w:left="401" w:right="-22"/>
              <w:rPr>
                <w:sz w:val="20"/>
              </w:rPr>
            </w:pPr>
            <w:r>
              <w:rPr>
                <w:color w:val="231F20"/>
                <w:w w:val="85"/>
                <w:sz w:val="20"/>
              </w:rPr>
              <w:t>47,878</w:t>
            </w:r>
          </w:p>
        </w:tc>
        <w:tc>
          <w:tcPr>
            <w:tcW w:w="1078" w:type="dxa"/>
          </w:tcPr>
          <w:p>
            <w:pPr>
              <w:pStyle w:val="TableParagraph"/>
              <w:spacing w:line="190" w:lineRule="exact"/>
              <w:ind w:left="364"/>
              <w:rPr>
                <w:sz w:val="20"/>
              </w:rPr>
            </w:pPr>
            <w:r>
              <w:rPr>
                <w:color w:val="231F20"/>
                <w:w w:val="85"/>
                <w:sz w:val="20"/>
              </w:rPr>
              <w:t>89.87</w:t>
            </w:r>
          </w:p>
        </w:tc>
      </w:tr>
    </w:tbl>
    <w:p>
      <w:pPr>
        <w:spacing w:before="78"/>
        <w:ind w:left="5015" w:right="57" w:firstLine="0"/>
        <w:jc w:val="left"/>
        <w:rPr>
          <w:rFonts w:ascii="Calibri"/>
          <w:sz w:val="16"/>
        </w:rPr>
      </w:pPr>
      <w:r>
        <w:rPr>
          <w:rFonts w:ascii="Calibri"/>
          <w:color w:val="231F20"/>
          <w:w w:val="95"/>
          <w:sz w:val="16"/>
        </w:rPr>
        <w:t>Fuente: (INEGI, 2005a), (HUIXQUILUCAN, 2006a).</w:t>
      </w:r>
    </w:p>
    <w:p>
      <w:pPr>
        <w:pStyle w:val="BodyText"/>
        <w:rPr>
          <w:rFonts w:ascii="Calibri"/>
          <w:sz w:val="16"/>
        </w:rPr>
      </w:pPr>
    </w:p>
    <w:p>
      <w:pPr>
        <w:pStyle w:val="BodyText"/>
        <w:spacing w:before="9"/>
        <w:rPr>
          <w:rFonts w:ascii="Calibri"/>
          <w:sz w:val="12"/>
        </w:rPr>
      </w:pPr>
    </w:p>
    <w:p>
      <w:pPr>
        <w:pStyle w:val="BodyText"/>
        <w:spacing w:line="285" w:lineRule="auto" w:before="1"/>
        <w:ind w:left="110" w:right="128"/>
        <w:jc w:val="both"/>
      </w:pPr>
      <w:r>
        <w:rPr>
          <w:color w:val="231F20"/>
          <w:spacing w:val="3"/>
          <w:w w:val="105"/>
        </w:rPr>
        <w:t>Al</w:t>
      </w:r>
      <w:r>
        <w:rPr>
          <w:color w:val="231F20"/>
          <w:spacing w:val="-13"/>
          <w:w w:val="105"/>
        </w:rPr>
        <w:t> </w:t>
      </w:r>
      <w:r>
        <w:rPr>
          <w:color w:val="231F20"/>
          <w:spacing w:val="2"/>
          <w:w w:val="105"/>
        </w:rPr>
        <w:t>final</w:t>
      </w:r>
      <w:r>
        <w:rPr>
          <w:color w:val="231F20"/>
          <w:spacing w:val="-13"/>
          <w:w w:val="105"/>
        </w:rPr>
        <w:t> </w:t>
      </w:r>
      <w:r>
        <w:rPr>
          <w:color w:val="231F20"/>
          <w:w w:val="105"/>
        </w:rPr>
        <w:t>parece</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infraestructura</w:t>
      </w:r>
      <w:r>
        <w:rPr>
          <w:color w:val="231F20"/>
          <w:spacing w:val="-13"/>
          <w:w w:val="105"/>
        </w:rPr>
        <w:t> </w:t>
      </w:r>
      <w:r>
        <w:rPr>
          <w:color w:val="231F20"/>
          <w:w w:val="105"/>
        </w:rPr>
        <w:t>existente</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prestación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servicios</w:t>
      </w:r>
      <w:r>
        <w:rPr>
          <w:color w:val="231F20"/>
          <w:spacing w:val="-13"/>
          <w:w w:val="105"/>
        </w:rPr>
        <w:t> </w:t>
      </w:r>
      <w:r>
        <w:rPr>
          <w:color w:val="231F20"/>
          <w:w w:val="105"/>
        </w:rPr>
        <w:t>públi- cos en los rubros del agua, drenaje y alcantarillado y energía eléctrica quedó rezagada ante</w:t>
      </w:r>
      <w:r>
        <w:rPr>
          <w:color w:val="231F20"/>
          <w:spacing w:val="-14"/>
          <w:w w:val="105"/>
        </w:rPr>
        <w:t> </w:t>
      </w:r>
      <w:r>
        <w:rPr>
          <w:color w:val="231F20"/>
          <w:w w:val="105"/>
        </w:rPr>
        <w:t>la</w:t>
      </w:r>
      <w:r>
        <w:rPr>
          <w:color w:val="231F20"/>
          <w:spacing w:val="-14"/>
          <w:w w:val="105"/>
        </w:rPr>
        <w:t> </w:t>
      </w:r>
      <w:r>
        <w:rPr>
          <w:color w:val="231F20"/>
          <w:w w:val="105"/>
        </w:rPr>
        <w:t>creciente</w:t>
      </w:r>
      <w:r>
        <w:rPr>
          <w:color w:val="231F20"/>
          <w:spacing w:val="-14"/>
          <w:w w:val="105"/>
        </w:rPr>
        <w:t> </w:t>
      </w:r>
      <w:r>
        <w:rPr>
          <w:color w:val="231F20"/>
          <w:w w:val="105"/>
        </w:rPr>
        <w:t>demanda</w:t>
      </w:r>
      <w:r>
        <w:rPr>
          <w:color w:val="231F20"/>
          <w:spacing w:val="-14"/>
          <w:w w:val="105"/>
        </w:rPr>
        <w:t> </w:t>
      </w:r>
      <w:r>
        <w:rPr>
          <w:color w:val="231F20"/>
          <w:w w:val="105"/>
        </w:rPr>
        <w:t>proveniente</w:t>
      </w:r>
      <w:r>
        <w:rPr>
          <w:color w:val="231F20"/>
          <w:spacing w:val="-14"/>
          <w:w w:val="105"/>
        </w:rPr>
        <w:t> </w:t>
      </w:r>
      <w:r>
        <w:rPr>
          <w:color w:val="231F20"/>
          <w:w w:val="105"/>
        </w:rPr>
        <w:t>del</w:t>
      </w:r>
      <w:r>
        <w:rPr>
          <w:color w:val="231F20"/>
          <w:spacing w:val="-14"/>
          <w:w w:val="105"/>
        </w:rPr>
        <w:t> </w:t>
      </w:r>
      <w:r>
        <w:rPr>
          <w:color w:val="231F20"/>
          <w:w w:val="105"/>
        </w:rPr>
        <w:t>aumento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creación</w:t>
      </w:r>
      <w:r>
        <w:rPr>
          <w:color w:val="231F20"/>
          <w:spacing w:val="-14"/>
          <w:w w:val="105"/>
        </w:rPr>
        <w:t> </w:t>
      </w:r>
      <w:r>
        <w:rPr>
          <w:color w:val="231F20"/>
          <w:w w:val="105"/>
        </w:rPr>
        <w:t>de</w:t>
      </w:r>
      <w:r>
        <w:rPr>
          <w:color w:val="231F20"/>
          <w:spacing w:val="-14"/>
          <w:w w:val="105"/>
        </w:rPr>
        <w:t> </w:t>
      </w:r>
      <w:r>
        <w:rPr>
          <w:color w:val="231F20"/>
          <w:w w:val="105"/>
        </w:rPr>
        <w:t>viviendas</w:t>
      </w:r>
      <w:r>
        <w:rPr>
          <w:color w:val="231F20"/>
          <w:spacing w:val="-14"/>
          <w:w w:val="105"/>
        </w:rPr>
        <w:t> </w:t>
      </w:r>
      <w:r>
        <w:rPr>
          <w:color w:val="231F20"/>
          <w:w w:val="105"/>
        </w:rPr>
        <w:t>nuevas.</w:t>
      </w:r>
    </w:p>
    <w:p>
      <w:pPr>
        <w:pStyle w:val="BodyText"/>
        <w:spacing w:before="1"/>
        <w:rPr>
          <w:sz w:val="26"/>
        </w:rPr>
      </w:pPr>
    </w:p>
    <w:p>
      <w:pPr>
        <w:pStyle w:val="BodyText"/>
        <w:spacing w:line="285" w:lineRule="auto"/>
        <w:ind w:left="110" w:right="127"/>
        <w:jc w:val="both"/>
      </w:pPr>
      <w:r>
        <w:rPr>
          <w:color w:val="231F20"/>
          <w:spacing w:val="-3"/>
          <w:w w:val="105"/>
        </w:rPr>
        <w:t>Por</w:t>
      </w:r>
      <w:r>
        <w:rPr>
          <w:color w:val="231F20"/>
          <w:spacing w:val="-9"/>
          <w:w w:val="105"/>
        </w:rPr>
        <w:t> </w:t>
      </w:r>
      <w:r>
        <w:rPr>
          <w:color w:val="231F20"/>
          <w:w w:val="105"/>
        </w:rPr>
        <w:t>otra</w:t>
      </w:r>
      <w:r>
        <w:rPr>
          <w:color w:val="231F20"/>
          <w:spacing w:val="-9"/>
          <w:w w:val="105"/>
        </w:rPr>
        <w:t> </w:t>
      </w:r>
      <w:r>
        <w:rPr>
          <w:color w:val="231F20"/>
          <w:w w:val="105"/>
        </w:rPr>
        <w:t>parte,</w:t>
      </w:r>
      <w:r>
        <w:rPr>
          <w:color w:val="231F20"/>
          <w:spacing w:val="-9"/>
          <w:w w:val="105"/>
        </w:rPr>
        <w:t> </w:t>
      </w:r>
      <w:r>
        <w:rPr>
          <w:color w:val="231F20"/>
          <w:w w:val="105"/>
        </w:rPr>
        <w:t>el</w:t>
      </w:r>
      <w:r>
        <w:rPr>
          <w:color w:val="231F20"/>
          <w:spacing w:val="-9"/>
          <w:w w:val="105"/>
        </w:rPr>
        <w:t> </w:t>
      </w:r>
      <w:r>
        <w:rPr>
          <w:color w:val="231F20"/>
          <w:w w:val="105"/>
        </w:rPr>
        <w:t>nivel</w:t>
      </w:r>
      <w:r>
        <w:rPr>
          <w:color w:val="231F20"/>
          <w:spacing w:val="-9"/>
          <w:w w:val="105"/>
        </w:rPr>
        <w:t> </w:t>
      </w:r>
      <w:r>
        <w:rPr>
          <w:color w:val="231F20"/>
          <w:w w:val="105"/>
        </w:rPr>
        <w:t>de</w:t>
      </w:r>
      <w:r>
        <w:rPr>
          <w:color w:val="231F20"/>
          <w:spacing w:val="-9"/>
          <w:w w:val="105"/>
        </w:rPr>
        <w:t> </w:t>
      </w:r>
      <w:r>
        <w:rPr>
          <w:color w:val="231F20"/>
          <w:w w:val="105"/>
        </w:rPr>
        <w:t>analfabetismo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habitantes</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manteni- do</w:t>
      </w:r>
      <w:r>
        <w:rPr>
          <w:color w:val="231F20"/>
          <w:spacing w:val="-24"/>
          <w:w w:val="105"/>
        </w:rPr>
        <w:t> </w:t>
      </w:r>
      <w:r>
        <w:rPr>
          <w:color w:val="231F20"/>
          <w:w w:val="105"/>
        </w:rPr>
        <w:t>por</w:t>
      </w:r>
      <w:r>
        <w:rPr>
          <w:color w:val="231F20"/>
          <w:spacing w:val="-24"/>
          <w:w w:val="105"/>
        </w:rPr>
        <w:t> </w:t>
      </w:r>
      <w:r>
        <w:rPr>
          <w:color w:val="231F20"/>
          <w:w w:val="105"/>
        </w:rPr>
        <w:t>debajo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media</w:t>
      </w:r>
      <w:r>
        <w:rPr>
          <w:color w:val="231F20"/>
          <w:spacing w:val="-24"/>
          <w:w w:val="105"/>
        </w:rPr>
        <w:t> </w:t>
      </w:r>
      <w:r>
        <w:rPr>
          <w:color w:val="231F20"/>
          <w:w w:val="105"/>
        </w:rPr>
        <w:t>estatal,</w:t>
      </w:r>
      <w:r>
        <w:rPr>
          <w:color w:val="231F20"/>
          <w:spacing w:val="-24"/>
          <w:w w:val="105"/>
        </w:rPr>
        <w:t> </w:t>
      </w:r>
      <w:r>
        <w:rPr>
          <w:color w:val="231F20"/>
          <w:w w:val="105"/>
        </w:rPr>
        <w:t>sólo</w:t>
      </w:r>
      <w:r>
        <w:rPr>
          <w:color w:val="231F20"/>
          <w:spacing w:val="-24"/>
          <w:w w:val="105"/>
        </w:rPr>
        <w:t> </w:t>
      </w:r>
      <w:r>
        <w:rPr>
          <w:color w:val="231F20"/>
          <w:w w:val="105"/>
        </w:rPr>
        <w:t>el</w:t>
      </w:r>
      <w:r>
        <w:rPr>
          <w:color w:val="231F20"/>
          <w:spacing w:val="-24"/>
          <w:w w:val="105"/>
        </w:rPr>
        <w:t> </w:t>
      </w:r>
      <w:r>
        <w:rPr>
          <w:color w:val="231F20"/>
          <w:w w:val="105"/>
        </w:rPr>
        <w:t>3.80%</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población</w:t>
      </w:r>
      <w:r>
        <w:rPr>
          <w:color w:val="231F20"/>
          <w:spacing w:val="-24"/>
          <w:w w:val="105"/>
        </w:rPr>
        <w:t> </w:t>
      </w:r>
      <w:r>
        <w:rPr>
          <w:color w:val="231F20"/>
          <w:w w:val="105"/>
        </w:rPr>
        <w:t>mayor</w:t>
      </w:r>
      <w:r>
        <w:rPr>
          <w:color w:val="231F20"/>
          <w:spacing w:val="-24"/>
          <w:w w:val="105"/>
        </w:rPr>
        <w:t> </w:t>
      </w:r>
      <w:r>
        <w:rPr>
          <w:color w:val="231F20"/>
          <w:w w:val="105"/>
        </w:rPr>
        <w:t>de</w:t>
      </w:r>
      <w:r>
        <w:rPr>
          <w:color w:val="231F20"/>
          <w:spacing w:val="-24"/>
          <w:w w:val="105"/>
        </w:rPr>
        <w:t> </w:t>
      </w:r>
      <w:r>
        <w:rPr>
          <w:color w:val="231F20"/>
          <w:w w:val="105"/>
        </w:rPr>
        <w:t>15</w:t>
      </w:r>
      <w:r>
        <w:rPr>
          <w:color w:val="231F20"/>
          <w:spacing w:val="-24"/>
          <w:w w:val="105"/>
        </w:rPr>
        <w:t> </w:t>
      </w:r>
      <w:r>
        <w:rPr>
          <w:color w:val="231F20"/>
          <w:w w:val="105"/>
        </w:rPr>
        <w:t>años</w:t>
      </w:r>
      <w:r>
        <w:rPr>
          <w:color w:val="231F20"/>
          <w:spacing w:val="-24"/>
          <w:w w:val="105"/>
        </w:rPr>
        <w:t> </w:t>
      </w:r>
      <w:r>
        <w:rPr>
          <w:color w:val="231F20"/>
          <w:w w:val="105"/>
        </w:rPr>
        <w:t>no</w:t>
      </w:r>
      <w:r>
        <w:rPr>
          <w:color w:val="231F20"/>
          <w:spacing w:val="-24"/>
          <w:w w:val="105"/>
        </w:rPr>
        <w:t> </w:t>
      </w:r>
      <w:r>
        <w:rPr>
          <w:color w:val="231F20"/>
          <w:w w:val="105"/>
        </w:rPr>
        <w:t>sabe leer</w:t>
      </w:r>
      <w:r>
        <w:rPr>
          <w:color w:val="231F20"/>
          <w:spacing w:val="-20"/>
          <w:w w:val="105"/>
        </w:rPr>
        <w:t> </w:t>
      </w:r>
      <w:r>
        <w:rPr>
          <w:color w:val="231F20"/>
          <w:w w:val="105"/>
        </w:rPr>
        <w:t>ni</w:t>
      </w:r>
      <w:r>
        <w:rPr>
          <w:color w:val="231F20"/>
          <w:spacing w:val="-20"/>
          <w:w w:val="105"/>
        </w:rPr>
        <w:t> </w:t>
      </w:r>
      <w:r>
        <w:rPr>
          <w:color w:val="231F20"/>
          <w:w w:val="105"/>
        </w:rPr>
        <w:t>escribir,</w:t>
      </w:r>
      <w:r>
        <w:rPr>
          <w:color w:val="231F20"/>
          <w:spacing w:val="-20"/>
          <w:w w:val="105"/>
        </w:rPr>
        <w:t> </w:t>
      </w:r>
      <w:r>
        <w:rPr>
          <w:color w:val="231F20"/>
          <w:w w:val="105"/>
        </w:rPr>
        <w:t>frente</w:t>
      </w:r>
      <w:r>
        <w:rPr>
          <w:color w:val="231F20"/>
          <w:spacing w:val="-20"/>
          <w:w w:val="105"/>
        </w:rPr>
        <w:t> </w:t>
      </w:r>
      <w:r>
        <w:rPr>
          <w:color w:val="231F20"/>
          <w:spacing w:val="2"/>
          <w:w w:val="105"/>
        </w:rPr>
        <w:t>al</w:t>
      </w:r>
      <w:r>
        <w:rPr>
          <w:color w:val="231F20"/>
          <w:spacing w:val="-20"/>
          <w:w w:val="105"/>
        </w:rPr>
        <w:t> </w:t>
      </w:r>
      <w:r>
        <w:rPr>
          <w:color w:val="231F20"/>
          <w:w w:val="105"/>
        </w:rPr>
        <w:t>5.32%</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habitantes</w:t>
      </w:r>
      <w:r>
        <w:rPr>
          <w:color w:val="231F20"/>
          <w:spacing w:val="-20"/>
          <w:w w:val="105"/>
        </w:rPr>
        <w:t> </w:t>
      </w:r>
      <w:r>
        <w:rPr>
          <w:color w:val="231F20"/>
          <w:w w:val="105"/>
        </w:rPr>
        <w:t>agregados</w:t>
      </w:r>
      <w:r>
        <w:rPr>
          <w:color w:val="231F20"/>
          <w:spacing w:val="-20"/>
          <w:w w:val="105"/>
        </w:rPr>
        <w:t> </w:t>
      </w:r>
      <w:r>
        <w:rPr>
          <w:color w:val="231F20"/>
          <w:w w:val="105"/>
        </w:rPr>
        <w:t>a</w:t>
      </w:r>
      <w:r>
        <w:rPr>
          <w:color w:val="231F20"/>
          <w:spacing w:val="-20"/>
          <w:w w:val="105"/>
        </w:rPr>
        <w:t> </w:t>
      </w:r>
      <w:r>
        <w:rPr>
          <w:color w:val="231F20"/>
          <w:w w:val="105"/>
        </w:rPr>
        <w:t>nivel</w:t>
      </w:r>
      <w:r>
        <w:rPr>
          <w:color w:val="231F20"/>
          <w:spacing w:val="-20"/>
          <w:w w:val="105"/>
        </w:rPr>
        <w:t> </w:t>
      </w:r>
      <w:r>
        <w:rPr>
          <w:color w:val="231F20"/>
          <w:w w:val="105"/>
        </w:rPr>
        <w:t>estatal.</w:t>
      </w:r>
    </w:p>
    <w:p>
      <w:pPr>
        <w:pStyle w:val="BodyText"/>
        <w:spacing w:before="1"/>
        <w:rPr>
          <w:sz w:val="26"/>
        </w:rPr>
      </w:pPr>
    </w:p>
    <w:p>
      <w:pPr>
        <w:pStyle w:val="BodyText"/>
        <w:spacing w:line="285" w:lineRule="auto"/>
        <w:ind w:left="110" w:right="128"/>
        <w:jc w:val="both"/>
      </w:pPr>
      <w:r>
        <w:rPr>
          <w:color w:val="231F20"/>
        </w:rPr>
        <w:t>La escolaridad promedio registrada en el territorio municipal fue de </w:t>
      </w:r>
      <w:r>
        <w:rPr>
          <w:color w:val="231F20"/>
          <w:spacing w:val="-4"/>
        </w:rPr>
        <w:t>9.51 </w:t>
      </w:r>
      <w:r>
        <w:rPr>
          <w:color w:val="231F20"/>
        </w:rPr>
        <w:t>años y se ubi- caría por encima de la media estatal de los 8.41 años (INEGI, 2005a). De la población al- fabeta del municipio los hombres registraron un promedio de </w:t>
      </w:r>
      <w:r>
        <w:rPr>
          <w:color w:val="231F20"/>
          <w:spacing w:val="-4"/>
        </w:rPr>
        <w:t>9.95 </w:t>
      </w:r>
      <w:r>
        <w:rPr>
          <w:color w:val="231F20"/>
        </w:rPr>
        <w:t>años de escolaridad, por encima de las mujeres que alcanzaron la media de </w:t>
      </w:r>
      <w:r>
        <w:rPr>
          <w:color w:val="231F20"/>
          <w:spacing w:val="-5"/>
        </w:rPr>
        <w:t>9.13 </w:t>
      </w:r>
      <w:r>
        <w:rPr>
          <w:color w:val="231F20"/>
        </w:rPr>
        <w:t>(tabla  </w:t>
      </w:r>
      <w:r>
        <w:rPr>
          <w:color w:val="231F20"/>
          <w:spacing w:val="38"/>
        </w:rPr>
        <w:t> </w:t>
      </w:r>
      <w:r>
        <w:rPr>
          <w:color w:val="231F20"/>
          <w:spacing w:val="-5"/>
        </w:rPr>
        <w:t>3).</w:t>
      </w:r>
    </w:p>
    <w:p>
      <w:pPr>
        <w:spacing w:after="0" w:line="285" w:lineRule="auto"/>
        <w:jc w:val="both"/>
        <w:sectPr>
          <w:pgSz w:w="9640" w:h="12190"/>
          <w:pgMar w:header="0" w:footer="743" w:top="1120" w:bottom="940" w:left="740" w:right="720"/>
        </w:sectPr>
      </w:pPr>
    </w:p>
    <w:p>
      <w:pPr>
        <w:pStyle w:val="Heading5"/>
        <w:spacing w:line="285" w:lineRule="auto" w:before="27"/>
        <w:ind w:left="3256" w:hanging="2659"/>
      </w:pPr>
      <w:r>
        <w:rPr>
          <w:color w:val="231F20"/>
          <w:spacing w:val="-4"/>
          <w:w w:val="105"/>
        </w:rPr>
        <w:t>Tabla</w:t>
      </w:r>
      <w:r>
        <w:rPr>
          <w:color w:val="231F20"/>
          <w:spacing w:val="-20"/>
          <w:w w:val="105"/>
        </w:rPr>
        <w:t> </w:t>
      </w:r>
      <w:r>
        <w:rPr>
          <w:color w:val="231F20"/>
          <w:w w:val="105"/>
        </w:rPr>
        <w:t>3.</w:t>
      </w:r>
      <w:r>
        <w:rPr>
          <w:color w:val="231F20"/>
          <w:spacing w:val="-20"/>
          <w:w w:val="105"/>
        </w:rPr>
        <w:t> </w:t>
      </w:r>
      <w:r>
        <w:rPr>
          <w:color w:val="231F20"/>
          <w:w w:val="105"/>
        </w:rPr>
        <w:t>Grado</w:t>
      </w:r>
      <w:r>
        <w:rPr>
          <w:color w:val="231F20"/>
          <w:spacing w:val="-20"/>
          <w:w w:val="105"/>
        </w:rPr>
        <w:t> </w:t>
      </w:r>
      <w:r>
        <w:rPr>
          <w:color w:val="231F20"/>
          <w:w w:val="105"/>
        </w:rPr>
        <w:t>de</w:t>
      </w:r>
      <w:r>
        <w:rPr>
          <w:color w:val="231F20"/>
          <w:spacing w:val="-20"/>
          <w:w w:val="105"/>
        </w:rPr>
        <w:t> </w:t>
      </w:r>
      <w:r>
        <w:rPr>
          <w:color w:val="231F20"/>
          <w:w w:val="105"/>
        </w:rPr>
        <w:t>Escolaridad</w:t>
      </w:r>
      <w:r>
        <w:rPr>
          <w:color w:val="231F20"/>
          <w:spacing w:val="-20"/>
          <w:w w:val="105"/>
        </w:rPr>
        <w:t> </w:t>
      </w:r>
      <w:r>
        <w:rPr>
          <w:color w:val="231F20"/>
          <w:w w:val="105"/>
        </w:rPr>
        <w:t>Promedio</w:t>
      </w:r>
      <w:r>
        <w:rPr>
          <w:color w:val="231F20"/>
          <w:spacing w:val="-20"/>
          <w:w w:val="105"/>
        </w:rPr>
        <w:t> </w:t>
      </w:r>
      <w:r>
        <w:rPr>
          <w:color w:val="231F20"/>
          <w:w w:val="105"/>
        </w:rPr>
        <w:t>en</w:t>
      </w:r>
      <w:r>
        <w:rPr>
          <w:color w:val="231F20"/>
          <w:spacing w:val="-20"/>
          <w:w w:val="105"/>
        </w:rPr>
        <w:t> </w:t>
      </w:r>
      <w:r>
        <w:rPr>
          <w:color w:val="231F20"/>
          <w:w w:val="105"/>
        </w:rPr>
        <w:t>Huixquilucan</w:t>
      </w:r>
      <w:r>
        <w:rPr>
          <w:color w:val="231F20"/>
          <w:spacing w:val="-20"/>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Estado de México,</w:t>
      </w:r>
      <w:r>
        <w:rPr>
          <w:color w:val="231F20"/>
          <w:spacing w:val="-5"/>
          <w:w w:val="105"/>
        </w:rPr>
        <w:t> </w:t>
      </w:r>
      <w:r>
        <w:rPr>
          <w:color w:val="231F20"/>
          <w:w w:val="105"/>
        </w:rPr>
        <w:t>2005.</w:t>
      </w:r>
    </w:p>
    <w:p>
      <w:pPr>
        <w:pStyle w:val="BodyText"/>
        <w:rPr>
          <w:b/>
          <w:sz w:val="20"/>
        </w:rPr>
      </w:pPr>
    </w:p>
    <w:p>
      <w:pPr>
        <w:pStyle w:val="BodyText"/>
        <w:spacing w:before="10"/>
        <w:rPr>
          <w:b/>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20"/>
        <w:gridCol w:w="2016"/>
        <w:gridCol w:w="1871"/>
        <w:gridCol w:w="2020"/>
      </w:tblGrid>
      <w:tr>
        <w:trPr>
          <w:trHeight w:val="130" w:hRule="exact"/>
        </w:trPr>
        <w:tc>
          <w:tcPr>
            <w:tcW w:w="2020" w:type="dxa"/>
            <w:vMerge w:val="restart"/>
          </w:tcPr>
          <w:p>
            <w:pPr>
              <w:pStyle w:val="TableParagraph"/>
              <w:spacing w:line="163" w:lineRule="exact"/>
              <w:ind w:left="446" w:right="446"/>
              <w:jc w:val="center"/>
              <w:rPr>
                <w:b/>
                <w:sz w:val="16"/>
              </w:rPr>
            </w:pPr>
            <w:r>
              <w:rPr>
                <w:b/>
                <w:color w:val="231F20"/>
                <w:w w:val="95"/>
                <w:sz w:val="16"/>
              </w:rPr>
              <w:t>Territorio</w:t>
            </w:r>
          </w:p>
        </w:tc>
        <w:tc>
          <w:tcPr>
            <w:tcW w:w="2016" w:type="dxa"/>
            <w:tcBorders>
              <w:right w:val="nil"/>
            </w:tcBorders>
          </w:tcPr>
          <w:p>
            <w:pPr>
              <w:pStyle w:val="TableParagraph"/>
              <w:spacing w:line="160" w:lineRule="exact"/>
              <w:ind w:left="1124"/>
              <w:rPr>
                <w:b/>
                <w:sz w:val="16"/>
              </w:rPr>
            </w:pPr>
            <w:r>
              <w:rPr>
                <w:b/>
                <w:color w:val="231F20"/>
                <w:w w:val="80"/>
                <w:sz w:val="16"/>
              </w:rPr>
              <w:t>Años promedio</w:t>
            </w:r>
          </w:p>
        </w:tc>
        <w:tc>
          <w:tcPr>
            <w:tcW w:w="1871" w:type="dxa"/>
            <w:tcBorders>
              <w:left w:val="nil"/>
            </w:tcBorders>
          </w:tcPr>
          <w:p>
            <w:pPr>
              <w:pStyle w:val="TableParagraph"/>
              <w:spacing w:line="160" w:lineRule="exact"/>
              <w:ind w:left="-5"/>
              <w:rPr>
                <w:b/>
                <w:sz w:val="16"/>
              </w:rPr>
            </w:pPr>
            <w:r>
              <w:rPr>
                <w:b/>
                <w:color w:val="231F20"/>
                <w:w w:val="85"/>
                <w:sz w:val="16"/>
              </w:rPr>
              <w:t>de educación</w:t>
            </w:r>
          </w:p>
        </w:tc>
        <w:tc>
          <w:tcPr>
            <w:tcW w:w="2020" w:type="dxa"/>
            <w:vMerge w:val="restart"/>
          </w:tcPr>
          <w:p>
            <w:pPr>
              <w:pStyle w:val="TableParagraph"/>
              <w:spacing w:line="163" w:lineRule="exact"/>
              <w:ind w:left="438"/>
              <w:rPr>
                <w:b/>
                <w:sz w:val="16"/>
              </w:rPr>
            </w:pPr>
            <w:r>
              <w:rPr>
                <w:b/>
                <w:color w:val="231F20"/>
                <w:w w:val="85"/>
                <w:sz w:val="16"/>
              </w:rPr>
              <w:t>Promedio agregado</w:t>
            </w:r>
          </w:p>
        </w:tc>
      </w:tr>
      <w:tr>
        <w:trPr>
          <w:trHeight w:val="188" w:hRule="exact"/>
        </w:trPr>
        <w:tc>
          <w:tcPr>
            <w:tcW w:w="2020" w:type="dxa"/>
            <w:vMerge/>
          </w:tcPr>
          <w:p>
            <w:pPr/>
          </w:p>
        </w:tc>
        <w:tc>
          <w:tcPr>
            <w:tcW w:w="2016" w:type="dxa"/>
          </w:tcPr>
          <w:p>
            <w:pPr>
              <w:pStyle w:val="TableParagraph"/>
              <w:spacing w:line="163" w:lineRule="exact"/>
              <w:ind w:left="712" w:right="710"/>
              <w:jc w:val="center"/>
              <w:rPr>
                <w:b/>
                <w:sz w:val="16"/>
              </w:rPr>
            </w:pPr>
            <w:r>
              <w:rPr>
                <w:b/>
                <w:color w:val="231F20"/>
                <w:w w:val="90"/>
                <w:sz w:val="16"/>
              </w:rPr>
              <w:t>Hombres</w:t>
            </w:r>
          </w:p>
        </w:tc>
        <w:tc>
          <w:tcPr>
            <w:tcW w:w="1871" w:type="dxa"/>
          </w:tcPr>
          <w:p>
            <w:pPr>
              <w:pStyle w:val="TableParagraph"/>
              <w:spacing w:line="163" w:lineRule="exact"/>
              <w:ind w:left="664" w:right="662"/>
              <w:jc w:val="center"/>
              <w:rPr>
                <w:b/>
                <w:sz w:val="16"/>
              </w:rPr>
            </w:pPr>
            <w:r>
              <w:rPr>
                <w:b/>
                <w:color w:val="231F20"/>
                <w:w w:val="90"/>
                <w:sz w:val="16"/>
              </w:rPr>
              <w:t>Mujeres</w:t>
            </w:r>
          </w:p>
        </w:tc>
        <w:tc>
          <w:tcPr>
            <w:tcW w:w="2020" w:type="dxa"/>
            <w:vMerge/>
          </w:tcPr>
          <w:p>
            <w:pPr/>
          </w:p>
        </w:tc>
      </w:tr>
      <w:tr>
        <w:trPr>
          <w:trHeight w:val="216" w:hRule="exact"/>
        </w:trPr>
        <w:tc>
          <w:tcPr>
            <w:tcW w:w="2020" w:type="dxa"/>
          </w:tcPr>
          <w:p>
            <w:pPr>
              <w:pStyle w:val="TableParagraph"/>
              <w:spacing w:line="204" w:lineRule="exact"/>
              <w:ind w:left="446" w:right="446"/>
              <w:jc w:val="center"/>
              <w:rPr>
                <w:sz w:val="20"/>
              </w:rPr>
            </w:pPr>
            <w:r>
              <w:rPr>
                <w:color w:val="231F20"/>
                <w:w w:val="85"/>
                <w:sz w:val="20"/>
              </w:rPr>
              <w:t>Huixquilucan</w:t>
            </w:r>
          </w:p>
        </w:tc>
        <w:tc>
          <w:tcPr>
            <w:tcW w:w="2016" w:type="dxa"/>
          </w:tcPr>
          <w:p>
            <w:pPr>
              <w:pStyle w:val="TableParagraph"/>
              <w:spacing w:line="204" w:lineRule="exact"/>
              <w:ind w:left="710" w:right="710"/>
              <w:jc w:val="center"/>
              <w:rPr>
                <w:sz w:val="20"/>
              </w:rPr>
            </w:pPr>
            <w:r>
              <w:rPr>
                <w:color w:val="231F20"/>
                <w:w w:val="85"/>
                <w:sz w:val="20"/>
              </w:rPr>
              <w:t>9.95</w:t>
            </w:r>
          </w:p>
        </w:tc>
        <w:tc>
          <w:tcPr>
            <w:tcW w:w="1871" w:type="dxa"/>
          </w:tcPr>
          <w:p>
            <w:pPr>
              <w:pStyle w:val="TableParagraph"/>
              <w:spacing w:line="204" w:lineRule="exact"/>
              <w:ind w:left="662" w:right="662"/>
              <w:jc w:val="center"/>
              <w:rPr>
                <w:sz w:val="20"/>
              </w:rPr>
            </w:pPr>
            <w:r>
              <w:rPr>
                <w:color w:val="231F20"/>
                <w:w w:val="85"/>
                <w:sz w:val="20"/>
              </w:rPr>
              <w:t>9.13</w:t>
            </w:r>
          </w:p>
        </w:tc>
        <w:tc>
          <w:tcPr>
            <w:tcW w:w="2020" w:type="dxa"/>
          </w:tcPr>
          <w:p>
            <w:pPr>
              <w:pStyle w:val="TableParagraph"/>
              <w:spacing w:line="204" w:lineRule="exact"/>
              <w:ind w:left="874"/>
              <w:rPr>
                <w:sz w:val="20"/>
              </w:rPr>
            </w:pPr>
            <w:r>
              <w:rPr>
                <w:color w:val="231F20"/>
                <w:w w:val="85"/>
                <w:sz w:val="20"/>
              </w:rPr>
              <w:t>9.51</w:t>
            </w:r>
          </w:p>
        </w:tc>
      </w:tr>
      <w:tr>
        <w:trPr>
          <w:trHeight w:val="160" w:hRule="exact"/>
        </w:trPr>
        <w:tc>
          <w:tcPr>
            <w:tcW w:w="2020" w:type="dxa"/>
          </w:tcPr>
          <w:p>
            <w:pPr>
              <w:pStyle w:val="TableParagraph"/>
              <w:spacing w:line="190" w:lineRule="exact"/>
              <w:ind w:left="446" w:right="446"/>
              <w:jc w:val="center"/>
              <w:rPr>
                <w:sz w:val="20"/>
              </w:rPr>
            </w:pPr>
            <w:r>
              <w:rPr>
                <w:color w:val="231F20"/>
                <w:w w:val="75"/>
                <w:sz w:val="20"/>
              </w:rPr>
              <w:t>Estado de México</w:t>
            </w:r>
          </w:p>
        </w:tc>
        <w:tc>
          <w:tcPr>
            <w:tcW w:w="2016" w:type="dxa"/>
          </w:tcPr>
          <w:p>
            <w:pPr>
              <w:pStyle w:val="TableParagraph"/>
              <w:spacing w:line="190" w:lineRule="exact"/>
              <w:ind w:left="710" w:right="710"/>
              <w:jc w:val="center"/>
              <w:rPr>
                <w:sz w:val="20"/>
              </w:rPr>
            </w:pPr>
            <w:r>
              <w:rPr>
                <w:color w:val="231F20"/>
                <w:w w:val="85"/>
                <w:sz w:val="20"/>
              </w:rPr>
              <w:t>8.99</w:t>
            </w:r>
          </w:p>
        </w:tc>
        <w:tc>
          <w:tcPr>
            <w:tcW w:w="1871" w:type="dxa"/>
          </w:tcPr>
          <w:p>
            <w:pPr>
              <w:pStyle w:val="TableParagraph"/>
              <w:spacing w:line="190" w:lineRule="exact"/>
              <w:ind w:left="658" w:right="662"/>
              <w:jc w:val="center"/>
              <w:rPr>
                <w:sz w:val="20"/>
              </w:rPr>
            </w:pPr>
            <w:r>
              <w:rPr>
                <w:color w:val="231F20"/>
                <w:w w:val="85"/>
                <w:sz w:val="20"/>
              </w:rPr>
              <w:t>8.41</w:t>
            </w:r>
          </w:p>
        </w:tc>
        <w:tc>
          <w:tcPr>
            <w:tcW w:w="2020" w:type="dxa"/>
          </w:tcPr>
          <w:p>
            <w:pPr>
              <w:pStyle w:val="TableParagraph"/>
              <w:spacing w:line="190" w:lineRule="exact"/>
              <w:ind w:left="870"/>
              <w:rPr>
                <w:sz w:val="20"/>
              </w:rPr>
            </w:pPr>
            <w:r>
              <w:rPr>
                <w:color w:val="231F20"/>
                <w:w w:val="85"/>
                <w:sz w:val="20"/>
              </w:rPr>
              <w:t>8.69</w:t>
            </w:r>
          </w:p>
        </w:tc>
      </w:tr>
    </w:tbl>
    <w:p>
      <w:pPr>
        <w:pStyle w:val="BodyText"/>
        <w:spacing w:before="5"/>
        <w:rPr>
          <w:b/>
          <w:sz w:val="16"/>
        </w:rPr>
      </w:pPr>
    </w:p>
    <w:p>
      <w:pPr>
        <w:spacing w:before="74"/>
        <w:ind w:left="5015" w:right="-2" w:firstLine="0"/>
        <w:jc w:val="left"/>
        <w:rPr>
          <w:rFonts w:ascii="Calibri"/>
          <w:sz w:val="16"/>
        </w:rPr>
      </w:pPr>
      <w:r>
        <w:rPr>
          <w:rFonts w:ascii="Calibri"/>
          <w:color w:val="231F20"/>
          <w:w w:val="95"/>
          <w:sz w:val="16"/>
        </w:rPr>
        <w:t>Fuente: (INEGI, 2005a), (HUIXQUILUCAN, 2006a).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spacing w:val="3"/>
          <w:w w:val="105"/>
        </w:rPr>
        <w:t>Al </w:t>
      </w:r>
      <w:r>
        <w:rPr>
          <w:color w:val="231F20"/>
          <w:w w:val="105"/>
        </w:rPr>
        <w:t>medir los ingresos de la población huixquiluquense se observó que entre los años </w:t>
      </w:r>
      <w:r>
        <w:rPr>
          <w:color w:val="231F20"/>
          <w:spacing w:val="4"/>
          <w:w w:val="105"/>
        </w:rPr>
        <w:t>2000</w:t>
      </w:r>
      <w:r>
        <w:rPr>
          <w:color w:val="231F20"/>
          <w:spacing w:val="-5"/>
          <w:w w:val="105"/>
        </w:rPr>
        <w:t> </w:t>
      </w:r>
      <w:r>
        <w:rPr>
          <w:color w:val="231F20"/>
          <w:w w:val="105"/>
        </w:rPr>
        <w:t>y</w:t>
      </w:r>
      <w:r>
        <w:rPr>
          <w:color w:val="231F20"/>
          <w:spacing w:val="-5"/>
          <w:w w:val="105"/>
        </w:rPr>
        <w:t> </w:t>
      </w:r>
      <w:r>
        <w:rPr>
          <w:color w:val="231F20"/>
          <w:spacing w:val="3"/>
          <w:w w:val="105"/>
        </w:rPr>
        <w:t>2005</w:t>
      </w:r>
      <w:r>
        <w:rPr>
          <w:color w:val="231F20"/>
          <w:spacing w:val="-5"/>
          <w:w w:val="105"/>
        </w:rPr>
        <w:t> </w:t>
      </w:r>
      <w:r>
        <w:rPr>
          <w:color w:val="231F20"/>
          <w:w w:val="105"/>
        </w:rPr>
        <w:t>se</w:t>
      </w:r>
      <w:r>
        <w:rPr>
          <w:color w:val="231F20"/>
          <w:spacing w:val="-5"/>
          <w:w w:val="105"/>
        </w:rPr>
        <w:t> </w:t>
      </w:r>
      <w:r>
        <w:rPr>
          <w:color w:val="231F20"/>
          <w:w w:val="105"/>
        </w:rPr>
        <w:t>registró</w:t>
      </w:r>
      <w:r>
        <w:rPr>
          <w:color w:val="231F20"/>
          <w:spacing w:val="-5"/>
          <w:w w:val="105"/>
        </w:rPr>
        <w:t> </w:t>
      </w:r>
      <w:r>
        <w:rPr>
          <w:color w:val="231F20"/>
          <w:w w:val="105"/>
        </w:rPr>
        <w:t>un</w:t>
      </w:r>
      <w:r>
        <w:rPr>
          <w:color w:val="231F20"/>
          <w:spacing w:val="-5"/>
          <w:w w:val="105"/>
        </w:rPr>
        <w:t> </w:t>
      </w:r>
      <w:r>
        <w:rPr>
          <w:color w:val="231F20"/>
          <w:w w:val="105"/>
        </w:rPr>
        <w:t>descenso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porcentaje</w:t>
      </w:r>
      <w:r>
        <w:rPr>
          <w:color w:val="231F20"/>
          <w:spacing w:val="-5"/>
          <w:w w:val="105"/>
        </w:rPr>
        <w:t> </w:t>
      </w:r>
      <w:r>
        <w:rPr>
          <w:color w:val="231F20"/>
          <w:w w:val="105"/>
        </w:rPr>
        <w:t>de</w:t>
      </w:r>
      <w:r>
        <w:rPr>
          <w:color w:val="231F20"/>
          <w:spacing w:val="-5"/>
          <w:w w:val="105"/>
        </w:rPr>
        <w:t> </w:t>
      </w:r>
      <w:r>
        <w:rPr>
          <w:color w:val="231F20"/>
          <w:w w:val="105"/>
        </w:rPr>
        <w:t>ocupados</w:t>
      </w:r>
      <w:r>
        <w:rPr>
          <w:color w:val="231F20"/>
          <w:spacing w:val="-5"/>
          <w:w w:val="105"/>
        </w:rPr>
        <w:t> </w:t>
      </w:r>
      <w:r>
        <w:rPr>
          <w:color w:val="231F20"/>
          <w:w w:val="105"/>
        </w:rPr>
        <w:t>que</w:t>
      </w:r>
      <w:r>
        <w:rPr>
          <w:color w:val="231F20"/>
          <w:spacing w:val="-5"/>
          <w:w w:val="105"/>
        </w:rPr>
        <w:t> </w:t>
      </w:r>
      <w:r>
        <w:rPr>
          <w:color w:val="231F20"/>
          <w:w w:val="105"/>
        </w:rPr>
        <w:t>ganaban</w:t>
      </w:r>
      <w:r>
        <w:rPr>
          <w:color w:val="231F20"/>
          <w:spacing w:val="-5"/>
          <w:w w:val="105"/>
        </w:rPr>
        <w:t> </w:t>
      </w:r>
      <w:r>
        <w:rPr>
          <w:color w:val="231F20"/>
          <w:w w:val="105"/>
        </w:rPr>
        <w:t>menos de</w:t>
      </w:r>
      <w:r>
        <w:rPr>
          <w:color w:val="231F20"/>
          <w:spacing w:val="-9"/>
          <w:w w:val="105"/>
        </w:rPr>
        <w:t> </w:t>
      </w:r>
      <w:r>
        <w:rPr>
          <w:color w:val="231F20"/>
          <w:w w:val="105"/>
        </w:rPr>
        <w:t>dos</w:t>
      </w:r>
      <w:r>
        <w:rPr>
          <w:color w:val="231F20"/>
          <w:spacing w:val="-9"/>
          <w:w w:val="105"/>
        </w:rPr>
        <w:t> </w:t>
      </w:r>
      <w:r>
        <w:rPr>
          <w:color w:val="231F20"/>
          <w:w w:val="105"/>
        </w:rPr>
        <w:t>salarios</w:t>
      </w:r>
      <w:r>
        <w:rPr>
          <w:color w:val="231F20"/>
          <w:spacing w:val="-9"/>
          <w:w w:val="105"/>
        </w:rPr>
        <w:t> </w:t>
      </w:r>
      <w:r>
        <w:rPr>
          <w:color w:val="231F20"/>
          <w:w w:val="105"/>
        </w:rPr>
        <w:t>mínimos</w:t>
      </w:r>
      <w:r>
        <w:rPr>
          <w:color w:val="231F20"/>
          <w:spacing w:val="-9"/>
          <w:w w:val="105"/>
        </w:rPr>
        <w:t> </w:t>
      </w:r>
      <w:r>
        <w:rPr>
          <w:color w:val="231F20"/>
          <w:spacing w:val="2"/>
          <w:w w:val="105"/>
        </w:rPr>
        <w:t>al</w:t>
      </w:r>
      <w:r>
        <w:rPr>
          <w:color w:val="231F20"/>
          <w:spacing w:val="-9"/>
          <w:w w:val="105"/>
        </w:rPr>
        <w:t> </w:t>
      </w:r>
      <w:r>
        <w:rPr>
          <w:color w:val="231F20"/>
          <w:w w:val="105"/>
        </w:rPr>
        <w:t>pasar</w:t>
      </w:r>
      <w:r>
        <w:rPr>
          <w:color w:val="231F20"/>
          <w:spacing w:val="-9"/>
          <w:w w:val="105"/>
        </w:rPr>
        <w:t> </w:t>
      </w:r>
      <w:r>
        <w:rPr>
          <w:color w:val="231F20"/>
          <w:w w:val="105"/>
        </w:rPr>
        <w:t>del</w:t>
      </w:r>
      <w:r>
        <w:rPr>
          <w:color w:val="231F20"/>
          <w:spacing w:val="-9"/>
          <w:w w:val="105"/>
        </w:rPr>
        <w:t> </w:t>
      </w:r>
      <w:r>
        <w:rPr>
          <w:color w:val="231F20"/>
          <w:w w:val="105"/>
        </w:rPr>
        <w:t>34.60%</w:t>
      </w:r>
      <w:r>
        <w:rPr>
          <w:color w:val="231F20"/>
          <w:spacing w:val="-9"/>
          <w:w w:val="105"/>
        </w:rPr>
        <w:t> </w:t>
      </w:r>
      <w:r>
        <w:rPr>
          <w:color w:val="231F20"/>
          <w:spacing w:val="2"/>
          <w:w w:val="105"/>
        </w:rPr>
        <w:t>al</w:t>
      </w:r>
      <w:r>
        <w:rPr>
          <w:color w:val="231F20"/>
          <w:spacing w:val="-9"/>
          <w:w w:val="105"/>
        </w:rPr>
        <w:t> </w:t>
      </w:r>
      <w:r>
        <w:rPr>
          <w:color w:val="231F20"/>
          <w:w w:val="105"/>
        </w:rPr>
        <w:t>28.42%</w:t>
      </w:r>
      <w:r>
        <w:rPr>
          <w:color w:val="231F20"/>
          <w:spacing w:val="-9"/>
          <w:w w:val="105"/>
        </w:rPr>
        <w:t> </w:t>
      </w:r>
      <w:r>
        <w:rPr>
          <w:color w:val="231F20"/>
          <w:w w:val="105"/>
        </w:rPr>
        <w:t>aunque,</w:t>
      </w:r>
      <w:r>
        <w:rPr>
          <w:color w:val="231F20"/>
          <w:spacing w:val="-9"/>
          <w:w w:val="105"/>
        </w:rPr>
        <w:t> </w:t>
      </w:r>
      <w:r>
        <w:rPr>
          <w:color w:val="231F20"/>
          <w:spacing w:val="2"/>
          <w:w w:val="105"/>
        </w:rPr>
        <w:t>al</w:t>
      </w:r>
      <w:r>
        <w:rPr>
          <w:color w:val="231F20"/>
          <w:spacing w:val="-9"/>
          <w:w w:val="105"/>
        </w:rPr>
        <w:t> </w:t>
      </w:r>
      <w:r>
        <w:rPr>
          <w:color w:val="231F20"/>
          <w:w w:val="105"/>
        </w:rPr>
        <w:t>medir</w:t>
      </w:r>
      <w:r>
        <w:rPr>
          <w:color w:val="231F20"/>
          <w:spacing w:val="-9"/>
          <w:w w:val="105"/>
        </w:rPr>
        <w:t> </w:t>
      </w:r>
      <w:r>
        <w:rPr>
          <w:color w:val="231F20"/>
          <w:w w:val="105"/>
        </w:rPr>
        <w:t>el</w:t>
      </w:r>
      <w:r>
        <w:rPr>
          <w:color w:val="231F20"/>
          <w:spacing w:val="-9"/>
          <w:w w:val="105"/>
        </w:rPr>
        <w:t> </w:t>
      </w:r>
      <w:r>
        <w:rPr>
          <w:color w:val="231F20"/>
          <w:w w:val="105"/>
        </w:rPr>
        <w:t>nivel</w:t>
      </w:r>
      <w:r>
        <w:rPr>
          <w:color w:val="231F20"/>
          <w:spacing w:val="-9"/>
          <w:w w:val="105"/>
        </w:rPr>
        <w:t> </w:t>
      </w:r>
      <w:r>
        <w:rPr>
          <w:color w:val="231F20"/>
          <w:w w:val="105"/>
        </w:rPr>
        <w:t>de</w:t>
      </w:r>
      <w:r>
        <w:rPr>
          <w:color w:val="231F20"/>
          <w:spacing w:val="-9"/>
          <w:w w:val="105"/>
        </w:rPr>
        <w:t> </w:t>
      </w:r>
      <w:r>
        <w:rPr>
          <w:color w:val="231F20"/>
          <w:w w:val="105"/>
        </w:rPr>
        <w:t>in- gresos de esta manera, no se puede determinar si la diferencia registrada fue producto de un mejoramiento en el salario percibido o si implicó la cancelación del ingreso así como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ocupación</w:t>
      </w:r>
      <w:r>
        <w:rPr>
          <w:color w:val="231F20"/>
          <w:spacing w:val="-18"/>
          <w:w w:val="105"/>
        </w:rPr>
        <w:t> </w:t>
      </w:r>
      <w:r>
        <w:rPr>
          <w:color w:val="231F20"/>
          <w:w w:val="105"/>
        </w:rPr>
        <w:t>laboral.</w:t>
      </w:r>
    </w:p>
    <w:p>
      <w:pPr>
        <w:pStyle w:val="BodyText"/>
        <w:spacing w:before="1"/>
        <w:rPr>
          <w:sz w:val="26"/>
        </w:rPr>
      </w:pPr>
    </w:p>
    <w:p>
      <w:pPr>
        <w:pStyle w:val="BodyText"/>
        <w:spacing w:line="285" w:lineRule="auto"/>
        <w:ind w:left="110" w:right="108"/>
        <w:jc w:val="both"/>
      </w:pPr>
      <w:r>
        <w:rPr>
          <w:color w:val="231F20"/>
          <w:w w:val="105"/>
        </w:rPr>
        <w:t>Sin</w:t>
      </w:r>
      <w:r>
        <w:rPr>
          <w:color w:val="231F20"/>
          <w:spacing w:val="-5"/>
          <w:w w:val="105"/>
        </w:rPr>
        <w:t> </w:t>
      </w:r>
      <w:r>
        <w:rPr>
          <w:color w:val="231F20"/>
          <w:w w:val="105"/>
        </w:rPr>
        <w:t>embargo,</w:t>
      </w:r>
      <w:r>
        <w:rPr>
          <w:color w:val="231F20"/>
          <w:spacing w:val="-5"/>
          <w:w w:val="105"/>
        </w:rPr>
        <w:t> </w:t>
      </w:r>
      <w:r>
        <w:rPr>
          <w:color w:val="231F20"/>
          <w:w w:val="105"/>
        </w:rPr>
        <w:t>el</w:t>
      </w:r>
      <w:r>
        <w:rPr>
          <w:color w:val="231F20"/>
          <w:spacing w:val="-5"/>
          <w:w w:val="105"/>
        </w:rPr>
        <w:t> </w:t>
      </w:r>
      <w:r>
        <w:rPr>
          <w:color w:val="231F20"/>
          <w:w w:val="105"/>
        </w:rPr>
        <w:t>Índice</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Humano</w:t>
      </w:r>
      <w:r>
        <w:rPr>
          <w:color w:val="231F20"/>
          <w:spacing w:val="-5"/>
          <w:w w:val="105"/>
        </w:rPr>
        <w:t> </w:t>
      </w:r>
      <w:r>
        <w:rPr>
          <w:color w:val="231F20"/>
          <w:w w:val="105"/>
        </w:rPr>
        <w:t>ha</w:t>
      </w:r>
      <w:r>
        <w:rPr>
          <w:color w:val="231F20"/>
          <w:spacing w:val="-5"/>
          <w:w w:val="105"/>
        </w:rPr>
        <w:t> </w:t>
      </w:r>
      <w:r>
        <w:rPr>
          <w:color w:val="231F20"/>
          <w:spacing w:val="-3"/>
          <w:w w:val="105"/>
        </w:rPr>
        <w:t>optado</w:t>
      </w:r>
      <w:r>
        <w:rPr>
          <w:color w:val="231F20"/>
          <w:spacing w:val="-5"/>
          <w:w w:val="105"/>
        </w:rPr>
        <w:t> </w:t>
      </w:r>
      <w:r>
        <w:rPr>
          <w:color w:val="231F20"/>
          <w:w w:val="105"/>
        </w:rPr>
        <w:t>por</w:t>
      </w:r>
      <w:r>
        <w:rPr>
          <w:color w:val="231F20"/>
          <w:spacing w:val="-5"/>
          <w:w w:val="105"/>
        </w:rPr>
        <w:t> </w:t>
      </w:r>
      <w:r>
        <w:rPr>
          <w:color w:val="231F20"/>
          <w:w w:val="105"/>
        </w:rPr>
        <w:t>medir</w:t>
      </w:r>
      <w:r>
        <w:rPr>
          <w:color w:val="231F20"/>
          <w:spacing w:val="-5"/>
          <w:w w:val="105"/>
        </w:rPr>
        <w:t> </w:t>
      </w:r>
      <w:r>
        <w:rPr>
          <w:color w:val="231F20"/>
          <w:spacing w:val="-2"/>
          <w:w w:val="105"/>
        </w:rPr>
        <w:t>los</w:t>
      </w:r>
      <w:r>
        <w:rPr>
          <w:color w:val="231F20"/>
          <w:spacing w:val="-5"/>
          <w:w w:val="105"/>
        </w:rPr>
        <w:t> </w:t>
      </w:r>
      <w:r>
        <w:rPr>
          <w:color w:val="231F20"/>
          <w:w w:val="105"/>
        </w:rPr>
        <w:t>ingresos</w:t>
      </w:r>
      <w:r>
        <w:rPr>
          <w:color w:val="231F20"/>
          <w:spacing w:val="-5"/>
          <w:w w:val="105"/>
        </w:rPr>
        <w:t> </w:t>
      </w:r>
      <w:r>
        <w:rPr>
          <w:color w:val="231F20"/>
          <w:w w:val="105"/>
        </w:rPr>
        <w:t>de</w:t>
      </w:r>
      <w:r>
        <w:rPr>
          <w:color w:val="231F20"/>
          <w:spacing w:val="-5"/>
          <w:w w:val="105"/>
        </w:rPr>
        <w:t> </w:t>
      </w:r>
      <w:r>
        <w:rPr>
          <w:color w:val="231F20"/>
          <w:w w:val="105"/>
        </w:rPr>
        <w:t>una comunidad</w:t>
      </w:r>
      <w:r>
        <w:rPr>
          <w:color w:val="231F20"/>
          <w:spacing w:val="-23"/>
          <w:w w:val="105"/>
        </w:rPr>
        <w:t> </w:t>
      </w:r>
      <w:r>
        <w:rPr>
          <w:color w:val="231F20"/>
          <w:w w:val="105"/>
        </w:rPr>
        <w:t>a</w:t>
      </w:r>
      <w:r>
        <w:rPr>
          <w:color w:val="231F20"/>
          <w:spacing w:val="-23"/>
          <w:w w:val="105"/>
        </w:rPr>
        <w:t> </w:t>
      </w:r>
      <w:r>
        <w:rPr>
          <w:color w:val="231F20"/>
          <w:w w:val="105"/>
        </w:rPr>
        <w:t>partir</w:t>
      </w:r>
      <w:r>
        <w:rPr>
          <w:color w:val="231F20"/>
          <w:spacing w:val="-23"/>
          <w:w w:val="105"/>
        </w:rPr>
        <w:t> </w:t>
      </w:r>
      <w:r>
        <w:rPr>
          <w:color w:val="231F20"/>
          <w:w w:val="105"/>
        </w:rPr>
        <w:t>del</w:t>
      </w:r>
      <w:r>
        <w:rPr>
          <w:color w:val="231F20"/>
          <w:spacing w:val="-23"/>
          <w:w w:val="105"/>
        </w:rPr>
        <w:t> </w:t>
      </w:r>
      <w:r>
        <w:rPr>
          <w:color w:val="231F20"/>
          <w:w w:val="105"/>
        </w:rPr>
        <w:t>cálculo</w:t>
      </w:r>
      <w:r>
        <w:rPr>
          <w:color w:val="231F20"/>
          <w:spacing w:val="-23"/>
          <w:w w:val="105"/>
        </w:rPr>
        <w:t> </w:t>
      </w:r>
      <w:r>
        <w:rPr>
          <w:color w:val="231F20"/>
          <w:w w:val="105"/>
        </w:rPr>
        <w:t>del</w:t>
      </w:r>
      <w:r>
        <w:rPr>
          <w:color w:val="231F20"/>
          <w:spacing w:val="-23"/>
          <w:w w:val="105"/>
        </w:rPr>
        <w:t> </w:t>
      </w:r>
      <w:r>
        <w:rPr>
          <w:color w:val="231F20"/>
          <w:w w:val="105"/>
        </w:rPr>
        <w:t>ingreso</w:t>
      </w:r>
      <w:r>
        <w:rPr>
          <w:color w:val="231F20"/>
          <w:spacing w:val="-23"/>
          <w:w w:val="105"/>
        </w:rPr>
        <w:t> </w:t>
      </w:r>
      <w:r>
        <w:rPr>
          <w:color w:val="231F20"/>
          <w:w w:val="105"/>
        </w:rPr>
        <w:t>per</w:t>
      </w:r>
      <w:r>
        <w:rPr>
          <w:color w:val="231F20"/>
          <w:spacing w:val="-23"/>
          <w:w w:val="105"/>
        </w:rPr>
        <w:t> </w:t>
      </w:r>
      <w:r>
        <w:rPr>
          <w:color w:val="231F20"/>
          <w:w w:val="105"/>
        </w:rPr>
        <w:t>cápita</w:t>
      </w:r>
      <w:r>
        <w:rPr>
          <w:color w:val="231F20"/>
          <w:spacing w:val="-23"/>
          <w:w w:val="105"/>
        </w:rPr>
        <w:t> </w:t>
      </w:r>
      <w:r>
        <w:rPr>
          <w:color w:val="231F20"/>
          <w:w w:val="105"/>
        </w:rPr>
        <w:t>anual.</w:t>
      </w:r>
      <w:r>
        <w:rPr>
          <w:color w:val="231F20"/>
          <w:spacing w:val="-23"/>
          <w:w w:val="105"/>
        </w:rPr>
        <w:t> </w:t>
      </w:r>
      <w:r>
        <w:rPr>
          <w:color w:val="231F20"/>
          <w:w w:val="105"/>
        </w:rPr>
        <w:t>Para</w:t>
      </w:r>
      <w:r>
        <w:rPr>
          <w:color w:val="231F20"/>
          <w:spacing w:val="-23"/>
          <w:w w:val="105"/>
        </w:rPr>
        <w:t> </w:t>
      </w:r>
      <w:r>
        <w:rPr>
          <w:color w:val="231F20"/>
          <w:w w:val="105"/>
        </w:rPr>
        <w:t>el</w:t>
      </w:r>
      <w:r>
        <w:rPr>
          <w:color w:val="231F20"/>
          <w:spacing w:val="-23"/>
          <w:w w:val="105"/>
        </w:rPr>
        <w:t> </w:t>
      </w:r>
      <w:r>
        <w:rPr>
          <w:color w:val="231F20"/>
          <w:w w:val="105"/>
        </w:rPr>
        <w:t>caso</w:t>
      </w:r>
      <w:r>
        <w:rPr>
          <w:color w:val="231F20"/>
          <w:spacing w:val="-23"/>
          <w:w w:val="105"/>
        </w:rPr>
        <w:t> </w:t>
      </w:r>
      <w:r>
        <w:rPr>
          <w:color w:val="231F20"/>
          <w:w w:val="105"/>
        </w:rPr>
        <w:t>de</w:t>
      </w:r>
      <w:r>
        <w:rPr>
          <w:color w:val="231F20"/>
          <w:spacing w:val="-23"/>
          <w:w w:val="105"/>
        </w:rPr>
        <w:t> </w:t>
      </w:r>
      <w:r>
        <w:rPr>
          <w:color w:val="231F20"/>
          <w:w w:val="105"/>
        </w:rPr>
        <w:t>Huixquilucan se registró que entre </w:t>
      </w:r>
      <w:r>
        <w:rPr>
          <w:color w:val="231F20"/>
          <w:spacing w:val="-2"/>
          <w:w w:val="105"/>
        </w:rPr>
        <w:t>los </w:t>
      </w:r>
      <w:r>
        <w:rPr>
          <w:color w:val="231F20"/>
          <w:w w:val="105"/>
        </w:rPr>
        <w:t>años </w:t>
      </w:r>
      <w:r>
        <w:rPr>
          <w:color w:val="231F20"/>
          <w:spacing w:val="3"/>
          <w:w w:val="105"/>
        </w:rPr>
        <w:t>2000 </w:t>
      </w:r>
      <w:r>
        <w:rPr>
          <w:color w:val="231F20"/>
          <w:w w:val="105"/>
        </w:rPr>
        <w:t>y 2005 se </w:t>
      </w:r>
      <w:r>
        <w:rPr>
          <w:color w:val="231F20"/>
          <w:spacing w:val="-3"/>
          <w:w w:val="105"/>
        </w:rPr>
        <w:t>incrementó </w:t>
      </w:r>
      <w:r>
        <w:rPr>
          <w:color w:val="231F20"/>
          <w:w w:val="105"/>
        </w:rPr>
        <w:t>dicho indicador </w:t>
      </w:r>
      <w:r>
        <w:rPr>
          <w:color w:val="231F20"/>
          <w:spacing w:val="-3"/>
          <w:w w:val="105"/>
        </w:rPr>
        <w:t>(medido </w:t>
      </w:r>
      <w:r>
        <w:rPr>
          <w:color w:val="231F20"/>
          <w:w w:val="105"/>
        </w:rPr>
        <w:t>en </w:t>
      </w:r>
      <w:r>
        <w:rPr>
          <w:color w:val="231F20"/>
          <w:spacing w:val="-4"/>
          <w:w w:val="105"/>
        </w:rPr>
        <w:t>dólares)</w:t>
      </w:r>
      <w:r>
        <w:rPr>
          <w:color w:val="231F20"/>
          <w:spacing w:val="-4"/>
          <w:w w:val="105"/>
          <w:position w:val="7"/>
          <w:sz w:val="13"/>
        </w:rPr>
        <w:t>11</w:t>
      </w:r>
      <w:r>
        <w:rPr>
          <w:color w:val="231F20"/>
          <w:spacing w:val="-4"/>
          <w:w w:val="105"/>
        </w:rPr>
        <w:t>,</w:t>
      </w:r>
      <w:r>
        <w:rPr>
          <w:color w:val="231F20"/>
          <w:spacing w:val="-21"/>
          <w:w w:val="105"/>
        </w:rPr>
        <w:t> </w:t>
      </w:r>
      <w:r>
        <w:rPr>
          <w:color w:val="231F20"/>
          <w:w w:val="105"/>
        </w:rPr>
        <w:t>pasando</w:t>
      </w:r>
      <w:r>
        <w:rPr>
          <w:color w:val="231F20"/>
          <w:spacing w:val="-21"/>
          <w:w w:val="105"/>
        </w:rPr>
        <w:t> </w:t>
      </w:r>
      <w:r>
        <w:rPr>
          <w:color w:val="231F20"/>
          <w:w w:val="105"/>
        </w:rPr>
        <w:t>de</w:t>
      </w:r>
      <w:r>
        <w:rPr>
          <w:color w:val="231F20"/>
          <w:spacing w:val="-21"/>
          <w:w w:val="105"/>
        </w:rPr>
        <w:t> </w:t>
      </w:r>
      <w:r>
        <w:rPr>
          <w:color w:val="231F20"/>
          <w:spacing w:val="-3"/>
          <w:w w:val="105"/>
        </w:rPr>
        <w:t>$14,622.00</w:t>
      </w:r>
      <w:r>
        <w:rPr>
          <w:color w:val="231F20"/>
          <w:spacing w:val="-21"/>
          <w:w w:val="105"/>
        </w:rPr>
        <w:t> </w:t>
      </w:r>
      <w:r>
        <w:rPr>
          <w:color w:val="231F20"/>
          <w:w w:val="105"/>
        </w:rPr>
        <w:t>a</w:t>
      </w:r>
      <w:r>
        <w:rPr>
          <w:color w:val="231F20"/>
          <w:spacing w:val="-21"/>
          <w:w w:val="105"/>
        </w:rPr>
        <w:t> </w:t>
      </w:r>
      <w:r>
        <w:rPr>
          <w:color w:val="231F20"/>
          <w:spacing w:val="-7"/>
          <w:w w:val="105"/>
        </w:rPr>
        <w:t>$17,987.00.</w:t>
      </w:r>
      <w:r>
        <w:rPr>
          <w:color w:val="231F20"/>
          <w:spacing w:val="-21"/>
          <w:w w:val="105"/>
        </w:rPr>
        <w:t> </w:t>
      </w:r>
      <w:r>
        <w:rPr>
          <w:color w:val="231F20"/>
          <w:w w:val="105"/>
        </w:rPr>
        <w:t>El</w:t>
      </w:r>
      <w:r>
        <w:rPr>
          <w:color w:val="231F20"/>
          <w:spacing w:val="-21"/>
          <w:w w:val="105"/>
        </w:rPr>
        <w:t> </w:t>
      </w:r>
      <w:r>
        <w:rPr>
          <w:color w:val="231F20"/>
          <w:w w:val="105"/>
        </w:rPr>
        <w:t>ingreso</w:t>
      </w:r>
      <w:r>
        <w:rPr>
          <w:color w:val="231F20"/>
          <w:spacing w:val="-21"/>
          <w:w w:val="105"/>
        </w:rPr>
        <w:t> </w:t>
      </w:r>
      <w:r>
        <w:rPr>
          <w:color w:val="231F20"/>
          <w:w w:val="105"/>
        </w:rPr>
        <w:t>per</w:t>
      </w:r>
      <w:r>
        <w:rPr>
          <w:color w:val="231F20"/>
          <w:spacing w:val="-21"/>
          <w:w w:val="105"/>
        </w:rPr>
        <w:t> </w:t>
      </w:r>
      <w:r>
        <w:rPr>
          <w:color w:val="231F20"/>
          <w:w w:val="105"/>
        </w:rPr>
        <w:t>cápita</w:t>
      </w:r>
      <w:r>
        <w:rPr>
          <w:color w:val="231F20"/>
          <w:spacing w:val="-21"/>
          <w:w w:val="105"/>
        </w:rPr>
        <w:t> </w:t>
      </w:r>
      <w:r>
        <w:rPr>
          <w:color w:val="231F20"/>
          <w:w w:val="105"/>
        </w:rPr>
        <w:t>anual</w:t>
      </w:r>
      <w:r>
        <w:rPr>
          <w:color w:val="231F20"/>
          <w:spacing w:val="-21"/>
          <w:w w:val="105"/>
        </w:rPr>
        <w:t> </w:t>
      </w:r>
      <w:r>
        <w:rPr>
          <w:color w:val="231F20"/>
          <w:w w:val="105"/>
        </w:rPr>
        <w:t>registrado</w:t>
      </w:r>
      <w:r>
        <w:rPr>
          <w:color w:val="231F20"/>
          <w:spacing w:val="-21"/>
          <w:w w:val="105"/>
        </w:rPr>
        <w:t> </w:t>
      </w:r>
      <w:r>
        <w:rPr>
          <w:color w:val="231F20"/>
          <w:w w:val="105"/>
        </w:rPr>
        <w:t>por dicho</w:t>
      </w:r>
      <w:r>
        <w:rPr>
          <w:color w:val="231F20"/>
          <w:spacing w:val="-17"/>
          <w:w w:val="105"/>
        </w:rPr>
        <w:t> </w:t>
      </w:r>
      <w:r>
        <w:rPr>
          <w:color w:val="231F20"/>
          <w:w w:val="105"/>
        </w:rPr>
        <w:t>municipio</w:t>
      </w:r>
      <w:r>
        <w:rPr>
          <w:color w:val="231F20"/>
          <w:spacing w:val="-17"/>
          <w:w w:val="105"/>
        </w:rPr>
        <w:t> </w:t>
      </w:r>
      <w:r>
        <w:rPr>
          <w:color w:val="231F20"/>
          <w:w w:val="105"/>
        </w:rPr>
        <w:t>se</w:t>
      </w:r>
      <w:r>
        <w:rPr>
          <w:color w:val="231F20"/>
          <w:spacing w:val="-17"/>
          <w:w w:val="105"/>
        </w:rPr>
        <w:t> </w:t>
      </w:r>
      <w:r>
        <w:rPr>
          <w:color w:val="231F20"/>
          <w:w w:val="105"/>
        </w:rPr>
        <w:t>convirtió</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nivel</w:t>
      </w:r>
      <w:r>
        <w:rPr>
          <w:color w:val="231F20"/>
          <w:spacing w:val="-17"/>
          <w:w w:val="105"/>
        </w:rPr>
        <w:t> </w:t>
      </w:r>
      <w:r>
        <w:rPr>
          <w:color w:val="231F20"/>
          <w:w w:val="105"/>
        </w:rPr>
        <w:t>más</w:t>
      </w:r>
      <w:r>
        <w:rPr>
          <w:color w:val="231F20"/>
          <w:spacing w:val="-17"/>
          <w:w w:val="105"/>
        </w:rPr>
        <w:t> </w:t>
      </w:r>
      <w:r>
        <w:rPr>
          <w:color w:val="231F20"/>
          <w:w w:val="105"/>
        </w:rPr>
        <w:t>alto</w:t>
      </w:r>
      <w:r>
        <w:rPr>
          <w:color w:val="231F20"/>
          <w:spacing w:val="-17"/>
          <w:w w:val="105"/>
        </w:rPr>
        <w:t> </w:t>
      </w:r>
      <w:r>
        <w:rPr>
          <w:color w:val="231F20"/>
          <w:w w:val="105"/>
        </w:rPr>
        <w:t>al</w:t>
      </w:r>
      <w:r>
        <w:rPr>
          <w:color w:val="231F20"/>
          <w:spacing w:val="-17"/>
          <w:w w:val="105"/>
        </w:rPr>
        <w:t> </w:t>
      </w:r>
      <w:r>
        <w:rPr>
          <w:color w:val="231F20"/>
          <w:w w:val="105"/>
        </w:rPr>
        <w:t>interior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3"/>
          <w:w w:val="105"/>
        </w:rPr>
        <w:t>entidad</w:t>
      </w:r>
      <w:r>
        <w:rPr>
          <w:color w:val="231F20"/>
          <w:spacing w:val="-17"/>
          <w:w w:val="105"/>
        </w:rPr>
        <w:t> </w:t>
      </w:r>
      <w:r>
        <w:rPr>
          <w:color w:val="231F20"/>
          <w:w w:val="105"/>
        </w:rPr>
        <w:t>mexiquense.</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6"/>
          <w:w w:val="105"/>
        </w:rPr>
        <w:t> </w:t>
      </w:r>
      <w:r>
        <w:rPr>
          <w:color w:val="231F20"/>
          <w:w w:val="105"/>
        </w:rPr>
        <w:t>configuración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económicamente</w:t>
      </w:r>
      <w:r>
        <w:rPr>
          <w:color w:val="231F20"/>
          <w:spacing w:val="-16"/>
          <w:w w:val="105"/>
        </w:rPr>
        <w:t> </w:t>
      </w:r>
      <w:r>
        <w:rPr>
          <w:color w:val="231F20"/>
          <w:w w:val="105"/>
        </w:rPr>
        <w:t>activa</w:t>
      </w:r>
      <w:r>
        <w:rPr>
          <w:color w:val="231F20"/>
          <w:spacing w:val="-16"/>
          <w:w w:val="105"/>
        </w:rPr>
        <w:t> </w:t>
      </w:r>
      <w:r>
        <w:rPr>
          <w:color w:val="231F20"/>
          <w:spacing w:val="-3"/>
          <w:w w:val="105"/>
        </w:rPr>
        <w:t>(PEA)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territorio</w:t>
      </w:r>
      <w:r>
        <w:rPr>
          <w:color w:val="231F20"/>
          <w:spacing w:val="-16"/>
          <w:w w:val="105"/>
        </w:rPr>
        <w:t> </w:t>
      </w:r>
      <w:r>
        <w:rPr>
          <w:color w:val="231F20"/>
          <w:w w:val="105"/>
        </w:rPr>
        <w:t>munici- pal</w:t>
      </w:r>
      <w:r>
        <w:rPr>
          <w:color w:val="231F20"/>
          <w:spacing w:val="-15"/>
          <w:w w:val="105"/>
        </w:rPr>
        <w:t> </w:t>
      </w:r>
      <w:r>
        <w:rPr>
          <w:color w:val="231F20"/>
          <w:w w:val="105"/>
        </w:rPr>
        <w:t>comprendía</w:t>
      </w:r>
      <w:r>
        <w:rPr>
          <w:color w:val="231F20"/>
          <w:spacing w:val="-15"/>
          <w:w w:val="105"/>
        </w:rPr>
        <w:t> </w:t>
      </w:r>
      <w:r>
        <w:rPr>
          <w:color w:val="231F20"/>
          <w:spacing w:val="2"/>
          <w:w w:val="105"/>
        </w:rPr>
        <w:t>al</w:t>
      </w:r>
      <w:r>
        <w:rPr>
          <w:color w:val="231F20"/>
          <w:spacing w:val="-15"/>
          <w:w w:val="105"/>
        </w:rPr>
        <w:t> </w:t>
      </w:r>
      <w:r>
        <w:rPr>
          <w:color w:val="231F20"/>
          <w:w w:val="105"/>
        </w:rPr>
        <w:t>33%</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habitantes</w:t>
      </w:r>
      <w:r>
        <w:rPr>
          <w:color w:val="231F20"/>
          <w:spacing w:val="-15"/>
          <w:w w:val="105"/>
        </w:rPr>
        <w:t> </w:t>
      </w:r>
      <w:r>
        <w:rPr>
          <w:color w:val="231F20"/>
          <w:w w:val="105"/>
        </w:rPr>
        <w:t>del</w:t>
      </w:r>
      <w:r>
        <w:rPr>
          <w:color w:val="231F20"/>
          <w:spacing w:val="-15"/>
          <w:w w:val="105"/>
        </w:rPr>
        <w:t> </w:t>
      </w:r>
      <w:r>
        <w:rPr>
          <w:color w:val="231F20"/>
          <w:w w:val="105"/>
        </w:rPr>
        <w:t>municipio</w:t>
      </w:r>
      <w:r>
        <w:rPr>
          <w:color w:val="231F20"/>
          <w:spacing w:val="-15"/>
          <w:w w:val="105"/>
        </w:rPr>
        <w:t> </w:t>
      </w:r>
      <w:r>
        <w:rPr>
          <w:color w:val="231F20"/>
          <w:w w:val="105"/>
        </w:rPr>
        <w:t>a</w:t>
      </w:r>
      <w:r>
        <w:rPr>
          <w:color w:val="231F20"/>
          <w:spacing w:val="-15"/>
          <w:w w:val="105"/>
        </w:rPr>
        <w:t> </w:t>
      </w:r>
      <w:r>
        <w:rPr>
          <w:color w:val="231F20"/>
          <w:w w:val="105"/>
        </w:rPr>
        <w:t>finales</w:t>
      </w:r>
      <w:r>
        <w:rPr>
          <w:color w:val="231F20"/>
          <w:spacing w:val="-15"/>
          <w:w w:val="105"/>
        </w:rPr>
        <w:t> </w:t>
      </w:r>
      <w:r>
        <w:rPr>
          <w:color w:val="231F20"/>
          <w:w w:val="105"/>
        </w:rPr>
        <w:t>del</w:t>
      </w:r>
      <w:r>
        <w:rPr>
          <w:color w:val="231F20"/>
          <w:spacing w:val="-15"/>
          <w:w w:val="105"/>
        </w:rPr>
        <w:t> </w:t>
      </w:r>
      <w:r>
        <w:rPr>
          <w:color w:val="231F20"/>
          <w:w w:val="105"/>
        </w:rPr>
        <w:t>año</w:t>
      </w:r>
      <w:r>
        <w:rPr>
          <w:color w:val="231F20"/>
          <w:spacing w:val="-15"/>
          <w:w w:val="105"/>
        </w:rPr>
        <w:t> </w:t>
      </w:r>
      <w:r>
        <w:rPr>
          <w:color w:val="231F20"/>
          <w:spacing w:val="2"/>
          <w:w w:val="105"/>
        </w:rPr>
        <w:t>2005.</w:t>
      </w:r>
      <w:r>
        <w:rPr>
          <w:color w:val="231F20"/>
          <w:spacing w:val="-15"/>
          <w:w w:val="105"/>
        </w:rPr>
        <w:t> </w:t>
      </w:r>
      <w:r>
        <w:rPr>
          <w:color w:val="231F20"/>
          <w:w w:val="105"/>
        </w:rPr>
        <w:t>De</w:t>
      </w:r>
      <w:r>
        <w:rPr>
          <w:color w:val="231F20"/>
          <w:spacing w:val="-15"/>
          <w:w w:val="105"/>
        </w:rPr>
        <w:t> </w:t>
      </w:r>
      <w:r>
        <w:rPr>
          <w:color w:val="231F20"/>
          <w:w w:val="105"/>
        </w:rPr>
        <w:t>éstos, a</w:t>
      </w:r>
      <w:r>
        <w:rPr>
          <w:color w:val="231F20"/>
          <w:spacing w:val="-17"/>
          <w:w w:val="105"/>
        </w:rPr>
        <w:t> </w:t>
      </w:r>
      <w:r>
        <w:rPr>
          <w:color w:val="231F20"/>
          <w:w w:val="105"/>
        </w:rPr>
        <w:t>pesar</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distribución</w:t>
      </w:r>
      <w:r>
        <w:rPr>
          <w:color w:val="231F20"/>
          <w:spacing w:val="-17"/>
          <w:w w:val="105"/>
        </w:rPr>
        <w:t> </w:t>
      </w:r>
      <w:r>
        <w:rPr>
          <w:color w:val="231F20"/>
          <w:w w:val="105"/>
        </w:rPr>
        <w:t>poblacional</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mujeres</w:t>
      </w:r>
      <w:r>
        <w:rPr>
          <w:color w:val="231F20"/>
          <w:spacing w:val="-17"/>
          <w:w w:val="105"/>
        </w:rPr>
        <w:t> </w:t>
      </w:r>
      <w:r>
        <w:rPr>
          <w:color w:val="231F20"/>
          <w:w w:val="105"/>
        </w:rPr>
        <w:t>es</w:t>
      </w:r>
      <w:r>
        <w:rPr>
          <w:color w:val="231F20"/>
          <w:spacing w:val="-17"/>
          <w:w w:val="105"/>
        </w:rPr>
        <w:t> </w:t>
      </w:r>
      <w:r>
        <w:rPr>
          <w:color w:val="231F20"/>
          <w:w w:val="105"/>
        </w:rPr>
        <w:t>mayor</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territorio,</w:t>
      </w:r>
      <w:r>
        <w:rPr>
          <w:color w:val="231F20"/>
          <w:spacing w:val="-17"/>
          <w:w w:val="105"/>
        </w:rPr>
        <w:t> </w:t>
      </w:r>
      <w:r>
        <w:rPr>
          <w:color w:val="231F20"/>
          <w:w w:val="105"/>
        </w:rPr>
        <w:t>los</w:t>
      </w:r>
      <w:r>
        <w:rPr>
          <w:color w:val="231F20"/>
          <w:spacing w:val="-17"/>
          <w:w w:val="105"/>
        </w:rPr>
        <w:t> </w:t>
      </w:r>
      <w:r>
        <w:rPr>
          <w:color w:val="231F20"/>
          <w:w w:val="105"/>
        </w:rPr>
        <w:t>hom- bres registraron la mayor </w:t>
      </w:r>
      <w:r>
        <w:rPr>
          <w:color w:val="231F20"/>
          <w:spacing w:val="-3"/>
          <w:w w:val="105"/>
        </w:rPr>
        <w:t>proporción </w:t>
      </w:r>
      <w:r>
        <w:rPr>
          <w:color w:val="231F20"/>
          <w:w w:val="105"/>
        </w:rPr>
        <w:t>en la integración de la PEA ocupada con el 62%, aproximadamente.</w:t>
      </w:r>
    </w:p>
    <w:p>
      <w:pPr>
        <w:pStyle w:val="BodyText"/>
        <w:spacing w:before="1"/>
        <w:rPr>
          <w:sz w:val="26"/>
        </w:rPr>
      </w:pPr>
    </w:p>
    <w:p>
      <w:pPr>
        <w:pStyle w:val="BodyText"/>
        <w:spacing w:line="285" w:lineRule="auto"/>
        <w:ind w:left="110" w:right="108"/>
        <w:jc w:val="both"/>
      </w:pPr>
      <w:r>
        <w:rPr/>
        <w:pict>
          <v:line style="position:absolute;mso-position-horizontal-relative:page;mso-position-vertical-relative:paragraph;z-index:2080;mso-wrap-distance-left:0;mso-wrap-distance-right:0" from="42.519699pt,35.255325pt" to="114.519699pt,35.255325pt" stroked="true" strokeweight="1pt" strokecolor="#231f20">
            <w10:wrap type="topAndBottom"/>
          </v:line>
        </w:pict>
      </w:r>
      <w:r>
        <w:rPr>
          <w:color w:val="231F20"/>
          <w:w w:val="105"/>
        </w:rPr>
        <w:t>La</w:t>
      </w:r>
      <w:r>
        <w:rPr>
          <w:color w:val="231F20"/>
          <w:spacing w:val="-6"/>
          <w:w w:val="105"/>
        </w:rPr>
        <w:t> </w:t>
      </w:r>
      <w:r>
        <w:rPr>
          <w:color w:val="231F20"/>
          <w:w w:val="105"/>
        </w:rPr>
        <w:t>distribución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PEA</w:t>
      </w:r>
      <w:r>
        <w:rPr>
          <w:color w:val="231F20"/>
          <w:spacing w:val="-6"/>
          <w:w w:val="105"/>
        </w:rPr>
        <w:t> </w:t>
      </w:r>
      <w:r>
        <w:rPr>
          <w:color w:val="231F20"/>
          <w:w w:val="105"/>
        </w:rPr>
        <w:t>por</w:t>
      </w:r>
      <w:r>
        <w:rPr>
          <w:color w:val="231F20"/>
          <w:spacing w:val="-6"/>
          <w:w w:val="105"/>
        </w:rPr>
        <w:t> </w:t>
      </w:r>
      <w:r>
        <w:rPr>
          <w:color w:val="231F20"/>
          <w:w w:val="105"/>
        </w:rPr>
        <w:t>ramo</w:t>
      </w:r>
      <w:r>
        <w:rPr>
          <w:color w:val="231F20"/>
          <w:spacing w:val="-6"/>
          <w:w w:val="105"/>
        </w:rPr>
        <w:t> </w:t>
      </w:r>
      <w:r>
        <w:rPr>
          <w:color w:val="231F20"/>
          <w:w w:val="105"/>
        </w:rPr>
        <w:t>de</w:t>
      </w:r>
      <w:r>
        <w:rPr>
          <w:color w:val="231F20"/>
          <w:spacing w:val="-6"/>
          <w:w w:val="105"/>
        </w:rPr>
        <w:t> </w:t>
      </w:r>
      <w:r>
        <w:rPr>
          <w:color w:val="231F20"/>
          <w:w w:val="105"/>
        </w:rPr>
        <w:t>actividad</w:t>
      </w:r>
      <w:r>
        <w:rPr>
          <w:color w:val="231F20"/>
          <w:spacing w:val="-6"/>
          <w:w w:val="105"/>
        </w:rPr>
        <w:t> </w:t>
      </w:r>
      <w:r>
        <w:rPr>
          <w:color w:val="231F20"/>
          <w:w w:val="105"/>
        </w:rPr>
        <w:t>productiva</w:t>
      </w:r>
      <w:r>
        <w:rPr>
          <w:color w:val="231F20"/>
          <w:spacing w:val="-6"/>
          <w:w w:val="105"/>
        </w:rPr>
        <w:t> </w:t>
      </w:r>
      <w:r>
        <w:rPr>
          <w:color w:val="231F20"/>
          <w:w w:val="105"/>
        </w:rPr>
        <w:t>muestra</w:t>
      </w:r>
      <w:r>
        <w:rPr>
          <w:color w:val="231F20"/>
          <w:spacing w:val="-6"/>
          <w:w w:val="105"/>
        </w:rPr>
        <w:t> </w:t>
      </w:r>
      <w:r>
        <w:rPr>
          <w:color w:val="231F20"/>
          <w:w w:val="105"/>
        </w:rPr>
        <w:t>en</w:t>
      </w:r>
      <w:r>
        <w:rPr>
          <w:color w:val="231F20"/>
          <w:spacing w:val="-6"/>
          <w:w w:val="105"/>
        </w:rPr>
        <w:t> </w:t>
      </w:r>
      <w:r>
        <w:rPr>
          <w:color w:val="231F20"/>
          <w:w w:val="105"/>
        </w:rPr>
        <w:t>su</w:t>
      </w:r>
      <w:r>
        <w:rPr>
          <w:color w:val="231F20"/>
          <w:spacing w:val="-6"/>
          <w:w w:val="105"/>
        </w:rPr>
        <w:t> </w:t>
      </w:r>
      <w:r>
        <w:rPr>
          <w:color w:val="231F20"/>
          <w:w w:val="105"/>
        </w:rPr>
        <w:t>mayoría</w:t>
      </w:r>
      <w:r>
        <w:rPr>
          <w:color w:val="231F20"/>
          <w:spacing w:val="-6"/>
          <w:w w:val="105"/>
        </w:rPr>
        <w:t> </w:t>
      </w:r>
      <w:r>
        <w:rPr>
          <w:color w:val="231F20"/>
          <w:w w:val="105"/>
        </w:rPr>
        <w:t>las características de un entorno urbano </w:t>
      </w:r>
      <w:r>
        <w:rPr>
          <w:color w:val="231F20"/>
          <w:spacing w:val="2"/>
          <w:w w:val="105"/>
        </w:rPr>
        <w:t>al </w:t>
      </w:r>
      <w:r>
        <w:rPr>
          <w:color w:val="231F20"/>
          <w:w w:val="105"/>
        </w:rPr>
        <w:t>concentrarse en mayor medida en las</w:t>
      </w:r>
      <w:r>
        <w:rPr>
          <w:color w:val="231F20"/>
          <w:spacing w:val="-12"/>
          <w:w w:val="105"/>
        </w:rPr>
        <w:t> </w:t>
      </w:r>
      <w:r>
        <w:rPr>
          <w:color w:val="231F20"/>
          <w:w w:val="105"/>
        </w:rPr>
        <w:t>activida-</w:t>
      </w:r>
    </w:p>
    <w:p>
      <w:pPr>
        <w:pStyle w:val="ListParagraph"/>
        <w:numPr>
          <w:ilvl w:val="0"/>
          <w:numId w:val="3"/>
        </w:numPr>
        <w:tabs>
          <w:tab w:pos="288" w:val="left" w:leader="none"/>
        </w:tabs>
        <w:spacing w:line="244" w:lineRule="auto" w:before="8" w:after="0"/>
        <w:ind w:left="110" w:right="108" w:firstLine="0"/>
        <w:jc w:val="left"/>
        <w:rPr>
          <w:sz w:val="16"/>
        </w:rPr>
      </w:pPr>
      <w:r>
        <w:rPr>
          <w:color w:val="231F20"/>
          <w:sz w:val="16"/>
        </w:rPr>
        <w:t>El</w:t>
      </w:r>
      <w:r>
        <w:rPr>
          <w:color w:val="231F20"/>
          <w:spacing w:val="-3"/>
          <w:sz w:val="16"/>
        </w:rPr>
        <w:t> </w:t>
      </w:r>
      <w:r>
        <w:rPr>
          <w:color w:val="231F20"/>
          <w:sz w:val="16"/>
        </w:rPr>
        <w:t>Índice</w:t>
      </w:r>
      <w:r>
        <w:rPr>
          <w:color w:val="231F20"/>
          <w:spacing w:val="-3"/>
          <w:sz w:val="16"/>
        </w:rPr>
        <w:t> </w:t>
      </w:r>
      <w:r>
        <w:rPr>
          <w:color w:val="231F20"/>
          <w:sz w:val="16"/>
        </w:rPr>
        <w:t>de</w:t>
      </w:r>
      <w:r>
        <w:rPr>
          <w:color w:val="231F20"/>
          <w:spacing w:val="-3"/>
          <w:sz w:val="16"/>
        </w:rPr>
        <w:t> </w:t>
      </w:r>
      <w:r>
        <w:rPr>
          <w:color w:val="231F20"/>
          <w:sz w:val="16"/>
        </w:rPr>
        <w:t>Desarrollo</w:t>
      </w:r>
      <w:r>
        <w:rPr>
          <w:color w:val="231F20"/>
          <w:spacing w:val="-3"/>
          <w:sz w:val="16"/>
        </w:rPr>
        <w:t> </w:t>
      </w:r>
      <w:r>
        <w:rPr>
          <w:color w:val="231F20"/>
          <w:sz w:val="16"/>
        </w:rPr>
        <w:t>Humano</w:t>
      </w:r>
      <w:r>
        <w:rPr>
          <w:color w:val="231F20"/>
          <w:spacing w:val="-3"/>
          <w:sz w:val="16"/>
        </w:rPr>
        <w:t> </w:t>
      </w:r>
      <w:r>
        <w:rPr>
          <w:color w:val="231F20"/>
          <w:sz w:val="16"/>
        </w:rPr>
        <w:t>elaborado</w:t>
      </w:r>
      <w:r>
        <w:rPr>
          <w:color w:val="231F20"/>
          <w:spacing w:val="-3"/>
          <w:sz w:val="16"/>
        </w:rPr>
        <w:t> </w:t>
      </w:r>
      <w:r>
        <w:rPr>
          <w:color w:val="231F20"/>
          <w:sz w:val="16"/>
        </w:rPr>
        <w:t>por</w:t>
      </w:r>
      <w:r>
        <w:rPr>
          <w:color w:val="231F20"/>
          <w:spacing w:val="-3"/>
          <w:sz w:val="16"/>
        </w:rPr>
        <w:t> </w:t>
      </w:r>
      <w:r>
        <w:rPr>
          <w:color w:val="231F20"/>
          <w:sz w:val="16"/>
        </w:rPr>
        <w:t>el</w:t>
      </w:r>
      <w:r>
        <w:rPr>
          <w:color w:val="231F20"/>
          <w:spacing w:val="-3"/>
          <w:sz w:val="16"/>
        </w:rPr>
        <w:t> </w:t>
      </w:r>
      <w:r>
        <w:rPr>
          <w:color w:val="231F20"/>
          <w:sz w:val="16"/>
        </w:rPr>
        <w:t>PNUD</w:t>
      </w:r>
      <w:r>
        <w:rPr>
          <w:color w:val="231F20"/>
          <w:spacing w:val="-3"/>
          <w:sz w:val="16"/>
        </w:rPr>
        <w:t> </w:t>
      </w:r>
      <w:r>
        <w:rPr>
          <w:color w:val="231F20"/>
          <w:sz w:val="16"/>
        </w:rPr>
        <w:t>para</w:t>
      </w:r>
      <w:r>
        <w:rPr>
          <w:color w:val="231F20"/>
          <w:spacing w:val="-3"/>
          <w:sz w:val="16"/>
        </w:rPr>
        <w:t> </w:t>
      </w:r>
      <w:r>
        <w:rPr>
          <w:color w:val="231F20"/>
          <w:sz w:val="16"/>
        </w:rPr>
        <w:t>los</w:t>
      </w:r>
      <w:r>
        <w:rPr>
          <w:color w:val="231F20"/>
          <w:spacing w:val="-3"/>
          <w:sz w:val="16"/>
        </w:rPr>
        <w:t> </w:t>
      </w:r>
      <w:r>
        <w:rPr>
          <w:color w:val="231F20"/>
          <w:sz w:val="16"/>
        </w:rPr>
        <w:t>años</w:t>
      </w:r>
      <w:r>
        <w:rPr>
          <w:color w:val="231F20"/>
          <w:spacing w:val="-3"/>
          <w:sz w:val="16"/>
        </w:rPr>
        <w:t> </w:t>
      </w:r>
      <w:r>
        <w:rPr>
          <w:color w:val="231F20"/>
          <w:sz w:val="16"/>
        </w:rPr>
        <w:t>2000</w:t>
      </w:r>
      <w:r>
        <w:rPr>
          <w:color w:val="231F20"/>
          <w:spacing w:val="-3"/>
          <w:sz w:val="16"/>
        </w:rPr>
        <w:t> </w:t>
      </w:r>
      <w:r>
        <w:rPr>
          <w:color w:val="231F20"/>
          <w:sz w:val="16"/>
        </w:rPr>
        <w:t>y</w:t>
      </w:r>
      <w:r>
        <w:rPr>
          <w:color w:val="231F20"/>
          <w:spacing w:val="-3"/>
          <w:sz w:val="16"/>
        </w:rPr>
        <w:t> </w:t>
      </w:r>
      <w:r>
        <w:rPr>
          <w:color w:val="231F20"/>
          <w:sz w:val="16"/>
        </w:rPr>
        <w:t>2005</w:t>
      </w:r>
      <w:r>
        <w:rPr>
          <w:color w:val="231F20"/>
          <w:spacing w:val="-3"/>
          <w:sz w:val="16"/>
        </w:rPr>
        <w:t> </w:t>
      </w:r>
      <w:r>
        <w:rPr>
          <w:color w:val="231F20"/>
          <w:sz w:val="16"/>
        </w:rPr>
        <w:t>establece</w:t>
      </w:r>
      <w:r>
        <w:rPr>
          <w:color w:val="231F20"/>
          <w:spacing w:val="-3"/>
          <w:sz w:val="16"/>
        </w:rPr>
        <w:t> </w:t>
      </w:r>
      <w:r>
        <w:rPr>
          <w:color w:val="231F20"/>
          <w:sz w:val="16"/>
        </w:rPr>
        <w:t>que</w:t>
      </w:r>
      <w:r>
        <w:rPr>
          <w:color w:val="231F20"/>
          <w:spacing w:val="-3"/>
          <w:sz w:val="16"/>
        </w:rPr>
        <w:t> </w:t>
      </w:r>
      <w:r>
        <w:rPr>
          <w:color w:val="231F20"/>
          <w:sz w:val="16"/>
        </w:rPr>
        <w:t>la</w:t>
      </w:r>
      <w:r>
        <w:rPr>
          <w:color w:val="231F20"/>
          <w:spacing w:val="-3"/>
          <w:sz w:val="16"/>
        </w:rPr>
        <w:t> </w:t>
      </w:r>
      <w:r>
        <w:rPr>
          <w:color w:val="231F20"/>
          <w:sz w:val="16"/>
        </w:rPr>
        <w:t>medición</w:t>
      </w:r>
      <w:r>
        <w:rPr>
          <w:color w:val="231F20"/>
          <w:spacing w:val="-3"/>
          <w:sz w:val="16"/>
        </w:rPr>
        <w:t> </w:t>
      </w:r>
      <w:r>
        <w:rPr>
          <w:color w:val="231F20"/>
          <w:sz w:val="16"/>
        </w:rPr>
        <w:t>del</w:t>
      </w:r>
      <w:r>
        <w:rPr>
          <w:color w:val="231F20"/>
          <w:spacing w:val="-3"/>
          <w:sz w:val="16"/>
        </w:rPr>
        <w:t> </w:t>
      </w:r>
      <w:r>
        <w:rPr>
          <w:color w:val="231F20"/>
          <w:sz w:val="16"/>
        </w:rPr>
        <w:t>ingreso se</w:t>
      </w:r>
      <w:r>
        <w:rPr>
          <w:color w:val="231F20"/>
          <w:spacing w:val="-16"/>
          <w:sz w:val="16"/>
        </w:rPr>
        <w:t> </w:t>
      </w:r>
      <w:r>
        <w:rPr>
          <w:color w:val="231F20"/>
          <w:sz w:val="16"/>
        </w:rPr>
        <w:t>realizó</w:t>
      </w:r>
      <w:r>
        <w:rPr>
          <w:color w:val="231F20"/>
          <w:spacing w:val="-16"/>
          <w:sz w:val="16"/>
        </w:rPr>
        <w:t> </w:t>
      </w:r>
      <w:r>
        <w:rPr>
          <w:color w:val="231F20"/>
          <w:sz w:val="16"/>
        </w:rPr>
        <w:t>en</w:t>
      </w:r>
      <w:r>
        <w:rPr>
          <w:color w:val="231F20"/>
          <w:spacing w:val="-16"/>
          <w:sz w:val="16"/>
        </w:rPr>
        <w:t> </w:t>
      </w:r>
      <w:r>
        <w:rPr>
          <w:color w:val="231F20"/>
          <w:sz w:val="16"/>
        </w:rPr>
        <w:t>dólares</w:t>
      </w:r>
      <w:r>
        <w:rPr>
          <w:color w:val="231F20"/>
          <w:spacing w:val="-16"/>
          <w:sz w:val="16"/>
        </w:rPr>
        <w:t> </w:t>
      </w:r>
      <w:r>
        <w:rPr>
          <w:color w:val="231F20"/>
          <w:sz w:val="16"/>
        </w:rPr>
        <w:t>PPC.</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des</w:t>
      </w:r>
      <w:r>
        <w:rPr>
          <w:color w:val="231F20"/>
          <w:spacing w:val="-23"/>
          <w:w w:val="105"/>
        </w:rPr>
        <w:t> </w:t>
      </w:r>
      <w:r>
        <w:rPr>
          <w:color w:val="231F20"/>
          <w:w w:val="105"/>
        </w:rPr>
        <w:t>del</w:t>
      </w:r>
      <w:r>
        <w:rPr>
          <w:color w:val="231F20"/>
          <w:spacing w:val="-23"/>
          <w:w w:val="105"/>
        </w:rPr>
        <w:t> </w:t>
      </w:r>
      <w:r>
        <w:rPr>
          <w:color w:val="231F20"/>
          <w:w w:val="105"/>
        </w:rPr>
        <w:t>sector</w:t>
      </w:r>
      <w:r>
        <w:rPr>
          <w:color w:val="231F20"/>
          <w:spacing w:val="-23"/>
          <w:w w:val="105"/>
        </w:rPr>
        <w:t> </w:t>
      </w:r>
      <w:r>
        <w:rPr>
          <w:color w:val="231F20"/>
          <w:w w:val="105"/>
        </w:rPr>
        <w:t>terciario.</w:t>
      </w:r>
      <w:r>
        <w:rPr>
          <w:color w:val="231F20"/>
          <w:spacing w:val="-23"/>
          <w:w w:val="105"/>
        </w:rPr>
        <w:t> </w:t>
      </w:r>
      <w:r>
        <w:rPr>
          <w:color w:val="231F20"/>
          <w:w w:val="105"/>
        </w:rPr>
        <w:t>Las</w:t>
      </w:r>
      <w:r>
        <w:rPr>
          <w:color w:val="231F20"/>
          <w:spacing w:val="-23"/>
          <w:w w:val="105"/>
        </w:rPr>
        <w:t> </w:t>
      </w:r>
      <w:r>
        <w:rPr>
          <w:color w:val="231F20"/>
          <w:w w:val="105"/>
        </w:rPr>
        <w:t>de</w:t>
      </w:r>
      <w:r>
        <w:rPr>
          <w:color w:val="231F20"/>
          <w:spacing w:val="-23"/>
          <w:w w:val="105"/>
        </w:rPr>
        <w:t> </w:t>
      </w:r>
      <w:r>
        <w:rPr>
          <w:color w:val="231F20"/>
          <w:w w:val="105"/>
        </w:rPr>
        <w:t>mayores</w:t>
      </w:r>
      <w:r>
        <w:rPr>
          <w:color w:val="231F20"/>
          <w:spacing w:val="-23"/>
          <w:w w:val="105"/>
        </w:rPr>
        <w:t> </w:t>
      </w:r>
      <w:r>
        <w:rPr>
          <w:color w:val="231F20"/>
          <w:w w:val="105"/>
        </w:rPr>
        <w:t>porcentajes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PEA</w:t>
      </w:r>
      <w:r>
        <w:rPr>
          <w:color w:val="231F20"/>
          <w:spacing w:val="-23"/>
          <w:w w:val="105"/>
        </w:rPr>
        <w:t> </w:t>
      </w:r>
      <w:r>
        <w:rPr>
          <w:color w:val="231F20"/>
          <w:w w:val="105"/>
        </w:rPr>
        <w:t>son</w:t>
      </w:r>
      <w:r>
        <w:rPr>
          <w:color w:val="231F20"/>
          <w:spacing w:val="-23"/>
          <w:w w:val="105"/>
        </w:rPr>
        <w:t> </w:t>
      </w:r>
      <w:r>
        <w:rPr>
          <w:color w:val="231F20"/>
          <w:w w:val="105"/>
        </w:rPr>
        <w:t>el</w:t>
      </w:r>
      <w:r>
        <w:rPr>
          <w:color w:val="231F20"/>
          <w:spacing w:val="-23"/>
          <w:w w:val="105"/>
        </w:rPr>
        <w:t> </w:t>
      </w:r>
      <w:r>
        <w:rPr>
          <w:color w:val="231F20"/>
          <w:w w:val="105"/>
        </w:rPr>
        <w:t>comercio</w:t>
      </w:r>
      <w:r>
        <w:rPr>
          <w:color w:val="231F20"/>
          <w:spacing w:val="-23"/>
          <w:w w:val="105"/>
        </w:rPr>
        <w:t> </w:t>
      </w:r>
      <w:r>
        <w:rPr>
          <w:color w:val="231F20"/>
          <w:spacing w:val="-4"/>
          <w:w w:val="105"/>
        </w:rPr>
        <w:t>(13.87%), </w:t>
      </w:r>
      <w:r>
        <w:rPr>
          <w:color w:val="231F20"/>
          <w:w w:val="105"/>
        </w:rPr>
        <w:t>las</w:t>
      </w:r>
      <w:r>
        <w:rPr>
          <w:color w:val="231F20"/>
          <w:spacing w:val="-16"/>
          <w:w w:val="105"/>
        </w:rPr>
        <w:t> </w:t>
      </w:r>
      <w:r>
        <w:rPr>
          <w:color w:val="231F20"/>
          <w:w w:val="105"/>
        </w:rPr>
        <w:t>industrias</w:t>
      </w:r>
      <w:r>
        <w:rPr>
          <w:color w:val="231F20"/>
          <w:spacing w:val="-16"/>
          <w:w w:val="105"/>
        </w:rPr>
        <w:t> </w:t>
      </w:r>
      <w:r>
        <w:rPr>
          <w:color w:val="231F20"/>
          <w:w w:val="105"/>
        </w:rPr>
        <w:t>manufactureras</w:t>
      </w:r>
      <w:r>
        <w:rPr>
          <w:color w:val="231F20"/>
          <w:spacing w:val="-16"/>
          <w:w w:val="105"/>
        </w:rPr>
        <w:t> </w:t>
      </w:r>
      <w:r>
        <w:rPr>
          <w:color w:val="231F20"/>
          <w:spacing w:val="-4"/>
          <w:w w:val="105"/>
        </w:rPr>
        <w:t>(13.32%)</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construcción</w:t>
      </w:r>
      <w:r>
        <w:rPr>
          <w:color w:val="231F20"/>
          <w:spacing w:val="-16"/>
          <w:w w:val="105"/>
        </w:rPr>
        <w:t> </w:t>
      </w:r>
      <w:r>
        <w:rPr>
          <w:color w:val="231F20"/>
          <w:spacing w:val="-5"/>
          <w:w w:val="105"/>
        </w:rPr>
        <w:t>(10.82%),</w:t>
      </w:r>
      <w:r>
        <w:rPr>
          <w:color w:val="231F20"/>
          <w:spacing w:val="-16"/>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el</w:t>
      </w:r>
      <w:r>
        <w:rPr>
          <w:color w:val="231F20"/>
          <w:spacing w:val="-16"/>
          <w:w w:val="105"/>
        </w:rPr>
        <w:t> </w:t>
      </w:r>
      <w:r>
        <w:rPr>
          <w:color w:val="231F20"/>
          <w:w w:val="105"/>
        </w:rPr>
        <w:t>rubro</w:t>
      </w:r>
      <w:r>
        <w:rPr>
          <w:color w:val="231F20"/>
          <w:spacing w:val="-16"/>
          <w:w w:val="105"/>
        </w:rPr>
        <w:t> </w:t>
      </w:r>
      <w:r>
        <w:rPr>
          <w:color w:val="231F20"/>
          <w:w w:val="105"/>
        </w:rPr>
        <w:t>de </w:t>
      </w:r>
      <w:r>
        <w:rPr>
          <w:color w:val="231F20"/>
          <w:spacing w:val="-3"/>
          <w:w w:val="105"/>
        </w:rPr>
        <w:t>“otros </w:t>
      </w:r>
      <w:r>
        <w:rPr>
          <w:color w:val="231F20"/>
          <w:w w:val="105"/>
        </w:rPr>
        <w:t>excepto </w:t>
      </w:r>
      <w:r>
        <w:rPr>
          <w:color w:val="231F20"/>
          <w:spacing w:val="-3"/>
          <w:w w:val="105"/>
        </w:rPr>
        <w:t>gobierno” </w:t>
      </w:r>
      <w:r>
        <w:rPr>
          <w:color w:val="231F20"/>
          <w:spacing w:val="-5"/>
          <w:w w:val="105"/>
        </w:rPr>
        <w:t>(22.74%); </w:t>
      </w:r>
      <w:r>
        <w:rPr>
          <w:color w:val="231F20"/>
          <w:w w:val="105"/>
        </w:rPr>
        <w:t>entre estos se agrupa a un poco más del 60% de la PEA</w:t>
      </w:r>
      <w:r>
        <w:rPr>
          <w:color w:val="231F20"/>
          <w:spacing w:val="-30"/>
          <w:w w:val="105"/>
        </w:rPr>
        <w:t> </w:t>
      </w:r>
      <w:r>
        <w:rPr>
          <w:color w:val="231F20"/>
          <w:w w:val="105"/>
        </w:rPr>
        <w:t>del</w:t>
      </w:r>
      <w:r>
        <w:rPr>
          <w:color w:val="231F20"/>
          <w:spacing w:val="-30"/>
          <w:w w:val="105"/>
        </w:rPr>
        <w:t> </w:t>
      </w:r>
      <w:r>
        <w:rPr>
          <w:color w:val="231F20"/>
          <w:w w:val="105"/>
        </w:rPr>
        <w:t>municipio</w:t>
      </w:r>
      <w:r>
        <w:rPr>
          <w:color w:val="231F20"/>
          <w:spacing w:val="-30"/>
          <w:w w:val="105"/>
        </w:rPr>
        <w:t> </w:t>
      </w:r>
      <w:r>
        <w:rPr>
          <w:color w:val="231F20"/>
          <w:w w:val="105"/>
        </w:rPr>
        <w:t>(tabla</w:t>
      </w:r>
      <w:r>
        <w:rPr>
          <w:color w:val="231F20"/>
          <w:spacing w:val="-30"/>
          <w:w w:val="105"/>
        </w:rPr>
        <w:t> </w:t>
      </w:r>
      <w:r>
        <w:rPr>
          <w:color w:val="231F20"/>
          <w:spacing w:val="-5"/>
          <w:w w:val="105"/>
        </w:rPr>
        <w:t>4).</w:t>
      </w:r>
    </w:p>
    <w:p>
      <w:pPr>
        <w:pStyle w:val="BodyText"/>
        <w:spacing w:before="1"/>
        <w:rPr>
          <w:sz w:val="26"/>
        </w:rPr>
      </w:pPr>
    </w:p>
    <w:p>
      <w:pPr>
        <w:pStyle w:val="Heading5"/>
        <w:spacing w:line="285" w:lineRule="auto"/>
        <w:ind w:left="2939" w:hanging="2358"/>
      </w:pPr>
      <w:r>
        <w:rPr>
          <w:color w:val="231F20"/>
          <w:spacing w:val="-4"/>
          <w:w w:val="105"/>
        </w:rPr>
        <w:t>Tabla</w:t>
      </w:r>
      <w:r>
        <w:rPr>
          <w:color w:val="231F20"/>
          <w:spacing w:val="-23"/>
          <w:w w:val="105"/>
        </w:rPr>
        <w:t> </w:t>
      </w:r>
      <w:r>
        <w:rPr>
          <w:color w:val="231F20"/>
          <w:w w:val="105"/>
        </w:rPr>
        <w:t>4.</w:t>
      </w:r>
      <w:r>
        <w:rPr>
          <w:color w:val="231F20"/>
          <w:spacing w:val="-23"/>
          <w:w w:val="105"/>
        </w:rPr>
        <w:t> </w:t>
      </w:r>
      <w:r>
        <w:rPr>
          <w:color w:val="231F20"/>
          <w:w w:val="105"/>
        </w:rPr>
        <w:t>Población</w:t>
      </w:r>
      <w:r>
        <w:rPr>
          <w:color w:val="231F20"/>
          <w:spacing w:val="-23"/>
          <w:w w:val="105"/>
        </w:rPr>
        <w:t> </w:t>
      </w:r>
      <w:r>
        <w:rPr>
          <w:color w:val="231F20"/>
          <w:w w:val="105"/>
        </w:rPr>
        <w:t>Económicamente</w:t>
      </w:r>
      <w:r>
        <w:rPr>
          <w:color w:val="231F20"/>
          <w:spacing w:val="-23"/>
          <w:w w:val="105"/>
        </w:rPr>
        <w:t> </w:t>
      </w:r>
      <w:r>
        <w:rPr>
          <w:color w:val="231F20"/>
          <w:w w:val="105"/>
        </w:rPr>
        <w:t>Activa</w:t>
      </w:r>
      <w:r>
        <w:rPr>
          <w:color w:val="231F20"/>
          <w:spacing w:val="-23"/>
          <w:w w:val="105"/>
        </w:rPr>
        <w:t> </w:t>
      </w:r>
      <w:r>
        <w:rPr>
          <w:color w:val="231F20"/>
          <w:spacing w:val="-3"/>
          <w:w w:val="105"/>
        </w:rPr>
        <w:t>(PEA)</w:t>
      </w:r>
      <w:r>
        <w:rPr>
          <w:color w:val="231F20"/>
          <w:spacing w:val="-23"/>
          <w:w w:val="105"/>
        </w:rPr>
        <w:t> </w:t>
      </w:r>
      <w:r>
        <w:rPr>
          <w:color w:val="231F20"/>
          <w:w w:val="105"/>
        </w:rPr>
        <w:t>por</w:t>
      </w:r>
      <w:r>
        <w:rPr>
          <w:color w:val="231F20"/>
          <w:spacing w:val="-23"/>
          <w:w w:val="105"/>
        </w:rPr>
        <w:t> </w:t>
      </w:r>
      <w:r>
        <w:rPr>
          <w:color w:val="231F20"/>
          <w:w w:val="105"/>
        </w:rPr>
        <w:t>ramo</w:t>
      </w:r>
      <w:r>
        <w:rPr>
          <w:color w:val="231F20"/>
          <w:spacing w:val="-23"/>
          <w:w w:val="105"/>
        </w:rPr>
        <w:t> </w:t>
      </w:r>
      <w:r>
        <w:rPr>
          <w:color w:val="231F20"/>
          <w:w w:val="105"/>
        </w:rPr>
        <w:t>de</w:t>
      </w:r>
      <w:r>
        <w:rPr>
          <w:color w:val="231F20"/>
          <w:spacing w:val="-23"/>
          <w:w w:val="105"/>
        </w:rPr>
        <w:t> </w:t>
      </w:r>
      <w:r>
        <w:rPr>
          <w:color w:val="231F20"/>
          <w:w w:val="105"/>
        </w:rPr>
        <w:t>actividad en Huixquilucan,</w:t>
      </w:r>
      <w:r>
        <w:rPr>
          <w:color w:val="231F20"/>
          <w:spacing w:val="-5"/>
          <w:w w:val="105"/>
        </w:rPr>
        <w:t> </w:t>
      </w:r>
      <w:r>
        <w:rPr>
          <w:color w:val="231F20"/>
          <w:w w:val="105"/>
        </w:rPr>
        <w:t>2005.</w:t>
      </w:r>
    </w:p>
    <w:p>
      <w:pPr>
        <w:pStyle w:val="BodyText"/>
        <w:spacing w:before="9" w:after="1"/>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93"/>
        <w:gridCol w:w="2077"/>
        <w:gridCol w:w="2857"/>
      </w:tblGrid>
      <w:tr>
        <w:trPr>
          <w:trHeight w:val="135" w:hRule="exact"/>
        </w:trPr>
        <w:tc>
          <w:tcPr>
            <w:tcW w:w="2993" w:type="dxa"/>
            <w:tcBorders>
              <w:bottom w:val="single" w:sz="8" w:space="0" w:color="231F20"/>
            </w:tcBorders>
          </w:tcPr>
          <w:p>
            <w:pPr>
              <w:pStyle w:val="TableParagraph"/>
              <w:spacing w:line="160" w:lineRule="exact"/>
              <w:ind w:left="378" w:right="377"/>
              <w:jc w:val="center"/>
              <w:rPr>
                <w:b/>
                <w:sz w:val="16"/>
              </w:rPr>
            </w:pPr>
            <w:r>
              <w:rPr>
                <w:b/>
                <w:color w:val="231F20"/>
                <w:w w:val="95"/>
                <w:sz w:val="16"/>
              </w:rPr>
              <w:t>Actividad</w:t>
            </w:r>
          </w:p>
        </w:tc>
        <w:tc>
          <w:tcPr>
            <w:tcW w:w="2077" w:type="dxa"/>
            <w:tcBorders>
              <w:bottom w:val="single" w:sz="8" w:space="0" w:color="231F20"/>
            </w:tcBorders>
          </w:tcPr>
          <w:p>
            <w:pPr>
              <w:pStyle w:val="TableParagraph"/>
              <w:spacing w:line="160" w:lineRule="exact"/>
              <w:ind w:left="729" w:right="727"/>
              <w:jc w:val="center"/>
              <w:rPr>
                <w:b/>
                <w:sz w:val="16"/>
              </w:rPr>
            </w:pPr>
            <w:r>
              <w:rPr>
                <w:b/>
                <w:color w:val="231F20"/>
                <w:w w:val="95"/>
                <w:sz w:val="16"/>
              </w:rPr>
              <w:t>Personas</w:t>
            </w:r>
          </w:p>
        </w:tc>
        <w:tc>
          <w:tcPr>
            <w:tcW w:w="2857" w:type="dxa"/>
            <w:tcBorders>
              <w:bottom w:val="single" w:sz="8" w:space="0" w:color="231F20"/>
            </w:tcBorders>
          </w:tcPr>
          <w:p>
            <w:pPr>
              <w:pStyle w:val="TableParagraph"/>
              <w:spacing w:line="160" w:lineRule="exact"/>
              <w:ind w:left="1062" w:right="1062"/>
              <w:jc w:val="center"/>
              <w:rPr>
                <w:b/>
                <w:sz w:val="16"/>
              </w:rPr>
            </w:pPr>
            <w:r>
              <w:rPr>
                <w:b/>
                <w:color w:val="231F20"/>
                <w:w w:val="95"/>
                <w:sz w:val="16"/>
              </w:rPr>
              <w:t>Porcentaje</w:t>
            </w:r>
          </w:p>
        </w:tc>
      </w:tr>
      <w:tr>
        <w:trPr>
          <w:trHeight w:val="135" w:hRule="exact"/>
        </w:trPr>
        <w:tc>
          <w:tcPr>
            <w:tcW w:w="2993" w:type="dxa"/>
            <w:tcBorders>
              <w:top w:val="single" w:sz="8" w:space="0" w:color="231F20"/>
            </w:tcBorders>
          </w:tcPr>
          <w:p>
            <w:pPr>
              <w:pStyle w:val="TableParagraph"/>
              <w:spacing w:line="160" w:lineRule="exact"/>
              <w:ind w:left="378" w:right="377"/>
              <w:jc w:val="center"/>
              <w:rPr>
                <w:sz w:val="16"/>
              </w:rPr>
            </w:pPr>
            <w:r>
              <w:rPr>
                <w:color w:val="231F20"/>
                <w:w w:val="85"/>
                <w:sz w:val="16"/>
              </w:rPr>
              <w:t>Comercio</w:t>
            </w:r>
          </w:p>
        </w:tc>
        <w:tc>
          <w:tcPr>
            <w:tcW w:w="2077" w:type="dxa"/>
            <w:tcBorders>
              <w:top w:val="single" w:sz="8" w:space="0" w:color="231F20"/>
            </w:tcBorders>
          </w:tcPr>
          <w:p>
            <w:pPr>
              <w:pStyle w:val="TableParagraph"/>
              <w:spacing w:line="160" w:lineRule="exact"/>
              <w:ind w:left="727" w:right="727"/>
              <w:jc w:val="center"/>
              <w:rPr>
                <w:sz w:val="16"/>
              </w:rPr>
            </w:pPr>
            <w:r>
              <w:rPr>
                <w:color w:val="231F20"/>
                <w:w w:val="85"/>
                <w:sz w:val="16"/>
              </w:rPr>
              <w:t>10,089</w:t>
            </w:r>
          </w:p>
        </w:tc>
        <w:tc>
          <w:tcPr>
            <w:tcW w:w="2857" w:type="dxa"/>
            <w:tcBorders>
              <w:top w:val="single" w:sz="8" w:space="0" w:color="231F20"/>
            </w:tcBorders>
          </w:tcPr>
          <w:p>
            <w:pPr>
              <w:pStyle w:val="TableParagraph"/>
              <w:spacing w:line="160" w:lineRule="exact"/>
              <w:ind w:left="1062" w:right="1062"/>
              <w:jc w:val="center"/>
              <w:rPr>
                <w:sz w:val="16"/>
              </w:rPr>
            </w:pPr>
            <w:r>
              <w:rPr>
                <w:color w:val="231F20"/>
                <w:w w:val="85"/>
                <w:sz w:val="16"/>
              </w:rPr>
              <w:t>13.87</w:t>
            </w:r>
          </w:p>
        </w:tc>
      </w:tr>
      <w:tr>
        <w:trPr>
          <w:trHeight w:val="160" w:hRule="exact"/>
        </w:trPr>
        <w:tc>
          <w:tcPr>
            <w:tcW w:w="2993" w:type="dxa"/>
          </w:tcPr>
          <w:p>
            <w:pPr>
              <w:pStyle w:val="TableParagraph"/>
              <w:spacing w:line="190" w:lineRule="exact"/>
              <w:ind w:left="378" w:right="378"/>
              <w:jc w:val="center"/>
              <w:rPr>
                <w:sz w:val="20"/>
              </w:rPr>
            </w:pPr>
            <w:r>
              <w:rPr>
                <w:color w:val="231F20"/>
                <w:w w:val="75"/>
                <w:sz w:val="20"/>
              </w:rPr>
              <w:t>Industrias manufactureras</w:t>
            </w:r>
          </w:p>
        </w:tc>
        <w:tc>
          <w:tcPr>
            <w:tcW w:w="2077" w:type="dxa"/>
          </w:tcPr>
          <w:p>
            <w:pPr>
              <w:pStyle w:val="TableParagraph"/>
              <w:spacing w:line="163" w:lineRule="exact"/>
              <w:ind w:left="727" w:right="727"/>
              <w:jc w:val="center"/>
              <w:rPr>
                <w:sz w:val="16"/>
              </w:rPr>
            </w:pPr>
            <w:r>
              <w:rPr>
                <w:color w:val="231F20"/>
                <w:w w:val="85"/>
                <w:sz w:val="16"/>
              </w:rPr>
              <w:t>9,688</w:t>
            </w:r>
          </w:p>
        </w:tc>
        <w:tc>
          <w:tcPr>
            <w:tcW w:w="2857" w:type="dxa"/>
          </w:tcPr>
          <w:p>
            <w:pPr>
              <w:pStyle w:val="TableParagraph"/>
              <w:spacing w:line="163" w:lineRule="exact"/>
              <w:ind w:left="1062" w:right="1062"/>
              <w:jc w:val="center"/>
              <w:rPr>
                <w:sz w:val="16"/>
              </w:rPr>
            </w:pPr>
            <w:r>
              <w:rPr>
                <w:color w:val="231F20"/>
                <w:w w:val="85"/>
                <w:sz w:val="16"/>
              </w:rPr>
              <w:t>13.32</w:t>
            </w:r>
          </w:p>
        </w:tc>
      </w:tr>
      <w:tr>
        <w:trPr>
          <w:trHeight w:val="160" w:hRule="exact"/>
        </w:trPr>
        <w:tc>
          <w:tcPr>
            <w:tcW w:w="2993" w:type="dxa"/>
          </w:tcPr>
          <w:p>
            <w:pPr>
              <w:pStyle w:val="TableParagraph"/>
              <w:spacing w:line="190" w:lineRule="exact"/>
              <w:ind w:left="378" w:right="378"/>
              <w:jc w:val="center"/>
              <w:rPr>
                <w:sz w:val="20"/>
              </w:rPr>
            </w:pPr>
            <w:r>
              <w:rPr>
                <w:color w:val="231F20"/>
                <w:w w:val="85"/>
                <w:sz w:val="20"/>
              </w:rPr>
              <w:t>Construcción</w:t>
            </w:r>
          </w:p>
        </w:tc>
        <w:tc>
          <w:tcPr>
            <w:tcW w:w="2077" w:type="dxa"/>
          </w:tcPr>
          <w:p>
            <w:pPr>
              <w:pStyle w:val="TableParagraph"/>
              <w:spacing w:line="163" w:lineRule="exact"/>
              <w:ind w:left="727" w:right="727"/>
              <w:jc w:val="center"/>
              <w:rPr>
                <w:sz w:val="16"/>
              </w:rPr>
            </w:pPr>
            <w:r>
              <w:rPr>
                <w:color w:val="231F20"/>
                <w:w w:val="85"/>
                <w:sz w:val="16"/>
              </w:rPr>
              <w:t>7,874</w:t>
            </w:r>
          </w:p>
        </w:tc>
        <w:tc>
          <w:tcPr>
            <w:tcW w:w="2857" w:type="dxa"/>
          </w:tcPr>
          <w:p>
            <w:pPr>
              <w:pStyle w:val="TableParagraph"/>
              <w:spacing w:line="163" w:lineRule="exact"/>
              <w:ind w:left="1062" w:right="1062"/>
              <w:jc w:val="center"/>
              <w:rPr>
                <w:sz w:val="16"/>
              </w:rPr>
            </w:pPr>
            <w:r>
              <w:rPr>
                <w:color w:val="231F20"/>
                <w:w w:val="85"/>
                <w:sz w:val="16"/>
              </w:rPr>
              <w:t>10.82</w:t>
            </w:r>
          </w:p>
        </w:tc>
      </w:tr>
      <w:tr>
        <w:trPr>
          <w:trHeight w:val="160" w:hRule="exact"/>
        </w:trPr>
        <w:tc>
          <w:tcPr>
            <w:tcW w:w="2993" w:type="dxa"/>
          </w:tcPr>
          <w:p>
            <w:pPr>
              <w:pStyle w:val="TableParagraph"/>
              <w:spacing w:line="190" w:lineRule="exact"/>
              <w:ind w:left="378" w:right="378"/>
              <w:jc w:val="center"/>
              <w:rPr>
                <w:sz w:val="20"/>
              </w:rPr>
            </w:pPr>
            <w:r>
              <w:rPr>
                <w:color w:val="231F20"/>
                <w:w w:val="75"/>
                <w:sz w:val="20"/>
              </w:rPr>
              <w:t>Transporte y comunicaciones</w:t>
            </w:r>
          </w:p>
        </w:tc>
        <w:tc>
          <w:tcPr>
            <w:tcW w:w="2077" w:type="dxa"/>
          </w:tcPr>
          <w:p>
            <w:pPr>
              <w:pStyle w:val="TableParagraph"/>
              <w:spacing w:line="163" w:lineRule="exact"/>
              <w:ind w:left="727" w:right="727"/>
              <w:jc w:val="center"/>
              <w:rPr>
                <w:sz w:val="16"/>
              </w:rPr>
            </w:pPr>
            <w:r>
              <w:rPr>
                <w:color w:val="231F20"/>
                <w:w w:val="85"/>
                <w:sz w:val="16"/>
              </w:rPr>
              <w:t>4,183</w:t>
            </w:r>
          </w:p>
        </w:tc>
        <w:tc>
          <w:tcPr>
            <w:tcW w:w="2857" w:type="dxa"/>
          </w:tcPr>
          <w:p>
            <w:pPr>
              <w:pStyle w:val="TableParagraph"/>
              <w:spacing w:line="163" w:lineRule="exact"/>
              <w:ind w:left="1062" w:right="1062"/>
              <w:jc w:val="center"/>
              <w:rPr>
                <w:sz w:val="16"/>
              </w:rPr>
            </w:pPr>
            <w:r>
              <w:rPr>
                <w:color w:val="231F20"/>
                <w:w w:val="85"/>
                <w:sz w:val="16"/>
              </w:rPr>
              <w:t>5.75</w:t>
            </w:r>
          </w:p>
        </w:tc>
      </w:tr>
      <w:tr>
        <w:trPr>
          <w:trHeight w:val="160" w:hRule="exact"/>
        </w:trPr>
        <w:tc>
          <w:tcPr>
            <w:tcW w:w="2993" w:type="dxa"/>
          </w:tcPr>
          <w:p>
            <w:pPr>
              <w:pStyle w:val="TableParagraph"/>
              <w:spacing w:line="190" w:lineRule="exact"/>
              <w:ind w:left="378" w:right="378"/>
              <w:jc w:val="center"/>
              <w:rPr>
                <w:sz w:val="20"/>
              </w:rPr>
            </w:pPr>
            <w:r>
              <w:rPr>
                <w:color w:val="231F20"/>
                <w:w w:val="85"/>
                <w:sz w:val="20"/>
              </w:rPr>
              <w:t>Gobierno</w:t>
            </w:r>
          </w:p>
        </w:tc>
        <w:tc>
          <w:tcPr>
            <w:tcW w:w="2077" w:type="dxa"/>
          </w:tcPr>
          <w:p>
            <w:pPr>
              <w:pStyle w:val="TableParagraph"/>
              <w:spacing w:line="163" w:lineRule="exact"/>
              <w:ind w:left="727" w:right="727"/>
              <w:jc w:val="center"/>
              <w:rPr>
                <w:sz w:val="16"/>
              </w:rPr>
            </w:pPr>
            <w:r>
              <w:rPr>
                <w:color w:val="231F20"/>
                <w:w w:val="85"/>
                <w:sz w:val="16"/>
              </w:rPr>
              <w:t>3,248</w:t>
            </w:r>
          </w:p>
        </w:tc>
        <w:tc>
          <w:tcPr>
            <w:tcW w:w="2857" w:type="dxa"/>
          </w:tcPr>
          <w:p>
            <w:pPr>
              <w:pStyle w:val="TableParagraph"/>
              <w:spacing w:line="163" w:lineRule="exact"/>
              <w:ind w:left="1062" w:right="1062"/>
              <w:jc w:val="center"/>
              <w:rPr>
                <w:sz w:val="16"/>
              </w:rPr>
            </w:pPr>
            <w:r>
              <w:rPr>
                <w:color w:val="231F20"/>
                <w:w w:val="85"/>
                <w:sz w:val="16"/>
              </w:rPr>
              <w:t>4.46</w:t>
            </w:r>
          </w:p>
        </w:tc>
      </w:tr>
      <w:tr>
        <w:trPr>
          <w:trHeight w:val="160" w:hRule="exact"/>
        </w:trPr>
        <w:tc>
          <w:tcPr>
            <w:tcW w:w="2993" w:type="dxa"/>
          </w:tcPr>
          <w:p>
            <w:pPr>
              <w:pStyle w:val="TableParagraph"/>
              <w:spacing w:line="190" w:lineRule="exact"/>
              <w:ind w:left="378" w:right="377"/>
              <w:jc w:val="center"/>
              <w:rPr>
                <w:sz w:val="20"/>
              </w:rPr>
            </w:pPr>
            <w:r>
              <w:rPr>
                <w:color w:val="231F20"/>
                <w:w w:val="75"/>
                <w:sz w:val="20"/>
              </w:rPr>
              <w:t>Servicios educativos</w:t>
            </w:r>
          </w:p>
        </w:tc>
        <w:tc>
          <w:tcPr>
            <w:tcW w:w="2077" w:type="dxa"/>
          </w:tcPr>
          <w:p>
            <w:pPr>
              <w:pStyle w:val="TableParagraph"/>
              <w:spacing w:line="163" w:lineRule="exact"/>
              <w:ind w:left="726" w:right="727"/>
              <w:jc w:val="center"/>
              <w:rPr>
                <w:sz w:val="16"/>
              </w:rPr>
            </w:pPr>
            <w:r>
              <w:rPr>
                <w:color w:val="231F20"/>
                <w:w w:val="85"/>
                <w:sz w:val="16"/>
              </w:rPr>
              <w:t>2,832</w:t>
            </w:r>
          </w:p>
        </w:tc>
        <w:tc>
          <w:tcPr>
            <w:tcW w:w="2857" w:type="dxa"/>
          </w:tcPr>
          <w:p>
            <w:pPr>
              <w:pStyle w:val="TableParagraph"/>
              <w:spacing w:line="163" w:lineRule="exact"/>
              <w:ind w:left="1062" w:right="1062"/>
              <w:jc w:val="center"/>
              <w:rPr>
                <w:sz w:val="16"/>
              </w:rPr>
            </w:pPr>
            <w:r>
              <w:rPr>
                <w:color w:val="231F20"/>
                <w:w w:val="85"/>
                <w:sz w:val="16"/>
              </w:rPr>
              <w:t>3.89</w:t>
            </w:r>
          </w:p>
        </w:tc>
      </w:tr>
      <w:tr>
        <w:trPr>
          <w:trHeight w:val="160" w:hRule="exact"/>
        </w:trPr>
        <w:tc>
          <w:tcPr>
            <w:tcW w:w="2993" w:type="dxa"/>
          </w:tcPr>
          <w:p>
            <w:pPr>
              <w:pStyle w:val="TableParagraph"/>
              <w:spacing w:line="190" w:lineRule="exact"/>
              <w:ind w:left="378" w:right="378"/>
              <w:jc w:val="center"/>
              <w:rPr>
                <w:sz w:val="20"/>
              </w:rPr>
            </w:pPr>
            <w:r>
              <w:rPr>
                <w:color w:val="231F20"/>
                <w:w w:val="75"/>
                <w:sz w:val="20"/>
              </w:rPr>
              <w:t>Servicios de salud y asistencia social</w:t>
            </w:r>
          </w:p>
        </w:tc>
        <w:tc>
          <w:tcPr>
            <w:tcW w:w="2077" w:type="dxa"/>
          </w:tcPr>
          <w:p>
            <w:pPr>
              <w:pStyle w:val="TableParagraph"/>
              <w:spacing w:line="163" w:lineRule="exact"/>
              <w:ind w:left="727" w:right="727"/>
              <w:jc w:val="center"/>
              <w:rPr>
                <w:sz w:val="16"/>
              </w:rPr>
            </w:pPr>
            <w:r>
              <w:rPr>
                <w:color w:val="231F20"/>
                <w:w w:val="85"/>
                <w:sz w:val="16"/>
              </w:rPr>
              <w:t>2,134</w:t>
            </w:r>
          </w:p>
        </w:tc>
        <w:tc>
          <w:tcPr>
            <w:tcW w:w="2857" w:type="dxa"/>
          </w:tcPr>
          <w:p>
            <w:pPr>
              <w:pStyle w:val="TableParagraph"/>
              <w:spacing w:line="163" w:lineRule="exact"/>
              <w:ind w:left="1062" w:right="1062"/>
              <w:jc w:val="center"/>
              <w:rPr>
                <w:sz w:val="16"/>
              </w:rPr>
            </w:pPr>
            <w:r>
              <w:rPr>
                <w:color w:val="231F20"/>
                <w:w w:val="85"/>
                <w:sz w:val="16"/>
              </w:rPr>
              <w:t>2.93</w:t>
            </w:r>
          </w:p>
        </w:tc>
      </w:tr>
      <w:tr>
        <w:trPr>
          <w:trHeight w:val="160" w:hRule="exact"/>
        </w:trPr>
        <w:tc>
          <w:tcPr>
            <w:tcW w:w="2993" w:type="dxa"/>
          </w:tcPr>
          <w:p>
            <w:pPr>
              <w:pStyle w:val="TableParagraph"/>
              <w:spacing w:line="190" w:lineRule="exact"/>
              <w:ind w:left="378" w:right="378"/>
              <w:jc w:val="center"/>
              <w:rPr>
                <w:sz w:val="20"/>
              </w:rPr>
            </w:pPr>
            <w:r>
              <w:rPr>
                <w:color w:val="231F20"/>
                <w:w w:val="75"/>
                <w:sz w:val="20"/>
              </w:rPr>
              <w:t>Otros excepto gobierno</w:t>
            </w:r>
          </w:p>
        </w:tc>
        <w:tc>
          <w:tcPr>
            <w:tcW w:w="2077" w:type="dxa"/>
          </w:tcPr>
          <w:p>
            <w:pPr>
              <w:pStyle w:val="TableParagraph"/>
              <w:spacing w:line="163" w:lineRule="exact"/>
              <w:ind w:left="727" w:right="727"/>
              <w:jc w:val="center"/>
              <w:rPr>
                <w:sz w:val="16"/>
              </w:rPr>
            </w:pPr>
            <w:r>
              <w:rPr>
                <w:color w:val="231F20"/>
                <w:w w:val="85"/>
                <w:sz w:val="16"/>
              </w:rPr>
              <w:t>16,540</w:t>
            </w:r>
          </w:p>
        </w:tc>
        <w:tc>
          <w:tcPr>
            <w:tcW w:w="2857" w:type="dxa"/>
          </w:tcPr>
          <w:p>
            <w:pPr>
              <w:pStyle w:val="TableParagraph"/>
              <w:spacing w:line="163" w:lineRule="exact"/>
              <w:ind w:left="1059" w:right="1062"/>
              <w:jc w:val="center"/>
              <w:rPr>
                <w:sz w:val="16"/>
              </w:rPr>
            </w:pPr>
            <w:r>
              <w:rPr>
                <w:color w:val="231F20"/>
                <w:w w:val="85"/>
                <w:sz w:val="16"/>
              </w:rPr>
              <w:t>22.74</w:t>
            </w:r>
          </w:p>
        </w:tc>
      </w:tr>
      <w:tr>
        <w:trPr>
          <w:trHeight w:val="160" w:hRule="exact"/>
        </w:trPr>
        <w:tc>
          <w:tcPr>
            <w:tcW w:w="2993" w:type="dxa"/>
          </w:tcPr>
          <w:p>
            <w:pPr>
              <w:pStyle w:val="TableParagraph"/>
              <w:spacing w:line="190" w:lineRule="exact"/>
              <w:ind w:left="378" w:right="378"/>
              <w:jc w:val="center"/>
              <w:rPr>
                <w:sz w:val="20"/>
              </w:rPr>
            </w:pPr>
            <w:r>
              <w:rPr>
                <w:color w:val="231F20"/>
                <w:w w:val="75"/>
                <w:sz w:val="20"/>
              </w:rPr>
              <w:t>No especificado</w:t>
            </w:r>
          </w:p>
        </w:tc>
        <w:tc>
          <w:tcPr>
            <w:tcW w:w="2077" w:type="dxa"/>
          </w:tcPr>
          <w:p>
            <w:pPr>
              <w:pStyle w:val="TableParagraph"/>
              <w:spacing w:line="190" w:lineRule="exact"/>
              <w:ind w:left="727" w:right="727"/>
              <w:jc w:val="center"/>
              <w:rPr>
                <w:sz w:val="20"/>
              </w:rPr>
            </w:pPr>
            <w:r>
              <w:rPr>
                <w:color w:val="231F20"/>
                <w:w w:val="85"/>
                <w:sz w:val="20"/>
              </w:rPr>
              <w:t>4,994</w:t>
            </w:r>
          </w:p>
        </w:tc>
        <w:tc>
          <w:tcPr>
            <w:tcW w:w="2857" w:type="dxa"/>
          </w:tcPr>
          <w:p>
            <w:pPr>
              <w:pStyle w:val="TableParagraph"/>
              <w:spacing w:line="190" w:lineRule="exact"/>
              <w:ind w:left="1062" w:right="1062"/>
              <w:jc w:val="center"/>
              <w:rPr>
                <w:sz w:val="20"/>
              </w:rPr>
            </w:pPr>
            <w:r>
              <w:rPr>
                <w:color w:val="231F20"/>
                <w:w w:val="85"/>
                <w:sz w:val="20"/>
              </w:rPr>
              <w:t>6.86</w:t>
            </w:r>
          </w:p>
        </w:tc>
      </w:tr>
    </w:tbl>
    <w:p>
      <w:pPr>
        <w:pStyle w:val="BodyText"/>
        <w:spacing w:before="3"/>
        <w:rPr>
          <w:b/>
          <w:sz w:val="20"/>
        </w:rPr>
      </w:pPr>
    </w:p>
    <w:p>
      <w:pPr>
        <w:spacing w:before="74"/>
        <w:ind w:left="4784" w:right="-2" w:firstLine="0"/>
        <w:jc w:val="left"/>
        <w:rPr>
          <w:rFonts w:ascii="Calibri"/>
          <w:sz w:val="16"/>
        </w:rPr>
      </w:pPr>
      <w:r>
        <w:rPr>
          <w:rFonts w:ascii="Calibri"/>
          <w:color w:val="231F20"/>
          <w:w w:val="95"/>
          <w:sz w:val="16"/>
        </w:rPr>
        <w:t>Fuente: (INEGI, 2005b), (HUIXQUILUCAN, 2006a: 29).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6" w:hanging="2"/>
        <w:jc w:val="center"/>
      </w:pPr>
      <w:r>
        <w:rPr>
          <w:color w:val="231F20"/>
          <w:spacing w:val="2"/>
          <w:w w:val="105"/>
        </w:rPr>
        <w:t>Al</w:t>
      </w:r>
      <w:r>
        <w:rPr>
          <w:color w:val="231F20"/>
          <w:spacing w:val="-11"/>
          <w:w w:val="105"/>
        </w:rPr>
        <w:t> </w:t>
      </w:r>
      <w:r>
        <w:rPr>
          <w:color w:val="231F20"/>
          <w:w w:val="105"/>
        </w:rPr>
        <w:t>inicio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w w:val="105"/>
        </w:rPr>
        <w:t>municipal</w:t>
      </w:r>
      <w:r>
        <w:rPr>
          <w:color w:val="231F20"/>
          <w:spacing w:val="-11"/>
          <w:w w:val="105"/>
        </w:rPr>
        <w:t> </w:t>
      </w:r>
      <w:r>
        <w:rPr>
          <w:color w:val="231F20"/>
          <w:w w:val="105"/>
        </w:rPr>
        <w:t>de</w:t>
      </w:r>
      <w:r>
        <w:rPr>
          <w:color w:val="231F20"/>
          <w:spacing w:val="-11"/>
          <w:w w:val="105"/>
        </w:rPr>
        <w:t> </w:t>
      </w:r>
      <w:r>
        <w:rPr>
          <w:color w:val="231F20"/>
          <w:w w:val="105"/>
        </w:rPr>
        <w:t>Huixquilucan</w:t>
      </w:r>
      <w:r>
        <w:rPr>
          <w:color w:val="231F20"/>
          <w:spacing w:val="-11"/>
          <w:w w:val="105"/>
        </w:rPr>
        <w:t> </w:t>
      </w:r>
      <w:r>
        <w:rPr>
          <w:color w:val="231F20"/>
          <w:w w:val="105"/>
        </w:rPr>
        <w:t>2006-2009</w:t>
      </w:r>
      <w:r>
        <w:rPr>
          <w:color w:val="231F20"/>
          <w:spacing w:val="-11"/>
          <w:w w:val="105"/>
        </w:rPr>
        <w:t> </w:t>
      </w:r>
      <w:r>
        <w:rPr>
          <w:color w:val="231F20"/>
          <w:w w:val="105"/>
        </w:rPr>
        <w:t>se</w:t>
      </w:r>
      <w:r>
        <w:rPr>
          <w:color w:val="231F20"/>
          <w:spacing w:val="-11"/>
          <w:w w:val="105"/>
        </w:rPr>
        <w:t> </w:t>
      </w:r>
      <w:r>
        <w:rPr>
          <w:color w:val="231F20"/>
          <w:w w:val="105"/>
        </w:rPr>
        <w:t>registró</w:t>
      </w:r>
      <w:r>
        <w:rPr>
          <w:color w:val="231F20"/>
          <w:spacing w:val="-11"/>
          <w:w w:val="105"/>
        </w:rPr>
        <w:t> </w:t>
      </w:r>
      <w:r>
        <w:rPr>
          <w:color w:val="231F20"/>
          <w:w w:val="105"/>
        </w:rPr>
        <w:t>la</w:t>
      </w:r>
      <w:r>
        <w:rPr>
          <w:color w:val="231F20"/>
          <w:spacing w:val="-11"/>
          <w:w w:val="105"/>
        </w:rPr>
        <w:t> </w:t>
      </w:r>
      <w:r>
        <w:rPr>
          <w:color w:val="231F20"/>
          <w:spacing w:val="-3"/>
          <w:w w:val="105"/>
        </w:rPr>
        <w:t>pre- </w:t>
      </w:r>
      <w:r>
        <w:rPr>
          <w:color w:val="231F20"/>
          <w:w w:val="105"/>
        </w:rPr>
        <w:t>sencia</w:t>
      </w:r>
      <w:r>
        <w:rPr>
          <w:color w:val="231F20"/>
          <w:spacing w:val="-15"/>
          <w:w w:val="105"/>
        </w:rPr>
        <w:t> </w:t>
      </w:r>
      <w:r>
        <w:rPr>
          <w:color w:val="231F20"/>
          <w:w w:val="105"/>
        </w:rPr>
        <w:t>de</w:t>
      </w:r>
      <w:r>
        <w:rPr>
          <w:color w:val="231F20"/>
          <w:spacing w:val="-15"/>
          <w:w w:val="105"/>
        </w:rPr>
        <w:t> </w:t>
      </w:r>
      <w:r>
        <w:rPr>
          <w:color w:val="231F20"/>
          <w:spacing w:val="-5"/>
          <w:w w:val="105"/>
        </w:rPr>
        <w:t>1,109</w:t>
      </w:r>
      <w:r>
        <w:rPr>
          <w:color w:val="231F20"/>
          <w:spacing w:val="-15"/>
          <w:w w:val="105"/>
        </w:rPr>
        <w:t> </w:t>
      </w:r>
      <w:r>
        <w:rPr>
          <w:color w:val="231F20"/>
          <w:w w:val="105"/>
        </w:rPr>
        <w:t>empresas</w:t>
      </w:r>
      <w:r>
        <w:rPr>
          <w:color w:val="231F20"/>
          <w:spacing w:val="-15"/>
          <w:w w:val="105"/>
        </w:rPr>
        <w:t> </w:t>
      </w:r>
      <w:r>
        <w:rPr>
          <w:color w:val="231F20"/>
          <w:w w:val="105"/>
        </w:rPr>
        <w:t>pero</w:t>
      </w:r>
      <w:r>
        <w:rPr>
          <w:color w:val="231F20"/>
          <w:spacing w:val="-15"/>
          <w:w w:val="105"/>
        </w:rPr>
        <w:t> </w:t>
      </w:r>
      <w:r>
        <w:rPr>
          <w:color w:val="231F20"/>
          <w:w w:val="105"/>
        </w:rPr>
        <w:t>este</w:t>
      </w:r>
      <w:r>
        <w:rPr>
          <w:color w:val="231F20"/>
          <w:spacing w:val="-15"/>
          <w:w w:val="105"/>
        </w:rPr>
        <w:t> </w:t>
      </w:r>
      <w:r>
        <w:rPr>
          <w:color w:val="231F20"/>
          <w:spacing w:val="-3"/>
          <w:w w:val="105"/>
        </w:rPr>
        <w:t>número</w:t>
      </w:r>
      <w:r>
        <w:rPr>
          <w:color w:val="231F20"/>
          <w:spacing w:val="-15"/>
          <w:w w:val="105"/>
        </w:rPr>
        <w:t> </w:t>
      </w:r>
      <w:r>
        <w:rPr>
          <w:color w:val="231F20"/>
          <w:w w:val="105"/>
        </w:rPr>
        <w:t>se</w:t>
      </w:r>
      <w:r>
        <w:rPr>
          <w:color w:val="231F20"/>
          <w:spacing w:val="-15"/>
          <w:w w:val="105"/>
        </w:rPr>
        <w:t> </w:t>
      </w:r>
      <w:r>
        <w:rPr>
          <w:color w:val="231F20"/>
          <w:spacing w:val="-3"/>
          <w:w w:val="105"/>
        </w:rPr>
        <w:t>redujo</w:t>
      </w:r>
      <w:r>
        <w:rPr>
          <w:color w:val="231F20"/>
          <w:spacing w:val="-15"/>
          <w:w w:val="105"/>
        </w:rPr>
        <w:t> </w:t>
      </w:r>
      <w:r>
        <w:rPr>
          <w:color w:val="231F20"/>
          <w:w w:val="105"/>
        </w:rPr>
        <w:t>a</w:t>
      </w:r>
      <w:r>
        <w:rPr>
          <w:color w:val="231F20"/>
          <w:spacing w:val="-15"/>
          <w:w w:val="105"/>
        </w:rPr>
        <w:t> </w:t>
      </w:r>
      <w:r>
        <w:rPr>
          <w:color w:val="231F20"/>
          <w:w w:val="105"/>
        </w:rPr>
        <w:t>finales</w:t>
      </w:r>
      <w:r>
        <w:rPr>
          <w:color w:val="231F20"/>
          <w:spacing w:val="-15"/>
          <w:w w:val="105"/>
        </w:rPr>
        <w:t> </w:t>
      </w:r>
      <w:r>
        <w:rPr>
          <w:color w:val="231F20"/>
          <w:w w:val="105"/>
        </w:rPr>
        <w:t>del</w:t>
      </w:r>
      <w:r>
        <w:rPr>
          <w:color w:val="231F20"/>
          <w:spacing w:val="-15"/>
          <w:w w:val="105"/>
        </w:rPr>
        <w:t> </w:t>
      </w:r>
      <w:r>
        <w:rPr>
          <w:color w:val="231F20"/>
          <w:w w:val="105"/>
        </w:rPr>
        <w:t>año</w:t>
      </w:r>
      <w:r>
        <w:rPr>
          <w:color w:val="231F20"/>
          <w:spacing w:val="-15"/>
          <w:w w:val="105"/>
        </w:rPr>
        <w:t> </w:t>
      </w:r>
      <w:r>
        <w:rPr>
          <w:color w:val="231F20"/>
          <w:spacing w:val="2"/>
          <w:w w:val="105"/>
        </w:rPr>
        <w:t>2008</w:t>
      </w:r>
      <w:r>
        <w:rPr>
          <w:color w:val="231F20"/>
          <w:spacing w:val="-15"/>
          <w:w w:val="105"/>
        </w:rPr>
        <w:t> </w:t>
      </w:r>
      <w:r>
        <w:rPr>
          <w:color w:val="231F20"/>
          <w:w w:val="105"/>
        </w:rPr>
        <w:t>a</w:t>
      </w:r>
      <w:r>
        <w:rPr>
          <w:color w:val="231F20"/>
          <w:spacing w:val="-15"/>
          <w:w w:val="105"/>
        </w:rPr>
        <w:t> </w:t>
      </w:r>
      <w:r>
        <w:rPr>
          <w:color w:val="231F20"/>
          <w:spacing w:val="-5"/>
          <w:w w:val="105"/>
        </w:rPr>
        <w:t>861,</w:t>
      </w:r>
      <w:r>
        <w:rPr>
          <w:color w:val="231F20"/>
          <w:spacing w:val="-15"/>
          <w:w w:val="105"/>
        </w:rPr>
        <w:t> </w:t>
      </w:r>
      <w:r>
        <w:rPr>
          <w:color w:val="231F20"/>
          <w:w w:val="105"/>
        </w:rPr>
        <w:t>lo</w:t>
      </w:r>
      <w:r>
        <w:rPr>
          <w:color w:val="231F20"/>
          <w:spacing w:val="-15"/>
          <w:w w:val="105"/>
        </w:rPr>
        <w:t> </w:t>
      </w:r>
      <w:r>
        <w:rPr>
          <w:color w:val="231F20"/>
          <w:w w:val="105"/>
        </w:rPr>
        <w:t>que significó un descenso del 22%. Actualmente la mayoría de las empresas existentes se agrupan</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sector</w:t>
      </w:r>
      <w:r>
        <w:rPr>
          <w:color w:val="231F20"/>
          <w:spacing w:val="-12"/>
          <w:w w:val="105"/>
        </w:rPr>
        <w:t> </w:t>
      </w:r>
      <w:r>
        <w:rPr>
          <w:color w:val="231F20"/>
          <w:w w:val="105"/>
        </w:rPr>
        <w:t>del</w:t>
      </w:r>
      <w:r>
        <w:rPr>
          <w:color w:val="231F20"/>
          <w:spacing w:val="-12"/>
          <w:w w:val="105"/>
        </w:rPr>
        <w:t> </w:t>
      </w:r>
      <w:r>
        <w:rPr>
          <w:color w:val="231F20"/>
          <w:spacing w:val="-3"/>
          <w:w w:val="105"/>
        </w:rPr>
        <w:t>comercio</w:t>
      </w:r>
      <w:r>
        <w:rPr>
          <w:color w:val="231F20"/>
          <w:spacing w:val="-12"/>
          <w:w w:val="105"/>
        </w:rPr>
        <w:t> </w:t>
      </w:r>
      <w:r>
        <w:rPr>
          <w:color w:val="231F20"/>
          <w:spacing w:val="-2"/>
          <w:w w:val="105"/>
        </w:rPr>
        <w:t>con</w:t>
      </w:r>
      <w:r>
        <w:rPr>
          <w:color w:val="231F20"/>
          <w:spacing w:val="-12"/>
          <w:w w:val="105"/>
        </w:rPr>
        <w:t> </w:t>
      </w:r>
      <w:r>
        <w:rPr>
          <w:color w:val="231F20"/>
          <w:w w:val="105"/>
        </w:rPr>
        <w:t>un</w:t>
      </w:r>
      <w:r>
        <w:rPr>
          <w:color w:val="231F20"/>
          <w:spacing w:val="-12"/>
          <w:w w:val="105"/>
        </w:rPr>
        <w:t> </w:t>
      </w:r>
      <w:r>
        <w:rPr>
          <w:color w:val="231F20"/>
          <w:spacing w:val="-4"/>
          <w:w w:val="105"/>
        </w:rPr>
        <w:t>62%</w:t>
      </w:r>
      <w:r>
        <w:rPr>
          <w:color w:val="231F20"/>
          <w:spacing w:val="-12"/>
          <w:w w:val="105"/>
        </w:rPr>
        <w:t> </w:t>
      </w:r>
      <w:r>
        <w:rPr>
          <w:color w:val="231F20"/>
          <w:w w:val="105"/>
        </w:rPr>
        <w:t>de</w:t>
      </w:r>
      <w:r>
        <w:rPr>
          <w:color w:val="231F20"/>
          <w:spacing w:val="-12"/>
          <w:w w:val="105"/>
        </w:rPr>
        <w:t> </w:t>
      </w:r>
      <w:r>
        <w:rPr>
          <w:color w:val="231F20"/>
          <w:w w:val="105"/>
        </w:rPr>
        <w:t>participación,</w:t>
      </w:r>
      <w:r>
        <w:rPr>
          <w:color w:val="231F20"/>
          <w:spacing w:val="-12"/>
          <w:w w:val="105"/>
        </w:rPr>
        <w:t> </w:t>
      </w:r>
      <w:r>
        <w:rPr>
          <w:color w:val="231F20"/>
          <w:w w:val="105"/>
        </w:rPr>
        <w:t>le</w:t>
      </w:r>
      <w:r>
        <w:rPr>
          <w:color w:val="231F20"/>
          <w:spacing w:val="-12"/>
          <w:w w:val="105"/>
        </w:rPr>
        <w:t> </w:t>
      </w:r>
      <w:r>
        <w:rPr>
          <w:color w:val="231F20"/>
          <w:w w:val="105"/>
        </w:rPr>
        <w:t>siguen</w:t>
      </w:r>
      <w:r>
        <w:rPr>
          <w:color w:val="231F20"/>
          <w:spacing w:val="-12"/>
          <w:w w:val="105"/>
        </w:rPr>
        <w:t> </w:t>
      </w:r>
      <w:r>
        <w:rPr>
          <w:color w:val="231F20"/>
          <w:w w:val="105"/>
        </w:rPr>
        <w:t>aquellas</w:t>
      </w:r>
      <w:r>
        <w:rPr>
          <w:color w:val="231F20"/>
          <w:spacing w:val="-12"/>
          <w:w w:val="105"/>
        </w:rPr>
        <w:t> </w:t>
      </w:r>
      <w:r>
        <w:rPr>
          <w:color w:val="231F20"/>
          <w:w w:val="105"/>
        </w:rPr>
        <w:t>dedi- cadas</w:t>
      </w:r>
      <w:r>
        <w:rPr>
          <w:color w:val="231F20"/>
          <w:spacing w:val="-15"/>
          <w:w w:val="105"/>
        </w:rPr>
        <w:t> </w:t>
      </w:r>
      <w:r>
        <w:rPr>
          <w:color w:val="231F20"/>
          <w:w w:val="105"/>
        </w:rPr>
        <w:t>a</w:t>
      </w:r>
      <w:r>
        <w:rPr>
          <w:color w:val="231F20"/>
          <w:spacing w:val="-15"/>
          <w:w w:val="105"/>
        </w:rPr>
        <w:t> </w:t>
      </w:r>
      <w:r>
        <w:rPr>
          <w:color w:val="231F20"/>
          <w:spacing w:val="-2"/>
          <w:w w:val="105"/>
        </w:rPr>
        <w:t>los</w:t>
      </w:r>
      <w:r>
        <w:rPr>
          <w:color w:val="231F20"/>
          <w:spacing w:val="-15"/>
          <w:w w:val="105"/>
        </w:rPr>
        <w:t> </w:t>
      </w:r>
      <w:r>
        <w:rPr>
          <w:color w:val="231F20"/>
          <w:w w:val="105"/>
        </w:rPr>
        <w:t>servicios</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spacing w:val="-3"/>
          <w:w w:val="105"/>
        </w:rPr>
        <w:t>33%</w:t>
      </w:r>
      <w:r>
        <w:rPr>
          <w:color w:val="231F20"/>
          <w:spacing w:val="-15"/>
          <w:w w:val="105"/>
        </w:rPr>
        <w:t> </w:t>
      </w:r>
      <w:r>
        <w:rPr>
          <w:color w:val="231F20"/>
          <w:w w:val="105"/>
        </w:rPr>
        <w:t>y</w:t>
      </w:r>
      <w:r>
        <w:rPr>
          <w:color w:val="231F20"/>
          <w:spacing w:val="-15"/>
          <w:w w:val="105"/>
        </w:rPr>
        <w:t> </w:t>
      </w:r>
      <w:r>
        <w:rPr>
          <w:color w:val="231F20"/>
          <w:w w:val="105"/>
        </w:rPr>
        <w:t>al</w:t>
      </w:r>
      <w:r>
        <w:rPr>
          <w:color w:val="231F20"/>
          <w:spacing w:val="-15"/>
          <w:w w:val="105"/>
        </w:rPr>
        <w:t> </w:t>
      </w:r>
      <w:r>
        <w:rPr>
          <w:color w:val="231F20"/>
          <w:w w:val="105"/>
        </w:rPr>
        <w:t>final</w:t>
      </w:r>
      <w:r>
        <w:rPr>
          <w:color w:val="231F20"/>
          <w:spacing w:val="-15"/>
          <w:w w:val="105"/>
        </w:rPr>
        <w:t> </w:t>
      </w:r>
      <w:r>
        <w:rPr>
          <w:color w:val="231F20"/>
          <w:w w:val="105"/>
        </w:rPr>
        <w:t>la</w:t>
      </w:r>
      <w:r>
        <w:rPr>
          <w:color w:val="231F20"/>
          <w:spacing w:val="-15"/>
          <w:w w:val="105"/>
        </w:rPr>
        <w:t> </w:t>
      </w:r>
      <w:r>
        <w:rPr>
          <w:color w:val="231F20"/>
          <w:w w:val="105"/>
        </w:rPr>
        <w:t>industria</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spacing w:val="-4"/>
          <w:w w:val="105"/>
        </w:rPr>
        <w:t>5%</w:t>
      </w:r>
      <w:r>
        <w:rPr>
          <w:color w:val="231F20"/>
          <w:spacing w:val="-15"/>
          <w:w w:val="105"/>
        </w:rPr>
        <w:t> </w:t>
      </w:r>
      <w:r>
        <w:rPr>
          <w:color w:val="231F20"/>
          <w:spacing w:val="-3"/>
          <w:w w:val="105"/>
        </w:rPr>
        <w:t>(tabla</w:t>
      </w:r>
      <w:r>
        <w:rPr>
          <w:color w:val="231F20"/>
          <w:spacing w:val="-15"/>
          <w:w w:val="105"/>
        </w:rPr>
        <w:t> </w:t>
      </w:r>
      <w:r>
        <w:rPr>
          <w:color w:val="231F20"/>
          <w:spacing w:val="-4"/>
          <w:w w:val="105"/>
        </w:rPr>
        <w:t>5).</w:t>
      </w:r>
      <w:r>
        <w:rPr>
          <w:color w:val="231F20"/>
          <w:spacing w:val="-15"/>
          <w:w w:val="105"/>
        </w:rPr>
        <w:t> </w:t>
      </w:r>
      <w:r>
        <w:rPr>
          <w:color w:val="231F20"/>
          <w:spacing w:val="-3"/>
          <w:w w:val="105"/>
        </w:rPr>
        <w:t>Tras</w:t>
      </w:r>
      <w:r>
        <w:rPr>
          <w:color w:val="231F20"/>
          <w:spacing w:val="-15"/>
          <w:w w:val="105"/>
        </w:rPr>
        <w:t> </w:t>
      </w:r>
      <w:r>
        <w:rPr>
          <w:color w:val="231F20"/>
          <w:w w:val="105"/>
        </w:rPr>
        <w:t>separar,</w:t>
      </w:r>
      <w:r>
        <w:rPr>
          <w:color w:val="231F20"/>
          <w:spacing w:val="-15"/>
          <w:w w:val="105"/>
        </w:rPr>
        <w:t> </w:t>
      </w:r>
      <w:r>
        <w:rPr>
          <w:color w:val="231F20"/>
          <w:w w:val="105"/>
        </w:rPr>
        <w:t>en función</w:t>
      </w:r>
      <w:r>
        <w:rPr>
          <w:color w:val="231F20"/>
          <w:spacing w:val="-22"/>
          <w:w w:val="105"/>
        </w:rPr>
        <w:t> </w:t>
      </w:r>
      <w:r>
        <w:rPr>
          <w:color w:val="231F20"/>
          <w:w w:val="105"/>
        </w:rPr>
        <w:t>de</w:t>
      </w:r>
      <w:r>
        <w:rPr>
          <w:color w:val="231F20"/>
          <w:spacing w:val="-22"/>
          <w:w w:val="105"/>
        </w:rPr>
        <w:t> </w:t>
      </w:r>
      <w:r>
        <w:rPr>
          <w:color w:val="231F20"/>
          <w:w w:val="105"/>
        </w:rPr>
        <w:t>su</w:t>
      </w:r>
      <w:r>
        <w:rPr>
          <w:color w:val="231F20"/>
          <w:spacing w:val="-22"/>
          <w:w w:val="105"/>
        </w:rPr>
        <w:t> </w:t>
      </w:r>
      <w:r>
        <w:rPr>
          <w:color w:val="231F20"/>
          <w:w w:val="105"/>
        </w:rPr>
        <w:t>tamaño,</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distintas</w:t>
      </w:r>
      <w:r>
        <w:rPr>
          <w:color w:val="231F20"/>
          <w:spacing w:val="-22"/>
          <w:w w:val="105"/>
        </w:rPr>
        <w:t> </w:t>
      </w:r>
      <w:r>
        <w:rPr>
          <w:color w:val="231F20"/>
          <w:w w:val="105"/>
        </w:rPr>
        <w:t>empresas</w:t>
      </w:r>
      <w:r>
        <w:rPr>
          <w:color w:val="231F20"/>
          <w:spacing w:val="-22"/>
          <w:w w:val="105"/>
        </w:rPr>
        <w:t> </w:t>
      </w:r>
      <w:r>
        <w:rPr>
          <w:color w:val="231F20"/>
          <w:w w:val="105"/>
        </w:rPr>
        <w:t>ubicadas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año</w:t>
      </w:r>
      <w:r>
        <w:rPr>
          <w:color w:val="231F20"/>
          <w:spacing w:val="-22"/>
          <w:w w:val="105"/>
        </w:rPr>
        <w:t> </w:t>
      </w:r>
      <w:r>
        <w:rPr>
          <w:color w:val="231F20"/>
          <w:w w:val="105"/>
        </w:rPr>
        <w:t>2008,</w:t>
      </w:r>
      <w:r>
        <w:rPr>
          <w:color w:val="231F20"/>
          <w:spacing w:val="-22"/>
          <w:w w:val="105"/>
        </w:rPr>
        <w:t> </w:t>
      </w:r>
      <w:r>
        <w:rPr>
          <w:color w:val="231F20"/>
          <w:w w:val="105"/>
        </w:rPr>
        <w:t>se</w:t>
      </w:r>
      <w:r>
        <w:rPr>
          <w:color w:val="231F20"/>
          <w:spacing w:val="-22"/>
          <w:w w:val="105"/>
        </w:rPr>
        <w:t> </w:t>
      </w:r>
      <w:r>
        <w:rPr>
          <w:color w:val="231F20"/>
          <w:w w:val="105"/>
        </w:rPr>
        <w:t>observó</w:t>
      </w:r>
      <w:r>
        <w:rPr>
          <w:color w:val="231F20"/>
          <w:spacing w:val="-22"/>
          <w:w w:val="105"/>
        </w:rPr>
        <w:t> </w:t>
      </w:r>
      <w:r>
        <w:rPr>
          <w:color w:val="231F20"/>
          <w:w w:val="105"/>
        </w:rPr>
        <w:t>que</w:t>
      </w:r>
      <w:r>
        <w:rPr>
          <w:color w:val="231F20"/>
          <w:spacing w:val="-22"/>
          <w:w w:val="105"/>
        </w:rPr>
        <w:t> </w:t>
      </w:r>
      <w:r>
        <w:rPr>
          <w:color w:val="231F20"/>
          <w:w w:val="105"/>
        </w:rPr>
        <w:t>el 89%</w:t>
      </w:r>
      <w:r>
        <w:rPr>
          <w:color w:val="231F20"/>
          <w:spacing w:val="-17"/>
          <w:w w:val="105"/>
        </w:rPr>
        <w:t> </w:t>
      </w:r>
      <w:r>
        <w:rPr>
          <w:color w:val="231F20"/>
          <w:spacing w:val="-3"/>
          <w:w w:val="105"/>
        </w:rPr>
        <w:t>corresponden</w:t>
      </w:r>
      <w:r>
        <w:rPr>
          <w:color w:val="231F20"/>
          <w:spacing w:val="-17"/>
          <w:w w:val="105"/>
        </w:rPr>
        <w:t> </w:t>
      </w:r>
      <w:r>
        <w:rPr>
          <w:color w:val="231F20"/>
          <w:w w:val="105"/>
        </w:rPr>
        <w:t>a</w:t>
      </w:r>
      <w:r>
        <w:rPr>
          <w:color w:val="231F20"/>
          <w:spacing w:val="-17"/>
          <w:w w:val="105"/>
        </w:rPr>
        <w:t> </w:t>
      </w:r>
      <w:r>
        <w:rPr>
          <w:color w:val="231F20"/>
          <w:w w:val="105"/>
        </w:rPr>
        <w:t>microempresas,</w:t>
      </w:r>
      <w:r>
        <w:rPr>
          <w:color w:val="231F20"/>
          <w:spacing w:val="-17"/>
          <w:w w:val="105"/>
        </w:rPr>
        <w:t> </w:t>
      </w:r>
      <w:r>
        <w:rPr>
          <w:color w:val="231F20"/>
          <w:w w:val="105"/>
        </w:rPr>
        <w:t>el</w:t>
      </w:r>
      <w:r>
        <w:rPr>
          <w:color w:val="231F20"/>
          <w:spacing w:val="-17"/>
          <w:w w:val="105"/>
        </w:rPr>
        <w:t> </w:t>
      </w:r>
      <w:r>
        <w:rPr>
          <w:color w:val="231F20"/>
          <w:spacing w:val="-3"/>
          <w:w w:val="105"/>
        </w:rPr>
        <w:t>6%</w:t>
      </w:r>
      <w:r>
        <w:rPr>
          <w:color w:val="231F20"/>
          <w:spacing w:val="-17"/>
          <w:w w:val="105"/>
        </w:rPr>
        <w:t> </w:t>
      </w:r>
      <w:r>
        <w:rPr>
          <w:color w:val="231F20"/>
          <w:w w:val="105"/>
        </w:rPr>
        <w:t>a</w:t>
      </w:r>
      <w:r>
        <w:rPr>
          <w:color w:val="231F20"/>
          <w:spacing w:val="-17"/>
          <w:w w:val="105"/>
        </w:rPr>
        <w:t> </w:t>
      </w:r>
      <w:r>
        <w:rPr>
          <w:color w:val="231F20"/>
          <w:w w:val="105"/>
        </w:rPr>
        <w:t>pequeñas</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3%</w:t>
      </w:r>
      <w:r>
        <w:rPr>
          <w:color w:val="231F20"/>
          <w:spacing w:val="-17"/>
          <w:w w:val="105"/>
        </w:rPr>
        <w:t> </w:t>
      </w:r>
      <w:r>
        <w:rPr>
          <w:color w:val="231F20"/>
          <w:w w:val="105"/>
        </w:rPr>
        <w:t>a</w:t>
      </w:r>
      <w:r>
        <w:rPr>
          <w:color w:val="231F20"/>
          <w:spacing w:val="-17"/>
          <w:w w:val="105"/>
        </w:rPr>
        <w:t> </w:t>
      </w:r>
      <w:r>
        <w:rPr>
          <w:color w:val="231F20"/>
          <w:w w:val="105"/>
        </w:rPr>
        <w:t>medianas</w:t>
      </w:r>
      <w:r>
        <w:rPr>
          <w:color w:val="231F20"/>
          <w:spacing w:val="-17"/>
          <w:w w:val="105"/>
        </w:rPr>
        <w:t> </w:t>
      </w:r>
      <w:r>
        <w:rPr>
          <w:color w:val="231F20"/>
          <w:w w:val="105"/>
        </w:rPr>
        <w:t>empresas.</w:t>
      </w:r>
      <w:r>
        <w:rPr>
          <w:color w:val="231F20"/>
          <w:spacing w:val="-17"/>
          <w:w w:val="105"/>
        </w:rPr>
        <w:t> </w:t>
      </w:r>
      <w:r>
        <w:rPr>
          <w:color w:val="231F20"/>
          <w:w w:val="105"/>
        </w:rPr>
        <w:t>La </w:t>
      </w:r>
      <w:r>
        <w:rPr>
          <w:color w:val="231F20"/>
          <w:spacing w:val="-3"/>
          <w:w w:val="105"/>
        </w:rPr>
        <w:t>empresa</w:t>
      </w:r>
      <w:r>
        <w:rPr>
          <w:color w:val="231F20"/>
          <w:spacing w:val="-17"/>
          <w:w w:val="105"/>
        </w:rPr>
        <w:t> </w:t>
      </w:r>
      <w:r>
        <w:rPr>
          <w:color w:val="231F20"/>
          <w:w w:val="105"/>
        </w:rPr>
        <w:t>considerada</w:t>
      </w:r>
      <w:r>
        <w:rPr>
          <w:color w:val="231F20"/>
          <w:spacing w:val="-17"/>
          <w:w w:val="105"/>
        </w:rPr>
        <w:t> </w:t>
      </w:r>
      <w:r>
        <w:rPr>
          <w:color w:val="231F20"/>
          <w:spacing w:val="-3"/>
          <w:w w:val="105"/>
        </w:rPr>
        <w:t>como</w:t>
      </w:r>
      <w:r>
        <w:rPr>
          <w:color w:val="231F20"/>
          <w:spacing w:val="-17"/>
          <w:w w:val="105"/>
        </w:rPr>
        <w:t> </w:t>
      </w:r>
      <w:r>
        <w:rPr>
          <w:color w:val="231F20"/>
          <w:w w:val="105"/>
        </w:rPr>
        <w:t>grande</w:t>
      </w:r>
      <w:r>
        <w:rPr>
          <w:color w:val="231F20"/>
          <w:spacing w:val="-17"/>
          <w:w w:val="105"/>
        </w:rPr>
        <w:t> </w:t>
      </w:r>
      <w:r>
        <w:rPr>
          <w:color w:val="231F20"/>
          <w:spacing w:val="-3"/>
          <w:w w:val="105"/>
        </w:rPr>
        <w:t>solo</w:t>
      </w:r>
      <w:r>
        <w:rPr>
          <w:color w:val="231F20"/>
          <w:spacing w:val="-17"/>
          <w:w w:val="105"/>
        </w:rPr>
        <w:t> </w:t>
      </w:r>
      <w:r>
        <w:rPr>
          <w:color w:val="231F20"/>
          <w:w w:val="105"/>
        </w:rPr>
        <w:t>tiene</w:t>
      </w:r>
      <w:r>
        <w:rPr>
          <w:color w:val="231F20"/>
          <w:spacing w:val="-17"/>
          <w:w w:val="105"/>
        </w:rPr>
        <w:t> </w:t>
      </w:r>
      <w:r>
        <w:rPr>
          <w:color w:val="231F20"/>
          <w:spacing w:val="-2"/>
          <w:w w:val="105"/>
        </w:rPr>
        <w:t>presencia</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2%</w:t>
      </w:r>
      <w:r>
        <w:rPr>
          <w:color w:val="231F20"/>
          <w:spacing w:val="-17"/>
          <w:w w:val="105"/>
        </w:rPr>
        <w:t> </w:t>
      </w:r>
      <w:r>
        <w:rPr>
          <w:color w:val="231F20"/>
          <w:w w:val="105"/>
        </w:rPr>
        <w:t>del</w:t>
      </w:r>
      <w:r>
        <w:rPr>
          <w:color w:val="231F20"/>
          <w:spacing w:val="-17"/>
          <w:w w:val="105"/>
        </w:rPr>
        <w:t> </w:t>
      </w:r>
      <w:r>
        <w:rPr>
          <w:color w:val="231F20"/>
          <w:w w:val="105"/>
        </w:rPr>
        <w:t>total</w:t>
      </w:r>
      <w:r>
        <w:rPr>
          <w:color w:val="231F20"/>
          <w:spacing w:val="-17"/>
          <w:w w:val="105"/>
        </w:rPr>
        <w:t> </w:t>
      </w:r>
      <w:r>
        <w:rPr>
          <w:color w:val="231F20"/>
          <w:w w:val="105"/>
        </w:rPr>
        <w:t>contabilizado.</w:t>
      </w:r>
    </w:p>
    <w:p>
      <w:pPr>
        <w:pStyle w:val="BodyText"/>
        <w:spacing w:before="1"/>
        <w:rPr>
          <w:sz w:val="26"/>
        </w:rPr>
      </w:pPr>
    </w:p>
    <w:p>
      <w:pPr>
        <w:pStyle w:val="Heading5"/>
        <w:spacing w:line="285" w:lineRule="auto"/>
        <w:ind w:left="104" w:right="102"/>
        <w:jc w:val="center"/>
      </w:pPr>
      <w:r>
        <w:rPr>
          <w:color w:val="231F20"/>
          <w:spacing w:val="-4"/>
          <w:w w:val="105"/>
        </w:rPr>
        <w:t>Tabla</w:t>
      </w:r>
      <w:r>
        <w:rPr>
          <w:color w:val="231F20"/>
          <w:spacing w:val="-27"/>
          <w:w w:val="105"/>
        </w:rPr>
        <w:t> </w:t>
      </w:r>
      <w:r>
        <w:rPr>
          <w:color w:val="231F20"/>
          <w:w w:val="105"/>
        </w:rPr>
        <w:t>5.</w:t>
      </w:r>
      <w:r>
        <w:rPr>
          <w:color w:val="231F20"/>
          <w:spacing w:val="-27"/>
          <w:w w:val="105"/>
        </w:rPr>
        <w:t> </w:t>
      </w:r>
      <w:r>
        <w:rPr>
          <w:color w:val="231F20"/>
          <w:w w:val="105"/>
        </w:rPr>
        <w:t>Empresas</w:t>
      </w:r>
      <w:r>
        <w:rPr>
          <w:color w:val="231F20"/>
          <w:spacing w:val="-27"/>
          <w:w w:val="105"/>
        </w:rPr>
        <w:t> </w:t>
      </w:r>
      <w:r>
        <w:rPr>
          <w:color w:val="231F20"/>
          <w:w w:val="105"/>
        </w:rPr>
        <w:t>ubicadas</w:t>
      </w:r>
      <w:r>
        <w:rPr>
          <w:color w:val="231F20"/>
          <w:spacing w:val="-27"/>
          <w:w w:val="105"/>
        </w:rPr>
        <w:t> </w:t>
      </w:r>
      <w:r>
        <w:rPr>
          <w:color w:val="231F20"/>
          <w:w w:val="105"/>
        </w:rPr>
        <w:t>en</w:t>
      </w:r>
      <w:r>
        <w:rPr>
          <w:color w:val="231F20"/>
          <w:spacing w:val="-27"/>
          <w:w w:val="105"/>
        </w:rPr>
        <w:t> </w:t>
      </w:r>
      <w:r>
        <w:rPr>
          <w:color w:val="231F20"/>
          <w:w w:val="105"/>
        </w:rPr>
        <w:t>Huixquilucan</w:t>
      </w:r>
      <w:r>
        <w:rPr>
          <w:color w:val="231F20"/>
          <w:spacing w:val="-27"/>
          <w:w w:val="105"/>
        </w:rPr>
        <w:t> </w:t>
      </w:r>
      <w:r>
        <w:rPr>
          <w:color w:val="231F20"/>
          <w:w w:val="105"/>
        </w:rPr>
        <w:t>agrupadas</w:t>
      </w:r>
      <w:r>
        <w:rPr>
          <w:color w:val="231F20"/>
          <w:spacing w:val="-27"/>
          <w:w w:val="105"/>
        </w:rPr>
        <w:t> </w:t>
      </w:r>
      <w:r>
        <w:rPr>
          <w:color w:val="231F20"/>
          <w:w w:val="105"/>
        </w:rPr>
        <w:t>por</w:t>
      </w:r>
      <w:r>
        <w:rPr>
          <w:color w:val="231F20"/>
          <w:spacing w:val="-27"/>
          <w:w w:val="105"/>
        </w:rPr>
        <w:t> </w:t>
      </w:r>
      <w:r>
        <w:rPr>
          <w:color w:val="231F20"/>
          <w:w w:val="105"/>
        </w:rPr>
        <w:t>sector</w:t>
      </w:r>
      <w:r>
        <w:rPr>
          <w:color w:val="231F20"/>
          <w:spacing w:val="-27"/>
          <w:w w:val="105"/>
        </w:rPr>
        <w:t> </w:t>
      </w:r>
      <w:r>
        <w:rPr>
          <w:color w:val="231F20"/>
          <w:w w:val="105"/>
        </w:rPr>
        <w:t>productivo, </w:t>
      </w:r>
      <w:r>
        <w:rPr>
          <w:color w:val="231F20"/>
          <w:spacing w:val="3"/>
          <w:w w:val="105"/>
        </w:rPr>
        <w:t>2006 </w:t>
      </w:r>
      <w:r>
        <w:rPr>
          <w:color w:val="231F20"/>
          <w:w w:val="105"/>
        </w:rPr>
        <w:t>y</w:t>
      </w:r>
      <w:r>
        <w:rPr>
          <w:color w:val="231F20"/>
          <w:spacing w:val="-1"/>
          <w:w w:val="105"/>
        </w:rPr>
        <w:t> </w:t>
      </w:r>
      <w:r>
        <w:rPr>
          <w:color w:val="231F20"/>
          <w:spacing w:val="2"/>
          <w:w w:val="105"/>
        </w:rPr>
        <w:t>2008.</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96"/>
        <w:gridCol w:w="1796"/>
        <w:gridCol w:w="1796"/>
        <w:gridCol w:w="2539"/>
      </w:tblGrid>
      <w:tr>
        <w:trPr>
          <w:trHeight w:val="130" w:hRule="exact"/>
        </w:trPr>
        <w:tc>
          <w:tcPr>
            <w:tcW w:w="1796" w:type="dxa"/>
            <w:vMerge w:val="restart"/>
          </w:tcPr>
          <w:p>
            <w:pPr>
              <w:pStyle w:val="TableParagraph"/>
              <w:spacing w:line="149" w:lineRule="exact"/>
              <w:ind w:left="166"/>
              <w:rPr>
                <w:b/>
                <w:sz w:val="16"/>
              </w:rPr>
            </w:pPr>
            <w:r>
              <w:rPr>
                <w:b/>
                <w:color w:val="231F20"/>
                <w:w w:val="85"/>
                <w:sz w:val="16"/>
              </w:rPr>
              <w:t>Tipo de Sector Productivo</w:t>
            </w:r>
          </w:p>
        </w:tc>
        <w:tc>
          <w:tcPr>
            <w:tcW w:w="1796" w:type="dxa"/>
            <w:tcBorders>
              <w:right w:val="nil"/>
            </w:tcBorders>
          </w:tcPr>
          <w:p>
            <w:pPr>
              <w:pStyle w:val="TableParagraph"/>
              <w:spacing w:line="146" w:lineRule="exact"/>
              <w:ind w:left="0" w:right="32"/>
              <w:jc w:val="right"/>
              <w:rPr>
                <w:b/>
                <w:sz w:val="16"/>
              </w:rPr>
            </w:pPr>
            <w:r>
              <w:rPr>
                <w:b/>
                <w:color w:val="231F20"/>
                <w:spacing w:val="1"/>
                <w:w w:val="75"/>
                <w:sz w:val="16"/>
              </w:rPr>
              <w:t>A</w:t>
            </w:r>
          </w:p>
        </w:tc>
        <w:tc>
          <w:tcPr>
            <w:tcW w:w="1796" w:type="dxa"/>
            <w:tcBorders>
              <w:left w:val="nil"/>
            </w:tcBorders>
          </w:tcPr>
          <w:p>
            <w:pPr>
              <w:pStyle w:val="TableParagraph"/>
              <w:spacing w:line="146" w:lineRule="exact"/>
              <w:ind w:left="-37"/>
              <w:rPr>
                <w:b/>
                <w:sz w:val="16"/>
              </w:rPr>
            </w:pPr>
            <w:r>
              <w:rPr>
                <w:b/>
                <w:color w:val="231F20"/>
                <w:w w:val="95"/>
                <w:sz w:val="16"/>
              </w:rPr>
              <w:t>ño</w:t>
            </w:r>
          </w:p>
        </w:tc>
        <w:tc>
          <w:tcPr>
            <w:tcW w:w="2539" w:type="dxa"/>
            <w:vMerge w:val="restart"/>
          </w:tcPr>
          <w:p>
            <w:pPr>
              <w:pStyle w:val="TableParagraph"/>
              <w:spacing w:line="149" w:lineRule="exact"/>
              <w:ind w:left="922" w:right="920"/>
              <w:jc w:val="center"/>
              <w:rPr>
                <w:b/>
                <w:sz w:val="16"/>
              </w:rPr>
            </w:pPr>
            <w:r>
              <w:rPr>
                <w:b/>
                <w:color w:val="231F20"/>
                <w:w w:val="95"/>
                <w:sz w:val="16"/>
              </w:rPr>
              <w:t>Diferencia</w:t>
            </w:r>
          </w:p>
        </w:tc>
      </w:tr>
      <w:tr>
        <w:trPr>
          <w:trHeight w:val="130" w:hRule="exact"/>
        </w:trPr>
        <w:tc>
          <w:tcPr>
            <w:tcW w:w="1796" w:type="dxa"/>
            <w:vMerge/>
          </w:tcPr>
          <w:p>
            <w:pPr/>
          </w:p>
        </w:tc>
        <w:tc>
          <w:tcPr>
            <w:tcW w:w="1796" w:type="dxa"/>
          </w:tcPr>
          <w:p>
            <w:pPr>
              <w:pStyle w:val="TableParagraph"/>
              <w:spacing w:line="146" w:lineRule="exact"/>
              <w:ind w:left="754"/>
              <w:rPr>
                <w:b/>
                <w:sz w:val="16"/>
              </w:rPr>
            </w:pPr>
            <w:r>
              <w:rPr>
                <w:b/>
                <w:color w:val="231F20"/>
                <w:w w:val="95"/>
                <w:sz w:val="16"/>
              </w:rPr>
              <w:t>2006</w:t>
            </w:r>
          </w:p>
        </w:tc>
        <w:tc>
          <w:tcPr>
            <w:tcW w:w="1796" w:type="dxa"/>
          </w:tcPr>
          <w:p>
            <w:pPr>
              <w:pStyle w:val="TableParagraph"/>
              <w:spacing w:line="146" w:lineRule="exact"/>
              <w:ind w:left="718" w:right="718"/>
              <w:jc w:val="center"/>
              <w:rPr>
                <w:b/>
                <w:sz w:val="16"/>
              </w:rPr>
            </w:pPr>
            <w:r>
              <w:rPr>
                <w:b/>
                <w:color w:val="231F20"/>
                <w:w w:val="95"/>
                <w:sz w:val="16"/>
              </w:rPr>
              <w:t>2008</w:t>
            </w:r>
          </w:p>
        </w:tc>
        <w:tc>
          <w:tcPr>
            <w:tcW w:w="2539" w:type="dxa"/>
            <w:vMerge/>
          </w:tcPr>
          <w:p>
            <w:pPr/>
          </w:p>
        </w:tc>
      </w:tr>
      <w:tr>
        <w:trPr>
          <w:trHeight w:val="130" w:hRule="exact"/>
        </w:trPr>
        <w:tc>
          <w:tcPr>
            <w:tcW w:w="1796" w:type="dxa"/>
          </w:tcPr>
          <w:p>
            <w:pPr>
              <w:pStyle w:val="TableParagraph"/>
              <w:spacing w:line="146" w:lineRule="exact"/>
              <w:ind w:left="0" w:right="662"/>
              <w:jc w:val="right"/>
              <w:rPr>
                <w:sz w:val="16"/>
              </w:rPr>
            </w:pPr>
            <w:r>
              <w:rPr>
                <w:color w:val="231F20"/>
                <w:w w:val="75"/>
                <w:sz w:val="16"/>
              </w:rPr>
              <w:t>Industria</w:t>
            </w:r>
          </w:p>
        </w:tc>
        <w:tc>
          <w:tcPr>
            <w:tcW w:w="1796" w:type="dxa"/>
          </w:tcPr>
          <w:p>
            <w:pPr>
              <w:pStyle w:val="TableParagraph"/>
              <w:spacing w:line="146" w:lineRule="exact"/>
              <w:ind w:left="829"/>
              <w:rPr>
                <w:sz w:val="16"/>
              </w:rPr>
            </w:pPr>
            <w:r>
              <w:rPr>
                <w:color w:val="231F20"/>
                <w:w w:val="85"/>
                <w:sz w:val="16"/>
              </w:rPr>
              <w:t>48</w:t>
            </w:r>
          </w:p>
        </w:tc>
        <w:tc>
          <w:tcPr>
            <w:tcW w:w="1796" w:type="dxa"/>
          </w:tcPr>
          <w:p>
            <w:pPr>
              <w:pStyle w:val="TableParagraph"/>
              <w:spacing w:line="146" w:lineRule="exact"/>
              <w:ind w:left="718" w:right="718"/>
              <w:jc w:val="center"/>
              <w:rPr>
                <w:sz w:val="16"/>
              </w:rPr>
            </w:pPr>
            <w:r>
              <w:rPr>
                <w:color w:val="231F20"/>
                <w:w w:val="85"/>
                <w:sz w:val="16"/>
              </w:rPr>
              <w:t>42</w:t>
            </w:r>
          </w:p>
        </w:tc>
        <w:tc>
          <w:tcPr>
            <w:tcW w:w="2539" w:type="dxa"/>
          </w:tcPr>
          <w:p>
            <w:pPr>
              <w:pStyle w:val="TableParagraph"/>
              <w:spacing w:line="146" w:lineRule="exact"/>
              <w:ind w:left="920" w:right="920"/>
              <w:jc w:val="center"/>
              <w:rPr>
                <w:sz w:val="16"/>
              </w:rPr>
            </w:pPr>
            <w:r>
              <w:rPr>
                <w:color w:val="231F20"/>
                <w:w w:val="85"/>
                <w:sz w:val="16"/>
              </w:rPr>
              <w:t>-6 (-13%)</w:t>
            </w:r>
          </w:p>
        </w:tc>
      </w:tr>
      <w:tr>
        <w:trPr>
          <w:trHeight w:val="160" w:hRule="exact"/>
        </w:trPr>
        <w:tc>
          <w:tcPr>
            <w:tcW w:w="1796" w:type="dxa"/>
          </w:tcPr>
          <w:p>
            <w:pPr>
              <w:pStyle w:val="TableParagraph"/>
              <w:spacing w:line="176" w:lineRule="exact"/>
              <w:ind w:left="0" w:right="602"/>
              <w:jc w:val="right"/>
              <w:rPr>
                <w:sz w:val="20"/>
              </w:rPr>
            </w:pPr>
            <w:r>
              <w:rPr>
                <w:color w:val="231F20"/>
                <w:w w:val="70"/>
                <w:sz w:val="20"/>
              </w:rPr>
              <w:t>Comercio</w:t>
            </w:r>
          </w:p>
        </w:tc>
        <w:tc>
          <w:tcPr>
            <w:tcW w:w="1796" w:type="dxa"/>
          </w:tcPr>
          <w:p>
            <w:pPr>
              <w:pStyle w:val="TableParagraph"/>
              <w:spacing w:line="149" w:lineRule="exact"/>
              <w:ind w:left="802"/>
              <w:rPr>
                <w:sz w:val="16"/>
              </w:rPr>
            </w:pPr>
            <w:r>
              <w:rPr>
                <w:color w:val="231F20"/>
                <w:w w:val="85"/>
                <w:sz w:val="16"/>
              </w:rPr>
              <w:t>716</w:t>
            </w:r>
          </w:p>
        </w:tc>
        <w:tc>
          <w:tcPr>
            <w:tcW w:w="1796" w:type="dxa"/>
          </w:tcPr>
          <w:p>
            <w:pPr>
              <w:pStyle w:val="TableParagraph"/>
              <w:spacing w:line="149" w:lineRule="exact"/>
              <w:ind w:left="717" w:right="718"/>
              <w:jc w:val="center"/>
              <w:rPr>
                <w:sz w:val="16"/>
              </w:rPr>
            </w:pPr>
            <w:r>
              <w:rPr>
                <w:color w:val="231F20"/>
                <w:w w:val="85"/>
                <w:sz w:val="16"/>
              </w:rPr>
              <w:t>537</w:t>
            </w:r>
          </w:p>
        </w:tc>
        <w:tc>
          <w:tcPr>
            <w:tcW w:w="2539" w:type="dxa"/>
          </w:tcPr>
          <w:p>
            <w:pPr>
              <w:pStyle w:val="TableParagraph"/>
              <w:spacing w:line="149" w:lineRule="exact"/>
              <w:ind w:left="0" w:right="969"/>
              <w:jc w:val="right"/>
              <w:rPr>
                <w:sz w:val="16"/>
              </w:rPr>
            </w:pPr>
            <w:r>
              <w:rPr>
                <w:color w:val="231F20"/>
                <w:w w:val="80"/>
                <w:sz w:val="16"/>
              </w:rPr>
              <w:t>-179 (-25%)</w:t>
            </w:r>
          </w:p>
        </w:tc>
      </w:tr>
      <w:tr>
        <w:trPr>
          <w:trHeight w:val="160" w:hRule="exact"/>
        </w:trPr>
        <w:tc>
          <w:tcPr>
            <w:tcW w:w="1796" w:type="dxa"/>
          </w:tcPr>
          <w:p>
            <w:pPr>
              <w:pStyle w:val="TableParagraph"/>
              <w:spacing w:line="176" w:lineRule="exact"/>
              <w:ind w:left="0" w:right="618"/>
              <w:jc w:val="right"/>
              <w:rPr>
                <w:sz w:val="20"/>
              </w:rPr>
            </w:pPr>
            <w:r>
              <w:rPr>
                <w:color w:val="231F20"/>
                <w:w w:val="75"/>
                <w:sz w:val="20"/>
              </w:rPr>
              <w:t>Servicios</w:t>
            </w:r>
          </w:p>
        </w:tc>
        <w:tc>
          <w:tcPr>
            <w:tcW w:w="1796" w:type="dxa"/>
          </w:tcPr>
          <w:p>
            <w:pPr>
              <w:pStyle w:val="TableParagraph"/>
              <w:spacing w:line="149" w:lineRule="exact"/>
              <w:ind w:left="800"/>
              <w:rPr>
                <w:sz w:val="16"/>
              </w:rPr>
            </w:pPr>
            <w:r>
              <w:rPr>
                <w:color w:val="231F20"/>
                <w:w w:val="85"/>
                <w:sz w:val="16"/>
              </w:rPr>
              <w:t>345</w:t>
            </w:r>
          </w:p>
        </w:tc>
        <w:tc>
          <w:tcPr>
            <w:tcW w:w="1796" w:type="dxa"/>
          </w:tcPr>
          <w:p>
            <w:pPr>
              <w:pStyle w:val="TableParagraph"/>
              <w:spacing w:line="149" w:lineRule="exact"/>
              <w:ind w:left="718" w:right="718"/>
              <w:jc w:val="center"/>
              <w:rPr>
                <w:sz w:val="16"/>
              </w:rPr>
            </w:pPr>
            <w:r>
              <w:rPr>
                <w:color w:val="231F20"/>
                <w:w w:val="85"/>
                <w:sz w:val="16"/>
              </w:rPr>
              <w:t>282</w:t>
            </w:r>
          </w:p>
        </w:tc>
        <w:tc>
          <w:tcPr>
            <w:tcW w:w="2539" w:type="dxa"/>
          </w:tcPr>
          <w:p>
            <w:pPr>
              <w:pStyle w:val="TableParagraph"/>
              <w:spacing w:line="176" w:lineRule="exact"/>
              <w:ind w:left="0" w:right="934"/>
              <w:jc w:val="right"/>
              <w:rPr>
                <w:sz w:val="20"/>
              </w:rPr>
            </w:pPr>
            <w:r>
              <w:rPr>
                <w:color w:val="231F20"/>
                <w:w w:val="85"/>
                <w:sz w:val="20"/>
              </w:rPr>
              <w:t>-63 (-18%)</w:t>
            </w:r>
          </w:p>
        </w:tc>
      </w:tr>
      <w:tr>
        <w:trPr>
          <w:trHeight w:val="248" w:hRule="exact"/>
        </w:trPr>
        <w:tc>
          <w:tcPr>
            <w:tcW w:w="1796" w:type="dxa"/>
          </w:tcPr>
          <w:p>
            <w:pPr>
              <w:pStyle w:val="TableParagraph"/>
              <w:spacing w:line="149" w:lineRule="exact"/>
              <w:ind w:left="718" w:right="718"/>
              <w:jc w:val="center"/>
              <w:rPr>
                <w:sz w:val="16"/>
              </w:rPr>
            </w:pPr>
            <w:r>
              <w:rPr>
                <w:color w:val="231F20"/>
                <w:w w:val="85"/>
                <w:sz w:val="16"/>
              </w:rPr>
              <w:t>Total</w:t>
            </w:r>
          </w:p>
        </w:tc>
        <w:tc>
          <w:tcPr>
            <w:tcW w:w="1796" w:type="dxa"/>
          </w:tcPr>
          <w:p>
            <w:pPr>
              <w:pStyle w:val="TableParagraph"/>
              <w:spacing w:line="149" w:lineRule="exact"/>
              <w:ind w:left="759"/>
              <w:rPr>
                <w:sz w:val="16"/>
              </w:rPr>
            </w:pPr>
            <w:r>
              <w:rPr>
                <w:color w:val="231F20"/>
                <w:w w:val="85"/>
                <w:sz w:val="16"/>
              </w:rPr>
              <w:t>1,109</w:t>
            </w:r>
          </w:p>
        </w:tc>
        <w:tc>
          <w:tcPr>
            <w:tcW w:w="1796" w:type="dxa"/>
          </w:tcPr>
          <w:p>
            <w:pPr>
              <w:pStyle w:val="TableParagraph"/>
              <w:spacing w:line="149" w:lineRule="exact"/>
              <w:ind w:left="718" w:right="718"/>
              <w:jc w:val="center"/>
              <w:rPr>
                <w:sz w:val="16"/>
              </w:rPr>
            </w:pPr>
            <w:r>
              <w:rPr>
                <w:color w:val="231F20"/>
                <w:w w:val="85"/>
                <w:sz w:val="16"/>
              </w:rPr>
              <w:t>861</w:t>
            </w:r>
          </w:p>
        </w:tc>
        <w:tc>
          <w:tcPr>
            <w:tcW w:w="2539" w:type="dxa"/>
          </w:tcPr>
          <w:p>
            <w:pPr>
              <w:pStyle w:val="TableParagraph"/>
              <w:spacing w:line="189" w:lineRule="exact"/>
              <w:ind w:left="0" w:right="899"/>
              <w:jc w:val="right"/>
              <w:rPr>
                <w:sz w:val="20"/>
              </w:rPr>
            </w:pPr>
            <w:r>
              <w:rPr>
                <w:color w:val="231F20"/>
                <w:w w:val="80"/>
                <w:sz w:val="20"/>
              </w:rPr>
              <w:t>-248 (-22%)</w:t>
            </w:r>
          </w:p>
        </w:tc>
      </w:tr>
    </w:tbl>
    <w:p>
      <w:pPr>
        <w:pStyle w:val="BodyText"/>
        <w:spacing w:before="4"/>
        <w:rPr>
          <w:b/>
          <w:sz w:val="18"/>
        </w:rPr>
      </w:pPr>
    </w:p>
    <w:p>
      <w:pPr>
        <w:spacing w:before="74"/>
        <w:ind w:left="902" w:right="-2" w:firstLine="0"/>
        <w:jc w:val="left"/>
        <w:rPr>
          <w:rFonts w:ascii="Calibri" w:hAnsi="Calibri"/>
          <w:sz w:val="16"/>
        </w:rPr>
      </w:pPr>
      <w:r>
        <w:rPr>
          <w:rFonts w:ascii="Calibri" w:hAnsi="Calibri"/>
          <w:color w:val="231F20"/>
          <w:sz w:val="16"/>
        </w:rPr>
        <w:t>Fuente:</w:t>
      </w:r>
      <w:r>
        <w:rPr>
          <w:rFonts w:ascii="Calibri" w:hAnsi="Calibri"/>
          <w:color w:val="231F20"/>
          <w:spacing w:val="-21"/>
          <w:sz w:val="16"/>
        </w:rPr>
        <w:t> </w:t>
      </w:r>
      <w:r>
        <w:rPr>
          <w:rFonts w:ascii="Calibri" w:hAnsi="Calibri"/>
          <w:color w:val="231F20"/>
          <w:sz w:val="16"/>
        </w:rPr>
        <w:t>elaboración</w:t>
      </w:r>
      <w:r>
        <w:rPr>
          <w:rFonts w:ascii="Calibri" w:hAnsi="Calibri"/>
          <w:color w:val="231F20"/>
          <w:spacing w:val="-21"/>
          <w:sz w:val="16"/>
        </w:rPr>
        <w:t> </w:t>
      </w:r>
      <w:r>
        <w:rPr>
          <w:rFonts w:ascii="Calibri" w:hAnsi="Calibri"/>
          <w:color w:val="231F20"/>
          <w:sz w:val="16"/>
        </w:rPr>
        <w:t>propia</w:t>
      </w:r>
      <w:r>
        <w:rPr>
          <w:rFonts w:ascii="Calibri" w:hAnsi="Calibri"/>
          <w:color w:val="231F20"/>
          <w:spacing w:val="-21"/>
          <w:sz w:val="16"/>
        </w:rPr>
        <w:t> </w:t>
      </w:r>
      <w:r>
        <w:rPr>
          <w:rFonts w:ascii="Calibri" w:hAnsi="Calibri"/>
          <w:color w:val="231F20"/>
          <w:sz w:val="16"/>
        </w:rPr>
        <w:t>a</w:t>
      </w:r>
      <w:r>
        <w:rPr>
          <w:rFonts w:ascii="Calibri" w:hAnsi="Calibri"/>
          <w:color w:val="231F20"/>
          <w:spacing w:val="-21"/>
          <w:sz w:val="16"/>
        </w:rPr>
        <w:t> </w:t>
      </w:r>
      <w:r>
        <w:rPr>
          <w:rFonts w:ascii="Calibri" w:hAnsi="Calibri"/>
          <w:color w:val="231F20"/>
          <w:sz w:val="16"/>
        </w:rPr>
        <w:t>partir</w:t>
      </w:r>
      <w:r>
        <w:rPr>
          <w:rFonts w:ascii="Calibri" w:hAnsi="Calibri"/>
          <w:color w:val="231F20"/>
          <w:spacing w:val="-21"/>
          <w:sz w:val="16"/>
        </w:rPr>
        <w:t> </w:t>
      </w:r>
      <w:r>
        <w:rPr>
          <w:rFonts w:ascii="Calibri" w:hAnsi="Calibri"/>
          <w:color w:val="231F20"/>
          <w:sz w:val="16"/>
        </w:rPr>
        <w:t>de</w:t>
      </w:r>
      <w:r>
        <w:rPr>
          <w:rFonts w:ascii="Calibri" w:hAnsi="Calibri"/>
          <w:color w:val="231F20"/>
          <w:spacing w:val="-21"/>
          <w:sz w:val="16"/>
        </w:rPr>
        <w:t> </w:t>
      </w:r>
      <w:r>
        <w:rPr>
          <w:rFonts w:ascii="Calibri" w:hAnsi="Calibri"/>
          <w:color w:val="231F20"/>
          <w:sz w:val="16"/>
        </w:rPr>
        <w:t>(SECRETARÍA</w:t>
      </w:r>
      <w:r>
        <w:rPr>
          <w:rFonts w:ascii="Calibri" w:hAnsi="Calibri"/>
          <w:color w:val="231F20"/>
          <w:spacing w:val="-21"/>
          <w:sz w:val="16"/>
        </w:rPr>
        <w:t> </w:t>
      </w:r>
      <w:r>
        <w:rPr>
          <w:rFonts w:ascii="Calibri" w:hAnsi="Calibri"/>
          <w:color w:val="231F20"/>
          <w:sz w:val="16"/>
        </w:rPr>
        <w:t>DE</w:t>
      </w:r>
      <w:r>
        <w:rPr>
          <w:rFonts w:ascii="Calibri" w:hAnsi="Calibri"/>
          <w:color w:val="231F20"/>
          <w:spacing w:val="-21"/>
          <w:sz w:val="16"/>
        </w:rPr>
        <w:t> </w:t>
      </w:r>
      <w:r>
        <w:rPr>
          <w:rFonts w:ascii="Calibri" w:hAnsi="Calibri"/>
          <w:color w:val="231F20"/>
          <w:sz w:val="16"/>
        </w:rPr>
        <w:t>ECONOMÍA</w:t>
      </w:r>
      <w:r>
        <w:rPr>
          <w:rFonts w:ascii="Calibri" w:hAnsi="Calibri"/>
          <w:color w:val="231F20"/>
          <w:spacing w:val="-21"/>
          <w:sz w:val="16"/>
        </w:rPr>
        <w:t> </w:t>
      </w:r>
      <w:r>
        <w:rPr>
          <w:rFonts w:ascii="Calibri" w:hAnsi="Calibri"/>
          <w:color w:val="231F20"/>
          <w:sz w:val="16"/>
        </w:rPr>
        <w:t>FEDERAL,</w:t>
      </w:r>
      <w:r>
        <w:rPr>
          <w:rFonts w:ascii="Calibri" w:hAnsi="Calibri"/>
          <w:color w:val="231F20"/>
          <w:spacing w:val="-21"/>
          <w:sz w:val="16"/>
        </w:rPr>
        <w:t> </w:t>
      </w:r>
      <w:r>
        <w:rPr>
          <w:rFonts w:ascii="Calibri" w:hAnsi="Calibri"/>
          <w:color w:val="231F20"/>
          <w:sz w:val="16"/>
        </w:rPr>
        <w:t>2008),</w:t>
      </w:r>
      <w:r>
        <w:rPr>
          <w:rFonts w:ascii="Calibri" w:hAnsi="Calibri"/>
          <w:color w:val="231F20"/>
          <w:spacing w:val="-21"/>
          <w:sz w:val="16"/>
        </w:rPr>
        <w:t> </w:t>
      </w:r>
      <w:r>
        <w:rPr>
          <w:rFonts w:ascii="Calibri" w:hAnsi="Calibri"/>
          <w:color w:val="231F20"/>
          <w:sz w:val="16"/>
        </w:rPr>
        <w:t>(HUIXQUILUCAN,</w:t>
      </w:r>
      <w:r>
        <w:rPr>
          <w:rFonts w:ascii="Calibri" w:hAnsi="Calibri"/>
          <w:color w:val="231F20"/>
          <w:spacing w:val="-21"/>
          <w:sz w:val="16"/>
        </w:rPr>
        <w:t> </w:t>
      </w:r>
      <w:r>
        <w:rPr>
          <w:rFonts w:ascii="Calibri" w:hAnsi="Calibri"/>
          <w:color w:val="231F20"/>
          <w:sz w:val="16"/>
        </w:rPr>
        <w:t>2006a:</w:t>
      </w:r>
      <w:r>
        <w:rPr>
          <w:rFonts w:ascii="Calibri" w:hAnsi="Calibri"/>
          <w:color w:val="231F20"/>
          <w:spacing w:val="-21"/>
          <w:sz w:val="16"/>
        </w:rPr>
        <w:t> </w:t>
      </w:r>
      <w:r>
        <w:rPr>
          <w:rFonts w:ascii="Calibri" w:hAnsi="Calibri"/>
          <w:color w:val="231F20"/>
          <w:sz w:val="16"/>
        </w:rPr>
        <w:t>30).</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En resumen, la economía huixquiluquense está compuesta en su gran mayoría por la actividad</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empresas</w:t>
      </w:r>
      <w:r>
        <w:rPr>
          <w:color w:val="231F20"/>
          <w:spacing w:val="-11"/>
          <w:w w:val="105"/>
        </w:rPr>
        <w:t> </w:t>
      </w:r>
      <w:r>
        <w:rPr>
          <w:color w:val="231F20"/>
          <w:w w:val="105"/>
        </w:rPr>
        <w:t>de</w:t>
      </w:r>
      <w:r>
        <w:rPr>
          <w:color w:val="231F20"/>
          <w:spacing w:val="-11"/>
          <w:w w:val="105"/>
        </w:rPr>
        <w:t> </w:t>
      </w:r>
      <w:r>
        <w:rPr>
          <w:color w:val="231F20"/>
          <w:w w:val="105"/>
        </w:rPr>
        <w:t>tamaño</w:t>
      </w:r>
      <w:r>
        <w:rPr>
          <w:color w:val="231F20"/>
          <w:spacing w:val="-11"/>
          <w:w w:val="105"/>
        </w:rPr>
        <w:t> </w:t>
      </w:r>
      <w:r>
        <w:rPr>
          <w:color w:val="231F20"/>
          <w:w w:val="105"/>
        </w:rPr>
        <w:t>micro</w:t>
      </w:r>
      <w:r>
        <w:rPr>
          <w:color w:val="231F20"/>
          <w:spacing w:val="-11"/>
          <w:w w:val="105"/>
        </w:rPr>
        <w:t> </w:t>
      </w:r>
      <w:r>
        <w:rPr>
          <w:color w:val="231F20"/>
          <w:w w:val="105"/>
        </w:rPr>
        <w:t>y</w:t>
      </w:r>
      <w:r>
        <w:rPr>
          <w:color w:val="231F20"/>
          <w:spacing w:val="-11"/>
          <w:w w:val="105"/>
        </w:rPr>
        <w:t> </w:t>
      </w:r>
      <w:r>
        <w:rPr>
          <w:color w:val="231F20"/>
          <w:w w:val="105"/>
        </w:rPr>
        <w:t>pequeña,</w:t>
      </w:r>
      <w:r>
        <w:rPr>
          <w:color w:val="231F20"/>
          <w:spacing w:val="-11"/>
          <w:w w:val="105"/>
        </w:rPr>
        <w:t> </w:t>
      </w:r>
      <w:r>
        <w:rPr>
          <w:color w:val="231F20"/>
          <w:w w:val="105"/>
        </w:rPr>
        <w:t>principalmente</w:t>
      </w:r>
      <w:r>
        <w:rPr>
          <w:color w:val="231F20"/>
          <w:spacing w:val="-11"/>
          <w:w w:val="105"/>
        </w:rPr>
        <w:t> </w:t>
      </w:r>
      <w:r>
        <w:rPr>
          <w:color w:val="231F20"/>
          <w:w w:val="105"/>
        </w:rPr>
        <w:t>aquellas</w:t>
      </w:r>
      <w:r>
        <w:rPr>
          <w:color w:val="231F20"/>
          <w:spacing w:val="-11"/>
          <w:w w:val="105"/>
        </w:rPr>
        <w:t> </w:t>
      </w:r>
      <w:r>
        <w:rPr>
          <w:color w:val="231F20"/>
          <w:w w:val="105"/>
        </w:rPr>
        <w:t>dedica- das </w:t>
      </w:r>
      <w:r>
        <w:rPr>
          <w:color w:val="231F20"/>
          <w:spacing w:val="2"/>
          <w:w w:val="105"/>
        </w:rPr>
        <w:t>al </w:t>
      </w:r>
      <w:r>
        <w:rPr>
          <w:color w:val="231F20"/>
          <w:w w:val="105"/>
        </w:rPr>
        <w:t>comercio y a los servicios. </w:t>
      </w:r>
      <w:r>
        <w:rPr>
          <w:color w:val="231F20"/>
          <w:spacing w:val="-3"/>
          <w:w w:val="105"/>
        </w:rPr>
        <w:t>Por </w:t>
      </w:r>
      <w:r>
        <w:rPr>
          <w:color w:val="231F20"/>
          <w:w w:val="105"/>
        </w:rPr>
        <w:t>su parte, se observa que las empresas de tamaño mediano y grande ubicadas en el municipio se enfocan </w:t>
      </w:r>
      <w:r>
        <w:rPr>
          <w:color w:val="231F20"/>
          <w:spacing w:val="2"/>
          <w:w w:val="105"/>
        </w:rPr>
        <w:t>al </w:t>
      </w:r>
      <w:r>
        <w:rPr>
          <w:color w:val="231F20"/>
          <w:w w:val="105"/>
        </w:rPr>
        <w:t>sector del </w:t>
      </w:r>
      <w:r>
        <w:rPr>
          <w:color w:val="231F20"/>
          <w:spacing w:val="-2"/>
          <w:w w:val="105"/>
        </w:rPr>
        <w:t>comercio. </w:t>
      </w:r>
      <w:r>
        <w:rPr>
          <w:color w:val="231F20"/>
          <w:w w:val="105"/>
        </w:rPr>
        <w:t>En el municipio se carece de un fuerte sector dedicado a la industria, principalmente en el sector de la</w:t>
      </w:r>
      <w:r>
        <w:rPr>
          <w:color w:val="231F20"/>
          <w:spacing w:val="-21"/>
          <w:w w:val="105"/>
        </w:rPr>
        <w:t> </w:t>
      </w:r>
      <w:r>
        <w:rPr>
          <w:color w:val="231F20"/>
          <w:w w:val="105"/>
        </w:rPr>
        <w:t>transformación.</w:t>
      </w:r>
    </w:p>
    <w:p>
      <w:pPr>
        <w:pStyle w:val="BodyText"/>
        <w:spacing w:before="1"/>
        <w:rPr>
          <w:sz w:val="26"/>
        </w:rPr>
      </w:pPr>
    </w:p>
    <w:p>
      <w:pPr>
        <w:pStyle w:val="BodyText"/>
        <w:spacing w:line="285" w:lineRule="auto"/>
        <w:ind w:left="110" w:right="107"/>
        <w:jc w:val="both"/>
      </w:pPr>
      <w:r>
        <w:rPr>
          <w:color w:val="231F20"/>
          <w:w w:val="105"/>
        </w:rPr>
        <w:t>Si bien la configuración del sector económico y productivo del municipio muestra ca- racterísticas propias del desarrollo urbano, centrado en mayor medida en la provisión de</w:t>
      </w:r>
      <w:r>
        <w:rPr>
          <w:color w:val="231F20"/>
          <w:spacing w:val="-18"/>
          <w:w w:val="105"/>
        </w:rPr>
        <w:t> </w:t>
      </w:r>
      <w:r>
        <w:rPr>
          <w:color w:val="231F20"/>
          <w:w w:val="105"/>
        </w:rPr>
        <w:t>servicios</w:t>
      </w:r>
      <w:r>
        <w:rPr>
          <w:color w:val="231F20"/>
          <w:spacing w:val="-18"/>
          <w:w w:val="105"/>
        </w:rPr>
        <w:t> </w:t>
      </w:r>
      <w:r>
        <w:rPr>
          <w:color w:val="231F20"/>
          <w:w w:val="105"/>
        </w:rPr>
        <w:t>terciarios,</w:t>
      </w:r>
      <w:r>
        <w:rPr>
          <w:color w:val="231F20"/>
          <w:spacing w:val="-18"/>
          <w:w w:val="105"/>
        </w:rPr>
        <w:t> </w:t>
      </w:r>
      <w:r>
        <w:rPr>
          <w:color w:val="231F20"/>
          <w:w w:val="105"/>
        </w:rPr>
        <w:t>esto</w:t>
      </w:r>
      <w:r>
        <w:rPr>
          <w:color w:val="231F20"/>
          <w:spacing w:val="-18"/>
          <w:w w:val="105"/>
        </w:rPr>
        <w:t> </w:t>
      </w:r>
      <w:r>
        <w:rPr>
          <w:color w:val="231F20"/>
          <w:w w:val="105"/>
        </w:rPr>
        <w:t>no</w:t>
      </w:r>
      <w:r>
        <w:rPr>
          <w:color w:val="231F20"/>
          <w:spacing w:val="-18"/>
          <w:w w:val="105"/>
        </w:rPr>
        <w:t> </w:t>
      </w:r>
      <w:r>
        <w:rPr>
          <w:color w:val="231F20"/>
          <w:w w:val="105"/>
        </w:rPr>
        <w:t>fue</w:t>
      </w:r>
      <w:r>
        <w:rPr>
          <w:color w:val="231F20"/>
          <w:spacing w:val="-18"/>
          <w:w w:val="105"/>
        </w:rPr>
        <w:t> </w:t>
      </w:r>
      <w:r>
        <w:rPr>
          <w:color w:val="231F20"/>
          <w:w w:val="105"/>
        </w:rPr>
        <w:t>suficiente</w:t>
      </w:r>
      <w:r>
        <w:rPr>
          <w:color w:val="231F20"/>
          <w:spacing w:val="-18"/>
          <w:w w:val="105"/>
        </w:rPr>
        <w:t> </w:t>
      </w:r>
      <w:r>
        <w:rPr>
          <w:color w:val="231F20"/>
          <w:w w:val="105"/>
        </w:rPr>
        <w:t>para</w:t>
      </w:r>
      <w:r>
        <w:rPr>
          <w:color w:val="231F20"/>
          <w:spacing w:val="-18"/>
          <w:w w:val="105"/>
        </w:rPr>
        <w:t> </w:t>
      </w:r>
      <w:r>
        <w:rPr>
          <w:color w:val="231F20"/>
          <w:w w:val="105"/>
        </w:rPr>
        <w:t>impulsar</w:t>
      </w:r>
      <w:r>
        <w:rPr>
          <w:color w:val="231F20"/>
          <w:spacing w:val="-18"/>
          <w:w w:val="105"/>
        </w:rPr>
        <w:t> </w:t>
      </w:r>
      <w:r>
        <w:rPr>
          <w:color w:val="231F20"/>
          <w:w w:val="105"/>
        </w:rPr>
        <w:t>un</w:t>
      </w:r>
      <w:r>
        <w:rPr>
          <w:color w:val="231F20"/>
          <w:spacing w:val="-18"/>
          <w:w w:val="105"/>
        </w:rPr>
        <w:t> </w:t>
      </w:r>
      <w:r>
        <w:rPr>
          <w:color w:val="231F20"/>
          <w:w w:val="105"/>
        </w:rPr>
        <w:t>elevado</w:t>
      </w:r>
      <w:r>
        <w:rPr>
          <w:color w:val="231F20"/>
          <w:spacing w:val="-18"/>
          <w:w w:val="105"/>
        </w:rPr>
        <w:t> </w:t>
      </w:r>
      <w:r>
        <w:rPr>
          <w:color w:val="231F20"/>
          <w:w w:val="105"/>
        </w:rPr>
        <w:t>crecimiento</w:t>
      </w:r>
      <w:r>
        <w:rPr>
          <w:color w:val="231F20"/>
          <w:spacing w:val="-18"/>
          <w:w w:val="105"/>
        </w:rPr>
        <w:t> </w:t>
      </w:r>
      <w:r>
        <w:rPr>
          <w:color w:val="231F20"/>
          <w:w w:val="105"/>
        </w:rPr>
        <w:t>en</w:t>
      </w:r>
      <w:r>
        <w:rPr>
          <w:color w:val="231F20"/>
          <w:spacing w:val="-18"/>
          <w:w w:val="105"/>
        </w:rPr>
        <w:t> </w:t>
      </w:r>
      <w:r>
        <w:rPr>
          <w:color w:val="231F20"/>
          <w:w w:val="105"/>
        </w:rPr>
        <w:t>el desarrollo humano de sus</w:t>
      </w:r>
      <w:r>
        <w:rPr>
          <w:color w:val="231F20"/>
          <w:spacing w:val="-12"/>
          <w:w w:val="105"/>
        </w:rPr>
        <w:t> </w:t>
      </w:r>
      <w:r>
        <w:rPr>
          <w:color w:val="231F20"/>
          <w:w w:val="105"/>
        </w:rPr>
        <w:t>habitantes.</w:t>
      </w:r>
    </w:p>
    <w:p>
      <w:pPr>
        <w:pStyle w:val="BodyText"/>
        <w:spacing w:before="1"/>
        <w:rPr>
          <w:sz w:val="26"/>
        </w:rPr>
      </w:pPr>
    </w:p>
    <w:p>
      <w:pPr>
        <w:pStyle w:val="BodyText"/>
        <w:spacing w:line="285" w:lineRule="auto"/>
        <w:ind w:left="110" w:right="107"/>
        <w:jc w:val="both"/>
      </w:pPr>
      <w:r>
        <w:rPr>
          <w:color w:val="231F20"/>
          <w:w w:val="105"/>
        </w:rPr>
        <w:t>En el Índice de Desarrollo Humano se observa que Huixquilucan enfrentó problemas para</w:t>
      </w:r>
      <w:r>
        <w:rPr>
          <w:color w:val="231F20"/>
          <w:spacing w:val="-14"/>
          <w:w w:val="105"/>
        </w:rPr>
        <w:t> </w:t>
      </w:r>
      <w:r>
        <w:rPr>
          <w:color w:val="231F20"/>
          <w:w w:val="105"/>
        </w:rPr>
        <w:t>aumentar</w:t>
      </w:r>
      <w:r>
        <w:rPr>
          <w:color w:val="231F20"/>
          <w:spacing w:val="-14"/>
          <w:w w:val="105"/>
        </w:rPr>
        <w:t> </w:t>
      </w:r>
      <w:r>
        <w:rPr>
          <w:color w:val="231F20"/>
          <w:w w:val="105"/>
        </w:rPr>
        <w:t>los</w:t>
      </w:r>
      <w:r>
        <w:rPr>
          <w:color w:val="231F20"/>
          <w:spacing w:val="-14"/>
          <w:w w:val="105"/>
        </w:rPr>
        <w:t> </w:t>
      </w:r>
      <w:r>
        <w:rPr>
          <w:color w:val="231F20"/>
          <w:w w:val="105"/>
        </w:rPr>
        <w:t>servicios</w:t>
      </w:r>
      <w:r>
        <w:rPr>
          <w:color w:val="231F20"/>
          <w:spacing w:val="-14"/>
          <w:w w:val="105"/>
        </w:rPr>
        <w:t> </w:t>
      </w:r>
      <w:r>
        <w:rPr>
          <w:color w:val="231F20"/>
          <w:w w:val="105"/>
        </w:rPr>
        <w:t>de</w:t>
      </w:r>
      <w:r>
        <w:rPr>
          <w:color w:val="231F20"/>
          <w:spacing w:val="-14"/>
          <w:w w:val="105"/>
        </w:rPr>
        <w:t> </w:t>
      </w:r>
      <w:r>
        <w:rPr>
          <w:color w:val="231F20"/>
          <w:w w:val="105"/>
        </w:rPr>
        <w:t>salud</w:t>
      </w:r>
      <w:r>
        <w:rPr>
          <w:color w:val="231F20"/>
          <w:spacing w:val="-14"/>
          <w:w w:val="105"/>
        </w:rPr>
        <w:t> </w:t>
      </w:r>
      <w:r>
        <w:rPr>
          <w:color w:val="231F20"/>
          <w:w w:val="105"/>
        </w:rPr>
        <w:t>y</w:t>
      </w:r>
      <w:r>
        <w:rPr>
          <w:color w:val="231F20"/>
          <w:spacing w:val="-14"/>
          <w:w w:val="105"/>
        </w:rPr>
        <w:t> </w:t>
      </w:r>
      <w:r>
        <w:rPr>
          <w:color w:val="231F20"/>
          <w:w w:val="105"/>
        </w:rPr>
        <w:t>educación</w:t>
      </w:r>
      <w:r>
        <w:rPr>
          <w:color w:val="231F20"/>
          <w:spacing w:val="-14"/>
          <w:w w:val="105"/>
        </w:rPr>
        <w:t> </w:t>
      </w:r>
      <w:r>
        <w:rPr>
          <w:color w:val="231F20"/>
          <w:w w:val="105"/>
        </w:rPr>
        <w:t>(tabla</w:t>
      </w:r>
      <w:r>
        <w:rPr>
          <w:color w:val="231F20"/>
          <w:spacing w:val="-14"/>
          <w:w w:val="105"/>
        </w:rPr>
        <w:t> </w:t>
      </w:r>
      <w:r>
        <w:rPr>
          <w:color w:val="231F20"/>
          <w:spacing w:val="-4"/>
          <w:w w:val="105"/>
        </w:rPr>
        <w:t>6).</w:t>
      </w:r>
      <w:r>
        <w:rPr>
          <w:color w:val="231F20"/>
          <w:spacing w:val="-14"/>
          <w:w w:val="105"/>
        </w:rPr>
        <w:t> </w:t>
      </w:r>
      <w:r>
        <w:rPr>
          <w:color w:val="231F20"/>
          <w:w w:val="105"/>
        </w:rPr>
        <w:t>Son</w:t>
      </w:r>
      <w:r>
        <w:rPr>
          <w:color w:val="231F20"/>
          <w:spacing w:val="-14"/>
          <w:w w:val="105"/>
        </w:rPr>
        <w:t> </w:t>
      </w:r>
      <w:r>
        <w:rPr>
          <w:color w:val="231F20"/>
          <w:w w:val="105"/>
        </w:rPr>
        <w:t>estos</w:t>
      </w:r>
      <w:r>
        <w:rPr>
          <w:color w:val="231F20"/>
          <w:spacing w:val="-14"/>
          <w:w w:val="105"/>
        </w:rPr>
        <w:t> </w:t>
      </w:r>
      <w:r>
        <w:rPr>
          <w:color w:val="231F20"/>
          <w:w w:val="105"/>
        </w:rPr>
        <w:t>rubros</w:t>
      </w:r>
      <w:r>
        <w:rPr>
          <w:color w:val="231F20"/>
          <w:spacing w:val="-14"/>
          <w:w w:val="105"/>
        </w:rPr>
        <w:t> </w:t>
      </w:r>
      <w:r>
        <w:rPr>
          <w:color w:val="231F20"/>
          <w:w w:val="105"/>
        </w:rPr>
        <w:t>en</w:t>
      </w:r>
      <w:r>
        <w:rPr>
          <w:color w:val="231F20"/>
          <w:spacing w:val="-14"/>
          <w:w w:val="105"/>
        </w:rPr>
        <w:t> </w:t>
      </w:r>
      <w:r>
        <w:rPr>
          <w:color w:val="231F20"/>
          <w:spacing w:val="-3"/>
          <w:w w:val="105"/>
        </w:rPr>
        <w:t>donde</w:t>
      </w:r>
      <w:r>
        <w:rPr>
          <w:color w:val="231F20"/>
          <w:spacing w:val="-14"/>
          <w:w w:val="105"/>
        </w:rPr>
        <w:t> </w:t>
      </w:r>
      <w:r>
        <w:rPr>
          <w:color w:val="231F20"/>
          <w:w w:val="105"/>
        </w:rPr>
        <w:t>se puede</w:t>
      </w:r>
      <w:r>
        <w:rPr>
          <w:color w:val="231F20"/>
          <w:spacing w:val="-12"/>
          <w:w w:val="105"/>
        </w:rPr>
        <w:t> </w:t>
      </w:r>
      <w:r>
        <w:rPr>
          <w:color w:val="231F20"/>
          <w:w w:val="105"/>
        </w:rPr>
        <w:t>inferir</w:t>
      </w:r>
      <w:r>
        <w:rPr>
          <w:color w:val="231F20"/>
          <w:spacing w:val="-12"/>
          <w:w w:val="105"/>
        </w:rPr>
        <w:t> </w:t>
      </w:r>
      <w:r>
        <w:rPr>
          <w:color w:val="231F20"/>
          <w:w w:val="105"/>
        </w:rPr>
        <w:t>una</w:t>
      </w:r>
      <w:r>
        <w:rPr>
          <w:color w:val="231F20"/>
          <w:spacing w:val="-12"/>
          <w:w w:val="105"/>
        </w:rPr>
        <w:t> </w:t>
      </w:r>
      <w:r>
        <w:rPr>
          <w:color w:val="231F20"/>
          <w:w w:val="105"/>
        </w:rPr>
        <w:t>participación</w:t>
      </w:r>
      <w:r>
        <w:rPr>
          <w:color w:val="231F20"/>
          <w:spacing w:val="-12"/>
          <w:w w:val="105"/>
        </w:rPr>
        <w:t> </w:t>
      </w:r>
      <w:r>
        <w:rPr>
          <w:color w:val="231F20"/>
          <w:w w:val="105"/>
        </w:rPr>
        <w:t>más</w:t>
      </w:r>
      <w:r>
        <w:rPr>
          <w:color w:val="231F20"/>
          <w:spacing w:val="-12"/>
          <w:w w:val="105"/>
        </w:rPr>
        <w:t> </w:t>
      </w:r>
      <w:r>
        <w:rPr>
          <w:color w:val="231F20"/>
          <w:w w:val="105"/>
        </w:rPr>
        <w:t>evidente</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spacing w:val="2"/>
          <w:w w:val="105"/>
        </w:rPr>
        <w:t>ahí</w:t>
      </w:r>
      <w:r>
        <w:rPr>
          <w:color w:val="231F20"/>
          <w:spacing w:val="-12"/>
          <w:w w:val="105"/>
        </w:rPr>
        <w:t> </w:t>
      </w:r>
      <w:r>
        <w:rPr>
          <w:color w:val="231F20"/>
          <w:w w:val="105"/>
        </w:rPr>
        <w:t>que</w:t>
      </w:r>
      <w:r>
        <w:rPr>
          <w:color w:val="231F20"/>
          <w:spacing w:val="-12"/>
          <w:w w:val="105"/>
        </w:rPr>
        <w:t> </w:t>
      </w:r>
      <w:r>
        <w:rPr>
          <w:color w:val="231F20"/>
          <w:w w:val="105"/>
        </w:rPr>
        <w:t>su</w:t>
      </w:r>
      <w:r>
        <w:rPr>
          <w:color w:val="231F20"/>
          <w:spacing w:val="-12"/>
          <w:w w:val="105"/>
        </w:rPr>
        <w:t> </w:t>
      </w:r>
      <w:r>
        <w:rPr>
          <w:color w:val="231F20"/>
          <w:w w:val="105"/>
        </w:rPr>
        <w:t>res- ponsabilidad</w:t>
      </w:r>
      <w:r>
        <w:rPr>
          <w:color w:val="231F20"/>
          <w:spacing w:val="-6"/>
          <w:w w:val="105"/>
        </w:rPr>
        <w:t> </w:t>
      </w:r>
      <w:r>
        <w:rPr>
          <w:color w:val="231F20"/>
          <w:w w:val="105"/>
        </w:rPr>
        <w:t>sea</w:t>
      </w:r>
      <w:r>
        <w:rPr>
          <w:color w:val="231F20"/>
          <w:spacing w:val="-6"/>
          <w:w w:val="105"/>
        </w:rPr>
        <w:t> </w:t>
      </w:r>
      <w:r>
        <w:rPr>
          <w:color w:val="231F20"/>
          <w:w w:val="105"/>
        </w:rPr>
        <w:t>más</w:t>
      </w:r>
      <w:r>
        <w:rPr>
          <w:color w:val="231F20"/>
          <w:spacing w:val="-6"/>
          <w:w w:val="105"/>
        </w:rPr>
        <w:t> </w:t>
      </w:r>
      <w:r>
        <w:rPr>
          <w:color w:val="231F20"/>
          <w:w w:val="105"/>
        </w:rPr>
        <w:t>directa</w:t>
      </w:r>
      <w:r>
        <w:rPr>
          <w:color w:val="231F20"/>
          <w:spacing w:val="-6"/>
          <w:w w:val="105"/>
        </w:rPr>
        <w:t> </w:t>
      </w:r>
      <w:r>
        <w:rPr>
          <w:color w:val="231F20"/>
          <w:w w:val="105"/>
        </w:rPr>
        <w:t>en</w:t>
      </w:r>
      <w:r>
        <w:rPr>
          <w:color w:val="231F20"/>
          <w:spacing w:val="-6"/>
          <w:w w:val="105"/>
        </w:rPr>
        <w:t> </w:t>
      </w:r>
      <w:r>
        <w:rPr>
          <w:color w:val="231F20"/>
          <w:w w:val="105"/>
        </w:rPr>
        <w:t>ellos</w:t>
      </w:r>
      <w:r>
        <w:rPr>
          <w:color w:val="231F20"/>
          <w:spacing w:val="-6"/>
          <w:w w:val="105"/>
        </w:rPr>
        <w:t> </w:t>
      </w:r>
      <w:r>
        <w:rPr>
          <w:color w:val="231F20"/>
          <w:w w:val="105"/>
        </w:rPr>
        <w:t>respecto</w:t>
      </w:r>
      <w:r>
        <w:rPr>
          <w:color w:val="231F20"/>
          <w:spacing w:val="-6"/>
          <w:w w:val="105"/>
        </w:rPr>
        <w:t> </w:t>
      </w:r>
      <w:r>
        <w:rPr>
          <w:color w:val="231F20"/>
          <w:w w:val="105"/>
        </w:rPr>
        <w:t>del</w:t>
      </w:r>
      <w:r>
        <w:rPr>
          <w:color w:val="231F20"/>
          <w:spacing w:val="-6"/>
          <w:w w:val="105"/>
        </w:rPr>
        <w:t> </w:t>
      </w:r>
      <w:r>
        <w:rPr>
          <w:color w:val="231F20"/>
          <w:w w:val="105"/>
        </w:rPr>
        <w:t>ingreso.</w:t>
      </w:r>
      <w:r>
        <w:rPr>
          <w:color w:val="231F20"/>
          <w:spacing w:val="-6"/>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parecería</w:t>
      </w:r>
      <w:r>
        <w:rPr>
          <w:color w:val="231F20"/>
          <w:spacing w:val="-6"/>
          <w:w w:val="105"/>
        </w:rPr>
        <w:t> </w:t>
      </w:r>
      <w:r>
        <w:rPr>
          <w:color w:val="231F20"/>
          <w:w w:val="105"/>
        </w:rPr>
        <w:t>que el</w:t>
      </w:r>
      <w:r>
        <w:rPr>
          <w:color w:val="231F20"/>
          <w:spacing w:val="-5"/>
          <w:w w:val="105"/>
        </w:rPr>
        <w:t> </w:t>
      </w:r>
      <w:r>
        <w:rPr>
          <w:color w:val="231F20"/>
          <w:w w:val="105"/>
        </w:rPr>
        <w:t>desempeño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administración</w:t>
      </w:r>
      <w:r>
        <w:rPr>
          <w:color w:val="231F20"/>
          <w:spacing w:val="-5"/>
          <w:w w:val="105"/>
        </w:rPr>
        <w:t> </w:t>
      </w:r>
      <w:r>
        <w:rPr>
          <w:color w:val="231F20"/>
          <w:w w:val="105"/>
        </w:rPr>
        <w:t>pública</w:t>
      </w:r>
      <w:r>
        <w:rPr>
          <w:color w:val="231F20"/>
          <w:spacing w:val="-5"/>
          <w:w w:val="105"/>
        </w:rPr>
        <w:t> </w:t>
      </w:r>
      <w:r>
        <w:rPr>
          <w:color w:val="231F20"/>
          <w:w w:val="105"/>
        </w:rPr>
        <w:t>local</w:t>
      </w:r>
      <w:r>
        <w:rPr>
          <w:color w:val="231F20"/>
          <w:spacing w:val="-5"/>
          <w:w w:val="105"/>
        </w:rPr>
        <w:t> </w:t>
      </w:r>
      <w:r>
        <w:rPr>
          <w:color w:val="231F20"/>
          <w:w w:val="105"/>
        </w:rPr>
        <w:t>no</w:t>
      </w:r>
      <w:r>
        <w:rPr>
          <w:color w:val="231F20"/>
          <w:spacing w:val="-5"/>
          <w:w w:val="105"/>
        </w:rPr>
        <w:t> </w:t>
      </w:r>
      <w:r>
        <w:rPr>
          <w:color w:val="231F20"/>
          <w:w w:val="105"/>
        </w:rPr>
        <w:t>logró</w:t>
      </w:r>
      <w:r>
        <w:rPr>
          <w:color w:val="231F20"/>
          <w:spacing w:val="-5"/>
          <w:w w:val="105"/>
        </w:rPr>
        <w:t> </w:t>
      </w:r>
      <w:r>
        <w:rPr>
          <w:color w:val="231F20"/>
          <w:w w:val="105"/>
        </w:rPr>
        <w:t>encontrar</w:t>
      </w:r>
      <w:r>
        <w:rPr>
          <w:color w:val="231F20"/>
          <w:spacing w:val="-5"/>
          <w:w w:val="105"/>
        </w:rPr>
        <w:t> </w:t>
      </w:r>
      <w:r>
        <w:rPr>
          <w:color w:val="231F20"/>
          <w:w w:val="105"/>
        </w:rPr>
        <w:t>las</w:t>
      </w:r>
      <w:r>
        <w:rPr>
          <w:color w:val="231F20"/>
          <w:spacing w:val="-5"/>
          <w:w w:val="105"/>
        </w:rPr>
        <w:t> </w:t>
      </w:r>
      <w:r>
        <w:rPr>
          <w:color w:val="231F20"/>
          <w:w w:val="105"/>
        </w:rPr>
        <w:t>vías</w:t>
      </w:r>
      <w:r>
        <w:rPr>
          <w:color w:val="231F20"/>
          <w:spacing w:val="-5"/>
          <w:w w:val="105"/>
        </w:rPr>
        <w:t> </w:t>
      </w:r>
      <w:r>
        <w:rPr>
          <w:color w:val="231F20"/>
          <w:w w:val="105"/>
        </w:rPr>
        <w:t>adecuadas para</w:t>
      </w:r>
      <w:r>
        <w:rPr>
          <w:color w:val="231F20"/>
          <w:spacing w:val="-16"/>
          <w:w w:val="105"/>
        </w:rPr>
        <w:t> </w:t>
      </w:r>
      <w:r>
        <w:rPr>
          <w:color w:val="231F20"/>
          <w:w w:val="105"/>
        </w:rPr>
        <w:t>aprovechar</w:t>
      </w:r>
      <w:r>
        <w:rPr>
          <w:color w:val="231F20"/>
          <w:spacing w:val="-16"/>
          <w:w w:val="105"/>
        </w:rPr>
        <w:t> </w:t>
      </w:r>
      <w:r>
        <w:rPr>
          <w:color w:val="231F20"/>
          <w:w w:val="105"/>
        </w:rPr>
        <w:t>las</w:t>
      </w:r>
      <w:r>
        <w:rPr>
          <w:color w:val="231F20"/>
          <w:spacing w:val="-16"/>
          <w:w w:val="105"/>
        </w:rPr>
        <w:t> </w:t>
      </w:r>
      <w:r>
        <w:rPr>
          <w:color w:val="231F20"/>
          <w:w w:val="105"/>
        </w:rPr>
        <w:t>ventajas</w:t>
      </w:r>
      <w:r>
        <w:rPr>
          <w:color w:val="231F20"/>
          <w:spacing w:val="-16"/>
          <w:w w:val="105"/>
        </w:rPr>
        <w:t> </w:t>
      </w:r>
      <w:r>
        <w:rPr>
          <w:color w:val="231F20"/>
          <w:w w:val="105"/>
        </w:rPr>
        <w:t>y</w:t>
      </w:r>
      <w:r>
        <w:rPr>
          <w:color w:val="231F20"/>
          <w:spacing w:val="-16"/>
          <w:w w:val="105"/>
        </w:rPr>
        <w:t> </w:t>
      </w:r>
      <w:r>
        <w:rPr>
          <w:color w:val="231F20"/>
          <w:w w:val="105"/>
        </w:rPr>
        <w:t>oportunidades</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w w:val="105"/>
        </w:rPr>
        <w:t>y</w:t>
      </w:r>
      <w:r>
        <w:rPr>
          <w:color w:val="231F20"/>
          <w:spacing w:val="-16"/>
          <w:w w:val="105"/>
        </w:rPr>
        <w:t> </w:t>
      </w:r>
      <w:r>
        <w:rPr>
          <w:color w:val="231F20"/>
          <w:w w:val="105"/>
        </w:rPr>
        <w:t>traducirlas</w:t>
      </w:r>
      <w:r>
        <w:rPr>
          <w:color w:val="231F20"/>
          <w:spacing w:val="-16"/>
          <w:w w:val="105"/>
        </w:rPr>
        <w:t> </w:t>
      </w:r>
      <w:r>
        <w:rPr>
          <w:color w:val="231F20"/>
          <w:w w:val="105"/>
        </w:rPr>
        <w:t>en</w:t>
      </w:r>
      <w:r>
        <w:rPr>
          <w:color w:val="231F20"/>
          <w:spacing w:val="-16"/>
          <w:w w:val="105"/>
        </w:rPr>
        <w:t> </w:t>
      </w:r>
      <w:r>
        <w:rPr>
          <w:color w:val="231F20"/>
          <w:w w:val="105"/>
        </w:rPr>
        <w:t>un</w:t>
      </w:r>
      <w:r>
        <w:rPr>
          <w:color w:val="231F20"/>
          <w:spacing w:val="-16"/>
          <w:w w:val="105"/>
        </w:rPr>
        <w:t> </w:t>
      </w:r>
      <w:r>
        <w:rPr>
          <w:color w:val="231F20"/>
          <w:w w:val="105"/>
        </w:rPr>
        <w:t>mejora- miento</w:t>
      </w:r>
      <w:r>
        <w:rPr>
          <w:color w:val="231F20"/>
          <w:spacing w:val="-17"/>
          <w:w w:val="105"/>
        </w:rPr>
        <w:t> </w:t>
      </w:r>
      <w:r>
        <w:rPr>
          <w:color w:val="231F20"/>
          <w:w w:val="105"/>
        </w:rPr>
        <w:t>significativo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condiciones</w:t>
      </w:r>
      <w:r>
        <w:rPr>
          <w:color w:val="231F20"/>
          <w:spacing w:val="-17"/>
          <w:w w:val="105"/>
        </w:rPr>
        <w:t> </w:t>
      </w:r>
      <w:r>
        <w:rPr>
          <w:color w:val="231F20"/>
          <w:w w:val="105"/>
        </w:rPr>
        <w:t>de</w:t>
      </w:r>
      <w:r>
        <w:rPr>
          <w:color w:val="231F20"/>
          <w:spacing w:val="-17"/>
          <w:w w:val="105"/>
        </w:rPr>
        <w:t> </w:t>
      </w:r>
      <w:r>
        <w:rPr>
          <w:color w:val="231F20"/>
          <w:w w:val="105"/>
        </w:rPr>
        <w:t>vida</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habitantes.</w:t>
      </w:r>
    </w:p>
    <w:p>
      <w:pPr>
        <w:pStyle w:val="BodyText"/>
        <w:spacing w:before="1"/>
        <w:rPr>
          <w:sz w:val="26"/>
        </w:rPr>
      </w:pPr>
    </w:p>
    <w:p>
      <w:pPr>
        <w:pStyle w:val="Heading5"/>
        <w:spacing w:line="285" w:lineRule="auto"/>
        <w:ind w:left="3807" w:right="-2" w:hanging="3615"/>
      </w:pPr>
      <w:r>
        <w:rPr>
          <w:color w:val="231F20"/>
          <w:spacing w:val="-4"/>
          <w:w w:val="105"/>
        </w:rPr>
        <w:t>Tabla</w:t>
      </w:r>
      <w:r>
        <w:rPr>
          <w:color w:val="231F20"/>
          <w:spacing w:val="-18"/>
          <w:w w:val="105"/>
        </w:rPr>
        <w:t> </w:t>
      </w:r>
      <w:r>
        <w:rPr>
          <w:color w:val="231F20"/>
          <w:w w:val="105"/>
        </w:rPr>
        <w:t>6.</w:t>
      </w:r>
      <w:r>
        <w:rPr>
          <w:color w:val="231F20"/>
          <w:spacing w:val="-18"/>
          <w:w w:val="105"/>
        </w:rPr>
        <w:t> </w:t>
      </w:r>
      <w:r>
        <w:rPr>
          <w:color w:val="231F20"/>
          <w:w w:val="105"/>
        </w:rPr>
        <w:t>Indicadores</w:t>
      </w:r>
      <w:r>
        <w:rPr>
          <w:color w:val="231F20"/>
          <w:spacing w:val="-18"/>
          <w:w w:val="105"/>
        </w:rPr>
        <w:t> </w:t>
      </w:r>
      <w:r>
        <w:rPr>
          <w:color w:val="231F20"/>
          <w:w w:val="105"/>
        </w:rPr>
        <w:t>del</w:t>
      </w:r>
      <w:r>
        <w:rPr>
          <w:color w:val="231F20"/>
          <w:spacing w:val="-18"/>
          <w:w w:val="105"/>
        </w:rPr>
        <w:t> </w:t>
      </w:r>
      <w:r>
        <w:rPr>
          <w:color w:val="231F20"/>
          <w:w w:val="105"/>
        </w:rPr>
        <w:t>Índice</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Humano</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 2005.</w:t>
      </w:r>
    </w:p>
    <w:p>
      <w:pPr>
        <w:pStyle w:val="BodyText"/>
        <w:spacing w:before="9"/>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689"/>
        <w:gridCol w:w="971"/>
        <w:gridCol w:w="1239"/>
        <w:gridCol w:w="915"/>
        <w:gridCol w:w="1185"/>
        <w:gridCol w:w="979"/>
        <w:gridCol w:w="956"/>
        <w:gridCol w:w="992"/>
      </w:tblGrid>
      <w:tr>
        <w:trPr>
          <w:trHeight w:val="514" w:hRule="exact"/>
        </w:trPr>
        <w:tc>
          <w:tcPr>
            <w:tcW w:w="689" w:type="dxa"/>
          </w:tcPr>
          <w:p>
            <w:pPr>
              <w:pStyle w:val="TableParagraph"/>
              <w:spacing w:line="163" w:lineRule="exact"/>
              <w:ind w:left="229"/>
              <w:rPr>
                <w:b/>
                <w:sz w:val="16"/>
              </w:rPr>
            </w:pPr>
            <w:r>
              <w:rPr>
                <w:b/>
                <w:color w:val="231F20"/>
                <w:w w:val="90"/>
                <w:sz w:val="16"/>
              </w:rPr>
              <w:t>Año</w:t>
            </w:r>
          </w:p>
        </w:tc>
        <w:tc>
          <w:tcPr>
            <w:tcW w:w="971" w:type="dxa"/>
          </w:tcPr>
          <w:p>
            <w:pPr>
              <w:pStyle w:val="TableParagraph"/>
              <w:spacing w:line="161" w:lineRule="exact"/>
              <w:ind w:left="105" w:right="105"/>
              <w:jc w:val="center"/>
              <w:rPr>
                <w:b/>
                <w:sz w:val="16"/>
              </w:rPr>
            </w:pPr>
            <w:r>
              <w:rPr>
                <w:b/>
                <w:color w:val="231F20"/>
                <w:w w:val="95"/>
                <w:sz w:val="16"/>
              </w:rPr>
              <w:t>Mortalidad</w:t>
            </w:r>
          </w:p>
          <w:p>
            <w:pPr>
              <w:pStyle w:val="TableParagraph"/>
              <w:spacing w:line="194" w:lineRule="exact"/>
              <w:ind w:left="105" w:right="105"/>
              <w:jc w:val="center"/>
              <w:rPr>
                <w:b/>
                <w:sz w:val="16"/>
              </w:rPr>
            </w:pPr>
            <w:r>
              <w:rPr>
                <w:b/>
                <w:color w:val="231F20"/>
                <w:sz w:val="16"/>
              </w:rPr>
              <w:t>Infantil</w:t>
            </w:r>
          </w:p>
        </w:tc>
        <w:tc>
          <w:tcPr>
            <w:tcW w:w="1239" w:type="dxa"/>
          </w:tcPr>
          <w:p>
            <w:pPr>
              <w:pStyle w:val="TableParagraph"/>
              <w:spacing w:line="163" w:lineRule="exact"/>
              <w:ind w:left="145" w:right="143"/>
              <w:jc w:val="center"/>
              <w:rPr>
                <w:b/>
                <w:sz w:val="16"/>
              </w:rPr>
            </w:pPr>
            <w:r>
              <w:rPr>
                <w:b/>
                <w:color w:val="231F20"/>
                <w:w w:val="95"/>
                <w:sz w:val="16"/>
              </w:rPr>
              <w:t>Alfabetización</w:t>
            </w:r>
          </w:p>
        </w:tc>
        <w:tc>
          <w:tcPr>
            <w:tcW w:w="915" w:type="dxa"/>
          </w:tcPr>
          <w:p>
            <w:pPr>
              <w:pStyle w:val="TableParagraph"/>
              <w:spacing w:line="161" w:lineRule="exact"/>
              <w:ind w:left="250" w:hanging="89"/>
              <w:rPr>
                <w:b/>
                <w:sz w:val="16"/>
              </w:rPr>
            </w:pPr>
            <w:r>
              <w:rPr>
                <w:b/>
                <w:color w:val="231F20"/>
                <w:w w:val="95"/>
                <w:sz w:val="16"/>
              </w:rPr>
              <w:t>Asistencia</w:t>
            </w:r>
          </w:p>
          <w:p>
            <w:pPr>
              <w:pStyle w:val="TableParagraph"/>
              <w:spacing w:line="194" w:lineRule="exact"/>
              <w:ind w:left="250"/>
              <w:rPr>
                <w:b/>
                <w:sz w:val="16"/>
              </w:rPr>
            </w:pPr>
            <w:r>
              <w:rPr>
                <w:b/>
                <w:color w:val="231F20"/>
                <w:w w:val="95"/>
                <w:sz w:val="16"/>
              </w:rPr>
              <w:t>escolar</w:t>
            </w:r>
          </w:p>
        </w:tc>
        <w:tc>
          <w:tcPr>
            <w:tcW w:w="1185" w:type="dxa"/>
          </w:tcPr>
          <w:p>
            <w:pPr>
              <w:pStyle w:val="TableParagraph"/>
              <w:spacing w:line="161" w:lineRule="exact"/>
              <w:ind w:left="233" w:firstLine="29"/>
              <w:rPr>
                <w:b/>
                <w:sz w:val="16"/>
              </w:rPr>
            </w:pPr>
            <w:r>
              <w:rPr>
                <w:b/>
                <w:color w:val="231F20"/>
                <w:w w:val="85"/>
                <w:sz w:val="16"/>
              </w:rPr>
              <w:t>Ingreso per</w:t>
            </w:r>
          </w:p>
          <w:p>
            <w:pPr>
              <w:pStyle w:val="TableParagraph"/>
              <w:spacing w:line="235" w:lineRule="auto" w:before="1"/>
              <w:ind w:left="210" w:firstLine="22"/>
              <w:rPr>
                <w:b/>
                <w:sz w:val="16"/>
              </w:rPr>
            </w:pPr>
            <w:r>
              <w:rPr>
                <w:b/>
                <w:color w:val="231F20"/>
                <w:w w:val="90"/>
                <w:sz w:val="16"/>
              </w:rPr>
              <w:t>cápita anual </w:t>
            </w:r>
            <w:r>
              <w:rPr>
                <w:b/>
                <w:color w:val="231F20"/>
                <w:w w:val="85"/>
                <w:sz w:val="16"/>
              </w:rPr>
              <w:t>(Dólares PPC)</w:t>
            </w:r>
          </w:p>
        </w:tc>
        <w:tc>
          <w:tcPr>
            <w:tcW w:w="979" w:type="dxa"/>
          </w:tcPr>
          <w:p>
            <w:pPr>
              <w:pStyle w:val="TableParagraph"/>
              <w:spacing w:line="163" w:lineRule="exact"/>
              <w:ind w:left="250" w:right="250"/>
              <w:jc w:val="center"/>
              <w:rPr>
                <w:b/>
                <w:sz w:val="16"/>
              </w:rPr>
            </w:pPr>
            <w:r>
              <w:rPr>
                <w:b/>
                <w:color w:val="231F20"/>
                <w:w w:val="90"/>
                <w:sz w:val="16"/>
              </w:rPr>
              <w:t>IDH</w:t>
            </w:r>
          </w:p>
        </w:tc>
        <w:tc>
          <w:tcPr>
            <w:tcW w:w="956" w:type="dxa"/>
          </w:tcPr>
          <w:p>
            <w:pPr>
              <w:pStyle w:val="TableParagraph"/>
              <w:spacing w:line="161" w:lineRule="exact"/>
              <w:ind w:left="227" w:firstLine="43"/>
              <w:rPr>
                <w:b/>
                <w:sz w:val="16"/>
              </w:rPr>
            </w:pPr>
            <w:r>
              <w:rPr>
                <w:b/>
                <w:color w:val="231F20"/>
                <w:w w:val="95"/>
                <w:sz w:val="16"/>
              </w:rPr>
              <w:t>Rankin</w:t>
            </w:r>
          </w:p>
          <w:p>
            <w:pPr>
              <w:pStyle w:val="TableParagraph"/>
              <w:spacing w:line="194" w:lineRule="exact"/>
              <w:ind w:left="227"/>
              <w:rPr>
                <w:b/>
                <w:sz w:val="16"/>
              </w:rPr>
            </w:pPr>
            <w:r>
              <w:rPr>
                <w:b/>
                <w:color w:val="231F20"/>
                <w:w w:val="95"/>
                <w:sz w:val="16"/>
              </w:rPr>
              <w:t>nacional</w:t>
            </w:r>
          </w:p>
        </w:tc>
        <w:tc>
          <w:tcPr>
            <w:tcW w:w="992" w:type="dxa"/>
          </w:tcPr>
          <w:p>
            <w:pPr>
              <w:pStyle w:val="TableParagraph"/>
              <w:spacing w:line="161" w:lineRule="exact"/>
              <w:ind w:left="288"/>
              <w:rPr>
                <w:b/>
                <w:sz w:val="16"/>
              </w:rPr>
            </w:pPr>
            <w:r>
              <w:rPr>
                <w:b/>
                <w:color w:val="231F20"/>
                <w:w w:val="95"/>
                <w:sz w:val="16"/>
              </w:rPr>
              <w:t>Rankin</w:t>
            </w:r>
          </w:p>
          <w:p>
            <w:pPr>
              <w:pStyle w:val="TableParagraph"/>
              <w:spacing w:line="194" w:lineRule="exact"/>
              <w:ind w:left="288"/>
              <w:rPr>
                <w:b/>
                <w:sz w:val="16"/>
              </w:rPr>
            </w:pPr>
            <w:r>
              <w:rPr>
                <w:b/>
                <w:color w:val="231F20"/>
                <w:w w:val="95"/>
                <w:sz w:val="16"/>
              </w:rPr>
              <w:t>estatal</w:t>
            </w:r>
          </w:p>
        </w:tc>
      </w:tr>
      <w:tr>
        <w:trPr>
          <w:trHeight w:val="145" w:hRule="exact"/>
        </w:trPr>
        <w:tc>
          <w:tcPr>
            <w:tcW w:w="689" w:type="dxa"/>
          </w:tcPr>
          <w:p>
            <w:pPr>
              <w:pStyle w:val="TableParagraph"/>
              <w:spacing w:line="175" w:lineRule="exact"/>
              <w:ind w:left="197"/>
              <w:rPr>
                <w:sz w:val="18"/>
              </w:rPr>
            </w:pPr>
            <w:r>
              <w:rPr>
                <w:color w:val="231F20"/>
                <w:w w:val="85"/>
                <w:sz w:val="18"/>
              </w:rPr>
              <w:t>2000</w:t>
            </w:r>
          </w:p>
        </w:tc>
        <w:tc>
          <w:tcPr>
            <w:tcW w:w="971" w:type="dxa"/>
          </w:tcPr>
          <w:p>
            <w:pPr>
              <w:pStyle w:val="TableParagraph"/>
              <w:spacing w:line="175" w:lineRule="exact"/>
              <w:ind w:left="0" w:right="329"/>
              <w:jc w:val="right"/>
              <w:rPr>
                <w:sz w:val="18"/>
              </w:rPr>
            </w:pPr>
            <w:r>
              <w:rPr>
                <w:color w:val="231F20"/>
                <w:w w:val="75"/>
                <w:sz w:val="18"/>
              </w:rPr>
              <w:t>19.97</w:t>
            </w:r>
          </w:p>
        </w:tc>
        <w:tc>
          <w:tcPr>
            <w:tcW w:w="1239" w:type="dxa"/>
          </w:tcPr>
          <w:p>
            <w:pPr>
              <w:pStyle w:val="TableParagraph"/>
              <w:spacing w:line="175" w:lineRule="exact"/>
              <w:ind w:left="143" w:right="143"/>
              <w:jc w:val="center"/>
              <w:rPr>
                <w:sz w:val="18"/>
              </w:rPr>
            </w:pPr>
            <w:r>
              <w:rPr>
                <w:color w:val="231F20"/>
                <w:w w:val="85"/>
                <w:sz w:val="18"/>
              </w:rPr>
              <w:t>95.33</w:t>
            </w:r>
          </w:p>
        </w:tc>
        <w:tc>
          <w:tcPr>
            <w:tcW w:w="915" w:type="dxa"/>
          </w:tcPr>
          <w:p>
            <w:pPr>
              <w:pStyle w:val="TableParagraph"/>
              <w:spacing w:line="175" w:lineRule="exact"/>
              <w:ind w:left="0" w:right="291"/>
              <w:jc w:val="right"/>
              <w:rPr>
                <w:sz w:val="18"/>
              </w:rPr>
            </w:pPr>
            <w:r>
              <w:rPr>
                <w:color w:val="231F20"/>
                <w:w w:val="75"/>
                <w:sz w:val="18"/>
              </w:rPr>
              <w:t>62.84</w:t>
            </w:r>
          </w:p>
        </w:tc>
        <w:tc>
          <w:tcPr>
            <w:tcW w:w="1185" w:type="dxa"/>
          </w:tcPr>
          <w:p>
            <w:pPr>
              <w:pStyle w:val="TableParagraph"/>
              <w:spacing w:line="175" w:lineRule="exact"/>
              <w:ind w:left="354" w:right="354"/>
              <w:jc w:val="center"/>
              <w:rPr>
                <w:sz w:val="18"/>
              </w:rPr>
            </w:pPr>
            <w:r>
              <w:rPr>
                <w:color w:val="231F20"/>
                <w:w w:val="85"/>
                <w:sz w:val="18"/>
              </w:rPr>
              <w:t>14,622</w:t>
            </w:r>
          </w:p>
        </w:tc>
        <w:tc>
          <w:tcPr>
            <w:tcW w:w="979" w:type="dxa"/>
          </w:tcPr>
          <w:p>
            <w:pPr>
              <w:pStyle w:val="TableParagraph"/>
              <w:spacing w:line="175" w:lineRule="exact"/>
              <w:ind w:left="250" w:right="250"/>
              <w:jc w:val="center"/>
              <w:rPr>
                <w:sz w:val="18"/>
              </w:rPr>
            </w:pPr>
            <w:r>
              <w:rPr>
                <w:color w:val="231F20"/>
                <w:w w:val="85"/>
                <w:sz w:val="18"/>
              </w:rPr>
              <w:t>0.8437</w:t>
            </w:r>
          </w:p>
        </w:tc>
        <w:tc>
          <w:tcPr>
            <w:tcW w:w="956" w:type="dxa"/>
          </w:tcPr>
          <w:p>
            <w:pPr>
              <w:pStyle w:val="TableParagraph"/>
              <w:spacing w:line="175" w:lineRule="exact"/>
              <w:ind w:left="0" w:right="403"/>
              <w:jc w:val="right"/>
              <w:rPr>
                <w:sz w:val="18"/>
              </w:rPr>
            </w:pPr>
            <w:r>
              <w:rPr>
                <w:color w:val="231F20"/>
                <w:w w:val="75"/>
                <w:sz w:val="18"/>
              </w:rPr>
              <w:t>31</w:t>
            </w:r>
          </w:p>
        </w:tc>
        <w:tc>
          <w:tcPr>
            <w:tcW w:w="992" w:type="dxa"/>
          </w:tcPr>
          <w:p>
            <w:pPr>
              <w:pStyle w:val="TableParagraph"/>
              <w:spacing w:line="175" w:lineRule="exact"/>
              <w:ind w:left="0"/>
              <w:jc w:val="center"/>
              <w:rPr>
                <w:sz w:val="18"/>
              </w:rPr>
            </w:pPr>
            <w:r>
              <w:rPr>
                <w:color w:val="231F20"/>
                <w:w w:val="75"/>
                <w:sz w:val="18"/>
              </w:rPr>
              <w:t>4</w:t>
            </w:r>
          </w:p>
        </w:tc>
      </w:tr>
      <w:tr>
        <w:trPr>
          <w:trHeight w:val="145" w:hRule="exact"/>
        </w:trPr>
        <w:tc>
          <w:tcPr>
            <w:tcW w:w="689" w:type="dxa"/>
          </w:tcPr>
          <w:p>
            <w:pPr>
              <w:pStyle w:val="TableParagraph"/>
              <w:spacing w:line="175" w:lineRule="exact"/>
              <w:ind w:left="199"/>
              <w:rPr>
                <w:sz w:val="18"/>
              </w:rPr>
            </w:pPr>
            <w:r>
              <w:rPr>
                <w:color w:val="231F20"/>
                <w:w w:val="85"/>
                <w:sz w:val="18"/>
              </w:rPr>
              <w:t>2005</w:t>
            </w:r>
          </w:p>
        </w:tc>
        <w:tc>
          <w:tcPr>
            <w:tcW w:w="971" w:type="dxa"/>
          </w:tcPr>
          <w:p>
            <w:pPr>
              <w:pStyle w:val="TableParagraph"/>
              <w:spacing w:line="175" w:lineRule="exact"/>
              <w:ind w:left="0" w:right="329"/>
              <w:jc w:val="right"/>
              <w:rPr>
                <w:sz w:val="18"/>
              </w:rPr>
            </w:pPr>
            <w:r>
              <w:rPr>
                <w:color w:val="231F20"/>
                <w:w w:val="75"/>
                <w:sz w:val="18"/>
              </w:rPr>
              <w:t>11.02</w:t>
            </w:r>
          </w:p>
        </w:tc>
        <w:tc>
          <w:tcPr>
            <w:tcW w:w="1239" w:type="dxa"/>
          </w:tcPr>
          <w:p>
            <w:pPr>
              <w:pStyle w:val="TableParagraph"/>
              <w:spacing w:line="175" w:lineRule="exact"/>
              <w:ind w:left="143" w:right="143"/>
              <w:jc w:val="center"/>
              <w:rPr>
                <w:sz w:val="18"/>
              </w:rPr>
            </w:pPr>
            <w:r>
              <w:rPr>
                <w:color w:val="231F20"/>
                <w:w w:val="85"/>
                <w:sz w:val="18"/>
              </w:rPr>
              <w:t>95.62</w:t>
            </w:r>
          </w:p>
        </w:tc>
        <w:tc>
          <w:tcPr>
            <w:tcW w:w="915" w:type="dxa"/>
          </w:tcPr>
          <w:p>
            <w:pPr>
              <w:pStyle w:val="TableParagraph"/>
              <w:spacing w:line="175" w:lineRule="exact"/>
              <w:ind w:left="0" w:right="298"/>
              <w:jc w:val="right"/>
              <w:rPr>
                <w:sz w:val="18"/>
              </w:rPr>
            </w:pPr>
            <w:r>
              <w:rPr>
                <w:color w:val="231F20"/>
                <w:w w:val="75"/>
                <w:sz w:val="18"/>
              </w:rPr>
              <w:t>65.33</w:t>
            </w:r>
          </w:p>
        </w:tc>
        <w:tc>
          <w:tcPr>
            <w:tcW w:w="1185" w:type="dxa"/>
          </w:tcPr>
          <w:p>
            <w:pPr>
              <w:pStyle w:val="TableParagraph"/>
              <w:spacing w:line="175" w:lineRule="exact"/>
              <w:ind w:left="354" w:right="354"/>
              <w:jc w:val="center"/>
              <w:rPr>
                <w:sz w:val="18"/>
              </w:rPr>
            </w:pPr>
            <w:r>
              <w:rPr>
                <w:color w:val="231F20"/>
                <w:w w:val="85"/>
                <w:sz w:val="18"/>
              </w:rPr>
              <w:t>17,987</w:t>
            </w:r>
          </w:p>
        </w:tc>
        <w:tc>
          <w:tcPr>
            <w:tcW w:w="979" w:type="dxa"/>
          </w:tcPr>
          <w:p>
            <w:pPr>
              <w:pStyle w:val="TableParagraph"/>
              <w:spacing w:line="175" w:lineRule="exact"/>
              <w:ind w:left="250" w:right="251"/>
              <w:jc w:val="center"/>
              <w:rPr>
                <w:sz w:val="18"/>
              </w:rPr>
            </w:pPr>
            <w:r>
              <w:rPr>
                <w:color w:val="231F20"/>
                <w:w w:val="85"/>
                <w:sz w:val="18"/>
              </w:rPr>
              <w:t>0.8842</w:t>
            </w:r>
          </w:p>
        </w:tc>
        <w:tc>
          <w:tcPr>
            <w:tcW w:w="956" w:type="dxa"/>
          </w:tcPr>
          <w:p>
            <w:pPr>
              <w:pStyle w:val="TableParagraph"/>
              <w:spacing w:line="175" w:lineRule="exact"/>
              <w:ind w:left="0" w:right="404"/>
              <w:jc w:val="right"/>
              <w:rPr>
                <w:sz w:val="18"/>
              </w:rPr>
            </w:pPr>
            <w:r>
              <w:rPr>
                <w:color w:val="231F20"/>
                <w:w w:val="75"/>
                <w:sz w:val="18"/>
              </w:rPr>
              <w:t>42</w:t>
            </w:r>
          </w:p>
        </w:tc>
        <w:tc>
          <w:tcPr>
            <w:tcW w:w="992" w:type="dxa"/>
          </w:tcPr>
          <w:p>
            <w:pPr>
              <w:pStyle w:val="TableParagraph"/>
              <w:spacing w:line="175" w:lineRule="exact"/>
              <w:ind w:left="0"/>
              <w:jc w:val="center"/>
              <w:rPr>
                <w:sz w:val="18"/>
              </w:rPr>
            </w:pPr>
            <w:r>
              <w:rPr>
                <w:color w:val="231F20"/>
                <w:w w:val="75"/>
                <w:sz w:val="18"/>
              </w:rPr>
              <w:t>7</w:t>
            </w:r>
          </w:p>
        </w:tc>
      </w:tr>
    </w:tbl>
    <w:p>
      <w:pPr>
        <w:pStyle w:val="BodyText"/>
        <w:spacing w:before="10"/>
        <w:rPr>
          <w:b/>
          <w:sz w:val="6"/>
        </w:rPr>
      </w:pPr>
    </w:p>
    <w:p>
      <w:pPr>
        <w:spacing w:before="74"/>
        <w:ind w:left="0" w:right="108" w:firstLine="0"/>
        <w:jc w:val="right"/>
        <w:rPr>
          <w:rFonts w:ascii="Calibri"/>
          <w:sz w:val="16"/>
        </w:rPr>
      </w:pPr>
      <w:r>
        <w:rPr>
          <w:rFonts w:ascii="Calibri"/>
          <w:color w:val="231F20"/>
          <w:w w:val="95"/>
          <w:sz w:val="16"/>
        </w:rPr>
        <w:t>Fuente: (PNUD, 2005).</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spacing w:val="-3"/>
          <w:w w:val="105"/>
        </w:rPr>
        <w:t>Por </w:t>
      </w:r>
      <w:r>
        <w:rPr>
          <w:color w:val="231F20"/>
          <w:w w:val="105"/>
        </w:rPr>
        <w:t>lo </w:t>
      </w:r>
      <w:r>
        <w:rPr>
          <w:color w:val="231F20"/>
          <w:spacing w:val="-3"/>
          <w:w w:val="105"/>
        </w:rPr>
        <w:t>anterior, </w:t>
      </w:r>
      <w:r>
        <w:rPr>
          <w:color w:val="231F20"/>
          <w:w w:val="105"/>
        </w:rPr>
        <w:t>señalo que es necesario adentrarse a </w:t>
      </w:r>
      <w:r>
        <w:rPr>
          <w:color w:val="231F20"/>
          <w:spacing w:val="2"/>
          <w:w w:val="105"/>
        </w:rPr>
        <w:t>analizar </w:t>
      </w:r>
      <w:r>
        <w:rPr>
          <w:color w:val="231F20"/>
          <w:w w:val="105"/>
        </w:rPr>
        <w:t>el marco institucional  por el que se integró el ayuntamiento y la APM pues </w:t>
      </w:r>
      <w:r>
        <w:rPr>
          <w:color w:val="231F20"/>
          <w:spacing w:val="2"/>
          <w:w w:val="105"/>
        </w:rPr>
        <w:t>ahí </w:t>
      </w:r>
      <w:r>
        <w:rPr>
          <w:color w:val="231F20"/>
          <w:w w:val="105"/>
        </w:rPr>
        <w:t>se definen los incentivos que influyen</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toma</w:t>
      </w:r>
      <w:r>
        <w:rPr>
          <w:color w:val="231F20"/>
          <w:spacing w:val="-20"/>
          <w:w w:val="105"/>
        </w:rPr>
        <w:t> </w:t>
      </w:r>
      <w:r>
        <w:rPr>
          <w:color w:val="231F20"/>
          <w:w w:val="105"/>
        </w:rPr>
        <w:t>de</w:t>
      </w:r>
      <w:r>
        <w:rPr>
          <w:color w:val="231F20"/>
          <w:spacing w:val="-20"/>
          <w:w w:val="105"/>
        </w:rPr>
        <w:t> </w:t>
      </w:r>
      <w:r>
        <w:rPr>
          <w:color w:val="231F20"/>
          <w:w w:val="105"/>
        </w:rPr>
        <w:t>decisiones,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determinación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intereses</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preferencias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que serían incluidas, y por medio de las que el gobierno busca fomentar el desarrollo democrático de sus habitantes.</w:t>
      </w:r>
    </w:p>
    <w:p>
      <w:pPr>
        <w:pStyle w:val="BodyText"/>
        <w:spacing w:before="10"/>
      </w:pPr>
    </w:p>
    <w:p>
      <w:pPr>
        <w:pStyle w:val="Heading3"/>
        <w:numPr>
          <w:ilvl w:val="0"/>
          <w:numId w:val="2"/>
        </w:numPr>
        <w:tabs>
          <w:tab w:pos="436" w:val="left" w:leader="none"/>
        </w:tabs>
        <w:spacing w:line="240" w:lineRule="auto" w:before="0" w:after="0"/>
        <w:ind w:left="110" w:right="1171" w:firstLine="0"/>
        <w:jc w:val="left"/>
      </w:pPr>
      <w:r>
        <w:rPr>
          <w:color w:val="231F20"/>
          <w:w w:val="105"/>
        </w:rPr>
        <w:t>Diseño y </w:t>
      </w:r>
      <w:r>
        <w:rPr>
          <w:color w:val="231F20"/>
          <w:spacing w:val="-3"/>
          <w:w w:val="105"/>
        </w:rPr>
        <w:t>desempeño </w:t>
      </w:r>
      <w:r>
        <w:rPr>
          <w:color w:val="231F20"/>
          <w:w w:val="105"/>
        </w:rPr>
        <w:t>institucional </w:t>
      </w:r>
      <w:r>
        <w:rPr>
          <w:color w:val="231F20"/>
          <w:spacing w:val="-3"/>
          <w:w w:val="105"/>
        </w:rPr>
        <w:t>del gobierno </w:t>
      </w:r>
      <w:r>
        <w:rPr>
          <w:color w:val="231F20"/>
          <w:w w:val="105"/>
        </w:rPr>
        <w:t>municipal de</w:t>
      </w:r>
      <w:r>
        <w:rPr>
          <w:color w:val="231F20"/>
          <w:spacing w:val="-18"/>
          <w:w w:val="105"/>
        </w:rPr>
        <w:t> </w:t>
      </w:r>
      <w:r>
        <w:rPr>
          <w:color w:val="231F20"/>
          <w:w w:val="105"/>
        </w:rPr>
        <w:t>Huixquilucan.</w:t>
      </w:r>
      <w:r>
        <w:rPr>
          <w:color w:val="231F20"/>
          <w:spacing w:val="-18"/>
          <w:w w:val="105"/>
        </w:rPr>
        <w:t> </w:t>
      </w:r>
      <w:r>
        <w:rPr>
          <w:color w:val="231F20"/>
          <w:w w:val="105"/>
        </w:rPr>
        <w:t>Centralización</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toma</w:t>
      </w:r>
      <w:r>
        <w:rPr>
          <w:color w:val="231F20"/>
          <w:spacing w:val="-18"/>
          <w:w w:val="105"/>
        </w:rPr>
        <w:t> </w:t>
      </w:r>
      <w:r>
        <w:rPr>
          <w:color w:val="231F20"/>
          <w:w w:val="105"/>
        </w:rPr>
        <w:t>de</w:t>
      </w:r>
      <w:r>
        <w:rPr>
          <w:color w:val="231F20"/>
          <w:spacing w:val="-18"/>
          <w:w w:val="105"/>
        </w:rPr>
        <w:t> </w:t>
      </w:r>
      <w:r>
        <w:rPr>
          <w:color w:val="231F20"/>
          <w:w w:val="105"/>
        </w:rPr>
        <w:t>decisiones</w:t>
      </w:r>
    </w:p>
    <w:p>
      <w:pPr>
        <w:pStyle w:val="BodyText"/>
        <w:spacing w:line="285" w:lineRule="auto" w:before="38"/>
        <w:ind w:left="110" w:right="106"/>
        <w:jc w:val="both"/>
      </w:pPr>
      <w:r>
        <w:rPr>
          <w:color w:val="231F20"/>
        </w:rPr>
        <w:t>La importancia de los gobiernos municipales radica en su relevancia como actores fun- damentales para el </w:t>
      </w:r>
      <w:r>
        <w:rPr>
          <w:color w:val="231F20"/>
          <w:spacing w:val="-3"/>
        </w:rPr>
        <w:t>fomento  </w:t>
      </w:r>
      <w:r>
        <w:rPr>
          <w:color w:val="231F20"/>
        </w:rPr>
        <w:t>del desarrollo de sus habitantes. De acuerdo con Cabrero   </w:t>
      </w:r>
      <w:r>
        <w:rPr>
          <w:color w:val="231F20"/>
          <w:spacing w:val="-5"/>
        </w:rPr>
        <w:t>“en </w:t>
      </w:r>
      <w:r>
        <w:rPr>
          <w:color w:val="231F20"/>
        </w:rPr>
        <w:t>el México de hoy no parecería posible sostener un proceso de desarrollo económico  en un contexto globalizado, sin gobiernos locales fuertes, </w:t>
      </w:r>
      <w:r>
        <w:rPr>
          <w:color w:val="231F20"/>
          <w:spacing w:val="-3"/>
        </w:rPr>
        <w:t>autónomos,  </w:t>
      </w:r>
      <w:r>
        <w:rPr>
          <w:color w:val="231F20"/>
        </w:rPr>
        <w:t>emprendedores       y ágiles en la promoción y captación de la inversión pública y privada. </w:t>
      </w:r>
      <w:r>
        <w:rPr>
          <w:color w:val="231F20"/>
          <w:spacing w:val="-3"/>
        </w:rPr>
        <w:t>Por </w:t>
      </w:r>
      <w:r>
        <w:rPr>
          <w:color w:val="231F20"/>
        </w:rPr>
        <w:t>otra parte, tampoco parecería viable en este entorno sostener un sistema democrático y legítimo     sin espacios de gobierno local en los que se amplíen y diversifiquen los programas y po- líticas</w:t>
      </w:r>
      <w:r>
        <w:rPr>
          <w:color w:val="231F20"/>
          <w:spacing w:val="-17"/>
        </w:rPr>
        <w:t> </w:t>
      </w:r>
      <w:r>
        <w:rPr>
          <w:color w:val="231F20"/>
        </w:rPr>
        <w:t>públicas”</w:t>
      </w:r>
      <w:r>
        <w:rPr>
          <w:color w:val="231F20"/>
          <w:spacing w:val="-17"/>
        </w:rPr>
        <w:t> </w:t>
      </w:r>
      <w:r>
        <w:rPr>
          <w:color w:val="231F20"/>
        </w:rPr>
        <w:t>(CABRERO,</w:t>
      </w:r>
      <w:r>
        <w:rPr>
          <w:color w:val="231F20"/>
          <w:spacing w:val="-17"/>
        </w:rPr>
        <w:t> </w:t>
      </w:r>
      <w:r>
        <w:rPr>
          <w:color w:val="231F20"/>
          <w:spacing w:val="4"/>
        </w:rPr>
        <w:t>2000:</w:t>
      </w:r>
      <w:r>
        <w:rPr>
          <w:color w:val="231F20"/>
          <w:spacing w:val="-17"/>
        </w:rPr>
        <w:t> </w:t>
      </w:r>
      <w:r>
        <w:rPr>
          <w:color w:val="231F20"/>
          <w:spacing w:val="-5"/>
        </w:rPr>
        <w:t>10).</w:t>
      </w:r>
    </w:p>
    <w:p>
      <w:pPr>
        <w:pStyle w:val="BodyText"/>
        <w:spacing w:before="1"/>
        <w:rPr>
          <w:sz w:val="26"/>
        </w:rPr>
      </w:pPr>
    </w:p>
    <w:p>
      <w:pPr>
        <w:pStyle w:val="BodyText"/>
        <w:spacing w:line="285" w:lineRule="auto"/>
        <w:ind w:left="110" w:right="102"/>
        <w:jc w:val="both"/>
      </w:pPr>
      <w:r>
        <w:rPr>
          <w:color w:val="231F20"/>
          <w:w w:val="105"/>
        </w:rPr>
        <w:t>El marco institucional que rige a estos gobiernos es uno de los principales elementos para analizar el comportamiento de los ayuntamientos para fomentar el desarrollo económico y democrático en su interior, particularmente al tomar sus decisiones y definir sus políticas.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Huixquilucan,</w:t>
      </w:r>
      <w:r>
        <w:rPr>
          <w:color w:val="231F20"/>
          <w:spacing w:val="-15"/>
          <w:w w:val="105"/>
        </w:rPr>
        <w:t> </w:t>
      </w:r>
      <w:r>
        <w:rPr>
          <w:color w:val="231F20"/>
          <w:w w:val="105"/>
        </w:rPr>
        <w:t>aunque</w:t>
      </w:r>
      <w:r>
        <w:rPr>
          <w:color w:val="231F20"/>
          <w:spacing w:val="-15"/>
          <w:w w:val="105"/>
        </w:rPr>
        <w:t> </w:t>
      </w:r>
      <w:r>
        <w:rPr>
          <w:color w:val="231F20"/>
          <w:w w:val="105"/>
        </w:rPr>
        <w:t>registró</w:t>
      </w:r>
      <w:r>
        <w:rPr>
          <w:color w:val="231F20"/>
          <w:spacing w:val="-15"/>
          <w:w w:val="105"/>
        </w:rPr>
        <w:t> </w:t>
      </w:r>
      <w:r>
        <w:rPr>
          <w:color w:val="231F20"/>
          <w:w w:val="105"/>
        </w:rPr>
        <w:t>el</w:t>
      </w:r>
      <w:r>
        <w:rPr>
          <w:color w:val="231F20"/>
          <w:spacing w:val="-15"/>
          <w:w w:val="105"/>
        </w:rPr>
        <w:t> </w:t>
      </w:r>
      <w:r>
        <w:rPr>
          <w:color w:val="231F20"/>
          <w:w w:val="105"/>
        </w:rPr>
        <w:t>mayor</w:t>
      </w:r>
      <w:r>
        <w:rPr>
          <w:color w:val="231F20"/>
          <w:spacing w:val="-15"/>
          <w:w w:val="105"/>
        </w:rPr>
        <w:t> </w:t>
      </w:r>
      <w:r>
        <w:rPr>
          <w:color w:val="231F20"/>
          <w:w w:val="105"/>
        </w:rPr>
        <w:t>nivel</w:t>
      </w:r>
      <w:r>
        <w:rPr>
          <w:color w:val="231F20"/>
          <w:spacing w:val="-15"/>
          <w:w w:val="105"/>
        </w:rPr>
        <w:t> </w:t>
      </w:r>
      <w:r>
        <w:rPr>
          <w:color w:val="231F20"/>
          <w:w w:val="105"/>
        </w:rPr>
        <w:t>de</w:t>
      </w:r>
      <w:r>
        <w:rPr>
          <w:color w:val="231F20"/>
          <w:spacing w:val="-15"/>
          <w:w w:val="105"/>
        </w:rPr>
        <w:t> </w:t>
      </w:r>
      <w:r>
        <w:rPr>
          <w:color w:val="231F20"/>
          <w:w w:val="105"/>
        </w:rPr>
        <w:t>ingresos</w:t>
      </w:r>
      <w:r>
        <w:rPr>
          <w:color w:val="231F20"/>
          <w:spacing w:val="-15"/>
          <w:w w:val="105"/>
        </w:rPr>
        <w:t> </w:t>
      </w:r>
      <w:r>
        <w:rPr>
          <w:color w:val="231F20"/>
          <w:w w:val="105"/>
        </w:rPr>
        <w:t>per</w:t>
      </w:r>
      <w:r>
        <w:rPr>
          <w:color w:val="231F20"/>
          <w:spacing w:val="-15"/>
          <w:w w:val="105"/>
        </w:rPr>
        <w:t> </w:t>
      </w:r>
      <w:r>
        <w:rPr>
          <w:color w:val="231F20"/>
          <w:w w:val="105"/>
        </w:rPr>
        <w:t>cápita</w:t>
      </w:r>
      <w:r>
        <w:rPr>
          <w:color w:val="231F20"/>
          <w:spacing w:val="-15"/>
          <w:w w:val="105"/>
        </w:rPr>
        <w:t> </w:t>
      </w:r>
      <w:r>
        <w:rPr>
          <w:color w:val="231F20"/>
          <w:w w:val="105"/>
        </w:rPr>
        <w:t>anual en</w:t>
      </w:r>
      <w:r>
        <w:rPr>
          <w:color w:val="231F20"/>
          <w:spacing w:val="-4"/>
          <w:w w:val="105"/>
        </w:rPr>
        <w:t> </w:t>
      </w:r>
      <w:r>
        <w:rPr>
          <w:color w:val="231F20"/>
          <w:w w:val="105"/>
        </w:rPr>
        <w:t>el</w:t>
      </w:r>
      <w:r>
        <w:rPr>
          <w:color w:val="231F20"/>
          <w:spacing w:val="-4"/>
          <w:w w:val="105"/>
        </w:rPr>
        <w:t> </w:t>
      </w:r>
      <w:r>
        <w:rPr>
          <w:color w:val="231F20"/>
          <w:w w:val="105"/>
        </w:rPr>
        <w:t>Estado</w:t>
      </w:r>
      <w:r>
        <w:rPr>
          <w:color w:val="231F20"/>
          <w:spacing w:val="-4"/>
          <w:w w:val="105"/>
        </w:rPr>
        <w:t> </w:t>
      </w:r>
      <w:r>
        <w:rPr>
          <w:color w:val="231F20"/>
          <w:w w:val="105"/>
        </w:rPr>
        <w:t>de</w:t>
      </w:r>
      <w:r>
        <w:rPr>
          <w:color w:val="231F20"/>
          <w:spacing w:val="-4"/>
          <w:w w:val="105"/>
        </w:rPr>
        <w:t> </w:t>
      </w:r>
      <w:r>
        <w:rPr>
          <w:color w:val="231F20"/>
          <w:w w:val="105"/>
        </w:rPr>
        <w:t>México,</w:t>
      </w:r>
      <w:r>
        <w:rPr>
          <w:color w:val="231F20"/>
          <w:spacing w:val="-4"/>
          <w:w w:val="105"/>
        </w:rPr>
        <w:t> </w:t>
      </w:r>
      <w:r>
        <w:rPr>
          <w:color w:val="231F20"/>
          <w:w w:val="105"/>
        </w:rPr>
        <w:t>esto</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tradujo</w:t>
      </w:r>
      <w:r>
        <w:rPr>
          <w:color w:val="231F20"/>
          <w:spacing w:val="-4"/>
          <w:w w:val="105"/>
        </w:rPr>
        <w:t> </w:t>
      </w:r>
      <w:r>
        <w:rPr>
          <w:color w:val="231F20"/>
          <w:w w:val="105"/>
        </w:rPr>
        <w:t>en</w:t>
      </w:r>
      <w:r>
        <w:rPr>
          <w:color w:val="231F20"/>
          <w:spacing w:val="-4"/>
          <w:w w:val="105"/>
        </w:rPr>
        <w:t> </w:t>
      </w:r>
      <w:r>
        <w:rPr>
          <w:color w:val="231F20"/>
          <w:w w:val="105"/>
        </w:rPr>
        <w:t>un</w:t>
      </w:r>
      <w:r>
        <w:rPr>
          <w:color w:val="231F20"/>
          <w:spacing w:val="-4"/>
          <w:w w:val="105"/>
        </w:rPr>
        <w:t> </w:t>
      </w:r>
      <w:r>
        <w:rPr>
          <w:color w:val="231F20"/>
          <w:w w:val="105"/>
        </w:rPr>
        <w:t>importante</w:t>
      </w:r>
      <w:r>
        <w:rPr>
          <w:color w:val="231F20"/>
          <w:spacing w:val="-4"/>
          <w:w w:val="105"/>
        </w:rPr>
        <w:t> </w:t>
      </w:r>
      <w:r>
        <w:rPr>
          <w:color w:val="231F20"/>
          <w:w w:val="105"/>
        </w:rPr>
        <w:t>incremento</w:t>
      </w:r>
      <w:r>
        <w:rPr>
          <w:color w:val="231F20"/>
          <w:spacing w:val="-4"/>
          <w:w w:val="105"/>
        </w:rPr>
        <w:t> </w:t>
      </w:r>
      <w:r>
        <w:rPr>
          <w:color w:val="231F20"/>
          <w:w w:val="105"/>
        </w:rPr>
        <w:t>del</w:t>
      </w:r>
      <w:r>
        <w:rPr>
          <w:color w:val="231F20"/>
          <w:spacing w:val="-4"/>
          <w:w w:val="105"/>
        </w:rPr>
        <w:t> </w:t>
      </w:r>
      <w:r>
        <w:rPr>
          <w:color w:val="231F20"/>
          <w:w w:val="105"/>
        </w:rPr>
        <w:t>desarrollo de</w:t>
      </w:r>
      <w:r>
        <w:rPr>
          <w:color w:val="231F20"/>
          <w:spacing w:val="-9"/>
          <w:w w:val="105"/>
        </w:rPr>
        <w:t> </w:t>
      </w:r>
      <w:r>
        <w:rPr>
          <w:color w:val="231F20"/>
          <w:w w:val="105"/>
        </w:rPr>
        <w:t>sus</w:t>
      </w:r>
      <w:r>
        <w:rPr>
          <w:color w:val="231F20"/>
          <w:spacing w:val="-9"/>
          <w:w w:val="105"/>
        </w:rPr>
        <w:t> </w:t>
      </w:r>
      <w:r>
        <w:rPr>
          <w:color w:val="231F20"/>
          <w:w w:val="105"/>
        </w:rPr>
        <w:t>habitantes.</w:t>
      </w:r>
      <w:r>
        <w:rPr>
          <w:color w:val="231F20"/>
          <w:spacing w:val="-9"/>
          <w:w w:val="105"/>
        </w:rPr>
        <w:t> </w:t>
      </w:r>
      <w:r>
        <w:rPr>
          <w:color w:val="231F20"/>
          <w:spacing w:val="-3"/>
          <w:w w:val="105"/>
        </w:rPr>
        <w:t>Uno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principales</w:t>
      </w:r>
      <w:r>
        <w:rPr>
          <w:color w:val="231F20"/>
          <w:spacing w:val="-9"/>
          <w:w w:val="105"/>
        </w:rPr>
        <w:t> </w:t>
      </w:r>
      <w:r>
        <w:rPr>
          <w:color w:val="231F20"/>
          <w:w w:val="105"/>
        </w:rPr>
        <w:t>obstáculos</w:t>
      </w:r>
      <w:r>
        <w:rPr>
          <w:color w:val="231F20"/>
          <w:spacing w:val="-9"/>
          <w:w w:val="105"/>
        </w:rPr>
        <w:t> </w:t>
      </w:r>
      <w:r>
        <w:rPr>
          <w:color w:val="231F20"/>
          <w:w w:val="105"/>
        </w:rPr>
        <w:t>que</w:t>
      </w:r>
      <w:r>
        <w:rPr>
          <w:color w:val="231F20"/>
          <w:spacing w:val="-9"/>
          <w:w w:val="105"/>
        </w:rPr>
        <w:t> </w:t>
      </w:r>
      <w:r>
        <w:rPr>
          <w:color w:val="231F20"/>
          <w:w w:val="105"/>
        </w:rPr>
        <w:t>lo</w:t>
      </w:r>
      <w:r>
        <w:rPr>
          <w:color w:val="231F20"/>
          <w:spacing w:val="-9"/>
          <w:w w:val="105"/>
        </w:rPr>
        <w:t> </w:t>
      </w:r>
      <w:r>
        <w:rPr>
          <w:color w:val="231F20"/>
          <w:w w:val="105"/>
        </w:rPr>
        <w:t>limitaron</w:t>
      </w:r>
      <w:r>
        <w:rPr>
          <w:color w:val="231F20"/>
          <w:spacing w:val="-9"/>
          <w:w w:val="105"/>
        </w:rPr>
        <w:t> </w:t>
      </w:r>
      <w:r>
        <w:rPr>
          <w:color w:val="231F20"/>
          <w:w w:val="105"/>
        </w:rPr>
        <w:t>se</w:t>
      </w:r>
      <w:r>
        <w:rPr>
          <w:color w:val="231F20"/>
          <w:spacing w:val="-9"/>
          <w:w w:val="105"/>
        </w:rPr>
        <w:t> </w:t>
      </w:r>
      <w:r>
        <w:rPr>
          <w:color w:val="231F20"/>
          <w:w w:val="105"/>
        </w:rPr>
        <w:t>encuentra</w:t>
      </w:r>
      <w:r>
        <w:rPr>
          <w:color w:val="231F20"/>
          <w:spacing w:val="-9"/>
          <w:w w:val="105"/>
        </w:rPr>
        <w:t> </w:t>
      </w:r>
      <w:r>
        <w:rPr>
          <w:color w:val="231F20"/>
          <w:w w:val="105"/>
        </w:rPr>
        <w:t>en</w:t>
      </w:r>
      <w:r>
        <w:rPr>
          <w:color w:val="231F20"/>
          <w:spacing w:val="-9"/>
          <w:w w:val="105"/>
        </w:rPr>
        <w:t> </w:t>
      </w:r>
      <w:r>
        <w:rPr>
          <w:color w:val="231F20"/>
          <w:w w:val="105"/>
        </w:rPr>
        <w:t>el gobierno municipal, en la forma en que toma sus decisiones, puesto que no se ha pro- curado la inclusión de diferentes intereses sociales más </w:t>
      </w:r>
      <w:r>
        <w:rPr>
          <w:color w:val="231F20"/>
          <w:spacing w:val="2"/>
          <w:w w:val="105"/>
        </w:rPr>
        <w:t>allá </w:t>
      </w:r>
      <w:r>
        <w:rPr>
          <w:color w:val="231F20"/>
          <w:w w:val="105"/>
        </w:rPr>
        <w:t>de las preferencias de los gobernantes en</w:t>
      </w:r>
      <w:r>
        <w:rPr>
          <w:color w:val="231F20"/>
          <w:spacing w:val="14"/>
          <w:w w:val="105"/>
        </w:rPr>
        <w:t> </w:t>
      </w:r>
      <w:r>
        <w:rPr>
          <w:color w:val="231F20"/>
          <w:w w:val="105"/>
        </w:rPr>
        <w:t>turno.</w:t>
      </w:r>
    </w:p>
    <w:p>
      <w:pPr>
        <w:pStyle w:val="BodyText"/>
        <w:spacing w:before="1"/>
        <w:rPr>
          <w:sz w:val="26"/>
        </w:rPr>
      </w:pPr>
    </w:p>
    <w:p>
      <w:pPr>
        <w:pStyle w:val="BodyText"/>
        <w:spacing w:line="285" w:lineRule="auto"/>
        <w:ind w:left="110" w:right="106"/>
        <w:jc w:val="both"/>
      </w:pPr>
      <w:r>
        <w:rPr>
          <w:color w:val="231F20"/>
          <w:w w:val="105"/>
        </w:rPr>
        <w:t>Al </w:t>
      </w:r>
      <w:r>
        <w:rPr>
          <w:color w:val="231F20"/>
          <w:spacing w:val="-3"/>
          <w:w w:val="105"/>
        </w:rPr>
        <w:t>interior del </w:t>
      </w:r>
      <w:r>
        <w:rPr>
          <w:color w:val="231F20"/>
          <w:spacing w:val="-4"/>
          <w:w w:val="105"/>
        </w:rPr>
        <w:t>gobierno </w:t>
      </w:r>
      <w:r>
        <w:rPr>
          <w:color w:val="231F20"/>
          <w:w w:val="105"/>
        </w:rPr>
        <w:t>huixquiluquense se observa la centralización en la </w:t>
      </w:r>
      <w:r>
        <w:rPr>
          <w:color w:val="231F20"/>
          <w:spacing w:val="-3"/>
          <w:w w:val="105"/>
        </w:rPr>
        <w:t>toma </w:t>
      </w:r>
      <w:r>
        <w:rPr>
          <w:color w:val="231F20"/>
          <w:w w:val="105"/>
        </w:rPr>
        <w:t>de </w:t>
      </w:r>
      <w:r>
        <w:rPr>
          <w:color w:val="231F20"/>
          <w:spacing w:val="-3"/>
          <w:w w:val="105"/>
        </w:rPr>
        <w:t>de- cisiones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spacing w:val="-3"/>
          <w:w w:val="105"/>
        </w:rPr>
        <w:t>personalización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política</w:t>
      </w:r>
      <w:r>
        <w:rPr>
          <w:color w:val="231F20"/>
          <w:spacing w:val="-8"/>
          <w:w w:val="105"/>
        </w:rPr>
        <w:t> </w:t>
      </w:r>
      <w:r>
        <w:rPr>
          <w:color w:val="231F20"/>
          <w:w w:val="105"/>
        </w:rPr>
        <w:t>partidista</w:t>
      </w:r>
      <w:r>
        <w:rPr>
          <w:color w:val="231F20"/>
          <w:spacing w:val="-8"/>
          <w:w w:val="105"/>
        </w:rPr>
        <w:t> </w:t>
      </w:r>
      <w:r>
        <w:rPr>
          <w:color w:val="231F20"/>
          <w:w w:val="105"/>
        </w:rPr>
        <w:t>local</w:t>
      </w:r>
      <w:r>
        <w:rPr>
          <w:color w:val="231F20"/>
          <w:spacing w:val="-8"/>
          <w:w w:val="105"/>
        </w:rPr>
        <w:t> </w:t>
      </w:r>
      <w:r>
        <w:rPr>
          <w:color w:val="231F20"/>
          <w:spacing w:val="-3"/>
          <w:w w:val="105"/>
        </w:rPr>
        <w:t>alrededor</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figura</w:t>
      </w:r>
      <w:r>
        <w:rPr>
          <w:color w:val="231F20"/>
          <w:spacing w:val="-8"/>
          <w:w w:val="105"/>
        </w:rPr>
        <w:t> </w:t>
      </w:r>
      <w:r>
        <w:rPr>
          <w:color w:val="231F20"/>
          <w:spacing w:val="-3"/>
          <w:w w:val="105"/>
        </w:rPr>
        <w:t>del</w:t>
      </w:r>
      <w:r>
        <w:rPr>
          <w:color w:val="231F20"/>
          <w:spacing w:val="-8"/>
          <w:w w:val="105"/>
        </w:rPr>
        <w:t> </w:t>
      </w:r>
      <w:r>
        <w:rPr>
          <w:color w:val="231F20"/>
          <w:spacing w:val="-4"/>
          <w:w w:val="105"/>
        </w:rPr>
        <w:t>pre- sidente </w:t>
      </w:r>
      <w:r>
        <w:rPr>
          <w:color w:val="231F20"/>
          <w:w w:val="105"/>
        </w:rPr>
        <w:t>municipal en turno. Estos </w:t>
      </w:r>
      <w:r>
        <w:rPr>
          <w:color w:val="231F20"/>
          <w:spacing w:val="-4"/>
          <w:w w:val="105"/>
        </w:rPr>
        <w:t>fenómenos </w:t>
      </w:r>
      <w:r>
        <w:rPr>
          <w:color w:val="231F20"/>
          <w:spacing w:val="-3"/>
          <w:w w:val="105"/>
        </w:rPr>
        <w:t>son </w:t>
      </w:r>
      <w:r>
        <w:rPr>
          <w:color w:val="231F20"/>
          <w:spacing w:val="-4"/>
          <w:w w:val="105"/>
        </w:rPr>
        <w:t>producidos </w:t>
      </w:r>
      <w:r>
        <w:rPr>
          <w:color w:val="231F20"/>
          <w:spacing w:val="-3"/>
          <w:w w:val="105"/>
        </w:rPr>
        <w:t>por </w:t>
      </w:r>
      <w:r>
        <w:rPr>
          <w:color w:val="231F20"/>
          <w:w w:val="105"/>
        </w:rPr>
        <w:t>el marco institucional </w:t>
      </w:r>
      <w:r>
        <w:rPr>
          <w:color w:val="231F20"/>
          <w:spacing w:val="-3"/>
          <w:w w:val="105"/>
        </w:rPr>
        <w:t>que</w:t>
      </w:r>
      <w:r>
        <w:rPr>
          <w:color w:val="231F20"/>
          <w:spacing w:val="-22"/>
          <w:w w:val="105"/>
        </w:rPr>
        <w:t> </w:t>
      </w:r>
      <w:r>
        <w:rPr>
          <w:color w:val="231F20"/>
          <w:w w:val="105"/>
        </w:rPr>
        <w:t>define</w:t>
      </w:r>
      <w:r>
        <w:rPr>
          <w:color w:val="231F20"/>
          <w:spacing w:val="-22"/>
          <w:w w:val="105"/>
        </w:rPr>
        <w:t> </w:t>
      </w:r>
      <w:r>
        <w:rPr>
          <w:color w:val="231F20"/>
          <w:w w:val="105"/>
        </w:rPr>
        <w:t>la</w:t>
      </w:r>
      <w:r>
        <w:rPr>
          <w:color w:val="231F20"/>
          <w:spacing w:val="-22"/>
          <w:w w:val="105"/>
        </w:rPr>
        <w:t> </w:t>
      </w:r>
      <w:r>
        <w:rPr>
          <w:color w:val="231F20"/>
          <w:spacing w:val="-3"/>
          <w:w w:val="105"/>
        </w:rPr>
        <w:t>forma</w:t>
      </w:r>
      <w:r>
        <w:rPr>
          <w:color w:val="231F20"/>
          <w:spacing w:val="-22"/>
          <w:w w:val="105"/>
        </w:rPr>
        <w:t> </w:t>
      </w:r>
      <w:r>
        <w:rPr>
          <w:color w:val="231F20"/>
          <w:w w:val="105"/>
        </w:rPr>
        <w:t>en</w:t>
      </w:r>
      <w:r>
        <w:rPr>
          <w:color w:val="231F20"/>
          <w:spacing w:val="-22"/>
          <w:w w:val="105"/>
        </w:rPr>
        <w:t> </w:t>
      </w:r>
      <w:r>
        <w:rPr>
          <w:color w:val="231F20"/>
          <w:spacing w:val="-3"/>
          <w:w w:val="105"/>
        </w:rPr>
        <w:t>que</w:t>
      </w:r>
      <w:r>
        <w:rPr>
          <w:color w:val="231F20"/>
          <w:spacing w:val="-22"/>
          <w:w w:val="105"/>
        </w:rPr>
        <w:t> </w:t>
      </w:r>
      <w:r>
        <w:rPr>
          <w:color w:val="231F20"/>
          <w:w w:val="105"/>
        </w:rPr>
        <w:t>se</w:t>
      </w:r>
      <w:r>
        <w:rPr>
          <w:color w:val="231F20"/>
          <w:spacing w:val="-22"/>
          <w:w w:val="105"/>
        </w:rPr>
        <w:t> </w:t>
      </w:r>
      <w:r>
        <w:rPr>
          <w:color w:val="231F20"/>
          <w:w w:val="105"/>
        </w:rPr>
        <w:t>integra</w:t>
      </w:r>
      <w:r>
        <w:rPr>
          <w:color w:val="231F20"/>
          <w:spacing w:val="-22"/>
          <w:w w:val="105"/>
        </w:rPr>
        <w:t> </w:t>
      </w:r>
      <w:r>
        <w:rPr>
          <w:color w:val="231F20"/>
          <w:w w:val="105"/>
        </w:rPr>
        <w:t>el</w:t>
      </w:r>
      <w:r>
        <w:rPr>
          <w:color w:val="231F20"/>
          <w:spacing w:val="-22"/>
          <w:w w:val="105"/>
        </w:rPr>
        <w:t> </w:t>
      </w:r>
      <w:r>
        <w:rPr>
          <w:color w:val="231F20"/>
          <w:w w:val="105"/>
        </w:rPr>
        <w:t>ayuntamiento</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estructura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administración </w:t>
      </w:r>
      <w:r>
        <w:rPr>
          <w:color w:val="231F20"/>
          <w:spacing w:val="-3"/>
          <w:w w:val="105"/>
        </w:rPr>
        <w:t>pública</w:t>
      </w:r>
      <w:r>
        <w:rPr>
          <w:color w:val="231F20"/>
          <w:spacing w:val="-29"/>
          <w:w w:val="105"/>
        </w:rPr>
        <w:t> </w:t>
      </w:r>
      <w:r>
        <w:rPr>
          <w:color w:val="231F20"/>
          <w:w w:val="105"/>
        </w:rPr>
        <w:t>centralizada</w:t>
      </w:r>
      <w:r>
        <w:rPr>
          <w:color w:val="231F20"/>
          <w:spacing w:val="-29"/>
          <w:w w:val="105"/>
        </w:rPr>
        <w:t> </w:t>
      </w:r>
      <w:r>
        <w:rPr>
          <w:color w:val="231F20"/>
          <w:spacing w:val="-6"/>
          <w:w w:val="105"/>
        </w:rPr>
        <w:t>(APM).</w:t>
      </w:r>
      <w:r>
        <w:rPr>
          <w:color w:val="231F20"/>
          <w:spacing w:val="-29"/>
          <w:w w:val="105"/>
        </w:rPr>
        <w:t> </w:t>
      </w:r>
      <w:r>
        <w:rPr>
          <w:color w:val="231F20"/>
          <w:spacing w:val="-3"/>
          <w:w w:val="105"/>
        </w:rPr>
        <w:t>Además,</w:t>
      </w:r>
      <w:r>
        <w:rPr>
          <w:color w:val="231F20"/>
          <w:spacing w:val="-29"/>
          <w:w w:val="105"/>
        </w:rPr>
        <w:t> </w:t>
      </w:r>
      <w:r>
        <w:rPr>
          <w:color w:val="231F20"/>
          <w:spacing w:val="-3"/>
          <w:w w:val="105"/>
        </w:rPr>
        <w:t>dicho</w:t>
      </w:r>
      <w:r>
        <w:rPr>
          <w:color w:val="231F20"/>
          <w:spacing w:val="-29"/>
          <w:w w:val="105"/>
        </w:rPr>
        <w:t> </w:t>
      </w:r>
      <w:r>
        <w:rPr>
          <w:color w:val="231F20"/>
          <w:w w:val="105"/>
        </w:rPr>
        <w:t>arreglo</w:t>
      </w:r>
      <w:r>
        <w:rPr>
          <w:color w:val="231F20"/>
          <w:spacing w:val="-29"/>
          <w:w w:val="105"/>
        </w:rPr>
        <w:t> </w:t>
      </w:r>
      <w:r>
        <w:rPr>
          <w:color w:val="231F20"/>
          <w:w w:val="105"/>
        </w:rPr>
        <w:t>institucional</w:t>
      </w:r>
      <w:r>
        <w:rPr>
          <w:color w:val="231F20"/>
          <w:spacing w:val="-29"/>
          <w:w w:val="105"/>
        </w:rPr>
        <w:t> </w:t>
      </w:r>
      <w:r>
        <w:rPr>
          <w:color w:val="231F20"/>
          <w:w w:val="105"/>
        </w:rPr>
        <w:t>debilita</w:t>
      </w:r>
      <w:r>
        <w:rPr>
          <w:color w:val="231F20"/>
          <w:spacing w:val="-29"/>
          <w:w w:val="105"/>
        </w:rPr>
        <w:t> </w:t>
      </w:r>
      <w:r>
        <w:rPr>
          <w:color w:val="231F20"/>
          <w:spacing w:val="-3"/>
          <w:w w:val="105"/>
        </w:rPr>
        <w:t>los</w:t>
      </w:r>
      <w:r>
        <w:rPr>
          <w:color w:val="231F20"/>
          <w:spacing w:val="-29"/>
          <w:w w:val="105"/>
        </w:rPr>
        <w:t> </w:t>
      </w:r>
      <w:r>
        <w:rPr>
          <w:color w:val="231F20"/>
          <w:w w:val="105"/>
        </w:rPr>
        <w:t>mecanismos</w:t>
      </w:r>
    </w:p>
    <w:p>
      <w:pPr>
        <w:spacing w:after="0" w:line="285" w:lineRule="auto"/>
        <w:jc w:val="both"/>
        <w:sectPr>
          <w:footerReference w:type="default" r:id="rId31"/>
          <w:pgSz w:w="9640" w:h="12190"/>
          <w:pgMar w:footer="743" w:header="0" w:top="1120" w:bottom="940" w:left="740" w:right="740"/>
          <w:pgNumType w:start="40"/>
        </w:sectPr>
      </w:pPr>
    </w:p>
    <w:p>
      <w:pPr>
        <w:pStyle w:val="BodyText"/>
        <w:spacing w:before="3"/>
        <w:rPr>
          <w:sz w:val="11"/>
        </w:rPr>
      </w:pPr>
    </w:p>
    <w:p>
      <w:pPr>
        <w:pStyle w:val="BodyText"/>
        <w:spacing w:line="285" w:lineRule="auto" w:before="36"/>
        <w:ind w:left="110" w:right="108"/>
        <w:jc w:val="both"/>
      </w:pPr>
      <w:r>
        <w:rPr>
          <w:color w:val="231F20"/>
          <w:w w:val="105"/>
        </w:rPr>
        <w:t>de</w:t>
      </w:r>
      <w:r>
        <w:rPr>
          <w:color w:val="231F20"/>
          <w:spacing w:val="-21"/>
          <w:w w:val="105"/>
        </w:rPr>
        <w:t> </w:t>
      </w:r>
      <w:r>
        <w:rPr>
          <w:color w:val="231F20"/>
          <w:spacing w:val="-4"/>
          <w:w w:val="105"/>
        </w:rPr>
        <w:t>rendición</w:t>
      </w:r>
      <w:r>
        <w:rPr>
          <w:color w:val="231F20"/>
          <w:spacing w:val="-21"/>
          <w:w w:val="105"/>
        </w:rPr>
        <w:t> </w:t>
      </w:r>
      <w:r>
        <w:rPr>
          <w:color w:val="231F20"/>
          <w:w w:val="105"/>
        </w:rPr>
        <w:t>de</w:t>
      </w:r>
      <w:r>
        <w:rPr>
          <w:color w:val="231F20"/>
          <w:spacing w:val="-21"/>
          <w:w w:val="105"/>
        </w:rPr>
        <w:t> </w:t>
      </w:r>
      <w:r>
        <w:rPr>
          <w:color w:val="231F20"/>
          <w:w w:val="105"/>
        </w:rPr>
        <w:t>cuentas</w:t>
      </w:r>
      <w:r>
        <w:rPr>
          <w:color w:val="231F20"/>
          <w:spacing w:val="-21"/>
          <w:w w:val="105"/>
        </w:rPr>
        <w:t> </w:t>
      </w:r>
      <w:r>
        <w:rPr>
          <w:color w:val="231F20"/>
          <w:w w:val="105"/>
        </w:rPr>
        <w:t>al</w:t>
      </w:r>
      <w:r>
        <w:rPr>
          <w:color w:val="231F20"/>
          <w:spacing w:val="-21"/>
          <w:w w:val="105"/>
        </w:rPr>
        <w:t> </w:t>
      </w:r>
      <w:r>
        <w:rPr>
          <w:color w:val="231F20"/>
          <w:spacing w:val="-3"/>
          <w:w w:val="105"/>
        </w:rPr>
        <w:t>grado</w:t>
      </w:r>
      <w:r>
        <w:rPr>
          <w:color w:val="231F20"/>
          <w:spacing w:val="-21"/>
          <w:w w:val="105"/>
        </w:rPr>
        <w:t> </w:t>
      </w:r>
      <w:r>
        <w:rPr>
          <w:color w:val="231F20"/>
          <w:w w:val="105"/>
        </w:rPr>
        <w:t>de</w:t>
      </w:r>
      <w:r>
        <w:rPr>
          <w:color w:val="231F20"/>
          <w:spacing w:val="-21"/>
          <w:w w:val="105"/>
        </w:rPr>
        <w:t> </w:t>
      </w:r>
      <w:r>
        <w:rPr>
          <w:color w:val="231F20"/>
          <w:w w:val="105"/>
        </w:rPr>
        <w:t>facilitar</w:t>
      </w:r>
      <w:r>
        <w:rPr>
          <w:color w:val="231F20"/>
          <w:spacing w:val="-21"/>
          <w:w w:val="105"/>
        </w:rPr>
        <w:t> </w:t>
      </w:r>
      <w:r>
        <w:rPr>
          <w:color w:val="231F20"/>
          <w:w w:val="105"/>
        </w:rPr>
        <w:t>la</w:t>
      </w:r>
      <w:r>
        <w:rPr>
          <w:color w:val="231F20"/>
          <w:spacing w:val="-21"/>
          <w:w w:val="105"/>
        </w:rPr>
        <w:t> </w:t>
      </w:r>
      <w:r>
        <w:rPr>
          <w:color w:val="231F20"/>
          <w:spacing w:val="-2"/>
          <w:w w:val="105"/>
        </w:rPr>
        <w:t>discrecionalidad</w:t>
      </w:r>
      <w:r>
        <w:rPr>
          <w:color w:val="231F20"/>
          <w:spacing w:val="-21"/>
          <w:w w:val="105"/>
        </w:rPr>
        <w:t> </w:t>
      </w:r>
      <w:r>
        <w:rPr>
          <w:color w:val="231F20"/>
          <w:spacing w:val="-3"/>
          <w:w w:val="105"/>
        </w:rPr>
        <w:t>del</w:t>
      </w:r>
      <w:r>
        <w:rPr>
          <w:color w:val="231F20"/>
          <w:spacing w:val="-21"/>
          <w:w w:val="105"/>
        </w:rPr>
        <w:t> </w:t>
      </w:r>
      <w:r>
        <w:rPr>
          <w:color w:val="231F20"/>
          <w:w w:val="105"/>
        </w:rPr>
        <w:t>alcalde</w:t>
      </w:r>
      <w:r>
        <w:rPr>
          <w:color w:val="231F20"/>
          <w:spacing w:val="-21"/>
          <w:w w:val="105"/>
        </w:rPr>
        <w:t> </w:t>
      </w:r>
      <w:r>
        <w:rPr>
          <w:color w:val="231F20"/>
          <w:w w:val="105"/>
        </w:rPr>
        <w:t>al</w:t>
      </w:r>
      <w:r>
        <w:rPr>
          <w:color w:val="231F20"/>
          <w:spacing w:val="-21"/>
          <w:w w:val="105"/>
        </w:rPr>
        <w:t> </w:t>
      </w:r>
      <w:r>
        <w:rPr>
          <w:color w:val="231F20"/>
          <w:spacing w:val="-4"/>
          <w:w w:val="105"/>
        </w:rPr>
        <w:t>momento</w:t>
      </w:r>
      <w:r>
        <w:rPr>
          <w:color w:val="231F20"/>
          <w:spacing w:val="-21"/>
          <w:w w:val="105"/>
        </w:rPr>
        <w:t> </w:t>
      </w:r>
      <w:r>
        <w:rPr>
          <w:color w:val="231F20"/>
          <w:w w:val="105"/>
        </w:rPr>
        <w:t>de la</w:t>
      </w:r>
      <w:r>
        <w:rPr>
          <w:color w:val="231F20"/>
          <w:spacing w:val="-19"/>
          <w:w w:val="105"/>
        </w:rPr>
        <w:t> </w:t>
      </w:r>
      <w:r>
        <w:rPr>
          <w:color w:val="231F20"/>
          <w:w w:val="105"/>
        </w:rPr>
        <w:t>definición</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políticas</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estabilidad</w:t>
      </w:r>
      <w:r>
        <w:rPr>
          <w:color w:val="231F20"/>
          <w:spacing w:val="-19"/>
          <w:w w:val="105"/>
        </w:rPr>
        <w:t> </w:t>
      </w:r>
      <w:r>
        <w:rPr>
          <w:color w:val="231F20"/>
          <w:spacing w:val="-3"/>
          <w:w w:val="105"/>
        </w:rPr>
        <w:t>del</w:t>
      </w:r>
      <w:r>
        <w:rPr>
          <w:color w:val="231F20"/>
          <w:spacing w:val="-19"/>
          <w:w w:val="105"/>
        </w:rPr>
        <w:t> </w:t>
      </w:r>
      <w:r>
        <w:rPr>
          <w:color w:val="231F20"/>
          <w:spacing w:val="-3"/>
          <w:w w:val="105"/>
        </w:rPr>
        <w:t>gabinete.</w:t>
      </w:r>
      <w:r>
        <w:rPr>
          <w:color w:val="231F20"/>
          <w:spacing w:val="-19"/>
          <w:w w:val="105"/>
        </w:rPr>
        <w:t> </w:t>
      </w:r>
      <w:r>
        <w:rPr>
          <w:color w:val="231F20"/>
          <w:spacing w:val="-3"/>
          <w:w w:val="105"/>
        </w:rPr>
        <w:t>Inclusive,</w:t>
      </w:r>
      <w:r>
        <w:rPr>
          <w:color w:val="231F20"/>
          <w:spacing w:val="-19"/>
          <w:w w:val="105"/>
        </w:rPr>
        <w:t> </w:t>
      </w:r>
      <w:r>
        <w:rPr>
          <w:color w:val="231F20"/>
          <w:w w:val="105"/>
        </w:rPr>
        <w:t>el</w:t>
      </w:r>
      <w:r>
        <w:rPr>
          <w:color w:val="231F20"/>
          <w:spacing w:val="-19"/>
          <w:w w:val="105"/>
        </w:rPr>
        <w:t> </w:t>
      </w:r>
      <w:r>
        <w:rPr>
          <w:color w:val="231F20"/>
          <w:spacing w:val="-3"/>
          <w:w w:val="105"/>
        </w:rPr>
        <w:t>factor</w:t>
      </w:r>
      <w:r>
        <w:rPr>
          <w:color w:val="231F20"/>
          <w:spacing w:val="-19"/>
          <w:w w:val="105"/>
        </w:rPr>
        <w:t> </w:t>
      </w:r>
      <w:r>
        <w:rPr>
          <w:color w:val="231F20"/>
          <w:spacing w:val="-3"/>
          <w:w w:val="105"/>
        </w:rPr>
        <w:t>del</w:t>
      </w:r>
      <w:r>
        <w:rPr>
          <w:color w:val="231F20"/>
          <w:spacing w:val="-19"/>
          <w:w w:val="105"/>
        </w:rPr>
        <w:t> </w:t>
      </w:r>
      <w:r>
        <w:rPr>
          <w:color w:val="231F20"/>
          <w:w w:val="105"/>
        </w:rPr>
        <w:t>partido</w:t>
      </w:r>
      <w:r>
        <w:rPr>
          <w:color w:val="231F20"/>
          <w:spacing w:val="-19"/>
          <w:w w:val="105"/>
        </w:rPr>
        <w:t> </w:t>
      </w:r>
      <w:r>
        <w:rPr>
          <w:color w:val="231F20"/>
          <w:w w:val="105"/>
        </w:rPr>
        <w:t>a </w:t>
      </w:r>
      <w:r>
        <w:rPr>
          <w:color w:val="231F20"/>
          <w:spacing w:val="-3"/>
          <w:w w:val="105"/>
        </w:rPr>
        <w:t>nivel</w:t>
      </w:r>
      <w:r>
        <w:rPr>
          <w:color w:val="231F20"/>
          <w:spacing w:val="-18"/>
          <w:w w:val="105"/>
        </w:rPr>
        <w:t> </w:t>
      </w:r>
      <w:r>
        <w:rPr>
          <w:color w:val="231F20"/>
          <w:w w:val="105"/>
        </w:rPr>
        <w:t>municipal</w:t>
      </w:r>
      <w:r>
        <w:rPr>
          <w:color w:val="231F20"/>
          <w:spacing w:val="-18"/>
          <w:w w:val="105"/>
        </w:rPr>
        <w:t> </w:t>
      </w:r>
      <w:r>
        <w:rPr>
          <w:color w:val="231F20"/>
          <w:w w:val="105"/>
        </w:rPr>
        <w:t>es</w:t>
      </w:r>
      <w:r>
        <w:rPr>
          <w:color w:val="231F20"/>
          <w:spacing w:val="-18"/>
          <w:w w:val="105"/>
        </w:rPr>
        <w:t> </w:t>
      </w:r>
      <w:r>
        <w:rPr>
          <w:color w:val="231F20"/>
          <w:w w:val="105"/>
        </w:rPr>
        <w:t>un</w:t>
      </w:r>
      <w:r>
        <w:rPr>
          <w:color w:val="231F20"/>
          <w:spacing w:val="-18"/>
          <w:w w:val="105"/>
        </w:rPr>
        <w:t> </w:t>
      </w:r>
      <w:r>
        <w:rPr>
          <w:color w:val="231F20"/>
          <w:spacing w:val="-4"/>
          <w:w w:val="105"/>
        </w:rPr>
        <w:t>elemento</w:t>
      </w:r>
      <w:r>
        <w:rPr>
          <w:color w:val="231F20"/>
          <w:spacing w:val="-18"/>
          <w:w w:val="105"/>
        </w:rPr>
        <w:t> </w:t>
      </w:r>
      <w:r>
        <w:rPr>
          <w:color w:val="231F20"/>
          <w:w w:val="105"/>
        </w:rPr>
        <w:t>institucional</w:t>
      </w:r>
      <w:r>
        <w:rPr>
          <w:color w:val="231F20"/>
          <w:spacing w:val="-18"/>
          <w:w w:val="105"/>
        </w:rPr>
        <w:t> </w:t>
      </w:r>
      <w:r>
        <w:rPr>
          <w:color w:val="231F20"/>
          <w:spacing w:val="-3"/>
          <w:w w:val="105"/>
        </w:rPr>
        <w:t>que</w:t>
      </w:r>
      <w:r>
        <w:rPr>
          <w:color w:val="231F20"/>
          <w:spacing w:val="-18"/>
          <w:w w:val="105"/>
        </w:rPr>
        <w:t> </w:t>
      </w:r>
      <w:r>
        <w:rPr>
          <w:color w:val="231F20"/>
          <w:w w:val="105"/>
        </w:rPr>
        <w:t>influye</w:t>
      </w:r>
      <w:r>
        <w:rPr>
          <w:color w:val="231F20"/>
          <w:spacing w:val="-18"/>
          <w:w w:val="105"/>
        </w:rPr>
        <w:t> </w:t>
      </w:r>
      <w:r>
        <w:rPr>
          <w:color w:val="231F20"/>
          <w:spacing w:val="-3"/>
          <w:w w:val="105"/>
        </w:rPr>
        <w:t>muy</w:t>
      </w:r>
      <w:r>
        <w:rPr>
          <w:color w:val="231F20"/>
          <w:spacing w:val="-18"/>
          <w:w w:val="105"/>
        </w:rPr>
        <w:t> </w:t>
      </w:r>
      <w:r>
        <w:rPr>
          <w:color w:val="231F20"/>
          <w:w w:val="105"/>
        </w:rPr>
        <w:t>poco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3"/>
          <w:w w:val="105"/>
        </w:rPr>
        <w:t>toma</w:t>
      </w:r>
      <w:r>
        <w:rPr>
          <w:color w:val="231F20"/>
          <w:spacing w:val="-18"/>
          <w:w w:val="105"/>
        </w:rPr>
        <w:t> </w:t>
      </w:r>
      <w:r>
        <w:rPr>
          <w:color w:val="231F20"/>
          <w:w w:val="105"/>
        </w:rPr>
        <w:t>de</w:t>
      </w:r>
      <w:r>
        <w:rPr>
          <w:color w:val="231F20"/>
          <w:spacing w:val="-18"/>
          <w:w w:val="105"/>
        </w:rPr>
        <w:t> </w:t>
      </w:r>
      <w:r>
        <w:rPr>
          <w:color w:val="231F20"/>
          <w:spacing w:val="-3"/>
          <w:w w:val="105"/>
        </w:rPr>
        <w:t>decisio- nes</w:t>
      </w:r>
      <w:r>
        <w:rPr>
          <w:color w:val="231F20"/>
          <w:spacing w:val="-19"/>
          <w:w w:val="105"/>
        </w:rPr>
        <w:t> </w:t>
      </w:r>
      <w:r>
        <w:rPr>
          <w:color w:val="231F20"/>
          <w:spacing w:val="-3"/>
          <w:w w:val="105"/>
        </w:rPr>
        <w:t>del</w:t>
      </w:r>
      <w:r>
        <w:rPr>
          <w:color w:val="231F20"/>
          <w:spacing w:val="-19"/>
          <w:w w:val="105"/>
        </w:rPr>
        <w:t> </w:t>
      </w:r>
      <w:r>
        <w:rPr>
          <w:color w:val="231F20"/>
          <w:spacing w:val="-4"/>
          <w:w w:val="105"/>
        </w:rPr>
        <w:t>gobierno</w:t>
      </w:r>
      <w:r>
        <w:rPr>
          <w:color w:val="231F20"/>
          <w:spacing w:val="-19"/>
          <w:w w:val="105"/>
        </w:rPr>
        <w:t> </w:t>
      </w:r>
      <w:r>
        <w:rPr>
          <w:color w:val="231F20"/>
          <w:w w:val="105"/>
        </w:rPr>
        <w:t>en</w:t>
      </w:r>
      <w:r>
        <w:rPr>
          <w:color w:val="231F20"/>
          <w:spacing w:val="-19"/>
          <w:w w:val="105"/>
        </w:rPr>
        <w:t> </w:t>
      </w:r>
      <w:r>
        <w:rPr>
          <w:color w:val="231F20"/>
          <w:w w:val="105"/>
        </w:rPr>
        <w:t>turno,</w:t>
      </w:r>
      <w:r>
        <w:rPr>
          <w:color w:val="231F20"/>
          <w:spacing w:val="-19"/>
          <w:w w:val="105"/>
        </w:rPr>
        <w:t> </w:t>
      </w:r>
      <w:r>
        <w:rPr>
          <w:color w:val="231F20"/>
          <w:w w:val="105"/>
        </w:rPr>
        <w:t>aun</w:t>
      </w:r>
      <w:r>
        <w:rPr>
          <w:color w:val="231F20"/>
          <w:spacing w:val="-19"/>
          <w:w w:val="105"/>
        </w:rPr>
        <w:t> </w:t>
      </w:r>
      <w:r>
        <w:rPr>
          <w:color w:val="231F20"/>
          <w:w w:val="105"/>
        </w:rPr>
        <w:t>cuando</w:t>
      </w:r>
      <w:r>
        <w:rPr>
          <w:color w:val="231F20"/>
          <w:spacing w:val="-19"/>
          <w:w w:val="105"/>
        </w:rPr>
        <w:t> </w:t>
      </w:r>
      <w:r>
        <w:rPr>
          <w:color w:val="231F20"/>
          <w:w w:val="105"/>
        </w:rPr>
        <w:t>el</w:t>
      </w:r>
      <w:r>
        <w:rPr>
          <w:color w:val="231F20"/>
          <w:spacing w:val="-19"/>
          <w:w w:val="105"/>
        </w:rPr>
        <w:t> </w:t>
      </w:r>
      <w:r>
        <w:rPr>
          <w:color w:val="231F20"/>
          <w:w w:val="105"/>
        </w:rPr>
        <w:t>alcalde</w:t>
      </w:r>
      <w:r>
        <w:rPr>
          <w:color w:val="231F20"/>
          <w:spacing w:val="-19"/>
          <w:w w:val="105"/>
        </w:rPr>
        <w:t> </w:t>
      </w:r>
      <w:r>
        <w:rPr>
          <w:color w:val="231F20"/>
          <w:w w:val="105"/>
        </w:rPr>
        <w:t>haya</w:t>
      </w:r>
      <w:r>
        <w:rPr>
          <w:color w:val="231F20"/>
          <w:spacing w:val="-19"/>
          <w:w w:val="105"/>
        </w:rPr>
        <w:t> </w:t>
      </w:r>
      <w:r>
        <w:rPr>
          <w:color w:val="231F20"/>
          <w:spacing w:val="-3"/>
          <w:w w:val="105"/>
        </w:rPr>
        <w:t>surgido</w:t>
      </w:r>
      <w:r>
        <w:rPr>
          <w:color w:val="231F20"/>
          <w:spacing w:val="-19"/>
          <w:w w:val="105"/>
        </w:rPr>
        <w:t> </w:t>
      </w:r>
      <w:r>
        <w:rPr>
          <w:color w:val="231F20"/>
          <w:w w:val="105"/>
        </w:rPr>
        <w:t>de</w:t>
      </w:r>
      <w:r>
        <w:rPr>
          <w:color w:val="231F20"/>
          <w:spacing w:val="-19"/>
          <w:w w:val="105"/>
        </w:rPr>
        <w:t> </w:t>
      </w:r>
      <w:r>
        <w:rPr>
          <w:color w:val="231F20"/>
          <w:w w:val="105"/>
        </w:rPr>
        <w:t>sus</w:t>
      </w:r>
      <w:r>
        <w:rPr>
          <w:color w:val="231F20"/>
          <w:spacing w:val="-19"/>
          <w:w w:val="105"/>
        </w:rPr>
        <w:t> </w:t>
      </w:r>
      <w:r>
        <w:rPr>
          <w:color w:val="231F20"/>
          <w:w w:val="105"/>
        </w:rPr>
        <w:t>filas.</w:t>
      </w:r>
    </w:p>
    <w:p>
      <w:pPr>
        <w:pStyle w:val="BodyText"/>
        <w:spacing w:before="1"/>
        <w:rPr>
          <w:sz w:val="26"/>
        </w:rPr>
      </w:pPr>
    </w:p>
    <w:p>
      <w:pPr>
        <w:pStyle w:val="BodyText"/>
        <w:spacing w:line="285" w:lineRule="auto"/>
        <w:ind w:left="110" w:right="107"/>
        <w:jc w:val="both"/>
      </w:pPr>
      <w:r>
        <w:rPr>
          <w:color w:val="231F20"/>
          <w:w w:val="105"/>
        </w:rPr>
        <w:t>En un primer subapartado se presenta el comportamiento de las </w:t>
      </w:r>
      <w:r>
        <w:rPr>
          <w:color w:val="231F20"/>
          <w:spacing w:val="2"/>
          <w:w w:val="105"/>
        </w:rPr>
        <w:t>finanzas </w:t>
      </w:r>
      <w:r>
        <w:rPr>
          <w:color w:val="231F20"/>
          <w:w w:val="105"/>
        </w:rPr>
        <w:t>municipales durante</w:t>
      </w:r>
      <w:r>
        <w:rPr>
          <w:color w:val="231F20"/>
          <w:spacing w:val="-15"/>
          <w:w w:val="105"/>
        </w:rPr>
        <w:t> </w:t>
      </w:r>
      <w:r>
        <w:rPr>
          <w:color w:val="231F20"/>
          <w:w w:val="105"/>
        </w:rPr>
        <w:t>el</w:t>
      </w:r>
      <w:r>
        <w:rPr>
          <w:color w:val="231F20"/>
          <w:spacing w:val="-15"/>
          <w:w w:val="105"/>
        </w:rPr>
        <w:t> </w:t>
      </w:r>
      <w:r>
        <w:rPr>
          <w:color w:val="231F20"/>
          <w:w w:val="105"/>
        </w:rPr>
        <w:t>periodo</w:t>
      </w:r>
      <w:r>
        <w:rPr>
          <w:color w:val="231F20"/>
          <w:spacing w:val="-15"/>
          <w:w w:val="105"/>
        </w:rPr>
        <w:t> </w:t>
      </w:r>
      <w:r>
        <w:rPr>
          <w:color w:val="231F20"/>
          <w:w w:val="105"/>
        </w:rPr>
        <w:t>2001-2008,</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spacing w:val="2"/>
          <w:w w:val="105"/>
        </w:rPr>
        <w:t>fin</w:t>
      </w:r>
      <w:r>
        <w:rPr>
          <w:color w:val="231F20"/>
          <w:spacing w:val="-15"/>
          <w:w w:val="105"/>
        </w:rPr>
        <w:t> </w:t>
      </w:r>
      <w:r>
        <w:rPr>
          <w:color w:val="231F20"/>
          <w:w w:val="105"/>
        </w:rPr>
        <w:t>de</w:t>
      </w:r>
      <w:r>
        <w:rPr>
          <w:color w:val="231F20"/>
          <w:spacing w:val="-15"/>
          <w:w w:val="105"/>
        </w:rPr>
        <w:t> </w:t>
      </w:r>
      <w:r>
        <w:rPr>
          <w:color w:val="231F20"/>
          <w:w w:val="105"/>
        </w:rPr>
        <w:t>identificar</w:t>
      </w:r>
      <w:r>
        <w:rPr>
          <w:color w:val="231F20"/>
          <w:spacing w:val="-15"/>
          <w:w w:val="105"/>
        </w:rPr>
        <w:t> </w:t>
      </w:r>
      <w:r>
        <w:rPr>
          <w:color w:val="231F20"/>
          <w:w w:val="105"/>
        </w:rPr>
        <w:t>el</w:t>
      </w:r>
      <w:r>
        <w:rPr>
          <w:color w:val="231F20"/>
          <w:spacing w:val="-15"/>
          <w:w w:val="105"/>
        </w:rPr>
        <w:t> </w:t>
      </w:r>
      <w:r>
        <w:rPr>
          <w:color w:val="231F20"/>
          <w:w w:val="105"/>
        </w:rPr>
        <w:t>grado</w:t>
      </w:r>
      <w:r>
        <w:rPr>
          <w:color w:val="231F20"/>
          <w:spacing w:val="-15"/>
          <w:w w:val="105"/>
        </w:rPr>
        <w:t> </w:t>
      </w:r>
      <w:r>
        <w:rPr>
          <w:color w:val="231F20"/>
          <w:w w:val="105"/>
        </w:rPr>
        <w:t>de</w:t>
      </w:r>
      <w:r>
        <w:rPr>
          <w:color w:val="231F20"/>
          <w:spacing w:val="-15"/>
          <w:w w:val="105"/>
        </w:rPr>
        <w:t> </w:t>
      </w:r>
      <w:r>
        <w:rPr>
          <w:color w:val="231F20"/>
          <w:w w:val="105"/>
        </w:rPr>
        <w:t>flexibilidad</w:t>
      </w:r>
      <w:r>
        <w:rPr>
          <w:color w:val="231F20"/>
          <w:spacing w:val="-15"/>
          <w:w w:val="105"/>
        </w:rPr>
        <w:t> </w:t>
      </w:r>
      <w:r>
        <w:rPr>
          <w:color w:val="231F20"/>
          <w:w w:val="105"/>
        </w:rPr>
        <w:t>financie- ra del gobierno respecto de sus gastos fijos y ubicar sus condiciones para </w:t>
      </w:r>
      <w:r>
        <w:rPr>
          <w:color w:val="231F20"/>
          <w:spacing w:val="-3"/>
          <w:w w:val="105"/>
        </w:rPr>
        <w:t>promover </w:t>
      </w:r>
      <w:r>
        <w:rPr>
          <w:color w:val="231F20"/>
          <w:w w:val="105"/>
        </w:rPr>
        <w:t>el desarrollo</w:t>
      </w:r>
      <w:r>
        <w:rPr>
          <w:color w:val="231F20"/>
          <w:spacing w:val="-8"/>
          <w:w w:val="105"/>
        </w:rPr>
        <w:t> </w:t>
      </w:r>
      <w:r>
        <w:rPr>
          <w:color w:val="231F20"/>
          <w:w w:val="105"/>
        </w:rPr>
        <w:t>económico</w:t>
      </w:r>
      <w:r>
        <w:rPr>
          <w:color w:val="231F20"/>
          <w:spacing w:val="-8"/>
          <w:w w:val="105"/>
        </w:rPr>
        <w:t> </w:t>
      </w:r>
      <w:r>
        <w:rPr>
          <w:color w:val="231F20"/>
          <w:w w:val="105"/>
        </w:rPr>
        <w:t>local.</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segundo</w:t>
      </w:r>
      <w:r>
        <w:rPr>
          <w:color w:val="231F20"/>
          <w:spacing w:val="-8"/>
          <w:w w:val="105"/>
        </w:rPr>
        <w:t> </w:t>
      </w:r>
      <w:r>
        <w:rPr>
          <w:color w:val="231F20"/>
          <w:w w:val="105"/>
        </w:rPr>
        <w:t>subepígrafe</w:t>
      </w:r>
      <w:r>
        <w:rPr>
          <w:color w:val="231F20"/>
          <w:spacing w:val="-8"/>
          <w:w w:val="105"/>
        </w:rPr>
        <w:t> </w:t>
      </w:r>
      <w:r>
        <w:rPr>
          <w:color w:val="231F20"/>
          <w:w w:val="105"/>
        </w:rPr>
        <w:t>se</w:t>
      </w:r>
      <w:r>
        <w:rPr>
          <w:color w:val="231F20"/>
          <w:spacing w:val="-8"/>
          <w:w w:val="105"/>
        </w:rPr>
        <w:t> </w:t>
      </w:r>
      <w:r>
        <w:rPr>
          <w:color w:val="231F20"/>
          <w:w w:val="105"/>
        </w:rPr>
        <w:t>presentan</w:t>
      </w:r>
      <w:r>
        <w:rPr>
          <w:color w:val="231F20"/>
          <w:spacing w:val="-8"/>
          <w:w w:val="105"/>
        </w:rPr>
        <w:t> </w:t>
      </w:r>
      <w:r>
        <w:rPr>
          <w:color w:val="231F20"/>
          <w:w w:val="105"/>
        </w:rPr>
        <w:t>las</w:t>
      </w:r>
      <w:r>
        <w:rPr>
          <w:color w:val="231F20"/>
          <w:spacing w:val="-8"/>
          <w:w w:val="105"/>
        </w:rPr>
        <w:t> </w:t>
      </w:r>
      <w:r>
        <w:rPr>
          <w:color w:val="231F20"/>
          <w:w w:val="105"/>
        </w:rPr>
        <w:t>normas</w:t>
      </w:r>
      <w:r>
        <w:rPr>
          <w:color w:val="231F20"/>
          <w:spacing w:val="-8"/>
          <w:w w:val="105"/>
        </w:rPr>
        <w:t> </w:t>
      </w:r>
      <w:r>
        <w:rPr>
          <w:color w:val="231F20"/>
          <w:w w:val="105"/>
        </w:rPr>
        <w:t>por</w:t>
      </w:r>
      <w:r>
        <w:rPr>
          <w:color w:val="231F20"/>
          <w:spacing w:val="-8"/>
          <w:w w:val="105"/>
        </w:rPr>
        <w:t> </w:t>
      </w:r>
      <w:r>
        <w:rPr>
          <w:color w:val="231F20"/>
          <w:w w:val="105"/>
        </w:rPr>
        <w:t>las que se integra </w:t>
      </w:r>
      <w:r>
        <w:rPr>
          <w:color w:val="231F20"/>
          <w:spacing w:val="2"/>
          <w:w w:val="105"/>
        </w:rPr>
        <w:t>al </w:t>
      </w:r>
      <w:r>
        <w:rPr>
          <w:color w:val="231F20"/>
          <w:w w:val="105"/>
        </w:rPr>
        <w:t>ayuntamiento huixquiluquense y la APM con la finalidad de ubicar a los actores principales y agentes </w:t>
      </w:r>
      <w:r>
        <w:rPr>
          <w:color w:val="231F20"/>
          <w:spacing w:val="2"/>
          <w:w w:val="105"/>
        </w:rPr>
        <w:t>al </w:t>
      </w:r>
      <w:r>
        <w:rPr>
          <w:color w:val="231F20"/>
          <w:w w:val="105"/>
        </w:rPr>
        <w:t>interior del </w:t>
      </w:r>
      <w:r>
        <w:rPr>
          <w:color w:val="231F20"/>
          <w:spacing w:val="-3"/>
          <w:w w:val="105"/>
        </w:rPr>
        <w:t>gobierno. </w:t>
      </w:r>
      <w:r>
        <w:rPr>
          <w:color w:val="231F20"/>
          <w:spacing w:val="3"/>
          <w:w w:val="105"/>
        </w:rPr>
        <w:t>Al </w:t>
      </w:r>
      <w:r>
        <w:rPr>
          <w:color w:val="231F20"/>
          <w:spacing w:val="2"/>
          <w:w w:val="105"/>
        </w:rPr>
        <w:t>final </w:t>
      </w:r>
      <w:r>
        <w:rPr>
          <w:color w:val="231F20"/>
          <w:w w:val="105"/>
        </w:rPr>
        <w:t>recupero los incenti- vos</w:t>
      </w:r>
      <w:r>
        <w:rPr>
          <w:color w:val="231F20"/>
          <w:spacing w:val="-7"/>
          <w:w w:val="105"/>
        </w:rPr>
        <w:t> </w:t>
      </w:r>
      <w:r>
        <w:rPr>
          <w:color w:val="231F20"/>
          <w:w w:val="105"/>
        </w:rPr>
        <w:t>generados</w:t>
      </w:r>
      <w:r>
        <w:rPr>
          <w:color w:val="231F20"/>
          <w:spacing w:val="-7"/>
          <w:w w:val="105"/>
        </w:rPr>
        <w:t> </w:t>
      </w:r>
      <w:r>
        <w:rPr>
          <w:color w:val="231F20"/>
          <w:w w:val="105"/>
        </w:rPr>
        <w:t>por</w:t>
      </w:r>
      <w:r>
        <w:rPr>
          <w:color w:val="231F20"/>
          <w:spacing w:val="-7"/>
          <w:w w:val="105"/>
        </w:rPr>
        <w:t> </w:t>
      </w:r>
      <w:r>
        <w:rPr>
          <w:color w:val="231F20"/>
          <w:w w:val="105"/>
        </w:rPr>
        <w:t>las</w:t>
      </w:r>
      <w:r>
        <w:rPr>
          <w:color w:val="231F20"/>
          <w:spacing w:val="-7"/>
          <w:w w:val="105"/>
        </w:rPr>
        <w:t> </w:t>
      </w:r>
      <w:r>
        <w:rPr>
          <w:color w:val="231F20"/>
          <w:w w:val="105"/>
        </w:rPr>
        <w:t>condiciones</w:t>
      </w:r>
      <w:r>
        <w:rPr>
          <w:color w:val="231F20"/>
          <w:spacing w:val="-7"/>
          <w:w w:val="105"/>
        </w:rPr>
        <w:t> </w:t>
      </w:r>
      <w:r>
        <w:rPr>
          <w:color w:val="231F20"/>
          <w:w w:val="105"/>
        </w:rPr>
        <w:t>institucionales</w:t>
      </w:r>
      <w:r>
        <w:rPr>
          <w:color w:val="231F20"/>
          <w:spacing w:val="-7"/>
          <w:w w:val="105"/>
        </w:rPr>
        <w:t> </w:t>
      </w:r>
      <w:r>
        <w:rPr>
          <w:color w:val="231F20"/>
          <w:w w:val="105"/>
        </w:rPr>
        <w:t>para</w:t>
      </w:r>
      <w:r>
        <w:rPr>
          <w:color w:val="231F20"/>
          <w:spacing w:val="-7"/>
          <w:w w:val="105"/>
        </w:rPr>
        <w:t> </w:t>
      </w:r>
      <w:r>
        <w:rPr>
          <w:color w:val="231F20"/>
          <w:spacing w:val="2"/>
          <w:w w:val="105"/>
        </w:rPr>
        <w:t>analizar</w:t>
      </w:r>
      <w:r>
        <w:rPr>
          <w:color w:val="231F20"/>
          <w:spacing w:val="-7"/>
          <w:w w:val="105"/>
        </w:rPr>
        <w:t> </w:t>
      </w:r>
      <w:r>
        <w:rPr>
          <w:color w:val="231F20"/>
          <w:w w:val="105"/>
        </w:rPr>
        <w:t>el</w:t>
      </w:r>
      <w:r>
        <w:rPr>
          <w:color w:val="231F20"/>
          <w:spacing w:val="-7"/>
          <w:w w:val="105"/>
        </w:rPr>
        <w:t> </w:t>
      </w:r>
      <w:r>
        <w:rPr>
          <w:color w:val="231F20"/>
          <w:w w:val="105"/>
        </w:rPr>
        <w:t>desempeño</w:t>
      </w:r>
      <w:r>
        <w:rPr>
          <w:color w:val="231F20"/>
          <w:spacing w:val="-7"/>
          <w:w w:val="105"/>
        </w:rPr>
        <w:t> </w:t>
      </w:r>
      <w:r>
        <w:rPr>
          <w:color w:val="231F20"/>
          <w:w w:val="105"/>
        </w:rPr>
        <w:t>de</w:t>
      </w:r>
      <w:r>
        <w:rPr>
          <w:color w:val="231F20"/>
          <w:spacing w:val="-7"/>
          <w:w w:val="105"/>
        </w:rPr>
        <w:t> </w:t>
      </w:r>
      <w:r>
        <w:rPr>
          <w:color w:val="231F20"/>
          <w:w w:val="105"/>
        </w:rPr>
        <w:t>dicho </w:t>
      </w:r>
      <w:r>
        <w:rPr>
          <w:color w:val="231F20"/>
          <w:spacing w:val="-2"/>
          <w:w w:val="105"/>
        </w:rPr>
        <w:t>gobierno:</w:t>
      </w:r>
      <w:r>
        <w:rPr>
          <w:color w:val="231F20"/>
          <w:spacing w:val="-4"/>
          <w:w w:val="105"/>
        </w:rPr>
        <w:t> </w:t>
      </w:r>
      <w:r>
        <w:rPr>
          <w:color w:val="231F20"/>
          <w:w w:val="105"/>
        </w:rPr>
        <w:t>la</w:t>
      </w:r>
      <w:r>
        <w:rPr>
          <w:color w:val="231F20"/>
          <w:spacing w:val="-4"/>
          <w:w w:val="105"/>
        </w:rPr>
        <w:t> </w:t>
      </w:r>
      <w:r>
        <w:rPr>
          <w:color w:val="231F20"/>
          <w:w w:val="105"/>
        </w:rPr>
        <w:t>estabilidad</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integrantes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administración</w:t>
      </w:r>
      <w:r>
        <w:rPr>
          <w:color w:val="231F20"/>
          <w:spacing w:val="-4"/>
          <w:w w:val="105"/>
        </w:rPr>
        <w:t> </w:t>
      </w:r>
      <w:r>
        <w:rPr>
          <w:color w:val="231F20"/>
          <w:w w:val="105"/>
        </w:rPr>
        <w:t>pública</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periodos 2003-2006</w:t>
      </w:r>
      <w:r>
        <w:rPr>
          <w:color w:val="231F20"/>
          <w:spacing w:val="-25"/>
          <w:w w:val="105"/>
        </w:rPr>
        <w:t> </w:t>
      </w:r>
      <w:r>
        <w:rPr>
          <w:color w:val="231F20"/>
          <w:w w:val="105"/>
        </w:rPr>
        <w:t>y</w:t>
      </w:r>
      <w:r>
        <w:rPr>
          <w:color w:val="231F20"/>
          <w:spacing w:val="-25"/>
          <w:w w:val="105"/>
        </w:rPr>
        <w:t> </w:t>
      </w:r>
      <w:r>
        <w:rPr>
          <w:color w:val="231F20"/>
          <w:w w:val="105"/>
        </w:rPr>
        <w:t>2006-2009;</w:t>
      </w:r>
      <w:r>
        <w:rPr>
          <w:color w:val="231F20"/>
          <w:spacing w:val="-25"/>
          <w:w w:val="105"/>
        </w:rPr>
        <w:t> </w:t>
      </w:r>
      <w:r>
        <w:rPr>
          <w:color w:val="231F20"/>
          <w:w w:val="105"/>
        </w:rPr>
        <w:t>los</w:t>
      </w:r>
      <w:r>
        <w:rPr>
          <w:color w:val="231F20"/>
          <w:spacing w:val="-25"/>
          <w:w w:val="105"/>
        </w:rPr>
        <w:t> </w:t>
      </w:r>
      <w:r>
        <w:rPr>
          <w:color w:val="231F20"/>
          <w:w w:val="105"/>
        </w:rPr>
        <w:t>criterios</w:t>
      </w:r>
      <w:r>
        <w:rPr>
          <w:color w:val="231F20"/>
          <w:spacing w:val="-25"/>
          <w:w w:val="105"/>
        </w:rPr>
        <w:t> </w:t>
      </w:r>
      <w:r>
        <w:rPr>
          <w:color w:val="231F20"/>
          <w:w w:val="105"/>
        </w:rPr>
        <w:t>del</w:t>
      </w:r>
      <w:r>
        <w:rPr>
          <w:color w:val="231F20"/>
          <w:spacing w:val="-25"/>
          <w:w w:val="105"/>
        </w:rPr>
        <w:t> </w:t>
      </w:r>
      <w:r>
        <w:rPr>
          <w:color w:val="231F20"/>
          <w:w w:val="105"/>
        </w:rPr>
        <w:t>estilo</w:t>
      </w:r>
      <w:r>
        <w:rPr>
          <w:color w:val="231F20"/>
          <w:spacing w:val="-25"/>
          <w:w w:val="105"/>
        </w:rPr>
        <w:t> </w:t>
      </w:r>
      <w:r>
        <w:rPr>
          <w:color w:val="231F20"/>
          <w:w w:val="105"/>
        </w:rPr>
        <w:t>personal</w:t>
      </w:r>
      <w:r>
        <w:rPr>
          <w:color w:val="231F20"/>
          <w:spacing w:val="-25"/>
          <w:w w:val="105"/>
        </w:rPr>
        <w:t> </w:t>
      </w:r>
      <w:r>
        <w:rPr>
          <w:color w:val="231F20"/>
          <w:w w:val="105"/>
        </w:rPr>
        <w:t>de</w:t>
      </w:r>
      <w:r>
        <w:rPr>
          <w:color w:val="231F20"/>
          <w:spacing w:val="-25"/>
          <w:w w:val="105"/>
        </w:rPr>
        <w:t> </w:t>
      </w:r>
      <w:r>
        <w:rPr>
          <w:color w:val="231F20"/>
          <w:w w:val="105"/>
        </w:rPr>
        <w:t>gobernar</w:t>
      </w:r>
      <w:r>
        <w:rPr>
          <w:color w:val="231F20"/>
          <w:spacing w:val="-25"/>
          <w:w w:val="105"/>
        </w:rPr>
        <w:t> </w:t>
      </w:r>
      <w:r>
        <w:rPr>
          <w:color w:val="231F20"/>
          <w:w w:val="105"/>
        </w:rPr>
        <w:t>del</w:t>
      </w:r>
      <w:r>
        <w:rPr>
          <w:color w:val="231F20"/>
          <w:spacing w:val="-25"/>
          <w:w w:val="105"/>
        </w:rPr>
        <w:t> </w:t>
      </w:r>
      <w:r>
        <w:rPr>
          <w:color w:val="231F20"/>
          <w:w w:val="105"/>
        </w:rPr>
        <w:t>alcalde</w:t>
      </w:r>
      <w:r>
        <w:rPr>
          <w:color w:val="231F20"/>
          <w:spacing w:val="-25"/>
          <w:w w:val="105"/>
        </w:rPr>
        <w:t> </w:t>
      </w:r>
      <w:r>
        <w:rPr>
          <w:color w:val="231F20"/>
          <w:w w:val="105"/>
        </w:rPr>
        <w:t>entre</w:t>
      </w:r>
      <w:r>
        <w:rPr>
          <w:color w:val="231F20"/>
          <w:spacing w:val="-25"/>
          <w:w w:val="105"/>
        </w:rPr>
        <w:t> </w:t>
      </w:r>
      <w:r>
        <w:rPr>
          <w:color w:val="231F20"/>
          <w:w w:val="105"/>
        </w:rPr>
        <w:t>los años</w:t>
      </w:r>
      <w:r>
        <w:rPr>
          <w:color w:val="231F20"/>
          <w:spacing w:val="-15"/>
          <w:w w:val="105"/>
        </w:rPr>
        <w:t> </w:t>
      </w:r>
      <w:r>
        <w:rPr>
          <w:color w:val="231F20"/>
          <w:spacing w:val="2"/>
          <w:w w:val="105"/>
        </w:rPr>
        <w:t>2006-2009</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w w:val="105"/>
        </w:rPr>
        <w:t>condiciones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rendición</w:t>
      </w:r>
      <w:r>
        <w:rPr>
          <w:color w:val="231F20"/>
          <w:spacing w:val="-15"/>
          <w:w w:val="105"/>
        </w:rPr>
        <w:t> </w:t>
      </w:r>
      <w:r>
        <w:rPr>
          <w:color w:val="231F20"/>
          <w:w w:val="105"/>
        </w:rPr>
        <w:t>de</w:t>
      </w:r>
      <w:r>
        <w:rPr>
          <w:color w:val="231F20"/>
          <w:spacing w:val="-15"/>
          <w:w w:val="105"/>
        </w:rPr>
        <w:t> </w:t>
      </w:r>
      <w:r>
        <w:rPr>
          <w:color w:val="231F20"/>
          <w:w w:val="105"/>
        </w:rPr>
        <w:t>cuentas</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último.</w:t>
      </w:r>
    </w:p>
    <w:p>
      <w:pPr>
        <w:pStyle w:val="BodyText"/>
        <w:spacing w:before="9"/>
      </w:pPr>
    </w:p>
    <w:p>
      <w:pPr>
        <w:pStyle w:val="Heading3"/>
        <w:numPr>
          <w:ilvl w:val="1"/>
          <w:numId w:val="2"/>
        </w:numPr>
        <w:tabs>
          <w:tab w:pos="625" w:val="left" w:leader="none"/>
        </w:tabs>
        <w:spacing w:line="240" w:lineRule="auto" w:before="0" w:after="0"/>
        <w:ind w:left="110" w:right="639" w:firstLine="0"/>
        <w:jc w:val="left"/>
      </w:pPr>
      <w:r>
        <w:rPr>
          <w:color w:val="231F20"/>
          <w:w w:val="105"/>
        </w:rPr>
        <w:t>Los</w:t>
      </w:r>
      <w:r>
        <w:rPr>
          <w:color w:val="231F20"/>
          <w:spacing w:val="-13"/>
          <w:w w:val="105"/>
        </w:rPr>
        <w:t> </w:t>
      </w:r>
      <w:r>
        <w:rPr>
          <w:color w:val="231F20"/>
          <w:w w:val="105"/>
        </w:rPr>
        <w:t>ingresos</w:t>
      </w:r>
      <w:r>
        <w:rPr>
          <w:color w:val="231F20"/>
          <w:spacing w:val="-13"/>
          <w:w w:val="105"/>
        </w:rPr>
        <w:t> </w:t>
      </w:r>
      <w:r>
        <w:rPr>
          <w:color w:val="231F20"/>
          <w:w w:val="105"/>
        </w:rPr>
        <w:t>de</w:t>
      </w:r>
      <w:r>
        <w:rPr>
          <w:color w:val="231F20"/>
          <w:spacing w:val="-13"/>
          <w:w w:val="105"/>
        </w:rPr>
        <w:t> </w:t>
      </w:r>
      <w:r>
        <w:rPr>
          <w:color w:val="231F20"/>
          <w:w w:val="105"/>
        </w:rPr>
        <w:t>Huixquilucan</w:t>
      </w:r>
      <w:r>
        <w:rPr>
          <w:color w:val="231F20"/>
          <w:spacing w:val="-13"/>
          <w:w w:val="105"/>
        </w:rPr>
        <w:t> </w:t>
      </w:r>
      <w:r>
        <w:rPr>
          <w:color w:val="231F20"/>
          <w:w w:val="105"/>
        </w:rPr>
        <w:t>durante</w:t>
      </w:r>
      <w:r>
        <w:rPr>
          <w:color w:val="231F20"/>
          <w:spacing w:val="-13"/>
          <w:w w:val="105"/>
        </w:rPr>
        <w:t> </w:t>
      </w:r>
      <w:r>
        <w:rPr>
          <w:color w:val="231F20"/>
          <w:w w:val="105"/>
        </w:rPr>
        <w:t>el</w:t>
      </w:r>
      <w:r>
        <w:rPr>
          <w:color w:val="231F20"/>
          <w:spacing w:val="-13"/>
          <w:w w:val="105"/>
        </w:rPr>
        <w:t> </w:t>
      </w:r>
      <w:r>
        <w:rPr>
          <w:color w:val="231F20"/>
          <w:w w:val="105"/>
        </w:rPr>
        <w:t>periodo</w:t>
      </w:r>
      <w:r>
        <w:rPr>
          <w:color w:val="231F20"/>
          <w:spacing w:val="-13"/>
          <w:w w:val="105"/>
        </w:rPr>
        <w:t> </w:t>
      </w:r>
      <w:r>
        <w:rPr>
          <w:color w:val="231F20"/>
          <w:spacing w:val="-3"/>
          <w:w w:val="105"/>
        </w:rPr>
        <w:t>2001-2008. </w:t>
      </w:r>
      <w:r>
        <w:rPr>
          <w:color w:val="231F20"/>
          <w:w w:val="105"/>
        </w:rPr>
        <w:t>Debilitamiento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autonomía</w:t>
      </w:r>
      <w:r>
        <w:rPr>
          <w:color w:val="231F20"/>
          <w:spacing w:val="-21"/>
          <w:w w:val="105"/>
        </w:rPr>
        <w:t> </w:t>
      </w:r>
      <w:r>
        <w:rPr>
          <w:color w:val="231F20"/>
          <w:w w:val="105"/>
        </w:rPr>
        <w:t>ftnanciera</w:t>
      </w:r>
    </w:p>
    <w:p>
      <w:pPr>
        <w:pStyle w:val="BodyText"/>
        <w:spacing w:line="285" w:lineRule="auto" w:before="38"/>
        <w:ind w:left="110" w:right="107"/>
        <w:jc w:val="both"/>
      </w:pPr>
      <w:r>
        <w:rPr>
          <w:color w:val="231F20"/>
          <w:w w:val="105"/>
        </w:rPr>
        <w:t>El comportamiento de los ingresos y egresos registrados durante los años de 2001 y 2008</w:t>
      </w:r>
      <w:r>
        <w:rPr>
          <w:color w:val="231F20"/>
          <w:w w:val="105"/>
          <w:position w:val="7"/>
          <w:sz w:val="13"/>
        </w:rPr>
        <w:t>12 </w:t>
      </w:r>
      <w:r>
        <w:rPr>
          <w:color w:val="231F20"/>
          <w:w w:val="105"/>
        </w:rPr>
        <w:t>ha sido muy semejante entre ambos, lo que podría ser consecuencia de la pla- nificación de los presupuestos que se realiza en función de los proyectos y políticas </w:t>
      </w:r>
      <w:r>
        <w:rPr>
          <w:color w:val="231F20"/>
        </w:rPr>
        <w:t>previamente  agendados.</w:t>
      </w:r>
    </w:p>
    <w:p>
      <w:pPr>
        <w:pStyle w:val="BodyText"/>
        <w:spacing w:before="1"/>
        <w:rPr>
          <w:sz w:val="26"/>
        </w:rPr>
      </w:pPr>
    </w:p>
    <w:p>
      <w:pPr>
        <w:pStyle w:val="BodyText"/>
        <w:spacing w:line="285" w:lineRule="auto"/>
        <w:ind w:left="110" w:right="108"/>
        <w:jc w:val="both"/>
      </w:pPr>
      <w:r>
        <w:rPr>
          <w:color w:val="231F20"/>
          <w:spacing w:val="-3"/>
          <w:w w:val="105"/>
        </w:rPr>
        <w:t>En</w:t>
      </w:r>
      <w:r>
        <w:rPr>
          <w:color w:val="231F20"/>
          <w:spacing w:val="-21"/>
          <w:w w:val="105"/>
        </w:rPr>
        <w:t> </w:t>
      </w:r>
      <w:r>
        <w:rPr>
          <w:color w:val="231F20"/>
          <w:spacing w:val="-5"/>
          <w:w w:val="105"/>
        </w:rPr>
        <w:t>dicho</w:t>
      </w:r>
      <w:r>
        <w:rPr>
          <w:color w:val="231F20"/>
          <w:spacing w:val="-21"/>
          <w:w w:val="105"/>
        </w:rPr>
        <w:t> </w:t>
      </w:r>
      <w:r>
        <w:rPr>
          <w:color w:val="231F20"/>
          <w:spacing w:val="-5"/>
          <w:w w:val="105"/>
        </w:rPr>
        <w:t>periodo</w:t>
      </w:r>
      <w:r>
        <w:rPr>
          <w:color w:val="231F20"/>
          <w:spacing w:val="-21"/>
          <w:w w:val="105"/>
        </w:rPr>
        <w:t> </w:t>
      </w:r>
      <w:r>
        <w:rPr>
          <w:color w:val="231F20"/>
          <w:w w:val="105"/>
        </w:rPr>
        <w:t>se</w:t>
      </w:r>
      <w:r>
        <w:rPr>
          <w:color w:val="231F20"/>
          <w:spacing w:val="-20"/>
          <w:w w:val="105"/>
        </w:rPr>
        <w:t> </w:t>
      </w:r>
      <w:r>
        <w:rPr>
          <w:color w:val="231F20"/>
          <w:spacing w:val="-5"/>
          <w:w w:val="105"/>
        </w:rPr>
        <w:t>observó</w:t>
      </w:r>
      <w:r>
        <w:rPr>
          <w:color w:val="231F20"/>
          <w:spacing w:val="-21"/>
          <w:w w:val="105"/>
        </w:rPr>
        <w:t> </w:t>
      </w:r>
      <w:r>
        <w:rPr>
          <w:color w:val="231F20"/>
          <w:w w:val="105"/>
        </w:rPr>
        <w:t>un</w:t>
      </w:r>
      <w:r>
        <w:rPr>
          <w:color w:val="231F20"/>
          <w:spacing w:val="-20"/>
          <w:w w:val="105"/>
        </w:rPr>
        <w:t> </w:t>
      </w:r>
      <w:r>
        <w:rPr>
          <w:color w:val="231F20"/>
          <w:w w:val="105"/>
        </w:rPr>
        <w:t>gran</w:t>
      </w:r>
      <w:r>
        <w:rPr>
          <w:color w:val="231F20"/>
          <w:spacing w:val="-21"/>
          <w:w w:val="105"/>
        </w:rPr>
        <w:t> </w:t>
      </w:r>
      <w:r>
        <w:rPr>
          <w:color w:val="231F20"/>
          <w:spacing w:val="-5"/>
          <w:w w:val="105"/>
        </w:rPr>
        <w:t>crecimiento</w:t>
      </w:r>
      <w:r>
        <w:rPr>
          <w:color w:val="231F20"/>
          <w:spacing w:val="-20"/>
          <w:w w:val="105"/>
        </w:rPr>
        <w:t> </w:t>
      </w:r>
      <w:r>
        <w:rPr>
          <w:color w:val="231F20"/>
          <w:spacing w:val="-4"/>
          <w:w w:val="105"/>
        </w:rPr>
        <w:t>de</w:t>
      </w:r>
      <w:r>
        <w:rPr>
          <w:color w:val="231F20"/>
          <w:spacing w:val="-21"/>
          <w:w w:val="105"/>
        </w:rPr>
        <w:t> </w:t>
      </w:r>
      <w:r>
        <w:rPr>
          <w:color w:val="231F20"/>
          <w:spacing w:val="-4"/>
          <w:w w:val="105"/>
        </w:rPr>
        <w:t>ambos</w:t>
      </w:r>
      <w:r>
        <w:rPr>
          <w:color w:val="231F20"/>
          <w:spacing w:val="-21"/>
          <w:w w:val="105"/>
        </w:rPr>
        <w:t> </w:t>
      </w:r>
      <w:r>
        <w:rPr>
          <w:color w:val="231F20"/>
          <w:spacing w:val="-6"/>
          <w:w w:val="105"/>
        </w:rPr>
        <w:t>indicadores;</w:t>
      </w:r>
      <w:r>
        <w:rPr>
          <w:color w:val="231F20"/>
          <w:spacing w:val="-21"/>
          <w:w w:val="105"/>
        </w:rPr>
        <w:t> </w:t>
      </w:r>
      <w:r>
        <w:rPr>
          <w:color w:val="231F20"/>
          <w:spacing w:val="-4"/>
          <w:w w:val="105"/>
        </w:rPr>
        <w:t>el</w:t>
      </w:r>
      <w:r>
        <w:rPr>
          <w:color w:val="231F20"/>
          <w:spacing w:val="-20"/>
          <w:w w:val="105"/>
        </w:rPr>
        <w:t> </w:t>
      </w:r>
      <w:r>
        <w:rPr>
          <w:color w:val="231F20"/>
          <w:spacing w:val="-6"/>
          <w:w w:val="105"/>
        </w:rPr>
        <w:t>aumento</w:t>
      </w:r>
      <w:r>
        <w:rPr>
          <w:color w:val="231F20"/>
          <w:spacing w:val="-20"/>
          <w:w w:val="105"/>
        </w:rPr>
        <w:t> </w:t>
      </w:r>
      <w:r>
        <w:rPr>
          <w:color w:val="231F20"/>
          <w:spacing w:val="-6"/>
          <w:w w:val="105"/>
        </w:rPr>
        <w:t>porcen- </w:t>
      </w:r>
      <w:r>
        <w:rPr>
          <w:color w:val="231F20"/>
          <w:w w:val="105"/>
        </w:rPr>
        <w:t>tual</w:t>
      </w:r>
      <w:r>
        <w:rPr>
          <w:color w:val="231F20"/>
          <w:spacing w:val="-33"/>
          <w:w w:val="105"/>
        </w:rPr>
        <w:t> </w:t>
      </w:r>
      <w:r>
        <w:rPr>
          <w:color w:val="231F20"/>
          <w:spacing w:val="-5"/>
          <w:w w:val="105"/>
        </w:rPr>
        <w:t>registrado</w:t>
      </w:r>
      <w:r>
        <w:rPr>
          <w:color w:val="231F20"/>
          <w:spacing w:val="-33"/>
          <w:w w:val="105"/>
        </w:rPr>
        <w:t> </w:t>
      </w:r>
      <w:r>
        <w:rPr>
          <w:color w:val="231F20"/>
          <w:w w:val="105"/>
        </w:rPr>
        <w:t>fue</w:t>
      </w:r>
      <w:r>
        <w:rPr>
          <w:color w:val="231F20"/>
          <w:spacing w:val="-33"/>
          <w:w w:val="105"/>
        </w:rPr>
        <w:t> </w:t>
      </w:r>
      <w:r>
        <w:rPr>
          <w:color w:val="231F20"/>
          <w:spacing w:val="-4"/>
          <w:w w:val="105"/>
        </w:rPr>
        <w:t>de</w:t>
      </w:r>
      <w:r>
        <w:rPr>
          <w:color w:val="231F20"/>
          <w:spacing w:val="-33"/>
          <w:w w:val="105"/>
        </w:rPr>
        <w:t> </w:t>
      </w:r>
      <w:r>
        <w:rPr>
          <w:color w:val="231F20"/>
          <w:spacing w:val="-5"/>
          <w:w w:val="105"/>
        </w:rPr>
        <w:t>160%,</w:t>
      </w:r>
      <w:r>
        <w:rPr>
          <w:color w:val="231F20"/>
          <w:spacing w:val="-33"/>
          <w:w w:val="105"/>
        </w:rPr>
        <w:t> </w:t>
      </w:r>
      <w:r>
        <w:rPr>
          <w:color w:val="231F20"/>
          <w:spacing w:val="-6"/>
          <w:w w:val="105"/>
        </w:rPr>
        <w:t>aproximadamente</w:t>
      </w:r>
      <w:r>
        <w:rPr>
          <w:color w:val="231F20"/>
          <w:spacing w:val="-33"/>
          <w:w w:val="105"/>
        </w:rPr>
        <w:t> </w:t>
      </w:r>
      <w:r>
        <w:rPr>
          <w:color w:val="231F20"/>
          <w:spacing w:val="-3"/>
          <w:w w:val="105"/>
        </w:rPr>
        <w:t>(gráfica</w:t>
      </w:r>
      <w:r>
        <w:rPr>
          <w:color w:val="231F20"/>
          <w:spacing w:val="-33"/>
          <w:w w:val="105"/>
        </w:rPr>
        <w:t> </w:t>
      </w:r>
      <w:r>
        <w:rPr>
          <w:color w:val="231F20"/>
          <w:spacing w:val="-10"/>
          <w:w w:val="105"/>
        </w:rPr>
        <w:t>1).</w:t>
      </w:r>
      <w:r>
        <w:rPr>
          <w:color w:val="231F20"/>
          <w:spacing w:val="-33"/>
          <w:w w:val="105"/>
        </w:rPr>
        <w:t> </w:t>
      </w:r>
      <w:r>
        <w:rPr>
          <w:color w:val="231F20"/>
          <w:spacing w:val="-5"/>
          <w:w w:val="105"/>
        </w:rPr>
        <w:t>Además</w:t>
      </w:r>
      <w:r>
        <w:rPr>
          <w:color w:val="231F20"/>
          <w:spacing w:val="-33"/>
          <w:w w:val="105"/>
        </w:rPr>
        <w:t> </w:t>
      </w:r>
      <w:r>
        <w:rPr>
          <w:color w:val="231F20"/>
          <w:spacing w:val="-5"/>
          <w:w w:val="105"/>
        </w:rPr>
        <w:t>sobresalió</w:t>
      </w:r>
      <w:r>
        <w:rPr>
          <w:color w:val="231F20"/>
          <w:spacing w:val="-33"/>
          <w:w w:val="105"/>
        </w:rPr>
        <w:t> </w:t>
      </w:r>
      <w:r>
        <w:rPr>
          <w:color w:val="231F20"/>
          <w:spacing w:val="-4"/>
          <w:w w:val="105"/>
        </w:rPr>
        <w:t>que</w:t>
      </w:r>
      <w:r>
        <w:rPr>
          <w:color w:val="231F20"/>
          <w:spacing w:val="-33"/>
          <w:w w:val="105"/>
        </w:rPr>
        <w:t> </w:t>
      </w:r>
      <w:r>
        <w:rPr>
          <w:color w:val="231F20"/>
          <w:spacing w:val="-3"/>
          <w:w w:val="105"/>
        </w:rPr>
        <w:t>para</w:t>
      </w:r>
      <w:r>
        <w:rPr>
          <w:color w:val="231F20"/>
          <w:spacing w:val="-33"/>
          <w:w w:val="105"/>
        </w:rPr>
        <w:t> </w:t>
      </w:r>
      <w:r>
        <w:rPr>
          <w:color w:val="231F20"/>
          <w:spacing w:val="-4"/>
          <w:w w:val="105"/>
        </w:rPr>
        <w:t>el</w:t>
      </w:r>
      <w:r>
        <w:rPr>
          <w:color w:val="231F20"/>
          <w:spacing w:val="-33"/>
          <w:w w:val="105"/>
        </w:rPr>
        <w:t> </w:t>
      </w:r>
      <w:r>
        <w:rPr>
          <w:color w:val="231F20"/>
          <w:spacing w:val="-3"/>
          <w:w w:val="105"/>
        </w:rPr>
        <w:t>año </w:t>
      </w:r>
      <w:r>
        <w:rPr>
          <w:color w:val="231F20"/>
          <w:w w:val="105"/>
        </w:rPr>
        <w:t>2005,</w:t>
      </w:r>
      <w:r>
        <w:rPr>
          <w:color w:val="231F20"/>
          <w:spacing w:val="-24"/>
          <w:w w:val="105"/>
        </w:rPr>
        <w:t> </w:t>
      </w:r>
      <w:r>
        <w:rPr>
          <w:color w:val="231F20"/>
          <w:spacing w:val="-5"/>
          <w:w w:val="105"/>
        </w:rPr>
        <w:t>los</w:t>
      </w:r>
      <w:r>
        <w:rPr>
          <w:color w:val="231F20"/>
          <w:spacing w:val="-24"/>
          <w:w w:val="105"/>
        </w:rPr>
        <w:t> </w:t>
      </w:r>
      <w:r>
        <w:rPr>
          <w:color w:val="231F20"/>
          <w:spacing w:val="-5"/>
          <w:w w:val="105"/>
        </w:rPr>
        <w:t>egresos</w:t>
      </w:r>
      <w:r>
        <w:rPr>
          <w:color w:val="231F20"/>
          <w:spacing w:val="-24"/>
          <w:w w:val="105"/>
        </w:rPr>
        <w:t> </w:t>
      </w:r>
      <w:r>
        <w:rPr>
          <w:color w:val="231F20"/>
          <w:spacing w:val="-6"/>
          <w:w w:val="105"/>
        </w:rPr>
        <w:t>superaron</w:t>
      </w:r>
      <w:r>
        <w:rPr>
          <w:color w:val="231F20"/>
          <w:spacing w:val="-24"/>
          <w:w w:val="105"/>
        </w:rPr>
        <w:t> </w:t>
      </w:r>
      <w:r>
        <w:rPr>
          <w:color w:val="231F20"/>
          <w:spacing w:val="-4"/>
          <w:w w:val="105"/>
        </w:rPr>
        <w:t>en</w:t>
      </w:r>
      <w:r>
        <w:rPr>
          <w:color w:val="231F20"/>
          <w:spacing w:val="-24"/>
          <w:w w:val="105"/>
        </w:rPr>
        <w:t> </w:t>
      </w:r>
      <w:r>
        <w:rPr>
          <w:color w:val="231F20"/>
          <w:spacing w:val="-2"/>
          <w:w w:val="105"/>
        </w:rPr>
        <w:t>20%</w:t>
      </w:r>
      <w:r>
        <w:rPr>
          <w:color w:val="231F20"/>
          <w:spacing w:val="-24"/>
          <w:w w:val="105"/>
        </w:rPr>
        <w:t> </w:t>
      </w:r>
      <w:r>
        <w:rPr>
          <w:color w:val="231F20"/>
          <w:w w:val="105"/>
        </w:rPr>
        <w:t>a</w:t>
      </w:r>
      <w:r>
        <w:rPr>
          <w:color w:val="231F20"/>
          <w:spacing w:val="-24"/>
          <w:w w:val="105"/>
        </w:rPr>
        <w:t> </w:t>
      </w:r>
      <w:r>
        <w:rPr>
          <w:color w:val="231F20"/>
          <w:spacing w:val="-5"/>
          <w:w w:val="105"/>
        </w:rPr>
        <w:t>los</w:t>
      </w:r>
      <w:r>
        <w:rPr>
          <w:color w:val="231F20"/>
          <w:spacing w:val="-24"/>
          <w:w w:val="105"/>
        </w:rPr>
        <w:t> </w:t>
      </w:r>
      <w:r>
        <w:rPr>
          <w:color w:val="231F20"/>
          <w:spacing w:val="-4"/>
          <w:w w:val="105"/>
        </w:rPr>
        <w:t>ingresos</w:t>
      </w:r>
      <w:r>
        <w:rPr>
          <w:color w:val="231F20"/>
          <w:spacing w:val="-24"/>
          <w:w w:val="105"/>
        </w:rPr>
        <w:t> </w:t>
      </w:r>
      <w:r>
        <w:rPr>
          <w:color w:val="231F20"/>
          <w:spacing w:val="-5"/>
          <w:w w:val="105"/>
        </w:rPr>
        <w:t>municipales</w:t>
      </w:r>
      <w:r>
        <w:rPr>
          <w:color w:val="231F20"/>
          <w:spacing w:val="-24"/>
          <w:w w:val="105"/>
        </w:rPr>
        <w:t> </w:t>
      </w:r>
      <w:r>
        <w:rPr>
          <w:color w:val="231F20"/>
          <w:spacing w:val="-6"/>
          <w:w w:val="105"/>
        </w:rPr>
        <w:t>recaudados</w:t>
      </w:r>
      <w:r>
        <w:rPr>
          <w:color w:val="231F20"/>
          <w:spacing w:val="-24"/>
          <w:w w:val="105"/>
        </w:rPr>
        <w:t> </w:t>
      </w:r>
      <w:r>
        <w:rPr>
          <w:color w:val="231F20"/>
          <w:spacing w:val="-3"/>
          <w:w w:val="105"/>
        </w:rPr>
        <w:t>para</w:t>
      </w:r>
      <w:r>
        <w:rPr>
          <w:color w:val="231F20"/>
          <w:spacing w:val="-24"/>
          <w:w w:val="105"/>
        </w:rPr>
        <w:t> </w:t>
      </w:r>
      <w:r>
        <w:rPr>
          <w:color w:val="231F20"/>
          <w:spacing w:val="-3"/>
          <w:w w:val="105"/>
        </w:rPr>
        <w:t>ese</w:t>
      </w:r>
      <w:r>
        <w:rPr>
          <w:color w:val="231F20"/>
          <w:spacing w:val="-24"/>
          <w:w w:val="105"/>
        </w:rPr>
        <w:t> </w:t>
      </w:r>
      <w:r>
        <w:rPr>
          <w:color w:val="231F20"/>
          <w:spacing w:val="-5"/>
          <w:w w:val="105"/>
        </w:rPr>
        <w:t>año.</w:t>
      </w:r>
    </w:p>
    <w:p>
      <w:pPr>
        <w:pStyle w:val="BodyText"/>
        <w:spacing w:before="7"/>
        <w:rPr>
          <w:sz w:val="13"/>
        </w:rPr>
      </w:pPr>
      <w:r>
        <w:rPr/>
        <w:pict>
          <v:line style="position:absolute;mso-position-horizontal-relative:page;mso-position-vertical-relative:paragraph;z-index:2104;mso-wrap-distance-left:0;mso-wrap-distance-right:0" from="42.519699pt,10.292895pt" to="114.519699pt,10.292895pt" stroked="true" strokeweight="1pt" strokecolor="#231f20">
            <w10:wrap type="topAndBottom"/>
          </v:line>
        </w:pict>
      </w:r>
    </w:p>
    <w:p>
      <w:pPr>
        <w:pStyle w:val="ListParagraph"/>
        <w:numPr>
          <w:ilvl w:val="0"/>
          <w:numId w:val="3"/>
        </w:numPr>
        <w:tabs>
          <w:tab w:pos="292" w:val="left" w:leader="none"/>
        </w:tabs>
        <w:spacing w:line="244" w:lineRule="auto" w:before="8" w:after="0"/>
        <w:ind w:left="110" w:right="108" w:firstLine="0"/>
        <w:jc w:val="both"/>
        <w:rPr>
          <w:sz w:val="16"/>
        </w:rPr>
      </w:pPr>
      <w:r>
        <w:rPr>
          <w:color w:val="231F20"/>
          <w:sz w:val="16"/>
        </w:rPr>
        <w:t>Los</w:t>
      </w:r>
      <w:r>
        <w:rPr>
          <w:color w:val="231F20"/>
          <w:spacing w:val="-5"/>
          <w:sz w:val="16"/>
        </w:rPr>
        <w:t> </w:t>
      </w:r>
      <w:r>
        <w:rPr>
          <w:color w:val="231F20"/>
          <w:sz w:val="16"/>
        </w:rPr>
        <w:t>datos</w:t>
      </w:r>
      <w:r>
        <w:rPr>
          <w:color w:val="231F20"/>
          <w:spacing w:val="-5"/>
          <w:sz w:val="16"/>
        </w:rPr>
        <w:t> </w:t>
      </w:r>
      <w:r>
        <w:rPr>
          <w:color w:val="231F20"/>
          <w:sz w:val="16"/>
        </w:rPr>
        <w:t>analizados</w:t>
      </w:r>
      <w:r>
        <w:rPr>
          <w:color w:val="231F20"/>
          <w:spacing w:val="-5"/>
          <w:sz w:val="16"/>
        </w:rPr>
        <w:t> </w:t>
      </w:r>
      <w:r>
        <w:rPr>
          <w:color w:val="231F20"/>
          <w:sz w:val="16"/>
        </w:rPr>
        <w:t>responden</w:t>
      </w:r>
      <w:r>
        <w:rPr>
          <w:color w:val="231F20"/>
          <w:spacing w:val="-5"/>
          <w:sz w:val="16"/>
        </w:rPr>
        <w:t> </w:t>
      </w:r>
      <w:r>
        <w:rPr>
          <w:color w:val="231F20"/>
          <w:sz w:val="16"/>
        </w:rPr>
        <w:t>a</w:t>
      </w:r>
      <w:r>
        <w:rPr>
          <w:color w:val="231F20"/>
          <w:spacing w:val="-5"/>
          <w:sz w:val="16"/>
        </w:rPr>
        <w:t> </w:t>
      </w:r>
      <w:r>
        <w:rPr>
          <w:color w:val="231F20"/>
          <w:sz w:val="16"/>
        </w:rPr>
        <w:t>dos</w:t>
      </w:r>
      <w:r>
        <w:rPr>
          <w:color w:val="231F20"/>
          <w:spacing w:val="-5"/>
          <w:sz w:val="16"/>
        </w:rPr>
        <w:t> </w:t>
      </w:r>
      <w:r>
        <w:rPr>
          <w:color w:val="231F20"/>
          <w:sz w:val="16"/>
        </w:rPr>
        <w:t>razones</w:t>
      </w:r>
      <w:r>
        <w:rPr>
          <w:color w:val="231F20"/>
          <w:spacing w:val="-5"/>
          <w:sz w:val="16"/>
        </w:rPr>
        <w:t> </w:t>
      </w:r>
      <w:r>
        <w:rPr>
          <w:color w:val="231F20"/>
          <w:sz w:val="16"/>
        </w:rPr>
        <w:t>principales:</w:t>
      </w:r>
      <w:r>
        <w:rPr>
          <w:color w:val="231F20"/>
          <w:spacing w:val="-5"/>
          <w:sz w:val="16"/>
        </w:rPr>
        <w:t> </w:t>
      </w:r>
      <w:r>
        <w:rPr>
          <w:color w:val="231F20"/>
          <w:sz w:val="16"/>
        </w:rPr>
        <w:t>por</w:t>
      </w:r>
      <w:r>
        <w:rPr>
          <w:color w:val="231F20"/>
          <w:spacing w:val="-5"/>
          <w:sz w:val="16"/>
        </w:rPr>
        <w:t> </w:t>
      </w:r>
      <w:r>
        <w:rPr>
          <w:color w:val="231F20"/>
          <w:sz w:val="16"/>
        </w:rPr>
        <w:t>un</w:t>
      </w:r>
      <w:r>
        <w:rPr>
          <w:color w:val="231F20"/>
          <w:spacing w:val="-5"/>
          <w:sz w:val="16"/>
        </w:rPr>
        <w:t> </w:t>
      </w:r>
      <w:r>
        <w:rPr>
          <w:color w:val="231F20"/>
          <w:sz w:val="16"/>
        </w:rPr>
        <w:t>lado</w:t>
      </w:r>
      <w:r>
        <w:rPr>
          <w:color w:val="231F20"/>
          <w:spacing w:val="-5"/>
          <w:sz w:val="16"/>
        </w:rPr>
        <w:t> </w:t>
      </w:r>
      <w:r>
        <w:rPr>
          <w:color w:val="231F20"/>
          <w:sz w:val="16"/>
        </w:rPr>
        <w:t>depende</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disponibilidad</w:t>
      </w:r>
      <w:r>
        <w:rPr>
          <w:color w:val="231F20"/>
          <w:spacing w:val="-5"/>
          <w:sz w:val="16"/>
        </w:rPr>
        <w:t> </w:t>
      </w:r>
      <w:r>
        <w:rPr>
          <w:color w:val="231F20"/>
          <w:sz w:val="16"/>
        </w:rPr>
        <w:t>de</w:t>
      </w:r>
      <w:r>
        <w:rPr>
          <w:color w:val="231F20"/>
          <w:spacing w:val="-5"/>
          <w:sz w:val="16"/>
        </w:rPr>
        <w:t> </w:t>
      </w:r>
      <w:r>
        <w:rPr>
          <w:color w:val="231F20"/>
          <w:sz w:val="16"/>
        </w:rPr>
        <w:t>los</w:t>
      </w:r>
      <w:r>
        <w:rPr>
          <w:color w:val="231F20"/>
          <w:spacing w:val="-5"/>
          <w:sz w:val="16"/>
        </w:rPr>
        <w:t> </w:t>
      </w:r>
      <w:r>
        <w:rPr>
          <w:color w:val="231F20"/>
          <w:sz w:val="16"/>
        </w:rPr>
        <w:t>datos</w:t>
      </w:r>
      <w:r>
        <w:rPr>
          <w:color w:val="231F20"/>
          <w:spacing w:val="-5"/>
          <w:sz w:val="16"/>
        </w:rPr>
        <w:t> </w:t>
      </w:r>
      <w:r>
        <w:rPr>
          <w:color w:val="231F20"/>
          <w:sz w:val="16"/>
        </w:rPr>
        <w:t>obteni- dos</w:t>
      </w:r>
      <w:r>
        <w:rPr>
          <w:color w:val="231F20"/>
          <w:spacing w:val="-5"/>
          <w:sz w:val="16"/>
        </w:rPr>
        <w:t> </w:t>
      </w:r>
      <w:r>
        <w:rPr>
          <w:color w:val="231F20"/>
          <w:sz w:val="16"/>
        </w:rPr>
        <w:t>tras</w:t>
      </w:r>
      <w:r>
        <w:rPr>
          <w:color w:val="231F20"/>
          <w:spacing w:val="-5"/>
          <w:sz w:val="16"/>
        </w:rPr>
        <w:t> </w:t>
      </w:r>
      <w:r>
        <w:rPr>
          <w:color w:val="231F20"/>
          <w:sz w:val="16"/>
        </w:rPr>
        <w:t>visitar</w:t>
      </w:r>
      <w:r>
        <w:rPr>
          <w:color w:val="231F20"/>
          <w:spacing w:val="-5"/>
          <w:sz w:val="16"/>
        </w:rPr>
        <w:t> </w:t>
      </w:r>
      <w:r>
        <w:rPr>
          <w:color w:val="231F20"/>
          <w:sz w:val="16"/>
        </w:rPr>
        <w:t>a</w:t>
      </w:r>
      <w:r>
        <w:rPr>
          <w:color w:val="231F20"/>
          <w:spacing w:val="-5"/>
          <w:sz w:val="16"/>
        </w:rPr>
        <w:t> </w:t>
      </w:r>
      <w:r>
        <w:rPr>
          <w:color w:val="231F20"/>
          <w:sz w:val="16"/>
        </w:rPr>
        <w:t>la</w:t>
      </w:r>
      <w:r>
        <w:rPr>
          <w:color w:val="231F20"/>
          <w:spacing w:val="-5"/>
          <w:sz w:val="16"/>
        </w:rPr>
        <w:t> </w:t>
      </w:r>
      <w:r>
        <w:rPr>
          <w:color w:val="231F20"/>
          <w:sz w:val="16"/>
        </w:rPr>
        <w:t>Secretaría</w:t>
      </w:r>
      <w:r>
        <w:rPr>
          <w:color w:val="231F20"/>
          <w:spacing w:val="-5"/>
          <w:sz w:val="16"/>
        </w:rPr>
        <w:t> </w:t>
      </w:r>
      <w:r>
        <w:rPr>
          <w:color w:val="231F20"/>
          <w:sz w:val="16"/>
        </w:rPr>
        <w:t>del</w:t>
      </w:r>
      <w:r>
        <w:rPr>
          <w:color w:val="231F20"/>
          <w:spacing w:val="-5"/>
          <w:sz w:val="16"/>
        </w:rPr>
        <w:t> </w:t>
      </w:r>
      <w:r>
        <w:rPr>
          <w:color w:val="231F20"/>
          <w:sz w:val="16"/>
        </w:rPr>
        <w:t>Ayuntamiento</w:t>
      </w:r>
      <w:r>
        <w:rPr>
          <w:color w:val="231F20"/>
          <w:spacing w:val="-5"/>
          <w:sz w:val="16"/>
        </w:rPr>
        <w:t> </w:t>
      </w:r>
      <w:r>
        <w:rPr>
          <w:color w:val="231F20"/>
          <w:sz w:val="16"/>
        </w:rPr>
        <w:t>y</w:t>
      </w:r>
      <w:r>
        <w:rPr>
          <w:color w:val="231F20"/>
          <w:spacing w:val="-5"/>
          <w:sz w:val="16"/>
        </w:rPr>
        <w:t> </w:t>
      </w:r>
      <w:r>
        <w:rPr>
          <w:color w:val="231F20"/>
          <w:sz w:val="16"/>
        </w:rPr>
        <w:t>a</w:t>
      </w:r>
      <w:r>
        <w:rPr>
          <w:color w:val="231F20"/>
          <w:spacing w:val="-5"/>
          <w:sz w:val="16"/>
        </w:rPr>
        <w:t> </w:t>
      </w:r>
      <w:r>
        <w:rPr>
          <w:color w:val="231F20"/>
          <w:sz w:val="16"/>
        </w:rPr>
        <w:t>la</w:t>
      </w:r>
      <w:r>
        <w:rPr>
          <w:color w:val="231F20"/>
          <w:spacing w:val="-5"/>
          <w:sz w:val="16"/>
        </w:rPr>
        <w:t> </w:t>
      </w:r>
      <w:r>
        <w:rPr>
          <w:color w:val="231F20"/>
          <w:sz w:val="16"/>
        </w:rPr>
        <w:t>Unidad</w:t>
      </w:r>
      <w:r>
        <w:rPr>
          <w:color w:val="231F20"/>
          <w:spacing w:val="-5"/>
          <w:sz w:val="16"/>
        </w:rPr>
        <w:t> </w:t>
      </w:r>
      <w:r>
        <w:rPr>
          <w:color w:val="231F20"/>
          <w:sz w:val="16"/>
        </w:rPr>
        <w:t>de</w:t>
      </w:r>
      <w:r>
        <w:rPr>
          <w:color w:val="231F20"/>
          <w:spacing w:val="-5"/>
          <w:sz w:val="16"/>
        </w:rPr>
        <w:t> </w:t>
      </w:r>
      <w:r>
        <w:rPr>
          <w:color w:val="231F20"/>
          <w:sz w:val="16"/>
        </w:rPr>
        <w:t>Información</w:t>
      </w:r>
      <w:r>
        <w:rPr>
          <w:color w:val="231F20"/>
          <w:spacing w:val="-5"/>
          <w:sz w:val="16"/>
        </w:rPr>
        <w:t> </w:t>
      </w:r>
      <w:r>
        <w:rPr>
          <w:color w:val="231F20"/>
          <w:sz w:val="16"/>
        </w:rPr>
        <w:t>y</w:t>
      </w:r>
      <w:r>
        <w:rPr>
          <w:color w:val="231F20"/>
          <w:spacing w:val="-5"/>
          <w:sz w:val="16"/>
        </w:rPr>
        <w:t> </w:t>
      </w:r>
      <w:r>
        <w:rPr>
          <w:color w:val="231F20"/>
          <w:sz w:val="16"/>
        </w:rPr>
        <w:t>Módulo</w:t>
      </w:r>
      <w:r>
        <w:rPr>
          <w:color w:val="231F20"/>
          <w:spacing w:val="-5"/>
          <w:sz w:val="16"/>
        </w:rPr>
        <w:t> </w:t>
      </w:r>
      <w:r>
        <w:rPr>
          <w:color w:val="231F20"/>
          <w:sz w:val="16"/>
        </w:rPr>
        <w:t>de</w:t>
      </w:r>
      <w:r>
        <w:rPr>
          <w:color w:val="231F20"/>
          <w:spacing w:val="-5"/>
          <w:sz w:val="16"/>
        </w:rPr>
        <w:t> </w:t>
      </w:r>
      <w:r>
        <w:rPr>
          <w:color w:val="231F20"/>
          <w:sz w:val="16"/>
        </w:rPr>
        <w:t>Acceso</w:t>
      </w:r>
      <w:r>
        <w:rPr>
          <w:color w:val="231F20"/>
          <w:spacing w:val="-5"/>
          <w:sz w:val="16"/>
        </w:rPr>
        <w:t> </w:t>
      </w:r>
      <w:r>
        <w:rPr>
          <w:color w:val="231F20"/>
          <w:sz w:val="16"/>
        </w:rPr>
        <w:t>de</w:t>
      </w:r>
      <w:r>
        <w:rPr>
          <w:color w:val="231F20"/>
          <w:spacing w:val="-5"/>
          <w:sz w:val="16"/>
        </w:rPr>
        <w:t> </w:t>
      </w:r>
      <w:r>
        <w:rPr>
          <w:color w:val="231F20"/>
          <w:sz w:val="16"/>
        </w:rPr>
        <w:t>Huixquilucan</w:t>
      </w:r>
      <w:r>
        <w:rPr>
          <w:color w:val="231F20"/>
          <w:spacing w:val="-5"/>
          <w:sz w:val="16"/>
        </w:rPr>
        <w:t> </w:t>
      </w:r>
      <w:r>
        <w:rPr>
          <w:color w:val="231F20"/>
          <w:sz w:val="16"/>
        </w:rPr>
        <w:t>a</w:t>
      </w:r>
      <w:r>
        <w:rPr>
          <w:color w:val="231F20"/>
          <w:spacing w:val="-5"/>
          <w:sz w:val="16"/>
        </w:rPr>
        <w:t> </w:t>
      </w:r>
      <w:r>
        <w:rPr>
          <w:color w:val="231F20"/>
          <w:sz w:val="16"/>
        </w:rPr>
        <w:t>finales del año 2008. La segunda razón estriba en que este periodo pude comparar de manera estadística el comportamiento de las finanzas de dos administraciones consecutivas postuladas por el mismo partido político (aquellas durante el periodo 2003-2006,</w:t>
      </w:r>
      <w:r>
        <w:rPr>
          <w:color w:val="231F20"/>
          <w:spacing w:val="-8"/>
          <w:sz w:val="16"/>
        </w:rPr>
        <w:t> </w:t>
      </w:r>
      <w:r>
        <w:rPr>
          <w:color w:val="231F20"/>
          <w:sz w:val="16"/>
        </w:rPr>
        <w:t>y</w:t>
      </w:r>
      <w:r>
        <w:rPr>
          <w:color w:val="231F20"/>
          <w:spacing w:val="-8"/>
          <w:sz w:val="16"/>
        </w:rPr>
        <w:t> </w:t>
      </w:r>
      <w:r>
        <w:rPr>
          <w:color w:val="231F20"/>
          <w:sz w:val="16"/>
        </w:rPr>
        <w:t>2006-2009)</w:t>
      </w:r>
      <w:r>
        <w:rPr>
          <w:color w:val="231F20"/>
          <w:spacing w:val="-8"/>
          <w:sz w:val="16"/>
        </w:rPr>
        <w:t> </w:t>
      </w:r>
      <w:r>
        <w:rPr>
          <w:color w:val="231F20"/>
          <w:sz w:val="16"/>
        </w:rPr>
        <w:t>así</w:t>
      </w:r>
      <w:r>
        <w:rPr>
          <w:color w:val="231F20"/>
          <w:spacing w:val="-8"/>
          <w:sz w:val="16"/>
        </w:rPr>
        <w:t> </w:t>
      </w:r>
      <w:r>
        <w:rPr>
          <w:color w:val="231F20"/>
          <w:sz w:val="16"/>
        </w:rPr>
        <w:t>como</w:t>
      </w:r>
      <w:r>
        <w:rPr>
          <w:color w:val="231F20"/>
          <w:spacing w:val="-8"/>
          <w:sz w:val="16"/>
        </w:rPr>
        <w:t> </w:t>
      </w:r>
      <w:r>
        <w:rPr>
          <w:color w:val="231F20"/>
          <w:sz w:val="16"/>
        </w:rPr>
        <w:t>con</w:t>
      </w:r>
      <w:r>
        <w:rPr>
          <w:color w:val="231F20"/>
          <w:spacing w:val="-8"/>
          <w:sz w:val="16"/>
        </w:rPr>
        <w:t> </w:t>
      </w:r>
      <w:r>
        <w:rPr>
          <w:color w:val="231F20"/>
          <w:sz w:val="16"/>
        </w:rPr>
        <w:t>aquella</w:t>
      </w:r>
      <w:r>
        <w:rPr>
          <w:color w:val="231F20"/>
          <w:spacing w:val="-8"/>
          <w:sz w:val="16"/>
        </w:rPr>
        <w:t> </w:t>
      </w:r>
      <w:r>
        <w:rPr>
          <w:color w:val="231F20"/>
          <w:sz w:val="16"/>
        </w:rPr>
        <w:t>única</w:t>
      </w:r>
      <w:r>
        <w:rPr>
          <w:color w:val="231F20"/>
          <w:spacing w:val="-8"/>
          <w:sz w:val="16"/>
        </w:rPr>
        <w:t> </w:t>
      </w:r>
      <w:r>
        <w:rPr>
          <w:color w:val="231F20"/>
          <w:sz w:val="16"/>
        </w:rPr>
        <w:t>gestión</w:t>
      </w:r>
      <w:r>
        <w:rPr>
          <w:color w:val="231F20"/>
          <w:spacing w:val="-8"/>
          <w:sz w:val="16"/>
        </w:rPr>
        <w:t> </w:t>
      </w:r>
      <w:r>
        <w:rPr>
          <w:color w:val="231F20"/>
          <w:sz w:val="16"/>
        </w:rPr>
        <w:t>en</w:t>
      </w:r>
      <w:r>
        <w:rPr>
          <w:color w:val="231F20"/>
          <w:spacing w:val="-8"/>
          <w:sz w:val="16"/>
        </w:rPr>
        <w:t> </w:t>
      </w:r>
      <w:r>
        <w:rPr>
          <w:color w:val="231F20"/>
          <w:sz w:val="16"/>
        </w:rPr>
        <w:t>donde</w:t>
      </w:r>
      <w:r>
        <w:rPr>
          <w:color w:val="231F20"/>
          <w:spacing w:val="-8"/>
          <w:sz w:val="16"/>
        </w:rPr>
        <w:t> </w:t>
      </w:r>
      <w:r>
        <w:rPr>
          <w:color w:val="231F20"/>
          <w:sz w:val="16"/>
        </w:rPr>
        <w:t>se</w:t>
      </w:r>
      <w:r>
        <w:rPr>
          <w:color w:val="231F20"/>
          <w:spacing w:val="-8"/>
          <w:sz w:val="16"/>
        </w:rPr>
        <w:t> </w:t>
      </w:r>
      <w:r>
        <w:rPr>
          <w:color w:val="231F20"/>
          <w:sz w:val="16"/>
        </w:rPr>
        <w:t>alternó</w:t>
      </w:r>
      <w:r>
        <w:rPr>
          <w:color w:val="231F20"/>
          <w:spacing w:val="-8"/>
          <w:sz w:val="16"/>
        </w:rPr>
        <w:t> </w:t>
      </w:r>
      <w:r>
        <w:rPr>
          <w:color w:val="231F20"/>
          <w:sz w:val="16"/>
        </w:rPr>
        <w:t>al</w:t>
      </w:r>
      <w:r>
        <w:rPr>
          <w:color w:val="231F20"/>
          <w:spacing w:val="-8"/>
          <w:sz w:val="16"/>
        </w:rPr>
        <w:t> </w:t>
      </w:r>
      <w:r>
        <w:rPr>
          <w:color w:val="231F20"/>
          <w:sz w:val="16"/>
        </w:rPr>
        <w:t>gobierno</w:t>
      </w:r>
      <w:r>
        <w:rPr>
          <w:color w:val="231F20"/>
          <w:spacing w:val="-8"/>
          <w:sz w:val="16"/>
        </w:rPr>
        <w:t> </w:t>
      </w:r>
      <w:r>
        <w:rPr>
          <w:color w:val="231F20"/>
          <w:sz w:val="16"/>
        </w:rPr>
        <w:t>con</w:t>
      </w:r>
      <w:r>
        <w:rPr>
          <w:color w:val="231F20"/>
          <w:spacing w:val="-8"/>
          <w:sz w:val="16"/>
        </w:rPr>
        <w:t> </w:t>
      </w:r>
      <w:r>
        <w:rPr>
          <w:color w:val="231F20"/>
          <w:sz w:val="16"/>
        </w:rPr>
        <w:t>el</w:t>
      </w:r>
      <w:r>
        <w:rPr>
          <w:color w:val="231F20"/>
          <w:spacing w:val="-8"/>
          <w:sz w:val="16"/>
        </w:rPr>
        <w:t> </w:t>
      </w:r>
      <w:r>
        <w:rPr>
          <w:color w:val="231F20"/>
          <w:sz w:val="16"/>
        </w:rPr>
        <w:t>Partido</w:t>
      </w:r>
      <w:r>
        <w:rPr>
          <w:color w:val="231F20"/>
          <w:spacing w:val="-8"/>
          <w:sz w:val="16"/>
        </w:rPr>
        <w:t> </w:t>
      </w:r>
      <w:r>
        <w:rPr>
          <w:color w:val="231F20"/>
          <w:sz w:val="16"/>
        </w:rPr>
        <w:t>Acción</w:t>
      </w:r>
      <w:r>
        <w:rPr>
          <w:color w:val="231F20"/>
          <w:spacing w:val="-8"/>
          <w:sz w:val="16"/>
        </w:rPr>
        <w:t> </w:t>
      </w:r>
      <w:r>
        <w:rPr>
          <w:color w:val="231F20"/>
          <w:sz w:val="16"/>
        </w:rPr>
        <w:t>Nacional (PAN)</w:t>
      </w:r>
      <w:r>
        <w:rPr>
          <w:color w:val="231F20"/>
          <w:spacing w:val="-24"/>
          <w:sz w:val="16"/>
        </w:rPr>
        <w:t> </w:t>
      </w:r>
      <w:r>
        <w:rPr>
          <w:color w:val="231F20"/>
          <w:sz w:val="16"/>
        </w:rPr>
        <w:t>entre</w:t>
      </w:r>
      <w:r>
        <w:rPr>
          <w:color w:val="231F20"/>
          <w:spacing w:val="-24"/>
          <w:sz w:val="16"/>
        </w:rPr>
        <w:t> </w:t>
      </w:r>
      <w:r>
        <w:rPr>
          <w:color w:val="231F20"/>
          <w:sz w:val="16"/>
        </w:rPr>
        <w:t>el</w:t>
      </w:r>
      <w:r>
        <w:rPr>
          <w:color w:val="231F20"/>
          <w:spacing w:val="-24"/>
          <w:sz w:val="16"/>
        </w:rPr>
        <w:t> </w:t>
      </w:r>
      <w:r>
        <w:rPr>
          <w:color w:val="231F20"/>
          <w:sz w:val="16"/>
        </w:rPr>
        <w:t>año</w:t>
      </w:r>
      <w:r>
        <w:rPr>
          <w:color w:val="231F20"/>
          <w:spacing w:val="-24"/>
          <w:sz w:val="16"/>
        </w:rPr>
        <w:t> </w:t>
      </w:r>
      <w:r>
        <w:rPr>
          <w:color w:val="231F20"/>
          <w:sz w:val="16"/>
        </w:rPr>
        <w:t>2000-2003.</w:t>
      </w:r>
    </w:p>
    <w:p>
      <w:pPr>
        <w:spacing w:after="0" w:line="244" w:lineRule="auto"/>
        <w:jc w:val="both"/>
        <w:rPr>
          <w:sz w:val="16"/>
        </w:rPr>
        <w:sectPr>
          <w:pgSz w:w="9640" w:h="12190"/>
          <w:pgMar w:header="0" w:footer="743" w:top="1120" w:bottom="940" w:left="740" w:right="740"/>
        </w:sectPr>
      </w:pPr>
    </w:p>
    <w:p>
      <w:pPr>
        <w:pStyle w:val="BodyText"/>
        <w:spacing w:before="9"/>
        <w:rPr>
          <w:rFonts w:ascii="Calibri"/>
          <w:sz w:val="10"/>
        </w:rPr>
      </w:pPr>
    </w:p>
    <w:p>
      <w:pPr>
        <w:pStyle w:val="Heading5"/>
        <w:spacing w:line="285" w:lineRule="auto" w:before="34"/>
        <w:ind w:left="1042" w:right="1040"/>
        <w:jc w:val="center"/>
      </w:pPr>
      <w:r>
        <w:rPr/>
        <w:pict>
          <v:group style="position:absolute;margin-left:115.465897pt;margin-top:63.751324pt;width:248.5pt;height:94.3pt;mso-position-horizontal-relative:page;mso-position-vertical-relative:paragraph;z-index:2440" coordorigin="2309,1275" coordsize="4970,1886">
            <v:rect style="position:absolute;left:2378;top:1285;width:4891;height:1836" filled="true" fillcolor="#bcbec0" stroked="false">
              <v:fill type="solid"/>
            </v:rect>
            <v:rect style="position:absolute;left:2378;top:1285;width:4891;height:1836" filled="false" stroked="true" strokeweight="1.0pt" strokecolor="#231f20"/>
            <v:shape style="position:absolute;left:0;top:10928;width:4955;height:1871" coordorigin="0,10928" coordsize="4955,1871" path="m2314,1285l7269,1285m2314,1516l7269,1516m2314,1756l7269,1756m2314,1982l7269,1982m2314,2198l7269,2198m2314,2434l7269,2434m2314,2660l7269,2660m2314,2891l7269,2891m2314,3121l7269,3121m2997,3156l2997,3121m3601,3156l3601,3121m4215,3156l4215,3121m4830,3156l4830,3121m5434,3156l5434,3121m6046,3156l6046,3121m6652,3156l6652,3121m7269,3156l7269,3121m2378,3156l2378,3121e" filled="false" stroked="true" strokeweight=".5pt" strokecolor="#231f20">
              <v:path arrowok="t"/>
            </v:shape>
            <v:shape style="position:absolute;left:2668;top:1565;width:4302;height:1016" coordorigin="2668,1565" coordsize="4302,1016" path="m2668,2581l3296,2370,3910,2257,4529,1752,5128,2149,5742,1565,6346,1648,6969,1698e" filled="false" stroked="true" strokeweight="1.5pt" strokecolor="#00aeef">
              <v:path arrowok="t"/>
            </v:shape>
            <v:shape style="position:absolute;left:2668;top:1565;width:4302;height:1016" coordorigin="2668,1565" coordsize="4302,1016" path="m2668,2581l3296,2370,3910,2257,4529,1752,5118,1948,5742,1565,6346,1648,6969,1698e" filled="false" stroked="true" strokeweight="1.5pt" strokecolor="#be1e2d">
              <v:path arrowok="t"/>
            </v:shape>
            <w10:wrap type="none"/>
          </v:group>
        </w:pict>
      </w:r>
      <w:r>
        <w:rPr/>
        <w:pict>
          <v:group style="position:absolute;margin-left:373.260101pt;margin-top:102.54882pt;width:66.150pt;height:15.8pt;mso-position-horizontal-relative:page;mso-position-vertical-relative:paragraph;z-index:2464" coordorigin="7465,2051" coordsize="1323,316">
            <v:line style="position:absolute" from="7480,2110" to="8030,2110" stroked="true" strokeweight="1.5pt" strokecolor="#00aeef"/>
            <v:shape style="position:absolute;left:8083;top:2051;width:704;height:138" type="#_x0000_t75" stroked="false">
              <v:imagedata r:id="rId32" o:title=""/>
            </v:shape>
            <v:line style="position:absolute" from="7480,2291" to="8030,2291" stroked="true" strokeweight="1.5pt" strokecolor="#be1e2d"/>
            <v:shape style="position:absolute;left:8081;top:2237;width:675;height:129" type="#_x0000_t75" stroked="false">
              <v:imagedata r:id="rId33" o:title=""/>
            </v:shape>
            <w10:wrap type="none"/>
          </v:group>
        </w:pict>
      </w:r>
      <w:r>
        <w:rPr/>
        <w:drawing>
          <wp:anchor distT="0" distB="0" distL="0" distR="0" allowOverlap="1" layoutInCell="1" locked="0" behindDoc="0" simplePos="0" relativeHeight="2488">
            <wp:simplePos x="0" y="0"/>
            <wp:positionH relativeFrom="page">
              <wp:posOffset>540000</wp:posOffset>
            </wp:positionH>
            <wp:positionV relativeFrom="paragraph">
              <wp:posOffset>788872</wp:posOffset>
            </wp:positionV>
            <wp:extent cx="780057" cy="63150"/>
            <wp:effectExtent l="0" t="0" r="0" b="0"/>
            <wp:wrapNone/>
            <wp:docPr id="9" name="image19.png" descr=""/>
            <wp:cNvGraphicFramePr>
              <a:graphicFrameLocks noChangeAspect="1"/>
            </wp:cNvGraphicFramePr>
            <a:graphic>
              <a:graphicData uri="http://schemas.openxmlformats.org/drawingml/2006/picture">
                <pic:pic>
                  <pic:nvPicPr>
                    <pic:cNvPr id="10" name="image19.png"/>
                    <pic:cNvPicPr/>
                  </pic:nvPicPr>
                  <pic:blipFill>
                    <a:blip r:embed="rId34" cstate="print"/>
                    <a:stretch>
                      <a:fillRect/>
                    </a:stretch>
                  </pic:blipFill>
                  <pic:spPr>
                    <a:xfrm>
                      <a:off x="0" y="0"/>
                      <a:ext cx="780057" cy="63150"/>
                    </a:xfrm>
                    <a:prstGeom prst="rect">
                      <a:avLst/>
                    </a:prstGeom>
                  </pic:spPr>
                </pic:pic>
              </a:graphicData>
            </a:graphic>
          </wp:anchor>
        </w:drawing>
      </w:r>
      <w:r>
        <w:rPr/>
        <w:pict>
          <v:group style="position:absolute;margin-left:42.519699pt;margin-top:73.417122pt;width:61.25pt;height:4.95pt;mso-position-horizontal-relative:page;mso-position-vertical-relative:paragraph;z-index:2512" coordorigin="850,1468" coordsize="1225,99">
            <v:shape style="position:absolute;left:850;top:1469;width:51;height:96" coordorigin="850,1469" coordsize="51,96" path="m901,1469l887,1469,885,1476,881,1481,871,1485,863,1487,850,1487,850,1497,883,1497,883,1565,901,1565,901,1469xe" filled="true" fillcolor="#231f20" stroked="false">
              <v:path arrowok="t"/>
              <v:fill type="solid"/>
            </v:shape>
            <v:line style="position:absolute" from="957,1557" to="977,1557" stroked="true" strokeweight=".732pt" strokecolor="#231f20"/>
            <v:shape style="position:absolute;left:1000;top:1468;width:314;height:100" coordorigin="1000,1468" coordsize="314,100" path="m1097,1531l1077,1531,1077,1487,1077,1468,1063,1468,1060,1471,1060,1487,1060,1531,1016,1531,1060,1487,1060,1471,1000,1529,1000,1541,1060,1541,1060,1565,1077,1565,1077,1541,1097,1541,1097,1531m1204,1503l1201,1492,1195,1484,1191,1479,1188,1477,1186,1476,1186,1506,1186,1533,1183,1542,1173,1554,1165,1556,1145,1556,1138,1552,1130,1537,1129,1530,1128,1506,1131,1496,1140,1483,1148,1479,1169,1479,1176,1483,1184,1497,1186,1506,1186,1476,1180,1472,1169,1470,1157,1469,1143,1470,1132,1474,1123,1481,1116,1491,1112,1498,1110,1508,1110,1533,1113,1544,1128,1562,1140,1567,1157,1567,1169,1566,1180,1563,1189,1557,1190,1556,1196,1549,1202,1540,1204,1530,1204,1503m1313,1503l1310,1492,1304,1484,1299,1479,1297,1477,1295,1476,1295,1506,1295,1533,1292,1542,1281,1554,1274,1556,1254,1556,1246,1552,1239,1537,1237,1530,1237,1506,1240,1496,1249,1483,1256,1479,1278,1479,1285,1483,1293,1497,1295,1506,1295,1476,1289,1472,1278,1470,1266,1469,1252,1470,1241,1474,1232,1481,1225,1491,1221,1498,1219,1508,1219,1533,1222,1544,1237,1562,1249,1567,1266,1567,1278,1566,1289,1563,1298,1557,1298,1556,1305,1549,1310,1540,1313,1530,1313,1503e" filled="true" fillcolor="#231f20" stroked="false">
              <v:path arrowok="t"/>
              <v:fill type="solid"/>
            </v:shape>
            <v:line style="position:absolute" from="1338,1557" to="1358,1557" stroked="true" strokeweight=".732pt" strokecolor="#231f20"/>
            <v:shape style="position:absolute;left:1382;top:1469;width:313;height:99" coordorigin="1382,1469" coordsize="313,99" path="m1476,1503l1473,1492,1467,1484,1463,1479,1460,1477,1458,1476,1458,1506,1458,1533,1455,1542,1445,1554,1438,1556,1418,1556,1410,1552,1402,1537,1401,1530,1401,1506,1403,1496,1412,1483,1420,1479,1441,1479,1448,1483,1456,1497,1458,1506,1458,1476,1452,1472,1441,1470,1429,1469,1415,1470,1404,1474,1395,1481,1388,1491,1384,1498,1382,1508,1382,1533,1385,1544,1400,1562,1412,1567,1429,1567,1441,1566,1452,1563,1461,1557,1462,1556,1468,1549,1474,1540,1476,1530,1476,1503m1585,1503l1582,1492,1576,1484,1572,1479,1569,1477,1567,1476,1567,1506,1567,1533,1564,1542,1554,1554,1546,1556,1526,1556,1519,1552,1511,1537,1510,1530,1509,1506,1512,1496,1521,1483,1529,1479,1550,1479,1557,1483,1565,1497,1567,1506,1567,1476,1561,1472,1550,1470,1538,1469,1524,1470,1513,1474,1504,1481,1497,1491,1493,1498,1491,1508,1491,1533,1494,1544,1509,1562,1521,1567,1538,1567,1550,1566,1561,1563,1570,1557,1571,1556,1577,1549,1583,1540,1585,1530,1585,1503m1694,1503l1691,1492,1685,1484,1680,1479,1678,1477,1676,1476,1676,1506,1676,1533,1673,1542,1662,1554,1655,1556,1635,1556,1627,1552,1620,1537,1618,1530,1618,1506,1621,1496,1630,1483,1637,1479,1659,1479,1666,1483,1674,1497,1676,1506,1676,1476,1670,1472,1659,1470,1647,1469,1633,1470,1622,1474,1613,1481,1606,1491,1602,1498,1600,1508,1600,1533,1603,1544,1618,1562,1630,1567,1647,1567,1659,1566,1670,1563,1679,1557,1679,1556,1686,1549,1691,1540,1694,1530,1694,1503e" filled="true" fillcolor="#231f20" stroked="false">
              <v:path arrowok="t"/>
              <v:fill type="solid"/>
            </v:shape>
            <v:line style="position:absolute" from="1719,1557" to="1739,1557" stroked="true" strokeweight=".732pt" strokecolor="#231f20"/>
            <v:shape style="position:absolute;left:1763;top:1469;width:313;height:99" coordorigin="1763,1469" coordsize="313,99" path="m1857,1503l1854,1492,1848,1484,1844,1479,1841,1477,1839,1476,1839,1506,1839,1533,1836,1542,1826,1554,1819,1556,1799,1556,1791,1552,1783,1537,1782,1530,1782,1506,1784,1496,1793,1483,1801,1479,1822,1479,1829,1483,1837,1497,1839,1506,1839,1476,1833,1472,1822,1470,1810,1469,1796,1470,1785,1474,1776,1481,1769,1491,1765,1498,1763,1508,1763,1533,1766,1544,1781,1562,1793,1567,1810,1567,1822,1566,1833,1563,1842,1557,1843,1556,1849,1549,1855,1540,1857,1530,1857,1503m1966,1503l1963,1492,1957,1484,1953,1479,1950,1477,1948,1476,1948,1506,1948,1533,1945,1542,1935,1554,1927,1556,1907,1556,1900,1552,1892,1537,1891,1530,1890,1506,1893,1496,1902,1483,1910,1479,1931,1479,1938,1483,1946,1497,1948,1506,1948,1476,1942,1472,1931,1470,1919,1469,1905,1470,1894,1474,1885,1481,1878,1491,1874,1498,1872,1508,1872,1533,1875,1544,1890,1562,1902,1567,1919,1567,1931,1566,1942,1563,1951,1557,1952,1556,1958,1549,1964,1540,1966,1530,1966,1503m2075,1503l2072,1492,2066,1484,2061,1479,2059,1477,2057,1476,2057,1506,2057,1533,2054,1542,2043,1554,2036,1556,2016,1556,2008,1552,2001,1537,1999,1530,1999,1506,2002,1496,2011,1483,2018,1479,2040,1479,2047,1483,2055,1497,2057,1506,2057,1476,2051,1472,2040,1470,2028,1469,2014,1470,2003,1474,1994,1481,1987,1491,1983,1498,1981,1508,1981,1533,1984,1544,1999,1562,2011,1567,2028,1567,2040,1566,2051,1563,2060,1557,2060,1556,2067,1549,2072,1540,2075,1530,2075,1503e" filled="true" fillcolor="#231f20" stroked="false">
              <v:path arrowok="t"/>
              <v:fill type="solid"/>
            </v:shape>
            <w10:wrap type="none"/>
          </v:group>
        </w:pict>
      </w:r>
      <w:r>
        <w:rPr/>
        <w:drawing>
          <wp:anchor distT="0" distB="0" distL="0" distR="0" allowOverlap="1" layoutInCell="1" locked="0" behindDoc="0" simplePos="0" relativeHeight="2536">
            <wp:simplePos x="0" y="0"/>
            <wp:positionH relativeFrom="page">
              <wp:posOffset>540000</wp:posOffset>
            </wp:positionH>
            <wp:positionV relativeFrom="paragraph">
              <wp:posOffset>1075785</wp:posOffset>
            </wp:positionV>
            <wp:extent cx="780561" cy="63150"/>
            <wp:effectExtent l="0" t="0" r="0" b="0"/>
            <wp:wrapNone/>
            <wp:docPr id="11" name="image20.png" descr=""/>
            <wp:cNvGraphicFramePr>
              <a:graphicFrameLocks noChangeAspect="1"/>
            </wp:cNvGraphicFramePr>
            <a:graphic>
              <a:graphicData uri="http://schemas.openxmlformats.org/drawingml/2006/picture">
                <pic:pic>
                  <pic:nvPicPr>
                    <pic:cNvPr id="12" name="image20.png"/>
                    <pic:cNvPicPr/>
                  </pic:nvPicPr>
                  <pic:blipFill>
                    <a:blip r:embed="rId35" cstate="print"/>
                    <a:stretch>
                      <a:fillRect/>
                    </a:stretch>
                  </pic:blipFill>
                  <pic:spPr>
                    <a:xfrm>
                      <a:off x="0" y="0"/>
                      <a:ext cx="780561" cy="63150"/>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540000</wp:posOffset>
            </wp:positionH>
            <wp:positionV relativeFrom="paragraph">
              <wp:posOffset>1219433</wp:posOffset>
            </wp:positionV>
            <wp:extent cx="783185" cy="63150"/>
            <wp:effectExtent l="0" t="0" r="0" b="0"/>
            <wp:wrapNone/>
            <wp:docPr id="13" name="image21.png" descr=""/>
            <wp:cNvGraphicFramePr>
              <a:graphicFrameLocks noChangeAspect="1"/>
            </wp:cNvGraphicFramePr>
            <a:graphic>
              <a:graphicData uri="http://schemas.openxmlformats.org/drawingml/2006/picture">
                <pic:pic>
                  <pic:nvPicPr>
                    <pic:cNvPr id="14" name="image21.png"/>
                    <pic:cNvPicPr/>
                  </pic:nvPicPr>
                  <pic:blipFill>
                    <a:blip r:embed="rId36" cstate="print"/>
                    <a:stretch>
                      <a:fillRect/>
                    </a:stretch>
                  </pic:blipFill>
                  <pic:spPr>
                    <a:xfrm>
                      <a:off x="0" y="0"/>
                      <a:ext cx="783185" cy="63150"/>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635784</wp:posOffset>
            </wp:positionH>
            <wp:positionV relativeFrom="paragraph">
              <wp:posOffset>1362707</wp:posOffset>
            </wp:positionV>
            <wp:extent cx="683961" cy="63150"/>
            <wp:effectExtent l="0" t="0" r="0" b="0"/>
            <wp:wrapNone/>
            <wp:docPr id="15" name="image22.png" descr=""/>
            <wp:cNvGraphicFramePr>
              <a:graphicFrameLocks noChangeAspect="1"/>
            </wp:cNvGraphicFramePr>
            <a:graphic>
              <a:graphicData uri="http://schemas.openxmlformats.org/drawingml/2006/picture">
                <pic:pic>
                  <pic:nvPicPr>
                    <pic:cNvPr id="16" name="image22.png"/>
                    <pic:cNvPicPr/>
                  </pic:nvPicPr>
                  <pic:blipFill>
                    <a:blip r:embed="rId37" cstate="print"/>
                    <a:stretch>
                      <a:fillRect/>
                    </a:stretch>
                  </pic:blipFill>
                  <pic:spPr>
                    <a:xfrm>
                      <a:off x="0" y="0"/>
                      <a:ext cx="683961" cy="63150"/>
                    </a:xfrm>
                    <a:prstGeom prst="rect">
                      <a:avLst/>
                    </a:prstGeom>
                  </pic:spPr>
                </pic:pic>
              </a:graphicData>
            </a:graphic>
          </wp:anchor>
        </w:drawing>
      </w:r>
      <w:r>
        <w:rPr>
          <w:color w:val="231F20"/>
          <w:w w:val="105"/>
        </w:rPr>
        <w:t>Gráfica</w:t>
      </w:r>
      <w:r>
        <w:rPr>
          <w:color w:val="231F20"/>
          <w:spacing w:val="-21"/>
          <w:w w:val="105"/>
        </w:rPr>
        <w:t> </w:t>
      </w:r>
      <w:r>
        <w:rPr>
          <w:color w:val="231F20"/>
          <w:spacing w:val="-3"/>
          <w:w w:val="105"/>
        </w:rPr>
        <w:t>1.</w:t>
      </w:r>
      <w:r>
        <w:rPr>
          <w:color w:val="231F20"/>
          <w:spacing w:val="-21"/>
          <w:w w:val="105"/>
        </w:rPr>
        <w:t> </w:t>
      </w:r>
      <w:r>
        <w:rPr>
          <w:color w:val="231F20"/>
          <w:w w:val="105"/>
        </w:rPr>
        <w:t>Comportamiento</w:t>
      </w:r>
      <w:r>
        <w:rPr>
          <w:color w:val="231F20"/>
          <w:spacing w:val="-21"/>
          <w:w w:val="105"/>
        </w:rPr>
        <w:t> </w:t>
      </w:r>
      <w:r>
        <w:rPr>
          <w:color w:val="231F20"/>
          <w:w w:val="105"/>
        </w:rPr>
        <w:t>agregado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Ingresos</w:t>
      </w:r>
      <w:r>
        <w:rPr>
          <w:color w:val="231F20"/>
          <w:spacing w:val="-21"/>
          <w:w w:val="105"/>
        </w:rPr>
        <w:t> </w:t>
      </w:r>
      <w:r>
        <w:rPr>
          <w:color w:val="231F20"/>
          <w:w w:val="105"/>
        </w:rPr>
        <w:t>y</w:t>
      </w:r>
      <w:r>
        <w:rPr>
          <w:color w:val="231F20"/>
          <w:spacing w:val="-21"/>
          <w:w w:val="105"/>
        </w:rPr>
        <w:t> </w:t>
      </w:r>
      <w:r>
        <w:rPr>
          <w:color w:val="231F20"/>
          <w:w w:val="105"/>
        </w:rPr>
        <w:t>Egresos del Ayuntamiento de Huixquilucan,</w:t>
      </w:r>
      <w:r>
        <w:rPr>
          <w:color w:val="231F20"/>
          <w:spacing w:val="-40"/>
          <w:w w:val="105"/>
        </w:rPr>
        <w:t> </w:t>
      </w:r>
      <w:r>
        <w:rPr>
          <w:color w:val="231F20"/>
          <w:w w:val="105"/>
        </w:rPr>
        <w:t>2001-2008.</w:t>
      </w:r>
    </w:p>
    <w:p>
      <w:pPr>
        <w:pStyle w:val="BodyText"/>
        <w:rPr>
          <w:b/>
          <w:sz w:val="14"/>
        </w:rPr>
      </w:pPr>
      <w:r>
        <w:rPr/>
        <w:pict>
          <v:group style="position:absolute;margin-left:104.304001pt;margin-top:10.039385pt;width:51.95pt;height:9.25pt;mso-position-horizontal-relative:page;mso-position-vertical-relative:paragraph;z-index:2128;mso-wrap-distance-left:0;mso-wrap-distance-right:0" coordorigin="2086,201" coordsize="1039,185">
            <v:shape style="position:absolute;left:2086;top:201;width:350;height:185" type="#_x0000_t75" stroked="false">
              <v:imagedata r:id="rId38" o:title=""/>
            </v:shape>
            <v:shape style="position:absolute;left:2469;top:250;width:656;height:100" type="#_x0000_t75" stroked="false">
              <v:imagedata r:id="rId39" o:title=""/>
            </v:shape>
            <w10:wrap type="topAndBottom"/>
          </v:group>
        </w:pict>
      </w:r>
      <w:r>
        <w:rPr/>
        <w:drawing>
          <wp:anchor distT="0" distB="0" distL="0" distR="0" allowOverlap="1" layoutInCell="1" locked="0" behindDoc="0" simplePos="0" relativeHeight="2152">
            <wp:simplePos x="0" y="0"/>
            <wp:positionH relativeFrom="page">
              <wp:posOffset>2037159</wp:posOffset>
            </wp:positionH>
            <wp:positionV relativeFrom="paragraph">
              <wp:posOffset>160681</wp:posOffset>
            </wp:positionV>
            <wp:extent cx="85892" cy="84010"/>
            <wp:effectExtent l="0" t="0" r="0" b="0"/>
            <wp:wrapTopAndBottom/>
            <wp:docPr id="17" name="image25.png" descr=""/>
            <wp:cNvGraphicFramePr>
              <a:graphicFrameLocks noChangeAspect="1"/>
            </wp:cNvGraphicFramePr>
            <a:graphic>
              <a:graphicData uri="http://schemas.openxmlformats.org/drawingml/2006/picture">
                <pic:pic>
                  <pic:nvPicPr>
                    <pic:cNvPr id="18" name="image25.png"/>
                    <pic:cNvPicPr/>
                  </pic:nvPicPr>
                  <pic:blipFill>
                    <a:blip r:embed="rId40" cstate="print"/>
                    <a:stretch>
                      <a:fillRect/>
                    </a:stretch>
                  </pic:blipFill>
                  <pic:spPr>
                    <a:xfrm>
                      <a:off x="0" y="0"/>
                      <a:ext cx="85892" cy="84010"/>
                    </a:xfrm>
                    <a:prstGeom prst="rect">
                      <a:avLst/>
                    </a:prstGeom>
                  </pic:spPr>
                </pic:pic>
              </a:graphicData>
            </a:graphic>
          </wp:anchor>
        </w:drawing>
      </w:r>
      <w:r>
        <w:rPr/>
        <w:pict>
          <v:group style="position:absolute;margin-left:171.961197pt;margin-top:10.994883pt;width:48.9pt;height:8.3pt;mso-position-horizontal-relative:page;mso-position-vertical-relative:paragraph;z-index:2176;mso-wrap-distance-left:0;mso-wrap-distance-right:0" coordorigin="3439,220" coordsize="978,166">
            <v:shape style="position:absolute;left:3439;top:220;width:289;height:166" type="#_x0000_t75" stroked="false">
              <v:imagedata r:id="rId41" o:title=""/>
            </v:shape>
            <v:shape style="position:absolute;left:3761;top:250;width:656;height:100" type="#_x0000_t75" stroked="false">
              <v:imagedata r:id="rId42" o:title=""/>
            </v:shape>
            <w10:wrap type="topAndBottom"/>
          </v:group>
        </w:pict>
      </w:r>
      <w:r>
        <w:rPr/>
        <w:pict>
          <v:group style="position:absolute;margin-left:224.743301pt;margin-top:10.994479pt;width:69.1pt;height:8.3pt;mso-position-horizontal-relative:page;mso-position-vertical-relative:paragraph;z-index:2200;mso-wrap-distance-left:0;mso-wrap-distance-right:0" coordorigin="4495,220" coordsize="1382,166">
            <v:shape style="position:absolute;left:4495;top:220;width:318;height:166" type="#_x0000_t75" stroked="false">
              <v:imagedata r:id="rId43" o:title=""/>
            </v:shape>
            <v:shape style="position:absolute;left:4845;top:220;width:1031;height:166" type="#_x0000_t75" stroked="false">
              <v:imagedata r:id="rId44" o:title=""/>
            </v:shape>
            <w10:wrap type="topAndBottom"/>
          </v:group>
        </w:pict>
      </w:r>
      <w:r>
        <w:rPr/>
        <w:pict>
          <v:group style="position:absolute;margin-left:298.641205pt;margin-top:11.05438pt;width:60.25pt;height:6.5pt;mso-position-horizontal-relative:page;mso-position-vertical-relative:paragraph;z-index:2224;mso-wrap-distance-left:0;mso-wrap-distance-right:0" coordorigin="5973,221" coordsize="1205,130">
            <v:shape style="position:absolute;left:5973;top:221;width:515;height:129" type="#_x0000_t75" stroked="false">
              <v:imagedata r:id="rId45" o:title=""/>
            </v:shape>
            <v:shape style="position:absolute;left:6527;top:221;width:650;height:129" type="#_x0000_t75" stroked="false">
              <v:imagedata r:id="rId46" o:titl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7"/>
        </w:rPr>
      </w:pPr>
      <w:r>
        <w:rPr/>
        <w:pict>
          <v:group style="position:absolute;margin-left:124.775497pt;margin-top:17.661404pt;width:13.7pt;height:5pt;mso-position-horizontal-relative:page;mso-position-vertical-relative:paragraph;z-index:2248;mso-wrap-distance-left:0;mso-wrap-distance-right:0" coordorigin="2496,353" coordsize="274,100">
            <v:shape style="position:absolute;left:2496;top:353;width:67;height:97" coordorigin="2496,353" coordsize="67,97" path="m2556,364l2536,364,2540,366,2547,372,2549,377,2548,388,2547,392,2541,398,2537,401,2509,416,2504,422,2498,434,2496,441,2496,450,2562,450,2562,438,2509,438,2510,434,2513,429,2520,423,2523,421,2545,409,2551,405,2559,396,2562,390,2562,375,2559,368,2556,364xm2541,353l2517,353,2508,358,2500,372,2498,379,2498,388,2510,388,2510,382,2511,377,2516,367,2522,364,2556,364,2549,356,2541,353xe" filled="true" fillcolor="#231f20" stroked="false">
              <v:path arrowok="t"/>
              <v:fill type="solid"/>
            </v:shape>
            <v:shape style="position:absolute;left:2572;top:354;width:67;height:99" coordorigin="2572,354" coordsize="67,99" path="m2617,354l2591,354,2582,361,2573,383,2572,393,2572,418,2574,429,2585,447,2593,452,2618,452,2627,446,2629,441,2597,441,2591,437,2586,422,2585,415,2585,391,2587,381,2593,368,2598,364,2629,364,2626,359,2617,354xm2629,364l2613,364,2619,368,2624,382,2625,391,2625,418,2623,427,2616,439,2611,441,2629,441,2636,425,2638,415,2638,388,2636,377,2629,364xe" filled="true" fillcolor="#231f20" stroked="false">
              <v:path arrowok="t"/>
              <v:fill type="solid"/>
            </v:shape>
            <v:shape style="position:absolute;left:2648;top:354;width:67;height:99" coordorigin="2648,354" coordsize="67,99" path="m2694,354l2668,354,2658,361,2650,383,2648,393,2648,418,2651,429,2661,447,2670,452,2694,452,2703,446,2706,441,2673,441,2668,437,2663,422,2662,415,2661,391,2663,381,2670,368,2675,364,2706,364,2703,359,2694,354xm2706,364l2690,364,2695,368,2700,382,2702,391,2702,418,2700,427,2692,439,2687,441,2706,441,2713,425,2715,415,2715,388,2713,377,2706,364xe" filled="true" fillcolor="#231f20" stroked="false">
              <v:path arrowok="t"/>
              <v:fill type="solid"/>
            </v:shape>
            <v:shape style="position:absolute;left:2734;top:354;width:36;height:96" coordorigin="2734,354" coordsize="36,96" path="m2769,354l2760,354,2758,361,2755,366,2749,370,2742,372,2734,372,2734,382,2756,382,2756,450,2769,450,2769,354xe" filled="true" fillcolor="#231f20" stroked="false">
              <v:path arrowok="t"/>
              <v:fill type="solid"/>
            </v:shape>
            <w10:wrap type="topAndBottom"/>
          </v:group>
        </w:pict>
      </w:r>
      <w:r>
        <w:rPr/>
        <w:pict>
          <v:group style="position:absolute;margin-left:155.349396pt;margin-top:17.661404pt;width:14.8pt;height:5pt;mso-position-horizontal-relative:page;mso-position-vertical-relative:paragraph;z-index:2272;mso-wrap-distance-left:0;mso-wrap-distance-right:0" coordorigin="3107,353" coordsize="296,100">
            <v:shape style="position:absolute;left:3107;top:353;width:67;height:97" coordorigin="3107,353" coordsize="67,97" path="m3168,364l3147,364,3152,366,3158,372,3160,377,3160,388,3158,392,3152,398,3148,401,3121,416,3115,422,3109,434,3107,441,3107,450,3173,450,3173,438,3120,438,3122,434,3124,429,3131,423,3135,421,3139,418,3157,409,3162,405,3171,396,3173,390,3173,375,3171,368,3168,364xm3153,353l3128,353,3119,358,3111,372,3109,379,3109,388,3122,388,3122,382,3123,377,3128,367,3133,364,3168,364,3161,356,3153,353xe" filled="true" fillcolor="#231f20" stroked="false">
              <v:path arrowok="t"/>
              <v:fill type="solid"/>
            </v:shape>
            <v:shape style="position:absolute;left:3183;top:354;width:67;height:99" coordorigin="3183,354" coordsize="67,99" path="m3229,354l3203,354,3193,361,3185,383,3183,393,3183,418,3186,429,3196,447,3205,452,3229,452,3238,446,3241,441,3208,441,3203,437,3198,422,3197,415,3196,391,3198,381,3205,368,3210,364,3241,364,3238,359,3229,354xm3241,364l3225,364,3230,368,3235,382,3237,391,3237,418,3235,427,3227,439,3222,441,3241,441,3248,425,3250,415,3250,388,3248,377,3241,364xe" filled="true" fillcolor="#231f20" stroked="false">
              <v:path arrowok="t"/>
              <v:fill type="solid"/>
            </v:shape>
            <v:shape style="position:absolute;left:3260;top:354;width:67;height:99" coordorigin="3260,354" coordsize="67,99" path="m3305,354l3279,354,3269,361,3261,383,3260,393,3260,418,3262,429,3273,447,3281,452,3306,452,3315,446,3317,441,3285,441,3279,437,3274,422,3273,415,3273,391,3275,381,3281,368,3286,364,3317,364,3314,359,3305,354xm3317,364l3301,364,3307,368,3312,382,3313,391,3313,418,3311,427,3304,439,3299,441,3317,441,3324,425,3326,415,3326,388,3324,377,3317,364xe" filled="true" fillcolor="#231f20" stroked="false">
              <v:path arrowok="t"/>
              <v:fill type="solid"/>
            </v:shape>
            <v:shape style="position:absolute;left:3336;top:353;width:67;height:97" coordorigin="3336,353" coordsize="67,97" path="m3397,364l3377,364,3381,366,3388,372,3389,377,3389,388,3388,392,3382,398,3378,401,3350,416,3345,422,3339,434,3337,441,3336,450,3402,450,3402,438,3350,438,3351,434,3354,429,3361,423,3364,421,3386,409,3392,405,3400,396,3403,390,3403,375,3400,368,3397,364xm3382,353l3358,353,3349,358,3340,372,3339,379,3339,388,3351,388,3351,382,3352,377,3357,367,3363,364,3397,364,3390,356,3382,353xe" filled="true" fillcolor="#231f20" stroked="false">
              <v:path arrowok="t"/>
              <v:fill type="solid"/>
            </v:shape>
            <w10:wrap type="topAndBottom"/>
          </v:group>
        </w:pict>
      </w:r>
      <w:r>
        <w:rPr/>
        <w:pict>
          <v:group style="position:absolute;margin-left:185.923096pt;margin-top:17.661404pt;width:14.8pt;height:5pt;mso-position-horizontal-relative:page;mso-position-vertical-relative:paragraph;z-index:2296;mso-wrap-distance-left:0;mso-wrap-distance-right:0" coordorigin="3718,353" coordsize="296,100">
            <v:shape style="position:absolute;left:3718;top:353;width:67;height:97" coordorigin="3718,353" coordsize="67,97" path="m3779,364l3759,364,3763,366,3770,372,3772,377,3771,388,3770,392,3764,398,3760,401,3732,416,3727,422,3721,434,3719,441,3718,450,3784,450,3784,438,3732,438,3733,434,3736,429,3743,423,3746,421,3768,409,3774,405,3782,396,3785,390,3785,375,3782,368,3779,364xm3764,353l3740,353,3731,358,3722,372,3721,379,3721,388,3733,388,3733,382,3734,377,3739,367,3745,364,3779,364,3772,356,3764,353xe" filled="true" fillcolor="#231f20" stroked="false">
              <v:path arrowok="t"/>
              <v:fill type="solid"/>
            </v:shape>
            <v:shape style="position:absolute;left:3795;top:354;width:67;height:99" coordorigin="3795,354" coordsize="67,99" path="m3840,354l3814,354,3804,361,3796,383,3795,393,3795,418,3797,429,3808,447,3816,452,3841,452,3850,446,3852,441,3820,441,3814,437,3809,422,3808,415,3808,391,3810,381,3816,368,3821,364,3852,364,3849,359,3840,354xm3852,364l3836,364,3842,368,3847,382,3848,391,3848,418,3846,427,3839,439,3834,441,3852,441,3859,425,3861,415,3861,388,3859,377,3852,364xe" filled="true" fillcolor="#231f20" stroked="false">
              <v:path arrowok="t"/>
              <v:fill type="solid"/>
            </v:shape>
            <v:shape style="position:absolute;left:3871;top:354;width:67;height:99" coordorigin="3871,354" coordsize="67,99" path="m3917,354l3890,354,3881,361,3873,383,3871,393,3871,418,3874,429,3884,447,3893,452,3917,452,3926,446,3928,441,3896,441,3891,437,3885,422,3885,415,3884,391,3886,381,3893,368,3898,364,3929,364,3926,359,3917,354xm3929,364l3913,364,3918,368,3923,382,3925,391,3925,418,3923,427,3915,439,3910,441,3928,441,3936,425,3938,415,3938,388,3936,377,3929,364xe" filled="true" fillcolor="#231f20" stroked="false">
              <v:path arrowok="t"/>
              <v:fill type="solid"/>
            </v:shape>
            <v:shape style="position:absolute;left:3947;top:353;width:68;height:99" coordorigin="3947,353" coordsize="68,99" path="m3959,420l3947,420,3947,429,3949,437,3960,449,3968,452,3990,452,3999,449,4007,441,3972,441,3966,439,3963,434,3961,431,3960,426,3959,420xm4009,405l3985,405,3991,407,3999,412,4001,416,4001,428,3999,433,3991,440,3986,441,4007,441,4011,438,4014,430,4014,416,4013,411,4009,405xm3973,395l3973,405,4009,405,4007,403,4003,400,3998,399,4001,397,4004,396,4004,395,3984,395,3975,395,3973,395xm4008,364l3985,364,3989,366,3996,371,3998,375,3998,386,3995,390,3987,394,3984,395,4004,395,4009,390,4010,385,4010,371,4008,364xm3989,353l3967,353,3959,358,3953,367,3951,372,3949,378,3949,385,3961,385,3961,380,3962,375,3967,367,3973,364,4008,364,4008,364,3997,356,3989,353xe" filled="true" fillcolor="#231f20" stroked="false">
              <v:path arrowok="t"/>
              <v:fill type="solid"/>
            </v:shape>
            <w10:wrap type="topAndBottom"/>
          </v:group>
        </w:pict>
      </w:r>
      <w:r>
        <w:rPr/>
        <w:pict>
          <v:group style="position:absolute;margin-left:216.496994pt;margin-top:17.661404pt;width:14.85pt;height:5pt;mso-position-horizontal-relative:page;mso-position-vertical-relative:paragraph;z-index:2320;mso-wrap-distance-left:0;mso-wrap-distance-right:0" coordorigin="4330,353" coordsize="297,100">
            <v:shape style="position:absolute;left:4330;top:353;width:67;height:97" coordorigin="4330,353" coordsize="67,97" path="m4391,364l4370,364,4375,366,4381,372,4383,377,4383,388,4381,392,4375,398,4371,401,4344,416,4338,422,4332,434,4330,441,4330,450,4396,450,4396,438,4343,438,4345,434,4347,429,4354,423,4358,421,4362,418,4380,409,4385,405,4394,396,4396,390,4396,375,4394,368,4391,364xm4376,353l4351,353,4342,358,4334,372,4332,379,4332,388,4345,388,4345,382,4346,377,4351,367,4356,364,4391,364,4384,356,4376,353xe" filled="true" fillcolor="#231f20" stroked="false">
              <v:path arrowok="t"/>
              <v:fill type="solid"/>
            </v:shape>
            <v:shape style="position:absolute;left:4406;top:354;width:67;height:99" coordorigin="4406,354" coordsize="67,99" path="m4452,354l4425,354,4416,361,4408,383,4406,393,4406,418,4409,429,4419,447,4428,452,4452,452,4461,446,4463,441,4431,441,4426,437,4420,422,4420,415,4419,391,4421,381,4428,368,4433,364,4464,364,4461,359,4452,354xm4464,364l4448,364,4453,368,4458,382,4460,391,4460,418,4458,427,4450,439,4445,441,4463,441,4471,425,4473,415,4473,388,4471,377,4464,364xe" filled="true" fillcolor="#231f20" stroked="false">
              <v:path arrowok="t"/>
              <v:fill type="solid"/>
            </v:shape>
            <v:shape style="position:absolute;left:4483;top:354;width:67;height:99" coordorigin="4483,354" coordsize="67,99" path="m4528,354l4502,354,4492,361,4484,383,4483,393,4483,418,4485,429,4496,447,4504,452,4529,452,4538,446,4540,441,4508,441,4502,437,4497,422,4496,415,4496,391,4498,381,4504,368,4509,364,4540,364,4537,359,4528,354xm4540,364l4524,364,4529,368,4535,382,4536,391,4536,418,4534,427,4527,439,4522,441,4540,441,4547,425,4549,415,4549,388,4547,377,4540,364xe" filled="true" fillcolor="#231f20" stroked="false">
              <v:path arrowok="t"/>
              <v:fill type="solid"/>
            </v:shape>
            <v:shape style="position:absolute;left:4559;top:353;width:69;height:97" coordorigin="4559,353" coordsize="69,97" path="m4613,426l4601,426,4601,450,4613,450,4613,426xm4613,353l4603,353,4559,414,4559,426,4627,426,4627,416,4570,416,4601,372,4613,372,4613,353xm4613,372l4601,372,4601,416,4613,416,4613,372xe" filled="true" fillcolor="#231f20" stroked="false">
              <v:path arrowok="t"/>
              <v:fill type="solid"/>
            </v:shape>
            <w10:wrap type="topAndBottom"/>
          </v:group>
        </w:pict>
      </w:r>
      <w:r>
        <w:rPr/>
        <w:pict>
          <v:group style="position:absolute;margin-left:247.070892pt;margin-top:17.661404pt;width:14.8pt;height:5pt;mso-position-horizontal-relative:page;mso-position-vertical-relative:paragraph;z-index:2344;mso-wrap-distance-left:0;mso-wrap-distance-right:0" coordorigin="4941,353" coordsize="296,100">
            <v:shape style="position:absolute;left:4941;top:353;width:67;height:97" coordorigin="4941,353" coordsize="67,97" path="m5002,364l4982,364,4986,366,4993,372,4995,377,4994,388,4993,392,4987,398,4983,401,4955,416,4950,422,4944,434,4942,441,4941,450,5007,450,5007,438,4955,438,4956,434,4959,429,4966,423,4969,421,4991,409,4997,405,5005,396,5008,390,5008,375,5005,368,5002,364xm4987,353l4963,353,4954,358,4945,372,4944,379,4944,388,4956,388,4956,382,4957,377,4962,367,4968,364,5002,364,4995,356,4987,353xe" filled="true" fillcolor="#231f20" stroked="false">
              <v:path arrowok="t"/>
              <v:fill type="solid"/>
            </v:shape>
            <v:shape style="position:absolute;left:5018;top:354;width:67;height:99" coordorigin="5018,354" coordsize="67,99" path="m5063,354l5037,354,5027,361,5019,383,5018,393,5018,418,5020,429,5031,447,5039,452,5064,452,5073,446,5075,441,5043,441,5037,437,5032,422,5031,415,5031,391,5033,381,5039,368,5044,364,5075,364,5072,359,5063,354xm5075,364l5059,364,5064,368,5070,382,5071,391,5071,418,5069,427,5062,439,5057,441,5075,441,5078,434,5082,425,5084,415,5084,388,5082,377,5075,364xe" filled="true" fillcolor="#231f20" stroked="false">
              <v:path arrowok="t"/>
              <v:fill type="solid"/>
            </v:shape>
            <v:shape style="position:absolute;left:5094;top:354;width:67;height:99" coordorigin="5094,354" coordsize="67,99" path="m5140,354l5113,354,5104,361,5096,383,5094,393,5094,418,5097,429,5107,447,5116,452,5140,452,5149,446,5151,441,5119,441,5114,437,5108,422,5107,415,5107,391,5109,381,5116,368,5121,364,5152,364,5149,359,5140,354xm5152,364l5136,364,5141,368,5146,382,5148,391,5148,418,5146,427,5138,439,5133,441,5151,441,5159,425,5161,415,5161,388,5159,377,5152,364xe" filled="true" fillcolor="#231f20" stroked="false">
              <v:path arrowok="t"/>
              <v:fill type="solid"/>
            </v:shape>
            <v:shape style="position:absolute;left:5171;top:355;width:67;height:97" coordorigin="5171,355" coordsize="67,97" path="m5184,425l5171,425,5172,434,5175,441,5187,450,5194,452,5214,452,5223,449,5229,442,5199,442,5196,441,5188,437,5184,432,5184,425xm5230,398l5209,398,5214,400,5222,408,5224,413,5224,425,5222,430,5216,439,5210,442,5229,442,5234,435,5237,427,5237,409,5234,402,5230,398xm5232,355l5182,355,5174,407,5185,408,5187,405,5190,402,5196,399,5199,398,5230,398,5225,394,5187,394,5191,367,5232,367,5232,355xm5214,388l5201,388,5197,388,5191,391,5189,392,5187,394,5225,394,5222,390,5214,388xe" filled="true" fillcolor="#231f20" stroked="false">
              <v:path arrowok="t"/>
              <v:fill type="solid"/>
            </v:shape>
            <w10:wrap type="topAndBottom"/>
          </v:group>
        </w:pict>
      </w:r>
      <w:r>
        <w:rPr/>
        <w:pict>
          <v:group style="position:absolute;margin-left:277.644714pt;margin-top:17.658415pt;width:14.85pt;height:5pt;mso-position-horizontal-relative:page;mso-position-vertical-relative:paragraph;z-index:2368;mso-wrap-distance-left:0;mso-wrap-distance-right:0" coordorigin="5553,353" coordsize="297,100">
            <v:shape style="position:absolute;left:5553;top:353;width:67;height:97" coordorigin="5553,353" coordsize="67,97" path="m5614,364l5593,364,5598,366,5604,372,5606,377,5606,388,5604,392,5598,398,5594,401,5567,416,5561,422,5555,434,5553,441,5553,450,5619,450,5619,438,5566,438,5568,434,5570,429,5577,423,5581,421,5602,409,5608,405,5617,396,5619,390,5619,375,5617,368,5614,364xm5599,353l5574,353,5565,358,5557,372,5555,379,5555,388,5568,388,5568,382,5569,377,5574,367,5579,364,5614,364,5607,356,5599,353xe" filled="true" fillcolor="#231f20" stroked="false">
              <v:path arrowok="t"/>
              <v:fill type="solid"/>
            </v:shape>
            <v:shape style="position:absolute;left:5629;top:354;width:67;height:99" coordorigin="5629,354" coordsize="67,99" path="m5675,354l5648,354,5639,361,5631,383,5629,393,5629,418,5632,429,5642,447,5651,452,5675,452,5684,446,5686,441,5654,441,5649,437,5643,422,5642,415,5642,391,5644,381,5651,368,5656,364,5687,364,5684,359,5675,354xm5687,364l5671,364,5676,368,5681,382,5683,391,5683,418,5681,427,5673,439,5668,441,5686,441,5690,434,5694,425,5696,415,5696,388,5694,377,5687,364xe" filled="true" fillcolor="#231f20" stroked="false">
              <v:path arrowok="t"/>
              <v:fill type="solid"/>
            </v:shape>
            <v:shape style="position:absolute;left:5706;top:354;width:67;height:99" coordorigin="5706,354" coordsize="67,99" path="m5751,354l5725,354,5715,361,5707,383,5706,393,5706,418,5708,429,5719,447,5727,452,5751,452,5761,446,5763,441,5731,441,5725,437,5720,422,5719,415,5719,391,5720,381,5727,368,5732,364,5763,364,5760,359,5751,354xm5763,364l5747,364,5752,368,5758,382,5759,391,5759,418,5757,427,5750,439,5745,441,5763,441,5770,425,5772,415,5772,388,5770,377,5763,364xe" filled="true" fillcolor="#231f20" stroked="false">
              <v:path arrowok="t"/>
              <v:fill type="solid"/>
            </v:shape>
            <v:shape style="position:absolute;left:5783;top:353;width:66;height:100" coordorigin="5783,353" coordsize="66,100" path="m5829,353l5803,353,5793,361,5788,377,5785,385,5783,396,5783,424,5786,435,5787,435,5799,449,5807,452,5827,452,5835,449,5841,441,5811,441,5806,439,5802,435,5799,431,5797,426,5797,413,5799,408,5807,401,5809,400,5796,400,5796,391,5796,388,5798,379,5806,367,5812,364,5842,364,5836,356,5829,353xm5844,399l5824,399,5829,401,5835,410,5836,415,5836,426,5835,431,5828,439,5824,441,5841,441,5846,435,5849,428,5849,409,5846,401,5844,399xm5827,388l5814,388,5810,389,5802,393,5798,396,5796,400,5809,400,5812,399,5844,399,5834,391,5827,388xm5842,364l5824,364,5829,366,5833,372,5834,375,5835,379,5847,379,5847,373,5845,367,5842,364xe" filled="true" fillcolor="#231f20" stroked="false">
              <v:path arrowok="t"/>
              <v:fill type="solid"/>
            </v:shape>
            <w10:wrap type="topAndBottom"/>
          </v:group>
        </w:pict>
      </w:r>
      <w:r>
        <w:rPr/>
        <w:pict>
          <v:group style="position:absolute;margin-left:308.218597pt;margin-top:17.661404pt;width:14.85pt;height:5pt;mso-position-horizontal-relative:page;mso-position-vertical-relative:paragraph;z-index:2392;mso-wrap-distance-left:0;mso-wrap-distance-right:0" coordorigin="6164,353" coordsize="297,100">
            <v:shape style="position:absolute;left:6164;top:353;width:67;height:97" coordorigin="6164,353" coordsize="67,97" path="m6225,364l6205,364,6209,366,6216,372,6217,377,6217,388,6216,392,6210,398,6206,401,6178,416,6172,422,6167,434,6165,441,6164,450,6230,450,6230,438,6178,438,6179,434,6182,429,6189,423,6192,421,6197,418,6214,409,6220,405,6228,396,6231,390,6231,375,6228,368,6225,364xm6210,353l6186,353,6177,358,6168,372,6167,379,6167,388,6179,388,6179,382,6180,377,6185,367,6191,364,6225,364,6218,356,6210,353xe" filled="true" fillcolor="#231f20" stroked="false">
              <v:path arrowok="t"/>
              <v:fill type="solid"/>
            </v:shape>
            <v:shape style="position:absolute;left:6241;top:354;width:67;height:99" coordorigin="6241,354" coordsize="67,99" path="m6286,354l6260,354,6250,361,6242,383,6241,393,6241,418,6243,429,6254,447,6262,452,6286,452,6296,446,6298,441,6266,441,6260,437,6255,422,6254,415,6254,391,6256,381,6262,368,6267,364,6298,364,6295,359,6286,354xm6298,364l6282,364,6287,368,6293,382,6294,391,6294,418,6292,427,6285,439,6280,441,6298,441,6301,434,6305,425,6307,415,6307,388,6305,377,6298,364xe" filled="true" fillcolor="#231f20" stroked="false">
              <v:path arrowok="t"/>
              <v:fill type="solid"/>
            </v:shape>
            <v:shape style="position:absolute;left:6317;top:354;width:67;height:99" coordorigin="6317,354" coordsize="67,99" path="m6363,354l6336,354,6327,361,6319,383,6317,393,6317,418,6320,429,6330,447,6339,452,6363,452,6372,446,6374,441,6342,441,6337,437,6331,422,6330,415,6330,391,6332,381,6339,368,6344,364,6375,364,6372,359,6363,354xm6375,364l6359,364,6364,368,6369,382,6371,391,6371,418,6369,427,6361,439,6356,441,6374,441,6382,425,6384,415,6384,388,6381,377,6375,364xe" filled="true" fillcolor="#231f20" stroked="false">
              <v:path arrowok="t"/>
              <v:fill type="solid"/>
            </v:shape>
            <v:shape style="position:absolute;left:6395;top:355;width:67;height:95" coordorigin="6395,355" coordsize="67,95" path="m6461,355l6395,355,6395,367,6448,367,6441,375,6411,436,6408,450,6422,450,6424,440,6425,433,6429,421,6432,414,6435,405,6439,397,6444,389,6454,374,6458,369,6461,366,6461,355xe" filled="true" fillcolor="#231f20" stroked="false">
              <v:path arrowok="t"/>
              <v:fill type="solid"/>
            </v:shape>
            <w10:wrap type="topAndBottom"/>
          </v:group>
        </w:pict>
      </w:r>
      <w:r>
        <w:rPr/>
        <w:pict>
          <v:group style="position:absolute;margin-left:338.792297pt;margin-top:17.661404pt;width:14.8pt;height:5pt;mso-position-horizontal-relative:page;mso-position-vertical-relative:paragraph;z-index:2416;mso-wrap-distance-left:0;mso-wrap-distance-right:0" coordorigin="6776,353" coordsize="296,100">
            <v:shape style="position:absolute;left:6776;top:353;width:67;height:97" coordorigin="6776,353" coordsize="67,97" path="m6836,364l6816,364,6821,366,6827,372,6829,377,6829,388,6827,392,6821,398,6817,401,6790,416,6784,422,6778,434,6776,441,6776,450,6842,450,6842,438,6789,438,6791,434,6793,429,6800,423,6804,421,6808,418,6825,409,6831,405,6840,396,6842,390,6842,375,6840,368,6836,364xm6822,353l6797,353,6788,358,6780,372,6778,379,6778,388,6790,388,6791,382,6792,377,6796,367,6802,364,6836,364,6830,356,6822,353xe" filled="true" fillcolor="#231f20" stroked="false">
              <v:path arrowok="t"/>
              <v:fill type="solid"/>
            </v:shape>
            <v:shape style="position:absolute;left:6852;top:354;width:67;height:99" coordorigin="6852,354" coordsize="67,99" path="m6898,354l6871,354,6862,361,6854,383,6852,393,6852,418,6855,429,6865,447,6874,452,6898,452,6907,446,6909,441,6877,441,6872,437,6866,422,6865,415,6865,391,6867,381,6874,368,6879,364,6910,364,6907,359,6898,354xm6910,364l6894,364,6899,368,6904,382,6906,391,6906,418,6904,427,6896,439,6891,441,6909,441,6913,434,6917,425,6919,415,6919,388,6916,377,6910,364xe" filled="true" fillcolor="#231f20" stroked="false">
              <v:path arrowok="t"/>
              <v:fill type="solid"/>
            </v:shape>
            <v:shape style="position:absolute;left:6929;top:354;width:67;height:99" coordorigin="6929,354" coordsize="67,99" path="m6974,354l6948,354,6938,361,6930,383,6929,393,6929,418,6931,429,6941,447,6950,452,6974,452,6984,446,6986,441,6954,441,6948,437,6943,422,6942,415,6942,391,6943,381,6950,368,6955,364,6986,364,6983,359,6974,354xm6986,364l6970,364,6975,368,6981,382,6982,391,6982,418,6980,427,6973,439,6968,441,6986,441,6993,425,6995,415,6995,388,6993,377,6986,364xe" filled="true" fillcolor="#231f20" stroked="false">
              <v:path arrowok="t"/>
              <v:fill type="solid"/>
            </v:shape>
            <v:shape style="position:absolute;left:7005;top:353;width:67;height:100" coordorigin="7005,353" coordsize="67,100" path="m7048,353l7029,353,7022,356,7011,366,7009,372,7009,385,7011,390,7016,395,7019,397,7022,398,7016,401,7012,404,7007,412,7005,417,7005,432,7009,440,7022,450,7029,452,7049,452,7057,450,7065,441,7032,441,7027,440,7020,432,7019,428,7019,417,7020,413,7028,406,7032,404,7065,404,7063,402,7060,400,7056,398,7059,396,7062,394,7062,394,7034,394,7030,393,7023,387,7021,384,7022,375,7023,372,7025,369,7028,366,7032,364,7064,364,7055,356,7048,353xm7065,404l7044,404,7049,406,7057,412,7058,417,7059,429,7057,434,7049,440,7045,441,7065,441,7069,438,7071,431,7071,415,7069,409,7065,404xm7064,364l7044,364,7048,366,7054,372,7055,375,7055,383,7054,386,7051,389,7048,392,7044,394,7062,394,7067,388,7068,384,7068,371,7065,365,7064,364xe" filled="true" fillcolor="#231f20" stroked="false">
              <v:path arrowok="t"/>
              <v:fill type="solid"/>
            </v:shape>
            <w10:wrap type="topAndBottom"/>
          </v:group>
        </w:pict>
      </w:r>
    </w:p>
    <w:p>
      <w:pPr>
        <w:pStyle w:val="BodyText"/>
        <w:spacing w:before="9"/>
        <w:rPr>
          <w:b/>
          <w:sz w:val="3"/>
        </w:rPr>
      </w:pPr>
    </w:p>
    <w:p>
      <w:pPr>
        <w:pStyle w:val="BodyText"/>
        <w:spacing w:line="105" w:lineRule="exact"/>
        <w:ind w:left="3914"/>
        <w:rPr>
          <w:sz w:val="10"/>
        </w:rPr>
      </w:pPr>
      <w:r>
        <w:rPr>
          <w:position w:val="-1"/>
          <w:sz w:val="10"/>
        </w:rPr>
        <w:drawing>
          <wp:inline distT="0" distB="0" distL="0" distR="0">
            <wp:extent cx="166049" cy="66675"/>
            <wp:effectExtent l="0" t="0" r="0" b="0"/>
            <wp:docPr id="19" name="image32.png" descr=""/>
            <wp:cNvGraphicFramePr>
              <a:graphicFrameLocks noChangeAspect="1"/>
            </wp:cNvGraphicFramePr>
            <a:graphic>
              <a:graphicData uri="http://schemas.openxmlformats.org/drawingml/2006/picture">
                <pic:pic>
                  <pic:nvPicPr>
                    <pic:cNvPr id="20" name="image32.png"/>
                    <pic:cNvPicPr/>
                  </pic:nvPicPr>
                  <pic:blipFill>
                    <a:blip r:embed="rId47" cstate="print"/>
                    <a:stretch>
                      <a:fillRect/>
                    </a:stretch>
                  </pic:blipFill>
                  <pic:spPr>
                    <a:xfrm>
                      <a:off x="0" y="0"/>
                      <a:ext cx="166049" cy="66675"/>
                    </a:xfrm>
                    <a:prstGeom prst="rect">
                      <a:avLst/>
                    </a:prstGeom>
                  </pic:spPr>
                </pic:pic>
              </a:graphicData>
            </a:graphic>
          </wp:inline>
        </w:drawing>
      </w:r>
      <w:r>
        <w:rPr>
          <w:position w:val="-1"/>
          <w:sz w:val="10"/>
        </w:rPr>
      </w:r>
    </w:p>
    <w:p>
      <w:pPr>
        <w:spacing w:before="169"/>
        <w:ind w:left="935" w:right="-2" w:firstLine="0"/>
        <w:jc w:val="left"/>
        <w:rPr>
          <w:rFonts w:ascii="Calibri" w:hAnsi="Calibri"/>
          <w:sz w:val="16"/>
        </w:rPr>
      </w:pPr>
      <w:r>
        <w:rPr/>
        <w:drawing>
          <wp:anchor distT="0" distB="0" distL="0" distR="0" allowOverlap="1" layoutInCell="1" locked="0" behindDoc="0" simplePos="0" relativeHeight="2608">
            <wp:simplePos x="0" y="0"/>
            <wp:positionH relativeFrom="page">
              <wp:posOffset>636450</wp:posOffset>
            </wp:positionH>
            <wp:positionV relativeFrom="paragraph">
              <wp:posOffset>-727902</wp:posOffset>
            </wp:positionV>
            <wp:extent cx="683348" cy="63150"/>
            <wp:effectExtent l="0" t="0" r="0" b="0"/>
            <wp:wrapNone/>
            <wp:docPr id="21" name="image33.png" descr=""/>
            <wp:cNvGraphicFramePr>
              <a:graphicFrameLocks noChangeAspect="1"/>
            </wp:cNvGraphicFramePr>
            <a:graphic>
              <a:graphicData uri="http://schemas.openxmlformats.org/drawingml/2006/picture">
                <pic:pic>
                  <pic:nvPicPr>
                    <pic:cNvPr id="22" name="image33.png"/>
                    <pic:cNvPicPr/>
                  </pic:nvPicPr>
                  <pic:blipFill>
                    <a:blip r:embed="rId48" cstate="print"/>
                    <a:stretch>
                      <a:fillRect/>
                    </a:stretch>
                  </pic:blipFill>
                  <pic:spPr>
                    <a:xfrm>
                      <a:off x="0" y="0"/>
                      <a:ext cx="683348" cy="63150"/>
                    </a:xfrm>
                    <a:prstGeom prst="rect">
                      <a:avLst/>
                    </a:prstGeom>
                  </pic:spPr>
                </pic:pic>
              </a:graphicData>
            </a:graphic>
          </wp:anchor>
        </w:drawing>
      </w:r>
      <w:r>
        <w:rPr/>
        <w:pict>
          <v:group style="position:absolute;margin-left:49.994804pt;margin-top:-46.014027pt;width:53.8pt;height:4.95pt;mso-position-horizontal-relative:page;mso-position-vertical-relative:paragraph;z-index:2632" coordorigin="1000,-920" coordsize="1076,99">
            <v:shape style="position:absolute;left:1000;top:-920;width:314;height:100" coordorigin="1000,-920" coordsize="314,100" path="m1097,-858l1077,-858,1077,-902,1077,-920,1063,-920,1060,-917,1060,-902,1060,-858,1016,-858,1060,-902,1060,-917,1000,-859,1000,-847,1060,-847,1060,-824,1077,-824,1077,-847,1097,-847,1097,-858m1204,-886l1201,-897,1195,-905,1191,-909,1188,-911,1186,-913,1186,-883,1186,-856,1183,-846,1173,-835,1165,-832,1145,-832,1138,-837,1130,-852,1129,-859,1128,-883,1131,-892,1140,-906,1148,-909,1169,-909,1176,-906,1184,-892,1186,-883,1186,-913,1180,-916,1169,-919,1157,-920,1143,-919,1132,-915,1123,-908,1116,-898,1112,-890,1110,-881,1110,-856,1113,-845,1128,-826,1140,-821,1157,-821,1169,-822,1180,-826,1189,-832,1190,-832,1196,-840,1202,-848,1204,-859,1204,-886m1313,-886l1310,-897,1304,-905,1299,-909,1297,-911,1295,-913,1295,-883,1295,-856,1292,-846,1281,-835,1274,-832,1254,-832,1246,-837,1239,-852,1237,-859,1237,-883,1240,-892,1249,-906,1256,-909,1278,-909,1285,-906,1293,-892,1295,-883,1295,-913,1289,-916,1278,-919,1266,-920,1252,-919,1241,-915,1232,-908,1225,-898,1221,-890,1219,-881,1219,-856,1222,-845,1237,-826,1249,-821,1266,-821,1278,-822,1289,-826,1298,-832,1298,-832,1305,-840,1310,-848,1313,-859,1313,-886e" filled="true" fillcolor="#231f20" stroked="false">
              <v:path arrowok="t"/>
              <v:fill type="solid"/>
            </v:shape>
            <v:line style="position:absolute" from="1338,-831" to="1358,-831" stroked="true" strokeweight=".732pt" strokecolor="#231f20"/>
            <v:shape style="position:absolute;left:1382;top:-920;width:313;height:99" coordorigin="1382,-920" coordsize="313,99" path="m1476,-886l1473,-897,1467,-905,1463,-909,1460,-911,1458,-913,1458,-883,1458,-856,1455,-846,1445,-835,1438,-832,1418,-832,1410,-837,1402,-852,1401,-859,1401,-883,1403,-892,1412,-906,1420,-909,1441,-909,1448,-906,1456,-892,1458,-883,1458,-913,1452,-916,1441,-919,1429,-920,1415,-919,1404,-915,1395,-908,1388,-898,1384,-890,1382,-881,1382,-856,1385,-845,1400,-826,1412,-821,1429,-821,1441,-822,1452,-826,1461,-832,1462,-832,1468,-840,1474,-848,1476,-859,1476,-886m1585,-886l1582,-897,1576,-905,1572,-909,1569,-911,1567,-913,1567,-883,1567,-856,1564,-846,1554,-835,1546,-832,1526,-832,1519,-837,1511,-852,1510,-859,1509,-883,1512,-892,1521,-906,1529,-909,1550,-909,1557,-906,1565,-892,1567,-883,1567,-913,1561,-916,1550,-919,1538,-920,1524,-919,1513,-915,1504,-908,1497,-898,1493,-890,1491,-881,1491,-856,1494,-845,1509,-826,1521,-821,1538,-821,1550,-822,1561,-826,1570,-832,1571,-832,1577,-840,1583,-848,1585,-859,1585,-886m1694,-886l1691,-897,1685,-905,1680,-909,1678,-911,1676,-913,1676,-883,1676,-856,1673,-846,1662,-835,1655,-832,1635,-832,1627,-837,1620,-852,1618,-859,1618,-883,1621,-892,1630,-906,1637,-909,1659,-909,1666,-906,1674,-892,1676,-883,1676,-913,1670,-916,1659,-919,1647,-920,1633,-919,1622,-915,1613,-908,1606,-898,1602,-890,1600,-881,1600,-856,1603,-845,1618,-826,1630,-821,1647,-821,1659,-822,1670,-826,1679,-832,1679,-832,1686,-840,1691,-848,1694,-859,1694,-886e" filled="true" fillcolor="#231f20" stroked="false">
              <v:path arrowok="t"/>
              <v:fill type="solid"/>
            </v:shape>
            <v:line style="position:absolute" from="1719,-831" to="1739,-831" stroked="true" strokeweight=".732pt" strokecolor="#231f20"/>
            <v:shape style="position:absolute;left:1763;top:-920;width:313;height:99" coordorigin="1763,-920" coordsize="313,99" path="m1857,-886l1854,-897,1848,-905,1844,-909,1841,-911,1839,-913,1839,-883,1839,-856,1836,-846,1826,-835,1819,-832,1799,-832,1791,-837,1783,-852,1782,-859,1782,-883,1784,-892,1793,-906,1801,-909,1822,-909,1829,-906,1837,-892,1839,-883,1839,-913,1833,-916,1822,-919,1810,-920,1796,-919,1785,-915,1776,-908,1769,-898,1765,-890,1763,-881,1763,-856,1766,-845,1781,-826,1793,-821,1810,-821,1822,-822,1833,-826,1842,-832,1843,-832,1849,-840,1855,-848,1857,-859,1857,-886m1966,-886l1963,-897,1957,-905,1953,-909,1950,-911,1948,-913,1948,-883,1948,-856,1945,-846,1935,-835,1927,-832,1907,-832,1900,-837,1892,-852,1891,-859,1890,-883,1893,-892,1902,-906,1910,-909,1931,-909,1938,-906,1946,-892,1948,-883,1948,-913,1942,-916,1931,-919,1919,-920,1905,-919,1894,-915,1885,-908,1878,-898,1874,-890,1872,-881,1872,-856,1875,-845,1890,-826,1902,-821,1919,-821,1931,-822,1942,-826,1951,-832,1952,-832,1958,-840,1964,-848,1966,-859,1966,-886m2075,-886l2072,-897,2066,-905,2061,-909,2059,-911,2057,-913,2057,-883,2057,-856,2054,-846,2043,-835,2036,-832,2016,-832,2008,-837,2001,-852,1999,-859,1999,-883,2002,-892,2011,-906,2018,-909,2040,-909,2047,-906,2055,-892,2057,-883,2057,-913,2051,-916,2040,-919,2028,-920,2014,-919,2003,-915,1994,-908,1987,-898,1983,-890,1981,-881,1981,-856,1984,-845,1999,-826,2011,-821,2028,-821,2040,-822,2051,-826,2060,-832,2060,-832,2067,-840,2072,-848,2075,-859,2075,-886e" filled="true" fillcolor="#231f20" stroked="false">
              <v:path arrowok="t"/>
              <v:fill type="solid"/>
            </v:shape>
            <w10:wrap type="none"/>
          </v:group>
        </w:pict>
      </w:r>
      <w:r>
        <w:rPr/>
        <w:drawing>
          <wp:anchor distT="0" distB="0" distL="0" distR="0" allowOverlap="1" layoutInCell="1" locked="0" behindDoc="0" simplePos="0" relativeHeight="2656">
            <wp:simplePos x="0" y="0"/>
            <wp:positionH relativeFrom="page">
              <wp:posOffset>635664</wp:posOffset>
            </wp:positionH>
            <wp:positionV relativeFrom="paragraph">
              <wp:posOffset>-440989</wp:posOffset>
            </wp:positionV>
            <wp:extent cx="679389" cy="62674"/>
            <wp:effectExtent l="0" t="0" r="0" b="0"/>
            <wp:wrapNone/>
            <wp:docPr id="23" name="image34.png" descr=""/>
            <wp:cNvGraphicFramePr>
              <a:graphicFrameLocks noChangeAspect="1"/>
            </wp:cNvGraphicFramePr>
            <a:graphic>
              <a:graphicData uri="http://schemas.openxmlformats.org/drawingml/2006/picture">
                <pic:pic>
                  <pic:nvPicPr>
                    <pic:cNvPr id="24" name="image34.png"/>
                    <pic:cNvPicPr/>
                  </pic:nvPicPr>
                  <pic:blipFill>
                    <a:blip r:embed="rId49" cstate="print"/>
                    <a:stretch>
                      <a:fillRect/>
                    </a:stretch>
                  </pic:blipFill>
                  <pic:spPr>
                    <a:xfrm>
                      <a:off x="0" y="0"/>
                      <a:ext cx="679389" cy="62674"/>
                    </a:xfrm>
                    <a:prstGeom prst="rect">
                      <a:avLst/>
                    </a:prstGeom>
                  </pic:spPr>
                </pic:pic>
              </a:graphicData>
            </a:graphic>
          </wp:anchor>
        </w:drawing>
      </w:r>
      <w:r>
        <w:rPr/>
        <w:pict>
          <v:shape style="position:absolute;margin-left:99.039505pt;margin-top:-23.412323pt;width:4.75pt;height:4.95pt;mso-position-horizontal-relative:page;mso-position-vertical-relative:paragraph;z-index:2680" coordorigin="1981,-468" coordsize="95,99" path="m2028,-468l2014,-467,2003,-463,1994,-456,1987,-446,1983,-439,1981,-429,1981,-404,1984,-393,1999,-375,2011,-370,2028,-370,2040,-371,2051,-374,2060,-380,2061,-381,2016,-381,2008,-385,2001,-400,1999,-407,1999,-431,2002,-441,2011,-454,2018,-457,2061,-457,2059,-460,2051,-464,2040,-467,2028,-468xm2061,-457l2040,-457,2047,-454,2055,-440,2057,-431,2057,-404,2054,-394,2043,-383,2036,-381,2061,-381,2067,-388,2072,-396,2075,-407,2075,-434,2072,-445,2066,-453,2061,-457xe" filled="true" fillcolor="#231f20" stroked="false">
            <v:path arrowok="t"/>
            <v:fill type="solid"/>
            <w10:wrap type="none"/>
          </v:shape>
        </w:pict>
      </w:r>
      <w:r>
        <w:rPr>
          <w:rFonts w:ascii="Calibri" w:hAnsi="Calibri"/>
          <w:color w:val="231F20"/>
          <w:sz w:val="16"/>
        </w:rPr>
        <w:t>Fuente:</w:t>
      </w:r>
      <w:r>
        <w:rPr>
          <w:rFonts w:ascii="Calibri" w:hAnsi="Calibri"/>
          <w:color w:val="231F20"/>
          <w:spacing w:val="-23"/>
          <w:sz w:val="16"/>
        </w:rPr>
        <w:t> </w:t>
      </w:r>
      <w:r>
        <w:rPr>
          <w:rFonts w:ascii="Calibri" w:hAnsi="Calibri"/>
          <w:color w:val="231F20"/>
          <w:sz w:val="16"/>
        </w:rPr>
        <w:t>elaboración</w:t>
      </w:r>
      <w:r>
        <w:rPr>
          <w:rFonts w:ascii="Calibri" w:hAnsi="Calibri"/>
          <w:color w:val="231F20"/>
          <w:spacing w:val="-23"/>
          <w:sz w:val="16"/>
        </w:rPr>
        <w:t> </w:t>
      </w:r>
      <w:r>
        <w:rPr>
          <w:rFonts w:ascii="Calibri" w:hAnsi="Calibri"/>
          <w:color w:val="231F20"/>
          <w:sz w:val="16"/>
        </w:rPr>
        <w:t>propia</w:t>
      </w:r>
      <w:r>
        <w:rPr>
          <w:rFonts w:ascii="Calibri" w:hAnsi="Calibri"/>
          <w:color w:val="231F20"/>
          <w:spacing w:val="-23"/>
          <w:sz w:val="16"/>
        </w:rPr>
        <w:t> </w:t>
      </w:r>
      <w:r>
        <w:rPr>
          <w:rFonts w:ascii="Calibri" w:hAnsi="Calibri"/>
          <w:color w:val="231F20"/>
          <w:sz w:val="16"/>
        </w:rPr>
        <w:t>a</w:t>
      </w:r>
      <w:r>
        <w:rPr>
          <w:rFonts w:ascii="Calibri" w:hAnsi="Calibri"/>
          <w:color w:val="231F20"/>
          <w:spacing w:val="-23"/>
          <w:sz w:val="16"/>
        </w:rPr>
        <w:t> </w:t>
      </w:r>
      <w:r>
        <w:rPr>
          <w:rFonts w:ascii="Calibri" w:hAnsi="Calibri"/>
          <w:color w:val="231F20"/>
          <w:sz w:val="16"/>
        </w:rPr>
        <w:t>partir</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(HUIXQUILUCAN,</w:t>
      </w:r>
      <w:r>
        <w:rPr>
          <w:rFonts w:ascii="Calibri" w:hAnsi="Calibri"/>
          <w:color w:val="231F20"/>
          <w:spacing w:val="-23"/>
          <w:sz w:val="16"/>
        </w:rPr>
        <w:t> </w:t>
      </w:r>
      <w:r>
        <w:rPr>
          <w:rFonts w:ascii="Calibri" w:hAnsi="Calibri"/>
          <w:color w:val="231F20"/>
          <w:sz w:val="16"/>
        </w:rPr>
        <w:t>2006a),</w:t>
      </w:r>
      <w:r>
        <w:rPr>
          <w:rFonts w:ascii="Calibri" w:hAnsi="Calibri"/>
          <w:color w:val="231F20"/>
          <w:spacing w:val="-23"/>
          <w:sz w:val="16"/>
        </w:rPr>
        <w:t> </w:t>
      </w:r>
      <w:r>
        <w:rPr>
          <w:rFonts w:ascii="Calibri" w:hAnsi="Calibri"/>
          <w:color w:val="231F20"/>
          <w:sz w:val="16"/>
        </w:rPr>
        <w:t>(INEGI,</w:t>
      </w:r>
      <w:r>
        <w:rPr>
          <w:rFonts w:ascii="Calibri" w:hAnsi="Calibri"/>
          <w:color w:val="231F20"/>
          <w:spacing w:val="-23"/>
          <w:sz w:val="16"/>
        </w:rPr>
        <w:t> </w:t>
      </w:r>
      <w:r>
        <w:rPr>
          <w:rFonts w:ascii="Calibri" w:hAnsi="Calibri"/>
          <w:color w:val="231F20"/>
          <w:sz w:val="16"/>
        </w:rPr>
        <w:t>2006),</w:t>
      </w:r>
      <w:r>
        <w:rPr>
          <w:rFonts w:ascii="Calibri" w:hAnsi="Calibri"/>
          <w:color w:val="231F20"/>
          <w:spacing w:val="-23"/>
          <w:sz w:val="16"/>
        </w:rPr>
        <w:t> </w:t>
      </w:r>
      <w:r>
        <w:rPr>
          <w:rFonts w:ascii="Calibri" w:hAnsi="Calibri"/>
          <w:color w:val="231F20"/>
          <w:sz w:val="16"/>
        </w:rPr>
        <w:t>(SECRETARIA</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FINANZAS,</w:t>
      </w:r>
      <w:r>
        <w:rPr>
          <w:rFonts w:ascii="Calibri" w:hAnsi="Calibri"/>
          <w:color w:val="231F20"/>
          <w:spacing w:val="-23"/>
          <w:sz w:val="16"/>
        </w:rPr>
        <w:t> </w:t>
      </w:r>
      <w:r>
        <w:rPr>
          <w:rFonts w:ascii="Calibri" w:hAnsi="Calibri"/>
          <w:color w:val="231F20"/>
          <w:sz w:val="16"/>
        </w:rPr>
        <w:t>2009).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Los ingresos de la hacienda municipal mostraron un crecimiento constante en los ru- bros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“ingresos</w:t>
      </w:r>
      <w:r>
        <w:rPr>
          <w:color w:val="231F20"/>
          <w:spacing w:val="-12"/>
          <w:w w:val="105"/>
        </w:rPr>
        <w:t> </w:t>
      </w:r>
      <w:r>
        <w:rPr>
          <w:color w:val="231F20"/>
          <w:spacing w:val="-3"/>
          <w:w w:val="105"/>
        </w:rPr>
        <w:t>propios”</w:t>
      </w:r>
      <w:r>
        <w:rPr>
          <w:color w:val="231F20"/>
          <w:spacing w:val="-12"/>
          <w:w w:val="105"/>
        </w:rPr>
        <w:t> </w:t>
      </w:r>
      <w:r>
        <w:rPr>
          <w:color w:val="231F20"/>
          <w:spacing w:val="-3"/>
          <w:w w:val="105"/>
        </w:rPr>
        <w:t>(compuesto</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suma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impuestos</w:t>
      </w:r>
      <w:r>
        <w:rPr>
          <w:color w:val="231F20"/>
          <w:spacing w:val="-12"/>
          <w:w w:val="105"/>
        </w:rPr>
        <w:t> </w:t>
      </w:r>
      <w:r>
        <w:rPr>
          <w:color w:val="231F20"/>
          <w:w w:val="105"/>
        </w:rPr>
        <w:t>recaudados</w:t>
      </w:r>
      <w:r>
        <w:rPr>
          <w:color w:val="231F20"/>
          <w:spacing w:val="-12"/>
          <w:w w:val="105"/>
        </w:rPr>
        <w:t> </w:t>
      </w:r>
      <w:r>
        <w:rPr>
          <w:color w:val="231F20"/>
          <w:w w:val="105"/>
        </w:rPr>
        <w:t>por el</w:t>
      </w:r>
      <w:r>
        <w:rPr>
          <w:color w:val="231F20"/>
          <w:spacing w:val="-19"/>
          <w:w w:val="105"/>
        </w:rPr>
        <w:t> </w:t>
      </w:r>
      <w:r>
        <w:rPr>
          <w:color w:val="231F20"/>
          <w:w w:val="105"/>
        </w:rPr>
        <w:t>municipio,</w:t>
      </w:r>
      <w:r>
        <w:rPr>
          <w:color w:val="231F20"/>
          <w:spacing w:val="-19"/>
          <w:w w:val="105"/>
        </w:rPr>
        <w:t> </w:t>
      </w:r>
      <w:r>
        <w:rPr>
          <w:color w:val="231F20"/>
          <w:w w:val="105"/>
        </w:rPr>
        <w:t>los</w:t>
      </w:r>
      <w:r>
        <w:rPr>
          <w:color w:val="231F20"/>
          <w:spacing w:val="-19"/>
          <w:w w:val="105"/>
        </w:rPr>
        <w:t> </w:t>
      </w:r>
      <w:r>
        <w:rPr>
          <w:color w:val="231F20"/>
          <w:w w:val="105"/>
        </w:rPr>
        <w:t>pagos</w:t>
      </w:r>
      <w:r>
        <w:rPr>
          <w:color w:val="231F20"/>
          <w:spacing w:val="-19"/>
          <w:w w:val="105"/>
        </w:rPr>
        <w:t> </w:t>
      </w:r>
      <w:r>
        <w:rPr>
          <w:color w:val="231F20"/>
          <w:w w:val="105"/>
        </w:rPr>
        <w:t>de</w:t>
      </w:r>
      <w:r>
        <w:rPr>
          <w:color w:val="231F20"/>
          <w:spacing w:val="-19"/>
          <w:w w:val="105"/>
        </w:rPr>
        <w:t> </w:t>
      </w:r>
      <w:r>
        <w:rPr>
          <w:color w:val="231F20"/>
          <w:w w:val="105"/>
        </w:rPr>
        <w:t>derechos,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productos</w:t>
      </w:r>
      <w:r>
        <w:rPr>
          <w:color w:val="231F20"/>
          <w:spacing w:val="-19"/>
          <w:w w:val="105"/>
        </w:rPr>
        <w:t> </w:t>
      </w:r>
      <w:r>
        <w:rPr>
          <w:color w:val="231F20"/>
          <w:w w:val="105"/>
        </w:rPr>
        <w:t>generados,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aprovechamien- tos</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contribuciones</w:t>
      </w:r>
      <w:r>
        <w:rPr>
          <w:color w:val="231F20"/>
          <w:spacing w:val="-11"/>
          <w:w w:val="105"/>
        </w:rPr>
        <w:t> </w:t>
      </w:r>
      <w:r>
        <w:rPr>
          <w:color w:val="231F20"/>
          <w:w w:val="105"/>
        </w:rPr>
        <w:t>a</w:t>
      </w:r>
      <w:r>
        <w:rPr>
          <w:color w:val="231F20"/>
          <w:spacing w:val="-11"/>
          <w:w w:val="105"/>
        </w:rPr>
        <w:t> </w:t>
      </w:r>
      <w:r>
        <w:rPr>
          <w:color w:val="231F20"/>
          <w:spacing w:val="-3"/>
          <w:w w:val="105"/>
        </w:rPr>
        <w:t>mejoras),</w:t>
      </w:r>
      <w:r>
        <w:rPr>
          <w:color w:val="231F20"/>
          <w:spacing w:val="-11"/>
          <w:w w:val="105"/>
        </w:rPr>
        <w:t> </w:t>
      </w:r>
      <w:r>
        <w:rPr>
          <w:color w:val="231F20"/>
          <w:w w:val="105"/>
        </w:rPr>
        <w:t>así</w:t>
      </w:r>
      <w:r>
        <w:rPr>
          <w:color w:val="231F20"/>
          <w:spacing w:val="-11"/>
          <w:w w:val="105"/>
        </w:rPr>
        <w:t> </w:t>
      </w:r>
      <w:r>
        <w:rPr>
          <w:color w:val="231F20"/>
          <w:w w:val="105"/>
        </w:rPr>
        <w:t>como</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“ingresos</w:t>
      </w:r>
      <w:r>
        <w:rPr>
          <w:color w:val="231F20"/>
          <w:spacing w:val="-11"/>
          <w:w w:val="105"/>
        </w:rPr>
        <w:t> </w:t>
      </w:r>
      <w:r>
        <w:rPr>
          <w:color w:val="231F20"/>
          <w:w w:val="105"/>
        </w:rPr>
        <w:t>indirectos”</w:t>
      </w:r>
      <w:r>
        <w:rPr>
          <w:color w:val="231F20"/>
          <w:spacing w:val="-11"/>
          <w:w w:val="105"/>
        </w:rPr>
        <w:t> </w:t>
      </w:r>
      <w:r>
        <w:rPr>
          <w:color w:val="231F20"/>
          <w:spacing w:val="-4"/>
          <w:w w:val="105"/>
        </w:rPr>
        <w:t>(que</w:t>
      </w:r>
      <w:r>
        <w:rPr>
          <w:color w:val="231F20"/>
          <w:spacing w:val="-11"/>
          <w:w w:val="105"/>
        </w:rPr>
        <w:t> </w:t>
      </w:r>
      <w:r>
        <w:rPr>
          <w:color w:val="231F20"/>
          <w:w w:val="105"/>
        </w:rPr>
        <w:t>inclu- yen</w:t>
      </w:r>
      <w:r>
        <w:rPr>
          <w:color w:val="231F20"/>
          <w:spacing w:val="-24"/>
          <w:w w:val="105"/>
        </w:rPr>
        <w:t> </w:t>
      </w:r>
      <w:r>
        <w:rPr>
          <w:color w:val="231F20"/>
          <w:w w:val="105"/>
        </w:rPr>
        <w:t>a</w:t>
      </w:r>
      <w:r>
        <w:rPr>
          <w:color w:val="231F20"/>
          <w:spacing w:val="-24"/>
          <w:w w:val="105"/>
        </w:rPr>
        <w:t> </w:t>
      </w:r>
      <w:r>
        <w:rPr>
          <w:color w:val="231F20"/>
          <w:w w:val="105"/>
        </w:rPr>
        <w:t>las</w:t>
      </w:r>
      <w:r>
        <w:rPr>
          <w:color w:val="231F20"/>
          <w:spacing w:val="-24"/>
          <w:w w:val="105"/>
        </w:rPr>
        <w:t> </w:t>
      </w:r>
      <w:r>
        <w:rPr>
          <w:color w:val="231F20"/>
          <w:w w:val="105"/>
        </w:rPr>
        <w:t>participaciones</w:t>
      </w:r>
      <w:r>
        <w:rPr>
          <w:color w:val="231F20"/>
          <w:spacing w:val="-24"/>
          <w:w w:val="105"/>
        </w:rPr>
        <w:t> </w:t>
      </w:r>
      <w:r>
        <w:rPr>
          <w:color w:val="231F20"/>
          <w:w w:val="105"/>
        </w:rPr>
        <w:t>federales</w:t>
      </w:r>
      <w:r>
        <w:rPr>
          <w:color w:val="231F20"/>
          <w:spacing w:val="-24"/>
          <w:w w:val="105"/>
        </w:rPr>
        <w:t> </w:t>
      </w:r>
      <w:r>
        <w:rPr>
          <w:color w:val="231F20"/>
          <w:w w:val="105"/>
        </w:rPr>
        <w:t>y</w:t>
      </w:r>
      <w:r>
        <w:rPr>
          <w:color w:val="231F20"/>
          <w:spacing w:val="-24"/>
          <w:w w:val="105"/>
        </w:rPr>
        <w:t> </w:t>
      </w:r>
      <w:r>
        <w:rPr>
          <w:color w:val="231F20"/>
          <w:w w:val="105"/>
        </w:rPr>
        <w:t>aportaciones</w:t>
      </w:r>
      <w:r>
        <w:rPr>
          <w:color w:val="231F20"/>
          <w:spacing w:val="-24"/>
          <w:w w:val="105"/>
        </w:rPr>
        <w:t> </w:t>
      </w:r>
      <w:r>
        <w:rPr>
          <w:color w:val="231F20"/>
          <w:w w:val="105"/>
        </w:rPr>
        <w:t>federales</w:t>
      </w:r>
      <w:r>
        <w:rPr>
          <w:color w:val="231F20"/>
          <w:spacing w:val="-24"/>
          <w:w w:val="105"/>
        </w:rPr>
        <w:t> </w:t>
      </w:r>
      <w:r>
        <w:rPr>
          <w:color w:val="231F20"/>
          <w:w w:val="105"/>
        </w:rPr>
        <w:t>y</w:t>
      </w:r>
      <w:r>
        <w:rPr>
          <w:color w:val="231F20"/>
          <w:spacing w:val="-24"/>
          <w:w w:val="105"/>
        </w:rPr>
        <w:t> </w:t>
      </w:r>
      <w:r>
        <w:rPr>
          <w:color w:val="231F20"/>
          <w:w w:val="105"/>
        </w:rPr>
        <w:t>estatales).</w:t>
      </w:r>
    </w:p>
    <w:p>
      <w:pPr>
        <w:pStyle w:val="BodyText"/>
        <w:spacing w:before="1"/>
        <w:rPr>
          <w:sz w:val="26"/>
        </w:rPr>
      </w:pPr>
    </w:p>
    <w:p>
      <w:pPr>
        <w:pStyle w:val="BodyText"/>
        <w:spacing w:line="285" w:lineRule="auto"/>
        <w:ind w:left="110" w:right="108"/>
        <w:jc w:val="both"/>
      </w:pPr>
      <w:r>
        <w:rPr>
          <w:color w:val="231F20"/>
          <w:w w:val="105"/>
        </w:rPr>
        <w:t>Los ingresos </w:t>
      </w:r>
      <w:r>
        <w:rPr>
          <w:color w:val="231F20"/>
          <w:spacing w:val="-3"/>
          <w:w w:val="105"/>
        </w:rPr>
        <w:t>propios </w:t>
      </w:r>
      <w:r>
        <w:rPr>
          <w:color w:val="231F20"/>
          <w:w w:val="105"/>
        </w:rPr>
        <w:t>aumentaron en </w:t>
      </w:r>
      <w:r>
        <w:rPr>
          <w:color w:val="231F20"/>
          <w:spacing w:val="-6"/>
          <w:w w:val="105"/>
        </w:rPr>
        <w:t>131% </w:t>
      </w:r>
      <w:r>
        <w:rPr>
          <w:color w:val="231F20"/>
          <w:spacing w:val="2"/>
          <w:w w:val="105"/>
        </w:rPr>
        <w:t>al final </w:t>
      </w:r>
      <w:r>
        <w:rPr>
          <w:color w:val="231F20"/>
          <w:w w:val="105"/>
        </w:rPr>
        <w:t>del periodo y de manera constante, aunque</w:t>
      </w:r>
      <w:r>
        <w:rPr>
          <w:color w:val="231F20"/>
          <w:spacing w:val="-12"/>
          <w:w w:val="105"/>
        </w:rPr>
        <w:t> </w:t>
      </w:r>
      <w:r>
        <w:rPr>
          <w:color w:val="231F20"/>
          <w:w w:val="105"/>
        </w:rPr>
        <w:t>mostraron</w:t>
      </w:r>
      <w:r>
        <w:rPr>
          <w:color w:val="231F20"/>
          <w:spacing w:val="-12"/>
          <w:w w:val="105"/>
        </w:rPr>
        <w:t> </w:t>
      </w:r>
      <w:r>
        <w:rPr>
          <w:color w:val="231F20"/>
          <w:w w:val="105"/>
        </w:rPr>
        <w:t>etapas</w:t>
      </w:r>
      <w:r>
        <w:rPr>
          <w:color w:val="231F20"/>
          <w:spacing w:val="-12"/>
          <w:w w:val="105"/>
        </w:rPr>
        <w:t> </w:t>
      </w:r>
      <w:r>
        <w:rPr>
          <w:color w:val="231F20"/>
          <w:w w:val="105"/>
        </w:rPr>
        <w:t>de</w:t>
      </w:r>
      <w:r>
        <w:rPr>
          <w:color w:val="231F20"/>
          <w:spacing w:val="-12"/>
          <w:w w:val="105"/>
        </w:rPr>
        <w:t> </w:t>
      </w:r>
      <w:r>
        <w:rPr>
          <w:color w:val="231F20"/>
          <w:w w:val="105"/>
        </w:rPr>
        <w:t>ligero</w:t>
      </w:r>
      <w:r>
        <w:rPr>
          <w:color w:val="231F20"/>
          <w:spacing w:val="-12"/>
          <w:w w:val="105"/>
        </w:rPr>
        <w:t> </w:t>
      </w:r>
      <w:r>
        <w:rPr>
          <w:color w:val="231F20"/>
          <w:w w:val="105"/>
        </w:rPr>
        <w:t>estancamiento</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años</w:t>
      </w:r>
      <w:r>
        <w:rPr>
          <w:color w:val="231F20"/>
          <w:spacing w:val="-12"/>
          <w:w w:val="105"/>
        </w:rPr>
        <w:t> </w:t>
      </w:r>
      <w:r>
        <w:rPr>
          <w:color w:val="231F20"/>
          <w:spacing w:val="2"/>
          <w:w w:val="105"/>
        </w:rPr>
        <w:t>2002</w:t>
      </w:r>
      <w:r>
        <w:rPr>
          <w:color w:val="231F20"/>
          <w:spacing w:val="-12"/>
          <w:w w:val="105"/>
        </w:rPr>
        <w:t> </w:t>
      </w:r>
      <w:r>
        <w:rPr>
          <w:color w:val="231F20"/>
          <w:w w:val="105"/>
        </w:rPr>
        <w:t>y</w:t>
      </w:r>
      <w:r>
        <w:rPr>
          <w:color w:val="231F20"/>
          <w:spacing w:val="-12"/>
          <w:w w:val="105"/>
        </w:rPr>
        <w:t> </w:t>
      </w:r>
      <w:r>
        <w:rPr>
          <w:color w:val="231F20"/>
          <w:spacing w:val="3"/>
          <w:w w:val="105"/>
        </w:rPr>
        <w:t>2004,</w:t>
      </w:r>
      <w:r>
        <w:rPr>
          <w:color w:val="231F20"/>
          <w:spacing w:val="-12"/>
          <w:w w:val="105"/>
        </w:rPr>
        <w:t> </w:t>
      </w:r>
      <w:r>
        <w:rPr>
          <w:color w:val="231F20"/>
          <w:w w:val="105"/>
        </w:rPr>
        <w:t>así</w:t>
      </w:r>
      <w:r>
        <w:rPr>
          <w:color w:val="231F20"/>
          <w:spacing w:val="-12"/>
          <w:w w:val="105"/>
        </w:rPr>
        <w:t> </w:t>
      </w:r>
      <w:r>
        <w:rPr>
          <w:color w:val="231F20"/>
          <w:w w:val="105"/>
        </w:rPr>
        <w:t>como entre</w:t>
      </w:r>
      <w:r>
        <w:rPr>
          <w:color w:val="231F20"/>
          <w:spacing w:val="-22"/>
          <w:w w:val="105"/>
        </w:rPr>
        <w:t> </w:t>
      </w:r>
      <w:r>
        <w:rPr>
          <w:color w:val="231F20"/>
          <w:spacing w:val="3"/>
          <w:w w:val="105"/>
        </w:rPr>
        <w:t>2006</w:t>
      </w:r>
      <w:r>
        <w:rPr>
          <w:color w:val="231F20"/>
          <w:spacing w:val="-22"/>
          <w:w w:val="105"/>
        </w:rPr>
        <w:t> </w:t>
      </w:r>
      <w:r>
        <w:rPr>
          <w:color w:val="231F20"/>
          <w:w w:val="105"/>
        </w:rPr>
        <w:t>y</w:t>
      </w:r>
      <w:r>
        <w:rPr>
          <w:color w:val="231F20"/>
          <w:spacing w:val="-22"/>
          <w:w w:val="105"/>
        </w:rPr>
        <w:t> </w:t>
      </w:r>
      <w:r>
        <w:rPr>
          <w:color w:val="231F20"/>
          <w:spacing w:val="-3"/>
          <w:w w:val="105"/>
        </w:rPr>
        <w:t>2007.</w:t>
      </w:r>
    </w:p>
    <w:p>
      <w:pPr>
        <w:pStyle w:val="BodyText"/>
        <w:spacing w:before="1"/>
        <w:rPr>
          <w:sz w:val="26"/>
        </w:rPr>
      </w:pPr>
    </w:p>
    <w:p>
      <w:pPr>
        <w:pStyle w:val="BodyText"/>
        <w:spacing w:line="285" w:lineRule="auto"/>
        <w:ind w:left="110" w:right="108"/>
        <w:jc w:val="both"/>
      </w:pPr>
      <w:r>
        <w:rPr>
          <w:color w:val="231F20"/>
          <w:w w:val="105"/>
        </w:rPr>
        <w:t>Los ingresos indirectos, por su parte, aumentaron en mayor proporción: en 203%. Su mayor incremento se registró en los años posteriores a 2005, al grado que para el año 2007 representaron el 41% de los ingresos municipales frente al 40% proveniente de los ingresos directos.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rubro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ingresos</w:t>
      </w:r>
      <w:r>
        <w:rPr>
          <w:color w:val="231F20"/>
          <w:spacing w:val="-16"/>
          <w:w w:val="105"/>
        </w:rPr>
        <w:t> </w:t>
      </w:r>
      <w:r>
        <w:rPr>
          <w:color w:val="231F20"/>
          <w:w w:val="105"/>
        </w:rPr>
        <w:t>extraordinarios</w:t>
      </w:r>
      <w:r>
        <w:rPr>
          <w:color w:val="231F20"/>
          <w:spacing w:val="-16"/>
          <w:w w:val="105"/>
        </w:rPr>
        <w:t> </w:t>
      </w:r>
      <w:r>
        <w:rPr>
          <w:color w:val="231F20"/>
          <w:w w:val="105"/>
        </w:rPr>
        <w:t>(integrado</w:t>
      </w:r>
      <w:r>
        <w:rPr>
          <w:color w:val="231F20"/>
          <w:spacing w:val="-16"/>
          <w:w w:val="105"/>
        </w:rPr>
        <w:t> </w:t>
      </w:r>
      <w:r>
        <w:rPr>
          <w:color w:val="231F20"/>
          <w:w w:val="105"/>
        </w:rPr>
        <w:t>por</w:t>
      </w:r>
      <w:r>
        <w:rPr>
          <w:color w:val="231F20"/>
          <w:spacing w:val="-16"/>
          <w:w w:val="105"/>
        </w:rPr>
        <w:t> </w:t>
      </w:r>
      <w:r>
        <w:rPr>
          <w:color w:val="231F20"/>
          <w:spacing w:val="-3"/>
          <w:w w:val="105"/>
        </w:rPr>
        <w:t>“otros</w:t>
      </w:r>
      <w:r>
        <w:rPr>
          <w:color w:val="231F20"/>
          <w:spacing w:val="-16"/>
          <w:w w:val="105"/>
        </w:rPr>
        <w:t> </w:t>
      </w:r>
      <w:r>
        <w:rPr>
          <w:color w:val="231F20"/>
          <w:w w:val="105"/>
        </w:rPr>
        <w:t>ingresos”,</w:t>
      </w:r>
      <w:r>
        <w:rPr>
          <w:color w:val="231F20"/>
          <w:spacing w:val="-16"/>
          <w:w w:val="105"/>
        </w:rPr>
        <w:t> </w:t>
      </w:r>
      <w:r>
        <w:rPr>
          <w:color w:val="231F20"/>
          <w:w w:val="105"/>
        </w:rPr>
        <w:t>aquellos</w:t>
      </w:r>
      <w:r>
        <w:rPr>
          <w:color w:val="231F20"/>
          <w:spacing w:val="-16"/>
          <w:w w:val="105"/>
        </w:rPr>
        <w:t> </w:t>
      </w:r>
      <w:r>
        <w:rPr>
          <w:color w:val="231F20"/>
          <w:w w:val="105"/>
        </w:rPr>
        <w:t>por cuenta de terceros y el financiamiento externo) se registró una tendencia creciente</w:t>
      </w:r>
      <w:r>
        <w:rPr>
          <w:color w:val="231F20"/>
          <w:spacing w:val="-16"/>
          <w:w w:val="105"/>
        </w:rPr>
        <w:t> </w:t>
      </w:r>
      <w:r>
        <w:rPr>
          <w:color w:val="231F20"/>
          <w:w w:val="105"/>
        </w:rPr>
        <w:t>del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rPr>
        <w:t>36% </w:t>
      </w:r>
      <w:r>
        <w:rPr>
          <w:color w:val="231F20"/>
          <w:spacing w:val="2"/>
        </w:rPr>
        <w:t>al final </w:t>
      </w:r>
      <w:r>
        <w:rPr>
          <w:color w:val="231F20"/>
        </w:rPr>
        <w:t>del periodo analizado. Sin embargo, aquí resaltó el incremento abrupto en  los años </w:t>
      </w:r>
      <w:r>
        <w:rPr>
          <w:color w:val="231F20"/>
          <w:spacing w:val="3"/>
        </w:rPr>
        <w:t>2004 </w:t>
      </w:r>
      <w:r>
        <w:rPr>
          <w:color w:val="231F20"/>
          <w:spacing w:val="-4"/>
        </w:rPr>
        <w:t>(que </w:t>
      </w:r>
      <w:r>
        <w:rPr>
          <w:color w:val="231F20"/>
        </w:rPr>
        <w:t>fue de 364% respecto </w:t>
      </w:r>
      <w:r>
        <w:rPr>
          <w:color w:val="231F20"/>
          <w:spacing w:val="2"/>
        </w:rPr>
        <w:t>al </w:t>
      </w:r>
      <w:r>
        <w:rPr>
          <w:color w:val="231F20"/>
        </w:rPr>
        <w:t>año </w:t>
      </w:r>
      <w:r>
        <w:rPr>
          <w:color w:val="231F20"/>
          <w:spacing w:val="-3"/>
        </w:rPr>
        <w:t>previo) </w:t>
      </w:r>
      <w:r>
        <w:rPr>
          <w:color w:val="231F20"/>
        </w:rPr>
        <w:t>y </w:t>
      </w:r>
      <w:r>
        <w:rPr>
          <w:color w:val="231F20"/>
          <w:spacing w:val="3"/>
        </w:rPr>
        <w:t>2006 </w:t>
      </w:r>
      <w:r>
        <w:rPr>
          <w:color w:val="231F20"/>
          <w:spacing w:val="-5"/>
        </w:rPr>
        <w:t>(en </w:t>
      </w:r>
      <w:r>
        <w:rPr>
          <w:color w:val="231F20"/>
          <w:spacing w:val="-3"/>
        </w:rPr>
        <w:t>donde </w:t>
      </w:r>
      <w:r>
        <w:rPr>
          <w:color w:val="231F20"/>
        </w:rPr>
        <w:t>aumentó en </w:t>
      </w:r>
      <w:r>
        <w:rPr>
          <w:color w:val="231F20"/>
          <w:spacing w:val="-4"/>
        </w:rPr>
        <w:t>148%  </w:t>
      </w:r>
      <w:r>
        <w:rPr>
          <w:color w:val="231F20"/>
        </w:rPr>
        <w:t>comparado </w:t>
      </w:r>
      <w:r>
        <w:rPr>
          <w:color w:val="231F20"/>
          <w:spacing w:val="2"/>
        </w:rPr>
        <w:t>al </w:t>
      </w:r>
      <w:r>
        <w:rPr>
          <w:color w:val="231F20"/>
        </w:rPr>
        <w:t>año inmediato </w:t>
      </w:r>
      <w:r>
        <w:rPr>
          <w:color w:val="231F20"/>
          <w:spacing w:val="33"/>
        </w:rPr>
        <w:t> </w:t>
      </w:r>
      <w:r>
        <w:rPr>
          <w:color w:val="231F20"/>
          <w:spacing w:val="-3"/>
        </w:rPr>
        <w:t>anterior).</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1"/>
          <w:w w:val="105"/>
        </w:rPr>
        <w:t> </w:t>
      </w:r>
      <w:r>
        <w:rPr>
          <w:color w:val="231F20"/>
          <w:spacing w:val="3"/>
          <w:w w:val="105"/>
        </w:rPr>
        <w:t>2004</w:t>
      </w:r>
      <w:r>
        <w:rPr>
          <w:color w:val="231F20"/>
          <w:spacing w:val="-11"/>
          <w:w w:val="105"/>
        </w:rPr>
        <w:t> </w:t>
      </w:r>
      <w:r>
        <w:rPr>
          <w:color w:val="231F20"/>
          <w:w w:val="105"/>
        </w:rPr>
        <w:t>el</w:t>
      </w:r>
      <w:r>
        <w:rPr>
          <w:color w:val="231F20"/>
          <w:spacing w:val="-11"/>
          <w:w w:val="105"/>
        </w:rPr>
        <w:t> </w:t>
      </w:r>
      <w:r>
        <w:rPr>
          <w:color w:val="231F20"/>
          <w:w w:val="105"/>
        </w:rPr>
        <w:t>financiamiento</w:t>
      </w:r>
      <w:r>
        <w:rPr>
          <w:color w:val="231F20"/>
          <w:spacing w:val="-11"/>
          <w:w w:val="105"/>
        </w:rPr>
        <w:t> </w:t>
      </w:r>
      <w:r>
        <w:rPr>
          <w:color w:val="231F20"/>
          <w:w w:val="105"/>
        </w:rPr>
        <w:t>solicitado</w:t>
      </w:r>
      <w:r>
        <w:rPr>
          <w:color w:val="231F20"/>
          <w:spacing w:val="-11"/>
          <w:w w:val="105"/>
        </w:rPr>
        <w:t> </w:t>
      </w:r>
      <w:r>
        <w:rPr>
          <w:color w:val="231F20"/>
          <w:w w:val="105"/>
        </w:rPr>
        <w:t>significó</w:t>
      </w:r>
      <w:r>
        <w:rPr>
          <w:color w:val="231F20"/>
          <w:spacing w:val="-11"/>
          <w:w w:val="105"/>
        </w:rPr>
        <w:t> </w:t>
      </w:r>
      <w:r>
        <w:rPr>
          <w:color w:val="231F20"/>
          <w:w w:val="105"/>
        </w:rPr>
        <w:t>el</w:t>
      </w:r>
      <w:r>
        <w:rPr>
          <w:color w:val="231F20"/>
          <w:spacing w:val="-11"/>
          <w:w w:val="105"/>
        </w:rPr>
        <w:t> </w:t>
      </w:r>
      <w:r>
        <w:rPr>
          <w:color w:val="231F20"/>
          <w:spacing w:val="-8"/>
          <w:w w:val="105"/>
        </w:rPr>
        <w:t>181%</w:t>
      </w:r>
      <w:r>
        <w:rPr>
          <w:color w:val="231F20"/>
          <w:spacing w:val="-11"/>
          <w:w w:val="105"/>
        </w:rPr>
        <w:t> </w:t>
      </w:r>
      <w:r>
        <w:rPr>
          <w:color w:val="231F20"/>
          <w:w w:val="105"/>
        </w:rPr>
        <w:t>por</w:t>
      </w:r>
      <w:r>
        <w:rPr>
          <w:color w:val="231F20"/>
          <w:spacing w:val="-11"/>
          <w:w w:val="105"/>
        </w:rPr>
        <w:t> </w:t>
      </w:r>
      <w:r>
        <w:rPr>
          <w:color w:val="231F20"/>
          <w:w w:val="105"/>
        </w:rPr>
        <w:t>encima</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recaudado</w:t>
      </w:r>
      <w:r>
        <w:rPr>
          <w:color w:val="231F20"/>
          <w:spacing w:val="-11"/>
          <w:w w:val="105"/>
        </w:rPr>
        <w:t> </w:t>
      </w:r>
      <w:r>
        <w:rPr>
          <w:color w:val="231F20"/>
          <w:w w:val="105"/>
        </w:rPr>
        <w:t>por la</w:t>
      </w:r>
      <w:r>
        <w:rPr>
          <w:color w:val="231F20"/>
          <w:spacing w:val="-16"/>
          <w:w w:val="105"/>
        </w:rPr>
        <w:t> </w:t>
      </w:r>
      <w:r>
        <w:rPr>
          <w:color w:val="231F20"/>
          <w:w w:val="105"/>
        </w:rPr>
        <w:t>vía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impuestos</w:t>
      </w:r>
      <w:r>
        <w:rPr>
          <w:color w:val="231F20"/>
          <w:spacing w:val="-16"/>
          <w:w w:val="105"/>
        </w:rPr>
        <w:t> </w:t>
      </w:r>
      <w:r>
        <w:rPr>
          <w:color w:val="231F20"/>
          <w:w w:val="105"/>
        </w:rPr>
        <w:t>para</w:t>
      </w:r>
      <w:r>
        <w:rPr>
          <w:color w:val="231F20"/>
          <w:spacing w:val="-16"/>
          <w:w w:val="105"/>
        </w:rPr>
        <w:t> </w:t>
      </w:r>
      <w:r>
        <w:rPr>
          <w:color w:val="231F20"/>
          <w:w w:val="105"/>
        </w:rPr>
        <w:t>dicho</w:t>
      </w:r>
      <w:r>
        <w:rPr>
          <w:color w:val="231F20"/>
          <w:spacing w:val="-16"/>
          <w:w w:val="105"/>
        </w:rPr>
        <w:t> </w:t>
      </w:r>
      <w:r>
        <w:rPr>
          <w:color w:val="231F20"/>
          <w:w w:val="105"/>
        </w:rPr>
        <w:t>año;</w:t>
      </w:r>
      <w:r>
        <w:rPr>
          <w:color w:val="231F20"/>
          <w:spacing w:val="-16"/>
          <w:w w:val="105"/>
        </w:rPr>
        <w:t> </w:t>
      </w:r>
      <w:r>
        <w:rPr>
          <w:color w:val="231F20"/>
          <w:w w:val="105"/>
        </w:rPr>
        <w:t>en</w:t>
      </w:r>
      <w:r>
        <w:rPr>
          <w:color w:val="231F20"/>
          <w:spacing w:val="-16"/>
          <w:w w:val="105"/>
        </w:rPr>
        <w:t> </w:t>
      </w:r>
      <w:r>
        <w:rPr>
          <w:color w:val="231F20"/>
          <w:spacing w:val="3"/>
          <w:w w:val="105"/>
        </w:rPr>
        <w:t>2006,</w:t>
      </w:r>
      <w:r>
        <w:rPr>
          <w:color w:val="231F20"/>
          <w:spacing w:val="-16"/>
          <w:w w:val="105"/>
        </w:rPr>
        <w:t> </w:t>
      </w:r>
      <w:r>
        <w:rPr>
          <w:color w:val="231F20"/>
          <w:w w:val="105"/>
        </w:rPr>
        <w:t>este</w:t>
      </w:r>
      <w:r>
        <w:rPr>
          <w:color w:val="231F20"/>
          <w:spacing w:val="-16"/>
          <w:w w:val="105"/>
        </w:rPr>
        <w:t> </w:t>
      </w:r>
      <w:r>
        <w:rPr>
          <w:color w:val="231F20"/>
          <w:w w:val="105"/>
        </w:rPr>
        <w:t>ingreso</w:t>
      </w:r>
      <w:r>
        <w:rPr>
          <w:color w:val="231F20"/>
          <w:spacing w:val="-16"/>
          <w:w w:val="105"/>
        </w:rPr>
        <w:t> </w:t>
      </w:r>
      <w:r>
        <w:rPr>
          <w:color w:val="231F20"/>
          <w:w w:val="105"/>
        </w:rPr>
        <w:t>extraordinario</w:t>
      </w:r>
      <w:r>
        <w:rPr>
          <w:color w:val="231F20"/>
          <w:spacing w:val="-16"/>
          <w:w w:val="105"/>
        </w:rPr>
        <w:t> </w:t>
      </w:r>
      <w:r>
        <w:rPr>
          <w:color w:val="231F20"/>
          <w:w w:val="105"/>
        </w:rPr>
        <w:t>estuvo</w:t>
      </w:r>
      <w:r>
        <w:rPr>
          <w:color w:val="231F20"/>
          <w:spacing w:val="-16"/>
          <w:w w:val="105"/>
        </w:rPr>
        <w:t> </w:t>
      </w:r>
      <w:r>
        <w:rPr>
          <w:color w:val="231F20"/>
          <w:w w:val="105"/>
        </w:rPr>
        <w:t>69% arriba de los ingresos propios. Esto se debió </w:t>
      </w:r>
      <w:r>
        <w:rPr>
          <w:color w:val="231F20"/>
          <w:spacing w:val="2"/>
          <w:w w:val="105"/>
        </w:rPr>
        <w:t>al </w:t>
      </w:r>
      <w:r>
        <w:rPr>
          <w:color w:val="231F20"/>
          <w:w w:val="105"/>
        </w:rPr>
        <w:t>elevado financiamiento que solicitó el ayuntamiento</w:t>
      </w:r>
      <w:r>
        <w:rPr>
          <w:color w:val="231F20"/>
          <w:spacing w:val="-13"/>
          <w:w w:val="105"/>
        </w:rPr>
        <w:t> </w:t>
      </w:r>
      <w:r>
        <w:rPr>
          <w:color w:val="231F20"/>
          <w:w w:val="105"/>
        </w:rPr>
        <w:t>durante</w:t>
      </w:r>
      <w:r>
        <w:rPr>
          <w:color w:val="231F20"/>
          <w:spacing w:val="-13"/>
          <w:w w:val="105"/>
        </w:rPr>
        <w:t> </w:t>
      </w:r>
      <w:r>
        <w:rPr>
          <w:color w:val="231F20"/>
          <w:w w:val="105"/>
        </w:rPr>
        <w:t>el</w:t>
      </w:r>
      <w:r>
        <w:rPr>
          <w:color w:val="231F20"/>
          <w:spacing w:val="-13"/>
          <w:w w:val="105"/>
        </w:rPr>
        <w:t> </w:t>
      </w:r>
      <w:r>
        <w:rPr>
          <w:color w:val="231F20"/>
          <w:w w:val="105"/>
        </w:rPr>
        <w:t>periodo</w:t>
      </w:r>
      <w:r>
        <w:rPr>
          <w:color w:val="231F20"/>
          <w:spacing w:val="-13"/>
          <w:w w:val="105"/>
        </w:rPr>
        <w:t> </w:t>
      </w:r>
      <w:r>
        <w:rPr>
          <w:color w:val="231F20"/>
          <w:w w:val="105"/>
        </w:rPr>
        <w:t>de</w:t>
      </w:r>
      <w:r>
        <w:rPr>
          <w:color w:val="231F20"/>
          <w:spacing w:val="-13"/>
          <w:w w:val="105"/>
        </w:rPr>
        <w:t> </w:t>
      </w:r>
      <w:r>
        <w:rPr>
          <w:color w:val="231F20"/>
          <w:w w:val="105"/>
        </w:rPr>
        <w:t>gobierno</w:t>
      </w:r>
      <w:r>
        <w:rPr>
          <w:color w:val="231F20"/>
          <w:spacing w:val="-13"/>
          <w:w w:val="105"/>
        </w:rPr>
        <w:t> </w:t>
      </w:r>
      <w:r>
        <w:rPr>
          <w:color w:val="231F20"/>
          <w:w w:val="105"/>
        </w:rPr>
        <w:t>2003-2006</w:t>
      </w:r>
      <w:r>
        <w:rPr>
          <w:color w:val="231F20"/>
          <w:spacing w:val="-13"/>
          <w:w w:val="105"/>
        </w:rPr>
        <w:t> </w:t>
      </w:r>
      <w:r>
        <w:rPr>
          <w:color w:val="231F20"/>
          <w:w w:val="105"/>
        </w:rPr>
        <w:t>(gráfica</w:t>
      </w:r>
      <w:r>
        <w:rPr>
          <w:color w:val="231F20"/>
          <w:spacing w:val="-13"/>
          <w:w w:val="105"/>
        </w:rPr>
        <w:t> </w:t>
      </w:r>
      <w:r>
        <w:rPr>
          <w:color w:val="231F20"/>
          <w:spacing w:val="-5"/>
          <w:w w:val="105"/>
        </w:rPr>
        <w:t>2).</w:t>
      </w:r>
    </w:p>
    <w:p>
      <w:pPr>
        <w:pStyle w:val="BodyText"/>
        <w:spacing w:before="1"/>
        <w:rPr>
          <w:sz w:val="26"/>
        </w:rPr>
      </w:pPr>
    </w:p>
    <w:p>
      <w:pPr>
        <w:pStyle w:val="Heading5"/>
        <w:ind w:left="129" w:right="0"/>
        <w:jc w:val="both"/>
      </w:pPr>
      <w:r>
        <w:rPr/>
        <w:pict>
          <v:group style="position:absolute;margin-left:129.0439pt;margin-top:50.083347pt;width:245.4pt;height:96.7pt;mso-position-horizontal-relative:page;mso-position-vertical-relative:paragraph;z-index:3064" coordorigin="2581,1002" coordsize="4908,1934">
            <v:rect style="position:absolute;left:2642;top:1012;width:4279;height:1883" filled="true" fillcolor="#bcbec0" stroked="false">
              <v:fill type="solid"/>
            </v:rect>
            <v:rect style="position:absolute;left:2642;top:1012;width:4279;height:1883" filled="false" stroked="true" strokeweight="1pt" strokecolor="#231f20"/>
            <v:shape style="position:absolute;left:0;top:8194;width:4336;height:1919" coordorigin="0,8194" coordsize="4336,1919" path="m2586,1011l6922,1011m2586,1248l6922,1248m2586,1495l6922,1495m2586,1727l6922,1727m2586,1948l6922,1948m2586,2190l6922,2190m2586,2422l6922,2422m2586,2658l6922,2658m2586,2895l6922,2895m3183,2930l3183,2895m3712,2930l3712,2895m4249,2930l4249,2895m4787,2930l4787,2895m5316,2930l5316,2895m5852,2930l5852,2895m6382,2930l6382,2895m6922,2930l6922,2895m2642,2930l2642,2895e" filled="false" stroked="true" strokeweight=".5pt" strokecolor="#231f20">
              <v:path arrowok="t"/>
            </v:shape>
            <v:line style="position:absolute" from="6942,1279" to="7473,1279" stroked="true" strokeweight="1.5pt" strokecolor="#00aeef"/>
            <v:line style="position:absolute" from="6942,1744" to="7473,1744" stroked="true" strokeweight="1.5pt" strokecolor="#be1e2d"/>
            <v:line style="position:absolute" from="6942,2195" to="7473,2195" stroked="true" strokeweight="1.5pt" strokecolor="#fbb040"/>
            <v:shape style="position:absolute;left:2903;top:1257;width:3753;height:1521" coordorigin="2903,1257" coordsize="3753,1521" path="m2903,2778l3449,2593,3975,2403,4511,1257,5033,2347,5569,1608,6091,2299,6656,2508e" filled="false" stroked="true" strokeweight="1.5pt" strokecolor="#fbb040">
              <v:path arrowok="t"/>
            </v:shape>
            <v:shape style="position:absolute;left:2903;top:1256;width:3753;height:939" coordorigin="2903,1256" coordsize="3753,939" path="m2903,2194l3449,1999,3975,1999,4511,1967,5043,1820,5574,1517,6096,1488,6656,1256e" filled="false" stroked="true" strokeweight="1.5pt" strokecolor="#00aeef">
              <v:path arrowok="t"/>
            </v:shape>
            <v:shape style="position:absolute;left:2903;top:1489;width:3730;height:1005" coordorigin="2903,1489" coordsize="3730,1005" path="m2903,2493l3444,2394,3975,2289,4502,2289,5048,2261,5569,1999,6096,1489,6632,1631e" filled="false" stroked="true" strokeweight="1.5pt" strokecolor="#be1e2d">
              <v:path arrowok="t"/>
            </v:shape>
            <w10:wrap type="none"/>
          </v:group>
        </w:pict>
      </w:r>
      <w:r>
        <w:rPr/>
        <w:pict>
          <v:group style="position:absolute;margin-left:62.099403pt;margin-top:48.869747pt;width:51.85pt;height:4.8pt;mso-position-horizontal-relative:page;mso-position-vertical-relative:paragraph;z-index:3088" coordorigin="1242,977" coordsize="1037,96">
            <v:shape style="position:absolute;left:1242;top:977;width:301;height:96" coordorigin="1242,977" coordsize="301,96" path="m1334,979l1242,979,1242,991,1315,991,1306,998,1297,1007,1289,1017,1279,1031,1271,1044,1265,1057,1261,1070,1279,1070,1282,1061,1284,1054,1289,1043,1293,1036,1298,1027,1304,1019,1310,1011,1324,997,1330,992,1334,989,1334,979m1437,1010l1434,1000,1429,992,1424,988,1422,986,1419,984,1419,1014,1419,1039,1417,1049,1407,1060,1400,1062,1380,1062,1373,1058,1366,1043,1364,1036,1364,1014,1366,1004,1375,991,1383,988,1403,988,1410,991,1418,1005,1419,1014,1419,984,1414,981,1403,978,1391,977,1378,979,1367,983,1359,989,1352,999,1348,1006,1346,1015,1346,1039,1349,1050,1364,1068,1375,1073,1391,1073,1404,1072,1414,1068,1423,1063,1423,1062,1429,1055,1435,1047,1437,1036,1437,1010m1543,1010l1540,1000,1534,992,1529,988,1527,986,1525,984,1525,1014,1525,1039,1522,1049,1512,1060,1505,1062,1486,1062,1478,1058,1471,1043,1469,1036,1469,1014,1472,1004,1481,991,1488,988,1508,988,1515,991,1523,1005,1525,1014,1525,984,1519,981,1509,978,1497,977,1483,979,1472,983,1464,989,1457,999,1453,1006,1451,1015,1451,1039,1455,1050,1469,1068,1481,1073,1497,1073,1509,1072,1519,1068,1528,1063,1528,1062,1535,1055,1540,1047,1543,1036,1543,1010e" filled="true" fillcolor="#231f20" stroked="false">
              <v:path arrowok="t"/>
              <v:fill type="solid"/>
            </v:shape>
            <v:line style="position:absolute" from="1567,1063" to="1586,1063" stroked="true" strokeweight=".707pt" strokecolor="#231f20"/>
            <v:shape style="position:absolute;left:1609;top:977;width:302;height:96" coordorigin="1609,977" coordsize="302,96" path="m1700,1010l1697,1000,1692,992,1687,988,1685,986,1682,984,1682,1014,1682,1039,1680,1049,1670,1060,1663,1062,1643,1062,1636,1058,1628,1043,1627,1036,1627,1014,1629,1004,1638,991,1646,988,1666,988,1673,991,1681,1005,1682,1014,1682,984,1676,981,1666,978,1654,977,1641,979,1630,983,1621,989,1615,999,1611,1006,1609,1015,1609,1039,1612,1050,1627,1068,1638,1073,1654,1073,1667,1072,1677,1068,1686,1063,1686,1062,1692,1055,1698,1047,1700,1036,1700,1010m1806,1010l1803,1000,1797,992,1792,988,1790,986,1788,984,1788,1014,1787,1039,1785,1049,1775,1060,1768,1062,1749,1062,1741,1058,1734,1043,1732,1036,1732,1014,1735,1004,1744,991,1751,988,1771,988,1778,991,1786,1005,1788,1014,1788,984,1782,981,1772,978,1760,977,1746,979,1735,983,1727,989,1720,999,1716,1006,1714,1015,1714,1039,1718,1050,1732,1068,1744,1073,1759,1073,1772,1072,1782,1068,1791,1063,1791,1062,1798,1055,1803,1047,1806,1036,1806,1010m1911,1010l1908,1000,1902,992,1897,988,1895,986,1893,984,1893,1014,1893,1039,1890,1049,1880,1060,1873,1062,1854,1062,1846,1058,1839,1043,1838,1036,1837,1014,1840,1004,1849,991,1856,988,1876,988,1884,991,1891,1005,1893,1014,1893,984,1887,981,1877,978,1865,977,1852,979,1841,983,1832,989,1825,999,1821,1006,1820,1015,1820,1039,1823,1050,1837,1068,1849,1073,1865,1073,1877,1072,1887,1068,1896,1063,1897,1062,1903,1055,1908,1047,1911,1036,1911,1010e" filled="true" fillcolor="#231f20" stroked="false">
              <v:path arrowok="t"/>
              <v:fill type="solid"/>
            </v:shape>
            <v:line style="position:absolute" from="1935,1063" to="1954,1063" stroked="true" strokeweight=".707pt" strokecolor="#231f20"/>
            <v:shape style="position:absolute;left:1977;top:977;width:302;height:96" coordorigin="1977,977" coordsize="302,96" path="m2069,1010l2066,1000,2060,992,2055,988,2053,986,2051,984,2051,1014,2050,1039,2048,1049,2038,1060,2031,1062,2012,1062,2004,1058,1997,1043,1995,1036,1995,1014,1997,1004,2007,991,2014,988,2034,988,2041,991,2049,1005,2051,1014,2051,984,2045,981,2034,978,2023,977,2009,979,1998,983,1990,989,1983,999,1979,1006,1977,1015,1977,1039,1980,1050,1995,1068,2007,1073,2022,1073,2035,1072,2045,1068,2054,1063,2054,1062,2060,1055,2066,1047,2069,1036,2069,1010m2174,1010l2171,1000,2165,992,2160,988,2158,986,2156,984,2156,1014,2156,1039,2153,1049,2143,1060,2136,1062,2117,1062,2109,1058,2102,1043,2100,1036,2100,1014,2103,1004,2112,991,2119,988,2139,988,2147,991,2154,1005,2156,1014,2156,984,2150,981,2140,978,2128,977,2115,979,2104,983,2095,989,2088,999,2084,1006,2082,1015,2082,1039,2086,1050,2100,1068,2112,1073,2128,1073,2140,1072,2150,1068,2159,1063,2159,1062,2166,1055,2171,1047,2174,1036,2174,1010m2279,1010l2276,1000,2270,992,2266,988,2263,986,2261,984,2261,1014,2261,1039,2258,1049,2248,1060,2241,1062,2222,1062,2214,1058,2207,1043,2206,1036,2206,1014,2208,1004,2217,991,2224,988,2245,988,2252,991,2259,1005,2261,1014,2261,984,2255,981,2245,978,2233,977,2220,979,2209,983,2200,989,2193,999,2190,1006,2188,1015,2188,1039,2191,1050,2205,1068,2217,1073,2233,1073,2245,1072,2256,1068,2264,1063,2265,1062,2271,1055,2276,1047,2279,1036,2279,1010e" filled="true" fillcolor="#231f20" stroked="false">
              <v:path arrowok="t"/>
              <v:fill type="solid"/>
            </v:shape>
            <w10:wrap type="none"/>
          </v:group>
        </w:pict>
      </w:r>
      <w:r>
        <w:rPr/>
        <w:drawing>
          <wp:anchor distT="0" distB="0" distL="0" distR="0" allowOverlap="1" layoutInCell="1" locked="0" behindDoc="0" simplePos="0" relativeHeight="3112">
            <wp:simplePos x="0" y="0"/>
            <wp:positionH relativeFrom="page">
              <wp:posOffset>788785</wp:posOffset>
            </wp:positionH>
            <wp:positionV relativeFrom="paragraph">
              <wp:posOffset>789130</wp:posOffset>
            </wp:positionV>
            <wp:extent cx="656428" cy="60674"/>
            <wp:effectExtent l="0" t="0" r="0" b="0"/>
            <wp:wrapNone/>
            <wp:docPr id="25" name="image35.png" descr=""/>
            <wp:cNvGraphicFramePr>
              <a:graphicFrameLocks noChangeAspect="1"/>
            </wp:cNvGraphicFramePr>
            <a:graphic>
              <a:graphicData uri="http://schemas.openxmlformats.org/drawingml/2006/picture">
                <pic:pic>
                  <pic:nvPicPr>
                    <pic:cNvPr id="26" name="image35.png"/>
                    <pic:cNvPicPr/>
                  </pic:nvPicPr>
                  <pic:blipFill>
                    <a:blip r:embed="rId50" cstate="print"/>
                    <a:stretch>
                      <a:fillRect/>
                    </a:stretch>
                  </pic:blipFill>
                  <pic:spPr>
                    <a:xfrm>
                      <a:off x="0" y="0"/>
                      <a:ext cx="656428" cy="60674"/>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788142</wp:posOffset>
            </wp:positionH>
            <wp:positionV relativeFrom="paragraph">
              <wp:posOffset>958103</wp:posOffset>
            </wp:positionV>
            <wp:extent cx="658677" cy="60578"/>
            <wp:effectExtent l="0" t="0" r="0" b="0"/>
            <wp:wrapNone/>
            <wp:docPr id="27" name="image36.png" descr=""/>
            <wp:cNvGraphicFramePr>
              <a:graphicFrameLocks noChangeAspect="1"/>
            </wp:cNvGraphicFramePr>
            <a:graphic>
              <a:graphicData uri="http://schemas.openxmlformats.org/drawingml/2006/picture">
                <pic:pic>
                  <pic:nvPicPr>
                    <pic:cNvPr id="28" name="image36.png"/>
                    <pic:cNvPicPr/>
                  </pic:nvPicPr>
                  <pic:blipFill>
                    <a:blip r:embed="rId51" cstate="print"/>
                    <a:stretch>
                      <a:fillRect/>
                    </a:stretch>
                  </pic:blipFill>
                  <pic:spPr>
                    <a:xfrm>
                      <a:off x="0" y="0"/>
                      <a:ext cx="658677" cy="60578"/>
                    </a:xfrm>
                    <a:prstGeom prst="rect">
                      <a:avLst/>
                    </a:prstGeom>
                  </pic:spPr>
                </pic:pic>
              </a:graphicData>
            </a:graphic>
          </wp:anchor>
        </w:drawing>
      </w:r>
      <w:r>
        <w:rPr/>
        <w:pict>
          <v:group style="position:absolute;margin-left:61.993599pt;margin-top:88.713951pt;width:52pt;height:4.8pt;mso-position-horizontal-relative:page;mso-position-vertical-relative:paragraph;z-index:3160" coordorigin="1240,1774" coordsize="1040,96">
            <v:shape style="position:absolute;left:1240;top:1774;width:303;height:96" coordorigin="1240,1774" coordsize="303,96" path="m1334,1835l1314,1835,1314,1792,1314,1774,1300,1774,1298,1777,1298,1792,1298,1835,1255,1835,1298,1792,1298,1777,1240,1833,1240,1845,1298,1845,1298,1867,1314,1867,1314,1845,1334,1845,1334,1835m1437,1808l1434,1797,1429,1789,1424,1785,1422,1783,1419,1782,1419,1811,1419,1837,1417,1846,1407,1857,1400,1859,1380,1859,1373,1855,1366,1840,1364,1834,1364,1811,1366,1801,1375,1788,1383,1785,1403,1785,1410,1788,1418,1802,1419,1811,1419,1782,1414,1778,1403,1775,1391,1775,1378,1776,1367,1780,1359,1786,1352,1796,1348,1803,1346,1812,1346,1837,1349,1847,1364,1865,1375,1870,1391,1870,1404,1869,1414,1866,1423,1860,1423,1859,1429,1852,1435,1844,1437,1834,1437,1808m1543,1808l1540,1797,1534,1789,1529,1785,1527,1783,1525,1782,1525,1811,1525,1837,1522,1846,1512,1857,1505,1859,1486,1859,1478,1855,1471,1840,1469,1834,1469,1811,1472,1801,1481,1788,1488,1785,1508,1785,1515,1788,1523,1802,1525,1811,1525,1782,1519,1778,1509,1775,1497,1775,1483,1776,1472,1780,1464,1786,1457,1796,1453,1803,1451,1812,1451,1837,1455,1847,1469,1865,1481,1870,1497,1870,1509,1869,1519,1866,1528,1860,1528,1859,1535,1852,1540,1844,1543,1834,1543,1808e" filled="true" fillcolor="#231f20" stroked="false">
              <v:path arrowok="t"/>
              <v:fill type="solid"/>
            </v:shape>
            <v:line style="position:absolute" from="1567,1860" to="1586,1860" stroked="true" strokeweight=".707pt" strokecolor="#231f20"/>
            <v:shape style="position:absolute;left:1609;top:1775;width:302;height:96" coordorigin="1609,1775" coordsize="302,96" path="m1700,1808l1697,1797,1692,1789,1687,1785,1685,1783,1682,1782,1682,1811,1682,1837,1680,1846,1670,1857,1663,1859,1643,1859,1636,1855,1628,1840,1627,1834,1627,1811,1629,1801,1638,1788,1646,1785,1666,1785,1673,1788,1681,1802,1682,1811,1682,1782,1676,1778,1666,1775,1654,1775,1641,1776,1630,1780,1621,1786,1615,1796,1611,1803,1609,1812,1609,1837,1612,1847,1627,1865,1638,1870,1654,1870,1667,1869,1677,1866,1686,1860,1686,1859,1692,1852,1698,1844,1700,1834,1700,1808m1806,1808l1803,1797,1797,1789,1792,1785,1790,1783,1788,1782,1788,1811,1787,1837,1785,1846,1775,1857,1768,1859,1749,1859,1741,1855,1734,1840,1732,1834,1732,1811,1735,1801,1744,1788,1751,1785,1771,1785,1778,1788,1786,1802,1788,1811,1788,1782,1782,1778,1772,1775,1760,1775,1746,1776,1735,1780,1727,1786,1720,1796,1716,1803,1714,1812,1714,1837,1718,1847,1732,1865,1744,1870,1759,1870,1772,1869,1782,1866,1791,1860,1791,1859,1798,1852,1803,1844,1806,1834,1806,1808m1911,1808l1908,1797,1902,1789,1897,1785,1895,1783,1893,1782,1893,1811,1893,1837,1890,1846,1880,1857,1873,1859,1854,1859,1846,1855,1839,1840,1838,1834,1837,1811,1840,1801,1849,1788,1856,1785,1876,1785,1884,1788,1891,1802,1893,1811,1893,1782,1887,1778,1877,1775,1865,1775,1852,1776,1841,1780,1832,1786,1825,1796,1821,1803,1820,1812,1820,1837,1823,1847,1837,1865,1849,1870,1865,1870,1877,1869,1887,1866,1896,1860,1897,1859,1903,1852,1908,1844,1911,1834,1911,1808e" filled="true" fillcolor="#231f20" stroked="false">
              <v:path arrowok="t"/>
              <v:fill type="solid"/>
            </v:shape>
            <v:line style="position:absolute" from="1935,1860" to="1954,1860" stroked="true" strokeweight=".707pt" strokecolor="#231f20"/>
            <v:shape style="position:absolute;left:1977;top:1775;width:302;height:96" coordorigin="1977,1775" coordsize="302,96" path="m2069,1808l2066,1797,2060,1789,2055,1785,2053,1783,2051,1782,2051,1811,2050,1837,2048,1846,2038,1857,2031,1859,2012,1859,2004,1855,1997,1840,1995,1834,1995,1811,1997,1801,2007,1788,2014,1785,2034,1785,2041,1788,2049,1802,2051,1811,2051,1782,2045,1778,2034,1775,2023,1775,2009,1776,1998,1780,1990,1786,1983,1796,1979,1803,1977,1812,1977,1837,1980,1847,1995,1865,2007,1870,2022,1870,2035,1869,2045,1866,2054,1860,2054,1859,2060,1852,2066,1844,2069,1834,2069,1808m2174,1808l2171,1797,2165,1789,2160,1785,2158,1783,2156,1782,2156,1811,2156,1837,2153,1846,2143,1857,2136,1859,2117,1859,2109,1855,2102,1840,2100,1834,2100,1811,2103,1801,2112,1788,2119,1785,2139,1785,2147,1788,2154,1802,2156,1811,2156,1782,2150,1778,2140,1775,2128,1775,2115,1776,2104,1780,2095,1786,2088,1796,2084,1803,2082,1812,2082,1837,2086,1847,2100,1865,2112,1870,2128,1870,2140,1869,2150,1866,2159,1860,2159,1859,2166,1852,2171,1844,2174,1834,2174,1808m2279,1808l2276,1797,2270,1789,2266,1785,2263,1783,2261,1782,2261,1811,2261,1837,2258,1846,2248,1857,2241,1859,2222,1859,2214,1855,2207,1840,2206,1834,2206,1811,2208,1801,2217,1788,2224,1785,2245,1785,2252,1788,2259,1802,2261,1811,2261,1782,2255,1778,2245,1775,2233,1775,2220,1776,2209,1780,2200,1786,2193,1796,2190,1803,2188,1812,2188,1837,2191,1847,2205,1865,2217,1870,2233,1870,2245,1869,2256,1866,2264,1860,2265,1859,2271,1852,2276,1844,2279,1834,2279,1808e" filled="true" fillcolor="#231f20" stroked="false">
              <v:path arrowok="t"/>
              <v:fill type="solid"/>
            </v:shape>
            <w10:wrap type="none"/>
          </v:group>
        </w:pict>
      </w:r>
      <w:r>
        <w:rPr/>
        <w:drawing>
          <wp:anchor distT="0" distB="0" distL="0" distR="0" allowOverlap="1" layoutInCell="1" locked="0" behindDoc="0" simplePos="0" relativeHeight="3280">
            <wp:simplePos x="0" y="0"/>
            <wp:positionH relativeFrom="page">
              <wp:posOffset>4809633</wp:posOffset>
            </wp:positionH>
            <wp:positionV relativeFrom="paragraph">
              <wp:posOffset>773097</wp:posOffset>
            </wp:positionV>
            <wp:extent cx="435311" cy="180975"/>
            <wp:effectExtent l="0" t="0" r="0" b="0"/>
            <wp:wrapNone/>
            <wp:docPr id="29" name="image37.png" descr=""/>
            <wp:cNvGraphicFramePr>
              <a:graphicFrameLocks noChangeAspect="1"/>
            </wp:cNvGraphicFramePr>
            <a:graphic>
              <a:graphicData uri="http://schemas.openxmlformats.org/drawingml/2006/picture">
                <pic:pic>
                  <pic:nvPicPr>
                    <pic:cNvPr id="30" name="image37.png"/>
                    <pic:cNvPicPr/>
                  </pic:nvPicPr>
                  <pic:blipFill>
                    <a:blip r:embed="rId52" cstate="print"/>
                    <a:stretch>
                      <a:fillRect/>
                    </a:stretch>
                  </pic:blipFill>
                  <pic:spPr>
                    <a:xfrm>
                      <a:off x="0" y="0"/>
                      <a:ext cx="435311" cy="180975"/>
                    </a:xfrm>
                    <a:prstGeom prst="rect">
                      <a:avLst/>
                    </a:prstGeom>
                  </pic:spPr>
                </pic:pic>
              </a:graphicData>
            </a:graphic>
          </wp:anchor>
        </w:drawing>
      </w:r>
      <w:r>
        <w:rPr/>
        <w:drawing>
          <wp:anchor distT="0" distB="0" distL="0" distR="0" allowOverlap="1" layoutInCell="1" locked="0" behindDoc="0" simplePos="0" relativeHeight="3304">
            <wp:simplePos x="0" y="0"/>
            <wp:positionH relativeFrom="page">
              <wp:posOffset>4809633</wp:posOffset>
            </wp:positionH>
            <wp:positionV relativeFrom="paragraph">
              <wp:posOffset>1062340</wp:posOffset>
            </wp:positionV>
            <wp:extent cx="501566" cy="166687"/>
            <wp:effectExtent l="0" t="0" r="0" b="0"/>
            <wp:wrapNone/>
            <wp:docPr id="31" name="image38.png" descr=""/>
            <wp:cNvGraphicFramePr>
              <a:graphicFrameLocks noChangeAspect="1"/>
            </wp:cNvGraphicFramePr>
            <a:graphic>
              <a:graphicData uri="http://schemas.openxmlformats.org/drawingml/2006/picture">
                <pic:pic>
                  <pic:nvPicPr>
                    <pic:cNvPr id="32" name="image38.png"/>
                    <pic:cNvPicPr/>
                  </pic:nvPicPr>
                  <pic:blipFill>
                    <a:blip r:embed="rId53" cstate="print"/>
                    <a:stretch>
                      <a:fillRect/>
                    </a:stretch>
                  </pic:blipFill>
                  <pic:spPr>
                    <a:xfrm>
                      <a:off x="0" y="0"/>
                      <a:ext cx="501566" cy="166687"/>
                    </a:xfrm>
                    <a:prstGeom prst="rect">
                      <a:avLst/>
                    </a:prstGeom>
                  </pic:spPr>
                </pic:pic>
              </a:graphicData>
            </a:graphic>
          </wp:anchor>
        </w:drawing>
      </w:r>
      <w:r>
        <w:rPr/>
        <w:drawing>
          <wp:anchor distT="0" distB="0" distL="0" distR="0" allowOverlap="1" layoutInCell="1" locked="0" behindDoc="0" simplePos="0" relativeHeight="3352">
            <wp:simplePos x="0" y="0"/>
            <wp:positionH relativeFrom="page">
              <wp:posOffset>539617</wp:posOffset>
            </wp:positionH>
            <wp:positionV relativeFrom="paragraph">
              <wp:posOffset>1094184</wp:posOffset>
            </wp:positionV>
            <wp:extent cx="80145" cy="271462"/>
            <wp:effectExtent l="0" t="0" r="0" b="0"/>
            <wp:wrapNone/>
            <wp:docPr id="33" name="image39.png" descr=""/>
            <wp:cNvGraphicFramePr>
              <a:graphicFrameLocks noChangeAspect="1"/>
            </wp:cNvGraphicFramePr>
            <a:graphic>
              <a:graphicData uri="http://schemas.openxmlformats.org/drawingml/2006/picture">
                <pic:pic>
                  <pic:nvPicPr>
                    <pic:cNvPr id="34" name="image39.png"/>
                    <pic:cNvPicPr/>
                  </pic:nvPicPr>
                  <pic:blipFill>
                    <a:blip r:embed="rId54" cstate="print"/>
                    <a:stretch>
                      <a:fillRect/>
                    </a:stretch>
                  </pic:blipFill>
                  <pic:spPr>
                    <a:xfrm>
                      <a:off x="0" y="0"/>
                      <a:ext cx="80145" cy="271462"/>
                    </a:xfrm>
                    <a:prstGeom prst="rect">
                      <a:avLst/>
                    </a:prstGeom>
                  </pic:spPr>
                </pic:pic>
              </a:graphicData>
            </a:graphic>
          </wp:anchor>
        </w:drawing>
      </w:r>
      <w:r>
        <w:rPr>
          <w:color w:val="231F20"/>
          <w:w w:val="105"/>
        </w:rPr>
        <w:t>Gráfica 2. Comportamiento de los rubros de los ingresos municipales, 2001-2008.</w:t>
      </w:r>
    </w:p>
    <w:p>
      <w:pPr>
        <w:pStyle w:val="BodyText"/>
        <w:spacing w:before="5"/>
        <w:rPr>
          <w:b/>
        </w:rPr>
      </w:pPr>
      <w:r>
        <w:rPr/>
        <w:pict>
          <v:group style="position:absolute;margin-left:88.618401pt;margin-top:15.606326pt;width:94.55pt;height:7.2pt;mso-position-horizontal-relative:page;mso-position-vertical-relative:paragraph;z-index:2704;mso-wrap-distance-left:0;mso-wrap-distance-right:0" coordorigin="1772,312" coordsize="1891,144">
            <v:shape style="position:absolute;left:1772;top:312;width:1313;height:143" type="#_x0000_t75" stroked="false">
              <v:imagedata r:id="rId55" o:title=""/>
            </v:shape>
            <v:shape style="position:absolute;left:3117;top:314;width:546;height:113" type="#_x0000_t75" stroked="false">
              <v:imagedata r:id="rId56" o:title=""/>
            </v:shape>
            <w10:wrap type="topAndBottom"/>
          </v:group>
        </w:pict>
      </w:r>
      <w:r>
        <w:rPr/>
        <w:drawing>
          <wp:anchor distT="0" distB="0" distL="0" distR="0" allowOverlap="1" layoutInCell="1" locked="0" behindDoc="0" simplePos="0" relativeHeight="2728">
            <wp:simplePos x="0" y="0"/>
            <wp:positionH relativeFrom="page">
              <wp:posOffset>2377829</wp:posOffset>
            </wp:positionH>
            <wp:positionV relativeFrom="paragraph">
              <wp:posOffset>199614</wp:posOffset>
            </wp:positionV>
            <wp:extent cx="172429" cy="71437"/>
            <wp:effectExtent l="0" t="0" r="0" b="0"/>
            <wp:wrapTopAndBottom/>
            <wp:docPr id="35" name="image42.png" descr=""/>
            <wp:cNvGraphicFramePr>
              <a:graphicFrameLocks noChangeAspect="1"/>
            </wp:cNvGraphicFramePr>
            <a:graphic>
              <a:graphicData uri="http://schemas.openxmlformats.org/drawingml/2006/picture">
                <pic:pic>
                  <pic:nvPicPr>
                    <pic:cNvPr id="36" name="image42.png"/>
                    <pic:cNvPicPr/>
                  </pic:nvPicPr>
                  <pic:blipFill>
                    <a:blip r:embed="rId57" cstate="print"/>
                    <a:stretch>
                      <a:fillRect/>
                    </a:stretch>
                  </pic:blipFill>
                  <pic:spPr>
                    <a:xfrm>
                      <a:off x="0" y="0"/>
                      <a:ext cx="172429" cy="71437"/>
                    </a:xfrm>
                    <a:prstGeom prst="rect">
                      <a:avLst/>
                    </a:prstGeom>
                  </pic:spPr>
                </pic:pic>
              </a:graphicData>
            </a:graphic>
          </wp:anchor>
        </w:drawing>
      </w:r>
      <w:r>
        <w:rPr/>
        <w:drawing>
          <wp:anchor distT="0" distB="0" distL="0" distR="0" allowOverlap="1" layoutInCell="1" locked="0" behindDoc="0" simplePos="0" relativeHeight="2752">
            <wp:simplePos x="0" y="0"/>
            <wp:positionH relativeFrom="page">
              <wp:posOffset>2602420</wp:posOffset>
            </wp:positionH>
            <wp:positionV relativeFrom="paragraph">
              <wp:posOffset>188974</wp:posOffset>
            </wp:positionV>
            <wp:extent cx="202981" cy="90487"/>
            <wp:effectExtent l="0" t="0" r="0" b="0"/>
            <wp:wrapTopAndBottom/>
            <wp:docPr id="37" name="image43.png" descr=""/>
            <wp:cNvGraphicFramePr>
              <a:graphicFrameLocks noChangeAspect="1"/>
            </wp:cNvGraphicFramePr>
            <a:graphic>
              <a:graphicData uri="http://schemas.openxmlformats.org/drawingml/2006/picture">
                <pic:pic>
                  <pic:nvPicPr>
                    <pic:cNvPr id="38" name="image43.png"/>
                    <pic:cNvPicPr/>
                  </pic:nvPicPr>
                  <pic:blipFill>
                    <a:blip r:embed="rId58" cstate="print"/>
                    <a:stretch>
                      <a:fillRect/>
                    </a:stretch>
                  </pic:blipFill>
                  <pic:spPr>
                    <a:xfrm>
                      <a:off x="0" y="0"/>
                      <a:ext cx="202981" cy="90487"/>
                    </a:xfrm>
                    <a:prstGeom prst="rect">
                      <a:avLst/>
                    </a:prstGeom>
                  </pic:spPr>
                </pic:pic>
              </a:graphicData>
            </a:graphic>
          </wp:anchor>
        </w:drawing>
      </w:r>
      <w:r>
        <w:rPr/>
        <w:pict>
          <v:group style="position:absolute;margin-left:224.784393pt;margin-top:15.67742pt;width:27.95pt;height:7.1pt;mso-position-horizontal-relative:page;mso-position-vertical-relative:paragraph;z-index:2776;mso-wrap-distance-left:0;mso-wrap-distance-right:0" coordorigin="4496,314" coordsize="559,142">
            <v:shape style="position:absolute;left:4496;top:314;width:127;height:111" type="#_x0000_t75" stroked="false">
              <v:imagedata r:id="rId59" o:title=""/>
            </v:shape>
            <v:shape style="position:absolute;left:4654;top:340;width:401;height:115" type="#_x0000_t75" stroked="false">
              <v:imagedata r:id="rId60" o:title=""/>
            </v:shape>
            <w10:wrap type="topAndBottom"/>
          </v:group>
        </w:pict>
      </w:r>
      <w:r>
        <w:rPr/>
        <w:drawing>
          <wp:anchor distT="0" distB="0" distL="0" distR="0" allowOverlap="1" layoutInCell="1" locked="0" behindDoc="0" simplePos="0" relativeHeight="2800">
            <wp:simplePos x="0" y="0"/>
            <wp:positionH relativeFrom="page">
              <wp:posOffset>3261996</wp:posOffset>
            </wp:positionH>
            <wp:positionV relativeFrom="paragraph">
              <wp:posOffset>199614</wp:posOffset>
            </wp:positionV>
            <wp:extent cx="172429" cy="71437"/>
            <wp:effectExtent l="0" t="0" r="0" b="0"/>
            <wp:wrapTopAndBottom/>
            <wp:docPr id="39" name="image46.png" descr=""/>
            <wp:cNvGraphicFramePr>
              <a:graphicFrameLocks noChangeAspect="1"/>
            </wp:cNvGraphicFramePr>
            <a:graphic>
              <a:graphicData uri="http://schemas.openxmlformats.org/drawingml/2006/picture">
                <pic:pic>
                  <pic:nvPicPr>
                    <pic:cNvPr id="40" name="image46.png"/>
                    <pic:cNvPicPr/>
                  </pic:nvPicPr>
                  <pic:blipFill>
                    <a:blip r:embed="rId61" cstate="print"/>
                    <a:stretch>
                      <a:fillRect/>
                    </a:stretch>
                  </pic:blipFill>
                  <pic:spPr>
                    <a:xfrm>
                      <a:off x="0" y="0"/>
                      <a:ext cx="172429" cy="71437"/>
                    </a:xfrm>
                    <a:prstGeom prst="rect">
                      <a:avLst/>
                    </a:prstGeom>
                  </pic:spPr>
                </pic:pic>
              </a:graphicData>
            </a:graphic>
          </wp:anchor>
        </w:drawing>
      </w:r>
      <w:r>
        <w:rPr/>
        <w:pict>
          <v:group style="position:absolute;margin-left:274.52301pt;margin-top:15.67742pt;width:51.45pt;height:7.15pt;mso-position-horizontal-relative:page;mso-position-vertical-relative:paragraph;z-index:2824;mso-wrap-distance-left:0;mso-wrap-distance-right:0" coordorigin="5490,314" coordsize="1029,143">
            <v:shape style="position:absolute;left:5490;top:314;width:326;height:143" type="#_x0000_t75" stroked="false">
              <v:imagedata r:id="rId62" o:title=""/>
            </v:shape>
            <v:shape style="position:absolute;left:5848;top:340;width:671;height:109" type="#_x0000_t75" stroked="false">
              <v:imagedata r:id="rId63" o:title=""/>
            </v:shape>
            <w10:wrap type="topAndBottom"/>
          </v:group>
        </w:pict>
      </w:r>
      <w:r>
        <w:rPr/>
        <w:pict>
          <v:group style="position:absolute;margin-left:330.468109pt;margin-top:15.762123pt;width:56.25pt;height:5.6pt;mso-position-horizontal-relative:page;mso-position-vertical-relative:paragraph;z-index:2848;mso-wrap-distance-left:0;mso-wrap-distance-right:0" coordorigin="6609,315" coordsize="1125,112">
            <v:shape style="position:absolute;left:6609;top:315;width:481;height:111" type="#_x0000_t75" stroked="false">
              <v:imagedata r:id="rId64" o:title=""/>
            </v:shape>
            <v:shape style="position:absolute;left:7128;top:315;width:606;height:111" type="#_x0000_t75" stroked="false">
              <v:imagedata r:id="rId65" o:titl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4"/>
        </w:rPr>
      </w:pPr>
      <w:r>
        <w:rPr/>
        <w:pict>
          <v:group style="position:absolute;margin-left:138.970093pt;margin-top:10.213195pt;width:13.25pt;height:4.8pt;mso-position-horizontal-relative:page;mso-position-vertical-relative:paragraph;z-index:2872;mso-wrap-distance-left:0;mso-wrap-distance-right:0" coordorigin="2779,204" coordsize="265,96">
            <v:shape style="position:absolute;left:2779;top:204;width:65;height:94" coordorigin="2779,204" coordsize="65,94" path="m2838,215l2818,215,2823,217,2829,223,2831,227,2831,238,2829,241,2823,247,2819,250,2793,265,2787,271,2781,283,2780,289,2779,297,2843,297,2843,286,2792,286,2794,282,2796,278,2803,272,2806,270,2827,258,2833,254,2841,246,2844,240,2844,225,2841,219,2838,215xm2824,204l2800,204,2791,209,2783,223,2782,229,2782,238,2794,238,2794,232,2795,227,2799,218,2805,215,2838,215,2831,207,2824,204xe" filled="true" fillcolor="#231f20" stroked="false">
              <v:path arrowok="t"/>
              <v:fill type="solid"/>
            </v:shape>
            <v:shape style="position:absolute;left:2853;top:205;width:65;height:96" coordorigin="2853,205" coordsize="65,96" path="m2897,205l2872,205,2862,212,2855,233,2853,242,2853,267,2856,277,2866,295,2874,300,2897,300,2906,294,2908,289,2877,289,2872,285,2867,270,2866,264,2866,241,2867,231,2874,218,2879,215,2909,215,2906,210,2897,205xm2909,215l2893,215,2898,219,2903,232,2905,241,2905,267,2903,276,2896,287,2891,289,2908,289,2915,274,2917,264,2917,238,2915,227,2909,215xe" filled="true" fillcolor="#231f20" stroked="false">
              <v:path arrowok="t"/>
              <v:fill type="solid"/>
            </v:shape>
            <v:shape style="position:absolute;left:2927;top:205;width:65;height:96" coordorigin="2927,205" coordsize="65,96" path="m2971,205l2946,205,2936,212,2929,233,2927,242,2927,267,2929,277,2939,295,2948,300,2971,300,2980,294,2982,289,2951,289,2946,285,2941,270,2940,264,2940,241,2941,231,2948,218,2953,215,2983,215,2980,210,2971,205xm2983,215l2967,215,2972,219,2977,232,2979,241,2979,267,2977,276,2970,287,2965,289,2982,289,2989,274,2991,264,2991,238,2989,227,2983,215xe" filled="true" fillcolor="#231f20" stroked="false">
              <v:path arrowok="t"/>
              <v:fill type="solid"/>
            </v:shape>
            <v:shape style="position:absolute;left:3010;top:205;width:35;height:93" coordorigin="3010,205" coordsize="35,93" path="m3044,205l3035,205,3033,212,3031,217,3024,221,3018,222,3010,223,3010,232,3031,232,3031,297,3044,297,3044,205xe" filled="true" fillcolor="#231f20" stroked="false">
              <v:path arrowok="t"/>
              <v:fill type="solid"/>
            </v:shape>
            <w10:wrap type="topAndBottom"/>
          </v:group>
        </w:pict>
      </w:r>
      <w:r>
        <w:rPr/>
        <w:pict>
          <v:group style="position:absolute;margin-left:165.2052pt;margin-top:10.213195pt;width:14.3pt;height:4.8pt;mso-position-horizontal-relative:page;mso-position-vertical-relative:paragraph;z-index:2896;mso-wrap-distance-left:0;mso-wrap-distance-right:0" coordorigin="3304,204" coordsize="286,96">
            <v:shape style="position:absolute;left:3304;top:204;width:65;height:94" coordorigin="3304,204" coordsize="65,94" path="m3363,215l3343,215,3347,217,3354,223,3355,227,3355,238,3354,241,3348,247,3344,250,3318,265,3312,271,3306,283,3305,289,3304,297,3368,297,3368,286,3317,286,3318,282,3321,278,3328,272,3331,270,3352,258,3357,254,3366,246,3368,240,3368,225,3366,219,3363,215xm3348,204l3325,204,3316,209,3308,223,3307,229,3306,238,3318,238,3318,232,3319,227,3324,218,3330,215,3363,215,3356,207,3348,204xe" filled="true" fillcolor="#231f20" stroked="false">
              <v:path arrowok="t"/>
              <v:fill type="solid"/>
            </v:shape>
            <v:shape style="position:absolute;left:3378;top:205;width:65;height:96" coordorigin="3378,205" coordsize="65,96" path="m3422,205l3396,205,3387,212,3379,233,3378,242,3378,267,3380,277,3390,295,3399,300,3422,300,3431,294,3433,289,3402,289,3397,285,3392,270,3391,264,3391,241,3392,231,3399,218,3404,215,3433,215,3430,210,3422,205xm3433,215l3418,215,3423,219,3428,232,3429,241,3429,267,3428,276,3421,287,3416,289,3433,289,3440,274,3442,264,3442,238,3440,227,3433,215xe" filled="true" fillcolor="#231f20" stroked="false">
              <v:path arrowok="t"/>
              <v:fill type="solid"/>
            </v:shape>
            <v:shape style="position:absolute;left:3452;top:205;width:65;height:96" coordorigin="3452,205" coordsize="65,96" path="m3496,205l3470,205,3461,212,3453,233,3452,242,3452,267,3454,277,3464,295,3472,300,3496,300,3505,294,3507,289,3476,289,3471,285,3465,270,3465,264,3464,241,3466,231,3472,218,3477,215,3507,215,3504,210,3496,205xm3507,215l3492,215,3497,219,3502,232,3503,241,3503,267,3502,276,3494,287,3490,289,3507,289,3514,274,3516,264,3516,238,3514,227,3507,215xe" filled="true" fillcolor="#231f20" stroked="false">
              <v:path arrowok="t"/>
              <v:fill type="solid"/>
            </v:shape>
            <v:shape style="position:absolute;left:3526;top:204;width:65;height:94" coordorigin="3526,204" coordsize="65,94" path="m3584,215l3565,215,3569,217,3575,223,3577,227,3577,238,3575,241,3570,247,3566,250,3539,265,3534,271,3528,283,3526,289,3526,297,3590,297,3590,286,3539,286,3540,282,3543,278,3549,272,3553,270,3574,258,3579,254,3587,246,3590,240,3590,225,3588,219,3584,215xm3570,204l3547,204,3538,209,3530,223,3528,229,3528,238,3540,238,3540,232,3541,227,3546,218,3551,215,3584,215,3578,207,3570,204xe" filled="true" fillcolor="#231f20" stroked="false">
              <v:path arrowok="t"/>
              <v:fill type="solid"/>
            </v:shape>
            <w10:wrap type="topAndBottom"/>
          </v:group>
        </w:pict>
      </w:r>
      <w:r>
        <w:rPr/>
        <w:pict>
          <v:group style="position:absolute;margin-left:193.463303pt;margin-top:10.213195pt;width:14.3pt;height:4.8pt;mso-position-horizontal-relative:page;mso-position-vertical-relative:paragraph;z-index:2920;mso-wrap-distance-left:0;mso-wrap-distance-right:0" coordorigin="3869,204" coordsize="286,96">
            <v:shape style="position:absolute;left:3869;top:204;width:65;height:94" coordorigin="3869,204" coordsize="65,94" path="m3928,215l3908,215,3912,217,3919,223,3921,227,3920,238,3919,241,3913,247,3909,250,3883,265,3877,271,3871,283,3870,289,3869,297,3933,297,3933,286,3882,286,3883,282,3886,278,3893,272,3896,270,3917,258,3923,254,3931,246,3933,240,3933,225,3931,219,3928,215xm3913,204l3890,204,3881,209,3873,223,3872,229,3872,238,3883,238,3884,232,3884,227,3889,218,3895,215,3928,215,3921,207,3913,204xe" filled="true" fillcolor="#231f20" stroked="false">
              <v:path arrowok="t"/>
              <v:fill type="solid"/>
            </v:shape>
            <v:shape style="position:absolute;left:3943;top:205;width:65;height:96" coordorigin="3943,205" coordsize="65,96" path="m3987,205l3962,205,3952,212,3945,233,3943,242,3943,267,3945,277,3955,295,3964,300,3987,300,3996,294,3998,289,3967,289,3962,285,3957,270,3956,264,3956,241,3957,231,3964,218,3969,215,3999,215,3996,210,3987,205xm3999,215l3983,215,3988,219,3993,232,3995,241,3995,267,3993,276,3986,287,3981,289,3998,289,4005,274,4007,264,4007,238,4005,227,3999,215xe" filled="true" fillcolor="#231f20" stroked="false">
              <v:path arrowok="t"/>
              <v:fill type="solid"/>
            </v:shape>
            <v:shape style="position:absolute;left:4017;top:205;width:65;height:96" coordorigin="4017,205" coordsize="65,96" path="m4061,205l4035,205,4026,212,4018,233,4017,242,4017,267,4019,277,4029,295,4038,300,4061,300,4070,294,4072,289,4041,289,4036,285,4031,270,4030,264,4030,241,4031,231,4038,218,4043,215,4073,215,4070,210,4061,205xm4073,215l4057,215,4062,219,4067,232,4069,241,4068,267,4067,276,4060,287,4055,289,4072,289,4079,274,4081,264,4081,238,4079,227,4073,215xe" filled="true" fillcolor="#231f20" stroked="false">
              <v:path arrowok="t"/>
              <v:fill type="solid"/>
            </v:shape>
            <v:shape style="position:absolute;left:4090;top:204;width:65;height:96" coordorigin="4090,204" coordsize="65,96" path="m4102,269l4090,269,4090,278,4092,285,4102,297,4110,300,4132,300,4140,297,4149,289,4114,289,4109,287,4104,279,4103,275,4102,269xm4150,254l4127,254,4133,256,4140,261,4142,265,4142,277,4140,281,4133,288,4128,289,4149,289,4152,286,4155,279,4155,264,4154,260,4150,254xm4115,244l4115,255,4127,254,4150,254,4148,252,4144,250,4139,248,4142,247,4145,245,4145,245,4125,245,4118,245,4115,244xm4149,215l4127,215,4131,216,4138,221,4139,225,4139,236,4137,240,4129,244,4125,245,4145,245,4150,239,4151,235,4151,221,4149,215xm4131,204l4110,204,4101,209,4096,218,4094,222,4092,228,4092,235,4104,235,4104,230,4105,226,4110,218,4115,215,4149,215,4149,215,4138,207,4131,204xe" filled="true" fillcolor="#231f20" stroked="false">
              <v:path arrowok="t"/>
              <v:fill type="solid"/>
            </v:shape>
            <w10:wrap type="topAndBottom"/>
          </v:group>
        </w:pict>
      </w:r>
      <w:r>
        <w:rPr/>
        <w:pict>
          <v:group style="position:absolute;margin-left:218.856506pt;margin-top:10.213195pt;width:14.35pt;height:4.8pt;mso-position-horizontal-relative:page;mso-position-vertical-relative:paragraph;z-index:2944;mso-wrap-distance-left:0;mso-wrap-distance-right:0" coordorigin="4377,204" coordsize="287,96">
            <v:shape style="position:absolute;left:4377;top:204;width:65;height:94" coordorigin="4377,204" coordsize="65,94" path="m4436,215l4416,215,4420,217,4427,223,4428,227,4428,238,4427,241,4421,247,4417,250,4391,265,4385,271,4379,283,4378,289,4377,297,4441,297,4441,286,4390,286,4391,282,4394,278,4401,272,4404,270,4425,258,4430,254,4439,246,4441,240,4441,225,4439,219,4436,215xm4421,204l4398,204,4389,209,4381,223,4380,229,4379,238,4391,238,4391,232,4392,227,4397,218,4403,215,4436,215,4429,207,4421,204xe" filled="true" fillcolor="#231f20" stroked="false">
              <v:path arrowok="t"/>
              <v:fill type="solid"/>
            </v:shape>
            <v:shape style="position:absolute;left:4451;top:205;width:65;height:96" coordorigin="4451,205" coordsize="65,96" path="m4495,205l4469,205,4460,212,4452,233,4451,242,4451,267,4453,277,4463,295,4472,300,4495,300,4504,294,4506,289,4475,289,4470,285,4465,270,4464,264,4464,241,4465,231,4472,218,4477,215,4507,215,4504,210,4495,205xm4507,215l4491,215,4496,219,4501,232,4503,241,4502,267,4501,276,4494,287,4489,289,4506,289,4509,282,4513,274,4515,264,4515,238,4513,227,4507,215xe" filled="true" fillcolor="#231f20" stroked="false">
              <v:path arrowok="t"/>
              <v:fill type="solid"/>
            </v:shape>
            <v:shape style="position:absolute;left:4525;top:205;width:65;height:96" coordorigin="4525,205" coordsize="65,96" path="m4569,205l4543,205,4534,212,4526,233,4525,242,4525,267,4527,277,4537,295,4545,300,4569,300,4578,294,4580,289,4549,289,4544,285,4539,270,4538,264,4537,241,4539,231,4545,218,4550,215,4580,215,4577,210,4569,205xm4580,215l4565,215,4570,219,4575,232,4576,241,4576,267,4575,276,4567,287,4563,289,4580,289,4583,282,4587,274,4589,264,4589,238,4587,227,4580,215xe" filled="true" fillcolor="#231f20" stroked="false">
              <v:path arrowok="t"/>
              <v:fill type="solid"/>
            </v:shape>
            <v:shape style="position:absolute;left:4598;top:204;width:67;height:94" coordorigin="4598,204" coordsize="67,94" path="m4650,275l4639,275,4639,297,4650,297,4650,275xm4650,204l4641,204,4598,263,4598,275,4664,275,4664,265,4609,265,4639,222,4650,222,4650,204xm4650,222l4639,222,4639,265,4650,265,4650,222xe" filled="true" fillcolor="#231f20" stroked="false">
              <v:path arrowok="t"/>
              <v:fill type="solid"/>
            </v:shape>
            <w10:wrap type="topAndBottom"/>
          </v:group>
        </w:pict>
      </w:r>
      <w:r>
        <w:rPr/>
        <w:pict>
          <v:group style="position:absolute;margin-left:246.053497pt;margin-top:10.213195pt;width:14.3pt;height:4.8pt;mso-position-horizontal-relative:page;mso-position-vertical-relative:paragraph;z-index:2968;mso-wrap-distance-left:0;mso-wrap-distance-right:0" coordorigin="4921,204" coordsize="286,96">
            <v:shape style="position:absolute;left:4921;top:204;width:65;height:94" coordorigin="4921,204" coordsize="65,94" path="m4980,215l4960,215,4964,217,4971,223,4972,227,4972,238,4971,241,4965,247,4961,250,4935,265,4929,271,4923,283,4921,289,4921,297,4985,297,4985,286,4934,286,4935,282,4938,278,4945,272,4948,270,4969,258,4974,254,4983,246,4985,240,4985,225,4983,219,4980,215xm4965,204l4942,204,4933,209,4925,223,4923,229,4923,238,4935,238,4935,232,4936,227,4941,218,4947,215,4980,215,4973,207,4965,204xe" filled="true" fillcolor="#231f20" stroked="false">
              <v:path arrowok="t"/>
              <v:fill type="solid"/>
            </v:shape>
            <v:shape style="position:absolute;left:4995;top:205;width:65;height:96" coordorigin="4995,205" coordsize="65,96" path="m5039,205l5013,205,5004,212,4996,233,4995,242,4995,267,4997,277,5007,295,5016,300,5039,300,5048,294,5050,289,5019,289,5014,285,5009,270,5008,264,5008,241,5009,231,5015,218,5021,215,5050,215,5047,210,5039,205xm5050,215l5035,215,5040,219,5045,232,5046,241,5046,267,5045,276,5037,287,5033,289,5050,289,5053,282,5057,274,5059,264,5059,238,5057,227,5050,215xe" filled="true" fillcolor="#231f20" stroked="false">
              <v:path arrowok="t"/>
              <v:fill type="solid"/>
            </v:shape>
            <v:shape style="position:absolute;left:5069;top:205;width:65;height:96" coordorigin="5069,205" coordsize="65,96" path="m5113,205l5087,205,5078,212,5070,233,5069,242,5069,267,5071,277,5081,295,5089,300,5113,300,5122,294,5124,289,5093,289,5088,285,5082,270,5082,264,5081,241,5083,231,5089,218,5094,215,5124,215,5121,210,5113,205xm5124,215l5109,215,5114,219,5119,232,5120,241,5120,267,5119,276,5111,287,5107,289,5124,289,5127,282,5131,274,5133,264,5133,238,5131,227,5124,215xe" filled="true" fillcolor="#231f20" stroked="false">
              <v:path arrowok="t"/>
              <v:fill type="solid"/>
            </v:shape>
            <v:shape style="position:absolute;left:5143;top:206;width:64;height:94" coordorigin="5143,206" coordsize="64,94" path="m5155,274l5143,274,5144,283,5147,289,5158,298,5165,300,5185,300,5193,296,5199,290,5170,290,5167,289,5159,285,5156,280,5155,274xm5200,248l5180,248,5184,250,5192,257,5194,262,5194,274,5193,279,5186,287,5181,290,5199,290,5204,283,5207,275,5207,258,5204,251,5200,248xm5202,206l5153,206,5146,256,5156,257,5158,254,5161,252,5167,249,5170,248,5200,248,5195,243,5158,243,5162,217,5202,217,5202,206xm5185,237l5172,237,5168,238,5164,240,5162,240,5160,242,5158,243,5195,243,5192,240,5185,237xe" filled="true" fillcolor="#231f20" stroked="false">
              <v:path arrowok="t"/>
              <v:fill type="solid"/>
            </v:shape>
            <w10:wrap type="topAndBottom"/>
          </v:group>
        </w:pict>
      </w:r>
      <w:r>
        <w:rPr/>
        <w:pict>
          <v:group style="position:absolute;margin-left:272.662994pt;margin-top:10.21039pt;width:14.35pt;height:4.8pt;mso-position-horizontal-relative:page;mso-position-vertical-relative:paragraph;z-index:2992;mso-wrap-distance-left:0;mso-wrap-distance-right:0" coordorigin="5453,204" coordsize="287,96">
            <v:shape style="position:absolute;left:5453;top:204;width:65;height:94" coordorigin="5453,204" coordsize="65,94" path="m5512,215l5492,215,5496,217,5503,223,5505,227,5504,238,5503,241,5497,247,5493,250,5467,265,5461,271,5455,283,5454,289,5453,297,5517,297,5517,286,5466,286,5467,282,5470,278,5477,272,5480,270,5501,258,5507,254,5515,246,5517,240,5517,225,5515,219,5512,215xm5497,204l5474,204,5465,209,5457,223,5456,229,5456,238,5467,238,5468,232,5468,227,5473,218,5479,215,5512,215,5505,207,5497,204xe" filled="true" fillcolor="#231f20" stroked="false">
              <v:path arrowok="t"/>
              <v:fill type="solid"/>
            </v:shape>
            <v:shape style="position:absolute;left:5527;top:205;width:65;height:96" coordorigin="5527,205" coordsize="65,96" path="m5571,205l5546,205,5536,212,5528,233,5527,242,5527,267,5529,277,5539,295,5548,300,5571,300,5580,294,5582,289,5551,289,5546,285,5541,270,5540,264,5540,241,5541,231,5548,218,5553,215,5583,215,5580,210,5571,205xm5583,215l5567,215,5572,219,5575,225,5577,232,5579,241,5579,267,5577,276,5570,287,5565,289,5582,289,5586,282,5589,274,5591,264,5591,238,5589,227,5583,215xe" filled="true" fillcolor="#231f20" stroked="false">
              <v:path arrowok="t"/>
              <v:fill type="solid"/>
            </v:shape>
            <v:shape style="position:absolute;left:5601;top:205;width:65;height:96" coordorigin="5601,205" coordsize="65,96" path="m5645,205l5619,205,5610,212,5602,233,5601,242,5601,267,5603,277,5613,295,5622,300,5645,300,5654,294,5656,289,5625,289,5620,285,5615,270,5614,264,5614,241,5615,231,5622,218,5627,215,5657,215,5654,210,5645,205xm5657,215l5641,215,5646,219,5651,232,5653,241,5652,267,5651,276,5644,287,5639,289,5656,289,5659,282,5663,274,5665,264,5665,238,5663,227,5657,215xe" filled="true" fillcolor="#231f20" stroked="false">
              <v:path arrowok="t"/>
              <v:fill type="solid"/>
            </v:shape>
            <v:shape style="position:absolute;left:5676;top:204;width:64;height:96" coordorigin="5676,204" coordsize="64,96" path="m5720,204l5695,204,5685,212,5677,235,5676,245,5676,272,5679,283,5692,297,5699,300,5718,300,5726,297,5732,290,5703,290,5698,288,5691,280,5689,275,5689,262,5691,257,5699,250,5701,249,5688,249,5688,241,5688,238,5690,230,5698,217,5703,214,5733,214,5727,207,5720,204xm5734,249l5715,249,5720,251,5726,259,5727,264,5727,275,5726,279,5720,287,5715,290,5732,290,5737,284,5739,276,5739,258,5737,250,5734,249xm5718,238l5706,238,5702,239,5698,241,5694,243,5690,245,5688,249,5701,249,5703,249,5734,249,5725,241,5718,238xm5733,214l5716,214,5720,216,5724,222,5725,225,5726,229,5737,229,5737,223,5735,218,5733,214xe" filled="true" fillcolor="#231f20" stroked="false">
              <v:path arrowok="t"/>
              <v:fill type="solid"/>
            </v:shape>
            <w10:wrap type="topAndBottom"/>
          </v:group>
        </w:pict>
      </w:r>
      <w:r>
        <w:rPr/>
        <w:pict>
          <v:group style="position:absolute;margin-left:298.807220pt;margin-top:10.213195pt;width:14.35pt;height:4.8pt;mso-position-horizontal-relative:page;mso-position-vertical-relative:paragraph;z-index:3016;mso-wrap-distance-left:0;mso-wrap-distance-right:0" coordorigin="5976,204" coordsize="287,96">
            <v:shape style="position:absolute;left:5976;top:204;width:65;height:94" coordorigin="5976,204" coordsize="65,94" path="m6035,215l6015,215,6019,217,6026,223,6027,227,6027,238,6026,241,6020,247,6016,250,5990,265,5984,271,5978,283,5977,289,5976,297,6040,297,6040,286,5989,286,5990,282,5993,278,6000,272,6003,270,6024,258,6029,254,6038,246,6040,240,6040,225,6038,219,6035,215xm6020,204l5997,204,5988,209,5980,223,5979,229,5978,238,5990,238,5990,232,5991,227,5996,218,6002,215,6035,215,6028,207,6020,204xe" filled="true" fillcolor="#231f20" stroked="false">
              <v:path arrowok="t"/>
              <v:fill type="solid"/>
            </v:shape>
            <v:shape style="position:absolute;left:6050;top:205;width:65;height:96" coordorigin="6050,205" coordsize="65,96" path="m6094,205l6068,205,6059,212,6051,233,6050,242,6050,267,6052,277,6062,295,6071,300,6094,300,6103,294,6105,289,6074,289,6069,285,6064,270,6063,264,6063,241,6064,231,6071,218,6076,215,6106,215,6103,210,6094,205xm6106,215l6090,215,6095,219,6098,225,6100,232,6102,241,6101,267,6100,276,6093,287,6088,289,6105,289,6108,282,6112,274,6114,264,6114,238,6112,227,6106,215xe" filled="true" fillcolor="#231f20" stroked="false">
              <v:path arrowok="t"/>
              <v:fill type="solid"/>
            </v:shape>
            <v:shape style="position:absolute;left:6124;top:205;width:65;height:96" coordorigin="6124,205" coordsize="65,96" path="m6168,205l6142,205,6133,212,6125,233,6124,242,6124,267,6126,277,6136,295,6144,300,6168,300,6177,294,6179,289,6148,289,6143,285,6138,270,6137,264,6137,241,6138,231,6144,218,6150,215,6179,215,6176,210,6168,205xm6179,215l6164,215,6169,219,6174,232,6175,241,6175,267,6174,276,6166,287,6162,289,6179,289,6182,282,6186,274,6188,264,6188,238,6186,227,6179,215xe" filled="true" fillcolor="#231f20" stroked="false">
              <v:path arrowok="t"/>
              <v:fill type="solid"/>
            </v:shape>
            <v:shape style="position:absolute;left:6198;top:206;width:65;height:92" coordorigin="6198,206" coordsize="65,92" path="m6263,206l6198,206,6198,218,6250,218,6243,225,6215,284,6212,297,6225,297,6227,288,6228,281,6230,277,6231,270,6234,263,6238,255,6242,246,6246,239,6256,224,6260,219,6263,216,6263,206xe" filled="true" fillcolor="#231f20" stroked="false">
              <v:path arrowok="t"/>
              <v:fill type="solid"/>
            </v:shape>
            <w10:wrap type="topAndBottom"/>
          </v:group>
        </w:pict>
      </w:r>
      <w:r>
        <w:rPr/>
        <w:pict>
          <v:group style="position:absolute;margin-left:324.974609pt;margin-top:10.213195pt;width:14.3pt;height:4.8pt;mso-position-horizontal-relative:page;mso-position-vertical-relative:paragraph;z-index:3040;mso-wrap-distance-left:0;mso-wrap-distance-right:0" coordorigin="6499,204" coordsize="286,96">
            <v:shape style="position:absolute;left:6499;top:204;width:65;height:94" coordorigin="6499,204" coordsize="65,94" path="m6558,215l6538,215,6543,217,6549,223,6551,227,6551,238,6549,241,6543,247,6539,250,6513,265,6507,271,6502,283,6500,289,6499,297,6563,297,6563,286,6513,286,6514,282,6516,278,6523,272,6526,270,6547,258,6553,254,6561,246,6564,240,6564,225,6561,219,6558,215xm6544,204l6520,204,6511,209,6503,223,6502,229,6502,238,6514,238,6514,232,6515,227,6519,218,6525,215,6558,215,6551,207,6544,204xe" filled="true" fillcolor="#231f20" stroked="false">
              <v:path arrowok="t"/>
              <v:fill type="solid"/>
            </v:shape>
            <v:shape style="position:absolute;left:6573;top:205;width:65;height:96" coordorigin="6573,205" coordsize="65,96" path="m6617,205l6592,205,6583,212,6575,233,6573,242,6573,267,6576,277,6586,295,6594,300,6617,300,6626,294,6629,289,6597,289,6592,285,6587,270,6586,264,6586,241,6588,231,6594,218,6599,215,6629,215,6626,210,6617,205xm6629,215l6613,215,6618,219,6621,225,6624,232,6625,241,6625,267,6623,276,6616,287,6611,289,6629,289,6632,282,6636,274,6637,264,6637,238,6635,227,6629,215xe" filled="true" fillcolor="#231f20" stroked="false">
              <v:path arrowok="t"/>
              <v:fill type="solid"/>
            </v:shape>
            <v:shape style="position:absolute;left:6647;top:205;width:65;height:96" coordorigin="6647,205" coordsize="65,96" path="m6691,205l6666,205,6656,212,6649,233,6647,242,6647,267,6650,277,6660,295,6668,300,6691,300,6700,294,6702,289,6671,289,6666,285,6661,270,6660,264,6660,241,6661,231,6668,218,6673,215,6703,215,6700,210,6691,205xm6703,215l6687,215,6692,219,6697,232,6699,241,6699,267,6697,276,6690,287,6685,289,6702,289,6706,282,6709,274,6711,264,6711,238,6709,227,6703,215xe" filled="true" fillcolor="#231f20" stroked="false">
              <v:path arrowok="t"/>
              <v:fill type="solid"/>
            </v:shape>
            <v:shape style="position:absolute;left:6721;top:204;width:64;height:96" coordorigin="6721,204" coordsize="64,96" path="m6762,204l6744,204,6737,207,6727,217,6725,223,6725,235,6726,240,6731,245,6734,247,6737,248,6732,250,6728,253,6723,261,6721,266,6721,281,6724,288,6737,298,6745,300,6764,300,6771,297,6779,290,6747,290,6742,288,6736,281,6734,277,6734,266,6736,262,6743,255,6747,254,6779,254,6777,252,6774,250,6770,248,6773,246,6776,244,6776,244,6749,244,6745,242,6738,237,6737,234,6737,225,6738,222,6743,216,6747,215,6778,215,6769,207,6762,204xm6779,254l6759,254,6763,255,6771,261,6773,266,6773,278,6771,282,6764,288,6759,290,6779,290,6782,286,6785,279,6785,264,6783,258,6779,254xm6778,215l6758,215,6763,216,6768,222,6769,225,6769,233,6768,236,6765,239,6762,242,6758,244,6776,244,6780,238,6782,234,6782,222,6779,216,6778,215xe" filled="true" fillcolor="#231f20" stroked="false">
              <v:path arrowok="t"/>
              <v:fill type="solid"/>
            </v:shape>
            <w10:wrap type="topAndBottom"/>
          </v:group>
        </w:pict>
      </w:r>
    </w:p>
    <w:p>
      <w:pPr>
        <w:pStyle w:val="BodyText"/>
        <w:spacing w:before="6"/>
        <w:rPr>
          <w:b/>
          <w:sz w:val="3"/>
        </w:rPr>
      </w:pPr>
    </w:p>
    <w:p>
      <w:pPr>
        <w:pStyle w:val="BodyText"/>
        <w:spacing w:line="100" w:lineRule="exact"/>
        <w:ind w:left="3905"/>
        <w:rPr>
          <w:sz w:val="10"/>
        </w:rPr>
      </w:pPr>
      <w:r>
        <w:rPr>
          <w:position w:val="-1"/>
          <w:sz w:val="10"/>
        </w:rPr>
        <w:drawing>
          <wp:inline distT="0" distB="0" distL="0" distR="0">
            <wp:extent cx="159448" cy="64007"/>
            <wp:effectExtent l="0" t="0" r="0" b="0"/>
            <wp:docPr id="41" name="image51.png" descr=""/>
            <wp:cNvGraphicFramePr>
              <a:graphicFrameLocks noChangeAspect="1"/>
            </wp:cNvGraphicFramePr>
            <a:graphic>
              <a:graphicData uri="http://schemas.openxmlformats.org/drawingml/2006/picture">
                <pic:pic>
                  <pic:nvPicPr>
                    <pic:cNvPr id="42" name="image51.png"/>
                    <pic:cNvPicPr/>
                  </pic:nvPicPr>
                  <pic:blipFill>
                    <a:blip r:embed="rId66" cstate="print"/>
                    <a:stretch>
                      <a:fillRect/>
                    </a:stretch>
                  </pic:blipFill>
                  <pic:spPr>
                    <a:xfrm>
                      <a:off x="0" y="0"/>
                      <a:ext cx="159448" cy="64007"/>
                    </a:xfrm>
                    <a:prstGeom prst="rect">
                      <a:avLst/>
                    </a:prstGeom>
                  </pic:spPr>
                </pic:pic>
              </a:graphicData>
            </a:graphic>
          </wp:inline>
        </w:drawing>
      </w:r>
      <w:r>
        <w:rPr>
          <w:position w:val="-1"/>
          <w:sz w:val="10"/>
        </w:rPr>
      </w:r>
    </w:p>
    <w:p>
      <w:pPr>
        <w:pStyle w:val="BodyText"/>
        <w:spacing w:before="6"/>
        <w:rPr>
          <w:b/>
          <w:sz w:val="32"/>
        </w:rPr>
      </w:pPr>
    </w:p>
    <w:p>
      <w:pPr>
        <w:spacing w:before="0"/>
        <w:ind w:left="935" w:right="-2" w:firstLine="0"/>
        <w:jc w:val="left"/>
        <w:rPr>
          <w:rFonts w:ascii="Calibri" w:hAnsi="Calibri"/>
          <w:sz w:val="16"/>
        </w:rPr>
      </w:pPr>
      <w:r>
        <w:rPr/>
        <w:drawing>
          <wp:anchor distT="0" distB="0" distL="0" distR="0" allowOverlap="1" layoutInCell="1" locked="0" behindDoc="0" simplePos="0" relativeHeight="3184">
            <wp:simplePos x="0" y="0"/>
            <wp:positionH relativeFrom="page">
              <wp:posOffset>787135</wp:posOffset>
            </wp:positionH>
            <wp:positionV relativeFrom="paragraph">
              <wp:posOffset>-1024023</wp:posOffset>
            </wp:positionV>
            <wp:extent cx="659877" cy="60674"/>
            <wp:effectExtent l="0" t="0" r="0" b="0"/>
            <wp:wrapNone/>
            <wp:docPr id="43" name="image52.png" descr=""/>
            <wp:cNvGraphicFramePr>
              <a:graphicFrameLocks noChangeAspect="1"/>
            </wp:cNvGraphicFramePr>
            <a:graphic>
              <a:graphicData uri="http://schemas.openxmlformats.org/drawingml/2006/picture">
                <pic:pic>
                  <pic:nvPicPr>
                    <pic:cNvPr id="44" name="image52.png"/>
                    <pic:cNvPicPr/>
                  </pic:nvPicPr>
                  <pic:blipFill>
                    <a:blip r:embed="rId67" cstate="print"/>
                    <a:stretch>
                      <a:fillRect/>
                    </a:stretch>
                  </pic:blipFill>
                  <pic:spPr>
                    <a:xfrm>
                      <a:off x="0" y="0"/>
                      <a:ext cx="659877" cy="60674"/>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788022</wp:posOffset>
            </wp:positionH>
            <wp:positionV relativeFrom="paragraph">
              <wp:posOffset>-855425</wp:posOffset>
            </wp:positionV>
            <wp:extent cx="657574" cy="60674"/>
            <wp:effectExtent l="0" t="0" r="0" b="0"/>
            <wp:wrapNone/>
            <wp:docPr id="45" name="image53.png" descr=""/>
            <wp:cNvGraphicFramePr>
              <a:graphicFrameLocks noChangeAspect="1"/>
            </wp:cNvGraphicFramePr>
            <a:graphic>
              <a:graphicData uri="http://schemas.openxmlformats.org/drawingml/2006/picture">
                <pic:pic>
                  <pic:nvPicPr>
                    <pic:cNvPr id="46" name="image53.png"/>
                    <pic:cNvPicPr/>
                  </pic:nvPicPr>
                  <pic:blipFill>
                    <a:blip r:embed="rId68" cstate="print"/>
                    <a:stretch>
                      <a:fillRect/>
                    </a:stretch>
                  </pic:blipFill>
                  <pic:spPr>
                    <a:xfrm>
                      <a:off x="0" y="0"/>
                      <a:ext cx="657574" cy="60674"/>
                    </a:xfrm>
                    <a:prstGeom prst="rect">
                      <a:avLst/>
                    </a:prstGeom>
                  </pic:spPr>
                </pic:pic>
              </a:graphicData>
            </a:graphic>
          </wp:anchor>
        </w:drawing>
      </w:r>
      <w:r>
        <w:rPr/>
        <w:pict>
          <v:group style="position:absolute;margin-left:62.658401pt;margin-top:-54.054203pt;width:51.3pt;height:4.8pt;mso-position-horizontal-relative:page;mso-position-vertical-relative:paragraph;z-index:3232" coordorigin="1253,-1081" coordsize="1026,96">
            <v:shape style="position:absolute;left:1253;top:-1081;width:290;height:96" coordorigin="1253,-1081" coordsize="290,96" path="m1302,-1081l1289,-1081,1287,-1074,1283,-1069,1274,-1065,1265,-1064,1253,-1063,1253,-1054,1284,-1054,1284,-988,1302,-988,1302,-1081m1437,-1048l1434,-1059,1429,-1066,1424,-1071,1422,-1073,1419,-1074,1419,-1045,1419,-1019,1417,-1010,1407,-999,1400,-996,1380,-996,1373,-1001,1366,-1015,1364,-1022,1364,-1045,1366,-1054,1375,-1067,1383,-1071,1403,-1071,1410,-1067,1418,-1054,1419,-1045,1419,-1074,1414,-1077,1403,-1080,1391,-1081,1378,-1080,1367,-1076,1359,-1069,1352,-1060,1348,-1052,1346,-1043,1346,-1019,1349,-1008,1364,-991,1375,-986,1391,-986,1404,-987,1414,-990,1423,-996,1423,-996,1429,-1003,1435,-1012,1437,-1022,1437,-1048m1543,-1048l1540,-1059,1534,-1066,1529,-1071,1527,-1073,1525,-1074,1525,-1045,1525,-1019,1522,-1010,1512,-999,1505,-996,1486,-996,1478,-1001,1471,-1015,1469,-1022,1469,-1045,1472,-1054,1481,-1067,1488,-1071,1508,-1071,1515,-1067,1523,-1054,1525,-1045,1525,-1074,1519,-1077,1509,-1080,1497,-1081,1483,-1080,1472,-1076,1464,-1069,1457,-1060,1453,-1052,1451,-1043,1451,-1019,1455,-1008,1469,-991,1481,-986,1497,-986,1509,-987,1519,-990,1528,-996,1528,-996,1535,-1003,1540,-1012,1543,-1022,1543,-1048e" filled="true" fillcolor="#231f20" stroked="false">
              <v:path arrowok="t"/>
              <v:fill type="solid"/>
            </v:shape>
            <v:line style="position:absolute" from="1567,-995" to="1586,-995" stroked="true" strokeweight=".706pt" strokecolor="#231f20"/>
            <v:shape style="position:absolute;left:1609;top:-1081;width:302;height:96" coordorigin="1609,-1081" coordsize="302,96" path="m1700,-1048l1697,-1059,1692,-1066,1687,-1071,1685,-1073,1682,-1074,1682,-1045,1682,-1019,1680,-1010,1670,-999,1663,-996,1643,-996,1636,-1001,1628,-1015,1627,-1022,1627,-1045,1629,-1054,1638,-1067,1646,-1071,1666,-1071,1673,-1067,1681,-1054,1682,-1045,1682,-1074,1676,-1077,1666,-1080,1654,-1081,1641,-1080,1630,-1076,1621,-1069,1615,-1060,1611,-1052,1609,-1043,1609,-1019,1612,-1008,1627,-991,1638,-986,1654,-986,1667,-987,1677,-990,1686,-996,1686,-996,1692,-1003,1698,-1012,1700,-1022,1700,-1048m1806,-1048l1803,-1059,1797,-1066,1792,-1071,1790,-1073,1788,-1074,1788,-1045,1788,-1019,1785,-1010,1775,-999,1768,-996,1749,-996,1741,-1001,1734,-1015,1732,-1022,1732,-1045,1735,-1054,1744,-1067,1751,-1071,1771,-1071,1778,-1067,1786,-1054,1788,-1045,1788,-1074,1782,-1077,1772,-1080,1760,-1081,1746,-1080,1735,-1076,1727,-1069,1720,-1060,1716,-1052,1714,-1043,1714,-1019,1718,-1008,1732,-991,1744,-986,1759,-986,1772,-987,1782,-990,1791,-996,1791,-996,1798,-1003,1803,-1012,1806,-1022,1806,-1048m1911,-1048l1908,-1059,1902,-1066,1897,-1071,1895,-1073,1893,-1074,1893,-1045,1893,-1019,1890,-1010,1880,-999,1873,-996,1854,-996,1846,-1001,1839,-1015,1838,-1022,1837,-1045,1840,-1054,1849,-1067,1856,-1071,1876,-1071,1884,-1067,1891,-1054,1893,-1045,1893,-1074,1887,-1077,1877,-1080,1865,-1081,1852,-1080,1841,-1076,1832,-1069,1825,-1060,1821,-1052,1820,-1043,1820,-1019,1823,-1008,1837,-991,1849,-986,1865,-986,1877,-987,1887,-990,1896,-996,1897,-996,1903,-1003,1908,-1012,1911,-1022,1911,-1048e" filled="true" fillcolor="#231f20" stroked="false">
              <v:path arrowok="t"/>
              <v:fill type="solid"/>
            </v:shape>
            <v:line style="position:absolute" from="1935,-995" to="1954,-995" stroked="true" strokeweight=".706pt" strokecolor="#231f20"/>
            <v:shape style="position:absolute;left:1977;top:-1081;width:302;height:96" coordorigin="1977,-1081" coordsize="302,96" path="m2069,-1048l2066,-1059,2060,-1066,2055,-1071,2053,-1073,2051,-1074,2051,-1045,2050,-1019,2048,-1010,2038,-999,2031,-996,2012,-996,2004,-1001,1997,-1015,1995,-1022,1995,-1045,1997,-1054,2007,-1067,2014,-1071,2034,-1071,2041,-1067,2049,-1054,2051,-1045,2051,-1074,2045,-1077,2034,-1080,2023,-1081,2009,-1080,1998,-1076,1990,-1069,1983,-1060,1979,-1052,1977,-1043,1977,-1019,1980,-1008,1995,-991,2007,-986,2022,-986,2035,-987,2045,-990,2054,-996,2054,-996,2060,-1003,2066,-1012,2069,-1022,2069,-1048m2174,-1048l2171,-1059,2165,-1066,2160,-1071,2158,-1073,2156,-1074,2156,-1045,2156,-1019,2153,-1010,2143,-999,2136,-996,2117,-996,2109,-1001,2102,-1015,2100,-1022,2100,-1045,2103,-1054,2112,-1067,2119,-1071,2139,-1071,2147,-1067,2154,-1054,2156,-1045,2156,-1074,2150,-1077,2140,-1080,2128,-1081,2115,-1080,2104,-1076,2095,-1069,2088,-1060,2084,-1052,2082,-1043,2082,-1019,2086,-1008,2100,-991,2112,-986,2128,-986,2140,-987,2150,-990,2159,-996,2159,-996,2166,-1003,2171,-1012,2174,-1022,2174,-1048m2279,-1048l2276,-1059,2270,-1066,2266,-1071,2263,-1073,2261,-1074,2261,-1045,2261,-1019,2258,-1010,2248,-999,2241,-996,2222,-996,2214,-1001,2207,-1015,2206,-1022,2206,-1045,2208,-1054,2217,-1067,2224,-1071,2245,-1071,2252,-1067,2259,-1054,2261,-1045,2261,-1074,2255,-1077,2245,-1080,2233,-1081,2220,-1080,2209,-1076,2200,-1069,2193,-1060,2190,-1052,2188,-1043,2188,-1019,2191,-1008,2205,-991,2217,-986,2233,-986,2245,-987,2256,-990,2264,-996,2265,-996,2271,-1003,2276,-1012,2279,-1022,2279,-1048e" filled="true" fillcolor="#231f20" stroked="false">
              <v:path arrowok="t"/>
              <v:fill type="solid"/>
            </v:shape>
            <w10:wrap type="none"/>
          </v:group>
        </w:pict>
      </w:r>
      <w:r>
        <w:rPr/>
        <w:pict>
          <v:shape style="position:absolute;margin-left:109.384399pt;margin-top:-40.768009pt;width:4.6pt;height:4.8pt;mso-position-horizontal-relative:page;mso-position-vertical-relative:paragraph;z-index:3256" coordorigin="2188,-815" coordsize="92,96" path="m2233,-815l2220,-814,2209,-810,2200,-803,2194,-794,2190,-787,2188,-778,2188,-753,2191,-743,2205,-725,2217,-720,2233,-720,2245,-721,2256,-724,2264,-730,2265,-731,2222,-731,2214,-735,2207,-750,2206,-756,2206,-779,2208,-789,2217,-802,2224,-805,2266,-805,2263,-807,2255,-812,2245,-814,2233,-815xm2266,-805l2245,-805,2252,-801,2259,-788,2261,-779,2261,-753,2258,-744,2248,-733,2241,-731,2265,-731,2271,-738,2276,-746,2279,-756,2279,-782,2276,-793,2270,-801,2266,-805xe" filled="true" fillcolor="#231f20" stroked="false">
            <v:path arrowok="t"/>
            <v:fill type="solid"/>
            <w10:wrap type="none"/>
          </v:shape>
        </w:pict>
      </w:r>
      <w:r>
        <w:rPr/>
        <w:drawing>
          <wp:anchor distT="0" distB="0" distL="0" distR="0" allowOverlap="1" layoutInCell="1" locked="0" behindDoc="0" simplePos="0" relativeHeight="3328">
            <wp:simplePos x="0" y="0"/>
            <wp:positionH relativeFrom="page">
              <wp:posOffset>4809633</wp:posOffset>
            </wp:positionH>
            <wp:positionV relativeFrom="paragraph">
              <wp:posOffset>-967936</wp:posOffset>
            </wp:positionV>
            <wp:extent cx="765633" cy="163353"/>
            <wp:effectExtent l="0" t="0" r="0" b="0"/>
            <wp:wrapNone/>
            <wp:docPr id="47" name="image54.png" descr=""/>
            <wp:cNvGraphicFramePr>
              <a:graphicFrameLocks noChangeAspect="1"/>
            </wp:cNvGraphicFramePr>
            <a:graphic>
              <a:graphicData uri="http://schemas.openxmlformats.org/drawingml/2006/picture">
                <pic:pic>
                  <pic:nvPicPr>
                    <pic:cNvPr id="48" name="image54.png"/>
                    <pic:cNvPicPr/>
                  </pic:nvPicPr>
                  <pic:blipFill>
                    <a:blip r:embed="rId69" cstate="print"/>
                    <a:stretch>
                      <a:fillRect/>
                    </a:stretch>
                  </pic:blipFill>
                  <pic:spPr>
                    <a:xfrm>
                      <a:off x="0" y="0"/>
                      <a:ext cx="765633" cy="163353"/>
                    </a:xfrm>
                    <a:prstGeom prst="rect">
                      <a:avLst/>
                    </a:prstGeom>
                  </pic:spPr>
                </pic:pic>
              </a:graphicData>
            </a:graphic>
          </wp:anchor>
        </w:drawing>
      </w:r>
      <w:r>
        <w:rPr>
          <w:rFonts w:ascii="Calibri" w:hAnsi="Calibri"/>
          <w:color w:val="231F20"/>
          <w:sz w:val="16"/>
        </w:rPr>
        <w:t>Fuente:</w:t>
      </w:r>
      <w:r>
        <w:rPr>
          <w:rFonts w:ascii="Calibri" w:hAnsi="Calibri"/>
          <w:color w:val="231F20"/>
          <w:spacing w:val="-23"/>
          <w:sz w:val="16"/>
        </w:rPr>
        <w:t> </w:t>
      </w:r>
      <w:r>
        <w:rPr>
          <w:rFonts w:ascii="Calibri" w:hAnsi="Calibri"/>
          <w:color w:val="231F20"/>
          <w:sz w:val="16"/>
        </w:rPr>
        <w:t>elaboración</w:t>
      </w:r>
      <w:r>
        <w:rPr>
          <w:rFonts w:ascii="Calibri" w:hAnsi="Calibri"/>
          <w:color w:val="231F20"/>
          <w:spacing w:val="-23"/>
          <w:sz w:val="16"/>
        </w:rPr>
        <w:t> </w:t>
      </w:r>
      <w:r>
        <w:rPr>
          <w:rFonts w:ascii="Calibri" w:hAnsi="Calibri"/>
          <w:color w:val="231F20"/>
          <w:sz w:val="16"/>
        </w:rPr>
        <w:t>propia</w:t>
      </w:r>
      <w:r>
        <w:rPr>
          <w:rFonts w:ascii="Calibri" w:hAnsi="Calibri"/>
          <w:color w:val="231F20"/>
          <w:spacing w:val="-23"/>
          <w:sz w:val="16"/>
        </w:rPr>
        <w:t> </w:t>
      </w:r>
      <w:r>
        <w:rPr>
          <w:rFonts w:ascii="Calibri" w:hAnsi="Calibri"/>
          <w:color w:val="231F20"/>
          <w:sz w:val="16"/>
        </w:rPr>
        <w:t>a</w:t>
      </w:r>
      <w:r>
        <w:rPr>
          <w:rFonts w:ascii="Calibri" w:hAnsi="Calibri"/>
          <w:color w:val="231F20"/>
          <w:spacing w:val="-23"/>
          <w:sz w:val="16"/>
        </w:rPr>
        <w:t> </w:t>
      </w:r>
      <w:r>
        <w:rPr>
          <w:rFonts w:ascii="Calibri" w:hAnsi="Calibri"/>
          <w:color w:val="231F20"/>
          <w:sz w:val="16"/>
        </w:rPr>
        <w:t>partir</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(HUIXQUILUCAN,</w:t>
      </w:r>
      <w:r>
        <w:rPr>
          <w:rFonts w:ascii="Calibri" w:hAnsi="Calibri"/>
          <w:color w:val="231F20"/>
          <w:spacing w:val="-23"/>
          <w:sz w:val="16"/>
        </w:rPr>
        <w:t> </w:t>
      </w:r>
      <w:r>
        <w:rPr>
          <w:rFonts w:ascii="Calibri" w:hAnsi="Calibri"/>
          <w:color w:val="231F20"/>
          <w:sz w:val="16"/>
        </w:rPr>
        <w:t>2006a),</w:t>
      </w:r>
      <w:r>
        <w:rPr>
          <w:rFonts w:ascii="Calibri" w:hAnsi="Calibri"/>
          <w:color w:val="231F20"/>
          <w:spacing w:val="-23"/>
          <w:sz w:val="16"/>
        </w:rPr>
        <w:t> </w:t>
      </w:r>
      <w:r>
        <w:rPr>
          <w:rFonts w:ascii="Calibri" w:hAnsi="Calibri"/>
          <w:color w:val="231F20"/>
          <w:sz w:val="16"/>
        </w:rPr>
        <w:t>(INEGI,</w:t>
      </w:r>
      <w:r>
        <w:rPr>
          <w:rFonts w:ascii="Calibri" w:hAnsi="Calibri"/>
          <w:color w:val="231F20"/>
          <w:spacing w:val="-23"/>
          <w:sz w:val="16"/>
        </w:rPr>
        <w:t> </w:t>
      </w:r>
      <w:r>
        <w:rPr>
          <w:rFonts w:ascii="Calibri" w:hAnsi="Calibri"/>
          <w:color w:val="231F20"/>
          <w:sz w:val="16"/>
        </w:rPr>
        <w:t>2006),</w:t>
      </w:r>
      <w:r>
        <w:rPr>
          <w:rFonts w:ascii="Calibri" w:hAnsi="Calibri"/>
          <w:color w:val="231F20"/>
          <w:spacing w:val="-23"/>
          <w:sz w:val="16"/>
        </w:rPr>
        <w:t> </w:t>
      </w:r>
      <w:r>
        <w:rPr>
          <w:rFonts w:ascii="Calibri" w:hAnsi="Calibri"/>
          <w:color w:val="231F20"/>
          <w:sz w:val="16"/>
        </w:rPr>
        <w:t>(SECRETARÍA</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FINANZAS,</w:t>
      </w:r>
      <w:r>
        <w:rPr>
          <w:rFonts w:ascii="Calibri" w:hAnsi="Calibri"/>
          <w:color w:val="231F20"/>
          <w:spacing w:val="-23"/>
          <w:sz w:val="16"/>
        </w:rPr>
        <w:t> </w:t>
      </w:r>
      <w:r>
        <w:rPr>
          <w:rFonts w:ascii="Calibri" w:hAnsi="Calibri"/>
          <w:color w:val="231F20"/>
          <w:sz w:val="16"/>
        </w:rPr>
        <w:t>2009).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spacing w:val="-3"/>
          <w:w w:val="105"/>
        </w:rPr>
        <w:t>Tras </w:t>
      </w:r>
      <w:r>
        <w:rPr>
          <w:color w:val="231F20"/>
          <w:w w:val="105"/>
        </w:rPr>
        <w:t>observar el comportamiento de los egresos municipales resaltan tres aspectos: </w:t>
      </w:r>
      <w:r>
        <w:rPr>
          <w:color w:val="231F20"/>
          <w:spacing w:val="-3"/>
          <w:w w:val="105"/>
        </w:rPr>
        <w:t>Por </w:t>
      </w:r>
      <w:r>
        <w:rPr>
          <w:color w:val="231F20"/>
          <w:w w:val="105"/>
        </w:rPr>
        <w:t>un lado se encuentra el gran peso del gasto corriente </w:t>
      </w:r>
      <w:r>
        <w:rPr>
          <w:color w:val="231F20"/>
          <w:spacing w:val="-3"/>
          <w:w w:val="105"/>
        </w:rPr>
        <w:t>(compuesto </w:t>
      </w:r>
      <w:r>
        <w:rPr>
          <w:color w:val="231F20"/>
          <w:w w:val="105"/>
        </w:rPr>
        <w:t>por los servicios personales,</w:t>
      </w:r>
      <w:r>
        <w:rPr>
          <w:color w:val="231F20"/>
          <w:spacing w:val="-4"/>
          <w:w w:val="105"/>
        </w:rPr>
        <w:t> </w:t>
      </w:r>
      <w:r>
        <w:rPr>
          <w:color w:val="231F20"/>
          <w:w w:val="105"/>
        </w:rPr>
        <w:t>los</w:t>
      </w:r>
      <w:r>
        <w:rPr>
          <w:color w:val="231F20"/>
          <w:spacing w:val="-4"/>
          <w:w w:val="105"/>
        </w:rPr>
        <w:t> </w:t>
      </w:r>
      <w:r>
        <w:rPr>
          <w:color w:val="231F20"/>
          <w:w w:val="105"/>
        </w:rPr>
        <w:t>materiales</w:t>
      </w:r>
      <w:r>
        <w:rPr>
          <w:color w:val="231F20"/>
          <w:spacing w:val="-4"/>
          <w:w w:val="105"/>
        </w:rPr>
        <w:t> </w:t>
      </w:r>
      <w:r>
        <w:rPr>
          <w:color w:val="231F20"/>
          <w:w w:val="105"/>
        </w:rPr>
        <w:t>y</w:t>
      </w:r>
      <w:r>
        <w:rPr>
          <w:color w:val="231F20"/>
          <w:spacing w:val="-4"/>
          <w:w w:val="105"/>
        </w:rPr>
        <w:t> </w:t>
      </w:r>
      <w:r>
        <w:rPr>
          <w:color w:val="231F20"/>
          <w:w w:val="105"/>
        </w:rPr>
        <w:t>suministros</w:t>
      </w:r>
      <w:r>
        <w:rPr>
          <w:color w:val="231F20"/>
          <w:spacing w:val="-4"/>
          <w:w w:val="105"/>
        </w:rPr>
        <w:t> </w:t>
      </w:r>
      <w:r>
        <w:rPr>
          <w:color w:val="231F20"/>
          <w:w w:val="105"/>
        </w:rPr>
        <w:t>y</w:t>
      </w:r>
      <w:r>
        <w:rPr>
          <w:color w:val="231F20"/>
          <w:spacing w:val="-4"/>
          <w:w w:val="105"/>
        </w:rPr>
        <w:t> </w:t>
      </w:r>
      <w:r>
        <w:rPr>
          <w:color w:val="231F20"/>
          <w:w w:val="105"/>
        </w:rPr>
        <w:t>los</w:t>
      </w:r>
      <w:r>
        <w:rPr>
          <w:color w:val="231F20"/>
          <w:spacing w:val="-4"/>
          <w:w w:val="105"/>
        </w:rPr>
        <w:t> </w:t>
      </w:r>
      <w:r>
        <w:rPr>
          <w:color w:val="231F20"/>
          <w:w w:val="105"/>
        </w:rPr>
        <w:t>servicios</w:t>
      </w:r>
      <w:r>
        <w:rPr>
          <w:color w:val="231F20"/>
          <w:spacing w:val="-4"/>
          <w:w w:val="105"/>
        </w:rPr>
        <w:t> </w:t>
      </w:r>
      <w:r>
        <w:rPr>
          <w:color w:val="231F20"/>
          <w:w w:val="105"/>
        </w:rPr>
        <w:t>generales)</w:t>
      </w:r>
      <w:r>
        <w:rPr>
          <w:color w:val="231F20"/>
          <w:spacing w:val="-4"/>
          <w:w w:val="105"/>
        </w:rPr>
        <w:t> </w:t>
      </w:r>
      <w:r>
        <w:rPr>
          <w:color w:val="231F20"/>
          <w:w w:val="105"/>
        </w:rPr>
        <w:t>muy</w:t>
      </w:r>
      <w:r>
        <w:rPr>
          <w:color w:val="231F20"/>
          <w:spacing w:val="-4"/>
          <w:w w:val="105"/>
        </w:rPr>
        <w:t> </w:t>
      </w:r>
      <w:r>
        <w:rPr>
          <w:color w:val="231F20"/>
          <w:w w:val="105"/>
        </w:rPr>
        <w:t>por</w:t>
      </w:r>
      <w:r>
        <w:rPr>
          <w:color w:val="231F20"/>
          <w:spacing w:val="-4"/>
          <w:w w:val="105"/>
        </w:rPr>
        <w:t> </w:t>
      </w:r>
      <w:r>
        <w:rPr>
          <w:color w:val="231F20"/>
          <w:w w:val="105"/>
        </w:rPr>
        <w:t>encima</w:t>
      </w:r>
      <w:r>
        <w:rPr>
          <w:color w:val="231F20"/>
          <w:spacing w:val="-4"/>
          <w:w w:val="105"/>
        </w:rPr>
        <w:t> </w:t>
      </w:r>
      <w:r>
        <w:rPr>
          <w:color w:val="231F20"/>
          <w:w w:val="105"/>
        </w:rPr>
        <w:t>del resto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rubros</w:t>
      </w:r>
      <w:r>
        <w:rPr>
          <w:color w:val="231F20"/>
          <w:spacing w:val="-14"/>
          <w:w w:val="105"/>
        </w:rPr>
        <w:t> </w:t>
      </w:r>
      <w:r>
        <w:rPr>
          <w:color w:val="231F20"/>
          <w:w w:val="105"/>
        </w:rPr>
        <w:t>egresados.</w:t>
      </w:r>
      <w:r>
        <w:rPr>
          <w:color w:val="231F20"/>
          <w:spacing w:val="-14"/>
          <w:w w:val="105"/>
        </w:rPr>
        <w:t> </w:t>
      </w:r>
      <w:r>
        <w:rPr>
          <w:color w:val="231F20"/>
          <w:w w:val="105"/>
        </w:rPr>
        <w:t>Este</w:t>
      </w:r>
      <w:r>
        <w:rPr>
          <w:color w:val="231F20"/>
          <w:spacing w:val="-14"/>
          <w:w w:val="105"/>
        </w:rPr>
        <w:t> </w:t>
      </w:r>
      <w:r>
        <w:rPr>
          <w:color w:val="231F20"/>
          <w:w w:val="105"/>
        </w:rPr>
        <w:t>se</w:t>
      </w:r>
      <w:r>
        <w:rPr>
          <w:color w:val="231F20"/>
          <w:spacing w:val="-14"/>
          <w:w w:val="105"/>
        </w:rPr>
        <w:t> </w:t>
      </w:r>
      <w:r>
        <w:rPr>
          <w:color w:val="231F20"/>
          <w:w w:val="105"/>
        </w:rPr>
        <w:t>incrementó</w:t>
      </w:r>
      <w:r>
        <w:rPr>
          <w:color w:val="231F20"/>
          <w:spacing w:val="-14"/>
          <w:w w:val="105"/>
        </w:rPr>
        <w:t> </w:t>
      </w:r>
      <w:r>
        <w:rPr>
          <w:color w:val="231F20"/>
          <w:w w:val="105"/>
        </w:rPr>
        <w:t>en</w:t>
      </w:r>
      <w:r>
        <w:rPr>
          <w:color w:val="231F20"/>
          <w:spacing w:val="-14"/>
          <w:w w:val="105"/>
        </w:rPr>
        <w:t> </w:t>
      </w:r>
      <w:r>
        <w:rPr>
          <w:color w:val="231F20"/>
          <w:w w:val="105"/>
        </w:rPr>
        <w:t>109%</w:t>
      </w:r>
      <w:r>
        <w:rPr>
          <w:color w:val="231F20"/>
          <w:spacing w:val="-14"/>
          <w:w w:val="105"/>
        </w:rPr>
        <w:t> </w:t>
      </w:r>
      <w:r>
        <w:rPr>
          <w:color w:val="231F20"/>
          <w:w w:val="105"/>
        </w:rPr>
        <w:t>en</w:t>
      </w:r>
      <w:r>
        <w:rPr>
          <w:color w:val="231F20"/>
          <w:spacing w:val="-14"/>
          <w:w w:val="105"/>
        </w:rPr>
        <w:t> </w:t>
      </w:r>
      <w:r>
        <w:rPr>
          <w:color w:val="231F20"/>
          <w:w w:val="105"/>
        </w:rPr>
        <w:t>dicho</w:t>
      </w:r>
      <w:r>
        <w:rPr>
          <w:color w:val="231F20"/>
          <w:spacing w:val="-14"/>
          <w:w w:val="105"/>
        </w:rPr>
        <w:t> </w:t>
      </w:r>
      <w:r>
        <w:rPr>
          <w:color w:val="231F20"/>
          <w:w w:val="105"/>
        </w:rPr>
        <w:t>periodo;</w:t>
      </w:r>
      <w:r>
        <w:rPr>
          <w:color w:val="231F20"/>
          <w:spacing w:val="-14"/>
          <w:w w:val="105"/>
        </w:rPr>
        <w:t> </w:t>
      </w:r>
      <w:r>
        <w:rPr>
          <w:color w:val="231F20"/>
          <w:w w:val="105"/>
        </w:rPr>
        <w:t>además</w:t>
      </w:r>
      <w:r>
        <w:rPr>
          <w:color w:val="231F20"/>
          <w:spacing w:val="-14"/>
          <w:w w:val="105"/>
        </w:rPr>
        <w:t> </w:t>
      </w:r>
      <w:r>
        <w:rPr>
          <w:color w:val="231F20"/>
          <w:w w:val="105"/>
        </w:rPr>
        <w:t>su peso</w:t>
      </w:r>
      <w:r>
        <w:rPr>
          <w:color w:val="231F20"/>
          <w:spacing w:val="-22"/>
          <w:w w:val="105"/>
        </w:rPr>
        <w:t> </w:t>
      </w:r>
      <w:r>
        <w:rPr>
          <w:color w:val="231F20"/>
          <w:w w:val="105"/>
        </w:rPr>
        <w:t>proporcional</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egresos</w:t>
      </w:r>
      <w:r>
        <w:rPr>
          <w:color w:val="231F20"/>
          <w:spacing w:val="-22"/>
          <w:w w:val="105"/>
        </w:rPr>
        <w:t> </w:t>
      </w:r>
      <w:r>
        <w:rPr>
          <w:color w:val="231F20"/>
          <w:w w:val="105"/>
        </w:rPr>
        <w:t>municipales</w:t>
      </w:r>
      <w:r>
        <w:rPr>
          <w:color w:val="231F20"/>
          <w:spacing w:val="-22"/>
          <w:w w:val="105"/>
        </w:rPr>
        <w:t> </w:t>
      </w:r>
      <w:r>
        <w:rPr>
          <w:color w:val="231F20"/>
          <w:w w:val="105"/>
        </w:rPr>
        <w:t>fue</w:t>
      </w:r>
      <w:r>
        <w:rPr>
          <w:color w:val="231F20"/>
          <w:spacing w:val="-22"/>
          <w:w w:val="105"/>
        </w:rPr>
        <w:t> </w:t>
      </w:r>
      <w:r>
        <w:rPr>
          <w:color w:val="231F20"/>
          <w:w w:val="105"/>
        </w:rPr>
        <w:t>del</w:t>
      </w:r>
      <w:r>
        <w:rPr>
          <w:color w:val="231F20"/>
          <w:spacing w:val="-22"/>
          <w:w w:val="105"/>
        </w:rPr>
        <w:t> </w:t>
      </w:r>
      <w:r>
        <w:rPr>
          <w:color w:val="231F20"/>
          <w:spacing w:val="-3"/>
          <w:w w:val="105"/>
        </w:rPr>
        <w:t>55%</w:t>
      </w:r>
      <w:r>
        <w:rPr>
          <w:color w:val="231F20"/>
          <w:spacing w:val="-22"/>
          <w:w w:val="105"/>
        </w:rPr>
        <w:t> </w:t>
      </w:r>
      <w:r>
        <w:rPr>
          <w:color w:val="231F20"/>
          <w:w w:val="105"/>
        </w:rPr>
        <w:t>(gráfica</w:t>
      </w:r>
      <w:r>
        <w:rPr>
          <w:color w:val="231F20"/>
          <w:spacing w:val="-22"/>
          <w:w w:val="105"/>
        </w:rPr>
        <w:t> </w:t>
      </w:r>
      <w:r>
        <w:rPr>
          <w:color w:val="231F20"/>
          <w:spacing w:val="-5"/>
          <w:w w:val="105"/>
        </w:rPr>
        <w:t>3).</w:t>
      </w:r>
    </w:p>
    <w:p>
      <w:pPr>
        <w:pStyle w:val="BodyText"/>
        <w:spacing w:before="1"/>
        <w:rPr>
          <w:sz w:val="26"/>
        </w:rPr>
      </w:pPr>
    </w:p>
    <w:p>
      <w:pPr>
        <w:pStyle w:val="BodyText"/>
        <w:spacing w:line="285" w:lineRule="auto"/>
        <w:ind w:left="110" w:right="108"/>
        <w:jc w:val="both"/>
      </w:pPr>
      <w:r>
        <w:rPr>
          <w:color w:val="231F20"/>
        </w:rPr>
        <w:t>Por otro lado, la deuda pública se ubicó como el segundo rubro de los egresos que más carga generaron al gobierno municipal. Su peso creció del 8% en el año 2003 al 40%</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para 2004. Para el año siguiente descendió su peso proporcional a 28%, y en los años posteriores se ha mantenido alrededor del 20%. Al final se observa que el elevado fi- nanciamiento contratado por el ayuntamiento entre los años 2003-2006 comprometió severamente a los egresos posteriores del ayuntamiento huixquiluquense.</w:t>
      </w:r>
    </w:p>
    <w:p>
      <w:pPr>
        <w:pStyle w:val="BodyText"/>
        <w:spacing w:before="1"/>
        <w:rPr>
          <w:sz w:val="26"/>
        </w:rPr>
      </w:pPr>
    </w:p>
    <w:p>
      <w:pPr>
        <w:pStyle w:val="BodyText"/>
        <w:spacing w:line="285" w:lineRule="auto"/>
        <w:ind w:left="110" w:right="107"/>
        <w:jc w:val="both"/>
      </w:pPr>
      <w:r>
        <w:rPr>
          <w:color w:val="231F20"/>
          <w:spacing w:val="-3"/>
          <w:w w:val="105"/>
        </w:rPr>
        <w:t>Por </w:t>
      </w:r>
      <w:r>
        <w:rPr>
          <w:color w:val="231F20"/>
          <w:w w:val="105"/>
        </w:rPr>
        <w:t>último, se observa un comportamiento muy semejante entre los rubros del gasto de</w:t>
      </w:r>
      <w:r>
        <w:rPr>
          <w:color w:val="231F20"/>
          <w:spacing w:val="-5"/>
          <w:w w:val="105"/>
        </w:rPr>
        <w:t> </w:t>
      </w:r>
      <w:r>
        <w:rPr>
          <w:color w:val="231F20"/>
          <w:w w:val="105"/>
        </w:rPr>
        <w:t>capital</w:t>
      </w:r>
      <w:r>
        <w:rPr>
          <w:color w:val="231F20"/>
          <w:spacing w:val="-5"/>
          <w:w w:val="105"/>
        </w:rPr>
        <w:t> </w:t>
      </w:r>
      <w:r>
        <w:rPr>
          <w:color w:val="231F20"/>
          <w:spacing w:val="-4"/>
          <w:w w:val="105"/>
        </w:rPr>
        <w:t>(que</w:t>
      </w:r>
      <w:r>
        <w:rPr>
          <w:color w:val="231F20"/>
          <w:spacing w:val="-5"/>
          <w:w w:val="105"/>
        </w:rPr>
        <w:t> </w:t>
      </w:r>
      <w:r>
        <w:rPr>
          <w:color w:val="231F20"/>
          <w:w w:val="105"/>
        </w:rPr>
        <w:t>incluye</w:t>
      </w:r>
      <w:r>
        <w:rPr>
          <w:color w:val="231F20"/>
          <w:spacing w:val="-5"/>
          <w:w w:val="105"/>
        </w:rPr>
        <w:t> </w:t>
      </w:r>
      <w:r>
        <w:rPr>
          <w:color w:val="231F20"/>
          <w:w w:val="105"/>
        </w:rPr>
        <w:t>la</w:t>
      </w:r>
      <w:r>
        <w:rPr>
          <w:color w:val="231F20"/>
          <w:spacing w:val="-5"/>
          <w:w w:val="105"/>
        </w:rPr>
        <w:t> </w:t>
      </w:r>
      <w:r>
        <w:rPr>
          <w:color w:val="231F20"/>
          <w:w w:val="105"/>
        </w:rPr>
        <w:t>adquisición</w:t>
      </w:r>
      <w:r>
        <w:rPr>
          <w:color w:val="231F20"/>
          <w:spacing w:val="-5"/>
          <w:w w:val="105"/>
        </w:rPr>
        <w:t> </w:t>
      </w:r>
      <w:r>
        <w:rPr>
          <w:color w:val="231F20"/>
          <w:w w:val="105"/>
        </w:rPr>
        <w:t>de</w:t>
      </w:r>
      <w:r>
        <w:rPr>
          <w:color w:val="231F20"/>
          <w:spacing w:val="-5"/>
          <w:w w:val="105"/>
        </w:rPr>
        <w:t> </w:t>
      </w:r>
      <w:r>
        <w:rPr>
          <w:color w:val="231F20"/>
          <w:w w:val="105"/>
        </w:rPr>
        <w:t>bienes</w:t>
      </w:r>
      <w:r>
        <w:rPr>
          <w:color w:val="231F20"/>
          <w:spacing w:val="-5"/>
          <w:w w:val="105"/>
        </w:rPr>
        <w:t> </w:t>
      </w:r>
      <w:r>
        <w:rPr>
          <w:color w:val="231F20"/>
          <w:w w:val="105"/>
        </w:rPr>
        <w:t>muebles</w:t>
      </w:r>
      <w:r>
        <w:rPr>
          <w:color w:val="231F20"/>
          <w:spacing w:val="-5"/>
          <w:w w:val="105"/>
        </w:rPr>
        <w:t> </w:t>
      </w:r>
      <w:r>
        <w:rPr>
          <w:color w:val="231F20"/>
          <w:w w:val="105"/>
        </w:rPr>
        <w:t>e</w:t>
      </w:r>
      <w:r>
        <w:rPr>
          <w:color w:val="231F20"/>
          <w:spacing w:val="-5"/>
          <w:w w:val="105"/>
        </w:rPr>
        <w:t> </w:t>
      </w:r>
      <w:r>
        <w:rPr>
          <w:color w:val="231F20"/>
          <w:w w:val="105"/>
        </w:rPr>
        <w:t>inmuebles,</w:t>
      </w:r>
      <w:r>
        <w:rPr>
          <w:color w:val="231F20"/>
          <w:spacing w:val="-5"/>
          <w:w w:val="105"/>
        </w:rPr>
        <w:t> </w:t>
      </w:r>
      <w:r>
        <w:rPr>
          <w:color w:val="231F20"/>
          <w:w w:val="105"/>
        </w:rPr>
        <w:t>obras</w:t>
      </w:r>
      <w:r>
        <w:rPr>
          <w:color w:val="231F20"/>
          <w:spacing w:val="-5"/>
          <w:w w:val="105"/>
        </w:rPr>
        <w:t> </w:t>
      </w:r>
      <w:r>
        <w:rPr>
          <w:color w:val="231F20"/>
          <w:w w:val="105"/>
        </w:rPr>
        <w:t>públicas</w:t>
      </w:r>
      <w:r>
        <w:rPr>
          <w:color w:val="231F20"/>
          <w:spacing w:val="-5"/>
          <w:w w:val="105"/>
        </w:rPr>
        <w:t> </w:t>
      </w:r>
      <w:r>
        <w:rPr>
          <w:color w:val="231F20"/>
          <w:w w:val="105"/>
        </w:rPr>
        <w:t>y acciones sociales y las inversiones financieras) frente a los subsidios, transferencias y ayudas</w:t>
      </w:r>
      <w:r>
        <w:rPr>
          <w:color w:val="231F20"/>
          <w:spacing w:val="-13"/>
          <w:w w:val="105"/>
        </w:rPr>
        <w:t> </w:t>
      </w:r>
      <w:r>
        <w:rPr>
          <w:color w:val="231F20"/>
          <w:w w:val="105"/>
        </w:rPr>
        <w:t>brindadas</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gobierno</w:t>
      </w:r>
      <w:r>
        <w:rPr>
          <w:color w:val="231F20"/>
          <w:spacing w:val="-13"/>
          <w:w w:val="105"/>
        </w:rPr>
        <w:t> </w:t>
      </w:r>
      <w:r>
        <w:rPr>
          <w:color w:val="231F20"/>
          <w:w w:val="105"/>
        </w:rPr>
        <w:t>municipal.</w:t>
      </w:r>
      <w:r>
        <w:rPr>
          <w:color w:val="231F20"/>
          <w:spacing w:val="-13"/>
          <w:w w:val="105"/>
        </w:rPr>
        <w:t> </w:t>
      </w:r>
      <w:r>
        <w:rPr>
          <w:color w:val="231F20"/>
          <w:w w:val="105"/>
        </w:rPr>
        <w:t>Ambos</w:t>
      </w:r>
      <w:r>
        <w:rPr>
          <w:color w:val="231F20"/>
          <w:spacing w:val="-13"/>
          <w:w w:val="105"/>
        </w:rPr>
        <w:t> </w:t>
      </w:r>
      <w:r>
        <w:rPr>
          <w:color w:val="231F20"/>
          <w:w w:val="105"/>
        </w:rPr>
        <w:t>han</w:t>
      </w:r>
      <w:r>
        <w:rPr>
          <w:color w:val="231F20"/>
          <w:spacing w:val="-13"/>
          <w:w w:val="105"/>
        </w:rPr>
        <w:t> </w:t>
      </w:r>
      <w:r>
        <w:rPr>
          <w:color w:val="231F20"/>
          <w:w w:val="105"/>
        </w:rPr>
        <w:t>significado</w:t>
      </w:r>
      <w:r>
        <w:rPr>
          <w:color w:val="231F20"/>
          <w:spacing w:val="-13"/>
          <w:w w:val="105"/>
        </w:rPr>
        <w:t> </w:t>
      </w:r>
      <w:r>
        <w:rPr>
          <w:color w:val="231F20"/>
          <w:w w:val="105"/>
        </w:rPr>
        <w:t>alrededor</w:t>
      </w:r>
      <w:r>
        <w:rPr>
          <w:color w:val="231F20"/>
          <w:spacing w:val="-13"/>
          <w:w w:val="105"/>
        </w:rPr>
        <w:t> </w:t>
      </w:r>
      <w:r>
        <w:rPr>
          <w:color w:val="231F20"/>
          <w:w w:val="105"/>
        </w:rPr>
        <w:t>del</w:t>
      </w:r>
      <w:r>
        <w:rPr>
          <w:color w:val="231F20"/>
          <w:spacing w:val="-13"/>
          <w:w w:val="105"/>
        </w:rPr>
        <w:t> </w:t>
      </w:r>
      <w:r>
        <w:rPr>
          <w:color w:val="231F20"/>
          <w:spacing w:val="-3"/>
          <w:w w:val="105"/>
        </w:rPr>
        <w:t>10% </w:t>
      </w:r>
      <w:r>
        <w:rPr>
          <w:color w:val="231F20"/>
          <w:w w:val="105"/>
        </w:rPr>
        <w:t>de los egresos municipales y registraron ligeros incrementos en los años considerados como</w:t>
      </w:r>
      <w:r>
        <w:rPr>
          <w:color w:val="231F20"/>
          <w:spacing w:val="-40"/>
          <w:w w:val="105"/>
        </w:rPr>
        <w:t> </w:t>
      </w:r>
      <w:r>
        <w:rPr>
          <w:color w:val="231F20"/>
          <w:w w:val="105"/>
        </w:rPr>
        <w:t>“electorales”</w:t>
      </w:r>
      <w:r>
        <w:rPr>
          <w:color w:val="231F20"/>
          <w:spacing w:val="-40"/>
          <w:w w:val="105"/>
        </w:rPr>
        <w:t> </w:t>
      </w:r>
      <w:r>
        <w:rPr>
          <w:color w:val="231F20"/>
          <w:w w:val="105"/>
        </w:rPr>
        <w:t>a</w:t>
      </w:r>
      <w:r>
        <w:rPr>
          <w:color w:val="231F20"/>
          <w:spacing w:val="-40"/>
          <w:w w:val="105"/>
        </w:rPr>
        <w:t> </w:t>
      </w:r>
      <w:r>
        <w:rPr>
          <w:color w:val="231F20"/>
          <w:w w:val="105"/>
        </w:rPr>
        <w:t>nivel</w:t>
      </w:r>
      <w:r>
        <w:rPr>
          <w:color w:val="231F20"/>
          <w:spacing w:val="-40"/>
          <w:w w:val="105"/>
        </w:rPr>
        <w:t> </w:t>
      </w:r>
      <w:r>
        <w:rPr>
          <w:color w:val="231F20"/>
          <w:w w:val="105"/>
        </w:rPr>
        <w:t>local</w:t>
      </w:r>
      <w:r>
        <w:rPr>
          <w:color w:val="231F20"/>
          <w:w w:val="105"/>
          <w:position w:val="7"/>
          <w:sz w:val="13"/>
        </w:rPr>
        <w:t>13</w:t>
      </w:r>
      <w:r>
        <w:rPr>
          <w:color w:val="231F20"/>
          <w:w w:val="105"/>
        </w:rPr>
        <w:t>.</w:t>
      </w:r>
    </w:p>
    <w:p>
      <w:pPr>
        <w:pStyle w:val="BodyText"/>
        <w:spacing w:before="1"/>
        <w:rPr>
          <w:sz w:val="26"/>
        </w:rPr>
      </w:pPr>
    </w:p>
    <w:p>
      <w:pPr>
        <w:pStyle w:val="Heading5"/>
        <w:ind w:left="178" w:right="0"/>
        <w:jc w:val="both"/>
      </w:pPr>
      <w:r>
        <w:rPr/>
        <w:pict>
          <v:group style="position:absolute;margin-left:112.767899pt;margin-top:34.897343pt;width:234pt;height:109.25pt;mso-position-horizontal-relative:page;mso-position-vertical-relative:paragraph;z-index:3616" coordorigin="2255,698" coordsize="4680,2185">
            <v:rect style="position:absolute;left:2321;top:708;width:4603;height:2129" filled="true" fillcolor="#bcbec0" stroked="false">
              <v:fill type="solid"/>
            </v:rect>
            <v:rect style="position:absolute;left:2321;top:708;width:4603;height:2129" filled="false" stroked="true" strokeweight="1pt" strokecolor="#231f20"/>
            <v:shape style="position:absolute;left:0;top:7294;width:4665;height:2170" coordorigin="0,7294" coordsize="4665,2170" path="m2260,708l6925,708m2260,975l6925,975m2260,1254l6925,1254m2260,1516l6925,1516m2260,1767l6925,1767m2260,2040l6925,2040m2260,2302l6925,2302m2260,2570l6925,2570m2260,2837l6925,2837m2903,2877l2903,2837m3471,2877l3471,2837m4049,2877l4049,2837m4629,2877l4629,2837m5197,2877l5197,2837m5774,2877l5774,2837m6344,2877l6344,2837m6925,2877l6925,2837m2320,2877l2320,2837e" filled="false" stroked="true" strokeweight=".5pt" strokecolor="#231f20">
              <v:path arrowok="t"/>
            </v:shape>
            <v:shape style="position:absolute;left:2594;top:2521;width:4154;height:184" coordorigin="2594,2521" coordsize="4154,184" path="m2594,2704l3182,2704,3788,2601,4375,2653,4967,2578,5564,2521,6151,2554,6748,2521e" filled="false" stroked="true" strokeweight="1.5pt" strokecolor="#fbb040">
              <v:path arrowok="t"/>
            </v:shape>
            <v:shape style="position:absolute;left:2594;top:1001;width:4154;height:951" coordorigin="2594,1001" coordsize="4154,951" path="m2594,1951l3191,1861,3783,1658,4385,1370,4963,1370,5569,1228,6151,1001,6748,1001e" filled="false" stroked="true" strokeweight="1.5pt" strokecolor="#00aeef">
              <v:path arrowok="t"/>
            </v:shape>
            <v:shape style="position:absolute;left:2594;top:2412;width:4154;height:378" coordorigin="2594,2412" coordsize="4154,378" path="m2594,2790l3191,2643,3797,2521,4375,2653,4958,2655,5574,2478,6147,2441,6748,2412e" filled="false" stroked="true" strokeweight="1.5pt" strokecolor="#be1e2d">
              <v:path arrowok="t"/>
            </v:shape>
            <v:shape style="position:absolute;left:2594;top:1541;width:4154;height:1302" coordorigin="2594,1541" coordsize="4154,1302" path="m2594,2843l3191,2643,3783,2653,4385,1541,4963,2043,5555,1953,6147,1976,6748,2142e" filled="false" stroked="true" strokeweight="1.5pt" strokecolor="#8dc63f">
              <v:path arrowok="t"/>
            </v:shape>
            <v:shape style="position:absolute;left:2594;top:2644;width:4154;height:199" coordorigin="2594,2644" coordsize="4154,199" path="m2594,2752l3191,2644,3764,2843,4380,2843,4963,2843,5559,2790,6142,2843,6748,2843e" filled="false" stroked="true" strokeweight="1.5pt" strokecolor="#ec008c">
              <v:path arrowok="t"/>
            </v:shape>
            <w10:wrap type="none"/>
          </v:group>
        </w:pict>
      </w:r>
      <w:r>
        <w:rPr/>
        <w:drawing>
          <wp:anchor distT="0" distB="0" distL="0" distR="0" allowOverlap="1" layoutInCell="1" locked="0" behindDoc="0" simplePos="0" relativeHeight="3640">
            <wp:simplePos x="0" y="0"/>
            <wp:positionH relativeFrom="page">
              <wp:posOffset>4767704</wp:posOffset>
            </wp:positionH>
            <wp:positionV relativeFrom="paragraph">
              <wp:posOffset>528667</wp:posOffset>
            </wp:positionV>
            <wp:extent cx="697609" cy="54863"/>
            <wp:effectExtent l="0" t="0" r="0" b="0"/>
            <wp:wrapNone/>
            <wp:docPr id="49" name="image55.png" descr=""/>
            <wp:cNvGraphicFramePr>
              <a:graphicFrameLocks noChangeAspect="1"/>
            </wp:cNvGraphicFramePr>
            <a:graphic>
              <a:graphicData uri="http://schemas.openxmlformats.org/drawingml/2006/picture">
                <pic:pic>
                  <pic:nvPicPr>
                    <pic:cNvPr id="50" name="image55.png"/>
                    <pic:cNvPicPr/>
                  </pic:nvPicPr>
                  <pic:blipFill>
                    <a:blip r:embed="rId70" cstate="print"/>
                    <a:stretch>
                      <a:fillRect/>
                    </a:stretch>
                  </pic:blipFill>
                  <pic:spPr>
                    <a:xfrm>
                      <a:off x="0" y="0"/>
                      <a:ext cx="697609" cy="54863"/>
                    </a:xfrm>
                    <a:prstGeom prst="rect">
                      <a:avLst/>
                    </a:prstGeom>
                  </pic:spPr>
                </pic:pic>
              </a:graphicData>
            </a:graphic>
          </wp:anchor>
        </w:drawing>
      </w:r>
      <w:r>
        <w:rPr/>
        <w:pict>
          <v:group style="position:absolute;margin-left:375.40979pt;margin-top:62.234844pt;width:46.7pt;height:5.65pt;mso-position-horizontal-relative:page;mso-position-vertical-relative:paragraph;z-index:3664" coordorigin="7508,1245" coordsize="934,113">
            <v:shape style="position:absolute;left:7508;top:1249;width:405;height:86" coordorigin="7508,1249" coordsize="405,86" path="m7610,1290l7560,1290,7560,1299,7595,1299,7595,1308,7592,1315,7579,1324,7571,1326,7548,1326,7538,1323,7527,1311,7524,1303,7524,1282,7527,1273,7541,1262,7550,1259,7569,1259,7576,1261,7587,1266,7591,1270,7593,1276,7608,1276,7605,1266,7600,1259,7599,1258,7580,1251,7571,1249,7545,1249,7533,1253,7513,1269,7508,1280,7508,1307,7513,1318,7524,1326,7533,1332,7544,1335,7568,1335,7576,1334,7583,1331,7587,1330,7591,1327,7592,1326,7596,1323,7600,1333,7610,1333,7610,1323,7610,1290m7707,1326l7706,1326,7700,1326,7699,1326,7698,1325,7698,1325,7698,1324,7698,1303,7698,1283,7696,1281,7695,1279,7683,1274,7675,1272,7657,1272,7650,1274,7637,1279,7634,1285,7633,1292,7646,1292,7647,1289,7648,1286,7653,1282,7658,1281,7671,1281,7676,1281,7683,1285,7684,1287,7684,1292,7684,1293,7684,1294,7684,1303,7684,1317,7680,1322,7668,1326,7663,1327,7654,1327,7651,1326,7645,1323,7644,1320,7644,1314,7646,1311,7652,1308,7656,1307,7672,1306,7675,1305,7680,1304,7682,1304,7684,1303,7684,1294,7682,1296,7680,1297,7647,1300,7641,1302,7631,1308,7629,1312,7629,1323,7632,1327,7641,1333,7647,1335,7661,1335,7667,1334,7678,1330,7682,1328,7683,1327,7685,1325,7685,1328,7686,1329,7689,1333,7693,1334,7701,1334,7703,1334,7705,1334,7707,1333,7707,1326,7707,1326m7784,1310l7781,1306,7772,1302,7766,1301,7742,1297,7739,1296,7737,1295,7733,1293,7732,1291,7732,1286,7733,1284,7736,1283,7738,1281,7742,1281,7756,1281,7761,1282,7765,1285,7767,1287,7768,1289,7768,1291,7781,1291,7781,1287,7780,1283,7777,1281,7771,1275,7761,1272,7739,1272,7732,1274,7720,1281,7718,1285,7718,1296,7721,1300,7727,1302,7730,1304,7735,1305,7759,1310,7763,1310,7769,1313,7770,1314,7770,1320,7768,1323,7760,1326,7756,1327,7742,1327,7736,1325,7730,1320,7729,1318,7729,1314,7715,1314,7716,1320,7718,1325,7729,1333,7737,1335,7761,1335,7770,1333,7779,1327,7781,1326,7784,1321,7784,1310m7829,1274l7816,1274,7816,1257,7802,1257,7802,1274,7790,1274,7790,1282,7802,1282,7802,1325,7803,1328,7807,1333,7812,1334,7822,1334,7825,1334,7827,1333,7829,1333,7829,1325,7829,1325,7824,1325,7820,1325,7819,1325,7817,1324,7816,1323,7816,1282,7829,1282,7829,1274m7913,1292l7909,1285,7904,1281,7898,1277,7898,1297,7898,1309,7897,1314,7893,1319,7890,1324,7884,1327,7867,1327,7861,1325,7853,1316,7851,1311,7851,1298,7853,1292,7861,1283,7867,1281,7884,1281,7891,1283,7897,1292,7898,1297,7898,1277,7895,1275,7886,1272,7864,1272,7854,1275,7840,1287,7837,1295,7837,1314,7840,1321,7853,1332,7862,1335,7887,1335,7897,1332,7903,1327,7910,1320,7913,1312,7913,1292e" filled="true" fillcolor="#231f20" stroked="false">
              <v:path arrowok="t"/>
              <v:fill type="solid"/>
            </v:shape>
            <v:shape style="position:absolute;left:7970;top:1245;width:471;height:112" type="#_x0000_t75" stroked="false">
              <v:imagedata r:id="rId71" o:title=""/>
            </v:shape>
            <w10:wrap type="none"/>
          </v:group>
        </w:pict>
      </w:r>
      <w:r>
        <w:rPr/>
        <w:pict>
          <v:group style="position:absolute;margin-left:350.677094pt;margin-top:83.317947pt;width:75.8pt;height:11.15pt;mso-position-horizontal-relative:page;mso-position-vertical-relative:paragraph;z-index:3688" coordorigin="7014,1666" coordsize="1516,223">
            <v:shape style="position:absolute;left:7503;top:1666;width:1026;height:222" type="#_x0000_t75" stroked="false">
              <v:imagedata r:id="rId72" o:title=""/>
            </v:shape>
            <v:line style="position:absolute" from="7029,1715" to="7436,1715" stroked="true" strokeweight="1.5pt" strokecolor="#fbb040"/>
            <w10:wrap type="none"/>
          </v:group>
        </w:pict>
      </w:r>
      <w:r>
        <w:rPr/>
        <w:pict>
          <v:line style="position:absolute;mso-position-horizontal-relative:page;mso-position-vertical-relative:paragraph;z-index:3760" from="351.427094pt,44.105942pt" to="371.794094pt,44.105942pt" stroked="true" strokeweight="1.5pt" strokecolor="#00aeef">
            <w10:wrap type="none"/>
          </v:line>
        </w:pict>
      </w:r>
      <w:r>
        <w:rPr/>
        <w:pict>
          <v:line style="position:absolute;mso-position-horizontal-relative:page;mso-position-vertical-relative:paragraph;z-index:3784" from="351.427094pt,64.698441pt" to="371.794094pt,64.698441pt" stroked="true" strokeweight="1.5pt" strokecolor="#be1e2d">
            <w10:wrap type="none"/>
          </v:line>
        </w:pict>
      </w:r>
      <w:r>
        <w:rPr/>
        <w:drawing>
          <wp:anchor distT="0" distB="0" distL="0" distR="0" allowOverlap="1" layoutInCell="1" locked="0" behindDoc="0" simplePos="0" relativeHeight="3856">
            <wp:simplePos x="0" y="0"/>
            <wp:positionH relativeFrom="page">
              <wp:posOffset>678878</wp:posOffset>
            </wp:positionH>
            <wp:positionV relativeFrom="paragraph">
              <wp:posOffset>421547</wp:posOffset>
            </wp:positionV>
            <wp:extent cx="606283" cy="60674"/>
            <wp:effectExtent l="0" t="0" r="0" b="0"/>
            <wp:wrapNone/>
            <wp:docPr id="51" name="image58.png" descr=""/>
            <wp:cNvGraphicFramePr>
              <a:graphicFrameLocks noChangeAspect="1"/>
            </wp:cNvGraphicFramePr>
            <a:graphic>
              <a:graphicData uri="http://schemas.openxmlformats.org/drawingml/2006/picture">
                <pic:pic>
                  <pic:nvPicPr>
                    <pic:cNvPr id="52" name="image58.png"/>
                    <pic:cNvPicPr/>
                  </pic:nvPicPr>
                  <pic:blipFill>
                    <a:blip r:embed="rId73" cstate="print"/>
                    <a:stretch>
                      <a:fillRect/>
                    </a:stretch>
                  </pic:blipFill>
                  <pic:spPr>
                    <a:xfrm>
                      <a:off x="0" y="0"/>
                      <a:ext cx="606283" cy="60674"/>
                    </a:xfrm>
                    <a:prstGeom prst="rect">
                      <a:avLst/>
                    </a:prstGeom>
                  </pic:spPr>
                </pic:pic>
              </a:graphicData>
            </a:graphic>
          </wp:anchor>
        </w:drawing>
      </w:r>
      <w:r>
        <w:rPr/>
        <w:pict>
          <v:group style="position:absolute;margin-left:53.494003pt;margin-top:46.468548pt;width:47.75pt;height:4.8pt;mso-position-horizontal-relative:page;mso-position-vertical-relative:paragraph;z-index:3880" coordorigin="1070,929" coordsize="955,96">
            <v:shape style="position:absolute;left:1070;top:929;width:277;height:96" coordorigin="1070,929" coordsize="277,96" path="m1155,931l1070,931,1070,943,1137,943,1129,950,1121,959,1113,969,1104,982,1096,996,1091,1009,1087,1022,1104,1022,1107,1013,1109,1006,1113,995,1117,987,1122,979,1127,971,1132,963,1145,949,1151,944,1155,941,1155,931m1250,962l1247,952,1239,940,1235,934,1233,934,1233,966,1233,991,1231,1001,1222,1011,1215,1014,1197,1014,1190,1010,1184,995,1182,988,1182,966,1184,956,1193,943,1199,940,1218,940,1225,943,1232,957,1233,966,1233,934,1223,929,1207,929,1195,931,1185,935,1177,941,1171,950,1168,958,1166,967,1166,991,1169,1002,1182,1020,1193,1025,1224,1025,1235,1019,1238,1014,1247,999,1250,988,1250,962m1347,962l1344,952,1335,940,1332,934,1330,934,1330,966,1330,991,1328,1001,1318,1011,1312,1014,1294,1014,1287,1010,1281,995,1279,988,1279,966,1281,956,1290,943,1296,940,1315,940,1322,943,1329,957,1330,966,1330,934,1320,929,1304,929,1292,931,1282,935,1274,941,1268,950,1264,958,1263,967,1263,991,1266,1002,1279,1020,1290,1025,1320,1025,1332,1019,1335,1014,1344,999,1347,988,1347,962e" filled="true" fillcolor="#231f20" stroked="false">
              <v:path arrowok="t"/>
              <v:fill type="solid"/>
            </v:shape>
            <v:line style="position:absolute" from="1369,1015" to="1387,1015" stroked="true" strokeweight=".706pt" strokecolor="#231f20"/>
            <v:shape style="position:absolute;left:1408;top:929;width:278;height:96" coordorigin="1408,929" coordsize="278,96" path="m1492,962l1489,952,1481,940,1477,934,1475,934,1475,966,1475,991,1473,1001,1464,1011,1457,1014,1440,1014,1433,1010,1426,995,1425,988,1424,966,1427,956,1435,943,1442,940,1460,940,1467,943,1474,957,1475,966,1475,934,1465,929,1450,929,1438,931,1427,935,1419,941,1413,950,1410,958,1408,967,1408,991,1411,1002,1424,1020,1435,1025,1466,1025,1477,1019,1480,1014,1490,999,1492,988,1492,962m1589,962l1586,952,1578,940,1574,934,1572,934,1572,966,1572,991,1570,1001,1561,1011,1554,1014,1536,1014,1529,1010,1523,995,1521,988,1521,966,1523,956,1532,943,1538,940,1557,940,1564,943,1571,957,1572,966,1572,934,1562,929,1547,929,1534,931,1524,935,1516,941,1510,950,1507,958,1505,967,1505,991,1508,1002,1521,1020,1532,1025,1563,1025,1574,1019,1577,1014,1586,999,1589,988,1589,962m1686,962l1683,952,1674,940,1671,934,1669,934,1669,966,1669,991,1667,1001,1657,1011,1651,1014,1633,1014,1626,1010,1620,995,1618,988,1618,966,1620,956,1629,943,1635,940,1654,940,1661,943,1668,957,1669,966,1669,934,1659,929,1643,929,1631,931,1621,935,1613,941,1607,950,1604,958,1602,967,1602,991,1605,1002,1618,1020,1629,1025,1660,1025,1671,1019,1674,1014,1683,999,1686,988,1686,962e" filled="true" fillcolor="#231f20" stroked="false">
              <v:path arrowok="t"/>
              <v:fill type="solid"/>
            </v:shape>
            <v:line style="position:absolute" from="1708,1015" to="1726,1015" stroked="true" strokeweight=".706pt" strokecolor="#231f20"/>
            <v:shape style="position:absolute;left:1747;top:929;width:278;height:96" coordorigin="1747,929" coordsize="278,96" path="m1831,962l1828,952,1820,940,1816,934,1815,934,1815,966,1814,991,1812,1001,1803,1011,1796,1014,1779,1014,1772,1010,1765,995,1764,988,1763,966,1766,956,1774,943,1781,940,1799,940,1806,943,1813,957,1815,966,1815,934,1804,929,1789,929,1777,931,1766,935,1758,941,1752,950,1749,958,1747,967,1747,991,1750,1002,1763,1020,1774,1025,1805,1025,1816,1019,1819,1014,1829,999,1831,988,1831,962m1928,962l1925,952,1917,940,1913,934,1911,934,1911,966,1911,991,1909,1001,1900,1011,1893,1014,1875,1014,1868,1010,1862,995,1860,988,1860,966,1862,956,1871,943,1877,940,1896,940,1903,943,1910,957,1911,966,1911,934,1901,929,1886,929,1873,931,1863,935,1855,941,1849,950,1846,958,1844,967,1844,991,1847,1002,1860,1020,1871,1025,1902,1025,1913,1019,1916,1014,1925,999,1928,988,1928,962m2025,962l2022,952,2014,940,2010,934,2008,934,2008,966,2008,991,2006,1001,1996,1011,1990,1014,1972,1014,1965,1010,1959,995,1957,988,1957,966,1959,956,1968,943,1974,940,1993,940,2000,943,2007,957,2008,966,2008,934,1998,929,1982,929,1970,931,1960,935,1952,941,1946,950,1943,958,1941,967,1941,991,1944,1002,1957,1020,1968,1025,1999,1025,2010,1019,2013,1014,2022,999,2025,988,2025,962e" filled="true" fillcolor="#231f20" stroked="false">
              <v:path arrowok="t"/>
              <v:fill type="solid"/>
            </v:shape>
            <w10:wrap type="none"/>
          </v:group>
        </w:pict>
      </w:r>
      <w:r>
        <w:rPr/>
        <w:pict>
          <v:group style="position:absolute;margin-left:53.502396pt;margin-top:59.711349pt;width:47.75pt;height:4.8pt;mso-position-horizontal-relative:page;mso-position-vertical-relative:paragraph;z-index:3904" coordorigin="1070,1194" coordsize="955,96">
            <v:shape style="position:absolute;left:1070;top:1194;width:277;height:96" coordorigin="1070,1194" coordsize="277,96" path="m1154,1248l1150,1240,1147,1239,1137,1232,1137,1254,1137,1264,1135,1269,1127,1277,1121,1279,1105,1279,1099,1277,1090,1269,1088,1264,1088,1252,1090,1247,1100,1240,1103,1239,1106,1239,1122,1239,1128,1241,1136,1249,1137,1254,1137,1232,1135,1230,1126,1228,1109,1228,1104,1229,1099,1231,1094,1233,1089,1235,1086,1239,1086,1229,1086,1228,1089,1220,1099,1207,1106,1204,1122,1204,1128,1206,1133,1212,1135,1215,1136,1219,1151,1219,1151,1213,1148,1208,1145,1204,1138,1197,1128,1194,1114,1194,1101,1196,1091,1200,1082,1207,1076,1217,1072,1225,1070,1235,1070,1262,1074,1273,1091,1286,1101,1290,1125,1290,1136,1287,1143,1279,1150,1274,1154,1266,1154,1248m1250,1228l1247,1217,1239,1205,1235,1200,1233,1199,1233,1231,1233,1256,1231,1266,1222,1277,1215,1279,1197,1279,1190,1275,1184,1260,1182,1253,1182,1231,1184,1221,1193,1208,1199,1205,1218,1205,1225,1209,1232,1222,1233,1231,1233,1199,1223,1195,1207,1195,1195,1196,1185,1200,1177,1207,1171,1216,1168,1223,1166,1232,1166,1256,1169,1267,1182,1285,1193,1290,1224,1290,1235,1284,1238,1279,1247,1264,1250,1253,1250,1228m1347,1228l1344,1217,1335,1205,1332,1200,1330,1199,1330,1231,1330,1256,1328,1266,1318,1277,1312,1279,1294,1279,1287,1275,1281,1260,1279,1253,1279,1231,1281,1221,1290,1208,1296,1205,1315,1205,1322,1209,1329,1222,1330,1231,1330,1199,1320,1195,1304,1195,1292,1196,1282,1200,1274,1207,1268,1216,1264,1223,1263,1232,1263,1256,1266,1267,1279,1285,1290,1290,1320,1290,1332,1284,1335,1279,1344,1264,1347,1253,1347,1228e" filled="true" fillcolor="#231f20" stroked="false">
              <v:path arrowok="t"/>
              <v:fill type="solid"/>
            </v:shape>
            <v:line style="position:absolute" from="1369,1280" to="1387,1280" stroked="true" strokeweight=".706pt" strokecolor="#231f20"/>
            <v:shape style="position:absolute;left:1408;top:1195;width:278;height:96" coordorigin="1408,1195" coordsize="278,96" path="m1492,1228l1489,1217,1481,1205,1477,1200,1475,1199,1475,1231,1475,1256,1473,1266,1464,1277,1457,1279,1440,1279,1433,1275,1426,1260,1425,1253,1424,1231,1427,1221,1435,1208,1442,1205,1460,1205,1467,1209,1474,1222,1475,1231,1475,1199,1465,1195,1450,1195,1438,1196,1427,1200,1419,1207,1413,1216,1410,1223,1408,1232,1408,1256,1411,1267,1424,1285,1435,1290,1466,1290,1477,1284,1480,1279,1490,1264,1492,1253,1492,1228m1589,1228l1586,1217,1578,1205,1574,1200,1572,1199,1572,1231,1572,1256,1570,1266,1561,1277,1554,1279,1536,1279,1529,1275,1523,1260,1521,1253,1521,1231,1523,1221,1532,1208,1538,1205,1557,1205,1564,1209,1571,1222,1572,1231,1572,1199,1562,1195,1547,1195,1534,1196,1524,1200,1516,1207,1510,1216,1507,1223,1505,1232,1505,1256,1508,1267,1521,1285,1532,1290,1563,1290,1574,1284,1577,1279,1586,1264,1589,1253,1589,1228m1686,1228l1683,1217,1674,1205,1671,1200,1669,1199,1669,1231,1669,1256,1667,1266,1657,1277,1651,1279,1633,1279,1626,1275,1620,1260,1618,1253,1618,1231,1620,1221,1629,1208,1635,1205,1654,1205,1661,1209,1668,1222,1669,1231,1669,1199,1659,1195,1643,1195,1631,1196,1621,1200,1613,1207,1607,1216,1604,1223,1602,1232,1602,1256,1605,1267,1618,1285,1629,1290,1660,1290,1671,1284,1674,1279,1683,1264,1686,1253,1686,1228e" filled="true" fillcolor="#231f20" stroked="false">
              <v:path arrowok="t"/>
              <v:fill type="solid"/>
            </v:shape>
            <v:line style="position:absolute" from="1708,1280" to="1726,1280" stroked="true" strokeweight=".706pt" strokecolor="#231f20"/>
            <v:shape style="position:absolute;left:1747;top:1195;width:278;height:96" coordorigin="1747,1195" coordsize="278,96" path="m1831,1228l1828,1217,1820,1205,1816,1200,1815,1199,1815,1231,1814,1256,1812,1266,1803,1277,1796,1279,1779,1279,1772,1275,1765,1260,1764,1253,1763,1231,1766,1221,1774,1208,1781,1205,1799,1205,1806,1209,1813,1222,1815,1231,1815,1199,1804,1195,1789,1195,1777,1196,1766,1200,1758,1207,1752,1216,1749,1223,1747,1232,1747,1256,1750,1267,1763,1285,1774,1290,1805,1290,1816,1284,1819,1279,1829,1264,1831,1253,1831,1228m1928,1228l1925,1217,1917,1205,1913,1200,1911,1199,1911,1231,1911,1256,1909,1266,1900,1277,1893,1279,1875,1279,1868,1275,1862,1260,1860,1253,1860,1231,1862,1221,1871,1208,1877,1205,1896,1205,1903,1209,1910,1222,1911,1231,1911,1199,1901,1195,1886,1195,1873,1196,1863,1200,1855,1207,1849,1216,1846,1223,1844,1232,1844,1256,1847,1267,1860,1285,1871,1290,1902,1290,1913,1284,1916,1279,1925,1264,1928,1253,1928,1228m2025,1228l2022,1217,2014,1205,2010,1200,2008,1199,2008,1231,2008,1256,2006,1266,1996,1277,1990,1279,1972,1279,1965,1275,1959,1260,1957,1253,1957,1231,1959,1221,1968,1208,1974,1205,1993,1205,2000,1209,2007,1222,2008,1231,2008,1199,1998,1195,1982,1195,1970,1196,1960,1200,1952,1207,1946,1216,1943,1223,1941,1232,1941,1256,1944,1267,1957,1285,1968,1290,1999,1290,2010,1284,2013,1279,2022,1264,2025,1253,2025,1228e" filled="true" fillcolor="#231f20" stroked="false">
              <v:path arrowok="t"/>
              <v:fill type="solid"/>
            </v:shape>
            <w10:wrap type="none"/>
          </v:group>
        </w:pict>
      </w:r>
      <w:r>
        <w:rPr/>
        <w:pict>
          <v:group style="position:absolute;margin-left:53.455597pt;margin-top:72.993546pt;width:47.8pt;height:4.8pt;mso-position-horizontal-relative:page;mso-position-vertical-relative:paragraph;z-index:3928" coordorigin="1069,1460" coordsize="956,96">
            <v:shape style="position:absolute;left:1069;top:1460;width:278;height:96" coordorigin="1069,1460" coordsize="278,96" path="m1153,1513l1149,1506,1145,1503,1138,1498,1134,1495,1124,1493,1107,1493,1102,1493,1097,1495,1095,1496,1092,1497,1089,1498,1094,1473,1146,1473,1146,1461,1083,1461,1074,1511,1087,1512,1089,1509,1093,1507,1100,1504,1105,1503,1117,1503,1123,1505,1134,1512,1136,1517,1136,1529,1134,1534,1126,1543,1119,1545,1105,1545,1101,1544,1090,1540,1086,1536,1085,1529,1069,1529,1070,1538,1074,1544,1090,1553,1098,1555,1124,1555,1135,1552,1142,1545,1149,1538,1153,1530,1153,1513m1250,1493l1247,1482,1239,1470,1235,1465,1233,1464,1233,1496,1233,1522,1231,1531,1222,1542,1215,1545,1197,1545,1190,1540,1184,1526,1182,1519,1182,1496,1184,1487,1193,1474,1199,1470,1218,1470,1225,1474,1232,1487,1233,1496,1233,1464,1223,1460,1207,1460,1195,1461,1185,1465,1177,1472,1171,1481,1168,1489,1166,1498,1166,1522,1169,1533,1182,1550,1193,1555,1224,1555,1235,1549,1238,1545,1247,1529,1250,1519,1250,1493m1347,1493l1344,1482,1335,1470,1332,1465,1330,1464,1330,1496,1330,1522,1328,1531,1318,1542,1312,1545,1294,1545,1287,1540,1281,1526,1279,1519,1279,1496,1281,1487,1290,1474,1296,1470,1315,1470,1322,1474,1329,1487,1330,1496,1330,1464,1320,1460,1304,1460,1292,1461,1282,1465,1274,1472,1268,1481,1264,1489,1263,1498,1263,1522,1266,1533,1279,1550,1290,1555,1320,1555,1332,1549,1335,1545,1344,1529,1347,1519,1347,1493e" filled="true" fillcolor="#231f20" stroked="false">
              <v:path arrowok="t"/>
              <v:fill type="solid"/>
            </v:shape>
            <v:line style="position:absolute" from="1369,1546" to="1387,1546" stroked="true" strokeweight=".706pt" strokecolor="#231f20"/>
            <v:shape style="position:absolute;left:1408;top:1460;width:278;height:96" coordorigin="1408,1460" coordsize="278,96" path="m1492,1493l1489,1482,1481,1470,1477,1465,1475,1464,1475,1496,1475,1522,1473,1531,1464,1542,1457,1545,1440,1545,1433,1540,1426,1526,1425,1519,1424,1496,1427,1487,1435,1474,1442,1470,1460,1470,1467,1474,1474,1487,1475,1496,1475,1464,1465,1460,1450,1460,1438,1461,1427,1465,1419,1472,1413,1481,1410,1489,1408,1498,1408,1522,1411,1533,1424,1550,1435,1555,1466,1555,1477,1549,1480,1545,1490,1529,1492,1519,1492,1493m1589,1493l1586,1482,1578,1470,1574,1465,1572,1464,1572,1496,1572,1522,1570,1531,1561,1542,1554,1545,1536,1545,1529,1540,1523,1526,1521,1519,1521,1496,1523,1487,1532,1474,1538,1470,1557,1470,1564,1474,1571,1487,1572,1496,1572,1464,1562,1460,1547,1460,1534,1461,1524,1465,1516,1472,1510,1481,1507,1489,1505,1498,1505,1522,1508,1533,1521,1550,1532,1555,1563,1555,1574,1549,1577,1545,1586,1529,1589,1519,1589,1493m1686,1493l1683,1482,1674,1470,1671,1465,1669,1464,1669,1496,1669,1522,1667,1531,1657,1542,1651,1545,1633,1545,1626,1540,1620,1526,1618,1519,1618,1496,1620,1487,1629,1474,1635,1470,1654,1470,1661,1474,1668,1487,1669,1496,1669,1464,1659,1460,1643,1460,1631,1461,1621,1465,1613,1472,1607,1481,1604,1489,1602,1498,1602,1522,1605,1533,1618,1550,1629,1555,1660,1555,1671,1549,1674,1545,1683,1529,1686,1519,1686,1493e" filled="true" fillcolor="#231f20" stroked="false">
              <v:path arrowok="t"/>
              <v:fill type="solid"/>
            </v:shape>
            <v:line style="position:absolute" from="1708,1546" to="1726,1546" stroked="true" strokeweight=".706pt" strokecolor="#231f20"/>
            <v:shape style="position:absolute;left:1747;top:1460;width:278;height:96" coordorigin="1747,1460" coordsize="278,96" path="m1831,1493l1828,1482,1820,1470,1816,1465,1815,1464,1815,1496,1814,1522,1812,1531,1803,1542,1796,1545,1779,1545,1772,1540,1765,1526,1764,1519,1763,1496,1766,1487,1774,1474,1781,1470,1799,1470,1806,1474,1813,1487,1815,1496,1815,1464,1804,1460,1789,1460,1777,1461,1766,1465,1758,1472,1752,1481,1749,1489,1747,1498,1747,1522,1750,1533,1763,1550,1774,1555,1805,1555,1816,1549,1819,1545,1829,1529,1831,1519,1831,1493m1928,1493l1925,1482,1917,1470,1913,1465,1911,1464,1911,1496,1911,1522,1909,1531,1900,1542,1893,1545,1875,1545,1868,1540,1862,1526,1860,1519,1860,1496,1862,1487,1871,1474,1877,1470,1896,1470,1903,1474,1910,1487,1911,1496,1911,1464,1901,1460,1886,1460,1873,1461,1863,1465,1855,1472,1849,1481,1846,1489,1844,1498,1844,1522,1847,1533,1860,1550,1871,1555,1902,1555,1913,1549,1916,1545,1925,1529,1928,1519,1928,1493m2025,1493l2022,1482,2014,1470,2010,1465,2008,1464,2008,1496,2008,1522,2006,1531,1996,1542,1990,1545,1972,1545,1965,1540,1959,1526,1957,1519,1957,1496,1959,1487,1968,1474,1974,1470,1993,1470,2000,1474,2007,1487,2008,1496,2008,1464,1998,1460,1982,1460,1970,1461,1960,1465,1952,1472,1946,1481,1943,1489,1941,1498,1941,1522,1944,1533,1957,1550,1968,1555,1999,1555,2010,1549,2013,1545,2022,1529,2025,1519,2025,1493e" filled="true" fillcolor="#231f20" stroked="false">
              <v:path arrowok="t"/>
              <v:fill type="solid"/>
            </v:shape>
            <w10:wrap type="none"/>
          </v:group>
        </w:pict>
      </w:r>
      <w:r>
        <w:rPr/>
        <w:pict>
          <v:group style="position:absolute;margin-left:53.395695pt;margin-top:86.242241pt;width:47.85pt;height:4.8pt;mso-position-horizontal-relative:page;mso-position-vertical-relative:paragraph;z-index:3952" coordorigin="1068,1725" coordsize="957,96">
            <v:shape style="position:absolute;left:1068;top:1725;width:279;height:96" coordorigin="1068,1725" coordsize="279,96" path="m1155,1785l1137,1785,1137,1743,1137,1725,1124,1725,1121,1728,1121,1743,1121,1785,1082,1785,1121,1743,1121,1728,1068,1784,1068,1795,1121,1795,1121,1818,1137,1818,1137,1795,1155,1795,1155,1785m1250,1758l1247,1748,1239,1736,1235,1730,1233,1730,1233,1761,1233,1787,1231,1796,1222,1807,1215,1810,1197,1810,1190,1805,1184,1791,1182,1784,1182,1761,1184,1752,1193,1739,1199,1736,1218,1736,1225,1739,1232,1753,1233,1761,1233,1730,1223,1725,1207,1725,1195,1726,1185,1730,1177,1737,1171,1746,1168,1754,1166,1763,1166,1787,1169,1798,1182,1816,1193,1820,1224,1820,1235,1814,1238,1810,1247,1794,1250,1784,1250,1758m1347,1758l1344,1748,1335,1736,1332,1730,1330,1730,1330,1761,1330,1787,1328,1796,1318,1807,1312,1810,1294,1810,1287,1805,1281,1791,1279,1784,1279,1761,1281,1752,1290,1739,1296,1736,1315,1736,1322,1739,1329,1753,1330,1761,1330,1730,1320,1725,1304,1725,1292,1726,1282,1730,1274,1737,1268,1746,1264,1754,1263,1763,1263,1787,1266,1798,1279,1816,1290,1820,1320,1820,1332,1814,1335,1810,1344,1794,1347,1784,1347,1758e" filled="true" fillcolor="#231f20" stroked="false">
              <v:path arrowok="t"/>
              <v:fill type="solid"/>
            </v:shape>
            <v:line style="position:absolute" from="1369,1811" to="1387,1811" stroked="true" strokeweight=".706pt" strokecolor="#231f20"/>
            <v:shape style="position:absolute;left:1408;top:1725;width:278;height:96" coordorigin="1408,1725" coordsize="278,96" path="m1492,1758l1489,1748,1481,1736,1477,1730,1475,1730,1475,1761,1475,1787,1473,1796,1464,1807,1457,1810,1440,1810,1433,1805,1426,1791,1425,1784,1424,1761,1427,1752,1435,1739,1442,1736,1460,1736,1467,1739,1474,1753,1475,1761,1475,1730,1465,1725,1450,1725,1438,1726,1427,1730,1419,1737,1413,1746,1410,1754,1408,1763,1408,1787,1411,1798,1424,1816,1435,1820,1466,1820,1477,1814,1480,1810,1490,1794,1492,1784,1492,1758m1589,1758l1586,1748,1578,1736,1574,1730,1572,1730,1572,1761,1572,1787,1570,1796,1561,1807,1554,1810,1536,1810,1529,1805,1523,1791,1521,1784,1521,1761,1523,1752,1532,1739,1538,1736,1557,1736,1564,1739,1571,1753,1572,1761,1572,1730,1562,1725,1547,1725,1534,1726,1524,1730,1516,1737,1510,1746,1507,1754,1505,1763,1505,1787,1508,1798,1521,1816,1532,1820,1563,1820,1574,1814,1577,1810,1586,1794,1589,1784,1589,1758m1686,1758l1683,1748,1674,1736,1671,1730,1669,1730,1669,1761,1669,1787,1667,1796,1657,1807,1651,1810,1633,1810,1626,1805,1620,1791,1618,1784,1618,1761,1620,1752,1629,1739,1635,1736,1654,1736,1661,1739,1668,1753,1669,1761,1669,1730,1659,1725,1643,1725,1631,1726,1621,1730,1613,1737,1607,1746,1604,1754,1602,1763,1602,1787,1605,1798,1618,1816,1629,1820,1660,1820,1671,1814,1674,1810,1683,1794,1686,1784,1686,1758e" filled="true" fillcolor="#231f20" stroked="false">
              <v:path arrowok="t"/>
              <v:fill type="solid"/>
            </v:shape>
            <v:line style="position:absolute" from="1708,1811" to="1726,1811" stroked="true" strokeweight=".706pt" strokecolor="#231f20"/>
            <v:shape style="position:absolute;left:1747;top:1725;width:278;height:96" coordorigin="1747,1725" coordsize="278,96" path="m1831,1758l1828,1748,1820,1736,1816,1730,1815,1730,1815,1761,1814,1787,1812,1796,1803,1807,1796,1810,1779,1810,1772,1805,1765,1791,1764,1784,1763,1761,1766,1752,1774,1739,1781,1736,1799,1736,1806,1739,1813,1753,1815,1761,1815,1730,1804,1725,1789,1725,1777,1726,1766,1730,1758,1737,1752,1746,1749,1754,1747,1763,1747,1787,1750,1798,1763,1816,1774,1820,1805,1820,1816,1814,1819,1810,1829,1794,1831,1784,1831,1758m1928,1758l1925,1748,1917,1736,1913,1730,1911,1730,1911,1761,1911,1787,1909,1796,1900,1807,1893,1810,1875,1810,1868,1805,1862,1791,1860,1784,1860,1761,1862,1752,1871,1739,1877,1736,1896,1736,1903,1739,1910,1753,1911,1761,1911,1730,1901,1725,1886,1725,1873,1726,1863,1730,1855,1737,1849,1746,1846,1754,1844,1763,1844,1787,1847,1798,1860,1816,1871,1820,1902,1820,1913,1814,1916,1810,1925,1794,1928,1784,1928,1758m2025,1758l2022,1748,2014,1736,2010,1730,2008,1730,2008,1761,2008,1787,2006,1796,1996,1807,1990,1810,1972,1810,1965,1805,1959,1791,1957,1784,1957,1761,1959,1752,1968,1739,1974,1736,1993,1736,2000,1739,2007,1753,2008,1761,2008,1730,1998,1725,1982,1725,1970,1726,1960,1730,1952,1737,1946,1746,1943,1754,1941,1763,1941,1787,1944,1798,1957,1816,1968,1820,1999,1820,2010,1814,2013,1810,2022,1794,2025,1784,2025,1758e" filled="true" fillcolor="#231f20" stroked="false">
              <v:path arrowok="t"/>
              <v:fill type="solid"/>
            </v:shape>
            <w10:wrap type="none"/>
          </v:group>
        </w:pict>
      </w:r>
      <w:r>
        <w:rPr/>
        <w:drawing>
          <wp:anchor distT="0" distB="0" distL="0" distR="0" allowOverlap="1" layoutInCell="1" locked="0" behindDoc="0" simplePos="0" relativeHeight="4072">
            <wp:simplePos x="0" y="0"/>
            <wp:positionH relativeFrom="page">
              <wp:posOffset>539995</wp:posOffset>
            </wp:positionH>
            <wp:positionV relativeFrom="paragraph">
              <wp:posOffset>1007301</wp:posOffset>
            </wp:positionV>
            <wp:extent cx="71717" cy="242887"/>
            <wp:effectExtent l="0" t="0" r="0" b="0"/>
            <wp:wrapNone/>
            <wp:docPr id="53" name="image59.png" descr=""/>
            <wp:cNvGraphicFramePr>
              <a:graphicFrameLocks noChangeAspect="1"/>
            </wp:cNvGraphicFramePr>
            <a:graphic>
              <a:graphicData uri="http://schemas.openxmlformats.org/drawingml/2006/picture">
                <pic:pic>
                  <pic:nvPicPr>
                    <pic:cNvPr id="54" name="image59.png"/>
                    <pic:cNvPicPr/>
                  </pic:nvPicPr>
                  <pic:blipFill>
                    <a:blip r:embed="rId74" cstate="print"/>
                    <a:stretch>
                      <a:fillRect/>
                    </a:stretch>
                  </pic:blipFill>
                  <pic:spPr>
                    <a:xfrm>
                      <a:off x="0" y="0"/>
                      <a:ext cx="71717" cy="242887"/>
                    </a:xfrm>
                    <a:prstGeom prst="rect">
                      <a:avLst/>
                    </a:prstGeom>
                  </pic:spPr>
                </pic:pic>
              </a:graphicData>
            </a:graphic>
          </wp:anchor>
        </w:drawing>
      </w:r>
      <w:r>
        <w:rPr>
          <w:color w:val="231F20"/>
          <w:w w:val="105"/>
        </w:rPr>
        <w:t>Gráfica 3. Comportamiento de los rubros de los egresos municipales, 2001-2008.</w:t>
      </w:r>
    </w:p>
    <w:p>
      <w:pPr>
        <w:pStyle w:val="BodyText"/>
        <w:rPr>
          <w:b/>
          <w:sz w:val="11"/>
        </w:rPr>
      </w:pPr>
      <w:r>
        <w:rPr/>
        <w:pict>
          <v:group style="position:absolute;margin-left:125.425499pt;margin-top:8.319919pt;width:183.7pt;height:6.9pt;mso-position-horizontal-relative:page;mso-position-vertical-relative:paragraph;z-index:3376;mso-wrap-distance-left:0;mso-wrap-distance-right:0" coordorigin="2509,166" coordsize="3674,138">
            <v:shape style="position:absolute;left:2509;top:178;width:1765;height:125" type="#_x0000_t75" stroked="false">
              <v:imagedata r:id="rId75" o:title=""/>
            </v:shape>
            <v:shape style="position:absolute;left:4339;top:166;width:252;height:122" type="#_x0000_t75" stroked="false">
              <v:imagedata r:id="rId76" o:title=""/>
            </v:shape>
            <v:shape style="position:absolute;left:4652;top:179;width:440;height:124" type="#_x0000_t75" stroked="false">
              <v:imagedata r:id="rId77" o:title=""/>
            </v:shape>
            <v:shape style="position:absolute;left:5157;top:180;width:98;height:98" coordorigin="5157,180" coordsize="98,98" path="m5206,203l5187,203,5177,206,5161,220,5157,229,5157,252,5161,260,5177,274,5187,277,5205,277,5211,276,5221,272,5225,269,5229,265,5254,265,5254,262,5198,262,5193,260,5186,252,5184,247,5184,234,5186,229,5193,221,5198,219,5254,219,5254,213,5228,213,5225,210,5221,207,5212,204,5206,203xm5254,265l5229,265,5229,275,5254,275,5254,265xm5254,219l5211,219,5216,220,5219,222,5225,226,5229,232,5229,247,5227,252,5219,260,5213,262,5254,262,5254,219xm5254,180l5228,180,5228,213,5254,213,5254,180xe" filled="true" fillcolor="#231f20" stroked="false">
              <v:path arrowok="t"/>
              <v:fill type="solid"/>
            </v:shape>
            <v:shape style="position:absolute;left:5270;top:202;width:100;height:75" coordorigin="5270,202" coordsize="100,75" path="m5328,202l5305,202,5293,206,5275,219,5270,228,5270,253,5275,263,5296,274,5307,277,5337,277,5349,274,5358,267,5364,263,5364,262,5316,262,5311,261,5300,257,5297,252,5297,245,5369,245,5369,239,5369,234,5369,233,5297,233,5298,228,5300,224,5308,219,5313,218,5362,218,5356,211,5350,208,5336,204,5328,202xm5368,254l5341,254,5340,256,5338,258,5332,261,5327,262,5364,262,5367,258,5368,254xm5362,218l5326,218,5331,219,5339,224,5342,228,5342,233,5369,233,5367,225,5365,220,5362,218xe" filled="true" fillcolor="#231f20" stroked="false">
              <v:path arrowok="t"/>
              <v:fill type="solid"/>
            </v:shape>
            <v:shape style="position:absolute;left:5427;top:202;width:755;height:102" type="#_x0000_t75" stroked="false">
              <v:imagedata r:id="rId78" o:title=""/>
            </v:shape>
            <w10:wrap type="topAndBottom"/>
          </v:group>
        </w:pict>
      </w:r>
      <w:r>
        <w:rPr/>
        <w:pict>
          <v:group style="position:absolute;margin-left:312.667786pt;margin-top:9.019818pt;width:44.3pt;height:4.850pt;mso-position-horizontal-relative:page;mso-position-vertical-relative:paragraph;z-index:3400;mso-wrap-distance-left:0;mso-wrap-distance-right:0" coordorigin="6253,180" coordsize="886,97">
            <v:shape style="position:absolute;left:6253;top:181;width:92;height:95" coordorigin="6253,181" coordsize="92,95" path="m6341,196l6305,196,6310,198,6316,203,6317,206,6317,215,6315,219,6306,226,6298,231,6272,244,6263,250,6259,257,6256,262,6254,268,6253,275,6344,275,6344,259,6286,259,6288,257,6290,255,6295,252,6299,250,6325,237,6332,233,6341,224,6344,218,6344,202,6341,196xm6312,181l6280,181,6268,185,6257,200,6255,206,6255,214,6280,214,6281,209,6282,205,6286,198,6291,196,6341,196,6340,194,6323,183,6312,181xe" filled="true" fillcolor="#231f20" stroked="false">
              <v:path arrowok="t"/>
              <v:fill type="solid"/>
            </v:shape>
            <v:shape style="position:absolute;left:6358;top:180;width:92;height:97" coordorigin="6358,180" coordsize="92,97" path="m6421,180l6387,180,6375,185,6361,201,6358,213,6358,244,6361,256,6375,273,6387,277,6421,277,6433,273,6441,262,6396,262,6391,259,6386,248,6385,240,6385,218,6386,209,6391,198,6396,196,6441,196,6433,185,6421,180xm6441,196l6411,196,6417,198,6421,209,6423,218,6423,240,6421,248,6417,259,6411,262,6441,262,6446,256,6450,244,6450,213,6446,201,6441,196xe" filled="true" fillcolor="#231f20" stroked="false">
              <v:path arrowok="t"/>
              <v:fill type="solid"/>
            </v:shape>
            <v:shape style="position:absolute;left:6462;top:180;width:92;height:97" coordorigin="6462,180" coordsize="92,97" path="m6525,180l6491,180,6479,185,6466,201,6462,213,6462,244,6466,256,6479,273,6491,277,6525,277,6537,273,6546,262,6500,262,6495,259,6490,248,6489,240,6489,218,6490,209,6495,198,6500,196,6546,196,6537,185,6525,180xm6546,196l6516,196,6521,198,6526,209,6527,218,6527,240,6526,248,6521,259,6516,262,6546,262,6551,256,6554,244,6554,213,6551,201,6546,196xe" filled="true" fillcolor="#231f20" stroked="false">
              <v:path arrowok="t"/>
              <v:fill type="solid"/>
            </v:shape>
            <v:shape style="position:absolute;left:6574;top:181;width:59;height:94" coordorigin="6574,181" coordsize="59,94" path="m6632,181l6610,181,6610,182,6610,183,6574,198,6574,210,6605,210,6605,275,6632,275,6632,181xe" filled="true" fillcolor="#231f20" stroked="false">
              <v:path arrowok="t"/>
              <v:fill type="solid"/>
            </v:shape>
            <v:line style="position:absolute" from="6670,238" to="6721,238" stroked="true" strokeweight=".874pt" strokecolor="#231f20"/>
            <v:shape style="position:absolute;left:6734;top:181;width:92;height:95" coordorigin="6734,181" coordsize="92,95" path="m6822,196l6786,196,6790,198,6796,203,6798,206,6798,215,6795,219,6786,226,6778,231,6753,244,6744,250,6740,256,6736,262,6734,268,6734,275,6825,275,6825,259,6767,259,6769,257,6771,255,6775,252,6780,250,6806,237,6812,233,6822,224,6825,218,6825,202,6822,196xm6793,181l6761,181,6748,185,6738,200,6736,206,6735,214,6761,214,6761,209,6762,205,6767,198,6772,196,6822,196,6821,194,6804,183,6793,181xe" filled="true" fillcolor="#231f20" stroked="false">
              <v:path arrowok="t"/>
              <v:fill type="solid"/>
            </v:shape>
            <v:shape style="position:absolute;left:6838;top:180;width:92;height:97" coordorigin="6838,180" coordsize="92,97" path="m6901,180l6867,180,6855,185,6842,201,6838,213,6838,244,6842,256,6855,273,6867,277,6901,277,6913,273,6922,262,6876,262,6871,259,6866,248,6865,240,6865,218,6866,209,6871,198,6876,196,6922,196,6913,185,6901,180xm6922,196l6892,196,6897,198,6902,209,6903,218,6903,240,6902,248,6897,259,6892,262,6922,262,6927,256,6930,244,6930,213,6927,201,6922,196xe" filled="true" fillcolor="#231f20" stroked="false">
              <v:path arrowok="t"/>
              <v:fill type="solid"/>
            </v:shape>
            <v:shape style="position:absolute;left:6943;top:180;width:92;height:97" coordorigin="6943,180" coordsize="92,97" path="m7006,180l6972,180,6960,185,6946,201,6943,213,6943,244,6946,256,6960,273,6972,277,7006,277,7018,273,7026,262,6981,262,6976,259,6971,248,6970,240,6970,218,6971,209,6976,198,6981,196,7026,196,7018,185,7006,180xm7026,196l6996,196,7002,198,7006,209,7008,218,7008,240,7006,248,7002,259,6996,262,7026,262,7031,256,7035,244,7035,213,7031,201,7026,196xe" filled="true" fillcolor="#231f20" stroked="false">
              <v:path arrowok="t"/>
              <v:fill type="solid"/>
            </v:shape>
            <v:shape style="position:absolute;left:7046;top:181;width:93;height:97" coordorigin="7046,181" coordsize="93,97" path="m7106,181l7079,181,7069,183,7054,193,7051,198,7051,208,7052,212,7056,219,7060,222,7066,225,7060,227,7055,230,7048,239,7046,244,7046,257,7050,264,7066,275,7077,277,7107,277,7118,275,7135,264,7135,262,7087,262,7082,261,7075,256,7074,252,7074,243,7075,239,7082,234,7087,233,7133,233,7131,230,7126,227,7119,224,7125,222,7129,219,7087,219,7083,218,7077,214,7076,211,7076,204,7077,201,7083,197,7087,195,7133,195,7131,193,7116,183,7106,181xm7133,233l7099,233,7103,234,7110,239,7112,243,7112,252,7110,256,7103,261,7099,262,7135,262,7139,257,7139,244,7137,239,7133,233xm7133,195l7098,195,7102,197,7108,201,7109,204,7109,211,7108,214,7102,218,7098,219,7129,219,7130,219,7133,212,7134,208,7134,198,7133,195xe" filled="true" fillcolor="#231f20" stroked="false">
              <v:path arrowok="t"/>
              <v:fill type="solid"/>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3"/>
        </w:rPr>
      </w:pPr>
      <w:r>
        <w:rPr/>
        <w:pict>
          <v:group style="position:absolute;margin-left:123.624191pt;margin-top:15.585886pt;width:13.25pt;height:4.8pt;mso-position-horizontal-relative:page;mso-position-vertical-relative:paragraph;z-index:3424;mso-wrap-distance-left:0;mso-wrap-distance-right:0" coordorigin="2472,312" coordsize="265,96">
            <v:shape style="position:absolute;left:2472;top:312;width:65;height:94" coordorigin="2472,312" coordsize="65,94" path="m2531,322l2511,322,2516,324,2522,330,2524,335,2524,345,2522,349,2516,355,2512,357,2486,373,2480,378,2475,390,2473,397,2472,405,2536,405,2536,394,2486,394,2487,389,2489,385,2494,381,2496,379,2499,377,2504,375,2520,365,2526,362,2534,353,2537,347,2537,332,2534,326,2531,322xm2517,312l2493,312,2484,316,2476,330,2475,337,2475,345,2487,345,2487,339,2488,335,2492,325,2498,322,2531,322,2524,315,2517,312xe" filled="true" fillcolor="#231f20" stroked="false">
              <v:path arrowok="t"/>
              <v:fill type="solid"/>
            </v:shape>
            <v:shape style="position:absolute;left:2546;top:312;width:64;height:96" coordorigin="2546,312" coordsize="64,96" path="m2590,312l2565,312,2555,319,2548,341,2546,350,2546,374,2549,385,2558,402,2567,407,2590,407,2599,401,2601,397,2570,397,2565,392,2560,378,2559,371,2559,348,2560,339,2567,326,2572,323,2602,323,2599,317,2590,312xm2602,323l2586,323,2591,326,2596,340,2598,348,2598,374,2596,383,2589,394,2584,397,2601,397,2608,381,2610,371,2610,345,2608,335,2602,323xe" filled="true" fillcolor="#231f20" stroked="false">
              <v:path arrowok="t"/>
              <v:fill type="solid"/>
            </v:shape>
            <v:shape style="position:absolute;left:2620;top:312;width:64;height:96" coordorigin="2620,312" coordsize="64,96" path="m2664,312l2638,312,2629,319,2621,341,2620,350,2620,374,2622,385,2632,402,2641,407,2664,407,2673,401,2675,397,2644,397,2639,392,2634,378,2633,371,2633,348,2634,339,2641,326,2646,323,2675,323,2672,317,2664,312xm2675,323l2660,323,2665,326,2670,340,2671,348,2671,374,2670,383,2662,394,2658,397,2675,397,2682,381,2684,371,2684,345,2682,335,2675,323xe" filled="true" fillcolor="#231f20" stroked="false">
              <v:path arrowok="t"/>
              <v:fill type="solid"/>
            </v:shape>
            <v:shape style="position:absolute;left:2702;top:312;width:35;height:93" coordorigin="2702,312" coordsize="35,93" path="m2737,312l2727,312,2726,320,2723,324,2717,328,2711,329,2702,330,2702,339,2724,339,2724,405,2737,405,2737,312xe" filled="true" fillcolor="#231f20" stroked="false">
              <v:path arrowok="t"/>
              <v:fill type="solid"/>
            </v:shape>
            <w10:wrap type="topAndBottom"/>
          </v:group>
        </w:pict>
      </w:r>
      <w:r>
        <w:rPr/>
        <w:pict>
          <v:group style="position:absolute;margin-left:150.781998pt;margin-top:15.585886pt;width:14.3pt;height:4.8pt;mso-position-horizontal-relative:page;mso-position-vertical-relative:paragraph;z-index:3448;mso-wrap-distance-left:0;mso-wrap-distance-right:0" coordorigin="3016,312" coordsize="286,96">
            <v:shape style="position:absolute;left:3016;top:312;width:65;height:94" coordorigin="3016,312" coordsize="65,94" path="m3074,322l3054,322,3059,324,3065,330,3067,335,3067,345,3065,349,3059,355,3055,357,3029,373,3023,378,3018,390,3016,397,3016,405,3079,405,3079,394,3029,394,3030,389,3032,385,3037,381,3039,379,3043,377,3063,365,3069,362,3077,353,3080,347,3080,332,3077,326,3074,322xm3060,312l3036,312,3027,316,3020,330,3018,337,3018,345,3030,345,3030,339,3031,335,3036,325,3041,322,3074,322,3067,315,3060,312xe" filled="true" fillcolor="#231f20" stroked="false">
              <v:path arrowok="t"/>
              <v:fill type="solid"/>
            </v:shape>
            <v:shape style="position:absolute;left:3089;top:312;width:64;height:96" coordorigin="3089,312" coordsize="64,96" path="m3133,312l3108,312,3099,319,3091,341,3089,350,3089,374,3092,385,3102,402,3110,407,3133,407,3142,401,3144,397,3113,397,3108,392,3103,378,3102,371,3102,348,3104,339,3110,326,3115,323,3145,323,3142,317,3133,312xm3145,323l3129,323,3134,326,3140,340,3141,348,3141,374,3139,383,3132,394,3127,397,3144,397,3152,381,3153,371,3153,345,3151,335,3145,323xe" filled="true" fillcolor="#231f20" stroked="false">
              <v:path arrowok="t"/>
              <v:fill type="solid"/>
            </v:shape>
            <v:shape style="position:absolute;left:3163;top:312;width:64;height:96" coordorigin="3163,312" coordsize="64,96" path="m3207,312l3182,312,3172,319,3165,341,3163,350,3163,374,3165,385,3175,402,3184,407,3207,407,3216,401,3218,397,3187,397,3182,392,3177,378,3176,371,3176,348,3177,339,3184,326,3189,323,3219,323,3216,317,3207,312xm3219,323l3203,323,3208,326,3213,340,3215,348,3214,374,3213,383,3206,394,3201,397,3218,397,3225,381,3227,371,3227,345,3225,335,3219,323xe" filled="true" fillcolor="#231f20" stroked="false">
              <v:path arrowok="t"/>
              <v:fill type="solid"/>
            </v:shape>
            <v:shape style="position:absolute;left:3237;top:312;width:65;height:94" coordorigin="3237,312" coordsize="65,94" path="m3295,322l3276,322,3280,324,3287,330,3288,335,3288,345,3286,349,3281,355,3277,357,3250,373,3245,378,3239,390,3237,397,3237,405,3301,405,3301,394,3250,394,3251,389,3254,385,3258,381,3261,379,3264,377,3285,365,3290,362,3298,353,3301,347,3301,332,3299,326,3295,322xm3281,312l3258,312,3249,316,3241,330,3239,337,3239,345,3251,345,3251,339,3252,335,3257,325,3262,322,3295,322,3289,315,3281,312xe" filled="true" fillcolor="#231f20" stroked="false">
              <v:path arrowok="t"/>
              <v:fill type="solid"/>
            </v:shape>
            <w10:wrap type="topAndBottom"/>
          </v:group>
        </w:pict>
      </w:r>
      <w:r>
        <w:rPr/>
        <w:pict>
          <v:group style="position:absolute;margin-left:180.155899pt;margin-top:15.585886pt;width:14.3pt;height:4.8pt;mso-position-horizontal-relative:page;mso-position-vertical-relative:paragraph;z-index:3472;mso-wrap-distance-left:0;mso-wrap-distance-right:0" coordorigin="3603,312" coordsize="286,96">
            <v:shape style="position:absolute;left:3603;top:312;width:65;height:94" coordorigin="3603,312" coordsize="65,94" path="m3662,322l3642,322,3646,324,3653,330,3654,335,3654,345,3653,349,3647,355,3643,357,3617,373,3611,378,3605,390,3604,397,3603,405,3667,405,3667,394,3616,394,3617,389,3620,385,3624,381,3627,379,3630,377,3634,375,3651,365,3656,362,3665,353,3667,347,3667,332,3665,326,3662,322xm3647,312l3624,312,3615,316,3607,330,3606,337,3605,345,3617,345,3617,339,3618,335,3623,325,3629,322,3662,322,3655,315,3647,312xe" filled="true" fillcolor="#231f20" stroked="false">
              <v:path arrowok="t"/>
              <v:fill type="solid"/>
            </v:shape>
            <v:shape style="position:absolute;left:3677;top:312;width:64;height:96" coordorigin="3677,312" coordsize="64,96" path="m3721,312l3695,312,3686,319,3678,341,3677,350,3677,374,3679,385,3689,402,3697,407,3721,407,3730,401,3732,397,3701,397,3696,392,3690,378,3690,371,3689,348,3691,339,3697,326,3702,323,3732,323,3729,317,3721,312xm3732,323l3717,323,3722,326,3727,340,3728,348,3728,374,3727,383,3719,394,3715,397,3732,397,3739,381,3741,371,3741,345,3739,335,3732,323xe" filled="true" fillcolor="#231f20" stroked="false">
              <v:path arrowok="t"/>
              <v:fill type="solid"/>
            </v:shape>
            <v:shape style="position:absolute;left:3751;top:312;width:64;height:96" coordorigin="3751,312" coordsize="64,96" path="m3794,312l3769,312,3760,319,3752,341,3751,350,3751,374,3753,385,3763,402,3771,407,3795,407,3804,401,3806,397,3775,397,3769,392,3764,378,3763,371,3763,348,3765,339,3771,326,3776,323,3806,323,3803,317,3794,312xm3806,323l3791,323,3796,326,3801,340,3802,348,3802,374,3800,383,3793,394,3788,397,3806,397,3813,381,3815,371,3815,345,3813,335,3806,323xe" filled="true" fillcolor="#231f20" stroked="false">
              <v:path arrowok="t"/>
              <v:fill type="solid"/>
            </v:shape>
            <v:shape style="position:absolute;left:3823;top:312;width:65;height:96" coordorigin="3823,312" coordsize="65,96" path="m3836,376l3823,376,3823,385,3826,392,3836,404,3844,407,3865,407,3874,405,3882,397,3847,397,3842,394,3839,389,3837,387,3836,382,3836,376xm3883,362l3860,362,3866,363,3874,368,3876,373,3876,384,3874,388,3866,395,3861,397,3882,397,3885,393,3888,387,3888,372,3887,367,3883,362xm3849,352l3849,362,3860,362,3883,362,3881,359,3878,357,3873,356,3876,354,3878,353,3879,352,3859,352,3851,352,3849,352xm3882,323l3861,323,3864,324,3871,329,3873,332,3873,343,3870,348,3862,351,3859,352,3879,352,3883,347,3885,342,3885,329,3882,323xm3864,312l3843,312,3835,316,3830,325,3827,330,3826,336,3826,342,3837,342,3837,337,3838,333,3843,325,3848,323,3882,323,3882,322,3872,314,3864,312xe" filled="true" fillcolor="#231f20" stroked="false">
              <v:path arrowok="t"/>
              <v:fill type="solid"/>
            </v:shape>
            <w10:wrap type="topAndBottom"/>
          </v:group>
        </w:pict>
      </w:r>
      <w:r>
        <w:rPr/>
        <w:pict>
          <v:group style="position:absolute;margin-left:210.916092pt;margin-top:15.585886pt;width:14.35pt;height:4.8pt;mso-position-horizontal-relative:page;mso-position-vertical-relative:paragraph;z-index:3496;mso-wrap-distance-left:0;mso-wrap-distance-right:0" coordorigin="4218,312" coordsize="287,96">
            <v:shape style="position:absolute;left:4218;top:312;width:65;height:94" coordorigin="4218,312" coordsize="65,94" path="m4277,322l4257,322,4261,324,4268,330,4270,335,4269,345,4268,349,4262,355,4258,357,4232,373,4226,378,4220,390,4219,397,4218,405,4282,405,4282,394,4231,394,4232,389,4235,385,4240,381,4242,379,4245,377,4249,375,4266,365,4272,362,4280,353,4282,347,4282,332,4280,326,4277,322xm4262,312l4239,312,4230,316,4222,330,4221,337,4221,345,4232,345,4233,339,4234,335,4238,325,4244,322,4277,322,4270,315,4262,312xe" filled="true" fillcolor="#231f20" stroked="false">
              <v:path arrowok="t"/>
              <v:fill type="solid"/>
            </v:shape>
            <v:shape style="position:absolute;left:4292;top:312;width:64;height:96" coordorigin="4292,312" coordsize="64,96" path="m4336,312l4310,312,4301,319,4293,341,4292,350,4292,374,4294,385,4304,402,4313,407,4336,407,4345,401,4347,397,4316,397,4311,392,4306,378,4305,371,4305,348,4306,339,4313,326,4318,323,4347,323,4344,317,4336,312xm4347,323l4332,323,4337,326,4342,340,4344,348,4343,374,4342,383,4335,394,4330,397,4347,397,4354,381,4356,371,4356,345,4354,335,4347,323xe" filled="true" fillcolor="#231f20" stroked="false">
              <v:path arrowok="t"/>
              <v:fill type="solid"/>
            </v:shape>
            <v:shape style="position:absolute;left:4366;top:312;width:64;height:96" coordorigin="4366,312" coordsize="64,96" path="m4410,312l4384,312,4375,319,4367,341,4366,350,4366,374,4368,385,4378,402,4386,407,4410,407,4419,401,4421,397,4390,397,4385,392,4379,378,4378,371,4378,348,4380,339,4386,326,4391,323,4421,323,4418,317,4410,312xm4421,323l4406,323,4411,326,4416,340,4417,348,4417,374,4415,383,4408,394,4403,397,4421,397,4428,381,4430,371,4430,345,4428,335,4421,323xe" filled="true" fillcolor="#231f20" stroked="false">
              <v:path arrowok="t"/>
              <v:fill type="solid"/>
            </v:shape>
            <v:shape style="position:absolute;left:4439;top:312;width:66;height:93" coordorigin="4439,312" coordsize="66,93" path="m4491,382l4479,382,4479,405,4491,405,4491,382xm4491,312l4481,312,4439,371,4439,382,4505,382,4505,372,4450,372,4479,330,4491,330,4491,312xm4491,330l4479,330,4479,372,4491,372,4491,330xe" filled="true" fillcolor="#231f20" stroked="false">
              <v:path arrowok="t"/>
              <v:fill type="solid"/>
            </v:shape>
            <w10:wrap type="topAndBottom"/>
          </v:group>
        </w:pict>
      </w:r>
      <w:r>
        <w:rPr/>
        <w:pict>
          <v:group style="position:absolute;margin-left:240.399704pt;margin-top:15.585886pt;width:14.3pt;height:4.8pt;mso-position-horizontal-relative:page;mso-position-vertical-relative:paragraph;z-index:3520;mso-wrap-distance-left:0;mso-wrap-distance-right:0" coordorigin="4808,312" coordsize="286,96">
            <v:shape style="position:absolute;left:4808;top:312;width:65;height:94" coordorigin="4808,312" coordsize="65,94" path="m4866,322l4847,322,4851,324,4858,330,4859,335,4859,345,4857,349,4852,355,4848,357,4821,373,4816,378,4810,390,4808,397,4808,405,4872,405,4872,394,4821,394,4822,389,4825,385,4829,381,4832,379,4835,377,4856,365,4861,362,4869,353,4872,347,4872,332,4870,326,4866,322xm4852,312l4829,312,4820,316,4812,330,4810,337,4810,345,4822,345,4822,339,4823,335,4828,325,4833,322,4866,322,4860,315,4852,312xe" filled="true" fillcolor="#231f20" stroked="false">
              <v:path arrowok="t"/>
              <v:fill type="solid"/>
            </v:shape>
            <v:shape style="position:absolute;left:4882;top:312;width:64;height:96" coordorigin="4882,312" coordsize="64,96" path="m4925,312l4900,312,4891,319,4886,333,4883,341,4882,350,4882,374,4884,385,4894,402,4902,407,4926,407,4935,401,4937,397,4906,397,4900,392,4895,378,4894,371,4894,348,4896,339,4902,326,4907,323,4937,323,4934,317,4925,312xm4937,323l4922,323,4927,326,4932,340,4933,348,4933,374,4931,383,4924,394,4919,397,4937,397,4940,390,4944,381,4946,371,4946,345,4944,335,4937,323xe" filled="true" fillcolor="#231f20" stroked="false">
              <v:path arrowok="t"/>
              <v:fill type="solid"/>
            </v:shape>
            <v:shape style="position:absolute;left:4956;top:312;width:64;height:96" coordorigin="4956,312" coordsize="64,96" path="m4999,312l4974,312,4965,319,4960,333,4957,341,4956,350,4956,374,4958,385,4968,402,4976,407,5000,407,5008,401,5011,397,4980,397,4974,392,4969,378,4968,371,4968,348,4970,339,4976,326,4981,323,5011,323,5008,317,4999,312xm5011,323l4995,323,5000,326,5006,340,5007,348,5007,374,5005,383,4998,394,4993,397,5011,397,5014,390,5018,381,5019,371,5019,345,5017,335,5011,323xe" filled="true" fillcolor="#231f20" stroked="false">
              <v:path arrowok="t"/>
              <v:fill type="solid"/>
            </v:shape>
            <v:shape style="position:absolute;left:5029;top:314;width:64;height:94" coordorigin="5029,314" coordsize="64,94" path="m5042,381l5029,381,5030,390,5033,396,5045,405,5052,407,5071,407,5080,404,5085,397,5057,397,5054,396,5045,392,5042,388,5042,381xm5087,355l5066,355,5071,357,5079,364,5081,369,5081,381,5079,386,5072,395,5067,397,5085,397,5091,390,5093,383,5093,365,5090,359,5087,355xm5088,314l5040,314,5033,364,5043,364,5045,361,5047,359,5053,356,5057,355,5087,355,5082,351,5045,351,5049,325,5088,325,5088,314xm5071,345l5058,345,5054,346,5051,347,5049,348,5047,349,5045,351,5082,351,5078,348,5071,345xe" filled="true" fillcolor="#231f20" stroked="false">
              <v:path arrowok="t"/>
              <v:fill type="solid"/>
            </v:shape>
            <w10:wrap type="topAndBottom"/>
          </v:group>
        </w:pict>
      </w:r>
      <w:r>
        <w:rPr/>
        <w:pict>
          <v:group style="position:absolute;margin-left:269.869812pt;margin-top:15.583696pt;width:14.3pt;height:4.8pt;mso-position-horizontal-relative:page;mso-position-vertical-relative:paragraph;z-index:3544;mso-wrap-distance-left:0;mso-wrap-distance-right:0" coordorigin="5397,312" coordsize="286,96">
            <v:shape style="position:absolute;left:5397;top:312;width:65;height:94" coordorigin="5397,312" coordsize="65,94" path="m5456,322l5436,322,5441,324,5447,330,5449,335,5448,345,5447,349,5441,355,5437,357,5411,373,5405,378,5399,390,5398,397,5397,405,5461,405,5461,394,5410,394,5412,389,5414,385,5421,379,5424,377,5445,365,5451,362,5459,353,5462,347,5462,332,5459,326,5456,322xm5442,312l5418,312,5409,316,5401,330,5400,337,5400,345,5412,345,5412,339,5413,335,5417,325,5423,322,5456,322,5449,315,5442,312xe" filled="true" fillcolor="#231f20" stroked="false">
              <v:path arrowok="t"/>
              <v:fill type="solid"/>
            </v:shape>
            <v:shape style="position:absolute;left:5471;top:312;width:64;height:96" coordorigin="5471,312" coordsize="64,96" path="m5515,312l5490,312,5480,319,5475,333,5473,341,5471,350,5471,374,5473,385,5483,402,5492,407,5515,407,5524,401,5526,397,5495,397,5490,392,5485,378,5484,371,5484,348,5485,339,5492,326,5497,323,5527,323,5524,317,5515,312xm5527,323l5511,323,5516,326,5521,340,5523,348,5522,374,5521,383,5514,394,5509,397,5526,397,5530,390,5533,381,5535,371,5535,345,5533,335,5527,323xe" filled="true" fillcolor="#231f20" stroked="false">
              <v:path arrowok="t"/>
              <v:fill type="solid"/>
            </v:shape>
            <v:shape style="position:absolute;left:5545;top:312;width:64;height:96" coordorigin="5545,312" coordsize="64,96" path="m5589,312l5563,312,5554,319,5549,333,5546,341,5545,350,5545,374,5547,385,5557,402,5565,407,5589,407,5598,401,5600,397,5569,397,5564,392,5559,378,5558,371,5557,348,5559,339,5565,326,5570,323,5600,323,5597,317,5589,312xm5600,323l5585,323,5590,326,5595,340,5596,348,5596,374,5595,383,5587,394,5583,397,5600,397,5603,390,5607,381,5609,371,5609,345,5607,335,5600,323xe" filled="true" fillcolor="#231f20" stroked="false">
              <v:path arrowok="t"/>
              <v:fill type="solid"/>
            </v:shape>
            <v:shape style="position:absolute;left:5620;top:312;width:64;height:96" coordorigin="5620,312" coordsize="64,96" path="m5664,312l5639,312,5629,319,5624,335,5621,343,5620,353,5620,380,5623,391,5635,404,5643,407,5662,407,5669,404,5675,397,5646,397,5642,395,5635,387,5633,382,5633,369,5635,364,5642,358,5645,357,5632,357,5632,348,5632,345,5634,337,5642,325,5647,322,5677,322,5671,314,5664,312xm5678,356l5659,356,5664,358,5669,367,5671,371,5671,382,5669,387,5663,395,5659,397,5675,397,5680,391,5683,383,5683,365,5680,358,5678,356xm5662,345l5650,345,5645,346,5642,348,5638,350,5634,353,5632,357,5645,357,5647,356,5678,356,5669,348,5662,345xm5677,322l5659,322,5663,324,5666,328,5668,330,5669,333,5670,336,5681,336,5681,331,5679,325,5677,322xe" filled="true" fillcolor="#231f20" stroked="false">
              <v:path arrowok="t"/>
              <v:fill type="solid"/>
            </v:shape>
            <w10:wrap type="topAndBottom"/>
          </v:group>
        </w:pict>
      </w:r>
      <w:r>
        <w:rPr/>
        <w:pict>
          <v:group style="position:absolute;margin-left:299.793701pt;margin-top:15.585886pt;width:14.35pt;height:4.8pt;mso-position-horizontal-relative:page;mso-position-vertical-relative:paragraph;z-index:3568;mso-wrap-distance-left:0;mso-wrap-distance-right:0" coordorigin="5996,312" coordsize="287,96">
            <v:shape style="position:absolute;left:5996;top:312;width:65;height:94" coordorigin="5996,312" coordsize="65,94" path="m6054,322l6035,322,6039,324,6045,330,6047,335,6047,345,6045,349,6040,355,6036,357,6009,373,6004,378,5998,390,5996,397,5996,405,6060,405,6060,394,6009,394,6010,389,6013,385,6019,379,6023,377,6027,375,6044,365,6049,362,6057,353,6060,347,6060,332,6058,326,6054,322xm6040,312l6017,312,6008,316,6000,330,5998,337,5998,345,6010,345,6010,339,6011,335,6016,325,6021,322,6054,322,6048,315,6040,312xe" filled="true" fillcolor="#231f20" stroked="false">
              <v:path arrowok="t"/>
              <v:fill type="solid"/>
            </v:shape>
            <v:shape style="position:absolute;left:6070;top:312;width:64;height:96" coordorigin="6070,312" coordsize="64,96" path="m6113,312l6088,312,6079,319,6074,333,6071,341,6070,350,6070,374,6072,385,6082,402,6090,407,6114,407,6123,401,6125,397,6094,397,6088,392,6083,378,6082,371,6082,348,6084,339,6090,326,6095,323,6125,323,6122,317,6113,312xm6125,323l6110,323,6115,326,6120,340,6121,348,6121,374,6119,383,6112,394,6107,397,6125,397,6128,390,6132,381,6134,371,6134,345,6132,335,6125,323xe" filled="true" fillcolor="#231f20" stroked="false">
              <v:path arrowok="t"/>
              <v:fill type="solid"/>
            </v:shape>
            <v:shape style="position:absolute;left:6143;top:312;width:64;height:96" coordorigin="6143,312" coordsize="64,96" path="m6187,312l6162,312,6153,319,6147,333,6145,341,6143,350,6143,374,6146,385,6156,402,6164,407,6187,407,6196,401,6198,397,6167,397,6162,392,6157,378,6156,371,6156,348,6158,339,6164,326,6169,323,6199,323,6196,317,6187,312xm6199,323l6183,323,6188,326,6194,340,6195,348,6195,374,6193,383,6186,394,6181,397,6198,397,6202,390,6205,381,6207,371,6207,345,6205,335,6199,323xe" filled="true" fillcolor="#231f20" stroked="false">
              <v:path arrowok="t"/>
              <v:fill type="solid"/>
            </v:shape>
            <v:shape style="position:absolute;left:6218;top:314;width:65;height:92" coordorigin="6218,314" coordsize="65,92" path="m6282,314l6218,314,6218,325,6269,325,6263,333,6234,392,6231,405,6244,405,6246,395,6248,388,6249,384,6251,377,6254,370,6257,362,6261,354,6266,346,6275,332,6279,327,6282,324,6282,314xe" filled="true" fillcolor="#231f20" stroked="false">
              <v:path arrowok="t"/>
              <v:fill type="solid"/>
            </v:shape>
            <w10:wrap type="topAndBottom"/>
          </v:group>
        </w:pict>
      </w:r>
      <w:r>
        <w:rPr/>
        <w:pict>
          <v:group style="position:absolute;margin-left:328.245605pt;margin-top:15.585886pt;width:14.3pt;height:4.8pt;mso-position-horizontal-relative:page;mso-position-vertical-relative:paragraph;z-index:3592;mso-wrap-distance-left:0;mso-wrap-distance-right:0" coordorigin="6565,312" coordsize="286,96">
            <v:shape style="position:absolute;left:6565;top:312;width:65;height:94" coordorigin="6565,312" coordsize="65,94" path="m6623,322l6604,322,6608,324,6615,330,6616,335,6616,345,6614,349,6609,355,6605,357,6578,373,6573,378,6567,390,6565,397,6565,405,6629,405,6629,394,6578,394,6579,389,6582,385,6589,379,6592,377,6613,365,6618,362,6626,353,6629,347,6629,332,6627,326,6623,322xm6609,312l6586,312,6577,316,6569,330,6567,337,6567,345,6579,345,6579,339,6580,335,6585,325,6590,322,6623,322,6617,315,6609,312xe" filled="true" fillcolor="#231f20" stroked="false">
              <v:path arrowok="t"/>
              <v:fill type="solid"/>
            </v:shape>
            <v:shape style="position:absolute;left:6639;top:312;width:64;height:96" coordorigin="6639,312" coordsize="64,96" path="m6682,312l6657,312,6648,319,6643,333,6640,341,6639,350,6639,374,6641,385,6651,402,6659,407,6683,407,6692,401,6694,397,6663,397,6657,392,6652,378,6651,371,6651,348,6653,339,6659,326,6664,323,6694,323,6691,317,6682,312xm6694,323l6679,323,6684,326,6689,340,6690,348,6690,374,6688,383,6681,394,6676,397,6694,397,6697,390,6701,381,6703,371,6703,345,6701,335,6694,323xe" filled="true" fillcolor="#231f20" stroked="false">
              <v:path arrowok="t"/>
              <v:fill type="solid"/>
            </v:shape>
            <v:shape style="position:absolute;left:6712;top:312;width:64;height:96" coordorigin="6712,312" coordsize="64,96" path="m6756,312l6731,312,6722,319,6717,333,6714,341,6712,350,6712,374,6715,385,6725,402,6733,407,6756,407,6765,401,6768,397,6736,397,6731,392,6726,378,6725,371,6725,348,6727,339,6733,326,6738,323,6768,323,6765,317,6756,312xm6768,323l6752,323,6757,326,6763,340,6764,348,6764,374,6762,383,6755,394,6750,397,6768,397,6771,390,6775,381,6776,371,6776,345,6774,335,6768,323xe" filled="true" fillcolor="#231f20" stroked="false">
              <v:path arrowok="t"/>
              <v:fill type="solid"/>
            </v:shape>
            <v:shape style="position:absolute;left:6786;top:312;width:64;height:96" coordorigin="6786,312" coordsize="64,96" path="m6827,312l6809,312,6802,314,6792,324,6790,330,6790,343,6791,347,6796,352,6799,354,6802,355,6797,358,6793,361,6788,369,6786,373,6786,388,6789,395,6802,405,6810,407,6829,407,6836,405,6844,397,6812,397,6807,395,6801,388,6799,384,6799,373,6801,369,6808,363,6812,361,6844,361,6842,359,6839,357,6835,355,6838,353,6841,351,6841,351,6814,351,6810,350,6803,345,6802,341,6802,333,6803,330,6808,324,6812,322,6843,322,6834,314,6827,312xm6844,361l6824,361,6828,363,6836,369,6838,373,6838,385,6836,390,6829,395,6824,397,6844,397,6847,393,6850,386,6850,371,6848,366,6844,361xm6843,322l6823,322,6828,324,6833,330,6834,333,6834,340,6833,344,6827,349,6823,351,6841,351,6845,346,6847,341,6847,329,6844,324,6843,322xe" filled="true" fillcolor="#231f20" stroked="false">
              <v:path arrowok="t"/>
              <v:fill type="solid"/>
            </v:shape>
            <w10:wrap type="topAndBottom"/>
          </v:group>
        </w:pict>
      </w:r>
    </w:p>
    <w:p>
      <w:pPr>
        <w:pStyle w:val="BodyText"/>
        <w:spacing w:before="6"/>
        <w:rPr>
          <w:b/>
          <w:sz w:val="3"/>
        </w:rPr>
      </w:pPr>
    </w:p>
    <w:p>
      <w:pPr>
        <w:pStyle w:val="BodyText"/>
        <w:spacing w:line="100" w:lineRule="exact"/>
        <w:ind w:left="3775"/>
        <w:rPr>
          <w:sz w:val="10"/>
        </w:rPr>
      </w:pPr>
      <w:r>
        <w:rPr>
          <w:position w:val="-1"/>
          <w:sz w:val="10"/>
        </w:rPr>
        <w:drawing>
          <wp:inline distT="0" distB="0" distL="0" distR="0">
            <wp:extent cx="159451" cy="64007"/>
            <wp:effectExtent l="0" t="0" r="0" b="0"/>
            <wp:docPr id="55" name="image64.png" descr=""/>
            <wp:cNvGraphicFramePr>
              <a:graphicFrameLocks noChangeAspect="1"/>
            </wp:cNvGraphicFramePr>
            <a:graphic>
              <a:graphicData uri="http://schemas.openxmlformats.org/drawingml/2006/picture">
                <pic:pic>
                  <pic:nvPicPr>
                    <pic:cNvPr id="56" name="image64.png"/>
                    <pic:cNvPicPr/>
                  </pic:nvPicPr>
                  <pic:blipFill>
                    <a:blip r:embed="rId79" cstate="print"/>
                    <a:stretch>
                      <a:fillRect/>
                    </a:stretch>
                  </pic:blipFill>
                  <pic:spPr>
                    <a:xfrm>
                      <a:off x="0" y="0"/>
                      <a:ext cx="159451" cy="64007"/>
                    </a:xfrm>
                    <a:prstGeom prst="rect">
                      <a:avLst/>
                    </a:prstGeom>
                  </pic:spPr>
                </pic:pic>
              </a:graphicData>
            </a:graphic>
          </wp:inline>
        </w:drawing>
      </w:r>
      <w:r>
        <w:rPr>
          <w:position w:val="-1"/>
          <w:sz w:val="10"/>
        </w:rPr>
      </w:r>
    </w:p>
    <w:p>
      <w:pPr>
        <w:spacing w:before="120"/>
        <w:ind w:left="935" w:right="-2" w:firstLine="0"/>
        <w:jc w:val="left"/>
        <w:rPr>
          <w:rFonts w:ascii="Calibri" w:hAnsi="Calibri"/>
          <w:sz w:val="16"/>
        </w:rPr>
      </w:pPr>
      <w:r>
        <w:rPr/>
        <w:drawing>
          <wp:anchor distT="0" distB="0" distL="0" distR="0" allowOverlap="1" layoutInCell="1" locked="0" behindDoc="0" simplePos="0" relativeHeight="3712">
            <wp:simplePos x="0" y="0"/>
            <wp:positionH relativeFrom="page">
              <wp:posOffset>4770927</wp:posOffset>
            </wp:positionH>
            <wp:positionV relativeFrom="paragraph">
              <wp:posOffset>-742911</wp:posOffset>
            </wp:positionV>
            <wp:extent cx="640042" cy="60674"/>
            <wp:effectExtent l="0" t="0" r="0" b="0"/>
            <wp:wrapNone/>
            <wp:docPr id="57" name="image65.png" descr=""/>
            <wp:cNvGraphicFramePr>
              <a:graphicFrameLocks noChangeAspect="1"/>
            </wp:cNvGraphicFramePr>
            <a:graphic>
              <a:graphicData uri="http://schemas.openxmlformats.org/drawingml/2006/picture">
                <pic:pic>
                  <pic:nvPicPr>
                    <pic:cNvPr id="58" name="image65.png"/>
                    <pic:cNvPicPr/>
                  </pic:nvPicPr>
                  <pic:blipFill>
                    <a:blip r:embed="rId80" cstate="print"/>
                    <a:stretch>
                      <a:fillRect/>
                    </a:stretch>
                  </pic:blipFill>
                  <pic:spPr>
                    <a:xfrm>
                      <a:off x="0" y="0"/>
                      <a:ext cx="640042" cy="60674"/>
                    </a:xfrm>
                    <a:prstGeom prst="rect">
                      <a:avLst/>
                    </a:prstGeom>
                  </pic:spPr>
                </pic:pic>
              </a:graphicData>
            </a:graphic>
          </wp:anchor>
        </w:drawing>
      </w:r>
      <w:r>
        <w:rPr/>
        <w:pict>
          <v:group style="position:absolute;margin-left:375.337708pt;margin-top:-37.4216pt;width:64.1pt;height:11.4pt;mso-position-horizontal-relative:page;mso-position-vertical-relative:paragraph;z-index:3736" coordorigin="7507,-748" coordsize="1282,228">
            <v:shape style="position:absolute;left:7507;top:-748;width:407;height:101" type="#_x0000_t75" stroked="false">
              <v:imagedata r:id="rId81" o:title=""/>
            </v:shape>
            <v:shape style="position:absolute;left:7511;top:-741;width:1277;height:219" type="#_x0000_t75" stroked="false">
              <v:imagedata r:id="rId82" o:title=""/>
            </v:shape>
            <w10:wrap type="none"/>
          </v:group>
        </w:pict>
      </w:r>
      <w:r>
        <w:rPr/>
        <w:pict>
          <v:line style="position:absolute;mso-position-horizontal-relative:page;mso-position-vertical-relative:paragraph;z-index:3808" from="351.427094pt,-55.535202pt" to="371.794094pt,-55.535202pt" stroked="true" strokeweight="1.5pt" strokecolor="#8dc63f">
            <w10:wrap type="none"/>
          </v:line>
        </w:pict>
      </w:r>
      <w:r>
        <w:rPr/>
        <w:pict>
          <v:line style="position:absolute;mso-position-horizontal-relative:page;mso-position-vertical-relative:paragraph;z-index:3832" from="351.427094pt,-34.469299pt" to="371.794094pt,-34.469299pt" stroked="true" strokeweight="1.5pt" strokecolor="#ec008c">
            <w10:wrap type="none"/>
          </v:line>
        </w:pict>
      </w:r>
      <w:r>
        <w:rPr/>
        <w:drawing>
          <wp:anchor distT="0" distB="0" distL="0" distR="0" allowOverlap="1" layoutInCell="1" locked="0" behindDoc="0" simplePos="0" relativeHeight="3976">
            <wp:simplePos x="0" y="0"/>
            <wp:positionH relativeFrom="page">
              <wp:posOffset>677962</wp:posOffset>
            </wp:positionH>
            <wp:positionV relativeFrom="paragraph">
              <wp:posOffset>-789231</wp:posOffset>
            </wp:positionV>
            <wp:extent cx="607769" cy="60578"/>
            <wp:effectExtent l="0" t="0" r="0" b="0"/>
            <wp:wrapNone/>
            <wp:docPr id="59" name="image68.png" descr=""/>
            <wp:cNvGraphicFramePr>
              <a:graphicFrameLocks noChangeAspect="1"/>
            </wp:cNvGraphicFramePr>
            <a:graphic>
              <a:graphicData uri="http://schemas.openxmlformats.org/drawingml/2006/picture">
                <pic:pic>
                  <pic:nvPicPr>
                    <pic:cNvPr id="60" name="image68.png"/>
                    <pic:cNvPicPr/>
                  </pic:nvPicPr>
                  <pic:blipFill>
                    <a:blip r:embed="rId83" cstate="print"/>
                    <a:stretch>
                      <a:fillRect/>
                    </a:stretch>
                  </pic:blipFill>
                  <pic:spPr>
                    <a:xfrm>
                      <a:off x="0" y="0"/>
                      <a:ext cx="607769" cy="60578"/>
                    </a:xfrm>
                    <a:prstGeom prst="rect">
                      <a:avLst/>
                    </a:prstGeom>
                  </pic:spPr>
                </pic:pic>
              </a:graphicData>
            </a:graphic>
          </wp:anchor>
        </w:drawing>
      </w:r>
      <w:r>
        <w:rPr/>
        <w:pict>
          <v:group style="position:absolute;margin-left:53.446293pt;margin-top:-48.890808pt;width:47.8pt;height:4.8pt;mso-position-horizontal-relative:page;mso-position-vertical-relative:paragraph;z-index:4000" coordorigin="1069,-978" coordsize="956,96">
            <v:shape style="position:absolute;left:1069;top:-978;width:278;height:96" coordorigin="1069,-978" coordsize="278,96" path="m1153,-957l1150,-963,1146,-967,1137,-975,1127,-978,1096,-978,1084,-973,1074,-959,1072,-953,1072,-945,1087,-945,1088,-950,1089,-955,1095,-964,1102,-967,1120,-967,1126,-966,1134,-959,1136,-955,1136,-945,1134,-941,1126,-935,1121,-932,1087,-917,1079,-912,1072,-900,1070,-893,1069,-885,1153,-885,1153,-896,1086,-896,1088,-900,1091,-905,1100,-910,1104,-913,1132,-924,1139,-928,1150,-936,1153,-943,1153,-957m1250,-945l1247,-955,1239,-967,1235,-973,1233,-973,1233,-941,1233,-916,1231,-906,1222,-896,1215,-893,1197,-893,1190,-897,1184,-912,1182,-919,1182,-941,1184,-951,1193,-964,1199,-967,1218,-967,1225,-964,1232,-950,1233,-941,1233,-973,1223,-977,1207,-977,1195,-976,1185,-972,1177,-966,1171,-956,1168,-949,1166,-940,1166,-916,1169,-905,1182,-887,1193,-882,1224,-882,1235,-888,1238,-893,1247,-908,1250,-919,1250,-945m1347,-945l1344,-955,1335,-967,1332,-973,1330,-973,1330,-941,1330,-916,1328,-906,1318,-896,1312,-893,1294,-893,1287,-897,1281,-912,1279,-919,1279,-941,1281,-951,1290,-964,1296,-967,1315,-967,1322,-964,1329,-950,1330,-941,1330,-973,1320,-977,1304,-977,1292,-976,1282,-972,1274,-966,1268,-956,1264,-949,1263,-940,1263,-916,1266,-905,1279,-887,1290,-882,1320,-882,1332,-888,1335,-893,1344,-908,1347,-919,1347,-945e" filled="true" fillcolor="#231f20" stroked="false">
              <v:path arrowok="t"/>
              <v:fill type="solid"/>
            </v:shape>
            <v:line style="position:absolute" from="1369,-892" to="1387,-892" stroked="true" strokeweight=".706pt" strokecolor="#231f20"/>
            <v:shape style="position:absolute;left:1408;top:-977;width:278;height:96" coordorigin="1408,-977" coordsize="278,96" path="m1492,-945l1489,-955,1481,-967,1477,-973,1475,-973,1475,-941,1475,-916,1473,-906,1464,-896,1457,-893,1440,-893,1433,-897,1426,-912,1425,-919,1424,-941,1427,-951,1435,-964,1442,-967,1460,-967,1467,-964,1474,-950,1475,-941,1475,-973,1465,-977,1450,-977,1438,-976,1427,-972,1419,-966,1413,-956,1410,-949,1408,-940,1408,-916,1411,-905,1424,-887,1435,-882,1466,-882,1477,-888,1480,-893,1490,-908,1492,-919,1492,-945m1589,-945l1586,-955,1578,-967,1574,-973,1572,-973,1572,-941,1572,-916,1570,-906,1561,-896,1554,-893,1536,-893,1529,-897,1523,-912,1521,-919,1521,-941,1523,-951,1532,-964,1538,-967,1557,-967,1564,-964,1571,-950,1572,-941,1572,-973,1562,-977,1547,-977,1534,-976,1524,-972,1516,-966,1510,-956,1507,-949,1505,-940,1505,-916,1508,-905,1521,-887,1532,-882,1563,-882,1574,-888,1577,-893,1586,-908,1589,-919,1589,-945m1686,-945l1683,-955,1674,-967,1671,-973,1669,-973,1669,-941,1669,-916,1667,-906,1657,-896,1651,-893,1633,-893,1626,-897,1620,-912,1618,-919,1618,-941,1620,-951,1629,-964,1635,-967,1654,-967,1661,-964,1668,-950,1669,-941,1669,-973,1659,-977,1643,-977,1631,-976,1621,-972,1613,-966,1607,-956,1604,-949,1602,-940,1602,-916,1605,-905,1618,-887,1629,-882,1660,-882,1671,-888,1674,-893,1683,-908,1686,-919,1686,-945e" filled="true" fillcolor="#231f20" stroked="false">
              <v:path arrowok="t"/>
              <v:fill type="solid"/>
            </v:shape>
            <v:line style="position:absolute" from="1708,-892" to="1726,-892" stroked="true" strokeweight=".706pt" strokecolor="#231f20"/>
            <v:shape style="position:absolute;left:1747;top:-977;width:278;height:96" coordorigin="1747,-977" coordsize="278,96" path="m1831,-945l1828,-955,1820,-967,1816,-973,1815,-973,1815,-941,1814,-916,1812,-906,1803,-896,1796,-893,1779,-893,1772,-897,1765,-912,1764,-919,1763,-941,1766,-951,1774,-964,1781,-967,1799,-967,1806,-964,1813,-950,1815,-941,1815,-973,1804,-977,1789,-977,1777,-976,1766,-972,1758,-966,1752,-956,1749,-949,1747,-940,1747,-916,1750,-905,1763,-887,1774,-882,1805,-882,1816,-888,1819,-893,1829,-908,1831,-919,1831,-945m1928,-945l1925,-955,1917,-967,1913,-973,1911,-973,1911,-941,1911,-916,1909,-906,1900,-896,1893,-893,1875,-893,1868,-897,1862,-912,1860,-919,1860,-941,1862,-951,1871,-964,1877,-967,1896,-967,1903,-964,1910,-950,1911,-941,1911,-973,1901,-977,1886,-977,1873,-976,1863,-972,1855,-966,1849,-956,1846,-949,1844,-940,1844,-916,1847,-905,1860,-887,1871,-882,1902,-882,1913,-888,1916,-893,1925,-908,1928,-919,1928,-945m2025,-945l2022,-955,2014,-967,2010,-973,2008,-973,2008,-941,2008,-916,2006,-906,1996,-896,1990,-893,1972,-893,1965,-897,1959,-912,1957,-919,1957,-941,1959,-951,1968,-964,1974,-967,1993,-967,2000,-964,2007,-950,2008,-941,2008,-973,1998,-977,1982,-977,1970,-976,1960,-972,1952,-966,1946,-956,1943,-949,1941,-940,1941,-916,1944,-905,1957,-887,1968,-882,1999,-882,2010,-888,2013,-893,2022,-908,2025,-919,2025,-945e" filled="true" fillcolor="#231f20" stroked="false">
              <v:path arrowok="t"/>
              <v:fill type="solid"/>
            </v:shape>
            <w10:wrap type="none"/>
          </v:group>
        </w:pict>
      </w:r>
      <w:r>
        <w:rPr/>
        <w:pict>
          <v:group style="position:absolute;margin-left:54.008194pt;margin-top:-35.611912pt;width:47.25pt;height:4.8pt;mso-position-horizontal-relative:page;mso-position-vertical-relative:paragraph;z-index:4024" coordorigin="1080,-712" coordsize="945,96">
            <v:shape style="position:absolute;left:1080;top:-712;width:267;height:96" coordorigin="1080,-712" coordsize="267,96" path="m1125,-712l1113,-712,1111,-705,1108,-700,1099,-696,1091,-695,1080,-694,1080,-685,1109,-685,1109,-620,1125,-620,1125,-712m1250,-679l1247,-690,1239,-702,1235,-707,1233,-708,1233,-676,1233,-650,1231,-641,1222,-630,1215,-628,1197,-628,1190,-632,1184,-646,1182,-653,1182,-676,1184,-686,1193,-699,1199,-702,1218,-702,1225,-698,1232,-685,1233,-676,1233,-708,1223,-712,1207,-712,1195,-711,1185,-707,1177,-700,1171,-691,1168,-684,1166,-675,1166,-650,1169,-640,1182,-622,1193,-617,1224,-617,1235,-623,1238,-628,1247,-643,1250,-653,1250,-679m1347,-679l1344,-690,1335,-702,1332,-707,1330,-708,1330,-676,1330,-650,1328,-641,1318,-630,1312,-628,1294,-628,1287,-632,1281,-646,1279,-653,1279,-676,1281,-686,1290,-699,1296,-702,1315,-702,1322,-698,1329,-685,1330,-676,1330,-708,1320,-712,1304,-712,1292,-711,1282,-707,1274,-700,1268,-691,1264,-684,1263,-675,1263,-650,1266,-640,1279,-622,1290,-617,1320,-617,1332,-623,1335,-628,1344,-643,1347,-653,1347,-679e" filled="true" fillcolor="#231f20" stroked="false">
              <v:path arrowok="t"/>
              <v:fill type="solid"/>
            </v:shape>
            <v:line style="position:absolute" from="1369,-627" to="1387,-627" stroked="true" strokeweight=".706pt" strokecolor="#231f20"/>
            <v:shape style="position:absolute;left:1408;top:-712;width:278;height:96" coordorigin="1408,-712" coordsize="278,96" path="m1492,-679l1489,-690,1481,-702,1477,-707,1475,-708,1475,-676,1475,-650,1473,-641,1464,-630,1457,-628,1440,-628,1433,-632,1426,-646,1425,-653,1424,-676,1427,-686,1435,-699,1442,-702,1460,-702,1467,-698,1474,-685,1475,-676,1475,-708,1465,-712,1450,-712,1438,-711,1427,-707,1419,-700,1413,-691,1410,-684,1408,-675,1408,-650,1411,-640,1424,-622,1435,-617,1466,-617,1477,-623,1480,-628,1490,-643,1492,-653,1492,-679m1589,-679l1586,-690,1578,-702,1574,-707,1572,-708,1572,-676,1572,-650,1570,-641,1561,-630,1554,-628,1536,-628,1529,-632,1523,-646,1521,-653,1521,-676,1523,-686,1532,-699,1538,-702,1557,-702,1564,-698,1571,-685,1572,-676,1572,-708,1562,-712,1547,-712,1534,-711,1524,-707,1516,-700,1510,-691,1507,-684,1505,-675,1505,-650,1508,-640,1521,-622,1532,-617,1563,-617,1574,-623,1577,-628,1586,-643,1589,-653,1589,-679m1686,-679l1683,-690,1674,-702,1671,-707,1669,-708,1669,-676,1669,-650,1667,-641,1657,-630,1651,-628,1633,-628,1626,-632,1620,-646,1618,-653,1618,-676,1620,-686,1629,-699,1635,-702,1654,-702,1661,-698,1668,-685,1669,-676,1669,-708,1659,-712,1643,-712,1631,-711,1621,-707,1613,-700,1607,-691,1604,-684,1602,-675,1602,-650,1605,-640,1618,-622,1629,-617,1660,-617,1671,-623,1674,-628,1683,-643,1686,-653,1686,-679e" filled="true" fillcolor="#231f20" stroked="false">
              <v:path arrowok="t"/>
              <v:fill type="solid"/>
            </v:shape>
            <v:line style="position:absolute" from="1708,-627" to="1726,-627" stroked="true" strokeweight=".706pt" strokecolor="#231f20"/>
            <v:shape style="position:absolute;left:1747;top:-712;width:278;height:96" coordorigin="1747,-712" coordsize="278,96" path="m1831,-679l1828,-690,1820,-702,1816,-707,1815,-708,1815,-676,1814,-650,1812,-641,1803,-630,1796,-628,1779,-628,1772,-632,1765,-646,1764,-653,1763,-676,1766,-686,1774,-699,1781,-702,1799,-702,1806,-698,1813,-685,1815,-676,1815,-708,1804,-712,1789,-712,1777,-711,1766,-707,1758,-700,1752,-691,1749,-684,1747,-675,1747,-650,1750,-640,1763,-622,1774,-617,1805,-617,1816,-623,1819,-628,1829,-643,1831,-653,1831,-679m1928,-679l1925,-690,1917,-702,1913,-707,1911,-708,1911,-676,1911,-650,1909,-641,1900,-630,1893,-628,1875,-628,1868,-632,1862,-646,1860,-653,1860,-676,1862,-686,1871,-699,1877,-702,1896,-702,1903,-698,1910,-685,1911,-676,1911,-708,1901,-712,1886,-712,1873,-711,1863,-707,1855,-700,1849,-691,1846,-684,1844,-675,1844,-650,1847,-640,1860,-622,1871,-617,1902,-617,1913,-623,1916,-628,1925,-643,1928,-653,1928,-679m2025,-679l2022,-690,2014,-702,2010,-707,2008,-708,2008,-676,2008,-650,2006,-641,1996,-630,1990,-628,1972,-628,1965,-632,1959,-646,1957,-653,1957,-676,1959,-686,1968,-699,1974,-702,1993,-702,2000,-698,2007,-685,2008,-676,2008,-708,1998,-712,1982,-712,1970,-711,1960,-707,1952,-700,1946,-691,1943,-684,1941,-675,1941,-650,1944,-640,1957,-622,1968,-617,1999,-617,2010,-623,2013,-628,2022,-643,2025,-653,2025,-679e" filled="true" fillcolor="#231f20" stroked="false">
              <v:path arrowok="t"/>
              <v:fill type="solid"/>
            </v:shape>
            <w10:wrap type="none"/>
          </v:group>
        </w:pict>
      </w:r>
      <w:r>
        <w:rPr/>
        <w:pict>
          <v:shape style="position:absolute;margin-left:97.036407pt;margin-top:-22.350399pt;width:4.25pt;height:4.8pt;mso-position-horizontal-relative:page;mso-position-vertical-relative:paragraph;z-index:4048" coordorigin="1941,-447" coordsize="85,96" path="m1998,-447l1982,-447,1970,-446,1960,-442,1952,-435,1946,-426,1943,-418,1941,-409,1941,-385,1944,-374,1957,-357,1968,-352,1999,-352,2010,-358,2013,-362,1972,-362,1965,-367,1959,-381,1957,-388,1957,-411,1959,-420,1968,-433,1974,-437,2014,-437,2010,-442,1998,-447xm2014,-437l1993,-437,2000,-433,2007,-420,2008,-411,2008,-385,2006,-376,1996,-365,1990,-362,2013,-362,2022,-378,2025,-388,2025,-414,2022,-425,2014,-437xe" filled="true" fillcolor="#231f20" stroked="false">
            <v:path arrowok="t"/>
            <v:fill type="solid"/>
            <w10:wrap type="none"/>
          </v:shape>
        </w:pict>
      </w:r>
      <w:r>
        <w:rPr>
          <w:rFonts w:ascii="Calibri" w:hAnsi="Calibri"/>
          <w:color w:val="231F20"/>
          <w:sz w:val="16"/>
        </w:rPr>
        <w:t>Fuente:</w:t>
      </w:r>
      <w:r>
        <w:rPr>
          <w:rFonts w:ascii="Calibri" w:hAnsi="Calibri"/>
          <w:color w:val="231F20"/>
          <w:spacing w:val="-23"/>
          <w:sz w:val="16"/>
        </w:rPr>
        <w:t> </w:t>
      </w:r>
      <w:r>
        <w:rPr>
          <w:rFonts w:ascii="Calibri" w:hAnsi="Calibri"/>
          <w:color w:val="231F20"/>
          <w:sz w:val="16"/>
        </w:rPr>
        <w:t>elaboración</w:t>
      </w:r>
      <w:r>
        <w:rPr>
          <w:rFonts w:ascii="Calibri" w:hAnsi="Calibri"/>
          <w:color w:val="231F20"/>
          <w:spacing w:val="-23"/>
          <w:sz w:val="16"/>
        </w:rPr>
        <w:t> </w:t>
      </w:r>
      <w:r>
        <w:rPr>
          <w:rFonts w:ascii="Calibri" w:hAnsi="Calibri"/>
          <w:color w:val="231F20"/>
          <w:sz w:val="16"/>
        </w:rPr>
        <w:t>propia</w:t>
      </w:r>
      <w:r>
        <w:rPr>
          <w:rFonts w:ascii="Calibri" w:hAnsi="Calibri"/>
          <w:color w:val="231F20"/>
          <w:spacing w:val="-23"/>
          <w:sz w:val="16"/>
        </w:rPr>
        <w:t> </w:t>
      </w:r>
      <w:r>
        <w:rPr>
          <w:rFonts w:ascii="Calibri" w:hAnsi="Calibri"/>
          <w:color w:val="231F20"/>
          <w:sz w:val="16"/>
        </w:rPr>
        <w:t>a</w:t>
      </w:r>
      <w:r>
        <w:rPr>
          <w:rFonts w:ascii="Calibri" w:hAnsi="Calibri"/>
          <w:color w:val="231F20"/>
          <w:spacing w:val="-23"/>
          <w:sz w:val="16"/>
        </w:rPr>
        <w:t> </w:t>
      </w:r>
      <w:r>
        <w:rPr>
          <w:rFonts w:ascii="Calibri" w:hAnsi="Calibri"/>
          <w:color w:val="231F20"/>
          <w:sz w:val="16"/>
        </w:rPr>
        <w:t>partir</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(HUIXQUILUCAN,</w:t>
      </w:r>
      <w:r>
        <w:rPr>
          <w:rFonts w:ascii="Calibri" w:hAnsi="Calibri"/>
          <w:color w:val="231F20"/>
          <w:spacing w:val="-23"/>
          <w:sz w:val="16"/>
        </w:rPr>
        <w:t> </w:t>
      </w:r>
      <w:r>
        <w:rPr>
          <w:rFonts w:ascii="Calibri" w:hAnsi="Calibri"/>
          <w:color w:val="231F20"/>
          <w:sz w:val="16"/>
        </w:rPr>
        <w:t>2006a),</w:t>
      </w:r>
      <w:r>
        <w:rPr>
          <w:rFonts w:ascii="Calibri" w:hAnsi="Calibri"/>
          <w:color w:val="231F20"/>
          <w:spacing w:val="-23"/>
          <w:sz w:val="16"/>
        </w:rPr>
        <w:t> </w:t>
      </w:r>
      <w:r>
        <w:rPr>
          <w:rFonts w:ascii="Calibri" w:hAnsi="Calibri"/>
          <w:color w:val="231F20"/>
          <w:sz w:val="16"/>
        </w:rPr>
        <w:t>(INEGI,</w:t>
      </w:r>
      <w:r>
        <w:rPr>
          <w:rFonts w:ascii="Calibri" w:hAnsi="Calibri"/>
          <w:color w:val="231F20"/>
          <w:spacing w:val="-23"/>
          <w:sz w:val="16"/>
        </w:rPr>
        <w:t> </w:t>
      </w:r>
      <w:r>
        <w:rPr>
          <w:rFonts w:ascii="Calibri" w:hAnsi="Calibri"/>
          <w:color w:val="231F20"/>
          <w:sz w:val="16"/>
        </w:rPr>
        <w:t>2006),</w:t>
      </w:r>
      <w:r>
        <w:rPr>
          <w:rFonts w:ascii="Calibri" w:hAnsi="Calibri"/>
          <w:color w:val="231F20"/>
          <w:spacing w:val="-23"/>
          <w:sz w:val="16"/>
        </w:rPr>
        <w:t> </w:t>
      </w:r>
      <w:r>
        <w:rPr>
          <w:rFonts w:ascii="Calibri" w:hAnsi="Calibri"/>
          <w:color w:val="231F20"/>
          <w:sz w:val="16"/>
        </w:rPr>
        <w:t>(SECRETARÍA</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FINANZAS,</w:t>
      </w:r>
      <w:r>
        <w:rPr>
          <w:rFonts w:ascii="Calibri" w:hAnsi="Calibri"/>
          <w:color w:val="231F20"/>
          <w:spacing w:val="-23"/>
          <w:sz w:val="16"/>
        </w:rPr>
        <w:t> </w:t>
      </w:r>
      <w:r>
        <w:rPr>
          <w:rFonts w:ascii="Calibri" w:hAnsi="Calibri"/>
          <w:color w:val="231F20"/>
          <w:sz w:val="16"/>
        </w:rPr>
        <w:t>2009).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A continuación presento las condiciones de la f lexibilidad financiera municipal de Huixquilucan a partir de observar la relación existente entre ingresos directos e </w:t>
      </w:r>
      <w:r>
        <w:rPr>
          <w:color w:val="231F20"/>
          <w:w w:val="105"/>
          <w:u w:val="single" w:color="231F20"/>
        </w:rPr>
        <w:t>indirectos y me</w:t>
      </w:r>
      <w:r>
        <w:rPr>
          <w:color w:val="231F20"/>
          <w:w w:val="105"/>
        </w:rPr>
        <w:t>diante el indicador elaborado por el INAFED</w:t>
      </w:r>
      <w:r>
        <w:rPr>
          <w:color w:val="231F20"/>
          <w:w w:val="105"/>
          <w:position w:val="7"/>
          <w:sz w:val="13"/>
        </w:rPr>
        <w:t>14  </w:t>
      </w:r>
      <w:r>
        <w:rPr>
          <w:color w:val="231F20"/>
          <w:w w:val="105"/>
        </w:rPr>
        <w:t>sobre la f lexibilidad</w:t>
      </w:r>
    </w:p>
    <w:p>
      <w:pPr>
        <w:pStyle w:val="ListParagraph"/>
        <w:numPr>
          <w:ilvl w:val="0"/>
          <w:numId w:val="3"/>
        </w:numPr>
        <w:tabs>
          <w:tab w:pos="288" w:val="left" w:leader="none"/>
        </w:tabs>
        <w:spacing w:line="244" w:lineRule="auto" w:before="53" w:after="0"/>
        <w:ind w:left="110" w:right="108" w:firstLine="0"/>
        <w:jc w:val="both"/>
        <w:rPr>
          <w:sz w:val="16"/>
        </w:rPr>
      </w:pPr>
      <w:r>
        <w:rPr>
          <w:color w:val="231F20"/>
          <w:sz w:val="16"/>
        </w:rPr>
        <w:t>Los</w:t>
      </w:r>
      <w:r>
        <w:rPr>
          <w:color w:val="231F20"/>
          <w:spacing w:val="-10"/>
          <w:sz w:val="16"/>
        </w:rPr>
        <w:t> </w:t>
      </w:r>
      <w:r>
        <w:rPr>
          <w:color w:val="231F20"/>
          <w:sz w:val="16"/>
        </w:rPr>
        <w:t>años</w:t>
      </w:r>
      <w:r>
        <w:rPr>
          <w:color w:val="231F20"/>
          <w:spacing w:val="-10"/>
          <w:sz w:val="16"/>
        </w:rPr>
        <w:t> </w:t>
      </w:r>
      <w:r>
        <w:rPr>
          <w:color w:val="231F20"/>
          <w:sz w:val="16"/>
        </w:rPr>
        <w:t>electorales</w:t>
      </w:r>
      <w:r>
        <w:rPr>
          <w:color w:val="231F20"/>
          <w:spacing w:val="-10"/>
          <w:sz w:val="16"/>
        </w:rPr>
        <w:t> </w:t>
      </w:r>
      <w:r>
        <w:rPr>
          <w:color w:val="231F20"/>
          <w:sz w:val="16"/>
        </w:rPr>
        <w:t>a</w:t>
      </w:r>
      <w:r>
        <w:rPr>
          <w:color w:val="231F20"/>
          <w:spacing w:val="-10"/>
          <w:sz w:val="16"/>
        </w:rPr>
        <w:t> </w:t>
      </w:r>
      <w:r>
        <w:rPr>
          <w:color w:val="231F20"/>
          <w:sz w:val="16"/>
        </w:rPr>
        <w:t>los</w:t>
      </w:r>
      <w:r>
        <w:rPr>
          <w:color w:val="231F20"/>
          <w:spacing w:val="-10"/>
          <w:sz w:val="16"/>
        </w:rPr>
        <w:t> </w:t>
      </w:r>
      <w:r>
        <w:rPr>
          <w:color w:val="231F20"/>
          <w:sz w:val="16"/>
        </w:rPr>
        <w:t>que</w:t>
      </w:r>
      <w:r>
        <w:rPr>
          <w:color w:val="231F20"/>
          <w:spacing w:val="-10"/>
          <w:sz w:val="16"/>
        </w:rPr>
        <w:t> </w:t>
      </w:r>
      <w:r>
        <w:rPr>
          <w:color w:val="231F20"/>
          <w:sz w:val="16"/>
        </w:rPr>
        <w:t>hago</w:t>
      </w:r>
      <w:r>
        <w:rPr>
          <w:color w:val="231F20"/>
          <w:spacing w:val="-10"/>
          <w:sz w:val="16"/>
        </w:rPr>
        <w:t> </w:t>
      </w:r>
      <w:r>
        <w:rPr>
          <w:color w:val="231F20"/>
          <w:sz w:val="16"/>
        </w:rPr>
        <w:t>referencia</w:t>
      </w:r>
      <w:r>
        <w:rPr>
          <w:color w:val="231F20"/>
          <w:spacing w:val="-10"/>
          <w:sz w:val="16"/>
        </w:rPr>
        <w:t> </w:t>
      </w:r>
      <w:r>
        <w:rPr>
          <w:color w:val="231F20"/>
          <w:sz w:val="16"/>
        </w:rPr>
        <w:t>en</w:t>
      </w:r>
      <w:r>
        <w:rPr>
          <w:color w:val="231F20"/>
          <w:spacing w:val="-10"/>
          <w:sz w:val="16"/>
        </w:rPr>
        <w:t> </w:t>
      </w:r>
      <w:r>
        <w:rPr>
          <w:color w:val="231F20"/>
          <w:sz w:val="16"/>
        </w:rPr>
        <w:t>el</w:t>
      </w:r>
      <w:r>
        <w:rPr>
          <w:color w:val="231F20"/>
          <w:spacing w:val="-10"/>
          <w:sz w:val="16"/>
        </w:rPr>
        <w:t> </w:t>
      </w:r>
      <w:r>
        <w:rPr>
          <w:color w:val="231F20"/>
          <w:sz w:val="16"/>
        </w:rPr>
        <w:t>periodo</w:t>
      </w:r>
      <w:r>
        <w:rPr>
          <w:color w:val="231F20"/>
          <w:spacing w:val="-10"/>
          <w:sz w:val="16"/>
        </w:rPr>
        <w:t> </w:t>
      </w:r>
      <w:r>
        <w:rPr>
          <w:color w:val="231F20"/>
          <w:sz w:val="16"/>
        </w:rPr>
        <w:t>abordado</w:t>
      </w:r>
      <w:r>
        <w:rPr>
          <w:color w:val="231F20"/>
          <w:spacing w:val="-10"/>
          <w:sz w:val="16"/>
        </w:rPr>
        <w:t> </w:t>
      </w:r>
      <w:r>
        <w:rPr>
          <w:color w:val="231F20"/>
          <w:sz w:val="16"/>
        </w:rPr>
        <w:t>corresponden</w:t>
      </w:r>
      <w:r>
        <w:rPr>
          <w:color w:val="231F20"/>
          <w:spacing w:val="-10"/>
          <w:sz w:val="16"/>
        </w:rPr>
        <w:t> </w:t>
      </w:r>
      <w:r>
        <w:rPr>
          <w:color w:val="231F20"/>
          <w:sz w:val="16"/>
        </w:rPr>
        <w:t>a</w:t>
      </w:r>
      <w:r>
        <w:rPr>
          <w:color w:val="231F20"/>
          <w:spacing w:val="-10"/>
          <w:sz w:val="16"/>
        </w:rPr>
        <w:t> </w:t>
      </w:r>
      <w:r>
        <w:rPr>
          <w:color w:val="231F20"/>
          <w:sz w:val="16"/>
        </w:rPr>
        <w:t>2003</w:t>
      </w:r>
      <w:r>
        <w:rPr>
          <w:color w:val="231F20"/>
          <w:spacing w:val="-10"/>
          <w:sz w:val="16"/>
        </w:rPr>
        <w:t> </w:t>
      </w:r>
      <w:r>
        <w:rPr>
          <w:color w:val="231F20"/>
          <w:sz w:val="16"/>
        </w:rPr>
        <w:t>y</w:t>
      </w:r>
      <w:r>
        <w:rPr>
          <w:color w:val="231F20"/>
          <w:spacing w:val="-10"/>
          <w:sz w:val="16"/>
        </w:rPr>
        <w:t> </w:t>
      </w:r>
      <w:r>
        <w:rPr>
          <w:color w:val="231F20"/>
          <w:sz w:val="16"/>
        </w:rPr>
        <w:t>2006,</w:t>
      </w:r>
      <w:r>
        <w:rPr>
          <w:color w:val="231F20"/>
          <w:spacing w:val="-10"/>
          <w:sz w:val="16"/>
        </w:rPr>
        <w:t> </w:t>
      </w:r>
      <w:r>
        <w:rPr>
          <w:color w:val="231F20"/>
          <w:sz w:val="16"/>
        </w:rPr>
        <w:t>en</w:t>
      </w:r>
      <w:r>
        <w:rPr>
          <w:color w:val="231F20"/>
          <w:spacing w:val="-10"/>
          <w:sz w:val="16"/>
        </w:rPr>
        <w:t> </w:t>
      </w:r>
      <w:r>
        <w:rPr>
          <w:color w:val="231F20"/>
          <w:sz w:val="16"/>
        </w:rPr>
        <w:t>los</w:t>
      </w:r>
      <w:r>
        <w:rPr>
          <w:color w:val="231F20"/>
          <w:spacing w:val="-10"/>
          <w:sz w:val="16"/>
        </w:rPr>
        <w:t> </w:t>
      </w:r>
      <w:r>
        <w:rPr>
          <w:color w:val="231F20"/>
          <w:sz w:val="16"/>
        </w:rPr>
        <w:t>que</w:t>
      </w:r>
      <w:r>
        <w:rPr>
          <w:color w:val="231F20"/>
          <w:spacing w:val="-10"/>
          <w:sz w:val="16"/>
        </w:rPr>
        <w:t> </w:t>
      </w:r>
      <w:r>
        <w:rPr>
          <w:color w:val="231F20"/>
          <w:sz w:val="16"/>
        </w:rPr>
        <w:t>se</w:t>
      </w:r>
      <w:r>
        <w:rPr>
          <w:color w:val="231F20"/>
          <w:spacing w:val="-10"/>
          <w:sz w:val="16"/>
        </w:rPr>
        <w:t> </w:t>
      </w:r>
      <w:r>
        <w:rPr>
          <w:color w:val="231F20"/>
          <w:sz w:val="16"/>
        </w:rPr>
        <w:t>celebra- ron</w:t>
      </w:r>
      <w:r>
        <w:rPr>
          <w:color w:val="231F20"/>
          <w:spacing w:val="-11"/>
          <w:sz w:val="16"/>
        </w:rPr>
        <w:t> </w:t>
      </w:r>
      <w:r>
        <w:rPr>
          <w:color w:val="231F20"/>
          <w:sz w:val="16"/>
        </w:rPr>
        <w:t>elecciones</w:t>
      </w:r>
      <w:r>
        <w:rPr>
          <w:color w:val="231F20"/>
          <w:spacing w:val="-11"/>
          <w:sz w:val="16"/>
        </w:rPr>
        <w:t> </w:t>
      </w:r>
      <w:r>
        <w:rPr>
          <w:color w:val="231F20"/>
          <w:sz w:val="16"/>
        </w:rPr>
        <w:t>para</w:t>
      </w:r>
      <w:r>
        <w:rPr>
          <w:color w:val="231F20"/>
          <w:spacing w:val="-11"/>
          <w:sz w:val="16"/>
        </w:rPr>
        <w:t> </w:t>
      </w:r>
      <w:r>
        <w:rPr>
          <w:color w:val="231F20"/>
          <w:sz w:val="16"/>
        </w:rPr>
        <w:t>renovar</w:t>
      </w:r>
      <w:r>
        <w:rPr>
          <w:color w:val="231F20"/>
          <w:spacing w:val="-11"/>
          <w:sz w:val="16"/>
        </w:rPr>
        <w:t> </w:t>
      </w:r>
      <w:r>
        <w:rPr>
          <w:color w:val="231F20"/>
          <w:sz w:val="16"/>
        </w:rPr>
        <w:t>al</w:t>
      </w:r>
      <w:r>
        <w:rPr>
          <w:color w:val="231F20"/>
          <w:spacing w:val="-11"/>
          <w:sz w:val="16"/>
        </w:rPr>
        <w:t> </w:t>
      </w:r>
      <w:r>
        <w:rPr>
          <w:color w:val="231F20"/>
          <w:sz w:val="16"/>
        </w:rPr>
        <w:t>ayuntamiento</w:t>
      </w:r>
      <w:r>
        <w:rPr>
          <w:color w:val="231F20"/>
          <w:spacing w:val="-11"/>
          <w:sz w:val="16"/>
        </w:rPr>
        <w:t> </w:t>
      </w:r>
      <w:r>
        <w:rPr>
          <w:color w:val="231F20"/>
          <w:sz w:val="16"/>
        </w:rPr>
        <w:t>municipal</w:t>
      </w:r>
      <w:r>
        <w:rPr>
          <w:color w:val="231F20"/>
          <w:spacing w:val="-11"/>
          <w:sz w:val="16"/>
        </w:rPr>
        <w:t> </w:t>
      </w:r>
      <w:r>
        <w:rPr>
          <w:color w:val="231F20"/>
          <w:sz w:val="16"/>
        </w:rPr>
        <w:t>de</w:t>
      </w:r>
      <w:r>
        <w:rPr>
          <w:color w:val="231F20"/>
          <w:spacing w:val="-11"/>
          <w:sz w:val="16"/>
        </w:rPr>
        <w:t> </w:t>
      </w:r>
      <w:r>
        <w:rPr>
          <w:color w:val="231F20"/>
          <w:sz w:val="16"/>
        </w:rPr>
        <w:t>Huixquilucan.</w:t>
      </w:r>
    </w:p>
    <w:p>
      <w:pPr>
        <w:pStyle w:val="ListParagraph"/>
        <w:numPr>
          <w:ilvl w:val="0"/>
          <w:numId w:val="3"/>
        </w:numPr>
        <w:tabs>
          <w:tab w:pos="297" w:val="left" w:leader="none"/>
        </w:tabs>
        <w:spacing w:line="244" w:lineRule="auto" w:before="0" w:after="0"/>
        <w:ind w:left="110" w:right="110" w:firstLine="0"/>
        <w:jc w:val="both"/>
        <w:rPr>
          <w:sz w:val="16"/>
        </w:rPr>
      </w:pPr>
      <w:r>
        <w:rPr>
          <w:color w:val="231F20"/>
          <w:sz w:val="16"/>
        </w:rPr>
        <w:t>Instituto</w:t>
      </w:r>
      <w:r>
        <w:rPr>
          <w:color w:val="231F20"/>
          <w:spacing w:val="-9"/>
          <w:sz w:val="16"/>
        </w:rPr>
        <w:t> </w:t>
      </w:r>
      <w:r>
        <w:rPr>
          <w:color w:val="231F20"/>
          <w:sz w:val="16"/>
        </w:rPr>
        <w:t>Nacional</w:t>
      </w:r>
      <w:r>
        <w:rPr>
          <w:color w:val="231F20"/>
          <w:spacing w:val="-9"/>
          <w:sz w:val="16"/>
        </w:rPr>
        <w:t> </w:t>
      </w:r>
      <w:r>
        <w:rPr>
          <w:color w:val="231F20"/>
          <w:sz w:val="16"/>
        </w:rPr>
        <w:t>para</w:t>
      </w:r>
      <w:r>
        <w:rPr>
          <w:color w:val="231F20"/>
          <w:spacing w:val="-9"/>
          <w:sz w:val="16"/>
        </w:rPr>
        <w:t> </w:t>
      </w:r>
      <w:r>
        <w:rPr>
          <w:color w:val="231F20"/>
          <w:sz w:val="16"/>
        </w:rPr>
        <w:t>el</w:t>
      </w:r>
      <w:r>
        <w:rPr>
          <w:color w:val="231F20"/>
          <w:spacing w:val="-9"/>
          <w:sz w:val="16"/>
        </w:rPr>
        <w:t> </w:t>
      </w:r>
      <w:r>
        <w:rPr>
          <w:color w:val="231F20"/>
          <w:sz w:val="16"/>
        </w:rPr>
        <w:t>Federalismo</w:t>
      </w:r>
      <w:r>
        <w:rPr>
          <w:color w:val="231F20"/>
          <w:spacing w:val="-9"/>
          <w:sz w:val="16"/>
        </w:rPr>
        <w:t> </w:t>
      </w:r>
      <w:r>
        <w:rPr>
          <w:color w:val="231F20"/>
          <w:sz w:val="16"/>
        </w:rPr>
        <w:t>y</w:t>
      </w:r>
      <w:r>
        <w:rPr>
          <w:color w:val="231F20"/>
          <w:spacing w:val="-9"/>
          <w:sz w:val="16"/>
        </w:rPr>
        <w:t> </w:t>
      </w:r>
      <w:r>
        <w:rPr>
          <w:color w:val="231F20"/>
          <w:sz w:val="16"/>
        </w:rPr>
        <w:t>el</w:t>
      </w:r>
      <w:r>
        <w:rPr>
          <w:color w:val="231F20"/>
          <w:spacing w:val="-9"/>
          <w:sz w:val="16"/>
        </w:rPr>
        <w:t> </w:t>
      </w:r>
      <w:r>
        <w:rPr>
          <w:color w:val="231F20"/>
          <w:sz w:val="16"/>
        </w:rPr>
        <w:t>Desarrollo</w:t>
      </w:r>
      <w:r>
        <w:rPr>
          <w:color w:val="231F20"/>
          <w:spacing w:val="-9"/>
          <w:sz w:val="16"/>
        </w:rPr>
        <w:t> </w:t>
      </w:r>
      <w:r>
        <w:rPr>
          <w:color w:val="231F20"/>
          <w:sz w:val="16"/>
        </w:rPr>
        <w:t>Municipal</w:t>
      </w:r>
      <w:r>
        <w:rPr>
          <w:color w:val="231F20"/>
          <w:spacing w:val="-9"/>
          <w:sz w:val="16"/>
        </w:rPr>
        <w:t> </w:t>
      </w:r>
      <w:r>
        <w:rPr>
          <w:color w:val="231F20"/>
          <w:sz w:val="16"/>
        </w:rPr>
        <w:t>que</w:t>
      </w:r>
      <w:r>
        <w:rPr>
          <w:color w:val="231F20"/>
          <w:spacing w:val="-9"/>
          <w:sz w:val="16"/>
        </w:rPr>
        <w:t> </w:t>
      </w:r>
      <w:r>
        <w:rPr>
          <w:color w:val="231F20"/>
          <w:sz w:val="16"/>
        </w:rPr>
        <w:t>forma</w:t>
      </w:r>
      <w:r>
        <w:rPr>
          <w:color w:val="231F20"/>
          <w:spacing w:val="-9"/>
          <w:sz w:val="16"/>
        </w:rPr>
        <w:t> </w:t>
      </w:r>
      <w:r>
        <w:rPr>
          <w:color w:val="231F20"/>
          <w:sz w:val="16"/>
        </w:rPr>
        <w:t>parte</w:t>
      </w:r>
      <w:r>
        <w:rPr>
          <w:color w:val="231F20"/>
          <w:spacing w:val="-9"/>
          <w:sz w:val="16"/>
        </w:rPr>
        <w:t> </w:t>
      </w:r>
      <w:r>
        <w:rPr>
          <w:color w:val="231F20"/>
          <w:sz w:val="16"/>
        </w:rPr>
        <w:t>la</w:t>
      </w:r>
      <w:r>
        <w:rPr>
          <w:color w:val="231F20"/>
          <w:spacing w:val="-9"/>
          <w:sz w:val="16"/>
        </w:rPr>
        <w:t> </w:t>
      </w:r>
      <w:r>
        <w:rPr>
          <w:color w:val="231F20"/>
          <w:sz w:val="16"/>
        </w:rPr>
        <w:t>Secretaría</w:t>
      </w:r>
      <w:r>
        <w:rPr>
          <w:color w:val="231F20"/>
          <w:spacing w:val="-9"/>
          <w:sz w:val="16"/>
        </w:rPr>
        <w:t> </w:t>
      </w:r>
      <w:r>
        <w:rPr>
          <w:color w:val="231F20"/>
          <w:sz w:val="16"/>
        </w:rPr>
        <w:t>de</w:t>
      </w:r>
      <w:r>
        <w:rPr>
          <w:color w:val="231F20"/>
          <w:spacing w:val="-9"/>
          <w:sz w:val="16"/>
        </w:rPr>
        <w:t> </w:t>
      </w:r>
      <w:r>
        <w:rPr>
          <w:color w:val="231F20"/>
          <w:sz w:val="16"/>
        </w:rPr>
        <w:t>Gobernación</w:t>
      </w:r>
      <w:r>
        <w:rPr>
          <w:color w:val="231F20"/>
          <w:spacing w:val="-9"/>
          <w:sz w:val="16"/>
        </w:rPr>
        <w:t> </w:t>
      </w:r>
      <w:r>
        <w:rPr>
          <w:color w:val="231F20"/>
          <w:sz w:val="16"/>
        </w:rPr>
        <w:t>federal.</w:t>
      </w:r>
      <w:r>
        <w:rPr>
          <w:color w:val="231F20"/>
          <w:spacing w:val="-9"/>
          <w:sz w:val="16"/>
        </w:rPr>
        <w:t> </w:t>
      </w:r>
      <w:r>
        <w:rPr>
          <w:color w:val="231F20"/>
          <w:sz w:val="16"/>
        </w:rPr>
        <w:t>Se puede</w:t>
      </w:r>
      <w:r>
        <w:rPr>
          <w:color w:val="231F20"/>
          <w:spacing w:val="-12"/>
          <w:sz w:val="16"/>
        </w:rPr>
        <w:t> </w:t>
      </w:r>
      <w:r>
        <w:rPr>
          <w:color w:val="231F20"/>
          <w:sz w:val="16"/>
        </w:rPr>
        <w:t>consultar</w:t>
      </w:r>
      <w:r>
        <w:rPr>
          <w:color w:val="231F20"/>
          <w:spacing w:val="-12"/>
          <w:sz w:val="16"/>
        </w:rPr>
        <w:t> </w:t>
      </w:r>
      <w:r>
        <w:rPr>
          <w:color w:val="231F20"/>
          <w:sz w:val="16"/>
        </w:rPr>
        <w:t>en</w:t>
      </w:r>
      <w:r>
        <w:rPr>
          <w:color w:val="231F20"/>
          <w:spacing w:val="-12"/>
          <w:sz w:val="16"/>
        </w:rPr>
        <w:t> </w:t>
      </w:r>
      <w:hyperlink r:id="rId84">
        <w:r>
          <w:rPr>
            <w:color w:val="231F20"/>
            <w:sz w:val="16"/>
          </w:rPr>
          <w:t>www.inafed.gob.mx.</w:t>
        </w:r>
      </w:hyperlink>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w w:val="105"/>
        </w:rPr>
        <w:t>financiera en base a los egresos del ayuntamiento.</w:t>
      </w:r>
    </w:p>
    <w:p>
      <w:pPr>
        <w:pStyle w:val="BodyText"/>
        <w:spacing w:before="2"/>
        <w:rPr>
          <w:sz w:val="30"/>
        </w:rPr>
      </w:pPr>
    </w:p>
    <w:p>
      <w:pPr>
        <w:pStyle w:val="BodyText"/>
        <w:spacing w:line="285" w:lineRule="auto"/>
        <w:ind w:left="110" w:right="107"/>
        <w:jc w:val="both"/>
      </w:pPr>
      <w:r>
        <w:rPr>
          <w:color w:val="231F20"/>
          <w:w w:val="105"/>
        </w:rPr>
        <w:t>La relación entre los ingresos </w:t>
      </w:r>
      <w:r>
        <w:rPr>
          <w:color w:val="231F20"/>
          <w:spacing w:val="-3"/>
          <w:w w:val="105"/>
        </w:rPr>
        <w:t>propios </w:t>
      </w:r>
      <w:r>
        <w:rPr>
          <w:color w:val="231F20"/>
          <w:w w:val="105"/>
        </w:rPr>
        <w:t>frente a los indirectos se caracterizó por dos as- pectos:</w:t>
      </w:r>
      <w:r>
        <w:rPr>
          <w:color w:val="231F20"/>
          <w:spacing w:val="-12"/>
          <w:w w:val="105"/>
        </w:rPr>
        <w:t> </w:t>
      </w:r>
      <w:r>
        <w:rPr>
          <w:color w:val="231F20"/>
          <w:w w:val="105"/>
        </w:rPr>
        <w:t>por</w:t>
      </w:r>
      <w:r>
        <w:rPr>
          <w:color w:val="231F20"/>
          <w:spacing w:val="-12"/>
          <w:w w:val="105"/>
        </w:rPr>
        <w:t> </w:t>
      </w:r>
      <w:r>
        <w:rPr>
          <w:color w:val="231F20"/>
          <w:w w:val="105"/>
        </w:rPr>
        <w:t>un</w:t>
      </w:r>
      <w:r>
        <w:rPr>
          <w:color w:val="231F20"/>
          <w:spacing w:val="-12"/>
          <w:w w:val="105"/>
        </w:rPr>
        <w:t> </w:t>
      </w:r>
      <w:r>
        <w:rPr>
          <w:color w:val="231F20"/>
          <w:w w:val="105"/>
        </w:rPr>
        <w:t>lado</w:t>
      </w:r>
      <w:r>
        <w:rPr>
          <w:color w:val="231F20"/>
          <w:spacing w:val="-12"/>
          <w:w w:val="105"/>
        </w:rPr>
        <w:t> </w:t>
      </w:r>
      <w:r>
        <w:rPr>
          <w:color w:val="231F20"/>
          <w:w w:val="105"/>
        </w:rPr>
        <w:t>se</w:t>
      </w:r>
      <w:r>
        <w:rPr>
          <w:color w:val="231F20"/>
          <w:spacing w:val="-12"/>
          <w:w w:val="105"/>
        </w:rPr>
        <w:t> </w:t>
      </w:r>
      <w:r>
        <w:rPr>
          <w:color w:val="231F20"/>
          <w:w w:val="105"/>
        </w:rPr>
        <w:t>observó</w:t>
      </w:r>
      <w:r>
        <w:rPr>
          <w:color w:val="231F20"/>
          <w:spacing w:val="-12"/>
          <w:w w:val="105"/>
        </w:rPr>
        <w:t> </w:t>
      </w:r>
      <w:r>
        <w:rPr>
          <w:color w:val="231F20"/>
          <w:w w:val="105"/>
        </w:rPr>
        <w:t>que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ingresos</w:t>
      </w:r>
      <w:r>
        <w:rPr>
          <w:color w:val="231F20"/>
          <w:spacing w:val="-12"/>
          <w:w w:val="105"/>
        </w:rPr>
        <w:t> </w:t>
      </w:r>
      <w:r>
        <w:rPr>
          <w:color w:val="231F20"/>
          <w:w w:val="105"/>
        </w:rPr>
        <w:t>municipales</w:t>
      </w:r>
      <w:r>
        <w:rPr>
          <w:color w:val="231F20"/>
          <w:spacing w:val="-12"/>
          <w:w w:val="105"/>
        </w:rPr>
        <w:t> </w:t>
      </w:r>
      <w:r>
        <w:rPr>
          <w:color w:val="231F20"/>
          <w:w w:val="105"/>
        </w:rPr>
        <w:t>fue</w:t>
      </w:r>
      <w:r>
        <w:rPr>
          <w:color w:val="231F20"/>
          <w:spacing w:val="-12"/>
          <w:w w:val="105"/>
        </w:rPr>
        <w:t> </w:t>
      </w:r>
      <w:r>
        <w:rPr>
          <w:color w:val="231F20"/>
          <w:w w:val="105"/>
        </w:rPr>
        <w:t>mayor</w:t>
      </w:r>
      <w:r>
        <w:rPr>
          <w:color w:val="231F20"/>
          <w:spacing w:val="-12"/>
          <w:w w:val="105"/>
        </w:rPr>
        <w:t> </w:t>
      </w:r>
      <w:r>
        <w:rPr>
          <w:color w:val="231F20"/>
          <w:w w:val="105"/>
        </w:rPr>
        <w:t>la</w:t>
      </w:r>
      <w:r>
        <w:rPr>
          <w:color w:val="231F20"/>
          <w:spacing w:val="-12"/>
          <w:w w:val="105"/>
        </w:rPr>
        <w:t> </w:t>
      </w:r>
      <w:r>
        <w:rPr>
          <w:color w:val="231F20"/>
          <w:spacing w:val="-3"/>
          <w:w w:val="105"/>
        </w:rPr>
        <w:t>proporción </w:t>
      </w:r>
      <w:r>
        <w:rPr>
          <w:color w:val="231F20"/>
          <w:w w:val="105"/>
        </w:rPr>
        <w:t>de los ingresos directos que de los indirectos Sin embargo, por otro lado, se registra una tendencia decreciente del peso de los ingresos directos en el total de los ingresos municipales frente a aquel de las aportaciones y participaciones federales y estatales. En el año </w:t>
      </w:r>
      <w:r>
        <w:rPr>
          <w:color w:val="231F20"/>
          <w:spacing w:val="2"/>
          <w:w w:val="105"/>
        </w:rPr>
        <w:t>2007 </w:t>
      </w:r>
      <w:r>
        <w:rPr>
          <w:color w:val="231F20"/>
          <w:w w:val="105"/>
        </w:rPr>
        <w:t>estas participaciones invirtieron su relación proporcional respecto de la</w:t>
      </w:r>
      <w:r>
        <w:rPr>
          <w:color w:val="231F20"/>
          <w:spacing w:val="-8"/>
          <w:w w:val="105"/>
        </w:rPr>
        <w:t> </w:t>
      </w:r>
      <w:r>
        <w:rPr>
          <w:color w:val="231F20"/>
          <w:w w:val="105"/>
        </w:rPr>
        <w:t>recaudación</w:t>
      </w:r>
      <w:r>
        <w:rPr>
          <w:color w:val="231F20"/>
          <w:spacing w:val="-8"/>
          <w:w w:val="105"/>
        </w:rPr>
        <w:t> </w:t>
      </w:r>
      <w:r>
        <w:rPr>
          <w:color w:val="231F20"/>
          <w:w w:val="105"/>
        </w:rPr>
        <w:t>local</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configuración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ingresos</w:t>
      </w:r>
      <w:r>
        <w:rPr>
          <w:color w:val="231F20"/>
          <w:spacing w:val="-8"/>
          <w:w w:val="105"/>
        </w:rPr>
        <w:t> </w:t>
      </w:r>
      <w:r>
        <w:rPr>
          <w:color w:val="231F20"/>
          <w:w w:val="105"/>
        </w:rPr>
        <w:t>del</w:t>
      </w:r>
      <w:r>
        <w:rPr>
          <w:color w:val="231F20"/>
          <w:spacing w:val="-8"/>
          <w:w w:val="105"/>
        </w:rPr>
        <w:t> </w:t>
      </w:r>
      <w:r>
        <w:rPr>
          <w:color w:val="231F20"/>
          <w:w w:val="105"/>
        </w:rPr>
        <w:t>municipio.</w:t>
      </w:r>
      <w:r>
        <w:rPr>
          <w:color w:val="231F20"/>
          <w:spacing w:val="-8"/>
          <w:w w:val="105"/>
        </w:rPr>
        <w:t> </w:t>
      </w:r>
      <w:r>
        <w:rPr>
          <w:color w:val="231F20"/>
          <w:spacing w:val="3"/>
          <w:w w:val="105"/>
        </w:rPr>
        <w:t>Al</w:t>
      </w:r>
      <w:r>
        <w:rPr>
          <w:color w:val="231F20"/>
          <w:spacing w:val="-8"/>
          <w:w w:val="105"/>
        </w:rPr>
        <w:t> </w:t>
      </w:r>
      <w:r>
        <w:rPr>
          <w:color w:val="231F20"/>
          <w:w w:val="105"/>
        </w:rPr>
        <w:t>final,</w:t>
      </w:r>
      <w:r>
        <w:rPr>
          <w:color w:val="231F20"/>
          <w:spacing w:val="-8"/>
          <w:w w:val="105"/>
        </w:rPr>
        <w:t> </w:t>
      </w:r>
      <w:r>
        <w:rPr>
          <w:color w:val="231F20"/>
          <w:w w:val="105"/>
        </w:rPr>
        <w:t>ante</w:t>
      </w:r>
      <w:r>
        <w:rPr>
          <w:color w:val="231F20"/>
          <w:spacing w:val="-8"/>
          <w:w w:val="105"/>
        </w:rPr>
        <w:t> </w:t>
      </w:r>
      <w:r>
        <w:rPr>
          <w:color w:val="231F20"/>
          <w:w w:val="105"/>
        </w:rPr>
        <w:t>el crecimiento</w:t>
      </w:r>
      <w:r>
        <w:rPr>
          <w:color w:val="231F20"/>
          <w:spacing w:val="-5"/>
          <w:w w:val="105"/>
        </w:rPr>
        <w:t> </w:t>
      </w:r>
      <w:r>
        <w:rPr>
          <w:color w:val="231F20"/>
          <w:w w:val="105"/>
        </w:rPr>
        <w:t>constante</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egresos,</w:t>
      </w:r>
      <w:r>
        <w:rPr>
          <w:color w:val="231F20"/>
          <w:spacing w:val="-5"/>
          <w:w w:val="105"/>
        </w:rPr>
        <w:t> </w:t>
      </w:r>
      <w:r>
        <w:rPr>
          <w:color w:val="231F20"/>
          <w:w w:val="105"/>
        </w:rPr>
        <w:t>el</w:t>
      </w:r>
      <w:r>
        <w:rPr>
          <w:color w:val="231F20"/>
          <w:spacing w:val="-5"/>
          <w:w w:val="105"/>
        </w:rPr>
        <w:t> </w:t>
      </w:r>
      <w:r>
        <w:rPr>
          <w:color w:val="231F20"/>
          <w:w w:val="105"/>
        </w:rPr>
        <w:t>gobierno</w:t>
      </w:r>
      <w:r>
        <w:rPr>
          <w:color w:val="231F20"/>
          <w:spacing w:val="-5"/>
          <w:w w:val="105"/>
        </w:rPr>
        <w:t> </w:t>
      </w:r>
      <w:r>
        <w:rPr>
          <w:color w:val="231F20"/>
          <w:w w:val="105"/>
        </w:rPr>
        <w:t>huixquiluquense</w:t>
      </w:r>
      <w:r>
        <w:rPr>
          <w:color w:val="231F20"/>
          <w:spacing w:val="-5"/>
          <w:w w:val="105"/>
        </w:rPr>
        <w:t> </w:t>
      </w:r>
      <w:r>
        <w:rPr>
          <w:color w:val="231F20"/>
          <w:w w:val="105"/>
        </w:rPr>
        <w:t>está</w:t>
      </w:r>
      <w:r>
        <w:rPr>
          <w:color w:val="231F20"/>
          <w:spacing w:val="-5"/>
          <w:w w:val="105"/>
        </w:rPr>
        <w:t> </w:t>
      </w:r>
      <w:r>
        <w:rPr>
          <w:color w:val="231F20"/>
          <w:w w:val="105"/>
        </w:rPr>
        <w:t>comenzando</w:t>
      </w:r>
      <w:r>
        <w:rPr>
          <w:color w:val="231F20"/>
          <w:spacing w:val="-5"/>
          <w:w w:val="105"/>
        </w:rPr>
        <w:t> </w:t>
      </w:r>
      <w:r>
        <w:rPr>
          <w:color w:val="231F20"/>
          <w:w w:val="105"/>
        </w:rPr>
        <w:t>a depender</w:t>
      </w:r>
      <w:r>
        <w:rPr>
          <w:color w:val="231F20"/>
          <w:spacing w:val="-15"/>
          <w:w w:val="105"/>
        </w:rPr>
        <w:t> </w:t>
      </w:r>
      <w:r>
        <w:rPr>
          <w:color w:val="231F20"/>
          <w:w w:val="105"/>
        </w:rPr>
        <w:t>cada</w:t>
      </w:r>
      <w:r>
        <w:rPr>
          <w:color w:val="231F20"/>
          <w:spacing w:val="-15"/>
          <w:w w:val="105"/>
        </w:rPr>
        <w:t> </w:t>
      </w:r>
      <w:r>
        <w:rPr>
          <w:color w:val="231F20"/>
          <w:w w:val="105"/>
        </w:rPr>
        <w:t>vez</w:t>
      </w:r>
      <w:r>
        <w:rPr>
          <w:color w:val="231F20"/>
          <w:spacing w:val="-15"/>
          <w:w w:val="105"/>
        </w:rPr>
        <w:t> </w:t>
      </w:r>
      <w:r>
        <w:rPr>
          <w:color w:val="231F20"/>
          <w:w w:val="105"/>
        </w:rPr>
        <w:t>más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ingresos</w:t>
      </w:r>
      <w:r>
        <w:rPr>
          <w:color w:val="231F20"/>
          <w:spacing w:val="-15"/>
          <w:w w:val="105"/>
        </w:rPr>
        <w:t> </w:t>
      </w:r>
      <w:r>
        <w:rPr>
          <w:color w:val="231F20"/>
          <w:w w:val="105"/>
        </w:rPr>
        <w:t>indirectos</w:t>
      </w:r>
      <w:r>
        <w:rPr>
          <w:color w:val="231F20"/>
          <w:spacing w:val="-15"/>
          <w:w w:val="105"/>
        </w:rPr>
        <w:t> </w:t>
      </w:r>
      <w:r>
        <w:rPr>
          <w:color w:val="231F20"/>
          <w:w w:val="105"/>
        </w:rPr>
        <w:t>(gráfica</w:t>
      </w:r>
      <w:r>
        <w:rPr>
          <w:color w:val="231F20"/>
          <w:spacing w:val="-15"/>
          <w:w w:val="105"/>
        </w:rPr>
        <w:t> </w:t>
      </w:r>
      <w:r>
        <w:rPr>
          <w:color w:val="231F20"/>
          <w:spacing w:val="-5"/>
          <w:w w:val="105"/>
        </w:rPr>
        <w:t>4).</w:t>
      </w:r>
    </w:p>
    <w:p>
      <w:pPr>
        <w:pStyle w:val="BodyText"/>
        <w:spacing w:before="1"/>
        <w:rPr>
          <w:sz w:val="26"/>
        </w:rPr>
      </w:pPr>
    </w:p>
    <w:p>
      <w:pPr>
        <w:pStyle w:val="Heading5"/>
        <w:ind w:left="334" w:right="-2"/>
      </w:pPr>
      <w:r>
        <w:rPr/>
        <w:pict>
          <v:group style="position:absolute;margin-left:71.253494pt;margin-top:38.38232pt;width:287.05pt;height:106.6pt;mso-position-horizontal-relative:page;mso-position-vertical-relative:paragraph;z-index:4144" coordorigin="1425,768" coordsize="5741,2132">
            <v:rect style="position:absolute;left:1504;top:778;width:5651;height:1934" filled="true" fillcolor="#bcbec0" stroked="false">
              <v:fill type="solid"/>
            </v:rect>
            <v:rect style="position:absolute;left:1504;top:778;width:5651;height:1934" filled="false" stroked="true" strokeweight="1pt" strokecolor="#231f20"/>
            <v:shape style="position:absolute;left:0;top:7294;width:5726;height:1972" coordorigin="0,7294" coordsize="5726,1972" path="m1430,777l7156,777m1430,1021l7156,1021m1430,1274l7156,1274m1430,1512l7156,1512m1430,1740l7156,1740m1430,1988l7156,1988m1430,2226l7156,2226m1430,2469l7156,2469m1430,2712l7156,2712m2219,2749l2219,2712m2917,2749l2917,2712m3626,2749l3626,2712m4337,2749l4337,2712m5035,2749l5035,2712m5743,2749l5743,2712m6443,2749l6443,2712m7156,2749l7156,2712m1504,2749l1504,2712e" filled="false" stroked="true" strokeweight=".5pt" strokecolor="#231f20">
              <v:path arrowok="t"/>
            </v:shape>
            <v:line style="position:absolute" from="1844,999" to="1900,1011" stroked="true" strokeweight="1.0pt" strokecolor="#231f20"/>
            <v:line style="position:absolute" from="2012,1036" to="6681,2058" stroked="true" strokeweight="1pt" strokecolor="#231f20">
              <v:stroke dashstyle="longDash"/>
            </v:line>
            <v:line style="position:absolute" from="6737,2071" to="6793,2082" stroked="true" strokeweight="1.0pt" strokecolor="#231f20"/>
            <v:shape style="position:absolute;left:1703;top:2803;width:5215;height:97" coordorigin="1703,2803" coordsize="5215,97" path="m1767,2824l1765,2817,1761,2814,1755,2806,1747,2803,1723,2803,1714,2807,1707,2822,1705,2828,1705,2836,1717,2836,1717,2831,1718,2826,1723,2817,1728,2814,1742,2814,1746,2815,1752,2822,1754,2826,1754,2836,1752,2840,1746,2846,1743,2849,1716,2864,1710,2870,1705,2881,1703,2888,1703,2896,1767,2896,1767,2885,1716,2885,1717,2881,1720,2877,1724,2873,1726,2871,1730,2868,1751,2857,1756,2853,1764,2845,1767,2838,1767,2824m1841,2836l1839,2826,1832,2814,1829,2808,1828,2808,1828,2840,1828,2865,1826,2875,1819,2886,1814,2888,1801,2888,1795,2884,1790,2869,1789,2862,1789,2840,1791,2830,1797,2817,1802,2814,1817,2814,1822,2817,1827,2831,1828,2840,1828,2808,1821,2803,1795,2803,1786,2810,1778,2832,1777,2841,1777,2865,1779,2876,1789,2894,1797,2899,1821,2899,1830,2893,1832,2888,1839,2873,1841,2862,1841,2836m1915,2836l1913,2826,1906,2814,1903,2808,1902,2808,1902,2840,1902,2865,1901,2875,1893,2886,1888,2888,1875,2888,1870,2884,1864,2869,1863,2862,1863,2840,1865,2830,1871,2817,1876,2814,1891,2814,1896,2817,1901,2831,1902,2840,1902,2808,1895,2803,1869,2803,1860,2810,1852,2832,1851,2841,1851,2865,1853,2876,1863,2894,1871,2899,1895,2899,1904,2893,1906,2888,1913,2873,1915,2862,1915,2836m1968,2804l1958,2804,1957,2811,1954,2815,1948,2819,1942,2821,1933,2822,1933,2830,1955,2830,1955,2896,1968,2896,1968,2804m2465,2824l2462,2817,2459,2814,2452,2806,2444,2803,2421,2803,2412,2807,2404,2822,2403,2828,2403,2836,2414,2836,2415,2831,2415,2826,2420,2817,2426,2814,2439,2814,2444,2815,2450,2822,2452,2826,2452,2836,2450,2840,2444,2846,2440,2849,2414,2864,2408,2870,2402,2881,2401,2888,2400,2896,2464,2896,2464,2885,2413,2885,2414,2881,2417,2877,2421,2873,2424,2871,2427,2868,2448,2857,2454,2853,2462,2845,2465,2838,2465,2824m2538,2836l2536,2826,2530,2814,2527,2808,2526,2808,2526,2840,2526,2865,2524,2875,2517,2886,2512,2888,2498,2888,2493,2884,2488,2869,2487,2862,2487,2840,2488,2830,2495,2817,2500,2814,2514,2814,2519,2817,2525,2831,2526,2840,2526,2808,2518,2803,2493,2803,2483,2810,2476,2832,2474,2841,2474,2865,2477,2876,2487,2894,2495,2899,2518,2899,2527,2893,2530,2888,2537,2873,2538,2862,2538,2836m2613,2836l2610,2826,2604,2814,2601,2808,2600,2808,2600,2840,2600,2865,2598,2875,2591,2886,2586,2888,2572,2888,2567,2884,2562,2869,2561,2862,2561,2840,2563,2830,2569,2817,2574,2814,2588,2814,2593,2817,2599,2831,2600,2840,2600,2808,2592,2803,2567,2803,2558,2810,2550,2832,2548,2841,2548,2865,2551,2876,2561,2894,2569,2899,2592,2899,2601,2893,2604,2888,2611,2873,2613,2862,2613,2836m2687,2824l2684,2817,2681,2814,2674,2806,2667,2803,2643,2803,2634,2807,2626,2822,2625,2828,2625,2836,2637,2836,2637,2831,2638,2826,2642,2817,2648,2814,2661,2814,2666,2815,2672,2822,2674,2826,2674,2836,2672,2840,2666,2846,2662,2849,2636,2864,2630,2870,2624,2881,2623,2888,2622,2896,2686,2896,2686,2885,2635,2885,2637,2881,2639,2877,2644,2873,2646,2871,2649,2868,2670,2857,2676,2853,2684,2845,2687,2838,2687,2824m3167,2824l3164,2817,3161,2814,3154,2806,3146,2803,3123,2803,3114,2807,3106,2822,3105,2828,3104,2836,3116,2836,3117,2831,3117,2826,3122,2817,3128,2814,3141,2814,3145,2815,3152,2822,3154,2826,3153,2836,3152,2840,3146,2846,3142,2849,3116,2864,3110,2870,3104,2881,3103,2888,3102,2896,3166,2896,3166,2885,3115,2885,3116,2881,3119,2877,3123,2873,3126,2871,3129,2868,3150,2857,3156,2853,3164,2845,3167,2838,3167,2824m3240,2836l3238,2826,3232,2814,3229,2808,3228,2808,3228,2840,3228,2865,3226,2875,3219,2886,3214,2888,3200,2888,3195,2884,3190,2869,3189,2862,3189,2840,3190,2830,3197,2817,3202,2814,3216,2814,3221,2817,3227,2831,3228,2840,3228,2808,3220,2803,3195,2803,3185,2810,3178,2832,3176,2841,3176,2865,3179,2876,3189,2894,3197,2899,3220,2899,3229,2893,3232,2888,3239,2873,3240,2862,3240,2836m3314,2836l3312,2826,3306,2814,3303,2808,3302,2808,3302,2840,3302,2865,3300,2875,3293,2886,3288,2888,3274,2888,3269,2884,3264,2869,3263,2862,3263,2840,3264,2830,3271,2817,3276,2814,3290,2814,3295,2817,3301,2831,3302,2840,3302,2808,3294,2803,3269,2803,3259,2810,3252,2832,3250,2841,3250,2865,3253,2876,3263,2894,3271,2899,3294,2899,3303,2893,3306,2888,3313,2873,3314,2862,3314,2836m3388,2863l3387,2859,3383,2853,3382,2851,3378,2848,3373,2847,3376,2846,3378,2844,3379,2843,3383,2838,3385,2834,3385,2820,3382,2814,3382,2814,3372,2805,3364,2803,3343,2803,3335,2808,3330,2816,3327,2821,3326,2827,3326,2834,3337,2834,3337,2829,3338,2825,3343,2816,3348,2814,3361,2814,3364,2815,3371,2820,3373,2824,3373,2835,3370,2839,3362,2843,3359,2843,3351,2843,3349,2843,3349,2853,3361,2853,3366,2855,3374,2860,3376,2864,3376,2876,3374,2880,3366,2887,3362,2888,3347,2888,3342,2886,3339,2881,3337,2878,3336,2874,3336,2868,3323,2868,3323,2876,3326,2884,3336,2896,3344,2899,3365,2899,3374,2896,3382,2888,3385,2885,3388,2878,3388,2863m3878,2824l3875,2817,3872,2814,3866,2806,3858,2803,3834,2803,3825,2807,3817,2822,3816,2828,3816,2836,3828,2836,3828,2831,3829,2826,3833,2817,3839,2814,3852,2814,3857,2815,3863,2822,3865,2826,3865,2836,3863,2840,3857,2846,3853,2849,3827,2864,3821,2870,3816,2881,3814,2888,3813,2896,3877,2896,3877,2885,3827,2885,3828,2881,3830,2877,3835,2873,3837,2871,3841,2868,3862,2857,3867,2853,3875,2845,3878,2838,3878,2824m3952,2836l3950,2826,3943,2814,3940,2808,3939,2808,3939,2840,3939,2865,3937,2875,3930,2886,3925,2888,3912,2888,3906,2884,3901,2869,3900,2862,3900,2840,3902,2830,3908,2817,3913,2814,3928,2814,3933,2817,3938,2831,3939,2840,3939,2808,3931,2803,3906,2803,3897,2810,3889,2832,3888,2841,3888,2865,3890,2876,3900,2894,3908,2899,3932,2899,3941,2893,3943,2888,3950,2873,3952,2862,3952,2836m4026,2836l4024,2826,4017,2814,4014,2808,4013,2808,4013,2840,4013,2865,4011,2875,4004,2886,3999,2888,3986,2888,3980,2884,3975,2869,3974,2862,3974,2840,3976,2830,3982,2817,3987,2814,4002,2814,4007,2817,4012,2831,4013,2840,4013,2808,4005,2803,3980,2803,3971,2810,3963,2832,3962,2841,3962,2865,3964,2876,3974,2894,3982,2899,4006,2899,4015,2893,4017,2888,4024,2873,4026,2862,4026,2836m4101,2863l4087,2863,4087,2821,4087,2803,4077,2803,4075,2806,4075,2821,4075,2863,4046,2863,4075,2821,4075,2806,4035,2862,4035,2874,4076,2874,4076,2896,4087,2896,4087,2874,4101,2874,4101,2863m4579,2824l4577,2817,4574,2814,4567,2806,4559,2803,4536,2803,4527,2807,4519,2822,4517,2828,4517,2836,4529,2836,4529,2831,4530,2826,4535,2817,4540,2814,4554,2814,4558,2815,4565,2822,4566,2826,4566,2836,4564,2840,4559,2846,4555,2849,4528,2864,4523,2870,4517,2881,4515,2888,4515,2896,4579,2896,4579,2885,4528,2885,4529,2881,4532,2877,4539,2871,4542,2868,4563,2857,4568,2853,4577,2845,4579,2838,4579,2824m4653,2836l4651,2826,4645,2814,4642,2808,4641,2808,4641,2840,4640,2865,4639,2875,4632,2886,4627,2888,4613,2888,4608,2884,4603,2869,4602,2862,4602,2840,4603,2830,4609,2817,4615,2814,4629,2814,4634,2817,4639,2831,4641,2840,4641,2808,4633,2803,4607,2803,4598,2810,4593,2825,4590,2832,4589,2841,4589,2865,4591,2876,4601,2894,4610,2899,4633,2899,4642,2893,4644,2888,4647,2881,4651,2873,4653,2862,4653,2836m4727,2836l4725,2826,4719,2814,4716,2808,4715,2808,4715,2840,4714,2865,4713,2875,4706,2886,4701,2888,4687,2888,4682,2884,4677,2869,4676,2862,4676,2840,4677,2830,4684,2817,4689,2814,4703,2814,4708,2817,4713,2831,4715,2840,4715,2808,4707,2803,4681,2803,4672,2810,4667,2825,4664,2832,4663,2841,4663,2865,4665,2876,4675,2894,4684,2899,4707,2899,4716,2893,4718,2888,4722,2881,4725,2873,4727,2862,4727,2836m4801,2857l4798,2850,4795,2847,4790,2842,4786,2839,4779,2836,4766,2836,4762,2837,4759,2838,4757,2839,4755,2840,4752,2842,4756,2816,4796,2816,4796,2805,4748,2805,4741,2855,4751,2856,4753,2853,4755,2851,4761,2848,4764,2847,4774,2847,4779,2849,4787,2856,4789,2861,4789,2873,4787,2877,4780,2886,4775,2888,4765,2888,4761,2888,4753,2884,4750,2879,4749,2873,4737,2873,4738,2882,4741,2888,4753,2897,4759,2899,4779,2899,4788,2895,4793,2888,4799,2882,4801,2874,4801,2857m5293,2824l5290,2817,5287,2814,5280,2806,5273,2803,5249,2803,5240,2807,5232,2822,5231,2828,5231,2836,5243,2836,5243,2831,5244,2826,5248,2817,5254,2814,5267,2814,5272,2815,5278,2822,5280,2826,5280,2836,5278,2840,5272,2846,5268,2849,5242,2864,5236,2870,5231,2881,5229,2888,5228,2896,5292,2896,5292,2885,5241,2885,5243,2881,5245,2877,5252,2871,5255,2868,5276,2857,5282,2853,5290,2845,5293,2838,5293,2824m5367,2836l5365,2826,5358,2814,5355,2808,5354,2808,5354,2840,5354,2865,5352,2875,5345,2886,5340,2888,5327,2888,5321,2884,5316,2869,5315,2862,5315,2840,5317,2830,5323,2817,5328,2814,5342,2814,5348,2817,5353,2831,5354,2840,5354,2808,5346,2803,5321,2803,5312,2810,5307,2825,5304,2832,5302,2841,5302,2865,5305,2876,5315,2894,5323,2899,5347,2899,5356,2893,5358,2888,5361,2881,5365,2873,5367,2862,5367,2836m5441,2836l5439,2826,5432,2814,5429,2808,5428,2808,5428,2840,5428,2865,5426,2875,5419,2886,5414,2888,5401,2888,5395,2884,5390,2869,5389,2862,5389,2840,5391,2830,5397,2817,5402,2814,5417,2814,5422,2817,5427,2831,5428,2840,5428,2808,5420,2803,5395,2803,5386,2810,5381,2825,5378,2832,5376,2841,5376,2865,5379,2876,5389,2894,5397,2899,5421,2899,5430,2893,5432,2888,5435,2881,5439,2873,5441,2862,5441,2836m5515,2857l5512,2849,5510,2847,5503,2841,5503,2863,5503,2873,5501,2878,5495,2886,5491,2888,5478,2888,5474,2886,5467,2878,5465,2873,5465,2861,5467,2856,5474,2849,5477,2848,5479,2847,5491,2847,5496,2850,5501,2858,5503,2863,5503,2841,5501,2839,5494,2837,5481,2837,5477,2838,5474,2839,5470,2841,5466,2844,5463,2848,5464,2839,5464,2837,5466,2828,5474,2816,5479,2813,5491,2813,5495,2815,5500,2821,5501,2824,5502,2828,5513,2828,5513,2822,5511,2816,5509,2813,5503,2806,5496,2803,5471,2803,5461,2811,5453,2834,5451,2844,5451,2871,5455,2882,5467,2896,5475,2899,5494,2899,5501,2896,5507,2888,5512,2883,5515,2875,5515,2857m5984,2824l5982,2817,5979,2814,5972,2806,5964,2803,5941,2803,5932,2807,5924,2822,5922,2828,5922,2836,5934,2836,5934,2831,5935,2826,5940,2817,5946,2814,5959,2814,5963,2815,5970,2822,5971,2826,5971,2836,5970,2840,5964,2846,5960,2849,5934,2864,5928,2870,5922,2881,5920,2888,5920,2896,5984,2896,5984,2885,5933,2885,5934,2881,5937,2877,5941,2873,5944,2871,5947,2868,5968,2857,5973,2853,5982,2845,5984,2838,5984,2824m6058,2836l6056,2826,6050,2814,6047,2808,6046,2808,6046,2840,6046,2865,6044,2875,6037,2886,6032,2888,6018,2888,6013,2884,6008,2869,6007,2862,6007,2840,6008,2830,6015,2817,6020,2814,6034,2814,6039,2817,6044,2831,6046,2840,6046,2808,6038,2803,6013,2803,6003,2810,5998,2825,5995,2832,5994,2841,5994,2865,5996,2876,6006,2894,6015,2899,6038,2899,6047,2893,6049,2888,6053,2881,6056,2873,6058,2862,6058,2836m6132,2836l6130,2826,6124,2814,6121,2808,6120,2808,6120,2840,6120,2865,6118,2875,6111,2886,6106,2888,6092,2888,6087,2884,6082,2869,6081,2862,6081,2840,6082,2830,6089,2817,6094,2814,6108,2814,6113,2817,6118,2831,6120,2840,6120,2808,6112,2803,6087,2803,6077,2810,6072,2825,6069,2832,6068,2841,6068,2865,6070,2876,6080,2894,6089,2899,6112,2899,6121,2893,6123,2888,6127,2881,6130,2873,6132,2862,6132,2836m6208,2805l6143,2805,6143,2817,6194,2817,6188,2824,6182,2833,6176,2843,6169,2857,6163,2870,6159,2883,6156,2896,6169,2896,6171,2887,6173,2880,6176,2869,6179,2862,6183,2853,6186,2845,6191,2837,6201,2823,6205,2818,6208,2815,6208,2805m6695,2824l6693,2817,6690,2814,6683,2806,6675,2803,6652,2803,6643,2807,6635,2822,6634,2828,6633,2836,6645,2836,6645,2831,6646,2826,6651,2817,6657,2814,6670,2814,6674,2815,6681,2822,6683,2826,6682,2836,6681,2840,6675,2846,6671,2849,6645,2864,6639,2870,6633,2881,6632,2888,6631,2896,6695,2896,6695,2885,6644,2885,6645,2881,6648,2877,6652,2873,6655,2871,6658,2868,6679,2857,6685,2853,6693,2845,6695,2838,6695,2824m6769,2836l6767,2826,6761,2814,6758,2808,6757,2808,6757,2840,6757,2865,6755,2875,6748,2886,6743,2888,6729,2888,6724,2884,6719,2869,6718,2862,6718,2840,6719,2830,6726,2817,6731,2814,6745,2814,6750,2817,6755,2831,6757,2840,6757,2808,6749,2803,6724,2803,6714,2810,6709,2825,6707,2832,6705,2841,6705,2865,6707,2876,6717,2894,6726,2899,6749,2899,6758,2893,6760,2888,6764,2881,6767,2873,6769,2862,6769,2836m6843,2836l6841,2826,6835,2814,6832,2808,6831,2808,6831,2840,6831,2865,6829,2875,6822,2886,6817,2888,6803,2888,6798,2884,6793,2869,6792,2862,6792,2840,6793,2830,6800,2817,6805,2814,6819,2814,6824,2817,6827,2825,6830,2831,6831,2840,6831,2808,6823,2803,6798,2803,6788,2810,6783,2825,6781,2832,6779,2841,6779,2865,6781,2876,6792,2894,6800,2899,6823,2899,6832,2893,6835,2888,6838,2881,6842,2873,6843,2862,6843,2836m6917,2863l6915,2857,6911,2853,6909,2850,6906,2848,6905,2848,6905,2877,6903,2881,6899,2884,6896,2887,6891,2888,6879,2888,6874,2887,6868,2880,6866,2875,6866,2865,6868,2860,6875,2854,6880,2853,6891,2853,6896,2854,6903,2860,6905,2865,6905,2877,6905,2848,6902,2847,6905,2845,6908,2843,6908,2842,6913,2837,6914,2833,6914,2820,6912,2815,6910,2814,6902,2806,6902,2824,6902,2832,6900,2835,6894,2841,6890,2842,6881,2842,6877,2841,6871,2836,6869,2833,6869,2824,6870,2821,6875,2815,6879,2814,6891,2814,6895,2815,6900,2821,6902,2824,6902,2806,6901,2805,6894,2803,6876,2803,6869,2806,6859,2816,6857,2821,6857,2834,6858,2838,6864,2844,6866,2845,6869,2847,6864,2849,6860,2852,6855,2860,6853,2865,6853,2880,6857,2887,6869,2897,6877,2899,6896,2899,6904,2896,6911,2888,6915,2885,6917,2878,6917,2863e" filled="true" fillcolor="#231f20" stroked="false">
              <v:path arrowok="t"/>
              <v:fill type="solid"/>
            </v:shape>
            <v:shape style="position:absolute;left:1844;top:999;width:4949;height:1573" coordorigin="1844,999" coordsize="4949,1573" path="m1844,1156l2566,999,3261,1631,3978,1484,4668,1142,5371,1522,6080,2572,6793,1945e" filled="false" stroked="true" strokeweight="1pt" strokecolor="#00aeef">
              <v:path arrowok="t"/>
            </v:shape>
            <w10:wrap type="none"/>
          </v:group>
        </w:pict>
      </w:r>
      <w:r>
        <w:rPr/>
        <w:pict>
          <v:group style="position:absolute;margin-left:362.332214pt;margin-top:35.540321pt;width:74.75pt;height:35.3pt;mso-position-horizontal-relative:page;mso-position-vertical-relative:paragraph;z-index:4168" coordorigin="7247,711" coordsize="1495,706">
            <v:shape style="position:absolute;left:8076;top:718;width:181;height:84" coordorigin="8076,718" coordsize="181,84" path="m8169,798l8166,797,8165,795,8163,791,8163,789,8162,770,8161,767,8158,765,8156,762,8153,761,8148,759,8154,758,8157,755,8157,755,8163,749,8164,745,8164,730,8162,727,8159,724,8149,721,8149,735,8149,746,8147,750,8139,754,8133,755,8092,755,8092,727,8133,727,8137,728,8146,731,8149,735,8149,721,8143,719,8136,718,8076,718,8076,800,8092,800,8092,765,8132,765,8136,765,8144,768,8147,771,8148,794,8148,796,8149,798,8149,799,8150,800,8169,800,8169,798m8257,773l8257,765,8256,763,8256,760,8255,756,8253,752,8248,747,8247,746,8243,744,8243,743,8243,765,8197,765,8197,761,8197,760,8200,756,8208,749,8213,747,8229,747,8235,750,8241,757,8242,761,8243,765,8243,743,8232,740,8226,739,8209,739,8200,742,8185,754,8182,761,8182,781,8185,788,8200,799,8208,802,8223,802,8226,801,8230,801,8236,800,8241,798,8245,795,8248,793,8250,791,8254,786,8255,783,8256,781,8242,781,8241,784,8239,786,8237,788,8233,791,8227,793,8212,793,8206,791,8199,784,8197,779,8197,773,8257,773e" filled="true" fillcolor="#231f20" stroked="false">
              <v:path arrowok="t"/>
              <v:fill type="solid"/>
            </v:shape>
            <v:line style="position:absolute" from="8282,718" to="8282,800" stroked="true" strokeweight=".693pt" strokecolor="#231f20"/>
            <v:shape style="position:absolute;left:8305;top:716;width:361;height:86" coordorigin="8305,716" coordsize="361,86" path="m8383,793l8383,793,8377,793,8376,793,8375,792,8375,791,8374,791,8374,769,8374,749,8373,747,8371,745,8359,740,8351,739,8333,739,8326,740,8313,746,8310,751,8310,758,8323,758,8323,755,8324,753,8329,748,8334,747,8348,747,8352,748,8359,751,8361,753,8361,758,8361,760,8360,760,8360,769,8360,784,8357,788,8344,792,8340,793,8331,793,8327,792,8321,789,8320,787,8320,780,8322,777,8329,774,8333,774,8349,772,8351,772,8357,771,8359,770,8360,769,8360,760,8359,762,8357,763,8324,766,8317,768,8308,774,8305,779,8305,789,8308,793,8318,800,8324,802,8338,802,8344,801,8354,797,8358,794,8360,793,8361,792,8362,794,8362,796,8366,800,8369,801,8377,801,8380,801,8381,800,8383,800,8383,793,8383,793m8462,760l8461,752,8458,747,8457,746,8446,740,8438,738,8418,738,8409,741,8395,753,8392,761,8391,780,8395,787,8407,799,8416,801,8436,801,8444,800,8456,793,8457,792,8460,786,8462,779,8449,779,8447,783,8445,786,8438,791,8434,793,8420,793,8415,791,8408,783,8406,778,8406,766,8407,761,8414,750,8420,747,8435,747,8440,748,8446,753,8448,756,8449,760,8462,760m8490,740l8476,740,8476,800,8490,800,8490,740m8490,718l8476,718,8476,729,8490,729,8490,718m8560,716l8543,716,8529,732,8540,732,8560,716m8582,759l8578,751,8572,747,8567,743,8567,763,8567,775,8565,781,8559,791,8552,793,8535,793,8529,791,8521,783,8520,777,8520,764,8521,759,8529,749,8535,747,8553,747,8560,750,8563,755,8566,759,8567,763,8567,743,8563,741,8554,738,8532,738,8523,741,8509,753,8505,761,8505,781,8509,788,8522,799,8531,802,8556,802,8566,799,8571,793,8578,786,8582,778,8582,759m8666,800l8666,755,8665,751,8663,748,8658,742,8650,739,8633,739,8629,739,8620,742,8616,745,8612,748,8612,740,8599,740,8599,800,8612,800,8612,765,8613,762,8614,757,8616,755,8621,751,8624,749,8628,748,8630,748,8633,748,8643,748,8647,750,8649,753,8651,755,8652,758,8652,800,8666,800e" filled="true" fillcolor="#231f20" stroked="false">
              <v:path arrowok="t"/>
              <v:fill type="solid"/>
            </v:shape>
            <v:shape style="position:absolute;left:8078;top:862;width:584;height:115" type="#_x0000_t75" stroked="false">
              <v:imagedata r:id="rId85" o:title=""/>
            </v:shape>
            <v:shape style="position:absolute;left:8075;top:1022;width:561;height:85" coordorigin="8075,1022" coordsize="561,85" path="m8168,1051l8164,1041,8154,1032,8152,1030,8152,1054,8152,1066,8151,1069,8151,1072,8149,1077,8147,1082,8141,1089,8136,1092,8130,1093,8127,1094,8123,1094,8091,1094,8091,1032,8129,1032,8138,1034,8149,1046,8152,1054,8152,1030,8148,1026,8136,1022,8075,1022,8075,1104,8120,1104,8134,1103,8145,1099,8152,1094,8154,1093,8161,1085,8165,1078,8168,1070,8168,1051m8201,1045l8187,1045,8187,1104,8201,1104,8201,1045m8201,1022l8187,1022,8187,1033,8201,1033,8201,1022m8262,1043l8252,1043,8247,1044,8239,1050,8236,1053,8235,1055,8235,1044,8222,1044,8222,1104,8236,1104,8236,1065,8238,1062,8245,1055,8247,1055,8251,1054,8260,1054,8262,1054,8262,1054,8262,1043m8344,1077l8344,1069,8344,1067,8343,1064,8342,1060,8340,1057,8336,1052,8335,1050,8331,1048,8330,1048,8330,1069,8285,1069,8285,1066,8285,1064,8287,1060,8296,1053,8301,1052,8316,1052,8322,1054,8328,1062,8329,1065,8330,1069,8330,1048,8320,1044,8314,1043,8297,1043,8287,1046,8273,1058,8269,1066,8270,1085,8273,1093,8287,1103,8296,1106,8310,1106,8314,1106,8323,1104,8329,1102,8333,1099,8335,1097,8338,1095,8342,1090,8343,1087,8343,1085,8330,1085,8329,1088,8327,1090,8324,1092,8320,1096,8314,1097,8300,1097,8294,1096,8287,1088,8285,1083,8284,1077,8344,1077m8427,1064l8426,1056,8423,1052,8422,1051,8410,1044,8403,1043,8383,1043,8374,1045,8360,1057,8356,1065,8356,1084,8359,1091,8372,1103,8381,1106,8401,1106,8409,1104,8421,1097,8421,1097,8425,1091,8427,1083,8413,1083,8412,1087,8410,1091,8403,1096,8398,1097,8385,1097,8380,1095,8373,1087,8371,1082,8371,1070,8372,1065,8378,1055,8385,1052,8400,1052,8405,1053,8411,1058,8413,1061,8413,1064,8427,1064m8471,1044l8457,1044,8457,1028,8443,1028,8443,1044,8432,1044,8432,1052,8443,1052,8444,1096,8445,1099,8449,1104,8454,1105,8464,1105,8467,1105,8469,1104,8471,1104,8471,1096,8471,1096,8466,1096,8461,1096,8461,1096,8458,1095,8457,1094,8457,1052,8471,1052,8471,1044m8555,1063l8552,1055,8546,1051,8541,1048,8541,1068,8541,1079,8539,1085,8532,1095,8526,1097,8509,1097,8503,1095,8495,1087,8493,1082,8493,1069,8495,1063,8503,1054,8509,1051,8527,1051,8533,1054,8537,1060,8539,1063,8541,1068,8541,1048,8537,1045,8528,1043,8506,1043,8496,1046,8482,1057,8479,1065,8479,1085,8482,1092,8495,1103,8504,1106,8529,1106,8539,1103,8545,1097,8552,1090,8555,1082,8555,1063m8636,1081l8633,1077,8624,1073,8618,1071,8594,1067,8591,1066,8585,1064,8584,1062,8584,1057,8585,1055,8590,1052,8594,1051,8608,1051,8614,1053,8617,1055,8619,1057,8620,1059,8620,1061,8633,1061,8633,1058,8632,1054,8629,1051,8623,1045,8614,1043,8591,1043,8584,1044,8572,1051,8569,1056,8569,1066,8572,1070,8579,1073,8582,1074,8587,1076,8611,1080,8615,1081,8618,1082,8621,1083,8622,1085,8622,1091,8620,1094,8612,1097,8608,1098,8594,1098,8588,1096,8582,1091,8581,1089,8580,1085,8567,1085,8568,1091,8570,1096,8581,1104,8589,1106,8613,1106,8622,1104,8631,1098,8633,1097,8636,1092,8636,1081e" filled="true" fillcolor="#231f20" stroked="false">
              <v:path arrowok="t"/>
              <v:fill type="solid"/>
            </v:shape>
            <v:line style="position:absolute" from="8647,1072" to="8686,1072" stroked="true" strokeweight=".516pt" strokecolor="#231f20"/>
            <v:shape style="position:absolute;left:8078;top:1166;width:584;height:115" type="#_x0000_t75" stroked="false">
              <v:imagedata r:id="rId86" o:title=""/>
            </v:shape>
            <v:line style="position:absolute" from="8086,1326" to="8086,1408" stroked="true" strokeweight=".773pt" strokecolor="#231f20"/>
            <v:shape style="position:absolute;left:8117;top:1326;width:625;height:85" coordorigin="8117,1326" coordsize="625,85" path="m8184,1408l8184,1364,8183,1359,8180,1356,8176,1350,8168,1347,8151,1347,8146,1348,8138,1351,8134,1354,8130,1357,8130,1349,8117,1349,8117,1408,8130,1408,8130,1373,8131,1370,8132,1366,8134,1364,8139,1359,8142,1358,8146,1357,8148,1356,8151,1356,8161,1356,8165,1358,8167,1362,8169,1364,8170,1367,8170,1408,8184,1408m8271,1326l8258,1326,8258,1371,8258,1386,8256,1392,8248,1400,8243,1402,8228,1402,8222,1399,8215,1391,8213,1386,8213,1372,8215,1366,8224,1358,8229,1356,8243,1356,8248,1358,8256,1365,8258,1371,8258,1326,8258,1326,8258,1356,8255,1353,8252,1352,8245,1348,8240,1348,8222,1348,8214,1351,8201,1363,8198,1371,8198,1389,8202,1396,8215,1408,8223,1410,8238,1410,8243,1410,8252,1406,8256,1404,8257,1402,8259,1400,8259,1408,8271,1408,8271,1400,8271,1326m8306,1349l8292,1349,8292,1408,8306,1408,8306,1349m8306,1326l8292,1326,8292,1338,8306,1338,8306,1326m8367,1348l8358,1347,8353,1349,8344,1354,8342,1357,8341,1359,8341,1349,8327,1349,8327,1408,8341,1408,8341,1370,8343,1366,8351,1359,8352,1359,8356,1358,8365,1358,8367,1358,8367,1358,8367,1348m8450,1382l8449,1374,8449,1371,8448,1368,8447,1364,8446,1361,8441,1356,8440,1355,8436,1352,8435,1352,8435,1374,8390,1374,8390,1370,8390,1368,8392,1364,8401,1358,8406,1356,8421,1356,8428,1358,8434,1366,8435,1369,8435,1374,8435,1352,8425,1348,8419,1347,8402,1347,8393,1350,8378,1362,8375,1370,8375,1390,8378,1397,8393,1408,8401,1410,8416,1410,8419,1410,8429,1408,8434,1406,8438,1403,8441,1402,8443,1400,8447,1394,8448,1392,8448,1390,8435,1390,8434,1392,8432,1395,8430,1397,8425,1400,8420,1402,8405,1402,8399,1400,8392,1393,8390,1388,8390,1382,8450,1382m8532,1369l8531,1361,8528,1356,8527,1355,8516,1348,8508,1347,8488,1347,8479,1350,8465,1361,8462,1369,8462,1389,8465,1396,8478,1407,8486,1410,8507,1410,8514,1408,8526,1401,8527,1401,8531,1395,8532,1387,8519,1387,8517,1392,8515,1395,8508,1400,8504,1401,8491,1401,8485,1399,8478,1391,8476,1386,8476,1374,8478,1369,8484,1359,8490,1356,8505,1356,8510,1357,8516,1362,8518,1365,8519,1369,8532,1369m8576,1349l8563,1349,8563,1332,8549,1332,8549,1349,8538,1349,8538,1357,8549,1357,8549,1400,8550,1403,8555,1408,8559,1409,8569,1409,8573,1409,8574,1409,8576,1408,8576,1400,8576,1400,8571,1400,8567,1400,8567,1400,8564,1399,8563,1398,8563,1357,8576,1357,8576,1349m8661,1367l8657,1360,8651,1356,8646,1352,8646,1372,8646,1384,8644,1389,8638,1399,8631,1402,8614,1402,8608,1400,8600,1391,8598,1386,8598,1373,8600,1367,8608,1358,8614,1356,8632,1356,8639,1358,8642,1364,8645,1367,8646,1372,8646,1352,8642,1349,8633,1347,8611,1347,8602,1350,8588,1362,8584,1370,8584,1389,8588,1396,8601,1408,8610,1410,8634,1410,8644,1407,8650,1402,8657,1395,8661,1387,8661,1367m8741,1385l8739,1381,8730,1377,8723,1376,8699,1371,8696,1371,8691,1368,8689,1366,8689,1361,8690,1359,8696,1356,8700,1356,8713,1356,8719,1357,8722,1360,8724,1361,8725,1363,8725,1366,8739,1366,8739,1362,8737,1358,8734,1356,8728,1350,8719,1347,8697,1347,8689,1349,8678,1356,8675,1360,8675,1371,8678,1374,8684,1377,8687,1379,8692,1380,8717,1385,8721,1385,8726,1388,8728,1390,8728,1396,8726,1398,8718,1401,8713,1402,8699,1402,8693,1400,8687,1395,8686,1393,8686,1390,8672,1390,8673,1396,8676,1400,8686,1409,8695,1411,8719,1411,8727,1409,8737,1402,8739,1401,8741,1396,8741,1385e" filled="true" fillcolor="#231f20" stroked="false">
              <v:path arrowok="t"/>
              <v:fill type="solid"/>
            </v:shape>
            <v:line style="position:absolute" from="7262,757" to="8039,757" stroked="true" strokeweight="1.5pt" strokecolor="#00aeef"/>
            <w10:wrap type="none"/>
          </v:group>
        </w:pict>
      </w:r>
      <w:r>
        <w:rPr/>
        <w:pict>
          <v:group style="position:absolute;margin-left:42.519699pt;margin-top:36.938721pt;width:25.25pt;height:101.85pt;mso-position-horizontal-relative:page;mso-position-vertical-relative:paragraph;z-index:4216" coordorigin="850,739" coordsize="505,2037">
            <v:shape style="position:absolute;left:993;top:739;width:362;height:2037" type="#_x0000_t75" stroked="false">
              <v:imagedata r:id="rId87" o:title=""/>
            </v:shape>
            <v:shape style="position:absolute;left:850;top:1683;width:124;height:135" type="#_x0000_t75" stroked="false">
              <v:imagedata r:id="rId88" o:title=""/>
            </v:shape>
            <w10:wrap type="none"/>
          </v:group>
        </w:pict>
      </w:r>
      <w:r>
        <w:rPr>
          <w:color w:val="231F20"/>
          <w:w w:val="105"/>
        </w:rPr>
        <w:t>Gráfica 4. Relación ingresos directos-indirectos de Huixquilucan, 2001-2008.</w:t>
      </w:r>
    </w:p>
    <w:p>
      <w:pPr>
        <w:pStyle w:val="BodyText"/>
        <w:spacing w:before="8"/>
        <w:rPr>
          <w:b/>
          <w:sz w:val="17"/>
        </w:rPr>
      </w:pPr>
      <w:r>
        <w:rPr/>
        <w:pict>
          <v:group style="position:absolute;margin-left:125.893394pt;margin-top:12.142396pt;width:231.45pt;height:6pt;mso-position-horizontal-relative:page;mso-position-vertical-relative:paragraph;z-index:4096;mso-wrap-distance-left:0;mso-wrap-distance-right:0" coordorigin="2518,243" coordsize="4629,120">
            <v:shape style="position:absolute;left:2518;top:244;width:673;height:105" type="#_x0000_t75" stroked="false">
              <v:imagedata r:id="rId89" o:title=""/>
            </v:shape>
            <v:shape style="position:absolute;left:3259;top:243;width:680;height:119" type="#_x0000_t75" stroked="false">
              <v:imagedata r:id="rId90" o:title=""/>
            </v:shape>
            <v:shape style="position:absolute;left:4005;top:255;width:102;height:83" coordorigin="4005,255" coordsize="102,83" path="m4005,255l4005,337,4057,337,4069,337,4080,334,4089,329,4096,323,4029,323,4029,270,4098,270,4090,262,4084,259,4070,256,4064,255,4005,255xm4098,270l4064,270,4071,272,4079,281,4081,287,4081,302,4080,307,4072,319,4064,323,4096,323,4097,322,4103,315,4107,305,4107,290,4106,286,4103,276,4100,272,4098,270xe" filled="true" fillcolor="#231f20" stroked="false">
              <v:path arrowok="t"/>
              <v:fill type="solid"/>
            </v:shape>
            <v:shape style="position:absolute;left:4124;top:255;width:24;height:83" coordorigin="4124,255" coordsize="24,83" path="m4147,255l4124,255,4124,270,4147,270,4147,255xm4147,277l4124,277,4124,337,4147,337,4147,277xe" filled="true" fillcolor="#231f20" stroked="false">
              <v:path arrowok="t"/>
              <v:fill type="solid"/>
            </v:shape>
            <v:shape style="position:absolute;left:4170;top:275;width:52;height:63" coordorigin="4170,275" coordsize="52,63" path="m4192,277l4170,277,4170,337,4193,337,4193,304,4194,300,4199,293,4205,291,4221,291,4221,287,4192,287,4192,277xm4221,291l4205,291,4218,291,4221,292,4221,291xm4211,275l4206,277,4199,281,4196,283,4192,287,4221,287,4221,275,4219,275,4211,275xe" filled="true" fillcolor="#231f20" stroked="false">
              <v:path arrowok="t"/>
              <v:fill type="solid"/>
            </v:shape>
            <v:shape style="position:absolute;left:4228;top:275;width:89;height:65" coordorigin="4228,275" coordsize="89,65" path="m4280,275l4259,275,4249,278,4232,289,4228,297,4228,319,4233,327,4251,337,4261,340,4287,340,4299,337,4307,331,4312,327,4312,327,4269,327,4264,326,4255,322,4252,318,4252,312,4316,312,4316,306,4316,302,4316,301,4252,301,4253,297,4253,297,4255,294,4262,289,4266,288,4310,288,4304,283,4299,280,4287,276,4280,275xm4315,320l4291,320,4290,321,4288,323,4283,326,4279,327,4312,327,4315,323,4315,320xm4310,288l4278,288,4282,289,4290,294,4292,297,4292,301,4316,301,4315,295,4312,291,4310,288xe" filled="true" fillcolor="#231f20" stroked="false">
              <v:path arrowok="t"/>
              <v:fill type="solid"/>
            </v:shape>
            <v:shape style="position:absolute;left:4323;top:275;width:83;height:65" coordorigin="4323,275" coordsize="83,65" path="m4376,275l4352,275,4342,278,4327,290,4323,298,4323,318,4326,325,4340,337,4351,340,4379,340,4390,336,4400,326,4358,326,4353,324,4348,316,4347,312,4347,303,4348,300,4353,291,4358,289,4403,289,4400,284,4386,277,4376,275xm4405,315l4381,315,4381,319,4379,321,4375,325,4371,326,4400,326,4402,325,4404,320,4405,315xm4403,289l4371,289,4375,290,4378,292,4380,294,4381,296,4381,299,4405,299,4404,290,4404,290,4403,289xe" filled="true" fillcolor="#231f20" stroked="false">
              <v:path arrowok="t"/>
              <v:fill type="solid"/>
            </v:shape>
            <v:shape style="position:absolute;left:4412;top:260;width:50;height:79" coordorigin="4412,260" coordsize="50,79" path="m4447,289l4424,289,4424,330,4426,333,4428,334,4432,337,4440,339,4462,338,4462,326,4453,326,4450,326,4448,325,4447,323,4447,289xm4462,326l4453,326,4462,326,4462,326xm4462,277l4412,277,4412,289,4462,289,4462,277xm4447,260l4424,260,4424,277,4447,277,4447,260xe" filled="true" fillcolor="#231f20" stroked="false">
              <v:path arrowok="t"/>
              <v:fill type="solid"/>
            </v:shape>
            <v:shape style="position:absolute;left:4471;top:275;width:91;height:65" coordorigin="4471,275" coordsize="91,65" path="m4532,275l4502,275,4490,278,4475,291,4471,298,4471,316,4475,324,4490,336,4502,340,4532,340,4544,336,4556,326,4510,326,4505,325,4497,318,4496,313,4496,301,4497,296,4505,290,4510,288,4556,288,4544,278,4532,275xm4556,288l4524,288,4529,290,4536,296,4538,301,4538,313,4536,318,4529,325,4524,326,4556,326,4559,324,4562,316,4562,298,4559,291,4556,288xe" filled="true" fillcolor="#231f20" stroked="false">
              <v:path arrowok="t"/>
              <v:fill type="solid"/>
            </v:shape>
            <v:shape style="position:absolute;left:4574;top:275;width:82;height:65" coordorigin="4574,275" coordsize="82,65" path="m4597,318l4574,318,4574,324,4577,329,4590,338,4601,340,4628,340,4638,338,4652,330,4653,327,4609,327,4603,326,4599,323,4598,321,4597,318xm4624,275l4601,275,4592,277,4579,285,4576,290,4576,300,4578,304,4587,309,4594,311,4618,315,4626,317,4630,319,4631,320,4631,324,4630,325,4625,327,4621,327,4653,327,4655,325,4655,315,4653,311,4648,308,4643,305,4637,302,4613,299,4605,297,4603,297,4601,296,4599,294,4599,291,4601,290,4605,288,4608,287,4651,287,4647,283,4633,277,4624,275xm4651,287l4620,287,4624,288,4627,290,4628,292,4629,293,4629,295,4652,295,4652,288,4651,288,4651,287xe" filled="true" fillcolor="#231f20" stroked="false">
              <v:path arrowok="t"/>
              <v:fill type="solid"/>
            </v:shape>
            <v:line style="position:absolute" from="4665,306" to="4711,306" stroked="true" strokeweight=".752pt" strokecolor="#231f20"/>
            <v:line style="position:absolute" from="4740,255" to="4740,337" stroked="true" strokeweight="1.25pt" strokecolor="#231f20"/>
            <v:shape style="position:absolute;left:4774;top:275;width:81;height:63" coordorigin="4774,275" coordsize="81,63" path="m4797,277l4774,277,4774,337,4798,337,4798,301,4798,298,4800,295,4803,291,4808,289,4855,289,4853,286,4797,286,4797,277xm4855,289l4822,289,4827,290,4830,295,4831,297,4831,337,4855,337,4855,289,4855,289xm4833,275l4816,275,4810,277,4803,280,4800,283,4797,286,4853,286,4852,284,4840,277,4833,275xe" filled="true" fillcolor="#231f20" stroked="false">
              <v:path arrowok="t"/>
              <v:fill type="solid"/>
            </v:shape>
            <v:shape style="position:absolute;left:4871;top:275;width:86;height:88" coordorigin="4871,275" coordsize="86,88" path="m4898,344l4873,344,4874,350,4874,350,4878,355,4892,361,4901,362,4932,362,4944,359,4953,350,4908,350,4904,350,4902,348,4900,347,4899,346,4898,344xm4957,328l4934,328,4934,338,4933,342,4931,345,4928,348,4923,350,4953,350,4955,348,4957,342,4957,328xm4913,275l4897,275,4887,278,4874,291,4871,298,4871,317,4874,324,4888,335,4897,338,4916,338,4922,337,4929,333,4932,331,4934,328,4957,328,4957,324,4907,324,4901,322,4898,317,4896,314,4895,311,4895,303,4896,300,4901,292,4906,289,4957,289,4957,285,4934,285,4931,281,4926,278,4917,276,4913,275xm4957,289l4920,289,4925,291,4932,297,4934,301,4934,313,4932,317,4925,323,4920,324,4957,324,4957,289xm4957,277l4934,277,4934,285,4957,285,4957,277xe" filled="true" fillcolor="#231f20" stroked="false">
              <v:path arrowok="t"/>
              <v:fill type="solid"/>
            </v:shape>
            <v:shape style="position:absolute;left:4978;top:275;width:52;height:63" coordorigin="4978,275" coordsize="52,63" path="m5001,277l4978,277,4978,337,5002,337,5002,304,5003,300,5008,293,5014,291,5030,291,5030,287,5001,287,5001,277xm5030,291l5014,291,5026,291,5030,292,5030,291xm5020,275l5014,277,5007,281,5004,283,5001,287,5030,287,5030,275,5028,275,5020,275xe" filled="true" fillcolor="#231f20" stroked="false">
              <v:path arrowok="t"/>
              <v:fill type="solid"/>
            </v:shape>
            <v:shape style="position:absolute;left:5037;top:275;width:89;height:65" coordorigin="5037,275" coordsize="89,65" path="m5089,275l5068,275,5057,278,5041,289,5037,297,5037,319,5041,327,5059,337,5070,340,5096,340,5107,337,5115,331,5120,327,5121,327,5077,327,5073,326,5064,322,5060,318,5060,312,5125,312,5125,306,5125,302,5125,301,5061,301,5062,297,5062,297,5064,294,5070,289,5075,288,5118,288,5113,283,5108,280,5096,276,5089,275xm5124,320l5100,320,5099,321,5097,323,5092,326,5088,327,5121,327,5123,323,5124,320xm5118,288l5086,288,5091,289,5098,294,5100,297,5101,301,5125,301,5123,295,5121,291,5118,288xe" filled="true" fillcolor="#231f20" stroked="false">
              <v:path arrowok="t"/>
              <v:fill type="solid"/>
            </v:shape>
            <v:shape style="position:absolute;left:5131;top:275;width:82;height:65" coordorigin="5131,275" coordsize="82,65" path="m5155,318l5131,318,5131,324,5135,329,5148,338,5158,340,5186,340,5196,338,5209,330,5211,327,5166,327,5161,326,5156,323,5155,321,5155,318xm5182,275l5159,275,5150,277,5137,285,5134,290,5134,300,5136,304,5144,309,5151,311,5176,315,5184,317,5188,319,5189,320,5189,324,5188,325,5182,327,5179,327,5211,327,5213,325,5213,315,5210,311,5206,308,5201,305,5194,302,5171,299,5163,297,5161,297,5158,296,5157,294,5157,291,5158,290,5163,288,5166,287,5209,287,5205,283,5191,277,5182,275xm5209,287l5177,287,5182,288,5184,290,5186,292,5187,293,5187,295,5210,295,5209,288,5209,288,5209,287xe" filled="true" fillcolor="#231f20" stroked="false">
              <v:path arrowok="t"/>
              <v:fill type="solid"/>
            </v:shape>
            <v:shape style="position:absolute;left:5224;top:275;width:91;height:65" coordorigin="5224,275" coordsize="91,65" path="m5285,275l5254,275,5243,278,5228,291,5224,298,5224,316,5228,324,5243,336,5254,340,5285,340,5297,336,5309,326,5263,326,5258,325,5250,318,5248,313,5248,301,5250,296,5258,290,5263,288,5308,288,5297,278,5285,275xm5308,288l5277,288,5282,290,5289,296,5291,301,5291,313,5289,318,5282,325,5277,326,5309,326,5312,324,5315,316,5315,298,5312,291,5308,288xe" filled="true" fillcolor="#231f20" stroked="false">
              <v:path arrowok="t"/>
              <v:fill type="solid"/>
            </v:shape>
            <v:shape style="position:absolute;left:5326;top:275;width:82;height:65" coordorigin="5326,275" coordsize="82,65" path="m5350,318l5326,318,5326,324,5330,329,5343,338,5353,340,5381,340,5391,338,5405,330,5406,327,5361,327,5356,326,5352,323,5350,321,5350,318xm5377,275l5354,275,5345,277,5332,285,5329,290,5329,300,5331,304,5339,309,5347,311,5371,315,5379,317,5383,319,5384,320,5384,324,5383,325,5378,327,5374,327,5406,327,5408,325,5408,315,5406,311,5401,308,5396,305,5389,302,5366,299,5358,297,5356,297,5354,296,5352,294,5352,291,5353,290,5358,288,5361,287,5404,287,5400,283,5386,277,5377,275xm5404,287l5373,287,5377,288,5380,290,5381,292,5382,293,5382,295,5405,295,5404,288,5404,288,5404,287xe" filled="true" fillcolor="#231f20" stroked="false">
              <v:path arrowok="t"/>
              <v:fill type="solid"/>
            </v:shape>
            <v:shape style="position:absolute;left:5471;top:243;width:1675;height:114" type="#_x0000_t75" stroked="false">
              <v:imagedata r:id="rId91" o:titl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8"/>
        </w:rPr>
      </w:pPr>
      <w:r>
        <w:rPr/>
        <w:drawing>
          <wp:anchor distT="0" distB="0" distL="0" distR="0" allowOverlap="1" layoutInCell="1" locked="0" behindDoc="0" simplePos="0" relativeHeight="4120">
            <wp:simplePos x="0" y="0"/>
            <wp:positionH relativeFrom="page">
              <wp:posOffset>2649962</wp:posOffset>
            </wp:positionH>
            <wp:positionV relativeFrom="paragraph">
              <wp:posOffset>162009</wp:posOffset>
            </wp:positionV>
            <wp:extent cx="159448" cy="64007"/>
            <wp:effectExtent l="0" t="0" r="0" b="0"/>
            <wp:wrapTopAndBottom/>
            <wp:docPr id="61" name="image76.png" descr=""/>
            <wp:cNvGraphicFramePr>
              <a:graphicFrameLocks noChangeAspect="1"/>
            </wp:cNvGraphicFramePr>
            <a:graphic>
              <a:graphicData uri="http://schemas.openxmlformats.org/drawingml/2006/picture">
                <pic:pic>
                  <pic:nvPicPr>
                    <pic:cNvPr id="62" name="image76.png"/>
                    <pic:cNvPicPr/>
                  </pic:nvPicPr>
                  <pic:blipFill>
                    <a:blip r:embed="rId92" cstate="print"/>
                    <a:stretch>
                      <a:fillRect/>
                    </a:stretch>
                  </pic:blipFill>
                  <pic:spPr>
                    <a:xfrm>
                      <a:off x="0" y="0"/>
                      <a:ext cx="159448" cy="64007"/>
                    </a:xfrm>
                    <a:prstGeom prst="rect">
                      <a:avLst/>
                    </a:prstGeom>
                  </pic:spPr>
                </pic:pic>
              </a:graphicData>
            </a:graphic>
          </wp:anchor>
        </w:drawing>
      </w:r>
    </w:p>
    <w:p>
      <w:pPr>
        <w:pStyle w:val="BodyText"/>
        <w:rPr>
          <w:b/>
        </w:rPr>
      </w:pPr>
    </w:p>
    <w:p>
      <w:pPr>
        <w:spacing w:before="0"/>
        <w:ind w:left="935" w:right="-2" w:firstLine="0"/>
        <w:jc w:val="left"/>
        <w:rPr>
          <w:rFonts w:ascii="Calibri" w:hAnsi="Calibri"/>
          <w:sz w:val="16"/>
        </w:rPr>
      </w:pPr>
      <w:r>
        <w:rPr/>
        <w:pict>
          <v:group style="position:absolute;margin-left:362.582214pt;margin-top:-75.983009pt;width:76.8pt;height:43.65pt;mso-position-horizontal-relative:page;mso-position-vertical-relative:paragraph;z-index:4192" coordorigin="7252,-1520" coordsize="1536,873">
            <v:shape style="position:absolute;left:8075;top:-1513;width:371;height:84" coordorigin="8075,-1513" coordsize="371,84" path="m8147,-1441l8090,-1441,8090,-1513,8075,-1513,8075,-1431,8147,-1431,8147,-1441m8175,-1490l8160,-1490,8160,-1431,8175,-1431,8175,-1490m8175,-1513l8160,-1513,8160,-1501,8175,-1501,8175,-1513m8263,-1431l8263,-1475,8262,-1480,8259,-1483,8255,-1489,8247,-1492,8230,-1492,8225,-1491,8217,-1488,8213,-1486,8209,-1482,8209,-1490,8195,-1490,8195,-1431,8209,-1431,8209,-1466,8210,-1469,8211,-1473,8213,-1475,8218,-1480,8221,-1481,8225,-1482,8227,-1483,8230,-1483,8239,-1483,8244,-1481,8246,-1477,8248,-1475,8249,-1472,8249,-1431,8263,-1431m8353,-1457l8353,-1465,8353,-1468,8352,-1471,8351,-1475,8349,-1478,8345,-1483,8344,-1484,8340,-1487,8339,-1487,8339,-1465,8294,-1465,8294,-1469,8294,-1471,8296,-1475,8305,-1481,8310,-1483,8325,-1483,8331,-1481,8337,-1473,8339,-1470,8339,-1465,8339,-1487,8329,-1491,8323,-1492,8306,-1492,8296,-1489,8282,-1477,8279,-1470,8279,-1450,8282,-1442,8296,-1431,8305,-1429,8319,-1429,8323,-1429,8326,-1430,8332,-1431,8338,-1433,8342,-1436,8344,-1437,8347,-1440,8351,-1445,8352,-1447,8352,-1450,8339,-1450,8338,-1447,8336,-1445,8333,-1443,8329,-1439,8323,-1437,8309,-1437,8303,-1439,8296,-1447,8294,-1451,8293,-1457,8353,-1457m8445,-1438l8444,-1438,8439,-1438,8437,-1438,8437,-1439,8436,-1439,8436,-1440,8436,-1461,8436,-1481,8434,-1483,8433,-1485,8421,-1491,8413,-1492,8395,-1492,8388,-1490,8375,-1485,8372,-1480,8371,-1472,8384,-1472,8385,-1475,8386,-1478,8391,-1482,8396,-1483,8409,-1483,8414,-1483,8421,-1480,8422,-1477,8422,-1472,8422,-1471,8422,-1471,8422,-1461,8422,-1447,8418,-1443,8406,-1438,8401,-1437,8392,-1437,8389,-1438,8383,-1442,8381,-1444,8381,-1450,8384,-1453,8390,-1456,8394,-1457,8408,-1458,8410,-1458,8413,-1459,8418,-1460,8420,-1460,8422,-1461,8422,-1471,8421,-1470,8420,-1468,8418,-1467,8385,-1464,8379,-1462,8369,-1456,8367,-1452,8367,-1441,8369,-1437,8379,-1430,8385,-1429,8399,-1429,8405,-1430,8416,-1434,8420,-1436,8421,-1437,8423,-1439,8423,-1436,8424,-1435,8427,-1431,8431,-1430,8439,-1430,8441,-1430,8443,-1430,8445,-1431,8445,-1438,8445,-1438e" filled="true" fillcolor="#231f20" stroked="false">
              <v:path arrowok="t"/>
              <v:fill type="solid"/>
            </v:shape>
            <v:line style="position:absolute" from="8466,-1513" to="8466,-1431" stroked="true" strokeweight=".692pt" strokecolor="#231f20"/>
            <v:shape style="position:absolute;left:8074;top:-1367;width:645;height:112" type="#_x0000_t75" stroked="false">
              <v:imagedata r:id="rId93" o:title=""/>
            </v:shape>
            <v:shape style="position:absolute;left:8078;top:-1216;width:584;height:115" type="#_x0000_t75" stroked="false">
              <v:imagedata r:id="rId94" o:title=""/>
            </v:shape>
            <v:shape style="position:absolute;left:8075;top:-1056;width:561;height:85" coordorigin="8075,-1056" coordsize="561,85" path="m8168,-1028l8164,-1037,8154,-1047,8152,-1048,8152,-1025,8152,-1012,8151,-1009,8151,-1006,8149,-1001,8147,-997,8141,-989,8136,-986,8130,-985,8127,-984,8123,-984,8091,-984,8091,-1047,8129,-1047,8138,-1044,8149,-1033,8152,-1025,8152,-1048,8148,-1052,8136,-1056,8075,-1056,8075,-974,8120,-974,8134,-976,8145,-979,8152,-984,8154,-985,8161,-993,8165,-1000,8168,-1008,8168,-1028m8201,-1034l8187,-1034,8187,-974,8201,-974,8201,-1034m8201,-1056l8187,-1056,8187,-1045,8201,-1045,8201,-1056m8262,-1035l8252,-1035,8247,-1034,8239,-1028,8236,-1026,8235,-1024,8235,-1034,8222,-1034,8222,-974,8236,-974,8236,-1013,8238,-1017,8245,-1023,8247,-1024,8251,-1025,8260,-1025,8262,-1025,8262,-1025,8262,-1035m8344,-1001l8344,-1009,8344,-1011,8343,-1014,8342,-1018,8340,-1022,8336,-1027,8335,-1028,8331,-1030,8330,-1031,8330,-1009,8285,-1009,8285,-1013,8285,-1014,8287,-1018,8296,-1025,8301,-1027,8316,-1027,8322,-1024,8328,-1017,8329,-1013,8330,-1009,8330,-1031,8320,-1034,8314,-1035,8297,-1035,8287,-1032,8273,-1020,8270,-1013,8270,-993,8273,-986,8287,-975,8296,-972,8310,-972,8314,-973,8317,-973,8323,-974,8329,-976,8333,-979,8335,-981,8338,-983,8342,-988,8343,-991,8343,-993,8330,-993,8329,-990,8327,-988,8324,-986,8320,-983,8314,-981,8300,-981,8294,-983,8287,-990,8285,-995,8284,-1001,8344,-1001m8427,-1014l8426,-1022,8423,-1027,8422,-1028,8410,-1034,8403,-1036,8383,-1036,8374,-1033,8360,-1021,8356,-1013,8356,-994,8359,-987,8366,-981,8372,-975,8381,-973,8401,-973,8409,-974,8421,-981,8421,-982,8425,-988,8427,-995,8413,-995,8412,-991,8410,-988,8403,-983,8398,-981,8385,-981,8380,-983,8373,-991,8371,-997,8371,-1008,8372,-1013,8378,-1024,8385,-1027,8400,-1027,8405,-1026,8411,-1021,8413,-1018,8413,-1014,8427,-1014m8471,-1034l8457,-1034,8457,-1051,8443,-1051,8443,-1034,8432,-1034,8432,-1026,8443,-1026,8444,-982,8445,-979,8449,-975,8454,-973,8464,-974,8467,-974,8469,-974,8471,-974,8471,-982,8471,-982,8466,-982,8461,-982,8461,-982,8458,-983,8457,-985,8457,-1026,8471,-1026,8471,-1034m8555,-1015l8552,-1023,8546,-1027,8541,-1031,8541,-1011,8541,-999,8539,-993,8532,-983,8526,-981,8509,-981,8503,-983,8495,-991,8493,-997,8493,-1010,8495,-1015,8503,-1025,8509,-1027,8527,-1027,8533,-1024,8537,-1019,8539,-1015,8541,-1011,8541,-1031,8537,-1033,8528,-1036,8506,-1036,8496,-1033,8482,-1021,8479,-1013,8479,-993,8482,-986,8495,-975,8504,-972,8529,-972,8539,-975,8545,-981,8552,-988,8555,-996,8555,-1015m8636,-997l8633,-1001,8624,-1005,8618,-1007,8594,-1011,8591,-1012,8585,-1014,8584,-1016,8584,-1021,8585,-1023,8590,-1026,8594,-1027,8608,-1027,8614,-1026,8617,-1023,8619,-1021,8620,-1019,8620,-1017,8633,-1017,8633,-1021,8632,-1024,8629,-1027,8623,-1033,8614,-1036,8591,-1036,8584,-1034,8572,-1027,8569,-1022,8569,-1012,8572,-1008,8579,-1005,8582,-1004,8587,-1002,8611,-998,8615,-997,8618,-996,8621,-995,8622,-993,8622,-987,8620,-985,8612,-981,8608,-981,8594,-981,8588,-982,8582,-987,8581,-990,8580,-993,8567,-993,8568,-987,8570,-982,8581,-974,8589,-972,8613,-972,8622,-974,8631,-981,8633,-982,8636,-986,8636,-997e" filled="true" fillcolor="#231f20" stroked="false">
              <v:path arrowok="t"/>
              <v:fill type="solid"/>
            </v:shape>
            <v:line style="position:absolute" from="8647,-1006" to="8686,-1006" stroked="true" strokeweight=".515pt" strokecolor="#231f20"/>
            <v:shape style="position:absolute;left:8078;top:-912;width:584;height:115" type="#_x0000_t75" stroked="false">
              <v:imagedata r:id="rId95" o:title=""/>
            </v:shape>
            <v:shape style="position:absolute;left:8078;top:-760;width:709;height:113" type="#_x0000_t75" stroked="false">
              <v:imagedata r:id="rId96" o:title=""/>
            </v:shape>
            <v:line style="position:absolute" from="7262,-1465" to="8039,-1465" stroked="true" strokeweight="1pt" strokecolor="#231f20">
              <v:stroke dashstyle="longDash"/>
            </v:line>
            <w10:wrap type="none"/>
          </v:group>
        </w:pict>
      </w:r>
      <w:r>
        <w:rPr>
          <w:rFonts w:ascii="Calibri" w:hAnsi="Calibri"/>
          <w:color w:val="231F20"/>
          <w:sz w:val="16"/>
        </w:rPr>
        <w:t>Fuente:</w:t>
      </w:r>
      <w:r>
        <w:rPr>
          <w:rFonts w:ascii="Calibri" w:hAnsi="Calibri"/>
          <w:color w:val="231F20"/>
          <w:spacing w:val="-23"/>
          <w:sz w:val="16"/>
        </w:rPr>
        <w:t> </w:t>
      </w:r>
      <w:r>
        <w:rPr>
          <w:rFonts w:ascii="Calibri" w:hAnsi="Calibri"/>
          <w:color w:val="231F20"/>
          <w:sz w:val="16"/>
        </w:rPr>
        <w:t>elaboración</w:t>
      </w:r>
      <w:r>
        <w:rPr>
          <w:rFonts w:ascii="Calibri" w:hAnsi="Calibri"/>
          <w:color w:val="231F20"/>
          <w:spacing w:val="-23"/>
          <w:sz w:val="16"/>
        </w:rPr>
        <w:t> </w:t>
      </w:r>
      <w:r>
        <w:rPr>
          <w:rFonts w:ascii="Calibri" w:hAnsi="Calibri"/>
          <w:color w:val="231F20"/>
          <w:sz w:val="16"/>
        </w:rPr>
        <w:t>propia</w:t>
      </w:r>
      <w:r>
        <w:rPr>
          <w:rFonts w:ascii="Calibri" w:hAnsi="Calibri"/>
          <w:color w:val="231F20"/>
          <w:spacing w:val="-23"/>
          <w:sz w:val="16"/>
        </w:rPr>
        <w:t> </w:t>
      </w:r>
      <w:r>
        <w:rPr>
          <w:rFonts w:ascii="Calibri" w:hAnsi="Calibri"/>
          <w:color w:val="231F20"/>
          <w:sz w:val="16"/>
        </w:rPr>
        <w:t>a</w:t>
      </w:r>
      <w:r>
        <w:rPr>
          <w:rFonts w:ascii="Calibri" w:hAnsi="Calibri"/>
          <w:color w:val="231F20"/>
          <w:spacing w:val="-23"/>
          <w:sz w:val="16"/>
        </w:rPr>
        <w:t> </w:t>
      </w:r>
      <w:r>
        <w:rPr>
          <w:rFonts w:ascii="Calibri" w:hAnsi="Calibri"/>
          <w:color w:val="231F20"/>
          <w:sz w:val="16"/>
        </w:rPr>
        <w:t>partir</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(HUIXQUILUCAN,</w:t>
      </w:r>
      <w:r>
        <w:rPr>
          <w:rFonts w:ascii="Calibri" w:hAnsi="Calibri"/>
          <w:color w:val="231F20"/>
          <w:spacing w:val="-23"/>
          <w:sz w:val="16"/>
        </w:rPr>
        <w:t> </w:t>
      </w:r>
      <w:r>
        <w:rPr>
          <w:rFonts w:ascii="Calibri" w:hAnsi="Calibri"/>
          <w:color w:val="231F20"/>
          <w:sz w:val="16"/>
        </w:rPr>
        <w:t>2006a),</w:t>
      </w:r>
      <w:r>
        <w:rPr>
          <w:rFonts w:ascii="Calibri" w:hAnsi="Calibri"/>
          <w:color w:val="231F20"/>
          <w:spacing w:val="-23"/>
          <w:sz w:val="16"/>
        </w:rPr>
        <w:t> </w:t>
      </w:r>
      <w:r>
        <w:rPr>
          <w:rFonts w:ascii="Calibri" w:hAnsi="Calibri"/>
          <w:color w:val="231F20"/>
          <w:sz w:val="16"/>
        </w:rPr>
        <w:t>(INEGI,</w:t>
      </w:r>
      <w:r>
        <w:rPr>
          <w:rFonts w:ascii="Calibri" w:hAnsi="Calibri"/>
          <w:color w:val="231F20"/>
          <w:spacing w:val="-23"/>
          <w:sz w:val="16"/>
        </w:rPr>
        <w:t> </w:t>
      </w:r>
      <w:r>
        <w:rPr>
          <w:rFonts w:ascii="Calibri" w:hAnsi="Calibri"/>
          <w:color w:val="231F20"/>
          <w:sz w:val="16"/>
        </w:rPr>
        <w:t>2006),</w:t>
      </w:r>
      <w:r>
        <w:rPr>
          <w:rFonts w:ascii="Calibri" w:hAnsi="Calibri"/>
          <w:color w:val="231F20"/>
          <w:spacing w:val="-23"/>
          <w:sz w:val="16"/>
        </w:rPr>
        <w:t> </w:t>
      </w:r>
      <w:r>
        <w:rPr>
          <w:rFonts w:ascii="Calibri" w:hAnsi="Calibri"/>
          <w:color w:val="231F20"/>
          <w:sz w:val="16"/>
        </w:rPr>
        <w:t>(SECRETARÍA</w:t>
      </w:r>
      <w:r>
        <w:rPr>
          <w:rFonts w:ascii="Calibri" w:hAnsi="Calibri"/>
          <w:color w:val="231F20"/>
          <w:spacing w:val="-23"/>
          <w:sz w:val="16"/>
        </w:rPr>
        <w:t> </w:t>
      </w:r>
      <w:r>
        <w:rPr>
          <w:rFonts w:ascii="Calibri" w:hAnsi="Calibri"/>
          <w:color w:val="231F20"/>
          <w:sz w:val="16"/>
        </w:rPr>
        <w:t>DE</w:t>
      </w:r>
      <w:r>
        <w:rPr>
          <w:rFonts w:ascii="Calibri" w:hAnsi="Calibri"/>
          <w:color w:val="231F20"/>
          <w:spacing w:val="-23"/>
          <w:sz w:val="16"/>
        </w:rPr>
        <w:t> </w:t>
      </w:r>
      <w:r>
        <w:rPr>
          <w:rFonts w:ascii="Calibri" w:hAnsi="Calibri"/>
          <w:color w:val="231F20"/>
          <w:sz w:val="16"/>
        </w:rPr>
        <w:t>FINANZAS,</w:t>
      </w:r>
      <w:r>
        <w:rPr>
          <w:rFonts w:ascii="Calibri" w:hAnsi="Calibri"/>
          <w:color w:val="231F20"/>
          <w:spacing w:val="-23"/>
          <w:sz w:val="16"/>
        </w:rPr>
        <w:t> </w:t>
      </w:r>
      <w:r>
        <w:rPr>
          <w:rFonts w:ascii="Calibri" w:hAnsi="Calibri"/>
          <w:color w:val="231F20"/>
          <w:sz w:val="16"/>
        </w:rPr>
        <w:t>2009).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spacing w:val="-5"/>
          <w:w w:val="105"/>
        </w:rPr>
        <w:t>Por</w:t>
      </w:r>
      <w:r>
        <w:rPr>
          <w:color w:val="231F20"/>
          <w:spacing w:val="-15"/>
          <w:w w:val="105"/>
        </w:rPr>
        <w:t> </w:t>
      </w:r>
      <w:r>
        <w:rPr>
          <w:color w:val="231F20"/>
          <w:w w:val="105"/>
        </w:rPr>
        <w:t>otra</w:t>
      </w:r>
      <w:r>
        <w:rPr>
          <w:color w:val="231F20"/>
          <w:spacing w:val="-15"/>
          <w:w w:val="105"/>
        </w:rPr>
        <w:t> </w:t>
      </w:r>
      <w:r>
        <w:rPr>
          <w:color w:val="231F20"/>
          <w:w w:val="105"/>
        </w:rPr>
        <w:t>parte</w:t>
      </w:r>
      <w:r>
        <w:rPr>
          <w:color w:val="231F20"/>
          <w:spacing w:val="-15"/>
          <w:w w:val="105"/>
        </w:rPr>
        <w:t> </w:t>
      </w:r>
      <w:r>
        <w:rPr>
          <w:color w:val="231F20"/>
          <w:w w:val="105"/>
        </w:rPr>
        <w:t>se</w:t>
      </w:r>
      <w:r>
        <w:rPr>
          <w:color w:val="231F20"/>
          <w:spacing w:val="-15"/>
          <w:w w:val="105"/>
        </w:rPr>
        <w:t> </w:t>
      </w:r>
      <w:r>
        <w:rPr>
          <w:color w:val="231F20"/>
          <w:w w:val="105"/>
        </w:rPr>
        <w:t>observa</w:t>
      </w:r>
      <w:r>
        <w:rPr>
          <w:color w:val="231F20"/>
          <w:spacing w:val="-15"/>
          <w:w w:val="105"/>
        </w:rPr>
        <w:t> </w:t>
      </w:r>
      <w:r>
        <w:rPr>
          <w:color w:val="231F20"/>
          <w:spacing w:val="-3"/>
          <w:w w:val="105"/>
        </w:rPr>
        <w:t>que</w:t>
      </w:r>
      <w:r>
        <w:rPr>
          <w:color w:val="231F20"/>
          <w:spacing w:val="-15"/>
          <w:w w:val="105"/>
        </w:rPr>
        <w:t> </w:t>
      </w:r>
      <w:r>
        <w:rPr>
          <w:color w:val="231F20"/>
          <w:spacing w:val="-3"/>
          <w:w w:val="105"/>
        </w:rPr>
        <w:t>los</w:t>
      </w:r>
      <w:r>
        <w:rPr>
          <w:color w:val="231F20"/>
          <w:spacing w:val="-15"/>
          <w:w w:val="105"/>
        </w:rPr>
        <w:t> </w:t>
      </w:r>
      <w:r>
        <w:rPr>
          <w:color w:val="231F20"/>
          <w:w w:val="105"/>
        </w:rPr>
        <w:t>egresos</w:t>
      </w:r>
      <w:r>
        <w:rPr>
          <w:color w:val="231F20"/>
          <w:spacing w:val="-15"/>
          <w:w w:val="105"/>
        </w:rPr>
        <w:t> </w:t>
      </w:r>
      <w:r>
        <w:rPr>
          <w:color w:val="231F20"/>
          <w:spacing w:val="-3"/>
          <w:w w:val="105"/>
        </w:rPr>
        <w:t>municipales</w:t>
      </w:r>
      <w:r>
        <w:rPr>
          <w:color w:val="231F20"/>
          <w:spacing w:val="-15"/>
          <w:w w:val="105"/>
        </w:rPr>
        <w:t> </w:t>
      </w:r>
      <w:r>
        <w:rPr>
          <w:color w:val="231F20"/>
          <w:w w:val="105"/>
        </w:rPr>
        <w:t>han</w:t>
      </w:r>
      <w:r>
        <w:rPr>
          <w:color w:val="231F20"/>
          <w:spacing w:val="-15"/>
          <w:w w:val="105"/>
        </w:rPr>
        <w:t> </w:t>
      </w:r>
      <w:r>
        <w:rPr>
          <w:color w:val="231F20"/>
          <w:spacing w:val="-3"/>
          <w:w w:val="105"/>
        </w:rPr>
        <w:t>estado</w:t>
      </w:r>
      <w:r>
        <w:rPr>
          <w:color w:val="231F20"/>
          <w:spacing w:val="-15"/>
          <w:w w:val="105"/>
        </w:rPr>
        <w:t> </w:t>
      </w:r>
      <w:r>
        <w:rPr>
          <w:color w:val="231F20"/>
          <w:w w:val="105"/>
        </w:rPr>
        <w:t>limitados</w:t>
      </w:r>
      <w:r>
        <w:rPr>
          <w:color w:val="231F20"/>
          <w:spacing w:val="-15"/>
          <w:w w:val="105"/>
        </w:rPr>
        <w:t> </w:t>
      </w:r>
      <w:r>
        <w:rPr>
          <w:color w:val="231F20"/>
          <w:spacing w:val="-3"/>
          <w:w w:val="105"/>
        </w:rPr>
        <w:t>por</w:t>
      </w:r>
      <w:r>
        <w:rPr>
          <w:color w:val="231F20"/>
          <w:spacing w:val="-15"/>
          <w:w w:val="105"/>
        </w:rPr>
        <w:t> </w:t>
      </w:r>
      <w:r>
        <w:rPr>
          <w:color w:val="231F20"/>
          <w:w w:val="105"/>
        </w:rPr>
        <w:t>el</w:t>
      </w:r>
      <w:r>
        <w:rPr>
          <w:color w:val="231F20"/>
          <w:spacing w:val="-15"/>
          <w:w w:val="105"/>
        </w:rPr>
        <w:t> </w:t>
      </w:r>
      <w:r>
        <w:rPr>
          <w:color w:val="231F20"/>
          <w:spacing w:val="-4"/>
          <w:w w:val="105"/>
        </w:rPr>
        <w:t>enorme </w:t>
      </w:r>
      <w:r>
        <w:rPr>
          <w:color w:val="231F20"/>
          <w:w w:val="105"/>
        </w:rPr>
        <w:t>peso</w:t>
      </w:r>
      <w:r>
        <w:rPr>
          <w:color w:val="231F20"/>
          <w:spacing w:val="-24"/>
          <w:w w:val="105"/>
        </w:rPr>
        <w:t> </w:t>
      </w:r>
      <w:r>
        <w:rPr>
          <w:color w:val="231F20"/>
          <w:spacing w:val="-3"/>
          <w:w w:val="105"/>
        </w:rPr>
        <w:t>que</w:t>
      </w:r>
      <w:r>
        <w:rPr>
          <w:color w:val="231F20"/>
          <w:spacing w:val="-24"/>
          <w:w w:val="105"/>
        </w:rPr>
        <w:t> </w:t>
      </w:r>
      <w:r>
        <w:rPr>
          <w:color w:val="231F20"/>
          <w:w w:val="105"/>
        </w:rPr>
        <w:t>significa</w:t>
      </w:r>
      <w:r>
        <w:rPr>
          <w:color w:val="231F20"/>
          <w:spacing w:val="-24"/>
          <w:w w:val="105"/>
        </w:rPr>
        <w:t> </w:t>
      </w:r>
      <w:r>
        <w:rPr>
          <w:color w:val="231F20"/>
          <w:w w:val="105"/>
        </w:rPr>
        <w:t>el</w:t>
      </w:r>
      <w:r>
        <w:rPr>
          <w:color w:val="231F20"/>
          <w:spacing w:val="-24"/>
          <w:w w:val="105"/>
        </w:rPr>
        <w:t> </w:t>
      </w:r>
      <w:r>
        <w:rPr>
          <w:color w:val="231F20"/>
          <w:w w:val="105"/>
        </w:rPr>
        <w:t>gasto</w:t>
      </w:r>
      <w:r>
        <w:rPr>
          <w:color w:val="231F20"/>
          <w:spacing w:val="-24"/>
          <w:w w:val="105"/>
        </w:rPr>
        <w:t> </w:t>
      </w:r>
      <w:r>
        <w:rPr>
          <w:color w:val="231F20"/>
          <w:spacing w:val="-3"/>
          <w:w w:val="105"/>
        </w:rPr>
        <w:t>corriente.</w:t>
      </w:r>
      <w:r>
        <w:rPr>
          <w:color w:val="231F20"/>
          <w:spacing w:val="-24"/>
          <w:w w:val="105"/>
        </w:rPr>
        <w:t> </w:t>
      </w:r>
      <w:r>
        <w:rPr>
          <w:color w:val="231F20"/>
          <w:spacing w:val="-3"/>
          <w:w w:val="105"/>
        </w:rPr>
        <w:t>Además,</w:t>
      </w:r>
      <w:r>
        <w:rPr>
          <w:color w:val="231F20"/>
          <w:spacing w:val="-24"/>
          <w:w w:val="105"/>
        </w:rPr>
        <w:t> </w:t>
      </w:r>
      <w:r>
        <w:rPr>
          <w:color w:val="231F20"/>
          <w:w w:val="105"/>
        </w:rPr>
        <w:t>el</w:t>
      </w:r>
      <w:r>
        <w:rPr>
          <w:color w:val="231F20"/>
          <w:spacing w:val="-24"/>
          <w:w w:val="105"/>
        </w:rPr>
        <w:t> </w:t>
      </w:r>
      <w:r>
        <w:rPr>
          <w:color w:val="231F20"/>
          <w:spacing w:val="-3"/>
          <w:w w:val="105"/>
        </w:rPr>
        <w:t>elevado</w:t>
      </w:r>
      <w:r>
        <w:rPr>
          <w:color w:val="231F20"/>
          <w:spacing w:val="-24"/>
          <w:w w:val="105"/>
        </w:rPr>
        <w:t> </w:t>
      </w:r>
      <w:r>
        <w:rPr>
          <w:color w:val="231F20"/>
          <w:w w:val="105"/>
        </w:rPr>
        <w:t>financiamiento</w:t>
      </w:r>
      <w:r>
        <w:rPr>
          <w:color w:val="231F20"/>
          <w:spacing w:val="-24"/>
          <w:w w:val="105"/>
        </w:rPr>
        <w:t> </w:t>
      </w:r>
      <w:r>
        <w:rPr>
          <w:color w:val="231F20"/>
          <w:spacing w:val="-3"/>
          <w:w w:val="105"/>
        </w:rPr>
        <w:t>contratado</w:t>
      </w:r>
      <w:r>
        <w:rPr>
          <w:color w:val="231F20"/>
          <w:spacing w:val="-24"/>
          <w:w w:val="105"/>
        </w:rPr>
        <w:t> </w:t>
      </w:r>
      <w:r>
        <w:rPr>
          <w:color w:val="231F20"/>
          <w:spacing w:val="-3"/>
          <w:w w:val="105"/>
        </w:rPr>
        <w:t>por</w:t>
      </w:r>
      <w:r>
        <w:rPr>
          <w:color w:val="231F20"/>
          <w:spacing w:val="-24"/>
          <w:w w:val="105"/>
        </w:rPr>
        <w:t> </w:t>
      </w:r>
      <w:r>
        <w:rPr>
          <w:color w:val="231F20"/>
          <w:w w:val="105"/>
        </w:rPr>
        <w:t>el ayuntamiento</w:t>
      </w:r>
      <w:r>
        <w:rPr>
          <w:color w:val="231F20"/>
          <w:spacing w:val="-22"/>
          <w:w w:val="105"/>
        </w:rPr>
        <w:t> </w:t>
      </w:r>
      <w:r>
        <w:rPr>
          <w:color w:val="231F20"/>
          <w:w w:val="105"/>
        </w:rPr>
        <w:t>durante</w:t>
      </w:r>
      <w:r>
        <w:rPr>
          <w:color w:val="231F20"/>
          <w:spacing w:val="-22"/>
          <w:w w:val="105"/>
        </w:rPr>
        <w:t> </w:t>
      </w:r>
      <w:r>
        <w:rPr>
          <w:color w:val="231F20"/>
          <w:spacing w:val="-3"/>
          <w:w w:val="105"/>
        </w:rPr>
        <w:t>los</w:t>
      </w:r>
      <w:r>
        <w:rPr>
          <w:color w:val="231F20"/>
          <w:spacing w:val="-22"/>
          <w:w w:val="105"/>
        </w:rPr>
        <w:t> </w:t>
      </w:r>
      <w:r>
        <w:rPr>
          <w:color w:val="231F20"/>
          <w:w w:val="105"/>
        </w:rPr>
        <w:t>años</w:t>
      </w:r>
      <w:r>
        <w:rPr>
          <w:color w:val="231F20"/>
          <w:spacing w:val="-22"/>
          <w:w w:val="105"/>
        </w:rPr>
        <w:t> </w:t>
      </w:r>
      <w:r>
        <w:rPr>
          <w:color w:val="231F20"/>
          <w:w w:val="105"/>
        </w:rPr>
        <w:t>2003-2006</w:t>
      </w:r>
      <w:r>
        <w:rPr>
          <w:color w:val="231F20"/>
          <w:spacing w:val="-22"/>
          <w:w w:val="105"/>
        </w:rPr>
        <w:t> </w:t>
      </w:r>
      <w:r>
        <w:rPr>
          <w:color w:val="231F20"/>
          <w:spacing w:val="-4"/>
          <w:w w:val="105"/>
        </w:rPr>
        <w:t>comprometió</w:t>
      </w:r>
      <w:r>
        <w:rPr>
          <w:color w:val="231F20"/>
          <w:spacing w:val="-22"/>
          <w:w w:val="105"/>
        </w:rPr>
        <w:t> </w:t>
      </w:r>
      <w:r>
        <w:rPr>
          <w:color w:val="231F20"/>
          <w:spacing w:val="-3"/>
          <w:w w:val="105"/>
        </w:rPr>
        <w:t>fuertemente</w:t>
      </w:r>
      <w:r>
        <w:rPr>
          <w:color w:val="231F20"/>
          <w:spacing w:val="-22"/>
          <w:w w:val="105"/>
        </w:rPr>
        <w:t> </w:t>
      </w:r>
      <w:r>
        <w:rPr>
          <w:color w:val="231F20"/>
          <w:w w:val="105"/>
        </w:rPr>
        <w:t>sus</w:t>
      </w:r>
      <w:r>
        <w:rPr>
          <w:color w:val="231F20"/>
          <w:spacing w:val="-22"/>
          <w:w w:val="105"/>
        </w:rPr>
        <w:t> </w:t>
      </w:r>
      <w:r>
        <w:rPr>
          <w:color w:val="231F20"/>
          <w:w w:val="105"/>
        </w:rPr>
        <w:t>ingresos</w:t>
      </w:r>
      <w:r>
        <w:rPr>
          <w:color w:val="231F20"/>
          <w:spacing w:val="-22"/>
          <w:w w:val="105"/>
        </w:rPr>
        <w:t> </w:t>
      </w:r>
      <w:r>
        <w:rPr>
          <w:color w:val="231F20"/>
          <w:w w:val="105"/>
        </w:rPr>
        <w:t>al</w:t>
      </w:r>
      <w:r>
        <w:rPr>
          <w:color w:val="231F20"/>
          <w:spacing w:val="-22"/>
          <w:w w:val="105"/>
        </w:rPr>
        <w:t> </w:t>
      </w:r>
      <w:r>
        <w:rPr>
          <w:color w:val="231F20"/>
          <w:spacing w:val="-3"/>
          <w:w w:val="105"/>
        </w:rPr>
        <w:t>pun- </w:t>
      </w:r>
      <w:r>
        <w:rPr>
          <w:color w:val="231F20"/>
          <w:w w:val="105"/>
        </w:rPr>
        <w:t>to</w:t>
      </w:r>
      <w:r>
        <w:rPr>
          <w:color w:val="231F20"/>
          <w:spacing w:val="-22"/>
          <w:w w:val="105"/>
        </w:rPr>
        <w:t> </w:t>
      </w:r>
      <w:r>
        <w:rPr>
          <w:color w:val="231F20"/>
          <w:w w:val="105"/>
        </w:rPr>
        <w:t>de</w:t>
      </w:r>
      <w:r>
        <w:rPr>
          <w:color w:val="231F20"/>
          <w:spacing w:val="-21"/>
          <w:w w:val="105"/>
        </w:rPr>
        <w:t> </w:t>
      </w:r>
      <w:r>
        <w:rPr>
          <w:color w:val="231F20"/>
          <w:w w:val="105"/>
        </w:rPr>
        <w:t>anular</w:t>
      </w:r>
      <w:r>
        <w:rPr>
          <w:color w:val="231F20"/>
          <w:spacing w:val="-22"/>
          <w:w w:val="105"/>
        </w:rPr>
        <w:t> </w:t>
      </w:r>
      <w:r>
        <w:rPr>
          <w:color w:val="231F20"/>
          <w:w w:val="105"/>
        </w:rPr>
        <w:t>cualquier</w:t>
      </w:r>
      <w:r>
        <w:rPr>
          <w:color w:val="231F20"/>
          <w:spacing w:val="-22"/>
          <w:w w:val="105"/>
        </w:rPr>
        <w:t> </w:t>
      </w:r>
      <w:r>
        <w:rPr>
          <w:color w:val="231F20"/>
          <w:spacing w:val="-3"/>
          <w:w w:val="105"/>
        </w:rPr>
        <w:t>grado</w:t>
      </w:r>
      <w:r>
        <w:rPr>
          <w:color w:val="231F20"/>
          <w:spacing w:val="-22"/>
          <w:w w:val="105"/>
        </w:rPr>
        <w:t> </w:t>
      </w:r>
      <w:r>
        <w:rPr>
          <w:color w:val="231F20"/>
          <w:w w:val="105"/>
        </w:rPr>
        <w:t>de</w:t>
      </w:r>
      <w:r>
        <w:rPr>
          <w:color w:val="231F20"/>
          <w:spacing w:val="-22"/>
          <w:w w:val="105"/>
        </w:rPr>
        <w:t> </w:t>
      </w:r>
      <w:r>
        <w:rPr>
          <w:color w:val="231F20"/>
          <w:w w:val="105"/>
        </w:rPr>
        <w:t>maniobra</w:t>
      </w:r>
      <w:r>
        <w:rPr>
          <w:color w:val="231F20"/>
          <w:spacing w:val="-22"/>
          <w:w w:val="105"/>
        </w:rPr>
        <w:t> </w:t>
      </w:r>
      <w:r>
        <w:rPr>
          <w:color w:val="231F20"/>
          <w:w w:val="105"/>
        </w:rPr>
        <w:t>financiera</w:t>
      </w:r>
      <w:r>
        <w:rPr>
          <w:color w:val="231F20"/>
          <w:spacing w:val="-22"/>
          <w:w w:val="105"/>
        </w:rPr>
        <w:t> </w:t>
      </w:r>
      <w:r>
        <w:rPr>
          <w:color w:val="231F20"/>
          <w:spacing w:val="-3"/>
          <w:w w:val="105"/>
        </w:rPr>
        <w:t>del</w:t>
      </w:r>
      <w:r>
        <w:rPr>
          <w:color w:val="231F20"/>
          <w:spacing w:val="-22"/>
          <w:w w:val="105"/>
        </w:rPr>
        <w:t> </w:t>
      </w:r>
      <w:r>
        <w:rPr>
          <w:color w:val="231F20"/>
          <w:w w:val="105"/>
        </w:rPr>
        <w:t>gasto</w:t>
      </w:r>
      <w:r>
        <w:rPr>
          <w:color w:val="231F20"/>
          <w:spacing w:val="-22"/>
          <w:w w:val="105"/>
        </w:rPr>
        <w:t> </w:t>
      </w:r>
      <w:r>
        <w:rPr>
          <w:color w:val="231F20"/>
          <w:w w:val="105"/>
        </w:rPr>
        <w:t>municipal</w:t>
      </w:r>
      <w:r>
        <w:rPr>
          <w:color w:val="231F20"/>
          <w:spacing w:val="-21"/>
          <w:w w:val="105"/>
        </w:rPr>
        <w:t> </w:t>
      </w:r>
      <w:r>
        <w:rPr>
          <w:color w:val="231F20"/>
          <w:spacing w:val="-3"/>
          <w:w w:val="105"/>
        </w:rPr>
        <w:t>que</w:t>
      </w:r>
      <w:r>
        <w:rPr>
          <w:color w:val="231F20"/>
          <w:spacing w:val="-21"/>
          <w:w w:val="105"/>
        </w:rPr>
        <w:t> </w:t>
      </w:r>
      <w:r>
        <w:rPr>
          <w:color w:val="231F20"/>
          <w:spacing w:val="-3"/>
          <w:w w:val="105"/>
        </w:rPr>
        <w:t>no</w:t>
      </w:r>
      <w:r>
        <w:rPr>
          <w:color w:val="231F20"/>
          <w:spacing w:val="-22"/>
          <w:w w:val="105"/>
        </w:rPr>
        <w:t> </w:t>
      </w:r>
      <w:r>
        <w:rPr>
          <w:color w:val="231F20"/>
          <w:w w:val="105"/>
        </w:rPr>
        <w:t>estuviera dirigido</w:t>
      </w:r>
      <w:r>
        <w:rPr>
          <w:color w:val="231F20"/>
          <w:spacing w:val="-20"/>
          <w:w w:val="105"/>
        </w:rPr>
        <w:t> </w:t>
      </w:r>
      <w:r>
        <w:rPr>
          <w:color w:val="231F20"/>
          <w:w w:val="105"/>
        </w:rPr>
        <w:t>al</w:t>
      </w:r>
      <w:r>
        <w:rPr>
          <w:color w:val="231F20"/>
          <w:spacing w:val="-20"/>
          <w:w w:val="105"/>
        </w:rPr>
        <w:t> </w:t>
      </w:r>
      <w:r>
        <w:rPr>
          <w:color w:val="231F20"/>
          <w:spacing w:val="-3"/>
          <w:w w:val="105"/>
        </w:rPr>
        <w:t>pago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deuda</w:t>
      </w:r>
      <w:r>
        <w:rPr>
          <w:color w:val="231F20"/>
          <w:spacing w:val="-20"/>
          <w:w w:val="105"/>
        </w:rPr>
        <w:t> </w:t>
      </w:r>
      <w:r>
        <w:rPr>
          <w:color w:val="231F20"/>
          <w:w w:val="105"/>
        </w:rPr>
        <w:t>y</w:t>
      </w:r>
      <w:r>
        <w:rPr>
          <w:color w:val="231F20"/>
          <w:spacing w:val="-20"/>
          <w:w w:val="105"/>
        </w:rPr>
        <w:t> </w:t>
      </w:r>
      <w:r>
        <w:rPr>
          <w:color w:val="231F20"/>
          <w:spacing w:val="-3"/>
          <w:w w:val="105"/>
        </w:rPr>
        <w:t>del</w:t>
      </w:r>
      <w:r>
        <w:rPr>
          <w:color w:val="231F20"/>
          <w:spacing w:val="-20"/>
          <w:w w:val="105"/>
        </w:rPr>
        <w:t> </w:t>
      </w:r>
      <w:r>
        <w:rPr>
          <w:color w:val="231F20"/>
          <w:spacing w:val="-3"/>
          <w:w w:val="105"/>
        </w:rPr>
        <w:t>resto</w:t>
      </w:r>
      <w:r>
        <w:rPr>
          <w:color w:val="231F20"/>
          <w:spacing w:val="-20"/>
          <w:w w:val="105"/>
        </w:rPr>
        <w:t> </w:t>
      </w:r>
      <w:r>
        <w:rPr>
          <w:color w:val="231F20"/>
          <w:w w:val="105"/>
        </w:rPr>
        <w:t>de</w:t>
      </w:r>
      <w:r>
        <w:rPr>
          <w:color w:val="231F20"/>
          <w:spacing w:val="-20"/>
          <w:w w:val="105"/>
        </w:rPr>
        <w:t> </w:t>
      </w:r>
      <w:r>
        <w:rPr>
          <w:color w:val="231F20"/>
          <w:spacing w:val="-3"/>
          <w:w w:val="105"/>
        </w:rPr>
        <w:t>los</w:t>
      </w:r>
      <w:r>
        <w:rPr>
          <w:color w:val="231F20"/>
          <w:spacing w:val="-20"/>
          <w:w w:val="105"/>
        </w:rPr>
        <w:t> </w:t>
      </w:r>
      <w:r>
        <w:rPr>
          <w:color w:val="231F20"/>
          <w:w w:val="105"/>
        </w:rPr>
        <w:t>egresos</w:t>
      </w:r>
      <w:r>
        <w:rPr>
          <w:color w:val="231F20"/>
          <w:spacing w:val="-20"/>
          <w:w w:val="105"/>
        </w:rPr>
        <w:t> </w:t>
      </w:r>
      <w:r>
        <w:rPr>
          <w:color w:val="231F20"/>
          <w:spacing w:val="-3"/>
          <w:w w:val="105"/>
        </w:rPr>
        <w:t>previamente</w:t>
      </w:r>
      <w:r>
        <w:rPr>
          <w:color w:val="231F20"/>
          <w:spacing w:val="-20"/>
          <w:w w:val="105"/>
        </w:rPr>
        <w:t> </w:t>
      </w:r>
      <w:r>
        <w:rPr>
          <w:color w:val="231F20"/>
          <w:spacing w:val="-3"/>
          <w:w w:val="105"/>
        </w:rPr>
        <w:t>establecidos.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Estos</w:t>
      </w:r>
      <w:r>
        <w:rPr>
          <w:color w:val="231F20"/>
          <w:spacing w:val="-21"/>
          <w:w w:val="105"/>
        </w:rPr>
        <w:t> </w:t>
      </w:r>
      <w:r>
        <w:rPr>
          <w:color w:val="231F20"/>
          <w:w w:val="105"/>
        </w:rPr>
        <w:t>elementos,</w:t>
      </w:r>
      <w:r>
        <w:rPr>
          <w:color w:val="231F20"/>
          <w:spacing w:val="-21"/>
          <w:w w:val="105"/>
        </w:rPr>
        <w:t> </w:t>
      </w:r>
      <w:r>
        <w:rPr>
          <w:color w:val="231F20"/>
          <w:w w:val="105"/>
        </w:rPr>
        <w:t>en</w:t>
      </w:r>
      <w:r>
        <w:rPr>
          <w:color w:val="231F20"/>
          <w:spacing w:val="-21"/>
          <w:w w:val="105"/>
        </w:rPr>
        <w:t> </w:t>
      </w:r>
      <w:r>
        <w:rPr>
          <w:color w:val="231F20"/>
          <w:w w:val="105"/>
        </w:rPr>
        <w:t>mayor</w:t>
      </w:r>
      <w:r>
        <w:rPr>
          <w:color w:val="231F20"/>
          <w:spacing w:val="-21"/>
          <w:w w:val="105"/>
        </w:rPr>
        <w:t> </w:t>
      </w:r>
      <w:r>
        <w:rPr>
          <w:color w:val="231F20"/>
          <w:w w:val="105"/>
        </w:rPr>
        <w:t>medida,</w:t>
      </w:r>
      <w:r>
        <w:rPr>
          <w:color w:val="231F20"/>
          <w:spacing w:val="-21"/>
          <w:w w:val="105"/>
        </w:rPr>
        <w:t> </w:t>
      </w:r>
      <w:r>
        <w:rPr>
          <w:color w:val="231F20"/>
          <w:w w:val="105"/>
        </w:rPr>
        <w:t>han</w:t>
      </w:r>
      <w:r>
        <w:rPr>
          <w:color w:val="231F20"/>
          <w:spacing w:val="-21"/>
          <w:w w:val="105"/>
        </w:rPr>
        <w:t> </w:t>
      </w:r>
      <w:r>
        <w:rPr>
          <w:color w:val="231F20"/>
          <w:w w:val="105"/>
        </w:rPr>
        <w:t>influido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comportamiento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flexibilidad financiera</w:t>
      </w:r>
      <w:r>
        <w:rPr>
          <w:color w:val="231F20"/>
          <w:w w:val="105"/>
          <w:position w:val="7"/>
          <w:sz w:val="13"/>
        </w:rPr>
        <w:t>15</w:t>
      </w:r>
      <w:r>
        <w:rPr>
          <w:color w:val="231F20"/>
          <w:spacing w:val="16"/>
          <w:w w:val="105"/>
          <w:position w:val="7"/>
          <w:sz w:val="13"/>
        </w:rPr>
        <w:t> </w:t>
      </w:r>
      <w:r>
        <w:rPr>
          <w:color w:val="231F20"/>
          <w:w w:val="105"/>
        </w:rPr>
        <w:t>del</w:t>
      </w:r>
      <w:r>
        <w:rPr>
          <w:color w:val="231F20"/>
          <w:spacing w:val="-7"/>
          <w:w w:val="105"/>
        </w:rPr>
        <w:t> </w:t>
      </w:r>
      <w:r>
        <w:rPr>
          <w:color w:val="231F20"/>
          <w:w w:val="105"/>
        </w:rPr>
        <w:t>municipio</w:t>
      </w:r>
      <w:r>
        <w:rPr>
          <w:color w:val="231F20"/>
          <w:spacing w:val="-7"/>
          <w:w w:val="105"/>
        </w:rPr>
        <w:t> </w:t>
      </w:r>
      <w:r>
        <w:rPr>
          <w:color w:val="231F20"/>
          <w:w w:val="105"/>
        </w:rPr>
        <w:t>que</w:t>
      </w:r>
      <w:r>
        <w:rPr>
          <w:color w:val="231F20"/>
          <w:spacing w:val="-7"/>
          <w:w w:val="105"/>
        </w:rPr>
        <w:t> </w:t>
      </w:r>
      <w:r>
        <w:rPr>
          <w:color w:val="231F20"/>
          <w:w w:val="105"/>
        </w:rPr>
        <w:t>muestra</w:t>
      </w:r>
      <w:r>
        <w:rPr>
          <w:color w:val="231F20"/>
          <w:spacing w:val="-7"/>
          <w:w w:val="105"/>
        </w:rPr>
        <w:t> </w:t>
      </w:r>
      <w:r>
        <w:rPr>
          <w:color w:val="231F20"/>
          <w:w w:val="105"/>
        </w:rPr>
        <w:t>una</w:t>
      </w:r>
      <w:r>
        <w:rPr>
          <w:color w:val="231F20"/>
          <w:spacing w:val="-7"/>
          <w:w w:val="105"/>
        </w:rPr>
        <w:t> </w:t>
      </w:r>
      <w:r>
        <w:rPr>
          <w:color w:val="231F20"/>
          <w:w w:val="105"/>
        </w:rPr>
        <w:t>tendencia</w:t>
      </w:r>
      <w:r>
        <w:rPr>
          <w:color w:val="231F20"/>
          <w:spacing w:val="-7"/>
          <w:w w:val="105"/>
        </w:rPr>
        <w:t> </w:t>
      </w:r>
      <w:r>
        <w:rPr>
          <w:color w:val="231F20"/>
          <w:w w:val="105"/>
        </w:rPr>
        <w:t>decreciente</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spacing w:val="2"/>
          <w:w w:val="105"/>
        </w:rPr>
        <w:t>finanzas</w:t>
      </w:r>
      <w:r>
        <w:rPr>
          <w:color w:val="231F20"/>
          <w:spacing w:val="-7"/>
          <w:w w:val="105"/>
        </w:rPr>
        <w:t> </w:t>
      </w:r>
      <w:r>
        <w:rPr>
          <w:color w:val="231F20"/>
          <w:w w:val="105"/>
        </w:rPr>
        <w:t>loca- les, además de que se redujo drásticamente en el periodo en que se contrató la deuda. </w:t>
      </w:r>
      <w:r>
        <w:rPr>
          <w:color w:val="231F20"/>
          <w:spacing w:val="-3"/>
          <w:w w:val="105"/>
        </w:rPr>
        <w:t>También </w:t>
      </w:r>
      <w:r>
        <w:rPr>
          <w:color w:val="231F20"/>
          <w:w w:val="105"/>
        </w:rPr>
        <w:t>se observa que el comportamiento de la flexibilidad financiera es parecido</w:t>
      </w:r>
      <w:r>
        <w:rPr>
          <w:color w:val="231F20"/>
          <w:spacing w:val="-39"/>
          <w:w w:val="105"/>
        </w:rPr>
        <w:t> </w:t>
      </w:r>
      <w:r>
        <w:rPr>
          <w:color w:val="231F20"/>
          <w:spacing w:val="2"/>
          <w:w w:val="105"/>
        </w:rPr>
        <w:t>al </w:t>
      </w:r>
      <w:r>
        <w:rPr>
          <w:color w:val="231F20"/>
          <w:w w:val="105"/>
        </w:rPr>
        <w:t>del peso proporcional del gasto corriente en los egresos municipales. En contraste, la deuda pública de Huixquilucan mantiene un crecimiento</w:t>
      </w:r>
      <w:r>
        <w:rPr>
          <w:color w:val="231F20"/>
          <w:spacing w:val="-25"/>
          <w:w w:val="105"/>
        </w:rPr>
        <w:t> </w:t>
      </w:r>
      <w:r>
        <w:rPr>
          <w:color w:val="231F20"/>
          <w:w w:val="105"/>
        </w:rPr>
        <w:t>constante.</w:t>
      </w:r>
    </w:p>
    <w:p>
      <w:pPr>
        <w:pStyle w:val="BodyText"/>
        <w:spacing w:before="1"/>
        <w:rPr>
          <w:sz w:val="26"/>
        </w:rPr>
      </w:pPr>
    </w:p>
    <w:p>
      <w:pPr>
        <w:pStyle w:val="BodyText"/>
        <w:spacing w:line="285" w:lineRule="auto"/>
        <w:ind w:left="110" w:right="108"/>
        <w:jc w:val="both"/>
      </w:pPr>
      <w:r>
        <w:rPr>
          <w:color w:val="231F20"/>
          <w:w w:val="105"/>
        </w:rPr>
        <w:t>A</w:t>
      </w:r>
      <w:r>
        <w:rPr>
          <w:color w:val="231F20"/>
          <w:spacing w:val="-11"/>
          <w:w w:val="105"/>
        </w:rPr>
        <w:t> </w:t>
      </w:r>
      <w:r>
        <w:rPr>
          <w:color w:val="231F20"/>
          <w:spacing w:val="2"/>
          <w:w w:val="105"/>
        </w:rPr>
        <w:t>partir</w:t>
      </w:r>
      <w:r>
        <w:rPr>
          <w:color w:val="231F20"/>
          <w:spacing w:val="-11"/>
          <w:w w:val="105"/>
        </w:rPr>
        <w:t> </w:t>
      </w:r>
      <w:r>
        <w:rPr>
          <w:color w:val="231F20"/>
          <w:w w:val="105"/>
        </w:rPr>
        <w:t>del</w:t>
      </w:r>
      <w:r>
        <w:rPr>
          <w:color w:val="231F20"/>
          <w:spacing w:val="-11"/>
          <w:w w:val="105"/>
        </w:rPr>
        <w:t> </w:t>
      </w:r>
      <w:r>
        <w:rPr>
          <w:color w:val="231F20"/>
          <w:w w:val="105"/>
        </w:rPr>
        <w:t>comportamiento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tendencias</w:t>
      </w:r>
      <w:r>
        <w:rPr>
          <w:color w:val="231F20"/>
          <w:spacing w:val="-11"/>
          <w:w w:val="105"/>
        </w:rPr>
        <w:t> </w:t>
      </w:r>
      <w:r>
        <w:rPr>
          <w:color w:val="231F20"/>
          <w:w w:val="105"/>
        </w:rPr>
        <w:t>de</w:t>
      </w:r>
      <w:r>
        <w:rPr>
          <w:color w:val="231F20"/>
          <w:spacing w:val="-11"/>
          <w:w w:val="105"/>
        </w:rPr>
        <w:t> </w:t>
      </w:r>
      <w:r>
        <w:rPr>
          <w:color w:val="231F20"/>
          <w:w w:val="105"/>
        </w:rPr>
        <w:t>estos</w:t>
      </w:r>
      <w:r>
        <w:rPr>
          <w:color w:val="231F20"/>
          <w:spacing w:val="-11"/>
          <w:w w:val="105"/>
        </w:rPr>
        <w:t> </w:t>
      </w:r>
      <w:r>
        <w:rPr>
          <w:color w:val="231F20"/>
          <w:w w:val="105"/>
        </w:rPr>
        <w:t>rubros</w:t>
      </w:r>
      <w:r>
        <w:rPr>
          <w:color w:val="231F20"/>
          <w:spacing w:val="-11"/>
          <w:w w:val="105"/>
        </w:rPr>
        <w:t> </w:t>
      </w:r>
      <w:r>
        <w:rPr>
          <w:color w:val="231F20"/>
          <w:w w:val="105"/>
        </w:rPr>
        <w:t>(gráfica</w:t>
      </w:r>
      <w:r>
        <w:rPr>
          <w:color w:val="231F20"/>
          <w:spacing w:val="-11"/>
          <w:w w:val="105"/>
        </w:rPr>
        <w:t> </w:t>
      </w:r>
      <w:r>
        <w:rPr>
          <w:color w:val="231F20"/>
          <w:w w:val="105"/>
        </w:rPr>
        <w:t>5)</w:t>
      </w:r>
      <w:r>
        <w:rPr>
          <w:color w:val="231F20"/>
          <w:spacing w:val="-11"/>
          <w:w w:val="105"/>
        </w:rPr>
        <w:t> </w:t>
      </w:r>
      <w:r>
        <w:rPr>
          <w:color w:val="231F20"/>
          <w:w w:val="105"/>
        </w:rPr>
        <w:t>se</w:t>
      </w:r>
      <w:r>
        <w:rPr>
          <w:color w:val="231F20"/>
          <w:spacing w:val="-11"/>
          <w:w w:val="105"/>
        </w:rPr>
        <w:t> </w:t>
      </w:r>
      <w:r>
        <w:rPr>
          <w:color w:val="231F20"/>
          <w:w w:val="105"/>
        </w:rPr>
        <w:t>infiere</w:t>
      </w:r>
      <w:r>
        <w:rPr>
          <w:color w:val="231F20"/>
          <w:spacing w:val="-11"/>
          <w:w w:val="105"/>
        </w:rPr>
        <w:t> </w:t>
      </w:r>
      <w:r>
        <w:rPr>
          <w:color w:val="231F20"/>
          <w:w w:val="105"/>
        </w:rPr>
        <w:t>que los</w:t>
      </w:r>
      <w:r>
        <w:rPr>
          <w:color w:val="231F20"/>
          <w:spacing w:val="-7"/>
          <w:w w:val="105"/>
        </w:rPr>
        <w:t> </w:t>
      </w:r>
      <w:r>
        <w:rPr>
          <w:color w:val="231F20"/>
          <w:w w:val="105"/>
        </w:rPr>
        <w:t>esfuerzos</w:t>
      </w:r>
      <w:r>
        <w:rPr>
          <w:color w:val="231F20"/>
          <w:spacing w:val="-7"/>
          <w:w w:val="105"/>
        </w:rPr>
        <w:t> </w:t>
      </w:r>
      <w:r>
        <w:rPr>
          <w:color w:val="231F20"/>
          <w:w w:val="105"/>
        </w:rPr>
        <w:t>por</w:t>
      </w:r>
      <w:r>
        <w:rPr>
          <w:color w:val="231F20"/>
          <w:spacing w:val="-7"/>
          <w:w w:val="105"/>
        </w:rPr>
        <w:t> </w:t>
      </w:r>
      <w:r>
        <w:rPr>
          <w:color w:val="231F20"/>
          <w:w w:val="105"/>
        </w:rPr>
        <w:t>reducir</w:t>
      </w:r>
      <w:r>
        <w:rPr>
          <w:color w:val="231F20"/>
          <w:spacing w:val="-7"/>
          <w:w w:val="105"/>
        </w:rPr>
        <w:t> </w:t>
      </w:r>
      <w:r>
        <w:rPr>
          <w:color w:val="231F20"/>
          <w:w w:val="105"/>
        </w:rPr>
        <w:t>el</w:t>
      </w:r>
      <w:r>
        <w:rPr>
          <w:color w:val="231F20"/>
          <w:spacing w:val="-7"/>
          <w:w w:val="105"/>
        </w:rPr>
        <w:t> </w:t>
      </w:r>
      <w:r>
        <w:rPr>
          <w:color w:val="231F20"/>
          <w:w w:val="105"/>
        </w:rPr>
        <w:t>peso</w:t>
      </w:r>
      <w:r>
        <w:rPr>
          <w:color w:val="231F20"/>
          <w:spacing w:val="-7"/>
          <w:w w:val="105"/>
        </w:rPr>
        <w:t> </w:t>
      </w:r>
      <w:r>
        <w:rPr>
          <w:color w:val="231F20"/>
          <w:w w:val="105"/>
        </w:rPr>
        <w:t>del</w:t>
      </w:r>
      <w:r>
        <w:rPr>
          <w:color w:val="231F20"/>
          <w:spacing w:val="-7"/>
          <w:w w:val="105"/>
        </w:rPr>
        <w:t> </w:t>
      </w:r>
      <w:r>
        <w:rPr>
          <w:color w:val="231F20"/>
          <w:w w:val="105"/>
        </w:rPr>
        <w:t>gasto</w:t>
      </w:r>
      <w:r>
        <w:rPr>
          <w:color w:val="231F20"/>
          <w:spacing w:val="-7"/>
          <w:w w:val="105"/>
        </w:rPr>
        <w:t> </w:t>
      </w:r>
      <w:r>
        <w:rPr>
          <w:color w:val="231F20"/>
          <w:w w:val="105"/>
        </w:rPr>
        <w:t>corriente</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egresos</w:t>
      </w:r>
      <w:r>
        <w:rPr>
          <w:color w:val="231F20"/>
          <w:spacing w:val="-7"/>
          <w:w w:val="105"/>
        </w:rPr>
        <w:t> </w:t>
      </w:r>
      <w:r>
        <w:rPr>
          <w:color w:val="231F20"/>
          <w:w w:val="105"/>
        </w:rPr>
        <w:t>municipales,</w:t>
      </w:r>
      <w:r>
        <w:rPr>
          <w:color w:val="231F20"/>
          <w:spacing w:val="-7"/>
          <w:w w:val="105"/>
        </w:rPr>
        <w:t> </w:t>
      </w:r>
      <w:r>
        <w:rPr>
          <w:color w:val="231F20"/>
          <w:w w:val="105"/>
        </w:rPr>
        <w:t>si</w:t>
      </w:r>
      <w:r>
        <w:rPr>
          <w:color w:val="231F20"/>
          <w:spacing w:val="-7"/>
          <w:w w:val="105"/>
        </w:rPr>
        <w:t> </w:t>
      </w:r>
      <w:r>
        <w:rPr>
          <w:color w:val="231F20"/>
          <w:w w:val="105"/>
        </w:rPr>
        <w:t>bien no aumentan el grado de flexibilidad financiera, parece que permite un mayor margen de</w:t>
      </w:r>
      <w:r>
        <w:rPr>
          <w:color w:val="231F20"/>
          <w:spacing w:val="-11"/>
          <w:w w:val="105"/>
        </w:rPr>
        <w:t> </w:t>
      </w:r>
      <w:r>
        <w:rPr>
          <w:color w:val="231F20"/>
          <w:w w:val="105"/>
        </w:rPr>
        <w:t>maniobra</w:t>
      </w:r>
      <w:r>
        <w:rPr>
          <w:color w:val="231F20"/>
          <w:spacing w:val="-11"/>
          <w:w w:val="105"/>
        </w:rPr>
        <w:t> </w:t>
      </w:r>
      <w:r>
        <w:rPr>
          <w:color w:val="231F20"/>
          <w:w w:val="105"/>
        </w:rPr>
        <w:t>financiera</w:t>
      </w:r>
      <w:r>
        <w:rPr>
          <w:color w:val="231F20"/>
          <w:spacing w:val="-11"/>
          <w:w w:val="105"/>
        </w:rPr>
        <w:t> </w:t>
      </w:r>
      <w:r>
        <w:rPr>
          <w:color w:val="231F20"/>
          <w:w w:val="105"/>
        </w:rPr>
        <w:t>para</w:t>
      </w:r>
      <w:r>
        <w:rPr>
          <w:color w:val="231F20"/>
          <w:spacing w:val="-11"/>
          <w:w w:val="105"/>
        </w:rPr>
        <w:t> </w:t>
      </w:r>
      <w:r>
        <w:rPr>
          <w:color w:val="231F20"/>
          <w:w w:val="105"/>
        </w:rPr>
        <w:t>reorientar</w:t>
      </w:r>
      <w:r>
        <w:rPr>
          <w:color w:val="231F20"/>
          <w:spacing w:val="-11"/>
          <w:w w:val="105"/>
        </w:rPr>
        <w:t> </w:t>
      </w:r>
      <w:r>
        <w:rPr>
          <w:color w:val="231F20"/>
          <w:w w:val="105"/>
        </w:rPr>
        <w:t>el</w:t>
      </w:r>
      <w:r>
        <w:rPr>
          <w:color w:val="231F20"/>
          <w:spacing w:val="-11"/>
          <w:w w:val="105"/>
        </w:rPr>
        <w:t> </w:t>
      </w:r>
      <w:r>
        <w:rPr>
          <w:color w:val="231F20"/>
          <w:w w:val="105"/>
        </w:rPr>
        <w:t>gasto</w:t>
      </w:r>
      <w:r>
        <w:rPr>
          <w:color w:val="231F20"/>
          <w:spacing w:val="-11"/>
          <w:w w:val="105"/>
        </w:rPr>
        <w:t> </w:t>
      </w:r>
      <w:r>
        <w:rPr>
          <w:color w:val="231F20"/>
          <w:w w:val="105"/>
        </w:rPr>
        <w:t>local</w:t>
      </w:r>
      <w:r>
        <w:rPr>
          <w:color w:val="231F20"/>
          <w:spacing w:val="-11"/>
          <w:w w:val="105"/>
        </w:rPr>
        <w:t> </w:t>
      </w:r>
      <w:r>
        <w:rPr>
          <w:color w:val="231F20"/>
          <w:w w:val="105"/>
        </w:rPr>
        <w:t>hacia</w:t>
      </w:r>
      <w:r>
        <w:rPr>
          <w:color w:val="231F20"/>
          <w:spacing w:val="-11"/>
          <w:w w:val="105"/>
        </w:rPr>
        <w:t> </w:t>
      </w:r>
      <w:r>
        <w:rPr>
          <w:color w:val="231F20"/>
          <w:w w:val="105"/>
        </w:rPr>
        <w:t>la</w:t>
      </w:r>
      <w:r>
        <w:rPr>
          <w:color w:val="231F20"/>
          <w:spacing w:val="-11"/>
          <w:w w:val="105"/>
        </w:rPr>
        <w:t> </w:t>
      </w:r>
      <w:r>
        <w:rPr>
          <w:color w:val="231F20"/>
          <w:w w:val="105"/>
        </w:rPr>
        <w:t>deuda</w:t>
      </w:r>
      <w:r>
        <w:rPr>
          <w:color w:val="231F20"/>
          <w:spacing w:val="-11"/>
          <w:w w:val="105"/>
        </w:rPr>
        <w:t> </w:t>
      </w:r>
      <w:r>
        <w:rPr>
          <w:color w:val="231F20"/>
          <w:w w:val="105"/>
        </w:rPr>
        <w:t>pública.</w:t>
      </w:r>
    </w:p>
    <w:p>
      <w:pPr>
        <w:pStyle w:val="BodyText"/>
        <w:spacing w:before="1"/>
        <w:rPr>
          <w:sz w:val="26"/>
        </w:rPr>
      </w:pPr>
    </w:p>
    <w:p>
      <w:pPr>
        <w:pStyle w:val="Heading5"/>
        <w:spacing w:line="285" w:lineRule="auto"/>
        <w:ind w:left="2890" w:right="-2" w:hanging="2505"/>
      </w:pPr>
      <w:r>
        <w:rPr/>
        <w:pict>
          <v:group style="position:absolute;margin-left:80.714798pt;margin-top:46.395321pt;width:247.4pt;height:109.4pt;mso-position-horizontal-relative:page;mso-position-vertical-relative:paragraph;z-index:4312" coordorigin="1614,928" coordsize="4948,2188">
            <v:rect style="position:absolute;left:1683;top:938;width:4868;height:2007" filled="true" fillcolor="#bcbec0" stroked="false">
              <v:fill type="solid"/>
            </v:rect>
            <v:rect style="position:absolute;left:1683;top:938;width:4868;height:2007" filled="false" stroked="true" strokeweight="1pt" strokecolor="#231f20"/>
            <v:shape style="position:absolute;left:0;top:7294;width:4932;height:2046" coordorigin="0,7294" coordsize="4932,2046" path="m1619,938l6551,938m1619,1190l6551,1190m1619,1453l6551,1453m1619,1700l6551,1700m1619,1936l6551,1936m1619,2194l6551,2194m1619,2441l6551,2441m1619,2693l6551,2693m1619,2946l6551,2946m2299,2983l2299,2946m2900,2983l2900,2946m3511,2983l3511,2946m4124,2983l4124,2946m4725,2983l4725,2946m5334,2983l5334,2946m5937,2983l5937,2946m6551,2983l6551,2946m1683,2983l1683,2946e" filled="false" stroked="true" strokeweight=".5pt" strokecolor="#231f20">
              <v:path arrowok="t"/>
            </v:shape>
            <v:shape style="position:absolute;left:1716;top:3019;width:4836;height:97" coordorigin="1716,3019" coordsize="4836,97" path="m1776,3040l1773,3034,1770,3030,1764,3022,1757,3019,1735,3019,1727,3024,1720,3038,1718,3045,1718,3053,1729,3053,1729,3047,1730,3043,1735,3033,1740,3030,1752,3030,1756,3032,1762,3038,1764,3042,1764,3053,1762,3057,1759,3060,1757,3063,1753,3065,1728,3081,1723,3086,1718,3098,1716,3105,1716,3113,1775,3113,1775,3102,1728,3102,1729,3097,1732,3093,1736,3090,1738,3087,1741,3085,1761,3073,1766,3070,1773,3061,1776,3055,1776,3040m1844,3053l1842,3042,1836,3030,1833,3025,1833,3024,1833,3056,1832,3082,1831,3092,1824,3102,1820,3105,1807,3105,1802,3101,1797,3086,1796,3079,1796,3056,1798,3047,1804,3034,1808,3030,1822,3030,1826,3034,1831,3047,1833,3056,1833,3024,1825,3020,1802,3020,1793,3027,1786,3049,1785,3058,1785,3082,1787,3093,1796,3111,1804,3116,1826,3116,1834,3110,1836,3105,1842,3090,1844,3079,1844,3053m1913,3053l1911,3042,1905,3030,1902,3025,1901,3024,1901,3056,1901,3082,1900,3092,1893,3102,1888,3105,1876,3105,1871,3101,1866,3086,1865,3079,1865,3056,1867,3047,1872,3034,1877,3030,1890,3030,1895,3034,1900,3047,1901,3056,1901,3024,1894,3020,1870,3020,1862,3027,1855,3049,1853,3058,1853,3082,1855,3093,1865,3111,1872,3116,1894,3116,1903,3110,1905,3105,1908,3098,1911,3090,1913,3079,1913,3053m1962,3020l1953,3020,1952,3027,1949,3032,1943,3036,1938,3037,1930,3038,1930,3047,1950,3047,1950,3113,1962,3113,1962,3020m2423,3040l2420,3034,2417,3030,2411,3022,2404,3019,2382,3019,2374,3024,2367,3038,2365,3045,2365,3053,2376,3053,2376,3047,2377,3043,2381,3033,2387,3030,2399,3030,2403,3032,2409,3038,2411,3042,2411,3053,2409,3057,2406,3060,2404,3063,2400,3065,2375,3081,2370,3086,2365,3098,2363,3105,2363,3113,2422,3113,2422,3102,2375,3102,2376,3097,2379,3093,2383,3090,2385,3087,2388,3085,2407,3073,2413,3070,2420,3061,2423,3055,2423,3040m2491,3053l2489,3042,2483,3030,2480,3025,2479,3024,2479,3056,2479,3082,2478,3092,2471,3102,2467,3105,2454,3105,2449,3101,2444,3086,2443,3079,2443,3056,2445,3047,2451,3034,2455,3030,2469,3030,2473,3034,2478,3047,2479,3056,2479,3024,2472,3020,2449,3020,2440,3027,2433,3049,2432,3058,2432,3082,2434,3093,2443,3111,2451,3116,2473,3116,2481,3110,2483,3105,2489,3090,2491,3079,2491,3053m2560,3053l2558,3042,2552,3030,2549,3025,2548,3024,2548,3056,2548,3082,2546,3092,2540,3102,2535,3105,2523,3105,2518,3101,2513,3086,2512,3079,2512,3056,2513,3047,2519,3034,2524,3030,2537,3030,2542,3034,2547,3047,2548,3056,2548,3024,2541,3020,2517,3020,2509,3027,2502,3049,2500,3058,2500,3082,2502,3093,2512,3111,2519,3116,2541,3116,2550,3110,2552,3105,2558,3090,2560,3079,2560,3053m2629,3040l2626,3034,2623,3030,2617,3022,2610,3019,2588,3019,2580,3024,2573,3038,2571,3045,2571,3053,2582,3053,2582,3047,2583,3043,2587,3033,2593,3030,2605,3030,2609,3032,2615,3038,2617,3042,2616,3053,2615,3057,2612,3060,2610,3063,2606,3065,2581,3081,2576,3086,2571,3098,2569,3105,2569,3113,2628,3113,2628,3102,2581,3102,2582,3097,2585,3093,2589,3090,2591,3087,2594,3085,2613,3073,2618,3070,2626,3061,2629,3055,2629,3040m3074,3040l3071,3034,3068,3030,3062,3022,3055,3019,3033,3019,3025,3024,3018,3038,3016,3045,3016,3053,3027,3053,3027,3047,3028,3043,3032,3033,3038,3030,3050,3030,3054,3032,3060,3038,3062,3042,3061,3053,3060,3057,3057,3060,3055,3063,3051,3065,3026,3081,3021,3086,3016,3098,3014,3105,3014,3113,3073,3113,3073,3102,3026,3102,3027,3097,3030,3093,3034,3090,3036,3087,3039,3085,3058,3073,3063,3070,3071,3061,3074,3055,3074,3040m3142,3053l3140,3042,3134,3030,3131,3025,3130,3024,3130,3056,3130,3082,3129,3092,3122,3102,3118,3105,3105,3105,3100,3101,3095,3086,3094,3079,3094,3056,3096,3047,3102,3034,3106,3030,3120,3030,3124,3034,3129,3047,3130,3056,3130,3024,3123,3020,3100,3020,3091,3027,3084,3049,3083,3058,3083,3082,3085,3093,3094,3111,3102,3116,3124,3116,3132,3110,3134,3105,3137,3098,3140,3090,3142,3079,3142,3053m3211,3053l3209,3042,3203,3030,3200,3025,3199,3024,3199,3056,3199,3082,3197,3092,3191,3102,3186,3105,3174,3105,3169,3101,3164,3086,3163,3079,3163,3056,3164,3047,3170,3034,3175,3030,3188,3030,3193,3034,3198,3047,3199,3056,3199,3024,3192,3020,3168,3020,3160,3027,3153,3049,3151,3058,3151,3082,3153,3093,3163,3111,3170,3116,3192,3116,3200,3110,3203,3105,3206,3098,3209,3090,3211,3079,3211,3053m3279,3080l3278,3075,3275,3070,3273,3068,3269,3065,3265,3064,3268,3062,3270,3061,3270,3060,3275,3055,3276,3050,3276,3036,3274,3030,3274,3030,3264,3022,3257,3020,3237,3020,3229,3024,3225,3033,3222,3037,3221,3043,3221,3050,3232,3050,3232,3045,3233,3041,3237,3033,3242,3030,3254,3030,3257,3032,3263,3037,3265,3040,3265,3051,3262,3055,3258,3058,3255,3059,3252,3060,3245,3060,3243,3060,3243,3070,3253,3070,3259,3071,3266,3076,3268,3081,3268,3092,3266,3097,3259,3103,3254,3105,3241,3105,3236,3103,3232,3095,3231,3090,3230,3084,3219,3084,3219,3093,3221,3101,3230,3113,3238,3116,3258,3116,3266,3113,3273,3105,3277,3102,3279,3095,3279,3080m3733,3040l3731,3034,3728,3030,3722,3022,3715,3019,3693,3019,3685,3024,3677,3038,3676,3045,3676,3053,3687,3053,3687,3047,3688,3043,3692,3033,3697,3030,3710,3030,3714,3032,3720,3038,3721,3042,3721,3053,3720,3057,3716,3060,3714,3063,3711,3065,3686,3081,3681,3086,3675,3098,3674,3105,3674,3113,3733,3113,3733,3102,3686,3102,3687,3097,3689,3093,3693,3090,3696,3087,3699,3085,3718,3073,3723,3070,3731,3061,3733,3055,3733,3040m3802,3053l3800,3042,3794,3030,3791,3025,3790,3024,3790,3056,3790,3082,3788,3092,3782,3102,3777,3105,3765,3105,3760,3101,3755,3086,3754,3079,3754,3056,3755,3047,3761,3034,3766,3030,3779,3030,3784,3034,3789,3047,3790,3056,3790,3024,3783,3020,3759,3020,3751,3027,3743,3049,3742,3058,3742,3082,3744,3093,3754,3111,3761,3116,3783,3116,3791,3110,3793,3105,3800,3090,3802,3079,3802,3053m3870,3053l3868,3042,3862,3030,3860,3025,3859,3024,3859,3056,3859,3082,3857,3092,3850,3102,3846,3105,3833,3105,3828,3101,3824,3086,3823,3079,3823,3056,3824,3047,3830,3034,3835,3030,3848,3030,3853,3034,3858,3047,3859,3056,3859,3024,3852,3020,3828,3020,3819,3027,3812,3049,3811,3058,3811,3082,3813,3093,3822,3111,3830,3116,3852,3116,3860,3110,3862,3105,3869,3090,3870,3079,3870,3053m3940,3080l3928,3080,3928,3038,3928,3019,3918,3019,3916,3022,3916,3038,3916,3080,3889,3080,3916,3038,3916,3022,3879,3079,3879,3090,3917,3090,3917,3113,3928,3113,3928,3090,3940,3090,3940,3080m4384,3040l4381,3034,4378,3030,4372,3022,4365,3019,4343,3019,4335,3024,4328,3038,4326,3045,4326,3053,4337,3053,4337,3047,4338,3043,4343,3033,4348,3030,4360,3030,4364,3032,4370,3038,4372,3042,4372,3053,4370,3057,4365,3063,4361,3065,4336,3081,4331,3086,4326,3098,4324,3105,4324,3113,4383,3113,4383,3102,4336,3102,4337,3097,4340,3093,4344,3090,4346,3087,4349,3085,4369,3073,4374,3070,4381,3061,4384,3055,4384,3040m4452,3053l4450,3042,4444,3030,4441,3025,4440,3024,4440,3056,4440,3082,4439,3092,4432,3102,4428,3105,4415,3105,4410,3101,4405,3086,4404,3079,4404,3056,4406,3047,4412,3034,4416,3030,4430,3030,4434,3034,4439,3047,4440,3056,4440,3024,4433,3020,4410,3020,4401,3027,4394,3049,4393,3058,4393,3082,4395,3093,4404,3111,4412,3116,4434,3116,4442,3110,4444,3105,4450,3090,4452,3079,4452,3053m4521,3053l4519,3042,4513,3030,4510,3025,4509,3024,4509,3056,4509,3082,4508,3092,4501,3102,4496,3105,4484,3105,4479,3101,4474,3086,4473,3079,4473,3056,4474,3047,4480,3034,4485,3030,4498,3030,4503,3034,4508,3047,4509,3056,4509,3024,4502,3020,4478,3020,4470,3027,4463,3049,4461,3058,4461,3082,4463,3093,4473,3111,4480,3116,4502,3116,4511,3110,4513,3105,4519,3090,4521,3079,4521,3053m4590,3074l4587,3067,4584,3063,4579,3059,4576,3056,4569,3053,4557,3053,4553,3053,4548,3056,4546,3057,4544,3059,4548,3033,4585,3033,4585,3021,4540,3021,4533,3072,4543,3072,4545,3069,4547,3067,4552,3064,4555,3063,4564,3063,4569,3065,4576,3072,4578,3077,4578,3089,4576,3094,4570,3103,4565,3105,4556,3105,4553,3105,4545,3101,4542,3096,4541,3089,4530,3089,4531,3098,4534,3105,4545,3113,4551,3116,4569,3116,4577,3112,4582,3105,4587,3099,4590,3091,4590,3074m5045,3040l5043,3034,5040,3030,5034,3022,5027,3019,5005,3019,4997,3024,4989,3038,4988,3045,4988,3053,4999,3053,4999,3047,5000,3043,5004,3033,5009,3030,5022,3030,5026,3032,5032,3038,5033,3042,5033,3053,5032,3057,5026,3063,5023,3065,4998,3081,4993,3086,4988,3098,4986,3105,4986,3113,5045,3113,5045,3102,4998,3102,4999,3097,5001,3093,5005,3090,5008,3087,5011,3085,5030,3073,5035,3070,5043,3061,5045,3055,5045,3040m5114,3053l5112,3042,5106,3030,5103,3025,5102,3024,5102,3056,5102,3082,5101,3092,5094,3102,5089,3105,5077,3105,5072,3101,5067,3086,5066,3079,5066,3056,5068,3047,5073,3034,5078,3030,5091,3030,5096,3034,5101,3047,5102,3056,5102,3024,5095,3020,5071,3020,5063,3027,5056,3049,5054,3058,5054,3082,5056,3093,5066,3111,5073,3116,5095,3116,5104,3110,5106,3105,5112,3090,5114,3079,5114,3053m5183,3053l5181,3042,5175,3030,5172,3025,5171,3024,5171,3056,5171,3082,5169,3092,5163,3102,5158,3105,5145,3105,5140,3101,5136,3086,5135,3079,5135,3056,5136,3047,5142,3034,5147,3030,5160,3030,5165,3034,5170,3047,5171,3056,5171,3024,5164,3020,5140,3020,5132,3027,5124,3049,5123,3058,5123,3082,5125,3093,5134,3111,5142,3116,5164,3116,5172,3110,5174,3105,5181,3090,5183,3079,5183,3053m5252,3073l5249,3066,5247,3064,5240,3058,5240,3079,5240,3090,5239,3095,5233,3103,5229,3105,5217,3105,5213,3103,5207,3095,5205,3090,5205,3077,5207,3072,5214,3066,5216,3065,5218,3064,5229,3064,5234,3066,5239,3075,5240,3079,5240,3058,5238,3056,5232,3053,5220,3053,5217,3054,5213,3056,5209,3058,5206,3061,5204,3065,5204,3056,5204,3053,5206,3045,5213,3033,5218,3030,5229,3030,5233,3032,5237,3038,5238,3040,5239,3044,5250,3044,5250,3038,5248,3033,5246,3030,5240,3022,5234,3019,5211,3019,5201,3027,5194,3051,5192,3061,5192,3088,5195,3099,5207,3112,5214,3116,5232,3116,5239,3112,5244,3105,5249,3099,5252,3092,5252,3073m5687,3040l5685,3034,5682,3030,5675,3022,5668,3019,5646,3019,5638,3024,5631,3038,5629,3045,5629,3053,5640,3053,5640,3047,5641,3043,5646,3033,5651,3030,5663,3030,5667,3032,5673,3038,5675,3042,5675,3053,5673,3057,5668,3063,5664,3065,5640,3081,5634,3086,5629,3098,5627,3105,5627,3113,5686,3113,5686,3102,5639,3102,5640,3097,5643,3093,5647,3090,5649,3087,5652,3085,5672,3073,5677,3070,5684,3061,5687,3055,5687,3040m5755,3053l5753,3042,5747,3030,5745,3025,5744,3024,5744,3056,5744,3082,5742,3092,5735,3102,5731,3105,5718,3105,5713,3101,5708,3086,5708,3079,5707,3056,5709,3047,5715,3034,5720,3030,5733,3030,5738,3034,5742,3047,5744,3056,5744,3024,5736,3020,5713,3020,5704,3027,5697,3049,5696,3058,5696,3082,5698,3093,5707,3111,5715,3116,5737,3116,5745,3110,5747,3105,5754,3090,5755,3079,5755,3053m5824,3053l5822,3042,5816,3030,5813,3025,5812,3024,5812,3056,5812,3082,5811,3092,5804,3102,5799,3105,5787,3105,5782,3101,5777,3086,5776,3079,5776,3056,5778,3047,5784,3034,5788,3030,5802,3030,5806,3034,5811,3047,5812,3056,5812,3024,5805,3020,5782,3020,5773,3027,5766,3049,5764,3058,5764,3082,5767,3093,5776,3111,5784,3116,5805,3116,5814,3110,5816,3105,5822,3090,5824,3079,5824,3053m5894,3021l5834,3021,5834,3033,5881,3033,5875,3041,5870,3050,5864,3060,5858,3073,5853,3086,5849,3100,5846,3113,5858,3113,5860,3104,5861,3097,5864,3086,5867,3078,5874,3062,5878,3054,5887,3040,5891,3034,5894,3032,5894,3021m6346,3040l6344,3034,6341,3030,6335,3022,6328,3019,6306,3019,6297,3024,6290,3038,6289,3045,6289,3053,6300,3053,6300,3047,6301,3043,6305,3033,6310,3030,6323,3030,6327,3032,6333,3038,6334,3042,6334,3053,6333,3057,6327,3063,6324,3065,6299,3081,6294,3086,6288,3098,6287,3105,6287,3113,6346,3113,6346,3102,6299,3102,6300,3097,6302,3093,6306,3090,6308,3087,6312,3085,6331,3073,6336,3070,6344,3061,6346,3055,6346,3040m6415,3053l6413,3042,6407,3030,6404,3025,6403,3024,6403,3056,6403,3082,6401,3092,6395,3102,6390,3105,6378,3105,6373,3101,6368,3086,6367,3079,6367,3056,6368,3047,6374,3034,6379,3030,6392,3030,6397,3034,6402,3047,6403,3056,6403,3024,6396,3020,6372,3020,6364,3027,6356,3049,6355,3058,6355,3082,6357,3093,6367,3111,6374,3116,6396,3116,6404,3110,6406,3105,6413,3090,6415,3079,6415,3053m6483,3053l6481,3042,6475,3030,6473,3025,6472,3024,6472,3056,6472,3082,6470,3092,6463,3102,6459,3105,6446,3105,6441,3101,6436,3086,6436,3079,6436,3056,6437,3047,6443,3034,6448,3030,6461,3030,6466,3034,6471,3047,6472,3056,6472,3024,6465,3020,6441,3020,6432,3027,6425,3049,6424,3058,6424,3082,6426,3093,6435,3111,6443,3116,6465,3116,6473,3110,6475,3105,6482,3090,6483,3079,6483,3053m6552,3079l6550,3074,6546,3069,6544,3067,6541,3065,6540,3065,6540,3093,6539,3098,6532,3104,6528,3105,6517,3105,6512,3103,6506,3096,6504,3092,6505,3081,6506,3077,6513,3071,6517,3069,6527,3069,6532,3071,6539,3077,6540,3081,6540,3093,6540,3065,6538,3063,6541,3061,6543,3059,6544,3059,6548,3054,6549,3049,6549,3037,6547,3031,6545,3030,6537,3022,6537,3041,6537,3048,6536,3052,6531,3057,6527,3059,6518,3059,6515,3058,6509,3053,6507,3049,6507,3041,6508,3037,6513,3032,6517,3030,6527,3030,6531,3032,6536,3037,6537,3041,6537,3022,6537,3022,6531,3019,6514,3019,6507,3022,6498,3032,6496,3037,6496,3050,6497,3055,6502,3060,6504,3062,6507,3063,6503,3066,6499,3069,6494,3077,6493,3081,6493,3096,6496,3104,6507,3113,6514,3116,6532,3116,6539,3113,6546,3105,6549,3102,6552,3095,6552,3079e" filled="true" fillcolor="#231f20" stroked="false">
              <v:path arrowok="t"/>
              <v:fill type="solid"/>
            </v:shape>
            <v:line style="position:absolute" from="2035,1161" to="2091,1172" stroked="true" strokeweight="1.0pt" strokecolor="#231f20"/>
            <v:line style="position:absolute" from="2204,1198" to="6439,2130" stroked="true" strokeweight="1pt" strokecolor="#231f20">
              <v:stroke dashstyle="longDash"/>
            </v:line>
            <v:line style="position:absolute" from="6495,2144" to="6552,2155" stroked="true" strokeweight="1.0pt" strokecolor="#231f20"/>
            <v:shape style="position:absolute;left:1962;top:1056;width:4283;height:286" coordorigin="1962,1056" coordsize="4283,286" path="m1962,1056l2587,1203,3198,1160,3805,1308,4435,1217,5032,1341,5624,1227,6244,1198e" filled="false" stroked="true" strokeweight="1pt" strokecolor="#00aeef">
              <v:path arrowok="t"/>
            </v:shape>
            <v:shape style="position:absolute;left:1962;top:1380;width:4302;height:477" coordorigin="1962,1380" coordsize="4302,477" path="m1962,1857l2597,1704,3184,1733,3819,1380,4425,1514,5032,1566,5624,1557,6263,1618e" filled="false" stroked="true" strokeweight="1pt" strokecolor="#f7941d">
              <v:path arrowok="t"/>
            </v:shape>
            <v:shape style="position:absolute;left:1962;top:1595;width:4283;height:1121" coordorigin="1962,1595" coordsize="4283,1121" path="m1962,1595l2573,1667,3184,1733,3809,2716,4444,1953,5032,1972,5652,1791,6244,1705e" filled="false" stroked="true" strokeweight="1.0pt" strokecolor="#ec008c">
              <v:path arrowok="t"/>
            </v:shape>
            <v:line style="position:absolute" from="6182,1270" to="6153,1270" stroked="true" strokeweight="1pt" strokecolor="#231f20"/>
            <v:line style="position:absolute" from="6008,1270" to="5683,1270" stroked="true" strokeweight="1pt" strokecolor="#231f20">
              <v:stroke dashstyle="dash"/>
            </v:line>
            <v:line style="position:absolute" from="5533,1265" to="3259,1163" stroked="true" strokeweight="1pt" strokecolor="#231f20">
              <v:stroke dashstyle="dash"/>
            </v:line>
            <v:line style="position:absolute" from="3111,1161" to="2096,1161" stroked="true" strokeweight="1pt" strokecolor="#231f20">
              <v:stroke dashstyle="dash"/>
            </v:line>
            <v:shape style="position:absolute;left:-4059;top:7185;width:4059;height:109" coordorigin="-4059,7185" coordsize="4059,109" path="m6097,1270l6067,1270m5653,1270l5624,1270,5593,1268m3229,1162l3198,1161,3169,1161m2067,1161l2038,1161e" filled="false" stroked="true" strokeweight="1pt" strokecolor="#231f20">
              <v:path arrowok="t"/>
            </v:shape>
            <v:line style="position:absolute" from="2010,1160" to="1981,1160" stroked="true" strokeweight="1pt" strokecolor="#231f20"/>
            <v:line style="position:absolute" from="2010,1161" to="6551,2155" stroked="true" strokeweight="1.0pt" strokecolor="#231f20">
              <v:stroke dashstyle="longDash"/>
            </v:line>
            <v:line style="position:absolute" from="1981,1704" to="6182,1480" stroked="true" strokeweight="1pt" strokecolor="#231f20">
              <v:stroke dashstyle="longDash"/>
            </v:line>
            <v:line style="position:absolute" from="2035,1831" to="6244,1943" stroked="true" strokeweight="1pt" strokecolor="#231f20">
              <v:stroke dashstyle="longDash"/>
            </v:line>
            <w10:wrap type="none"/>
          </v:group>
        </w:pict>
      </w:r>
      <w:r>
        <w:rPr/>
        <w:pict>
          <v:group style="position:absolute;margin-left:338.376007pt;margin-top:50.464718pt;width:77.4pt;height:4.350pt;mso-position-horizontal-relative:page;mso-position-vertical-relative:paragraph;z-index:4336" coordorigin="6768,1009" coordsize="1548,87">
            <v:shape style="position:absolute;left:7382;top:1009;width:933;height:87" type="#_x0000_t75" stroked="false">
              <v:imagedata r:id="rId97" o:title=""/>
            </v:shape>
            <v:line style="position:absolute" from="6783,1056" to="7314,1056" stroked="true" strokeweight="1.5pt" strokecolor="#00aeef"/>
            <w10:wrap type="none"/>
          </v:group>
        </w:pict>
      </w:r>
      <w:r>
        <w:rPr/>
        <w:drawing>
          <wp:anchor distT="0" distB="0" distL="0" distR="0" allowOverlap="1" layoutInCell="1" locked="0" behindDoc="0" simplePos="0" relativeHeight="4360">
            <wp:simplePos x="0" y="0"/>
            <wp:positionH relativeFrom="page">
              <wp:posOffset>4690369</wp:posOffset>
            </wp:positionH>
            <wp:positionV relativeFrom="paragraph">
              <wp:posOffset>792579</wp:posOffset>
            </wp:positionV>
            <wp:extent cx="542537" cy="59436"/>
            <wp:effectExtent l="0" t="0" r="0" b="0"/>
            <wp:wrapNone/>
            <wp:docPr id="63" name="image82.png" descr=""/>
            <wp:cNvGraphicFramePr>
              <a:graphicFrameLocks noChangeAspect="1"/>
            </wp:cNvGraphicFramePr>
            <a:graphic>
              <a:graphicData uri="http://schemas.openxmlformats.org/drawingml/2006/picture">
                <pic:pic>
                  <pic:nvPicPr>
                    <pic:cNvPr id="64" name="image82.png"/>
                    <pic:cNvPicPr/>
                  </pic:nvPicPr>
                  <pic:blipFill>
                    <a:blip r:embed="rId98" cstate="print"/>
                    <a:stretch>
                      <a:fillRect/>
                    </a:stretch>
                  </pic:blipFill>
                  <pic:spPr>
                    <a:xfrm>
                      <a:off x="0" y="0"/>
                      <a:ext cx="542537" cy="59436"/>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4690784</wp:posOffset>
            </wp:positionH>
            <wp:positionV relativeFrom="paragraph">
              <wp:posOffset>946579</wp:posOffset>
            </wp:positionV>
            <wp:extent cx="834021" cy="59436"/>
            <wp:effectExtent l="0" t="0" r="0" b="0"/>
            <wp:wrapNone/>
            <wp:docPr id="65" name="image83.png" descr=""/>
            <wp:cNvGraphicFramePr>
              <a:graphicFrameLocks noChangeAspect="1"/>
            </wp:cNvGraphicFramePr>
            <a:graphic>
              <a:graphicData uri="http://schemas.openxmlformats.org/drawingml/2006/picture">
                <pic:pic>
                  <pic:nvPicPr>
                    <pic:cNvPr id="66" name="image83.png"/>
                    <pic:cNvPicPr/>
                  </pic:nvPicPr>
                  <pic:blipFill>
                    <a:blip r:embed="rId99" cstate="print"/>
                    <a:stretch>
                      <a:fillRect/>
                    </a:stretch>
                  </pic:blipFill>
                  <pic:spPr>
                    <a:xfrm>
                      <a:off x="0" y="0"/>
                      <a:ext cx="834021" cy="59436"/>
                    </a:xfrm>
                    <a:prstGeom prst="rect">
                      <a:avLst/>
                    </a:prstGeom>
                  </pic:spPr>
                </pic:pic>
              </a:graphicData>
            </a:graphic>
          </wp:anchor>
        </w:drawing>
      </w:r>
      <w:r>
        <w:rPr/>
        <w:drawing>
          <wp:anchor distT="0" distB="0" distL="0" distR="0" allowOverlap="1" layoutInCell="1" locked="0" behindDoc="0" simplePos="0" relativeHeight="4408">
            <wp:simplePos x="0" y="0"/>
            <wp:positionH relativeFrom="page">
              <wp:posOffset>4689409</wp:posOffset>
            </wp:positionH>
            <wp:positionV relativeFrom="paragraph">
              <wp:posOffset>1100592</wp:posOffset>
            </wp:positionV>
            <wp:extent cx="882395" cy="228600"/>
            <wp:effectExtent l="0" t="0" r="0" b="0"/>
            <wp:wrapNone/>
            <wp:docPr id="67" name="image84.png" descr=""/>
            <wp:cNvGraphicFramePr>
              <a:graphicFrameLocks noChangeAspect="1"/>
            </wp:cNvGraphicFramePr>
            <a:graphic>
              <a:graphicData uri="http://schemas.openxmlformats.org/drawingml/2006/picture">
                <pic:pic>
                  <pic:nvPicPr>
                    <pic:cNvPr id="68" name="image84.png"/>
                    <pic:cNvPicPr/>
                  </pic:nvPicPr>
                  <pic:blipFill>
                    <a:blip r:embed="rId100" cstate="print"/>
                    <a:stretch>
                      <a:fillRect/>
                    </a:stretch>
                  </pic:blipFill>
                  <pic:spPr>
                    <a:xfrm>
                      <a:off x="0" y="0"/>
                      <a:ext cx="882395" cy="228600"/>
                    </a:xfrm>
                    <a:prstGeom prst="rect">
                      <a:avLst/>
                    </a:prstGeom>
                  </pic:spPr>
                </pic:pic>
              </a:graphicData>
            </a:graphic>
          </wp:anchor>
        </w:drawing>
      </w:r>
      <w:r>
        <w:rPr/>
        <w:pict>
          <v:line style="position:absolute;mso-position-horizontal-relative:page;mso-position-vertical-relative:paragraph;z-index:4456" from="339.126007pt,65.663818pt" to="365.677007pt,65.663818pt" stroked="true" strokeweight="1pt" strokecolor="#f7941d">
            <w10:wrap type="none"/>
          </v:line>
        </w:pict>
      </w:r>
      <w:r>
        <w:rPr/>
        <w:pict>
          <v:line style="position:absolute;mso-position-horizontal-relative:page;mso-position-vertical-relative:paragraph;z-index:4480" from="339.126007pt,77.597015pt" to="365.677007pt,77.597015pt" stroked="true" strokeweight="1pt" strokecolor="#ec008c">
            <w10:wrap type="none"/>
          </v:line>
        </w:pict>
      </w:r>
      <w:r>
        <w:rPr/>
        <w:pict>
          <v:line style="position:absolute;mso-position-horizontal-relative:page;mso-position-vertical-relative:paragraph;z-index:4504" from="339.126007pt,89.530212pt" to="365.677007pt,89.530212pt" stroked="true" strokeweight="1pt" strokecolor="#231f20">
            <v:stroke dashstyle="dash"/>
            <w10:wrap type="none"/>
          </v:line>
        </w:pict>
      </w:r>
      <w:r>
        <w:rPr/>
        <w:pict>
          <v:line style="position:absolute;mso-position-horizontal-relative:page;mso-position-vertical-relative:paragraph;z-index:4528" from="339.126007pt,101.463425pt" to="365.677007pt,101.463425pt" stroked="true" strokeweight="1pt" strokecolor="#231f20">
            <v:stroke dashstyle="longDash"/>
            <w10:wrap type="none"/>
          </v:line>
        </w:pict>
      </w:r>
      <w:r>
        <w:rPr/>
        <w:pict>
          <v:shape style="position:absolute;margin-left:57.366001pt;margin-top:43.985306pt;width:19.850pt;height:4.9pt;mso-position-horizontal-relative:page;mso-position-vertical-relative:paragraph;z-index:4576" coordorigin="1147,880" coordsize="397,98" path="m1226,931l1223,926,1218,922,1215,921,1212,919,1210,918,1210,943,1208,947,1199,952,1194,953,1179,953,1173,952,1165,946,1163,942,1163,933,1165,929,1174,924,1179,922,1193,922,1199,924,1208,929,1210,933,1210,943,1210,918,1207,917,1211,916,1214,914,1215,914,1220,909,1222,905,1222,895,1219,890,1217,889,1207,882,1207,898,1207,904,1205,907,1198,912,1193,914,1181,914,1176,912,1168,908,1166,905,1166,898,1168,895,1174,890,1179,889,1193,889,1198,890,1205,895,1207,898,1207,882,1206,882,1198,880,1175,880,1167,882,1154,890,1151,896,1151,906,1153,910,1160,915,1163,916,1167,917,1160,919,1156,922,1149,929,1147,933,1147,946,1151,952,1167,960,1176,962,1199,962,1209,960,1218,953,1222,950,1226,944,1226,931m1317,908l1314,899,1306,889,1302,884,1301,884,1301,911,1301,933,1299,941,1290,951,1284,953,1267,953,1261,949,1255,937,1253,931,1253,911,1255,903,1263,892,1269,889,1287,889,1293,892,1300,904,1301,911,1301,884,1292,880,1261,880,1249,886,1243,898,1240,905,1238,913,1238,933,1241,943,1253,958,1263,962,1292,962,1303,957,1306,953,1314,940,1317,931,1317,908m1354,948l1337,948,1337,960,1346,960,1346,964,1346,965,1343,970,1341,971,1337,972,1337,977,1343,976,1348,974,1353,967,1354,964,1354,948m1453,908l1450,899,1442,889,1438,884,1437,884,1437,911,1437,933,1435,941,1426,951,1420,953,1404,953,1397,949,1391,937,1390,931,1389,911,1391,903,1399,892,1405,889,1423,889,1429,892,1436,904,1437,911,1437,884,1428,880,1397,880,1385,886,1379,898,1376,905,1374,913,1374,933,1377,943,1389,958,1399,962,1428,962,1439,957,1442,953,1450,940,1453,931,1453,908m1543,908l1541,899,1533,889,1529,884,1528,884,1528,911,1528,933,1526,941,1517,951,1511,953,1494,953,1488,949,1481,937,1480,931,1480,911,1482,903,1490,892,1496,889,1514,889,1520,892,1526,904,1528,911,1528,884,1518,880,1487,880,1476,886,1470,898,1466,905,1465,913,1465,933,1467,943,1480,958,1490,962,1519,962,1530,957,1532,953,1541,940,1543,931,1543,908e" filled="true" fillcolor="#231f20" stroked="false">
            <v:path arrowok="t"/>
            <v:fill type="solid"/>
            <w10:wrap type="none"/>
          </v:shape>
        </w:pict>
      </w:r>
      <w:r>
        <w:rPr/>
        <w:pict>
          <v:shape style="position:absolute;margin-left:57.409004pt;margin-top:55.246304pt;width:19.8pt;height:4.9pt;mso-position-horizontal-relative:page;mso-position-vertical-relative:paragraph;z-index:4600" coordorigin="1148,1105" coordsize="396,98" path="m1226,1151l1223,1145,1220,1143,1211,1138,1211,1156,1211,1166,1209,1170,1202,1177,1196,1178,1181,1178,1175,1177,1167,1170,1165,1166,1165,1155,1167,1150,1176,1145,1179,1144,1182,1143,1197,1143,1203,1145,1210,1153,1211,1156,1211,1138,1209,1136,1200,1134,1185,1134,1180,1135,1170,1138,1166,1141,1163,1144,1164,1135,1164,1134,1166,1127,1176,1116,1182,1114,1197,1114,1202,1115,1208,1121,1209,1123,1210,1126,1224,1126,1224,1121,1221,1117,1218,1114,1211,1107,1203,1105,1190,1105,1178,1106,1167,1110,1159,1116,1153,1125,1150,1132,1148,1140,1148,1164,1152,1173,1168,1185,1177,1187,1200,1187,1210,1185,1217,1178,1223,1173,1226,1167,1226,1151m1317,1134l1314,1125,1306,1114,1302,1110,1301,1109,1301,1136,1301,1159,1299,1167,1290,1176,1284,1178,1267,1178,1261,1175,1255,1162,1253,1156,1253,1136,1255,1128,1263,1117,1269,1114,1287,1114,1293,1117,1300,1129,1301,1136,1301,1109,1292,1105,1261,1105,1249,1111,1243,1123,1240,1130,1238,1138,1238,1159,1241,1168,1253,1183,1263,1188,1292,1188,1303,1182,1306,1178,1314,1165,1317,1156,1317,1134m1354,1173l1337,1173,1337,1185,1346,1185,1346,1189,1346,1190,1343,1195,1341,1197,1337,1197,1337,1202,1343,1202,1348,1200,1353,1193,1354,1189,1354,1173m1453,1134l1450,1125,1442,1114,1438,1110,1437,1109,1437,1136,1437,1159,1435,1167,1426,1176,1420,1178,1404,1178,1397,1175,1391,1162,1390,1156,1389,1136,1391,1128,1399,1117,1405,1114,1423,1114,1429,1117,1436,1129,1437,1136,1437,1109,1428,1105,1397,1105,1385,1111,1379,1123,1376,1130,1374,1138,1374,1159,1377,1168,1389,1183,1399,1188,1428,1188,1439,1182,1442,1178,1450,1165,1453,1156,1453,1134m1543,1134l1541,1125,1533,1114,1529,1110,1528,1109,1528,1136,1528,1159,1526,1167,1517,1176,1511,1178,1494,1178,1488,1175,1481,1162,1480,1156,1480,1136,1482,1128,1490,1117,1496,1114,1514,1114,1520,1117,1526,1129,1528,1136,1528,1109,1518,1105,1487,1105,1476,1111,1470,1123,1466,1130,1465,1138,1465,1159,1467,1168,1480,1183,1490,1188,1519,1188,1530,1182,1532,1178,1541,1165,1543,1156,1543,1134e" filled="true" fillcolor="#231f20" stroked="false">
            <v:path arrowok="t"/>
            <v:fill type="solid"/>
            <w10:wrap type="none"/>
          </v:shape>
        </w:pict>
      </w:r>
      <w:r>
        <w:rPr/>
        <w:pict>
          <v:shape style="position:absolute;margin-left:57.310001pt;margin-top:66.518303pt;width:19.9pt;height:4.9pt;mso-position-horizontal-relative:page;mso-position-vertical-relative:paragraph;z-index:4624" coordorigin="1146,1330" coordsize="398,98" path="m1227,1382l1211,1382,1211,1346,1211,1330,1198,1330,1196,1333,1196,1346,1196,1382,1159,1382,1196,1346,1196,1333,1146,1381,1146,1391,1196,1391,1196,1411,1211,1411,1211,1391,1227,1391,1227,1382m1317,1359l1314,1350,1306,1340,1302,1335,1301,1334,1301,1362,1301,1384,1299,1392,1290,1401,1284,1404,1267,1404,1261,1400,1255,1387,1253,1381,1253,1362,1255,1354,1263,1342,1269,1340,1287,1340,1293,1343,1300,1354,1301,1362,1301,1334,1292,1331,1261,1331,1249,1337,1243,1349,1240,1355,1238,1363,1238,1384,1241,1393,1253,1409,1263,1413,1292,1413,1303,1408,1306,1404,1314,1390,1317,1381,1317,1359m1354,1399l1337,1399,1337,1411,1346,1411,1346,1414,1346,1415,1343,1420,1341,1422,1337,1422,1337,1428,1343,1427,1348,1425,1353,1418,1354,1414,1354,1399m1453,1359l1450,1350,1442,1340,1438,1335,1437,1334,1437,1362,1437,1384,1435,1392,1426,1401,1420,1404,1404,1404,1397,1400,1391,1387,1390,1381,1389,1362,1391,1354,1399,1342,1405,1340,1423,1340,1429,1343,1436,1354,1437,1362,1437,1334,1428,1331,1397,1331,1385,1337,1379,1349,1376,1355,1374,1363,1374,1384,1377,1393,1389,1409,1399,1413,1428,1413,1439,1408,1442,1404,1450,1390,1453,1381,1453,1359m1543,1359l1541,1350,1533,1340,1529,1335,1528,1334,1528,1362,1528,1384,1526,1392,1517,1401,1511,1404,1494,1404,1488,1400,1481,1387,1480,1381,1480,1362,1482,1354,1490,1342,1496,1340,1514,1340,1520,1343,1526,1354,1528,1362,1528,1334,1518,1331,1487,1331,1476,1337,1470,1349,1466,1355,1465,1363,1465,1384,1467,1393,1480,1409,1490,1413,1519,1413,1530,1408,1532,1404,1541,1390,1543,1381,1543,1359e" filled="true" fillcolor="#231f20" stroked="false">
            <v:path arrowok="t"/>
            <v:fill type="solid"/>
            <w10:wrap type="none"/>
          </v:shape>
        </w:pict>
      </w:r>
      <w:r>
        <w:rPr/>
        <w:pict>
          <v:shape style="position:absolute;margin-left:57.358002pt;margin-top:77.782303pt;width:19.850pt;height:4.9pt;mso-position-horizontal-relative:page;mso-position-vertical-relative:paragraph;z-index:4648" coordorigin="1147,1556" coordsize="397,98" path="m1226,1574l1223,1568,1219,1565,1211,1558,1201,1556,1173,1556,1162,1560,1152,1572,1150,1577,1150,1584,1165,1584,1165,1579,1166,1575,1172,1567,1178,1565,1195,1565,1200,1566,1208,1572,1210,1575,1210,1584,1208,1588,1204,1591,1201,1593,1196,1595,1164,1608,1157,1613,1150,1623,1148,1629,1147,1636,1225,1636,1225,1627,1163,1627,1165,1623,1168,1619,1176,1614,1180,1612,1206,1602,1213,1599,1223,1592,1226,1586,1226,1574m1317,1584l1314,1575,1306,1565,1302,1560,1301,1560,1301,1587,1301,1609,1299,1617,1290,1627,1284,1629,1267,1629,1261,1625,1255,1613,1253,1607,1253,1587,1255,1579,1263,1568,1269,1565,1287,1565,1293,1568,1300,1580,1301,1587,1301,1560,1292,1556,1261,1556,1249,1562,1243,1574,1240,1581,1238,1588,1238,1609,1241,1619,1253,1634,1263,1638,1292,1638,1303,1633,1306,1629,1314,1616,1317,1607,1317,1584m1354,1624l1337,1624,1337,1636,1346,1636,1346,1640,1346,1641,1343,1646,1341,1647,1337,1648,1337,1653,1343,1652,1348,1650,1353,1643,1354,1640,1354,1624m1453,1584l1450,1575,1442,1565,1438,1560,1437,1560,1437,1587,1437,1609,1435,1617,1426,1627,1420,1629,1404,1629,1397,1625,1391,1613,1390,1607,1389,1587,1391,1579,1399,1568,1405,1565,1423,1565,1429,1568,1436,1580,1437,1587,1437,1560,1428,1556,1397,1556,1385,1562,1379,1574,1376,1581,1374,1588,1374,1609,1377,1619,1389,1634,1399,1638,1428,1638,1439,1633,1442,1629,1450,1616,1453,1607,1453,1584m1543,1584l1541,1575,1533,1565,1529,1560,1528,1560,1528,1587,1528,1609,1526,1617,1517,1627,1511,1629,1494,1629,1488,1625,1481,1613,1480,1607,1480,1587,1482,1579,1490,1568,1496,1565,1514,1565,1520,1568,1526,1580,1528,1587,1528,1560,1518,1556,1487,1556,1476,1562,1470,1574,1466,1581,1465,1588,1465,1609,1467,1619,1480,1634,1490,1638,1519,1638,1530,1633,1532,1629,1541,1616,1543,1607,1543,1584e" filled="true" fillcolor="#231f20" stroked="false">
            <v:path arrowok="t"/>
            <v:fill type="solid"/>
            <w10:wrap type="none"/>
          </v:shape>
        </w:pict>
      </w:r>
      <w:r>
        <w:rPr/>
        <w:pict>
          <v:shape style="position:absolute;margin-left:61.894005pt;margin-top:89.062309pt;width:15.3pt;height:4.9pt;mso-position-horizontal-relative:page;mso-position-vertical-relative:paragraph;z-index:4672" coordorigin="1238,1781" coordsize="306,98" path="m1317,1810l1314,1801,1306,1790,1302,1786,1301,1785,1301,1812,1301,1835,1299,1843,1290,1852,1284,1854,1267,1854,1261,1851,1255,1838,1253,1832,1253,1812,1255,1804,1263,1793,1269,1790,1287,1790,1293,1793,1300,1805,1301,1812,1301,1785,1292,1781,1261,1781,1249,1787,1243,1799,1240,1806,1238,1814,1238,1835,1241,1844,1253,1859,1263,1864,1292,1864,1303,1858,1306,1854,1314,1841,1317,1832,1317,1810m1354,1849l1337,1849,1337,1861,1346,1861,1346,1865,1346,1866,1343,1871,1341,1873,1337,1873,1337,1878,1343,1878,1348,1876,1353,1869,1354,1865,1354,1849m1453,1810l1450,1801,1442,1790,1438,1786,1437,1785,1437,1812,1437,1835,1435,1843,1426,1852,1420,1854,1404,1854,1397,1851,1391,1838,1390,1832,1389,1812,1391,1804,1399,1793,1405,1790,1423,1790,1429,1793,1436,1805,1437,1812,1437,1785,1428,1781,1397,1781,1385,1787,1379,1799,1376,1806,1374,1814,1374,1835,1377,1844,1389,1859,1399,1864,1428,1864,1439,1858,1442,1854,1450,1841,1453,1832,1453,1810m1543,1810l1541,1801,1533,1790,1529,1786,1528,1785,1528,1812,1528,1835,1526,1843,1517,1852,1511,1854,1494,1854,1488,1851,1481,1838,1480,1832,1480,1812,1482,1804,1490,1793,1496,1790,1514,1790,1520,1793,1526,1805,1528,1812,1528,1785,1518,1781,1487,1781,1476,1787,1470,1799,1466,1806,1465,1814,1465,1835,1467,1844,1480,1859,1490,1864,1519,1864,1530,1858,1532,1854,1541,1841,1543,1832,1543,1810e" filled="true" fillcolor="#231f20" stroked="false">
            <v:path arrowok="t"/>
            <v:fill type="solid"/>
            <w10:wrap type="none"/>
          </v:shape>
        </w:pict>
      </w:r>
      <w:r>
        <w:rPr/>
        <w:pict>
          <v:group style="position:absolute;margin-left:45.504692pt;margin-top:77.761925pt;width:31.7pt;height:40.3pt;mso-position-horizontal-relative:page;mso-position-vertical-relative:paragraph;z-index:4696" coordorigin="910,1555" coordsize="634,806">
            <v:line style="position:absolute" from="1094,2055" to="1134,2055" stroked="true" strokeweight=".518pt" strokecolor="#231f20"/>
            <v:shape style="position:absolute;left:910;top:2006;width:634;height:355" coordorigin="910,2006" coordsize="634,355" path="m961,2331l959,2328,958,2326,949,2317,947,2316,947,2335,947,2340,946,2343,942,2347,939,2348,933,2348,931,2347,927,2343,926,2340,926,2335,927,2333,931,2329,933,2328,939,2328,942,2329,946,2333,947,2335,947,2316,943,2315,930,2315,924,2317,914,2326,912,2331,912,2344,914,2350,924,2358,930,2361,943,2361,949,2358,958,2350,959,2348,961,2344,961,2331m1008,2272l1007,2268,1006,2266,996,2257,994,2256,994,2275,994,2281,993,2283,989,2287,987,2288,981,2288,978,2287,974,2283,973,2281,973,2275,974,2273,978,2269,981,2268,987,2268,989,2269,993,2273,994,2275,994,2256,990,2255,977,2255,971,2257,962,2266,960,2272,960,2284,962,2290,971,2299,977,2301,990,2301,996,2299,1006,2290,1007,2288,1008,2284,1008,2272m1008,2193l1008,2179,1007,2176,1007,2176,1004,2170,1001,2167,997,2164,996,2164,1006,2164,1006,2147,993,2147,993,2175,993,2185,991,2188,983,2193,978,2194,965,2194,960,2193,952,2188,950,2185,950,2176,951,2173,957,2167,963,2164,978,2164,983,2166,991,2171,993,2175,993,2147,910,2147,910,2165,944,2165,941,2167,938,2169,934,2176,933,2179,933,2193,937,2199,951,2210,960,2213,983,2213,992,2210,1005,2199,1007,2194,1008,2193m1009,2092l1005,2083,998,2077,994,2073,990,2071,985,2071,985,2089,987,2090,989,2091,992,2095,994,2098,994,2106,993,2109,988,2116,983,2119,976,2119,976,2118,976,2088,976,2070,970,2070,965,2070,964,2070,964,2088,964,2118,959,2118,955,2116,950,2111,948,2108,948,2099,950,2096,955,2090,959,2088,964,2088,964,2070,956,2071,951,2073,947,2076,942,2079,939,2083,934,2092,933,2097,933,2113,936,2121,950,2133,959,2136,984,2136,994,2133,1006,2119,1006,2119,1009,2112,1009,2092m1009,2328l912,2278,912,2288,1009,2338,1009,2328m1226,2024l1223,2019,1219,2015,1211,2009,1201,2006,1173,2006,1162,2010,1152,2022,1150,2028,1150,2035,1165,2035,1165,2030,1166,2026,1172,2018,1178,2015,1195,2015,1200,2017,1208,2022,1210,2026,1210,2035,1208,2038,1204,2041,1201,2043,1196,2046,1164,2059,1157,2064,1150,2074,1148,2080,1147,2087,1225,2087,1225,2077,1163,2077,1165,2073,1168,2070,1176,2065,1180,2063,1206,2053,1213,2049,1223,2042,1226,2037,1226,2024m1317,2035l1314,2026,1306,2016,1302,2011,1301,2010,1301,2038,1301,2060,1299,2068,1290,2077,1284,2080,1267,2080,1261,2076,1255,2063,1253,2057,1253,2038,1255,2030,1263,2018,1269,2016,1287,2016,1293,2019,1300,2030,1301,2038,1301,2010,1292,2007,1261,2007,1249,2013,1243,2025,1240,2031,1238,2039,1238,2060,1241,2069,1253,2085,1263,2089,1292,2089,1303,2084,1306,2080,1314,2066,1317,2057,1317,2035m1354,2075l1337,2075,1337,2087,1346,2087,1346,2090,1346,2091,1343,2096,1341,2098,1337,2098,1337,2104,1343,2103,1348,2101,1353,2094,1354,2090,1354,2075m1453,2035l1450,2026,1442,2016,1438,2011,1437,2010,1437,2038,1437,2060,1435,2068,1426,2077,1420,2080,1404,2080,1397,2076,1391,2063,1390,2057,1389,2038,1391,2030,1399,2018,1405,2016,1423,2016,1429,2019,1436,2030,1437,2038,1437,2010,1428,2007,1397,2007,1385,2013,1379,2025,1376,2031,1374,2039,1374,2060,1377,2069,1389,2085,1399,2089,1428,2089,1439,2084,1442,2080,1450,2066,1453,2057,1453,2035m1543,2035l1541,2026,1533,2016,1529,2011,1528,2010,1528,2038,1528,2060,1526,2068,1517,2077,1511,2080,1494,2080,1488,2076,1481,2063,1480,2057,1480,2038,1482,2030,1490,2018,1496,2016,1514,2016,1520,2019,1526,2030,1528,2038,1528,2010,1518,2007,1487,2007,1476,2013,1470,2025,1466,2031,1465,2039,1465,2060,1467,2069,1480,2085,1490,2089,1519,2089,1530,2084,1532,2080,1541,2066,1543,2057,1543,2035e" filled="true" fillcolor="#231f20" stroked="false">
              <v:path arrowok="t"/>
              <v:fill type="solid"/>
            </v:shape>
            <v:shape style="position:absolute;left:933;top:1555;width:102;height:476" type="#_x0000_t75" stroked="false">
              <v:imagedata r:id="rId101" o:title=""/>
            </v:shape>
            <w10:wrap type="none"/>
          </v:group>
        </w:pict>
      </w:r>
      <w:r>
        <w:rPr>
          <w:color w:val="231F20"/>
          <w:w w:val="105"/>
        </w:rPr>
        <w:t>Gráfica</w:t>
      </w:r>
      <w:r>
        <w:rPr>
          <w:color w:val="231F20"/>
          <w:spacing w:val="-13"/>
          <w:w w:val="105"/>
        </w:rPr>
        <w:t> </w:t>
      </w:r>
      <w:r>
        <w:rPr>
          <w:color w:val="231F20"/>
          <w:w w:val="105"/>
        </w:rPr>
        <w:t>5.</w:t>
      </w:r>
      <w:r>
        <w:rPr>
          <w:color w:val="231F20"/>
          <w:spacing w:val="-13"/>
          <w:w w:val="105"/>
        </w:rPr>
        <w:t> </w:t>
      </w:r>
      <w:r>
        <w:rPr>
          <w:color w:val="231F20"/>
          <w:spacing w:val="-4"/>
          <w:w w:val="105"/>
        </w:rPr>
        <w:t>Tendencia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pesos</w:t>
      </w:r>
      <w:r>
        <w:rPr>
          <w:color w:val="231F20"/>
          <w:spacing w:val="-13"/>
          <w:w w:val="105"/>
        </w:rPr>
        <w:t> </w:t>
      </w:r>
      <w:r>
        <w:rPr>
          <w:color w:val="231F20"/>
          <w:w w:val="105"/>
        </w:rPr>
        <w:t>proporcionales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rubros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egresos municipales,</w:t>
      </w:r>
      <w:r>
        <w:rPr>
          <w:color w:val="231F20"/>
          <w:spacing w:val="8"/>
          <w:w w:val="105"/>
        </w:rPr>
        <w:t> </w:t>
      </w:r>
      <w:r>
        <w:rPr>
          <w:color w:val="231F20"/>
          <w:w w:val="105"/>
        </w:rPr>
        <w:t>2001-2008.</w:t>
      </w:r>
    </w:p>
    <w:p>
      <w:pPr>
        <w:pStyle w:val="BodyText"/>
        <w:spacing w:line="119" w:lineRule="exact"/>
        <w:ind w:left="1526"/>
        <w:rPr>
          <w:sz w:val="11"/>
        </w:rPr>
      </w:pPr>
      <w:r>
        <w:rPr>
          <w:position w:val="-1"/>
          <w:sz w:val="11"/>
        </w:rPr>
        <w:pict>
          <v:group style="width:208.15pt;height:6pt;mso-position-horizontal-relative:char;mso-position-vertical-relative:line" coordorigin="0,0" coordsize="4163,120">
            <v:shape style="position:absolute;left:0;top:11;width:1601;height:108" type="#_x0000_t75" stroked="false">
              <v:imagedata r:id="rId102" o:title=""/>
            </v:shape>
            <v:shape style="position:absolute;left:1660;top:0;width:225;height:106" type="#_x0000_t75" stroked="false">
              <v:imagedata r:id="rId103" o:title=""/>
            </v:shape>
            <v:shape style="position:absolute;left:1939;top:11;width:393;height:107" type="#_x0000_t75" stroked="false">
              <v:imagedata r:id="rId104" o:title=""/>
            </v:shape>
            <v:shape style="position:absolute;left:2391;top:12;width:1772;height:107" type="#_x0000_t75" stroked="false">
              <v:imagedata r:id="rId105" o:title=""/>
            </v:shape>
          </v:group>
        </w:pict>
      </w:r>
      <w:r>
        <w:rPr>
          <w:position w:val="-1"/>
          <w:sz w:val="11"/>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1"/>
        </w:rPr>
      </w:pPr>
      <w:r>
        <w:rPr/>
        <w:drawing>
          <wp:anchor distT="0" distB="0" distL="0" distR="0" allowOverlap="1" layoutInCell="1" locked="0" behindDoc="0" simplePos="0" relativeHeight="4264">
            <wp:simplePos x="0" y="0"/>
            <wp:positionH relativeFrom="page">
              <wp:posOffset>2544462</wp:posOffset>
            </wp:positionH>
            <wp:positionV relativeFrom="paragraph">
              <wp:posOffset>106806</wp:posOffset>
            </wp:positionV>
            <wp:extent cx="147262" cy="64007"/>
            <wp:effectExtent l="0" t="0" r="0" b="0"/>
            <wp:wrapTopAndBottom/>
            <wp:docPr id="69" name="image90.png" descr=""/>
            <wp:cNvGraphicFramePr>
              <a:graphicFrameLocks noChangeAspect="1"/>
            </wp:cNvGraphicFramePr>
            <a:graphic>
              <a:graphicData uri="http://schemas.openxmlformats.org/drawingml/2006/picture">
                <pic:pic>
                  <pic:nvPicPr>
                    <pic:cNvPr id="70" name="image90.png"/>
                    <pic:cNvPicPr/>
                  </pic:nvPicPr>
                  <pic:blipFill>
                    <a:blip r:embed="rId106" cstate="print"/>
                    <a:stretch>
                      <a:fillRect/>
                    </a:stretch>
                  </pic:blipFill>
                  <pic:spPr>
                    <a:xfrm>
                      <a:off x="0" y="0"/>
                      <a:ext cx="147262" cy="64007"/>
                    </a:xfrm>
                    <a:prstGeom prst="rect">
                      <a:avLst/>
                    </a:prstGeom>
                  </pic:spPr>
                </pic:pic>
              </a:graphicData>
            </a:graphic>
          </wp:anchor>
        </w:drawing>
      </w:r>
    </w:p>
    <w:p>
      <w:pPr>
        <w:spacing w:before="36"/>
        <w:ind w:left="0" w:right="108" w:firstLine="0"/>
        <w:jc w:val="right"/>
        <w:rPr>
          <w:rFonts w:ascii="Calibri" w:hAnsi="Calibri"/>
          <w:sz w:val="16"/>
        </w:rPr>
      </w:pPr>
      <w:r>
        <w:rPr>
          <w:rFonts w:ascii="Calibri" w:hAnsi="Calibri"/>
          <w:color w:val="231F20"/>
          <w:sz w:val="16"/>
        </w:rPr>
        <w:t>Fuente: elaboración propia a partir de (HUIXQUILUCAN, 2006a), (INEGI, 2006),</w:t>
      </w:r>
    </w:p>
    <w:p>
      <w:pPr>
        <w:spacing w:before="104"/>
        <w:ind w:left="0" w:right="109" w:firstLine="0"/>
        <w:jc w:val="right"/>
        <w:rPr>
          <w:rFonts w:ascii="Calibri" w:hAnsi="Calibri"/>
          <w:sz w:val="16"/>
        </w:rPr>
      </w:pPr>
      <w:r>
        <w:rPr/>
        <w:pict>
          <v:group style="position:absolute;margin-left:369.244812pt;margin-top:-66.716003pt;width:50.8pt;height:12.5pt;mso-position-horizontal-relative:page;mso-position-vertical-relative:paragraph;z-index:4432" coordorigin="7385,-1334" coordsize="1016,250">
            <v:shape style="position:absolute;left:7386;top:-1328;width:315;height:85" coordorigin="7386,-1328" coordsize="315,85" path="m7447,-1256l7399,-1256,7399,-1328,7386,-1328,7386,-1246,7447,-1246,7447,-1256m7471,-1306l7459,-1306,7459,-1246,7471,-1246,7471,-1306m7471,-1328l7459,-1328,7459,-1317,7471,-1317,7471,-1328m7546,-1246l7546,-1291,7545,-1295,7543,-1298,7539,-1304,7533,-1307,7518,-1307,7514,-1307,7507,-1304,7503,-1301,7500,-1298,7500,-1306,7489,-1306,7489,-1246,7500,-1246,7500,-1281,7501,-1284,7502,-1289,7503,-1291,7507,-1295,7510,-1297,7513,-1298,7515,-1298,7518,-1298,7526,-1298,7530,-1296,7533,-1290,7534,-1288,7534,-1246,7546,-1246m7623,-1273l7622,-1281,7622,-1283,7622,-1286,7621,-1290,7619,-1294,7615,-1299,7614,-1300,7611,-1302,7611,-1303,7611,-1281,7572,-1281,7572,-1285,7572,-1286,7574,-1290,7581,-1297,7586,-1299,7599,-1299,7604,-1296,7609,-1289,7610,-1285,7611,-1281,7611,-1303,7602,-1306,7597,-1307,7582,-1307,7574,-1304,7562,-1292,7559,-1285,7559,-1265,7562,-1258,7574,-1247,7581,-1244,7594,-1244,7597,-1244,7600,-1245,7605,-1246,7609,-1248,7613,-1251,7615,-1253,7617,-1255,7620,-1260,7621,-1263,7622,-1265,7610,-1265,7609,-1262,7608,-1260,7602,-1254,7597,-1253,7585,-1253,7580,-1255,7574,-1262,7572,-1267,7572,-1273,7623,-1273m7701,-1253l7700,-1253,7695,-1253,7694,-1253,7693,-1254,7693,-1255,7693,-1255,7693,-1277,7693,-1297,7691,-1299,7690,-1301,7680,-1306,7673,-1307,7658,-1307,7652,-1306,7641,-1300,7638,-1295,7638,-1288,7649,-1288,7649,-1291,7650,-1293,7654,-1298,7659,-1299,7670,-1299,7674,-1298,7680,-1295,7681,-1293,7681,-1287,7681,-1286,7681,-1286,7681,-1277,7681,-1262,7678,-1258,7667,-1253,7663,-1253,7656,-1253,7653,-1254,7648,-1257,7647,-1259,7647,-1266,7648,-1269,7654,-1271,7657,-1272,7671,-1274,7673,-1274,7678,-1275,7680,-1276,7681,-1277,7681,-1286,7680,-1285,7680,-1284,7678,-1283,7650,-1280,7644,-1278,7636,-1272,7634,-1267,7634,-1257,7636,-1253,7645,-1246,7650,-1244,7662,-1244,7667,-1245,7676,-1249,7679,-1251,7680,-1253,7682,-1254,7682,-1252,7683,-1250,7685,-1246,7688,-1245,7695,-1245,7697,-1245,7699,-1245,7700,-1246,7701,-1253,7701,-1253e" filled="true" fillcolor="#231f20" stroked="false">
              <v:path arrowok="t"/>
              <v:fill type="solid"/>
            </v:shape>
            <v:line style="position:absolute" from="7718,-1328" to="7718,-1246" stroked="true" strokeweight=".589pt" strokecolor="#231f20"/>
            <v:shape style="position:absolute;left:7385;top:-1193;width:387;height:108" type="#_x0000_t75" stroked="false">
              <v:imagedata r:id="rId107" o:title=""/>
            </v:shape>
            <v:shape style="position:absolute;left:7821;top:-1193;width:580;height:108" type="#_x0000_t75" stroked="false">
              <v:imagedata r:id="rId108" o:title=""/>
            </v:shape>
            <w10:wrap type="none"/>
          </v:group>
        </w:pict>
      </w:r>
      <w:r>
        <w:rPr/>
        <w:pict>
          <v:line style="position:absolute;mso-position-horizontal-relative:page;mso-position-vertical-relative:paragraph;z-index:4552" from="339.126007pt,-63.079098pt" to="365.677007pt,-63.079098pt" stroked="true" strokeweight="1pt" strokecolor="#231f20">
            <v:stroke dashstyle="longDash"/>
            <w10:wrap type="none"/>
          </v:line>
        </w:pict>
      </w:r>
      <w:r>
        <w:rPr/>
        <w:pict>
          <v:group style="position:absolute;margin-left:54.450001pt;margin-top:-65.84671pt;width:22.75pt;height:4.9pt;mso-position-horizontal-relative:page;mso-position-vertical-relative:paragraph;z-index:4720" coordorigin="1089,-1317" coordsize="455,98">
            <v:line style="position:absolute" from="1095,-1269" to="1135,-1269" stroked="true" strokeweight=".517pt" strokecolor="#231f20"/>
            <v:shape style="position:absolute;left:1146;top:-1317;width:398;height:98" coordorigin="1146,-1317" coordsize="398,98" path="m1227,-1265l1211,-1265,1211,-1301,1211,-1317,1198,-1317,1196,-1315,1196,-1301,1196,-1265,1159,-1265,1196,-1301,1196,-1315,1146,-1266,1146,-1256,1196,-1256,1196,-1237,1211,-1237,1211,-1256,1227,-1256,1227,-1265m1317,-1288l1314,-1297,1306,-1308,1302,-1312,1301,-1313,1301,-1285,1301,-1263,1299,-1255,1290,-1246,1284,-1244,1267,-1244,1261,-1247,1255,-1260,1253,-1266,1253,-1285,1255,-1294,1263,-1305,1269,-1308,1287,-1308,1293,-1305,1300,-1293,1301,-1285,1301,-1313,1292,-1317,1261,-1317,1249,-1311,1243,-1298,1240,-1292,1238,-1284,1238,-1263,1241,-1254,1253,-1239,1263,-1234,1292,-1234,1303,-1240,1306,-1244,1314,-1257,1317,-1266,1317,-1288m1354,-1249l1337,-1249,1337,-1237,1346,-1237,1346,-1233,1346,-1232,1343,-1227,1341,-1225,1337,-1225,1337,-1220,1343,-1220,1348,-1222,1353,-1229,1354,-1233,1354,-1249m1453,-1288l1450,-1297,1442,-1308,1438,-1312,1437,-1313,1437,-1285,1437,-1263,1435,-1255,1426,-1246,1420,-1244,1404,-1244,1397,-1247,1391,-1260,1390,-1266,1389,-1285,1391,-1294,1399,-1305,1405,-1308,1423,-1308,1429,-1305,1436,-1293,1437,-1285,1437,-1313,1428,-1317,1397,-1317,1385,-1311,1379,-1298,1376,-1292,1374,-1284,1374,-1263,1377,-1254,1389,-1239,1399,-1234,1428,-1234,1439,-1240,1442,-1244,1450,-1257,1453,-1266,1453,-1288m1543,-1288l1541,-1297,1533,-1308,1529,-1312,1528,-1313,1528,-1285,1528,-1263,1526,-1255,1517,-1246,1511,-1244,1494,-1244,1488,-1247,1481,-1260,1480,-1266,1480,-1285,1482,-1294,1490,-1305,1496,-1308,1514,-1308,1520,-1305,1526,-1293,1528,-1285,1528,-1313,1518,-1317,1487,-1317,1476,-1311,1470,-1298,1466,-1292,1465,-1284,1465,-1263,1467,-1254,1480,-1239,1490,-1234,1519,-1234,1530,-1240,1532,-1244,1541,-1257,1543,-1266,1543,-1288e" filled="true" fillcolor="#231f20" stroked="false">
              <v:path arrowok="t"/>
              <v:fill type="solid"/>
            </v:shape>
            <w10:wrap type="none"/>
          </v:group>
        </w:pict>
      </w:r>
      <w:r>
        <w:rPr/>
        <w:pict>
          <v:group style="position:absolute;margin-left:54.450001pt;margin-top:-54.585606pt;width:22.75pt;height:4.9pt;mso-position-horizontal-relative:page;mso-position-vertical-relative:paragraph;z-index:4744" coordorigin="1089,-1092" coordsize="455,98">
            <v:line style="position:absolute" from="1095,-1043" to="1135,-1043" stroked="true" strokeweight=".518pt" strokecolor="#231f20"/>
            <v:shape style="position:absolute;left:1148;top:-1092;width:396;height:98" coordorigin="1148,-1092" coordsize="396,98" path="m1226,-1045l1223,-1052,1220,-1053,1211,-1059,1211,-1040,1211,-1031,1209,-1027,1206,-1023,1202,-1020,1196,-1018,1181,-1018,1175,-1020,1167,-1027,1165,-1031,1165,-1042,1167,-1046,1176,-1052,1179,-1053,1182,-1053,1197,-1053,1203,-1052,1210,-1044,1211,-1040,1211,-1059,1209,-1060,1200,-1063,1185,-1063,1180,-1062,1170,-1059,1166,-1056,1163,-1053,1164,-1062,1164,-1063,1166,-1070,1176,-1080,1182,-1083,1197,-1083,1202,-1081,1208,-1076,1209,-1074,1210,-1070,1224,-1070,1224,-1075,1221,-1080,1218,-1083,1211,-1089,1203,-1092,1190,-1092,1178,-1090,1167,-1087,1159,-1081,1153,-1072,1150,-1065,1148,-1056,1148,-1033,1152,-1023,1168,-1012,1177,-1009,1200,-1009,1210,-1012,1217,-1018,1223,-1023,1226,-1030,1226,-1045m1317,-1063l1314,-1072,1306,-1082,1302,-1087,1301,-1088,1301,-1060,1301,-1038,1299,-1030,1290,-1021,1284,-1018,1267,-1018,1261,-1022,1255,-1035,1253,-1041,1253,-1060,1255,-1068,1263,-1080,1269,-1082,1287,-1082,1293,-1079,1300,-1068,1301,-1060,1301,-1088,1292,-1091,1261,-1091,1249,-1085,1243,-1073,1240,-1067,1238,-1059,1238,-1038,1241,-1029,1253,-1013,1263,-1009,1292,-1009,1303,-1014,1306,-1018,1314,-1032,1317,-1041,1317,-1063m1354,-1023l1337,-1023,1337,-1011,1346,-1011,1346,-1008,1346,-1007,1343,-1002,1341,-1000,1337,-1000,1337,-994,1343,-995,1348,-997,1353,-1004,1354,-1008,1354,-1023m1453,-1063l1450,-1072,1442,-1082,1438,-1087,1437,-1088,1437,-1060,1437,-1038,1435,-1030,1426,-1021,1420,-1018,1404,-1018,1397,-1022,1391,-1035,1390,-1041,1389,-1060,1391,-1068,1399,-1080,1405,-1082,1423,-1082,1429,-1079,1436,-1068,1437,-1060,1437,-1088,1428,-1091,1397,-1091,1385,-1085,1379,-1073,1376,-1067,1374,-1059,1374,-1038,1377,-1029,1389,-1013,1399,-1009,1428,-1009,1439,-1014,1442,-1018,1450,-1032,1453,-1041,1453,-1063m1543,-1063l1541,-1072,1533,-1082,1529,-1087,1528,-1088,1528,-1060,1528,-1038,1526,-1030,1517,-1021,1511,-1018,1494,-1018,1488,-1022,1481,-1035,1480,-1041,1480,-1060,1482,-1068,1490,-1080,1496,-1082,1514,-1082,1520,-1079,1526,-1068,1528,-1060,1528,-1088,1518,-1091,1487,-1091,1476,-1085,1470,-1073,1466,-1067,1465,-1059,1465,-1038,1467,-1029,1480,-1013,1490,-1009,1519,-1009,1530,-1014,1532,-1018,1541,-1032,1543,-1041,1543,-1063e" filled="true" fillcolor="#231f20" stroked="false">
              <v:path arrowok="t"/>
              <v:fill type="solid"/>
            </v:shape>
            <w10:wrap type="none"/>
          </v:group>
        </w:pict>
      </w:r>
      <w:r>
        <w:rPr/>
        <w:pict>
          <v:group style="position:absolute;margin-left:54.450001pt;margin-top:-43.312706pt;width:22.75pt;height:4.9pt;mso-position-horizontal-relative:page;mso-position-vertical-relative:paragraph;z-index:4768" coordorigin="1089,-866" coordsize="455,98">
            <v:line style="position:absolute" from="1095,-818" to="1135,-818" stroked="true" strokeweight=".518pt" strokecolor="#231f20"/>
            <v:shape style="position:absolute;left:1147;top:-866;width:397;height:98" coordorigin="1147,-866" coordsize="397,98" path="m1226,-815l1223,-820,1218,-824,1215,-825,1212,-827,1210,-828,1210,-803,1208,-799,1199,-794,1194,-793,1179,-793,1173,-794,1165,-800,1163,-804,1163,-813,1165,-817,1174,-822,1179,-824,1193,-824,1199,-822,1208,-817,1210,-813,1210,-803,1210,-828,1207,-829,1211,-830,1214,-832,1215,-832,1220,-837,1222,-841,1222,-851,1219,-856,1217,-857,1207,-864,1207,-848,1207,-842,1205,-839,1198,-834,1193,-832,1181,-832,1176,-834,1168,-838,1166,-841,1166,-848,1168,-851,1174,-856,1179,-857,1193,-857,1198,-856,1205,-851,1207,-848,1207,-864,1206,-864,1198,-866,1175,-866,1167,-864,1154,-856,1151,-850,1151,-840,1153,-836,1160,-831,1163,-830,1167,-829,1160,-827,1156,-824,1149,-817,1147,-813,1147,-800,1151,-794,1167,-786,1176,-784,1199,-784,1209,-786,1218,-793,1222,-796,1226,-802,1226,-815m1317,-838l1314,-847,1306,-857,1302,-862,1301,-862,1301,-835,1301,-813,1299,-804,1290,-795,1284,-793,1267,-793,1261,-797,1255,-809,1253,-815,1253,-835,1255,-843,1263,-854,1269,-857,1287,-857,1293,-854,1300,-842,1301,-835,1301,-862,1292,-866,1261,-866,1249,-860,1243,-848,1240,-841,1238,-833,1238,-813,1241,-803,1253,-788,1263,-784,1292,-784,1303,-789,1306,-793,1314,-806,1317,-815,1317,-838m1354,-798l1337,-798,1337,-786,1346,-786,1346,-782,1346,-781,1343,-776,1341,-775,1337,-774,1337,-769,1343,-770,1348,-772,1353,-778,1354,-782,1354,-798m1453,-838l1450,-847,1442,-857,1438,-862,1437,-862,1437,-835,1437,-813,1435,-804,1426,-795,1420,-793,1404,-793,1397,-797,1391,-809,1390,-815,1389,-835,1391,-843,1399,-854,1405,-857,1423,-857,1429,-854,1436,-842,1437,-835,1437,-862,1428,-866,1397,-866,1385,-860,1379,-848,1376,-841,1374,-833,1374,-813,1377,-803,1389,-788,1399,-784,1428,-784,1439,-789,1442,-793,1450,-806,1453,-815,1453,-838m1543,-838l1541,-847,1533,-857,1529,-862,1528,-862,1528,-835,1528,-813,1526,-804,1517,-795,1511,-793,1494,-793,1488,-797,1481,-809,1480,-815,1480,-835,1482,-843,1490,-854,1496,-857,1514,-857,1520,-854,1526,-842,1528,-835,1528,-862,1518,-866,1487,-866,1476,-860,1470,-848,1466,-841,1465,-833,1465,-813,1467,-803,1480,-788,1490,-784,1519,-784,1530,-789,1532,-793,1541,-806,1543,-815,1543,-838e" filled="true" fillcolor="#231f20" stroked="false">
              <v:path arrowok="t"/>
              <v:fill type="solid"/>
            </v:shape>
            <w10:wrap type="none"/>
          </v:group>
        </w:pict>
      </w:r>
      <w:r>
        <w:rPr/>
        <w:pict>
          <v:group style="position:absolute;margin-left:49.914001pt;margin-top:-32.035408pt;width:27.3pt;height:4.9pt;mso-position-horizontal-relative:page;mso-position-vertical-relative:paragraph;z-index:4792" coordorigin="998,-641" coordsize="546,98">
            <v:line style="position:absolute" from="1004,-593" to="1044,-593" stroked="true" strokeweight=".518pt" strokecolor="#231f20"/>
            <v:shape style="position:absolute;left:1067;top:-641;width:477;height:98" coordorigin="1067,-641" coordsize="477,98" path="m1109,-640l1098,-640,1096,-634,1093,-630,1085,-627,1077,-626,1067,-625,1067,-617,1094,-617,1094,-561,1109,-561,1109,-640m1226,-612l1223,-621,1215,-632,1212,-636,1210,-637,1210,-609,1210,-587,1208,-579,1199,-570,1193,-568,1177,-568,1170,-571,1164,-584,1163,-590,1163,-609,1165,-618,1172,-629,1179,-632,1196,-632,1202,-629,1209,-617,1210,-609,1210,-637,1201,-641,1170,-641,1158,-635,1152,-622,1149,-616,1147,-608,1147,-587,1150,-578,1162,-563,1172,-558,1201,-558,1212,-564,1215,-568,1224,-581,1226,-590,1226,-612m1317,-612l1314,-621,1306,-632,1302,-636,1301,-637,1301,-609,1301,-587,1299,-579,1290,-570,1284,-568,1267,-568,1261,-571,1255,-584,1253,-590,1253,-609,1255,-618,1263,-629,1269,-632,1287,-632,1293,-629,1300,-617,1301,-609,1301,-637,1292,-641,1261,-641,1249,-635,1243,-622,1240,-616,1238,-608,1238,-587,1241,-578,1253,-563,1263,-558,1292,-558,1303,-564,1306,-568,1314,-581,1317,-590,1317,-612m1354,-573l1337,-573,1337,-561,1346,-561,1346,-557,1346,-556,1343,-551,1341,-549,1337,-549,1337,-544,1343,-544,1348,-546,1353,-553,1354,-557,1354,-573m1453,-612l1450,-621,1442,-632,1438,-636,1437,-637,1437,-609,1437,-587,1435,-579,1426,-570,1420,-568,1404,-568,1397,-571,1391,-584,1390,-590,1389,-609,1391,-618,1399,-629,1405,-632,1423,-632,1429,-629,1436,-617,1437,-609,1437,-637,1428,-641,1397,-641,1385,-635,1379,-622,1376,-616,1374,-608,1374,-587,1377,-578,1389,-563,1399,-558,1428,-558,1439,-564,1442,-568,1450,-581,1453,-590,1453,-612m1543,-612l1541,-621,1533,-632,1529,-636,1528,-637,1528,-609,1528,-587,1526,-579,1517,-570,1511,-568,1494,-568,1488,-571,1481,-584,1480,-590,1480,-609,1482,-618,1490,-629,1496,-632,1514,-632,1520,-629,1526,-617,1528,-609,1528,-637,1518,-641,1487,-641,1476,-635,1470,-622,1466,-616,1465,-608,1465,-587,1467,-578,1480,-563,1490,-558,1519,-558,1530,-564,1532,-568,1541,-581,1543,-590,1543,-612e" filled="true" fillcolor="#231f20" stroked="false">
              <v:path arrowok="t"/>
              <v:fill type="solid"/>
            </v:shape>
            <w10:wrap type="none"/>
          </v:group>
        </w:pict>
      </w:r>
      <w:r>
        <w:rPr>
          <w:rFonts w:ascii="Calibri" w:hAnsi="Calibri"/>
          <w:color w:val="231F20"/>
          <w:w w:val="95"/>
          <w:sz w:val="16"/>
        </w:rPr>
        <w:t>(SECRETARÍA DE FINANZAS, 2009), (INAFED, 2008)</w:t>
      </w:r>
    </w:p>
    <w:p>
      <w:pPr>
        <w:spacing w:before="104"/>
        <w:ind w:left="0" w:right="108" w:firstLine="0"/>
        <w:jc w:val="right"/>
        <w:rPr>
          <w:rFonts w:ascii="Calibri"/>
          <w:sz w:val="16"/>
        </w:rPr>
      </w:pPr>
      <w:r>
        <w:rPr>
          <w:rFonts w:ascii="Calibri"/>
          <w:color w:val="231F20"/>
          <w:w w:val="68"/>
          <w:sz w:val="16"/>
        </w:rPr>
        <w:t>.</w:t>
      </w:r>
    </w:p>
    <w:p>
      <w:pPr>
        <w:pStyle w:val="BodyText"/>
        <w:rPr>
          <w:rFonts w:ascii="Calibri"/>
          <w:sz w:val="17"/>
        </w:rPr>
      </w:pPr>
      <w:r>
        <w:rPr/>
        <w:pict>
          <v:line style="position:absolute;mso-position-horizontal-relative:page;mso-position-vertical-relative:paragraph;z-index:4288;mso-wrap-distance-left:0;mso-wrap-distance-right:0" from="42.519699pt,12.851563pt" to="114.519699pt,12.851563pt" stroked="true" strokeweight="1pt" strokecolor="#231f20">
            <w10:wrap type="topAndBottom"/>
          </v:line>
        </w:pict>
      </w:r>
    </w:p>
    <w:p>
      <w:pPr>
        <w:pStyle w:val="ListParagraph"/>
        <w:numPr>
          <w:ilvl w:val="0"/>
          <w:numId w:val="3"/>
        </w:numPr>
        <w:tabs>
          <w:tab w:pos="361" w:val="left" w:leader="none"/>
        </w:tabs>
        <w:spacing w:line="244" w:lineRule="auto" w:before="8" w:after="0"/>
        <w:ind w:left="110" w:right="108" w:firstLine="0"/>
        <w:jc w:val="both"/>
        <w:rPr>
          <w:sz w:val="16"/>
        </w:rPr>
      </w:pPr>
      <w:r>
        <w:rPr>
          <w:color w:val="231F20"/>
          <w:sz w:val="16"/>
        </w:rPr>
        <w:t>La flexibilidad financiera, de acuerdo con las mediciones realizadas por el Instituto Nacional para el Federalismo y el Desarrollo Municipal (INAFED), es el producto de la siguiente fórmula: </w:t>
      </w:r>
      <w:r>
        <w:rPr>
          <w:color w:val="231F20"/>
          <w:spacing w:val="-3"/>
          <w:sz w:val="16"/>
        </w:rPr>
        <w:t>1- </w:t>
      </w:r>
      <w:r>
        <w:rPr>
          <w:color w:val="231F20"/>
          <w:sz w:val="16"/>
        </w:rPr>
        <w:t>(servicio de deuda + gasto corriente) / (ingresos propios + participaciones + FORTAMUNDF). Este indicador permite calcular la proporción de ingresos que no son desti- nados a gastos previamente comprometidos al pago de la deuda o del gasto corriente y que se considera le permiten a la administración</w:t>
      </w:r>
      <w:r>
        <w:rPr>
          <w:color w:val="231F20"/>
          <w:spacing w:val="-14"/>
          <w:sz w:val="16"/>
        </w:rPr>
        <w:t> </w:t>
      </w:r>
      <w:r>
        <w:rPr>
          <w:color w:val="231F20"/>
          <w:sz w:val="16"/>
        </w:rPr>
        <w:t>municipal</w:t>
      </w:r>
      <w:r>
        <w:rPr>
          <w:color w:val="231F20"/>
          <w:spacing w:val="-14"/>
          <w:sz w:val="16"/>
        </w:rPr>
        <w:t> </w:t>
      </w:r>
      <w:r>
        <w:rPr>
          <w:color w:val="231F20"/>
          <w:sz w:val="16"/>
        </w:rPr>
        <w:t>mantener</w:t>
      </w:r>
      <w:r>
        <w:rPr>
          <w:color w:val="231F20"/>
          <w:spacing w:val="-14"/>
          <w:sz w:val="16"/>
        </w:rPr>
        <w:t> </w:t>
      </w:r>
      <w:r>
        <w:rPr>
          <w:color w:val="231F20"/>
          <w:sz w:val="16"/>
        </w:rPr>
        <w:t>flexibilidad</w:t>
      </w:r>
      <w:r>
        <w:rPr>
          <w:color w:val="231F20"/>
          <w:spacing w:val="-14"/>
          <w:sz w:val="16"/>
        </w:rPr>
        <w:t> </w:t>
      </w:r>
      <w:r>
        <w:rPr>
          <w:color w:val="231F20"/>
          <w:sz w:val="16"/>
        </w:rPr>
        <w:t>para</w:t>
      </w:r>
      <w:r>
        <w:rPr>
          <w:color w:val="231F20"/>
          <w:spacing w:val="-14"/>
          <w:sz w:val="16"/>
        </w:rPr>
        <w:t> </w:t>
      </w:r>
      <w:r>
        <w:rPr>
          <w:color w:val="231F20"/>
          <w:sz w:val="16"/>
        </w:rPr>
        <w:t>redirigir</w:t>
      </w:r>
      <w:r>
        <w:rPr>
          <w:color w:val="231F20"/>
          <w:spacing w:val="-14"/>
          <w:sz w:val="16"/>
        </w:rPr>
        <w:t> </w:t>
      </w:r>
      <w:r>
        <w:rPr>
          <w:color w:val="231F20"/>
          <w:sz w:val="16"/>
        </w:rPr>
        <w:t>y</w:t>
      </w:r>
      <w:r>
        <w:rPr>
          <w:color w:val="231F20"/>
          <w:spacing w:val="-14"/>
          <w:sz w:val="16"/>
        </w:rPr>
        <w:t> </w:t>
      </w:r>
      <w:r>
        <w:rPr>
          <w:color w:val="231F20"/>
          <w:sz w:val="16"/>
        </w:rPr>
        <w:t>atender</w:t>
      </w:r>
      <w:r>
        <w:rPr>
          <w:color w:val="231F20"/>
          <w:spacing w:val="-14"/>
          <w:sz w:val="16"/>
        </w:rPr>
        <w:t> </w:t>
      </w:r>
      <w:r>
        <w:rPr>
          <w:color w:val="231F20"/>
          <w:sz w:val="16"/>
        </w:rPr>
        <w:t>nuevas</w:t>
      </w:r>
      <w:r>
        <w:rPr>
          <w:color w:val="231F20"/>
          <w:spacing w:val="-14"/>
          <w:sz w:val="16"/>
        </w:rPr>
        <w:t> </w:t>
      </w:r>
      <w:r>
        <w:rPr>
          <w:color w:val="231F20"/>
          <w:sz w:val="16"/>
        </w:rPr>
        <w:t>demandas</w:t>
      </w:r>
      <w:r>
        <w:rPr>
          <w:color w:val="231F20"/>
          <w:spacing w:val="-14"/>
          <w:sz w:val="16"/>
        </w:rPr>
        <w:t> </w:t>
      </w:r>
      <w:r>
        <w:rPr>
          <w:color w:val="231F20"/>
          <w:sz w:val="16"/>
        </w:rPr>
        <w:t>no</w:t>
      </w:r>
      <w:r>
        <w:rPr>
          <w:color w:val="231F20"/>
          <w:spacing w:val="-14"/>
          <w:sz w:val="16"/>
        </w:rPr>
        <w:t> </w:t>
      </w:r>
      <w:r>
        <w:rPr>
          <w:color w:val="231F20"/>
          <w:sz w:val="16"/>
        </w:rPr>
        <w:t>contempladas</w:t>
      </w:r>
      <w:r>
        <w:rPr>
          <w:color w:val="231F20"/>
          <w:spacing w:val="-14"/>
          <w:sz w:val="16"/>
        </w:rPr>
        <w:t> </w:t>
      </w:r>
      <w:r>
        <w:rPr>
          <w:color w:val="231F20"/>
          <w:sz w:val="16"/>
        </w:rPr>
        <w:t>con</w:t>
      </w:r>
      <w:r>
        <w:rPr>
          <w:color w:val="231F20"/>
          <w:spacing w:val="-14"/>
          <w:sz w:val="16"/>
        </w:rPr>
        <w:t> </w:t>
      </w:r>
      <w:r>
        <w:rPr>
          <w:color w:val="231F20"/>
          <w:sz w:val="16"/>
        </w:rPr>
        <w:t>anterioridad </w:t>
      </w:r>
      <w:r>
        <w:rPr>
          <w:color w:val="231F20"/>
          <w:w w:val="95"/>
          <w:sz w:val="16"/>
        </w:rPr>
        <w:t>(INAFED,</w:t>
      </w:r>
      <w:r>
        <w:rPr>
          <w:color w:val="231F20"/>
          <w:spacing w:val="-20"/>
          <w:w w:val="95"/>
          <w:sz w:val="16"/>
        </w:rPr>
        <w:t> </w:t>
      </w:r>
      <w:r>
        <w:rPr>
          <w:color w:val="231F20"/>
          <w:w w:val="95"/>
          <w:sz w:val="16"/>
        </w:rPr>
        <w:t>2008).</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Un</w:t>
      </w:r>
      <w:r>
        <w:rPr>
          <w:color w:val="231F20"/>
          <w:spacing w:val="-11"/>
          <w:w w:val="105"/>
        </w:rPr>
        <w:t> </w:t>
      </w:r>
      <w:r>
        <w:rPr>
          <w:color w:val="231F20"/>
          <w:w w:val="105"/>
        </w:rPr>
        <w:t>último</w:t>
      </w:r>
      <w:r>
        <w:rPr>
          <w:color w:val="231F20"/>
          <w:spacing w:val="-11"/>
          <w:w w:val="105"/>
        </w:rPr>
        <w:t> </w:t>
      </w:r>
      <w:r>
        <w:rPr>
          <w:color w:val="231F20"/>
          <w:w w:val="105"/>
        </w:rPr>
        <w:t>aspecto</w:t>
      </w:r>
      <w:r>
        <w:rPr>
          <w:color w:val="231F20"/>
          <w:spacing w:val="-11"/>
          <w:w w:val="105"/>
        </w:rPr>
        <w:t> </w:t>
      </w:r>
      <w:r>
        <w:rPr>
          <w:color w:val="231F20"/>
          <w:w w:val="105"/>
        </w:rPr>
        <w:t>que</w:t>
      </w:r>
      <w:r>
        <w:rPr>
          <w:color w:val="231F20"/>
          <w:spacing w:val="-11"/>
          <w:w w:val="105"/>
        </w:rPr>
        <w:t> </w:t>
      </w:r>
      <w:r>
        <w:rPr>
          <w:color w:val="231F20"/>
          <w:w w:val="105"/>
        </w:rPr>
        <w:t>puede</w:t>
      </w:r>
      <w:r>
        <w:rPr>
          <w:color w:val="231F20"/>
          <w:spacing w:val="-11"/>
          <w:w w:val="105"/>
        </w:rPr>
        <w:t> </w:t>
      </w:r>
      <w:r>
        <w:rPr>
          <w:color w:val="231F20"/>
          <w:spacing w:val="3"/>
          <w:w w:val="105"/>
        </w:rPr>
        <w:t>influir</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condiciones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flexibilidad</w:t>
      </w:r>
      <w:r>
        <w:rPr>
          <w:color w:val="231F20"/>
          <w:spacing w:val="-11"/>
          <w:w w:val="105"/>
        </w:rPr>
        <w:t> </w:t>
      </w:r>
      <w:r>
        <w:rPr>
          <w:color w:val="231F20"/>
          <w:w w:val="105"/>
        </w:rPr>
        <w:t>financiera</w:t>
      </w:r>
      <w:r>
        <w:rPr>
          <w:color w:val="231F20"/>
          <w:spacing w:val="-11"/>
          <w:w w:val="105"/>
        </w:rPr>
        <w:t> </w:t>
      </w:r>
      <w:r>
        <w:rPr>
          <w:color w:val="231F20"/>
          <w:w w:val="105"/>
        </w:rPr>
        <w:t>del municipio</w:t>
      </w:r>
      <w:r>
        <w:rPr>
          <w:color w:val="231F20"/>
          <w:spacing w:val="-10"/>
          <w:w w:val="105"/>
        </w:rPr>
        <w:t> </w:t>
      </w:r>
      <w:r>
        <w:rPr>
          <w:color w:val="231F20"/>
          <w:w w:val="105"/>
        </w:rPr>
        <w:t>consiste</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relación</w:t>
      </w:r>
      <w:r>
        <w:rPr>
          <w:color w:val="231F20"/>
          <w:spacing w:val="-10"/>
          <w:w w:val="105"/>
        </w:rPr>
        <w:t> </w:t>
      </w:r>
      <w:r>
        <w:rPr>
          <w:color w:val="231F20"/>
          <w:w w:val="105"/>
        </w:rPr>
        <w:t>de</w:t>
      </w:r>
      <w:r>
        <w:rPr>
          <w:color w:val="231F20"/>
          <w:spacing w:val="-10"/>
          <w:w w:val="105"/>
        </w:rPr>
        <w:t> </w:t>
      </w:r>
      <w:r>
        <w:rPr>
          <w:color w:val="231F20"/>
          <w:w w:val="105"/>
        </w:rPr>
        <w:t>dicho</w:t>
      </w:r>
      <w:r>
        <w:rPr>
          <w:color w:val="231F20"/>
          <w:spacing w:val="-10"/>
          <w:w w:val="105"/>
        </w:rPr>
        <w:t> </w:t>
      </w:r>
      <w:r>
        <w:rPr>
          <w:color w:val="231F20"/>
          <w:w w:val="105"/>
        </w:rPr>
        <w:t>nivel</w:t>
      </w:r>
      <w:r>
        <w:rPr>
          <w:color w:val="231F20"/>
          <w:spacing w:val="-10"/>
          <w:w w:val="105"/>
        </w:rPr>
        <w:t> </w:t>
      </w:r>
      <w:r>
        <w:rPr>
          <w:color w:val="231F20"/>
          <w:w w:val="105"/>
        </w:rPr>
        <w:t>de</w:t>
      </w:r>
      <w:r>
        <w:rPr>
          <w:color w:val="231F20"/>
          <w:spacing w:val="-10"/>
          <w:w w:val="105"/>
        </w:rPr>
        <w:t> </w:t>
      </w:r>
      <w:r>
        <w:rPr>
          <w:color w:val="231F20"/>
          <w:w w:val="105"/>
        </w:rPr>
        <w:t>gobierno</w:t>
      </w:r>
      <w:r>
        <w:rPr>
          <w:color w:val="231F20"/>
          <w:spacing w:val="-10"/>
          <w:w w:val="105"/>
        </w:rPr>
        <w:t> </w:t>
      </w:r>
      <w:r>
        <w:rPr>
          <w:color w:val="231F20"/>
          <w:w w:val="105"/>
        </w:rPr>
        <w:t>con</w:t>
      </w:r>
      <w:r>
        <w:rPr>
          <w:color w:val="231F20"/>
          <w:spacing w:val="-10"/>
          <w:w w:val="105"/>
        </w:rPr>
        <w:t> </w:t>
      </w:r>
      <w:r>
        <w:rPr>
          <w:color w:val="231F20"/>
          <w:w w:val="105"/>
        </w:rPr>
        <w:t>las</w:t>
      </w:r>
      <w:r>
        <w:rPr>
          <w:color w:val="231F20"/>
          <w:spacing w:val="-10"/>
          <w:w w:val="105"/>
        </w:rPr>
        <w:t> </w:t>
      </w:r>
      <w:r>
        <w:rPr>
          <w:color w:val="231F20"/>
          <w:w w:val="105"/>
        </w:rPr>
        <w:t>entidades</w:t>
      </w:r>
      <w:r>
        <w:rPr>
          <w:color w:val="231F20"/>
          <w:spacing w:val="-10"/>
          <w:w w:val="105"/>
        </w:rPr>
        <w:t> </w:t>
      </w:r>
      <w:r>
        <w:rPr>
          <w:color w:val="231F20"/>
          <w:w w:val="105"/>
        </w:rPr>
        <w:t>federati- vas</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federación,</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grado</w:t>
      </w:r>
      <w:r>
        <w:rPr>
          <w:color w:val="231F20"/>
          <w:spacing w:val="-14"/>
          <w:w w:val="105"/>
        </w:rPr>
        <w:t> </w:t>
      </w:r>
      <w:r>
        <w:rPr>
          <w:color w:val="231F20"/>
          <w:w w:val="105"/>
        </w:rPr>
        <w:t>de</w:t>
      </w:r>
      <w:r>
        <w:rPr>
          <w:color w:val="231F20"/>
          <w:spacing w:val="-14"/>
          <w:w w:val="105"/>
        </w:rPr>
        <w:t> </w:t>
      </w:r>
      <w:r>
        <w:rPr>
          <w:color w:val="231F20"/>
          <w:w w:val="105"/>
        </w:rPr>
        <w:t>presión</w:t>
      </w:r>
      <w:r>
        <w:rPr>
          <w:color w:val="231F20"/>
          <w:spacing w:val="-14"/>
          <w:w w:val="105"/>
        </w:rPr>
        <w:t> </w:t>
      </w:r>
      <w:r>
        <w:rPr>
          <w:color w:val="231F20"/>
          <w:w w:val="105"/>
        </w:rPr>
        <w:t>política</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primero</w:t>
      </w:r>
      <w:r>
        <w:rPr>
          <w:color w:val="231F20"/>
          <w:spacing w:val="-14"/>
          <w:w w:val="105"/>
        </w:rPr>
        <w:t> </w:t>
      </w:r>
      <w:r>
        <w:rPr>
          <w:color w:val="231F20"/>
          <w:w w:val="105"/>
        </w:rPr>
        <w:t>puede</w:t>
      </w:r>
      <w:r>
        <w:rPr>
          <w:color w:val="231F20"/>
          <w:spacing w:val="-14"/>
          <w:w w:val="105"/>
        </w:rPr>
        <w:t> </w:t>
      </w:r>
      <w:r>
        <w:rPr>
          <w:color w:val="231F20"/>
          <w:w w:val="105"/>
        </w:rPr>
        <w:t>ejercer</w:t>
      </w:r>
      <w:r>
        <w:rPr>
          <w:color w:val="231F20"/>
          <w:spacing w:val="-14"/>
          <w:w w:val="105"/>
        </w:rPr>
        <w:t> </w:t>
      </w:r>
      <w:r>
        <w:rPr>
          <w:color w:val="231F20"/>
          <w:w w:val="105"/>
        </w:rPr>
        <w:t>sobre</w:t>
      </w:r>
      <w:r>
        <w:rPr>
          <w:color w:val="231F20"/>
          <w:spacing w:val="-14"/>
          <w:w w:val="105"/>
        </w:rPr>
        <w:t> </w:t>
      </w:r>
      <w:r>
        <w:rPr>
          <w:color w:val="231F20"/>
          <w:w w:val="105"/>
        </w:rPr>
        <w:t>los gobiernos</w:t>
      </w:r>
      <w:r>
        <w:rPr>
          <w:color w:val="231F20"/>
          <w:spacing w:val="-12"/>
          <w:w w:val="105"/>
        </w:rPr>
        <w:t> </w:t>
      </w:r>
      <w:r>
        <w:rPr>
          <w:color w:val="231F20"/>
          <w:w w:val="105"/>
        </w:rPr>
        <w:t>locales</w:t>
      </w:r>
      <w:r>
        <w:rPr>
          <w:color w:val="231F20"/>
          <w:spacing w:val="-12"/>
          <w:w w:val="105"/>
        </w:rPr>
        <w:t> </w:t>
      </w:r>
      <w:r>
        <w:rPr>
          <w:color w:val="231F20"/>
          <w:w w:val="105"/>
        </w:rPr>
        <w:t>a</w:t>
      </w:r>
      <w:r>
        <w:rPr>
          <w:color w:val="231F20"/>
          <w:spacing w:val="-12"/>
          <w:w w:val="105"/>
        </w:rPr>
        <w:t> </w:t>
      </w:r>
      <w:r>
        <w:rPr>
          <w:color w:val="231F20"/>
          <w:spacing w:val="2"/>
          <w:w w:val="105"/>
        </w:rPr>
        <w:t>partir</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aportaciones</w:t>
      </w:r>
      <w:r>
        <w:rPr>
          <w:color w:val="231F20"/>
          <w:spacing w:val="-12"/>
          <w:w w:val="105"/>
        </w:rPr>
        <w:t> </w:t>
      </w:r>
      <w:r>
        <w:rPr>
          <w:color w:val="231F20"/>
          <w:w w:val="105"/>
        </w:rPr>
        <w:t>indirectas.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21"/>
          <w:w w:val="105"/>
        </w:rPr>
        <w:t> </w:t>
      </w:r>
      <w:r>
        <w:rPr>
          <w:color w:val="231F20"/>
          <w:w w:val="105"/>
        </w:rPr>
        <w:t>importancia</w:t>
      </w:r>
      <w:r>
        <w:rPr>
          <w:color w:val="231F20"/>
          <w:spacing w:val="-21"/>
          <w:w w:val="105"/>
        </w:rPr>
        <w:t> </w:t>
      </w:r>
      <w:r>
        <w:rPr>
          <w:color w:val="231F20"/>
          <w:w w:val="105"/>
        </w:rPr>
        <w:t>del</w:t>
      </w:r>
      <w:r>
        <w:rPr>
          <w:color w:val="231F20"/>
          <w:spacing w:val="-21"/>
          <w:w w:val="105"/>
        </w:rPr>
        <w:t> </w:t>
      </w:r>
      <w:r>
        <w:rPr>
          <w:color w:val="231F20"/>
          <w:w w:val="105"/>
        </w:rPr>
        <w:t>gobierno</w:t>
      </w:r>
      <w:r>
        <w:rPr>
          <w:color w:val="231F20"/>
          <w:spacing w:val="-21"/>
          <w:w w:val="105"/>
        </w:rPr>
        <w:t> </w:t>
      </w:r>
      <w:r>
        <w:rPr>
          <w:color w:val="231F20"/>
          <w:w w:val="105"/>
        </w:rPr>
        <w:t>estatal</w:t>
      </w:r>
      <w:r>
        <w:rPr>
          <w:color w:val="231F20"/>
          <w:spacing w:val="-21"/>
          <w:w w:val="105"/>
        </w:rPr>
        <w:t> </w:t>
      </w:r>
      <w:r>
        <w:rPr>
          <w:color w:val="231F20"/>
          <w:w w:val="105"/>
        </w:rPr>
        <w:t>radica</w:t>
      </w:r>
      <w:r>
        <w:rPr>
          <w:color w:val="231F20"/>
          <w:spacing w:val="-21"/>
          <w:w w:val="105"/>
        </w:rPr>
        <w:t> </w:t>
      </w:r>
      <w:r>
        <w:rPr>
          <w:color w:val="231F20"/>
          <w:w w:val="105"/>
        </w:rPr>
        <w:t>en</w:t>
      </w:r>
      <w:r>
        <w:rPr>
          <w:color w:val="231F20"/>
          <w:spacing w:val="-21"/>
          <w:w w:val="105"/>
        </w:rPr>
        <w:t> </w:t>
      </w:r>
      <w:r>
        <w:rPr>
          <w:color w:val="231F20"/>
          <w:w w:val="105"/>
        </w:rPr>
        <w:t>dos</w:t>
      </w:r>
      <w:r>
        <w:rPr>
          <w:color w:val="231F20"/>
          <w:spacing w:val="-21"/>
          <w:w w:val="105"/>
        </w:rPr>
        <w:t> </w:t>
      </w:r>
      <w:r>
        <w:rPr>
          <w:color w:val="231F20"/>
          <w:w w:val="105"/>
        </w:rPr>
        <w:t>aspectos:</w:t>
      </w:r>
      <w:r>
        <w:rPr>
          <w:color w:val="231F20"/>
          <w:spacing w:val="-21"/>
          <w:w w:val="105"/>
        </w:rPr>
        <w:t> </w:t>
      </w:r>
      <w:r>
        <w:rPr>
          <w:color w:val="231F20"/>
          <w:w w:val="105"/>
        </w:rPr>
        <w:t>por</w:t>
      </w:r>
      <w:r>
        <w:rPr>
          <w:color w:val="231F20"/>
          <w:spacing w:val="-21"/>
          <w:w w:val="105"/>
        </w:rPr>
        <w:t> </w:t>
      </w:r>
      <w:r>
        <w:rPr>
          <w:color w:val="231F20"/>
          <w:w w:val="105"/>
        </w:rPr>
        <w:t>un</w:t>
      </w:r>
      <w:r>
        <w:rPr>
          <w:color w:val="231F20"/>
          <w:spacing w:val="-21"/>
          <w:w w:val="105"/>
        </w:rPr>
        <w:t> </w:t>
      </w:r>
      <w:r>
        <w:rPr>
          <w:color w:val="231F20"/>
          <w:w w:val="105"/>
        </w:rPr>
        <w:t>lado,</w:t>
      </w:r>
      <w:r>
        <w:rPr>
          <w:color w:val="231F20"/>
          <w:spacing w:val="-21"/>
          <w:w w:val="105"/>
        </w:rPr>
        <w:t> </w:t>
      </w:r>
      <w:r>
        <w:rPr>
          <w:color w:val="231F20"/>
          <w:w w:val="105"/>
        </w:rPr>
        <w:t>suele</w:t>
      </w:r>
      <w:r>
        <w:rPr>
          <w:color w:val="231F20"/>
          <w:spacing w:val="-21"/>
          <w:w w:val="105"/>
        </w:rPr>
        <w:t> </w:t>
      </w:r>
      <w:r>
        <w:rPr>
          <w:color w:val="231F20"/>
          <w:w w:val="105"/>
        </w:rPr>
        <w:t>programar la</w:t>
      </w:r>
      <w:r>
        <w:rPr>
          <w:color w:val="231F20"/>
          <w:spacing w:val="-12"/>
          <w:w w:val="105"/>
        </w:rPr>
        <w:t> </w:t>
      </w:r>
      <w:r>
        <w:rPr>
          <w:color w:val="231F20"/>
          <w:w w:val="105"/>
        </w:rPr>
        <w:t>repartición</w:t>
      </w:r>
      <w:r>
        <w:rPr>
          <w:color w:val="231F20"/>
          <w:spacing w:val="-12"/>
          <w:w w:val="105"/>
        </w:rPr>
        <w:t> </w:t>
      </w:r>
      <w:r>
        <w:rPr>
          <w:color w:val="231F20"/>
          <w:w w:val="105"/>
        </w:rPr>
        <w:t>de</w:t>
      </w:r>
      <w:r>
        <w:rPr>
          <w:color w:val="231F20"/>
          <w:spacing w:val="-12"/>
          <w:w w:val="105"/>
        </w:rPr>
        <w:t> </w:t>
      </w:r>
      <w:r>
        <w:rPr>
          <w:color w:val="231F20"/>
          <w:w w:val="105"/>
        </w:rPr>
        <w:t>participaciones</w:t>
      </w:r>
      <w:r>
        <w:rPr>
          <w:color w:val="231F20"/>
          <w:spacing w:val="-12"/>
          <w:w w:val="105"/>
        </w:rPr>
        <w:t> </w:t>
      </w:r>
      <w:r>
        <w:rPr>
          <w:color w:val="231F20"/>
          <w:w w:val="105"/>
        </w:rPr>
        <w:t>estatales</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gobiernos</w:t>
      </w:r>
      <w:r>
        <w:rPr>
          <w:color w:val="231F20"/>
          <w:spacing w:val="-12"/>
          <w:w w:val="105"/>
        </w:rPr>
        <w:t> </w:t>
      </w:r>
      <w:r>
        <w:rPr>
          <w:color w:val="231F20"/>
          <w:w w:val="105"/>
        </w:rPr>
        <w:t>locales,</w:t>
      </w:r>
      <w:r>
        <w:rPr>
          <w:color w:val="231F20"/>
          <w:spacing w:val="-12"/>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el</w:t>
      </w:r>
      <w:r>
        <w:rPr>
          <w:color w:val="231F20"/>
          <w:spacing w:val="-12"/>
          <w:w w:val="105"/>
        </w:rPr>
        <w:t> </w:t>
      </w:r>
      <w:r>
        <w:rPr>
          <w:color w:val="231F20"/>
          <w:w w:val="105"/>
        </w:rPr>
        <w:t>otro,</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en- cargado</w:t>
      </w:r>
      <w:r>
        <w:rPr>
          <w:color w:val="231F20"/>
          <w:spacing w:val="-15"/>
          <w:w w:val="105"/>
        </w:rPr>
        <w:t> </w:t>
      </w:r>
      <w:r>
        <w:rPr>
          <w:color w:val="231F20"/>
          <w:w w:val="105"/>
        </w:rPr>
        <w:t>de</w:t>
      </w:r>
      <w:r>
        <w:rPr>
          <w:color w:val="231F20"/>
          <w:spacing w:val="-15"/>
          <w:w w:val="105"/>
        </w:rPr>
        <w:t> </w:t>
      </w:r>
      <w:r>
        <w:rPr>
          <w:color w:val="231F20"/>
          <w:w w:val="105"/>
        </w:rPr>
        <w:t>recibir</w:t>
      </w:r>
      <w:r>
        <w:rPr>
          <w:color w:val="231F20"/>
          <w:spacing w:val="-15"/>
          <w:w w:val="105"/>
        </w:rPr>
        <w:t> </w:t>
      </w:r>
      <w:r>
        <w:rPr>
          <w:color w:val="231F20"/>
          <w:w w:val="105"/>
        </w:rPr>
        <w:t>y</w:t>
      </w:r>
      <w:r>
        <w:rPr>
          <w:color w:val="231F20"/>
          <w:spacing w:val="-15"/>
          <w:w w:val="105"/>
        </w:rPr>
        <w:t> </w:t>
      </w:r>
      <w:r>
        <w:rPr>
          <w:color w:val="231F20"/>
          <w:w w:val="105"/>
        </w:rPr>
        <w:t>distribuir</w:t>
      </w:r>
      <w:r>
        <w:rPr>
          <w:color w:val="231F20"/>
          <w:spacing w:val="-15"/>
          <w:w w:val="105"/>
        </w:rPr>
        <w:t> </w:t>
      </w:r>
      <w:r>
        <w:rPr>
          <w:color w:val="231F20"/>
          <w:w w:val="105"/>
        </w:rPr>
        <w:t>las</w:t>
      </w:r>
      <w:r>
        <w:rPr>
          <w:color w:val="231F20"/>
          <w:spacing w:val="-15"/>
          <w:w w:val="105"/>
        </w:rPr>
        <w:t> </w:t>
      </w:r>
      <w:r>
        <w:rPr>
          <w:color w:val="231F20"/>
          <w:w w:val="105"/>
        </w:rPr>
        <w:t>participaciones</w:t>
      </w:r>
      <w:r>
        <w:rPr>
          <w:color w:val="231F20"/>
          <w:spacing w:val="-15"/>
          <w:w w:val="105"/>
        </w:rPr>
        <w:t> </w:t>
      </w:r>
      <w:r>
        <w:rPr>
          <w:color w:val="231F20"/>
          <w:w w:val="105"/>
        </w:rPr>
        <w:t>federales</w:t>
      </w:r>
      <w:r>
        <w:rPr>
          <w:color w:val="231F20"/>
          <w:spacing w:val="-15"/>
          <w:w w:val="105"/>
        </w:rPr>
        <w:t> </w:t>
      </w:r>
      <w:r>
        <w:rPr>
          <w:color w:val="231F20"/>
          <w:w w:val="105"/>
        </w:rPr>
        <w:t>destinadas</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municipios.</w:t>
      </w:r>
    </w:p>
    <w:p>
      <w:pPr>
        <w:pStyle w:val="BodyText"/>
        <w:spacing w:before="1"/>
        <w:rPr>
          <w:sz w:val="26"/>
        </w:rPr>
      </w:pPr>
    </w:p>
    <w:p>
      <w:pPr>
        <w:pStyle w:val="BodyText"/>
        <w:spacing w:line="285" w:lineRule="auto"/>
        <w:ind w:left="110" w:right="108"/>
        <w:jc w:val="both"/>
      </w:pPr>
      <w:r>
        <w:rPr>
          <w:color w:val="231F20"/>
          <w:w w:val="105"/>
        </w:rPr>
        <w:t>Las</w:t>
      </w:r>
      <w:r>
        <w:rPr>
          <w:color w:val="231F20"/>
          <w:spacing w:val="-11"/>
          <w:w w:val="105"/>
        </w:rPr>
        <w:t> </w:t>
      </w:r>
      <w:r>
        <w:rPr>
          <w:color w:val="231F20"/>
          <w:w w:val="105"/>
        </w:rPr>
        <w:t>participaciones</w:t>
      </w:r>
      <w:r>
        <w:rPr>
          <w:color w:val="231F20"/>
          <w:spacing w:val="-11"/>
          <w:w w:val="105"/>
        </w:rPr>
        <w:t> </w:t>
      </w:r>
      <w:r>
        <w:rPr>
          <w:color w:val="231F20"/>
          <w:w w:val="105"/>
        </w:rPr>
        <w:t>provenientes</w:t>
      </w:r>
      <w:r>
        <w:rPr>
          <w:color w:val="231F20"/>
          <w:spacing w:val="-11"/>
          <w:w w:val="105"/>
        </w:rPr>
        <w:t> </w:t>
      </w:r>
      <w:r>
        <w:rPr>
          <w:color w:val="231F20"/>
          <w:w w:val="105"/>
        </w:rPr>
        <w:t>del</w:t>
      </w:r>
      <w:r>
        <w:rPr>
          <w:color w:val="231F20"/>
          <w:spacing w:val="-11"/>
          <w:w w:val="105"/>
        </w:rPr>
        <w:t> </w:t>
      </w:r>
      <w:r>
        <w:rPr>
          <w:color w:val="231F20"/>
          <w:w w:val="105"/>
        </w:rPr>
        <w:t>presupuesto</w:t>
      </w:r>
      <w:r>
        <w:rPr>
          <w:color w:val="231F20"/>
          <w:spacing w:val="-11"/>
          <w:w w:val="105"/>
        </w:rPr>
        <w:t> </w:t>
      </w:r>
      <w:r>
        <w:rPr>
          <w:color w:val="231F20"/>
          <w:w w:val="105"/>
        </w:rPr>
        <w:t>estatal</w:t>
      </w:r>
      <w:r>
        <w:rPr>
          <w:color w:val="231F20"/>
          <w:spacing w:val="-11"/>
          <w:w w:val="105"/>
        </w:rPr>
        <w:t> </w:t>
      </w:r>
      <w:r>
        <w:rPr>
          <w:color w:val="231F20"/>
          <w:w w:val="105"/>
        </w:rPr>
        <w:t>que</w:t>
      </w:r>
      <w:r>
        <w:rPr>
          <w:color w:val="231F20"/>
          <w:spacing w:val="-11"/>
          <w:w w:val="105"/>
        </w:rPr>
        <w:t> </w:t>
      </w:r>
      <w:r>
        <w:rPr>
          <w:color w:val="231F20"/>
          <w:w w:val="105"/>
        </w:rPr>
        <w:t>entregó</w:t>
      </w:r>
      <w:r>
        <w:rPr>
          <w:color w:val="231F20"/>
          <w:spacing w:val="-11"/>
          <w:w w:val="105"/>
        </w:rPr>
        <w:t> </w:t>
      </w:r>
      <w:r>
        <w:rPr>
          <w:color w:val="231F20"/>
          <w:w w:val="105"/>
        </w:rPr>
        <w:t>el</w:t>
      </w:r>
      <w:r>
        <w:rPr>
          <w:color w:val="231F20"/>
          <w:spacing w:val="-11"/>
          <w:w w:val="105"/>
        </w:rPr>
        <w:t> </w:t>
      </w:r>
      <w:r>
        <w:rPr>
          <w:color w:val="231F20"/>
          <w:w w:val="105"/>
        </w:rPr>
        <w:t>gobierno</w:t>
      </w:r>
      <w:r>
        <w:rPr>
          <w:color w:val="231F20"/>
          <w:spacing w:val="-11"/>
          <w:w w:val="105"/>
        </w:rPr>
        <w:t> </w:t>
      </w:r>
      <w:r>
        <w:rPr>
          <w:color w:val="231F20"/>
          <w:w w:val="105"/>
        </w:rPr>
        <w:t>mexi- quense </w:t>
      </w:r>
      <w:r>
        <w:rPr>
          <w:color w:val="231F20"/>
          <w:spacing w:val="2"/>
          <w:w w:val="105"/>
        </w:rPr>
        <w:t>al </w:t>
      </w:r>
      <w:r>
        <w:rPr>
          <w:color w:val="231F20"/>
          <w:w w:val="105"/>
        </w:rPr>
        <w:t>ayuntamiento de Huixquilucan mostraron una tendencia diferenciada. En- tre los años 2001 a </w:t>
      </w:r>
      <w:r>
        <w:rPr>
          <w:color w:val="231F20"/>
          <w:spacing w:val="3"/>
          <w:w w:val="105"/>
        </w:rPr>
        <w:t>2006 </w:t>
      </w:r>
      <w:r>
        <w:rPr>
          <w:color w:val="231F20"/>
          <w:w w:val="105"/>
        </w:rPr>
        <w:t>el incremento promedio fue del 49%, aunque se registraron descensos</w:t>
      </w:r>
      <w:r>
        <w:rPr>
          <w:color w:val="231F20"/>
          <w:spacing w:val="-5"/>
          <w:w w:val="105"/>
        </w:rPr>
        <w:t> </w:t>
      </w:r>
      <w:r>
        <w:rPr>
          <w:color w:val="231F20"/>
          <w:w w:val="105"/>
        </w:rPr>
        <w:t>en</w:t>
      </w:r>
      <w:r>
        <w:rPr>
          <w:color w:val="231F20"/>
          <w:spacing w:val="-5"/>
          <w:w w:val="105"/>
        </w:rPr>
        <w:t> </w:t>
      </w:r>
      <w:r>
        <w:rPr>
          <w:color w:val="231F20"/>
          <w:w w:val="105"/>
        </w:rPr>
        <w:t>dichas</w:t>
      </w:r>
      <w:r>
        <w:rPr>
          <w:color w:val="231F20"/>
          <w:spacing w:val="-5"/>
          <w:w w:val="105"/>
        </w:rPr>
        <w:t> </w:t>
      </w:r>
      <w:r>
        <w:rPr>
          <w:color w:val="231F20"/>
          <w:w w:val="105"/>
        </w:rPr>
        <w:t>participaciones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años</w:t>
      </w:r>
      <w:r>
        <w:rPr>
          <w:color w:val="231F20"/>
          <w:spacing w:val="-5"/>
          <w:w w:val="105"/>
        </w:rPr>
        <w:t> </w:t>
      </w:r>
      <w:r>
        <w:rPr>
          <w:color w:val="231F20"/>
          <w:spacing w:val="2"/>
          <w:w w:val="105"/>
        </w:rPr>
        <w:t>2003</w:t>
      </w:r>
      <w:r>
        <w:rPr>
          <w:color w:val="231F20"/>
          <w:spacing w:val="-5"/>
          <w:w w:val="105"/>
        </w:rPr>
        <w:t> </w:t>
      </w:r>
      <w:r>
        <w:rPr>
          <w:color w:val="231F20"/>
          <w:w w:val="105"/>
        </w:rPr>
        <w:t>y</w:t>
      </w:r>
      <w:r>
        <w:rPr>
          <w:color w:val="231F20"/>
          <w:spacing w:val="-5"/>
          <w:w w:val="105"/>
        </w:rPr>
        <w:t> </w:t>
      </w:r>
      <w:r>
        <w:rPr>
          <w:color w:val="231F20"/>
          <w:spacing w:val="2"/>
          <w:w w:val="105"/>
        </w:rPr>
        <w:t>2005.</w:t>
      </w:r>
      <w:r>
        <w:rPr>
          <w:color w:val="231F20"/>
          <w:spacing w:val="-5"/>
          <w:w w:val="105"/>
        </w:rPr>
        <w:t> </w:t>
      </w:r>
      <w:r>
        <w:rPr>
          <w:color w:val="231F20"/>
          <w:w w:val="105"/>
        </w:rPr>
        <w:t>Posterior</w:t>
      </w:r>
      <w:r>
        <w:rPr>
          <w:color w:val="231F20"/>
          <w:spacing w:val="-5"/>
          <w:w w:val="105"/>
        </w:rPr>
        <w:t> </w:t>
      </w:r>
      <w:r>
        <w:rPr>
          <w:color w:val="231F20"/>
          <w:spacing w:val="2"/>
          <w:w w:val="105"/>
        </w:rPr>
        <w:t>al</w:t>
      </w:r>
      <w:r>
        <w:rPr>
          <w:color w:val="231F20"/>
          <w:spacing w:val="-5"/>
          <w:w w:val="105"/>
        </w:rPr>
        <w:t> </w:t>
      </w:r>
      <w:r>
        <w:rPr>
          <w:color w:val="231F20"/>
          <w:w w:val="105"/>
        </w:rPr>
        <w:t>año</w:t>
      </w:r>
      <w:r>
        <w:rPr>
          <w:color w:val="231F20"/>
          <w:spacing w:val="-5"/>
          <w:w w:val="105"/>
        </w:rPr>
        <w:t> </w:t>
      </w:r>
      <w:r>
        <w:rPr>
          <w:color w:val="231F20"/>
          <w:spacing w:val="3"/>
          <w:w w:val="105"/>
        </w:rPr>
        <w:t>2006</w:t>
      </w:r>
      <w:r>
        <w:rPr>
          <w:color w:val="231F20"/>
          <w:spacing w:val="-5"/>
          <w:w w:val="105"/>
        </w:rPr>
        <w:t> </w:t>
      </w:r>
      <w:r>
        <w:rPr>
          <w:color w:val="231F20"/>
          <w:w w:val="105"/>
        </w:rPr>
        <w:t>se observa</w:t>
      </w:r>
      <w:r>
        <w:rPr>
          <w:color w:val="231F20"/>
          <w:spacing w:val="-17"/>
          <w:w w:val="105"/>
        </w:rPr>
        <w:t> </w:t>
      </w:r>
      <w:r>
        <w:rPr>
          <w:color w:val="231F20"/>
          <w:w w:val="105"/>
        </w:rPr>
        <w:t>un</w:t>
      </w:r>
      <w:r>
        <w:rPr>
          <w:color w:val="231F20"/>
          <w:spacing w:val="-17"/>
          <w:w w:val="105"/>
        </w:rPr>
        <w:t> </w:t>
      </w:r>
      <w:r>
        <w:rPr>
          <w:color w:val="231F20"/>
          <w:w w:val="105"/>
        </w:rPr>
        <w:t>crecimiento</w:t>
      </w:r>
      <w:r>
        <w:rPr>
          <w:color w:val="231F20"/>
          <w:spacing w:val="-17"/>
          <w:w w:val="105"/>
        </w:rPr>
        <w:t> </w:t>
      </w:r>
      <w:r>
        <w:rPr>
          <w:color w:val="231F20"/>
          <w:w w:val="105"/>
        </w:rPr>
        <w:t>abrupto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aportaciones</w:t>
      </w:r>
      <w:r>
        <w:rPr>
          <w:color w:val="231F20"/>
          <w:spacing w:val="-17"/>
          <w:w w:val="105"/>
        </w:rPr>
        <w:t> </w:t>
      </w:r>
      <w:r>
        <w:rPr>
          <w:color w:val="231F20"/>
          <w:w w:val="105"/>
        </w:rPr>
        <w:t>estatales,</w:t>
      </w:r>
      <w:r>
        <w:rPr>
          <w:color w:val="231F20"/>
          <w:spacing w:val="-17"/>
          <w:w w:val="105"/>
        </w:rPr>
        <w:t> </w:t>
      </w:r>
      <w:r>
        <w:rPr>
          <w:color w:val="231F20"/>
          <w:spacing w:val="2"/>
          <w:w w:val="105"/>
        </w:rPr>
        <w:t>al</w:t>
      </w:r>
      <w:r>
        <w:rPr>
          <w:color w:val="231F20"/>
          <w:spacing w:val="-17"/>
          <w:w w:val="105"/>
        </w:rPr>
        <w:t> </w:t>
      </w:r>
      <w:r>
        <w:rPr>
          <w:color w:val="231F20"/>
          <w:w w:val="105"/>
        </w:rPr>
        <w:t>grado</w:t>
      </w:r>
      <w:r>
        <w:rPr>
          <w:color w:val="231F20"/>
          <w:spacing w:val="-17"/>
          <w:w w:val="105"/>
        </w:rPr>
        <w:t> </w:t>
      </w:r>
      <w:r>
        <w:rPr>
          <w:color w:val="231F20"/>
          <w:w w:val="105"/>
        </w:rPr>
        <w:t>de</w:t>
      </w:r>
      <w:r>
        <w:rPr>
          <w:color w:val="231F20"/>
          <w:spacing w:val="-17"/>
          <w:w w:val="105"/>
        </w:rPr>
        <w:t> </w:t>
      </w:r>
      <w:r>
        <w:rPr>
          <w:color w:val="231F20"/>
          <w:w w:val="105"/>
        </w:rPr>
        <w:t>incrementarse en</w:t>
      </w:r>
      <w:r>
        <w:rPr>
          <w:color w:val="231F20"/>
          <w:spacing w:val="-27"/>
          <w:w w:val="105"/>
        </w:rPr>
        <w:t> </w:t>
      </w:r>
      <w:r>
        <w:rPr>
          <w:color w:val="231F20"/>
          <w:spacing w:val="-4"/>
          <w:w w:val="105"/>
        </w:rPr>
        <w:t>167%</w:t>
      </w:r>
      <w:r>
        <w:rPr>
          <w:color w:val="231F20"/>
          <w:spacing w:val="-27"/>
          <w:w w:val="105"/>
        </w:rPr>
        <w:t> </w:t>
      </w:r>
      <w:r>
        <w:rPr>
          <w:color w:val="231F20"/>
          <w:w w:val="105"/>
        </w:rPr>
        <w:t>hacia</w:t>
      </w:r>
      <w:r>
        <w:rPr>
          <w:color w:val="231F20"/>
          <w:spacing w:val="-27"/>
          <w:w w:val="105"/>
        </w:rPr>
        <w:t> </w:t>
      </w:r>
      <w:r>
        <w:rPr>
          <w:color w:val="231F20"/>
          <w:w w:val="105"/>
        </w:rPr>
        <w:t>el</w:t>
      </w:r>
      <w:r>
        <w:rPr>
          <w:color w:val="231F20"/>
          <w:spacing w:val="-27"/>
          <w:w w:val="105"/>
        </w:rPr>
        <w:t> </w:t>
      </w:r>
      <w:r>
        <w:rPr>
          <w:color w:val="231F20"/>
          <w:spacing w:val="2"/>
          <w:w w:val="105"/>
        </w:rPr>
        <w:t>final</w:t>
      </w:r>
      <w:r>
        <w:rPr>
          <w:color w:val="231F20"/>
          <w:spacing w:val="-27"/>
          <w:w w:val="105"/>
        </w:rPr>
        <w:t> </w:t>
      </w:r>
      <w:r>
        <w:rPr>
          <w:color w:val="231F20"/>
          <w:w w:val="105"/>
        </w:rPr>
        <w:t>de</w:t>
      </w:r>
      <w:r>
        <w:rPr>
          <w:color w:val="231F20"/>
          <w:spacing w:val="-27"/>
          <w:w w:val="105"/>
        </w:rPr>
        <w:t> </w:t>
      </w:r>
      <w:r>
        <w:rPr>
          <w:color w:val="231F20"/>
          <w:w w:val="105"/>
        </w:rPr>
        <w:t>2008</w:t>
      </w:r>
      <w:r>
        <w:rPr>
          <w:color w:val="231F20"/>
          <w:w w:val="105"/>
          <w:position w:val="7"/>
          <w:sz w:val="13"/>
        </w:rPr>
        <w:t>16</w:t>
      </w:r>
      <w:r>
        <w:rPr>
          <w:color w:val="231F20"/>
          <w:w w:val="105"/>
        </w:rPr>
        <w:t>.</w:t>
      </w:r>
    </w:p>
    <w:p>
      <w:pPr>
        <w:pStyle w:val="BodyText"/>
        <w:spacing w:before="1"/>
        <w:rPr>
          <w:sz w:val="26"/>
        </w:rPr>
      </w:pPr>
    </w:p>
    <w:p>
      <w:pPr>
        <w:pStyle w:val="BodyText"/>
        <w:spacing w:line="285" w:lineRule="auto"/>
        <w:ind w:left="110" w:right="108"/>
        <w:jc w:val="both"/>
      </w:pPr>
      <w:r>
        <w:rPr>
          <w:color w:val="231F20"/>
          <w:w w:val="105"/>
        </w:rPr>
        <w:t>El peso proporcional de las aportaciones estatales, sin embargo, se mantuvo entre el 0.50%</w:t>
      </w:r>
      <w:r>
        <w:rPr>
          <w:color w:val="231F20"/>
          <w:spacing w:val="-20"/>
          <w:w w:val="105"/>
        </w:rPr>
        <w:t> </w:t>
      </w:r>
      <w:r>
        <w:rPr>
          <w:color w:val="231F20"/>
          <w:w w:val="105"/>
        </w:rPr>
        <w:t>y</w:t>
      </w:r>
      <w:r>
        <w:rPr>
          <w:color w:val="231F20"/>
          <w:spacing w:val="-20"/>
          <w:w w:val="105"/>
        </w:rPr>
        <w:t> </w:t>
      </w:r>
      <w:r>
        <w:rPr>
          <w:color w:val="231F20"/>
          <w:w w:val="105"/>
        </w:rPr>
        <w:t>0.70%</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ingresos</w:t>
      </w:r>
      <w:r>
        <w:rPr>
          <w:color w:val="231F20"/>
          <w:spacing w:val="-20"/>
          <w:w w:val="105"/>
        </w:rPr>
        <w:t> </w:t>
      </w:r>
      <w:r>
        <w:rPr>
          <w:color w:val="231F20"/>
          <w:w w:val="105"/>
        </w:rPr>
        <w:t>municipales</w:t>
      </w:r>
      <w:r>
        <w:rPr>
          <w:color w:val="231F20"/>
          <w:spacing w:val="-20"/>
          <w:w w:val="105"/>
        </w:rPr>
        <w:t> </w:t>
      </w:r>
      <w:r>
        <w:rPr>
          <w:color w:val="231F20"/>
          <w:w w:val="105"/>
        </w:rPr>
        <w:t>indirectos</w:t>
      </w:r>
      <w:r>
        <w:rPr>
          <w:color w:val="231F20"/>
          <w:spacing w:val="-20"/>
          <w:w w:val="105"/>
        </w:rPr>
        <w:t> </w:t>
      </w:r>
      <w:r>
        <w:rPr>
          <w:color w:val="231F20"/>
          <w:w w:val="105"/>
        </w:rPr>
        <w:t>de</w:t>
      </w:r>
      <w:r>
        <w:rPr>
          <w:color w:val="231F20"/>
          <w:spacing w:val="-20"/>
          <w:w w:val="105"/>
        </w:rPr>
        <w:t> </w:t>
      </w:r>
      <w:r>
        <w:rPr>
          <w:color w:val="231F20"/>
          <w:w w:val="105"/>
        </w:rPr>
        <w:t>Huixquilucan</w:t>
      </w:r>
      <w:r>
        <w:rPr>
          <w:color w:val="231F20"/>
          <w:spacing w:val="-20"/>
          <w:w w:val="105"/>
        </w:rPr>
        <w:t> </w:t>
      </w:r>
      <w:r>
        <w:rPr>
          <w:color w:val="231F20"/>
          <w:w w:val="105"/>
        </w:rPr>
        <w:t>durante</w:t>
      </w:r>
      <w:r>
        <w:rPr>
          <w:color w:val="231F20"/>
          <w:spacing w:val="-20"/>
          <w:w w:val="105"/>
        </w:rPr>
        <w:t> </w:t>
      </w:r>
      <w:r>
        <w:rPr>
          <w:color w:val="231F20"/>
          <w:w w:val="105"/>
        </w:rPr>
        <w:t>los</w:t>
      </w:r>
      <w:r>
        <w:rPr>
          <w:color w:val="231F20"/>
          <w:spacing w:val="-20"/>
          <w:w w:val="105"/>
        </w:rPr>
        <w:t> </w:t>
      </w:r>
      <w:r>
        <w:rPr>
          <w:color w:val="231F20"/>
          <w:w w:val="105"/>
        </w:rPr>
        <w:t>años 2001</w:t>
      </w:r>
      <w:r>
        <w:rPr>
          <w:color w:val="231F20"/>
          <w:spacing w:val="-17"/>
          <w:w w:val="105"/>
        </w:rPr>
        <w:t> </w:t>
      </w:r>
      <w:r>
        <w:rPr>
          <w:color w:val="231F20"/>
          <w:w w:val="105"/>
        </w:rPr>
        <w:t>a</w:t>
      </w:r>
      <w:r>
        <w:rPr>
          <w:color w:val="231F20"/>
          <w:spacing w:val="-17"/>
          <w:w w:val="105"/>
        </w:rPr>
        <w:t> </w:t>
      </w:r>
      <w:r>
        <w:rPr>
          <w:color w:val="231F20"/>
          <w:spacing w:val="3"/>
          <w:w w:val="105"/>
        </w:rPr>
        <w:t>2006.</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últimos</w:t>
      </w:r>
      <w:r>
        <w:rPr>
          <w:color w:val="231F20"/>
          <w:spacing w:val="-17"/>
          <w:w w:val="105"/>
        </w:rPr>
        <w:t> </w:t>
      </w:r>
      <w:r>
        <w:rPr>
          <w:color w:val="231F20"/>
          <w:w w:val="105"/>
        </w:rPr>
        <w:t>años,</w:t>
      </w:r>
      <w:r>
        <w:rPr>
          <w:color w:val="231F20"/>
          <w:spacing w:val="-17"/>
          <w:w w:val="105"/>
        </w:rPr>
        <w:t> </w:t>
      </w:r>
      <w:r>
        <w:rPr>
          <w:color w:val="231F20"/>
          <w:w w:val="105"/>
        </w:rPr>
        <w:t>estos</w:t>
      </w:r>
      <w:r>
        <w:rPr>
          <w:color w:val="231F20"/>
          <w:spacing w:val="-17"/>
          <w:w w:val="105"/>
        </w:rPr>
        <w:t> </w:t>
      </w:r>
      <w:r>
        <w:rPr>
          <w:color w:val="231F20"/>
          <w:w w:val="105"/>
        </w:rPr>
        <w:t>ingresos</w:t>
      </w:r>
      <w:r>
        <w:rPr>
          <w:color w:val="231F20"/>
          <w:spacing w:val="-17"/>
          <w:w w:val="105"/>
        </w:rPr>
        <w:t> </w:t>
      </w:r>
      <w:r>
        <w:rPr>
          <w:color w:val="231F20"/>
          <w:w w:val="105"/>
        </w:rPr>
        <w:t>indirectos</w:t>
      </w:r>
      <w:r>
        <w:rPr>
          <w:color w:val="231F20"/>
          <w:spacing w:val="-17"/>
          <w:w w:val="105"/>
        </w:rPr>
        <w:t> </w:t>
      </w:r>
      <w:r>
        <w:rPr>
          <w:color w:val="231F20"/>
          <w:w w:val="105"/>
        </w:rPr>
        <w:t>han</w:t>
      </w:r>
      <w:r>
        <w:rPr>
          <w:color w:val="231F20"/>
          <w:spacing w:val="-17"/>
          <w:w w:val="105"/>
        </w:rPr>
        <w:t> </w:t>
      </w:r>
      <w:r>
        <w:rPr>
          <w:color w:val="231F20"/>
          <w:w w:val="105"/>
        </w:rPr>
        <w:t>aumentado</w:t>
      </w:r>
      <w:r>
        <w:rPr>
          <w:color w:val="231F20"/>
          <w:spacing w:val="-17"/>
          <w:w w:val="105"/>
        </w:rPr>
        <w:t> </w:t>
      </w:r>
      <w:r>
        <w:rPr>
          <w:color w:val="231F20"/>
          <w:w w:val="105"/>
        </w:rPr>
        <w:t>su</w:t>
      </w:r>
      <w:r>
        <w:rPr>
          <w:color w:val="231F20"/>
          <w:spacing w:val="-17"/>
          <w:w w:val="105"/>
        </w:rPr>
        <w:t> </w:t>
      </w:r>
      <w:r>
        <w:rPr>
          <w:color w:val="231F20"/>
          <w:w w:val="105"/>
        </w:rPr>
        <w:t>participa- ción</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hacienda</w:t>
      </w:r>
      <w:r>
        <w:rPr>
          <w:color w:val="231F20"/>
          <w:spacing w:val="-13"/>
          <w:w w:val="105"/>
        </w:rPr>
        <w:t> </w:t>
      </w:r>
      <w:r>
        <w:rPr>
          <w:color w:val="231F20"/>
          <w:w w:val="105"/>
        </w:rPr>
        <w:t>del</w:t>
      </w:r>
      <w:r>
        <w:rPr>
          <w:color w:val="231F20"/>
          <w:spacing w:val="-13"/>
          <w:w w:val="105"/>
        </w:rPr>
        <w:t> </w:t>
      </w:r>
      <w:r>
        <w:rPr>
          <w:color w:val="231F20"/>
          <w:w w:val="105"/>
        </w:rPr>
        <w:t>municipio</w:t>
      </w:r>
      <w:r>
        <w:rPr>
          <w:color w:val="231F20"/>
          <w:spacing w:val="-13"/>
          <w:w w:val="105"/>
        </w:rPr>
        <w:t> </w:t>
      </w:r>
      <w:r>
        <w:rPr>
          <w:color w:val="231F20"/>
          <w:w w:val="105"/>
        </w:rPr>
        <w:t>hasta</w:t>
      </w:r>
      <w:r>
        <w:rPr>
          <w:color w:val="231F20"/>
          <w:spacing w:val="-13"/>
          <w:w w:val="105"/>
        </w:rPr>
        <w:t> </w:t>
      </w:r>
      <w:r>
        <w:rPr>
          <w:color w:val="231F20"/>
          <w:w w:val="105"/>
        </w:rPr>
        <w:t>significar</w:t>
      </w:r>
      <w:r>
        <w:rPr>
          <w:color w:val="231F20"/>
          <w:spacing w:val="-13"/>
          <w:w w:val="105"/>
        </w:rPr>
        <w:t> </w:t>
      </w:r>
      <w:r>
        <w:rPr>
          <w:color w:val="231F20"/>
          <w:w w:val="105"/>
        </w:rPr>
        <w:t>el</w:t>
      </w:r>
      <w:r>
        <w:rPr>
          <w:color w:val="231F20"/>
          <w:spacing w:val="-13"/>
          <w:w w:val="105"/>
        </w:rPr>
        <w:t> </w:t>
      </w:r>
      <w:r>
        <w:rPr>
          <w:color w:val="231F20"/>
          <w:w w:val="105"/>
        </w:rPr>
        <w:t>3.5%</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ingresos</w:t>
      </w:r>
      <w:r>
        <w:rPr>
          <w:color w:val="231F20"/>
          <w:spacing w:val="-13"/>
          <w:w w:val="105"/>
        </w:rPr>
        <w:t> </w:t>
      </w:r>
      <w:r>
        <w:rPr>
          <w:color w:val="231F20"/>
          <w:w w:val="105"/>
        </w:rPr>
        <w:t>indirectos</w:t>
      </w:r>
      <w:r>
        <w:rPr>
          <w:color w:val="231F20"/>
          <w:spacing w:val="-13"/>
          <w:w w:val="105"/>
        </w:rPr>
        <w:t> </w:t>
      </w:r>
      <w:r>
        <w:rPr>
          <w:color w:val="231F20"/>
          <w:w w:val="105"/>
        </w:rPr>
        <w:t>del gobierno</w:t>
      </w:r>
      <w:r>
        <w:rPr>
          <w:color w:val="231F20"/>
          <w:spacing w:val="-20"/>
          <w:w w:val="105"/>
        </w:rPr>
        <w:t> </w:t>
      </w:r>
      <w:r>
        <w:rPr>
          <w:color w:val="231F20"/>
          <w:w w:val="105"/>
        </w:rPr>
        <w:t>local</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año</w:t>
      </w:r>
      <w:r>
        <w:rPr>
          <w:color w:val="231F20"/>
          <w:spacing w:val="-20"/>
          <w:w w:val="105"/>
        </w:rPr>
        <w:t> </w:t>
      </w:r>
      <w:r>
        <w:rPr>
          <w:color w:val="231F20"/>
          <w:spacing w:val="3"/>
          <w:w w:val="105"/>
        </w:rPr>
        <w:t>2008</w:t>
      </w:r>
      <w:r>
        <w:rPr>
          <w:color w:val="231F20"/>
          <w:spacing w:val="-20"/>
          <w:w w:val="105"/>
        </w:rPr>
        <w:t> </w:t>
      </w:r>
      <w:r>
        <w:rPr>
          <w:color w:val="231F20"/>
          <w:w w:val="105"/>
        </w:rPr>
        <w:t>(gráfica</w:t>
      </w:r>
      <w:r>
        <w:rPr>
          <w:color w:val="231F20"/>
          <w:spacing w:val="-20"/>
          <w:w w:val="105"/>
        </w:rPr>
        <w:t> </w:t>
      </w:r>
      <w:r>
        <w:rPr>
          <w:color w:val="231F20"/>
          <w:spacing w:val="-4"/>
          <w:w w:val="105"/>
        </w:rPr>
        <w:t>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4816;mso-wrap-distance-left:0;mso-wrap-distance-right:0" from="42.519699pt,11.801684pt" to="114.519699pt,11.801684pt" stroked="true" strokeweight="1pt" strokecolor="#231f20">
            <w10:wrap type="topAndBottom"/>
          </v:line>
        </w:pict>
      </w:r>
    </w:p>
    <w:p>
      <w:pPr>
        <w:pStyle w:val="ListParagraph"/>
        <w:numPr>
          <w:ilvl w:val="0"/>
          <w:numId w:val="3"/>
        </w:numPr>
        <w:tabs>
          <w:tab w:pos="303" w:val="left" w:leader="none"/>
        </w:tabs>
        <w:spacing w:line="244" w:lineRule="auto" w:before="8" w:after="0"/>
        <w:ind w:left="110" w:right="108" w:firstLine="0"/>
        <w:jc w:val="both"/>
        <w:rPr>
          <w:sz w:val="16"/>
        </w:rPr>
      </w:pPr>
      <w:r>
        <w:rPr>
          <w:color w:val="231F20"/>
          <w:sz w:val="16"/>
        </w:rPr>
        <w:t>Las</w:t>
      </w:r>
      <w:r>
        <w:rPr>
          <w:color w:val="231F20"/>
          <w:spacing w:val="-8"/>
          <w:sz w:val="16"/>
        </w:rPr>
        <w:t> </w:t>
      </w:r>
      <w:r>
        <w:rPr>
          <w:color w:val="231F20"/>
          <w:sz w:val="16"/>
        </w:rPr>
        <w:t>aportaciones</w:t>
      </w:r>
      <w:r>
        <w:rPr>
          <w:color w:val="231F20"/>
          <w:spacing w:val="-8"/>
          <w:sz w:val="16"/>
        </w:rPr>
        <w:t> </w:t>
      </w:r>
      <w:r>
        <w:rPr>
          <w:color w:val="231F20"/>
          <w:sz w:val="16"/>
        </w:rPr>
        <w:t>estatales</w:t>
      </w:r>
      <w:r>
        <w:rPr>
          <w:color w:val="231F20"/>
          <w:spacing w:val="-8"/>
          <w:sz w:val="16"/>
        </w:rPr>
        <w:t> </w:t>
      </w:r>
      <w:r>
        <w:rPr>
          <w:color w:val="231F20"/>
          <w:sz w:val="16"/>
        </w:rPr>
        <w:t>pasaron</w:t>
      </w:r>
      <w:r>
        <w:rPr>
          <w:color w:val="231F20"/>
          <w:spacing w:val="-8"/>
          <w:sz w:val="16"/>
        </w:rPr>
        <w:t> </w:t>
      </w:r>
      <w:r>
        <w:rPr>
          <w:color w:val="231F20"/>
          <w:sz w:val="16"/>
        </w:rPr>
        <w:t>de</w:t>
      </w:r>
      <w:r>
        <w:rPr>
          <w:color w:val="231F20"/>
          <w:spacing w:val="-8"/>
          <w:sz w:val="16"/>
        </w:rPr>
        <w:t> </w:t>
      </w:r>
      <w:r>
        <w:rPr>
          <w:color w:val="231F20"/>
          <w:spacing w:val="-5"/>
          <w:sz w:val="16"/>
        </w:rPr>
        <w:t>$819,311.00</w:t>
      </w:r>
      <w:r>
        <w:rPr>
          <w:color w:val="231F20"/>
          <w:spacing w:val="-8"/>
          <w:sz w:val="16"/>
        </w:rPr>
        <w:t> </w:t>
      </w:r>
      <w:r>
        <w:rPr>
          <w:color w:val="231F20"/>
          <w:sz w:val="16"/>
        </w:rPr>
        <w:t>pesos</w:t>
      </w:r>
      <w:r>
        <w:rPr>
          <w:color w:val="231F20"/>
          <w:spacing w:val="-8"/>
          <w:sz w:val="16"/>
        </w:rPr>
        <w:t> </w:t>
      </w:r>
      <w:r>
        <w:rPr>
          <w:color w:val="231F20"/>
          <w:sz w:val="16"/>
        </w:rPr>
        <w:t>en</w:t>
      </w:r>
      <w:r>
        <w:rPr>
          <w:color w:val="231F20"/>
          <w:spacing w:val="-8"/>
          <w:sz w:val="16"/>
        </w:rPr>
        <w:t> </w:t>
      </w:r>
      <w:r>
        <w:rPr>
          <w:color w:val="231F20"/>
          <w:sz w:val="16"/>
        </w:rPr>
        <w:t>2001</w:t>
      </w:r>
      <w:r>
        <w:rPr>
          <w:color w:val="231F20"/>
          <w:spacing w:val="-8"/>
          <w:sz w:val="16"/>
        </w:rPr>
        <w:t> </w:t>
      </w:r>
      <w:r>
        <w:rPr>
          <w:color w:val="231F20"/>
          <w:sz w:val="16"/>
        </w:rPr>
        <w:t>hasta</w:t>
      </w:r>
      <w:r>
        <w:rPr>
          <w:color w:val="231F20"/>
          <w:spacing w:val="-8"/>
          <w:sz w:val="16"/>
        </w:rPr>
        <w:t> </w:t>
      </w:r>
      <w:r>
        <w:rPr>
          <w:color w:val="231F20"/>
          <w:spacing w:val="-4"/>
          <w:sz w:val="16"/>
        </w:rPr>
        <w:t>$2’474,071.00</w:t>
      </w:r>
      <w:r>
        <w:rPr>
          <w:color w:val="231F20"/>
          <w:spacing w:val="-8"/>
          <w:sz w:val="16"/>
        </w:rPr>
        <w:t> </w:t>
      </w:r>
      <w:r>
        <w:rPr>
          <w:color w:val="231F20"/>
          <w:sz w:val="16"/>
        </w:rPr>
        <w:t>pesos</w:t>
      </w:r>
      <w:r>
        <w:rPr>
          <w:color w:val="231F20"/>
          <w:spacing w:val="-8"/>
          <w:sz w:val="16"/>
        </w:rPr>
        <w:t> </w:t>
      </w:r>
      <w:r>
        <w:rPr>
          <w:color w:val="231F20"/>
          <w:sz w:val="16"/>
        </w:rPr>
        <w:t>a</w:t>
      </w:r>
      <w:r>
        <w:rPr>
          <w:color w:val="231F20"/>
          <w:spacing w:val="-8"/>
          <w:sz w:val="16"/>
        </w:rPr>
        <w:t> </w:t>
      </w:r>
      <w:r>
        <w:rPr>
          <w:color w:val="231F20"/>
          <w:sz w:val="16"/>
        </w:rPr>
        <w:t>finales</w:t>
      </w:r>
      <w:r>
        <w:rPr>
          <w:color w:val="231F20"/>
          <w:spacing w:val="-8"/>
          <w:sz w:val="16"/>
        </w:rPr>
        <w:t> </w:t>
      </w:r>
      <w:r>
        <w:rPr>
          <w:color w:val="231F20"/>
          <w:sz w:val="16"/>
        </w:rPr>
        <w:t>del</w:t>
      </w:r>
      <w:r>
        <w:rPr>
          <w:color w:val="231F20"/>
          <w:spacing w:val="-8"/>
          <w:sz w:val="16"/>
        </w:rPr>
        <w:t> </w:t>
      </w:r>
      <w:r>
        <w:rPr>
          <w:color w:val="231F20"/>
          <w:sz w:val="16"/>
        </w:rPr>
        <w:t>2006.</w:t>
      </w:r>
      <w:r>
        <w:rPr>
          <w:color w:val="231F20"/>
          <w:spacing w:val="-8"/>
          <w:sz w:val="16"/>
        </w:rPr>
        <w:t> </w:t>
      </w:r>
      <w:r>
        <w:rPr>
          <w:color w:val="231F20"/>
          <w:sz w:val="16"/>
        </w:rPr>
        <w:t>Posterior- mente se incrementó en 2007 a </w:t>
      </w:r>
      <w:r>
        <w:rPr>
          <w:color w:val="231F20"/>
          <w:spacing w:val="-4"/>
          <w:sz w:val="16"/>
        </w:rPr>
        <w:t>$11’593,055.00 </w:t>
      </w:r>
      <w:r>
        <w:rPr>
          <w:color w:val="231F20"/>
          <w:sz w:val="16"/>
        </w:rPr>
        <w:t>pesos y en 2008 llegó a </w:t>
      </w:r>
      <w:r>
        <w:rPr>
          <w:color w:val="231F20"/>
          <w:spacing w:val="-4"/>
          <w:sz w:val="16"/>
        </w:rPr>
        <w:t>$17’212,959.00 </w:t>
      </w:r>
      <w:r>
        <w:rPr>
          <w:color w:val="231F20"/>
          <w:sz w:val="16"/>
        </w:rPr>
        <w:t>pesos (SECRETARÍA DE FINANZAS, 2009).</w:t>
      </w:r>
    </w:p>
    <w:p>
      <w:pPr>
        <w:spacing w:after="0" w:line="244" w:lineRule="auto"/>
        <w:jc w:val="both"/>
        <w:rPr>
          <w:sz w:val="16"/>
        </w:rPr>
        <w:sectPr>
          <w:pgSz w:w="9640" w:h="12190"/>
          <w:pgMar w:header="0" w:footer="743" w:top="1120" w:bottom="940" w:left="740" w:right="740"/>
        </w:sectPr>
      </w:pPr>
    </w:p>
    <w:p>
      <w:pPr>
        <w:pStyle w:val="Heading5"/>
        <w:spacing w:line="285" w:lineRule="auto" w:before="27"/>
        <w:ind w:left="2151" w:right="378" w:hanging="1678"/>
      </w:pPr>
      <w:r>
        <w:rPr/>
        <w:pict>
          <v:group style="position:absolute;margin-left:83.011902pt;margin-top:64.614548pt;width:356.4pt;height:84.85pt;mso-position-horizontal-relative:page;mso-position-vertical-relative:paragraph;z-index:5080" coordorigin="1660,1292" coordsize="7128,1697">
            <v:rect style="position:absolute;left:1739;top:1302;width:5586;height:1650" filled="true" fillcolor="#bcbec0" stroked="false">
              <v:fill type="solid"/>
            </v:rect>
            <v:rect style="position:absolute;left:1739;top:1302;width:5586;height:1650" filled="false" stroked="true" strokeweight="1pt" strokecolor="#231f20"/>
            <v:shape style="position:absolute;left:0;top:11060;width:5660;height:1682" coordorigin="0,11060" coordsize="5660,1682" path="m1665,1302l7325,1302m1665,1509l7325,1509m1665,1726l7325,1726m1665,1929l7325,1929m1665,2123l7325,2123m1665,2335l7325,2335m1665,2538l7325,2538m1665,2745l7325,2745m1665,2953l7325,2953m2445,2984l2445,2953m3135,2984l3135,2953m3836,2984l3836,2953m4539,2984l4539,2953m5229,2984l5229,2953m5928,2984l5928,2953m6620,2984l6620,2953m7325,2984l7325,2953m1738,2984l1738,2953e" filled="false" stroked="true" strokeweight=".5pt" strokecolor="#231f20">
              <v:path arrowok="t"/>
            </v:shape>
            <v:shape style="position:absolute;left:7737;top:1945;width:1050;height:239" type="#_x0000_t75" stroked="false">
              <v:imagedata r:id="rId109" o:title=""/>
            </v:shape>
            <v:line style="position:absolute" from="7326,1984" to="7684,1984" stroked="true" strokeweight="1.5pt" strokecolor="#00aeef"/>
            <v:shape style="position:absolute;left:2047;top:1461;width:4929;height:1343" coordorigin="2047,1461" coordsize="4929,1343" path="m2047,2761l2774,2705,3462,2804,4179,2705,4877,2754,5561,2676,6264,2069,6976,1461e" filled="false" stroked="true" strokeweight="1.5pt" strokecolor="#00aeef">
              <v:path arrowok="t"/>
            </v:shape>
            <w10:wrap type="none"/>
          </v:group>
        </w:pict>
      </w:r>
      <w:r>
        <w:rPr/>
        <w:pict>
          <v:shape style="position:absolute;margin-left:63.680004pt;margin-top:63.141521pt;width:15.15pt;height:4.850pt;mso-position-horizontal-relative:page;mso-position-vertical-relative:paragraph;z-index:5104" coordorigin="1274,1263" coordsize="303,97" path="m1354,1314l1337,1314,1337,1278,1337,1263,1325,1263,1323,1265,1323,1278,1323,1314,1287,1314,1323,1278,1323,1265,1274,1313,1274,1323,1323,1323,1323,1342,1337,1342,1337,1323,1354,1323,1354,1314m1389,1330l1373,1330,1373,1342,1381,1342,1381,1346,1381,1347,1379,1352,1376,1353,1373,1354,1373,1359,1379,1358,1383,1356,1388,1350,1389,1346,1389,1330m1487,1291l1484,1282,1476,1272,1473,1267,1471,1267,1471,1294,1471,1316,1469,1324,1461,1333,1455,1335,1438,1335,1432,1332,1425,1319,1424,1313,1424,1294,1426,1286,1434,1275,1440,1272,1457,1272,1464,1275,1470,1287,1471,1294,1471,1267,1462,1263,1431,1263,1420,1269,1411,1288,1409,1295,1409,1316,1412,1325,1424,1340,1434,1344,1462,1344,1473,1339,1476,1335,1484,1322,1487,1313,1487,1291m1576,1291l1574,1282,1566,1272,1562,1267,1561,1267,1561,1294,1561,1316,1559,1324,1550,1333,1544,1335,1528,1335,1521,1332,1515,1319,1514,1313,1514,1294,1516,1286,1524,1275,1530,1272,1547,1272,1553,1275,1560,1287,1561,1294,1561,1267,1552,1263,1521,1263,1510,1269,1500,1288,1499,1295,1499,1316,1501,1325,1513,1340,1524,1344,1552,1344,1563,1339,1566,1335,1574,1322,1576,1313,1576,1291e" filled="true" fillcolor="#231f20" stroked="false">
            <v:path arrowok="t"/>
            <v:fill type="solid"/>
            <w10:wrap type="none"/>
          </v:shape>
        </w:pict>
      </w:r>
      <w:r>
        <w:rPr/>
        <w:pict>
          <v:shape style="position:absolute;margin-left:63.667004pt;margin-top:73.523521pt;width:15.2pt;height:4.850pt;mso-position-horizontal-relative:page;mso-position-vertical-relative:paragraph;z-index:5128" coordorigin="1273,1470" coordsize="304,97" path="m1352,1522l1350,1518,1346,1513,1344,1511,1339,1509,1333,1508,1337,1507,1340,1505,1341,1505,1346,1500,1348,1497,1348,1485,1345,1480,1345,1479,1332,1472,1323,1470,1297,1470,1287,1474,1281,1482,1278,1486,1276,1491,1276,1497,1290,1497,1290,1492,1292,1489,1297,1482,1304,1480,1318,1480,1323,1481,1331,1485,1333,1488,1333,1497,1330,1501,1321,1504,1316,1505,1308,1505,1304,1504,1304,1513,1319,1513,1325,1514,1334,1519,1337,1522,1337,1532,1335,1536,1326,1541,1320,1543,1303,1543,1296,1541,1292,1537,1290,1534,1289,1531,1288,1525,1273,1525,1273,1533,1276,1539,1288,1549,1298,1552,1324,1552,1334,1550,1344,1543,1349,1540,1352,1534,1352,1522m1389,1538l1373,1538,1373,1550,1381,1550,1381,1553,1381,1554,1379,1559,1376,1561,1373,1561,1373,1567,1379,1566,1383,1564,1388,1557,1389,1553,1389,1538m1487,1516l1483,1510,1479,1508,1473,1504,1469,1501,1460,1499,1444,1499,1439,1499,1433,1501,1430,1502,1428,1504,1432,1482,1480,1482,1480,1472,1422,1472,1413,1515,1425,1515,1428,1513,1431,1511,1438,1508,1442,1508,1454,1508,1459,1509,1469,1515,1471,1519,1471,1530,1469,1534,1461,1541,1455,1543,1442,1543,1438,1542,1429,1539,1425,1535,1424,1530,1409,1530,1410,1537,1414,1543,1428,1550,1436,1552,1460,1552,1470,1549,1477,1543,1483,1537,1487,1531,1487,1516m1576,1499l1574,1490,1566,1480,1562,1475,1561,1474,1561,1501,1561,1523,1559,1531,1550,1541,1544,1543,1528,1543,1521,1539,1515,1527,1514,1521,1514,1501,1516,1493,1524,1482,1530,1480,1547,1480,1553,1482,1560,1494,1561,1501,1561,1474,1552,1471,1521,1471,1510,1477,1500,1495,1499,1503,1499,1523,1501,1533,1513,1548,1524,1552,1552,1552,1563,1547,1566,1543,1574,1530,1576,1521,1576,1499e" filled="true" fillcolor="#231f20" stroked="false">
            <v:path arrowok="t"/>
            <v:fill type="solid"/>
            <w10:wrap type="none"/>
          </v:shape>
        </w:pict>
      </w:r>
      <w:r>
        <w:rPr/>
        <w:pict>
          <v:shape style="position:absolute;margin-left:63.667004pt;margin-top:83.90052pt;width:15.2pt;height:4.850pt;mso-position-horizontal-relative:page;mso-position-vertical-relative:paragraph;z-index:5152" coordorigin="1273,1678" coordsize="304,97" path="m1352,1729l1350,1725,1346,1721,1344,1719,1339,1716,1333,1715,1337,1714,1340,1713,1341,1712,1346,1708,1348,1704,1348,1692,1345,1687,1345,1687,1332,1680,1323,1678,1297,1678,1287,1682,1281,1689,1278,1693,1276,1698,1276,1704,1290,1704,1290,1700,1292,1696,1297,1689,1304,1687,1318,1687,1323,1688,1331,1692,1333,1695,1333,1705,1330,1708,1321,1712,1316,1712,1308,1712,1304,1712,1304,1721,1319,1721,1325,1722,1334,1726,1337,1730,1337,1740,1335,1743,1326,1749,1320,1750,1303,1750,1296,1748,1292,1744,1290,1742,1289,1738,1288,1733,1273,1733,1273,1740,1276,1747,1288,1757,1298,1759,1324,1759,1334,1757,1344,1750,1349,1748,1352,1741,1352,1729m1389,1745l1373,1745,1373,1757,1381,1757,1381,1761,1381,1762,1379,1767,1376,1768,1373,1769,1373,1774,1379,1773,1383,1771,1388,1765,1389,1761,1389,1745m1487,1706l1484,1697,1476,1687,1473,1682,1471,1682,1471,1709,1471,1731,1469,1739,1461,1748,1455,1750,1438,1750,1432,1747,1425,1734,1424,1728,1424,1709,1426,1701,1434,1690,1440,1687,1457,1687,1464,1690,1470,1702,1471,1709,1471,1682,1462,1678,1431,1678,1420,1684,1411,1703,1409,1710,1409,1731,1412,1740,1424,1755,1434,1759,1462,1759,1473,1754,1476,1750,1484,1737,1487,1728,1487,1706m1576,1706l1574,1697,1566,1687,1562,1682,1561,1682,1561,1709,1561,1731,1559,1739,1550,1748,1544,1750,1528,1750,1521,1747,1515,1734,1514,1728,1514,1709,1516,1701,1524,1690,1530,1687,1547,1687,1553,1690,1560,1702,1561,1709,1561,1682,1552,1678,1521,1678,1510,1684,1500,1703,1499,1710,1499,1731,1501,1740,1513,1755,1524,1759,1552,1759,1563,1754,1566,1750,1574,1737,1576,1728,1576,1706e" filled="true" fillcolor="#231f20" stroked="false">
            <v:path arrowok="t"/>
            <v:fill type="solid"/>
            <w10:wrap type="none"/>
          </v:shape>
        </w:pict>
      </w:r>
      <w:r>
        <w:rPr/>
        <w:pict>
          <v:shape style="position:absolute;margin-left:63.727001pt;margin-top:94.269524pt;width:15.1pt;height:4.850pt;mso-position-horizontal-relative:page;mso-position-vertical-relative:paragraph;z-index:5176" coordorigin="1275,1885" coordsize="302,97" path="m1352,1903l1349,1898,1346,1894,1338,1888,1328,1885,1300,1885,1289,1889,1279,1901,1277,1907,1277,1914,1292,1914,1292,1909,1293,1905,1299,1897,1305,1894,1322,1894,1327,1896,1335,1901,1337,1905,1337,1914,1335,1917,1328,1922,1323,1924,1291,1937,1284,1942,1277,1952,1275,1958,1275,1965,1352,1965,1352,1955,1290,1955,1292,1952,1295,1948,1303,1943,1307,1941,1333,1931,1339,1928,1349,1921,1352,1915,1352,1903m1389,1953l1373,1953,1373,1965,1381,1965,1381,1968,1381,1969,1379,1974,1376,1976,1373,1976,1373,1982,1379,1981,1383,1979,1388,1972,1389,1968,1389,1953m1487,1931l1483,1925,1479,1923,1473,1919,1469,1916,1460,1914,1444,1914,1439,1914,1433,1916,1430,1917,1428,1919,1432,1897,1480,1897,1480,1887,1422,1887,1413,1930,1425,1930,1428,1928,1431,1926,1438,1923,1442,1923,1454,1923,1459,1924,1469,1930,1471,1934,1471,1945,1469,1949,1461,1956,1455,1958,1442,1958,1438,1958,1429,1954,1425,1950,1424,1945,1409,1945,1410,1952,1414,1958,1428,1965,1436,1967,1460,1967,1470,1964,1477,1958,1483,1953,1487,1946,1487,1931m1576,1914l1574,1905,1566,1895,1562,1890,1561,1889,1561,1917,1561,1938,1559,1946,1550,1956,1544,1958,1528,1958,1521,1954,1515,1942,1514,1936,1514,1917,1516,1908,1524,1897,1530,1895,1547,1895,1553,1898,1560,1909,1561,1917,1561,1889,1552,1886,1521,1886,1510,1892,1500,1910,1499,1918,1499,1938,1501,1948,1513,1963,1524,1967,1552,1967,1563,1962,1566,1958,1574,1945,1576,1936,1576,1914e" filled="true" fillcolor="#231f20" stroked="false">
            <v:path arrowok="t"/>
            <v:fill type="solid"/>
            <w10:wrap type="none"/>
          </v:shape>
        </w:pict>
      </w:r>
      <w:r>
        <w:rPr/>
        <w:pict>
          <v:shape style="position:absolute;margin-left:63.727001pt;margin-top:104.647522pt;width:15.1pt;height:4.850pt;mso-position-horizontal-relative:page;mso-position-vertical-relative:paragraph;z-index:5200" coordorigin="1275,2093" coordsize="302,97" path="m1352,2111l1349,2105,1346,2102,1338,2095,1328,2093,1300,2093,1289,2097,1279,2109,1277,2114,1277,2121,1292,2121,1292,2116,1293,2113,1299,2105,1305,2102,1322,2102,1327,2103,1335,2109,1337,2112,1337,2121,1335,2125,1328,2130,1323,2132,1291,2145,1284,2150,1277,2160,1275,2166,1275,2172,1352,2172,1352,2163,1290,2163,1292,2159,1295,2156,1303,2151,1307,2149,1333,2139,1339,2136,1349,2128,1352,2123,1352,2111m1389,2160l1373,2160,1373,2172,1381,2172,1381,2176,1381,2177,1379,2182,1376,2184,1373,2184,1373,2189,1379,2188,1383,2186,1388,2180,1389,2176,1389,2160m1487,2121l1484,2112,1476,2102,1473,2097,1471,2097,1471,2124,1471,2146,1469,2154,1461,2163,1455,2165,1438,2165,1432,2162,1425,2149,1424,2143,1424,2124,1426,2116,1434,2105,1440,2102,1457,2102,1464,2105,1470,2117,1471,2124,1471,2097,1462,2093,1431,2093,1420,2099,1411,2118,1409,2125,1409,2146,1412,2155,1424,2170,1434,2175,1462,2175,1473,2169,1476,2165,1484,2152,1487,2143,1487,2121m1576,2121l1574,2112,1566,2102,1562,2097,1561,2097,1561,2124,1561,2146,1559,2154,1550,2163,1544,2165,1528,2165,1521,2162,1515,2149,1514,2143,1514,2124,1516,2116,1524,2105,1530,2102,1547,2102,1553,2105,1560,2117,1561,2124,1561,2097,1552,2093,1521,2093,1510,2099,1500,2118,1499,2125,1499,2146,1501,2155,1513,2170,1524,2175,1552,2175,1563,2169,1566,2165,1574,2152,1576,2143,1576,2121e" filled="true" fillcolor="#231f20" stroked="false">
            <v:path arrowok="t"/>
            <v:fill type="solid"/>
            <w10:wrap type="none"/>
          </v:shape>
        </w:pict>
      </w:r>
      <w:r>
        <w:rPr/>
        <w:pict>
          <v:group style="position:absolute;margin-left:42.133999pt;margin-top:67.151245pt;width:14.55pt;height:81.7pt;mso-position-horizontal-relative:page;mso-position-vertical-relative:paragraph;z-index:5320" coordorigin="843,1343" coordsize="291,1634">
            <v:shape style="position:absolute;left:851;top:2689;width:98;height:288" coordorigin="851,2689" coordsize="98,288" path="m901,2948l900,2944,899,2943,890,2934,888,2933,888,2951,888,2957,887,2959,883,2963,880,2964,875,2964,872,2963,868,2959,867,2957,867,2951,868,2949,872,2945,875,2944,880,2944,883,2945,887,2949,888,2951,888,2933,884,2932,871,2932,865,2934,856,2943,853,2948,853,2960,856,2966,865,2975,871,2977,884,2977,890,2975,899,2966,900,2964,901,2960,901,2948m948,2889l947,2885,946,2883,937,2875,935,2874,935,2892,935,2898,934,2900,930,2904,927,2905,921,2905,919,2904,917,2902,915,2900,914,2898,914,2892,915,2890,919,2886,921,2885,927,2885,930,2886,934,2890,935,2892,935,2874,931,2872,918,2872,912,2875,903,2883,900,2889,900,2901,903,2907,912,2915,918,2918,931,2918,937,2915,946,2907,947,2905,948,2901,948,2889m949,2811l948,2798,948,2794,948,2794,944,2788,941,2785,937,2783,937,2783,946,2783,946,2766,933,2766,933,2793,933,2803,931,2806,923,2811,918,2812,906,2812,901,2811,893,2807,891,2803,891,2794,892,2792,898,2785,904,2783,918,2783,923,2784,931,2789,933,2793,933,2766,851,2766,851,2783,885,2783,882,2785,879,2788,875,2794,874,2798,875,2811,878,2817,892,2828,901,2830,923,2830,932,2828,945,2817,948,2812,949,2811m949,2711l945,2703,939,2697,934,2693,930,2691,926,2690,926,2708,928,2709,930,2710,933,2714,934,2717,934,2725,933,2728,928,2735,923,2738,916,2738,916,2737,916,2707,916,2689,910,2689,906,2690,904,2690,904,2707,904,2737,900,2737,896,2735,891,2730,889,2727,889,2718,891,2715,896,2709,899,2708,904,2707,904,2690,897,2691,892,2693,888,2695,883,2698,880,2702,875,2711,874,2717,874,2732,878,2740,890,2752,900,2755,925,2755,934,2752,946,2738,946,2738,949,2731,949,2711m949,2945l853,2895,853,2905,949,2954,949,2945e" filled="true" fillcolor="#231f20" stroked="false">
              <v:path arrowok="t"/>
              <v:fill type="solid"/>
            </v:shape>
            <v:shape style="position:absolute;left:843;top:2479;width:112;height:167" type="#_x0000_t75" stroked="false">
              <v:imagedata r:id="rId110" o:title=""/>
            </v:shape>
            <v:shape style="position:absolute;left:851;top:1925;width:124;height:506" type="#_x0000_t75" stroked="false">
              <v:imagedata r:id="rId111" o:title=""/>
            </v:shape>
            <v:shape style="position:absolute;left:843;top:1343;width:112;height:541" type="#_x0000_t75" stroked="false">
              <v:imagedata r:id="rId112" o:title=""/>
            </v:shape>
            <v:shape style="position:absolute;left:1035;top:2411;width:99;height:66" coordorigin="1035,2411" coordsize="99,66" path="m1035,2411l1035,2429,1086,2443,1035,2457,1035,2476,1108,2452,1109,2452,1133,2452,1133,2451,1132,2446,1125,2441,1117,2438,1035,2411xm1133,2452l1109,2452,1110,2452,1115,2454,1116,2455,1118,2457,1118,2458,1119,2461,1119,2463,1118,2467,1133,2467,1133,2452xe" filled="true" fillcolor="#231f20" stroked="false">
              <v:path arrowok="t"/>
              <v:fill type="solid"/>
            </v:shape>
            <v:shape style="position:absolute;left:1001;top:1845;width:112;height:526" type="#_x0000_t75" stroked="false">
              <v:imagedata r:id="rId113" o:title=""/>
            </v:shape>
            <w10:wrap type="none"/>
          </v:group>
        </w:pict>
      </w:r>
      <w:r>
        <w:rPr>
          <w:color w:val="231F20"/>
          <w:w w:val="105"/>
        </w:rPr>
        <w:t>Gráfica 6. Comportamiento de las participaciones estatales en los ingresos indirectos de Huixquilucan, 2001-2008.</w:t>
      </w:r>
    </w:p>
    <w:p>
      <w:pPr>
        <w:pStyle w:val="BodyText"/>
        <w:rPr>
          <w:b/>
          <w:sz w:val="20"/>
        </w:rPr>
      </w:pPr>
    </w:p>
    <w:p>
      <w:pPr>
        <w:pStyle w:val="BodyText"/>
        <w:spacing w:before="8"/>
        <w:rPr>
          <w:b/>
          <w:sz w:val="14"/>
        </w:rPr>
      </w:pPr>
      <w:r>
        <w:rPr/>
        <w:pict>
          <v:group style="position:absolute;margin-left:163.555801pt;margin-top:10.443556pt;width:142.5pt;height:5.85pt;mso-position-horizontal-relative:page;mso-position-vertical-relative:paragraph;z-index:4840;mso-wrap-distance-left:0;mso-wrap-distance-right:0" coordorigin="3271,209" coordsize="2850,117">
            <v:shape style="position:absolute;left:3271;top:220;width:1207;height:106" type="#_x0000_t75" stroked="false">
              <v:imagedata r:id="rId114" o:title=""/>
            </v:shape>
            <v:shape style="position:absolute;left:4535;top:209;width:741;height:112" type="#_x0000_t75" stroked="false">
              <v:imagedata r:id="rId115" o:title=""/>
            </v:shape>
            <v:shape style="position:absolute;left:5338;top:221;width:81;height:81" coordorigin="5338,221" coordsize="81,81" path="m5416,235l5384,235,5388,236,5394,240,5395,243,5395,251,5393,255,5385,260,5378,264,5355,275,5347,281,5344,286,5341,291,5339,296,5338,302,5419,302,5419,288,5368,288,5369,286,5371,285,5375,282,5379,280,5402,269,5408,266,5411,263,5416,258,5419,253,5419,239,5416,235xm5391,221l5362,221,5351,225,5342,238,5340,243,5340,250,5362,250,5363,245,5363,242,5367,236,5372,235,5416,235,5415,233,5400,224,5391,221xe" filled="true" fillcolor="#231f20" stroked="false">
              <v:path arrowok="t"/>
              <v:fill type="solid"/>
            </v:shape>
            <v:shape style="position:absolute;left:5431;top:221;width:82;height:83" coordorigin="5431,221" coordsize="82,83" path="m5486,221l5456,221,5446,225,5434,239,5431,249,5431,276,5434,286,5446,300,5456,304,5486,304,5497,300,5505,291,5464,291,5460,289,5455,279,5454,272,5454,253,5455,246,5460,237,5464,234,5505,234,5497,225,5486,221xm5505,234l5478,234,5483,237,5487,246,5488,253,5488,272,5487,279,5483,289,5478,291,5505,291,5509,286,5512,276,5512,249,5509,239,5505,234xe" filled="true" fillcolor="#231f20" stroked="false">
              <v:path arrowok="t"/>
              <v:fill type="solid"/>
            </v:shape>
            <v:shape style="position:absolute;left:5523;top:221;width:82;height:83" coordorigin="5523,221" coordsize="82,83" path="m5579,221l5549,221,5538,225,5526,239,5523,249,5523,276,5526,286,5538,300,5549,304,5579,304,5589,300,5597,291,5557,291,5552,289,5548,279,5547,272,5547,253,5548,246,5552,237,5557,234,5597,234,5589,225,5579,221xm5597,234l5570,234,5575,237,5579,246,5580,253,5580,272,5579,279,5575,289,5570,291,5597,291,5601,286,5604,276,5604,249,5601,239,5597,234xe" filled="true" fillcolor="#231f20" stroked="false">
              <v:path arrowok="t"/>
              <v:fill type="solid"/>
            </v:shape>
            <v:shape style="position:absolute;left:5622;top:222;width:52;height:81" coordorigin="5622,222" coordsize="52,81" path="m5673,222l5654,222,5654,222,5653,224,5622,236,5622,247,5649,247,5649,302,5673,302,5673,222xe" filled="true" fillcolor="#231f20" stroked="false">
              <v:path arrowok="t"/>
              <v:fill type="solid"/>
            </v:shape>
            <v:line style="position:absolute" from="5706,270" to="5752,270" stroked="true" strokeweight=".746pt" strokecolor="#231f20"/>
            <v:shape style="position:absolute;left:5763;top:221;width:81;height:81" coordorigin="5763,221" coordsize="81,81" path="m5840,235l5809,235,5813,236,5818,240,5820,243,5820,251,5817,255,5809,260,5802,264,5779,275,5772,281,5768,286,5765,291,5763,296,5763,302,5843,302,5843,288,5792,288,5794,286,5795,285,5800,282,5804,280,5826,269,5832,266,5835,263,5841,258,5843,253,5843,239,5840,235xm5815,221l5787,221,5776,225,5766,238,5765,243,5764,250,5787,250,5787,245,5788,242,5792,236,5797,235,5840,235,5840,233,5825,224,5815,221xe" filled="true" fillcolor="#231f20" stroked="false">
              <v:path arrowok="t"/>
              <v:fill type="solid"/>
            </v:shape>
            <v:shape style="position:absolute;left:5855;top:221;width:82;height:83" coordorigin="5855,221" coordsize="82,83" path="m5911,221l5881,221,5870,225,5858,239,5855,249,5855,276,5858,286,5870,300,5881,304,5911,304,5921,300,5929,291,5889,291,5884,289,5880,279,5879,272,5879,253,5880,246,5884,237,5889,234,5929,234,5921,225,5911,221xm5929,234l5903,234,5907,237,5911,246,5912,253,5912,272,5911,279,5907,289,5903,291,5929,291,5933,286,5936,276,5936,249,5933,239,5929,234xe" filled="true" fillcolor="#231f20" stroked="false">
              <v:path arrowok="t"/>
              <v:fill type="solid"/>
            </v:shape>
            <v:shape style="position:absolute;left:5948;top:221;width:82;height:83" coordorigin="5948,221" coordsize="82,83" path="m6003,221l5973,221,5963,225,5951,239,5948,249,5948,276,5951,286,5963,300,5973,304,6003,304,6013,300,6021,291,5981,291,5977,289,5972,279,5971,272,5971,253,5972,246,5977,237,5981,234,6021,234,6013,225,6003,221xm6021,234l5995,234,5999,237,6004,246,6005,253,6005,272,6004,279,5999,289,5995,291,6021,291,6026,286,6029,276,6029,249,6026,239,6021,234xe" filled="true" fillcolor="#231f20" stroked="false">
              <v:path arrowok="t"/>
              <v:fill type="solid"/>
            </v:shape>
            <v:shape style="position:absolute;left:6039;top:221;width:82;height:83" coordorigin="6039,221" coordsize="82,83" path="m6092,221l6068,221,6059,223,6046,232,6043,237,6043,245,6044,248,6047,254,6051,257,6057,259,6051,261,6046,264,6040,271,6039,275,6039,286,6042,292,6056,302,6066,304,6092,304,6102,302,6117,292,6118,291,6075,291,6070,290,6064,286,6063,283,6063,275,6065,271,6071,267,6075,266,6115,266,6113,264,6109,261,6103,259,6109,256,6112,254,6075,254,6072,253,6066,249,6065,247,6065,241,6066,239,6072,235,6075,234,6115,234,6114,232,6101,223,6092,221xm6115,266l6085,266,6089,267,6095,271,6097,275,6097,283,6095,286,6089,290,6085,291,6118,291,6121,286,6121,275,6119,271,6115,266xm6115,234l6085,234,6088,235,6093,239,6095,241,6095,247,6093,249,6088,253,6085,254,6112,254,6113,254,6116,248,6117,245,6117,237,6115,234xe" filled="true" fillcolor="#231f20" stroked="false">
              <v:path arrowok="t"/>
              <v:fill type="solid"/>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8"/>
        </w:rPr>
      </w:pPr>
      <w:r>
        <w:rPr/>
        <w:pict>
          <v:group style="position:absolute;margin-left:96.791695pt;margin-top:12.471136pt;width:13.15pt;height:4.8pt;mso-position-horizontal-relative:page;mso-position-vertical-relative:paragraph;z-index:4864;mso-wrap-distance-left:0;mso-wrap-distance-right:0" coordorigin="1936,249" coordsize="263,96">
            <v:shape style="position:absolute;left:1936;top:249;width:64;height:93" coordorigin="1936,249" coordsize="64,93" path="m1994,260l1974,260,1979,262,1985,268,1987,272,1987,283,1985,286,1982,290,1979,292,1975,295,1949,310,1944,315,1938,327,1936,334,1936,342,1999,342,1999,331,1949,331,1950,327,1953,322,1959,317,1963,314,1983,303,1989,299,1997,291,2000,284,2000,270,1997,264,1994,260xm1980,249l1956,249,1948,254,1942,263,1940,268,1938,274,1938,283,1950,283,1950,277,1951,272,1956,263,1961,260,1994,260,1987,252,1980,249xe" filled="true" fillcolor="#231f20" stroked="false">
              <v:path arrowok="t"/>
              <v:fill type="solid"/>
            </v:shape>
            <v:shape style="position:absolute;left:2009;top:250;width:64;height:95" coordorigin="2009,250" coordsize="64,95" path="m2053,250l2028,250,2018,257,2011,278,2009,287,2009,311,2012,322,2021,340,2030,345,2053,345,2062,339,2064,334,2033,334,2028,330,2023,315,2022,308,2022,286,2023,276,2030,263,2035,260,2064,260,2061,255,2053,250xm2064,260l2049,260,2054,264,2059,277,2060,286,2060,311,2059,321,2052,331,2047,334,2064,334,2071,319,2073,308,2073,283,2071,272,2064,260xe" filled="true" fillcolor="#231f20" stroked="false">
              <v:path arrowok="t"/>
              <v:fill type="solid"/>
            </v:shape>
            <v:shape style="position:absolute;left:2083;top:250;width:64;height:95" coordorigin="2083,250" coordsize="64,95" path="m2126,250l2101,250,2092,257,2084,278,2083,287,2083,311,2085,322,2095,340,2103,345,2127,345,2135,339,2138,334,2107,334,2101,330,2096,315,2095,308,2095,286,2097,276,2103,263,2108,260,2138,260,2135,255,2126,250xm2138,260l2122,260,2127,264,2133,277,2134,286,2134,311,2132,321,2125,331,2120,334,2138,334,2145,319,2146,308,2146,283,2144,272,2138,260xe" filled="true" fillcolor="#231f20" stroked="false">
              <v:path arrowok="t"/>
              <v:fill type="solid"/>
            </v:shape>
            <v:shape style="position:absolute;left:2165;top:250;width:35;height:92" coordorigin="2165,250" coordsize="35,92" path="m2199,250l2190,250,2188,257,2186,262,2179,266,2173,267,2165,268,2165,277,2186,277,2186,342,2199,342,2199,250xe" filled="true" fillcolor="#231f20" stroked="false">
              <v:path arrowok="t"/>
              <v:fill type="solid"/>
            </v:shape>
            <w10:wrap type="topAndBottom"/>
          </v:group>
        </w:pict>
      </w:r>
      <w:r>
        <w:rPr/>
        <w:pict>
          <v:group style="position:absolute;margin-left:131.396606pt;margin-top:12.471136pt;width:14.25pt;height:4.8pt;mso-position-horizontal-relative:page;mso-position-vertical-relative:paragraph;z-index:4888;mso-wrap-distance-left:0;mso-wrap-distance-right:0" coordorigin="2628,249" coordsize="285,96">
            <v:shape style="position:absolute;left:2628;top:249;width:64;height:93" coordorigin="2628,249" coordsize="64,93" path="m2686,260l2667,260,2671,262,2677,268,2679,272,2679,283,2677,286,2674,290,2671,292,2668,295,2641,310,2636,315,2630,327,2628,334,2628,342,2691,342,2691,331,2641,331,2642,327,2645,322,2649,319,2651,317,2655,314,2676,303,2681,299,2689,291,2692,284,2692,270,2689,264,2686,260xm2672,249l2649,249,2640,254,2635,263,2632,268,2630,274,2630,283,2642,283,2642,277,2643,272,2648,263,2653,260,2686,260,2680,252,2672,249xe" filled="true" fillcolor="#231f20" stroked="false">
              <v:path arrowok="t"/>
              <v:fill type="solid"/>
            </v:shape>
            <v:shape style="position:absolute;left:2701;top:250;width:64;height:95" coordorigin="2701,250" coordsize="64,95" path="m2745,250l2720,250,2711,257,2703,278,2701,287,2701,311,2704,322,2714,340,2722,345,2745,345,2754,339,2756,334,2725,334,2720,330,2715,315,2714,308,2714,286,2715,276,2722,263,2727,260,2757,260,2754,255,2745,250xm2757,260l2741,260,2746,264,2751,277,2753,286,2752,311,2751,321,2744,331,2739,334,2756,334,2763,319,2765,308,2765,283,2763,272,2757,260xe" filled="true" fillcolor="#231f20" stroked="false">
              <v:path arrowok="t"/>
              <v:fill type="solid"/>
            </v:shape>
            <v:shape style="position:absolute;left:2775;top:250;width:64;height:95" coordorigin="2775,250" coordsize="64,95" path="m2818,250l2793,250,2784,257,2776,278,2775,287,2775,311,2777,322,2787,340,2795,345,2819,345,2828,339,2830,334,2799,334,2793,330,2788,315,2787,308,2787,286,2789,276,2795,263,2800,260,2830,260,2827,255,2818,250xm2830,260l2815,260,2820,264,2825,277,2826,286,2826,311,2824,321,2817,331,2812,334,2830,334,2837,319,2839,308,2839,283,2836,272,2830,260xe" filled="true" fillcolor="#231f20" stroked="false">
              <v:path arrowok="t"/>
              <v:fill type="solid"/>
            </v:shape>
            <v:shape style="position:absolute;left:2848;top:249;width:64;height:93" coordorigin="2848,249" coordsize="64,93" path="m2907,260l2887,260,2891,262,2898,268,2899,272,2899,283,2898,286,2894,290,2892,292,2888,295,2862,310,2856,315,2850,327,2849,334,2848,342,2912,342,2912,331,2861,331,2862,327,2865,322,2869,319,2872,317,2875,314,2896,303,2901,299,2910,291,2912,284,2912,270,2910,264,2907,260xm2892,249l2869,249,2860,254,2855,263,2852,268,2851,274,2851,283,2862,283,2863,277,2863,272,2868,263,2874,260,2907,260,2900,252,2892,249xe" filled="true" fillcolor="#231f20" stroked="false">
              <v:path arrowok="t"/>
              <v:fill type="solid"/>
            </v:shape>
            <w10:wrap type="topAndBottom"/>
          </v:group>
        </w:pict>
      </w:r>
      <w:r>
        <w:rPr/>
        <w:pict>
          <v:group style="position:absolute;margin-left:166.217010pt;margin-top:12.471136pt;width:14.2pt;height:4.8pt;mso-position-horizontal-relative:page;mso-position-vertical-relative:paragraph;z-index:4912;mso-wrap-distance-left:0;mso-wrap-distance-right:0" coordorigin="3324,249" coordsize="284,96">
            <v:shape style="position:absolute;left:3324;top:249;width:64;height:93" coordorigin="3324,249" coordsize="64,93" path="m3383,260l3363,260,3367,262,3374,268,3375,272,3375,283,3374,286,3370,290,3368,292,3364,295,3338,310,3332,315,3326,327,3325,334,3324,342,3388,342,3388,331,3337,331,3338,327,3341,322,3348,317,3351,314,3372,303,3377,299,3386,291,3388,284,3388,270,3386,264,3383,260xm3368,249l3345,249,3336,254,3331,263,3328,268,3327,274,3327,283,3338,283,3339,277,3339,272,3344,263,3350,260,3383,260,3376,252,3368,249xe" filled="true" fillcolor="#231f20" stroked="false">
              <v:path arrowok="t"/>
              <v:fill type="solid"/>
            </v:shape>
            <v:shape style="position:absolute;left:3398;top:250;width:64;height:95" coordorigin="3398,250" coordsize="64,95" path="m3441,250l3416,250,3407,257,3399,278,3398,287,3398,311,3400,322,3410,340,3418,345,3442,345,3450,339,3453,334,3422,334,3416,330,3411,315,3410,308,3410,286,3412,276,3418,263,3423,260,3453,260,3450,255,3441,250xm3453,260l3438,260,3443,264,3448,277,3449,286,3449,311,3447,321,3440,331,3435,334,3453,334,3460,319,3462,308,3462,283,3459,272,3453,260xe" filled="true" fillcolor="#231f20" stroked="false">
              <v:path arrowok="t"/>
              <v:fill type="solid"/>
            </v:shape>
            <v:shape style="position:absolute;left:3471;top:250;width:64;height:95" coordorigin="3471,250" coordsize="64,95" path="m3515,250l3490,250,3480,257,3473,278,3471,287,3471,311,3474,322,3483,340,3492,345,3515,345,3524,339,3526,334,3495,334,3490,330,3485,315,3484,308,3484,286,3485,276,3492,263,3497,260,3526,260,3523,255,3515,250xm3526,260l3511,260,3516,264,3521,277,3522,286,3522,311,3521,321,3514,331,3509,334,3526,334,3533,319,3535,308,3535,283,3533,272,3526,260xe" filled="true" fillcolor="#231f20" stroked="false">
              <v:path arrowok="t"/>
              <v:fill type="solid"/>
            </v:shape>
            <v:shape style="position:absolute;left:3544;top:250;width:65;height:95" coordorigin="3544,250" coordsize="65,95" path="m3556,314l3544,314,3544,322,3546,330,3556,342,3564,345,3586,345,3594,342,3602,334,3568,334,3562,332,3557,324,3556,320,3556,314xm3603,299l3581,299,3586,301,3594,306,3596,310,3596,322,3594,326,3587,332,3582,334,3602,334,3605,331,3608,324,3608,309,3607,305,3603,299xm3569,289l3569,299,3603,299,3601,297,3598,294,3593,293,3596,292,3598,290,3599,290,3579,290,3571,289,3569,289xm3602,260l3581,260,3585,261,3591,266,3593,270,3593,281,3590,285,3583,289,3579,290,3599,290,3603,284,3605,280,3605,266,3602,260xm3585,250l3563,250,3555,254,3550,263,3547,267,3546,273,3546,280,3558,280,3558,275,3559,271,3563,263,3569,260,3602,260,3602,260,3592,252,3585,250xe" filled="true" fillcolor="#231f20" stroked="false">
              <v:path arrowok="t"/>
              <v:fill type="solid"/>
            </v:shape>
            <w10:wrap type="topAndBottom"/>
          </v:group>
        </w:pict>
      </w:r>
      <w:r>
        <w:rPr/>
        <w:pict>
          <v:group style="position:absolute;margin-left:201.500702pt;margin-top:12.471136pt;width:14.3pt;height:4.8pt;mso-position-horizontal-relative:page;mso-position-vertical-relative:paragraph;z-index:4936;mso-wrap-distance-left:0;mso-wrap-distance-right:0" coordorigin="4030,249" coordsize="286,96">
            <v:shape style="position:absolute;left:4030;top:249;width:64;height:93" coordorigin="4030,249" coordsize="64,93" path="m4088,260l4069,260,4073,262,4079,268,4081,272,4081,283,4079,286,4076,290,4073,292,4070,295,4043,310,4038,315,4032,327,4030,334,4030,342,4093,342,4093,331,4043,331,4044,327,4047,322,4051,319,4054,317,4057,314,4078,303,4083,299,4091,291,4094,284,4094,270,4091,264,4088,260xm4074,249l4051,249,4042,254,4034,268,4032,274,4032,283,4044,283,4044,277,4045,272,4050,263,4055,260,4088,260,4082,252,4074,249xe" filled="true" fillcolor="#231f20" stroked="false">
              <v:path arrowok="t"/>
              <v:fill type="solid"/>
            </v:shape>
            <v:shape style="position:absolute;left:4103;top:250;width:64;height:95" coordorigin="4103,250" coordsize="64,95" path="m4147,250l4122,250,4113,257,4105,278,4103,287,4103,311,4106,322,4116,340,4124,345,4147,345,4156,339,4158,334,4127,334,4122,330,4117,315,4116,308,4116,286,4118,276,4124,263,4129,260,4159,260,4156,255,4147,250xm4159,260l4143,260,4148,264,4153,277,4155,286,4155,311,4153,321,4146,331,4141,334,4158,334,4165,319,4167,308,4167,283,4165,272,4159,260xe" filled="true" fillcolor="#231f20" stroked="false">
              <v:path arrowok="t"/>
              <v:fill type="solid"/>
            </v:shape>
            <v:shape style="position:absolute;left:4177;top:250;width:64;height:95" coordorigin="4177,250" coordsize="64,95" path="m4220,250l4195,250,4186,257,4178,278,4177,287,4177,311,4179,322,4189,340,4197,345,4221,345,4230,339,4232,334,4201,334,4196,330,4190,315,4190,308,4189,286,4191,276,4197,263,4202,260,4232,260,4229,255,4220,250xm4232,260l4217,260,4222,264,4227,277,4228,286,4228,311,4226,321,4219,331,4214,334,4232,334,4239,319,4241,308,4241,283,4239,272,4232,260xe" filled="true" fillcolor="#231f20" stroked="false">
              <v:path arrowok="t"/>
              <v:fill type="solid"/>
            </v:shape>
            <v:shape style="position:absolute;left:4250;top:250;width:66;height:93" coordorigin="4250,250" coordsize="66,93" path="m4302,320l4290,320,4290,342,4302,342,4302,320xm4302,250l4292,250,4250,308,4250,320,4315,320,4315,309,4260,309,4290,267,4302,267,4302,250xm4302,267l4290,267,4290,309,4302,309,4302,267xe" filled="true" fillcolor="#231f20" stroked="false">
              <v:path arrowok="t"/>
              <v:fill type="solid"/>
            </v:shape>
            <w10:wrap type="topAndBottom"/>
          </v:group>
        </w:pict>
      </w:r>
      <w:r>
        <w:rPr/>
        <w:pict>
          <v:group style="position:absolute;margin-left:236.292099pt;margin-top:12.471136pt;width:14.25pt;height:4.8pt;mso-position-horizontal-relative:page;mso-position-vertical-relative:paragraph;z-index:4960;mso-wrap-distance-left:0;mso-wrap-distance-right:0" coordorigin="4726,249" coordsize="285,96">
            <v:shape style="position:absolute;left:4726;top:249;width:64;height:93" coordorigin="4726,249" coordsize="64,93" path="m4784,260l4765,260,4769,262,4775,268,4777,272,4777,283,4775,286,4769,292,4765,295,4739,310,4734,315,4728,327,4726,334,4726,342,4789,342,4789,331,4739,331,4740,327,4743,322,4749,317,4753,314,4773,303,4779,299,4787,291,4790,284,4790,270,4787,264,4784,260xm4770,249l4746,249,4738,254,4730,268,4728,274,4728,283,4740,283,4740,277,4741,272,4746,263,4751,260,4784,260,4777,252,4770,249xe" filled="true" fillcolor="#231f20" stroked="false">
              <v:path arrowok="t"/>
              <v:fill type="solid"/>
            </v:shape>
            <v:shape style="position:absolute;left:4799;top:250;width:64;height:95" coordorigin="4799,250" coordsize="64,95" path="m4843,250l4818,250,4808,257,4803,271,4801,278,4799,287,4799,311,4802,322,4811,340,4820,345,4843,345,4852,339,4854,334,4823,334,4818,330,4813,315,4812,308,4812,286,4813,276,4820,263,4825,260,4854,260,4851,255,4843,250xm4854,260l4839,260,4844,264,4849,277,4850,286,4850,311,4849,321,4842,331,4837,334,4854,334,4857,327,4861,319,4863,308,4863,283,4861,272,4854,260xe" filled="true" fillcolor="#231f20" stroked="false">
              <v:path arrowok="t"/>
              <v:fill type="solid"/>
            </v:shape>
            <v:shape style="position:absolute;left:4873;top:250;width:64;height:95" coordorigin="4873,250" coordsize="64,95" path="m4916,250l4891,250,4882,257,4877,271,4874,278,4873,287,4873,311,4875,322,4885,340,4893,345,4917,345,4925,339,4928,334,4897,334,4891,330,4886,315,4885,308,4885,286,4887,276,4893,263,4898,260,4928,260,4925,255,4916,250xm4928,260l4912,260,4917,264,4923,277,4924,286,4924,311,4922,321,4915,331,4910,334,4928,334,4935,319,4936,308,4936,283,4934,272,4928,260xe" filled="true" fillcolor="#231f20" stroked="false">
              <v:path arrowok="t"/>
              <v:fill type="solid"/>
            </v:shape>
            <v:shape style="position:absolute;left:4946;top:251;width:64;height:94" coordorigin="4946,251" coordsize="64,94" path="m4958,319l4946,319,4947,327,4950,334,4962,342,4968,344,4988,344,4996,341,5002,334,4974,334,4970,334,4962,330,4959,325,4958,319xm5004,293l4983,293,4988,295,4995,302,4997,307,4997,319,4996,323,4989,332,4984,334,5002,334,5007,328,5010,320,5010,303,5007,296,5004,293xm5005,251l4957,251,4950,301,4960,302,4962,299,4964,297,4970,294,4973,293,5004,293,4999,288,4962,288,4965,263,5005,263,5005,251xm4988,282l4975,282,4971,283,4968,285,4966,285,4964,287,4962,288,4999,288,4995,285,4988,282xe" filled="true" fillcolor="#231f20" stroked="false">
              <v:path arrowok="t"/>
              <v:fill type="solid"/>
            </v:shape>
            <w10:wrap type="topAndBottom"/>
          </v:group>
        </w:pict>
      </w:r>
      <w:r>
        <w:rPr/>
        <w:pict>
          <v:group style="position:absolute;margin-left:271.687408pt;margin-top:12.468434pt;width:14.25pt;height:4.8pt;mso-position-horizontal-relative:page;mso-position-vertical-relative:paragraph;z-index:4984;mso-wrap-distance-left:0;mso-wrap-distance-right:0" coordorigin="5434,249" coordsize="285,96">
            <v:shape style="position:absolute;left:5434;top:249;width:64;height:93" coordorigin="5434,249" coordsize="64,93" path="m5492,260l5472,260,5477,262,5483,268,5485,272,5485,283,5483,286,5477,292,5473,295,5447,310,5442,315,5436,327,5434,334,5434,342,5497,342,5497,331,5447,331,5448,327,5451,322,5457,317,5461,314,5481,303,5487,299,5495,291,5498,284,5498,270,5495,264,5492,260xm5478,249l5454,249,5445,254,5440,263,5438,268,5436,274,5436,283,5448,283,5448,277,5449,272,5454,263,5459,260,5492,260,5485,252,5478,249xe" filled="true" fillcolor="#231f20" stroked="false">
              <v:path arrowok="t"/>
              <v:fill type="solid"/>
            </v:shape>
            <v:shape style="position:absolute;left:5507;top:250;width:64;height:95" coordorigin="5507,250" coordsize="64,95" path="m5551,250l5526,250,5516,257,5509,278,5507,287,5507,311,5509,322,5519,340,5528,345,5551,345,5560,339,5562,334,5531,334,5526,330,5521,315,5520,308,5520,286,5521,276,5528,263,5533,260,5562,260,5559,255,5551,250xm5562,260l5547,260,5552,264,5557,277,5558,286,5558,311,5557,321,5549,331,5545,334,5562,334,5565,327,5569,319,5571,308,5571,283,5569,272,5562,260xe" filled="true" fillcolor="#231f20" stroked="false">
              <v:path arrowok="t"/>
              <v:fill type="solid"/>
            </v:shape>
            <v:shape style="position:absolute;left:5581;top:250;width:64;height:95" coordorigin="5581,250" coordsize="64,95" path="m5624,250l5599,250,5590,257,5585,271,5582,278,5581,287,5581,311,5583,322,5593,340,5601,345,5624,345,5633,339,5636,334,5605,334,5599,330,5594,315,5593,308,5593,286,5595,276,5601,263,5606,260,5636,260,5633,255,5624,250xm5636,260l5620,260,5625,264,5631,277,5632,286,5632,311,5630,321,5623,331,5618,334,5636,334,5639,327,5643,319,5644,308,5644,283,5642,272,5636,260xe" filled="true" fillcolor="#231f20" stroked="false">
              <v:path arrowok="t"/>
              <v:fill type="solid"/>
            </v:shape>
            <v:shape style="position:absolute;left:5655;top:249;width:64;height:96" coordorigin="5655,249" coordsize="64,96" path="m5699,249l5674,249,5665,257,5656,280,5655,290,5655,317,5658,328,5671,341,5678,345,5697,345,5705,341,5711,334,5682,334,5677,332,5670,324,5668,319,5668,307,5670,302,5678,295,5680,294,5667,294,5667,285,5667,283,5670,275,5677,263,5682,260,5712,260,5706,252,5699,249xm5713,294l5694,294,5699,296,5705,304,5706,309,5706,319,5705,324,5698,332,5694,334,5711,334,5716,328,5718,321,5718,303,5715,295,5713,294xm5697,283l5685,283,5681,284,5677,286,5673,287,5670,290,5667,294,5680,294,5682,294,5713,294,5704,285,5697,283xm5712,260l5694,260,5699,261,5702,265,5703,267,5704,270,5705,274,5716,274,5716,268,5714,263,5712,260xe" filled="true" fillcolor="#231f20" stroked="false">
              <v:path arrowok="t"/>
              <v:fill type="solid"/>
            </v:shape>
            <w10:wrap type="topAndBottom"/>
          </v:group>
        </w:pict>
      </w:r>
      <w:r>
        <w:rPr/>
        <w:pict>
          <v:group style="position:absolute;margin-left:305.995605pt;margin-top:12.471136pt;width:14.3pt;height:4.8pt;mso-position-horizontal-relative:page;mso-position-vertical-relative:paragraph;z-index:5008;mso-wrap-distance-left:0;mso-wrap-distance-right:0" coordorigin="6120,249" coordsize="286,96">
            <v:shape style="position:absolute;left:6120;top:249;width:64;height:93" coordorigin="6120,249" coordsize="64,93" path="m6178,260l6159,260,6163,262,6169,268,6171,272,6171,283,6169,286,6163,292,6160,295,6133,310,6128,315,6122,327,6120,334,6120,342,6183,342,6183,331,6133,331,6134,327,6137,322,6143,317,6147,314,6168,303,6173,299,6181,291,6184,284,6184,270,6181,264,6178,260xm6164,249l6141,249,6132,254,6127,263,6124,268,6122,274,6122,283,6134,283,6134,277,6135,272,6140,263,6145,260,6178,260,6172,252,6164,249xe" filled="true" fillcolor="#231f20" stroked="false">
              <v:path arrowok="t"/>
              <v:fill type="solid"/>
            </v:shape>
            <v:shape style="position:absolute;left:6193;top:250;width:64;height:95" coordorigin="6193,250" coordsize="64,95" path="m6237,250l6212,250,6203,257,6197,271,6195,278,6193,287,6193,311,6196,322,6206,340,6214,345,6237,345,6246,339,6248,334,6217,334,6212,330,6207,315,6206,308,6206,286,6207,276,6214,263,6219,260,6249,260,6246,255,6237,250xm6249,260l6233,260,6238,264,6243,277,6245,286,6244,311,6243,321,6236,331,6231,334,6248,334,6251,327,6255,319,6257,308,6257,283,6255,272,6249,260xe" filled="true" fillcolor="#231f20" stroked="false">
              <v:path arrowok="t"/>
              <v:fill type="solid"/>
            </v:shape>
            <v:shape style="position:absolute;left:6267;top:250;width:64;height:95" coordorigin="6267,250" coordsize="64,95" path="m6310,250l6285,250,6276,257,6271,271,6268,278,6267,287,6267,311,6269,322,6279,340,6287,345,6311,345,6320,339,6322,334,6291,334,6285,330,6280,315,6279,308,6279,286,6281,276,6287,263,6292,260,6322,260,6319,255,6310,250xm6322,260l6307,260,6312,264,6317,277,6318,286,6318,311,6316,321,6309,331,6304,334,6322,334,6329,319,6331,308,6331,283,6328,272,6322,260xe" filled="true" fillcolor="#231f20" stroked="false">
              <v:path arrowok="t"/>
              <v:fill type="solid"/>
            </v:shape>
            <v:shape style="position:absolute;left:6341;top:251;width:65;height:91" coordorigin="6341,251" coordsize="65,91" path="m6405,251l6341,251,6341,263,6392,263,6386,270,6357,329,6354,342,6367,342,6369,333,6371,326,6374,315,6377,308,6380,300,6384,291,6388,284,6398,269,6402,264,6405,261,6405,251xe" filled="true" fillcolor="#231f20" stroked="false">
              <v:path arrowok="t"/>
              <v:fill type="solid"/>
            </v:shape>
            <w10:wrap type="topAndBottom"/>
          </v:group>
        </w:pict>
      </w:r>
      <w:r>
        <w:rPr/>
        <w:pict>
          <v:group style="position:absolute;margin-left:341.268402pt;margin-top:12.471136pt;width:14.2pt;height:4.8pt;mso-position-horizontal-relative:page;mso-position-vertical-relative:paragraph;z-index:5032;mso-wrap-distance-left:0;mso-wrap-distance-right:0" coordorigin="6825,249" coordsize="284,96">
            <v:shape style="position:absolute;left:6825;top:249;width:64;height:93" coordorigin="6825,249" coordsize="64,93" path="m6884,260l6864,260,6868,262,6875,268,6876,272,6876,283,6875,286,6869,292,6865,295,6839,310,6833,315,6827,327,6826,334,6825,342,6889,342,6889,331,6838,331,6839,327,6842,322,6849,317,6852,314,6873,303,6878,299,6887,291,6889,284,6889,270,6887,264,6884,260xm6869,249l6846,249,6837,254,6832,263,6829,268,6828,274,6828,283,6839,283,6840,277,6840,272,6845,263,6851,260,6884,260,6877,252,6869,249xe" filled="true" fillcolor="#231f20" stroked="false">
              <v:path arrowok="t"/>
              <v:fill type="solid"/>
            </v:shape>
            <v:shape style="position:absolute;left:6899;top:250;width:64;height:95" coordorigin="6899,250" coordsize="64,95" path="m6942,250l6917,250,6908,257,6903,271,6900,278,6899,287,6899,311,6901,322,6911,340,6919,345,6943,345,6952,339,6954,334,6923,334,6917,330,6912,315,6911,308,6911,286,6913,276,6919,263,6924,260,6954,260,6951,255,6942,250xm6954,260l6939,260,6944,264,6949,277,6950,286,6950,311,6948,321,6941,331,6936,334,6954,334,6961,319,6963,308,6963,283,6960,272,6954,260xe" filled="true" fillcolor="#231f20" stroked="false">
              <v:path arrowok="t"/>
              <v:fill type="solid"/>
            </v:shape>
            <v:shape style="position:absolute;left:6972;top:250;width:64;height:95" coordorigin="6972,250" coordsize="64,95" path="m7016,250l6991,250,6981,257,6974,278,6972,287,6972,311,6975,322,6984,340,6993,345,7016,345,7025,339,7027,334,6996,334,6991,330,6986,315,6985,308,6985,286,6986,276,6993,263,6998,260,7027,260,7024,255,7016,250xm7027,260l7012,260,7017,264,7022,277,7023,286,7023,311,7022,321,7015,331,7010,334,7027,334,7030,327,7034,319,7036,308,7036,283,7034,272,7027,260xe" filled="true" fillcolor="#231f20" stroked="false">
              <v:path arrowok="t"/>
              <v:fill type="solid"/>
            </v:shape>
            <v:shape style="position:absolute;left:7046;top:250;width:64;height:96" coordorigin="7046,250" coordsize="64,96" path="m7087,250l7069,250,7062,252,7052,262,7049,268,7049,280,7051,285,7056,290,7058,292,7062,293,7056,295,7053,298,7047,306,7046,311,7046,325,7049,333,7061,342,7069,345,7088,345,7096,342,7103,334,7072,334,7067,332,7060,325,7059,321,7059,311,7060,306,7067,300,7072,299,7103,299,7101,297,7098,295,7094,293,7098,291,7100,289,7100,288,7073,288,7069,287,7063,282,7061,279,7061,270,7062,267,7067,262,7072,260,7102,260,7094,252,7087,250xm7103,299l7083,299,7088,300,7095,306,7097,311,7097,323,7095,327,7088,333,7084,334,7103,334,7107,331,7109,324,7109,309,7107,303,7103,299xm7102,260l7083,260,7087,262,7092,267,7094,270,7094,278,7092,281,7087,287,7083,288,7100,288,7102,287,7105,283,7106,279,7106,267,7104,261,7102,260xe" filled="true" fillcolor="#231f20" stroked="false">
              <v:path arrowok="t"/>
              <v:fill type="solid"/>
            </v:shape>
            <w10:wrap type="topAndBottom"/>
          </v:group>
        </w:pict>
      </w:r>
    </w:p>
    <w:p>
      <w:pPr>
        <w:pStyle w:val="BodyText"/>
        <w:spacing w:before="6"/>
        <w:rPr>
          <w:b/>
          <w:sz w:val="3"/>
        </w:rPr>
      </w:pPr>
    </w:p>
    <w:p>
      <w:pPr>
        <w:pStyle w:val="BodyText"/>
        <w:spacing w:line="99" w:lineRule="exact"/>
        <w:ind w:left="3646"/>
        <w:rPr>
          <w:sz w:val="9"/>
        </w:rPr>
      </w:pPr>
      <w:r>
        <w:rPr>
          <w:position w:val="-1"/>
          <w:sz w:val="9"/>
        </w:rPr>
        <w:pict>
          <v:group style="width:12.45pt;height:5pt;mso-position-horizontal-relative:char;mso-position-vertical-relative:line" coordorigin="0,0" coordsize="249,100">
            <v:shape style="position:absolute;left:0;top:2;width:91;height:96" coordorigin="0,2" coordsize="91,96" path="m56,2l34,2,0,98,21,98,27,78,83,78,77,62,33,62,45,24,64,24,56,2xm83,78l62,78,68,98,90,98,83,78xm64,24l45,24,57,62,77,62,64,24xe" filled="true" fillcolor="#231f20" stroked="false">
              <v:path arrowok="t"/>
              <v:fill type="solid"/>
            </v:shape>
            <v:shape style="position:absolute;left:101;top:0;width:64;height:98" coordorigin="101,0" coordsize="64,98" path="m119,27l101,27,101,98,119,98,119,55,120,52,121,49,123,43,127,41,164,41,163,38,119,38,119,27xm164,41l139,41,142,43,145,48,145,51,145,98,164,98,164,41xm147,26l134,26,129,27,123,31,121,34,119,38,163,38,162,35,153,27,147,26xm119,1l115,3,111,9,109,12,109,17,117,17,117,15,118,14,119,13,120,12,121,11,152,11,155,8,156,6,144,6,141,5,140,5,137,4,131,2,130,2,129,1,127,1,119,1xm152,11l121,11,125,11,127,12,127,12,134,14,139,16,141,16,147,16,150,14,152,11xm157,0l148,0,148,2,147,3,146,5,144,6,156,6,156,5,157,0xe" filled="true" fillcolor="#231f20" stroked="false">
              <v:path arrowok="t"/>
              <v:fill type="solid"/>
            </v:shape>
            <v:shape style="position:absolute;left:177;top:25;width:72;height:75" coordorigin="177,25" coordsize="72,75" path="m225,25l201,25,192,29,180,44,177,52,177,73,180,82,192,96,201,100,225,100,234,96,244,84,207,84,203,83,198,75,196,69,196,55,198,50,203,42,207,40,243,40,234,29,225,25xm243,40l218,40,222,42,228,50,230,55,230,69,228,75,222,83,218,84,244,84,246,82,249,73,249,52,246,44,243,40xe" filled="true" fillcolor="#231f20" stroked="false">
              <v:path arrowok="t"/>
              <v:fill type="solid"/>
            </v:shape>
          </v:group>
        </w:pict>
      </w:r>
      <w:r>
        <w:rPr>
          <w:position w:val="-1"/>
          <w:sz w:val="9"/>
        </w:rPr>
      </w:r>
    </w:p>
    <w:p>
      <w:pPr>
        <w:pStyle w:val="BodyText"/>
        <w:rPr>
          <w:b/>
        </w:rPr>
      </w:pPr>
    </w:p>
    <w:p>
      <w:pPr>
        <w:pStyle w:val="BodyText"/>
        <w:spacing w:before="1"/>
        <w:rPr>
          <w:b/>
          <w:sz w:val="20"/>
        </w:rPr>
      </w:pPr>
    </w:p>
    <w:p>
      <w:pPr>
        <w:spacing w:before="0"/>
        <w:ind w:left="1805" w:right="-2" w:firstLine="0"/>
        <w:jc w:val="left"/>
        <w:rPr>
          <w:rFonts w:ascii="Calibri" w:hAnsi="Calibri"/>
          <w:sz w:val="16"/>
        </w:rPr>
      </w:pPr>
      <w:r>
        <w:rPr/>
        <w:pict>
          <v:shape style="position:absolute;margin-left:64.246002pt;margin-top:-75.879044pt;width:14.6pt;height:4.8pt;mso-position-horizontal-relative:page;mso-position-vertical-relative:paragraph;z-index:5224" coordorigin="1285,-1518" coordsize="292,96" path="m1327,-1517l1315,-1517,1313,-1511,1310,-1507,1302,-1504,1295,-1503,1285,-1502,1285,-1494,1311,-1494,1311,-1438,1327,-1438,1327,-1517m1389,-1450l1373,-1450,1373,-1438,1381,-1438,1381,-1435,1381,-1434,1379,-1429,1376,-1427,1373,-1427,1373,-1422,1379,-1422,1383,-1424,1388,-1431,1389,-1435,1389,-1450m1487,-1472l1483,-1478,1479,-1481,1473,-1485,1469,-1487,1460,-1490,1444,-1490,1439,-1489,1433,-1487,1430,-1486,1428,-1485,1432,-1507,1480,-1507,1480,-1516,1422,-1516,1413,-1474,1425,-1473,1428,-1476,1431,-1477,1438,-1480,1442,-1481,1454,-1481,1459,-1479,1469,-1473,1471,-1469,1471,-1459,1469,-1455,1461,-1447,1455,-1445,1442,-1445,1438,-1446,1429,-1449,1425,-1453,1424,-1459,1409,-1459,1410,-1451,1414,-1446,1428,-1438,1436,-1436,1460,-1436,1470,-1439,1477,-1445,1483,-1451,1487,-1457,1487,-1472m1576,-1489l1574,-1498,1566,-1509,1562,-1513,1561,-1514,1561,-1487,1561,-1465,1559,-1457,1550,-1448,1544,-1445,1528,-1445,1521,-1449,1515,-1461,1514,-1467,1514,-1487,1516,-1495,1524,-1506,1530,-1509,1547,-1509,1553,-1506,1560,-1494,1561,-1487,1561,-1514,1552,-1518,1521,-1518,1510,-1512,1500,-1493,1499,-1485,1499,-1465,1501,-1456,1513,-1440,1524,-1436,1552,-1436,1563,-1441,1566,-1445,1574,-1458,1576,-1467,1576,-1489e" filled="true" fillcolor="#231f20" stroked="false">
            <v:path arrowok="t"/>
            <v:fill type="solid"/>
            <w10:wrap type="none"/>
          </v:shape>
        </w:pict>
      </w:r>
      <w:r>
        <w:rPr/>
        <w:pict>
          <v:shape style="position:absolute;margin-left:64.246002pt;margin-top:-65.502045pt;width:14.6pt;height:4.8pt;mso-position-horizontal-relative:page;mso-position-vertical-relative:paragraph;z-index:5248" coordorigin="1285,-1310" coordsize="292,96" path="m1327,-1310l1315,-1310,1313,-1304,1310,-1300,1302,-1296,1295,-1295,1285,-1295,1285,-1287,1311,-1287,1311,-1231,1327,-1231,1327,-1310m1389,-1243l1373,-1243,1373,-1231,1381,-1231,1381,-1227,1381,-1226,1379,-1222,1376,-1220,1373,-1219,1373,-1214,1379,-1215,1383,-1217,1388,-1224,1389,-1227,1389,-1243m1487,-1282l1484,-1291,1476,-1301,1473,-1306,1471,-1306,1471,-1279,1471,-1257,1469,-1249,1461,-1240,1455,-1238,1438,-1238,1432,-1242,1425,-1254,1424,-1260,1424,-1279,1426,-1287,1434,-1298,1440,-1301,1457,-1301,1464,-1298,1470,-1287,1471,-1279,1471,-1306,1462,-1310,1431,-1310,1420,-1304,1411,-1286,1409,-1278,1409,-1257,1412,-1248,1424,-1233,1434,-1229,1462,-1229,1473,-1234,1476,-1238,1484,-1251,1487,-1260,1487,-1282m1576,-1282l1574,-1291,1566,-1301,1562,-1306,1561,-1306,1561,-1279,1561,-1257,1559,-1249,1550,-1240,1544,-1238,1528,-1238,1521,-1242,1515,-1254,1514,-1260,1514,-1279,1516,-1287,1524,-1298,1530,-1301,1547,-1301,1553,-1298,1560,-1287,1561,-1279,1561,-1306,1552,-1310,1521,-1310,1510,-1304,1500,-1286,1499,-1278,1499,-1257,1501,-1248,1513,-1233,1524,-1229,1552,-1229,1563,-1234,1566,-1238,1574,-1251,1576,-1260,1576,-1282e" filled="true" fillcolor="#231f20" stroked="false">
            <v:path arrowok="t"/>
            <v:fill type="solid"/>
            <w10:wrap type="none"/>
          </v:shape>
        </w:pict>
      </w:r>
      <w:r>
        <w:rPr/>
        <w:pict>
          <v:shape style="position:absolute;margin-left:63.727001pt;margin-top:-55.125042pt;width:15.1pt;height:4.8pt;mso-position-horizontal-relative:page;mso-position-vertical-relative:paragraph;z-index:5272" coordorigin="1275,-1103" coordsize="302,96" path="m1352,-1074l1350,-1083,1342,-1094,1338,-1098,1337,-1099,1337,-1072,1337,-1050,1335,-1042,1326,-1033,1320,-1030,1304,-1030,1297,-1034,1291,-1046,1290,-1052,1290,-1072,1292,-1080,1299,-1091,1306,-1094,1323,-1094,1329,-1091,1335,-1079,1337,-1072,1337,-1099,1328,-1103,1297,-1103,1286,-1097,1276,-1078,1275,-1070,1275,-1050,1277,-1040,1289,-1025,1299,-1021,1328,-1021,1339,-1026,1341,-1030,1350,-1043,1352,-1052,1352,-1074m1389,-1035l1373,-1035,1373,-1023,1381,-1023,1381,-1020,1381,-1019,1379,-1014,1376,-1012,1373,-1012,1373,-1007,1379,-1007,1383,-1009,1388,-1016,1389,-1020,1389,-1035m1487,-1057l1483,-1063,1479,-1066,1473,-1070,1469,-1072,1460,-1075,1444,-1075,1439,-1074,1433,-1072,1430,-1071,1428,-1070,1432,-1092,1480,-1092,1480,-1101,1422,-1101,1413,-1059,1425,-1058,1428,-1060,1431,-1062,1438,-1065,1442,-1066,1454,-1066,1459,-1064,1469,-1058,1471,-1054,1471,-1044,1469,-1039,1461,-1032,1455,-1030,1442,-1030,1438,-1031,1429,-1034,1425,-1038,1424,-1044,1409,-1044,1410,-1036,1414,-1030,1428,-1023,1436,-1021,1460,-1021,1470,-1024,1477,-1030,1483,-1036,1487,-1042,1487,-1057m1576,-1074l1574,-1083,1566,-1094,1562,-1098,1561,-1099,1561,-1072,1561,-1050,1559,-1042,1550,-1033,1544,-1030,1528,-1030,1521,-1034,1515,-1046,1514,-1052,1514,-1072,1516,-1080,1524,-1091,1530,-1094,1547,-1094,1553,-1091,1560,-1079,1561,-1072,1561,-1099,1552,-1103,1521,-1103,1510,-1097,1500,-1078,1499,-1070,1499,-1050,1501,-1040,1513,-1025,1524,-1021,1552,-1021,1563,-1026,1566,-1030,1574,-1043,1576,-1052,1576,-1074e" filled="true" fillcolor="#231f20" stroked="false">
            <v:path arrowok="t"/>
            <v:fill type="solid"/>
            <w10:wrap type="none"/>
          </v:shape>
        </w:pict>
      </w:r>
      <w:r>
        <w:rPr/>
        <w:pict>
          <v:shape style="position:absolute;margin-left:63.727001pt;margin-top:-44.74704pt;width:15.1pt;height:4.8pt;mso-position-horizontal-relative:page;mso-position-vertical-relative:paragraph;z-index:5296" coordorigin="1275,-895" coordsize="302,96" path="m1352,-867l1350,-876,1342,-886,1338,-891,1337,-891,1337,-864,1337,-842,1335,-834,1326,-825,1320,-823,1304,-823,1297,-826,1291,-839,1290,-845,1290,-864,1292,-872,1299,-883,1306,-886,1323,-886,1329,-883,1335,-871,1337,-864,1337,-891,1328,-895,1297,-895,1286,-889,1276,-870,1275,-863,1275,-842,1277,-833,1289,-818,1299,-814,1328,-814,1339,-819,1341,-823,1350,-836,1352,-845,1352,-867m1389,-828l1373,-828,1373,-816,1381,-816,1381,-812,1381,-811,1379,-806,1376,-805,1373,-804,1373,-799,1379,-800,1383,-802,1388,-808,1389,-812,1389,-828m1487,-867l1484,-876,1476,-886,1473,-891,1471,-891,1471,-864,1471,-842,1469,-834,1461,-825,1455,-823,1438,-823,1432,-826,1425,-839,1424,-845,1424,-864,1426,-872,1434,-883,1440,-886,1457,-886,1464,-883,1470,-871,1471,-864,1471,-891,1462,-895,1431,-895,1420,-889,1411,-870,1409,-863,1409,-842,1412,-833,1424,-818,1434,-814,1462,-814,1473,-819,1476,-823,1484,-836,1487,-845,1487,-867m1576,-867l1574,-876,1566,-886,1562,-891,1561,-891,1561,-864,1561,-842,1559,-834,1550,-825,1544,-823,1528,-823,1521,-826,1515,-839,1514,-845,1514,-864,1516,-872,1524,-883,1530,-886,1547,-886,1553,-883,1560,-871,1561,-864,1561,-891,1552,-895,1521,-895,1510,-889,1500,-870,1499,-863,1499,-842,1501,-833,1513,-818,1524,-814,1552,-814,1563,-819,1566,-823,1574,-836,1576,-845,1576,-867e" filled="true" fillcolor="#231f20" stroked="false">
            <v:path arrowok="t"/>
            <v:fill type="solid"/>
            <w10:wrap type="none"/>
          </v:shape>
        </w:pict>
      </w:r>
      <w:r>
        <w:rPr>
          <w:rFonts w:ascii="Calibri" w:hAnsi="Calibri"/>
          <w:color w:val="231F20"/>
          <w:sz w:val="16"/>
        </w:rPr>
        <w:t>Fuente:</w:t>
      </w:r>
      <w:r>
        <w:rPr>
          <w:rFonts w:ascii="Calibri" w:hAnsi="Calibri"/>
          <w:color w:val="231F20"/>
          <w:spacing w:val="-20"/>
          <w:sz w:val="16"/>
        </w:rPr>
        <w:t> </w:t>
      </w:r>
      <w:r>
        <w:rPr>
          <w:rFonts w:ascii="Calibri" w:hAnsi="Calibri"/>
          <w:color w:val="231F20"/>
          <w:sz w:val="16"/>
        </w:rPr>
        <w:t>elaboración</w:t>
      </w:r>
      <w:r>
        <w:rPr>
          <w:rFonts w:ascii="Calibri" w:hAnsi="Calibri"/>
          <w:color w:val="231F20"/>
          <w:spacing w:val="-20"/>
          <w:sz w:val="16"/>
        </w:rPr>
        <w:t> </w:t>
      </w:r>
      <w:r>
        <w:rPr>
          <w:rFonts w:ascii="Calibri" w:hAnsi="Calibri"/>
          <w:color w:val="231F20"/>
          <w:sz w:val="16"/>
        </w:rPr>
        <w:t>propia</w:t>
      </w:r>
      <w:r>
        <w:rPr>
          <w:rFonts w:ascii="Calibri" w:hAnsi="Calibri"/>
          <w:color w:val="231F20"/>
          <w:spacing w:val="-20"/>
          <w:sz w:val="16"/>
        </w:rPr>
        <w:t> </w:t>
      </w:r>
      <w:r>
        <w:rPr>
          <w:rFonts w:ascii="Calibri" w:hAnsi="Calibri"/>
          <w:color w:val="231F20"/>
          <w:sz w:val="16"/>
        </w:rPr>
        <w:t>a</w:t>
      </w:r>
      <w:r>
        <w:rPr>
          <w:rFonts w:ascii="Calibri" w:hAnsi="Calibri"/>
          <w:color w:val="231F20"/>
          <w:spacing w:val="-20"/>
          <w:sz w:val="16"/>
        </w:rPr>
        <w:t> </w:t>
      </w:r>
      <w:r>
        <w:rPr>
          <w:rFonts w:ascii="Calibri" w:hAnsi="Calibri"/>
          <w:color w:val="231F20"/>
          <w:sz w:val="16"/>
        </w:rPr>
        <w:t>partir</w:t>
      </w:r>
      <w:r>
        <w:rPr>
          <w:rFonts w:ascii="Calibri" w:hAnsi="Calibri"/>
          <w:color w:val="231F20"/>
          <w:spacing w:val="-20"/>
          <w:sz w:val="16"/>
        </w:rPr>
        <w:t> </w:t>
      </w:r>
      <w:r>
        <w:rPr>
          <w:rFonts w:ascii="Calibri" w:hAnsi="Calibri"/>
          <w:color w:val="231F20"/>
          <w:sz w:val="16"/>
        </w:rPr>
        <w:t>de</w:t>
      </w:r>
      <w:r>
        <w:rPr>
          <w:rFonts w:ascii="Calibri" w:hAnsi="Calibri"/>
          <w:color w:val="231F20"/>
          <w:spacing w:val="-20"/>
          <w:sz w:val="16"/>
        </w:rPr>
        <w:t> </w:t>
      </w:r>
      <w:r>
        <w:rPr>
          <w:rFonts w:ascii="Calibri" w:hAnsi="Calibri"/>
          <w:color w:val="231F20"/>
          <w:sz w:val="16"/>
        </w:rPr>
        <w:t>(HUIXQUILUCAN,</w:t>
      </w:r>
      <w:r>
        <w:rPr>
          <w:rFonts w:ascii="Calibri" w:hAnsi="Calibri"/>
          <w:color w:val="231F20"/>
          <w:spacing w:val="-20"/>
          <w:sz w:val="16"/>
        </w:rPr>
        <w:t> </w:t>
      </w:r>
      <w:r>
        <w:rPr>
          <w:rFonts w:ascii="Calibri" w:hAnsi="Calibri"/>
          <w:color w:val="231F20"/>
          <w:sz w:val="16"/>
        </w:rPr>
        <w:t>2006a),</w:t>
      </w:r>
      <w:r>
        <w:rPr>
          <w:rFonts w:ascii="Calibri" w:hAnsi="Calibri"/>
          <w:color w:val="231F20"/>
          <w:spacing w:val="-20"/>
          <w:sz w:val="16"/>
        </w:rPr>
        <w:t> </w:t>
      </w:r>
      <w:r>
        <w:rPr>
          <w:rFonts w:ascii="Calibri" w:hAnsi="Calibri"/>
          <w:color w:val="231F20"/>
          <w:sz w:val="16"/>
        </w:rPr>
        <w:t>(SECRETARÍA</w:t>
      </w:r>
      <w:r>
        <w:rPr>
          <w:rFonts w:ascii="Calibri" w:hAnsi="Calibri"/>
          <w:color w:val="231F20"/>
          <w:spacing w:val="-20"/>
          <w:sz w:val="16"/>
        </w:rPr>
        <w:t> </w:t>
      </w:r>
      <w:r>
        <w:rPr>
          <w:rFonts w:ascii="Calibri" w:hAnsi="Calibri"/>
          <w:color w:val="231F20"/>
          <w:sz w:val="16"/>
        </w:rPr>
        <w:t>DE</w:t>
      </w:r>
      <w:r>
        <w:rPr>
          <w:rFonts w:ascii="Calibri" w:hAnsi="Calibri"/>
          <w:color w:val="231F20"/>
          <w:spacing w:val="-20"/>
          <w:sz w:val="16"/>
        </w:rPr>
        <w:t> </w:t>
      </w:r>
      <w:r>
        <w:rPr>
          <w:rFonts w:ascii="Calibri" w:hAnsi="Calibri"/>
          <w:color w:val="231F20"/>
          <w:sz w:val="16"/>
        </w:rPr>
        <w:t>FINANZAS,</w:t>
      </w:r>
      <w:r>
        <w:rPr>
          <w:rFonts w:ascii="Calibri" w:hAnsi="Calibri"/>
          <w:color w:val="231F20"/>
          <w:spacing w:val="-20"/>
          <w:sz w:val="16"/>
        </w:rPr>
        <w:t> </w:t>
      </w:r>
      <w:r>
        <w:rPr>
          <w:rFonts w:ascii="Calibri" w:hAnsi="Calibri"/>
          <w:color w:val="231F20"/>
          <w:sz w:val="16"/>
        </w:rPr>
        <w:t>2009).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El comportamiento de las </w:t>
      </w:r>
      <w:r>
        <w:rPr>
          <w:color w:val="231F20"/>
          <w:spacing w:val="2"/>
          <w:w w:val="105"/>
        </w:rPr>
        <w:t>finanzas </w:t>
      </w:r>
      <w:r>
        <w:rPr>
          <w:color w:val="231F20"/>
          <w:w w:val="105"/>
        </w:rPr>
        <w:t>públicas de Huixquilucan mostró que sus ingresos directos han tendido a crecer de manera constante. Sin embargo, el aumento del gasto corriente</w:t>
      </w:r>
      <w:r>
        <w:rPr>
          <w:color w:val="231F20"/>
          <w:spacing w:val="-4"/>
          <w:w w:val="105"/>
        </w:rPr>
        <w:t> </w:t>
      </w:r>
      <w:r>
        <w:rPr>
          <w:color w:val="231F20"/>
          <w:w w:val="105"/>
        </w:rPr>
        <w:t>y</w:t>
      </w:r>
      <w:r>
        <w:rPr>
          <w:color w:val="231F20"/>
          <w:spacing w:val="-4"/>
          <w:w w:val="105"/>
        </w:rPr>
        <w:t> </w:t>
      </w:r>
      <w:r>
        <w:rPr>
          <w:color w:val="231F20"/>
          <w:w w:val="105"/>
        </w:rPr>
        <w:t>del</w:t>
      </w:r>
      <w:r>
        <w:rPr>
          <w:color w:val="231F20"/>
          <w:spacing w:val="-4"/>
          <w:w w:val="105"/>
        </w:rPr>
        <w:t> </w:t>
      </w:r>
      <w:r>
        <w:rPr>
          <w:color w:val="231F20"/>
          <w:w w:val="105"/>
        </w:rPr>
        <w:t>pago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deuda</w:t>
      </w:r>
      <w:r>
        <w:rPr>
          <w:color w:val="231F20"/>
          <w:spacing w:val="-4"/>
          <w:w w:val="105"/>
        </w:rPr>
        <w:t> </w:t>
      </w:r>
      <w:r>
        <w:rPr>
          <w:color w:val="231F20"/>
          <w:w w:val="105"/>
        </w:rPr>
        <w:t>pública</w:t>
      </w:r>
      <w:r>
        <w:rPr>
          <w:color w:val="231F20"/>
          <w:spacing w:val="-4"/>
          <w:w w:val="105"/>
        </w:rPr>
        <w:t> </w:t>
      </w:r>
      <w:r>
        <w:rPr>
          <w:color w:val="231F20"/>
          <w:w w:val="105"/>
        </w:rPr>
        <w:t>han</w:t>
      </w:r>
      <w:r>
        <w:rPr>
          <w:color w:val="231F20"/>
          <w:spacing w:val="-4"/>
          <w:w w:val="105"/>
        </w:rPr>
        <w:t> </w:t>
      </w:r>
      <w:r>
        <w:rPr>
          <w:color w:val="231F20"/>
          <w:w w:val="105"/>
        </w:rPr>
        <w:t>complicado</w:t>
      </w:r>
      <w:r>
        <w:rPr>
          <w:color w:val="231F20"/>
          <w:spacing w:val="-4"/>
          <w:w w:val="105"/>
        </w:rPr>
        <w:t> </w:t>
      </w:r>
      <w:r>
        <w:rPr>
          <w:color w:val="231F20"/>
          <w:w w:val="105"/>
        </w:rPr>
        <w:t>el</w:t>
      </w:r>
      <w:r>
        <w:rPr>
          <w:color w:val="231F20"/>
          <w:spacing w:val="-4"/>
          <w:w w:val="105"/>
        </w:rPr>
        <w:t> </w:t>
      </w:r>
      <w:r>
        <w:rPr>
          <w:color w:val="231F20"/>
          <w:w w:val="105"/>
        </w:rPr>
        <w:t>manejo</w:t>
      </w:r>
      <w:r>
        <w:rPr>
          <w:color w:val="231F20"/>
          <w:spacing w:val="-4"/>
          <w:w w:val="105"/>
        </w:rPr>
        <w:t> </w:t>
      </w:r>
      <w:r>
        <w:rPr>
          <w:color w:val="231F20"/>
          <w:w w:val="105"/>
        </w:rPr>
        <w:t>financiero</w:t>
      </w:r>
      <w:r>
        <w:rPr>
          <w:color w:val="231F20"/>
          <w:spacing w:val="-4"/>
          <w:w w:val="105"/>
        </w:rPr>
        <w:t> </w:t>
      </w:r>
      <w:r>
        <w:rPr>
          <w:color w:val="231F20"/>
          <w:w w:val="105"/>
        </w:rPr>
        <w:t>munici- pal;</w:t>
      </w:r>
      <w:r>
        <w:rPr>
          <w:color w:val="231F20"/>
          <w:spacing w:val="-16"/>
          <w:w w:val="105"/>
        </w:rPr>
        <w:t> </w:t>
      </w:r>
      <w:r>
        <w:rPr>
          <w:color w:val="231F20"/>
          <w:w w:val="105"/>
        </w:rPr>
        <w:t>además,</w:t>
      </w:r>
      <w:r>
        <w:rPr>
          <w:color w:val="231F20"/>
          <w:spacing w:val="-16"/>
          <w:w w:val="105"/>
        </w:rPr>
        <w:t> </w:t>
      </w:r>
      <w:r>
        <w:rPr>
          <w:color w:val="231F20"/>
          <w:w w:val="105"/>
        </w:rPr>
        <w:t>el</w:t>
      </w:r>
      <w:r>
        <w:rPr>
          <w:color w:val="231F20"/>
          <w:spacing w:val="-16"/>
          <w:w w:val="105"/>
        </w:rPr>
        <w:t> </w:t>
      </w:r>
      <w:r>
        <w:rPr>
          <w:color w:val="231F20"/>
          <w:w w:val="105"/>
        </w:rPr>
        <w:t>elevado</w:t>
      </w:r>
      <w:r>
        <w:rPr>
          <w:color w:val="231F20"/>
          <w:spacing w:val="-16"/>
          <w:w w:val="105"/>
        </w:rPr>
        <w:t> </w:t>
      </w:r>
      <w:r>
        <w:rPr>
          <w:color w:val="231F20"/>
          <w:w w:val="105"/>
        </w:rPr>
        <w:t>endeudamiento</w:t>
      </w:r>
      <w:r>
        <w:rPr>
          <w:color w:val="231F20"/>
          <w:spacing w:val="-16"/>
          <w:w w:val="105"/>
        </w:rPr>
        <w:t> </w:t>
      </w:r>
      <w:r>
        <w:rPr>
          <w:color w:val="231F20"/>
          <w:w w:val="105"/>
        </w:rPr>
        <w:t>registrado</w:t>
      </w:r>
      <w:r>
        <w:rPr>
          <w:color w:val="231F20"/>
          <w:spacing w:val="-16"/>
          <w:w w:val="105"/>
        </w:rPr>
        <w:t> </w:t>
      </w:r>
      <w:r>
        <w:rPr>
          <w:color w:val="231F20"/>
          <w:w w:val="105"/>
        </w:rPr>
        <w:t>entre</w:t>
      </w:r>
      <w:r>
        <w:rPr>
          <w:color w:val="231F20"/>
          <w:spacing w:val="-16"/>
          <w:w w:val="105"/>
        </w:rPr>
        <w:t> </w:t>
      </w:r>
      <w:r>
        <w:rPr>
          <w:color w:val="231F20"/>
          <w:w w:val="105"/>
        </w:rPr>
        <w:t>el</w:t>
      </w:r>
      <w:r>
        <w:rPr>
          <w:color w:val="231F20"/>
          <w:spacing w:val="-16"/>
          <w:w w:val="105"/>
        </w:rPr>
        <w:t> </w:t>
      </w:r>
      <w:r>
        <w:rPr>
          <w:color w:val="231F20"/>
          <w:spacing w:val="2"/>
          <w:w w:val="105"/>
        </w:rPr>
        <w:t>2003</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spacing w:val="3"/>
          <w:w w:val="105"/>
        </w:rPr>
        <w:t>2006</w:t>
      </w:r>
      <w:r>
        <w:rPr>
          <w:color w:val="231F20"/>
          <w:spacing w:val="-16"/>
          <w:w w:val="105"/>
        </w:rPr>
        <w:t> </w:t>
      </w:r>
      <w:r>
        <w:rPr>
          <w:color w:val="231F20"/>
          <w:w w:val="105"/>
        </w:rPr>
        <w:t>comprometió de manera severa </w:t>
      </w:r>
      <w:r>
        <w:rPr>
          <w:color w:val="231F20"/>
          <w:spacing w:val="2"/>
          <w:w w:val="105"/>
        </w:rPr>
        <w:t>al </w:t>
      </w:r>
      <w:r>
        <w:rPr>
          <w:color w:val="231F20"/>
          <w:w w:val="105"/>
        </w:rPr>
        <w:t>ejercicio de los egresos, así como también debilitó la capacidad del financiamiento por la vía directa para hacer frente a los diversos compromisos. El municipio, por tanto, ha comenzado a depender en mayor medida de las participacio- nes</w:t>
      </w:r>
      <w:r>
        <w:rPr>
          <w:color w:val="231F20"/>
          <w:spacing w:val="-4"/>
          <w:w w:val="105"/>
        </w:rPr>
        <w:t> </w:t>
      </w:r>
      <w:r>
        <w:rPr>
          <w:color w:val="231F20"/>
          <w:w w:val="105"/>
        </w:rPr>
        <w:t>provenientes</w:t>
      </w:r>
      <w:r>
        <w:rPr>
          <w:color w:val="231F20"/>
          <w:spacing w:val="-4"/>
          <w:w w:val="105"/>
        </w:rPr>
        <w:t> </w:t>
      </w:r>
      <w:r>
        <w:rPr>
          <w:color w:val="231F20"/>
          <w:w w:val="105"/>
        </w:rPr>
        <w:t>del</w:t>
      </w:r>
      <w:r>
        <w:rPr>
          <w:color w:val="231F20"/>
          <w:spacing w:val="-4"/>
          <w:w w:val="105"/>
        </w:rPr>
        <w:t> </w:t>
      </w:r>
      <w:r>
        <w:rPr>
          <w:color w:val="231F20"/>
          <w:w w:val="105"/>
        </w:rPr>
        <w:t>gobierno</w:t>
      </w:r>
      <w:r>
        <w:rPr>
          <w:color w:val="231F20"/>
          <w:spacing w:val="-4"/>
          <w:w w:val="105"/>
        </w:rPr>
        <w:t> </w:t>
      </w:r>
      <w:r>
        <w:rPr>
          <w:color w:val="231F20"/>
          <w:w w:val="105"/>
        </w:rPr>
        <w:t>federal</w:t>
      </w:r>
      <w:r>
        <w:rPr>
          <w:color w:val="231F20"/>
          <w:spacing w:val="-4"/>
          <w:w w:val="105"/>
        </w:rPr>
        <w:t> </w:t>
      </w:r>
      <w:r>
        <w:rPr>
          <w:color w:val="231F20"/>
          <w:w w:val="105"/>
        </w:rPr>
        <w:t>y</w:t>
      </w:r>
      <w:r>
        <w:rPr>
          <w:color w:val="231F20"/>
          <w:spacing w:val="-4"/>
          <w:w w:val="105"/>
        </w:rPr>
        <w:t> </w:t>
      </w:r>
      <w:r>
        <w:rPr>
          <w:color w:val="231F20"/>
          <w:w w:val="105"/>
        </w:rPr>
        <w:t>estatal</w:t>
      </w:r>
      <w:r>
        <w:rPr>
          <w:color w:val="231F20"/>
          <w:spacing w:val="-4"/>
          <w:w w:val="105"/>
        </w:rPr>
        <w:t> </w:t>
      </w:r>
      <w:r>
        <w:rPr>
          <w:color w:val="231F20"/>
          <w:w w:val="105"/>
        </w:rPr>
        <w:t>(este</w:t>
      </w:r>
      <w:r>
        <w:rPr>
          <w:color w:val="231F20"/>
          <w:spacing w:val="-4"/>
          <w:w w:val="105"/>
        </w:rPr>
        <w:t> </w:t>
      </w:r>
      <w:r>
        <w:rPr>
          <w:color w:val="231F20"/>
          <w:w w:val="105"/>
        </w:rPr>
        <w:t>último</w:t>
      </w:r>
      <w:r>
        <w:rPr>
          <w:color w:val="231F20"/>
          <w:spacing w:val="-4"/>
          <w:w w:val="105"/>
        </w:rPr>
        <w:t> </w:t>
      </w:r>
      <w:r>
        <w:rPr>
          <w:color w:val="231F20"/>
          <w:w w:val="105"/>
        </w:rPr>
        <w:t>en</w:t>
      </w:r>
      <w:r>
        <w:rPr>
          <w:color w:val="231F20"/>
          <w:spacing w:val="-4"/>
          <w:w w:val="105"/>
        </w:rPr>
        <w:t> </w:t>
      </w:r>
      <w:r>
        <w:rPr>
          <w:color w:val="231F20"/>
          <w:w w:val="105"/>
        </w:rPr>
        <w:t>menor</w:t>
      </w:r>
      <w:r>
        <w:rPr>
          <w:color w:val="231F20"/>
          <w:spacing w:val="-4"/>
          <w:w w:val="105"/>
        </w:rPr>
        <w:t> </w:t>
      </w:r>
      <w:r>
        <w:rPr>
          <w:color w:val="231F20"/>
          <w:w w:val="105"/>
        </w:rPr>
        <w:t>medida)</w:t>
      </w:r>
      <w:r>
        <w:rPr>
          <w:color w:val="231F20"/>
          <w:spacing w:val="-4"/>
          <w:w w:val="105"/>
        </w:rPr>
        <w:t> </w:t>
      </w:r>
      <w:r>
        <w:rPr>
          <w:color w:val="231F20"/>
          <w:w w:val="105"/>
        </w:rPr>
        <w:t>que</w:t>
      </w:r>
      <w:r>
        <w:rPr>
          <w:color w:val="231F20"/>
          <w:spacing w:val="-4"/>
          <w:w w:val="105"/>
        </w:rPr>
        <w:t> </w:t>
      </w:r>
      <w:r>
        <w:rPr>
          <w:color w:val="231F20"/>
          <w:w w:val="105"/>
        </w:rPr>
        <w:t>son repartidas</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gobierno</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p>
    <w:p>
      <w:pPr>
        <w:pStyle w:val="BodyText"/>
        <w:spacing w:before="1"/>
        <w:rPr>
          <w:sz w:val="26"/>
        </w:rPr>
      </w:pPr>
    </w:p>
    <w:p>
      <w:pPr>
        <w:pStyle w:val="BodyText"/>
        <w:spacing w:line="285" w:lineRule="auto"/>
        <w:ind w:left="110" w:right="107"/>
        <w:jc w:val="both"/>
      </w:pPr>
      <w:r>
        <w:rPr>
          <w:color w:val="231F20"/>
          <w:w w:val="105"/>
        </w:rPr>
        <w:t>Las</w:t>
      </w:r>
      <w:r>
        <w:rPr>
          <w:color w:val="231F20"/>
          <w:spacing w:val="-13"/>
          <w:w w:val="105"/>
        </w:rPr>
        <w:t> </w:t>
      </w:r>
      <w:r>
        <w:rPr>
          <w:color w:val="231F20"/>
          <w:w w:val="105"/>
        </w:rPr>
        <w:t>participaciones</w:t>
      </w:r>
      <w:r>
        <w:rPr>
          <w:color w:val="231F20"/>
          <w:spacing w:val="-13"/>
          <w:w w:val="105"/>
        </w:rPr>
        <w:t> </w:t>
      </w:r>
      <w:r>
        <w:rPr>
          <w:color w:val="231F20"/>
          <w:w w:val="105"/>
        </w:rPr>
        <w:t>estatales</w:t>
      </w:r>
      <w:r>
        <w:rPr>
          <w:color w:val="231F20"/>
          <w:spacing w:val="-13"/>
          <w:w w:val="105"/>
        </w:rPr>
        <w:t> </w:t>
      </w:r>
      <w:r>
        <w:rPr>
          <w:color w:val="231F20"/>
          <w:w w:val="105"/>
        </w:rPr>
        <w:t>del</w:t>
      </w:r>
      <w:r>
        <w:rPr>
          <w:color w:val="231F20"/>
          <w:spacing w:val="-13"/>
          <w:w w:val="105"/>
        </w:rPr>
        <w:t> </w:t>
      </w:r>
      <w:r>
        <w:rPr>
          <w:color w:val="231F20"/>
          <w:spacing w:val="-3"/>
          <w:w w:val="105"/>
        </w:rPr>
        <w:t>gobierno</w:t>
      </w:r>
      <w:r>
        <w:rPr>
          <w:color w:val="231F20"/>
          <w:spacing w:val="-13"/>
          <w:w w:val="105"/>
        </w:rPr>
        <w:t> </w:t>
      </w:r>
      <w:r>
        <w:rPr>
          <w:color w:val="231F20"/>
          <w:w w:val="105"/>
        </w:rPr>
        <w:t>mexiquense</w:t>
      </w:r>
      <w:r>
        <w:rPr>
          <w:color w:val="231F20"/>
          <w:spacing w:val="-13"/>
          <w:w w:val="105"/>
        </w:rPr>
        <w:t> </w:t>
      </w:r>
      <w:r>
        <w:rPr>
          <w:color w:val="231F20"/>
          <w:w w:val="105"/>
        </w:rPr>
        <w:t>han</w:t>
      </w:r>
      <w:r>
        <w:rPr>
          <w:color w:val="231F20"/>
          <w:spacing w:val="-13"/>
          <w:w w:val="105"/>
        </w:rPr>
        <w:t> </w:t>
      </w:r>
      <w:r>
        <w:rPr>
          <w:color w:val="231F20"/>
          <w:w w:val="105"/>
        </w:rPr>
        <w:t>significado</w:t>
      </w:r>
      <w:r>
        <w:rPr>
          <w:color w:val="231F20"/>
          <w:spacing w:val="-13"/>
          <w:w w:val="105"/>
        </w:rPr>
        <w:t> </w:t>
      </w:r>
      <w:r>
        <w:rPr>
          <w:color w:val="231F20"/>
          <w:w w:val="105"/>
        </w:rPr>
        <w:t>una</w:t>
      </w:r>
      <w:r>
        <w:rPr>
          <w:color w:val="231F20"/>
          <w:spacing w:val="-13"/>
          <w:w w:val="105"/>
        </w:rPr>
        <w:t> </w:t>
      </w:r>
      <w:r>
        <w:rPr>
          <w:color w:val="231F20"/>
          <w:w w:val="105"/>
        </w:rPr>
        <w:t>baja</w:t>
      </w:r>
      <w:r>
        <w:rPr>
          <w:color w:val="231F20"/>
          <w:spacing w:val="-13"/>
          <w:w w:val="105"/>
        </w:rPr>
        <w:t> </w:t>
      </w:r>
      <w:r>
        <w:rPr>
          <w:color w:val="231F20"/>
          <w:spacing w:val="-3"/>
          <w:w w:val="105"/>
        </w:rPr>
        <w:t>propor- </w:t>
      </w:r>
      <w:r>
        <w:rPr>
          <w:color w:val="231F20"/>
          <w:w w:val="105"/>
        </w:rPr>
        <w:t>ción en los ingresos municipales. Parecería que este mecanismo por sí sólo no es sufi- ciente</w:t>
      </w:r>
      <w:r>
        <w:rPr>
          <w:color w:val="231F20"/>
          <w:spacing w:val="-17"/>
          <w:w w:val="105"/>
        </w:rPr>
        <w:t> </w:t>
      </w:r>
      <w:r>
        <w:rPr>
          <w:color w:val="231F20"/>
          <w:w w:val="105"/>
        </w:rPr>
        <w:t>para</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spacing w:val="-3"/>
          <w:w w:val="105"/>
        </w:rPr>
        <w:t>gobierno</w:t>
      </w:r>
      <w:r>
        <w:rPr>
          <w:color w:val="231F20"/>
          <w:spacing w:val="-17"/>
          <w:w w:val="105"/>
        </w:rPr>
        <w:t> </w:t>
      </w:r>
      <w:r>
        <w:rPr>
          <w:color w:val="231F20"/>
          <w:w w:val="105"/>
        </w:rPr>
        <w:t>estatal</w:t>
      </w:r>
      <w:r>
        <w:rPr>
          <w:color w:val="231F20"/>
          <w:spacing w:val="-17"/>
          <w:w w:val="105"/>
        </w:rPr>
        <w:t> </w:t>
      </w:r>
      <w:r>
        <w:rPr>
          <w:color w:val="231F20"/>
          <w:w w:val="105"/>
        </w:rPr>
        <w:t>pueda</w:t>
      </w:r>
      <w:r>
        <w:rPr>
          <w:color w:val="231F20"/>
          <w:spacing w:val="-17"/>
          <w:w w:val="105"/>
        </w:rPr>
        <w:t> </w:t>
      </w:r>
      <w:r>
        <w:rPr>
          <w:color w:val="231F20"/>
          <w:w w:val="105"/>
        </w:rPr>
        <w:t>ejercer</w:t>
      </w:r>
      <w:r>
        <w:rPr>
          <w:color w:val="231F20"/>
          <w:spacing w:val="-17"/>
          <w:w w:val="105"/>
        </w:rPr>
        <w:t> </w:t>
      </w:r>
      <w:r>
        <w:rPr>
          <w:color w:val="231F20"/>
          <w:w w:val="105"/>
        </w:rPr>
        <w:t>una</w:t>
      </w:r>
      <w:r>
        <w:rPr>
          <w:color w:val="231F20"/>
          <w:spacing w:val="-17"/>
          <w:w w:val="105"/>
        </w:rPr>
        <w:t> </w:t>
      </w:r>
      <w:r>
        <w:rPr>
          <w:color w:val="231F20"/>
          <w:w w:val="105"/>
        </w:rPr>
        <w:t>fuerte</w:t>
      </w:r>
      <w:r>
        <w:rPr>
          <w:color w:val="231F20"/>
          <w:spacing w:val="-17"/>
          <w:w w:val="105"/>
        </w:rPr>
        <w:t> </w:t>
      </w:r>
      <w:r>
        <w:rPr>
          <w:color w:val="231F20"/>
          <w:w w:val="105"/>
        </w:rPr>
        <w:t>presión</w:t>
      </w:r>
      <w:r>
        <w:rPr>
          <w:color w:val="231F20"/>
          <w:spacing w:val="-17"/>
          <w:w w:val="105"/>
        </w:rPr>
        <w:t> </w:t>
      </w:r>
      <w:r>
        <w:rPr>
          <w:color w:val="231F20"/>
          <w:w w:val="105"/>
        </w:rPr>
        <w:t>política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ayunta- miento</w:t>
      </w:r>
      <w:r>
        <w:rPr>
          <w:color w:val="231F20"/>
          <w:spacing w:val="-10"/>
          <w:w w:val="105"/>
        </w:rPr>
        <w:t> </w:t>
      </w:r>
      <w:r>
        <w:rPr>
          <w:color w:val="231F20"/>
          <w:w w:val="105"/>
        </w:rPr>
        <w:t>de</w:t>
      </w:r>
      <w:r>
        <w:rPr>
          <w:color w:val="231F20"/>
          <w:spacing w:val="-10"/>
          <w:w w:val="105"/>
        </w:rPr>
        <w:t> </w:t>
      </w:r>
      <w:r>
        <w:rPr>
          <w:color w:val="231F20"/>
          <w:w w:val="105"/>
        </w:rPr>
        <w:t>Huixquilucan.</w:t>
      </w:r>
      <w:r>
        <w:rPr>
          <w:color w:val="231F20"/>
          <w:spacing w:val="-10"/>
          <w:w w:val="105"/>
        </w:rPr>
        <w:t> </w:t>
      </w:r>
      <w:r>
        <w:rPr>
          <w:color w:val="231F20"/>
          <w:w w:val="105"/>
        </w:rPr>
        <w:t>No</w:t>
      </w:r>
      <w:r>
        <w:rPr>
          <w:color w:val="231F20"/>
          <w:spacing w:val="-10"/>
          <w:w w:val="105"/>
        </w:rPr>
        <w:t> </w:t>
      </w:r>
      <w:r>
        <w:rPr>
          <w:color w:val="231F20"/>
          <w:w w:val="105"/>
        </w:rPr>
        <w:t>obstante,</w:t>
      </w:r>
      <w:r>
        <w:rPr>
          <w:color w:val="231F20"/>
          <w:spacing w:val="-10"/>
          <w:w w:val="105"/>
        </w:rPr>
        <w:t> </w:t>
      </w:r>
      <w:r>
        <w:rPr>
          <w:color w:val="231F20"/>
          <w:w w:val="105"/>
        </w:rPr>
        <w:t>el</w:t>
      </w:r>
      <w:r>
        <w:rPr>
          <w:color w:val="231F20"/>
          <w:spacing w:val="-10"/>
          <w:w w:val="105"/>
        </w:rPr>
        <w:t> </w:t>
      </w:r>
      <w:r>
        <w:rPr>
          <w:color w:val="231F20"/>
          <w:w w:val="105"/>
        </w:rPr>
        <w:t>papel</w:t>
      </w:r>
      <w:r>
        <w:rPr>
          <w:color w:val="231F20"/>
          <w:spacing w:val="-10"/>
          <w:w w:val="105"/>
        </w:rPr>
        <w:t> </w:t>
      </w:r>
      <w:r>
        <w:rPr>
          <w:color w:val="231F20"/>
          <w:w w:val="105"/>
        </w:rPr>
        <w:t>político</w:t>
      </w:r>
      <w:r>
        <w:rPr>
          <w:color w:val="231F20"/>
          <w:spacing w:val="-10"/>
          <w:w w:val="105"/>
        </w:rPr>
        <w:t> </w:t>
      </w:r>
      <w:r>
        <w:rPr>
          <w:color w:val="231F20"/>
          <w:w w:val="105"/>
        </w:rPr>
        <w:t>del</w:t>
      </w:r>
      <w:r>
        <w:rPr>
          <w:color w:val="231F20"/>
          <w:spacing w:val="-10"/>
          <w:w w:val="105"/>
        </w:rPr>
        <w:t> </w:t>
      </w:r>
      <w:r>
        <w:rPr>
          <w:color w:val="231F20"/>
          <w:spacing w:val="-3"/>
          <w:w w:val="105"/>
        </w:rPr>
        <w:t>gobierno</w:t>
      </w:r>
      <w:r>
        <w:rPr>
          <w:color w:val="231F20"/>
          <w:spacing w:val="-10"/>
          <w:w w:val="105"/>
        </w:rPr>
        <w:t> </w:t>
      </w:r>
      <w:r>
        <w:rPr>
          <w:color w:val="231F20"/>
          <w:w w:val="105"/>
        </w:rPr>
        <w:t>estatal</w:t>
      </w:r>
      <w:r>
        <w:rPr>
          <w:color w:val="231F20"/>
          <w:spacing w:val="-10"/>
          <w:w w:val="105"/>
        </w:rPr>
        <w:t> </w:t>
      </w:r>
      <w:r>
        <w:rPr>
          <w:color w:val="231F20"/>
          <w:w w:val="105"/>
        </w:rPr>
        <w:t>se</w:t>
      </w:r>
      <w:r>
        <w:rPr>
          <w:color w:val="231F20"/>
          <w:spacing w:val="-10"/>
          <w:w w:val="105"/>
        </w:rPr>
        <w:t> </w:t>
      </w:r>
      <w:r>
        <w:rPr>
          <w:color w:val="231F20"/>
          <w:w w:val="105"/>
        </w:rPr>
        <w:t>fortalece </w:t>
      </w:r>
      <w:r>
        <w:rPr>
          <w:color w:val="231F20"/>
          <w:spacing w:val="-3"/>
          <w:w w:val="105"/>
        </w:rPr>
        <w:t>debido</w:t>
      </w:r>
      <w:r>
        <w:rPr>
          <w:color w:val="231F20"/>
          <w:spacing w:val="-17"/>
          <w:w w:val="105"/>
        </w:rPr>
        <w:t> </w:t>
      </w:r>
      <w:r>
        <w:rPr>
          <w:color w:val="231F20"/>
          <w:w w:val="105"/>
        </w:rPr>
        <w:t>a</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principal</w:t>
      </w:r>
      <w:r>
        <w:rPr>
          <w:color w:val="231F20"/>
          <w:spacing w:val="-17"/>
          <w:w w:val="105"/>
        </w:rPr>
        <w:t> </w:t>
      </w:r>
      <w:r>
        <w:rPr>
          <w:color w:val="231F20"/>
          <w:w w:val="105"/>
        </w:rPr>
        <w:t>mediador</w:t>
      </w:r>
      <w:r>
        <w:rPr>
          <w:color w:val="231F20"/>
          <w:spacing w:val="-17"/>
          <w:w w:val="105"/>
        </w:rPr>
        <w:t> </w:t>
      </w:r>
      <w:r>
        <w:rPr>
          <w:color w:val="231F20"/>
          <w:w w:val="105"/>
        </w:rPr>
        <w:t>entre</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federación;</w:t>
      </w:r>
      <w:r>
        <w:rPr>
          <w:color w:val="231F20"/>
          <w:spacing w:val="-17"/>
          <w:w w:val="105"/>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encargado de</w:t>
      </w:r>
      <w:r>
        <w:rPr>
          <w:color w:val="231F20"/>
          <w:spacing w:val="-6"/>
          <w:w w:val="105"/>
        </w:rPr>
        <w:t> </w:t>
      </w:r>
      <w:r>
        <w:rPr>
          <w:color w:val="231F20"/>
          <w:w w:val="105"/>
        </w:rPr>
        <w:t>recibir</w:t>
      </w:r>
      <w:r>
        <w:rPr>
          <w:color w:val="231F20"/>
          <w:spacing w:val="-6"/>
          <w:w w:val="105"/>
        </w:rPr>
        <w:t> </w:t>
      </w:r>
      <w:r>
        <w:rPr>
          <w:color w:val="231F20"/>
          <w:w w:val="105"/>
        </w:rPr>
        <w:t>y</w:t>
      </w:r>
      <w:r>
        <w:rPr>
          <w:color w:val="231F20"/>
          <w:spacing w:val="-6"/>
          <w:w w:val="105"/>
        </w:rPr>
        <w:t> </w:t>
      </w:r>
      <w:r>
        <w:rPr>
          <w:color w:val="231F20"/>
          <w:w w:val="105"/>
        </w:rPr>
        <w:t>distribuir</w:t>
      </w:r>
      <w:r>
        <w:rPr>
          <w:color w:val="231F20"/>
          <w:spacing w:val="-6"/>
          <w:w w:val="105"/>
        </w:rPr>
        <w:t> </w:t>
      </w:r>
      <w:r>
        <w:rPr>
          <w:color w:val="231F20"/>
          <w:w w:val="105"/>
        </w:rPr>
        <w:t>las</w:t>
      </w:r>
      <w:r>
        <w:rPr>
          <w:color w:val="231F20"/>
          <w:spacing w:val="-6"/>
          <w:w w:val="105"/>
        </w:rPr>
        <w:t> </w:t>
      </w:r>
      <w:r>
        <w:rPr>
          <w:color w:val="231F20"/>
          <w:w w:val="105"/>
        </w:rPr>
        <w:t>participaciones</w:t>
      </w:r>
      <w:r>
        <w:rPr>
          <w:color w:val="231F20"/>
          <w:spacing w:val="-6"/>
          <w:w w:val="105"/>
        </w:rPr>
        <w:t> </w:t>
      </w:r>
      <w:r>
        <w:rPr>
          <w:color w:val="231F20"/>
          <w:w w:val="105"/>
        </w:rPr>
        <w:t>federales,</w:t>
      </w:r>
      <w:r>
        <w:rPr>
          <w:color w:val="231F20"/>
          <w:spacing w:val="-6"/>
          <w:w w:val="105"/>
        </w:rPr>
        <w:t> </w:t>
      </w:r>
      <w:r>
        <w:rPr>
          <w:color w:val="231F20"/>
          <w:w w:val="105"/>
        </w:rPr>
        <w:t>así</w:t>
      </w:r>
      <w:r>
        <w:rPr>
          <w:color w:val="231F20"/>
          <w:spacing w:val="-6"/>
          <w:w w:val="105"/>
        </w:rPr>
        <w:t> </w:t>
      </w:r>
      <w:r>
        <w:rPr>
          <w:color w:val="231F20"/>
          <w:spacing w:val="-3"/>
          <w:w w:val="105"/>
        </w:rPr>
        <w:t>como</w:t>
      </w:r>
      <w:r>
        <w:rPr>
          <w:color w:val="231F20"/>
          <w:spacing w:val="-6"/>
          <w:w w:val="105"/>
        </w:rPr>
        <w:t> </w:t>
      </w:r>
      <w:r>
        <w:rPr>
          <w:color w:val="231F20"/>
          <w:w w:val="105"/>
        </w:rPr>
        <w:t>de</w:t>
      </w:r>
      <w:r>
        <w:rPr>
          <w:color w:val="231F20"/>
          <w:spacing w:val="-6"/>
          <w:w w:val="105"/>
        </w:rPr>
        <w:t> </w:t>
      </w:r>
      <w:r>
        <w:rPr>
          <w:color w:val="231F20"/>
          <w:w w:val="105"/>
        </w:rPr>
        <w:t>imponer</w:t>
      </w:r>
      <w:r>
        <w:rPr>
          <w:color w:val="231F20"/>
          <w:spacing w:val="-6"/>
          <w:w w:val="105"/>
        </w:rPr>
        <w:t> </w:t>
      </w:r>
      <w:r>
        <w:rPr>
          <w:color w:val="231F20"/>
          <w:w w:val="105"/>
        </w:rPr>
        <w:t>los</w:t>
      </w:r>
      <w:r>
        <w:rPr>
          <w:color w:val="231F20"/>
          <w:spacing w:val="-6"/>
          <w:w w:val="105"/>
        </w:rPr>
        <w:t> </w:t>
      </w:r>
      <w:r>
        <w:rPr>
          <w:color w:val="231F20"/>
          <w:w w:val="105"/>
        </w:rPr>
        <w:t>criterios</w:t>
      </w:r>
      <w:r>
        <w:rPr>
          <w:color w:val="231F20"/>
          <w:spacing w:val="-6"/>
          <w:w w:val="105"/>
        </w:rPr>
        <w:t> </w:t>
      </w:r>
      <w:r>
        <w:rPr>
          <w:color w:val="231F20"/>
          <w:w w:val="105"/>
        </w:rPr>
        <w:t>y coordinar</w:t>
      </w:r>
      <w:r>
        <w:rPr>
          <w:color w:val="231F20"/>
          <w:spacing w:val="-26"/>
          <w:w w:val="105"/>
        </w:rPr>
        <w:t> </w:t>
      </w:r>
      <w:r>
        <w:rPr>
          <w:color w:val="231F20"/>
          <w:w w:val="105"/>
        </w:rPr>
        <w:t>los</w:t>
      </w:r>
      <w:r>
        <w:rPr>
          <w:color w:val="231F20"/>
          <w:spacing w:val="-26"/>
          <w:w w:val="105"/>
        </w:rPr>
        <w:t> </w:t>
      </w:r>
      <w:r>
        <w:rPr>
          <w:color w:val="231F20"/>
          <w:w w:val="105"/>
        </w:rPr>
        <w:t>programas</w:t>
      </w:r>
      <w:r>
        <w:rPr>
          <w:color w:val="231F20"/>
          <w:spacing w:val="-26"/>
          <w:w w:val="105"/>
        </w:rPr>
        <w:t> </w:t>
      </w:r>
      <w:r>
        <w:rPr>
          <w:color w:val="231F20"/>
          <w:w w:val="105"/>
        </w:rPr>
        <w:t>del</w:t>
      </w:r>
      <w:r>
        <w:rPr>
          <w:color w:val="231F20"/>
          <w:spacing w:val="-26"/>
          <w:w w:val="105"/>
        </w:rPr>
        <w:t> </w:t>
      </w:r>
      <w:r>
        <w:rPr>
          <w:color w:val="231F20"/>
          <w:w w:val="105"/>
        </w:rPr>
        <w:t>desarrollo</w:t>
      </w:r>
      <w:r>
        <w:rPr>
          <w:color w:val="231F20"/>
          <w:spacing w:val="-26"/>
          <w:w w:val="105"/>
        </w:rPr>
        <w:t> </w:t>
      </w:r>
      <w:r>
        <w:rPr>
          <w:color w:val="231F20"/>
          <w:w w:val="105"/>
        </w:rPr>
        <w:t>municipal</w:t>
      </w:r>
      <w:r>
        <w:rPr>
          <w:color w:val="231F20"/>
          <w:spacing w:val="-26"/>
          <w:w w:val="105"/>
        </w:rPr>
        <w:t> </w:t>
      </w:r>
      <w:r>
        <w:rPr>
          <w:color w:val="231F20"/>
          <w:w w:val="105"/>
        </w:rPr>
        <w:t>establecidos</w:t>
      </w:r>
      <w:r>
        <w:rPr>
          <w:color w:val="231F20"/>
          <w:spacing w:val="-26"/>
          <w:w w:val="105"/>
        </w:rPr>
        <w:t> </w:t>
      </w:r>
      <w:r>
        <w:rPr>
          <w:color w:val="231F20"/>
          <w:w w:val="105"/>
        </w:rPr>
        <w:t>entre</w:t>
      </w:r>
      <w:r>
        <w:rPr>
          <w:color w:val="231F20"/>
          <w:spacing w:val="-26"/>
          <w:w w:val="105"/>
        </w:rPr>
        <w:t> </w:t>
      </w:r>
      <w:r>
        <w:rPr>
          <w:color w:val="231F20"/>
          <w:w w:val="105"/>
        </w:rPr>
        <w:t>el</w:t>
      </w:r>
      <w:r>
        <w:rPr>
          <w:color w:val="231F20"/>
          <w:spacing w:val="-26"/>
          <w:w w:val="105"/>
        </w:rPr>
        <w:t> </w:t>
      </w:r>
      <w:r>
        <w:rPr>
          <w:color w:val="231F20"/>
          <w:w w:val="105"/>
        </w:rPr>
        <w:t>Sistema</w:t>
      </w:r>
      <w:r>
        <w:rPr>
          <w:color w:val="231F20"/>
          <w:spacing w:val="-26"/>
          <w:w w:val="105"/>
        </w:rPr>
        <w:t> </w:t>
      </w:r>
      <w:r>
        <w:rPr>
          <w:color w:val="231F20"/>
          <w:w w:val="105"/>
        </w:rPr>
        <w:t>Nacional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rPr>
        <w:t>de Planeación y el Sistema de Planeación del Estado de México y Municipios.</w:t>
      </w:r>
    </w:p>
    <w:p>
      <w:pPr>
        <w:pStyle w:val="BodyText"/>
        <w:spacing w:before="2"/>
        <w:rPr>
          <w:sz w:val="30"/>
        </w:rPr>
      </w:pPr>
    </w:p>
    <w:p>
      <w:pPr>
        <w:pStyle w:val="BodyText"/>
        <w:spacing w:line="285" w:lineRule="auto"/>
        <w:ind w:left="110" w:right="108"/>
        <w:jc w:val="both"/>
      </w:pPr>
      <w:r>
        <w:rPr>
          <w:color w:val="231F20"/>
          <w:w w:val="105"/>
        </w:rPr>
        <w:t>Finalmente, las finanzas del municipio están comprometidas en particular por el peso del gasto corriente y la deuda pública. A pesar de la tendencia decreciente de su flexi- bilidad financiera, el gobierno huixquiluquense no ha dejado de incrementar el gasto en dichos rubros, permitiendo inferir que mantiene políticas discrecionales sobre las finanzas municipales.</w:t>
      </w:r>
    </w:p>
    <w:p>
      <w:pPr>
        <w:pStyle w:val="BodyText"/>
        <w:spacing w:before="1"/>
        <w:rPr>
          <w:sz w:val="26"/>
        </w:rPr>
      </w:pPr>
    </w:p>
    <w:p>
      <w:pPr>
        <w:pStyle w:val="BodyText"/>
        <w:spacing w:line="285" w:lineRule="auto"/>
        <w:ind w:left="110" w:right="108"/>
        <w:jc w:val="both"/>
      </w:pPr>
      <w:r>
        <w:rPr>
          <w:color w:val="231F20"/>
          <w:w w:val="105"/>
        </w:rPr>
        <w:t>El marco institucional que define la integración y la toma de decisiones en el ayunta- miento</w:t>
      </w:r>
      <w:r>
        <w:rPr>
          <w:color w:val="231F20"/>
          <w:spacing w:val="-8"/>
          <w:w w:val="105"/>
        </w:rPr>
        <w:t> </w:t>
      </w:r>
      <w:r>
        <w:rPr>
          <w:color w:val="231F20"/>
          <w:w w:val="105"/>
        </w:rPr>
        <w:t>puede</w:t>
      </w:r>
      <w:r>
        <w:rPr>
          <w:color w:val="231F20"/>
          <w:spacing w:val="-8"/>
          <w:w w:val="105"/>
        </w:rPr>
        <w:t> </w:t>
      </w:r>
      <w:r>
        <w:rPr>
          <w:color w:val="231F20"/>
          <w:w w:val="105"/>
        </w:rPr>
        <w:t>ofrecer</w:t>
      </w:r>
      <w:r>
        <w:rPr>
          <w:color w:val="231F20"/>
          <w:spacing w:val="-8"/>
          <w:w w:val="105"/>
        </w:rPr>
        <w:t> </w:t>
      </w:r>
      <w:r>
        <w:rPr>
          <w:color w:val="231F20"/>
          <w:w w:val="105"/>
        </w:rPr>
        <w:t>indicios</w:t>
      </w:r>
      <w:r>
        <w:rPr>
          <w:color w:val="231F20"/>
          <w:spacing w:val="-8"/>
          <w:w w:val="105"/>
        </w:rPr>
        <w:t> </w:t>
      </w:r>
      <w:r>
        <w:rPr>
          <w:color w:val="231F20"/>
          <w:w w:val="105"/>
        </w:rPr>
        <w:t>sobre</w:t>
      </w:r>
      <w:r>
        <w:rPr>
          <w:color w:val="231F20"/>
          <w:spacing w:val="-8"/>
          <w:w w:val="105"/>
        </w:rPr>
        <w:t> </w:t>
      </w:r>
      <w:r>
        <w:rPr>
          <w:color w:val="231F20"/>
          <w:w w:val="105"/>
        </w:rPr>
        <w:t>los</w:t>
      </w:r>
      <w:r>
        <w:rPr>
          <w:color w:val="231F20"/>
          <w:spacing w:val="-8"/>
          <w:w w:val="105"/>
        </w:rPr>
        <w:t> </w:t>
      </w:r>
      <w:r>
        <w:rPr>
          <w:color w:val="231F20"/>
          <w:w w:val="105"/>
        </w:rPr>
        <w:t>incentivos</w:t>
      </w:r>
      <w:r>
        <w:rPr>
          <w:color w:val="231F20"/>
          <w:spacing w:val="-8"/>
          <w:w w:val="105"/>
        </w:rPr>
        <w:t> </w:t>
      </w:r>
      <w:r>
        <w:rPr>
          <w:color w:val="231F20"/>
          <w:w w:val="105"/>
        </w:rPr>
        <w:t>que</w:t>
      </w:r>
      <w:r>
        <w:rPr>
          <w:color w:val="231F20"/>
          <w:spacing w:val="-8"/>
          <w:w w:val="105"/>
        </w:rPr>
        <w:t> </w:t>
      </w:r>
      <w:r>
        <w:rPr>
          <w:color w:val="231F20"/>
          <w:w w:val="105"/>
        </w:rPr>
        <w:t>permiten</w:t>
      </w:r>
      <w:r>
        <w:rPr>
          <w:color w:val="231F20"/>
          <w:spacing w:val="-8"/>
          <w:w w:val="105"/>
        </w:rPr>
        <w:t> </w:t>
      </w:r>
      <w:r>
        <w:rPr>
          <w:color w:val="231F20"/>
          <w:w w:val="105"/>
        </w:rPr>
        <w:t>la</w:t>
      </w:r>
      <w:r>
        <w:rPr>
          <w:color w:val="231F20"/>
          <w:spacing w:val="-8"/>
          <w:w w:val="105"/>
        </w:rPr>
        <w:t> </w:t>
      </w:r>
      <w:r>
        <w:rPr>
          <w:color w:val="231F20"/>
          <w:w w:val="105"/>
        </w:rPr>
        <w:t>discrecionalidad</w:t>
      </w:r>
      <w:r>
        <w:rPr>
          <w:color w:val="231F20"/>
          <w:spacing w:val="-8"/>
          <w:w w:val="105"/>
        </w:rPr>
        <w:t> </w:t>
      </w:r>
      <w:r>
        <w:rPr>
          <w:color w:val="231F20"/>
          <w:w w:val="105"/>
        </w:rPr>
        <w:t>en el</w:t>
      </w:r>
      <w:r>
        <w:rPr>
          <w:color w:val="231F20"/>
          <w:spacing w:val="-20"/>
          <w:w w:val="105"/>
        </w:rPr>
        <w:t> </w:t>
      </w:r>
      <w:r>
        <w:rPr>
          <w:color w:val="231F20"/>
          <w:w w:val="105"/>
        </w:rPr>
        <w:t>manejo</w:t>
      </w:r>
      <w:r>
        <w:rPr>
          <w:color w:val="231F20"/>
          <w:spacing w:val="-20"/>
          <w:w w:val="105"/>
        </w:rPr>
        <w:t> </w:t>
      </w:r>
      <w:r>
        <w:rPr>
          <w:color w:val="231F20"/>
          <w:w w:val="105"/>
        </w:rPr>
        <w:t>del</w:t>
      </w:r>
      <w:r>
        <w:rPr>
          <w:color w:val="231F20"/>
          <w:spacing w:val="-20"/>
          <w:w w:val="105"/>
        </w:rPr>
        <w:t> </w:t>
      </w:r>
      <w:r>
        <w:rPr>
          <w:color w:val="231F20"/>
          <w:w w:val="105"/>
        </w:rPr>
        <w:t>gobierno</w:t>
      </w:r>
      <w:r>
        <w:rPr>
          <w:color w:val="231F20"/>
          <w:spacing w:val="-20"/>
          <w:w w:val="105"/>
        </w:rPr>
        <w:t> </w:t>
      </w:r>
      <w:r>
        <w:rPr>
          <w:color w:val="231F20"/>
          <w:w w:val="105"/>
        </w:rPr>
        <w:t>huixquiluquense.</w:t>
      </w:r>
    </w:p>
    <w:p>
      <w:pPr>
        <w:pStyle w:val="BodyText"/>
        <w:spacing w:before="10"/>
      </w:pPr>
    </w:p>
    <w:p>
      <w:pPr>
        <w:pStyle w:val="Heading3"/>
        <w:numPr>
          <w:ilvl w:val="1"/>
          <w:numId w:val="2"/>
        </w:numPr>
        <w:tabs>
          <w:tab w:pos="649" w:val="left" w:leader="none"/>
        </w:tabs>
        <w:spacing w:line="240" w:lineRule="auto" w:before="0" w:after="0"/>
        <w:ind w:left="110" w:right="349" w:firstLine="0"/>
        <w:jc w:val="left"/>
      </w:pPr>
      <w:r>
        <w:rPr>
          <w:color w:val="231F20"/>
          <w:w w:val="105"/>
        </w:rPr>
        <w:t>Marco para la integración </w:t>
      </w:r>
      <w:r>
        <w:rPr>
          <w:color w:val="231F20"/>
          <w:spacing w:val="-3"/>
          <w:w w:val="105"/>
        </w:rPr>
        <w:t>del </w:t>
      </w:r>
      <w:r>
        <w:rPr>
          <w:color w:val="231F20"/>
          <w:w w:val="105"/>
        </w:rPr>
        <w:t>Ayuntamiento y de la </w:t>
      </w:r>
      <w:r>
        <w:rPr>
          <w:color w:val="231F20"/>
          <w:spacing w:val="-3"/>
          <w:w w:val="105"/>
        </w:rPr>
        <w:t>APM </w:t>
      </w:r>
      <w:r>
        <w:rPr>
          <w:color w:val="231F20"/>
          <w:w w:val="105"/>
        </w:rPr>
        <w:t>huixquiluquense.</w:t>
      </w:r>
      <w:r>
        <w:rPr>
          <w:color w:val="231F20"/>
          <w:spacing w:val="-22"/>
          <w:w w:val="105"/>
        </w:rPr>
        <w:t> </w:t>
      </w:r>
      <w:r>
        <w:rPr>
          <w:color w:val="231F20"/>
          <w:w w:val="105"/>
        </w:rPr>
        <w:t>Incentivos</w:t>
      </w:r>
      <w:r>
        <w:rPr>
          <w:color w:val="231F20"/>
          <w:spacing w:val="-22"/>
          <w:w w:val="105"/>
        </w:rPr>
        <w:t> </w:t>
      </w:r>
      <w:r>
        <w:rPr>
          <w:color w:val="231F20"/>
          <w:w w:val="105"/>
        </w:rPr>
        <w:t>para</w:t>
      </w:r>
      <w:r>
        <w:rPr>
          <w:color w:val="231F20"/>
          <w:spacing w:val="-22"/>
          <w:w w:val="105"/>
        </w:rPr>
        <w:t> </w:t>
      </w:r>
      <w:r>
        <w:rPr>
          <w:color w:val="231F20"/>
          <w:w w:val="105"/>
        </w:rPr>
        <w:t>la</w:t>
      </w:r>
      <w:r>
        <w:rPr>
          <w:color w:val="231F20"/>
          <w:spacing w:val="-22"/>
          <w:w w:val="105"/>
        </w:rPr>
        <w:t> </w:t>
      </w:r>
      <w:r>
        <w:rPr>
          <w:color w:val="231F20"/>
          <w:w w:val="105"/>
        </w:rPr>
        <w:t>centralización</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decisiones </w:t>
      </w:r>
      <w:r>
        <w:rPr>
          <w:color w:val="231F20"/>
          <w:spacing w:val="-3"/>
          <w:w w:val="105"/>
        </w:rPr>
        <w:t>del gobierno</w:t>
      </w:r>
      <w:r>
        <w:rPr>
          <w:color w:val="231F20"/>
          <w:spacing w:val="-23"/>
          <w:w w:val="105"/>
        </w:rPr>
        <w:t> </w:t>
      </w:r>
      <w:r>
        <w:rPr>
          <w:color w:val="231F20"/>
          <w:w w:val="105"/>
        </w:rPr>
        <w:t>municipal.</w:t>
      </w:r>
    </w:p>
    <w:p>
      <w:pPr>
        <w:pStyle w:val="BodyText"/>
        <w:spacing w:line="285" w:lineRule="auto" w:before="38"/>
        <w:ind w:left="110" w:right="108"/>
        <w:jc w:val="both"/>
      </w:pPr>
      <w:r>
        <w:rPr>
          <w:color w:val="231F20"/>
          <w:w w:val="105"/>
        </w:rPr>
        <w:t>La estructuración de los municipios del Estado de México está definida por varios or- </w:t>
      </w:r>
      <w:r>
        <w:rPr>
          <w:color w:val="231F20"/>
        </w:rPr>
        <w:t>denamientos legales:</w:t>
      </w:r>
    </w:p>
    <w:p>
      <w:pPr>
        <w:pStyle w:val="BodyText"/>
        <w:spacing w:before="1"/>
        <w:ind w:left="507" w:right="574"/>
      </w:pPr>
      <w:r>
        <w:rPr>
          <w:color w:val="231F20"/>
        </w:rPr>
        <w:t>la Constitución Política de los Estados Unidos </w:t>
      </w:r>
      <w:r>
        <w:rPr>
          <w:color w:val="231F20"/>
          <w:spacing w:val="52"/>
        </w:rPr>
        <w:t> </w:t>
      </w:r>
      <w:r>
        <w:rPr>
          <w:color w:val="231F20"/>
        </w:rPr>
        <w:t>Mexicanos;</w:t>
      </w:r>
    </w:p>
    <w:p>
      <w:pPr>
        <w:pStyle w:val="BodyText"/>
        <w:spacing w:line="285" w:lineRule="auto" w:before="47"/>
        <w:ind w:left="507" w:right="1712"/>
      </w:pPr>
      <w:r>
        <w:rPr>
          <w:color w:val="231F20"/>
          <w:w w:val="105"/>
        </w:rPr>
        <w:t>La</w:t>
      </w:r>
      <w:r>
        <w:rPr>
          <w:color w:val="231F20"/>
          <w:spacing w:val="-22"/>
          <w:w w:val="105"/>
        </w:rPr>
        <w:t> </w:t>
      </w:r>
      <w:r>
        <w:rPr>
          <w:color w:val="231F20"/>
          <w:w w:val="105"/>
        </w:rPr>
        <w:t>Constitución</w:t>
      </w:r>
      <w:r>
        <w:rPr>
          <w:color w:val="231F20"/>
          <w:spacing w:val="-22"/>
          <w:w w:val="105"/>
        </w:rPr>
        <w:t> </w:t>
      </w:r>
      <w:r>
        <w:rPr>
          <w:color w:val="231F20"/>
          <w:w w:val="105"/>
        </w:rPr>
        <w:t>Política</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Libre</w:t>
      </w:r>
      <w:r>
        <w:rPr>
          <w:color w:val="231F20"/>
          <w:spacing w:val="-22"/>
          <w:w w:val="105"/>
        </w:rPr>
        <w:t> </w:t>
      </w:r>
      <w:r>
        <w:rPr>
          <w:color w:val="231F20"/>
          <w:w w:val="105"/>
        </w:rPr>
        <w:t>y</w:t>
      </w:r>
      <w:r>
        <w:rPr>
          <w:color w:val="231F20"/>
          <w:spacing w:val="-22"/>
          <w:w w:val="105"/>
        </w:rPr>
        <w:t> </w:t>
      </w:r>
      <w:r>
        <w:rPr>
          <w:color w:val="231F20"/>
          <w:w w:val="105"/>
        </w:rPr>
        <w:t>Soberano</w:t>
      </w:r>
      <w:r>
        <w:rPr>
          <w:color w:val="231F20"/>
          <w:spacing w:val="-22"/>
          <w:w w:val="105"/>
        </w:rPr>
        <w:t> </w:t>
      </w:r>
      <w:r>
        <w:rPr>
          <w:color w:val="231F20"/>
          <w:w w:val="105"/>
        </w:rPr>
        <w:t>de</w:t>
      </w:r>
      <w:r>
        <w:rPr>
          <w:color w:val="231F20"/>
          <w:spacing w:val="-22"/>
          <w:w w:val="105"/>
        </w:rPr>
        <w:t> </w:t>
      </w:r>
      <w:r>
        <w:rPr>
          <w:color w:val="231F20"/>
          <w:w w:val="105"/>
        </w:rPr>
        <w:t>México; La</w:t>
      </w:r>
      <w:r>
        <w:rPr>
          <w:color w:val="231F20"/>
          <w:spacing w:val="-25"/>
          <w:w w:val="105"/>
        </w:rPr>
        <w:t> </w:t>
      </w:r>
      <w:r>
        <w:rPr>
          <w:color w:val="231F20"/>
          <w:w w:val="105"/>
        </w:rPr>
        <w:t>Ley</w:t>
      </w:r>
      <w:r>
        <w:rPr>
          <w:color w:val="231F20"/>
          <w:spacing w:val="-25"/>
          <w:w w:val="105"/>
        </w:rPr>
        <w:t> </w:t>
      </w:r>
      <w:r>
        <w:rPr>
          <w:color w:val="231F20"/>
          <w:w w:val="105"/>
        </w:rPr>
        <w:t>Orgánica</w:t>
      </w:r>
      <w:r>
        <w:rPr>
          <w:color w:val="231F20"/>
          <w:spacing w:val="-25"/>
          <w:w w:val="105"/>
        </w:rPr>
        <w:t> </w:t>
      </w:r>
      <w:r>
        <w:rPr>
          <w:color w:val="231F20"/>
          <w:w w:val="105"/>
        </w:rPr>
        <w:t>Municipal</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México;</w:t>
      </w:r>
    </w:p>
    <w:p>
      <w:pPr>
        <w:pStyle w:val="BodyText"/>
        <w:spacing w:line="285" w:lineRule="auto" w:before="1"/>
        <w:ind w:left="507" w:right="3730"/>
      </w:pPr>
      <w:r>
        <w:rPr>
          <w:color w:val="231F20"/>
        </w:rPr>
        <w:t>El Bando Municipal y de Buen Gobierno; y El Código Electoral del Estado de México.</w:t>
      </w:r>
    </w:p>
    <w:p>
      <w:pPr>
        <w:pStyle w:val="BodyText"/>
        <w:spacing w:before="1"/>
        <w:rPr>
          <w:sz w:val="26"/>
        </w:rPr>
      </w:pPr>
    </w:p>
    <w:p>
      <w:pPr>
        <w:pStyle w:val="BodyText"/>
        <w:spacing w:line="285" w:lineRule="auto"/>
        <w:ind w:left="110" w:right="107"/>
        <w:jc w:val="both"/>
      </w:pPr>
      <w:r>
        <w:rPr>
          <w:color w:val="231F20"/>
          <w:w w:val="105"/>
        </w:rPr>
        <w:t>Los</w:t>
      </w:r>
      <w:r>
        <w:rPr>
          <w:color w:val="231F20"/>
          <w:spacing w:val="-12"/>
          <w:w w:val="105"/>
        </w:rPr>
        <w:t> </w:t>
      </w:r>
      <w:r>
        <w:rPr>
          <w:color w:val="231F20"/>
          <w:w w:val="105"/>
        </w:rPr>
        <w:t>primeros</w:t>
      </w:r>
      <w:r>
        <w:rPr>
          <w:color w:val="231F20"/>
          <w:spacing w:val="-12"/>
          <w:w w:val="105"/>
        </w:rPr>
        <w:t> </w:t>
      </w:r>
      <w:r>
        <w:rPr>
          <w:color w:val="231F20"/>
          <w:w w:val="105"/>
        </w:rPr>
        <w:t>cuatro</w:t>
      </w:r>
      <w:r>
        <w:rPr>
          <w:color w:val="231F20"/>
          <w:spacing w:val="-12"/>
          <w:w w:val="105"/>
        </w:rPr>
        <w:t> </w:t>
      </w:r>
      <w:r>
        <w:rPr>
          <w:color w:val="231F20"/>
          <w:w w:val="105"/>
        </w:rPr>
        <w:t>definen</w:t>
      </w:r>
      <w:r>
        <w:rPr>
          <w:color w:val="231F20"/>
          <w:spacing w:val="-12"/>
          <w:w w:val="105"/>
        </w:rPr>
        <w:t> </w:t>
      </w:r>
      <w:r>
        <w:rPr>
          <w:color w:val="231F20"/>
          <w:w w:val="105"/>
        </w:rPr>
        <w:t>los</w:t>
      </w:r>
      <w:r>
        <w:rPr>
          <w:color w:val="231F20"/>
          <w:spacing w:val="-12"/>
          <w:w w:val="105"/>
        </w:rPr>
        <w:t> </w:t>
      </w:r>
      <w:r>
        <w:rPr>
          <w:color w:val="231F20"/>
          <w:w w:val="105"/>
        </w:rPr>
        <w:t>órganos</w:t>
      </w:r>
      <w:r>
        <w:rPr>
          <w:color w:val="231F20"/>
          <w:spacing w:val="-12"/>
          <w:w w:val="105"/>
        </w:rPr>
        <w:t> </w:t>
      </w:r>
      <w:r>
        <w:rPr>
          <w:color w:val="231F20"/>
          <w:w w:val="105"/>
        </w:rPr>
        <w:t>y</w:t>
      </w:r>
      <w:r>
        <w:rPr>
          <w:color w:val="231F20"/>
          <w:spacing w:val="-12"/>
          <w:w w:val="105"/>
        </w:rPr>
        <w:t> </w:t>
      </w:r>
      <w:r>
        <w:rPr>
          <w:color w:val="231F20"/>
          <w:w w:val="105"/>
        </w:rPr>
        <w:t>atribuciones</w:t>
      </w:r>
      <w:r>
        <w:rPr>
          <w:color w:val="231F20"/>
          <w:spacing w:val="-12"/>
          <w:w w:val="105"/>
        </w:rPr>
        <w:t> </w:t>
      </w:r>
      <w:r>
        <w:rPr>
          <w:color w:val="231F20"/>
          <w:w w:val="105"/>
        </w:rPr>
        <w:t>del</w:t>
      </w:r>
      <w:r>
        <w:rPr>
          <w:color w:val="231F20"/>
          <w:spacing w:val="-12"/>
          <w:w w:val="105"/>
        </w:rPr>
        <w:t> </w:t>
      </w:r>
      <w:r>
        <w:rPr>
          <w:color w:val="231F20"/>
          <w:w w:val="105"/>
        </w:rPr>
        <w:t>ayuntamiento</w:t>
      </w:r>
      <w:r>
        <w:rPr>
          <w:color w:val="231F20"/>
          <w:spacing w:val="-12"/>
          <w:w w:val="105"/>
        </w:rPr>
        <w:t> </w:t>
      </w:r>
      <w:r>
        <w:rPr>
          <w:color w:val="231F20"/>
          <w:w w:val="105"/>
        </w:rPr>
        <w:t>y</w:t>
      </w:r>
      <w:r>
        <w:rPr>
          <w:color w:val="231F20"/>
          <w:spacing w:val="-12"/>
          <w:w w:val="105"/>
        </w:rPr>
        <w:t> </w:t>
      </w:r>
      <w:r>
        <w:rPr>
          <w:color w:val="231F20"/>
          <w:w w:val="105"/>
        </w:rPr>
        <w:t>su</w:t>
      </w:r>
      <w:r>
        <w:rPr>
          <w:color w:val="231F20"/>
          <w:spacing w:val="-12"/>
          <w:w w:val="105"/>
        </w:rPr>
        <w:t> </w:t>
      </w:r>
      <w:r>
        <w:rPr>
          <w:color w:val="231F20"/>
          <w:w w:val="105"/>
        </w:rPr>
        <w:t>estructu- ra</w:t>
      </w:r>
      <w:r>
        <w:rPr>
          <w:color w:val="231F20"/>
          <w:spacing w:val="-17"/>
          <w:w w:val="105"/>
        </w:rPr>
        <w:t> </w:t>
      </w:r>
      <w:r>
        <w:rPr>
          <w:color w:val="231F20"/>
          <w:w w:val="105"/>
        </w:rPr>
        <w:t>administrativa,</w:t>
      </w:r>
      <w:r>
        <w:rPr>
          <w:color w:val="231F20"/>
          <w:spacing w:val="-17"/>
          <w:w w:val="105"/>
        </w:rPr>
        <w:t> </w:t>
      </w:r>
      <w:r>
        <w:rPr>
          <w:color w:val="231F20"/>
          <w:w w:val="105"/>
        </w:rPr>
        <w:t>mientras</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Código</w:t>
      </w:r>
      <w:r>
        <w:rPr>
          <w:color w:val="231F20"/>
          <w:spacing w:val="-17"/>
          <w:w w:val="105"/>
        </w:rPr>
        <w:t> </w:t>
      </w:r>
      <w:r>
        <w:rPr>
          <w:color w:val="231F20"/>
          <w:w w:val="105"/>
        </w:rPr>
        <w:t>Electoral</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además,</w:t>
      </w:r>
      <w:r>
        <w:rPr>
          <w:color w:val="231F20"/>
          <w:spacing w:val="-17"/>
          <w:w w:val="105"/>
        </w:rPr>
        <w:t> </w:t>
      </w:r>
      <w:r>
        <w:rPr>
          <w:color w:val="231F20"/>
          <w:w w:val="105"/>
        </w:rPr>
        <w:t>es</w:t>
      </w:r>
      <w:r>
        <w:rPr>
          <w:color w:val="231F20"/>
          <w:spacing w:val="-17"/>
          <w:w w:val="105"/>
        </w:rPr>
        <w:t> </w:t>
      </w:r>
      <w:r>
        <w:rPr>
          <w:color w:val="231F20"/>
          <w:w w:val="105"/>
        </w:rPr>
        <w:t>el marco institucional que establece la forma en que se integrarán y distribuirán los car- gos</w:t>
      </w:r>
      <w:r>
        <w:rPr>
          <w:color w:val="231F20"/>
          <w:spacing w:val="-7"/>
          <w:w w:val="105"/>
        </w:rPr>
        <w:t> </w:t>
      </w:r>
      <w:r>
        <w:rPr>
          <w:color w:val="231F20"/>
          <w:w w:val="105"/>
        </w:rPr>
        <w:t>de</w:t>
      </w:r>
      <w:r>
        <w:rPr>
          <w:color w:val="231F20"/>
          <w:spacing w:val="-7"/>
          <w:w w:val="105"/>
        </w:rPr>
        <w:t> </w:t>
      </w:r>
      <w:r>
        <w:rPr>
          <w:color w:val="231F20"/>
          <w:w w:val="105"/>
        </w:rPr>
        <w:t>elección</w:t>
      </w:r>
      <w:r>
        <w:rPr>
          <w:color w:val="231F20"/>
          <w:spacing w:val="-7"/>
          <w:w w:val="105"/>
        </w:rPr>
        <w:t> </w:t>
      </w:r>
      <w:r>
        <w:rPr>
          <w:color w:val="231F20"/>
          <w:w w:val="105"/>
        </w:rPr>
        <w:t>pública</w:t>
      </w:r>
      <w:r>
        <w:rPr>
          <w:color w:val="231F20"/>
          <w:spacing w:val="-7"/>
          <w:w w:val="105"/>
        </w:rPr>
        <w:t> </w:t>
      </w:r>
      <w:r>
        <w:rPr>
          <w:color w:val="231F20"/>
          <w:spacing w:val="2"/>
          <w:w w:val="105"/>
        </w:rPr>
        <w:t>al</w:t>
      </w:r>
      <w:r>
        <w:rPr>
          <w:color w:val="231F20"/>
          <w:spacing w:val="-7"/>
          <w:w w:val="105"/>
        </w:rPr>
        <w:t> </w:t>
      </w:r>
      <w:r>
        <w:rPr>
          <w:color w:val="231F20"/>
          <w:w w:val="105"/>
        </w:rPr>
        <w:t>interior</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gobiernos</w:t>
      </w:r>
      <w:r>
        <w:rPr>
          <w:color w:val="231F20"/>
          <w:spacing w:val="-7"/>
          <w:w w:val="105"/>
        </w:rPr>
        <w:t> </w:t>
      </w:r>
      <w:r>
        <w:rPr>
          <w:color w:val="231F20"/>
          <w:w w:val="105"/>
        </w:rPr>
        <w:t>municipales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entidad,</w:t>
      </w:r>
      <w:r>
        <w:rPr>
          <w:color w:val="231F20"/>
          <w:spacing w:val="-7"/>
          <w:w w:val="105"/>
        </w:rPr>
        <w:t> </w:t>
      </w:r>
      <w:r>
        <w:rPr>
          <w:color w:val="231F20"/>
          <w:w w:val="105"/>
        </w:rPr>
        <w:t>es</w:t>
      </w:r>
      <w:r>
        <w:rPr>
          <w:color w:val="231F20"/>
          <w:spacing w:val="-7"/>
          <w:w w:val="105"/>
        </w:rPr>
        <w:t> </w:t>
      </w:r>
      <w:r>
        <w:rPr>
          <w:color w:val="231F20"/>
          <w:w w:val="105"/>
        </w:rPr>
        <w:t>decir, “transforma”</w:t>
      </w:r>
      <w:r>
        <w:rPr>
          <w:color w:val="231F20"/>
          <w:spacing w:val="-15"/>
          <w:w w:val="105"/>
        </w:rPr>
        <w:t> </w:t>
      </w:r>
      <w:r>
        <w:rPr>
          <w:color w:val="231F20"/>
          <w:w w:val="105"/>
        </w:rPr>
        <w:t>los</w:t>
      </w:r>
      <w:r>
        <w:rPr>
          <w:color w:val="231F20"/>
          <w:spacing w:val="-15"/>
          <w:w w:val="105"/>
        </w:rPr>
        <w:t> </w:t>
      </w:r>
      <w:r>
        <w:rPr>
          <w:color w:val="231F20"/>
          <w:w w:val="105"/>
        </w:rPr>
        <w:t>votos</w:t>
      </w:r>
      <w:r>
        <w:rPr>
          <w:color w:val="231F20"/>
          <w:spacing w:val="-15"/>
          <w:w w:val="105"/>
        </w:rPr>
        <w:t> </w:t>
      </w:r>
      <w:r>
        <w:rPr>
          <w:color w:val="231F20"/>
          <w:w w:val="105"/>
        </w:rPr>
        <w:t>en</w:t>
      </w:r>
      <w:r>
        <w:rPr>
          <w:color w:val="231F20"/>
          <w:spacing w:val="-15"/>
          <w:w w:val="105"/>
        </w:rPr>
        <w:t> </w:t>
      </w:r>
      <w:r>
        <w:rPr>
          <w:color w:val="231F20"/>
          <w:w w:val="105"/>
        </w:rPr>
        <w:t>escaños</w:t>
      </w:r>
      <w:r>
        <w:rPr>
          <w:color w:val="231F20"/>
          <w:spacing w:val="-15"/>
          <w:w w:val="105"/>
        </w:rPr>
        <w:t> </w:t>
      </w:r>
      <w:r>
        <w:rPr>
          <w:color w:val="231F20"/>
          <w:w w:val="105"/>
        </w:rPr>
        <w:t>dentro</w:t>
      </w:r>
      <w:r>
        <w:rPr>
          <w:color w:val="231F20"/>
          <w:spacing w:val="-15"/>
          <w:w w:val="105"/>
        </w:rPr>
        <w:t> </w:t>
      </w:r>
      <w:r>
        <w:rPr>
          <w:color w:val="231F20"/>
          <w:w w:val="105"/>
        </w:rPr>
        <w:t>del</w:t>
      </w:r>
      <w:r>
        <w:rPr>
          <w:color w:val="231F20"/>
          <w:spacing w:val="-15"/>
          <w:w w:val="105"/>
        </w:rPr>
        <w:t> </w:t>
      </w:r>
      <w:r>
        <w:rPr>
          <w:color w:val="231F20"/>
          <w:w w:val="105"/>
        </w:rPr>
        <w:t>ayuntamiento.</w:t>
      </w:r>
    </w:p>
    <w:p>
      <w:pPr>
        <w:pStyle w:val="BodyText"/>
        <w:spacing w:before="1"/>
        <w:rPr>
          <w:sz w:val="26"/>
        </w:rPr>
      </w:pPr>
    </w:p>
    <w:p>
      <w:pPr>
        <w:pStyle w:val="BodyText"/>
        <w:spacing w:line="285" w:lineRule="auto"/>
        <w:ind w:left="110" w:right="108"/>
        <w:jc w:val="both"/>
      </w:pPr>
      <w:r>
        <w:rPr>
          <w:color w:val="231F20"/>
          <w:w w:val="105"/>
        </w:rPr>
        <w:t>Las normas estatales son las encargadas principales de definir la estructuración e</w:t>
      </w:r>
      <w:r>
        <w:rPr>
          <w:color w:val="231F20"/>
          <w:spacing w:val="-39"/>
          <w:w w:val="105"/>
        </w:rPr>
        <w:t> </w:t>
      </w:r>
      <w:r>
        <w:rPr>
          <w:color w:val="231F20"/>
          <w:w w:val="105"/>
        </w:rPr>
        <w:t>inte- gración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órganos</w:t>
      </w:r>
      <w:r>
        <w:rPr>
          <w:color w:val="231F20"/>
          <w:spacing w:val="-25"/>
          <w:w w:val="105"/>
        </w:rPr>
        <w:t> </w:t>
      </w:r>
      <w:r>
        <w:rPr>
          <w:color w:val="231F20"/>
          <w:w w:val="105"/>
        </w:rPr>
        <w:t>de</w:t>
      </w:r>
      <w:r>
        <w:rPr>
          <w:color w:val="231F20"/>
          <w:spacing w:val="-25"/>
          <w:w w:val="105"/>
        </w:rPr>
        <w:t> </w:t>
      </w:r>
      <w:r>
        <w:rPr>
          <w:color w:val="231F20"/>
          <w:w w:val="105"/>
        </w:rPr>
        <w:t>gobierno</w:t>
      </w:r>
      <w:r>
        <w:rPr>
          <w:color w:val="231F20"/>
          <w:spacing w:val="-25"/>
          <w:w w:val="105"/>
        </w:rPr>
        <w:t> </w:t>
      </w:r>
      <w:r>
        <w:rPr>
          <w:color w:val="231F20"/>
          <w:w w:val="105"/>
        </w:rPr>
        <w:t>locales.</w:t>
      </w:r>
      <w:r>
        <w:rPr>
          <w:color w:val="231F20"/>
          <w:spacing w:val="-25"/>
          <w:w w:val="105"/>
        </w:rPr>
        <w:t> </w:t>
      </w:r>
      <w:r>
        <w:rPr>
          <w:color w:val="231F20"/>
          <w:w w:val="105"/>
        </w:rPr>
        <w:t>Aquí</w:t>
      </w:r>
      <w:r>
        <w:rPr>
          <w:color w:val="231F20"/>
          <w:spacing w:val="-25"/>
          <w:w w:val="105"/>
        </w:rPr>
        <w:t> </w:t>
      </w:r>
      <w:r>
        <w:rPr>
          <w:color w:val="231F20"/>
          <w:w w:val="105"/>
        </w:rPr>
        <w:t>resalta</w:t>
      </w:r>
      <w:r>
        <w:rPr>
          <w:color w:val="231F20"/>
          <w:spacing w:val="-25"/>
          <w:w w:val="105"/>
        </w:rPr>
        <w:t> </w:t>
      </w:r>
      <w:r>
        <w:rPr>
          <w:color w:val="231F20"/>
          <w:w w:val="105"/>
        </w:rPr>
        <w:t>la</w:t>
      </w:r>
      <w:r>
        <w:rPr>
          <w:color w:val="231F20"/>
          <w:spacing w:val="-25"/>
          <w:w w:val="105"/>
        </w:rPr>
        <w:t> </w:t>
      </w:r>
      <w:r>
        <w:rPr>
          <w:color w:val="231F20"/>
          <w:w w:val="105"/>
        </w:rPr>
        <w:t>importancia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ley</w:t>
      </w:r>
      <w:r>
        <w:rPr>
          <w:color w:val="231F20"/>
          <w:spacing w:val="-25"/>
          <w:w w:val="105"/>
        </w:rPr>
        <w:t> </w:t>
      </w:r>
      <w:r>
        <w:rPr>
          <w:color w:val="231F20"/>
          <w:w w:val="105"/>
        </w:rPr>
        <w:t>orgánica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municipal</w:t>
      </w:r>
      <w:r>
        <w:rPr>
          <w:color w:val="231F20"/>
          <w:spacing w:val="-21"/>
          <w:w w:val="105"/>
        </w:rPr>
        <w:t> </w:t>
      </w:r>
      <w:r>
        <w:rPr>
          <w:color w:val="231F20"/>
          <w:w w:val="105"/>
        </w:rPr>
        <w:t>que</w:t>
      </w:r>
      <w:r>
        <w:rPr>
          <w:color w:val="231F20"/>
          <w:spacing w:val="-21"/>
          <w:w w:val="105"/>
        </w:rPr>
        <w:t> </w:t>
      </w:r>
      <w:r>
        <w:rPr>
          <w:color w:val="231F20"/>
          <w:w w:val="105"/>
        </w:rPr>
        <w:t>es</w:t>
      </w:r>
      <w:r>
        <w:rPr>
          <w:color w:val="231F20"/>
          <w:spacing w:val="-21"/>
          <w:w w:val="105"/>
        </w:rPr>
        <w:t> </w:t>
      </w:r>
      <w:r>
        <w:rPr>
          <w:color w:val="231F20"/>
          <w:w w:val="105"/>
        </w:rPr>
        <w:t>elaborada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congreso</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el</w:t>
      </w:r>
      <w:r>
        <w:rPr>
          <w:color w:val="231F20"/>
          <w:spacing w:val="-21"/>
          <w:w w:val="105"/>
        </w:rPr>
        <w:t> </w:t>
      </w:r>
      <w:r>
        <w:rPr>
          <w:color w:val="231F20"/>
          <w:w w:val="105"/>
        </w:rPr>
        <w:t>bando</w:t>
      </w:r>
      <w:r>
        <w:rPr>
          <w:color w:val="231F20"/>
          <w:spacing w:val="-21"/>
          <w:w w:val="105"/>
        </w:rPr>
        <w:t> </w:t>
      </w:r>
      <w:r>
        <w:rPr>
          <w:color w:val="231F20"/>
          <w:w w:val="105"/>
        </w:rPr>
        <w:t>municipal</w:t>
      </w:r>
      <w:r>
        <w:rPr>
          <w:color w:val="231F20"/>
          <w:spacing w:val="-21"/>
          <w:w w:val="105"/>
        </w:rPr>
        <w:t> </w:t>
      </w:r>
      <w:r>
        <w:rPr>
          <w:color w:val="231F20"/>
          <w:w w:val="105"/>
        </w:rPr>
        <w:t>crea- do por el ayuntamiento</w:t>
      </w:r>
      <w:r>
        <w:rPr>
          <w:color w:val="231F20"/>
          <w:spacing w:val="-41"/>
          <w:w w:val="105"/>
        </w:rPr>
        <w:t> </w:t>
      </w:r>
      <w:r>
        <w:rPr>
          <w:color w:val="231F20"/>
          <w:w w:val="105"/>
        </w:rPr>
        <w:t>respectivo.</w:t>
      </w:r>
    </w:p>
    <w:p>
      <w:pPr>
        <w:pStyle w:val="BodyText"/>
        <w:spacing w:before="1"/>
        <w:rPr>
          <w:sz w:val="26"/>
        </w:rPr>
      </w:pPr>
    </w:p>
    <w:p>
      <w:pPr>
        <w:pStyle w:val="BodyText"/>
        <w:spacing w:line="285" w:lineRule="auto"/>
        <w:ind w:left="110" w:right="108"/>
        <w:jc w:val="both"/>
      </w:pPr>
      <w:r>
        <w:rPr>
          <w:color w:val="231F20"/>
          <w:w w:val="105"/>
        </w:rPr>
        <w:t>Estas</w:t>
      </w:r>
      <w:r>
        <w:rPr>
          <w:color w:val="231F20"/>
          <w:spacing w:val="-25"/>
          <w:w w:val="105"/>
        </w:rPr>
        <w:t> </w:t>
      </w:r>
      <w:r>
        <w:rPr>
          <w:color w:val="231F20"/>
          <w:w w:val="105"/>
        </w:rPr>
        <w:t>disposiciones</w:t>
      </w:r>
      <w:r>
        <w:rPr>
          <w:color w:val="231F20"/>
          <w:spacing w:val="-25"/>
          <w:w w:val="105"/>
        </w:rPr>
        <w:t> </w:t>
      </w:r>
      <w:r>
        <w:rPr>
          <w:color w:val="231F20"/>
          <w:w w:val="105"/>
        </w:rPr>
        <w:t>formales</w:t>
      </w:r>
      <w:r>
        <w:rPr>
          <w:color w:val="231F20"/>
          <w:spacing w:val="-25"/>
          <w:w w:val="105"/>
        </w:rPr>
        <w:t> </w:t>
      </w:r>
      <w:r>
        <w:rPr>
          <w:color w:val="231F20"/>
          <w:w w:val="105"/>
        </w:rPr>
        <w:t>influyen</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conformación</w:t>
      </w:r>
      <w:r>
        <w:rPr>
          <w:color w:val="231F20"/>
          <w:spacing w:val="-25"/>
          <w:w w:val="105"/>
        </w:rPr>
        <w:t> </w:t>
      </w:r>
      <w:r>
        <w:rPr>
          <w:color w:val="231F20"/>
          <w:w w:val="105"/>
        </w:rPr>
        <w:t>del</w:t>
      </w:r>
      <w:r>
        <w:rPr>
          <w:color w:val="231F20"/>
          <w:spacing w:val="-25"/>
          <w:w w:val="105"/>
        </w:rPr>
        <w:t> </w:t>
      </w:r>
      <w:r>
        <w:rPr>
          <w:color w:val="231F20"/>
          <w:w w:val="105"/>
        </w:rPr>
        <w:t>gobierno</w:t>
      </w:r>
      <w:r>
        <w:rPr>
          <w:color w:val="231F20"/>
          <w:spacing w:val="-25"/>
          <w:w w:val="105"/>
        </w:rPr>
        <w:t> </w:t>
      </w:r>
      <w:r>
        <w:rPr>
          <w:color w:val="231F20"/>
          <w:w w:val="105"/>
        </w:rPr>
        <w:t>huixquiluquense y</w:t>
      </w:r>
      <w:r>
        <w:rPr>
          <w:color w:val="231F20"/>
          <w:spacing w:val="-9"/>
          <w:w w:val="105"/>
        </w:rPr>
        <w:t> </w:t>
      </w:r>
      <w:r>
        <w:rPr>
          <w:color w:val="231F20"/>
          <w:w w:val="105"/>
        </w:rPr>
        <w:t>generan</w:t>
      </w:r>
      <w:r>
        <w:rPr>
          <w:color w:val="231F20"/>
          <w:spacing w:val="-9"/>
          <w:w w:val="105"/>
        </w:rPr>
        <w:t> </w:t>
      </w:r>
      <w:r>
        <w:rPr>
          <w:color w:val="231F20"/>
          <w:w w:val="105"/>
        </w:rPr>
        <w:t>los</w:t>
      </w:r>
      <w:r>
        <w:rPr>
          <w:color w:val="231F20"/>
          <w:spacing w:val="-9"/>
          <w:w w:val="105"/>
        </w:rPr>
        <w:t> </w:t>
      </w:r>
      <w:r>
        <w:rPr>
          <w:color w:val="231F20"/>
          <w:w w:val="105"/>
        </w:rPr>
        <w:t>principales</w:t>
      </w:r>
      <w:r>
        <w:rPr>
          <w:color w:val="231F20"/>
          <w:spacing w:val="-9"/>
          <w:w w:val="105"/>
        </w:rPr>
        <w:t> </w:t>
      </w:r>
      <w:r>
        <w:rPr>
          <w:color w:val="231F20"/>
          <w:w w:val="105"/>
        </w:rPr>
        <w:t>incentivos</w:t>
      </w:r>
      <w:r>
        <w:rPr>
          <w:color w:val="231F20"/>
          <w:spacing w:val="-9"/>
          <w:w w:val="105"/>
        </w:rPr>
        <w:t> </w:t>
      </w:r>
      <w:r>
        <w:rPr>
          <w:color w:val="231F20"/>
          <w:w w:val="105"/>
        </w:rPr>
        <w:t>que</w:t>
      </w:r>
      <w:r>
        <w:rPr>
          <w:color w:val="231F20"/>
          <w:spacing w:val="-9"/>
          <w:w w:val="105"/>
        </w:rPr>
        <w:t> </w:t>
      </w:r>
      <w:r>
        <w:rPr>
          <w:color w:val="231F20"/>
          <w:w w:val="105"/>
        </w:rPr>
        <w:t>fomentan</w:t>
      </w:r>
      <w:r>
        <w:rPr>
          <w:color w:val="231F20"/>
          <w:spacing w:val="-9"/>
          <w:w w:val="105"/>
        </w:rPr>
        <w:t> </w:t>
      </w:r>
      <w:r>
        <w:rPr>
          <w:color w:val="231F20"/>
          <w:w w:val="105"/>
        </w:rPr>
        <w:t>la</w:t>
      </w:r>
      <w:r>
        <w:rPr>
          <w:color w:val="231F20"/>
          <w:spacing w:val="-9"/>
          <w:w w:val="105"/>
        </w:rPr>
        <w:t> </w:t>
      </w:r>
      <w:r>
        <w:rPr>
          <w:color w:val="231F20"/>
          <w:w w:val="105"/>
        </w:rPr>
        <w:t>centralización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toma</w:t>
      </w:r>
      <w:r>
        <w:rPr>
          <w:color w:val="231F20"/>
          <w:spacing w:val="-9"/>
          <w:w w:val="105"/>
        </w:rPr>
        <w:t> </w:t>
      </w:r>
      <w:r>
        <w:rPr>
          <w:color w:val="231F20"/>
          <w:w w:val="105"/>
        </w:rPr>
        <w:t>de</w:t>
      </w:r>
      <w:r>
        <w:rPr>
          <w:color w:val="231F20"/>
          <w:spacing w:val="-9"/>
          <w:w w:val="105"/>
        </w:rPr>
        <w:t> </w:t>
      </w:r>
      <w:r>
        <w:rPr>
          <w:color w:val="231F20"/>
          <w:w w:val="105"/>
        </w:rPr>
        <w:t>deci- siones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ayuntamiento,</w:t>
      </w:r>
      <w:r>
        <w:rPr>
          <w:color w:val="231F20"/>
          <w:spacing w:val="-17"/>
          <w:w w:val="105"/>
        </w:rPr>
        <w:t> </w:t>
      </w:r>
      <w:r>
        <w:rPr>
          <w:color w:val="231F20"/>
          <w:w w:val="105"/>
        </w:rPr>
        <w:t>así</w:t>
      </w:r>
      <w:r>
        <w:rPr>
          <w:color w:val="231F20"/>
          <w:spacing w:val="-17"/>
          <w:w w:val="105"/>
        </w:rPr>
        <w:t> </w:t>
      </w:r>
      <w:r>
        <w:rPr>
          <w:color w:val="231F20"/>
          <w:w w:val="105"/>
        </w:rPr>
        <w:t>como</w:t>
      </w:r>
      <w:r>
        <w:rPr>
          <w:color w:val="231F20"/>
          <w:spacing w:val="-17"/>
          <w:w w:val="105"/>
        </w:rPr>
        <w:t> </w:t>
      </w:r>
      <w:r>
        <w:rPr>
          <w:color w:val="231F20"/>
          <w:w w:val="105"/>
        </w:rPr>
        <w:t>la</w:t>
      </w:r>
      <w:r>
        <w:rPr>
          <w:color w:val="231F20"/>
          <w:spacing w:val="-17"/>
          <w:w w:val="105"/>
        </w:rPr>
        <w:t> </w:t>
      </w:r>
      <w:r>
        <w:rPr>
          <w:color w:val="231F20"/>
          <w:w w:val="105"/>
        </w:rPr>
        <w:t>personalización</w:t>
      </w:r>
      <w:r>
        <w:rPr>
          <w:color w:val="231F20"/>
          <w:spacing w:val="-17"/>
          <w:w w:val="105"/>
        </w:rPr>
        <w:t> </w:t>
      </w:r>
      <w:r>
        <w:rPr>
          <w:color w:val="231F20"/>
          <w:w w:val="105"/>
        </w:rPr>
        <w:t>política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APM.</w:t>
      </w:r>
    </w:p>
    <w:p>
      <w:pPr>
        <w:pStyle w:val="BodyText"/>
        <w:spacing w:before="10"/>
      </w:pPr>
    </w:p>
    <w:p>
      <w:pPr>
        <w:pStyle w:val="Heading3"/>
        <w:numPr>
          <w:ilvl w:val="2"/>
          <w:numId w:val="2"/>
        </w:numPr>
        <w:tabs>
          <w:tab w:pos="838" w:val="left" w:leader="none"/>
        </w:tabs>
        <w:spacing w:line="240" w:lineRule="auto" w:before="0" w:after="0"/>
        <w:ind w:left="110" w:right="734" w:firstLine="0"/>
        <w:jc w:val="left"/>
      </w:pPr>
      <w:r>
        <w:rPr>
          <w:color w:val="231F20"/>
          <w:w w:val="105"/>
        </w:rPr>
        <w:t>Marco</w:t>
      </w:r>
      <w:r>
        <w:rPr>
          <w:color w:val="231F20"/>
          <w:spacing w:val="-24"/>
          <w:w w:val="105"/>
        </w:rPr>
        <w:t> </w:t>
      </w:r>
      <w:r>
        <w:rPr>
          <w:color w:val="231F20"/>
          <w:w w:val="105"/>
        </w:rPr>
        <w:t>institucional</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integración</w:t>
      </w:r>
      <w:r>
        <w:rPr>
          <w:color w:val="231F20"/>
          <w:spacing w:val="-24"/>
          <w:w w:val="105"/>
        </w:rPr>
        <w:t> </w:t>
      </w:r>
      <w:r>
        <w:rPr>
          <w:color w:val="231F20"/>
          <w:spacing w:val="-3"/>
          <w:w w:val="105"/>
        </w:rPr>
        <w:t>del</w:t>
      </w:r>
      <w:r>
        <w:rPr>
          <w:color w:val="231F20"/>
          <w:spacing w:val="-24"/>
          <w:w w:val="105"/>
        </w:rPr>
        <w:t> </w:t>
      </w:r>
      <w:r>
        <w:rPr>
          <w:color w:val="231F20"/>
          <w:w w:val="105"/>
        </w:rPr>
        <w:t>Ayuntamiento y</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3"/>
          <w:w w:val="105"/>
        </w:rPr>
        <w:t>APM</w:t>
      </w:r>
      <w:r>
        <w:rPr>
          <w:color w:val="231F20"/>
          <w:spacing w:val="-25"/>
          <w:w w:val="105"/>
        </w:rPr>
        <w:t> </w:t>
      </w:r>
      <w:r>
        <w:rPr>
          <w:color w:val="231F20"/>
          <w:w w:val="105"/>
        </w:rPr>
        <w:t>huixquiluquense</w:t>
      </w:r>
    </w:p>
    <w:p>
      <w:pPr>
        <w:pStyle w:val="BodyText"/>
        <w:spacing w:line="285" w:lineRule="auto" w:before="38"/>
        <w:ind w:left="110" w:right="108"/>
        <w:jc w:val="both"/>
      </w:pPr>
      <w:r>
        <w:rPr>
          <w:color w:val="231F20"/>
          <w:w w:val="105"/>
        </w:rPr>
        <w:t>Los</w:t>
      </w:r>
      <w:r>
        <w:rPr>
          <w:color w:val="231F20"/>
          <w:spacing w:val="-25"/>
          <w:w w:val="105"/>
        </w:rPr>
        <w:t> </w:t>
      </w:r>
      <w:r>
        <w:rPr>
          <w:color w:val="231F20"/>
          <w:w w:val="105"/>
        </w:rPr>
        <w:t>principales</w:t>
      </w:r>
      <w:r>
        <w:rPr>
          <w:color w:val="231F20"/>
          <w:spacing w:val="-25"/>
          <w:w w:val="105"/>
        </w:rPr>
        <w:t> </w:t>
      </w:r>
      <w:r>
        <w:rPr>
          <w:color w:val="231F20"/>
          <w:w w:val="105"/>
        </w:rPr>
        <w:t>órganos</w:t>
      </w:r>
      <w:r>
        <w:rPr>
          <w:color w:val="231F20"/>
          <w:spacing w:val="-25"/>
          <w:w w:val="105"/>
        </w:rPr>
        <w:t> </w:t>
      </w:r>
      <w:r>
        <w:rPr>
          <w:color w:val="231F20"/>
          <w:w w:val="105"/>
        </w:rPr>
        <w:t>de</w:t>
      </w:r>
      <w:r>
        <w:rPr>
          <w:color w:val="231F20"/>
          <w:spacing w:val="-25"/>
          <w:w w:val="105"/>
        </w:rPr>
        <w:t> </w:t>
      </w:r>
      <w:r>
        <w:rPr>
          <w:color w:val="231F20"/>
          <w:w w:val="105"/>
        </w:rPr>
        <w:t>gobierno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municipios</w:t>
      </w:r>
      <w:r>
        <w:rPr>
          <w:color w:val="231F20"/>
          <w:spacing w:val="-25"/>
          <w:w w:val="105"/>
        </w:rPr>
        <w:t> </w:t>
      </w:r>
      <w:r>
        <w:rPr>
          <w:color w:val="231F20"/>
          <w:w w:val="105"/>
        </w:rPr>
        <w:t>mexiquenses</w:t>
      </w:r>
      <w:r>
        <w:rPr>
          <w:color w:val="231F20"/>
          <w:spacing w:val="-25"/>
          <w:w w:val="105"/>
        </w:rPr>
        <w:t> </w:t>
      </w:r>
      <w:r>
        <w:rPr>
          <w:color w:val="231F20"/>
          <w:w w:val="105"/>
        </w:rPr>
        <w:t>son:</w:t>
      </w:r>
      <w:r>
        <w:rPr>
          <w:color w:val="231F20"/>
          <w:spacing w:val="-25"/>
          <w:w w:val="105"/>
        </w:rPr>
        <w:t> </w:t>
      </w:r>
      <w:r>
        <w:rPr>
          <w:color w:val="231F20"/>
          <w:w w:val="105"/>
        </w:rPr>
        <w:t>el</w:t>
      </w:r>
      <w:r>
        <w:rPr>
          <w:color w:val="231F20"/>
          <w:spacing w:val="-25"/>
          <w:w w:val="105"/>
        </w:rPr>
        <w:t> </w:t>
      </w:r>
      <w:r>
        <w:rPr>
          <w:color w:val="231F20"/>
          <w:w w:val="105"/>
        </w:rPr>
        <w:t>ayuntamien- to,</w:t>
      </w:r>
      <w:r>
        <w:rPr>
          <w:color w:val="231F20"/>
          <w:spacing w:val="-21"/>
          <w:w w:val="105"/>
        </w:rPr>
        <w:t> </w:t>
      </w:r>
      <w:r>
        <w:rPr>
          <w:color w:val="231F20"/>
          <w:w w:val="105"/>
        </w:rPr>
        <w:t>que</w:t>
      </w:r>
      <w:r>
        <w:rPr>
          <w:color w:val="231F20"/>
          <w:spacing w:val="-21"/>
          <w:w w:val="105"/>
        </w:rPr>
        <w:t> </w:t>
      </w:r>
      <w:r>
        <w:rPr>
          <w:color w:val="231F20"/>
          <w:w w:val="105"/>
        </w:rPr>
        <w:t>funciona</w:t>
      </w:r>
      <w:r>
        <w:rPr>
          <w:color w:val="231F20"/>
          <w:spacing w:val="-21"/>
          <w:w w:val="105"/>
        </w:rPr>
        <w:t> </w:t>
      </w:r>
      <w:r>
        <w:rPr>
          <w:color w:val="231F20"/>
          <w:w w:val="105"/>
        </w:rPr>
        <w:t>como</w:t>
      </w:r>
      <w:r>
        <w:rPr>
          <w:color w:val="231F20"/>
          <w:spacing w:val="-21"/>
          <w:w w:val="105"/>
        </w:rPr>
        <w:t> </w:t>
      </w:r>
      <w:r>
        <w:rPr>
          <w:color w:val="231F20"/>
          <w:w w:val="105"/>
        </w:rPr>
        <w:t>una</w:t>
      </w:r>
      <w:r>
        <w:rPr>
          <w:color w:val="231F20"/>
          <w:spacing w:val="-21"/>
          <w:w w:val="105"/>
        </w:rPr>
        <w:t> </w:t>
      </w:r>
      <w:r>
        <w:rPr>
          <w:color w:val="231F20"/>
          <w:w w:val="105"/>
        </w:rPr>
        <w:t>asamblea</w:t>
      </w:r>
      <w:r>
        <w:rPr>
          <w:color w:val="231F20"/>
          <w:spacing w:val="-21"/>
          <w:w w:val="105"/>
        </w:rPr>
        <w:t> </w:t>
      </w:r>
      <w:r>
        <w:rPr>
          <w:color w:val="231F20"/>
          <w:w w:val="105"/>
        </w:rPr>
        <w:t>deliberante</w:t>
      </w:r>
      <w:r>
        <w:rPr>
          <w:color w:val="231F20"/>
          <w:spacing w:val="-21"/>
          <w:w w:val="105"/>
        </w:rPr>
        <w:t> </w:t>
      </w:r>
      <w:r>
        <w:rPr>
          <w:color w:val="231F20"/>
          <w:spacing w:val="-3"/>
          <w:w w:val="105"/>
        </w:rPr>
        <w:t>(cabildo)</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APM</w:t>
      </w:r>
      <w:r>
        <w:rPr>
          <w:color w:val="231F20"/>
          <w:spacing w:val="-21"/>
          <w:w w:val="105"/>
        </w:rPr>
        <w:t> </w:t>
      </w:r>
      <w:r>
        <w:rPr>
          <w:color w:val="231F20"/>
          <w:w w:val="105"/>
        </w:rPr>
        <w:t>encargada</w:t>
      </w:r>
      <w:r>
        <w:rPr>
          <w:color w:val="231F20"/>
          <w:spacing w:val="-21"/>
          <w:w w:val="105"/>
        </w:rPr>
        <w:t> </w:t>
      </w:r>
      <w:r>
        <w:rPr>
          <w:color w:val="231F20"/>
          <w:w w:val="105"/>
        </w:rPr>
        <w:t>de</w:t>
      </w:r>
      <w:r>
        <w:rPr>
          <w:color w:val="231F20"/>
          <w:spacing w:val="-21"/>
          <w:w w:val="105"/>
        </w:rPr>
        <w:t> </w:t>
      </w:r>
      <w:r>
        <w:rPr>
          <w:color w:val="231F20"/>
          <w:w w:val="105"/>
        </w:rPr>
        <w:t>ejecu- </w:t>
      </w:r>
      <w:r>
        <w:rPr>
          <w:color w:val="231F20"/>
          <w:spacing w:val="2"/>
          <w:w w:val="105"/>
        </w:rPr>
        <w:t>tar</w:t>
      </w:r>
      <w:r>
        <w:rPr>
          <w:color w:val="231F20"/>
          <w:spacing w:val="-17"/>
          <w:w w:val="105"/>
        </w:rPr>
        <w:t> </w:t>
      </w:r>
      <w:r>
        <w:rPr>
          <w:color w:val="231F20"/>
          <w:w w:val="105"/>
        </w:rPr>
        <w:t>las</w:t>
      </w:r>
      <w:r>
        <w:rPr>
          <w:color w:val="231F20"/>
          <w:spacing w:val="-17"/>
          <w:w w:val="105"/>
        </w:rPr>
        <w:t> </w:t>
      </w:r>
      <w:r>
        <w:rPr>
          <w:color w:val="231F20"/>
          <w:w w:val="105"/>
        </w:rPr>
        <w:t>decisiones</w:t>
      </w:r>
      <w:r>
        <w:rPr>
          <w:color w:val="231F20"/>
          <w:spacing w:val="-17"/>
          <w:w w:val="105"/>
        </w:rPr>
        <w:t> </w:t>
      </w:r>
      <w:r>
        <w:rPr>
          <w:color w:val="231F20"/>
          <w:w w:val="105"/>
        </w:rPr>
        <w:t>adoptadas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cabildo.</w:t>
      </w:r>
    </w:p>
    <w:p>
      <w:pPr>
        <w:pStyle w:val="BodyText"/>
        <w:spacing w:before="1"/>
        <w:rPr>
          <w:sz w:val="26"/>
        </w:rPr>
      </w:pPr>
    </w:p>
    <w:p>
      <w:pPr>
        <w:pStyle w:val="BodyText"/>
        <w:spacing w:line="285" w:lineRule="auto"/>
        <w:ind w:left="110" w:right="108"/>
        <w:jc w:val="both"/>
      </w:pPr>
      <w:r>
        <w:rPr>
          <w:color w:val="231F20"/>
          <w:w w:val="105"/>
        </w:rPr>
        <w:t>La integración de la estructura del ayuntamiento mexiquense está definida en función del criterio poblacional. Si bien se plantea que este órgano de gobierno estará encabe- zado por un presidente municipal, síndicos y regidores, el número de los últimos dos variará según el número de habitantes en cada territorio</w:t>
      </w:r>
      <w:r>
        <w:rPr>
          <w:color w:val="231F20"/>
          <w:w w:val="105"/>
          <w:position w:val="7"/>
          <w:sz w:val="13"/>
        </w:rPr>
        <w:t>17</w:t>
      </w:r>
      <w:r>
        <w:rPr>
          <w:color w:val="231F20"/>
          <w:w w:val="105"/>
        </w:rPr>
        <w:t>.</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5"/>
          <w:w w:val="105"/>
        </w:rPr>
        <w:t> </w:t>
      </w:r>
      <w:r>
        <w:rPr>
          <w:color w:val="231F20"/>
          <w:w w:val="105"/>
        </w:rPr>
        <w:t>otro</w:t>
      </w:r>
      <w:r>
        <w:rPr>
          <w:color w:val="231F20"/>
          <w:spacing w:val="-5"/>
          <w:w w:val="105"/>
        </w:rPr>
        <w:t> </w:t>
      </w:r>
      <w:r>
        <w:rPr>
          <w:color w:val="231F20"/>
          <w:w w:val="105"/>
        </w:rPr>
        <w:t>lado,</w:t>
      </w:r>
      <w:r>
        <w:rPr>
          <w:color w:val="231F20"/>
          <w:spacing w:val="-5"/>
          <w:w w:val="105"/>
        </w:rPr>
        <w:t> </w:t>
      </w:r>
      <w:r>
        <w:rPr>
          <w:color w:val="231F20"/>
          <w:w w:val="105"/>
        </w:rPr>
        <w:t>el</w:t>
      </w:r>
      <w:r>
        <w:rPr>
          <w:color w:val="231F20"/>
          <w:spacing w:val="-5"/>
          <w:w w:val="105"/>
        </w:rPr>
        <w:t> </w:t>
      </w:r>
      <w:r>
        <w:rPr>
          <w:color w:val="231F20"/>
          <w:w w:val="105"/>
        </w:rPr>
        <w:t>código</w:t>
      </w:r>
      <w:r>
        <w:rPr>
          <w:color w:val="231F20"/>
          <w:spacing w:val="-5"/>
          <w:w w:val="105"/>
        </w:rPr>
        <w:t> </w:t>
      </w:r>
      <w:r>
        <w:rPr>
          <w:color w:val="231F20"/>
          <w:w w:val="105"/>
        </w:rPr>
        <w:t>electoral</w:t>
      </w:r>
      <w:r>
        <w:rPr>
          <w:color w:val="231F20"/>
          <w:spacing w:val="-5"/>
          <w:w w:val="105"/>
        </w:rPr>
        <w:t> </w:t>
      </w:r>
      <w:r>
        <w:rPr>
          <w:color w:val="231F20"/>
          <w:w w:val="105"/>
        </w:rPr>
        <w:t>estatal</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encargado</w:t>
      </w:r>
      <w:r>
        <w:rPr>
          <w:color w:val="231F20"/>
          <w:spacing w:val="-5"/>
          <w:w w:val="105"/>
        </w:rPr>
        <w:t> </w:t>
      </w:r>
      <w:r>
        <w:rPr>
          <w:color w:val="231F20"/>
          <w:w w:val="105"/>
        </w:rPr>
        <w:t>de</w:t>
      </w:r>
      <w:r>
        <w:rPr>
          <w:color w:val="231F20"/>
          <w:spacing w:val="-5"/>
          <w:w w:val="105"/>
        </w:rPr>
        <w:t> </w:t>
      </w:r>
      <w:r>
        <w:rPr>
          <w:color w:val="231F20"/>
          <w:w w:val="105"/>
        </w:rPr>
        <w:t>definir</w:t>
      </w:r>
      <w:r>
        <w:rPr>
          <w:color w:val="231F20"/>
          <w:spacing w:val="-5"/>
          <w:w w:val="105"/>
        </w:rPr>
        <w:t> </w:t>
      </w:r>
      <w:r>
        <w:rPr>
          <w:color w:val="231F20"/>
          <w:w w:val="105"/>
        </w:rPr>
        <w:t>las</w:t>
      </w:r>
      <w:r>
        <w:rPr>
          <w:color w:val="231F20"/>
          <w:spacing w:val="-5"/>
          <w:w w:val="105"/>
        </w:rPr>
        <w:t> </w:t>
      </w:r>
      <w:r>
        <w:rPr>
          <w:color w:val="231F20"/>
          <w:w w:val="105"/>
        </w:rPr>
        <w:t>fórmulas</w:t>
      </w:r>
      <w:r>
        <w:rPr>
          <w:color w:val="231F20"/>
          <w:spacing w:val="-5"/>
          <w:w w:val="105"/>
        </w:rPr>
        <w:t> </w:t>
      </w:r>
      <w:r>
        <w:rPr>
          <w:color w:val="231F20"/>
          <w:w w:val="105"/>
        </w:rPr>
        <w:t>de</w:t>
      </w:r>
      <w:r>
        <w:rPr>
          <w:color w:val="231F20"/>
          <w:spacing w:val="-5"/>
          <w:w w:val="105"/>
        </w:rPr>
        <w:t> </w:t>
      </w:r>
      <w:r>
        <w:rPr>
          <w:color w:val="231F20"/>
          <w:w w:val="105"/>
        </w:rPr>
        <w:t>dis- tribución</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cargos</w:t>
      </w:r>
      <w:r>
        <w:rPr>
          <w:color w:val="231F20"/>
          <w:spacing w:val="-14"/>
          <w:w w:val="105"/>
        </w:rPr>
        <w:t> </w:t>
      </w:r>
      <w:r>
        <w:rPr>
          <w:color w:val="231F20"/>
          <w:w w:val="105"/>
        </w:rPr>
        <w:t>públicos</w:t>
      </w:r>
      <w:r>
        <w:rPr>
          <w:color w:val="231F20"/>
          <w:spacing w:val="-14"/>
          <w:w w:val="105"/>
        </w:rPr>
        <w:t> </w:t>
      </w:r>
      <w:r>
        <w:rPr>
          <w:color w:val="231F20"/>
          <w:w w:val="105"/>
        </w:rPr>
        <w:t>votados.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ayuntamientos</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de México sus integrantes son postulados electoralmente por los partidos políticos me- diante el método una lista común</w:t>
      </w:r>
      <w:r>
        <w:rPr>
          <w:color w:val="231F20"/>
          <w:w w:val="105"/>
          <w:position w:val="7"/>
          <w:sz w:val="13"/>
        </w:rPr>
        <w:t>18</w:t>
      </w:r>
      <w:r>
        <w:rPr>
          <w:color w:val="231F20"/>
          <w:w w:val="105"/>
        </w:rPr>
        <w:t>, cerrada y bloqueada. En dicho listado se incluyen los</w:t>
      </w:r>
      <w:r>
        <w:rPr>
          <w:color w:val="231F20"/>
          <w:spacing w:val="-9"/>
          <w:w w:val="105"/>
        </w:rPr>
        <w:t> </w:t>
      </w:r>
      <w:r>
        <w:rPr>
          <w:color w:val="231F20"/>
          <w:w w:val="105"/>
        </w:rPr>
        <w:t>nombres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candidatos</w:t>
      </w:r>
      <w:r>
        <w:rPr>
          <w:color w:val="231F20"/>
          <w:spacing w:val="-9"/>
          <w:w w:val="105"/>
        </w:rPr>
        <w:t> </w:t>
      </w:r>
      <w:r>
        <w:rPr>
          <w:color w:val="231F20"/>
          <w:w w:val="105"/>
        </w:rPr>
        <w:t>postulados</w:t>
      </w:r>
      <w:r>
        <w:rPr>
          <w:color w:val="231F20"/>
          <w:spacing w:val="-9"/>
          <w:w w:val="105"/>
        </w:rPr>
        <w:t> </w:t>
      </w:r>
      <w:r>
        <w:rPr>
          <w:color w:val="231F20"/>
          <w:w w:val="105"/>
        </w:rPr>
        <w:t>por</w:t>
      </w:r>
      <w:r>
        <w:rPr>
          <w:color w:val="231F20"/>
          <w:spacing w:val="-9"/>
          <w:w w:val="105"/>
        </w:rPr>
        <w:t> </w:t>
      </w:r>
      <w:r>
        <w:rPr>
          <w:color w:val="231F20"/>
          <w:w w:val="105"/>
        </w:rPr>
        <w:t>cada</w:t>
      </w:r>
      <w:r>
        <w:rPr>
          <w:color w:val="231F20"/>
          <w:spacing w:val="-9"/>
          <w:w w:val="105"/>
        </w:rPr>
        <w:t> </w:t>
      </w:r>
      <w:r>
        <w:rPr>
          <w:color w:val="231F20"/>
          <w:w w:val="105"/>
        </w:rPr>
        <w:t>partido</w:t>
      </w:r>
      <w:r>
        <w:rPr>
          <w:color w:val="231F20"/>
          <w:spacing w:val="-9"/>
          <w:w w:val="105"/>
        </w:rPr>
        <w:t> </w:t>
      </w:r>
      <w:r>
        <w:rPr>
          <w:color w:val="231F20"/>
          <w:w w:val="105"/>
        </w:rPr>
        <w:t>para</w:t>
      </w:r>
      <w:r>
        <w:rPr>
          <w:color w:val="231F20"/>
          <w:spacing w:val="-9"/>
          <w:w w:val="105"/>
        </w:rPr>
        <w:t> </w:t>
      </w:r>
      <w:r>
        <w:rPr>
          <w:color w:val="231F20"/>
          <w:w w:val="105"/>
        </w:rPr>
        <w:t>ocupar</w:t>
      </w:r>
      <w:r>
        <w:rPr>
          <w:color w:val="231F20"/>
          <w:spacing w:val="-9"/>
          <w:w w:val="105"/>
        </w:rPr>
        <w:t> </w:t>
      </w:r>
      <w:r>
        <w:rPr>
          <w:color w:val="231F20"/>
          <w:w w:val="105"/>
        </w:rPr>
        <w:t>los</w:t>
      </w:r>
      <w:r>
        <w:rPr>
          <w:color w:val="231F20"/>
          <w:spacing w:val="-9"/>
          <w:w w:val="105"/>
        </w:rPr>
        <w:t> </w:t>
      </w:r>
      <w:r>
        <w:rPr>
          <w:color w:val="231F20"/>
          <w:w w:val="105"/>
        </w:rPr>
        <w:t>distintos</w:t>
      </w:r>
      <w:r>
        <w:rPr>
          <w:color w:val="231F20"/>
          <w:spacing w:val="-9"/>
          <w:w w:val="105"/>
        </w:rPr>
        <w:t> </w:t>
      </w:r>
      <w:r>
        <w:rPr>
          <w:color w:val="231F20"/>
          <w:w w:val="105"/>
        </w:rPr>
        <w:t>es- </w:t>
      </w:r>
      <w:r>
        <w:rPr>
          <w:color w:val="231F20"/>
          <w:w w:val="105"/>
          <w:u w:val="single" w:color="231F20"/>
        </w:rPr>
        <w:t>pacios</w:t>
      </w:r>
      <w:r>
        <w:rPr>
          <w:color w:val="231F20"/>
          <w:spacing w:val="-13"/>
          <w:w w:val="105"/>
          <w:u w:val="single" w:color="231F20"/>
        </w:rPr>
        <w:t> </w:t>
      </w:r>
      <w:r>
        <w:rPr>
          <w:color w:val="231F20"/>
          <w:w w:val="105"/>
          <w:u w:val="single" w:color="231F20"/>
        </w:rPr>
        <w:t>dentro</w:t>
      </w:r>
      <w:r>
        <w:rPr>
          <w:color w:val="231F20"/>
          <w:spacing w:val="-13"/>
          <w:w w:val="105"/>
          <w:u w:val="single" w:color="231F20"/>
        </w:rPr>
        <w:t> </w:t>
      </w:r>
      <w:r>
        <w:rPr>
          <w:color w:val="231F20"/>
          <w:w w:val="105"/>
          <w:u w:val="single" w:color="231F20"/>
        </w:rPr>
        <w:t>d</w:t>
      </w:r>
      <w:r>
        <w:rPr>
          <w:color w:val="231F20"/>
          <w:w w:val="105"/>
        </w:rPr>
        <w:t>e</w:t>
      </w:r>
      <w:r>
        <w:rPr>
          <w:color w:val="231F20"/>
          <w:spacing w:val="-13"/>
          <w:w w:val="105"/>
        </w:rPr>
        <w:t> </w:t>
      </w:r>
      <w:r>
        <w:rPr>
          <w:color w:val="231F20"/>
          <w:w w:val="105"/>
        </w:rPr>
        <w:t>los</w:t>
      </w:r>
      <w:r>
        <w:rPr>
          <w:color w:val="231F20"/>
          <w:spacing w:val="-13"/>
          <w:w w:val="105"/>
        </w:rPr>
        <w:t> </w:t>
      </w:r>
      <w:r>
        <w:rPr>
          <w:color w:val="231F20"/>
          <w:w w:val="105"/>
        </w:rPr>
        <w:t>ayuntamientos</w:t>
      </w:r>
      <w:r>
        <w:rPr>
          <w:color w:val="231F20"/>
          <w:spacing w:val="-13"/>
          <w:w w:val="105"/>
        </w:rPr>
        <w:t> </w:t>
      </w:r>
      <w:r>
        <w:rPr>
          <w:color w:val="231F20"/>
          <w:w w:val="105"/>
        </w:rPr>
        <w:t>mexiquenses.</w:t>
      </w:r>
      <w:r>
        <w:rPr>
          <w:color w:val="231F20"/>
          <w:spacing w:val="-13"/>
          <w:w w:val="105"/>
        </w:rPr>
        <w:t> </w:t>
      </w:r>
      <w:r>
        <w:rPr>
          <w:color w:val="231F20"/>
          <w:w w:val="105"/>
        </w:rPr>
        <w:t>La</w:t>
      </w:r>
      <w:r>
        <w:rPr>
          <w:color w:val="231F20"/>
          <w:spacing w:val="-13"/>
          <w:w w:val="105"/>
        </w:rPr>
        <w:t> </w:t>
      </w:r>
      <w:r>
        <w:rPr>
          <w:color w:val="231F20"/>
          <w:w w:val="105"/>
        </w:rPr>
        <w:t>posición</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lista</w:t>
      </w:r>
      <w:r>
        <w:rPr>
          <w:color w:val="231F20"/>
          <w:spacing w:val="-13"/>
          <w:w w:val="105"/>
        </w:rPr>
        <w:t> </w:t>
      </w:r>
      <w:r>
        <w:rPr>
          <w:color w:val="231F20"/>
          <w:w w:val="105"/>
        </w:rPr>
        <w:t>define</w:t>
      </w:r>
      <w:r>
        <w:rPr>
          <w:color w:val="231F20"/>
          <w:spacing w:val="-13"/>
          <w:w w:val="105"/>
        </w:rPr>
        <w:t> </w:t>
      </w:r>
      <w:r>
        <w:rPr>
          <w:color w:val="231F20"/>
          <w:w w:val="105"/>
        </w:rPr>
        <w:t>el</w:t>
      </w:r>
      <w:r>
        <w:rPr>
          <w:color w:val="231F20"/>
          <w:spacing w:val="-13"/>
          <w:w w:val="105"/>
        </w:rPr>
        <w:t> </w:t>
      </w:r>
      <w:r>
        <w:rPr>
          <w:color w:val="231F20"/>
          <w:w w:val="105"/>
        </w:rPr>
        <w:t>cargo</w:t>
      </w:r>
    </w:p>
    <w:p>
      <w:pPr>
        <w:pStyle w:val="ListParagraph"/>
        <w:numPr>
          <w:ilvl w:val="0"/>
          <w:numId w:val="3"/>
        </w:numPr>
        <w:tabs>
          <w:tab w:pos="291" w:val="left" w:leader="none"/>
        </w:tabs>
        <w:spacing w:line="244" w:lineRule="auto" w:before="53" w:after="0"/>
        <w:ind w:left="110" w:right="108" w:firstLine="0"/>
        <w:jc w:val="both"/>
        <w:rPr>
          <w:sz w:val="16"/>
        </w:rPr>
      </w:pPr>
      <w:r>
        <w:rPr>
          <w:color w:val="231F20"/>
          <w:sz w:val="16"/>
        </w:rPr>
        <w:t>La</w:t>
      </w:r>
      <w:r>
        <w:rPr>
          <w:color w:val="231F20"/>
          <w:spacing w:val="-9"/>
          <w:sz w:val="16"/>
        </w:rPr>
        <w:t> </w:t>
      </w:r>
      <w:r>
        <w:rPr>
          <w:color w:val="231F20"/>
          <w:sz w:val="16"/>
        </w:rPr>
        <w:t>ley</w:t>
      </w:r>
      <w:r>
        <w:rPr>
          <w:color w:val="231F20"/>
          <w:spacing w:val="-9"/>
          <w:sz w:val="16"/>
        </w:rPr>
        <w:t> </w:t>
      </w:r>
      <w:r>
        <w:rPr>
          <w:color w:val="231F20"/>
          <w:sz w:val="16"/>
        </w:rPr>
        <w:t>orgánica</w:t>
      </w:r>
      <w:r>
        <w:rPr>
          <w:color w:val="231F20"/>
          <w:spacing w:val="-9"/>
          <w:sz w:val="16"/>
        </w:rPr>
        <w:t> </w:t>
      </w:r>
      <w:r>
        <w:rPr>
          <w:color w:val="231F20"/>
          <w:sz w:val="16"/>
        </w:rPr>
        <w:t>municipal,</w:t>
      </w:r>
      <w:r>
        <w:rPr>
          <w:color w:val="231F20"/>
          <w:spacing w:val="-9"/>
          <w:sz w:val="16"/>
        </w:rPr>
        <w:t> </w:t>
      </w:r>
      <w:r>
        <w:rPr>
          <w:color w:val="231F20"/>
          <w:sz w:val="16"/>
        </w:rPr>
        <w:t>art.</w:t>
      </w:r>
      <w:r>
        <w:rPr>
          <w:color w:val="231F20"/>
          <w:spacing w:val="-9"/>
          <w:sz w:val="16"/>
        </w:rPr>
        <w:t> </w:t>
      </w:r>
      <w:r>
        <w:rPr>
          <w:color w:val="231F20"/>
          <w:spacing w:val="-3"/>
          <w:sz w:val="16"/>
        </w:rPr>
        <w:t>16,</w:t>
      </w:r>
      <w:r>
        <w:rPr>
          <w:color w:val="231F20"/>
          <w:spacing w:val="-9"/>
          <w:sz w:val="16"/>
        </w:rPr>
        <w:t> </w:t>
      </w:r>
      <w:r>
        <w:rPr>
          <w:color w:val="231F20"/>
          <w:sz w:val="16"/>
        </w:rPr>
        <w:t>inc.</w:t>
      </w:r>
      <w:r>
        <w:rPr>
          <w:color w:val="231F20"/>
          <w:spacing w:val="-9"/>
          <w:sz w:val="16"/>
        </w:rPr>
        <w:t> </w:t>
      </w:r>
      <w:r>
        <w:rPr>
          <w:color w:val="231F20"/>
          <w:sz w:val="16"/>
        </w:rPr>
        <w:t>2,</w:t>
      </w:r>
      <w:r>
        <w:rPr>
          <w:color w:val="231F20"/>
          <w:spacing w:val="-9"/>
          <w:sz w:val="16"/>
        </w:rPr>
        <w:t> </w:t>
      </w:r>
      <w:r>
        <w:rPr>
          <w:color w:val="231F20"/>
          <w:sz w:val="16"/>
        </w:rPr>
        <w:t>y</w:t>
      </w:r>
      <w:r>
        <w:rPr>
          <w:color w:val="231F20"/>
          <w:spacing w:val="-9"/>
          <w:sz w:val="16"/>
        </w:rPr>
        <w:t> </w:t>
      </w:r>
      <w:r>
        <w:rPr>
          <w:color w:val="231F20"/>
          <w:sz w:val="16"/>
        </w:rPr>
        <w:t>el</w:t>
      </w:r>
      <w:r>
        <w:rPr>
          <w:color w:val="231F20"/>
          <w:spacing w:val="-9"/>
          <w:sz w:val="16"/>
        </w:rPr>
        <w:t> </w:t>
      </w:r>
      <w:r>
        <w:rPr>
          <w:color w:val="231F20"/>
          <w:sz w:val="16"/>
        </w:rPr>
        <w:t>Código</w:t>
      </w:r>
      <w:r>
        <w:rPr>
          <w:color w:val="231F20"/>
          <w:spacing w:val="-9"/>
          <w:sz w:val="16"/>
        </w:rPr>
        <w:t> </w:t>
      </w:r>
      <w:r>
        <w:rPr>
          <w:color w:val="231F20"/>
          <w:sz w:val="16"/>
        </w:rPr>
        <w:t>electoral</w:t>
      </w:r>
      <w:r>
        <w:rPr>
          <w:color w:val="231F20"/>
          <w:spacing w:val="-9"/>
          <w:sz w:val="16"/>
        </w:rPr>
        <w:t> </w:t>
      </w:r>
      <w:r>
        <w:rPr>
          <w:color w:val="231F20"/>
          <w:sz w:val="16"/>
        </w:rPr>
        <w:t>mexiquense,</w:t>
      </w:r>
      <w:r>
        <w:rPr>
          <w:color w:val="231F20"/>
          <w:spacing w:val="-9"/>
          <w:sz w:val="16"/>
        </w:rPr>
        <w:t> </w:t>
      </w:r>
      <w:r>
        <w:rPr>
          <w:color w:val="231F20"/>
          <w:sz w:val="16"/>
        </w:rPr>
        <w:t>art.</w:t>
      </w:r>
      <w:r>
        <w:rPr>
          <w:color w:val="231F20"/>
          <w:spacing w:val="-9"/>
          <w:sz w:val="16"/>
        </w:rPr>
        <w:t> </w:t>
      </w:r>
      <w:r>
        <w:rPr>
          <w:color w:val="231F20"/>
          <w:spacing w:val="-3"/>
          <w:sz w:val="16"/>
        </w:rPr>
        <w:t>24,</w:t>
      </w:r>
      <w:r>
        <w:rPr>
          <w:color w:val="231F20"/>
          <w:spacing w:val="-9"/>
          <w:sz w:val="16"/>
        </w:rPr>
        <w:t> </w:t>
      </w:r>
      <w:r>
        <w:rPr>
          <w:color w:val="231F20"/>
          <w:sz w:val="16"/>
        </w:rPr>
        <w:t>inc.</w:t>
      </w:r>
      <w:r>
        <w:rPr>
          <w:color w:val="231F20"/>
          <w:spacing w:val="-9"/>
          <w:sz w:val="16"/>
        </w:rPr>
        <w:t> </w:t>
      </w:r>
      <w:r>
        <w:rPr>
          <w:color w:val="231F20"/>
          <w:sz w:val="16"/>
        </w:rPr>
        <w:t>2,</w:t>
      </w:r>
      <w:r>
        <w:rPr>
          <w:color w:val="231F20"/>
          <w:spacing w:val="-9"/>
          <w:sz w:val="16"/>
        </w:rPr>
        <w:t> </w:t>
      </w:r>
      <w:r>
        <w:rPr>
          <w:color w:val="231F20"/>
          <w:sz w:val="16"/>
        </w:rPr>
        <w:t>definen</w:t>
      </w:r>
      <w:r>
        <w:rPr>
          <w:color w:val="231F20"/>
          <w:spacing w:val="-9"/>
          <w:sz w:val="16"/>
        </w:rPr>
        <w:t> </w:t>
      </w:r>
      <w:r>
        <w:rPr>
          <w:color w:val="231F20"/>
          <w:sz w:val="16"/>
        </w:rPr>
        <w:t>los</w:t>
      </w:r>
      <w:r>
        <w:rPr>
          <w:color w:val="231F20"/>
          <w:spacing w:val="-9"/>
          <w:sz w:val="16"/>
        </w:rPr>
        <w:t> </w:t>
      </w:r>
      <w:r>
        <w:rPr>
          <w:color w:val="231F20"/>
          <w:sz w:val="16"/>
        </w:rPr>
        <w:t>rangos</w:t>
      </w:r>
      <w:r>
        <w:rPr>
          <w:color w:val="231F20"/>
          <w:spacing w:val="-9"/>
          <w:sz w:val="16"/>
        </w:rPr>
        <w:t> </w:t>
      </w:r>
      <w:r>
        <w:rPr>
          <w:color w:val="231F20"/>
          <w:sz w:val="16"/>
        </w:rPr>
        <w:t>poblacionales mediante</w:t>
      </w:r>
      <w:r>
        <w:rPr>
          <w:color w:val="231F20"/>
          <w:spacing w:val="-11"/>
          <w:sz w:val="16"/>
        </w:rPr>
        <w:t> </w:t>
      </w:r>
      <w:r>
        <w:rPr>
          <w:color w:val="231F20"/>
          <w:sz w:val="16"/>
        </w:rPr>
        <w:t>los</w:t>
      </w:r>
      <w:r>
        <w:rPr>
          <w:color w:val="231F20"/>
          <w:spacing w:val="-11"/>
          <w:sz w:val="16"/>
        </w:rPr>
        <w:t> </w:t>
      </w:r>
      <w:r>
        <w:rPr>
          <w:color w:val="231F20"/>
          <w:sz w:val="16"/>
        </w:rPr>
        <w:t>que</w:t>
      </w:r>
      <w:r>
        <w:rPr>
          <w:color w:val="231F20"/>
          <w:spacing w:val="-11"/>
          <w:sz w:val="16"/>
        </w:rPr>
        <w:t> </w:t>
      </w:r>
      <w:r>
        <w:rPr>
          <w:color w:val="231F20"/>
          <w:sz w:val="16"/>
        </w:rPr>
        <w:t>se</w:t>
      </w:r>
      <w:r>
        <w:rPr>
          <w:color w:val="231F20"/>
          <w:spacing w:val="-11"/>
          <w:sz w:val="16"/>
        </w:rPr>
        <w:t> </w:t>
      </w:r>
      <w:r>
        <w:rPr>
          <w:color w:val="231F20"/>
          <w:sz w:val="16"/>
        </w:rPr>
        <w:t>definen</w:t>
      </w:r>
      <w:r>
        <w:rPr>
          <w:color w:val="231F20"/>
          <w:spacing w:val="-11"/>
          <w:sz w:val="16"/>
        </w:rPr>
        <w:t> </w:t>
      </w:r>
      <w:r>
        <w:rPr>
          <w:color w:val="231F20"/>
          <w:sz w:val="16"/>
        </w:rPr>
        <w:t>el</w:t>
      </w:r>
      <w:r>
        <w:rPr>
          <w:color w:val="231F20"/>
          <w:spacing w:val="-11"/>
          <w:sz w:val="16"/>
        </w:rPr>
        <w:t> </w:t>
      </w:r>
      <w:r>
        <w:rPr>
          <w:color w:val="231F20"/>
          <w:sz w:val="16"/>
        </w:rPr>
        <w:t>número</w:t>
      </w:r>
      <w:r>
        <w:rPr>
          <w:color w:val="231F20"/>
          <w:spacing w:val="-11"/>
          <w:sz w:val="16"/>
        </w:rPr>
        <w:t> </w:t>
      </w:r>
      <w:r>
        <w:rPr>
          <w:color w:val="231F20"/>
          <w:sz w:val="16"/>
        </w:rPr>
        <w:t>de</w:t>
      </w:r>
      <w:r>
        <w:rPr>
          <w:color w:val="231F20"/>
          <w:spacing w:val="-11"/>
          <w:sz w:val="16"/>
        </w:rPr>
        <w:t> </w:t>
      </w:r>
      <w:r>
        <w:rPr>
          <w:color w:val="231F20"/>
          <w:sz w:val="16"/>
        </w:rPr>
        <w:t>integrantes</w:t>
      </w:r>
      <w:r>
        <w:rPr>
          <w:color w:val="231F20"/>
          <w:spacing w:val="-11"/>
          <w:sz w:val="16"/>
        </w:rPr>
        <w:t> </w:t>
      </w:r>
      <w:r>
        <w:rPr>
          <w:color w:val="231F20"/>
          <w:sz w:val="16"/>
        </w:rPr>
        <w:t>de</w:t>
      </w:r>
      <w:r>
        <w:rPr>
          <w:color w:val="231F20"/>
          <w:spacing w:val="-11"/>
          <w:sz w:val="16"/>
        </w:rPr>
        <w:t> </w:t>
      </w:r>
      <w:r>
        <w:rPr>
          <w:color w:val="231F20"/>
          <w:sz w:val="16"/>
        </w:rPr>
        <w:t>las</w:t>
      </w:r>
      <w:r>
        <w:rPr>
          <w:color w:val="231F20"/>
          <w:spacing w:val="-11"/>
          <w:sz w:val="16"/>
        </w:rPr>
        <w:t> </w:t>
      </w:r>
      <w:r>
        <w:rPr>
          <w:color w:val="231F20"/>
          <w:sz w:val="16"/>
        </w:rPr>
        <w:t>estructuras</w:t>
      </w:r>
      <w:r>
        <w:rPr>
          <w:color w:val="231F20"/>
          <w:spacing w:val="-11"/>
          <w:sz w:val="16"/>
        </w:rPr>
        <w:t> </w:t>
      </w:r>
      <w:r>
        <w:rPr>
          <w:color w:val="231F20"/>
          <w:sz w:val="16"/>
        </w:rPr>
        <w:t>de</w:t>
      </w:r>
      <w:r>
        <w:rPr>
          <w:color w:val="231F20"/>
          <w:spacing w:val="-11"/>
          <w:sz w:val="16"/>
        </w:rPr>
        <w:t> </w:t>
      </w:r>
      <w:r>
        <w:rPr>
          <w:color w:val="231F20"/>
          <w:sz w:val="16"/>
        </w:rPr>
        <w:t>los</w:t>
      </w:r>
      <w:r>
        <w:rPr>
          <w:color w:val="231F20"/>
          <w:spacing w:val="-11"/>
          <w:sz w:val="16"/>
        </w:rPr>
        <w:t> </w:t>
      </w:r>
      <w:r>
        <w:rPr>
          <w:color w:val="231F20"/>
          <w:sz w:val="16"/>
        </w:rPr>
        <w:t>ayuntamientos</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entidad.</w:t>
      </w:r>
      <w:r>
        <w:rPr>
          <w:color w:val="231F20"/>
          <w:spacing w:val="-11"/>
          <w:sz w:val="16"/>
        </w:rPr>
        <w:t> </w:t>
      </w:r>
      <w:r>
        <w:rPr>
          <w:color w:val="231F20"/>
          <w:sz w:val="16"/>
        </w:rPr>
        <w:t>Estos</w:t>
      </w:r>
      <w:r>
        <w:rPr>
          <w:color w:val="231F20"/>
          <w:spacing w:val="-11"/>
          <w:sz w:val="16"/>
        </w:rPr>
        <w:t> </w:t>
      </w:r>
      <w:r>
        <w:rPr>
          <w:color w:val="231F20"/>
          <w:sz w:val="16"/>
        </w:rPr>
        <w:t>son:</w:t>
      </w:r>
      <w:r>
        <w:rPr>
          <w:color w:val="231F20"/>
          <w:spacing w:val="-11"/>
          <w:sz w:val="16"/>
        </w:rPr>
        <w:t> </w:t>
      </w:r>
      <w:r>
        <w:rPr>
          <w:color w:val="231F20"/>
          <w:sz w:val="16"/>
        </w:rPr>
        <w:t>a)</w:t>
      </w:r>
      <w:r>
        <w:rPr>
          <w:color w:val="231F20"/>
          <w:spacing w:val="-11"/>
          <w:sz w:val="16"/>
        </w:rPr>
        <w:t> </w:t>
      </w:r>
      <w:r>
        <w:rPr>
          <w:color w:val="231F20"/>
          <w:sz w:val="16"/>
        </w:rPr>
        <w:t>los ayuntamientos</w:t>
      </w:r>
      <w:r>
        <w:rPr>
          <w:color w:val="231F20"/>
          <w:spacing w:val="-16"/>
          <w:sz w:val="16"/>
        </w:rPr>
        <w:t> </w:t>
      </w:r>
      <w:r>
        <w:rPr>
          <w:color w:val="231F20"/>
          <w:sz w:val="16"/>
        </w:rPr>
        <w:t>en</w:t>
      </w:r>
      <w:r>
        <w:rPr>
          <w:color w:val="231F20"/>
          <w:spacing w:val="-16"/>
          <w:sz w:val="16"/>
        </w:rPr>
        <w:t> </w:t>
      </w:r>
      <w:r>
        <w:rPr>
          <w:color w:val="231F20"/>
          <w:sz w:val="16"/>
        </w:rPr>
        <w:t>territorios</w:t>
      </w:r>
      <w:r>
        <w:rPr>
          <w:color w:val="231F20"/>
          <w:spacing w:val="-16"/>
          <w:sz w:val="16"/>
        </w:rPr>
        <w:t> </w:t>
      </w:r>
      <w:r>
        <w:rPr>
          <w:color w:val="231F20"/>
          <w:sz w:val="16"/>
        </w:rPr>
        <w:t>con</w:t>
      </w:r>
      <w:r>
        <w:rPr>
          <w:color w:val="231F20"/>
          <w:spacing w:val="-16"/>
          <w:sz w:val="16"/>
        </w:rPr>
        <w:t> </w:t>
      </w:r>
      <w:r>
        <w:rPr>
          <w:color w:val="231F20"/>
          <w:sz w:val="16"/>
        </w:rPr>
        <w:t>menos</w:t>
      </w:r>
      <w:r>
        <w:rPr>
          <w:color w:val="231F20"/>
          <w:spacing w:val="-16"/>
          <w:sz w:val="16"/>
        </w:rPr>
        <w:t> </w:t>
      </w:r>
      <w:r>
        <w:rPr>
          <w:color w:val="231F20"/>
          <w:sz w:val="16"/>
        </w:rPr>
        <w:t>de</w:t>
      </w:r>
      <w:r>
        <w:rPr>
          <w:color w:val="231F20"/>
          <w:spacing w:val="-16"/>
          <w:sz w:val="16"/>
        </w:rPr>
        <w:t> </w:t>
      </w:r>
      <w:r>
        <w:rPr>
          <w:color w:val="231F20"/>
          <w:spacing w:val="-4"/>
          <w:sz w:val="16"/>
        </w:rPr>
        <w:t>150</w:t>
      </w:r>
      <w:r>
        <w:rPr>
          <w:color w:val="231F20"/>
          <w:spacing w:val="-16"/>
          <w:sz w:val="16"/>
        </w:rPr>
        <w:t> </w:t>
      </w:r>
      <w:r>
        <w:rPr>
          <w:color w:val="231F20"/>
          <w:sz w:val="16"/>
        </w:rPr>
        <w:t>mil</w:t>
      </w:r>
      <w:r>
        <w:rPr>
          <w:color w:val="231F20"/>
          <w:spacing w:val="-16"/>
          <w:sz w:val="16"/>
        </w:rPr>
        <w:t> </w:t>
      </w:r>
      <w:r>
        <w:rPr>
          <w:color w:val="231F20"/>
          <w:sz w:val="16"/>
        </w:rPr>
        <w:t>habitantes</w:t>
      </w:r>
      <w:r>
        <w:rPr>
          <w:color w:val="231F20"/>
          <w:spacing w:val="-16"/>
          <w:sz w:val="16"/>
        </w:rPr>
        <w:t> </w:t>
      </w:r>
      <w:r>
        <w:rPr>
          <w:color w:val="231F20"/>
          <w:sz w:val="16"/>
        </w:rPr>
        <w:t>se</w:t>
      </w:r>
      <w:r>
        <w:rPr>
          <w:color w:val="231F20"/>
          <w:spacing w:val="-16"/>
          <w:sz w:val="16"/>
        </w:rPr>
        <w:t> </w:t>
      </w:r>
      <w:r>
        <w:rPr>
          <w:color w:val="231F20"/>
          <w:sz w:val="16"/>
        </w:rPr>
        <w:t>integrarán</w:t>
      </w:r>
      <w:r>
        <w:rPr>
          <w:color w:val="231F20"/>
          <w:spacing w:val="-16"/>
          <w:sz w:val="16"/>
        </w:rPr>
        <w:t> </w:t>
      </w:r>
      <w:r>
        <w:rPr>
          <w:color w:val="231F20"/>
          <w:sz w:val="16"/>
        </w:rPr>
        <w:t>por</w:t>
      </w:r>
      <w:r>
        <w:rPr>
          <w:color w:val="231F20"/>
          <w:spacing w:val="-16"/>
          <w:sz w:val="16"/>
        </w:rPr>
        <w:t> </w:t>
      </w:r>
      <w:r>
        <w:rPr>
          <w:color w:val="231F20"/>
          <w:sz w:val="16"/>
        </w:rPr>
        <w:t>1</w:t>
      </w:r>
      <w:r>
        <w:rPr>
          <w:color w:val="231F20"/>
          <w:spacing w:val="-16"/>
          <w:sz w:val="16"/>
        </w:rPr>
        <w:t> </w:t>
      </w:r>
      <w:r>
        <w:rPr>
          <w:color w:val="231F20"/>
          <w:sz w:val="16"/>
        </w:rPr>
        <w:t>presidente</w:t>
      </w:r>
      <w:r>
        <w:rPr>
          <w:color w:val="231F20"/>
          <w:spacing w:val="-16"/>
          <w:sz w:val="16"/>
        </w:rPr>
        <w:t> </w:t>
      </w:r>
      <w:r>
        <w:rPr>
          <w:color w:val="231F20"/>
          <w:sz w:val="16"/>
        </w:rPr>
        <w:t>municipal,</w:t>
      </w:r>
      <w:r>
        <w:rPr>
          <w:color w:val="231F20"/>
          <w:spacing w:val="-16"/>
          <w:sz w:val="16"/>
        </w:rPr>
        <w:t> </w:t>
      </w:r>
      <w:r>
        <w:rPr>
          <w:color w:val="231F20"/>
          <w:sz w:val="16"/>
        </w:rPr>
        <w:t>1</w:t>
      </w:r>
      <w:r>
        <w:rPr>
          <w:color w:val="231F20"/>
          <w:spacing w:val="-16"/>
          <w:sz w:val="16"/>
        </w:rPr>
        <w:t> </w:t>
      </w:r>
      <w:r>
        <w:rPr>
          <w:color w:val="231F20"/>
          <w:sz w:val="16"/>
        </w:rPr>
        <w:t>síndico,</w:t>
      </w:r>
      <w:r>
        <w:rPr>
          <w:color w:val="231F20"/>
          <w:spacing w:val="-16"/>
          <w:sz w:val="16"/>
        </w:rPr>
        <w:t> </w:t>
      </w:r>
      <w:r>
        <w:rPr>
          <w:color w:val="231F20"/>
          <w:sz w:val="16"/>
        </w:rPr>
        <w:t>6</w:t>
      </w:r>
      <w:r>
        <w:rPr>
          <w:color w:val="231F20"/>
          <w:spacing w:val="-16"/>
          <w:sz w:val="16"/>
        </w:rPr>
        <w:t> </w:t>
      </w:r>
      <w:r>
        <w:rPr>
          <w:color w:val="231F20"/>
          <w:sz w:val="16"/>
        </w:rPr>
        <w:t>regidores electos</w:t>
      </w:r>
      <w:r>
        <w:rPr>
          <w:color w:val="231F20"/>
          <w:spacing w:val="-10"/>
          <w:sz w:val="16"/>
        </w:rPr>
        <w:t> </w:t>
      </w:r>
      <w:r>
        <w:rPr>
          <w:color w:val="231F20"/>
          <w:sz w:val="16"/>
        </w:rPr>
        <w:t>por</w:t>
      </w:r>
      <w:r>
        <w:rPr>
          <w:color w:val="231F20"/>
          <w:spacing w:val="-10"/>
          <w:sz w:val="16"/>
        </w:rPr>
        <w:t> </w:t>
      </w:r>
      <w:r>
        <w:rPr>
          <w:color w:val="231F20"/>
          <w:sz w:val="16"/>
        </w:rPr>
        <w:t>mayoría</w:t>
      </w:r>
      <w:r>
        <w:rPr>
          <w:color w:val="231F20"/>
          <w:spacing w:val="-10"/>
          <w:sz w:val="16"/>
        </w:rPr>
        <w:t> </w:t>
      </w:r>
      <w:r>
        <w:rPr>
          <w:color w:val="231F20"/>
          <w:sz w:val="16"/>
        </w:rPr>
        <w:t>y</w:t>
      </w:r>
      <w:r>
        <w:rPr>
          <w:color w:val="231F20"/>
          <w:spacing w:val="-10"/>
          <w:sz w:val="16"/>
        </w:rPr>
        <w:t> </w:t>
      </w:r>
      <w:r>
        <w:rPr>
          <w:color w:val="231F20"/>
          <w:sz w:val="16"/>
        </w:rPr>
        <w:t>4</w:t>
      </w:r>
      <w:r>
        <w:rPr>
          <w:color w:val="231F20"/>
          <w:spacing w:val="-10"/>
          <w:sz w:val="16"/>
        </w:rPr>
        <w:t> </w:t>
      </w:r>
      <w:r>
        <w:rPr>
          <w:color w:val="231F20"/>
          <w:sz w:val="16"/>
        </w:rPr>
        <w:t>por</w:t>
      </w:r>
      <w:r>
        <w:rPr>
          <w:color w:val="231F20"/>
          <w:spacing w:val="-10"/>
          <w:sz w:val="16"/>
        </w:rPr>
        <w:t> </w:t>
      </w:r>
      <w:r>
        <w:rPr>
          <w:color w:val="231F20"/>
          <w:sz w:val="16"/>
        </w:rPr>
        <w:t>representación</w:t>
      </w:r>
      <w:r>
        <w:rPr>
          <w:color w:val="231F20"/>
          <w:spacing w:val="-10"/>
          <w:sz w:val="16"/>
        </w:rPr>
        <w:t> </w:t>
      </w:r>
      <w:r>
        <w:rPr>
          <w:color w:val="231F20"/>
          <w:sz w:val="16"/>
        </w:rPr>
        <w:t>proporcional;</w:t>
      </w:r>
      <w:r>
        <w:rPr>
          <w:color w:val="231F20"/>
          <w:spacing w:val="-10"/>
          <w:sz w:val="16"/>
        </w:rPr>
        <w:t> </w:t>
      </w:r>
      <w:r>
        <w:rPr>
          <w:color w:val="231F20"/>
          <w:sz w:val="16"/>
        </w:rPr>
        <w:t>b)</w:t>
      </w:r>
      <w:r>
        <w:rPr>
          <w:color w:val="231F20"/>
          <w:spacing w:val="-10"/>
          <w:sz w:val="16"/>
        </w:rPr>
        <w:t> </w:t>
      </w:r>
      <w:r>
        <w:rPr>
          <w:color w:val="231F20"/>
          <w:sz w:val="16"/>
        </w:rPr>
        <w:t>los</w:t>
      </w:r>
      <w:r>
        <w:rPr>
          <w:color w:val="231F20"/>
          <w:spacing w:val="-10"/>
          <w:sz w:val="16"/>
        </w:rPr>
        <w:t> </w:t>
      </w:r>
      <w:r>
        <w:rPr>
          <w:color w:val="231F20"/>
          <w:sz w:val="16"/>
        </w:rPr>
        <w:t>ayuntamientos</w:t>
      </w:r>
      <w:r>
        <w:rPr>
          <w:color w:val="231F20"/>
          <w:spacing w:val="-10"/>
          <w:sz w:val="16"/>
        </w:rPr>
        <w:t> </w:t>
      </w:r>
      <w:r>
        <w:rPr>
          <w:color w:val="231F20"/>
          <w:sz w:val="16"/>
        </w:rPr>
        <w:t>de</w:t>
      </w:r>
      <w:r>
        <w:rPr>
          <w:color w:val="231F20"/>
          <w:spacing w:val="-10"/>
          <w:sz w:val="16"/>
        </w:rPr>
        <w:t> </w:t>
      </w:r>
      <w:r>
        <w:rPr>
          <w:color w:val="231F20"/>
          <w:sz w:val="16"/>
        </w:rPr>
        <w:t>territorios</w:t>
      </w:r>
      <w:r>
        <w:rPr>
          <w:color w:val="231F20"/>
          <w:spacing w:val="-10"/>
          <w:sz w:val="16"/>
        </w:rPr>
        <w:t> </w:t>
      </w:r>
      <w:r>
        <w:rPr>
          <w:color w:val="231F20"/>
          <w:sz w:val="16"/>
        </w:rPr>
        <w:t>con</w:t>
      </w:r>
      <w:r>
        <w:rPr>
          <w:color w:val="231F20"/>
          <w:spacing w:val="-10"/>
          <w:sz w:val="16"/>
        </w:rPr>
        <w:t> </w:t>
      </w:r>
      <w:r>
        <w:rPr>
          <w:color w:val="231F20"/>
          <w:spacing w:val="-4"/>
          <w:sz w:val="16"/>
        </w:rPr>
        <w:t>150</w:t>
      </w:r>
      <w:r>
        <w:rPr>
          <w:color w:val="231F20"/>
          <w:spacing w:val="-10"/>
          <w:sz w:val="16"/>
        </w:rPr>
        <w:t> </w:t>
      </w:r>
      <w:r>
        <w:rPr>
          <w:color w:val="231F20"/>
          <w:sz w:val="16"/>
        </w:rPr>
        <w:t>mil</w:t>
      </w:r>
      <w:r>
        <w:rPr>
          <w:color w:val="231F20"/>
          <w:spacing w:val="-10"/>
          <w:sz w:val="16"/>
        </w:rPr>
        <w:t> </w:t>
      </w:r>
      <w:r>
        <w:rPr>
          <w:color w:val="231F20"/>
          <w:sz w:val="16"/>
        </w:rPr>
        <w:t>a</w:t>
      </w:r>
      <w:r>
        <w:rPr>
          <w:color w:val="231F20"/>
          <w:spacing w:val="-10"/>
          <w:sz w:val="16"/>
        </w:rPr>
        <w:t> </w:t>
      </w:r>
      <w:r>
        <w:rPr>
          <w:color w:val="231F20"/>
          <w:sz w:val="16"/>
        </w:rPr>
        <w:t>menos</w:t>
      </w:r>
      <w:r>
        <w:rPr>
          <w:color w:val="231F20"/>
          <w:spacing w:val="-10"/>
          <w:sz w:val="16"/>
        </w:rPr>
        <w:t> </w:t>
      </w:r>
      <w:r>
        <w:rPr>
          <w:color w:val="231F20"/>
          <w:sz w:val="16"/>
        </w:rPr>
        <w:t>de</w:t>
      </w:r>
      <w:r>
        <w:rPr>
          <w:color w:val="231F20"/>
          <w:spacing w:val="-10"/>
          <w:sz w:val="16"/>
        </w:rPr>
        <w:t> </w:t>
      </w:r>
      <w:r>
        <w:rPr>
          <w:color w:val="231F20"/>
          <w:sz w:val="16"/>
        </w:rPr>
        <w:t>500</w:t>
      </w:r>
      <w:r>
        <w:rPr>
          <w:color w:val="231F20"/>
          <w:spacing w:val="-10"/>
          <w:sz w:val="16"/>
        </w:rPr>
        <w:t> </w:t>
      </w:r>
      <w:r>
        <w:rPr>
          <w:color w:val="231F20"/>
          <w:sz w:val="16"/>
        </w:rPr>
        <w:t>mil habitantes se integrarán con 1 presidente municipal, 1 síndico, 7 regidores de mayoría relativa y 6 de representación pro- porcional;</w:t>
      </w:r>
      <w:r>
        <w:rPr>
          <w:color w:val="231F20"/>
          <w:spacing w:val="-7"/>
          <w:sz w:val="16"/>
        </w:rPr>
        <w:t> </w:t>
      </w:r>
      <w:r>
        <w:rPr>
          <w:color w:val="231F20"/>
          <w:sz w:val="16"/>
        </w:rPr>
        <w:t>c)</w:t>
      </w:r>
      <w:r>
        <w:rPr>
          <w:color w:val="231F20"/>
          <w:spacing w:val="-7"/>
          <w:sz w:val="16"/>
        </w:rPr>
        <w:t> </w:t>
      </w:r>
      <w:r>
        <w:rPr>
          <w:color w:val="231F20"/>
          <w:sz w:val="16"/>
        </w:rPr>
        <w:t>los</w:t>
      </w:r>
      <w:r>
        <w:rPr>
          <w:color w:val="231F20"/>
          <w:spacing w:val="-7"/>
          <w:sz w:val="16"/>
        </w:rPr>
        <w:t> </w:t>
      </w:r>
      <w:r>
        <w:rPr>
          <w:color w:val="231F20"/>
          <w:sz w:val="16"/>
        </w:rPr>
        <w:t>ayuntamientos</w:t>
      </w:r>
      <w:r>
        <w:rPr>
          <w:color w:val="231F20"/>
          <w:spacing w:val="-7"/>
          <w:sz w:val="16"/>
        </w:rPr>
        <w:t> </w:t>
      </w:r>
      <w:r>
        <w:rPr>
          <w:color w:val="231F20"/>
          <w:sz w:val="16"/>
        </w:rPr>
        <w:t>de</w:t>
      </w:r>
      <w:r>
        <w:rPr>
          <w:color w:val="231F20"/>
          <w:spacing w:val="-7"/>
          <w:sz w:val="16"/>
        </w:rPr>
        <w:t> </w:t>
      </w:r>
      <w:r>
        <w:rPr>
          <w:color w:val="231F20"/>
          <w:sz w:val="16"/>
        </w:rPr>
        <w:t>territorios</w:t>
      </w:r>
      <w:r>
        <w:rPr>
          <w:color w:val="231F20"/>
          <w:spacing w:val="-7"/>
          <w:sz w:val="16"/>
        </w:rPr>
        <w:t> </w:t>
      </w:r>
      <w:r>
        <w:rPr>
          <w:color w:val="231F20"/>
          <w:sz w:val="16"/>
        </w:rPr>
        <w:t>con</w:t>
      </w:r>
      <w:r>
        <w:rPr>
          <w:color w:val="231F20"/>
          <w:spacing w:val="-7"/>
          <w:sz w:val="16"/>
        </w:rPr>
        <w:t> </w:t>
      </w:r>
      <w:r>
        <w:rPr>
          <w:color w:val="231F20"/>
          <w:sz w:val="16"/>
        </w:rPr>
        <w:t>500</w:t>
      </w:r>
      <w:r>
        <w:rPr>
          <w:color w:val="231F20"/>
          <w:spacing w:val="-7"/>
          <w:sz w:val="16"/>
        </w:rPr>
        <w:t> </w:t>
      </w:r>
      <w:r>
        <w:rPr>
          <w:color w:val="231F20"/>
          <w:sz w:val="16"/>
        </w:rPr>
        <w:t>mil</w:t>
      </w:r>
      <w:r>
        <w:rPr>
          <w:color w:val="231F20"/>
          <w:spacing w:val="-7"/>
          <w:sz w:val="16"/>
        </w:rPr>
        <w:t> </w:t>
      </w:r>
      <w:r>
        <w:rPr>
          <w:color w:val="231F20"/>
          <w:sz w:val="16"/>
        </w:rPr>
        <w:t>a</w:t>
      </w:r>
      <w:r>
        <w:rPr>
          <w:color w:val="231F20"/>
          <w:spacing w:val="-7"/>
          <w:sz w:val="16"/>
        </w:rPr>
        <w:t> </w:t>
      </w:r>
      <w:r>
        <w:rPr>
          <w:color w:val="231F20"/>
          <w:sz w:val="16"/>
        </w:rPr>
        <w:t>menos</w:t>
      </w:r>
      <w:r>
        <w:rPr>
          <w:color w:val="231F20"/>
          <w:spacing w:val="-7"/>
          <w:sz w:val="16"/>
        </w:rPr>
        <w:t> </w:t>
      </w:r>
      <w:r>
        <w:rPr>
          <w:color w:val="231F20"/>
          <w:sz w:val="16"/>
        </w:rPr>
        <w:t>de</w:t>
      </w:r>
      <w:r>
        <w:rPr>
          <w:color w:val="231F20"/>
          <w:spacing w:val="-7"/>
          <w:sz w:val="16"/>
        </w:rPr>
        <w:t> </w:t>
      </w:r>
      <w:r>
        <w:rPr>
          <w:color w:val="231F20"/>
          <w:sz w:val="16"/>
        </w:rPr>
        <w:t>1</w:t>
      </w:r>
      <w:r>
        <w:rPr>
          <w:color w:val="231F20"/>
          <w:spacing w:val="-7"/>
          <w:sz w:val="16"/>
        </w:rPr>
        <w:t> </w:t>
      </w:r>
      <w:r>
        <w:rPr>
          <w:color w:val="231F20"/>
          <w:sz w:val="16"/>
        </w:rPr>
        <w:t>millón</w:t>
      </w:r>
      <w:r>
        <w:rPr>
          <w:color w:val="231F20"/>
          <w:spacing w:val="-7"/>
          <w:sz w:val="16"/>
        </w:rPr>
        <w:t> </w:t>
      </w:r>
      <w:r>
        <w:rPr>
          <w:color w:val="231F20"/>
          <w:sz w:val="16"/>
        </w:rPr>
        <w:t>de</w:t>
      </w:r>
      <w:r>
        <w:rPr>
          <w:color w:val="231F20"/>
          <w:spacing w:val="-7"/>
          <w:sz w:val="16"/>
        </w:rPr>
        <w:t> </w:t>
      </w:r>
      <w:r>
        <w:rPr>
          <w:color w:val="231F20"/>
          <w:sz w:val="16"/>
        </w:rPr>
        <w:t>habitantes</w:t>
      </w:r>
      <w:r>
        <w:rPr>
          <w:color w:val="231F20"/>
          <w:spacing w:val="-7"/>
          <w:sz w:val="16"/>
        </w:rPr>
        <w:t> </w:t>
      </w:r>
      <w:r>
        <w:rPr>
          <w:color w:val="231F20"/>
          <w:sz w:val="16"/>
        </w:rPr>
        <w:t>se</w:t>
      </w:r>
      <w:r>
        <w:rPr>
          <w:color w:val="231F20"/>
          <w:spacing w:val="-7"/>
          <w:sz w:val="16"/>
        </w:rPr>
        <w:t> </w:t>
      </w:r>
      <w:r>
        <w:rPr>
          <w:color w:val="231F20"/>
          <w:sz w:val="16"/>
        </w:rPr>
        <w:t>integrarán</w:t>
      </w:r>
      <w:r>
        <w:rPr>
          <w:color w:val="231F20"/>
          <w:spacing w:val="-7"/>
          <w:sz w:val="16"/>
        </w:rPr>
        <w:t> </w:t>
      </w:r>
      <w:r>
        <w:rPr>
          <w:color w:val="231F20"/>
          <w:sz w:val="16"/>
        </w:rPr>
        <w:t>con</w:t>
      </w:r>
      <w:r>
        <w:rPr>
          <w:color w:val="231F20"/>
          <w:spacing w:val="-7"/>
          <w:sz w:val="16"/>
        </w:rPr>
        <w:t> </w:t>
      </w:r>
      <w:r>
        <w:rPr>
          <w:color w:val="231F20"/>
          <w:sz w:val="16"/>
        </w:rPr>
        <w:t>1</w:t>
      </w:r>
      <w:r>
        <w:rPr>
          <w:color w:val="231F20"/>
          <w:spacing w:val="-7"/>
          <w:sz w:val="16"/>
        </w:rPr>
        <w:t> </w:t>
      </w:r>
      <w:r>
        <w:rPr>
          <w:color w:val="231F20"/>
          <w:sz w:val="16"/>
        </w:rPr>
        <w:t>presidente municipal,</w:t>
      </w:r>
      <w:r>
        <w:rPr>
          <w:color w:val="231F20"/>
          <w:spacing w:val="-8"/>
          <w:sz w:val="16"/>
        </w:rPr>
        <w:t> </w:t>
      </w:r>
      <w:r>
        <w:rPr>
          <w:color w:val="231F20"/>
          <w:sz w:val="16"/>
        </w:rPr>
        <w:t>2</w:t>
      </w:r>
      <w:r>
        <w:rPr>
          <w:color w:val="231F20"/>
          <w:spacing w:val="-8"/>
          <w:sz w:val="16"/>
        </w:rPr>
        <w:t> </w:t>
      </w:r>
      <w:r>
        <w:rPr>
          <w:color w:val="231F20"/>
          <w:sz w:val="16"/>
        </w:rPr>
        <w:t>síndicos</w:t>
      </w:r>
      <w:r>
        <w:rPr>
          <w:color w:val="231F20"/>
          <w:spacing w:val="-8"/>
          <w:sz w:val="16"/>
        </w:rPr>
        <w:t> </w:t>
      </w:r>
      <w:r>
        <w:rPr>
          <w:color w:val="231F20"/>
          <w:sz w:val="16"/>
        </w:rPr>
        <w:t>y</w:t>
      </w:r>
      <w:r>
        <w:rPr>
          <w:color w:val="231F20"/>
          <w:spacing w:val="-8"/>
          <w:sz w:val="16"/>
        </w:rPr>
        <w:t> </w:t>
      </w:r>
      <w:r>
        <w:rPr>
          <w:color w:val="231F20"/>
          <w:sz w:val="16"/>
        </w:rPr>
        <w:t>9</w:t>
      </w:r>
      <w:r>
        <w:rPr>
          <w:color w:val="231F20"/>
          <w:spacing w:val="-8"/>
          <w:sz w:val="16"/>
        </w:rPr>
        <w:t> </w:t>
      </w:r>
      <w:r>
        <w:rPr>
          <w:color w:val="231F20"/>
          <w:sz w:val="16"/>
        </w:rPr>
        <w:t>regidores</w:t>
      </w:r>
      <w:r>
        <w:rPr>
          <w:color w:val="231F20"/>
          <w:spacing w:val="-8"/>
          <w:sz w:val="16"/>
        </w:rPr>
        <w:t> </w:t>
      </w:r>
      <w:r>
        <w:rPr>
          <w:color w:val="231F20"/>
          <w:sz w:val="16"/>
        </w:rPr>
        <w:t>de</w:t>
      </w:r>
      <w:r>
        <w:rPr>
          <w:color w:val="231F20"/>
          <w:spacing w:val="-8"/>
          <w:sz w:val="16"/>
        </w:rPr>
        <w:t> </w:t>
      </w:r>
      <w:r>
        <w:rPr>
          <w:color w:val="231F20"/>
          <w:sz w:val="16"/>
        </w:rPr>
        <w:t>mayoría</w:t>
      </w:r>
      <w:r>
        <w:rPr>
          <w:color w:val="231F20"/>
          <w:spacing w:val="-8"/>
          <w:sz w:val="16"/>
        </w:rPr>
        <w:t> </w:t>
      </w:r>
      <w:r>
        <w:rPr>
          <w:color w:val="231F20"/>
          <w:sz w:val="16"/>
        </w:rPr>
        <w:t>y</w:t>
      </w:r>
      <w:r>
        <w:rPr>
          <w:color w:val="231F20"/>
          <w:spacing w:val="-8"/>
          <w:sz w:val="16"/>
        </w:rPr>
        <w:t> </w:t>
      </w:r>
      <w:r>
        <w:rPr>
          <w:color w:val="231F20"/>
          <w:sz w:val="16"/>
        </w:rPr>
        <w:t>7</w:t>
      </w:r>
      <w:r>
        <w:rPr>
          <w:color w:val="231F20"/>
          <w:spacing w:val="-8"/>
          <w:sz w:val="16"/>
        </w:rPr>
        <w:t> </w:t>
      </w:r>
      <w:r>
        <w:rPr>
          <w:color w:val="231F20"/>
          <w:sz w:val="16"/>
        </w:rPr>
        <w:t>de</w:t>
      </w:r>
      <w:r>
        <w:rPr>
          <w:color w:val="231F20"/>
          <w:spacing w:val="-8"/>
          <w:sz w:val="16"/>
        </w:rPr>
        <w:t> </w:t>
      </w:r>
      <w:r>
        <w:rPr>
          <w:color w:val="231F20"/>
          <w:sz w:val="16"/>
        </w:rPr>
        <w:t>representación</w:t>
      </w:r>
      <w:r>
        <w:rPr>
          <w:color w:val="231F20"/>
          <w:spacing w:val="-8"/>
          <w:sz w:val="16"/>
        </w:rPr>
        <w:t> </w:t>
      </w:r>
      <w:r>
        <w:rPr>
          <w:color w:val="231F20"/>
          <w:sz w:val="16"/>
        </w:rPr>
        <w:t>proporcional;</w:t>
      </w:r>
      <w:r>
        <w:rPr>
          <w:color w:val="231F20"/>
          <w:spacing w:val="-8"/>
          <w:sz w:val="16"/>
        </w:rPr>
        <w:t> </w:t>
      </w:r>
      <w:r>
        <w:rPr>
          <w:color w:val="231F20"/>
          <w:sz w:val="16"/>
        </w:rPr>
        <w:t>y</w:t>
      </w:r>
      <w:r>
        <w:rPr>
          <w:color w:val="231F20"/>
          <w:spacing w:val="-8"/>
          <w:sz w:val="16"/>
        </w:rPr>
        <w:t> </w:t>
      </w:r>
      <w:r>
        <w:rPr>
          <w:color w:val="231F20"/>
          <w:sz w:val="16"/>
        </w:rPr>
        <w:t>d)</w:t>
      </w:r>
      <w:r>
        <w:rPr>
          <w:color w:val="231F20"/>
          <w:spacing w:val="-8"/>
          <w:sz w:val="16"/>
        </w:rPr>
        <w:t> </w:t>
      </w:r>
      <w:r>
        <w:rPr>
          <w:color w:val="231F20"/>
          <w:sz w:val="16"/>
        </w:rPr>
        <w:t>los</w:t>
      </w:r>
      <w:r>
        <w:rPr>
          <w:color w:val="231F20"/>
          <w:spacing w:val="-8"/>
          <w:sz w:val="16"/>
        </w:rPr>
        <w:t> </w:t>
      </w:r>
      <w:r>
        <w:rPr>
          <w:color w:val="231F20"/>
          <w:sz w:val="16"/>
        </w:rPr>
        <w:t>ayuntamientos</w:t>
      </w:r>
      <w:r>
        <w:rPr>
          <w:color w:val="231F20"/>
          <w:spacing w:val="-8"/>
          <w:sz w:val="16"/>
        </w:rPr>
        <w:t> </w:t>
      </w:r>
      <w:r>
        <w:rPr>
          <w:color w:val="231F20"/>
          <w:sz w:val="16"/>
        </w:rPr>
        <w:t>en</w:t>
      </w:r>
      <w:r>
        <w:rPr>
          <w:color w:val="231F20"/>
          <w:spacing w:val="-8"/>
          <w:sz w:val="16"/>
        </w:rPr>
        <w:t> </w:t>
      </w:r>
      <w:r>
        <w:rPr>
          <w:color w:val="231F20"/>
          <w:sz w:val="16"/>
        </w:rPr>
        <w:t>territorios</w:t>
      </w:r>
      <w:r>
        <w:rPr>
          <w:color w:val="231F20"/>
          <w:spacing w:val="-8"/>
          <w:sz w:val="16"/>
        </w:rPr>
        <w:t> </w:t>
      </w:r>
      <w:r>
        <w:rPr>
          <w:color w:val="231F20"/>
          <w:sz w:val="16"/>
        </w:rPr>
        <w:t>con más</w:t>
      </w:r>
      <w:r>
        <w:rPr>
          <w:color w:val="231F20"/>
          <w:spacing w:val="-10"/>
          <w:sz w:val="16"/>
        </w:rPr>
        <w:t> </w:t>
      </w:r>
      <w:r>
        <w:rPr>
          <w:color w:val="231F20"/>
          <w:sz w:val="16"/>
        </w:rPr>
        <w:t>de</w:t>
      </w:r>
      <w:r>
        <w:rPr>
          <w:color w:val="231F20"/>
          <w:spacing w:val="-10"/>
          <w:sz w:val="16"/>
        </w:rPr>
        <w:t> </w:t>
      </w:r>
      <w:r>
        <w:rPr>
          <w:color w:val="231F20"/>
          <w:sz w:val="16"/>
        </w:rPr>
        <w:t>1</w:t>
      </w:r>
      <w:r>
        <w:rPr>
          <w:color w:val="231F20"/>
          <w:spacing w:val="-10"/>
          <w:sz w:val="16"/>
        </w:rPr>
        <w:t> </w:t>
      </w:r>
      <w:r>
        <w:rPr>
          <w:color w:val="231F20"/>
          <w:sz w:val="16"/>
        </w:rPr>
        <w:t>millón</w:t>
      </w:r>
      <w:r>
        <w:rPr>
          <w:color w:val="231F20"/>
          <w:spacing w:val="-10"/>
          <w:sz w:val="16"/>
        </w:rPr>
        <w:t> </w:t>
      </w:r>
      <w:r>
        <w:rPr>
          <w:color w:val="231F20"/>
          <w:sz w:val="16"/>
        </w:rPr>
        <w:t>de</w:t>
      </w:r>
      <w:r>
        <w:rPr>
          <w:color w:val="231F20"/>
          <w:spacing w:val="-10"/>
          <w:sz w:val="16"/>
        </w:rPr>
        <w:t> </w:t>
      </w:r>
      <w:r>
        <w:rPr>
          <w:color w:val="231F20"/>
          <w:sz w:val="16"/>
        </w:rPr>
        <w:t>habitantes</w:t>
      </w:r>
      <w:r>
        <w:rPr>
          <w:color w:val="231F20"/>
          <w:spacing w:val="-10"/>
          <w:sz w:val="16"/>
        </w:rPr>
        <w:t> </w:t>
      </w:r>
      <w:r>
        <w:rPr>
          <w:color w:val="231F20"/>
          <w:sz w:val="16"/>
        </w:rPr>
        <w:t>se</w:t>
      </w:r>
      <w:r>
        <w:rPr>
          <w:color w:val="231F20"/>
          <w:spacing w:val="-10"/>
          <w:sz w:val="16"/>
        </w:rPr>
        <w:t> </w:t>
      </w:r>
      <w:r>
        <w:rPr>
          <w:color w:val="231F20"/>
          <w:sz w:val="16"/>
        </w:rPr>
        <w:t>integran</w:t>
      </w:r>
      <w:r>
        <w:rPr>
          <w:color w:val="231F20"/>
          <w:spacing w:val="-10"/>
          <w:sz w:val="16"/>
        </w:rPr>
        <w:t> </w:t>
      </w:r>
      <w:r>
        <w:rPr>
          <w:color w:val="231F20"/>
          <w:sz w:val="16"/>
        </w:rPr>
        <w:t>por</w:t>
      </w:r>
      <w:r>
        <w:rPr>
          <w:color w:val="231F20"/>
          <w:spacing w:val="-10"/>
          <w:sz w:val="16"/>
        </w:rPr>
        <w:t> </w:t>
      </w:r>
      <w:r>
        <w:rPr>
          <w:color w:val="231F20"/>
          <w:sz w:val="16"/>
        </w:rPr>
        <w:t>1</w:t>
      </w:r>
      <w:r>
        <w:rPr>
          <w:color w:val="231F20"/>
          <w:spacing w:val="-10"/>
          <w:sz w:val="16"/>
        </w:rPr>
        <w:t> </w:t>
      </w:r>
      <w:r>
        <w:rPr>
          <w:color w:val="231F20"/>
          <w:sz w:val="16"/>
        </w:rPr>
        <w:t>presidente</w:t>
      </w:r>
      <w:r>
        <w:rPr>
          <w:color w:val="231F20"/>
          <w:spacing w:val="-10"/>
          <w:sz w:val="16"/>
        </w:rPr>
        <w:t> </w:t>
      </w:r>
      <w:r>
        <w:rPr>
          <w:color w:val="231F20"/>
          <w:sz w:val="16"/>
        </w:rPr>
        <w:t>municipal,</w:t>
      </w:r>
      <w:r>
        <w:rPr>
          <w:color w:val="231F20"/>
          <w:spacing w:val="-10"/>
          <w:sz w:val="16"/>
        </w:rPr>
        <w:t> </w:t>
      </w:r>
      <w:r>
        <w:rPr>
          <w:color w:val="231F20"/>
          <w:sz w:val="16"/>
        </w:rPr>
        <w:t>2</w:t>
      </w:r>
      <w:r>
        <w:rPr>
          <w:color w:val="231F20"/>
          <w:spacing w:val="-10"/>
          <w:sz w:val="16"/>
        </w:rPr>
        <w:t> </w:t>
      </w:r>
      <w:r>
        <w:rPr>
          <w:color w:val="231F20"/>
          <w:sz w:val="16"/>
        </w:rPr>
        <w:t>síndicos</w:t>
      </w:r>
      <w:r>
        <w:rPr>
          <w:color w:val="231F20"/>
          <w:spacing w:val="-10"/>
          <w:sz w:val="16"/>
        </w:rPr>
        <w:t> </w:t>
      </w:r>
      <w:r>
        <w:rPr>
          <w:color w:val="231F20"/>
          <w:sz w:val="16"/>
        </w:rPr>
        <w:t>y</w:t>
      </w:r>
      <w:r>
        <w:rPr>
          <w:color w:val="231F20"/>
          <w:spacing w:val="-10"/>
          <w:sz w:val="16"/>
        </w:rPr>
        <w:t> </w:t>
      </w:r>
      <w:r>
        <w:rPr>
          <w:color w:val="231F20"/>
          <w:spacing w:val="-8"/>
          <w:sz w:val="16"/>
        </w:rPr>
        <w:t>11</w:t>
      </w:r>
      <w:r>
        <w:rPr>
          <w:color w:val="231F20"/>
          <w:spacing w:val="-10"/>
          <w:sz w:val="16"/>
        </w:rPr>
        <w:t> </w:t>
      </w:r>
      <w:r>
        <w:rPr>
          <w:color w:val="231F20"/>
          <w:sz w:val="16"/>
        </w:rPr>
        <w:t>regidores</w:t>
      </w:r>
      <w:r>
        <w:rPr>
          <w:color w:val="231F20"/>
          <w:spacing w:val="-10"/>
          <w:sz w:val="16"/>
        </w:rPr>
        <w:t> </w:t>
      </w:r>
      <w:r>
        <w:rPr>
          <w:color w:val="231F20"/>
          <w:sz w:val="16"/>
        </w:rPr>
        <w:t>elegidos</w:t>
      </w:r>
      <w:r>
        <w:rPr>
          <w:color w:val="231F20"/>
          <w:spacing w:val="-10"/>
          <w:sz w:val="16"/>
        </w:rPr>
        <w:t> </w:t>
      </w:r>
      <w:r>
        <w:rPr>
          <w:color w:val="231F20"/>
          <w:sz w:val="16"/>
        </w:rPr>
        <w:t>por</w:t>
      </w:r>
      <w:r>
        <w:rPr>
          <w:color w:val="231F20"/>
          <w:spacing w:val="-10"/>
          <w:sz w:val="16"/>
        </w:rPr>
        <w:t> </w:t>
      </w:r>
      <w:r>
        <w:rPr>
          <w:color w:val="231F20"/>
          <w:sz w:val="16"/>
        </w:rPr>
        <w:t>mayoría</w:t>
      </w:r>
      <w:r>
        <w:rPr>
          <w:color w:val="231F20"/>
          <w:spacing w:val="-10"/>
          <w:sz w:val="16"/>
        </w:rPr>
        <w:t> </w:t>
      </w:r>
      <w:r>
        <w:rPr>
          <w:color w:val="231F20"/>
          <w:sz w:val="16"/>
        </w:rPr>
        <w:t>además de</w:t>
      </w:r>
      <w:r>
        <w:rPr>
          <w:color w:val="231F20"/>
          <w:spacing w:val="-9"/>
          <w:sz w:val="16"/>
        </w:rPr>
        <w:t> </w:t>
      </w:r>
      <w:r>
        <w:rPr>
          <w:color w:val="231F20"/>
          <w:sz w:val="16"/>
        </w:rPr>
        <w:t>un</w:t>
      </w:r>
      <w:r>
        <w:rPr>
          <w:color w:val="231F20"/>
          <w:spacing w:val="-9"/>
          <w:sz w:val="16"/>
        </w:rPr>
        <w:t> </w:t>
      </w:r>
      <w:r>
        <w:rPr>
          <w:color w:val="231F20"/>
          <w:sz w:val="16"/>
        </w:rPr>
        <w:t>síndico</w:t>
      </w:r>
      <w:r>
        <w:rPr>
          <w:color w:val="231F20"/>
          <w:spacing w:val="-9"/>
          <w:sz w:val="16"/>
        </w:rPr>
        <w:t> </w:t>
      </w:r>
      <w:r>
        <w:rPr>
          <w:color w:val="231F20"/>
          <w:sz w:val="16"/>
        </w:rPr>
        <w:t>y</w:t>
      </w:r>
      <w:r>
        <w:rPr>
          <w:color w:val="231F20"/>
          <w:spacing w:val="-9"/>
          <w:sz w:val="16"/>
        </w:rPr>
        <w:t> </w:t>
      </w:r>
      <w:r>
        <w:rPr>
          <w:color w:val="231F20"/>
          <w:sz w:val="16"/>
        </w:rPr>
        <w:t>8</w:t>
      </w:r>
      <w:r>
        <w:rPr>
          <w:color w:val="231F20"/>
          <w:spacing w:val="-9"/>
          <w:sz w:val="16"/>
        </w:rPr>
        <w:t> </w:t>
      </w:r>
      <w:r>
        <w:rPr>
          <w:color w:val="231F20"/>
          <w:sz w:val="16"/>
        </w:rPr>
        <w:t>regidores</w:t>
      </w:r>
      <w:r>
        <w:rPr>
          <w:color w:val="231F20"/>
          <w:spacing w:val="-9"/>
          <w:sz w:val="16"/>
        </w:rPr>
        <w:t> </w:t>
      </w:r>
      <w:r>
        <w:rPr>
          <w:color w:val="231F20"/>
          <w:sz w:val="16"/>
        </w:rPr>
        <w:t>electos</w:t>
      </w:r>
      <w:r>
        <w:rPr>
          <w:color w:val="231F20"/>
          <w:spacing w:val="-9"/>
          <w:sz w:val="16"/>
        </w:rPr>
        <w:t> </w:t>
      </w:r>
      <w:r>
        <w:rPr>
          <w:color w:val="231F20"/>
          <w:sz w:val="16"/>
        </w:rPr>
        <w:t>por</w:t>
      </w:r>
      <w:r>
        <w:rPr>
          <w:color w:val="231F20"/>
          <w:spacing w:val="-9"/>
          <w:sz w:val="16"/>
        </w:rPr>
        <w:t> </w:t>
      </w:r>
      <w:r>
        <w:rPr>
          <w:color w:val="231F20"/>
          <w:sz w:val="16"/>
        </w:rPr>
        <w:t>representación</w:t>
      </w:r>
      <w:r>
        <w:rPr>
          <w:color w:val="231F20"/>
          <w:spacing w:val="-9"/>
          <w:sz w:val="16"/>
        </w:rPr>
        <w:t> </w:t>
      </w:r>
      <w:r>
        <w:rPr>
          <w:color w:val="231F20"/>
          <w:sz w:val="16"/>
        </w:rPr>
        <w:t>proporcional.</w:t>
      </w:r>
    </w:p>
    <w:p>
      <w:pPr>
        <w:pStyle w:val="ListParagraph"/>
        <w:numPr>
          <w:ilvl w:val="0"/>
          <w:numId w:val="3"/>
        </w:numPr>
        <w:tabs>
          <w:tab w:pos="294" w:val="left" w:leader="none"/>
        </w:tabs>
        <w:spacing w:line="240" w:lineRule="auto" w:before="0" w:after="0"/>
        <w:ind w:left="293" w:right="0" w:hanging="183"/>
        <w:jc w:val="both"/>
        <w:rPr>
          <w:sz w:val="16"/>
        </w:rPr>
      </w:pPr>
      <w:r>
        <w:rPr>
          <w:color w:val="231F20"/>
          <w:sz w:val="16"/>
        </w:rPr>
        <w:t>Código</w:t>
      </w:r>
      <w:r>
        <w:rPr>
          <w:color w:val="231F20"/>
          <w:spacing w:val="-13"/>
          <w:sz w:val="16"/>
        </w:rPr>
        <w:t> </w:t>
      </w:r>
      <w:r>
        <w:rPr>
          <w:color w:val="231F20"/>
          <w:sz w:val="16"/>
        </w:rPr>
        <w:t>electoral</w:t>
      </w:r>
      <w:r>
        <w:rPr>
          <w:color w:val="231F20"/>
          <w:spacing w:val="-13"/>
          <w:sz w:val="16"/>
        </w:rPr>
        <w:t> </w:t>
      </w:r>
      <w:r>
        <w:rPr>
          <w:color w:val="231F20"/>
          <w:sz w:val="16"/>
        </w:rPr>
        <w:t>del</w:t>
      </w:r>
      <w:r>
        <w:rPr>
          <w:color w:val="231F20"/>
          <w:spacing w:val="-13"/>
          <w:sz w:val="16"/>
        </w:rPr>
        <w:t> </w:t>
      </w:r>
      <w:r>
        <w:rPr>
          <w:color w:val="231F20"/>
          <w:sz w:val="16"/>
        </w:rPr>
        <w:t>Estado</w:t>
      </w:r>
      <w:r>
        <w:rPr>
          <w:color w:val="231F20"/>
          <w:spacing w:val="-13"/>
          <w:sz w:val="16"/>
        </w:rPr>
        <w:t> </w:t>
      </w:r>
      <w:r>
        <w:rPr>
          <w:color w:val="231F20"/>
          <w:sz w:val="16"/>
        </w:rPr>
        <w:t>de</w:t>
      </w:r>
      <w:r>
        <w:rPr>
          <w:color w:val="231F20"/>
          <w:spacing w:val="-13"/>
          <w:sz w:val="16"/>
        </w:rPr>
        <w:t> </w:t>
      </w:r>
      <w:r>
        <w:rPr>
          <w:color w:val="231F20"/>
          <w:sz w:val="16"/>
        </w:rPr>
        <w:t>México,</w:t>
      </w:r>
      <w:r>
        <w:rPr>
          <w:color w:val="231F20"/>
          <w:spacing w:val="-13"/>
          <w:sz w:val="16"/>
        </w:rPr>
        <w:t> </w:t>
      </w:r>
      <w:r>
        <w:rPr>
          <w:color w:val="231F20"/>
          <w:sz w:val="16"/>
        </w:rPr>
        <w:t>art.</w:t>
      </w:r>
      <w:r>
        <w:rPr>
          <w:color w:val="231F20"/>
          <w:spacing w:val="-13"/>
          <w:sz w:val="16"/>
        </w:rPr>
        <w:t> </w:t>
      </w:r>
      <w:r>
        <w:rPr>
          <w:color w:val="231F20"/>
          <w:spacing w:val="-3"/>
          <w:sz w:val="16"/>
        </w:rPr>
        <w:t>24,</w:t>
      </w:r>
      <w:r>
        <w:rPr>
          <w:color w:val="231F20"/>
          <w:spacing w:val="-13"/>
          <w:sz w:val="16"/>
        </w:rPr>
        <w:t> </w:t>
      </w:r>
      <w:r>
        <w:rPr>
          <w:color w:val="231F20"/>
          <w:sz w:val="16"/>
        </w:rPr>
        <w:t>inc.</w:t>
      </w:r>
      <w:r>
        <w:rPr>
          <w:color w:val="231F20"/>
          <w:spacing w:val="-13"/>
          <w:sz w:val="16"/>
        </w:rPr>
        <w:t> </w:t>
      </w:r>
      <w:r>
        <w:rPr>
          <w:color w:val="231F20"/>
          <w:sz w:val="16"/>
        </w:rPr>
        <w:t>iii.</w:t>
      </w:r>
    </w:p>
    <w:p>
      <w:pPr>
        <w:spacing w:after="0" w:line="240" w:lineRule="auto"/>
        <w:jc w:val="both"/>
        <w:rPr>
          <w:sz w:val="16"/>
        </w:rPr>
        <w:sectPr>
          <w:footerReference w:type="default" r:id="rId116"/>
          <w:pgSz w:w="9640" w:h="12190"/>
          <w:pgMar w:footer="743" w:header="0" w:top="1120" w:bottom="940" w:left="740" w:right="740"/>
          <w:pgNumType w:start="50"/>
        </w:sectPr>
      </w:pPr>
    </w:p>
    <w:p>
      <w:pPr>
        <w:pStyle w:val="BodyText"/>
        <w:spacing w:before="8"/>
        <w:rPr>
          <w:rFonts w:ascii="Calibri"/>
          <w:sz w:val="10"/>
        </w:rPr>
      </w:pPr>
    </w:p>
    <w:p>
      <w:pPr>
        <w:pStyle w:val="BodyText"/>
        <w:spacing w:line="285" w:lineRule="auto" w:before="35"/>
        <w:ind w:left="110" w:right="108"/>
        <w:jc w:val="both"/>
      </w:pPr>
      <w:r>
        <w:rPr>
          <w:color w:val="231F20"/>
          <w:spacing w:val="2"/>
          <w:w w:val="105"/>
        </w:rPr>
        <w:t>al </w:t>
      </w:r>
      <w:r>
        <w:rPr>
          <w:color w:val="231F20"/>
          <w:w w:val="105"/>
        </w:rPr>
        <w:t>que aspiran: en primer lugar se ubica </w:t>
      </w:r>
      <w:r>
        <w:rPr>
          <w:color w:val="231F20"/>
          <w:spacing w:val="2"/>
          <w:w w:val="105"/>
        </w:rPr>
        <w:t>al </w:t>
      </w:r>
      <w:r>
        <w:rPr>
          <w:color w:val="231F20"/>
          <w:w w:val="105"/>
        </w:rPr>
        <w:t>postulante a la presidencia municipal, en el segundo</w:t>
      </w:r>
      <w:r>
        <w:rPr>
          <w:color w:val="231F20"/>
          <w:spacing w:val="-5"/>
          <w:w w:val="105"/>
        </w:rPr>
        <w:t> </w:t>
      </w:r>
      <w:r>
        <w:rPr>
          <w:color w:val="231F20"/>
          <w:w w:val="105"/>
        </w:rPr>
        <w:t>lugar</w:t>
      </w:r>
      <w:r>
        <w:rPr>
          <w:color w:val="231F20"/>
          <w:spacing w:val="-5"/>
          <w:w w:val="105"/>
        </w:rPr>
        <w:t> </w:t>
      </w:r>
      <w:r>
        <w:rPr>
          <w:color w:val="231F20"/>
          <w:w w:val="105"/>
        </w:rPr>
        <w:t>se</w:t>
      </w:r>
      <w:r>
        <w:rPr>
          <w:color w:val="231F20"/>
          <w:spacing w:val="-5"/>
          <w:w w:val="105"/>
        </w:rPr>
        <w:t> </w:t>
      </w:r>
      <w:r>
        <w:rPr>
          <w:color w:val="231F20"/>
          <w:w w:val="105"/>
        </w:rPr>
        <w:t>ubican</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candidatos</w:t>
      </w:r>
      <w:r>
        <w:rPr>
          <w:color w:val="231F20"/>
          <w:spacing w:val="-5"/>
          <w:w w:val="105"/>
        </w:rPr>
        <w:t> </w:t>
      </w:r>
      <w:r>
        <w:rPr>
          <w:color w:val="231F20"/>
          <w:w w:val="105"/>
        </w:rPr>
        <w:t>a</w:t>
      </w:r>
      <w:r>
        <w:rPr>
          <w:color w:val="231F20"/>
          <w:spacing w:val="-5"/>
          <w:w w:val="105"/>
        </w:rPr>
        <w:t> </w:t>
      </w:r>
      <w:r>
        <w:rPr>
          <w:color w:val="231F20"/>
          <w:w w:val="105"/>
        </w:rPr>
        <w:t>síndicos,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resto</w:t>
      </w:r>
      <w:r>
        <w:rPr>
          <w:color w:val="231F20"/>
          <w:spacing w:val="-5"/>
          <w:w w:val="105"/>
        </w:rPr>
        <w:t> </w:t>
      </w:r>
      <w:r>
        <w:rPr>
          <w:color w:val="231F20"/>
          <w:w w:val="105"/>
        </w:rPr>
        <w:t>se</w:t>
      </w:r>
      <w:r>
        <w:rPr>
          <w:color w:val="231F20"/>
          <w:spacing w:val="-5"/>
          <w:w w:val="105"/>
        </w:rPr>
        <w:t> </w:t>
      </w:r>
      <w:r>
        <w:rPr>
          <w:color w:val="231F20"/>
          <w:w w:val="105"/>
        </w:rPr>
        <w:t>ubica</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competi- dores por las</w:t>
      </w:r>
      <w:r>
        <w:rPr>
          <w:color w:val="231F20"/>
          <w:spacing w:val="-43"/>
          <w:w w:val="105"/>
        </w:rPr>
        <w:t> </w:t>
      </w:r>
      <w:r>
        <w:rPr>
          <w:color w:val="231F20"/>
          <w:w w:val="105"/>
        </w:rPr>
        <w:t>regidurías.</w:t>
      </w:r>
    </w:p>
    <w:p>
      <w:pPr>
        <w:pStyle w:val="BodyText"/>
        <w:spacing w:before="1"/>
        <w:rPr>
          <w:sz w:val="26"/>
        </w:rPr>
      </w:pPr>
    </w:p>
    <w:p>
      <w:pPr>
        <w:pStyle w:val="BodyText"/>
        <w:spacing w:line="285" w:lineRule="auto"/>
        <w:ind w:left="110" w:right="106"/>
        <w:jc w:val="both"/>
      </w:pPr>
      <w:r>
        <w:rPr>
          <w:color w:val="231F20"/>
          <w:w w:val="105"/>
        </w:rPr>
        <w:t>Los</w:t>
      </w:r>
      <w:r>
        <w:rPr>
          <w:color w:val="231F20"/>
          <w:spacing w:val="-14"/>
          <w:w w:val="105"/>
        </w:rPr>
        <w:t> </w:t>
      </w:r>
      <w:r>
        <w:rPr>
          <w:color w:val="231F20"/>
          <w:w w:val="105"/>
        </w:rPr>
        <w:t>miembros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ayuntamientos</w:t>
      </w:r>
      <w:r>
        <w:rPr>
          <w:color w:val="231F20"/>
          <w:spacing w:val="-14"/>
          <w:w w:val="105"/>
        </w:rPr>
        <w:t> </w:t>
      </w:r>
      <w:r>
        <w:rPr>
          <w:color w:val="231F20"/>
          <w:w w:val="105"/>
        </w:rPr>
        <w:t>son</w:t>
      </w:r>
      <w:r>
        <w:rPr>
          <w:color w:val="231F20"/>
          <w:spacing w:val="-14"/>
          <w:w w:val="105"/>
        </w:rPr>
        <w:t> </w:t>
      </w:r>
      <w:r>
        <w:rPr>
          <w:color w:val="231F20"/>
          <w:w w:val="105"/>
        </w:rPr>
        <w:t>elegidos</w:t>
      </w:r>
      <w:r>
        <w:rPr>
          <w:color w:val="231F20"/>
          <w:spacing w:val="-14"/>
          <w:w w:val="105"/>
        </w:rPr>
        <w:t> </w:t>
      </w:r>
      <w:r>
        <w:rPr>
          <w:color w:val="231F20"/>
          <w:w w:val="105"/>
        </w:rPr>
        <w:t>mediante</w:t>
      </w:r>
      <w:r>
        <w:rPr>
          <w:color w:val="231F20"/>
          <w:spacing w:val="-14"/>
          <w:w w:val="105"/>
        </w:rPr>
        <w:t> </w:t>
      </w:r>
      <w:r>
        <w:rPr>
          <w:color w:val="231F20"/>
          <w:w w:val="105"/>
        </w:rPr>
        <w:t>una</w:t>
      </w:r>
      <w:r>
        <w:rPr>
          <w:color w:val="231F20"/>
          <w:spacing w:val="-14"/>
          <w:w w:val="105"/>
        </w:rPr>
        <w:t> </w:t>
      </w:r>
      <w:r>
        <w:rPr>
          <w:color w:val="231F20"/>
          <w:w w:val="105"/>
        </w:rPr>
        <w:t>combinación</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cri- terios</w:t>
      </w:r>
      <w:r>
        <w:rPr>
          <w:color w:val="231F20"/>
          <w:spacing w:val="-17"/>
          <w:w w:val="105"/>
        </w:rPr>
        <w:t> </w:t>
      </w:r>
      <w:r>
        <w:rPr>
          <w:color w:val="231F20"/>
          <w:w w:val="105"/>
        </w:rPr>
        <w:t>de</w:t>
      </w:r>
      <w:r>
        <w:rPr>
          <w:color w:val="231F20"/>
          <w:spacing w:val="-17"/>
          <w:w w:val="105"/>
        </w:rPr>
        <w:t> </w:t>
      </w:r>
      <w:r>
        <w:rPr>
          <w:color w:val="231F20"/>
          <w:w w:val="105"/>
        </w:rPr>
        <w:t>pluralidad</w:t>
      </w:r>
      <w:r>
        <w:rPr>
          <w:color w:val="231F20"/>
          <w:spacing w:val="-17"/>
          <w:w w:val="105"/>
        </w:rPr>
        <w:t> </w:t>
      </w:r>
      <w:r>
        <w:rPr>
          <w:color w:val="231F20"/>
          <w:w w:val="105"/>
        </w:rPr>
        <w:t>y</w:t>
      </w:r>
      <w:r>
        <w:rPr>
          <w:color w:val="231F20"/>
          <w:spacing w:val="-17"/>
          <w:w w:val="105"/>
        </w:rPr>
        <w:t> </w:t>
      </w:r>
      <w:r>
        <w:rPr>
          <w:color w:val="231F20"/>
          <w:w w:val="105"/>
        </w:rPr>
        <w:t>proporcionalidad.</w:t>
      </w:r>
      <w:r>
        <w:rPr>
          <w:color w:val="231F20"/>
          <w:spacing w:val="-17"/>
          <w:w w:val="105"/>
        </w:rPr>
        <w:t> </w:t>
      </w:r>
      <w:r>
        <w:rPr>
          <w:color w:val="231F20"/>
          <w:w w:val="105"/>
        </w:rPr>
        <w:t>La</w:t>
      </w:r>
      <w:r>
        <w:rPr>
          <w:color w:val="231F20"/>
          <w:spacing w:val="-17"/>
          <w:w w:val="105"/>
        </w:rPr>
        <w:t> </w:t>
      </w:r>
      <w:r>
        <w:rPr>
          <w:color w:val="231F20"/>
          <w:w w:val="105"/>
        </w:rPr>
        <w:t>lista</w:t>
      </w:r>
      <w:r>
        <w:rPr>
          <w:color w:val="231F20"/>
          <w:spacing w:val="-17"/>
          <w:w w:val="105"/>
        </w:rPr>
        <w:t> </w:t>
      </w:r>
      <w:r>
        <w:rPr>
          <w:color w:val="231F20"/>
          <w:w w:val="105"/>
        </w:rPr>
        <w:t>que</w:t>
      </w:r>
      <w:r>
        <w:rPr>
          <w:color w:val="231F20"/>
          <w:spacing w:val="-17"/>
          <w:w w:val="105"/>
        </w:rPr>
        <w:t> </w:t>
      </w:r>
      <w:r>
        <w:rPr>
          <w:color w:val="231F20"/>
          <w:w w:val="105"/>
        </w:rPr>
        <w:t>obtiene</w:t>
      </w:r>
      <w:r>
        <w:rPr>
          <w:color w:val="231F20"/>
          <w:spacing w:val="-17"/>
          <w:w w:val="105"/>
        </w:rPr>
        <w:t> </w:t>
      </w:r>
      <w:r>
        <w:rPr>
          <w:color w:val="231F20"/>
          <w:w w:val="105"/>
        </w:rPr>
        <w:t>la</w:t>
      </w:r>
      <w:r>
        <w:rPr>
          <w:color w:val="231F20"/>
          <w:spacing w:val="-17"/>
          <w:w w:val="105"/>
        </w:rPr>
        <w:t> </w:t>
      </w:r>
      <w:r>
        <w:rPr>
          <w:color w:val="231F20"/>
          <w:w w:val="105"/>
        </w:rPr>
        <w:t>mayoría</w:t>
      </w:r>
      <w:r>
        <w:rPr>
          <w:color w:val="231F20"/>
          <w:spacing w:val="-17"/>
          <w:w w:val="105"/>
        </w:rPr>
        <w:t> </w:t>
      </w:r>
      <w:r>
        <w:rPr>
          <w:color w:val="231F20"/>
          <w:w w:val="105"/>
        </w:rPr>
        <w:t>electoral</w:t>
      </w:r>
      <w:r>
        <w:rPr>
          <w:color w:val="231F20"/>
          <w:spacing w:val="-17"/>
          <w:w w:val="105"/>
        </w:rPr>
        <w:t> </w:t>
      </w:r>
      <w:r>
        <w:rPr>
          <w:color w:val="231F20"/>
          <w:w w:val="105"/>
        </w:rPr>
        <w:t>accede en</w:t>
      </w:r>
      <w:r>
        <w:rPr>
          <w:color w:val="231F20"/>
          <w:spacing w:val="-7"/>
          <w:w w:val="105"/>
        </w:rPr>
        <w:t> </w:t>
      </w:r>
      <w:r>
        <w:rPr>
          <w:color w:val="231F20"/>
          <w:w w:val="105"/>
        </w:rPr>
        <w:t>su</w:t>
      </w:r>
      <w:r>
        <w:rPr>
          <w:color w:val="231F20"/>
          <w:spacing w:val="-7"/>
          <w:w w:val="105"/>
        </w:rPr>
        <w:t> </w:t>
      </w:r>
      <w:r>
        <w:rPr>
          <w:color w:val="231F20"/>
          <w:w w:val="105"/>
        </w:rPr>
        <w:t>totalidad</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cargos</w:t>
      </w:r>
      <w:r>
        <w:rPr>
          <w:color w:val="231F20"/>
          <w:spacing w:val="-7"/>
          <w:w w:val="105"/>
        </w:rPr>
        <w:t> </w:t>
      </w:r>
      <w:r>
        <w:rPr>
          <w:color w:val="231F20"/>
          <w:w w:val="105"/>
        </w:rPr>
        <w:t>que</w:t>
      </w:r>
      <w:r>
        <w:rPr>
          <w:color w:val="231F20"/>
          <w:spacing w:val="-7"/>
          <w:w w:val="105"/>
        </w:rPr>
        <w:t> </w:t>
      </w:r>
      <w:r>
        <w:rPr>
          <w:color w:val="231F20"/>
          <w:w w:val="105"/>
        </w:rPr>
        <w:t>postularon</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resto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escaños</w:t>
      </w:r>
      <w:r>
        <w:rPr>
          <w:color w:val="231F20"/>
          <w:spacing w:val="-7"/>
          <w:w w:val="105"/>
        </w:rPr>
        <w:t> </w:t>
      </w:r>
      <w:r>
        <w:rPr>
          <w:color w:val="231F20"/>
          <w:w w:val="105"/>
        </w:rPr>
        <w:t>son</w:t>
      </w:r>
      <w:r>
        <w:rPr>
          <w:color w:val="231F20"/>
          <w:spacing w:val="-7"/>
          <w:w w:val="105"/>
        </w:rPr>
        <w:t> </w:t>
      </w:r>
      <w:r>
        <w:rPr>
          <w:color w:val="231F20"/>
          <w:w w:val="105"/>
        </w:rPr>
        <w:t>distribuidos</w:t>
      </w:r>
      <w:r>
        <w:rPr>
          <w:color w:val="231F20"/>
          <w:spacing w:val="-7"/>
          <w:w w:val="105"/>
        </w:rPr>
        <w:t> </w:t>
      </w:r>
      <w:r>
        <w:rPr>
          <w:color w:val="231F20"/>
          <w:w w:val="105"/>
        </w:rPr>
        <w:t>de manera proporcional entre los primeros lugares propuestos en las listas de los demás partidos.</w:t>
      </w:r>
      <w:r>
        <w:rPr>
          <w:color w:val="231F20"/>
          <w:spacing w:val="-6"/>
          <w:w w:val="105"/>
        </w:rPr>
        <w:t> </w:t>
      </w:r>
      <w:r>
        <w:rPr>
          <w:color w:val="231F20"/>
          <w:spacing w:val="3"/>
          <w:w w:val="105"/>
        </w:rPr>
        <w:t>Al</w:t>
      </w:r>
      <w:r>
        <w:rPr>
          <w:color w:val="231F20"/>
          <w:spacing w:val="-6"/>
          <w:w w:val="105"/>
        </w:rPr>
        <w:t> </w:t>
      </w:r>
      <w:r>
        <w:rPr>
          <w:color w:val="231F20"/>
          <w:w w:val="105"/>
        </w:rPr>
        <w:t>final,</w:t>
      </w:r>
      <w:r>
        <w:rPr>
          <w:color w:val="231F20"/>
          <w:spacing w:val="-6"/>
          <w:w w:val="105"/>
        </w:rPr>
        <w:t> </w:t>
      </w:r>
      <w:r>
        <w:rPr>
          <w:color w:val="231F20"/>
          <w:w w:val="105"/>
        </w:rPr>
        <w:t>esta</w:t>
      </w:r>
      <w:r>
        <w:rPr>
          <w:color w:val="231F20"/>
          <w:spacing w:val="-6"/>
          <w:w w:val="105"/>
        </w:rPr>
        <w:t> </w:t>
      </w:r>
      <w:r>
        <w:rPr>
          <w:color w:val="231F20"/>
          <w:w w:val="105"/>
        </w:rPr>
        <w:t>fórmula</w:t>
      </w:r>
      <w:r>
        <w:rPr>
          <w:color w:val="231F20"/>
          <w:spacing w:val="-6"/>
          <w:w w:val="105"/>
        </w:rPr>
        <w:t> </w:t>
      </w:r>
      <w:r>
        <w:rPr>
          <w:color w:val="231F20"/>
          <w:w w:val="105"/>
        </w:rPr>
        <w:t>electoral</w:t>
      </w:r>
      <w:r>
        <w:rPr>
          <w:color w:val="231F20"/>
          <w:spacing w:val="-6"/>
          <w:w w:val="105"/>
        </w:rPr>
        <w:t> </w:t>
      </w:r>
      <w:r>
        <w:rPr>
          <w:color w:val="231F20"/>
          <w:w w:val="105"/>
        </w:rPr>
        <w:t>fomenta</w:t>
      </w:r>
      <w:r>
        <w:rPr>
          <w:color w:val="231F20"/>
          <w:spacing w:val="-6"/>
          <w:w w:val="105"/>
        </w:rPr>
        <w:t> </w:t>
      </w:r>
      <w:r>
        <w:rPr>
          <w:color w:val="231F20"/>
          <w:w w:val="105"/>
        </w:rPr>
        <w:t>la</w:t>
      </w:r>
      <w:r>
        <w:rPr>
          <w:color w:val="231F20"/>
          <w:spacing w:val="-6"/>
          <w:w w:val="105"/>
        </w:rPr>
        <w:t> </w:t>
      </w:r>
      <w:r>
        <w:rPr>
          <w:color w:val="231F20"/>
          <w:w w:val="105"/>
        </w:rPr>
        <w:t>personalización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competencia en torno a los primeros lugares de cada lista que se corresponden con los candidatos a alcaldes,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vez</w:t>
      </w:r>
      <w:r>
        <w:rPr>
          <w:color w:val="231F20"/>
          <w:spacing w:val="-11"/>
          <w:w w:val="105"/>
        </w:rPr>
        <w:t> </w:t>
      </w:r>
      <w:r>
        <w:rPr>
          <w:color w:val="231F20"/>
          <w:w w:val="105"/>
        </w:rPr>
        <w:t>que</w:t>
      </w:r>
      <w:r>
        <w:rPr>
          <w:color w:val="231F20"/>
          <w:spacing w:val="-11"/>
          <w:w w:val="105"/>
        </w:rPr>
        <w:t> </w:t>
      </w:r>
      <w:r>
        <w:rPr>
          <w:color w:val="231F20"/>
          <w:w w:val="105"/>
        </w:rPr>
        <w:t>incentiva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resto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nominados</w:t>
      </w:r>
      <w:r>
        <w:rPr>
          <w:color w:val="231F20"/>
          <w:spacing w:val="-11"/>
          <w:w w:val="105"/>
        </w:rPr>
        <w:t> </w:t>
      </w:r>
      <w:r>
        <w:rPr>
          <w:color w:val="231F20"/>
          <w:w w:val="105"/>
        </w:rPr>
        <w:t>busquen</w:t>
      </w:r>
      <w:r>
        <w:rPr>
          <w:color w:val="231F20"/>
          <w:spacing w:val="-11"/>
          <w:w w:val="105"/>
        </w:rPr>
        <w:t> </w:t>
      </w:r>
      <w:r>
        <w:rPr>
          <w:color w:val="231F20"/>
          <w:w w:val="105"/>
        </w:rPr>
        <w:t>fomentar</w:t>
      </w:r>
      <w:r>
        <w:rPr>
          <w:color w:val="231F20"/>
          <w:spacing w:val="-11"/>
          <w:w w:val="105"/>
        </w:rPr>
        <w:t> </w:t>
      </w:r>
      <w:r>
        <w:rPr>
          <w:color w:val="231F20"/>
          <w:w w:val="105"/>
        </w:rPr>
        <w:t>el</w:t>
      </w:r>
      <w:r>
        <w:rPr>
          <w:color w:val="231F20"/>
          <w:spacing w:val="-11"/>
          <w:w w:val="105"/>
        </w:rPr>
        <w:t> </w:t>
      </w:r>
      <w:r>
        <w:rPr>
          <w:color w:val="231F20"/>
          <w:w w:val="105"/>
        </w:rPr>
        <w:t>voto a</w:t>
      </w:r>
      <w:r>
        <w:rPr>
          <w:color w:val="231F20"/>
          <w:spacing w:val="-15"/>
          <w:w w:val="105"/>
        </w:rPr>
        <w:t> </w:t>
      </w:r>
      <w:r>
        <w:rPr>
          <w:color w:val="231F20"/>
          <w:w w:val="105"/>
        </w:rPr>
        <w:t>favor</w:t>
      </w:r>
      <w:r>
        <w:rPr>
          <w:color w:val="231F20"/>
          <w:spacing w:val="-15"/>
          <w:w w:val="105"/>
        </w:rPr>
        <w:t> </w:t>
      </w:r>
      <w:r>
        <w:rPr>
          <w:color w:val="231F20"/>
          <w:w w:val="105"/>
        </w:rPr>
        <w:t>del</w:t>
      </w:r>
      <w:r>
        <w:rPr>
          <w:color w:val="231F20"/>
          <w:spacing w:val="-15"/>
          <w:w w:val="105"/>
        </w:rPr>
        <w:t> </w:t>
      </w:r>
      <w:r>
        <w:rPr>
          <w:color w:val="231F20"/>
          <w:w w:val="105"/>
        </w:rPr>
        <w:t>primer</w:t>
      </w:r>
      <w:r>
        <w:rPr>
          <w:color w:val="231F20"/>
          <w:spacing w:val="-15"/>
          <w:w w:val="105"/>
        </w:rPr>
        <w:t> </w:t>
      </w:r>
      <w:r>
        <w:rPr>
          <w:color w:val="231F20"/>
          <w:w w:val="105"/>
        </w:rPr>
        <w:t>lugar</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lista</w:t>
      </w:r>
      <w:r>
        <w:rPr>
          <w:color w:val="231F20"/>
          <w:spacing w:val="-15"/>
          <w:w w:val="105"/>
        </w:rPr>
        <w:t> </w:t>
      </w:r>
      <w:r>
        <w:rPr>
          <w:color w:val="231F20"/>
          <w:w w:val="105"/>
        </w:rPr>
        <w:t>en</w:t>
      </w:r>
      <w:r>
        <w:rPr>
          <w:color w:val="231F20"/>
          <w:spacing w:val="-15"/>
          <w:w w:val="105"/>
        </w:rPr>
        <w:t> </w:t>
      </w:r>
      <w:r>
        <w:rPr>
          <w:color w:val="231F20"/>
          <w:w w:val="105"/>
        </w:rPr>
        <w:t>lugar</w:t>
      </w:r>
      <w:r>
        <w:rPr>
          <w:color w:val="231F20"/>
          <w:spacing w:val="-15"/>
          <w:w w:val="105"/>
        </w:rPr>
        <w:t> </w:t>
      </w:r>
      <w:r>
        <w:rPr>
          <w:color w:val="231F20"/>
          <w:w w:val="105"/>
        </w:rPr>
        <w:t>de</w:t>
      </w:r>
      <w:r>
        <w:rPr>
          <w:color w:val="231F20"/>
          <w:spacing w:val="-15"/>
          <w:w w:val="105"/>
        </w:rPr>
        <w:t> </w:t>
      </w:r>
      <w:r>
        <w:rPr>
          <w:color w:val="231F20"/>
          <w:w w:val="105"/>
        </w:rPr>
        <w:t>“cultivar”</w:t>
      </w:r>
      <w:r>
        <w:rPr>
          <w:color w:val="231F20"/>
          <w:spacing w:val="-15"/>
          <w:w w:val="105"/>
        </w:rPr>
        <w:t> </w:t>
      </w:r>
      <w:r>
        <w:rPr>
          <w:color w:val="231F20"/>
          <w:w w:val="105"/>
        </w:rPr>
        <w:t>el</w:t>
      </w:r>
      <w:r>
        <w:rPr>
          <w:color w:val="231F20"/>
          <w:spacing w:val="-15"/>
          <w:w w:val="105"/>
        </w:rPr>
        <w:t> </w:t>
      </w:r>
      <w:r>
        <w:rPr>
          <w:color w:val="231F20"/>
          <w:w w:val="105"/>
        </w:rPr>
        <w:t>voto</w:t>
      </w:r>
      <w:r>
        <w:rPr>
          <w:color w:val="231F20"/>
          <w:spacing w:val="-15"/>
          <w:w w:val="105"/>
        </w:rPr>
        <w:t> </w:t>
      </w:r>
      <w:r>
        <w:rPr>
          <w:color w:val="231F20"/>
          <w:w w:val="105"/>
        </w:rPr>
        <w:t>por</w:t>
      </w:r>
      <w:r>
        <w:rPr>
          <w:color w:val="231F20"/>
          <w:spacing w:val="-15"/>
          <w:w w:val="105"/>
        </w:rPr>
        <w:t> </w:t>
      </w:r>
      <w:r>
        <w:rPr>
          <w:color w:val="231F20"/>
          <w:w w:val="105"/>
        </w:rPr>
        <w:t>su</w:t>
      </w:r>
      <w:r>
        <w:rPr>
          <w:color w:val="231F20"/>
          <w:spacing w:val="-15"/>
          <w:w w:val="105"/>
        </w:rPr>
        <w:t> </w:t>
      </w:r>
      <w:r>
        <w:rPr>
          <w:color w:val="231F20"/>
          <w:w w:val="105"/>
        </w:rPr>
        <w:t>candidatura</w:t>
      </w:r>
      <w:r>
        <w:rPr>
          <w:color w:val="231F20"/>
          <w:spacing w:val="-15"/>
          <w:w w:val="105"/>
        </w:rPr>
        <w:t> </w:t>
      </w:r>
      <w:r>
        <w:rPr>
          <w:color w:val="231F20"/>
          <w:w w:val="105"/>
        </w:rPr>
        <w:t>indi- vidual;</w:t>
      </w:r>
      <w:r>
        <w:rPr>
          <w:color w:val="231F20"/>
          <w:spacing w:val="-9"/>
          <w:w w:val="105"/>
        </w:rPr>
        <w:t> </w:t>
      </w:r>
      <w:r>
        <w:rPr>
          <w:color w:val="231F20"/>
          <w:w w:val="105"/>
        </w:rPr>
        <w:t>el</w:t>
      </w:r>
      <w:r>
        <w:rPr>
          <w:color w:val="231F20"/>
          <w:spacing w:val="-9"/>
          <w:w w:val="105"/>
        </w:rPr>
        <w:t> </w:t>
      </w:r>
      <w:r>
        <w:rPr>
          <w:color w:val="231F20"/>
          <w:w w:val="105"/>
        </w:rPr>
        <w:t>partido</w:t>
      </w:r>
      <w:r>
        <w:rPr>
          <w:color w:val="231F20"/>
          <w:spacing w:val="-9"/>
          <w:w w:val="105"/>
        </w:rPr>
        <w:t> </w:t>
      </w:r>
      <w:r>
        <w:rPr>
          <w:color w:val="231F20"/>
          <w:w w:val="105"/>
        </w:rPr>
        <w:t>adquiere</w:t>
      </w:r>
      <w:r>
        <w:rPr>
          <w:color w:val="231F20"/>
          <w:spacing w:val="-9"/>
          <w:w w:val="105"/>
        </w:rPr>
        <w:t> </w:t>
      </w:r>
      <w:r>
        <w:rPr>
          <w:color w:val="231F20"/>
          <w:w w:val="105"/>
        </w:rPr>
        <w:t>también</w:t>
      </w:r>
      <w:r>
        <w:rPr>
          <w:color w:val="231F20"/>
          <w:spacing w:val="-9"/>
          <w:w w:val="105"/>
        </w:rPr>
        <w:t> </w:t>
      </w:r>
      <w:r>
        <w:rPr>
          <w:color w:val="231F20"/>
          <w:w w:val="105"/>
        </w:rPr>
        <w:t>importancia</w:t>
      </w:r>
      <w:r>
        <w:rPr>
          <w:color w:val="231F20"/>
          <w:spacing w:val="-9"/>
          <w:w w:val="105"/>
        </w:rPr>
        <w:t> </w:t>
      </w:r>
      <w:r>
        <w:rPr>
          <w:color w:val="231F20"/>
          <w:w w:val="105"/>
        </w:rPr>
        <w:t>pues</w:t>
      </w:r>
      <w:r>
        <w:rPr>
          <w:color w:val="231F20"/>
          <w:spacing w:val="-9"/>
          <w:w w:val="105"/>
        </w:rPr>
        <w:t> </w:t>
      </w:r>
      <w:r>
        <w:rPr>
          <w:color w:val="231F20"/>
          <w:w w:val="105"/>
        </w:rPr>
        <w:t>su</w:t>
      </w:r>
      <w:r>
        <w:rPr>
          <w:color w:val="231F20"/>
          <w:spacing w:val="-9"/>
          <w:w w:val="105"/>
        </w:rPr>
        <w:t> </w:t>
      </w:r>
      <w:r>
        <w:rPr>
          <w:color w:val="231F20"/>
          <w:w w:val="105"/>
        </w:rPr>
        <w:t>“marca”</w:t>
      </w:r>
      <w:r>
        <w:rPr>
          <w:color w:val="231F20"/>
          <w:spacing w:val="-9"/>
          <w:w w:val="105"/>
        </w:rPr>
        <w:t> </w:t>
      </w:r>
      <w:r>
        <w:rPr>
          <w:color w:val="231F20"/>
          <w:w w:val="105"/>
        </w:rPr>
        <w:t>sirve</w:t>
      </w:r>
      <w:r>
        <w:rPr>
          <w:color w:val="231F20"/>
          <w:spacing w:val="-9"/>
          <w:w w:val="105"/>
        </w:rPr>
        <w:t> </w:t>
      </w:r>
      <w:r>
        <w:rPr>
          <w:color w:val="231F20"/>
          <w:w w:val="105"/>
        </w:rPr>
        <w:t>para</w:t>
      </w:r>
      <w:r>
        <w:rPr>
          <w:color w:val="231F20"/>
          <w:spacing w:val="-9"/>
          <w:w w:val="105"/>
        </w:rPr>
        <w:t> </w:t>
      </w:r>
      <w:r>
        <w:rPr>
          <w:color w:val="231F20"/>
          <w:spacing w:val="-3"/>
          <w:w w:val="105"/>
        </w:rPr>
        <w:t>promover</w:t>
      </w:r>
      <w:r>
        <w:rPr>
          <w:color w:val="231F20"/>
          <w:spacing w:val="-9"/>
          <w:w w:val="105"/>
        </w:rPr>
        <w:t> </w:t>
      </w:r>
      <w:r>
        <w:rPr>
          <w:color w:val="231F20"/>
          <w:w w:val="105"/>
        </w:rPr>
        <w:t>a la</w:t>
      </w:r>
      <w:r>
        <w:rPr>
          <w:color w:val="231F20"/>
          <w:spacing w:val="-13"/>
          <w:w w:val="105"/>
        </w:rPr>
        <w:t> </w:t>
      </w:r>
      <w:r>
        <w:rPr>
          <w:color w:val="231F20"/>
          <w:w w:val="105"/>
        </w:rPr>
        <w:t>lista</w:t>
      </w:r>
      <w:r>
        <w:rPr>
          <w:color w:val="231F20"/>
          <w:spacing w:val="-13"/>
          <w:w w:val="105"/>
        </w:rPr>
        <w:t> </w:t>
      </w:r>
      <w:r>
        <w:rPr>
          <w:color w:val="231F20"/>
          <w:w w:val="105"/>
        </w:rPr>
        <w:t>postulada</w:t>
      </w:r>
      <w:r>
        <w:rPr>
          <w:color w:val="231F20"/>
          <w:spacing w:val="-13"/>
          <w:w w:val="105"/>
        </w:rPr>
        <w:t> </w:t>
      </w:r>
      <w:r>
        <w:rPr>
          <w:color w:val="231F20"/>
          <w:w w:val="105"/>
        </w:rPr>
        <w:t>por</w:t>
      </w:r>
      <w:r>
        <w:rPr>
          <w:color w:val="231F20"/>
          <w:spacing w:val="-13"/>
          <w:w w:val="105"/>
        </w:rPr>
        <w:t> </w:t>
      </w:r>
      <w:r>
        <w:rPr>
          <w:color w:val="231F20"/>
          <w:w w:val="105"/>
        </w:rPr>
        <w:t>cada</w:t>
      </w:r>
      <w:r>
        <w:rPr>
          <w:color w:val="231F20"/>
          <w:spacing w:val="-13"/>
          <w:w w:val="105"/>
        </w:rPr>
        <w:t> </w:t>
      </w:r>
      <w:r>
        <w:rPr>
          <w:color w:val="231F20"/>
          <w:w w:val="105"/>
        </w:rPr>
        <w:t>organización</w:t>
      </w:r>
      <w:r>
        <w:rPr>
          <w:color w:val="231F20"/>
          <w:spacing w:val="-13"/>
          <w:w w:val="105"/>
        </w:rPr>
        <w:t> </w:t>
      </w:r>
      <w:r>
        <w:rPr>
          <w:color w:val="231F20"/>
          <w:w w:val="105"/>
        </w:rPr>
        <w:t>por</w:t>
      </w:r>
      <w:r>
        <w:rPr>
          <w:color w:val="231F20"/>
          <w:spacing w:val="-13"/>
          <w:w w:val="105"/>
        </w:rPr>
        <w:t> </w:t>
      </w:r>
      <w:r>
        <w:rPr>
          <w:color w:val="231F20"/>
          <w:w w:val="105"/>
        </w:rPr>
        <w:t>encima</w:t>
      </w:r>
      <w:r>
        <w:rPr>
          <w:color w:val="231F20"/>
          <w:spacing w:val="-13"/>
          <w:w w:val="105"/>
        </w:rPr>
        <w:t> </w:t>
      </w:r>
      <w:r>
        <w:rPr>
          <w:color w:val="231F20"/>
          <w:w w:val="105"/>
        </w:rPr>
        <w:t>del</w:t>
      </w:r>
      <w:r>
        <w:rPr>
          <w:color w:val="231F20"/>
          <w:spacing w:val="-13"/>
          <w:w w:val="105"/>
        </w:rPr>
        <w:t> </w:t>
      </w:r>
      <w:r>
        <w:rPr>
          <w:color w:val="231F20"/>
          <w:w w:val="105"/>
        </w:rPr>
        <w:t>voto</w:t>
      </w:r>
      <w:r>
        <w:rPr>
          <w:color w:val="231F20"/>
          <w:spacing w:val="-13"/>
          <w:w w:val="105"/>
        </w:rPr>
        <w:t> </w:t>
      </w:r>
      <w:r>
        <w:rPr>
          <w:color w:val="231F20"/>
          <w:w w:val="105"/>
        </w:rPr>
        <w:t>personal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nominados ubicados</w:t>
      </w:r>
      <w:r>
        <w:rPr>
          <w:color w:val="231F20"/>
          <w:spacing w:val="-24"/>
          <w:w w:val="105"/>
        </w:rPr>
        <w:t> </w:t>
      </w:r>
      <w:r>
        <w:rPr>
          <w:color w:val="231F20"/>
          <w:w w:val="105"/>
        </w:rPr>
        <w:t>por</w:t>
      </w:r>
      <w:r>
        <w:rPr>
          <w:color w:val="231F20"/>
          <w:spacing w:val="-24"/>
          <w:w w:val="105"/>
        </w:rPr>
        <w:t> </w:t>
      </w:r>
      <w:r>
        <w:rPr>
          <w:color w:val="231F20"/>
          <w:w w:val="105"/>
        </w:rPr>
        <w:t>“debajo”</w:t>
      </w:r>
      <w:r>
        <w:rPr>
          <w:color w:val="231F20"/>
          <w:spacing w:val="-24"/>
          <w:w w:val="105"/>
        </w:rPr>
        <w:t> </w:t>
      </w:r>
      <w:r>
        <w:rPr>
          <w:color w:val="231F20"/>
          <w:w w:val="105"/>
        </w:rPr>
        <w:t>del</w:t>
      </w:r>
      <w:r>
        <w:rPr>
          <w:color w:val="231F20"/>
          <w:spacing w:val="-24"/>
          <w:w w:val="105"/>
        </w:rPr>
        <w:t> </w:t>
      </w:r>
      <w:r>
        <w:rPr>
          <w:color w:val="231F20"/>
          <w:w w:val="105"/>
        </w:rPr>
        <w:t>candidato</w:t>
      </w:r>
      <w:r>
        <w:rPr>
          <w:color w:val="231F20"/>
          <w:spacing w:val="-24"/>
          <w:w w:val="105"/>
        </w:rPr>
        <w:t> </w:t>
      </w:r>
      <w:r>
        <w:rPr>
          <w:color w:val="231F20"/>
          <w:w w:val="105"/>
        </w:rPr>
        <w:t>a</w:t>
      </w:r>
      <w:r>
        <w:rPr>
          <w:color w:val="231F20"/>
          <w:spacing w:val="-24"/>
          <w:w w:val="105"/>
        </w:rPr>
        <w:t> </w:t>
      </w:r>
      <w:r>
        <w:rPr>
          <w:color w:val="231F20"/>
          <w:w w:val="105"/>
        </w:rPr>
        <w:t>alcalde.</w:t>
      </w:r>
    </w:p>
    <w:p>
      <w:pPr>
        <w:pStyle w:val="BodyText"/>
        <w:spacing w:before="1"/>
        <w:rPr>
          <w:sz w:val="26"/>
        </w:rPr>
      </w:pPr>
    </w:p>
    <w:p>
      <w:pPr>
        <w:pStyle w:val="BodyText"/>
        <w:spacing w:line="285" w:lineRule="auto"/>
        <w:ind w:left="110" w:right="107"/>
        <w:jc w:val="both"/>
      </w:pPr>
      <w:r>
        <w:rPr>
          <w:color w:val="231F20"/>
          <w:w w:val="105"/>
        </w:rPr>
        <w:t>Además,</w:t>
      </w:r>
      <w:r>
        <w:rPr>
          <w:color w:val="231F20"/>
          <w:spacing w:val="-22"/>
          <w:w w:val="105"/>
        </w:rPr>
        <w:t> </w:t>
      </w:r>
      <w:r>
        <w:rPr>
          <w:color w:val="231F20"/>
          <w:w w:val="105"/>
        </w:rPr>
        <w:t>la</w:t>
      </w:r>
      <w:r>
        <w:rPr>
          <w:color w:val="231F20"/>
          <w:spacing w:val="-22"/>
          <w:w w:val="105"/>
        </w:rPr>
        <w:t> </w:t>
      </w:r>
      <w:r>
        <w:rPr>
          <w:color w:val="231F20"/>
          <w:w w:val="105"/>
        </w:rPr>
        <w:t>cláusula</w:t>
      </w:r>
      <w:r>
        <w:rPr>
          <w:color w:val="231F20"/>
          <w:spacing w:val="-22"/>
          <w:w w:val="105"/>
        </w:rPr>
        <w:t> </w:t>
      </w:r>
      <w:r>
        <w:rPr>
          <w:color w:val="231F20"/>
          <w:w w:val="105"/>
        </w:rPr>
        <w:t>de</w:t>
      </w:r>
      <w:r>
        <w:rPr>
          <w:color w:val="231F20"/>
          <w:spacing w:val="-22"/>
          <w:w w:val="105"/>
        </w:rPr>
        <w:t> </w:t>
      </w:r>
      <w:r>
        <w:rPr>
          <w:color w:val="231F20"/>
          <w:w w:val="105"/>
        </w:rPr>
        <w:t>no</w:t>
      </w:r>
      <w:r>
        <w:rPr>
          <w:color w:val="231F20"/>
          <w:spacing w:val="-22"/>
          <w:w w:val="105"/>
        </w:rPr>
        <w:t> </w:t>
      </w:r>
      <w:r>
        <w:rPr>
          <w:color w:val="231F20"/>
          <w:w w:val="105"/>
        </w:rPr>
        <w:t>reelección</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presidentes</w:t>
      </w:r>
      <w:r>
        <w:rPr>
          <w:color w:val="231F20"/>
          <w:spacing w:val="-22"/>
          <w:w w:val="105"/>
        </w:rPr>
        <w:t> </w:t>
      </w:r>
      <w:r>
        <w:rPr>
          <w:color w:val="231F20"/>
          <w:w w:val="105"/>
        </w:rPr>
        <w:t>municipales</w:t>
      </w:r>
      <w:r>
        <w:rPr>
          <w:color w:val="231F20"/>
          <w:spacing w:val="-22"/>
          <w:w w:val="105"/>
        </w:rPr>
        <w:t> </w:t>
      </w:r>
      <w:r>
        <w:rPr>
          <w:color w:val="231F20"/>
          <w:w w:val="105"/>
        </w:rPr>
        <w:t>en</w:t>
      </w:r>
      <w:r>
        <w:rPr>
          <w:color w:val="231F20"/>
          <w:spacing w:val="-22"/>
          <w:w w:val="105"/>
        </w:rPr>
        <w:t> </w:t>
      </w:r>
      <w:r>
        <w:rPr>
          <w:color w:val="231F20"/>
          <w:w w:val="105"/>
        </w:rPr>
        <w:t>turno</w:t>
      </w:r>
      <w:r>
        <w:rPr>
          <w:color w:val="231F20"/>
          <w:spacing w:val="-22"/>
          <w:w w:val="105"/>
        </w:rPr>
        <w:t> </w:t>
      </w:r>
      <w:r>
        <w:rPr>
          <w:color w:val="231F20"/>
          <w:w w:val="105"/>
        </w:rPr>
        <w:t>le</w:t>
      </w:r>
      <w:r>
        <w:rPr>
          <w:color w:val="231F20"/>
          <w:spacing w:val="-22"/>
          <w:w w:val="105"/>
        </w:rPr>
        <w:t> </w:t>
      </w:r>
      <w:r>
        <w:rPr>
          <w:color w:val="231F20"/>
          <w:w w:val="105"/>
        </w:rPr>
        <w:t>imprime una lógica particular a la competencia electoral, pues si bien durante la campaña elec- toral</w:t>
      </w:r>
      <w:r>
        <w:rPr>
          <w:color w:val="231F20"/>
          <w:spacing w:val="-14"/>
          <w:w w:val="105"/>
        </w:rPr>
        <w:t> </w:t>
      </w:r>
      <w:r>
        <w:rPr>
          <w:color w:val="231F20"/>
          <w:w w:val="105"/>
        </w:rPr>
        <w:t>se</w:t>
      </w:r>
      <w:r>
        <w:rPr>
          <w:color w:val="231F20"/>
          <w:spacing w:val="-14"/>
          <w:w w:val="105"/>
        </w:rPr>
        <w:t> </w:t>
      </w:r>
      <w:r>
        <w:rPr>
          <w:color w:val="231F20"/>
          <w:w w:val="105"/>
        </w:rPr>
        <w:t>fomenta</w:t>
      </w:r>
      <w:r>
        <w:rPr>
          <w:color w:val="231F20"/>
          <w:spacing w:val="-14"/>
          <w:w w:val="105"/>
        </w:rPr>
        <w:t> </w:t>
      </w:r>
      <w:r>
        <w:rPr>
          <w:color w:val="231F20"/>
          <w:w w:val="105"/>
        </w:rPr>
        <w:t>la</w:t>
      </w:r>
      <w:r>
        <w:rPr>
          <w:color w:val="231F20"/>
          <w:spacing w:val="-14"/>
          <w:w w:val="105"/>
        </w:rPr>
        <w:t> </w:t>
      </w:r>
      <w:r>
        <w:rPr>
          <w:color w:val="231F20"/>
          <w:w w:val="105"/>
        </w:rPr>
        <w:t>personalización</w:t>
      </w:r>
      <w:r>
        <w:rPr>
          <w:color w:val="231F20"/>
          <w:spacing w:val="-14"/>
          <w:w w:val="105"/>
        </w:rPr>
        <w:t> </w:t>
      </w:r>
      <w:r>
        <w:rPr>
          <w:color w:val="231F20"/>
          <w:w w:val="105"/>
        </w:rPr>
        <w:t>en</w:t>
      </w:r>
      <w:r>
        <w:rPr>
          <w:color w:val="231F20"/>
          <w:spacing w:val="-14"/>
          <w:w w:val="105"/>
        </w:rPr>
        <w:t> </w:t>
      </w:r>
      <w:r>
        <w:rPr>
          <w:color w:val="231F20"/>
          <w:w w:val="105"/>
        </w:rPr>
        <w:t>torno</w:t>
      </w:r>
      <w:r>
        <w:rPr>
          <w:color w:val="231F20"/>
          <w:spacing w:val="-14"/>
          <w:w w:val="105"/>
        </w:rPr>
        <w:t> </w:t>
      </w:r>
      <w:r>
        <w:rPr>
          <w:color w:val="231F20"/>
          <w:spacing w:val="2"/>
          <w:w w:val="105"/>
        </w:rPr>
        <w:t>al</w:t>
      </w:r>
      <w:r>
        <w:rPr>
          <w:color w:val="231F20"/>
          <w:spacing w:val="-14"/>
          <w:w w:val="105"/>
        </w:rPr>
        <w:t> </w:t>
      </w:r>
      <w:r>
        <w:rPr>
          <w:color w:val="231F20"/>
          <w:w w:val="105"/>
        </w:rPr>
        <w:t>primer</w:t>
      </w:r>
      <w:r>
        <w:rPr>
          <w:color w:val="231F20"/>
          <w:spacing w:val="-14"/>
          <w:w w:val="105"/>
        </w:rPr>
        <w:t> </w:t>
      </w:r>
      <w:r>
        <w:rPr>
          <w:color w:val="231F20"/>
          <w:w w:val="105"/>
        </w:rPr>
        <w:t>lugar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lista,</w:t>
      </w:r>
      <w:r>
        <w:rPr>
          <w:color w:val="231F20"/>
          <w:spacing w:val="-14"/>
          <w:w w:val="105"/>
        </w:rPr>
        <w:t> </w:t>
      </w:r>
      <w:r>
        <w:rPr>
          <w:color w:val="231F20"/>
          <w:w w:val="105"/>
        </w:rPr>
        <w:t>el</w:t>
      </w:r>
      <w:r>
        <w:rPr>
          <w:color w:val="231F20"/>
          <w:spacing w:val="-14"/>
          <w:w w:val="105"/>
        </w:rPr>
        <w:t> </w:t>
      </w:r>
      <w:r>
        <w:rPr>
          <w:color w:val="231F20"/>
          <w:w w:val="105"/>
        </w:rPr>
        <w:t>candidato</w:t>
      </w:r>
      <w:r>
        <w:rPr>
          <w:color w:val="231F20"/>
          <w:spacing w:val="-14"/>
          <w:w w:val="105"/>
        </w:rPr>
        <w:t> </w:t>
      </w:r>
      <w:r>
        <w:rPr>
          <w:color w:val="231F20"/>
          <w:w w:val="105"/>
        </w:rPr>
        <w:t>a</w:t>
      </w:r>
      <w:r>
        <w:rPr>
          <w:color w:val="231F20"/>
          <w:spacing w:val="-14"/>
          <w:w w:val="105"/>
        </w:rPr>
        <w:t> </w:t>
      </w:r>
      <w:r>
        <w:rPr>
          <w:color w:val="231F20"/>
          <w:w w:val="105"/>
        </w:rPr>
        <w:t>al- calde,</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vez</w:t>
      </w:r>
      <w:r>
        <w:rPr>
          <w:color w:val="231F20"/>
          <w:spacing w:val="-17"/>
          <w:w w:val="105"/>
        </w:rPr>
        <w:t> </w:t>
      </w:r>
      <w:r>
        <w:rPr>
          <w:color w:val="231F20"/>
          <w:w w:val="105"/>
        </w:rPr>
        <w:t>él,</w:t>
      </w:r>
      <w:r>
        <w:rPr>
          <w:color w:val="231F20"/>
          <w:spacing w:val="-17"/>
          <w:w w:val="105"/>
        </w:rPr>
        <w:t> </w:t>
      </w:r>
      <w:r>
        <w:rPr>
          <w:color w:val="231F20"/>
          <w:w w:val="105"/>
        </w:rPr>
        <w:t>junto</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resto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nominados,</w:t>
      </w:r>
      <w:r>
        <w:rPr>
          <w:color w:val="231F20"/>
          <w:spacing w:val="-17"/>
          <w:w w:val="105"/>
        </w:rPr>
        <w:t> </w:t>
      </w:r>
      <w:r>
        <w:rPr>
          <w:color w:val="231F20"/>
          <w:w w:val="105"/>
        </w:rPr>
        <w:t>le</w:t>
      </w:r>
      <w:r>
        <w:rPr>
          <w:color w:val="231F20"/>
          <w:spacing w:val="-17"/>
          <w:w w:val="105"/>
        </w:rPr>
        <w:t> </w:t>
      </w:r>
      <w:r>
        <w:rPr>
          <w:color w:val="231F20"/>
          <w:w w:val="105"/>
        </w:rPr>
        <w:t>deben</w:t>
      </w:r>
      <w:r>
        <w:rPr>
          <w:color w:val="231F20"/>
          <w:spacing w:val="-17"/>
          <w:w w:val="105"/>
        </w:rPr>
        <w:t> </w:t>
      </w:r>
      <w:r>
        <w:rPr>
          <w:color w:val="231F20"/>
          <w:w w:val="105"/>
        </w:rPr>
        <w:t>su</w:t>
      </w:r>
      <w:r>
        <w:rPr>
          <w:color w:val="231F20"/>
          <w:spacing w:val="-17"/>
          <w:w w:val="105"/>
        </w:rPr>
        <w:t> </w:t>
      </w:r>
      <w:r>
        <w:rPr>
          <w:color w:val="231F20"/>
          <w:w w:val="105"/>
        </w:rPr>
        <w:t>postulación</w:t>
      </w:r>
      <w:r>
        <w:rPr>
          <w:color w:val="231F20"/>
          <w:spacing w:val="-17"/>
          <w:w w:val="105"/>
        </w:rPr>
        <w:t> </w:t>
      </w:r>
      <w:r>
        <w:rPr>
          <w:color w:val="231F20"/>
          <w:spacing w:val="2"/>
          <w:w w:val="105"/>
        </w:rPr>
        <w:t>al</w:t>
      </w:r>
      <w:r>
        <w:rPr>
          <w:color w:val="231F20"/>
          <w:spacing w:val="-17"/>
          <w:w w:val="105"/>
        </w:rPr>
        <w:t> </w:t>
      </w:r>
      <w:r>
        <w:rPr>
          <w:color w:val="231F20"/>
          <w:w w:val="105"/>
        </w:rPr>
        <w:t>partido ya</w:t>
      </w:r>
      <w:r>
        <w:rPr>
          <w:color w:val="231F20"/>
          <w:spacing w:val="-5"/>
          <w:w w:val="105"/>
        </w:rPr>
        <w:t> </w:t>
      </w:r>
      <w:r>
        <w:rPr>
          <w:color w:val="231F20"/>
          <w:w w:val="105"/>
        </w:rPr>
        <w:t>que</w:t>
      </w:r>
      <w:r>
        <w:rPr>
          <w:color w:val="231F20"/>
          <w:spacing w:val="-5"/>
          <w:w w:val="105"/>
        </w:rPr>
        <w:t> </w:t>
      </w:r>
      <w:r>
        <w:rPr>
          <w:color w:val="231F20"/>
          <w:w w:val="105"/>
        </w:rPr>
        <w:t>de</w:t>
      </w:r>
      <w:r>
        <w:rPr>
          <w:color w:val="231F20"/>
          <w:spacing w:val="-5"/>
          <w:w w:val="105"/>
        </w:rPr>
        <w:t> </w:t>
      </w:r>
      <w:r>
        <w:rPr>
          <w:color w:val="231F20"/>
          <w:w w:val="105"/>
        </w:rPr>
        <w:t>ellos</w:t>
      </w:r>
      <w:r>
        <w:rPr>
          <w:color w:val="231F20"/>
          <w:spacing w:val="-5"/>
          <w:w w:val="105"/>
        </w:rPr>
        <w:t> </w:t>
      </w:r>
      <w:r>
        <w:rPr>
          <w:color w:val="231F20"/>
          <w:w w:val="105"/>
        </w:rPr>
        <w:t>depende</w:t>
      </w:r>
      <w:r>
        <w:rPr>
          <w:color w:val="231F20"/>
          <w:spacing w:val="-5"/>
          <w:w w:val="105"/>
        </w:rPr>
        <w:t> </w:t>
      </w:r>
      <w:r>
        <w:rPr>
          <w:color w:val="231F20"/>
          <w:w w:val="105"/>
        </w:rPr>
        <w:t>su</w:t>
      </w:r>
      <w:r>
        <w:rPr>
          <w:color w:val="231F20"/>
          <w:spacing w:val="-5"/>
          <w:w w:val="105"/>
        </w:rPr>
        <w:t> </w:t>
      </w:r>
      <w:r>
        <w:rPr>
          <w:color w:val="231F20"/>
          <w:w w:val="105"/>
        </w:rPr>
        <w:t>carrera</w:t>
      </w:r>
      <w:r>
        <w:rPr>
          <w:color w:val="231F20"/>
          <w:spacing w:val="-5"/>
          <w:w w:val="105"/>
        </w:rPr>
        <w:t> </w:t>
      </w:r>
      <w:r>
        <w:rPr>
          <w:color w:val="231F20"/>
          <w:w w:val="105"/>
        </w:rPr>
        <w:t>política</w:t>
      </w:r>
      <w:r>
        <w:rPr>
          <w:color w:val="231F20"/>
          <w:spacing w:val="-5"/>
          <w:w w:val="105"/>
        </w:rPr>
        <w:t> </w:t>
      </w:r>
      <w:r>
        <w:rPr>
          <w:color w:val="231F20"/>
          <w:w w:val="105"/>
        </w:rPr>
        <w:t>a</w:t>
      </w:r>
      <w:r>
        <w:rPr>
          <w:color w:val="231F20"/>
          <w:spacing w:val="-5"/>
          <w:w w:val="105"/>
        </w:rPr>
        <w:t> </w:t>
      </w:r>
      <w:r>
        <w:rPr>
          <w:color w:val="231F20"/>
          <w:w w:val="105"/>
        </w:rPr>
        <w:t>futuro.</w:t>
      </w:r>
      <w:r>
        <w:rPr>
          <w:color w:val="231F20"/>
          <w:spacing w:val="-5"/>
          <w:w w:val="105"/>
        </w:rPr>
        <w:t> </w:t>
      </w:r>
      <w:r>
        <w:rPr>
          <w:color w:val="231F20"/>
          <w:w w:val="105"/>
        </w:rPr>
        <w:t>De</w:t>
      </w:r>
      <w:r>
        <w:rPr>
          <w:color w:val="231F20"/>
          <w:spacing w:val="-5"/>
          <w:w w:val="105"/>
        </w:rPr>
        <w:t> </w:t>
      </w:r>
      <w:r>
        <w:rPr>
          <w:color w:val="231F20"/>
          <w:w w:val="105"/>
        </w:rPr>
        <w:t>esta</w:t>
      </w:r>
      <w:r>
        <w:rPr>
          <w:color w:val="231F20"/>
          <w:spacing w:val="-5"/>
          <w:w w:val="105"/>
        </w:rPr>
        <w:t> </w:t>
      </w:r>
      <w:r>
        <w:rPr>
          <w:color w:val="231F20"/>
          <w:w w:val="105"/>
        </w:rPr>
        <w:t>manera</w:t>
      </w:r>
      <w:r>
        <w:rPr>
          <w:color w:val="231F20"/>
          <w:spacing w:val="-5"/>
          <w:w w:val="105"/>
        </w:rPr>
        <w:t> </w:t>
      </w:r>
      <w:r>
        <w:rPr>
          <w:color w:val="231F20"/>
          <w:w w:val="105"/>
        </w:rPr>
        <w:t>se</w:t>
      </w:r>
      <w:r>
        <w:rPr>
          <w:color w:val="231F20"/>
          <w:spacing w:val="-5"/>
          <w:w w:val="105"/>
        </w:rPr>
        <w:t> </w:t>
      </w:r>
      <w:r>
        <w:rPr>
          <w:color w:val="231F20"/>
          <w:w w:val="105"/>
        </w:rPr>
        <w:t>generan</w:t>
      </w:r>
      <w:r>
        <w:rPr>
          <w:color w:val="231F20"/>
          <w:spacing w:val="-5"/>
          <w:w w:val="105"/>
        </w:rPr>
        <w:t> </w:t>
      </w:r>
      <w:r>
        <w:rPr>
          <w:color w:val="231F20"/>
          <w:w w:val="105"/>
        </w:rPr>
        <w:t>fuertes incentivos</w:t>
      </w:r>
      <w:r>
        <w:rPr>
          <w:color w:val="231F20"/>
          <w:spacing w:val="-14"/>
          <w:w w:val="105"/>
        </w:rPr>
        <w:t> </w:t>
      </w:r>
      <w:r>
        <w:rPr>
          <w:color w:val="231F20"/>
          <w:w w:val="105"/>
        </w:rPr>
        <w:t>para</w:t>
      </w:r>
      <w:r>
        <w:rPr>
          <w:color w:val="231F20"/>
          <w:spacing w:val="-14"/>
          <w:w w:val="105"/>
        </w:rPr>
        <w:t> </w:t>
      </w:r>
      <w:r>
        <w:rPr>
          <w:color w:val="231F20"/>
          <w:w w:val="105"/>
        </w:rPr>
        <w:t>mantener</w:t>
      </w:r>
      <w:r>
        <w:rPr>
          <w:color w:val="231F20"/>
          <w:spacing w:val="-14"/>
          <w:w w:val="105"/>
        </w:rPr>
        <w:t> </w:t>
      </w:r>
      <w:r>
        <w:rPr>
          <w:color w:val="231F20"/>
          <w:w w:val="105"/>
        </w:rPr>
        <w:t>la</w:t>
      </w:r>
      <w:r>
        <w:rPr>
          <w:color w:val="231F20"/>
          <w:spacing w:val="-14"/>
          <w:w w:val="105"/>
        </w:rPr>
        <w:t> </w:t>
      </w:r>
      <w:r>
        <w:rPr>
          <w:color w:val="231F20"/>
          <w:w w:val="105"/>
        </w:rPr>
        <w:t>lealtad</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candidatos</w:t>
      </w:r>
      <w:r>
        <w:rPr>
          <w:color w:val="231F20"/>
          <w:spacing w:val="-14"/>
          <w:w w:val="105"/>
        </w:rPr>
        <w:t> </w:t>
      </w:r>
      <w:r>
        <w:rPr>
          <w:color w:val="231F20"/>
          <w:spacing w:val="2"/>
          <w:w w:val="105"/>
        </w:rPr>
        <w:t>al</w:t>
      </w:r>
      <w:r>
        <w:rPr>
          <w:color w:val="231F20"/>
          <w:spacing w:val="-14"/>
          <w:w w:val="105"/>
        </w:rPr>
        <w:t> </w:t>
      </w:r>
      <w:r>
        <w:rPr>
          <w:color w:val="231F20"/>
          <w:w w:val="105"/>
        </w:rPr>
        <w:t>partido;</w:t>
      </w:r>
      <w:r>
        <w:rPr>
          <w:color w:val="231F20"/>
          <w:spacing w:val="-14"/>
          <w:w w:val="105"/>
        </w:rPr>
        <w:t> </w:t>
      </w:r>
      <w:r>
        <w:rPr>
          <w:color w:val="231F20"/>
          <w:w w:val="105"/>
        </w:rPr>
        <w:t>en</w:t>
      </w:r>
      <w:r>
        <w:rPr>
          <w:color w:val="231F20"/>
          <w:spacing w:val="-14"/>
          <w:w w:val="105"/>
        </w:rPr>
        <w:t> </w:t>
      </w:r>
      <w:r>
        <w:rPr>
          <w:color w:val="231F20"/>
          <w:w w:val="105"/>
        </w:rPr>
        <w:t>particular</w:t>
      </w:r>
      <w:r>
        <w:rPr>
          <w:color w:val="231F20"/>
          <w:spacing w:val="-14"/>
          <w:w w:val="105"/>
        </w:rPr>
        <w:t> </w:t>
      </w:r>
      <w:r>
        <w:rPr>
          <w:color w:val="231F20"/>
          <w:w w:val="105"/>
        </w:rPr>
        <w:t>a</w:t>
      </w:r>
      <w:r>
        <w:rPr>
          <w:color w:val="231F20"/>
          <w:spacing w:val="-14"/>
          <w:w w:val="105"/>
        </w:rPr>
        <w:t> </w:t>
      </w:r>
      <w:r>
        <w:rPr>
          <w:color w:val="231F20"/>
          <w:w w:val="105"/>
        </w:rPr>
        <w:t>aquellos niveles</w:t>
      </w:r>
      <w:r>
        <w:rPr>
          <w:color w:val="231F20"/>
          <w:spacing w:val="-9"/>
          <w:w w:val="105"/>
        </w:rPr>
        <w:t> </w:t>
      </w:r>
      <w:r>
        <w:rPr>
          <w:color w:val="231F20"/>
          <w:w w:val="105"/>
        </w:rPr>
        <w:t>partidistas</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postularon</w:t>
      </w:r>
      <w:r>
        <w:rPr>
          <w:color w:val="231F20"/>
          <w:spacing w:val="-9"/>
          <w:w w:val="105"/>
        </w:rPr>
        <w:t> </w:t>
      </w:r>
      <w:r>
        <w:rPr>
          <w:color w:val="231F20"/>
          <w:w w:val="105"/>
        </w:rPr>
        <w:t>como</w:t>
      </w:r>
      <w:r>
        <w:rPr>
          <w:color w:val="231F20"/>
          <w:spacing w:val="-9"/>
          <w:w w:val="105"/>
        </w:rPr>
        <w:t> </w:t>
      </w:r>
      <w:r>
        <w:rPr>
          <w:color w:val="231F20"/>
          <w:w w:val="105"/>
        </w:rPr>
        <w:t>candidatos.</w:t>
      </w:r>
      <w:r>
        <w:rPr>
          <w:color w:val="231F20"/>
          <w:spacing w:val="-9"/>
          <w:w w:val="105"/>
        </w:rPr>
        <w:t> </w:t>
      </w:r>
      <w:r>
        <w:rPr>
          <w:color w:val="231F20"/>
          <w:w w:val="105"/>
        </w:rPr>
        <w:t>Como</w:t>
      </w:r>
      <w:r>
        <w:rPr>
          <w:color w:val="231F20"/>
          <w:spacing w:val="-9"/>
          <w:w w:val="105"/>
        </w:rPr>
        <w:t> </w:t>
      </w:r>
      <w:r>
        <w:rPr>
          <w:color w:val="231F20"/>
          <w:w w:val="105"/>
        </w:rPr>
        <w:t>se</w:t>
      </w:r>
      <w:r>
        <w:rPr>
          <w:color w:val="231F20"/>
          <w:spacing w:val="-9"/>
          <w:w w:val="105"/>
        </w:rPr>
        <w:t> </w:t>
      </w:r>
      <w:r>
        <w:rPr>
          <w:color w:val="231F20"/>
          <w:w w:val="105"/>
        </w:rPr>
        <w:t>verá</w:t>
      </w:r>
      <w:r>
        <w:rPr>
          <w:color w:val="231F20"/>
          <w:spacing w:val="-9"/>
          <w:w w:val="105"/>
        </w:rPr>
        <w:t> </w:t>
      </w:r>
      <w:r>
        <w:rPr>
          <w:color w:val="231F20"/>
          <w:w w:val="105"/>
        </w:rPr>
        <w:t>más</w:t>
      </w:r>
      <w:r>
        <w:rPr>
          <w:color w:val="231F20"/>
          <w:spacing w:val="-9"/>
          <w:w w:val="105"/>
        </w:rPr>
        <w:t> </w:t>
      </w:r>
      <w:r>
        <w:rPr>
          <w:color w:val="231F20"/>
          <w:w w:val="105"/>
        </w:rPr>
        <w:t>adelante,</w:t>
      </w:r>
      <w:r>
        <w:rPr>
          <w:color w:val="231F20"/>
          <w:spacing w:val="-9"/>
          <w:w w:val="105"/>
        </w:rPr>
        <w:t> </w:t>
      </w:r>
      <w:r>
        <w:rPr>
          <w:color w:val="231F20"/>
          <w:w w:val="105"/>
        </w:rPr>
        <w:t>en el</w:t>
      </w:r>
      <w:r>
        <w:rPr>
          <w:color w:val="231F20"/>
          <w:spacing w:val="-9"/>
          <w:w w:val="105"/>
        </w:rPr>
        <w:t> </w:t>
      </w:r>
      <w:r>
        <w:rPr>
          <w:color w:val="231F20"/>
          <w:w w:val="105"/>
        </w:rPr>
        <w:t>caso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alcaldes</w:t>
      </w:r>
      <w:r>
        <w:rPr>
          <w:color w:val="231F20"/>
          <w:spacing w:val="-9"/>
          <w:w w:val="105"/>
        </w:rPr>
        <w:t> </w:t>
      </w:r>
      <w:r>
        <w:rPr>
          <w:color w:val="231F20"/>
          <w:w w:val="105"/>
        </w:rPr>
        <w:t>priístas</w:t>
      </w:r>
      <w:r>
        <w:rPr>
          <w:color w:val="231F20"/>
          <w:spacing w:val="-9"/>
          <w:w w:val="105"/>
        </w:rPr>
        <w:t> </w:t>
      </w:r>
      <w:r>
        <w:rPr>
          <w:color w:val="231F20"/>
          <w:w w:val="105"/>
        </w:rPr>
        <w:t>mexiquenses,</w:t>
      </w:r>
      <w:r>
        <w:rPr>
          <w:color w:val="231F20"/>
          <w:spacing w:val="-9"/>
          <w:w w:val="105"/>
        </w:rPr>
        <w:t> </w:t>
      </w:r>
      <w:r>
        <w:rPr>
          <w:color w:val="231F20"/>
          <w:w w:val="105"/>
        </w:rPr>
        <w:t>su</w:t>
      </w:r>
      <w:r>
        <w:rPr>
          <w:color w:val="231F20"/>
          <w:spacing w:val="-9"/>
          <w:w w:val="105"/>
        </w:rPr>
        <w:t> </w:t>
      </w:r>
      <w:r>
        <w:rPr>
          <w:color w:val="231F20"/>
          <w:w w:val="105"/>
        </w:rPr>
        <w:t>lealtad</w:t>
      </w:r>
      <w:r>
        <w:rPr>
          <w:color w:val="231F20"/>
          <w:spacing w:val="-9"/>
          <w:w w:val="105"/>
        </w:rPr>
        <w:t> </w:t>
      </w:r>
      <w:r>
        <w:rPr>
          <w:color w:val="231F20"/>
          <w:w w:val="105"/>
        </w:rPr>
        <w:t>se</w:t>
      </w:r>
      <w:r>
        <w:rPr>
          <w:color w:val="231F20"/>
          <w:spacing w:val="-9"/>
          <w:w w:val="105"/>
        </w:rPr>
        <w:t> </w:t>
      </w:r>
      <w:r>
        <w:rPr>
          <w:color w:val="231F20"/>
          <w:w w:val="105"/>
        </w:rPr>
        <w:t>orienta</w:t>
      </w:r>
      <w:r>
        <w:rPr>
          <w:color w:val="231F20"/>
          <w:spacing w:val="-9"/>
          <w:w w:val="105"/>
        </w:rPr>
        <w:t> </w:t>
      </w:r>
      <w:r>
        <w:rPr>
          <w:color w:val="231F20"/>
          <w:w w:val="105"/>
        </w:rPr>
        <w:t>más</w:t>
      </w:r>
      <w:r>
        <w:rPr>
          <w:color w:val="231F20"/>
          <w:spacing w:val="-9"/>
          <w:w w:val="105"/>
        </w:rPr>
        <w:t> </w:t>
      </w:r>
      <w:r>
        <w:rPr>
          <w:color w:val="231F20"/>
          <w:w w:val="105"/>
        </w:rPr>
        <w:t>hacia</w:t>
      </w:r>
      <w:r>
        <w:rPr>
          <w:color w:val="231F20"/>
          <w:spacing w:val="-9"/>
          <w:w w:val="105"/>
        </w:rPr>
        <w:t> </w:t>
      </w:r>
      <w:r>
        <w:rPr>
          <w:color w:val="231F20"/>
          <w:w w:val="105"/>
        </w:rPr>
        <w:t>el</w:t>
      </w:r>
      <w:r>
        <w:rPr>
          <w:color w:val="231F20"/>
          <w:spacing w:val="-9"/>
          <w:w w:val="105"/>
        </w:rPr>
        <w:t> </w:t>
      </w:r>
      <w:r>
        <w:rPr>
          <w:color w:val="231F20"/>
          <w:w w:val="105"/>
        </w:rPr>
        <w:t>partido</w:t>
      </w:r>
      <w:r>
        <w:rPr>
          <w:color w:val="231F20"/>
          <w:spacing w:val="-9"/>
          <w:w w:val="105"/>
        </w:rPr>
        <w:t> </w:t>
      </w:r>
      <w:r>
        <w:rPr>
          <w:color w:val="231F20"/>
          <w:w w:val="105"/>
        </w:rPr>
        <w:t>a nivel</w:t>
      </w:r>
      <w:r>
        <w:rPr>
          <w:color w:val="231F20"/>
          <w:spacing w:val="-14"/>
          <w:w w:val="105"/>
        </w:rPr>
        <w:t> </w:t>
      </w:r>
      <w:r>
        <w:rPr>
          <w:color w:val="231F20"/>
          <w:w w:val="105"/>
        </w:rPr>
        <w:t>estatal</w:t>
      </w:r>
      <w:r>
        <w:rPr>
          <w:color w:val="231F20"/>
          <w:spacing w:val="-14"/>
          <w:w w:val="105"/>
        </w:rPr>
        <w:t> </w:t>
      </w:r>
      <w:r>
        <w:rPr>
          <w:color w:val="231F20"/>
          <w:w w:val="105"/>
        </w:rPr>
        <w:t>por</w:t>
      </w:r>
      <w:r>
        <w:rPr>
          <w:color w:val="231F20"/>
          <w:spacing w:val="-14"/>
          <w:w w:val="105"/>
        </w:rPr>
        <w:t> </w:t>
      </w:r>
      <w:r>
        <w:rPr>
          <w:color w:val="231F20"/>
          <w:w w:val="105"/>
        </w:rPr>
        <w:t>encima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presencia</w:t>
      </w:r>
      <w:r>
        <w:rPr>
          <w:color w:val="231F20"/>
          <w:spacing w:val="-14"/>
          <w:w w:val="105"/>
        </w:rPr>
        <w:t> </w:t>
      </w:r>
      <w:r>
        <w:rPr>
          <w:color w:val="231F20"/>
          <w:w w:val="105"/>
        </w:rPr>
        <w:t>del</w:t>
      </w:r>
      <w:r>
        <w:rPr>
          <w:color w:val="231F20"/>
          <w:spacing w:val="-14"/>
          <w:w w:val="105"/>
        </w:rPr>
        <w:t> </w:t>
      </w:r>
      <w:r>
        <w:rPr>
          <w:color w:val="231F20"/>
          <w:w w:val="105"/>
        </w:rPr>
        <w:t>partido</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local.</w:t>
      </w:r>
    </w:p>
    <w:p>
      <w:pPr>
        <w:pStyle w:val="BodyText"/>
        <w:spacing w:before="1"/>
        <w:rPr>
          <w:sz w:val="26"/>
        </w:rPr>
      </w:pPr>
    </w:p>
    <w:p>
      <w:pPr>
        <w:pStyle w:val="BodyText"/>
        <w:spacing w:line="285" w:lineRule="auto"/>
        <w:ind w:left="110" w:right="107"/>
        <w:jc w:val="both"/>
      </w:pPr>
      <w:r>
        <w:rPr>
          <w:color w:val="231F20"/>
          <w:spacing w:val="-3"/>
          <w:w w:val="105"/>
        </w:rPr>
        <w:t>Por </w:t>
      </w:r>
      <w:r>
        <w:rPr>
          <w:color w:val="231F20"/>
          <w:w w:val="105"/>
        </w:rPr>
        <w:t>otro lado, el presidente municipal suele tener una gran importancia </w:t>
      </w:r>
      <w:r>
        <w:rPr>
          <w:color w:val="231F20"/>
          <w:spacing w:val="2"/>
          <w:w w:val="105"/>
        </w:rPr>
        <w:t>al </w:t>
      </w:r>
      <w:r>
        <w:rPr>
          <w:color w:val="231F20"/>
          <w:w w:val="105"/>
        </w:rPr>
        <w:t>interior del funcionamiento</w:t>
      </w:r>
      <w:r>
        <w:rPr>
          <w:color w:val="231F20"/>
          <w:spacing w:val="-13"/>
          <w:w w:val="105"/>
        </w:rPr>
        <w:t> </w:t>
      </w:r>
      <w:r>
        <w:rPr>
          <w:color w:val="231F20"/>
          <w:w w:val="105"/>
        </w:rPr>
        <w:t>del</w:t>
      </w:r>
      <w:r>
        <w:rPr>
          <w:color w:val="231F20"/>
          <w:spacing w:val="-13"/>
          <w:w w:val="105"/>
        </w:rPr>
        <w:t> </w:t>
      </w:r>
      <w:r>
        <w:rPr>
          <w:color w:val="231F20"/>
          <w:w w:val="105"/>
        </w:rPr>
        <w:t>ayuntamiento</w:t>
      </w:r>
      <w:r>
        <w:rPr>
          <w:color w:val="231F20"/>
          <w:spacing w:val="-13"/>
          <w:w w:val="105"/>
        </w:rPr>
        <w:t> </w:t>
      </w:r>
      <w:r>
        <w:rPr>
          <w:color w:val="231F20"/>
          <w:w w:val="105"/>
        </w:rPr>
        <w:t>pues</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encargado</w:t>
      </w:r>
      <w:r>
        <w:rPr>
          <w:color w:val="231F20"/>
          <w:spacing w:val="-13"/>
          <w:w w:val="105"/>
        </w:rPr>
        <w:t> </w:t>
      </w:r>
      <w:r>
        <w:rPr>
          <w:color w:val="231F20"/>
          <w:w w:val="105"/>
        </w:rPr>
        <w:t>de</w:t>
      </w:r>
      <w:r>
        <w:rPr>
          <w:color w:val="231F20"/>
          <w:spacing w:val="-13"/>
          <w:w w:val="105"/>
        </w:rPr>
        <w:t> </w:t>
      </w:r>
      <w:r>
        <w:rPr>
          <w:color w:val="231F20"/>
          <w:w w:val="105"/>
        </w:rPr>
        <w:t>convocar</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reunión</w:t>
      </w:r>
      <w:r>
        <w:rPr>
          <w:color w:val="231F20"/>
          <w:spacing w:val="-13"/>
          <w:w w:val="105"/>
        </w:rPr>
        <w:t> </w:t>
      </w:r>
      <w:r>
        <w:rPr>
          <w:color w:val="231F20"/>
          <w:w w:val="105"/>
        </w:rPr>
        <w:t>del</w:t>
      </w:r>
      <w:r>
        <w:rPr>
          <w:color w:val="231F20"/>
          <w:spacing w:val="-13"/>
          <w:w w:val="105"/>
        </w:rPr>
        <w:t> </w:t>
      </w:r>
      <w:r>
        <w:rPr>
          <w:color w:val="231F20"/>
          <w:w w:val="105"/>
        </w:rPr>
        <w:t>ca- bildo,</w:t>
      </w:r>
      <w:r>
        <w:rPr>
          <w:color w:val="231F20"/>
          <w:spacing w:val="-6"/>
          <w:w w:val="105"/>
        </w:rPr>
        <w:t> </w:t>
      </w:r>
      <w:r>
        <w:rPr>
          <w:color w:val="231F20"/>
          <w:w w:val="105"/>
        </w:rPr>
        <w:t>así</w:t>
      </w:r>
      <w:r>
        <w:rPr>
          <w:color w:val="231F20"/>
          <w:spacing w:val="-6"/>
          <w:w w:val="105"/>
        </w:rPr>
        <w:t> </w:t>
      </w:r>
      <w:r>
        <w:rPr>
          <w:color w:val="231F20"/>
          <w:w w:val="105"/>
        </w:rPr>
        <w:t>como</w:t>
      </w:r>
      <w:r>
        <w:rPr>
          <w:color w:val="231F20"/>
          <w:spacing w:val="-6"/>
          <w:w w:val="105"/>
        </w:rPr>
        <w:t> </w:t>
      </w:r>
      <w:r>
        <w:rPr>
          <w:color w:val="231F20"/>
          <w:w w:val="105"/>
        </w:rPr>
        <w:t>de</w:t>
      </w:r>
      <w:r>
        <w:rPr>
          <w:color w:val="231F20"/>
          <w:spacing w:val="-6"/>
          <w:w w:val="105"/>
        </w:rPr>
        <w:t> </w:t>
      </w:r>
      <w:r>
        <w:rPr>
          <w:color w:val="231F20"/>
          <w:w w:val="105"/>
        </w:rPr>
        <w:t>presentar</w:t>
      </w:r>
      <w:r>
        <w:rPr>
          <w:color w:val="231F20"/>
          <w:spacing w:val="-6"/>
          <w:w w:val="105"/>
        </w:rPr>
        <w:t> </w:t>
      </w:r>
      <w:r>
        <w:rPr>
          <w:color w:val="231F20"/>
          <w:w w:val="105"/>
        </w:rPr>
        <w:t>las</w:t>
      </w:r>
      <w:r>
        <w:rPr>
          <w:color w:val="231F20"/>
          <w:spacing w:val="-6"/>
          <w:w w:val="105"/>
        </w:rPr>
        <w:t> </w:t>
      </w:r>
      <w:r>
        <w:rPr>
          <w:color w:val="231F20"/>
          <w:w w:val="105"/>
        </w:rPr>
        <w:t>propuestas</w:t>
      </w:r>
      <w:r>
        <w:rPr>
          <w:color w:val="231F20"/>
          <w:spacing w:val="-6"/>
          <w:w w:val="105"/>
        </w:rPr>
        <w:t> </w:t>
      </w:r>
      <w:r>
        <w:rPr>
          <w:color w:val="231F20"/>
          <w:w w:val="105"/>
        </w:rPr>
        <w:t>y</w:t>
      </w:r>
      <w:r>
        <w:rPr>
          <w:color w:val="231F20"/>
          <w:spacing w:val="-6"/>
          <w:w w:val="105"/>
        </w:rPr>
        <w:t> </w:t>
      </w:r>
      <w:r>
        <w:rPr>
          <w:color w:val="231F20"/>
          <w:w w:val="105"/>
        </w:rPr>
        <w:t>temas</w:t>
      </w:r>
      <w:r>
        <w:rPr>
          <w:color w:val="231F20"/>
          <w:spacing w:val="-6"/>
          <w:w w:val="105"/>
        </w:rPr>
        <w:t> </w:t>
      </w:r>
      <w:r>
        <w:rPr>
          <w:color w:val="231F20"/>
          <w:w w:val="105"/>
        </w:rPr>
        <w:t>que</w:t>
      </w:r>
      <w:r>
        <w:rPr>
          <w:color w:val="231F20"/>
          <w:spacing w:val="-6"/>
          <w:w w:val="105"/>
        </w:rPr>
        <w:t> </w:t>
      </w:r>
      <w:r>
        <w:rPr>
          <w:color w:val="231F20"/>
          <w:w w:val="105"/>
        </w:rPr>
        <w:t>serán</w:t>
      </w:r>
      <w:r>
        <w:rPr>
          <w:color w:val="231F20"/>
          <w:spacing w:val="-6"/>
          <w:w w:val="105"/>
        </w:rPr>
        <w:t> </w:t>
      </w:r>
      <w:r>
        <w:rPr>
          <w:color w:val="231F20"/>
          <w:w w:val="105"/>
        </w:rPr>
        <w:t>incluidas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orden</w:t>
      </w:r>
      <w:r>
        <w:rPr>
          <w:color w:val="231F20"/>
          <w:spacing w:val="-6"/>
          <w:w w:val="105"/>
        </w:rPr>
        <w:t> </w:t>
      </w:r>
      <w:r>
        <w:rPr>
          <w:color w:val="231F20"/>
          <w:w w:val="105"/>
        </w:rPr>
        <w:t>del día;</w:t>
      </w:r>
      <w:r>
        <w:rPr>
          <w:color w:val="231F20"/>
          <w:spacing w:val="-7"/>
          <w:w w:val="105"/>
        </w:rPr>
        <w:t> </w:t>
      </w:r>
      <w:r>
        <w:rPr>
          <w:color w:val="231F20"/>
          <w:w w:val="105"/>
        </w:rPr>
        <w:t>además</w:t>
      </w:r>
      <w:r>
        <w:rPr>
          <w:color w:val="231F20"/>
          <w:spacing w:val="-7"/>
          <w:w w:val="105"/>
        </w:rPr>
        <w:t> </w:t>
      </w:r>
      <w:r>
        <w:rPr>
          <w:color w:val="231F20"/>
          <w:w w:val="105"/>
        </w:rPr>
        <w:t>nombra</w:t>
      </w:r>
      <w:r>
        <w:rPr>
          <w:color w:val="231F20"/>
          <w:spacing w:val="-7"/>
          <w:w w:val="105"/>
        </w:rPr>
        <w:t> </w:t>
      </w:r>
      <w:r>
        <w:rPr>
          <w:color w:val="231F20"/>
          <w:spacing w:val="2"/>
          <w:w w:val="105"/>
        </w:rPr>
        <w:t>al</w:t>
      </w:r>
      <w:r>
        <w:rPr>
          <w:color w:val="231F20"/>
          <w:spacing w:val="-7"/>
          <w:w w:val="105"/>
        </w:rPr>
        <w:t> </w:t>
      </w:r>
      <w:r>
        <w:rPr>
          <w:color w:val="231F20"/>
          <w:w w:val="105"/>
        </w:rPr>
        <w:t>secretario</w:t>
      </w:r>
      <w:r>
        <w:rPr>
          <w:color w:val="231F20"/>
          <w:spacing w:val="-7"/>
          <w:w w:val="105"/>
        </w:rPr>
        <w:t> </w:t>
      </w:r>
      <w:r>
        <w:rPr>
          <w:color w:val="231F20"/>
          <w:w w:val="105"/>
        </w:rPr>
        <w:t>del</w:t>
      </w:r>
      <w:r>
        <w:rPr>
          <w:color w:val="231F20"/>
          <w:spacing w:val="-7"/>
          <w:w w:val="105"/>
        </w:rPr>
        <w:t> </w:t>
      </w:r>
      <w:r>
        <w:rPr>
          <w:color w:val="231F20"/>
          <w:w w:val="105"/>
        </w:rPr>
        <w:t>ayuntamiento,</w:t>
      </w:r>
      <w:r>
        <w:rPr>
          <w:color w:val="231F20"/>
          <w:spacing w:val="-7"/>
          <w:w w:val="105"/>
        </w:rPr>
        <w:t> </w:t>
      </w:r>
      <w:r>
        <w:rPr>
          <w:color w:val="231F20"/>
          <w:w w:val="105"/>
        </w:rPr>
        <w:t>funcionario</w:t>
      </w:r>
      <w:r>
        <w:rPr>
          <w:color w:val="231F20"/>
          <w:spacing w:val="-7"/>
          <w:w w:val="105"/>
        </w:rPr>
        <w:t> </w:t>
      </w:r>
      <w:r>
        <w:rPr>
          <w:color w:val="231F20"/>
          <w:w w:val="105"/>
        </w:rPr>
        <w:t>encargado</w:t>
      </w:r>
      <w:r>
        <w:rPr>
          <w:color w:val="231F20"/>
          <w:spacing w:val="-7"/>
          <w:w w:val="105"/>
        </w:rPr>
        <w:t> </w:t>
      </w:r>
      <w:r>
        <w:rPr>
          <w:color w:val="231F20"/>
          <w:w w:val="105"/>
        </w:rPr>
        <w:t>de</w:t>
      </w:r>
      <w:r>
        <w:rPr>
          <w:color w:val="231F20"/>
          <w:spacing w:val="-7"/>
          <w:w w:val="105"/>
        </w:rPr>
        <w:t> </w:t>
      </w:r>
      <w:r>
        <w:rPr>
          <w:color w:val="231F20"/>
          <w:w w:val="105"/>
        </w:rPr>
        <w:t>manejar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la agenda a discutir en las reuniones del gobierno municipal.</w:t>
      </w:r>
    </w:p>
    <w:p>
      <w:pPr>
        <w:pStyle w:val="BodyText"/>
        <w:spacing w:before="2"/>
        <w:rPr>
          <w:sz w:val="30"/>
        </w:rPr>
      </w:pPr>
    </w:p>
    <w:p>
      <w:pPr>
        <w:pStyle w:val="BodyText"/>
        <w:spacing w:line="285" w:lineRule="auto"/>
        <w:ind w:left="110" w:right="108"/>
        <w:jc w:val="both"/>
      </w:pPr>
      <w:r>
        <w:rPr>
          <w:color w:val="231F20"/>
          <w:w w:val="105"/>
        </w:rPr>
        <w:t>Por último, las decisiones al interior de este órgano de gobierno se tomarán por ma- yoría de los miembros presentes en la reunión, además de que el presidente municipal tendrá voto de calidad</w:t>
      </w:r>
      <w:r>
        <w:rPr>
          <w:color w:val="231F20"/>
          <w:w w:val="105"/>
          <w:position w:val="7"/>
          <w:sz w:val="13"/>
        </w:rPr>
        <w:t>19</w:t>
      </w:r>
      <w:r>
        <w:rPr>
          <w:color w:val="231F20"/>
          <w:w w:val="105"/>
        </w:rPr>
        <w:t>; esto fomenta su relevancia al momento de la toma de deci- siones de gobierno.</w:t>
      </w:r>
    </w:p>
    <w:p>
      <w:pPr>
        <w:pStyle w:val="BodyText"/>
        <w:spacing w:before="1"/>
        <w:rPr>
          <w:sz w:val="26"/>
        </w:rPr>
      </w:pPr>
    </w:p>
    <w:p>
      <w:pPr>
        <w:pStyle w:val="BodyText"/>
        <w:spacing w:line="285" w:lineRule="auto"/>
        <w:ind w:left="110" w:right="108"/>
        <w:jc w:val="both"/>
      </w:pPr>
      <w:r>
        <w:rPr>
          <w:color w:val="231F20"/>
          <w:w w:val="105"/>
        </w:rPr>
        <w:t>El </w:t>
      </w:r>
      <w:r>
        <w:rPr>
          <w:color w:val="231F20"/>
          <w:spacing w:val="-4"/>
          <w:w w:val="105"/>
        </w:rPr>
        <w:t>presidente </w:t>
      </w:r>
      <w:r>
        <w:rPr>
          <w:color w:val="231F20"/>
          <w:w w:val="105"/>
        </w:rPr>
        <w:t>municipal </w:t>
      </w:r>
      <w:r>
        <w:rPr>
          <w:color w:val="231F20"/>
          <w:spacing w:val="-3"/>
          <w:w w:val="105"/>
        </w:rPr>
        <w:t>también </w:t>
      </w:r>
      <w:r>
        <w:rPr>
          <w:color w:val="231F20"/>
          <w:w w:val="105"/>
        </w:rPr>
        <w:t>es el </w:t>
      </w:r>
      <w:r>
        <w:rPr>
          <w:color w:val="231F20"/>
          <w:spacing w:val="-3"/>
          <w:w w:val="105"/>
        </w:rPr>
        <w:t>encargado </w:t>
      </w:r>
      <w:r>
        <w:rPr>
          <w:color w:val="231F20"/>
          <w:w w:val="105"/>
        </w:rPr>
        <w:t>de ejecutar las </w:t>
      </w:r>
      <w:r>
        <w:rPr>
          <w:color w:val="231F20"/>
          <w:spacing w:val="-4"/>
          <w:w w:val="105"/>
        </w:rPr>
        <w:t>resoluciones </w:t>
      </w:r>
      <w:r>
        <w:rPr>
          <w:color w:val="231F20"/>
          <w:spacing w:val="-3"/>
          <w:w w:val="105"/>
        </w:rPr>
        <w:t>adoptadas por</w:t>
      </w:r>
      <w:r>
        <w:rPr>
          <w:color w:val="231F20"/>
          <w:spacing w:val="-20"/>
          <w:w w:val="105"/>
        </w:rPr>
        <w:t> </w:t>
      </w:r>
      <w:r>
        <w:rPr>
          <w:color w:val="231F20"/>
          <w:w w:val="105"/>
        </w:rPr>
        <w:t>el</w:t>
      </w:r>
      <w:r>
        <w:rPr>
          <w:color w:val="231F20"/>
          <w:spacing w:val="-20"/>
          <w:w w:val="105"/>
        </w:rPr>
        <w:t> </w:t>
      </w:r>
      <w:r>
        <w:rPr>
          <w:color w:val="231F20"/>
          <w:spacing w:val="-3"/>
          <w:w w:val="105"/>
        </w:rPr>
        <w:t>cabildo;</w:t>
      </w:r>
      <w:r>
        <w:rPr>
          <w:color w:val="231F20"/>
          <w:spacing w:val="-20"/>
          <w:w w:val="105"/>
        </w:rPr>
        <w:t> </w:t>
      </w:r>
      <w:r>
        <w:rPr>
          <w:color w:val="231F20"/>
          <w:w w:val="105"/>
        </w:rPr>
        <w:t>para</w:t>
      </w:r>
      <w:r>
        <w:rPr>
          <w:color w:val="231F20"/>
          <w:spacing w:val="-20"/>
          <w:w w:val="105"/>
        </w:rPr>
        <w:t> </w:t>
      </w:r>
      <w:r>
        <w:rPr>
          <w:color w:val="231F20"/>
          <w:w w:val="105"/>
        </w:rPr>
        <w:t>ello</w:t>
      </w:r>
      <w:r>
        <w:rPr>
          <w:color w:val="231F20"/>
          <w:spacing w:val="-20"/>
          <w:w w:val="105"/>
        </w:rPr>
        <w:t> </w:t>
      </w:r>
      <w:r>
        <w:rPr>
          <w:color w:val="231F20"/>
          <w:w w:val="105"/>
        </w:rPr>
        <w:t>se</w:t>
      </w:r>
      <w:r>
        <w:rPr>
          <w:color w:val="231F20"/>
          <w:spacing w:val="-20"/>
          <w:w w:val="105"/>
        </w:rPr>
        <w:t> </w:t>
      </w:r>
      <w:r>
        <w:rPr>
          <w:color w:val="231F20"/>
          <w:spacing w:val="-3"/>
          <w:w w:val="105"/>
        </w:rPr>
        <w:t>apoya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estructura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administración</w:t>
      </w:r>
      <w:r>
        <w:rPr>
          <w:color w:val="231F20"/>
          <w:spacing w:val="-20"/>
          <w:w w:val="105"/>
        </w:rPr>
        <w:t> </w:t>
      </w:r>
      <w:r>
        <w:rPr>
          <w:color w:val="231F20"/>
          <w:spacing w:val="-3"/>
          <w:w w:val="105"/>
        </w:rPr>
        <w:t>pública</w:t>
      </w:r>
      <w:r>
        <w:rPr>
          <w:color w:val="231F20"/>
          <w:spacing w:val="-20"/>
          <w:w w:val="105"/>
        </w:rPr>
        <w:t> </w:t>
      </w:r>
      <w:r>
        <w:rPr>
          <w:color w:val="231F20"/>
          <w:w w:val="105"/>
        </w:rPr>
        <w:t>municipal.</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7"/>
          <w:w w:val="105"/>
        </w:rPr>
        <w:t> </w:t>
      </w:r>
      <w:r>
        <w:rPr>
          <w:color w:val="231F20"/>
          <w:w w:val="105"/>
        </w:rPr>
        <w:t>integración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APM</w:t>
      </w:r>
      <w:r>
        <w:rPr>
          <w:color w:val="231F20"/>
          <w:spacing w:val="-17"/>
          <w:w w:val="105"/>
        </w:rPr>
        <w:t> </w:t>
      </w:r>
      <w:r>
        <w:rPr>
          <w:color w:val="231F20"/>
          <w:w w:val="105"/>
        </w:rPr>
        <w:t>también</w:t>
      </w:r>
      <w:r>
        <w:rPr>
          <w:color w:val="231F20"/>
          <w:spacing w:val="-17"/>
          <w:w w:val="105"/>
        </w:rPr>
        <w:t> </w:t>
      </w:r>
      <w:r>
        <w:rPr>
          <w:color w:val="231F20"/>
          <w:w w:val="105"/>
        </w:rPr>
        <w:t>está</w:t>
      </w:r>
      <w:r>
        <w:rPr>
          <w:color w:val="231F20"/>
          <w:spacing w:val="-17"/>
          <w:w w:val="105"/>
        </w:rPr>
        <w:t> </w:t>
      </w:r>
      <w:r>
        <w:rPr>
          <w:color w:val="231F20"/>
          <w:w w:val="105"/>
        </w:rPr>
        <w:t>definida</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marco</w:t>
      </w:r>
      <w:r>
        <w:rPr>
          <w:color w:val="231F20"/>
          <w:spacing w:val="-17"/>
          <w:w w:val="105"/>
        </w:rPr>
        <w:t> </w:t>
      </w:r>
      <w:r>
        <w:rPr>
          <w:color w:val="231F20"/>
          <w:w w:val="105"/>
        </w:rPr>
        <w:t>institucional</w:t>
      </w:r>
      <w:r>
        <w:rPr>
          <w:color w:val="231F20"/>
          <w:spacing w:val="-17"/>
          <w:w w:val="105"/>
        </w:rPr>
        <w:t> </w:t>
      </w:r>
      <w:r>
        <w:rPr>
          <w:color w:val="231F20"/>
          <w:w w:val="105"/>
        </w:rPr>
        <w:t>que</w:t>
      </w:r>
      <w:r>
        <w:rPr>
          <w:color w:val="231F20"/>
          <w:spacing w:val="-17"/>
          <w:w w:val="105"/>
        </w:rPr>
        <w:t> </w:t>
      </w:r>
      <w:r>
        <w:rPr>
          <w:color w:val="231F20"/>
          <w:w w:val="105"/>
        </w:rPr>
        <w:t>rige</w:t>
      </w:r>
      <w:r>
        <w:rPr>
          <w:color w:val="231F20"/>
          <w:spacing w:val="-17"/>
          <w:w w:val="105"/>
        </w:rPr>
        <w:t> </w:t>
      </w:r>
      <w:r>
        <w:rPr>
          <w:color w:val="231F20"/>
          <w:w w:val="105"/>
        </w:rPr>
        <w:t>a</w:t>
      </w:r>
      <w:r>
        <w:rPr>
          <w:color w:val="231F20"/>
          <w:spacing w:val="-17"/>
          <w:w w:val="105"/>
        </w:rPr>
        <w:t> </w:t>
      </w:r>
      <w:r>
        <w:rPr>
          <w:color w:val="231F20"/>
          <w:w w:val="105"/>
        </w:rPr>
        <w:t>los municipios</w:t>
      </w:r>
      <w:r>
        <w:rPr>
          <w:color w:val="231F20"/>
          <w:spacing w:val="-11"/>
          <w:w w:val="105"/>
        </w:rPr>
        <w:t> </w:t>
      </w:r>
      <w:r>
        <w:rPr>
          <w:color w:val="231F20"/>
          <w:w w:val="105"/>
        </w:rPr>
        <w:t>y</w:t>
      </w:r>
      <w:r>
        <w:rPr>
          <w:color w:val="231F20"/>
          <w:spacing w:val="-11"/>
          <w:w w:val="105"/>
        </w:rPr>
        <w:t> </w:t>
      </w:r>
      <w:r>
        <w:rPr>
          <w:color w:val="231F20"/>
          <w:w w:val="105"/>
        </w:rPr>
        <w:t>que</w:t>
      </w:r>
      <w:r>
        <w:rPr>
          <w:color w:val="231F20"/>
          <w:spacing w:val="-11"/>
          <w:w w:val="105"/>
        </w:rPr>
        <w:t> </w:t>
      </w:r>
      <w:r>
        <w:rPr>
          <w:color w:val="231F20"/>
          <w:w w:val="105"/>
        </w:rPr>
        <w:t>gira</w:t>
      </w:r>
      <w:r>
        <w:rPr>
          <w:color w:val="231F20"/>
          <w:spacing w:val="-11"/>
          <w:w w:val="105"/>
        </w:rPr>
        <w:t> </w:t>
      </w:r>
      <w:r>
        <w:rPr>
          <w:color w:val="231F20"/>
          <w:w w:val="105"/>
        </w:rPr>
        <w:t>en</w:t>
      </w:r>
      <w:r>
        <w:rPr>
          <w:color w:val="231F20"/>
          <w:spacing w:val="-11"/>
          <w:w w:val="105"/>
        </w:rPr>
        <w:t> </w:t>
      </w:r>
      <w:r>
        <w:rPr>
          <w:color w:val="231F20"/>
          <w:w w:val="105"/>
        </w:rPr>
        <w:t>torno</w:t>
      </w:r>
      <w:r>
        <w:rPr>
          <w:color w:val="231F20"/>
          <w:spacing w:val="-11"/>
          <w:w w:val="105"/>
        </w:rPr>
        <w:t> </w:t>
      </w:r>
      <w:r>
        <w:rPr>
          <w:color w:val="231F20"/>
          <w:w w:val="105"/>
        </w:rPr>
        <w:t>a</w:t>
      </w:r>
      <w:r>
        <w:rPr>
          <w:color w:val="231F20"/>
          <w:spacing w:val="-11"/>
          <w:w w:val="105"/>
        </w:rPr>
        <w:t> </w:t>
      </w:r>
      <w:r>
        <w:rPr>
          <w:color w:val="231F20"/>
          <w:w w:val="105"/>
        </w:rPr>
        <w:t>dos</w:t>
      </w:r>
      <w:r>
        <w:rPr>
          <w:color w:val="231F20"/>
          <w:spacing w:val="-11"/>
          <w:w w:val="105"/>
        </w:rPr>
        <w:t> </w:t>
      </w:r>
      <w:r>
        <w:rPr>
          <w:color w:val="231F20"/>
          <w:w w:val="105"/>
        </w:rPr>
        <w:t>aspectos:</w:t>
      </w:r>
    </w:p>
    <w:p>
      <w:pPr>
        <w:pStyle w:val="BodyText"/>
        <w:spacing w:line="285" w:lineRule="auto" w:before="1"/>
        <w:ind w:left="507" w:right="108"/>
        <w:jc w:val="both"/>
      </w:pPr>
      <w:r>
        <w:rPr>
          <w:color w:val="231F20"/>
          <w:w w:val="105"/>
        </w:rPr>
        <w:t>La</w:t>
      </w:r>
      <w:r>
        <w:rPr>
          <w:color w:val="231F20"/>
          <w:spacing w:val="-24"/>
          <w:w w:val="105"/>
        </w:rPr>
        <w:t> </w:t>
      </w:r>
      <w:r>
        <w:rPr>
          <w:color w:val="231F20"/>
          <w:w w:val="105"/>
        </w:rPr>
        <w:t>forma</w:t>
      </w:r>
      <w:r>
        <w:rPr>
          <w:color w:val="231F20"/>
          <w:spacing w:val="-24"/>
          <w:w w:val="105"/>
        </w:rPr>
        <w:t> </w:t>
      </w:r>
      <w:r>
        <w:rPr>
          <w:color w:val="231F20"/>
          <w:w w:val="105"/>
        </w:rPr>
        <w:t>de</w:t>
      </w:r>
      <w:r>
        <w:rPr>
          <w:color w:val="231F20"/>
          <w:spacing w:val="-24"/>
          <w:w w:val="105"/>
        </w:rPr>
        <w:t> </w:t>
      </w:r>
      <w:r>
        <w:rPr>
          <w:color w:val="231F20"/>
          <w:w w:val="105"/>
        </w:rPr>
        <w:t>integración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APM:</w:t>
      </w:r>
      <w:r>
        <w:rPr>
          <w:color w:val="231F20"/>
          <w:spacing w:val="-24"/>
          <w:w w:val="105"/>
        </w:rPr>
        <w:t> </w:t>
      </w:r>
      <w:r>
        <w:rPr>
          <w:color w:val="231F20"/>
          <w:w w:val="105"/>
        </w:rPr>
        <w:t>el</w:t>
      </w:r>
      <w:r>
        <w:rPr>
          <w:color w:val="231F20"/>
          <w:spacing w:val="-24"/>
          <w:w w:val="105"/>
        </w:rPr>
        <w:t> </w:t>
      </w:r>
      <w:r>
        <w:rPr>
          <w:color w:val="231F20"/>
          <w:w w:val="105"/>
        </w:rPr>
        <w:t>presidente</w:t>
      </w:r>
      <w:r>
        <w:rPr>
          <w:color w:val="231F20"/>
          <w:spacing w:val="-24"/>
          <w:w w:val="105"/>
        </w:rPr>
        <w:t> </w:t>
      </w:r>
      <w:r>
        <w:rPr>
          <w:color w:val="231F20"/>
          <w:w w:val="105"/>
        </w:rPr>
        <w:t>municipal</w:t>
      </w:r>
      <w:r>
        <w:rPr>
          <w:color w:val="231F20"/>
          <w:spacing w:val="-24"/>
          <w:w w:val="105"/>
        </w:rPr>
        <w:t> </w:t>
      </w:r>
      <w:r>
        <w:rPr>
          <w:color w:val="231F20"/>
          <w:w w:val="105"/>
        </w:rPr>
        <w:t>es</w:t>
      </w:r>
      <w:r>
        <w:rPr>
          <w:color w:val="231F20"/>
          <w:spacing w:val="-24"/>
          <w:w w:val="105"/>
        </w:rPr>
        <w:t> </w:t>
      </w:r>
      <w:r>
        <w:rPr>
          <w:color w:val="231F20"/>
          <w:w w:val="105"/>
        </w:rPr>
        <w:t>el</w:t>
      </w:r>
      <w:r>
        <w:rPr>
          <w:color w:val="231F20"/>
          <w:spacing w:val="-24"/>
          <w:w w:val="105"/>
        </w:rPr>
        <w:t> </w:t>
      </w:r>
      <w:r>
        <w:rPr>
          <w:color w:val="231F20"/>
          <w:w w:val="105"/>
        </w:rPr>
        <w:t>encargado</w:t>
      </w:r>
      <w:r>
        <w:rPr>
          <w:color w:val="231F20"/>
          <w:spacing w:val="-24"/>
          <w:w w:val="105"/>
        </w:rPr>
        <w:t> </w:t>
      </w:r>
      <w:r>
        <w:rPr>
          <w:color w:val="231F20"/>
          <w:w w:val="105"/>
        </w:rPr>
        <w:t>de</w:t>
      </w:r>
      <w:r>
        <w:rPr>
          <w:color w:val="231F20"/>
          <w:spacing w:val="-24"/>
          <w:w w:val="105"/>
        </w:rPr>
        <w:t> </w:t>
      </w:r>
      <w:r>
        <w:rPr>
          <w:color w:val="231F20"/>
          <w:w w:val="105"/>
        </w:rPr>
        <w:t>deci- </w:t>
      </w:r>
      <w:r>
        <w:rPr>
          <w:color w:val="231F20"/>
          <w:spacing w:val="2"/>
          <w:w w:val="105"/>
        </w:rPr>
        <w:t>dir</w:t>
      </w:r>
      <w:r>
        <w:rPr>
          <w:color w:val="231F20"/>
          <w:spacing w:val="-15"/>
          <w:w w:val="105"/>
        </w:rPr>
        <w:t> </w:t>
      </w:r>
      <w:r>
        <w:rPr>
          <w:color w:val="231F20"/>
          <w:w w:val="105"/>
        </w:rPr>
        <w:t>la</w:t>
      </w:r>
      <w:r>
        <w:rPr>
          <w:color w:val="231F20"/>
          <w:spacing w:val="-15"/>
          <w:w w:val="105"/>
        </w:rPr>
        <w:t> </w:t>
      </w:r>
      <w:r>
        <w:rPr>
          <w:color w:val="231F20"/>
          <w:w w:val="105"/>
        </w:rPr>
        <w:t>integración,</w:t>
      </w:r>
      <w:r>
        <w:rPr>
          <w:color w:val="231F20"/>
          <w:spacing w:val="-15"/>
          <w:w w:val="105"/>
        </w:rPr>
        <w:t> </w:t>
      </w:r>
      <w:r>
        <w:rPr>
          <w:color w:val="231F20"/>
          <w:w w:val="105"/>
        </w:rPr>
        <w:t>nombramiento</w:t>
      </w:r>
      <w:r>
        <w:rPr>
          <w:color w:val="231F20"/>
          <w:spacing w:val="-15"/>
          <w:w w:val="105"/>
        </w:rPr>
        <w:t> </w:t>
      </w:r>
      <w:r>
        <w:rPr>
          <w:color w:val="231F20"/>
          <w:w w:val="105"/>
        </w:rPr>
        <w:t>y</w:t>
      </w:r>
      <w:r>
        <w:rPr>
          <w:color w:val="231F20"/>
          <w:spacing w:val="-15"/>
          <w:w w:val="105"/>
        </w:rPr>
        <w:t> </w:t>
      </w:r>
      <w:r>
        <w:rPr>
          <w:color w:val="231F20"/>
          <w:w w:val="105"/>
        </w:rPr>
        <w:t>remoción</w:t>
      </w:r>
      <w:r>
        <w:rPr>
          <w:color w:val="231F20"/>
          <w:spacing w:val="-15"/>
          <w:w w:val="105"/>
        </w:rPr>
        <w:t> </w:t>
      </w:r>
      <w:r>
        <w:rPr>
          <w:color w:val="231F20"/>
          <w:w w:val="105"/>
        </w:rPr>
        <w:t>tanto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dependencias</w:t>
      </w:r>
      <w:r>
        <w:rPr>
          <w:color w:val="231F20"/>
          <w:spacing w:val="-15"/>
          <w:w w:val="105"/>
        </w:rPr>
        <w:t> </w:t>
      </w:r>
      <w:r>
        <w:rPr>
          <w:color w:val="231F20"/>
          <w:w w:val="105"/>
        </w:rPr>
        <w:t>y</w:t>
      </w:r>
      <w:r>
        <w:rPr>
          <w:color w:val="231F20"/>
          <w:spacing w:val="-15"/>
          <w:w w:val="105"/>
        </w:rPr>
        <w:t> </w:t>
      </w:r>
      <w:r>
        <w:rPr>
          <w:color w:val="231F20"/>
          <w:w w:val="105"/>
        </w:rPr>
        <w:t>entidades de</w:t>
      </w:r>
      <w:r>
        <w:rPr>
          <w:color w:val="231F20"/>
          <w:spacing w:val="-15"/>
          <w:w w:val="105"/>
        </w:rPr>
        <w:t> </w:t>
      </w:r>
      <w:r>
        <w:rPr>
          <w:color w:val="231F20"/>
          <w:w w:val="105"/>
        </w:rPr>
        <w:t>su</w:t>
      </w:r>
      <w:r>
        <w:rPr>
          <w:color w:val="231F20"/>
          <w:spacing w:val="-15"/>
          <w:w w:val="105"/>
        </w:rPr>
        <w:t> </w:t>
      </w:r>
      <w:r>
        <w:rPr>
          <w:color w:val="231F20"/>
          <w:w w:val="105"/>
        </w:rPr>
        <w:t>gobierno,</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de</w:t>
      </w:r>
      <w:r>
        <w:rPr>
          <w:color w:val="231F20"/>
          <w:spacing w:val="-15"/>
          <w:w w:val="105"/>
        </w:rPr>
        <w:t> </w:t>
      </w:r>
      <w:r>
        <w:rPr>
          <w:color w:val="231F20"/>
          <w:w w:val="105"/>
        </w:rPr>
        <w:t>sus</w:t>
      </w:r>
      <w:r>
        <w:rPr>
          <w:color w:val="231F20"/>
          <w:spacing w:val="-15"/>
          <w:w w:val="105"/>
        </w:rPr>
        <w:t> </w:t>
      </w:r>
      <w:r>
        <w:rPr>
          <w:color w:val="231F20"/>
          <w:w w:val="105"/>
        </w:rPr>
        <w:t>titulares</w:t>
      </w:r>
      <w:r>
        <w:rPr>
          <w:color w:val="231F20"/>
          <w:w w:val="105"/>
          <w:position w:val="7"/>
          <w:sz w:val="13"/>
        </w:rPr>
        <w:t>20</w:t>
      </w:r>
      <w:r>
        <w:rPr>
          <w:color w:val="231F20"/>
          <w:w w:val="105"/>
        </w:rPr>
        <w:t>;</w:t>
      </w:r>
      <w:r>
        <w:rPr>
          <w:color w:val="231F20"/>
          <w:spacing w:val="-15"/>
          <w:w w:val="105"/>
        </w:rPr>
        <w:t> </w:t>
      </w:r>
      <w:r>
        <w:rPr>
          <w:color w:val="231F20"/>
          <w:w w:val="105"/>
        </w:rPr>
        <w:t>y</w:t>
      </w:r>
    </w:p>
    <w:p>
      <w:pPr>
        <w:pStyle w:val="BodyText"/>
        <w:spacing w:line="285" w:lineRule="auto"/>
        <w:ind w:left="507" w:right="107"/>
        <w:jc w:val="both"/>
      </w:pPr>
      <w:r>
        <w:rPr>
          <w:color w:val="231F20"/>
          <w:w w:val="105"/>
        </w:rPr>
        <w:t>La operatividad de la APM y sus políticas que se guían por el Plan de Desarrollo Municipal que es presentado por el presidente municipal al inicio de su gestión. Este plan se conformará, a su vez, por planes operativos anuales aprobados en el cabildo durante cada año de gobierno con el fin de “dar cumplimiento” al plan general.</w:t>
      </w:r>
    </w:p>
    <w:p>
      <w:pPr>
        <w:pStyle w:val="BodyText"/>
        <w:spacing w:before="1"/>
        <w:rPr>
          <w:sz w:val="26"/>
        </w:rPr>
      </w:pPr>
    </w:p>
    <w:p>
      <w:pPr>
        <w:pStyle w:val="BodyText"/>
        <w:spacing w:line="285" w:lineRule="auto"/>
        <w:ind w:left="110" w:right="108"/>
        <w:jc w:val="both"/>
      </w:pPr>
      <w:r>
        <w:rPr>
          <w:color w:val="231F20"/>
          <w:spacing w:val="-3"/>
          <w:w w:val="105"/>
        </w:rPr>
        <w:t>Por</w:t>
      </w:r>
      <w:r>
        <w:rPr>
          <w:color w:val="231F20"/>
          <w:spacing w:val="-9"/>
          <w:w w:val="105"/>
        </w:rPr>
        <w:t> </w:t>
      </w:r>
      <w:r>
        <w:rPr>
          <w:color w:val="231F20"/>
          <w:w w:val="105"/>
        </w:rPr>
        <w:t>lo</w:t>
      </w:r>
      <w:r>
        <w:rPr>
          <w:color w:val="231F20"/>
          <w:spacing w:val="-9"/>
          <w:w w:val="105"/>
        </w:rPr>
        <w:t> </w:t>
      </w:r>
      <w:r>
        <w:rPr>
          <w:color w:val="231F20"/>
          <w:w w:val="105"/>
        </w:rPr>
        <w:t>común,</w:t>
      </w:r>
      <w:r>
        <w:rPr>
          <w:color w:val="231F20"/>
          <w:spacing w:val="-9"/>
          <w:w w:val="105"/>
        </w:rPr>
        <w:t> </w:t>
      </w:r>
      <w:r>
        <w:rPr>
          <w:color w:val="231F20"/>
          <w:w w:val="105"/>
        </w:rPr>
        <w:t>dentro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ayuntamientos</w:t>
      </w:r>
      <w:r>
        <w:rPr>
          <w:color w:val="231F20"/>
          <w:spacing w:val="-9"/>
          <w:w w:val="105"/>
        </w:rPr>
        <w:t> </w:t>
      </w:r>
      <w:r>
        <w:rPr>
          <w:color w:val="231F20"/>
          <w:w w:val="105"/>
        </w:rPr>
        <w:t>mexiquenses</w:t>
      </w:r>
      <w:r>
        <w:rPr>
          <w:color w:val="231F20"/>
          <w:spacing w:val="-9"/>
          <w:w w:val="105"/>
        </w:rPr>
        <w:t> </w:t>
      </w:r>
      <w:r>
        <w:rPr>
          <w:color w:val="231F20"/>
          <w:w w:val="105"/>
        </w:rPr>
        <w:t>se</w:t>
      </w:r>
      <w:r>
        <w:rPr>
          <w:color w:val="231F20"/>
          <w:spacing w:val="-9"/>
          <w:w w:val="105"/>
        </w:rPr>
        <w:t> </w:t>
      </w:r>
      <w:r>
        <w:rPr>
          <w:color w:val="231F20"/>
          <w:w w:val="105"/>
        </w:rPr>
        <w:t>observa</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marco</w:t>
      </w:r>
      <w:r>
        <w:rPr>
          <w:color w:val="231F20"/>
          <w:spacing w:val="-9"/>
          <w:w w:val="105"/>
        </w:rPr>
        <w:t> </w:t>
      </w:r>
      <w:r>
        <w:rPr>
          <w:color w:val="231F20"/>
          <w:w w:val="105"/>
        </w:rPr>
        <w:t>insti- tucional</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integran</w:t>
      </w:r>
      <w:r>
        <w:rPr>
          <w:color w:val="231F20"/>
          <w:spacing w:val="-15"/>
          <w:w w:val="105"/>
        </w:rPr>
        <w:t> </w:t>
      </w:r>
      <w:r>
        <w:rPr>
          <w:color w:val="231F20"/>
          <w:w w:val="105"/>
        </w:rPr>
        <w:t>tiende</w:t>
      </w:r>
      <w:r>
        <w:rPr>
          <w:color w:val="231F20"/>
          <w:spacing w:val="-15"/>
          <w:w w:val="105"/>
        </w:rPr>
        <w:t> </w:t>
      </w:r>
      <w:r>
        <w:rPr>
          <w:color w:val="231F20"/>
          <w:w w:val="105"/>
        </w:rPr>
        <w:t>a</w:t>
      </w:r>
      <w:r>
        <w:rPr>
          <w:color w:val="231F20"/>
          <w:spacing w:val="-15"/>
          <w:w w:val="105"/>
        </w:rPr>
        <w:t> </w:t>
      </w:r>
      <w:r>
        <w:rPr>
          <w:color w:val="231F20"/>
          <w:w w:val="105"/>
        </w:rPr>
        <w:t>fomentar</w:t>
      </w:r>
      <w:r>
        <w:rPr>
          <w:color w:val="231F20"/>
          <w:spacing w:val="-15"/>
          <w:w w:val="105"/>
        </w:rPr>
        <w:t> </w:t>
      </w:r>
      <w:r>
        <w:rPr>
          <w:color w:val="231F20"/>
          <w:w w:val="105"/>
        </w:rPr>
        <w:t>la</w:t>
      </w:r>
      <w:r>
        <w:rPr>
          <w:color w:val="231F20"/>
          <w:spacing w:val="-15"/>
          <w:w w:val="105"/>
        </w:rPr>
        <w:t> </w:t>
      </w:r>
      <w:r>
        <w:rPr>
          <w:color w:val="231F20"/>
          <w:w w:val="105"/>
        </w:rPr>
        <w:t>centralización</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toma</w:t>
      </w:r>
      <w:r>
        <w:rPr>
          <w:color w:val="231F20"/>
          <w:spacing w:val="-15"/>
          <w:w w:val="105"/>
        </w:rPr>
        <w:t> </w:t>
      </w:r>
      <w:r>
        <w:rPr>
          <w:color w:val="231F20"/>
          <w:w w:val="105"/>
        </w:rPr>
        <w:t>de</w:t>
      </w:r>
      <w:r>
        <w:rPr>
          <w:color w:val="231F20"/>
          <w:spacing w:val="-15"/>
          <w:w w:val="105"/>
        </w:rPr>
        <w:t> </w:t>
      </w:r>
      <w:r>
        <w:rPr>
          <w:color w:val="231F20"/>
          <w:w w:val="105"/>
        </w:rPr>
        <w:t>decisio- nes</w:t>
      </w:r>
      <w:r>
        <w:rPr>
          <w:color w:val="231F20"/>
          <w:spacing w:val="-10"/>
          <w:w w:val="105"/>
        </w:rPr>
        <w:t> </w:t>
      </w:r>
      <w:r>
        <w:rPr>
          <w:color w:val="231F20"/>
          <w:spacing w:val="2"/>
          <w:w w:val="105"/>
        </w:rPr>
        <w:t>al</w:t>
      </w:r>
      <w:r>
        <w:rPr>
          <w:color w:val="231F20"/>
          <w:spacing w:val="-10"/>
          <w:w w:val="105"/>
        </w:rPr>
        <w:t> </w:t>
      </w:r>
      <w:r>
        <w:rPr>
          <w:color w:val="231F20"/>
          <w:w w:val="105"/>
        </w:rPr>
        <w:t>interior</w:t>
      </w:r>
      <w:r>
        <w:rPr>
          <w:color w:val="231F20"/>
          <w:spacing w:val="-10"/>
          <w:w w:val="105"/>
        </w:rPr>
        <w:t> </w:t>
      </w:r>
      <w:r>
        <w:rPr>
          <w:color w:val="231F20"/>
          <w:w w:val="105"/>
        </w:rPr>
        <w:t>del</w:t>
      </w:r>
      <w:r>
        <w:rPr>
          <w:color w:val="231F20"/>
          <w:spacing w:val="-10"/>
          <w:w w:val="105"/>
        </w:rPr>
        <w:t> </w:t>
      </w:r>
      <w:r>
        <w:rPr>
          <w:color w:val="231F20"/>
          <w:w w:val="105"/>
        </w:rPr>
        <w:t>cabildo.</w:t>
      </w:r>
      <w:r>
        <w:rPr>
          <w:color w:val="231F20"/>
          <w:spacing w:val="-10"/>
          <w:w w:val="105"/>
        </w:rPr>
        <w:t> </w:t>
      </w:r>
      <w:r>
        <w:rPr>
          <w:color w:val="231F20"/>
          <w:w w:val="105"/>
        </w:rPr>
        <w:t>Esto</w:t>
      </w:r>
      <w:r>
        <w:rPr>
          <w:color w:val="231F20"/>
          <w:spacing w:val="-10"/>
          <w:w w:val="105"/>
        </w:rPr>
        <w:t> </w:t>
      </w:r>
      <w:r>
        <w:rPr>
          <w:color w:val="231F20"/>
          <w:w w:val="105"/>
        </w:rPr>
        <w:t>se</w:t>
      </w:r>
      <w:r>
        <w:rPr>
          <w:color w:val="231F20"/>
          <w:spacing w:val="-10"/>
          <w:w w:val="105"/>
        </w:rPr>
        <w:t> </w:t>
      </w:r>
      <w:r>
        <w:rPr>
          <w:color w:val="231F20"/>
          <w:w w:val="105"/>
        </w:rPr>
        <w:t>debe</w:t>
      </w:r>
      <w:r>
        <w:rPr>
          <w:color w:val="231F20"/>
          <w:spacing w:val="-10"/>
          <w:w w:val="105"/>
        </w:rPr>
        <w:t> </w:t>
      </w:r>
      <w:r>
        <w:rPr>
          <w:color w:val="231F20"/>
          <w:w w:val="105"/>
        </w:rPr>
        <w:t>a</w:t>
      </w:r>
      <w:r>
        <w:rPr>
          <w:color w:val="231F20"/>
          <w:spacing w:val="-10"/>
          <w:w w:val="105"/>
        </w:rPr>
        <w:t> </w:t>
      </w:r>
      <w:r>
        <w:rPr>
          <w:color w:val="231F20"/>
          <w:w w:val="105"/>
        </w:rPr>
        <w:t>dos</w:t>
      </w:r>
      <w:r>
        <w:rPr>
          <w:color w:val="231F20"/>
          <w:spacing w:val="-10"/>
          <w:w w:val="105"/>
        </w:rPr>
        <w:t> </w:t>
      </w:r>
      <w:r>
        <w:rPr>
          <w:color w:val="231F20"/>
          <w:w w:val="105"/>
        </w:rPr>
        <w:t>aspectos</w:t>
      </w:r>
      <w:r>
        <w:rPr>
          <w:color w:val="231F20"/>
          <w:spacing w:val="-10"/>
          <w:w w:val="105"/>
        </w:rPr>
        <w:t> </w:t>
      </w:r>
      <w:r>
        <w:rPr>
          <w:color w:val="231F20"/>
          <w:w w:val="105"/>
        </w:rPr>
        <w:t>principales:</w:t>
      </w:r>
      <w:r>
        <w:rPr>
          <w:color w:val="231F20"/>
          <w:spacing w:val="-10"/>
          <w:w w:val="105"/>
        </w:rPr>
        <w:t> </w:t>
      </w:r>
      <w:r>
        <w:rPr>
          <w:color w:val="231F20"/>
          <w:w w:val="105"/>
        </w:rPr>
        <w:t>la</w:t>
      </w:r>
      <w:r>
        <w:rPr>
          <w:color w:val="231F20"/>
          <w:spacing w:val="-10"/>
          <w:w w:val="105"/>
        </w:rPr>
        <w:t> </w:t>
      </w:r>
      <w:r>
        <w:rPr>
          <w:color w:val="231F20"/>
          <w:w w:val="105"/>
        </w:rPr>
        <w:t>sobrerrepresenta- ción</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w w:val="105"/>
        </w:rPr>
        <w:t>adjudica</w:t>
      </w:r>
      <w:r>
        <w:rPr>
          <w:color w:val="231F20"/>
          <w:spacing w:val="-8"/>
          <w:w w:val="105"/>
        </w:rPr>
        <w:t> </w:t>
      </w:r>
      <w:r>
        <w:rPr>
          <w:color w:val="231F20"/>
          <w:spacing w:val="2"/>
          <w:w w:val="105"/>
        </w:rPr>
        <w:t>al</w:t>
      </w:r>
      <w:r>
        <w:rPr>
          <w:color w:val="231F20"/>
          <w:spacing w:val="-8"/>
          <w:w w:val="105"/>
        </w:rPr>
        <w:t> </w:t>
      </w:r>
      <w:r>
        <w:rPr>
          <w:color w:val="231F20"/>
          <w:w w:val="105"/>
        </w:rPr>
        <w:t>partido</w:t>
      </w:r>
      <w:r>
        <w:rPr>
          <w:color w:val="231F20"/>
          <w:spacing w:val="-8"/>
          <w:w w:val="105"/>
        </w:rPr>
        <w:t> </w:t>
      </w:r>
      <w:r>
        <w:rPr>
          <w:color w:val="231F20"/>
          <w:w w:val="105"/>
        </w:rPr>
        <w:t>ganador</w:t>
      </w:r>
      <w:r>
        <w:rPr>
          <w:color w:val="231F20"/>
          <w:spacing w:val="-8"/>
          <w:w w:val="105"/>
        </w:rPr>
        <w:t> </w:t>
      </w:r>
      <w:r>
        <w:rPr>
          <w:color w:val="231F20"/>
          <w:w w:val="105"/>
        </w:rPr>
        <w:t>del</w:t>
      </w:r>
      <w:r>
        <w:rPr>
          <w:color w:val="231F20"/>
          <w:spacing w:val="-8"/>
          <w:w w:val="105"/>
        </w:rPr>
        <w:t> </w:t>
      </w:r>
      <w:r>
        <w:rPr>
          <w:color w:val="231F20"/>
          <w:w w:val="105"/>
        </w:rPr>
        <w:t>proceso</w:t>
      </w:r>
      <w:r>
        <w:rPr>
          <w:color w:val="231F20"/>
          <w:spacing w:val="-8"/>
          <w:w w:val="105"/>
        </w:rPr>
        <w:t> </w:t>
      </w:r>
      <w:r>
        <w:rPr>
          <w:color w:val="231F20"/>
          <w:w w:val="105"/>
        </w:rPr>
        <w:t>electoral</w:t>
      </w:r>
      <w:r>
        <w:rPr>
          <w:color w:val="231F20"/>
          <w:spacing w:val="-8"/>
          <w:w w:val="105"/>
        </w:rPr>
        <w:t> </w:t>
      </w:r>
      <w:r>
        <w:rPr>
          <w:color w:val="231F20"/>
          <w:spacing w:val="-7"/>
          <w:w w:val="105"/>
        </w:rPr>
        <w:t>y,</w:t>
      </w:r>
      <w:r>
        <w:rPr>
          <w:color w:val="231F20"/>
          <w:spacing w:val="-8"/>
          <w:w w:val="105"/>
        </w:rPr>
        <w:t> </w:t>
      </w:r>
      <w:r>
        <w:rPr>
          <w:color w:val="231F20"/>
          <w:w w:val="105"/>
        </w:rPr>
        <w:t>el</w:t>
      </w:r>
      <w:r>
        <w:rPr>
          <w:color w:val="231F20"/>
          <w:spacing w:val="-8"/>
          <w:w w:val="105"/>
        </w:rPr>
        <w:t> </w:t>
      </w:r>
      <w:r>
        <w:rPr>
          <w:color w:val="231F20"/>
          <w:w w:val="105"/>
        </w:rPr>
        <w:t>fortalecimiento</w:t>
      </w:r>
      <w:r>
        <w:rPr>
          <w:color w:val="231F20"/>
          <w:spacing w:val="-8"/>
          <w:w w:val="105"/>
        </w:rPr>
        <w:t> </w:t>
      </w:r>
      <w:r>
        <w:rPr>
          <w:color w:val="231F20"/>
          <w:w w:val="105"/>
        </w:rPr>
        <w:t>de ésta</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forma</w:t>
      </w:r>
      <w:r>
        <w:rPr>
          <w:color w:val="231F20"/>
          <w:spacing w:val="-13"/>
          <w:w w:val="105"/>
        </w:rPr>
        <w:t> </w:t>
      </w:r>
      <w:r>
        <w:rPr>
          <w:color w:val="231F20"/>
          <w:w w:val="105"/>
        </w:rPr>
        <w:t>en</w:t>
      </w:r>
      <w:r>
        <w:rPr>
          <w:color w:val="231F20"/>
          <w:spacing w:val="-13"/>
          <w:w w:val="105"/>
        </w:rPr>
        <w:t> </w:t>
      </w:r>
      <w:r>
        <w:rPr>
          <w:color w:val="231F20"/>
          <w:w w:val="105"/>
        </w:rPr>
        <w:t>cómo</w:t>
      </w:r>
      <w:r>
        <w:rPr>
          <w:color w:val="231F20"/>
          <w:spacing w:val="-13"/>
          <w:w w:val="105"/>
        </w:rPr>
        <w:t> </w:t>
      </w:r>
      <w:r>
        <w:rPr>
          <w:color w:val="231F20"/>
          <w:w w:val="105"/>
        </w:rPr>
        <w:t>se</w:t>
      </w:r>
      <w:r>
        <w:rPr>
          <w:color w:val="231F20"/>
          <w:spacing w:val="-13"/>
          <w:w w:val="105"/>
        </w:rPr>
        <w:t> </w:t>
      </w:r>
      <w:r>
        <w:rPr>
          <w:color w:val="231F20"/>
          <w:w w:val="105"/>
        </w:rPr>
        <w:t>toman</w:t>
      </w:r>
      <w:r>
        <w:rPr>
          <w:color w:val="231F20"/>
          <w:spacing w:val="-13"/>
          <w:w w:val="105"/>
        </w:rPr>
        <w:t> </w:t>
      </w:r>
      <w:r>
        <w:rPr>
          <w:color w:val="231F20"/>
          <w:w w:val="105"/>
        </w:rPr>
        <w:t>las</w:t>
      </w:r>
      <w:r>
        <w:rPr>
          <w:color w:val="231F20"/>
          <w:spacing w:val="-13"/>
          <w:w w:val="105"/>
        </w:rPr>
        <w:t> </w:t>
      </w:r>
      <w:r>
        <w:rPr>
          <w:color w:val="231F20"/>
          <w:w w:val="105"/>
        </w:rPr>
        <w:t>decisiones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cabildo.</w:t>
      </w:r>
    </w:p>
    <w:p>
      <w:pPr>
        <w:pStyle w:val="BodyText"/>
        <w:spacing w:before="1"/>
        <w:rPr>
          <w:sz w:val="26"/>
        </w:rPr>
      </w:pPr>
    </w:p>
    <w:p>
      <w:pPr>
        <w:pStyle w:val="BodyText"/>
        <w:spacing w:line="285" w:lineRule="auto"/>
        <w:ind w:left="110" w:right="108"/>
        <w:jc w:val="both"/>
      </w:pPr>
      <w:r>
        <w:rPr/>
        <w:pict>
          <v:line style="position:absolute;mso-position-horizontal-relative:page;mso-position-vertical-relative:paragraph;z-index:5344;mso-wrap-distance-left:0;mso-wrap-distance-right:0" from="42.519699pt,35.239319pt" to="114.519699pt,35.239319pt" stroked="true" strokeweight="1pt" strokecolor="#231f20">
            <w10:wrap type="topAndBottom"/>
          </v:line>
        </w:pict>
      </w:r>
      <w:r>
        <w:rPr>
          <w:color w:val="231F20"/>
          <w:w w:val="105"/>
        </w:rPr>
        <w:t>La sobrerrepresentación del partido en el gobierno es producto de la forma en que se distribuyen</w:t>
      </w:r>
      <w:r>
        <w:rPr>
          <w:color w:val="231F20"/>
          <w:spacing w:val="-15"/>
          <w:w w:val="105"/>
        </w:rPr>
        <w:t> </w:t>
      </w:r>
      <w:r>
        <w:rPr>
          <w:color w:val="231F20"/>
          <w:w w:val="105"/>
        </w:rPr>
        <w:t>los</w:t>
      </w:r>
      <w:r>
        <w:rPr>
          <w:color w:val="231F20"/>
          <w:spacing w:val="-15"/>
          <w:w w:val="105"/>
        </w:rPr>
        <w:t> </w:t>
      </w:r>
      <w:r>
        <w:rPr>
          <w:color w:val="231F20"/>
          <w:w w:val="105"/>
        </w:rPr>
        <w:t>escaños</w:t>
      </w:r>
      <w:r>
        <w:rPr>
          <w:color w:val="231F20"/>
          <w:spacing w:val="-15"/>
          <w:w w:val="105"/>
        </w:rPr>
        <w:t> </w:t>
      </w:r>
      <w:r>
        <w:rPr>
          <w:color w:val="231F20"/>
          <w:w w:val="105"/>
        </w:rPr>
        <w:t>del</w:t>
      </w:r>
      <w:r>
        <w:rPr>
          <w:color w:val="231F20"/>
          <w:spacing w:val="-15"/>
          <w:w w:val="105"/>
        </w:rPr>
        <w:t> </w:t>
      </w:r>
      <w:r>
        <w:rPr>
          <w:color w:val="231F20"/>
          <w:w w:val="105"/>
        </w:rPr>
        <w:t>ayuntamiento.</w:t>
      </w:r>
      <w:r>
        <w:rPr>
          <w:color w:val="231F20"/>
          <w:spacing w:val="-15"/>
          <w:w w:val="105"/>
        </w:rPr>
        <w:t> </w:t>
      </w:r>
      <w:r>
        <w:rPr>
          <w:color w:val="231F20"/>
          <w:w w:val="105"/>
        </w:rPr>
        <w:t>El</w:t>
      </w:r>
      <w:r>
        <w:rPr>
          <w:color w:val="231F20"/>
          <w:spacing w:val="-15"/>
          <w:w w:val="105"/>
        </w:rPr>
        <w:t> </w:t>
      </w:r>
      <w:r>
        <w:rPr>
          <w:color w:val="231F20"/>
          <w:w w:val="105"/>
        </w:rPr>
        <w:t>partido</w:t>
      </w:r>
      <w:r>
        <w:rPr>
          <w:color w:val="231F20"/>
          <w:spacing w:val="-15"/>
          <w:w w:val="105"/>
        </w:rPr>
        <w:t> </w:t>
      </w:r>
      <w:r>
        <w:rPr>
          <w:color w:val="231F20"/>
          <w:w w:val="105"/>
        </w:rPr>
        <w:t>ganador</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comicios</w:t>
      </w:r>
      <w:r>
        <w:rPr>
          <w:color w:val="231F20"/>
          <w:spacing w:val="-15"/>
          <w:w w:val="105"/>
        </w:rPr>
        <w:t> </w:t>
      </w:r>
      <w:r>
        <w:rPr>
          <w:color w:val="231F20"/>
          <w:w w:val="105"/>
        </w:rPr>
        <w:t>logra</w:t>
      </w:r>
      <w:r>
        <w:rPr>
          <w:color w:val="231F20"/>
          <w:spacing w:val="-15"/>
          <w:w w:val="105"/>
        </w:rPr>
        <w:t> </w:t>
      </w:r>
      <w:r>
        <w:rPr>
          <w:color w:val="231F20"/>
          <w:w w:val="105"/>
        </w:rPr>
        <w:t>“in-</w:t>
      </w:r>
    </w:p>
    <w:p>
      <w:pPr>
        <w:pStyle w:val="ListParagraph"/>
        <w:numPr>
          <w:ilvl w:val="0"/>
          <w:numId w:val="3"/>
        </w:numPr>
        <w:tabs>
          <w:tab w:pos="327" w:val="left" w:leader="none"/>
        </w:tabs>
        <w:spacing w:line="240" w:lineRule="auto" w:before="8" w:after="0"/>
        <w:ind w:left="326" w:right="0" w:hanging="216"/>
        <w:jc w:val="left"/>
        <w:rPr>
          <w:sz w:val="16"/>
        </w:rPr>
      </w:pPr>
      <w:r>
        <w:rPr>
          <w:color w:val="231F20"/>
          <w:sz w:val="16"/>
        </w:rPr>
        <w:t>Ley</w:t>
      </w:r>
      <w:r>
        <w:rPr>
          <w:color w:val="231F20"/>
          <w:spacing w:val="-12"/>
          <w:sz w:val="16"/>
        </w:rPr>
        <w:t> </w:t>
      </w:r>
      <w:r>
        <w:rPr>
          <w:color w:val="231F20"/>
          <w:sz w:val="16"/>
        </w:rPr>
        <w:t>orgánica</w:t>
      </w:r>
      <w:r>
        <w:rPr>
          <w:color w:val="231F20"/>
          <w:spacing w:val="-12"/>
          <w:sz w:val="16"/>
        </w:rPr>
        <w:t> </w:t>
      </w:r>
      <w:r>
        <w:rPr>
          <w:color w:val="231F20"/>
          <w:sz w:val="16"/>
        </w:rPr>
        <w:t>municipal</w:t>
      </w:r>
      <w:r>
        <w:rPr>
          <w:color w:val="231F20"/>
          <w:spacing w:val="-12"/>
          <w:sz w:val="16"/>
        </w:rPr>
        <w:t> </w:t>
      </w:r>
      <w:r>
        <w:rPr>
          <w:color w:val="231F20"/>
          <w:sz w:val="16"/>
        </w:rPr>
        <w:t>del</w:t>
      </w:r>
      <w:r>
        <w:rPr>
          <w:color w:val="231F20"/>
          <w:spacing w:val="-12"/>
          <w:sz w:val="16"/>
        </w:rPr>
        <w:t> </w:t>
      </w:r>
      <w:r>
        <w:rPr>
          <w:color w:val="231F20"/>
          <w:sz w:val="16"/>
        </w:rPr>
        <w:t>Estado</w:t>
      </w:r>
      <w:r>
        <w:rPr>
          <w:color w:val="231F20"/>
          <w:spacing w:val="-12"/>
          <w:sz w:val="16"/>
        </w:rPr>
        <w:t> </w:t>
      </w:r>
      <w:r>
        <w:rPr>
          <w:color w:val="231F20"/>
          <w:sz w:val="16"/>
        </w:rPr>
        <w:t>de</w:t>
      </w:r>
      <w:r>
        <w:rPr>
          <w:color w:val="231F20"/>
          <w:spacing w:val="-12"/>
          <w:sz w:val="16"/>
        </w:rPr>
        <w:t> </w:t>
      </w:r>
      <w:r>
        <w:rPr>
          <w:color w:val="231F20"/>
          <w:sz w:val="16"/>
        </w:rPr>
        <w:t>México,</w:t>
      </w:r>
      <w:r>
        <w:rPr>
          <w:color w:val="231F20"/>
          <w:spacing w:val="-12"/>
          <w:sz w:val="16"/>
        </w:rPr>
        <w:t> </w:t>
      </w:r>
      <w:r>
        <w:rPr>
          <w:color w:val="231F20"/>
          <w:sz w:val="16"/>
        </w:rPr>
        <w:t>art.</w:t>
      </w:r>
      <w:r>
        <w:rPr>
          <w:color w:val="231F20"/>
          <w:spacing w:val="-12"/>
          <w:sz w:val="16"/>
        </w:rPr>
        <w:t> </w:t>
      </w:r>
      <w:r>
        <w:rPr>
          <w:color w:val="231F20"/>
          <w:sz w:val="16"/>
        </w:rPr>
        <w:t>29.</w:t>
      </w:r>
    </w:p>
    <w:p>
      <w:pPr>
        <w:pStyle w:val="ListParagraph"/>
        <w:numPr>
          <w:ilvl w:val="0"/>
          <w:numId w:val="3"/>
        </w:numPr>
        <w:tabs>
          <w:tab w:pos="301" w:val="left" w:leader="none"/>
        </w:tabs>
        <w:spacing w:line="240" w:lineRule="auto" w:before="4" w:after="0"/>
        <w:ind w:left="300" w:right="0" w:hanging="190"/>
        <w:jc w:val="left"/>
        <w:rPr>
          <w:sz w:val="16"/>
        </w:rPr>
      </w:pPr>
      <w:r>
        <w:rPr>
          <w:color w:val="231F20"/>
          <w:sz w:val="16"/>
        </w:rPr>
        <w:t>Ley</w:t>
      </w:r>
      <w:r>
        <w:rPr>
          <w:color w:val="231F20"/>
          <w:spacing w:val="-13"/>
          <w:sz w:val="16"/>
        </w:rPr>
        <w:t> </w:t>
      </w:r>
      <w:r>
        <w:rPr>
          <w:color w:val="231F20"/>
          <w:sz w:val="16"/>
        </w:rPr>
        <w:t>orgánica</w:t>
      </w:r>
      <w:r>
        <w:rPr>
          <w:color w:val="231F20"/>
          <w:spacing w:val="-13"/>
          <w:sz w:val="16"/>
        </w:rPr>
        <w:t> </w:t>
      </w:r>
      <w:r>
        <w:rPr>
          <w:color w:val="231F20"/>
          <w:sz w:val="16"/>
        </w:rPr>
        <w:t>municipal</w:t>
      </w:r>
      <w:r>
        <w:rPr>
          <w:color w:val="231F20"/>
          <w:spacing w:val="-13"/>
          <w:sz w:val="16"/>
        </w:rPr>
        <w:t> </w:t>
      </w:r>
      <w:r>
        <w:rPr>
          <w:color w:val="231F20"/>
          <w:sz w:val="16"/>
        </w:rPr>
        <w:t>del</w:t>
      </w:r>
      <w:r>
        <w:rPr>
          <w:color w:val="231F20"/>
          <w:spacing w:val="-13"/>
          <w:sz w:val="16"/>
        </w:rPr>
        <w:t> </w:t>
      </w:r>
      <w:r>
        <w:rPr>
          <w:color w:val="231F20"/>
          <w:sz w:val="16"/>
        </w:rPr>
        <w:t>Estado</w:t>
      </w:r>
      <w:r>
        <w:rPr>
          <w:color w:val="231F20"/>
          <w:spacing w:val="-13"/>
          <w:sz w:val="16"/>
        </w:rPr>
        <w:t> </w:t>
      </w:r>
      <w:r>
        <w:rPr>
          <w:color w:val="231F20"/>
          <w:sz w:val="16"/>
        </w:rPr>
        <w:t>de</w:t>
      </w:r>
      <w:r>
        <w:rPr>
          <w:color w:val="231F20"/>
          <w:spacing w:val="-13"/>
          <w:sz w:val="16"/>
        </w:rPr>
        <w:t> </w:t>
      </w:r>
      <w:r>
        <w:rPr>
          <w:color w:val="231F20"/>
          <w:sz w:val="16"/>
        </w:rPr>
        <w:t>México,</w:t>
      </w:r>
      <w:r>
        <w:rPr>
          <w:color w:val="231F20"/>
          <w:spacing w:val="-13"/>
          <w:sz w:val="16"/>
        </w:rPr>
        <w:t> </w:t>
      </w:r>
      <w:r>
        <w:rPr>
          <w:color w:val="231F20"/>
          <w:sz w:val="16"/>
        </w:rPr>
        <w:t>art.</w:t>
      </w:r>
      <w:r>
        <w:rPr>
          <w:color w:val="231F20"/>
          <w:spacing w:val="-13"/>
          <w:sz w:val="16"/>
        </w:rPr>
        <w:t> </w:t>
      </w:r>
      <w:r>
        <w:rPr>
          <w:color w:val="231F20"/>
          <w:sz w:val="16"/>
        </w:rPr>
        <w:t>86;</w:t>
      </w:r>
      <w:r>
        <w:rPr>
          <w:color w:val="231F20"/>
          <w:spacing w:val="-13"/>
          <w:sz w:val="16"/>
        </w:rPr>
        <w:t> </w:t>
      </w:r>
      <w:r>
        <w:rPr>
          <w:color w:val="231F20"/>
          <w:sz w:val="16"/>
        </w:rPr>
        <w:t>Bando</w:t>
      </w:r>
      <w:r>
        <w:rPr>
          <w:color w:val="231F20"/>
          <w:spacing w:val="-13"/>
          <w:sz w:val="16"/>
        </w:rPr>
        <w:t> </w:t>
      </w:r>
      <w:r>
        <w:rPr>
          <w:color w:val="231F20"/>
          <w:sz w:val="16"/>
        </w:rPr>
        <w:t>municipal,</w:t>
      </w:r>
      <w:r>
        <w:rPr>
          <w:color w:val="231F20"/>
          <w:spacing w:val="-13"/>
          <w:sz w:val="16"/>
        </w:rPr>
        <w:t> </w:t>
      </w:r>
      <w:r>
        <w:rPr>
          <w:color w:val="231F20"/>
          <w:sz w:val="16"/>
        </w:rPr>
        <w:t>2008,</w:t>
      </w:r>
      <w:r>
        <w:rPr>
          <w:color w:val="231F20"/>
          <w:spacing w:val="-13"/>
          <w:sz w:val="16"/>
        </w:rPr>
        <w:t> </w:t>
      </w:r>
      <w:r>
        <w:rPr>
          <w:color w:val="231F20"/>
          <w:sz w:val="16"/>
        </w:rPr>
        <w:t>art.</w:t>
      </w:r>
      <w:r>
        <w:rPr>
          <w:color w:val="231F20"/>
          <w:spacing w:val="-13"/>
          <w:sz w:val="16"/>
        </w:rPr>
        <w:t> </w:t>
      </w:r>
      <w:r>
        <w:rPr>
          <w:color w:val="231F20"/>
          <w:sz w:val="16"/>
        </w:rPr>
        <w:t>40,</w:t>
      </w:r>
      <w:r>
        <w:rPr>
          <w:color w:val="231F20"/>
          <w:spacing w:val="-13"/>
          <w:sz w:val="16"/>
        </w:rPr>
        <w:t> </w:t>
      </w:r>
      <w:r>
        <w:rPr>
          <w:color w:val="231F20"/>
          <w:sz w:val="16"/>
        </w:rPr>
        <w:t>48</w:t>
      </w:r>
      <w:r>
        <w:rPr>
          <w:color w:val="231F20"/>
          <w:spacing w:val="-13"/>
          <w:sz w:val="16"/>
        </w:rPr>
        <w:t> </w:t>
      </w:r>
      <w:r>
        <w:rPr>
          <w:color w:val="231F20"/>
          <w:sz w:val="16"/>
        </w:rPr>
        <w:t>y</w:t>
      </w:r>
      <w:r>
        <w:rPr>
          <w:color w:val="231F20"/>
          <w:spacing w:val="-13"/>
          <w:sz w:val="16"/>
        </w:rPr>
        <w:t> </w:t>
      </w:r>
      <w:r>
        <w:rPr>
          <w:color w:val="231F20"/>
          <w:spacing w:val="-3"/>
          <w:sz w:val="16"/>
        </w:rPr>
        <w:t>49.</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cluir”</w:t>
      </w:r>
      <w:r>
        <w:rPr>
          <w:color w:val="231F20"/>
          <w:spacing w:val="-8"/>
          <w:w w:val="105"/>
        </w:rPr>
        <w:t> </w:t>
      </w:r>
      <w:r>
        <w:rPr>
          <w:color w:val="231F20"/>
          <w:w w:val="105"/>
        </w:rPr>
        <w:t>a</w:t>
      </w:r>
      <w:r>
        <w:rPr>
          <w:color w:val="231F20"/>
          <w:spacing w:val="-8"/>
          <w:w w:val="105"/>
        </w:rPr>
        <w:t> </w:t>
      </w:r>
      <w:r>
        <w:rPr>
          <w:color w:val="231F20"/>
          <w:w w:val="105"/>
        </w:rPr>
        <w:t>todos</w:t>
      </w:r>
      <w:r>
        <w:rPr>
          <w:color w:val="231F20"/>
          <w:spacing w:val="-8"/>
          <w:w w:val="105"/>
        </w:rPr>
        <w:t> </w:t>
      </w:r>
      <w:r>
        <w:rPr>
          <w:color w:val="231F20"/>
          <w:w w:val="105"/>
        </w:rPr>
        <w:t>sus</w:t>
      </w:r>
      <w:r>
        <w:rPr>
          <w:color w:val="231F20"/>
          <w:spacing w:val="-8"/>
          <w:w w:val="105"/>
        </w:rPr>
        <w:t> </w:t>
      </w:r>
      <w:r>
        <w:rPr>
          <w:color w:val="231F20"/>
          <w:w w:val="105"/>
        </w:rPr>
        <w:t>candidatos</w:t>
      </w:r>
      <w:r>
        <w:rPr>
          <w:color w:val="231F20"/>
          <w:spacing w:val="-8"/>
          <w:w w:val="105"/>
        </w:rPr>
        <w:t> </w:t>
      </w:r>
      <w:r>
        <w:rPr>
          <w:color w:val="231F20"/>
          <w:w w:val="105"/>
        </w:rPr>
        <w:t>(alcalde,</w:t>
      </w:r>
      <w:r>
        <w:rPr>
          <w:color w:val="231F20"/>
          <w:spacing w:val="-8"/>
          <w:w w:val="105"/>
        </w:rPr>
        <w:t> </w:t>
      </w:r>
      <w:r>
        <w:rPr>
          <w:color w:val="231F20"/>
          <w:spacing w:val="-3"/>
          <w:w w:val="105"/>
        </w:rPr>
        <w:t>síndico[s]</w:t>
      </w:r>
      <w:r>
        <w:rPr>
          <w:color w:val="231F20"/>
          <w:spacing w:val="-8"/>
          <w:w w:val="105"/>
        </w:rPr>
        <w:t> </w:t>
      </w:r>
      <w:r>
        <w:rPr>
          <w:color w:val="231F20"/>
          <w:w w:val="105"/>
        </w:rPr>
        <w:t>y</w:t>
      </w:r>
      <w:r>
        <w:rPr>
          <w:color w:val="231F20"/>
          <w:spacing w:val="-8"/>
          <w:w w:val="105"/>
        </w:rPr>
        <w:t> </w:t>
      </w:r>
      <w:r>
        <w:rPr>
          <w:color w:val="231F20"/>
          <w:spacing w:val="-3"/>
          <w:w w:val="105"/>
        </w:rPr>
        <w:t>regidores),</w:t>
      </w:r>
      <w:r>
        <w:rPr>
          <w:color w:val="231F20"/>
          <w:spacing w:val="-8"/>
          <w:w w:val="105"/>
        </w:rPr>
        <w:t> </w:t>
      </w:r>
      <w:r>
        <w:rPr>
          <w:color w:val="231F20"/>
          <w:w w:val="105"/>
        </w:rPr>
        <w:t>mientras</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partidos opositores con derecho a acceder </w:t>
      </w:r>
      <w:r>
        <w:rPr>
          <w:color w:val="231F20"/>
          <w:spacing w:val="2"/>
          <w:w w:val="105"/>
        </w:rPr>
        <w:t>al </w:t>
      </w:r>
      <w:r>
        <w:rPr>
          <w:color w:val="231F20"/>
          <w:w w:val="105"/>
        </w:rPr>
        <w:t>ayuntamiento sólo reciben los escaños por la vía proporcional que en general tienden a cantidades menores de las asignadas </w:t>
      </w:r>
      <w:r>
        <w:rPr>
          <w:color w:val="231F20"/>
          <w:spacing w:val="2"/>
          <w:w w:val="105"/>
        </w:rPr>
        <w:t>al </w:t>
      </w:r>
      <w:r>
        <w:rPr>
          <w:color w:val="231F20"/>
          <w:w w:val="105"/>
        </w:rPr>
        <w:t>partido ganador. De esta manera, el partido triunfador contará en el cabildo con el voto ma- yoritario conformado por sus candidatos a regidores, aunado </w:t>
      </w:r>
      <w:r>
        <w:rPr>
          <w:color w:val="231F20"/>
          <w:spacing w:val="2"/>
          <w:w w:val="105"/>
        </w:rPr>
        <w:t>al </w:t>
      </w:r>
      <w:r>
        <w:rPr>
          <w:color w:val="231F20"/>
          <w:w w:val="105"/>
        </w:rPr>
        <w:t>de los síndicos y del presidente municipal </w:t>
      </w:r>
      <w:r>
        <w:rPr>
          <w:color w:val="231F20"/>
          <w:spacing w:val="-3"/>
          <w:w w:val="105"/>
        </w:rPr>
        <w:t>(quien </w:t>
      </w:r>
      <w:r>
        <w:rPr>
          <w:color w:val="231F20"/>
          <w:w w:val="105"/>
        </w:rPr>
        <w:t>además cuenta con “voto de calidad”), mientras que los partidos</w:t>
      </w:r>
      <w:r>
        <w:rPr>
          <w:color w:val="231F20"/>
          <w:spacing w:val="-5"/>
          <w:w w:val="105"/>
        </w:rPr>
        <w:t> </w:t>
      </w:r>
      <w:r>
        <w:rPr>
          <w:color w:val="231F20"/>
          <w:w w:val="105"/>
        </w:rPr>
        <w:t>de</w:t>
      </w:r>
      <w:r>
        <w:rPr>
          <w:color w:val="231F20"/>
          <w:spacing w:val="-5"/>
          <w:w w:val="105"/>
        </w:rPr>
        <w:t> </w:t>
      </w:r>
      <w:r>
        <w:rPr>
          <w:color w:val="231F20"/>
          <w:w w:val="105"/>
        </w:rPr>
        <w:t>oposición</w:t>
      </w:r>
      <w:r>
        <w:rPr>
          <w:color w:val="231F20"/>
          <w:spacing w:val="-5"/>
          <w:w w:val="105"/>
        </w:rPr>
        <w:t> </w:t>
      </w:r>
      <w:r>
        <w:rPr>
          <w:color w:val="231F20"/>
          <w:w w:val="105"/>
        </w:rPr>
        <w:t>sólo</w:t>
      </w:r>
      <w:r>
        <w:rPr>
          <w:color w:val="231F20"/>
          <w:spacing w:val="-5"/>
          <w:w w:val="105"/>
        </w:rPr>
        <w:t> </w:t>
      </w:r>
      <w:r>
        <w:rPr>
          <w:color w:val="231F20"/>
          <w:w w:val="105"/>
        </w:rPr>
        <w:t>tendrán</w:t>
      </w:r>
      <w:r>
        <w:rPr>
          <w:color w:val="231F20"/>
          <w:spacing w:val="-5"/>
          <w:w w:val="105"/>
        </w:rPr>
        <w:t> </w:t>
      </w:r>
      <w:r>
        <w:rPr>
          <w:color w:val="231F20"/>
          <w:w w:val="105"/>
        </w:rPr>
        <w:t>acceso</w:t>
      </w:r>
      <w:r>
        <w:rPr>
          <w:color w:val="231F20"/>
          <w:spacing w:val="-5"/>
          <w:w w:val="105"/>
        </w:rPr>
        <w:t> </w:t>
      </w:r>
      <w:r>
        <w:rPr>
          <w:color w:val="231F20"/>
          <w:w w:val="105"/>
        </w:rPr>
        <w:t>a</w:t>
      </w:r>
      <w:r>
        <w:rPr>
          <w:color w:val="231F20"/>
          <w:spacing w:val="-5"/>
          <w:w w:val="105"/>
        </w:rPr>
        <w:t> </w:t>
      </w:r>
      <w:r>
        <w:rPr>
          <w:color w:val="231F20"/>
          <w:w w:val="105"/>
        </w:rPr>
        <w:t>las</w:t>
      </w:r>
      <w:r>
        <w:rPr>
          <w:color w:val="231F20"/>
          <w:spacing w:val="-5"/>
          <w:w w:val="105"/>
        </w:rPr>
        <w:t> </w:t>
      </w:r>
      <w:r>
        <w:rPr>
          <w:color w:val="231F20"/>
          <w:w w:val="105"/>
        </w:rPr>
        <w:t>regidurías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distribuyen</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vía de</w:t>
      </w:r>
      <w:r>
        <w:rPr>
          <w:color w:val="231F20"/>
          <w:spacing w:val="-16"/>
          <w:w w:val="105"/>
        </w:rPr>
        <w:t> </w:t>
      </w:r>
      <w:r>
        <w:rPr>
          <w:color w:val="231F20"/>
          <w:w w:val="105"/>
        </w:rPr>
        <w:t>la</w:t>
      </w:r>
      <w:r>
        <w:rPr>
          <w:color w:val="231F20"/>
          <w:spacing w:val="-16"/>
          <w:w w:val="105"/>
        </w:rPr>
        <w:t> </w:t>
      </w:r>
      <w:r>
        <w:rPr>
          <w:color w:val="231F20"/>
          <w:w w:val="105"/>
        </w:rPr>
        <w:t>representación</w:t>
      </w:r>
      <w:r>
        <w:rPr>
          <w:color w:val="231F20"/>
          <w:spacing w:val="-16"/>
          <w:w w:val="105"/>
        </w:rPr>
        <w:t> </w:t>
      </w:r>
      <w:r>
        <w:rPr>
          <w:color w:val="231F20"/>
          <w:w w:val="105"/>
        </w:rPr>
        <w:t>proporcional.</w:t>
      </w:r>
    </w:p>
    <w:p>
      <w:pPr>
        <w:pStyle w:val="BodyText"/>
        <w:spacing w:before="1"/>
        <w:rPr>
          <w:sz w:val="26"/>
        </w:rPr>
      </w:pPr>
    </w:p>
    <w:p>
      <w:pPr>
        <w:pStyle w:val="BodyText"/>
        <w:spacing w:line="285" w:lineRule="auto"/>
        <w:ind w:left="110" w:right="108"/>
        <w:jc w:val="both"/>
      </w:pPr>
      <w:r>
        <w:rPr>
          <w:color w:val="231F20"/>
          <w:w w:val="105"/>
        </w:rPr>
        <w:t>La</w:t>
      </w:r>
      <w:r>
        <w:rPr>
          <w:color w:val="231F20"/>
          <w:spacing w:val="-8"/>
          <w:w w:val="105"/>
        </w:rPr>
        <w:t> </w:t>
      </w:r>
      <w:r>
        <w:rPr>
          <w:color w:val="231F20"/>
          <w:w w:val="105"/>
        </w:rPr>
        <w:t>centralización</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toma</w:t>
      </w:r>
      <w:r>
        <w:rPr>
          <w:color w:val="231F20"/>
          <w:spacing w:val="-8"/>
          <w:w w:val="105"/>
        </w:rPr>
        <w:t> </w:t>
      </w:r>
      <w:r>
        <w:rPr>
          <w:color w:val="231F20"/>
          <w:w w:val="105"/>
        </w:rPr>
        <w:t>de</w:t>
      </w:r>
      <w:r>
        <w:rPr>
          <w:color w:val="231F20"/>
          <w:spacing w:val="-8"/>
          <w:w w:val="105"/>
        </w:rPr>
        <w:t> </w:t>
      </w:r>
      <w:r>
        <w:rPr>
          <w:color w:val="231F20"/>
          <w:w w:val="105"/>
        </w:rPr>
        <w:t>decisiones</w:t>
      </w:r>
      <w:r>
        <w:rPr>
          <w:color w:val="231F20"/>
          <w:spacing w:val="-8"/>
          <w:w w:val="105"/>
        </w:rPr>
        <w:t> </w:t>
      </w:r>
      <w:r>
        <w:rPr>
          <w:color w:val="231F20"/>
          <w:w w:val="105"/>
        </w:rPr>
        <w:t>se</w:t>
      </w:r>
      <w:r>
        <w:rPr>
          <w:color w:val="231F20"/>
          <w:spacing w:val="-8"/>
          <w:w w:val="105"/>
        </w:rPr>
        <w:t> </w:t>
      </w:r>
      <w:r>
        <w:rPr>
          <w:color w:val="231F20"/>
          <w:w w:val="105"/>
        </w:rPr>
        <w:t>refuerza</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criterio</w:t>
      </w:r>
      <w:r>
        <w:rPr>
          <w:color w:val="231F20"/>
          <w:spacing w:val="-8"/>
          <w:w w:val="105"/>
        </w:rPr>
        <w:t> </w:t>
      </w:r>
      <w:r>
        <w:rPr>
          <w:color w:val="231F20"/>
          <w:w w:val="105"/>
        </w:rPr>
        <w:t>de</w:t>
      </w:r>
      <w:r>
        <w:rPr>
          <w:color w:val="231F20"/>
          <w:spacing w:val="-8"/>
          <w:w w:val="105"/>
        </w:rPr>
        <w:t> </w:t>
      </w:r>
      <w:r>
        <w:rPr>
          <w:color w:val="231F20"/>
          <w:w w:val="105"/>
        </w:rPr>
        <w:t>aprobación</w:t>
      </w:r>
      <w:r>
        <w:rPr>
          <w:color w:val="231F20"/>
          <w:spacing w:val="-8"/>
          <w:w w:val="105"/>
        </w:rPr>
        <w:t> </w:t>
      </w:r>
      <w:r>
        <w:rPr>
          <w:color w:val="231F20"/>
          <w:w w:val="105"/>
        </w:rPr>
        <w:t>ba- sado en el voto mayoritario de los miembros presentes en las reuniones del cabildo. Aunado a la sobrerrepresentación del partido en el gobierno, el presidente municipal contará</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apoyo</w:t>
      </w:r>
      <w:r>
        <w:rPr>
          <w:color w:val="231F20"/>
          <w:spacing w:val="-4"/>
          <w:w w:val="105"/>
        </w:rPr>
        <w:t> </w:t>
      </w:r>
      <w:r>
        <w:rPr>
          <w:color w:val="231F20"/>
          <w:w w:val="105"/>
        </w:rPr>
        <w:t>necesario</w:t>
      </w:r>
      <w:r>
        <w:rPr>
          <w:color w:val="231F20"/>
          <w:spacing w:val="-4"/>
          <w:w w:val="105"/>
        </w:rPr>
        <w:t> </w:t>
      </w:r>
      <w:r>
        <w:rPr>
          <w:color w:val="231F20"/>
          <w:w w:val="105"/>
        </w:rPr>
        <w:t>para</w:t>
      </w:r>
      <w:r>
        <w:rPr>
          <w:color w:val="231F20"/>
          <w:spacing w:val="-4"/>
          <w:w w:val="105"/>
        </w:rPr>
        <w:t> </w:t>
      </w:r>
      <w:r>
        <w:rPr>
          <w:color w:val="231F20"/>
          <w:w w:val="105"/>
        </w:rPr>
        <w:t>imponer</w:t>
      </w:r>
      <w:r>
        <w:rPr>
          <w:color w:val="231F20"/>
          <w:spacing w:val="-4"/>
          <w:w w:val="105"/>
        </w:rPr>
        <w:t> </w:t>
      </w:r>
      <w:r>
        <w:rPr>
          <w:color w:val="231F20"/>
          <w:w w:val="105"/>
        </w:rPr>
        <w:t>sus</w:t>
      </w:r>
      <w:r>
        <w:rPr>
          <w:color w:val="231F20"/>
          <w:spacing w:val="-4"/>
          <w:w w:val="105"/>
        </w:rPr>
        <w:t> </w:t>
      </w:r>
      <w:r>
        <w:rPr>
          <w:color w:val="231F20"/>
          <w:w w:val="105"/>
        </w:rPr>
        <w:t>preferencias</w:t>
      </w:r>
      <w:r>
        <w:rPr>
          <w:color w:val="231F20"/>
          <w:spacing w:val="-4"/>
          <w:w w:val="105"/>
        </w:rPr>
        <w:t> </w:t>
      </w:r>
      <w:r>
        <w:rPr>
          <w:color w:val="231F20"/>
          <w:w w:val="105"/>
        </w:rPr>
        <w:t>debido</w:t>
      </w:r>
      <w:r>
        <w:rPr>
          <w:color w:val="231F20"/>
          <w:spacing w:val="-4"/>
          <w:w w:val="105"/>
        </w:rPr>
        <w:t> </w:t>
      </w:r>
      <w:r>
        <w:rPr>
          <w:color w:val="231F20"/>
          <w:w w:val="105"/>
        </w:rPr>
        <w:t>a</w:t>
      </w:r>
      <w:r>
        <w:rPr>
          <w:color w:val="231F20"/>
          <w:spacing w:val="-4"/>
          <w:w w:val="105"/>
        </w:rPr>
        <w:t> </w:t>
      </w:r>
      <w:r>
        <w:rPr>
          <w:color w:val="231F20"/>
          <w:w w:val="105"/>
        </w:rPr>
        <w:t>que</w:t>
      </w:r>
      <w:r>
        <w:rPr>
          <w:color w:val="231F20"/>
          <w:spacing w:val="-4"/>
          <w:w w:val="105"/>
        </w:rPr>
        <w:t> </w:t>
      </w:r>
      <w:r>
        <w:rPr>
          <w:color w:val="231F20"/>
          <w:w w:val="105"/>
        </w:rPr>
        <w:t>cuenta</w:t>
      </w:r>
      <w:r>
        <w:rPr>
          <w:color w:val="231F20"/>
          <w:spacing w:val="-4"/>
          <w:w w:val="105"/>
        </w:rPr>
        <w:t> </w:t>
      </w:r>
      <w:r>
        <w:rPr>
          <w:color w:val="231F20"/>
          <w:w w:val="105"/>
        </w:rPr>
        <w:t>con el</w:t>
      </w:r>
      <w:r>
        <w:rPr>
          <w:color w:val="231F20"/>
          <w:spacing w:val="-6"/>
          <w:w w:val="105"/>
        </w:rPr>
        <w:t> </w:t>
      </w:r>
      <w:r>
        <w:rPr>
          <w:color w:val="231F20"/>
          <w:w w:val="105"/>
        </w:rPr>
        <w:t>apoyo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mayoría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integrantes</w:t>
      </w:r>
      <w:r>
        <w:rPr>
          <w:color w:val="231F20"/>
          <w:spacing w:val="-6"/>
          <w:w w:val="105"/>
        </w:rPr>
        <w:t> </w:t>
      </w:r>
      <w:r>
        <w:rPr>
          <w:color w:val="231F20"/>
          <w:w w:val="105"/>
        </w:rPr>
        <w:t>del</w:t>
      </w:r>
      <w:r>
        <w:rPr>
          <w:color w:val="231F20"/>
          <w:spacing w:val="-6"/>
          <w:w w:val="105"/>
        </w:rPr>
        <w:t> </w:t>
      </w:r>
      <w:r>
        <w:rPr>
          <w:color w:val="231F20"/>
          <w:w w:val="105"/>
        </w:rPr>
        <w:t>ayuntamiento;</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fueron</w:t>
      </w:r>
      <w:r>
        <w:rPr>
          <w:color w:val="231F20"/>
          <w:spacing w:val="-6"/>
          <w:w w:val="105"/>
        </w:rPr>
        <w:t> </w:t>
      </w:r>
      <w:r>
        <w:rPr>
          <w:color w:val="231F20"/>
          <w:w w:val="105"/>
        </w:rPr>
        <w:t>elegidos</w:t>
      </w:r>
      <w:r>
        <w:rPr>
          <w:color w:val="231F20"/>
          <w:spacing w:val="-6"/>
          <w:w w:val="105"/>
        </w:rPr>
        <w:t> </w:t>
      </w:r>
      <w:r>
        <w:rPr>
          <w:color w:val="231F20"/>
          <w:w w:val="105"/>
        </w:rPr>
        <w:t>en bloque</w:t>
      </w:r>
      <w:r>
        <w:rPr>
          <w:color w:val="231F20"/>
          <w:spacing w:val="-11"/>
          <w:w w:val="105"/>
        </w:rPr>
        <w:t> </w:t>
      </w:r>
      <w:r>
        <w:rPr>
          <w:color w:val="231F20"/>
          <w:w w:val="105"/>
        </w:rPr>
        <w:t>mediante</w:t>
      </w:r>
      <w:r>
        <w:rPr>
          <w:color w:val="231F20"/>
          <w:spacing w:val="-11"/>
          <w:w w:val="105"/>
        </w:rPr>
        <w:t> </w:t>
      </w:r>
      <w:r>
        <w:rPr>
          <w:color w:val="231F20"/>
          <w:w w:val="105"/>
        </w:rPr>
        <w:t>la</w:t>
      </w:r>
      <w:r>
        <w:rPr>
          <w:color w:val="231F20"/>
          <w:spacing w:val="-11"/>
          <w:w w:val="105"/>
        </w:rPr>
        <w:t> </w:t>
      </w:r>
      <w:r>
        <w:rPr>
          <w:color w:val="231F20"/>
          <w:w w:val="105"/>
        </w:rPr>
        <w:t>lista</w:t>
      </w:r>
      <w:r>
        <w:rPr>
          <w:color w:val="231F20"/>
          <w:spacing w:val="-11"/>
          <w:w w:val="105"/>
        </w:rPr>
        <w:t> </w:t>
      </w:r>
      <w:r>
        <w:rPr>
          <w:color w:val="231F20"/>
          <w:w w:val="105"/>
        </w:rPr>
        <w:t>presentada</w:t>
      </w:r>
      <w:r>
        <w:rPr>
          <w:color w:val="231F20"/>
          <w:spacing w:val="-11"/>
          <w:w w:val="105"/>
        </w:rPr>
        <w:t> </w:t>
      </w:r>
      <w:r>
        <w:rPr>
          <w:color w:val="231F20"/>
          <w:w w:val="105"/>
        </w:rPr>
        <w:t>por</w:t>
      </w:r>
      <w:r>
        <w:rPr>
          <w:color w:val="231F20"/>
          <w:spacing w:val="-11"/>
          <w:w w:val="105"/>
        </w:rPr>
        <w:t> </w:t>
      </w:r>
      <w:r>
        <w:rPr>
          <w:color w:val="231F20"/>
          <w:w w:val="105"/>
        </w:rPr>
        <w:t>su</w:t>
      </w:r>
      <w:r>
        <w:rPr>
          <w:color w:val="231F20"/>
          <w:spacing w:val="-11"/>
          <w:w w:val="105"/>
        </w:rPr>
        <w:t> </w:t>
      </w:r>
      <w:r>
        <w:rPr>
          <w:color w:val="231F20"/>
          <w:w w:val="105"/>
        </w:rPr>
        <w:t>partido</w:t>
      </w:r>
      <w:r>
        <w:rPr>
          <w:color w:val="231F20"/>
          <w:spacing w:val="-11"/>
          <w:w w:val="105"/>
        </w:rPr>
        <w:t> </w:t>
      </w:r>
      <w:r>
        <w:rPr>
          <w:color w:val="231F20"/>
          <w:w w:val="105"/>
        </w:rPr>
        <w:t>y</w:t>
      </w:r>
      <w:r>
        <w:rPr>
          <w:color w:val="231F20"/>
          <w:spacing w:val="-11"/>
          <w:w w:val="105"/>
        </w:rPr>
        <w:t> </w:t>
      </w:r>
      <w:r>
        <w:rPr>
          <w:color w:val="231F20"/>
          <w:w w:val="105"/>
        </w:rPr>
        <w:t>que</w:t>
      </w:r>
      <w:r>
        <w:rPr>
          <w:color w:val="231F20"/>
          <w:spacing w:val="-11"/>
          <w:w w:val="105"/>
        </w:rPr>
        <w:t> </w:t>
      </w:r>
      <w:r>
        <w:rPr>
          <w:color w:val="231F20"/>
          <w:w w:val="105"/>
        </w:rPr>
        <w:t>optaron</w:t>
      </w:r>
      <w:r>
        <w:rPr>
          <w:color w:val="231F20"/>
          <w:spacing w:val="-11"/>
          <w:w w:val="105"/>
        </w:rPr>
        <w:t> </w:t>
      </w:r>
      <w:r>
        <w:rPr>
          <w:color w:val="231F20"/>
          <w:w w:val="105"/>
        </w:rPr>
        <w:t>por</w:t>
      </w:r>
      <w:r>
        <w:rPr>
          <w:color w:val="231F20"/>
          <w:spacing w:val="-11"/>
          <w:w w:val="105"/>
        </w:rPr>
        <w:t> </w:t>
      </w:r>
      <w:r>
        <w:rPr>
          <w:color w:val="231F20"/>
          <w:spacing w:val="-3"/>
          <w:w w:val="105"/>
        </w:rPr>
        <w:t>promover</w:t>
      </w:r>
      <w:r>
        <w:rPr>
          <w:color w:val="231F20"/>
          <w:spacing w:val="-11"/>
          <w:w w:val="105"/>
        </w:rPr>
        <w:t> </w:t>
      </w:r>
      <w:r>
        <w:rPr>
          <w:color w:val="231F20"/>
          <w:w w:val="105"/>
        </w:rPr>
        <w:t>el</w:t>
      </w:r>
      <w:r>
        <w:rPr>
          <w:color w:val="231F20"/>
          <w:spacing w:val="-11"/>
          <w:w w:val="105"/>
        </w:rPr>
        <w:t> </w:t>
      </w:r>
      <w:r>
        <w:rPr>
          <w:color w:val="231F20"/>
          <w:w w:val="105"/>
        </w:rPr>
        <w:t>voto</w:t>
      </w:r>
      <w:r>
        <w:rPr>
          <w:color w:val="231F20"/>
          <w:spacing w:val="-11"/>
          <w:w w:val="105"/>
        </w:rPr>
        <w:t> </w:t>
      </w:r>
      <w:r>
        <w:rPr>
          <w:color w:val="231F20"/>
          <w:w w:val="105"/>
        </w:rPr>
        <w:t>a favor</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partido</w:t>
      </w:r>
      <w:r>
        <w:rPr>
          <w:color w:val="231F20"/>
          <w:spacing w:val="-14"/>
          <w:w w:val="105"/>
        </w:rPr>
        <w:t> </w:t>
      </w:r>
      <w:r>
        <w:rPr>
          <w:color w:val="231F20"/>
          <w:w w:val="105"/>
        </w:rPr>
        <w:t>y</w:t>
      </w:r>
      <w:r>
        <w:rPr>
          <w:color w:val="231F20"/>
          <w:spacing w:val="-14"/>
          <w:w w:val="105"/>
        </w:rPr>
        <w:t> </w:t>
      </w:r>
      <w:r>
        <w:rPr>
          <w:color w:val="231F20"/>
          <w:w w:val="105"/>
        </w:rPr>
        <w:t>del</w:t>
      </w:r>
      <w:r>
        <w:rPr>
          <w:color w:val="231F20"/>
          <w:spacing w:val="-14"/>
          <w:w w:val="105"/>
        </w:rPr>
        <w:t> </w:t>
      </w:r>
      <w:r>
        <w:rPr>
          <w:color w:val="231F20"/>
          <w:w w:val="105"/>
        </w:rPr>
        <w:t>primer</w:t>
      </w:r>
      <w:r>
        <w:rPr>
          <w:color w:val="231F20"/>
          <w:spacing w:val="-14"/>
          <w:w w:val="105"/>
        </w:rPr>
        <w:t> </w:t>
      </w:r>
      <w:r>
        <w:rPr>
          <w:color w:val="231F20"/>
          <w:w w:val="105"/>
        </w:rPr>
        <w:t>lugar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lista:</w:t>
      </w:r>
      <w:r>
        <w:rPr>
          <w:color w:val="231F20"/>
          <w:spacing w:val="-14"/>
          <w:w w:val="105"/>
        </w:rPr>
        <w:t> </w:t>
      </w:r>
      <w:r>
        <w:rPr>
          <w:color w:val="231F20"/>
          <w:w w:val="105"/>
        </w:rPr>
        <w:t>el</w:t>
      </w:r>
      <w:r>
        <w:rPr>
          <w:color w:val="231F20"/>
          <w:spacing w:val="-14"/>
          <w:w w:val="105"/>
        </w:rPr>
        <w:t> </w:t>
      </w:r>
      <w:r>
        <w:rPr>
          <w:color w:val="231F20"/>
          <w:w w:val="105"/>
        </w:rPr>
        <w:t>candidato</w:t>
      </w:r>
      <w:r>
        <w:rPr>
          <w:color w:val="231F20"/>
          <w:spacing w:val="-14"/>
          <w:w w:val="105"/>
        </w:rPr>
        <w:t> </w:t>
      </w:r>
      <w:r>
        <w:rPr>
          <w:color w:val="231F20"/>
          <w:w w:val="105"/>
        </w:rPr>
        <w:t>a</w:t>
      </w:r>
      <w:r>
        <w:rPr>
          <w:color w:val="231F20"/>
          <w:spacing w:val="-14"/>
          <w:w w:val="105"/>
        </w:rPr>
        <w:t> </w:t>
      </w:r>
      <w:r>
        <w:rPr>
          <w:color w:val="231F20"/>
          <w:w w:val="105"/>
        </w:rPr>
        <w:t>alcalde.</w:t>
      </w:r>
    </w:p>
    <w:p>
      <w:pPr>
        <w:pStyle w:val="BodyText"/>
        <w:spacing w:before="1"/>
        <w:rPr>
          <w:sz w:val="26"/>
        </w:rPr>
      </w:pPr>
    </w:p>
    <w:p>
      <w:pPr>
        <w:pStyle w:val="BodyText"/>
        <w:spacing w:line="285" w:lineRule="auto"/>
        <w:ind w:left="110" w:right="108"/>
        <w:jc w:val="both"/>
      </w:pPr>
      <w:r>
        <w:rPr>
          <w:color w:val="231F20"/>
          <w:w w:val="105"/>
        </w:rPr>
        <w:t>Por otra parte, las disposiciones institucionales para la integración y operatividad de la APM también fomentan la centralización y la personalización del gobierno en torno del presidente municipal. Esto se debe a que este último tiene la facultad de designar, así como de remover a los titulares y de las dependencias y entidades de la burocracia administrativa</w:t>
      </w:r>
      <w:r>
        <w:rPr>
          <w:color w:val="231F20"/>
          <w:w w:val="105"/>
          <w:position w:val="7"/>
          <w:sz w:val="13"/>
        </w:rPr>
        <w:t>21</w:t>
      </w:r>
      <w:r>
        <w:rPr>
          <w:color w:val="231F20"/>
          <w:w w:val="105"/>
        </w:rPr>
        <w:t>.</w:t>
      </w:r>
    </w:p>
    <w:p>
      <w:pPr>
        <w:pStyle w:val="BodyText"/>
        <w:rPr>
          <w:sz w:val="26"/>
        </w:rPr>
      </w:pPr>
    </w:p>
    <w:p>
      <w:pPr>
        <w:pStyle w:val="BodyText"/>
        <w:spacing w:line="285" w:lineRule="auto"/>
        <w:ind w:left="110" w:right="107"/>
        <w:jc w:val="both"/>
      </w:pPr>
      <w:r>
        <w:rPr>
          <w:color w:val="231F20"/>
          <w:w w:val="105"/>
        </w:rPr>
        <w:t>Estas</w:t>
      </w:r>
      <w:r>
        <w:rPr>
          <w:color w:val="231F20"/>
          <w:spacing w:val="-10"/>
          <w:w w:val="105"/>
        </w:rPr>
        <w:t> </w:t>
      </w:r>
      <w:r>
        <w:rPr>
          <w:color w:val="231F20"/>
          <w:w w:val="105"/>
        </w:rPr>
        <w:t>disposiciones</w:t>
      </w:r>
      <w:r>
        <w:rPr>
          <w:color w:val="231F20"/>
          <w:spacing w:val="-10"/>
          <w:w w:val="105"/>
        </w:rPr>
        <w:t> </w:t>
      </w:r>
      <w:r>
        <w:rPr>
          <w:color w:val="231F20"/>
          <w:w w:val="105"/>
        </w:rPr>
        <w:t>fomentan</w:t>
      </w:r>
      <w:r>
        <w:rPr>
          <w:color w:val="231F20"/>
          <w:spacing w:val="-10"/>
          <w:w w:val="105"/>
        </w:rPr>
        <w:t> </w:t>
      </w:r>
      <w:r>
        <w:rPr>
          <w:color w:val="231F20"/>
          <w:w w:val="105"/>
        </w:rPr>
        <w:t>que</w:t>
      </w:r>
      <w:r>
        <w:rPr>
          <w:color w:val="231F20"/>
          <w:spacing w:val="-10"/>
          <w:w w:val="105"/>
        </w:rPr>
        <w:t> </w:t>
      </w:r>
      <w:r>
        <w:rPr>
          <w:color w:val="231F20"/>
          <w:spacing w:val="2"/>
          <w:w w:val="105"/>
        </w:rPr>
        <w:t>al</w:t>
      </w:r>
      <w:r>
        <w:rPr>
          <w:color w:val="231F20"/>
          <w:spacing w:val="-10"/>
          <w:w w:val="105"/>
        </w:rPr>
        <w:t> </w:t>
      </w:r>
      <w:r>
        <w:rPr>
          <w:color w:val="231F20"/>
          <w:w w:val="105"/>
        </w:rPr>
        <w:t>interior</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APM,</w:t>
      </w:r>
      <w:r>
        <w:rPr>
          <w:color w:val="231F20"/>
          <w:spacing w:val="-10"/>
          <w:w w:val="105"/>
        </w:rPr>
        <w:t> </w:t>
      </w:r>
      <w:r>
        <w:rPr>
          <w:color w:val="231F20"/>
          <w:w w:val="105"/>
        </w:rPr>
        <w:t>sus</w:t>
      </w:r>
      <w:r>
        <w:rPr>
          <w:color w:val="231F20"/>
          <w:spacing w:val="-10"/>
          <w:w w:val="105"/>
        </w:rPr>
        <w:t> </w:t>
      </w:r>
      <w:r>
        <w:rPr>
          <w:color w:val="231F20"/>
          <w:w w:val="105"/>
        </w:rPr>
        <w:t>titulares</w:t>
      </w:r>
      <w:r>
        <w:rPr>
          <w:color w:val="231F20"/>
          <w:spacing w:val="-10"/>
          <w:w w:val="105"/>
        </w:rPr>
        <w:t> </w:t>
      </w:r>
      <w:r>
        <w:rPr>
          <w:color w:val="231F20"/>
          <w:w w:val="105"/>
        </w:rPr>
        <w:t>tengan</w:t>
      </w:r>
      <w:r>
        <w:rPr>
          <w:color w:val="231F20"/>
          <w:spacing w:val="-10"/>
          <w:w w:val="105"/>
        </w:rPr>
        <w:t> </w:t>
      </w:r>
      <w:r>
        <w:rPr>
          <w:color w:val="231F20"/>
          <w:w w:val="105"/>
        </w:rPr>
        <w:t>fuertes</w:t>
      </w:r>
      <w:r>
        <w:rPr>
          <w:color w:val="231F20"/>
          <w:spacing w:val="-10"/>
          <w:w w:val="105"/>
        </w:rPr>
        <w:t> </w:t>
      </w:r>
      <w:r>
        <w:rPr>
          <w:color w:val="231F20"/>
          <w:w w:val="105"/>
        </w:rPr>
        <w:t>in- centivos</w:t>
      </w:r>
      <w:r>
        <w:rPr>
          <w:color w:val="231F20"/>
          <w:spacing w:val="-17"/>
          <w:w w:val="105"/>
        </w:rPr>
        <w:t> </w:t>
      </w:r>
      <w:r>
        <w:rPr>
          <w:color w:val="231F20"/>
          <w:w w:val="105"/>
        </w:rPr>
        <w:t>para</w:t>
      </w:r>
      <w:r>
        <w:rPr>
          <w:color w:val="231F20"/>
          <w:spacing w:val="-17"/>
          <w:w w:val="105"/>
        </w:rPr>
        <w:t> </w:t>
      </w:r>
      <w:r>
        <w:rPr>
          <w:color w:val="231F20"/>
          <w:w w:val="105"/>
        </w:rPr>
        <w:t>actuar</w:t>
      </w:r>
      <w:r>
        <w:rPr>
          <w:color w:val="231F20"/>
          <w:spacing w:val="-17"/>
          <w:w w:val="105"/>
        </w:rPr>
        <w:t> </w:t>
      </w:r>
      <w:r>
        <w:rPr>
          <w:color w:val="231F20"/>
          <w:w w:val="105"/>
        </w:rPr>
        <w:t>como</w:t>
      </w:r>
      <w:r>
        <w:rPr>
          <w:color w:val="231F20"/>
          <w:spacing w:val="-17"/>
          <w:w w:val="105"/>
        </w:rPr>
        <w:t> </w:t>
      </w:r>
      <w:r>
        <w:rPr>
          <w:color w:val="231F20"/>
          <w:w w:val="105"/>
        </w:rPr>
        <w:t>agentes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preferencias</w:t>
      </w:r>
      <w:r>
        <w:rPr>
          <w:color w:val="231F20"/>
          <w:spacing w:val="-17"/>
          <w:w w:val="105"/>
        </w:rPr>
        <w:t> </w:t>
      </w:r>
      <w:r>
        <w:rPr>
          <w:color w:val="231F20"/>
          <w:w w:val="105"/>
        </w:rPr>
        <w:t>e</w:t>
      </w:r>
      <w:r>
        <w:rPr>
          <w:color w:val="231F20"/>
          <w:spacing w:val="-17"/>
          <w:w w:val="105"/>
        </w:rPr>
        <w:t> </w:t>
      </w:r>
      <w:r>
        <w:rPr>
          <w:color w:val="231F20"/>
          <w:w w:val="105"/>
        </w:rPr>
        <w:t>intereses</w:t>
      </w:r>
      <w:r>
        <w:rPr>
          <w:color w:val="231F20"/>
          <w:spacing w:val="-17"/>
          <w:w w:val="105"/>
        </w:rPr>
        <w:t> </w:t>
      </w:r>
      <w:r>
        <w:rPr>
          <w:color w:val="231F20"/>
          <w:w w:val="105"/>
        </w:rPr>
        <w:t>del</w:t>
      </w:r>
      <w:r>
        <w:rPr>
          <w:color w:val="231F20"/>
          <w:spacing w:val="-17"/>
          <w:w w:val="105"/>
        </w:rPr>
        <w:t> </w:t>
      </w:r>
      <w:r>
        <w:rPr>
          <w:color w:val="231F20"/>
          <w:w w:val="105"/>
        </w:rPr>
        <w:t>presidente</w:t>
      </w:r>
      <w:r>
        <w:rPr>
          <w:color w:val="231F20"/>
          <w:spacing w:val="-17"/>
          <w:w w:val="105"/>
        </w:rPr>
        <w:t> </w:t>
      </w:r>
      <w:r>
        <w:rPr>
          <w:color w:val="231F20"/>
          <w:w w:val="105"/>
        </w:rPr>
        <w:t>munici- pal</w:t>
      </w:r>
      <w:r>
        <w:rPr>
          <w:color w:val="231F20"/>
          <w:spacing w:val="-15"/>
          <w:w w:val="105"/>
        </w:rPr>
        <w:t> </w:t>
      </w:r>
      <w:r>
        <w:rPr>
          <w:color w:val="231F20"/>
          <w:spacing w:val="-5"/>
          <w:w w:val="105"/>
        </w:rPr>
        <w:t>(el</w:t>
      </w:r>
      <w:r>
        <w:rPr>
          <w:color w:val="231F20"/>
          <w:spacing w:val="-15"/>
          <w:w w:val="105"/>
        </w:rPr>
        <w:t> </w:t>
      </w:r>
      <w:r>
        <w:rPr>
          <w:color w:val="231F20"/>
          <w:w w:val="105"/>
        </w:rPr>
        <w:t>principal)</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designó,</w:t>
      </w:r>
      <w:r>
        <w:rPr>
          <w:color w:val="231F20"/>
          <w:spacing w:val="-15"/>
          <w:w w:val="105"/>
        </w:rPr>
        <w:t> </w:t>
      </w:r>
      <w:r>
        <w:rPr>
          <w:color w:val="231F20"/>
          <w:w w:val="105"/>
        </w:rPr>
        <w:t>ya</w:t>
      </w:r>
      <w:r>
        <w:rPr>
          <w:color w:val="231F20"/>
          <w:spacing w:val="-15"/>
          <w:w w:val="105"/>
        </w:rPr>
        <w:t> </w:t>
      </w:r>
      <w:r>
        <w:rPr>
          <w:color w:val="231F20"/>
          <w:w w:val="105"/>
        </w:rPr>
        <w:t>que</w:t>
      </w:r>
      <w:r>
        <w:rPr>
          <w:color w:val="231F20"/>
          <w:spacing w:val="-15"/>
          <w:w w:val="105"/>
        </w:rPr>
        <w:t> </w:t>
      </w:r>
      <w:r>
        <w:rPr>
          <w:color w:val="231F20"/>
          <w:w w:val="105"/>
        </w:rPr>
        <w:t>si</w:t>
      </w:r>
      <w:r>
        <w:rPr>
          <w:color w:val="231F20"/>
          <w:spacing w:val="-15"/>
          <w:w w:val="105"/>
        </w:rPr>
        <w:t> </w:t>
      </w:r>
      <w:r>
        <w:rPr>
          <w:color w:val="231F20"/>
          <w:w w:val="105"/>
        </w:rPr>
        <w:t>el</w:t>
      </w:r>
      <w:r>
        <w:rPr>
          <w:color w:val="231F20"/>
          <w:spacing w:val="-15"/>
          <w:w w:val="105"/>
        </w:rPr>
        <w:t> </w:t>
      </w:r>
      <w:r>
        <w:rPr>
          <w:color w:val="231F20"/>
          <w:w w:val="105"/>
        </w:rPr>
        <w:t>interés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primeros</w:t>
      </w:r>
      <w:r>
        <w:rPr>
          <w:color w:val="231F20"/>
          <w:spacing w:val="-15"/>
          <w:w w:val="105"/>
        </w:rPr>
        <w:t> </w:t>
      </w:r>
      <w:r>
        <w:rPr>
          <w:color w:val="231F20"/>
          <w:w w:val="105"/>
        </w:rPr>
        <w:t>está</w:t>
      </w:r>
      <w:r>
        <w:rPr>
          <w:color w:val="231F20"/>
          <w:spacing w:val="-15"/>
          <w:w w:val="105"/>
        </w:rPr>
        <w:t> </w:t>
      </w:r>
      <w:r>
        <w:rPr>
          <w:color w:val="231F20"/>
          <w:w w:val="105"/>
        </w:rPr>
        <w:t>en</w:t>
      </w:r>
      <w:r>
        <w:rPr>
          <w:color w:val="231F20"/>
          <w:spacing w:val="-15"/>
          <w:w w:val="105"/>
        </w:rPr>
        <w:t> </w:t>
      </w:r>
      <w:r>
        <w:rPr>
          <w:color w:val="231F20"/>
          <w:w w:val="105"/>
        </w:rPr>
        <w:t>mantenerse en el cargo administrativo, necesariamente requieren de la aprobación de aquél que </w:t>
      </w:r>
      <w:r>
        <w:rPr>
          <w:color w:val="231F20"/>
          <w:w w:val="105"/>
          <w:u w:val="single" w:color="231F20"/>
        </w:rPr>
        <w:t>tiene</w:t>
      </w:r>
      <w:r>
        <w:rPr>
          <w:color w:val="231F20"/>
          <w:spacing w:val="-10"/>
          <w:w w:val="105"/>
          <w:u w:val="single" w:color="231F20"/>
        </w:rPr>
        <w:t> </w:t>
      </w:r>
      <w:r>
        <w:rPr>
          <w:color w:val="231F20"/>
          <w:w w:val="105"/>
          <w:u w:val="single" w:color="231F20"/>
        </w:rPr>
        <w:t>la</w:t>
      </w:r>
      <w:r>
        <w:rPr>
          <w:color w:val="231F20"/>
          <w:spacing w:val="-10"/>
          <w:w w:val="105"/>
          <w:u w:val="single" w:color="231F20"/>
        </w:rPr>
        <w:t> </w:t>
      </w:r>
      <w:r>
        <w:rPr>
          <w:color w:val="231F20"/>
          <w:w w:val="105"/>
          <w:u w:val="single" w:color="231F20"/>
        </w:rPr>
        <w:t>facultad</w:t>
      </w:r>
      <w:r>
        <w:rPr>
          <w:color w:val="231F20"/>
          <w:spacing w:val="-10"/>
          <w:w w:val="105"/>
          <w:u w:val="single" w:color="231F20"/>
        </w:rPr>
        <w:t> </w:t>
      </w:r>
      <w:r>
        <w:rPr>
          <w:color w:val="231F20"/>
          <w:w w:val="105"/>
        </w:rPr>
        <w:t>para</w:t>
      </w:r>
      <w:r>
        <w:rPr>
          <w:color w:val="231F20"/>
          <w:spacing w:val="-10"/>
          <w:w w:val="105"/>
        </w:rPr>
        <w:t> </w:t>
      </w:r>
      <w:r>
        <w:rPr>
          <w:color w:val="231F20"/>
          <w:spacing w:val="-3"/>
          <w:w w:val="105"/>
        </w:rPr>
        <w:t>removerlos:</w:t>
      </w:r>
      <w:r>
        <w:rPr>
          <w:color w:val="231F20"/>
          <w:spacing w:val="-10"/>
          <w:w w:val="105"/>
        </w:rPr>
        <w:t> </w:t>
      </w:r>
      <w:r>
        <w:rPr>
          <w:color w:val="231F20"/>
          <w:w w:val="105"/>
        </w:rPr>
        <w:t>el</w:t>
      </w:r>
      <w:r>
        <w:rPr>
          <w:color w:val="231F20"/>
          <w:spacing w:val="-10"/>
          <w:w w:val="105"/>
        </w:rPr>
        <w:t> </w:t>
      </w:r>
      <w:r>
        <w:rPr>
          <w:color w:val="231F20"/>
          <w:w w:val="105"/>
        </w:rPr>
        <w:t>alcalde</w:t>
      </w:r>
      <w:r>
        <w:rPr>
          <w:color w:val="231F20"/>
          <w:spacing w:val="-10"/>
          <w:w w:val="105"/>
        </w:rPr>
        <w:t> </w:t>
      </w:r>
      <w:r>
        <w:rPr>
          <w:color w:val="231F20"/>
          <w:w w:val="105"/>
        </w:rPr>
        <w:t>en</w:t>
      </w:r>
      <w:r>
        <w:rPr>
          <w:color w:val="231F20"/>
          <w:spacing w:val="-10"/>
          <w:w w:val="105"/>
        </w:rPr>
        <w:t> </w:t>
      </w:r>
      <w:r>
        <w:rPr>
          <w:color w:val="231F20"/>
          <w:w w:val="105"/>
        </w:rPr>
        <w:t>turno.</w:t>
      </w:r>
    </w:p>
    <w:p>
      <w:pPr>
        <w:pStyle w:val="ListParagraph"/>
        <w:numPr>
          <w:ilvl w:val="0"/>
          <w:numId w:val="3"/>
        </w:numPr>
        <w:tabs>
          <w:tab w:pos="298" w:val="left" w:leader="none"/>
        </w:tabs>
        <w:spacing w:line="244" w:lineRule="auto" w:before="53" w:after="0"/>
        <w:ind w:left="110" w:right="107" w:firstLine="0"/>
        <w:jc w:val="both"/>
        <w:rPr>
          <w:sz w:val="16"/>
        </w:rPr>
      </w:pPr>
      <w:r>
        <w:rPr>
          <w:color w:val="231F20"/>
          <w:sz w:val="16"/>
        </w:rPr>
        <w:t>La</w:t>
      </w:r>
      <w:r>
        <w:rPr>
          <w:color w:val="231F20"/>
          <w:spacing w:val="-3"/>
          <w:sz w:val="16"/>
        </w:rPr>
        <w:t> </w:t>
      </w:r>
      <w:r>
        <w:rPr>
          <w:color w:val="231F20"/>
          <w:sz w:val="16"/>
        </w:rPr>
        <w:t>ley</w:t>
      </w:r>
      <w:r>
        <w:rPr>
          <w:color w:val="231F20"/>
          <w:spacing w:val="-3"/>
          <w:sz w:val="16"/>
        </w:rPr>
        <w:t> </w:t>
      </w:r>
      <w:r>
        <w:rPr>
          <w:color w:val="231F20"/>
          <w:sz w:val="16"/>
        </w:rPr>
        <w:t>orgánica</w:t>
      </w:r>
      <w:r>
        <w:rPr>
          <w:color w:val="231F20"/>
          <w:spacing w:val="-3"/>
          <w:sz w:val="16"/>
        </w:rPr>
        <w:t> </w:t>
      </w:r>
      <w:r>
        <w:rPr>
          <w:color w:val="231F20"/>
          <w:sz w:val="16"/>
        </w:rPr>
        <w:t>municipal</w:t>
      </w:r>
      <w:r>
        <w:rPr>
          <w:color w:val="231F20"/>
          <w:spacing w:val="-3"/>
          <w:sz w:val="16"/>
        </w:rPr>
        <w:t> </w:t>
      </w:r>
      <w:r>
        <w:rPr>
          <w:color w:val="231F20"/>
          <w:sz w:val="16"/>
        </w:rPr>
        <w:t>establece</w:t>
      </w:r>
      <w:r>
        <w:rPr>
          <w:color w:val="231F20"/>
          <w:spacing w:val="-3"/>
          <w:sz w:val="16"/>
        </w:rPr>
        <w:t> </w:t>
      </w:r>
      <w:r>
        <w:rPr>
          <w:color w:val="231F20"/>
          <w:sz w:val="16"/>
        </w:rPr>
        <w:t>que</w:t>
      </w:r>
      <w:r>
        <w:rPr>
          <w:color w:val="231F20"/>
          <w:spacing w:val="-3"/>
          <w:sz w:val="16"/>
        </w:rPr>
        <w:t> </w:t>
      </w:r>
      <w:r>
        <w:rPr>
          <w:color w:val="231F20"/>
          <w:sz w:val="16"/>
        </w:rPr>
        <w:t>el</w:t>
      </w:r>
      <w:r>
        <w:rPr>
          <w:color w:val="231F20"/>
          <w:spacing w:val="-3"/>
          <w:sz w:val="16"/>
        </w:rPr>
        <w:t> </w:t>
      </w:r>
      <w:r>
        <w:rPr>
          <w:color w:val="231F20"/>
          <w:sz w:val="16"/>
        </w:rPr>
        <w:t>presidente</w:t>
      </w:r>
      <w:r>
        <w:rPr>
          <w:color w:val="231F20"/>
          <w:spacing w:val="-3"/>
          <w:sz w:val="16"/>
        </w:rPr>
        <w:t> </w:t>
      </w:r>
      <w:r>
        <w:rPr>
          <w:color w:val="231F20"/>
          <w:sz w:val="16"/>
        </w:rPr>
        <w:t>municipal</w:t>
      </w:r>
      <w:r>
        <w:rPr>
          <w:color w:val="231F20"/>
          <w:spacing w:val="-3"/>
          <w:sz w:val="16"/>
        </w:rPr>
        <w:t> </w:t>
      </w:r>
      <w:r>
        <w:rPr>
          <w:color w:val="231F20"/>
          <w:sz w:val="16"/>
        </w:rPr>
        <w:t>en</w:t>
      </w:r>
      <w:r>
        <w:rPr>
          <w:color w:val="231F20"/>
          <w:spacing w:val="-3"/>
          <w:sz w:val="16"/>
        </w:rPr>
        <w:t> </w:t>
      </w:r>
      <w:r>
        <w:rPr>
          <w:color w:val="231F20"/>
          <w:sz w:val="16"/>
        </w:rPr>
        <w:t>turno</w:t>
      </w:r>
      <w:r>
        <w:rPr>
          <w:color w:val="231F20"/>
          <w:spacing w:val="-3"/>
          <w:sz w:val="16"/>
        </w:rPr>
        <w:t> </w:t>
      </w:r>
      <w:r>
        <w:rPr>
          <w:color w:val="231F20"/>
          <w:sz w:val="16"/>
        </w:rPr>
        <w:t>está</w:t>
      </w:r>
      <w:r>
        <w:rPr>
          <w:color w:val="231F20"/>
          <w:spacing w:val="-3"/>
          <w:sz w:val="16"/>
        </w:rPr>
        <w:t> </w:t>
      </w:r>
      <w:r>
        <w:rPr>
          <w:color w:val="231F20"/>
          <w:sz w:val="16"/>
        </w:rPr>
        <w:t>obligado</w:t>
      </w:r>
      <w:r>
        <w:rPr>
          <w:color w:val="231F20"/>
          <w:spacing w:val="-3"/>
          <w:sz w:val="16"/>
        </w:rPr>
        <w:t> </w:t>
      </w:r>
      <w:r>
        <w:rPr>
          <w:color w:val="231F20"/>
          <w:sz w:val="16"/>
        </w:rPr>
        <w:t>a</w:t>
      </w:r>
      <w:r>
        <w:rPr>
          <w:color w:val="231F20"/>
          <w:spacing w:val="-3"/>
          <w:sz w:val="16"/>
        </w:rPr>
        <w:t> </w:t>
      </w:r>
      <w:r>
        <w:rPr>
          <w:color w:val="231F20"/>
          <w:sz w:val="16"/>
        </w:rPr>
        <w:t>presentar</w:t>
      </w:r>
      <w:r>
        <w:rPr>
          <w:color w:val="231F20"/>
          <w:spacing w:val="-3"/>
          <w:sz w:val="16"/>
        </w:rPr>
        <w:t> </w:t>
      </w:r>
      <w:r>
        <w:rPr>
          <w:color w:val="231F20"/>
          <w:sz w:val="16"/>
        </w:rPr>
        <w:t>sus</w:t>
      </w:r>
      <w:r>
        <w:rPr>
          <w:color w:val="231F20"/>
          <w:spacing w:val="-3"/>
          <w:sz w:val="16"/>
        </w:rPr>
        <w:t> </w:t>
      </w:r>
      <w:r>
        <w:rPr>
          <w:color w:val="231F20"/>
          <w:sz w:val="16"/>
        </w:rPr>
        <w:t>propuestas</w:t>
      </w:r>
      <w:r>
        <w:rPr>
          <w:color w:val="231F20"/>
          <w:spacing w:val="-3"/>
          <w:sz w:val="16"/>
        </w:rPr>
        <w:t> </w:t>
      </w:r>
      <w:r>
        <w:rPr>
          <w:color w:val="231F20"/>
          <w:sz w:val="16"/>
        </w:rPr>
        <w:t>para integrar</w:t>
      </w:r>
      <w:r>
        <w:rPr>
          <w:color w:val="231F20"/>
          <w:spacing w:val="-10"/>
          <w:sz w:val="16"/>
        </w:rPr>
        <w:t> </w:t>
      </w:r>
      <w:r>
        <w:rPr>
          <w:color w:val="231F20"/>
          <w:sz w:val="16"/>
        </w:rPr>
        <w:t>la</w:t>
      </w:r>
      <w:r>
        <w:rPr>
          <w:color w:val="231F20"/>
          <w:spacing w:val="-10"/>
          <w:sz w:val="16"/>
        </w:rPr>
        <w:t> </w:t>
      </w:r>
      <w:r>
        <w:rPr>
          <w:color w:val="231F20"/>
          <w:sz w:val="16"/>
        </w:rPr>
        <w:t>APM</w:t>
      </w:r>
      <w:r>
        <w:rPr>
          <w:color w:val="231F20"/>
          <w:spacing w:val="-10"/>
          <w:sz w:val="16"/>
        </w:rPr>
        <w:t> </w:t>
      </w:r>
      <w:r>
        <w:rPr>
          <w:color w:val="231F20"/>
          <w:sz w:val="16"/>
        </w:rPr>
        <w:t>ante</w:t>
      </w:r>
      <w:r>
        <w:rPr>
          <w:color w:val="231F20"/>
          <w:spacing w:val="-10"/>
          <w:sz w:val="16"/>
        </w:rPr>
        <w:t> </w:t>
      </w:r>
      <w:r>
        <w:rPr>
          <w:color w:val="231F20"/>
          <w:sz w:val="16"/>
        </w:rPr>
        <w:t>el</w:t>
      </w:r>
      <w:r>
        <w:rPr>
          <w:color w:val="231F20"/>
          <w:spacing w:val="-10"/>
          <w:sz w:val="16"/>
        </w:rPr>
        <w:t> </w:t>
      </w:r>
      <w:r>
        <w:rPr>
          <w:color w:val="231F20"/>
          <w:sz w:val="16"/>
        </w:rPr>
        <w:t>ayuntamiento,</w:t>
      </w:r>
      <w:r>
        <w:rPr>
          <w:color w:val="231F20"/>
          <w:spacing w:val="-10"/>
          <w:sz w:val="16"/>
        </w:rPr>
        <w:t> </w:t>
      </w:r>
      <w:r>
        <w:rPr>
          <w:color w:val="231F20"/>
          <w:sz w:val="16"/>
        </w:rPr>
        <w:t>las</w:t>
      </w:r>
      <w:r>
        <w:rPr>
          <w:color w:val="231F20"/>
          <w:spacing w:val="-10"/>
          <w:sz w:val="16"/>
        </w:rPr>
        <w:t> </w:t>
      </w:r>
      <w:r>
        <w:rPr>
          <w:color w:val="231F20"/>
          <w:sz w:val="16"/>
        </w:rPr>
        <w:t>que</w:t>
      </w:r>
      <w:r>
        <w:rPr>
          <w:color w:val="231F20"/>
          <w:spacing w:val="-10"/>
          <w:sz w:val="16"/>
        </w:rPr>
        <w:t> </w:t>
      </w:r>
      <w:r>
        <w:rPr>
          <w:color w:val="231F20"/>
          <w:sz w:val="16"/>
        </w:rPr>
        <w:t>tendrán</w:t>
      </w:r>
      <w:r>
        <w:rPr>
          <w:color w:val="231F20"/>
          <w:spacing w:val="-10"/>
          <w:sz w:val="16"/>
        </w:rPr>
        <w:t> </w:t>
      </w:r>
      <w:r>
        <w:rPr>
          <w:color w:val="231F20"/>
          <w:sz w:val="16"/>
        </w:rPr>
        <w:t>que</w:t>
      </w:r>
      <w:r>
        <w:rPr>
          <w:color w:val="231F20"/>
          <w:spacing w:val="-10"/>
          <w:sz w:val="16"/>
        </w:rPr>
        <w:t> </w:t>
      </w:r>
      <w:r>
        <w:rPr>
          <w:color w:val="231F20"/>
          <w:sz w:val="16"/>
        </w:rPr>
        <w:t>ser</w:t>
      </w:r>
      <w:r>
        <w:rPr>
          <w:color w:val="231F20"/>
          <w:spacing w:val="-10"/>
          <w:sz w:val="16"/>
        </w:rPr>
        <w:t> </w:t>
      </w:r>
      <w:r>
        <w:rPr>
          <w:color w:val="231F20"/>
          <w:sz w:val="16"/>
        </w:rPr>
        <w:t>aprobadas</w:t>
      </w:r>
      <w:r>
        <w:rPr>
          <w:color w:val="231F20"/>
          <w:spacing w:val="-10"/>
          <w:sz w:val="16"/>
        </w:rPr>
        <w:t> </w:t>
      </w:r>
      <w:r>
        <w:rPr>
          <w:color w:val="231F20"/>
          <w:sz w:val="16"/>
        </w:rPr>
        <w:t>por</w:t>
      </w:r>
      <w:r>
        <w:rPr>
          <w:color w:val="231F20"/>
          <w:spacing w:val="-10"/>
          <w:sz w:val="16"/>
        </w:rPr>
        <w:t> </w:t>
      </w:r>
      <w:r>
        <w:rPr>
          <w:color w:val="231F20"/>
          <w:sz w:val="16"/>
        </w:rPr>
        <w:t>este</w:t>
      </w:r>
      <w:r>
        <w:rPr>
          <w:color w:val="231F20"/>
          <w:spacing w:val="-10"/>
          <w:sz w:val="16"/>
        </w:rPr>
        <w:t> </w:t>
      </w:r>
      <w:r>
        <w:rPr>
          <w:color w:val="231F20"/>
          <w:sz w:val="16"/>
        </w:rPr>
        <w:t>órgano.</w:t>
      </w:r>
      <w:r>
        <w:rPr>
          <w:color w:val="231F20"/>
          <w:spacing w:val="-10"/>
          <w:sz w:val="16"/>
        </w:rPr>
        <w:t> </w:t>
      </w:r>
      <w:r>
        <w:rPr>
          <w:color w:val="231F20"/>
          <w:sz w:val="16"/>
        </w:rPr>
        <w:t>Sin</w:t>
      </w:r>
      <w:r>
        <w:rPr>
          <w:color w:val="231F20"/>
          <w:spacing w:val="-10"/>
          <w:sz w:val="16"/>
        </w:rPr>
        <w:t> </w:t>
      </w:r>
      <w:r>
        <w:rPr>
          <w:color w:val="231F20"/>
          <w:sz w:val="16"/>
        </w:rPr>
        <w:t>embargo,</w:t>
      </w:r>
      <w:r>
        <w:rPr>
          <w:color w:val="231F20"/>
          <w:spacing w:val="-10"/>
          <w:sz w:val="16"/>
        </w:rPr>
        <w:t> </w:t>
      </w:r>
      <w:r>
        <w:rPr>
          <w:color w:val="231F20"/>
          <w:sz w:val="16"/>
        </w:rPr>
        <w:t>teniendo</w:t>
      </w:r>
      <w:r>
        <w:rPr>
          <w:color w:val="231F20"/>
          <w:spacing w:val="-10"/>
          <w:sz w:val="16"/>
        </w:rPr>
        <w:t> </w:t>
      </w:r>
      <w:r>
        <w:rPr>
          <w:color w:val="231F20"/>
          <w:sz w:val="16"/>
        </w:rPr>
        <w:t>presentes los</w:t>
      </w:r>
      <w:r>
        <w:rPr>
          <w:color w:val="231F20"/>
          <w:spacing w:val="-9"/>
          <w:sz w:val="16"/>
        </w:rPr>
        <w:t> </w:t>
      </w:r>
      <w:r>
        <w:rPr>
          <w:color w:val="231F20"/>
          <w:sz w:val="16"/>
        </w:rPr>
        <w:t>criterios</w:t>
      </w:r>
      <w:r>
        <w:rPr>
          <w:color w:val="231F20"/>
          <w:spacing w:val="-9"/>
          <w:sz w:val="16"/>
        </w:rPr>
        <w:t> </w:t>
      </w:r>
      <w:r>
        <w:rPr>
          <w:color w:val="231F20"/>
          <w:sz w:val="16"/>
        </w:rPr>
        <w:t>para</w:t>
      </w:r>
      <w:r>
        <w:rPr>
          <w:color w:val="231F20"/>
          <w:spacing w:val="-9"/>
          <w:sz w:val="16"/>
        </w:rPr>
        <w:t> </w:t>
      </w:r>
      <w:r>
        <w:rPr>
          <w:color w:val="231F20"/>
          <w:sz w:val="16"/>
        </w:rPr>
        <w:t>la</w:t>
      </w:r>
      <w:r>
        <w:rPr>
          <w:color w:val="231F20"/>
          <w:spacing w:val="-9"/>
          <w:sz w:val="16"/>
        </w:rPr>
        <w:t> </w:t>
      </w:r>
      <w:r>
        <w:rPr>
          <w:color w:val="231F20"/>
          <w:sz w:val="16"/>
        </w:rPr>
        <w:t>toma</w:t>
      </w:r>
      <w:r>
        <w:rPr>
          <w:color w:val="231F20"/>
          <w:spacing w:val="-9"/>
          <w:sz w:val="16"/>
        </w:rPr>
        <w:t> </w:t>
      </w:r>
      <w:r>
        <w:rPr>
          <w:color w:val="231F20"/>
          <w:sz w:val="16"/>
        </w:rPr>
        <w:t>de</w:t>
      </w:r>
      <w:r>
        <w:rPr>
          <w:color w:val="231F20"/>
          <w:spacing w:val="-9"/>
          <w:sz w:val="16"/>
        </w:rPr>
        <w:t> </w:t>
      </w:r>
      <w:r>
        <w:rPr>
          <w:color w:val="231F20"/>
          <w:sz w:val="16"/>
        </w:rPr>
        <w:t>decisiones</w:t>
      </w:r>
      <w:r>
        <w:rPr>
          <w:color w:val="231F20"/>
          <w:spacing w:val="-9"/>
          <w:sz w:val="16"/>
        </w:rPr>
        <w:t> </w:t>
      </w:r>
      <w:r>
        <w:rPr>
          <w:color w:val="231F20"/>
          <w:sz w:val="16"/>
        </w:rPr>
        <w:t>en</w:t>
      </w:r>
      <w:r>
        <w:rPr>
          <w:color w:val="231F20"/>
          <w:spacing w:val="-9"/>
          <w:sz w:val="16"/>
        </w:rPr>
        <w:t> </w:t>
      </w:r>
      <w:r>
        <w:rPr>
          <w:color w:val="231F20"/>
          <w:sz w:val="16"/>
        </w:rPr>
        <w:t>el</w:t>
      </w:r>
      <w:r>
        <w:rPr>
          <w:color w:val="231F20"/>
          <w:spacing w:val="-9"/>
          <w:sz w:val="16"/>
        </w:rPr>
        <w:t> </w:t>
      </w:r>
      <w:r>
        <w:rPr>
          <w:color w:val="231F20"/>
          <w:sz w:val="16"/>
        </w:rPr>
        <w:t>cabildo,</w:t>
      </w:r>
      <w:r>
        <w:rPr>
          <w:color w:val="231F20"/>
          <w:spacing w:val="-9"/>
          <w:sz w:val="16"/>
        </w:rPr>
        <w:t> </w:t>
      </w:r>
      <w:r>
        <w:rPr>
          <w:color w:val="231F20"/>
          <w:sz w:val="16"/>
        </w:rPr>
        <w:t>es</w:t>
      </w:r>
      <w:r>
        <w:rPr>
          <w:color w:val="231F20"/>
          <w:spacing w:val="-9"/>
          <w:sz w:val="16"/>
        </w:rPr>
        <w:t> </w:t>
      </w:r>
      <w:r>
        <w:rPr>
          <w:color w:val="231F20"/>
          <w:sz w:val="16"/>
        </w:rPr>
        <w:t>muy</w:t>
      </w:r>
      <w:r>
        <w:rPr>
          <w:color w:val="231F20"/>
          <w:spacing w:val="-9"/>
          <w:sz w:val="16"/>
        </w:rPr>
        <w:t> </w:t>
      </w:r>
      <w:r>
        <w:rPr>
          <w:color w:val="231F20"/>
          <w:sz w:val="16"/>
        </w:rPr>
        <w:t>posible</w:t>
      </w:r>
      <w:r>
        <w:rPr>
          <w:color w:val="231F20"/>
          <w:spacing w:val="-9"/>
          <w:sz w:val="16"/>
        </w:rPr>
        <w:t> </w:t>
      </w:r>
      <w:r>
        <w:rPr>
          <w:color w:val="231F20"/>
          <w:sz w:val="16"/>
        </w:rPr>
        <w:t>que</w:t>
      </w:r>
      <w:r>
        <w:rPr>
          <w:color w:val="231F20"/>
          <w:spacing w:val="-9"/>
          <w:sz w:val="16"/>
        </w:rPr>
        <w:t> </w:t>
      </w:r>
      <w:r>
        <w:rPr>
          <w:color w:val="231F20"/>
          <w:sz w:val="16"/>
        </w:rPr>
        <w:t>el</w:t>
      </w:r>
      <w:r>
        <w:rPr>
          <w:color w:val="231F20"/>
          <w:spacing w:val="-9"/>
          <w:sz w:val="16"/>
        </w:rPr>
        <w:t> </w:t>
      </w:r>
      <w:r>
        <w:rPr>
          <w:color w:val="231F20"/>
          <w:sz w:val="16"/>
        </w:rPr>
        <w:t>alcalde</w:t>
      </w:r>
      <w:r>
        <w:rPr>
          <w:color w:val="231F20"/>
          <w:spacing w:val="-9"/>
          <w:sz w:val="16"/>
        </w:rPr>
        <w:t> </w:t>
      </w:r>
      <w:r>
        <w:rPr>
          <w:color w:val="231F20"/>
          <w:sz w:val="16"/>
        </w:rPr>
        <w:t>no</w:t>
      </w:r>
      <w:r>
        <w:rPr>
          <w:color w:val="231F20"/>
          <w:spacing w:val="-9"/>
          <w:sz w:val="16"/>
        </w:rPr>
        <w:t> </w:t>
      </w:r>
      <w:r>
        <w:rPr>
          <w:color w:val="231F20"/>
          <w:sz w:val="16"/>
        </w:rPr>
        <w:t>enfrente</w:t>
      </w:r>
      <w:r>
        <w:rPr>
          <w:color w:val="231F20"/>
          <w:spacing w:val="-9"/>
          <w:sz w:val="16"/>
        </w:rPr>
        <w:t> </w:t>
      </w:r>
      <w:r>
        <w:rPr>
          <w:color w:val="231F20"/>
          <w:sz w:val="16"/>
        </w:rPr>
        <w:t>problemas</w:t>
      </w:r>
      <w:r>
        <w:rPr>
          <w:color w:val="231F20"/>
          <w:spacing w:val="-9"/>
          <w:sz w:val="16"/>
        </w:rPr>
        <w:t> </w:t>
      </w:r>
      <w:r>
        <w:rPr>
          <w:color w:val="231F20"/>
          <w:sz w:val="16"/>
        </w:rPr>
        <w:t>serios</w:t>
      </w:r>
      <w:r>
        <w:rPr>
          <w:color w:val="231F20"/>
          <w:spacing w:val="-9"/>
          <w:sz w:val="16"/>
        </w:rPr>
        <w:t> </w:t>
      </w:r>
      <w:r>
        <w:rPr>
          <w:color w:val="231F20"/>
          <w:sz w:val="16"/>
        </w:rPr>
        <w:t>para</w:t>
      </w:r>
      <w:r>
        <w:rPr>
          <w:color w:val="231F20"/>
          <w:spacing w:val="-9"/>
          <w:sz w:val="16"/>
        </w:rPr>
        <w:t> </w:t>
      </w:r>
      <w:r>
        <w:rPr>
          <w:color w:val="231F20"/>
          <w:sz w:val="16"/>
        </w:rPr>
        <w:t>juntar los</w:t>
      </w:r>
      <w:r>
        <w:rPr>
          <w:color w:val="231F20"/>
          <w:spacing w:val="-15"/>
          <w:sz w:val="16"/>
        </w:rPr>
        <w:t> </w:t>
      </w:r>
      <w:r>
        <w:rPr>
          <w:color w:val="231F20"/>
          <w:sz w:val="16"/>
        </w:rPr>
        <w:t>votos</w:t>
      </w:r>
      <w:r>
        <w:rPr>
          <w:color w:val="231F20"/>
          <w:spacing w:val="-15"/>
          <w:sz w:val="16"/>
        </w:rPr>
        <w:t> </w:t>
      </w:r>
      <w:r>
        <w:rPr>
          <w:color w:val="231F20"/>
          <w:sz w:val="16"/>
        </w:rPr>
        <w:t>necesarios</w:t>
      </w:r>
      <w:r>
        <w:rPr>
          <w:color w:val="231F20"/>
          <w:spacing w:val="-15"/>
          <w:sz w:val="16"/>
        </w:rPr>
        <w:t> </w:t>
      </w:r>
      <w:r>
        <w:rPr>
          <w:color w:val="231F20"/>
          <w:sz w:val="16"/>
        </w:rPr>
        <w:t>para</w:t>
      </w:r>
      <w:r>
        <w:rPr>
          <w:color w:val="231F20"/>
          <w:spacing w:val="-15"/>
          <w:sz w:val="16"/>
        </w:rPr>
        <w:t> </w:t>
      </w:r>
      <w:r>
        <w:rPr>
          <w:color w:val="231F20"/>
          <w:sz w:val="16"/>
        </w:rPr>
        <w:t>aprobar</w:t>
      </w:r>
      <w:r>
        <w:rPr>
          <w:color w:val="231F20"/>
          <w:spacing w:val="-15"/>
          <w:sz w:val="16"/>
        </w:rPr>
        <w:t> </w:t>
      </w:r>
      <w:r>
        <w:rPr>
          <w:color w:val="231F20"/>
          <w:sz w:val="16"/>
        </w:rPr>
        <w:t>sus</w:t>
      </w:r>
      <w:r>
        <w:rPr>
          <w:color w:val="231F20"/>
          <w:spacing w:val="-15"/>
          <w:sz w:val="16"/>
        </w:rPr>
        <w:t> </w:t>
      </w:r>
      <w:r>
        <w:rPr>
          <w:color w:val="231F20"/>
          <w:sz w:val="16"/>
        </w:rPr>
        <w:t>propuestas.</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Además, el plan de desarrollo municipal es otro mecanismo institucional que refuerza la</w:t>
      </w:r>
      <w:r>
        <w:rPr>
          <w:color w:val="231F20"/>
          <w:spacing w:val="-29"/>
          <w:w w:val="105"/>
        </w:rPr>
        <w:t> </w:t>
      </w:r>
      <w:r>
        <w:rPr>
          <w:color w:val="231F20"/>
          <w:w w:val="105"/>
        </w:rPr>
        <w:t>influencia</w:t>
      </w:r>
      <w:r>
        <w:rPr>
          <w:color w:val="231F20"/>
          <w:spacing w:val="-29"/>
          <w:w w:val="105"/>
        </w:rPr>
        <w:t> </w:t>
      </w:r>
      <w:r>
        <w:rPr>
          <w:color w:val="231F20"/>
          <w:spacing w:val="-3"/>
          <w:w w:val="105"/>
        </w:rPr>
        <w:t>del</w:t>
      </w:r>
      <w:r>
        <w:rPr>
          <w:color w:val="231F20"/>
          <w:spacing w:val="-29"/>
          <w:w w:val="105"/>
        </w:rPr>
        <w:t> </w:t>
      </w:r>
      <w:r>
        <w:rPr>
          <w:color w:val="231F20"/>
          <w:spacing w:val="-4"/>
          <w:w w:val="105"/>
        </w:rPr>
        <w:t>presidente</w:t>
      </w:r>
      <w:r>
        <w:rPr>
          <w:color w:val="231F20"/>
          <w:spacing w:val="-29"/>
          <w:w w:val="105"/>
        </w:rPr>
        <w:t> </w:t>
      </w:r>
      <w:r>
        <w:rPr>
          <w:color w:val="231F20"/>
          <w:w w:val="105"/>
        </w:rPr>
        <w:t>municipal</w:t>
      </w:r>
      <w:r>
        <w:rPr>
          <w:color w:val="231F20"/>
          <w:spacing w:val="-29"/>
          <w:w w:val="105"/>
        </w:rPr>
        <w:t> </w:t>
      </w:r>
      <w:r>
        <w:rPr>
          <w:color w:val="231F20"/>
          <w:spacing w:val="-4"/>
          <w:w w:val="105"/>
        </w:rPr>
        <w:t>sobre</w:t>
      </w:r>
      <w:r>
        <w:rPr>
          <w:color w:val="231F20"/>
          <w:spacing w:val="-29"/>
          <w:w w:val="105"/>
        </w:rPr>
        <w:t> </w:t>
      </w:r>
      <w:r>
        <w:rPr>
          <w:color w:val="231F20"/>
          <w:w w:val="105"/>
        </w:rPr>
        <w:t>la</w:t>
      </w:r>
      <w:r>
        <w:rPr>
          <w:color w:val="231F20"/>
          <w:spacing w:val="-29"/>
          <w:w w:val="105"/>
        </w:rPr>
        <w:t> </w:t>
      </w:r>
      <w:r>
        <w:rPr>
          <w:color w:val="231F20"/>
          <w:spacing w:val="-4"/>
          <w:w w:val="105"/>
        </w:rPr>
        <w:t>elaboración</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políticas</w:t>
      </w:r>
      <w:r>
        <w:rPr>
          <w:color w:val="231F20"/>
          <w:spacing w:val="-29"/>
          <w:w w:val="105"/>
        </w:rPr>
        <w:t> </w:t>
      </w:r>
      <w:r>
        <w:rPr>
          <w:color w:val="231F20"/>
          <w:w w:val="105"/>
        </w:rPr>
        <w:t>a</w:t>
      </w:r>
      <w:r>
        <w:rPr>
          <w:color w:val="231F20"/>
          <w:spacing w:val="-29"/>
          <w:w w:val="105"/>
        </w:rPr>
        <w:t> </w:t>
      </w:r>
      <w:r>
        <w:rPr>
          <w:color w:val="231F20"/>
          <w:w w:val="105"/>
        </w:rPr>
        <w:t>desarrollar</w:t>
      </w:r>
      <w:r>
        <w:rPr>
          <w:color w:val="231F20"/>
          <w:spacing w:val="-29"/>
          <w:w w:val="105"/>
        </w:rPr>
        <w:t> </w:t>
      </w:r>
      <w:r>
        <w:rPr>
          <w:color w:val="231F20"/>
          <w:spacing w:val="-4"/>
          <w:w w:val="105"/>
        </w:rPr>
        <w:t>por </w:t>
      </w:r>
      <w:r>
        <w:rPr>
          <w:color w:val="231F20"/>
          <w:w w:val="105"/>
        </w:rPr>
        <w:t>la</w:t>
      </w:r>
      <w:r>
        <w:rPr>
          <w:color w:val="231F20"/>
          <w:spacing w:val="-17"/>
          <w:w w:val="105"/>
        </w:rPr>
        <w:t> </w:t>
      </w:r>
      <w:r>
        <w:rPr>
          <w:color w:val="231F20"/>
          <w:spacing w:val="-3"/>
          <w:w w:val="105"/>
        </w:rPr>
        <w:t>APM</w:t>
      </w:r>
      <w:r>
        <w:rPr>
          <w:color w:val="231F20"/>
          <w:spacing w:val="-17"/>
          <w:w w:val="105"/>
        </w:rPr>
        <w:t> </w:t>
      </w:r>
      <w:r>
        <w:rPr>
          <w:color w:val="231F20"/>
          <w:spacing w:val="-3"/>
          <w:w w:val="105"/>
        </w:rPr>
        <w:t>pues</w:t>
      </w:r>
      <w:r>
        <w:rPr>
          <w:color w:val="231F20"/>
          <w:spacing w:val="-17"/>
          <w:w w:val="105"/>
        </w:rPr>
        <w:t> </w:t>
      </w:r>
      <w:r>
        <w:rPr>
          <w:color w:val="231F20"/>
          <w:w w:val="105"/>
        </w:rPr>
        <w:t>el</w:t>
      </w:r>
      <w:r>
        <w:rPr>
          <w:color w:val="231F20"/>
          <w:spacing w:val="-17"/>
          <w:w w:val="105"/>
        </w:rPr>
        <w:t> </w:t>
      </w:r>
      <w:r>
        <w:rPr>
          <w:color w:val="231F20"/>
          <w:w w:val="105"/>
        </w:rPr>
        <w:t>alcalde</w:t>
      </w:r>
      <w:r>
        <w:rPr>
          <w:color w:val="231F20"/>
          <w:spacing w:val="-17"/>
          <w:w w:val="105"/>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spacing w:val="-3"/>
          <w:w w:val="105"/>
        </w:rPr>
        <w:t>encargado</w:t>
      </w:r>
      <w:r>
        <w:rPr>
          <w:color w:val="231F20"/>
          <w:spacing w:val="-17"/>
          <w:w w:val="105"/>
        </w:rPr>
        <w:t> </w:t>
      </w:r>
      <w:r>
        <w:rPr>
          <w:color w:val="231F20"/>
          <w:w w:val="105"/>
        </w:rPr>
        <w:t>de</w:t>
      </w:r>
      <w:r>
        <w:rPr>
          <w:color w:val="231F20"/>
          <w:spacing w:val="-17"/>
          <w:w w:val="105"/>
        </w:rPr>
        <w:t> </w:t>
      </w:r>
      <w:r>
        <w:rPr>
          <w:color w:val="231F20"/>
          <w:spacing w:val="-3"/>
          <w:w w:val="105"/>
        </w:rPr>
        <w:t>presentarlo</w:t>
      </w:r>
      <w:r>
        <w:rPr>
          <w:color w:val="231F20"/>
          <w:spacing w:val="-17"/>
          <w:w w:val="105"/>
        </w:rPr>
        <w:t> </w:t>
      </w:r>
      <w:r>
        <w:rPr>
          <w:color w:val="231F20"/>
          <w:w w:val="105"/>
        </w:rPr>
        <w:t>al</w:t>
      </w:r>
      <w:r>
        <w:rPr>
          <w:color w:val="231F20"/>
          <w:spacing w:val="-17"/>
          <w:w w:val="105"/>
        </w:rPr>
        <w:t> </w:t>
      </w:r>
      <w:r>
        <w:rPr>
          <w:color w:val="231F20"/>
          <w:w w:val="105"/>
        </w:rPr>
        <w:t>inicio</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spacing w:val="-3"/>
          <w:w w:val="105"/>
        </w:rPr>
        <w:t>gestión</w:t>
      </w:r>
      <w:r>
        <w:rPr>
          <w:color w:val="231F20"/>
          <w:spacing w:val="-17"/>
          <w:w w:val="105"/>
        </w:rPr>
        <w:t> </w:t>
      </w:r>
      <w:r>
        <w:rPr>
          <w:color w:val="231F20"/>
          <w:spacing w:val="-8"/>
          <w:w w:val="105"/>
        </w:rPr>
        <w:t>y,</w:t>
      </w:r>
      <w:r>
        <w:rPr>
          <w:color w:val="231F20"/>
          <w:spacing w:val="-17"/>
          <w:w w:val="105"/>
        </w:rPr>
        <w:t> </w:t>
      </w:r>
      <w:r>
        <w:rPr>
          <w:color w:val="231F20"/>
          <w:spacing w:val="-4"/>
          <w:w w:val="105"/>
        </w:rPr>
        <w:t>debido</w:t>
      </w:r>
      <w:r>
        <w:rPr>
          <w:color w:val="231F20"/>
          <w:spacing w:val="-17"/>
          <w:w w:val="105"/>
        </w:rPr>
        <w:t> </w:t>
      </w:r>
      <w:r>
        <w:rPr>
          <w:color w:val="231F20"/>
          <w:w w:val="105"/>
        </w:rPr>
        <w:t>a</w:t>
      </w:r>
      <w:r>
        <w:rPr>
          <w:color w:val="231F20"/>
          <w:spacing w:val="-17"/>
          <w:w w:val="105"/>
        </w:rPr>
        <w:t> </w:t>
      </w:r>
      <w:r>
        <w:rPr>
          <w:color w:val="231F20"/>
          <w:w w:val="105"/>
        </w:rPr>
        <w:t>la </w:t>
      </w:r>
      <w:r>
        <w:rPr>
          <w:color w:val="231F20"/>
          <w:spacing w:val="-4"/>
          <w:w w:val="105"/>
        </w:rPr>
        <w:t>brevedad</w:t>
      </w:r>
      <w:r>
        <w:rPr>
          <w:color w:val="231F20"/>
          <w:spacing w:val="-16"/>
          <w:w w:val="105"/>
        </w:rPr>
        <w:t> </w:t>
      </w:r>
      <w:r>
        <w:rPr>
          <w:color w:val="231F20"/>
          <w:spacing w:val="-3"/>
          <w:w w:val="105"/>
        </w:rPr>
        <w:t>del</w:t>
      </w:r>
      <w:r>
        <w:rPr>
          <w:color w:val="231F20"/>
          <w:spacing w:val="-16"/>
          <w:w w:val="105"/>
        </w:rPr>
        <w:t> </w:t>
      </w:r>
      <w:r>
        <w:rPr>
          <w:color w:val="231F20"/>
          <w:spacing w:val="-3"/>
          <w:w w:val="105"/>
        </w:rPr>
        <w:t>periodo,</w:t>
      </w:r>
      <w:r>
        <w:rPr>
          <w:color w:val="231F20"/>
          <w:spacing w:val="-16"/>
          <w:w w:val="105"/>
        </w:rPr>
        <w:t> </w:t>
      </w:r>
      <w:r>
        <w:rPr>
          <w:color w:val="231F20"/>
          <w:w w:val="105"/>
        </w:rPr>
        <w:t>es</w:t>
      </w:r>
      <w:r>
        <w:rPr>
          <w:color w:val="231F20"/>
          <w:spacing w:val="-16"/>
          <w:w w:val="105"/>
        </w:rPr>
        <w:t> </w:t>
      </w:r>
      <w:r>
        <w:rPr>
          <w:color w:val="231F20"/>
          <w:w w:val="105"/>
        </w:rPr>
        <w:t>difícil</w:t>
      </w:r>
      <w:r>
        <w:rPr>
          <w:color w:val="231F20"/>
          <w:spacing w:val="-16"/>
          <w:w w:val="105"/>
        </w:rPr>
        <w:t> </w:t>
      </w:r>
      <w:r>
        <w:rPr>
          <w:color w:val="231F20"/>
          <w:spacing w:val="-3"/>
          <w:w w:val="105"/>
        </w:rPr>
        <w:t>que</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spacing w:val="-3"/>
          <w:w w:val="105"/>
        </w:rPr>
        <w:t>interior</w:t>
      </w:r>
      <w:r>
        <w:rPr>
          <w:color w:val="231F20"/>
          <w:spacing w:val="-16"/>
          <w:w w:val="105"/>
        </w:rPr>
        <w:t> </w:t>
      </w:r>
      <w:r>
        <w:rPr>
          <w:color w:val="231F20"/>
          <w:w w:val="105"/>
        </w:rPr>
        <w:t>se</w:t>
      </w:r>
      <w:r>
        <w:rPr>
          <w:color w:val="231F20"/>
          <w:spacing w:val="-16"/>
          <w:w w:val="105"/>
        </w:rPr>
        <w:t> </w:t>
      </w:r>
      <w:r>
        <w:rPr>
          <w:color w:val="231F20"/>
          <w:w w:val="105"/>
        </w:rPr>
        <w:t>puedan</w:t>
      </w:r>
      <w:r>
        <w:rPr>
          <w:color w:val="231F20"/>
          <w:spacing w:val="-16"/>
          <w:w w:val="105"/>
        </w:rPr>
        <w:t> </w:t>
      </w:r>
      <w:r>
        <w:rPr>
          <w:color w:val="231F20"/>
          <w:w w:val="105"/>
        </w:rPr>
        <w:t>incluir</w:t>
      </w:r>
      <w:r>
        <w:rPr>
          <w:color w:val="231F20"/>
          <w:spacing w:val="-16"/>
          <w:w w:val="105"/>
        </w:rPr>
        <w:t> </w:t>
      </w:r>
      <w:r>
        <w:rPr>
          <w:color w:val="231F20"/>
          <w:spacing w:val="-3"/>
          <w:w w:val="105"/>
        </w:rPr>
        <w:t>diversos</w:t>
      </w:r>
      <w:r>
        <w:rPr>
          <w:color w:val="231F20"/>
          <w:spacing w:val="-16"/>
          <w:w w:val="105"/>
        </w:rPr>
        <w:t> </w:t>
      </w:r>
      <w:r>
        <w:rPr>
          <w:color w:val="231F20"/>
          <w:spacing w:val="-3"/>
          <w:w w:val="105"/>
        </w:rPr>
        <w:t>intereses</w:t>
      </w:r>
      <w:r>
        <w:rPr>
          <w:color w:val="231F20"/>
          <w:spacing w:val="-16"/>
          <w:w w:val="105"/>
        </w:rPr>
        <w:t> </w:t>
      </w:r>
      <w:r>
        <w:rPr>
          <w:color w:val="231F20"/>
          <w:w w:val="105"/>
        </w:rPr>
        <w:t>dis- tantes</w:t>
      </w:r>
      <w:r>
        <w:rPr>
          <w:color w:val="231F20"/>
          <w:spacing w:val="-17"/>
          <w:w w:val="105"/>
        </w:rPr>
        <w:t> </w:t>
      </w:r>
      <w:r>
        <w:rPr>
          <w:color w:val="231F20"/>
          <w:w w:val="105"/>
        </w:rPr>
        <w:t>a</w:t>
      </w:r>
      <w:r>
        <w:rPr>
          <w:color w:val="231F20"/>
          <w:spacing w:val="-17"/>
          <w:w w:val="105"/>
        </w:rPr>
        <w:t> </w:t>
      </w:r>
      <w:r>
        <w:rPr>
          <w:color w:val="231F20"/>
          <w:spacing w:val="-3"/>
          <w:w w:val="105"/>
        </w:rPr>
        <w:t>los</w:t>
      </w:r>
      <w:r>
        <w:rPr>
          <w:color w:val="231F20"/>
          <w:spacing w:val="-17"/>
          <w:w w:val="105"/>
        </w:rPr>
        <w:t> </w:t>
      </w:r>
      <w:r>
        <w:rPr>
          <w:color w:val="231F20"/>
          <w:w w:val="105"/>
        </w:rPr>
        <w:t>de</w:t>
      </w:r>
      <w:r>
        <w:rPr>
          <w:color w:val="231F20"/>
          <w:spacing w:val="-17"/>
          <w:w w:val="105"/>
        </w:rPr>
        <w:t> </w:t>
      </w:r>
      <w:r>
        <w:rPr>
          <w:color w:val="231F20"/>
          <w:spacing w:val="-3"/>
          <w:w w:val="105"/>
        </w:rPr>
        <w:t>los</w:t>
      </w:r>
      <w:r>
        <w:rPr>
          <w:color w:val="231F20"/>
          <w:spacing w:val="-17"/>
          <w:w w:val="105"/>
        </w:rPr>
        <w:t> </w:t>
      </w:r>
      <w:r>
        <w:rPr>
          <w:color w:val="231F20"/>
          <w:spacing w:val="-4"/>
          <w:w w:val="105"/>
        </w:rPr>
        <w:t>tomadores</w:t>
      </w:r>
      <w:r>
        <w:rPr>
          <w:color w:val="231F20"/>
          <w:spacing w:val="-17"/>
          <w:w w:val="105"/>
        </w:rPr>
        <w:t> </w:t>
      </w:r>
      <w:r>
        <w:rPr>
          <w:color w:val="231F20"/>
          <w:w w:val="105"/>
        </w:rPr>
        <w:t>de</w:t>
      </w:r>
      <w:r>
        <w:rPr>
          <w:color w:val="231F20"/>
          <w:spacing w:val="-17"/>
          <w:w w:val="105"/>
        </w:rPr>
        <w:t> </w:t>
      </w:r>
      <w:r>
        <w:rPr>
          <w:color w:val="231F20"/>
          <w:spacing w:val="-3"/>
          <w:w w:val="105"/>
        </w:rPr>
        <w:t>decisiones,</w:t>
      </w:r>
      <w:r>
        <w:rPr>
          <w:color w:val="231F20"/>
          <w:spacing w:val="-17"/>
          <w:w w:val="105"/>
        </w:rPr>
        <w:t> </w:t>
      </w:r>
      <w:r>
        <w:rPr>
          <w:color w:val="231F20"/>
          <w:w w:val="105"/>
        </w:rPr>
        <w:t>al</w:t>
      </w:r>
      <w:r>
        <w:rPr>
          <w:color w:val="231F20"/>
          <w:spacing w:val="-17"/>
          <w:w w:val="105"/>
        </w:rPr>
        <w:t> </w:t>
      </w:r>
      <w:r>
        <w:rPr>
          <w:color w:val="231F20"/>
          <w:w w:val="105"/>
        </w:rPr>
        <w:t>equipo</w:t>
      </w:r>
      <w:r>
        <w:rPr>
          <w:color w:val="231F20"/>
          <w:spacing w:val="-17"/>
          <w:w w:val="105"/>
        </w:rPr>
        <w:t> </w:t>
      </w:r>
      <w:r>
        <w:rPr>
          <w:color w:val="231F20"/>
          <w:w w:val="105"/>
        </w:rPr>
        <w:t>de</w:t>
      </w:r>
      <w:r>
        <w:rPr>
          <w:color w:val="231F20"/>
          <w:spacing w:val="-17"/>
          <w:w w:val="105"/>
        </w:rPr>
        <w:t> </w:t>
      </w:r>
      <w:r>
        <w:rPr>
          <w:color w:val="231F20"/>
          <w:spacing w:val="-3"/>
          <w:w w:val="105"/>
        </w:rPr>
        <w:t>trabajo</w:t>
      </w:r>
      <w:r>
        <w:rPr>
          <w:color w:val="231F20"/>
          <w:spacing w:val="-17"/>
          <w:w w:val="105"/>
        </w:rPr>
        <w:t> </w:t>
      </w:r>
      <w:r>
        <w:rPr>
          <w:color w:val="231F20"/>
          <w:spacing w:val="-3"/>
          <w:w w:val="105"/>
        </w:rPr>
        <w:t>del</w:t>
      </w:r>
      <w:r>
        <w:rPr>
          <w:color w:val="231F20"/>
          <w:spacing w:val="-17"/>
          <w:w w:val="105"/>
        </w:rPr>
        <w:t> </w:t>
      </w:r>
      <w:r>
        <w:rPr>
          <w:color w:val="231F20"/>
          <w:w w:val="105"/>
        </w:rPr>
        <w:t>alcalde</w:t>
      </w:r>
      <w:r>
        <w:rPr>
          <w:color w:val="231F20"/>
          <w:spacing w:val="-17"/>
          <w:w w:val="105"/>
        </w:rPr>
        <w:t> </w:t>
      </w:r>
      <w:r>
        <w:rPr>
          <w:color w:val="231F20"/>
          <w:spacing w:val="-3"/>
          <w:w w:val="105"/>
        </w:rPr>
        <w:t>recién</w:t>
      </w:r>
      <w:r>
        <w:rPr>
          <w:color w:val="231F20"/>
          <w:spacing w:val="-17"/>
          <w:w w:val="105"/>
        </w:rPr>
        <w:t> </w:t>
      </w:r>
      <w:r>
        <w:rPr>
          <w:color w:val="231F20"/>
          <w:spacing w:val="-3"/>
          <w:w w:val="105"/>
        </w:rPr>
        <w:t>electo.</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9"/>
          <w:w w:val="105"/>
        </w:rPr>
        <w:t> </w:t>
      </w:r>
      <w:r>
        <w:rPr>
          <w:color w:val="231F20"/>
          <w:w w:val="105"/>
        </w:rPr>
        <w:t>último,</w:t>
      </w:r>
      <w:r>
        <w:rPr>
          <w:color w:val="231F20"/>
          <w:spacing w:val="-9"/>
          <w:w w:val="105"/>
        </w:rPr>
        <w:t> </w:t>
      </w:r>
      <w:r>
        <w:rPr>
          <w:color w:val="231F20"/>
          <w:w w:val="105"/>
        </w:rPr>
        <w:t>la</w:t>
      </w:r>
      <w:r>
        <w:rPr>
          <w:color w:val="231F20"/>
          <w:spacing w:val="-9"/>
          <w:w w:val="105"/>
        </w:rPr>
        <w:t> </w:t>
      </w:r>
      <w:r>
        <w:rPr>
          <w:color w:val="231F20"/>
          <w:w w:val="105"/>
        </w:rPr>
        <w:t>fórmula</w:t>
      </w:r>
      <w:r>
        <w:rPr>
          <w:color w:val="231F20"/>
          <w:spacing w:val="-9"/>
          <w:w w:val="105"/>
        </w:rPr>
        <w:t> </w:t>
      </w:r>
      <w:r>
        <w:rPr>
          <w:color w:val="231F20"/>
          <w:w w:val="105"/>
        </w:rPr>
        <w:t>electoral</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integra</w:t>
      </w:r>
      <w:r>
        <w:rPr>
          <w:color w:val="231F20"/>
          <w:spacing w:val="-9"/>
          <w:w w:val="105"/>
        </w:rPr>
        <w:t> </w:t>
      </w:r>
      <w:r>
        <w:rPr>
          <w:color w:val="231F20"/>
          <w:w w:val="105"/>
        </w:rPr>
        <w:t>y</w:t>
      </w:r>
      <w:r>
        <w:rPr>
          <w:color w:val="231F20"/>
          <w:spacing w:val="-9"/>
          <w:w w:val="105"/>
        </w:rPr>
        <w:t> </w:t>
      </w:r>
      <w:r>
        <w:rPr>
          <w:color w:val="231F20"/>
          <w:w w:val="105"/>
        </w:rPr>
        <w:t>elige</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planilla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partidos también</w:t>
      </w:r>
      <w:r>
        <w:rPr>
          <w:color w:val="231F20"/>
          <w:spacing w:val="-15"/>
          <w:w w:val="105"/>
        </w:rPr>
        <w:t> </w:t>
      </w:r>
      <w:r>
        <w:rPr>
          <w:color w:val="231F20"/>
          <w:w w:val="105"/>
        </w:rPr>
        <w:t>fomenta</w:t>
      </w:r>
      <w:r>
        <w:rPr>
          <w:color w:val="231F20"/>
          <w:spacing w:val="-15"/>
          <w:w w:val="105"/>
        </w:rPr>
        <w:t> </w:t>
      </w:r>
      <w:r>
        <w:rPr>
          <w:color w:val="231F20"/>
          <w:w w:val="105"/>
        </w:rPr>
        <w:t>la</w:t>
      </w:r>
      <w:r>
        <w:rPr>
          <w:color w:val="231F20"/>
          <w:spacing w:val="-15"/>
          <w:w w:val="105"/>
        </w:rPr>
        <w:t> </w:t>
      </w:r>
      <w:r>
        <w:rPr>
          <w:color w:val="231F20"/>
          <w:w w:val="105"/>
        </w:rPr>
        <w:t>personalización</w:t>
      </w:r>
      <w:r>
        <w:rPr>
          <w:color w:val="231F20"/>
          <w:spacing w:val="-15"/>
          <w:w w:val="105"/>
        </w:rPr>
        <w:t> </w:t>
      </w:r>
      <w:r>
        <w:rPr>
          <w:color w:val="231F20"/>
          <w:w w:val="105"/>
        </w:rPr>
        <w:t>política</w:t>
      </w:r>
      <w:r>
        <w:rPr>
          <w:color w:val="231F20"/>
          <w:spacing w:val="-15"/>
          <w:w w:val="105"/>
        </w:rPr>
        <w:t> </w:t>
      </w:r>
      <w:r>
        <w:rPr>
          <w:color w:val="231F20"/>
          <w:w w:val="105"/>
        </w:rPr>
        <w:t>en</w:t>
      </w:r>
      <w:r>
        <w:rPr>
          <w:color w:val="231F20"/>
          <w:spacing w:val="-15"/>
          <w:w w:val="105"/>
        </w:rPr>
        <w:t> </w:t>
      </w:r>
      <w:r>
        <w:rPr>
          <w:color w:val="231F20"/>
          <w:w w:val="105"/>
        </w:rPr>
        <w:t>torno</w:t>
      </w:r>
      <w:r>
        <w:rPr>
          <w:color w:val="231F20"/>
          <w:spacing w:val="-15"/>
          <w:w w:val="105"/>
        </w:rPr>
        <w:t> </w:t>
      </w:r>
      <w:r>
        <w:rPr>
          <w:color w:val="231F20"/>
          <w:w w:val="105"/>
        </w:rPr>
        <w:t>del</w:t>
      </w:r>
      <w:r>
        <w:rPr>
          <w:color w:val="231F20"/>
          <w:spacing w:val="-15"/>
          <w:w w:val="105"/>
        </w:rPr>
        <w:t> </w:t>
      </w:r>
      <w:r>
        <w:rPr>
          <w:color w:val="231F20"/>
          <w:w w:val="105"/>
        </w:rPr>
        <w:t>candidato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presidencia</w:t>
      </w:r>
      <w:r>
        <w:rPr>
          <w:color w:val="231F20"/>
          <w:spacing w:val="-15"/>
          <w:w w:val="105"/>
        </w:rPr>
        <w:t> </w:t>
      </w:r>
      <w:r>
        <w:rPr>
          <w:color w:val="231F20"/>
          <w:spacing w:val="-3"/>
          <w:w w:val="105"/>
        </w:rPr>
        <w:t>mu- </w:t>
      </w:r>
      <w:r>
        <w:rPr>
          <w:color w:val="231F20"/>
          <w:w w:val="105"/>
        </w:rPr>
        <w:t>nicipal</w:t>
      </w:r>
      <w:r>
        <w:rPr>
          <w:color w:val="231F20"/>
          <w:spacing w:val="-23"/>
          <w:w w:val="105"/>
        </w:rPr>
        <w:t> </w:t>
      </w:r>
      <w:r>
        <w:rPr>
          <w:color w:val="231F20"/>
          <w:w w:val="105"/>
        </w:rPr>
        <w:t>pues</w:t>
      </w:r>
      <w:r>
        <w:rPr>
          <w:color w:val="231F20"/>
          <w:spacing w:val="-23"/>
          <w:w w:val="105"/>
        </w:rPr>
        <w:t> </w:t>
      </w:r>
      <w:r>
        <w:rPr>
          <w:color w:val="231F20"/>
          <w:w w:val="105"/>
        </w:rPr>
        <w:t>éste</w:t>
      </w:r>
      <w:r>
        <w:rPr>
          <w:color w:val="231F20"/>
          <w:spacing w:val="-23"/>
          <w:w w:val="105"/>
        </w:rPr>
        <w:t> </w:t>
      </w:r>
      <w:r>
        <w:rPr>
          <w:color w:val="231F20"/>
          <w:w w:val="105"/>
        </w:rPr>
        <w:t>se</w:t>
      </w:r>
      <w:r>
        <w:rPr>
          <w:color w:val="231F20"/>
          <w:spacing w:val="-23"/>
          <w:w w:val="105"/>
        </w:rPr>
        <w:t> </w:t>
      </w:r>
      <w:r>
        <w:rPr>
          <w:color w:val="231F20"/>
          <w:w w:val="105"/>
        </w:rPr>
        <w:t>ubica</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primera</w:t>
      </w:r>
      <w:r>
        <w:rPr>
          <w:color w:val="231F20"/>
          <w:spacing w:val="-23"/>
          <w:w w:val="105"/>
        </w:rPr>
        <w:t> </w:t>
      </w:r>
      <w:r>
        <w:rPr>
          <w:color w:val="231F20"/>
          <w:w w:val="105"/>
        </w:rPr>
        <w:t>posición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lista,</w:t>
      </w:r>
      <w:r>
        <w:rPr>
          <w:color w:val="231F20"/>
          <w:spacing w:val="-23"/>
          <w:w w:val="105"/>
        </w:rPr>
        <w:t> </w:t>
      </w:r>
      <w:r>
        <w:rPr>
          <w:color w:val="231F20"/>
          <w:w w:val="105"/>
        </w:rPr>
        <w:t>facilitando</w:t>
      </w:r>
      <w:r>
        <w:rPr>
          <w:color w:val="231F20"/>
          <w:spacing w:val="-23"/>
          <w:w w:val="105"/>
        </w:rPr>
        <w:t> </w:t>
      </w:r>
      <w:r>
        <w:rPr>
          <w:color w:val="231F20"/>
          <w:w w:val="105"/>
        </w:rPr>
        <w:t>su</w:t>
      </w:r>
      <w:r>
        <w:rPr>
          <w:color w:val="231F20"/>
          <w:spacing w:val="-23"/>
          <w:w w:val="105"/>
        </w:rPr>
        <w:t> </w:t>
      </w:r>
      <w:r>
        <w:rPr>
          <w:color w:val="231F20"/>
          <w:w w:val="105"/>
        </w:rPr>
        <w:t>ubicación</w:t>
      </w:r>
      <w:r>
        <w:rPr>
          <w:color w:val="231F20"/>
          <w:spacing w:val="-23"/>
          <w:w w:val="105"/>
        </w:rPr>
        <w:t> </w:t>
      </w:r>
      <w:r>
        <w:rPr>
          <w:color w:val="231F20"/>
          <w:w w:val="105"/>
        </w:rPr>
        <w:t>entre el</w:t>
      </w:r>
      <w:r>
        <w:rPr>
          <w:color w:val="231F20"/>
          <w:spacing w:val="-14"/>
          <w:w w:val="105"/>
        </w:rPr>
        <w:t> </w:t>
      </w:r>
      <w:r>
        <w:rPr>
          <w:color w:val="231F20"/>
          <w:w w:val="105"/>
        </w:rPr>
        <w:t>conjunto</w:t>
      </w:r>
      <w:r>
        <w:rPr>
          <w:color w:val="231F20"/>
          <w:spacing w:val="-14"/>
          <w:w w:val="105"/>
        </w:rPr>
        <w:t> </w:t>
      </w:r>
      <w:r>
        <w:rPr>
          <w:color w:val="231F20"/>
          <w:w w:val="105"/>
        </w:rPr>
        <w:t>de</w:t>
      </w:r>
      <w:r>
        <w:rPr>
          <w:color w:val="231F20"/>
          <w:spacing w:val="-14"/>
          <w:w w:val="105"/>
        </w:rPr>
        <w:t> </w:t>
      </w:r>
      <w:r>
        <w:rPr>
          <w:color w:val="231F20"/>
          <w:w w:val="105"/>
        </w:rPr>
        <w:t>candidatos.</w:t>
      </w:r>
      <w:r>
        <w:rPr>
          <w:color w:val="231F20"/>
          <w:spacing w:val="-14"/>
          <w:w w:val="105"/>
        </w:rPr>
        <w:t> </w:t>
      </w:r>
      <w:r>
        <w:rPr>
          <w:color w:val="231F20"/>
          <w:w w:val="105"/>
        </w:rPr>
        <w:t>Esto</w:t>
      </w:r>
      <w:r>
        <w:rPr>
          <w:color w:val="231F20"/>
          <w:spacing w:val="-14"/>
          <w:w w:val="105"/>
        </w:rPr>
        <w:t> </w:t>
      </w:r>
      <w:r>
        <w:rPr>
          <w:color w:val="231F20"/>
          <w:w w:val="105"/>
        </w:rPr>
        <w:t>incentiva</w:t>
      </w:r>
      <w:r>
        <w:rPr>
          <w:color w:val="231F20"/>
          <w:spacing w:val="-14"/>
          <w:w w:val="105"/>
        </w:rPr>
        <w:t> </w:t>
      </w:r>
      <w:r>
        <w:rPr>
          <w:color w:val="231F20"/>
          <w:w w:val="105"/>
        </w:rPr>
        <w:t>que</w:t>
      </w:r>
      <w:r>
        <w:rPr>
          <w:color w:val="231F20"/>
          <w:spacing w:val="-14"/>
          <w:w w:val="105"/>
        </w:rPr>
        <w:t> </w:t>
      </w:r>
      <w:r>
        <w:rPr>
          <w:color w:val="231F20"/>
          <w:w w:val="105"/>
        </w:rPr>
        <w:t>durante</w:t>
      </w:r>
      <w:r>
        <w:rPr>
          <w:color w:val="231F20"/>
          <w:spacing w:val="-14"/>
          <w:w w:val="105"/>
        </w:rPr>
        <w:t> </w:t>
      </w:r>
      <w:r>
        <w:rPr>
          <w:color w:val="231F20"/>
          <w:w w:val="105"/>
        </w:rPr>
        <w:t>la</w:t>
      </w:r>
      <w:r>
        <w:rPr>
          <w:color w:val="231F20"/>
          <w:spacing w:val="-14"/>
          <w:w w:val="105"/>
        </w:rPr>
        <w:t> </w:t>
      </w:r>
      <w:r>
        <w:rPr>
          <w:color w:val="231F20"/>
          <w:w w:val="105"/>
        </w:rPr>
        <w:t>campaña</w:t>
      </w:r>
      <w:r>
        <w:rPr>
          <w:color w:val="231F20"/>
          <w:spacing w:val="-14"/>
          <w:w w:val="105"/>
        </w:rPr>
        <w:t> </w:t>
      </w:r>
      <w:r>
        <w:rPr>
          <w:color w:val="231F20"/>
          <w:w w:val="105"/>
        </w:rPr>
        <w:t>electoral</w:t>
      </w:r>
      <w:r>
        <w:rPr>
          <w:color w:val="231F20"/>
          <w:spacing w:val="-14"/>
          <w:w w:val="105"/>
        </w:rPr>
        <w:t> </w:t>
      </w:r>
      <w:r>
        <w:rPr>
          <w:color w:val="231F20"/>
          <w:w w:val="105"/>
        </w:rPr>
        <w:t>el</w:t>
      </w:r>
      <w:r>
        <w:rPr>
          <w:color w:val="231F20"/>
          <w:spacing w:val="-14"/>
          <w:w w:val="105"/>
        </w:rPr>
        <w:t> </w:t>
      </w:r>
      <w:r>
        <w:rPr>
          <w:color w:val="231F20"/>
          <w:w w:val="105"/>
        </w:rPr>
        <w:t>candidato </w:t>
      </w:r>
      <w:r>
        <w:rPr>
          <w:color w:val="231F20"/>
          <w:spacing w:val="2"/>
          <w:w w:val="105"/>
        </w:rPr>
        <w:t>al</w:t>
      </w:r>
      <w:r>
        <w:rPr>
          <w:color w:val="231F20"/>
          <w:spacing w:val="-11"/>
          <w:w w:val="105"/>
        </w:rPr>
        <w:t> </w:t>
      </w:r>
      <w:r>
        <w:rPr>
          <w:color w:val="231F20"/>
          <w:w w:val="105"/>
        </w:rPr>
        <w:t>ejecutivo</w:t>
      </w:r>
      <w:r>
        <w:rPr>
          <w:color w:val="231F20"/>
          <w:spacing w:val="-11"/>
          <w:w w:val="105"/>
        </w:rPr>
        <w:t> </w:t>
      </w:r>
      <w:r>
        <w:rPr>
          <w:color w:val="231F20"/>
          <w:w w:val="105"/>
        </w:rPr>
        <w:t>municipal</w:t>
      </w:r>
      <w:r>
        <w:rPr>
          <w:color w:val="231F20"/>
          <w:spacing w:val="-11"/>
          <w:w w:val="105"/>
        </w:rPr>
        <w:t> </w:t>
      </w:r>
      <w:r>
        <w:rPr>
          <w:color w:val="231F20"/>
          <w:w w:val="105"/>
        </w:rPr>
        <w:t>sea</w:t>
      </w:r>
      <w:r>
        <w:rPr>
          <w:color w:val="231F20"/>
          <w:spacing w:val="-11"/>
          <w:w w:val="105"/>
        </w:rPr>
        <w:t> </w:t>
      </w:r>
      <w:r>
        <w:rPr>
          <w:color w:val="231F20"/>
          <w:w w:val="105"/>
        </w:rPr>
        <w:t>el</w:t>
      </w:r>
      <w:r>
        <w:rPr>
          <w:color w:val="231F20"/>
          <w:spacing w:val="-11"/>
          <w:w w:val="105"/>
        </w:rPr>
        <w:t> </w:t>
      </w:r>
      <w:r>
        <w:rPr>
          <w:color w:val="231F20"/>
          <w:w w:val="105"/>
        </w:rPr>
        <w:t>principal</w:t>
      </w:r>
      <w:r>
        <w:rPr>
          <w:color w:val="231F20"/>
          <w:spacing w:val="-11"/>
          <w:w w:val="105"/>
        </w:rPr>
        <w:t> </w:t>
      </w:r>
      <w:r>
        <w:rPr>
          <w:color w:val="231F20"/>
          <w:w w:val="105"/>
        </w:rPr>
        <w:t>actor</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promoción</w:t>
      </w:r>
      <w:r>
        <w:rPr>
          <w:color w:val="231F20"/>
          <w:spacing w:val="-11"/>
          <w:w w:val="105"/>
        </w:rPr>
        <w:t> </w:t>
      </w:r>
      <w:r>
        <w:rPr>
          <w:color w:val="231F20"/>
          <w:w w:val="105"/>
        </w:rPr>
        <w:t>política.</w:t>
      </w:r>
      <w:r>
        <w:rPr>
          <w:color w:val="231F20"/>
          <w:spacing w:val="-11"/>
          <w:w w:val="105"/>
        </w:rPr>
        <w:t> </w:t>
      </w:r>
      <w:r>
        <w:rPr>
          <w:color w:val="231F20"/>
          <w:w w:val="105"/>
        </w:rPr>
        <w:t>A</w:t>
      </w:r>
      <w:r>
        <w:rPr>
          <w:color w:val="231F20"/>
          <w:spacing w:val="-11"/>
          <w:w w:val="105"/>
        </w:rPr>
        <w:t> </w:t>
      </w:r>
      <w:r>
        <w:rPr>
          <w:color w:val="231F20"/>
          <w:w w:val="105"/>
        </w:rPr>
        <w:t>su</w:t>
      </w:r>
      <w:r>
        <w:rPr>
          <w:color w:val="231F20"/>
          <w:spacing w:val="-11"/>
          <w:w w:val="105"/>
        </w:rPr>
        <w:t> </w:t>
      </w:r>
      <w:r>
        <w:rPr>
          <w:color w:val="231F20"/>
          <w:w w:val="105"/>
        </w:rPr>
        <w:t>vez,</w:t>
      </w:r>
      <w:r>
        <w:rPr>
          <w:color w:val="231F20"/>
          <w:spacing w:val="-11"/>
          <w:w w:val="105"/>
        </w:rPr>
        <w:t> </w:t>
      </w:r>
      <w:r>
        <w:rPr>
          <w:color w:val="231F20"/>
          <w:w w:val="105"/>
        </w:rPr>
        <w:t>el</w:t>
      </w:r>
      <w:r>
        <w:rPr>
          <w:color w:val="231F20"/>
          <w:spacing w:val="-11"/>
          <w:w w:val="105"/>
        </w:rPr>
        <w:t> </w:t>
      </w:r>
      <w:r>
        <w:rPr>
          <w:color w:val="231F20"/>
          <w:w w:val="105"/>
        </w:rPr>
        <w:t>resto de los integrantes de la planilla no encuentra incentivos para promocionar su candi- datura de manera individual porque les resultaría menos costoso “unirse </w:t>
      </w:r>
      <w:r>
        <w:rPr>
          <w:color w:val="231F20"/>
          <w:spacing w:val="2"/>
          <w:w w:val="105"/>
        </w:rPr>
        <w:t>al </w:t>
      </w:r>
      <w:r>
        <w:rPr>
          <w:color w:val="231F20"/>
          <w:w w:val="105"/>
        </w:rPr>
        <w:t>tren” de la postulación</w:t>
      </w:r>
      <w:r>
        <w:rPr>
          <w:color w:val="231F20"/>
          <w:spacing w:val="-12"/>
          <w:w w:val="105"/>
        </w:rPr>
        <w:t> </w:t>
      </w:r>
      <w:r>
        <w:rPr>
          <w:color w:val="231F20"/>
          <w:w w:val="105"/>
        </w:rPr>
        <w:t>del</w:t>
      </w:r>
      <w:r>
        <w:rPr>
          <w:color w:val="231F20"/>
          <w:spacing w:val="-12"/>
          <w:w w:val="105"/>
        </w:rPr>
        <w:t> </w:t>
      </w:r>
      <w:r>
        <w:rPr>
          <w:color w:val="231F20"/>
          <w:w w:val="105"/>
        </w:rPr>
        <w:t>candidato</w:t>
      </w:r>
      <w:r>
        <w:rPr>
          <w:color w:val="231F20"/>
          <w:spacing w:val="-12"/>
          <w:w w:val="105"/>
        </w:rPr>
        <w:t> </w:t>
      </w:r>
      <w:r>
        <w:rPr>
          <w:color w:val="231F20"/>
          <w:w w:val="105"/>
        </w:rPr>
        <w:t>a</w:t>
      </w:r>
      <w:r>
        <w:rPr>
          <w:color w:val="231F20"/>
          <w:spacing w:val="-12"/>
          <w:w w:val="105"/>
        </w:rPr>
        <w:t> </w:t>
      </w:r>
      <w:r>
        <w:rPr>
          <w:color w:val="231F20"/>
          <w:w w:val="105"/>
        </w:rPr>
        <w:t>alcalde</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lista.</w:t>
      </w:r>
    </w:p>
    <w:p>
      <w:pPr>
        <w:pStyle w:val="BodyText"/>
        <w:spacing w:before="1"/>
        <w:rPr>
          <w:sz w:val="26"/>
        </w:rPr>
      </w:pPr>
    </w:p>
    <w:p>
      <w:pPr>
        <w:pStyle w:val="BodyText"/>
        <w:spacing w:line="285" w:lineRule="auto"/>
        <w:ind w:left="110" w:right="107"/>
        <w:jc w:val="both"/>
      </w:pPr>
      <w:r>
        <w:rPr>
          <w:color w:val="231F20"/>
          <w:w w:val="105"/>
        </w:rPr>
        <w:t>A pesar de la tendencia a la personalización de la política electoral en el sistema elec- toral</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partido,</w:t>
      </w:r>
      <w:r>
        <w:rPr>
          <w:color w:val="231F20"/>
          <w:spacing w:val="-7"/>
          <w:w w:val="105"/>
        </w:rPr>
        <w:t> </w:t>
      </w:r>
      <w:r>
        <w:rPr>
          <w:color w:val="231F20"/>
          <w:w w:val="105"/>
        </w:rPr>
        <w:t>no</w:t>
      </w:r>
      <w:r>
        <w:rPr>
          <w:color w:val="231F20"/>
          <w:spacing w:val="-7"/>
          <w:w w:val="105"/>
        </w:rPr>
        <w:t> </w:t>
      </w:r>
      <w:r>
        <w:rPr>
          <w:color w:val="231F20"/>
          <w:w w:val="105"/>
        </w:rPr>
        <w:t>se</w:t>
      </w:r>
      <w:r>
        <w:rPr>
          <w:color w:val="231F20"/>
          <w:spacing w:val="-7"/>
          <w:w w:val="105"/>
        </w:rPr>
        <w:t> </w:t>
      </w:r>
      <w:r>
        <w:rPr>
          <w:color w:val="231F20"/>
          <w:w w:val="105"/>
        </w:rPr>
        <w:t>observan</w:t>
      </w:r>
      <w:r>
        <w:rPr>
          <w:color w:val="231F20"/>
          <w:spacing w:val="-7"/>
          <w:w w:val="105"/>
        </w:rPr>
        <w:t> </w:t>
      </w:r>
      <w:r>
        <w:rPr>
          <w:color w:val="231F20"/>
          <w:w w:val="105"/>
        </w:rPr>
        <w:t>altos</w:t>
      </w:r>
      <w:r>
        <w:rPr>
          <w:color w:val="231F20"/>
          <w:spacing w:val="-7"/>
          <w:w w:val="105"/>
        </w:rPr>
        <w:t> </w:t>
      </w:r>
      <w:r>
        <w:rPr>
          <w:color w:val="231F20"/>
          <w:w w:val="105"/>
        </w:rPr>
        <w:t>grados</w:t>
      </w:r>
      <w:r>
        <w:rPr>
          <w:color w:val="231F20"/>
          <w:spacing w:val="-7"/>
          <w:w w:val="105"/>
        </w:rPr>
        <w:t> </w:t>
      </w:r>
      <w:r>
        <w:rPr>
          <w:color w:val="231F20"/>
          <w:w w:val="105"/>
        </w:rPr>
        <w:t>de</w:t>
      </w:r>
      <w:r>
        <w:rPr>
          <w:color w:val="231F20"/>
          <w:spacing w:val="-7"/>
          <w:w w:val="105"/>
        </w:rPr>
        <w:t> </w:t>
      </w:r>
      <w:r>
        <w:rPr>
          <w:color w:val="231F20"/>
          <w:w w:val="105"/>
        </w:rPr>
        <w:t>autonomía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candidatos,</w:t>
      </w:r>
      <w:r>
        <w:rPr>
          <w:color w:val="231F20"/>
          <w:spacing w:val="-7"/>
          <w:w w:val="105"/>
        </w:rPr>
        <w:t> </w:t>
      </w:r>
      <w:r>
        <w:rPr>
          <w:color w:val="231F20"/>
          <w:w w:val="105"/>
        </w:rPr>
        <w:t>en</w:t>
      </w:r>
      <w:r>
        <w:rPr>
          <w:color w:val="231F20"/>
          <w:spacing w:val="-7"/>
          <w:w w:val="105"/>
        </w:rPr>
        <w:t> </w:t>
      </w:r>
      <w:r>
        <w:rPr>
          <w:color w:val="231F20"/>
          <w:w w:val="105"/>
        </w:rPr>
        <w:t>gran parte debido a la cláusula de no reelección. Este es un mecanismo institucional que incentiva la disciplina partidista de los presidentes municipales pues ellos le deben su candidatura </w:t>
      </w:r>
      <w:r>
        <w:rPr>
          <w:color w:val="231F20"/>
          <w:spacing w:val="2"/>
          <w:w w:val="105"/>
        </w:rPr>
        <w:t>al </w:t>
      </w:r>
      <w:r>
        <w:rPr>
          <w:color w:val="231F20"/>
          <w:w w:val="105"/>
        </w:rPr>
        <w:t>partido, a la vez que dependen de dichas organizaciones para continuar avanzando en el desarrollo de su carrera partidista, ya que estas instituciones son las únicas</w:t>
      </w:r>
      <w:r>
        <w:rPr>
          <w:color w:val="231F20"/>
          <w:spacing w:val="-12"/>
          <w:w w:val="105"/>
        </w:rPr>
        <w:t> </w:t>
      </w:r>
      <w:r>
        <w:rPr>
          <w:color w:val="231F20"/>
          <w:w w:val="105"/>
        </w:rPr>
        <w:t>capaces</w:t>
      </w:r>
      <w:r>
        <w:rPr>
          <w:color w:val="231F20"/>
          <w:spacing w:val="-12"/>
          <w:w w:val="105"/>
        </w:rPr>
        <w:t> </w:t>
      </w:r>
      <w:r>
        <w:rPr>
          <w:color w:val="231F20"/>
          <w:w w:val="105"/>
        </w:rPr>
        <w:t>de</w:t>
      </w:r>
      <w:r>
        <w:rPr>
          <w:color w:val="231F20"/>
          <w:spacing w:val="-12"/>
          <w:w w:val="105"/>
        </w:rPr>
        <w:t> </w:t>
      </w:r>
      <w:r>
        <w:rPr>
          <w:color w:val="231F20"/>
          <w:w w:val="105"/>
        </w:rPr>
        <w:t>postular</w:t>
      </w:r>
      <w:r>
        <w:rPr>
          <w:color w:val="231F20"/>
          <w:spacing w:val="-12"/>
          <w:w w:val="105"/>
        </w:rPr>
        <w:t> </w:t>
      </w:r>
      <w:r>
        <w:rPr>
          <w:color w:val="231F20"/>
          <w:w w:val="105"/>
        </w:rPr>
        <w:t>candidatos</w:t>
      </w:r>
      <w:r>
        <w:rPr>
          <w:color w:val="231F20"/>
          <w:spacing w:val="-12"/>
          <w:w w:val="105"/>
        </w:rPr>
        <w:t> </w:t>
      </w:r>
      <w:r>
        <w:rPr>
          <w:color w:val="231F20"/>
          <w:w w:val="105"/>
        </w:rPr>
        <w:t>a</w:t>
      </w:r>
      <w:r>
        <w:rPr>
          <w:color w:val="231F20"/>
          <w:spacing w:val="-12"/>
          <w:w w:val="105"/>
        </w:rPr>
        <w:t> </w:t>
      </w:r>
      <w:r>
        <w:rPr>
          <w:color w:val="231F20"/>
          <w:w w:val="105"/>
        </w:rPr>
        <w:t>cargos</w:t>
      </w:r>
      <w:r>
        <w:rPr>
          <w:color w:val="231F20"/>
          <w:spacing w:val="-12"/>
          <w:w w:val="105"/>
        </w:rPr>
        <w:t> </w:t>
      </w:r>
      <w:r>
        <w:rPr>
          <w:color w:val="231F20"/>
          <w:w w:val="105"/>
        </w:rPr>
        <w:t>públicos.</w:t>
      </w:r>
    </w:p>
    <w:p>
      <w:pPr>
        <w:pStyle w:val="BodyText"/>
        <w:spacing w:before="1"/>
        <w:rPr>
          <w:sz w:val="26"/>
        </w:rPr>
      </w:pPr>
    </w:p>
    <w:p>
      <w:pPr>
        <w:pStyle w:val="BodyText"/>
        <w:spacing w:line="285" w:lineRule="auto"/>
        <w:ind w:left="110" w:right="107"/>
        <w:jc w:val="both"/>
      </w:pPr>
      <w:r>
        <w:rPr>
          <w:color w:val="231F20"/>
          <w:w w:val="105"/>
        </w:rPr>
        <w:t>Aquí</w:t>
      </w:r>
      <w:r>
        <w:rPr>
          <w:color w:val="231F20"/>
          <w:spacing w:val="-13"/>
          <w:w w:val="105"/>
        </w:rPr>
        <w:t> </w:t>
      </w:r>
      <w:r>
        <w:rPr>
          <w:color w:val="231F20"/>
          <w:w w:val="105"/>
        </w:rPr>
        <w:t>cabe</w:t>
      </w:r>
      <w:r>
        <w:rPr>
          <w:color w:val="231F20"/>
          <w:spacing w:val="-13"/>
          <w:w w:val="105"/>
        </w:rPr>
        <w:t> </w:t>
      </w:r>
      <w:r>
        <w:rPr>
          <w:color w:val="231F20"/>
          <w:w w:val="105"/>
        </w:rPr>
        <w:t>resaltar</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partidos</w:t>
      </w:r>
      <w:r>
        <w:rPr>
          <w:color w:val="231F20"/>
          <w:spacing w:val="-13"/>
          <w:w w:val="105"/>
        </w:rPr>
        <w:t> </w:t>
      </w:r>
      <w:r>
        <w:rPr>
          <w:color w:val="231F20"/>
          <w:w w:val="105"/>
        </w:rPr>
        <w:t>políticos</w:t>
      </w:r>
      <w:r>
        <w:rPr>
          <w:color w:val="231F20"/>
          <w:spacing w:val="-13"/>
          <w:w w:val="105"/>
        </w:rPr>
        <w:t> </w:t>
      </w:r>
      <w:r>
        <w:rPr>
          <w:color w:val="231F20"/>
          <w:w w:val="105"/>
        </w:rPr>
        <w:t>en</w:t>
      </w:r>
      <w:r>
        <w:rPr>
          <w:color w:val="231F20"/>
          <w:spacing w:val="-13"/>
          <w:w w:val="105"/>
        </w:rPr>
        <w:t> </w:t>
      </w:r>
      <w:r>
        <w:rPr>
          <w:color w:val="231F20"/>
          <w:w w:val="105"/>
        </w:rPr>
        <w:t>México</w:t>
      </w:r>
      <w:r>
        <w:rPr>
          <w:color w:val="231F20"/>
          <w:spacing w:val="-13"/>
          <w:w w:val="105"/>
        </w:rPr>
        <w:t> </w:t>
      </w:r>
      <w:r>
        <w:rPr>
          <w:color w:val="231F20"/>
          <w:w w:val="105"/>
        </w:rPr>
        <w:t>se</w:t>
      </w:r>
      <w:r>
        <w:rPr>
          <w:color w:val="231F20"/>
          <w:spacing w:val="-13"/>
          <w:w w:val="105"/>
        </w:rPr>
        <w:t> </w:t>
      </w:r>
      <w:r>
        <w:rPr>
          <w:color w:val="231F20"/>
          <w:w w:val="105"/>
        </w:rPr>
        <w:t>estructuran</w:t>
      </w:r>
      <w:r>
        <w:rPr>
          <w:color w:val="231F20"/>
          <w:spacing w:val="-13"/>
          <w:w w:val="105"/>
        </w:rPr>
        <w:t> </w:t>
      </w:r>
      <w:r>
        <w:rPr>
          <w:color w:val="231F20"/>
          <w:w w:val="105"/>
        </w:rPr>
        <w:t>en</w:t>
      </w:r>
      <w:r>
        <w:rPr>
          <w:color w:val="231F20"/>
          <w:spacing w:val="-13"/>
          <w:w w:val="105"/>
        </w:rPr>
        <w:t> </w:t>
      </w:r>
      <w:r>
        <w:rPr>
          <w:color w:val="231F20"/>
          <w:w w:val="105"/>
        </w:rPr>
        <w:t>función</w:t>
      </w:r>
      <w:r>
        <w:rPr>
          <w:color w:val="231F20"/>
          <w:spacing w:val="-13"/>
          <w:w w:val="105"/>
        </w:rPr>
        <w:t> </w:t>
      </w:r>
      <w:r>
        <w:rPr>
          <w:color w:val="231F20"/>
          <w:w w:val="105"/>
        </w:rPr>
        <w:t>de</w:t>
      </w:r>
      <w:r>
        <w:rPr>
          <w:color w:val="231F20"/>
          <w:spacing w:val="-13"/>
          <w:w w:val="105"/>
        </w:rPr>
        <w:t> </w:t>
      </w:r>
      <w:r>
        <w:rPr>
          <w:color w:val="231F20"/>
          <w:w w:val="105"/>
        </w:rPr>
        <w:t>los distintos</w:t>
      </w:r>
      <w:r>
        <w:rPr>
          <w:color w:val="231F20"/>
          <w:spacing w:val="-6"/>
          <w:w w:val="105"/>
        </w:rPr>
        <w:t> </w:t>
      </w:r>
      <w:r>
        <w:rPr>
          <w:color w:val="231F20"/>
          <w:w w:val="105"/>
        </w:rPr>
        <w:t>niveles</w:t>
      </w:r>
      <w:r>
        <w:rPr>
          <w:color w:val="231F20"/>
          <w:spacing w:val="-6"/>
          <w:w w:val="105"/>
        </w:rPr>
        <w:t> </w:t>
      </w:r>
      <w:r>
        <w:rPr>
          <w:color w:val="231F20"/>
          <w:w w:val="105"/>
        </w:rPr>
        <w:t>de</w:t>
      </w:r>
      <w:r>
        <w:rPr>
          <w:color w:val="231F20"/>
          <w:spacing w:val="-6"/>
          <w:w w:val="105"/>
        </w:rPr>
        <w:t> </w:t>
      </w:r>
      <w:r>
        <w:rPr>
          <w:color w:val="231F20"/>
          <w:w w:val="105"/>
        </w:rPr>
        <w:t>gobierno,</w:t>
      </w:r>
      <w:r>
        <w:rPr>
          <w:color w:val="231F20"/>
          <w:spacing w:val="-6"/>
          <w:w w:val="105"/>
        </w:rPr>
        <w:t> </w:t>
      </w:r>
      <w:r>
        <w:rPr>
          <w:color w:val="231F20"/>
          <w:w w:val="105"/>
        </w:rPr>
        <w:t>de</w:t>
      </w:r>
      <w:r>
        <w:rPr>
          <w:color w:val="231F20"/>
          <w:spacing w:val="-6"/>
          <w:w w:val="105"/>
        </w:rPr>
        <w:t> </w:t>
      </w:r>
      <w:r>
        <w:rPr>
          <w:color w:val="231F20"/>
          <w:spacing w:val="2"/>
          <w:w w:val="105"/>
        </w:rPr>
        <w:t>ahí</w:t>
      </w:r>
      <w:r>
        <w:rPr>
          <w:color w:val="231F20"/>
          <w:spacing w:val="-6"/>
          <w:w w:val="105"/>
        </w:rPr>
        <w:t> </w:t>
      </w:r>
      <w:r>
        <w:rPr>
          <w:color w:val="231F20"/>
          <w:w w:val="105"/>
        </w:rPr>
        <w:t>que</w:t>
      </w:r>
      <w:r>
        <w:rPr>
          <w:color w:val="231F20"/>
          <w:spacing w:val="-6"/>
          <w:w w:val="105"/>
        </w:rPr>
        <w:t> </w:t>
      </w:r>
      <w:r>
        <w:rPr>
          <w:color w:val="231F20"/>
          <w:w w:val="105"/>
        </w:rPr>
        <w:t>exista</w:t>
      </w:r>
      <w:r>
        <w:rPr>
          <w:color w:val="231F20"/>
          <w:spacing w:val="-6"/>
          <w:w w:val="105"/>
        </w:rPr>
        <w:t> </w:t>
      </w:r>
      <w:r>
        <w:rPr>
          <w:color w:val="231F20"/>
          <w:w w:val="105"/>
        </w:rPr>
        <w:t>una</w:t>
      </w:r>
      <w:r>
        <w:rPr>
          <w:color w:val="231F20"/>
          <w:spacing w:val="-6"/>
          <w:w w:val="105"/>
        </w:rPr>
        <w:t> </w:t>
      </w:r>
      <w:r>
        <w:rPr>
          <w:color w:val="231F20"/>
          <w:w w:val="105"/>
        </w:rPr>
        <w:t>descentralización</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decisiones políticas</w:t>
      </w:r>
      <w:r>
        <w:rPr>
          <w:color w:val="231F20"/>
          <w:spacing w:val="-25"/>
          <w:w w:val="105"/>
        </w:rPr>
        <w:t> </w:t>
      </w:r>
      <w:r>
        <w:rPr>
          <w:color w:val="231F20"/>
          <w:w w:val="105"/>
        </w:rPr>
        <w:t>a</w:t>
      </w:r>
      <w:r>
        <w:rPr>
          <w:color w:val="231F20"/>
          <w:spacing w:val="-25"/>
          <w:w w:val="105"/>
        </w:rPr>
        <w:t> </w:t>
      </w:r>
      <w:r>
        <w:rPr>
          <w:color w:val="231F20"/>
          <w:w w:val="105"/>
        </w:rPr>
        <w:t>nivel</w:t>
      </w:r>
      <w:r>
        <w:rPr>
          <w:color w:val="231F20"/>
          <w:spacing w:val="-25"/>
          <w:w w:val="105"/>
        </w:rPr>
        <w:t> </w:t>
      </w:r>
      <w:r>
        <w:rPr>
          <w:color w:val="231F20"/>
          <w:w w:val="105"/>
        </w:rPr>
        <w:t>nacional,</w:t>
      </w:r>
      <w:r>
        <w:rPr>
          <w:color w:val="231F20"/>
          <w:spacing w:val="-25"/>
          <w:w w:val="105"/>
        </w:rPr>
        <w:t> </w:t>
      </w:r>
      <w:r>
        <w:rPr>
          <w:color w:val="231F20"/>
          <w:w w:val="105"/>
        </w:rPr>
        <w:t>estatal</w:t>
      </w:r>
      <w:r>
        <w:rPr>
          <w:color w:val="231F20"/>
          <w:spacing w:val="-25"/>
          <w:w w:val="105"/>
        </w:rPr>
        <w:t> </w:t>
      </w:r>
      <w:r>
        <w:rPr>
          <w:color w:val="231F20"/>
          <w:w w:val="105"/>
        </w:rPr>
        <w:t>y</w:t>
      </w:r>
      <w:r>
        <w:rPr>
          <w:color w:val="231F20"/>
          <w:spacing w:val="-25"/>
          <w:w w:val="105"/>
        </w:rPr>
        <w:t> </w:t>
      </w:r>
      <w:r>
        <w:rPr>
          <w:color w:val="231F20"/>
          <w:w w:val="105"/>
        </w:rPr>
        <w:t>municipal.</w:t>
      </w:r>
      <w:r>
        <w:rPr>
          <w:color w:val="231F20"/>
          <w:spacing w:val="-25"/>
          <w:w w:val="105"/>
        </w:rPr>
        <w:t> </w:t>
      </w:r>
      <w:r>
        <w:rPr>
          <w:color w:val="231F20"/>
          <w:w w:val="105"/>
        </w:rPr>
        <w:t>Esto</w:t>
      </w:r>
      <w:r>
        <w:rPr>
          <w:color w:val="231F20"/>
          <w:spacing w:val="-25"/>
          <w:w w:val="105"/>
        </w:rPr>
        <w:t> </w:t>
      </w:r>
      <w:r>
        <w:rPr>
          <w:color w:val="231F20"/>
          <w:w w:val="105"/>
        </w:rPr>
        <w:t>influye</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ubicación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órganos encargados</w:t>
      </w:r>
      <w:r>
        <w:rPr>
          <w:color w:val="231F20"/>
          <w:spacing w:val="-11"/>
          <w:w w:val="105"/>
        </w:rPr>
        <w:t> </w:t>
      </w:r>
      <w:r>
        <w:rPr>
          <w:color w:val="231F20"/>
          <w:w w:val="105"/>
        </w:rPr>
        <w:t>de</w:t>
      </w:r>
      <w:r>
        <w:rPr>
          <w:color w:val="231F20"/>
          <w:spacing w:val="-11"/>
          <w:w w:val="105"/>
        </w:rPr>
        <w:t> </w:t>
      </w:r>
      <w:r>
        <w:rPr>
          <w:color w:val="231F20"/>
          <w:w w:val="105"/>
        </w:rPr>
        <w:t>tomar</w:t>
      </w:r>
      <w:r>
        <w:rPr>
          <w:color w:val="231F20"/>
          <w:spacing w:val="-11"/>
          <w:w w:val="105"/>
        </w:rPr>
        <w:t> </w:t>
      </w:r>
      <w:r>
        <w:rPr>
          <w:color w:val="231F20"/>
          <w:w w:val="105"/>
        </w:rPr>
        <w:t>las</w:t>
      </w:r>
      <w:r>
        <w:rPr>
          <w:color w:val="231F20"/>
          <w:spacing w:val="-11"/>
          <w:w w:val="105"/>
        </w:rPr>
        <w:t> </w:t>
      </w:r>
      <w:r>
        <w:rPr>
          <w:color w:val="231F20"/>
          <w:w w:val="105"/>
        </w:rPr>
        <w:t>decisiones</w:t>
      </w:r>
      <w:r>
        <w:rPr>
          <w:color w:val="231F20"/>
          <w:spacing w:val="-11"/>
          <w:w w:val="105"/>
        </w:rPr>
        <w:t> </w:t>
      </w:r>
      <w:r>
        <w:rPr>
          <w:color w:val="231F20"/>
          <w:w w:val="105"/>
        </w:rPr>
        <w:t>de</w:t>
      </w:r>
      <w:r>
        <w:rPr>
          <w:color w:val="231F20"/>
          <w:spacing w:val="-11"/>
          <w:w w:val="105"/>
        </w:rPr>
        <w:t> </w:t>
      </w:r>
      <w:r>
        <w:rPr>
          <w:color w:val="231F20"/>
          <w:w w:val="105"/>
        </w:rPr>
        <w:t>políticas</w:t>
      </w:r>
      <w:r>
        <w:rPr>
          <w:color w:val="231F20"/>
          <w:spacing w:val="-11"/>
          <w:w w:val="105"/>
        </w:rPr>
        <w:t> </w:t>
      </w:r>
      <w:r>
        <w:rPr>
          <w:color w:val="231F20"/>
          <w:w w:val="105"/>
        </w:rPr>
        <w:t>partidistas</w:t>
      </w:r>
      <w:r>
        <w:rPr>
          <w:color w:val="231F20"/>
          <w:spacing w:val="-11"/>
          <w:w w:val="105"/>
        </w:rPr>
        <w:t> </w:t>
      </w:r>
      <w:r>
        <w:rPr>
          <w:color w:val="231F20"/>
          <w:spacing w:val="-7"/>
          <w:w w:val="105"/>
        </w:rPr>
        <w:t>y,</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caso,</w:t>
      </w:r>
      <w:r>
        <w:rPr>
          <w:color w:val="231F20"/>
          <w:spacing w:val="-11"/>
          <w:w w:val="105"/>
        </w:rPr>
        <w:t> </w:t>
      </w:r>
      <w:r>
        <w:rPr>
          <w:color w:val="231F20"/>
          <w:w w:val="105"/>
        </w:rPr>
        <w:t>de</w:t>
      </w:r>
      <w:r>
        <w:rPr>
          <w:color w:val="231F20"/>
          <w:spacing w:val="-11"/>
          <w:w w:val="105"/>
        </w:rPr>
        <w:t> </w:t>
      </w:r>
      <w:r>
        <w:rPr>
          <w:color w:val="231F20"/>
          <w:w w:val="105"/>
        </w:rPr>
        <w:t>postular</w:t>
      </w:r>
      <w:r>
        <w:rPr>
          <w:color w:val="231F20"/>
          <w:spacing w:val="-11"/>
          <w:w w:val="105"/>
        </w:rPr>
        <w:t> </w:t>
      </w:r>
      <w:r>
        <w:rPr>
          <w:color w:val="231F20"/>
          <w:w w:val="105"/>
        </w:rPr>
        <w:t>a los</w:t>
      </w:r>
      <w:r>
        <w:rPr>
          <w:color w:val="231F20"/>
          <w:spacing w:val="-22"/>
          <w:w w:val="105"/>
        </w:rPr>
        <w:t> </w:t>
      </w:r>
      <w:r>
        <w:rPr>
          <w:color w:val="231F20"/>
          <w:w w:val="105"/>
        </w:rPr>
        <w:t>candidatos</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diversos</w:t>
      </w:r>
      <w:r>
        <w:rPr>
          <w:color w:val="231F20"/>
          <w:spacing w:val="-22"/>
          <w:w w:val="105"/>
        </w:rPr>
        <w:t> </w:t>
      </w:r>
      <w:r>
        <w:rPr>
          <w:color w:val="231F20"/>
          <w:w w:val="105"/>
        </w:rPr>
        <w:t>cargos</w:t>
      </w:r>
      <w:r>
        <w:rPr>
          <w:color w:val="231F20"/>
          <w:spacing w:val="-22"/>
          <w:w w:val="105"/>
        </w:rPr>
        <w:t> </w:t>
      </w:r>
      <w:r>
        <w:rPr>
          <w:color w:val="231F20"/>
          <w:w w:val="105"/>
        </w:rPr>
        <w:t>públicos.</w:t>
      </w:r>
    </w:p>
    <w:p>
      <w:pPr>
        <w:pStyle w:val="BodyText"/>
        <w:spacing w:before="1"/>
        <w:rPr>
          <w:sz w:val="26"/>
        </w:rPr>
      </w:pPr>
    </w:p>
    <w:p>
      <w:pPr>
        <w:pStyle w:val="BodyText"/>
        <w:ind w:left="110"/>
        <w:jc w:val="both"/>
      </w:pPr>
      <w:r>
        <w:rPr>
          <w:color w:val="231F20"/>
          <w:w w:val="105"/>
        </w:rPr>
        <w:t>Una</w:t>
      </w:r>
      <w:r>
        <w:rPr>
          <w:color w:val="231F20"/>
          <w:spacing w:val="-19"/>
          <w:w w:val="105"/>
        </w:rPr>
        <w:t> </w:t>
      </w:r>
      <w:r>
        <w:rPr>
          <w:color w:val="231F20"/>
          <w:w w:val="105"/>
        </w:rPr>
        <w:t>particularidad</w:t>
      </w:r>
      <w:r>
        <w:rPr>
          <w:color w:val="231F20"/>
          <w:spacing w:val="-19"/>
          <w:w w:val="105"/>
        </w:rPr>
        <w:t> </w:t>
      </w:r>
      <w:r>
        <w:rPr>
          <w:color w:val="231F20"/>
          <w:w w:val="105"/>
        </w:rPr>
        <w:t>del</w:t>
      </w:r>
      <w:r>
        <w:rPr>
          <w:color w:val="231F20"/>
          <w:spacing w:val="-19"/>
          <w:w w:val="105"/>
        </w:rPr>
        <w:t> </w:t>
      </w:r>
      <w:r>
        <w:rPr>
          <w:color w:val="231F20"/>
          <w:w w:val="105"/>
        </w:rPr>
        <w:t>PRI</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19"/>
          <w:w w:val="105"/>
        </w:rPr>
        <w:t> </w:t>
      </w:r>
      <w:r>
        <w:rPr>
          <w:color w:val="231F20"/>
          <w:w w:val="105"/>
        </w:rPr>
        <w:t>radica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fuerza</w:t>
      </w:r>
      <w:r>
        <w:rPr>
          <w:color w:val="231F20"/>
          <w:spacing w:val="-19"/>
          <w:w w:val="105"/>
        </w:rPr>
        <w:t> </w:t>
      </w:r>
      <w:r>
        <w:rPr>
          <w:color w:val="231F20"/>
          <w:w w:val="105"/>
        </w:rPr>
        <w:t>del</w:t>
      </w:r>
      <w:r>
        <w:rPr>
          <w:color w:val="231F20"/>
          <w:spacing w:val="-19"/>
          <w:w w:val="105"/>
        </w:rPr>
        <w:t> </w:t>
      </w:r>
      <w:r>
        <w:rPr>
          <w:color w:val="231F20"/>
          <w:w w:val="105"/>
        </w:rPr>
        <w:t>partido</w:t>
      </w:r>
      <w:r>
        <w:rPr>
          <w:color w:val="231F20"/>
          <w:spacing w:val="-19"/>
          <w:w w:val="105"/>
        </w:rPr>
        <w:t> </w:t>
      </w:r>
      <w:r>
        <w:rPr>
          <w:color w:val="231F20"/>
          <w:w w:val="105"/>
        </w:rPr>
        <w:t>a</w:t>
      </w:r>
      <w:r>
        <w:rPr>
          <w:color w:val="231F20"/>
          <w:spacing w:val="-19"/>
          <w:w w:val="105"/>
        </w:rPr>
        <w:t> </w:t>
      </w:r>
      <w:r>
        <w:rPr>
          <w:color w:val="231F20"/>
          <w:w w:val="105"/>
        </w:rPr>
        <w:t>nivel</w:t>
      </w:r>
    </w:p>
    <w:p>
      <w:pPr>
        <w:spacing w:after="0"/>
        <w:jc w:val="both"/>
        <w:sectPr>
          <w:pgSz w:w="9640" w:h="12190"/>
          <w:pgMar w:header="0" w:footer="743" w:top="1120" w:bottom="940" w:left="740" w:right="740"/>
        </w:sectPr>
      </w:pPr>
    </w:p>
    <w:p>
      <w:pPr>
        <w:pStyle w:val="BodyText"/>
        <w:rPr>
          <w:sz w:val="10"/>
        </w:rPr>
      </w:pPr>
    </w:p>
    <w:p>
      <w:pPr>
        <w:pStyle w:val="BodyText"/>
        <w:spacing w:line="285" w:lineRule="auto" w:before="50"/>
        <w:ind w:left="110" w:right="107" w:hanging="1"/>
        <w:jc w:val="both"/>
      </w:pPr>
      <w:r>
        <w:rPr>
          <w:color w:val="231F20"/>
          <w:w w:val="105"/>
        </w:rPr>
        <w:t>estatal</w:t>
      </w:r>
      <w:r>
        <w:rPr>
          <w:color w:val="231F20"/>
          <w:w w:val="105"/>
          <w:position w:val="7"/>
          <w:sz w:val="13"/>
        </w:rPr>
        <w:t>22 </w:t>
      </w:r>
      <w:r>
        <w:rPr>
          <w:color w:val="231F20"/>
          <w:w w:val="105"/>
        </w:rPr>
        <w:t>capaz de adoptar sus decisiones y postular a sus candidatos sin experimentar fuertes</w:t>
      </w:r>
      <w:r>
        <w:rPr>
          <w:color w:val="231F20"/>
          <w:spacing w:val="-11"/>
          <w:w w:val="105"/>
        </w:rPr>
        <w:t> </w:t>
      </w:r>
      <w:r>
        <w:rPr>
          <w:color w:val="231F20"/>
          <w:w w:val="105"/>
        </w:rPr>
        <w:t>oposiciones</w:t>
      </w:r>
      <w:r>
        <w:rPr>
          <w:color w:val="231F20"/>
          <w:spacing w:val="-11"/>
          <w:w w:val="105"/>
        </w:rPr>
        <w:t> </w:t>
      </w:r>
      <w:r>
        <w:rPr>
          <w:color w:val="231F20"/>
          <w:w w:val="105"/>
        </w:rPr>
        <w:t>provenientes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nacional</w:t>
      </w:r>
      <w:r>
        <w:rPr>
          <w:color w:val="231F20"/>
          <w:spacing w:val="-11"/>
          <w:w w:val="105"/>
        </w:rPr>
        <w:t> </w:t>
      </w:r>
      <w:r>
        <w:rPr>
          <w:color w:val="231F20"/>
          <w:w w:val="105"/>
        </w:rPr>
        <w:t>del</w:t>
      </w:r>
      <w:r>
        <w:rPr>
          <w:color w:val="231F20"/>
          <w:spacing w:val="-11"/>
          <w:w w:val="105"/>
        </w:rPr>
        <w:t> </w:t>
      </w:r>
      <w:r>
        <w:rPr>
          <w:color w:val="231F20"/>
          <w:w w:val="105"/>
        </w:rPr>
        <w:t>partido;</w:t>
      </w:r>
      <w:r>
        <w:rPr>
          <w:color w:val="231F20"/>
          <w:spacing w:val="-11"/>
          <w:w w:val="105"/>
        </w:rPr>
        <w:t> </w:t>
      </w:r>
      <w:r>
        <w:rPr>
          <w:color w:val="231F20"/>
          <w:w w:val="105"/>
        </w:rPr>
        <w:t>en</w:t>
      </w:r>
      <w:r>
        <w:rPr>
          <w:color w:val="231F20"/>
          <w:spacing w:val="-11"/>
          <w:w w:val="105"/>
        </w:rPr>
        <w:t> </w:t>
      </w:r>
      <w:r>
        <w:rPr>
          <w:color w:val="231F20"/>
          <w:w w:val="105"/>
        </w:rPr>
        <w:t>contrapar- te, las estructuras priístas a nivel municipal suelen funcionar como comités de corte electoral que se “activan” durante dichos periodos, pero que tienen poca fuerza en la toma</w:t>
      </w:r>
      <w:r>
        <w:rPr>
          <w:color w:val="231F20"/>
          <w:spacing w:val="-17"/>
          <w:w w:val="105"/>
        </w:rPr>
        <w:t> </w:t>
      </w:r>
      <w:r>
        <w:rPr>
          <w:color w:val="231F20"/>
          <w:w w:val="105"/>
        </w:rPr>
        <w:t>de</w:t>
      </w:r>
      <w:r>
        <w:rPr>
          <w:color w:val="231F20"/>
          <w:spacing w:val="-17"/>
          <w:w w:val="105"/>
        </w:rPr>
        <w:t> </w:t>
      </w:r>
      <w:r>
        <w:rPr>
          <w:color w:val="231F20"/>
          <w:w w:val="105"/>
        </w:rPr>
        <w:t>decisiones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organización</w:t>
      </w:r>
      <w:r>
        <w:rPr>
          <w:color w:val="231F20"/>
          <w:spacing w:val="-17"/>
          <w:w w:val="105"/>
        </w:rPr>
        <w:t> </w:t>
      </w:r>
      <w:r>
        <w:rPr>
          <w:color w:val="231F20"/>
          <w:w w:val="105"/>
        </w:rPr>
        <w:t>tricolor.</w:t>
      </w:r>
    </w:p>
    <w:p>
      <w:pPr>
        <w:pStyle w:val="BodyText"/>
        <w:spacing w:before="1"/>
        <w:rPr>
          <w:sz w:val="26"/>
        </w:rPr>
      </w:pPr>
    </w:p>
    <w:p>
      <w:pPr>
        <w:pStyle w:val="BodyText"/>
        <w:spacing w:line="285" w:lineRule="auto"/>
        <w:ind w:left="110" w:right="107"/>
        <w:jc w:val="both"/>
      </w:pPr>
      <w:r>
        <w:rPr>
          <w:color w:val="231F20"/>
          <w:w w:val="105"/>
        </w:rPr>
        <w:t>Esto</w:t>
      </w:r>
      <w:r>
        <w:rPr>
          <w:color w:val="231F20"/>
          <w:spacing w:val="-11"/>
          <w:w w:val="105"/>
        </w:rPr>
        <w:t> </w:t>
      </w:r>
      <w:r>
        <w:rPr>
          <w:color w:val="231F20"/>
          <w:w w:val="105"/>
        </w:rPr>
        <w:t>incentiva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candidato,</w:t>
      </w:r>
      <w:r>
        <w:rPr>
          <w:color w:val="231F20"/>
          <w:spacing w:val="-11"/>
          <w:w w:val="105"/>
        </w:rPr>
        <w:t> </w:t>
      </w:r>
      <w:r>
        <w:rPr>
          <w:color w:val="231F20"/>
          <w:w w:val="105"/>
        </w:rPr>
        <w:t>así</w:t>
      </w:r>
      <w:r>
        <w:rPr>
          <w:color w:val="231F20"/>
          <w:spacing w:val="-11"/>
          <w:w w:val="105"/>
        </w:rPr>
        <w:t> </w:t>
      </w:r>
      <w:r>
        <w:rPr>
          <w:color w:val="231F20"/>
          <w:w w:val="105"/>
        </w:rPr>
        <w:t>como</w:t>
      </w:r>
      <w:r>
        <w:rPr>
          <w:color w:val="231F20"/>
          <w:spacing w:val="-11"/>
          <w:w w:val="105"/>
        </w:rPr>
        <w:t> </w:t>
      </w:r>
      <w:r>
        <w:rPr>
          <w:color w:val="231F20"/>
          <w:w w:val="105"/>
        </w:rPr>
        <w:t>aquel</w:t>
      </w:r>
      <w:r>
        <w:rPr>
          <w:color w:val="231F20"/>
          <w:spacing w:val="-11"/>
          <w:w w:val="105"/>
        </w:rPr>
        <w:t> </w:t>
      </w:r>
      <w:r>
        <w:rPr>
          <w:color w:val="231F20"/>
          <w:w w:val="105"/>
        </w:rPr>
        <w:t>gobernante</w:t>
      </w:r>
      <w:r>
        <w:rPr>
          <w:color w:val="231F20"/>
          <w:spacing w:val="-11"/>
          <w:w w:val="105"/>
        </w:rPr>
        <w:t> </w:t>
      </w:r>
      <w:r>
        <w:rPr>
          <w:color w:val="231F20"/>
          <w:w w:val="105"/>
        </w:rPr>
        <w:t>en</w:t>
      </w:r>
      <w:r>
        <w:rPr>
          <w:color w:val="231F20"/>
          <w:spacing w:val="-11"/>
          <w:w w:val="105"/>
        </w:rPr>
        <w:t> </w:t>
      </w:r>
      <w:r>
        <w:rPr>
          <w:color w:val="231F20"/>
          <w:w w:val="105"/>
        </w:rPr>
        <w:t>turno</w:t>
      </w:r>
      <w:r>
        <w:rPr>
          <w:color w:val="231F20"/>
          <w:spacing w:val="-11"/>
          <w:w w:val="105"/>
        </w:rPr>
        <w:t> </w:t>
      </w:r>
      <w:r>
        <w:rPr>
          <w:color w:val="231F20"/>
          <w:w w:val="105"/>
        </w:rPr>
        <w:t>que</w:t>
      </w:r>
      <w:r>
        <w:rPr>
          <w:color w:val="231F20"/>
          <w:spacing w:val="-11"/>
          <w:w w:val="105"/>
        </w:rPr>
        <w:t> </w:t>
      </w:r>
      <w:r>
        <w:rPr>
          <w:color w:val="231F20"/>
          <w:w w:val="105"/>
        </w:rPr>
        <w:t>aspire</w:t>
      </w:r>
      <w:r>
        <w:rPr>
          <w:color w:val="231F20"/>
          <w:spacing w:val="-11"/>
          <w:w w:val="105"/>
        </w:rPr>
        <w:t> </w:t>
      </w:r>
      <w:r>
        <w:rPr>
          <w:color w:val="231F20"/>
          <w:w w:val="105"/>
        </w:rPr>
        <w:t>a</w:t>
      </w:r>
      <w:r>
        <w:rPr>
          <w:color w:val="231F20"/>
          <w:spacing w:val="-11"/>
          <w:w w:val="105"/>
        </w:rPr>
        <w:t> </w:t>
      </w:r>
      <w:r>
        <w:rPr>
          <w:color w:val="231F20"/>
          <w:w w:val="105"/>
        </w:rPr>
        <w:t>conti- nuar</w:t>
      </w:r>
      <w:r>
        <w:rPr>
          <w:color w:val="231F20"/>
          <w:spacing w:val="-13"/>
          <w:w w:val="105"/>
        </w:rPr>
        <w:t> </w:t>
      </w:r>
      <w:r>
        <w:rPr>
          <w:color w:val="231F20"/>
          <w:w w:val="105"/>
        </w:rPr>
        <w:t>su</w:t>
      </w:r>
      <w:r>
        <w:rPr>
          <w:color w:val="231F20"/>
          <w:spacing w:val="-13"/>
          <w:w w:val="105"/>
        </w:rPr>
        <w:t> </w:t>
      </w:r>
      <w:r>
        <w:rPr>
          <w:color w:val="231F20"/>
          <w:w w:val="105"/>
        </w:rPr>
        <w:t>carrera</w:t>
      </w:r>
      <w:r>
        <w:rPr>
          <w:color w:val="231F20"/>
          <w:spacing w:val="-13"/>
          <w:w w:val="105"/>
        </w:rPr>
        <w:t> </w:t>
      </w:r>
      <w:r>
        <w:rPr>
          <w:color w:val="231F20"/>
          <w:w w:val="105"/>
        </w:rPr>
        <w:t>política,</w:t>
      </w:r>
      <w:r>
        <w:rPr>
          <w:color w:val="231F20"/>
          <w:spacing w:val="-13"/>
          <w:w w:val="105"/>
        </w:rPr>
        <w:t> </w:t>
      </w:r>
      <w:r>
        <w:rPr>
          <w:color w:val="231F20"/>
          <w:w w:val="105"/>
        </w:rPr>
        <w:t>oriente</w:t>
      </w:r>
      <w:r>
        <w:rPr>
          <w:color w:val="231F20"/>
          <w:spacing w:val="-13"/>
          <w:w w:val="105"/>
        </w:rPr>
        <w:t> </w:t>
      </w:r>
      <w:r>
        <w:rPr>
          <w:color w:val="231F20"/>
          <w:w w:val="105"/>
        </w:rPr>
        <w:t>su</w:t>
      </w:r>
      <w:r>
        <w:rPr>
          <w:color w:val="231F20"/>
          <w:spacing w:val="-13"/>
          <w:w w:val="105"/>
        </w:rPr>
        <w:t> </w:t>
      </w:r>
      <w:r>
        <w:rPr>
          <w:color w:val="231F20"/>
          <w:w w:val="105"/>
        </w:rPr>
        <w:t>lealtad</w:t>
      </w:r>
      <w:r>
        <w:rPr>
          <w:color w:val="231F20"/>
          <w:spacing w:val="-13"/>
          <w:w w:val="105"/>
        </w:rPr>
        <w:t> </w:t>
      </w:r>
      <w:r>
        <w:rPr>
          <w:color w:val="231F20"/>
          <w:w w:val="105"/>
        </w:rPr>
        <w:t>hacia</w:t>
      </w:r>
      <w:r>
        <w:rPr>
          <w:color w:val="231F20"/>
          <w:spacing w:val="-13"/>
          <w:w w:val="105"/>
        </w:rPr>
        <w:t> </w:t>
      </w:r>
      <w:r>
        <w:rPr>
          <w:color w:val="231F20"/>
          <w:w w:val="105"/>
        </w:rPr>
        <w:t>las</w:t>
      </w:r>
      <w:r>
        <w:rPr>
          <w:color w:val="231F20"/>
          <w:spacing w:val="-13"/>
          <w:w w:val="105"/>
        </w:rPr>
        <w:t> </w:t>
      </w:r>
      <w:r>
        <w:rPr>
          <w:color w:val="231F20"/>
          <w:w w:val="105"/>
        </w:rPr>
        <w:t>decisiones</w:t>
      </w:r>
      <w:r>
        <w:rPr>
          <w:color w:val="231F20"/>
          <w:spacing w:val="-13"/>
          <w:w w:val="105"/>
        </w:rPr>
        <w:t> </w:t>
      </w:r>
      <w:r>
        <w:rPr>
          <w:color w:val="231F20"/>
          <w:w w:val="105"/>
        </w:rPr>
        <w:t>del</w:t>
      </w:r>
      <w:r>
        <w:rPr>
          <w:color w:val="231F20"/>
          <w:spacing w:val="-13"/>
          <w:w w:val="105"/>
        </w:rPr>
        <w:t> </w:t>
      </w:r>
      <w:r>
        <w:rPr>
          <w:color w:val="231F20"/>
          <w:w w:val="105"/>
        </w:rPr>
        <w:t>partido</w:t>
      </w:r>
      <w:r>
        <w:rPr>
          <w:color w:val="231F20"/>
          <w:spacing w:val="-13"/>
          <w:w w:val="105"/>
        </w:rPr>
        <w:t> </w:t>
      </w:r>
      <w:r>
        <w:rPr>
          <w:color w:val="231F20"/>
          <w:w w:val="105"/>
        </w:rPr>
        <w:t>a</w:t>
      </w:r>
      <w:r>
        <w:rPr>
          <w:color w:val="231F20"/>
          <w:spacing w:val="-13"/>
          <w:w w:val="105"/>
        </w:rPr>
        <w:t> </w:t>
      </w:r>
      <w:r>
        <w:rPr>
          <w:color w:val="231F20"/>
          <w:w w:val="105"/>
        </w:rPr>
        <w:t>nivel</w:t>
      </w:r>
      <w:r>
        <w:rPr>
          <w:color w:val="231F20"/>
          <w:spacing w:val="-13"/>
          <w:w w:val="105"/>
        </w:rPr>
        <w:t> </w:t>
      </w:r>
      <w:r>
        <w:rPr>
          <w:color w:val="231F20"/>
          <w:w w:val="105"/>
        </w:rPr>
        <w:t>estatal </w:t>
      </w:r>
      <w:r>
        <w:rPr>
          <w:color w:val="231F20"/>
          <w:spacing w:val="-3"/>
          <w:w w:val="105"/>
        </w:rPr>
        <w:t>(así </w:t>
      </w:r>
      <w:r>
        <w:rPr>
          <w:color w:val="231F20"/>
          <w:w w:val="105"/>
        </w:rPr>
        <w:t>como a la influencia del gobernador en turno), pues es </w:t>
      </w:r>
      <w:r>
        <w:rPr>
          <w:color w:val="231F20"/>
          <w:spacing w:val="2"/>
          <w:w w:val="105"/>
        </w:rPr>
        <w:t>ahí </w:t>
      </w:r>
      <w:r>
        <w:rPr>
          <w:color w:val="231F20"/>
          <w:w w:val="105"/>
        </w:rPr>
        <w:t>en </w:t>
      </w:r>
      <w:r>
        <w:rPr>
          <w:color w:val="231F20"/>
          <w:spacing w:val="-3"/>
          <w:w w:val="105"/>
        </w:rPr>
        <w:t>donde </w:t>
      </w:r>
      <w:r>
        <w:rPr>
          <w:color w:val="231F20"/>
          <w:w w:val="105"/>
        </w:rPr>
        <w:t>se definen las nominaciones a los distintos cargos del partido. A su vez se debilita la influencia que pudiera</w:t>
      </w:r>
      <w:r>
        <w:rPr>
          <w:color w:val="231F20"/>
          <w:spacing w:val="-10"/>
          <w:w w:val="105"/>
        </w:rPr>
        <w:t> </w:t>
      </w:r>
      <w:r>
        <w:rPr>
          <w:color w:val="231F20"/>
          <w:w w:val="105"/>
        </w:rPr>
        <w:t>ejercer</w:t>
      </w:r>
      <w:r>
        <w:rPr>
          <w:color w:val="231F20"/>
          <w:spacing w:val="-10"/>
          <w:w w:val="105"/>
        </w:rPr>
        <w:t> </w:t>
      </w:r>
      <w:r>
        <w:rPr>
          <w:color w:val="231F20"/>
          <w:w w:val="105"/>
        </w:rPr>
        <w:t>la</w:t>
      </w:r>
      <w:r>
        <w:rPr>
          <w:color w:val="231F20"/>
          <w:spacing w:val="-10"/>
          <w:w w:val="105"/>
        </w:rPr>
        <w:t> </w:t>
      </w:r>
      <w:r>
        <w:rPr>
          <w:color w:val="231F20"/>
          <w:w w:val="105"/>
        </w:rPr>
        <w:t>estructura</w:t>
      </w:r>
      <w:r>
        <w:rPr>
          <w:color w:val="231F20"/>
          <w:spacing w:val="-10"/>
          <w:w w:val="105"/>
        </w:rPr>
        <w:t> </w:t>
      </w:r>
      <w:r>
        <w:rPr>
          <w:color w:val="231F20"/>
          <w:w w:val="105"/>
        </w:rPr>
        <w:t>partidista</w:t>
      </w:r>
      <w:r>
        <w:rPr>
          <w:color w:val="231F20"/>
          <w:spacing w:val="-10"/>
          <w:w w:val="105"/>
        </w:rPr>
        <w:t> </w:t>
      </w:r>
      <w:r>
        <w:rPr>
          <w:color w:val="231F20"/>
          <w:w w:val="105"/>
        </w:rPr>
        <w:t>municipal,</w:t>
      </w:r>
      <w:r>
        <w:rPr>
          <w:color w:val="231F20"/>
          <w:spacing w:val="-10"/>
          <w:w w:val="105"/>
        </w:rPr>
        <w:t> </w:t>
      </w:r>
      <w:r>
        <w:rPr>
          <w:color w:val="231F20"/>
          <w:w w:val="105"/>
        </w:rPr>
        <w:t>tanto</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postulaciones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can- didatos</w:t>
      </w:r>
      <w:r>
        <w:rPr>
          <w:color w:val="231F20"/>
          <w:spacing w:val="-17"/>
          <w:w w:val="105"/>
        </w:rPr>
        <w:t> </w:t>
      </w:r>
      <w:r>
        <w:rPr>
          <w:color w:val="231F20"/>
          <w:w w:val="105"/>
        </w:rPr>
        <w:t>como</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políticas</w:t>
      </w:r>
      <w:r>
        <w:rPr>
          <w:color w:val="231F20"/>
          <w:spacing w:val="-17"/>
          <w:w w:val="105"/>
        </w:rPr>
        <w:t> </w:t>
      </w:r>
      <w:r>
        <w:rPr>
          <w:color w:val="231F20"/>
          <w:w w:val="105"/>
        </w:rPr>
        <w:t>y</w:t>
      </w:r>
      <w:r>
        <w:rPr>
          <w:color w:val="231F20"/>
          <w:spacing w:val="-17"/>
          <w:w w:val="105"/>
        </w:rPr>
        <w:t> </w:t>
      </w:r>
      <w:r>
        <w:rPr>
          <w:color w:val="231F20"/>
          <w:w w:val="105"/>
        </w:rPr>
        <w:t>decisiones</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toman</w:t>
      </w:r>
      <w:r>
        <w:rPr>
          <w:color w:val="231F20"/>
          <w:spacing w:val="-17"/>
          <w:w w:val="105"/>
        </w:rPr>
        <w:t> </w:t>
      </w:r>
      <w:r>
        <w:rPr>
          <w:color w:val="231F20"/>
          <w:w w:val="105"/>
        </w:rPr>
        <w:t>dentro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gobiernos</w:t>
      </w:r>
      <w:r>
        <w:rPr>
          <w:color w:val="231F20"/>
          <w:spacing w:val="-17"/>
          <w:w w:val="105"/>
        </w:rPr>
        <w:t> </w:t>
      </w:r>
      <w:r>
        <w:rPr>
          <w:color w:val="231F20"/>
          <w:w w:val="105"/>
        </w:rPr>
        <w:t>munici- pales,</w:t>
      </w:r>
      <w:r>
        <w:rPr>
          <w:color w:val="231F20"/>
          <w:spacing w:val="-18"/>
          <w:w w:val="105"/>
        </w:rPr>
        <w:t> </w:t>
      </w:r>
      <w:r>
        <w:rPr>
          <w:color w:val="231F20"/>
          <w:w w:val="105"/>
        </w:rPr>
        <w:t>enfocándose</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promoción</w:t>
      </w:r>
      <w:r>
        <w:rPr>
          <w:color w:val="231F20"/>
          <w:spacing w:val="-18"/>
          <w:w w:val="105"/>
        </w:rPr>
        <w:t> </w:t>
      </w:r>
      <w:r>
        <w:rPr>
          <w:color w:val="231F20"/>
          <w:w w:val="105"/>
        </w:rPr>
        <w:t>del</w:t>
      </w:r>
      <w:r>
        <w:rPr>
          <w:color w:val="231F20"/>
          <w:spacing w:val="-18"/>
          <w:w w:val="105"/>
        </w:rPr>
        <w:t> </w:t>
      </w:r>
      <w:r>
        <w:rPr>
          <w:color w:val="231F20"/>
          <w:spacing w:val="-3"/>
          <w:w w:val="105"/>
        </w:rPr>
        <w:t>voto.</w:t>
      </w:r>
    </w:p>
    <w:p>
      <w:pPr>
        <w:pStyle w:val="BodyText"/>
        <w:spacing w:before="1"/>
        <w:rPr>
          <w:sz w:val="26"/>
        </w:rPr>
      </w:pPr>
    </w:p>
    <w:p>
      <w:pPr>
        <w:pStyle w:val="BodyText"/>
        <w:spacing w:line="285" w:lineRule="auto"/>
        <w:ind w:left="110" w:right="106"/>
        <w:jc w:val="both"/>
      </w:pP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caso</w:t>
      </w:r>
      <w:r>
        <w:rPr>
          <w:color w:val="231F20"/>
          <w:spacing w:val="-25"/>
          <w:w w:val="105"/>
        </w:rPr>
        <w:t> </w:t>
      </w:r>
      <w:r>
        <w:rPr>
          <w:color w:val="231F20"/>
          <w:spacing w:val="-3"/>
          <w:w w:val="105"/>
        </w:rPr>
        <w:t>del</w:t>
      </w:r>
      <w:r>
        <w:rPr>
          <w:color w:val="231F20"/>
          <w:spacing w:val="-25"/>
          <w:w w:val="105"/>
        </w:rPr>
        <w:t> </w:t>
      </w:r>
      <w:r>
        <w:rPr>
          <w:color w:val="231F20"/>
          <w:spacing w:val="-3"/>
          <w:w w:val="105"/>
        </w:rPr>
        <w:t>municipio</w:t>
      </w:r>
      <w:r>
        <w:rPr>
          <w:color w:val="231F20"/>
          <w:spacing w:val="-25"/>
          <w:w w:val="105"/>
        </w:rPr>
        <w:t> </w:t>
      </w:r>
      <w:r>
        <w:rPr>
          <w:color w:val="231F20"/>
          <w:spacing w:val="-3"/>
          <w:w w:val="105"/>
        </w:rPr>
        <w:t>huixquiluquense,</w:t>
      </w:r>
      <w:r>
        <w:rPr>
          <w:color w:val="231F20"/>
          <w:spacing w:val="-25"/>
          <w:w w:val="105"/>
        </w:rPr>
        <w:t> </w:t>
      </w:r>
      <w:r>
        <w:rPr>
          <w:color w:val="231F20"/>
          <w:w w:val="105"/>
        </w:rPr>
        <w:t>el</w:t>
      </w:r>
      <w:r>
        <w:rPr>
          <w:color w:val="231F20"/>
          <w:spacing w:val="-25"/>
          <w:w w:val="105"/>
        </w:rPr>
        <w:t> </w:t>
      </w:r>
      <w:r>
        <w:rPr>
          <w:color w:val="231F20"/>
          <w:w w:val="105"/>
        </w:rPr>
        <w:t>marco</w:t>
      </w:r>
      <w:r>
        <w:rPr>
          <w:color w:val="231F20"/>
          <w:spacing w:val="-25"/>
          <w:w w:val="105"/>
        </w:rPr>
        <w:t> </w:t>
      </w:r>
      <w:r>
        <w:rPr>
          <w:color w:val="231F20"/>
          <w:w w:val="105"/>
        </w:rPr>
        <w:t>institucional</w:t>
      </w:r>
      <w:r>
        <w:rPr>
          <w:color w:val="231F20"/>
          <w:spacing w:val="-25"/>
          <w:w w:val="105"/>
        </w:rPr>
        <w:t> </w:t>
      </w:r>
      <w:r>
        <w:rPr>
          <w:color w:val="231F20"/>
          <w:spacing w:val="-3"/>
          <w:w w:val="105"/>
        </w:rPr>
        <w:t>que</w:t>
      </w:r>
      <w:r>
        <w:rPr>
          <w:color w:val="231F20"/>
          <w:spacing w:val="-25"/>
          <w:w w:val="105"/>
        </w:rPr>
        <w:t> </w:t>
      </w:r>
      <w:r>
        <w:rPr>
          <w:color w:val="231F20"/>
          <w:w w:val="105"/>
        </w:rPr>
        <w:t>regula</w:t>
      </w:r>
      <w:r>
        <w:rPr>
          <w:color w:val="231F20"/>
          <w:spacing w:val="-25"/>
          <w:w w:val="105"/>
        </w:rPr>
        <w:t> </w:t>
      </w:r>
      <w:r>
        <w:rPr>
          <w:color w:val="231F20"/>
          <w:w w:val="105"/>
        </w:rPr>
        <w:t>la</w:t>
      </w:r>
      <w:r>
        <w:rPr>
          <w:color w:val="231F20"/>
          <w:spacing w:val="-25"/>
          <w:w w:val="105"/>
        </w:rPr>
        <w:t> </w:t>
      </w:r>
      <w:r>
        <w:rPr>
          <w:color w:val="231F20"/>
          <w:spacing w:val="-3"/>
          <w:w w:val="105"/>
        </w:rPr>
        <w:t>integración </w:t>
      </w:r>
      <w:r>
        <w:rPr>
          <w:color w:val="231F20"/>
          <w:w w:val="105"/>
        </w:rPr>
        <w:t>y</w:t>
      </w:r>
      <w:r>
        <w:rPr>
          <w:color w:val="231F20"/>
          <w:spacing w:val="-15"/>
          <w:w w:val="105"/>
        </w:rPr>
        <w:t> </w:t>
      </w:r>
      <w:r>
        <w:rPr>
          <w:color w:val="231F20"/>
          <w:w w:val="105"/>
        </w:rPr>
        <w:t>funcionamiento</w:t>
      </w:r>
      <w:r>
        <w:rPr>
          <w:color w:val="231F20"/>
          <w:spacing w:val="-15"/>
          <w:w w:val="105"/>
        </w:rPr>
        <w:t> </w:t>
      </w:r>
      <w:r>
        <w:rPr>
          <w:color w:val="231F20"/>
          <w:spacing w:val="-3"/>
          <w:w w:val="105"/>
        </w:rPr>
        <w:t>del</w:t>
      </w:r>
      <w:r>
        <w:rPr>
          <w:color w:val="231F20"/>
          <w:spacing w:val="-15"/>
          <w:w w:val="105"/>
        </w:rPr>
        <w:t> </w:t>
      </w:r>
      <w:r>
        <w:rPr>
          <w:color w:val="231F20"/>
          <w:w w:val="105"/>
        </w:rPr>
        <w:t>ayuntamiento</w:t>
      </w:r>
      <w:r>
        <w:rPr>
          <w:color w:val="231F20"/>
          <w:spacing w:val="-15"/>
          <w:w w:val="105"/>
        </w:rPr>
        <w:t> </w:t>
      </w:r>
      <w:r>
        <w:rPr>
          <w:color w:val="231F20"/>
          <w:w w:val="105"/>
        </w:rPr>
        <w:t>y</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4"/>
          <w:w w:val="105"/>
        </w:rPr>
        <w:t>APM</w:t>
      </w:r>
      <w:r>
        <w:rPr>
          <w:color w:val="231F20"/>
          <w:spacing w:val="-15"/>
          <w:w w:val="105"/>
        </w:rPr>
        <w:t> </w:t>
      </w:r>
      <w:r>
        <w:rPr>
          <w:color w:val="231F20"/>
          <w:w w:val="105"/>
        </w:rPr>
        <w:t>están</w:t>
      </w:r>
      <w:r>
        <w:rPr>
          <w:color w:val="231F20"/>
          <w:spacing w:val="-15"/>
          <w:w w:val="105"/>
        </w:rPr>
        <w:t> </w:t>
      </w:r>
      <w:r>
        <w:rPr>
          <w:color w:val="231F20"/>
          <w:spacing w:val="-3"/>
          <w:w w:val="105"/>
        </w:rPr>
        <w:t>incentivando</w:t>
      </w:r>
      <w:r>
        <w:rPr>
          <w:color w:val="231F20"/>
          <w:spacing w:val="-15"/>
          <w:w w:val="105"/>
        </w:rPr>
        <w:t> </w:t>
      </w:r>
      <w:r>
        <w:rPr>
          <w:color w:val="231F20"/>
          <w:w w:val="105"/>
        </w:rPr>
        <w:t>la</w:t>
      </w:r>
      <w:r>
        <w:rPr>
          <w:color w:val="231F20"/>
          <w:spacing w:val="-15"/>
          <w:w w:val="105"/>
        </w:rPr>
        <w:t> </w:t>
      </w:r>
      <w:r>
        <w:rPr>
          <w:color w:val="231F20"/>
          <w:w w:val="105"/>
        </w:rPr>
        <w:t>centralización</w:t>
      </w:r>
      <w:r>
        <w:rPr>
          <w:color w:val="231F20"/>
          <w:spacing w:val="-15"/>
          <w:w w:val="105"/>
        </w:rPr>
        <w:t> </w:t>
      </w:r>
      <w:r>
        <w:rPr>
          <w:color w:val="231F20"/>
          <w:w w:val="105"/>
        </w:rPr>
        <w:t>en la</w:t>
      </w:r>
      <w:r>
        <w:rPr>
          <w:color w:val="231F20"/>
          <w:spacing w:val="-15"/>
          <w:w w:val="105"/>
        </w:rPr>
        <w:t> </w:t>
      </w:r>
      <w:r>
        <w:rPr>
          <w:color w:val="231F20"/>
          <w:spacing w:val="-3"/>
          <w:w w:val="105"/>
        </w:rPr>
        <w:t>toma</w:t>
      </w:r>
      <w:r>
        <w:rPr>
          <w:color w:val="231F20"/>
          <w:spacing w:val="-15"/>
          <w:w w:val="105"/>
        </w:rPr>
        <w:t> </w:t>
      </w:r>
      <w:r>
        <w:rPr>
          <w:color w:val="231F20"/>
          <w:w w:val="105"/>
        </w:rPr>
        <w:t>de</w:t>
      </w:r>
      <w:r>
        <w:rPr>
          <w:color w:val="231F20"/>
          <w:spacing w:val="-15"/>
          <w:w w:val="105"/>
        </w:rPr>
        <w:t> </w:t>
      </w:r>
      <w:r>
        <w:rPr>
          <w:color w:val="231F20"/>
          <w:spacing w:val="-3"/>
          <w:w w:val="105"/>
        </w:rPr>
        <w:t>decisiones</w:t>
      </w:r>
      <w:r>
        <w:rPr>
          <w:color w:val="231F20"/>
          <w:spacing w:val="-15"/>
          <w:w w:val="105"/>
        </w:rPr>
        <w:t> </w:t>
      </w:r>
      <w:r>
        <w:rPr>
          <w:color w:val="231F20"/>
          <w:w w:val="105"/>
        </w:rPr>
        <w:t>en</w:t>
      </w:r>
      <w:r>
        <w:rPr>
          <w:color w:val="231F20"/>
          <w:spacing w:val="-15"/>
          <w:w w:val="105"/>
        </w:rPr>
        <w:t> </w:t>
      </w:r>
      <w:r>
        <w:rPr>
          <w:color w:val="231F20"/>
          <w:spacing w:val="-3"/>
          <w:w w:val="105"/>
        </w:rPr>
        <w:t>torno</w:t>
      </w:r>
      <w:r>
        <w:rPr>
          <w:color w:val="231F20"/>
          <w:spacing w:val="-15"/>
          <w:w w:val="105"/>
        </w:rPr>
        <w:t> </w:t>
      </w:r>
      <w:r>
        <w:rPr>
          <w:color w:val="231F20"/>
          <w:spacing w:val="-3"/>
          <w:w w:val="105"/>
        </w:rPr>
        <w:t>del</w:t>
      </w:r>
      <w:r>
        <w:rPr>
          <w:color w:val="231F20"/>
          <w:spacing w:val="-15"/>
          <w:w w:val="105"/>
        </w:rPr>
        <w:t> </w:t>
      </w:r>
      <w:r>
        <w:rPr>
          <w:color w:val="231F20"/>
          <w:spacing w:val="-4"/>
          <w:w w:val="105"/>
        </w:rPr>
        <w:t>presidente</w:t>
      </w:r>
      <w:r>
        <w:rPr>
          <w:color w:val="231F20"/>
          <w:spacing w:val="-15"/>
          <w:w w:val="105"/>
        </w:rPr>
        <w:t> </w:t>
      </w:r>
      <w:r>
        <w:rPr>
          <w:color w:val="231F20"/>
          <w:w w:val="105"/>
        </w:rPr>
        <w:t>municipal</w:t>
      </w:r>
      <w:r>
        <w:rPr>
          <w:color w:val="231F20"/>
          <w:spacing w:val="-15"/>
          <w:w w:val="105"/>
        </w:rPr>
        <w:t> </w:t>
      </w:r>
      <w:r>
        <w:rPr>
          <w:color w:val="231F20"/>
          <w:w w:val="105"/>
        </w:rPr>
        <w:t>en</w:t>
      </w:r>
      <w:r>
        <w:rPr>
          <w:color w:val="231F20"/>
          <w:spacing w:val="-15"/>
          <w:w w:val="105"/>
        </w:rPr>
        <w:t> </w:t>
      </w:r>
      <w:r>
        <w:rPr>
          <w:color w:val="231F20"/>
          <w:w w:val="105"/>
        </w:rPr>
        <w:t>turno,</w:t>
      </w:r>
      <w:r>
        <w:rPr>
          <w:color w:val="231F20"/>
          <w:spacing w:val="-15"/>
          <w:w w:val="105"/>
        </w:rPr>
        <w:t> </w:t>
      </w:r>
      <w:r>
        <w:rPr>
          <w:color w:val="231F20"/>
          <w:w w:val="105"/>
        </w:rPr>
        <w:t>quien</w:t>
      </w:r>
      <w:r>
        <w:rPr>
          <w:color w:val="231F20"/>
          <w:spacing w:val="-15"/>
          <w:w w:val="105"/>
        </w:rPr>
        <w:t> </w:t>
      </w:r>
      <w:r>
        <w:rPr>
          <w:color w:val="231F20"/>
          <w:spacing w:val="-3"/>
          <w:w w:val="105"/>
        </w:rPr>
        <w:t>además</w:t>
      </w:r>
      <w:r>
        <w:rPr>
          <w:color w:val="231F20"/>
          <w:spacing w:val="-15"/>
          <w:w w:val="105"/>
        </w:rPr>
        <w:t> </w:t>
      </w:r>
      <w:r>
        <w:rPr>
          <w:color w:val="231F20"/>
          <w:spacing w:val="-3"/>
          <w:w w:val="105"/>
        </w:rPr>
        <w:t>mantiene </w:t>
      </w:r>
      <w:r>
        <w:rPr>
          <w:color w:val="231F20"/>
          <w:w w:val="105"/>
        </w:rPr>
        <w:t>una</w:t>
      </w:r>
      <w:r>
        <w:rPr>
          <w:color w:val="231F20"/>
          <w:spacing w:val="-16"/>
          <w:w w:val="105"/>
        </w:rPr>
        <w:t> </w:t>
      </w:r>
      <w:r>
        <w:rPr>
          <w:color w:val="231F20"/>
          <w:w w:val="105"/>
        </w:rPr>
        <w:t>fuerte</w:t>
      </w:r>
      <w:r>
        <w:rPr>
          <w:color w:val="231F20"/>
          <w:spacing w:val="-16"/>
          <w:w w:val="105"/>
        </w:rPr>
        <w:t> </w:t>
      </w:r>
      <w:r>
        <w:rPr>
          <w:color w:val="231F20"/>
          <w:spacing w:val="-3"/>
          <w:w w:val="105"/>
        </w:rPr>
        <w:t>presencia</w:t>
      </w:r>
      <w:r>
        <w:rPr>
          <w:color w:val="231F20"/>
          <w:spacing w:val="-16"/>
          <w:w w:val="105"/>
        </w:rPr>
        <w:t> </w:t>
      </w:r>
      <w:r>
        <w:rPr>
          <w:color w:val="231F20"/>
          <w:w w:val="105"/>
        </w:rPr>
        <w:t>política</w:t>
      </w:r>
      <w:r>
        <w:rPr>
          <w:color w:val="231F20"/>
          <w:spacing w:val="-16"/>
          <w:w w:val="105"/>
        </w:rPr>
        <w:t> </w:t>
      </w:r>
      <w:r>
        <w:rPr>
          <w:color w:val="231F20"/>
          <w:w w:val="105"/>
        </w:rPr>
        <w:t>tanto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4"/>
          <w:w w:val="105"/>
        </w:rPr>
        <w:t>gobierno</w:t>
      </w:r>
      <w:r>
        <w:rPr>
          <w:color w:val="231F20"/>
          <w:spacing w:val="-16"/>
          <w:w w:val="105"/>
        </w:rPr>
        <w:t> </w:t>
      </w:r>
      <w:r>
        <w:rPr>
          <w:color w:val="231F20"/>
          <w:spacing w:val="-4"/>
          <w:w w:val="105"/>
        </w:rPr>
        <w:t>como</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partido</w:t>
      </w:r>
      <w:r>
        <w:rPr>
          <w:color w:val="231F20"/>
          <w:spacing w:val="-16"/>
          <w:w w:val="105"/>
        </w:rPr>
        <w:t> </w:t>
      </w:r>
      <w:r>
        <w:rPr>
          <w:color w:val="231F20"/>
          <w:w w:val="105"/>
        </w:rPr>
        <w:t>a</w:t>
      </w:r>
      <w:r>
        <w:rPr>
          <w:color w:val="231F20"/>
          <w:spacing w:val="-16"/>
          <w:w w:val="105"/>
        </w:rPr>
        <w:t> </w:t>
      </w:r>
      <w:r>
        <w:rPr>
          <w:color w:val="231F20"/>
          <w:spacing w:val="-3"/>
          <w:w w:val="105"/>
        </w:rPr>
        <w:t>nivel</w:t>
      </w:r>
      <w:r>
        <w:rPr>
          <w:color w:val="231F20"/>
          <w:spacing w:val="-16"/>
          <w:w w:val="105"/>
        </w:rPr>
        <w:t> </w:t>
      </w:r>
      <w:r>
        <w:rPr>
          <w:color w:val="231F20"/>
          <w:w w:val="105"/>
        </w:rPr>
        <w:t>local.</w:t>
      </w:r>
    </w:p>
    <w:p>
      <w:pPr>
        <w:pStyle w:val="BodyText"/>
        <w:spacing w:before="1"/>
        <w:rPr>
          <w:sz w:val="26"/>
        </w:rPr>
      </w:pPr>
    </w:p>
    <w:p>
      <w:pPr>
        <w:pStyle w:val="BodyText"/>
        <w:spacing w:line="285" w:lineRule="auto"/>
        <w:ind w:left="110" w:right="106"/>
        <w:jc w:val="both"/>
      </w:pPr>
      <w:r>
        <w:rPr>
          <w:color w:val="231F20"/>
          <w:w w:val="105"/>
        </w:rPr>
        <w:t>Sin embargo, a pesar de la autonomía decisional del presidente municipal en funcio- nes,</w:t>
      </w:r>
      <w:r>
        <w:rPr>
          <w:color w:val="231F20"/>
          <w:spacing w:val="-15"/>
          <w:w w:val="105"/>
        </w:rPr>
        <w:t> </w:t>
      </w:r>
      <w:r>
        <w:rPr>
          <w:color w:val="231F20"/>
          <w:w w:val="105"/>
        </w:rPr>
        <w:t>como</w:t>
      </w:r>
      <w:r>
        <w:rPr>
          <w:color w:val="231F20"/>
          <w:spacing w:val="-15"/>
          <w:w w:val="105"/>
        </w:rPr>
        <w:t> </w:t>
      </w:r>
      <w:r>
        <w:rPr>
          <w:color w:val="231F20"/>
          <w:w w:val="105"/>
        </w:rPr>
        <w:t>resultado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centralización</w:t>
      </w:r>
      <w:r>
        <w:rPr>
          <w:color w:val="231F20"/>
          <w:spacing w:val="-15"/>
          <w:w w:val="105"/>
        </w:rPr>
        <w:t> </w:t>
      </w:r>
      <w:r>
        <w:rPr>
          <w:color w:val="231F20"/>
          <w:w w:val="105"/>
        </w:rPr>
        <w:t>y</w:t>
      </w:r>
      <w:r>
        <w:rPr>
          <w:color w:val="231F20"/>
          <w:spacing w:val="-15"/>
          <w:w w:val="105"/>
        </w:rPr>
        <w:t> </w:t>
      </w:r>
      <w:r>
        <w:rPr>
          <w:color w:val="231F20"/>
          <w:w w:val="105"/>
        </w:rPr>
        <w:t>discrecionalidad</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toma</w:t>
      </w:r>
      <w:r>
        <w:rPr>
          <w:color w:val="231F20"/>
          <w:spacing w:val="-15"/>
          <w:w w:val="105"/>
        </w:rPr>
        <w:t> </w:t>
      </w:r>
      <w:r>
        <w:rPr>
          <w:color w:val="231F20"/>
          <w:w w:val="105"/>
        </w:rPr>
        <w:t>de</w:t>
      </w:r>
      <w:r>
        <w:rPr>
          <w:color w:val="231F20"/>
          <w:spacing w:val="-15"/>
          <w:w w:val="105"/>
        </w:rPr>
        <w:t> </w:t>
      </w:r>
      <w:r>
        <w:rPr>
          <w:color w:val="231F20"/>
          <w:w w:val="105"/>
        </w:rPr>
        <w:t>decisiones</w:t>
      </w:r>
      <w:r>
        <w:rPr>
          <w:color w:val="231F20"/>
          <w:spacing w:val="-15"/>
          <w:w w:val="105"/>
        </w:rPr>
        <w:t> </w:t>
      </w:r>
      <w:r>
        <w:rPr>
          <w:color w:val="231F20"/>
          <w:w w:val="105"/>
        </w:rPr>
        <w:t>del ayuntamiento y de la APM, los alcaldes priístas han mantenido la lealtad a su partido a</w:t>
      </w:r>
      <w:r>
        <w:rPr>
          <w:color w:val="231F20"/>
          <w:spacing w:val="-7"/>
          <w:w w:val="105"/>
        </w:rPr>
        <w:t> </w:t>
      </w:r>
      <w:r>
        <w:rPr>
          <w:color w:val="231F20"/>
          <w:w w:val="105"/>
        </w:rPr>
        <w:t>nivel</w:t>
      </w:r>
      <w:r>
        <w:rPr>
          <w:color w:val="231F20"/>
          <w:spacing w:val="-7"/>
          <w:w w:val="105"/>
        </w:rPr>
        <w:t> </w:t>
      </w:r>
      <w:r>
        <w:rPr>
          <w:color w:val="231F20"/>
          <w:w w:val="105"/>
        </w:rPr>
        <w:t>estatal</w:t>
      </w:r>
      <w:r>
        <w:rPr>
          <w:color w:val="231F20"/>
          <w:spacing w:val="-7"/>
          <w:w w:val="105"/>
        </w:rPr>
        <w:t> </w:t>
      </w:r>
      <w:r>
        <w:rPr>
          <w:color w:val="231F20"/>
          <w:w w:val="105"/>
        </w:rPr>
        <w:t>pues</w:t>
      </w:r>
      <w:r>
        <w:rPr>
          <w:color w:val="231F20"/>
          <w:spacing w:val="-7"/>
          <w:w w:val="105"/>
        </w:rPr>
        <w:t> </w:t>
      </w:r>
      <w:r>
        <w:rPr>
          <w:color w:val="231F20"/>
          <w:w w:val="105"/>
        </w:rPr>
        <w:t>de</w:t>
      </w:r>
      <w:r>
        <w:rPr>
          <w:color w:val="231F20"/>
          <w:spacing w:val="-7"/>
          <w:w w:val="105"/>
        </w:rPr>
        <w:t> </w:t>
      </w:r>
      <w:r>
        <w:rPr>
          <w:color w:val="231F20"/>
          <w:w w:val="105"/>
        </w:rPr>
        <w:t>ello</w:t>
      </w:r>
      <w:r>
        <w:rPr>
          <w:color w:val="231F20"/>
          <w:spacing w:val="-7"/>
          <w:w w:val="105"/>
        </w:rPr>
        <w:t> </w:t>
      </w:r>
      <w:r>
        <w:rPr>
          <w:color w:val="231F20"/>
          <w:w w:val="105"/>
        </w:rPr>
        <w:t>depende</w:t>
      </w:r>
      <w:r>
        <w:rPr>
          <w:color w:val="231F20"/>
          <w:spacing w:val="-7"/>
          <w:w w:val="105"/>
        </w:rPr>
        <w:t> </w:t>
      </w:r>
      <w:r>
        <w:rPr>
          <w:color w:val="231F20"/>
          <w:w w:val="105"/>
        </w:rPr>
        <w:t>el</w:t>
      </w:r>
      <w:r>
        <w:rPr>
          <w:color w:val="231F20"/>
          <w:spacing w:val="-7"/>
          <w:w w:val="105"/>
        </w:rPr>
        <w:t> </w:t>
      </w:r>
      <w:r>
        <w:rPr>
          <w:color w:val="231F20"/>
          <w:w w:val="105"/>
        </w:rPr>
        <w:t>desarrollo</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carreras</w:t>
      </w:r>
      <w:r>
        <w:rPr>
          <w:color w:val="231F20"/>
          <w:spacing w:val="-7"/>
          <w:w w:val="105"/>
        </w:rPr>
        <w:t> </w:t>
      </w:r>
      <w:r>
        <w:rPr>
          <w:color w:val="231F20"/>
          <w:w w:val="105"/>
        </w:rPr>
        <w:t>políticas</w:t>
      </w:r>
      <w:r>
        <w:rPr>
          <w:color w:val="231F20"/>
          <w:spacing w:val="-7"/>
          <w:w w:val="105"/>
        </w:rPr>
        <w:t> </w:t>
      </w:r>
      <w:r>
        <w:rPr>
          <w:color w:val="231F20"/>
          <w:w w:val="105"/>
        </w:rPr>
        <w:t>a</w:t>
      </w:r>
      <w:r>
        <w:rPr>
          <w:color w:val="231F20"/>
          <w:spacing w:val="-7"/>
          <w:w w:val="105"/>
        </w:rPr>
        <w:t> </w:t>
      </w:r>
      <w:r>
        <w:rPr>
          <w:color w:val="231F20"/>
          <w:w w:val="105"/>
        </w:rPr>
        <w:t>futuro,</w:t>
      </w:r>
      <w:r>
        <w:rPr>
          <w:color w:val="231F20"/>
          <w:spacing w:val="-7"/>
          <w:w w:val="105"/>
        </w:rPr>
        <w:t> </w:t>
      </w:r>
      <w:r>
        <w:rPr>
          <w:color w:val="231F20"/>
          <w:w w:val="105"/>
        </w:rPr>
        <w:t>pro- ducto</w:t>
      </w:r>
      <w:r>
        <w:rPr>
          <w:color w:val="231F20"/>
          <w:spacing w:val="-15"/>
          <w:w w:val="105"/>
        </w:rPr>
        <w:t> </w:t>
      </w:r>
      <w:r>
        <w:rPr>
          <w:color w:val="231F20"/>
          <w:w w:val="105"/>
        </w:rPr>
        <w:t>del</w:t>
      </w:r>
      <w:r>
        <w:rPr>
          <w:color w:val="231F20"/>
          <w:spacing w:val="-15"/>
          <w:w w:val="105"/>
        </w:rPr>
        <w:t> </w:t>
      </w:r>
      <w:r>
        <w:rPr>
          <w:color w:val="231F20"/>
          <w:w w:val="105"/>
        </w:rPr>
        <w:t>marco</w:t>
      </w:r>
      <w:r>
        <w:rPr>
          <w:color w:val="231F20"/>
          <w:spacing w:val="-15"/>
          <w:w w:val="105"/>
        </w:rPr>
        <w:t> </w:t>
      </w:r>
      <w:r>
        <w:rPr>
          <w:color w:val="231F20"/>
          <w:w w:val="105"/>
        </w:rPr>
        <w:t>institucional</w:t>
      </w:r>
      <w:r>
        <w:rPr>
          <w:color w:val="231F20"/>
          <w:spacing w:val="-15"/>
          <w:w w:val="105"/>
        </w:rPr>
        <w:t> </w:t>
      </w:r>
      <w:r>
        <w:rPr>
          <w:color w:val="231F20"/>
          <w:w w:val="105"/>
        </w:rPr>
        <w:t>electoral</w:t>
      </w:r>
      <w:r>
        <w:rPr>
          <w:color w:val="231F20"/>
          <w:spacing w:val="-15"/>
          <w:w w:val="105"/>
        </w:rPr>
        <w:t> </w:t>
      </w:r>
      <w:r>
        <w:rPr>
          <w:color w:val="231F20"/>
          <w:w w:val="105"/>
        </w:rPr>
        <w:t>que</w:t>
      </w:r>
      <w:r>
        <w:rPr>
          <w:color w:val="231F20"/>
          <w:spacing w:val="-15"/>
          <w:w w:val="105"/>
        </w:rPr>
        <w:t> </w:t>
      </w:r>
      <w:r>
        <w:rPr>
          <w:color w:val="231F20"/>
          <w:w w:val="105"/>
        </w:rPr>
        <w:t>le</w:t>
      </w:r>
      <w:r>
        <w:rPr>
          <w:color w:val="231F20"/>
          <w:spacing w:val="-15"/>
          <w:w w:val="105"/>
        </w:rPr>
        <w:t> </w:t>
      </w:r>
      <w:r>
        <w:rPr>
          <w:color w:val="231F20"/>
          <w:w w:val="105"/>
        </w:rPr>
        <w:t>asegura</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organizaciones</w:t>
      </w:r>
      <w:r>
        <w:rPr>
          <w:color w:val="231F20"/>
          <w:spacing w:val="-15"/>
          <w:w w:val="105"/>
        </w:rPr>
        <w:t> </w:t>
      </w:r>
      <w:r>
        <w:rPr>
          <w:color w:val="231F20"/>
          <w:w w:val="105"/>
        </w:rPr>
        <w:t>partidistas</w:t>
      </w:r>
      <w:r>
        <w:rPr>
          <w:color w:val="231F20"/>
          <w:spacing w:val="-15"/>
          <w:w w:val="105"/>
        </w:rPr>
        <w:t> </w:t>
      </w:r>
      <w:r>
        <w:rPr>
          <w:color w:val="231F20"/>
          <w:w w:val="105"/>
        </w:rPr>
        <w:t>la exclusividad</w:t>
      </w:r>
      <w:r>
        <w:rPr>
          <w:color w:val="231F20"/>
          <w:spacing w:val="-17"/>
          <w:w w:val="105"/>
        </w:rPr>
        <w:t> </w:t>
      </w:r>
      <w:r>
        <w:rPr>
          <w:color w:val="231F20"/>
          <w:w w:val="105"/>
        </w:rPr>
        <w:t>para</w:t>
      </w:r>
      <w:r>
        <w:rPr>
          <w:color w:val="231F20"/>
          <w:spacing w:val="-17"/>
          <w:w w:val="105"/>
        </w:rPr>
        <w:t> </w:t>
      </w:r>
      <w:r>
        <w:rPr>
          <w:color w:val="231F20"/>
          <w:w w:val="105"/>
        </w:rPr>
        <w:t>presentar</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candidatos</w:t>
      </w:r>
      <w:r>
        <w:rPr>
          <w:color w:val="231F20"/>
          <w:spacing w:val="-17"/>
          <w:w w:val="105"/>
        </w:rPr>
        <w:t> </w:t>
      </w:r>
      <w:r>
        <w:rPr>
          <w:color w:val="231F20"/>
          <w:w w:val="105"/>
        </w:rPr>
        <w:t>a</w:t>
      </w:r>
      <w:r>
        <w:rPr>
          <w:color w:val="231F20"/>
          <w:spacing w:val="-17"/>
          <w:w w:val="105"/>
        </w:rPr>
        <w:t> </w:t>
      </w:r>
      <w:r>
        <w:rPr>
          <w:color w:val="231F20"/>
          <w:w w:val="105"/>
        </w:rPr>
        <w:t>cargos</w:t>
      </w:r>
      <w:r>
        <w:rPr>
          <w:color w:val="231F20"/>
          <w:spacing w:val="-17"/>
          <w:w w:val="105"/>
        </w:rPr>
        <w:t> </w:t>
      </w:r>
      <w:r>
        <w:rPr>
          <w:color w:val="231F20"/>
          <w:w w:val="105"/>
        </w:rPr>
        <w:t>públicos.</w:t>
      </w:r>
    </w:p>
    <w:p>
      <w:pPr>
        <w:pStyle w:val="BodyText"/>
        <w:rPr>
          <w:sz w:val="20"/>
        </w:rPr>
      </w:pPr>
    </w:p>
    <w:p>
      <w:pPr>
        <w:pStyle w:val="BodyText"/>
        <w:spacing w:before="7"/>
        <w:rPr>
          <w:sz w:val="19"/>
        </w:rPr>
      </w:pPr>
      <w:r>
        <w:rPr/>
        <w:pict>
          <v:line style="position:absolute;mso-position-horizontal-relative:page;mso-position-vertical-relative:paragraph;z-index:5368;mso-wrap-distance-left:0;mso-wrap-distance-right:0" from="42.519699pt,13.743777pt" to="114.519699pt,13.743777pt" stroked="true" strokeweight="1pt" strokecolor="#231f20">
            <w10:wrap type="topAndBottom"/>
          </v:line>
        </w:pict>
      </w:r>
    </w:p>
    <w:p>
      <w:pPr>
        <w:pStyle w:val="ListParagraph"/>
        <w:numPr>
          <w:ilvl w:val="0"/>
          <w:numId w:val="3"/>
        </w:numPr>
        <w:tabs>
          <w:tab w:pos="311" w:val="left" w:leader="none"/>
        </w:tabs>
        <w:spacing w:line="244" w:lineRule="auto" w:before="8" w:after="0"/>
        <w:ind w:left="110" w:right="107" w:firstLine="0"/>
        <w:jc w:val="both"/>
        <w:rPr>
          <w:sz w:val="16"/>
        </w:rPr>
      </w:pPr>
      <w:r>
        <w:rPr>
          <w:color w:val="231F20"/>
          <w:sz w:val="16"/>
        </w:rPr>
        <w:t>Uno de los puntos imaginarios para hacer referencia a la fuerza del PRI mexiquense se encuentra en el llamado “Grupo Atlacomulco”. Si bien no existe un grupo político al interior del PRI estatal que se denomine de esta forma, esto sirve para hacer referencia a la importancia de los liderazgos del partido a nivel estatal, así como a su elevada cohesión y estabilidad que</w:t>
      </w:r>
      <w:r>
        <w:rPr>
          <w:color w:val="231F20"/>
          <w:spacing w:val="-9"/>
          <w:sz w:val="16"/>
        </w:rPr>
        <w:t> </w:t>
      </w:r>
      <w:r>
        <w:rPr>
          <w:color w:val="231F20"/>
          <w:sz w:val="16"/>
        </w:rPr>
        <w:t>les</w:t>
      </w:r>
      <w:r>
        <w:rPr>
          <w:color w:val="231F20"/>
          <w:spacing w:val="-9"/>
          <w:sz w:val="16"/>
        </w:rPr>
        <w:t> </w:t>
      </w:r>
      <w:r>
        <w:rPr>
          <w:color w:val="231F20"/>
          <w:sz w:val="16"/>
        </w:rPr>
        <w:t>ha</w:t>
      </w:r>
      <w:r>
        <w:rPr>
          <w:color w:val="231F20"/>
          <w:spacing w:val="-9"/>
          <w:sz w:val="16"/>
        </w:rPr>
        <w:t> </w:t>
      </w:r>
      <w:r>
        <w:rPr>
          <w:color w:val="231F20"/>
          <w:sz w:val="16"/>
        </w:rPr>
        <w:t>permitido</w:t>
      </w:r>
      <w:r>
        <w:rPr>
          <w:color w:val="231F20"/>
          <w:spacing w:val="-9"/>
          <w:sz w:val="16"/>
        </w:rPr>
        <w:t> </w:t>
      </w:r>
      <w:r>
        <w:rPr>
          <w:color w:val="231F20"/>
          <w:sz w:val="16"/>
        </w:rPr>
        <w:t>mantenerse</w:t>
      </w:r>
      <w:r>
        <w:rPr>
          <w:color w:val="231F20"/>
          <w:spacing w:val="-9"/>
          <w:sz w:val="16"/>
        </w:rPr>
        <w:t> </w:t>
      </w:r>
      <w:r>
        <w:rPr>
          <w:color w:val="231F20"/>
          <w:sz w:val="16"/>
        </w:rPr>
        <w:t>al</w:t>
      </w:r>
      <w:r>
        <w:rPr>
          <w:color w:val="231F20"/>
          <w:spacing w:val="-9"/>
          <w:sz w:val="16"/>
        </w:rPr>
        <w:t> </w:t>
      </w:r>
      <w:r>
        <w:rPr>
          <w:color w:val="231F20"/>
          <w:sz w:val="16"/>
        </w:rPr>
        <w:t>frente</w:t>
      </w:r>
      <w:r>
        <w:rPr>
          <w:color w:val="231F20"/>
          <w:spacing w:val="-9"/>
          <w:sz w:val="16"/>
        </w:rPr>
        <w:t> </w:t>
      </w:r>
      <w:r>
        <w:rPr>
          <w:color w:val="231F20"/>
          <w:sz w:val="16"/>
        </w:rPr>
        <w:t>del</w:t>
      </w:r>
      <w:r>
        <w:rPr>
          <w:color w:val="231F20"/>
          <w:spacing w:val="-9"/>
          <w:sz w:val="16"/>
        </w:rPr>
        <w:t> </w:t>
      </w:r>
      <w:r>
        <w:rPr>
          <w:color w:val="231F20"/>
          <w:sz w:val="16"/>
        </w:rPr>
        <w:t>gobierno</w:t>
      </w:r>
      <w:r>
        <w:rPr>
          <w:color w:val="231F20"/>
          <w:spacing w:val="-9"/>
          <w:sz w:val="16"/>
        </w:rPr>
        <w:t> </w:t>
      </w:r>
      <w:r>
        <w:rPr>
          <w:color w:val="231F20"/>
          <w:sz w:val="16"/>
        </w:rPr>
        <w:t>estatal</w:t>
      </w:r>
      <w:r>
        <w:rPr>
          <w:color w:val="231F20"/>
          <w:spacing w:val="-9"/>
          <w:sz w:val="16"/>
        </w:rPr>
        <w:t> </w:t>
      </w:r>
      <w:r>
        <w:rPr>
          <w:color w:val="231F20"/>
          <w:sz w:val="16"/>
        </w:rPr>
        <w:t>así</w:t>
      </w:r>
      <w:r>
        <w:rPr>
          <w:color w:val="231F20"/>
          <w:spacing w:val="-9"/>
          <w:sz w:val="16"/>
        </w:rPr>
        <w:t> </w:t>
      </w:r>
      <w:r>
        <w:rPr>
          <w:color w:val="231F20"/>
          <w:sz w:val="16"/>
        </w:rPr>
        <w:t>como</w:t>
      </w:r>
      <w:r>
        <w:rPr>
          <w:color w:val="231F20"/>
          <w:spacing w:val="-9"/>
          <w:sz w:val="16"/>
        </w:rPr>
        <w:t> </w:t>
      </w:r>
      <w:r>
        <w:rPr>
          <w:color w:val="231F20"/>
          <w:sz w:val="16"/>
        </w:rPr>
        <w:t>para</w:t>
      </w:r>
      <w:r>
        <w:rPr>
          <w:color w:val="231F20"/>
          <w:spacing w:val="-9"/>
          <w:sz w:val="16"/>
        </w:rPr>
        <w:t> </w:t>
      </w:r>
      <w:r>
        <w:rPr>
          <w:color w:val="231F20"/>
          <w:sz w:val="16"/>
        </w:rPr>
        <w:t>influir</w:t>
      </w:r>
      <w:r>
        <w:rPr>
          <w:color w:val="231F20"/>
          <w:spacing w:val="-9"/>
          <w:sz w:val="16"/>
        </w:rPr>
        <w:t> </w:t>
      </w:r>
      <w:r>
        <w:rPr>
          <w:color w:val="231F20"/>
          <w:sz w:val="16"/>
        </w:rPr>
        <w:t>en</w:t>
      </w:r>
      <w:r>
        <w:rPr>
          <w:color w:val="231F20"/>
          <w:spacing w:val="-9"/>
          <w:sz w:val="16"/>
        </w:rPr>
        <w:t> </w:t>
      </w:r>
      <w:r>
        <w:rPr>
          <w:color w:val="231F20"/>
          <w:sz w:val="16"/>
        </w:rPr>
        <w:t>gran</w:t>
      </w:r>
      <w:r>
        <w:rPr>
          <w:color w:val="231F20"/>
          <w:spacing w:val="-9"/>
          <w:sz w:val="16"/>
        </w:rPr>
        <w:t> </w:t>
      </w:r>
      <w:r>
        <w:rPr>
          <w:color w:val="231F20"/>
          <w:sz w:val="16"/>
        </w:rPr>
        <w:t>medida</w:t>
      </w:r>
      <w:r>
        <w:rPr>
          <w:color w:val="231F20"/>
          <w:spacing w:val="-9"/>
          <w:sz w:val="16"/>
        </w:rPr>
        <w:t> </w:t>
      </w:r>
      <w:r>
        <w:rPr>
          <w:color w:val="231F20"/>
          <w:sz w:val="16"/>
        </w:rPr>
        <w:t>en</w:t>
      </w:r>
      <w:r>
        <w:rPr>
          <w:color w:val="231F20"/>
          <w:spacing w:val="-9"/>
          <w:sz w:val="16"/>
        </w:rPr>
        <w:t> </w:t>
      </w:r>
      <w:r>
        <w:rPr>
          <w:color w:val="231F20"/>
          <w:sz w:val="16"/>
        </w:rPr>
        <w:t>la</w:t>
      </w:r>
      <w:r>
        <w:rPr>
          <w:color w:val="231F20"/>
          <w:spacing w:val="-9"/>
          <w:sz w:val="16"/>
        </w:rPr>
        <w:t> </w:t>
      </w:r>
      <w:r>
        <w:rPr>
          <w:color w:val="231F20"/>
          <w:sz w:val="16"/>
        </w:rPr>
        <w:t>designación</w:t>
      </w:r>
      <w:r>
        <w:rPr>
          <w:color w:val="231F20"/>
          <w:spacing w:val="-9"/>
          <w:sz w:val="16"/>
        </w:rPr>
        <w:t> </w:t>
      </w:r>
      <w:r>
        <w:rPr>
          <w:color w:val="231F20"/>
          <w:sz w:val="16"/>
        </w:rPr>
        <w:t>de</w:t>
      </w:r>
      <w:r>
        <w:rPr>
          <w:color w:val="231F20"/>
          <w:spacing w:val="-9"/>
          <w:sz w:val="16"/>
        </w:rPr>
        <w:t> </w:t>
      </w:r>
      <w:r>
        <w:rPr>
          <w:color w:val="231F20"/>
          <w:sz w:val="16"/>
        </w:rPr>
        <w:t>los candidatos</w:t>
      </w:r>
      <w:r>
        <w:rPr>
          <w:color w:val="231F20"/>
          <w:spacing w:val="-6"/>
          <w:sz w:val="16"/>
        </w:rPr>
        <w:t> </w:t>
      </w:r>
      <w:r>
        <w:rPr>
          <w:color w:val="231F20"/>
          <w:sz w:val="16"/>
        </w:rPr>
        <w:t>a</w:t>
      </w:r>
      <w:r>
        <w:rPr>
          <w:color w:val="231F20"/>
          <w:spacing w:val="-6"/>
          <w:sz w:val="16"/>
        </w:rPr>
        <w:t> </w:t>
      </w:r>
      <w:r>
        <w:rPr>
          <w:color w:val="231F20"/>
          <w:sz w:val="16"/>
        </w:rPr>
        <w:t>diversos</w:t>
      </w:r>
      <w:r>
        <w:rPr>
          <w:color w:val="231F20"/>
          <w:spacing w:val="-6"/>
          <w:sz w:val="16"/>
        </w:rPr>
        <w:t> </w:t>
      </w:r>
      <w:r>
        <w:rPr>
          <w:color w:val="231F20"/>
          <w:sz w:val="16"/>
        </w:rPr>
        <w:t>cargos</w:t>
      </w:r>
      <w:r>
        <w:rPr>
          <w:color w:val="231F20"/>
          <w:spacing w:val="-6"/>
          <w:sz w:val="16"/>
        </w:rPr>
        <w:t> </w:t>
      </w:r>
      <w:r>
        <w:rPr>
          <w:color w:val="231F20"/>
          <w:sz w:val="16"/>
        </w:rPr>
        <w:t>de</w:t>
      </w:r>
      <w:r>
        <w:rPr>
          <w:color w:val="231F20"/>
          <w:spacing w:val="-6"/>
          <w:sz w:val="16"/>
        </w:rPr>
        <w:t> </w:t>
      </w:r>
      <w:r>
        <w:rPr>
          <w:color w:val="231F20"/>
          <w:sz w:val="16"/>
        </w:rPr>
        <w:t>gobierno.</w:t>
      </w:r>
      <w:r>
        <w:rPr>
          <w:color w:val="231F20"/>
          <w:spacing w:val="-6"/>
          <w:sz w:val="16"/>
        </w:rPr>
        <w:t> </w:t>
      </w:r>
      <w:r>
        <w:rPr>
          <w:color w:val="231F20"/>
          <w:sz w:val="16"/>
        </w:rPr>
        <w:t>Véase</w:t>
      </w:r>
      <w:r>
        <w:rPr>
          <w:color w:val="231F20"/>
          <w:spacing w:val="-6"/>
          <w:sz w:val="16"/>
        </w:rPr>
        <w:t> </w:t>
      </w:r>
      <w:r>
        <w:rPr>
          <w:color w:val="231F20"/>
          <w:sz w:val="16"/>
        </w:rPr>
        <w:t>sobre</w:t>
      </w:r>
      <w:r>
        <w:rPr>
          <w:color w:val="231F20"/>
          <w:spacing w:val="-6"/>
          <w:sz w:val="16"/>
        </w:rPr>
        <w:t> </w:t>
      </w:r>
      <w:r>
        <w:rPr>
          <w:color w:val="231F20"/>
          <w:sz w:val="16"/>
        </w:rPr>
        <w:t>el</w:t>
      </w:r>
      <w:r>
        <w:rPr>
          <w:color w:val="231F20"/>
          <w:spacing w:val="-6"/>
          <w:sz w:val="16"/>
        </w:rPr>
        <w:t> </w:t>
      </w:r>
      <w:r>
        <w:rPr>
          <w:color w:val="231F20"/>
          <w:sz w:val="16"/>
        </w:rPr>
        <w:t>tema</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reproducción</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élites</w:t>
      </w:r>
      <w:r>
        <w:rPr>
          <w:color w:val="231F20"/>
          <w:spacing w:val="-6"/>
          <w:sz w:val="16"/>
        </w:rPr>
        <w:t> </w:t>
      </w:r>
      <w:r>
        <w:rPr>
          <w:color w:val="231F20"/>
          <w:sz w:val="16"/>
        </w:rPr>
        <w:t>políticas</w:t>
      </w:r>
      <w:r>
        <w:rPr>
          <w:color w:val="231F20"/>
          <w:spacing w:val="-6"/>
          <w:sz w:val="16"/>
        </w:rPr>
        <w:t> </w:t>
      </w:r>
      <w:r>
        <w:rPr>
          <w:color w:val="231F20"/>
          <w:sz w:val="16"/>
        </w:rPr>
        <w:t>del</w:t>
      </w:r>
      <w:r>
        <w:rPr>
          <w:color w:val="231F20"/>
          <w:spacing w:val="-6"/>
          <w:sz w:val="16"/>
        </w:rPr>
        <w:t> </w:t>
      </w:r>
      <w:r>
        <w:rPr>
          <w:color w:val="231F20"/>
          <w:sz w:val="16"/>
        </w:rPr>
        <w:t>PRI</w:t>
      </w:r>
      <w:r>
        <w:rPr>
          <w:color w:val="231F20"/>
          <w:spacing w:val="-6"/>
          <w:sz w:val="16"/>
        </w:rPr>
        <w:t> </w:t>
      </w:r>
      <w:r>
        <w:rPr>
          <w:color w:val="231F20"/>
          <w:sz w:val="16"/>
        </w:rPr>
        <w:t>en</w:t>
      </w:r>
      <w:r>
        <w:rPr>
          <w:color w:val="231F20"/>
          <w:spacing w:val="-6"/>
          <w:sz w:val="16"/>
        </w:rPr>
        <w:t> </w:t>
      </w:r>
      <w:r>
        <w:rPr>
          <w:color w:val="231F20"/>
          <w:sz w:val="16"/>
        </w:rPr>
        <w:t>el</w:t>
      </w:r>
      <w:r>
        <w:rPr>
          <w:color w:val="231F20"/>
          <w:spacing w:val="-6"/>
          <w:sz w:val="16"/>
        </w:rPr>
        <w:t> </w:t>
      </w:r>
      <w:r>
        <w:rPr>
          <w:color w:val="231F20"/>
          <w:sz w:val="16"/>
        </w:rPr>
        <w:t>Estado de</w:t>
      </w:r>
      <w:r>
        <w:rPr>
          <w:color w:val="231F20"/>
          <w:spacing w:val="-12"/>
          <w:sz w:val="16"/>
        </w:rPr>
        <w:t> </w:t>
      </w:r>
      <w:r>
        <w:rPr>
          <w:color w:val="231F20"/>
          <w:sz w:val="16"/>
        </w:rPr>
        <w:t>México</w:t>
      </w:r>
      <w:r>
        <w:rPr>
          <w:color w:val="231F20"/>
          <w:spacing w:val="-12"/>
          <w:sz w:val="16"/>
        </w:rPr>
        <w:t> </w:t>
      </w:r>
      <w:r>
        <w:rPr>
          <w:color w:val="231F20"/>
          <w:sz w:val="16"/>
        </w:rPr>
        <w:t>la</w:t>
      </w:r>
      <w:r>
        <w:rPr>
          <w:color w:val="231F20"/>
          <w:spacing w:val="-12"/>
          <w:sz w:val="16"/>
        </w:rPr>
        <w:t> </w:t>
      </w:r>
      <w:r>
        <w:rPr>
          <w:color w:val="231F20"/>
          <w:sz w:val="16"/>
        </w:rPr>
        <w:t>obra</w:t>
      </w:r>
      <w:r>
        <w:rPr>
          <w:color w:val="231F20"/>
          <w:spacing w:val="-12"/>
          <w:sz w:val="16"/>
        </w:rPr>
        <w:t> </w:t>
      </w:r>
      <w:r>
        <w:rPr>
          <w:color w:val="231F20"/>
          <w:sz w:val="16"/>
        </w:rPr>
        <w:t>de</w:t>
      </w:r>
      <w:r>
        <w:rPr>
          <w:color w:val="231F20"/>
          <w:spacing w:val="-12"/>
          <w:sz w:val="16"/>
        </w:rPr>
        <w:t> </w:t>
      </w:r>
      <w:r>
        <w:rPr>
          <w:color w:val="231F20"/>
          <w:sz w:val="16"/>
        </w:rPr>
        <w:t>(HERNÁNDEZ,</w:t>
      </w:r>
      <w:r>
        <w:rPr>
          <w:color w:val="231F20"/>
          <w:spacing w:val="-12"/>
          <w:sz w:val="16"/>
        </w:rPr>
        <w:t> </w:t>
      </w:r>
      <w:r>
        <w:rPr>
          <w:color w:val="231F20"/>
          <w:spacing w:val="-3"/>
          <w:sz w:val="16"/>
        </w:rPr>
        <w:t>1998).</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De</w:t>
      </w:r>
      <w:r>
        <w:rPr>
          <w:color w:val="231F20"/>
          <w:spacing w:val="-5"/>
          <w:w w:val="105"/>
        </w:rPr>
        <w:t> </w:t>
      </w:r>
      <w:r>
        <w:rPr>
          <w:color w:val="231F20"/>
          <w:w w:val="105"/>
        </w:rPr>
        <w:t>esta</w:t>
      </w:r>
      <w:r>
        <w:rPr>
          <w:color w:val="231F20"/>
          <w:spacing w:val="-5"/>
          <w:w w:val="105"/>
        </w:rPr>
        <w:t> </w:t>
      </w:r>
      <w:r>
        <w:rPr>
          <w:color w:val="231F20"/>
          <w:w w:val="105"/>
        </w:rPr>
        <w:t>manera,</w:t>
      </w:r>
      <w:r>
        <w:rPr>
          <w:color w:val="231F20"/>
          <w:spacing w:val="-5"/>
          <w:w w:val="105"/>
        </w:rPr>
        <w:t> </w:t>
      </w:r>
      <w:r>
        <w:rPr>
          <w:color w:val="231F20"/>
          <w:w w:val="105"/>
        </w:rPr>
        <w:t>el</w:t>
      </w:r>
      <w:r>
        <w:rPr>
          <w:color w:val="231F20"/>
          <w:spacing w:val="-5"/>
          <w:w w:val="105"/>
        </w:rPr>
        <w:t> </w:t>
      </w:r>
      <w:r>
        <w:rPr>
          <w:color w:val="231F20"/>
          <w:w w:val="105"/>
        </w:rPr>
        <w:t>ejercicio</w:t>
      </w:r>
      <w:r>
        <w:rPr>
          <w:color w:val="231F20"/>
          <w:spacing w:val="-5"/>
          <w:w w:val="105"/>
        </w:rPr>
        <w:t> </w:t>
      </w:r>
      <w:r>
        <w:rPr>
          <w:color w:val="231F20"/>
          <w:w w:val="105"/>
        </w:rPr>
        <w:t>de</w:t>
      </w:r>
      <w:r>
        <w:rPr>
          <w:color w:val="231F20"/>
          <w:spacing w:val="-5"/>
          <w:w w:val="105"/>
        </w:rPr>
        <w:t> </w:t>
      </w:r>
      <w:r>
        <w:rPr>
          <w:color w:val="231F20"/>
          <w:w w:val="105"/>
        </w:rPr>
        <w:t>gobierno</w:t>
      </w:r>
      <w:r>
        <w:rPr>
          <w:color w:val="231F20"/>
          <w:spacing w:val="-5"/>
          <w:w w:val="105"/>
        </w:rPr>
        <w:t> </w:t>
      </w:r>
      <w:r>
        <w:rPr>
          <w:color w:val="231F20"/>
          <w:w w:val="105"/>
        </w:rPr>
        <w:t>recae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presidente</w:t>
      </w:r>
      <w:r>
        <w:rPr>
          <w:color w:val="231F20"/>
          <w:spacing w:val="-5"/>
          <w:w w:val="105"/>
        </w:rPr>
        <w:t> </w:t>
      </w:r>
      <w:r>
        <w:rPr>
          <w:color w:val="231F20"/>
          <w:w w:val="105"/>
        </w:rPr>
        <w:t>municipal</w:t>
      </w:r>
      <w:r>
        <w:rPr>
          <w:color w:val="231F20"/>
          <w:spacing w:val="-5"/>
          <w:w w:val="105"/>
        </w:rPr>
        <w:t> </w:t>
      </w:r>
      <w:r>
        <w:rPr>
          <w:color w:val="231F20"/>
          <w:w w:val="105"/>
        </w:rPr>
        <w:t>en</w:t>
      </w:r>
      <w:r>
        <w:rPr>
          <w:color w:val="231F20"/>
          <w:spacing w:val="-5"/>
          <w:w w:val="105"/>
        </w:rPr>
        <w:t> </w:t>
      </w:r>
      <w:r>
        <w:rPr>
          <w:color w:val="231F20"/>
          <w:w w:val="105"/>
        </w:rPr>
        <w:t>turno</w:t>
      </w:r>
      <w:r>
        <w:rPr>
          <w:color w:val="231F20"/>
          <w:spacing w:val="-5"/>
          <w:w w:val="105"/>
        </w:rPr>
        <w:t> </w:t>
      </w:r>
      <w:r>
        <w:rPr>
          <w:color w:val="231F20"/>
          <w:w w:val="105"/>
        </w:rPr>
        <w:t>aun por encima de la influencia que pudiera ejercer su partido a nivel local; sin embargo los gobernantes priístas en la entidad tienen fuertes incentivos para mantenerse leales a</w:t>
      </w:r>
      <w:r>
        <w:rPr>
          <w:color w:val="231F20"/>
          <w:spacing w:val="-7"/>
          <w:w w:val="105"/>
        </w:rPr>
        <w:t> </w:t>
      </w:r>
      <w:r>
        <w:rPr>
          <w:color w:val="231F20"/>
          <w:w w:val="105"/>
        </w:rPr>
        <w:t>la</w:t>
      </w:r>
      <w:r>
        <w:rPr>
          <w:color w:val="231F20"/>
          <w:spacing w:val="-7"/>
          <w:w w:val="105"/>
        </w:rPr>
        <w:t> </w:t>
      </w:r>
      <w:r>
        <w:rPr>
          <w:color w:val="231F20"/>
          <w:w w:val="105"/>
        </w:rPr>
        <w:t>dirigencia</w:t>
      </w:r>
      <w:r>
        <w:rPr>
          <w:color w:val="231F20"/>
          <w:spacing w:val="-7"/>
          <w:w w:val="105"/>
        </w:rPr>
        <w:t> </w:t>
      </w:r>
      <w:r>
        <w:rPr>
          <w:color w:val="231F20"/>
          <w:w w:val="105"/>
        </w:rPr>
        <w:t>estatal</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partido</w:t>
      </w:r>
      <w:r>
        <w:rPr>
          <w:color w:val="231F20"/>
          <w:spacing w:val="-7"/>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de</w:t>
      </w:r>
      <w:r>
        <w:rPr>
          <w:color w:val="231F20"/>
          <w:spacing w:val="-7"/>
          <w:w w:val="105"/>
        </w:rPr>
        <w:t> </w:t>
      </w:r>
      <w:r>
        <w:rPr>
          <w:color w:val="231F20"/>
          <w:w w:val="105"/>
        </w:rPr>
        <w:t>ello</w:t>
      </w:r>
      <w:r>
        <w:rPr>
          <w:color w:val="231F20"/>
          <w:spacing w:val="-7"/>
          <w:w w:val="105"/>
        </w:rPr>
        <w:t> </w:t>
      </w:r>
      <w:r>
        <w:rPr>
          <w:color w:val="231F20"/>
          <w:w w:val="105"/>
        </w:rPr>
        <w:t>depende</w:t>
      </w:r>
      <w:r>
        <w:rPr>
          <w:color w:val="231F20"/>
          <w:spacing w:val="-7"/>
          <w:w w:val="105"/>
        </w:rPr>
        <w:t> </w:t>
      </w:r>
      <w:r>
        <w:rPr>
          <w:color w:val="231F20"/>
          <w:w w:val="105"/>
        </w:rPr>
        <w:t>su</w:t>
      </w:r>
      <w:r>
        <w:rPr>
          <w:color w:val="231F20"/>
          <w:spacing w:val="-7"/>
          <w:w w:val="105"/>
        </w:rPr>
        <w:t> </w:t>
      </w:r>
      <w:r>
        <w:rPr>
          <w:color w:val="231F20"/>
          <w:w w:val="105"/>
        </w:rPr>
        <w:t>futuro</w:t>
      </w:r>
      <w:r>
        <w:rPr>
          <w:color w:val="231F20"/>
          <w:spacing w:val="-7"/>
          <w:w w:val="105"/>
        </w:rPr>
        <w:t> </w:t>
      </w:r>
      <w:r>
        <w:rPr>
          <w:color w:val="231F20"/>
          <w:w w:val="105"/>
        </w:rPr>
        <w:t>político,</w:t>
      </w:r>
      <w:r>
        <w:rPr>
          <w:color w:val="231F20"/>
          <w:spacing w:val="-7"/>
          <w:w w:val="105"/>
        </w:rPr>
        <w:t> </w:t>
      </w:r>
      <w:r>
        <w:rPr>
          <w:color w:val="231F20"/>
          <w:w w:val="105"/>
        </w:rPr>
        <w:t>lo</w:t>
      </w:r>
      <w:r>
        <w:rPr>
          <w:color w:val="231F20"/>
          <w:spacing w:val="-7"/>
          <w:w w:val="105"/>
        </w:rPr>
        <w:t> </w:t>
      </w:r>
      <w:r>
        <w:rPr>
          <w:color w:val="231F20"/>
          <w:w w:val="105"/>
        </w:rPr>
        <w:t>cual</w:t>
      </w:r>
      <w:r>
        <w:rPr>
          <w:color w:val="231F20"/>
          <w:spacing w:val="-7"/>
          <w:w w:val="105"/>
        </w:rPr>
        <w:t> </w:t>
      </w:r>
      <w:r>
        <w:rPr>
          <w:color w:val="231F20"/>
          <w:w w:val="105"/>
        </w:rPr>
        <w:t>se agrava</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corta</w:t>
      </w:r>
      <w:r>
        <w:rPr>
          <w:color w:val="231F20"/>
          <w:spacing w:val="-13"/>
          <w:w w:val="105"/>
        </w:rPr>
        <w:t> </w:t>
      </w:r>
      <w:r>
        <w:rPr>
          <w:color w:val="231F20"/>
          <w:w w:val="105"/>
        </w:rPr>
        <w:t>duración</w:t>
      </w:r>
      <w:r>
        <w:rPr>
          <w:color w:val="231F20"/>
          <w:spacing w:val="-13"/>
          <w:w w:val="105"/>
        </w:rPr>
        <w:t> </w:t>
      </w:r>
      <w:r>
        <w:rPr>
          <w:color w:val="231F20"/>
          <w:w w:val="105"/>
        </w:rPr>
        <w:t>del</w:t>
      </w:r>
      <w:r>
        <w:rPr>
          <w:color w:val="231F20"/>
          <w:spacing w:val="-13"/>
          <w:w w:val="105"/>
        </w:rPr>
        <w:t> </w:t>
      </w:r>
      <w:r>
        <w:rPr>
          <w:color w:val="231F20"/>
          <w:w w:val="105"/>
        </w:rPr>
        <w:t>cargo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municipio.</w:t>
      </w:r>
    </w:p>
    <w:p>
      <w:pPr>
        <w:pStyle w:val="BodyText"/>
        <w:spacing w:before="10"/>
      </w:pPr>
    </w:p>
    <w:p>
      <w:pPr>
        <w:pStyle w:val="Heading3"/>
        <w:ind w:right="574"/>
        <w:jc w:val="left"/>
      </w:pPr>
      <w:r>
        <w:rPr>
          <w:color w:val="231F20"/>
          <w:spacing w:val="-4"/>
          <w:w w:val="105"/>
        </w:rPr>
        <w:t>II.2.1.1. </w:t>
      </w:r>
      <w:r>
        <w:rPr>
          <w:color w:val="231F20"/>
          <w:w w:val="105"/>
        </w:rPr>
        <w:t>Desempeño institucional </w:t>
      </w:r>
      <w:r>
        <w:rPr>
          <w:color w:val="231F20"/>
          <w:spacing w:val="-3"/>
          <w:w w:val="105"/>
        </w:rPr>
        <w:t>del gobierno </w:t>
      </w:r>
      <w:r>
        <w:rPr>
          <w:color w:val="231F20"/>
          <w:w w:val="105"/>
        </w:rPr>
        <w:t>de Huixquilucan durante el 2003 al </w:t>
      </w:r>
      <w:r>
        <w:rPr>
          <w:color w:val="231F20"/>
          <w:spacing w:val="2"/>
          <w:w w:val="105"/>
        </w:rPr>
        <w:t>2009</w:t>
      </w:r>
    </w:p>
    <w:p>
      <w:pPr>
        <w:pStyle w:val="BodyText"/>
        <w:spacing w:line="285" w:lineRule="auto" w:before="38"/>
        <w:ind w:left="110" w:right="108"/>
        <w:jc w:val="both"/>
      </w:pPr>
      <w:r>
        <w:rPr>
          <w:color w:val="231F20"/>
          <w:w w:val="105"/>
        </w:rPr>
        <w:t>El</w:t>
      </w:r>
      <w:r>
        <w:rPr>
          <w:color w:val="231F20"/>
          <w:spacing w:val="-21"/>
          <w:w w:val="105"/>
        </w:rPr>
        <w:t> </w:t>
      </w:r>
      <w:r>
        <w:rPr>
          <w:color w:val="231F20"/>
          <w:w w:val="105"/>
        </w:rPr>
        <w:t>ayuntamiento</w:t>
      </w:r>
      <w:r>
        <w:rPr>
          <w:color w:val="231F20"/>
          <w:spacing w:val="-21"/>
          <w:w w:val="105"/>
        </w:rPr>
        <w:t> </w:t>
      </w:r>
      <w:r>
        <w:rPr>
          <w:color w:val="231F20"/>
          <w:w w:val="105"/>
        </w:rPr>
        <w:t>de</w:t>
      </w:r>
      <w:r>
        <w:rPr>
          <w:color w:val="231F20"/>
          <w:spacing w:val="-21"/>
          <w:w w:val="105"/>
        </w:rPr>
        <w:t> </w:t>
      </w:r>
      <w:r>
        <w:rPr>
          <w:color w:val="231F20"/>
          <w:w w:val="105"/>
        </w:rPr>
        <w:t>Huixquilucan</w:t>
      </w:r>
      <w:r>
        <w:rPr>
          <w:color w:val="231F20"/>
          <w:spacing w:val="-21"/>
          <w:w w:val="105"/>
        </w:rPr>
        <w:t> </w:t>
      </w:r>
      <w:r>
        <w:rPr>
          <w:color w:val="231F20"/>
          <w:w w:val="105"/>
        </w:rPr>
        <w:t>se</w:t>
      </w:r>
      <w:r>
        <w:rPr>
          <w:color w:val="231F20"/>
          <w:spacing w:val="-21"/>
          <w:w w:val="105"/>
        </w:rPr>
        <w:t> </w:t>
      </w:r>
      <w:r>
        <w:rPr>
          <w:color w:val="231F20"/>
          <w:w w:val="105"/>
        </w:rPr>
        <w:t>integra</w:t>
      </w:r>
      <w:r>
        <w:rPr>
          <w:color w:val="231F20"/>
          <w:spacing w:val="-21"/>
          <w:w w:val="105"/>
        </w:rPr>
        <w:t> </w:t>
      </w:r>
      <w:r>
        <w:rPr>
          <w:color w:val="231F20"/>
          <w:w w:val="105"/>
        </w:rPr>
        <w:t>por</w:t>
      </w:r>
      <w:r>
        <w:rPr>
          <w:color w:val="231F20"/>
          <w:spacing w:val="-21"/>
          <w:w w:val="105"/>
        </w:rPr>
        <w:t> </w:t>
      </w:r>
      <w:r>
        <w:rPr>
          <w:color w:val="231F20"/>
          <w:w w:val="105"/>
        </w:rPr>
        <w:t>15</w:t>
      </w:r>
      <w:r>
        <w:rPr>
          <w:color w:val="231F20"/>
          <w:spacing w:val="-21"/>
          <w:w w:val="105"/>
        </w:rPr>
        <w:t> </w:t>
      </w:r>
      <w:r>
        <w:rPr>
          <w:color w:val="231F20"/>
          <w:w w:val="105"/>
        </w:rPr>
        <w:t>miembros:</w:t>
      </w:r>
      <w:r>
        <w:rPr>
          <w:color w:val="231F20"/>
          <w:spacing w:val="-21"/>
          <w:w w:val="105"/>
        </w:rPr>
        <w:t> </w:t>
      </w:r>
      <w:r>
        <w:rPr>
          <w:color w:val="231F20"/>
          <w:w w:val="105"/>
        </w:rPr>
        <w:t>1</w:t>
      </w:r>
      <w:r>
        <w:rPr>
          <w:color w:val="231F20"/>
          <w:spacing w:val="-21"/>
          <w:w w:val="105"/>
        </w:rPr>
        <w:t> </w:t>
      </w:r>
      <w:r>
        <w:rPr>
          <w:color w:val="231F20"/>
          <w:w w:val="105"/>
        </w:rPr>
        <w:t>presidente</w:t>
      </w:r>
      <w:r>
        <w:rPr>
          <w:color w:val="231F20"/>
          <w:spacing w:val="-21"/>
          <w:w w:val="105"/>
        </w:rPr>
        <w:t> </w:t>
      </w:r>
      <w:r>
        <w:rPr>
          <w:color w:val="231F20"/>
          <w:w w:val="105"/>
        </w:rPr>
        <w:t>municipal,</w:t>
      </w:r>
      <w:r>
        <w:rPr>
          <w:color w:val="231F20"/>
          <w:spacing w:val="-21"/>
          <w:w w:val="105"/>
        </w:rPr>
        <w:t> </w:t>
      </w:r>
      <w:r>
        <w:rPr>
          <w:color w:val="231F20"/>
          <w:w w:val="105"/>
        </w:rPr>
        <w:t>1 síndico</w:t>
      </w:r>
      <w:r>
        <w:rPr>
          <w:color w:val="231F20"/>
          <w:spacing w:val="-18"/>
          <w:w w:val="105"/>
        </w:rPr>
        <w:t> </w:t>
      </w:r>
      <w:r>
        <w:rPr>
          <w:color w:val="231F20"/>
          <w:w w:val="105"/>
        </w:rPr>
        <w:t>y</w:t>
      </w:r>
      <w:r>
        <w:rPr>
          <w:color w:val="231F20"/>
          <w:spacing w:val="-18"/>
          <w:w w:val="105"/>
        </w:rPr>
        <w:t> </w:t>
      </w:r>
      <w:r>
        <w:rPr>
          <w:color w:val="231F20"/>
          <w:w w:val="105"/>
        </w:rPr>
        <w:t>7</w:t>
      </w:r>
      <w:r>
        <w:rPr>
          <w:color w:val="231F20"/>
          <w:spacing w:val="-18"/>
          <w:w w:val="105"/>
        </w:rPr>
        <w:t> </w:t>
      </w:r>
      <w:r>
        <w:rPr>
          <w:color w:val="231F20"/>
          <w:w w:val="105"/>
        </w:rPr>
        <w:t>regidores</w:t>
      </w:r>
      <w:r>
        <w:rPr>
          <w:color w:val="231F20"/>
          <w:spacing w:val="-18"/>
          <w:w w:val="105"/>
        </w:rPr>
        <w:t> </w:t>
      </w:r>
      <w:r>
        <w:rPr>
          <w:color w:val="231F20"/>
          <w:w w:val="105"/>
        </w:rPr>
        <w:t>electos</w:t>
      </w:r>
      <w:r>
        <w:rPr>
          <w:color w:val="231F20"/>
          <w:spacing w:val="-18"/>
          <w:w w:val="105"/>
        </w:rPr>
        <w:t> </w:t>
      </w:r>
      <w:r>
        <w:rPr>
          <w:color w:val="231F20"/>
          <w:w w:val="105"/>
        </w:rPr>
        <w:t>por</w:t>
      </w:r>
      <w:r>
        <w:rPr>
          <w:color w:val="231F20"/>
          <w:spacing w:val="-18"/>
          <w:w w:val="105"/>
        </w:rPr>
        <w:t> </w:t>
      </w:r>
      <w:r>
        <w:rPr>
          <w:color w:val="231F20"/>
          <w:w w:val="105"/>
        </w:rPr>
        <w:t>mayoría</w:t>
      </w:r>
      <w:r>
        <w:rPr>
          <w:color w:val="231F20"/>
          <w:spacing w:val="-18"/>
          <w:w w:val="105"/>
        </w:rPr>
        <w:t> </w:t>
      </w:r>
      <w:r>
        <w:rPr>
          <w:color w:val="231F20"/>
          <w:w w:val="105"/>
        </w:rPr>
        <w:t>además</w:t>
      </w:r>
      <w:r>
        <w:rPr>
          <w:color w:val="231F20"/>
          <w:spacing w:val="-18"/>
          <w:w w:val="105"/>
        </w:rPr>
        <w:t> </w:t>
      </w:r>
      <w:r>
        <w:rPr>
          <w:color w:val="231F20"/>
          <w:w w:val="105"/>
        </w:rPr>
        <w:t>de</w:t>
      </w:r>
      <w:r>
        <w:rPr>
          <w:color w:val="231F20"/>
          <w:spacing w:val="-18"/>
          <w:w w:val="105"/>
        </w:rPr>
        <w:t> </w:t>
      </w:r>
      <w:r>
        <w:rPr>
          <w:color w:val="231F20"/>
          <w:w w:val="105"/>
        </w:rPr>
        <w:t>6</w:t>
      </w:r>
      <w:r>
        <w:rPr>
          <w:color w:val="231F20"/>
          <w:spacing w:val="-18"/>
          <w:w w:val="105"/>
        </w:rPr>
        <w:t> </w:t>
      </w:r>
      <w:r>
        <w:rPr>
          <w:color w:val="231F20"/>
          <w:w w:val="105"/>
        </w:rPr>
        <w:t>regidores</w:t>
      </w:r>
      <w:r>
        <w:rPr>
          <w:color w:val="231F20"/>
          <w:spacing w:val="-18"/>
          <w:w w:val="105"/>
        </w:rPr>
        <w:t> </w:t>
      </w:r>
      <w:r>
        <w:rPr>
          <w:color w:val="231F20"/>
          <w:w w:val="105"/>
        </w:rPr>
        <w:t>elegidos</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vía</w:t>
      </w:r>
      <w:r>
        <w:rPr>
          <w:color w:val="231F20"/>
          <w:spacing w:val="-18"/>
          <w:w w:val="105"/>
        </w:rPr>
        <w:t> </w:t>
      </w:r>
      <w:r>
        <w:rPr>
          <w:color w:val="231F20"/>
          <w:w w:val="105"/>
        </w:rPr>
        <w:t>de</w:t>
      </w:r>
      <w:r>
        <w:rPr>
          <w:color w:val="231F20"/>
          <w:spacing w:val="-18"/>
          <w:w w:val="105"/>
        </w:rPr>
        <w:t> </w:t>
      </w:r>
      <w:r>
        <w:rPr>
          <w:color w:val="231F20"/>
          <w:w w:val="105"/>
        </w:rPr>
        <w:t>la representación</w:t>
      </w:r>
      <w:r>
        <w:rPr>
          <w:color w:val="231F20"/>
          <w:spacing w:val="-12"/>
          <w:w w:val="105"/>
        </w:rPr>
        <w:t> </w:t>
      </w:r>
      <w:r>
        <w:rPr>
          <w:color w:val="231F20"/>
          <w:w w:val="105"/>
        </w:rPr>
        <w:t>proporcional.</w:t>
      </w:r>
      <w:r>
        <w:rPr>
          <w:color w:val="231F20"/>
          <w:spacing w:val="-12"/>
          <w:w w:val="105"/>
        </w:rPr>
        <w:t> </w:t>
      </w:r>
      <w:r>
        <w:rPr>
          <w:color w:val="231F20"/>
          <w:w w:val="105"/>
        </w:rPr>
        <w:t>Así,</w:t>
      </w:r>
      <w:r>
        <w:rPr>
          <w:color w:val="231F20"/>
          <w:spacing w:val="-12"/>
          <w:w w:val="105"/>
        </w:rPr>
        <w:t> </w:t>
      </w:r>
      <w:r>
        <w:rPr>
          <w:color w:val="231F20"/>
          <w:w w:val="105"/>
        </w:rPr>
        <w:t>el</w:t>
      </w:r>
      <w:r>
        <w:rPr>
          <w:color w:val="231F20"/>
          <w:spacing w:val="-12"/>
          <w:w w:val="105"/>
        </w:rPr>
        <w:t> </w:t>
      </w:r>
      <w:r>
        <w:rPr>
          <w:color w:val="231F20"/>
          <w:w w:val="105"/>
        </w:rPr>
        <w:t>partido</w:t>
      </w:r>
      <w:r>
        <w:rPr>
          <w:color w:val="231F20"/>
          <w:spacing w:val="-12"/>
          <w:w w:val="105"/>
        </w:rPr>
        <w:t> </w:t>
      </w:r>
      <w:r>
        <w:rPr>
          <w:color w:val="231F20"/>
          <w:w w:val="105"/>
        </w:rPr>
        <w:t>ganador</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comicios</w:t>
      </w:r>
      <w:r>
        <w:rPr>
          <w:color w:val="231F20"/>
          <w:spacing w:val="-12"/>
          <w:w w:val="105"/>
        </w:rPr>
        <w:t> </w:t>
      </w:r>
      <w:r>
        <w:rPr>
          <w:color w:val="231F20"/>
          <w:w w:val="105"/>
        </w:rPr>
        <w:t>municipales</w:t>
      </w:r>
      <w:r>
        <w:rPr>
          <w:color w:val="231F20"/>
          <w:spacing w:val="-12"/>
          <w:w w:val="105"/>
        </w:rPr>
        <w:t> </w:t>
      </w:r>
      <w:r>
        <w:rPr>
          <w:color w:val="231F20"/>
          <w:w w:val="105"/>
        </w:rPr>
        <w:t>logra acceder</w:t>
      </w:r>
      <w:r>
        <w:rPr>
          <w:color w:val="231F20"/>
          <w:spacing w:val="-21"/>
          <w:w w:val="105"/>
        </w:rPr>
        <w:t> </w:t>
      </w:r>
      <w:r>
        <w:rPr>
          <w:color w:val="231F20"/>
          <w:w w:val="105"/>
        </w:rPr>
        <w:t>a</w:t>
      </w:r>
      <w:r>
        <w:rPr>
          <w:color w:val="231F20"/>
          <w:spacing w:val="-21"/>
          <w:w w:val="105"/>
        </w:rPr>
        <w:t> </w:t>
      </w:r>
      <w:r>
        <w:rPr>
          <w:color w:val="231F20"/>
          <w:w w:val="105"/>
        </w:rPr>
        <w:t>nueve</w:t>
      </w:r>
      <w:r>
        <w:rPr>
          <w:color w:val="231F20"/>
          <w:spacing w:val="-21"/>
          <w:w w:val="105"/>
        </w:rPr>
        <w:t> </w:t>
      </w:r>
      <w:r>
        <w:rPr>
          <w:color w:val="231F20"/>
          <w:w w:val="105"/>
        </w:rPr>
        <w:t>escaños,</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le</w:t>
      </w:r>
      <w:r>
        <w:rPr>
          <w:color w:val="231F20"/>
          <w:spacing w:val="-21"/>
          <w:w w:val="105"/>
        </w:rPr>
        <w:t> </w:t>
      </w:r>
      <w:r>
        <w:rPr>
          <w:color w:val="231F20"/>
          <w:w w:val="105"/>
        </w:rPr>
        <w:t>significa</w:t>
      </w:r>
      <w:r>
        <w:rPr>
          <w:color w:val="231F20"/>
          <w:spacing w:val="-21"/>
          <w:w w:val="105"/>
        </w:rPr>
        <w:t> </w:t>
      </w:r>
      <w:r>
        <w:rPr>
          <w:color w:val="231F20"/>
          <w:w w:val="105"/>
        </w:rPr>
        <w:t>apropiarse</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mayoría</w:t>
      </w:r>
      <w:r>
        <w:rPr>
          <w:color w:val="231F20"/>
          <w:spacing w:val="-21"/>
          <w:w w:val="105"/>
        </w:rPr>
        <w:t> </w:t>
      </w:r>
      <w:r>
        <w:rPr>
          <w:color w:val="231F20"/>
          <w:w w:val="105"/>
        </w:rPr>
        <w:t>relativa</w:t>
      </w:r>
      <w:r>
        <w:rPr>
          <w:color w:val="231F20"/>
          <w:spacing w:val="-21"/>
          <w:w w:val="105"/>
        </w:rPr>
        <w:t> </w:t>
      </w:r>
      <w:r>
        <w:rPr>
          <w:color w:val="231F20"/>
          <w:w w:val="105"/>
        </w:rPr>
        <w:t>de</w:t>
      </w:r>
      <w:r>
        <w:rPr>
          <w:color w:val="231F20"/>
          <w:spacing w:val="-21"/>
          <w:w w:val="105"/>
        </w:rPr>
        <w:t> </w:t>
      </w:r>
      <w:r>
        <w:rPr>
          <w:color w:val="231F20"/>
          <w:w w:val="105"/>
        </w:rPr>
        <w:t>votos</w:t>
      </w:r>
      <w:r>
        <w:rPr>
          <w:color w:val="231F20"/>
          <w:spacing w:val="-21"/>
          <w:w w:val="105"/>
        </w:rPr>
        <w:t> </w:t>
      </w:r>
      <w:r>
        <w:rPr>
          <w:color w:val="231F20"/>
          <w:w w:val="105"/>
        </w:rPr>
        <w:t>en la</w:t>
      </w:r>
      <w:r>
        <w:rPr>
          <w:color w:val="231F20"/>
          <w:spacing w:val="-26"/>
          <w:w w:val="105"/>
        </w:rPr>
        <w:t> </w:t>
      </w:r>
      <w:r>
        <w:rPr>
          <w:color w:val="231F20"/>
          <w:w w:val="105"/>
        </w:rPr>
        <w:t>asamblea</w:t>
      </w:r>
      <w:r>
        <w:rPr>
          <w:color w:val="231F20"/>
          <w:spacing w:val="-26"/>
          <w:w w:val="105"/>
        </w:rPr>
        <w:t> </w:t>
      </w:r>
      <w:r>
        <w:rPr>
          <w:color w:val="231F20"/>
          <w:w w:val="105"/>
        </w:rPr>
        <w:t>del</w:t>
      </w:r>
      <w:r>
        <w:rPr>
          <w:color w:val="231F20"/>
          <w:spacing w:val="-26"/>
          <w:w w:val="105"/>
        </w:rPr>
        <w:t> </w:t>
      </w:r>
      <w:r>
        <w:rPr>
          <w:color w:val="231F20"/>
          <w:w w:val="105"/>
        </w:rPr>
        <w:t>gobierno</w:t>
      </w:r>
      <w:r>
        <w:rPr>
          <w:color w:val="231F20"/>
          <w:spacing w:val="-26"/>
          <w:w w:val="105"/>
        </w:rPr>
        <w:t> </w:t>
      </w:r>
      <w:r>
        <w:rPr>
          <w:color w:val="231F20"/>
          <w:w w:val="105"/>
        </w:rPr>
        <w:t>local.</w:t>
      </w:r>
    </w:p>
    <w:p>
      <w:pPr>
        <w:pStyle w:val="BodyText"/>
        <w:spacing w:before="1"/>
        <w:rPr>
          <w:sz w:val="26"/>
        </w:rPr>
      </w:pPr>
    </w:p>
    <w:p>
      <w:pPr>
        <w:pStyle w:val="BodyText"/>
        <w:spacing w:line="285" w:lineRule="auto"/>
        <w:ind w:left="110" w:right="108"/>
        <w:jc w:val="both"/>
      </w:pPr>
      <w:r>
        <w:rPr>
          <w:color w:val="231F20"/>
          <w:w w:val="105"/>
        </w:rPr>
        <w:t>La</w:t>
      </w:r>
      <w:r>
        <w:rPr>
          <w:color w:val="231F20"/>
          <w:spacing w:val="-34"/>
          <w:w w:val="105"/>
        </w:rPr>
        <w:t> </w:t>
      </w:r>
      <w:r>
        <w:rPr>
          <w:color w:val="231F20"/>
          <w:spacing w:val="-3"/>
          <w:w w:val="105"/>
        </w:rPr>
        <w:t>mayoría</w:t>
      </w:r>
      <w:r>
        <w:rPr>
          <w:color w:val="231F20"/>
          <w:spacing w:val="-34"/>
          <w:w w:val="105"/>
        </w:rPr>
        <w:t> </w:t>
      </w:r>
      <w:r>
        <w:rPr>
          <w:color w:val="231F20"/>
          <w:w w:val="105"/>
        </w:rPr>
        <w:t>de</w:t>
      </w:r>
      <w:r>
        <w:rPr>
          <w:color w:val="231F20"/>
          <w:spacing w:val="-34"/>
          <w:w w:val="105"/>
        </w:rPr>
        <w:t> </w:t>
      </w:r>
      <w:r>
        <w:rPr>
          <w:color w:val="231F20"/>
          <w:spacing w:val="-3"/>
          <w:w w:val="105"/>
        </w:rPr>
        <w:t>los</w:t>
      </w:r>
      <w:r>
        <w:rPr>
          <w:color w:val="231F20"/>
          <w:spacing w:val="-34"/>
          <w:w w:val="105"/>
        </w:rPr>
        <w:t> </w:t>
      </w:r>
      <w:r>
        <w:rPr>
          <w:color w:val="231F20"/>
          <w:spacing w:val="-4"/>
          <w:w w:val="105"/>
        </w:rPr>
        <w:t>gobiernos</w:t>
      </w:r>
      <w:r>
        <w:rPr>
          <w:color w:val="231F20"/>
          <w:spacing w:val="-34"/>
          <w:w w:val="105"/>
        </w:rPr>
        <w:t> </w:t>
      </w:r>
      <w:r>
        <w:rPr>
          <w:color w:val="231F20"/>
          <w:spacing w:val="-3"/>
          <w:w w:val="105"/>
        </w:rPr>
        <w:t>municipales</w:t>
      </w:r>
      <w:r>
        <w:rPr>
          <w:color w:val="231F20"/>
          <w:spacing w:val="-34"/>
          <w:w w:val="105"/>
        </w:rPr>
        <w:t> </w:t>
      </w:r>
      <w:r>
        <w:rPr>
          <w:color w:val="231F20"/>
          <w:w w:val="105"/>
        </w:rPr>
        <w:t>huixquiluquenses</w:t>
      </w:r>
      <w:r>
        <w:rPr>
          <w:color w:val="231F20"/>
          <w:spacing w:val="-34"/>
          <w:w w:val="105"/>
        </w:rPr>
        <w:t> </w:t>
      </w:r>
      <w:r>
        <w:rPr>
          <w:color w:val="231F20"/>
          <w:w w:val="105"/>
        </w:rPr>
        <w:t>han</w:t>
      </w:r>
      <w:r>
        <w:rPr>
          <w:color w:val="231F20"/>
          <w:spacing w:val="-34"/>
          <w:w w:val="105"/>
        </w:rPr>
        <w:t> </w:t>
      </w:r>
      <w:r>
        <w:rPr>
          <w:color w:val="231F20"/>
          <w:spacing w:val="-3"/>
          <w:w w:val="105"/>
        </w:rPr>
        <w:t>surgido</w:t>
      </w:r>
      <w:r>
        <w:rPr>
          <w:color w:val="231F20"/>
          <w:spacing w:val="-34"/>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filas</w:t>
      </w:r>
      <w:r>
        <w:rPr>
          <w:color w:val="231F20"/>
          <w:spacing w:val="-34"/>
          <w:w w:val="105"/>
        </w:rPr>
        <w:t> </w:t>
      </w:r>
      <w:r>
        <w:rPr>
          <w:color w:val="231F20"/>
          <w:spacing w:val="-3"/>
          <w:w w:val="105"/>
        </w:rPr>
        <w:t>del</w:t>
      </w:r>
      <w:r>
        <w:rPr>
          <w:color w:val="231F20"/>
          <w:spacing w:val="-34"/>
          <w:w w:val="105"/>
        </w:rPr>
        <w:t> </w:t>
      </w:r>
      <w:r>
        <w:rPr>
          <w:color w:val="231F20"/>
          <w:w w:val="105"/>
        </w:rPr>
        <w:t>PRI, </w:t>
      </w:r>
      <w:r>
        <w:rPr>
          <w:color w:val="231F20"/>
          <w:spacing w:val="-3"/>
          <w:w w:val="105"/>
        </w:rPr>
        <w:t>sólo</w:t>
      </w:r>
      <w:r>
        <w:rPr>
          <w:color w:val="231F20"/>
          <w:spacing w:val="-25"/>
          <w:w w:val="105"/>
        </w:rPr>
        <w:t> </w:t>
      </w:r>
      <w:r>
        <w:rPr>
          <w:color w:val="231F20"/>
          <w:w w:val="105"/>
        </w:rPr>
        <w:t>en</w:t>
      </w:r>
      <w:r>
        <w:rPr>
          <w:color w:val="231F20"/>
          <w:spacing w:val="-25"/>
          <w:w w:val="105"/>
        </w:rPr>
        <w:t> </w:t>
      </w:r>
      <w:r>
        <w:rPr>
          <w:color w:val="231F20"/>
          <w:w w:val="105"/>
        </w:rPr>
        <w:t>una</w:t>
      </w:r>
      <w:r>
        <w:rPr>
          <w:color w:val="231F20"/>
          <w:spacing w:val="-25"/>
          <w:w w:val="105"/>
        </w:rPr>
        <w:t> </w:t>
      </w:r>
      <w:r>
        <w:rPr>
          <w:color w:val="231F20"/>
          <w:spacing w:val="-3"/>
          <w:w w:val="105"/>
        </w:rPr>
        <w:t>ocasión</w:t>
      </w:r>
      <w:r>
        <w:rPr>
          <w:color w:val="231F20"/>
          <w:spacing w:val="-25"/>
          <w:w w:val="105"/>
        </w:rPr>
        <w:t> </w:t>
      </w:r>
      <w:r>
        <w:rPr>
          <w:color w:val="231F20"/>
          <w:w w:val="105"/>
        </w:rPr>
        <w:t>se</w:t>
      </w:r>
      <w:r>
        <w:rPr>
          <w:color w:val="231F20"/>
          <w:spacing w:val="-25"/>
          <w:w w:val="105"/>
        </w:rPr>
        <w:t> </w:t>
      </w:r>
      <w:r>
        <w:rPr>
          <w:color w:val="231F20"/>
          <w:spacing w:val="-3"/>
          <w:w w:val="105"/>
        </w:rPr>
        <w:t>experimentó</w:t>
      </w:r>
      <w:r>
        <w:rPr>
          <w:color w:val="231F20"/>
          <w:spacing w:val="-25"/>
          <w:w w:val="105"/>
        </w:rPr>
        <w:t> </w:t>
      </w:r>
      <w:r>
        <w:rPr>
          <w:color w:val="231F20"/>
          <w:w w:val="105"/>
        </w:rPr>
        <w:t>la</w:t>
      </w:r>
      <w:r>
        <w:rPr>
          <w:color w:val="231F20"/>
          <w:spacing w:val="-25"/>
          <w:w w:val="105"/>
        </w:rPr>
        <w:t> </w:t>
      </w:r>
      <w:r>
        <w:rPr>
          <w:color w:val="231F20"/>
          <w:w w:val="105"/>
        </w:rPr>
        <w:t>alternancia,</w:t>
      </w:r>
      <w:r>
        <w:rPr>
          <w:color w:val="231F20"/>
          <w:spacing w:val="-25"/>
          <w:w w:val="105"/>
        </w:rPr>
        <w:t> </w:t>
      </w:r>
      <w:r>
        <w:rPr>
          <w:color w:val="231F20"/>
          <w:w w:val="105"/>
        </w:rPr>
        <w:t>cuando</w:t>
      </w:r>
      <w:r>
        <w:rPr>
          <w:color w:val="231F20"/>
          <w:spacing w:val="-25"/>
          <w:w w:val="105"/>
        </w:rPr>
        <w:t> </w:t>
      </w:r>
      <w:r>
        <w:rPr>
          <w:color w:val="231F20"/>
          <w:w w:val="105"/>
        </w:rPr>
        <w:t>el</w:t>
      </w:r>
      <w:r>
        <w:rPr>
          <w:color w:val="231F20"/>
          <w:spacing w:val="-25"/>
          <w:w w:val="105"/>
        </w:rPr>
        <w:t> </w:t>
      </w:r>
      <w:r>
        <w:rPr>
          <w:color w:val="231F20"/>
          <w:w w:val="105"/>
        </w:rPr>
        <w:t>candidato</w:t>
      </w:r>
      <w:r>
        <w:rPr>
          <w:color w:val="231F20"/>
          <w:spacing w:val="-25"/>
          <w:w w:val="105"/>
        </w:rPr>
        <w:t> </w:t>
      </w:r>
      <w:r>
        <w:rPr>
          <w:color w:val="231F20"/>
          <w:spacing w:val="-3"/>
          <w:w w:val="105"/>
        </w:rPr>
        <w:t>del</w:t>
      </w:r>
      <w:r>
        <w:rPr>
          <w:color w:val="231F20"/>
          <w:spacing w:val="-25"/>
          <w:w w:val="105"/>
        </w:rPr>
        <w:t> </w:t>
      </w:r>
      <w:r>
        <w:rPr>
          <w:color w:val="231F20"/>
          <w:w w:val="105"/>
        </w:rPr>
        <w:t>Partido</w:t>
      </w:r>
      <w:r>
        <w:rPr>
          <w:color w:val="231F20"/>
          <w:spacing w:val="-25"/>
          <w:w w:val="105"/>
        </w:rPr>
        <w:t> </w:t>
      </w:r>
      <w:r>
        <w:rPr>
          <w:color w:val="231F20"/>
          <w:spacing w:val="-4"/>
          <w:w w:val="105"/>
        </w:rPr>
        <w:t>Acción </w:t>
      </w:r>
      <w:r>
        <w:rPr>
          <w:color w:val="231F20"/>
          <w:spacing w:val="-3"/>
          <w:w w:val="105"/>
        </w:rPr>
        <w:t>Nacional,</w:t>
      </w:r>
      <w:r>
        <w:rPr>
          <w:color w:val="231F20"/>
          <w:spacing w:val="-29"/>
          <w:w w:val="105"/>
        </w:rPr>
        <w:t> </w:t>
      </w:r>
      <w:r>
        <w:rPr>
          <w:color w:val="231F20"/>
          <w:w w:val="105"/>
        </w:rPr>
        <w:t>Guillermo</w:t>
      </w:r>
      <w:r>
        <w:rPr>
          <w:color w:val="231F20"/>
          <w:spacing w:val="-29"/>
          <w:w w:val="105"/>
        </w:rPr>
        <w:t> </w:t>
      </w:r>
      <w:r>
        <w:rPr>
          <w:color w:val="231F20"/>
          <w:spacing w:val="-3"/>
          <w:w w:val="105"/>
        </w:rPr>
        <w:t>Espinoza</w:t>
      </w:r>
      <w:r>
        <w:rPr>
          <w:color w:val="231F20"/>
          <w:spacing w:val="-29"/>
          <w:w w:val="105"/>
        </w:rPr>
        <w:t> </w:t>
      </w:r>
      <w:r>
        <w:rPr>
          <w:color w:val="231F20"/>
          <w:w w:val="105"/>
        </w:rPr>
        <w:t>Cruz</w:t>
      </w:r>
      <w:r>
        <w:rPr>
          <w:color w:val="231F20"/>
          <w:w w:val="105"/>
          <w:position w:val="7"/>
          <w:sz w:val="13"/>
        </w:rPr>
        <w:t>23</w:t>
      </w:r>
      <w:r>
        <w:rPr>
          <w:color w:val="231F20"/>
          <w:w w:val="105"/>
        </w:rPr>
        <w:t>,</w:t>
      </w:r>
      <w:r>
        <w:rPr>
          <w:color w:val="231F20"/>
          <w:spacing w:val="-29"/>
          <w:w w:val="105"/>
        </w:rPr>
        <w:t> </w:t>
      </w:r>
      <w:r>
        <w:rPr>
          <w:color w:val="231F20"/>
          <w:spacing w:val="-3"/>
          <w:w w:val="105"/>
        </w:rPr>
        <w:t>logró</w:t>
      </w:r>
      <w:r>
        <w:rPr>
          <w:color w:val="231F20"/>
          <w:spacing w:val="-29"/>
          <w:w w:val="105"/>
        </w:rPr>
        <w:t> </w:t>
      </w:r>
      <w:r>
        <w:rPr>
          <w:color w:val="231F20"/>
          <w:w w:val="105"/>
        </w:rPr>
        <w:t>el</w:t>
      </w:r>
      <w:r>
        <w:rPr>
          <w:color w:val="231F20"/>
          <w:spacing w:val="-29"/>
          <w:w w:val="105"/>
        </w:rPr>
        <w:t> </w:t>
      </w:r>
      <w:r>
        <w:rPr>
          <w:color w:val="231F20"/>
          <w:w w:val="105"/>
        </w:rPr>
        <w:t>triunfo</w:t>
      </w:r>
      <w:r>
        <w:rPr>
          <w:color w:val="231F20"/>
          <w:spacing w:val="-29"/>
          <w:w w:val="105"/>
        </w:rPr>
        <w:t> </w:t>
      </w:r>
      <w:r>
        <w:rPr>
          <w:color w:val="231F20"/>
          <w:w w:val="105"/>
        </w:rPr>
        <w:t>para</w:t>
      </w:r>
      <w:r>
        <w:rPr>
          <w:color w:val="231F20"/>
          <w:spacing w:val="-29"/>
          <w:w w:val="105"/>
        </w:rPr>
        <w:t> </w:t>
      </w:r>
      <w:r>
        <w:rPr>
          <w:color w:val="231F20"/>
          <w:w w:val="105"/>
        </w:rPr>
        <w:t>el</w:t>
      </w:r>
      <w:r>
        <w:rPr>
          <w:color w:val="231F20"/>
          <w:spacing w:val="-29"/>
          <w:w w:val="105"/>
        </w:rPr>
        <w:t> </w:t>
      </w:r>
      <w:r>
        <w:rPr>
          <w:color w:val="231F20"/>
          <w:spacing w:val="-3"/>
          <w:w w:val="105"/>
        </w:rPr>
        <w:t>periodo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administración 2000-2003,</w:t>
      </w:r>
      <w:r>
        <w:rPr>
          <w:color w:val="231F20"/>
          <w:spacing w:val="-9"/>
          <w:w w:val="105"/>
        </w:rPr>
        <w:t> </w:t>
      </w:r>
      <w:r>
        <w:rPr>
          <w:color w:val="231F20"/>
          <w:spacing w:val="-3"/>
          <w:w w:val="105"/>
        </w:rPr>
        <w:t>además</w:t>
      </w:r>
      <w:r>
        <w:rPr>
          <w:color w:val="231F20"/>
          <w:spacing w:val="-9"/>
          <w:w w:val="105"/>
        </w:rPr>
        <w:t> </w:t>
      </w:r>
      <w:r>
        <w:rPr>
          <w:color w:val="231F20"/>
          <w:w w:val="105"/>
        </w:rPr>
        <w:t>de</w:t>
      </w:r>
      <w:r>
        <w:rPr>
          <w:color w:val="231F20"/>
          <w:spacing w:val="-9"/>
          <w:w w:val="105"/>
        </w:rPr>
        <w:t> </w:t>
      </w:r>
      <w:r>
        <w:rPr>
          <w:color w:val="231F20"/>
          <w:spacing w:val="-3"/>
          <w:w w:val="105"/>
        </w:rPr>
        <w:t>que</w:t>
      </w:r>
      <w:r>
        <w:rPr>
          <w:color w:val="231F20"/>
          <w:spacing w:val="-9"/>
          <w:w w:val="105"/>
        </w:rPr>
        <w:t> </w:t>
      </w:r>
      <w:r>
        <w:rPr>
          <w:color w:val="231F20"/>
          <w:spacing w:val="-3"/>
          <w:w w:val="105"/>
        </w:rPr>
        <w:t>también</w:t>
      </w:r>
      <w:r>
        <w:rPr>
          <w:color w:val="231F20"/>
          <w:spacing w:val="-9"/>
          <w:w w:val="105"/>
        </w:rPr>
        <w:t> </w:t>
      </w:r>
      <w:r>
        <w:rPr>
          <w:color w:val="231F20"/>
          <w:w w:val="105"/>
        </w:rPr>
        <w:t>ganaron</w:t>
      </w:r>
      <w:r>
        <w:rPr>
          <w:color w:val="231F20"/>
          <w:spacing w:val="-9"/>
          <w:w w:val="105"/>
        </w:rPr>
        <w:t> </w:t>
      </w:r>
      <w:r>
        <w:rPr>
          <w:color w:val="231F20"/>
          <w:w w:val="105"/>
        </w:rPr>
        <w:t>la</w:t>
      </w:r>
      <w:r>
        <w:rPr>
          <w:color w:val="231F20"/>
          <w:spacing w:val="-9"/>
          <w:w w:val="105"/>
        </w:rPr>
        <w:t> </w:t>
      </w:r>
      <w:r>
        <w:rPr>
          <w:color w:val="231F20"/>
          <w:spacing w:val="-4"/>
          <w:w w:val="105"/>
        </w:rPr>
        <w:t>diputación</w:t>
      </w:r>
      <w:r>
        <w:rPr>
          <w:color w:val="231F20"/>
          <w:spacing w:val="-9"/>
          <w:w w:val="105"/>
        </w:rPr>
        <w:t> </w:t>
      </w:r>
      <w:r>
        <w:rPr>
          <w:color w:val="231F20"/>
          <w:w w:val="105"/>
        </w:rPr>
        <w:t>local</w:t>
      </w:r>
      <w:r>
        <w:rPr>
          <w:color w:val="231F20"/>
          <w:spacing w:val="-9"/>
          <w:w w:val="105"/>
        </w:rPr>
        <w:t> </w:t>
      </w:r>
      <w:r>
        <w:rPr>
          <w:color w:val="231F20"/>
          <w:w w:val="105"/>
        </w:rPr>
        <w:t>y</w:t>
      </w:r>
      <w:r>
        <w:rPr>
          <w:color w:val="231F20"/>
          <w:spacing w:val="-9"/>
          <w:w w:val="105"/>
        </w:rPr>
        <w:t> </w:t>
      </w:r>
      <w:r>
        <w:rPr>
          <w:color w:val="231F20"/>
          <w:w w:val="105"/>
        </w:rPr>
        <w:t>federal</w:t>
      </w:r>
      <w:r>
        <w:rPr>
          <w:color w:val="231F20"/>
          <w:spacing w:val="-9"/>
          <w:w w:val="105"/>
        </w:rPr>
        <w:t> </w:t>
      </w:r>
      <w:r>
        <w:rPr>
          <w:color w:val="231F20"/>
          <w:spacing w:val="-3"/>
          <w:w w:val="105"/>
        </w:rPr>
        <w:t>que</w:t>
      </w:r>
      <w:r>
        <w:rPr>
          <w:color w:val="231F20"/>
          <w:spacing w:val="-9"/>
          <w:w w:val="105"/>
        </w:rPr>
        <w:t> </w:t>
      </w:r>
      <w:r>
        <w:rPr>
          <w:color w:val="231F20"/>
          <w:w w:val="105"/>
        </w:rPr>
        <w:t>abarcan</w:t>
      </w:r>
      <w:r>
        <w:rPr>
          <w:color w:val="231F20"/>
          <w:spacing w:val="-9"/>
          <w:w w:val="105"/>
        </w:rPr>
        <w:t> </w:t>
      </w:r>
      <w:r>
        <w:rPr>
          <w:color w:val="231F20"/>
          <w:w w:val="105"/>
        </w:rPr>
        <w:t>al </w:t>
      </w:r>
      <w:r>
        <w:rPr>
          <w:color w:val="231F20"/>
          <w:spacing w:val="-4"/>
          <w:w w:val="105"/>
        </w:rPr>
        <w:t>municipio.</w:t>
      </w:r>
      <w:r>
        <w:rPr>
          <w:color w:val="231F20"/>
          <w:spacing w:val="-17"/>
          <w:w w:val="105"/>
        </w:rPr>
        <w:t> </w:t>
      </w:r>
      <w:r>
        <w:rPr>
          <w:color w:val="231F20"/>
          <w:w w:val="105"/>
        </w:rPr>
        <w:t>Sin</w:t>
      </w:r>
      <w:r>
        <w:rPr>
          <w:color w:val="231F20"/>
          <w:spacing w:val="-17"/>
          <w:w w:val="105"/>
        </w:rPr>
        <w:t> </w:t>
      </w:r>
      <w:r>
        <w:rPr>
          <w:color w:val="231F20"/>
          <w:spacing w:val="-3"/>
          <w:w w:val="105"/>
        </w:rPr>
        <w:t>embargo,</w:t>
      </w:r>
      <w:r>
        <w:rPr>
          <w:color w:val="231F20"/>
          <w:spacing w:val="-17"/>
          <w:w w:val="105"/>
        </w:rPr>
        <w:t> </w:t>
      </w:r>
      <w:r>
        <w:rPr>
          <w:color w:val="231F20"/>
          <w:spacing w:val="-4"/>
          <w:w w:val="105"/>
        </w:rPr>
        <w:t>debido</w:t>
      </w:r>
      <w:r>
        <w:rPr>
          <w:color w:val="231F20"/>
          <w:spacing w:val="-17"/>
          <w:w w:val="105"/>
        </w:rPr>
        <w:t> </w:t>
      </w:r>
      <w:r>
        <w:rPr>
          <w:color w:val="231F20"/>
          <w:w w:val="105"/>
        </w:rPr>
        <w:t>a</w:t>
      </w:r>
      <w:r>
        <w:rPr>
          <w:color w:val="231F20"/>
          <w:spacing w:val="-17"/>
          <w:w w:val="105"/>
        </w:rPr>
        <w:t> </w:t>
      </w:r>
      <w:r>
        <w:rPr>
          <w:color w:val="231F20"/>
          <w:spacing w:val="-3"/>
          <w:w w:val="105"/>
        </w:rPr>
        <w:t>diversos</w:t>
      </w:r>
      <w:r>
        <w:rPr>
          <w:color w:val="231F20"/>
          <w:spacing w:val="-17"/>
          <w:w w:val="105"/>
        </w:rPr>
        <w:t> </w:t>
      </w:r>
      <w:r>
        <w:rPr>
          <w:color w:val="231F20"/>
          <w:spacing w:val="-4"/>
          <w:w w:val="105"/>
        </w:rPr>
        <w:t>problemas</w:t>
      </w:r>
      <w:r>
        <w:rPr>
          <w:color w:val="231F20"/>
          <w:spacing w:val="-17"/>
          <w:w w:val="105"/>
        </w:rPr>
        <w:t> </w:t>
      </w:r>
      <w:r>
        <w:rPr>
          <w:color w:val="231F20"/>
          <w:spacing w:val="-3"/>
          <w:w w:val="105"/>
        </w:rPr>
        <w:t>que</w:t>
      </w:r>
      <w:r>
        <w:rPr>
          <w:color w:val="231F20"/>
          <w:spacing w:val="-17"/>
          <w:w w:val="105"/>
        </w:rPr>
        <w:t> </w:t>
      </w:r>
      <w:r>
        <w:rPr>
          <w:color w:val="231F20"/>
          <w:spacing w:val="-3"/>
          <w:w w:val="105"/>
        </w:rPr>
        <w:t>experimentó</w:t>
      </w:r>
      <w:r>
        <w:rPr>
          <w:color w:val="231F20"/>
          <w:spacing w:val="-17"/>
          <w:w w:val="105"/>
        </w:rPr>
        <w:t> </w:t>
      </w:r>
      <w:r>
        <w:rPr>
          <w:color w:val="231F20"/>
          <w:w w:val="105"/>
        </w:rPr>
        <w:t>el</w:t>
      </w:r>
      <w:r>
        <w:rPr>
          <w:color w:val="231F20"/>
          <w:spacing w:val="-17"/>
          <w:w w:val="105"/>
        </w:rPr>
        <w:t> </w:t>
      </w:r>
      <w:r>
        <w:rPr>
          <w:color w:val="231F20"/>
          <w:spacing w:val="-4"/>
          <w:w w:val="105"/>
        </w:rPr>
        <w:t>gobierno</w:t>
      </w:r>
      <w:r>
        <w:rPr>
          <w:color w:val="231F20"/>
          <w:spacing w:val="-17"/>
          <w:w w:val="105"/>
        </w:rPr>
        <w:t> </w:t>
      </w:r>
      <w:r>
        <w:rPr>
          <w:color w:val="231F20"/>
          <w:w w:val="105"/>
        </w:rPr>
        <w:t>panis- ta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ayuntamiento,</w:t>
      </w:r>
      <w:r>
        <w:rPr>
          <w:color w:val="231F20"/>
          <w:spacing w:val="-26"/>
          <w:w w:val="105"/>
        </w:rPr>
        <w:t> </w:t>
      </w:r>
      <w:r>
        <w:rPr>
          <w:color w:val="231F20"/>
          <w:w w:val="105"/>
        </w:rPr>
        <w:t>ese</w:t>
      </w:r>
      <w:r>
        <w:rPr>
          <w:color w:val="231F20"/>
          <w:spacing w:val="-26"/>
          <w:w w:val="105"/>
        </w:rPr>
        <w:t> </w:t>
      </w:r>
      <w:r>
        <w:rPr>
          <w:color w:val="231F20"/>
          <w:w w:val="105"/>
        </w:rPr>
        <w:t>partido</w:t>
      </w:r>
      <w:r>
        <w:rPr>
          <w:color w:val="231F20"/>
          <w:spacing w:val="-26"/>
          <w:w w:val="105"/>
        </w:rPr>
        <w:t> </w:t>
      </w:r>
      <w:r>
        <w:rPr>
          <w:color w:val="231F20"/>
          <w:spacing w:val="-3"/>
          <w:w w:val="105"/>
        </w:rPr>
        <w:t>no</w:t>
      </w:r>
      <w:r>
        <w:rPr>
          <w:color w:val="231F20"/>
          <w:spacing w:val="-26"/>
          <w:w w:val="105"/>
        </w:rPr>
        <w:t> </w:t>
      </w:r>
      <w:r>
        <w:rPr>
          <w:color w:val="231F20"/>
          <w:spacing w:val="-3"/>
          <w:w w:val="105"/>
        </w:rPr>
        <w:t>logró</w:t>
      </w:r>
      <w:r>
        <w:rPr>
          <w:color w:val="231F20"/>
          <w:spacing w:val="-26"/>
          <w:w w:val="105"/>
        </w:rPr>
        <w:t> </w:t>
      </w:r>
      <w:r>
        <w:rPr>
          <w:color w:val="231F20"/>
          <w:w w:val="105"/>
        </w:rPr>
        <w:t>“enraizarse”</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electorado</w:t>
      </w:r>
      <w:r>
        <w:rPr>
          <w:color w:val="231F20"/>
          <w:spacing w:val="-26"/>
          <w:w w:val="105"/>
        </w:rPr>
        <w:t> </w:t>
      </w:r>
      <w:r>
        <w:rPr>
          <w:color w:val="231F20"/>
          <w:w w:val="105"/>
        </w:rPr>
        <w:t>al</w:t>
      </w:r>
      <w:r>
        <w:rPr>
          <w:color w:val="231F20"/>
          <w:spacing w:val="-26"/>
          <w:w w:val="105"/>
        </w:rPr>
        <w:t> </w:t>
      </w:r>
      <w:r>
        <w:rPr>
          <w:color w:val="231F20"/>
          <w:spacing w:val="-3"/>
          <w:w w:val="105"/>
        </w:rPr>
        <w:t>grado</w:t>
      </w:r>
      <w:r>
        <w:rPr>
          <w:color w:val="231F20"/>
          <w:spacing w:val="-26"/>
          <w:w w:val="105"/>
        </w:rPr>
        <w:t> </w:t>
      </w:r>
      <w:r>
        <w:rPr>
          <w:color w:val="231F20"/>
          <w:spacing w:val="-3"/>
          <w:w w:val="105"/>
        </w:rPr>
        <w:t>que,</w:t>
      </w:r>
      <w:r>
        <w:rPr>
          <w:color w:val="231F20"/>
          <w:spacing w:val="-26"/>
          <w:w w:val="105"/>
        </w:rPr>
        <w:t> </w:t>
      </w:r>
      <w:r>
        <w:rPr>
          <w:color w:val="231F20"/>
          <w:w w:val="105"/>
        </w:rPr>
        <w:t>para las</w:t>
      </w:r>
      <w:r>
        <w:rPr>
          <w:color w:val="231F20"/>
          <w:spacing w:val="-29"/>
          <w:w w:val="105"/>
        </w:rPr>
        <w:t> </w:t>
      </w:r>
      <w:r>
        <w:rPr>
          <w:color w:val="231F20"/>
          <w:spacing w:val="-4"/>
          <w:w w:val="105"/>
        </w:rPr>
        <w:t>elecciones</w:t>
      </w:r>
      <w:r>
        <w:rPr>
          <w:color w:val="231F20"/>
          <w:spacing w:val="-29"/>
          <w:w w:val="105"/>
        </w:rPr>
        <w:t> </w:t>
      </w:r>
      <w:r>
        <w:rPr>
          <w:color w:val="231F20"/>
          <w:spacing w:val="-3"/>
          <w:w w:val="105"/>
        </w:rPr>
        <w:t>siguientes,</w:t>
      </w:r>
      <w:r>
        <w:rPr>
          <w:color w:val="231F20"/>
          <w:spacing w:val="-29"/>
          <w:w w:val="105"/>
        </w:rPr>
        <w:t> </w:t>
      </w:r>
      <w:r>
        <w:rPr>
          <w:color w:val="231F20"/>
          <w:w w:val="105"/>
        </w:rPr>
        <w:t>el</w:t>
      </w:r>
      <w:r>
        <w:rPr>
          <w:color w:val="231F20"/>
          <w:spacing w:val="-29"/>
          <w:w w:val="105"/>
        </w:rPr>
        <w:t> </w:t>
      </w:r>
      <w:r>
        <w:rPr>
          <w:color w:val="231F20"/>
          <w:spacing w:val="-2"/>
          <w:w w:val="105"/>
        </w:rPr>
        <w:t>PRI</w:t>
      </w:r>
      <w:r>
        <w:rPr>
          <w:color w:val="231F20"/>
          <w:spacing w:val="-29"/>
          <w:w w:val="105"/>
        </w:rPr>
        <w:t> </w:t>
      </w:r>
      <w:r>
        <w:rPr>
          <w:color w:val="231F20"/>
          <w:spacing w:val="-3"/>
          <w:w w:val="105"/>
        </w:rPr>
        <w:t>volvió</w:t>
      </w:r>
      <w:r>
        <w:rPr>
          <w:color w:val="231F20"/>
          <w:spacing w:val="-29"/>
          <w:w w:val="105"/>
        </w:rPr>
        <w:t> </w:t>
      </w:r>
      <w:r>
        <w:rPr>
          <w:color w:val="231F20"/>
          <w:w w:val="105"/>
        </w:rPr>
        <w:t>a</w:t>
      </w:r>
      <w:r>
        <w:rPr>
          <w:color w:val="231F20"/>
          <w:spacing w:val="-29"/>
          <w:w w:val="105"/>
        </w:rPr>
        <w:t> </w:t>
      </w:r>
      <w:r>
        <w:rPr>
          <w:color w:val="231F20"/>
          <w:w w:val="105"/>
        </w:rPr>
        <w:t>encabezar</w:t>
      </w:r>
      <w:r>
        <w:rPr>
          <w:color w:val="231F20"/>
          <w:spacing w:val="-29"/>
          <w:w w:val="105"/>
        </w:rPr>
        <w:t> </w:t>
      </w:r>
      <w:r>
        <w:rPr>
          <w:color w:val="231F20"/>
          <w:w w:val="105"/>
        </w:rPr>
        <w:t>esos</w:t>
      </w:r>
      <w:r>
        <w:rPr>
          <w:color w:val="231F20"/>
          <w:spacing w:val="-29"/>
          <w:w w:val="105"/>
        </w:rPr>
        <w:t> </w:t>
      </w:r>
      <w:r>
        <w:rPr>
          <w:color w:val="231F20"/>
          <w:w w:val="105"/>
        </w:rPr>
        <w:t>tres</w:t>
      </w:r>
      <w:r>
        <w:rPr>
          <w:color w:val="231F20"/>
          <w:spacing w:val="-29"/>
          <w:w w:val="105"/>
        </w:rPr>
        <w:t> </w:t>
      </w:r>
      <w:r>
        <w:rPr>
          <w:color w:val="231F20"/>
          <w:w w:val="105"/>
        </w:rPr>
        <w:t>cargos</w:t>
      </w:r>
      <w:r>
        <w:rPr>
          <w:color w:val="231F20"/>
          <w:spacing w:val="-29"/>
          <w:w w:val="105"/>
        </w:rPr>
        <w:t> </w:t>
      </w:r>
      <w:r>
        <w:rPr>
          <w:color w:val="231F20"/>
          <w:spacing w:val="-3"/>
          <w:w w:val="105"/>
        </w:rPr>
        <w:t>públicos.</w:t>
      </w:r>
    </w:p>
    <w:p>
      <w:pPr>
        <w:pStyle w:val="BodyText"/>
        <w:spacing w:before="3"/>
      </w:pPr>
      <w:r>
        <w:rPr/>
        <w:pict>
          <v:line style="position:absolute;mso-position-horizontal-relative:page;mso-position-vertical-relative:paragraph;z-index:5392;mso-wrap-distance-left:0;mso-wrap-distance-right:0" from="42.519699pt,15.289889pt" to="114.519699pt,15.289889pt" stroked="true" strokeweight="1pt" strokecolor="#231f20">
            <w10:wrap type="topAndBottom"/>
          </v:line>
        </w:pict>
      </w:r>
    </w:p>
    <w:p>
      <w:pPr>
        <w:pStyle w:val="ListParagraph"/>
        <w:numPr>
          <w:ilvl w:val="0"/>
          <w:numId w:val="3"/>
        </w:numPr>
        <w:tabs>
          <w:tab w:pos="305" w:val="left" w:leader="none"/>
        </w:tabs>
        <w:spacing w:line="244" w:lineRule="auto" w:before="8" w:after="0"/>
        <w:ind w:left="110" w:right="107" w:firstLine="0"/>
        <w:jc w:val="both"/>
        <w:rPr>
          <w:sz w:val="16"/>
        </w:rPr>
      </w:pPr>
      <w:r>
        <w:rPr>
          <w:color w:val="231F20"/>
          <w:sz w:val="16"/>
        </w:rPr>
        <w:t>Guillermo</w:t>
      </w:r>
      <w:r>
        <w:rPr>
          <w:color w:val="231F20"/>
          <w:spacing w:val="-6"/>
          <w:sz w:val="16"/>
        </w:rPr>
        <w:t> </w:t>
      </w:r>
      <w:r>
        <w:rPr>
          <w:color w:val="231F20"/>
          <w:sz w:val="16"/>
        </w:rPr>
        <w:t>Espinoza</w:t>
      </w:r>
      <w:r>
        <w:rPr>
          <w:color w:val="231F20"/>
          <w:spacing w:val="-6"/>
          <w:sz w:val="16"/>
        </w:rPr>
        <w:t> </w:t>
      </w:r>
      <w:r>
        <w:rPr>
          <w:color w:val="231F20"/>
          <w:sz w:val="16"/>
        </w:rPr>
        <w:t>Cruz</w:t>
      </w:r>
      <w:r>
        <w:rPr>
          <w:color w:val="231F20"/>
          <w:spacing w:val="-6"/>
          <w:sz w:val="16"/>
        </w:rPr>
        <w:t> </w:t>
      </w:r>
      <w:r>
        <w:rPr>
          <w:color w:val="231F20"/>
          <w:sz w:val="16"/>
        </w:rPr>
        <w:t>ha</w:t>
      </w:r>
      <w:r>
        <w:rPr>
          <w:color w:val="231F20"/>
          <w:spacing w:val="-6"/>
          <w:sz w:val="16"/>
        </w:rPr>
        <w:t> </w:t>
      </w:r>
      <w:r>
        <w:rPr>
          <w:color w:val="231F20"/>
          <w:sz w:val="16"/>
        </w:rPr>
        <w:t>sido</w:t>
      </w:r>
      <w:r>
        <w:rPr>
          <w:color w:val="231F20"/>
          <w:spacing w:val="-6"/>
          <w:sz w:val="16"/>
        </w:rPr>
        <w:t> </w:t>
      </w:r>
      <w:r>
        <w:rPr>
          <w:color w:val="231F20"/>
          <w:sz w:val="16"/>
        </w:rPr>
        <w:t>miembro</w:t>
      </w:r>
      <w:r>
        <w:rPr>
          <w:color w:val="231F20"/>
          <w:spacing w:val="-6"/>
          <w:sz w:val="16"/>
        </w:rPr>
        <w:t> </w:t>
      </w:r>
      <w:r>
        <w:rPr>
          <w:color w:val="231F20"/>
          <w:sz w:val="16"/>
        </w:rPr>
        <w:t>activo</w:t>
      </w:r>
      <w:r>
        <w:rPr>
          <w:color w:val="231F20"/>
          <w:spacing w:val="-6"/>
          <w:sz w:val="16"/>
        </w:rPr>
        <w:t> </w:t>
      </w:r>
      <w:r>
        <w:rPr>
          <w:color w:val="231F20"/>
          <w:sz w:val="16"/>
        </w:rPr>
        <w:t>del</w:t>
      </w:r>
      <w:r>
        <w:rPr>
          <w:color w:val="231F20"/>
          <w:spacing w:val="-6"/>
          <w:sz w:val="16"/>
        </w:rPr>
        <w:t> </w:t>
      </w:r>
      <w:r>
        <w:rPr>
          <w:color w:val="231F20"/>
          <w:spacing w:val="-4"/>
          <w:sz w:val="16"/>
        </w:rPr>
        <w:t>PAN</w:t>
      </w:r>
      <w:r>
        <w:rPr>
          <w:color w:val="231F20"/>
          <w:spacing w:val="-6"/>
          <w:sz w:val="16"/>
        </w:rPr>
        <w:t> </w:t>
      </w:r>
      <w:r>
        <w:rPr>
          <w:color w:val="231F20"/>
          <w:sz w:val="16"/>
        </w:rPr>
        <w:t>desde</w:t>
      </w:r>
      <w:r>
        <w:rPr>
          <w:color w:val="231F20"/>
          <w:spacing w:val="-6"/>
          <w:sz w:val="16"/>
        </w:rPr>
        <w:t> </w:t>
      </w:r>
      <w:r>
        <w:rPr>
          <w:color w:val="231F20"/>
          <w:sz w:val="16"/>
        </w:rPr>
        <w:t>el</w:t>
      </w:r>
      <w:r>
        <w:rPr>
          <w:color w:val="231F20"/>
          <w:spacing w:val="-6"/>
          <w:sz w:val="16"/>
        </w:rPr>
        <w:t> </w:t>
      </w:r>
      <w:r>
        <w:rPr>
          <w:color w:val="231F20"/>
          <w:sz w:val="16"/>
        </w:rPr>
        <w:t>año</w:t>
      </w:r>
      <w:r>
        <w:rPr>
          <w:color w:val="231F20"/>
          <w:spacing w:val="-6"/>
          <w:sz w:val="16"/>
        </w:rPr>
        <w:t> </w:t>
      </w:r>
      <w:r>
        <w:rPr>
          <w:color w:val="231F20"/>
          <w:sz w:val="16"/>
        </w:rPr>
        <w:t>de</w:t>
      </w:r>
      <w:r>
        <w:rPr>
          <w:color w:val="231F20"/>
          <w:spacing w:val="-6"/>
          <w:sz w:val="16"/>
        </w:rPr>
        <w:t> </w:t>
      </w:r>
      <w:r>
        <w:rPr>
          <w:color w:val="231F20"/>
          <w:sz w:val="16"/>
        </w:rPr>
        <w:t>1988</w:t>
      </w:r>
      <w:r>
        <w:rPr>
          <w:color w:val="231F20"/>
          <w:spacing w:val="-6"/>
          <w:sz w:val="16"/>
        </w:rPr>
        <w:t> </w:t>
      </w:r>
      <w:r>
        <w:rPr>
          <w:color w:val="231F20"/>
          <w:sz w:val="16"/>
        </w:rPr>
        <w:t>y</w:t>
      </w:r>
      <w:r>
        <w:rPr>
          <w:color w:val="231F20"/>
          <w:spacing w:val="-6"/>
          <w:sz w:val="16"/>
        </w:rPr>
        <w:t> </w:t>
      </w:r>
      <w:r>
        <w:rPr>
          <w:color w:val="231F20"/>
          <w:sz w:val="16"/>
        </w:rPr>
        <w:t>su</w:t>
      </w:r>
      <w:r>
        <w:rPr>
          <w:color w:val="231F20"/>
          <w:spacing w:val="-6"/>
          <w:sz w:val="16"/>
        </w:rPr>
        <w:t> </w:t>
      </w:r>
      <w:r>
        <w:rPr>
          <w:color w:val="231F20"/>
          <w:sz w:val="16"/>
        </w:rPr>
        <w:t>carrera</w:t>
      </w:r>
      <w:r>
        <w:rPr>
          <w:color w:val="231F20"/>
          <w:spacing w:val="-6"/>
          <w:sz w:val="16"/>
        </w:rPr>
        <w:t> </w:t>
      </w:r>
      <w:r>
        <w:rPr>
          <w:color w:val="231F20"/>
          <w:sz w:val="16"/>
        </w:rPr>
        <w:t>política</w:t>
      </w:r>
      <w:r>
        <w:rPr>
          <w:color w:val="231F20"/>
          <w:spacing w:val="-6"/>
          <w:sz w:val="16"/>
        </w:rPr>
        <w:t> </w:t>
      </w:r>
      <w:r>
        <w:rPr>
          <w:color w:val="231F20"/>
          <w:sz w:val="16"/>
        </w:rPr>
        <w:t>la</w:t>
      </w:r>
      <w:r>
        <w:rPr>
          <w:color w:val="231F20"/>
          <w:spacing w:val="-6"/>
          <w:sz w:val="16"/>
        </w:rPr>
        <w:t> </w:t>
      </w:r>
      <w:r>
        <w:rPr>
          <w:color w:val="231F20"/>
          <w:sz w:val="16"/>
        </w:rPr>
        <w:t>había</w:t>
      </w:r>
      <w:r>
        <w:rPr>
          <w:color w:val="231F20"/>
          <w:spacing w:val="-6"/>
          <w:sz w:val="16"/>
        </w:rPr>
        <w:t> </w:t>
      </w:r>
      <w:r>
        <w:rPr>
          <w:color w:val="231F20"/>
          <w:sz w:val="16"/>
        </w:rPr>
        <w:t>desarrollado al interior de municipio huixquiluquense. Previo a su candidatura como presidente municipal del año 2000 fungió como candidato</w:t>
      </w:r>
      <w:r>
        <w:rPr>
          <w:color w:val="231F20"/>
          <w:spacing w:val="-7"/>
          <w:sz w:val="16"/>
        </w:rPr>
        <w:t> </w:t>
      </w:r>
      <w:r>
        <w:rPr>
          <w:color w:val="231F20"/>
          <w:sz w:val="16"/>
        </w:rPr>
        <w:t>suplente</w:t>
      </w:r>
      <w:r>
        <w:rPr>
          <w:color w:val="231F20"/>
          <w:spacing w:val="-7"/>
          <w:sz w:val="16"/>
        </w:rPr>
        <w:t> </w:t>
      </w:r>
      <w:r>
        <w:rPr>
          <w:color w:val="231F20"/>
          <w:sz w:val="16"/>
        </w:rPr>
        <w:t>a</w:t>
      </w:r>
      <w:r>
        <w:rPr>
          <w:color w:val="231F20"/>
          <w:spacing w:val="-7"/>
          <w:sz w:val="16"/>
        </w:rPr>
        <w:t> </w:t>
      </w:r>
      <w:r>
        <w:rPr>
          <w:color w:val="231F20"/>
          <w:sz w:val="16"/>
        </w:rPr>
        <w:t>diputado</w:t>
      </w:r>
      <w:r>
        <w:rPr>
          <w:color w:val="231F20"/>
          <w:spacing w:val="-7"/>
          <w:sz w:val="16"/>
        </w:rPr>
        <w:t> </w:t>
      </w:r>
      <w:r>
        <w:rPr>
          <w:color w:val="231F20"/>
          <w:sz w:val="16"/>
        </w:rPr>
        <w:t>local</w:t>
      </w:r>
      <w:r>
        <w:rPr>
          <w:color w:val="231F20"/>
          <w:spacing w:val="-7"/>
          <w:sz w:val="16"/>
        </w:rPr>
        <w:t> </w:t>
      </w:r>
      <w:r>
        <w:rPr>
          <w:color w:val="231F20"/>
          <w:sz w:val="16"/>
        </w:rPr>
        <w:t>por</w:t>
      </w:r>
      <w:r>
        <w:rPr>
          <w:color w:val="231F20"/>
          <w:spacing w:val="-7"/>
          <w:sz w:val="16"/>
        </w:rPr>
        <w:t> </w:t>
      </w:r>
      <w:r>
        <w:rPr>
          <w:color w:val="231F20"/>
          <w:sz w:val="16"/>
        </w:rPr>
        <w:t>la</w:t>
      </w:r>
      <w:r>
        <w:rPr>
          <w:color w:val="231F20"/>
          <w:spacing w:val="-7"/>
          <w:sz w:val="16"/>
        </w:rPr>
        <w:t> </w:t>
      </w:r>
      <w:r>
        <w:rPr>
          <w:color w:val="231F20"/>
          <w:sz w:val="16"/>
        </w:rPr>
        <w:t>vía</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representación</w:t>
      </w:r>
      <w:r>
        <w:rPr>
          <w:color w:val="231F20"/>
          <w:spacing w:val="-7"/>
          <w:sz w:val="16"/>
        </w:rPr>
        <w:t> </w:t>
      </w:r>
      <w:r>
        <w:rPr>
          <w:color w:val="231F20"/>
          <w:sz w:val="16"/>
        </w:rPr>
        <w:t>proporcional</w:t>
      </w:r>
      <w:r>
        <w:rPr>
          <w:color w:val="231F20"/>
          <w:spacing w:val="-7"/>
          <w:sz w:val="16"/>
        </w:rPr>
        <w:t> </w:t>
      </w:r>
      <w:r>
        <w:rPr>
          <w:color w:val="231F20"/>
          <w:spacing w:val="-4"/>
          <w:sz w:val="16"/>
        </w:rPr>
        <w:t>(1990-1993),</w:t>
      </w:r>
      <w:r>
        <w:rPr>
          <w:color w:val="231F20"/>
          <w:spacing w:val="-7"/>
          <w:sz w:val="16"/>
        </w:rPr>
        <w:t> </w:t>
      </w:r>
      <w:r>
        <w:rPr>
          <w:color w:val="231F20"/>
          <w:sz w:val="16"/>
        </w:rPr>
        <w:t>así</w:t>
      </w:r>
      <w:r>
        <w:rPr>
          <w:color w:val="231F20"/>
          <w:spacing w:val="-7"/>
          <w:sz w:val="16"/>
        </w:rPr>
        <w:t> </w:t>
      </w:r>
      <w:r>
        <w:rPr>
          <w:color w:val="231F20"/>
          <w:sz w:val="16"/>
        </w:rPr>
        <w:t>como</w:t>
      </w:r>
      <w:r>
        <w:rPr>
          <w:color w:val="231F20"/>
          <w:spacing w:val="-7"/>
          <w:sz w:val="16"/>
        </w:rPr>
        <w:t> </w:t>
      </w:r>
      <w:r>
        <w:rPr>
          <w:color w:val="231F20"/>
          <w:sz w:val="16"/>
        </w:rPr>
        <w:t>regidor</w:t>
      </w:r>
      <w:r>
        <w:rPr>
          <w:color w:val="231F20"/>
          <w:spacing w:val="-7"/>
          <w:sz w:val="16"/>
        </w:rPr>
        <w:t> </w:t>
      </w:r>
      <w:r>
        <w:rPr>
          <w:color w:val="231F20"/>
          <w:sz w:val="16"/>
        </w:rPr>
        <w:t>plurinominal en</w:t>
      </w:r>
      <w:r>
        <w:rPr>
          <w:color w:val="231F20"/>
          <w:spacing w:val="-11"/>
          <w:sz w:val="16"/>
        </w:rPr>
        <w:t> </w:t>
      </w:r>
      <w:r>
        <w:rPr>
          <w:color w:val="231F20"/>
          <w:sz w:val="16"/>
        </w:rPr>
        <w:t>el</w:t>
      </w:r>
      <w:r>
        <w:rPr>
          <w:color w:val="231F20"/>
          <w:spacing w:val="-11"/>
          <w:sz w:val="16"/>
        </w:rPr>
        <w:t> </w:t>
      </w:r>
      <w:r>
        <w:rPr>
          <w:color w:val="231F20"/>
          <w:sz w:val="16"/>
        </w:rPr>
        <w:t>ayuntamiento</w:t>
      </w:r>
      <w:r>
        <w:rPr>
          <w:color w:val="231F20"/>
          <w:spacing w:val="-11"/>
          <w:sz w:val="16"/>
        </w:rPr>
        <w:t> </w:t>
      </w:r>
      <w:r>
        <w:rPr>
          <w:color w:val="231F20"/>
          <w:sz w:val="16"/>
        </w:rPr>
        <w:t>huixquiluquense</w:t>
      </w:r>
      <w:r>
        <w:rPr>
          <w:color w:val="231F20"/>
          <w:spacing w:val="-11"/>
          <w:sz w:val="16"/>
        </w:rPr>
        <w:t> </w:t>
      </w:r>
      <w:r>
        <w:rPr>
          <w:color w:val="231F20"/>
          <w:spacing w:val="-4"/>
          <w:sz w:val="16"/>
        </w:rPr>
        <w:t>(1993-1996).</w:t>
      </w:r>
      <w:r>
        <w:rPr>
          <w:color w:val="231F20"/>
          <w:spacing w:val="-11"/>
          <w:sz w:val="16"/>
        </w:rPr>
        <w:t> </w:t>
      </w:r>
      <w:r>
        <w:rPr>
          <w:color w:val="231F20"/>
          <w:sz w:val="16"/>
        </w:rPr>
        <w:t>También</w:t>
      </w:r>
      <w:r>
        <w:rPr>
          <w:color w:val="231F20"/>
          <w:spacing w:val="-11"/>
          <w:sz w:val="16"/>
        </w:rPr>
        <w:t> </w:t>
      </w:r>
      <w:r>
        <w:rPr>
          <w:color w:val="231F20"/>
          <w:sz w:val="16"/>
        </w:rPr>
        <w:t>fue</w:t>
      </w:r>
      <w:r>
        <w:rPr>
          <w:color w:val="231F20"/>
          <w:spacing w:val="-11"/>
          <w:sz w:val="16"/>
        </w:rPr>
        <w:t> </w:t>
      </w:r>
      <w:r>
        <w:rPr>
          <w:color w:val="231F20"/>
          <w:sz w:val="16"/>
        </w:rPr>
        <w:t>diputado</w:t>
      </w:r>
      <w:r>
        <w:rPr>
          <w:color w:val="231F20"/>
          <w:spacing w:val="-11"/>
          <w:sz w:val="16"/>
        </w:rPr>
        <w:t> </w:t>
      </w:r>
      <w:r>
        <w:rPr>
          <w:color w:val="231F20"/>
          <w:sz w:val="16"/>
        </w:rPr>
        <w:t>local</w:t>
      </w:r>
      <w:r>
        <w:rPr>
          <w:color w:val="231F20"/>
          <w:spacing w:val="-11"/>
          <w:sz w:val="16"/>
        </w:rPr>
        <w:t> </w:t>
      </w:r>
      <w:r>
        <w:rPr>
          <w:color w:val="231F20"/>
          <w:sz w:val="16"/>
        </w:rPr>
        <w:t>por</w:t>
      </w:r>
      <w:r>
        <w:rPr>
          <w:color w:val="231F20"/>
          <w:spacing w:val="-11"/>
          <w:sz w:val="16"/>
        </w:rPr>
        <w:t> </w:t>
      </w:r>
      <w:r>
        <w:rPr>
          <w:color w:val="231F20"/>
          <w:sz w:val="16"/>
        </w:rPr>
        <w:t>la</w:t>
      </w:r>
      <w:r>
        <w:rPr>
          <w:color w:val="231F20"/>
          <w:spacing w:val="-11"/>
          <w:sz w:val="16"/>
        </w:rPr>
        <w:t> </w:t>
      </w:r>
      <w:r>
        <w:rPr>
          <w:color w:val="231F20"/>
          <w:sz w:val="16"/>
        </w:rPr>
        <w:t>vía</w:t>
      </w:r>
      <w:r>
        <w:rPr>
          <w:color w:val="231F20"/>
          <w:spacing w:val="-11"/>
          <w:sz w:val="16"/>
        </w:rPr>
        <w:t> </w:t>
      </w:r>
      <w:r>
        <w:rPr>
          <w:color w:val="231F20"/>
          <w:sz w:val="16"/>
        </w:rPr>
        <w:t>proporcional</w:t>
      </w:r>
      <w:r>
        <w:rPr>
          <w:color w:val="231F20"/>
          <w:spacing w:val="-11"/>
          <w:sz w:val="16"/>
        </w:rPr>
        <w:t> </w:t>
      </w:r>
      <w:r>
        <w:rPr>
          <w:color w:val="231F20"/>
          <w:sz w:val="16"/>
        </w:rPr>
        <w:t>entre</w:t>
      </w:r>
      <w:r>
        <w:rPr>
          <w:color w:val="231F20"/>
          <w:spacing w:val="-11"/>
          <w:sz w:val="16"/>
        </w:rPr>
        <w:t> </w:t>
      </w:r>
      <w:r>
        <w:rPr>
          <w:color w:val="231F20"/>
          <w:spacing w:val="-3"/>
          <w:sz w:val="16"/>
        </w:rPr>
        <w:t>1996-1999.</w:t>
      </w:r>
      <w:r>
        <w:rPr>
          <w:color w:val="231F20"/>
          <w:spacing w:val="-11"/>
          <w:sz w:val="16"/>
        </w:rPr>
        <w:t> </w:t>
      </w:r>
      <w:r>
        <w:rPr>
          <w:color w:val="231F20"/>
          <w:sz w:val="16"/>
        </w:rPr>
        <w:t>En</w:t>
      </w:r>
      <w:r>
        <w:rPr>
          <w:color w:val="231F20"/>
          <w:spacing w:val="-11"/>
          <w:sz w:val="16"/>
        </w:rPr>
        <w:t> </w:t>
      </w:r>
      <w:r>
        <w:rPr>
          <w:color w:val="231F20"/>
          <w:sz w:val="16"/>
        </w:rPr>
        <w:t>los comicios</w:t>
      </w:r>
      <w:r>
        <w:rPr>
          <w:color w:val="231F20"/>
          <w:spacing w:val="-9"/>
          <w:sz w:val="16"/>
        </w:rPr>
        <w:t> </w:t>
      </w:r>
      <w:r>
        <w:rPr>
          <w:color w:val="231F20"/>
          <w:sz w:val="16"/>
        </w:rPr>
        <w:t>del</w:t>
      </w:r>
      <w:r>
        <w:rPr>
          <w:color w:val="231F20"/>
          <w:spacing w:val="-9"/>
          <w:sz w:val="16"/>
        </w:rPr>
        <w:t> </w:t>
      </w:r>
      <w:r>
        <w:rPr>
          <w:color w:val="231F20"/>
          <w:sz w:val="16"/>
        </w:rPr>
        <w:t>año</w:t>
      </w:r>
      <w:r>
        <w:rPr>
          <w:color w:val="231F20"/>
          <w:spacing w:val="-9"/>
          <w:sz w:val="16"/>
        </w:rPr>
        <w:t> </w:t>
      </w:r>
      <w:r>
        <w:rPr>
          <w:color w:val="231F20"/>
          <w:sz w:val="16"/>
        </w:rPr>
        <w:t>2000</w:t>
      </w:r>
      <w:r>
        <w:rPr>
          <w:color w:val="231F20"/>
          <w:spacing w:val="-9"/>
          <w:sz w:val="16"/>
        </w:rPr>
        <w:t> </w:t>
      </w:r>
      <w:r>
        <w:rPr>
          <w:color w:val="231F20"/>
          <w:sz w:val="16"/>
        </w:rPr>
        <w:t>obtuvo</w:t>
      </w:r>
      <w:r>
        <w:rPr>
          <w:color w:val="231F20"/>
          <w:spacing w:val="-9"/>
          <w:sz w:val="16"/>
        </w:rPr>
        <w:t> </w:t>
      </w:r>
      <w:r>
        <w:rPr>
          <w:color w:val="231F20"/>
          <w:sz w:val="16"/>
        </w:rPr>
        <w:t>su</w:t>
      </w:r>
      <w:r>
        <w:rPr>
          <w:color w:val="231F20"/>
          <w:spacing w:val="-9"/>
          <w:sz w:val="16"/>
        </w:rPr>
        <w:t> </w:t>
      </w:r>
      <w:r>
        <w:rPr>
          <w:color w:val="231F20"/>
          <w:sz w:val="16"/>
        </w:rPr>
        <w:t>primer</w:t>
      </w:r>
      <w:r>
        <w:rPr>
          <w:color w:val="231F20"/>
          <w:spacing w:val="-9"/>
          <w:sz w:val="16"/>
        </w:rPr>
        <w:t> </w:t>
      </w:r>
      <w:r>
        <w:rPr>
          <w:color w:val="231F20"/>
          <w:sz w:val="16"/>
        </w:rPr>
        <w:t>triunfo</w:t>
      </w:r>
      <w:r>
        <w:rPr>
          <w:color w:val="231F20"/>
          <w:spacing w:val="-9"/>
          <w:sz w:val="16"/>
        </w:rPr>
        <w:t> </w:t>
      </w:r>
      <w:r>
        <w:rPr>
          <w:color w:val="231F20"/>
          <w:sz w:val="16"/>
        </w:rPr>
        <w:t>electoral</w:t>
      </w:r>
      <w:r>
        <w:rPr>
          <w:color w:val="231F20"/>
          <w:spacing w:val="-9"/>
          <w:sz w:val="16"/>
        </w:rPr>
        <w:t> </w:t>
      </w:r>
      <w:r>
        <w:rPr>
          <w:color w:val="231F20"/>
          <w:sz w:val="16"/>
        </w:rPr>
        <w:t>por</w:t>
      </w:r>
      <w:r>
        <w:rPr>
          <w:color w:val="231F20"/>
          <w:spacing w:val="-9"/>
          <w:sz w:val="16"/>
        </w:rPr>
        <w:t> </w:t>
      </w:r>
      <w:r>
        <w:rPr>
          <w:color w:val="231F20"/>
          <w:sz w:val="16"/>
        </w:rPr>
        <w:t>la</w:t>
      </w:r>
      <w:r>
        <w:rPr>
          <w:color w:val="231F20"/>
          <w:spacing w:val="-9"/>
          <w:sz w:val="16"/>
        </w:rPr>
        <w:t> </w:t>
      </w:r>
      <w:r>
        <w:rPr>
          <w:color w:val="231F20"/>
          <w:sz w:val="16"/>
        </w:rPr>
        <w:t>vía</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mayoría</w:t>
      </w:r>
      <w:r>
        <w:rPr>
          <w:color w:val="231F20"/>
          <w:spacing w:val="-9"/>
          <w:sz w:val="16"/>
        </w:rPr>
        <w:t> </w:t>
      </w:r>
      <w:r>
        <w:rPr>
          <w:color w:val="231F20"/>
          <w:sz w:val="16"/>
        </w:rPr>
        <w:t>relativa.</w:t>
      </w:r>
      <w:r>
        <w:rPr>
          <w:color w:val="231F20"/>
          <w:spacing w:val="-9"/>
          <w:sz w:val="16"/>
        </w:rPr>
        <w:t> </w:t>
      </w:r>
      <w:r>
        <w:rPr>
          <w:color w:val="231F20"/>
          <w:sz w:val="16"/>
        </w:rPr>
        <w:t>En</w:t>
      </w:r>
      <w:r>
        <w:rPr>
          <w:color w:val="231F20"/>
          <w:spacing w:val="-9"/>
          <w:sz w:val="16"/>
        </w:rPr>
        <w:t> </w:t>
      </w:r>
      <w:r>
        <w:rPr>
          <w:color w:val="231F20"/>
          <w:sz w:val="16"/>
        </w:rPr>
        <w:t>gran</w:t>
      </w:r>
      <w:r>
        <w:rPr>
          <w:color w:val="231F20"/>
          <w:spacing w:val="-9"/>
          <w:sz w:val="16"/>
        </w:rPr>
        <w:t> </w:t>
      </w:r>
      <w:r>
        <w:rPr>
          <w:color w:val="231F20"/>
          <w:sz w:val="16"/>
        </w:rPr>
        <w:t>medida,</w:t>
      </w:r>
      <w:r>
        <w:rPr>
          <w:color w:val="231F20"/>
          <w:spacing w:val="-9"/>
          <w:sz w:val="16"/>
        </w:rPr>
        <w:t> </w:t>
      </w:r>
      <w:r>
        <w:rPr>
          <w:color w:val="231F20"/>
          <w:sz w:val="16"/>
        </w:rPr>
        <w:t>el</w:t>
      </w:r>
      <w:r>
        <w:rPr>
          <w:color w:val="231F20"/>
          <w:spacing w:val="-9"/>
          <w:sz w:val="16"/>
        </w:rPr>
        <w:t> </w:t>
      </w:r>
      <w:r>
        <w:rPr>
          <w:color w:val="231F20"/>
          <w:sz w:val="16"/>
        </w:rPr>
        <w:t>triunfo</w:t>
      </w:r>
      <w:r>
        <w:rPr>
          <w:color w:val="231F20"/>
          <w:spacing w:val="-9"/>
          <w:sz w:val="16"/>
        </w:rPr>
        <w:t> </w:t>
      </w:r>
      <w:r>
        <w:rPr>
          <w:color w:val="231F20"/>
          <w:sz w:val="16"/>
        </w:rPr>
        <w:t>a</w:t>
      </w:r>
      <w:r>
        <w:rPr>
          <w:color w:val="231F20"/>
          <w:spacing w:val="-9"/>
          <w:sz w:val="16"/>
        </w:rPr>
        <w:t> </w:t>
      </w:r>
      <w:r>
        <w:rPr>
          <w:color w:val="231F20"/>
          <w:sz w:val="16"/>
        </w:rPr>
        <w:t>la</w:t>
      </w:r>
      <w:r>
        <w:rPr>
          <w:color w:val="231F20"/>
          <w:spacing w:val="-9"/>
          <w:sz w:val="16"/>
        </w:rPr>
        <w:t> </w:t>
      </w:r>
      <w:r>
        <w:rPr>
          <w:color w:val="231F20"/>
          <w:sz w:val="16"/>
        </w:rPr>
        <w:t>pre- sidencia</w:t>
      </w:r>
      <w:r>
        <w:rPr>
          <w:color w:val="231F20"/>
          <w:spacing w:val="-10"/>
          <w:sz w:val="16"/>
        </w:rPr>
        <w:t> </w:t>
      </w:r>
      <w:r>
        <w:rPr>
          <w:color w:val="231F20"/>
          <w:sz w:val="16"/>
        </w:rPr>
        <w:t>municipal</w:t>
      </w:r>
      <w:r>
        <w:rPr>
          <w:color w:val="231F20"/>
          <w:spacing w:val="-10"/>
          <w:sz w:val="16"/>
        </w:rPr>
        <w:t> </w:t>
      </w:r>
      <w:r>
        <w:rPr>
          <w:color w:val="231F20"/>
          <w:sz w:val="16"/>
        </w:rPr>
        <w:t>huixquiluquense</w:t>
      </w:r>
      <w:r>
        <w:rPr>
          <w:color w:val="231F20"/>
          <w:spacing w:val="-10"/>
          <w:sz w:val="16"/>
        </w:rPr>
        <w:t> </w:t>
      </w:r>
      <w:r>
        <w:rPr>
          <w:color w:val="231F20"/>
          <w:sz w:val="16"/>
        </w:rPr>
        <w:t>estuvo</w:t>
      </w:r>
      <w:r>
        <w:rPr>
          <w:color w:val="231F20"/>
          <w:spacing w:val="-10"/>
          <w:sz w:val="16"/>
        </w:rPr>
        <w:t> </w:t>
      </w:r>
      <w:r>
        <w:rPr>
          <w:color w:val="231F20"/>
          <w:sz w:val="16"/>
        </w:rPr>
        <w:t>influido</w:t>
      </w:r>
      <w:r>
        <w:rPr>
          <w:color w:val="231F20"/>
          <w:spacing w:val="-10"/>
          <w:sz w:val="16"/>
        </w:rPr>
        <w:t> </w:t>
      </w:r>
      <w:r>
        <w:rPr>
          <w:color w:val="231F20"/>
          <w:sz w:val="16"/>
        </w:rPr>
        <w:t>por</w:t>
      </w:r>
      <w:r>
        <w:rPr>
          <w:color w:val="231F20"/>
          <w:spacing w:val="-10"/>
          <w:sz w:val="16"/>
        </w:rPr>
        <w:t> </w:t>
      </w:r>
      <w:r>
        <w:rPr>
          <w:color w:val="231F20"/>
          <w:sz w:val="16"/>
        </w:rPr>
        <w:t>la</w:t>
      </w:r>
      <w:r>
        <w:rPr>
          <w:color w:val="231F20"/>
          <w:spacing w:val="-10"/>
          <w:sz w:val="16"/>
        </w:rPr>
        <w:t> </w:t>
      </w:r>
      <w:r>
        <w:rPr>
          <w:color w:val="231F20"/>
          <w:sz w:val="16"/>
        </w:rPr>
        <w:t>fuerte</w:t>
      </w:r>
      <w:r>
        <w:rPr>
          <w:color w:val="231F20"/>
          <w:spacing w:val="-10"/>
          <w:sz w:val="16"/>
        </w:rPr>
        <w:t> </w:t>
      </w:r>
      <w:r>
        <w:rPr>
          <w:color w:val="231F20"/>
          <w:sz w:val="16"/>
        </w:rPr>
        <w:t>campaña</w:t>
      </w:r>
      <w:r>
        <w:rPr>
          <w:color w:val="231F20"/>
          <w:spacing w:val="-10"/>
          <w:sz w:val="16"/>
        </w:rPr>
        <w:t> </w:t>
      </w:r>
      <w:r>
        <w:rPr>
          <w:color w:val="231F20"/>
          <w:sz w:val="16"/>
        </w:rPr>
        <w:t>electoral</w:t>
      </w:r>
      <w:r>
        <w:rPr>
          <w:color w:val="231F20"/>
          <w:spacing w:val="-10"/>
          <w:sz w:val="16"/>
        </w:rPr>
        <w:t> </w:t>
      </w:r>
      <w:r>
        <w:rPr>
          <w:color w:val="231F20"/>
          <w:sz w:val="16"/>
        </w:rPr>
        <w:t>del</w:t>
      </w:r>
      <w:r>
        <w:rPr>
          <w:color w:val="231F20"/>
          <w:spacing w:val="-10"/>
          <w:sz w:val="16"/>
        </w:rPr>
        <w:t> </w:t>
      </w:r>
      <w:r>
        <w:rPr>
          <w:color w:val="231F20"/>
          <w:sz w:val="16"/>
        </w:rPr>
        <w:t>entonces</w:t>
      </w:r>
      <w:r>
        <w:rPr>
          <w:color w:val="231F20"/>
          <w:spacing w:val="-10"/>
          <w:sz w:val="16"/>
        </w:rPr>
        <w:t> </w:t>
      </w:r>
      <w:r>
        <w:rPr>
          <w:color w:val="231F20"/>
          <w:sz w:val="16"/>
        </w:rPr>
        <w:t>candidato</w:t>
      </w:r>
      <w:r>
        <w:rPr>
          <w:color w:val="231F20"/>
          <w:spacing w:val="-10"/>
          <w:sz w:val="16"/>
        </w:rPr>
        <w:t> </w:t>
      </w:r>
      <w:r>
        <w:rPr>
          <w:color w:val="231F20"/>
          <w:sz w:val="16"/>
        </w:rPr>
        <w:t>a</w:t>
      </w:r>
      <w:r>
        <w:rPr>
          <w:color w:val="231F20"/>
          <w:spacing w:val="-10"/>
          <w:sz w:val="16"/>
        </w:rPr>
        <w:t> </w:t>
      </w:r>
      <w:r>
        <w:rPr>
          <w:color w:val="231F20"/>
          <w:sz w:val="16"/>
        </w:rPr>
        <w:t>la</w:t>
      </w:r>
      <w:r>
        <w:rPr>
          <w:color w:val="231F20"/>
          <w:spacing w:val="-10"/>
          <w:sz w:val="16"/>
        </w:rPr>
        <w:t> </w:t>
      </w:r>
      <w:r>
        <w:rPr>
          <w:color w:val="231F20"/>
          <w:sz w:val="16"/>
        </w:rPr>
        <w:t>presidencia, Vicente</w:t>
      </w:r>
      <w:r>
        <w:rPr>
          <w:color w:val="231F20"/>
          <w:spacing w:val="-8"/>
          <w:sz w:val="16"/>
        </w:rPr>
        <w:t> </w:t>
      </w:r>
      <w:r>
        <w:rPr>
          <w:color w:val="231F20"/>
          <w:sz w:val="16"/>
        </w:rPr>
        <w:t>Fox</w:t>
      </w:r>
      <w:r>
        <w:rPr>
          <w:color w:val="231F20"/>
          <w:spacing w:val="-8"/>
          <w:sz w:val="16"/>
        </w:rPr>
        <w:t> </w:t>
      </w:r>
      <w:r>
        <w:rPr>
          <w:color w:val="231F20"/>
          <w:sz w:val="16"/>
        </w:rPr>
        <w:t>Quesada,</w:t>
      </w:r>
      <w:r>
        <w:rPr>
          <w:color w:val="231F20"/>
          <w:spacing w:val="-8"/>
          <w:sz w:val="16"/>
        </w:rPr>
        <w:t> </w:t>
      </w:r>
      <w:r>
        <w:rPr>
          <w:color w:val="231F20"/>
          <w:sz w:val="16"/>
        </w:rPr>
        <w:t>y</w:t>
      </w:r>
      <w:r>
        <w:rPr>
          <w:color w:val="231F20"/>
          <w:spacing w:val="-8"/>
          <w:sz w:val="16"/>
        </w:rPr>
        <w:t> </w:t>
      </w:r>
      <w:r>
        <w:rPr>
          <w:color w:val="231F20"/>
          <w:sz w:val="16"/>
        </w:rPr>
        <w:t>no</w:t>
      </w:r>
      <w:r>
        <w:rPr>
          <w:color w:val="231F20"/>
          <w:spacing w:val="-8"/>
          <w:sz w:val="16"/>
        </w:rPr>
        <w:t> </w:t>
      </w:r>
      <w:r>
        <w:rPr>
          <w:color w:val="231F20"/>
          <w:sz w:val="16"/>
        </w:rPr>
        <w:t>tanto</w:t>
      </w:r>
      <w:r>
        <w:rPr>
          <w:color w:val="231F20"/>
          <w:spacing w:val="-8"/>
          <w:sz w:val="16"/>
        </w:rPr>
        <w:t> </w:t>
      </w:r>
      <w:r>
        <w:rPr>
          <w:color w:val="231F20"/>
          <w:sz w:val="16"/>
        </w:rPr>
        <w:t>por</w:t>
      </w:r>
      <w:r>
        <w:rPr>
          <w:color w:val="231F20"/>
          <w:spacing w:val="-8"/>
          <w:sz w:val="16"/>
        </w:rPr>
        <w:t> </w:t>
      </w:r>
      <w:r>
        <w:rPr>
          <w:color w:val="231F20"/>
          <w:sz w:val="16"/>
        </w:rPr>
        <w:t>el</w:t>
      </w:r>
      <w:r>
        <w:rPr>
          <w:color w:val="231F20"/>
          <w:spacing w:val="-8"/>
          <w:sz w:val="16"/>
        </w:rPr>
        <w:t> </w:t>
      </w:r>
      <w:r>
        <w:rPr>
          <w:color w:val="231F20"/>
          <w:sz w:val="16"/>
        </w:rPr>
        <w:t>crecimiento</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presencia</w:t>
      </w:r>
      <w:r>
        <w:rPr>
          <w:color w:val="231F20"/>
          <w:spacing w:val="-8"/>
          <w:sz w:val="16"/>
        </w:rPr>
        <w:t> </w:t>
      </w:r>
      <w:r>
        <w:rPr>
          <w:color w:val="231F20"/>
          <w:sz w:val="16"/>
        </w:rPr>
        <w:t>del</w:t>
      </w:r>
      <w:r>
        <w:rPr>
          <w:color w:val="231F20"/>
          <w:spacing w:val="-8"/>
          <w:sz w:val="16"/>
        </w:rPr>
        <w:t> </w:t>
      </w:r>
      <w:r>
        <w:rPr>
          <w:color w:val="231F20"/>
          <w:spacing w:val="-4"/>
          <w:sz w:val="16"/>
        </w:rPr>
        <w:t>PAN</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municipio</w:t>
      </w:r>
      <w:r>
        <w:rPr>
          <w:color w:val="231F20"/>
          <w:spacing w:val="-8"/>
          <w:sz w:val="16"/>
        </w:rPr>
        <w:t> </w:t>
      </w:r>
      <w:r>
        <w:rPr>
          <w:color w:val="231F20"/>
          <w:sz w:val="16"/>
        </w:rPr>
        <w:t>(que</w:t>
      </w:r>
      <w:r>
        <w:rPr>
          <w:color w:val="231F20"/>
          <w:spacing w:val="-8"/>
          <w:sz w:val="16"/>
        </w:rPr>
        <w:t> </w:t>
      </w:r>
      <w:r>
        <w:rPr>
          <w:color w:val="231F20"/>
          <w:sz w:val="16"/>
        </w:rPr>
        <w:t>ha</w:t>
      </w:r>
      <w:r>
        <w:rPr>
          <w:color w:val="231F20"/>
          <w:spacing w:val="-8"/>
          <w:sz w:val="16"/>
        </w:rPr>
        <w:t> </w:t>
      </w:r>
      <w:r>
        <w:rPr>
          <w:color w:val="231F20"/>
          <w:sz w:val="16"/>
        </w:rPr>
        <w:t>tendido</w:t>
      </w:r>
      <w:r>
        <w:rPr>
          <w:color w:val="231F20"/>
          <w:spacing w:val="-8"/>
          <w:sz w:val="16"/>
        </w:rPr>
        <w:t> </w:t>
      </w:r>
      <w:r>
        <w:rPr>
          <w:color w:val="231F20"/>
          <w:sz w:val="16"/>
        </w:rPr>
        <w:t>a</w:t>
      </w:r>
      <w:r>
        <w:rPr>
          <w:color w:val="231F20"/>
          <w:spacing w:val="-8"/>
          <w:sz w:val="16"/>
        </w:rPr>
        <w:t> </w:t>
      </w:r>
      <w:r>
        <w:rPr>
          <w:color w:val="231F20"/>
          <w:sz w:val="16"/>
        </w:rPr>
        <w:t>ser</w:t>
      </w:r>
      <w:r>
        <w:rPr>
          <w:color w:val="231F20"/>
          <w:spacing w:val="-8"/>
          <w:sz w:val="16"/>
        </w:rPr>
        <w:t> </w:t>
      </w:r>
      <w:r>
        <w:rPr>
          <w:color w:val="231F20"/>
          <w:sz w:val="16"/>
        </w:rPr>
        <w:t>creciente), de ahí que también el partido no haya logrado retener los cargos obtenidos. Además, durante su administración, Espinoza Cruz</w:t>
      </w:r>
      <w:r>
        <w:rPr>
          <w:color w:val="231F20"/>
          <w:spacing w:val="-12"/>
          <w:sz w:val="16"/>
        </w:rPr>
        <w:t> </w:t>
      </w:r>
      <w:r>
        <w:rPr>
          <w:color w:val="231F20"/>
          <w:sz w:val="16"/>
        </w:rPr>
        <w:t>experimentó</w:t>
      </w:r>
      <w:r>
        <w:rPr>
          <w:color w:val="231F20"/>
          <w:spacing w:val="-12"/>
          <w:sz w:val="16"/>
        </w:rPr>
        <w:t> </w:t>
      </w:r>
      <w:r>
        <w:rPr>
          <w:color w:val="231F20"/>
          <w:sz w:val="16"/>
        </w:rPr>
        <w:t>fuertes</w:t>
      </w:r>
      <w:r>
        <w:rPr>
          <w:color w:val="231F20"/>
          <w:spacing w:val="-12"/>
          <w:sz w:val="16"/>
        </w:rPr>
        <w:t> </w:t>
      </w:r>
      <w:r>
        <w:rPr>
          <w:color w:val="231F20"/>
          <w:sz w:val="16"/>
        </w:rPr>
        <w:t>presiones</w:t>
      </w:r>
      <w:r>
        <w:rPr>
          <w:color w:val="231F20"/>
          <w:spacing w:val="-12"/>
          <w:sz w:val="16"/>
        </w:rPr>
        <w:t> </w:t>
      </w:r>
      <w:r>
        <w:rPr>
          <w:color w:val="231F20"/>
          <w:sz w:val="16"/>
        </w:rPr>
        <w:t>de</w:t>
      </w:r>
      <w:r>
        <w:rPr>
          <w:color w:val="231F20"/>
          <w:spacing w:val="-12"/>
          <w:sz w:val="16"/>
        </w:rPr>
        <w:t> </w:t>
      </w:r>
      <w:r>
        <w:rPr>
          <w:color w:val="231F20"/>
          <w:sz w:val="16"/>
        </w:rPr>
        <w:t>los</w:t>
      </w:r>
      <w:r>
        <w:rPr>
          <w:color w:val="231F20"/>
          <w:spacing w:val="-12"/>
          <w:sz w:val="16"/>
        </w:rPr>
        <w:t> </w:t>
      </w:r>
      <w:r>
        <w:rPr>
          <w:color w:val="231F20"/>
          <w:sz w:val="16"/>
        </w:rPr>
        <w:t>partidos</w:t>
      </w:r>
      <w:r>
        <w:rPr>
          <w:color w:val="231F20"/>
          <w:spacing w:val="-12"/>
          <w:sz w:val="16"/>
        </w:rPr>
        <w:t> </w:t>
      </w:r>
      <w:r>
        <w:rPr>
          <w:color w:val="231F20"/>
          <w:sz w:val="16"/>
        </w:rPr>
        <w:t>de</w:t>
      </w:r>
      <w:r>
        <w:rPr>
          <w:color w:val="231F20"/>
          <w:spacing w:val="-12"/>
          <w:sz w:val="16"/>
        </w:rPr>
        <w:t> </w:t>
      </w:r>
      <w:r>
        <w:rPr>
          <w:color w:val="231F20"/>
          <w:sz w:val="16"/>
        </w:rPr>
        <w:t>oposición,</w:t>
      </w:r>
      <w:r>
        <w:rPr>
          <w:color w:val="231F20"/>
          <w:spacing w:val="-12"/>
          <w:sz w:val="16"/>
        </w:rPr>
        <w:t> </w:t>
      </w:r>
      <w:r>
        <w:rPr>
          <w:color w:val="231F20"/>
          <w:sz w:val="16"/>
        </w:rPr>
        <w:t>principalmente</w:t>
      </w:r>
      <w:r>
        <w:rPr>
          <w:color w:val="231F20"/>
          <w:spacing w:val="-12"/>
          <w:sz w:val="16"/>
        </w:rPr>
        <w:t> </w:t>
      </w:r>
      <w:r>
        <w:rPr>
          <w:color w:val="231F20"/>
          <w:sz w:val="16"/>
        </w:rPr>
        <w:t>del</w:t>
      </w:r>
      <w:r>
        <w:rPr>
          <w:color w:val="231F20"/>
          <w:spacing w:val="-12"/>
          <w:sz w:val="16"/>
        </w:rPr>
        <w:t> </w:t>
      </w:r>
      <w:r>
        <w:rPr>
          <w:color w:val="231F20"/>
          <w:sz w:val="16"/>
        </w:rPr>
        <w:t>PRD,</w:t>
      </w:r>
      <w:r>
        <w:rPr>
          <w:color w:val="231F20"/>
          <w:spacing w:val="-12"/>
          <w:sz w:val="16"/>
        </w:rPr>
        <w:t> </w:t>
      </w:r>
      <w:r>
        <w:rPr>
          <w:color w:val="231F20"/>
          <w:sz w:val="16"/>
        </w:rPr>
        <w:t>así</w:t>
      </w:r>
      <w:r>
        <w:rPr>
          <w:color w:val="231F20"/>
          <w:spacing w:val="-12"/>
          <w:sz w:val="16"/>
        </w:rPr>
        <w:t> </w:t>
      </w:r>
      <w:r>
        <w:rPr>
          <w:color w:val="231F20"/>
          <w:sz w:val="16"/>
        </w:rPr>
        <w:t>como</w:t>
      </w:r>
      <w:r>
        <w:rPr>
          <w:color w:val="231F20"/>
          <w:spacing w:val="-12"/>
          <w:sz w:val="16"/>
        </w:rPr>
        <w:t> </w:t>
      </w:r>
      <w:r>
        <w:rPr>
          <w:color w:val="231F20"/>
          <w:sz w:val="16"/>
        </w:rPr>
        <w:t>del</w:t>
      </w:r>
      <w:r>
        <w:rPr>
          <w:color w:val="231F20"/>
          <w:spacing w:val="-12"/>
          <w:sz w:val="16"/>
        </w:rPr>
        <w:t> </w:t>
      </w:r>
      <w:r>
        <w:rPr>
          <w:color w:val="231F20"/>
          <w:sz w:val="16"/>
        </w:rPr>
        <w:t>gobierno</w:t>
      </w:r>
      <w:r>
        <w:rPr>
          <w:color w:val="231F20"/>
          <w:spacing w:val="-12"/>
          <w:sz w:val="16"/>
        </w:rPr>
        <w:t> </w:t>
      </w:r>
      <w:r>
        <w:rPr>
          <w:color w:val="231F20"/>
          <w:sz w:val="16"/>
        </w:rPr>
        <w:t>estatal,</w:t>
      </w:r>
      <w:r>
        <w:rPr>
          <w:color w:val="231F20"/>
          <w:spacing w:val="-12"/>
          <w:sz w:val="16"/>
        </w:rPr>
        <w:t> </w:t>
      </w:r>
      <w:r>
        <w:rPr>
          <w:color w:val="231F20"/>
          <w:sz w:val="16"/>
        </w:rPr>
        <w:t>que le impidieron ejercer el cargo de alcalde de manera estable, al grado que fue encarcelado en el año </w:t>
      </w:r>
      <w:r>
        <w:rPr>
          <w:color w:val="231F20"/>
          <w:spacing w:val="-3"/>
          <w:sz w:val="16"/>
        </w:rPr>
        <w:t>2001, </w:t>
      </w:r>
      <w:r>
        <w:rPr>
          <w:color w:val="231F20"/>
          <w:sz w:val="16"/>
        </w:rPr>
        <w:t>y durante varios meses solicitó licencia a su cargo. Esto dificultó el ejercicio del gobierno y el desarrollo de políticas. La falta de estabilidad de su administración es uno de los criterios por los que se optó por no incluirlo en la comparación del desempeño de los gobiernos</w:t>
      </w:r>
      <w:r>
        <w:rPr>
          <w:color w:val="231F20"/>
          <w:spacing w:val="-12"/>
          <w:sz w:val="16"/>
        </w:rPr>
        <w:t> </w:t>
      </w:r>
      <w:r>
        <w:rPr>
          <w:color w:val="231F20"/>
          <w:sz w:val="16"/>
        </w:rPr>
        <w:t>municipales</w:t>
      </w:r>
      <w:r>
        <w:rPr>
          <w:color w:val="231F20"/>
          <w:spacing w:val="-12"/>
          <w:sz w:val="16"/>
        </w:rPr>
        <w:t> </w:t>
      </w:r>
      <w:r>
        <w:rPr>
          <w:color w:val="231F20"/>
          <w:sz w:val="16"/>
        </w:rPr>
        <w:t>huixquiluquenses</w:t>
      </w:r>
      <w:r>
        <w:rPr>
          <w:color w:val="231F20"/>
          <w:spacing w:val="-12"/>
          <w:sz w:val="16"/>
        </w:rPr>
        <w:t> </w:t>
      </w:r>
      <w:r>
        <w:rPr>
          <w:color w:val="231F20"/>
          <w:sz w:val="16"/>
        </w:rPr>
        <w:t>que</w:t>
      </w:r>
      <w:r>
        <w:rPr>
          <w:color w:val="231F20"/>
          <w:spacing w:val="-12"/>
          <w:sz w:val="16"/>
        </w:rPr>
        <w:t> </w:t>
      </w:r>
      <w:r>
        <w:rPr>
          <w:color w:val="231F20"/>
          <w:sz w:val="16"/>
        </w:rPr>
        <w:t>se</w:t>
      </w:r>
      <w:r>
        <w:rPr>
          <w:color w:val="231F20"/>
          <w:spacing w:val="-12"/>
          <w:sz w:val="16"/>
        </w:rPr>
        <w:t> </w:t>
      </w:r>
      <w:r>
        <w:rPr>
          <w:color w:val="231F20"/>
          <w:sz w:val="16"/>
        </w:rPr>
        <w:t>presenta</w:t>
      </w:r>
      <w:r>
        <w:rPr>
          <w:color w:val="231F20"/>
          <w:spacing w:val="-12"/>
          <w:sz w:val="16"/>
        </w:rPr>
        <w:t> </w:t>
      </w:r>
      <w:r>
        <w:rPr>
          <w:color w:val="231F20"/>
          <w:sz w:val="16"/>
        </w:rPr>
        <w:t>más</w:t>
      </w:r>
      <w:r>
        <w:rPr>
          <w:color w:val="231F20"/>
          <w:spacing w:val="-12"/>
          <w:sz w:val="16"/>
        </w:rPr>
        <w:t> </w:t>
      </w:r>
      <w:r>
        <w:rPr>
          <w:color w:val="231F20"/>
          <w:sz w:val="16"/>
        </w:rPr>
        <w:t>adelante</w:t>
      </w:r>
      <w:r>
        <w:rPr>
          <w:color w:val="231F20"/>
          <w:spacing w:val="-12"/>
          <w:sz w:val="16"/>
        </w:rPr>
        <w:t> </w:t>
      </w:r>
      <w:r>
        <w:rPr>
          <w:color w:val="231F20"/>
          <w:sz w:val="16"/>
        </w:rPr>
        <w:t>(CORZO,</w:t>
      </w:r>
      <w:r>
        <w:rPr>
          <w:color w:val="231F20"/>
          <w:spacing w:val="-12"/>
          <w:sz w:val="16"/>
        </w:rPr>
        <w:t> </w:t>
      </w:r>
      <w:r>
        <w:rPr>
          <w:color w:val="231F20"/>
          <w:sz w:val="16"/>
        </w:rPr>
        <w:t>2000).</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drawing>
          <wp:anchor distT="0" distB="0" distL="0" distR="0" allowOverlap="1" layoutInCell="1" locked="0" behindDoc="0" simplePos="0" relativeHeight="5704">
            <wp:simplePos x="0" y="0"/>
            <wp:positionH relativeFrom="page">
              <wp:posOffset>699096</wp:posOffset>
            </wp:positionH>
            <wp:positionV relativeFrom="paragraph">
              <wp:posOffset>1632124</wp:posOffset>
            </wp:positionV>
            <wp:extent cx="130791" cy="1038225"/>
            <wp:effectExtent l="0" t="0" r="0" b="0"/>
            <wp:wrapNone/>
            <wp:docPr id="71" name="image100.png" descr=""/>
            <wp:cNvGraphicFramePr>
              <a:graphicFrameLocks noChangeAspect="1"/>
            </wp:cNvGraphicFramePr>
            <a:graphic>
              <a:graphicData uri="http://schemas.openxmlformats.org/drawingml/2006/picture">
                <pic:pic>
                  <pic:nvPicPr>
                    <pic:cNvPr id="72" name="image100.png"/>
                    <pic:cNvPicPr/>
                  </pic:nvPicPr>
                  <pic:blipFill>
                    <a:blip r:embed="rId117" cstate="print"/>
                    <a:stretch>
                      <a:fillRect/>
                    </a:stretch>
                  </pic:blipFill>
                  <pic:spPr>
                    <a:xfrm>
                      <a:off x="0" y="0"/>
                      <a:ext cx="130791" cy="1038225"/>
                    </a:xfrm>
                    <a:prstGeom prst="rect">
                      <a:avLst/>
                    </a:prstGeom>
                  </pic:spPr>
                </pic:pic>
              </a:graphicData>
            </a:graphic>
          </wp:anchor>
        </w:drawing>
      </w:r>
      <w:r>
        <w:rPr/>
        <w:drawing>
          <wp:anchor distT="0" distB="0" distL="0" distR="0" allowOverlap="1" layoutInCell="1" locked="0" behindDoc="0" simplePos="0" relativeHeight="5728">
            <wp:simplePos x="0" y="0"/>
            <wp:positionH relativeFrom="page">
              <wp:posOffset>540004</wp:posOffset>
            </wp:positionH>
            <wp:positionV relativeFrom="paragraph">
              <wp:posOffset>1938787</wp:posOffset>
            </wp:positionV>
            <wp:extent cx="77362" cy="414337"/>
            <wp:effectExtent l="0" t="0" r="0" b="0"/>
            <wp:wrapNone/>
            <wp:docPr id="73" name="image101.png" descr=""/>
            <wp:cNvGraphicFramePr>
              <a:graphicFrameLocks noChangeAspect="1"/>
            </wp:cNvGraphicFramePr>
            <a:graphic>
              <a:graphicData uri="http://schemas.openxmlformats.org/drawingml/2006/picture">
                <pic:pic>
                  <pic:nvPicPr>
                    <pic:cNvPr id="74" name="image101.png"/>
                    <pic:cNvPicPr/>
                  </pic:nvPicPr>
                  <pic:blipFill>
                    <a:blip r:embed="rId118" cstate="print"/>
                    <a:stretch>
                      <a:fillRect/>
                    </a:stretch>
                  </pic:blipFill>
                  <pic:spPr>
                    <a:xfrm>
                      <a:off x="0" y="0"/>
                      <a:ext cx="77362" cy="414337"/>
                    </a:xfrm>
                    <a:prstGeom prst="rect">
                      <a:avLst/>
                    </a:prstGeom>
                  </pic:spPr>
                </pic:pic>
              </a:graphicData>
            </a:graphic>
          </wp:anchor>
        </w:drawing>
      </w:r>
      <w:r>
        <w:rPr/>
        <w:pict>
          <v:group style="position:absolute;margin-left:402.283997pt;margin-top:158.002625pt;width:36.2pt;height:4.7pt;mso-position-horizontal-relative:page;mso-position-vertical-relative:paragraph;z-index:5752" coordorigin="8046,3160" coordsize="724,94">
            <v:shape style="position:absolute;left:8534;top:3160;width:236;height:94" coordorigin="8534,3160" coordsize="236,94" path="m8603,3178l8601,3172,8600,3171,8591,3162,8590,3162,8590,3180,8590,3193,8589,3197,8582,3202,8577,3203,8547,3203,8547,3171,8576,3171,8580,3172,8583,3173,8588,3175,8590,3180,8590,3162,8584,3160,8534,3160,8534,3253,8547,3253,8547,3214,8585,3214,8592,3211,8599,3203,8601,3200,8603,3194,8603,3178m8685,3253l8675,3225,8671,3215,8658,3178,8658,3215,8629,3215,8644,3174,8658,3215,8658,3178,8656,3174,8651,3160,8637,3160,8602,3253,8615,3253,8625,3225,8661,3225,8671,3253,8685,3253m8770,3160l8758,3160,8758,3235,8722,3178,8711,3160,8696,3160,8696,3253,8708,3253,8708,3178,8756,3253,8770,3253,8770,3235,8770,3160e" filled="true" fillcolor="#231f20" stroked="false">
              <v:path arrowok="t"/>
              <v:fill type="solid"/>
            </v:shape>
            <v:line style="position:absolute" from="8066,3212" to="8493,3212" stroked="true" strokeweight="2pt" strokecolor="#00aeef"/>
            <w10:wrap type="none"/>
          </v:group>
        </w:pict>
      </w:r>
      <w:r>
        <w:rPr/>
        <w:pict>
          <v:group style="position:absolute;margin-left:69.696304pt;margin-top:130.796722pt;width:325.2pt;height:79.350pt;mso-position-horizontal-relative:page;mso-position-vertical-relative:paragraph;z-index:5824" coordorigin="1394,2616" coordsize="6504,1587">
            <v:rect style="position:absolute;left:1428;top:2626;width:6460;height:1538" filled="true" fillcolor="#bcbec0" stroked="false">
              <v:fill type="solid"/>
            </v:rect>
            <v:shape style="position:absolute;left:0;top:10929;width:6484;height:1384" coordorigin="0,10929" coordsize="6484,1384" path="m1404,2626l7888,2626m1404,2785l7888,2785m1404,2938l7888,2938m1404,3092l7888,3092m1404,3246l7888,3246m1404,3385l7888,3385m1404,3539l7888,3539m1404,3707l7888,3707m1404,3861l7888,3861m1404,4010l7888,4010e" filled="false" stroked="true" strokeweight=".5pt" strokecolor="#231f20">
              <v:path arrowok="t"/>
            </v:shape>
            <v:shape style="position:absolute;left:0;top:9391;width:6484;height:1567" coordorigin="0,9391" coordsize="6484,1567" path="m1404,4164l7887,4164m1428,4193l1428,2626m7887,4193l7887,2626e" filled="false" stroked="true" strokeweight="1pt" strokecolor="#231f20">
              <v:path arrowok="t"/>
            </v:shape>
            <v:shape style="position:absolute;left:-4287;top:10901;width:4287;height:29" coordorigin="-4287,10901" coordsize="4287,29" path="m7162,4193l7162,4164m6455,4193l6455,4164m5739,4193l5739,4164m5023,4193l5023,4164m4297,4193l4297,4164m3586,4193l3586,4164m2875,4193l2875,4164e" filled="false" stroked="true" strokeweight=".5pt" strokecolor="#231f20">
              <v:path arrowok="t"/>
            </v:shape>
            <v:shape style="position:absolute;left:1769;top:3453;width:5778;height:710" coordorigin="1769,3453" coordsize="5778,710" path="m1769,4163l2509,4163,3221,4048,3947,3890,4667,3890,5374,3708,6095,3453,6816,3708,7546,3626e" filled="false" stroked="true" strokeweight="2pt" strokecolor="#00aeef">
              <v:path arrowok="t"/>
            </v:shape>
            <v:shape style="position:absolute;left:1769;top:2843;width:5721;height:821" coordorigin="1769,2843" coordsize="5721,821" path="m1769,2843l2519,2939,3221,2997,3932,3289,4658,3246,5369,3563,6085,3663,6802,3635,7490,3631e" filled="false" stroked="true" strokeweight="2pt" strokecolor="#be1e2d">
              <v:path arrowok="t"/>
            </v:shape>
            <v:shape style="position:absolute;left:3932;top:3708;width:3615;height:326" coordorigin="3932,3708" coordsize="3615,326" path="m3932,3962l4658,4033,5369,3861,6090,3947,6816,3708,7546,3952e" filled="false" stroked="true" strokeweight="2pt" strokecolor="#f9ed32">
              <v:path arrowok="t"/>
            </v:shape>
            <w10:wrap type="none"/>
          </v:group>
        </w:pict>
      </w:r>
      <w:r>
        <w:rPr>
          <w:color w:val="231F20"/>
          <w:w w:val="105"/>
        </w:rPr>
        <w:t>A </w:t>
      </w:r>
      <w:r>
        <w:rPr>
          <w:color w:val="231F20"/>
          <w:spacing w:val="2"/>
          <w:w w:val="105"/>
        </w:rPr>
        <w:t>partir </w:t>
      </w:r>
      <w:r>
        <w:rPr>
          <w:color w:val="231F20"/>
          <w:w w:val="105"/>
        </w:rPr>
        <w:t>de las elecciones municipales de 1996 se comenzó a experimentar una mayor competitividad</w:t>
      </w:r>
      <w:r>
        <w:rPr>
          <w:color w:val="231F20"/>
          <w:spacing w:val="-4"/>
          <w:w w:val="105"/>
        </w:rPr>
        <w:t> </w:t>
      </w:r>
      <w:r>
        <w:rPr>
          <w:color w:val="231F20"/>
          <w:w w:val="105"/>
        </w:rPr>
        <w:t>electoral.</w:t>
      </w:r>
      <w:r>
        <w:rPr>
          <w:color w:val="231F20"/>
          <w:spacing w:val="-4"/>
          <w:w w:val="105"/>
        </w:rPr>
        <w:t> </w:t>
      </w:r>
      <w:r>
        <w:rPr>
          <w:color w:val="231F20"/>
          <w:w w:val="105"/>
        </w:rPr>
        <w:t>El</w:t>
      </w:r>
      <w:r>
        <w:rPr>
          <w:color w:val="231F20"/>
          <w:spacing w:val="-4"/>
          <w:w w:val="105"/>
        </w:rPr>
        <w:t> </w:t>
      </w:r>
      <w:r>
        <w:rPr>
          <w:color w:val="231F20"/>
          <w:w w:val="105"/>
        </w:rPr>
        <w:t>margen</w:t>
      </w:r>
      <w:r>
        <w:rPr>
          <w:color w:val="231F20"/>
          <w:spacing w:val="-4"/>
          <w:w w:val="105"/>
        </w:rPr>
        <w:t> </w:t>
      </w:r>
      <w:r>
        <w:rPr>
          <w:color w:val="231F20"/>
          <w:w w:val="105"/>
        </w:rPr>
        <w:t>de</w:t>
      </w:r>
      <w:r>
        <w:rPr>
          <w:color w:val="231F20"/>
          <w:spacing w:val="-4"/>
          <w:w w:val="105"/>
        </w:rPr>
        <w:t> </w:t>
      </w:r>
      <w:r>
        <w:rPr>
          <w:color w:val="231F20"/>
          <w:w w:val="105"/>
        </w:rPr>
        <w:t>victoria</w:t>
      </w:r>
      <w:r>
        <w:rPr>
          <w:color w:val="231F20"/>
          <w:spacing w:val="-4"/>
          <w:w w:val="105"/>
        </w:rPr>
        <w:t> </w:t>
      </w:r>
      <w:r>
        <w:rPr>
          <w:color w:val="231F20"/>
          <w:w w:val="105"/>
        </w:rPr>
        <w:t>promedio</w:t>
      </w:r>
      <w:r>
        <w:rPr>
          <w:color w:val="231F20"/>
          <w:spacing w:val="-4"/>
          <w:w w:val="105"/>
        </w:rPr>
        <w:t> </w:t>
      </w:r>
      <w:r>
        <w:rPr>
          <w:color w:val="231F20"/>
          <w:w w:val="105"/>
        </w:rPr>
        <w:t>entre</w:t>
      </w:r>
      <w:r>
        <w:rPr>
          <w:color w:val="231F20"/>
          <w:spacing w:val="-4"/>
          <w:w w:val="105"/>
        </w:rPr>
        <w:t> </w:t>
      </w:r>
      <w:r>
        <w:rPr>
          <w:color w:val="231F20"/>
          <w:w w:val="105"/>
        </w:rPr>
        <w:t>el</w:t>
      </w:r>
      <w:r>
        <w:rPr>
          <w:color w:val="231F20"/>
          <w:spacing w:val="-4"/>
          <w:w w:val="105"/>
        </w:rPr>
        <w:t> </w:t>
      </w:r>
      <w:r>
        <w:rPr>
          <w:color w:val="231F20"/>
          <w:w w:val="105"/>
        </w:rPr>
        <w:t>partido</w:t>
      </w:r>
      <w:r>
        <w:rPr>
          <w:color w:val="231F20"/>
          <w:spacing w:val="-4"/>
          <w:w w:val="105"/>
        </w:rPr>
        <w:t> </w:t>
      </w:r>
      <w:r>
        <w:rPr>
          <w:color w:val="231F20"/>
          <w:w w:val="105"/>
        </w:rPr>
        <w:t>ganador</w:t>
      </w:r>
      <w:r>
        <w:rPr>
          <w:color w:val="231F20"/>
          <w:spacing w:val="-4"/>
          <w:w w:val="105"/>
        </w:rPr>
        <w:t> </w:t>
      </w:r>
      <w:r>
        <w:rPr>
          <w:color w:val="231F20"/>
          <w:w w:val="105"/>
        </w:rPr>
        <w:t>y</w:t>
      </w:r>
      <w:r>
        <w:rPr>
          <w:color w:val="231F20"/>
          <w:spacing w:val="-4"/>
          <w:w w:val="105"/>
        </w:rPr>
        <w:t> </w:t>
      </w:r>
      <w:r>
        <w:rPr>
          <w:color w:val="231F20"/>
          <w:w w:val="105"/>
        </w:rPr>
        <w:t>la segunda</w:t>
      </w:r>
      <w:r>
        <w:rPr>
          <w:color w:val="231F20"/>
          <w:spacing w:val="-24"/>
          <w:w w:val="105"/>
        </w:rPr>
        <w:t> </w:t>
      </w:r>
      <w:r>
        <w:rPr>
          <w:color w:val="231F20"/>
          <w:w w:val="105"/>
        </w:rPr>
        <w:t>minoría</w:t>
      </w:r>
      <w:r>
        <w:rPr>
          <w:color w:val="231F20"/>
          <w:spacing w:val="-24"/>
          <w:w w:val="105"/>
        </w:rPr>
        <w:t> </w:t>
      </w:r>
      <w:r>
        <w:rPr>
          <w:color w:val="231F20"/>
          <w:w w:val="105"/>
        </w:rPr>
        <w:t>ha</w:t>
      </w:r>
      <w:r>
        <w:rPr>
          <w:color w:val="231F20"/>
          <w:spacing w:val="-24"/>
          <w:w w:val="105"/>
        </w:rPr>
        <w:t> </w:t>
      </w:r>
      <w:r>
        <w:rPr>
          <w:color w:val="231F20"/>
          <w:w w:val="105"/>
        </w:rPr>
        <w:t>sido</w:t>
      </w:r>
      <w:r>
        <w:rPr>
          <w:color w:val="231F20"/>
          <w:spacing w:val="-24"/>
          <w:w w:val="105"/>
        </w:rPr>
        <w:t> </w:t>
      </w:r>
      <w:r>
        <w:rPr>
          <w:color w:val="231F20"/>
          <w:w w:val="105"/>
        </w:rPr>
        <w:t>de</w:t>
      </w:r>
      <w:r>
        <w:rPr>
          <w:color w:val="231F20"/>
          <w:spacing w:val="-24"/>
          <w:w w:val="105"/>
        </w:rPr>
        <w:t> </w:t>
      </w:r>
      <w:r>
        <w:rPr>
          <w:color w:val="231F20"/>
          <w:spacing w:val="-5"/>
          <w:w w:val="105"/>
        </w:rPr>
        <w:t>7.35%</w:t>
      </w:r>
      <w:r>
        <w:rPr>
          <w:color w:val="231F20"/>
          <w:spacing w:val="-24"/>
          <w:w w:val="105"/>
        </w:rPr>
        <w:t> </w:t>
      </w:r>
      <w:r>
        <w:rPr>
          <w:color w:val="231F20"/>
          <w:w w:val="105"/>
        </w:rPr>
        <w:t>durante</w:t>
      </w:r>
      <w:r>
        <w:rPr>
          <w:color w:val="231F20"/>
          <w:spacing w:val="-24"/>
          <w:w w:val="105"/>
        </w:rPr>
        <w:t> </w:t>
      </w:r>
      <w:r>
        <w:rPr>
          <w:color w:val="231F20"/>
          <w:w w:val="105"/>
        </w:rPr>
        <w:t>este</w:t>
      </w:r>
      <w:r>
        <w:rPr>
          <w:color w:val="231F20"/>
          <w:spacing w:val="-24"/>
          <w:w w:val="105"/>
        </w:rPr>
        <w:t> </w:t>
      </w:r>
      <w:r>
        <w:rPr>
          <w:color w:val="231F20"/>
          <w:w w:val="105"/>
        </w:rPr>
        <w:t>periodo;</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media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votación</w:t>
      </w:r>
      <w:r>
        <w:rPr>
          <w:color w:val="231F20"/>
          <w:spacing w:val="-24"/>
          <w:w w:val="105"/>
        </w:rPr>
        <w:t> </w:t>
      </w:r>
      <w:r>
        <w:rPr>
          <w:color w:val="231F20"/>
          <w:w w:val="105"/>
        </w:rPr>
        <w:t>del</w:t>
      </w:r>
      <w:r>
        <w:rPr>
          <w:color w:val="231F20"/>
          <w:spacing w:val="-24"/>
          <w:w w:val="105"/>
        </w:rPr>
        <w:t> </w:t>
      </w:r>
      <w:r>
        <w:rPr>
          <w:color w:val="231F20"/>
          <w:w w:val="105"/>
        </w:rPr>
        <w:t>PRI se</w:t>
      </w:r>
      <w:r>
        <w:rPr>
          <w:color w:val="231F20"/>
          <w:spacing w:val="-16"/>
          <w:w w:val="105"/>
        </w:rPr>
        <w:t> </w:t>
      </w:r>
      <w:r>
        <w:rPr>
          <w:color w:val="231F20"/>
          <w:w w:val="105"/>
        </w:rPr>
        <w:t>ha</w:t>
      </w:r>
      <w:r>
        <w:rPr>
          <w:color w:val="231F20"/>
          <w:spacing w:val="-16"/>
          <w:w w:val="105"/>
        </w:rPr>
        <w:t> </w:t>
      </w:r>
      <w:r>
        <w:rPr>
          <w:color w:val="231F20"/>
          <w:w w:val="105"/>
        </w:rPr>
        <w:t>ubicado</w:t>
      </w:r>
      <w:r>
        <w:rPr>
          <w:color w:val="231F20"/>
          <w:spacing w:val="-16"/>
          <w:w w:val="105"/>
        </w:rPr>
        <w:t> </w:t>
      </w:r>
      <w:r>
        <w:rPr>
          <w:color w:val="231F20"/>
          <w:w w:val="105"/>
        </w:rPr>
        <w:t>alrededor</w:t>
      </w:r>
      <w:r>
        <w:rPr>
          <w:color w:val="231F20"/>
          <w:spacing w:val="-16"/>
          <w:w w:val="105"/>
        </w:rPr>
        <w:t> </w:t>
      </w:r>
      <w:r>
        <w:rPr>
          <w:color w:val="231F20"/>
          <w:w w:val="105"/>
        </w:rPr>
        <w:t>del</w:t>
      </w:r>
      <w:r>
        <w:rPr>
          <w:color w:val="231F20"/>
          <w:spacing w:val="-16"/>
          <w:w w:val="105"/>
        </w:rPr>
        <w:t> </w:t>
      </w:r>
      <w:r>
        <w:rPr>
          <w:color w:val="231F20"/>
          <w:w w:val="105"/>
        </w:rPr>
        <w:t>35.63%,</w:t>
      </w:r>
      <w:r>
        <w:rPr>
          <w:color w:val="231F20"/>
          <w:spacing w:val="-16"/>
          <w:w w:val="105"/>
        </w:rPr>
        <w:t> </w:t>
      </w:r>
      <w:r>
        <w:rPr>
          <w:color w:val="231F20"/>
          <w:w w:val="105"/>
        </w:rPr>
        <w:t>mientras</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spacing w:val="-4"/>
          <w:w w:val="105"/>
        </w:rPr>
        <w:t>PAN</w:t>
      </w:r>
      <w:r>
        <w:rPr>
          <w:color w:val="231F20"/>
          <w:spacing w:val="-16"/>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w w:val="105"/>
        </w:rPr>
        <w:t>mantenido</w:t>
      </w:r>
      <w:r>
        <w:rPr>
          <w:color w:val="231F20"/>
          <w:spacing w:val="-16"/>
          <w:w w:val="105"/>
        </w:rPr>
        <w:t> </w:t>
      </w:r>
      <w:r>
        <w:rPr>
          <w:color w:val="231F20"/>
          <w:w w:val="105"/>
        </w:rPr>
        <w:t>muy</w:t>
      </w:r>
      <w:r>
        <w:rPr>
          <w:color w:val="231F20"/>
          <w:spacing w:val="-16"/>
          <w:w w:val="105"/>
        </w:rPr>
        <w:t> </w:t>
      </w:r>
      <w:r>
        <w:rPr>
          <w:color w:val="231F20"/>
          <w:w w:val="105"/>
        </w:rPr>
        <w:t>cercano con</w:t>
      </w:r>
      <w:r>
        <w:rPr>
          <w:color w:val="231F20"/>
          <w:spacing w:val="-9"/>
          <w:w w:val="105"/>
        </w:rPr>
        <w:t> </w:t>
      </w:r>
      <w:r>
        <w:rPr>
          <w:color w:val="231F20"/>
          <w:w w:val="105"/>
        </w:rPr>
        <w:t>el</w:t>
      </w:r>
      <w:r>
        <w:rPr>
          <w:color w:val="231F20"/>
          <w:spacing w:val="-9"/>
          <w:w w:val="105"/>
        </w:rPr>
        <w:t> </w:t>
      </w:r>
      <w:r>
        <w:rPr>
          <w:color w:val="231F20"/>
          <w:spacing w:val="-3"/>
          <w:w w:val="105"/>
        </w:rPr>
        <w:t>35.13%</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votos.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caso</w:t>
      </w:r>
      <w:r>
        <w:rPr>
          <w:color w:val="231F20"/>
          <w:spacing w:val="-9"/>
          <w:w w:val="105"/>
        </w:rPr>
        <w:t> </w:t>
      </w:r>
      <w:r>
        <w:rPr>
          <w:color w:val="231F20"/>
          <w:w w:val="105"/>
        </w:rPr>
        <w:t>del</w:t>
      </w:r>
      <w:r>
        <w:rPr>
          <w:color w:val="231F20"/>
          <w:spacing w:val="-9"/>
          <w:w w:val="105"/>
        </w:rPr>
        <w:t> </w:t>
      </w:r>
      <w:r>
        <w:rPr>
          <w:color w:val="231F20"/>
          <w:w w:val="105"/>
        </w:rPr>
        <w:t>PRD</w:t>
      </w:r>
      <w:r>
        <w:rPr>
          <w:color w:val="231F20"/>
          <w:spacing w:val="-9"/>
          <w:w w:val="105"/>
        </w:rPr>
        <w:t> </w:t>
      </w:r>
      <w:r>
        <w:rPr>
          <w:color w:val="231F20"/>
          <w:w w:val="105"/>
        </w:rPr>
        <w:t>su</w:t>
      </w:r>
      <w:r>
        <w:rPr>
          <w:color w:val="231F20"/>
          <w:spacing w:val="-9"/>
          <w:w w:val="105"/>
        </w:rPr>
        <w:t> </w:t>
      </w:r>
      <w:r>
        <w:rPr>
          <w:color w:val="231F20"/>
          <w:w w:val="105"/>
        </w:rPr>
        <w:t>votación</w:t>
      </w:r>
      <w:r>
        <w:rPr>
          <w:color w:val="231F20"/>
          <w:spacing w:val="-9"/>
          <w:w w:val="105"/>
        </w:rPr>
        <w:t> </w:t>
      </w:r>
      <w:r>
        <w:rPr>
          <w:color w:val="231F20"/>
          <w:w w:val="105"/>
        </w:rPr>
        <w:t>ha</w:t>
      </w:r>
      <w:r>
        <w:rPr>
          <w:color w:val="231F20"/>
          <w:spacing w:val="-9"/>
          <w:w w:val="105"/>
        </w:rPr>
        <w:t> </w:t>
      </w:r>
      <w:r>
        <w:rPr>
          <w:color w:val="231F20"/>
          <w:w w:val="105"/>
        </w:rPr>
        <w:t>estado</w:t>
      </w:r>
      <w:r>
        <w:rPr>
          <w:color w:val="231F20"/>
          <w:spacing w:val="-9"/>
          <w:w w:val="105"/>
        </w:rPr>
        <w:t> </w:t>
      </w:r>
      <w:r>
        <w:rPr>
          <w:color w:val="231F20"/>
          <w:w w:val="105"/>
        </w:rPr>
        <w:t>por</w:t>
      </w:r>
      <w:r>
        <w:rPr>
          <w:color w:val="231F20"/>
          <w:spacing w:val="-9"/>
          <w:w w:val="105"/>
        </w:rPr>
        <w:t> </w:t>
      </w:r>
      <w:r>
        <w:rPr>
          <w:color w:val="231F20"/>
          <w:w w:val="105"/>
        </w:rPr>
        <w:t>debajo</w:t>
      </w:r>
      <w:r>
        <w:rPr>
          <w:color w:val="231F20"/>
          <w:spacing w:val="-9"/>
          <w:w w:val="105"/>
        </w:rPr>
        <w:t> </w:t>
      </w:r>
      <w:r>
        <w:rPr>
          <w:color w:val="231F20"/>
          <w:w w:val="105"/>
        </w:rPr>
        <w:t>de</w:t>
      </w:r>
      <w:r>
        <w:rPr>
          <w:color w:val="231F20"/>
          <w:spacing w:val="-9"/>
          <w:w w:val="105"/>
        </w:rPr>
        <w:t> </w:t>
      </w:r>
      <w:r>
        <w:rPr>
          <w:color w:val="231F20"/>
          <w:w w:val="105"/>
        </w:rPr>
        <w:t>los anteriores,</w:t>
      </w:r>
      <w:r>
        <w:rPr>
          <w:color w:val="231F20"/>
          <w:spacing w:val="-18"/>
          <w:w w:val="105"/>
        </w:rPr>
        <w:t> </w:t>
      </w:r>
      <w:r>
        <w:rPr>
          <w:color w:val="231F20"/>
          <w:spacing w:val="2"/>
          <w:w w:val="105"/>
        </w:rPr>
        <w:t>al</w:t>
      </w:r>
      <w:r>
        <w:rPr>
          <w:color w:val="231F20"/>
          <w:spacing w:val="-18"/>
          <w:w w:val="105"/>
        </w:rPr>
        <w:t> </w:t>
      </w:r>
      <w:r>
        <w:rPr>
          <w:color w:val="231F20"/>
          <w:w w:val="105"/>
        </w:rPr>
        <w:t>grado</w:t>
      </w:r>
      <w:r>
        <w:rPr>
          <w:color w:val="231F20"/>
          <w:spacing w:val="-18"/>
          <w:w w:val="105"/>
        </w:rPr>
        <w:t> </w:t>
      </w:r>
      <w:r>
        <w:rPr>
          <w:color w:val="231F20"/>
          <w:w w:val="105"/>
        </w:rPr>
        <w:t>de</w:t>
      </w:r>
      <w:r>
        <w:rPr>
          <w:color w:val="231F20"/>
          <w:spacing w:val="-18"/>
          <w:w w:val="105"/>
        </w:rPr>
        <w:t> </w:t>
      </w:r>
      <w:r>
        <w:rPr>
          <w:color w:val="231F20"/>
          <w:w w:val="105"/>
        </w:rPr>
        <w:t>obtener</w:t>
      </w:r>
      <w:r>
        <w:rPr>
          <w:color w:val="231F20"/>
          <w:spacing w:val="-18"/>
          <w:w w:val="105"/>
        </w:rPr>
        <w:t> </w:t>
      </w:r>
      <w:r>
        <w:rPr>
          <w:color w:val="231F20"/>
          <w:w w:val="105"/>
        </w:rPr>
        <w:t>en</w:t>
      </w:r>
      <w:r>
        <w:rPr>
          <w:color w:val="231F20"/>
          <w:spacing w:val="-18"/>
          <w:w w:val="105"/>
        </w:rPr>
        <w:t> </w:t>
      </w:r>
      <w:r>
        <w:rPr>
          <w:color w:val="231F20"/>
          <w:w w:val="105"/>
        </w:rPr>
        <w:t>promedio</w:t>
      </w:r>
      <w:r>
        <w:rPr>
          <w:color w:val="231F20"/>
          <w:spacing w:val="-18"/>
          <w:w w:val="105"/>
        </w:rPr>
        <w:t> </w:t>
      </w:r>
      <w:r>
        <w:rPr>
          <w:color w:val="231F20"/>
          <w:w w:val="105"/>
        </w:rPr>
        <w:t>el</w:t>
      </w:r>
      <w:r>
        <w:rPr>
          <w:color w:val="231F20"/>
          <w:spacing w:val="-18"/>
          <w:w w:val="105"/>
        </w:rPr>
        <w:t> </w:t>
      </w:r>
      <w:r>
        <w:rPr>
          <w:color w:val="231F20"/>
          <w:w w:val="105"/>
        </w:rPr>
        <w:t>19%</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sufragios</w:t>
      </w:r>
      <w:r>
        <w:rPr>
          <w:color w:val="231F20"/>
          <w:spacing w:val="-18"/>
          <w:w w:val="105"/>
        </w:rPr>
        <w:t> </w:t>
      </w:r>
      <w:r>
        <w:rPr>
          <w:color w:val="231F20"/>
          <w:w w:val="105"/>
        </w:rPr>
        <w:t>(gráfica</w:t>
      </w:r>
      <w:r>
        <w:rPr>
          <w:color w:val="231F20"/>
          <w:spacing w:val="-18"/>
          <w:w w:val="105"/>
        </w:rPr>
        <w:t> </w:t>
      </w:r>
      <w:r>
        <w:rPr>
          <w:color w:val="231F20"/>
          <w:spacing w:val="-4"/>
          <w:w w:val="105"/>
        </w:rPr>
        <w:t>7).</w:t>
      </w:r>
    </w:p>
    <w:p>
      <w:pPr>
        <w:pStyle w:val="BodyText"/>
        <w:spacing w:before="8"/>
        <w:rPr>
          <w:sz w:val="25"/>
        </w:rPr>
      </w:pPr>
      <w:r>
        <w:rPr/>
        <w:pict>
          <v:group style="position:absolute;margin-left:128.496994pt;margin-top:17.285892pt;width:92.75pt;height:8.1pt;mso-position-horizontal-relative:page;mso-position-vertical-relative:paragraph;z-index:5416;mso-wrap-distance-left:0;mso-wrap-distance-right:0" coordorigin="2570,346" coordsize="1855,162">
            <v:shape style="position:absolute;left:2570;top:346;width:94;height:124" coordorigin="2570,346" coordsize="94,124" path="m2635,346l2570,346,2570,470,2596,470,2596,426,2635,426,2645,423,2660,411,2662,404,2596,404,2596,368,2662,368,2660,362,2645,350,2635,346xm2662,368l2625,368,2629,369,2636,375,2638,379,2638,392,2636,397,2629,403,2625,404,2662,404,2663,400,2663,372,2662,368xe" filled="true" fillcolor="#231f20" stroked="false">
              <v:path arrowok="t"/>
              <v:fill type="solid"/>
            </v:shape>
            <v:shape style="position:absolute;left:2676;top:376;width:94;height:98" coordorigin="2676,376" coordsize="94,98" path="m2739,376l2707,376,2696,381,2680,400,2676,411,2676,438,2680,449,2696,468,2707,473,2739,473,2750,468,2763,453,2716,453,2711,451,2703,441,2701,434,2701,415,2703,408,2711,398,2716,396,2763,396,2750,381,2739,376xm2763,396l2730,396,2735,398,2743,408,2745,415,2745,434,2743,441,2735,451,2730,453,2763,453,2766,449,2770,438,2770,411,2766,400,2763,396xe" filled="true" fillcolor="#231f20" stroked="false">
              <v:path arrowok="t"/>
              <v:fill type="solid"/>
            </v:shape>
            <v:shape style="position:absolute;left:2787;top:376;width:54;height:94" coordorigin="2787,376" coordsize="54,94" path="m2809,379l2787,379,2787,470,2811,470,2811,419,2812,414,2817,404,2823,401,2840,401,2840,395,2809,395,2809,379xm2840,401l2823,401,2837,401,2840,401,2840,401xm2829,376l2823,378,2819,382,2816,384,2813,389,2809,395,2840,395,2840,377,2838,377,2829,376xe" filled="true" fillcolor="#231f20" stroked="false">
              <v:path arrowok="t"/>
              <v:fill type="solid"/>
            </v:shape>
            <v:shape style="position:absolute;left:2848;top:376;width:85;height:97" coordorigin="2848,376" coordsize="85,97" path="m2903,376l2878,376,2868,381,2852,398,2848,410,2848,440,2852,451,2866,469,2877,473,2906,473,2917,468,2925,457,2928,453,2884,453,2879,449,2876,442,2874,438,2873,432,2873,419,2874,413,2879,401,2884,397,2931,397,2927,389,2913,379,2903,376xm2933,437l2908,437,2908,442,2906,446,2902,452,2898,453,2928,453,2929,451,2932,444,2933,437xm2931,397l2898,397,2902,399,2905,402,2907,405,2908,408,2908,411,2933,411,2931,399,2931,398,2931,397xe" filled="true" fillcolor="#231f20" stroked="false">
              <v:path arrowok="t"/>
              <v:fill type="solid"/>
            </v:shape>
            <v:shape style="position:absolute;left:2942;top:376;width:91;height:97" coordorigin="2942,376" coordsize="91,97" path="m2995,376l2974,376,2963,380,2946,397,2942,409,2942,442,2947,454,2965,469,2976,473,3003,473,3014,469,3022,460,3028,454,3028,454,2984,454,2979,453,2976,450,2970,447,2966,440,2966,431,3033,431,3033,423,3032,417,3032,415,2967,415,2967,409,2968,409,2970,405,2976,398,2981,396,3026,396,3024,394,3020,388,3015,383,3002,378,2995,376xm3031,443l3007,443,3005,446,3004,448,2999,452,2994,454,3028,454,3031,449,3031,443xm3026,396l2993,396,2998,398,3005,404,3007,409,3008,415,3032,415,3031,406,3028,399,3026,396xe" filled="true" fillcolor="#231f20" stroked="false">
              <v:path arrowok="t"/>
              <v:fill type="solid"/>
            </v:shape>
            <v:shape style="position:absolute;left:3045;top:376;width:83;height:94" coordorigin="3045,376" coordsize="83,94" path="m3068,379l3045,379,3045,470,3069,470,3069,415,3069,410,3074,400,3080,396,3127,396,3126,392,3068,392,3068,379xm3127,396l3094,396,3099,399,3102,406,3103,410,3103,470,3127,470,3127,397,3127,396xm3105,376l3088,376,3082,378,3074,384,3071,387,3068,392,3126,392,3124,389,3112,379,3105,376xe" filled="true" fillcolor="#231f20" stroked="false">
              <v:path arrowok="t"/>
              <v:fill type="solid"/>
            </v:shape>
            <v:shape style="position:absolute;left:3140;top:354;width:52;height:118" coordorigin="3140,354" coordsize="52,118" path="m3176,397l3153,397,3153,458,3154,463,3161,470,3169,472,3191,471,3191,453,3182,453,3179,453,3177,451,3176,449,3176,397xm3191,453l3182,453,3191,453,3191,453xm3191,380l3140,380,3140,397,3191,397,3191,380xm3176,354l3153,354,3153,380,3176,380,3176,354xe" filled="true" fillcolor="#231f20" stroked="false">
              <v:path arrowok="t"/>
              <v:fill type="solid"/>
            </v:shape>
            <v:shape style="position:absolute;left:3200;top:376;width:86;height:97" coordorigin="3200,376" coordsize="86,97" path="m3281,396l3247,396,3251,396,3256,399,3258,402,3258,409,3256,411,3252,412,3251,413,3247,414,3225,417,3218,419,3205,426,3200,435,3201,455,3203,461,3214,471,3221,473,3236,473,3242,471,3251,466,3255,463,3258,459,3282,459,3282,456,3233,456,3230,455,3226,451,3224,448,3224,439,3226,436,3232,433,3236,431,3241,431,3249,429,3251,429,3254,427,3256,427,3257,426,3281,426,3281,396xm3282,459l3258,459,3258,461,3259,463,3259,467,3260,468,3260,470,3286,470,3286,466,3285,466,3284,465,3282,463,3282,461,3282,459xm3281,426l3257,426,3257,442,3255,448,3246,454,3241,456,3282,456,3281,426xm3253,376l3227,376,3216,381,3210,389,3206,394,3204,400,3203,408,3226,408,3227,405,3228,402,3230,400,3232,397,3236,396,3281,396,3281,394,3277,386,3262,378,3253,376xe" filled="true" fillcolor="#231f20" stroked="false">
              <v:path arrowok="t"/>
              <v:fill type="solid"/>
            </v:shape>
            <v:shape style="position:absolute;left:3292;top:346;width:36;height:162" coordorigin="3292,346" coordsize="36,162" path="m3292,488l3292,507,3311,507,3318,505,3325,496,3327,489,3327,488,3298,488,3295,488,3292,488xm3327,379l3303,379,3303,483,3303,485,3300,487,3298,488,3327,488,3327,379xm3327,346l3303,346,3303,368,3327,368,3327,346xe" filled="true" fillcolor="#231f20" stroked="false">
              <v:path arrowok="t"/>
              <v:fill type="solid"/>
            </v:shape>
            <v:shape style="position:absolute;left:3343;top:376;width:91;height:97" coordorigin="3343,376" coordsize="91,97" path="m3396,376l3375,376,3364,380,3347,397,3343,409,3343,442,3347,454,3366,469,3377,473,3404,473,3415,469,3423,460,3428,454,3429,454,3384,454,3380,453,3376,450,3370,447,3367,440,3367,431,3433,431,3433,423,3433,417,3433,415,3367,415,3368,409,3368,409,3370,405,3377,398,3382,396,3427,396,3421,388,3416,383,3403,378,3396,376xm3432,443l3408,443,3406,446,3405,448,3399,452,3395,454,3429,454,3431,449,3432,443xm3427,396l3394,396,3398,398,3406,404,3408,409,3408,415,3433,415,3431,406,3429,399,3427,396xe" filled="true" fillcolor="#231f20" stroked="false">
              <v:path arrowok="t"/>
              <v:fill type="solid"/>
            </v:shape>
            <v:shape style="position:absolute;left:3487;top:347;width:194;height:127" type="#_x0000_t75" stroked="false">
              <v:imagedata r:id="rId119" o:title=""/>
            </v:shape>
            <v:shape style="position:absolute;left:3732;top:354;width:449;height:119" type="#_x0000_t75" stroked="false">
              <v:imagedata r:id="rId120" o:title=""/>
            </v:shape>
            <v:shape style="position:absolute;left:4240;top:376;width:91;height:97" coordorigin="4240,376" coordsize="91,97" path="m4293,376l4271,376,4261,380,4244,397,4240,409,4240,442,4244,454,4263,469,4274,473,4300,473,4312,469,4320,460,4325,454,4326,454,4281,454,4277,453,4273,450,4267,447,4264,440,4264,431,4330,431,4330,423,4330,417,4330,415,4264,415,4265,409,4265,409,4267,405,4274,398,4279,396,4323,396,4318,388,4313,383,4300,378,4293,376xm4329,443l4305,443,4303,446,4302,448,4296,452,4292,454,4326,454,4328,449,4329,443xm4323,396l4291,396,4295,398,4303,404,4305,409,4305,415,4330,415,4328,406,4326,399,4323,396xe" filled="true" fillcolor="#231f20" stroked="false">
              <v:path arrowok="t"/>
              <v:fill type="solid"/>
            </v:shape>
            <v:shape style="position:absolute;left:4342;top:376;width:83;height:94" coordorigin="4342,376" coordsize="83,94" path="m4366,379l4342,379,4342,470,4366,470,4366,415,4367,410,4372,400,4377,396,4425,396,4423,392,4366,392,4366,379xm4425,396l4392,396,4396,399,4400,406,4400,410,4400,470,4425,470,4425,397,4425,396xm4402,376l4385,376,4379,378,4372,384,4369,387,4366,392,4423,392,4422,389,4410,379,4402,376xe" filled="true" fillcolor="#231f20" stroked="false">
              <v:path arrowok="t"/>
              <v:fill type="solid"/>
            </v:shape>
            <w10:wrap type="topAndBottom"/>
          </v:group>
        </w:pict>
      </w:r>
      <w:r>
        <w:rPr/>
        <w:pict>
          <v:group style="position:absolute;margin-left:224.831894pt;margin-top:16.726896pt;width:55.05pt;height:8.6pt;mso-position-horizontal-relative:page;mso-position-vertical-relative:paragraph;z-index:5440;mso-wrap-distance-left:0;mso-wrap-distance-right:0" coordorigin="4497,335" coordsize="1101,172">
            <v:shape style="position:absolute;left:4497;top:346;width:605;height:161" type="#_x0000_t75" stroked="false">
              <v:imagedata r:id="rId121" o:title=""/>
            </v:shape>
            <v:shape style="position:absolute;left:5125;top:335;width:472;height:165" type="#_x0000_t75" stroked="false">
              <v:imagedata r:id="rId122" o:title=""/>
            </v:shape>
            <w10:wrap type="topAndBottom"/>
          </v:group>
        </w:pict>
      </w:r>
      <w:r>
        <w:rPr/>
        <w:pict>
          <v:group style="position:absolute;margin-left:283.450989pt;margin-top:17.365303pt;width:40.2pt;height:6.35pt;mso-position-horizontal-relative:page;mso-position-vertical-relative:paragraph;z-index:5464;mso-wrap-distance-left:0;mso-wrap-distance-right:0" coordorigin="5669,347" coordsize="804,127">
            <v:shape style="position:absolute;left:5669;top:347;width:340;height:126" type="#_x0000_t75" stroked="false">
              <v:imagedata r:id="rId123" o:title=""/>
            </v:shape>
            <v:shape style="position:absolute;left:6032;top:347;width:440;height:126" type="#_x0000_t75" stroked="false">
              <v:imagedata r:id="rId124" o:titl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r>
        <w:rPr/>
        <w:pict>
          <v:group style="position:absolute;margin-left:81.772598pt;margin-top:14.874836pt;width:12.55pt;height:4.7pt;mso-position-horizontal-relative:page;mso-position-vertical-relative:paragraph;z-index:5488;mso-wrap-distance-left:0;mso-wrap-distance-right:0" coordorigin="1635,297" coordsize="251,94">
            <v:shape style="position:absolute;left:1635;top:298;width:34;height:91" coordorigin="1635,298" coordsize="34,91" path="m1669,298l1660,298,1658,305,1656,310,1649,313,1644,315,1635,316,1635,324,1657,324,1657,389,1669,389,1669,298xe" filled="true" fillcolor="#231f20" stroked="false">
              <v:path arrowok="t"/>
              <v:fill type="solid"/>
            </v:shape>
            <v:shape style="position:absolute;left:1700;top:298;width:62;height:94" coordorigin="1700,298" coordsize="62,94" path="m1712,367l1701,367,1701,374,1703,379,1712,389,1719,391,1741,391,1751,384,1752,381,1725,381,1722,381,1715,377,1713,373,1712,367xm1761,347l1750,347,1748,361,1745,370,1738,379,1733,381,1752,381,1756,370,1760,361,1761,351,1761,347xm1743,298l1720,298,1712,301,1702,313,1700,320,1700,337,1702,344,1713,355,1720,358,1733,358,1737,357,1744,354,1747,351,1749,348,1723,348,1719,346,1713,339,1712,334,1712,322,1713,317,1720,310,1724,308,1754,308,1752,304,1743,298xm1754,308l1735,308,1739,310,1746,316,1748,321,1748,335,1746,340,1738,346,1734,348,1749,348,1750,347,1761,347,1761,330,1760,322,1754,308xe" filled="true" fillcolor="#231f20" stroked="false">
              <v:path arrowok="t"/>
              <v:fill type="solid"/>
            </v:shape>
            <v:shape style="position:absolute;left:1772;top:297;width:63;height:94" coordorigin="1772,297" coordsize="63,94" path="m1812,297l1794,297,1787,300,1777,310,1775,315,1775,328,1776,332,1782,337,1784,339,1787,340,1782,342,1778,345,1773,353,1772,358,1772,372,1775,379,1787,389,1794,391,1813,391,1821,388,1828,381,1797,381,1792,379,1786,372,1784,368,1784,358,1786,353,1793,347,1797,346,1828,346,1826,344,1823,342,1819,340,1822,338,1825,336,1825,336,1798,336,1795,335,1788,330,1787,326,1787,318,1788,315,1793,309,1797,308,1827,308,1818,300,1812,297xm1828,346l1808,346,1813,347,1820,353,1822,358,1822,369,1820,374,1813,379,1809,381,1828,381,1831,377,1834,370,1834,356,1832,350,1828,346xm1827,308l1808,308,1812,309,1817,315,1819,318,1819,325,1817,329,1812,334,1808,336,1825,336,1829,331,1831,326,1831,314,1828,309,1827,308xe" filled="true" fillcolor="#231f20" stroked="false">
              <v:path arrowok="t"/>
              <v:fill type="solid"/>
            </v:shape>
            <v:shape style="position:absolute;left:1852;top:298;width:34;height:91" coordorigin="1852,298" coordsize="34,91" path="m1886,298l1877,298,1875,305,1873,310,1866,313,1860,315,1852,316,1852,324,1873,324,1873,389,1886,389,1886,298xe" filled="true" fillcolor="#231f20" stroked="false">
              <v:path arrowok="t"/>
              <v:fill type="solid"/>
            </v:shape>
            <w10:wrap type="topAndBottom"/>
          </v:group>
        </w:pict>
      </w:r>
      <w:r>
        <w:rPr/>
        <w:pict>
          <v:group style="position:absolute;margin-left:117.660599pt;margin-top:14.874643pt;width:13.65pt;height:4.7pt;mso-position-horizontal-relative:page;mso-position-vertical-relative:paragraph;z-index:5512;mso-wrap-distance-left:0;mso-wrap-distance-right:0" coordorigin="2353,297" coordsize="273,94">
            <v:shape style="position:absolute;left:2353;top:298;width:34;height:91" coordorigin="2353,298" coordsize="34,91" path="m2387,298l2378,298,2376,305,2374,310,2367,313,2361,315,2353,316,2353,324,2375,324,2375,389,2387,389,2387,298xe" filled="true" fillcolor="#231f20" stroked="false">
              <v:path arrowok="t"/>
              <v:fill type="solid"/>
            </v:shape>
            <v:shape style="position:absolute;left:2418;top:298;width:62;height:94" coordorigin="2418,298" coordsize="62,94" path="m2430,367l2419,367,2419,374,2421,379,2430,389,2437,391,2459,391,2468,384,2469,381,2442,381,2440,381,2433,377,2431,373,2430,367xm2479,347l2467,347,2466,361,2463,370,2455,379,2451,381,2469,381,2474,370,2477,361,2479,351,2479,347xm2461,298l2438,298,2430,301,2420,313,2418,320,2418,337,2420,344,2430,355,2437,358,2450,358,2454,357,2462,354,2465,351,2467,348,2441,348,2437,346,2431,339,2429,334,2430,322,2431,317,2438,310,2442,308,2472,308,2470,304,2461,298xm2472,308l2453,308,2457,310,2464,316,2466,321,2466,335,2464,340,2456,346,2452,348,2467,348,2467,347,2479,347,2479,330,2478,322,2472,308xe" filled="true" fillcolor="#231f20" stroked="false">
              <v:path arrowok="t"/>
              <v:fill type="solid"/>
            </v:shape>
            <v:shape style="position:absolute;left:2489;top:297;width:63;height:94" coordorigin="2489,297" coordsize="63,94" path="m2529,297l2512,297,2505,300,2495,310,2493,315,2493,328,2494,332,2499,337,2502,339,2505,340,2500,342,2496,345,2491,353,2489,358,2489,372,2492,379,2505,389,2512,391,2531,391,2538,388,2546,381,2515,381,2510,379,2503,372,2502,368,2502,358,2504,353,2510,347,2515,346,2545,346,2544,344,2541,342,2537,340,2540,338,2543,336,2543,336,2516,336,2512,335,2506,330,2504,326,2505,318,2506,315,2511,309,2515,308,2545,308,2536,300,2529,297xm2545,346l2526,346,2531,347,2538,353,2539,358,2540,369,2538,374,2531,379,2526,381,2546,381,2549,377,2552,370,2552,356,2550,350,2545,346xm2545,308l2526,308,2530,309,2535,315,2536,318,2536,325,2535,329,2529,334,2525,336,2543,336,2547,331,2548,326,2549,314,2546,309,2545,308xe" filled="true" fillcolor="#231f20" stroked="false">
              <v:path arrowok="t"/>
              <v:fill type="solid"/>
            </v:shape>
            <v:shape style="position:absolute;left:2561;top:297;width:65;height:91" coordorigin="2561,297" coordsize="65,91" path="m2612,366l2600,366,2600,389,2612,389,2612,366xm2612,297l2602,297,2561,355,2561,366,2625,366,2625,356,2571,356,2600,315,2612,315,2612,297xm2612,315l2600,315,2600,356,2612,356,2612,315xe" filled="true" fillcolor="#231f20" stroked="false">
              <v:path arrowok="t"/>
              <v:fill type="solid"/>
            </v:shape>
            <w10:wrap type="topAndBottom"/>
          </v:group>
        </w:pict>
      </w:r>
      <w:r>
        <w:rPr/>
        <w:pict>
          <v:group style="position:absolute;margin-left:153.548996pt;margin-top:14.874836pt;width:13.65pt;height:4.7pt;mso-position-horizontal-relative:page;mso-position-vertical-relative:paragraph;z-index:5536;mso-wrap-distance-left:0;mso-wrap-distance-right:0" coordorigin="3071,297" coordsize="273,94">
            <v:shape style="position:absolute;left:3071;top:298;width:34;height:91" coordorigin="3071,298" coordsize="34,91" path="m3105,298l3095,298,3094,305,3091,310,3085,313,3079,315,3071,316,3071,324,3092,324,3092,389,3105,389,3105,298xe" filled="true" fillcolor="#231f20" stroked="false">
              <v:path arrowok="t"/>
              <v:fill type="solid"/>
            </v:shape>
            <v:shape style="position:absolute;left:3135;top:298;width:62;height:94" coordorigin="3135,298" coordsize="62,94" path="m3148,367l3136,367,3136,374,3139,379,3148,389,3155,391,3177,391,3186,384,3187,381,3160,381,3158,381,3151,377,3148,373,3148,367xm3197,347l3185,347,3184,361,3181,370,3173,379,3169,381,3187,381,3195,361,3197,351,3197,347xm3178,298l3155,298,3148,301,3138,313,3135,320,3135,337,3138,344,3148,355,3155,358,3168,358,3172,357,3180,354,3183,351,3185,348,3159,348,3154,346,3149,339,3147,334,3147,322,3149,317,3155,310,3160,308,3189,308,3188,304,3178,298xm3189,308l3171,308,3175,310,3182,316,3183,321,3183,335,3181,340,3174,346,3170,348,3185,348,3185,347,3197,347,3197,330,3195,322,3189,308xe" filled="true" fillcolor="#231f20" stroked="false">
              <v:path arrowok="t"/>
              <v:fill type="solid"/>
            </v:shape>
            <v:shape style="position:absolute;left:3207;top:297;width:63;height:94" coordorigin="3207,297" coordsize="63,94" path="m3247,297l3229,297,3223,300,3213,310,3210,315,3210,328,3212,332,3217,337,3220,339,3223,340,3218,342,3214,345,3208,353,3207,358,3207,372,3210,379,3222,389,3230,391,3248,391,3256,388,3263,381,3232,381,3227,379,3221,372,3220,368,3220,358,3221,353,3228,347,3233,346,3263,346,3261,344,3258,342,3255,340,3258,338,3260,336,3261,336,3234,336,3230,335,3224,330,3222,326,3222,318,3224,315,3228,309,3232,308,3263,308,3254,300,3247,297xm3263,346l3244,346,3248,347,3256,353,3257,358,3257,369,3256,374,3249,379,3244,381,3263,381,3267,377,3269,370,3269,356,3267,350,3263,346xm3263,308l3243,308,3247,309,3253,315,3254,318,3254,325,3253,329,3247,334,3243,336,3261,336,3265,331,3266,326,3266,314,3264,309,3263,308xe" filled="true" fillcolor="#231f20" stroked="false">
              <v:path arrowok="t"/>
              <v:fill type="solid"/>
            </v:shape>
            <v:shape style="position:absolute;left:3280;top:299;width:64;height:90" coordorigin="3280,299" coordsize="64,90" path="m3343,299l3280,299,3280,311,3330,311,3324,318,3296,376,3293,389,3305,389,3307,379,3309,372,3312,362,3315,355,3319,347,3322,339,3327,331,3336,317,3340,312,3343,309,3343,299xe" filled="true" fillcolor="#231f20" stroked="false">
              <v:path arrowok="t"/>
              <v:fill type="solid"/>
            </v:shape>
            <w10:wrap type="topAndBottom"/>
          </v:group>
        </w:pict>
      </w:r>
      <w:r>
        <w:rPr/>
        <w:pict>
          <v:group style="position:absolute;margin-left:188.876495pt;margin-top:14.880836pt;width:13.55pt;height:4.7pt;mso-position-horizontal-relative:page;mso-position-vertical-relative:paragraph;z-index:5560;mso-wrap-distance-left:0;mso-wrap-distance-right:0" coordorigin="3778,298" coordsize="271,94">
            <v:shape style="position:absolute;left:3778;top:298;width:34;height:91" coordorigin="3778,298" coordsize="34,91" path="m3811,298l3802,298,3800,305,3798,310,3792,313,3786,315,3778,316,3778,324,3799,324,3799,389,3811,389,3811,298xe" filled="true" fillcolor="#231f20" stroked="false">
              <v:path arrowok="t"/>
              <v:fill type="solid"/>
            </v:shape>
            <v:shape style="position:absolute;left:3842;top:298;width:62;height:94" coordorigin="3842,298" coordsize="62,94" path="m3855,367l3843,367,3843,374,3845,379,3855,389,3861,391,3883,391,3893,384,3894,381,3867,381,3864,381,3857,377,3855,373,3855,367xm3903,347l3892,347,3890,361,3887,370,3880,379,3875,381,3894,381,3898,370,3902,361,3903,351,3903,347xm3885,298l3862,298,3855,301,3844,313,3842,320,3842,337,3844,344,3855,355,3862,358,3875,358,3879,357,3886,354,3889,351,3891,348,3866,348,3861,346,3855,339,3854,334,3854,322,3855,317,3862,310,3866,308,3896,308,3894,304,3885,298xm3896,308l3877,308,3881,310,3888,316,3890,321,3890,335,3888,340,3880,346,3876,348,3891,348,3892,347,3903,347,3903,330,3902,322,3896,308xe" filled="true" fillcolor="#231f20" stroked="false">
              <v:path arrowok="t"/>
              <v:fill type="solid"/>
            </v:shape>
            <v:shape style="position:absolute;left:3914;top:298;width:62;height:94" coordorigin="3914,298" coordsize="62,94" path="m3927,367l3915,367,3915,374,3917,379,3927,389,3933,391,3956,391,3965,384,3966,381,3939,381,3936,381,3929,377,3927,373,3927,367xm3975,347l3964,347,3962,361,3960,370,3952,379,3947,381,3966,381,3970,370,3974,361,3975,351,3975,347xm3957,298l3934,298,3927,301,3917,313,3914,320,3914,337,3917,344,3927,355,3934,358,3947,358,3951,357,3958,354,3961,351,3963,348,3938,348,3933,346,3927,339,3926,334,3926,322,3928,317,3934,310,3939,308,3968,308,3966,304,3957,298xm3968,308l3949,308,3954,310,3960,316,3962,321,3962,335,3960,340,3953,346,3949,348,3963,348,3964,347,3975,347,3975,330,3974,322,3968,308xe" filled="true" fillcolor="#231f20" stroked="false">
              <v:path arrowok="t"/>
              <v:fill type="solid"/>
            </v:shape>
            <v:shape style="position:absolute;left:3986;top:298;width:63;height:94" coordorigin="3986,298" coordsize="63,94" path="m4029,298l4004,298,3995,305,3990,318,3987,326,3986,335,3986,358,3988,369,3998,386,4006,391,4029,391,4038,385,4040,381,4009,381,4004,376,3999,362,3998,355,3998,333,4000,324,4006,311,4011,308,4040,308,4037,303,4029,298xm4040,308l4025,308,4030,311,4035,325,4036,333,4036,358,4034,367,4027,378,4023,381,4040,381,4043,374,4047,366,4048,355,4048,330,4046,320,4040,308xe" filled="true" fillcolor="#231f20" stroked="false">
              <v:path arrowok="t"/>
              <v:fill type="solid"/>
            </v:shape>
            <w10:wrap type="topAndBottom"/>
          </v:group>
        </w:pict>
      </w:r>
      <w:r>
        <w:rPr/>
        <w:pict>
          <v:group style="position:absolute;margin-left:225.244995pt;margin-top:14.880836pt;width:13.55pt;height:4.7pt;mso-position-horizontal-relative:page;mso-position-vertical-relative:paragraph;z-index:5584;mso-wrap-distance-left:0;mso-wrap-distance-right:0" coordorigin="4505,298" coordsize="271,94">
            <v:shape style="position:absolute;left:4505;top:298;width:34;height:91" coordorigin="4505,298" coordsize="34,91" path="m4538,298l4529,298,4528,305,4525,310,4519,313,4513,315,4505,316,4505,324,4526,324,4526,389,4538,389,4538,298xe" filled="true" fillcolor="#231f20" stroked="false">
              <v:path arrowok="t"/>
              <v:fill type="solid"/>
            </v:shape>
            <v:shape style="position:absolute;left:4569;top:298;width:62;height:94" coordorigin="4569,298" coordsize="62,94" path="m4582,367l4570,367,4570,374,4573,379,4582,389,4589,391,4611,391,4620,384,4621,381,4594,381,4592,381,4585,377,4582,373,4582,367xm4631,347l4619,347,4618,361,4615,370,4607,379,4603,381,4621,381,4629,361,4631,351,4631,347xm4612,298l4589,298,4582,301,4572,313,4569,320,4569,337,4572,344,4582,355,4589,358,4602,358,4606,357,4614,354,4617,351,4619,348,4593,348,4588,346,4583,339,4581,334,4581,322,4583,317,4589,310,4594,308,4623,308,4621,304,4612,298xm4623,308l4605,308,4609,310,4616,316,4617,321,4617,335,4615,340,4608,346,4604,348,4619,348,4619,347,4631,347,4631,330,4629,322,4623,308xe" filled="true" fillcolor="#231f20" stroked="false">
              <v:path arrowok="t"/>
              <v:fill type="solid"/>
            </v:shape>
            <v:shape style="position:absolute;left:4641;top:298;width:62;height:94" coordorigin="4641,298" coordsize="62,94" path="m4654,367l4643,367,4643,374,4645,379,4654,389,4661,391,4683,391,4692,384,4693,381,4666,381,4664,381,4657,377,4654,373,4654,367xm4703,347l4691,347,4690,361,4687,370,4679,379,4675,381,4693,381,4698,370,4701,361,4703,351,4703,347xm4685,298l4661,298,4654,301,4644,313,4641,320,4641,337,4644,344,4654,355,4661,358,4674,358,4678,357,4686,354,4689,351,4691,348,4665,348,4661,346,4655,339,4653,334,4653,322,4655,317,4662,310,4666,308,4696,308,4694,304,4685,298xm4696,308l4677,308,4681,310,4688,316,4689,321,4689,335,4688,340,4680,346,4676,348,4691,348,4691,347,4703,347,4703,330,4701,322,4696,308xe" filled="true" fillcolor="#231f20" stroked="false">
              <v:path arrowok="t"/>
              <v:fill type="solid"/>
            </v:shape>
            <v:shape style="position:absolute;left:4712;top:298;width:64;height:94" coordorigin="4712,298" coordsize="64,94" path="m4724,361l4712,361,4712,369,4715,376,4724,388,4732,391,4753,391,4761,388,4769,381,4736,381,4730,378,4726,371,4725,366,4724,361xm4771,346l4748,346,4754,348,4761,353,4763,357,4763,368,4762,373,4754,379,4749,381,4769,381,4773,377,4775,371,4776,356,4774,352,4771,346xm4737,337l4737,347,4748,346,4771,346,4769,344,4765,342,4760,340,4763,339,4766,337,4766,337,4747,337,4739,337,4737,337xm4770,308l4749,308,4752,309,4759,314,4760,318,4760,328,4758,332,4750,336,4747,337,4766,337,4771,332,4772,328,4772,314,4770,308xm4752,298l4731,298,4723,302,4718,311,4716,315,4714,321,4714,328,4726,328,4726,322,4727,318,4731,311,4737,308,4770,308,4770,308,4759,300,4752,298xe" filled="true" fillcolor="#231f20" stroked="false">
              <v:path arrowok="t"/>
              <v:fill type="solid"/>
            </v:shape>
            <w10:wrap type="topAndBottom"/>
          </v:group>
        </w:pict>
      </w:r>
      <w:r>
        <w:rPr/>
        <w:pict>
          <v:group style="position:absolute;margin-left:261.053101pt;margin-top:14.86874pt;width:13.6pt;height:4.7pt;mso-position-horizontal-relative:page;mso-position-vertical-relative:paragraph;z-index:5608;mso-wrap-distance-left:0;mso-wrap-distance-right:0" coordorigin="5221,297" coordsize="272,94">
            <v:shape style="position:absolute;left:5221;top:298;width:34;height:91" coordorigin="5221,298" coordsize="34,91" path="m5255,298l5246,298,5244,305,5242,310,5235,313,5229,315,5221,316,5221,324,5242,324,5242,389,5255,389,5255,298xe" filled="true" fillcolor="#231f20" stroked="false">
              <v:path arrowok="t"/>
              <v:fill type="solid"/>
            </v:shape>
            <v:shape style="position:absolute;left:5285;top:298;width:62;height:94" coordorigin="5285,298" coordsize="62,94" path="m5298,367l5287,367,5287,374,5289,379,5298,389,5305,391,5327,391,5336,384,5337,381,5310,381,5308,381,5301,377,5298,373,5298,367xm5347,347l5335,347,5334,361,5331,370,5323,379,5319,381,5337,381,5345,361,5347,351,5347,347xm5328,298l5305,298,5298,301,5288,313,5285,320,5285,337,5288,344,5298,355,5305,358,5318,358,5322,357,5330,354,5333,351,5335,348,5309,348,5305,346,5299,339,5297,334,5297,322,5299,317,5306,310,5310,308,5339,308,5338,304,5328,298xm5339,308l5321,308,5325,310,5332,316,5333,321,5333,335,5332,340,5324,346,5320,348,5335,348,5335,347,5347,347,5347,330,5345,322,5339,308xe" filled="true" fillcolor="#231f20" stroked="false">
              <v:path arrowok="t"/>
              <v:fill type="solid"/>
            </v:shape>
            <v:shape style="position:absolute;left:5358;top:298;width:62;height:94" coordorigin="5358,298" coordsize="62,94" path="m5370,367l5359,367,5359,374,5361,379,5370,389,5377,391,5399,391,5408,384,5409,381,5383,381,5380,381,5373,377,5371,373,5370,367xm5419,347l5408,347,5406,361,5403,370,5396,379,5391,381,5409,381,5414,370,5417,361,5419,351,5419,347xm5401,298l5378,298,5370,301,5360,313,5358,320,5358,337,5360,344,5370,355,5377,358,5390,358,5394,357,5402,354,5405,351,5407,348,5381,348,5377,346,5371,339,5370,334,5370,322,5371,317,5378,310,5382,308,5412,308,5410,304,5401,298xm5412,308l5393,308,5397,310,5404,316,5406,321,5406,335,5404,340,5396,346,5392,348,5407,348,5408,347,5419,347,5419,330,5418,322,5412,308xe" filled="true" fillcolor="#231f20" stroked="false">
              <v:path arrowok="t"/>
              <v:fill type="solid"/>
            </v:shape>
            <v:shape style="position:absolute;left:5430;top:297;width:63;height:94" coordorigin="5430,297" coordsize="63,94" path="m5473,297l5449,297,5439,305,5431,328,5430,337,5430,364,5433,375,5446,388,5453,391,5471,391,5479,388,5485,381,5456,381,5452,379,5445,371,5443,366,5443,354,5445,349,5453,342,5455,342,5442,342,5442,333,5442,330,5444,322,5452,310,5457,307,5486,307,5480,300,5473,297xm5487,341l5469,341,5474,343,5479,351,5480,356,5480,366,5479,371,5473,379,5468,381,5485,381,5490,375,5492,368,5492,350,5490,343,5487,341xm5472,330l5459,330,5455,331,5452,333,5448,335,5445,338,5442,342,5455,342,5457,341,5487,341,5478,333,5472,330xm5486,307l5469,307,5473,309,5477,315,5478,318,5479,322,5490,322,5490,316,5488,311,5486,307xe" filled="true" fillcolor="#231f20" stroked="false">
              <v:path arrowok="t"/>
              <v:fill type="solid"/>
            </v:shape>
            <w10:wrap type="topAndBottom"/>
          </v:group>
        </w:pict>
      </w:r>
      <w:r>
        <w:rPr/>
        <w:pict>
          <v:group style="position:absolute;margin-left:295.321899pt;margin-top:14.872242pt;width:14pt;height:4.7pt;mso-position-horizontal-relative:page;mso-position-vertical-relative:paragraph;z-index:5632;mso-wrap-distance-left:0;mso-wrap-distance-right:0" coordorigin="5906,297" coordsize="280,94">
            <v:shape style="position:absolute;left:5906;top:297;width:63;height:92" coordorigin="5906,297" coordsize="63,92" path="m5964,308l5944,308,5949,309,5955,316,5957,320,5956,330,5955,334,5949,339,5945,342,5920,357,5914,362,5908,374,5907,381,5906,389,5969,389,5969,378,5919,378,5920,373,5923,369,5930,363,5933,361,5953,350,5959,346,5967,338,5969,332,5969,318,5967,311,5964,308xm5950,297l5927,297,5918,302,5910,316,5909,322,5909,330,5920,330,5920,324,5921,320,5926,311,5931,308,5964,308,5957,300,5950,297xe" filled="true" fillcolor="#231f20" stroked="false">
              <v:path arrowok="t"/>
              <v:fill type="solid"/>
            </v:shape>
            <v:shape style="position:absolute;left:5979;top:298;width:63;height:94" coordorigin="5979,298" coordsize="63,94" path="m6021,298l5997,298,5988,305,5980,326,5979,335,5979,358,5981,369,5985,377,5991,386,5999,391,6022,391,6030,385,6033,381,6002,381,5997,376,5992,362,5991,355,5991,333,5992,324,5999,311,6004,308,6033,308,6030,303,6021,298xm6033,308l6018,308,6023,311,6028,325,6029,333,6029,358,6027,367,6020,378,6015,381,6033,381,6039,366,6041,355,6041,330,6039,320,6033,308xe" filled="true" fillcolor="#231f20" stroked="false">
              <v:path arrowok="t"/>
              <v:fill type="solid"/>
            </v:shape>
            <v:shape style="position:absolute;left:6051;top:298;width:63;height:94" coordorigin="6051,298" coordsize="63,94" path="m6094,298l6069,298,6060,305,6052,326,6051,335,6051,358,6053,369,6057,377,6063,386,6071,391,6094,391,6103,385,6105,381,6074,381,6069,376,6064,362,6063,355,6063,333,6065,324,6071,311,6076,308,6105,308,6102,303,6094,298xm6105,308l6090,308,6095,311,6100,325,6101,333,6101,358,6099,367,6092,378,6088,381,6105,381,6112,366,6113,355,6113,330,6111,320,6105,308xe" filled="true" fillcolor="#231f20" stroked="false">
              <v:path arrowok="t"/>
              <v:fill type="solid"/>
            </v:shape>
            <v:shape style="position:absolute;left:6123;top:298;width:63;height:94" coordorigin="6123,298" coordsize="63,94" path="m6166,298l6141,298,6132,305,6124,326,6123,335,6123,358,6125,369,6130,377,6135,386,6143,391,6166,391,6175,385,6177,381,6147,381,6141,376,6136,362,6135,355,6135,333,6137,324,6143,311,6148,308,6177,308,6174,303,6166,298xm6177,308l6162,308,6167,311,6172,325,6173,333,6173,358,6172,367,6165,378,6160,381,6177,381,6184,366,6186,355,6186,330,6184,320,6177,308xe" filled="true" fillcolor="#231f20" stroked="false">
              <v:path arrowok="t"/>
              <v:fill type="solid"/>
            </v:shape>
            <w10:wrap type="topAndBottom"/>
          </v:group>
        </w:pict>
      </w:r>
      <w:r>
        <w:rPr/>
        <w:pict>
          <v:group style="position:absolute;margin-left:332.171082pt;margin-top:14.872242pt;width:14pt;height:4.7pt;mso-position-horizontal-relative:page;mso-position-vertical-relative:paragraph;z-index:5656;mso-wrap-distance-left:0;mso-wrap-distance-right:0" coordorigin="6643,297" coordsize="280,94">
            <v:shape style="position:absolute;left:6643;top:297;width:63;height:92" coordorigin="6643,297" coordsize="63,92" path="m6701,308l6681,308,6686,309,6692,316,6694,320,6693,330,6692,334,6686,339,6682,342,6657,357,6651,362,6645,374,6644,381,6643,389,6706,389,6706,378,6656,378,6657,373,6660,369,6667,363,6670,361,6690,350,6696,346,6704,338,6706,332,6706,318,6704,311,6701,308xm6687,297l6664,297,6655,302,6647,316,6646,322,6646,330,6657,330,6657,324,6658,320,6663,311,6668,308,6701,308,6694,300,6687,297xe" filled="true" fillcolor="#231f20" stroked="false">
              <v:path arrowok="t"/>
              <v:fill type="solid"/>
            </v:shape>
            <v:shape style="position:absolute;left:6716;top:298;width:63;height:94" coordorigin="6716,298" coordsize="63,94" path="m6758,298l6734,298,6725,305,6717,326,6716,335,6716,358,6718,369,6722,377,6728,386,6736,391,6759,391,6767,385,6770,381,6739,381,6734,376,6729,362,6728,355,6728,333,6729,324,6736,311,6741,308,6770,308,6767,303,6758,298xm6770,308l6755,308,6760,311,6765,325,6766,333,6766,358,6764,367,6757,378,6752,381,6770,381,6776,366,6778,355,6778,330,6776,320,6770,308xe" filled="true" fillcolor="#231f20" stroked="false">
              <v:path arrowok="t"/>
              <v:fill type="solid"/>
            </v:shape>
            <v:shape style="position:absolute;left:6788;top:298;width:63;height:94" coordorigin="6788,298" coordsize="63,94" path="m6831,298l6806,298,6797,305,6789,326,6788,335,6788,358,6790,369,6794,377,6800,386,6808,391,6831,391,6840,385,6842,381,6811,381,6806,376,6801,362,6800,355,6800,333,6802,324,6808,311,6813,308,6842,308,6839,303,6831,298xm6842,308l6827,308,6832,311,6837,325,6838,333,6838,358,6836,367,6829,378,6825,381,6842,381,6849,366,6850,355,6850,330,6848,320,6842,308xe" filled="true" fillcolor="#231f20" stroked="false">
              <v:path arrowok="t"/>
              <v:fill type="solid"/>
            </v:shape>
            <v:shape style="position:absolute;left:6859;top:298;width:64;height:94" coordorigin="6859,298" coordsize="64,94" path="m6871,361l6859,361,6859,369,6861,376,6871,388,6879,391,6900,391,6908,388,6916,381,6883,381,6877,378,6874,373,6873,371,6871,366,6871,361xm6917,346l6895,346,6901,348,6908,353,6910,357,6910,368,6908,373,6901,379,6896,381,6916,381,6920,377,6922,371,6922,356,6921,352,6917,346xm6884,337l6884,347,6895,346,6917,346,6916,344,6912,342,6907,340,6910,339,6913,337,6913,337,6894,337,6886,337,6884,337xm6917,308l6895,308,6899,309,6906,314,6907,318,6907,328,6905,332,6897,336,6894,337,6913,337,6917,332,6919,328,6919,314,6917,308xm6899,298l6878,298,6870,302,6865,311,6863,315,6861,321,6861,328,6873,328,6873,322,6874,318,6878,311,6884,308,6917,308,6916,308,6906,300,6899,298xe" filled="true" fillcolor="#231f20" stroked="false">
              <v:path arrowok="t"/>
              <v:fill type="solid"/>
            </v:shape>
            <w10:wrap type="topAndBottom"/>
          </v:group>
        </w:pict>
      </w:r>
      <w:r>
        <w:rPr/>
        <w:pict>
          <v:group style="position:absolute;margin-left:368.300293pt;margin-top:14.86874pt;width:14pt;height:4.7pt;mso-position-horizontal-relative:page;mso-position-vertical-relative:paragraph;z-index:5680;mso-wrap-distance-left:0;mso-wrap-distance-right:0" coordorigin="7366,297" coordsize="280,94">
            <v:shape style="position:absolute;left:7366;top:297;width:63;height:92" coordorigin="7366,297" coordsize="63,92" path="m7423,308l7404,308,7408,309,7415,316,7416,320,7416,330,7414,334,7409,339,7405,342,7379,357,7374,362,7368,374,7366,381,7366,389,7428,389,7428,378,7379,378,7380,373,7383,369,7389,363,7392,361,7413,350,7418,346,7426,338,7429,332,7429,318,7426,311,7423,308xm7409,297l7386,297,7378,302,7370,316,7368,322,7368,330,7380,330,7380,324,7381,320,7385,311,7391,308,7423,308,7417,300,7409,297xe" filled="true" fillcolor="#231f20" stroked="false">
              <v:path arrowok="t"/>
              <v:fill type="solid"/>
            </v:shape>
            <v:shape style="position:absolute;left:7438;top:298;width:63;height:94" coordorigin="7438,298" coordsize="63,94" path="m7481,298l7456,298,7447,305,7442,318,7440,326,7438,335,7438,358,7440,369,7450,386,7458,391,7481,391,7490,385,7492,381,7462,381,7457,376,7451,362,7451,355,7450,333,7452,324,7458,311,7463,308,7492,308,7489,303,7481,298xm7492,308l7477,308,7482,311,7487,325,7489,333,7488,358,7487,367,7480,378,7475,381,7492,381,7499,366,7501,355,7501,330,7499,320,7492,308xe" filled="true" fillcolor="#231f20" stroked="false">
              <v:path arrowok="t"/>
              <v:fill type="solid"/>
            </v:shape>
            <v:shape style="position:absolute;left:7510;top:298;width:63;height:94" coordorigin="7510,298" coordsize="63,94" path="m7553,298l7528,298,7519,305,7514,318,7512,326,7510,335,7510,358,7513,369,7522,386,7530,391,7553,391,7562,385,7564,381,7534,381,7529,376,7524,362,7523,355,7523,333,7524,324,7530,311,7535,308,7565,308,7562,303,7553,298xm7565,308l7549,308,7554,311,7559,325,7561,333,7561,358,7559,367,7552,378,7547,381,7564,381,7567,374,7571,366,7573,355,7573,330,7571,320,7565,308xe" filled="true" fillcolor="#231f20" stroked="false">
              <v:path arrowok="t"/>
              <v:fill type="solid"/>
            </v:shape>
            <v:shape style="position:absolute;left:7583;top:297;width:63;height:94" coordorigin="7583,297" coordsize="63,94" path="m7627,297l7602,297,7593,305,7585,328,7583,337,7583,364,7586,375,7599,388,7606,391,7625,391,7632,388,7638,381,7610,381,7605,379,7598,371,7597,366,7597,354,7598,349,7606,342,7608,342,7595,342,7596,333,7596,330,7598,322,7605,310,7610,307,7639,307,7634,300,7627,297xm7641,341l7622,341,7627,343,7632,351,7634,356,7633,366,7632,371,7626,379,7622,381,7638,381,7643,375,7646,368,7646,350,7643,343,7641,341xm7625,330l7613,330,7609,331,7605,333,7601,335,7598,338,7595,342,7608,342,7610,341,7641,341,7631,333,7625,330xm7639,307l7622,307,7626,309,7631,315,7632,318,7632,322,7644,322,7644,316,7642,311,7639,307xe" filled="true" fillcolor="#231f20" stroked="false">
              <v:path arrowok="t"/>
              <v:fill type="solid"/>
            </v:shape>
            <w10:wrap type="topAndBottom"/>
          </v:group>
        </w:pict>
      </w:r>
    </w:p>
    <w:p>
      <w:pPr>
        <w:pStyle w:val="BodyText"/>
        <w:spacing w:before="7"/>
        <w:rPr>
          <w:sz w:val="5"/>
        </w:rPr>
      </w:pPr>
    </w:p>
    <w:p>
      <w:pPr>
        <w:pStyle w:val="BodyText"/>
        <w:spacing w:line="122" w:lineRule="exact"/>
        <w:ind w:left="3768"/>
        <w:rPr>
          <w:sz w:val="12"/>
        </w:rPr>
      </w:pPr>
      <w:r>
        <w:rPr>
          <w:position w:val="-1"/>
          <w:sz w:val="12"/>
        </w:rPr>
        <w:drawing>
          <wp:inline distT="0" distB="0" distL="0" distR="0">
            <wp:extent cx="193614" cy="77724"/>
            <wp:effectExtent l="0" t="0" r="0" b="0"/>
            <wp:docPr id="75" name="image108.png" descr=""/>
            <wp:cNvGraphicFramePr>
              <a:graphicFrameLocks noChangeAspect="1"/>
            </wp:cNvGraphicFramePr>
            <a:graphic>
              <a:graphicData uri="http://schemas.openxmlformats.org/drawingml/2006/picture">
                <pic:pic>
                  <pic:nvPicPr>
                    <pic:cNvPr id="76" name="image108.png"/>
                    <pic:cNvPicPr/>
                  </pic:nvPicPr>
                  <pic:blipFill>
                    <a:blip r:embed="rId125" cstate="print"/>
                    <a:stretch>
                      <a:fillRect/>
                    </a:stretch>
                  </pic:blipFill>
                  <pic:spPr>
                    <a:xfrm>
                      <a:off x="0" y="0"/>
                      <a:ext cx="193614" cy="77724"/>
                    </a:xfrm>
                    <a:prstGeom prst="rect">
                      <a:avLst/>
                    </a:prstGeom>
                  </pic:spPr>
                </pic:pic>
              </a:graphicData>
            </a:graphic>
          </wp:inline>
        </w:drawing>
      </w:r>
      <w:r>
        <w:rPr>
          <w:position w:val="-1"/>
          <w:sz w:val="12"/>
        </w:rPr>
      </w:r>
    </w:p>
    <w:p>
      <w:pPr>
        <w:pStyle w:val="BodyText"/>
        <w:spacing w:before="7"/>
        <w:rPr>
          <w:sz w:val="20"/>
        </w:rPr>
      </w:pPr>
    </w:p>
    <w:p>
      <w:pPr>
        <w:pStyle w:val="Heading5"/>
        <w:spacing w:line="285" w:lineRule="auto"/>
        <w:ind w:left="2677" w:right="378" w:hanging="2184"/>
      </w:pPr>
      <w:r>
        <w:rPr/>
        <w:pict>
          <v:group style="position:absolute;margin-left:402.283997pt;margin-top:-73.574165pt;width:34.050pt;height:5.3pt;mso-position-horizontal-relative:page;mso-position-vertical-relative:paragraph;z-index:5776" coordorigin="8046,-1471" coordsize="681,106">
            <v:shape style="position:absolute;left:8532;top:-1471;width:195;height:106" type="#_x0000_t75" stroked="false">
              <v:imagedata r:id="rId126" o:title=""/>
            </v:shape>
            <v:line style="position:absolute" from="8066,-1439" to="8493,-1439" stroked="true" strokeweight="2pt" strokecolor="#be1e2d"/>
            <w10:wrap type="none"/>
          </v:group>
        </w:pict>
      </w:r>
      <w:r>
        <w:rPr/>
        <w:pict>
          <v:group style="position:absolute;margin-left:402.283997pt;margin-top:-64.362961pt;width:37.1pt;height:4.7pt;mso-position-horizontal-relative:page;mso-position-vertical-relative:paragraph;z-index:5800" coordorigin="8046,-1287" coordsize="742,94">
            <v:shape style="position:absolute;left:8532;top:-1287;width:256;height:94" coordorigin="8532,-1287" coordsize="256,94" path="m8601,-1269l8598,-1276,8598,-1276,8588,-1285,8588,-1285,8588,-1267,8588,-1254,8586,-1250,8579,-1245,8575,-1244,8544,-1244,8544,-1276,8574,-1276,8578,-1276,8581,-1274,8586,-1272,8588,-1267,8588,-1285,8582,-1287,8532,-1287,8532,-1194,8544,-1194,8544,-1233,8583,-1233,8590,-1236,8596,-1244,8599,-1247,8601,-1253,8601,-1269m8695,-1196l8693,-1197,8691,-1199,8690,-1204,8690,-1206,8689,-1228,8688,-1232,8686,-1234,8684,-1236,8682,-1238,8678,-1240,8682,-1242,8685,-1245,8685,-1245,8690,-1252,8691,-1257,8691,-1273,8689,-1276,8687,-1280,8678,-1284,8678,-1268,8678,-1255,8677,-1251,8670,-1246,8665,-1245,8631,-1245,8631,-1276,8665,-1276,8669,-1276,8671,-1275,8676,-1272,8678,-1268,8678,-1284,8678,-1284,8674,-1286,8668,-1287,8619,-1287,8619,-1194,8631,-1194,8631,-1234,8664,-1234,8668,-1233,8674,-1230,8677,-1226,8678,-1201,8678,-1199,8678,-1196,8679,-1195,8679,-1194,8695,-1194,8695,-1196m8787,-1255l8784,-1265,8776,-1276,8774,-1278,8774,-1251,8774,-1237,8774,-1234,8772,-1224,8771,-1220,8765,-1211,8761,-1208,8754,-1205,8750,-1205,8724,-1205,8724,-1276,8756,-1276,8763,-1273,8772,-1260,8774,-1251,8774,-1278,8771,-1283,8761,-1287,8711,-1287,8711,-1194,8764,-1194,8775,-1201,8777,-1205,8786,-1223,8787,-1232,8787,-1255e" filled="true" fillcolor="#231f20" stroked="false">
              <v:path arrowok="t"/>
              <v:fill type="solid"/>
            </v:shape>
            <v:line style="position:absolute" from="8066,-1247" to="8493,-1247" stroked="true" strokeweight="2pt" strokecolor="#f9ed32"/>
            <w10:wrap type="none"/>
          </v:group>
        </w:pict>
      </w:r>
      <w:r>
        <w:rPr>
          <w:color w:val="231F20"/>
          <w:w w:val="105"/>
        </w:rPr>
        <w:t>Gráfica</w:t>
      </w:r>
      <w:r>
        <w:rPr>
          <w:color w:val="231F20"/>
          <w:spacing w:val="-17"/>
          <w:w w:val="105"/>
        </w:rPr>
        <w:t> </w:t>
      </w:r>
      <w:r>
        <w:rPr>
          <w:color w:val="231F20"/>
          <w:spacing w:val="-11"/>
          <w:w w:val="105"/>
        </w:rPr>
        <w:t>7.</w:t>
      </w:r>
      <w:r>
        <w:rPr>
          <w:color w:val="231F20"/>
          <w:spacing w:val="-17"/>
          <w:w w:val="105"/>
        </w:rPr>
        <w:t> </w:t>
      </w:r>
      <w:r>
        <w:rPr>
          <w:color w:val="231F20"/>
          <w:w w:val="105"/>
        </w:rPr>
        <w:t>Porcentajes</w:t>
      </w:r>
      <w:r>
        <w:rPr>
          <w:color w:val="231F20"/>
          <w:spacing w:val="-17"/>
          <w:w w:val="105"/>
        </w:rPr>
        <w:t> </w:t>
      </w:r>
      <w:r>
        <w:rPr>
          <w:color w:val="231F20"/>
          <w:w w:val="105"/>
        </w:rPr>
        <w:t>de</w:t>
      </w:r>
      <w:r>
        <w:rPr>
          <w:color w:val="231F20"/>
          <w:spacing w:val="-17"/>
          <w:w w:val="105"/>
        </w:rPr>
        <w:t> </w:t>
      </w:r>
      <w:r>
        <w:rPr>
          <w:color w:val="231F20"/>
          <w:w w:val="105"/>
        </w:rPr>
        <w:t>votación</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elecciones</w:t>
      </w:r>
      <w:r>
        <w:rPr>
          <w:color w:val="231F20"/>
          <w:spacing w:val="-17"/>
          <w:w w:val="105"/>
        </w:rPr>
        <w:t> </w:t>
      </w:r>
      <w:r>
        <w:rPr>
          <w:color w:val="231F20"/>
          <w:w w:val="105"/>
        </w:rPr>
        <w:t>a</w:t>
      </w:r>
      <w:r>
        <w:rPr>
          <w:color w:val="231F20"/>
          <w:spacing w:val="-17"/>
          <w:w w:val="105"/>
        </w:rPr>
        <w:t> </w:t>
      </w:r>
      <w:r>
        <w:rPr>
          <w:color w:val="231F20"/>
          <w:w w:val="105"/>
        </w:rPr>
        <w:t>presidente</w:t>
      </w:r>
      <w:r>
        <w:rPr>
          <w:color w:val="231F20"/>
          <w:spacing w:val="-17"/>
          <w:w w:val="105"/>
        </w:rPr>
        <w:t> </w:t>
      </w:r>
      <w:r>
        <w:rPr>
          <w:color w:val="231F20"/>
          <w:w w:val="105"/>
        </w:rPr>
        <w:t>municipal en Huixquilucan,</w:t>
      </w:r>
      <w:r>
        <w:rPr>
          <w:color w:val="231F20"/>
          <w:spacing w:val="9"/>
          <w:w w:val="105"/>
        </w:rPr>
        <w:t> </w:t>
      </w:r>
      <w:r>
        <w:rPr>
          <w:color w:val="231F20"/>
          <w:spacing w:val="-3"/>
          <w:w w:val="105"/>
        </w:rPr>
        <w:t>1981-2006.</w:t>
      </w:r>
    </w:p>
    <w:p>
      <w:pPr>
        <w:spacing w:before="64"/>
        <w:ind w:left="0" w:right="108" w:firstLine="0"/>
        <w:jc w:val="right"/>
        <w:rPr>
          <w:rFonts w:ascii="Calibri"/>
          <w:sz w:val="16"/>
        </w:rPr>
      </w:pPr>
      <w:r>
        <w:rPr>
          <w:rFonts w:ascii="Calibri"/>
          <w:color w:val="231F20"/>
          <w:w w:val="95"/>
          <w:sz w:val="16"/>
        </w:rPr>
        <w:t>Fuente: (CIDAC, 2008), (IEEM, 2008).</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De esta manera, hasta el </w:t>
      </w:r>
      <w:r>
        <w:rPr>
          <w:color w:val="231F20"/>
          <w:spacing w:val="-3"/>
          <w:w w:val="105"/>
        </w:rPr>
        <w:t>momento </w:t>
      </w:r>
      <w:r>
        <w:rPr>
          <w:color w:val="231F20"/>
          <w:w w:val="105"/>
        </w:rPr>
        <w:t>el PRI se ha mantenido como la principal fuerza política </w:t>
      </w:r>
      <w:r>
        <w:rPr>
          <w:color w:val="231F20"/>
          <w:spacing w:val="2"/>
          <w:w w:val="105"/>
        </w:rPr>
        <w:t>al </w:t>
      </w:r>
      <w:r>
        <w:rPr>
          <w:color w:val="231F20"/>
          <w:w w:val="105"/>
        </w:rPr>
        <w:t>interior del ayuntamiento, logrando la mayoría de los espacios públicos de elección;</w:t>
      </w:r>
      <w:r>
        <w:rPr>
          <w:color w:val="231F20"/>
          <w:spacing w:val="-14"/>
          <w:w w:val="105"/>
        </w:rPr>
        <w:t> </w:t>
      </w:r>
      <w:r>
        <w:rPr>
          <w:color w:val="231F20"/>
          <w:w w:val="105"/>
        </w:rPr>
        <w:t>a</w:t>
      </w:r>
      <w:r>
        <w:rPr>
          <w:color w:val="231F20"/>
          <w:spacing w:val="-14"/>
          <w:w w:val="105"/>
        </w:rPr>
        <w:t> </w:t>
      </w:r>
      <w:r>
        <w:rPr>
          <w:color w:val="231F20"/>
          <w:w w:val="105"/>
        </w:rPr>
        <w:t>su</w:t>
      </w:r>
      <w:r>
        <w:rPr>
          <w:color w:val="231F20"/>
          <w:spacing w:val="-14"/>
          <w:w w:val="105"/>
        </w:rPr>
        <w:t> </w:t>
      </w:r>
      <w:r>
        <w:rPr>
          <w:color w:val="231F20"/>
          <w:w w:val="105"/>
        </w:rPr>
        <w:t>vez,</w:t>
      </w:r>
      <w:r>
        <w:rPr>
          <w:color w:val="231F20"/>
          <w:spacing w:val="-14"/>
          <w:w w:val="105"/>
        </w:rPr>
        <w:t> </w:t>
      </w:r>
      <w:r>
        <w:rPr>
          <w:color w:val="231F20"/>
          <w:w w:val="105"/>
        </w:rPr>
        <w:t>el</w:t>
      </w:r>
      <w:r>
        <w:rPr>
          <w:color w:val="231F20"/>
          <w:spacing w:val="-14"/>
          <w:w w:val="105"/>
        </w:rPr>
        <w:t> </w:t>
      </w:r>
      <w:r>
        <w:rPr>
          <w:color w:val="231F20"/>
          <w:spacing w:val="-4"/>
          <w:w w:val="105"/>
        </w:rPr>
        <w:t>PAN</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consolidado</w:t>
      </w:r>
      <w:r>
        <w:rPr>
          <w:color w:val="231F20"/>
          <w:spacing w:val="-14"/>
          <w:w w:val="105"/>
        </w:rPr>
        <w:t> </w:t>
      </w:r>
      <w:r>
        <w:rPr>
          <w:color w:val="231F20"/>
          <w:w w:val="105"/>
        </w:rPr>
        <w:t>como</w:t>
      </w:r>
      <w:r>
        <w:rPr>
          <w:color w:val="231F20"/>
          <w:spacing w:val="-14"/>
          <w:w w:val="105"/>
        </w:rPr>
        <w:t> </w:t>
      </w:r>
      <w:r>
        <w:rPr>
          <w:color w:val="231F20"/>
          <w:w w:val="105"/>
        </w:rPr>
        <w:t>la</w:t>
      </w:r>
      <w:r>
        <w:rPr>
          <w:color w:val="231F20"/>
          <w:spacing w:val="-14"/>
          <w:w w:val="105"/>
        </w:rPr>
        <w:t> </w:t>
      </w:r>
      <w:r>
        <w:rPr>
          <w:color w:val="231F20"/>
          <w:w w:val="105"/>
        </w:rPr>
        <w:t>segunda</w:t>
      </w:r>
      <w:r>
        <w:rPr>
          <w:color w:val="231F20"/>
          <w:spacing w:val="-14"/>
          <w:w w:val="105"/>
        </w:rPr>
        <w:t> </w:t>
      </w:r>
      <w:r>
        <w:rPr>
          <w:color w:val="231F20"/>
          <w:w w:val="105"/>
        </w:rPr>
        <w:t>minoría,</w:t>
      </w:r>
      <w:r>
        <w:rPr>
          <w:color w:val="231F20"/>
          <w:spacing w:val="-14"/>
          <w:w w:val="105"/>
        </w:rPr>
        <w:t> </w:t>
      </w:r>
      <w:r>
        <w:rPr>
          <w:color w:val="231F20"/>
          <w:w w:val="105"/>
        </w:rPr>
        <w:t>aunque</w:t>
      </w:r>
      <w:r>
        <w:rPr>
          <w:color w:val="231F20"/>
          <w:spacing w:val="-14"/>
          <w:w w:val="105"/>
        </w:rPr>
        <w:t> </w:t>
      </w:r>
      <w:r>
        <w:rPr>
          <w:color w:val="231F20"/>
          <w:w w:val="105"/>
        </w:rPr>
        <w:t>ya</w:t>
      </w:r>
      <w:r>
        <w:rPr>
          <w:color w:val="231F20"/>
          <w:spacing w:val="-14"/>
          <w:w w:val="105"/>
        </w:rPr>
        <w:t> </w:t>
      </w:r>
      <w:r>
        <w:rPr>
          <w:color w:val="231F20"/>
          <w:w w:val="105"/>
        </w:rPr>
        <w:t>logró ejercer</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w w:val="105"/>
        </w:rPr>
        <w:t>local.</w:t>
      </w:r>
      <w:r>
        <w:rPr>
          <w:color w:val="231F20"/>
          <w:spacing w:val="-9"/>
          <w:w w:val="105"/>
        </w:rPr>
        <w:t> </w:t>
      </w:r>
      <w:r>
        <w:rPr>
          <w:color w:val="231F20"/>
          <w:w w:val="105"/>
        </w:rPr>
        <w:t>Sin</w:t>
      </w:r>
      <w:r>
        <w:rPr>
          <w:color w:val="231F20"/>
          <w:spacing w:val="-9"/>
          <w:w w:val="105"/>
        </w:rPr>
        <w:t> </w:t>
      </w:r>
      <w:r>
        <w:rPr>
          <w:color w:val="231F20"/>
          <w:w w:val="105"/>
        </w:rPr>
        <w:t>embargo,</w:t>
      </w:r>
      <w:r>
        <w:rPr>
          <w:color w:val="231F20"/>
          <w:spacing w:val="-9"/>
          <w:w w:val="105"/>
        </w:rPr>
        <w:t> </w:t>
      </w:r>
      <w:r>
        <w:rPr>
          <w:color w:val="231F20"/>
          <w:w w:val="105"/>
        </w:rPr>
        <w:t>a</w:t>
      </w:r>
      <w:r>
        <w:rPr>
          <w:color w:val="231F20"/>
          <w:spacing w:val="-9"/>
          <w:w w:val="105"/>
        </w:rPr>
        <w:t> </w:t>
      </w:r>
      <w:r>
        <w:rPr>
          <w:color w:val="231F20"/>
          <w:w w:val="105"/>
        </w:rPr>
        <w:t>pesar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estrecha</w:t>
      </w:r>
      <w:r>
        <w:rPr>
          <w:color w:val="231F20"/>
          <w:spacing w:val="-9"/>
          <w:w w:val="105"/>
        </w:rPr>
        <w:t> </w:t>
      </w:r>
      <w:r>
        <w:rPr>
          <w:color w:val="231F20"/>
          <w:w w:val="105"/>
        </w:rPr>
        <w:t>competencia</w:t>
      </w:r>
      <w:r>
        <w:rPr>
          <w:color w:val="231F20"/>
          <w:spacing w:val="-9"/>
          <w:w w:val="105"/>
        </w:rPr>
        <w:t> </w:t>
      </w:r>
      <w:r>
        <w:rPr>
          <w:color w:val="231F20"/>
          <w:w w:val="105"/>
        </w:rPr>
        <w:t>entre</w:t>
      </w:r>
      <w:r>
        <w:rPr>
          <w:color w:val="231F20"/>
          <w:spacing w:val="-9"/>
          <w:w w:val="105"/>
        </w:rPr>
        <w:t> </w:t>
      </w:r>
      <w:r>
        <w:rPr>
          <w:color w:val="231F20"/>
          <w:w w:val="105"/>
        </w:rPr>
        <w:t>ambos partidos, esto no se ha visto representado como </w:t>
      </w:r>
      <w:r>
        <w:rPr>
          <w:color w:val="231F20"/>
          <w:spacing w:val="2"/>
          <w:w w:val="105"/>
        </w:rPr>
        <w:t>tal </w:t>
      </w:r>
      <w:r>
        <w:rPr>
          <w:color w:val="231F20"/>
          <w:w w:val="105"/>
        </w:rPr>
        <w:t>en la conformación de los ayunta- mientos</w:t>
      </w:r>
      <w:r>
        <w:rPr>
          <w:color w:val="231F20"/>
          <w:spacing w:val="-6"/>
          <w:w w:val="105"/>
        </w:rPr>
        <w:t> </w:t>
      </w:r>
      <w:r>
        <w:rPr>
          <w:color w:val="231F20"/>
          <w:w w:val="105"/>
        </w:rPr>
        <w:t>debido</w:t>
      </w:r>
      <w:r>
        <w:rPr>
          <w:color w:val="231F20"/>
          <w:spacing w:val="-6"/>
          <w:w w:val="105"/>
        </w:rPr>
        <w:t> </w:t>
      </w:r>
      <w:r>
        <w:rPr>
          <w:color w:val="231F20"/>
          <w:w w:val="105"/>
        </w:rPr>
        <w:t>a</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marco</w:t>
      </w:r>
      <w:r>
        <w:rPr>
          <w:color w:val="231F20"/>
          <w:spacing w:val="-6"/>
          <w:w w:val="105"/>
        </w:rPr>
        <w:t> </w:t>
      </w:r>
      <w:r>
        <w:rPr>
          <w:color w:val="231F20"/>
          <w:w w:val="105"/>
        </w:rPr>
        <w:t>institucional</w:t>
      </w:r>
      <w:r>
        <w:rPr>
          <w:color w:val="231F20"/>
          <w:spacing w:val="-6"/>
          <w:w w:val="105"/>
        </w:rPr>
        <w:t> </w:t>
      </w:r>
      <w:r>
        <w:rPr>
          <w:color w:val="231F20"/>
          <w:w w:val="105"/>
        </w:rPr>
        <w:t>fomenta</w:t>
      </w:r>
      <w:r>
        <w:rPr>
          <w:color w:val="231F20"/>
          <w:spacing w:val="-6"/>
          <w:w w:val="105"/>
        </w:rPr>
        <w:t> </w:t>
      </w:r>
      <w:r>
        <w:rPr>
          <w:color w:val="231F20"/>
          <w:w w:val="105"/>
        </w:rPr>
        <w:t>la</w:t>
      </w:r>
      <w:r>
        <w:rPr>
          <w:color w:val="231F20"/>
          <w:spacing w:val="-6"/>
          <w:w w:val="105"/>
        </w:rPr>
        <w:t> </w:t>
      </w:r>
      <w:r>
        <w:rPr>
          <w:color w:val="231F20"/>
          <w:w w:val="105"/>
        </w:rPr>
        <w:t>sobrerrepresentación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pla- </w:t>
      </w:r>
      <w:r>
        <w:rPr>
          <w:color w:val="231F20"/>
          <w:spacing w:val="2"/>
          <w:w w:val="105"/>
        </w:rPr>
        <w:t>nilla</w:t>
      </w:r>
      <w:r>
        <w:rPr>
          <w:color w:val="231F20"/>
          <w:spacing w:val="-14"/>
          <w:w w:val="105"/>
        </w:rPr>
        <w:t> </w:t>
      </w:r>
      <w:r>
        <w:rPr>
          <w:color w:val="231F20"/>
          <w:w w:val="105"/>
        </w:rPr>
        <w:t>partidista</w:t>
      </w:r>
      <w:r>
        <w:rPr>
          <w:color w:val="231F20"/>
          <w:spacing w:val="-14"/>
          <w:w w:val="105"/>
        </w:rPr>
        <w:t> </w:t>
      </w:r>
      <w:r>
        <w:rPr>
          <w:color w:val="231F20"/>
          <w:w w:val="105"/>
        </w:rPr>
        <w:t>ganadora</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comicios</w:t>
      </w:r>
      <w:r>
        <w:rPr>
          <w:color w:val="231F20"/>
          <w:spacing w:val="-14"/>
          <w:w w:val="105"/>
        </w:rPr>
        <w:t> </w:t>
      </w:r>
      <w:r>
        <w:rPr>
          <w:color w:val="231F20"/>
          <w:w w:val="105"/>
        </w:rPr>
        <w:t>electorales.</w:t>
      </w:r>
    </w:p>
    <w:p>
      <w:pPr>
        <w:pStyle w:val="BodyText"/>
        <w:spacing w:before="1"/>
        <w:rPr>
          <w:sz w:val="26"/>
        </w:rPr>
      </w:pPr>
    </w:p>
    <w:p>
      <w:pPr>
        <w:pStyle w:val="BodyText"/>
        <w:spacing w:line="285" w:lineRule="auto"/>
        <w:ind w:left="110" w:right="107"/>
        <w:jc w:val="both"/>
      </w:pPr>
      <w:r>
        <w:rPr>
          <w:color w:val="231F20"/>
          <w:w w:val="105"/>
        </w:rPr>
        <w:t>Con el fin de identificar la centralización y personalización del gobierno municipal huixquiluquense opté por observar el tipo de obras públicas realizadas las cuales pre- viamente tienen que pasar por la aprobación del cabildo, así como la estabilidad de la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estructura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APM.</w:t>
      </w:r>
      <w:r>
        <w:rPr>
          <w:color w:val="231F20"/>
          <w:spacing w:val="-5"/>
          <w:w w:val="105"/>
        </w:rPr>
        <w:t> </w:t>
      </w:r>
      <w:r>
        <w:rPr>
          <w:color w:val="231F20"/>
          <w:w w:val="105"/>
        </w:rPr>
        <w:t>Para</w:t>
      </w:r>
      <w:r>
        <w:rPr>
          <w:color w:val="231F20"/>
          <w:spacing w:val="-5"/>
          <w:w w:val="105"/>
        </w:rPr>
        <w:t> </w:t>
      </w:r>
      <w:r>
        <w:rPr>
          <w:color w:val="231F20"/>
          <w:w w:val="105"/>
        </w:rPr>
        <w:t>ello</w:t>
      </w:r>
      <w:r>
        <w:rPr>
          <w:color w:val="231F20"/>
          <w:spacing w:val="-5"/>
          <w:w w:val="105"/>
        </w:rPr>
        <w:t> </w:t>
      </w:r>
      <w:r>
        <w:rPr>
          <w:color w:val="231F20"/>
          <w:w w:val="105"/>
        </w:rPr>
        <w:t>enfoqué</w:t>
      </w:r>
      <w:r>
        <w:rPr>
          <w:color w:val="231F20"/>
          <w:spacing w:val="-5"/>
          <w:w w:val="105"/>
        </w:rPr>
        <w:t> </w:t>
      </w:r>
      <w:r>
        <w:rPr>
          <w:color w:val="231F20"/>
          <w:w w:val="105"/>
        </w:rPr>
        <w:t>el</w:t>
      </w:r>
      <w:r>
        <w:rPr>
          <w:color w:val="231F20"/>
          <w:spacing w:val="-5"/>
          <w:w w:val="105"/>
        </w:rPr>
        <w:t> </w:t>
      </w:r>
      <w:r>
        <w:rPr>
          <w:color w:val="231F20"/>
          <w:spacing w:val="2"/>
          <w:w w:val="105"/>
        </w:rPr>
        <w:t>análisis</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administraciones</w:t>
      </w:r>
      <w:r>
        <w:rPr>
          <w:color w:val="231F20"/>
          <w:spacing w:val="-5"/>
          <w:w w:val="105"/>
        </w:rPr>
        <w:t> </w:t>
      </w:r>
      <w:r>
        <w:rPr>
          <w:color w:val="231F20"/>
          <w:w w:val="105"/>
        </w:rPr>
        <w:t>locales</w:t>
      </w:r>
      <w:r>
        <w:rPr>
          <w:color w:val="231F20"/>
          <w:spacing w:val="-5"/>
          <w:w w:val="105"/>
        </w:rPr>
        <w:t> </w:t>
      </w:r>
      <w:r>
        <w:rPr>
          <w:color w:val="231F20"/>
          <w:spacing w:val="-3"/>
          <w:w w:val="105"/>
        </w:rPr>
        <w:t>du- </w:t>
      </w:r>
      <w:r>
        <w:rPr>
          <w:color w:val="231F20"/>
          <w:w w:val="105"/>
        </w:rPr>
        <w:t>rante</w:t>
      </w:r>
      <w:r>
        <w:rPr>
          <w:color w:val="231F20"/>
          <w:spacing w:val="-15"/>
          <w:w w:val="105"/>
        </w:rPr>
        <w:t> </w:t>
      </w:r>
      <w:r>
        <w:rPr>
          <w:color w:val="231F20"/>
          <w:w w:val="105"/>
        </w:rPr>
        <w:t>los</w:t>
      </w:r>
      <w:r>
        <w:rPr>
          <w:color w:val="231F20"/>
          <w:spacing w:val="-15"/>
          <w:w w:val="105"/>
        </w:rPr>
        <w:t> </w:t>
      </w:r>
      <w:r>
        <w:rPr>
          <w:color w:val="231F20"/>
          <w:w w:val="105"/>
        </w:rPr>
        <w:t>periodos</w:t>
      </w:r>
      <w:r>
        <w:rPr>
          <w:color w:val="231F20"/>
          <w:spacing w:val="-15"/>
          <w:w w:val="105"/>
        </w:rPr>
        <w:t> </w:t>
      </w:r>
      <w:r>
        <w:rPr>
          <w:color w:val="231F20"/>
          <w:w w:val="105"/>
        </w:rPr>
        <w:t>2003-2006</w:t>
      </w:r>
      <w:r>
        <w:rPr>
          <w:color w:val="231F20"/>
          <w:spacing w:val="-15"/>
          <w:w w:val="105"/>
        </w:rPr>
        <w:t> </w:t>
      </w:r>
      <w:r>
        <w:rPr>
          <w:color w:val="231F20"/>
          <w:w w:val="105"/>
        </w:rPr>
        <w:t>encabezada</w:t>
      </w:r>
      <w:r>
        <w:rPr>
          <w:color w:val="231F20"/>
          <w:spacing w:val="-15"/>
          <w:w w:val="105"/>
        </w:rPr>
        <w:t> </w:t>
      </w:r>
      <w:r>
        <w:rPr>
          <w:color w:val="231F20"/>
          <w:w w:val="105"/>
        </w:rPr>
        <w:t>por</w:t>
      </w:r>
      <w:r>
        <w:rPr>
          <w:color w:val="231F20"/>
          <w:spacing w:val="-15"/>
          <w:w w:val="105"/>
        </w:rPr>
        <w:t> </w:t>
      </w:r>
      <w:r>
        <w:rPr>
          <w:color w:val="231F20"/>
          <w:w w:val="105"/>
        </w:rPr>
        <w:t>David</w:t>
      </w:r>
      <w:r>
        <w:rPr>
          <w:color w:val="231F20"/>
          <w:spacing w:val="-15"/>
          <w:w w:val="105"/>
        </w:rPr>
        <w:t> </w:t>
      </w:r>
      <w:r>
        <w:rPr>
          <w:color w:val="231F20"/>
          <w:spacing w:val="-3"/>
          <w:w w:val="105"/>
        </w:rPr>
        <w:t>Korenfeld</w:t>
      </w:r>
      <w:r>
        <w:rPr>
          <w:color w:val="231F20"/>
          <w:spacing w:val="-15"/>
          <w:w w:val="105"/>
        </w:rPr>
        <w:t> </w:t>
      </w:r>
      <w:r>
        <w:rPr>
          <w:color w:val="231F20"/>
          <w:w w:val="105"/>
        </w:rPr>
        <w:t>Federman,</w:t>
      </w:r>
      <w:r>
        <w:rPr>
          <w:color w:val="231F20"/>
          <w:spacing w:val="-15"/>
          <w:w w:val="105"/>
        </w:rPr>
        <w:t> </w:t>
      </w:r>
      <w:r>
        <w:rPr>
          <w:color w:val="231F20"/>
          <w:w w:val="105"/>
        </w:rPr>
        <w:t>y</w:t>
      </w:r>
      <w:r>
        <w:rPr>
          <w:color w:val="231F20"/>
          <w:spacing w:val="-15"/>
          <w:w w:val="105"/>
        </w:rPr>
        <w:t> </w:t>
      </w:r>
      <w:r>
        <w:rPr>
          <w:color w:val="231F20"/>
          <w:spacing w:val="2"/>
          <w:w w:val="105"/>
        </w:rPr>
        <w:t>2006-2009 </w:t>
      </w:r>
      <w:r>
        <w:rPr>
          <w:color w:val="231F20"/>
          <w:w w:val="105"/>
        </w:rPr>
        <w:t>dirigida</w:t>
      </w:r>
      <w:r>
        <w:rPr>
          <w:color w:val="231F20"/>
          <w:spacing w:val="-20"/>
          <w:w w:val="105"/>
        </w:rPr>
        <w:t> </w:t>
      </w:r>
      <w:r>
        <w:rPr>
          <w:color w:val="231F20"/>
          <w:w w:val="105"/>
        </w:rPr>
        <w:t>por</w:t>
      </w:r>
      <w:r>
        <w:rPr>
          <w:color w:val="231F20"/>
          <w:spacing w:val="-20"/>
          <w:w w:val="105"/>
        </w:rPr>
        <w:t> </w:t>
      </w:r>
      <w:r>
        <w:rPr>
          <w:color w:val="231F20"/>
          <w:w w:val="105"/>
        </w:rPr>
        <w:t>Adrián</w:t>
      </w:r>
      <w:r>
        <w:rPr>
          <w:color w:val="231F20"/>
          <w:spacing w:val="-20"/>
          <w:w w:val="105"/>
        </w:rPr>
        <w:t> </w:t>
      </w:r>
      <w:r>
        <w:rPr>
          <w:color w:val="231F20"/>
          <w:w w:val="105"/>
        </w:rPr>
        <w:t>Fuentes</w:t>
      </w:r>
      <w:r>
        <w:rPr>
          <w:color w:val="231F20"/>
          <w:spacing w:val="-20"/>
          <w:w w:val="105"/>
        </w:rPr>
        <w:t> </w:t>
      </w:r>
      <w:r>
        <w:rPr>
          <w:color w:val="231F20"/>
          <w:w w:val="105"/>
        </w:rPr>
        <w:t>Villalobos</w:t>
      </w:r>
      <w:r>
        <w:rPr>
          <w:color w:val="231F20"/>
          <w:w w:val="105"/>
          <w:position w:val="7"/>
          <w:sz w:val="13"/>
        </w:rPr>
        <w:t>24,</w:t>
      </w:r>
      <w:r>
        <w:rPr>
          <w:color w:val="231F20"/>
          <w:spacing w:val="3"/>
          <w:w w:val="105"/>
          <w:position w:val="7"/>
          <w:sz w:val="13"/>
        </w:rPr>
        <w:t> </w:t>
      </w:r>
      <w:r>
        <w:rPr>
          <w:color w:val="231F20"/>
          <w:w w:val="105"/>
        </w:rPr>
        <w:t>ambos</w:t>
      </w:r>
      <w:r>
        <w:rPr>
          <w:color w:val="231F20"/>
          <w:spacing w:val="-20"/>
          <w:w w:val="105"/>
        </w:rPr>
        <w:t> </w:t>
      </w:r>
      <w:r>
        <w:rPr>
          <w:color w:val="231F20"/>
          <w:w w:val="105"/>
        </w:rPr>
        <w:t>surgidos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spacing w:val="2"/>
          <w:w w:val="105"/>
        </w:rPr>
        <w:t>filas</w:t>
      </w:r>
      <w:r>
        <w:rPr>
          <w:color w:val="231F20"/>
          <w:spacing w:val="-20"/>
          <w:w w:val="105"/>
        </w:rPr>
        <w:t> </w:t>
      </w:r>
      <w:r>
        <w:rPr>
          <w:color w:val="231F20"/>
          <w:w w:val="105"/>
        </w:rPr>
        <w:t>del</w:t>
      </w:r>
      <w:r>
        <w:rPr>
          <w:color w:val="231F20"/>
          <w:spacing w:val="-20"/>
          <w:w w:val="105"/>
        </w:rPr>
        <w:t> </w:t>
      </w:r>
      <w:r>
        <w:rPr>
          <w:color w:val="231F20"/>
          <w:w w:val="105"/>
        </w:rPr>
        <w:t>PRI.</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32"/>
          <w:w w:val="105"/>
        </w:rPr>
        <w:t> </w:t>
      </w:r>
      <w:r>
        <w:rPr>
          <w:color w:val="231F20"/>
          <w:spacing w:val="-3"/>
          <w:w w:val="105"/>
        </w:rPr>
        <w:t>rubros</w:t>
      </w:r>
      <w:r>
        <w:rPr>
          <w:color w:val="231F20"/>
          <w:spacing w:val="-32"/>
          <w:w w:val="105"/>
        </w:rPr>
        <w:t> </w:t>
      </w:r>
      <w:r>
        <w:rPr>
          <w:color w:val="231F20"/>
          <w:w w:val="105"/>
        </w:rPr>
        <w:t>de</w:t>
      </w:r>
      <w:r>
        <w:rPr>
          <w:color w:val="231F20"/>
          <w:spacing w:val="-32"/>
          <w:w w:val="105"/>
        </w:rPr>
        <w:t> </w:t>
      </w:r>
      <w:r>
        <w:rPr>
          <w:color w:val="231F20"/>
          <w:w w:val="105"/>
        </w:rPr>
        <w:t>seguridad</w:t>
      </w:r>
      <w:r>
        <w:rPr>
          <w:color w:val="231F20"/>
          <w:spacing w:val="-32"/>
          <w:w w:val="105"/>
        </w:rPr>
        <w:t> </w:t>
      </w:r>
      <w:r>
        <w:rPr>
          <w:color w:val="231F20"/>
          <w:spacing w:val="-3"/>
          <w:w w:val="105"/>
        </w:rPr>
        <w:t>pública,</w:t>
      </w:r>
      <w:r>
        <w:rPr>
          <w:color w:val="231F20"/>
          <w:spacing w:val="-32"/>
          <w:w w:val="105"/>
        </w:rPr>
        <w:t> </w:t>
      </w:r>
      <w:r>
        <w:rPr>
          <w:color w:val="231F20"/>
          <w:spacing w:val="-4"/>
          <w:w w:val="105"/>
        </w:rPr>
        <w:t>prestación</w:t>
      </w:r>
      <w:r>
        <w:rPr>
          <w:color w:val="231F20"/>
          <w:spacing w:val="-32"/>
          <w:w w:val="105"/>
        </w:rPr>
        <w:t> </w:t>
      </w:r>
      <w:r>
        <w:rPr>
          <w:color w:val="231F20"/>
          <w:w w:val="105"/>
        </w:rPr>
        <w:t>de</w:t>
      </w:r>
      <w:r>
        <w:rPr>
          <w:color w:val="231F20"/>
          <w:spacing w:val="-32"/>
          <w:w w:val="105"/>
        </w:rPr>
        <w:t> </w:t>
      </w:r>
      <w:r>
        <w:rPr>
          <w:color w:val="231F20"/>
          <w:w w:val="105"/>
        </w:rPr>
        <w:t>servicios</w:t>
      </w:r>
      <w:r>
        <w:rPr>
          <w:color w:val="231F20"/>
          <w:spacing w:val="-32"/>
          <w:w w:val="105"/>
        </w:rPr>
        <w:t> </w:t>
      </w:r>
      <w:r>
        <w:rPr>
          <w:color w:val="231F20"/>
          <w:spacing w:val="-3"/>
          <w:w w:val="105"/>
        </w:rPr>
        <w:t>públicos</w:t>
      </w:r>
      <w:r>
        <w:rPr>
          <w:color w:val="231F20"/>
          <w:spacing w:val="-32"/>
          <w:w w:val="105"/>
        </w:rPr>
        <w:t> </w:t>
      </w:r>
      <w:r>
        <w:rPr>
          <w:color w:val="231F20"/>
          <w:w w:val="105"/>
        </w:rPr>
        <w:t>y</w:t>
      </w:r>
      <w:r>
        <w:rPr>
          <w:color w:val="231F20"/>
          <w:spacing w:val="-32"/>
          <w:w w:val="105"/>
        </w:rPr>
        <w:t> </w:t>
      </w:r>
      <w:r>
        <w:rPr>
          <w:color w:val="231F20"/>
          <w:w w:val="105"/>
        </w:rPr>
        <w:t>vialidades</w:t>
      </w:r>
      <w:r>
        <w:rPr>
          <w:color w:val="231F20"/>
          <w:spacing w:val="-32"/>
          <w:w w:val="105"/>
        </w:rPr>
        <w:t> </w:t>
      </w:r>
      <w:r>
        <w:rPr>
          <w:color w:val="231F20"/>
          <w:spacing w:val="-3"/>
          <w:w w:val="105"/>
        </w:rPr>
        <w:t>públicas</w:t>
      </w:r>
      <w:r>
        <w:rPr>
          <w:color w:val="231F20"/>
          <w:spacing w:val="-32"/>
          <w:w w:val="105"/>
        </w:rPr>
        <w:t> </w:t>
      </w:r>
      <w:r>
        <w:rPr>
          <w:color w:val="231F20"/>
          <w:w w:val="105"/>
        </w:rPr>
        <w:t>han </w:t>
      </w:r>
      <w:r>
        <w:rPr>
          <w:color w:val="231F20"/>
          <w:spacing w:val="-4"/>
          <w:w w:val="105"/>
        </w:rPr>
        <w:t>sido</w:t>
      </w:r>
      <w:r>
        <w:rPr>
          <w:color w:val="231F20"/>
          <w:spacing w:val="-15"/>
          <w:w w:val="105"/>
        </w:rPr>
        <w:t> </w:t>
      </w:r>
      <w:r>
        <w:rPr>
          <w:color w:val="231F20"/>
          <w:spacing w:val="-3"/>
          <w:w w:val="105"/>
        </w:rPr>
        <w:t>los</w:t>
      </w:r>
      <w:r>
        <w:rPr>
          <w:color w:val="231F20"/>
          <w:spacing w:val="-15"/>
          <w:w w:val="105"/>
        </w:rPr>
        <w:t> </w:t>
      </w:r>
      <w:r>
        <w:rPr>
          <w:color w:val="231F20"/>
          <w:w w:val="105"/>
        </w:rPr>
        <w:t>tres</w:t>
      </w:r>
      <w:r>
        <w:rPr>
          <w:color w:val="231F20"/>
          <w:spacing w:val="-15"/>
          <w:w w:val="105"/>
        </w:rPr>
        <w:t> </w:t>
      </w:r>
      <w:r>
        <w:rPr>
          <w:color w:val="231F20"/>
          <w:spacing w:val="-3"/>
          <w:w w:val="105"/>
        </w:rPr>
        <w:t>principales</w:t>
      </w:r>
      <w:r>
        <w:rPr>
          <w:color w:val="231F20"/>
          <w:spacing w:val="-15"/>
          <w:w w:val="105"/>
        </w:rPr>
        <w:t> </w:t>
      </w:r>
      <w:r>
        <w:rPr>
          <w:color w:val="231F20"/>
          <w:spacing w:val="-4"/>
          <w:w w:val="105"/>
        </w:rPr>
        <w:t>problemas</w:t>
      </w:r>
      <w:r>
        <w:rPr>
          <w:color w:val="231F20"/>
          <w:spacing w:val="-15"/>
          <w:w w:val="105"/>
        </w:rPr>
        <w:t> </w:t>
      </w:r>
      <w:r>
        <w:rPr>
          <w:color w:val="231F20"/>
          <w:spacing w:val="-4"/>
          <w:w w:val="105"/>
        </w:rPr>
        <w:t>percibidos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territorio</w:t>
      </w:r>
      <w:r>
        <w:rPr>
          <w:color w:val="231F20"/>
          <w:spacing w:val="-15"/>
          <w:w w:val="105"/>
        </w:rPr>
        <w:t> </w:t>
      </w:r>
      <w:r>
        <w:rPr>
          <w:color w:val="231F20"/>
          <w:w w:val="105"/>
        </w:rPr>
        <w:t>municipal</w:t>
      </w:r>
      <w:r>
        <w:rPr>
          <w:color w:val="231F20"/>
          <w:w w:val="105"/>
          <w:position w:val="7"/>
          <w:sz w:val="13"/>
        </w:rPr>
        <w:t>25.</w:t>
      </w:r>
      <w:r>
        <w:rPr>
          <w:color w:val="231F20"/>
          <w:spacing w:val="10"/>
          <w:w w:val="105"/>
          <w:position w:val="7"/>
          <w:sz w:val="13"/>
        </w:rPr>
        <w:t> </w:t>
      </w:r>
      <w:r>
        <w:rPr>
          <w:color w:val="231F20"/>
          <w:w w:val="105"/>
        </w:rPr>
        <w:t>Sin</w:t>
      </w:r>
      <w:r>
        <w:rPr>
          <w:color w:val="231F20"/>
          <w:spacing w:val="-15"/>
          <w:w w:val="105"/>
        </w:rPr>
        <w:t> </w:t>
      </w:r>
      <w:r>
        <w:rPr>
          <w:color w:val="231F20"/>
          <w:spacing w:val="-3"/>
          <w:w w:val="105"/>
        </w:rPr>
        <w:t>embargo,</w:t>
      </w:r>
      <w:r>
        <w:rPr>
          <w:color w:val="231F20"/>
          <w:spacing w:val="-15"/>
          <w:w w:val="105"/>
        </w:rPr>
        <w:t> </w:t>
      </w:r>
      <w:r>
        <w:rPr>
          <w:color w:val="231F20"/>
          <w:w w:val="105"/>
        </w:rPr>
        <w:t>al observar el gasto </w:t>
      </w:r>
      <w:r>
        <w:rPr>
          <w:color w:val="231F20"/>
          <w:spacing w:val="-4"/>
          <w:w w:val="105"/>
        </w:rPr>
        <w:t>ejercido </w:t>
      </w:r>
      <w:r>
        <w:rPr>
          <w:color w:val="231F20"/>
          <w:spacing w:val="-3"/>
          <w:w w:val="105"/>
        </w:rPr>
        <w:t>por los </w:t>
      </w:r>
      <w:r>
        <w:rPr>
          <w:color w:val="231F20"/>
          <w:spacing w:val="-4"/>
          <w:w w:val="105"/>
        </w:rPr>
        <w:t>gobiernos </w:t>
      </w:r>
      <w:r>
        <w:rPr>
          <w:color w:val="231F20"/>
          <w:w w:val="105"/>
        </w:rPr>
        <w:t>huixquiluquenses </w:t>
      </w:r>
      <w:r>
        <w:rPr>
          <w:color w:val="231F20"/>
          <w:spacing w:val="-3"/>
          <w:w w:val="105"/>
        </w:rPr>
        <w:t>entre </w:t>
      </w:r>
      <w:r>
        <w:rPr>
          <w:color w:val="231F20"/>
          <w:w w:val="105"/>
        </w:rPr>
        <w:t>2003-2006 y</w:t>
      </w:r>
      <w:r>
        <w:rPr>
          <w:color w:val="231F20"/>
          <w:spacing w:val="-30"/>
          <w:w w:val="105"/>
        </w:rPr>
        <w:t> </w:t>
      </w:r>
      <w:r>
        <w:rPr>
          <w:color w:val="231F20"/>
          <w:spacing w:val="2"/>
          <w:w w:val="105"/>
        </w:rPr>
        <w:t>2006- </w:t>
      </w:r>
      <w:r>
        <w:rPr>
          <w:color w:val="231F20"/>
          <w:w w:val="105"/>
        </w:rPr>
        <w:t>2009</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spacing w:val="-3"/>
          <w:w w:val="105"/>
        </w:rPr>
        <w:t>rubro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obra</w:t>
      </w:r>
      <w:r>
        <w:rPr>
          <w:color w:val="231F20"/>
          <w:spacing w:val="-20"/>
          <w:w w:val="105"/>
        </w:rPr>
        <w:t> </w:t>
      </w:r>
      <w:r>
        <w:rPr>
          <w:color w:val="231F20"/>
          <w:spacing w:val="-3"/>
          <w:w w:val="105"/>
        </w:rPr>
        <w:t>pública,</w:t>
      </w:r>
      <w:r>
        <w:rPr>
          <w:color w:val="231F20"/>
          <w:spacing w:val="-20"/>
          <w:w w:val="105"/>
        </w:rPr>
        <w:t> </w:t>
      </w:r>
      <w:r>
        <w:rPr>
          <w:color w:val="231F20"/>
          <w:w w:val="105"/>
        </w:rPr>
        <w:t>parecen</w:t>
      </w:r>
      <w:r>
        <w:rPr>
          <w:color w:val="231F20"/>
          <w:spacing w:val="-20"/>
          <w:w w:val="105"/>
        </w:rPr>
        <w:t> </w:t>
      </w:r>
      <w:r>
        <w:rPr>
          <w:color w:val="231F20"/>
          <w:w w:val="105"/>
        </w:rPr>
        <w:t>existir</w:t>
      </w:r>
      <w:r>
        <w:rPr>
          <w:color w:val="231F20"/>
          <w:spacing w:val="-20"/>
          <w:w w:val="105"/>
        </w:rPr>
        <w:t> </w:t>
      </w:r>
      <w:r>
        <w:rPr>
          <w:color w:val="231F20"/>
          <w:spacing w:val="-3"/>
          <w:w w:val="105"/>
        </w:rPr>
        <w:t>divergencias</w:t>
      </w:r>
      <w:r>
        <w:rPr>
          <w:color w:val="231F20"/>
          <w:spacing w:val="-20"/>
          <w:w w:val="105"/>
        </w:rPr>
        <w:t> </w:t>
      </w:r>
      <w:r>
        <w:rPr>
          <w:color w:val="231F20"/>
          <w:w w:val="105"/>
        </w:rPr>
        <w:t>en</w:t>
      </w:r>
      <w:r>
        <w:rPr>
          <w:color w:val="231F20"/>
          <w:spacing w:val="-20"/>
          <w:w w:val="105"/>
        </w:rPr>
        <w:t> </w:t>
      </w:r>
      <w:r>
        <w:rPr>
          <w:color w:val="231F20"/>
          <w:w w:val="105"/>
        </w:rPr>
        <w:t>algunos</w:t>
      </w:r>
      <w:r>
        <w:rPr>
          <w:color w:val="231F20"/>
          <w:spacing w:val="-20"/>
          <w:w w:val="105"/>
        </w:rPr>
        <w:t> </w:t>
      </w:r>
      <w:r>
        <w:rPr>
          <w:color w:val="231F20"/>
          <w:w w:val="105"/>
        </w:rPr>
        <w:t>aspectos.</w:t>
      </w:r>
    </w:p>
    <w:p>
      <w:pPr>
        <w:pStyle w:val="BodyText"/>
        <w:spacing w:before="1"/>
        <w:rPr>
          <w:sz w:val="26"/>
        </w:rPr>
      </w:pPr>
    </w:p>
    <w:p>
      <w:pPr>
        <w:pStyle w:val="BodyText"/>
        <w:spacing w:line="285" w:lineRule="auto"/>
        <w:ind w:left="110" w:right="107"/>
        <w:jc w:val="both"/>
      </w:pPr>
      <w:r>
        <w:rPr>
          <w:color w:val="231F20"/>
          <w:w w:val="105"/>
        </w:rPr>
        <w:t>La inversión realizada por el municipio en dicho rubro ha tendido a incrementarse en esos</w:t>
      </w:r>
      <w:r>
        <w:rPr>
          <w:color w:val="231F20"/>
          <w:spacing w:val="-17"/>
          <w:w w:val="105"/>
        </w:rPr>
        <w:t> </w:t>
      </w:r>
      <w:r>
        <w:rPr>
          <w:color w:val="231F20"/>
          <w:w w:val="105"/>
        </w:rPr>
        <w:t>periodos.</w:t>
      </w:r>
      <w:r>
        <w:rPr>
          <w:color w:val="231F20"/>
          <w:spacing w:val="-17"/>
          <w:w w:val="105"/>
        </w:rPr>
        <w:t> </w:t>
      </w:r>
      <w:r>
        <w:rPr>
          <w:color w:val="231F20"/>
          <w:w w:val="105"/>
        </w:rPr>
        <w:t>De</w:t>
      </w:r>
      <w:r>
        <w:rPr>
          <w:color w:val="231F20"/>
          <w:spacing w:val="-17"/>
          <w:w w:val="105"/>
        </w:rPr>
        <w:t> </w:t>
      </w:r>
      <w:r>
        <w:rPr>
          <w:color w:val="231F20"/>
          <w:w w:val="105"/>
        </w:rPr>
        <w:t>acuerdo</w:t>
      </w:r>
      <w:r>
        <w:rPr>
          <w:color w:val="231F20"/>
          <w:spacing w:val="-17"/>
          <w:w w:val="105"/>
        </w:rPr>
        <w:t> </w:t>
      </w:r>
      <w:r>
        <w:rPr>
          <w:color w:val="231F20"/>
          <w:spacing w:val="2"/>
          <w:w w:val="105"/>
        </w:rPr>
        <w:t>al</w:t>
      </w:r>
      <w:r>
        <w:rPr>
          <w:color w:val="231F20"/>
          <w:spacing w:val="-17"/>
          <w:w w:val="105"/>
        </w:rPr>
        <w:t> </w:t>
      </w:r>
      <w:r>
        <w:rPr>
          <w:color w:val="231F20"/>
          <w:w w:val="105"/>
        </w:rPr>
        <w:t>promedio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dos</w:t>
      </w:r>
      <w:r>
        <w:rPr>
          <w:color w:val="231F20"/>
          <w:spacing w:val="-17"/>
          <w:w w:val="105"/>
        </w:rPr>
        <w:t> </w:t>
      </w:r>
      <w:r>
        <w:rPr>
          <w:color w:val="231F20"/>
          <w:w w:val="105"/>
        </w:rPr>
        <w:t>primeros</w:t>
      </w:r>
      <w:r>
        <w:rPr>
          <w:color w:val="231F20"/>
          <w:spacing w:val="-17"/>
          <w:w w:val="105"/>
        </w:rPr>
        <w:t> </w:t>
      </w:r>
      <w:r>
        <w:rPr>
          <w:color w:val="231F20"/>
          <w:w w:val="105"/>
        </w:rPr>
        <w:t>años</w:t>
      </w:r>
      <w:r>
        <w:rPr>
          <w:color w:val="231F20"/>
          <w:spacing w:val="-17"/>
          <w:w w:val="105"/>
        </w:rPr>
        <w:t> </w:t>
      </w:r>
      <w:r>
        <w:rPr>
          <w:color w:val="231F20"/>
          <w:w w:val="105"/>
        </w:rPr>
        <w:t>de</w:t>
      </w:r>
      <w:r>
        <w:rPr>
          <w:color w:val="231F20"/>
          <w:spacing w:val="-17"/>
          <w:w w:val="105"/>
        </w:rPr>
        <w:t> </w:t>
      </w:r>
      <w:r>
        <w:rPr>
          <w:color w:val="231F20"/>
          <w:w w:val="105"/>
        </w:rPr>
        <w:t>cada</w:t>
      </w:r>
      <w:r>
        <w:rPr>
          <w:color w:val="231F20"/>
          <w:spacing w:val="-17"/>
          <w:w w:val="105"/>
        </w:rPr>
        <w:t> </w:t>
      </w:r>
      <w:r>
        <w:rPr>
          <w:color w:val="231F20"/>
          <w:w w:val="105"/>
        </w:rPr>
        <w:t>administración este</w:t>
      </w:r>
      <w:r>
        <w:rPr>
          <w:color w:val="231F20"/>
          <w:spacing w:val="-18"/>
          <w:w w:val="105"/>
        </w:rPr>
        <w:t> </w:t>
      </w:r>
      <w:r>
        <w:rPr>
          <w:color w:val="231F20"/>
          <w:w w:val="105"/>
        </w:rPr>
        <w:t>crecimiento</w:t>
      </w:r>
      <w:r>
        <w:rPr>
          <w:color w:val="231F20"/>
          <w:spacing w:val="-18"/>
          <w:w w:val="105"/>
        </w:rPr>
        <w:t> </w:t>
      </w:r>
      <w:r>
        <w:rPr>
          <w:color w:val="231F20"/>
          <w:w w:val="105"/>
        </w:rPr>
        <w:t>ha</w:t>
      </w:r>
      <w:r>
        <w:rPr>
          <w:color w:val="231F20"/>
          <w:spacing w:val="-18"/>
          <w:w w:val="105"/>
        </w:rPr>
        <w:t> </w:t>
      </w:r>
      <w:r>
        <w:rPr>
          <w:color w:val="231F20"/>
          <w:w w:val="105"/>
        </w:rPr>
        <w:t>sido</w:t>
      </w:r>
      <w:r>
        <w:rPr>
          <w:color w:val="231F20"/>
          <w:spacing w:val="-18"/>
          <w:w w:val="105"/>
        </w:rPr>
        <w:t> </w:t>
      </w:r>
      <w:r>
        <w:rPr>
          <w:color w:val="231F20"/>
          <w:w w:val="105"/>
        </w:rPr>
        <w:t>aproximadamente</w:t>
      </w:r>
      <w:r>
        <w:rPr>
          <w:color w:val="231F20"/>
          <w:spacing w:val="-18"/>
          <w:w w:val="105"/>
        </w:rPr>
        <w:t> </w:t>
      </w:r>
      <w:r>
        <w:rPr>
          <w:color w:val="231F20"/>
          <w:w w:val="105"/>
        </w:rPr>
        <w:t>del</w:t>
      </w:r>
      <w:r>
        <w:rPr>
          <w:color w:val="231F20"/>
          <w:spacing w:val="-18"/>
          <w:w w:val="105"/>
        </w:rPr>
        <w:t> </w:t>
      </w:r>
      <w:r>
        <w:rPr>
          <w:color w:val="231F20"/>
          <w:w w:val="105"/>
        </w:rPr>
        <w:t>48%</w:t>
      </w:r>
      <w:r>
        <w:rPr>
          <w:color w:val="231F20"/>
          <w:w w:val="105"/>
          <w:position w:val="7"/>
          <w:sz w:val="13"/>
        </w:rPr>
        <w:t>26</w:t>
      </w:r>
      <w:r>
        <w:rPr>
          <w:color w:val="231F20"/>
          <w:w w:val="105"/>
        </w:rPr>
        <w:t>.</w:t>
      </w:r>
      <w:r>
        <w:rPr>
          <w:color w:val="231F20"/>
          <w:spacing w:val="-18"/>
          <w:w w:val="105"/>
        </w:rPr>
        <w:t> </w:t>
      </w:r>
      <w:r>
        <w:rPr>
          <w:color w:val="231F20"/>
          <w:w w:val="105"/>
        </w:rPr>
        <w:t>El</w:t>
      </w:r>
      <w:r>
        <w:rPr>
          <w:color w:val="231F20"/>
          <w:spacing w:val="-18"/>
          <w:w w:val="105"/>
        </w:rPr>
        <w:t> </w:t>
      </w:r>
      <w:r>
        <w:rPr>
          <w:color w:val="231F20"/>
          <w:w w:val="105"/>
        </w:rPr>
        <w:t>promedio</w:t>
      </w:r>
      <w:r>
        <w:rPr>
          <w:color w:val="231F20"/>
          <w:spacing w:val="-18"/>
          <w:w w:val="105"/>
        </w:rPr>
        <w:t> </w:t>
      </w:r>
      <w:r>
        <w:rPr>
          <w:color w:val="231F20"/>
          <w:w w:val="105"/>
        </w:rPr>
        <w:t>de</w:t>
      </w:r>
      <w:r>
        <w:rPr>
          <w:color w:val="231F20"/>
          <w:spacing w:val="-18"/>
          <w:w w:val="105"/>
        </w:rPr>
        <w:t> </w:t>
      </w:r>
      <w:r>
        <w:rPr>
          <w:color w:val="231F20"/>
          <w:w w:val="105"/>
        </w:rPr>
        <w:t>inversión</w:t>
      </w:r>
      <w:r>
        <w:rPr>
          <w:color w:val="231F20"/>
          <w:spacing w:val="-18"/>
          <w:w w:val="105"/>
        </w:rPr>
        <w:t> </w:t>
      </w:r>
      <w:r>
        <w:rPr>
          <w:color w:val="231F20"/>
          <w:w w:val="105"/>
        </w:rPr>
        <w:t>durante el primer gobierno estudiado fue de 95 millones de pesos mientras que en el segundo alcanzó</w:t>
      </w:r>
      <w:r>
        <w:rPr>
          <w:color w:val="231F20"/>
          <w:spacing w:val="-26"/>
          <w:w w:val="105"/>
        </w:rPr>
        <w:t> </w:t>
      </w:r>
      <w:r>
        <w:rPr>
          <w:color w:val="231F20"/>
          <w:w w:val="105"/>
        </w:rPr>
        <w:t>155</w:t>
      </w:r>
      <w:r>
        <w:rPr>
          <w:color w:val="231F20"/>
          <w:spacing w:val="-26"/>
          <w:w w:val="105"/>
        </w:rPr>
        <w:t> </w:t>
      </w:r>
      <w:r>
        <w:rPr>
          <w:color w:val="231F20"/>
          <w:w w:val="105"/>
        </w:rPr>
        <w:t>millones.</w:t>
      </w:r>
    </w:p>
    <w:p>
      <w:pPr>
        <w:pStyle w:val="BodyText"/>
        <w:spacing w:before="1"/>
        <w:rPr>
          <w:sz w:val="26"/>
        </w:rPr>
      </w:pPr>
    </w:p>
    <w:p>
      <w:pPr>
        <w:pStyle w:val="BodyText"/>
        <w:spacing w:line="285" w:lineRule="auto"/>
        <w:ind w:left="110" w:right="108"/>
        <w:jc w:val="both"/>
      </w:pPr>
      <w:r>
        <w:rPr>
          <w:color w:val="231F20"/>
          <w:w w:val="105"/>
        </w:rPr>
        <w:t>Resalta</w:t>
      </w:r>
      <w:r>
        <w:rPr>
          <w:color w:val="231F20"/>
          <w:spacing w:val="-19"/>
          <w:w w:val="105"/>
        </w:rPr>
        <w:t> </w:t>
      </w:r>
      <w:r>
        <w:rPr>
          <w:color w:val="231F20"/>
          <w:w w:val="105"/>
        </w:rPr>
        <w:t>que</w:t>
      </w:r>
      <w:r>
        <w:rPr>
          <w:color w:val="231F20"/>
          <w:spacing w:val="-19"/>
          <w:w w:val="105"/>
        </w:rPr>
        <w:t> </w:t>
      </w:r>
      <w:r>
        <w:rPr>
          <w:color w:val="231F20"/>
          <w:spacing w:val="2"/>
          <w:w w:val="105"/>
        </w:rPr>
        <w:t>al</w:t>
      </w:r>
      <w:r>
        <w:rPr>
          <w:color w:val="231F20"/>
          <w:spacing w:val="-19"/>
          <w:w w:val="105"/>
        </w:rPr>
        <w:t> </w:t>
      </w:r>
      <w:r>
        <w:rPr>
          <w:color w:val="231F20"/>
          <w:spacing w:val="2"/>
          <w:w w:val="105"/>
        </w:rPr>
        <w:t>final</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administración</w:t>
      </w:r>
      <w:r>
        <w:rPr>
          <w:color w:val="231F20"/>
          <w:spacing w:val="-19"/>
          <w:w w:val="105"/>
        </w:rPr>
        <w:t> </w:t>
      </w:r>
      <w:r>
        <w:rPr>
          <w:color w:val="231F20"/>
          <w:w w:val="105"/>
        </w:rPr>
        <w:t>2003-2006</w:t>
      </w:r>
      <w:r>
        <w:rPr>
          <w:color w:val="231F20"/>
          <w:spacing w:val="-19"/>
          <w:w w:val="105"/>
        </w:rPr>
        <w:t> </w:t>
      </w:r>
      <w:r>
        <w:rPr>
          <w:color w:val="231F20"/>
          <w:w w:val="105"/>
        </w:rPr>
        <w:t>se</w:t>
      </w:r>
      <w:r>
        <w:rPr>
          <w:color w:val="231F20"/>
          <w:spacing w:val="-19"/>
          <w:w w:val="105"/>
        </w:rPr>
        <w:t> </w:t>
      </w:r>
      <w:r>
        <w:rPr>
          <w:color w:val="231F20"/>
          <w:w w:val="105"/>
        </w:rPr>
        <w:t>incrementó</w:t>
      </w:r>
      <w:r>
        <w:rPr>
          <w:color w:val="231F20"/>
          <w:spacing w:val="-19"/>
          <w:w w:val="105"/>
        </w:rPr>
        <w:t> </w:t>
      </w:r>
      <w:r>
        <w:rPr>
          <w:color w:val="231F20"/>
          <w:w w:val="105"/>
        </w:rPr>
        <w:t>en</w:t>
      </w:r>
      <w:r>
        <w:rPr>
          <w:color w:val="231F20"/>
          <w:spacing w:val="-19"/>
          <w:w w:val="105"/>
        </w:rPr>
        <w:t> </w:t>
      </w:r>
      <w:r>
        <w:rPr>
          <w:color w:val="231F20"/>
          <w:w w:val="105"/>
        </w:rPr>
        <w:t>casi</w:t>
      </w:r>
      <w:r>
        <w:rPr>
          <w:color w:val="231F20"/>
          <w:spacing w:val="-19"/>
          <w:w w:val="105"/>
        </w:rPr>
        <w:t> </w:t>
      </w:r>
      <w:r>
        <w:rPr>
          <w:color w:val="231F20"/>
          <w:w w:val="105"/>
        </w:rPr>
        <w:t>95%</w:t>
      </w:r>
      <w:r>
        <w:rPr>
          <w:color w:val="231F20"/>
          <w:spacing w:val="-19"/>
          <w:w w:val="105"/>
        </w:rPr>
        <w:t> </w:t>
      </w:r>
      <w:r>
        <w:rPr>
          <w:color w:val="231F20"/>
          <w:w w:val="105"/>
        </w:rPr>
        <w:t>el</w:t>
      </w:r>
      <w:r>
        <w:rPr>
          <w:color w:val="231F20"/>
          <w:spacing w:val="-19"/>
          <w:w w:val="105"/>
        </w:rPr>
        <w:t> </w:t>
      </w:r>
      <w:r>
        <w:rPr>
          <w:color w:val="231F20"/>
          <w:spacing w:val="-3"/>
          <w:w w:val="105"/>
        </w:rPr>
        <w:t>monto </w:t>
      </w:r>
      <w:r>
        <w:rPr>
          <w:color w:val="231F20"/>
          <w:w w:val="105"/>
        </w:rPr>
        <w:t>invertido</w:t>
      </w:r>
      <w:r>
        <w:rPr>
          <w:color w:val="231F20"/>
          <w:spacing w:val="-15"/>
          <w:w w:val="105"/>
        </w:rPr>
        <w:t> </w:t>
      </w:r>
      <w:r>
        <w:rPr>
          <w:color w:val="231F20"/>
          <w:w w:val="105"/>
        </w:rPr>
        <w:t>en</w:t>
      </w:r>
      <w:r>
        <w:rPr>
          <w:color w:val="231F20"/>
          <w:spacing w:val="-15"/>
          <w:w w:val="105"/>
        </w:rPr>
        <w:t> </w:t>
      </w:r>
      <w:r>
        <w:rPr>
          <w:color w:val="231F20"/>
          <w:w w:val="105"/>
        </w:rPr>
        <w:t>obras</w:t>
      </w:r>
      <w:r>
        <w:rPr>
          <w:color w:val="231F20"/>
          <w:spacing w:val="-15"/>
          <w:w w:val="105"/>
        </w:rPr>
        <w:t> </w:t>
      </w:r>
      <w:r>
        <w:rPr>
          <w:color w:val="231F20"/>
          <w:w w:val="105"/>
        </w:rPr>
        <w:t>públicas</w:t>
      </w:r>
      <w:r>
        <w:rPr>
          <w:color w:val="231F20"/>
          <w:spacing w:val="-15"/>
          <w:w w:val="105"/>
        </w:rPr>
        <w:t> </w:t>
      </w:r>
      <w:r>
        <w:rPr>
          <w:color w:val="231F20"/>
          <w:w w:val="105"/>
        </w:rPr>
        <w:t>a</w:t>
      </w:r>
      <w:r>
        <w:rPr>
          <w:color w:val="231F20"/>
          <w:spacing w:val="-15"/>
          <w:w w:val="105"/>
        </w:rPr>
        <w:t> </w:t>
      </w:r>
      <w:r>
        <w:rPr>
          <w:color w:val="231F20"/>
          <w:w w:val="105"/>
        </w:rPr>
        <w:t>diferencia</w:t>
      </w:r>
      <w:r>
        <w:rPr>
          <w:color w:val="231F20"/>
          <w:spacing w:val="-15"/>
          <w:w w:val="105"/>
        </w:rPr>
        <w:t> </w:t>
      </w:r>
      <w:r>
        <w:rPr>
          <w:color w:val="231F20"/>
          <w:w w:val="105"/>
        </w:rPr>
        <w:t>del</w:t>
      </w:r>
      <w:r>
        <w:rPr>
          <w:color w:val="231F20"/>
          <w:spacing w:val="-15"/>
          <w:w w:val="105"/>
        </w:rPr>
        <w:t> </w:t>
      </w:r>
      <w:r>
        <w:rPr>
          <w:color w:val="231F20"/>
          <w:w w:val="105"/>
        </w:rPr>
        <w:t>año</w:t>
      </w:r>
      <w:r>
        <w:rPr>
          <w:color w:val="231F20"/>
          <w:spacing w:val="-15"/>
          <w:w w:val="105"/>
        </w:rPr>
        <w:t> </w:t>
      </w:r>
      <w:r>
        <w:rPr>
          <w:color w:val="231F20"/>
          <w:spacing w:val="-3"/>
          <w:w w:val="105"/>
        </w:rPr>
        <w:t>anterior,</w:t>
      </w:r>
      <w:r>
        <w:rPr>
          <w:color w:val="231F20"/>
          <w:spacing w:val="-15"/>
          <w:w w:val="105"/>
        </w:rPr>
        <w:t> </w:t>
      </w:r>
      <w:r>
        <w:rPr>
          <w:color w:val="231F20"/>
          <w:w w:val="105"/>
        </w:rPr>
        <w:t>particularmente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año</w:t>
      </w:r>
      <w:r>
        <w:rPr>
          <w:color w:val="231F20"/>
          <w:spacing w:val="-15"/>
          <w:w w:val="105"/>
        </w:rPr>
        <w:t> </w:t>
      </w:r>
      <w:r>
        <w:rPr>
          <w:color w:val="231F20"/>
          <w:w w:val="105"/>
        </w:rPr>
        <w:t>elec- toral</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spacing w:val="-3"/>
          <w:w w:val="105"/>
        </w:rPr>
        <w:t>renovó</w:t>
      </w:r>
      <w:r>
        <w:rPr>
          <w:color w:val="231F20"/>
          <w:spacing w:val="-9"/>
          <w:w w:val="105"/>
        </w:rPr>
        <w:t> </w:t>
      </w:r>
      <w:r>
        <w:rPr>
          <w:color w:val="231F20"/>
          <w:w w:val="105"/>
        </w:rPr>
        <w:t>el</w:t>
      </w:r>
      <w:r>
        <w:rPr>
          <w:color w:val="231F20"/>
          <w:spacing w:val="-9"/>
          <w:w w:val="105"/>
        </w:rPr>
        <w:t> </w:t>
      </w:r>
      <w:r>
        <w:rPr>
          <w:color w:val="231F20"/>
          <w:w w:val="105"/>
        </w:rPr>
        <w:t>ayuntamiento.</w:t>
      </w:r>
    </w:p>
    <w:p>
      <w:pPr>
        <w:pStyle w:val="BodyText"/>
        <w:spacing w:before="1"/>
        <w:rPr>
          <w:sz w:val="26"/>
        </w:rPr>
      </w:pPr>
    </w:p>
    <w:p>
      <w:pPr>
        <w:pStyle w:val="BodyText"/>
        <w:spacing w:line="285" w:lineRule="auto"/>
        <w:ind w:left="110" w:right="108"/>
        <w:jc w:val="both"/>
      </w:pPr>
      <w:r>
        <w:rPr>
          <w:color w:val="231F20"/>
          <w:w w:val="105"/>
        </w:rPr>
        <w:t>Comparativamente</w:t>
      </w:r>
      <w:r>
        <w:rPr>
          <w:color w:val="231F20"/>
          <w:spacing w:val="-14"/>
          <w:w w:val="105"/>
        </w:rPr>
        <w:t> </w:t>
      </w:r>
      <w:r>
        <w:rPr>
          <w:color w:val="231F20"/>
          <w:w w:val="105"/>
        </w:rPr>
        <w:t>se</w:t>
      </w:r>
      <w:r>
        <w:rPr>
          <w:color w:val="231F20"/>
          <w:spacing w:val="-14"/>
          <w:w w:val="105"/>
        </w:rPr>
        <w:t> </w:t>
      </w:r>
      <w:r>
        <w:rPr>
          <w:color w:val="231F20"/>
          <w:w w:val="105"/>
        </w:rPr>
        <w:t>observó</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obras</w:t>
      </w:r>
      <w:r>
        <w:rPr>
          <w:color w:val="231F20"/>
          <w:spacing w:val="-14"/>
          <w:w w:val="105"/>
        </w:rPr>
        <w:t> </w:t>
      </w:r>
      <w:r>
        <w:rPr>
          <w:color w:val="231F20"/>
          <w:w w:val="105"/>
        </w:rPr>
        <w:t>realizadas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sector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infraestructura en</w:t>
      </w:r>
      <w:r>
        <w:rPr>
          <w:color w:val="231F20"/>
          <w:spacing w:val="-8"/>
          <w:w w:val="105"/>
        </w:rPr>
        <w:t> </w:t>
      </w:r>
      <w:r>
        <w:rPr>
          <w:color w:val="231F20"/>
          <w:w w:val="105"/>
        </w:rPr>
        <w:t>educación</w:t>
      </w:r>
      <w:r>
        <w:rPr>
          <w:color w:val="231F20"/>
          <w:spacing w:val="-8"/>
          <w:w w:val="105"/>
        </w:rPr>
        <w:t> </w:t>
      </w:r>
      <w:r>
        <w:rPr>
          <w:color w:val="231F20"/>
          <w:w w:val="105"/>
        </w:rPr>
        <w:t>así</w:t>
      </w:r>
      <w:r>
        <w:rPr>
          <w:color w:val="231F20"/>
          <w:spacing w:val="-8"/>
          <w:w w:val="105"/>
        </w:rPr>
        <w:t> </w:t>
      </w:r>
      <w:r>
        <w:rPr>
          <w:color w:val="231F20"/>
          <w:w w:val="105"/>
        </w:rPr>
        <w:t>como</w:t>
      </w:r>
      <w:r>
        <w:rPr>
          <w:color w:val="231F20"/>
          <w:spacing w:val="-8"/>
          <w:w w:val="105"/>
        </w:rPr>
        <w:t> </w:t>
      </w:r>
      <w:r>
        <w:rPr>
          <w:color w:val="231F20"/>
          <w:w w:val="105"/>
        </w:rPr>
        <w:t>en</w:t>
      </w:r>
      <w:r>
        <w:rPr>
          <w:color w:val="231F20"/>
          <w:spacing w:val="-8"/>
          <w:w w:val="105"/>
        </w:rPr>
        <w:t> </w:t>
      </w:r>
      <w:r>
        <w:rPr>
          <w:color w:val="231F20"/>
          <w:w w:val="105"/>
        </w:rPr>
        <w:t>vialidades</w:t>
      </w:r>
      <w:r>
        <w:rPr>
          <w:color w:val="231F20"/>
          <w:spacing w:val="-8"/>
          <w:w w:val="105"/>
        </w:rPr>
        <w:t> </w:t>
      </w:r>
      <w:r>
        <w:rPr>
          <w:color w:val="231F20"/>
          <w:w w:val="105"/>
        </w:rPr>
        <w:t>han</w:t>
      </w:r>
      <w:r>
        <w:rPr>
          <w:color w:val="231F20"/>
          <w:spacing w:val="-8"/>
          <w:w w:val="105"/>
        </w:rPr>
        <w:t> </w:t>
      </w:r>
      <w:r>
        <w:rPr>
          <w:color w:val="231F20"/>
          <w:w w:val="105"/>
        </w:rPr>
        <w:t>sido</w:t>
      </w:r>
      <w:r>
        <w:rPr>
          <w:color w:val="231F20"/>
          <w:spacing w:val="-8"/>
          <w:w w:val="105"/>
        </w:rPr>
        <w:t> </w:t>
      </w:r>
      <w:r>
        <w:rPr>
          <w:color w:val="231F20"/>
          <w:w w:val="105"/>
        </w:rPr>
        <w:t>los</w:t>
      </w:r>
      <w:r>
        <w:rPr>
          <w:color w:val="231F20"/>
          <w:spacing w:val="-8"/>
          <w:w w:val="105"/>
        </w:rPr>
        <w:t> </w:t>
      </w:r>
      <w:r>
        <w:rPr>
          <w:color w:val="231F20"/>
          <w:w w:val="105"/>
        </w:rPr>
        <w:t>dos</w:t>
      </w:r>
      <w:r>
        <w:rPr>
          <w:color w:val="231F20"/>
          <w:spacing w:val="-8"/>
          <w:w w:val="105"/>
        </w:rPr>
        <w:t> </w:t>
      </w:r>
      <w:r>
        <w:rPr>
          <w:color w:val="231F20"/>
          <w:w w:val="105"/>
        </w:rPr>
        <w:t>rubros</w:t>
      </w:r>
      <w:r>
        <w:rPr>
          <w:color w:val="231F20"/>
          <w:spacing w:val="-8"/>
          <w:w w:val="105"/>
        </w:rPr>
        <w:t> </w:t>
      </w:r>
      <w:r>
        <w:rPr>
          <w:color w:val="231F20"/>
          <w:w w:val="105"/>
        </w:rPr>
        <w:t>principales</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ha dirigido</w:t>
      </w:r>
      <w:r>
        <w:rPr>
          <w:color w:val="231F20"/>
          <w:spacing w:val="-14"/>
          <w:w w:val="105"/>
        </w:rPr>
        <w:t> </w:t>
      </w:r>
      <w:r>
        <w:rPr>
          <w:color w:val="231F20"/>
          <w:w w:val="105"/>
        </w:rPr>
        <w:t>la</w:t>
      </w:r>
      <w:r>
        <w:rPr>
          <w:color w:val="231F20"/>
          <w:spacing w:val="-14"/>
          <w:w w:val="105"/>
        </w:rPr>
        <w:t> </w:t>
      </w:r>
      <w:r>
        <w:rPr>
          <w:color w:val="231F20"/>
          <w:w w:val="105"/>
        </w:rPr>
        <w:t>inversión</w:t>
      </w:r>
      <w:r>
        <w:rPr>
          <w:color w:val="231F20"/>
          <w:spacing w:val="-14"/>
          <w:w w:val="105"/>
        </w:rPr>
        <w:t> </w:t>
      </w:r>
      <w:r>
        <w:rPr>
          <w:color w:val="231F20"/>
          <w:w w:val="105"/>
        </w:rPr>
        <w:t>en</w:t>
      </w:r>
      <w:r>
        <w:rPr>
          <w:color w:val="231F20"/>
          <w:spacing w:val="-14"/>
          <w:w w:val="105"/>
        </w:rPr>
        <w:t> </w:t>
      </w:r>
      <w:r>
        <w:rPr>
          <w:color w:val="231F20"/>
          <w:w w:val="105"/>
        </w:rPr>
        <w:t>obra</w:t>
      </w:r>
      <w:r>
        <w:rPr>
          <w:color w:val="231F20"/>
          <w:spacing w:val="-14"/>
          <w:w w:val="105"/>
        </w:rPr>
        <w:t> </w:t>
      </w:r>
      <w:r>
        <w:rPr>
          <w:color w:val="231F20"/>
          <w:w w:val="105"/>
        </w:rPr>
        <w:t>pública</w:t>
      </w:r>
      <w:r>
        <w:rPr>
          <w:color w:val="231F20"/>
          <w:spacing w:val="-14"/>
          <w:w w:val="105"/>
        </w:rPr>
        <w:t> </w:t>
      </w:r>
      <w:r>
        <w:rPr>
          <w:color w:val="231F20"/>
          <w:w w:val="105"/>
        </w:rPr>
        <w:t>en</w:t>
      </w:r>
      <w:r>
        <w:rPr>
          <w:color w:val="231F20"/>
          <w:spacing w:val="-14"/>
          <w:w w:val="105"/>
        </w:rPr>
        <w:t> </w:t>
      </w:r>
      <w:r>
        <w:rPr>
          <w:color w:val="231F20"/>
          <w:w w:val="105"/>
        </w:rPr>
        <w:t>ambos</w:t>
      </w:r>
      <w:r>
        <w:rPr>
          <w:color w:val="231F20"/>
          <w:spacing w:val="-14"/>
          <w:w w:val="105"/>
        </w:rPr>
        <w:t> </w:t>
      </w:r>
      <w:r>
        <w:rPr>
          <w:color w:val="231F20"/>
          <w:w w:val="105"/>
        </w:rPr>
        <w:t>periodos.</w:t>
      </w:r>
    </w:p>
    <w:p>
      <w:pPr>
        <w:pStyle w:val="BodyText"/>
        <w:rPr>
          <w:sz w:val="20"/>
        </w:rPr>
      </w:pPr>
    </w:p>
    <w:p>
      <w:pPr>
        <w:pStyle w:val="BodyText"/>
        <w:rPr>
          <w:sz w:val="11"/>
        </w:rPr>
      </w:pPr>
      <w:r>
        <w:rPr/>
        <w:pict>
          <v:line style="position:absolute;mso-position-horizontal-relative:page;mso-position-vertical-relative:paragraph;z-index:5848;mso-wrap-distance-left:0;mso-wrap-distance-right:0" from="42.519699pt,8.788867pt" to="114.519699pt,8.788867pt" stroked="true" strokeweight="1pt" strokecolor="#231f20">
            <w10:wrap type="topAndBottom"/>
          </v:line>
        </w:pict>
      </w:r>
    </w:p>
    <w:p>
      <w:pPr>
        <w:pStyle w:val="ListParagraph"/>
        <w:numPr>
          <w:ilvl w:val="0"/>
          <w:numId w:val="3"/>
        </w:numPr>
        <w:tabs>
          <w:tab w:pos="296" w:val="left" w:leader="none"/>
        </w:tabs>
        <w:spacing w:line="244" w:lineRule="auto" w:before="8" w:after="0"/>
        <w:ind w:left="110" w:right="108" w:firstLine="0"/>
        <w:jc w:val="both"/>
        <w:rPr>
          <w:sz w:val="16"/>
        </w:rPr>
      </w:pPr>
      <w:r>
        <w:rPr>
          <w:color w:val="231F20"/>
          <w:sz w:val="16"/>
        </w:rPr>
        <w:t>Estas</w:t>
      </w:r>
      <w:r>
        <w:rPr>
          <w:color w:val="231F20"/>
          <w:spacing w:val="-10"/>
          <w:sz w:val="16"/>
        </w:rPr>
        <w:t> </w:t>
      </w:r>
      <w:r>
        <w:rPr>
          <w:color w:val="231F20"/>
          <w:sz w:val="16"/>
        </w:rPr>
        <w:t>administraciones</w:t>
      </w:r>
      <w:r>
        <w:rPr>
          <w:color w:val="231F20"/>
          <w:spacing w:val="-10"/>
          <w:sz w:val="16"/>
        </w:rPr>
        <w:t> </w:t>
      </w:r>
      <w:r>
        <w:rPr>
          <w:color w:val="231F20"/>
          <w:sz w:val="16"/>
        </w:rPr>
        <w:t>comparten</w:t>
      </w:r>
      <w:r>
        <w:rPr>
          <w:color w:val="231F20"/>
          <w:spacing w:val="-10"/>
          <w:sz w:val="16"/>
        </w:rPr>
        <w:t> </w:t>
      </w:r>
      <w:r>
        <w:rPr>
          <w:color w:val="231F20"/>
          <w:sz w:val="16"/>
        </w:rPr>
        <w:t>la</w:t>
      </w:r>
      <w:r>
        <w:rPr>
          <w:color w:val="231F20"/>
          <w:spacing w:val="-10"/>
          <w:sz w:val="16"/>
        </w:rPr>
        <w:t> </w:t>
      </w:r>
      <w:r>
        <w:rPr>
          <w:color w:val="231F20"/>
          <w:sz w:val="16"/>
        </w:rPr>
        <w:t>característica</w:t>
      </w:r>
      <w:r>
        <w:rPr>
          <w:color w:val="231F20"/>
          <w:spacing w:val="-10"/>
          <w:sz w:val="16"/>
        </w:rPr>
        <w:t> </w:t>
      </w:r>
      <w:r>
        <w:rPr>
          <w:color w:val="231F20"/>
          <w:sz w:val="16"/>
        </w:rPr>
        <w:t>de</w:t>
      </w:r>
      <w:r>
        <w:rPr>
          <w:color w:val="231F20"/>
          <w:spacing w:val="-10"/>
          <w:sz w:val="16"/>
        </w:rPr>
        <w:t> </w:t>
      </w:r>
      <w:r>
        <w:rPr>
          <w:color w:val="231F20"/>
          <w:sz w:val="16"/>
        </w:rPr>
        <w:t>surgir</w:t>
      </w:r>
      <w:r>
        <w:rPr>
          <w:color w:val="231F20"/>
          <w:spacing w:val="-10"/>
          <w:sz w:val="16"/>
        </w:rPr>
        <w:t> </w:t>
      </w:r>
      <w:r>
        <w:rPr>
          <w:color w:val="231F20"/>
          <w:sz w:val="16"/>
        </w:rPr>
        <w:t>de</w:t>
      </w:r>
      <w:r>
        <w:rPr>
          <w:color w:val="231F20"/>
          <w:spacing w:val="-10"/>
          <w:sz w:val="16"/>
        </w:rPr>
        <w:t> </w:t>
      </w:r>
      <w:r>
        <w:rPr>
          <w:color w:val="231F20"/>
          <w:sz w:val="16"/>
        </w:rPr>
        <w:t>las</w:t>
      </w:r>
      <w:r>
        <w:rPr>
          <w:color w:val="231F20"/>
          <w:spacing w:val="-10"/>
          <w:sz w:val="16"/>
        </w:rPr>
        <w:t> </w:t>
      </w:r>
      <w:r>
        <w:rPr>
          <w:color w:val="231F20"/>
          <w:sz w:val="16"/>
        </w:rPr>
        <w:t>filas</w:t>
      </w:r>
      <w:r>
        <w:rPr>
          <w:color w:val="231F20"/>
          <w:spacing w:val="-10"/>
          <w:sz w:val="16"/>
        </w:rPr>
        <w:t> </w:t>
      </w:r>
      <w:r>
        <w:rPr>
          <w:color w:val="231F20"/>
          <w:sz w:val="16"/>
        </w:rPr>
        <w:t>del</w:t>
      </w:r>
      <w:r>
        <w:rPr>
          <w:color w:val="231F20"/>
          <w:spacing w:val="-10"/>
          <w:sz w:val="16"/>
        </w:rPr>
        <w:t> </w:t>
      </w:r>
      <w:r>
        <w:rPr>
          <w:color w:val="231F20"/>
          <w:sz w:val="16"/>
        </w:rPr>
        <w:t>mismo</w:t>
      </w:r>
      <w:r>
        <w:rPr>
          <w:color w:val="231F20"/>
          <w:spacing w:val="-10"/>
          <w:sz w:val="16"/>
        </w:rPr>
        <w:t> </w:t>
      </w:r>
      <w:r>
        <w:rPr>
          <w:color w:val="231F20"/>
          <w:sz w:val="16"/>
        </w:rPr>
        <w:t>partido</w:t>
      </w:r>
      <w:r>
        <w:rPr>
          <w:color w:val="231F20"/>
          <w:spacing w:val="-10"/>
          <w:sz w:val="16"/>
        </w:rPr>
        <w:t> </w:t>
      </w:r>
      <w:r>
        <w:rPr>
          <w:color w:val="231F20"/>
          <w:sz w:val="16"/>
        </w:rPr>
        <w:t>político,</w:t>
      </w:r>
      <w:r>
        <w:rPr>
          <w:color w:val="231F20"/>
          <w:spacing w:val="-10"/>
          <w:sz w:val="16"/>
        </w:rPr>
        <w:t> </w:t>
      </w:r>
      <w:r>
        <w:rPr>
          <w:color w:val="231F20"/>
          <w:sz w:val="16"/>
        </w:rPr>
        <w:t>el</w:t>
      </w:r>
      <w:r>
        <w:rPr>
          <w:color w:val="231F20"/>
          <w:spacing w:val="-10"/>
          <w:sz w:val="16"/>
        </w:rPr>
        <w:t> </w:t>
      </w:r>
      <w:r>
        <w:rPr>
          <w:color w:val="231F20"/>
          <w:sz w:val="16"/>
        </w:rPr>
        <w:t>PRI.</w:t>
      </w:r>
      <w:r>
        <w:rPr>
          <w:color w:val="231F20"/>
          <w:spacing w:val="-10"/>
          <w:sz w:val="16"/>
        </w:rPr>
        <w:t> </w:t>
      </w:r>
      <w:r>
        <w:rPr>
          <w:color w:val="231F20"/>
          <w:sz w:val="16"/>
        </w:rPr>
        <w:t>A</w:t>
      </w:r>
      <w:r>
        <w:rPr>
          <w:color w:val="231F20"/>
          <w:spacing w:val="-10"/>
          <w:sz w:val="16"/>
        </w:rPr>
        <w:t> </w:t>
      </w:r>
      <w:r>
        <w:rPr>
          <w:color w:val="231F20"/>
          <w:sz w:val="16"/>
        </w:rPr>
        <w:t>su</w:t>
      </w:r>
      <w:r>
        <w:rPr>
          <w:color w:val="231F20"/>
          <w:spacing w:val="-10"/>
          <w:sz w:val="16"/>
        </w:rPr>
        <w:t> </w:t>
      </w:r>
      <w:r>
        <w:rPr>
          <w:color w:val="231F20"/>
          <w:sz w:val="16"/>
        </w:rPr>
        <w:t>vez,</w:t>
      </w:r>
      <w:r>
        <w:rPr>
          <w:color w:val="231F20"/>
          <w:spacing w:val="-10"/>
          <w:sz w:val="16"/>
        </w:rPr>
        <w:t> </w:t>
      </w:r>
      <w:r>
        <w:rPr>
          <w:color w:val="231F20"/>
          <w:sz w:val="16"/>
        </w:rPr>
        <w:t>ambas gestiones también se han desarrollado bajo los gobiernos estatales emergidos de la misma organización partidista. Este criterio de selección de los casos abordados me permitió mantener como un factor constante al gobierno en turno, tanto a</w:t>
      </w:r>
      <w:r>
        <w:rPr>
          <w:color w:val="231F20"/>
          <w:spacing w:val="-7"/>
          <w:sz w:val="16"/>
        </w:rPr>
        <w:t> </w:t>
      </w:r>
      <w:r>
        <w:rPr>
          <w:color w:val="231F20"/>
          <w:sz w:val="16"/>
        </w:rPr>
        <w:t>nivel</w:t>
      </w:r>
      <w:r>
        <w:rPr>
          <w:color w:val="231F20"/>
          <w:spacing w:val="-7"/>
          <w:sz w:val="16"/>
        </w:rPr>
        <w:t> </w:t>
      </w:r>
      <w:r>
        <w:rPr>
          <w:color w:val="231F20"/>
          <w:sz w:val="16"/>
        </w:rPr>
        <w:t>municipal</w:t>
      </w:r>
      <w:r>
        <w:rPr>
          <w:color w:val="231F20"/>
          <w:spacing w:val="-7"/>
          <w:sz w:val="16"/>
        </w:rPr>
        <w:t> </w:t>
      </w:r>
      <w:r>
        <w:rPr>
          <w:color w:val="231F20"/>
          <w:sz w:val="16"/>
        </w:rPr>
        <w:t>y</w:t>
      </w:r>
      <w:r>
        <w:rPr>
          <w:color w:val="231F20"/>
          <w:spacing w:val="-7"/>
          <w:sz w:val="16"/>
        </w:rPr>
        <w:t> </w:t>
      </w:r>
      <w:r>
        <w:rPr>
          <w:color w:val="231F20"/>
          <w:sz w:val="16"/>
        </w:rPr>
        <w:t>estatal,</w:t>
      </w:r>
      <w:r>
        <w:rPr>
          <w:color w:val="231F20"/>
          <w:spacing w:val="-7"/>
          <w:sz w:val="16"/>
        </w:rPr>
        <w:t> </w:t>
      </w:r>
      <w:r>
        <w:rPr>
          <w:color w:val="231F20"/>
          <w:sz w:val="16"/>
        </w:rPr>
        <w:t>y</w:t>
      </w:r>
      <w:r>
        <w:rPr>
          <w:color w:val="231F20"/>
          <w:spacing w:val="-7"/>
          <w:sz w:val="16"/>
        </w:rPr>
        <w:t> </w:t>
      </w:r>
      <w:r>
        <w:rPr>
          <w:color w:val="231F20"/>
          <w:sz w:val="16"/>
        </w:rPr>
        <w:t>así</w:t>
      </w:r>
      <w:r>
        <w:rPr>
          <w:color w:val="231F20"/>
          <w:spacing w:val="-7"/>
          <w:sz w:val="16"/>
        </w:rPr>
        <w:t> </w:t>
      </w:r>
      <w:r>
        <w:rPr>
          <w:color w:val="231F20"/>
          <w:sz w:val="16"/>
        </w:rPr>
        <w:t>evitar</w:t>
      </w:r>
      <w:r>
        <w:rPr>
          <w:color w:val="231F20"/>
          <w:spacing w:val="-7"/>
          <w:sz w:val="16"/>
        </w:rPr>
        <w:t> </w:t>
      </w:r>
      <w:r>
        <w:rPr>
          <w:color w:val="231F20"/>
          <w:sz w:val="16"/>
        </w:rPr>
        <w:t>la</w:t>
      </w:r>
      <w:r>
        <w:rPr>
          <w:color w:val="231F20"/>
          <w:spacing w:val="-7"/>
          <w:sz w:val="16"/>
        </w:rPr>
        <w:t> </w:t>
      </w:r>
      <w:r>
        <w:rPr>
          <w:color w:val="231F20"/>
          <w:sz w:val="16"/>
        </w:rPr>
        <w:t>filtración</w:t>
      </w:r>
      <w:r>
        <w:rPr>
          <w:color w:val="231F20"/>
          <w:spacing w:val="-7"/>
          <w:sz w:val="16"/>
        </w:rPr>
        <w:t> </w:t>
      </w:r>
      <w:r>
        <w:rPr>
          <w:color w:val="231F20"/>
          <w:sz w:val="16"/>
        </w:rPr>
        <w:t>de</w:t>
      </w:r>
      <w:r>
        <w:rPr>
          <w:color w:val="231F20"/>
          <w:spacing w:val="-7"/>
          <w:sz w:val="16"/>
        </w:rPr>
        <w:t> </w:t>
      </w:r>
      <w:r>
        <w:rPr>
          <w:color w:val="231F20"/>
          <w:sz w:val="16"/>
        </w:rPr>
        <w:t>algún</w:t>
      </w:r>
      <w:r>
        <w:rPr>
          <w:color w:val="231F20"/>
          <w:spacing w:val="-7"/>
          <w:sz w:val="16"/>
        </w:rPr>
        <w:t> </w:t>
      </w:r>
      <w:r>
        <w:rPr>
          <w:color w:val="231F20"/>
          <w:sz w:val="16"/>
        </w:rPr>
        <w:t>elemento</w:t>
      </w:r>
      <w:r>
        <w:rPr>
          <w:color w:val="231F20"/>
          <w:spacing w:val="-7"/>
          <w:sz w:val="16"/>
        </w:rPr>
        <w:t> </w:t>
      </w:r>
      <w:r>
        <w:rPr>
          <w:color w:val="231F20"/>
          <w:sz w:val="16"/>
        </w:rPr>
        <w:t>disonante</w:t>
      </w:r>
      <w:r>
        <w:rPr>
          <w:color w:val="231F20"/>
          <w:spacing w:val="-7"/>
          <w:sz w:val="16"/>
        </w:rPr>
        <w:t> </w:t>
      </w:r>
      <w:r>
        <w:rPr>
          <w:color w:val="231F20"/>
          <w:sz w:val="16"/>
        </w:rPr>
        <w:t>como</w:t>
      </w:r>
      <w:r>
        <w:rPr>
          <w:color w:val="231F20"/>
          <w:spacing w:val="-7"/>
          <w:sz w:val="16"/>
        </w:rPr>
        <w:t> </w:t>
      </w:r>
      <w:r>
        <w:rPr>
          <w:color w:val="231F20"/>
          <w:sz w:val="16"/>
        </w:rPr>
        <w:t>resultado</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diferencia</w:t>
      </w:r>
      <w:r>
        <w:rPr>
          <w:color w:val="231F20"/>
          <w:spacing w:val="-7"/>
          <w:sz w:val="16"/>
        </w:rPr>
        <w:t> </w:t>
      </w:r>
      <w:r>
        <w:rPr>
          <w:color w:val="231F20"/>
          <w:sz w:val="16"/>
        </w:rPr>
        <w:t>de</w:t>
      </w:r>
      <w:r>
        <w:rPr>
          <w:color w:val="231F20"/>
          <w:spacing w:val="-7"/>
          <w:sz w:val="16"/>
        </w:rPr>
        <w:t> </w:t>
      </w:r>
      <w:r>
        <w:rPr>
          <w:color w:val="231F20"/>
          <w:sz w:val="16"/>
        </w:rPr>
        <w:t>partidos en el gobierno en</w:t>
      </w:r>
      <w:r>
        <w:rPr>
          <w:color w:val="231F20"/>
          <w:spacing w:val="-23"/>
          <w:sz w:val="16"/>
        </w:rPr>
        <w:t> </w:t>
      </w:r>
      <w:r>
        <w:rPr>
          <w:color w:val="231F20"/>
          <w:sz w:val="16"/>
        </w:rPr>
        <w:t>turno.</w:t>
      </w:r>
    </w:p>
    <w:p>
      <w:pPr>
        <w:pStyle w:val="ListParagraph"/>
        <w:numPr>
          <w:ilvl w:val="0"/>
          <w:numId w:val="3"/>
        </w:numPr>
        <w:tabs>
          <w:tab w:pos="300" w:val="left" w:leader="none"/>
        </w:tabs>
        <w:spacing w:line="244" w:lineRule="auto" w:before="0" w:after="0"/>
        <w:ind w:left="110" w:right="107" w:firstLine="0"/>
        <w:jc w:val="left"/>
        <w:rPr>
          <w:sz w:val="16"/>
        </w:rPr>
      </w:pPr>
      <w:r>
        <w:rPr>
          <w:color w:val="231F20"/>
          <w:sz w:val="16"/>
        </w:rPr>
        <w:t>A</w:t>
      </w:r>
      <w:r>
        <w:rPr>
          <w:color w:val="231F20"/>
          <w:spacing w:val="-10"/>
          <w:sz w:val="16"/>
        </w:rPr>
        <w:t> </w:t>
      </w:r>
      <w:r>
        <w:rPr>
          <w:color w:val="231F20"/>
          <w:sz w:val="16"/>
        </w:rPr>
        <w:t>las</w:t>
      </w:r>
      <w:r>
        <w:rPr>
          <w:color w:val="231F20"/>
          <w:spacing w:val="-10"/>
          <w:sz w:val="16"/>
        </w:rPr>
        <w:t> </w:t>
      </w:r>
      <w:r>
        <w:rPr>
          <w:color w:val="231F20"/>
          <w:sz w:val="16"/>
        </w:rPr>
        <w:t>personas</w:t>
      </w:r>
      <w:r>
        <w:rPr>
          <w:color w:val="231F20"/>
          <w:spacing w:val="-10"/>
          <w:sz w:val="16"/>
        </w:rPr>
        <w:t> </w:t>
      </w:r>
      <w:r>
        <w:rPr>
          <w:color w:val="231F20"/>
          <w:sz w:val="16"/>
        </w:rPr>
        <w:t>encuestadas</w:t>
      </w:r>
      <w:r>
        <w:rPr>
          <w:color w:val="231F20"/>
          <w:spacing w:val="-10"/>
          <w:sz w:val="16"/>
        </w:rPr>
        <w:t> </w:t>
      </w:r>
      <w:r>
        <w:rPr>
          <w:color w:val="231F20"/>
          <w:sz w:val="16"/>
        </w:rPr>
        <w:t>por</w:t>
      </w:r>
      <w:r>
        <w:rPr>
          <w:color w:val="231F20"/>
          <w:spacing w:val="-10"/>
          <w:sz w:val="16"/>
        </w:rPr>
        <w:t> </w:t>
      </w:r>
      <w:r>
        <w:rPr>
          <w:color w:val="231F20"/>
          <w:sz w:val="16"/>
        </w:rPr>
        <w:t>el</w:t>
      </w:r>
      <w:r>
        <w:rPr>
          <w:color w:val="231F20"/>
          <w:spacing w:val="-10"/>
          <w:sz w:val="16"/>
        </w:rPr>
        <w:t> </w:t>
      </w:r>
      <w:r>
        <w:rPr>
          <w:color w:val="231F20"/>
          <w:sz w:val="16"/>
        </w:rPr>
        <w:t>periódico</w:t>
      </w:r>
      <w:r>
        <w:rPr>
          <w:color w:val="231F20"/>
          <w:spacing w:val="-10"/>
          <w:sz w:val="16"/>
        </w:rPr>
        <w:t> </w:t>
      </w:r>
      <w:r>
        <w:rPr>
          <w:color w:val="231F20"/>
          <w:sz w:val="16"/>
        </w:rPr>
        <w:t>Reforma</w:t>
      </w:r>
      <w:r>
        <w:rPr>
          <w:color w:val="231F20"/>
          <w:spacing w:val="-10"/>
          <w:sz w:val="16"/>
        </w:rPr>
        <w:t> </w:t>
      </w:r>
      <w:r>
        <w:rPr>
          <w:color w:val="231F20"/>
          <w:sz w:val="16"/>
        </w:rPr>
        <w:t>al</w:t>
      </w:r>
      <w:r>
        <w:rPr>
          <w:color w:val="231F20"/>
          <w:spacing w:val="-10"/>
          <w:sz w:val="16"/>
        </w:rPr>
        <w:t> </w:t>
      </w:r>
      <w:r>
        <w:rPr>
          <w:color w:val="231F20"/>
          <w:sz w:val="16"/>
        </w:rPr>
        <w:t>mes</w:t>
      </w:r>
      <w:r>
        <w:rPr>
          <w:color w:val="231F20"/>
          <w:spacing w:val="-10"/>
          <w:sz w:val="16"/>
        </w:rPr>
        <w:t> </w:t>
      </w:r>
      <w:r>
        <w:rPr>
          <w:color w:val="231F20"/>
          <w:sz w:val="16"/>
        </w:rPr>
        <w:t>de</w:t>
      </w:r>
      <w:r>
        <w:rPr>
          <w:color w:val="231F20"/>
          <w:spacing w:val="-10"/>
          <w:sz w:val="16"/>
        </w:rPr>
        <w:t> </w:t>
      </w:r>
      <w:r>
        <w:rPr>
          <w:color w:val="231F20"/>
          <w:sz w:val="16"/>
        </w:rPr>
        <w:t>agosto</w:t>
      </w:r>
      <w:r>
        <w:rPr>
          <w:color w:val="231F20"/>
          <w:spacing w:val="-10"/>
          <w:sz w:val="16"/>
        </w:rPr>
        <w:t> </w:t>
      </w:r>
      <w:r>
        <w:rPr>
          <w:color w:val="231F20"/>
          <w:sz w:val="16"/>
        </w:rPr>
        <w:t>del</w:t>
      </w:r>
      <w:r>
        <w:rPr>
          <w:color w:val="231F20"/>
          <w:spacing w:val="-10"/>
          <w:sz w:val="16"/>
        </w:rPr>
        <w:t> </w:t>
      </w:r>
      <w:r>
        <w:rPr>
          <w:color w:val="231F20"/>
          <w:sz w:val="16"/>
        </w:rPr>
        <w:t>2008</w:t>
      </w:r>
      <w:r>
        <w:rPr>
          <w:color w:val="231F20"/>
          <w:spacing w:val="-10"/>
          <w:sz w:val="16"/>
        </w:rPr>
        <w:t> </w:t>
      </w:r>
      <w:r>
        <w:rPr>
          <w:color w:val="231F20"/>
          <w:sz w:val="16"/>
        </w:rPr>
        <w:t>se</w:t>
      </w:r>
      <w:r>
        <w:rPr>
          <w:color w:val="231F20"/>
          <w:spacing w:val="-10"/>
          <w:sz w:val="16"/>
        </w:rPr>
        <w:t> </w:t>
      </w:r>
      <w:r>
        <w:rPr>
          <w:color w:val="231F20"/>
          <w:sz w:val="16"/>
        </w:rPr>
        <w:t>les</w:t>
      </w:r>
      <w:r>
        <w:rPr>
          <w:color w:val="231F20"/>
          <w:spacing w:val="-10"/>
          <w:sz w:val="16"/>
        </w:rPr>
        <w:t> </w:t>
      </w:r>
      <w:r>
        <w:rPr>
          <w:color w:val="231F20"/>
          <w:sz w:val="16"/>
        </w:rPr>
        <w:t>preguntó:</w:t>
      </w:r>
      <w:r>
        <w:rPr>
          <w:color w:val="231F20"/>
          <w:spacing w:val="-10"/>
          <w:sz w:val="16"/>
        </w:rPr>
        <w:t> </w:t>
      </w:r>
      <w:r>
        <w:rPr>
          <w:color w:val="231F20"/>
          <w:sz w:val="16"/>
        </w:rPr>
        <w:t>¿Cuál</w:t>
      </w:r>
      <w:r>
        <w:rPr>
          <w:color w:val="231F20"/>
          <w:spacing w:val="-10"/>
          <w:sz w:val="16"/>
        </w:rPr>
        <w:t> </w:t>
      </w:r>
      <w:r>
        <w:rPr>
          <w:color w:val="231F20"/>
          <w:sz w:val="16"/>
        </w:rPr>
        <w:t>cree</w:t>
      </w:r>
      <w:r>
        <w:rPr>
          <w:color w:val="231F20"/>
          <w:spacing w:val="-10"/>
          <w:sz w:val="16"/>
        </w:rPr>
        <w:t> </w:t>
      </w:r>
      <w:r>
        <w:rPr>
          <w:color w:val="231F20"/>
          <w:sz w:val="16"/>
        </w:rPr>
        <w:t>que</w:t>
      </w:r>
      <w:r>
        <w:rPr>
          <w:color w:val="231F20"/>
          <w:spacing w:val="-10"/>
          <w:sz w:val="16"/>
        </w:rPr>
        <w:t> </w:t>
      </w:r>
      <w:r>
        <w:rPr>
          <w:color w:val="231F20"/>
          <w:sz w:val="16"/>
        </w:rPr>
        <w:t>es</w:t>
      </w:r>
      <w:r>
        <w:rPr>
          <w:color w:val="231F20"/>
          <w:spacing w:val="-10"/>
          <w:sz w:val="16"/>
        </w:rPr>
        <w:t> </w:t>
      </w:r>
      <w:r>
        <w:rPr>
          <w:color w:val="231F20"/>
          <w:sz w:val="16"/>
        </w:rPr>
        <w:t>el</w:t>
      </w:r>
      <w:r>
        <w:rPr>
          <w:color w:val="231F20"/>
          <w:spacing w:val="-10"/>
          <w:sz w:val="16"/>
        </w:rPr>
        <w:t> </w:t>
      </w:r>
      <w:r>
        <w:rPr>
          <w:color w:val="231F20"/>
          <w:sz w:val="16"/>
        </w:rPr>
        <w:t>prin- cipal</w:t>
      </w:r>
      <w:r>
        <w:rPr>
          <w:color w:val="231F20"/>
          <w:spacing w:val="-5"/>
          <w:sz w:val="16"/>
        </w:rPr>
        <w:t> </w:t>
      </w:r>
      <w:r>
        <w:rPr>
          <w:color w:val="231F20"/>
          <w:sz w:val="16"/>
        </w:rPr>
        <w:t>problema</w:t>
      </w:r>
      <w:r>
        <w:rPr>
          <w:color w:val="231F20"/>
          <w:spacing w:val="-5"/>
          <w:sz w:val="16"/>
        </w:rPr>
        <w:t> </w:t>
      </w:r>
      <w:r>
        <w:rPr>
          <w:color w:val="231F20"/>
          <w:sz w:val="16"/>
        </w:rPr>
        <w:t>que</w:t>
      </w:r>
      <w:r>
        <w:rPr>
          <w:color w:val="231F20"/>
          <w:spacing w:val="-5"/>
          <w:sz w:val="16"/>
        </w:rPr>
        <w:t> </w:t>
      </w:r>
      <w:r>
        <w:rPr>
          <w:color w:val="231F20"/>
          <w:sz w:val="16"/>
        </w:rPr>
        <w:t>hay</w:t>
      </w:r>
      <w:r>
        <w:rPr>
          <w:color w:val="231F20"/>
          <w:spacing w:val="-5"/>
          <w:sz w:val="16"/>
        </w:rPr>
        <w:t> </w:t>
      </w:r>
      <w:r>
        <w:rPr>
          <w:color w:val="231F20"/>
          <w:sz w:val="16"/>
        </w:rPr>
        <w:t>actualmente</w:t>
      </w:r>
      <w:r>
        <w:rPr>
          <w:color w:val="231F20"/>
          <w:spacing w:val="-5"/>
          <w:sz w:val="16"/>
        </w:rPr>
        <w:t> </w:t>
      </w:r>
      <w:r>
        <w:rPr>
          <w:color w:val="231F20"/>
          <w:sz w:val="16"/>
        </w:rPr>
        <w:t>en</w:t>
      </w:r>
      <w:r>
        <w:rPr>
          <w:color w:val="231F20"/>
          <w:spacing w:val="-5"/>
          <w:sz w:val="16"/>
        </w:rPr>
        <w:t> </w:t>
      </w:r>
      <w:r>
        <w:rPr>
          <w:color w:val="231F20"/>
          <w:sz w:val="16"/>
        </w:rPr>
        <w:t>la</w:t>
      </w:r>
      <w:r>
        <w:rPr>
          <w:color w:val="231F20"/>
          <w:spacing w:val="-5"/>
          <w:sz w:val="16"/>
        </w:rPr>
        <w:t> </w:t>
      </w:r>
      <w:r>
        <w:rPr>
          <w:color w:val="231F20"/>
          <w:sz w:val="16"/>
        </w:rPr>
        <w:t>comunidad</w:t>
      </w:r>
      <w:r>
        <w:rPr>
          <w:color w:val="231F20"/>
          <w:spacing w:val="-5"/>
          <w:sz w:val="16"/>
        </w:rPr>
        <w:t> </w:t>
      </w:r>
      <w:r>
        <w:rPr>
          <w:color w:val="231F20"/>
          <w:sz w:val="16"/>
        </w:rPr>
        <w:t>donde</w:t>
      </w:r>
      <w:r>
        <w:rPr>
          <w:color w:val="231F20"/>
          <w:spacing w:val="-5"/>
          <w:sz w:val="16"/>
        </w:rPr>
        <w:t> </w:t>
      </w:r>
      <w:r>
        <w:rPr>
          <w:color w:val="231F20"/>
          <w:sz w:val="16"/>
        </w:rPr>
        <w:t>usted</w:t>
      </w:r>
      <w:r>
        <w:rPr>
          <w:color w:val="231F20"/>
          <w:spacing w:val="-5"/>
          <w:sz w:val="16"/>
        </w:rPr>
        <w:t> </w:t>
      </w:r>
      <w:r>
        <w:rPr>
          <w:color w:val="231F20"/>
          <w:sz w:val="16"/>
        </w:rPr>
        <w:t>vive?</w:t>
      </w:r>
      <w:r>
        <w:rPr>
          <w:color w:val="231F20"/>
          <w:spacing w:val="-5"/>
          <w:sz w:val="16"/>
        </w:rPr>
        <w:t> </w:t>
      </w:r>
      <w:r>
        <w:rPr>
          <w:color w:val="231F20"/>
          <w:sz w:val="16"/>
        </w:rPr>
        <w:t>A</w:t>
      </w:r>
      <w:r>
        <w:rPr>
          <w:color w:val="231F20"/>
          <w:spacing w:val="-5"/>
          <w:sz w:val="16"/>
        </w:rPr>
        <w:t> </w:t>
      </w:r>
      <w:r>
        <w:rPr>
          <w:color w:val="231F20"/>
          <w:sz w:val="16"/>
        </w:rPr>
        <w:t>lo</w:t>
      </w:r>
      <w:r>
        <w:rPr>
          <w:color w:val="231F20"/>
          <w:spacing w:val="-5"/>
          <w:sz w:val="16"/>
        </w:rPr>
        <w:t> </w:t>
      </w:r>
      <w:r>
        <w:rPr>
          <w:color w:val="231F20"/>
          <w:sz w:val="16"/>
        </w:rPr>
        <w:t>que</w:t>
      </w:r>
      <w:r>
        <w:rPr>
          <w:color w:val="231F20"/>
          <w:spacing w:val="-5"/>
          <w:sz w:val="16"/>
        </w:rPr>
        <w:t> </w:t>
      </w:r>
      <w:r>
        <w:rPr>
          <w:color w:val="231F20"/>
          <w:sz w:val="16"/>
        </w:rPr>
        <w:t>las</w:t>
      </w:r>
      <w:r>
        <w:rPr>
          <w:color w:val="231F20"/>
          <w:spacing w:val="-5"/>
          <w:sz w:val="16"/>
        </w:rPr>
        <w:t> </w:t>
      </w:r>
      <w:r>
        <w:rPr>
          <w:color w:val="231F20"/>
          <w:sz w:val="16"/>
        </w:rPr>
        <w:t>respuestas</w:t>
      </w:r>
      <w:r>
        <w:rPr>
          <w:color w:val="231F20"/>
          <w:spacing w:val="-5"/>
          <w:sz w:val="16"/>
        </w:rPr>
        <w:t> </w:t>
      </w:r>
      <w:r>
        <w:rPr>
          <w:color w:val="231F20"/>
          <w:sz w:val="16"/>
        </w:rPr>
        <w:t>fueron:</w:t>
      </w:r>
      <w:r>
        <w:rPr>
          <w:color w:val="231F20"/>
          <w:spacing w:val="-5"/>
          <w:sz w:val="16"/>
        </w:rPr>
        <w:t> </w:t>
      </w:r>
      <w:r>
        <w:rPr>
          <w:color w:val="231F20"/>
          <w:sz w:val="16"/>
        </w:rPr>
        <w:t>seguridad</w:t>
      </w:r>
      <w:r>
        <w:rPr>
          <w:color w:val="231F20"/>
          <w:spacing w:val="-5"/>
          <w:sz w:val="16"/>
        </w:rPr>
        <w:t> </w:t>
      </w:r>
      <w:r>
        <w:rPr>
          <w:color w:val="231F20"/>
          <w:sz w:val="16"/>
        </w:rPr>
        <w:t>pública, </w:t>
      </w:r>
      <w:r>
        <w:rPr>
          <w:color w:val="231F20"/>
          <w:spacing w:val="-5"/>
          <w:sz w:val="16"/>
        </w:rPr>
        <w:t>31%;</w:t>
      </w:r>
      <w:r>
        <w:rPr>
          <w:color w:val="231F20"/>
          <w:spacing w:val="-15"/>
          <w:sz w:val="16"/>
        </w:rPr>
        <w:t> </w:t>
      </w:r>
      <w:r>
        <w:rPr>
          <w:color w:val="231F20"/>
          <w:sz w:val="16"/>
        </w:rPr>
        <w:t>servicios</w:t>
      </w:r>
      <w:r>
        <w:rPr>
          <w:color w:val="231F20"/>
          <w:spacing w:val="-15"/>
          <w:sz w:val="16"/>
        </w:rPr>
        <w:t> </w:t>
      </w:r>
      <w:r>
        <w:rPr>
          <w:color w:val="231F20"/>
          <w:sz w:val="16"/>
        </w:rPr>
        <w:t>públicos,</w:t>
      </w:r>
      <w:r>
        <w:rPr>
          <w:color w:val="231F20"/>
          <w:spacing w:val="-15"/>
          <w:sz w:val="16"/>
        </w:rPr>
        <w:t> </w:t>
      </w:r>
      <w:r>
        <w:rPr>
          <w:color w:val="231F20"/>
          <w:sz w:val="16"/>
        </w:rPr>
        <w:t>23%,</w:t>
      </w:r>
      <w:r>
        <w:rPr>
          <w:color w:val="231F20"/>
          <w:spacing w:val="-15"/>
          <w:sz w:val="16"/>
        </w:rPr>
        <w:t> </w:t>
      </w:r>
      <w:r>
        <w:rPr>
          <w:color w:val="231F20"/>
          <w:sz w:val="16"/>
        </w:rPr>
        <w:t>problemas</w:t>
      </w:r>
      <w:r>
        <w:rPr>
          <w:color w:val="231F20"/>
          <w:spacing w:val="-15"/>
          <w:sz w:val="16"/>
        </w:rPr>
        <w:t> </w:t>
      </w:r>
      <w:r>
        <w:rPr>
          <w:color w:val="231F20"/>
          <w:sz w:val="16"/>
        </w:rPr>
        <w:t>de</w:t>
      </w:r>
      <w:r>
        <w:rPr>
          <w:color w:val="231F20"/>
          <w:spacing w:val="-15"/>
          <w:sz w:val="16"/>
        </w:rPr>
        <w:t> </w:t>
      </w:r>
      <w:r>
        <w:rPr>
          <w:color w:val="231F20"/>
          <w:sz w:val="16"/>
        </w:rPr>
        <w:t>vialidad,</w:t>
      </w:r>
      <w:r>
        <w:rPr>
          <w:color w:val="231F20"/>
          <w:spacing w:val="-15"/>
          <w:sz w:val="16"/>
        </w:rPr>
        <w:t> </w:t>
      </w:r>
      <w:r>
        <w:rPr>
          <w:color w:val="231F20"/>
          <w:spacing w:val="-3"/>
          <w:sz w:val="16"/>
        </w:rPr>
        <w:t>12%;</w:t>
      </w:r>
      <w:r>
        <w:rPr>
          <w:color w:val="231F20"/>
          <w:spacing w:val="-15"/>
          <w:sz w:val="16"/>
        </w:rPr>
        <w:t> </w:t>
      </w:r>
      <w:r>
        <w:rPr>
          <w:color w:val="231F20"/>
          <w:sz w:val="16"/>
        </w:rPr>
        <w:t>obras</w:t>
      </w:r>
      <w:r>
        <w:rPr>
          <w:color w:val="231F20"/>
          <w:spacing w:val="-15"/>
          <w:sz w:val="16"/>
        </w:rPr>
        <w:t> </w:t>
      </w:r>
      <w:r>
        <w:rPr>
          <w:color w:val="231F20"/>
          <w:sz w:val="16"/>
        </w:rPr>
        <w:t>públicas,</w:t>
      </w:r>
      <w:r>
        <w:rPr>
          <w:color w:val="231F20"/>
          <w:spacing w:val="-15"/>
          <w:sz w:val="16"/>
        </w:rPr>
        <w:t> </w:t>
      </w:r>
      <w:r>
        <w:rPr>
          <w:color w:val="231F20"/>
          <w:sz w:val="16"/>
        </w:rPr>
        <w:t>10%;</w:t>
      </w:r>
      <w:r>
        <w:rPr>
          <w:color w:val="231F20"/>
          <w:spacing w:val="-15"/>
          <w:sz w:val="16"/>
        </w:rPr>
        <w:t> </w:t>
      </w:r>
      <w:r>
        <w:rPr>
          <w:color w:val="231F20"/>
          <w:sz w:val="16"/>
        </w:rPr>
        <w:t>problemas</w:t>
      </w:r>
      <w:r>
        <w:rPr>
          <w:color w:val="231F20"/>
          <w:spacing w:val="-15"/>
          <w:sz w:val="16"/>
        </w:rPr>
        <w:t> </w:t>
      </w:r>
      <w:r>
        <w:rPr>
          <w:color w:val="231F20"/>
          <w:sz w:val="16"/>
        </w:rPr>
        <w:t>sociales,</w:t>
      </w:r>
      <w:r>
        <w:rPr>
          <w:color w:val="231F20"/>
          <w:spacing w:val="-15"/>
          <w:sz w:val="16"/>
        </w:rPr>
        <w:t> </w:t>
      </w:r>
      <w:r>
        <w:rPr>
          <w:color w:val="231F20"/>
          <w:sz w:val="16"/>
        </w:rPr>
        <w:t>4%</w:t>
      </w:r>
      <w:r>
        <w:rPr>
          <w:color w:val="231F20"/>
          <w:spacing w:val="-15"/>
          <w:sz w:val="16"/>
        </w:rPr>
        <w:t> </w:t>
      </w:r>
      <w:r>
        <w:rPr>
          <w:color w:val="231F20"/>
          <w:sz w:val="16"/>
        </w:rPr>
        <w:t>(REFORMA,</w:t>
      </w:r>
      <w:r>
        <w:rPr>
          <w:color w:val="231F20"/>
          <w:spacing w:val="-15"/>
          <w:sz w:val="16"/>
        </w:rPr>
        <w:t> </w:t>
      </w:r>
      <w:r>
        <w:rPr>
          <w:color w:val="231F20"/>
          <w:sz w:val="16"/>
        </w:rPr>
        <w:t>2008:</w:t>
      </w:r>
      <w:r>
        <w:rPr>
          <w:color w:val="231F20"/>
          <w:spacing w:val="-15"/>
          <w:sz w:val="16"/>
        </w:rPr>
        <w:t> </w:t>
      </w:r>
      <w:r>
        <w:rPr>
          <w:color w:val="231F20"/>
          <w:spacing w:val="-4"/>
          <w:sz w:val="16"/>
        </w:rPr>
        <w:t>10). </w:t>
      </w:r>
      <w:r>
        <w:rPr>
          <w:color w:val="231F20"/>
          <w:sz w:val="16"/>
        </w:rPr>
        <w:t>26 Esta diferencia en los promedios del gasto ejercido durante sus dos primeros años por cada administración se debe a que</w:t>
      </w:r>
      <w:r>
        <w:rPr>
          <w:color w:val="231F20"/>
          <w:spacing w:val="-5"/>
          <w:sz w:val="16"/>
        </w:rPr>
        <w:t> </w:t>
      </w:r>
      <w:r>
        <w:rPr>
          <w:color w:val="231F20"/>
          <w:sz w:val="16"/>
        </w:rPr>
        <w:t>la</w:t>
      </w:r>
      <w:r>
        <w:rPr>
          <w:color w:val="231F20"/>
          <w:spacing w:val="-5"/>
          <w:sz w:val="16"/>
        </w:rPr>
        <w:t> </w:t>
      </w:r>
      <w:r>
        <w:rPr>
          <w:color w:val="231F20"/>
          <w:sz w:val="16"/>
        </w:rPr>
        <w:t>información</w:t>
      </w:r>
      <w:r>
        <w:rPr>
          <w:color w:val="231F20"/>
          <w:spacing w:val="-5"/>
          <w:sz w:val="16"/>
        </w:rPr>
        <w:t> </w:t>
      </w:r>
      <w:r>
        <w:rPr>
          <w:color w:val="231F20"/>
          <w:sz w:val="16"/>
        </w:rPr>
        <w:t>obtenida</w:t>
      </w:r>
      <w:r>
        <w:rPr>
          <w:color w:val="231F20"/>
          <w:spacing w:val="-5"/>
          <w:sz w:val="16"/>
        </w:rPr>
        <w:t> </w:t>
      </w:r>
      <w:r>
        <w:rPr>
          <w:color w:val="231F20"/>
          <w:sz w:val="16"/>
        </w:rPr>
        <w:t>hasta</w:t>
      </w:r>
      <w:r>
        <w:rPr>
          <w:color w:val="231F20"/>
          <w:spacing w:val="-5"/>
          <w:sz w:val="16"/>
        </w:rPr>
        <w:t> </w:t>
      </w:r>
      <w:r>
        <w:rPr>
          <w:color w:val="231F20"/>
          <w:sz w:val="16"/>
        </w:rPr>
        <w:t>la</w:t>
      </w:r>
      <w:r>
        <w:rPr>
          <w:color w:val="231F20"/>
          <w:spacing w:val="-5"/>
          <w:sz w:val="16"/>
        </w:rPr>
        <w:t> </w:t>
      </w:r>
      <w:r>
        <w:rPr>
          <w:color w:val="231F20"/>
          <w:sz w:val="16"/>
        </w:rPr>
        <w:t>fecha</w:t>
      </w:r>
      <w:r>
        <w:rPr>
          <w:color w:val="231F20"/>
          <w:spacing w:val="-5"/>
          <w:sz w:val="16"/>
        </w:rPr>
        <w:t> </w:t>
      </w:r>
      <w:r>
        <w:rPr>
          <w:color w:val="231F20"/>
          <w:sz w:val="16"/>
        </w:rPr>
        <w:t>en</w:t>
      </w:r>
      <w:r>
        <w:rPr>
          <w:color w:val="231F20"/>
          <w:spacing w:val="-5"/>
          <w:sz w:val="16"/>
        </w:rPr>
        <w:t> </w:t>
      </w:r>
      <w:r>
        <w:rPr>
          <w:color w:val="231F20"/>
          <w:sz w:val="16"/>
        </w:rPr>
        <w:t>que</w:t>
      </w:r>
      <w:r>
        <w:rPr>
          <w:color w:val="231F20"/>
          <w:spacing w:val="-5"/>
          <w:sz w:val="16"/>
        </w:rPr>
        <w:t> </w:t>
      </w:r>
      <w:r>
        <w:rPr>
          <w:color w:val="231F20"/>
          <w:sz w:val="16"/>
        </w:rPr>
        <w:t>esto</w:t>
      </w:r>
      <w:r>
        <w:rPr>
          <w:color w:val="231F20"/>
          <w:spacing w:val="-5"/>
          <w:sz w:val="16"/>
        </w:rPr>
        <w:t> </w:t>
      </w:r>
      <w:r>
        <w:rPr>
          <w:color w:val="231F20"/>
          <w:sz w:val="16"/>
        </w:rPr>
        <w:t>es</w:t>
      </w:r>
      <w:r>
        <w:rPr>
          <w:color w:val="231F20"/>
          <w:spacing w:val="-5"/>
          <w:sz w:val="16"/>
        </w:rPr>
        <w:t> </w:t>
      </w:r>
      <w:r>
        <w:rPr>
          <w:color w:val="231F20"/>
          <w:sz w:val="16"/>
        </w:rPr>
        <w:t>redactado</w:t>
      </w:r>
      <w:r>
        <w:rPr>
          <w:color w:val="231F20"/>
          <w:spacing w:val="-5"/>
          <w:sz w:val="16"/>
        </w:rPr>
        <w:t> </w:t>
      </w:r>
      <w:r>
        <w:rPr>
          <w:color w:val="231F20"/>
          <w:sz w:val="16"/>
        </w:rPr>
        <w:t>aún</w:t>
      </w:r>
      <w:r>
        <w:rPr>
          <w:color w:val="231F20"/>
          <w:spacing w:val="-5"/>
          <w:sz w:val="16"/>
        </w:rPr>
        <w:t> </w:t>
      </w:r>
      <w:r>
        <w:rPr>
          <w:color w:val="231F20"/>
          <w:sz w:val="16"/>
        </w:rPr>
        <w:t>no</w:t>
      </w:r>
      <w:r>
        <w:rPr>
          <w:color w:val="231F20"/>
          <w:spacing w:val="-5"/>
          <w:sz w:val="16"/>
        </w:rPr>
        <w:t> </w:t>
      </w:r>
      <w:r>
        <w:rPr>
          <w:color w:val="231F20"/>
          <w:sz w:val="16"/>
        </w:rPr>
        <w:t>está</w:t>
      </w:r>
      <w:r>
        <w:rPr>
          <w:color w:val="231F20"/>
          <w:spacing w:val="-5"/>
          <w:sz w:val="16"/>
        </w:rPr>
        <w:t> </w:t>
      </w:r>
      <w:r>
        <w:rPr>
          <w:color w:val="231F20"/>
          <w:sz w:val="16"/>
        </w:rPr>
        <w:t>disponible</w:t>
      </w:r>
      <w:r>
        <w:rPr>
          <w:color w:val="231F20"/>
          <w:spacing w:val="-5"/>
          <w:sz w:val="16"/>
        </w:rPr>
        <w:t> </w:t>
      </w:r>
      <w:r>
        <w:rPr>
          <w:color w:val="231F20"/>
          <w:sz w:val="16"/>
        </w:rPr>
        <w:t>para</w:t>
      </w:r>
      <w:r>
        <w:rPr>
          <w:color w:val="231F20"/>
          <w:spacing w:val="-5"/>
          <w:sz w:val="16"/>
        </w:rPr>
        <w:t> </w:t>
      </w:r>
      <w:r>
        <w:rPr>
          <w:color w:val="231F20"/>
          <w:sz w:val="16"/>
        </w:rPr>
        <w:t>el</w:t>
      </w:r>
      <w:r>
        <w:rPr>
          <w:color w:val="231F20"/>
          <w:spacing w:val="-5"/>
          <w:sz w:val="16"/>
        </w:rPr>
        <w:t> </w:t>
      </w:r>
      <w:r>
        <w:rPr>
          <w:color w:val="231F20"/>
          <w:sz w:val="16"/>
        </w:rPr>
        <w:t>último</w:t>
      </w:r>
      <w:r>
        <w:rPr>
          <w:color w:val="231F20"/>
          <w:spacing w:val="-5"/>
          <w:sz w:val="16"/>
        </w:rPr>
        <w:t> </w:t>
      </w:r>
      <w:r>
        <w:rPr>
          <w:color w:val="231F20"/>
          <w:sz w:val="16"/>
        </w:rPr>
        <w:t>año</w:t>
      </w:r>
      <w:r>
        <w:rPr>
          <w:color w:val="231F20"/>
          <w:spacing w:val="-5"/>
          <w:sz w:val="16"/>
        </w:rPr>
        <w:t> </w:t>
      </w:r>
      <w:r>
        <w:rPr>
          <w:color w:val="231F20"/>
          <w:sz w:val="16"/>
        </w:rPr>
        <w:t>de</w:t>
      </w:r>
      <w:r>
        <w:rPr>
          <w:color w:val="231F20"/>
          <w:spacing w:val="-5"/>
          <w:sz w:val="16"/>
        </w:rPr>
        <w:t> </w:t>
      </w:r>
      <w:r>
        <w:rPr>
          <w:color w:val="231F20"/>
          <w:sz w:val="16"/>
        </w:rPr>
        <w:t>gobierno </w:t>
      </w:r>
      <w:r>
        <w:rPr>
          <w:color w:val="231F20"/>
          <w:w w:val="95"/>
          <w:sz w:val="16"/>
        </w:rPr>
        <w:t>municipal</w:t>
      </w:r>
      <w:r>
        <w:rPr>
          <w:color w:val="231F20"/>
          <w:spacing w:val="31"/>
          <w:w w:val="95"/>
          <w:sz w:val="16"/>
        </w:rPr>
        <w:t> </w:t>
      </w:r>
      <w:r>
        <w:rPr>
          <w:color w:val="231F20"/>
          <w:w w:val="95"/>
          <w:sz w:val="16"/>
        </w:rPr>
        <w:t>2006-2009.</w:t>
      </w:r>
    </w:p>
    <w:p>
      <w:pPr>
        <w:spacing w:after="0" w:line="244" w:lineRule="auto"/>
        <w:jc w:val="left"/>
        <w:rPr>
          <w:sz w:val="16"/>
        </w:rPr>
        <w:sectPr>
          <w:pgSz w:w="9640" w:h="12190"/>
          <w:pgMar w:header="0" w:footer="743" w:top="1120" w:bottom="940" w:left="740" w:right="740"/>
        </w:sectPr>
      </w:pPr>
    </w:p>
    <w:p>
      <w:pPr>
        <w:pStyle w:val="BodyText"/>
        <w:spacing w:before="5"/>
        <w:rPr>
          <w:rFonts w:ascii="Calibri"/>
          <w:sz w:val="9"/>
        </w:rPr>
      </w:pPr>
    </w:p>
    <w:p>
      <w:pPr>
        <w:pStyle w:val="BodyText"/>
        <w:spacing w:line="285" w:lineRule="auto" w:before="50"/>
        <w:ind w:left="110" w:right="108" w:hanging="1"/>
        <w:jc w:val="both"/>
      </w:pPr>
      <w:r>
        <w:rPr>
          <w:color w:val="231F20"/>
          <w:w w:val="105"/>
        </w:rPr>
        <w:t>Durante la administración 2003-2006 que encabezó David Korenfeld</w:t>
      </w:r>
      <w:r>
        <w:rPr>
          <w:color w:val="231F20"/>
          <w:w w:val="105"/>
          <w:position w:val="7"/>
          <w:sz w:val="13"/>
        </w:rPr>
        <w:t>27, </w:t>
      </w:r>
      <w:r>
        <w:rPr>
          <w:color w:val="231F20"/>
          <w:w w:val="105"/>
        </w:rPr>
        <w:t>además de los rubros mencionados, también se invirtió en el sector de referido como </w:t>
      </w:r>
      <w:r>
        <w:rPr>
          <w:color w:val="231F20"/>
          <w:spacing w:val="-4"/>
          <w:w w:val="105"/>
        </w:rPr>
        <w:t>“obra </w:t>
      </w:r>
      <w:r>
        <w:rPr>
          <w:color w:val="231F20"/>
          <w:w w:val="105"/>
        </w:rPr>
        <w:t>social” o de </w:t>
      </w:r>
      <w:r>
        <w:rPr>
          <w:color w:val="231F20"/>
          <w:spacing w:val="-4"/>
          <w:w w:val="105"/>
        </w:rPr>
        <w:t>“apoyo </w:t>
      </w:r>
      <w:r>
        <w:rPr>
          <w:color w:val="231F20"/>
          <w:w w:val="105"/>
        </w:rPr>
        <w:t>comunitario” que consistieron principalmente en la construcción de centros comunitarios y deportivos, así como módulos de policía y oficinas municipales. Otro de los rubros que registró un fuerte incremento fue el de la seguridad pública como consecuencia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instalación</w:t>
      </w:r>
      <w:r>
        <w:rPr>
          <w:color w:val="231F20"/>
          <w:spacing w:val="-12"/>
          <w:w w:val="105"/>
        </w:rPr>
        <w:t> </w:t>
      </w:r>
      <w:r>
        <w:rPr>
          <w:color w:val="231F20"/>
          <w:w w:val="105"/>
        </w:rPr>
        <w:t>del</w:t>
      </w:r>
      <w:r>
        <w:rPr>
          <w:color w:val="231F20"/>
          <w:spacing w:val="-12"/>
          <w:w w:val="105"/>
        </w:rPr>
        <w:t> </w:t>
      </w:r>
      <w:r>
        <w:rPr>
          <w:color w:val="231F20"/>
          <w:w w:val="105"/>
        </w:rPr>
        <w:t>Sistema</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spacing w:val="-3"/>
          <w:w w:val="105"/>
        </w:rPr>
        <w:t>Tecnología</w:t>
      </w:r>
      <w:r>
        <w:rPr>
          <w:color w:val="231F20"/>
          <w:spacing w:val="-12"/>
          <w:w w:val="105"/>
        </w:rPr>
        <w:t> </w:t>
      </w:r>
      <w:r>
        <w:rPr>
          <w:color w:val="231F20"/>
          <w:w w:val="105"/>
        </w:rPr>
        <w:t>Policíaca</w:t>
      </w:r>
      <w:r>
        <w:rPr>
          <w:color w:val="231F20"/>
          <w:spacing w:val="-12"/>
          <w:w w:val="105"/>
        </w:rPr>
        <w:t> </w:t>
      </w:r>
      <w:r>
        <w:rPr>
          <w:color w:val="231F20"/>
          <w:spacing w:val="-4"/>
          <w:w w:val="105"/>
        </w:rPr>
        <w:t>(SMTP), </w:t>
      </w:r>
      <w:r>
        <w:rPr>
          <w:color w:val="231F20"/>
          <w:w w:val="105"/>
        </w:rPr>
        <w:t>sistema</w:t>
      </w:r>
      <w:r>
        <w:rPr>
          <w:color w:val="231F20"/>
          <w:spacing w:val="-20"/>
          <w:w w:val="105"/>
        </w:rPr>
        <w:t> </w:t>
      </w:r>
      <w:r>
        <w:rPr>
          <w:color w:val="231F20"/>
          <w:w w:val="105"/>
        </w:rPr>
        <w:t>de</w:t>
      </w:r>
      <w:r>
        <w:rPr>
          <w:color w:val="231F20"/>
          <w:spacing w:val="-20"/>
          <w:w w:val="105"/>
        </w:rPr>
        <w:t> </w:t>
      </w:r>
      <w:r>
        <w:rPr>
          <w:color w:val="231F20"/>
          <w:w w:val="105"/>
        </w:rPr>
        <w:t>vigilancia</w:t>
      </w:r>
      <w:r>
        <w:rPr>
          <w:color w:val="231F20"/>
          <w:spacing w:val="-20"/>
          <w:w w:val="105"/>
        </w:rPr>
        <w:t> </w:t>
      </w:r>
      <w:r>
        <w:rPr>
          <w:color w:val="231F20"/>
          <w:w w:val="105"/>
        </w:rPr>
        <w:t>basado</w:t>
      </w:r>
      <w:r>
        <w:rPr>
          <w:color w:val="231F20"/>
          <w:spacing w:val="-20"/>
          <w:w w:val="105"/>
        </w:rPr>
        <w:t> </w:t>
      </w:r>
      <w:r>
        <w:rPr>
          <w:color w:val="231F20"/>
          <w:w w:val="105"/>
        </w:rPr>
        <w:t>en</w:t>
      </w:r>
      <w:r>
        <w:rPr>
          <w:color w:val="231F20"/>
          <w:spacing w:val="-20"/>
          <w:w w:val="105"/>
        </w:rPr>
        <w:t> </w:t>
      </w:r>
      <w:r>
        <w:rPr>
          <w:color w:val="231F20"/>
          <w:w w:val="105"/>
        </w:rPr>
        <w:t>43</w:t>
      </w:r>
      <w:r>
        <w:rPr>
          <w:color w:val="231F20"/>
          <w:spacing w:val="-20"/>
          <w:w w:val="105"/>
        </w:rPr>
        <w:t> </w:t>
      </w:r>
      <w:r>
        <w:rPr>
          <w:color w:val="231F20"/>
          <w:w w:val="105"/>
        </w:rPr>
        <w:t>cámaras</w:t>
      </w:r>
      <w:r>
        <w:rPr>
          <w:color w:val="231F20"/>
          <w:spacing w:val="-20"/>
          <w:w w:val="105"/>
        </w:rPr>
        <w:t> </w:t>
      </w:r>
      <w:r>
        <w:rPr>
          <w:color w:val="231F20"/>
          <w:w w:val="105"/>
        </w:rPr>
        <w:t>digitales</w:t>
      </w:r>
      <w:r>
        <w:rPr>
          <w:color w:val="231F20"/>
          <w:spacing w:val="-20"/>
          <w:w w:val="105"/>
        </w:rPr>
        <w:t> </w:t>
      </w:r>
      <w:r>
        <w:rPr>
          <w:color w:val="231F20"/>
          <w:w w:val="105"/>
        </w:rPr>
        <w:t>de</w:t>
      </w:r>
      <w:r>
        <w:rPr>
          <w:color w:val="231F20"/>
          <w:spacing w:val="-20"/>
          <w:w w:val="105"/>
        </w:rPr>
        <w:t> </w:t>
      </w:r>
      <w:r>
        <w:rPr>
          <w:color w:val="231F20"/>
          <w:w w:val="105"/>
        </w:rPr>
        <w:t>circuito</w:t>
      </w:r>
      <w:r>
        <w:rPr>
          <w:color w:val="231F20"/>
          <w:spacing w:val="-20"/>
          <w:w w:val="105"/>
        </w:rPr>
        <w:t> </w:t>
      </w:r>
      <w:r>
        <w:rPr>
          <w:color w:val="231F20"/>
          <w:w w:val="105"/>
        </w:rPr>
        <w:t>cerrado</w:t>
      </w:r>
      <w:r>
        <w:rPr>
          <w:color w:val="231F20"/>
          <w:spacing w:val="-20"/>
          <w:w w:val="105"/>
        </w:rPr>
        <w:t> </w:t>
      </w:r>
      <w:r>
        <w:rPr>
          <w:color w:val="231F20"/>
          <w:w w:val="105"/>
        </w:rPr>
        <w:t>que</w:t>
      </w:r>
      <w:r>
        <w:rPr>
          <w:color w:val="231F20"/>
          <w:spacing w:val="-20"/>
          <w:w w:val="105"/>
        </w:rPr>
        <w:t> </w:t>
      </w:r>
      <w:r>
        <w:rPr>
          <w:color w:val="231F20"/>
          <w:w w:val="105"/>
        </w:rPr>
        <w:t>tuvieron</w:t>
      </w:r>
      <w:r>
        <w:rPr>
          <w:color w:val="231F20"/>
          <w:spacing w:val="-20"/>
          <w:w w:val="105"/>
        </w:rPr>
        <w:t> </w:t>
      </w:r>
      <w:r>
        <w:rPr>
          <w:color w:val="231F20"/>
          <w:w w:val="105"/>
        </w:rPr>
        <w:t>un costo</w:t>
      </w:r>
      <w:r>
        <w:rPr>
          <w:color w:val="231F20"/>
          <w:spacing w:val="-33"/>
          <w:w w:val="105"/>
        </w:rPr>
        <w:t> </w:t>
      </w:r>
      <w:r>
        <w:rPr>
          <w:color w:val="231F20"/>
          <w:w w:val="105"/>
        </w:rPr>
        <w:t>superior</w:t>
      </w:r>
      <w:r>
        <w:rPr>
          <w:color w:val="231F20"/>
          <w:spacing w:val="-33"/>
          <w:w w:val="105"/>
        </w:rPr>
        <w:t> </w:t>
      </w:r>
      <w:r>
        <w:rPr>
          <w:color w:val="231F20"/>
          <w:w w:val="105"/>
        </w:rPr>
        <w:t>a</w:t>
      </w:r>
      <w:r>
        <w:rPr>
          <w:color w:val="231F20"/>
          <w:spacing w:val="-33"/>
          <w:w w:val="105"/>
        </w:rPr>
        <w:t> </w:t>
      </w:r>
      <w:r>
        <w:rPr>
          <w:color w:val="231F20"/>
          <w:w w:val="105"/>
        </w:rPr>
        <w:t>los</w:t>
      </w:r>
      <w:r>
        <w:rPr>
          <w:color w:val="231F20"/>
          <w:spacing w:val="-33"/>
          <w:w w:val="105"/>
        </w:rPr>
        <w:t> </w:t>
      </w:r>
      <w:r>
        <w:rPr>
          <w:color w:val="231F20"/>
          <w:w w:val="105"/>
        </w:rPr>
        <w:t>100</w:t>
      </w:r>
      <w:r>
        <w:rPr>
          <w:color w:val="231F20"/>
          <w:spacing w:val="-33"/>
          <w:w w:val="105"/>
        </w:rPr>
        <w:t> </w:t>
      </w:r>
      <w:r>
        <w:rPr>
          <w:color w:val="231F20"/>
          <w:w w:val="105"/>
        </w:rPr>
        <w:t>millones</w:t>
      </w:r>
      <w:r>
        <w:rPr>
          <w:color w:val="231F20"/>
          <w:spacing w:val="-33"/>
          <w:w w:val="105"/>
        </w:rPr>
        <w:t> </w:t>
      </w:r>
      <w:r>
        <w:rPr>
          <w:color w:val="231F20"/>
          <w:w w:val="105"/>
        </w:rPr>
        <w:t>de</w:t>
      </w:r>
      <w:r>
        <w:rPr>
          <w:color w:val="231F20"/>
          <w:spacing w:val="-33"/>
          <w:w w:val="105"/>
        </w:rPr>
        <w:t> </w:t>
      </w:r>
      <w:r>
        <w:rPr>
          <w:color w:val="231F20"/>
          <w:w w:val="105"/>
        </w:rPr>
        <w:t>pesos</w:t>
      </w:r>
      <w:r>
        <w:rPr>
          <w:color w:val="231F20"/>
          <w:spacing w:val="-33"/>
          <w:w w:val="105"/>
        </w:rPr>
        <w:t> </w:t>
      </w:r>
      <w:r>
        <w:rPr>
          <w:color w:val="231F20"/>
          <w:w w:val="105"/>
        </w:rPr>
        <w:t>(KORENFELD,</w:t>
      </w:r>
      <w:r>
        <w:rPr>
          <w:color w:val="231F20"/>
          <w:spacing w:val="-33"/>
          <w:w w:val="105"/>
        </w:rPr>
        <w:t> </w:t>
      </w:r>
      <w:r>
        <w:rPr>
          <w:color w:val="231F20"/>
          <w:w w:val="105"/>
        </w:rPr>
        <w:t>2004:35).</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22"/>
          <w:w w:val="105"/>
        </w:rPr>
        <w:t> </w:t>
      </w:r>
      <w:r>
        <w:rPr>
          <w:color w:val="231F20"/>
          <w:w w:val="105"/>
        </w:rPr>
        <w:t>su</w:t>
      </w:r>
      <w:r>
        <w:rPr>
          <w:color w:val="231F20"/>
          <w:spacing w:val="-22"/>
          <w:w w:val="105"/>
        </w:rPr>
        <w:t> </w:t>
      </w:r>
      <w:r>
        <w:rPr>
          <w:color w:val="231F20"/>
          <w:w w:val="105"/>
        </w:rPr>
        <w:t>parte,</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gobierno</w:t>
      </w:r>
      <w:r>
        <w:rPr>
          <w:color w:val="231F20"/>
          <w:spacing w:val="-22"/>
          <w:w w:val="105"/>
        </w:rPr>
        <w:t> </w:t>
      </w:r>
      <w:r>
        <w:rPr>
          <w:color w:val="231F20"/>
          <w:w w:val="105"/>
        </w:rPr>
        <w:t>2006-2009,</w:t>
      </w:r>
      <w:r>
        <w:rPr>
          <w:color w:val="231F20"/>
          <w:spacing w:val="-22"/>
          <w:w w:val="105"/>
        </w:rPr>
        <w:t> </w:t>
      </w:r>
      <w:r>
        <w:rPr>
          <w:color w:val="231F20"/>
          <w:w w:val="105"/>
        </w:rPr>
        <w:t>dirigido</w:t>
      </w:r>
      <w:r>
        <w:rPr>
          <w:color w:val="231F20"/>
          <w:spacing w:val="-22"/>
          <w:w w:val="105"/>
        </w:rPr>
        <w:t> </w:t>
      </w:r>
      <w:r>
        <w:rPr>
          <w:color w:val="231F20"/>
          <w:w w:val="105"/>
        </w:rPr>
        <w:t>por</w:t>
      </w:r>
      <w:r>
        <w:rPr>
          <w:color w:val="231F20"/>
          <w:spacing w:val="-22"/>
          <w:w w:val="105"/>
        </w:rPr>
        <w:t> </w:t>
      </w:r>
      <w:r>
        <w:rPr>
          <w:color w:val="231F20"/>
          <w:w w:val="105"/>
        </w:rPr>
        <w:t>Adrián</w:t>
      </w:r>
      <w:r>
        <w:rPr>
          <w:color w:val="231F20"/>
          <w:spacing w:val="-22"/>
          <w:w w:val="105"/>
        </w:rPr>
        <w:t> </w:t>
      </w:r>
      <w:r>
        <w:rPr>
          <w:color w:val="231F20"/>
          <w:w w:val="105"/>
        </w:rPr>
        <w:t>Fuentes28,</w:t>
      </w:r>
      <w:r>
        <w:rPr>
          <w:color w:val="231F20"/>
          <w:spacing w:val="-22"/>
          <w:w w:val="105"/>
        </w:rPr>
        <w:t> </w:t>
      </w:r>
      <w:r>
        <w:rPr>
          <w:color w:val="231F20"/>
          <w:w w:val="105"/>
        </w:rPr>
        <w:t>la</w:t>
      </w:r>
      <w:r>
        <w:rPr>
          <w:color w:val="231F20"/>
          <w:spacing w:val="-22"/>
          <w:w w:val="105"/>
        </w:rPr>
        <w:t> </w:t>
      </w:r>
      <w:r>
        <w:rPr>
          <w:color w:val="231F20"/>
          <w:w w:val="105"/>
        </w:rPr>
        <w:t>obra</w:t>
      </w:r>
      <w:r>
        <w:rPr>
          <w:color w:val="231F20"/>
          <w:spacing w:val="-22"/>
          <w:w w:val="105"/>
        </w:rPr>
        <w:t> </w:t>
      </w:r>
      <w:r>
        <w:rPr>
          <w:color w:val="231F20"/>
          <w:w w:val="105"/>
        </w:rPr>
        <w:t>social</w:t>
      </w:r>
      <w:r>
        <w:rPr>
          <w:color w:val="231F20"/>
          <w:spacing w:val="-22"/>
          <w:w w:val="105"/>
        </w:rPr>
        <w:t> </w:t>
      </w:r>
      <w:r>
        <w:rPr>
          <w:color w:val="231F20"/>
          <w:w w:val="105"/>
        </w:rPr>
        <w:t>fue un rubro relevante de inversión durante el primer año, sin embargo hacia finales de la administración</w:t>
      </w:r>
      <w:r>
        <w:rPr>
          <w:color w:val="231F20"/>
          <w:spacing w:val="-4"/>
          <w:w w:val="105"/>
        </w:rPr>
        <w:t> </w:t>
      </w:r>
      <w:r>
        <w:rPr>
          <w:color w:val="231F20"/>
          <w:w w:val="105"/>
        </w:rPr>
        <w:t>el</w:t>
      </w:r>
      <w:r>
        <w:rPr>
          <w:color w:val="231F20"/>
          <w:spacing w:val="-4"/>
          <w:w w:val="105"/>
        </w:rPr>
        <w:t> </w:t>
      </w:r>
      <w:r>
        <w:rPr>
          <w:color w:val="231F20"/>
          <w:w w:val="105"/>
        </w:rPr>
        <w:t>gasto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obra</w:t>
      </w:r>
      <w:r>
        <w:rPr>
          <w:color w:val="231F20"/>
          <w:spacing w:val="-4"/>
          <w:w w:val="105"/>
        </w:rPr>
        <w:t> </w:t>
      </w:r>
      <w:r>
        <w:rPr>
          <w:color w:val="231F20"/>
          <w:w w:val="105"/>
        </w:rPr>
        <w:t>pública</w:t>
      </w:r>
      <w:r>
        <w:rPr>
          <w:color w:val="231F20"/>
          <w:spacing w:val="-4"/>
          <w:w w:val="105"/>
        </w:rPr>
        <w:t> </w:t>
      </w:r>
      <w:r>
        <w:rPr>
          <w:color w:val="231F20"/>
          <w:w w:val="105"/>
        </w:rPr>
        <w:t>orientaba</w:t>
      </w:r>
      <w:r>
        <w:rPr>
          <w:color w:val="231F20"/>
          <w:spacing w:val="-4"/>
          <w:w w:val="105"/>
        </w:rPr>
        <w:t> </w:t>
      </w:r>
      <w:r>
        <w:rPr>
          <w:color w:val="231F20"/>
          <w:w w:val="105"/>
        </w:rPr>
        <w:t>a</w:t>
      </w:r>
      <w:r>
        <w:rPr>
          <w:color w:val="231F20"/>
          <w:spacing w:val="-4"/>
          <w:w w:val="105"/>
        </w:rPr>
        <w:t> </w:t>
      </w:r>
      <w:r>
        <w:rPr>
          <w:color w:val="231F20"/>
          <w:w w:val="105"/>
        </w:rPr>
        <w:t>las</w:t>
      </w:r>
      <w:r>
        <w:rPr>
          <w:color w:val="231F20"/>
          <w:spacing w:val="-4"/>
          <w:w w:val="105"/>
        </w:rPr>
        <w:t> </w:t>
      </w:r>
      <w:r>
        <w:rPr>
          <w:color w:val="231F20"/>
          <w:w w:val="105"/>
        </w:rPr>
        <w:t>vialidades</w:t>
      </w:r>
      <w:r>
        <w:rPr>
          <w:color w:val="231F20"/>
          <w:spacing w:val="-4"/>
          <w:w w:val="105"/>
        </w:rPr>
        <w:t> </w:t>
      </w:r>
      <w:r>
        <w:rPr>
          <w:color w:val="231F20"/>
          <w:w w:val="105"/>
        </w:rPr>
        <w:t>del</w:t>
      </w:r>
      <w:r>
        <w:rPr>
          <w:color w:val="231F20"/>
          <w:spacing w:val="-4"/>
          <w:w w:val="105"/>
        </w:rPr>
        <w:t> </w:t>
      </w:r>
      <w:r>
        <w:rPr>
          <w:color w:val="231F20"/>
          <w:w w:val="105"/>
        </w:rPr>
        <w:t>municipio.</w:t>
      </w:r>
      <w:r>
        <w:rPr>
          <w:color w:val="231F20"/>
          <w:spacing w:val="-4"/>
          <w:w w:val="105"/>
        </w:rPr>
        <w:t> </w:t>
      </w:r>
      <w:r>
        <w:rPr>
          <w:color w:val="231F20"/>
          <w:w w:val="105"/>
        </w:rPr>
        <w:t>En el año </w:t>
      </w:r>
      <w:r>
        <w:rPr>
          <w:color w:val="231F20"/>
          <w:spacing w:val="3"/>
          <w:w w:val="105"/>
        </w:rPr>
        <w:t>2008 </w:t>
      </w:r>
      <w:r>
        <w:rPr>
          <w:color w:val="231F20"/>
          <w:w w:val="105"/>
        </w:rPr>
        <w:t>se invirtieron un poco más de 129 millones de pesos en la pavimentación de</w:t>
      </w:r>
      <w:r>
        <w:rPr>
          <w:color w:val="231F20"/>
          <w:spacing w:val="-15"/>
          <w:w w:val="105"/>
        </w:rPr>
        <w:t> </w:t>
      </w:r>
      <w:r>
        <w:rPr>
          <w:color w:val="231F20"/>
          <w:w w:val="105"/>
        </w:rPr>
        <w:t>numerosas</w:t>
      </w:r>
      <w:r>
        <w:rPr>
          <w:color w:val="231F20"/>
          <w:spacing w:val="-15"/>
          <w:w w:val="105"/>
        </w:rPr>
        <w:t> </w:t>
      </w:r>
      <w:r>
        <w:rPr>
          <w:color w:val="231F20"/>
          <w:w w:val="105"/>
        </w:rPr>
        <w:t>calles,</w:t>
      </w:r>
      <w:r>
        <w:rPr>
          <w:color w:val="231F20"/>
          <w:spacing w:val="-15"/>
          <w:w w:val="105"/>
        </w:rPr>
        <w:t> </w:t>
      </w:r>
      <w:r>
        <w:rPr>
          <w:color w:val="231F20"/>
          <w:w w:val="105"/>
        </w:rPr>
        <w:t>avenidas</w:t>
      </w:r>
      <w:r>
        <w:rPr>
          <w:color w:val="231F20"/>
          <w:spacing w:val="-15"/>
          <w:w w:val="105"/>
        </w:rPr>
        <w:t> </w:t>
      </w:r>
      <w:r>
        <w:rPr>
          <w:color w:val="231F20"/>
          <w:w w:val="105"/>
        </w:rPr>
        <w:t>y</w:t>
      </w:r>
      <w:r>
        <w:rPr>
          <w:color w:val="231F20"/>
          <w:spacing w:val="-15"/>
          <w:w w:val="105"/>
        </w:rPr>
        <w:t> </w:t>
      </w:r>
      <w:r>
        <w:rPr>
          <w:color w:val="231F20"/>
          <w:w w:val="105"/>
        </w:rPr>
        <w:t>caminos;</w:t>
      </w:r>
      <w:r>
        <w:rPr>
          <w:color w:val="231F20"/>
          <w:spacing w:val="-15"/>
          <w:w w:val="105"/>
        </w:rPr>
        <w:t> </w:t>
      </w:r>
      <w:r>
        <w:rPr>
          <w:color w:val="231F20"/>
          <w:w w:val="105"/>
        </w:rPr>
        <w:t>el</w:t>
      </w:r>
      <w:r>
        <w:rPr>
          <w:color w:val="231F20"/>
          <w:spacing w:val="-15"/>
          <w:w w:val="105"/>
        </w:rPr>
        <w:t> </w:t>
      </w:r>
      <w:r>
        <w:rPr>
          <w:color w:val="231F20"/>
          <w:w w:val="105"/>
        </w:rPr>
        <w:t>alcalde</w:t>
      </w:r>
      <w:r>
        <w:rPr>
          <w:color w:val="231F20"/>
          <w:spacing w:val="-15"/>
          <w:w w:val="105"/>
        </w:rPr>
        <w:t> </w:t>
      </w:r>
      <w:r>
        <w:rPr>
          <w:color w:val="231F20"/>
          <w:w w:val="105"/>
        </w:rPr>
        <w:t>resalta</w:t>
      </w:r>
      <w:r>
        <w:rPr>
          <w:color w:val="231F20"/>
          <w:spacing w:val="-15"/>
          <w:w w:val="105"/>
        </w:rPr>
        <w:t> </w:t>
      </w:r>
      <w:r>
        <w:rPr>
          <w:color w:val="231F20"/>
          <w:w w:val="105"/>
        </w:rPr>
        <w:t>dicho</w:t>
      </w:r>
      <w:r>
        <w:rPr>
          <w:color w:val="231F20"/>
          <w:spacing w:val="-15"/>
          <w:w w:val="105"/>
        </w:rPr>
        <w:t> </w:t>
      </w:r>
      <w:r>
        <w:rPr>
          <w:color w:val="231F20"/>
          <w:w w:val="105"/>
        </w:rPr>
        <w:t>gasto</w:t>
      </w:r>
      <w:r>
        <w:rPr>
          <w:color w:val="231F20"/>
          <w:spacing w:val="-15"/>
          <w:w w:val="105"/>
        </w:rPr>
        <w:t> </w:t>
      </w:r>
      <w:r>
        <w:rPr>
          <w:color w:val="231F20"/>
          <w:w w:val="105"/>
        </w:rPr>
        <w:t>como</w:t>
      </w:r>
      <w:r>
        <w:rPr>
          <w:color w:val="231F20"/>
          <w:spacing w:val="-15"/>
          <w:w w:val="105"/>
        </w:rPr>
        <w:t> </w:t>
      </w:r>
      <w:r>
        <w:rPr>
          <w:color w:val="231F20"/>
          <w:spacing w:val="2"/>
          <w:w w:val="105"/>
        </w:rPr>
        <w:t>“la</w:t>
      </w:r>
      <w:r>
        <w:rPr>
          <w:color w:val="231F20"/>
          <w:spacing w:val="-15"/>
          <w:w w:val="105"/>
        </w:rPr>
        <w:t> </w:t>
      </w:r>
      <w:r>
        <w:rPr>
          <w:color w:val="231F20"/>
          <w:w w:val="105"/>
        </w:rPr>
        <w:t>mayor inversión</w:t>
      </w:r>
      <w:r>
        <w:rPr>
          <w:color w:val="231F20"/>
          <w:spacing w:val="-36"/>
          <w:w w:val="105"/>
        </w:rPr>
        <w:t> </w:t>
      </w:r>
      <w:r>
        <w:rPr>
          <w:color w:val="231F20"/>
          <w:w w:val="105"/>
        </w:rPr>
        <w:t>en</w:t>
      </w:r>
      <w:r>
        <w:rPr>
          <w:color w:val="231F20"/>
          <w:spacing w:val="-36"/>
          <w:w w:val="105"/>
        </w:rPr>
        <w:t> </w:t>
      </w:r>
      <w:r>
        <w:rPr>
          <w:color w:val="231F20"/>
          <w:w w:val="105"/>
        </w:rPr>
        <w:t>vialidades</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w w:val="105"/>
        </w:rPr>
        <w:t>historia”</w:t>
      </w:r>
      <w:r>
        <w:rPr>
          <w:color w:val="231F20"/>
          <w:spacing w:val="-36"/>
          <w:w w:val="105"/>
        </w:rPr>
        <w:t> </w:t>
      </w:r>
      <w:r>
        <w:rPr>
          <w:color w:val="231F20"/>
          <w:w w:val="105"/>
        </w:rPr>
        <w:t>(FUENTES,</w:t>
      </w:r>
      <w:r>
        <w:rPr>
          <w:color w:val="231F20"/>
          <w:spacing w:val="-36"/>
          <w:w w:val="105"/>
        </w:rPr>
        <w:t> </w:t>
      </w:r>
      <w:r>
        <w:rPr>
          <w:color w:val="231F20"/>
          <w:w w:val="105"/>
        </w:rPr>
        <w:t>2007:35).</w:t>
      </w:r>
    </w:p>
    <w:p>
      <w:pPr>
        <w:pStyle w:val="BodyText"/>
        <w:spacing w:before="1"/>
        <w:rPr>
          <w:sz w:val="26"/>
        </w:rPr>
      </w:pPr>
    </w:p>
    <w:p>
      <w:pPr>
        <w:pStyle w:val="BodyText"/>
        <w:spacing w:line="285" w:lineRule="auto"/>
        <w:ind w:left="110" w:right="107"/>
        <w:jc w:val="both"/>
      </w:pPr>
      <w:r>
        <w:rPr/>
        <w:pict>
          <v:line style="position:absolute;mso-position-horizontal-relative:page;mso-position-vertical-relative:paragraph;z-index:5872;mso-wrap-distance-left:0;mso-wrap-distance-right:0" from="42.519699pt,50.227325pt" to="114.519699pt,50.227325pt" stroked="true" strokeweight="1pt" strokecolor="#231f20">
            <w10:wrap type="topAndBottom"/>
          </v:line>
        </w:pict>
      </w:r>
      <w:r>
        <w:rPr>
          <w:color w:val="231F20"/>
          <w:w w:val="105"/>
        </w:rPr>
        <w:t>A partir de los datos disponibles se puede plantear que la obra pública en ambos go- biernos priístas se ha dirigido a rubros considerados de “impacto” en la percepción de la ciudadanía como es la infraestructura educativa, vialidades y obra social; en menor</w:t>
      </w:r>
    </w:p>
    <w:p>
      <w:pPr>
        <w:pStyle w:val="ListParagraph"/>
        <w:numPr>
          <w:ilvl w:val="0"/>
          <w:numId w:val="4"/>
        </w:numPr>
        <w:tabs>
          <w:tab w:pos="299" w:val="left" w:leader="none"/>
        </w:tabs>
        <w:spacing w:line="244" w:lineRule="auto" w:before="8" w:after="0"/>
        <w:ind w:left="110" w:right="107" w:firstLine="0"/>
        <w:jc w:val="both"/>
        <w:rPr>
          <w:sz w:val="16"/>
        </w:rPr>
      </w:pPr>
      <w:r>
        <w:rPr>
          <w:color w:val="231F20"/>
          <w:sz w:val="16"/>
        </w:rPr>
        <w:t>David</w:t>
      </w:r>
      <w:r>
        <w:rPr>
          <w:color w:val="231F20"/>
          <w:spacing w:val="-10"/>
          <w:sz w:val="16"/>
        </w:rPr>
        <w:t> </w:t>
      </w:r>
      <w:r>
        <w:rPr>
          <w:color w:val="231F20"/>
          <w:sz w:val="16"/>
        </w:rPr>
        <w:t>Korenfeld</w:t>
      </w:r>
      <w:r>
        <w:rPr>
          <w:color w:val="231F20"/>
          <w:spacing w:val="-10"/>
          <w:sz w:val="16"/>
        </w:rPr>
        <w:t> </w:t>
      </w:r>
      <w:r>
        <w:rPr>
          <w:color w:val="231F20"/>
          <w:sz w:val="16"/>
        </w:rPr>
        <w:t>Federman</w:t>
      </w:r>
      <w:r>
        <w:rPr>
          <w:color w:val="231F20"/>
          <w:spacing w:val="-10"/>
          <w:sz w:val="16"/>
        </w:rPr>
        <w:t> </w:t>
      </w:r>
      <w:r>
        <w:rPr>
          <w:color w:val="231F20"/>
          <w:sz w:val="16"/>
        </w:rPr>
        <w:t>cuenta</w:t>
      </w:r>
      <w:r>
        <w:rPr>
          <w:color w:val="231F20"/>
          <w:spacing w:val="-10"/>
          <w:sz w:val="16"/>
        </w:rPr>
        <w:t> </w:t>
      </w:r>
      <w:r>
        <w:rPr>
          <w:color w:val="231F20"/>
          <w:sz w:val="16"/>
        </w:rPr>
        <w:t>con</w:t>
      </w:r>
      <w:r>
        <w:rPr>
          <w:color w:val="231F20"/>
          <w:spacing w:val="-10"/>
          <w:sz w:val="16"/>
        </w:rPr>
        <w:t> </w:t>
      </w:r>
      <w:r>
        <w:rPr>
          <w:color w:val="231F20"/>
          <w:sz w:val="16"/>
        </w:rPr>
        <w:t>una</w:t>
      </w:r>
      <w:r>
        <w:rPr>
          <w:color w:val="231F20"/>
          <w:spacing w:val="-10"/>
          <w:sz w:val="16"/>
        </w:rPr>
        <w:t> </w:t>
      </w:r>
      <w:r>
        <w:rPr>
          <w:color w:val="231F20"/>
          <w:sz w:val="16"/>
        </w:rPr>
        <w:t>carrera</w:t>
      </w:r>
      <w:r>
        <w:rPr>
          <w:color w:val="231F20"/>
          <w:spacing w:val="-10"/>
          <w:sz w:val="16"/>
        </w:rPr>
        <w:t> </w:t>
      </w:r>
      <w:r>
        <w:rPr>
          <w:color w:val="231F20"/>
          <w:sz w:val="16"/>
        </w:rPr>
        <w:t>política</w:t>
      </w:r>
      <w:r>
        <w:rPr>
          <w:color w:val="231F20"/>
          <w:spacing w:val="-10"/>
          <w:sz w:val="16"/>
        </w:rPr>
        <w:t> </w:t>
      </w:r>
      <w:r>
        <w:rPr>
          <w:color w:val="231F20"/>
          <w:sz w:val="16"/>
        </w:rPr>
        <w:t>previa</w:t>
      </w:r>
      <w:r>
        <w:rPr>
          <w:color w:val="231F20"/>
          <w:spacing w:val="-10"/>
          <w:sz w:val="16"/>
        </w:rPr>
        <w:t> </w:t>
      </w:r>
      <w:r>
        <w:rPr>
          <w:color w:val="231F20"/>
          <w:sz w:val="16"/>
        </w:rPr>
        <w:t>relativamente</w:t>
      </w:r>
      <w:r>
        <w:rPr>
          <w:color w:val="231F20"/>
          <w:spacing w:val="-10"/>
          <w:sz w:val="16"/>
        </w:rPr>
        <w:t> </w:t>
      </w:r>
      <w:r>
        <w:rPr>
          <w:color w:val="231F20"/>
          <w:sz w:val="16"/>
        </w:rPr>
        <w:t>reciente.</w:t>
      </w:r>
      <w:r>
        <w:rPr>
          <w:color w:val="231F20"/>
          <w:spacing w:val="-10"/>
          <w:sz w:val="16"/>
        </w:rPr>
        <w:t> </w:t>
      </w:r>
      <w:r>
        <w:rPr>
          <w:color w:val="231F20"/>
          <w:sz w:val="16"/>
        </w:rPr>
        <w:t>Su</w:t>
      </w:r>
      <w:r>
        <w:rPr>
          <w:color w:val="231F20"/>
          <w:spacing w:val="-10"/>
          <w:sz w:val="16"/>
        </w:rPr>
        <w:t> </w:t>
      </w:r>
      <w:r>
        <w:rPr>
          <w:color w:val="231F20"/>
          <w:sz w:val="16"/>
        </w:rPr>
        <w:t>primer</w:t>
      </w:r>
      <w:r>
        <w:rPr>
          <w:color w:val="231F20"/>
          <w:spacing w:val="-10"/>
          <w:sz w:val="16"/>
        </w:rPr>
        <w:t> </w:t>
      </w:r>
      <w:r>
        <w:rPr>
          <w:color w:val="231F20"/>
          <w:sz w:val="16"/>
        </w:rPr>
        <w:t>cargo</w:t>
      </w:r>
      <w:r>
        <w:rPr>
          <w:color w:val="231F20"/>
          <w:spacing w:val="-10"/>
          <w:sz w:val="16"/>
        </w:rPr>
        <w:t> </w:t>
      </w:r>
      <w:r>
        <w:rPr>
          <w:color w:val="231F20"/>
          <w:sz w:val="16"/>
        </w:rPr>
        <w:t>público</w:t>
      </w:r>
      <w:r>
        <w:rPr>
          <w:color w:val="231F20"/>
          <w:spacing w:val="-10"/>
          <w:sz w:val="16"/>
        </w:rPr>
        <w:t> </w:t>
      </w:r>
      <w:r>
        <w:rPr>
          <w:color w:val="231F20"/>
          <w:sz w:val="16"/>
        </w:rPr>
        <w:t>lo</w:t>
      </w:r>
      <w:r>
        <w:rPr>
          <w:color w:val="231F20"/>
          <w:spacing w:val="-10"/>
          <w:sz w:val="16"/>
        </w:rPr>
        <w:t> </w:t>
      </w:r>
      <w:r>
        <w:rPr>
          <w:color w:val="231F20"/>
          <w:sz w:val="16"/>
        </w:rPr>
        <w:t>ejer- ció</w:t>
      </w:r>
      <w:r>
        <w:rPr>
          <w:color w:val="231F20"/>
          <w:spacing w:val="-12"/>
          <w:sz w:val="16"/>
        </w:rPr>
        <w:t> </w:t>
      </w:r>
      <w:r>
        <w:rPr>
          <w:color w:val="231F20"/>
          <w:sz w:val="16"/>
        </w:rPr>
        <w:t>como</w:t>
      </w:r>
      <w:r>
        <w:rPr>
          <w:color w:val="231F20"/>
          <w:spacing w:val="-12"/>
          <w:sz w:val="16"/>
        </w:rPr>
        <w:t> </w:t>
      </w:r>
      <w:r>
        <w:rPr>
          <w:color w:val="231F20"/>
          <w:sz w:val="16"/>
        </w:rPr>
        <w:t>cuarto</w:t>
      </w:r>
      <w:r>
        <w:rPr>
          <w:color w:val="231F20"/>
          <w:spacing w:val="-12"/>
          <w:sz w:val="16"/>
        </w:rPr>
        <w:t> </w:t>
      </w:r>
      <w:r>
        <w:rPr>
          <w:color w:val="231F20"/>
          <w:sz w:val="16"/>
        </w:rPr>
        <w:t>regidor</w:t>
      </w:r>
      <w:r>
        <w:rPr>
          <w:color w:val="231F20"/>
          <w:spacing w:val="-12"/>
          <w:sz w:val="16"/>
        </w:rPr>
        <w:t> </w:t>
      </w:r>
      <w:r>
        <w:rPr>
          <w:color w:val="231F20"/>
          <w:sz w:val="16"/>
        </w:rPr>
        <w:t>en</w:t>
      </w:r>
      <w:r>
        <w:rPr>
          <w:color w:val="231F20"/>
          <w:spacing w:val="-12"/>
          <w:sz w:val="16"/>
        </w:rPr>
        <w:t> </w:t>
      </w:r>
      <w:r>
        <w:rPr>
          <w:color w:val="231F20"/>
          <w:sz w:val="16"/>
        </w:rPr>
        <w:t>el</w:t>
      </w:r>
      <w:r>
        <w:rPr>
          <w:color w:val="231F20"/>
          <w:spacing w:val="-12"/>
          <w:sz w:val="16"/>
        </w:rPr>
        <w:t> </w:t>
      </w:r>
      <w:r>
        <w:rPr>
          <w:color w:val="231F20"/>
          <w:sz w:val="16"/>
        </w:rPr>
        <w:t>ayuntamiento</w:t>
      </w:r>
      <w:r>
        <w:rPr>
          <w:color w:val="231F20"/>
          <w:spacing w:val="-12"/>
          <w:sz w:val="16"/>
        </w:rPr>
        <w:t> </w:t>
      </w:r>
      <w:r>
        <w:rPr>
          <w:color w:val="231F20"/>
          <w:sz w:val="16"/>
        </w:rPr>
        <w:t>huixquiluquense</w:t>
      </w:r>
      <w:r>
        <w:rPr>
          <w:color w:val="231F20"/>
          <w:spacing w:val="-12"/>
          <w:sz w:val="16"/>
        </w:rPr>
        <w:t> </w:t>
      </w:r>
      <w:r>
        <w:rPr>
          <w:color w:val="231F20"/>
          <w:sz w:val="16"/>
        </w:rPr>
        <w:t>durante</w:t>
      </w:r>
      <w:r>
        <w:rPr>
          <w:color w:val="231F20"/>
          <w:spacing w:val="-12"/>
          <w:sz w:val="16"/>
        </w:rPr>
        <w:t> </w:t>
      </w:r>
      <w:r>
        <w:rPr>
          <w:color w:val="231F20"/>
          <w:sz w:val="16"/>
        </w:rPr>
        <w:t>el</w:t>
      </w:r>
      <w:r>
        <w:rPr>
          <w:color w:val="231F20"/>
          <w:spacing w:val="-12"/>
          <w:sz w:val="16"/>
        </w:rPr>
        <w:t> </w:t>
      </w:r>
      <w:r>
        <w:rPr>
          <w:color w:val="231F20"/>
          <w:sz w:val="16"/>
        </w:rPr>
        <w:t>periodo</w:t>
      </w:r>
      <w:r>
        <w:rPr>
          <w:color w:val="231F20"/>
          <w:spacing w:val="-12"/>
          <w:sz w:val="16"/>
        </w:rPr>
        <w:t> </w:t>
      </w:r>
      <w:r>
        <w:rPr>
          <w:color w:val="231F20"/>
          <w:sz w:val="16"/>
        </w:rPr>
        <w:t>1998-2000;</w:t>
      </w:r>
      <w:r>
        <w:rPr>
          <w:color w:val="231F20"/>
          <w:spacing w:val="-12"/>
          <w:sz w:val="16"/>
        </w:rPr>
        <w:t> </w:t>
      </w:r>
      <w:r>
        <w:rPr>
          <w:color w:val="231F20"/>
          <w:sz w:val="16"/>
        </w:rPr>
        <w:t>posteriormente</w:t>
      </w:r>
      <w:r>
        <w:rPr>
          <w:color w:val="231F20"/>
          <w:spacing w:val="-12"/>
          <w:sz w:val="16"/>
        </w:rPr>
        <w:t> </w:t>
      </w:r>
      <w:r>
        <w:rPr>
          <w:color w:val="231F20"/>
          <w:sz w:val="16"/>
        </w:rPr>
        <w:t>formó</w:t>
      </w:r>
      <w:r>
        <w:rPr>
          <w:color w:val="231F20"/>
          <w:spacing w:val="-12"/>
          <w:sz w:val="16"/>
        </w:rPr>
        <w:t> </w:t>
      </w:r>
      <w:r>
        <w:rPr>
          <w:color w:val="231F20"/>
          <w:sz w:val="16"/>
        </w:rPr>
        <w:t>parte</w:t>
      </w:r>
      <w:r>
        <w:rPr>
          <w:color w:val="231F20"/>
          <w:spacing w:val="-12"/>
          <w:sz w:val="16"/>
        </w:rPr>
        <w:t> </w:t>
      </w:r>
      <w:r>
        <w:rPr>
          <w:color w:val="231F20"/>
          <w:sz w:val="16"/>
        </w:rPr>
        <w:t>de la</w:t>
      </w:r>
      <w:r>
        <w:rPr>
          <w:color w:val="231F20"/>
          <w:spacing w:val="-11"/>
          <w:sz w:val="16"/>
        </w:rPr>
        <w:t> </w:t>
      </w:r>
      <w:r>
        <w:rPr>
          <w:color w:val="231F20"/>
          <w:sz w:val="16"/>
        </w:rPr>
        <w:t>administración</w:t>
      </w:r>
      <w:r>
        <w:rPr>
          <w:color w:val="231F20"/>
          <w:spacing w:val="-11"/>
          <w:sz w:val="16"/>
        </w:rPr>
        <w:t> </w:t>
      </w:r>
      <w:r>
        <w:rPr>
          <w:color w:val="231F20"/>
          <w:sz w:val="16"/>
        </w:rPr>
        <w:t>pública</w:t>
      </w:r>
      <w:r>
        <w:rPr>
          <w:color w:val="231F20"/>
          <w:spacing w:val="-11"/>
          <w:sz w:val="16"/>
        </w:rPr>
        <w:t> </w:t>
      </w:r>
      <w:r>
        <w:rPr>
          <w:color w:val="231F20"/>
          <w:sz w:val="16"/>
        </w:rPr>
        <w:t>estatal</w:t>
      </w:r>
      <w:r>
        <w:rPr>
          <w:color w:val="231F20"/>
          <w:spacing w:val="-11"/>
          <w:sz w:val="16"/>
        </w:rPr>
        <w:t> </w:t>
      </w:r>
      <w:r>
        <w:rPr>
          <w:color w:val="231F20"/>
          <w:sz w:val="16"/>
        </w:rPr>
        <w:t>mexiquense</w:t>
      </w:r>
      <w:r>
        <w:rPr>
          <w:color w:val="231F20"/>
          <w:spacing w:val="-11"/>
          <w:sz w:val="16"/>
        </w:rPr>
        <w:t> </w:t>
      </w:r>
      <w:r>
        <w:rPr>
          <w:color w:val="231F20"/>
          <w:sz w:val="16"/>
        </w:rPr>
        <w:t>como</w:t>
      </w:r>
      <w:r>
        <w:rPr>
          <w:color w:val="231F20"/>
          <w:spacing w:val="-11"/>
          <w:sz w:val="16"/>
        </w:rPr>
        <w:t> </w:t>
      </w:r>
      <w:r>
        <w:rPr>
          <w:color w:val="231F20"/>
          <w:sz w:val="16"/>
        </w:rPr>
        <w:t>director</w:t>
      </w:r>
      <w:r>
        <w:rPr>
          <w:color w:val="231F20"/>
          <w:spacing w:val="-11"/>
          <w:sz w:val="16"/>
        </w:rPr>
        <w:t> </w:t>
      </w:r>
      <w:r>
        <w:rPr>
          <w:color w:val="231F20"/>
          <w:sz w:val="16"/>
        </w:rPr>
        <w:t>general</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Comisión</w:t>
      </w:r>
      <w:r>
        <w:rPr>
          <w:color w:val="231F20"/>
          <w:spacing w:val="-11"/>
          <w:sz w:val="16"/>
        </w:rPr>
        <w:t> </w:t>
      </w:r>
      <w:r>
        <w:rPr>
          <w:color w:val="231F20"/>
          <w:sz w:val="16"/>
        </w:rPr>
        <w:t>para</w:t>
      </w:r>
      <w:r>
        <w:rPr>
          <w:color w:val="231F20"/>
          <w:spacing w:val="-11"/>
          <w:sz w:val="16"/>
        </w:rPr>
        <w:t> </w:t>
      </w:r>
      <w:r>
        <w:rPr>
          <w:color w:val="231F20"/>
          <w:sz w:val="16"/>
        </w:rPr>
        <w:t>la</w:t>
      </w:r>
      <w:r>
        <w:rPr>
          <w:color w:val="231F20"/>
          <w:spacing w:val="-11"/>
          <w:sz w:val="16"/>
        </w:rPr>
        <w:t> </w:t>
      </w:r>
      <w:r>
        <w:rPr>
          <w:color w:val="231F20"/>
          <w:sz w:val="16"/>
        </w:rPr>
        <w:t>Regularización</w:t>
      </w:r>
      <w:r>
        <w:rPr>
          <w:color w:val="231F20"/>
          <w:spacing w:val="-11"/>
          <w:sz w:val="16"/>
        </w:rPr>
        <w:t> </w:t>
      </w:r>
      <w:r>
        <w:rPr>
          <w:color w:val="231F20"/>
          <w:sz w:val="16"/>
        </w:rPr>
        <w:t>del</w:t>
      </w:r>
      <w:r>
        <w:rPr>
          <w:color w:val="231F20"/>
          <w:spacing w:val="-11"/>
          <w:sz w:val="16"/>
        </w:rPr>
        <w:t> </w:t>
      </w:r>
      <w:r>
        <w:rPr>
          <w:color w:val="231F20"/>
          <w:sz w:val="16"/>
        </w:rPr>
        <w:t>Suelo</w:t>
      </w:r>
      <w:r>
        <w:rPr>
          <w:color w:val="231F20"/>
          <w:spacing w:val="-11"/>
          <w:sz w:val="16"/>
        </w:rPr>
        <w:t> </w:t>
      </w:r>
      <w:r>
        <w:rPr>
          <w:color w:val="231F20"/>
          <w:sz w:val="16"/>
        </w:rPr>
        <w:t>del</w:t>
      </w:r>
      <w:r>
        <w:rPr>
          <w:color w:val="231F20"/>
          <w:spacing w:val="-11"/>
          <w:sz w:val="16"/>
        </w:rPr>
        <w:t> </w:t>
      </w:r>
      <w:r>
        <w:rPr>
          <w:color w:val="231F20"/>
          <w:sz w:val="16"/>
        </w:rPr>
        <w:t>Esta- do</w:t>
      </w:r>
      <w:r>
        <w:rPr>
          <w:color w:val="231F20"/>
          <w:spacing w:val="-5"/>
          <w:sz w:val="16"/>
        </w:rPr>
        <w:t> </w:t>
      </w:r>
      <w:r>
        <w:rPr>
          <w:color w:val="231F20"/>
          <w:sz w:val="16"/>
        </w:rPr>
        <w:t>de</w:t>
      </w:r>
      <w:r>
        <w:rPr>
          <w:color w:val="231F20"/>
          <w:spacing w:val="-5"/>
          <w:sz w:val="16"/>
        </w:rPr>
        <w:t> </w:t>
      </w:r>
      <w:r>
        <w:rPr>
          <w:color w:val="231F20"/>
          <w:sz w:val="16"/>
        </w:rPr>
        <w:t>México</w:t>
      </w:r>
      <w:r>
        <w:rPr>
          <w:color w:val="231F20"/>
          <w:spacing w:val="-5"/>
          <w:sz w:val="16"/>
        </w:rPr>
        <w:t> </w:t>
      </w:r>
      <w:r>
        <w:rPr>
          <w:color w:val="231F20"/>
          <w:spacing w:val="-3"/>
          <w:sz w:val="16"/>
        </w:rPr>
        <w:t>(2001-2002).</w:t>
      </w:r>
      <w:r>
        <w:rPr>
          <w:color w:val="231F20"/>
          <w:spacing w:val="-5"/>
          <w:sz w:val="16"/>
        </w:rPr>
        <w:t> </w:t>
      </w:r>
      <w:r>
        <w:rPr>
          <w:color w:val="231F20"/>
          <w:sz w:val="16"/>
        </w:rPr>
        <w:t>Aquí</w:t>
      </w:r>
      <w:r>
        <w:rPr>
          <w:color w:val="231F20"/>
          <w:spacing w:val="-5"/>
          <w:sz w:val="16"/>
        </w:rPr>
        <w:t> </w:t>
      </w:r>
      <w:r>
        <w:rPr>
          <w:color w:val="231F20"/>
          <w:sz w:val="16"/>
        </w:rPr>
        <w:t>cabe</w:t>
      </w:r>
      <w:r>
        <w:rPr>
          <w:color w:val="231F20"/>
          <w:spacing w:val="-5"/>
          <w:sz w:val="16"/>
        </w:rPr>
        <w:t> </w:t>
      </w:r>
      <w:r>
        <w:rPr>
          <w:color w:val="231F20"/>
          <w:sz w:val="16"/>
        </w:rPr>
        <w:t>anotar</w:t>
      </w:r>
      <w:r>
        <w:rPr>
          <w:color w:val="231F20"/>
          <w:spacing w:val="-5"/>
          <w:sz w:val="16"/>
        </w:rPr>
        <w:t> </w:t>
      </w:r>
      <w:r>
        <w:rPr>
          <w:color w:val="231F20"/>
          <w:sz w:val="16"/>
        </w:rPr>
        <w:t>que</w:t>
      </w:r>
      <w:r>
        <w:rPr>
          <w:color w:val="231F20"/>
          <w:spacing w:val="-5"/>
          <w:sz w:val="16"/>
        </w:rPr>
        <w:t> </w:t>
      </w:r>
      <w:r>
        <w:rPr>
          <w:color w:val="231F20"/>
          <w:sz w:val="16"/>
        </w:rPr>
        <w:t>durante</w:t>
      </w:r>
      <w:r>
        <w:rPr>
          <w:color w:val="231F20"/>
          <w:spacing w:val="-5"/>
          <w:sz w:val="16"/>
        </w:rPr>
        <w:t> </w:t>
      </w:r>
      <w:r>
        <w:rPr>
          <w:color w:val="231F20"/>
          <w:sz w:val="16"/>
        </w:rPr>
        <w:t>este</w:t>
      </w:r>
      <w:r>
        <w:rPr>
          <w:color w:val="231F20"/>
          <w:spacing w:val="-5"/>
          <w:sz w:val="16"/>
        </w:rPr>
        <w:t> </w:t>
      </w:r>
      <w:r>
        <w:rPr>
          <w:color w:val="231F20"/>
          <w:sz w:val="16"/>
        </w:rPr>
        <w:t>periodo</w:t>
      </w:r>
      <w:r>
        <w:rPr>
          <w:color w:val="231F20"/>
          <w:spacing w:val="-5"/>
          <w:sz w:val="16"/>
        </w:rPr>
        <w:t> </w:t>
      </w:r>
      <w:r>
        <w:rPr>
          <w:color w:val="231F20"/>
          <w:sz w:val="16"/>
        </w:rPr>
        <w:t>se</w:t>
      </w:r>
      <w:r>
        <w:rPr>
          <w:color w:val="231F20"/>
          <w:spacing w:val="-5"/>
          <w:sz w:val="16"/>
        </w:rPr>
        <w:t> </w:t>
      </w:r>
      <w:r>
        <w:rPr>
          <w:color w:val="231F20"/>
          <w:sz w:val="16"/>
        </w:rPr>
        <w:t>aprobó</w:t>
      </w:r>
      <w:r>
        <w:rPr>
          <w:color w:val="231F20"/>
          <w:spacing w:val="-5"/>
          <w:sz w:val="16"/>
        </w:rPr>
        <w:t> </w:t>
      </w:r>
      <w:r>
        <w:rPr>
          <w:color w:val="231F20"/>
          <w:sz w:val="16"/>
        </w:rPr>
        <w:t>el</w:t>
      </w:r>
      <w:r>
        <w:rPr>
          <w:color w:val="231F20"/>
          <w:spacing w:val="-5"/>
          <w:sz w:val="16"/>
        </w:rPr>
        <w:t> </w:t>
      </w:r>
      <w:r>
        <w:rPr>
          <w:color w:val="231F20"/>
          <w:sz w:val="16"/>
        </w:rPr>
        <w:t>permiso</w:t>
      </w:r>
      <w:r>
        <w:rPr>
          <w:color w:val="231F20"/>
          <w:spacing w:val="-5"/>
          <w:sz w:val="16"/>
        </w:rPr>
        <w:t> </w:t>
      </w:r>
      <w:r>
        <w:rPr>
          <w:color w:val="231F20"/>
          <w:sz w:val="16"/>
        </w:rPr>
        <w:t>para</w:t>
      </w:r>
      <w:r>
        <w:rPr>
          <w:color w:val="231F20"/>
          <w:spacing w:val="-5"/>
          <w:sz w:val="16"/>
        </w:rPr>
        <w:t> </w:t>
      </w:r>
      <w:r>
        <w:rPr>
          <w:color w:val="231F20"/>
          <w:sz w:val="16"/>
        </w:rPr>
        <w:t>la</w:t>
      </w:r>
      <w:r>
        <w:rPr>
          <w:color w:val="231F20"/>
          <w:spacing w:val="-5"/>
          <w:sz w:val="16"/>
        </w:rPr>
        <w:t> </w:t>
      </w:r>
      <w:r>
        <w:rPr>
          <w:color w:val="231F20"/>
          <w:sz w:val="16"/>
        </w:rPr>
        <w:t>construcción</w:t>
      </w:r>
      <w:r>
        <w:rPr>
          <w:color w:val="231F20"/>
          <w:spacing w:val="-5"/>
          <w:sz w:val="16"/>
        </w:rPr>
        <w:t> </w:t>
      </w:r>
      <w:r>
        <w:rPr>
          <w:color w:val="231F20"/>
          <w:sz w:val="16"/>
        </w:rPr>
        <w:t>de</w:t>
      </w:r>
      <w:r>
        <w:rPr>
          <w:color w:val="231F20"/>
          <w:spacing w:val="-5"/>
          <w:sz w:val="16"/>
        </w:rPr>
        <w:t> </w:t>
      </w:r>
      <w:r>
        <w:rPr>
          <w:color w:val="231F20"/>
          <w:sz w:val="16"/>
        </w:rPr>
        <w:t>uno</w:t>
      </w:r>
      <w:r>
        <w:rPr>
          <w:color w:val="231F20"/>
          <w:spacing w:val="-5"/>
          <w:sz w:val="16"/>
        </w:rPr>
        <w:t> </w:t>
      </w:r>
      <w:r>
        <w:rPr>
          <w:color w:val="231F20"/>
          <w:sz w:val="16"/>
        </w:rPr>
        <w:t>de los</w:t>
      </w:r>
      <w:r>
        <w:rPr>
          <w:color w:val="231F20"/>
          <w:spacing w:val="-6"/>
          <w:sz w:val="16"/>
        </w:rPr>
        <w:t> </w:t>
      </w:r>
      <w:r>
        <w:rPr>
          <w:color w:val="231F20"/>
          <w:sz w:val="16"/>
        </w:rPr>
        <w:t>complejos</w:t>
      </w:r>
      <w:r>
        <w:rPr>
          <w:color w:val="231F20"/>
          <w:spacing w:val="-6"/>
          <w:sz w:val="16"/>
        </w:rPr>
        <w:t> </w:t>
      </w:r>
      <w:r>
        <w:rPr>
          <w:color w:val="231F20"/>
          <w:sz w:val="16"/>
        </w:rPr>
        <w:t>habitacionales</w:t>
      </w:r>
      <w:r>
        <w:rPr>
          <w:color w:val="231F20"/>
          <w:spacing w:val="-6"/>
          <w:sz w:val="16"/>
        </w:rPr>
        <w:t> </w:t>
      </w:r>
      <w:r>
        <w:rPr>
          <w:color w:val="231F20"/>
          <w:sz w:val="16"/>
        </w:rPr>
        <w:t>más</w:t>
      </w:r>
      <w:r>
        <w:rPr>
          <w:color w:val="231F20"/>
          <w:spacing w:val="-6"/>
          <w:sz w:val="16"/>
        </w:rPr>
        <w:t> </w:t>
      </w:r>
      <w:r>
        <w:rPr>
          <w:color w:val="231F20"/>
          <w:sz w:val="16"/>
        </w:rPr>
        <w:t>grandes</w:t>
      </w:r>
      <w:r>
        <w:rPr>
          <w:color w:val="231F20"/>
          <w:spacing w:val="-6"/>
          <w:sz w:val="16"/>
        </w:rPr>
        <w:t> </w:t>
      </w:r>
      <w:r>
        <w:rPr>
          <w:color w:val="231F20"/>
          <w:sz w:val="16"/>
        </w:rPr>
        <w:t>en</w:t>
      </w:r>
      <w:r>
        <w:rPr>
          <w:color w:val="231F20"/>
          <w:spacing w:val="-6"/>
          <w:sz w:val="16"/>
        </w:rPr>
        <w:t> </w:t>
      </w:r>
      <w:r>
        <w:rPr>
          <w:color w:val="231F20"/>
          <w:sz w:val="16"/>
        </w:rPr>
        <w:t>el</w:t>
      </w:r>
      <w:r>
        <w:rPr>
          <w:color w:val="231F20"/>
          <w:spacing w:val="-6"/>
          <w:sz w:val="16"/>
        </w:rPr>
        <w:t> </w:t>
      </w:r>
      <w:r>
        <w:rPr>
          <w:color w:val="231F20"/>
          <w:sz w:val="16"/>
        </w:rPr>
        <w:t>municipio,</w:t>
      </w:r>
      <w:r>
        <w:rPr>
          <w:color w:val="231F20"/>
          <w:spacing w:val="-6"/>
          <w:sz w:val="16"/>
        </w:rPr>
        <w:t> </w:t>
      </w:r>
      <w:r>
        <w:rPr>
          <w:color w:val="231F20"/>
          <w:sz w:val="16"/>
        </w:rPr>
        <w:t>conformado</w:t>
      </w:r>
      <w:r>
        <w:rPr>
          <w:color w:val="231F20"/>
          <w:spacing w:val="-6"/>
          <w:sz w:val="16"/>
        </w:rPr>
        <w:t> </w:t>
      </w:r>
      <w:r>
        <w:rPr>
          <w:color w:val="231F20"/>
          <w:sz w:val="16"/>
        </w:rPr>
        <w:t>por</w:t>
      </w:r>
      <w:r>
        <w:rPr>
          <w:color w:val="231F20"/>
          <w:spacing w:val="-6"/>
          <w:sz w:val="16"/>
        </w:rPr>
        <w:t> </w:t>
      </w:r>
      <w:r>
        <w:rPr>
          <w:color w:val="231F20"/>
          <w:sz w:val="16"/>
        </w:rPr>
        <w:t>un</w:t>
      </w:r>
      <w:r>
        <w:rPr>
          <w:color w:val="231F20"/>
          <w:spacing w:val="-6"/>
          <w:sz w:val="16"/>
        </w:rPr>
        <w:t> </w:t>
      </w:r>
      <w:r>
        <w:rPr>
          <w:color w:val="231F20"/>
          <w:sz w:val="16"/>
        </w:rPr>
        <w:t>poco</w:t>
      </w:r>
      <w:r>
        <w:rPr>
          <w:color w:val="231F20"/>
          <w:spacing w:val="-6"/>
          <w:sz w:val="16"/>
        </w:rPr>
        <w:t> </w:t>
      </w:r>
      <w:r>
        <w:rPr>
          <w:color w:val="231F20"/>
          <w:sz w:val="16"/>
        </w:rPr>
        <w:t>más</w:t>
      </w:r>
      <w:r>
        <w:rPr>
          <w:color w:val="231F20"/>
          <w:spacing w:val="-6"/>
          <w:sz w:val="16"/>
        </w:rPr>
        <w:t> </w:t>
      </w:r>
      <w:r>
        <w:rPr>
          <w:color w:val="231F20"/>
          <w:sz w:val="16"/>
        </w:rPr>
        <w:t>de</w:t>
      </w:r>
      <w:r>
        <w:rPr>
          <w:color w:val="231F20"/>
          <w:spacing w:val="-6"/>
          <w:sz w:val="16"/>
        </w:rPr>
        <w:t> </w:t>
      </w:r>
      <w:r>
        <w:rPr>
          <w:color w:val="231F20"/>
          <w:sz w:val="16"/>
        </w:rPr>
        <w:t>13,000</w:t>
      </w:r>
      <w:r>
        <w:rPr>
          <w:color w:val="231F20"/>
          <w:spacing w:val="-6"/>
          <w:sz w:val="16"/>
        </w:rPr>
        <w:t> </w:t>
      </w:r>
      <w:r>
        <w:rPr>
          <w:color w:val="231F20"/>
          <w:sz w:val="16"/>
        </w:rPr>
        <w:t>viviendas,</w:t>
      </w:r>
      <w:r>
        <w:rPr>
          <w:color w:val="231F20"/>
          <w:spacing w:val="-6"/>
          <w:sz w:val="16"/>
        </w:rPr>
        <w:t> </w:t>
      </w:r>
      <w:r>
        <w:rPr>
          <w:color w:val="231F20"/>
          <w:sz w:val="16"/>
        </w:rPr>
        <w:t>denominado Bosque</w:t>
      </w:r>
      <w:r>
        <w:rPr>
          <w:color w:val="231F20"/>
          <w:spacing w:val="-9"/>
          <w:sz w:val="16"/>
        </w:rPr>
        <w:t> </w:t>
      </w:r>
      <w:r>
        <w:rPr>
          <w:color w:val="231F20"/>
          <w:sz w:val="16"/>
        </w:rPr>
        <w:t>Real.</w:t>
      </w:r>
      <w:r>
        <w:rPr>
          <w:color w:val="231F20"/>
          <w:spacing w:val="-9"/>
          <w:sz w:val="16"/>
        </w:rPr>
        <w:t> </w:t>
      </w:r>
      <w:r>
        <w:rPr>
          <w:color w:val="231F20"/>
          <w:sz w:val="16"/>
        </w:rPr>
        <w:t>Fue</w:t>
      </w:r>
      <w:r>
        <w:rPr>
          <w:color w:val="231F20"/>
          <w:spacing w:val="-9"/>
          <w:sz w:val="16"/>
        </w:rPr>
        <w:t> </w:t>
      </w:r>
      <w:r>
        <w:rPr>
          <w:color w:val="231F20"/>
          <w:sz w:val="16"/>
        </w:rPr>
        <w:t>presidente</w:t>
      </w:r>
      <w:r>
        <w:rPr>
          <w:color w:val="231F20"/>
          <w:spacing w:val="-9"/>
          <w:sz w:val="16"/>
        </w:rPr>
        <w:t> </w:t>
      </w:r>
      <w:r>
        <w:rPr>
          <w:color w:val="231F20"/>
          <w:sz w:val="16"/>
        </w:rPr>
        <w:t>municipal</w:t>
      </w:r>
      <w:r>
        <w:rPr>
          <w:color w:val="231F20"/>
          <w:spacing w:val="-9"/>
          <w:sz w:val="16"/>
        </w:rPr>
        <w:t> </w:t>
      </w:r>
      <w:r>
        <w:rPr>
          <w:color w:val="231F20"/>
          <w:sz w:val="16"/>
        </w:rPr>
        <w:t>durante</w:t>
      </w:r>
      <w:r>
        <w:rPr>
          <w:color w:val="231F20"/>
          <w:spacing w:val="-9"/>
          <w:sz w:val="16"/>
        </w:rPr>
        <w:t> </w:t>
      </w:r>
      <w:r>
        <w:rPr>
          <w:color w:val="231F20"/>
          <w:sz w:val="16"/>
        </w:rPr>
        <w:t>el</w:t>
      </w:r>
      <w:r>
        <w:rPr>
          <w:color w:val="231F20"/>
          <w:spacing w:val="-9"/>
          <w:sz w:val="16"/>
        </w:rPr>
        <w:t> </w:t>
      </w:r>
      <w:r>
        <w:rPr>
          <w:color w:val="231F20"/>
          <w:sz w:val="16"/>
        </w:rPr>
        <w:t>periodo</w:t>
      </w:r>
      <w:r>
        <w:rPr>
          <w:color w:val="231F20"/>
          <w:spacing w:val="-9"/>
          <w:sz w:val="16"/>
        </w:rPr>
        <w:t> </w:t>
      </w:r>
      <w:r>
        <w:rPr>
          <w:color w:val="231F20"/>
          <w:sz w:val="16"/>
        </w:rPr>
        <w:t>2003-2006,</w:t>
      </w:r>
      <w:r>
        <w:rPr>
          <w:color w:val="231F20"/>
          <w:spacing w:val="-9"/>
          <w:sz w:val="16"/>
        </w:rPr>
        <w:t> </w:t>
      </w:r>
      <w:r>
        <w:rPr>
          <w:color w:val="231F20"/>
          <w:sz w:val="16"/>
        </w:rPr>
        <w:t>y</w:t>
      </w:r>
      <w:r>
        <w:rPr>
          <w:color w:val="231F20"/>
          <w:spacing w:val="-9"/>
          <w:sz w:val="16"/>
        </w:rPr>
        <w:t> </w:t>
      </w:r>
      <w:r>
        <w:rPr>
          <w:color w:val="231F20"/>
          <w:sz w:val="16"/>
        </w:rPr>
        <w:t>posteriormente</w:t>
      </w:r>
      <w:r>
        <w:rPr>
          <w:color w:val="231F20"/>
          <w:spacing w:val="-9"/>
          <w:sz w:val="16"/>
        </w:rPr>
        <w:t> </w:t>
      </w:r>
      <w:r>
        <w:rPr>
          <w:color w:val="231F20"/>
          <w:sz w:val="16"/>
        </w:rPr>
        <w:t>se</w:t>
      </w:r>
      <w:r>
        <w:rPr>
          <w:color w:val="231F20"/>
          <w:spacing w:val="-9"/>
          <w:sz w:val="16"/>
        </w:rPr>
        <w:t> </w:t>
      </w:r>
      <w:r>
        <w:rPr>
          <w:color w:val="231F20"/>
          <w:sz w:val="16"/>
        </w:rPr>
        <w:t>desempeñó</w:t>
      </w:r>
      <w:r>
        <w:rPr>
          <w:color w:val="231F20"/>
          <w:spacing w:val="-9"/>
          <w:sz w:val="16"/>
        </w:rPr>
        <w:t> </w:t>
      </w:r>
      <w:r>
        <w:rPr>
          <w:color w:val="231F20"/>
          <w:sz w:val="16"/>
        </w:rPr>
        <w:t>como</w:t>
      </w:r>
      <w:r>
        <w:rPr>
          <w:color w:val="231F20"/>
          <w:spacing w:val="-9"/>
          <w:sz w:val="16"/>
        </w:rPr>
        <w:t> </w:t>
      </w:r>
      <w:r>
        <w:rPr>
          <w:color w:val="231F20"/>
          <w:sz w:val="16"/>
        </w:rPr>
        <w:t>Secretario</w:t>
      </w:r>
      <w:r>
        <w:rPr>
          <w:color w:val="231F20"/>
          <w:spacing w:val="-9"/>
          <w:sz w:val="16"/>
        </w:rPr>
        <w:t> </w:t>
      </w:r>
      <w:r>
        <w:rPr>
          <w:color w:val="231F20"/>
          <w:sz w:val="16"/>
        </w:rPr>
        <w:t>del Agua y Obra Pública del gobierno del Estado de México. En su ficha curricular no resalta su militancia priísta, ni haber des- empeñado algún cargo relevante al interior del PRI, sin embargo hace suponer que al menos forma parte de dicho partido desde</w:t>
      </w:r>
      <w:r>
        <w:rPr>
          <w:color w:val="231F20"/>
          <w:spacing w:val="-10"/>
          <w:sz w:val="16"/>
        </w:rPr>
        <w:t> </w:t>
      </w:r>
      <w:r>
        <w:rPr>
          <w:color w:val="231F20"/>
          <w:sz w:val="16"/>
        </w:rPr>
        <w:t>1998.</w:t>
      </w:r>
      <w:r>
        <w:rPr>
          <w:color w:val="231F20"/>
          <w:spacing w:val="-10"/>
          <w:sz w:val="16"/>
        </w:rPr>
        <w:t> </w:t>
      </w:r>
      <w:r>
        <w:rPr>
          <w:color w:val="231F20"/>
          <w:sz w:val="16"/>
        </w:rPr>
        <w:t>Cuenta</w:t>
      </w:r>
      <w:r>
        <w:rPr>
          <w:color w:val="231F20"/>
          <w:spacing w:val="-10"/>
          <w:sz w:val="16"/>
        </w:rPr>
        <w:t> </w:t>
      </w:r>
      <w:r>
        <w:rPr>
          <w:color w:val="231F20"/>
          <w:sz w:val="16"/>
        </w:rPr>
        <w:t>con</w:t>
      </w:r>
      <w:r>
        <w:rPr>
          <w:color w:val="231F20"/>
          <w:spacing w:val="-10"/>
          <w:sz w:val="16"/>
        </w:rPr>
        <w:t> </w:t>
      </w:r>
      <w:r>
        <w:rPr>
          <w:color w:val="231F20"/>
          <w:sz w:val="16"/>
        </w:rPr>
        <w:t>estudios</w:t>
      </w:r>
      <w:r>
        <w:rPr>
          <w:color w:val="231F20"/>
          <w:spacing w:val="-10"/>
          <w:sz w:val="16"/>
        </w:rPr>
        <w:t> </w:t>
      </w:r>
      <w:r>
        <w:rPr>
          <w:color w:val="231F20"/>
          <w:sz w:val="16"/>
        </w:rPr>
        <w:t>de</w:t>
      </w:r>
      <w:r>
        <w:rPr>
          <w:color w:val="231F20"/>
          <w:spacing w:val="-10"/>
          <w:sz w:val="16"/>
        </w:rPr>
        <w:t> </w:t>
      </w:r>
      <w:r>
        <w:rPr>
          <w:color w:val="231F20"/>
          <w:sz w:val="16"/>
        </w:rPr>
        <w:t>licenciatura</w:t>
      </w:r>
      <w:r>
        <w:rPr>
          <w:color w:val="231F20"/>
          <w:spacing w:val="-10"/>
          <w:sz w:val="16"/>
        </w:rPr>
        <w:t> </w:t>
      </w:r>
      <w:r>
        <w:rPr>
          <w:color w:val="231F20"/>
          <w:sz w:val="16"/>
        </w:rPr>
        <w:t>en</w:t>
      </w:r>
      <w:r>
        <w:rPr>
          <w:color w:val="231F20"/>
          <w:spacing w:val="-10"/>
          <w:sz w:val="16"/>
        </w:rPr>
        <w:t> </w:t>
      </w:r>
      <w:r>
        <w:rPr>
          <w:color w:val="231F20"/>
          <w:sz w:val="16"/>
        </w:rPr>
        <w:t>derecho</w:t>
      </w:r>
      <w:r>
        <w:rPr>
          <w:color w:val="231F20"/>
          <w:spacing w:val="-10"/>
          <w:sz w:val="16"/>
        </w:rPr>
        <w:t> </w:t>
      </w:r>
      <w:r>
        <w:rPr>
          <w:color w:val="231F20"/>
          <w:sz w:val="16"/>
        </w:rPr>
        <w:t>y</w:t>
      </w:r>
      <w:r>
        <w:rPr>
          <w:color w:val="231F20"/>
          <w:spacing w:val="-10"/>
          <w:sz w:val="16"/>
        </w:rPr>
        <w:t> </w:t>
      </w:r>
      <w:r>
        <w:rPr>
          <w:color w:val="231F20"/>
          <w:sz w:val="16"/>
        </w:rPr>
        <w:t>estudios</w:t>
      </w:r>
      <w:r>
        <w:rPr>
          <w:color w:val="231F20"/>
          <w:spacing w:val="-10"/>
          <w:sz w:val="16"/>
        </w:rPr>
        <w:t> </w:t>
      </w:r>
      <w:r>
        <w:rPr>
          <w:color w:val="231F20"/>
          <w:sz w:val="16"/>
        </w:rPr>
        <w:t>de</w:t>
      </w:r>
      <w:r>
        <w:rPr>
          <w:color w:val="231F20"/>
          <w:spacing w:val="-10"/>
          <w:sz w:val="16"/>
        </w:rPr>
        <w:t> </w:t>
      </w:r>
      <w:r>
        <w:rPr>
          <w:color w:val="231F20"/>
          <w:sz w:val="16"/>
        </w:rPr>
        <w:t>posgrado</w:t>
      </w:r>
      <w:r>
        <w:rPr>
          <w:color w:val="231F20"/>
          <w:spacing w:val="-10"/>
          <w:sz w:val="16"/>
        </w:rPr>
        <w:t> </w:t>
      </w:r>
      <w:r>
        <w:rPr>
          <w:color w:val="231F20"/>
          <w:sz w:val="16"/>
        </w:rPr>
        <w:t>en</w:t>
      </w:r>
      <w:r>
        <w:rPr>
          <w:color w:val="231F20"/>
          <w:spacing w:val="-10"/>
          <w:sz w:val="16"/>
        </w:rPr>
        <w:t> </w:t>
      </w:r>
      <w:r>
        <w:rPr>
          <w:color w:val="231F20"/>
          <w:sz w:val="16"/>
        </w:rPr>
        <w:t>administración</w:t>
      </w:r>
      <w:r>
        <w:rPr>
          <w:color w:val="231F20"/>
          <w:spacing w:val="-10"/>
          <w:sz w:val="16"/>
        </w:rPr>
        <w:t> </w:t>
      </w:r>
      <w:r>
        <w:rPr>
          <w:color w:val="231F20"/>
          <w:sz w:val="16"/>
        </w:rPr>
        <w:t>pública</w:t>
      </w:r>
      <w:r>
        <w:rPr>
          <w:color w:val="231F20"/>
          <w:spacing w:val="-10"/>
          <w:sz w:val="16"/>
        </w:rPr>
        <w:t> </w:t>
      </w:r>
      <w:r>
        <w:rPr>
          <w:color w:val="231F20"/>
          <w:sz w:val="16"/>
        </w:rPr>
        <w:t>obtenidos</w:t>
      </w:r>
      <w:r>
        <w:rPr>
          <w:color w:val="231F20"/>
          <w:spacing w:val="-10"/>
          <w:sz w:val="16"/>
        </w:rPr>
        <w:t> </w:t>
      </w:r>
      <w:r>
        <w:rPr>
          <w:color w:val="231F20"/>
          <w:sz w:val="16"/>
        </w:rPr>
        <w:t>en instituciones</w:t>
      </w:r>
      <w:r>
        <w:rPr>
          <w:color w:val="231F20"/>
          <w:spacing w:val="-11"/>
          <w:sz w:val="16"/>
        </w:rPr>
        <w:t> </w:t>
      </w:r>
      <w:r>
        <w:rPr>
          <w:color w:val="231F20"/>
          <w:sz w:val="16"/>
        </w:rPr>
        <w:t>de</w:t>
      </w:r>
      <w:r>
        <w:rPr>
          <w:color w:val="231F20"/>
          <w:spacing w:val="-11"/>
          <w:sz w:val="16"/>
        </w:rPr>
        <w:t> </w:t>
      </w:r>
      <w:r>
        <w:rPr>
          <w:color w:val="231F20"/>
          <w:sz w:val="16"/>
        </w:rPr>
        <w:t>educación</w:t>
      </w:r>
      <w:r>
        <w:rPr>
          <w:color w:val="231F20"/>
          <w:spacing w:val="-11"/>
          <w:sz w:val="16"/>
        </w:rPr>
        <w:t> </w:t>
      </w:r>
      <w:r>
        <w:rPr>
          <w:color w:val="231F20"/>
          <w:sz w:val="16"/>
        </w:rPr>
        <w:t>privada.</w:t>
      </w:r>
      <w:r>
        <w:rPr>
          <w:color w:val="231F20"/>
          <w:spacing w:val="-11"/>
          <w:sz w:val="16"/>
        </w:rPr>
        <w:t> </w:t>
      </w:r>
      <w:r>
        <w:rPr>
          <w:color w:val="231F20"/>
          <w:sz w:val="16"/>
        </w:rPr>
        <w:t>Además,</w:t>
      </w:r>
      <w:r>
        <w:rPr>
          <w:color w:val="231F20"/>
          <w:spacing w:val="-11"/>
          <w:sz w:val="16"/>
        </w:rPr>
        <w:t> </w:t>
      </w:r>
      <w:r>
        <w:rPr>
          <w:color w:val="231F20"/>
          <w:sz w:val="16"/>
        </w:rPr>
        <w:t>al</w:t>
      </w:r>
      <w:r>
        <w:rPr>
          <w:color w:val="231F20"/>
          <w:spacing w:val="-11"/>
          <w:sz w:val="16"/>
        </w:rPr>
        <w:t> </w:t>
      </w:r>
      <w:r>
        <w:rPr>
          <w:color w:val="231F20"/>
          <w:sz w:val="16"/>
        </w:rPr>
        <w:t>ser</w:t>
      </w:r>
      <w:r>
        <w:rPr>
          <w:color w:val="231F20"/>
          <w:spacing w:val="-11"/>
          <w:sz w:val="16"/>
        </w:rPr>
        <w:t> </w:t>
      </w:r>
      <w:r>
        <w:rPr>
          <w:color w:val="231F20"/>
          <w:sz w:val="16"/>
        </w:rPr>
        <w:t>postulado</w:t>
      </w:r>
      <w:r>
        <w:rPr>
          <w:color w:val="231F20"/>
          <w:spacing w:val="-11"/>
          <w:sz w:val="16"/>
        </w:rPr>
        <w:t> </w:t>
      </w:r>
      <w:r>
        <w:rPr>
          <w:color w:val="231F20"/>
          <w:sz w:val="16"/>
        </w:rPr>
        <w:t>como</w:t>
      </w:r>
      <w:r>
        <w:rPr>
          <w:color w:val="231F20"/>
          <w:spacing w:val="-11"/>
          <w:sz w:val="16"/>
        </w:rPr>
        <w:t> </w:t>
      </w:r>
      <w:r>
        <w:rPr>
          <w:color w:val="231F20"/>
          <w:sz w:val="16"/>
        </w:rPr>
        <w:t>candidato</w:t>
      </w:r>
      <w:r>
        <w:rPr>
          <w:color w:val="231F20"/>
          <w:spacing w:val="-11"/>
          <w:sz w:val="16"/>
        </w:rPr>
        <w:t> </w:t>
      </w:r>
      <w:r>
        <w:rPr>
          <w:color w:val="231F20"/>
          <w:sz w:val="16"/>
        </w:rPr>
        <w:t>a</w:t>
      </w:r>
      <w:r>
        <w:rPr>
          <w:color w:val="231F20"/>
          <w:spacing w:val="-11"/>
          <w:sz w:val="16"/>
        </w:rPr>
        <w:t> </w:t>
      </w:r>
      <w:r>
        <w:rPr>
          <w:color w:val="231F20"/>
          <w:sz w:val="16"/>
        </w:rPr>
        <w:t>alcalde</w:t>
      </w:r>
      <w:r>
        <w:rPr>
          <w:color w:val="231F20"/>
          <w:spacing w:val="-11"/>
          <w:sz w:val="16"/>
        </w:rPr>
        <w:t> </w:t>
      </w:r>
      <w:r>
        <w:rPr>
          <w:color w:val="231F20"/>
          <w:sz w:val="16"/>
        </w:rPr>
        <w:t>resaltó</w:t>
      </w:r>
      <w:r>
        <w:rPr>
          <w:color w:val="231F20"/>
          <w:spacing w:val="-11"/>
          <w:sz w:val="16"/>
        </w:rPr>
        <w:t> </w:t>
      </w:r>
      <w:r>
        <w:rPr>
          <w:color w:val="231F20"/>
          <w:sz w:val="16"/>
        </w:rPr>
        <w:t>que</w:t>
      </w:r>
      <w:r>
        <w:rPr>
          <w:color w:val="231F20"/>
          <w:spacing w:val="-11"/>
          <w:sz w:val="16"/>
        </w:rPr>
        <w:t> </w:t>
      </w:r>
      <w:r>
        <w:rPr>
          <w:color w:val="231F20"/>
          <w:sz w:val="16"/>
        </w:rPr>
        <w:t>su</w:t>
      </w:r>
      <w:r>
        <w:rPr>
          <w:color w:val="231F20"/>
          <w:spacing w:val="-11"/>
          <w:sz w:val="16"/>
        </w:rPr>
        <w:t> </w:t>
      </w:r>
      <w:r>
        <w:rPr>
          <w:color w:val="231F20"/>
          <w:sz w:val="16"/>
        </w:rPr>
        <w:t>residencia</w:t>
      </w:r>
      <w:r>
        <w:rPr>
          <w:color w:val="231F20"/>
          <w:spacing w:val="-11"/>
          <w:sz w:val="16"/>
        </w:rPr>
        <w:t> </w:t>
      </w:r>
      <w:r>
        <w:rPr>
          <w:color w:val="231F20"/>
          <w:sz w:val="16"/>
        </w:rPr>
        <w:t>la</w:t>
      </w:r>
      <w:r>
        <w:rPr>
          <w:color w:val="231F20"/>
          <w:spacing w:val="-11"/>
          <w:sz w:val="16"/>
        </w:rPr>
        <w:t> </w:t>
      </w:r>
      <w:r>
        <w:rPr>
          <w:color w:val="231F20"/>
          <w:sz w:val="16"/>
        </w:rPr>
        <w:t>realizaba en</w:t>
      </w:r>
      <w:r>
        <w:rPr>
          <w:color w:val="231F20"/>
          <w:spacing w:val="-13"/>
          <w:sz w:val="16"/>
        </w:rPr>
        <w:t> </w:t>
      </w:r>
      <w:r>
        <w:rPr>
          <w:color w:val="231F20"/>
          <w:sz w:val="16"/>
        </w:rPr>
        <w:t>la</w:t>
      </w:r>
      <w:r>
        <w:rPr>
          <w:color w:val="231F20"/>
          <w:spacing w:val="-13"/>
          <w:sz w:val="16"/>
        </w:rPr>
        <w:t> </w:t>
      </w:r>
      <w:r>
        <w:rPr>
          <w:color w:val="231F20"/>
          <w:sz w:val="16"/>
        </w:rPr>
        <w:t>zona</w:t>
      </w:r>
      <w:r>
        <w:rPr>
          <w:color w:val="231F20"/>
          <w:spacing w:val="-13"/>
          <w:sz w:val="16"/>
        </w:rPr>
        <w:t> </w:t>
      </w:r>
      <w:r>
        <w:rPr>
          <w:color w:val="231F20"/>
          <w:sz w:val="16"/>
        </w:rPr>
        <w:t>residencial</w:t>
      </w:r>
      <w:r>
        <w:rPr>
          <w:color w:val="231F20"/>
          <w:spacing w:val="-13"/>
          <w:sz w:val="16"/>
        </w:rPr>
        <w:t> </w:t>
      </w:r>
      <w:r>
        <w:rPr>
          <w:color w:val="231F20"/>
          <w:sz w:val="16"/>
        </w:rPr>
        <w:t>del</w:t>
      </w:r>
      <w:r>
        <w:rPr>
          <w:color w:val="231F20"/>
          <w:spacing w:val="-13"/>
          <w:sz w:val="16"/>
        </w:rPr>
        <w:t> </w:t>
      </w:r>
      <w:r>
        <w:rPr>
          <w:color w:val="231F20"/>
          <w:sz w:val="16"/>
        </w:rPr>
        <w:t>municipio</w:t>
      </w:r>
      <w:r>
        <w:rPr>
          <w:color w:val="231F20"/>
          <w:spacing w:val="-13"/>
          <w:sz w:val="16"/>
        </w:rPr>
        <w:t> </w:t>
      </w:r>
      <w:r>
        <w:rPr>
          <w:color w:val="231F20"/>
          <w:sz w:val="16"/>
        </w:rPr>
        <w:t>(KORENFELD,</w:t>
      </w:r>
      <w:r>
        <w:rPr>
          <w:color w:val="231F20"/>
          <w:spacing w:val="-13"/>
          <w:sz w:val="16"/>
        </w:rPr>
        <w:t> </w:t>
      </w:r>
      <w:r>
        <w:rPr>
          <w:color w:val="231F20"/>
          <w:sz w:val="16"/>
        </w:rPr>
        <w:t>2008)</w:t>
      </w:r>
    </w:p>
    <w:p>
      <w:pPr>
        <w:pStyle w:val="ListParagraph"/>
        <w:numPr>
          <w:ilvl w:val="0"/>
          <w:numId w:val="4"/>
        </w:numPr>
        <w:tabs>
          <w:tab w:pos="315" w:val="left" w:leader="none"/>
        </w:tabs>
        <w:spacing w:line="244" w:lineRule="auto" w:before="0" w:after="0"/>
        <w:ind w:left="110" w:right="106" w:firstLine="0"/>
        <w:jc w:val="both"/>
        <w:rPr>
          <w:sz w:val="16"/>
        </w:rPr>
      </w:pPr>
      <w:r>
        <w:rPr>
          <w:color w:val="231F20"/>
          <w:sz w:val="16"/>
        </w:rPr>
        <w:t>Adrián Fuentes Villalobos cuenta con una experiencia política corta. Ha sido militante del PRI desde </w:t>
      </w:r>
      <w:r>
        <w:rPr>
          <w:color w:val="231F20"/>
          <w:spacing w:val="-3"/>
          <w:sz w:val="16"/>
        </w:rPr>
        <w:t>1989 </w:t>
      </w:r>
      <w:r>
        <w:rPr>
          <w:color w:val="231F20"/>
          <w:sz w:val="16"/>
        </w:rPr>
        <w:t>y ocupó los cargos partidistas de delegado especial de la CNOP en el Estado de México, así como consejero a nivel municipal, estatal y federal.</w:t>
      </w:r>
      <w:r>
        <w:rPr>
          <w:color w:val="231F20"/>
          <w:spacing w:val="-12"/>
          <w:sz w:val="16"/>
        </w:rPr>
        <w:t> </w:t>
      </w:r>
      <w:r>
        <w:rPr>
          <w:color w:val="231F20"/>
          <w:sz w:val="16"/>
        </w:rPr>
        <w:t>Su</w:t>
      </w:r>
      <w:r>
        <w:rPr>
          <w:color w:val="231F20"/>
          <w:spacing w:val="-12"/>
          <w:sz w:val="16"/>
        </w:rPr>
        <w:t> </w:t>
      </w:r>
      <w:r>
        <w:rPr>
          <w:color w:val="231F20"/>
          <w:sz w:val="16"/>
        </w:rPr>
        <w:t>primer</w:t>
      </w:r>
      <w:r>
        <w:rPr>
          <w:color w:val="231F20"/>
          <w:spacing w:val="-12"/>
          <w:sz w:val="16"/>
        </w:rPr>
        <w:t> </w:t>
      </w:r>
      <w:r>
        <w:rPr>
          <w:color w:val="231F20"/>
          <w:sz w:val="16"/>
        </w:rPr>
        <w:t>cargo</w:t>
      </w:r>
      <w:r>
        <w:rPr>
          <w:color w:val="231F20"/>
          <w:spacing w:val="-12"/>
          <w:sz w:val="16"/>
        </w:rPr>
        <w:t> </w:t>
      </w:r>
      <w:r>
        <w:rPr>
          <w:color w:val="231F20"/>
          <w:sz w:val="16"/>
        </w:rPr>
        <w:t>público</w:t>
      </w:r>
      <w:r>
        <w:rPr>
          <w:color w:val="231F20"/>
          <w:spacing w:val="-12"/>
          <w:sz w:val="16"/>
        </w:rPr>
        <w:t> </w:t>
      </w:r>
      <w:r>
        <w:rPr>
          <w:color w:val="231F20"/>
          <w:sz w:val="16"/>
        </w:rPr>
        <w:t>lo</w:t>
      </w:r>
      <w:r>
        <w:rPr>
          <w:color w:val="231F20"/>
          <w:spacing w:val="-12"/>
          <w:sz w:val="16"/>
        </w:rPr>
        <w:t> </w:t>
      </w:r>
      <w:r>
        <w:rPr>
          <w:color w:val="231F20"/>
          <w:sz w:val="16"/>
        </w:rPr>
        <w:t>ejerció</w:t>
      </w:r>
      <w:r>
        <w:rPr>
          <w:color w:val="231F20"/>
          <w:spacing w:val="-12"/>
          <w:sz w:val="16"/>
        </w:rPr>
        <w:t> </w:t>
      </w:r>
      <w:r>
        <w:rPr>
          <w:color w:val="231F20"/>
          <w:sz w:val="16"/>
        </w:rPr>
        <w:t>como</w:t>
      </w:r>
      <w:r>
        <w:rPr>
          <w:color w:val="231F20"/>
          <w:spacing w:val="-12"/>
          <w:sz w:val="16"/>
        </w:rPr>
        <w:t> </w:t>
      </w:r>
      <w:r>
        <w:rPr>
          <w:color w:val="231F20"/>
          <w:sz w:val="16"/>
        </w:rPr>
        <w:t>diputado</w:t>
      </w:r>
      <w:r>
        <w:rPr>
          <w:color w:val="231F20"/>
          <w:spacing w:val="-12"/>
          <w:sz w:val="16"/>
        </w:rPr>
        <w:t> </w:t>
      </w:r>
      <w:r>
        <w:rPr>
          <w:color w:val="231F20"/>
          <w:sz w:val="16"/>
        </w:rPr>
        <w:t>federal</w:t>
      </w:r>
      <w:r>
        <w:rPr>
          <w:color w:val="231F20"/>
          <w:spacing w:val="-12"/>
          <w:sz w:val="16"/>
        </w:rPr>
        <w:t> </w:t>
      </w:r>
      <w:r>
        <w:rPr>
          <w:color w:val="231F20"/>
          <w:sz w:val="16"/>
        </w:rPr>
        <w:t>durante</w:t>
      </w:r>
      <w:r>
        <w:rPr>
          <w:color w:val="231F20"/>
          <w:spacing w:val="-12"/>
          <w:sz w:val="16"/>
        </w:rPr>
        <w:t> </w:t>
      </w:r>
      <w:r>
        <w:rPr>
          <w:color w:val="231F20"/>
          <w:sz w:val="16"/>
        </w:rPr>
        <w:t>el</w:t>
      </w:r>
      <w:r>
        <w:rPr>
          <w:color w:val="231F20"/>
          <w:spacing w:val="-12"/>
          <w:sz w:val="16"/>
        </w:rPr>
        <w:t> </w:t>
      </w:r>
      <w:r>
        <w:rPr>
          <w:color w:val="231F20"/>
          <w:sz w:val="16"/>
        </w:rPr>
        <w:t>periodo</w:t>
      </w:r>
      <w:r>
        <w:rPr>
          <w:color w:val="231F20"/>
          <w:spacing w:val="-12"/>
          <w:sz w:val="16"/>
        </w:rPr>
        <w:t> </w:t>
      </w:r>
      <w:r>
        <w:rPr>
          <w:color w:val="231F20"/>
          <w:sz w:val="16"/>
        </w:rPr>
        <w:t>2003-2006,</w:t>
      </w:r>
      <w:r>
        <w:rPr>
          <w:color w:val="231F20"/>
          <w:spacing w:val="-12"/>
          <w:sz w:val="16"/>
        </w:rPr>
        <w:t> </w:t>
      </w:r>
      <w:r>
        <w:rPr>
          <w:color w:val="231F20"/>
          <w:sz w:val="16"/>
        </w:rPr>
        <w:t>y</w:t>
      </w:r>
      <w:r>
        <w:rPr>
          <w:color w:val="231F20"/>
          <w:spacing w:val="-12"/>
          <w:sz w:val="16"/>
        </w:rPr>
        <w:t> </w:t>
      </w:r>
      <w:r>
        <w:rPr>
          <w:color w:val="231F20"/>
          <w:sz w:val="16"/>
        </w:rPr>
        <w:t>posteriormente</w:t>
      </w:r>
      <w:r>
        <w:rPr>
          <w:color w:val="231F20"/>
          <w:spacing w:val="-12"/>
          <w:sz w:val="16"/>
        </w:rPr>
        <w:t> </w:t>
      </w:r>
      <w:r>
        <w:rPr>
          <w:color w:val="231F20"/>
          <w:sz w:val="16"/>
        </w:rPr>
        <w:t>se</w:t>
      </w:r>
      <w:r>
        <w:rPr>
          <w:color w:val="231F20"/>
          <w:spacing w:val="-12"/>
          <w:sz w:val="16"/>
        </w:rPr>
        <w:t> </w:t>
      </w:r>
      <w:r>
        <w:rPr>
          <w:color w:val="231F20"/>
          <w:sz w:val="16"/>
        </w:rPr>
        <w:t>convir- tió</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candidato</w:t>
      </w:r>
      <w:r>
        <w:rPr>
          <w:color w:val="231F20"/>
          <w:spacing w:val="-8"/>
          <w:sz w:val="16"/>
        </w:rPr>
        <w:t> </w:t>
      </w:r>
      <w:r>
        <w:rPr>
          <w:color w:val="231F20"/>
          <w:sz w:val="16"/>
        </w:rPr>
        <w:t>del</w:t>
      </w:r>
      <w:r>
        <w:rPr>
          <w:color w:val="231F20"/>
          <w:spacing w:val="-8"/>
          <w:sz w:val="16"/>
        </w:rPr>
        <w:t> </w:t>
      </w:r>
      <w:r>
        <w:rPr>
          <w:color w:val="231F20"/>
          <w:sz w:val="16"/>
        </w:rPr>
        <w:t>PRI,</w:t>
      </w:r>
      <w:r>
        <w:rPr>
          <w:color w:val="231F20"/>
          <w:spacing w:val="-8"/>
          <w:sz w:val="16"/>
        </w:rPr>
        <w:t> </w:t>
      </w:r>
      <w:r>
        <w:rPr>
          <w:color w:val="231F20"/>
          <w:sz w:val="16"/>
        </w:rPr>
        <w:t>así</w:t>
      </w:r>
      <w:r>
        <w:rPr>
          <w:color w:val="231F20"/>
          <w:spacing w:val="-8"/>
          <w:sz w:val="16"/>
        </w:rPr>
        <w:t> </w:t>
      </w:r>
      <w:r>
        <w:rPr>
          <w:color w:val="231F20"/>
          <w:sz w:val="16"/>
        </w:rPr>
        <w:t>como</w:t>
      </w:r>
      <w:r>
        <w:rPr>
          <w:color w:val="231F20"/>
          <w:spacing w:val="-8"/>
          <w:sz w:val="16"/>
        </w:rPr>
        <w:t> </w:t>
      </w:r>
      <w:r>
        <w:rPr>
          <w:color w:val="231F20"/>
          <w:sz w:val="16"/>
        </w:rPr>
        <w:t>presidente</w:t>
      </w:r>
      <w:r>
        <w:rPr>
          <w:color w:val="231F20"/>
          <w:spacing w:val="-8"/>
          <w:sz w:val="16"/>
        </w:rPr>
        <w:t> </w:t>
      </w:r>
      <w:r>
        <w:rPr>
          <w:color w:val="231F20"/>
          <w:sz w:val="16"/>
        </w:rPr>
        <w:t>municipal</w:t>
      </w:r>
      <w:r>
        <w:rPr>
          <w:color w:val="231F20"/>
          <w:spacing w:val="-8"/>
          <w:sz w:val="16"/>
        </w:rPr>
        <w:t> </w:t>
      </w:r>
      <w:r>
        <w:rPr>
          <w:color w:val="231F20"/>
          <w:sz w:val="16"/>
        </w:rPr>
        <w:t>de</w:t>
      </w:r>
      <w:r>
        <w:rPr>
          <w:color w:val="231F20"/>
          <w:spacing w:val="-8"/>
          <w:sz w:val="16"/>
        </w:rPr>
        <w:t> </w:t>
      </w:r>
      <w:r>
        <w:rPr>
          <w:color w:val="231F20"/>
          <w:sz w:val="16"/>
        </w:rPr>
        <w:t>Huixquilucan</w:t>
      </w:r>
      <w:r>
        <w:rPr>
          <w:color w:val="231F20"/>
          <w:spacing w:val="-8"/>
          <w:sz w:val="16"/>
        </w:rPr>
        <w:t> </w:t>
      </w:r>
      <w:r>
        <w:rPr>
          <w:color w:val="231F20"/>
          <w:sz w:val="16"/>
        </w:rPr>
        <w:t>para</w:t>
      </w:r>
      <w:r>
        <w:rPr>
          <w:color w:val="231F20"/>
          <w:spacing w:val="-8"/>
          <w:sz w:val="16"/>
        </w:rPr>
        <w:t> </w:t>
      </w:r>
      <w:r>
        <w:rPr>
          <w:color w:val="231F20"/>
          <w:sz w:val="16"/>
        </w:rPr>
        <w:t>el</w:t>
      </w:r>
      <w:r>
        <w:rPr>
          <w:color w:val="231F20"/>
          <w:spacing w:val="-8"/>
          <w:sz w:val="16"/>
        </w:rPr>
        <w:t> </w:t>
      </w:r>
      <w:r>
        <w:rPr>
          <w:color w:val="231F20"/>
          <w:sz w:val="16"/>
        </w:rPr>
        <w:t>año</w:t>
      </w:r>
      <w:r>
        <w:rPr>
          <w:color w:val="231F20"/>
          <w:spacing w:val="-8"/>
          <w:sz w:val="16"/>
        </w:rPr>
        <w:t> </w:t>
      </w:r>
      <w:r>
        <w:rPr>
          <w:color w:val="231F20"/>
          <w:sz w:val="16"/>
        </w:rPr>
        <w:t>2006-2009.</w:t>
      </w:r>
      <w:r>
        <w:rPr>
          <w:color w:val="231F20"/>
          <w:spacing w:val="-8"/>
          <w:sz w:val="16"/>
        </w:rPr>
        <w:t> </w:t>
      </w:r>
      <w:r>
        <w:rPr>
          <w:color w:val="231F20"/>
          <w:sz w:val="16"/>
        </w:rPr>
        <w:t>Su</w:t>
      </w:r>
      <w:r>
        <w:rPr>
          <w:color w:val="231F20"/>
          <w:spacing w:val="-8"/>
          <w:sz w:val="16"/>
        </w:rPr>
        <w:t> </w:t>
      </w:r>
      <w:r>
        <w:rPr>
          <w:color w:val="231F20"/>
          <w:sz w:val="16"/>
        </w:rPr>
        <w:t>formación</w:t>
      </w:r>
      <w:r>
        <w:rPr>
          <w:color w:val="231F20"/>
          <w:spacing w:val="-8"/>
          <w:sz w:val="16"/>
        </w:rPr>
        <w:t> </w:t>
      </w:r>
      <w:r>
        <w:rPr>
          <w:color w:val="231F20"/>
          <w:sz w:val="16"/>
        </w:rPr>
        <w:t>profesional se</w:t>
      </w:r>
      <w:r>
        <w:rPr>
          <w:color w:val="231F20"/>
          <w:spacing w:val="-8"/>
          <w:sz w:val="16"/>
        </w:rPr>
        <w:t> </w:t>
      </w:r>
      <w:r>
        <w:rPr>
          <w:color w:val="231F20"/>
          <w:sz w:val="16"/>
        </w:rPr>
        <w:t>basa</w:t>
      </w:r>
      <w:r>
        <w:rPr>
          <w:color w:val="231F20"/>
          <w:spacing w:val="-8"/>
          <w:sz w:val="16"/>
        </w:rPr>
        <w:t> </w:t>
      </w:r>
      <w:r>
        <w:rPr>
          <w:color w:val="231F20"/>
          <w:sz w:val="16"/>
        </w:rPr>
        <w:t>en</w:t>
      </w:r>
      <w:r>
        <w:rPr>
          <w:color w:val="231F20"/>
          <w:spacing w:val="-8"/>
          <w:sz w:val="16"/>
        </w:rPr>
        <w:t> </w:t>
      </w:r>
      <w:r>
        <w:rPr>
          <w:color w:val="231F20"/>
          <w:sz w:val="16"/>
        </w:rPr>
        <w:t>estudios</w:t>
      </w:r>
      <w:r>
        <w:rPr>
          <w:color w:val="231F20"/>
          <w:spacing w:val="-8"/>
          <w:sz w:val="16"/>
        </w:rPr>
        <w:t> </w:t>
      </w:r>
      <w:r>
        <w:rPr>
          <w:color w:val="231F20"/>
          <w:sz w:val="16"/>
        </w:rPr>
        <w:t>en</w:t>
      </w:r>
      <w:r>
        <w:rPr>
          <w:color w:val="231F20"/>
          <w:spacing w:val="-8"/>
          <w:sz w:val="16"/>
        </w:rPr>
        <w:t> </w:t>
      </w:r>
      <w:r>
        <w:rPr>
          <w:color w:val="231F20"/>
          <w:sz w:val="16"/>
        </w:rPr>
        <w:t>informática</w:t>
      </w:r>
      <w:r>
        <w:rPr>
          <w:color w:val="231F20"/>
          <w:spacing w:val="-8"/>
          <w:sz w:val="16"/>
        </w:rPr>
        <w:t> </w:t>
      </w:r>
      <w:r>
        <w:rPr>
          <w:color w:val="231F20"/>
          <w:sz w:val="16"/>
        </w:rPr>
        <w:t>y</w:t>
      </w:r>
      <w:r>
        <w:rPr>
          <w:color w:val="231F20"/>
          <w:spacing w:val="-8"/>
          <w:sz w:val="16"/>
        </w:rPr>
        <w:t> </w:t>
      </w:r>
      <w:r>
        <w:rPr>
          <w:color w:val="231F20"/>
          <w:sz w:val="16"/>
        </w:rPr>
        <w:t>administración</w:t>
      </w:r>
      <w:r>
        <w:rPr>
          <w:color w:val="231F20"/>
          <w:spacing w:val="-8"/>
          <w:sz w:val="16"/>
        </w:rPr>
        <w:t> </w:t>
      </w:r>
      <w:r>
        <w:rPr>
          <w:color w:val="231F20"/>
          <w:sz w:val="16"/>
        </w:rPr>
        <w:t>de</w:t>
      </w:r>
      <w:r>
        <w:rPr>
          <w:color w:val="231F20"/>
          <w:spacing w:val="-8"/>
          <w:sz w:val="16"/>
        </w:rPr>
        <w:t> </w:t>
      </w:r>
      <w:r>
        <w:rPr>
          <w:color w:val="231F20"/>
          <w:sz w:val="16"/>
        </w:rPr>
        <w:t>empresas.</w:t>
      </w:r>
      <w:r>
        <w:rPr>
          <w:color w:val="231F20"/>
          <w:spacing w:val="-8"/>
          <w:sz w:val="16"/>
        </w:rPr>
        <w:t> </w:t>
      </w:r>
      <w:r>
        <w:rPr>
          <w:color w:val="231F20"/>
          <w:sz w:val="16"/>
        </w:rPr>
        <w:t>Además</w:t>
      </w:r>
      <w:r>
        <w:rPr>
          <w:color w:val="231F20"/>
          <w:spacing w:val="-8"/>
          <w:sz w:val="16"/>
        </w:rPr>
        <w:t> </w:t>
      </w:r>
      <w:r>
        <w:rPr>
          <w:color w:val="231F20"/>
          <w:sz w:val="16"/>
        </w:rPr>
        <w:t>resalta</w:t>
      </w:r>
      <w:r>
        <w:rPr>
          <w:color w:val="231F20"/>
          <w:spacing w:val="-8"/>
          <w:sz w:val="16"/>
        </w:rPr>
        <w:t> </w:t>
      </w:r>
      <w:r>
        <w:rPr>
          <w:color w:val="231F20"/>
          <w:sz w:val="16"/>
        </w:rPr>
        <w:t>que</w:t>
      </w:r>
      <w:r>
        <w:rPr>
          <w:color w:val="231F20"/>
          <w:spacing w:val="-8"/>
          <w:sz w:val="16"/>
        </w:rPr>
        <w:t> </w:t>
      </w:r>
      <w:r>
        <w:rPr>
          <w:color w:val="231F20"/>
          <w:sz w:val="16"/>
        </w:rPr>
        <w:t>ha</w:t>
      </w:r>
      <w:r>
        <w:rPr>
          <w:color w:val="231F20"/>
          <w:spacing w:val="-8"/>
          <w:sz w:val="16"/>
        </w:rPr>
        <w:t> </w:t>
      </w:r>
      <w:r>
        <w:rPr>
          <w:color w:val="231F20"/>
          <w:sz w:val="16"/>
        </w:rPr>
        <w:t>radicado</w:t>
      </w:r>
      <w:r>
        <w:rPr>
          <w:color w:val="231F20"/>
          <w:spacing w:val="-8"/>
          <w:sz w:val="16"/>
        </w:rPr>
        <w:t> </w:t>
      </w:r>
      <w:r>
        <w:rPr>
          <w:color w:val="231F20"/>
          <w:sz w:val="16"/>
        </w:rPr>
        <w:t>en</w:t>
      </w:r>
      <w:r>
        <w:rPr>
          <w:color w:val="231F20"/>
          <w:spacing w:val="-8"/>
          <w:sz w:val="16"/>
        </w:rPr>
        <w:t> </w:t>
      </w:r>
      <w:r>
        <w:rPr>
          <w:color w:val="231F20"/>
          <w:sz w:val="16"/>
        </w:rPr>
        <w:t>la</w:t>
      </w:r>
      <w:r>
        <w:rPr>
          <w:color w:val="231F20"/>
          <w:spacing w:val="-8"/>
          <w:sz w:val="16"/>
        </w:rPr>
        <w:t> </w:t>
      </w:r>
      <w:r>
        <w:rPr>
          <w:color w:val="231F20"/>
          <w:sz w:val="16"/>
        </w:rPr>
        <w:t>zona</w:t>
      </w:r>
      <w:r>
        <w:rPr>
          <w:color w:val="231F20"/>
          <w:spacing w:val="-8"/>
          <w:sz w:val="16"/>
        </w:rPr>
        <w:t> </w:t>
      </w:r>
      <w:r>
        <w:rPr>
          <w:color w:val="231F20"/>
          <w:sz w:val="16"/>
        </w:rPr>
        <w:t>tradicional</w:t>
      </w:r>
      <w:r>
        <w:rPr>
          <w:color w:val="231F20"/>
          <w:spacing w:val="-8"/>
          <w:sz w:val="16"/>
        </w:rPr>
        <w:t> </w:t>
      </w:r>
      <w:r>
        <w:rPr>
          <w:color w:val="231F20"/>
          <w:sz w:val="16"/>
        </w:rPr>
        <w:t>del </w:t>
      </w:r>
      <w:r>
        <w:rPr>
          <w:color w:val="231F20"/>
          <w:w w:val="95"/>
          <w:sz w:val="16"/>
        </w:rPr>
        <w:t>municipio  (FUENTES,</w:t>
      </w:r>
      <w:r>
        <w:rPr>
          <w:color w:val="231F20"/>
          <w:spacing w:val="3"/>
          <w:w w:val="95"/>
          <w:sz w:val="16"/>
        </w:rPr>
        <w:t> </w:t>
      </w:r>
      <w:r>
        <w:rPr>
          <w:color w:val="231F20"/>
          <w:w w:val="95"/>
          <w:sz w:val="16"/>
        </w:rPr>
        <w:t>2008b).</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medida</w:t>
      </w:r>
      <w:r>
        <w:rPr>
          <w:color w:val="231F20"/>
          <w:spacing w:val="-13"/>
          <w:w w:val="105"/>
        </w:rPr>
        <w:t> </w:t>
      </w:r>
      <w:r>
        <w:rPr>
          <w:color w:val="231F20"/>
          <w:w w:val="105"/>
        </w:rPr>
        <w:t>reportan</w:t>
      </w:r>
      <w:r>
        <w:rPr>
          <w:color w:val="231F20"/>
          <w:spacing w:val="-13"/>
          <w:w w:val="105"/>
        </w:rPr>
        <w:t> </w:t>
      </w:r>
      <w:r>
        <w:rPr>
          <w:color w:val="231F20"/>
          <w:w w:val="105"/>
        </w:rPr>
        <w:t>obras</w:t>
      </w:r>
      <w:r>
        <w:rPr>
          <w:color w:val="231F20"/>
          <w:spacing w:val="-13"/>
          <w:w w:val="105"/>
        </w:rPr>
        <w:t> </w:t>
      </w:r>
      <w:r>
        <w:rPr>
          <w:color w:val="231F20"/>
          <w:w w:val="105"/>
        </w:rPr>
        <w:t>dedicadas</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extensión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servicios</w:t>
      </w:r>
      <w:r>
        <w:rPr>
          <w:color w:val="231F20"/>
          <w:spacing w:val="-13"/>
          <w:w w:val="105"/>
        </w:rPr>
        <w:t> </w:t>
      </w:r>
      <w:r>
        <w:rPr>
          <w:color w:val="231F20"/>
          <w:w w:val="105"/>
        </w:rPr>
        <w:t>públicos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territorio municipal. Sin embargo, cada administración optó por imprimir a su gestión un “sello particular”</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ejercicio;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primero</w:t>
      </w:r>
      <w:r>
        <w:rPr>
          <w:color w:val="231F20"/>
          <w:spacing w:val="-10"/>
          <w:w w:val="105"/>
        </w:rPr>
        <w:t> </w:t>
      </w:r>
      <w:r>
        <w:rPr>
          <w:color w:val="231F20"/>
          <w:w w:val="105"/>
        </w:rPr>
        <w:t>se</w:t>
      </w:r>
      <w:r>
        <w:rPr>
          <w:color w:val="231F20"/>
          <w:spacing w:val="-10"/>
          <w:w w:val="105"/>
        </w:rPr>
        <w:t> </w:t>
      </w:r>
      <w:r>
        <w:rPr>
          <w:color w:val="231F20"/>
          <w:w w:val="105"/>
        </w:rPr>
        <w:t>orientó</w:t>
      </w:r>
      <w:r>
        <w:rPr>
          <w:color w:val="231F20"/>
          <w:spacing w:val="-10"/>
          <w:w w:val="105"/>
        </w:rPr>
        <w:t> </w:t>
      </w:r>
      <w:r>
        <w:rPr>
          <w:color w:val="231F20"/>
          <w:w w:val="105"/>
        </w:rPr>
        <w:t>hacia</w:t>
      </w:r>
      <w:r>
        <w:rPr>
          <w:color w:val="231F20"/>
          <w:spacing w:val="-10"/>
          <w:w w:val="105"/>
        </w:rPr>
        <w:t> </w:t>
      </w:r>
      <w:r>
        <w:rPr>
          <w:color w:val="231F20"/>
          <w:w w:val="105"/>
        </w:rPr>
        <w:t>los</w:t>
      </w:r>
      <w:r>
        <w:rPr>
          <w:color w:val="231F20"/>
          <w:spacing w:val="-10"/>
          <w:w w:val="105"/>
        </w:rPr>
        <w:t> </w:t>
      </w:r>
      <w:r>
        <w:rPr>
          <w:color w:val="231F20"/>
          <w:w w:val="105"/>
        </w:rPr>
        <w:t>temas</w:t>
      </w:r>
      <w:r>
        <w:rPr>
          <w:color w:val="231F20"/>
          <w:spacing w:val="-10"/>
          <w:w w:val="105"/>
        </w:rPr>
        <w:t> </w:t>
      </w:r>
      <w:r>
        <w:rPr>
          <w:color w:val="231F20"/>
          <w:w w:val="105"/>
        </w:rPr>
        <w:t>de</w:t>
      </w:r>
      <w:r>
        <w:rPr>
          <w:color w:val="231F20"/>
          <w:spacing w:val="-10"/>
          <w:w w:val="105"/>
        </w:rPr>
        <w:t> </w:t>
      </w:r>
      <w:r>
        <w:rPr>
          <w:color w:val="231F20"/>
          <w:w w:val="105"/>
        </w:rPr>
        <w:t>seguridad</w:t>
      </w:r>
      <w:r>
        <w:rPr>
          <w:color w:val="231F20"/>
          <w:spacing w:val="-10"/>
          <w:w w:val="105"/>
        </w:rPr>
        <w:t> </w:t>
      </w:r>
      <w:r>
        <w:rPr>
          <w:color w:val="231F20"/>
          <w:w w:val="105"/>
        </w:rPr>
        <w:t>y</w:t>
      </w:r>
      <w:r>
        <w:rPr>
          <w:color w:val="231F20"/>
          <w:spacing w:val="-10"/>
          <w:w w:val="105"/>
        </w:rPr>
        <w:t> </w:t>
      </w:r>
      <w:r>
        <w:rPr>
          <w:color w:val="231F20"/>
          <w:w w:val="105"/>
        </w:rPr>
        <w:t>obra social, mientras que en el último se dirigió hacia la obra pública centrada en las viali- dades</w:t>
      </w:r>
      <w:r>
        <w:rPr>
          <w:color w:val="231F20"/>
          <w:spacing w:val="-9"/>
          <w:w w:val="105"/>
        </w:rPr>
        <w:t> </w:t>
      </w:r>
      <w:r>
        <w:rPr>
          <w:color w:val="231F20"/>
          <w:w w:val="105"/>
        </w:rPr>
        <w:t>y</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“compromisos</w:t>
      </w:r>
      <w:r>
        <w:rPr>
          <w:color w:val="231F20"/>
          <w:spacing w:val="-9"/>
          <w:w w:val="105"/>
        </w:rPr>
        <w:t> </w:t>
      </w:r>
      <w:r>
        <w:rPr>
          <w:color w:val="231F20"/>
          <w:w w:val="105"/>
        </w:rPr>
        <w:t>de</w:t>
      </w:r>
      <w:r>
        <w:rPr>
          <w:color w:val="231F20"/>
          <w:spacing w:val="-9"/>
          <w:w w:val="105"/>
        </w:rPr>
        <w:t> </w:t>
      </w:r>
      <w:r>
        <w:rPr>
          <w:color w:val="231F20"/>
          <w:w w:val="105"/>
        </w:rPr>
        <w:t>campaña</w:t>
      </w:r>
      <w:r>
        <w:rPr>
          <w:color w:val="231F20"/>
          <w:spacing w:val="-9"/>
          <w:w w:val="105"/>
        </w:rPr>
        <w:t> </w:t>
      </w:r>
      <w:r>
        <w:rPr>
          <w:color w:val="231F20"/>
          <w:w w:val="105"/>
        </w:rPr>
        <w:t>firmados</w:t>
      </w:r>
      <w:r>
        <w:rPr>
          <w:color w:val="231F20"/>
          <w:spacing w:val="-9"/>
          <w:w w:val="105"/>
        </w:rPr>
        <w:t> </w:t>
      </w:r>
      <w:r>
        <w:rPr>
          <w:color w:val="231F20"/>
          <w:w w:val="105"/>
        </w:rPr>
        <w:t>ante</w:t>
      </w:r>
      <w:r>
        <w:rPr>
          <w:color w:val="231F20"/>
          <w:spacing w:val="-9"/>
          <w:w w:val="105"/>
        </w:rPr>
        <w:t> </w:t>
      </w:r>
      <w:r>
        <w:rPr>
          <w:color w:val="231F20"/>
          <w:w w:val="105"/>
        </w:rPr>
        <w:t>notario</w:t>
      </w:r>
      <w:r>
        <w:rPr>
          <w:color w:val="231F20"/>
          <w:spacing w:val="-9"/>
          <w:w w:val="105"/>
        </w:rPr>
        <w:t> </w:t>
      </w:r>
      <w:r>
        <w:rPr>
          <w:color w:val="231F20"/>
          <w:w w:val="105"/>
        </w:rPr>
        <w:t>público</w:t>
      </w:r>
      <w:r>
        <w:rPr>
          <w:color w:val="231F20"/>
          <w:w w:val="105"/>
          <w:position w:val="7"/>
          <w:sz w:val="13"/>
        </w:rPr>
        <w:t>”29.</w:t>
      </w:r>
      <w:r>
        <w:rPr>
          <w:color w:val="231F20"/>
          <w:spacing w:val="14"/>
          <w:w w:val="105"/>
          <w:position w:val="7"/>
          <w:sz w:val="13"/>
        </w:rPr>
        <w:t> </w:t>
      </w:r>
      <w:r>
        <w:rPr>
          <w:color w:val="231F20"/>
          <w:w w:val="105"/>
        </w:rPr>
        <w:t>A</w:t>
      </w:r>
      <w:r>
        <w:rPr>
          <w:color w:val="231F20"/>
          <w:spacing w:val="-9"/>
          <w:w w:val="105"/>
        </w:rPr>
        <w:t> </w:t>
      </w:r>
      <w:r>
        <w:rPr>
          <w:color w:val="231F20"/>
          <w:w w:val="105"/>
        </w:rPr>
        <w:t>pesar</w:t>
      </w:r>
      <w:r>
        <w:rPr>
          <w:color w:val="231F20"/>
          <w:spacing w:val="-9"/>
          <w:w w:val="105"/>
        </w:rPr>
        <w:t> </w:t>
      </w:r>
      <w:r>
        <w:rPr>
          <w:color w:val="231F20"/>
          <w:w w:val="105"/>
        </w:rPr>
        <w:t>de</w:t>
      </w:r>
      <w:r>
        <w:rPr>
          <w:color w:val="231F20"/>
          <w:spacing w:val="-9"/>
          <w:w w:val="105"/>
        </w:rPr>
        <w:t> </w:t>
      </w:r>
      <w:r>
        <w:rPr>
          <w:color w:val="231F20"/>
          <w:w w:val="105"/>
        </w:rPr>
        <w:t>la importante inversión en tecnología de vigilancia pública, </w:t>
      </w:r>
      <w:r>
        <w:rPr>
          <w:color w:val="231F20"/>
          <w:spacing w:val="2"/>
          <w:w w:val="105"/>
        </w:rPr>
        <w:t>al final </w:t>
      </w:r>
      <w:r>
        <w:rPr>
          <w:color w:val="231F20"/>
          <w:w w:val="105"/>
        </w:rPr>
        <w:t>la ciudadanía parece no</w:t>
      </w:r>
      <w:r>
        <w:rPr>
          <w:color w:val="231F20"/>
          <w:spacing w:val="-8"/>
          <w:w w:val="105"/>
        </w:rPr>
        <w:t> </w:t>
      </w:r>
      <w:r>
        <w:rPr>
          <w:color w:val="231F20"/>
          <w:w w:val="105"/>
        </w:rPr>
        <w:t>sentirse</w:t>
      </w:r>
      <w:r>
        <w:rPr>
          <w:color w:val="231F20"/>
          <w:spacing w:val="-8"/>
          <w:w w:val="105"/>
        </w:rPr>
        <w:t> </w:t>
      </w:r>
      <w:r>
        <w:rPr>
          <w:color w:val="231F20"/>
          <w:w w:val="105"/>
        </w:rPr>
        <w:t>segura</w:t>
      </w:r>
      <w:r>
        <w:rPr>
          <w:color w:val="231F20"/>
          <w:spacing w:val="-8"/>
          <w:w w:val="105"/>
        </w:rPr>
        <w:t> </w:t>
      </w:r>
      <w:r>
        <w:rPr>
          <w:color w:val="231F20"/>
          <w:w w:val="105"/>
        </w:rPr>
        <w:t>del</w:t>
      </w:r>
      <w:r>
        <w:rPr>
          <w:color w:val="231F20"/>
          <w:spacing w:val="-8"/>
          <w:w w:val="105"/>
        </w:rPr>
        <w:t> </w:t>
      </w:r>
      <w:r>
        <w:rPr>
          <w:color w:val="231F20"/>
          <w:w w:val="105"/>
        </w:rPr>
        <w:t>todo</w:t>
      </w:r>
      <w:r>
        <w:rPr>
          <w:color w:val="231F20"/>
          <w:spacing w:val="-8"/>
          <w:w w:val="105"/>
        </w:rPr>
        <w:t> </w:t>
      </w:r>
      <w:r>
        <w:rPr>
          <w:color w:val="231F20"/>
          <w:w w:val="105"/>
        </w:rPr>
        <w:t>pues</w:t>
      </w:r>
      <w:r>
        <w:rPr>
          <w:color w:val="231F20"/>
          <w:spacing w:val="-8"/>
          <w:w w:val="105"/>
        </w:rPr>
        <w:t> </w:t>
      </w:r>
      <w:r>
        <w:rPr>
          <w:color w:val="231F20"/>
          <w:w w:val="105"/>
        </w:rPr>
        <w:t>en</w:t>
      </w:r>
      <w:r>
        <w:rPr>
          <w:color w:val="231F20"/>
          <w:spacing w:val="-8"/>
          <w:w w:val="105"/>
        </w:rPr>
        <w:t> </w:t>
      </w:r>
      <w:r>
        <w:rPr>
          <w:color w:val="231F20"/>
          <w:w w:val="105"/>
        </w:rPr>
        <w:t>gran</w:t>
      </w:r>
      <w:r>
        <w:rPr>
          <w:color w:val="231F20"/>
          <w:spacing w:val="-8"/>
          <w:w w:val="105"/>
        </w:rPr>
        <w:t> </w:t>
      </w:r>
      <w:r>
        <w:rPr>
          <w:color w:val="231F20"/>
          <w:w w:val="105"/>
        </w:rPr>
        <w:t>medida</w:t>
      </w:r>
      <w:r>
        <w:rPr>
          <w:color w:val="231F20"/>
          <w:spacing w:val="-8"/>
          <w:w w:val="105"/>
        </w:rPr>
        <w:t> </w:t>
      </w:r>
      <w:r>
        <w:rPr>
          <w:color w:val="231F20"/>
          <w:w w:val="105"/>
        </w:rPr>
        <w:t>su</w:t>
      </w:r>
      <w:r>
        <w:rPr>
          <w:color w:val="231F20"/>
          <w:spacing w:val="-8"/>
          <w:w w:val="105"/>
        </w:rPr>
        <w:t> </w:t>
      </w:r>
      <w:r>
        <w:rPr>
          <w:color w:val="231F20"/>
          <w:w w:val="105"/>
        </w:rPr>
        <w:t>percepción</w:t>
      </w:r>
      <w:r>
        <w:rPr>
          <w:color w:val="231F20"/>
          <w:spacing w:val="-8"/>
          <w:w w:val="105"/>
        </w:rPr>
        <w:t> </w:t>
      </w:r>
      <w:r>
        <w:rPr>
          <w:color w:val="231F20"/>
          <w:w w:val="105"/>
        </w:rPr>
        <w:t>surge</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relación</w:t>
      </w:r>
      <w:r>
        <w:rPr>
          <w:color w:val="231F20"/>
          <w:spacing w:val="-8"/>
          <w:w w:val="105"/>
        </w:rPr>
        <w:t> </w:t>
      </w:r>
      <w:r>
        <w:rPr>
          <w:color w:val="231F20"/>
          <w:w w:val="105"/>
        </w:rPr>
        <w:t>que mantienen</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w w:val="105"/>
        </w:rPr>
        <w:t>cuerpos</w:t>
      </w:r>
      <w:r>
        <w:rPr>
          <w:color w:val="231F20"/>
          <w:spacing w:val="-17"/>
          <w:w w:val="105"/>
        </w:rPr>
        <w:t> </w:t>
      </w:r>
      <w:r>
        <w:rPr>
          <w:color w:val="231F20"/>
          <w:w w:val="105"/>
        </w:rPr>
        <w:t>policiales,</w:t>
      </w:r>
      <w:r>
        <w:rPr>
          <w:color w:val="231F20"/>
          <w:spacing w:val="-17"/>
          <w:w w:val="105"/>
        </w:rPr>
        <w:t> </w:t>
      </w:r>
      <w:r>
        <w:rPr>
          <w:color w:val="231F20"/>
          <w:w w:val="105"/>
        </w:rPr>
        <w:t>en</w:t>
      </w:r>
      <w:r>
        <w:rPr>
          <w:color w:val="231F20"/>
          <w:spacing w:val="-17"/>
          <w:w w:val="105"/>
        </w:rPr>
        <w:t> </w:t>
      </w:r>
      <w:r>
        <w:rPr>
          <w:color w:val="231F20"/>
          <w:spacing w:val="-3"/>
          <w:w w:val="105"/>
        </w:rPr>
        <w:t>donde</w:t>
      </w:r>
      <w:r>
        <w:rPr>
          <w:color w:val="231F20"/>
          <w:spacing w:val="-17"/>
          <w:w w:val="105"/>
        </w:rPr>
        <w:t> </w:t>
      </w:r>
      <w:r>
        <w:rPr>
          <w:color w:val="231F20"/>
          <w:w w:val="105"/>
        </w:rPr>
        <w:t>se</w:t>
      </w:r>
      <w:r>
        <w:rPr>
          <w:color w:val="231F20"/>
          <w:spacing w:val="-17"/>
          <w:w w:val="105"/>
        </w:rPr>
        <w:t> </w:t>
      </w:r>
      <w:r>
        <w:rPr>
          <w:color w:val="231F20"/>
          <w:w w:val="105"/>
        </w:rPr>
        <w:t>radican</w:t>
      </w:r>
      <w:r>
        <w:rPr>
          <w:color w:val="231F20"/>
          <w:spacing w:val="-17"/>
          <w:w w:val="105"/>
        </w:rPr>
        <w:t> </w:t>
      </w:r>
      <w:r>
        <w:rPr>
          <w:color w:val="231F20"/>
          <w:w w:val="105"/>
        </w:rPr>
        <w:t>las</w:t>
      </w:r>
      <w:r>
        <w:rPr>
          <w:color w:val="231F20"/>
          <w:spacing w:val="-17"/>
          <w:w w:val="105"/>
        </w:rPr>
        <w:t> </w:t>
      </w:r>
      <w:r>
        <w:rPr>
          <w:color w:val="231F20"/>
          <w:w w:val="105"/>
        </w:rPr>
        <w:t>principales</w:t>
      </w:r>
      <w:r>
        <w:rPr>
          <w:color w:val="231F20"/>
          <w:spacing w:val="-17"/>
          <w:w w:val="105"/>
        </w:rPr>
        <w:t> </w:t>
      </w:r>
      <w:r>
        <w:rPr>
          <w:color w:val="231F20"/>
          <w:w w:val="105"/>
        </w:rPr>
        <w:t>debilidades</w:t>
      </w:r>
      <w:r>
        <w:rPr>
          <w:color w:val="231F20"/>
          <w:spacing w:val="-17"/>
          <w:w w:val="105"/>
        </w:rPr>
        <w:t> </w:t>
      </w:r>
      <w:r>
        <w:rPr>
          <w:color w:val="231F20"/>
          <w:w w:val="105"/>
        </w:rPr>
        <w:t>de la</w:t>
      </w:r>
      <w:r>
        <w:rPr>
          <w:color w:val="231F20"/>
          <w:spacing w:val="-13"/>
          <w:w w:val="105"/>
        </w:rPr>
        <w:t> </w:t>
      </w:r>
      <w:r>
        <w:rPr>
          <w:color w:val="231F20"/>
          <w:w w:val="105"/>
        </w:rPr>
        <w:t>infraestructura</w:t>
      </w:r>
      <w:r>
        <w:rPr>
          <w:color w:val="231F20"/>
          <w:spacing w:val="-13"/>
          <w:w w:val="105"/>
        </w:rPr>
        <w:t> </w:t>
      </w:r>
      <w:r>
        <w:rPr>
          <w:color w:val="231F20"/>
          <w:w w:val="105"/>
        </w:rPr>
        <w:t>de</w:t>
      </w:r>
      <w:r>
        <w:rPr>
          <w:color w:val="231F20"/>
          <w:spacing w:val="-13"/>
          <w:w w:val="105"/>
        </w:rPr>
        <w:t> </w:t>
      </w:r>
      <w:r>
        <w:rPr>
          <w:color w:val="231F20"/>
          <w:w w:val="105"/>
        </w:rPr>
        <w:t>seguridad</w:t>
      </w:r>
      <w:r>
        <w:rPr>
          <w:color w:val="231F20"/>
          <w:spacing w:val="-13"/>
          <w:w w:val="105"/>
        </w:rPr>
        <w:t> </w:t>
      </w:r>
      <w:r>
        <w:rPr>
          <w:color w:val="231F20"/>
          <w:w w:val="105"/>
        </w:rPr>
        <w:t>pública.</w:t>
      </w:r>
      <w:r>
        <w:rPr>
          <w:color w:val="231F20"/>
          <w:spacing w:val="-13"/>
          <w:w w:val="105"/>
        </w:rPr>
        <w:t> </w:t>
      </w:r>
      <w:r>
        <w:rPr>
          <w:color w:val="231F20"/>
          <w:w w:val="105"/>
        </w:rPr>
        <w:t>Además,</w:t>
      </w:r>
      <w:r>
        <w:rPr>
          <w:color w:val="231F20"/>
          <w:spacing w:val="-13"/>
          <w:w w:val="105"/>
        </w:rPr>
        <w:t> </w:t>
      </w:r>
      <w:r>
        <w:rPr>
          <w:color w:val="231F20"/>
          <w:w w:val="105"/>
        </w:rPr>
        <w:t>resalta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calificación</w:t>
      </w:r>
      <w:r>
        <w:rPr>
          <w:color w:val="231F20"/>
          <w:spacing w:val="-13"/>
          <w:w w:val="105"/>
        </w:rPr>
        <w:t> </w:t>
      </w:r>
      <w:r>
        <w:rPr>
          <w:color w:val="231F20"/>
          <w:w w:val="105"/>
        </w:rPr>
        <w:t>ciudadana</w:t>
      </w:r>
      <w:r>
        <w:rPr>
          <w:color w:val="231F20"/>
          <w:spacing w:val="-13"/>
          <w:w w:val="105"/>
        </w:rPr>
        <w:t> </w:t>
      </w:r>
      <w:r>
        <w:rPr>
          <w:color w:val="231F20"/>
          <w:w w:val="105"/>
        </w:rPr>
        <w:t>a la</w:t>
      </w:r>
      <w:r>
        <w:rPr>
          <w:color w:val="231F20"/>
          <w:spacing w:val="-16"/>
          <w:w w:val="105"/>
        </w:rPr>
        <w:t> </w:t>
      </w:r>
      <w:r>
        <w:rPr>
          <w:color w:val="231F20"/>
          <w:w w:val="105"/>
        </w:rPr>
        <w:t>obra</w:t>
      </w:r>
      <w:r>
        <w:rPr>
          <w:color w:val="231F20"/>
          <w:spacing w:val="-16"/>
          <w:w w:val="105"/>
        </w:rPr>
        <w:t> </w:t>
      </w:r>
      <w:r>
        <w:rPr>
          <w:color w:val="231F20"/>
          <w:w w:val="105"/>
        </w:rPr>
        <w:t>pública</w:t>
      </w:r>
      <w:r>
        <w:rPr>
          <w:color w:val="231F20"/>
          <w:spacing w:val="-16"/>
          <w:w w:val="105"/>
        </w:rPr>
        <w:t> </w:t>
      </w:r>
      <w:r>
        <w:rPr>
          <w:color w:val="231F20"/>
          <w:w w:val="105"/>
        </w:rPr>
        <w:t>en</w:t>
      </w:r>
      <w:r>
        <w:rPr>
          <w:color w:val="231F20"/>
          <w:spacing w:val="-16"/>
          <w:w w:val="105"/>
        </w:rPr>
        <w:t> </w:t>
      </w:r>
      <w:r>
        <w:rPr>
          <w:color w:val="231F20"/>
          <w:w w:val="105"/>
        </w:rPr>
        <w:t>vialidades</w:t>
      </w:r>
      <w:r>
        <w:rPr>
          <w:color w:val="231F20"/>
          <w:spacing w:val="-16"/>
          <w:w w:val="105"/>
        </w:rPr>
        <w:t> </w:t>
      </w:r>
      <w:r>
        <w:rPr>
          <w:color w:val="231F20"/>
          <w:w w:val="105"/>
        </w:rPr>
        <w:t>sigue</w:t>
      </w:r>
      <w:r>
        <w:rPr>
          <w:color w:val="231F20"/>
          <w:spacing w:val="-16"/>
          <w:w w:val="105"/>
        </w:rPr>
        <w:t> </w:t>
      </w:r>
      <w:r>
        <w:rPr>
          <w:color w:val="231F20"/>
          <w:spacing w:val="-2"/>
          <w:w w:val="105"/>
        </w:rPr>
        <w:t>siendo</w:t>
      </w:r>
      <w:r>
        <w:rPr>
          <w:color w:val="231F20"/>
          <w:spacing w:val="-16"/>
          <w:w w:val="105"/>
        </w:rPr>
        <w:t> </w:t>
      </w:r>
      <w:r>
        <w:rPr>
          <w:color w:val="231F20"/>
          <w:w w:val="105"/>
        </w:rPr>
        <w:t>baja</w:t>
      </w:r>
      <w:r>
        <w:rPr>
          <w:color w:val="231F20"/>
          <w:spacing w:val="-16"/>
          <w:w w:val="105"/>
        </w:rPr>
        <w:t> </w:t>
      </w:r>
      <w:r>
        <w:rPr>
          <w:color w:val="231F20"/>
          <w:w w:val="105"/>
        </w:rPr>
        <w:t>aún</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última</w:t>
      </w:r>
      <w:r>
        <w:rPr>
          <w:color w:val="231F20"/>
          <w:spacing w:val="-16"/>
          <w:w w:val="105"/>
        </w:rPr>
        <w:t> </w:t>
      </w:r>
      <w:r>
        <w:rPr>
          <w:color w:val="231F20"/>
          <w:w w:val="105"/>
        </w:rPr>
        <w:t>administración</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que se ha ejercido uno de los presupuestos más altos en dicho rubro</w:t>
      </w:r>
      <w:r>
        <w:rPr>
          <w:color w:val="231F20"/>
          <w:w w:val="105"/>
          <w:position w:val="7"/>
          <w:sz w:val="13"/>
        </w:rPr>
        <w:t>30; </w:t>
      </w:r>
      <w:r>
        <w:rPr>
          <w:color w:val="231F20"/>
          <w:w w:val="105"/>
        </w:rPr>
        <w:t>aparentemente hace falta</w:t>
      </w:r>
      <w:r>
        <w:rPr>
          <w:color w:val="231F20"/>
          <w:spacing w:val="-14"/>
          <w:w w:val="105"/>
        </w:rPr>
        <w:t> </w:t>
      </w:r>
      <w:r>
        <w:rPr>
          <w:color w:val="231F20"/>
          <w:w w:val="105"/>
        </w:rPr>
        <w:t>mayor</w:t>
      </w:r>
      <w:r>
        <w:rPr>
          <w:color w:val="231F20"/>
          <w:spacing w:val="-14"/>
          <w:w w:val="105"/>
        </w:rPr>
        <w:t> </w:t>
      </w:r>
      <w:r>
        <w:rPr>
          <w:color w:val="231F20"/>
          <w:w w:val="105"/>
        </w:rPr>
        <w:t>equidad</w:t>
      </w:r>
      <w:r>
        <w:rPr>
          <w:color w:val="231F20"/>
          <w:spacing w:val="-14"/>
          <w:w w:val="105"/>
        </w:rPr>
        <w:t> </w:t>
      </w:r>
      <w:r>
        <w:rPr>
          <w:color w:val="231F20"/>
          <w:w w:val="105"/>
        </w:rPr>
        <w:t>entre</w:t>
      </w:r>
      <w:r>
        <w:rPr>
          <w:color w:val="231F20"/>
          <w:spacing w:val="-14"/>
          <w:w w:val="105"/>
        </w:rPr>
        <w:t> </w:t>
      </w:r>
      <w:r>
        <w:rPr>
          <w:color w:val="231F20"/>
          <w:w w:val="105"/>
        </w:rPr>
        <w:t>las</w:t>
      </w:r>
      <w:r>
        <w:rPr>
          <w:color w:val="231F20"/>
          <w:spacing w:val="-14"/>
          <w:w w:val="105"/>
        </w:rPr>
        <w:t> </w:t>
      </w:r>
      <w:r>
        <w:rPr>
          <w:color w:val="231F20"/>
          <w:w w:val="105"/>
        </w:rPr>
        <w:t>demandas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ciudadanía</w:t>
      </w:r>
      <w:r>
        <w:rPr>
          <w:color w:val="231F20"/>
          <w:spacing w:val="-14"/>
          <w:w w:val="105"/>
        </w:rPr>
        <w:t> </w:t>
      </w:r>
      <w:r>
        <w:rPr>
          <w:color w:val="231F20"/>
          <w:w w:val="105"/>
        </w:rPr>
        <w:t>y</w:t>
      </w:r>
      <w:r>
        <w:rPr>
          <w:color w:val="231F20"/>
          <w:spacing w:val="-14"/>
          <w:w w:val="105"/>
        </w:rPr>
        <w:t> </w:t>
      </w:r>
      <w:r>
        <w:rPr>
          <w:color w:val="231F20"/>
          <w:w w:val="105"/>
        </w:rPr>
        <w:t>las</w:t>
      </w:r>
      <w:r>
        <w:rPr>
          <w:color w:val="231F20"/>
          <w:spacing w:val="-14"/>
          <w:w w:val="105"/>
        </w:rPr>
        <w:t> </w:t>
      </w:r>
      <w:r>
        <w:rPr>
          <w:color w:val="231F20"/>
          <w:w w:val="105"/>
        </w:rPr>
        <w:t>decisiones</w:t>
      </w:r>
      <w:r>
        <w:rPr>
          <w:color w:val="231F20"/>
          <w:spacing w:val="-14"/>
          <w:w w:val="105"/>
        </w:rPr>
        <w:t> </w:t>
      </w:r>
      <w:r>
        <w:rPr>
          <w:color w:val="231F20"/>
          <w:w w:val="105"/>
        </w:rPr>
        <w:t>de</w:t>
      </w:r>
      <w:r>
        <w:rPr>
          <w:color w:val="231F20"/>
          <w:spacing w:val="-14"/>
          <w:w w:val="105"/>
        </w:rPr>
        <w:t> </w:t>
      </w:r>
      <w:r>
        <w:rPr>
          <w:color w:val="231F20"/>
          <w:spacing w:val="-3"/>
          <w:w w:val="105"/>
        </w:rPr>
        <w:t>gobierno.</w:t>
      </w:r>
    </w:p>
    <w:p>
      <w:pPr>
        <w:pStyle w:val="BodyText"/>
        <w:spacing w:before="1"/>
        <w:rPr>
          <w:sz w:val="26"/>
        </w:rPr>
      </w:pPr>
    </w:p>
    <w:p>
      <w:pPr>
        <w:pStyle w:val="BodyText"/>
        <w:spacing w:line="285" w:lineRule="auto"/>
        <w:ind w:left="110" w:right="106"/>
        <w:jc w:val="both"/>
      </w:pPr>
      <w:r>
        <w:rPr>
          <w:color w:val="231F20"/>
          <w:w w:val="105"/>
        </w:rPr>
        <w:t>Respecto de los compromisos firmados ante notario público por Adrián Fuentes </w:t>
      </w:r>
      <w:r>
        <w:rPr>
          <w:color w:val="231F20"/>
          <w:spacing w:val="-3"/>
          <w:w w:val="105"/>
        </w:rPr>
        <w:t>du- </w:t>
      </w:r>
      <w:r>
        <w:rPr>
          <w:color w:val="231F20"/>
          <w:w w:val="105"/>
        </w:rPr>
        <w:t>rante su campaña esta fue una estrategia mediática que </w:t>
      </w:r>
      <w:r>
        <w:rPr>
          <w:color w:val="231F20"/>
          <w:spacing w:val="-3"/>
          <w:w w:val="105"/>
        </w:rPr>
        <w:t>adoptó </w:t>
      </w:r>
      <w:r>
        <w:rPr>
          <w:color w:val="231F20"/>
          <w:w w:val="105"/>
        </w:rPr>
        <w:t>por influencia de la organización</w:t>
      </w:r>
      <w:r>
        <w:rPr>
          <w:color w:val="231F20"/>
          <w:spacing w:val="-17"/>
          <w:w w:val="105"/>
        </w:rPr>
        <w:t> </w:t>
      </w:r>
      <w:r>
        <w:rPr>
          <w:color w:val="231F20"/>
          <w:w w:val="105"/>
        </w:rPr>
        <w:t>del</w:t>
      </w:r>
      <w:r>
        <w:rPr>
          <w:color w:val="231F20"/>
          <w:spacing w:val="-17"/>
          <w:w w:val="105"/>
        </w:rPr>
        <w:t> </w:t>
      </w:r>
      <w:r>
        <w:rPr>
          <w:color w:val="231F20"/>
          <w:w w:val="105"/>
        </w:rPr>
        <w:t>PRI</w:t>
      </w:r>
      <w:r>
        <w:rPr>
          <w:color w:val="231F20"/>
          <w:spacing w:val="-17"/>
          <w:w w:val="105"/>
        </w:rPr>
        <w:t> </w:t>
      </w:r>
      <w:r>
        <w:rPr>
          <w:color w:val="231F20"/>
          <w:w w:val="105"/>
        </w:rPr>
        <w:t>a</w:t>
      </w:r>
      <w:r>
        <w:rPr>
          <w:color w:val="231F20"/>
          <w:spacing w:val="-17"/>
          <w:w w:val="105"/>
        </w:rPr>
        <w:t> </w:t>
      </w:r>
      <w:r>
        <w:rPr>
          <w:color w:val="231F20"/>
          <w:w w:val="105"/>
        </w:rPr>
        <w:t>nivel</w:t>
      </w:r>
      <w:r>
        <w:rPr>
          <w:color w:val="231F20"/>
          <w:spacing w:val="-17"/>
          <w:w w:val="105"/>
        </w:rPr>
        <w:t> </w:t>
      </w:r>
      <w:r>
        <w:rPr>
          <w:color w:val="231F20"/>
          <w:w w:val="105"/>
        </w:rPr>
        <w:t>estatal</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elaboró</w:t>
      </w:r>
      <w:r>
        <w:rPr>
          <w:color w:val="231F20"/>
          <w:spacing w:val="-17"/>
          <w:w w:val="105"/>
        </w:rPr>
        <w:t> </w:t>
      </w:r>
      <w:r>
        <w:rPr>
          <w:color w:val="231F20"/>
          <w:w w:val="105"/>
        </w:rPr>
        <w:t>durante</w:t>
      </w:r>
      <w:r>
        <w:rPr>
          <w:color w:val="231F20"/>
          <w:spacing w:val="-17"/>
          <w:w w:val="105"/>
        </w:rPr>
        <w:t> </w:t>
      </w:r>
      <w:r>
        <w:rPr>
          <w:color w:val="231F20"/>
          <w:w w:val="105"/>
        </w:rPr>
        <w:t>la</w:t>
      </w:r>
      <w:r>
        <w:rPr>
          <w:color w:val="231F20"/>
          <w:spacing w:val="-17"/>
          <w:w w:val="105"/>
        </w:rPr>
        <w:t> </w:t>
      </w:r>
      <w:r>
        <w:rPr>
          <w:color w:val="231F20"/>
          <w:w w:val="105"/>
        </w:rPr>
        <w:t>propaganda</w:t>
      </w:r>
      <w:r>
        <w:rPr>
          <w:color w:val="231F20"/>
          <w:spacing w:val="-17"/>
          <w:w w:val="105"/>
        </w:rPr>
        <w:t> </w:t>
      </w:r>
      <w:r>
        <w:rPr>
          <w:color w:val="231F20"/>
          <w:w w:val="105"/>
        </w:rPr>
        <w:t>electoral</w:t>
      </w:r>
      <w:r>
        <w:rPr>
          <w:color w:val="231F20"/>
          <w:spacing w:val="-17"/>
          <w:w w:val="105"/>
        </w:rPr>
        <w:t> </w:t>
      </w:r>
      <w:r>
        <w:rPr>
          <w:color w:val="231F20"/>
          <w:w w:val="105"/>
        </w:rPr>
        <w:t>del entonces</w:t>
      </w:r>
      <w:r>
        <w:rPr>
          <w:color w:val="231F20"/>
          <w:spacing w:val="-8"/>
          <w:w w:val="105"/>
        </w:rPr>
        <w:t> </w:t>
      </w:r>
      <w:r>
        <w:rPr>
          <w:color w:val="231F20"/>
          <w:w w:val="105"/>
        </w:rPr>
        <w:t>candidato</w:t>
      </w:r>
      <w:r>
        <w:rPr>
          <w:color w:val="231F20"/>
          <w:spacing w:val="-8"/>
          <w:w w:val="105"/>
        </w:rPr>
        <w:t> </w:t>
      </w:r>
      <w:r>
        <w:rPr>
          <w:color w:val="231F20"/>
          <w:w w:val="105"/>
        </w:rPr>
        <w:t>tricolor</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gubernatura,</w:t>
      </w:r>
      <w:r>
        <w:rPr>
          <w:color w:val="231F20"/>
          <w:spacing w:val="-8"/>
          <w:w w:val="105"/>
        </w:rPr>
        <w:t> </w:t>
      </w:r>
      <w:r>
        <w:rPr>
          <w:color w:val="231F20"/>
          <w:w w:val="105"/>
        </w:rPr>
        <w:t>Enrique</w:t>
      </w:r>
      <w:r>
        <w:rPr>
          <w:color w:val="231F20"/>
          <w:spacing w:val="-8"/>
          <w:w w:val="105"/>
        </w:rPr>
        <w:t> </w:t>
      </w:r>
      <w:r>
        <w:rPr>
          <w:color w:val="231F20"/>
          <w:w w:val="105"/>
        </w:rPr>
        <w:t>Peña</w:t>
      </w:r>
      <w:r>
        <w:rPr>
          <w:color w:val="231F20"/>
          <w:spacing w:val="-8"/>
          <w:w w:val="105"/>
        </w:rPr>
        <w:t> </w:t>
      </w:r>
      <w:r>
        <w:rPr>
          <w:color w:val="231F20"/>
          <w:w w:val="105"/>
        </w:rPr>
        <w:t>Nieto,</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año</w:t>
      </w:r>
      <w:r>
        <w:rPr>
          <w:color w:val="231F20"/>
          <w:spacing w:val="-8"/>
          <w:w w:val="105"/>
        </w:rPr>
        <w:t> </w:t>
      </w:r>
      <w:r>
        <w:rPr>
          <w:color w:val="231F20"/>
          <w:spacing w:val="2"/>
          <w:w w:val="105"/>
        </w:rPr>
        <w:t>2005.</w:t>
      </w:r>
      <w:r>
        <w:rPr>
          <w:color w:val="231F20"/>
          <w:spacing w:val="-8"/>
          <w:w w:val="105"/>
        </w:rPr>
        <w:t> </w:t>
      </w:r>
      <w:r>
        <w:rPr>
          <w:color w:val="231F20"/>
          <w:w w:val="105"/>
        </w:rPr>
        <w:t>De esta</w:t>
      </w:r>
      <w:r>
        <w:rPr>
          <w:color w:val="231F20"/>
          <w:spacing w:val="-18"/>
          <w:w w:val="105"/>
        </w:rPr>
        <w:t> </w:t>
      </w:r>
      <w:r>
        <w:rPr>
          <w:color w:val="231F20"/>
          <w:w w:val="105"/>
        </w:rPr>
        <w:t>manera,</w:t>
      </w:r>
      <w:r>
        <w:rPr>
          <w:color w:val="231F20"/>
          <w:spacing w:val="-18"/>
          <w:w w:val="105"/>
        </w:rPr>
        <w:t> </w:t>
      </w:r>
      <w:r>
        <w:rPr>
          <w:color w:val="231F20"/>
          <w:w w:val="105"/>
        </w:rPr>
        <w:t>el</w:t>
      </w:r>
      <w:r>
        <w:rPr>
          <w:color w:val="231F20"/>
          <w:spacing w:val="-18"/>
          <w:w w:val="105"/>
        </w:rPr>
        <w:t> </w:t>
      </w:r>
      <w:r>
        <w:rPr>
          <w:color w:val="231F20"/>
          <w:w w:val="105"/>
        </w:rPr>
        <w:t>alineamiento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estrategias</w:t>
      </w:r>
      <w:r>
        <w:rPr>
          <w:color w:val="231F20"/>
          <w:spacing w:val="-18"/>
          <w:w w:val="105"/>
        </w:rPr>
        <w:t> </w:t>
      </w:r>
      <w:r>
        <w:rPr>
          <w:color w:val="231F20"/>
          <w:w w:val="105"/>
        </w:rPr>
        <w:t>de</w:t>
      </w:r>
      <w:r>
        <w:rPr>
          <w:color w:val="231F20"/>
          <w:spacing w:val="-18"/>
          <w:w w:val="105"/>
        </w:rPr>
        <w:t> </w:t>
      </w:r>
      <w:r>
        <w:rPr>
          <w:color w:val="231F20"/>
          <w:w w:val="105"/>
        </w:rPr>
        <w:t>campaña</w:t>
      </w:r>
      <w:r>
        <w:rPr>
          <w:color w:val="231F20"/>
          <w:spacing w:val="-18"/>
          <w:w w:val="105"/>
        </w:rPr>
        <w:t> </w:t>
      </w:r>
      <w:r>
        <w:rPr>
          <w:color w:val="231F20"/>
          <w:w w:val="105"/>
        </w:rPr>
        <w:t>electoral</w:t>
      </w:r>
      <w:r>
        <w:rPr>
          <w:color w:val="231F20"/>
          <w:spacing w:val="-18"/>
          <w:w w:val="105"/>
        </w:rPr>
        <w:t> </w:t>
      </w:r>
      <w:r>
        <w:rPr>
          <w:color w:val="231F20"/>
          <w:w w:val="105"/>
        </w:rPr>
        <w:t>refleja</w:t>
      </w:r>
      <w:r>
        <w:rPr>
          <w:color w:val="231F20"/>
          <w:spacing w:val="-18"/>
          <w:w w:val="105"/>
        </w:rPr>
        <w:t> </w:t>
      </w:r>
      <w:r>
        <w:rPr>
          <w:color w:val="231F20"/>
          <w:w w:val="105"/>
        </w:rPr>
        <w:t>la</w:t>
      </w:r>
      <w:r>
        <w:rPr>
          <w:color w:val="231F20"/>
          <w:spacing w:val="-18"/>
          <w:w w:val="105"/>
        </w:rPr>
        <w:t> </w:t>
      </w:r>
      <w:r>
        <w:rPr>
          <w:color w:val="231F20"/>
          <w:w w:val="105"/>
        </w:rPr>
        <w:t>influencia que</w:t>
      </w:r>
      <w:r>
        <w:rPr>
          <w:color w:val="231F20"/>
          <w:spacing w:val="-8"/>
          <w:w w:val="105"/>
        </w:rPr>
        <w:t> </w:t>
      </w:r>
      <w:r>
        <w:rPr>
          <w:color w:val="231F20"/>
          <w:w w:val="105"/>
        </w:rPr>
        <w:t>ejerce</w:t>
      </w:r>
      <w:r>
        <w:rPr>
          <w:color w:val="231F20"/>
          <w:spacing w:val="-8"/>
          <w:w w:val="105"/>
        </w:rPr>
        <w:t> </w:t>
      </w:r>
      <w:r>
        <w:rPr>
          <w:color w:val="231F20"/>
          <w:w w:val="105"/>
        </w:rPr>
        <w:t>el</w:t>
      </w:r>
      <w:r>
        <w:rPr>
          <w:color w:val="231F20"/>
          <w:spacing w:val="-8"/>
          <w:w w:val="105"/>
        </w:rPr>
        <w:t> </w:t>
      </w:r>
      <w:r>
        <w:rPr>
          <w:color w:val="231F20"/>
          <w:w w:val="105"/>
        </w:rPr>
        <w:t>partido</w:t>
      </w:r>
      <w:r>
        <w:rPr>
          <w:color w:val="231F20"/>
          <w:spacing w:val="-8"/>
          <w:w w:val="105"/>
        </w:rPr>
        <w:t> </w:t>
      </w:r>
      <w:r>
        <w:rPr>
          <w:color w:val="231F20"/>
          <w:w w:val="105"/>
        </w:rPr>
        <w:t>a</w:t>
      </w:r>
      <w:r>
        <w:rPr>
          <w:color w:val="231F20"/>
          <w:spacing w:val="-8"/>
          <w:w w:val="105"/>
        </w:rPr>
        <w:t> </w:t>
      </w:r>
      <w:r>
        <w:rPr>
          <w:color w:val="231F20"/>
          <w:w w:val="105"/>
        </w:rPr>
        <w:t>nivel</w:t>
      </w:r>
      <w:r>
        <w:rPr>
          <w:color w:val="231F20"/>
          <w:spacing w:val="-8"/>
          <w:w w:val="105"/>
        </w:rPr>
        <w:t> </w:t>
      </w:r>
      <w:r>
        <w:rPr>
          <w:color w:val="231F20"/>
          <w:w w:val="105"/>
        </w:rPr>
        <w:t>estatal</w:t>
      </w:r>
      <w:r>
        <w:rPr>
          <w:color w:val="231F20"/>
          <w:spacing w:val="-8"/>
          <w:w w:val="105"/>
        </w:rPr>
        <w:t> </w:t>
      </w:r>
      <w:r>
        <w:rPr>
          <w:color w:val="231F20"/>
          <w:w w:val="105"/>
        </w:rPr>
        <w:t>sobre</w:t>
      </w:r>
      <w:r>
        <w:rPr>
          <w:color w:val="231F20"/>
          <w:spacing w:val="-8"/>
          <w:w w:val="105"/>
        </w:rPr>
        <w:t> </w:t>
      </w:r>
      <w:r>
        <w:rPr>
          <w:color w:val="231F20"/>
          <w:w w:val="105"/>
        </w:rPr>
        <w:t>los</w:t>
      </w:r>
      <w:r>
        <w:rPr>
          <w:color w:val="231F20"/>
          <w:spacing w:val="-8"/>
          <w:w w:val="105"/>
        </w:rPr>
        <w:t> </w:t>
      </w:r>
      <w:r>
        <w:rPr>
          <w:color w:val="231F20"/>
          <w:w w:val="105"/>
        </w:rPr>
        <w:t>políticos</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partido</w:t>
      </w:r>
      <w:r>
        <w:rPr>
          <w:color w:val="231F20"/>
          <w:spacing w:val="-8"/>
          <w:w w:val="105"/>
        </w:rPr>
        <w:t> </w:t>
      </w:r>
      <w:r>
        <w:rPr>
          <w:color w:val="231F20"/>
          <w:w w:val="105"/>
        </w:rPr>
        <w:t>en</w:t>
      </w:r>
      <w:r>
        <w:rPr>
          <w:color w:val="231F20"/>
          <w:spacing w:val="-8"/>
          <w:w w:val="105"/>
        </w:rPr>
        <w:t> </w:t>
      </w:r>
      <w:r>
        <w:rPr>
          <w:color w:val="231F20"/>
          <w:w w:val="105"/>
        </w:rPr>
        <w:t>busca</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car- go público; la estructura del PRI municipal fungió como una caja de resonancia de las estrategias electorales estatales durante la campaña para renovar </w:t>
      </w:r>
      <w:r>
        <w:rPr>
          <w:color w:val="231F20"/>
          <w:spacing w:val="2"/>
          <w:w w:val="105"/>
        </w:rPr>
        <w:t>al </w:t>
      </w:r>
      <w:r>
        <w:rPr>
          <w:color w:val="231F20"/>
          <w:w w:val="105"/>
        </w:rPr>
        <w:t>alcalde huixquilu- quense</w:t>
      </w:r>
      <w:r>
        <w:rPr>
          <w:color w:val="231F20"/>
          <w:spacing w:val="-19"/>
          <w:w w:val="105"/>
        </w:rPr>
        <w:t> </w:t>
      </w:r>
      <w:r>
        <w:rPr>
          <w:color w:val="231F20"/>
          <w:w w:val="105"/>
        </w:rPr>
        <w:t>durante</w:t>
      </w:r>
      <w:r>
        <w:rPr>
          <w:color w:val="231F20"/>
          <w:spacing w:val="-19"/>
          <w:w w:val="105"/>
        </w:rPr>
        <w:t> </w:t>
      </w:r>
      <w:r>
        <w:rPr>
          <w:color w:val="231F20"/>
          <w:w w:val="105"/>
        </w:rPr>
        <w:t>los</w:t>
      </w:r>
      <w:r>
        <w:rPr>
          <w:color w:val="231F20"/>
          <w:spacing w:val="-19"/>
          <w:w w:val="105"/>
        </w:rPr>
        <w:t> </w:t>
      </w:r>
      <w:r>
        <w:rPr>
          <w:color w:val="231F20"/>
          <w:w w:val="105"/>
        </w:rPr>
        <w:t>comicios</w:t>
      </w:r>
      <w:r>
        <w:rPr>
          <w:color w:val="231F20"/>
          <w:spacing w:val="-19"/>
          <w:w w:val="105"/>
        </w:rPr>
        <w:t> </w:t>
      </w:r>
      <w:r>
        <w:rPr>
          <w:color w:val="231F20"/>
          <w:w w:val="105"/>
        </w:rPr>
        <w:t>de</w:t>
      </w:r>
      <w:r>
        <w:rPr>
          <w:color w:val="231F20"/>
          <w:spacing w:val="-19"/>
          <w:w w:val="105"/>
        </w:rPr>
        <w:t> </w:t>
      </w:r>
      <w:r>
        <w:rPr>
          <w:color w:val="231F20"/>
          <w:spacing w:val="3"/>
          <w:w w:val="105"/>
        </w:rPr>
        <w:t>2006,</w:t>
      </w:r>
      <w:r>
        <w:rPr>
          <w:color w:val="231F20"/>
          <w:spacing w:val="-19"/>
          <w:w w:val="105"/>
        </w:rPr>
        <w:t> </w:t>
      </w:r>
      <w:r>
        <w:rPr>
          <w:color w:val="231F20"/>
          <w:w w:val="105"/>
        </w:rPr>
        <w:t>puesto</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participó</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elaboración</w:t>
      </w:r>
      <w:r>
        <w:rPr>
          <w:color w:val="231F20"/>
          <w:spacing w:val="-19"/>
          <w:w w:val="105"/>
        </w:rPr>
        <w:t> </w:t>
      </w:r>
      <w:r>
        <w:rPr>
          <w:color w:val="231F20"/>
          <w:w w:val="105"/>
        </w:rPr>
        <w:t>de</w:t>
      </w:r>
      <w:r>
        <w:rPr>
          <w:color w:val="231F20"/>
          <w:spacing w:val="-19"/>
          <w:w w:val="105"/>
        </w:rPr>
        <w:t> </w:t>
      </w:r>
      <w:r>
        <w:rPr>
          <w:color w:val="231F20"/>
          <w:w w:val="105"/>
        </w:rPr>
        <w:t>dicha estrategia</w:t>
      </w:r>
      <w:r>
        <w:rPr>
          <w:color w:val="231F20"/>
          <w:spacing w:val="-15"/>
          <w:w w:val="105"/>
        </w:rPr>
        <w:t> </w:t>
      </w:r>
      <w:r>
        <w:rPr>
          <w:color w:val="231F20"/>
          <w:w w:val="105"/>
        </w:rPr>
        <w:t>ni</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compromisos</w:t>
      </w:r>
      <w:r>
        <w:rPr>
          <w:color w:val="231F20"/>
          <w:spacing w:val="-15"/>
          <w:w w:val="105"/>
        </w:rPr>
        <w:t> </w:t>
      </w:r>
      <w:r>
        <w:rPr>
          <w:color w:val="231F20"/>
          <w:w w:val="105"/>
        </w:rPr>
        <w:t>presentados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candidato,</w:t>
      </w:r>
      <w:r>
        <w:rPr>
          <w:color w:val="231F20"/>
          <w:spacing w:val="-15"/>
          <w:w w:val="105"/>
        </w:rPr>
        <w:t> </w:t>
      </w:r>
      <w:r>
        <w:rPr>
          <w:color w:val="231F20"/>
          <w:w w:val="105"/>
        </w:rPr>
        <w:t>Fuentes</w:t>
      </w:r>
      <w:r>
        <w:rPr>
          <w:color w:val="231F20"/>
          <w:spacing w:val="-15"/>
          <w:w w:val="105"/>
        </w:rPr>
        <w:t> </w:t>
      </w:r>
      <w:r>
        <w:rPr>
          <w:color w:val="231F20"/>
          <w:w w:val="105"/>
        </w:rPr>
        <w:t>Villalobos.</w:t>
      </w:r>
    </w:p>
    <w:p>
      <w:pPr>
        <w:pStyle w:val="BodyText"/>
        <w:spacing w:before="3"/>
      </w:pPr>
      <w:r>
        <w:rPr/>
        <w:pict>
          <v:line style="position:absolute;mso-position-horizontal-relative:page;mso-position-vertical-relative:paragraph;z-index:5896;mso-wrap-distance-left:0;mso-wrap-distance-right:0" from="42.519699pt,15.268893pt" to="114.519699pt,15.268893pt" stroked="true" strokeweight="1pt" strokecolor="#231f20">
            <w10:wrap type="topAndBottom"/>
          </v:line>
        </w:pict>
      </w:r>
    </w:p>
    <w:p>
      <w:pPr>
        <w:pStyle w:val="ListParagraph"/>
        <w:numPr>
          <w:ilvl w:val="0"/>
          <w:numId w:val="4"/>
        </w:numPr>
        <w:tabs>
          <w:tab w:pos="301" w:val="left" w:leader="none"/>
        </w:tabs>
        <w:spacing w:line="244" w:lineRule="auto" w:before="8" w:after="0"/>
        <w:ind w:left="110" w:right="107" w:firstLine="0"/>
        <w:jc w:val="both"/>
        <w:rPr>
          <w:sz w:val="16"/>
        </w:rPr>
      </w:pPr>
      <w:r>
        <w:rPr>
          <w:color w:val="231F20"/>
          <w:sz w:val="16"/>
        </w:rPr>
        <w:t>Adrián</w:t>
      </w:r>
      <w:r>
        <w:rPr>
          <w:color w:val="231F20"/>
          <w:spacing w:val="-11"/>
          <w:sz w:val="16"/>
        </w:rPr>
        <w:t> </w:t>
      </w:r>
      <w:r>
        <w:rPr>
          <w:color w:val="231F20"/>
          <w:sz w:val="16"/>
        </w:rPr>
        <w:t>Fuentes</w:t>
      </w:r>
      <w:r>
        <w:rPr>
          <w:color w:val="231F20"/>
          <w:spacing w:val="-11"/>
          <w:sz w:val="16"/>
        </w:rPr>
        <w:t> </w:t>
      </w:r>
      <w:r>
        <w:rPr>
          <w:color w:val="231F20"/>
          <w:sz w:val="16"/>
        </w:rPr>
        <w:t>optó</w:t>
      </w:r>
      <w:r>
        <w:rPr>
          <w:color w:val="231F20"/>
          <w:spacing w:val="-11"/>
          <w:sz w:val="16"/>
        </w:rPr>
        <w:t> </w:t>
      </w:r>
      <w:r>
        <w:rPr>
          <w:color w:val="231F20"/>
          <w:sz w:val="16"/>
        </w:rPr>
        <w:t>por</w:t>
      </w:r>
      <w:r>
        <w:rPr>
          <w:color w:val="231F20"/>
          <w:spacing w:val="-11"/>
          <w:sz w:val="16"/>
        </w:rPr>
        <w:t> </w:t>
      </w:r>
      <w:r>
        <w:rPr>
          <w:color w:val="231F20"/>
          <w:sz w:val="16"/>
        </w:rPr>
        <w:t>“firmar</w:t>
      </w:r>
      <w:r>
        <w:rPr>
          <w:color w:val="231F20"/>
          <w:spacing w:val="-11"/>
          <w:sz w:val="16"/>
        </w:rPr>
        <w:t> </w:t>
      </w:r>
      <w:r>
        <w:rPr>
          <w:color w:val="231F20"/>
          <w:sz w:val="16"/>
        </w:rPr>
        <w:t>ante</w:t>
      </w:r>
      <w:r>
        <w:rPr>
          <w:color w:val="231F20"/>
          <w:spacing w:val="-11"/>
          <w:sz w:val="16"/>
        </w:rPr>
        <w:t> </w:t>
      </w:r>
      <w:r>
        <w:rPr>
          <w:color w:val="231F20"/>
          <w:sz w:val="16"/>
        </w:rPr>
        <w:t>notario</w:t>
      </w:r>
      <w:r>
        <w:rPr>
          <w:color w:val="231F20"/>
          <w:spacing w:val="-11"/>
          <w:sz w:val="16"/>
        </w:rPr>
        <w:t> </w:t>
      </w:r>
      <w:r>
        <w:rPr>
          <w:color w:val="231F20"/>
          <w:sz w:val="16"/>
        </w:rPr>
        <w:t>público</w:t>
      </w:r>
      <w:r>
        <w:rPr>
          <w:color w:val="231F20"/>
          <w:spacing w:val="-11"/>
          <w:sz w:val="16"/>
        </w:rPr>
        <w:t> </w:t>
      </w:r>
      <w:r>
        <w:rPr>
          <w:color w:val="231F20"/>
          <w:sz w:val="16"/>
        </w:rPr>
        <w:t>sus</w:t>
      </w:r>
      <w:r>
        <w:rPr>
          <w:color w:val="231F20"/>
          <w:spacing w:val="-11"/>
          <w:sz w:val="16"/>
        </w:rPr>
        <w:t> </w:t>
      </w:r>
      <w:r>
        <w:rPr>
          <w:color w:val="231F20"/>
          <w:sz w:val="16"/>
        </w:rPr>
        <w:t>compromisos</w:t>
      </w:r>
      <w:r>
        <w:rPr>
          <w:color w:val="231F20"/>
          <w:spacing w:val="-11"/>
          <w:sz w:val="16"/>
        </w:rPr>
        <w:t> </w:t>
      </w:r>
      <w:r>
        <w:rPr>
          <w:color w:val="231F20"/>
          <w:sz w:val="16"/>
        </w:rPr>
        <w:t>de</w:t>
      </w:r>
      <w:r>
        <w:rPr>
          <w:color w:val="231F20"/>
          <w:spacing w:val="-11"/>
          <w:sz w:val="16"/>
        </w:rPr>
        <w:t> </w:t>
      </w:r>
      <w:r>
        <w:rPr>
          <w:color w:val="231F20"/>
          <w:sz w:val="16"/>
        </w:rPr>
        <w:t>campaña”.</w:t>
      </w:r>
      <w:r>
        <w:rPr>
          <w:color w:val="231F20"/>
          <w:spacing w:val="-11"/>
          <w:sz w:val="16"/>
        </w:rPr>
        <w:t> </w:t>
      </w:r>
      <w:r>
        <w:rPr>
          <w:color w:val="231F20"/>
          <w:sz w:val="16"/>
        </w:rPr>
        <w:t>Esta</w:t>
      </w:r>
      <w:r>
        <w:rPr>
          <w:color w:val="231F20"/>
          <w:spacing w:val="-11"/>
          <w:sz w:val="16"/>
        </w:rPr>
        <w:t> </w:t>
      </w:r>
      <w:r>
        <w:rPr>
          <w:color w:val="231F20"/>
          <w:sz w:val="16"/>
        </w:rPr>
        <w:t>fue</w:t>
      </w:r>
      <w:r>
        <w:rPr>
          <w:color w:val="231F20"/>
          <w:spacing w:val="-11"/>
          <w:sz w:val="16"/>
        </w:rPr>
        <w:t> </w:t>
      </w:r>
      <w:r>
        <w:rPr>
          <w:color w:val="231F20"/>
          <w:sz w:val="16"/>
        </w:rPr>
        <w:t>una</w:t>
      </w:r>
      <w:r>
        <w:rPr>
          <w:color w:val="231F20"/>
          <w:spacing w:val="-11"/>
          <w:sz w:val="16"/>
        </w:rPr>
        <w:t> </w:t>
      </w:r>
      <w:r>
        <w:rPr>
          <w:color w:val="231F20"/>
          <w:sz w:val="16"/>
        </w:rPr>
        <w:t>estrategia</w:t>
      </w:r>
      <w:r>
        <w:rPr>
          <w:color w:val="231F20"/>
          <w:spacing w:val="-11"/>
          <w:sz w:val="16"/>
        </w:rPr>
        <w:t> </w:t>
      </w:r>
      <w:r>
        <w:rPr>
          <w:color w:val="231F20"/>
          <w:sz w:val="16"/>
        </w:rPr>
        <w:t>de</w:t>
      </w:r>
      <w:r>
        <w:rPr>
          <w:color w:val="231F20"/>
          <w:spacing w:val="-11"/>
          <w:sz w:val="16"/>
        </w:rPr>
        <w:t> </w:t>
      </w:r>
      <w:r>
        <w:rPr>
          <w:color w:val="231F20"/>
          <w:sz w:val="16"/>
        </w:rPr>
        <w:t>campaña electoral que “heredó” de aquella que llevó a cabo el entonces candidato del PRI a la gubernatura mexiquense, Enrique Peña Nieto, durante el 2005 y que ahora se aplicó para los comicios municipales. En general, con dicha estrategia se busca fomentar la confianza de los electores en el cumplimiento de los compromisos y promesas de campaña en el caso de que el candidato priísta hubiera accedido al gobierno. Independientemente de su impacto en la intención del voto, se observó a esta estrategia como una práctica común del PRI mexiquense en las diversas contiendas electorales en que participaron </w:t>
      </w:r>
      <w:r>
        <w:rPr>
          <w:color w:val="231F20"/>
          <w:w w:val="95"/>
          <w:sz w:val="16"/>
        </w:rPr>
        <w:t>sus</w:t>
      </w:r>
      <w:r>
        <w:rPr>
          <w:color w:val="231F20"/>
          <w:spacing w:val="23"/>
          <w:w w:val="95"/>
          <w:sz w:val="16"/>
        </w:rPr>
        <w:t> </w:t>
      </w:r>
      <w:r>
        <w:rPr>
          <w:color w:val="231F20"/>
          <w:w w:val="95"/>
          <w:sz w:val="16"/>
        </w:rPr>
        <w:t>candidatos.</w:t>
      </w:r>
    </w:p>
    <w:p>
      <w:pPr>
        <w:pStyle w:val="ListParagraph"/>
        <w:numPr>
          <w:ilvl w:val="0"/>
          <w:numId w:val="4"/>
        </w:numPr>
        <w:tabs>
          <w:tab w:pos="309" w:val="left" w:leader="none"/>
        </w:tabs>
        <w:spacing w:line="244" w:lineRule="auto" w:before="0" w:after="0"/>
        <w:ind w:left="110" w:right="107" w:firstLine="0"/>
        <w:jc w:val="both"/>
        <w:rPr>
          <w:sz w:val="16"/>
        </w:rPr>
      </w:pPr>
      <w:r>
        <w:rPr>
          <w:color w:val="231F20"/>
          <w:sz w:val="16"/>
        </w:rPr>
        <w:t>La</w:t>
      </w:r>
      <w:r>
        <w:rPr>
          <w:color w:val="231F20"/>
          <w:spacing w:val="-5"/>
          <w:sz w:val="16"/>
        </w:rPr>
        <w:t> </w:t>
      </w:r>
      <w:r>
        <w:rPr>
          <w:color w:val="231F20"/>
          <w:sz w:val="16"/>
        </w:rPr>
        <w:t>encuesta</w:t>
      </w:r>
      <w:r>
        <w:rPr>
          <w:color w:val="231F20"/>
          <w:spacing w:val="-5"/>
          <w:sz w:val="16"/>
        </w:rPr>
        <w:t> </w:t>
      </w:r>
      <w:r>
        <w:rPr>
          <w:color w:val="231F20"/>
          <w:sz w:val="16"/>
        </w:rPr>
        <w:t>de</w:t>
      </w:r>
      <w:r>
        <w:rPr>
          <w:color w:val="231F20"/>
          <w:spacing w:val="-5"/>
          <w:sz w:val="16"/>
        </w:rPr>
        <w:t> </w:t>
      </w:r>
      <w:r>
        <w:rPr>
          <w:color w:val="231F20"/>
          <w:sz w:val="16"/>
        </w:rPr>
        <w:t>Reforma</w:t>
      </w:r>
      <w:r>
        <w:rPr>
          <w:color w:val="231F20"/>
          <w:spacing w:val="-5"/>
          <w:sz w:val="16"/>
        </w:rPr>
        <w:t> </w:t>
      </w:r>
      <w:r>
        <w:rPr>
          <w:color w:val="231F20"/>
          <w:sz w:val="16"/>
        </w:rPr>
        <w:t>planteó:</w:t>
      </w:r>
      <w:r>
        <w:rPr>
          <w:color w:val="231F20"/>
          <w:spacing w:val="-5"/>
          <w:sz w:val="16"/>
        </w:rPr>
        <w:t> </w:t>
      </w:r>
      <w:r>
        <w:rPr>
          <w:color w:val="231F20"/>
          <w:sz w:val="16"/>
        </w:rPr>
        <w:t>“En</w:t>
      </w:r>
      <w:r>
        <w:rPr>
          <w:color w:val="231F20"/>
          <w:spacing w:val="-5"/>
          <w:sz w:val="16"/>
        </w:rPr>
        <w:t> </w:t>
      </w:r>
      <w:r>
        <w:rPr>
          <w:color w:val="231F20"/>
          <w:sz w:val="16"/>
        </w:rPr>
        <w:t>una</w:t>
      </w:r>
      <w:r>
        <w:rPr>
          <w:color w:val="231F20"/>
          <w:spacing w:val="-5"/>
          <w:sz w:val="16"/>
        </w:rPr>
        <w:t> </w:t>
      </w:r>
      <w:r>
        <w:rPr>
          <w:color w:val="231F20"/>
          <w:sz w:val="16"/>
        </w:rPr>
        <w:t>escala</w:t>
      </w:r>
      <w:r>
        <w:rPr>
          <w:color w:val="231F20"/>
          <w:spacing w:val="-5"/>
          <w:sz w:val="16"/>
        </w:rPr>
        <w:t> </w:t>
      </w:r>
      <w:r>
        <w:rPr>
          <w:color w:val="231F20"/>
          <w:sz w:val="16"/>
        </w:rPr>
        <w:t>del</w:t>
      </w:r>
      <w:r>
        <w:rPr>
          <w:color w:val="231F20"/>
          <w:spacing w:val="-5"/>
          <w:sz w:val="16"/>
        </w:rPr>
        <w:t> </w:t>
      </w:r>
      <w:r>
        <w:rPr>
          <w:color w:val="231F20"/>
          <w:sz w:val="16"/>
        </w:rPr>
        <w:t>0</w:t>
      </w:r>
      <w:r>
        <w:rPr>
          <w:color w:val="231F20"/>
          <w:spacing w:val="-5"/>
          <w:sz w:val="16"/>
        </w:rPr>
        <w:t> </w:t>
      </w:r>
      <w:r>
        <w:rPr>
          <w:color w:val="231F20"/>
          <w:sz w:val="16"/>
        </w:rPr>
        <w:t>al</w:t>
      </w:r>
      <w:r>
        <w:rPr>
          <w:color w:val="231F20"/>
          <w:spacing w:val="-5"/>
          <w:sz w:val="16"/>
        </w:rPr>
        <w:t> </w:t>
      </w:r>
      <w:r>
        <w:rPr>
          <w:color w:val="231F20"/>
          <w:spacing w:val="-3"/>
          <w:sz w:val="16"/>
        </w:rPr>
        <w:t>10,</w:t>
      </w:r>
      <w:r>
        <w:rPr>
          <w:color w:val="231F20"/>
          <w:spacing w:val="-5"/>
          <w:sz w:val="16"/>
        </w:rPr>
        <w:t> </w:t>
      </w:r>
      <w:r>
        <w:rPr>
          <w:color w:val="231F20"/>
          <w:sz w:val="16"/>
        </w:rPr>
        <w:t>¿cómo</w:t>
      </w:r>
      <w:r>
        <w:rPr>
          <w:color w:val="231F20"/>
          <w:spacing w:val="-5"/>
          <w:sz w:val="16"/>
        </w:rPr>
        <w:t> </w:t>
      </w:r>
      <w:r>
        <w:rPr>
          <w:color w:val="231F20"/>
          <w:sz w:val="16"/>
        </w:rPr>
        <w:t>calificaría</w:t>
      </w:r>
      <w:r>
        <w:rPr>
          <w:color w:val="231F20"/>
          <w:spacing w:val="-5"/>
          <w:sz w:val="16"/>
        </w:rPr>
        <w:t> </w:t>
      </w:r>
      <w:r>
        <w:rPr>
          <w:color w:val="231F20"/>
          <w:sz w:val="16"/>
        </w:rPr>
        <w:t>en</w:t>
      </w:r>
      <w:r>
        <w:rPr>
          <w:color w:val="231F20"/>
          <w:spacing w:val="-5"/>
          <w:sz w:val="16"/>
        </w:rPr>
        <w:t> </w:t>
      </w:r>
      <w:r>
        <w:rPr>
          <w:color w:val="231F20"/>
          <w:sz w:val="16"/>
        </w:rPr>
        <w:t>la</w:t>
      </w:r>
      <w:r>
        <w:rPr>
          <w:color w:val="231F20"/>
          <w:spacing w:val="-5"/>
          <w:sz w:val="16"/>
        </w:rPr>
        <w:t> </w:t>
      </w:r>
      <w:r>
        <w:rPr>
          <w:color w:val="231F20"/>
          <w:sz w:val="16"/>
        </w:rPr>
        <w:t>comunidad</w:t>
      </w:r>
      <w:r>
        <w:rPr>
          <w:color w:val="231F20"/>
          <w:spacing w:val="-5"/>
          <w:sz w:val="16"/>
        </w:rPr>
        <w:t> </w:t>
      </w:r>
      <w:r>
        <w:rPr>
          <w:color w:val="231F20"/>
          <w:sz w:val="16"/>
        </w:rPr>
        <w:t>donde</w:t>
      </w:r>
      <w:r>
        <w:rPr>
          <w:color w:val="231F20"/>
          <w:spacing w:val="-5"/>
          <w:sz w:val="16"/>
        </w:rPr>
        <w:t> </w:t>
      </w:r>
      <w:r>
        <w:rPr>
          <w:color w:val="231F20"/>
          <w:sz w:val="16"/>
        </w:rPr>
        <w:t>usted</w:t>
      </w:r>
      <w:r>
        <w:rPr>
          <w:color w:val="231F20"/>
          <w:spacing w:val="-5"/>
          <w:sz w:val="16"/>
        </w:rPr>
        <w:t> </w:t>
      </w:r>
      <w:r>
        <w:rPr>
          <w:color w:val="231F20"/>
          <w:sz w:val="16"/>
        </w:rPr>
        <w:t>vive...?,</w:t>
      </w:r>
      <w:r>
        <w:rPr>
          <w:color w:val="231F20"/>
          <w:spacing w:val="-5"/>
          <w:sz w:val="16"/>
        </w:rPr>
        <w:t> </w:t>
      </w:r>
      <w:r>
        <w:rPr>
          <w:color w:val="231F20"/>
          <w:sz w:val="16"/>
        </w:rPr>
        <w:t>y</w:t>
      </w:r>
      <w:r>
        <w:rPr>
          <w:color w:val="231F20"/>
          <w:spacing w:val="-5"/>
          <w:sz w:val="16"/>
        </w:rPr>
        <w:t> </w:t>
      </w:r>
      <w:r>
        <w:rPr>
          <w:color w:val="231F20"/>
          <w:sz w:val="16"/>
        </w:rPr>
        <w:t>las respuestas</w:t>
      </w:r>
      <w:r>
        <w:rPr>
          <w:color w:val="231F20"/>
          <w:spacing w:val="-18"/>
          <w:sz w:val="16"/>
        </w:rPr>
        <w:t> </w:t>
      </w:r>
      <w:r>
        <w:rPr>
          <w:color w:val="231F20"/>
          <w:sz w:val="16"/>
        </w:rPr>
        <w:t>fueron:</w:t>
      </w:r>
      <w:r>
        <w:rPr>
          <w:color w:val="231F20"/>
          <w:spacing w:val="-18"/>
          <w:sz w:val="16"/>
        </w:rPr>
        <w:t> </w:t>
      </w:r>
      <w:r>
        <w:rPr>
          <w:color w:val="231F20"/>
          <w:sz w:val="16"/>
        </w:rPr>
        <w:t>abasto</w:t>
      </w:r>
      <w:r>
        <w:rPr>
          <w:color w:val="231F20"/>
          <w:spacing w:val="-18"/>
          <w:sz w:val="16"/>
        </w:rPr>
        <w:t> </w:t>
      </w:r>
      <w:r>
        <w:rPr>
          <w:color w:val="231F20"/>
          <w:sz w:val="16"/>
        </w:rPr>
        <w:t>de</w:t>
      </w:r>
      <w:r>
        <w:rPr>
          <w:color w:val="231F20"/>
          <w:spacing w:val="-18"/>
          <w:sz w:val="16"/>
        </w:rPr>
        <w:t> </w:t>
      </w:r>
      <w:r>
        <w:rPr>
          <w:color w:val="231F20"/>
          <w:sz w:val="16"/>
        </w:rPr>
        <w:t>agua,</w:t>
      </w:r>
      <w:r>
        <w:rPr>
          <w:color w:val="231F20"/>
          <w:spacing w:val="-18"/>
          <w:sz w:val="16"/>
        </w:rPr>
        <w:t> </w:t>
      </w:r>
      <w:r>
        <w:rPr>
          <w:color w:val="231F20"/>
          <w:spacing w:val="-5"/>
          <w:sz w:val="16"/>
        </w:rPr>
        <w:t>7.5;</w:t>
      </w:r>
      <w:r>
        <w:rPr>
          <w:color w:val="231F20"/>
          <w:spacing w:val="-18"/>
          <w:sz w:val="16"/>
        </w:rPr>
        <w:t> </w:t>
      </w:r>
      <w:r>
        <w:rPr>
          <w:color w:val="231F20"/>
          <w:sz w:val="16"/>
        </w:rPr>
        <w:t>iluminación</w:t>
      </w:r>
      <w:r>
        <w:rPr>
          <w:color w:val="231F20"/>
          <w:spacing w:val="-18"/>
          <w:sz w:val="16"/>
        </w:rPr>
        <w:t> </w:t>
      </w:r>
      <w:r>
        <w:rPr>
          <w:color w:val="231F20"/>
          <w:sz w:val="16"/>
        </w:rPr>
        <w:t>de</w:t>
      </w:r>
      <w:r>
        <w:rPr>
          <w:color w:val="231F20"/>
          <w:spacing w:val="-18"/>
          <w:sz w:val="16"/>
        </w:rPr>
        <w:t> </w:t>
      </w:r>
      <w:r>
        <w:rPr>
          <w:color w:val="231F20"/>
          <w:sz w:val="16"/>
        </w:rPr>
        <w:t>calles,</w:t>
      </w:r>
      <w:r>
        <w:rPr>
          <w:color w:val="231F20"/>
          <w:spacing w:val="-18"/>
          <w:sz w:val="16"/>
        </w:rPr>
        <w:t> </w:t>
      </w:r>
      <w:r>
        <w:rPr>
          <w:color w:val="231F20"/>
          <w:spacing w:val="-9"/>
          <w:sz w:val="16"/>
        </w:rPr>
        <w:t>7.1;</w:t>
      </w:r>
      <w:r>
        <w:rPr>
          <w:color w:val="231F20"/>
          <w:spacing w:val="-18"/>
          <w:sz w:val="16"/>
        </w:rPr>
        <w:t> </w:t>
      </w:r>
      <w:r>
        <w:rPr>
          <w:color w:val="231F20"/>
          <w:sz w:val="16"/>
        </w:rPr>
        <w:t>servicio</w:t>
      </w:r>
      <w:r>
        <w:rPr>
          <w:color w:val="231F20"/>
          <w:spacing w:val="-18"/>
          <w:sz w:val="16"/>
        </w:rPr>
        <w:t> </w:t>
      </w:r>
      <w:r>
        <w:rPr>
          <w:color w:val="231F20"/>
          <w:sz w:val="16"/>
        </w:rPr>
        <w:t>de</w:t>
      </w:r>
      <w:r>
        <w:rPr>
          <w:color w:val="231F20"/>
          <w:spacing w:val="-18"/>
          <w:sz w:val="16"/>
        </w:rPr>
        <w:t> </w:t>
      </w:r>
      <w:r>
        <w:rPr>
          <w:color w:val="231F20"/>
          <w:sz w:val="16"/>
        </w:rPr>
        <w:t>limpia</w:t>
      </w:r>
      <w:r>
        <w:rPr>
          <w:color w:val="231F20"/>
          <w:spacing w:val="-18"/>
          <w:sz w:val="16"/>
        </w:rPr>
        <w:t> </w:t>
      </w:r>
      <w:r>
        <w:rPr>
          <w:color w:val="231F20"/>
          <w:sz w:val="16"/>
        </w:rPr>
        <w:t>y</w:t>
      </w:r>
      <w:r>
        <w:rPr>
          <w:color w:val="231F20"/>
          <w:spacing w:val="-18"/>
          <w:sz w:val="16"/>
        </w:rPr>
        <w:t> </w:t>
      </w:r>
      <w:r>
        <w:rPr>
          <w:color w:val="231F20"/>
          <w:sz w:val="16"/>
        </w:rPr>
        <w:t>basura,</w:t>
      </w:r>
      <w:r>
        <w:rPr>
          <w:color w:val="231F20"/>
          <w:spacing w:val="-18"/>
          <w:sz w:val="16"/>
        </w:rPr>
        <w:t> </w:t>
      </w:r>
      <w:r>
        <w:rPr>
          <w:color w:val="231F20"/>
          <w:sz w:val="16"/>
        </w:rPr>
        <w:t>6.9;</w:t>
      </w:r>
      <w:r>
        <w:rPr>
          <w:color w:val="231F20"/>
          <w:spacing w:val="-18"/>
          <w:sz w:val="16"/>
        </w:rPr>
        <w:t> </w:t>
      </w:r>
      <w:r>
        <w:rPr>
          <w:color w:val="231F20"/>
          <w:sz w:val="16"/>
        </w:rPr>
        <w:t>construcción</w:t>
      </w:r>
      <w:r>
        <w:rPr>
          <w:color w:val="231F20"/>
          <w:spacing w:val="-18"/>
          <w:sz w:val="16"/>
        </w:rPr>
        <w:t> </w:t>
      </w:r>
      <w:r>
        <w:rPr>
          <w:color w:val="231F20"/>
          <w:sz w:val="16"/>
        </w:rPr>
        <w:t>de</w:t>
      </w:r>
      <w:r>
        <w:rPr>
          <w:color w:val="231F20"/>
          <w:spacing w:val="-18"/>
          <w:sz w:val="16"/>
        </w:rPr>
        <w:t> </w:t>
      </w:r>
      <w:r>
        <w:rPr>
          <w:color w:val="231F20"/>
          <w:sz w:val="16"/>
        </w:rPr>
        <w:t>obra</w:t>
      </w:r>
      <w:r>
        <w:rPr>
          <w:color w:val="231F20"/>
          <w:spacing w:val="-18"/>
          <w:sz w:val="16"/>
        </w:rPr>
        <w:t> </w:t>
      </w:r>
      <w:r>
        <w:rPr>
          <w:color w:val="231F20"/>
          <w:sz w:val="16"/>
        </w:rPr>
        <w:t>pública, 5.2;</w:t>
      </w:r>
      <w:r>
        <w:rPr>
          <w:color w:val="231F20"/>
          <w:spacing w:val="-25"/>
          <w:sz w:val="16"/>
        </w:rPr>
        <w:t> </w:t>
      </w:r>
      <w:r>
        <w:rPr>
          <w:color w:val="231F20"/>
          <w:sz w:val="16"/>
        </w:rPr>
        <w:t>pavimentación</w:t>
      </w:r>
      <w:r>
        <w:rPr>
          <w:color w:val="231F20"/>
          <w:spacing w:val="-25"/>
          <w:sz w:val="16"/>
        </w:rPr>
        <w:t> </w:t>
      </w:r>
      <w:r>
        <w:rPr>
          <w:color w:val="231F20"/>
          <w:sz w:val="16"/>
        </w:rPr>
        <w:t>de</w:t>
      </w:r>
      <w:r>
        <w:rPr>
          <w:color w:val="231F20"/>
          <w:spacing w:val="-25"/>
          <w:sz w:val="16"/>
        </w:rPr>
        <w:t> </w:t>
      </w:r>
      <w:r>
        <w:rPr>
          <w:color w:val="231F20"/>
          <w:sz w:val="16"/>
        </w:rPr>
        <w:t>calles</w:t>
      </w:r>
      <w:r>
        <w:rPr>
          <w:color w:val="231F20"/>
          <w:spacing w:val="-25"/>
          <w:sz w:val="16"/>
        </w:rPr>
        <w:t> </w:t>
      </w:r>
      <w:r>
        <w:rPr>
          <w:color w:val="231F20"/>
          <w:sz w:val="16"/>
        </w:rPr>
        <w:t>y</w:t>
      </w:r>
      <w:r>
        <w:rPr>
          <w:color w:val="231F20"/>
          <w:spacing w:val="-25"/>
          <w:sz w:val="16"/>
        </w:rPr>
        <w:t> </w:t>
      </w:r>
      <w:r>
        <w:rPr>
          <w:color w:val="231F20"/>
          <w:sz w:val="16"/>
        </w:rPr>
        <w:t>banquetas,</w:t>
      </w:r>
      <w:r>
        <w:rPr>
          <w:color w:val="231F20"/>
          <w:spacing w:val="-25"/>
          <w:sz w:val="16"/>
        </w:rPr>
        <w:t> </w:t>
      </w:r>
      <w:r>
        <w:rPr>
          <w:color w:val="231F20"/>
          <w:sz w:val="16"/>
        </w:rPr>
        <w:t>5.0.”</w:t>
      </w:r>
      <w:r>
        <w:rPr>
          <w:color w:val="231F20"/>
          <w:spacing w:val="-25"/>
          <w:sz w:val="16"/>
        </w:rPr>
        <w:t> </w:t>
      </w:r>
      <w:r>
        <w:rPr>
          <w:color w:val="231F20"/>
          <w:sz w:val="16"/>
        </w:rPr>
        <w:t>(REFORMA,</w:t>
      </w:r>
      <w:r>
        <w:rPr>
          <w:color w:val="231F20"/>
          <w:spacing w:val="-25"/>
          <w:sz w:val="16"/>
        </w:rPr>
        <w:t> </w:t>
      </w:r>
      <w:r>
        <w:rPr>
          <w:color w:val="231F20"/>
          <w:sz w:val="16"/>
        </w:rPr>
        <w:t>2008:</w:t>
      </w:r>
      <w:r>
        <w:rPr>
          <w:color w:val="231F20"/>
          <w:spacing w:val="-25"/>
          <w:sz w:val="16"/>
        </w:rPr>
        <w:t> </w:t>
      </w:r>
      <w:r>
        <w:rPr>
          <w:color w:val="231F20"/>
          <w:spacing w:val="-8"/>
          <w:sz w:val="16"/>
        </w:rPr>
        <w:t>11).</w:t>
      </w:r>
    </w:p>
    <w:p>
      <w:pPr>
        <w:spacing w:after="0" w:line="244" w:lineRule="auto"/>
        <w:jc w:val="both"/>
        <w:rPr>
          <w:sz w:val="16"/>
        </w:rPr>
        <w:sectPr>
          <w:footerReference w:type="default" r:id="rId127"/>
          <w:pgSz w:w="9640" w:h="12190"/>
          <w:pgMar w:footer="743" w:header="0" w:top="1120" w:bottom="940" w:left="740" w:right="740"/>
          <w:pgNumType w:start="6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Por</w:t>
      </w:r>
      <w:r>
        <w:rPr>
          <w:color w:val="231F20"/>
          <w:spacing w:val="-13"/>
          <w:w w:val="105"/>
        </w:rPr>
        <w:t> </w:t>
      </w:r>
      <w:r>
        <w:rPr>
          <w:color w:val="231F20"/>
          <w:w w:val="105"/>
        </w:rPr>
        <w:t>otro</w:t>
      </w:r>
      <w:r>
        <w:rPr>
          <w:color w:val="231F20"/>
          <w:spacing w:val="-13"/>
          <w:w w:val="105"/>
        </w:rPr>
        <w:t> </w:t>
      </w:r>
      <w:r>
        <w:rPr>
          <w:color w:val="231F20"/>
          <w:w w:val="105"/>
        </w:rPr>
        <w:t>lado,</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práctica</w:t>
      </w:r>
      <w:r>
        <w:rPr>
          <w:color w:val="231F20"/>
          <w:spacing w:val="-13"/>
          <w:w w:val="105"/>
        </w:rPr>
        <w:t> </w:t>
      </w:r>
      <w:r>
        <w:rPr>
          <w:color w:val="231F20"/>
          <w:w w:val="105"/>
        </w:rPr>
        <w:t>común</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ayuntamientos</w:t>
      </w:r>
      <w:r>
        <w:rPr>
          <w:color w:val="231F20"/>
          <w:spacing w:val="-13"/>
          <w:w w:val="105"/>
        </w:rPr>
        <w:t> </w:t>
      </w:r>
      <w:r>
        <w:rPr>
          <w:color w:val="231F20"/>
          <w:w w:val="105"/>
        </w:rPr>
        <w:t>experimenten</w:t>
      </w:r>
      <w:r>
        <w:rPr>
          <w:color w:val="231F20"/>
          <w:spacing w:val="-13"/>
          <w:w w:val="105"/>
        </w:rPr>
        <w:t> </w:t>
      </w:r>
      <w:r>
        <w:rPr>
          <w:color w:val="231F20"/>
          <w:w w:val="105"/>
        </w:rPr>
        <w:t>diversas</w:t>
      </w:r>
      <w:r>
        <w:rPr>
          <w:color w:val="231F20"/>
          <w:spacing w:val="-13"/>
          <w:w w:val="105"/>
        </w:rPr>
        <w:t> </w:t>
      </w:r>
      <w:r>
        <w:rPr>
          <w:color w:val="231F20"/>
          <w:w w:val="105"/>
        </w:rPr>
        <w:t>mo- dificaciones</w:t>
      </w:r>
      <w:r>
        <w:rPr>
          <w:color w:val="231F20"/>
          <w:spacing w:val="-15"/>
          <w:w w:val="105"/>
        </w:rPr>
        <w:t> </w:t>
      </w:r>
      <w:r>
        <w:rPr>
          <w:color w:val="231F20"/>
          <w:w w:val="105"/>
        </w:rPr>
        <w:t>en</w:t>
      </w:r>
      <w:r>
        <w:rPr>
          <w:color w:val="231F20"/>
          <w:spacing w:val="-14"/>
          <w:w w:val="105"/>
        </w:rPr>
        <w:t> </w:t>
      </w:r>
      <w:r>
        <w:rPr>
          <w:color w:val="231F20"/>
          <w:w w:val="105"/>
        </w:rPr>
        <w:t>la</w:t>
      </w:r>
      <w:r>
        <w:rPr>
          <w:color w:val="231F20"/>
          <w:spacing w:val="-15"/>
          <w:w w:val="105"/>
        </w:rPr>
        <w:t> </w:t>
      </w:r>
      <w:r>
        <w:rPr>
          <w:color w:val="231F20"/>
          <w:w w:val="105"/>
        </w:rPr>
        <w:t>estructura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5"/>
          <w:w w:val="105"/>
        </w:rPr>
        <w:t> </w:t>
      </w:r>
      <w:r>
        <w:rPr>
          <w:color w:val="231F20"/>
          <w:w w:val="105"/>
        </w:rPr>
        <w:t>APM,</w:t>
      </w:r>
      <w:r>
        <w:rPr>
          <w:color w:val="231F20"/>
          <w:spacing w:val="-15"/>
          <w:w w:val="105"/>
        </w:rPr>
        <w:t> </w:t>
      </w:r>
      <w:r>
        <w:rPr>
          <w:color w:val="231F20"/>
          <w:w w:val="105"/>
        </w:rPr>
        <w:t>tanto</w:t>
      </w:r>
      <w:r>
        <w:rPr>
          <w:color w:val="231F20"/>
          <w:spacing w:val="-15"/>
          <w:w w:val="105"/>
        </w:rPr>
        <w:t> </w:t>
      </w:r>
      <w:r>
        <w:rPr>
          <w:color w:val="231F20"/>
          <w:w w:val="105"/>
        </w:rPr>
        <w:t>en</w:t>
      </w:r>
      <w:r>
        <w:rPr>
          <w:color w:val="231F20"/>
          <w:spacing w:val="-14"/>
          <w:w w:val="105"/>
        </w:rPr>
        <w:t> </w:t>
      </w:r>
      <w:r>
        <w:rPr>
          <w:color w:val="231F20"/>
          <w:w w:val="105"/>
        </w:rPr>
        <w:t>sus</w:t>
      </w:r>
      <w:r>
        <w:rPr>
          <w:color w:val="231F20"/>
          <w:spacing w:val="-15"/>
          <w:w w:val="105"/>
        </w:rPr>
        <w:t> </w:t>
      </w:r>
      <w:r>
        <w:rPr>
          <w:color w:val="231F20"/>
          <w:w w:val="105"/>
        </w:rPr>
        <w:t>dependencias,</w:t>
      </w:r>
      <w:r>
        <w:rPr>
          <w:color w:val="231F20"/>
          <w:spacing w:val="-15"/>
          <w:w w:val="105"/>
        </w:rPr>
        <w:t> </w:t>
      </w:r>
      <w:r>
        <w:rPr>
          <w:color w:val="231F20"/>
          <w:w w:val="105"/>
        </w:rPr>
        <w:t>como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5"/>
          <w:w w:val="105"/>
        </w:rPr>
        <w:t> </w:t>
      </w:r>
      <w:r>
        <w:rPr>
          <w:color w:val="231F20"/>
          <w:w w:val="105"/>
        </w:rPr>
        <w:t>rotación de sus titulares. </w:t>
      </w:r>
      <w:r>
        <w:rPr>
          <w:color w:val="231F20"/>
          <w:spacing w:val="3"/>
          <w:w w:val="105"/>
        </w:rPr>
        <w:t>Al </w:t>
      </w:r>
      <w:r>
        <w:rPr>
          <w:color w:val="231F20"/>
          <w:w w:val="105"/>
        </w:rPr>
        <w:t>observar la estabilidad de las dependencias y de sus titulares se in- tenta</w:t>
      </w:r>
      <w:r>
        <w:rPr>
          <w:color w:val="231F20"/>
          <w:spacing w:val="-13"/>
          <w:w w:val="105"/>
        </w:rPr>
        <w:t> </w:t>
      </w:r>
      <w:r>
        <w:rPr>
          <w:color w:val="231F20"/>
          <w:w w:val="105"/>
        </w:rPr>
        <w:t>identificar</w:t>
      </w:r>
      <w:r>
        <w:rPr>
          <w:color w:val="231F20"/>
          <w:spacing w:val="-13"/>
          <w:w w:val="105"/>
        </w:rPr>
        <w:t> </w:t>
      </w:r>
      <w:r>
        <w:rPr>
          <w:color w:val="231F20"/>
          <w:w w:val="105"/>
        </w:rPr>
        <w:t>la</w:t>
      </w:r>
      <w:r>
        <w:rPr>
          <w:color w:val="231F20"/>
          <w:spacing w:val="-13"/>
          <w:w w:val="105"/>
        </w:rPr>
        <w:t> </w:t>
      </w:r>
      <w:r>
        <w:rPr>
          <w:color w:val="231F20"/>
          <w:w w:val="105"/>
        </w:rPr>
        <w:t>relación</w:t>
      </w:r>
      <w:r>
        <w:rPr>
          <w:color w:val="231F20"/>
          <w:spacing w:val="-13"/>
          <w:w w:val="105"/>
        </w:rPr>
        <w:t> </w:t>
      </w:r>
      <w:r>
        <w:rPr>
          <w:color w:val="231F20"/>
          <w:w w:val="105"/>
        </w:rPr>
        <w:t>que</w:t>
      </w:r>
      <w:r>
        <w:rPr>
          <w:color w:val="231F20"/>
          <w:spacing w:val="-13"/>
          <w:w w:val="105"/>
        </w:rPr>
        <w:t> </w:t>
      </w:r>
      <w:r>
        <w:rPr>
          <w:color w:val="231F20"/>
          <w:w w:val="105"/>
        </w:rPr>
        <w:t>existe</w:t>
      </w:r>
      <w:r>
        <w:rPr>
          <w:color w:val="231F20"/>
          <w:spacing w:val="-13"/>
          <w:w w:val="105"/>
        </w:rPr>
        <w:t> </w:t>
      </w:r>
      <w:r>
        <w:rPr>
          <w:color w:val="231F20"/>
          <w:w w:val="105"/>
        </w:rPr>
        <w:t>entre</w:t>
      </w:r>
      <w:r>
        <w:rPr>
          <w:color w:val="231F20"/>
          <w:spacing w:val="-13"/>
          <w:w w:val="105"/>
        </w:rPr>
        <w:t> </w:t>
      </w:r>
      <w:r>
        <w:rPr>
          <w:color w:val="231F20"/>
          <w:w w:val="105"/>
        </w:rPr>
        <w:t>el</w:t>
      </w:r>
      <w:r>
        <w:rPr>
          <w:color w:val="231F20"/>
          <w:spacing w:val="-13"/>
          <w:w w:val="105"/>
        </w:rPr>
        <w:t> </w:t>
      </w:r>
      <w:r>
        <w:rPr>
          <w:color w:val="231F20"/>
          <w:w w:val="105"/>
        </w:rPr>
        <w:t>presidente</w:t>
      </w:r>
      <w:r>
        <w:rPr>
          <w:color w:val="231F20"/>
          <w:spacing w:val="-13"/>
          <w:w w:val="105"/>
        </w:rPr>
        <w:t> </w:t>
      </w:r>
      <w:r>
        <w:rPr>
          <w:color w:val="231F20"/>
          <w:w w:val="105"/>
        </w:rPr>
        <w:t>municipal</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APM</w:t>
      </w:r>
      <w:r>
        <w:rPr>
          <w:color w:val="231F20"/>
          <w:w w:val="105"/>
          <w:position w:val="7"/>
          <w:sz w:val="13"/>
        </w:rPr>
        <w:t>31</w:t>
      </w:r>
      <w:r>
        <w:rPr>
          <w:color w:val="231F20"/>
          <w:w w:val="105"/>
        </w:rPr>
        <w:t>.</w:t>
      </w:r>
    </w:p>
    <w:p>
      <w:pPr>
        <w:pStyle w:val="BodyText"/>
        <w:spacing w:before="1"/>
        <w:rPr>
          <w:sz w:val="26"/>
        </w:rPr>
      </w:pPr>
    </w:p>
    <w:p>
      <w:pPr>
        <w:pStyle w:val="BodyText"/>
        <w:spacing w:line="285" w:lineRule="auto"/>
        <w:ind w:left="110" w:right="107"/>
        <w:jc w:val="both"/>
      </w:pPr>
      <w:r>
        <w:rPr>
          <w:color w:val="231F20"/>
          <w:w w:val="105"/>
        </w:rPr>
        <w:t>A</w:t>
      </w:r>
      <w:r>
        <w:rPr>
          <w:color w:val="231F20"/>
          <w:spacing w:val="-5"/>
          <w:w w:val="105"/>
        </w:rPr>
        <w:t> </w:t>
      </w:r>
      <w:r>
        <w:rPr>
          <w:color w:val="231F20"/>
          <w:w w:val="105"/>
        </w:rPr>
        <w:t>medida</w:t>
      </w:r>
      <w:r>
        <w:rPr>
          <w:color w:val="231F20"/>
          <w:spacing w:val="-5"/>
          <w:w w:val="105"/>
        </w:rPr>
        <w:t> </w:t>
      </w:r>
      <w:r>
        <w:rPr>
          <w:color w:val="231F20"/>
          <w:w w:val="105"/>
        </w:rPr>
        <w:t>que</w:t>
      </w:r>
      <w:r>
        <w:rPr>
          <w:color w:val="231F20"/>
          <w:spacing w:val="-5"/>
          <w:w w:val="105"/>
        </w:rPr>
        <w:t> </w:t>
      </w:r>
      <w:r>
        <w:rPr>
          <w:color w:val="231F20"/>
          <w:w w:val="105"/>
        </w:rPr>
        <w:t>hay</w:t>
      </w:r>
      <w:r>
        <w:rPr>
          <w:color w:val="231F20"/>
          <w:spacing w:val="-5"/>
          <w:w w:val="105"/>
        </w:rPr>
        <w:t> </w:t>
      </w:r>
      <w:r>
        <w:rPr>
          <w:color w:val="231F20"/>
          <w:w w:val="105"/>
        </w:rPr>
        <w:t>un</w:t>
      </w:r>
      <w:r>
        <w:rPr>
          <w:color w:val="231F20"/>
          <w:spacing w:val="-5"/>
          <w:w w:val="105"/>
        </w:rPr>
        <w:t> </w:t>
      </w:r>
      <w:r>
        <w:rPr>
          <w:color w:val="231F20"/>
          <w:w w:val="105"/>
        </w:rPr>
        <w:t>mayor</w:t>
      </w:r>
      <w:r>
        <w:rPr>
          <w:color w:val="231F20"/>
          <w:spacing w:val="-5"/>
          <w:w w:val="105"/>
        </w:rPr>
        <w:t> </w:t>
      </w:r>
      <w:r>
        <w:rPr>
          <w:color w:val="231F20"/>
          <w:w w:val="105"/>
        </w:rPr>
        <w:t>cambio</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dependencias</w:t>
      </w:r>
      <w:r>
        <w:rPr>
          <w:color w:val="231F20"/>
          <w:spacing w:val="-5"/>
          <w:w w:val="105"/>
        </w:rPr>
        <w:t> </w:t>
      </w:r>
      <w:r>
        <w:rPr>
          <w:color w:val="231F20"/>
          <w:spacing w:val="-8"/>
          <w:w w:val="105"/>
        </w:rPr>
        <w:t>y/o</w:t>
      </w:r>
      <w:r>
        <w:rPr>
          <w:color w:val="231F20"/>
          <w:spacing w:val="-5"/>
          <w:w w:val="105"/>
        </w:rPr>
        <w:t> </w:t>
      </w:r>
      <w:r>
        <w:rPr>
          <w:color w:val="231F20"/>
          <w:w w:val="105"/>
        </w:rPr>
        <w:t>entre</w:t>
      </w:r>
      <w:r>
        <w:rPr>
          <w:color w:val="231F20"/>
          <w:spacing w:val="-5"/>
          <w:w w:val="105"/>
        </w:rPr>
        <w:t> </w:t>
      </w:r>
      <w:r>
        <w:rPr>
          <w:color w:val="231F20"/>
          <w:w w:val="105"/>
        </w:rPr>
        <w:t>sus</w:t>
      </w:r>
      <w:r>
        <w:rPr>
          <w:color w:val="231F20"/>
          <w:spacing w:val="-5"/>
          <w:w w:val="105"/>
        </w:rPr>
        <w:t> </w:t>
      </w:r>
      <w:r>
        <w:rPr>
          <w:color w:val="231F20"/>
          <w:w w:val="105"/>
        </w:rPr>
        <w:t>titulares,</w:t>
      </w:r>
      <w:r>
        <w:rPr>
          <w:color w:val="231F20"/>
          <w:spacing w:val="-5"/>
          <w:w w:val="105"/>
        </w:rPr>
        <w:t> </w:t>
      </w:r>
      <w:r>
        <w:rPr>
          <w:color w:val="231F20"/>
          <w:w w:val="105"/>
        </w:rPr>
        <w:t>el</w:t>
      </w:r>
      <w:r>
        <w:rPr>
          <w:color w:val="231F20"/>
          <w:spacing w:val="-5"/>
          <w:w w:val="105"/>
        </w:rPr>
        <w:t> </w:t>
      </w:r>
      <w:r>
        <w:rPr>
          <w:color w:val="231F20"/>
          <w:w w:val="105"/>
        </w:rPr>
        <w:t>pre- sidente municipal tiende a centralizar las decisiones adoptadas dentro de la APM, a la vez</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generan</w:t>
      </w:r>
      <w:r>
        <w:rPr>
          <w:color w:val="231F20"/>
          <w:spacing w:val="-16"/>
          <w:w w:val="105"/>
        </w:rPr>
        <w:t> </w:t>
      </w:r>
      <w:r>
        <w:rPr>
          <w:color w:val="231F20"/>
          <w:w w:val="105"/>
        </w:rPr>
        <w:t>fuertes</w:t>
      </w:r>
      <w:r>
        <w:rPr>
          <w:color w:val="231F20"/>
          <w:spacing w:val="-16"/>
          <w:w w:val="105"/>
        </w:rPr>
        <w:t> </w:t>
      </w:r>
      <w:r>
        <w:rPr>
          <w:color w:val="231F20"/>
          <w:w w:val="105"/>
        </w:rPr>
        <w:t>incentivos</w:t>
      </w:r>
      <w:r>
        <w:rPr>
          <w:color w:val="231F20"/>
          <w:spacing w:val="-16"/>
          <w:w w:val="105"/>
        </w:rPr>
        <w:t> </w:t>
      </w:r>
      <w:r>
        <w:rPr>
          <w:color w:val="231F20"/>
          <w:w w:val="105"/>
        </w:rPr>
        <w:t>para</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primeros</w:t>
      </w:r>
      <w:r>
        <w:rPr>
          <w:color w:val="231F20"/>
          <w:spacing w:val="-16"/>
          <w:w w:val="105"/>
        </w:rPr>
        <w:t> </w:t>
      </w:r>
      <w:r>
        <w:rPr>
          <w:color w:val="231F20"/>
          <w:w w:val="105"/>
        </w:rPr>
        <w:t>se</w:t>
      </w:r>
      <w:r>
        <w:rPr>
          <w:color w:val="231F20"/>
          <w:spacing w:val="-16"/>
          <w:w w:val="105"/>
        </w:rPr>
        <w:t> </w:t>
      </w:r>
      <w:r>
        <w:rPr>
          <w:color w:val="231F20"/>
          <w:w w:val="105"/>
        </w:rPr>
        <w:t>comporten</w:t>
      </w:r>
      <w:r>
        <w:rPr>
          <w:color w:val="231F20"/>
          <w:spacing w:val="-16"/>
          <w:w w:val="105"/>
        </w:rPr>
        <w:t> </w:t>
      </w:r>
      <w:r>
        <w:rPr>
          <w:color w:val="231F20"/>
          <w:w w:val="105"/>
        </w:rPr>
        <w:t>como</w:t>
      </w:r>
      <w:r>
        <w:rPr>
          <w:color w:val="231F20"/>
          <w:spacing w:val="-16"/>
          <w:w w:val="105"/>
        </w:rPr>
        <w:t> </w:t>
      </w:r>
      <w:r>
        <w:rPr>
          <w:color w:val="231F20"/>
          <w:w w:val="105"/>
        </w:rPr>
        <w:t>agentes “preocupados”</w:t>
      </w:r>
      <w:r>
        <w:rPr>
          <w:color w:val="231F20"/>
          <w:spacing w:val="-10"/>
          <w:w w:val="105"/>
        </w:rPr>
        <w:t> </w:t>
      </w:r>
      <w:r>
        <w:rPr>
          <w:color w:val="231F20"/>
          <w:w w:val="105"/>
        </w:rPr>
        <w:t>por</w:t>
      </w:r>
      <w:r>
        <w:rPr>
          <w:color w:val="231F20"/>
          <w:spacing w:val="-10"/>
          <w:w w:val="105"/>
        </w:rPr>
        <w:t> </w:t>
      </w:r>
      <w:r>
        <w:rPr>
          <w:color w:val="231F20"/>
          <w:w w:val="105"/>
        </w:rPr>
        <w:t>cumplir</w:t>
      </w:r>
      <w:r>
        <w:rPr>
          <w:color w:val="231F20"/>
          <w:spacing w:val="-10"/>
          <w:w w:val="105"/>
        </w:rPr>
        <w:t> </w:t>
      </w:r>
      <w:r>
        <w:rPr>
          <w:color w:val="231F20"/>
          <w:w w:val="105"/>
        </w:rPr>
        <w:t>los</w:t>
      </w:r>
      <w:r>
        <w:rPr>
          <w:color w:val="231F20"/>
          <w:spacing w:val="-10"/>
          <w:w w:val="105"/>
        </w:rPr>
        <w:t> </w:t>
      </w:r>
      <w:r>
        <w:rPr>
          <w:color w:val="231F20"/>
          <w:w w:val="105"/>
        </w:rPr>
        <w:t>intereses</w:t>
      </w:r>
      <w:r>
        <w:rPr>
          <w:color w:val="231F20"/>
          <w:spacing w:val="-10"/>
          <w:w w:val="105"/>
        </w:rPr>
        <w:t> </w:t>
      </w:r>
      <w:r>
        <w:rPr>
          <w:color w:val="231F20"/>
          <w:w w:val="105"/>
        </w:rPr>
        <w:t>y</w:t>
      </w:r>
      <w:r>
        <w:rPr>
          <w:color w:val="231F20"/>
          <w:spacing w:val="-10"/>
          <w:w w:val="105"/>
        </w:rPr>
        <w:t> </w:t>
      </w:r>
      <w:r>
        <w:rPr>
          <w:color w:val="231F20"/>
          <w:w w:val="105"/>
        </w:rPr>
        <w:t>preferencias</w:t>
      </w:r>
      <w:r>
        <w:rPr>
          <w:color w:val="231F20"/>
          <w:spacing w:val="-10"/>
          <w:w w:val="105"/>
        </w:rPr>
        <w:t> </w:t>
      </w:r>
      <w:r>
        <w:rPr>
          <w:color w:val="231F20"/>
          <w:w w:val="105"/>
        </w:rPr>
        <w:t>del</w:t>
      </w:r>
      <w:r>
        <w:rPr>
          <w:color w:val="231F20"/>
          <w:spacing w:val="-10"/>
          <w:w w:val="105"/>
        </w:rPr>
        <w:t> </w:t>
      </w:r>
      <w:r>
        <w:rPr>
          <w:color w:val="231F20"/>
          <w:w w:val="105"/>
        </w:rPr>
        <w:t>alcalde</w:t>
      </w:r>
      <w:r>
        <w:rPr>
          <w:color w:val="231F20"/>
          <w:spacing w:val="-10"/>
          <w:w w:val="105"/>
        </w:rPr>
        <w:t> </w:t>
      </w:r>
      <w:r>
        <w:rPr>
          <w:color w:val="231F20"/>
          <w:spacing w:val="-5"/>
          <w:w w:val="105"/>
        </w:rPr>
        <w:t>(el</w:t>
      </w:r>
      <w:r>
        <w:rPr>
          <w:color w:val="231F20"/>
          <w:spacing w:val="-10"/>
          <w:w w:val="105"/>
        </w:rPr>
        <w:t> </w:t>
      </w:r>
      <w:r>
        <w:rPr>
          <w:color w:val="231F20"/>
          <w:w w:val="105"/>
        </w:rPr>
        <w:t>principal).</w:t>
      </w:r>
      <w:r>
        <w:rPr>
          <w:color w:val="231F20"/>
          <w:spacing w:val="-10"/>
          <w:w w:val="105"/>
        </w:rPr>
        <w:t> </w:t>
      </w:r>
      <w:r>
        <w:rPr>
          <w:color w:val="231F20"/>
          <w:spacing w:val="-3"/>
          <w:w w:val="105"/>
        </w:rPr>
        <w:t>Por</w:t>
      </w:r>
      <w:r>
        <w:rPr>
          <w:color w:val="231F20"/>
          <w:spacing w:val="-10"/>
          <w:w w:val="105"/>
        </w:rPr>
        <w:t> </w:t>
      </w:r>
      <w:r>
        <w:rPr>
          <w:color w:val="231F20"/>
          <w:w w:val="105"/>
        </w:rPr>
        <w:t>el contrario,</w:t>
      </w:r>
      <w:r>
        <w:rPr>
          <w:color w:val="231F20"/>
          <w:spacing w:val="-24"/>
          <w:w w:val="105"/>
        </w:rPr>
        <w:t> </w:t>
      </w:r>
      <w:r>
        <w:rPr>
          <w:color w:val="231F20"/>
          <w:w w:val="105"/>
        </w:rPr>
        <w:t>mientras</w:t>
      </w:r>
      <w:r>
        <w:rPr>
          <w:color w:val="231F20"/>
          <w:spacing w:val="-24"/>
          <w:w w:val="105"/>
        </w:rPr>
        <w:t> </w:t>
      </w:r>
      <w:r>
        <w:rPr>
          <w:color w:val="231F20"/>
          <w:w w:val="105"/>
        </w:rPr>
        <w:t>más</w:t>
      </w:r>
      <w:r>
        <w:rPr>
          <w:color w:val="231F20"/>
          <w:spacing w:val="-24"/>
          <w:w w:val="105"/>
        </w:rPr>
        <w:t> </w:t>
      </w:r>
      <w:r>
        <w:rPr>
          <w:color w:val="231F20"/>
          <w:w w:val="105"/>
        </w:rPr>
        <w:t>estable</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APM,</w:t>
      </w:r>
      <w:r>
        <w:rPr>
          <w:color w:val="231F20"/>
          <w:spacing w:val="-24"/>
          <w:w w:val="105"/>
        </w:rPr>
        <w:t> </w:t>
      </w:r>
      <w:r>
        <w:rPr>
          <w:color w:val="231F20"/>
          <w:w w:val="105"/>
        </w:rPr>
        <w:t>entonces</w:t>
      </w:r>
      <w:r>
        <w:rPr>
          <w:color w:val="231F20"/>
          <w:spacing w:val="-24"/>
          <w:w w:val="105"/>
        </w:rPr>
        <w:t> </w:t>
      </w:r>
      <w:r>
        <w:rPr>
          <w:color w:val="231F20"/>
          <w:w w:val="105"/>
        </w:rPr>
        <w:t>el</w:t>
      </w:r>
      <w:r>
        <w:rPr>
          <w:color w:val="231F20"/>
          <w:spacing w:val="-24"/>
          <w:w w:val="105"/>
        </w:rPr>
        <w:t> </w:t>
      </w:r>
      <w:r>
        <w:rPr>
          <w:color w:val="231F20"/>
          <w:w w:val="105"/>
        </w:rPr>
        <w:t>principal</w:t>
      </w:r>
      <w:r>
        <w:rPr>
          <w:color w:val="231F20"/>
          <w:spacing w:val="-24"/>
          <w:w w:val="105"/>
        </w:rPr>
        <w:t> </w:t>
      </w:r>
      <w:r>
        <w:rPr>
          <w:color w:val="231F20"/>
          <w:spacing w:val="-5"/>
          <w:w w:val="105"/>
        </w:rPr>
        <w:t>(el</w:t>
      </w:r>
      <w:r>
        <w:rPr>
          <w:color w:val="231F20"/>
          <w:spacing w:val="-24"/>
          <w:w w:val="105"/>
        </w:rPr>
        <w:t> </w:t>
      </w:r>
      <w:r>
        <w:rPr>
          <w:color w:val="231F20"/>
          <w:w w:val="105"/>
        </w:rPr>
        <w:t>ejecutivo</w:t>
      </w:r>
      <w:r>
        <w:rPr>
          <w:color w:val="231F20"/>
          <w:spacing w:val="-24"/>
          <w:w w:val="105"/>
        </w:rPr>
        <w:t> </w:t>
      </w:r>
      <w:r>
        <w:rPr>
          <w:color w:val="231F20"/>
          <w:w w:val="105"/>
        </w:rPr>
        <w:t>municipal) está fomentando entre sus agentes (los titulares de la APM) las condiciones para que éstos</w:t>
      </w:r>
      <w:r>
        <w:rPr>
          <w:color w:val="231F20"/>
          <w:spacing w:val="-17"/>
          <w:w w:val="105"/>
        </w:rPr>
        <w:t> </w:t>
      </w:r>
      <w:r>
        <w:rPr>
          <w:color w:val="231F20"/>
          <w:w w:val="105"/>
        </w:rPr>
        <w:t>cumplan</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w w:val="105"/>
        </w:rPr>
        <w:t>objetivos</w:t>
      </w:r>
      <w:r>
        <w:rPr>
          <w:color w:val="231F20"/>
          <w:spacing w:val="-17"/>
          <w:w w:val="105"/>
        </w:rPr>
        <w:t> </w:t>
      </w:r>
      <w:r>
        <w:rPr>
          <w:color w:val="231F20"/>
          <w:w w:val="105"/>
        </w:rPr>
        <w:t>y</w:t>
      </w:r>
      <w:r>
        <w:rPr>
          <w:color w:val="231F20"/>
          <w:spacing w:val="-17"/>
          <w:w w:val="105"/>
        </w:rPr>
        <w:t> </w:t>
      </w:r>
      <w:r>
        <w:rPr>
          <w:color w:val="231F20"/>
          <w:w w:val="105"/>
        </w:rPr>
        <w:t>metas</w:t>
      </w:r>
      <w:r>
        <w:rPr>
          <w:color w:val="231F20"/>
          <w:spacing w:val="-17"/>
          <w:w w:val="105"/>
        </w:rPr>
        <w:t> </w:t>
      </w:r>
      <w:r>
        <w:rPr>
          <w:color w:val="231F20"/>
          <w:w w:val="105"/>
        </w:rPr>
        <w:t>planeados</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gestión</w:t>
      </w:r>
      <w:r>
        <w:rPr>
          <w:color w:val="231F20"/>
          <w:spacing w:val="-17"/>
          <w:w w:val="105"/>
        </w:rPr>
        <w:t> </w:t>
      </w:r>
      <w:r>
        <w:rPr>
          <w:color w:val="231F20"/>
          <w:w w:val="105"/>
        </w:rPr>
        <w:t>en</w:t>
      </w:r>
      <w:r>
        <w:rPr>
          <w:color w:val="231F20"/>
          <w:spacing w:val="-17"/>
          <w:w w:val="105"/>
        </w:rPr>
        <w:t> </w:t>
      </w:r>
      <w:r>
        <w:rPr>
          <w:color w:val="231F20"/>
          <w:w w:val="105"/>
        </w:rPr>
        <w:t>turno,</w:t>
      </w:r>
      <w:r>
        <w:rPr>
          <w:color w:val="231F20"/>
          <w:spacing w:val="-17"/>
          <w:w w:val="105"/>
        </w:rPr>
        <w:t> </w:t>
      </w:r>
      <w:r>
        <w:rPr>
          <w:color w:val="231F20"/>
          <w:w w:val="105"/>
        </w:rPr>
        <w:t>por</w:t>
      </w:r>
      <w:r>
        <w:rPr>
          <w:color w:val="231F20"/>
          <w:spacing w:val="-17"/>
          <w:w w:val="105"/>
        </w:rPr>
        <w:t> </w:t>
      </w:r>
      <w:r>
        <w:rPr>
          <w:color w:val="231F20"/>
          <w:w w:val="105"/>
        </w:rPr>
        <w:t>encima</w:t>
      </w:r>
      <w:r>
        <w:rPr>
          <w:color w:val="231F20"/>
          <w:spacing w:val="-17"/>
          <w:w w:val="105"/>
        </w:rPr>
        <w:t> </w:t>
      </w:r>
      <w:r>
        <w:rPr>
          <w:color w:val="231F20"/>
          <w:w w:val="105"/>
        </w:rPr>
        <w:t>de intereses</w:t>
      </w:r>
      <w:r>
        <w:rPr>
          <w:color w:val="231F20"/>
          <w:spacing w:val="-22"/>
          <w:w w:val="105"/>
        </w:rPr>
        <w:t> </w:t>
      </w:r>
      <w:r>
        <w:rPr>
          <w:color w:val="231F20"/>
          <w:w w:val="105"/>
        </w:rPr>
        <w:t>o</w:t>
      </w:r>
      <w:r>
        <w:rPr>
          <w:color w:val="231F20"/>
          <w:spacing w:val="-22"/>
          <w:w w:val="105"/>
        </w:rPr>
        <w:t> </w:t>
      </w:r>
      <w:r>
        <w:rPr>
          <w:color w:val="231F20"/>
          <w:w w:val="105"/>
        </w:rPr>
        <w:t>preferencias</w:t>
      </w:r>
      <w:r>
        <w:rPr>
          <w:color w:val="231F20"/>
          <w:spacing w:val="-22"/>
          <w:w w:val="105"/>
        </w:rPr>
        <w:t> </w:t>
      </w:r>
      <w:r>
        <w:rPr>
          <w:color w:val="231F20"/>
          <w:w w:val="105"/>
        </w:rPr>
        <w:t>discrecionales</w:t>
      </w:r>
      <w:r>
        <w:rPr>
          <w:color w:val="231F20"/>
          <w:spacing w:val="-22"/>
          <w:w w:val="105"/>
        </w:rPr>
        <w:t> </w:t>
      </w:r>
      <w:r>
        <w:rPr>
          <w:color w:val="231F20"/>
          <w:w w:val="105"/>
        </w:rPr>
        <w:t>del</w:t>
      </w:r>
      <w:r>
        <w:rPr>
          <w:color w:val="231F20"/>
          <w:spacing w:val="-22"/>
          <w:w w:val="105"/>
        </w:rPr>
        <w:t> </w:t>
      </w:r>
      <w:r>
        <w:rPr>
          <w:color w:val="231F20"/>
          <w:w w:val="105"/>
        </w:rPr>
        <w:t>presidente.</w:t>
      </w:r>
    </w:p>
    <w:p>
      <w:pPr>
        <w:pStyle w:val="BodyText"/>
        <w:spacing w:before="1"/>
        <w:rPr>
          <w:sz w:val="26"/>
        </w:rPr>
      </w:pPr>
    </w:p>
    <w:p>
      <w:pPr>
        <w:pStyle w:val="BodyText"/>
        <w:spacing w:line="285" w:lineRule="auto"/>
        <w:ind w:left="110" w:right="107"/>
        <w:jc w:val="both"/>
      </w:pPr>
      <w:r>
        <w:rPr>
          <w:color w:val="231F20"/>
          <w:w w:val="105"/>
        </w:rPr>
        <w:t>Entre ambas administraciones resaltó el cambio de nombres y funciones de las</w:t>
      </w:r>
      <w:r>
        <w:rPr>
          <w:color w:val="231F20"/>
          <w:spacing w:val="-38"/>
          <w:w w:val="105"/>
        </w:rPr>
        <w:t> </w:t>
      </w:r>
      <w:r>
        <w:rPr>
          <w:color w:val="231F20"/>
          <w:w w:val="105"/>
        </w:rPr>
        <w:t>depen- dencias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registraron</w:t>
      </w:r>
      <w:r>
        <w:rPr>
          <w:color w:val="231F20"/>
          <w:spacing w:val="-7"/>
          <w:w w:val="105"/>
        </w:rPr>
        <w:t> </w:t>
      </w:r>
      <w:r>
        <w:rPr>
          <w:color w:val="231F20"/>
          <w:w w:val="105"/>
        </w:rPr>
        <w:t>entre</w:t>
      </w:r>
      <w:r>
        <w:rPr>
          <w:color w:val="231F20"/>
          <w:spacing w:val="-7"/>
          <w:w w:val="105"/>
        </w:rPr>
        <w:t> </w:t>
      </w:r>
      <w:r>
        <w:rPr>
          <w:color w:val="231F20"/>
          <w:w w:val="105"/>
        </w:rPr>
        <w:t>una</w:t>
      </w:r>
      <w:r>
        <w:rPr>
          <w:color w:val="231F20"/>
          <w:spacing w:val="-7"/>
          <w:w w:val="105"/>
        </w:rPr>
        <w:t> </w:t>
      </w:r>
      <w:r>
        <w:rPr>
          <w:color w:val="231F20"/>
          <w:w w:val="105"/>
        </w:rPr>
        <w:t>y</w:t>
      </w:r>
      <w:r>
        <w:rPr>
          <w:color w:val="231F20"/>
          <w:spacing w:val="-7"/>
          <w:w w:val="105"/>
        </w:rPr>
        <w:t> </w:t>
      </w:r>
      <w:r>
        <w:rPr>
          <w:color w:val="231F20"/>
          <w:w w:val="105"/>
        </w:rPr>
        <w:t>otra</w:t>
      </w:r>
      <w:r>
        <w:rPr>
          <w:color w:val="231F20"/>
          <w:spacing w:val="-7"/>
          <w:w w:val="105"/>
        </w:rPr>
        <w:t> </w:t>
      </w:r>
      <w:r>
        <w:rPr>
          <w:color w:val="231F20"/>
          <w:w w:val="105"/>
        </w:rPr>
        <w:t>gestión.</w:t>
      </w:r>
      <w:r>
        <w:rPr>
          <w:color w:val="231F20"/>
          <w:spacing w:val="-7"/>
          <w:w w:val="105"/>
        </w:rPr>
        <w:t> </w:t>
      </w:r>
      <w:r>
        <w:rPr>
          <w:color w:val="231F20"/>
          <w:w w:val="105"/>
        </w:rPr>
        <w:t>Se</w:t>
      </w:r>
      <w:r>
        <w:rPr>
          <w:color w:val="231F20"/>
          <w:spacing w:val="-7"/>
          <w:w w:val="105"/>
        </w:rPr>
        <w:t> </w:t>
      </w:r>
      <w:r>
        <w:rPr>
          <w:color w:val="231F20"/>
          <w:w w:val="105"/>
        </w:rPr>
        <w:t>registró</w:t>
      </w:r>
      <w:r>
        <w:rPr>
          <w:color w:val="231F20"/>
          <w:spacing w:val="-7"/>
          <w:w w:val="105"/>
        </w:rPr>
        <w:t> </w:t>
      </w:r>
      <w:r>
        <w:rPr>
          <w:color w:val="231F20"/>
          <w:w w:val="105"/>
        </w:rPr>
        <w:t>la</w:t>
      </w:r>
      <w:r>
        <w:rPr>
          <w:color w:val="231F20"/>
          <w:spacing w:val="-7"/>
          <w:w w:val="105"/>
        </w:rPr>
        <w:t> </w:t>
      </w:r>
      <w:r>
        <w:rPr>
          <w:color w:val="231F20"/>
          <w:w w:val="105"/>
        </w:rPr>
        <w:t>modificación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8 dependencias</w:t>
      </w:r>
      <w:r>
        <w:rPr>
          <w:color w:val="231F20"/>
          <w:spacing w:val="-14"/>
          <w:w w:val="105"/>
        </w:rPr>
        <w:t> </w:t>
      </w:r>
      <w:r>
        <w:rPr>
          <w:color w:val="231F20"/>
          <w:w w:val="105"/>
        </w:rPr>
        <w:t>existentes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w w:val="105"/>
        </w:rPr>
        <w:t>2003-2006</w:t>
      </w:r>
      <w:r>
        <w:rPr>
          <w:color w:val="231F20"/>
          <w:spacing w:val="-14"/>
          <w:w w:val="105"/>
        </w:rPr>
        <w:t> </w:t>
      </w:r>
      <w:r>
        <w:rPr>
          <w:color w:val="231F20"/>
          <w:w w:val="105"/>
        </w:rPr>
        <w:t>y</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incrementó</w:t>
      </w:r>
      <w:r>
        <w:rPr>
          <w:color w:val="231F20"/>
          <w:spacing w:val="-14"/>
          <w:w w:val="105"/>
        </w:rPr>
        <w:t> </w:t>
      </w:r>
      <w:r>
        <w:rPr>
          <w:color w:val="231F20"/>
          <w:w w:val="105"/>
        </w:rPr>
        <w:t>hasta</w:t>
      </w:r>
      <w:r>
        <w:rPr>
          <w:color w:val="231F20"/>
          <w:spacing w:val="-14"/>
          <w:w w:val="105"/>
        </w:rPr>
        <w:t> </w:t>
      </w:r>
      <w:r>
        <w:rPr>
          <w:color w:val="231F20"/>
          <w:w w:val="105"/>
        </w:rPr>
        <w:t>12</w:t>
      </w:r>
      <w:r>
        <w:rPr>
          <w:color w:val="231F20"/>
          <w:spacing w:val="-14"/>
          <w:w w:val="105"/>
        </w:rPr>
        <w:t> </w:t>
      </w:r>
      <w:r>
        <w:rPr>
          <w:color w:val="231F20"/>
          <w:spacing w:val="2"/>
          <w:w w:val="105"/>
        </w:rPr>
        <w:t>al</w:t>
      </w:r>
      <w:r>
        <w:rPr>
          <w:color w:val="231F20"/>
          <w:spacing w:val="-14"/>
          <w:w w:val="105"/>
        </w:rPr>
        <w:t> </w:t>
      </w:r>
      <w:r>
        <w:rPr>
          <w:color w:val="231F20"/>
          <w:w w:val="105"/>
        </w:rPr>
        <w:t>inicio del gobierno 2006-2009. Sólo cuatro dependencias mantuvieron la misma denomina- ción y funciones, además de que la estructura de la APM central aumentó en un 50% para el último periodo de</w:t>
      </w:r>
      <w:r>
        <w:rPr>
          <w:color w:val="231F20"/>
          <w:spacing w:val="-30"/>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w w:val="105"/>
        </w:rPr>
        <w:t>Otro dato importante en el paso entre ambos periodos es que ninguno de los titulares de la administración anterior se mantuvo en su cargo en la gestión posterior (anexo 1) aun cuando ambas presidencias municipales surgieron de las filas del mismo partido.</w:t>
      </w:r>
    </w:p>
    <w:p>
      <w:pPr>
        <w:pStyle w:val="BodyText"/>
        <w:spacing w:before="1"/>
        <w:rPr>
          <w:sz w:val="26"/>
        </w:rPr>
      </w:pPr>
    </w:p>
    <w:p>
      <w:pPr>
        <w:pStyle w:val="BodyText"/>
        <w:spacing w:line="285" w:lineRule="auto"/>
        <w:ind w:left="110" w:right="107"/>
        <w:jc w:val="both"/>
      </w:pPr>
      <w:r>
        <w:rPr/>
        <w:pict>
          <v:line style="position:absolute;mso-position-horizontal-relative:page;mso-position-vertical-relative:paragraph;z-index:5920;mso-wrap-distance-left:0;mso-wrap-distance-right:0" from="42.519699pt,65.225327pt" to="114.519699pt,65.225327pt" stroked="true" strokeweight="1pt" strokecolor="#231f20">
            <w10:wrap type="topAndBottom"/>
          </v:line>
        </w:pict>
      </w:r>
      <w:r>
        <w:rPr>
          <w:color w:val="231F20"/>
          <w:w w:val="105"/>
        </w:rPr>
        <w:t>Estos datos pueden </w:t>
      </w:r>
      <w:r>
        <w:rPr>
          <w:color w:val="231F20"/>
          <w:spacing w:val="2"/>
          <w:w w:val="105"/>
        </w:rPr>
        <w:t>servir </w:t>
      </w:r>
      <w:r>
        <w:rPr>
          <w:color w:val="231F20"/>
          <w:w w:val="105"/>
        </w:rPr>
        <w:t>para indicar dos aspectos relevantes en cada APM: por un lado</w:t>
      </w:r>
      <w:r>
        <w:rPr>
          <w:color w:val="231F20"/>
          <w:spacing w:val="-5"/>
          <w:w w:val="105"/>
        </w:rPr>
        <w:t> </w:t>
      </w:r>
      <w:r>
        <w:rPr>
          <w:color w:val="231F20"/>
          <w:w w:val="105"/>
        </w:rPr>
        <w:t>fomentan</w:t>
      </w:r>
      <w:r>
        <w:rPr>
          <w:color w:val="231F20"/>
          <w:spacing w:val="-5"/>
          <w:w w:val="105"/>
        </w:rPr>
        <w:t> </w:t>
      </w:r>
      <w:r>
        <w:rPr>
          <w:color w:val="231F20"/>
          <w:w w:val="105"/>
        </w:rPr>
        <w:t>la</w:t>
      </w:r>
      <w:r>
        <w:rPr>
          <w:color w:val="231F20"/>
          <w:spacing w:val="-5"/>
          <w:w w:val="105"/>
        </w:rPr>
        <w:t> </w:t>
      </w:r>
      <w:r>
        <w:rPr>
          <w:color w:val="231F20"/>
          <w:w w:val="105"/>
        </w:rPr>
        <w:t>centralidad</w:t>
      </w:r>
      <w:r>
        <w:rPr>
          <w:color w:val="231F20"/>
          <w:spacing w:val="-5"/>
          <w:w w:val="105"/>
        </w:rPr>
        <w:t> </w:t>
      </w:r>
      <w:r>
        <w:rPr>
          <w:color w:val="231F20"/>
          <w:w w:val="105"/>
        </w:rPr>
        <w:t>del</w:t>
      </w:r>
      <w:r>
        <w:rPr>
          <w:color w:val="231F20"/>
          <w:spacing w:val="-5"/>
          <w:w w:val="105"/>
        </w:rPr>
        <w:t> </w:t>
      </w:r>
      <w:r>
        <w:rPr>
          <w:color w:val="231F20"/>
          <w:w w:val="105"/>
        </w:rPr>
        <w:t>presidente</w:t>
      </w:r>
      <w:r>
        <w:rPr>
          <w:color w:val="231F20"/>
          <w:spacing w:val="-5"/>
          <w:w w:val="105"/>
        </w:rPr>
        <w:t> </w:t>
      </w:r>
      <w:r>
        <w:rPr>
          <w:color w:val="231F20"/>
          <w:w w:val="105"/>
        </w:rPr>
        <w:t>municipal</w:t>
      </w:r>
      <w:r>
        <w:rPr>
          <w:color w:val="231F20"/>
          <w:spacing w:val="-5"/>
          <w:w w:val="105"/>
        </w:rPr>
        <w:t> </w:t>
      </w:r>
      <w:r>
        <w:rPr>
          <w:color w:val="231F20"/>
          <w:w w:val="105"/>
        </w:rPr>
        <w:t>dentro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estructura</w:t>
      </w:r>
      <w:r>
        <w:rPr>
          <w:color w:val="231F20"/>
          <w:spacing w:val="-5"/>
          <w:w w:val="105"/>
        </w:rPr>
        <w:t> </w:t>
      </w:r>
      <w:r>
        <w:rPr>
          <w:color w:val="231F20"/>
          <w:w w:val="105"/>
        </w:rPr>
        <w:t>adminis- trativa,</w:t>
      </w:r>
      <w:r>
        <w:rPr>
          <w:color w:val="231F20"/>
          <w:spacing w:val="-6"/>
          <w:w w:val="105"/>
        </w:rPr>
        <w:t> </w:t>
      </w:r>
      <w:r>
        <w:rPr>
          <w:color w:val="231F20"/>
          <w:w w:val="105"/>
        </w:rPr>
        <w:t>pues</w:t>
      </w:r>
      <w:r>
        <w:rPr>
          <w:color w:val="231F20"/>
          <w:spacing w:val="-6"/>
          <w:w w:val="105"/>
        </w:rPr>
        <w:t> </w:t>
      </w:r>
      <w:r>
        <w:rPr>
          <w:color w:val="231F20"/>
          <w:w w:val="105"/>
        </w:rPr>
        <w:t>éste</w:t>
      </w:r>
      <w:r>
        <w:rPr>
          <w:color w:val="231F20"/>
          <w:spacing w:val="-6"/>
          <w:w w:val="105"/>
        </w:rPr>
        <w:t> </w:t>
      </w:r>
      <w:r>
        <w:rPr>
          <w:color w:val="231F20"/>
          <w:w w:val="105"/>
        </w:rPr>
        <w:t>se</w:t>
      </w:r>
      <w:r>
        <w:rPr>
          <w:color w:val="231F20"/>
          <w:spacing w:val="-6"/>
          <w:w w:val="105"/>
        </w:rPr>
        <w:t> </w:t>
      </w:r>
      <w:r>
        <w:rPr>
          <w:color w:val="231F20"/>
          <w:w w:val="105"/>
        </w:rPr>
        <w:t>convierte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actor</w:t>
      </w:r>
      <w:r>
        <w:rPr>
          <w:color w:val="231F20"/>
          <w:spacing w:val="-6"/>
          <w:w w:val="105"/>
        </w:rPr>
        <w:t> </w:t>
      </w:r>
      <w:r>
        <w:rPr>
          <w:color w:val="231F20"/>
          <w:w w:val="105"/>
        </w:rPr>
        <w:t>“principal”</w:t>
      </w:r>
      <w:r>
        <w:rPr>
          <w:color w:val="231F20"/>
          <w:spacing w:val="-6"/>
          <w:w w:val="105"/>
        </w:rPr>
        <w:t> </w:t>
      </w:r>
      <w:r>
        <w:rPr>
          <w:color w:val="231F20"/>
          <w:w w:val="105"/>
        </w:rPr>
        <w:t>que</w:t>
      </w:r>
      <w:r>
        <w:rPr>
          <w:color w:val="231F20"/>
          <w:spacing w:val="-6"/>
          <w:w w:val="105"/>
        </w:rPr>
        <w:t> </w:t>
      </w:r>
      <w:r>
        <w:rPr>
          <w:color w:val="231F20"/>
          <w:w w:val="105"/>
        </w:rPr>
        <w:t>decide</w:t>
      </w:r>
      <w:r>
        <w:rPr>
          <w:color w:val="231F20"/>
          <w:spacing w:val="-6"/>
          <w:w w:val="105"/>
        </w:rPr>
        <w:t> </w:t>
      </w:r>
      <w:r>
        <w:rPr>
          <w:color w:val="231F20"/>
          <w:w w:val="105"/>
        </w:rPr>
        <w:t>sobre</w:t>
      </w:r>
      <w:r>
        <w:rPr>
          <w:color w:val="231F20"/>
          <w:spacing w:val="-6"/>
          <w:w w:val="105"/>
        </w:rPr>
        <w:t> </w:t>
      </w:r>
      <w:r>
        <w:rPr>
          <w:color w:val="231F20"/>
          <w:w w:val="105"/>
        </w:rPr>
        <w:t>la</w:t>
      </w:r>
      <w:r>
        <w:rPr>
          <w:color w:val="231F20"/>
          <w:spacing w:val="-6"/>
          <w:w w:val="105"/>
        </w:rPr>
        <w:t> </w:t>
      </w:r>
      <w:r>
        <w:rPr>
          <w:color w:val="231F20"/>
          <w:w w:val="105"/>
        </w:rPr>
        <w:t>estabilidad</w:t>
      </w:r>
      <w:r>
        <w:rPr>
          <w:color w:val="231F20"/>
          <w:spacing w:val="-6"/>
          <w:w w:val="105"/>
        </w:rPr>
        <w:t> </w:t>
      </w:r>
      <w:r>
        <w:rPr>
          <w:color w:val="231F20"/>
          <w:w w:val="105"/>
        </w:rPr>
        <w:t>de los cargos de sus agentes, los titulares; además también indica la falta de</w:t>
      </w:r>
      <w:r>
        <w:rPr>
          <w:color w:val="231F20"/>
          <w:spacing w:val="56"/>
          <w:w w:val="105"/>
        </w:rPr>
        <w:t> </w:t>
      </w:r>
      <w:r>
        <w:rPr>
          <w:color w:val="231F20"/>
          <w:w w:val="105"/>
        </w:rPr>
        <w:t>continuidad</w:t>
      </w:r>
    </w:p>
    <w:p>
      <w:pPr>
        <w:pStyle w:val="ListParagraph"/>
        <w:numPr>
          <w:ilvl w:val="0"/>
          <w:numId w:val="4"/>
        </w:numPr>
        <w:tabs>
          <w:tab w:pos="332" w:val="left" w:leader="none"/>
        </w:tabs>
        <w:spacing w:line="244" w:lineRule="auto" w:before="8" w:after="0"/>
        <w:ind w:left="110" w:right="108" w:firstLine="0"/>
        <w:jc w:val="left"/>
        <w:rPr>
          <w:sz w:val="16"/>
        </w:rPr>
      </w:pPr>
      <w:r>
        <w:rPr>
          <w:color w:val="231F20"/>
          <w:sz w:val="16"/>
        </w:rPr>
        <w:t>La</w:t>
      </w:r>
      <w:r>
        <w:rPr>
          <w:color w:val="231F20"/>
          <w:spacing w:val="-7"/>
          <w:sz w:val="16"/>
        </w:rPr>
        <w:t> </w:t>
      </w:r>
      <w:r>
        <w:rPr>
          <w:color w:val="231F20"/>
          <w:sz w:val="16"/>
        </w:rPr>
        <w:t>fuente</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datos</w:t>
      </w:r>
      <w:r>
        <w:rPr>
          <w:color w:val="231F20"/>
          <w:spacing w:val="-7"/>
          <w:sz w:val="16"/>
        </w:rPr>
        <w:t> </w:t>
      </w:r>
      <w:r>
        <w:rPr>
          <w:color w:val="231F20"/>
          <w:sz w:val="16"/>
        </w:rPr>
        <w:t>referentes</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estructura</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APM,</w:t>
      </w:r>
      <w:r>
        <w:rPr>
          <w:color w:val="231F20"/>
          <w:spacing w:val="-7"/>
          <w:sz w:val="16"/>
        </w:rPr>
        <w:t> </w:t>
      </w:r>
      <w:r>
        <w:rPr>
          <w:color w:val="231F20"/>
          <w:sz w:val="16"/>
        </w:rPr>
        <w:t>tanto</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nombres</w:t>
      </w:r>
      <w:r>
        <w:rPr>
          <w:color w:val="231F20"/>
          <w:spacing w:val="-7"/>
          <w:sz w:val="16"/>
        </w:rPr>
        <w:t> </w:t>
      </w:r>
      <w:r>
        <w:rPr>
          <w:color w:val="231F20"/>
          <w:sz w:val="16"/>
        </w:rPr>
        <w:t>de</w:t>
      </w:r>
      <w:r>
        <w:rPr>
          <w:color w:val="231F20"/>
          <w:spacing w:val="-7"/>
          <w:sz w:val="16"/>
        </w:rPr>
        <w:t> </w:t>
      </w:r>
      <w:r>
        <w:rPr>
          <w:color w:val="231F20"/>
          <w:sz w:val="16"/>
        </w:rPr>
        <w:t>las</w:t>
      </w:r>
      <w:r>
        <w:rPr>
          <w:color w:val="231F20"/>
          <w:spacing w:val="-7"/>
          <w:sz w:val="16"/>
        </w:rPr>
        <w:t> </w:t>
      </w:r>
      <w:r>
        <w:rPr>
          <w:color w:val="231F20"/>
          <w:sz w:val="16"/>
        </w:rPr>
        <w:t>dependencias,</w:t>
      </w:r>
      <w:r>
        <w:rPr>
          <w:color w:val="231F20"/>
          <w:spacing w:val="-7"/>
          <w:sz w:val="16"/>
        </w:rPr>
        <w:t> </w:t>
      </w:r>
      <w:r>
        <w:rPr>
          <w:color w:val="231F20"/>
          <w:sz w:val="16"/>
        </w:rPr>
        <w:t>como</w:t>
      </w:r>
      <w:r>
        <w:rPr>
          <w:color w:val="231F20"/>
          <w:spacing w:val="-7"/>
          <w:sz w:val="16"/>
        </w:rPr>
        <w:t> </w:t>
      </w:r>
      <w:r>
        <w:rPr>
          <w:color w:val="231F20"/>
          <w:sz w:val="16"/>
        </w:rPr>
        <w:t>de</w:t>
      </w:r>
      <w:r>
        <w:rPr>
          <w:color w:val="231F20"/>
          <w:spacing w:val="-7"/>
          <w:sz w:val="16"/>
        </w:rPr>
        <w:t> </w:t>
      </w:r>
      <w:r>
        <w:rPr>
          <w:color w:val="231F20"/>
          <w:sz w:val="16"/>
        </w:rPr>
        <w:t>sus</w:t>
      </w:r>
      <w:r>
        <w:rPr>
          <w:color w:val="231F20"/>
          <w:spacing w:val="-7"/>
          <w:sz w:val="16"/>
        </w:rPr>
        <w:t> </w:t>
      </w:r>
      <w:r>
        <w:rPr>
          <w:color w:val="231F20"/>
          <w:sz w:val="16"/>
        </w:rPr>
        <w:t>titu- lares</w:t>
      </w:r>
      <w:r>
        <w:rPr>
          <w:color w:val="231F20"/>
          <w:spacing w:val="-8"/>
          <w:sz w:val="16"/>
        </w:rPr>
        <w:t> </w:t>
      </w:r>
      <w:r>
        <w:rPr>
          <w:color w:val="231F20"/>
          <w:sz w:val="16"/>
        </w:rPr>
        <w:t>se</w:t>
      </w:r>
      <w:r>
        <w:rPr>
          <w:color w:val="231F20"/>
          <w:spacing w:val="-8"/>
          <w:sz w:val="16"/>
        </w:rPr>
        <w:t> </w:t>
      </w:r>
      <w:r>
        <w:rPr>
          <w:color w:val="231F20"/>
          <w:sz w:val="16"/>
        </w:rPr>
        <w:t>basó</w:t>
      </w:r>
      <w:r>
        <w:rPr>
          <w:color w:val="231F20"/>
          <w:spacing w:val="-8"/>
          <w:sz w:val="16"/>
        </w:rPr>
        <w:t> </w:t>
      </w:r>
      <w:r>
        <w:rPr>
          <w:color w:val="231F20"/>
          <w:sz w:val="16"/>
        </w:rPr>
        <w:t>en</w:t>
      </w:r>
      <w:r>
        <w:rPr>
          <w:color w:val="231F20"/>
          <w:spacing w:val="-8"/>
          <w:sz w:val="16"/>
        </w:rPr>
        <w:t> </w:t>
      </w:r>
      <w:r>
        <w:rPr>
          <w:color w:val="231F20"/>
          <w:sz w:val="16"/>
        </w:rPr>
        <w:t>los</w:t>
      </w:r>
      <w:r>
        <w:rPr>
          <w:color w:val="231F20"/>
          <w:spacing w:val="-8"/>
          <w:sz w:val="16"/>
        </w:rPr>
        <w:t> </w:t>
      </w:r>
      <w:r>
        <w:rPr>
          <w:color w:val="231F20"/>
          <w:sz w:val="16"/>
        </w:rPr>
        <w:t>informes</w:t>
      </w:r>
      <w:r>
        <w:rPr>
          <w:color w:val="231F20"/>
          <w:spacing w:val="-8"/>
          <w:sz w:val="16"/>
        </w:rPr>
        <w:t> </w:t>
      </w:r>
      <w:r>
        <w:rPr>
          <w:color w:val="231F20"/>
          <w:sz w:val="16"/>
        </w:rPr>
        <w:t>de</w:t>
      </w:r>
      <w:r>
        <w:rPr>
          <w:color w:val="231F20"/>
          <w:spacing w:val="-8"/>
          <w:sz w:val="16"/>
        </w:rPr>
        <w:t> </w:t>
      </w:r>
      <w:r>
        <w:rPr>
          <w:color w:val="231F20"/>
          <w:sz w:val="16"/>
        </w:rPr>
        <w:t>gobierno</w:t>
      </w:r>
      <w:r>
        <w:rPr>
          <w:color w:val="231F20"/>
          <w:spacing w:val="-8"/>
          <w:sz w:val="16"/>
        </w:rPr>
        <w:t> </w:t>
      </w:r>
      <w:r>
        <w:rPr>
          <w:color w:val="231F20"/>
          <w:sz w:val="16"/>
        </w:rPr>
        <w:t>anuales</w:t>
      </w:r>
      <w:r>
        <w:rPr>
          <w:color w:val="231F20"/>
          <w:spacing w:val="-8"/>
          <w:sz w:val="16"/>
        </w:rPr>
        <w:t> </w:t>
      </w:r>
      <w:r>
        <w:rPr>
          <w:color w:val="231F20"/>
          <w:sz w:val="16"/>
        </w:rPr>
        <w:t>que</w:t>
      </w:r>
      <w:r>
        <w:rPr>
          <w:color w:val="231F20"/>
          <w:spacing w:val="-8"/>
          <w:sz w:val="16"/>
        </w:rPr>
        <w:t> </w:t>
      </w:r>
      <w:r>
        <w:rPr>
          <w:color w:val="231F20"/>
          <w:sz w:val="16"/>
        </w:rPr>
        <w:t>rindió</w:t>
      </w:r>
      <w:r>
        <w:rPr>
          <w:color w:val="231F20"/>
          <w:spacing w:val="-8"/>
          <w:sz w:val="16"/>
        </w:rPr>
        <w:t> </w:t>
      </w:r>
      <w:r>
        <w:rPr>
          <w:color w:val="231F20"/>
          <w:sz w:val="16"/>
        </w:rPr>
        <w:t>cada</w:t>
      </w:r>
      <w:r>
        <w:rPr>
          <w:color w:val="231F20"/>
          <w:spacing w:val="-8"/>
          <w:sz w:val="16"/>
        </w:rPr>
        <w:t> </w:t>
      </w:r>
      <w:r>
        <w:rPr>
          <w:color w:val="231F20"/>
          <w:sz w:val="16"/>
        </w:rPr>
        <w:t>presidente</w:t>
      </w:r>
      <w:r>
        <w:rPr>
          <w:color w:val="231F20"/>
          <w:spacing w:val="-8"/>
          <w:sz w:val="16"/>
        </w:rPr>
        <w:t> </w:t>
      </w:r>
      <w:r>
        <w:rPr>
          <w:color w:val="231F20"/>
          <w:sz w:val="16"/>
        </w:rPr>
        <w:t>municipal</w:t>
      </w:r>
      <w:r>
        <w:rPr>
          <w:color w:val="231F20"/>
          <w:spacing w:val="-8"/>
          <w:sz w:val="16"/>
        </w:rPr>
        <w:t> </w:t>
      </w:r>
      <w:r>
        <w:rPr>
          <w:color w:val="231F20"/>
          <w:sz w:val="16"/>
        </w:rPr>
        <w:t>en</w:t>
      </w:r>
      <w:r>
        <w:rPr>
          <w:color w:val="231F20"/>
          <w:spacing w:val="-8"/>
          <w:sz w:val="16"/>
        </w:rPr>
        <w:t> </w:t>
      </w:r>
      <w:r>
        <w:rPr>
          <w:color w:val="231F20"/>
          <w:sz w:val="16"/>
        </w:rPr>
        <w:t>turno.</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rPr>
        <w:t>entre los gobiernos municipales, lo que se puede convertir en un obstáculo para el desa- rrollo municipal en función de los cortos periodos de las gestiones locales que impiden realizar planeación de mediano y largo </w:t>
      </w:r>
      <w:r>
        <w:rPr>
          <w:color w:val="231F20"/>
          <w:spacing w:val="51"/>
        </w:rPr>
        <w:t> </w:t>
      </w:r>
      <w:r>
        <w:rPr>
          <w:color w:val="231F20"/>
        </w:rPr>
        <w:t>plazo.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primer</w:t>
      </w:r>
      <w:r>
        <w:rPr>
          <w:color w:val="231F20"/>
          <w:spacing w:val="-4"/>
          <w:w w:val="105"/>
        </w:rPr>
        <w:t> </w:t>
      </w:r>
      <w:r>
        <w:rPr>
          <w:color w:val="231F20"/>
          <w:w w:val="105"/>
        </w:rPr>
        <w:t>año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administración</w:t>
      </w:r>
      <w:r>
        <w:rPr>
          <w:color w:val="231F20"/>
          <w:spacing w:val="-4"/>
          <w:w w:val="105"/>
        </w:rPr>
        <w:t> </w:t>
      </w:r>
      <w:r>
        <w:rPr>
          <w:color w:val="231F20"/>
          <w:w w:val="105"/>
        </w:rPr>
        <w:t>2003-2006</w:t>
      </w:r>
      <w:r>
        <w:rPr>
          <w:color w:val="231F20"/>
          <w:spacing w:val="-4"/>
          <w:w w:val="105"/>
        </w:rPr>
        <w:t> </w:t>
      </w:r>
      <w:r>
        <w:rPr>
          <w:color w:val="231F20"/>
          <w:w w:val="105"/>
        </w:rPr>
        <w:t>se</w:t>
      </w:r>
      <w:r>
        <w:rPr>
          <w:color w:val="231F20"/>
          <w:spacing w:val="-4"/>
          <w:w w:val="105"/>
        </w:rPr>
        <w:t> </w:t>
      </w:r>
      <w:r>
        <w:rPr>
          <w:color w:val="231F20"/>
          <w:w w:val="105"/>
        </w:rPr>
        <w:t>registró</w:t>
      </w:r>
      <w:r>
        <w:rPr>
          <w:color w:val="231F20"/>
          <w:spacing w:val="-4"/>
          <w:w w:val="105"/>
        </w:rPr>
        <w:t> </w:t>
      </w:r>
      <w:r>
        <w:rPr>
          <w:color w:val="231F20"/>
          <w:w w:val="105"/>
        </w:rPr>
        <w:t>la</w:t>
      </w:r>
      <w:r>
        <w:rPr>
          <w:color w:val="231F20"/>
          <w:spacing w:val="-4"/>
          <w:w w:val="105"/>
        </w:rPr>
        <w:t> </w:t>
      </w:r>
      <w:r>
        <w:rPr>
          <w:color w:val="231F20"/>
          <w:w w:val="105"/>
        </w:rPr>
        <w:t>presencia</w:t>
      </w:r>
      <w:r>
        <w:rPr>
          <w:color w:val="231F20"/>
          <w:spacing w:val="-4"/>
          <w:w w:val="105"/>
        </w:rPr>
        <w:t> </w:t>
      </w:r>
      <w:r>
        <w:rPr>
          <w:color w:val="231F20"/>
          <w:w w:val="105"/>
        </w:rPr>
        <w:t>de</w:t>
      </w:r>
      <w:r>
        <w:rPr>
          <w:color w:val="231F20"/>
          <w:spacing w:val="-4"/>
          <w:w w:val="105"/>
        </w:rPr>
        <w:t> </w:t>
      </w:r>
      <w:r>
        <w:rPr>
          <w:color w:val="231F20"/>
          <w:w w:val="105"/>
        </w:rPr>
        <w:t>12</w:t>
      </w:r>
      <w:r>
        <w:rPr>
          <w:color w:val="231F20"/>
          <w:spacing w:val="-4"/>
          <w:w w:val="105"/>
        </w:rPr>
        <w:t> </w:t>
      </w:r>
      <w:r>
        <w:rPr>
          <w:color w:val="231F20"/>
          <w:w w:val="105"/>
        </w:rPr>
        <w:t>depen- dencias.</w:t>
      </w:r>
      <w:r>
        <w:rPr>
          <w:color w:val="231F20"/>
          <w:spacing w:val="-19"/>
          <w:w w:val="105"/>
        </w:rPr>
        <w:t> </w:t>
      </w:r>
      <w:r>
        <w:rPr>
          <w:color w:val="231F20"/>
          <w:w w:val="105"/>
        </w:rPr>
        <w:t>Para</w:t>
      </w:r>
      <w:r>
        <w:rPr>
          <w:color w:val="231F20"/>
          <w:spacing w:val="-19"/>
          <w:w w:val="105"/>
        </w:rPr>
        <w:t> </w:t>
      </w:r>
      <w:r>
        <w:rPr>
          <w:color w:val="231F20"/>
          <w:w w:val="105"/>
        </w:rPr>
        <w:t>sus</w:t>
      </w:r>
      <w:r>
        <w:rPr>
          <w:color w:val="231F20"/>
          <w:spacing w:val="-19"/>
          <w:w w:val="105"/>
        </w:rPr>
        <w:t> </w:t>
      </w:r>
      <w:r>
        <w:rPr>
          <w:color w:val="231F20"/>
          <w:w w:val="105"/>
        </w:rPr>
        <w:t>últimos</w:t>
      </w:r>
      <w:r>
        <w:rPr>
          <w:color w:val="231F20"/>
          <w:spacing w:val="-19"/>
          <w:w w:val="105"/>
        </w:rPr>
        <w:t> </w:t>
      </w:r>
      <w:r>
        <w:rPr>
          <w:color w:val="231F20"/>
          <w:w w:val="105"/>
        </w:rPr>
        <w:t>años</w:t>
      </w:r>
      <w:r>
        <w:rPr>
          <w:color w:val="231F20"/>
          <w:spacing w:val="-19"/>
          <w:w w:val="105"/>
        </w:rPr>
        <w:t> </w:t>
      </w:r>
      <w:r>
        <w:rPr>
          <w:color w:val="231F20"/>
          <w:w w:val="105"/>
        </w:rPr>
        <w:t>se</w:t>
      </w:r>
      <w:r>
        <w:rPr>
          <w:color w:val="231F20"/>
          <w:spacing w:val="-19"/>
          <w:w w:val="105"/>
        </w:rPr>
        <w:t> </w:t>
      </w:r>
      <w:r>
        <w:rPr>
          <w:color w:val="231F20"/>
          <w:w w:val="105"/>
        </w:rPr>
        <w:t>observó</w:t>
      </w:r>
      <w:r>
        <w:rPr>
          <w:color w:val="231F20"/>
          <w:spacing w:val="-19"/>
          <w:w w:val="105"/>
        </w:rPr>
        <w:t> </w:t>
      </w:r>
      <w:r>
        <w:rPr>
          <w:color w:val="231F20"/>
          <w:w w:val="105"/>
        </w:rPr>
        <w:t>el</w:t>
      </w:r>
      <w:r>
        <w:rPr>
          <w:color w:val="231F20"/>
          <w:spacing w:val="-19"/>
          <w:w w:val="105"/>
        </w:rPr>
        <w:t> </w:t>
      </w:r>
      <w:r>
        <w:rPr>
          <w:color w:val="231F20"/>
          <w:w w:val="105"/>
        </w:rPr>
        <w:t>cambio</w:t>
      </w:r>
      <w:r>
        <w:rPr>
          <w:color w:val="231F20"/>
          <w:spacing w:val="-19"/>
          <w:w w:val="105"/>
        </w:rPr>
        <w:t> </w:t>
      </w:r>
      <w:r>
        <w:rPr>
          <w:color w:val="231F20"/>
          <w:w w:val="105"/>
        </w:rPr>
        <w:t>en</w:t>
      </w:r>
      <w:r>
        <w:rPr>
          <w:color w:val="231F20"/>
          <w:spacing w:val="-19"/>
          <w:w w:val="105"/>
        </w:rPr>
        <w:t> </w:t>
      </w:r>
      <w:r>
        <w:rPr>
          <w:color w:val="231F20"/>
          <w:w w:val="105"/>
        </w:rPr>
        <w:t>nueve</w:t>
      </w:r>
      <w:r>
        <w:rPr>
          <w:color w:val="231F20"/>
          <w:spacing w:val="-19"/>
          <w:w w:val="105"/>
        </w:rPr>
        <w:t> </w:t>
      </w:r>
      <w:r>
        <w:rPr>
          <w:color w:val="231F20"/>
          <w:spacing w:val="-6"/>
          <w:w w:val="105"/>
        </w:rPr>
        <w:t>(75%)</w:t>
      </w:r>
      <w:r>
        <w:rPr>
          <w:color w:val="231F20"/>
          <w:spacing w:val="-19"/>
          <w:w w:val="105"/>
        </w:rPr>
        <w:t> </w:t>
      </w:r>
      <w:r>
        <w:rPr>
          <w:color w:val="231F20"/>
          <w:w w:val="105"/>
        </w:rPr>
        <w:t>de</w:t>
      </w:r>
      <w:r>
        <w:rPr>
          <w:color w:val="231F20"/>
          <w:spacing w:val="-19"/>
          <w:w w:val="105"/>
        </w:rPr>
        <w:t> </w:t>
      </w:r>
      <w:r>
        <w:rPr>
          <w:color w:val="231F20"/>
          <w:w w:val="105"/>
        </w:rPr>
        <w:t>ellas:</w:t>
      </w:r>
      <w:r>
        <w:rPr>
          <w:color w:val="231F20"/>
          <w:spacing w:val="-19"/>
          <w:w w:val="105"/>
        </w:rPr>
        <w:t> </w:t>
      </w:r>
      <w:r>
        <w:rPr>
          <w:color w:val="231F20"/>
          <w:w w:val="105"/>
        </w:rPr>
        <w:t>cuatro</w:t>
      </w:r>
      <w:r>
        <w:rPr>
          <w:color w:val="231F20"/>
          <w:spacing w:val="-19"/>
          <w:w w:val="105"/>
        </w:rPr>
        <w:t> </w:t>
      </w:r>
      <w:r>
        <w:rPr>
          <w:color w:val="231F20"/>
          <w:w w:val="105"/>
        </w:rPr>
        <w:t>des- aparecieron</w:t>
      </w:r>
      <w:r>
        <w:rPr>
          <w:color w:val="231F20"/>
          <w:spacing w:val="-15"/>
          <w:w w:val="105"/>
        </w:rPr>
        <w:t> </w:t>
      </w:r>
      <w:r>
        <w:rPr>
          <w:color w:val="231F20"/>
          <w:w w:val="105"/>
        </w:rPr>
        <w:t>como</w:t>
      </w:r>
      <w:r>
        <w:rPr>
          <w:color w:val="231F20"/>
          <w:spacing w:val="-15"/>
          <w:w w:val="105"/>
        </w:rPr>
        <w:t> </w:t>
      </w:r>
      <w:r>
        <w:rPr>
          <w:color w:val="231F20"/>
          <w:w w:val="105"/>
        </w:rPr>
        <w:t>tales</w:t>
      </w:r>
      <w:r>
        <w:rPr>
          <w:color w:val="231F20"/>
          <w:spacing w:val="-15"/>
          <w:w w:val="105"/>
        </w:rPr>
        <w:t> </w:t>
      </w:r>
      <w:r>
        <w:rPr>
          <w:color w:val="231F20"/>
          <w:spacing w:val="2"/>
          <w:w w:val="105"/>
        </w:rPr>
        <w:t>al</w:t>
      </w:r>
      <w:r>
        <w:rPr>
          <w:color w:val="231F20"/>
          <w:spacing w:val="-15"/>
          <w:w w:val="105"/>
        </w:rPr>
        <w:t> </w:t>
      </w:r>
      <w:r>
        <w:rPr>
          <w:color w:val="231F20"/>
          <w:w w:val="105"/>
        </w:rPr>
        <w:t>ser</w:t>
      </w:r>
      <w:r>
        <w:rPr>
          <w:color w:val="231F20"/>
          <w:spacing w:val="-15"/>
          <w:w w:val="105"/>
        </w:rPr>
        <w:t> </w:t>
      </w:r>
      <w:r>
        <w:rPr>
          <w:color w:val="231F20"/>
          <w:w w:val="105"/>
        </w:rPr>
        <w:t>fusionadas</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cinco</w:t>
      </w:r>
      <w:r>
        <w:rPr>
          <w:color w:val="231F20"/>
          <w:spacing w:val="-15"/>
          <w:w w:val="105"/>
        </w:rPr>
        <w:t> </w:t>
      </w:r>
      <w:r>
        <w:rPr>
          <w:color w:val="231F20"/>
          <w:w w:val="105"/>
        </w:rPr>
        <w:t>casos</w:t>
      </w:r>
      <w:r>
        <w:rPr>
          <w:color w:val="231F20"/>
          <w:spacing w:val="-15"/>
          <w:w w:val="105"/>
        </w:rPr>
        <w:t> </w:t>
      </w:r>
      <w:r>
        <w:rPr>
          <w:color w:val="231F20"/>
          <w:w w:val="105"/>
        </w:rPr>
        <w:t>se</w:t>
      </w:r>
      <w:r>
        <w:rPr>
          <w:color w:val="231F20"/>
          <w:spacing w:val="-15"/>
          <w:w w:val="105"/>
        </w:rPr>
        <w:t> </w:t>
      </w:r>
      <w:r>
        <w:rPr>
          <w:color w:val="231F20"/>
          <w:w w:val="105"/>
        </w:rPr>
        <w:t>modificaron</w:t>
      </w:r>
      <w:r>
        <w:rPr>
          <w:color w:val="231F20"/>
          <w:spacing w:val="-15"/>
          <w:w w:val="105"/>
        </w:rPr>
        <w:t> </w:t>
      </w:r>
      <w:r>
        <w:rPr>
          <w:color w:val="231F20"/>
          <w:w w:val="105"/>
        </w:rPr>
        <w:t>sus</w:t>
      </w:r>
      <w:r>
        <w:rPr>
          <w:color w:val="231F20"/>
          <w:spacing w:val="-15"/>
          <w:w w:val="105"/>
        </w:rPr>
        <w:t> </w:t>
      </w:r>
      <w:r>
        <w:rPr>
          <w:color w:val="231F20"/>
          <w:w w:val="105"/>
        </w:rPr>
        <w:t>nombres</w:t>
      </w:r>
      <w:r>
        <w:rPr>
          <w:color w:val="231F20"/>
          <w:spacing w:val="-15"/>
          <w:w w:val="105"/>
        </w:rPr>
        <w:t> </w:t>
      </w:r>
      <w:r>
        <w:rPr>
          <w:color w:val="231F20"/>
          <w:w w:val="105"/>
        </w:rPr>
        <w:t>y funciones;</w:t>
      </w:r>
      <w:r>
        <w:rPr>
          <w:color w:val="231F20"/>
          <w:spacing w:val="-11"/>
          <w:w w:val="105"/>
        </w:rPr>
        <w:t> </w:t>
      </w:r>
      <w:r>
        <w:rPr>
          <w:color w:val="231F20"/>
          <w:spacing w:val="2"/>
          <w:w w:val="105"/>
        </w:rPr>
        <w:t>al</w:t>
      </w:r>
      <w:r>
        <w:rPr>
          <w:color w:val="231F20"/>
          <w:spacing w:val="-11"/>
          <w:w w:val="105"/>
        </w:rPr>
        <w:t> </w:t>
      </w:r>
      <w:r>
        <w:rPr>
          <w:color w:val="231F20"/>
          <w:spacing w:val="2"/>
          <w:w w:val="105"/>
        </w:rPr>
        <w:t>final</w:t>
      </w:r>
      <w:r>
        <w:rPr>
          <w:color w:val="231F20"/>
          <w:spacing w:val="-11"/>
          <w:w w:val="105"/>
        </w:rPr>
        <w:t> </w:t>
      </w:r>
      <w:r>
        <w:rPr>
          <w:color w:val="231F20"/>
          <w:w w:val="105"/>
        </w:rPr>
        <w:t>del</w:t>
      </w:r>
      <w:r>
        <w:rPr>
          <w:color w:val="231F20"/>
          <w:spacing w:val="-11"/>
          <w:w w:val="105"/>
        </w:rPr>
        <w:t> </w:t>
      </w:r>
      <w:r>
        <w:rPr>
          <w:color w:val="231F20"/>
          <w:w w:val="105"/>
        </w:rPr>
        <w:t>periodo</w:t>
      </w:r>
      <w:r>
        <w:rPr>
          <w:color w:val="231F20"/>
          <w:spacing w:val="-11"/>
          <w:w w:val="105"/>
        </w:rPr>
        <w:t> </w:t>
      </w:r>
      <w:r>
        <w:rPr>
          <w:color w:val="231F20"/>
          <w:w w:val="105"/>
        </w:rPr>
        <w:t>quedaron</w:t>
      </w:r>
      <w:r>
        <w:rPr>
          <w:color w:val="231F20"/>
          <w:spacing w:val="-11"/>
          <w:w w:val="105"/>
        </w:rPr>
        <w:t> </w:t>
      </w:r>
      <w:r>
        <w:rPr>
          <w:color w:val="231F20"/>
          <w:w w:val="105"/>
        </w:rPr>
        <w:t>ocho</w:t>
      </w:r>
      <w:r>
        <w:rPr>
          <w:color w:val="231F20"/>
          <w:spacing w:val="-11"/>
          <w:w w:val="105"/>
        </w:rPr>
        <w:t> </w:t>
      </w:r>
      <w:r>
        <w:rPr>
          <w:color w:val="231F20"/>
          <w:w w:val="105"/>
        </w:rPr>
        <w:t>dependencias.</w:t>
      </w:r>
      <w:r>
        <w:rPr>
          <w:color w:val="231F20"/>
          <w:spacing w:val="-11"/>
          <w:w w:val="105"/>
        </w:rPr>
        <w:t> </w:t>
      </w:r>
      <w:r>
        <w:rPr>
          <w:color w:val="231F20"/>
          <w:w w:val="105"/>
        </w:rPr>
        <w:t>La</w:t>
      </w:r>
      <w:r>
        <w:rPr>
          <w:color w:val="231F20"/>
          <w:spacing w:val="-11"/>
          <w:w w:val="105"/>
        </w:rPr>
        <w:t> </w:t>
      </w:r>
      <w:r>
        <w:rPr>
          <w:color w:val="231F20"/>
          <w:w w:val="105"/>
        </w:rPr>
        <w:t>estructura</w:t>
      </w:r>
      <w:r>
        <w:rPr>
          <w:color w:val="231F20"/>
          <w:spacing w:val="-11"/>
          <w:w w:val="105"/>
        </w:rPr>
        <w:t> </w:t>
      </w:r>
      <w:r>
        <w:rPr>
          <w:color w:val="231F20"/>
          <w:w w:val="105"/>
        </w:rPr>
        <w:t>central</w:t>
      </w:r>
      <w:r>
        <w:rPr>
          <w:color w:val="231F20"/>
          <w:spacing w:val="-11"/>
          <w:w w:val="105"/>
        </w:rPr>
        <w:t> </w:t>
      </w:r>
      <w:r>
        <w:rPr>
          <w:color w:val="231F20"/>
          <w:w w:val="105"/>
        </w:rPr>
        <w:t>de</w:t>
      </w:r>
      <w:r>
        <w:rPr>
          <w:color w:val="231F20"/>
          <w:spacing w:val="-11"/>
          <w:w w:val="105"/>
        </w:rPr>
        <w:t> </w:t>
      </w:r>
      <w:r>
        <w:rPr>
          <w:color w:val="231F20"/>
          <w:w w:val="105"/>
        </w:rPr>
        <w:t>la APM</w:t>
      </w:r>
      <w:r>
        <w:rPr>
          <w:color w:val="231F20"/>
          <w:spacing w:val="-21"/>
          <w:w w:val="105"/>
        </w:rPr>
        <w:t> </w:t>
      </w:r>
      <w:r>
        <w:rPr>
          <w:color w:val="231F20"/>
          <w:w w:val="105"/>
        </w:rPr>
        <w:t>en</w:t>
      </w:r>
      <w:r>
        <w:rPr>
          <w:color w:val="231F20"/>
          <w:spacing w:val="-21"/>
          <w:w w:val="105"/>
        </w:rPr>
        <w:t> </w:t>
      </w:r>
      <w:r>
        <w:rPr>
          <w:color w:val="231F20"/>
          <w:w w:val="105"/>
        </w:rPr>
        <w:t>este</w:t>
      </w:r>
      <w:r>
        <w:rPr>
          <w:color w:val="231F20"/>
          <w:spacing w:val="-21"/>
          <w:w w:val="105"/>
        </w:rPr>
        <w:t> </w:t>
      </w:r>
      <w:r>
        <w:rPr>
          <w:color w:val="231F20"/>
          <w:w w:val="105"/>
        </w:rPr>
        <w:t>periodo</w:t>
      </w:r>
      <w:r>
        <w:rPr>
          <w:color w:val="231F20"/>
          <w:spacing w:val="-21"/>
          <w:w w:val="105"/>
        </w:rPr>
        <w:t> </w:t>
      </w:r>
      <w:r>
        <w:rPr>
          <w:color w:val="231F20"/>
          <w:w w:val="105"/>
        </w:rPr>
        <w:t>decreció</w:t>
      </w:r>
      <w:r>
        <w:rPr>
          <w:color w:val="231F20"/>
          <w:spacing w:val="-21"/>
          <w:w w:val="105"/>
        </w:rPr>
        <w:t> </w:t>
      </w:r>
      <w:r>
        <w:rPr>
          <w:color w:val="231F20"/>
          <w:w w:val="105"/>
        </w:rPr>
        <w:t>en</w:t>
      </w:r>
      <w:r>
        <w:rPr>
          <w:color w:val="231F20"/>
          <w:spacing w:val="-21"/>
          <w:w w:val="105"/>
        </w:rPr>
        <w:t> </w:t>
      </w:r>
      <w:r>
        <w:rPr>
          <w:color w:val="231F20"/>
          <w:w w:val="105"/>
        </w:rPr>
        <w:t>un</w:t>
      </w:r>
      <w:r>
        <w:rPr>
          <w:color w:val="231F20"/>
          <w:spacing w:val="-21"/>
          <w:w w:val="105"/>
        </w:rPr>
        <w:t> </w:t>
      </w:r>
      <w:r>
        <w:rPr>
          <w:color w:val="231F20"/>
          <w:w w:val="105"/>
        </w:rPr>
        <w:t>33%</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implicó</w:t>
      </w:r>
      <w:r>
        <w:rPr>
          <w:color w:val="231F20"/>
          <w:spacing w:val="-21"/>
          <w:w w:val="105"/>
        </w:rPr>
        <w:t> </w:t>
      </w:r>
      <w:r>
        <w:rPr>
          <w:color w:val="231F20"/>
          <w:w w:val="105"/>
        </w:rPr>
        <w:t>una</w:t>
      </w:r>
      <w:r>
        <w:rPr>
          <w:color w:val="231F20"/>
          <w:spacing w:val="-21"/>
          <w:w w:val="105"/>
        </w:rPr>
        <w:t> </w:t>
      </w:r>
      <w:r>
        <w:rPr>
          <w:color w:val="231F20"/>
          <w:w w:val="105"/>
        </w:rPr>
        <w:t>mayor</w:t>
      </w:r>
      <w:r>
        <w:rPr>
          <w:color w:val="231F20"/>
          <w:spacing w:val="-21"/>
          <w:w w:val="105"/>
        </w:rPr>
        <w:t> </w:t>
      </w:r>
      <w:r>
        <w:rPr>
          <w:color w:val="231F20"/>
          <w:w w:val="105"/>
        </w:rPr>
        <w:t>concentración</w:t>
      </w:r>
      <w:r>
        <w:rPr>
          <w:color w:val="231F20"/>
          <w:spacing w:val="-21"/>
          <w:w w:val="105"/>
        </w:rPr>
        <w:t> </w:t>
      </w:r>
      <w:r>
        <w:rPr>
          <w:color w:val="231F20"/>
          <w:w w:val="105"/>
        </w:rPr>
        <w:t>de</w:t>
      </w:r>
      <w:r>
        <w:rPr>
          <w:color w:val="231F20"/>
          <w:spacing w:val="-21"/>
          <w:w w:val="105"/>
        </w:rPr>
        <w:t> </w:t>
      </w:r>
      <w:r>
        <w:rPr>
          <w:color w:val="231F20"/>
          <w:w w:val="105"/>
        </w:rPr>
        <w:t>las funciones en un menor número de dependencias y </w:t>
      </w:r>
      <w:r>
        <w:rPr>
          <w:color w:val="231F20"/>
          <w:spacing w:val="-3"/>
          <w:w w:val="105"/>
        </w:rPr>
        <w:t>fomentó </w:t>
      </w:r>
      <w:r>
        <w:rPr>
          <w:color w:val="231F20"/>
          <w:w w:val="105"/>
        </w:rPr>
        <w:t>una mayor centralización en el gobierno en</w:t>
      </w:r>
      <w:r>
        <w:rPr>
          <w:color w:val="231F20"/>
          <w:spacing w:val="-30"/>
          <w:w w:val="105"/>
        </w:rPr>
        <w:t> </w:t>
      </w:r>
      <w:r>
        <w:rPr>
          <w:color w:val="231F20"/>
          <w:w w:val="105"/>
        </w:rPr>
        <w:t>turno.</w:t>
      </w:r>
    </w:p>
    <w:p>
      <w:pPr>
        <w:pStyle w:val="BodyText"/>
        <w:spacing w:before="1"/>
        <w:rPr>
          <w:sz w:val="26"/>
        </w:rPr>
      </w:pPr>
    </w:p>
    <w:p>
      <w:pPr>
        <w:pStyle w:val="BodyText"/>
        <w:spacing w:line="285" w:lineRule="auto"/>
        <w:ind w:left="110" w:right="108"/>
        <w:jc w:val="both"/>
      </w:pPr>
      <w:r>
        <w:rPr>
          <w:color w:val="231F20"/>
          <w:spacing w:val="-3"/>
          <w:w w:val="105"/>
        </w:rPr>
        <w:t>Por </w:t>
      </w:r>
      <w:r>
        <w:rPr>
          <w:color w:val="231F20"/>
          <w:w w:val="105"/>
        </w:rPr>
        <w:t>su parte, la administración huixquiluquense </w:t>
      </w:r>
      <w:r>
        <w:rPr>
          <w:color w:val="231F20"/>
          <w:spacing w:val="2"/>
          <w:w w:val="105"/>
        </w:rPr>
        <w:t>2006-2009 </w:t>
      </w:r>
      <w:r>
        <w:rPr>
          <w:color w:val="231F20"/>
          <w:w w:val="105"/>
        </w:rPr>
        <w:t>registró en su interior ma- </w:t>
      </w:r>
      <w:r>
        <w:rPr>
          <w:color w:val="231F20"/>
          <w:spacing w:val="-3"/>
          <w:w w:val="105"/>
        </w:rPr>
        <w:t>yor</w:t>
      </w:r>
      <w:r>
        <w:rPr>
          <w:color w:val="231F20"/>
          <w:spacing w:val="-12"/>
          <w:w w:val="105"/>
        </w:rPr>
        <w:t> </w:t>
      </w:r>
      <w:r>
        <w:rPr>
          <w:color w:val="231F20"/>
          <w:w w:val="105"/>
        </w:rPr>
        <w:t>estabilidad</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número</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dependencias;</w:t>
      </w:r>
      <w:r>
        <w:rPr>
          <w:color w:val="231F20"/>
          <w:spacing w:val="-12"/>
          <w:w w:val="105"/>
        </w:rPr>
        <w:t> </w:t>
      </w:r>
      <w:r>
        <w:rPr>
          <w:color w:val="231F20"/>
          <w:w w:val="105"/>
        </w:rPr>
        <w:t>aun</w:t>
      </w:r>
      <w:r>
        <w:rPr>
          <w:color w:val="231F20"/>
          <w:spacing w:val="-12"/>
          <w:w w:val="105"/>
        </w:rPr>
        <w:t> </w:t>
      </w:r>
      <w:r>
        <w:rPr>
          <w:color w:val="231F20"/>
          <w:w w:val="105"/>
        </w:rPr>
        <w:t>a</w:t>
      </w:r>
      <w:r>
        <w:rPr>
          <w:color w:val="231F20"/>
          <w:spacing w:val="-12"/>
          <w:w w:val="105"/>
        </w:rPr>
        <w:t> </w:t>
      </w:r>
      <w:r>
        <w:rPr>
          <w:color w:val="231F20"/>
          <w:w w:val="105"/>
        </w:rPr>
        <w:t>pesar</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términos</w:t>
      </w:r>
      <w:r>
        <w:rPr>
          <w:color w:val="231F20"/>
          <w:spacing w:val="-12"/>
          <w:w w:val="105"/>
        </w:rPr>
        <w:t> </w:t>
      </w:r>
      <w:r>
        <w:rPr>
          <w:color w:val="231F20"/>
          <w:spacing w:val="-2"/>
          <w:w w:val="105"/>
        </w:rPr>
        <w:t>gene- </w:t>
      </w:r>
      <w:r>
        <w:rPr>
          <w:color w:val="231F20"/>
          <w:w w:val="105"/>
        </w:rPr>
        <w:t>rales aumentaron de número respecto </w:t>
      </w:r>
      <w:r>
        <w:rPr>
          <w:color w:val="231F20"/>
          <w:spacing w:val="2"/>
          <w:w w:val="105"/>
        </w:rPr>
        <w:t>al </w:t>
      </w:r>
      <w:r>
        <w:rPr>
          <w:color w:val="231F20"/>
          <w:w w:val="105"/>
        </w:rPr>
        <w:t>periodo anterior. El número de dependencias ha tendido a mantenerse igual entre el primer y segundo año de la gestión; aunque </w:t>
      </w:r>
      <w:r>
        <w:rPr>
          <w:color w:val="231F20"/>
          <w:spacing w:val="2"/>
          <w:w w:val="105"/>
        </w:rPr>
        <w:t>al final</w:t>
      </w:r>
      <w:r>
        <w:rPr>
          <w:color w:val="231F20"/>
          <w:spacing w:val="-21"/>
          <w:w w:val="105"/>
        </w:rPr>
        <w:t> </w:t>
      </w:r>
      <w:r>
        <w:rPr>
          <w:color w:val="231F20"/>
          <w:w w:val="105"/>
        </w:rPr>
        <w:t>se</w:t>
      </w:r>
      <w:r>
        <w:rPr>
          <w:color w:val="231F20"/>
          <w:spacing w:val="-21"/>
          <w:w w:val="105"/>
        </w:rPr>
        <w:t> </w:t>
      </w:r>
      <w:r>
        <w:rPr>
          <w:color w:val="231F20"/>
          <w:w w:val="105"/>
        </w:rPr>
        <w:t>registraron</w:t>
      </w:r>
      <w:r>
        <w:rPr>
          <w:color w:val="231F20"/>
          <w:spacing w:val="-21"/>
          <w:w w:val="105"/>
        </w:rPr>
        <w:t> </w:t>
      </w:r>
      <w:r>
        <w:rPr>
          <w:color w:val="231F20"/>
          <w:w w:val="105"/>
        </w:rPr>
        <w:t>cambios</w:t>
      </w:r>
      <w:r>
        <w:rPr>
          <w:color w:val="231F20"/>
          <w:spacing w:val="-21"/>
          <w:w w:val="105"/>
        </w:rPr>
        <w:t> </w:t>
      </w:r>
      <w:r>
        <w:rPr>
          <w:color w:val="231F20"/>
          <w:w w:val="105"/>
        </w:rPr>
        <w:t>en</w:t>
      </w:r>
      <w:r>
        <w:rPr>
          <w:color w:val="231F20"/>
          <w:spacing w:val="-21"/>
          <w:w w:val="105"/>
        </w:rPr>
        <w:t> </w:t>
      </w:r>
      <w:r>
        <w:rPr>
          <w:color w:val="231F20"/>
          <w:w w:val="105"/>
        </w:rPr>
        <w:t>tres</w:t>
      </w:r>
      <w:r>
        <w:rPr>
          <w:color w:val="231F20"/>
          <w:spacing w:val="-21"/>
          <w:w w:val="105"/>
        </w:rPr>
        <w:t> </w:t>
      </w:r>
      <w:r>
        <w:rPr>
          <w:color w:val="231F20"/>
          <w:w w:val="105"/>
        </w:rPr>
        <w:t>dependencias</w:t>
      </w:r>
      <w:r>
        <w:rPr>
          <w:color w:val="231F20"/>
          <w:spacing w:val="-21"/>
          <w:w w:val="105"/>
        </w:rPr>
        <w:t> </w:t>
      </w:r>
      <w:r>
        <w:rPr>
          <w:color w:val="231F20"/>
          <w:spacing w:val="-5"/>
          <w:w w:val="105"/>
        </w:rPr>
        <w:t>(el</w:t>
      </w:r>
      <w:r>
        <w:rPr>
          <w:color w:val="231F20"/>
          <w:spacing w:val="-21"/>
          <w:w w:val="105"/>
        </w:rPr>
        <w:t> </w:t>
      </w:r>
      <w:r>
        <w:rPr>
          <w:color w:val="231F20"/>
          <w:spacing w:val="-4"/>
          <w:w w:val="105"/>
        </w:rPr>
        <w:t>25%):</w:t>
      </w:r>
      <w:r>
        <w:rPr>
          <w:color w:val="231F20"/>
          <w:spacing w:val="-21"/>
          <w:w w:val="105"/>
        </w:rPr>
        <w:t> </w:t>
      </w:r>
      <w:r>
        <w:rPr>
          <w:color w:val="231F20"/>
          <w:w w:val="105"/>
        </w:rPr>
        <w:t>una</w:t>
      </w:r>
      <w:r>
        <w:rPr>
          <w:color w:val="231F20"/>
          <w:spacing w:val="-21"/>
          <w:w w:val="105"/>
        </w:rPr>
        <w:t> </w:t>
      </w:r>
      <w:r>
        <w:rPr>
          <w:color w:val="231F20"/>
          <w:w w:val="105"/>
        </w:rPr>
        <w:t>cambió</w:t>
      </w:r>
      <w:r>
        <w:rPr>
          <w:color w:val="231F20"/>
          <w:spacing w:val="-21"/>
          <w:w w:val="105"/>
        </w:rPr>
        <w:t> </w:t>
      </w:r>
      <w:r>
        <w:rPr>
          <w:color w:val="231F20"/>
          <w:w w:val="105"/>
        </w:rPr>
        <w:t>de</w:t>
      </w:r>
      <w:r>
        <w:rPr>
          <w:color w:val="231F20"/>
          <w:spacing w:val="-21"/>
          <w:w w:val="105"/>
        </w:rPr>
        <w:t> </w:t>
      </w:r>
      <w:r>
        <w:rPr>
          <w:color w:val="231F20"/>
          <w:spacing w:val="-3"/>
          <w:w w:val="105"/>
        </w:rPr>
        <w:t>nombre</w:t>
      </w:r>
      <w:r>
        <w:rPr>
          <w:color w:val="231F20"/>
          <w:spacing w:val="-21"/>
          <w:w w:val="105"/>
        </w:rPr>
        <w:t> </w:t>
      </w:r>
      <w:r>
        <w:rPr>
          <w:color w:val="231F20"/>
          <w:w w:val="105"/>
        </w:rPr>
        <w:t>(la</w:t>
      </w:r>
      <w:r>
        <w:rPr>
          <w:color w:val="231F20"/>
          <w:spacing w:val="-21"/>
          <w:w w:val="105"/>
        </w:rPr>
        <w:t> </w:t>
      </w:r>
      <w:r>
        <w:rPr>
          <w:color w:val="231F20"/>
          <w:w w:val="105"/>
        </w:rPr>
        <w:t>di- rección</w:t>
      </w:r>
      <w:r>
        <w:rPr>
          <w:color w:val="231F20"/>
          <w:spacing w:val="-21"/>
          <w:w w:val="105"/>
        </w:rPr>
        <w:t> </w:t>
      </w:r>
      <w:r>
        <w:rPr>
          <w:color w:val="231F20"/>
          <w:w w:val="105"/>
        </w:rPr>
        <w:t>general</w:t>
      </w:r>
      <w:r>
        <w:rPr>
          <w:color w:val="231F20"/>
          <w:spacing w:val="-21"/>
          <w:w w:val="105"/>
        </w:rPr>
        <w:t> </w:t>
      </w:r>
      <w:r>
        <w:rPr>
          <w:color w:val="231F20"/>
          <w:w w:val="105"/>
        </w:rPr>
        <w:t>de</w:t>
      </w:r>
      <w:r>
        <w:rPr>
          <w:color w:val="231F20"/>
          <w:spacing w:val="-21"/>
          <w:w w:val="105"/>
        </w:rPr>
        <w:t> </w:t>
      </w:r>
      <w:r>
        <w:rPr>
          <w:color w:val="231F20"/>
          <w:w w:val="105"/>
        </w:rPr>
        <w:t>desarrollo</w:t>
      </w:r>
      <w:r>
        <w:rPr>
          <w:color w:val="231F20"/>
          <w:spacing w:val="-21"/>
          <w:w w:val="105"/>
        </w:rPr>
        <w:t> </w:t>
      </w:r>
      <w:r>
        <w:rPr>
          <w:color w:val="231F20"/>
          <w:w w:val="105"/>
        </w:rPr>
        <w:t>urbano,</w:t>
      </w:r>
      <w:r>
        <w:rPr>
          <w:color w:val="231F20"/>
          <w:spacing w:val="-21"/>
          <w:w w:val="105"/>
        </w:rPr>
        <w:t> </w:t>
      </w:r>
      <w:r>
        <w:rPr>
          <w:color w:val="231F20"/>
          <w:w w:val="105"/>
        </w:rPr>
        <w:t>y</w:t>
      </w:r>
      <w:r>
        <w:rPr>
          <w:color w:val="231F20"/>
          <w:spacing w:val="-21"/>
          <w:w w:val="105"/>
        </w:rPr>
        <w:t> </w:t>
      </w:r>
      <w:r>
        <w:rPr>
          <w:color w:val="231F20"/>
          <w:w w:val="105"/>
        </w:rPr>
        <w:t>medio</w:t>
      </w:r>
      <w:r>
        <w:rPr>
          <w:color w:val="231F20"/>
          <w:spacing w:val="-21"/>
          <w:w w:val="105"/>
        </w:rPr>
        <w:t> </w:t>
      </w:r>
      <w:r>
        <w:rPr>
          <w:color w:val="231F20"/>
          <w:w w:val="105"/>
        </w:rPr>
        <w:t>ambiente</w:t>
      </w:r>
      <w:r>
        <w:rPr>
          <w:color w:val="231F20"/>
          <w:spacing w:val="-21"/>
          <w:w w:val="105"/>
        </w:rPr>
        <w:t> </w:t>
      </w:r>
      <w:r>
        <w:rPr>
          <w:color w:val="231F20"/>
          <w:w w:val="105"/>
        </w:rPr>
        <w:t>y</w:t>
      </w:r>
      <w:r>
        <w:rPr>
          <w:color w:val="231F20"/>
          <w:spacing w:val="-21"/>
          <w:w w:val="105"/>
        </w:rPr>
        <w:t> </w:t>
      </w:r>
      <w:r>
        <w:rPr>
          <w:color w:val="231F20"/>
          <w:w w:val="105"/>
        </w:rPr>
        <w:t>obras</w:t>
      </w:r>
      <w:r>
        <w:rPr>
          <w:color w:val="231F20"/>
          <w:spacing w:val="-21"/>
          <w:w w:val="105"/>
        </w:rPr>
        <w:t> </w:t>
      </w:r>
      <w:r>
        <w:rPr>
          <w:color w:val="231F20"/>
          <w:w w:val="105"/>
        </w:rPr>
        <w:t>públicas);</w:t>
      </w:r>
      <w:r>
        <w:rPr>
          <w:color w:val="231F20"/>
          <w:spacing w:val="-21"/>
          <w:w w:val="105"/>
        </w:rPr>
        <w:t> </w:t>
      </w:r>
      <w:r>
        <w:rPr>
          <w:color w:val="231F20"/>
          <w:w w:val="105"/>
        </w:rPr>
        <w:t>fue</w:t>
      </w:r>
      <w:r>
        <w:rPr>
          <w:color w:val="231F20"/>
          <w:spacing w:val="-21"/>
          <w:w w:val="105"/>
        </w:rPr>
        <w:t> </w:t>
      </w:r>
      <w:r>
        <w:rPr>
          <w:color w:val="231F20"/>
          <w:w w:val="105"/>
        </w:rPr>
        <w:t>fusionada (dirección</w:t>
      </w:r>
      <w:r>
        <w:rPr>
          <w:color w:val="231F20"/>
          <w:spacing w:val="-10"/>
          <w:w w:val="105"/>
        </w:rPr>
        <w:t> </w:t>
      </w:r>
      <w:r>
        <w:rPr>
          <w:color w:val="231F20"/>
          <w:w w:val="105"/>
        </w:rPr>
        <w:t>de</w:t>
      </w:r>
      <w:r>
        <w:rPr>
          <w:color w:val="231F20"/>
          <w:spacing w:val="-10"/>
          <w:w w:val="105"/>
        </w:rPr>
        <w:t> </w:t>
      </w:r>
      <w:r>
        <w:rPr>
          <w:color w:val="231F20"/>
          <w:w w:val="105"/>
        </w:rPr>
        <w:t>obras</w:t>
      </w:r>
      <w:r>
        <w:rPr>
          <w:color w:val="231F20"/>
          <w:spacing w:val="-10"/>
          <w:w w:val="105"/>
        </w:rPr>
        <w:t> </w:t>
      </w:r>
      <w:r>
        <w:rPr>
          <w:color w:val="231F20"/>
          <w:w w:val="105"/>
        </w:rPr>
        <w:t>pública</w:t>
      </w:r>
      <w:r>
        <w:rPr>
          <w:color w:val="231F20"/>
          <w:spacing w:val="-10"/>
          <w:w w:val="105"/>
        </w:rPr>
        <w:t> </w:t>
      </w:r>
      <w:r>
        <w:rPr>
          <w:color w:val="231F20"/>
          <w:w w:val="105"/>
        </w:rPr>
        <w:t>pasó</w:t>
      </w:r>
      <w:r>
        <w:rPr>
          <w:color w:val="231F20"/>
          <w:spacing w:val="-10"/>
          <w:w w:val="105"/>
        </w:rPr>
        <w:t> </w:t>
      </w:r>
      <w:r>
        <w:rPr>
          <w:color w:val="231F20"/>
          <w:w w:val="105"/>
        </w:rPr>
        <w:t>a</w:t>
      </w:r>
      <w:r>
        <w:rPr>
          <w:color w:val="231F20"/>
          <w:spacing w:val="-10"/>
          <w:w w:val="105"/>
        </w:rPr>
        <w:t> </w:t>
      </w:r>
      <w:r>
        <w:rPr>
          <w:color w:val="231F20"/>
          <w:w w:val="105"/>
        </w:rPr>
        <w:t>formar</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dirección</w:t>
      </w:r>
      <w:r>
        <w:rPr>
          <w:color w:val="231F20"/>
          <w:spacing w:val="-10"/>
          <w:w w:val="105"/>
        </w:rPr>
        <w:t> </w:t>
      </w:r>
      <w:r>
        <w:rPr>
          <w:color w:val="231F20"/>
          <w:w w:val="105"/>
        </w:rPr>
        <w:t>de</w:t>
      </w:r>
      <w:r>
        <w:rPr>
          <w:color w:val="231F20"/>
          <w:spacing w:val="-10"/>
          <w:w w:val="105"/>
        </w:rPr>
        <w:t> </w:t>
      </w:r>
      <w:r>
        <w:rPr>
          <w:color w:val="231F20"/>
          <w:w w:val="105"/>
        </w:rPr>
        <w:t>desarrollo</w:t>
      </w:r>
      <w:r>
        <w:rPr>
          <w:color w:val="231F20"/>
          <w:spacing w:val="-10"/>
          <w:w w:val="105"/>
        </w:rPr>
        <w:t> </w:t>
      </w:r>
      <w:r>
        <w:rPr>
          <w:color w:val="231F20"/>
          <w:w w:val="105"/>
        </w:rPr>
        <w:t>urbano),</w:t>
      </w:r>
      <w:r>
        <w:rPr>
          <w:color w:val="231F20"/>
          <w:spacing w:val="-10"/>
          <w:w w:val="105"/>
        </w:rPr>
        <w:t> </w:t>
      </w:r>
      <w:r>
        <w:rPr>
          <w:color w:val="231F20"/>
          <w:w w:val="105"/>
        </w:rPr>
        <w:t>y se</w:t>
      </w:r>
      <w:r>
        <w:rPr>
          <w:color w:val="231F20"/>
          <w:spacing w:val="-10"/>
          <w:w w:val="105"/>
        </w:rPr>
        <w:t> </w:t>
      </w:r>
      <w:r>
        <w:rPr>
          <w:color w:val="231F20"/>
          <w:w w:val="105"/>
        </w:rPr>
        <w:t>creó</w:t>
      </w:r>
      <w:r>
        <w:rPr>
          <w:color w:val="231F20"/>
          <w:spacing w:val="-10"/>
          <w:w w:val="105"/>
        </w:rPr>
        <w:t> </w:t>
      </w:r>
      <w:r>
        <w:rPr>
          <w:color w:val="231F20"/>
          <w:w w:val="105"/>
        </w:rPr>
        <w:t>una</w:t>
      </w:r>
      <w:r>
        <w:rPr>
          <w:color w:val="231F20"/>
          <w:spacing w:val="-10"/>
          <w:w w:val="105"/>
        </w:rPr>
        <w:t> </w:t>
      </w:r>
      <w:r>
        <w:rPr>
          <w:color w:val="231F20"/>
          <w:w w:val="105"/>
        </w:rPr>
        <w:t>más</w:t>
      </w:r>
      <w:r>
        <w:rPr>
          <w:color w:val="231F20"/>
          <w:spacing w:val="-10"/>
          <w:w w:val="105"/>
        </w:rPr>
        <w:t> </w:t>
      </w:r>
      <w:r>
        <w:rPr>
          <w:color w:val="231F20"/>
          <w:w w:val="105"/>
        </w:rPr>
        <w:t>(la</w:t>
      </w:r>
      <w:r>
        <w:rPr>
          <w:color w:val="231F20"/>
          <w:spacing w:val="-10"/>
          <w:w w:val="105"/>
        </w:rPr>
        <w:t> </w:t>
      </w:r>
      <w:r>
        <w:rPr>
          <w:color w:val="231F20"/>
          <w:w w:val="105"/>
        </w:rPr>
        <w:t>dirección</w:t>
      </w:r>
      <w:r>
        <w:rPr>
          <w:color w:val="231F20"/>
          <w:spacing w:val="-10"/>
          <w:w w:val="105"/>
        </w:rPr>
        <w:t> </w:t>
      </w:r>
      <w:r>
        <w:rPr>
          <w:color w:val="231F20"/>
          <w:w w:val="105"/>
        </w:rPr>
        <w:t>general</w:t>
      </w:r>
      <w:r>
        <w:rPr>
          <w:color w:val="231F20"/>
          <w:spacing w:val="-10"/>
          <w:w w:val="105"/>
        </w:rPr>
        <w:t> </w:t>
      </w:r>
      <w:r>
        <w:rPr>
          <w:color w:val="231F20"/>
          <w:w w:val="105"/>
        </w:rPr>
        <w:t>de</w:t>
      </w:r>
      <w:r>
        <w:rPr>
          <w:color w:val="231F20"/>
          <w:spacing w:val="-10"/>
          <w:w w:val="105"/>
        </w:rPr>
        <w:t> </w:t>
      </w:r>
      <w:r>
        <w:rPr>
          <w:color w:val="231F20"/>
          <w:w w:val="105"/>
        </w:rPr>
        <w:t>desarrollo</w:t>
      </w:r>
      <w:r>
        <w:rPr>
          <w:color w:val="231F20"/>
          <w:spacing w:val="-10"/>
          <w:w w:val="105"/>
        </w:rPr>
        <w:t> </w:t>
      </w:r>
      <w:r>
        <w:rPr>
          <w:color w:val="231F20"/>
          <w:spacing w:val="-3"/>
          <w:w w:val="105"/>
        </w:rPr>
        <w:t>económico).</w:t>
      </w:r>
      <w:r>
        <w:rPr>
          <w:color w:val="231F20"/>
          <w:spacing w:val="-10"/>
          <w:w w:val="105"/>
        </w:rPr>
        <w:t> </w:t>
      </w:r>
      <w:r>
        <w:rPr>
          <w:color w:val="231F20"/>
          <w:w w:val="105"/>
        </w:rPr>
        <w:t>Las</w:t>
      </w:r>
      <w:r>
        <w:rPr>
          <w:color w:val="231F20"/>
          <w:spacing w:val="-10"/>
          <w:w w:val="105"/>
        </w:rPr>
        <w:t> </w:t>
      </w:r>
      <w:r>
        <w:rPr>
          <w:color w:val="231F20"/>
          <w:w w:val="105"/>
        </w:rPr>
        <w:t>funciones</w:t>
      </w:r>
      <w:r>
        <w:rPr>
          <w:color w:val="231F20"/>
          <w:spacing w:val="-10"/>
          <w:w w:val="105"/>
        </w:rPr>
        <w:t> </w:t>
      </w:r>
      <w:r>
        <w:rPr>
          <w:color w:val="231F20"/>
          <w:w w:val="105"/>
        </w:rPr>
        <w:t>se</w:t>
      </w:r>
      <w:r>
        <w:rPr>
          <w:color w:val="231F20"/>
          <w:spacing w:val="-10"/>
          <w:w w:val="105"/>
        </w:rPr>
        <w:t> </w:t>
      </w:r>
      <w:r>
        <w:rPr>
          <w:color w:val="231F20"/>
          <w:w w:val="105"/>
        </w:rPr>
        <w:t>redis- tribuyeron entre un mayor número de dependencias pero sin llegar a descentralizarlas fuera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APM</w:t>
      </w:r>
      <w:r>
        <w:rPr>
          <w:color w:val="231F20"/>
          <w:spacing w:val="-18"/>
          <w:w w:val="105"/>
        </w:rPr>
        <w:t> </w:t>
      </w:r>
      <w:r>
        <w:rPr>
          <w:color w:val="231F20"/>
          <w:w w:val="105"/>
        </w:rPr>
        <w:t>centralizada</w:t>
      </w:r>
      <w:r>
        <w:rPr>
          <w:color w:val="231F20"/>
          <w:spacing w:val="-18"/>
          <w:w w:val="105"/>
        </w:rPr>
        <w:t> </w:t>
      </w:r>
      <w:r>
        <w:rPr>
          <w:color w:val="231F20"/>
          <w:w w:val="105"/>
        </w:rPr>
        <w:t>(tabla</w:t>
      </w:r>
      <w:r>
        <w:rPr>
          <w:color w:val="231F20"/>
          <w:spacing w:val="-18"/>
          <w:w w:val="105"/>
        </w:rPr>
        <w:t> </w:t>
      </w:r>
      <w:r>
        <w:rPr>
          <w:color w:val="231F20"/>
          <w:spacing w:val="-4"/>
          <w:w w:val="105"/>
        </w:rPr>
        <w:t>7).</w:t>
      </w:r>
    </w:p>
    <w:p>
      <w:pPr>
        <w:spacing w:after="0" w:line="285" w:lineRule="auto"/>
        <w:jc w:val="both"/>
        <w:sectPr>
          <w:pgSz w:w="9640" w:h="12190"/>
          <w:pgMar w:header="0" w:footer="743" w:top="1120" w:bottom="940" w:left="740" w:right="740"/>
        </w:sectPr>
      </w:pPr>
    </w:p>
    <w:p>
      <w:pPr>
        <w:pStyle w:val="Heading5"/>
        <w:spacing w:line="285" w:lineRule="auto" w:before="27"/>
        <w:ind w:left="2137" w:right="57" w:hanging="1986"/>
      </w:pPr>
      <w:r>
        <w:rPr>
          <w:color w:val="231F20"/>
          <w:spacing w:val="-4"/>
          <w:w w:val="105"/>
        </w:rPr>
        <w:t>Tabla</w:t>
      </w:r>
      <w:r>
        <w:rPr>
          <w:color w:val="231F20"/>
          <w:spacing w:val="-13"/>
          <w:w w:val="105"/>
        </w:rPr>
        <w:t> </w:t>
      </w:r>
      <w:r>
        <w:rPr>
          <w:color w:val="231F20"/>
          <w:spacing w:val="-11"/>
          <w:w w:val="105"/>
        </w:rPr>
        <w:t>7.</w:t>
      </w:r>
      <w:r>
        <w:rPr>
          <w:color w:val="231F20"/>
          <w:spacing w:val="-13"/>
          <w:w w:val="105"/>
        </w:rPr>
        <w:t> </w:t>
      </w:r>
      <w:r>
        <w:rPr>
          <w:color w:val="231F20"/>
          <w:w w:val="105"/>
        </w:rPr>
        <w:t>Número</w:t>
      </w:r>
      <w:r>
        <w:rPr>
          <w:color w:val="231F20"/>
          <w:spacing w:val="-13"/>
          <w:w w:val="105"/>
        </w:rPr>
        <w:t> </w:t>
      </w:r>
      <w:r>
        <w:rPr>
          <w:color w:val="231F20"/>
          <w:w w:val="105"/>
        </w:rPr>
        <w:t>de</w:t>
      </w:r>
      <w:r>
        <w:rPr>
          <w:color w:val="231F20"/>
          <w:spacing w:val="-13"/>
          <w:w w:val="105"/>
        </w:rPr>
        <w:t> </w:t>
      </w:r>
      <w:r>
        <w:rPr>
          <w:color w:val="231F20"/>
          <w:w w:val="105"/>
        </w:rPr>
        <w:t>dependencias</w:t>
      </w:r>
      <w:r>
        <w:rPr>
          <w:color w:val="231F20"/>
          <w:spacing w:val="-13"/>
          <w:w w:val="105"/>
        </w:rPr>
        <w:t> </w:t>
      </w:r>
      <w:r>
        <w:rPr>
          <w:color w:val="231F20"/>
          <w:w w:val="105"/>
        </w:rPr>
        <w:t>y</w:t>
      </w:r>
      <w:r>
        <w:rPr>
          <w:color w:val="231F20"/>
          <w:spacing w:val="-13"/>
          <w:w w:val="105"/>
        </w:rPr>
        <w:t> </w:t>
      </w:r>
      <w:r>
        <w:rPr>
          <w:color w:val="231F20"/>
          <w:w w:val="105"/>
        </w:rPr>
        <w:t>sus</w:t>
      </w:r>
      <w:r>
        <w:rPr>
          <w:color w:val="231F20"/>
          <w:spacing w:val="-13"/>
          <w:w w:val="105"/>
        </w:rPr>
        <w:t> </w:t>
      </w:r>
      <w:r>
        <w:rPr>
          <w:color w:val="231F20"/>
          <w:w w:val="105"/>
        </w:rPr>
        <w:t>funciones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gobierno</w:t>
      </w:r>
      <w:r>
        <w:rPr>
          <w:color w:val="231F20"/>
          <w:spacing w:val="-13"/>
          <w:w w:val="105"/>
        </w:rPr>
        <w:t> </w:t>
      </w:r>
      <w:r>
        <w:rPr>
          <w:color w:val="231F20"/>
          <w:w w:val="105"/>
        </w:rPr>
        <w:t>de</w:t>
      </w:r>
      <w:r>
        <w:rPr>
          <w:color w:val="231F20"/>
          <w:spacing w:val="-13"/>
          <w:w w:val="105"/>
        </w:rPr>
        <w:t> </w:t>
      </w:r>
      <w:r>
        <w:rPr>
          <w:color w:val="231F20"/>
          <w:w w:val="105"/>
        </w:rPr>
        <w:t>Huixquilucan en los periodos </w:t>
      </w:r>
      <w:r>
        <w:rPr>
          <w:color w:val="231F20"/>
          <w:spacing w:val="2"/>
          <w:w w:val="105"/>
        </w:rPr>
        <w:t>2003- </w:t>
      </w:r>
      <w:r>
        <w:rPr>
          <w:color w:val="231F20"/>
          <w:spacing w:val="3"/>
          <w:w w:val="105"/>
        </w:rPr>
        <w:t>2006 </w:t>
      </w:r>
      <w:r>
        <w:rPr>
          <w:color w:val="231F20"/>
          <w:w w:val="105"/>
        </w:rPr>
        <w:t>y</w:t>
      </w:r>
      <w:r>
        <w:rPr>
          <w:color w:val="231F20"/>
          <w:spacing w:val="25"/>
          <w:w w:val="105"/>
        </w:rPr>
        <w:t> </w:t>
      </w:r>
      <w:r>
        <w:rPr>
          <w:color w:val="231F20"/>
          <w:w w:val="105"/>
        </w:rPr>
        <w:t>2006-2009</w:t>
      </w:r>
    </w:p>
    <w:p>
      <w:pPr>
        <w:pStyle w:val="BodyText"/>
        <w:spacing w:before="10"/>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02"/>
        <w:gridCol w:w="991"/>
        <w:gridCol w:w="97"/>
        <w:gridCol w:w="2830"/>
        <w:gridCol w:w="1217"/>
      </w:tblGrid>
      <w:tr>
        <w:trPr>
          <w:trHeight w:val="135" w:hRule="exact"/>
        </w:trPr>
        <w:tc>
          <w:tcPr>
            <w:tcW w:w="2802" w:type="dxa"/>
            <w:tcBorders>
              <w:bottom w:val="single" w:sz="8" w:space="0" w:color="231F20"/>
              <w:right w:val="nil"/>
            </w:tcBorders>
          </w:tcPr>
          <w:p>
            <w:pPr>
              <w:pStyle w:val="TableParagraph"/>
              <w:spacing w:line="160" w:lineRule="exact"/>
              <w:ind w:left="0" w:right="156"/>
              <w:jc w:val="right"/>
              <w:rPr>
                <w:b/>
                <w:sz w:val="16"/>
              </w:rPr>
            </w:pPr>
            <w:r>
              <w:rPr>
                <w:b/>
                <w:color w:val="231F20"/>
                <w:w w:val="85"/>
                <w:sz w:val="16"/>
              </w:rPr>
              <w:t>Administración 2003-2006</w:t>
            </w:r>
          </w:p>
        </w:tc>
        <w:tc>
          <w:tcPr>
            <w:tcW w:w="991" w:type="dxa"/>
            <w:tcBorders>
              <w:left w:val="nil"/>
              <w:bottom w:val="single" w:sz="8" w:space="0" w:color="231F20"/>
            </w:tcBorders>
          </w:tcPr>
          <w:p>
            <w:pPr/>
          </w:p>
        </w:tc>
        <w:tc>
          <w:tcPr>
            <w:tcW w:w="97" w:type="dxa"/>
            <w:tcBorders>
              <w:bottom w:val="single" w:sz="8" w:space="0" w:color="231F20"/>
            </w:tcBorders>
          </w:tcPr>
          <w:p>
            <w:pPr/>
          </w:p>
        </w:tc>
        <w:tc>
          <w:tcPr>
            <w:tcW w:w="2830" w:type="dxa"/>
            <w:tcBorders>
              <w:bottom w:val="single" w:sz="8" w:space="0" w:color="231F20"/>
              <w:right w:val="nil"/>
            </w:tcBorders>
          </w:tcPr>
          <w:p>
            <w:pPr>
              <w:pStyle w:val="TableParagraph"/>
              <w:spacing w:line="160" w:lineRule="exact"/>
              <w:ind w:left="1270"/>
              <w:rPr>
                <w:b/>
                <w:sz w:val="16"/>
              </w:rPr>
            </w:pPr>
            <w:r>
              <w:rPr>
                <w:b/>
                <w:color w:val="231F20"/>
                <w:w w:val="85"/>
                <w:sz w:val="16"/>
              </w:rPr>
              <w:t>Administración 2006-2009</w:t>
            </w:r>
          </w:p>
        </w:tc>
        <w:tc>
          <w:tcPr>
            <w:tcW w:w="1217" w:type="dxa"/>
            <w:tcBorders>
              <w:left w:val="nil"/>
              <w:bottom w:val="single" w:sz="8" w:space="0" w:color="231F20"/>
            </w:tcBorders>
          </w:tcPr>
          <w:p>
            <w:pPr/>
          </w:p>
        </w:tc>
      </w:tr>
      <w:tr>
        <w:trPr>
          <w:trHeight w:val="371" w:hRule="exact"/>
        </w:trPr>
        <w:tc>
          <w:tcPr>
            <w:tcW w:w="2802" w:type="dxa"/>
            <w:tcBorders>
              <w:top w:val="single" w:sz="8" w:space="0" w:color="231F20"/>
              <w:bottom w:val="single" w:sz="8" w:space="0" w:color="231F20"/>
            </w:tcBorders>
          </w:tcPr>
          <w:p>
            <w:pPr>
              <w:pStyle w:val="TableParagraph"/>
              <w:spacing w:line="183" w:lineRule="exact"/>
              <w:ind w:left="150" w:right="150"/>
              <w:jc w:val="center"/>
              <w:rPr>
                <w:sz w:val="18"/>
              </w:rPr>
            </w:pPr>
            <w:r>
              <w:rPr>
                <w:color w:val="231F20"/>
                <w:w w:val="85"/>
                <w:sz w:val="18"/>
              </w:rPr>
              <w:t>Dependencia</w:t>
            </w:r>
          </w:p>
        </w:tc>
        <w:tc>
          <w:tcPr>
            <w:tcW w:w="991" w:type="dxa"/>
            <w:tcBorders>
              <w:top w:val="single" w:sz="8" w:space="0" w:color="231F20"/>
              <w:bottom w:val="single" w:sz="8" w:space="0" w:color="231F20"/>
            </w:tcBorders>
          </w:tcPr>
          <w:p>
            <w:pPr>
              <w:pStyle w:val="TableParagraph"/>
              <w:spacing w:line="181" w:lineRule="exact"/>
              <w:ind w:left="156" w:right="156"/>
              <w:jc w:val="center"/>
              <w:rPr>
                <w:sz w:val="18"/>
              </w:rPr>
            </w:pPr>
            <w:r>
              <w:rPr>
                <w:color w:val="231F20"/>
                <w:w w:val="75"/>
                <w:sz w:val="18"/>
              </w:rPr>
              <w:t>No. de</w:t>
            </w:r>
          </w:p>
          <w:p>
            <w:pPr>
              <w:pStyle w:val="TableParagraph"/>
              <w:spacing w:line="210" w:lineRule="exact"/>
              <w:ind w:left="156" w:right="156"/>
              <w:jc w:val="center"/>
              <w:rPr>
                <w:sz w:val="18"/>
              </w:rPr>
            </w:pPr>
            <w:r>
              <w:rPr>
                <w:color w:val="231F20"/>
                <w:w w:val="85"/>
                <w:sz w:val="18"/>
              </w:rPr>
              <w:t>Funciones</w:t>
            </w:r>
          </w:p>
        </w:tc>
        <w:tc>
          <w:tcPr>
            <w:tcW w:w="97" w:type="dxa"/>
            <w:tcBorders>
              <w:top w:val="single" w:sz="8" w:space="0" w:color="231F20"/>
              <w:bottom w:val="single" w:sz="8" w:space="0" w:color="231F20"/>
            </w:tcBorders>
          </w:tcPr>
          <w:p>
            <w:pPr/>
          </w:p>
        </w:tc>
        <w:tc>
          <w:tcPr>
            <w:tcW w:w="2830" w:type="dxa"/>
            <w:tcBorders>
              <w:top w:val="single" w:sz="8" w:space="0" w:color="231F20"/>
              <w:bottom w:val="single" w:sz="8" w:space="0" w:color="231F20"/>
            </w:tcBorders>
          </w:tcPr>
          <w:p>
            <w:pPr>
              <w:pStyle w:val="TableParagraph"/>
              <w:spacing w:line="163" w:lineRule="exact"/>
              <w:ind w:left="946" w:right="946"/>
              <w:jc w:val="center"/>
              <w:rPr>
                <w:sz w:val="16"/>
              </w:rPr>
            </w:pPr>
            <w:r>
              <w:rPr>
                <w:color w:val="231F20"/>
                <w:w w:val="85"/>
                <w:sz w:val="16"/>
              </w:rPr>
              <w:t>Dependencia</w:t>
            </w:r>
          </w:p>
        </w:tc>
        <w:tc>
          <w:tcPr>
            <w:tcW w:w="1217" w:type="dxa"/>
            <w:tcBorders>
              <w:top w:val="single" w:sz="8" w:space="0" w:color="231F20"/>
              <w:bottom w:val="single" w:sz="8" w:space="0" w:color="231F20"/>
            </w:tcBorders>
          </w:tcPr>
          <w:p>
            <w:pPr>
              <w:pStyle w:val="TableParagraph"/>
              <w:spacing w:line="163" w:lineRule="exact"/>
              <w:ind w:left="163" w:right="163"/>
              <w:jc w:val="center"/>
              <w:rPr>
                <w:sz w:val="16"/>
              </w:rPr>
            </w:pPr>
            <w:r>
              <w:rPr>
                <w:color w:val="231F20"/>
                <w:w w:val="75"/>
                <w:sz w:val="16"/>
              </w:rPr>
              <w:t>No. de Funciones</w:t>
            </w:r>
          </w:p>
        </w:tc>
      </w:tr>
      <w:tr>
        <w:trPr>
          <w:trHeight w:val="135" w:hRule="exact"/>
        </w:trPr>
        <w:tc>
          <w:tcPr>
            <w:tcW w:w="2802" w:type="dxa"/>
            <w:tcBorders>
              <w:top w:val="single" w:sz="8" w:space="0" w:color="231F20"/>
            </w:tcBorders>
          </w:tcPr>
          <w:p>
            <w:pPr>
              <w:pStyle w:val="TableParagraph"/>
              <w:spacing w:line="160" w:lineRule="exact"/>
              <w:ind w:left="676"/>
              <w:rPr>
                <w:sz w:val="16"/>
              </w:rPr>
            </w:pPr>
            <w:r>
              <w:rPr>
                <w:color w:val="231F20"/>
                <w:w w:val="75"/>
                <w:sz w:val="16"/>
              </w:rPr>
              <w:t>Secretaría del Ayuntamiento</w:t>
            </w:r>
          </w:p>
        </w:tc>
        <w:tc>
          <w:tcPr>
            <w:tcW w:w="991" w:type="dxa"/>
            <w:tcBorders>
              <w:top w:val="single" w:sz="8" w:space="0" w:color="231F20"/>
            </w:tcBorders>
          </w:tcPr>
          <w:p>
            <w:pPr>
              <w:pStyle w:val="TableParagraph"/>
              <w:spacing w:line="160" w:lineRule="exact"/>
              <w:ind w:left="155" w:right="156"/>
              <w:jc w:val="center"/>
              <w:rPr>
                <w:sz w:val="16"/>
              </w:rPr>
            </w:pPr>
            <w:r>
              <w:rPr>
                <w:color w:val="231F20"/>
                <w:w w:val="85"/>
                <w:sz w:val="16"/>
              </w:rPr>
              <w:t>33</w:t>
            </w:r>
          </w:p>
        </w:tc>
        <w:tc>
          <w:tcPr>
            <w:tcW w:w="97" w:type="dxa"/>
            <w:tcBorders>
              <w:top w:val="single" w:sz="8" w:space="0" w:color="231F20"/>
            </w:tcBorders>
          </w:tcPr>
          <w:p>
            <w:pPr/>
          </w:p>
        </w:tc>
        <w:tc>
          <w:tcPr>
            <w:tcW w:w="2830" w:type="dxa"/>
            <w:tcBorders>
              <w:top w:val="single" w:sz="8" w:space="0" w:color="231F20"/>
            </w:tcBorders>
          </w:tcPr>
          <w:p>
            <w:pPr>
              <w:pStyle w:val="TableParagraph"/>
              <w:spacing w:line="160" w:lineRule="exact"/>
              <w:ind w:left="690"/>
              <w:rPr>
                <w:sz w:val="16"/>
              </w:rPr>
            </w:pPr>
            <w:r>
              <w:rPr>
                <w:color w:val="231F20"/>
                <w:w w:val="75"/>
                <w:sz w:val="16"/>
              </w:rPr>
              <w:t>Secretaría del Ayuntamiento</w:t>
            </w:r>
          </w:p>
        </w:tc>
        <w:tc>
          <w:tcPr>
            <w:tcW w:w="1217" w:type="dxa"/>
            <w:tcBorders>
              <w:top w:val="single" w:sz="8" w:space="0" w:color="231F20"/>
            </w:tcBorders>
          </w:tcPr>
          <w:p>
            <w:pPr>
              <w:pStyle w:val="TableParagraph"/>
              <w:spacing w:line="160" w:lineRule="exact"/>
              <w:ind w:left="163" w:right="163"/>
              <w:jc w:val="center"/>
              <w:rPr>
                <w:sz w:val="16"/>
              </w:rPr>
            </w:pPr>
            <w:r>
              <w:rPr>
                <w:color w:val="231F20"/>
                <w:w w:val="85"/>
                <w:sz w:val="16"/>
              </w:rPr>
              <w:t>36</w:t>
            </w:r>
          </w:p>
        </w:tc>
      </w:tr>
      <w:tr>
        <w:trPr>
          <w:trHeight w:val="322" w:hRule="exact"/>
        </w:trPr>
        <w:tc>
          <w:tcPr>
            <w:tcW w:w="2802" w:type="dxa"/>
          </w:tcPr>
          <w:p>
            <w:pPr>
              <w:pStyle w:val="TableParagraph"/>
              <w:spacing w:line="161" w:lineRule="exact"/>
              <w:ind w:left="150" w:right="150"/>
              <w:jc w:val="center"/>
              <w:rPr>
                <w:sz w:val="16"/>
              </w:rPr>
            </w:pPr>
            <w:r>
              <w:rPr>
                <w:color w:val="231F20"/>
                <w:w w:val="75"/>
                <w:sz w:val="16"/>
              </w:rPr>
              <w:t>Dirección General de Administración,  Planeación,</w:t>
            </w:r>
          </w:p>
          <w:p>
            <w:pPr>
              <w:pStyle w:val="TableParagraph"/>
              <w:spacing w:line="191" w:lineRule="exact"/>
              <w:ind w:left="150" w:right="150"/>
              <w:jc w:val="center"/>
              <w:rPr>
                <w:sz w:val="16"/>
              </w:rPr>
            </w:pPr>
            <w:r>
              <w:rPr>
                <w:color w:val="231F20"/>
                <w:w w:val="75"/>
                <w:sz w:val="16"/>
              </w:rPr>
              <w:t>Finanzas y Tesorería</w:t>
            </w:r>
          </w:p>
        </w:tc>
        <w:tc>
          <w:tcPr>
            <w:tcW w:w="991" w:type="dxa"/>
          </w:tcPr>
          <w:p>
            <w:pPr>
              <w:pStyle w:val="TableParagraph"/>
              <w:spacing w:line="163" w:lineRule="exact"/>
              <w:ind w:left="156" w:right="156"/>
              <w:jc w:val="center"/>
              <w:rPr>
                <w:sz w:val="16"/>
              </w:rPr>
            </w:pPr>
            <w:r>
              <w:rPr>
                <w:color w:val="231F20"/>
                <w:w w:val="85"/>
                <w:sz w:val="16"/>
              </w:rPr>
              <w:t>109</w:t>
            </w:r>
          </w:p>
        </w:tc>
        <w:tc>
          <w:tcPr>
            <w:tcW w:w="97" w:type="dxa"/>
          </w:tcPr>
          <w:p>
            <w:pPr/>
          </w:p>
        </w:tc>
        <w:tc>
          <w:tcPr>
            <w:tcW w:w="2830" w:type="dxa"/>
          </w:tcPr>
          <w:p>
            <w:pPr>
              <w:pStyle w:val="TableParagraph"/>
              <w:spacing w:line="163" w:lineRule="exact"/>
              <w:ind w:left="946" w:right="946"/>
              <w:jc w:val="center"/>
              <w:rPr>
                <w:sz w:val="16"/>
              </w:rPr>
            </w:pPr>
            <w:r>
              <w:rPr>
                <w:color w:val="231F20"/>
                <w:w w:val="75"/>
                <w:sz w:val="16"/>
              </w:rPr>
              <w:t>Secretaría Técnica</w:t>
            </w:r>
          </w:p>
        </w:tc>
        <w:tc>
          <w:tcPr>
            <w:tcW w:w="1217" w:type="dxa"/>
          </w:tcPr>
          <w:p>
            <w:pPr>
              <w:pStyle w:val="TableParagraph"/>
              <w:spacing w:line="163" w:lineRule="exact"/>
              <w:ind w:left="163" w:right="163"/>
              <w:jc w:val="center"/>
              <w:rPr>
                <w:sz w:val="16"/>
              </w:rPr>
            </w:pPr>
            <w:r>
              <w:rPr>
                <w:color w:val="231F20"/>
                <w:w w:val="85"/>
                <w:sz w:val="16"/>
              </w:rPr>
              <w:t>26</w:t>
            </w:r>
          </w:p>
        </w:tc>
      </w:tr>
      <w:tr>
        <w:trPr>
          <w:trHeight w:val="130" w:hRule="exact"/>
        </w:trPr>
        <w:tc>
          <w:tcPr>
            <w:tcW w:w="2802" w:type="dxa"/>
          </w:tcPr>
          <w:p>
            <w:pPr>
              <w:pStyle w:val="TableParagraph"/>
              <w:spacing w:line="160" w:lineRule="exact"/>
              <w:ind w:left="656"/>
              <w:rPr>
                <w:sz w:val="16"/>
              </w:rPr>
            </w:pPr>
            <w:r>
              <w:rPr>
                <w:color w:val="231F20"/>
                <w:w w:val="75"/>
                <w:sz w:val="16"/>
              </w:rPr>
              <w:t>Contraloría Interna Municipal</w:t>
            </w:r>
          </w:p>
        </w:tc>
        <w:tc>
          <w:tcPr>
            <w:tcW w:w="991" w:type="dxa"/>
          </w:tcPr>
          <w:p>
            <w:pPr>
              <w:pStyle w:val="TableParagraph"/>
              <w:spacing w:line="160" w:lineRule="exact"/>
              <w:ind w:left="156" w:right="154"/>
              <w:jc w:val="center"/>
              <w:rPr>
                <w:sz w:val="16"/>
              </w:rPr>
            </w:pPr>
            <w:r>
              <w:rPr>
                <w:color w:val="231F20"/>
                <w:w w:val="85"/>
                <w:sz w:val="16"/>
              </w:rPr>
              <w:t>25</w:t>
            </w:r>
          </w:p>
        </w:tc>
        <w:tc>
          <w:tcPr>
            <w:tcW w:w="97" w:type="dxa"/>
          </w:tcPr>
          <w:p>
            <w:pPr/>
          </w:p>
        </w:tc>
        <w:tc>
          <w:tcPr>
            <w:tcW w:w="2830" w:type="dxa"/>
          </w:tcPr>
          <w:p>
            <w:pPr>
              <w:pStyle w:val="TableParagraph"/>
              <w:spacing w:line="160" w:lineRule="exact"/>
              <w:ind w:left="919"/>
              <w:rPr>
                <w:sz w:val="16"/>
              </w:rPr>
            </w:pPr>
            <w:r>
              <w:rPr>
                <w:color w:val="231F20"/>
                <w:w w:val="75"/>
                <w:sz w:val="16"/>
              </w:rPr>
              <w:t>Tesorería Municipal</w:t>
            </w:r>
          </w:p>
        </w:tc>
        <w:tc>
          <w:tcPr>
            <w:tcW w:w="1217" w:type="dxa"/>
          </w:tcPr>
          <w:p>
            <w:pPr>
              <w:pStyle w:val="TableParagraph"/>
              <w:spacing w:line="160" w:lineRule="exact"/>
              <w:ind w:left="163" w:right="158"/>
              <w:jc w:val="center"/>
              <w:rPr>
                <w:sz w:val="16"/>
              </w:rPr>
            </w:pPr>
            <w:r>
              <w:rPr>
                <w:color w:val="231F20"/>
                <w:w w:val="85"/>
                <w:sz w:val="16"/>
              </w:rPr>
              <w:t>44</w:t>
            </w:r>
          </w:p>
        </w:tc>
      </w:tr>
      <w:tr>
        <w:trPr>
          <w:trHeight w:val="130" w:hRule="exact"/>
        </w:trPr>
        <w:tc>
          <w:tcPr>
            <w:tcW w:w="2802" w:type="dxa"/>
          </w:tcPr>
          <w:p>
            <w:pPr>
              <w:pStyle w:val="TableParagraph"/>
              <w:spacing w:line="160" w:lineRule="exact"/>
              <w:ind w:left="0" w:right="122"/>
              <w:jc w:val="right"/>
              <w:rPr>
                <w:sz w:val="16"/>
              </w:rPr>
            </w:pPr>
            <w:r>
              <w:rPr>
                <w:color w:val="231F20"/>
                <w:w w:val="75"/>
                <w:sz w:val="16"/>
              </w:rPr>
              <w:t>Dirección General de Desarrollo Económico y Social</w:t>
            </w:r>
          </w:p>
        </w:tc>
        <w:tc>
          <w:tcPr>
            <w:tcW w:w="991" w:type="dxa"/>
          </w:tcPr>
          <w:p>
            <w:pPr>
              <w:pStyle w:val="TableParagraph"/>
              <w:spacing w:line="160" w:lineRule="exact"/>
              <w:ind w:left="156" w:right="156"/>
              <w:jc w:val="center"/>
              <w:rPr>
                <w:sz w:val="16"/>
              </w:rPr>
            </w:pPr>
            <w:r>
              <w:rPr>
                <w:color w:val="231F20"/>
                <w:w w:val="85"/>
                <w:sz w:val="16"/>
              </w:rPr>
              <w:t>43</w:t>
            </w:r>
          </w:p>
        </w:tc>
        <w:tc>
          <w:tcPr>
            <w:tcW w:w="97" w:type="dxa"/>
          </w:tcPr>
          <w:p>
            <w:pPr/>
          </w:p>
        </w:tc>
        <w:tc>
          <w:tcPr>
            <w:tcW w:w="2830" w:type="dxa"/>
          </w:tcPr>
          <w:p>
            <w:pPr>
              <w:pStyle w:val="TableParagraph"/>
              <w:spacing w:line="160" w:lineRule="exact"/>
              <w:ind w:left="670"/>
              <w:rPr>
                <w:sz w:val="16"/>
              </w:rPr>
            </w:pPr>
            <w:r>
              <w:rPr>
                <w:color w:val="231F20"/>
                <w:w w:val="75"/>
                <w:sz w:val="16"/>
              </w:rPr>
              <w:t>Contraloría Interna Municipal</w:t>
            </w:r>
          </w:p>
        </w:tc>
        <w:tc>
          <w:tcPr>
            <w:tcW w:w="1217" w:type="dxa"/>
          </w:tcPr>
          <w:p>
            <w:pPr>
              <w:pStyle w:val="TableParagraph"/>
              <w:spacing w:line="160" w:lineRule="exact"/>
              <w:ind w:left="161" w:right="163"/>
              <w:jc w:val="center"/>
              <w:rPr>
                <w:sz w:val="16"/>
              </w:rPr>
            </w:pPr>
            <w:r>
              <w:rPr>
                <w:color w:val="231F20"/>
                <w:w w:val="85"/>
                <w:sz w:val="16"/>
              </w:rPr>
              <w:t>17</w:t>
            </w:r>
          </w:p>
        </w:tc>
      </w:tr>
      <w:tr>
        <w:trPr>
          <w:trHeight w:val="322" w:hRule="exact"/>
        </w:trPr>
        <w:tc>
          <w:tcPr>
            <w:tcW w:w="2802" w:type="dxa"/>
          </w:tcPr>
          <w:p>
            <w:pPr>
              <w:pStyle w:val="TableParagraph"/>
              <w:spacing w:line="161" w:lineRule="exact"/>
              <w:ind w:left="150" w:right="150"/>
              <w:jc w:val="center"/>
              <w:rPr>
                <w:sz w:val="16"/>
              </w:rPr>
            </w:pPr>
            <w:r>
              <w:rPr>
                <w:color w:val="231F20"/>
                <w:w w:val="75"/>
                <w:sz w:val="16"/>
              </w:rPr>
              <w:t>Dirección General de Desarrollo, Infraestructura  y</w:t>
            </w:r>
          </w:p>
          <w:p>
            <w:pPr>
              <w:pStyle w:val="TableParagraph"/>
              <w:spacing w:line="191" w:lineRule="exact"/>
              <w:ind w:left="150" w:right="149"/>
              <w:jc w:val="center"/>
              <w:rPr>
                <w:sz w:val="16"/>
              </w:rPr>
            </w:pPr>
            <w:r>
              <w:rPr>
                <w:color w:val="231F20"/>
                <w:w w:val="75"/>
                <w:sz w:val="16"/>
              </w:rPr>
              <w:t>Servicios Urbano</w:t>
            </w:r>
          </w:p>
        </w:tc>
        <w:tc>
          <w:tcPr>
            <w:tcW w:w="991" w:type="dxa"/>
          </w:tcPr>
          <w:p>
            <w:pPr>
              <w:pStyle w:val="TableParagraph"/>
              <w:spacing w:line="163" w:lineRule="exact"/>
              <w:ind w:left="156" w:right="154"/>
              <w:jc w:val="center"/>
              <w:rPr>
                <w:sz w:val="16"/>
              </w:rPr>
            </w:pPr>
            <w:r>
              <w:rPr>
                <w:color w:val="231F20"/>
                <w:w w:val="85"/>
                <w:sz w:val="16"/>
              </w:rPr>
              <w:t>96</w:t>
            </w:r>
          </w:p>
        </w:tc>
        <w:tc>
          <w:tcPr>
            <w:tcW w:w="97" w:type="dxa"/>
          </w:tcPr>
          <w:p>
            <w:pPr/>
          </w:p>
        </w:tc>
        <w:tc>
          <w:tcPr>
            <w:tcW w:w="2830" w:type="dxa"/>
          </w:tcPr>
          <w:p>
            <w:pPr>
              <w:pStyle w:val="TableParagraph"/>
              <w:spacing w:line="163" w:lineRule="exact"/>
              <w:ind w:left="496"/>
              <w:rPr>
                <w:sz w:val="16"/>
              </w:rPr>
            </w:pPr>
            <w:r>
              <w:rPr>
                <w:color w:val="231F20"/>
                <w:w w:val="75"/>
                <w:sz w:val="16"/>
              </w:rPr>
              <w:t>Dirección General de Administración</w:t>
            </w:r>
          </w:p>
        </w:tc>
        <w:tc>
          <w:tcPr>
            <w:tcW w:w="1217" w:type="dxa"/>
          </w:tcPr>
          <w:p>
            <w:pPr>
              <w:pStyle w:val="TableParagraph"/>
              <w:spacing w:line="163" w:lineRule="exact"/>
              <w:ind w:left="163" w:right="163"/>
              <w:jc w:val="center"/>
              <w:rPr>
                <w:sz w:val="16"/>
              </w:rPr>
            </w:pPr>
            <w:r>
              <w:rPr>
                <w:color w:val="231F20"/>
                <w:w w:val="85"/>
                <w:sz w:val="16"/>
              </w:rPr>
              <w:t>45</w:t>
            </w:r>
          </w:p>
        </w:tc>
      </w:tr>
      <w:tr>
        <w:trPr>
          <w:trHeight w:val="130" w:hRule="exact"/>
        </w:trPr>
        <w:tc>
          <w:tcPr>
            <w:tcW w:w="2802" w:type="dxa"/>
          </w:tcPr>
          <w:p>
            <w:pPr>
              <w:pStyle w:val="TableParagraph"/>
              <w:spacing w:line="160" w:lineRule="exact"/>
              <w:ind w:left="747"/>
              <w:rPr>
                <w:sz w:val="16"/>
              </w:rPr>
            </w:pPr>
            <w:r>
              <w:rPr>
                <w:color w:val="231F20"/>
                <w:w w:val="75"/>
                <w:sz w:val="16"/>
              </w:rPr>
              <w:t>Dirección General Jurídica</w:t>
            </w:r>
          </w:p>
        </w:tc>
        <w:tc>
          <w:tcPr>
            <w:tcW w:w="991" w:type="dxa"/>
          </w:tcPr>
          <w:p>
            <w:pPr>
              <w:pStyle w:val="TableParagraph"/>
              <w:spacing w:line="160" w:lineRule="exact"/>
              <w:ind w:left="156" w:right="156"/>
              <w:jc w:val="center"/>
              <w:rPr>
                <w:sz w:val="16"/>
              </w:rPr>
            </w:pPr>
            <w:r>
              <w:rPr>
                <w:color w:val="231F20"/>
                <w:w w:val="85"/>
                <w:sz w:val="16"/>
              </w:rPr>
              <w:t>16</w:t>
            </w:r>
          </w:p>
        </w:tc>
        <w:tc>
          <w:tcPr>
            <w:tcW w:w="97" w:type="dxa"/>
          </w:tcPr>
          <w:p>
            <w:pPr/>
          </w:p>
        </w:tc>
        <w:tc>
          <w:tcPr>
            <w:tcW w:w="2830" w:type="dxa"/>
          </w:tcPr>
          <w:p>
            <w:pPr>
              <w:pStyle w:val="TableParagraph"/>
              <w:spacing w:line="160" w:lineRule="exact"/>
              <w:ind w:left="162"/>
              <w:rPr>
                <w:sz w:val="16"/>
              </w:rPr>
            </w:pPr>
            <w:r>
              <w:rPr>
                <w:color w:val="231F20"/>
                <w:w w:val="75"/>
                <w:sz w:val="16"/>
              </w:rPr>
              <w:t>Dirección General de Desarrollo Urbano y Ecología</w:t>
            </w:r>
          </w:p>
        </w:tc>
        <w:tc>
          <w:tcPr>
            <w:tcW w:w="1217" w:type="dxa"/>
          </w:tcPr>
          <w:p>
            <w:pPr>
              <w:pStyle w:val="TableParagraph"/>
              <w:spacing w:line="160" w:lineRule="exact"/>
              <w:ind w:left="163" w:right="163"/>
              <w:jc w:val="center"/>
              <w:rPr>
                <w:sz w:val="16"/>
              </w:rPr>
            </w:pPr>
            <w:r>
              <w:rPr>
                <w:color w:val="231F20"/>
                <w:w w:val="85"/>
                <w:sz w:val="16"/>
              </w:rPr>
              <w:t>61</w:t>
            </w:r>
          </w:p>
        </w:tc>
      </w:tr>
      <w:tr>
        <w:trPr>
          <w:trHeight w:val="322" w:hRule="exact"/>
        </w:trPr>
        <w:tc>
          <w:tcPr>
            <w:tcW w:w="2802" w:type="dxa"/>
          </w:tcPr>
          <w:p>
            <w:pPr>
              <w:pStyle w:val="TableParagraph"/>
              <w:spacing w:line="161" w:lineRule="exact"/>
              <w:ind w:left="150" w:right="150"/>
              <w:jc w:val="center"/>
              <w:rPr>
                <w:sz w:val="16"/>
              </w:rPr>
            </w:pPr>
            <w:r>
              <w:rPr>
                <w:color w:val="231F20"/>
                <w:w w:val="75"/>
                <w:sz w:val="16"/>
              </w:rPr>
              <w:t>Dirección General de Seguridad y Protección</w:t>
            </w:r>
          </w:p>
          <w:p>
            <w:pPr>
              <w:pStyle w:val="TableParagraph"/>
              <w:spacing w:line="191" w:lineRule="exact"/>
              <w:ind w:left="150" w:right="149"/>
              <w:jc w:val="center"/>
              <w:rPr>
                <w:sz w:val="16"/>
              </w:rPr>
            </w:pPr>
            <w:r>
              <w:rPr>
                <w:color w:val="231F20"/>
                <w:w w:val="85"/>
                <w:sz w:val="16"/>
              </w:rPr>
              <w:t>Ciudadana</w:t>
            </w:r>
          </w:p>
        </w:tc>
        <w:tc>
          <w:tcPr>
            <w:tcW w:w="991" w:type="dxa"/>
          </w:tcPr>
          <w:p>
            <w:pPr>
              <w:pStyle w:val="TableParagraph"/>
              <w:spacing w:line="163" w:lineRule="exact"/>
              <w:ind w:left="156" w:right="156"/>
              <w:jc w:val="center"/>
              <w:rPr>
                <w:sz w:val="16"/>
              </w:rPr>
            </w:pPr>
            <w:r>
              <w:rPr>
                <w:color w:val="231F20"/>
                <w:w w:val="85"/>
                <w:sz w:val="16"/>
              </w:rPr>
              <w:t>39</w:t>
            </w:r>
          </w:p>
        </w:tc>
        <w:tc>
          <w:tcPr>
            <w:tcW w:w="97" w:type="dxa"/>
          </w:tcPr>
          <w:p>
            <w:pPr/>
          </w:p>
        </w:tc>
        <w:tc>
          <w:tcPr>
            <w:tcW w:w="2830" w:type="dxa"/>
          </w:tcPr>
          <w:p>
            <w:pPr>
              <w:pStyle w:val="TableParagraph"/>
              <w:spacing w:line="163" w:lineRule="exact"/>
              <w:ind w:left="516"/>
              <w:rPr>
                <w:sz w:val="16"/>
              </w:rPr>
            </w:pPr>
            <w:r>
              <w:rPr>
                <w:color w:val="231F20"/>
                <w:w w:val="75"/>
                <w:sz w:val="16"/>
              </w:rPr>
              <w:t>Dirección General de Obras Públicas</w:t>
            </w:r>
          </w:p>
        </w:tc>
        <w:tc>
          <w:tcPr>
            <w:tcW w:w="1217" w:type="dxa"/>
          </w:tcPr>
          <w:p>
            <w:pPr>
              <w:pStyle w:val="TableParagraph"/>
              <w:spacing w:line="163" w:lineRule="exact"/>
              <w:ind w:left="163" w:right="161"/>
              <w:jc w:val="center"/>
              <w:rPr>
                <w:sz w:val="16"/>
              </w:rPr>
            </w:pPr>
            <w:r>
              <w:rPr>
                <w:color w:val="231F20"/>
                <w:w w:val="85"/>
                <w:sz w:val="16"/>
              </w:rPr>
              <w:t>23</w:t>
            </w:r>
          </w:p>
        </w:tc>
      </w:tr>
      <w:tr>
        <w:trPr>
          <w:trHeight w:val="130" w:hRule="exact"/>
        </w:trPr>
        <w:tc>
          <w:tcPr>
            <w:tcW w:w="2802" w:type="dxa"/>
          </w:tcPr>
          <w:p>
            <w:pPr/>
          </w:p>
        </w:tc>
        <w:tc>
          <w:tcPr>
            <w:tcW w:w="991" w:type="dxa"/>
          </w:tcPr>
          <w:p>
            <w:pPr/>
          </w:p>
        </w:tc>
        <w:tc>
          <w:tcPr>
            <w:tcW w:w="97" w:type="dxa"/>
          </w:tcPr>
          <w:p>
            <w:pPr/>
          </w:p>
        </w:tc>
        <w:tc>
          <w:tcPr>
            <w:tcW w:w="2830" w:type="dxa"/>
          </w:tcPr>
          <w:p>
            <w:pPr>
              <w:pStyle w:val="TableParagraph"/>
              <w:spacing w:line="160" w:lineRule="exact"/>
              <w:ind w:left="436"/>
              <w:rPr>
                <w:sz w:val="16"/>
              </w:rPr>
            </w:pPr>
            <w:r>
              <w:rPr>
                <w:color w:val="231F20"/>
                <w:w w:val="75"/>
                <w:sz w:val="16"/>
              </w:rPr>
              <w:t>Dirección General de Servicios Públicos</w:t>
            </w:r>
          </w:p>
        </w:tc>
        <w:tc>
          <w:tcPr>
            <w:tcW w:w="1217" w:type="dxa"/>
          </w:tcPr>
          <w:p>
            <w:pPr>
              <w:pStyle w:val="TableParagraph"/>
              <w:spacing w:line="160" w:lineRule="exact"/>
              <w:ind w:left="163" w:right="163"/>
              <w:jc w:val="center"/>
              <w:rPr>
                <w:sz w:val="16"/>
              </w:rPr>
            </w:pPr>
            <w:r>
              <w:rPr>
                <w:color w:val="231F20"/>
                <w:w w:val="85"/>
                <w:sz w:val="16"/>
              </w:rPr>
              <w:t>16</w:t>
            </w:r>
          </w:p>
        </w:tc>
      </w:tr>
      <w:tr>
        <w:trPr>
          <w:trHeight w:val="130" w:hRule="exact"/>
        </w:trPr>
        <w:tc>
          <w:tcPr>
            <w:tcW w:w="2802" w:type="dxa"/>
          </w:tcPr>
          <w:p>
            <w:pPr/>
          </w:p>
        </w:tc>
        <w:tc>
          <w:tcPr>
            <w:tcW w:w="991" w:type="dxa"/>
          </w:tcPr>
          <w:p>
            <w:pPr/>
          </w:p>
        </w:tc>
        <w:tc>
          <w:tcPr>
            <w:tcW w:w="97" w:type="dxa"/>
          </w:tcPr>
          <w:p>
            <w:pPr/>
          </w:p>
        </w:tc>
        <w:tc>
          <w:tcPr>
            <w:tcW w:w="2830" w:type="dxa"/>
          </w:tcPr>
          <w:p>
            <w:pPr>
              <w:pStyle w:val="TableParagraph"/>
              <w:spacing w:line="160" w:lineRule="exact"/>
              <w:ind w:left="463"/>
              <w:rPr>
                <w:sz w:val="16"/>
              </w:rPr>
            </w:pPr>
            <w:r>
              <w:rPr>
                <w:color w:val="231F20"/>
                <w:w w:val="75"/>
                <w:sz w:val="16"/>
              </w:rPr>
              <w:t>Dirección General de Desarrollo Social</w:t>
            </w:r>
          </w:p>
        </w:tc>
        <w:tc>
          <w:tcPr>
            <w:tcW w:w="1217" w:type="dxa"/>
          </w:tcPr>
          <w:p>
            <w:pPr>
              <w:pStyle w:val="TableParagraph"/>
              <w:spacing w:line="160" w:lineRule="exact"/>
              <w:ind w:left="163" w:right="162"/>
              <w:jc w:val="center"/>
              <w:rPr>
                <w:sz w:val="16"/>
              </w:rPr>
            </w:pPr>
            <w:r>
              <w:rPr>
                <w:color w:val="231F20"/>
                <w:w w:val="85"/>
                <w:sz w:val="16"/>
              </w:rPr>
              <w:t>50</w:t>
            </w:r>
          </w:p>
        </w:tc>
      </w:tr>
      <w:tr>
        <w:trPr>
          <w:trHeight w:val="130" w:hRule="exact"/>
        </w:trPr>
        <w:tc>
          <w:tcPr>
            <w:tcW w:w="2802" w:type="dxa"/>
          </w:tcPr>
          <w:p>
            <w:pPr/>
          </w:p>
        </w:tc>
        <w:tc>
          <w:tcPr>
            <w:tcW w:w="991" w:type="dxa"/>
          </w:tcPr>
          <w:p>
            <w:pPr/>
          </w:p>
        </w:tc>
        <w:tc>
          <w:tcPr>
            <w:tcW w:w="97" w:type="dxa"/>
          </w:tcPr>
          <w:p>
            <w:pPr/>
          </w:p>
        </w:tc>
        <w:tc>
          <w:tcPr>
            <w:tcW w:w="2830" w:type="dxa"/>
          </w:tcPr>
          <w:p>
            <w:pPr>
              <w:pStyle w:val="TableParagraph"/>
              <w:spacing w:line="160" w:lineRule="exact"/>
              <w:ind w:left="172"/>
              <w:rPr>
                <w:sz w:val="16"/>
              </w:rPr>
            </w:pPr>
            <w:r>
              <w:rPr>
                <w:color w:val="231F20"/>
                <w:w w:val="75"/>
                <w:sz w:val="16"/>
              </w:rPr>
              <w:t>Dirección General de Seguridad Pública y  Tránsito</w:t>
            </w:r>
          </w:p>
        </w:tc>
        <w:tc>
          <w:tcPr>
            <w:tcW w:w="1217" w:type="dxa"/>
          </w:tcPr>
          <w:p>
            <w:pPr>
              <w:pStyle w:val="TableParagraph"/>
              <w:spacing w:line="160" w:lineRule="exact"/>
              <w:ind w:left="162" w:right="163"/>
              <w:jc w:val="center"/>
              <w:rPr>
                <w:sz w:val="16"/>
              </w:rPr>
            </w:pPr>
            <w:r>
              <w:rPr>
                <w:color w:val="231F20"/>
                <w:w w:val="85"/>
                <w:sz w:val="16"/>
              </w:rPr>
              <w:t>42</w:t>
            </w:r>
          </w:p>
        </w:tc>
      </w:tr>
      <w:tr>
        <w:trPr>
          <w:trHeight w:val="130" w:hRule="exact"/>
        </w:trPr>
        <w:tc>
          <w:tcPr>
            <w:tcW w:w="2802" w:type="dxa"/>
          </w:tcPr>
          <w:p>
            <w:pPr/>
          </w:p>
        </w:tc>
        <w:tc>
          <w:tcPr>
            <w:tcW w:w="991" w:type="dxa"/>
          </w:tcPr>
          <w:p>
            <w:pPr/>
          </w:p>
        </w:tc>
        <w:tc>
          <w:tcPr>
            <w:tcW w:w="97" w:type="dxa"/>
          </w:tcPr>
          <w:p>
            <w:pPr/>
          </w:p>
        </w:tc>
        <w:tc>
          <w:tcPr>
            <w:tcW w:w="2830" w:type="dxa"/>
          </w:tcPr>
          <w:p>
            <w:pPr>
              <w:pStyle w:val="TableParagraph"/>
              <w:spacing w:line="160" w:lineRule="exact"/>
              <w:ind w:left="485"/>
              <w:rPr>
                <w:sz w:val="16"/>
              </w:rPr>
            </w:pPr>
            <w:r>
              <w:rPr>
                <w:color w:val="231F20"/>
                <w:w w:val="75"/>
                <w:sz w:val="16"/>
              </w:rPr>
              <w:t>Dirección General Jurídico Consultiva</w:t>
            </w:r>
          </w:p>
        </w:tc>
        <w:tc>
          <w:tcPr>
            <w:tcW w:w="1217" w:type="dxa"/>
          </w:tcPr>
          <w:p>
            <w:pPr>
              <w:pStyle w:val="TableParagraph"/>
              <w:spacing w:line="160" w:lineRule="exact"/>
              <w:ind w:left="162" w:right="163"/>
              <w:jc w:val="center"/>
              <w:rPr>
                <w:sz w:val="16"/>
              </w:rPr>
            </w:pPr>
            <w:r>
              <w:rPr>
                <w:color w:val="231F20"/>
                <w:w w:val="85"/>
                <w:sz w:val="16"/>
              </w:rPr>
              <w:t>15</w:t>
            </w:r>
          </w:p>
        </w:tc>
      </w:tr>
      <w:tr>
        <w:trPr>
          <w:trHeight w:val="130" w:hRule="exact"/>
        </w:trPr>
        <w:tc>
          <w:tcPr>
            <w:tcW w:w="2802" w:type="dxa"/>
          </w:tcPr>
          <w:p>
            <w:pPr>
              <w:pStyle w:val="TableParagraph"/>
              <w:spacing w:line="160" w:lineRule="exact"/>
              <w:ind w:left="150" w:right="150"/>
              <w:jc w:val="center"/>
              <w:rPr>
                <w:sz w:val="16"/>
              </w:rPr>
            </w:pPr>
            <w:r>
              <w:rPr>
                <w:color w:val="231F20"/>
                <w:w w:val="85"/>
                <w:sz w:val="16"/>
              </w:rPr>
              <w:t>Total</w:t>
            </w:r>
          </w:p>
        </w:tc>
        <w:tc>
          <w:tcPr>
            <w:tcW w:w="991" w:type="dxa"/>
          </w:tcPr>
          <w:p>
            <w:pPr>
              <w:pStyle w:val="TableParagraph"/>
              <w:spacing w:line="160" w:lineRule="exact"/>
              <w:ind w:left="156" w:right="156"/>
              <w:jc w:val="center"/>
              <w:rPr>
                <w:sz w:val="16"/>
              </w:rPr>
            </w:pPr>
            <w:r>
              <w:rPr>
                <w:color w:val="231F20"/>
                <w:w w:val="85"/>
                <w:sz w:val="16"/>
              </w:rPr>
              <w:t>361</w:t>
            </w:r>
          </w:p>
        </w:tc>
        <w:tc>
          <w:tcPr>
            <w:tcW w:w="97" w:type="dxa"/>
          </w:tcPr>
          <w:p>
            <w:pPr/>
          </w:p>
        </w:tc>
        <w:tc>
          <w:tcPr>
            <w:tcW w:w="2830" w:type="dxa"/>
          </w:tcPr>
          <w:p>
            <w:pPr>
              <w:pStyle w:val="TableParagraph"/>
              <w:spacing w:line="160" w:lineRule="exact"/>
              <w:ind w:left="946" w:right="946"/>
              <w:jc w:val="center"/>
              <w:rPr>
                <w:sz w:val="16"/>
              </w:rPr>
            </w:pPr>
            <w:r>
              <w:rPr>
                <w:color w:val="231F20"/>
                <w:w w:val="85"/>
                <w:sz w:val="16"/>
              </w:rPr>
              <w:t>Total</w:t>
            </w:r>
          </w:p>
        </w:tc>
        <w:tc>
          <w:tcPr>
            <w:tcW w:w="1217" w:type="dxa"/>
          </w:tcPr>
          <w:p>
            <w:pPr>
              <w:pStyle w:val="TableParagraph"/>
              <w:spacing w:line="160" w:lineRule="exact"/>
              <w:ind w:left="163" w:right="163"/>
              <w:jc w:val="center"/>
              <w:rPr>
                <w:sz w:val="16"/>
              </w:rPr>
            </w:pPr>
            <w:r>
              <w:rPr>
                <w:color w:val="231F20"/>
                <w:w w:val="85"/>
                <w:sz w:val="16"/>
              </w:rPr>
              <w:t>375</w:t>
            </w:r>
          </w:p>
        </w:tc>
      </w:tr>
    </w:tbl>
    <w:p>
      <w:pPr>
        <w:pStyle w:val="BodyText"/>
        <w:spacing w:before="2"/>
        <w:rPr>
          <w:b/>
          <w:sz w:val="15"/>
        </w:rPr>
      </w:pPr>
    </w:p>
    <w:p>
      <w:pPr>
        <w:spacing w:before="74"/>
        <w:ind w:left="0" w:right="132" w:firstLine="0"/>
        <w:jc w:val="right"/>
        <w:rPr>
          <w:rFonts w:ascii="Calibri"/>
          <w:sz w:val="16"/>
        </w:rPr>
      </w:pPr>
      <w:r>
        <w:rPr>
          <w:rFonts w:ascii="Calibri"/>
          <w:color w:val="231F20"/>
          <w:w w:val="95"/>
          <w:sz w:val="16"/>
        </w:rPr>
        <w:t>Fuente: (HUIXQUILUCAN, 2006a).</w:t>
      </w:r>
    </w:p>
    <w:p>
      <w:pPr>
        <w:pStyle w:val="BodyText"/>
        <w:rPr>
          <w:rFonts w:ascii="Calibri"/>
          <w:sz w:val="16"/>
        </w:rPr>
      </w:pPr>
    </w:p>
    <w:p>
      <w:pPr>
        <w:pStyle w:val="BodyText"/>
        <w:spacing w:before="10"/>
        <w:rPr>
          <w:rFonts w:ascii="Calibri"/>
          <w:sz w:val="12"/>
        </w:rPr>
      </w:pPr>
    </w:p>
    <w:p>
      <w:pPr>
        <w:pStyle w:val="BodyText"/>
        <w:spacing w:line="285" w:lineRule="auto"/>
        <w:ind w:left="110" w:right="128"/>
        <w:jc w:val="both"/>
      </w:pPr>
      <w:r>
        <w:rPr>
          <w:color w:val="231F20"/>
          <w:spacing w:val="-5"/>
          <w:w w:val="105"/>
        </w:rPr>
        <w:t>Por</w:t>
      </w:r>
      <w:r>
        <w:rPr>
          <w:color w:val="231F20"/>
          <w:spacing w:val="-13"/>
          <w:w w:val="105"/>
        </w:rPr>
        <w:t> </w:t>
      </w:r>
      <w:r>
        <w:rPr>
          <w:color w:val="231F20"/>
          <w:spacing w:val="-3"/>
          <w:w w:val="105"/>
        </w:rPr>
        <w:t>otro</w:t>
      </w:r>
      <w:r>
        <w:rPr>
          <w:color w:val="231F20"/>
          <w:spacing w:val="-13"/>
          <w:w w:val="105"/>
        </w:rPr>
        <w:t> </w:t>
      </w:r>
      <w:r>
        <w:rPr>
          <w:color w:val="231F20"/>
          <w:spacing w:val="-4"/>
          <w:w w:val="105"/>
        </w:rPr>
        <w:t>lado,</w:t>
      </w:r>
      <w:r>
        <w:rPr>
          <w:color w:val="231F20"/>
          <w:spacing w:val="-13"/>
          <w:w w:val="105"/>
        </w:rPr>
        <w:t> </w:t>
      </w:r>
      <w:r>
        <w:rPr>
          <w:color w:val="231F20"/>
          <w:w w:val="105"/>
        </w:rPr>
        <w:t>la</w:t>
      </w:r>
      <w:r>
        <w:rPr>
          <w:color w:val="231F20"/>
          <w:spacing w:val="-13"/>
          <w:w w:val="105"/>
        </w:rPr>
        <w:t> </w:t>
      </w:r>
      <w:r>
        <w:rPr>
          <w:color w:val="231F20"/>
          <w:w w:val="105"/>
        </w:rPr>
        <w:t>estabilidad</w:t>
      </w:r>
      <w:r>
        <w:rPr>
          <w:color w:val="231F20"/>
          <w:spacing w:val="-13"/>
          <w:w w:val="105"/>
        </w:rPr>
        <w:t> </w:t>
      </w:r>
      <w:r>
        <w:rPr>
          <w:color w:val="231F20"/>
          <w:w w:val="105"/>
        </w:rPr>
        <w:t>de</w:t>
      </w:r>
      <w:r>
        <w:rPr>
          <w:color w:val="231F20"/>
          <w:spacing w:val="-13"/>
          <w:w w:val="105"/>
        </w:rPr>
        <w:t> </w:t>
      </w:r>
      <w:r>
        <w:rPr>
          <w:color w:val="231F20"/>
          <w:spacing w:val="-3"/>
          <w:w w:val="105"/>
        </w:rPr>
        <w:t>los</w:t>
      </w:r>
      <w:r>
        <w:rPr>
          <w:color w:val="231F20"/>
          <w:spacing w:val="-13"/>
          <w:w w:val="105"/>
        </w:rPr>
        <w:t> </w:t>
      </w:r>
      <w:r>
        <w:rPr>
          <w:color w:val="231F20"/>
          <w:w w:val="105"/>
        </w:rPr>
        <w:t>titulares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spacing w:val="-3"/>
          <w:w w:val="105"/>
        </w:rPr>
        <w:t>dependencias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4"/>
          <w:w w:val="105"/>
        </w:rPr>
        <w:t>gobierno</w:t>
      </w:r>
      <w:r>
        <w:rPr>
          <w:color w:val="231F20"/>
          <w:spacing w:val="-13"/>
          <w:w w:val="105"/>
        </w:rPr>
        <w:t> </w:t>
      </w:r>
      <w:r>
        <w:rPr>
          <w:color w:val="231F20"/>
          <w:w w:val="105"/>
        </w:rPr>
        <w:t>municipal fue</w:t>
      </w:r>
      <w:r>
        <w:rPr>
          <w:color w:val="231F20"/>
          <w:spacing w:val="-18"/>
          <w:w w:val="105"/>
        </w:rPr>
        <w:t> </w:t>
      </w:r>
      <w:r>
        <w:rPr>
          <w:color w:val="231F20"/>
          <w:spacing w:val="-3"/>
          <w:w w:val="105"/>
        </w:rPr>
        <w:t>muy</w:t>
      </w:r>
      <w:r>
        <w:rPr>
          <w:color w:val="231F20"/>
          <w:spacing w:val="-18"/>
          <w:w w:val="105"/>
        </w:rPr>
        <w:t> </w:t>
      </w:r>
      <w:r>
        <w:rPr>
          <w:color w:val="231F20"/>
          <w:spacing w:val="-3"/>
          <w:w w:val="105"/>
        </w:rPr>
        <w:t>baja</w:t>
      </w:r>
      <w:r>
        <w:rPr>
          <w:color w:val="231F20"/>
          <w:spacing w:val="-18"/>
          <w:w w:val="105"/>
        </w:rPr>
        <w:t> </w:t>
      </w:r>
      <w:r>
        <w:rPr>
          <w:color w:val="231F20"/>
          <w:spacing w:val="-3"/>
          <w:w w:val="105"/>
        </w:rPr>
        <w:t>entre</w:t>
      </w:r>
      <w:r>
        <w:rPr>
          <w:color w:val="231F20"/>
          <w:spacing w:val="-18"/>
          <w:w w:val="105"/>
        </w:rPr>
        <w:t> </w:t>
      </w:r>
      <w:r>
        <w:rPr>
          <w:color w:val="231F20"/>
          <w:w w:val="105"/>
        </w:rPr>
        <w:t>ambas</w:t>
      </w:r>
      <w:r>
        <w:rPr>
          <w:color w:val="231F20"/>
          <w:spacing w:val="-18"/>
          <w:w w:val="105"/>
        </w:rPr>
        <w:t> </w:t>
      </w:r>
      <w:r>
        <w:rPr>
          <w:color w:val="231F20"/>
          <w:spacing w:val="-3"/>
          <w:w w:val="105"/>
        </w:rPr>
        <w:t>gestiones.</w:t>
      </w:r>
      <w:r>
        <w:rPr>
          <w:color w:val="231F20"/>
          <w:spacing w:val="-18"/>
          <w:w w:val="105"/>
        </w:rPr>
        <w:t> </w:t>
      </w:r>
      <w:r>
        <w:rPr>
          <w:color w:val="231F20"/>
          <w:w w:val="105"/>
        </w:rPr>
        <w:t>La</w:t>
      </w:r>
      <w:r>
        <w:rPr>
          <w:color w:val="231F20"/>
          <w:spacing w:val="-18"/>
          <w:w w:val="105"/>
        </w:rPr>
        <w:t> </w:t>
      </w:r>
      <w:r>
        <w:rPr>
          <w:color w:val="231F20"/>
          <w:spacing w:val="-4"/>
          <w:w w:val="105"/>
        </w:rPr>
        <w:t>renovación</w:t>
      </w:r>
      <w:r>
        <w:rPr>
          <w:color w:val="231F20"/>
          <w:spacing w:val="-18"/>
          <w:w w:val="105"/>
        </w:rPr>
        <w:t> </w:t>
      </w:r>
      <w:r>
        <w:rPr>
          <w:color w:val="231F20"/>
          <w:w w:val="105"/>
        </w:rPr>
        <w:t>de</w:t>
      </w:r>
      <w:r>
        <w:rPr>
          <w:color w:val="231F20"/>
          <w:spacing w:val="-18"/>
          <w:w w:val="105"/>
        </w:rPr>
        <w:t> </w:t>
      </w:r>
      <w:r>
        <w:rPr>
          <w:color w:val="231F20"/>
          <w:w w:val="105"/>
        </w:rPr>
        <w:t>equipos</w:t>
      </w:r>
      <w:r>
        <w:rPr>
          <w:color w:val="231F20"/>
          <w:spacing w:val="-18"/>
          <w:w w:val="105"/>
        </w:rPr>
        <w:t> </w:t>
      </w:r>
      <w:r>
        <w:rPr>
          <w:color w:val="231F20"/>
          <w:spacing w:val="-3"/>
          <w:w w:val="105"/>
        </w:rPr>
        <w:t>políticos</w:t>
      </w:r>
      <w:r>
        <w:rPr>
          <w:color w:val="231F20"/>
          <w:spacing w:val="-18"/>
          <w:w w:val="105"/>
        </w:rPr>
        <w:t> </w:t>
      </w:r>
      <w:r>
        <w:rPr>
          <w:color w:val="231F20"/>
          <w:spacing w:val="-3"/>
          <w:w w:val="105"/>
        </w:rPr>
        <w:t>cercanos</w:t>
      </w:r>
      <w:r>
        <w:rPr>
          <w:color w:val="231F20"/>
          <w:spacing w:val="-18"/>
          <w:w w:val="105"/>
        </w:rPr>
        <w:t> </w:t>
      </w:r>
      <w:r>
        <w:rPr>
          <w:color w:val="231F20"/>
          <w:w w:val="105"/>
        </w:rPr>
        <w:t>al</w:t>
      </w:r>
      <w:r>
        <w:rPr>
          <w:color w:val="231F20"/>
          <w:spacing w:val="-18"/>
          <w:w w:val="105"/>
        </w:rPr>
        <w:t> </w:t>
      </w:r>
      <w:r>
        <w:rPr>
          <w:color w:val="231F20"/>
          <w:spacing w:val="-4"/>
          <w:w w:val="105"/>
        </w:rPr>
        <w:t>presi- dente</w:t>
      </w:r>
      <w:r>
        <w:rPr>
          <w:color w:val="231F20"/>
          <w:spacing w:val="-18"/>
          <w:w w:val="105"/>
        </w:rPr>
        <w:t> </w:t>
      </w:r>
      <w:r>
        <w:rPr>
          <w:color w:val="231F20"/>
          <w:w w:val="105"/>
        </w:rPr>
        <w:t>municipal</w:t>
      </w:r>
      <w:r>
        <w:rPr>
          <w:color w:val="231F20"/>
          <w:spacing w:val="-18"/>
          <w:w w:val="105"/>
        </w:rPr>
        <w:t> </w:t>
      </w:r>
      <w:r>
        <w:rPr>
          <w:color w:val="231F20"/>
          <w:w w:val="105"/>
        </w:rPr>
        <w:t>fue</w:t>
      </w:r>
      <w:r>
        <w:rPr>
          <w:color w:val="231F20"/>
          <w:spacing w:val="-18"/>
          <w:w w:val="105"/>
        </w:rPr>
        <w:t> </w:t>
      </w:r>
      <w:r>
        <w:rPr>
          <w:color w:val="231F20"/>
          <w:spacing w:val="-3"/>
          <w:w w:val="105"/>
        </w:rPr>
        <w:t>completa,</w:t>
      </w:r>
      <w:r>
        <w:rPr>
          <w:color w:val="231F20"/>
          <w:spacing w:val="-18"/>
          <w:w w:val="105"/>
        </w:rPr>
        <w:t> </w:t>
      </w:r>
      <w:r>
        <w:rPr>
          <w:color w:val="231F20"/>
          <w:w w:val="105"/>
        </w:rPr>
        <w:t>ninguno</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w w:val="105"/>
        </w:rPr>
        <w:t>directores</w:t>
      </w:r>
      <w:r>
        <w:rPr>
          <w:color w:val="231F20"/>
          <w:spacing w:val="-18"/>
          <w:w w:val="105"/>
        </w:rPr>
        <w:t> </w:t>
      </w:r>
      <w:r>
        <w:rPr>
          <w:color w:val="231F20"/>
          <w:w w:val="105"/>
        </w:rPr>
        <w:t>de</w:t>
      </w:r>
      <w:r>
        <w:rPr>
          <w:color w:val="231F20"/>
          <w:spacing w:val="-18"/>
          <w:w w:val="105"/>
        </w:rPr>
        <w:t> </w:t>
      </w:r>
      <w:r>
        <w:rPr>
          <w:color w:val="231F20"/>
          <w:w w:val="105"/>
        </w:rPr>
        <w:t>área,</w:t>
      </w:r>
      <w:r>
        <w:rPr>
          <w:color w:val="231F20"/>
          <w:spacing w:val="-18"/>
          <w:w w:val="105"/>
        </w:rPr>
        <w:t> </w:t>
      </w:r>
      <w:r>
        <w:rPr>
          <w:color w:val="231F20"/>
          <w:spacing w:val="-3"/>
          <w:w w:val="105"/>
        </w:rPr>
        <w:t>contralor</w:t>
      </w:r>
      <w:r>
        <w:rPr>
          <w:color w:val="231F20"/>
          <w:spacing w:val="-18"/>
          <w:w w:val="105"/>
        </w:rPr>
        <w:t> </w:t>
      </w:r>
      <w:r>
        <w:rPr>
          <w:color w:val="231F20"/>
          <w:w w:val="105"/>
        </w:rPr>
        <w:t>o</w:t>
      </w:r>
      <w:r>
        <w:rPr>
          <w:color w:val="231F20"/>
          <w:spacing w:val="-18"/>
          <w:w w:val="105"/>
        </w:rPr>
        <w:t> </w:t>
      </w:r>
      <w:r>
        <w:rPr>
          <w:color w:val="231F20"/>
          <w:spacing w:val="-4"/>
          <w:w w:val="105"/>
        </w:rPr>
        <w:t>tesorero</w:t>
      </w:r>
      <w:r>
        <w:rPr>
          <w:color w:val="231F20"/>
          <w:spacing w:val="-18"/>
          <w:w w:val="105"/>
        </w:rPr>
        <w:t> </w:t>
      </w:r>
      <w:r>
        <w:rPr>
          <w:color w:val="231F20"/>
          <w:spacing w:val="-4"/>
          <w:w w:val="105"/>
        </w:rPr>
        <w:t>mu- </w:t>
      </w:r>
      <w:r>
        <w:rPr>
          <w:color w:val="231F20"/>
          <w:w w:val="105"/>
        </w:rPr>
        <w:t>nicipal</w:t>
      </w:r>
      <w:r>
        <w:rPr>
          <w:color w:val="231F20"/>
          <w:spacing w:val="-19"/>
          <w:w w:val="105"/>
        </w:rPr>
        <w:t> </w:t>
      </w:r>
      <w:r>
        <w:rPr>
          <w:color w:val="231F20"/>
          <w:w w:val="105"/>
        </w:rPr>
        <w:t>se</w:t>
      </w:r>
      <w:r>
        <w:rPr>
          <w:color w:val="231F20"/>
          <w:spacing w:val="-19"/>
          <w:w w:val="105"/>
        </w:rPr>
        <w:t> </w:t>
      </w:r>
      <w:r>
        <w:rPr>
          <w:color w:val="231F20"/>
          <w:w w:val="105"/>
        </w:rPr>
        <w:t>mantuvo</w:t>
      </w:r>
      <w:r>
        <w:rPr>
          <w:color w:val="231F20"/>
          <w:spacing w:val="-19"/>
          <w:w w:val="105"/>
        </w:rPr>
        <w:t> </w:t>
      </w:r>
      <w:r>
        <w:rPr>
          <w:color w:val="231F20"/>
          <w:w w:val="105"/>
        </w:rPr>
        <w:t>en</w:t>
      </w:r>
      <w:r>
        <w:rPr>
          <w:color w:val="231F20"/>
          <w:spacing w:val="-19"/>
          <w:w w:val="105"/>
        </w:rPr>
        <w:t> </w:t>
      </w:r>
      <w:r>
        <w:rPr>
          <w:color w:val="231F20"/>
          <w:w w:val="105"/>
        </w:rPr>
        <w:t>su</w:t>
      </w:r>
      <w:r>
        <w:rPr>
          <w:color w:val="231F20"/>
          <w:spacing w:val="-19"/>
          <w:w w:val="105"/>
        </w:rPr>
        <w:t> </w:t>
      </w:r>
      <w:r>
        <w:rPr>
          <w:color w:val="231F20"/>
          <w:w w:val="105"/>
        </w:rPr>
        <w:t>cargo</w:t>
      </w:r>
      <w:r>
        <w:rPr>
          <w:color w:val="231F20"/>
          <w:spacing w:val="-19"/>
          <w:w w:val="105"/>
        </w:rPr>
        <w:t> </w:t>
      </w:r>
      <w:r>
        <w:rPr>
          <w:color w:val="231F20"/>
          <w:w w:val="105"/>
        </w:rPr>
        <w:t>al</w:t>
      </w:r>
      <w:r>
        <w:rPr>
          <w:color w:val="231F20"/>
          <w:spacing w:val="-19"/>
          <w:w w:val="105"/>
        </w:rPr>
        <w:t> </w:t>
      </w:r>
      <w:r>
        <w:rPr>
          <w:color w:val="231F20"/>
          <w:w w:val="105"/>
        </w:rPr>
        <w:t>pasar</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color w:val="231F20"/>
          <w:w w:val="105"/>
        </w:rPr>
        <w:t>administración</w:t>
      </w:r>
      <w:r>
        <w:rPr>
          <w:color w:val="231F20"/>
          <w:spacing w:val="-19"/>
          <w:w w:val="105"/>
        </w:rPr>
        <w:t> </w:t>
      </w:r>
      <w:r>
        <w:rPr>
          <w:color w:val="231F20"/>
          <w:w w:val="105"/>
        </w:rPr>
        <w:t>a</w:t>
      </w:r>
      <w:r>
        <w:rPr>
          <w:color w:val="231F20"/>
          <w:spacing w:val="-19"/>
          <w:w w:val="105"/>
        </w:rPr>
        <w:t> </w:t>
      </w:r>
      <w:r>
        <w:rPr>
          <w:color w:val="231F20"/>
          <w:w w:val="105"/>
        </w:rPr>
        <w:t>otra,</w:t>
      </w:r>
      <w:r>
        <w:rPr>
          <w:color w:val="231F20"/>
          <w:spacing w:val="-19"/>
          <w:w w:val="105"/>
        </w:rPr>
        <w:t> </w:t>
      </w:r>
      <w:r>
        <w:rPr>
          <w:color w:val="231F20"/>
          <w:spacing w:val="-3"/>
          <w:w w:val="105"/>
        </w:rPr>
        <w:t>lo</w:t>
      </w:r>
      <w:r>
        <w:rPr>
          <w:color w:val="231F20"/>
          <w:spacing w:val="-19"/>
          <w:w w:val="105"/>
        </w:rPr>
        <w:t> </w:t>
      </w:r>
      <w:r>
        <w:rPr>
          <w:color w:val="231F20"/>
          <w:w w:val="105"/>
        </w:rPr>
        <w:t>cual</w:t>
      </w:r>
      <w:r>
        <w:rPr>
          <w:color w:val="231F20"/>
          <w:spacing w:val="-19"/>
          <w:w w:val="105"/>
        </w:rPr>
        <w:t> </w:t>
      </w:r>
      <w:r>
        <w:rPr>
          <w:color w:val="231F20"/>
          <w:w w:val="105"/>
        </w:rPr>
        <w:t>se</w:t>
      </w:r>
      <w:r>
        <w:rPr>
          <w:color w:val="231F20"/>
          <w:spacing w:val="-19"/>
          <w:w w:val="105"/>
        </w:rPr>
        <w:t> </w:t>
      </w:r>
      <w:r>
        <w:rPr>
          <w:color w:val="231F20"/>
          <w:spacing w:val="-3"/>
          <w:w w:val="105"/>
        </w:rPr>
        <w:t>vuelve</w:t>
      </w:r>
      <w:r>
        <w:rPr>
          <w:color w:val="231F20"/>
          <w:spacing w:val="-19"/>
          <w:w w:val="105"/>
        </w:rPr>
        <w:t> </w:t>
      </w:r>
      <w:r>
        <w:rPr>
          <w:color w:val="231F20"/>
          <w:w w:val="105"/>
        </w:rPr>
        <w:t>un obstáculo</w:t>
      </w:r>
      <w:r>
        <w:rPr>
          <w:color w:val="231F20"/>
          <w:spacing w:val="-21"/>
          <w:w w:val="105"/>
        </w:rPr>
        <w:t> </w:t>
      </w:r>
      <w:r>
        <w:rPr>
          <w:color w:val="231F20"/>
          <w:w w:val="105"/>
        </w:rPr>
        <w:t>para</w:t>
      </w:r>
      <w:r>
        <w:rPr>
          <w:color w:val="231F20"/>
          <w:spacing w:val="-21"/>
          <w:w w:val="105"/>
        </w:rPr>
        <w:t> </w:t>
      </w:r>
      <w:r>
        <w:rPr>
          <w:color w:val="231F20"/>
          <w:w w:val="105"/>
        </w:rPr>
        <w:t>la</w:t>
      </w:r>
      <w:r>
        <w:rPr>
          <w:color w:val="231F20"/>
          <w:spacing w:val="-21"/>
          <w:w w:val="105"/>
        </w:rPr>
        <w:t> </w:t>
      </w:r>
      <w:r>
        <w:rPr>
          <w:color w:val="231F20"/>
          <w:spacing w:val="-3"/>
          <w:w w:val="105"/>
        </w:rPr>
        <w:t>continuidad</w:t>
      </w:r>
      <w:r>
        <w:rPr>
          <w:color w:val="231F20"/>
          <w:spacing w:val="-21"/>
          <w:w w:val="105"/>
        </w:rPr>
        <w:t> </w:t>
      </w:r>
      <w:r>
        <w:rPr>
          <w:color w:val="231F20"/>
          <w:w w:val="105"/>
        </w:rPr>
        <w:t>de</w:t>
      </w:r>
      <w:r>
        <w:rPr>
          <w:color w:val="231F20"/>
          <w:spacing w:val="-21"/>
          <w:w w:val="105"/>
        </w:rPr>
        <w:t> </w:t>
      </w:r>
      <w:r>
        <w:rPr>
          <w:color w:val="231F20"/>
          <w:spacing w:val="-3"/>
          <w:w w:val="105"/>
        </w:rPr>
        <w:t>los</w:t>
      </w:r>
      <w:r>
        <w:rPr>
          <w:color w:val="231F20"/>
          <w:spacing w:val="-21"/>
          <w:w w:val="105"/>
        </w:rPr>
        <w:t> </w:t>
      </w:r>
      <w:r>
        <w:rPr>
          <w:color w:val="231F20"/>
          <w:w w:val="105"/>
        </w:rPr>
        <w:t>programas</w:t>
      </w:r>
      <w:r>
        <w:rPr>
          <w:color w:val="231F20"/>
          <w:spacing w:val="-21"/>
          <w:w w:val="105"/>
        </w:rPr>
        <w:t> </w:t>
      </w:r>
      <w:r>
        <w:rPr>
          <w:color w:val="231F20"/>
          <w:w w:val="105"/>
        </w:rPr>
        <w:t>y</w:t>
      </w:r>
      <w:r>
        <w:rPr>
          <w:color w:val="231F20"/>
          <w:spacing w:val="-21"/>
          <w:w w:val="105"/>
        </w:rPr>
        <w:t> </w:t>
      </w:r>
      <w:r>
        <w:rPr>
          <w:color w:val="231F20"/>
          <w:w w:val="105"/>
        </w:rPr>
        <w:t>políticas</w:t>
      </w:r>
      <w:r>
        <w:rPr>
          <w:color w:val="231F20"/>
          <w:spacing w:val="-21"/>
          <w:w w:val="105"/>
        </w:rPr>
        <w:t> </w:t>
      </w:r>
      <w:r>
        <w:rPr>
          <w:color w:val="231F20"/>
          <w:w w:val="105"/>
        </w:rPr>
        <w:t>de</w:t>
      </w:r>
      <w:r>
        <w:rPr>
          <w:color w:val="231F20"/>
          <w:spacing w:val="-21"/>
          <w:w w:val="105"/>
        </w:rPr>
        <w:t> </w:t>
      </w:r>
      <w:r>
        <w:rPr>
          <w:color w:val="231F20"/>
          <w:spacing w:val="-4"/>
          <w:w w:val="105"/>
        </w:rPr>
        <w:t>gobierno</w:t>
      </w:r>
      <w:r>
        <w:rPr>
          <w:color w:val="231F20"/>
          <w:spacing w:val="-21"/>
          <w:w w:val="105"/>
        </w:rPr>
        <w:t> </w:t>
      </w:r>
      <w:r>
        <w:rPr>
          <w:color w:val="231F20"/>
          <w:w w:val="105"/>
        </w:rPr>
        <w:t>en</w:t>
      </w:r>
      <w:r>
        <w:rPr>
          <w:color w:val="231F20"/>
          <w:spacing w:val="-21"/>
          <w:w w:val="105"/>
        </w:rPr>
        <w:t> </w:t>
      </w:r>
      <w:r>
        <w:rPr>
          <w:color w:val="231F20"/>
          <w:w w:val="105"/>
        </w:rPr>
        <w:t>Huixquilucan.</w:t>
      </w:r>
    </w:p>
    <w:p>
      <w:pPr>
        <w:pStyle w:val="BodyText"/>
        <w:spacing w:before="1"/>
        <w:rPr>
          <w:sz w:val="26"/>
        </w:rPr>
      </w:pPr>
    </w:p>
    <w:p>
      <w:pPr>
        <w:pStyle w:val="BodyText"/>
        <w:spacing w:line="285" w:lineRule="auto"/>
        <w:ind w:left="110" w:right="128"/>
        <w:jc w:val="both"/>
      </w:pPr>
      <w:r>
        <w:rPr>
          <w:color w:val="231F20"/>
        </w:rPr>
        <w:t>Al interior de la administración 2003-2006 se observó una menor cantidad en los cam- bios de los titulares respecto de las modificaciones que se registraron en las depen- dencias. Rumbo al último año de este gobierno se registraron 9 (75%) cambios en las dependencias y 10 (83%) sustituciones en sus titulares (anexo   2).</w:t>
      </w:r>
    </w:p>
    <w:p>
      <w:pPr>
        <w:pStyle w:val="BodyText"/>
        <w:spacing w:before="1"/>
        <w:rPr>
          <w:sz w:val="26"/>
        </w:rPr>
      </w:pPr>
    </w:p>
    <w:p>
      <w:pPr>
        <w:pStyle w:val="BodyText"/>
        <w:spacing w:line="285" w:lineRule="auto"/>
        <w:ind w:left="110" w:right="128"/>
        <w:jc w:val="both"/>
      </w:pPr>
      <w:r>
        <w:rPr>
          <w:color w:val="231F20"/>
          <w:w w:val="105"/>
        </w:rPr>
        <w:t>En el siguiente periodo, 2006-2009, fue mayor el número de directores que cambia- ron al frente de las dependencias: 5 (42%) de los titulares fueron removidos de sus cargos (anexo 3).</w:t>
      </w:r>
    </w:p>
    <w:p>
      <w:pPr>
        <w:pStyle w:val="BodyText"/>
        <w:spacing w:before="1"/>
        <w:rPr>
          <w:sz w:val="26"/>
        </w:rPr>
      </w:pPr>
    </w:p>
    <w:p>
      <w:pPr>
        <w:pStyle w:val="BodyText"/>
        <w:spacing w:line="285" w:lineRule="auto"/>
        <w:ind w:left="110" w:right="127"/>
        <w:jc w:val="both"/>
      </w:pPr>
      <w:r>
        <w:rPr>
          <w:color w:val="231F20"/>
          <w:spacing w:val="-3"/>
          <w:w w:val="105"/>
        </w:rPr>
        <w:t>Tras</w:t>
      </w:r>
      <w:r>
        <w:rPr>
          <w:color w:val="231F20"/>
          <w:spacing w:val="-12"/>
          <w:w w:val="105"/>
        </w:rPr>
        <w:t> </w:t>
      </w:r>
      <w:r>
        <w:rPr>
          <w:color w:val="231F20"/>
          <w:w w:val="105"/>
        </w:rPr>
        <w:t>observar</w:t>
      </w:r>
      <w:r>
        <w:rPr>
          <w:color w:val="231F20"/>
          <w:spacing w:val="-12"/>
          <w:w w:val="105"/>
        </w:rPr>
        <w:t> </w:t>
      </w:r>
      <w:r>
        <w:rPr>
          <w:color w:val="231F20"/>
          <w:w w:val="105"/>
        </w:rPr>
        <w:t>la</w:t>
      </w:r>
      <w:r>
        <w:rPr>
          <w:color w:val="231F20"/>
          <w:spacing w:val="-12"/>
          <w:w w:val="105"/>
        </w:rPr>
        <w:t> </w:t>
      </w:r>
      <w:r>
        <w:rPr>
          <w:color w:val="231F20"/>
          <w:w w:val="105"/>
        </w:rPr>
        <w:t>estabilidad</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APM</w:t>
      </w:r>
      <w:r>
        <w:rPr>
          <w:color w:val="231F20"/>
          <w:spacing w:val="-12"/>
          <w:w w:val="105"/>
        </w:rPr>
        <w:t> </w:t>
      </w:r>
      <w:r>
        <w:rPr>
          <w:color w:val="231F20"/>
          <w:w w:val="105"/>
        </w:rPr>
        <w:t>centralizada</w:t>
      </w:r>
      <w:r>
        <w:rPr>
          <w:color w:val="231F20"/>
          <w:spacing w:val="-12"/>
          <w:w w:val="105"/>
        </w:rPr>
        <w:t> </w:t>
      </w:r>
      <w:r>
        <w:rPr>
          <w:color w:val="231F20"/>
          <w:w w:val="105"/>
        </w:rPr>
        <w:t>entre</w:t>
      </w:r>
      <w:r>
        <w:rPr>
          <w:color w:val="231F20"/>
          <w:spacing w:val="-12"/>
          <w:w w:val="105"/>
        </w:rPr>
        <w:t> </w:t>
      </w:r>
      <w:r>
        <w:rPr>
          <w:color w:val="231F20"/>
          <w:w w:val="105"/>
        </w:rPr>
        <w:t>ambas</w:t>
      </w:r>
      <w:r>
        <w:rPr>
          <w:color w:val="231F20"/>
          <w:spacing w:val="-12"/>
          <w:w w:val="105"/>
        </w:rPr>
        <w:t> </w:t>
      </w:r>
      <w:r>
        <w:rPr>
          <w:color w:val="231F20"/>
          <w:w w:val="105"/>
        </w:rPr>
        <w:t>gestiones</w:t>
      </w:r>
      <w:r>
        <w:rPr>
          <w:color w:val="231F20"/>
          <w:spacing w:val="-12"/>
          <w:w w:val="105"/>
        </w:rPr>
        <w:t> </w:t>
      </w:r>
      <w:r>
        <w:rPr>
          <w:color w:val="231F20"/>
          <w:w w:val="105"/>
        </w:rPr>
        <w:t>municipales se</w:t>
      </w:r>
      <w:r>
        <w:rPr>
          <w:color w:val="231F20"/>
          <w:spacing w:val="-8"/>
          <w:w w:val="105"/>
        </w:rPr>
        <w:t> </w:t>
      </w:r>
      <w:r>
        <w:rPr>
          <w:color w:val="231F20"/>
          <w:w w:val="105"/>
        </w:rPr>
        <w:t>observaron</w:t>
      </w:r>
      <w:r>
        <w:rPr>
          <w:color w:val="231F20"/>
          <w:spacing w:val="-8"/>
          <w:w w:val="105"/>
        </w:rPr>
        <w:t> </w:t>
      </w:r>
      <w:r>
        <w:rPr>
          <w:color w:val="231F20"/>
          <w:w w:val="105"/>
        </w:rPr>
        <w:t>distintos</w:t>
      </w:r>
      <w:r>
        <w:rPr>
          <w:color w:val="231F20"/>
          <w:spacing w:val="-8"/>
          <w:w w:val="105"/>
        </w:rPr>
        <w:t> </w:t>
      </w:r>
      <w:r>
        <w:rPr>
          <w:color w:val="231F20"/>
          <w:w w:val="105"/>
        </w:rPr>
        <w:t>comportamientos.</w:t>
      </w:r>
      <w:r>
        <w:rPr>
          <w:color w:val="231F20"/>
          <w:spacing w:val="-8"/>
          <w:w w:val="105"/>
        </w:rPr>
        <w:t> </w:t>
      </w:r>
      <w:r>
        <w:rPr>
          <w:color w:val="231F20"/>
          <w:w w:val="105"/>
        </w:rPr>
        <w:t>La</w:t>
      </w:r>
      <w:r>
        <w:rPr>
          <w:color w:val="231F20"/>
          <w:spacing w:val="-8"/>
          <w:w w:val="105"/>
        </w:rPr>
        <w:t> </w:t>
      </w:r>
      <w:r>
        <w:rPr>
          <w:color w:val="231F20"/>
          <w:w w:val="105"/>
        </w:rPr>
        <w:t>reducción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dependencias</w:t>
      </w:r>
      <w:r>
        <w:rPr>
          <w:color w:val="231F20"/>
          <w:spacing w:val="-8"/>
          <w:w w:val="105"/>
        </w:rPr>
        <w:t> </w:t>
      </w:r>
      <w:r>
        <w:rPr>
          <w:color w:val="231F20"/>
          <w:w w:val="105"/>
        </w:rPr>
        <w:t>durante</w:t>
      </w:r>
      <w:r>
        <w:rPr>
          <w:color w:val="231F20"/>
          <w:spacing w:val="-8"/>
          <w:w w:val="105"/>
        </w:rPr>
        <w:t> </w:t>
      </w:r>
      <w:r>
        <w:rPr>
          <w:color w:val="231F20"/>
          <w:w w:val="105"/>
        </w:rPr>
        <w:t>el</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line="285" w:lineRule="auto" w:before="36"/>
        <w:ind w:left="110" w:right="107"/>
        <w:jc w:val="both"/>
      </w:pPr>
      <w:r>
        <w:rPr>
          <w:color w:val="231F20"/>
          <w:w w:val="105"/>
        </w:rPr>
        <w:t>periodo</w:t>
      </w:r>
      <w:r>
        <w:rPr>
          <w:color w:val="231F20"/>
          <w:spacing w:val="-6"/>
          <w:w w:val="105"/>
        </w:rPr>
        <w:t> </w:t>
      </w:r>
      <w:r>
        <w:rPr>
          <w:color w:val="231F20"/>
          <w:w w:val="105"/>
        </w:rPr>
        <w:t>2003-2006</w:t>
      </w:r>
      <w:r>
        <w:rPr>
          <w:color w:val="231F20"/>
          <w:spacing w:val="-6"/>
          <w:w w:val="105"/>
        </w:rPr>
        <w:t> </w:t>
      </w:r>
      <w:r>
        <w:rPr>
          <w:color w:val="231F20"/>
          <w:w w:val="105"/>
        </w:rPr>
        <w:t>reforzó</w:t>
      </w:r>
      <w:r>
        <w:rPr>
          <w:color w:val="231F20"/>
          <w:spacing w:val="-6"/>
          <w:w w:val="105"/>
        </w:rPr>
        <w:t> </w:t>
      </w:r>
      <w:r>
        <w:rPr>
          <w:color w:val="231F20"/>
          <w:w w:val="105"/>
        </w:rPr>
        <w:t>el</w:t>
      </w:r>
      <w:r>
        <w:rPr>
          <w:color w:val="231F20"/>
          <w:spacing w:val="-6"/>
          <w:w w:val="105"/>
        </w:rPr>
        <w:t> </w:t>
      </w:r>
      <w:r>
        <w:rPr>
          <w:color w:val="231F20"/>
          <w:w w:val="105"/>
        </w:rPr>
        <w:t>proceso</w:t>
      </w:r>
      <w:r>
        <w:rPr>
          <w:color w:val="231F20"/>
          <w:spacing w:val="-6"/>
          <w:w w:val="105"/>
        </w:rPr>
        <w:t> </w:t>
      </w:r>
      <w:r>
        <w:rPr>
          <w:color w:val="231F20"/>
          <w:w w:val="105"/>
        </w:rPr>
        <w:t>de</w:t>
      </w:r>
      <w:r>
        <w:rPr>
          <w:color w:val="231F20"/>
          <w:spacing w:val="-6"/>
          <w:w w:val="105"/>
        </w:rPr>
        <w:t> </w:t>
      </w:r>
      <w:r>
        <w:rPr>
          <w:color w:val="231F20"/>
          <w:w w:val="105"/>
        </w:rPr>
        <w:t>centralización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toma</w:t>
      </w:r>
      <w:r>
        <w:rPr>
          <w:color w:val="231F20"/>
          <w:spacing w:val="-6"/>
          <w:w w:val="105"/>
        </w:rPr>
        <w:t> </w:t>
      </w:r>
      <w:r>
        <w:rPr>
          <w:color w:val="231F20"/>
          <w:w w:val="105"/>
        </w:rPr>
        <w:t>de</w:t>
      </w:r>
      <w:r>
        <w:rPr>
          <w:color w:val="231F20"/>
          <w:spacing w:val="-6"/>
          <w:w w:val="105"/>
        </w:rPr>
        <w:t> </w:t>
      </w:r>
      <w:r>
        <w:rPr>
          <w:color w:val="231F20"/>
          <w:w w:val="105"/>
        </w:rPr>
        <w:t>decisiones</w:t>
      </w:r>
      <w:r>
        <w:rPr>
          <w:color w:val="231F20"/>
          <w:spacing w:val="-6"/>
          <w:w w:val="105"/>
        </w:rPr>
        <w:t> </w:t>
      </w:r>
      <w:r>
        <w:rPr>
          <w:color w:val="231F20"/>
          <w:spacing w:val="2"/>
          <w:w w:val="105"/>
        </w:rPr>
        <w:t>al</w:t>
      </w:r>
      <w:r>
        <w:rPr>
          <w:color w:val="231F20"/>
          <w:spacing w:val="-6"/>
          <w:w w:val="105"/>
        </w:rPr>
        <w:t> </w:t>
      </w:r>
      <w:r>
        <w:rPr>
          <w:color w:val="231F20"/>
          <w:w w:val="105"/>
        </w:rPr>
        <w:t>in- terior</w:t>
      </w:r>
      <w:r>
        <w:rPr>
          <w:color w:val="231F20"/>
          <w:spacing w:val="-13"/>
          <w:w w:val="105"/>
        </w:rPr>
        <w:t> </w:t>
      </w:r>
      <w:r>
        <w:rPr>
          <w:color w:val="231F20"/>
          <w:w w:val="105"/>
        </w:rPr>
        <w:t>del</w:t>
      </w:r>
      <w:r>
        <w:rPr>
          <w:color w:val="231F20"/>
          <w:spacing w:val="-13"/>
          <w:w w:val="105"/>
        </w:rPr>
        <w:t> </w:t>
      </w:r>
      <w:r>
        <w:rPr>
          <w:color w:val="231F20"/>
          <w:w w:val="105"/>
        </w:rPr>
        <w:t>gobierno</w:t>
      </w:r>
      <w:r>
        <w:rPr>
          <w:color w:val="231F20"/>
          <w:spacing w:val="-13"/>
          <w:w w:val="105"/>
        </w:rPr>
        <w:t> </w:t>
      </w:r>
      <w:r>
        <w:rPr>
          <w:color w:val="231F20"/>
          <w:w w:val="105"/>
        </w:rPr>
        <w:t>huixquiluquense.</w:t>
      </w:r>
      <w:r>
        <w:rPr>
          <w:color w:val="231F20"/>
          <w:spacing w:val="-13"/>
          <w:w w:val="105"/>
        </w:rPr>
        <w:t> </w:t>
      </w:r>
      <w:r>
        <w:rPr>
          <w:color w:val="231F20"/>
          <w:w w:val="105"/>
        </w:rPr>
        <w:t>De</w:t>
      </w:r>
      <w:r>
        <w:rPr>
          <w:color w:val="231F20"/>
          <w:spacing w:val="-13"/>
          <w:w w:val="105"/>
        </w:rPr>
        <w:t> </w:t>
      </w:r>
      <w:r>
        <w:rPr>
          <w:color w:val="231F20"/>
          <w:w w:val="105"/>
        </w:rPr>
        <w:t>esta</w:t>
      </w:r>
      <w:r>
        <w:rPr>
          <w:color w:val="231F20"/>
          <w:spacing w:val="-13"/>
          <w:w w:val="105"/>
        </w:rPr>
        <w:t> </w:t>
      </w:r>
      <w:r>
        <w:rPr>
          <w:color w:val="231F20"/>
          <w:w w:val="105"/>
        </w:rPr>
        <w:t>manera</w:t>
      </w:r>
      <w:r>
        <w:rPr>
          <w:color w:val="231F20"/>
          <w:spacing w:val="-13"/>
          <w:w w:val="105"/>
        </w:rPr>
        <w:t> </w:t>
      </w:r>
      <w:r>
        <w:rPr>
          <w:color w:val="231F20"/>
          <w:w w:val="105"/>
        </w:rPr>
        <w:t>se</w:t>
      </w:r>
      <w:r>
        <w:rPr>
          <w:color w:val="231F20"/>
          <w:spacing w:val="-13"/>
          <w:w w:val="105"/>
        </w:rPr>
        <w:t> </w:t>
      </w:r>
      <w:r>
        <w:rPr>
          <w:color w:val="231F20"/>
          <w:w w:val="105"/>
        </w:rPr>
        <w:t>desarrolló</w:t>
      </w:r>
      <w:r>
        <w:rPr>
          <w:color w:val="231F20"/>
          <w:spacing w:val="-13"/>
          <w:w w:val="105"/>
        </w:rPr>
        <w:t> </w:t>
      </w:r>
      <w:r>
        <w:rPr>
          <w:color w:val="231F20"/>
          <w:w w:val="105"/>
        </w:rPr>
        <w:t>un</w:t>
      </w:r>
      <w:r>
        <w:rPr>
          <w:color w:val="231F20"/>
          <w:spacing w:val="-13"/>
          <w:w w:val="105"/>
        </w:rPr>
        <w:t> </w:t>
      </w:r>
      <w:r>
        <w:rPr>
          <w:color w:val="231F20"/>
          <w:w w:val="105"/>
        </w:rPr>
        <w:t>mayor</w:t>
      </w:r>
      <w:r>
        <w:rPr>
          <w:color w:val="231F20"/>
          <w:spacing w:val="-13"/>
          <w:w w:val="105"/>
        </w:rPr>
        <w:t> </w:t>
      </w:r>
      <w:r>
        <w:rPr>
          <w:color w:val="231F20"/>
          <w:w w:val="105"/>
        </w:rPr>
        <w:t>número</w:t>
      </w:r>
      <w:r>
        <w:rPr>
          <w:color w:val="231F20"/>
          <w:spacing w:val="-13"/>
          <w:w w:val="105"/>
        </w:rPr>
        <w:t> </w:t>
      </w:r>
      <w:r>
        <w:rPr>
          <w:color w:val="231F20"/>
          <w:w w:val="105"/>
        </w:rPr>
        <w:t>de funciones</w:t>
      </w:r>
      <w:r>
        <w:rPr>
          <w:color w:val="231F20"/>
          <w:spacing w:val="-5"/>
          <w:w w:val="105"/>
        </w:rPr>
        <w:t> </w:t>
      </w:r>
      <w:r>
        <w:rPr>
          <w:color w:val="231F20"/>
          <w:w w:val="105"/>
        </w:rPr>
        <w:t>entre</w:t>
      </w:r>
      <w:r>
        <w:rPr>
          <w:color w:val="231F20"/>
          <w:spacing w:val="-5"/>
          <w:w w:val="105"/>
        </w:rPr>
        <w:t> </w:t>
      </w:r>
      <w:r>
        <w:rPr>
          <w:color w:val="231F20"/>
          <w:w w:val="105"/>
        </w:rPr>
        <w:t>una</w:t>
      </w:r>
      <w:r>
        <w:rPr>
          <w:color w:val="231F20"/>
          <w:spacing w:val="-5"/>
          <w:w w:val="105"/>
        </w:rPr>
        <w:t> </w:t>
      </w:r>
      <w:r>
        <w:rPr>
          <w:color w:val="231F20"/>
          <w:w w:val="105"/>
        </w:rPr>
        <w:t>menor</w:t>
      </w:r>
      <w:r>
        <w:rPr>
          <w:color w:val="231F20"/>
          <w:spacing w:val="-5"/>
          <w:w w:val="105"/>
        </w:rPr>
        <w:t> </w:t>
      </w:r>
      <w:r>
        <w:rPr>
          <w:color w:val="231F20"/>
          <w:w w:val="105"/>
        </w:rPr>
        <w:t>cantidad</w:t>
      </w:r>
      <w:r>
        <w:rPr>
          <w:color w:val="231F20"/>
          <w:spacing w:val="-5"/>
          <w:w w:val="105"/>
        </w:rPr>
        <w:t> </w:t>
      </w:r>
      <w:r>
        <w:rPr>
          <w:color w:val="231F20"/>
          <w:w w:val="105"/>
        </w:rPr>
        <w:t>de</w:t>
      </w:r>
      <w:r>
        <w:rPr>
          <w:color w:val="231F20"/>
          <w:spacing w:val="-5"/>
          <w:w w:val="105"/>
        </w:rPr>
        <w:t> </w:t>
      </w:r>
      <w:r>
        <w:rPr>
          <w:color w:val="231F20"/>
          <w:w w:val="105"/>
        </w:rPr>
        <w:t>dependencias</w:t>
      </w:r>
      <w:r>
        <w:rPr>
          <w:color w:val="231F20"/>
          <w:spacing w:val="-5"/>
          <w:w w:val="105"/>
        </w:rPr>
        <w:t> </w:t>
      </w:r>
      <w:r>
        <w:rPr>
          <w:color w:val="231F20"/>
          <w:w w:val="105"/>
        </w:rPr>
        <w:t>administrativas.</w:t>
      </w:r>
      <w:r>
        <w:rPr>
          <w:color w:val="231F20"/>
          <w:spacing w:val="-5"/>
          <w:w w:val="105"/>
        </w:rPr>
        <w:t> </w:t>
      </w:r>
      <w:r>
        <w:rPr>
          <w:color w:val="231F20"/>
          <w:w w:val="105"/>
        </w:rPr>
        <w:t>A</w:t>
      </w:r>
      <w:r>
        <w:rPr>
          <w:color w:val="231F20"/>
          <w:spacing w:val="-5"/>
          <w:w w:val="105"/>
        </w:rPr>
        <w:t> </w:t>
      </w:r>
      <w:r>
        <w:rPr>
          <w:color w:val="231F20"/>
          <w:w w:val="105"/>
        </w:rPr>
        <w:t>su</w:t>
      </w:r>
      <w:r>
        <w:rPr>
          <w:color w:val="231F20"/>
          <w:spacing w:val="-5"/>
          <w:w w:val="105"/>
        </w:rPr>
        <w:t> </w:t>
      </w:r>
      <w:r>
        <w:rPr>
          <w:color w:val="231F20"/>
          <w:w w:val="105"/>
        </w:rPr>
        <w:t>vez,</w:t>
      </w:r>
      <w:r>
        <w:rPr>
          <w:color w:val="231F20"/>
          <w:spacing w:val="-5"/>
          <w:w w:val="105"/>
        </w:rPr>
        <w:t> </w:t>
      </w:r>
      <w:r>
        <w:rPr>
          <w:color w:val="231F20"/>
          <w:w w:val="105"/>
        </w:rPr>
        <w:t>el</w:t>
      </w:r>
      <w:r>
        <w:rPr>
          <w:color w:val="231F20"/>
          <w:spacing w:val="-5"/>
          <w:w w:val="105"/>
        </w:rPr>
        <w:t> </w:t>
      </w:r>
      <w:r>
        <w:rPr>
          <w:color w:val="231F20"/>
          <w:w w:val="105"/>
        </w:rPr>
        <w:t>alto porcentaje de sustituciones entre sus titulares también fue otro elemento que </w:t>
      </w:r>
      <w:r>
        <w:rPr>
          <w:color w:val="231F20"/>
          <w:spacing w:val="-3"/>
          <w:w w:val="105"/>
        </w:rPr>
        <w:t>fomentó </w:t>
      </w:r>
      <w:r>
        <w:rPr>
          <w:color w:val="231F20"/>
          <w:w w:val="105"/>
        </w:rPr>
        <w:t>la</w:t>
      </w:r>
      <w:r>
        <w:rPr>
          <w:color w:val="231F20"/>
          <w:spacing w:val="-17"/>
          <w:w w:val="105"/>
        </w:rPr>
        <w:t> </w:t>
      </w:r>
      <w:r>
        <w:rPr>
          <w:color w:val="231F20"/>
          <w:w w:val="105"/>
        </w:rPr>
        <w:t>influencia</w:t>
      </w:r>
      <w:r>
        <w:rPr>
          <w:color w:val="231F20"/>
          <w:spacing w:val="-17"/>
          <w:w w:val="105"/>
        </w:rPr>
        <w:t> </w:t>
      </w:r>
      <w:r>
        <w:rPr>
          <w:color w:val="231F20"/>
          <w:w w:val="105"/>
        </w:rPr>
        <w:t>del</w:t>
      </w:r>
      <w:r>
        <w:rPr>
          <w:color w:val="231F20"/>
          <w:spacing w:val="-17"/>
          <w:w w:val="105"/>
        </w:rPr>
        <w:t> </w:t>
      </w:r>
      <w:r>
        <w:rPr>
          <w:color w:val="231F20"/>
          <w:w w:val="105"/>
        </w:rPr>
        <w:t>presidente</w:t>
      </w:r>
      <w:r>
        <w:rPr>
          <w:color w:val="231F20"/>
          <w:spacing w:val="-17"/>
          <w:w w:val="105"/>
        </w:rPr>
        <w:t> </w:t>
      </w:r>
      <w:r>
        <w:rPr>
          <w:color w:val="231F20"/>
          <w:w w:val="105"/>
        </w:rPr>
        <w:t>municipal</w:t>
      </w:r>
      <w:r>
        <w:rPr>
          <w:color w:val="231F20"/>
          <w:spacing w:val="-17"/>
          <w:w w:val="105"/>
        </w:rPr>
        <w:t> </w:t>
      </w:r>
      <w:r>
        <w:rPr>
          <w:color w:val="231F20"/>
          <w:w w:val="105"/>
        </w:rPr>
        <w:t>en</w:t>
      </w:r>
      <w:r>
        <w:rPr>
          <w:color w:val="231F20"/>
          <w:spacing w:val="-17"/>
          <w:w w:val="105"/>
        </w:rPr>
        <w:t> </w:t>
      </w:r>
      <w:r>
        <w:rPr>
          <w:color w:val="231F20"/>
          <w:w w:val="105"/>
        </w:rPr>
        <w:t>turno</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decisiones</w:t>
      </w:r>
      <w:r>
        <w:rPr>
          <w:color w:val="231F20"/>
          <w:spacing w:val="-17"/>
          <w:w w:val="105"/>
        </w:rPr>
        <w:t> </w:t>
      </w:r>
      <w:r>
        <w:rPr>
          <w:color w:val="231F20"/>
          <w:w w:val="105"/>
        </w:rPr>
        <w:t>y</w:t>
      </w:r>
      <w:r>
        <w:rPr>
          <w:color w:val="231F20"/>
          <w:spacing w:val="-17"/>
          <w:w w:val="105"/>
        </w:rPr>
        <w:t> </w:t>
      </w:r>
      <w:r>
        <w:rPr>
          <w:color w:val="231F20"/>
          <w:w w:val="105"/>
        </w:rPr>
        <w:t>acciones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direc- tores</w:t>
      </w:r>
      <w:r>
        <w:rPr>
          <w:color w:val="231F20"/>
          <w:spacing w:val="-9"/>
          <w:w w:val="105"/>
        </w:rPr>
        <w:t> </w:t>
      </w:r>
      <w:r>
        <w:rPr>
          <w:color w:val="231F20"/>
          <w:w w:val="105"/>
        </w:rPr>
        <w:t>de</w:t>
      </w:r>
      <w:r>
        <w:rPr>
          <w:color w:val="231F20"/>
          <w:spacing w:val="-9"/>
          <w:w w:val="105"/>
        </w:rPr>
        <w:t> </w:t>
      </w:r>
      <w:r>
        <w:rPr>
          <w:color w:val="231F20"/>
          <w:w w:val="105"/>
        </w:rPr>
        <w:t>área;</w:t>
      </w:r>
      <w:r>
        <w:rPr>
          <w:color w:val="231F20"/>
          <w:spacing w:val="-9"/>
          <w:w w:val="105"/>
        </w:rPr>
        <w:t> </w:t>
      </w:r>
      <w:r>
        <w:rPr>
          <w:color w:val="231F20"/>
          <w:w w:val="105"/>
        </w:rPr>
        <w:t>éstos</w:t>
      </w:r>
      <w:r>
        <w:rPr>
          <w:color w:val="231F20"/>
          <w:spacing w:val="-9"/>
          <w:w w:val="105"/>
        </w:rPr>
        <w:t> </w:t>
      </w:r>
      <w:r>
        <w:rPr>
          <w:color w:val="231F20"/>
          <w:w w:val="105"/>
        </w:rPr>
        <w:t>se</w:t>
      </w:r>
      <w:r>
        <w:rPr>
          <w:color w:val="231F20"/>
          <w:spacing w:val="-9"/>
          <w:w w:val="105"/>
        </w:rPr>
        <w:t> </w:t>
      </w:r>
      <w:r>
        <w:rPr>
          <w:color w:val="231F20"/>
          <w:w w:val="105"/>
        </w:rPr>
        <w:t>volvieron</w:t>
      </w:r>
      <w:r>
        <w:rPr>
          <w:color w:val="231F20"/>
          <w:spacing w:val="-9"/>
          <w:w w:val="105"/>
        </w:rPr>
        <w:t> </w:t>
      </w:r>
      <w:r>
        <w:rPr>
          <w:color w:val="231F20"/>
          <w:w w:val="105"/>
        </w:rPr>
        <w:t>agentes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preferencias</w:t>
      </w:r>
      <w:r>
        <w:rPr>
          <w:color w:val="231F20"/>
          <w:spacing w:val="-9"/>
          <w:w w:val="105"/>
        </w:rPr>
        <w:t> </w:t>
      </w:r>
      <w:r>
        <w:rPr>
          <w:color w:val="231F20"/>
          <w:w w:val="105"/>
        </w:rPr>
        <w:t>del</w:t>
      </w:r>
      <w:r>
        <w:rPr>
          <w:color w:val="231F20"/>
          <w:spacing w:val="-9"/>
          <w:w w:val="105"/>
        </w:rPr>
        <w:t> </w:t>
      </w:r>
      <w:r>
        <w:rPr>
          <w:color w:val="231F20"/>
          <w:w w:val="105"/>
        </w:rPr>
        <w:t>primero,</w:t>
      </w:r>
      <w:r>
        <w:rPr>
          <w:color w:val="231F20"/>
          <w:spacing w:val="-9"/>
          <w:w w:val="105"/>
        </w:rPr>
        <w:t> </w:t>
      </w:r>
      <w:r>
        <w:rPr>
          <w:color w:val="231F20"/>
          <w:w w:val="105"/>
        </w:rPr>
        <w:t>por</w:t>
      </w:r>
      <w:r>
        <w:rPr>
          <w:color w:val="231F20"/>
          <w:spacing w:val="-9"/>
          <w:w w:val="105"/>
        </w:rPr>
        <w:t> </w:t>
      </w:r>
      <w:r>
        <w:rPr>
          <w:color w:val="231F20"/>
          <w:w w:val="105"/>
        </w:rPr>
        <w:t>encima</w:t>
      </w:r>
      <w:r>
        <w:rPr>
          <w:color w:val="231F20"/>
          <w:spacing w:val="-9"/>
          <w:w w:val="105"/>
        </w:rPr>
        <w:t> </w:t>
      </w:r>
      <w:r>
        <w:rPr>
          <w:color w:val="231F20"/>
          <w:w w:val="105"/>
        </w:rPr>
        <w:t>de los</w:t>
      </w:r>
      <w:r>
        <w:rPr>
          <w:color w:val="231F20"/>
          <w:spacing w:val="-15"/>
          <w:w w:val="105"/>
        </w:rPr>
        <w:t> </w:t>
      </w:r>
      <w:r>
        <w:rPr>
          <w:color w:val="231F20"/>
          <w:w w:val="105"/>
        </w:rPr>
        <w:t>intereses</w:t>
      </w:r>
      <w:r>
        <w:rPr>
          <w:color w:val="231F20"/>
          <w:spacing w:val="-15"/>
          <w:w w:val="105"/>
        </w:rPr>
        <w:t> </w:t>
      </w:r>
      <w:r>
        <w:rPr>
          <w:color w:val="231F20"/>
          <w:w w:val="105"/>
        </w:rPr>
        <w:t>y</w:t>
      </w:r>
      <w:r>
        <w:rPr>
          <w:color w:val="231F20"/>
          <w:spacing w:val="-15"/>
          <w:w w:val="105"/>
        </w:rPr>
        <w:t> </w:t>
      </w:r>
      <w:r>
        <w:rPr>
          <w:color w:val="231F20"/>
          <w:w w:val="105"/>
        </w:rPr>
        <w:t>demandas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habitantes</w:t>
      </w:r>
      <w:r>
        <w:rPr>
          <w:color w:val="231F20"/>
          <w:spacing w:val="-15"/>
          <w:w w:val="105"/>
        </w:rPr>
        <w:t> </w:t>
      </w:r>
      <w:r>
        <w:rPr>
          <w:color w:val="231F20"/>
          <w:w w:val="105"/>
        </w:rPr>
        <w:t>del</w:t>
      </w:r>
      <w:r>
        <w:rPr>
          <w:color w:val="231F20"/>
          <w:spacing w:val="-15"/>
          <w:w w:val="105"/>
        </w:rPr>
        <w:t> </w:t>
      </w:r>
      <w:r>
        <w:rPr>
          <w:color w:val="231F20"/>
          <w:w w:val="105"/>
        </w:rPr>
        <w:t>municipio.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última</w:t>
      </w:r>
      <w:r>
        <w:rPr>
          <w:color w:val="231F20"/>
          <w:spacing w:val="-10"/>
          <w:w w:val="105"/>
        </w:rPr>
        <w:t> </w:t>
      </w:r>
      <w:r>
        <w:rPr>
          <w:color w:val="231F20"/>
          <w:w w:val="105"/>
        </w:rPr>
        <w:t>gestión</w:t>
      </w:r>
      <w:r>
        <w:rPr>
          <w:color w:val="231F20"/>
          <w:spacing w:val="-10"/>
          <w:w w:val="105"/>
        </w:rPr>
        <w:t> </w:t>
      </w:r>
      <w:r>
        <w:rPr>
          <w:color w:val="231F20"/>
          <w:w w:val="105"/>
        </w:rPr>
        <w:t>abordada</w:t>
      </w:r>
      <w:r>
        <w:rPr>
          <w:color w:val="231F20"/>
          <w:spacing w:val="-10"/>
          <w:w w:val="105"/>
        </w:rPr>
        <w:t> </w:t>
      </w:r>
      <w:r>
        <w:rPr>
          <w:color w:val="231F20"/>
          <w:w w:val="105"/>
        </w:rPr>
        <w:t>parecería</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bajo</w:t>
      </w:r>
      <w:r>
        <w:rPr>
          <w:color w:val="231F20"/>
          <w:spacing w:val="-10"/>
          <w:w w:val="105"/>
        </w:rPr>
        <w:t> </w:t>
      </w:r>
      <w:r>
        <w:rPr>
          <w:color w:val="231F20"/>
          <w:w w:val="105"/>
        </w:rPr>
        <w:t>porcentaje</w:t>
      </w:r>
      <w:r>
        <w:rPr>
          <w:color w:val="231F20"/>
          <w:spacing w:val="-10"/>
          <w:w w:val="105"/>
        </w:rPr>
        <w:t> </w:t>
      </w:r>
      <w:r>
        <w:rPr>
          <w:color w:val="231F20"/>
          <w:w w:val="105"/>
        </w:rPr>
        <w:t>de</w:t>
      </w:r>
      <w:r>
        <w:rPr>
          <w:color w:val="231F20"/>
          <w:spacing w:val="-10"/>
          <w:w w:val="105"/>
        </w:rPr>
        <w:t> </w:t>
      </w:r>
      <w:r>
        <w:rPr>
          <w:color w:val="231F20"/>
          <w:w w:val="105"/>
        </w:rPr>
        <w:t>cambios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estruc- </w:t>
      </w:r>
      <w:r>
        <w:rPr>
          <w:color w:val="231F20"/>
          <w:spacing w:val="2"/>
          <w:w w:val="105"/>
        </w:rPr>
        <w:t>tura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APM</w:t>
      </w:r>
      <w:r>
        <w:rPr>
          <w:color w:val="231F20"/>
          <w:spacing w:val="-18"/>
          <w:w w:val="105"/>
        </w:rPr>
        <w:t> </w:t>
      </w:r>
      <w:r>
        <w:rPr>
          <w:color w:val="231F20"/>
          <w:w w:val="105"/>
        </w:rPr>
        <w:t>ha</w:t>
      </w:r>
      <w:r>
        <w:rPr>
          <w:color w:val="231F20"/>
          <w:spacing w:val="-18"/>
          <w:w w:val="105"/>
        </w:rPr>
        <w:t> </w:t>
      </w:r>
      <w:r>
        <w:rPr>
          <w:color w:val="231F20"/>
          <w:w w:val="105"/>
        </w:rPr>
        <w:t>fomentado</w:t>
      </w:r>
      <w:r>
        <w:rPr>
          <w:color w:val="231F20"/>
          <w:spacing w:val="-18"/>
          <w:w w:val="105"/>
        </w:rPr>
        <w:t> </w:t>
      </w:r>
      <w:r>
        <w:rPr>
          <w:color w:val="231F20"/>
          <w:w w:val="105"/>
        </w:rPr>
        <w:t>mayor</w:t>
      </w:r>
      <w:r>
        <w:rPr>
          <w:color w:val="231F20"/>
          <w:spacing w:val="-18"/>
          <w:w w:val="105"/>
        </w:rPr>
        <w:t> </w:t>
      </w:r>
      <w:r>
        <w:rPr>
          <w:color w:val="231F20"/>
          <w:w w:val="105"/>
        </w:rPr>
        <w:t>estabilidad</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acciones</w:t>
      </w:r>
      <w:r>
        <w:rPr>
          <w:color w:val="231F20"/>
          <w:spacing w:val="-18"/>
          <w:w w:val="105"/>
        </w:rPr>
        <w:t> </w:t>
      </w:r>
      <w:r>
        <w:rPr>
          <w:color w:val="231F20"/>
          <w:w w:val="105"/>
        </w:rPr>
        <w:t>de</w:t>
      </w:r>
      <w:r>
        <w:rPr>
          <w:color w:val="231F20"/>
          <w:spacing w:val="-18"/>
          <w:w w:val="105"/>
        </w:rPr>
        <w:t> </w:t>
      </w:r>
      <w:r>
        <w:rPr>
          <w:color w:val="231F20"/>
          <w:spacing w:val="-3"/>
          <w:w w:val="105"/>
        </w:rPr>
        <w:t>gobierno.</w:t>
      </w:r>
      <w:r>
        <w:rPr>
          <w:color w:val="231F20"/>
          <w:spacing w:val="-18"/>
          <w:w w:val="105"/>
        </w:rPr>
        <w:t> </w:t>
      </w:r>
      <w:r>
        <w:rPr>
          <w:color w:val="231F20"/>
          <w:w w:val="105"/>
        </w:rPr>
        <w:t>Sin</w:t>
      </w:r>
      <w:r>
        <w:rPr>
          <w:color w:val="231F20"/>
          <w:spacing w:val="-18"/>
          <w:w w:val="105"/>
        </w:rPr>
        <w:t> </w:t>
      </w:r>
      <w:r>
        <w:rPr>
          <w:color w:val="231F20"/>
          <w:w w:val="105"/>
        </w:rPr>
        <w:t>embar- </w:t>
      </w:r>
      <w:r>
        <w:rPr>
          <w:color w:val="231F20"/>
          <w:spacing w:val="-3"/>
          <w:w w:val="105"/>
        </w:rPr>
        <w:t>go,</w:t>
      </w:r>
      <w:r>
        <w:rPr>
          <w:color w:val="231F20"/>
          <w:spacing w:val="-20"/>
          <w:w w:val="105"/>
        </w:rPr>
        <w:t> </w:t>
      </w:r>
      <w:r>
        <w:rPr>
          <w:color w:val="231F20"/>
          <w:w w:val="105"/>
        </w:rPr>
        <w:t>la</w:t>
      </w:r>
      <w:r>
        <w:rPr>
          <w:color w:val="231F20"/>
          <w:spacing w:val="-20"/>
          <w:w w:val="105"/>
        </w:rPr>
        <w:t> </w:t>
      </w:r>
      <w:r>
        <w:rPr>
          <w:color w:val="231F20"/>
          <w:spacing w:val="-3"/>
          <w:w w:val="105"/>
        </w:rPr>
        <w:t>proporción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cambios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titulares</w:t>
      </w:r>
      <w:r>
        <w:rPr>
          <w:color w:val="231F20"/>
          <w:spacing w:val="-20"/>
          <w:w w:val="105"/>
        </w:rPr>
        <w:t> </w:t>
      </w:r>
      <w:r>
        <w:rPr>
          <w:color w:val="231F20"/>
          <w:w w:val="105"/>
        </w:rPr>
        <w:t>siguió</w:t>
      </w:r>
      <w:r>
        <w:rPr>
          <w:color w:val="231F20"/>
          <w:spacing w:val="-20"/>
          <w:w w:val="105"/>
        </w:rPr>
        <w:t> </w:t>
      </w:r>
      <w:r>
        <w:rPr>
          <w:color w:val="231F20"/>
          <w:w w:val="105"/>
        </w:rPr>
        <w:t>funcionando</w:t>
      </w:r>
      <w:r>
        <w:rPr>
          <w:color w:val="231F20"/>
          <w:spacing w:val="-20"/>
          <w:w w:val="105"/>
        </w:rPr>
        <w:t> </w:t>
      </w:r>
      <w:r>
        <w:rPr>
          <w:color w:val="231F20"/>
          <w:w w:val="105"/>
        </w:rPr>
        <w:t>como</w:t>
      </w:r>
      <w:r>
        <w:rPr>
          <w:color w:val="231F20"/>
          <w:spacing w:val="-20"/>
          <w:w w:val="105"/>
        </w:rPr>
        <w:t> </w:t>
      </w:r>
      <w:r>
        <w:rPr>
          <w:color w:val="231F20"/>
          <w:w w:val="105"/>
        </w:rPr>
        <w:t>incentivo</w:t>
      </w:r>
      <w:r>
        <w:rPr>
          <w:color w:val="231F20"/>
          <w:spacing w:val="-20"/>
          <w:w w:val="105"/>
        </w:rPr>
        <w:t> </w:t>
      </w:r>
      <w:r>
        <w:rPr>
          <w:color w:val="231F20"/>
          <w:w w:val="105"/>
        </w:rPr>
        <w:t>para fomentar</w:t>
      </w:r>
      <w:r>
        <w:rPr>
          <w:color w:val="231F20"/>
          <w:spacing w:val="-5"/>
          <w:w w:val="105"/>
        </w:rPr>
        <w:t> </w:t>
      </w:r>
      <w:r>
        <w:rPr>
          <w:color w:val="231F20"/>
          <w:w w:val="105"/>
        </w:rPr>
        <w:t>la</w:t>
      </w:r>
      <w:r>
        <w:rPr>
          <w:color w:val="231F20"/>
          <w:spacing w:val="-5"/>
          <w:w w:val="105"/>
        </w:rPr>
        <w:t> </w:t>
      </w:r>
      <w:r>
        <w:rPr>
          <w:color w:val="231F20"/>
          <w:w w:val="105"/>
        </w:rPr>
        <w:t>centralización</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decisiones</w:t>
      </w:r>
      <w:r>
        <w:rPr>
          <w:color w:val="231F20"/>
          <w:spacing w:val="-5"/>
          <w:w w:val="105"/>
        </w:rPr>
        <w:t> </w:t>
      </w:r>
      <w:r>
        <w:rPr>
          <w:color w:val="231F20"/>
          <w:w w:val="105"/>
        </w:rPr>
        <w:t>dentro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APM.</w:t>
      </w:r>
      <w:r>
        <w:rPr>
          <w:color w:val="231F20"/>
          <w:spacing w:val="-5"/>
          <w:w w:val="105"/>
        </w:rPr>
        <w:t> </w:t>
      </w:r>
      <w:r>
        <w:rPr>
          <w:color w:val="231F20"/>
          <w:w w:val="105"/>
        </w:rPr>
        <w:t>Los</w:t>
      </w:r>
      <w:r>
        <w:rPr>
          <w:color w:val="231F20"/>
          <w:spacing w:val="-5"/>
          <w:w w:val="105"/>
        </w:rPr>
        <w:t> </w:t>
      </w:r>
      <w:r>
        <w:rPr>
          <w:color w:val="231F20"/>
          <w:w w:val="105"/>
        </w:rPr>
        <w:t>titulares</w:t>
      </w:r>
      <w:r>
        <w:rPr>
          <w:color w:val="231F20"/>
          <w:spacing w:val="-5"/>
          <w:w w:val="105"/>
        </w:rPr>
        <w:t> </w:t>
      </w:r>
      <w:r>
        <w:rPr>
          <w:color w:val="231F20"/>
          <w:w w:val="105"/>
        </w:rPr>
        <w:t>de las dependencias necesariamente deben incluir los intereses y preferencias del alcalde en sus decisiones para mantenerse </w:t>
      </w:r>
      <w:r>
        <w:rPr>
          <w:color w:val="231F20"/>
          <w:spacing w:val="2"/>
          <w:w w:val="105"/>
        </w:rPr>
        <w:t>al </w:t>
      </w:r>
      <w:r>
        <w:rPr>
          <w:color w:val="231F20"/>
          <w:w w:val="105"/>
        </w:rPr>
        <w:t>frente de sus cargos, actuando así como agentes del</w:t>
      </w:r>
      <w:r>
        <w:rPr>
          <w:color w:val="231F20"/>
          <w:spacing w:val="-37"/>
          <w:w w:val="105"/>
        </w:rPr>
        <w:t> </w:t>
      </w:r>
      <w:r>
        <w:rPr>
          <w:color w:val="231F20"/>
          <w:w w:val="105"/>
        </w:rPr>
        <w:t>ejecutivo</w:t>
      </w:r>
      <w:r>
        <w:rPr>
          <w:color w:val="231F20"/>
          <w:spacing w:val="-37"/>
          <w:w w:val="105"/>
        </w:rPr>
        <w:t> </w:t>
      </w:r>
      <w:r>
        <w:rPr>
          <w:color w:val="231F20"/>
          <w:w w:val="105"/>
        </w:rPr>
        <w:t>local.</w:t>
      </w:r>
    </w:p>
    <w:p>
      <w:pPr>
        <w:pStyle w:val="BodyText"/>
        <w:spacing w:before="1"/>
        <w:rPr>
          <w:sz w:val="26"/>
        </w:rPr>
      </w:pPr>
    </w:p>
    <w:p>
      <w:pPr>
        <w:pStyle w:val="BodyText"/>
        <w:spacing w:line="285" w:lineRule="auto"/>
        <w:ind w:left="110" w:right="107"/>
        <w:jc w:val="both"/>
      </w:pPr>
      <w:r>
        <w:rPr>
          <w:color w:val="231F20"/>
          <w:w w:val="105"/>
        </w:rPr>
        <w:t>Este</w:t>
      </w:r>
      <w:r>
        <w:rPr>
          <w:color w:val="231F20"/>
          <w:spacing w:val="-11"/>
          <w:w w:val="105"/>
        </w:rPr>
        <w:t> </w:t>
      </w:r>
      <w:r>
        <w:rPr>
          <w:color w:val="231F20"/>
          <w:w w:val="105"/>
        </w:rPr>
        <w:t>esquema</w:t>
      </w:r>
      <w:r>
        <w:rPr>
          <w:color w:val="231F20"/>
          <w:spacing w:val="-11"/>
          <w:w w:val="105"/>
        </w:rPr>
        <w:t> </w:t>
      </w:r>
      <w:r>
        <w:rPr>
          <w:color w:val="231F20"/>
          <w:w w:val="105"/>
        </w:rPr>
        <w:t>de</w:t>
      </w:r>
      <w:r>
        <w:rPr>
          <w:color w:val="231F20"/>
          <w:spacing w:val="-11"/>
          <w:w w:val="105"/>
        </w:rPr>
        <w:t> </w:t>
      </w:r>
      <w:r>
        <w:rPr>
          <w:color w:val="231F20"/>
          <w:w w:val="105"/>
        </w:rPr>
        <w:t>funcionamiento</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relación</w:t>
      </w:r>
      <w:r>
        <w:rPr>
          <w:color w:val="231F20"/>
          <w:spacing w:val="-11"/>
          <w:w w:val="105"/>
        </w:rPr>
        <w:t> </w:t>
      </w:r>
      <w:r>
        <w:rPr>
          <w:color w:val="231F20"/>
          <w:w w:val="105"/>
        </w:rPr>
        <w:t>entre</w:t>
      </w:r>
      <w:r>
        <w:rPr>
          <w:color w:val="231F20"/>
          <w:spacing w:val="-11"/>
          <w:w w:val="105"/>
        </w:rPr>
        <w:t> </w:t>
      </w:r>
      <w:r>
        <w:rPr>
          <w:color w:val="231F20"/>
          <w:w w:val="105"/>
        </w:rPr>
        <w:t>el</w:t>
      </w:r>
      <w:r>
        <w:rPr>
          <w:color w:val="231F20"/>
          <w:spacing w:val="-11"/>
          <w:w w:val="105"/>
        </w:rPr>
        <w:t> </w:t>
      </w:r>
      <w:r>
        <w:rPr>
          <w:color w:val="231F20"/>
          <w:w w:val="105"/>
        </w:rPr>
        <w:t>presidente</w:t>
      </w:r>
      <w:r>
        <w:rPr>
          <w:color w:val="231F20"/>
          <w:spacing w:val="-11"/>
          <w:w w:val="105"/>
        </w:rPr>
        <w:t> </w:t>
      </w:r>
      <w:r>
        <w:rPr>
          <w:color w:val="231F20"/>
          <w:w w:val="105"/>
        </w:rPr>
        <w:t>municipal</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APM dificulta el funcionamiento de los mecanismos de rendición de cuentas que son res- ponsabilidad de las dependencias de la contraloría interna, así como de la secretaría técnica</w:t>
      </w:r>
      <w:r>
        <w:rPr>
          <w:color w:val="231F20"/>
          <w:w w:val="105"/>
          <w:position w:val="7"/>
          <w:sz w:val="13"/>
        </w:rPr>
        <w:t>32 </w:t>
      </w:r>
      <w:r>
        <w:rPr>
          <w:color w:val="231F20"/>
          <w:w w:val="105"/>
        </w:rPr>
        <w:t>del</w:t>
      </w:r>
      <w:r>
        <w:rPr>
          <w:color w:val="231F20"/>
          <w:spacing w:val="-22"/>
          <w:w w:val="105"/>
        </w:rPr>
        <w:t> </w:t>
      </w:r>
      <w:r>
        <w:rPr>
          <w:color w:val="231F20"/>
          <w:w w:val="105"/>
        </w:rPr>
        <w:t>municipio.</w:t>
      </w:r>
    </w:p>
    <w:p>
      <w:pPr>
        <w:pStyle w:val="BodyText"/>
        <w:rPr>
          <w:sz w:val="26"/>
        </w:rPr>
      </w:pPr>
    </w:p>
    <w:p>
      <w:pPr>
        <w:pStyle w:val="BodyText"/>
        <w:spacing w:line="285" w:lineRule="auto"/>
        <w:ind w:left="110" w:right="107"/>
        <w:jc w:val="both"/>
      </w:pPr>
      <w:r>
        <w:rPr>
          <w:color w:val="231F20"/>
          <w:spacing w:val="3"/>
          <w:w w:val="105"/>
        </w:rPr>
        <w:t>Al </w:t>
      </w:r>
      <w:r>
        <w:rPr>
          <w:color w:val="231F20"/>
          <w:w w:val="105"/>
        </w:rPr>
        <w:t>final, </w:t>
      </w:r>
      <w:r>
        <w:rPr>
          <w:color w:val="231F20"/>
          <w:spacing w:val="2"/>
          <w:w w:val="105"/>
        </w:rPr>
        <w:t>al mirar </w:t>
      </w:r>
      <w:r>
        <w:rPr>
          <w:color w:val="231F20"/>
          <w:w w:val="105"/>
        </w:rPr>
        <w:t>el comportamiento de las dos presidencias municipales se observa que existe poca continuidad tanto en los equipos de trabajo, como en las políticas que se implementaron, aun cuando ambos alcaldes surgieron del mismo partido. </w:t>
      </w:r>
      <w:r>
        <w:rPr>
          <w:color w:val="231F20"/>
          <w:spacing w:val="-3"/>
          <w:w w:val="105"/>
        </w:rPr>
        <w:t>También </w:t>
      </w:r>
      <w:r>
        <w:rPr>
          <w:color w:val="231F20"/>
          <w:w w:val="105"/>
        </w:rPr>
        <w:t>resalta</w:t>
      </w:r>
      <w:r>
        <w:rPr>
          <w:color w:val="231F20"/>
          <w:spacing w:val="-9"/>
          <w:w w:val="105"/>
        </w:rPr>
        <w:t> </w:t>
      </w:r>
      <w:r>
        <w:rPr>
          <w:color w:val="231F20"/>
          <w:w w:val="105"/>
        </w:rPr>
        <w:t>que</w:t>
      </w:r>
      <w:r>
        <w:rPr>
          <w:color w:val="231F20"/>
          <w:spacing w:val="-9"/>
          <w:w w:val="105"/>
        </w:rPr>
        <w:t> </w:t>
      </w:r>
      <w:r>
        <w:rPr>
          <w:color w:val="231F20"/>
          <w:w w:val="105"/>
        </w:rPr>
        <w:t>antes</w:t>
      </w:r>
      <w:r>
        <w:rPr>
          <w:color w:val="231F20"/>
          <w:spacing w:val="-9"/>
          <w:w w:val="105"/>
        </w:rPr>
        <w:t> </w:t>
      </w:r>
      <w:r>
        <w:rPr>
          <w:color w:val="231F20"/>
          <w:w w:val="105"/>
        </w:rPr>
        <w:t>de</w:t>
      </w:r>
      <w:r>
        <w:rPr>
          <w:color w:val="231F20"/>
          <w:spacing w:val="-9"/>
          <w:w w:val="105"/>
        </w:rPr>
        <w:t> </w:t>
      </w:r>
      <w:r>
        <w:rPr>
          <w:color w:val="231F20"/>
          <w:w w:val="105"/>
        </w:rPr>
        <w:t>convertirse</w:t>
      </w:r>
      <w:r>
        <w:rPr>
          <w:color w:val="231F20"/>
          <w:spacing w:val="-9"/>
          <w:w w:val="105"/>
        </w:rPr>
        <w:t> </w:t>
      </w:r>
      <w:r>
        <w:rPr>
          <w:color w:val="231F20"/>
          <w:w w:val="105"/>
        </w:rPr>
        <w:t>en</w:t>
      </w:r>
      <w:r>
        <w:rPr>
          <w:color w:val="231F20"/>
          <w:spacing w:val="-9"/>
          <w:w w:val="105"/>
        </w:rPr>
        <w:t> </w:t>
      </w:r>
      <w:r>
        <w:rPr>
          <w:color w:val="231F20"/>
          <w:w w:val="105"/>
        </w:rPr>
        <w:t>candidatos</w:t>
      </w:r>
      <w:r>
        <w:rPr>
          <w:color w:val="231F20"/>
          <w:spacing w:val="-9"/>
          <w:w w:val="105"/>
        </w:rPr>
        <w:t> </w:t>
      </w:r>
      <w:r>
        <w:rPr>
          <w:color w:val="231F20"/>
          <w:w w:val="105"/>
        </w:rPr>
        <w:t>del</w:t>
      </w:r>
      <w:r>
        <w:rPr>
          <w:color w:val="231F20"/>
          <w:spacing w:val="-9"/>
          <w:w w:val="105"/>
        </w:rPr>
        <w:t> </w:t>
      </w:r>
      <w:r>
        <w:rPr>
          <w:color w:val="231F20"/>
          <w:w w:val="105"/>
        </w:rPr>
        <w:t>PRI</w:t>
      </w:r>
      <w:r>
        <w:rPr>
          <w:color w:val="231F20"/>
          <w:spacing w:val="-9"/>
          <w:w w:val="105"/>
        </w:rPr>
        <w:t> </w:t>
      </w:r>
      <w:r>
        <w:rPr>
          <w:color w:val="231F20"/>
          <w:w w:val="105"/>
        </w:rPr>
        <w:t>y</w:t>
      </w:r>
      <w:r>
        <w:rPr>
          <w:color w:val="231F20"/>
          <w:spacing w:val="-9"/>
          <w:w w:val="105"/>
        </w:rPr>
        <w:t> </w:t>
      </w:r>
      <w:r>
        <w:rPr>
          <w:color w:val="231F20"/>
          <w:w w:val="105"/>
        </w:rPr>
        <w:t>lograr</w:t>
      </w:r>
      <w:r>
        <w:rPr>
          <w:color w:val="231F20"/>
          <w:spacing w:val="-9"/>
          <w:w w:val="105"/>
        </w:rPr>
        <w:t> </w:t>
      </w:r>
      <w:r>
        <w:rPr>
          <w:color w:val="231F20"/>
          <w:w w:val="105"/>
        </w:rPr>
        <w:t>acceder</w:t>
      </w:r>
      <w:r>
        <w:rPr>
          <w:color w:val="231F20"/>
          <w:spacing w:val="-9"/>
          <w:w w:val="105"/>
        </w:rPr>
        <w:t> </w:t>
      </w:r>
      <w:r>
        <w:rPr>
          <w:color w:val="231F20"/>
          <w:spacing w:val="2"/>
          <w:w w:val="105"/>
        </w:rPr>
        <w:t>al</w:t>
      </w:r>
      <w:r>
        <w:rPr>
          <w:color w:val="231F20"/>
          <w:spacing w:val="-9"/>
          <w:w w:val="105"/>
        </w:rPr>
        <w:t> </w:t>
      </w:r>
      <w:r>
        <w:rPr>
          <w:color w:val="231F20"/>
          <w:w w:val="105"/>
        </w:rPr>
        <w:t>gobierno</w:t>
      </w:r>
      <w:r>
        <w:rPr>
          <w:color w:val="231F20"/>
          <w:spacing w:val="-9"/>
          <w:w w:val="105"/>
        </w:rPr>
        <w:t> </w:t>
      </w:r>
      <w:r>
        <w:rPr>
          <w:color w:val="231F20"/>
          <w:spacing w:val="-4"/>
          <w:w w:val="105"/>
        </w:rPr>
        <w:t>mu- </w:t>
      </w:r>
      <w:r>
        <w:rPr>
          <w:color w:val="231F20"/>
          <w:w w:val="105"/>
        </w:rPr>
        <w:t>nicipal,</w:t>
      </w:r>
      <w:r>
        <w:rPr>
          <w:color w:val="231F20"/>
          <w:spacing w:val="-10"/>
          <w:w w:val="105"/>
        </w:rPr>
        <w:t> </w:t>
      </w:r>
      <w:r>
        <w:rPr>
          <w:color w:val="231F20"/>
          <w:w w:val="105"/>
        </w:rPr>
        <w:t>ambos</w:t>
      </w:r>
      <w:r>
        <w:rPr>
          <w:color w:val="231F20"/>
          <w:spacing w:val="-10"/>
          <w:w w:val="105"/>
        </w:rPr>
        <w:t> </w:t>
      </w:r>
      <w:r>
        <w:rPr>
          <w:color w:val="231F20"/>
          <w:w w:val="105"/>
        </w:rPr>
        <w:t>políticos,</w:t>
      </w:r>
      <w:r>
        <w:rPr>
          <w:color w:val="231F20"/>
          <w:spacing w:val="-10"/>
          <w:w w:val="105"/>
        </w:rPr>
        <w:t> </w:t>
      </w:r>
      <w:r>
        <w:rPr>
          <w:color w:val="231F20"/>
          <w:spacing w:val="-3"/>
          <w:w w:val="105"/>
        </w:rPr>
        <w:t>Korenfeld</w:t>
      </w:r>
      <w:r>
        <w:rPr>
          <w:color w:val="231F20"/>
          <w:spacing w:val="-10"/>
          <w:w w:val="105"/>
        </w:rPr>
        <w:t> </w:t>
      </w:r>
      <w:r>
        <w:rPr>
          <w:color w:val="231F20"/>
          <w:w w:val="105"/>
        </w:rPr>
        <w:t>y</w:t>
      </w:r>
      <w:r>
        <w:rPr>
          <w:color w:val="231F20"/>
          <w:spacing w:val="-10"/>
          <w:w w:val="105"/>
        </w:rPr>
        <w:t> </w:t>
      </w:r>
      <w:r>
        <w:rPr>
          <w:color w:val="231F20"/>
          <w:w w:val="105"/>
        </w:rPr>
        <w:t>Fuentes,</w:t>
      </w:r>
      <w:r>
        <w:rPr>
          <w:color w:val="231F20"/>
          <w:spacing w:val="-10"/>
          <w:w w:val="105"/>
        </w:rPr>
        <w:t> </w:t>
      </w:r>
      <w:r>
        <w:rPr>
          <w:color w:val="231F20"/>
          <w:w w:val="105"/>
        </w:rPr>
        <w:t>no</w:t>
      </w:r>
      <w:r>
        <w:rPr>
          <w:color w:val="231F20"/>
          <w:spacing w:val="-10"/>
          <w:w w:val="105"/>
        </w:rPr>
        <w:t> </w:t>
      </w:r>
      <w:r>
        <w:rPr>
          <w:color w:val="231F20"/>
          <w:w w:val="105"/>
        </w:rPr>
        <w:t>contaban</w:t>
      </w:r>
      <w:r>
        <w:rPr>
          <w:color w:val="231F20"/>
          <w:spacing w:val="-10"/>
          <w:w w:val="105"/>
        </w:rPr>
        <w:t> </w:t>
      </w:r>
      <w:r>
        <w:rPr>
          <w:color w:val="231F20"/>
          <w:w w:val="105"/>
        </w:rPr>
        <w:t>con</w:t>
      </w:r>
      <w:r>
        <w:rPr>
          <w:color w:val="231F20"/>
          <w:spacing w:val="-10"/>
          <w:w w:val="105"/>
        </w:rPr>
        <w:t> </w:t>
      </w:r>
      <w:r>
        <w:rPr>
          <w:color w:val="231F20"/>
          <w:w w:val="105"/>
        </w:rPr>
        <w:t>una</w:t>
      </w:r>
      <w:r>
        <w:rPr>
          <w:color w:val="231F20"/>
          <w:spacing w:val="-10"/>
          <w:w w:val="105"/>
        </w:rPr>
        <w:t> </w:t>
      </w:r>
      <w:r>
        <w:rPr>
          <w:color w:val="231F20"/>
          <w:w w:val="105"/>
        </w:rPr>
        <w:t>amplia</w:t>
      </w:r>
      <w:r>
        <w:rPr>
          <w:color w:val="231F20"/>
          <w:spacing w:val="-10"/>
          <w:w w:val="105"/>
        </w:rPr>
        <w:t> </w:t>
      </w:r>
      <w:r>
        <w:rPr>
          <w:color w:val="231F20"/>
          <w:w w:val="105"/>
        </w:rPr>
        <w:t>experiencia</w:t>
      </w:r>
    </w:p>
    <w:p>
      <w:pPr>
        <w:pStyle w:val="BodyText"/>
        <w:spacing w:before="7"/>
        <w:rPr>
          <w:sz w:val="13"/>
        </w:rPr>
      </w:pPr>
      <w:r>
        <w:rPr/>
        <w:pict>
          <v:line style="position:absolute;mso-position-horizontal-relative:page;mso-position-vertical-relative:paragraph;z-index:5944;mso-wrap-distance-left:0;mso-wrap-distance-right:0" from="42.519699pt,10.292895pt" to="114.519699pt,10.292895pt" stroked="true" strokeweight="1pt" strokecolor="#231f20">
            <w10:wrap type="topAndBottom"/>
          </v:line>
        </w:pict>
      </w:r>
    </w:p>
    <w:p>
      <w:pPr>
        <w:pStyle w:val="ListParagraph"/>
        <w:numPr>
          <w:ilvl w:val="0"/>
          <w:numId w:val="4"/>
        </w:numPr>
        <w:tabs>
          <w:tab w:pos="291" w:val="left" w:leader="none"/>
        </w:tabs>
        <w:spacing w:line="244" w:lineRule="auto" w:before="8" w:after="0"/>
        <w:ind w:left="110" w:right="108" w:firstLine="0"/>
        <w:jc w:val="both"/>
        <w:rPr>
          <w:sz w:val="16"/>
        </w:rPr>
      </w:pPr>
      <w:r>
        <w:rPr>
          <w:color w:val="231F20"/>
          <w:sz w:val="16"/>
        </w:rPr>
        <w:t>En</w:t>
      </w:r>
      <w:r>
        <w:rPr>
          <w:color w:val="231F20"/>
          <w:spacing w:val="-14"/>
          <w:sz w:val="16"/>
        </w:rPr>
        <w:t> </w:t>
      </w:r>
      <w:r>
        <w:rPr>
          <w:color w:val="231F20"/>
          <w:sz w:val="16"/>
        </w:rPr>
        <w:t>el</w:t>
      </w:r>
      <w:r>
        <w:rPr>
          <w:color w:val="231F20"/>
          <w:spacing w:val="-14"/>
          <w:sz w:val="16"/>
        </w:rPr>
        <w:t> </w:t>
      </w:r>
      <w:r>
        <w:rPr>
          <w:color w:val="231F20"/>
          <w:sz w:val="16"/>
        </w:rPr>
        <w:t>gobierno</w:t>
      </w:r>
      <w:r>
        <w:rPr>
          <w:color w:val="231F20"/>
          <w:spacing w:val="-14"/>
          <w:sz w:val="16"/>
        </w:rPr>
        <w:t> </w:t>
      </w:r>
      <w:r>
        <w:rPr>
          <w:color w:val="231F20"/>
          <w:sz w:val="16"/>
        </w:rPr>
        <w:t>municipal</w:t>
      </w:r>
      <w:r>
        <w:rPr>
          <w:color w:val="231F20"/>
          <w:spacing w:val="-14"/>
          <w:sz w:val="16"/>
        </w:rPr>
        <w:t> </w:t>
      </w:r>
      <w:r>
        <w:rPr>
          <w:color w:val="231F20"/>
          <w:sz w:val="16"/>
        </w:rPr>
        <w:t>se</w:t>
      </w:r>
      <w:r>
        <w:rPr>
          <w:color w:val="231F20"/>
          <w:spacing w:val="-14"/>
          <w:sz w:val="16"/>
        </w:rPr>
        <w:t> </w:t>
      </w:r>
      <w:r>
        <w:rPr>
          <w:color w:val="231F20"/>
          <w:sz w:val="16"/>
        </w:rPr>
        <w:t>instaló</w:t>
      </w:r>
      <w:r>
        <w:rPr>
          <w:color w:val="231F20"/>
          <w:spacing w:val="-14"/>
          <w:sz w:val="16"/>
        </w:rPr>
        <w:t> </w:t>
      </w:r>
      <w:r>
        <w:rPr>
          <w:color w:val="231F20"/>
          <w:sz w:val="16"/>
        </w:rPr>
        <w:t>una</w:t>
      </w:r>
      <w:r>
        <w:rPr>
          <w:color w:val="231F20"/>
          <w:spacing w:val="-14"/>
          <w:sz w:val="16"/>
        </w:rPr>
        <w:t> </w:t>
      </w:r>
      <w:r>
        <w:rPr>
          <w:color w:val="231F20"/>
          <w:sz w:val="16"/>
        </w:rPr>
        <w:t>Unidad</w:t>
      </w:r>
      <w:r>
        <w:rPr>
          <w:color w:val="231F20"/>
          <w:spacing w:val="-14"/>
          <w:sz w:val="16"/>
        </w:rPr>
        <w:t> </w:t>
      </w:r>
      <w:r>
        <w:rPr>
          <w:color w:val="231F20"/>
          <w:sz w:val="16"/>
        </w:rPr>
        <w:t>de</w:t>
      </w:r>
      <w:r>
        <w:rPr>
          <w:color w:val="231F20"/>
          <w:spacing w:val="-14"/>
          <w:sz w:val="16"/>
        </w:rPr>
        <w:t> </w:t>
      </w:r>
      <w:r>
        <w:rPr>
          <w:color w:val="231F20"/>
          <w:sz w:val="16"/>
        </w:rPr>
        <w:t>Transparencia</w:t>
      </w:r>
      <w:r>
        <w:rPr>
          <w:color w:val="231F20"/>
          <w:spacing w:val="-14"/>
          <w:sz w:val="16"/>
        </w:rPr>
        <w:t> </w:t>
      </w:r>
      <w:r>
        <w:rPr>
          <w:color w:val="231F20"/>
          <w:sz w:val="16"/>
        </w:rPr>
        <w:t>y</w:t>
      </w:r>
      <w:r>
        <w:rPr>
          <w:color w:val="231F20"/>
          <w:spacing w:val="-14"/>
          <w:sz w:val="16"/>
        </w:rPr>
        <w:t> </w:t>
      </w:r>
      <w:r>
        <w:rPr>
          <w:color w:val="231F20"/>
          <w:sz w:val="16"/>
        </w:rPr>
        <w:t>Acceso</w:t>
      </w:r>
      <w:r>
        <w:rPr>
          <w:color w:val="231F20"/>
          <w:spacing w:val="-14"/>
          <w:sz w:val="16"/>
        </w:rPr>
        <w:t> </w:t>
      </w:r>
      <w:r>
        <w:rPr>
          <w:color w:val="231F20"/>
          <w:sz w:val="16"/>
        </w:rPr>
        <w:t>a</w:t>
      </w:r>
      <w:r>
        <w:rPr>
          <w:color w:val="231F20"/>
          <w:spacing w:val="-14"/>
          <w:sz w:val="16"/>
        </w:rPr>
        <w:t> </w:t>
      </w:r>
      <w:r>
        <w:rPr>
          <w:color w:val="231F20"/>
          <w:sz w:val="16"/>
        </w:rPr>
        <w:t>la</w:t>
      </w:r>
      <w:r>
        <w:rPr>
          <w:color w:val="231F20"/>
          <w:spacing w:val="-14"/>
          <w:sz w:val="16"/>
        </w:rPr>
        <w:t> </w:t>
      </w:r>
      <w:r>
        <w:rPr>
          <w:color w:val="231F20"/>
          <w:sz w:val="16"/>
        </w:rPr>
        <w:t>Información,</w:t>
      </w:r>
      <w:r>
        <w:rPr>
          <w:color w:val="231F20"/>
          <w:spacing w:val="-14"/>
          <w:sz w:val="16"/>
        </w:rPr>
        <w:t> </w:t>
      </w:r>
      <w:r>
        <w:rPr>
          <w:color w:val="231F20"/>
          <w:sz w:val="16"/>
        </w:rPr>
        <w:t>encargada</w:t>
      </w:r>
      <w:r>
        <w:rPr>
          <w:color w:val="231F20"/>
          <w:spacing w:val="-14"/>
          <w:sz w:val="16"/>
        </w:rPr>
        <w:t> </w:t>
      </w:r>
      <w:r>
        <w:rPr>
          <w:color w:val="231F20"/>
          <w:sz w:val="16"/>
        </w:rPr>
        <w:t>de</w:t>
      </w:r>
      <w:r>
        <w:rPr>
          <w:color w:val="231F20"/>
          <w:spacing w:val="-14"/>
          <w:sz w:val="16"/>
        </w:rPr>
        <w:t> </w:t>
      </w:r>
      <w:r>
        <w:rPr>
          <w:color w:val="231F20"/>
          <w:sz w:val="16"/>
        </w:rPr>
        <w:t>facilitar</w:t>
      </w:r>
      <w:r>
        <w:rPr>
          <w:color w:val="231F20"/>
          <w:spacing w:val="-14"/>
          <w:sz w:val="16"/>
        </w:rPr>
        <w:t> </w:t>
      </w:r>
      <w:r>
        <w:rPr>
          <w:color w:val="231F20"/>
          <w:sz w:val="16"/>
        </w:rPr>
        <w:t>el</w:t>
      </w:r>
      <w:r>
        <w:rPr>
          <w:color w:val="231F20"/>
          <w:spacing w:val="-14"/>
          <w:sz w:val="16"/>
        </w:rPr>
        <w:t> </w:t>
      </w:r>
      <w:r>
        <w:rPr>
          <w:color w:val="231F20"/>
          <w:sz w:val="16"/>
        </w:rPr>
        <w:t>acceso a</w:t>
      </w:r>
      <w:r>
        <w:rPr>
          <w:color w:val="231F20"/>
          <w:spacing w:val="-12"/>
          <w:sz w:val="16"/>
        </w:rPr>
        <w:t> </w:t>
      </w:r>
      <w:r>
        <w:rPr>
          <w:color w:val="231F20"/>
          <w:sz w:val="16"/>
        </w:rPr>
        <w:t>la</w:t>
      </w:r>
      <w:r>
        <w:rPr>
          <w:color w:val="231F20"/>
          <w:spacing w:val="-12"/>
          <w:sz w:val="16"/>
        </w:rPr>
        <w:t> </w:t>
      </w:r>
      <w:r>
        <w:rPr>
          <w:color w:val="231F20"/>
          <w:sz w:val="16"/>
        </w:rPr>
        <w:t>información</w:t>
      </w:r>
      <w:r>
        <w:rPr>
          <w:color w:val="231F20"/>
          <w:spacing w:val="-12"/>
          <w:sz w:val="16"/>
        </w:rPr>
        <w:t> </w:t>
      </w:r>
      <w:r>
        <w:rPr>
          <w:color w:val="231F20"/>
          <w:sz w:val="16"/>
        </w:rPr>
        <w:t>pública</w:t>
      </w:r>
      <w:r>
        <w:rPr>
          <w:color w:val="231F20"/>
          <w:spacing w:val="-12"/>
          <w:sz w:val="16"/>
        </w:rPr>
        <w:t> </w:t>
      </w:r>
      <w:r>
        <w:rPr>
          <w:color w:val="231F20"/>
          <w:sz w:val="16"/>
        </w:rPr>
        <w:t>del</w:t>
      </w:r>
      <w:r>
        <w:rPr>
          <w:color w:val="231F20"/>
          <w:spacing w:val="-12"/>
          <w:sz w:val="16"/>
        </w:rPr>
        <w:t> </w:t>
      </w:r>
      <w:r>
        <w:rPr>
          <w:color w:val="231F20"/>
          <w:sz w:val="16"/>
        </w:rPr>
        <w:t>ayuntamiento.</w:t>
      </w:r>
      <w:r>
        <w:rPr>
          <w:color w:val="231F20"/>
          <w:spacing w:val="-12"/>
          <w:sz w:val="16"/>
        </w:rPr>
        <w:t> </w:t>
      </w:r>
      <w:r>
        <w:rPr>
          <w:color w:val="231F20"/>
          <w:sz w:val="16"/>
        </w:rPr>
        <w:t>Esta</w:t>
      </w:r>
      <w:r>
        <w:rPr>
          <w:color w:val="231F20"/>
          <w:spacing w:val="-12"/>
          <w:sz w:val="16"/>
        </w:rPr>
        <w:t> </w:t>
      </w:r>
      <w:r>
        <w:rPr>
          <w:color w:val="231F20"/>
          <w:sz w:val="16"/>
        </w:rPr>
        <w:t>surgió</w:t>
      </w:r>
      <w:r>
        <w:rPr>
          <w:color w:val="231F20"/>
          <w:spacing w:val="-12"/>
          <w:sz w:val="16"/>
        </w:rPr>
        <w:t> </w:t>
      </w:r>
      <w:r>
        <w:rPr>
          <w:color w:val="231F20"/>
          <w:sz w:val="16"/>
        </w:rPr>
        <w:t>como</w:t>
      </w:r>
      <w:r>
        <w:rPr>
          <w:color w:val="231F20"/>
          <w:spacing w:val="-12"/>
          <w:sz w:val="16"/>
        </w:rPr>
        <w:t> </w:t>
      </w:r>
      <w:r>
        <w:rPr>
          <w:color w:val="231F20"/>
          <w:sz w:val="16"/>
        </w:rPr>
        <w:t>resultado</w:t>
      </w:r>
      <w:r>
        <w:rPr>
          <w:color w:val="231F20"/>
          <w:spacing w:val="-12"/>
          <w:sz w:val="16"/>
        </w:rPr>
        <w:t> </w:t>
      </w:r>
      <w:r>
        <w:rPr>
          <w:color w:val="231F20"/>
          <w:sz w:val="16"/>
        </w:rPr>
        <w:t>de</w:t>
      </w:r>
      <w:r>
        <w:rPr>
          <w:color w:val="231F20"/>
          <w:spacing w:val="-12"/>
          <w:sz w:val="16"/>
        </w:rPr>
        <w:t> </w:t>
      </w:r>
      <w:r>
        <w:rPr>
          <w:color w:val="231F20"/>
          <w:sz w:val="16"/>
        </w:rPr>
        <w:t>la</w:t>
      </w:r>
      <w:r>
        <w:rPr>
          <w:color w:val="231F20"/>
          <w:spacing w:val="-12"/>
          <w:sz w:val="16"/>
        </w:rPr>
        <w:t> </w:t>
      </w:r>
      <w:r>
        <w:rPr>
          <w:color w:val="231F20"/>
          <w:sz w:val="16"/>
        </w:rPr>
        <w:t>obligación</w:t>
      </w:r>
      <w:r>
        <w:rPr>
          <w:color w:val="231F20"/>
          <w:spacing w:val="-12"/>
          <w:sz w:val="16"/>
        </w:rPr>
        <w:t> </w:t>
      </w:r>
      <w:r>
        <w:rPr>
          <w:color w:val="231F20"/>
          <w:sz w:val="16"/>
        </w:rPr>
        <w:t>establecida</w:t>
      </w:r>
      <w:r>
        <w:rPr>
          <w:color w:val="231F20"/>
          <w:spacing w:val="-12"/>
          <w:sz w:val="16"/>
        </w:rPr>
        <w:t> </w:t>
      </w:r>
      <w:r>
        <w:rPr>
          <w:color w:val="231F20"/>
          <w:sz w:val="16"/>
        </w:rPr>
        <w:t>por</w:t>
      </w:r>
      <w:r>
        <w:rPr>
          <w:color w:val="231F20"/>
          <w:spacing w:val="-12"/>
          <w:sz w:val="16"/>
        </w:rPr>
        <w:t> </w:t>
      </w:r>
      <w:r>
        <w:rPr>
          <w:color w:val="231F20"/>
          <w:sz w:val="16"/>
        </w:rPr>
        <w:t>la</w:t>
      </w:r>
      <w:r>
        <w:rPr>
          <w:color w:val="231F20"/>
          <w:spacing w:val="-12"/>
          <w:sz w:val="16"/>
        </w:rPr>
        <w:t> </w:t>
      </w:r>
      <w:r>
        <w:rPr>
          <w:color w:val="231F20"/>
          <w:sz w:val="16"/>
        </w:rPr>
        <w:t>Ley</w:t>
      </w:r>
      <w:r>
        <w:rPr>
          <w:color w:val="231F20"/>
          <w:spacing w:val="-12"/>
          <w:sz w:val="16"/>
        </w:rPr>
        <w:t> </w:t>
      </w:r>
      <w:r>
        <w:rPr>
          <w:color w:val="231F20"/>
          <w:sz w:val="16"/>
        </w:rPr>
        <w:t>de</w:t>
      </w:r>
      <w:r>
        <w:rPr>
          <w:color w:val="231F20"/>
          <w:spacing w:val="-12"/>
          <w:sz w:val="16"/>
        </w:rPr>
        <w:t> </w:t>
      </w:r>
      <w:r>
        <w:rPr>
          <w:color w:val="231F20"/>
          <w:sz w:val="16"/>
        </w:rPr>
        <w:t>Transparen- cia</w:t>
      </w:r>
      <w:r>
        <w:rPr>
          <w:color w:val="231F20"/>
          <w:spacing w:val="-6"/>
          <w:sz w:val="16"/>
        </w:rPr>
        <w:t> </w:t>
      </w:r>
      <w:r>
        <w:rPr>
          <w:color w:val="231F20"/>
          <w:sz w:val="16"/>
        </w:rPr>
        <w:t>y</w:t>
      </w:r>
      <w:r>
        <w:rPr>
          <w:color w:val="231F20"/>
          <w:spacing w:val="-6"/>
          <w:sz w:val="16"/>
        </w:rPr>
        <w:t> </w:t>
      </w:r>
      <w:r>
        <w:rPr>
          <w:color w:val="231F20"/>
          <w:sz w:val="16"/>
        </w:rPr>
        <w:t>Acceso</w:t>
      </w:r>
      <w:r>
        <w:rPr>
          <w:color w:val="231F20"/>
          <w:spacing w:val="-6"/>
          <w:sz w:val="16"/>
        </w:rPr>
        <w:t> </w:t>
      </w:r>
      <w:r>
        <w:rPr>
          <w:color w:val="231F20"/>
          <w:sz w:val="16"/>
        </w:rPr>
        <w:t>a</w:t>
      </w:r>
      <w:r>
        <w:rPr>
          <w:color w:val="231F20"/>
          <w:spacing w:val="-6"/>
          <w:sz w:val="16"/>
        </w:rPr>
        <w:t> </w:t>
      </w:r>
      <w:r>
        <w:rPr>
          <w:color w:val="231F20"/>
          <w:sz w:val="16"/>
        </w:rPr>
        <w:t>la</w:t>
      </w:r>
      <w:r>
        <w:rPr>
          <w:color w:val="231F20"/>
          <w:spacing w:val="-6"/>
          <w:sz w:val="16"/>
        </w:rPr>
        <w:t> </w:t>
      </w:r>
      <w:r>
        <w:rPr>
          <w:color w:val="231F20"/>
          <w:sz w:val="16"/>
        </w:rPr>
        <w:t>Información</w:t>
      </w:r>
      <w:r>
        <w:rPr>
          <w:color w:val="231F20"/>
          <w:spacing w:val="-6"/>
          <w:sz w:val="16"/>
        </w:rPr>
        <w:t> </w:t>
      </w:r>
      <w:r>
        <w:rPr>
          <w:color w:val="231F20"/>
          <w:sz w:val="16"/>
        </w:rPr>
        <w:t>Pública</w:t>
      </w:r>
      <w:r>
        <w:rPr>
          <w:color w:val="231F20"/>
          <w:spacing w:val="-6"/>
          <w:sz w:val="16"/>
        </w:rPr>
        <w:t> </w:t>
      </w:r>
      <w:r>
        <w:rPr>
          <w:color w:val="231F20"/>
          <w:sz w:val="16"/>
        </w:rPr>
        <w:t>del</w:t>
      </w:r>
      <w:r>
        <w:rPr>
          <w:color w:val="231F20"/>
          <w:spacing w:val="-6"/>
          <w:sz w:val="16"/>
        </w:rPr>
        <w:t> </w:t>
      </w:r>
      <w:r>
        <w:rPr>
          <w:color w:val="231F20"/>
          <w:sz w:val="16"/>
        </w:rPr>
        <w:t>Estado</w:t>
      </w:r>
      <w:r>
        <w:rPr>
          <w:color w:val="231F20"/>
          <w:spacing w:val="-6"/>
          <w:sz w:val="16"/>
        </w:rPr>
        <w:t> </w:t>
      </w:r>
      <w:r>
        <w:rPr>
          <w:color w:val="231F20"/>
          <w:sz w:val="16"/>
        </w:rPr>
        <w:t>de</w:t>
      </w:r>
      <w:r>
        <w:rPr>
          <w:color w:val="231F20"/>
          <w:spacing w:val="-6"/>
          <w:sz w:val="16"/>
        </w:rPr>
        <w:t> </w:t>
      </w:r>
      <w:r>
        <w:rPr>
          <w:color w:val="231F20"/>
          <w:sz w:val="16"/>
        </w:rPr>
        <w:t>México</w:t>
      </w:r>
      <w:r>
        <w:rPr>
          <w:color w:val="231F20"/>
          <w:spacing w:val="-6"/>
          <w:sz w:val="16"/>
        </w:rPr>
        <w:t> </w:t>
      </w:r>
      <w:r>
        <w:rPr>
          <w:color w:val="231F20"/>
          <w:sz w:val="16"/>
        </w:rPr>
        <w:t>y</w:t>
      </w:r>
      <w:r>
        <w:rPr>
          <w:color w:val="231F20"/>
          <w:spacing w:val="-6"/>
          <w:sz w:val="16"/>
        </w:rPr>
        <w:t> </w:t>
      </w:r>
      <w:r>
        <w:rPr>
          <w:color w:val="231F20"/>
          <w:sz w:val="16"/>
        </w:rPr>
        <w:t>Municipios.</w:t>
      </w:r>
      <w:r>
        <w:rPr>
          <w:color w:val="231F20"/>
          <w:spacing w:val="-6"/>
          <w:sz w:val="16"/>
        </w:rPr>
        <w:t> </w:t>
      </w:r>
      <w:r>
        <w:rPr>
          <w:color w:val="231F20"/>
          <w:sz w:val="16"/>
        </w:rPr>
        <w:t>Sin</w:t>
      </w:r>
      <w:r>
        <w:rPr>
          <w:color w:val="231F20"/>
          <w:spacing w:val="-6"/>
          <w:sz w:val="16"/>
        </w:rPr>
        <w:t> </w:t>
      </w:r>
      <w:r>
        <w:rPr>
          <w:color w:val="231F20"/>
          <w:sz w:val="16"/>
        </w:rPr>
        <w:t>embargo,</w:t>
      </w:r>
      <w:r>
        <w:rPr>
          <w:color w:val="231F20"/>
          <w:spacing w:val="-6"/>
          <w:sz w:val="16"/>
        </w:rPr>
        <w:t> </w:t>
      </w:r>
      <w:r>
        <w:rPr>
          <w:color w:val="231F20"/>
          <w:sz w:val="16"/>
        </w:rPr>
        <w:t>dicha</w:t>
      </w:r>
      <w:r>
        <w:rPr>
          <w:color w:val="231F20"/>
          <w:spacing w:val="-6"/>
          <w:sz w:val="16"/>
        </w:rPr>
        <w:t> </w:t>
      </w:r>
      <w:r>
        <w:rPr>
          <w:color w:val="231F20"/>
          <w:sz w:val="16"/>
        </w:rPr>
        <w:t>unidad</w:t>
      </w:r>
      <w:r>
        <w:rPr>
          <w:color w:val="231F20"/>
          <w:spacing w:val="-6"/>
          <w:sz w:val="16"/>
        </w:rPr>
        <w:t> </w:t>
      </w:r>
      <w:r>
        <w:rPr>
          <w:color w:val="231F20"/>
          <w:sz w:val="16"/>
        </w:rPr>
        <w:t>depende</w:t>
      </w:r>
      <w:r>
        <w:rPr>
          <w:color w:val="231F20"/>
          <w:spacing w:val="-6"/>
          <w:sz w:val="16"/>
        </w:rPr>
        <w:t> </w:t>
      </w:r>
      <w:r>
        <w:rPr>
          <w:color w:val="231F20"/>
          <w:sz w:val="16"/>
        </w:rPr>
        <w:t>directamente de</w:t>
      </w:r>
      <w:r>
        <w:rPr>
          <w:color w:val="231F20"/>
          <w:spacing w:val="-12"/>
          <w:sz w:val="16"/>
        </w:rPr>
        <w:t> </w:t>
      </w:r>
      <w:r>
        <w:rPr>
          <w:color w:val="231F20"/>
          <w:sz w:val="16"/>
        </w:rPr>
        <w:t>la</w:t>
      </w:r>
      <w:r>
        <w:rPr>
          <w:color w:val="231F20"/>
          <w:spacing w:val="-12"/>
          <w:sz w:val="16"/>
        </w:rPr>
        <w:t> </w:t>
      </w:r>
      <w:r>
        <w:rPr>
          <w:color w:val="231F20"/>
          <w:sz w:val="16"/>
        </w:rPr>
        <w:t>Secretaría</w:t>
      </w:r>
      <w:r>
        <w:rPr>
          <w:color w:val="231F20"/>
          <w:spacing w:val="-12"/>
          <w:sz w:val="16"/>
        </w:rPr>
        <w:t> </w:t>
      </w:r>
      <w:r>
        <w:rPr>
          <w:color w:val="231F20"/>
          <w:sz w:val="16"/>
        </w:rPr>
        <w:t>Técnica,</w:t>
      </w:r>
      <w:r>
        <w:rPr>
          <w:color w:val="231F20"/>
          <w:spacing w:val="-12"/>
          <w:sz w:val="16"/>
        </w:rPr>
        <w:t> </w:t>
      </w:r>
      <w:r>
        <w:rPr>
          <w:color w:val="231F20"/>
          <w:sz w:val="16"/>
        </w:rPr>
        <w:t>lo</w:t>
      </w:r>
      <w:r>
        <w:rPr>
          <w:color w:val="231F20"/>
          <w:spacing w:val="-12"/>
          <w:sz w:val="16"/>
        </w:rPr>
        <w:t> </w:t>
      </w:r>
      <w:r>
        <w:rPr>
          <w:color w:val="231F20"/>
          <w:sz w:val="16"/>
        </w:rPr>
        <w:t>que</w:t>
      </w:r>
      <w:r>
        <w:rPr>
          <w:color w:val="231F20"/>
          <w:spacing w:val="-12"/>
          <w:sz w:val="16"/>
        </w:rPr>
        <w:t> </w:t>
      </w:r>
      <w:r>
        <w:rPr>
          <w:color w:val="231F20"/>
          <w:sz w:val="16"/>
        </w:rPr>
        <w:t>obstaculiza</w:t>
      </w:r>
      <w:r>
        <w:rPr>
          <w:color w:val="231F20"/>
          <w:spacing w:val="-12"/>
          <w:sz w:val="16"/>
        </w:rPr>
        <w:t> </w:t>
      </w:r>
      <w:r>
        <w:rPr>
          <w:color w:val="231F20"/>
          <w:sz w:val="16"/>
        </w:rPr>
        <w:t>el</w:t>
      </w:r>
      <w:r>
        <w:rPr>
          <w:color w:val="231F20"/>
          <w:spacing w:val="-12"/>
          <w:sz w:val="16"/>
        </w:rPr>
        <w:t> </w:t>
      </w:r>
      <w:r>
        <w:rPr>
          <w:color w:val="231F20"/>
          <w:sz w:val="16"/>
        </w:rPr>
        <w:t>interés</w:t>
      </w:r>
      <w:r>
        <w:rPr>
          <w:color w:val="231F20"/>
          <w:spacing w:val="-12"/>
          <w:sz w:val="16"/>
        </w:rPr>
        <w:t> </w:t>
      </w:r>
      <w:r>
        <w:rPr>
          <w:color w:val="231F20"/>
          <w:sz w:val="16"/>
        </w:rPr>
        <w:t>de</w:t>
      </w:r>
      <w:r>
        <w:rPr>
          <w:color w:val="231F20"/>
          <w:spacing w:val="-12"/>
          <w:sz w:val="16"/>
        </w:rPr>
        <w:t> </w:t>
      </w:r>
      <w:r>
        <w:rPr>
          <w:color w:val="231F20"/>
          <w:sz w:val="16"/>
        </w:rPr>
        <w:t>su</w:t>
      </w:r>
      <w:r>
        <w:rPr>
          <w:color w:val="231F20"/>
          <w:spacing w:val="-12"/>
          <w:sz w:val="16"/>
        </w:rPr>
        <w:t> </w:t>
      </w:r>
      <w:r>
        <w:rPr>
          <w:color w:val="231F20"/>
          <w:sz w:val="16"/>
        </w:rPr>
        <w:t>titular</w:t>
      </w:r>
      <w:r>
        <w:rPr>
          <w:color w:val="231F20"/>
          <w:spacing w:val="-12"/>
          <w:sz w:val="16"/>
        </w:rPr>
        <w:t> </w:t>
      </w:r>
      <w:r>
        <w:rPr>
          <w:color w:val="231F20"/>
          <w:sz w:val="16"/>
        </w:rPr>
        <w:t>por</w:t>
      </w:r>
      <w:r>
        <w:rPr>
          <w:color w:val="231F20"/>
          <w:spacing w:val="-12"/>
          <w:sz w:val="16"/>
        </w:rPr>
        <w:t> </w:t>
      </w:r>
      <w:r>
        <w:rPr>
          <w:color w:val="231F20"/>
          <w:sz w:val="16"/>
        </w:rPr>
        <w:t>fomentar</w:t>
      </w:r>
      <w:r>
        <w:rPr>
          <w:color w:val="231F20"/>
          <w:spacing w:val="-12"/>
          <w:sz w:val="16"/>
        </w:rPr>
        <w:t> </w:t>
      </w:r>
      <w:r>
        <w:rPr>
          <w:color w:val="231F20"/>
          <w:sz w:val="16"/>
        </w:rPr>
        <w:t>el</w:t>
      </w:r>
      <w:r>
        <w:rPr>
          <w:color w:val="231F20"/>
          <w:spacing w:val="-12"/>
          <w:sz w:val="16"/>
        </w:rPr>
        <w:t> </w:t>
      </w:r>
      <w:r>
        <w:rPr>
          <w:color w:val="231F20"/>
          <w:sz w:val="16"/>
        </w:rPr>
        <w:t>desarrollo</w:t>
      </w:r>
      <w:r>
        <w:rPr>
          <w:color w:val="231F20"/>
          <w:spacing w:val="-12"/>
          <w:sz w:val="16"/>
        </w:rPr>
        <w:t> </w:t>
      </w:r>
      <w:r>
        <w:rPr>
          <w:color w:val="231F20"/>
          <w:sz w:val="16"/>
        </w:rPr>
        <w:t>del</w:t>
      </w:r>
      <w:r>
        <w:rPr>
          <w:color w:val="231F20"/>
          <w:spacing w:val="-12"/>
          <w:sz w:val="16"/>
        </w:rPr>
        <w:t> </w:t>
      </w:r>
      <w:r>
        <w:rPr>
          <w:color w:val="231F20"/>
          <w:sz w:val="16"/>
        </w:rPr>
        <w:t>acceso</w:t>
      </w:r>
      <w:r>
        <w:rPr>
          <w:color w:val="231F20"/>
          <w:spacing w:val="-12"/>
          <w:sz w:val="16"/>
        </w:rPr>
        <w:t> </w:t>
      </w:r>
      <w:r>
        <w:rPr>
          <w:color w:val="231F20"/>
          <w:sz w:val="16"/>
        </w:rPr>
        <w:t>a</w:t>
      </w:r>
      <w:r>
        <w:rPr>
          <w:color w:val="231F20"/>
          <w:spacing w:val="-12"/>
          <w:sz w:val="16"/>
        </w:rPr>
        <w:t> </w:t>
      </w:r>
      <w:r>
        <w:rPr>
          <w:color w:val="231F20"/>
          <w:sz w:val="16"/>
        </w:rPr>
        <w:t>la</w:t>
      </w:r>
      <w:r>
        <w:rPr>
          <w:color w:val="231F20"/>
          <w:spacing w:val="-12"/>
          <w:sz w:val="16"/>
        </w:rPr>
        <w:t> </w:t>
      </w:r>
      <w:r>
        <w:rPr>
          <w:color w:val="231F20"/>
          <w:sz w:val="16"/>
        </w:rPr>
        <w:t>información.</w:t>
      </w:r>
      <w:r>
        <w:rPr>
          <w:color w:val="231F20"/>
          <w:spacing w:val="-12"/>
          <w:sz w:val="16"/>
        </w:rPr>
        <w:t> </w:t>
      </w:r>
      <w:r>
        <w:rPr>
          <w:color w:val="231F20"/>
          <w:sz w:val="16"/>
        </w:rPr>
        <w:t>Esto lo</w:t>
      </w:r>
      <w:r>
        <w:rPr>
          <w:color w:val="231F20"/>
          <w:spacing w:val="-14"/>
          <w:sz w:val="16"/>
        </w:rPr>
        <w:t> </w:t>
      </w:r>
      <w:r>
        <w:rPr>
          <w:color w:val="231F20"/>
          <w:sz w:val="16"/>
        </w:rPr>
        <w:t>pude</w:t>
      </w:r>
      <w:r>
        <w:rPr>
          <w:color w:val="231F20"/>
          <w:spacing w:val="-14"/>
          <w:sz w:val="16"/>
        </w:rPr>
        <w:t> </w:t>
      </w:r>
      <w:r>
        <w:rPr>
          <w:color w:val="231F20"/>
          <w:sz w:val="16"/>
        </w:rPr>
        <w:t>observar</w:t>
      </w:r>
      <w:r>
        <w:rPr>
          <w:color w:val="231F20"/>
          <w:spacing w:val="-14"/>
          <w:sz w:val="16"/>
        </w:rPr>
        <w:t> </w:t>
      </w:r>
      <w:r>
        <w:rPr>
          <w:color w:val="231F20"/>
          <w:sz w:val="16"/>
        </w:rPr>
        <w:t>al</w:t>
      </w:r>
      <w:r>
        <w:rPr>
          <w:color w:val="231F20"/>
          <w:spacing w:val="-14"/>
          <w:sz w:val="16"/>
        </w:rPr>
        <w:t> </w:t>
      </w:r>
      <w:r>
        <w:rPr>
          <w:color w:val="231F20"/>
          <w:sz w:val="16"/>
        </w:rPr>
        <w:t>solicitar</w:t>
      </w:r>
      <w:r>
        <w:rPr>
          <w:color w:val="231F20"/>
          <w:spacing w:val="-14"/>
          <w:sz w:val="16"/>
        </w:rPr>
        <w:t> </w:t>
      </w:r>
      <w:r>
        <w:rPr>
          <w:color w:val="231F20"/>
          <w:sz w:val="16"/>
        </w:rPr>
        <w:t>información</w:t>
      </w:r>
      <w:r>
        <w:rPr>
          <w:color w:val="231F20"/>
          <w:spacing w:val="-14"/>
          <w:sz w:val="16"/>
        </w:rPr>
        <w:t> </w:t>
      </w:r>
      <w:r>
        <w:rPr>
          <w:color w:val="231F20"/>
          <w:sz w:val="16"/>
        </w:rPr>
        <w:t>referente</w:t>
      </w:r>
      <w:r>
        <w:rPr>
          <w:color w:val="231F20"/>
          <w:spacing w:val="-14"/>
          <w:sz w:val="16"/>
        </w:rPr>
        <w:t> </w:t>
      </w:r>
      <w:r>
        <w:rPr>
          <w:color w:val="231F20"/>
          <w:sz w:val="16"/>
        </w:rPr>
        <w:t>a</w:t>
      </w:r>
      <w:r>
        <w:rPr>
          <w:color w:val="231F20"/>
          <w:spacing w:val="-14"/>
          <w:sz w:val="16"/>
        </w:rPr>
        <w:t> </w:t>
      </w:r>
      <w:r>
        <w:rPr>
          <w:color w:val="231F20"/>
          <w:sz w:val="16"/>
        </w:rPr>
        <w:t>los</w:t>
      </w:r>
      <w:r>
        <w:rPr>
          <w:color w:val="231F20"/>
          <w:spacing w:val="-14"/>
          <w:sz w:val="16"/>
        </w:rPr>
        <w:t> </w:t>
      </w:r>
      <w:r>
        <w:rPr>
          <w:color w:val="231F20"/>
          <w:sz w:val="16"/>
        </w:rPr>
        <w:t>datos</w:t>
      </w:r>
      <w:r>
        <w:rPr>
          <w:color w:val="231F20"/>
          <w:spacing w:val="-14"/>
          <w:sz w:val="16"/>
        </w:rPr>
        <w:t> </w:t>
      </w:r>
      <w:r>
        <w:rPr>
          <w:color w:val="231F20"/>
          <w:sz w:val="16"/>
        </w:rPr>
        <w:t>curriculares</w:t>
      </w:r>
      <w:r>
        <w:rPr>
          <w:color w:val="231F20"/>
          <w:spacing w:val="-14"/>
          <w:sz w:val="16"/>
        </w:rPr>
        <w:t> </w:t>
      </w:r>
      <w:r>
        <w:rPr>
          <w:color w:val="231F20"/>
          <w:sz w:val="16"/>
        </w:rPr>
        <w:t>de</w:t>
      </w:r>
      <w:r>
        <w:rPr>
          <w:color w:val="231F20"/>
          <w:spacing w:val="-14"/>
          <w:sz w:val="16"/>
        </w:rPr>
        <w:t> </w:t>
      </w:r>
      <w:r>
        <w:rPr>
          <w:color w:val="231F20"/>
          <w:sz w:val="16"/>
        </w:rPr>
        <w:t>los</w:t>
      </w:r>
      <w:r>
        <w:rPr>
          <w:color w:val="231F20"/>
          <w:spacing w:val="-14"/>
          <w:sz w:val="16"/>
        </w:rPr>
        <w:t> </w:t>
      </w:r>
      <w:r>
        <w:rPr>
          <w:color w:val="231F20"/>
          <w:sz w:val="16"/>
        </w:rPr>
        <w:t>directores</w:t>
      </w:r>
      <w:r>
        <w:rPr>
          <w:color w:val="231F20"/>
          <w:spacing w:val="-14"/>
          <w:sz w:val="16"/>
        </w:rPr>
        <w:t> </w:t>
      </w:r>
      <w:r>
        <w:rPr>
          <w:color w:val="231F20"/>
          <w:sz w:val="16"/>
        </w:rPr>
        <w:t>generales</w:t>
      </w:r>
      <w:r>
        <w:rPr>
          <w:color w:val="231F20"/>
          <w:spacing w:val="-14"/>
          <w:sz w:val="16"/>
        </w:rPr>
        <w:t> </w:t>
      </w:r>
      <w:r>
        <w:rPr>
          <w:color w:val="231F20"/>
          <w:sz w:val="16"/>
        </w:rPr>
        <w:t>del</w:t>
      </w:r>
      <w:r>
        <w:rPr>
          <w:color w:val="231F20"/>
          <w:spacing w:val="-14"/>
          <w:sz w:val="16"/>
        </w:rPr>
        <w:t> </w:t>
      </w:r>
      <w:r>
        <w:rPr>
          <w:color w:val="231F20"/>
          <w:sz w:val="16"/>
        </w:rPr>
        <w:t>gobierno</w:t>
      </w:r>
      <w:r>
        <w:rPr>
          <w:color w:val="231F20"/>
          <w:spacing w:val="-14"/>
          <w:sz w:val="16"/>
        </w:rPr>
        <w:t> </w:t>
      </w:r>
      <w:r>
        <w:rPr>
          <w:color w:val="231F20"/>
          <w:sz w:val="16"/>
        </w:rPr>
        <w:t>huixquilu- quense,</w:t>
      </w:r>
      <w:r>
        <w:rPr>
          <w:color w:val="231F20"/>
          <w:spacing w:val="-10"/>
          <w:sz w:val="16"/>
        </w:rPr>
        <w:t> </w:t>
      </w:r>
      <w:r>
        <w:rPr>
          <w:color w:val="231F20"/>
          <w:sz w:val="16"/>
        </w:rPr>
        <w:t>la</w:t>
      </w:r>
      <w:r>
        <w:rPr>
          <w:color w:val="231F20"/>
          <w:spacing w:val="-10"/>
          <w:sz w:val="16"/>
        </w:rPr>
        <w:t> </w:t>
      </w:r>
      <w:r>
        <w:rPr>
          <w:color w:val="231F20"/>
          <w:sz w:val="16"/>
        </w:rPr>
        <w:t>cual</w:t>
      </w:r>
      <w:r>
        <w:rPr>
          <w:color w:val="231F20"/>
          <w:spacing w:val="-10"/>
          <w:sz w:val="16"/>
        </w:rPr>
        <w:t> </w:t>
      </w:r>
      <w:r>
        <w:rPr>
          <w:color w:val="231F20"/>
          <w:sz w:val="16"/>
        </w:rPr>
        <w:t>me</w:t>
      </w:r>
      <w:r>
        <w:rPr>
          <w:color w:val="231F20"/>
          <w:spacing w:val="-10"/>
          <w:sz w:val="16"/>
        </w:rPr>
        <w:t> </w:t>
      </w:r>
      <w:r>
        <w:rPr>
          <w:color w:val="231F20"/>
          <w:sz w:val="16"/>
        </w:rPr>
        <w:t>fue</w:t>
      </w:r>
      <w:r>
        <w:rPr>
          <w:color w:val="231F20"/>
          <w:spacing w:val="-10"/>
          <w:sz w:val="16"/>
        </w:rPr>
        <w:t> </w:t>
      </w:r>
      <w:r>
        <w:rPr>
          <w:color w:val="231F20"/>
          <w:sz w:val="16"/>
        </w:rPr>
        <w:t>entregada</w:t>
      </w:r>
      <w:r>
        <w:rPr>
          <w:color w:val="231F20"/>
          <w:spacing w:val="-10"/>
          <w:sz w:val="16"/>
        </w:rPr>
        <w:t> </w:t>
      </w:r>
      <w:r>
        <w:rPr>
          <w:color w:val="231F20"/>
          <w:sz w:val="16"/>
        </w:rPr>
        <w:t>parcialmente</w:t>
      </w:r>
      <w:r>
        <w:rPr>
          <w:color w:val="231F20"/>
          <w:spacing w:val="-10"/>
          <w:sz w:val="16"/>
        </w:rPr>
        <w:t> </w:t>
      </w:r>
      <w:r>
        <w:rPr>
          <w:color w:val="231F20"/>
          <w:sz w:val="16"/>
        </w:rPr>
        <w:t>y</w:t>
      </w:r>
      <w:r>
        <w:rPr>
          <w:color w:val="231F20"/>
          <w:spacing w:val="-10"/>
          <w:sz w:val="16"/>
        </w:rPr>
        <w:t> </w:t>
      </w:r>
      <w:r>
        <w:rPr>
          <w:color w:val="231F20"/>
          <w:sz w:val="16"/>
        </w:rPr>
        <w:t>de</w:t>
      </w:r>
      <w:r>
        <w:rPr>
          <w:color w:val="231F20"/>
          <w:spacing w:val="-10"/>
          <w:sz w:val="16"/>
        </w:rPr>
        <w:t> </w:t>
      </w:r>
      <w:r>
        <w:rPr>
          <w:color w:val="231F20"/>
          <w:sz w:val="16"/>
        </w:rPr>
        <w:t>manera</w:t>
      </w:r>
      <w:r>
        <w:rPr>
          <w:color w:val="231F20"/>
          <w:spacing w:val="-10"/>
          <w:sz w:val="16"/>
        </w:rPr>
        <w:t> </w:t>
      </w:r>
      <w:r>
        <w:rPr>
          <w:color w:val="231F20"/>
          <w:sz w:val="16"/>
        </w:rPr>
        <w:t>incompleta.</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partidista,</w:t>
      </w:r>
      <w:r>
        <w:rPr>
          <w:color w:val="231F20"/>
          <w:spacing w:val="-7"/>
          <w:w w:val="105"/>
        </w:rPr>
        <w:t> </w:t>
      </w:r>
      <w:r>
        <w:rPr>
          <w:color w:val="231F20"/>
          <w:w w:val="105"/>
        </w:rPr>
        <w:t>sin</w:t>
      </w:r>
      <w:r>
        <w:rPr>
          <w:color w:val="231F20"/>
          <w:spacing w:val="-7"/>
          <w:w w:val="105"/>
        </w:rPr>
        <w:t> </w:t>
      </w:r>
      <w:r>
        <w:rPr>
          <w:color w:val="231F20"/>
          <w:w w:val="105"/>
        </w:rPr>
        <w:t>embargo</w:t>
      </w:r>
      <w:r>
        <w:rPr>
          <w:color w:val="231F20"/>
          <w:spacing w:val="-7"/>
          <w:w w:val="105"/>
        </w:rPr>
        <w:t> </w:t>
      </w:r>
      <w:r>
        <w:rPr>
          <w:color w:val="231F20"/>
          <w:w w:val="105"/>
        </w:rPr>
        <w:t>sí</w:t>
      </w:r>
      <w:r>
        <w:rPr>
          <w:color w:val="231F20"/>
          <w:spacing w:val="-7"/>
          <w:w w:val="105"/>
        </w:rPr>
        <w:t> </w:t>
      </w:r>
      <w:r>
        <w:rPr>
          <w:color w:val="231F20"/>
          <w:w w:val="105"/>
        </w:rPr>
        <w:t>mostraron</w:t>
      </w:r>
      <w:r>
        <w:rPr>
          <w:color w:val="231F20"/>
          <w:spacing w:val="-7"/>
          <w:w w:val="105"/>
        </w:rPr>
        <w:t> </w:t>
      </w:r>
      <w:r>
        <w:rPr>
          <w:color w:val="231F20"/>
          <w:w w:val="105"/>
        </w:rPr>
        <w:t>lealtad</w:t>
      </w:r>
      <w:r>
        <w:rPr>
          <w:color w:val="231F20"/>
          <w:spacing w:val="-7"/>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partido</w:t>
      </w:r>
      <w:r>
        <w:rPr>
          <w:color w:val="231F20"/>
          <w:spacing w:val="-7"/>
          <w:w w:val="105"/>
        </w:rPr>
        <w:t> </w:t>
      </w:r>
      <w:r>
        <w:rPr>
          <w:color w:val="231F20"/>
          <w:w w:val="105"/>
        </w:rPr>
        <w:t>a</w:t>
      </w:r>
      <w:r>
        <w:rPr>
          <w:color w:val="231F20"/>
          <w:spacing w:val="-7"/>
          <w:w w:val="105"/>
        </w:rPr>
        <w:t> </w:t>
      </w:r>
      <w:r>
        <w:rPr>
          <w:color w:val="231F20"/>
          <w:w w:val="105"/>
        </w:rPr>
        <w:t>nivel</w:t>
      </w:r>
      <w:r>
        <w:rPr>
          <w:color w:val="231F20"/>
          <w:spacing w:val="-7"/>
          <w:w w:val="105"/>
        </w:rPr>
        <w:t> </w:t>
      </w:r>
      <w:r>
        <w:rPr>
          <w:color w:val="231F20"/>
          <w:w w:val="105"/>
        </w:rPr>
        <w:t>estatal,</w:t>
      </w:r>
      <w:r>
        <w:rPr>
          <w:color w:val="231F20"/>
          <w:spacing w:val="-7"/>
          <w:w w:val="105"/>
        </w:rPr>
        <w:t> </w:t>
      </w:r>
      <w:r>
        <w:rPr>
          <w:color w:val="231F20"/>
          <w:spacing w:val="2"/>
          <w:w w:val="105"/>
        </w:rPr>
        <w:t>al</w:t>
      </w:r>
      <w:r>
        <w:rPr>
          <w:color w:val="231F20"/>
          <w:spacing w:val="-7"/>
          <w:w w:val="105"/>
        </w:rPr>
        <w:t> </w:t>
      </w:r>
      <w:r>
        <w:rPr>
          <w:color w:val="231F20"/>
          <w:w w:val="105"/>
        </w:rPr>
        <w:t>grado</w:t>
      </w:r>
      <w:r>
        <w:rPr>
          <w:color w:val="231F20"/>
          <w:spacing w:val="-7"/>
          <w:w w:val="105"/>
        </w:rPr>
        <w:t> </w:t>
      </w:r>
      <w:r>
        <w:rPr>
          <w:color w:val="231F20"/>
          <w:w w:val="105"/>
        </w:rPr>
        <w:t>de</w:t>
      </w:r>
      <w:r>
        <w:rPr>
          <w:color w:val="231F20"/>
          <w:spacing w:val="-7"/>
          <w:w w:val="105"/>
        </w:rPr>
        <w:t> </w:t>
      </w:r>
      <w:r>
        <w:rPr>
          <w:color w:val="231F20"/>
          <w:w w:val="105"/>
        </w:rPr>
        <w:t>que el</w:t>
      </w:r>
      <w:r>
        <w:rPr>
          <w:color w:val="231F20"/>
          <w:spacing w:val="-14"/>
          <w:w w:val="105"/>
        </w:rPr>
        <w:t> </w:t>
      </w:r>
      <w:r>
        <w:rPr>
          <w:color w:val="231F20"/>
          <w:w w:val="105"/>
        </w:rPr>
        <w:t>primero</w:t>
      </w:r>
      <w:r>
        <w:rPr>
          <w:color w:val="231F20"/>
          <w:spacing w:val="-14"/>
          <w:w w:val="105"/>
        </w:rPr>
        <w:t> </w:t>
      </w:r>
      <w:r>
        <w:rPr>
          <w:color w:val="231F20"/>
          <w:w w:val="105"/>
        </w:rPr>
        <w:t>se</w:t>
      </w:r>
      <w:r>
        <w:rPr>
          <w:color w:val="231F20"/>
          <w:spacing w:val="-14"/>
          <w:w w:val="105"/>
        </w:rPr>
        <w:t> </w:t>
      </w:r>
      <w:r>
        <w:rPr>
          <w:color w:val="231F20"/>
          <w:w w:val="105"/>
        </w:rPr>
        <w:t>desempeñó</w:t>
      </w:r>
      <w:r>
        <w:rPr>
          <w:color w:val="231F20"/>
          <w:spacing w:val="-14"/>
          <w:w w:val="105"/>
        </w:rPr>
        <w:t> </w:t>
      </w:r>
      <w:r>
        <w:rPr>
          <w:color w:val="231F20"/>
          <w:w w:val="105"/>
        </w:rPr>
        <w:t>como</w:t>
      </w:r>
      <w:r>
        <w:rPr>
          <w:color w:val="231F20"/>
          <w:spacing w:val="-14"/>
          <w:w w:val="105"/>
        </w:rPr>
        <w:t> </w:t>
      </w:r>
      <w:r>
        <w:rPr>
          <w:color w:val="231F20"/>
          <w:w w:val="105"/>
        </w:rPr>
        <w:t>secretario</w:t>
      </w:r>
      <w:r>
        <w:rPr>
          <w:color w:val="231F20"/>
          <w:spacing w:val="-14"/>
          <w:w w:val="105"/>
        </w:rPr>
        <w:t> </w:t>
      </w:r>
      <w:r>
        <w:rPr>
          <w:color w:val="231F20"/>
          <w:w w:val="105"/>
        </w:rPr>
        <w:t>del</w:t>
      </w:r>
      <w:r>
        <w:rPr>
          <w:color w:val="231F20"/>
          <w:spacing w:val="-14"/>
          <w:w w:val="105"/>
        </w:rPr>
        <w:t> </w:t>
      </w:r>
      <w:r>
        <w:rPr>
          <w:color w:val="231F20"/>
          <w:w w:val="105"/>
        </w:rPr>
        <w:t>agua</w:t>
      </w:r>
      <w:r>
        <w:rPr>
          <w:color w:val="231F20"/>
          <w:spacing w:val="-14"/>
          <w:w w:val="105"/>
        </w:rPr>
        <w:t> </w:t>
      </w:r>
      <w:r>
        <w:rPr>
          <w:color w:val="231F20"/>
          <w:w w:val="105"/>
        </w:rPr>
        <w:t>y</w:t>
      </w:r>
      <w:r>
        <w:rPr>
          <w:color w:val="231F20"/>
          <w:spacing w:val="-14"/>
          <w:w w:val="105"/>
        </w:rPr>
        <w:t> </w:t>
      </w:r>
      <w:r>
        <w:rPr>
          <w:color w:val="231F20"/>
          <w:w w:val="105"/>
        </w:rPr>
        <w:t>obra</w:t>
      </w:r>
      <w:r>
        <w:rPr>
          <w:color w:val="231F20"/>
          <w:spacing w:val="-14"/>
          <w:w w:val="105"/>
        </w:rPr>
        <w:t> </w:t>
      </w:r>
      <w:r>
        <w:rPr>
          <w:color w:val="231F20"/>
          <w:w w:val="105"/>
        </w:rPr>
        <w:t>pública</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 y</w:t>
      </w:r>
      <w:r>
        <w:rPr>
          <w:color w:val="231F20"/>
          <w:spacing w:val="-18"/>
          <w:w w:val="105"/>
        </w:rPr>
        <w:t> </w:t>
      </w:r>
      <w:r>
        <w:rPr>
          <w:color w:val="231F20"/>
          <w:w w:val="105"/>
        </w:rPr>
        <w:t>el</w:t>
      </w:r>
      <w:r>
        <w:rPr>
          <w:color w:val="231F20"/>
          <w:spacing w:val="-18"/>
          <w:w w:val="105"/>
        </w:rPr>
        <w:t> </w:t>
      </w:r>
      <w:r>
        <w:rPr>
          <w:color w:val="231F20"/>
          <w:w w:val="105"/>
        </w:rPr>
        <w:t>segundo</w:t>
      </w:r>
      <w:r>
        <w:rPr>
          <w:color w:val="231F20"/>
          <w:spacing w:val="-18"/>
          <w:w w:val="105"/>
        </w:rPr>
        <w:t> </w:t>
      </w:r>
      <w:r>
        <w:rPr>
          <w:color w:val="231F20"/>
          <w:w w:val="105"/>
        </w:rPr>
        <w:t>se</w:t>
      </w:r>
      <w:r>
        <w:rPr>
          <w:color w:val="231F20"/>
          <w:spacing w:val="-18"/>
          <w:w w:val="105"/>
        </w:rPr>
        <w:t> </w:t>
      </w:r>
      <w:r>
        <w:rPr>
          <w:color w:val="231F20"/>
          <w:w w:val="105"/>
        </w:rPr>
        <w:t>incorpora</w:t>
      </w:r>
      <w:r>
        <w:rPr>
          <w:color w:val="231F20"/>
          <w:spacing w:val="-18"/>
          <w:w w:val="105"/>
        </w:rPr>
        <w:t> </w:t>
      </w:r>
      <w:r>
        <w:rPr>
          <w:color w:val="231F20"/>
          <w:spacing w:val="2"/>
          <w:w w:val="105"/>
        </w:rPr>
        <w:t>al</w:t>
      </w:r>
      <w:r>
        <w:rPr>
          <w:color w:val="231F20"/>
          <w:spacing w:val="-18"/>
          <w:w w:val="105"/>
        </w:rPr>
        <w:t> </w:t>
      </w:r>
      <w:r>
        <w:rPr>
          <w:color w:val="231F20"/>
          <w:w w:val="105"/>
        </w:rPr>
        <w:t>proyecto</w:t>
      </w:r>
      <w:r>
        <w:rPr>
          <w:color w:val="231F20"/>
          <w:spacing w:val="-18"/>
          <w:w w:val="105"/>
        </w:rPr>
        <w:t> </w:t>
      </w:r>
      <w:r>
        <w:rPr>
          <w:color w:val="231F20"/>
          <w:w w:val="105"/>
        </w:rPr>
        <w:t>del</w:t>
      </w:r>
      <w:r>
        <w:rPr>
          <w:color w:val="231F20"/>
          <w:spacing w:val="-18"/>
          <w:w w:val="105"/>
        </w:rPr>
        <w:t> </w:t>
      </w:r>
      <w:r>
        <w:rPr>
          <w:color w:val="231F20"/>
          <w:w w:val="105"/>
        </w:rPr>
        <w:t>gobernador</w:t>
      </w:r>
      <w:r>
        <w:rPr>
          <w:color w:val="231F20"/>
          <w:spacing w:val="-18"/>
          <w:w w:val="105"/>
        </w:rPr>
        <w:t> </w:t>
      </w:r>
      <w:r>
        <w:rPr>
          <w:color w:val="231F20"/>
          <w:w w:val="105"/>
        </w:rPr>
        <w:t>Enrique</w:t>
      </w:r>
      <w:r>
        <w:rPr>
          <w:color w:val="231F20"/>
          <w:spacing w:val="-18"/>
          <w:w w:val="105"/>
        </w:rPr>
        <w:t> </w:t>
      </w:r>
      <w:r>
        <w:rPr>
          <w:color w:val="231F20"/>
          <w:w w:val="105"/>
        </w:rPr>
        <w:t>Peña</w:t>
      </w:r>
      <w:r>
        <w:rPr>
          <w:color w:val="231F20"/>
          <w:spacing w:val="-18"/>
          <w:w w:val="105"/>
        </w:rPr>
        <w:t> </w:t>
      </w:r>
      <w:r>
        <w:rPr>
          <w:color w:val="231F20"/>
          <w:w w:val="105"/>
        </w:rPr>
        <w:t>en</w:t>
      </w:r>
      <w:r>
        <w:rPr>
          <w:color w:val="231F20"/>
          <w:spacing w:val="-18"/>
          <w:w w:val="105"/>
        </w:rPr>
        <w:t> </w:t>
      </w:r>
      <w:r>
        <w:rPr>
          <w:color w:val="231F20"/>
          <w:w w:val="105"/>
        </w:rPr>
        <w:t>su</w:t>
      </w:r>
      <w:r>
        <w:rPr>
          <w:color w:val="231F20"/>
          <w:spacing w:val="-18"/>
          <w:w w:val="105"/>
        </w:rPr>
        <w:t> </w:t>
      </w:r>
      <w:r>
        <w:rPr>
          <w:color w:val="231F20"/>
          <w:w w:val="105"/>
        </w:rPr>
        <w:t>búsqueda</w:t>
      </w:r>
      <w:r>
        <w:rPr>
          <w:color w:val="231F20"/>
          <w:spacing w:val="-18"/>
          <w:w w:val="105"/>
        </w:rPr>
        <w:t> </w:t>
      </w:r>
      <w:r>
        <w:rPr>
          <w:color w:val="231F20"/>
          <w:w w:val="105"/>
        </w:rPr>
        <w:t>de</w:t>
      </w:r>
      <w:r>
        <w:rPr>
          <w:color w:val="231F20"/>
          <w:spacing w:val="-18"/>
          <w:w w:val="105"/>
        </w:rPr>
        <w:t> </w:t>
      </w:r>
      <w:r>
        <w:rPr>
          <w:color w:val="231F20"/>
          <w:w w:val="105"/>
        </w:rPr>
        <w:t>la candidatura</w:t>
      </w:r>
      <w:r>
        <w:rPr>
          <w:color w:val="231F20"/>
          <w:spacing w:val="-8"/>
          <w:w w:val="105"/>
        </w:rPr>
        <w:t> </w:t>
      </w:r>
      <w:r>
        <w:rPr>
          <w:color w:val="231F20"/>
          <w:w w:val="105"/>
        </w:rPr>
        <w:t>a</w:t>
      </w:r>
      <w:r>
        <w:rPr>
          <w:color w:val="231F20"/>
          <w:spacing w:val="-8"/>
          <w:w w:val="105"/>
        </w:rPr>
        <w:t> </w:t>
      </w:r>
      <w:r>
        <w:rPr>
          <w:color w:val="231F20"/>
          <w:w w:val="105"/>
        </w:rPr>
        <w:t>Presidente</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República</w:t>
      </w:r>
      <w:r>
        <w:rPr>
          <w:color w:val="231F20"/>
          <w:w w:val="105"/>
          <w:position w:val="7"/>
          <w:sz w:val="13"/>
        </w:rPr>
        <w:t>33</w:t>
      </w:r>
      <w:r>
        <w:rPr>
          <w:color w:val="231F20"/>
          <w:w w:val="105"/>
        </w:rPr>
        <w:t>.</w:t>
      </w:r>
      <w:r>
        <w:rPr>
          <w:color w:val="231F20"/>
          <w:spacing w:val="-8"/>
          <w:w w:val="105"/>
        </w:rPr>
        <w:t> </w:t>
      </w:r>
      <w:r>
        <w:rPr>
          <w:color w:val="231F20"/>
          <w:w w:val="105"/>
        </w:rPr>
        <w:t>En</w:t>
      </w:r>
      <w:r>
        <w:rPr>
          <w:color w:val="231F20"/>
          <w:spacing w:val="-8"/>
          <w:w w:val="105"/>
        </w:rPr>
        <w:t> </w:t>
      </w:r>
      <w:r>
        <w:rPr>
          <w:color w:val="231F20"/>
          <w:w w:val="105"/>
        </w:rPr>
        <w:t>gran</w:t>
      </w:r>
      <w:r>
        <w:rPr>
          <w:color w:val="231F20"/>
          <w:spacing w:val="-8"/>
          <w:w w:val="105"/>
        </w:rPr>
        <w:t> </w:t>
      </w:r>
      <w:r>
        <w:rPr>
          <w:color w:val="231F20"/>
          <w:w w:val="105"/>
        </w:rPr>
        <w:t>parte,</w:t>
      </w:r>
      <w:r>
        <w:rPr>
          <w:color w:val="231F20"/>
          <w:spacing w:val="-8"/>
          <w:w w:val="105"/>
        </w:rPr>
        <w:t> </w:t>
      </w:r>
      <w:r>
        <w:rPr>
          <w:color w:val="231F20"/>
          <w:w w:val="105"/>
        </w:rPr>
        <w:t>la</w:t>
      </w:r>
      <w:r>
        <w:rPr>
          <w:color w:val="231F20"/>
          <w:spacing w:val="-8"/>
          <w:w w:val="105"/>
        </w:rPr>
        <w:t> </w:t>
      </w:r>
      <w:r>
        <w:rPr>
          <w:color w:val="231F20"/>
          <w:w w:val="105"/>
        </w:rPr>
        <w:t>discontinuidad</w:t>
      </w:r>
      <w:r>
        <w:rPr>
          <w:color w:val="231F20"/>
          <w:spacing w:val="-8"/>
          <w:w w:val="105"/>
        </w:rPr>
        <w:t> </w:t>
      </w:r>
      <w:r>
        <w:rPr>
          <w:color w:val="231F20"/>
          <w:w w:val="105"/>
        </w:rPr>
        <w:t>de</w:t>
      </w:r>
      <w:r>
        <w:rPr>
          <w:color w:val="231F20"/>
          <w:spacing w:val="-8"/>
          <w:w w:val="105"/>
        </w:rPr>
        <w:t> </w:t>
      </w:r>
      <w:r>
        <w:rPr>
          <w:color w:val="231F20"/>
          <w:w w:val="105"/>
        </w:rPr>
        <w:t>equipos de</w:t>
      </w:r>
      <w:r>
        <w:rPr>
          <w:color w:val="231F20"/>
          <w:spacing w:val="-23"/>
          <w:w w:val="105"/>
        </w:rPr>
        <w:t> </w:t>
      </w:r>
      <w:r>
        <w:rPr>
          <w:color w:val="231F20"/>
          <w:w w:val="105"/>
        </w:rPr>
        <w:t>trabajo</w:t>
      </w:r>
      <w:r>
        <w:rPr>
          <w:color w:val="231F20"/>
          <w:spacing w:val="-23"/>
          <w:w w:val="105"/>
        </w:rPr>
        <w:t> </w:t>
      </w:r>
      <w:r>
        <w:rPr>
          <w:color w:val="231F20"/>
          <w:w w:val="105"/>
        </w:rPr>
        <w:t>y</w:t>
      </w:r>
      <w:r>
        <w:rPr>
          <w:color w:val="231F20"/>
          <w:spacing w:val="-23"/>
          <w:w w:val="105"/>
        </w:rPr>
        <w:t> </w:t>
      </w:r>
      <w:r>
        <w:rPr>
          <w:color w:val="231F20"/>
          <w:w w:val="105"/>
        </w:rPr>
        <w:t>políticas</w:t>
      </w:r>
      <w:r>
        <w:rPr>
          <w:color w:val="231F20"/>
          <w:spacing w:val="-23"/>
          <w:w w:val="105"/>
        </w:rPr>
        <w:t> </w:t>
      </w:r>
      <w:r>
        <w:rPr>
          <w:color w:val="231F20"/>
          <w:w w:val="105"/>
        </w:rPr>
        <w:t>de</w:t>
      </w:r>
      <w:r>
        <w:rPr>
          <w:color w:val="231F20"/>
          <w:spacing w:val="-23"/>
          <w:w w:val="105"/>
        </w:rPr>
        <w:t> </w:t>
      </w:r>
      <w:r>
        <w:rPr>
          <w:color w:val="231F20"/>
          <w:w w:val="105"/>
        </w:rPr>
        <w:t>gobierno</w:t>
      </w:r>
      <w:r>
        <w:rPr>
          <w:color w:val="231F20"/>
          <w:spacing w:val="-23"/>
          <w:w w:val="105"/>
        </w:rPr>
        <w:t> </w:t>
      </w:r>
      <w:r>
        <w:rPr>
          <w:color w:val="231F20"/>
          <w:w w:val="105"/>
        </w:rPr>
        <w:t>se</w:t>
      </w:r>
      <w:r>
        <w:rPr>
          <w:color w:val="231F20"/>
          <w:spacing w:val="-23"/>
          <w:w w:val="105"/>
        </w:rPr>
        <w:t> </w:t>
      </w:r>
      <w:r>
        <w:rPr>
          <w:color w:val="231F20"/>
          <w:w w:val="105"/>
        </w:rPr>
        <w:t>debe,</w:t>
      </w:r>
      <w:r>
        <w:rPr>
          <w:color w:val="231F20"/>
          <w:spacing w:val="-23"/>
          <w:w w:val="105"/>
        </w:rPr>
        <w:t> </w:t>
      </w:r>
      <w:r>
        <w:rPr>
          <w:color w:val="231F20"/>
          <w:w w:val="105"/>
        </w:rPr>
        <w:t>por</w:t>
      </w:r>
      <w:r>
        <w:rPr>
          <w:color w:val="231F20"/>
          <w:spacing w:val="-23"/>
          <w:w w:val="105"/>
        </w:rPr>
        <w:t> </w:t>
      </w:r>
      <w:r>
        <w:rPr>
          <w:color w:val="231F20"/>
          <w:w w:val="105"/>
        </w:rPr>
        <w:t>un</w:t>
      </w:r>
      <w:r>
        <w:rPr>
          <w:color w:val="231F20"/>
          <w:spacing w:val="-23"/>
          <w:w w:val="105"/>
        </w:rPr>
        <w:t> </w:t>
      </w:r>
      <w:r>
        <w:rPr>
          <w:color w:val="231F20"/>
          <w:w w:val="105"/>
        </w:rPr>
        <w:t>lado,</w:t>
      </w:r>
      <w:r>
        <w:rPr>
          <w:color w:val="231F20"/>
          <w:spacing w:val="-23"/>
          <w:w w:val="105"/>
        </w:rPr>
        <w:t> </w:t>
      </w:r>
      <w:r>
        <w:rPr>
          <w:color w:val="231F20"/>
          <w:spacing w:val="2"/>
          <w:w w:val="105"/>
        </w:rPr>
        <w:t>al</w:t>
      </w:r>
      <w:r>
        <w:rPr>
          <w:color w:val="231F20"/>
          <w:spacing w:val="-23"/>
          <w:w w:val="105"/>
        </w:rPr>
        <w:t> </w:t>
      </w:r>
      <w:r>
        <w:rPr>
          <w:color w:val="231F20"/>
          <w:w w:val="105"/>
        </w:rPr>
        <w:t>interés</w:t>
      </w:r>
      <w:r>
        <w:rPr>
          <w:color w:val="231F20"/>
          <w:spacing w:val="-23"/>
          <w:w w:val="105"/>
        </w:rPr>
        <w:t> </w:t>
      </w:r>
      <w:r>
        <w:rPr>
          <w:color w:val="231F20"/>
          <w:w w:val="105"/>
        </w:rPr>
        <w:t>personal</w:t>
      </w:r>
      <w:r>
        <w:rPr>
          <w:color w:val="231F20"/>
          <w:spacing w:val="-23"/>
          <w:w w:val="105"/>
        </w:rPr>
        <w:t> </w:t>
      </w:r>
      <w:r>
        <w:rPr>
          <w:color w:val="231F20"/>
          <w:w w:val="105"/>
        </w:rPr>
        <w:t>de</w:t>
      </w:r>
      <w:r>
        <w:rPr>
          <w:color w:val="231F20"/>
          <w:spacing w:val="-23"/>
          <w:w w:val="105"/>
        </w:rPr>
        <w:t> </w:t>
      </w:r>
      <w:r>
        <w:rPr>
          <w:color w:val="231F20"/>
          <w:w w:val="105"/>
        </w:rPr>
        <w:t>cada</w:t>
      </w:r>
      <w:r>
        <w:rPr>
          <w:color w:val="231F20"/>
          <w:spacing w:val="-23"/>
          <w:w w:val="105"/>
        </w:rPr>
        <w:t> </w:t>
      </w:r>
      <w:r>
        <w:rPr>
          <w:color w:val="231F20"/>
          <w:w w:val="105"/>
        </w:rPr>
        <w:t>alcalde por</w:t>
      </w:r>
      <w:r>
        <w:rPr>
          <w:color w:val="231F20"/>
          <w:spacing w:val="-18"/>
          <w:w w:val="105"/>
        </w:rPr>
        <w:t> </w:t>
      </w:r>
      <w:r>
        <w:rPr>
          <w:color w:val="231F20"/>
          <w:w w:val="105"/>
        </w:rPr>
        <w:t>imprimir</w:t>
      </w:r>
      <w:r>
        <w:rPr>
          <w:color w:val="231F20"/>
          <w:spacing w:val="-18"/>
          <w:w w:val="105"/>
        </w:rPr>
        <w:t> </w:t>
      </w:r>
      <w:r>
        <w:rPr>
          <w:color w:val="231F20"/>
          <w:w w:val="105"/>
        </w:rPr>
        <w:t>un</w:t>
      </w:r>
      <w:r>
        <w:rPr>
          <w:color w:val="231F20"/>
          <w:spacing w:val="-18"/>
          <w:w w:val="105"/>
        </w:rPr>
        <w:t> </w:t>
      </w:r>
      <w:r>
        <w:rPr>
          <w:color w:val="231F20"/>
          <w:w w:val="105"/>
        </w:rPr>
        <w:t>“sello</w:t>
      </w:r>
      <w:r>
        <w:rPr>
          <w:color w:val="231F20"/>
          <w:spacing w:val="-18"/>
          <w:w w:val="105"/>
        </w:rPr>
        <w:t> </w:t>
      </w:r>
      <w:r>
        <w:rPr>
          <w:color w:val="231F20"/>
          <w:w w:val="105"/>
        </w:rPr>
        <w:t>personal”</w:t>
      </w:r>
      <w:r>
        <w:rPr>
          <w:color w:val="231F20"/>
          <w:spacing w:val="-18"/>
          <w:w w:val="105"/>
        </w:rPr>
        <w:t> </w:t>
      </w:r>
      <w:r>
        <w:rPr>
          <w:color w:val="231F20"/>
          <w:w w:val="105"/>
        </w:rPr>
        <w:t>a</w:t>
      </w:r>
      <w:r>
        <w:rPr>
          <w:color w:val="231F20"/>
          <w:spacing w:val="-18"/>
          <w:w w:val="105"/>
        </w:rPr>
        <w:t> </w:t>
      </w:r>
      <w:r>
        <w:rPr>
          <w:color w:val="231F20"/>
          <w:w w:val="105"/>
        </w:rPr>
        <w:t>su</w:t>
      </w:r>
      <w:r>
        <w:rPr>
          <w:color w:val="231F20"/>
          <w:spacing w:val="-18"/>
          <w:w w:val="105"/>
        </w:rPr>
        <w:t> </w:t>
      </w:r>
      <w:r>
        <w:rPr>
          <w:color w:val="231F20"/>
          <w:w w:val="105"/>
        </w:rPr>
        <w:t>gestión</w:t>
      </w:r>
      <w:r>
        <w:rPr>
          <w:color w:val="231F20"/>
          <w:spacing w:val="-18"/>
          <w:w w:val="105"/>
        </w:rPr>
        <w:t> </w:t>
      </w:r>
      <w:r>
        <w:rPr>
          <w:color w:val="231F20"/>
          <w:w w:val="105"/>
        </w:rPr>
        <w:t>de</w:t>
      </w:r>
      <w:r>
        <w:rPr>
          <w:color w:val="231F20"/>
          <w:spacing w:val="-18"/>
          <w:w w:val="105"/>
        </w:rPr>
        <w:t> </w:t>
      </w:r>
      <w:r>
        <w:rPr>
          <w:color w:val="231F20"/>
          <w:w w:val="105"/>
        </w:rPr>
        <w:t>gobierno</w:t>
      </w:r>
      <w:r>
        <w:rPr>
          <w:color w:val="231F20"/>
          <w:spacing w:val="-18"/>
          <w:w w:val="105"/>
        </w:rPr>
        <w:t> </w:t>
      </w:r>
      <w:r>
        <w:rPr>
          <w:color w:val="231F20"/>
          <w:w w:val="105"/>
        </w:rPr>
        <w:t>que</w:t>
      </w:r>
      <w:r>
        <w:rPr>
          <w:color w:val="231F20"/>
          <w:spacing w:val="-18"/>
          <w:w w:val="105"/>
        </w:rPr>
        <w:t> </w:t>
      </w:r>
      <w:r>
        <w:rPr>
          <w:color w:val="231F20"/>
          <w:w w:val="105"/>
        </w:rPr>
        <w:t>le</w:t>
      </w:r>
      <w:r>
        <w:rPr>
          <w:color w:val="231F20"/>
          <w:spacing w:val="-18"/>
          <w:w w:val="105"/>
        </w:rPr>
        <w:t> </w:t>
      </w:r>
      <w:r>
        <w:rPr>
          <w:color w:val="231F20"/>
          <w:spacing w:val="2"/>
          <w:w w:val="105"/>
        </w:rPr>
        <w:t>sirva</w:t>
      </w:r>
      <w:r>
        <w:rPr>
          <w:color w:val="231F20"/>
          <w:spacing w:val="-18"/>
          <w:w w:val="105"/>
        </w:rPr>
        <w:t> </w:t>
      </w:r>
      <w:r>
        <w:rPr>
          <w:color w:val="231F20"/>
          <w:w w:val="105"/>
        </w:rPr>
        <w:t>de</w:t>
      </w:r>
      <w:r>
        <w:rPr>
          <w:color w:val="231F20"/>
          <w:spacing w:val="-18"/>
          <w:w w:val="105"/>
        </w:rPr>
        <w:t> </w:t>
      </w:r>
      <w:r>
        <w:rPr>
          <w:color w:val="231F20"/>
          <w:w w:val="105"/>
        </w:rPr>
        <w:t>capital</w:t>
      </w:r>
      <w:r>
        <w:rPr>
          <w:color w:val="231F20"/>
          <w:spacing w:val="-18"/>
          <w:w w:val="105"/>
        </w:rPr>
        <w:t> </w:t>
      </w:r>
      <w:r>
        <w:rPr>
          <w:color w:val="231F20"/>
          <w:w w:val="105"/>
        </w:rPr>
        <w:t>político a</w:t>
      </w:r>
      <w:r>
        <w:rPr>
          <w:color w:val="231F20"/>
          <w:spacing w:val="-5"/>
          <w:w w:val="105"/>
        </w:rPr>
        <w:t> </w:t>
      </w:r>
      <w:r>
        <w:rPr>
          <w:color w:val="231F20"/>
          <w:w w:val="105"/>
        </w:rPr>
        <w:t>futuro</w:t>
      </w:r>
      <w:r>
        <w:rPr>
          <w:color w:val="231F20"/>
          <w:spacing w:val="-5"/>
          <w:w w:val="105"/>
        </w:rPr>
        <w:t> </w:t>
      </w:r>
      <w:r>
        <w:rPr>
          <w:color w:val="231F20"/>
          <w:spacing w:val="-7"/>
          <w:w w:val="105"/>
        </w:rPr>
        <w:t>y,</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otro</w:t>
      </w:r>
      <w:r>
        <w:rPr>
          <w:color w:val="231F20"/>
          <w:spacing w:val="-5"/>
          <w:w w:val="105"/>
        </w:rPr>
        <w:t> </w:t>
      </w:r>
      <w:r>
        <w:rPr>
          <w:color w:val="231F20"/>
          <w:w w:val="105"/>
        </w:rPr>
        <w:t>lado,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centralización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decisiones</w:t>
      </w:r>
      <w:r>
        <w:rPr>
          <w:color w:val="231F20"/>
          <w:spacing w:val="-5"/>
          <w:w w:val="105"/>
        </w:rPr>
        <w:t> </w:t>
      </w:r>
      <w:r>
        <w:rPr>
          <w:color w:val="231F20"/>
          <w:w w:val="105"/>
        </w:rPr>
        <w:t>en</w:t>
      </w:r>
      <w:r>
        <w:rPr>
          <w:color w:val="231F20"/>
          <w:spacing w:val="-5"/>
          <w:w w:val="105"/>
        </w:rPr>
        <w:t> </w:t>
      </w:r>
      <w:r>
        <w:rPr>
          <w:color w:val="231F20"/>
          <w:w w:val="105"/>
        </w:rPr>
        <w:t>torno</w:t>
      </w:r>
      <w:r>
        <w:rPr>
          <w:color w:val="231F20"/>
          <w:spacing w:val="-5"/>
          <w:w w:val="105"/>
        </w:rPr>
        <w:t> </w:t>
      </w:r>
      <w:r>
        <w:rPr>
          <w:color w:val="231F20"/>
          <w:w w:val="105"/>
        </w:rPr>
        <w:t>del</w:t>
      </w:r>
      <w:r>
        <w:rPr>
          <w:color w:val="231F20"/>
          <w:spacing w:val="-5"/>
          <w:w w:val="105"/>
        </w:rPr>
        <w:t> </w:t>
      </w:r>
      <w:r>
        <w:rPr>
          <w:color w:val="231F20"/>
          <w:w w:val="105"/>
        </w:rPr>
        <w:t>al- calde</w:t>
      </w:r>
      <w:r>
        <w:rPr>
          <w:color w:val="231F20"/>
          <w:spacing w:val="-9"/>
          <w:w w:val="105"/>
        </w:rPr>
        <w:t> </w:t>
      </w:r>
      <w:r>
        <w:rPr>
          <w:color w:val="231F20"/>
          <w:w w:val="105"/>
        </w:rPr>
        <w:t>y</w:t>
      </w:r>
      <w:r>
        <w:rPr>
          <w:color w:val="231F20"/>
          <w:spacing w:val="-9"/>
          <w:w w:val="105"/>
        </w:rPr>
        <w:t> </w:t>
      </w:r>
      <w:r>
        <w:rPr>
          <w:color w:val="231F20"/>
          <w:w w:val="105"/>
        </w:rPr>
        <w:t>su</w:t>
      </w:r>
      <w:r>
        <w:rPr>
          <w:color w:val="231F20"/>
          <w:spacing w:val="-10"/>
          <w:w w:val="105"/>
        </w:rPr>
        <w:t> </w:t>
      </w:r>
      <w:r>
        <w:rPr>
          <w:color w:val="231F20"/>
          <w:w w:val="105"/>
        </w:rPr>
        <w:t>equipo,</w:t>
      </w:r>
      <w:r>
        <w:rPr>
          <w:color w:val="231F20"/>
          <w:spacing w:val="-9"/>
          <w:w w:val="105"/>
        </w:rPr>
        <w:t> </w:t>
      </w:r>
      <w:r>
        <w:rPr>
          <w:color w:val="231F20"/>
          <w:w w:val="105"/>
        </w:rPr>
        <w:t>quienes</w:t>
      </w:r>
      <w:r>
        <w:rPr>
          <w:color w:val="231F20"/>
          <w:spacing w:val="-9"/>
          <w:w w:val="105"/>
        </w:rPr>
        <w:t> </w:t>
      </w:r>
      <w:r>
        <w:rPr>
          <w:color w:val="231F20"/>
          <w:w w:val="105"/>
        </w:rPr>
        <w:t>tienen</w:t>
      </w:r>
      <w:r>
        <w:rPr>
          <w:color w:val="231F20"/>
          <w:spacing w:val="-9"/>
          <w:w w:val="105"/>
        </w:rPr>
        <w:t> </w:t>
      </w:r>
      <w:r>
        <w:rPr>
          <w:color w:val="231F20"/>
          <w:w w:val="105"/>
        </w:rPr>
        <w:t>incentivos</w:t>
      </w:r>
      <w:r>
        <w:rPr>
          <w:color w:val="231F20"/>
          <w:spacing w:val="-9"/>
          <w:w w:val="105"/>
        </w:rPr>
        <w:t> </w:t>
      </w:r>
      <w:r>
        <w:rPr>
          <w:color w:val="231F20"/>
          <w:w w:val="105"/>
        </w:rPr>
        <w:t>para</w:t>
      </w:r>
      <w:r>
        <w:rPr>
          <w:color w:val="231F20"/>
          <w:spacing w:val="-10"/>
          <w:w w:val="105"/>
        </w:rPr>
        <w:t> </w:t>
      </w:r>
      <w:r>
        <w:rPr>
          <w:color w:val="231F20"/>
          <w:w w:val="105"/>
        </w:rPr>
        <w:t>distinguirse</w:t>
      </w:r>
      <w:r>
        <w:rPr>
          <w:color w:val="231F20"/>
          <w:spacing w:val="-9"/>
          <w:w w:val="105"/>
        </w:rPr>
        <w:t> </w:t>
      </w:r>
      <w:r>
        <w:rPr>
          <w:color w:val="231F20"/>
          <w:w w:val="105"/>
        </w:rPr>
        <w:t>de</w:t>
      </w:r>
      <w:r>
        <w:rPr>
          <w:color w:val="231F20"/>
          <w:spacing w:val="-10"/>
          <w:w w:val="105"/>
        </w:rPr>
        <w:t> </w:t>
      </w:r>
      <w:r>
        <w:rPr>
          <w:color w:val="231F20"/>
          <w:w w:val="105"/>
        </w:rPr>
        <w:t>sus</w:t>
      </w:r>
      <w:r>
        <w:rPr>
          <w:color w:val="231F20"/>
          <w:spacing w:val="-9"/>
          <w:w w:val="105"/>
        </w:rPr>
        <w:t> </w:t>
      </w:r>
      <w:r>
        <w:rPr>
          <w:color w:val="231F20"/>
          <w:w w:val="105"/>
        </w:rPr>
        <w:t>antecesores</w:t>
      </w:r>
      <w:r>
        <w:rPr>
          <w:color w:val="231F20"/>
          <w:spacing w:val="-10"/>
          <w:w w:val="105"/>
        </w:rPr>
        <w:t> </w:t>
      </w:r>
      <w:r>
        <w:rPr>
          <w:color w:val="231F20"/>
          <w:w w:val="105"/>
        </w:rPr>
        <w:t>con</w:t>
      </w:r>
      <w:r>
        <w:rPr>
          <w:color w:val="231F20"/>
          <w:spacing w:val="-9"/>
          <w:w w:val="105"/>
        </w:rPr>
        <w:t> </w:t>
      </w:r>
      <w:r>
        <w:rPr>
          <w:color w:val="231F20"/>
          <w:w w:val="105"/>
        </w:rPr>
        <w:t>el </w:t>
      </w:r>
      <w:r>
        <w:rPr>
          <w:color w:val="231F20"/>
          <w:spacing w:val="2"/>
          <w:w w:val="105"/>
        </w:rPr>
        <w:t>fin</w:t>
      </w:r>
      <w:r>
        <w:rPr>
          <w:color w:val="231F20"/>
          <w:spacing w:val="-23"/>
          <w:w w:val="105"/>
        </w:rPr>
        <w:t> </w:t>
      </w:r>
      <w:r>
        <w:rPr>
          <w:color w:val="231F20"/>
          <w:w w:val="105"/>
        </w:rPr>
        <w:t>de</w:t>
      </w:r>
      <w:r>
        <w:rPr>
          <w:color w:val="231F20"/>
          <w:spacing w:val="-23"/>
          <w:w w:val="105"/>
        </w:rPr>
        <w:t> </w:t>
      </w:r>
      <w:r>
        <w:rPr>
          <w:color w:val="231F20"/>
          <w:w w:val="105"/>
        </w:rPr>
        <w:t>seguir</w:t>
      </w:r>
      <w:r>
        <w:rPr>
          <w:color w:val="231F20"/>
          <w:spacing w:val="-23"/>
          <w:w w:val="105"/>
        </w:rPr>
        <w:t> </w:t>
      </w:r>
      <w:r>
        <w:rPr>
          <w:color w:val="231F20"/>
          <w:w w:val="105"/>
        </w:rPr>
        <w:t>“cultivando”</w:t>
      </w:r>
      <w:r>
        <w:rPr>
          <w:color w:val="231F20"/>
          <w:spacing w:val="-23"/>
          <w:w w:val="105"/>
        </w:rPr>
        <w:t> </w:t>
      </w:r>
      <w:r>
        <w:rPr>
          <w:color w:val="231F20"/>
          <w:w w:val="105"/>
        </w:rPr>
        <w:t>su</w:t>
      </w:r>
      <w:r>
        <w:rPr>
          <w:color w:val="231F20"/>
          <w:spacing w:val="-23"/>
          <w:w w:val="105"/>
        </w:rPr>
        <w:t> </w:t>
      </w:r>
      <w:r>
        <w:rPr>
          <w:color w:val="231F20"/>
          <w:w w:val="105"/>
        </w:rPr>
        <w:t>proyecto</w:t>
      </w:r>
      <w:r>
        <w:rPr>
          <w:color w:val="231F20"/>
          <w:spacing w:val="-23"/>
          <w:w w:val="105"/>
        </w:rPr>
        <w:t> </w:t>
      </w:r>
      <w:r>
        <w:rPr>
          <w:color w:val="231F20"/>
          <w:w w:val="105"/>
        </w:rPr>
        <w:t>personal</w:t>
      </w:r>
      <w:r>
        <w:rPr>
          <w:color w:val="231F20"/>
          <w:spacing w:val="-23"/>
          <w:w w:val="105"/>
        </w:rPr>
        <w:t> </w:t>
      </w:r>
      <w:r>
        <w:rPr>
          <w:color w:val="231F20"/>
          <w:w w:val="105"/>
        </w:rPr>
        <w:t>y</w:t>
      </w:r>
      <w:r>
        <w:rPr>
          <w:color w:val="231F20"/>
          <w:spacing w:val="-23"/>
          <w:w w:val="105"/>
        </w:rPr>
        <w:t> </w:t>
      </w:r>
      <w:r>
        <w:rPr>
          <w:color w:val="231F20"/>
          <w:w w:val="105"/>
        </w:rPr>
        <w:t>su</w:t>
      </w:r>
      <w:r>
        <w:rPr>
          <w:color w:val="231F20"/>
          <w:spacing w:val="-23"/>
          <w:w w:val="105"/>
        </w:rPr>
        <w:t> </w:t>
      </w:r>
      <w:r>
        <w:rPr>
          <w:color w:val="231F20"/>
          <w:w w:val="105"/>
        </w:rPr>
        <w:t>carrera</w:t>
      </w:r>
      <w:r>
        <w:rPr>
          <w:color w:val="231F20"/>
          <w:spacing w:val="-23"/>
          <w:w w:val="105"/>
        </w:rPr>
        <w:t> </w:t>
      </w:r>
      <w:r>
        <w:rPr>
          <w:color w:val="231F20"/>
          <w:w w:val="105"/>
        </w:rPr>
        <w:t>política,</w:t>
      </w:r>
      <w:r>
        <w:rPr>
          <w:color w:val="231F20"/>
          <w:spacing w:val="-23"/>
          <w:w w:val="105"/>
        </w:rPr>
        <w:t> </w:t>
      </w:r>
      <w:r>
        <w:rPr>
          <w:color w:val="231F20"/>
          <w:w w:val="105"/>
        </w:rPr>
        <w:t>y</w:t>
      </w:r>
      <w:r>
        <w:rPr>
          <w:color w:val="231F20"/>
          <w:spacing w:val="-23"/>
          <w:w w:val="105"/>
        </w:rPr>
        <w:t> </w:t>
      </w:r>
      <w:r>
        <w:rPr>
          <w:color w:val="231F20"/>
          <w:w w:val="105"/>
        </w:rPr>
        <w:t>así</w:t>
      </w:r>
      <w:r>
        <w:rPr>
          <w:color w:val="231F20"/>
          <w:spacing w:val="-23"/>
          <w:w w:val="105"/>
        </w:rPr>
        <w:t> </w:t>
      </w:r>
      <w:r>
        <w:rPr>
          <w:color w:val="231F20"/>
          <w:w w:val="105"/>
        </w:rPr>
        <w:t>ser</w:t>
      </w:r>
      <w:r>
        <w:rPr>
          <w:color w:val="231F20"/>
          <w:spacing w:val="-23"/>
          <w:w w:val="105"/>
        </w:rPr>
        <w:t> </w:t>
      </w:r>
      <w:r>
        <w:rPr>
          <w:color w:val="231F20"/>
          <w:w w:val="105"/>
        </w:rPr>
        <w:t>tomados</w:t>
      </w:r>
      <w:r>
        <w:rPr>
          <w:color w:val="231F20"/>
          <w:spacing w:val="-23"/>
          <w:w w:val="105"/>
        </w:rPr>
        <w:t> </w:t>
      </w:r>
      <w:r>
        <w:rPr>
          <w:color w:val="231F20"/>
          <w:w w:val="105"/>
        </w:rPr>
        <w:t>en cuenta</w:t>
      </w:r>
      <w:r>
        <w:rPr>
          <w:color w:val="231F20"/>
          <w:spacing w:val="-12"/>
          <w:w w:val="105"/>
        </w:rPr>
        <w:t> </w:t>
      </w:r>
      <w:r>
        <w:rPr>
          <w:color w:val="231F20"/>
          <w:w w:val="105"/>
        </w:rPr>
        <w:t>a</w:t>
      </w:r>
      <w:r>
        <w:rPr>
          <w:color w:val="231F20"/>
          <w:spacing w:val="-12"/>
          <w:w w:val="105"/>
        </w:rPr>
        <w:t> </w:t>
      </w:r>
      <w:r>
        <w:rPr>
          <w:color w:val="231F20"/>
          <w:w w:val="105"/>
        </w:rPr>
        <w:t>futuro</w:t>
      </w:r>
      <w:r>
        <w:rPr>
          <w:color w:val="231F20"/>
          <w:spacing w:val="-12"/>
          <w:w w:val="105"/>
        </w:rPr>
        <w:t> </w:t>
      </w:r>
      <w:r>
        <w:rPr>
          <w:color w:val="231F20"/>
          <w:w w:val="105"/>
        </w:rPr>
        <w:t>por</w:t>
      </w:r>
      <w:r>
        <w:rPr>
          <w:color w:val="231F20"/>
          <w:spacing w:val="-12"/>
          <w:w w:val="105"/>
        </w:rPr>
        <w:t> </w:t>
      </w:r>
      <w:r>
        <w:rPr>
          <w:color w:val="231F20"/>
          <w:w w:val="105"/>
        </w:rPr>
        <w:t>los</w:t>
      </w:r>
      <w:r>
        <w:rPr>
          <w:color w:val="231F20"/>
          <w:spacing w:val="-12"/>
          <w:w w:val="105"/>
        </w:rPr>
        <w:t> </w:t>
      </w:r>
      <w:r>
        <w:rPr>
          <w:color w:val="231F20"/>
          <w:w w:val="105"/>
        </w:rPr>
        <w:t>liderazgos</w:t>
      </w:r>
      <w:r>
        <w:rPr>
          <w:color w:val="231F20"/>
          <w:spacing w:val="-12"/>
          <w:w w:val="105"/>
        </w:rPr>
        <w:t> </w:t>
      </w:r>
      <w:r>
        <w:rPr>
          <w:color w:val="231F20"/>
          <w:w w:val="105"/>
        </w:rPr>
        <w:t>del</w:t>
      </w:r>
      <w:r>
        <w:rPr>
          <w:color w:val="231F20"/>
          <w:spacing w:val="-12"/>
          <w:w w:val="105"/>
        </w:rPr>
        <w:t> </w:t>
      </w:r>
      <w:r>
        <w:rPr>
          <w:color w:val="231F20"/>
          <w:w w:val="105"/>
        </w:rPr>
        <w:t>PRI</w:t>
      </w:r>
      <w:r>
        <w:rPr>
          <w:color w:val="231F20"/>
          <w:spacing w:val="-12"/>
          <w:w w:val="105"/>
        </w:rPr>
        <w:t> </w:t>
      </w:r>
      <w:r>
        <w:rPr>
          <w:color w:val="231F20"/>
          <w:w w:val="105"/>
        </w:rPr>
        <w:t>a</w:t>
      </w:r>
      <w:r>
        <w:rPr>
          <w:color w:val="231F20"/>
          <w:spacing w:val="-12"/>
          <w:w w:val="105"/>
        </w:rPr>
        <w:t> </w:t>
      </w:r>
      <w:r>
        <w:rPr>
          <w:color w:val="231F20"/>
          <w:w w:val="105"/>
        </w:rPr>
        <w:t>nivel</w:t>
      </w:r>
      <w:r>
        <w:rPr>
          <w:color w:val="231F20"/>
          <w:spacing w:val="-12"/>
          <w:w w:val="105"/>
        </w:rPr>
        <w:t> </w:t>
      </w:r>
      <w:r>
        <w:rPr>
          <w:color w:val="231F20"/>
          <w:w w:val="105"/>
        </w:rPr>
        <w:t>estatal</w:t>
      </w:r>
      <w:r>
        <w:rPr>
          <w:color w:val="231F20"/>
          <w:spacing w:val="-12"/>
          <w:w w:val="105"/>
        </w:rPr>
        <w:t> </w:t>
      </w:r>
      <w:r>
        <w:rPr>
          <w:color w:val="231F20"/>
          <w:w w:val="105"/>
        </w:rPr>
        <w:t>y</w:t>
      </w:r>
      <w:r>
        <w:rPr>
          <w:color w:val="231F20"/>
          <w:spacing w:val="-12"/>
          <w:w w:val="105"/>
        </w:rPr>
        <w:t> </w:t>
      </w:r>
      <w:r>
        <w:rPr>
          <w:color w:val="231F20"/>
          <w:w w:val="105"/>
        </w:rPr>
        <w:t>del</w:t>
      </w:r>
      <w:r>
        <w:rPr>
          <w:color w:val="231F20"/>
          <w:spacing w:val="-12"/>
          <w:w w:val="105"/>
        </w:rPr>
        <w:t> </w:t>
      </w:r>
      <w:r>
        <w:rPr>
          <w:color w:val="231F20"/>
          <w:w w:val="105"/>
        </w:rPr>
        <w:t>gobernador</w:t>
      </w:r>
      <w:r>
        <w:rPr>
          <w:color w:val="231F20"/>
          <w:spacing w:val="-12"/>
          <w:w w:val="105"/>
        </w:rPr>
        <w:t> </w:t>
      </w:r>
      <w:r>
        <w:rPr>
          <w:color w:val="231F20"/>
          <w:w w:val="105"/>
        </w:rPr>
        <w:t>en</w:t>
      </w:r>
      <w:r>
        <w:rPr>
          <w:color w:val="231F20"/>
          <w:spacing w:val="-12"/>
          <w:w w:val="105"/>
        </w:rPr>
        <w:t> </w:t>
      </w:r>
      <w:r>
        <w:rPr>
          <w:color w:val="231F20"/>
          <w:w w:val="105"/>
        </w:rPr>
        <w:t>turno.</w:t>
      </w:r>
    </w:p>
    <w:p>
      <w:pPr>
        <w:pStyle w:val="BodyText"/>
        <w:spacing w:before="9"/>
      </w:pPr>
    </w:p>
    <w:p>
      <w:pPr>
        <w:pStyle w:val="Heading3"/>
        <w:spacing w:before="1"/>
        <w:ind w:right="1712"/>
        <w:jc w:val="left"/>
      </w:pPr>
      <w:r>
        <w:rPr>
          <w:color w:val="231F20"/>
          <w:w w:val="105"/>
        </w:rPr>
        <w:t>II.2.2. El estilo personal de gobernar en Huixquilucan. Continuidad de la centralización durante el 2006-2009</w:t>
      </w:r>
    </w:p>
    <w:p>
      <w:pPr>
        <w:pStyle w:val="BodyText"/>
        <w:spacing w:line="285" w:lineRule="auto" w:before="38"/>
        <w:ind w:left="110" w:right="108"/>
        <w:jc w:val="both"/>
      </w:pPr>
      <w:r>
        <w:rPr>
          <w:color w:val="231F20"/>
          <w:w w:val="105"/>
        </w:rPr>
        <w:t>Si</w:t>
      </w:r>
      <w:r>
        <w:rPr>
          <w:color w:val="231F20"/>
          <w:spacing w:val="-11"/>
          <w:w w:val="105"/>
        </w:rPr>
        <w:t> </w:t>
      </w:r>
      <w:r>
        <w:rPr>
          <w:color w:val="231F20"/>
          <w:w w:val="105"/>
        </w:rPr>
        <w:t>bien</w:t>
      </w:r>
      <w:r>
        <w:rPr>
          <w:color w:val="231F20"/>
          <w:spacing w:val="-11"/>
          <w:w w:val="105"/>
        </w:rPr>
        <w:t> </w:t>
      </w:r>
      <w:r>
        <w:rPr>
          <w:color w:val="231F20"/>
          <w:w w:val="105"/>
        </w:rPr>
        <w:t>el</w:t>
      </w:r>
      <w:r>
        <w:rPr>
          <w:color w:val="231F20"/>
          <w:spacing w:val="-11"/>
          <w:w w:val="105"/>
        </w:rPr>
        <w:t> </w:t>
      </w:r>
      <w:r>
        <w:rPr>
          <w:color w:val="231F20"/>
          <w:w w:val="105"/>
        </w:rPr>
        <w:t>marco</w:t>
      </w:r>
      <w:r>
        <w:rPr>
          <w:color w:val="231F20"/>
          <w:spacing w:val="-11"/>
          <w:w w:val="105"/>
        </w:rPr>
        <w:t> </w:t>
      </w:r>
      <w:r>
        <w:rPr>
          <w:color w:val="231F20"/>
          <w:spacing w:val="2"/>
          <w:w w:val="105"/>
        </w:rPr>
        <w:t>institucional</w:t>
      </w:r>
      <w:r>
        <w:rPr>
          <w:color w:val="231F20"/>
          <w:spacing w:val="-11"/>
          <w:w w:val="105"/>
        </w:rPr>
        <w:t> </w:t>
      </w:r>
      <w:r>
        <w:rPr>
          <w:color w:val="231F20"/>
          <w:w w:val="105"/>
        </w:rPr>
        <w:t>de</w:t>
      </w:r>
      <w:r>
        <w:rPr>
          <w:color w:val="231F20"/>
          <w:spacing w:val="-11"/>
          <w:w w:val="105"/>
        </w:rPr>
        <w:t> </w:t>
      </w:r>
      <w:r>
        <w:rPr>
          <w:color w:val="231F20"/>
          <w:w w:val="105"/>
        </w:rPr>
        <w:t>integración</w:t>
      </w:r>
      <w:r>
        <w:rPr>
          <w:color w:val="231F20"/>
          <w:spacing w:val="-11"/>
          <w:w w:val="105"/>
        </w:rPr>
        <w:t> </w:t>
      </w:r>
      <w:r>
        <w:rPr>
          <w:color w:val="231F20"/>
          <w:w w:val="105"/>
        </w:rPr>
        <w:t>y</w:t>
      </w:r>
      <w:r>
        <w:rPr>
          <w:color w:val="231F20"/>
          <w:spacing w:val="-11"/>
          <w:w w:val="105"/>
        </w:rPr>
        <w:t> </w:t>
      </w:r>
      <w:r>
        <w:rPr>
          <w:color w:val="231F20"/>
          <w:spacing w:val="2"/>
          <w:w w:val="105"/>
        </w:rPr>
        <w:t>funcionamiento</w:t>
      </w:r>
      <w:r>
        <w:rPr>
          <w:color w:val="231F20"/>
          <w:spacing w:val="-11"/>
          <w:w w:val="105"/>
        </w:rPr>
        <w:t> </w:t>
      </w:r>
      <w:r>
        <w:rPr>
          <w:color w:val="231F20"/>
          <w:w w:val="105"/>
        </w:rPr>
        <w:t>del</w:t>
      </w:r>
      <w:r>
        <w:rPr>
          <w:color w:val="231F20"/>
          <w:spacing w:val="-11"/>
          <w:w w:val="105"/>
        </w:rPr>
        <w:t> </w:t>
      </w:r>
      <w:r>
        <w:rPr>
          <w:color w:val="231F20"/>
          <w:w w:val="105"/>
        </w:rPr>
        <w:t>municipio</w:t>
      </w:r>
      <w:r>
        <w:rPr>
          <w:color w:val="231F20"/>
          <w:spacing w:val="-11"/>
          <w:w w:val="105"/>
        </w:rPr>
        <w:t> </w:t>
      </w:r>
      <w:r>
        <w:rPr>
          <w:color w:val="231F20"/>
          <w:w w:val="105"/>
        </w:rPr>
        <w:t>de</w:t>
      </w:r>
      <w:r>
        <w:rPr>
          <w:color w:val="231F20"/>
          <w:spacing w:val="-11"/>
          <w:w w:val="105"/>
        </w:rPr>
        <w:t> </w:t>
      </w:r>
      <w:r>
        <w:rPr>
          <w:color w:val="231F20"/>
          <w:w w:val="105"/>
        </w:rPr>
        <w:t>Huix- </w:t>
      </w:r>
      <w:r>
        <w:rPr>
          <w:color w:val="231F20"/>
          <w:spacing w:val="2"/>
          <w:w w:val="105"/>
        </w:rPr>
        <w:t>quilucan </w:t>
      </w:r>
      <w:r>
        <w:rPr>
          <w:color w:val="231F20"/>
          <w:w w:val="105"/>
        </w:rPr>
        <w:t>tiende a fomentar la </w:t>
      </w:r>
      <w:r>
        <w:rPr>
          <w:color w:val="231F20"/>
          <w:spacing w:val="2"/>
          <w:w w:val="105"/>
        </w:rPr>
        <w:t>centralización </w:t>
      </w:r>
      <w:r>
        <w:rPr>
          <w:color w:val="231F20"/>
          <w:w w:val="105"/>
        </w:rPr>
        <w:t>y </w:t>
      </w:r>
      <w:r>
        <w:rPr>
          <w:color w:val="231F20"/>
          <w:spacing w:val="2"/>
          <w:w w:val="105"/>
        </w:rPr>
        <w:t>personalización </w:t>
      </w:r>
      <w:r>
        <w:rPr>
          <w:color w:val="231F20"/>
          <w:w w:val="105"/>
        </w:rPr>
        <w:t>en torno </w:t>
      </w:r>
      <w:r>
        <w:rPr>
          <w:color w:val="231F20"/>
          <w:spacing w:val="3"/>
          <w:w w:val="105"/>
        </w:rPr>
        <w:t>al </w:t>
      </w:r>
      <w:r>
        <w:rPr>
          <w:color w:val="231F20"/>
          <w:w w:val="105"/>
        </w:rPr>
        <w:t>presidente </w:t>
      </w:r>
      <w:r>
        <w:rPr>
          <w:color w:val="231F20"/>
          <w:spacing w:val="2"/>
          <w:w w:val="105"/>
        </w:rPr>
        <w:t>municipal, </w:t>
      </w:r>
      <w:r>
        <w:rPr>
          <w:color w:val="231F20"/>
          <w:w w:val="105"/>
        </w:rPr>
        <w:t>entonces </w:t>
      </w:r>
      <w:r>
        <w:rPr>
          <w:color w:val="231F20"/>
          <w:spacing w:val="2"/>
          <w:w w:val="105"/>
        </w:rPr>
        <w:t>parece necesario </w:t>
      </w:r>
      <w:r>
        <w:rPr>
          <w:color w:val="231F20"/>
          <w:spacing w:val="4"/>
          <w:w w:val="105"/>
        </w:rPr>
        <w:t>analizar </w:t>
      </w:r>
      <w:r>
        <w:rPr>
          <w:color w:val="231F20"/>
          <w:spacing w:val="2"/>
          <w:w w:val="105"/>
        </w:rPr>
        <w:t>las características </w:t>
      </w:r>
      <w:r>
        <w:rPr>
          <w:color w:val="231F20"/>
          <w:w w:val="105"/>
        </w:rPr>
        <w:t>de este actor </w:t>
      </w:r>
      <w:r>
        <w:rPr>
          <w:color w:val="231F20"/>
          <w:spacing w:val="2"/>
          <w:w w:val="105"/>
        </w:rPr>
        <w:t>duran- </w:t>
      </w:r>
      <w:r>
        <w:rPr>
          <w:color w:val="231F20"/>
          <w:w w:val="105"/>
        </w:rPr>
        <w:t>te</w:t>
      </w:r>
      <w:r>
        <w:rPr>
          <w:color w:val="231F20"/>
          <w:spacing w:val="-5"/>
          <w:w w:val="105"/>
        </w:rPr>
        <w:t> </w:t>
      </w:r>
      <w:r>
        <w:rPr>
          <w:color w:val="231F20"/>
          <w:w w:val="105"/>
        </w:rPr>
        <w:t>la</w:t>
      </w:r>
      <w:r>
        <w:rPr>
          <w:color w:val="231F20"/>
          <w:spacing w:val="-5"/>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decisiones</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gobierno.</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spacing w:val="4"/>
          <w:w w:val="105"/>
        </w:rPr>
        <w:t>fin</w:t>
      </w:r>
      <w:r>
        <w:rPr>
          <w:color w:val="231F20"/>
          <w:spacing w:val="-5"/>
          <w:w w:val="105"/>
        </w:rPr>
        <w:t> </w:t>
      </w:r>
      <w:r>
        <w:rPr>
          <w:color w:val="231F20"/>
          <w:w w:val="105"/>
        </w:rPr>
        <w:t>de</w:t>
      </w:r>
      <w:r>
        <w:rPr>
          <w:color w:val="231F20"/>
          <w:spacing w:val="-5"/>
          <w:w w:val="105"/>
        </w:rPr>
        <w:t> </w:t>
      </w:r>
      <w:r>
        <w:rPr>
          <w:color w:val="231F20"/>
          <w:spacing w:val="2"/>
          <w:w w:val="105"/>
        </w:rPr>
        <w:t>lograr</w:t>
      </w:r>
      <w:r>
        <w:rPr>
          <w:color w:val="231F20"/>
          <w:spacing w:val="-5"/>
          <w:w w:val="105"/>
        </w:rPr>
        <w:t> </w:t>
      </w:r>
      <w:r>
        <w:rPr>
          <w:color w:val="231F20"/>
          <w:w w:val="105"/>
        </w:rPr>
        <w:t>este</w:t>
      </w:r>
      <w:r>
        <w:rPr>
          <w:color w:val="231F20"/>
          <w:spacing w:val="-5"/>
          <w:w w:val="105"/>
        </w:rPr>
        <w:t> </w:t>
      </w:r>
      <w:r>
        <w:rPr>
          <w:color w:val="231F20"/>
          <w:w w:val="105"/>
        </w:rPr>
        <w:t>acercamiento</w:t>
      </w:r>
      <w:r>
        <w:rPr>
          <w:color w:val="231F20"/>
          <w:spacing w:val="-5"/>
          <w:w w:val="105"/>
        </w:rPr>
        <w:t> </w:t>
      </w:r>
      <w:r>
        <w:rPr>
          <w:color w:val="231F20"/>
          <w:spacing w:val="3"/>
          <w:w w:val="105"/>
        </w:rPr>
        <w:t>recurrí </w:t>
      </w:r>
      <w:r>
        <w:rPr>
          <w:color w:val="231F20"/>
          <w:w w:val="105"/>
        </w:rPr>
        <w:t>a </w:t>
      </w:r>
      <w:r>
        <w:rPr>
          <w:color w:val="231F20"/>
          <w:spacing w:val="2"/>
          <w:w w:val="105"/>
        </w:rPr>
        <w:t>identificar las </w:t>
      </w:r>
      <w:r>
        <w:rPr>
          <w:color w:val="231F20"/>
          <w:w w:val="105"/>
        </w:rPr>
        <w:t>disposiciones del </w:t>
      </w:r>
      <w:r>
        <w:rPr>
          <w:color w:val="231F20"/>
          <w:spacing w:val="2"/>
          <w:w w:val="105"/>
        </w:rPr>
        <w:t>alcalde para </w:t>
      </w:r>
      <w:r>
        <w:rPr>
          <w:color w:val="231F20"/>
          <w:w w:val="105"/>
        </w:rPr>
        <w:t>fomentar la inclusión de intereses di- versos,</w:t>
      </w:r>
      <w:r>
        <w:rPr>
          <w:color w:val="231F20"/>
          <w:spacing w:val="-5"/>
          <w:w w:val="105"/>
        </w:rPr>
        <w:t> </w:t>
      </w:r>
      <w:r>
        <w:rPr>
          <w:color w:val="231F20"/>
          <w:w w:val="105"/>
        </w:rPr>
        <w:t>la</w:t>
      </w:r>
      <w:r>
        <w:rPr>
          <w:color w:val="231F20"/>
          <w:spacing w:val="-5"/>
          <w:w w:val="105"/>
        </w:rPr>
        <w:t> </w:t>
      </w:r>
      <w:r>
        <w:rPr>
          <w:color w:val="231F20"/>
          <w:spacing w:val="2"/>
          <w:w w:val="105"/>
        </w:rPr>
        <w:t>descentralización</w:t>
      </w:r>
      <w:r>
        <w:rPr>
          <w:color w:val="231F20"/>
          <w:spacing w:val="-5"/>
          <w:w w:val="105"/>
        </w:rPr>
        <w:t> </w:t>
      </w:r>
      <w:r>
        <w:rPr>
          <w:color w:val="231F20"/>
          <w:spacing w:val="3"/>
          <w:w w:val="105"/>
        </w:rPr>
        <w:t>al</w:t>
      </w:r>
      <w:r>
        <w:rPr>
          <w:color w:val="231F20"/>
          <w:spacing w:val="-5"/>
          <w:w w:val="105"/>
        </w:rPr>
        <w:t> </w:t>
      </w:r>
      <w:r>
        <w:rPr>
          <w:color w:val="231F20"/>
          <w:w w:val="105"/>
        </w:rPr>
        <w:t>momento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elaboración</w:t>
      </w:r>
      <w:r>
        <w:rPr>
          <w:color w:val="231F20"/>
          <w:spacing w:val="-5"/>
          <w:w w:val="105"/>
        </w:rPr>
        <w:t> </w:t>
      </w:r>
      <w:r>
        <w:rPr>
          <w:color w:val="231F20"/>
          <w:w w:val="105"/>
        </w:rPr>
        <w:t>del</w:t>
      </w:r>
      <w:r>
        <w:rPr>
          <w:color w:val="231F20"/>
          <w:spacing w:val="-5"/>
          <w:w w:val="105"/>
        </w:rPr>
        <w:t> </w:t>
      </w:r>
      <w:r>
        <w:rPr>
          <w:color w:val="231F20"/>
          <w:w w:val="105"/>
        </w:rPr>
        <w:t>Plan</w:t>
      </w:r>
      <w:r>
        <w:rPr>
          <w:color w:val="231F20"/>
          <w:spacing w:val="-5"/>
          <w:w w:val="105"/>
        </w:rPr>
        <w:t> </w:t>
      </w:r>
      <w:r>
        <w:rPr>
          <w:color w:val="231F20"/>
          <w:w w:val="105"/>
        </w:rPr>
        <w:t>de</w:t>
      </w:r>
      <w:r>
        <w:rPr>
          <w:color w:val="231F20"/>
          <w:spacing w:val="-5"/>
          <w:w w:val="105"/>
        </w:rPr>
        <w:t> </w:t>
      </w:r>
      <w:r>
        <w:rPr>
          <w:color w:val="231F20"/>
          <w:spacing w:val="2"/>
          <w:w w:val="105"/>
        </w:rPr>
        <w:t>Desarrollo</w:t>
      </w:r>
      <w:r>
        <w:rPr>
          <w:color w:val="231F20"/>
          <w:spacing w:val="-5"/>
          <w:w w:val="105"/>
        </w:rPr>
        <w:t> </w:t>
      </w:r>
      <w:r>
        <w:rPr>
          <w:color w:val="231F20"/>
          <w:w w:val="105"/>
        </w:rPr>
        <w:t>Mu- </w:t>
      </w:r>
      <w:r>
        <w:rPr>
          <w:color w:val="231F20"/>
          <w:spacing w:val="2"/>
          <w:w w:val="105"/>
        </w:rPr>
        <w:t>nicipal, </w:t>
      </w:r>
      <w:r>
        <w:rPr>
          <w:color w:val="231F20"/>
          <w:spacing w:val="3"/>
          <w:w w:val="105"/>
        </w:rPr>
        <w:t>2003-2006; </w:t>
      </w:r>
      <w:r>
        <w:rPr>
          <w:color w:val="231F20"/>
          <w:w w:val="105"/>
        </w:rPr>
        <w:t>y también busqué ubicar el criterio adoptado </w:t>
      </w:r>
      <w:r>
        <w:rPr>
          <w:color w:val="231F20"/>
          <w:spacing w:val="2"/>
          <w:w w:val="105"/>
        </w:rPr>
        <w:t>para </w:t>
      </w:r>
      <w:r>
        <w:rPr>
          <w:color w:val="231F20"/>
          <w:w w:val="105"/>
        </w:rPr>
        <w:t>la integración de los </w:t>
      </w:r>
      <w:r>
        <w:rPr>
          <w:color w:val="231F20"/>
          <w:spacing w:val="3"/>
          <w:w w:val="105"/>
        </w:rPr>
        <w:t>titulares </w:t>
      </w:r>
      <w:r>
        <w:rPr>
          <w:color w:val="231F20"/>
          <w:w w:val="105"/>
        </w:rPr>
        <w:t>de la</w:t>
      </w:r>
      <w:r>
        <w:rPr>
          <w:color w:val="231F20"/>
          <w:spacing w:val="-34"/>
          <w:w w:val="105"/>
        </w:rPr>
        <w:t> </w:t>
      </w:r>
      <w:r>
        <w:rPr>
          <w:color w:val="231F20"/>
          <w:w w:val="105"/>
        </w:rPr>
        <w:t>APM.</w:t>
      </w:r>
    </w:p>
    <w:p>
      <w:pPr>
        <w:pStyle w:val="BodyText"/>
        <w:spacing w:before="1"/>
        <w:rPr>
          <w:sz w:val="26"/>
        </w:rPr>
      </w:pPr>
    </w:p>
    <w:p>
      <w:pPr>
        <w:pStyle w:val="BodyText"/>
        <w:spacing w:line="285" w:lineRule="auto"/>
        <w:ind w:left="110" w:right="108"/>
        <w:jc w:val="both"/>
      </w:pPr>
      <w:r>
        <w:rPr>
          <w:color w:val="231F20"/>
          <w:w w:val="105"/>
        </w:rPr>
        <w:t>El Plan de Desarrollo Municipal es un requisito formal que cada nueva administra- ción debe cubrir durante los primeros cuatro meses de su gestión</w:t>
      </w:r>
      <w:r>
        <w:rPr>
          <w:color w:val="231F20"/>
          <w:w w:val="105"/>
          <w:position w:val="7"/>
          <w:sz w:val="13"/>
        </w:rPr>
        <w:t>34  </w:t>
      </w:r>
      <w:r>
        <w:rPr>
          <w:color w:val="231F20"/>
          <w:w w:val="105"/>
        </w:rPr>
        <w:t>y su   importancia</w:t>
      </w:r>
    </w:p>
    <w:p>
      <w:pPr>
        <w:pStyle w:val="BodyText"/>
        <w:spacing w:before="7"/>
        <w:rPr>
          <w:sz w:val="13"/>
        </w:rPr>
      </w:pPr>
      <w:r>
        <w:rPr/>
        <w:pict>
          <v:line style="position:absolute;mso-position-horizontal-relative:page;mso-position-vertical-relative:paragraph;z-index:5968;mso-wrap-distance-left:0;mso-wrap-distance-right:0" from="42.519699pt,10.27669pt" to="114.519699pt,10.27669pt" stroked="true" strokeweight="1pt" strokecolor="#231f20">
            <w10:wrap type="topAndBottom"/>
          </v:line>
        </w:pict>
      </w:r>
    </w:p>
    <w:p>
      <w:pPr>
        <w:pStyle w:val="ListParagraph"/>
        <w:numPr>
          <w:ilvl w:val="0"/>
          <w:numId w:val="4"/>
        </w:numPr>
        <w:tabs>
          <w:tab w:pos="304" w:val="left" w:leader="none"/>
        </w:tabs>
        <w:spacing w:line="244" w:lineRule="auto" w:before="8" w:after="0"/>
        <w:ind w:left="110" w:right="108" w:firstLine="0"/>
        <w:jc w:val="both"/>
        <w:rPr>
          <w:sz w:val="16"/>
        </w:rPr>
      </w:pPr>
      <w:r>
        <w:rPr>
          <w:color w:val="231F20"/>
          <w:sz w:val="16"/>
        </w:rPr>
        <w:t>Al</w:t>
      </w:r>
      <w:r>
        <w:rPr>
          <w:color w:val="231F20"/>
          <w:spacing w:val="-4"/>
          <w:sz w:val="16"/>
        </w:rPr>
        <w:t> </w:t>
      </w:r>
      <w:r>
        <w:rPr>
          <w:color w:val="231F20"/>
          <w:sz w:val="16"/>
        </w:rPr>
        <w:t>referirse</w:t>
      </w:r>
      <w:r>
        <w:rPr>
          <w:color w:val="231F20"/>
          <w:spacing w:val="-4"/>
          <w:sz w:val="16"/>
        </w:rPr>
        <w:t> </w:t>
      </w:r>
      <w:r>
        <w:rPr>
          <w:color w:val="231F20"/>
          <w:sz w:val="16"/>
        </w:rPr>
        <w:t>a</w:t>
      </w:r>
      <w:r>
        <w:rPr>
          <w:color w:val="231F20"/>
          <w:spacing w:val="-4"/>
          <w:sz w:val="16"/>
        </w:rPr>
        <w:t> </w:t>
      </w:r>
      <w:r>
        <w:rPr>
          <w:color w:val="231F20"/>
          <w:sz w:val="16"/>
        </w:rPr>
        <w:t>su</w:t>
      </w:r>
      <w:r>
        <w:rPr>
          <w:color w:val="231F20"/>
          <w:spacing w:val="-4"/>
          <w:sz w:val="16"/>
        </w:rPr>
        <w:t> </w:t>
      </w:r>
      <w:r>
        <w:rPr>
          <w:color w:val="231F20"/>
          <w:sz w:val="16"/>
        </w:rPr>
        <w:t>futuro</w:t>
      </w:r>
      <w:r>
        <w:rPr>
          <w:color w:val="231F20"/>
          <w:spacing w:val="-4"/>
          <w:sz w:val="16"/>
        </w:rPr>
        <w:t> </w:t>
      </w:r>
      <w:r>
        <w:rPr>
          <w:color w:val="231F20"/>
          <w:sz w:val="16"/>
        </w:rPr>
        <w:t>político,</w:t>
      </w:r>
      <w:r>
        <w:rPr>
          <w:color w:val="231F20"/>
          <w:spacing w:val="-4"/>
          <w:sz w:val="16"/>
        </w:rPr>
        <w:t> </w:t>
      </w:r>
      <w:r>
        <w:rPr>
          <w:color w:val="231F20"/>
          <w:sz w:val="16"/>
        </w:rPr>
        <w:t>Adrián</w:t>
      </w:r>
      <w:r>
        <w:rPr>
          <w:color w:val="231F20"/>
          <w:spacing w:val="-4"/>
          <w:sz w:val="16"/>
        </w:rPr>
        <w:t> </w:t>
      </w:r>
      <w:r>
        <w:rPr>
          <w:color w:val="231F20"/>
          <w:sz w:val="16"/>
        </w:rPr>
        <w:t>Fuentes</w:t>
      </w:r>
      <w:r>
        <w:rPr>
          <w:color w:val="231F20"/>
          <w:spacing w:val="-4"/>
          <w:sz w:val="16"/>
        </w:rPr>
        <w:t> </w:t>
      </w:r>
      <w:r>
        <w:rPr>
          <w:color w:val="231F20"/>
          <w:sz w:val="16"/>
        </w:rPr>
        <w:t>comentó</w:t>
      </w:r>
      <w:r>
        <w:rPr>
          <w:color w:val="231F20"/>
          <w:spacing w:val="-4"/>
          <w:sz w:val="16"/>
        </w:rPr>
        <w:t> </w:t>
      </w:r>
      <w:r>
        <w:rPr>
          <w:color w:val="231F20"/>
          <w:sz w:val="16"/>
        </w:rPr>
        <w:t>que</w:t>
      </w:r>
      <w:r>
        <w:rPr>
          <w:color w:val="231F20"/>
          <w:spacing w:val="-4"/>
          <w:sz w:val="16"/>
        </w:rPr>
        <w:t> </w:t>
      </w:r>
      <w:r>
        <w:rPr>
          <w:color w:val="231F20"/>
          <w:sz w:val="16"/>
        </w:rPr>
        <w:t>“dicen</w:t>
      </w:r>
      <w:r>
        <w:rPr>
          <w:color w:val="231F20"/>
          <w:spacing w:val="-4"/>
          <w:sz w:val="16"/>
        </w:rPr>
        <w:t> </w:t>
      </w:r>
      <w:r>
        <w:rPr>
          <w:color w:val="231F20"/>
          <w:sz w:val="16"/>
        </w:rPr>
        <w:t>que</w:t>
      </w:r>
      <w:r>
        <w:rPr>
          <w:color w:val="231F20"/>
          <w:spacing w:val="-4"/>
          <w:sz w:val="16"/>
        </w:rPr>
        <w:t> </w:t>
      </w:r>
      <w:r>
        <w:rPr>
          <w:color w:val="231F20"/>
          <w:sz w:val="16"/>
        </w:rPr>
        <w:t>político</w:t>
      </w:r>
      <w:r>
        <w:rPr>
          <w:color w:val="231F20"/>
          <w:spacing w:val="-4"/>
          <w:sz w:val="16"/>
        </w:rPr>
        <w:t> </w:t>
      </w:r>
      <w:r>
        <w:rPr>
          <w:color w:val="231F20"/>
          <w:sz w:val="16"/>
        </w:rPr>
        <w:t>sin</w:t>
      </w:r>
      <w:r>
        <w:rPr>
          <w:color w:val="231F20"/>
          <w:spacing w:val="-4"/>
          <w:sz w:val="16"/>
        </w:rPr>
        <w:t> </w:t>
      </w:r>
      <w:r>
        <w:rPr>
          <w:color w:val="231F20"/>
          <w:sz w:val="16"/>
        </w:rPr>
        <w:t>proyecto,</w:t>
      </w:r>
      <w:r>
        <w:rPr>
          <w:color w:val="231F20"/>
          <w:spacing w:val="-4"/>
          <w:sz w:val="16"/>
        </w:rPr>
        <w:t> </w:t>
      </w:r>
      <w:r>
        <w:rPr>
          <w:color w:val="231F20"/>
          <w:sz w:val="16"/>
        </w:rPr>
        <w:t>no</w:t>
      </w:r>
      <w:r>
        <w:rPr>
          <w:color w:val="231F20"/>
          <w:spacing w:val="-4"/>
          <w:sz w:val="16"/>
        </w:rPr>
        <w:t> </w:t>
      </w:r>
      <w:r>
        <w:rPr>
          <w:color w:val="231F20"/>
          <w:sz w:val="16"/>
        </w:rPr>
        <w:t>es</w:t>
      </w:r>
      <w:r>
        <w:rPr>
          <w:color w:val="231F20"/>
          <w:spacing w:val="-4"/>
          <w:sz w:val="16"/>
        </w:rPr>
        <w:t> </w:t>
      </w:r>
      <w:r>
        <w:rPr>
          <w:color w:val="231F20"/>
          <w:sz w:val="16"/>
        </w:rPr>
        <w:t>político,</w:t>
      </w:r>
      <w:r>
        <w:rPr>
          <w:color w:val="231F20"/>
          <w:spacing w:val="-4"/>
          <w:sz w:val="16"/>
        </w:rPr>
        <w:t> </w:t>
      </w:r>
      <w:r>
        <w:rPr>
          <w:color w:val="231F20"/>
          <w:sz w:val="16"/>
        </w:rPr>
        <w:t>a</w:t>
      </w:r>
      <w:r>
        <w:rPr>
          <w:color w:val="231F20"/>
          <w:spacing w:val="-4"/>
          <w:sz w:val="16"/>
        </w:rPr>
        <w:t> </w:t>
      </w:r>
      <w:r>
        <w:rPr>
          <w:color w:val="231F20"/>
          <w:sz w:val="16"/>
        </w:rPr>
        <w:t>mí</w:t>
      </w:r>
      <w:r>
        <w:rPr>
          <w:color w:val="231F20"/>
          <w:spacing w:val="-4"/>
          <w:sz w:val="16"/>
        </w:rPr>
        <w:t> </w:t>
      </w:r>
      <w:r>
        <w:rPr>
          <w:color w:val="231F20"/>
          <w:sz w:val="16"/>
        </w:rPr>
        <w:t>me</w:t>
      </w:r>
      <w:r>
        <w:rPr>
          <w:color w:val="231F20"/>
          <w:spacing w:val="-4"/>
          <w:sz w:val="16"/>
        </w:rPr>
        <w:t> </w:t>
      </w:r>
      <w:r>
        <w:rPr>
          <w:color w:val="231F20"/>
          <w:sz w:val="16"/>
        </w:rPr>
        <w:t>da mucha risa cuando decimos que no nos interesa nada, la verdad es que no tengo todavía puesto el ojo en algo específico, lo</w:t>
      </w:r>
      <w:r>
        <w:rPr>
          <w:color w:val="231F20"/>
          <w:spacing w:val="-6"/>
          <w:sz w:val="16"/>
        </w:rPr>
        <w:t> </w:t>
      </w:r>
      <w:r>
        <w:rPr>
          <w:color w:val="231F20"/>
          <w:sz w:val="16"/>
        </w:rPr>
        <w:t>que</w:t>
      </w:r>
      <w:r>
        <w:rPr>
          <w:color w:val="231F20"/>
          <w:spacing w:val="-6"/>
          <w:sz w:val="16"/>
        </w:rPr>
        <w:t> </w:t>
      </w:r>
      <w:r>
        <w:rPr>
          <w:color w:val="231F20"/>
          <w:sz w:val="16"/>
        </w:rPr>
        <w:t>sí</w:t>
      </w:r>
      <w:r>
        <w:rPr>
          <w:color w:val="231F20"/>
          <w:spacing w:val="-6"/>
          <w:sz w:val="16"/>
        </w:rPr>
        <w:t> </w:t>
      </w:r>
      <w:r>
        <w:rPr>
          <w:color w:val="231F20"/>
          <w:sz w:val="16"/>
        </w:rPr>
        <w:t>puedo</w:t>
      </w:r>
      <w:r>
        <w:rPr>
          <w:color w:val="231F20"/>
          <w:spacing w:val="-6"/>
          <w:sz w:val="16"/>
        </w:rPr>
        <w:t> </w:t>
      </w:r>
      <w:r>
        <w:rPr>
          <w:color w:val="231F20"/>
          <w:sz w:val="16"/>
        </w:rPr>
        <w:t>decir</w:t>
      </w:r>
      <w:r>
        <w:rPr>
          <w:color w:val="231F20"/>
          <w:spacing w:val="-6"/>
          <w:sz w:val="16"/>
        </w:rPr>
        <w:t> </w:t>
      </w:r>
      <w:r>
        <w:rPr>
          <w:color w:val="231F20"/>
          <w:sz w:val="16"/>
        </w:rPr>
        <w:t>es</w:t>
      </w:r>
      <w:r>
        <w:rPr>
          <w:color w:val="231F20"/>
          <w:spacing w:val="-6"/>
          <w:sz w:val="16"/>
        </w:rPr>
        <w:t> </w:t>
      </w:r>
      <w:r>
        <w:rPr>
          <w:color w:val="231F20"/>
          <w:sz w:val="16"/>
        </w:rPr>
        <w:t>que</w:t>
      </w:r>
      <w:r>
        <w:rPr>
          <w:color w:val="231F20"/>
          <w:spacing w:val="-6"/>
          <w:sz w:val="16"/>
        </w:rPr>
        <w:t> </w:t>
      </w:r>
      <w:r>
        <w:rPr>
          <w:color w:val="231F20"/>
          <w:sz w:val="16"/>
        </w:rPr>
        <w:t>mi</w:t>
      </w:r>
      <w:r>
        <w:rPr>
          <w:color w:val="231F20"/>
          <w:spacing w:val="-6"/>
          <w:sz w:val="16"/>
        </w:rPr>
        <w:t> </w:t>
      </w:r>
      <w:r>
        <w:rPr>
          <w:color w:val="231F20"/>
          <w:sz w:val="16"/>
        </w:rPr>
        <w:t>plan</w:t>
      </w:r>
      <w:r>
        <w:rPr>
          <w:color w:val="231F20"/>
          <w:spacing w:val="-6"/>
          <w:sz w:val="16"/>
        </w:rPr>
        <w:t> </w:t>
      </w:r>
      <w:r>
        <w:rPr>
          <w:color w:val="231F20"/>
          <w:sz w:val="16"/>
        </w:rPr>
        <w:t>es</w:t>
      </w:r>
      <w:r>
        <w:rPr>
          <w:color w:val="231F20"/>
          <w:spacing w:val="-6"/>
          <w:sz w:val="16"/>
        </w:rPr>
        <w:t> </w:t>
      </w:r>
      <w:r>
        <w:rPr>
          <w:color w:val="231F20"/>
          <w:sz w:val="16"/>
        </w:rPr>
        <w:t>mantenerme</w:t>
      </w:r>
      <w:r>
        <w:rPr>
          <w:color w:val="231F20"/>
          <w:spacing w:val="-6"/>
          <w:sz w:val="16"/>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política.</w:t>
      </w:r>
      <w:r>
        <w:rPr>
          <w:color w:val="231F20"/>
          <w:spacing w:val="-6"/>
          <w:sz w:val="16"/>
        </w:rPr>
        <w:t> </w:t>
      </w:r>
      <w:r>
        <w:rPr>
          <w:color w:val="231F20"/>
          <w:sz w:val="16"/>
        </w:rPr>
        <w:t>Lo</w:t>
      </w:r>
      <w:r>
        <w:rPr>
          <w:color w:val="231F20"/>
          <w:spacing w:val="-6"/>
          <w:sz w:val="16"/>
        </w:rPr>
        <w:t> </w:t>
      </w:r>
      <w:r>
        <w:rPr>
          <w:color w:val="231F20"/>
          <w:sz w:val="16"/>
        </w:rPr>
        <w:t>que</w:t>
      </w:r>
      <w:r>
        <w:rPr>
          <w:color w:val="231F20"/>
          <w:spacing w:val="-6"/>
          <w:sz w:val="16"/>
        </w:rPr>
        <w:t> </w:t>
      </w:r>
      <w:r>
        <w:rPr>
          <w:color w:val="231F20"/>
          <w:sz w:val="16"/>
        </w:rPr>
        <w:t>más</w:t>
      </w:r>
      <w:r>
        <w:rPr>
          <w:color w:val="231F20"/>
          <w:spacing w:val="-6"/>
          <w:sz w:val="16"/>
        </w:rPr>
        <w:t> </w:t>
      </w:r>
      <w:r>
        <w:rPr>
          <w:color w:val="231F20"/>
          <w:sz w:val="16"/>
        </w:rPr>
        <w:t>me</w:t>
      </w:r>
      <w:r>
        <w:rPr>
          <w:color w:val="231F20"/>
          <w:spacing w:val="-6"/>
          <w:sz w:val="16"/>
        </w:rPr>
        <w:t> </w:t>
      </w:r>
      <w:r>
        <w:rPr>
          <w:color w:val="231F20"/>
          <w:sz w:val="16"/>
        </w:rPr>
        <w:t>gustaría,</w:t>
      </w:r>
      <w:r>
        <w:rPr>
          <w:color w:val="231F20"/>
          <w:spacing w:val="-6"/>
          <w:sz w:val="16"/>
        </w:rPr>
        <w:t> </w:t>
      </w:r>
      <w:r>
        <w:rPr>
          <w:color w:val="231F20"/>
          <w:sz w:val="16"/>
        </w:rPr>
        <w:t>independientemente</w:t>
      </w:r>
      <w:r>
        <w:rPr>
          <w:color w:val="231F20"/>
          <w:spacing w:val="-6"/>
          <w:sz w:val="16"/>
        </w:rPr>
        <w:t> </w:t>
      </w:r>
      <w:r>
        <w:rPr>
          <w:color w:val="231F20"/>
          <w:sz w:val="16"/>
        </w:rPr>
        <w:t>del</w:t>
      </w:r>
      <w:r>
        <w:rPr>
          <w:color w:val="231F20"/>
          <w:spacing w:val="-6"/>
          <w:sz w:val="16"/>
        </w:rPr>
        <w:t> </w:t>
      </w:r>
      <w:r>
        <w:rPr>
          <w:color w:val="231F20"/>
          <w:sz w:val="16"/>
        </w:rPr>
        <w:t>cargo, es formar parte de un proyecto de magnitud estatal o social. Estoy en el proyecto del gobernador (Enrique Peña) y quiero seguir</w:t>
      </w:r>
      <w:r>
        <w:rPr>
          <w:color w:val="231F20"/>
          <w:spacing w:val="-19"/>
          <w:sz w:val="16"/>
        </w:rPr>
        <w:t> </w:t>
      </w:r>
      <w:r>
        <w:rPr>
          <w:color w:val="231F20"/>
          <w:sz w:val="16"/>
        </w:rPr>
        <w:t>estando</w:t>
      </w:r>
      <w:r>
        <w:rPr>
          <w:color w:val="231F20"/>
          <w:spacing w:val="-19"/>
          <w:sz w:val="16"/>
        </w:rPr>
        <w:t> </w:t>
      </w:r>
      <w:r>
        <w:rPr>
          <w:color w:val="231F20"/>
          <w:sz w:val="16"/>
        </w:rPr>
        <w:t>con</w:t>
      </w:r>
      <w:r>
        <w:rPr>
          <w:color w:val="231F20"/>
          <w:spacing w:val="-19"/>
          <w:sz w:val="16"/>
        </w:rPr>
        <w:t> </w:t>
      </w:r>
      <w:r>
        <w:rPr>
          <w:color w:val="231F20"/>
          <w:sz w:val="16"/>
        </w:rPr>
        <w:t>él”</w:t>
      </w:r>
      <w:r>
        <w:rPr>
          <w:color w:val="231F20"/>
          <w:spacing w:val="-19"/>
          <w:sz w:val="16"/>
        </w:rPr>
        <w:t> </w:t>
      </w:r>
      <w:r>
        <w:rPr>
          <w:color w:val="231F20"/>
          <w:sz w:val="16"/>
        </w:rPr>
        <w:t>(MORALES,</w:t>
      </w:r>
      <w:r>
        <w:rPr>
          <w:color w:val="231F20"/>
          <w:spacing w:val="-19"/>
          <w:sz w:val="16"/>
        </w:rPr>
        <w:t> </w:t>
      </w:r>
      <w:r>
        <w:rPr>
          <w:color w:val="231F20"/>
          <w:sz w:val="16"/>
        </w:rPr>
        <w:t>2008:</w:t>
      </w:r>
      <w:r>
        <w:rPr>
          <w:color w:val="231F20"/>
          <w:spacing w:val="-19"/>
          <w:sz w:val="16"/>
        </w:rPr>
        <w:t> </w:t>
      </w:r>
      <w:r>
        <w:rPr>
          <w:color w:val="231F20"/>
          <w:spacing w:val="-8"/>
          <w:sz w:val="16"/>
        </w:rPr>
        <w:t>11).</w:t>
      </w:r>
    </w:p>
    <w:p>
      <w:pPr>
        <w:pStyle w:val="ListParagraph"/>
        <w:numPr>
          <w:ilvl w:val="0"/>
          <w:numId w:val="4"/>
        </w:numPr>
        <w:tabs>
          <w:tab w:pos="328" w:val="left" w:leader="none"/>
        </w:tabs>
        <w:spacing w:line="244" w:lineRule="auto" w:before="0" w:after="0"/>
        <w:ind w:left="110" w:right="108" w:firstLine="0"/>
        <w:jc w:val="both"/>
        <w:rPr>
          <w:sz w:val="16"/>
        </w:rPr>
      </w:pPr>
      <w:r>
        <w:rPr>
          <w:color w:val="231F20"/>
          <w:sz w:val="16"/>
        </w:rPr>
        <w:t>El</w:t>
      </w:r>
      <w:r>
        <w:rPr>
          <w:color w:val="231F20"/>
          <w:spacing w:val="-21"/>
          <w:sz w:val="16"/>
        </w:rPr>
        <w:t> </w:t>
      </w:r>
      <w:r>
        <w:rPr>
          <w:color w:val="231F20"/>
          <w:sz w:val="16"/>
        </w:rPr>
        <w:t>Plan</w:t>
      </w:r>
      <w:r>
        <w:rPr>
          <w:color w:val="231F20"/>
          <w:spacing w:val="-21"/>
          <w:sz w:val="16"/>
        </w:rPr>
        <w:t> </w:t>
      </w:r>
      <w:r>
        <w:rPr>
          <w:color w:val="231F20"/>
          <w:sz w:val="16"/>
        </w:rPr>
        <w:t>de</w:t>
      </w:r>
      <w:r>
        <w:rPr>
          <w:color w:val="231F20"/>
          <w:spacing w:val="-21"/>
          <w:sz w:val="16"/>
        </w:rPr>
        <w:t> </w:t>
      </w:r>
      <w:r>
        <w:rPr>
          <w:color w:val="231F20"/>
          <w:sz w:val="16"/>
        </w:rPr>
        <w:t>Desarrollo</w:t>
      </w:r>
      <w:r>
        <w:rPr>
          <w:color w:val="231F20"/>
          <w:spacing w:val="-21"/>
          <w:sz w:val="16"/>
        </w:rPr>
        <w:t> </w:t>
      </w:r>
      <w:r>
        <w:rPr>
          <w:color w:val="231F20"/>
          <w:sz w:val="16"/>
        </w:rPr>
        <w:t>Municipal</w:t>
      </w:r>
      <w:r>
        <w:rPr>
          <w:color w:val="231F20"/>
          <w:spacing w:val="-21"/>
          <w:sz w:val="16"/>
        </w:rPr>
        <w:t> </w:t>
      </w:r>
      <w:r>
        <w:rPr>
          <w:color w:val="231F20"/>
          <w:sz w:val="16"/>
        </w:rPr>
        <w:t>se</w:t>
      </w:r>
      <w:r>
        <w:rPr>
          <w:color w:val="231F20"/>
          <w:spacing w:val="-21"/>
          <w:sz w:val="16"/>
        </w:rPr>
        <w:t> </w:t>
      </w:r>
      <w:r>
        <w:rPr>
          <w:color w:val="231F20"/>
          <w:sz w:val="16"/>
        </w:rPr>
        <w:t>inserta</w:t>
      </w:r>
      <w:r>
        <w:rPr>
          <w:color w:val="231F20"/>
          <w:spacing w:val="-21"/>
          <w:sz w:val="16"/>
        </w:rPr>
        <w:t> </w:t>
      </w:r>
      <w:r>
        <w:rPr>
          <w:color w:val="231F20"/>
          <w:sz w:val="16"/>
        </w:rPr>
        <w:t>dentro</w:t>
      </w:r>
      <w:r>
        <w:rPr>
          <w:color w:val="231F20"/>
          <w:spacing w:val="-21"/>
          <w:sz w:val="16"/>
        </w:rPr>
        <w:t> </w:t>
      </w:r>
      <w:r>
        <w:rPr>
          <w:color w:val="231F20"/>
          <w:sz w:val="16"/>
        </w:rPr>
        <w:t>del</w:t>
      </w:r>
      <w:r>
        <w:rPr>
          <w:color w:val="231F20"/>
          <w:spacing w:val="-21"/>
          <w:sz w:val="16"/>
        </w:rPr>
        <w:t> </w:t>
      </w:r>
      <w:r>
        <w:rPr>
          <w:color w:val="231F20"/>
          <w:sz w:val="16"/>
        </w:rPr>
        <w:t>Sistema</w:t>
      </w:r>
      <w:r>
        <w:rPr>
          <w:color w:val="231F20"/>
          <w:spacing w:val="-21"/>
          <w:sz w:val="16"/>
        </w:rPr>
        <w:t> </w:t>
      </w:r>
      <w:r>
        <w:rPr>
          <w:color w:val="231F20"/>
          <w:sz w:val="16"/>
        </w:rPr>
        <w:t>Nacional</w:t>
      </w:r>
      <w:r>
        <w:rPr>
          <w:color w:val="231F20"/>
          <w:spacing w:val="-21"/>
          <w:sz w:val="16"/>
        </w:rPr>
        <w:t> </w:t>
      </w:r>
      <w:r>
        <w:rPr>
          <w:color w:val="231F20"/>
          <w:sz w:val="16"/>
        </w:rPr>
        <w:t>de</w:t>
      </w:r>
      <w:r>
        <w:rPr>
          <w:color w:val="231F20"/>
          <w:spacing w:val="-21"/>
          <w:sz w:val="16"/>
        </w:rPr>
        <w:t> </w:t>
      </w:r>
      <w:r>
        <w:rPr>
          <w:color w:val="231F20"/>
          <w:sz w:val="16"/>
        </w:rPr>
        <w:t>Planeación</w:t>
      </w:r>
      <w:r>
        <w:rPr>
          <w:color w:val="231F20"/>
          <w:spacing w:val="-21"/>
          <w:sz w:val="16"/>
        </w:rPr>
        <w:t> </w:t>
      </w:r>
      <w:r>
        <w:rPr>
          <w:color w:val="231F20"/>
          <w:sz w:val="16"/>
        </w:rPr>
        <w:t>Democrática</w:t>
      </w:r>
      <w:r>
        <w:rPr>
          <w:color w:val="231F20"/>
          <w:spacing w:val="-21"/>
          <w:sz w:val="16"/>
        </w:rPr>
        <w:t> </w:t>
      </w:r>
      <w:r>
        <w:rPr>
          <w:color w:val="231F20"/>
          <w:sz w:val="16"/>
        </w:rPr>
        <w:t>y</w:t>
      </w:r>
      <w:r>
        <w:rPr>
          <w:color w:val="231F20"/>
          <w:spacing w:val="-21"/>
          <w:sz w:val="16"/>
        </w:rPr>
        <w:t> </w:t>
      </w:r>
      <w:r>
        <w:rPr>
          <w:color w:val="231F20"/>
          <w:sz w:val="16"/>
        </w:rPr>
        <w:t>en</w:t>
      </w:r>
      <w:r>
        <w:rPr>
          <w:color w:val="231F20"/>
          <w:spacing w:val="-21"/>
          <w:sz w:val="16"/>
        </w:rPr>
        <w:t> </w:t>
      </w:r>
      <w:r>
        <w:rPr>
          <w:color w:val="231F20"/>
          <w:sz w:val="16"/>
        </w:rPr>
        <w:t>el</w:t>
      </w:r>
      <w:r>
        <w:rPr>
          <w:color w:val="231F20"/>
          <w:spacing w:val="-21"/>
          <w:sz w:val="16"/>
        </w:rPr>
        <w:t> </w:t>
      </w:r>
      <w:r>
        <w:rPr>
          <w:color w:val="231F20"/>
          <w:sz w:val="16"/>
        </w:rPr>
        <w:t>Sistema</w:t>
      </w:r>
      <w:r>
        <w:rPr>
          <w:color w:val="231F20"/>
          <w:spacing w:val="-21"/>
          <w:sz w:val="16"/>
        </w:rPr>
        <w:t> </w:t>
      </w:r>
      <w:r>
        <w:rPr>
          <w:color w:val="231F20"/>
          <w:sz w:val="16"/>
        </w:rPr>
        <w:t>de</w:t>
      </w:r>
      <w:r>
        <w:rPr>
          <w:color w:val="231F20"/>
          <w:spacing w:val="-21"/>
          <w:sz w:val="16"/>
        </w:rPr>
        <w:t> </w:t>
      </w:r>
      <w:r>
        <w:rPr>
          <w:color w:val="231F20"/>
          <w:sz w:val="16"/>
        </w:rPr>
        <w:t>Planea- ción</w:t>
      </w:r>
      <w:r>
        <w:rPr>
          <w:color w:val="231F20"/>
          <w:spacing w:val="-9"/>
          <w:sz w:val="16"/>
        </w:rPr>
        <w:t> </w:t>
      </w:r>
      <w:r>
        <w:rPr>
          <w:color w:val="231F20"/>
          <w:sz w:val="16"/>
        </w:rPr>
        <w:t>Democrática</w:t>
      </w:r>
      <w:r>
        <w:rPr>
          <w:color w:val="231F20"/>
          <w:spacing w:val="-9"/>
          <w:sz w:val="16"/>
        </w:rPr>
        <w:t> </w:t>
      </w:r>
      <w:r>
        <w:rPr>
          <w:color w:val="231F20"/>
          <w:sz w:val="16"/>
        </w:rPr>
        <w:t>del</w:t>
      </w:r>
      <w:r>
        <w:rPr>
          <w:color w:val="231F20"/>
          <w:spacing w:val="-9"/>
          <w:sz w:val="16"/>
        </w:rPr>
        <w:t> </w:t>
      </w:r>
      <w:r>
        <w:rPr>
          <w:color w:val="231F20"/>
          <w:sz w:val="16"/>
        </w:rPr>
        <w:t>Estado</w:t>
      </w:r>
      <w:r>
        <w:rPr>
          <w:color w:val="231F20"/>
          <w:spacing w:val="-9"/>
          <w:sz w:val="16"/>
        </w:rPr>
        <w:t> </w:t>
      </w:r>
      <w:r>
        <w:rPr>
          <w:color w:val="231F20"/>
          <w:sz w:val="16"/>
        </w:rPr>
        <w:t>de</w:t>
      </w:r>
      <w:r>
        <w:rPr>
          <w:color w:val="231F20"/>
          <w:spacing w:val="-9"/>
          <w:sz w:val="16"/>
        </w:rPr>
        <w:t> </w:t>
      </w:r>
      <w:r>
        <w:rPr>
          <w:color w:val="231F20"/>
          <w:sz w:val="16"/>
        </w:rPr>
        <w:t>México</w:t>
      </w:r>
      <w:r>
        <w:rPr>
          <w:color w:val="231F20"/>
          <w:spacing w:val="-9"/>
          <w:sz w:val="16"/>
        </w:rPr>
        <w:t> </w:t>
      </w:r>
      <w:r>
        <w:rPr>
          <w:color w:val="231F20"/>
          <w:sz w:val="16"/>
        </w:rPr>
        <w:t>y</w:t>
      </w:r>
      <w:r>
        <w:rPr>
          <w:color w:val="231F20"/>
          <w:spacing w:val="-9"/>
          <w:sz w:val="16"/>
        </w:rPr>
        <w:t> </w:t>
      </w:r>
      <w:r>
        <w:rPr>
          <w:color w:val="231F20"/>
          <w:sz w:val="16"/>
        </w:rPr>
        <w:t>Municipios.</w:t>
      </w:r>
      <w:r>
        <w:rPr>
          <w:color w:val="231F20"/>
          <w:spacing w:val="-9"/>
          <w:sz w:val="16"/>
        </w:rPr>
        <w:t> </w:t>
      </w:r>
      <w:r>
        <w:rPr>
          <w:color w:val="231F20"/>
          <w:sz w:val="16"/>
        </w:rPr>
        <w:t>Sus</w:t>
      </w:r>
      <w:r>
        <w:rPr>
          <w:color w:val="231F20"/>
          <w:spacing w:val="-9"/>
          <w:sz w:val="16"/>
        </w:rPr>
        <w:t> </w:t>
      </w:r>
      <w:r>
        <w:rPr>
          <w:color w:val="231F20"/>
          <w:sz w:val="16"/>
        </w:rPr>
        <w:t>disposiciones</w:t>
      </w:r>
      <w:r>
        <w:rPr>
          <w:color w:val="231F20"/>
          <w:spacing w:val="-9"/>
          <w:sz w:val="16"/>
        </w:rPr>
        <w:t> </w:t>
      </w:r>
      <w:r>
        <w:rPr>
          <w:color w:val="231F20"/>
          <w:sz w:val="16"/>
        </w:rPr>
        <w:t>normativas</w:t>
      </w:r>
      <w:r>
        <w:rPr>
          <w:color w:val="231F20"/>
          <w:spacing w:val="-9"/>
          <w:sz w:val="16"/>
        </w:rPr>
        <w:t> </w:t>
      </w:r>
      <w:r>
        <w:rPr>
          <w:color w:val="231F20"/>
          <w:sz w:val="16"/>
        </w:rPr>
        <w:t>se</w:t>
      </w:r>
      <w:r>
        <w:rPr>
          <w:color w:val="231F20"/>
          <w:spacing w:val="-9"/>
          <w:sz w:val="16"/>
        </w:rPr>
        <w:t> </w:t>
      </w:r>
      <w:r>
        <w:rPr>
          <w:color w:val="231F20"/>
          <w:sz w:val="16"/>
        </w:rPr>
        <w:t>encuentran</w:t>
      </w:r>
      <w:r>
        <w:rPr>
          <w:color w:val="231F20"/>
          <w:spacing w:val="-9"/>
          <w:sz w:val="16"/>
        </w:rPr>
        <w:t> </w:t>
      </w:r>
      <w:r>
        <w:rPr>
          <w:color w:val="231F20"/>
          <w:sz w:val="16"/>
        </w:rPr>
        <w:t>en</w:t>
      </w:r>
      <w:r>
        <w:rPr>
          <w:color w:val="231F20"/>
          <w:spacing w:val="-9"/>
          <w:sz w:val="16"/>
        </w:rPr>
        <w:t> </w:t>
      </w:r>
      <w:r>
        <w:rPr>
          <w:color w:val="231F20"/>
          <w:sz w:val="16"/>
        </w:rPr>
        <w:t>la</w:t>
      </w:r>
      <w:r>
        <w:rPr>
          <w:color w:val="231F20"/>
          <w:spacing w:val="-9"/>
          <w:sz w:val="16"/>
        </w:rPr>
        <w:t> </w:t>
      </w:r>
      <w:r>
        <w:rPr>
          <w:color w:val="231F20"/>
          <w:sz w:val="16"/>
        </w:rPr>
        <w:t>Constitución</w:t>
      </w:r>
      <w:r>
        <w:rPr>
          <w:color w:val="231F20"/>
          <w:spacing w:val="-9"/>
          <w:sz w:val="16"/>
        </w:rPr>
        <w:t> </w:t>
      </w:r>
      <w:r>
        <w:rPr>
          <w:color w:val="231F20"/>
          <w:sz w:val="16"/>
        </w:rPr>
        <w:t>federal (art.</w:t>
      </w:r>
      <w:r>
        <w:rPr>
          <w:color w:val="231F20"/>
          <w:spacing w:val="-25"/>
          <w:sz w:val="16"/>
        </w:rPr>
        <w:t> </w:t>
      </w:r>
      <w:r>
        <w:rPr>
          <w:color w:val="231F20"/>
          <w:sz w:val="16"/>
        </w:rPr>
        <w:t>25</w:t>
      </w:r>
      <w:r>
        <w:rPr>
          <w:color w:val="231F20"/>
          <w:spacing w:val="-25"/>
          <w:sz w:val="16"/>
        </w:rPr>
        <w:t> </w:t>
      </w:r>
      <w:r>
        <w:rPr>
          <w:color w:val="231F20"/>
          <w:sz w:val="16"/>
        </w:rPr>
        <w:t>y</w:t>
      </w:r>
      <w:r>
        <w:rPr>
          <w:color w:val="231F20"/>
          <w:spacing w:val="-25"/>
          <w:sz w:val="16"/>
        </w:rPr>
        <w:t> </w:t>
      </w:r>
      <w:r>
        <w:rPr>
          <w:color w:val="231F20"/>
          <w:spacing w:val="-8"/>
          <w:sz w:val="16"/>
        </w:rPr>
        <w:t>115),</w:t>
      </w:r>
      <w:r>
        <w:rPr>
          <w:color w:val="231F20"/>
          <w:spacing w:val="-25"/>
          <w:sz w:val="16"/>
        </w:rPr>
        <w:t> </w:t>
      </w:r>
      <w:r>
        <w:rPr>
          <w:color w:val="231F20"/>
          <w:sz w:val="16"/>
        </w:rPr>
        <w:t>en</w:t>
      </w:r>
      <w:r>
        <w:rPr>
          <w:color w:val="231F20"/>
          <w:spacing w:val="-25"/>
          <w:sz w:val="16"/>
        </w:rPr>
        <w:t> </w:t>
      </w:r>
      <w:r>
        <w:rPr>
          <w:color w:val="231F20"/>
          <w:sz w:val="16"/>
        </w:rPr>
        <w:t>la</w:t>
      </w:r>
      <w:r>
        <w:rPr>
          <w:color w:val="231F20"/>
          <w:spacing w:val="-25"/>
          <w:sz w:val="16"/>
        </w:rPr>
        <w:t> </w:t>
      </w:r>
      <w:r>
        <w:rPr>
          <w:color w:val="231F20"/>
          <w:sz w:val="16"/>
        </w:rPr>
        <w:t>constitución</w:t>
      </w:r>
      <w:r>
        <w:rPr>
          <w:color w:val="231F20"/>
          <w:spacing w:val="-25"/>
          <w:sz w:val="16"/>
        </w:rPr>
        <w:t> </w:t>
      </w:r>
      <w:r>
        <w:rPr>
          <w:color w:val="231F20"/>
          <w:sz w:val="16"/>
        </w:rPr>
        <w:t>estatal</w:t>
      </w:r>
      <w:r>
        <w:rPr>
          <w:color w:val="231F20"/>
          <w:spacing w:val="-25"/>
          <w:sz w:val="16"/>
        </w:rPr>
        <w:t> </w:t>
      </w:r>
      <w:r>
        <w:rPr>
          <w:color w:val="231F20"/>
          <w:sz w:val="16"/>
        </w:rPr>
        <w:t>(art.</w:t>
      </w:r>
      <w:r>
        <w:rPr>
          <w:color w:val="231F20"/>
          <w:spacing w:val="-25"/>
          <w:sz w:val="16"/>
        </w:rPr>
        <w:t> </w:t>
      </w:r>
      <w:r>
        <w:rPr>
          <w:color w:val="231F20"/>
          <w:spacing w:val="-6"/>
          <w:sz w:val="16"/>
        </w:rPr>
        <w:t>139),</w:t>
      </w:r>
      <w:r>
        <w:rPr>
          <w:color w:val="231F20"/>
          <w:spacing w:val="-25"/>
          <w:sz w:val="16"/>
        </w:rPr>
        <w:t> </w:t>
      </w:r>
      <w:r>
        <w:rPr>
          <w:color w:val="231F20"/>
          <w:sz w:val="16"/>
        </w:rPr>
        <w:t>en</w:t>
      </w:r>
      <w:r>
        <w:rPr>
          <w:color w:val="231F20"/>
          <w:spacing w:val="-25"/>
          <w:sz w:val="16"/>
        </w:rPr>
        <w:t> </w:t>
      </w:r>
      <w:r>
        <w:rPr>
          <w:color w:val="231F20"/>
          <w:sz w:val="16"/>
        </w:rPr>
        <w:t>la</w:t>
      </w:r>
      <w:r>
        <w:rPr>
          <w:color w:val="231F20"/>
          <w:spacing w:val="-25"/>
          <w:sz w:val="16"/>
        </w:rPr>
        <w:t> </w:t>
      </w:r>
      <w:r>
        <w:rPr>
          <w:color w:val="231F20"/>
          <w:sz w:val="16"/>
        </w:rPr>
        <w:t>ley</w:t>
      </w:r>
      <w:r>
        <w:rPr>
          <w:color w:val="231F20"/>
          <w:spacing w:val="-25"/>
          <w:sz w:val="16"/>
        </w:rPr>
        <w:t> </w:t>
      </w:r>
      <w:r>
        <w:rPr>
          <w:color w:val="231F20"/>
          <w:sz w:val="16"/>
        </w:rPr>
        <w:t>orgánica</w:t>
      </w:r>
      <w:r>
        <w:rPr>
          <w:color w:val="231F20"/>
          <w:spacing w:val="-25"/>
          <w:sz w:val="16"/>
        </w:rPr>
        <w:t> </w:t>
      </w:r>
      <w:r>
        <w:rPr>
          <w:color w:val="231F20"/>
          <w:sz w:val="16"/>
        </w:rPr>
        <w:t>municipal</w:t>
      </w:r>
      <w:r>
        <w:rPr>
          <w:color w:val="231F20"/>
          <w:spacing w:val="-25"/>
          <w:sz w:val="16"/>
        </w:rPr>
        <w:t> </w:t>
      </w:r>
      <w:r>
        <w:rPr>
          <w:color w:val="231F20"/>
          <w:sz w:val="16"/>
        </w:rPr>
        <w:t>(art.</w:t>
      </w:r>
      <w:r>
        <w:rPr>
          <w:color w:val="231F20"/>
          <w:spacing w:val="-25"/>
          <w:sz w:val="16"/>
        </w:rPr>
        <w:t> </w:t>
      </w:r>
      <w:r>
        <w:rPr>
          <w:color w:val="231F20"/>
          <w:spacing w:val="-10"/>
          <w:sz w:val="16"/>
        </w:rPr>
        <w:t>114</w:t>
      </w:r>
      <w:r>
        <w:rPr>
          <w:color w:val="231F20"/>
          <w:spacing w:val="-25"/>
          <w:sz w:val="16"/>
        </w:rPr>
        <w:t> </w:t>
      </w:r>
      <w:r>
        <w:rPr>
          <w:color w:val="231F20"/>
          <w:sz w:val="16"/>
        </w:rPr>
        <w:t>a</w:t>
      </w:r>
      <w:r>
        <w:rPr>
          <w:color w:val="231F20"/>
          <w:spacing w:val="-25"/>
          <w:sz w:val="16"/>
        </w:rPr>
        <w:t> </w:t>
      </w:r>
      <w:r>
        <w:rPr>
          <w:color w:val="231F20"/>
          <w:spacing w:val="-5"/>
          <w:sz w:val="16"/>
        </w:rPr>
        <w:t>122),</w:t>
      </w:r>
      <w:r>
        <w:rPr>
          <w:color w:val="231F20"/>
          <w:spacing w:val="-25"/>
          <w:sz w:val="16"/>
        </w:rPr>
        <w:t> </w:t>
      </w:r>
      <w:r>
        <w:rPr>
          <w:color w:val="231F20"/>
          <w:sz w:val="16"/>
        </w:rPr>
        <w:t>en</w:t>
      </w:r>
      <w:r>
        <w:rPr>
          <w:color w:val="231F20"/>
          <w:spacing w:val="-25"/>
          <w:sz w:val="16"/>
        </w:rPr>
        <w:t> </w:t>
      </w:r>
      <w:r>
        <w:rPr>
          <w:color w:val="231F20"/>
          <w:sz w:val="16"/>
        </w:rPr>
        <w:t>la</w:t>
      </w:r>
      <w:r>
        <w:rPr>
          <w:color w:val="231F20"/>
          <w:spacing w:val="-25"/>
          <w:sz w:val="16"/>
        </w:rPr>
        <w:t> </w:t>
      </w:r>
      <w:r>
        <w:rPr>
          <w:color w:val="231F20"/>
          <w:sz w:val="16"/>
        </w:rPr>
        <w:t>ley</w:t>
      </w:r>
      <w:r>
        <w:rPr>
          <w:color w:val="231F20"/>
          <w:spacing w:val="-25"/>
          <w:sz w:val="16"/>
        </w:rPr>
        <w:t> </w:t>
      </w:r>
      <w:r>
        <w:rPr>
          <w:color w:val="231F20"/>
          <w:sz w:val="16"/>
        </w:rPr>
        <w:t>de</w:t>
      </w:r>
      <w:r>
        <w:rPr>
          <w:color w:val="231F20"/>
          <w:spacing w:val="-25"/>
          <w:sz w:val="16"/>
        </w:rPr>
        <w:t> </w:t>
      </w:r>
      <w:r>
        <w:rPr>
          <w:color w:val="231F20"/>
          <w:sz w:val="16"/>
        </w:rPr>
        <w:t>planeación</w:t>
      </w:r>
      <w:r>
        <w:rPr>
          <w:color w:val="231F20"/>
          <w:spacing w:val="-25"/>
          <w:sz w:val="16"/>
        </w:rPr>
        <w:t> </w:t>
      </w:r>
      <w:r>
        <w:rPr>
          <w:color w:val="231F20"/>
          <w:sz w:val="16"/>
        </w:rPr>
        <w:t>estatal</w:t>
      </w:r>
      <w:r>
        <w:rPr>
          <w:color w:val="231F20"/>
          <w:spacing w:val="-25"/>
          <w:sz w:val="16"/>
        </w:rPr>
        <w:t> </w:t>
      </w:r>
      <w:r>
        <w:rPr>
          <w:color w:val="231F20"/>
          <w:sz w:val="16"/>
        </w:rPr>
        <w:t>(art.</w:t>
      </w:r>
      <w:r>
        <w:rPr>
          <w:color w:val="231F20"/>
          <w:spacing w:val="-25"/>
          <w:sz w:val="16"/>
        </w:rPr>
        <w:t> </w:t>
      </w:r>
      <w:r>
        <w:rPr>
          <w:color w:val="231F20"/>
          <w:sz w:val="16"/>
        </w:rPr>
        <w:t>2, 3,</w:t>
      </w:r>
      <w:r>
        <w:rPr>
          <w:color w:val="231F20"/>
          <w:spacing w:val="-24"/>
          <w:sz w:val="16"/>
        </w:rPr>
        <w:t> </w:t>
      </w:r>
      <w:r>
        <w:rPr>
          <w:color w:val="231F20"/>
          <w:spacing w:val="-6"/>
          <w:sz w:val="16"/>
        </w:rPr>
        <w:t>13,</w:t>
      </w:r>
      <w:r>
        <w:rPr>
          <w:color w:val="231F20"/>
          <w:spacing w:val="-24"/>
          <w:sz w:val="16"/>
        </w:rPr>
        <w:t> </w:t>
      </w:r>
      <w:r>
        <w:rPr>
          <w:color w:val="231F20"/>
          <w:spacing w:val="-5"/>
          <w:sz w:val="16"/>
        </w:rPr>
        <w:t>14,</w:t>
      </w:r>
      <w:r>
        <w:rPr>
          <w:color w:val="231F20"/>
          <w:spacing w:val="-24"/>
          <w:sz w:val="16"/>
        </w:rPr>
        <w:t> </w:t>
      </w:r>
      <w:r>
        <w:rPr>
          <w:color w:val="231F20"/>
          <w:spacing w:val="-7"/>
          <w:sz w:val="16"/>
        </w:rPr>
        <w:t>19,</w:t>
      </w:r>
      <w:r>
        <w:rPr>
          <w:color w:val="231F20"/>
          <w:spacing w:val="-24"/>
          <w:sz w:val="16"/>
        </w:rPr>
        <w:t> </w:t>
      </w:r>
      <w:r>
        <w:rPr>
          <w:color w:val="231F20"/>
          <w:sz w:val="16"/>
        </w:rPr>
        <w:t>22,</w:t>
      </w:r>
      <w:r>
        <w:rPr>
          <w:color w:val="231F20"/>
          <w:spacing w:val="-24"/>
          <w:sz w:val="16"/>
        </w:rPr>
        <w:t> </w:t>
      </w:r>
      <w:r>
        <w:rPr>
          <w:color w:val="231F20"/>
          <w:spacing w:val="-2"/>
          <w:sz w:val="16"/>
        </w:rPr>
        <w:t>26,</w:t>
      </w:r>
      <w:r>
        <w:rPr>
          <w:color w:val="231F20"/>
          <w:spacing w:val="-24"/>
          <w:sz w:val="16"/>
        </w:rPr>
        <w:t> </w:t>
      </w:r>
      <w:r>
        <w:rPr>
          <w:color w:val="231F20"/>
          <w:spacing w:val="-3"/>
          <w:sz w:val="16"/>
        </w:rPr>
        <w:t>27),</w:t>
      </w:r>
      <w:r>
        <w:rPr>
          <w:color w:val="231F20"/>
          <w:spacing w:val="-24"/>
          <w:sz w:val="16"/>
        </w:rPr>
        <w:t> </w:t>
      </w:r>
      <w:r>
        <w:rPr>
          <w:color w:val="231F20"/>
          <w:sz w:val="16"/>
        </w:rPr>
        <w:t>y</w:t>
      </w:r>
      <w:r>
        <w:rPr>
          <w:color w:val="231F20"/>
          <w:spacing w:val="-24"/>
          <w:sz w:val="16"/>
        </w:rPr>
        <w:t> </w:t>
      </w:r>
      <w:r>
        <w:rPr>
          <w:color w:val="231F20"/>
          <w:sz w:val="16"/>
        </w:rPr>
        <w:t>en</w:t>
      </w:r>
      <w:r>
        <w:rPr>
          <w:color w:val="231F20"/>
          <w:spacing w:val="-24"/>
          <w:sz w:val="16"/>
        </w:rPr>
        <w:t> </w:t>
      </w:r>
      <w:r>
        <w:rPr>
          <w:color w:val="231F20"/>
          <w:sz w:val="16"/>
        </w:rPr>
        <w:t>el</w:t>
      </w:r>
      <w:r>
        <w:rPr>
          <w:color w:val="231F20"/>
          <w:spacing w:val="-24"/>
          <w:sz w:val="16"/>
        </w:rPr>
        <w:t> </w:t>
      </w:r>
      <w:r>
        <w:rPr>
          <w:color w:val="231F20"/>
          <w:sz w:val="16"/>
        </w:rPr>
        <w:t>reglamento</w:t>
      </w:r>
      <w:r>
        <w:rPr>
          <w:color w:val="231F20"/>
          <w:spacing w:val="-24"/>
          <w:sz w:val="16"/>
        </w:rPr>
        <w:t> </w:t>
      </w:r>
      <w:r>
        <w:rPr>
          <w:color w:val="231F20"/>
          <w:sz w:val="16"/>
        </w:rPr>
        <w:t>de</w:t>
      </w:r>
      <w:r>
        <w:rPr>
          <w:color w:val="231F20"/>
          <w:spacing w:val="-24"/>
          <w:sz w:val="16"/>
        </w:rPr>
        <w:t> </w:t>
      </w:r>
      <w:r>
        <w:rPr>
          <w:color w:val="231F20"/>
          <w:sz w:val="16"/>
        </w:rPr>
        <w:t>la</w:t>
      </w:r>
      <w:r>
        <w:rPr>
          <w:color w:val="231F20"/>
          <w:spacing w:val="-24"/>
          <w:sz w:val="16"/>
        </w:rPr>
        <w:t> </w:t>
      </w:r>
      <w:r>
        <w:rPr>
          <w:color w:val="231F20"/>
          <w:sz w:val="16"/>
        </w:rPr>
        <w:t>ley</w:t>
      </w:r>
      <w:r>
        <w:rPr>
          <w:color w:val="231F20"/>
          <w:spacing w:val="-24"/>
          <w:sz w:val="16"/>
        </w:rPr>
        <w:t> </w:t>
      </w:r>
      <w:r>
        <w:rPr>
          <w:color w:val="231F20"/>
          <w:sz w:val="16"/>
        </w:rPr>
        <w:t>de</w:t>
      </w:r>
      <w:r>
        <w:rPr>
          <w:color w:val="231F20"/>
          <w:spacing w:val="-24"/>
          <w:sz w:val="16"/>
        </w:rPr>
        <w:t> </w:t>
      </w:r>
      <w:r>
        <w:rPr>
          <w:color w:val="231F20"/>
          <w:sz w:val="16"/>
        </w:rPr>
        <w:t>planeación</w:t>
      </w:r>
      <w:r>
        <w:rPr>
          <w:color w:val="231F20"/>
          <w:spacing w:val="-24"/>
          <w:sz w:val="16"/>
        </w:rPr>
        <w:t> </w:t>
      </w:r>
      <w:r>
        <w:rPr>
          <w:color w:val="231F20"/>
          <w:sz w:val="16"/>
        </w:rPr>
        <w:t>estatal</w:t>
      </w:r>
      <w:r>
        <w:rPr>
          <w:color w:val="231F20"/>
          <w:spacing w:val="-24"/>
          <w:sz w:val="16"/>
        </w:rPr>
        <w:t> </w:t>
      </w:r>
      <w:r>
        <w:rPr>
          <w:color w:val="231F20"/>
          <w:sz w:val="16"/>
        </w:rPr>
        <w:t>(art.</w:t>
      </w:r>
      <w:r>
        <w:rPr>
          <w:color w:val="231F20"/>
          <w:spacing w:val="-24"/>
          <w:sz w:val="16"/>
        </w:rPr>
        <w:t> </w:t>
      </w:r>
      <w:r>
        <w:rPr>
          <w:color w:val="231F20"/>
          <w:sz w:val="16"/>
        </w:rPr>
        <w:t>4,</w:t>
      </w:r>
      <w:r>
        <w:rPr>
          <w:color w:val="231F20"/>
          <w:spacing w:val="-24"/>
          <w:sz w:val="16"/>
        </w:rPr>
        <w:t> </w:t>
      </w:r>
      <w:r>
        <w:rPr>
          <w:color w:val="231F20"/>
          <w:sz w:val="16"/>
        </w:rPr>
        <w:t>fracc.</w:t>
      </w:r>
      <w:r>
        <w:rPr>
          <w:color w:val="231F20"/>
          <w:spacing w:val="-24"/>
          <w:sz w:val="16"/>
        </w:rPr>
        <w:t> </w:t>
      </w:r>
      <w:r>
        <w:rPr>
          <w:color w:val="231F20"/>
          <w:sz w:val="16"/>
        </w:rPr>
        <w:t>II;</w:t>
      </w:r>
      <w:r>
        <w:rPr>
          <w:color w:val="231F20"/>
          <w:spacing w:val="-24"/>
          <w:sz w:val="16"/>
        </w:rPr>
        <w:t> </w:t>
      </w:r>
      <w:r>
        <w:rPr>
          <w:color w:val="231F20"/>
          <w:sz w:val="16"/>
        </w:rPr>
        <w:t>art.</w:t>
      </w:r>
      <w:r>
        <w:rPr>
          <w:color w:val="231F20"/>
          <w:spacing w:val="-24"/>
          <w:sz w:val="16"/>
        </w:rPr>
        <w:t> </w:t>
      </w:r>
      <w:r>
        <w:rPr>
          <w:color w:val="231F20"/>
          <w:sz w:val="16"/>
        </w:rPr>
        <w:t>6,</w:t>
      </w:r>
      <w:r>
        <w:rPr>
          <w:color w:val="231F20"/>
          <w:spacing w:val="-24"/>
          <w:sz w:val="16"/>
        </w:rPr>
        <w:t> </w:t>
      </w:r>
      <w:r>
        <w:rPr>
          <w:color w:val="231F20"/>
          <w:spacing w:val="-4"/>
          <w:sz w:val="16"/>
        </w:rPr>
        <w:t>18,</w:t>
      </w:r>
      <w:r>
        <w:rPr>
          <w:color w:val="231F20"/>
          <w:spacing w:val="-24"/>
          <w:sz w:val="16"/>
        </w:rPr>
        <w:t> </w:t>
      </w:r>
      <w:r>
        <w:rPr>
          <w:color w:val="231F20"/>
          <w:spacing w:val="-7"/>
          <w:sz w:val="16"/>
        </w:rPr>
        <w:t>21,</w:t>
      </w:r>
      <w:r>
        <w:rPr>
          <w:color w:val="231F20"/>
          <w:spacing w:val="-24"/>
          <w:sz w:val="16"/>
        </w:rPr>
        <w:t> </w:t>
      </w:r>
      <w:r>
        <w:rPr>
          <w:color w:val="231F20"/>
          <w:sz w:val="16"/>
        </w:rPr>
        <w:t>22,</w:t>
      </w:r>
      <w:r>
        <w:rPr>
          <w:color w:val="231F20"/>
          <w:spacing w:val="-24"/>
          <w:sz w:val="16"/>
        </w:rPr>
        <w:t> </w:t>
      </w:r>
      <w:r>
        <w:rPr>
          <w:color w:val="231F20"/>
          <w:sz w:val="16"/>
        </w:rPr>
        <w:t>23,</w:t>
      </w:r>
      <w:r>
        <w:rPr>
          <w:color w:val="231F20"/>
          <w:spacing w:val="-24"/>
          <w:sz w:val="16"/>
        </w:rPr>
        <w:t> </w:t>
      </w:r>
      <w:r>
        <w:rPr>
          <w:color w:val="231F20"/>
          <w:spacing w:val="-3"/>
          <w:sz w:val="16"/>
        </w:rPr>
        <w:t>50-23,</w:t>
      </w:r>
      <w:r>
        <w:rPr>
          <w:color w:val="231F20"/>
          <w:spacing w:val="-24"/>
          <w:sz w:val="16"/>
        </w:rPr>
        <w:t> </w:t>
      </w:r>
      <w:r>
        <w:rPr>
          <w:color w:val="231F20"/>
          <w:spacing w:val="-3"/>
          <w:sz w:val="16"/>
        </w:rPr>
        <w:t>67).</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radica en que es considerado el documento rector de las políticas públicas que se im- plementarán en el gobierno municipal.</w:t>
      </w:r>
    </w:p>
    <w:p>
      <w:pPr>
        <w:pStyle w:val="BodyText"/>
        <w:spacing w:before="1"/>
        <w:rPr>
          <w:sz w:val="26"/>
        </w:rPr>
      </w:pPr>
    </w:p>
    <w:p>
      <w:pPr>
        <w:pStyle w:val="BodyText"/>
        <w:spacing w:line="285" w:lineRule="auto"/>
        <w:ind w:left="110" w:right="106"/>
        <w:jc w:val="both"/>
        <w:rPr>
          <w:sz w:val="13"/>
        </w:rPr>
      </w:pPr>
      <w:r>
        <w:rPr>
          <w:color w:val="231F20"/>
        </w:rPr>
        <w:t>La normatividad establece que la Comisión de Planeación para el Desarrollo Municipal (COPLADEMUN) es el órgano encargado de </w:t>
      </w:r>
      <w:r>
        <w:rPr>
          <w:color w:val="231F20"/>
          <w:spacing w:val="-3"/>
        </w:rPr>
        <w:t>proponer  </w:t>
      </w:r>
      <w:r>
        <w:rPr>
          <w:color w:val="231F20"/>
        </w:rPr>
        <w:t>los mecanismos, instrumentos     o acciones para la formulación, control y evaluación de las políticas de dicho plan, sin embargo, </w:t>
      </w:r>
      <w:r>
        <w:rPr>
          <w:color w:val="231F20"/>
          <w:spacing w:val="2"/>
        </w:rPr>
        <w:t>al </w:t>
      </w:r>
      <w:r>
        <w:rPr>
          <w:color w:val="231F20"/>
        </w:rPr>
        <w:t>final, el presidente municipal es el encargado de convocar a los actores y </w:t>
      </w:r>
      <w:r>
        <w:rPr>
          <w:color w:val="231F20"/>
          <w:spacing w:val="-4"/>
        </w:rPr>
        <w:t>or- </w:t>
      </w:r>
      <w:r>
        <w:rPr>
          <w:color w:val="231F20"/>
        </w:rPr>
        <w:t>ganizaciones que formarán parte de dicha comisión, así como de los temas de la agenda    a debatir y su </w:t>
      </w:r>
      <w:r>
        <w:rPr>
          <w:color w:val="231F20"/>
          <w:spacing w:val="3"/>
        </w:rPr>
        <w:t> </w:t>
      </w:r>
      <w:r>
        <w:rPr>
          <w:color w:val="231F20"/>
        </w:rPr>
        <w:t>aprobación</w:t>
      </w:r>
      <w:r>
        <w:rPr>
          <w:color w:val="231F20"/>
          <w:position w:val="7"/>
          <w:sz w:val="13"/>
        </w:rPr>
        <w:t>35.</w:t>
      </w:r>
    </w:p>
    <w:p>
      <w:pPr>
        <w:pStyle w:val="BodyText"/>
        <w:spacing w:before="1"/>
        <w:rPr>
          <w:sz w:val="26"/>
        </w:rPr>
      </w:pPr>
    </w:p>
    <w:p>
      <w:pPr>
        <w:pStyle w:val="BodyText"/>
        <w:spacing w:line="285" w:lineRule="auto"/>
        <w:ind w:left="110" w:right="107"/>
        <w:jc w:val="both"/>
      </w:pP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caso</w:t>
      </w:r>
      <w:r>
        <w:rPr>
          <w:color w:val="231F20"/>
          <w:spacing w:val="-22"/>
          <w:w w:val="105"/>
        </w:rPr>
        <w:t> </w:t>
      </w:r>
      <w:r>
        <w:rPr>
          <w:color w:val="231F20"/>
          <w:w w:val="105"/>
        </w:rPr>
        <w:t>de</w:t>
      </w:r>
      <w:r>
        <w:rPr>
          <w:color w:val="231F20"/>
          <w:spacing w:val="-22"/>
          <w:w w:val="105"/>
        </w:rPr>
        <w:t> </w:t>
      </w:r>
      <w:r>
        <w:rPr>
          <w:color w:val="231F20"/>
          <w:w w:val="105"/>
        </w:rPr>
        <w:t>Huixquilucan,</w:t>
      </w:r>
      <w:r>
        <w:rPr>
          <w:color w:val="231F20"/>
          <w:spacing w:val="-22"/>
          <w:w w:val="105"/>
        </w:rPr>
        <w:t> </w:t>
      </w:r>
      <w:r>
        <w:rPr>
          <w:color w:val="231F20"/>
          <w:w w:val="105"/>
        </w:rPr>
        <w:t>la</w:t>
      </w:r>
      <w:r>
        <w:rPr>
          <w:color w:val="231F20"/>
          <w:spacing w:val="-22"/>
          <w:w w:val="105"/>
        </w:rPr>
        <w:t> </w:t>
      </w:r>
      <w:r>
        <w:rPr>
          <w:color w:val="231F20"/>
          <w:w w:val="105"/>
        </w:rPr>
        <w:t>elaboración</w:t>
      </w:r>
      <w:r>
        <w:rPr>
          <w:color w:val="231F20"/>
          <w:spacing w:val="-22"/>
          <w:w w:val="105"/>
        </w:rPr>
        <w:t> </w:t>
      </w:r>
      <w:r>
        <w:rPr>
          <w:color w:val="231F20"/>
          <w:w w:val="105"/>
        </w:rPr>
        <w:t>de</w:t>
      </w:r>
      <w:r>
        <w:rPr>
          <w:color w:val="231F20"/>
          <w:spacing w:val="-22"/>
          <w:w w:val="105"/>
        </w:rPr>
        <w:t> </w:t>
      </w:r>
      <w:r>
        <w:rPr>
          <w:color w:val="231F20"/>
          <w:w w:val="105"/>
        </w:rPr>
        <w:t>dicho</w:t>
      </w:r>
      <w:r>
        <w:rPr>
          <w:color w:val="231F20"/>
          <w:spacing w:val="-22"/>
          <w:w w:val="105"/>
        </w:rPr>
        <w:t> </w:t>
      </w:r>
      <w:r>
        <w:rPr>
          <w:color w:val="231F20"/>
          <w:w w:val="105"/>
        </w:rPr>
        <w:t>plan</w:t>
      </w:r>
      <w:r>
        <w:rPr>
          <w:color w:val="231F20"/>
          <w:spacing w:val="-22"/>
          <w:w w:val="105"/>
        </w:rPr>
        <w:t> </w:t>
      </w:r>
      <w:r>
        <w:rPr>
          <w:color w:val="231F20"/>
          <w:w w:val="105"/>
        </w:rPr>
        <w:t>de</w:t>
      </w:r>
      <w:r>
        <w:rPr>
          <w:color w:val="231F20"/>
          <w:spacing w:val="-22"/>
          <w:w w:val="105"/>
        </w:rPr>
        <w:t> </w:t>
      </w:r>
      <w:r>
        <w:rPr>
          <w:color w:val="231F20"/>
          <w:w w:val="105"/>
        </w:rPr>
        <w:t>desarrollo</w:t>
      </w:r>
      <w:r>
        <w:rPr>
          <w:color w:val="231F20"/>
          <w:spacing w:val="-22"/>
          <w:w w:val="105"/>
        </w:rPr>
        <w:t> </w:t>
      </w:r>
      <w:r>
        <w:rPr>
          <w:color w:val="231F20"/>
          <w:spacing w:val="2"/>
          <w:w w:val="105"/>
        </w:rPr>
        <w:t>2006-2009</w:t>
      </w:r>
      <w:r>
        <w:rPr>
          <w:color w:val="231F20"/>
          <w:spacing w:val="-22"/>
          <w:w w:val="105"/>
        </w:rPr>
        <w:t> </w:t>
      </w:r>
      <w:r>
        <w:rPr>
          <w:color w:val="231F20"/>
          <w:w w:val="105"/>
        </w:rPr>
        <w:t>partió de</w:t>
      </w:r>
      <w:r>
        <w:rPr>
          <w:color w:val="231F20"/>
          <w:spacing w:val="-15"/>
          <w:w w:val="105"/>
        </w:rPr>
        <w:t> </w:t>
      </w:r>
      <w:r>
        <w:rPr>
          <w:color w:val="231F20"/>
          <w:w w:val="105"/>
        </w:rPr>
        <w:t>dos</w:t>
      </w:r>
      <w:r>
        <w:rPr>
          <w:color w:val="231F20"/>
          <w:spacing w:val="-15"/>
          <w:w w:val="105"/>
        </w:rPr>
        <w:t> </w:t>
      </w:r>
      <w:r>
        <w:rPr>
          <w:color w:val="231F20"/>
          <w:w w:val="105"/>
        </w:rPr>
        <w:t>elementos</w:t>
      </w:r>
      <w:r>
        <w:rPr>
          <w:color w:val="231F20"/>
          <w:spacing w:val="-15"/>
          <w:w w:val="105"/>
        </w:rPr>
        <w:t> </w:t>
      </w:r>
      <w:r>
        <w:rPr>
          <w:color w:val="231F20"/>
          <w:w w:val="105"/>
        </w:rPr>
        <w:t>básicos:</w:t>
      </w:r>
      <w:r>
        <w:rPr>
          <w:color w:val="231F20"/>
          <w:spacing w:val="-15"/>
          <w:w w:val="105"/>
        </w:rPr>
        <w:t> </w:t>
      </w:r>
      <w:r>
        <w:rPr>
          <w:color w:val="231F20"/>
          <w:w w:val="105"/>
        </w:rPr>
        <w:t>uno</w:t>
      </w:r>
      <w:r>
        <w:rPr>
          <w:color w:val="231F20"/>
          <w:spacing w:val="-15"/>
          <w:w w:val="105"/>
        </w:rPr>
        <w:t> </w:t>
      </w:r>
      <w:r>
        <w:rPr>
          <w:color w:val="231F20"/>
          <w:w w:val="105"/>
        </w:rPr>
        <w:t>correspondió</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propuestas</w:t>
      </w:r>
      <w:r>
        <w:rPr>
          <w:color w:val="231F20"/>
          <w:spacing w:val="-15"/>
          <w:w w:val="105"/>
        </w:rPr>
        <w:t> </w:t>
      </w:r>
      <w:r>
        <w:rPr>
          <w:color w:val="231F20"/>
          <w:w w:val="105"/>
        </w:rPr>
        <w:t>de</w:t>
      </w:r>
      <w:r>
        <w:rPr>
          <w:color w:val="231F20"/>
          <w:spacing w:val="-15"/>
          <w:w w:val="105"/>
        </w:rPr>
        <w:t> </w:t>
      </w:r>
      <w:r>
        <w:rPr>
          <w:color w:val="231F20"/>
          <w:w w:val="105"/>
        </w:rPr>
        <w:t>campaña</w:t>
      </w:r>
      <w:r>
        <w:rPr>
          <w:color w:val="231F20"/>
          <w:spacing w:val="-15"/>
          <w:w w:val="105"/>
        </w:rPr>
        <w:t> </w:t>
      </w:r>
      <w:r>
        <w:rPr>
          <w:color w:val="231F20"/>
          <w:w w:val="105"/>
        </w:rPr>
        <w:t>del</w:t>
      </w:r>
      <w:r>
        <w:rPr>
          <w:color w:val="231F20"/>
          <w:spacing w:val="-15"/>
          <w:w w:val="105"/>
        </w:rPr>
        <w:t> </w:t>
      </w:r>
      <w:r>
        <w:rPr>
          <w:color w:val="231F20"/>
          <w:w w:val="105"/>
        </w:rPr>
        <w:t>presidente municipal</w:t>
      </w:r>
      <w:r>
        <w:rPr>
          <w:color w:val="231F20"/>
          <w:spacing w:val="-5"/>
          <w:w w:val="105"/>
        </w:rPr>
        <w:t> </w:t>
      </w:r>
      <w:r>
        <w:rPr>
          <w:color w:val="231F20"/>
          <w:w w:val="105"/>
        </w:rPr>
        <w:t>en</w:t>
      </w:r>
      <w:r>
        <w:rPr>
          <w:color w:val="231F20"/>
          <w:spacing w:val="-5"/>
          <w:w w:val="105"/>
        </w:rPr>
        <w:t> </w:t>
      </w:r>
      <w:r>
        <w:rPr>
          <w:color w:val="231F20"/>
          <w:w w:val="105"/>
        </w:rPr>
        <w:t>turno,</w:t>
      </w:r>
      <w:r>
        <w:rPr>
          <w:color w:val="231F20"/>
          <w:spacing w:val="-5"/>
          <w:w w:val="105"/>
        </w:rPr>
        <w:t> </w:t>
      </w:r>
      <w:r>
        <w:rPr>
          <w:color w:val="231F20"/>
          <w:w w:val="105"/>
        </w:rPr>
        <w:t>Adrián</w:t>
      </w:r>
      <w:r>
        <w:rPr>
          <w:color w:val="231F20"/>
          <w:spacing w:val="-5"/>
          <w:w w:val="105"/>
        </w:rPr>
        <w:t> </w:t>
      </w:r>
      <w:r>
        <w:rPr>
          <w:color w:val="231F20"/>
          <w:w w:val="105"/>
        </w:rPr>
        <w:t>Fuentes</w:t>
      </w:r>
      <w:r>
        <w:rPr>
          <w:color w:val="231F20"/>
          <w:spacing w:val="-5"/>
          <w:w w:val="105"/>
        </w:rPr>
        <w:t> </w:t>
      </w:r>
      <w:r>
        <w:rPr>
          <w:color w:val="231F20"/>
          <w:w w:val="105"/>
        </w:rPr>
        <w:t>Villalobos,</w:t>
      </w:r>
      <w:r>
        <w:rPr>
          <w:color w:val="231F20"/>
          <w:spacing w:val="-5"/>
          <w:w w:val="105"/>
        </w:rPr>
        <w:t> </w:t>
      </w:r>
      <w:r>
        <w:rPr>
          <w:color w:val="231F20"/>
          <w:w w:val="105"/>
        </w:rPr>
        <w:t>que</w:t>
      </w:r>
      <w:r>
        <w:rPr>
          <w:color w:val="231F20"/>
          <w:spacing w:val="-5"/>
          <w:w w:val="105"/>
        </w:rPr>
        <w:t> </w:t>
      </w:r>
      <w:r>
        <w:rPr>
          <w:color w:val="231F20"/>
          <w:w w:val="105"/>
        </w:rPr>
        <w:t>condensó</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spacing w:val="-6"/>
          <w:w w:val="105"/>
        </w:rPr>
        <w:t>“10</w:t>
      </w:r>
      <w:r>
        <w:rPr>
          <w:color w:val="231F20"/>
          <w:spacing w:val="-5"/>
          <w:w w:val="105"/>
        </w:rPr>
        <w:t> </w:t>
      </w:r>
      <w:r>
        <w:rPr>
          <w:color w:val="231F20"/>
          <w:w w:val="105"/>
        </w:rPr>
        <w:t>compromisos de</w:t>
      </w:r>
      <w:r>
        <w:rPr>
          <w:color w:val="231F20"/>
          <w:spacing w:val="-12"/>
          <w:w w:val="105"/>
        </w:rPr>
        <w:t> </w:t>
      </w:r>
      <w:r>
        <w:rPr>
          <w:color w:val="231F20"/>
          <w:w w:val="105"/>
        </w:rPr>
        <w:t>campaña”</w:t>
      </w:r>
      <w:r>
        <w:rPr>
          <w:color w:val="231F20"/>
          <w:spacing w:val="-12"/>
          <w:w w:val="105"/>
        </w:rPr>
        <w:t> </w:t>
      </w:r>
      <w:r>
        <w:rPr>
          <w:color w:val="231F20"/>
          <w:w w:val="105"/>
          <w:position w:val="7"/>
          <w:sz w:val="13"/>
        </w:rPr>
        <w:t>36;</w:t>
      </w:r>
      <w:r>
        <w:rPr>
          <w:color w:val="231F20"/>
          <w:spacing w:val="11"/>
          <w:w w:val="105"/>
          <w:position w:val="7"/>
          <w:sz w:val="13"/>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otro</w:t>
      </w:r>
      <w:r>
        <w:rPr>
          <w:color w:val="231F20"/>
          <w:spacing w:val="-12"/>
          <w:w w:val="105"/>
        </w:rPr>
        <w:t> </w:t>
      </w:r>
      <w:r>
        <w:rPr>
          <w:color w:val="231F20"/>
          <w:w w:val="105"/>
        </w:rPr>
        <w:t>surgió</w:t>
      </w:r>
      <w:r>
        <w:rPr>
          <w:color w:val="231F20"/>
          <w:spacing w:val="-12"/>
          <w:w w:val="105"/>
        </w:rPr>
        <w:t> </w:t>
      </w:r>
      <w:r>
        <w:rPr>
          <w:color w:val="231F20"/>
          <w:w w:val="105"/>
        </w:rPr>
        <w:t>de</w:t>
      </w:r>
      <w:r>
        <w:rPr>
          <w:color w:val="231F20"/>
          <w:spacing w:val="-12"/>
          <w:w w:val="105"/>
        </w:rPr>
        <w:t> </w:t>
      </w:r>
      <w:r>
        <w:rPr>
          <w:color w:val="231F20"/>
          <w:spacing w:val="2"/>
          <w:w w:val="105"/>
        </w:rPr>
        <w:t>“las</w:t>
      </w:r>
      <w:r>
        <w:rPr>
          <w:color w:val="231F20"/>
          <w:spacing w:val="-12"/>
          <w:w w:val="105"/>
        </w:rPr>
        <w:t> </w:t>
      </w:r>
      <w:r>
        <w:rPr>
          <w:color w:val="231F20"/>
          <w:w w:val="105"/>
        </w:rPr>
        <w:t>propuestas</w:t>
      </w:r>
      <w:r>
        <w:rPr>
          <w:color w:val="231F20"/>
          <w:spacing w:val="-12"/>
          <w:w w:val="105"/>
        </w:rPr>
        <w:t> </w:t>
      </w:r>
      <w:r>
        <w:rPr>
          <w:color w:val="231F20"/>
          <w:w w:val="105"/>
        </w:rPr>
        <w:t>formuladas</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Foros</w:t>
      </w:r>
      <w:r>
        <w:rPr>
          <w:color w:val="231F20"/>
          <w:spacing w:val="-12"/>
          <w:w w:val="105"/>
        </w:rPr>
        <w:t> </w:t>
      </w:r>
      <w:r>
        <w:rPr>
          <w:color w:val="231F20"/>
          <w:w w:val="105"/>
        </w:rPr>
        <w:t>de</w:t>
      </w:r>
      <w:r>
        <w:rPr>
          <w:color w:val="231F20"/>
          <w:spacing w:val="-12"/>
          <w:w w:val="105"/>
        </w:rPr>
        <w:t> </w:t>
      </w:r>
      <w:r>
        <w:rPr>
          <w:color w:val="231F20"/>
          <w:w w:val="105"/>
        </w:rPr>
        <w:t>Consulta Ciudadana”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realizaron</w:t>
      </w:r>
      <w:r>
        <w:rPr>
          <w:color w:val="231F20"/>
          <w:spacing w:val="-10"/>
          <w:w w:val="105"/>
        </w:rPr>
        <w:t> </w:t>
      </w:r>
      <w:r>
        <w:rPr>
          <w:color w:val="231F20"/>
          <w:spacing w:val="2"/>
          <w:w w:val="105"/>
        </w:rPr>
        <w:t>al</w:t>
      </w:r>
      <w:r>
        <w:rPr>
          <w:color w:val="231F20"/>
          <w:spacing w:val="-10"/>
          <w:w w:val="105"/>
        </w:rPr>
        <w:t> </w:t>
      </w:r>
      <w:r>
        <w:rPr>
          <w:color w:val="231F20"/>
          <w:w w:val="105"/>
        </w:rPr>
        <w:t>inicio</w:t>
      </w:r>
      <w:r>
        <w:rPr>
          <w:color w:val="231F20"/>
          <w:spacing w:val="-10"/>
          <w:w w:val="105"/>
        </w:rPr>
        <w:t> </w:t>
      </w:r>
      <w:r>
        <w:rPr>
          <w:color w:val="231F20"/>
          <w:w w:val="105"/>
        </w:rPr>
        <w:t>de</w:t>
      </w:r>
      <w:r>
        <w:rPr>
          <w:color w:val="231F20"/>
          <w:spacing w:val="-10"/>
          <w:w w:val="105"/>
        </w:rPr>
        <w:t> </w:t>
      </w:r>
      <w:r>
        <w:rPr>
          <w:color w:val="231F20"/>
          <w:w w:val="105"/>
        </w:rPr>
        <w:t>dicha</w:t>
      </w:r>
      <w:r>
        <w:rPr>
          <w:color w:val="231F20"/>
          <w:spacing w:val="-10"/>
          <w:w w:val="105"/>
        </w:rPr>
        <w:t> </w:t>
      </w:r>
      <w:r>
        <w:rPr>
          <w:color w:val="231F20"/>
          <w:w w:val="105"/>
        </w:rPr>
        <w:t>gestión.</w:t>
      </w:r>
      <w:r>
        <w:rPr>
          <w:color w:val="231F20"/>
          <w:spacing w:val="-10"/>
          <w:w w:val="105"/>
        </w:rPr>
        <w:t> </w:t>
      </w:r>
      <w:r>
        <w:rPr>
          <w:color w:val="231F20"/>
          <w:w w:val="105"/>
        </w:rPr>
        <w:t>Para</w:t>
      </w:r>
      <w:r>
        <w:rPr>
          <w:color w:val="231F20"/>
          <w:spacing w:val="-10"/>
          <w:w w:val="105"/>
        </w:rPr>
        <w:t> </w:t>
      </w:r>
      <w:r>
        <w:rPr>
          <w:color w:val="231F20"/>
          <w:spacing w:val="2"/>
          <w:w w:val="105"/>
        </w:rPr>
        <w:t>tal</w:t>
      </w:r>
      <w:r>
        <w:rPr>
          <w:color w:val="231F20"/>
          <w:spacing w:val="-10"/>
          <w:w w:val="105"/>
        </w:rPr>
        <w:t> </w:t>
      </w:r>
      <w:r>
        <w:rPr>
          <w:color w:val="231F20"/>
          <w:w w:val="105"/>
        </w:rPr>
        <w:t>efecto</w:t>
      </w:r>
      <w:r>
        <w:rPr>
          <w:color w:val="231F20"/>
          <w:spacing w:val="-10"/>
          <w:w w:val="105"/>
        </w:rPr>
        <w:t> </w:t>
      </w:r>
      <w:r>
        <w:rPr>
          <w:color w:val="231F20"/>
          <w:w w:val="105"/>
        </w:rPr>
        <w:t>se</w:t>
      </w:r>
      <w:r>
        <w:rPr>
          <w:color w:val="231F20"/>
          <w:spacing w:val="-10"/>
          <w:w w:val="105"/>
        </w:rPr>
        <w:t> </w:t>
      </w:r>
      <w:r>
        <w:rPr>
          <w:color w:val="231F20"/>
          <w:w w:val="105"/>
        </w:rPr>
        <w:t>optó</w:t>
      </w:r>
      <w:r>
        <w:rPr>
          <w:color w:val="231F20"/>
          <w:spacing w:val="-10"/>
          <w:w w:val="105"/>
        </w:rPr>
        <w:t> </w:t>
      </w:r>
      <w:r>
        <w:rPr>
          <w:color w:val="231F20"/>
          <w:w w:val="105"/>
        </w:rPr>
        <w:t>por</w:t>
      </w:r>
      <w:r>
        <w:rPr>
          <w:color w:val="231F20"/>
          <w:spacing w:val="-10"/>
          <w:w w:val="105"/>
        </w:rPr>
        <w:t> </w:t>
      </w:r>
      <w:r>
        <w:rPr>
          <w:color w:val="231F20"/>
          <w:w w:val="105"/>
        </w:rPr>
        <w:t>sus- tituir</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COPLADEMUN</w:t>
      </w:r>
      <w:r>
        <w:rPr>
          <w:color w:val="231F20"/>
          <w:spacing w:val="-15"/>
          <w:w w:val="105"/>
        </w:rPr>
        <w:t> </w:t>
      </w:r>
      <w:r>
        <w:rPr>
          <w:color w:val="231F20"/>
          <w:w w:val="105"/>
        </w:rPr>
        <w:t>por</w:t>
      </w:r>
      <w:r>
        <w:rPr>
          <w:color w:val="231F20"/>
          <w:spacing w:val="-15"/>
          <w:w w:val="105"/>
        </w:rPr>
        <w:t> </w:t>
      </w:r>
      <w:r>
        <w:rPr>
          <w:color w:val="231F20"/>
          <w:w w:val="105"/>
        </w:rPr>
        <w:t>los</w:t>
      </w:r>
      <w:r>
        <w:rPr>
          <w:color w:val="231F20"/>
          <w:spacing w:val="-15"/>
          <w:w w:val="105"/>
        </w:rPr>
        <w:t> </w:t>
      </w:r>
      <w:r>
        <w:rPr>
          <w:color w:val="231F20"/>
          <w:w w:val="105"/>
        </w:rPr>
        <w:t>Foros</w:t>
      </w:r>
      <w:r>
        <w:rPr>
          <w:color w:val="231F20"/>
          <w:spacing w:val="-15"/>
          <w:w w:val="105"/>
        </w:rPr>
        <w:t> </w:t>
      </w:r>
      <w:r>
        <w:rPr>
          <w:color w:val="231F20"/>
          <w:w w:val="105"/>
        </w:rPr>
        <w:t>de</w:t>
      </w:r>
      <w:r>
        <w:rPr>
          <w:color w:val="231F20"/>
          <w:spacing w:val="-15"/>
          <w:w w:val="105"/>
        </w:rPr>
        <w:t> </w:t>
      </w:r>
      <w:r>
        <w:rPr>
          <w:color w:val="231F20"/>
          <w:w w:val="105"/>
        </w:rPr>
        <w:t>Consulta</w:t>
      </w:r>
      <w:r>
        <w:rPr>
          <w:color w:val="231F20"/>
          <w:spacing w:val="-15"/>
          <w:w w:val="105"/>
        </w:rPr>
        <w:t> </w:t>
      </w:r>
      <w:r>
        <w:rPr>
          <w:color w:val="231F20"/>
          <w:w w:val="105"/>
        </w:rPr>
        <w:t>Ciudadana.</w:t>
      </w:r>
    </w:p>
    <w:p>
      <w:pPr>
        <w:pStyle w:val="BodyText"/>
        <w:spacing w:before="1"/>
        <w:rPr>
          <w:sz w:val="26"/>
        </w:rPr>
      </w:pPr>
    </w:p>
    <w:p>
      <w:pPr>
        <w:pStyle w:val="BodyText"/>
        <w:spacing w:line="285" w:lineRule="auto"/>
        <w:ind w:left="110" w:right="106"/>
        <w:jc w:val="both"/>
      </w:pPr>
      <w:r>
        <w:rPr>
          <w:color w:val="231F20"/>
          <w:w w:val="105"/>
        </w:rPr>
        <w:t>Estos</w:t>
      </w:r>
      <w:r>
        <w:rPr>
          <w:color w:val="231F20"/>
          <w:spacing w:val="-9"/>
          <w:w w:val="105"/>
        </w:rPr>
        <w:t> </w:t>
      </w:r>
      <w:r>
        <w:rPr>
          <w:color w:val="231F20"/>
          <w:spacing w:val="-4"/>
          <w:w w:val="105"/>
        </w:rPr>
        <w:t>foros,</w:t>
      </w:r>
      <w:r>
        <w:rPr>
          <w:color w:val="231F20"/>
          <w:spacing w:val="-9"/>
          <w:w w:val="105"/>
        </w:rPr>
        <w:t> </w:t>
      </w:r>
      <w:r>
        <w:rPr>
          <w:color w:val="231F20"/>
          <w:w w:val="105"/>
        </w:rPr>
        <w:t>calificados</w:t>
      </w:r>
      <w:r>
        <w:rPr>
          <w:color w:val="231F20"/>
          <w:spacing w:val="-9"/>
          <w:w w:val="105"/>
        </w:rPr>
        <w:t> </w:t>
      </w:r>
      <w:r>
        <w:rPr>
          <w:color w:val="231F20"/>
          <w:spacing w:val="-4"/>
          <w:w w:val="105"/>
        </w:rPr>
        <w:t>como</w:t>
      </w:r>
      <w:r>
        <w:rPr>
          <w:color w:val="231F20"/>
          <w:spacing w:val="-9"/>
          <w:w w:val="105"/>
        </w:rPr>
        <w:t> </w:t>
      </w:r>
      <w:r>
        <w:rPr>
          <w:color w:val="231F20"/>
          <w:spacing w:val="-3"/>
          <w:w w:val="105"/>
        </w:rPr>
        <w:t>“un</w:t>
      </w:r>
      <w:r>
        <w:rPr>
          <w:color w:val="231F20"/>
          <w:spacing w:val="-9"/>
          <w:w w:val="105"/>
        </w:rPr>
        <w:t> </w:t>
      </w:r>
      <w:r>
        <w:rPr>
          <w:color w:val="231F20"/>
          <w:spacing w:val="-3"/>
          <w:w w:val="105"/>
        </w:rPr>
        <w:t>amplio</w:t>
      </w:r>
      <w:r>
        <w:rPr>
          <w:color w:val="231F20"/>
          <w:spacing w:val="-9"/>
          <w:w w:val="105"/>
        </w:rPr>
        <w:t> </w:t>
      </w:r>
      <w:r>
        <w:rPr>
          <w:color w:val="231F20"/>
          <w:w w:val="105"/>
        </w:rPr>
        <w:t>e</w:t>
      </w:r>
      <w:r>
        <w:rPr>
          <w:color w:val="231F20"/>
          <w:spacing w:val="-9"/>
          <w:w w:val="105"/>
        </w:rPr>
        <w:t> </w:t>
      </w:r>
      <w:r>
        <w:rPr>
          <w:color w:val="231F20"/>
          <w:w w:val="105"/>
        </w:rPr>
        <w:t>intenso</w:t>
      </w:r>
      <w:r>
        <w:rPr>
          <w:color w:val="231F20"/>
          <w:spacing w:val="-9"/>
          <w:w w:val="105"/>
        </w:rPr>
        <w:t> </w:t>
      </w:r>
      <w:r>
        <w:rPr>
          <w:color w:val="231F20"/>
          <w:spacing w:val="-4"/>
          <w:w w:val="105"/>
        </w:rPr>
        <w:t>ejercicio</w:t>
      </w:r>
      <w:r>
        <w:rPr>
          <w:color w:val="231F20"/>
          <w:spacing w:val="-9"/>
          <w:w w:val="105"/>
        </w:rPr>
        <w:t> </w:t>
      </w:r>
      <w:r>
        <w:rPr>
          <w:color w:val="231F20"/>
          <w:w w:val="105"/>
        </w:rPr>
        <w:t>de</w:t>
      </w:r>
      <w:r>
        <w:rPr>
          <w:color w:val="231F20"/>
          <w:spacing w:val="-9"/>
          <w:w w:val="105"/>
        </w:rPr>
        <w:t> </w:t>
      </w:r>
      <w:r>
        <w:rPr>
          <w:color w:val="231F20"/>
          <w:spacing w:val="-3"/>
          <w:w w:val="105"/>
        </w:rPr>
        <w:t>participación</w:t>
      </w:r>
      <w:r>
        <w:rPr>
          <w:color w:val="231F20"/>
          <w:spacing w:val="-9"/>
          <w:w w:val="105"/>
        </w:rPr>
        <w:t> </w:t>
      </w:r>
      <w:r>
        <w:rPr>
          <w:color w:val="231F20"/>
          <w:spacing w:val="-4"/>
          <w:w w:val="105"/>
        </w:rPr>
        <w:t>ciudadana” </w:t>
      </w:r>
      <w:r>
        <w:rPr>
          <w:color w:val="231F20"/>
          <w:spacing w:val="-3"/>
          <w:w w:val="105"/>
        </w:rPr>
        <w:t>por</w:t>
      </w:r>
      <w:r>
        <w:rPr>
          <w:color w:val="231F20"/>
          <w:spacing w:val="-8"/>
          <w:w w:val="105"/>
        </w:rPr>
        <w:t> </w:t>
      </w:r>
      <w:r>
        <w:rPr>
          <w:color w:val="231F20"/>
          <w:w w:val="105"/>
        </w:rPr>
        <w:t>el</w:t>
      </w:r>
      <w:r>
        <w:rPr>
          <w:color w:val="231F20"/>
          <w:spacing w:val="-8"/>
          <w:w w:val="105"/>
        </w:rPr>
        <w:t> </w:t>
      </w:r>
      <w:r>
        <w:rPr>
          <w:color w:val="231F20"/>
          <w:spacing w:val="-3"/>
          <w:w w:val="105"/>
        </w:rPr>
        <w:t>reporte</w:t>
      </w:r>
      <w:r>
        <w:rPr>
          <w:color w:val="231F20"/>
          <w:spacing w:val="-8"/>
          <w:w w:val="105"/>
        </w:rPr>
        <w:t> </w:t>
      </w:r>
      <w:r>
        <w:rPr>
          <w:color w:val="231F20"/>
          <w:spacing w:val="-3"/>
          <w:w w:val="105"/>
        </w:rPr>
        <w:t>del</w:t>
      </w:r>
      <w:r>
        <w:rPr>
          <w:color w:val="231F20"/>
          <w:spacing w:val="-8"/>
          <w:w w:val="105"/>
        </w:rPr>
        <w:t> </w:t>
      </w:r>
      <w:r>
        <w:rPr>
          <w:color w:val="231F20"/>
          <w:w w:val="105"/>
        </w:rPr>
        <w:t>Plan</w:t>
      </w:r>
      <w:r>
        <w:rPr>
          <w:color w:val="231F20"/>
          <w:spacing w:val="-8"/>
          <w:w w:val="105"/>
        </w:rPr>
        <w:t> </w:t>
      </w:r>
      <w:r>
        <w:rPr>
          <w:color w:val="231F20"/>
          <w:w w:val="105"/>
        </w:rPr>
        <w:t>de</w:t>
      </w:r>
      <w:r>
        <w:rPr>
          <w:color w:val="231F20"/>
          <w:spacing w:val="-8"/>
          <w:w w:val="105"/>
        </w:rPr>
        <w:t> </w:t>
      </w:r>
      <w:r>
        <w:rPr>
          <w:color w:val="231F20"/>
          <w:w w:val="105"/>
        </w:rPr>
        <w:t>Desarrollo,</w:t>
      </w:r>
      <w:r>
        <w:rPr>
          <w:color w:val="231F20"/>
          <w:spacing w:val="-8"/>
          <w:w w:val="105"/>
        </w:rPr>
        <w:t> </w:t>
      </w:r>
      <w:r>
        <w:rPr>
          <w:color w:val="231F20"/>
          <w:w w:val="105"/>
        </w:rPr>
        <w:t>2006-2009,</w:t>
      </w:r>
      <w:r>
        <w:rPr>
          <w:color w:val="231F20"/>
          <w:spacing w:val="-8"/>
          <w:w w:val="105"/>
        </w:rPr>
        <w:t> </w:t>
      </w:r>
      <w:r>
        <w:rPr>
          <w:color w:val="231F20"/>
          <w:w w:val="105"/>
        </w:rPr>
        <w:t>se</w:t>
      </w:r>
      <w:r>
        <w:rPr>
          <w:color w:val="231F20"/>
          <w:spacing w:val="-8"/>
          <w:w w:val="105"/>
        </w:rPr>
        <w:t> </w:t>
      </w:r>
      <w:r>
        <w:rPr>
          <w:color w:val="231F20"/>
          <w:w w:val="105"/>
        </w:rPr>
        <w:t>realizaron</w:t>
      </w:r>
      <w:r>
        <w:rPr>
          <w:color w:val="231F20"/>
          <w:spacing w:val="-8"/>
          <w:w w:val="105"/>
        </w:rPr>
        <w:t> </w:t>
      </w:r>
      <w:r>
        <w:rPr>
          <w:color w:val="231F20"/>
          <w:spacing w:val="-3"/>
          <w:w w:val="105"/>
        </w:rPr>
        <w:t>entre</w:t>
      </w:r>
      <w:r>
        <w:rPr>
          <w:color w:val="231F20"/>
          <w:spacing w:val="-8"/>
          <w:w w:val="105"/>
        </w:rPr>
        <w:t> </w:t>
      </w:r>
      <w:r>
        <w:rPr>
          <w:color w:val="231F20"/>
          <w:w w:val="105"/>
        </w:rPr>
        <w:t>el</w:t>
      </w:r>
      <w:r>
        <w:rPr>
          <w:color w:val="231F20"/>
          <w:spacing w:val="-8"/>
          <w:w w:val="105"/>
        </w:rPr>
        <w:t> </w:t>
      </w:r>
      <w:r>
        <w:rPr>
          <w:color w:val="231F20"/>
          <w:spacing w:val="-6"/>
          <w:w w:val="105"/>
        </w:rPr>
        <w:t>10</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20</w:t>
      </w:r>
      <w:r>
        <w:rPr>
          <w:color w:val="231F20"/>
          <w:spacing w:val="-8"/>
          <w:w w:val="105"/>
        </w:rPr>
        <w:t> </w:t>
      </w:r>
      <w:r>
        <w:rPr>
          <w:color w:val="231F20"/>
          <w:w w:val="105"/>
        </w:rPr>
        <w:t>de</w:t>
      </w:r>
      <w:r>
        <w:rPr>
          <w:color w:val="231F20"/>
          <w:spacing w:val="-8"/>
          <w:w w:val="105"/>
        </w:rPr>
        <w:t> </w:t>
      </w:r>
      <w:r>
        <w:rPr>
          <w:color w:val="231F20"/>
          <w:spacing w:val="-2"/>
          <w:w w:val="105"/>
        </w:rPr>
        <w:t>oc- </w:t>
      </w:r>
      <w:r>
        <w:rPr>
          <w:color w:val="231F20"/>
          <w:spacing w:val="-3"/>
          <w:w w:val="105"/>
        </w:rPr>
        <w:t>tubre </w:t>
      </w:r>
      <w:r>
        <w:rPr>
          <w:color w:val="231F20"/>
          <w:w w:val="105"/>
        </w:rPr>
        <w:t>de 2006. </w:t>
      </w:r>
      <w:r>
        <w:rPr>
          <w:color w:val="231F20"/>
          <w:spacing w:val="-3"/>
          <w:w w:val="105"/>
        </w:rPr>
        <w:t>Previamente </w:t>
      </w:r>
      <w:r>
        <w:rPr>
          <w:color w:val="231F20"/>
          <w:w w:val="105"/>
        </w:rPr>
        <w:t>fue dividido en </w:t>
      </w:r>
      <w:r>
        <w:rPr>
          <w:color w:val="231F20"/>
          <w:spacing w:val="-2"/>
          <w:w w:val="105"/>
        </w:rPr>
        <w:t>cuatro </w:t>
      </w:r>
      <w:r>
        <w:rPr>
          <w:color w:val="231F20"/>
          <w:w w:val="105"/>
        </w:rPr>
        <w:t>temas </w:t>
      </w:r>
      <w:r>
        <w:rPr>
          <w:color w:val="231F20"/>
          <w:spacing w:val="-3"/>
          <w:w w:val="105"/>
        </w:rPr>
        <w:t>generales </w:t>
      </w:r>
      <w:r>
        <w:rPr>
          <w:color w:val="231F20"/>
          <w:w w:val="105"/>
        </w:rPr>
        <w:t>para su </w:t>
      </w:r>
      <w:r>
        <w:rPr>
          <w:color w:val="231F20"/>
          <w:spacing w:val="-3"/>
          <w:w w:val="105"/>
        </w:rPr>
        <w:t>debate: </w:t>
      </w:r>
      <w:r>
        <w:rPr>
          <w:color w:val="231F20"/>
          <w:spacing w:val="-8"/>
          <w:w w:val="105"/>
        </w:rPr>
        <w:t>1) </w:t>
      </w:r>
      <w:r>
        <w:rPr>
          <w:color w:val="231F20"/>
          <w:w w:val="105"/>
        </w:rPr>
        <w:t>el </w:t>
      </w:r>
      <w:r>
        <w:rPr>
          <w:color w:val="231F20"/>
          <w:spacing w:val="-3"/>
          <w:w w:val="105"/>
        </w:rPr>
        <w:t>compromiso</w:t>
      </w:r>
      <w:r>
        <w:rPr>
          <w:color w:val="231F20"/>
          <w:spacing w:val="-20"/>
          <w:w w:val="105"/>
        </w:rPr>
        <w:t> </w:t>
      </w:r>
      <w:r>
        <w:rPr>
          <w:color w:val="231F20"/>
          <w:spacing w:val="-3"/>
          <w:w w:val="105"/>
        </w:rPr>
        <w:t>político,</w:t>
      </w:r>
      <w:r>
        <w:rPr>
          <w:color w:val="231F20"/>
          <w:spacing w:val="-20"/>
          <w:w w:val="105"/>
        </w:rPr>
        <w:t> </w:t>
      </w:r>
      <w:r>
        <w:rPr>
          <w:color w:val="231F20"/>
          <w:spacing w:val="-5"/>
          <w:w w:val="105"/>
        </w:rPr>
        <w:t>2)</w:t>
      </w:r>
      <w:r>
        <w:rPr>
          <w:color w:val="231F20"/>
          <w:spacing w:val="-20"/>
          <w:w w:val="105"/>
        </w:rPr>
        <w:t> </w:t>
      </w:r>
      <w:r>
        <w:rPr>
          <w:color w:val="231F20"/>
          <w:w w:val="105"/>
        </w:rPr>
        <w:t>el</w:t>
      </w:r>
      <w:r>
        <w:rPr>
          <w:color w:val="231F20"/>
          <w:spacing w:val="-20"/>
          <w:w w:val="105"/>
        </w:rPr>
        <w:t> </w:t>
      </w:r>
      <w:r>
        <w:rPr>
          <w:color w:val="231F20"/>
          <w:spacing w:val="-3"/>
          <w:w w:val="105"/>
        </w:rPr>
        <w:t>compromiso</w:t>
      </w:r>
      <w:r>
        <w:rPr>
          <w:color w:val="231F20"/>
          <w:spacing w:val="-20"/>
          <w:w w:val="105"/>
        </w:rPr>
        <w:t> </w:t>
      </w:r>
      <w:r>
        <w:rPr>
          <w:color w:val="231F20"/>
          <w:w w:val="105"/>
        </w:rPr>
        <w:t>institucional,</w:t>
      </w:r>
      <w:r>
        <w:rPr>
          <w:color w:val="231F20"/>
          <w:spacing w:val="-20"/>
          <w:w w:val="105"/>
        </w:rPr>
        <w:t> </w:t>
      </w:r>
      <w:r>
        <w:rPr>
          <w:color w:val="231F20"/>
          <w:spacing w:val="-5"/>
          <w:w w:val="105"/>
        </w:rPr>
        <w:t>3)</w:t>
      </w:r>
      <w:r>
        <w:rPr>
          <w:color w:val="231F20"/>
          <w:spacing w:val="-20"/>
          <w:w w:val="105"/>
        </w:rPr>
        <w:t> </w:t>
      </w:r>
      <w:r>
        <w:rPr>
          <w:color w:val="231F20"/>
          <w:w w:val="105"/>
        </w:rPr>
        <w:t>el</w:t>
      </w:r>
      <w:r>
        <w:rPr>
          <w:color w:val="231F20"/>
          <w:spacing w:val="-20"/>
          <w:w w:val="105"/>
        </w:rPr>
        <w:t> </w:t>
      </w:r>
      <w:r>
        <w:rPr>
          <w:color w:val="231F20"/>
          <w:spacing w:val="-3"/>
          <w:w w:val="105"/>
        </w:rPr>
        <w:t>compromiso</w:t>
      </w:r>
      <w:r>
        <w:rPr>
          <w:color w:val="231F20"/>
          <w:spacing w:val="-20"/>
          <w:w w:val="105"/>
        </w:rPr>
        <w:t> </w:t>
      </w:r>
      <w:r>
        <w:rPr>
          <w:color w:val="231F20"/>
          <w:spacing w:val="-3"/>
          <w:w w:val="105"/>
        </w:rPr>
        <w:t>económico</w:t>
      </w:r>
      <w:r>
        <w:rPr>
          <w:color w:val="231F20"/>
          <w:spacing w:val="-20"/>
          <w:w w:val="105"/>
        </w:rPr>
        <w:t> </w:t>
      </w:r>
      <w:r>
        <w:rPr>
          <w:color w:val="231F20"/>
          <w:w w:val="105"/>
        </w:rPr>
        <w:t>y</w:t>
      </w:r>
      <w:r>
        <w:rPr>
          <w:color w:val="231F20"/>
          <w:spacing w:val="-20"/>
          <w:w w:val="105"/>
        </w:rPr>
        <w:t> </w:t>
      </w:r>
      <w:r>
        <w:rPr>
          <w:color w:val="231F20"/>
          <w:spacing w:val="-5"/>
          <w:w w:val="105"/>
        </w:rPr>
        <w:t>4)</w:t>
      </w:r>
      <w:r>
        <w:rPr>
          <w:color w:val="231F20"/>
          <w:spacing w:val="-20"/>
          <w:w w:val="105"/>
        </w:rPr>
        <w:t> </w:t>
      </w:r>
      <w:r>
        <w:rPr>
          <w:color w:val="231F20"/>
          <w:w w:val="105"/>
        </w:rPr>
        <w:t>el </w:t>
      </w:r>
      <w:r>
        <w:rPr>
          <w:color w:val="231F20"/>
          <w:spacing w:val="-3"/>
          <w:w w:val="105"/>
        </w:rPr>
        <w:t>compromiso</w:t>
      </w:r>
      <w:r>
        <w:rPr>
          <w:color w:val="231F20"/>
          <w:spacing w:val="-25"/>
          <w:w w:val="105"/>
        </w:rPr>
        <w:t> </w:t>
      </w:r>
      <w:r>
        <w:rPr>
          <w:color w:val="231F20"/>
          <w:w w:val="105"/>
        </w:rPr>
        <w:t>social.</w:t>
      </w:r>
      <w:r>
        <w:rPr>
          <w:color w:val="231F20"/>
          <w:spacing w:val="-25"/>
          <w:w w:val="105"/>
        </w:rPr>
        <w:t> </w:t>
      </w:r>
      <w:r>
        <w:rPr>
          <w:color w:val="231F20"/>
          <w:w w:val="105"/>
        </w:rPr>
        <w:t>Durante</w:t>
      </w:r>
      <w:r>
        <w:rPr>
          <w:color w:val="231F20"/>
          <w:spacing w:val="-25"/>
          <w:w w:val="105"/>
        </w:rPr>
        <w:t> </w:t>
      </w:r>
      <w:r>
        <w:rPr>
          <w:color w:val="231F20"/>
          <w:w w:val="105"/>
        </w:rPr>
        <w:t>su</w:t>
      </w:r>
      <w:r>
        <w:rPr>
          <w:color w:val="231F20"/>
          <w:spacing w:val="-25"/>
          <w:w w:val="105"/>
        </w:rPr>
        <w:t> </w:t>
      </w:r>
      <w:r>
        <w:rPr>
          <w:color w:val="231F20"/>
          <w:w w:val="105"/>
        </w:rPr>
        <w:t>realización</w:t>
      </w:r>
      <w:r>
        <w:rPr>
          <w:color w:val="231F20"/>
          <w:spacing w:val="-25"/>
          <w:w w:val="105"/>
        </w:rPr>
        <w:t> </w:t>
      </w:r>
      <w:r>
        <w:rPr>
          <w:color w:val="231F20"/>
          <w:w w:val="105"/>
        </w:rPr>
        <w:t>se</w:t>
      </w:r>
      <w:r>
        <w:rPr>
          <w:color w:val="231F20"/>
          <w:spacing w:val="-25"/>
          <w:w w:val="105"/>
        </w:rPr>
        <w:t> </w:t>
      </w:r>
      <w:r>
        <w:rPr>
          <w:color w:val="231F20"/>
          <w:w w:val="105"/>
        </w:rPr>
        <w:t>desarrollaron</w:t>
      </w:r>
      <w:r>
        <w:rPr>
          <w:color w:val="231F20"/>
          <w:spacing w:val="-25"/>
          <w:w w:val="105"/>
        </w:rPr>
        <w:t> </w:t>
      </w:r>
      <w:r>
        <w:rPr>
          <w:color w:val="231F20"/>
          <w:w w:val="105"/>
        </w:rPr>
        <w:t>34</w:t>
      </w:r>
      <w:r>
        <w:rPr>
          <w:color w:val="231F20"/>
          <w:spacing w:val="-25"/>
          <w:w w:val="105"/>
        </w:rPr>
        <w:t> </w:t>
      </w:r>
      <w:r>
        <w:rPr>
          <w:color w:val="231F20"/>
          <w:spacing w:val="-3"/>
          <w:w w:val="105"/>
        </w:rPr>
        <w:t>subtemas,</w:t>
      </w:r>
      <w:r>
        <w:rPr>
          <w:color w:val="231F20"/>
          <w:spacing w:val="-25"/>
          <w:w w:val="105"/>
        </w:rPr>
        <w:t> </w:t>
      </w:r>
      <w:r>
        <w:rPr>
          <w:color w:val="231F20"/>
          <w:w w:val="105"/>
        </w:rPr>
        <w:t>se</w:t>
      </w:r>
      <w:r>
        <w:rPr>
          <w:color w:val="231F20"/>
          <w:spacing w:val="-25"/>
          <w:w w:val="105"/>
        </w:rPr>
        <w:t> </w:t>
      </w:r>
      <w:r>
        <w:rPr>
          <w:color w:val="231F20"/>
          <w:spacing w:val="-4"/>
          <w:w w:val="105"/>
        </w:rPr>
        <w:t>recibieron</w:t>
      </w:r>
      <w:r>
        <w:rPr>
          <w:color w:val="231F20"/>
          <w:spacing w:val="-25"/>
          <w:w w:val="105"/>
        </w:rPr>
        <w:t> </w:t>
      </w:r>
      <w:r>
        <w:rPr>
          <w:color w:val="231F20"/>
          <w:w w:val="105"/>
        </w:rPr>
        <w:t>60 </w:t>
      </w:r>
      <w:r>
        <w:rPr>
          <w:color w:val="231F20"/>
          <w:spacing w:val="-3"/>
          <w:w w:val="105"/>
        </w:rPr>
        <w:t>ponencias</w:t>
      </w:r>
      <w:r>
        <w:rPr>
          <w:color w:val="231F20"/>
          <w:spacing w:val="-18"/>
          <w:w w:val="105"/>
        </w:rPr>
        <w:t> </w:t>
      </w:r>
      <w:r>
        <w:rPr>
          <w:color w:val="231F20"/>
          <w:w w:val="105"/>
        </w:rPr>
        <w:t>y</w:t>
      </w:r>
      <w:r>
        <w:rPr>
          <w:color w:val="231F20"/>
          <w:spacing w:val="-18"/>
          <w:w w:val="105"/>
        </w:rPr>
        <w:t> </w:t>
      </w:r>
      <w:r>
        <w:rPr>
          <w:color w:val="231F20"/>
          <w:spacing w:val="-3"/>
          <w:w w:val="105"/>
        </w:rPr>
        <w:t>asistieron</w:t>
      </w:r>
      <w:r>
        <w:rPr>
          <w:color w:val="231F20"/>
          <w:spacing w:val="-18"/>
          <w:w w:val="105"/>
        </w:rPr>
        <w:t> </w:t>
      </w:r>
      <w:r>
        <w:rPr>
          <w:color w:val="231F20"/>
          <w:spacing w:val="-3"/>
          <w:w w:val="105"/>
        </w:rPr>
        <w:t>477</w:t>
      </w:r>
      <w:r>
        <w:rPr>
          <w:color w:val="231F20"/>
          <w:spacing w:val="-18"/>
          <w:w w:val="105"/>
        </w:rPr>
        <w:t> </w:t>
      </w:r>
      <w:r>
        <w:rPr>
          <w:color w:val="231F20"/>
          <w:spacing w:val="-3"/>
          <w:w w:val="105"/>
        </w:rPr>
        <w:t>individuos.</w:t>
      </w:r>
      <w:r>
        <w:rPr>
          <w:color w:val="231F20"/>
          <w:spacing w:val="-18"/>
          <w:w w:val="105"/>
        </w:rPr>
        <w:t> </w:t>
      </w:r>
      <w:r>
        <w:rPr>
          <w:color w:val="231F20"/>
          <w:spacing w:val="-3"/>
          <w:w w:val="105"/>
        </w:rPr>
        <w:t>Cada</w:t>
      </w:r>
      <w:r>
        <w:rPr>
          <w:color w:val="231F20"/>
          <w:spacing w:val="-18"/>
          <w:w w:val="105"/>
        </w:rPr>
        <w:t> </w:t>
      </w:r>
      <w:r>
        <w:rPr>
          <w:color w:val="231F20"/>
          <w:spacing w:val="-4"/>
          <w:w w:val="105"/>
        </w:rPr>
        <w:t>foro</w:t>
      </w:r>
      <w:r>
        <w:rPr>
          <w:color w:val="231F20"/>
          <w:spacing w:val="-18"/>
          <w:w w:val="105"/>
        </w:rPr>
        <w:t> </w:t>
      </w:r>
      <w:r>
        <w:rPr>
          <w:color w:val="231F20"/>
          <w:w w:val="105"/>
        </w:rPr>
        <w:t>fue</w:t>
      </w:r>
      <w:r>
        <w:rPr>
          <w:color w:val="231F20"/>
          <w:spacing w:val="-18"/>
          <w:w w:val="105"/>
        </w:rPr>
        <w:t> </w:t>
      </w:r>
      <w:r>
        <w:rPr>
          <w:color w:val="231F20"/>
          <w:w w:val="105"/>
        </w:rPr>
        <w:t>realizado</w:t>
      </w:r>
      <w:r>
        <w:rPr>
          <w:color w:val="231F20"/>
          <w:spacing w:val="-18"/>
          <w:w w:val="105"/>
        </w:rPr>
        <w:t> </w:t>
      </w:r>
      <w:r>
        <w:rPr>
          <w:color w:val="231F20"/>
          <w:w w:val="105"/>
        </w:rPr>
        <w:t>en</w:t>
      </w:r>
      <w:r>
        <w:rPr>
          <w:color w:val="231F20"/>
          <w:spacing w:val="-18"/>
          <w:w w:val="105"/>
        </w:rPr>
        <w:t> </w:t>
      </w:r>
      <w:r>
        <w:rPr>
          <w:color w:val="231F20"/>
          <w:w w:val="105"/>
        </w:rPr>
        <w:t>una</w:t>
      </w:r>
      <w:r>
        <w:rPr>
          <w:color w:val="231F20"/>
          <w:spacing w:val="-18"/>
          <w:w w:val="105"/>
        </w:rPr>
        <w:t> </w:t>
      </w:r>
      <w:r>
        <w:rPr>
          <w:color w:val="231F20"/>
          <w:w w:val="105"/>
        </w:rPr>
        <w:t>sede</w:t>
      </w:r>
      <w:r>
        <w:rPr>
          <w:color w:val="231F20"/>
          <w:spacing w:val="-18"/>
          <w:w w:val="105"/>
        </w:rPr>
        <w:t> </w:t>
      </w:r>
      <w:r>
        <w:rPr>
          <w:color w:val="231F20"/>
          <w:w w:val="105"/>
        </w:rPr>
        <w:t>distinta.</w:t>
      </w:r>
    </w:p>
    <w:p>
      <w:pPr>
        <w:pStyle w:val="BodyText"/>
        <w:rPr>
          <w:sz w:val="20"/>
        </w:rPr>
      </w:pPr>
    </w:p>
    <w:p>
      <w:pPr>
        <w:pStyle w:val="BodyText"/>
        <w:spacing w:before="8"/>
        <w:rPr>
          <w:sz w:val="19"/>
        </w:rPr>
      </w:pPr>
      <w:r>
        <w:rPr/>
        <w:pict>
          <v:line style="position:absolute;mso-position-horizontal-relative:page;mso-position-vertical-relative:paragraph;z-index:5992;mso-wrap-distance-left:0;mso-wrap-distance-right:0" from="42.519699pt,13.781665pt" to="114.519699pt,13.781665pt" stroked="true" strokeweight="1pt" strokecolor="#231f20">
            <w10:wrap type="topAndBottom"/>
          </v:line>
        </w:pict>
      </w:r>
    </w:p>
    <w:p>
      <w:pPr>
        <w:pStyle w:val="ListParagraph"/>
        <w:numPr>
          <w:ilvl w:val="0"/>
          <w:numId w:val="4"/>
        </w:numPr>
        <w:tabs>
          <w:tab w:pos="334" w:val="left" w:leader="none"/>
        </w:tabs>
        <w:spacing w:line="240" w:lineRule="auto" w:before="8" w:after="0"/>
        <w:ind w:left="333" w:right="0" w:hanging="223"/>
        <w:jc w:val="both"/>
        <w:rPr>
          <w:sz w:val="16"/>
        </w:rPr>
      </w:pPr>
      <w:r>
        <w:rPr>
          <w:color w:val="231F20"/>
          <w:sz w:val="16"/>
        </w:rPr>
        <w:t>Ley</w:t>
      </w:r>
      <w:r>
        <w:rPr>
          <w:color w:val="231F20"/>
          <w:spacing w:val="-13"/>
          <w:sz w:val="16"/>
        </w:rPr>
        <w:t> </w:t>
      </w:r>
      <w:r>
        <w:rPr>
          <w:color w:val="231F20"/>
          <w:sz w:val="16"/>
        </w:rPr>
        <w:t>orgánica</w:t>
      </w:r>
      <w:r>
        <w:rPr>
          <w:color w:val="231F20"/>
          <w:spacing w:val="-13"/>
          <w:sz w:val="16"/>
        </w:rPr>
        <w:t> </w:t>
      </w:r>
      <w:r>
        <w:rPr>
          <w:color w:val="231F20"/>
          <w:sz w:val="16"/>
        </w:rPr>
        <w:t>municipal</w:t>
      </w:r>
      <w:r>
        <w:rPr>
          <w:color w:val="231F20"/>
          <w:spacing w:val="-13"/>
          <w:sz w:val="16"/>
        </w:rPr>
        <w:t> </w:t>
      </w:r>
      <w:r>
        <w:rPr>
          <w:color w:val="231F20"/>
          <w:sz w:val="16"/>
        </w:rPr>
        <w:t>del</w:t>
      </w:r>
      <w:r>
        <w:rPr>
          <w:color w:val="231F20"/>
          <w:spacing w:val="-13"/>
          <w:sz w:val="16"/>
        </w:rPr>
        <w:t> </w:t>
      </w:r>
      <w:r>
        <w:rPr>
          <w:color w:val="231F20"/>
          <w:sz w:val="16"/>
        </w:rPr>
        <w:t>Estado</w:t>
      </w:r>
      <w:r>
        <w:rPr>
          <w:color w:val="231F20"/>
          <w:spacing w:val="-13"/>
          <w:sz w:val="16"/>
        </w:rPr>
        <w:t> </w:t>
      </w:r>
      <w:r>
        <w:rPr>
          <w:color w:val="231F20"/>
          <w:sz w:val="16"/>
        </w:rPr>
        <w:t>de</w:t>
      </w:r>
      <w:r>
        <w:rPr>
          <w:color w:val="231F20"/>
          <w:spacing w:val="-13"/>
          <w:sz w:val="16"/>
        </w:rPr>
        <w:t> </w:t>
      </w:r>
      <w:r>
        <w:rPr>
          <w:color w:val="231F20"/>
          <w:sz w:val="16"/>
        </w:rPr>
        <w:t>México,</w:t>
      </w:r>
      <w:r>
        <w:rPr>
          <w:color w:val="231F20"/>
          <w:spacing w:val="-13"/>
          <w:sz w:val="16"/>
        </w:rPr>
        <w:t> </w:t>
      </w:r>
      <w:r>
        <w:rPr>
          <w:color w:val="231F20"/>
          <w:sz w:val="16"/>
        </w:rPr>
        <w:t>art.</w:t>
      </w:r>
      <w:r>
        <w:rPr>
          <w:color w:val="231F20"/>
          <w:spacing w:val="-13"/>
          <w:sz w:val="16"/>
        </w:rPr>
        <w:t> </w:t>
      </w:r>
      <w:r>
        <w:rPr>
          <w:color w:val="231F20"/>
          <w:sz w:val="16"/>
        </w:rPr>
        <w:t>82-85.</w:t>
      </w:r>
    </w:p>
    <w:p>
      <w:pPr>
        <w:pStyle w:val="ListParagraph"/>
        <w:numPr>
          <w:ilvl w:val="0"/>
          <w:numId w:val="4"/>
        </w:numPr>
        <w:tabs>
          <w:tab w:pos="298" w:val="left" w:leader="none"/>
        </w:tabs>
        <w:spacing w:line="244" w:lineRule="auto" w:before="4" w:after="0"/>
        <w:ind w:left="110" w:right="107" w:firstLine="0"/>
        <w:jc w:val="both"/>
        <w:rPr>
          <w:sz w:val="16"/>
        </w:rPr>
      </w:pPr>
      <w:r>
        <w:rPr>
          <w:color w:val="231F20"/>
          <w:sz w:val="16"/>
        </w:rPr>
        <w:t>Los</w:t>
      </w:r>
      <w:r>
        <w:rPr>
          <w:color w:val="231F20"/>
          <w:spacing w:val="-11"/>
          <w:sz w:val="16"/>
        </w:rPr>
        <w:t> </w:t>
      </w:r>
      <w:r>
        <w:rPr>
          <w:color w:val="231F20"/>
          <w:sz w:val="16"/>
        </w:rPr>
        <w:t>compromisos</w:t>
      </w:r>
      <w:r>
        <w:rPr>
          <w:color w:val="231F20"/>
          <w:spacing w:val="-11"/>
          <w:sz w:val="16"/>
        </w:rPr>
        <w:t> </w:t>
      </w:r>
      <w:r>
        <w:rPr>
          <w:color w:val="231F20"/>
          <w:sz w:val="16"/>
        </w:rPr>
        <w:t>de</w:t>
      </w:r>
      <w:r>
        <w:rPr>
          <w:color w:val="231F20"/>
          <w:spacing w:val="-11"/>
          <w:sz w:val="16"/>
        </w:rPr>
        <w:t> </w:t>
      </w:r>
      <w:r>
        <w:rPr>
          <w:color w:val="231F20"/>
          <w:sz w:val="16"/>
        </w:rPr>
        <w:t>campaña</w:t>
      </w:r>
      <w:r>
        <w:rPr>
          <w:color w:val="231F20"/>
          <w:spacing w:val="-11"/>
          <w:sz w:val="16"/>
        </w:rPr>
        <w:t> </w:t>
      </w:r>
      <w:r>
        <w:rPr>
          <w:color w:val="231F20"/>
          <w:sz w:val="16"/>
        </w:rPr>
        <w:t>consisten</w:t>
      </w:r>
      <w:r>
        <w:rPr>
          <w:color w:val="231F20"/>
          <w:spacing w:val="-11"/>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gestión</w:t>
      </w:r>
      <w:r>
        <w:rPr>
          <w:color w:val="231F20"/>
          <w:spacing w:val="-11"/>
          <w:sz w:val="16"/>
        </w:rPr>
        <w:t> </w:t>
      </w:r>
      <w:r>
        <w:rPr>
          <w:color w:val="231F20"/>
          <w:sz w:val="16"/>
        </w:rPr>
        <w:t>y</w:t>
      </w:r>
      <w:r>
        <w:rPr>
          <w:color w:val="231F20"/>
          <w:spacing w:val="-11"/>
          <w:sz w:val="16"/>
        </w:rPr>
        <w:t> </w:t>
      </w:r>
      <w:r>
        <w:rPr>
          <w:color w:val="231F20"/>
          <w:sz w:val="16"/>
        </w:rPr>
        <w:t>construcción</w:t>
      </w:r>
      <w:r>
        <w:rPr>
          <w:color w:val="231F20"/>
          <w:spacing w:val="-11"/>
          <w:sz w:val="16"/>
        </w:rPr>
        <w:t> </w:t>
      </w:r>
      <w:r>
        <w:rPr>
          <w:color w:val="231F20"/>
          <w:sz w:val="16"/>
        </w:rPr>
        <w:t>de</w:t>
      </w:r>
      <w:r>
        <w:rPr>
          <w:color w:val="231F20"/>
          <w:spacing w:val="-11"/>
          <w:sz w:val="16"/>
        </w:rPr>
        <w:t> </w:t>
      </w:r>
      <w:r>
        <w:rPr>
          <w:color w:val="231F20"/>
          <w:sz w:val="16"/>
        </w:rPr>
        <w:t>un</w:t>
      </w:r>
      <w:r>
        <w:rPr>
          <w:color w:val="231F20"/>
          <w:spacing w:val="-11"/>
          <w:sz w:val="16"/>
        </w:rPr>
        <w:t> </w:t>
      </w:r>
      <w:r>
        <w:rPr>
          <w:color w:val="231F20"/>
          <w:sz w:val="16"/>
        </w:rPr>
        <w:t>plantel</w:t>
      </w:r>
      <w:r>
        <w:rPr>
          <w:color w:val="231F20"/>
          <w:spacing w:val="-11"/>
          <w:sz w:val="16"/>
        </w:rPr>
        <w:t> </w:t>
      </w:r>
      <w:r>
        <w:rPr>
          <w:color w:val="231F20"/>
          <w:sz w:val="16"/>
        </w:rPr>
        <w:t>universitario</w:t>
      </w:r>
      <w:r>
        <w:rPr>
          <w:color w:val="231F20"/>
          <w:spacing w:val="-11"/>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zona</w:t>
      </w:r>
      <w:r>
        <w:rPr>
          <w:color w:val="231F20"/>
          <w:spacing w:val="-11"/>
          <w:sz w:val="16"/>
        </w:rPr>
        <w:t> </w:t>
      </w:r>
      <w:r>
        <w:rPr>
          <w:color w:val="231F20"/>
          <w:sz w:val="16"/>
        </w:rPr>
        <w:t>tradicional</w:t>
      </w:r>
      <w:r>
        <w:rPr>
          <w:color w:val="231F20"/>
          <w:spacing w:val="-11"/>
          <w:sz w:val="16"/>
        </w:rPr>
        <w:t> </w:t>
      </w:r>
      <w:r>
        <w:rPr>
          <w:color w:val="231F20"/>
          <w:sz w:val="16"/>
        </w:rPr>
        <w:t>del municipio;</w:t>
      </w:r>
      <w:r>
        <w:rPr>
          <w:color w:val="231F20"/>
          <w:spacing w:val="-14"/>
          <w:sz w:val="16"/>
        </w:rPr>
        <w:t> </w:t>
      </w:r>
      <w:r>
        <w:rPr>
          <w:color w:val="231F20"/>
          <w:sz w:val="16"/>
        </w:rPr>
        <w:t>remodelación</w:t>
      </w:r>
      <w:r>
        <w:rPr>
          <w:color w:val="231F20"/>
          <w:spacing w:val="-14"/>
          <w:sz w:val="16"/>
        </w:rPr>
        <w:t> </w:t>
      </w:r>
      <w:r>
        <w:rPr>
          <w:color w:val="231F20"/>
          <w:sz w:val="16"/>
        </w:rPr>
        <w:t>de</w:t>
      </w:r>
      <w:r>
        <w:rPr>
          <w:color w:val="231F20"/>
          <w:spacing w:val="-14"/>
          <w:sz w:val="16"/>
        </w:rPr>
        <w:t> </w:t>
      </w:r>
      <w:r>
        <w:rPr>
          <w:color w:val="231F20"/>
          <w:sz w:val="16"/>
        </w:rPr>
        <w:t>los</w:t>
      </w:r>
      <w:r>
        <w:rPr>
          <w:color w:val="231F20"/>
          <w:spacing w:val="-14"/>
          <w:sz w:val="16"/>
        </w:rPr>
        <w:t> </w:t>
      </w:r>
      <w:r>
        <w:rPr>
          <w:color w:val="231F20"/>
          <w:sz w:val="16"/>
        </w:rPr>
        <w:t>sanitarios</w:t>
      </w:r>
      <w:r>
        <w:rPr>
          <w:color w:val="231F20"/>
          <w:spacing w:val="-14"/>
          <w:sz w:val="16"/>
        </w:rPr>
        <w:t> </w:t>
      </w:r>
      <w:r>
        <w:rPr>
          <w:color w:val="231F20"/>
          <w:sz w:val="16"/>
        </w:rPr>
        <w:t>de</w:t>
      </w:r>
      <w:r>
        <w:rPr>
          <w:color w:val="231F20"/>
          <w:spacing w:val="-14"/>
          <w:sz w:val="16"/>
        </w:rPr>
        <w:t> </w:t>
      </w:r>
      <w:r>
        <w:rPr>
          <w:color w:val="231F20"/>
          <w:sz w:val="16"/>
        </w:rPr>
        <w:t>las</w:t>
      </w:r>
      <w:r>
        <w:rPr>
          <w:color w:val="231F20"/>
          <w:spacing w:val="-14"/>
          <w:sz w:val="16"/>
        </w:rPr>
        <w:t> </w:t>
      </w:r>
      <w:r>
        <w:rPr>
          <w:color w:val="231F20"/>
          <w:sz w:val="16"/>
        </w:rPr>
        <w:t>escuelas</w:t>
      </w:r>
      <w:r>
        <w:rPr>
          <w:color w:val="231F20"/>
          <w:spacing w:val="-14"/>
          <w:sz w:val="16"/>
        </w:rPr>
        <w:t> </w:t>
      </w:r>
      <w:r>
        <w:rPr>
          <w:color w:val="231F20"/>
          <w:sz w:val="16"/>
        </w:rPr>
        <w:t>de</w:t>
      </w:r>
      <w:r>
        <w:rPr>
          <w:color w:val="231F20"/>
          <w:spacing w:val="-14"/>
          <w:sz w:val="16"/>
        </w:rPr>
        <w:t> </w:t>
      </w:r>
      <w:r>
        <w:rPr>
          <w:color w:val="231F20"/>
          <w:sz w:val="16"/>
        </w:rPr>
        <w:t>educación</w:t>
      </w:r>
      <w:r>
        <w:rPr>
          <w:color w:val="231F20"/>
          <w:spacing w:val="-14"/>
          <w:sz w:val="16"/>
        </w:rPr>
        <w:t> </w:t>
      </w:r>
      <w:r>
        <w:rPr>
          <w:color w:val="231F20"/>
          <w:sz w:val="16"/>
        </w:rPr>
        <w:t>básica;</w:t>
      </w:r>
      <w:r>
        <w:rPr>
          <w:color w:val="231F20"/>
          <w:spacing w:val="-14"/>
          <w:sz w:val="16"/>
        </w:rPr>
        <w:t> </w:t>
      </w:r>
      <w:r>
        <w:rPr>
          <w:color w:val="231F20"/>
          <w:sz w:val="16"/>
        </w:rPr>
        <w:t>promover</w:t>
      </w:r>
      <w:r>
        <w:rPr>
          <w:color w:val="231F20"/>
          <w:spacing w:val="-14"/>
          <w:sz w:val="16"/>
        </w:rPr>
        <w:t> </w:t>
      </w:r>
      <w:r>
        <w:rPr>
          <w:color w:val="231F20"/>
          <w:sz w:val="16"/>
        </w:rPr>
        <w:t>los</w:t>
      </w:r>
      <w:r>
        <w:rPr>
          <w:color w:val="231F20"/>
          <w:spacing w:val="-14"/>
          <w:sz w:val="16"/>
        </w:rPr>
        <w:t> </w:t>
      </w:r>
      <w:r>
        <w:rPr>
          <w:color w:val="231F20"/>
          <w:sz w:val="16"/>
        </w:rPr>
        <w:t>valores</w:t>
      </w:r>
      <w:r>
        <w:rPr>
          <w:color w:val="231F20"/>
          <w:spacing w:val="-14"/>
          <w:sz w:val="16"/>
        </w:rPr>
        <w:t> </w:t>
      </w:r>
      <w:r>
        <w:rPr>
          <w:color w:val="231F20"/>
          <w:sz w:val="16"/>
        </w:rPr>
        <w:t>culturales</w:t>
      </w:r>
      <w:r>
        <w:rPr>
          <w:color w:val="231F20"/>
          <w:spacing w:val="-14"/>
          <w:sz w:val="16"/>
        </w:rPr>
        <w:t> </w:t>
      </w:r>
      <w:r>
        <w:rPr>
          <w:color w:val="231F20"/>
          <w:sz w:val="16"/>
        </w:rPr>
        <w:t>de</w:t>
      </w:r>
      <w:r>
        <w:rPr>
          <w:color w:val="231F20"/>
          <w:spacing w:val="-14"/>
          <w:sz w:val="16"/>
        </w:rPr>
        <w:t> </w:t>
      </w:r>
      <w:r>
        <w:rPr>
          <w:color w:val="231F20"/>
          <w:sz w:val="16"/>
        </w:rPr>
        <w:t>identidad</w:t>
      </w:r>
      <w:r>
        <w:rPr>
          <w:color w:val="231F20"/>
          <w:spacing w:val="-14"/>
          <w:sz w:val="16"/>
        </w:rPr>
        <w:t> </w:t>
      </w:r>
      <w:r>
        <w:rPr>
          <w:color w:val="231F20"/>
          <w:sz w:val="16"/>
        </w:rPr>
        <w:t>y la</w:t>
      </w:r>
      <w:r>
        <w:rPr>
          <w:color w:val="231F20"/>
          <w:spacing w:val="-11"/>
          <w:sz w:val="16"/>
        </w:rPr>
        <w:t> </w:t>
      </w:r>
      <w:r>
        <w:rPr>
          <w:color w:val="231F20"/>
          <w:sz w:val="16"/>
        </w:rPr>
        <w:t>creación</w:t>
      </w:r>
      <w:r>
        <w:rPr>
          <w:color w:val="231F20"/>
          <w:spacing w:val="-11"/>
          <w:sz w:val="16"/>
        </w:rPr>
        <w:t> </w:t>
      </w:r>
      <w:r>
        <w:rPr>
          <w:color w:val="231F20"/>
          <w:sz w:val="16"/>
        </w:rPr>
        <w:t>del</w:t>
      </w:r>
      <w:r>
        <w:rPr>
          <w:color w:val="231F20"/>
          <w:spacing w:val="-11"/>
          <w:sz w:val="16"/>
        </w:rPr>
        <w:t> </w:t>
      </w:r>
      <w:r>
        <w:rPr>
          <w:color w:val="231F20"/>
          <w:sz w:val="16"/>
        </w:rPr>
        <w:t>Instituto</w:t>
      </w:r>
      <w:r>
        <w:rPr>
          <w:color w:val="231F20"/>
          <w:spacing w:val="-11"/>
          <w:sz w:val="16"/>
        </w:rPr>
        <w:t> </w:t>
      </w:r>
      <w:r>
        <w:rPr>
          <w:color w:val="231F20"/>
          <w:sz w:val="16"/>
        </w:rPr>
        <w:t>Huixquiluquense</w:t>
      </w:r>
      <w:r>
        <w:rPr>
          <w:color w:val="231F20"/>
          <w:spacing w:val="-11"/>
          <w:sz w:val="16"/>
        </w:rPr>
        <w:t> </w:t>
      </w:r>
      <w:r>
        <w:rPr>
          <w:color w:val="231F20"/>
          <w:sz w:val="16"/>
        </w:rPr>
        <w:t>de</w:t>
      </w:r>
      <w:r>
        <w:rPr>
          <w:color w:val="231F20"/>
          <w:spacing w:val="-11"/>
          <w:sz w:val="16"/>
        </w:rPr>
        <w:t> </w:t>
      </w:r>
      <w:r>
        <w:rPr>
          <w:color w:val="231F20"/>
          <w:sz w:val="16"/>
        </w:rPr>
        <w:t>Cultura;</w:t>
      </w:r>
      <w:r>
        <w:rPr>
          <w:color w:val="231F20"/>
          <w:spacing w:val="-11"/>
          <w:sz w:val="16"/>
        </w:rPr>
        <w:t> </w:t>
      </w:r>
      <w:r>
        <w:rPr>
          <w:color w:val="231F20"/>
          <w:sz w:val="16"/>
        </w:rPr>
        <w:t>reactivar</w:t>
      </w:r>
      <w:r>
        <w:rPr>
          <w:color w:val="231F20"/>
          <w:spacing w:val="-11"/>
          <w:sz w:val="16"/>
        </w:rPr>
        <w:t> </w:t>
      </w:r>
      <w:r>
        <w:rPr>
          <w:color w:val="231F20"/>
          <w:sz w:val="16"/>
        </w:rPr>
        <w:t>el</w:t>
      </w:r>
      <w:r>
        <w:rPr>
          <w:color w:val="231F20"/>
          <w:spacing w:val="-11"/>
          <w:sz w:val="16"/>
        </w:rPr>
        <w:t> </w:t>
      </w:r>
      <w:r>
        <w:rPr>
          <w:color w:val="231F20"/>
          <w:sz w:val="16"/>
        </w:rPr>
        <w:t>programa</w:t>
      </w:r>
      <w:r>
        <w:rPr>
          <w:color w:val="231F20"/>
          <w:spacing w:val="-11"/>
          <w:sz w:val="16"/>
        </w:rPr>
        <w:t> </w:t>
      </w:r>
      <w:r>
        <w:rPr>
          <w:color w:val="231F20"/>
          <w:sz w:val="16"/>
        </w:rPr>
        <w:t>de</w:t>
      </w:r>
      <w:r>
        <w:rPr>
          <w:color w:val="231F20"/>
          <w:spacing w:val="-11"/>
          <w:sz w:val="16"/>
        </w:rPr>
        <w:t> </w:t>
      </w:r>
      <w:r>
        <w:rPr>
          <w:color w:val="231F20"/>
          <w:sz w:val="16"/>
        </w:rPr>
        <w:t>fomento</w:t>
      </w:r>
      <w:r>
        <w:rPr>
          <w:color w:val="231F20"/>
          <w:spacing w:val="-11"/>
          <w:sz w:val="16"/>
        </w:rPr>
        <w:t> </w:t>
      </w:r>
      <w:r>
        <w:rPr>
          <w:color w:val="231F20"/>
          <w:sz w:val="16"/>
        </w:rPr>
        <w:t>deportivo</w:t>
      </w:r>
      <w:r>
        <w:rPr>
          <w:color w:val="231F20"/>
          <w:spacing w:val="-11"/>
          <w:sz w:val="16"/>
        </w:rPr>
        <w:t> </w:t>
      </w:r>
      <w:r>
        <w:rPr>
          <w:color w:val="231F20"/>
          <w:sz w:val="16"/>
        </w:rPr>
        <w:t>y</w:t>
      </w:r>
      <w:r>
        <w:rPr>
          <w:color w:val="231F20"/>
          <w:spacing w:val="-11"/>
          <w:sz w:val="16"/>
        </w:rPr>
        <w:t> </w:t>
      </w:r>
      <w:r>
        <w:rPr>
          <w:color w:val="231F20"/>
          <w:sz w:val="16"/>
        </w:rPr>
        <w:t>la</w:t>
      </w:r>
      <w:r>
        <w:rPr>
          <w:color w:val="231F20"/>
          <w:spacing w:val="-11"/>
          <w:sz w:val="16"/>
        </w:rPr>
        <w:t> </w:t>
      </w:r>
      <w:r>
        <w:rPr>
          <w:color w:val="231F20"/>
          <w:sz w:val="16"/>
        </w:rPr>
        <w:t>operación</w:t>
      </w:r>
      <w:r>
        <w:rPr>
          <w:color w:val="231F20"/>
          <w:spacing w:val="-11"/>
          <w:sz w:val="16"/>
        </w:rPr>
        <w:t> </w:t>
      </w:r>
      <w:r>
        <w:rPr>
          <w:color w:val="231F20"/>
          <w:sz w:val="16"/>
        </w:rPr>
        <w:t>del</w:t>
      </w:r>
      <w:r>
        <w:rPr>
          <w:color w:val="231F20"/>
          <w:spacing w:val="-11"/>
          <w:sz w:val="16"/>
        </w:rPr>
        <w:t> </w:t>
      </w:r>
      <w:r>
        <w:rPr>
          <w:color w:val="231F20"/>
          <w:sz w:val="16"/>
        </w:rPr>
        <w:t>Instituto Municipal</w:t>
      </w:r>
      <w:r>
        <w:rPr>
          <w:color w:val="231F20"/>
          <w:spacing w:val="-6"/>
          <w:sz w:val="16"/>
        </w:rPr>
        <w:t> </w:t>
      </w:r>
      <w:r>
        <w:rPr>
          <w:color w:val="231F20"/>
          <w:sz w:val="16"/>
        </w:rPr>
        <w:t>de</w:t>
      </w:r>
      <w:r>
        <w:rPr>
          <w:color w:val="231F20"/>
          <w:spacing w:val="-6"/>
          <w:sz w:val="16"/>
        </w:rPr>
        <w:t> </w:t>
      </w:r>
      <w:r>
        <w:rPr>
          <w:color w:val="231F20"/>
          <w:sz w:val="16"/>
        </w:rPr>
        <w:t>Cultura</w:t>
      </w:r>
      <w:r>
        <w:rPr>
          <w:color w:val="231F20"/>
          <w:spacing w:val="-6"/>
          <w:sz w:val="16"/>
        </w:rPr>
        <w:t> </w:t>
      </w:r>
      <w:r>
        <w:rPr>
          <w:color w:val="231F20"/>
          <w:sz w:val="16"/>
        </w:rPr>
        <w:t>Física</w:t>
      </w:r>
      <w:r>
        <w:rPr>
          <w:color w:val="231F20"/>
          <w:spacing w:val="-6"/>
          <w:sz w:val="16"/>
        </w:rPr>
        <w:t> </w:t>
      </w:r>
      <w:r>
        <w:rPr>
          <w:color w:val="231F20"/>
          <w:sz w:val="16"/>
        </w:rPr>
        <w:t>y</w:t>
      </w:r>
      <w:r>
        <w:rPr>
          <w:color w:val="231F20"/>
          <w:spacing w:val="-6"/>
          <w:sz w:val="16"/>
        </w:rPr>
        <w:t> </w:t>
      </w:r>
      <w:r>
        <w:rPr>
          <w:color w:val="231F20"/>
          <w:sz w:val="16"/>
        </w:rPr>
        <w:t>Deporte;</w:t>
      </w:r>
      <w:r>
        <w:rPr>
          <w:color w:val="231F20"/>
          <w:spacing w:val="-6"/>
          <w:sz w:val="16"/>
        </w:rPr>
        <w:t> </w:t>
      </w:r>
      <w:r>
        <w:rPr>
          <w:color w:val="231F20"/>
          <w:sz w:val="16"/>
        </w:rPr>
        <w:t>gestión</w:t>
      </w:r>
      <w:r>
        <w:rPr>
          <w:color w:val="231F20"/>
          <w:spacing w:val="-6"/>
          <w:sz w:val="16"/>
        </w:rPr>
        <w:t> </w:t>
      </w:r>
      <w:r>
        <w:rPr>
          <w:color w:val="231F20"/>
          <w:sz w:val="16"/>
        </w:rPr>
        <w:t>para</w:t>
      </w:r>
      <w:r>
        <w:rPr>
          <w:color w:val="231F20"/>
          <w:spacing w:val="-6"/>
          <w:sz w:val="16"/>
        </w:rPr>
        <w:t> </w:t>
      </w:r>
      <w:r>
        <w:rPr>
          <w:color w:val="231F20"/>
          <w:sz w:val="16"/>
        </w:rPr>
        <w:t>el</w:t>
      </w:r>
      <w:r>
        <w:rPr>
          <w:color w:val="231F20"/>
          <w:spacing w:val="-6"/>
          <w:sz w:val="16"/>
        </w:rPr>
        <w:t> </w:t>
      </w:r>
      <w:r>
        <w:rPr>
          <w:color w:val="231F20"/>
          <w:sz w:val="16"/>
        </w:rPr>
        <w:t>equipamiento</w:t>
      </w:r>
      <w:r>
        <w:rPr>
          <w:color w:val="231F20"/>
          <w:spacing w:val="-6"/>
          <w:sz w:val="16"/>
        </w:rPr>
        <w:t> </w:t>
      </w:r>
      <w:r>
        <w:rPr>
          <w:color w:val="231F20"/>
          <w:sz w:val="16"/>
        </w:rPr>
        <w:t>y</w:t>
      </w:r>
      <w:r>
        <w:rPr>
          <w:color w:val="231F20"/>
          <w:spacing w:val="-6"/>
          <w:sz w:val="16"/>
        </w:rPr>
        <w:t> </w:t>
      </w:r>
      <w:r>
        <w:rPr>
          <w:color w:val="231F20"/>
          <w:sz w:val="16"/>
        </w:rPr>
        <w:t>operación</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hospitales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Cabecera</w:t>
      </w:r>
      <w:r>
        <w:rPr>
          <w:color w:val="231F20"/>
          <w:spacing w:val="-6"/>
          <w:sz w:val="16"/>
        </w:rPr>
        <w:t> </w:t>
      </w:r>
      <w:r>
        <w:rPr>
          <w:color w:val="231F20"/>
          <w:sz w:val="16"/>
        </w:rPr>
        <w:t>Municipal y</w:t>
      </w:r>
      <w:r>
        <w:rPr>
          <w:color w:val="231F20"/>
          <w:spacing w:val="-9"/>
          <w:sz w:val="16"/>
        </w:rPr>
        <w:t> </w:t>
      </w:r>
      <w:r>
        <w:rPr>
          <w:color w:val="231F20"/>
          <w:sz w:val="16"/>
        </w:rPr>
        <w:t>de</w:t>
      </w:r>
      <w:r>
        <w:rPr>
          <w:color w:val="231F20"/>
          <w:spacing w:val="-9"/>
          <w:sz w:val="16"/>
        </w:rPr>
        <w:t> </w:t>
      </w:r>
      <w:r>
        <w:rPr>
          <w:color w:val="231F20"/>
          <w:sz w:val="16"/>
        </w:rPr>
        <w:t>Palo</w:t>
      </w:r>
      <w:r>
        <w:rPr>
          <w:color w:val="231F20"/>
          <w:spacing w:val="-9"/>
          <w:sz w:val="16"/>
        </w:rPr>
        <w:t> </w:t>
      </w:r>
      <w:r>
        <w:rPr>
          <w:color w:val="231F20"/>
          <w:sz w:val="16"/>
        </w:rPr>
        <w:t>Solo;</w:t>
      </w:r>
      <w:r>
        <w:rPr>
          <w:color w:val="231F20"/>
          <w:spacing w:val="-9"/>
          <w:sz w:val="16"/>
        </w:rPr>
        <w:t> </w:t>
      </w:r>
      <w:r>
        <w:rPr>
          <w:color w:val="231F20"/>
          <w:sz w:val="16"/>
        </w:rPr>
        <w:t>servicio</w:t>
      </w:r>
      <w:r>
        <w:rPr>
          <w:color w:val="231F20"/>
          <w:spacing w:val="-9"/>
          <w:sz w:val="16"/>
        </w:rPr>
        <w:t> </w:t>
      </w:r>
      <w:r>
        <w:rPr>
          <w:color w:val="231F20"/>
          <w:sz w:val="16"/>
        </w:rPr>
        <w:t>de</w:t>
      </w:r>
      <w:r>
        <w:rPr>
          <w:color w:val="231F20"/>
          <w:spacing w:val="-9"/>
          <w:sz w:val="16"/>
        </w:rPr>
        <w:t> </w:t>
      </w:r>
      <w:r>
        <w:rPr>
          <w:color w:val="231F20"/>
          <w:sz w:val="16"/>
        </w:rPr>
        <w:t>atención</w:t>
      </w:r>
      <w:r>
        <w:rPr>
          <w:color w:val="231F20"/>
          <w:spacing w:val="-9"/>
          <w:sz w:val="16"/>
        </w:rPr>
        <w:t> </w:t>
      </w:r>
      <w:r>
        <w:rPr>
          <w:color w:val="231F20"/>
          <w:sz w:val="16"/>
        </w:rPr>
        <w:t>a</w:t>
      </w:r>
      <w:r>
        <w:rPr>
          <w:color w:val="231F20"/>
          <w:spacing w:val="-9"/>
          <w:sz w:val="16"/>
        </w:rPr>
        <w:t> </w:t>
      </w:r>
      <w:r>
        <w:rPr>
          <w:color w:val="231F20"/>
          <w:sz w:val="16"/>
        </w:rPr>
        <w:t>emergencias</w:t>
      </w:r>
      <w:r>
        <w:rPr>
          <w:color w:val="231F20"/>
          <w:spacing w:val="-9"/>
          <w:sz w:val="16"/>
        </w:rPr>
        <w:t> </w:t>
      </w:r>
      <w:r>
        <w:rPr>
          <w:color w:val="231F20"/>
          <w:sz w:val="16"/>
        </w:rPr>
        <w:t>las</w:t>
      </w:r>
      <w:r>
        <w:rPr>
          <w:color w:val="231F20"/>
          <w:spacing w:val="-9"/>
          <w:sz w:val="16"/>
        </w:rPr>
        <w:t> </w:t>
      </w:r>
      <w:r>
        <w:rPr>
          <w:color w:val="231F20"/>
          <w:spacing w:val="-4"/>
          <w:sz w:val="16"/>
        </w:rPr>
        <w:t>24</w:t>
      </w:r>
      <w:r>
        <w:rPr>
          <w:color w:val="231F20"/>
          <w:spacing w:val="-9"/>
          <w:sz w:val="16"/>
        </w:rPr>
        <w:t> </w:t>
      </w:r>
      <w:r>
        <w:rPr>
          <w:color w:val="231F20"/>
          <w:sz w:val="16"/>
        </w:rPr>
        <w:t>horas</w:t>
      </w:r>
      <w:r>
        <w:rPr>
          <w:color w:val="231F20"/>
          <w:spacing w:val="-9"/>
          <w:sz w:val="16"/>
        </w:rPr>
        <w:t> </w:t>
      </w:r>
      <w:r>
        <w:rPr>
          <w:color w:val="231F20"/>
          <w:sz w:val="16"/>
        </w:rPr>
        <w:t>en</w:t>
      </w:r>
      <w:r>
        <w:rPr>
          <w:color w:val="231F20"/>
          <w:spacing w:val="-9"/>
          <w:sz w:val="16"/>
        </w:rPr>
        <w:t> </w:t>
      </w:r>
      <w:r>
        <w:rPr>
          <w:color w:val="231F20"/>
          <w:sz w:val="16"/>
        </w:rPr>
        <w:t>todo</w:t>
      </w:r>
      <w:r>
        <w:rPr>
          <w:color w:val="231F20"/>
          <w:spacing w:val="-9"/>
          <w:sz w:val="16"/>
        </w:rPr>
        <w:t> </w:t>
      </w:r>
      <w:r>
        <w:rPr>
          <w:color w:val="231F20"/>
          <w:sz w:val="16"/>
        </w:rPr>
        <w:t>el</w:t>
      </w:r>
      <w:r>
        <w:rPr>
          <w:color w:val="231F20"/>
          <w:spacing w:val="-9"/>
          <w:sz w:val="16"/>
        </w:rPr>
        <w:t> </w:t>
      </w:r>
      <w:r>
        <w:rPr>
          <w:color w:val="231F20"/>
          <w:sz w:val="16"/>
        </w:rPr>
        <w:t>municipio</w:t>
      </w:r>
      <w:r>
        <w:rPr>
          <w:color w:val="231F20"/>
          <w:spacing w:val="-9"/>
          <w:sz w:val="16"/>
        </w:rPr>
        <w:t> </w:t>
      </w:r>
      <w:r>
        <w:rPr>
          <w:color w:val="231F20"/>
          <w:sz w:val="16"/>
        </w:rPr>
        <w:t>con</w:t>
      </w:r>
      <w:r>
        <w:rPr>
          <w:color w:val="231F20"/>
          <w:spacing w:val="-9"/>
          <w:sz w:val="16"/>
        </w:rPr>
        <w:t> </w:t>
      </w:r>
      <w:r>
        <w:rPr>
          <w:color w:val="231F20"/>
          <w:sz w:val="16"/>
        </w:rPr>
        <w:t>4</w:t>
      </w:r>
      <w:r>
        <w:rPr>
          <w:color w:val="231F20"/>
          <w:spacing w:val="-9"/>
          <w:sz w:val="16"/>
        </w:rPr>
        <w:t> </w:t>
      </w:r>
      <w:r>
        <w:rPr>
          <w:color w:val="231F20"/>
          <w:sz w:val="16"/>
        </w:rPr>
        <w:t>ambulancias;</w:t>
      </w:r>
      <w:r>
        <w:rPr>
          <w:color w:val="231F20"/>
          <w:spacing w:val="-9"/>
          <w:sz w:val="16"/>
        </w:rPr>
        <w:t> </w:t>
      </w:r>
      <w:r>
        <w:rPr>
          <w:color w:val="231F20"/>
          <w:sz w:val="16"/>
        </w:rPr>
        <w:t>incrementar</w:t>
      </w:r>
      <w:r>
        <w:rPr>
          <w:color w:val="231F20"/>
          <w:spacing w:val="-9"/>
          <w:sz w:val="16"/>
        </w:rPr>
        <w:t> </w:t>
      </w:r>
      <w:r>
        <w:rPr>
          <w:color w:val="231F20"/>
          <w:sz w:val="16"/>
        </w:rPr>
        <w:t>el</w:t>
      </w:r>
      <w:r>
        <w:rPr>
          <w:color w:val="231F20"/>
          <w:spacing w:val="-9"/>
          <w:sz w:val="16"/>
        </w:rPr>
        <w:t> </w:t>
      </w:r>
      <w:r>
        <w:rPr>
          <w:color w:val="231F20"/>
          <w:sz w:val="16"/>
        </w:rPr>
        <w:t>equi- pamiento</w:t>
      </w:r>
      <w:r>
        <w:rPr>
          <w:color w:val="231F20"/>
          <w:spacing w:val="-15"/>
          <w:sz w:val="16"/>
        </w:rPr>
        <w:t> </w:t>
      </w:r>
      <w:r>
        <w:rPr>
          <w:color w:val="231F20"/>
          <w:sz w:val="16"/>
        </w:rPr>
        <w:t>y</w:t>
      </w:r>
      <w:r>
        <w:rPr>
          <w:color w:val="231F20"/>
          <w:spacing w:val="-15"/>
          <w:sz w:val="16"/>
        </w:rPr>
        <w:t> </w:t>
      </w:r>
      <w:r>
        <w:rPr>
          <w:color w:val="231F20"/>
          <w:sz w:val="16"/>
        </w:rPr>
        <w:t>personal</w:t>
      </w:r>
      <w:r>
        <w:rPr>
          <w:color w:val="231F20"/>
          <w:spacing w:val="-15"/>
          <w:sz w:val="16"/>
        </w:rPr>
        <w:t> </w:t>
      </w:r>
      <w:r>
        <w:rPr>
          <w:color w:val="231F20"/>
          <w:sz w:val="16"/>
        </w:rPr>
        <w:t>de</w:t>
      </w:r>
      <w:r>
        <w:rPr>
          <w:color w:val="231F20"/>
          <w:spacing w:val="-15"/>
          <w:sz w:val="16"/>
        </w:rPr>
        <w:t> </w:t>
      </w:r>
      <w:r>
        <w:rPr>
          <w:color w:val="231F20"/>
          <w:sz w:val="16"/>
        </w:rPr>
        <w:t>seguridad</w:t>
      </w:r>
      <w:r>
        <w:rPr>
          <w:color w:val="231F20"/>
          <w:spacing w:val="-15"/>
          <w:sz w:val="16"/>
        </w:rPr>
        <w:t> </w:t>
      </w:r>
      <w:r>
        <w:rPr>
          <w:color w:val="231F20"/>
          <w:sz w:val="16"/>
        </w:rPr>
        <w:t>pública.</w:t>
      </w:r>
      <w:r>
        <w:rPr>
          <w:color w:val="231F20"/>
          <w:spacing w:val="-15"/>
          <w:sz w:val="16"/>
        </w:rPr>
        <w:t> </w:t>
      </w:r>
      <w:r>
        <w:rPr>
          <w:color w:val="231F20"/>
          <w:sz w:val="16"/>
        </w:rPr>
        <w:t>Más</w:t>
      </w:r>
      <w:r>
        <w:rPr>
          <w:color w:val="231F20"/>
          <w:spacing w:val="-15"/>
          <w:sz w:val="16"/>
        </w:rPr>
        <w:t> </w:t>
      </w:r>
      <w:r>
        <w:rPr>
          <w:color w:val="231F20"/>
          <w:sz w:val="16"/>
        </w:rPr>
        <w:t>patrullas</w:t>
      </w:r>
      <w:r>
        <w:rPr>
          <w:color w:val="231F20"/>
          <w:spacing w:val="-15"/>
          <w:sz w:val="16"/>
        </w:rPr>
        <w:t> </w:t>
      </w:r>
      <w:r>
        <w:rPr>
          <w:color w:val="231F20"/>
          <w:sz w:val="16"/>
        </w:rPr>
        <w:t>y</w:t>
      </w:r>
      <w:r>
        <w:rPr>
          <w:color w:val="231F20"/>
          <w:spacing w:val="-15"/>
          <w:sz w:val="16"/>
        </w:rPr>
        <w:t> </w:t>
      </w:r>
      <w:r>
        <w:rPr>
          <w:color w:val="231F20"/>
          <w:sz w:val="16"/>
        </w:rPr>
        <w:t>policías</w:t>
      </w:r>
      <w:r>
        <w:rPr>
          <w:color w:val="231F20"/>
          <w:spacing w:val="-15"/>
          <w:sz w:val="16"/>
        </w:rPr>
        <w:t> </w:t>
      </w:r>
      <w:r>
        <w:rPr>
          <w:color w:val="231F20"/>
          <w:sz w:val="16"/>
        </w:rPr>
        <w:t>mejor</w:t>
      </w:r>
      <w:r>
        <w:rPr>
          <w:color w:val="231F20"/>
          <w:spacing w:val="-15"/>
          <w:sz w:val="16"/>
        </w:rPr>
        <w:t> </w:t>
      </w:r>
      <w:r>
        <w:rPr>
          <w:color w:val="231F20"/>
          <w:sz w:val="16"/>
        </w:rPr>
        <w:t>preparados;</w:t>
      </w:r>
      <w:r>
        <w:rPr>
          <w:color w:val="231F20"/>
          <w:spacing w:val="-15"/>
          <w:sz w:val="16"/>
        </w:rPr>
        <w:t> </w:t>
      </w:r>
      <w:r>
        <w:rPr>
          <w:color w:val="231F20"/>
          <w:sz w:val="16"/>
        </w:rPr>
        <w:t>crear,</w:t>
      </w:r>
      <w:r>
        <w:rPr>
          <w:color w:val="231F20"/>
          <w:spacing w:val="-15"/>
          <w:sz w:val="16"/>
        </w:rPr>
        <w:t> </w:t>
      </w:r>
      <w:r>
        <w:rPr>
          <w:color w:val="231F20"/>
          <w:sz w:val="16"/>
        </w:rPr>
        <w:t>con</w:t>
      </w:r>
      <w:r>
        <w:rPr>
          <w:color w:val="231F20"/>
          <w:spacing w:val="-15"/>
          <w:sz w:val="16"/>
        </w:rPr>
        <w:t> </w:t>
      </w:r>
      <w:r>
        <w:rPr>
          <w:color w:val="231F20"/>
          <w:sz w:val="16"/>
        </w:rPr>
        <w:t>la</w:t>
      </w:r>
      <w:r>
        <w:rPr>
          <w:color w:val="231F20"/>
          <w:spacing w:val="-15"/>
          <w:sz w:val="16"/>
        </w:rPr>
        <w:t> </w:t>
      </w:r>
      <w:r>
        <w:rPr>
          <w:color w:val="231F20"/>
          <w:sz w:val="16"/>
        </w:rPr>
        <w:t>participación</w:t>
      </w:r>
      <w:r>
        <w:rPr>
          <w:color w:val="231F20"/>
          <w:spacing w:val="-15"/>
          <w:sz w:val="16"/>
        </w:rPr>
        <w:t> </w:t>
      </w:r>
      <w:r>
        <w:rPr>
          <w:color w:val="231F20"/>
          <w:sz w:val="16"/>
        </w:rPr>
        <w:t>ciudadana,</w:t>
      </w:r>
      <w:r>
        <w:rPr>
          <w:color w:val="231F20"/>
          <w:spacing w:val="-15"/>
          <w:sz w:val="16"/>
        </w:rPr>
        <w:t> </w:t>
      </w:r>
      <w:r>
        <w:rPr>
          <w:color w:val="231F20"/>
          <w:sz w:val="16"/>
        </w:rPr>
        <w:t>la Coordinación</w:t>
      </w:r>
      <w:r>
        <w:rPr>
          <w:color w:val="231F20"/>
          <w:spacing w:val="-7"/>
          <w:sz w:val="16"/>
        </w:rPr>
        <w:t> </w:t>
      </w:r>
      <w:r>
        <w:rPr>
          <w:color w:val="231F20"/>
          <w:sz w:val="16"/>
        </w:rPr>
        <w:t>de</w:t>
      </w:r>
      <w:r>
        <w:rPr>
          <w:color w:val="231F20"/>
          <w:spacing w:val="-7"/>
          <w:sz w:val="16"/>
        </w:rPr>
        <w:t> </w:t>
      </w:r>
      <w:r>
        <w:rPr>
          <w:color w:val="231F20"/>
          <w:sz w:val="16"/>
        </w:rPr>
        <w:t>Asuntos</w:t>
      </w:r>
      <w:r>
        <w:rPr>
          <w:color w:val="231F20"/>
          <w:spacing w:val="-7"/>
          <w:sz w:val="16"/>
        </w:rPr>
        <w:t> </w:t>
      </w:r>
      <w:r>
        <w:rPr>
          <w:color w:val="231F20"/>
          <w:sz w:val="16"/>
        </w:rPr>
        <w:t>Internos</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Policía</w:t>
      </w:r>
      <w:r>
        <w:rPr>
          <w:color w:val="231F20"/>
          <w:spacing w:val="-7"/>
          <w:sz w:val="16"/>
        </w:rPr>
        <w:t> </w:t>
      </w:r>
      <w:r>
        <w:rPr>
          <w:color w:val="231F20"/>
          <w:sz w:val="16"/>
        </w:rPr>
        <w:t>Municipal;</w:t>
      </w:r>
      <w:r>
        <w:rPr>
          <w:color w:val="231F20"/>
          <w:spacing w:val="-7"/>
          <w:sz w:val="16"/>
        </w:rPr>
        <w:t> </w:t>
      </w:r>
      <w:r>
        <w:rPr>
          <w:color w:val="231F20"/>
          <w:sz w:val="16"/>
        </w:rPr>
        <w:t>gestión</w:t>
      </w:r>
      <w:r>
        <w:rPr>
          <w:color w:val="231F20"/>
          <w:spacing w:val="-7"/>
          <w:sz w:val="16"/>
        </w:rPr>
        <w:t> </w:t>
      </w:r>
      <w:r>
        <w:rPr>
          <w:color w:val="231F20"/>
          <w:sz w:val="16"/>
        </w:rPr>
        <w:t>de</w:t>
      </w:r>
      <w:r>
        <w:rPr>
          <w:color w:val="231F20"/>
          <w:spacing w:val="-7"/>
          <w:sz w:val="16"/>
        </w:rPr>
        <w:t> </w:t>
      </w:r>
      <w:r>
        <w:rPr>
          <w:color w:val="231F20"/>
          <w:sz w:val="16"/>
        </w:rPr>
        <w:t>becas</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excelencia</w:t>
      </w:r>
      <w:r>
        <w:rPr>
          <w:color w:val="231F20"/>
          <w:spacing w:val="-7"/>
          <w:sz w:val="16"/>
        </w:rPr>
        <w:t> </w:t>
      </w:r>
      <w:r>
        <w:rPr>
          <w:color w:val="231F20"/>
          <w:sz w:val="16"/>
        </w:rPr>
        <w:t>académica</w:t>
      </w:r>
      <w:r>
        <w:rPr>
          <w:color w:val="231F20"/>
          <w:spacing w:val="-7"/>
          <w:sz w:val="16"/>
        </w:rPr>
        <w:t> </w:t>
      </w:r>
      <w:r>
        <w:rPr>
          <w:color w:val="231F20"/>
          <w:sz w:val="16"/>
        </w:rPr>
        <w:t>para</w:t>
      </w:r>
      <w:r>
        <w:rPr>
          <w:color w:val="231F20"/>
          <w:spacing w:val="-7"/>
          <w:sz w:val="16"/>
        </w:rPr>
        <w:t> </w:t>
      </w:r>
      <w:r>
        <w:rPr>
          <w:color w:val="231F20"/>
          <w:sz w:val="16"/>
        </w:rPr>
        <w:t>todos</w:t>
      </w:r>
      <w:r>
        <w:rPr>
          <w:color w:val="231F20"/>
          <w:spacing w:val="-7"/>
          <w:sz w:val="16"/>
        </w:rPr>
        <w:t> </w:t>
      </w:r>
      <w:r>
        <w:rPr>
          <w:color w:val="231F20"/>
          <w:sz w:val="16"/>
        </w:rPr>
        <w:t>los</w:t>
      </w:r>
      <w:r>
        <w:rPr>
          <w:color w:val="231F20"/>
          <w:spacing w:val="-7"/>
          <w:sz w:val="16"/>
        </w:rPr>
        <w:t> </w:t>
      </w:r>
      <w:r>
        <w:rPr>
          <w:color w:val="231F20"/>
          <w:sz w:val="16"/>
        </w:rPr>
        <w:t>niveles de</w:t>
      </w:r>
      <w:r>
        <w:rPr>
          <w:color w:val="231F20"/>
          <w:spacing w:val="-20"/>
          <w:sz w:val="16"/>
        </w:rPr>
        <w:t> </w:t>
      </w:r>
      <w:r>
        <w:rPr>
          <w:color w:val="231F20"/>
          <w:sz w:val="16"/>
        </w:rPr>
        <w:t>educación</w:t>
      </w:r>
      <w:r>
        <w:rPr>
          <w:color w:val="231F20"/>
          <w:spacing w:val="-20"/>
          <w:sz w:val="16"/>
        </w:rPr>
        <w:t> </w:t>
      </w:r>
      <w:r>
        <w:rPr>
          <w:color w:val="231F20"/>
          <w:sz w:val="16"/>
        </w:rPr>
        <w:t>(FUENTES,</w:t>
      </w:r>
      <w:r>
        <w:rPr>
          <w:color w:val="231F20"/>
          <w:spacing w:val="-20"/>
          <w:sz w:val="16"/>
        </w:rPr>
        <w:t> </w:t>
      </w:r>
      <w:r>
        <w:rPr>
          <w:color w:val="231F20"/>
          <w:sz w:val="16"/>
        </w:rPr>
        <w:t>2008a).</w:t>
      </w:r>
    </w:p>
    <w:p>
      <w:pPr>
        <w:spacing w:after="0" w:line="244" w:lineRule="auto"/>
        <w:jc w:val="both"/>
        <w:rPr>
          <w:sz w:val="16"/>
        </w:rPr>
        <w:sectPr>
          <w:footerReference w:type="default" r:id="rId128"/>
          <w:pgSz w:w="9640" w:h="12190"/>
          <w:pgMar w:footer="743" w:header="0" w:top="1120" w:bottom="940" w:left="740" w:right="740"/>
          <w:pgNumType w:start="66"/>
        </w:sectPr>
      </w:pPr>
    </w:p>
    <w:p>
      <w:pPr>
        <w:pStyle w:val="BodyText"/>
        <w:spacing w:before="8"/>
        <w:rPr>
          <w:rFonts w:ascii="Calibri"/>
          <w:sz w:val="10"/>
        </w:rPr>
      </w:pPr>
    </w:p>
    <w:p>
      <w:pPr>
        <w:pStyle w:val="BodyText"/>
        <w:spacing w:line="285" w:lineRule="auto" w:before="35"/>
        <w:ind w:left="110" w:right="107"/>
        <w:jc w:val="both"/>
      </w:pPr>
      <w:r>
        <w:rPr>
          <w:color w:val="231F20"/>
          <w:spacing w:val="4"/>
          <w:w w:val="105"/>
        </w:rPr>
        <w:t>Al</w:t>
      </w:r>
      <w:r>
        <w:rPr>
          <w:color w:val="231F20"/>
          <w:spacing w:val="-12"/>
          <w:w w:val="105"/>
        </w:rPr>
        <w:t> </w:t>
      </w:r>
      <w:r>
        <w:rPr>
          <w:color w:val="231F20"/>
          <w:spacing w:val="4"/>
          <w:w w:val="105"/>
        </w:rPr>
        <w:t>final</w:t>
      </w:r>
      <w:r>
        <w:rPr>
          <w:color w:val="231F20"/>
          <w:spacing w:val="-12"/>
          <w:w w:val="105"/>
        </w:rPr>
        <w:t> </w:t>
      </w:r>
      <w:r>
        <w:rPr>
          <w:color w:val="231F20"/>
          <w:w w:val="105"/>
        </w:rPr>
        <w:t>no</w:t>
      </w:r>
      <w:r>
        <w:rPr>
          <w:color w:val="231F20"/>
          <w:spacing w:val="-12"/>
          <w:w w:val="105"/>
        </w:rPr>
        <w:t> </w:t>
      </w:r>
      <w:r>
        <w:rPr>
          <w:color w:val="231F20"/>
          <w:w w:val="105"/>
        </w:rPr>
        <w:t>queda</w:t>
      </w:r>
      <w:r>
        <w:rPr>
          <w:color w:val="231F20"/>
          <w:spacing w:val="-12"/>
          <w:w w:val="105"/>
        </w:rPr>
        <w:t> </w:t>
      </w:r>
      <w:r>
        <w:rPr>
          <w:color w:val="231F20"/>
          <w:spacing w:val="2"/>
          <w:w w:val="105"/>
        </w:rPr>
        <w:t>clara</w:t>
      </w:r>
      <w:r>
        <w:rPr>
          <w:color w:val="231F20"/>
          <w:spacing w:val="-12"/>
          <w:w w:val="105"/>
        </w:rPr>
        <w:t> </w:t>
      </w:r>
      <w:r>
        <w:rPr>
          <w:color w:val="231F20"/>
          <w:w w:val="105"/>
        </w:rPr>
        <w:t>la</w:t>
      </w:r>
      <w:r>
        <w:rPr>
          <w:color w:val="231F20"/>
          <w:spacing w:val="-12"/>
          <w:w w:val="105"/>
        </w:rPr>
        <w:t> </w:t>
      </w:r>
      <w:r>
        <w:rPr>
          <w:color w:val="231F20"/>
          <w:w w:val="105"/>
        </w:rPr>
        <w:t>manera</w:t>
      </w:r>
      <w:r>
        <w:rPr>
          <w:color w:val="231F20"/>
          <w:spacing w:val="-12"/>
          <w:w w:val="105"/>
        </w:rPr>
        <w:t> </w:t>
      </w:r>
      <w:r>
        <w:rPr>
          <w:color w:val="231F20"/>
          <w:w w:val="105"/>
        </w:rPr>
        <w:t>en</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elaboración</w:t>
      </w:r>
      <w:r>
        <w:rPr>
          <w:color w:val="231F20"/>
          <w:spacing w:val="-12"/>
          <w:w w:val="105"/>
        </w:rPr>
        <w:t> </w:t>
      </w:r>
      <w:r>
        <w:rPr>
          <w:color w:val="231F20"/>
          <w:w w:val="105"/>
        </w:rPr>
        <w:t>del</w:t>
      </w:r>
      <w:r>
        <w:rPr>
          <w:color w:val="231F20"/>
          <w:spacing w:val="-12"/>
          <w:w w:val="105"/>
        </w:rPr>
        <w:t> </w:t>
      </w:r>
      <w:r>
        <w:rPr>
          <w:color w:val="231F20"/>
          <w:w w:val="105"/>
        </w:rPr>
        <w:t>Plan</w:t>
      </w:r>
      <w:r>
        <w:rPr>
          <w:color w:val="231F20"/>
          <w:spacing w:val="-12"/>
          <w:w w:val="105"/>
        </w:rPr>
        <w:t> </w:t>
      </w:r>
      <w:r>
        <w:rPr>
          <w:color w:val="231F20"/>
          <w:w w:val="105"/>
        </w:rPr>
        <w:t>de</w:t>
      </w:r>
      <w:r>
        <w:rPr>
          <w:color w:val="231F20"/>
          <w:spacing w:val="-12"/>
          <w:w w:val="105"/>
        </w:rPr>
        <w:t> </w:t>
      </w:r>
      <w:r>
        <w:rPr>
          <w:color w:val="231F20"/>
          <w:spacing w:val="2"/>
          <w:w w:val="105"/>
        </w:rPr>
        <w:t>Desarrollo</w:t>
      </w:r>
      <w:r>
        <w:rPr>
          <w:color w:val="231F20"/>
          <w:spacing w:val="-12"/>
          <w:w w:val="105"/>
        </w:rPr>
        <w:t> </w:t>
      </w:r>
      <w:r>
        <w:rPr>
          <w:color w:val="231F20"/>
          <w:w w:val="105"/>
        </w:rPr>
        <w:t>Munici- </w:t>
      </w:r>
      <w:r>
        <w:rPr>
          <w:color w:val="231F20"/>
          <w:spacing w:val="2"/>
          <w:w w:val="105"/>
        </w:rPr>
        <w:t>pal,</w:t>
      </w:r>
      <w:r>
        <w:rPr>
          <w:color w:val="231F20"/>
          <w:spacing w:val="-7"/>
          <w:w w:val="105"/>
        </w:rPr>
        <w:t> </w:t>
      </w:r>
      <w:r>
        <w:rPr>
          <w:color w:val="231F20"/>
          <w:spacing w:val="3"/>
          <w:w w:val="105"/>
        </w:rPr>
        <w:t>2006-2009</w:t>
      </w:r>
      <w:r>
        <w:rPr>
          <w:color w:val="231F20"/>
          <w:spacing w:val="-6"/>
          <w:w w:val="105"/>
        </w:rPr>
        <w:t> </w:t>
      </w:r>
      <w:r>
        <w:rPr>
          <w:color w:val="231F20"/>
          <w:w w:val="105"/>
        </w:rPr>
        <w:t>incluyó</w:t>
      </w:r>
      <w:r>
        <w:rPr>
          <w:color w:val="231F20"/>
          <w:spacing w:val="-7"/>
          <w:w w:val="105"/>
        </w:rPr>
        <w:t> </w:t>
      </w:r>
      <w:r>
        <w:rPr>
          <w:color w:val="231F20"/>
          <w:w w:val="105"/>
        </w:rPr>
        <w:t>e</w:t>
      </w:r>
      <w:r>
        <w:rPr>
          <w:color w:val="231F20"/>
          <w:spacing w:val="-6"/>
          <w:w w:val="105"/>
        </w:rPr>
        <w:t> </w:t>
      </w:r>
      <w:r>
        <w:rPr>
          <w:color w:val="231F20"/>
          <w:w w:val="105"/>
        </w:rPr>
        <w:t>integró</w:t>
      </w:r>
      <w:r>
        <w:rPr>
          <w:color w:val="231F20"/>
          <w:spacing w:val="-6"/>
          <w:w w:val="105"/>
        </w:rPr>
        <w:t> </w:t>
      </w:r>
      <w:r>
        <w:rPr>
          <w:color w:val="231F20"/>
          <w:w w:val="105"/>
        </w:rPr>
        <w:t>a</w:t>
      </w:r>
      <w:r>
        <w:rPr>
          <w:color w:val="231F20"/>
          <w:spacing w:val="-7"/>
          <w:w w:val="105"/>
        </w:rPr>
        <w:t> </w:t>
      </w:r>
      <w:r>
        <w:rPr>
          <w:color w:val="231F20"/>
          <w:spacing w:val="2"/>
          <w:w w:val="105"/>
        </w:rPr>
        <w:t>las</w:t>
      </w:r>
      <w:r>
        <w:rPr>
          <w:color w:val="231F20"/>
          <w:spacing w:val="-6"/>
          <w:w w:val="105"/>
        </w:rPr>
        <w:t> </w:t>
      </w:r>
      <w:r>
        <w:rPr>
          <w:color w:val="231F20"/>
          <w:w w:val="105"/>
        </w:rPr>
        <w:t>propuestas</w:t>
      </w:r>
      <w:r>
        <w:rPr>
          <w:color w:val="231F20"/>
          <w:spacing w:val="-7"/>
          <w:w w:val="105"/>
        </w:rPr>
        <w:t> </w:t>
      </w:r>
      <w:r>
        <w:rPr>
          <w:color w:val="231F20"/>
          <w:w w:val="105"/>
        </w:rPr>
        <w:t>provenientes</w:t>
      </w:r>
      <w:r>
        <w:rPr>
          <w:color w:val="231F20"/>
          <w:spacing w:val="-7"/>
          <w:w w:val="105"/>
        </w:rPr>
        <w:t> </w:t>
      </w:r>
      <w:r>
        <w:rPr>
          <w:color w:val="231F20"/>
          <w:w w:val="105"/>
        </w:rPr>
        <w:t>de</w:t>
      </w:r>
      <w:r>
        <w:rPr>
          <w:color w:val="231F20"/>
          <w:spacing w:val="-7"/>
          <w:w w:val="105"/>
        </w:rPr>
        <w:t> </w:t>
      </w:r>
      <w:r>
        <w:rPr>
          <w:color w:val="231F20"/>
          <w:spacing w:val="3"/>
          <w:w w:val="105"/>
        </w:rPr>
        <w:t>algunos</w:t>
      </w:r>
      <w:r>
        <w:rPr>
          <w:color w:val="231F20"/>
          <w:spacing w:val="-7"/>
          <w:w w:val="105"/>
        </w:rPr>
        <w:t> </w:t>
      </w:r>
      <w:r>
        <w:rPr>
          <w:color w:val="231F20"/>
          <w:w w:val="105"/>
        </w:rPr>
        <w:t>sectores</w:t>
      </w:r>
      <w:r>
        <w:rPr>
          <w:color w:val="231F20"/>
          <w:spacing w:val="-7"/>
          <w:w w:val="105"/>
        </w:rPr>
        <w:t> </w:t>
      </w:r>
      <w:r>
        <w:rPr>
          <w:color w:val="231F20"/>
          <w:w w:val="105"/>
        </w:rPr>
        <w:t>de la ciudadanía </w:t>
      </w:r>
      <w:r>
        <w:rPr>
          <w:color w:val="231F20"/>
          <w:spacing w:val="2"/>
          <w:w w:val="105"/>
        </w:rPr>
        <w:t>huixquiluquense. </w:t>
      </w:r>
      <w:r>
        <w:rPr>
          <w:color w:val="231F20"/>
          <w:w w:val="105"/>
        </w:rPr>
        <w:t>Tras </w:t>
      </w:r>
      <w:r>
        <w:rPr>
          <w:color w:val="231F20"/>
          <w:spacing w:val="3"/>
          <w:w w:val="105"/>
        </w:rPr>
        <w:t>observar </w:t>
      </w:r>
      <w:r>
        <w:rPr>
          <w:color w:val="231F20"/>
          <w:w w:val="105"/>
        </w:rPr>
        <w:t>la programación de </w:t>
      </w:r>
      <w:r>
        <w:rPr>
          <w:color w:val="231F20"/>
          <w:spacing w:val="2"/>
          <w:w w:val="105"/>
        </w:rPr>
        <w:t>las </w:t>
      </w:r>
      <w:r>
        <w:rPr>
          <w:color w:val="231F20"/>
          <w:spacing w:val="3"/>
          <w:w w:val="105"/>
        </w:rPr>
        <w:t>distintas fases </w:t>
      </w:r>
      <w:r>
        <w:rPr>
          <w:color w:val="231F20"/>
          <w:w w:val="105"/>
        </w:rPr>
        <w:t>de su proceso de elaboración</w:t>
      </w:r>
      <w:r>
        <w:rPr>
          <w:color w:val="231F20"/>
          <w:w w:val="105"/>
          <w:position w:val="7"/>
          <w:sz w:val="13"/>
        </w:rPr>
        <w:t>37 </w:t>
      </w:r>
      <w:r>
        <w:rPr>
          <w:color w:val="231F20"/>
          <w:spacing w:val="2"/>
          <w:w w:val="105"/>
        </w:rPr>
        <w:t>resalta </w:t>
      </w:r>
      <w:r>
        <w:rPr>
          <w:color w:val="231F20"/>
          <w:w w:val="105"/>
        </w:rPr>
        <w:t>que de los 78 </w:t>
      </w:r>
      <w:r>
        <w:rPr>
          <w:color w:val="231F20"/>
          <w:spacing w:val="3"/>
          <w:w w:val="105"/>
        </w:rPr>
        <w:t>días </w:t>
      </w:r>
      <w:r>
        <w:rPr>
          <w:color w:val="231F20"/>
          <w:w w:val="105"/>
        </w:rPr>
        <w:t>en que se elaboró dicho plan, sólo se dedicaron 19 </w:t>
      </w:r>
      <w:r>
        <w:rPr>
          <w:color w:val="231F20"/>
          <w:spacing w:val="2"/>
          <w:w w:val="105"/>
        </w:rPr>
        <w:t>para </w:t>
      </w:r>
      <w:r>
        <w:rPr>
          <w:color w:val="231F20"/>
          <w:w w:val="105"/>
        </w:rPr>
        <w:t>la participación ciudadana. La </w:t>
      </w:r>
      <w:r>
        <w:rPr>
          <w:color w:val="231F20"/>
          <w:spacing w:val="2"/>
          <w:w w:val="105"/>
        </w:rPr>
        <w:t>realización </w:t>
      </w:r>
      <w:r>
        <w:rPr>
          <w:color w:val="231F20"/>
          <w:w w:val="105"/>
        </w:rPr>
        <w:t>de los foros en donde </w:t>
      </w:r>
      <w:r>
        <w:rPr>
          <w:color w:val="231F20"/>
          <w:spacing w:val="2"/>
          <w:w w:val="105"/>
        </w:rPr>
        <w:t>participaron </w:t>
      </w:r>
      <w:r>
        <w:rPr>
          <w:color w:val="231F20"/>
          <w:spacing w:val="3"/>
          <w:w w:val="105"/>
        </w:rPr>
        <w:t>algunos </w:t>
      </w:r>
      <w:r>
        <w:rPr>
          <w:color w:val="231F20"/>
          <w:w w:val="105"/>
        </w:rPr>
        <w:t>de los actores y organizaciones </w:t>
      </w:r>
      <w:r>
        <w:rPr>
          <w:color w:val="231F20"/>
          <w:spacing w:val="2"/>
          <w:w w:val="105"/>
        </w:rPr>
        <w:t>sociales </w:t>
      </w:r>
      <w:r>
        <w:rPr>
          <w:color w:val="231F20"/>
          <w:w w:val="105"/>
        </w:rPr>
        <w:t>duró 12 </w:t>
      </w:r>
      <w:r>
        <w:rPr>
          <w:color w:val="231F20"/>
          <w:spacing w:val="3"/>
          <w:w w:val="105"/>
        </w:rPr>
        <w:t>días </w:t>
      </w:r>
      <w:r>
        <w:rPr>
          <w:color w:val="231F20"/>
          <w:spacing w:val="-3"/>
          <w:w w:val="105"/>
        </w:rPr>
        <w:t>(el </w:t>
      </w:r>
      <w:r>
        <w:rPr>
          <w:color w:val="231F20"/>
          <w:w w:val="105"/>
        </w:rPr>
        <w:t>15% del </w:t>
      </w:r>
      <w:r>
        <w:rPr>
          <w:color w:val="231F20"/>
          <w:spacing w:val="2"/>
          <w:w w:val="105"/>
        </w:rPr>
        <w:t>total </w:t>
      </w:r>
      <w:r>
        <w:rPr>
          <w:color w:val="231F20"/>
          <w:w w:val="105"/>
        </w:rPr>
        <w:t>del periodo de elaboración del plan) </w:t>
      </w:r>
      <w:r>
        <w:rPr>
          <w:color w:val="231F20"/>
          <w:spacing w:val="2"/>
          <w:w w:val="105"/>
        </w:rPr>
        <w:t>mientras </w:t>
      </w:r>
      <w:r>
        <w:rPr>
          <w:color w:val="231F20"/>
          <w:w w:val="105"/>
        </w:rPr>
        <w:t>que la etapa de </w:t>
      </w:r>
      <w:r>
        <w:rPr>
          <w:color w:val="231F20"/>
          <w:spacing w:val="4"/>
          <w:w w:val="105"/>
        </w:rPr>
        <w:t>análisis </w:t>
      </w:r>
      <w:r>
        <w:rPr>
          <w:color w:val="231F20"/>
          <w:w w:val="105"/>
        </w:rPr>
        <w:t>e interpretación de </w:t>
      </w:r>
      <w:r>
        <w:rPr>
          <w:color w:val="231F20"/>
          <w:spacing w:val="2"/>
          <w:w w:val="105"/>
        </w:rPr>
        <w:t>las </w:t>
      </w:r>
      <w:r>
        <w:rPr>
          <w:color w:val="231F20"/>
          <w:w w:val="105"/>
        </w:rPr>
        <w:t>ponencias por </w:t>
      </w:r>
      <w:r>
        <w:rPr>
          <w:color w:val="231F20"/>
          <w:spacing w:val="3"/>
          <w:w w:val="105"/>
        </w:rPr>
        <w:t>parte </w:t>
      </w:r>
      <w:r>
        <w:rPr>
          <w:color w:val="231F20"/>
          <w:w w:val="105"/>
        </w:rPr>
        <w:t>del equipo de trabajo del presidente munici- </w:t>
      </w:r>
      <w:r>
        <w:rPr>
          <w:color w:val="231F20"/>
          <w:spacing w:val="2"/>
          <w:w w:val="105"/>
        </w:rPr>
        <w:t>pal</w:t>
      </w:r>
      <w:r>
        <w:rPr>
          <w:color w:val="231F20"/>
          <w:spacing w:val="-15"/>
          <w:w w:val="105"/>
        </w:rPr>
        <w:t> </w:t>
      </w:r>
      <w:r>
        <w:rPr>
          <w:color w:val="231F20"/>
          <w:spacing w:val="2"/>
          <w:w w:val="105"/>
        </w:rPr>
        <w:t>fue</w:t>
      </w:r>
      <w:r>
        <w:rPr>
          <w:color w:val="231F20"/>
          <w:spacing w:val="-15"/>
          <w:w w:val="105"/>
        </w:rPr>
        <w:t> </w:t>
      </w:r>
      <w:r>
        <w:rPr>
          <w:color w:val="231F20"/>
          <w:w w:val="105"/>
        </w:rPr>
        <w:t>de</w:t>
      </w:r>
      <w:r>
        <w:rPr>
          <w:color w:val="231F20"/>
          <w:spacing w:val="-15"/>
          <w:w w:val="105"/>
        </w:rPr>
        <w:t> </w:t>
      </w:r>
      <w:r>
        <w:rPr>
          <w:color w:val="231F20"/>
          <w:w w:val="105"/>
        </w:rPr>
        <w:t>7</w:t>
      </w:r>
      <w:r>
        <w:rPr>
          <w:color w:val="231F20"/>
          <w:spacing w:val="-15"/>
          <w:w w:val="105"/>
        </w:rPr>
        <w:t> </w:t>
      </w:r>
      <w:r>
        <w:rPr>
          <w:color w:val="231F20"/>
          <w:spacing w:val="3"/>
          <w:w w:val="105"/>
        </w:rPr>
        <w:t>días</w:t>
      </w:r>
      <w:r>
        <w:rPr>
          <w:color w:val="231F20"/>
          <w:spacing w:val="-15"/>
          <w:w w:val="105"/>
        </w:rPr>
        <w:t> </w:t>
      </w:r>
      <w:r>
        <w:rPr>
          <w:color w:val="231F20"/>
          <w:spacing w:val="-3"/>
          <w:w w:val="105"/>
        </w:rPr>
        <w:t>(el</w:t>
      </w:r>
      <w:r>
        <w:rPr>
          <w:color w:val="231F20"/>
          <w:spacing w:val="-15"/>
          <w:w w:val="105"/>
        </w:rPr>
        <w:t> </w:t>
      </w:r>
      <w:r>
        <w:rPr>
          <w:color w:val="231F20"/>
          <w:w w:val="105"/>
        </w:rPr>
        <w:t>9%</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duración).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resto</w:t>
      </w:r>
      <w:r>
        <w:rPr>
          <w:color w:val="231F20"/>
          <w:spacing w:val="-15"/>
          <w:w w:val="105"/>
        </w:rPr>
        <w:t> </w:t>
      </w:r>
      <w:r>
        <w:rPr>
          <w:color w:val="231F20"/>
          <w:w w:val="105"/>
        </w:rPr>
        <w:t>del</w:t>
      </w:r>
      <w:r>
        <w:rPr>
          <w:color w:val="231F20"/>
          <w:spacing w:val="-15"/>
          <w:w w:val="105"/>
        </w:rPr>
        <w:t> </w:t>
      </w:r>
      <w:r>
        <w:rPr>
          <w:color w:val="231F20"/>
          <w:w w:val="105"/>
        </w:rPr>
        <w:t>periodo</w:t>
      </w:r>
      <w:r>
        <w:rPr>
          <w:color w:val="231F20"/>
          <w:spacing w:val="-15"/>
          <w:w w:val="105"/>
        </w:rPr>
        <w:t> </w:t>
      </w:r>
      <w:r>
        <w:rPr>
          <w:color w:val="231F20"/>
          <w:w w:val="105"/>
        </w:rPr>
        <w:t>programado</w:t>
      </w:r>
      <w:r>
        <w:rPr>
          <w:color w:val="231F20"/>
          <w:spacing w:val="-15"/>
          <w:w w:val="105"/>
        </w:rPr>
        <w:t> </w:t>
      </w:r>
      <w:r>
        <w:rPr>
          <w:color w:val="231F20"/>
          <w:w w:val="105"/>
        </w:rPr>
        <w:t>la</w:t>
      </w:r>
      <w:r>
        <w:rPr>
          <w:color w:val="231F20"/>
          <w:spacing w:val="-15"/>
          <w:w w:val="105"/>
        </w:rPr>
        <w:t> </w:t>
      </w:r>
      <w:r>
        <w:rPr>
          <w:color w:val="231F20"/>
          <w:w w:val="105"/>
        </w:rPr>
        <w:t>actividad referida </w:t>
      </w:r>
      <w:r>
        <w:rPr>
          <w:color w:val="231F20"/>
          <w:spacing w:val="2"/>
          <w:w w:val="105"/>
        </w:rPr>
        <w:t>fue desarrollada </w:t>
      </w:r>
      <w:r>
        <w:rPr>
          <w:color w:val="231F20"/>
          <w:w w:val="105"/>
        </w:rPr>
        <w:t>por el equipo de trabajo del gobierno </w:t>
      </w:r>
      <w:r>
        <w:rPr>
          <w:color w:val="231F20"/>
          <w:spacing w:val="2"/>
          <w:w w:val="105"/>
        </w:rPr>
        <w:t>municipal </w:t>
      </w:r>
      <w:r>
        <w:rPr>
          <w:color w:val="231F20"/>
          <w:w w:val="105"/>
        </w:rPr>
        <w:t>dedicado a la elaboración de dicho</w:t>
      </w:r>
      <w:r>
        <w:rPr>
          <w:color w:val="231F20"/>
          <w:spacing w:val="-8"/>
          <w:w w:val="105"/>
        </w:rPr>
        <w:t> </w:t>
      </w:r>
      <w:r>
        <w:rPr>
          <w:color w:val="231F20"/>
          <w:spacing w:val="2"/>
          <w:w w:val="105"/>
        </w:rPr>
        <w:t>plan.</w:t>
      </w:r>
    </w:p>
    <w:p>
      <w:pPr>
        <w:pStyle w:val="BodyText"/>
        <w:spacing w:before="1"/>
        <w:rPr>
          <w:sz w:val="26"/>
        </w:rPr>
      </w:pPr>
    </w:p>
    <w:p>
      <w:pPr>
        <w:pStyle w:val="BodyText"/>
        <w:spacing w:line="285" w:lineRule="auto"/>
        <w:ind w:left="110" w:right="107"/>
        <w:jc w:val="both"/>
      </w:pPr>
      <w:r>
        <w:rPr>
          <w:color w:val="231F20"/>
          <w:w w:val="105"/>
        </w:rPr>
        <w:t>A</w:t>
      </w:r>
      <w:r>
        <w:rPr>
          <w:color w:val="231F20"/>
          <w:spacing w:val="-15"/>
          <w:w w:val="105"/>
        </w:rPr>
        <w:t> </w:t>
      </w:r>
      <w:r>
        <w:rPr>
          <w:color w:val="231F20"/>
          <w:w w:val="105"/>
        </w:rPr>
        <w:t>pesar</w:t>
      </w:r>
      <w:r>
        <w:rPr>
          <w:color w:val="231F20"/>
          <w:spacing w:val="-15"/>
          <w:w w:val="105"/>
        </w:rPr>
        <w:t> </w:t>
      </w:r>
      <w:r>
        <w:rPr>
          <w:color w:val="231F20"/>
          <w:w w:val="105"/>
        </w:rPr>
        <w:t>de</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r>
        <w:rPr>
          <w:color w:val="231F20"/>
          <w:spacing w:val="-15"/>
          <w:w w:val="105"/>
        </w:rPr>
        <w:t> </w:t>
      </w:r>
      <w:r>
        <w:rPr>
          <w:color w:val="231F20"/>
          <w:w w:val="105"/>
        </w:rPr>
        <w:t>intentó</w:t>
      </w:r>
      <w:r>
        <w:rPr>
          <w:color w:val="231F20"/>
          <w:spacing w:val="-15"/>
          <w:w w:val="105"/>
        </w:rPr>
        <w:t> </w:t>
      </w:r>
      <w:r>
        <w:rPr>
          <w:color w:val="231F20"/>
          <w:w w:val="105"/>
        </w:rPr>
        <w:t>abrir</w:t>
      </w:r>
      <w:r>
        <w:rPr>
          <w:color w:val="231F20"/>
          <w:spacing w:val="-15"/>
          <w:w w:val="105"/>
        </w:rPr>
        <w:t> </w:t>
      </w:r>
      <w:r>
        <w:rPr>
          <w:color w:val="231F20"/>
          <w:w w:val="105"/>
        </w:rPr>
        <w:t>un</w:t>
      </w:r>
      <w:r>
        <w:rPr>
          <w:color w:val="231F20"/>
          <w:spacing w:val="-15"/>
          <w:w w:val="105"/>
        </w:rPr>
        <w:t> </w:t>
      </w:r>
      <w:r>
        <w:rPr>
          <w:color w:val="231F20"/>
          <w:w w:val="105"/>
        </w:rPr>
        <w:t>espacio</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inclusión</w:t>
      </w:r>
      <w:r>
        <w:rPr>
          <w:color w:val="231F20"/>
          <w:spacing w:val="-15"/>
          <w:w w:val="105"/>
        </w:rPr>
        <w:t> </w:t>
      </w:r>
      <w:r>
        <w:rPr>
          <w:color w:val="231F20"/>
          <w:w w:val="105"/>
        </w:rPr>
        <w:t>de</w:t>
      </w:r>
      <w:r>
        <w:rPr>
          <w:color w:val="231F20"/>
          <w:spacing w:val="-15"/>
          <w:w w:val="105"/>
        </w:rPr>
        <w:t> </w:t>
      </w:r>
      <w:r>
        <w:rPr>
          <w:color w:val="231F20"/>
          <w:w w:val="105"/>
        </w:rPr>
        <w:t>pro- puestas provenientes de la ciudadanía a través de los foros, en términos generales este esfuerzo</w:t>
      </w:r>
      <w:r>
        <w:rPr>
          <w:color w:val="231F20"/>
          <w:spacing w:val="-22"/>
          <w:w w:val="105"/>
        </w:rPr>
        <w:t> </w:t>
      </w:r>
      <w:r>
        <w:rPr>
          <w:color w:val="231F20"/>
          <w:w w:val="105"/>
        </w:rPr>
        <w:t>resultó</w:t>
      </w:r>
      <w:r>
        <w:rPr>
          <w:color w:val="231F20"/>
          <w:spacing w:val="-22"/>
          <w:w w:val="105"/>
        </w:rPr>
        <w:t> </w:t>
      </w:r>
      <w:r>
        <w:rPr>
          <w:color w:val="231F20"/>
          <w:w w:val="105"/>
        </w:rPr>
        <w:t>muy</w:t>
      </w:r>
      <w:r>
        <w:rPr>
          <w:color w:val="231F20"/>
          <w:spacing w:val="-22"/>
          <w:w w:val="105"/>
        </w:rPr>
        <w:t> </w:t>
      </w:r>
      <w:r>
        <w:rPr>
          <w:color w:val="231F20"/>
          <w:w w:val="105"/>
        </w:rPr>
        <w:t>tímido.</w:t>
      </w:r>
      <w:r>
        <w:rPr>
          <w:color w:val="231F20"/>
          <w:spacing w:val="-22"/>
          <w:w w:val="105"/>
        </w:rPr>
        <w:t> </w:t>
      </w:r>
      <w:r>
        <w:rPr>
          <w:color w:val="231F20"/>
          <w:w w:val="105"/>
        </w:rPr>
        <w:t>Estos</w:t>
      </w:r>
      <w:r>
        <w:rPr>
          <w:color w:val="231F20"/>
          <w:spacing w:val="-22"/>
          <w:w w:val="105"/>
        </w:rPr>
        <w:t> </w:t>
      </w:r>
      <w:r>
        <w:rPr>
          <w:color w:val="231F20"/>
          <w:w w:val="105"/>
        </w:rPr>
        <w:t>espacios</w:t>
      </w:r>
      <w:r>
        <w:rPr>
          <w:color w:val="231F20"/>
          <w:spacing w:val="-22"/>
          <w:w w:val="105"/>
        </w:rPr>
        <w:t> </w:t>
      </w:r>
      <w:r>
        <w:rPr>
          <w:color w:val="231F20"/>
          <w:w w:val="105"/>
        </w:rPr>
        <w:t>se</w:t>
      </w:r>
      <w:r>
        <w:rPr>
          <w:color w:val="231F20"/>
          <w:spacing w:val="-22"/>
          <w:w w:val="105"/>
        </w:rPr>
        <w:t> </w:t>
      </w:r>
      <w:r>
        <w:rPr>
          <w:color w:val="231F20"/>
          <w:w w:val="105"/>
        </w:rPr>
        <w:t>caracterizaron</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definición</w:t>
      </w:r>
      <w:r>
        <w:rPr>
          <w:color w:val="231F20"/>
          <w:spacing w:val="-22"/>
          <w:w w:val="105"/>
        </w:rPr>
        <w:t> </w:t>
      </w:r>
      <w:r>
        <w:rPr>
          <w:color w:val="231F20"/>
          <w:w w:val="105"/>
        </w:rPr>
        <w:t>previa</w:t>
      </w:r>
      <w:r>
        <w:rPr>
          <w:color w:val="231F20"/>
          <w:spacing w:val="-22"/>
          <w:w w:val="105"/>
        </w:rPr>
        <w:t> </w:t>
      </w:r>
      <w:r>
        <w:rPr>
          <w:color w:val="231F20"/>
          <w:w w:val="105"/>
        </w:rPr>
        <w:t>de los</w:t>
      </w:r>
      <w:r>
        <w:rPr>
          <w:color w:val="231F20"/>
          <w:spacing w:val="-6"/>
          <w:w w:val="105"/>
        </w:rPr>
        <w:t> </w:t>
      </w:r>
      <w:r>
        <w:rPr>
          <w:color w:val="231F20"/>
          <w:w w:val="105"/>
        </w:rPr>
        <w:t>temas</w:t>
      </w:r>
      <w:r>
        <w:rPr>
          <w:color w:val="231F20"/>
          <w:spacing w:val="-6"/>
          <w:w w:val="105"/>
        </w:rPr>
        <w:t> </w:t>
      </w:r>
      <w:r>
        <w:rPr>
          <w:color w:val="231F20"/>
          <w:w w:val="105"/>
        </w:rPr>
        <w:t>a</w:t>
      </w:r>
      <w:r>
        <w:rPr>
          <w:color w:val="231F20"/>
          <w:spacing w:val="-6"/>
          <w:w w:val="105"/>
        </w:rPr>
        <w:t> </w:t>
      </w:r>
      <w:r>
        <w:rPr>
          <w:color w:val="231F20"/>
          <w:w w:val="105"/>
        </w:rPr>
        <w:t>discutir,</w:t>
      </w:r>
      <w:r>
        <w:rPr>
          <w:color w:val="231F20"/>
          <w:spacing w:val="-6"/>
          <w:w w:val="105"/>
        </w:rPr>
        <w:t> </w:t>
      </w:r>
      <w:r>
        <w:rPr>
          <w:color w:val="231F20"/>
          <w:w w:val="105"/>
        </w:rPr>
        <w:t>así</w:t>
      </w:r>
      <w:r>
        <w:rPr>
          <w:color w:val="231F20"/>
          <w:spacing w:val="-6"/>
          <w:w w:val="105"/>
        </w:rPr>
        <w:t> </w:t>
      </w:r>
      <w:r>
        <w:rPr>
          <w:color w:val="231F20"/>
          <w:w w:val="105"/>
        </w:rPr>
        <w:t>como</w:t>
      </w:r>
      <w:r>
        <w:rPr>
          <w:color w:val="231F20"/>
          <w:spacing w:val="-6"/>
          <w:w w:val="105"/>
        </w:rPr>
        <w:t> </w:t>
      </w:r>
      <w:r>
        <w:rPr>
          <w:color w:val="231F20"/>
          <w:w w:val="105"/>
        </w:rPr>
        <w:t>por</w:t>
      </w:r>
      <w:r>
        <w:rPr>
          <w:color w:val="231F20"/>
          <w:spacing w:val="-6"/>
          <w:w w:val="105"/>
        </w:rPr>
        <w:t> </w:t>
      </w:r>
      <w:r>
        <w:rPr>
          <w:color w:val="231F20"/>
          <w:w w:val="105"/>
        </w:rPr>
        <w:t>formatos</w:t>
      </w:r>
      <w:r>
        <w:rPr>
          <w:color w:val="231F20"/>
          <w:spacing w:val="-6"/>
          <w:w w:val="105"/>
        </w:rPr>
        <w:t> </w:t>
      </w:r>
      <w:r>
        <w:rPr>
          <w:color w:val="231F20"/>
          <w:w w:val="105"/>
        </w:rPr>
        <w:t>poco</w:t>
      </w:r>
      <w:r>
        <w:rPr>
          <w:color w:val="231F20"/>
          <w:spacing w:val="-6"/>
          <w:w w:val="105"/>
        </w:rPr>
        <w:t> </w:t>
      </w:r>
      <w:r>
        <w:rPr>
          <w:color w:val="231F20"/>
          <w:w w:val="105"/>
        </w:rPr>
        <w:t>claros</w:t>
      </w:r>
      <w:r>
        <w:rPr>
          <w:color w:val="231F20"/>
          <w:spacing w:val="-6"/>
          <w:w w:val="105"/>
        </w:rPr>
        <w:t> </w:t>
      </w:r>
      <w:r>
        <w:rPr>
          <w:color w:val="231F20"/>
          <w:w w:val="105"/>
        </w:rPr>
        <w:t>de</w:t>
      </w:r>
      <w:r>
        <w:rPr>
          <w:color w:val="231F20"/>
          <w:spacing w:val="-6"/>
          <w:w w:val="105"/>
        </w:rPr>
        <w:t> </w:t>
      </w:r>
      <w:r>
        <w:rPr>
          <w:color w:val="231F20"/>
          <w:w w:val="105"/>
        </w:rPr>
        <w:t>participación,</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contri- buyó</w:t>
      </w:r>
      <w:r>
        <w:rPr>
          <w:color w:val="231F20"/>
          <w:spacing w:val="-7"/>
          <w:w w:val="105"/>
        </w:rPr>
        <w:t> </w:t>
      </w:r>
      <w:r>
        <w:rPr>
          <w:color w:val="231F20"/>
          <w:w w:val="105"/>
        </w:rPr>
        <w:t>a</w:t>
      </w:r>
      <w:r>
        <w:rPr>
          <w:color w:val="231F20"/>
          <w:spacing w:val="-7"/>
          <w:w w:val="105"/>
        </w:rPr>
        <w:t> </w:t>
      </w:r>
      <w:r>
        <w:rPr>
          <w:color w:val="231F20"/>
          <w:w w:val="105"/>
        </w:rPr>
        <w:t>elevar</w:t>
      </w:r>
      <w:r>
        <w:rPr>
          <w:color w:val="231F20"/>
          <w:spacing w:val="-7"/>
          <w:w w:val="105"/>
        </w:rPr>
        <w:t> </w:t>
      </w:r>
      <w:r>
        <w:rPr>
          <w:color w:val="231F20"/>
          <w:w w:val="105"/>
        </w:rPr>
        <w:t>la</w:t>
      </w:r>
      <w:r>
        <w:rPr>
          <w:color w:val="231F20"/>
          <w:spacing w:val="-7"/>
          <w:w w:val="105"/>
        </w:rPr>
        <w:t> </w:t>
      </w:r>
      <w:r>
        <w:rPr>
          <w:color w:val="231F20"/>
          <w:w w:val="105"/>
        </w:rPr>
        <w:t>incertidumbre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ciudadanos</w:t>
      </w:r>
      <w:r>
        <w:rPr>
          <w:color w:val="231F20"/>
          <w:spacing w:val="-7"/>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grado</w:t>
      </w:r>
      <w:r>
        <w:rPr>
          <w:color w:val="231F20"/>
          <w:spacing w:val="-7"/>
          <w:w w:val="105"/>
        </w:rPr>
        <w:t> </w:t>
      </w:r>
      <w:r>
        <w:rPr>
          <w:color w:val="231F20"/>
          <w:w w:val="105"/>
        </w:rPr>
        <w:t>de</w:t>
      </w:r>
      <w:r>
        <w:rPr>
          <w:color w:val="231F20"/>
          <w:spacing w:val="-7"/>
          <w:w w:val="105"/>
        </w:rPr>
        <w:t> </w:t>
      </w:r>
      <w:r>
        <w:rPr>
          <w:color w:val="231F20"/>
          <w:w w:val="105"/>
        </w:rPr>
        <w:t>inclusión</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in- tereses</w:t>
      </w:r>
      <w:r>
        <w:rPr>
          <w:color w:val="231F20"/>
          <w:spacing w:val="-13"/>
          <w:w w:val="105"/>
        </w:rPr>
        <w:t> </w:t>
      </w:r>
      <w:r>
        <w:rPr>
          <w:color w:val="231F20"/>
          <w:w w:val="105"/>
        </w:rPr>
        <w:t>y</w:t>
      </w:r>
      <w:r>
        <w:rPr>
          <w:color w:val="231F20"/>
          <w:spacing w:val="-13"/>
          <w:w w:val="105"/>
        </w:rPr>
        <w:t> </w:t>
      </w:r>
      <w:r>
        <w:rPr>
          <w:color w:val="231F20"/>
          <w:w w:val="105"/>
        </w:rPr>
        <w:t>preferencias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elaboración</w:t>
      </w:r>
      <w:r>
        <w:rPr>
          <w:color w:val="231F20"/>
          <w:spacing w:val="-13"/>
          <w:w w:val="105"/>
        </w:rPr>
        <w:t> </w:t>
      </w:r>
      <w:r>
        <w:rPr>
          <w:color w:val="231F20"/>
          <w:w w:val="105"/>
        </w:rPr>
        <w:t>del</w:t>
      </w:r>
      <w:r>
        <w:rPr>
          <w:color w:val="231F20"/>
          <w:spacing w:val="-13"/>
          <w:w w:val="105"/>
        </w:rPr>
        <w:t> </w:t>
      </w:r>
      <w:r>
        <w:rPr>
          <w:color w:val="231F20"/>
          <w:w w:val="105"/>
        </w:rPr>
        <w:t>Plan</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El</w:t>
      </w:r>
      <w:r>
        <w:rPr>
          <w:color w:val="231F20"/>
          <w:spacing w:val="-13"/>
          <w:w w:val="105"/>
        </w:rPr>
        <w:t> </w:t>
      </w:r>
      <w:r>
        <w:rPr>
          <w:color w:val="231F20"/>
          <w:w w:val="105"/>
        </w:rPr>
        <w:t>diseño</w:t>
      </w:r>
      <w:r>
        <w:rPr>
          <w:color w:val="231F20"/>
          <w:spacing w:val="-13"/>
          <w:w w:val="105"/>
        </w:rPr>
        <w:t> </w:t>
      </w:r>
      <w:r>
        <w:rPr>
          <w:color w:val="231F20"/>
          <w:w w:val="105"/>
        </w:rPr>
        <w:t>para</w:t>
      </w:r>
      <w:r>
        <w:rPr>
          <w:color w:val="231F20"/>
          <w:spacing w:val="-13"/>
          <w:w w:val="105"/>
        </w:rPr>
        <w:t> </w:t>
      </w:r>
      <w:r>
        <w:rPr>
          <w:color w:val="231F20"/>
          <w:w w:val="105"/>
        </w:rPr>
        <w:t>fomentar la</w:t>
      </w:r>
      <w:r>
        <w:rPr>
          <w:color w:val="231F20"/>
          <w:spacing w:val="-8"/>
          <w:w w:val="105"/>
        </w:rPr>
        <w:t> </w:t>
      </w:r>
      <w:r>
        <w:rPr>
          <w:color w:val="231F20"/>
          <w:w w:val="105"/>
        </w:rPr>
        <w:t>participación</w:t>
      </w:r>
      <w:r>
        <w:rPr>
          <w:color w:val="231F20"/>
          <w:spacing w:val="-8"/>
          <w:w w:val="105"/>
        </w:rPr>
        <w:t> </w:t>
      </w:r>
      <w:r>
        <w:rPr>
          <w:color w:val="231F20"/>
          <w:w w:val="105"/>
        </w:rPr>
        <w:t>ciudadana</w:t>
      </w:r>
      <w:r>
        <w:rPr>
          <w:color w:val="231F20"/>
          <w:spacing w:val="-8"/>
          <w:w w:val="105"/>
        </w:rPr>
        <w:t> </w:t>
      </w:r>
      <w:r>
        <w:rPr>
          <w:color w:val="231F20"/>
          <w:w w:val="105"/>
        </w:rPr>
        <w:t>fue</w:t>
      </w:r>
      <w:r>
        <w:rPr>
          <w:color w:val="231F20"/>
          <w:spacing w:val="-8"/>
          <w:w w:val="105"/>
        </w:rPr>
        <w:t> </w:t>
      </w:r>
      <w:r>
        <w:rPr>
          <w:color w:val="231F20"/>
          <w:w w:val="105"/>
        </w:rPr>
        <w:t>ambiguo,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vez</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percibió</w:t>
      </w:r>
      <w:r>
        <w:rPr>
          <w:color w:val="231F20"/>
          <w:spacing w:val="-8"/>
          <w:w w:val="105"/>
        </w:rPr>
        <w:t> </w:t>
      </w:r>
      <w:r>
        <w:rPr>
          <w:color w:val="231F20"/>
          <w:w w:val="105"/>
        </w:rPr>
        <w:t>una</w:t>
      </w:r>
      <w:r>
        <w:rPr>
          <w:color w:val="231F20"/>
          <w:spacing w:val="-8"/>
          <w:w w:val="105"/>
        </w:rPr>
        <w:t> </w:t>
      </w:r>
      <w:r>
        <w:rPr>
          <w:color w:val="231F20"/>
          <w:w w:val="105"/>
        </w:rPr>
        <w:t>mayor</w:t>
      </w:r>
      <w:r>
        <w:rPr>
          <w:color w:val="231F20"/>
          <w:spacing w:val="-8"/>
          <w:w w:val="105"/>
        </w:rPr>
        <w:t> </w:t>
      </w:r>
      <w:r>
        <w:rPr>
          <w:color w:val="231F20"/>
          <w:w w:val="105"/>
        </w:rPr>
        <w:t>preocu- pación</w:t>
      </w:r>
      <w:r>
        <w:rPr>
          <w:color w:val="231F20"/>
          <w:spacing w:val="-9"/>
          <w:w w:val="105"/>
        </w:rPr>
        <w:t> </w:t>
      </w:r>
      <w:r>
        <w:rPr>
          <w:color w:val="231F20"/>
          <w:w w:val="105"/>
        </w:rPr>
        <w:t>del</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para</w:t>
      </w:r>
      <w:r>
        <w:rPr>
          <w:color w:val="231F20"/>
          <w:spacing w:val="-9"/>
          <w:w w:val="105"/>
        </w:rPr>
        <w:t> </w:t>
      </w:r>
      <w:r>
        <w:rPr>
          <w:color w:val="231F20"/>
          <w:w w:val="105"/>
        </w:rPr>
        <w:t>incluirla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proceso</w:t>
      </w:r>
      <w:r>
        <w:rPr>
          <w:color w:val="231F20"/>
          <w:spacing w:val="-9"/>
          <w:w w:val="105"/>
        </w:rPr>
        <w:t> </w:t>
      </w:r>
      <w:r>
        <w:rPr>
          <w:color w:val="231F20"/>
          <w:w w:val="105"/>
        </w:rPr>
        <w:t>de</w:t>
      </w:r>
      <w:r>
        <w:rPr>
          <w:color w:val="231F20"/>
          <w:spacing w:val="-9"/>
          <w:w w:val="105"/>
        </w:rPr>
        <w:t> </w:t>
      </w:r>
      <w:r>
        <w:rPr>
          <w:color w:val="231F20"/>
          <w:w w:val="105"/>
        </w:rPr>
        <w:t>elaboración</w:t>
      </w:r>
      <w:r>
        <w:rPr>
          <w:color w:val="231F20"/>
          <w:spacing w:val="-9"/>
          <w:w w:val="105"/>
        </w:rPr>
        <w:t> </w:t>
      </w:r>
      <w:r>
        <w:rPr>
          <w:color w:val="231F20"/>
          <w:w w:val="105"/>
        </w:rPr>
        <w:t>por</w:t>
      </w:r>
      <w:r>
        <w:rPr>
          <w:color w:val="231F20"/>
          <w:spacing w:val="-9"/>
          <w:w w:val="105"/>
        </w:rPr>
        <w:t> </w:t>
      </w:r>
      <w:r>
        <w:rPr>
          <w:color w:val="231F20"/>
          <w:w w:val="105"/>
        </w:rPr>
        <w:t>una</w:t>
      </w:r>
      <w:r>
        <w:rPr>
          <w:color w:val="231F20"/>
          <w:spacing w:val="-9"/>
          <w:w w:val="105"/>
        </w:rPr>
        <w:t> </w:t>
      </w:r>
      <w:r>
        <w:rPr>
          <w:color w:val="231F20"/>
          <w:w w:val="105"/>
        </w:rPr>
        <w:t>vía distinta</w:t>
      </w:r>
      <w:r>
        <w:rPr>
          <w:color w:val="231F20"/>
          <w:spacing w:val="-13"/>
          <w:w w:val="105"/>
        </w:rPr>
        <w:t> </w:t>
      </w:r>
      <w:r>
        <w:rPr>
          <w:color w:val="231F20"/>
          <w:w w:val="105"/>
        </w:rPr>
        <w:t>a</w:t>
      </w:r>
      <w:r>
        <w:rPr>
          <w:color w:val="231F20"/>
          <w:spacing w:val="-13"/>
          <w:w w:val="105"/>
        </w:rPr>
        <w:t> </w:t>
      </w:r>
      <w:r>
        <w:rPr>
          <w:color w:val="231F20"/>
          <w:w w:val="105"/>
        </w:rPr>
        <w:t>aquella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canales</w:t>
      </w:r>
      <w:r>
        <w:rPr>
          <w:color w:val="231F20"/>
          <w:spacing w:val="-13"/>
          <w:w w:val="105"/>
        </w:rPr>
        <w:t> </w:t>
      </w:r>
      <w:r>
        <w:rPr>
          <w:color w:val="231F20"/>
          <w:w w:val="105"/>
        </w:rPr>
        <w:t>establecidos</w:t>
      </w:r>
      <w:r>
        <w:rPr>
          <w:color w:val="231F20"/>
          <w:spacing w:val="-13"/>
          <w:w w:val="105"/>
        </w:rPr>
        <w:t> </w:t>
      </w:r>
      <w:r>
        <w:rPr>
          <w:color w:val="231F20"/>
          <w:w w:val="105"/>
        </w:rPr>
        <w:t>para</w:t>
      </w:r>
      <w:r>
        <w:rPr>
          <w:color w:val="231F20"/>
          <w:spacing w:val="-13"/>
          <w:w w:val="105"/>
        </w:rPr>
        <w:t> </w:t>
      </w:r>
      <w:r>
        <w:rPr>
          <w:color w:val="231F20"/>
          <w:w w:val="105"/>
        </w:rPr>
        <w:t>los</w:t>
      </w:r>
      <w:r>
        <w:rPr>
          <w:color w:val="231F20"/>
          <w:spacing w:val="-13"/>
          <w:w w:val="105"/>
        </w:rPr>
        <w:t> </w:t>
      </w:r>
      <w:r>
        <w:rPr>
          <w:color w:val="231F20"/>
          <w:w w:val="105"/>
        </w:rPr>
        <w:t>foros</w:t>
      </w:r>
      <w:r>
        <w:rPr>
          <w:color w:val="231F20"/>
          <w:spacing w:val="-13"/>
          <w:w w:val="105"/>
        </w:rPr>
        <w:t> </w:t>
      </w:r>
      <w:r>
        <w:rPr>
          <w:color w:val="231F20"/>
          <w:w w:val="105"/>
        </w:rPr>
        <w:t>de</w:t>
      </w:r>
      <w:r>
        <w:rPr>
          <w:color w:val="231F20"/>
          <w:spacing w:val="-13"/>
          <w:w w:val="105"/>
        </w:rPr>
        <w:t> </w:t>
      </w:r>
      <w:r>
        <w:rPr>
          <w:color w:val="231F20"/>
          <w:w w:val="105"/>
        </w:rPr>
        <w:t>consulta</w:t>
      </w:r>
      <w:r>
        <w:rPr>
          <w:color w:val="231F20"/>
          <w:spacing w:val="-13"/>
          <w:w w:val="105"/>
        </w:rPr>
        <w:t> </w:t>
      </w:r>
      <w:r>
        <w:rPr>
          <w:color w:val="231F20"/>
          <w:w w:val="105"/>
        </w:rPr>
        <w:t>programados.</w:t>
      </w:r>
    </w:p>
    <w:p>
      <w:pPr>
        <w:pStyle w:val="BodyText"/>
        <w:spacing w:before="1"/>
        <w:rPr>
          <w:sz w:val="26"/>
        </w:rPr>
      </w:pPr>
    </w:p>
    <w:p>
      <w:pPr>
        <w:pStyle w:val="BodyText"/>
        <w:spacing w:line="283" w:lineRule="auto"/>
        <w:ind w:left="110" w:right="107"/>
        <w:jc w:val="both"/>
      </w:pPr>
      <w:r>
        <w:rPr>
          <w:color w:val="231F20"/>
          <w:w w:val="105"/>
        </w:rPr>
        <w:t>Para</w:t>
      </w:r>
      <w:r>
        <w:rPr>
          <w:color w:val="231F20"/>
          <w:spacing w:val="-8"/>
          <w:w w:val="105"/>
        </w:rPr>
        <w:t> </w:t>
      </w:r>
      <w:r>
        <w:rPr>
          <w:color w:val="231F20"/>
          <w:w w:val="105"/>
        </w:rPr>
        <w:t>observar</w:t>
      </w:r>
      <w:r>
        <w:rPr>
          <w:color w:val="231F20"/>
          <w:spacing w:val="-8"/>
          <w:w w:val="105"/>
        </w:rPr>
        <w:t> </w:t>
      </w:r>
      <w:r>
        <w:rPr>
          <w:color w:val="231F20"/>
          <w:w w:val="105"/>
        </w:rPr>
        <w:t>las</w:t>
      </w:r>
      <w:r>
        <w:rPr>
          <w:color w:val="231F20"/>
          <w:spacing w:val="-8"/>
          <w:w w:val="105"/>
        </w:rPr>
        <w:t> </w:t>
      </w:r>
      <w:r>
        <w:rPr>
          <w:color w:val="231F20"/>
          <w:w w:val="105"/>
        </w:rPr>
        <w:t>disposiciones</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descentralización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toma</w:t>
      </w:r>
      <w:r>
        <w:rPr>
          <w:color w:val="231F20"/>
          <w:spacing w:val="-8"/>
          <w:w w:val="105"/>
        </w:rPr>
        <w:t> </w:t>
      </w:r>
      <w:r>
        <w:rPr>
          <w:color w:val="231F20"/>
          <w:w w:val="105"/>
        </w:rPr>
        <w:t>de</w:t>
      </w:r>
      <w:r>
        <w:rPr>
          <w:color w:val="231F20"/>
          <w:spacing w:val="-8"/>
          <w:w w:val="105"/>
        </w:rPr>
        <w:t> </w:t>
      </w:r>
      <w:r>
        <w:rPr>
          <w:color w:val="231F20"/>
          <w:w w:val="105"/>
        </w:rPr>
        <w:t>decisiones</w:t>
      </w:r>
      <w:r>
        <w:rPr>
          <w:color w:val="231F20"/>
          <w:spacing w:val="-8"/>
          <w:w w:val="105"/>
        </w:rPr>
        <w:t> </w:t>
      </w:r>
      <w:r>
        <w:rPr>
          <w:color w:val="231F20"/>
          <w:w w:val="105"/>
        </w:rPr>
        <w:t>durante dicha</w:t>
      </w:r>
      <w:r>
        <w:rPr>
          <w:color w:val="231F20"/>
          <w:spacing w:val="-15"/>
          <w:w w:val="105"/>
        </w:rPr>
        <w:t> </w:t>
      </w:r>
      <w:r>
        <w:rPr>
          <w:color w:val="231F20"/>
          <w:w w:val="105"/>
        </w:rPr>
        <w:t>gestión</w:t>
      </w:r>
      <w:r>
        <w:rPr>
          <w:color w:val="231F20"/>
          <w:spacing w:val="-15"/>
          <w:w w:val="105"/>
        </w:rPr>
        <w:t> </w:t>
      </w:r>
      <w:r>
        <w:rPr>
          <w:color w:val="231F20"/>
          <w:w w:val="105"/>
        </w:rPr>
        <w:t>observé</w:t>
      </w:r>
      <w:r>
        <w:rPr>
          <w:color w:val="231F20"/>
          <w:spacing w:val="-15"/>
          <w:w w:val="105"/>
        </w:rPr>
        <w:t> </w:t>
      </w:r>
      <w:r>
        <w:rPr>
          <w:color w:val="231F20"/>
          <w:w w:val="105"/>
        </w:rPr>
        <w:t>con</w:t>
      </w:r>
      <w:r>
        <w:rPr>
          <w:color w:val="231F20"/>
          <w:spacing w:val="-15"/>
          <w:w w:val="105"/>
        </w:rPr>
        <w:t> </w:t>
      </w:r>
      <w:r>
        <w:rPr>
          <w:color w:val="231F20"/>
          <w:w w:val="105"/>
        </w:rPr>
        <w:t>mayor</w:t>
      </w:r>
      <w:r>
        <w:rPr>
          <w:color w:val="231F20"/>
          <w:spacing w:val="-15"/>
          <w:w w:val="105"/>
        </w:rPr>
        <w:t> </w:t>
      </w:r>
      <w:r>
        <w:rPr>
          <w:color w:val="231F20"/>
          <w:w w:val="105"/>
        </w:rPr>
        <w:t>detenimiento</w:t>
      </w:r>
      <w:r>
        <w:rPr>
          <w:color w:val="231F20"/>
          <w:spacing w:val="-15"/>
          <w:w w:val="105"/>
        </w:rPr>
        <w:t> </w:t>
      </w:r>
      <w:r>
        <w:rPr>
          <w:color w:val="231F20"/>
          <w:w w:val="105"/>
        </w:rPr>
        <w:t>los</w:t>
      </w:r>
      <w:r>
        <w:rPr>
          <w:color w:val="231F20"/>
          <w:spacing w:val="-15"/>
          <w:w w:val="105"/>
        </w:rPr>
        <w:t> </w:t>
      </w:r>
      <w:r>
        <w:rPr>
          <w:color w:val="231F20"/>
          <w:w w:val="105"/>
        </w:rPr>
        <w:t>cambios</w:t>
      </w:r>
      <w:r>
        <w:rPr>
          <w:color w:val="231F20"/>
          <w:spacing w:val="-15"/>
          <w:w w:val="105"/>
        </w:rPr>
        <w:t> </w:t>
      </w:r>
      <w:r>
        <w:rPr>
          <w:color w:val="231F20"/>
          <w:w w:val="105"/>
        </w:rPr>
        <w:t>realizados</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estructura</w:t>
      </w:r>
      <w:r>
        <w:rPr>
          <w:color w:val="231F20"/>
          <w:spacing w:val="-15"/>
          <w:w w:val="105"/>
        </w:rPr>
        <w:t> </w:t>
      </w:r>
      <w:r>
        <w:rPr>
          <w:color w:val="231F20"/>
          <w:w w:val="105"/>
        </w:rPr>
        <w:t>de la</w:t>
      </w:r>
      <w:r>
        <w:rPr>
          <w:color w:val="231F20"/>
          <w:spacing w:val="-15"/>
          <w:w w:val="105"/>
        </w:rPr>
        <w:t> </w:t>
      </w:r>
      <w:r>
        <w:rPr>
          <w:color w:val="231F20"/>
          <w:w w:val="105"/>
        </w:rPr>
        <w:t>APM</w:t>
      </w:r>
      <w:r>
        <w:rPr>
          <w:color w:val="231F20"/>
          <w:spacing w:val="-15"/>
          <w:w w:val="105"/>
        </w:rPr>
        <w:t> </w:t>
      </w:r>
      <w:r>
        <w:rPr>
          <w:color w:val="231F20"/>
          <w:w w:val="105"/>
        </w:rPr>
        <w:t>entre</w:t>
      </w:r>
      <w:r>
        <w:rPr>
          <w:color w:val="231F20"/>
          <w:spacing w:val="-15"/>
          <w:w w:val="105"/>
        </w:rPr>
        <w:t> </w:t>
      </w:r>
      <w:r>
        <w:rPr>
          <w:color w:val="231F20"/>
          <w:spacing w:val="3"/>
          <w:w w:val="105"/>
        </w:rPr>
        <w:t>2006</w:t>
      </w:r>
      <w:r>
        <w:rPr>
          <w:color w:val="231F20"/>
          <w:spacing w:val="-15"/>
          <w:w w:val="105"/>
        </w:rPr>
        <w:t> </w:t>
      </w:r>
      <w:r>
        <w:rPr>
          <w:color w:val="231F20"/>
          <w:w w:val="105"/>
        </w:rPr>
        <w:t>y</w:t>
      </w:r>
      <w:r>
        <w:rPr>
          <w:color w:val="231F20"/>
          <w:spacing w:val="-15"/>
          <w:w w:val="105"/>
        </w:rPr>
        <w:t> </w:t>
      </w:r>
      <w:r>
        <w:rPr>
          <w:color w:val="231F20"/>
          <w:w w:val="105"/>
        </w:rPr>
        <w:t>2009</w:t>
      </w:r>
      <w:r>
        <w:rPr>
          <w:color w:val="231F20"/>
          <w:w w:val="105"/>
          <w:position w:val="7"/>
          <w:sz w:val="13"/>
        </w:rPr>
        <w:t>38</w:t>
      </w:r>
      <w:r>
        <w:rPr>
          <w:color w:val="231F20"/>
          <w:w w:val="105"/>
        </w:rPr>
        <w:t>,</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registraron,</w:t>
      </w:r>
      <w:r>
        <w:rPr>
          <w:color w:val="231F20"/>
          <w:spacing w:val="-15"/>
          <w:w w:val="105"/>
        </w:rPr>
        <w:t> </w:t>
      </w:r>
      <w:r>
        <w:rPr>
          <w:color w:val="231F20"/>
          <w:w w:val="105"/>
        </w:rPr>
        <w:t>de</w:t>
      </w:r>
      <w:r>
        <w:rPr>
          <w:color w:val="231F20"/>
          <w:spacing w:val="-15"/>
          <w:w w:val="105"/>
        </w:rPr>
        <w:t> </w:t>
      </w:r>
      <w:r>
        <w:rPr>
          <w:color w:val="231F20"/>
          <w:w w:val="105"/>
        </w:rPr>
        <w:t>manera</w:t>
      </w:r>
      <w:r>
        <w:rPr>
          <w:color w:val="231F20"/>
          <w:spacing w:val="-15"/>
          <w:w w:val="105"/>
        </w:rPr>
        <w:t> </w:t>
      </w:r>
      <w:r>
        <w:rPr>
          <w:color w:val="231F20"/>
          <w:w w:val="105"/>
        </w:rPr>
        <w:t>agregada,</w:t>
      </w:r>
      <w:r>
        <w:rPr>
          <w:color w:val="231F20"/>
          <w:spacing w:val="-15"/>
          <w:w w:val="105"/>
        </w:rPr>
        <w:t> </w:t>
      </w:r>
      <w:r>
        <w:rPr>
          <w:color w:val="231F20"/>
          <w:w w:val="105"/>
        </w:rPr>
        <w:t>68</w:t>
      </w:r>
      <w:r>
        <w:rPr>
          <w:color w:val="231F20"/>
          <w:spacing w:val="-15"/>
          <w:w w:val="105"/>
        </w:rPr>
        <w:t> </w:t>
      </w:r>
      <w:r>
        <w:rPr>
          <w:color w:val="231F20"/>
          <w:w w:val="105"/>
        </w:rPr>
        <w:t>modifica- ciones</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dependencias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w w:val="105"/>
        </w:rPr>
        <w:t>pública</w:t>
      </w:r>
      <w:r>
        <w:rPr>
          <w:color w:val="231F20"/>
          <w:spacing w:val="-14"/>
          <w:w w:val="105"/>
        </w:rPr>
        <w:t> </w:t>
      </w:r>
      <w:r>
        <w:rPr>
          <w:color w:val="231F20"/>
          <w:w w:val="105"/>
        </w:rPr>
        <w:t>centralizada.</w:t>
      </w:r>
    </w:p>
    <w:p>
      <w:pPr>
        <w:pStyle w:val="BodyText"/>
        <w:spacing w:before="10"/>
        <w:rPr>
          <w:sz w:val="13"/>
        </w:rPr>
      </w:pPr>
      <w:r>
        <w:rPr/>
        <w:pict>
          <v:line style="position:absolute;mso-position-horizontal-relative:page;mso-position-vertical-relative:paragraph;z-index:6016;mso-wrap-distance-left:0;mso-wrap-distance-right:0" from="42.519699pt,10.4235pt" to="114.519699pt,10.4235pt" stroked="true" strokeweight="1pt" strokecolor="#231f20">
            <w10:wrap type="topAndBottom"/>
          </v:line>
        </w:pict>
      </w:r>
    </w:p>
    <w:p>
      <w:pPr>
        <w:pStyle w:val="ListParagraph"/>
        <w:numPr>
          <w:ilvl w:val="0"/>
          <w:numId w:val="4"/>
        </w:numPr>
        <w:tabs>
          <w:tab w:pos="298" w:val="left" w:leader="none"/>
        </w:tabs>
        <w:spacing w:line="244" w:lineRule="auto" w:before="8" w:after="0"/>
        <w:ind w:left="110" w:right="108" w:firstLine="0"/>
        <w:jc w:val="both"/>
        <w:rPr>
          <w:sz w:val="16"/>
        </w:rPr>
      </w:pPr>
      <w:r>
        <w:rPr>
          <w:color w:val="231F20"/>
          <w:sz w:val="16"/>
        </w:rPr>
        <w:t>Las</w:t>
      </w:r>
      <w:r>
        <w:rPr>
          <w:color w:val="231F20"/>
          <w:spacing w:val="-7"/>
          <w:sz w:val="16"/>
        </w:rPr>
        <w:t> </w:t>
      </w:r>
      <w:r>
        <w:rPr>
          <w:color w:val="231F20"/>
          <w:sz w:val="16"/>
        </w:rPr>
        <w:t>fases</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elaboración</w:t>
      </w:r>
      <w:r>
        <w:rPr>
          <w:color w:val="231F20"/>
          <w:spacing w:val="-7"/>
          <w:sz w:val="16"/>
        </w:rPr>
        <w:t> </w:t>
      </w:r>
      <w:r>
        <w:rPr>
          <w:color w:val="231F20"/>
          <w:sz w:val="16"/>
        </w:rPr>
        <w:t>y</w:t>
      </w:r>
      <w:r>
        <w:rPr>
          <w:color w:val="231F20"/>
          <w:spacing w:val="-7"/>
          <w:sz w:val="16"/>
        </w:rPr>
        <w:t> </w:t>
      </w:r>
      <w:r>
        <w:rPr>
          <w:color w:val="231F20"/>
          <w:sz w:val="16"/>
        </w:rPr>
        <w:t>análisis</w:t>
      </w:r>
      <w:r>
        <w:rPr>
          <w:color w:val="231F20"/>
          <w:spacing w:val="-7"/>
          <w:sz w:val="16"/>
        </w:rPr>
        <w:t> </w:t>
      </w:r>
      <w:r>
        <w:rPr>
          <w:color w:val="231F20"/>
          <w:sz w:val="16"/>
        </w:rPr>
        <w:t>del</w:t>
      </w:r>
      <w:r>
        <w:rPr>
          <w:color w:val="231F20"/>
          <w:spacing w:val="-7"/>
          <w:sz w:val="16"/>
        </w:rPr>
        <w:t> </w:t>
      </w:r>
      <w:r>
        <w:rPr>
          <w:color w:val="231F20"/>
          <w:sz w:val="16"/>
        </w:rPr>
        <w:t>Plan</w:t>
      </w:r>
      <w:r>
        <w:rPr>
          <w:color w:val="231F20"/>
          <w:spacing w:val="-7"/>
          <w:sz w:val="16"/>
        </w:rPr>
        <w:t> </w:t>
      </w:r>
      <w:r>
        <w:rPr>
          <w:color w:val="231F20"/>
          <w:sz w:val="16"/>
        </w:rPr>
        <w:t>de</w:t>
      </w:r>
      <w:r>
        <w:rPr>
          <w:color w:val="231F20"/>
          <w:spacing w:val="-7"/>
          <w:sz w:val="16"/>
        </w:rPr>
        <w:t> </w:t>
      </w:r>
      <w:r>
        <w:rPr>
          <w:color w:val="231F20"/>
          <w:sz w:val="16"/>
        </w:rPr>
        <w:t>Desarrollo</w:t>
      </w:r>
      <w:r>
        <w:rPr>
          <w:color w:val="231F20"/>
          <w:spacing w:val="-7"/>
          <w:sz w:val="16"/>
        </w:rPr>
        <w:t> </w:t>
      </w:r>
      <w:r>
        <w:rPr>
          <w:color w:val="231F20"/>
          <w:sz w:val="16"/>
        </w:rPr>
        <w:t>Municipal,</w:t>
      </w:r>
      <w:r>
        <w:rPr>
          <w:color w:val="231F20"/>
          <w:spacing w:val="-7"/>
          <w:sz w:val="16"/>
        </w:rPr>
        <w:t> </w:t>
      </w:r>
      <w:r>
        <w:rPr>
          <w:color w:val="231F20"/>
          <w:sz w:val="16"/>
        </w:rPr>
        <w:t>2006-2009</w:t>
      </w:r>
      <w:r>
        <w:rPr>
          <w:color w:val="231F20"/>
          <w:spacing w:val="-7"/>
          <w:sz w:val="16"/>
        </w:rPr>
        <w:t> </w:t>
      </w:r>
      <w:r>
        <w:rPr>
          <w:color w:val="231F20"/>
          <w:sz w:val="16"/>
        </w:rPr>
        <w:t>fueron</w:t>
      </w:r>
      <w:r>
        <w:rPr>
          <w:color w:val="231F20"/>
          <w:spacing w:val="-7"/>
          <w:sz w:val="16"/>
        </w:rPr>
        <w:t> </w:t>
      </w:r>
      <w:r>
        <w:rPr>
          <w:color w:val="231F20"/>
          <w:sz w:val="16"/>
        </w:rPr>
        <w:t>consultadas</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página</w:t>
      </w:r>
      <w:r>
        <w:rPr>
          <w:color w:val="231F20"/>
          <w:spacing w:val="-7"/>
          <w:sz w:val="16"/>
        </w:rPr>
        <w:t> </w:t>
      </w:r>
      <w:r>
        <w:rPr>
          <w:color w:val="231F20"/>
          <w:sz w:val="16"/>
        </w:rPr>
        <w:t>del</w:t>
      </w:r>
      <w:r>
        <w:rPr>
          <w:color w:val="231F20"/>
          <w:spacing w:val="-7"/>
          <w:sz w:val="16"/>
        </w:rPr>
        <w:t> </w:t>
      </w:r>
      <w:r>
        <w:rPr>
          <w:color w:val="231F20"/>
          <w:sz w:val="16"/>
        </w:rPr>
        <w:t>go- bierno</w:t>
      </w:r>
      <w:r>
        <w:rPr>
          <w:color w:val="231F20"/>
          <w:spacing w:val="-18"/>
          <w:sz w:val="16"/>
        </w:rPr>
        <w:t> </w:t>
      </w:r>
      <w:r>
        <w:rPr>
          <w:color w:val="231F20"/>
          <w:sz w:val="16"/>
        </w:rPr>
        <w:t>municipal</w:t>
      </w:r>
      <w:r>
        <w:rPr>
          <w:color w:val="231F20"/>
          <w:spacing w:val="-18"/>
          <w:sz w:val="16"/>
        </w:rPr>
        <w:t> </w:t>
      </w:r>
      <w:r>
        <w:rPr>
          <w:color w:val="231F20"/>
          <w:sz w:val="16"/>
        </w:rPr>
        <w:t>(</w:t>
      </w:r>
      <w:hyperlink r:id="rId129">
        <w:r>
          <w:rPr>
            <w:color w:val="231F20"/>
            <w:sz w:val="16"/>
          </w:rPr>
          <w:t>www.huixquilucan.gob.mx,</w:t>
        </w:r>
      </w:hyperlink>
      <w:r>
        <w:rPr>
          <w:color w:val="231F20"/>
          <w:spacing w:val="-18"/>
          <w:sz w:val="16"/>
        </w:rPr>
        <w:t> </w:t>
      </w:r>
      <w:r>
        <w:rPr>
          <w:color w:val="231F20"/>
          <w:sz w:val="16"/>
        </w:rPr>
        <w:t>y</w:t>
      </w:r>
      <w:r>
        <w:rPr>
          <w:color w:val="231F20"/>
          <w:spacing w:val="-18"/>
          <w:sz w:val="16"/>
        </w:rPr>
        <w:t> </w:t>
      </w:r>
      <w:r>
        <w:rPr>
          <w:color w:val="231F20"/>
          <w:sz w:val="16"/>
        </w:rPr>
        <w:t>sobre</w:t>
      </w:r>
      <w:r>
        <w:rPr>
          <w:color w:val="231F20"/>
          <w:spacing w:val="-18"/>
          <w:sz w:val="16"/>
        </w:rPr>
        <w:t> </w:t>
      </w:r>
      <w:r>
        <w:rPr>
          <w:color w:val="231F20"/>
          <w:sz w:val="16"/>
        </w:rPr>
        <w:t>el</w:t>
      </w:r>
      <w:r>
        <w:rPr>
          <w:color w:val="231F20"/>
          <w:spacing w:val="-18"/>
          <w:sz w:val="16"/>
        </w:rPr>
        <w:t> </w:t>
      </w:r>
      <w:r>
        <w:rPr>
          <w:color w:val="231F20"/>
          <w:sz w:val="16"/>
        </w:rPr>
        <w:t>plan</w:t>
      </w:r>
      <w:r>
        <w:rPr>
          <w:color w:val="231F20"/>
          <w:spacing w:val="-18"/>
          <w:sz w:val="16"/>
        </w:rPr>
        <w:t> </w:t>
      </w:r>
      <w:r>
        <w:rPr>
          <w:color w:val="231F20"/>
          <w:sz w:val="16"/>
        </w:rPr>
        <w:t>de</w:t>
      </w:r>
      <w:r>
        <w:rPr>
          <w:color w:val="231F20"/>
          <w:spacing w:val="-18"/>
          <w:sz w:val="16"/>
        </w:rPr>
        <w:t> </w:t>
      </w:r>
      <w:r>
        <w:rPr>
          <w:color w:val="231F20"/>
          <w:sz w:val="16"/>
        </w:rPr>
        <w:t>desarrollo</w:t>
      </w:r>
      <w:r>
        <w:rPr>
          <w:color w:val="231F20"/>
          <w:spacing w:val="-18"/>
          <w:sz w:val="16"/>
        </w:rPr>
        <w:t> </w:t>
      </w:r>
      <w:r>
        <w:rPr>
          <w:color w:val="231F20"/>
          <w:sz w:val="16"/>
        </w:rPr>
        <w:t>en</w:t>
      </w:r>
      <w:r>
        <w:rPr>
          <w:color w:val="231F20"/>
          <w:spacing w:val="-18"/>
          <w:sz w:val="16"/>
        </w:rPr>
        <w:t> </w:t>
      </w:r>
      <w:hyperlink r:id="rId130">
        <w:r>
          <w:rPr>
            <w:color w:val="231F20"/>
            <w:sz w:val="16"/>
          </w:rPr>
          <w:t>http://200.66.90.178/index.php?option=com_</w:t>
        </w:r>
      </w:hyperlink>
      <w:r>
        <w:rPr>
          <w:color w:val="231F20"/>
          <w:sz w:val="16"/>
        </w:rPr>
        <w:t> content&amp;task=view&amp;id=111&amp;Itemid=66).</w:t>
      </w:r>
    </w:p>
    <w:p>
      <w:pPr>
        <w:pStyle w:val="ListParagraph"/>
        <w:numPr>
          <w:ilvl w:val="0"/>
          <w:numId w:val="4"/>
        </w:numPr>
        <w:tabs>
          <w:tab w:pos="339" w:val="left" w:leader="none"/>
        </w:tabs>
        <w:spacing w:line="244" w:lineRule="auto" w:before="0" w:after="0"/>
        <w:ind w:left="110" w:right="108" w:firstLine="0"/>
        <w:jc w:val="both"/>
        <w:rPr>
          <w:sz w:val="16"/>
        </w:rPr>
      </w:pPr>
      <w:r>
        <w:rPr>
          <w:color w:val="231F20"/>
          <w:sz w:val="16"/>
        </w:rPr>
        <w:t>Aquí</w:t>
      </w:r>
      <w:r>
        <w:rPr>
          <w:color w:val="231F20"/>
          <w:spacing w:val="-6"/>
          <w:sz w:val="16"/>
        </w:rPr>
        <w:t> </w:t>
      </w:r>
      <w:r>
        <w:rPr>
          <w:color w:val="231F20"/>
          <w:sz w:val="16"/>
        </w:rPr>
        <w:t>se</w:t>
      </w:r>
      <w:r>
        <w:rPr>
          <w:color w:val="231F20"/>
          <w:spacing w:val="-6"/>
          <w:sz w:val="16"/>
        </w:rPr>
        <w:t> </w:t>
      </w:r>
      <w:r>
        <w:rPr>
          <w:color w:val="231F20"/>
          <w:sz w:val="16"/>
        </w:rPr>
        <w:t>recurrió</w:t>
      </w:r>
      <w:r>
        <w:rPr>
          <w:color w:val="231F20"/>
          <w:spacing w:val="-6"/>
          <w:sz w:val="16"/>
        </w:rPr>
        <w:t> </w:t>
      </w:r>
      <w:r>
        <w:rPr>
          <w:color w:val="231F20"/>
          <w:sz w:val="16"/>
        </w:rPr>
        <w:t>a</w:t>
      </w:r>
      <w:r>
        <w:rPr>
          <w:color w:val="231F20"/>
          <w:spacing w:val="-6"/>
          <w:sz w:val="16"/>
        </w:rPr>
        <w:t> </w:t>
      </w:r>
      <w:r>
        <w:rPr>
          <w:color w:val="231F20"/>
          <w:sz w:val="16"/>
        </w:rPr>
        <w:t>la</w:t>
      </w:r>
      <w:r>
        <w:rPr>
          <w:color w:val="231F20"/>
          <w:spacing w:val="-6"/>
          <w:sz w:val="16"/>
        </w:rPr>
        <w:t> </w:t>
      </w:r>
      <w:r>
        <w:rPr>
          <w:color w:val="231F20"/>
          <w:sz w:val="16"/>
        </w:rPr>
        <w:t>comparación</w:t>
      </w:r>
      <w:r>
        <w:rPr>
          <w:color w:val="231F20"/>
          <w:spacing w:val="-6"/>
          <w:sz w:val="16"/>
        </w:rPr>
        <w:t> </w:t>
      </w:r>
      <w:r>
        <w:rPr>
          <w:color w:val="231F20"/>
          <w:sz w:val="16"/>
        </w:rPr>
        <w:t>del</w:t>
      </w:r>
      <w:r>
        <w:rPr>
          <w:color w:val="231F20"/>
          <w:spacing w:val="-6"/>
          <w:sz w:val="16"/>
        </w:rPr>
        <w:t> </w:t>
      </w:r>
      <w:r>
        <w:rPr>
          <w:color w:val="231F20"/>
          <w:sz w:val="16"/>
        </w:rPr>
        <w:t>Reglamento</w:t>
      </w:r>
      <w:r>
        <w:rPr>
          <w:color w:val="231F20"/>
          <w:spacing w:val="-6"/>
          <w:sz w:val="16"/>
        </w:rPr>
        <w:t> </w:t>
      </w:r>
      <w:r>
        <w:rPr>
          <w:color w:val="231F20"/>
          <w:sz w:val="16"/>
        </w:rPr>
        <w:t>Orgánico</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Administración</w:t>
      </w:r>
      <w:r>
        <w:rPr>
          <w:color w:val="231F20"/>
          <w:spacing w:val="-6"/>
          <w:sz w:val="16"/>
        </w:rPr>
        <w:t> </w:t>
      </w:r>
      <w:r>
        <w:rPr>
          <w:color w:val="231F20"/>
          <w:sz w:val="16"/>
        </w:rPr>
        <w:t>Pública</w:t>
      </w:r>
      <w:r>
        <w:rPr>
          <w:color w:val="231F20"/>
          <w:spacing w:val="-6"/>
          <w:sz w:val="16"/>
        </w:rPr>
        <w:t> </w:t>
      </w:r>
      <w:r>
        <w:rPr>
          <w:color w:val="231F20"/>
          <w:sz w:val="16"/>
        </w:rPr>
        <w:t>Municipal</w:t>
      </w:r>
      <w:r>
        <w:rPr>
          <w:color w:val="231F20"/>
          <w:spacing w:val="-6"/>
          <w:sz w:val="16"/>
        </w:rPr>
        <w:t> </w:t>
      </w:r>
      <w:r>
        <w:rPr>
          <w:color w:val="231F20"/>
          <w:sz w:val="16"/>
        </w:rPr>
        <w:t>de</w:t>
      </w:r>
      <w:r>
        <w:rPr>
          <w:color w:val="231F20"/>
          <w:spacing w:val="-6"/>
          <w:sz w:val="16"/>
        </w:rPr>
        <w:t> </w:t>
      </w:r>
      <w:r>
        <w:rPr>
          <w:color w:val="231F20"/>
          <w:sz w:val="16"/>
        </w:rPr>
        <w:t>Huixquilucan,</w:t>
      </w:r>
      <w:r>
        <w:rPr>
          <w:color w:val="231F20"/>
          <w:spacing w:val="-6"/>
          <w:sz w:val="16"/>
        </w:rPr>
        <w:t> </w:t>
      </w:r>
      <w:r>
        <w:rPr>
          <w:color w:val="231F20"/>
          <w:sz w:val="16"/>
        </w:rPr>
        <w:t>Es- tado</w:t>
      </w:r>
      <w:r>
        <w:rPr>
          <w:color w:val="231F20"/>
          <w:spacing w:val="-11"/>
          <w:sz w:val="16"/>
        </w:rPr>
        <w:t> </w:t>
      </w:r>
      <w:r>
        <w:rPr>
          <w:color w:val="231F20"/>
          <w:sz w:val="16"/>
        </w:rPr>
        <w:t>de</w:t>
      </w:r>
      <w:r>
        <w:rPr>
          <w:color w:val="231F20"/>
          <w:spacing w:val="-11"/>
          <w:sz w:val="16"/>
        </w:rPr>
        <w:t> </w:t>
      </w:r>
      <w:r>
        <w:rPr>
          <w:color w:val="231F20"/>
          <w:sz w:val="16"/>
        </w:rPr>
        <w:t>México,</w:t>
      </w:r>
      <w:r>
        <w:rPr>
          <w:color w:val="231F20"/>
          <w:spacing w:val="-11"/>
          <w:sz w:val="16"/>
        </w:rPr>
        <w:t> </w:t>
      </w:r>
      <w:r>
        <w:rPr>
          <w:color w:val="231F20"/>
          <w:sz w:val="16"/>
        </w:rPr>
        <w:t>publicados</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año</w:t>
      </w:r>
      <w:r>
        <w:rPr>
          <w:color w:val="231F20"/>
          <w:spacing w:val="-11"/>
          <w:sz w:val="16"/>
        </w:rPr>
        <w:t> </w:t>
      </w:r>
      <w:r>
        <w:rPr>
          <w:color w:val="231F20"/>
          <w:sz w:val="16"/>
        </w:rPr>
        <w:t>2006</w:t>
      </w:r>
      <w:r>
        <w:rPr>
          <w:color w:val="231F20"/>
          <w:spacing w:val="-11"/>
          <w:sz w:val="16"/>
        </w:rPr>
        <w:t> </w:t>
      </w:r>
      <w:r>
        <w:rPr>
          <w:color w:val="231F20"/>
          <w:sz w:val="16"/>
        </w:rPr>
        <w:t>y</w:t>
      </w:r>
      <w:r>
        <w:rPr>
          <w:color w:val="231F20"/>
          <w:spacing w:val="-11"/>
          <w:sz w:val="16"/>
        </w:rPr>
        <w:t> </w:t>
      </w:r>
      <w:r>
        <w:rPr>
          <w:color w:val="231F20"/>
          <w:sz w:val="16"/>
        </w:rPr>
        <w:t>reformado</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2008.</w:t>
      </w:r>
      <w:r>
        <w:rPr>
          <w:color w:val="231F20"/>
          <w:spacing w:val="-11"/>
          <w:sz w:val="16"/>
        </w:rPr>
        <w:t> </w:t>
      </w:r>
      <w:r>
        <w:rPr>
          <w:color w:val="231F20"/>
          <w:sz w:val="16"/>
        </w:rPr>
        <w:t>Ambos</w:t>
      </w:r>
      <w:r>
        <w:rPr>
          <w:color w:val="231F20"/>
          <w:spacing w:val="-11"/>
          <w:sz w:val="16"/>
        </w:rPr>
        <w:t> </w:t>
      </w:r>
      <w:r>
        <w:rPr>
          <w:color w:val="231F20"/>
          <w:sz w:val="16"/>
        </w:rPr>
        <w:t>fueron</w:t>
      </w:r>
      <w:r>
        <w:rPr>
          <w:color w:val="231F20"/>
          <w:spacing w:val="-11"/>
          <w:sz w:val="16"/>
        </w:rPr>
        <w:t> </w:t>
      </w:r>
      <w:r>
        <w:rPr>
          <w:color w:val="231F20"/>
          <w:sz w:val="16"/>
        </w:rPr>
        <w:t>elaborados</w:t>
      </w:r>
      <w:r>
        <w:rPr>
          <w:color w:val="231F20"/>
          <w:spacing w:val="-11"/>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misma</w:t>
      </w:r>
      <w:r>
        <w:rPr>
          <w:color w:val="231F20"/>
          <w:spacing w:val="-11"/>
          <w:sz w:val="16"/>
        </w:rPr>
        <w:t> </w:t>
      </w:r>
      <w:r>
        <w:rPr>
          <w:color w:val="231F20"/>
          <w:sz w:val="16"/>
        </w:rPr>
        <w:t>gestión</w:t>
      </w:r>
      <w:r>
        <w:rPr>
          <w:color w:val="231F20"/>
          <w:spacing w:val="-11"/>
          <w:sz w:val="16"/>
        </w:rPr>
        <w:t> </w:t>
      </w:r>
      <w:r>
        <w:rPr>
          <w:color w:val="231F20"/>
          <w:sz w:val="16"/>
        </w:rPr>
        <w:t>municipal 2006-2009.</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rPr>
        <w:t>Las unidades con los mayores niveles de modificaciones fueron: </w:t>
      </w:r>
      <w:r>
        <w:rPr>
          <w:color w:val="231F20"/>
          <w:spacing w:val="-4"/>
        </w:rPr>
        <w:t>a) </w:t>
      </w:r>
      <w:r>
        <w:rPr>
          <w:color w:val="231F20"/>
        </w:rPr>
        <w:t>la Dirección General de Seguridad Pública y Tránsito </w:t>
      </w:r>
      <w:r>
        <w:rPr>
          <w:color w:val="231F20"/>
          <w:spacing w:val="-4"/>
        </w:rPr>
        <w:t>(con </w:t>
      </w:r>
      <w:r>
        <w:rPr>
          <w:color w:val="231F20"/>
          <w:spacing w:val="-5"/>
        </w:rPr>
        <w:t>18 </w:t>
      </w:r>
      <w:r>
        <w:rPr>
          <w:color w:val="231F20"/>
        </w:rPr>
        <w:t>cambios); </w:t>
      </w:r>
      <w:r>
        <w:rPr>
          <w:color w:val="231F20"/>
          <w:spacing w:val="-6"/>
        </w:rPr>
        <w:t>b) </w:t>
      </w:r>
      <w:r>
        <w:rPr>
          <w:color w:val="231F20"/>
        </w:rPr>
        <w:t>la Dirección General de Servicios Públicos </w:t>
      </w:r>
      <w:r>
        <w:rPr>
          <w:color w:val="231F20"/>
          <w:spacing w:val="-4"/>
        </w:rPr>
        <w:t>(con 13); </w:t>
      </w:r>
      <w:r>
        <w:rPr>
          <w:color w:val="231F20"/>
          <w:spacing w:val="-6"/>
        </w:rPr>
        <w:t>c) </w:t>
      </w:r>
      <w:r>
        <w:rPr>
          <w:color w:val="231F20"/>
        </w:rPr>
        <w:t>la Dirección General de Desarrollo Urbano, Medio Ambiente y  Obras Públicas; y d) la Secretaría </w:t>
      </w:r>
      <w:r>
        <w:rPr>
          <w:color w:val="231F20"/>
          <w:spacing w:val="-3"/>
        </w:rPr>
        <w:t>Técnica </w:t>
      </w:r>
      <w:r>
        <w:rPr>
          <w:color w:val="231F20"/>
        </w:rPr>
        <w:t>y la Dirección General de Desarrollo Econó- mico </w:t>
      </w:r>
      <w:r>
        <w:rPr>
          <w:color w:val="231F20"/>
          <w:spacing w:val="-4"/>
        </w:rPr>
        <w:t>(con </w:t>
      </w:r>
      <w:r>
        <w:rPr>
          <w:color w:val="231F20"/>
        </w:rPr>
        <w:t>7 cambios cada </w:t>
      </w:r>
      <w:r>
        <w:rPr>
          <w:color w:val="231F20"/>
          <w:spacing w:val="16"/>
        </w:rPr>
        <w:t> </w:t>
      </w:r>
      <w:r>
        <w:rPr>
          <w:color w:val="231F20"/>
        </w:rPr>
        <w:t>una).</w:t>
      </w:r>
    </w:p>
    <w:p>
      <w:pPr>
        <w:pStyle w:val="BodyText"/>
        <w:spacing w:before="1"/>
        <w:rPr>
          <w:sz w:val="26"/>
        </w:rPr>
      </w:pPr>
    </w:p>
    <w:p>
      <w:pPr>
        <w:pStyle w:val="BodyText"/>
        <w:spacing w:line="285" w:lineRule="auto"/>
        <w:ind w:left="110" w:right="108"/>
        <w:jc w:val="both"/>
      </w:pPr>
      <w:r>
        <w:rPr>
          <w:color w:val="231F20"/>
        </w:rPr>
        <w:t>Las dependencias con menor número de modificaciones fueron: a) la Secretaría del Ayuntamiento (0 cambios); b) la Contraloría Interna Municipal (1); c) la Dirección Ge- neral de Administración (1); d) la Dirección General Jurídica y Consultiva; e) la Direc- ción General de Desarrollo Social (2); y f) la Secretaría Particular y la Tesorería Muni- cipal (4 cambios cada una).</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1"/>
          <w:w w:val="105"/>
        </w:rPr>
        <w:t> </w:t>
      </w:r>
      <w:r>
        <w:rPr>
          <w:color w:val="231F20"/>
          <w:w w:val="105"/>
        </w:rPr>
        <w:t>modificación</w:t>
      </w:r>
      <w:r>
        <w:rPr>
          <w:color w:val="231F20"/>
          <w:spacing w:val="-11"/>
          <w:w w:val="105"/>
        </w:rPr>
        <w:t> </w:t>
      </w:r>
      <w:r>
        <w:rPr>
          <w:color w:val="231F20"/>
          <w:w w:val="105"/>
        </w:rPr>
        <w:t>más</w:t>
      </w:r>
      <w:r>
        <w:rPr>
          <w:color w:val="231F20"/>
          <w:spacing w:val="-11"/>
          <w:w w:val="105"/>
        </w:rPr>
        <w:t> </w:t>
      </w:r>
      <w:r>
        <w:rPr>
          <w:color w:val="231F20"/>
          <w:w w:val="105"/>
        </w:rPr>
        <w:t>frecuente</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ubicó</w:t>
      </w:r>
      <w:r>
        <w:rPr>
          <w:color w:val="231F20"/>
          <w:spacing w:val="-11"/>
          <w:w w:val="105"/>
        </w:rPr>
        <w:t> </w:t>
      </w:r>
      <w:r>
        <w:rPr>
          <w:color w:val="231F20"/>
          <w:w w:val="105"/>
        </w:rPr>
        <w:t>consistió</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creación</w:t>
      </w:r>
      <w:r>
        <w:rPr>
          <w:color w:val="231F20"/>
          <w:spacing w:val="-11"/>
          <w:w w:val="105"/>
        </w:rPr>
        <w:t> </w:t>
      </w:r>
      <w:r>
        <w:rPr>
          <w:color w:val="231F20"/>
          <w:w w:val="105"/>
        </w:rPr>
        <w:t>de</w:t>
      </w:r>
      <w:r>
        <w:rPr>
          <w:color w:val="231F20"/>
          <w:spacing w:val="-11"/>
          <w:w w:val="105"/>
        </w:rPr>
        <w:t> </w:t>
      </w:r>
      <w:r>
        <w:rPr>
          <w:color w:val="231F20"/>
          <w:w w:val="105"/>
        </w:rPr>
        <w:t>diversas</w:t>
      </w:r>
      <w:r>
        <w:rPr>
          <w:color w:val="231F20"/>
          <w:spacing w:val="-11"/>
          <w:w w:val="105"/>
        </w:rPr>
        <w:t> </w:t>
      </w:r>
      <w:r>
        <w:rPr>
          <w:color w:val="231F20"/>
          <w:w w:val="105"/>
        </w:rPr>
        <w:t>unida- des</w:t>
      </w:r>
      <w:r>
        <w:rPr>
          <w:color w:val="231F20"/>
          <w:spacing w:val="-20"/>
          <w:w w:val="105"/>
        </w:rPr>
        <w:t> </w:t>
      </w:r>
      <w:r>
        <w:rPr>
          <w:color w:val="231F20"/>
          <w:w w:val="105"/>
        </w:rPr>
        <w:t>de</w:t>
      </w:r>
      <w:r>
        <w:rPr>
          <w:color w:val="231F20"/>
          <w:spacing w:val="-20"/>
          <w:w w:val="105"/>
        </w:rPr>
        <w:t> </w:t>
      </w:r>
      <w:r>
        <w:rPr>
          <w:color w:val="231F20"/>
          <w:w w:val="105"/>
        </w:rPr>
        <w:t>coordinación</w:t>
      </w:r>
      <w:r>
        <w:rPr>
          <w:color w:val="231F20"/>
          <w:spacing w:val="-20"/>
          <w:w w:val="105"/>
        </w:rPr>
        <w:t> </w:t>
      </w:r>
      <w:r>
        <w:rPr>
          <w:color w:val="231F20"/>
          <w:w w:val="105"/>
        </w:rPr>
        <w:t>administrativa</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mayoría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dependencias</w:t>
      </w:r>
      <w:r>
        <w:rPr>
          <w:color w:val="231F20"/>
          <w:spacing w:val="-20"/>
          <w:w w:val="105"/>
        </w:rPr>
        <w:t> </w:t>
      </w:r>
      <w:r>
        <w:rPr>
          <w:color w:val="231F20"/>
          <w:spacing w:val="-6"/>
          <w:w w:val="105"/>
        </w:rPr>
        <w:t>(a</w:t>
      </w:r>
      <w:r>
        <w:rPr>
          <w:color w:val="231F20"/>
          <w:spacing w:val="-20"/>
          <w:w w:val="105"/>
        </w:rPr>
        <w:t> </w:t>
      </w:r>
      <w:r>
        <w:rPr>
          <w:color w:val="231F20"/>
          <w:w w:val="105"/>
        </w:rPr>
        <w:t>excepción</w:t>
      </w:r>
      <w:r>
        <w:rPr>
          <w:color w:val="231F20"/>
          <w:spacing w:val="-20"/>
          <w:w w:val="105"/>
        </w:rPr>
        <w:t> </w:t>
      </w:r>
      <w:r>
        <w:rPr>
          <w:color w:val="231F20"/>
          <w:w w:val="105"/>
        </w:rPr>
        <w:t>de</w:t>
      </w:r>
      <w:r>
        <w:rPr>
          <w:color w:val="231F20"/>
          <w:spacing w:val="-20"/>
          <w:w w:val="105"/>
        </w:rPr>
        <w:t> </w:t>
      </w:r>
      <w:r>
        <w:rPr>
          <w:color w:val="231F20"/>
          <w:w w:val="105"/>
        </w:rPr>
        <w:t>la Secretaría</w:t>
      </w:r>
      <w:r>
        <w:rPr>
          <w:color w:val="231F20"/>
          <w:spacing w:val="-16"/>
          <w:w w:val="105"/>
        </w:rPr>
        <w:t> </w:t>
      </w:r>
      <w:r>
        <w:rPr>
          <w:color w:val="231F20"/>
          <w:w w:val="105"/>
        </w:rPr>
        <w:t>del</w:t>
      </w:r>
      <w:r>
        <w:rPr>
          <w:color w:val="231F20"/>
          <w:spacing w:val="-16"/>
          <w:w w:val="105"/>
        </w:rPr>
        <w:t> </w:t>
      </w:r>
      <w:r>
        <w:rPr>
          <w:color w:val="231F20"/>
          <w:w w:val="105"/>
        </w:rPr>
        <w:t>Ayuntamiento</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Dirección</w:t>
      </w:r>
      <w:r>
        <w:rPr>
          <w:color w:val="231F20"/>
          <w:spacing w:val="-16"/>
          <w:w w:val="105"/>
        </w:rPr>
        <w:t> </w:t>
      </w:r>
      <w:r>
        <w:rPr>
          <w:color w:val="231F20"/>
          <w:w w:val="105"/>
        </w:rPr>
        <w:t>General</w:t>
      </w:r>
      <w:r>
        <w:rPr>
          <w:color w:val="231F20"/>
          <w:spacing w:val="-16"/>
          <w:w w:val="105"/>
        </w:rPr>
        <w:t> </w:t>
      </w:r>
      <w:r>
        <w:rPr>
          <w:color w:val="231F20"/>
          <w:w w:val="105"/>
        </w:rPr>
        <w:t>de</w:t>
      </w:r>
      <w:r>
        <w:rPr>
          <w:color w:val="231F20"/>
          <w:spacing w:val="-16"/>
          <w:w w:val="105"/>
        </w:rPr>
        <w:t> </w:t>
      </w:r>
      <w:r>
        <w:rPr>
          <w:color w:val="231F20"/>
          <w:w w:val="105"/>
        </w:rPr>
        <w:t>Seguridad</w:t>
      </w:r>
      <w:r>
        <w:rPr>
          <w:color w:val="231F20"/>
          <w:spacing w:val="-16"/>
          <w:w w:val="105"/>
        </w:rPr>
        <w:t> </w:t>
      </w:r>
      <w:r>
        <w:rPr>
          <w:color w:val="231F20"/>
          <w:w w:val="105"/>
        </w:rPr>
        <w:t>Pública</w:t>
      </w:r>
      <w:r>
        <w:rPr>
          <w:color w:val="231F20"/>
          <w:spacing w:val="-16"/>
          <w:w w:val="105"/>
        </w:rPr>
        <w:t> </w:t>
      </w:r>
      <w:r>
        <w:rPr>
          <w:color w:val="231F20"/>
          <w:w w:val="105"/>
        </w:rPr>
        <w:t>y</w:t>
      </w:r>
      <w:r>
        <w:rPr>
          <w:color w:val="231F20"/>
          <w:spacing w:val="-16"/>
          <w:w w:val="105"/>
        </w:rPr>
        <w:t> </w:t>
      </w:r>
      <w:r>
        <w:rPr>
          <w:color w:val="231F20"/>
          <w:w w:val="105"/>
        </w:rPr>
        <w:t>Tránsito que</w:t>
      </w:r>
      <w:r>
        <w:rPr>
          <w:color w:val="231F20"/>
          <w:spacing w:val="-13"/>
          <w:w w:val="105"/>
        </w:rPr>
        <w:t> </w:t>
      </w:r>
      <w:r>
        <w:rPr>
          <w:color w:val="231F20"/>
          <w:w w:val="105"/>
        </w:rPr>
        <w:t>no</w:t>
      </w:r>
      <w:r>
        <w:rPr>
          <w:color w:val="231F20"/>
          <w:spacing w:val="-13"/>
          <w:w w:val="105"/>
        </w:rPr>
        <w:t> </w:t>
      </w:r>
      <w:r>
        <w:rPr>
          <w:color w:val="231F20"/>
          <w:w w:val="105"/>
        </w:rPr>
        <w:t>cuentan</w:t>
      </w:r>
      <w:r>
        <w:rPr>
          <w:color w:val="231F20"/>
          <w:spacing w:val="-13"/>
          <w:w w:val="105"/>
        </w:rPr>
        <w:t> </w:t>
      </w:r>
      <w:r>
        <w:rPr>
          <w:color w:val="231F20"/>
          <w:w w:val="105"/>
        </w:rPr>
        <w:t>con</w:t>
      </w:r>
      <w:r>
        <w:rPr>
          <w:color w:val="231F20"/>
          <w:spacing w:val="-13"/>
          <w:w w:val="105"/>
        </w:rPr>
        <w:t> </w:t>
      </w:r>
      <w:r>
        <w:rPr>
          <w:color w:val="231F20"/>
          <w:w w:val="105"/>
        </w:rPr>
        <w:t>ella).</w:t>
      </w:r>
      <w:r>
        <w:rPr>
          <w:color w:val="231F20"/>
          <w:spacing w:val="-13"/>
          <w:w w:val="105"/>
        </w:rPr>
        <w:t> </w:t>
      </w:r>
      <w:r>
        <w:rPr>
          <w:color w:val="231F20"/>
          <w:w w:val="105"/>
        </w:rPr>
        <w:t>Esta</w:t>
      </w:r>
      <w:r>
        <w:rPr>
          <w:color w:val="231F20"/>
          <w:spacing w:val="-13"/>
          <w:w w:val="105"/>
        </w:rPr>
        <w:t> </w:t>
      </w:r>
      <w:r>
        <w:rPr>
          <w:color w:val="231F20"/>
          <w:w w:val="105"/>
        </w:rPr>
        <w:t>coordinación</w:t>
      </w:r>
      <w:r>
        <w:rPr>
          <w:color w:val="231F20"/>
          <w:spacing w:val="-13"/>
          <w:w w:val="105"/>
        </w:rPr>
        <w:t> </w:t>
      </w:r>
      <w:r>
        <w:rPr>
          <w:color w:val="231F20"/>
          <w:w w:val="105"/>
        </w:rPr>
        <w:t>se</w:t>
      </w:r>
      <w:r>
        <w:rPr>
          <w:color w:val="231F20"/>
          <w:spacing w:val="-13"/>
          <w:w w:val="105"/>
        </w:rPr>
        <w:t> </w:t>
      </w:r>
      <w:r>
        <w:rPr>
          <w:color w:val="231F20"/>
          <w:w w:val="105"/>
        </w:rPr>
        <w:t>inauguró</w:t>
      </w:r>
      <w:r>
        <w:rPr>
          <w:color w:val="231F20"/>
          <w:spacing w:val="-13"/>
          <w:w w:val="105"/>
        </w:rPr>
        <w:t> </w:t>
      </w:r>
      <w:r>
        <w:rPr>
          <w:color w:val="231F20"/>
          <w:w w:val="105"/>
        </w:rPr>
        <w:t>en</w:t>
      </w:r>
      <w:r>
        <w:rPr>
          <w:color w:val="231F20"/>
          <w:spacing w:val="-13"/>
          <w:w w:val="105"/>
        </w:rPr>
        <w:t> </w:t>
      </w:r>
      <w:r>
        <w:rPr>
          <w:color w:val="231F20"/>
          <w:w w:val="105"/>
        </w:rPr>
        <w:t>siete</w:t>
      </w:r>
      <w:r>
        <w:rPr>
          <w:color w:val="231F20"/>
          <w:spacing w:val="-13"/>
          <w:w w:val="105"/>
        </w:rPr>
        <w:t> </w:t>
      </w:r>
      <w:r>
        <w:rPr>
          <w:color w:val="231F20"/>
          <w:w w:val="105"/>
        </w:rPr>
        <w:t>dependencias.</w:t>
      </w:r>
    </w:p>
    <w:p>
      <w:pPr>
        <w:pStyle w:val="BodyText"/>
        <w:spacing w:before="1"/>
        <w:rPr>
          <w:sz w:val="26"/>
        </w:rPr>
      </w:pPr>
    </w:p>
    <w:p>
      <w:pPr>
        <w:pStyle w:val="BodyText"/>
        <w:spacing w:line="285" w:lineRule="auto"/>
        <w:ind w:left="110" w:right="107"/>
        <w:jc w:val="both"/>
      </w:pPr>
      <w:r>
        <w:rPr>
          <w:color w:val="231F20"/>
          <w:w w:val="105"/>
        </w:rPr>
        <w:t>La secretaría técnica es una de las reformas significativas que se hicieron durante este periodo puesto que en la administración municipal 2003-2006 esta había desapareci- do En lo que va del ayuntamiento, la secretaría técnica ha ampliado sus funciones y  su importancia </w:t>
      </w:r>
      <w:r>
        <w:rPr>
          <w:color w:val="231F20"/>
          <w:spacing w:val="2"/>
          <w:w w:val="105"/>
        </w:rPr>
        <w:t>al </w:t>
      </w:r>
      <w:r>
        <w:rPr>
          <w:color w:val="231F20"/>
          <w:w w:val="105"/>
        </w:rPr>
        <w:t>interior de la APM. De acuerdo con el secretario técnico, Justino A. Mondragón, dicha dependencia es parte medular de la modernización administrativa municipal</w:t>
      </w:r>
      <w:r>
        <w:rPr>
          <w:color w:val="231F20"/>
          <w:spacing w:val="-11"/>
          <w:w w:val="105"/>
        </w:rPr>
        <w:t> </w:t>
      </w:r>
      <w:r>
        <w:rPr>
          <w:color w:val="231F20"/>
          <w:w w:val="105"/>
        </w:rPr>
        <w:t>pues</w:t>
      </w:r>
      <w:r>
        <w:rPr>
          <w:color w:val="231F20"/>
          <w:spacing w:val="-11"/>
          <w:w w:val="105"/>
        </w:rPr>
        <w:t> </w:t>
      </w:r>
      <w:r>
        <w:rPr>
          <w:color w:val="231F20"/>
          <w:spacing w:val="-4"/>
          <w:w w:val="105"/>
        </w:rPr>
        <w:t>“es</w:t>
      </w:r>
      <w:r>
        <w:rPr>
          <w:color w:val="231F20"/>
          <w:spacing w:val="-11"/>
          <w:w w:val="105"/>
        </w:rPr>
        <w:t> </w:t>
      </w:r>
      <w:r>
        <w:rPr>
          <w:color w:val="231F20"/>
          <w:w w:val="105"/>
        </w:rPr>
        <w:t>la</w:t>
      </w:r>
      <w:r>
        <w:rPr>
          <w:color w:val="231F20"/>
          <w:spacing w:val="-11"/>
          <w:w w:val="105"/>
        </w:rPr>
        <w:t> </w:t>
      </w:r>
      <w:r>
        <w:rPr>
          <w:color w:val="231F20"/>
          <w:w w:val="105"/>
        </w:rPr>
        <w:t>encargada</w:t>
      </w:r>
      <w:r>
        <w:rPr>
          <w:color w:val="231F20"/>
          <w:spacing w:val="-11"/>
          <w:w w:val="105"/>
        </w:rPr>
        <w:t> </w:t>
      </w:r>
      <w:r>
        <w:rPr>
          <w:color w:val="231F20"/>
          <w:w w:val="105"/>
        </w:rPr>
        <w:t>de</w:t>
      </w:r>
      <w:r>
        <w:rPr>
          <w:color w:val="231F20"/>
          <w:spacing w:val="-11"/>
          <w:w w:val="105"/>
        </w:rPr>
        <w:t> </w:t>
      </w:r>
      <w:r>
        <w:rPr>
          <w:color w:val="231F20"/>
          <w:w w:val="105"/>
        </w:rPr>
        <w:t>imprimirle</w:t>
      </w:r>
      <w:r>
        <w:rPr>
          <w:color w:val="231F20"/>
          <w:spacing w:val="-11"/>
          <w:w w:val="105"/>
        </w:rPr>
        <w:t> </w:t>
      </w:r>
      <w:r>
        <w:rPr>
          <w:color w:val="231F20"/>
          <w:w w:val="105"/>
        </w:rPr>
        <w:t>coherencia</w:t>
      </w:r>
      <w:r>
        <w:rPr>
          <w:color w:val="231F20"/>
          <w:spacing w:val="-11"/>
          <w:w w:val="105"/>
        </w:rPr>
        <w:t> </w:t>
      </w:r>
      <w:r>
        <w:rPr>
          <w:color w:val="231F20"/>
          <w:w w:val="105"/>
        </w:rPr>
        <w:t>jurídica</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funciones</w:t>
      </w:r>
      <w:r>
        <w:rPr>
          <w:color w:val="231F20"/>
          <w:spacing w:val="-11"/>
          <w:w w:val="105"/>
        </w:rPr>
        <w:t> </w:t>
      </w:r>
      <w:r>
        <w:rPr>
          <w:color w:val="231F20"/>
          <w:w w:val="105"/>
        </w:rPr>
        <w:t>y</w:t>
      </w:r>
      <w:r>
        <w:rPr>
          <w:color w:val="231F20"/>
          <w:spacing w:val="-11"/>
          <w:w w:val="105"/>
        </w:rPr>
        <w:t> </w:t>
      </w:r>
      <w:r>
        <w:rPr>
          <w:color w:val="231F20"/>
          <w:spacing w:val="-3"/>
          <w:w w:val="105"/>
        </w:rPr>
        <w:t>ac- </w:t>
      </w:r>
      <w:r>
        <w:rPr>
          <w:color w:val="231F20"/>
        </w:rPr>
        <w:t>ciones del</w:t>
      </w:r>
      <w:r>
        <w:rPr>
          <w:color w:val="231F20"/>
          <w:spacing w:val="3"/>
        </w:rPr>
        <w:t> </w:t>
      </w:r>
      <w:r>
        <w:rPr>
          <w:color w:val="231F20"/>
        </w:rPr>
        <w:t>gobierno”</w:t>
      </w:r>
      <w:r>
        <w:rPr>
          <w:color w:val="231F20"/>
          <w:position w:val="7"/>
          <w:sz w:val="13"/>
        </w:rPr>
        <w:t>39</w:t>
      </w:r>
      <w:r>
        <w:rPr>
          <w:color w:val="231F20"/>
        </w:rPr>
        <w:t>.</w:t>
      </w:r>
    </w:p>
    <w:p>
      <w:pPr>
        <w:pStyle w:val="BodyText"/>
        <w:rPr>
          <w:sz w:val="26"/>
        </w:rPr>
      </w:pPr>
    </w:p>
    <w:p>
      <w:pPr>
        <w:pStyle w:val="BodyText"/>
        <w:spacing w:line="285" w:lineRule="auto"/>
        <w:ind w:left="110" w:right="107"/>
        <w:jc w:val="both"/>
      </w:pPr>
      <w:r>
        <w:rPr>
          <w:color w:val="231F20"/>
          <w:w w:val="105"/>
        </w:rPr>
        <w:t>Los cambios que sufrió la APM centralizada durante el periodo </w:t>
      </w:r>
      <w:r>
        <w:rPr>
          <w:color w:val="231F20"/>
          <w:spacing w:val="2"/>
          <w:w w:val="105"/>
        </w:rPr>
        <w:t>2006-2009 </w:t>
      </w:r>
      <w:r>
        <w:rPr>
          <w:color w:val="231F20"/>
          <w:w w:val="105"/>
        </w:rPr>
        <w:t>muestran una</w:t>
      </w:r>
      <w:r>
        <w:rPr>
          <w:color w:val="231F20"/>
          <w:spacing w:val="-8"/>
          <w:w w:val="105"/>
        </w:rPr>
        <w:t> </w:t>
      </w:r>
      <w:r>
        <w:rPr>
          <w:color w:val="231F20"/>
          <w:w w:val="105"/>
        </w:rPr>
        <w:t>mayor</w:t>
      </w:r>
      <w:r>
        <w:rPr>
          <w:color w:val="231F20"/>
          <w:spacing w:val="-8"/>
          <w:w w:val="105"/>
        </w:rPr>
        <w:t> </w:t>
      </w:r>
      <w:r>
        <w:rPr>
          <w:color w:val="231F20"/>
          <w:w w:val="105"/>
        </w:rPr>
        <w:t>preocupación</w:t>
      </w:r>
      <w:r>
        <w:rPr>
          <w:color w:val="231F20"/>
          <w:spacing w:val="-8"/>
          <w:w w:val="105"/>
        </w:rPr>
        <w:t> </w:t>
      </w:r>
      <w:r>
        <w:rPr>
          <w:color w:val="231F20"/>
          <w:w w:val="105"/>
        </w:rPr>
        <w:t>por</w:t>
      </w:r>
      <w:r>
        <w:rPr>
          <w:color w:val="231F20"/>
          <w:spacing w:val="-8"/>
          <w:w w:val="105"/>
        </w:rPr>
        <w:t> </w:t>
      </w:r>
      <w:r>
        <w:rPr>
          <w:color w:val="231F20"/>
          <w:w w:val="105"/>
        </w:rPr>
        <w:t>temas</w:t>
      </w:r>
      <w:r>
        <w:rPr>
          <w:color w:val="231F20"/>
          <w:spacing w:val="-8"/>
          <w:w w:val="105"/>
        </w:rPr>
        <w:t> </w:t>
      </w:r>
      <w:r>
        <w:rPr>
          <w:color w:val="231F20"/>
          <w:w w:val="105"/>
        </w:rPr>
        <w:t>administrativos.</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buscado</w:t>
      </w:r>
      <w:r>
        <w:rPr>
          <w:color w:val="231F20"/>
          <w:spacing w:val="-8"/>
          <w:w w:val="105"/>
        </w:rPr>
        <w:t> </w:t>
      </w:r>
      <w:r>
        <w:rPr>
          <w:color w:val="231F20"/>
          <w:w w:val="105"/>
        </w:rPr>
        <w:t>realinear</w:t>
      </w:r>
      <w:r>
        <w:rPr>
          <w:color w:val="231F20"/>
          <w:spacing w:val="-8"/>
          <w:w w:val="105"/>
        </w:rPr>
        <w:t> </w:t>
      </w:r>
      <w:r>
        <w:rPr>
          <w:color w:val="231F20"/>
          <w:w w:val="105"/>
        </w:rPr>
        <w:t>el</w:t>
      </w:r>
      <w:r>
        <w:rPr>
          <w:color w:val="231F20"/>
          <w:spacing w:val="-8"/>
          <w:w w:val="105"/>
        </w:rPr>
        <w:t> </w:t>
      </w:r>
      <w:r>
        <w:rPr>
          <w:color w:val="231F20"/>
          <w:w w:val="105"/>
        </w:rPr>
        <w:t>funcio- namiento administrativo de las dependencias, de </w:t>
      </w:r>
      <w:r>
        <w:rPr>
          <w:color w:val="231F20"/>
          <w:spacing w:val="2"/>
          <w:w w:val="105"/>
        </w:rPr>
        <w:t>ahí </w:t>
      </w:r>
      <w:r>
        <w:rPr>
          <w:color w:val="231F20"/>
          <w:w w:val="105"/>
        </w:rPr>
        <w:t>que la secretaría técnica también aumente</w:t>
      </w:r>
      <w:r>
        <w:rPr>
          <w:color w:val="231F20"/>
          <w:spacing w:val="-23"/>
          <w:w w:val="105"/>
        </w:rPr>
        <w:t> </w:t>
      </w:r>
      <w:r>
        <w:rPr>
          <w:color w:val="231F20"/>
          <w:w w:val="105"/>
        </w:rPr>
        <w:t>su</w:t>
      </w:r>
      <w:r>
        <w:rPr>
          <w:color w:val="231F20"/>
          <w:spacing w:val="-23"/>
          <w:w w:val="105"/>
        </w:rPr>
        <w:t> </w:t>
      </w:r>
      <w:r>
        <w:rPr>
          <w:color w:val="231F20"/>
          <w:w w:val="105"/>
        </w:rPr>
        <w:t>relevancia</w:t>
      </w:r>
      <w:r>
        <w:rPr>
          <w:color w:val="231F20"/>
          <w:spacing w:val="-23"/>
          <w:w w:val="105"/>
        </w:rPr>
        <w:t> </w:t>
      </w:r>
      <w:r>
        <w:rPr>
          <w:color w:val="231F20"/>
          <w:spacing w:val="2"/>
          <w:w w:val="105"/>
        </w:rPr>
        <w:t>al</w:t>
      </w:r>
      <w:r>
        <w:rPr>
          <w:color w:val="231F20"/>
          <w:spacing w:val="-23"/>
          <w:w w:val="105"/>
        </w:rPr>
        <w:t> </w:t>
      </w:r>
      <w:r>
        <w:rPr>
          <w:color w:val="231F20"/>
          <w:spacing w:val="2"/>
          <w:w w:val="105"/>
        </w:rPr>
        <w:t>fungir</w:t>
      </w:r>
      <w:r>
        <w:rPr>
          <w:color w:val="231F20"/>
          <w:spacing w:val="-23"/>
          <w:w w:val="105"/>
        </w:rPr>
        <w:t> </w:t>
      </w:r>
      <w:r>
        <w:rPr>
          <w:color w:val="231F20"/>
          <w:w w:val="105"/>
        </w:rPr>
        <w:t>como</w:t>
      </w:r>
      <w:r>
        <w:rPr>
          <w:color w:val="231F20"/>
          <w:spacing w:val="-23"/>
          <w:w w:val="105"/>
        </w:rPr>
        <w:t> </w:t>
      </w:r>
      <w:r>
        <w:rPr>
          <w:color w:val="231F20"/>
          <w:w w:val="105"/>
        </w:rPr>
        <w:t>el</w:t>
      </w:r>
      <w:r>
        <w:rPr>
          <w:color w:val="231F20"/>
          <w:spacing w:val="-23"/>
          <w:w w:val="105"/>
        </w:rPr>
        <w:t> </w:t>
      </w:r>
      <w:r>
        <w:rPr>
          <w:color w:val="231F20"/>
          <w:w w:val="105"/>
        </w:rPr>
        <w:t>órgano</w:t>
      </w:r>
      <w:r>
        <w:rPr>
          <w:color w:val="231F20"/>
          <w:spacing w:val="-23"/>
          <w:w w:val="105"/>
        </w:rPr>
        <w:t> </w:t>
      </w:r>
      <w:r>
        <w:rPr>
          <w:color w:val="231F20"/>
          <w:w w:val="105"/>
        </w:rPr>
        <w:t>encargado</w:t>
      </w:r>
      <w:r>
        <w:rPr>
          <w:color w:val="231F20"/>
          <w:spacing w:val="-23"/>
          <w:w w:val="105"/>
        </w:rPr>
        <w:t> </w:t>
      </w:r>
      <w:r>
        <w:rPr>
          <w:color w:val="231F20"/>
          <w:w w:val="105"/>
        </w:rPr>
        <w:t>de</w:t>
      </w:r>
      <w:r>
        <w:rPr>
          <w:color w:val="231F20"/>
          <w:spacing w:val="-23"/>
          <w:w w:val="105"/>
        </w:rPr>
        <w:t> </w:t>
      </w:r>
      <w:r>
        <w:rPr>
          <w:color w:val="231F20"/>
          <w:w w:val="105"/>
        </w:rPr>
        <w:t>identificar,</w:t>
      </w:r>
      <w:r>
        <w:rPr>
          <w:color w:val="231F20"/>
          <w:spacing w:val="-23"/>
          <w:w w:val="105"/>
        </w:rPr>
        <w:t> </w:t>
      </w:r>
      <w:r>
        <w:rPr>
          <w:color w:val="231F20"/>
          <w:w w:val="105"/>
        </w:rPr>
        <w:t>conocer</w:t>
      </w:r>
      <w:r>
        <w:rPr>
          <w:color w:val="231F20"/>
          <w:spacing w:val="-23"/>
          <w:w w:val="105"/>
        </w:rPr>
        <w:t> </w:t>
      </w:r>
      <w:r>
        <w:rPr>
          <w:color w:val="231F20"/>
          <w:w w:val="105"/>
        </w:rPr>
        <w:t>y</w:t>
      </w:r>
      <w:r>
        <w:rPr>
          <w:color w:val="231F20"/>
          <w:spacing w:val="-23"/>
          <w:w w:val="105"/>
        </w:rPr>
        <w:t> </w:t>
      </w:r>
      <w:r>
        <w:rPr>
          <w:color w:val="231F20"/>
          <w:w w:val="105"/>
        </w:rPr>
        <w:t>emi- </w:t>
      </w:r>
      <w:r>
        <w:rPr>
          <w:color w:val="231F20"/>
          <w:w w:val="105"/>
          <w:u w:val="single" w:color="231F20"/>
        </w:rPr>
        <w:t>tir</w:t>
      </w:r>
      <w:r>
        <w:rPr>
          <w:color w:val="231F20"/>
          <w:spacing w:val="-6"/>
          <w:w w:val="105"/>
          <w:u w:val="single" w:color="231F20"/>
        </w:rPr>
        <w:t> </w:t>
      </w:r>
      <w:r>
        <w:rPr>
          <w:color w:val="231F20"/>
          <w:w w:val="105"/>
          <w:u w:val="single" w:color="231F20"/>
        </w:rPr>
        <w:t>opinión</w:t>
      </w:r>
      <w:r>
        <w:rPr>
          <w:color w:val="231F20"/>
          <w:spacing w:val="-6"/>
          <w:w w:val="105"/>
          <w:u w:val="single" w:color="231F20"/>
        </w:rPr>
        <w:t> </w:t>
      </w:r>
      <w:r>
        <w:rPr>
          <w:color w:val="231F20"/>
          <w:w w:val="105"/>
          <w:u w:val="single" w:color="231F20"/>
        </w:rPr>
        <w:t>en</w:t>
      </w:r>
      <w:r>
        <w:rPr>
          <w:color w:val="231F20"/>
          <w:spacing w:val="-6"/>
          <w:w w:val="105"/>
          <w:u w:val="single" w:color="231F20"/>
        </w:rPr>
        <w:t> </w:t>
      </w:r>
      <w:r>
        <w:rPr>
          <w:color w:val="231F20"/>
          <w:w w:val="105"/>
          <w:u w:val="single" w:color="231F20"/>
        </w:rPr>
        <w:t>a</w:t>
      </w:r>
      <w:r>
        <w:rPr>
          <w:color w:val="231F20"/>
          <w:w w:val="105"/>
        </w:rPr>
        <w:t>quellos</w:t>
      </w:r>
      <w:r>
        <w:rPr>
          <w:color w:val="231F20"/>
          <w:spacing w:val="-6"/>
          <w:w w:val="105"/>
        </w:rPr>
        <w:t> </w:t>
      </w:r>
      <w:r>
        <w:rPr>
          <w:color w:val="231F20"/>
          <w:w w:val="105"/>
        </w:rPr>
        <w:t>asuntos</w:t>
      </w:r>
      <w:r>
        <w:rPr>
          <w:color w:val="231F20"/>
          <w:spacing w:val="-6"/>
          <w:w w:val="105"/>
        </w:rPr>
        <w:t> </w:t>
      </w:r>
      <w:r>
        <w:rPr>
          <w:color w:val="231F20"/>
          <w:w w:val="105"/>
        </w:rPr>
        <w:t>de</w:t>
      </w:r>
      <w:r>
        <w:rPr>
          <w:color w:val="231F20"/>
          <w:spacing w:val="-6"/>
          <w:w w:val="105"/>
        </w:rPr>
        <w:t> </w:t>
      </w:r>
      <w:r>
        <w:rPr>
          <w:color w:val="231F20"/>
          <w:w w:val="105"/>
        </w:rPr>
        <w:t>gobierno</w:t>
      </w:r>
      <w:r>
        <w:rPr>
          <w:color w:val="231F20"/>
          <w:spacing w:val="-6"/>
          <w:w w:val="105"/>
        </w:rPr>
        <w:t> </w:t>
      </w:r>
      <w:r>
        <w:rPr>
          <w:color w:val="231F20"/>
          <w:w w:val="105"/>
        </w:rPr>
        <w:t>y</w:t>
      </w:r>
      <w:r>
        <w:rPr>
          <w:color w:val="231F20"/>
          <w:spacing w:val="-6"/>
          <w:w w:val="105"/>
        </w:rPr>
        <w:t> </w:t>
      </w:r>
      <w:r>
        <w:rPr>
          <w:color w:val="231F20"/>
          <w:w w:val="105"/>
        </w:rPr>
        <w:t>administración</w:t>
      </w:r>
      <w:r>
        <w:rPr>
          <w:color w:val="231F20"/>
          <w:spacing w:val="-6"/>
          <w:w w:val="105"/>
        </w:rPr>
        <w:t> </w:t>
      </w:r>
      <w:r>
        <w:rPr>
          <w:color w:val="231F20"/>
          <w:w w:val="105"/>
        </w:rPr>
        <w:t>estratégicos</w:t>
      </w:r>
      <w:r>
        <w:rPr>
          <w:color w:val="231F20"/>
          <w:spacing w:val="-6"/>
          <w:w w:val="105"/>
        </w:rPr>
        <w:t> </w:t>
      </w:r>
      <w:r>
        <w:rPr>
          <w:color w:val="231F20"/>
          <w:w w:val="105"/>
        </w:rPr>
        <w:t>del</w:t>
      </w:r>
      <w:r>
        <w:rPr>
          <w:color w:val="231F20"/>
          <w:spacing w:val="-6"/>
          <w:w w:val="105"/>
        </w:rPr>
        <w:t> </w:t>
      </w:r>
      <w:r>
        <w:rPr>
          <w:color w:val="231F20"/>
          <w:w w:val="105"/>
        </w:rPr>
        <w:t>quehacer</w:t>
      </w:r>
    </w:p>
    <w:p>
      <w:pPr>
        <w:pStyle w:val="ListParagraph"/>
        <w:numPr>
          <w:ilvl w:val="0"/>
          <w:numId w:val="4"/>
        </w:numPr>
        <w:tabs>
          <w:tab w:pos="299" w:val="left" w:leader="none"/>
        </w:tabs>
        <w:spacing w:line="240" w:lineRule="auto" w:before="53" w:after="0"/>
        <w:ind w:left="298" w:right="0" w:hanging="188"/>
        <w:jc w:val="both"/>
        <w:rPr>
          <w:sz w:val="16"/>
        </w:rPr>
      </w:pPr>
      <w:r>
        <w:rPr>
          <w:color w:val="231F20"/>
          <w:sz w:val="16"/>
        </w:rPr>
        <w:t>Entrevista</w:t>
      </w:r>
      <w:r>
        <w:rPr>
          <w:color w:val="231F20"/>
          <w:spacing w:val="-14"/>
          <w:sz w:val="16"/>
        </w:rPr>
        <w:t> </w:t>
      </w:r>
      <w:r>
        <w:rPr>
          <w:color w:val="231F20"/>
          <w:sz w:val="16"/>
        </w:rPr>
        <w:t>realizada</w:t>
      </w:r>
      <w:r>
        <w:rPr>
          <w:color w:val="231F20"/>
          <w:spacing w:val="-14"/>
          <w:sz w:val="16"/>
        </w:rPr>
        <w:t> </w:t>
      </w:r>
      <w:r>
        <w:rPr>
          <w:color w:val="231F20"/>
          <w:sz w:val="16"/>
        </w:rPr>
        <w:t>al</w:t>
      </w:r>
      <w:r>
        <w:rPr>
          <w:color w:val="231F20"/>
          <w:spacing w:val="-14"/>
          <w:sz w:val="16"/>
        </w:rPr>
        <w:t> </w:t>
      </w:r>
      <w:r>
        <w:rPr>
          <w:color w:val="231F20"/>
          <w:sz w:val="16"/>
        </w:rPr>
        <w:t>Secretario</w:t>
      </w:r>
      <w:r>
        <w:rPr>
          <w:color w:val="231F20"/>
          <w:spacing w:val="-14"/>
          <w:sz w:val="16"/>
        </w:rPr>
        <w:t> </w:t>
      </w:r>
      <w:r>
        <w:rPr>
          <w:color w:val="231F20"/>
          <w:sz w:val="16"/>
        </w:rPr>
        <w:t>Técnico,</w:t>
      </w:r>
      <w:r>
        <w:rPr>
          <w:color w:val="231F20"/>
          <w:spacing w:val="-14"/>
          <w:sz w:val="16"/>
        </w:rPr>
        <w:t> </w:t>
      </w:r>
      <w:r>
        <w:rPr>
          <w:color w:val="231F20"/>
          <w:sz w:val="16"/>
        </w:rPr>
        <w:t>Justino</w:t>
      </w:r>
      <w:r>
        <w:rPr>
          <w:color w:val="231F20"/>
          <w:spacing w:val="-14"/>
          <w:sz w:val="16"/>
        </w:rPr>
        <w:t> </w:t>
      </w:r>
      <w:r>
        <w:rPr>
          <w:color w:val="231F20"/>
          <w:sz w:val="16"/>
        </w:rPr>
        <w:t>Antonio</w:t>
      </w:r>
      <w:r>
        <w:rPr>
          <w:color w:val="231F20"/>
          <w:spacing w:val="-14"/>
          <w:sz w:val="16"/>
        </w:rPr>
        <w:t> </w:t>
      </w:r>
      <w:r>
        <w:rPr>
          <w:color w:val="231F20"/>
          <w:sz w:val="16"/>
        </w:rPr>
        <w:t>Mondragón,</w:t>
      </w:r>
      <w:r>
        <w:rPr>
          <w:color w:val="231F20"/>
          <w:spacing w:val="-14"/>
          <w:sz w:val="16"/>
        </w:rPr>
        <w:t> </w:t>
      </w:r>
      <w:r>
        <w:rPr>
          <w:color w:val="231F20"/>
          <w:sz w:val="16"/>
        </w:rPr>
        <w:t>el</w:t>
      </w:r>
      <w:r>
        <w:rPr>
          <w:color w:val="231F20"/>
          <w:spacing w:val="-14"/>
          <w:sz w:val="16"/>
        </w:rPr>
        <w:t> </w:t>
      </w:r>
      <w:r>
        <w:rPr>
          <w:color w:val="231F20"/>
          <w:sz w:val="16"/>
        </w:rPr>
        <w:t>29</w:t>
      </w:r>
      <w:r>
        <w:rPr>
          <w:color w:val="231F20"/>
          <w:spacing w:val="-14"/>
          <w:sz w:val="16"/>
        </w:rPr>
        <w:t> </w:t>
      </w:r>
      <w:r>
        <w:rPr>
          <w:color w:val="231F20"/>
          <w:sz w:val="16"/>
        </w:rPr>
        <w:t>de</w:t>
      </w:r>
      <w:r>
        <w:rPr>
          <w:color w:val="231F20"/>
          <w:spacing w:val="-14"/>
          <w:sz w:val="16"/>
        </w:rPr>
        <w:t> </w:t>
      </w:r>
      <w:r>
        <w:rPr>
          <w:color w:val="231F20"/>
          <w:sz w:val="16"/>
        </w:rPr>
        <w:t>septiembre</w:t>
      </w:r>
      <w:r>
        <w:rPr>
          <w:color w:val="231F20"/>
          <w:spacing w:val="-14"/>
          <w:sz w:val="16"/>
        </w:rPr>
        <w:t> </w:t>
      </w:r>
      <w:r>
        <w:rPr>
          <w:color w:val="231F20"/>
          <w:sz w:val="16"/>
        </w:rPr>
        <w:t>de</w:t>
      </w:r>
      <w:r>
        <w:rPr>
          <w:color w:val="231F20"/>
          <w:spacing w:val="-14"/>
          <w:sz w:val="16"/>
        </w:rPr>
        <w:t> </w:t>
      </w:r>
      <w:r>
        <w:rPr>
          <w:color w:val="231F20"/>
          <w:sz w:val="16"/>
        </w:rPr>
        <w:t>2008.</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público, principalmente en las áreas de gobierno, reglamentación, planeación, evalua- ción, finanzas, administración y relaciones interinstitucionales.</w:t>
      </w:r>
    </w:p>
    <w:p>
      <w:pPr>
        <w:pStyle w:val="BodyText"/>
        <w:spacing w:before="1"/>
        <w:rPr>
          <w:sz w:val="26"/>
        </w:rPr>
      </w:pPr>
    </w:p>
    <w:p>
      <w:pPr>
        <w:pStyle w:val="BodyText"/>
        <w:spacing w:line="285" w:lineRule="auto"/>
        <w:ind w:left="110" w:right="107"/>
        <w:jc w:val="both"/>
      </w:pPr>
      <w:r>
        <w:rPr>
          <w:color w:val="231F20"/>
        </w:rPr>
        <w:t>La parte </w:t>
      </w:r>
      <w:r>
        <w:rPr>
          <w:color w:val="231F20"/>
          <w:spacing w:val="-3"/>
        </w:rPr>
        <w:t>referente </w:t>
      </w:r>
      <w:r>
        <w:rPr>
          <w:color w:val="231F20"/>
        </w:rPr>
        <w:t>a la rendición de cuentas dentro del municipio ha sido delegada a la misma secretaría técnica pues, como se </w:t>
      </w:r>
      <w:r>
        <w:rPr>
          <w:color w:val="231F20"/>
          <w:spacing w:val="-3"/>
        </w:rPr>
        <w:t>mencionó, </w:t>
      </w:r>
      <w:r>
        <w:rPr>
          <w:color w:val="231F20"/>
        </w:rPr>
        <w:t>es el órgano encargado de </w:t>
      </w:r>
      <w:r>
        <w:rPr>
          <w:color w:val="231F20"/>
          <w:spacing w:val="2"/>
        </w:rPr>
        <w:t>vigilar </w:t>
      </w:r>
      <w:r>
        <w:rPr>
          <w:color w:val="231F20"/>
        </w:rPr>
        <w:t>el cumplimiento del plan de desarrollo municipal, </w:t>
      </w:r>
      <w:r>
        <w:rPr>
          <w:color w:val="231F20"/>
          <w:spacing w:val="2"/>
        </w:rPr>
        <w:t>2006-2009 </w:t>
      </w:r>
      <w:r>
        <w:rPr>
          <w:color w:val="231F20"/>
        </w:rPr>
        <w:t>(HUIXQUILUCAN, 2008a),  a la vez que bajo su responsabilidad opera la unidad de transparencia y acceso a la in- formación</w:t>
      </w:r>
      <w:r>
        <w:rPr>
          <w:color w:val="231F20"/>
          <w:spacing w:val="43"/>
        </w:rPr>
        <w:t> </w:t>
      </w:r>
      <w:r>
        <w:rPr>
          <w:color w:val="231F20"/>
        </w:rPr>
        <w:t>pública</w:t>
      </w:r>
      <w:r>
        <w:rPr>
          <w:color w:val="231F20"/>
          <w:position w:val="7"/>
          <w:sz w:val="13"/>
        </w:rPr>
        <w:t>40</w:t>
      </w:r>
      <w:r>
        <w:rPr>
          <w:color w:val="231F20"/>
        </w:rPr>
        <w:t>.</w:t>
      </w:r>
    </w:p>
    <w:p>
      <w:pPr>
        <w:pStyle w:val="BodyText"/>
        <w:spacing w:before="1"/>
        <w:rPr>
          <w:sz w:val="26"/>
        </w:rPr>
      </w:pPr>
    </w:p>
    <w:p>
      <w:pPr>
        <w:pStyle w:val="BodyText"/>
        <w:spacing w:line="285" w:lineRule="auto"/>
        <w:ind w:left="110" w:right="108"/>
        <w:jc w:val="both"/>
      </w:pPr>
      <w:r>
        <w:rPr>
          <w:color w:val="231F20"/>
          <w:w w:val="105"/>
        </w:rPr>
        <w:t>Sin embargo, esta unidad se incrustó en la estructura administrativa centralizada y no se</w:t>
      </w:r>
      <w:r>
        <w:rPr>
          <w:color w:val="231F20"/>
          <w:spacing w:val="-6"/>
          <w:w w:val="105"/>
        </w:rPr>
        <w:t> </w:t>
      </w:r>
      <w:r>
        <w:rPr>
          <w:color w:val="231F20"/>
          <w:w w:val="105"/>
        </w:rPr>
        <w:t>le</w:t>
      </w:r>
      <w:r>
        <w:rPr>
          <w:color w:val="231F20"/>
          <w:spacing w:val="-6"/>
          <w:w w:val="105"/>
        </w:rPr>
        <w:t> </w:t>
      </w:r>
      <w:r>
        <w:rPr>
          <w:color w:val="231F20"/>
          <w:w w:val="105"/>
        </w:rPr>
        <w:t>dio</w:t>
      </w:r>
      <w:r>
        <w:rPr>
          <w:color w:val="231F20"/>
          <w:spacing w:val="-6"/>
          <w:w w:val="105"/>
        </w:rPr>
        <w:t> </w:t>
      </w:r>
      <w:r>
        <w:rPr>
          <w:color w:val="231F20"/>
          <w:w w:val="105"/>
        </w:rPr>
        <w:t>un</w:t>
      </w:r>
      <w:r>
        <w:rPr>
          <w:color w:val="231F20"/>
          <w:spacing w:val="-6"/>
          <w:w w:val="105"/>
        </w:rPr>
        <w:t> </w:t>
      </w:r>
      <w:r>
        <w:rPr>
          <w:color w:val="231F20"/>
          <w:w w:val="105"/>
        </w:rPr>
        <w:t>estatuto</w:t>
      </w:r>
      <w:r>
        <w:rPr>
          <w:color w:val="231F20"/>
          <w:spacing w:val="-6"/>
          <w:w w:val="105"/>
        </w:rPr>
        <w:t> </w:t>
      </w:r>
      <w:r>
        <w:rPr>
          <w:color w:val="231F20"/>
          <w:w w:val="105"/>
        </w:rPr>
        <w:t>descentralizado</w:t>
      </w:r>
      <w:r>
        <w:rPr>
          <w:color w:val="231F20"/>
          <w:spacing w:val="-6"/>
          <w:w w:val="105"/>
        </w:rPr>
        <w:t> </w:t>
      </w:r>
      <w:r>
        <w:rPr>
          <w:color w:val="231F20"/>
          <w:w w:val="105"/>
        </w:rPr>
        <w:t>o</w:t>
      </w:r>
      <w:r>
        <w:rPr>
          <w:color w:val="231F20"/>
          <w:spacing w:val="-6"/>
          <w:w w:val="105"/>
        </w:rPr>
        <w:t> </w:t>
      </w:r>
      <w:r>
        <w:rPr>
          <w:color w:val="231F20"/>
          <w:w w:val="105"/>
        </w:rPr>
        <w:t>autónomo</w:t>
      </w:r>
      <w:r>
        <w:rPr>
          <w:color w:val="231F20"/>
          <w:w w:val="105"/>
          <w:position w:val="7"/>
          <w:sz w:val="13"/>
        </w:rPr>
        <w:t>41</w:t>
      </w:r>
      <w:r>
        <w:rPr>
          <w:color w:val="231F20"/>
          <w:w w:val="105"/>
        </w:rPr>
        <w:t>.</w:t>
      </w:r>
      <w:r>
        <w:rPr>
          <w:color w:val="231F20"/>
          <w:spacing w:val="-6"/>
          <w:w w:val="105"/>
        </w:rPr>
        <w:t> </w:t>
      </w:r>
      <w:r>
        <w:rPr>
          <w:color w:val="231F20"/>
          <w:w w:val="105"/>
        </w:rPr>
        <w:t>Esto</w:t>
      </w:r>
      <w:r>
        <w:rPr>
          <w:color w:val="231F20"/>
          <w:spacing w:val="-6"/>
          <w:w w:val="105"/>
        </w:rPr>
        <w:t> </w:t>
      </w:r>
      <w:r>
        <w:rPr>
          <w:color w:val="231F20"/>
          <w:w w:val="105"/>
        </w:rPr>
        <w:t>hace</w:t>
      </w:r>
      <w:r>
        <w:rPr>
          <w:color w:val="231F20"/>
          <w:spacing w:val="-6"/>
          <w:w w:val="105"/>
        </w:rPr>
        <w:t> </w:t>
      </w:r>
      <w:r>
        <w:rPr>
          <w:color w:val="231F20"/>
          <w:w w:val="105"/>
        </w:rPr>
        <w:t>suponer</w:t>
      </w:r>
      <w:r>
        <w:rPr>
          <w:color w:val="231F20"/>
          <w:spacing w:val="-6"/>
          <w:w w:val="105"/>
        </w:rPr>
        <w:t> </w:t>
      </w:r>
      <w:r>
        <w:rPr>
          <w:color w:val="231F20"/>
          <w:w w:val="105"/>
        </w:rPr>
        <w:t>que</w:t>
      </w:r>
      <w:r>
        <w:rPr>
          <w:color w:val="231F20"/>
          <w:spacing w:val="-6"/>
          <w:w w:val="105"/>
        </w:rPr>
        <w:t> </w:t>
      </w:r>
      <w:r>
        <w:rPr>
          <w:color w:val="231F20"/>
          <w:w w:val="105"/>
        </w:rPr>
        <w:t>más</w:t>
      </w:r>
      <w:r>
        <w:rPr>
          <w:color w:val="231F20"/>
          <w:spacing w:val="-6"/>
          <w:w w:val="105"/>
        </w:rPr>
        <w:t> </w:t>
      </w:r>
      <w:r>
        <w:rPr>
          <w:color w:val="231F20"/>
          <w:spacing w:val="2"/>
          <w:w w:val="105"/>
        </w:rPr>
        <w:t>allá</w:t>
      </w:r>
      <w:r>
        <w:rPr>
          <w:color w:val="231F20"/>
          <w:spacing w:val="-6"/>
          <w:w w:val="105"/>
        </w:rPr>
        <w:t> </w:t>
      </w:r>
      <w:r>
        <w:rPr>
          <w:color w:val="231F20"/>
          <w:w w:val="105"/>
        </w:rPr>
        <w:t>del interés</w:t>
      </w:r>
      <w:r>
        <w:rPr>
          <w:color w:val="231F20"/>
          <w:spacing w:val="-6"/>
          <w:w w:val="105"/>
        </w:rPr>
        <w:t> </w:t>
      </w:r>
      <w:r>
        <w:rPr>
          <w:color w:val="231F20"/>
          <w:w w:val="105"/>
        </w:rPr>
        <w:t>del</w:t>
      </w:r>
      <w:r>
        <w:rPr>
          <w:color w:val="231F20"/>
          <w:spacing w:val="-6"/>
          <w:w w:val="105"/>
        </w:rPr>
        <w:t> </w:t>
      </w:r>
      <w:r>
        <w:rPr>
          <w:color w:val="231F20"/>
          <w:w w:val="105"/>
        </w:rPr>
        <w:t>gobierno</w:t>
      </w:r>
      <w:r>
        <w:rPr>
          <w:color w:val="231F20"/>
          <w:spacing w:val="-6"/>
          <w:w w:val="105"/>
        </w:rPr>
        <w:t> </w:t>
      </w:r>
      <w:r>
        <w:rPr>
          <w:color w:val="231F20"/>
          <w:w w:val="105"/>
        </w:rPr>
        <w:t>municipal</w:t>
      </w:r>
      <w:r>
        <w:rPr>
          <w:color w:val="231F20"/>
          <w:spacing w:val="-6"/>
          <w:w w:val="105"/>
        </w:rPr>
        <w:t> </w:t>
      </w:r>
      <w:r>
        <w:rPr>
          <w:color w:val="231F20"/>
          <w:w w:val="105"/>
        </w:rPr>
        <w:t>por</w:t>
      </w:r>
      <w:r>
        <w:rPr>
          <w:color w:val="231F20"/>
          <w:spacing w:val="-6"/>
          <w:w w:val="105"/>
        </w:rPr>
        <w:t> </w:t>
      </w:r>
      <w:r>
        <w:rPr>
          <w:color w:val="231F20"/>
          <w:w w:val="105"/>
        </w:rPr>
        <w:t>impulsar</w:t>
      </w:r>
      <w:r>
        <w:rPr>
          <w:color w:val="231F20"/>
          <w:spacing w:val="-6"/>
          <w:w w:val="105"/>
        </w:rPr>
        <w:t> </w:t>
      </w:r>
      <w:r>
        <w:rPr>
          <w:color w:val="231F20"/>
          <w:w w:val="105"/>
        </w:rPr>
        <w:t>la</w:t>
      </w:r>
      <w:r>
        <w:rPr>
          <w:color w:val="231F20"/>
          <w:spacing w:val="-6"/>
          <w:w w:val="105"/>
        </w:rPr>
        <w:t> </w:t>
      </w:r>
      <w:r>
        <w:rPr>
          <w:color w:val="231F20"/>
          <w:w w:val="105"/>
        </w:rPr>
        <w:t>rendición</w:t>
      </w:r>
      <w:r>
        <w:rPr>
          <w:color w:val="231F20"/>
          <w:spacing w:val="-6"/>
          <w:w w:val="105"/>
        </w:rPr>
        <w:t> </w:t>
      </w:r>
      <w:r>
        <w:rPr>
          <w:color w:val="231F20"/>
          <w:w w:val="105"/>
        </w:rPr>
        <w:t>de</w:t>
      </w:r>
      <w:r>
        <w:rPr>
          <w:color w:val="231F20"/>
          <w:spacing w:val="-6"/>
          <w:w w:val="105"/>
        </w:rPr>
        <w:t> </w:t>
      </w:r>
      <w:r>
        <w:rPr>
          <w:color w:val="231F20"/>
          <w:w w:val="105"/>
        </w:rPr>
        <w:t>cuentas</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acceso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in- formación,</w:t>
      </w:r>
      <w:r>
        <w:rPr>
          <w:color w:val="231F20"/>
          <w:spacing w:val="-17"/>
          <w:w w:val="105"/>
        </w:rPr>
        <w:t> </w:t>
      </w:r>
      <w:r>
        <w:rPr>
          <w:color w:val="231F20"/>
          <w:w w:val="105"/>
        </w:rPr>
        <w:t>sólo</w:t>
      </w:r>
      <w:r>
        <w:rPr>
          <w:color w:val="231F20"/>
          <w:spacing w:val="-17"/>
          <w:w w:val="105"/>
        </w:rPr>
        <w:t> </w:t>
      </w:r>
      <w:r>
        <w:rPr>
          <w:color w:val="231F20"/>
          <w:w w:val="105"/>
        </w:rPr>
        <w:t>se</w:t>
      </w:r>
      <w:r>
        <w:rPr>
          <w:color w:val="231F20"/>
          <w:spacing w:val="-17"/>
          <w:w w:val="105"/>
        </w:rPr>
        <w:t> </w:t>
      </w:r>
      <w:r>
        <w:rPr>
          <w:color w:val="231F20"/>
          <w:w w:val="105"/>
        </w:rPr>
        <w:t>buscó</w:t>
      </w:r>
      <w:r>
        <w:rPr>
          <w:color w:val="231F20"/>
          <w:spacing w:val="-17"/>
          <w:w w:val="105"/>
        </w:rPr>
        <w:t> </w:t>
      </w:r>
      <w:r>
        <w:rPr>
          <w:color w:val="231F20"/>
          <w:w w:val="105"/>
        </w:rPr>
        <w:t>cumplir</w:t>
      </w:r>
      <w:r>
        <w:rPr>
          <w:color w:val="231F20"/>
          <w:spacing w:val="-17"/>
          <w:w w:val="105"/>
        </w:rPr>
        <w:t> </w:t>
      </w:r>
      <w:r>
        <w:rPr>
          <w:color w:val="231F20"/>
          <w:w w:val="105"/>
        </w:rPr>
        <w:t>con</w:t>
      </w:r>
      <w:r>
        <w:rPr>
          <w:color w:val="231F20"/>
          <w:spacing w:val="-17"/>
          <w:w w:val="105"/>
        </w:rPr>
        <w:t> </w:t>
      </w:r>
      <w:r>
        <w:rPr>
          <w:color w:val="231F20"/>
          <w:w w:val="105"/>
        </w:rPr>
        <w:t>las</w:t>
      </w:r>
      <w:r>
        <w:rPr>
          <w:color w:val="231F20"/>
          <w:spacing w:val="-17"/>
          <w:w w:val="105"/>
        </w:rPr>
        <w:t> </w:t>
      </w:r>
      <w:r>
        <w:rPr>
          <w:color w:val="231F20"/>
          <w:w w:val="105"/>
        </w:rPr>
        <w:t>disposiciones</w:t>
      </w:r>
      <w:r>
        <w:rPr>
          <w:color w:val="231F20"/>
          <w:spacing w:val="-17"/>
          <w:w w:val="105"/>
        </w:rPr>
        <w:t> </w:t>
      </w:r>
      <w:r>
        <w:rPr>
          <w:color w:val="231F20"/>
          <w:w w:val="105"/>
        </w:rPr>
        <w:t>normativas</w:t>
      </w:r>
      <w:r>
        <w:rPr>
          <w:color w:val="231F20"/>
          <w:spacing w:val="-17"/>
          <w:w w:val="105"/>
        </w:rPr>
        <w:t> </w:t>
      </w:r>
      <w:r>
        <w:rPr>
          <w:color w:val="231F20"/>
          <w:w w:val="105"/>
        </w:rPr>
        <w:t>estatales.</w:t>
      </w:r>
    </w:p>
    <w:p>
      <w:pPr>
        <w:pStyle w:val="BodyText"/>
        <w:spacing w:before="1"/>
        <w:rPr>
          <w:sz w:val="26"/>
        </w:rPr>
      </w:pPr>
    </w:p>
    <w:p>
      <w:pPr>
        <w:pStyle w:val="BodyText"/>
        <w:spacing w:line="285" w:lineRule="auto"/>
        <w:ind w:left="110" w:right="106"/>
        <w:jc w:val="both"/>
      </w:pPr>
      <w:r>
        <w:rPr>
          <w:color w:val="231F20"/>
          <w:w w:val="105"/>
        </w:rPr>
        <w:t>Por último, dentro de </w:t>
      </w:r>
      <w:r>
        <w:rPr>
          <w:color w:val="231F20"/>
          <w:spacing w:val="2"/>
          <w:w w:val="105"/>
        </w:rPr>
        <w:t>las modificaciones </w:t>
      </w:r>
      <w:r>
        <w:rPr>
          <w:color w:val="231F20"/>
          <w:spacing w:val="3"/>
          <w:w w:val="105"/>
        </w:rPr>
        <w:t>sustantivas </w:t>
      </w:r>
      <w:r>
        <w:rPr>
          <w:color w:val="231F20"/>
          <w:w w:val="105"/>
        </w:rPr>
        <w:t>a la APM se </w:t>
      </w:r>
      <w:r>
        <w:rPr>
          <w:color w:val="231F20"/>
          <w:spacing w:val="2"/>
          <w:w w:val="105"/>
        </w:rPr>
        <w:t>registra </w:t>
      </w:r>
      <w:r>
        <w:rPr>
          <w:color w:val="231F20"/>
          <w:w w:val="105"/>
        </w:rPr>
        <w:t>la </w:t>
      </w:r>
      <w:r>
        <w:rPr>
          <w:color w:val="231F20"/>
          <w:spacing w:val="2"/>
          <w:w w:val="105"/>
        </w:rPr>
        <w:t>fusión </w:t>
      </w:r>
      <w:r>
        <w:rPr>
          <w:color w:val="231F20"/>
          <w:w w:val="105"/>
        </w:rPr>
        <w:t>de la </w:t>
      </w:r>
      <w:r>
        <w:rPr>
          <w:color w:val="231F20"/>
          <w:spacing w:val="2"/>
          <w:w w:val="105"/>
        </w:rPr>
        <w:t>dirección </w:t>
      </w:r>
      <w:r>
        <w:rPr>
          <w:color w:val="231F20"/>
          <w:w w:val="105"/>
        </w:rPr>
        <w:t>de obras públicas con la encargada del </w:t>
      </w:r>
      <w:r>
        <w:rPr>
          <w:color w:val="231F20"/>
          <w:spacing w:val="2"/>
          <w:w w:val="105"/>
        </w:rPr>
        <w:t>desarrollo urbano </w:t>
      </w:r>
      <w:r>
        <w:rPr>
          <w:color w:val="231F20"/>
          <w:w w:val="105"/>
        </w:rPr>
        <w:t>y medio am- biente.</w:t>
      </w:r>
      <w:r>
        <w:rPr>
          <w:color w:val="231F20"/>
          <w:spacing w:val="-13"/>
          <w:w w:val="105"/>
        </w:rPr>
        <w:t> </w:t>
      </w:r>
      <w:r>
        <w:rPr>
          <w:color w:val="231F20"/>
          <w:w w:val="105"/>
        </w:rPr>
        <w:t>Su</w:t>
      </w:r>
      <w:r>
        <w:rPr>
          <w:color w:val="231F20"/>
          <w:spacing w:val="-13"/>
          <w:w w:val="105"/>
        </w:rPr>
        <w:t> </w:t>
      </w:r>
      <w:r>
        <w:rPr>
          <w:color w:val="231F20"/>
          <w:spacing w:val="3"/>
          <w:w w:val="105"/>
        </w:rPr>
        <w:t>énfasis</w:t>
      </w:r>
      <w:r>
        <w:rPr>
          <w:color w:val="231F20"/>
          <w:spacing w:val="-13"/>
          <w:w w:val="105"/>
        </w:rPr>
        <w:t> </w:t>
      </w:r>
      <w:r>
        <w:rPr>
          <w:color w:val="231F20"/>
          <w:spacing w:val="2"/>
          <w:w w:val="105"/>
        </w:rPr>
        <w:t>está</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promoción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obra</w:t>
      </w:r>
      <w:r>
        <w:rPr>
          <w:color w:val="231F20"/>
          <w:spacing w:val="-13"/>
          <w:w w:val="105"/>
        </w:rPr>
        <w:t> </w:t>
      </w:r>
      <w:r>
        <w:rPr>
          <w:color w:val="231F20"/>
          <w:w w:val="105"/>
        </w:rPr>
        <w:t>pública,</w:t>
      </w:r>
      <w:r>
        <w:rPr>
          <w:color w:val="231F20"/>
          <w:spacing w:val="-13"/>
          <w:w w:val="105"/>
        </w:rPr>
        <w:t> </w:t>
      </w:r>
      <w:r>
        <w:rPr>
          <w:color w:val="231F20"/>
          <w:w w:val="105"/>
        </w:rPr>
        <w:t>su</w:t>
      </w:r>
      <w:r>
        <w:rPr>
          <w:color w:val="231F20"/>
          <w:spacing w:val="-13"/>
          <w:w w:val="105"/>
        </w:rPr>
        <w:t> </w:t>
      </w:r>
      <w:r>
        <w:rPr>
          <w:color w:val="231F20"/>
          <w:spacing w:val="2"/>
          <w:w w:val="105"/>
        </w:rPr>
        <w:t>administración,</w:t>
      </w:r>
      <w:r>
        <w:rPr>
          <w:color w:val="231F20"/>
          <w:spacing w:val="-13"/>
          <w:w w:val="105"/>
        </w:rPr>
        <w:t> </w:t>
      </w:r>
      <w:r>
        <w:rPr>
          <w:color w:val="231F20"/>
          <w:spacing w:val="2"/>
          <w:w w:val="105"/>
        </w:rPr>
        <w:t>financia- </w:t>
      </w:r>
      <w:r>
        <w:rPr>
          <w:color w:val="231F20"/>
          <w:w w:val="105"/>
        </w:rPr>
        <w:t>miento y </w:t>
      </w:r>
      <w:r>
        <w:rPr>
          <w:color w:val="231F20"/>
          <w:spacing w:val="2"/>
          <w:w w:val="105"/>
        </w:rPr>
        <w:t>supervisión </w:t>
      </w:r>
      <w:r>
        <w:rPr>
          <w:color w:val="231F20"/>
          <w:w w:val="105"/>
        </w:rPr>
        <w:t>bajo los criterios del </w:t>
      </w:r>
      <w:r>
        <w:rPr>
          <w:color w:val="231F20"/>
          <w:spacing w:val="2"/>
          <w:w w:val="105"/>
        </w:rPr>
        <w:t>desarrollo </w:t>
      </w:r>
      <w:r>
        <w:rPr>
          <w:color w:val="231F20"/>
          <w:spacing w:val="3"/>
          <w:w w:val="105"/>
        </w:rPr>
        <w:t>urbano</w:t>
      </w:r>
      <w:r>
        <w:rPr>
          <w:color w:val="231F20"/>
          <w:spacing w:val="3"/>
          <w:w w:val="105"/>
          <w:position w:val="7"/>
          <w:sz w:val="13"/>
        </w:rPr>
        <w:t>42</w:t>
      </w:r>
      <w:r>
        <w:rPr>
          <w:color w:val="231F20"/>
          <w:spacing w:val="3"/>
          <w:w w:val="105"/>
        </w:rPr>
        <w:t>.</w:t>
      </w:r>
      <w:r>
        <w:rPr>
          <w:color w:val="231F20"/>
          <w:spacing w:val="-38"/>
          <w:w w:val="105"/>
        </w:rPr>
        <w:t> </w:t>
      </w:r>
      <w:r>
        <w:rPr>
          <w:color w:val="231F20"/>
          <w:w w:val="105"/>
        </w:rPr>
        <w:t>Otro de estos </w:t>
      </w:r>
      <w:r>
        <w:rPr>
          <w:color w:val="231F20"/>
          <w:spacing w:val="2"/>
          <w:w w:val="105"/>
        </w:rPr>
        <w:t>cambios </w:t>
      </w:r>
      <w:r>
        <w:rPr>
          <w:color w:val="231F20"/>
          <w:w w:val="105"/>
        </w:rPr>
        <w:t>se </w:t>
      </w:r>
      <w:r>
        <w:rPr>
          <w:color w:val="231F20"/>
          <w:spacing w:val="2"/>
          <w:w w:val="105"/>
        </w:rPr>
        <w:t>reflejó </w:t>
      </w:r>
      <w:r>
        <w:rPr>
          <w:color w:val="231F20"/>
          <w:w w:val="105"/>
        </w:rPr>
        <w:t>en la </w:t>
      </w:r>
      <w:r>
        <w:rPr>
          <w:color w:val="231F20"/>
          <w:spacing w:val="2"/>
          <w:w w:val="105"/>
        </w:rPr>
        <w:t>división </w:t>
      </w:r>
      <w:r>
        <w:rPr>
          <w:color w:val="231F20"/>
          <w:spacing w:val="3"/>
          <w:w w:val="105"/>
        </w:rPr>
        <w:t>al </w:t>
      </w:r>
      <w:r>
        <w:rPr>
          <w:color w:val="231F20"/>
          <w:w w:val="105"/>
        </w:rPr>
        <w:t>interior de la </w:t>
      </w:r>
      <w:r>
        <w:rPr>
          <w:color w:val="231F20"/>
          <w:spacing w:val="2"/>
          <w:w w:val="105"/>
        </w:rPr>
        <w:t>dirección </w:t>
      </w:r>
      <w:r>
        <w:rPr>
          <w:color w:val="231F20"/>
          <w:w w:val="105"/>
        </w:rPr>
        <w:t>general de </w:t>
      </w:r>
      <w:r>
        <w:rPr>
          <w:color w:val="231F20"/>
          <w:spacing w:val="2"/>
          <w:w w:val="105"/>
        </w:rPr>
        <w:t>servicios </w:t>
      </w:r>
      <w:r>
        <w:rPr>
          <w:color w:val="231F20"/>
          <w:w w:val="105"/>
        </w:rPr>
        <w:t>públicos en la que se crearon unidades de atención </w:t>
      </w:r>
      <w:r>
        <w:rPr>
          <w:color w:val="231F20"/>
          <w:spacing w:val="3"/>
          <w:w w:val="105"/>
        </w:rPr>
        <w:t>específica </w:t>
      </w:r>
      <w:r>
        <w:rPr>
          <w:color w:val="231F20"/>
          <w:w w:val="105"/>
        </w:rPr>
        <w:t>de cada uno de los </w:t>
      </w:r>
      <w:r>
        <w:rPr>
          <w:color w:val="231F20"/>
          <w:spacing w:val="2"/>
          <w:w w:val="105"/>
        </w:rPr>
        <w:t>servicios </w:t>
      </w:r>
      <w:r>
        <w:rPr>
          <w:color w:val="231F20"/>
          <w:w w:val="105"/>
        </w:rPr>
        <w:t>ofrecidos en</w:t>
      </w:r>
      <w:r>
        <w:rPr>
          <w:color w:val="231F20"/>
          <w:spacing w:val="-8"/>
          <w:w w:val="105"/>
        </w:rPr>
        <w:t> </w:t>
      </w:r>
      <w:r>
        <w:rPr>
          <w:color w:val="231F20"/>
          <w:spacing w:val="2"/>
          <w:w w:val="105"/>
        </w:rPr>
        <w:t>función</w:t>
      </w:r>
      <w:r>
        <w:rPr>
          <w:color w:val="231F20"/>
          <w:spacing w:val="-8"/>
          <w:w w:val="105"/>
        </w:rPr>
        <w:t> </w:t>
      </w:r>
      <w:r>
        <w:rPr>
          <w:color w:val="231F20"/>
          <w:w w:val="105"/>
        </w:rPr>
        <w:t>de</w:t>
      </w:r>
      <w:r>
        <w:rPr>
          <w:color w:val="231F20"/>
          <w:spacing w:val="-8"/>
          <w:w w:val="105"/>
        </w:rPr>
        <w:t> </w:t>
      </w:r>
      <w:r>
        <w:rPr>
          <w:color w:val="231F20"/>
          <w:spacing w:val="2"/>
          <w:w w:val="105"/>
        </w:rPr>
        <w:t>las</w:t>
      </w:r>
      <w:r>
        <w:rPr>
          <w:color w:val="231F20"/>
          <w:spacing w:val="-8"/>
          <w:w w:val="105"/>
        </w:rPr>
        <w:t> </w:t>
      </w:r>
      <w:r>
        <w:rPr>
          <w:color w:val="231F20"/>
          <w:w w:val="105"/>
        </w:rPr>
        <w:t>regiones</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spacing w:val="2"/>
          <w:w w:val="105"/>
        </w:rPr>
        <w:t>fue</w:t>
      </w:r>
      <w:r>
        <w:rPr>
          <w:color w:val="231F20"/>
          <w:spacing w:val="-8"/>
          <w:w w:val="105"/>
        </w:rPr>
        <w:t> </w:t>
      </w:r>
      <w:r>
        <w:rPr>
          <w:color w:val="231F20"/>
          <w:spacing w:val="2"/>
          <w:w w:val="105"/>
        </w:rPr>
        <w:t>dividido</w:t>
      </w:r>
      <w:r>
        <w:rPr>
          <w:color w:val="231F20"/>
          <w:spacing w:val="-8"/>
          <w:w w:val="105"/>
        </w:rPr>
        <w:t> </w:t>
      </w:r>
      <w:r>
        <w:rPr>
          <w:color w:val="231F20"/>
          <w:w w:val="105"/>
        </w:rPr>
        <w:t>el</w:t>
      </w:r>
      <w:r>
        <w:rPr>
          <w:color w:val="231F20"/>
          <w:spacing w:val="-8"/>
          <w:w w:val="105"/>
        </w:rPr>
        <w:t> </w:t>
      </w:r>
      <w:r>
        <w:rPr>
          <w:color w:val="231F20"/>
          <w:w w:val="105"/>
        </w:rPr>
        <w:t>territorio</w:t>
      </w:r>
      <w:r>
        <w:rPr>
          <w:color w:val="231F20"/>
          <w:spacing w:val="-8"/>
          <w:w w:val="105"/>
        </w:rPr>
        <w:t> </w:t>
      </w:r>
      <w:r>
        <w:rPr>
          <w:color w:val="231F20"/>
          <w:spacing w:val="2"/>
          <w:w w:val="105"/>
        </w:rPr>
        <w:t>municipal</w:t>
      </w:r>
      <w:r>
        <w:rPr>
          <w:color w:val="231F20"/>
          <w:spacing w:val="-8"/>
          <w:w w:val="105"/>
        </w:rPr>
        <w:t> </w:t>
      </w:r>
      <w:r>
        <w:rPr>
          <w:color w:val="231F20"/>
          <w:w w:val="105"/>
        </w:rPr>
        <w:t>(la</w:t>
      </w:r>
      <w:r>
        <w:rPr>
          <w:color w:val="231F20"/>
          <w:spacing w:val="-8"/>
          <w:w w:val="105"/>
        </w:rPr>
        <w:t> </w:t>
      </w:r>
      <w:r>
        <w:rPr>
          <w:color w:val="231F20"/>
          <w:w w:val="105"/>
        </w:rPr>
        <w:t>zona</w:t>
      </w:r>
      <w:r>
        <w:rPr>
          <w:color w:val="231F20"/>
          <w:spacing w:val="-8"/>
          <w:w w:val="105"/>
        </w:rPr>
        <w:t> </w:t>
      </w:r>
      <w:r>
        <w:rPr>
          <w:color w:val="231F20"/>
          <w:w w:val="105"/>
        </w:rPr>
        <w:t>popular, la</w:t>
      </w:r>
      <w:r>
        <w:rPr>
          <w:color w:val="231F20"/>
          <w:spacing w:val="-7"/>
          <w:w w:val="105"/>
        </w:rPr>
        <w:t> </w:t>
      </w:r>
      <w:r>
        <w:rPr>
          <w:color w:val="231F20"/>
          <w:w w:val="105"/>
        </w:rPr>
        <w:t>zona</w:t>
      </w:r>
      <w:r>
        <w:rPr>
          <w:color w:val="231F20"/>
          <w:spacing w:val="-7"/>
          <w:w w:val="105"/>
        </w:rPr>
        <w:t> </w:t>
      </w:r>
      <w:r>
        <w:rPr>
          <w:color w:val="231F20"/>
          <w:spacing w:val="2"/>
          <w:w w:val="105"/>
        </w:rPr>
        <w:t>tradicional</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zona</w:t>
      </w:r>
      <w:r>
        <w:rPr>
          <w:color w:val="231F20"/>
          <w:spacing w:val="-7"/>
          <w:w w:val="105"/>
        </w:rPr>
        <w:t> </w:t>
      </w:r>
      <w:r>
        <w:rPr>
          <w:color w:val="231F20"/>
          <w:w w:val="105"/>
        </w:rPr>
        <w:t>residencial).</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spacing w:val="2"/>
          <w:w w:val="105"/>
        </w:rPr>
        <w:t>observa</w:t>
      </w:r>
      <w:r>
        <w:rPr>
          <w:color w:val="231F20"/>
          <w:spacing w:val="-7"/>
          <w:w w:val="105"/>
        </w:rPr>
        <w:t> </w:t>
      </w:r>
      <w:r>
        <w:rPr>
          <w:color w:val="231F20"/>
          <w:w w:val="105"/>
        </w:rPr>
        <w:t>es</w:t>
      </w:r>
      <w:r>
        <w:rPr>
          <w:color w:val="231F20"/>
          <w:spacing w:val="-7"/>
          <w:w w:val="105"/>
        </w:rPr>
        <w:t> </w:t>
      </w:r>
      <w:r>
        <w:rPr>
          <w:color w:val="231F20"/>
          <w:spacing w:val="3"/>
          <w:w w:val="105"/>
        </w:rPr>
        <w:t>una</w:t>
      </w:r>
      <w:r>
        <w:rPr>
          <w:color w:val="231F20"/>
          <w:spacing w:val="-7"/>
          <w:w w:val="105"/>
        </w:rPr>
        <w:t> </w:t>
      </w:r>
      <w:r>
        <w:rPr>
          <w:color w:val="231F20"/>
          <w:w w:val="105"/>
        </w:rPr>
        <w:t>mayor</w:t>
      </w:r>
      <w:r>
        <w:rPr>
          <w:color w:val="231F20"/>
          <w:spacing w:val="-7"/>
          <w:w w:val="105"/>
        </w:rPr>
        <w:t> </w:t>
      </w:r>
      <w:r>
        <w:rPr>
          <w:color w:val="231F20"/>
          <w:spacing w:val="2"/>
          <w:w w:val="105"/>
        </w:rPr>
        <w:t>división</w:t>
      </w:r>
      <w:r>
        <w:rPr>
          <w:color w:val="231F20"/>
          <w:spacing w:val="-7"/>
          <w:w w:val="105"/>
        </w:rPr>
        <w:t> </w:t>
      </w:r>
      <w:r>
        <w:rPr>
          <w:color w:val="231F20"/>
          <w:w w:val="105"/>
        </w:rPr>
        <w:t>del</w:t>
      </w:r>
    </w:p>
    <w:p>
      <w:pPr>
        <w:pStyle w:val="BodyText"/>
        <w:spacing w:before="7"/>
        <w:rPr>
          <w:sz w:val="13"/>
        </w:rPr>
      </w:pPr>
      <w:r>
        <w:rPr/>
        <w:pict>
          <v:line style="position:absolute;mso-position-horizontal-relative:page;mso-position-vertical-relative:paragraph;z-index:6040;mso-wrap-distance-left:0;mso-wrap-distance-right:0" from="42.519699pt,10.289599pt" to="114.519699pt,10.289599pt" stroked="true" strokeweight="1pt" strokecolor="#231f20">
            <w10:wrap type="topAndBottom"/>
          </v:line>
        </w:pict>
      </w:r>
    </w:p>
    <w:p>
      <w:pPr>
        <w:pStyle w:val="ListParagraph"/>
        <w:numPr>
          <w:ilvl w:val="0"/>
          <w:numId w:val="4"/>
        </w:numPr>
        <w:tabs>
          <w:tab w:pos="307" w:val="left" w:leader="none"/>
        </w:tabs>
        <w:spacing w:line="244" w:lineRule="auto" w:before="8" w:after="0"/>
        <w:ind w:left="110" w:right="107" w:firstLine="0"/>
        <w:jc w:val="both"/>
        <w:rPr>
          <w:sz w:val="16"/>
        </w:rPr>
      </w:pPr>
      <w:r>
        <w:rPr>
          <w:color w:val="231F20"/>
          <w:sz w:val="16"/>
        </w:rPr>
        <w:t>Cabe</w:t>
      </w:r>
      <w:r>
        <w:rPr>
          <w:color w:val="231F20"/>
          <w:spacing w:val="-6"/>
          <w:sz w:val="16"/>
        </w:rPr>
        <w:t> </w:t>
      </w:r>
      <w:r>
        <w:rPr>
          <w:color w:val="231F20"/>
          <w:sz w:val="16"/>
        </w:rPr>
        <w:t>mencionar</w:t>
      </w:r>
      <w:r>
        <w:rPr>
          <w:color w:val="231F20"/>
          <w:spacing w:val="-6"/>
          <w:sz w:val="16"/>
        </w:rPr>
        <w:t> </w:t>
      </w:r>
      <w:r>
        <w:rPr>
          <w:color w:val="231F20"/>
          <w:sz w:val="16"/>
        </w:rPr>
        <w:t>que</w:t>
      </w:r>
      <w:r>
        <w:rPr>
          <w:color w:val="231F20"/>
          <w:spacing w:val="-6"/>
          <w:sz w:val="16"/>
        </w:rPr>
        <w:t> </w:t>
      </w:r>
      <w:r>
        <w:rPr>
          <w:color w:val="231F20"/>
          <w:sz w:val="16"/>
        </w:rPr>
        <w:t>la</w:t>
      </w:r>
      <w:r>
        <w:rPr>
          <w:color w:val="231F20"/>
          <w:spacing w:val="-6"/>
          <w:sz w:val="16"/>
        </w:rPr>
        <w:t> </w:t>
      </w:r>
      <w:r>
        <w:rPr>
          <w:color w:val="231F20"/>
          <w:sz w:val="16"/>
        </w:rPr>
        <w:t>presencia</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Unidad</w:t>
      </w:r>
      <w:r>
        <w:rPr>
          <w:color w:val="231F20"/>
          <w:spacing w:val="-6"/>
          <w:sz w:val="16"/>
        </w:rPr>
        <w:t> </w:t>
      </w:r>
      <w:r>
        <w:rPr>
          <w:color w:val="231F20"/>
          <w:sz w:val="16"/>
        </w:rPr>
        <w:t>de</w:t>
      </w:r>
      <w:r>
        <w:rPr>
          <w:color w:val="231F20"/>
          <w:spacing w:val="-6"/>
          <w:sz w:val="16"/>
        </w:rPr>
        <w:t> </w:t>
      </w:r>
      <w:r>
        <w:rPr>
          <w:color w:val="231F20"/>
          <w:sz w:val="16"/>
        </w:rPr>
        <w:t>Transparencia</w:t>
      </w:r>
      <w:r>
        <w:rPr>
          <w:color w:val="231F20"/>
          <w:spacing w:val="-6"/>
          <w:sz w:val="16"/>
        </w:rPr>
        <w:t> </w:t>
      </w:r>
      <w:r>
        <w:rPr>
          <w:color w:val="231F20"/>
          <w:sz w:val="16"/>
        </w:rPr>
        <w:t>y</w:t>
      </w:r>
      <w:r>
        <w:rPr>
          <w:color w:val="231F20"/>
          <w:spacing w:val="-6"/>
          <w:sz w:val="16"/>
        </w:rPr>
        <w:t> </w:t>
      </w:r>
      <w:r>
        <w:rPr>
          <w:color w:val="231F20"/>
          <w:sz w:val="16"/>
        </w:rPr>
        <w:t>Acceso</w:t>
      </w:r>
      <w:r>
        <w:rPr>
          <w:color w:val="231F20"/>
          <w:spacing w:val="-6"/>
          <w:sz w:val="16"/>
        </w:rPr>
        <w:t> </w:t>
      </w:r>
      <w:r>
        <w:rPr>
          <w:color w:val="231F20"/>
          <w:sz w:val="16"/>
        </w:rPr>
        <w:t>a</w:t>
      </w:r>
      <w:r>
        <w:rPr>
          <w:color w:val="231F20"/>
          <w:spacing w:val="-6"/>
          <w:sz w:val="16"/>
        </w:rPr>
        <w:t> </w:t>
      </w:r>
      <w:r>
        <w:rPr>
          <w:color w:val="231F20"/>
          <w:sz w:val="16"/>
        </w:rPr>
        <w:t>la</w:t>
      </w:r>
      <w:r>
        <w:rPr>
          <w:color w:val="231F20"/>
          <w:spacing w:val="-6"/>
          <w:sz w:val="16"/>
        </w:rPr>
        <w:t> </w:t>
      </w:r>
      <w:r>
        <w:rPr>
          <w:color w:val="231F20"/>
          <w:sz w:val="16"/>
        </w:rPr>
        <w:t>Información</w:t>
      </w:r>
      <w:r>
        <w:rPr>
          <w:color w:val="231F20"/>
          <w:spacing w:val="-6"/>
          <w:sz w:val="16"/>
        </w:rPr>
        <w:t> </w:t>
      </w:r>
      <w:r>
        <w:rPr>
          <w:color w:val="231F20"/>
          <w:sz w:val="16"/>
        </w:rPr>
        <w:t>Pública</w:t>
      </w:r>
      <w:r>
        <w:rPr>
          <w:color w:val="231F20"/>
          <w:spacing w:val="-6"/>
          <w:sz w:val="16"/>
        </w:rPr>
        <w:t> </w:t>
      </w:r>
      <w:r>
        <w:rPr>
          <w:color w:val="231F20"/>
          <w:sz w:val="16"/>
        </w:rPr>
        <w:t>es</w:t>
      </w:r>
      <w:r>
        <w:rPr>
          <w:color w:val="231F20"/>
          <w:spacing w:val="-6"/>
          <w:sz w:val="16"/>
        </w:rPr>
        <w:t> </w:t>
      </w:r>
      <w:r>
        <w:rPr>
          <w:color w:val="231F20"/>
          <w:sz w:val="16"/>
        </w:rPr>
        <w:t>resultado</w:t>
      </w:r>
      <w:r>
        <w:rPr>
          <w:color w:val="231F20"/>
          <w:spacing w:val="-6"/>
          <w:sz w:val="16"/>
        </w:rPr>
        <w:t> </w:t>
      </w:r>
      <w:r>
        <w:rPr>
          <w:color w:val="231F20"/>
          <w:sz w:val="16"/>
        </w:rPr>
        <w:t>del</w:t>
      </w:r>
      <w:r>
        <w:rPr>
          <w:color w:val="231F20"/>
          <w:spacing w:val="-6"/>
          <w:sz w:val="16"/>
        </w:rPr>
        <w:t> </w:t>
      </w:r>
      <w:r>
        <w:rPr>
          <w:color w:val="231F20"/>
          <w:sz w:val="16"/>
        </w:rPr>
        <w:t>orde- namiento</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Ley</w:t>
      </w:r>
      <w:r>
        <w:rPr>
          <w:color w:val="231F20"/>
          <w:spacing w:val="-9"/>
          <w:sz w:val="16"/>
        </w:rPr>
        <w:t> </w:t>
      </w:r>
      <w:r>
        <w:rPr>
          <w:color w:val="231F20"/>
          <w:sz w:val="16"/>
        </w:rPr>
        <w:t>de</w:t>
      </w:r>
      <w:r>
        <w:rPr>
          <w:color w:val="231F20"/>
          <w:spacing w:val="-9"/>
          <w:sz w:val="16"/>
        </w:rPr>
        <w:t> </w:t>
      </w:r>
      <w:r>
        <w:rPr>
          <w:color w:val="231F20"/>
          <w:sz w:val="16"/>
        </w:rPr>
        <w:t>Transparencia</w:t>
      </w:r>
      <w:r>
        <w:rPr>
          <w:color w:val="231F20"/>
          <w:spacing w:val="-9"/>
          <w:sz w:val="16"/>
        </w:rPr>
        <w:t> </w:t>
      </w:r>
      <w:r>
        <w:rPr>
          <w:color w:val="231F20"/>
          <w:sz w:val="16"/>
        </w:rPr>
        <w:t>y</w:t>
      </w:r>
      <w:r>
        <w:rPr>
          <w:color w:val="231F20"/>
          <w:spacing w:val="-9"/>
          <w:sz w:val="16"/>
        </w:rPr>
        <w:t> </w:t>
      </w:r>
      <w:r>
        <w:rPr>
          <w:color w:val="231F20"/>
          <w:sz w:val="16"/>
        </w:rPr>
        <w:t>Acceso</w:t>
      </w:r>
      <w:r>
        <w:rPr>
          <w:color w:val="231F20"/>
          <w:spacing w:val="-9"/>
          <w:sz w:val="16"/>
        </w:rPr>
        <w:t> </w:t>
      </w:r>
      <w:r>
        <w:rPr>
          <w:color w:val="231F20"/>
          <w:sz w:val="16"/>
        </w:rPr>
        <w:t>a</w:t>
      </w:r>
      <w:r>
        <w:rPr>
          <w:color w:val="231F20"/>
          <w:spacing w:val="-9"/>
          <w:sz w:val="16"/>
        </w:rPr>
        <w:t> </w:t>
      </w:r>
      <w:r>
        <w:rPr>
          <w:color w:val="231F20"/>
          <w:sz w:val="16"/>
        </w:rPr>
        <w:t>la</w:t>
      </w:r>
      <w:r>
        <w:rPr>
          <w:color w:val="231F20"/>
          <w:spacing w:val="-9"/>
          <w:sz w:val="16"/>
        </w:rPr>
        <w:t> </w:t>
      </w:r>
      <w:r>
        <w:rPr>
          <w:color w:val="231F20"/>
          <w:sz w:val="16"/>
        </w:rPr>
        <w:t>Información</w:t>
      </w:r>
      <w:r>
        <w:rPr>
          <w:color w:val="231F20"/>
          <w:spacing w:val="-9"/>
          <w:sz w:val="16"/>
        </w:rPr>
        <w:t> </w:t>
      </w:r>
      <w:r>
        <w:rPr>
          <w:color w:val="231F20"/>
          <w:sz w:val="16"/>
        </w:rPr>
        <w:t>Pública</w:t>
      </w:r>
      <w:r>
        <w:rPr>
          <w:color w:val="231F20"/>
          <w:spacing w:val="-9"/>
          <w:sz w:val="16"/>
        </w:rPr>
        <w:t> </w:t>
      </w:r>
      <w:r>
        <w:rPr>
          <w:color w:val="231F20"/>
          <w:sz w:val="16"/>
        </w:rPr>
        <w:t>del</w:t>
      </w:r>
      <w:r>
        <w:rPr>
          <w:color w:val="231F20"/>
          <w:spacing w:val="-9"/>
          <w:sz w:val="16"/>
        </w:rPr>
        <w:t> </w:t>
      </w:r>
      <w:r>
        <w:rPr>
          <w:color w:val="231F20"/>
          <w:sz w:val="16"/>
        </w:rPr>
        <w:t>Estado</w:t>
      </w:r>
      <w:r>
        <w:rPr>
          <w:color w:val="231F20"/>
          <w:spacing w:val="-9"/>
          <w:sz w:val="16"/>
        </w:rPr>
        <w:t> </w:t>
      </w:r>
      <w:r>
        <w:rPr>
          <w:color w:val="231F20"/>
          <w:sz w:val="16"/>
        </w:rPr>
        <w:t>de</w:t>
      </w:r>
      <w:r>
        <w:rPr>
          <w:color w:val="231F20"/>
          <w:spacing w:val="-9"/>
          <w:sz w:val="16"/>
        </w:rPr>
        <w:t> </w:t>
      </w:r>
      <w:r>
        <w:rPr>
          <w:color w:val="231F20"/>
          <w:sz w:val="16"/>
        </w:rPr>
        <w:t>México</w:t>
      </w:r>
      <w:r>
        <w:rPr>
          <w:color w:val="231F20"/>
          <w:spacing w:val="-9"/>
          <w:sz w:val="16"/>
        </w:rPr>
        <w:t> </w:t>
      </w:r>
      <w:r>
        <w:rPr>
          <w:color w:val="231F20"/>
          <w:sz w:val="16"/>
        </w:rPr>
        <w:t>y</w:t>
      </w:r>
      <w:r>
        <w:rPr>
          <w:color w:val="231F20"/>
          <w:spacing w:val="-9"/>
          <w:sz w:val="16"/>
        </w:rPr>
        <w:t> </w:t>
      </w:r>
      <w:r>
        <w:rPr>
          <w:color w:val="231F20"/>
          <w:sz w:val="16"/>
        </w:rPr>
        <w:t>Municipios</w:t>
      </w:r>
      <w:r>
        <w:rPr>
          <w:color w:val="231F20"/>
          <w:spacing w:val="-9"/>
          <w:sz w:val="16"/>
        </w:rPr>
        <w:t> </w:t>
      </w:r>
      <w:r>
        <w:rPr>
          <w:color w:val="231F20"/>
          <w:sz w:val="16"/>
        </w:rPr>
        <w:t>que</w:t>
      </w:r>
      <w:r>
        <w:rPr>
          <w:color w:val="231F20"/>
          <w:spacing w:val="-9"/>
          <w:sz w:val="16"/>
        </w:rPr>
        <w:t> </w:t>
      </w:r>
      <w:r>
        <w:rPr>
          <w:color w:val="231F20"/>
          <w:sz w:val="16"/>
        </w:rPr>
        <w:t>obligó</w:t>
      </w:r>
      <w:r>
        <w:rPr>
          <w:color w:val="231F20"/>
          <w:spacing w:val="-9"/>
          <w:sz w:val="16"/>
        </w:rPr>
        <w:t> </w:t>
      </w:r>
      <w:r>
        <w:rPr>
          <w:color w:val="231F20"/>
          <w:sz w:val="16"/>
        </w:rPr>
        <w:t>a</w:t>
      </w:r>
      <w:r>
        <w:rPr>
          <w:color w:val="231F20"/>
          <w:spacing w:val="-9"/>
          <w:sz w:val="16"/>
        </w:rPr>
        <w:t> </w:t>
      </w:r>
      <w:r>
        <w:rPr>
          <w:color w:val="231F20"/>
          <w:sz w:val="16"/>
        </w:rPr>
        <w:t>estos últimos a instalar dentro de su estructura administrativa a dichas unidades de atención y acceso a la información pública municipal.</w:t>
      </w:r>
      <w:r>
        <w:rPr>
          <w:color w:val="231F20"/>
          <w:spacing w:val="-7"/>
          <w:sz w:val="16"/>
        </w:rPr>
        <w:t> </w:t>
      </w:r>
      <w:r>
        <w:rPr>
          <w:color w:val="231F20"/>
          <w:sz w:val="16"/>
        </w:rPr>
        <w:t>Al</w:t>
      </w:r>
      <w:r>
        <w:rPr>
          <w:color w:val="231F20"/>
          <w:spacing w:val="-7"/>
          <w:sz w:val="16"/>
        </w:rPr>
        <w:t> </w:t>
      </w:r>
      <w:r>
        <w:rPr>
          <w:color w:val="231F20"/>
          <w:sz w:val="16"/>
        </w:rPr>
        <w:t>final</w:t>
      </w:r>
      <w:r>
        <w:rPr>
          <w:color w:val="231F20"/>
          <w:spacing w:val="-7"/>
          <w:sz w:val="16"/>
        </w:rPr>
        <w:t> </w:t>
      </w:r>
      <w:r>
        <w:rPr>
          <w:color w:val="231F20"/>
          <w:sz w:val="16"/>
        </w:rPr>
        <w:t>fue</w:t>
      </w:r>
      <w:r>
        <w:rPr>
          <w:color w:val="231F20"/>
          <w:spacing w:val="-7"/>
          <w:sz w:val="16"/>
        </w:rPr>
        <w:t> </w:t>
      </w:r>
      <w:r>
        <w:rPr>
          <w:color w:val="231F20"/>
          <w:sz w:val="16"/>
        </w:rPr>
        <w:t>por</w:t>
      </w:r>
      <w:r>
        <w:rPr>
          <w:color w:val="231F20"/>
          <w:spacing w:val="-7"/>
          <w:sz w:val="16"/>
        </w:rPr>
        <w:t> </w:t>
      </w:r>
      <w:r>
        <w:rPr>
          <w:color w:val="231F20"/>
          <w:sz w:val="16"/>
        </w:rPr>
        <w:t>exigencia</w:t>
      </w:r>
      <w:r>
        <w:rPr>
          <w:color w:val="231F20"/>
          <w:spacing w:val="-7"/>
          <w:sz w:val="16"/>
        </w:rPr>
        <w:t> </w:t>
      </w:r>
      <w:r>
        <w:rPr>
          <w:color w:val="231F20"/>
          <w:sz w:val="16"/>
        </w:rPr>
        <w:t>del</w:t>
      </w:r>
      <w:r>
        <w:rPr>
          <w:color w:val="231F20"/>
          <w:spacing w:val="-7"/>
          <w:sz w:val="16"/>
        </w:rPr>
        <w:t> </w:t>
      </w:r>
      <w:r>
        <w:rPr>
          <w:color w:val="231F20"/>
          <w:sz w:val="16"/>
        </w:rPr>
        <w:t>mandato</w:t>
      </w:r>
      <w:r>
        <w:rPr>
          <w:color w:val="231F20"/>
          <w:spacing w:val="-7"/>
          <w:sz w:val="16"/>
        </w:rPr>
        <w:t> </w:t>
      </w:r>
      <w:r>
        <w:rPr>
          <w:color w:val="231F20"/>
          <w:sz w:val="16"/>
        </w:rPr>
        <w:t>de</w:t>
      </w:r>
      <w:r>
        <w:rPr>
          <w:color w:val="231F20"/>
          <w:spacing w:val="-7"/>
          <w:sz w:val="16"/>
        </w:rPr>
        <w:t> </w:t>
      </w:r>
      <w:r>
        <w:rPr>
          <w:color w:val="231F20"/>
          <w:sz w:val="16"/>
        </w:rPr>
        <w:t>una</w:t>
      </w:r>
      <w:r>
        <w:rPr>
          <w:color w:val="231F20"/>
          <w:spacing w:val="-7"/>
          <w:sz w:val="16"/>
        </w:rPr>
        <w:t> </w:t>
      </w:r>
      <w:r>
        <w:rPr>
          <w:color w:val="231F20"/>
          <w:sz w:val="16"/>
        </w:rPr>
        <w:t>ley</w:t>
      </w:r>
      <w:r>
        <w:rPr>
          <w:color w:val="231F20"/>
          <w:spacing w:val="-7"/>
          <w:sz w:val="16"/>
        </w:rPr>
        <w:t> </w:t>
      </w:r>
      <w:r>
        <w:rPr>
          <w:color w:val="231F20"/>
          <w:sz w:val="16"/>
        </w:rPr>
        <w:t>estatal</w:t>
      </w:r>
      <w:r>
        <w:rPr>
          <w:color w:val="231F20"/>
          <w:spacing w:val="-7"/>
          <w:sz w:val="16"/>
        </w:rPr>
        <w:t> </w:t>
      </w:r>
      <w:r>
        <w:rPr>
          <w:color w:val="231F20"/>
          <w:sz w:val="16"/>
        </w:rPr>
        <w:t>que</w:t>
      </w:r>
      <w:r>
        <w:rPr>
          <w:color w:val="231F20"/>
          <w:spacing w:val="-7"/>
          <w:sz w:val="16"/>
        </w:rPr>
        <w:t> </w:t>
      </w:r>
      <w:r>
        <w:rPr>
          <w:color w:val="231F20"/>
          <w:sz w:val="16"/>
        </w:rPr>
        <w:t>los</w:t>
      </w:r>
      <w:r>
        <w:rPr>
          <w:color w:val="231F20"/>
          <w:spacing w:val="-7"/>
          <w:sz w:val="16"/>
        </w:rPr>
        <w:t> </w:t>
      </w:r>
      <w:r>
        <w:rPr>
          <w:color w:val="231F20"/>
          <w:sz w:val="16"/>
        </w:rPr>
        <w:t>municipios</w:t>
      </w:r>
      <w:r>
        <w:rPr>
          <w:color w:val="231F20"/>
          <w:spacing w:val="-7"/>
          <w:sz w:val="16"/>
        </w:rPr>
        <w:t> </w:t>
      </w:r>
      <w:r>
        <w:rPr>
          <w:color w:val="231F20"/>
          <w:sz w:val="16"/>
        </w:rPr>
        <w:t>del</w:t>
      </w:r>
      <w:r>
        <w:rPr>
          <w:color w:val="231F20"/>
          <w:spacing w:val="-7"/>
          <w:sz w:val="16"/>
        </w:rPr>
        <w:t> </w:t>
      </w:r>
      <w:r>
        <w:rPr>
          <w:color w:val="231F20"/>
          <w:sz w:val="16"/>
        </w:rPr>
        <w:t>Estado</w:t>
      </w:r>
      <w:r>
        <w:rPr>
          <w:color w:val="231F20"/>
          <w:spacing w:val="-7"/>
          <w:sz w:val="16"/>
        </w:rPr>
        <w:t> </w:t>
      </w:r>
      <w:r>
        <w:rPr>
          <w:color w:val="231F20"/>
          <w:sz w:val="16"/>
        </w:rPr>
        <w:t>de</w:t>
      </w:r>
      <w:r>
        <w:rPr>
          <w:color w:val="231F20"/>
          <w:spacing w:val="-7"/>
          <w:sz w:val="16"/>
        </w:rPr>
        <w:t> </w:t>
      </w:r>
      <w:r>
        <w:rPr>
          <w:color w:val="231F20"/>
          <w:sz w:val="16"/>
        </w:rPr>
        <w:t>México</w:t>
      </w:r>
      <w:r>
        <w:rPr>
          <w:color w:val="231F20"/>
          <w:spacing w:val="-7"/>
          <w:sz w:val="16"/>
        </w:rPr>
        <w:t> </w:t>
      </w:r>
      <w:r>
        <w:rPr>
          <w:color w:val="231F20"/>
          <w:sz w:val="16"/>
        </w:rPr>
        <w:t>quedaron</w:t>
      </w:r>
      <w:r>
        <w:rPr>
          <w:color w:val="231F20"/>
          <w:spacing w:val="-7"/>
          <w:sz w:val="16"/>
        </w:rPr>
        <w:t> </w:t>
      </w:r>
      <w:r>
        <w:rPr>
          <w:color w:val="231F20"/>
          <w:sz w:val="16"/>
        </w:rPr>
        <w:t>obli- gados</w:t>
      </w:r>
      <w:r>
        <w:rPr>
          <w:color w:val="231F20"/>
          <w:spacing w:val="-9"/>
          <w:sz w:val="16"/>
        </w:rPr>
        <w:t> </w:t>
      </w:r>
      <w:r>
        <w:rPr>
          <w:color w:val="231F20"/>
          <w:sz w:val="16"/>
        </w:rPr>
        <w:t>a</w:t>
      </w:r>
      <w:r>
        <w:rPr>
          <w:color w:val="231F20"/>
          <w:spacing w:val="-9"/>
          <w:sz w:val="16"/>
        </w:rPr>
        <w:t> </w:t>
      </w:r>
      <w:r>
        <w:rPr>
          <w:color w:val="231F20"/>
          <w:sz w:val="16"/>
        </w:rPr>
        <w:t>crear</w:t>
      </w:r>
      <w:r>
        <w:rPr>
          <w:color w:val="231F20"/>
          <w:spacing w:val="-9"/>
          <w:sz w:val="16"/>
        </w:rPr>
        <w:t> </w:t>
      </w:r>
      <w:r>
        <w:rPr>
          <w:color w:val="231F20"/>
          <w:sz w:val="16"/>
        </w:rPr>
        <w:t>este</w:t>
      </w:r>
      <w:r>
        <w:rPr>
          <w:color w:val="231F20"/>
          <w:spacing w:val="-9"/>
          <w:sz w:val="16"/>
        </w:rPr>
        <w:t> </w:t>
      </w:r>
      <w:r>
        <w:rPr>
          <w:color w:val="231F20"/>
          <w:sz w:val="16"/>
        </w:rPr>
        <w:t>tipo</w:t>
      </w:r>
      <w:r>
        <w:rPr>
          <w:color w:val="231F20"/>
          <w:spacing w:val="-9"/>
          <w:sz w:val="16"/>
        </w:rPr>
        <w:t> </w:t>
      </w:r>
      <w:r>
        <w:rPr>
          <w:color w:val="231F20"/>
          <w:sz w:val="16"/>
        </w:rPr>
        <w:t>de</w:t>
      </w:r>
      <w:r>
        <w:rPr>
          <w:color w:val="231F20"/>
          <w:spacing w:val="-9"/>
          <w:sz w:val="16"/>
        </w:rPr>
        <w:t> </w:t>
      </w:r>
      <w:r>
        <w:rPr>
          <w:color w:val="231F20"/>
          <w:sz w:val="16"/>
        </w:rPr>
        <w:t>unidades,</w:t>
      </w:r>
      <w:r>
        <w:rPr>
          <w:color w:val="231F20"/>
          <w:spacing w:val="-9"/>
          <w:sz w:val="16"/>
        </w:rPr>
        <w:t> </w:t>
      </w:r>
      <w:r>
        <w:rPr>
          <w:color w:val="231F20"/>
          <w:sz w:val="16"/>
        </w:rPr>
        <w:t>independientemente</w:t>
      </w:r>
      <w:r>
        <w:rPr>
          <w:color w:val="231F20"/>
          <w:spacing w:val="-9"/>
          <w:sz w:val="16"/>
        </w:rPr>
        <w:t> </w:t>
      </w:r>
      <w:r>
        <w:rPr>
          <w:color w:val="231F20"/>
          <w:sz w:val="16"/>
        </w:rPr>
        <w:t>de</w:t>
      </w:r>
      <w:r>
        <w:rPr>
          <w:color w:val="231F20"/>
          <w:spacing w:val="-9"/>
          <w:sz w:val="16"/>
        </w:rPr>
        <w:t> </w:t>
      </w:r>
      <w:r>
        <w:rPr>
          <w:color w:val="231F20"/>
          <w:sz w:val="16"/>
        </w:rPr>
        <w:t>si</w:t>
      </w:r>
      <w:r>
        <w:rPr>
          <w:color w:val="231F20"/>
          <w:spacing w:val="-9"/>
          <w:sz w:val="16"/>
        </w:rPr>
        <w:t> </w:t>
      </w:r>
      <w:r>
        <w:rPr>
          <w:color w:val="231F20"/>
          <w:sz w:val="16"/>
        </w:rPr>
        <w:t>las</w:t>
      </w:r>
      <w:r>
        <w:rPr>
          <w:color w:val="231F20"/>
          <w:spacing w:val="-9"/>
          <w:sz w:val="16"/>
        </w:rPr>
        <w:t> </w:t>
      </w:r>
      <w:r>
        <w:rPr>
          <w:color w:val="231F20"/>
          <w:sz w:val="16"/>
        </w:rPr>
        <w:t>autoridades</w:t>
      </w:r>
      <w:r>
        <w:rPr>
          <w:color w:val="231F20"/>
          <w:spacing w:val="-9"/>
          <w:sz w:val="16"/>
        </w:rPr>
        <w:t> </w:t>
      </w:r>
      <w:r>
        <w:rPr>
          <w:color w:val="231F20"/>
          <w:sz w:val="16"/>
        </w:rPr>
        <w:t>locales</w:t>
      </w:r>
      <w:r>
        <w:rPr>
          <w:color w:val="231F20"/>
          <w:spacing w:val="-9"/>
          <w:sz w:val="16"/>
        </w:rPr>
        <w:t> </w:t>
      </w:r>
      <w:r>
        <w:rPr>
          <w:color w:val="231F20"/>
          <w:sz w:val="16"/>
        </w:rPr>
        <w:t>pretendieron</w:t>
      </w:r>
      <w:r>
        <w:rPr>
          <w:color w:val="231F20"/>
          <w:spacing w:val="-9"/>
          <w:sz w:val="16"/>
        </w:rPr>
        <w:t> </w:t>
      </w:r>
      <w:r>
        <w:rPr>
          <w:color w:val="231F20"/>
          <w:sz w:val="16"/>
        </w:rPr>
        <w:t>o</w:t>
      </w:r>
      <w:r>
        <w:rPr>
          <w:color w:val="231F20"/>
          <w:spacing w:val="-9"/>
          <w:sz w:val="16"/>
        </w:rPr>
        <w:t> </w:t>
      </w:r>
      <w:r>
        <w:rPr>
          <w:color w:val="231F20"/>
          <w:sz w:val="16"/>
        </w:rPr>
        <w:t>incluso</w:t>
      </w:r>
      <w:r>
        <w:rPr>
          <w:color w:val="231F20"/>
          <w:spacing w:val="-9"/>
          <w:sz w:val="16"/>
        </w:rPr>
        <w:t> </w:t>
      </w:r>
      <w:r>
        <w:rPr>
          <w:color w:val="231F20"/>
          <w:sz w:val="16"/>
        </w:rPr>
        <w:t>contaban</w:t>
      </w:r>
      <w:r>
        <w:rPr>
          <w:color w:val="231F20"/>
          <w:spacing w:val="-9"/>
          <w:sz w:val="16"/>
        </w:rPr>
        <w:t> </w:t>
      </w:r>
      <w:r>
        <w:rPr>
          <w:color w:val="231F20"/>
          <w:sz w:val="16"/>
        </w:rPr>
        <w:t>con dependencias</w:t>
      </w:r>
      <w:r>
        <w:rPr>
          <w:color w:val="231F20"/>
          <w:spacing w:val="-9"/>
          <w:sz w:val="16"/>
        </w:rPr>
        <w:t> </w:t>
      </w:r>
      <w:r>
        <w:rPr>
          <w:color w:val="231F20"/>
          <w:sz w:val="16"/>
        </w:rPr>
        <w:t>para</w:t>
      </w:r>
      <w:r>
        <w:rPr>
          <w:color w:val="231F20"/>
          <w:spacing w:val="-9"/>
          <w:sz w:val="16"/>
        </w:rPr>
        <w:t> </w:t>
      </w:r>
      <w:r>
        <w:rPr>
          <w:color w:val="231F20"/>
          <w:sz w:val="16"/>
        </w:rPr>
        <w:t>facilitar</w:t>
      </w:r>
      <w:r>
        <w:rPr>
          <w:color w:val="231F20"/>
          <w:spacing w:val="-9"/>
          <w:sz w:val="16"/>
        </w:rPr>
        <w:t> </w:t>
      </w:r>
      <w:r>
        <w:rPr>
          <w:color w:val="231F20"/>
          <w:sz w:val="16"/>
        </w:rPr>
        <w:t>el</w:t>
      </w:r>
      <w:r>
        <w:rPr>
          <w:color w:val="231F20"/>
          <w:spacing w:val="-9"/>
          <w:sz w:val="16"/>
        </w:rPr>
        <w:t> </w:t>
      </w:r>
      <w:r>
        <w:rPr>
          <w:color w:val="231F20"/>
          <w:sz w:val="16"/>
        </w:rPr>
        <w:t>acceso</w:t>
      </w:r>
      <w:r>
        <w:rPr>
          <w:color w:val="231F20"/>
          <w:spacing w:val="-9"/>
          <w:sz w:val="16"/>
        </w:rPr>
        <w:t> </w:t>
      </w:r>
      <w:r>
        <w:rPr>
          <w:color w:val="231F20"/>
          <w:sz w:val="16"/>
        </w:rPr>
        <w:t>a</w:t>
      </w:r>
      <w:r>
        <w:rPr>
          <w:color w:val="231F20"/>
          <w:spacing w:val="-9"/>
          <w:sz w:val="16"/>
        </w:rPr>
        <w:t> </w:t>
      </w:r>
      <w:r>
        <w:rPr>
          <w:color w:val="231F20"/>
          <w:sz w:val="16"/>
        </w:rPr>
        <w:t>la</w:t>
      </w:r>
      <w:r>
        <w:rPr>
          <w:color w:val="231F20"/>
          <w:spacing w:val="-9"/>
          <w:sz w:val="16"/>
        </w:rPr>
        <w:t> </w:t>
      </w:r>
      <w:r>
        <w:rPr>
          <w:color w:val="231F20"/>
          <w:sz w:val="16"/>
        </w:rPr>
        <w:t>información</w:t>
      </w:r>
      <w:r>
        <w:rPr>
          <w:color w:val="231F20"/>
          <w:spacing w:val="-9"/>
          <w:sz w:val="16"/>
        </w:rPr>
        <w:t> </w:t>
      </w:r>
      <w:r>
        <w:rPr>
          <w:color w:val="231F20"/>
          <w:sz w:val="16"/>
        </w:rPr>
        <w:t>pública.</w:t>
      </w:r>
      <w:r>
        <w:rPr>
          <w:color w:val="231F20"/>
          <w:spacing w:val="-9"/>
          <w:sz w:val="16"/>
        </w:rPr>
        <w:t> </w:t>
      </w:r>
      <w:r>
        <w:rPr>
          <w:color w:val="231F20"/>
          <w:sz w:val="16"/>
        </w:rPr>
        <w:t>Para</w:t>
      </w:r>
      <w:r>
        <w:rPr>
          <w:color w:val="231F20"/>
          <w:spacing w:val="-9"/>
          <w:sz w:val="16"/>
        </w:rPr>
        <w:t> </w:t>
      </w:r>
      <w:r>
        <w:rPr>
          <w:color w:val="231F20"/>
          <w:sz w:val="16"/>
        </w:rPr>
        <w:t>el</w:t>
      </w:r>
      <w:r>
        <w:rPr>
          <w:color w:val="231F20"/>
          <w:spacing w:val="-9"/>
          <w:sz w:val="16"/>
        </w:rPr>
        <w:t> </w:t>
      </w:r>
      <w:r>
        <w:rPr>
          <w:color w:val="231F20"/>
          <w:sz w:val="16"/>
        </w:rPr>
        <w:t>caso</w:t>
      </w:r>
      <w:r>
        <w:rPr>
          <w:color w:val="231F20"/>
          <w:spacing w:val="-9"/>
          <w:sz w:val="16"/>
        </w:rPr>
        <w:t> </w:t>
      </w:r>
      <w:r>
        <w:rPr>
          <w:color w:val="231F20"/>
          <w:sz w:val="16"/>
        </w:rPr>
        <w:t>de</w:t>
      </w:r>
      <w:r>
        <w:rPr>
          <w:color w:val="231F20"/>
          <w:spacing w:val="-9"/>
          <w:sz w:val="16"/>
        </w:rPr>
        <w:t> </w:t>
      </w:r>
      <w:r>
        <w:rPr>
          <w:color w:val="231F20"/>
          <w:sz w:val="16"/>
        </w:rPr>
        <w:t>Huixquilucan</w:t>
      </w:r>
      <w:r>
        <w:rPr>
          <w:color w:val="231F20"/>
          <w:spacing w:val="-9"/>
          <w:sz w:val="16"/>
        </w:rPr>
        <w:t> </w:t>
      </w:r>
      <w:r>
        <w:rPr>
          <w:color w:val="231F20"/>
          <w:sz w:val="16"/>
        </w:rPr>
        <w:t>esta</w:t>
      </w:r>
      <w:r>
        <w:rPr>
          <w:color w:val="231F20"/>
          <w:spacing w:val="-9"/>
          <w:sz w:val="16"/>
        </w:rPr>
        <w:t> </w:t>
      </w:r>
      <w:r>
        <w:rPr>
          <w:color w:val="231F20"/>
          <w:sz w:val="16"/>
        </w:rPr>
        <w:t>unidad</w:t>
      </w:r>
      <w:r>
        <w:rPr>
          <w:color w:val="231F20"/>
          <w:spacing w:val="-9"/>
          <w:sz w:val="16"/>
        </w:rPr>
        <w:t> </w:t>
      </w:r>
      <w:r>
        <w:rPr>
          <w:color w:val="231F20"/>
          <w:sz w:val="16"/>
        </w:rPr>
        <w:t>no</w:t>
      </w:r>
      <w:r>
        <w:rPr>
          <w:color w:val="231F20"/>
          <w:spacing w:val="-9"/>
          <w:sz w:val="16"/>
        </w:rPr>
        <w:t> </w:t>
      </w:r>
      <w:r>
        <w:rPr>
          <w:color w:val="231F20"/>
          <w:sz w:val="16"/>
        </w:rPr>
        <w:t>existía</w:t>
      </w:r>
      <w:r>
        <w:rPr>
          <w:color w:val="231F20"/>
          <w:spacing w:val="-9"/>
          <w:sz w:val="16"/>
        </w:rPr>
        <w:t> </w:t>
      </w:r>
      <w:r>
        <w:rPr>
          <w:color w:val="231F20"/>
          <w:sz w:val="16"/>
        </w:rPr>
        <w:t>y</w:t>
      </w:r>
      <w:r>
        <w:rPr>
          <w:color w:val="231F20"/>
          <w:spacing w:val="-9"/>
          <w:sz w:val="16"/>
        </w:rPr>
        <w:t> </w:t>
      </w:r>
      <w:r>
        <w:rPr>
          <w:color w:val="231F20"/>
          <w:sz w:val="16"/>
        </w:rPr>
        <w:t>se</w:t>
      </w:r>
      <w:r>
        <w:rPr>
          <w:color w:val="231F20"/>
          <w:spacing w:val="-9"/>
          <w:sz w:val="16"/>
        </w:rPr>
        <w:t> </w:t>
      </w:r>
      <w:r>
        <w:rPr>
          <w:color w:val="231F20"/>
          <w:sz w:val="16"/>
        </w:rPr>
        <w:t>creó</w:t>
      </w:r>
      <w:r>
        <w:rPr>
          <w:color w:val="231F20"/>
          <w:spacing w:val="-9"/>
          <w:sz w:val="16"/>
        </w:rPr>
        <w:t> </w:t>
      </w:r>
      <w:r>
        <w:rPr>
          <w:color w:val="231F20"/>
          <w:sz w:val="16"/>
        </w:rPr>
        <w:t>a partir</w:t>
      </w:r>
      <w:r>
        <w:rPr>
          <w:color w:val="231F20"/>
          <w:spacing w:val="-9"/>
          <w:sz w:val="16"/>
        </w:rPr>
        <w:t> </w:t>
      </w:r>
      <w:r>
        <w:rPr>
          <w:color w:val="231F20"/>
          <w:sz w:val="16"/>
        </w:rPr>
        <w:t>del</w:t>
      </w:r>
      <w:r>
        <w:rPr>
          <w:color w:val="231F20"/>
          <w:spacing w:val="-9"/>
          <w:sz w:val="16"/>
        </w:rPr>
        <w:t> </w:t>
      </w:r>
      <w:r>
        <w:rPr>
          <w:color w:val="231F20"/>
          <w:sz w:val="16"/>
        </w:rPr>
        <w:t>ordenamiento</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ley</w:t>
      </w:r>
      <w:r>
        <w:rPr>
          <w:color w:val="231F20"/>
          <w:spacing w:val="-9"/>
          <w:sz w:val="16"/>
        </w:rPr>
        <w:t> </w:t>
      </w:r>
      <w:r>
        <w:rPr>
          <w:color w:val="231F20"/>
          <w:sz w:val="16"/>
        </w:rPr>
        <w:t>estatal</w:t>
      </w:r>
      <w:r>
        <w:rPr>
          <w:color w:val="231F20"/>
          <w:spacing w:val="-9"/>
          <w:sz w:val="16"/>
        </w:rPr>
        <w:t> </w:t>
      </w:r>
      <w:r>
        <w:rPr>
          <w:color w:val="231F20"/>
          <w:sz w:val="16"/>
        </w:rPr>
        <w:t>respectiva;</w:t>
      </w:r>
      <w:r>
        <w:rPr>
          <w:color w:val="231F20"/>
          <w:spacing w:val="-9"/>
          <w:sz w:val="16"/>
        </w:rPr>
        <w:t> </w:t>
      </w:r>
      <w:r>
        <w:rPr>
          <w:color w:val="231F20"/>
          <w:sz w:val="16"/>
        </w:rPr>
        <w:t>en</w:t>
      </w:r>
      <w:r>
        <w:rPr>
          <w:color w:val="231F20"/>
          <w:spacing w:val="-9"/>
          <w:sz w:val="16"/>
        </w:rPr>
        <w:t> </w:t>
      </w:r>
      <w:r>
        <w:rPr>
          <w:color w:val="231F20"/>
          <w:sz w:val="16"/>
        </w:rPr>
        <w:t>parte</w:t>
      </w:r>
      <w:r>
        <w:rPr>
          <w:color w:val="231F20"/>
          <w:spacing w:val="-9"/>
          <w:sz w:val="16"/>
        </w:rPr>
        <w:t> </w:t>
      </w:r>
      <w:r>
        <w:rPr>
          <w:color w:val="231F20"/>
          <w:sz w:val="16"/>
        </w:rPr>
        <w:t>esto</w:t>
      </w:r>
      <w:r>
        <w:rPr>
          <w:color w:val="231F20"/>
          <w:spacing w:val="-9"/>
          <w:sz w:val="16"/>
        </w:rPr>
        <w:t> </w:t>
      </w:r>
      <w:r>
        <w:rPr>
          <w:color w:val="231F20"/>
          <w:sz w:val="16"/>
        </w:rPr>
        <w:t>puede</w:t>
      </w:r>
      <w:r>
        <w:rPr>
          <w:color w:val="231F20"/>
          <w:spacing w:val="-9"/>
          <w:sz w:val="16"/>
        </w:rPr>
        <w:t> </w:t>
      </w:r>
      <w:r>
        <w:rPr>
          <w:color w:val="231F20"/>
          <w:sz w:val="16"/>
        </w:rPr>
        <w:t>explicar</w:t>
      </w:r>
      <w:r>
        <w:rPr>
          <w:color w:val="231F20"/>
          <w:spacing w:val="-9"/>
          <w:sz w:val="16"/>
        </w:rPr>
        <w:t> </w:t>
      </w:r>
      <w:r>
        <w:rPr>
          <w:color w:val="231F20"/>
          <w:sz w:val="16"/>
        </w:rPr>
        <w:t>el</w:t>
      </w:r>
      <w:r>
        <w:rPr>
          <w:color w:val="231F20"/>
          <w:spacing w:val="-9"/>
          <w:sz w:val="16"/>
        </w:rPr>
        <w:t> </w:t>
      </w:r>
      <w:r>
        <w:rPr>
          <w:color w:val="231F20"/>
          <w:sz w:val="16"/>
        </w:rPr>
        <w:t>desarrollo</w:t>
      </w:r>
      <w:r>
        <w:rPr>
          <w:color w:val="231F20"/>
          <w:spacing w:val="-9"/>
          <w:sz w:val="16"/>
        </w:rPr>
        <w:t> </w:t>
      </w:r>
      <w:r>
        <w:rPr>
          <w:color w:val="231F20"/>
          <w:sz w:val="16"/>
        </w:rPr>
        <w:t>y</w:t>
      </w:r>
      <w:r>
        <w:rPr>
          <w:color w:val="231F20"/>
          <w:spacing w:val="-9"/>
          <w:sz w:val="16"/>
        </w:rPr>
        <w:t> </w:t>
      </w:r>
      <w:r>
        <w:rPr>
          <w:color w:val="231F20"/>
          <w:sz w:val="16"/>
        </w:rPr>
        <w:t>funcionamiento</w:t>
      </w:r>
      <w:r>
        <w:rPr>
          <w:color w:val="231F20"/>
          <w:spacing w:val="-9"/>
          <w:sz w:val="16"/>
        </w:rPr>
        <w:t> </w:t>
      </w:r>
      <w:r>
        <w:rPr>
          <w:color w:val="231F20"/>
          <w:sz w:val="16"/>
        </w:rPr>
        <w:t>limitado</w:t>
      </w:r>
      <w:r>
        <w:rPr>
          <w:color w:val="231F20"/>
          <w:spacing w:val="-9"/>
          <w:sz w:val="16"/>
        </w:rPr>
        <w:t> </w:t>
      </w:r>
      <w:r>
        <w:rPr>
          <w:color w:val="231F20"/>
          <w:sz w:val="16"/>
        </w:rPr>
        <w:t>de dicha</w:t>
      </w:r>
      <w:r>
        <w:rPr>
          <w:color w:val="231F20"/>
          <w:spacing w:val="-12"/>
          <w:sz w:val="16"/>
        </w:rPr>
        <w:t> </w:t>
      </w:r>
      <w:r>
        <w:rPr>
          <w:color w:val="231F20"/>
          <w:sz w:val="16"/>
        </w:rPr>
        <w:t>Unidad</w:t>
      </w:r>
      <w:r>
        <w:rPr>
          <w:color w:val="231F20"/>
          <w:spacing w:val="-12"/>
          <w:sz w:val="16"/>
        </w:rPr>
        <w:t> </w:t>
      </w:r>
      <w:r>
        <w:rPr>
          <w:color w:val="231F20"/>
          <w:sz w:val="16"/>
        </w:rPr>
        <w:t>al</w:t>
      </w:r>
      <w:r>
        <w:rPr>
          <w:color w:val="231F20"/>
          <w:spacing w:val="-12"/>
          <w:sz w:val="16"/>
        </w:rPr>
        <w:t> </w:t>
      </w:r>
      <w:r>
        <w:rPr>
          <w:color w:val="231F20"/>
          <w:sz w:val="16"/>
        </w:rPr>
        <w:t>interior</w:t>
      </w:r>
      <w:r>
        <w:rPr>
          <w:color w:val="231F20"/>
          <w:spacing w:val="-12"/>
          <w:sz w:val="16"/>
        </w:rPr>
        <w:t> </w:t>
      </w:r>
      <w:r>
        <w:rPr>
          <w:color w:val="231F20"/>
          <w:sz w:val="16"/>
        </w:rPr>
        <w:t>de</w:t>
      </w:r>
      <w:r>
        <w:rPr>
          <w:color w:val="231F20"/>
          <w:spacing w:val="-12"/>
          <w:sz w:val="16"/>
        </w:rPr>
        <w:t> </w:t>
      </w:r>
      <w:r>
        <w:rPr>
          <w:color w:val="231F20"/>
          <w:sz w:val="16"/>
        </w:rPr>
        <w:t>la</w:t>
      </w:r>
      <w:r>
        <w:rPr>
          <w:color w:val="231F20"/>
          <w:spacing w:val="-12"/>
          <w:sz w:val="16"/>
        </w:rPr>
        <w:t> </w:t>
      </w:r>
      <w:r>
        <w:rPr>
          <w:color w:val="231F20"/>
          <w:sz w:val="16"/>
        </w:rPr>
        <w:t>administración</w:t>
      </w:r>
      <w:r>
        <w:rPr>
          <w:color w:val="231F20"/>
          <w:spacing w:val="-12"/>
          <w:sz w:val="16"/>
        </w:rPr>
        <w:t> </w:t>
      </w:r>
      <w:r>
        <w:rPr>
          <w:color w:val="231F20"/>
          <w:sz w:val="16"/>
        </w:rPr>
        <w:t>municipal.</w:t>
      </w:r>
    </w:p>
    <w:p>
      <w:pPr>
        <w:pStyle w:val="ListParagraph"/>
        <w:numPr>
          <w:ilvl w:val="0"/>
          <w:numId w:val="4"/>
        </w:numPr>
        <w:tabs>
          <w:tab w:pos="295" w:val="left" w:leader="none"/>
        </w:tabs>
        <w:spacing w:line="244" w:lineRule="auto" w:before="0" w:after="0"/>
        <w:ind w:left="110" w:right="109" w:firstLine="0"/>
        <w:jc w:val="both"/>
        <w:rPr>
          <w:sz w:val="16"/>
        </w:rPr>
      </w:pPr>
      <w:r>
        <w:rPr>
          <w:color w:val="231F20"/>
          <w:sz w:val="16"/>
        </w:rPr>
        <w:t>Los</w:t>
      </w:r>
      <w:r>
        <w:rPr>
          <w:color w:val="231F20"/>
          <w:spacing w:val="-6"/>
          <w:sz w:val="16"/>
        </w:rPr>
        <w:t> </w:t>
      </w:r>
      <w:r>
        <w:rPr>
          <w:color w:val="231F20"/>
          <w:sz w:val="16"/>
        </w:rPr>
        <w:t>únicos</w:t>
      </w:r>
      <w:r>
        <w:rPr>
          <w:color w:val="231F20"/>
          <w:spacing w:val="-6"/>
          <w:sz w:val="16"/>
        </w:rPr>
        <w:t> </w:t>
      </w:r>
      <w:r>
        <w:rPr>
          <w:color w:val="231F20"/>
          <w:sz w:val="16"/>
        </w:rPr>
        <w:t>órganos</w:t>
      </w:r>
      <w:r>
        <w:rPr>
          <w:color w:val="231F20"/>
          <w:spacing w:val="-6"/>
          <w:sz w:val="16"/>
        </w:rPr>
        <w:t> </w:t>
      </w:r>
      <w:r>
        <w:rPr>
          <w:color w:val="231F20"/>
          <w:sz w:val="16"/>
        </w:rPr>
        <w:t>descentralizados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APM</w:t>
      </w:r>
      <w:r>
        <w:rPr>
          <w:color w:val="231F20"/>
          <w:spacing w:val="-6"/>
          <w:sz w:val="16"/>
        </w:rPr>
        <w:t> </w:t>
      </w:r>
      <w:r>
        <w:rPr>
          <w:color w:val="231F20"/>
          <w:sz w:val="16"/>
        </w:rPr>
        <w:t>son</w:t>
      </w:r>
      <w:r>
        <w:rPr>
          <w:color w:val="231F20"/>
          <w:spacing w:val="-6"/>
          <w:sz w:val="16"/>
        </w:rPr>
        <w:t> </w:t>
      </w:r>
      <w:r>
        <w:rPr>
          <w:color w:val="231F20"/>
          <w:sz w:val="16"/>
        </w:rPr>
        <w:t>el</w:t>
      </w:r>
      <w:r>
        <w:rPr>
          <w:color w:val="231F20"/>
          <w:spacing w:val="-6"/>
          <w:sz w:val="16"/>
        </w:rPr>
        <w:t> </w:t>
      </w:r>
      <w:r>
        <w:rPr>
          <w:color w:val="231F20"/>
          <w:sz w:val="16"/>
        </w:rPr>
        <w:t>“Organismo</w:t>
      </w:r>
      <w:r>
        <w:rPr>
          <w:color w:val="231F20"/>
          <w:spacing w:val="-6"/>
          <w:sz w:val="16"/>
        </w:rPr>
        <w:t> </w:t>
      </w:r>
      <w:r>
        <w:rPr>
          <w:color w:val="231F20"/>
          <w:sz w:val="16"/>
        </w:rPr>
        <w:t>Operador</w:t>
      </w:r>
      <w:r>
        <w:rPr>
          <w:color w:val="231F20"/>
          <w:spacing w:val="-6"/>
          <w:sz w:val="16"/>
        </w:rPr>
        <w:t> </w:t>
      </w:r>
      <w:r>
        <w:rPr>
          <w:color w:val="231F20"/>
          <w:sz w:val="16"/>
        </w:rPr>
        <w:t>de</w:t>
      </w:r>
      <w:r>
        <w:rPr>
          <w:color w:val="231F20"/>
          <w:spacing w:val="-6"/>
          <w:sz w:val="16"/>
        </w:rPr>
        <w:t> </w:t>
      </w:r>
      <w:r>
        <w:rPr>
          <w:color w:val="231F20"/>
          <w:sz w:val="16"/>
        </w:rPr>
        <w:t>Aguas</w:t>
      </w:r>
      <w:r>
        <w:rPr>
          <w:color w:val="231F20"/>
          <w:spacing w:val="-6"/>
          <w:sz w:val="16"/>
        </w:rPr>
        <w:t> </w:t>
      </w:r>
      <w:r>
        <w:rPr>
          <w:color w:val="231F20"/>
          <w:sz w:val="16"/>
        </w:rPr>
        <w:t>de</w:t>
      </w:r>
      <w:r>
        <w:rPr>
          <w:color w:val="231F20"/>
          <w:spacing w:val="-6"/>
          <w:sz w:val="16"/>
        </w:rPr>
        <w:t> </w:t>
      </w:r>
      <w:r>
        <w:rPr>
          <w:color w:val="231F20"/>
          <w:sz w:val="16"/>
        </w:rPr>
        <w:t>Huixquilucan”,</w:t>
      </w:r>
      <w:r>
        <w:rPr>
          <w:color w:val="231F20"/>
          <w:spacing w:val="-6"/>
          <w:sz w:val="16"/>
        </w:rPr>
        <w:t> </w:t>
      </w:r>
      <w:r>
        <w:rPr>
          <w:color w:val="231F20"/>
          <w:sz w:val="16"/>
        </w:rPr>
        <w:t>y</w:t>
      </w:r>
      <w:r>
        <w:rPr>
          <w:color w:val="231F20"/>
          <w:spacing w:val="-6"/>
          <w:sz w:val="16"/>
        </w:rPr>
        <w:t> </w:t>
      </w:r>
      <w:r>
        <w:rPr>
          <w:color w:val="231F20"/>
          <w:sz w:val="16"/>
        </w:rPr>
        <w:t>el</w:t>
      </w:r>
      <w:r>
        <w:rPr>
          <w:color w:val="231F20"/>
          <w:spacing w:val="-6"/>
          <w:sz w:val="16"/>
        </w:rPr>
        <w:t> </w:t>
      </w:r>
      <w:r>
        <w:rPr>
          <w:color w:val="231F20"/>
          <w:sz w:val="16"/>
        </w:rPr>
        <w:t>sistema</w:t>
      </w:r>
      <w:r>
        <w:rPr>
          <w:color w:val="231F20"/>
          <w:spacing w:val="-6"/>
          <w:sz w:val="16"/>
        </w:rPr>
        <w:t> </w:t>
      </w:r>
      <w:r>
        <w:rPr>
          <w:color w:val="231F20"/>
          <w:sz w:val="16"/>
        </w:rPr>
        <w:t>DIF municipal.</w:t>
      </w:r>
    </w:p>
    <w:p>
      <w:pPr>
        <w:pStyle w:val="ListParagraph"/>
        <w:numPr>
          <w:ilvl w:val="0"/>
          <w:numId w:val="4"/>
        </w:numPr>
        <w:tabs>
          <w:tab w:pos="298" w:val="left" w:leader="none"/>
        </w:tabs>
        <w:spacing w:line="244" w:lineRule="auto" w:before="0" w:after="0"/>
        <w:ind w:left="110" w:right="108" w:firstLine="0"/>
        <w:jc w:val="both"/>
        <w:rPr>
          <w:sz w:val="16"/>
        </w:rPr>
      </w:pPr>
      <w:r>
        <w:rPr>
          <w:color w:val="231F20"/>
          <w:sz w:val="16"/>
        </w:rPr>
        <w:t>El</w:t>
      </w:r>
      <w:r>
        <w:rPr>
          <w:color w:val="231F20"/>
          <w:spacing w:val="-7"/>
          <w:sz w:val="16"/>
        </w:rPr>
        <w:t> </w:t>
      </w:r>
      <w:r>
        <w:rPr>
          <w:color w:val="231F20"/>
          <w:sz w:val="16"/>
        </w:rPr>
        <w:t>presidente</w:t>
      </w:r>
      <w:r>
        <w:rPr>
          <w:color w:val="231F20"/>
          <w:spacing w:val="-7"/>
          <w:sz w:val="16"/>
        </w:rPr>
        <w:t> </w:t>
      </w:r>
      <w:r>
        <w:rPr>
          <w:color w:val="231F20"/>
          <w:sz w:val="16"/>
        </w:rPr>
        <w:t>municipal,</w:t>
      </w:r>
      <w:r>
        <w:rPr>
          <w:color w:val="231F20"/>
          <w:spacing w:val="-7"/>
          <w:sz w:val="16"/>
        </w:rPr>
        <w:t> </w:t>
      </w:r>
      <w:r>
        <w:rPr>
          <w:color w:val="231F20"/>
          <w:sz w:val="16"/>
        </w:rPr>
        <w:t>Adrián</w:t>
      </w:r>
      <w:r>
        <w:rPr>
          <w:color w:val="231F20"/>
          <w:spacing w:val="-7"/>
          <w:sz w:val="16"/>
        </w:rPr>
        <w:t> </w:t>
      </w:r>
      <w:r>
        <w:rPr>
          <w:color w:val="231F20"/>
          <w:sz w:val="16"/>
        </w:rPr>
        <w:t>Fuentes,</w:t>
      </w:r>
      <w:r>
        <w:rPr>
          <w:color w:val="231F20"/>
          <w:spacing w:val="-7"/>
          <w:sz w:val="16"/>
        </w:rPr>
        <w:t> </w:t>
      </w:r>
      <w:r>
        <w:rPr>
          <w:color w:val="231F20"/>
          <w:sz w:val="16"/>
        </w:rPr>
        <w:t>promociona</w:t>
      </w:r>
      <w:r>
        <w:rPr>
          <w:color w:val="231F20"/>
          <w:spacing w:val="-7"/>
          <w:sz w:val="16"/>
        </w:rPr>
        <w:t> </w:t>
      </w:r>
      <w:r>
        <w:rPr>
          <w:color w:val="231F20"/>
          <w:sz w:val="16"/>
        </w:rPr>
        <w:t>que</w:t>
      </w:r>
      <w:r>
        <w:rPr>
          <w:color w:val="231F20"/>
          <w:spacing w:val="-7"/>
          <w:sz w:val="16"/>
        </w:rPr>
        <w:t> </w:t>
      </w:r>
      <w:r>
        <w:rPr>
          <w:color w:val="231F20"/>
          <w:sz w:val="16"/>
        </w:rPr>
        <w:t>en</w:t>
      </w:r>
      <w:r>
        <w:rPr>
          <w:color w:val="231F20"/>
          <w:spacing w:val="-7"/>
          <w:sz w:val="16"/>
        </w:rPr>
        <w:t> </w:t>
      </w:r>
      <w:r>
        <w:rPr>
          <w:color w:val="231F20"/>
          <w:sz w:val="16"/>
        </w:rPr>
        <w:t>su</w:t>
      </w:r>
      <w:r>
        <w:rPr>
          <w:color w:val="231F20"/>
          <w:spacing w:val="-7"/>
          <w:sz w:val="16"/>
        </w:rPr>
        <w:t> </w:t>
      </w:r>
      <w:r>
        <w:rPr>
          <w:color w:val="231F20"/>
          <w:sz w:val="16"/>
        </w:rPr>
        <w:t>gestión</w:t>
      </w:r>
      <w:r>
        <w:rPr>
          <w:color w:val="231F20"/>
          <w:spacing w:val="-7"/>
          <w:sz w:val="16"/>
        </w:rPr>
        <w:t> </w:t>
      </w:r>
      <w:r>
        <w:rPr>
          <w:color w:val="231F20"/>
          <w:sz w:val="16"/>
        </w:rPr>
        <w:t>se</w:t>
      </w:r>
      <w:r>
        <w:rPr>
          <w:color w:val="231F20"/>
          <w:spacing w:val="-7"/>
          <w:sz w:val="16"/>
        </w:rPr>
        <w:t> </w:t>
      </w:r>
      <w:r>
        <w:rPr>
          <w:color w:val="231F20"/>
          <w:sz w:val="16"/>
        </w:rPr>
        <w:t>ha</w:t>
      </w:r>
      <w:r>
        <w:rPr>
          <w:color w:val="231F20"/>
          <w:spacing w:val="-7"/>
          <w:sz w:val="16"/>
        </w:rPr>
        <w:t> </w:t>
      </w:r>
      <w:r>
        <w:rPr>
          <w:color w:val="231F20"/>
          <w:sz w:val="16"/>
        </w:rPr>
        <w:t>invertido</w:t>
      </w:r>
      <w:r>
        <w:rPr>
          <w:color w:val="231F20"/>
          <w:spacing w:val="-7"/>
          <w:sz w:val="16"/>
        </w:rPr>
        <w:t> </w:t>
      </w:r>
      <w:r>
        <w:rPr>
          <w:color w:val="231F20"/>
          <w:sz w:val="16"/>
        </w:rPr>
        <w:t>uno</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presupuestos</w:t>
      </w:r>
      <w:r>
        <w:rPr>
          <w:color w:val="231F20"/>
          <w:spacing w:val="-7"/>
          <w:sz w:val="16"/>
        </w:rPr>
        <w:t> </w:t>
      </w:r>
      <w:r>
        <w:rPr>
          <w:color w:val="231F20"/>
          <w:sz w:val="16"/>
        </w:rPr>
        <w:t>más</w:t>
      </w:r>
      <w:r>
        <w:rPr>
          <w:color w:val="231F20"/>
          <w:spacing w:val="-7"/>
          <w:sz w:val="16"/>
        </w:rPr>
        <w:t> </w:t>
      </w:r>
      <w:r>
        <w:rPr>
          <w:color w:val="231F20"/>
          <w:sz w:val="16"/>
        </w:rPr>
        <w:t>ele- vados</w:t>
      </w:r>
      <w:r>
        <w:rPr>
          <w:color w:val="231F20"/>
          <w:spacing w:val="-8"/>
          <w:sz w:val="16"/>
        </w:rPr>
        <w:t> </w:t>
      </w:r>
      <w:r>
        <w:rPr>
          <w:color w:val="231F20"/>
          <w:sz w:val="16"/>
        </w:rPr>
        <w:t>en</w:t>
      </w:r>
      <w:r>
        <w:rPr>
          <w:color w:val="231F20"/>
          <w:spacing w:val="-8"/>
          <w:sz w:val="16"/>
        </w:rPr>
        <w:t> </w:t>
      </w:r>
      <w:r>
        <w:rPr>
          <w:color w:val="231F20"/>
          <w:sz w:val="16"/>
        </w:rPr>
        <w:t>obra</w:t>
      </w:r>
      <w:r>
        <w:rPr>
          <w:color w:val="231F20"/>
          <w:spacing w:val="-8"/>
          <w:sz w:val="16"/>
        </w:rPr>
        <w:t> </w:t>
      </w:r>
      <w:r>
        <w:rPr>
          <w:color w:val="231F20"/>
          <w:sz w:val="16"/>
        </w:rPr>
        <w:t>pública,</w:t>
      </w:r>
      <w:r>
        <w:rPr>
          <w:color w:val="231F20"/>
          <w:spacing w:val="-8"/>
          <w:sz w:val="16"/>
        </w:rPr>
        <w:t> </w:t>
      </w:r>
      <w:r>
        <w:rPr>
          <w:color w:val="231F20"/>
          <w:sz w:val="16"/>
        </w:rPr>
        <w:t>de</w:t>
      </w:r>
      <w:r>
        <w:rPr>
          <w:color w:val="231F20"/>
          <w:spacing w:val="-8"/>
          <w:sz w:val="16"/>
        </w:rPr>
        <w:t> </w:t>
      </w:r>
      <w:r>
        <w:rPr>
          <w:color w:val="231F20"/>
          <w:sz w:val="16"/>
        </w:rPr>
        <w:t>acuerdo</w:t>
      </w:r>
      <w:r>
        <w:rPr>
          <w:color w:val="231F20"/>
          <w:spacing w:val="-8"/>
          <w:sz w:val="16"/>
        </w:rPr>
        <w:t> </w:t>
      </w:r>
      <w:r>
        <w:rPr>
          <w:color w:val="231F20"/>
          <w:sz w:val="16"/>
        </w:rPr>
        <w:t>a</w:t>
      </w:r>
      <w:r>
        <w:rPr>
          <w:color w:val="231F20"/>
          <w:spacing w:val="-8"/>
          <w:sz w:val="16"/>
        </w:rPr>
        <w:t> </w:t>
      </w:r>
      <w:r>
        <w:rPr>
          <w:color w:val="231F20"/>
          <w:sz w:val="16"/>
        </w:rPr>
        <w:t>lo</w:t>
      </w:r>
      <w:r>
        <w:rPr>
          <w:color w:val="231F20"/>
          <w:spacing w:val="-8"/>
          <w:sz w:val="16"/>
        </w:rPr>
        <w:t> </w:t>
      </w:r>
      <w:r>
        <w:rPr>
          <w:color w:val="231F20"/>
          <w:sz w:val="16"/>
        </w:rPr>
        <w:t>reportado</w:t>
      </w:r>
      <w:r>
        <w:rPr>
          <w:color w:val="231F20"/>
          <w:spacing w:val="-8"/>
          <w:sz w:val="16"/>
        </w:rPr>
        <w:t> </w:t>
      </w:r>
      <w:r>
        <w:rPr>
          <w:color w:val="231F20"/>
          <w:sz w:val="16"/>
        </w:rPr>
        <w:t>en</w:t>
      </w:r>
      <w:r>
        <w:rPr>
          <w:color w:val="231F20"/>
          <w:spacing w:val="-8"/>
          <w:sz w:val="16"/>
        </w:rPr>
        <w:t> </w:t>
      </w:r>
      <w:r>
        <w:rPr>
          <w:color w:val="231F20"/>
          <w:sz w:val="16"/>
        </w:rPr>
        <w:t>su</w:t>
      </w:r>
      <w:r>
        <w:rPr>
          <w:color w:val="231F20"/>
          <w:spacing w:val="-8"/>
          <w:sz w:val="16"/>
        </w:rPr>
        <w:t> </w:t>
      </w:r>
      <w:r>
        <w:rPr>
          <w:color w:val="231F20"/>
          <w:sz w:val="16"/>
        </w:rPr>
        <w:t>segundo</w:t>
      </w:r>
      <w:r>
        <w:rPr>
          <w:color w:val="231F20"/>
          <w:spacing w:val="-8"/>
          <w:sz w:val="16"/>
        </w:rPr>
        <w:t> </w:t>
      </w:r>
      <w:r>
        <w:rPr>
          <w:color w:val="231F20"/>
          <w:sz w:val="16"/>
        </w:rPr>
        <w:t>informe</w:t>
      </w:r>
      <w:r>
        <w:rPr>
          <w:color w:val="231F20"/>
          <w:spacing w:val="-8"/>
          <w:sz w:val="16"/>
        </w:rPr>
        <w:t> </w:t>
      </w:r>
      <w:r>
        <w:rPr>
          <w:color w:val="231F20"/>
          <w:sz w:val="16"/>
        </w:rPr>
        <w:t>de</w:t>
      </w:r>
      <w:r>
        <w:rPr>
          <w:color w:val="231F20"/>
          <w:spacing w:val="-8"/>
          <w:sz w:val="16"/>
        </w:rPr>
        <w:t> </w:t>
      </w:r>
      <w:r>
        <w:rPr>
          <w:color w:val="231F20"/>
          <w:sz w:val="16"/>
        </w:rPr>
        <w:t>gobierno</w:t>
      </w:r>
      <w:r>
        <w:rPr>
          <w:color w:val="231F20"/>
          <w:spacing w:val="-8"/>
          <w:sz w:val="16"/>
        </w:rPr>
        <w:t> </w:t>
      </w:r>
      <w:r>
        <w:rPr>
          <w:color w:val="231F20"/>
          <w:sz w:val="16"/>
        </w:rPr>
        <w:t>(FUENTES,</w:t>
      </w:r>
      <w:r>
        <w:rPr>
          <w:color w:val="231F20"/>
          <w:spacing w:val="-8"/>
          <w:sz w:val="16"/>
        </w:rPr>
        <w:t> </w:t>
      </w:r>
      <w:r>
        <w:rPr>
          <w:color w:val="231F20"/>
          <w:sz w:val="16"/>
        </w:rPr>
        <w:t>2008a:</w:t>
      </w:r>
      <w:r>
        <w:rPr>
          <w:color w:val="231F20"/>
          <w:spacing w:val="-8"/>
          <w:sz w:val="16"/>
        </w:rPr>
        <w:t> </w:t>
      </w:r>
      <w:r>
        <w:rPr>
          <w:color w:val="231F20"/>
          <w:spacing w:val="-4"/>
          <w:sz w:val="16"/>
        </w:rPr>
        <w:t>14).</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w w:val="105"/>
        </w:rPr>
        <w:t>trabajo en la oferta y atención de los servicios públicos, mas no su descentralización.</w:t>
      </w:r>
    </w:p>
    <w:p>
      <w:pPr>
        <w:pStyle w:val="BodyText"/>
        <w:spacing w:before="2"/>
        <w:rPr>
          <w:sz w:val="30"/>
        </w:rPr>
      </w:pPr>
    </w:p>
    <w:p>
      <w:pPr>
        <w:pStyle w:val="BodyText"/>
        <w:spacing w:line="285" w:lineRule="auto"/>
        <w:ind w:left="110" w:right="106"/>
        <w:jc w:val="both"/>
      </w:pPr>
      <w:r>
        <w:rPr>
          <w:color w:val="231F20"/>
          <w:w w:val="105"/>
        </w:rPr>
        <w:t>La</w:t>
      </w:r>
      <w:r>
        <w:rPr>
          <w:color w:val="231F20"/>
          <w:spacing w:val="-17"/>
          <w:w w:val="105"/>
        </w:rPr>
        <w:t> </w:t>
      </w:r>
      <w:r>
        <w:rPr>
          <w:color w:val="231F20"/>
          <w:w w:val="105"/>
        </w:rPr>
        <w:t>última</w:t>
      </w:r>
      <w:r>
        <w:rPr>
          <w:color w:val="231F20"/>
          <w:spacing w:val="-17"/>
          <w:w w:val="105"/>
        </w:rPr>
        <w:t> </w:t>
      </w:r>
      <w:r>
        <w:rPr>
          <w:color w:val="231F20"/>
          <w:spacing w:val="-3"/>
          <w:w w:val="105"/>
        </w:rPr>
        <w:t>modificación</w:t>
      </w:r>
      <w:r>
        <w:rPr>
          <w:color w:val="231F20"/>
          <w:spacing w:val="-17"/>
          <w:w w:val="105"/>
        </w:rPr>
        <w:t> </w:t>
      </w:r>
      <w:r>
        <w:rPr>
          <w:color w:val="231F20"/>
          <w:w w:val="105"/>
        </w:rPr>
        <w:t>sustantiva</w:t>
      </w:r>
      <w:r>
        <w:rPr>
          <w:color w:val="231F20"/>
          <w:spacing w:val="-17"/>
          <w:w w:val="105"/>
        </w:rPr>
        <w:t> </w:t>
      </w:r>
      <w:r>
        <w:rPr>
          <w:color w:val="231F20"/>
          <w:w w:val="105"/>
        </w:rPr>
        <w:t>a</w:t>
      </w:r>
      <w:r>
        <w:rPr>
          <w:color w:val="231F20"/>
          <w:spacing w:val="-17"/>
          <w:w w:val="105"/>
        </w:rPr>
        <w:t> </w:t>
      </w:r>
      <w:r>
        <w:rPr>
          <w:color w:val="231F20"/>
          <w:w w:val="105"/>
        </w:rPr>
        <w:t>resaltar</w:t>
      </w:r>
      <w:r>
        <w:rPr>
          <w:color w:val="231F20"/>
          <w:spacing w:val="-17"/>
          <w:w w:val="105"/>
        </w:rPr>
        <w:t> </w:t>
      </w:r>
      <w:r>
        <w:rPr>
          <w:color w:val="231F20"/>
          <w:spacing w:val="-3"/>
          <w:w w:val="105"/>
        </w:rPr>
        <w:t>consiste</w:t>
      </w:r>
      <w:r>
        <w:rPr>
          <w:color w:val="231F20"/>
          <w:spacing w:val="-17"/>
          <w:w w:val="105"/>
        </w:rPr>
        <w:t> </w:t>
      </w:r>
      <w:r>
        <w:rPr>
          <w:color w:val="231F20"/>
          <w:spacing w:val="-3"/>
          <w:w w:val="105"/>
        </w:rPr>
        <w:t>en</w:t>
      </w:r>
      <w:r>
        <w:rPr>
          <w:color w:val="231F20"/>
          <w:spacing w:val="-17"/>
          <w:w w:val="105"/>
        </w:rPr>
        <w:t> </w:t>
      </w:r>
      <w:r>
        <w:rPr>
          <w:color w:val="231F20"/>
          <w:w w:val="105"/>
        </w:rPr>
        <w:t>la</w:t>
      </w:r>
      <w:r>
        <w:rPr>
          <w:color w:val="231F20"/>
          <w:spacing w:val="-17"/>
          <w:w w:val="105"/>
        </w:rPr>
        <w:t> </w:t>
      </w:r>
      <w:r>
        <w:rPr>
          <w:color w:val="231F20"/>
          <w:spacing w:val="-5"/>
          <w:w w:val="105"/>
        </w:rPr>
        <w:t>creación</w:t>
      </w:r>
      <w:r>
        <w:rPr>
          <w:color w:val="231F20"/>
          <w:spacing w:val="-17"/>
          <w:w w:val="105"/>
        </w:rPr>
        <w:t> </w:t>
      </w:r>
      <w:r>
        <w:rPr>
          <w:color w:val="231F20"/>
          <w:spacing w:val="-4"/>
          <w:w w:val="105"/>
        </w:rPr>
        <w:t>del</w:t>
      </w:r>
      <w:r>
        <w:rPr>
          <w:color w:val="231F20"/>
          <w:spacing w:val="-17"/>
          <w:w w:val="105"/>
        </w:rPr>
        <w:t> </w:t>
      </w:r>
      <w:r>
        <w:rPr>
          <w:color w:val="231F20"/>
          <w:spacing w:val="-4"/>
          <w:w w:val="105"/>
        </w:rPr>
        <w:t>Centro</w:t>
      </w:r>
      <w:r>
        <w:rPr>
          <w:color w:val="231F20"/>
          <w:spacing w:val="-17"/>
          <w:w w:val="105"/>
        </w:rPr>
        <w:t> </w:t>
      </w:r>
      <w:r>
        <w:rPr>
          <w:color w:val="231F20"/>
          <w:w w:val="105"/>
        </w:rPr>
        <w:t>Integral</w:t>
      </w:r>
      <w:r>
        <w:rPr>
          <w:color w:val="231F20"/>
          <w:spacing w:val="-17"/>
          <w:w w:val="105"/>
        </w:rPr>
        <w:t> </w:t>
      </w:r>
      <w:r>
        <w:rPr>
          <w:color w:val="231F20"/>
          <w:spacing w:val="-3"/>
          <w:w w:val="105"/>
        </w:rPr>
        <w:t>de Servicios</w:t>
      </w:r>
      <w:r>
        <w:rPr>
          <w:color w:val="231F20"/>
          <w:spacing w:val="-13"/>
          <w:w w:val="105"/>
        </w:rPr>
        <w:t> </w:t>
      </w:r>
      <w:r>
        <w:rPr>
          <w:color w:val="231F20"/>
          <w:spacing w:val="-3"/>
          <w:w w:val="105"/>
        </w:rPr>
        <w:t>Municipales</w:t>
      </w:r>
      <w:r>
        <w:rPr>
          <w:color w:val="231F20"/>
          <w:spacing w:val="-13"/>
          <w:w w:val="105"/>
        </w:rPr>
        <w:t> </w:t>
      </w:r>
      <w:r>
        <w:rPr>
          <w:color w:val="231F20"/>
          <w:spacing w:val="-6"/>
          <w:w w:val="105"/>
        </w:rPr>
        <w:t>(CISEM),</w:t>
      </w:r>
      <w:r>
        <w:rPr>
          <w:color w:val="231F20"/>
          <w:spacing w:val="-13"/>
          <w:w w:val="105"/>
        </w:rPr>
        <w:t> </w:t>
      </w:r>
      <w:r>
        <w:rPr>
          <w:color w:val="231F20"/>
          <w:spacing w:val="-3"/>
          <w:w w:val="105"/>
        </w:rPr>
        <w:t>oficina</w:t>
      </w:r>
      <w:r>
        <w:rPr>
          <w:color w:val="231F20"/>
          <w:spacing w:val="-13"/>
          <w:w w:val="105"/>
        </w:rPr>
        <w:t> </w:t>
      </w:r>
      <w:r>
        <w:rPr>
          <w:color w:val="231F20"/>
          <w:spacing w:val="-3"/>
          <w:w w:val="105"/>
        </w:rPr>
        <w:t>de</w:t>
      </w:r>
      <w:r>
        <w:rPr>
          <w:color w:val="231F20"/>
          <w:spacing w:val="-13"/>
          <w:w w:val="105"/>
        </w:rPr>
        <w:t> </w:t>
      </w:r>
      <w:r>
        <w:rPr>
          <w:color w:val="231F20"/>
          <w:spacing w:val="-5"/>
          <w:w w:val="105"/>
        </w:rPr>
        <w:t>atención</w:t>
      </w:r>
      <w:r>
        <w:rPr>
          <w:color w:val="231F20"/>
          <w:spacing w:val="-13"/>
          <w:w w:val="105"/>
        </w:rPr>
        <w:t> </w:t>
      </w:r>
      <w:r>
        <w:rPr>
          <w:color w:val="231F20"/>
          <w:w w:val="105"/>
        </w:rPr>
        <w:t>para</w:t>
      </w:r>
      <w:r>
        <w:rPr>
          <w:color w:val="231F20"/>
          <w:spacing w:val="-13"/>
          <w:w w:val="105"/>
        </w:rPr>
        <w:t> </w:t>
      </w:r>
      <w:r>
        <w:rPr>
          <w:color w:val="231F20"/>
          <w:spacing w:val="-4"/>
          <w:w w:val="105"/>
        </w:rPr>
        <w:t>múltiples</w:t>
      </w:r>
      <w:r>
        <w:rPr>
          <w:color w:val="231F20"/>
          <w:spacing w:val="-13"/>
          <w:w w:val="105"/>
        </w:rPr>
        <w:t> </w:t>
      </w:r>
      <w:r>
        <w:rPr>
          <w:color w:val="231F20"/>
          <w:w w:val="105"/>
        </w:rPr>
        <w:t>trámites</w:t>
      </w:r>
      <w:r>
        <w:rPr>
          <w:color w:val="231F20"/>
          <w:spacing w:val="-13"/>
          <w:w w:val="105"/>
        </w:rPr>
        <w:t> </w:t>
      </w:r>
      <w:r>
        <w:rPr>
          <w:color w:val="231F20"/>
          <w:spacing w:val="-3"/>
          <w:w w:val="105"/>
        </w:rPr>
        <w:t>administrati- </w:t>
      </w:r>
      <w:r>
        <w:rPr>
          <w:color w:val="231F20"/>
          <w:spacing w:val="-4"/>
          <w:w w:val="105"/>
        </w:rPr>
        <w:t>vos,</w:t>
      </w:r>
      <w:r>
        <w:rPr>
          <w:color w:val="231F20"/>
          <w:spacing w:val="-27"/>
          <w:w w:val="105"/>
        </w:rPr>
        <w:t> </w:t>
      </w:r>
      <w:r>
        <w:rPr>
          <w:color w:val="231F20"/>
          <w:spacing w:val="-3"/>
          <w:w w:val="105"/>
        </w:rPr>
        <w:t>de</w:t>
      </w:r>
      <w:r>
        <w:rPr>
          <w:color w:val="231F20"/>
          <w:spacing w:val="-27"/>
          <w:w w:val="105"/>
        </w:rPr>
        <w:t> </w:t>
      </w:r>
      <w:r>
        <w:rPr>
          <w:color w:val="231F20"/>
          <w:spacing w:val="-3"/>
          <w:w w:val="105"/>
        </w:rPr>
        <w:t>servicios</w:t>
      </w:r>
      <w:r>
        <w:rPr>
          <w:color w:val="231F20"/>
          <w:spacing w:val="-27"/>
          <w:w w:val="105"/>
        </w:rPr>
        <w:t> </w:t>
      </w:r>
      <w:r>
        <w:rPr>
          <w:color w:val="231F20"/>
          <w:spacing w:val="-4"/>
          <w:w w:val="105"/>
        </w:rPr>
        <w:t>públicos,</w:t>
      </w:r>
      <w:r>
        <w:rPr>
          <w:color w:val="231F20"/>
          <w:spacing w:val="-27"/>
          <w:w w:val="105"/>
        </w:rPr>
        <w:t> </w:t>
      </w:r>
      <w:r>
        <w:rPr>
          <w:color w:val="231F20"/>
          <w:w w:val="105"/>
        </w:rPr>
        <w:t>así</w:t>
      </w:r>
      <w:r>
        <w:rPr>
          <w:color w:val="231F20"/>
          <w:spacing w:val="-27"/>
          <w:w w:val="105"/>
        </w:rPr>
        <w:t> </w:t>
      </w:r>
      <w:r>
        <w:rPr>
          <w:color w:val="231F20"/>
          <w:spacing w:val="-4"/>
          <w:w w:val="105"/>
        </w:rPr>
        <w:t>como</w:t>
      </w:r>
      <w:r>
        <w:rPr>
          <w:color w:val="231F20"/>
          <w:spacing w:val="-27"/>
          <w:w w:val="105"/>
        </w:rPr>
        <w:t> </w:t>
      </w:r>
      <w:r>
        <w:rPr>
          <w:color w:val="231F20"/>
          <w:w w:val="105"/>
        </w:rPr>
        <w:t>para</w:t>
      </w:r>
      <w:r>
        <w:rPr>
          <w:color w:val="231F20"/>
          <w:spacing w:val="-27"/>
          <w:w w:val="105"/>
        </w:rPr>
        <w:t> </w:t>
      </w:r>
      <w:r>
        <w:rPr>
          <w:color w:val="231F20"/>
          <w:w w:val="105"/>
        </w:rPr>
        <w:t>la</w:t>
      </w:r>
      <w:r>
        <w:rPr>
          <w:color w:val="231F20"/>
          <w:spacing w:val="-27"/>
          <w:w w:val="105"/>
        </w:rPr>
        <w:t> </w:t>
      </w:r>
      <w:r>
        <w:rPr>
          <w:color w:val="231F20"/>
          <w:spacing w:val="-5"/>
          <w:w w:val="105"/>
        </w:rPr>
        <w:t>recaudación</w:t>
      </w:r>
      <w:r>
        <w:rPr>
          <w:color w:val="231F20"/>
          <w:spacing w:val="-27"/>
          <w:w w:val="105"/>
        </w:rPr>
        <w:t> </w:t>
      </w:r>
      <w:r>
        <w:rPr>
          <w:color w:val="231F20"/>
          <w:w w:val="105"/>
        </w:rPr>
        <w:t>fiscal.</w:t>
      </w:r>
      <w:r>
        <w:rPr>
          <w:color w:val="231F20"/>
          <w:spacing w:val="-27"/>
          <w:w w:val="105"/>
        </w:rPr>
        <w:t> </w:t>
      </w:r>
      <w:r>
        <w:rPr>
          <w:color w:val="231F20"/>
          <w:w w:val="105"/>
        </w:rPr>
        <w:t>Este</w:t>
      </w:r>
      <w:r>
        <w:rPr>
          <w:color w:val="231F20"/>
          <w:spacing w:val="-27"/>
          <w:w w:val="105"/>
        </w:rPr>
        <w:t> </w:t>
      </w:r>
      <w:r>
        <w:rPr>
          <w:color w:val="231F20"/>
          <w:spacing w:val="-4"/>
          <w:w w:val="105"/>
        </w:rPr>
        <w:t>centro</w:t>
      </w:r>
      <w:r>
        <w:rPr>
          <w:color w:val="231F20"/>
          <w:spacing w:val="-27"/>
          <w:w w:val="105"/>
        </w:rPr>
        <w:t> </w:t>
      </w:r>
      <w:r>
        <w:rPr>
          <w:color w:val="231F20"/>
          <w:spacing w:val="-5"/>
          <w:w w:val="105"/>
        </w:rPr>
        <w:t>depende</w:t>
      </w:r>
      <w:r>
        <w:rPr>
          <w:color w:val="231F20"/>
          <w:spacing w:val="-27"/>
          <w:w w:val="105"/>
        </w:rPr>
        <w:t> </w:t>
      </w:r>
      <w:r>
        <w:rPr>
          <w:color w:val="231F20"/>
          <w:w w:val="105"/>
        </w:rPr>
        <w:t>directa- </w:t>
      </w:r>
      <w:r>
        <w:rPr>
          <w:color w:val="231F20"/>
          <w:spacing w:val="-5"/>
          <w:w w:val="105"/>
        </w:rPr>
        <w:t>mente</w:t>
      </w:r>
      <w:r>
        <w:rPr>
          <w:color w:val="231F20"/>
          <w:spacing w:val="-25"/>
          <w:w w:val="105"/>
        </w:rPr>
        <w:t> </w:t>
      </w:r>
      <w:r>
        <w:rPr>
          <w:color w:val="231F20"/>
          <w:spacing w:val="-3"/>
          <w:w w:val="105"/>
        </w:rPr>
        <w:t>de</w:t>
      </w:r>
      <w:r>
        <w:rPr>
          <w:color w:val="231F20"/>
          <w:spacing w:val="-25"/>
          <w:w w:val="105"/>
        </w:rPr>
        <w:t> </w:t>
      </w:r>
      <w:r>
        <w:rPr>
          <w:color w:val="231F20"/>
          <w:w w:val="105"/>
        </w:rPr>
        <w:t>la</w:t>
      </w:r>
      <w:r>
        <w:rPr>
          <w:color w:val="231F20"/>
          <w:spacing w:val="-25"/>
          <w:w w:val="105"/>
        </w:rPr>
        <w:t> </w:t>
      </w:r>
      <w:r>
        <w:rPr>
          <w:color w:val="231F20"/>
          <w:spacing w:val="-5"/>
          <w:w w:val="105"/>
        </w:rPr>
        <w:t>presidencia</w:t>
      </w:r>
      <w:r>
        <w:rPr>
          <w:color w:val="231F20"/>
          <w:spacing w:val="-25"/>
          <w:w w:val="105"/>
        </w:rPr>
        <w:t> </w:t>
      </w:r>
      <w:r>
        <w:rPr>
          <w:color w:val="231F20"/>
          <w:spacing w:val="-3"/>
          <w:w w:val="105"/>
        </w:rPr>
        <w:t>municipal</w:t>
      </w:r>
      <w:r>
        <w:rPr>
          <w:color w:val="231F20"/>
          <w:spacing w:val="-25"/>
          <w:w w:val="105"/>
        </w:rPr>
        <w:t> </w:t>
      </w:r>
      <w:r>
        <w:rPr>
          <w:color w:val="231F20"/>
          <w:w w:val="105"/>
        </w:rPr>
        <w:t>y</w:t>
      </w:r>
      <w:r>
        <w:rPr>
          <w:color w:val="231F20"/>
          <w:spacing w:val="-25"/>
          <w:w w:val="105"/>
        </w:rPr>
        <w:t> </w:t>
      </w:r>
      <w:r>
        <w:rPr>
          <w:color w:val="231F20"/>
          <w:spacing w:val="-3"/>
          <w:w w:val="105"/>
        </w:rPr>
        <w:t>el</w:t>
      </w:r>
      <w:r>
        <w:rPr>
          <w:color w:val="231F20"/>
          <w:spacing w:val="-25"/>
          <w:w w:val="105"/>
        </w:rPr>
        <w:t> </w:t>
      </w:r>
      <w:r>
        <w:rPr>
          <w:color w:val="231F20"/>
          <w:spacing w:val="-4"/>
          <w:w w:val="105"/>
        </w:rPr>
        <w:t>criterio</w:t>
      </w:r>
      <w:r>
        <w:rPr>
          <w:color w:val="231F20"/>
          <w:spacing w:val="-25"/>
          <w:w w:val="105"/>
        </w:rPr>
        <w:t> </w:t>
      </w:r>
      <w:r>
        <w:rPr>
          <w:color w:val="231F20"/>
          <w:spacing w:val="-3"/>
          <w:w w:val="105"/>
        </w:rPr>
        <w:t>de</w:t>
      </w:r>
      <w:r>
        <w:rPr>
          <w:color w:val="231F20"/>
          <w:spacing w:val="-25"/>
          <w:w w:val="105"/>
        </w:rPr>
        <w:t> </w:t>
      </w:r>
      <w:r>
        <w:rPr>
          <w:color w:val="231F20"/>
          <w:w w:val="105"/>
        </w:rPr>
        <w:t>su</w:t>
      </w:r>
      <w:r>
        <w:rPr>
          <w:color w:val="231F20"/>
          <w:spacing w:val="-25"/>
          <w:w w:val="105"/>
        </w:rPr>
        <w:t> </w:t>
      </w:r>
      <w:r>
        <w:rPr>
          <w:color w:val="231F20"/>
          <w:spacing w:val="-4"/>
          <w:w w:val="105"/>
        </w:rPr>
        <w:t>operatividad</w:t>
      </w:r>
      <w:r>
        <w:rPr>
          <w:color w:val="231F20"/>
          <w:spacing w:val="-25"/>
          <w:w w:val="105"/>
        </w:rPr>
        <w:t> </w:t>
      </w:r>
      <w:r>
        <w:rPr>
          <w:color w:val="231F20"/>
          <w:spacing w:val="-3"/>
          <w:w w:val="105"/>
        </w:rPr>
        <w:t>radica</w:t>
      </w:r>
      <w:r>
        <w:rPr>
          <w:color w:val="231F20"/>
          <w:spacing w:val="-25"/>
          <w:w w:val="105"/>
        </w:rPr>
        <w:t> </w:t>
      </w:r>
      <w:r>
        <w:rPr>
          <w:color w:val="231F20"/>
          <w:spacing w:val="-3"/>
          <w:w w:val="105"/>
        </w:rPr>
        <w:t>en</w:t>
      </w:r>
      <w:r>
        <w:rPr>
          <w:color w:val="231F20"/>
          <w:spacing w:val="-25"/>
          <w:w w:val="105"/>
        </w:rPr>
        <w:t> </w:t>
      </w:r>
      <w:r>
        <w:rPr>
          <w:color w:val="231F20"/>
          <w:w w:val="105"/>
        </w:rPr>
        <w:t>la</w:t>
      </w:r>
      <w:r>
        <w:rPr>
          <w:color w:val="231F20"/>
          <w:spacing w:val="-25"/>
          <w:w w:val="105"/>
        </w:rPr>
        <w:t> </w:t>
      </w:r>
      <w:r>
        <w:rPr>
          <w:color w:val="231F20"/>
          <w:spacing w:val="-4"/>
          <w:w w:val="105"/>
        </w:rPr>
        <w:t>simplificación </w:t>
      </w:r>
      <w:r>
        <w:rPr>
          <w:color w:val="231F20"/>
          <w:w w:val="105"/>
        </w:rPr>
        <w:t>administrativa,</w:t>
      </w:r>
      <w:r>
        <w:rPr>
          <w:color w:val="231F20"/>
          <w:spacing w:val="-18"/>
          <w:w w:val="105"/>
        </w:rPr>
        <w:t> </w:t>
      </w:r>
      <w:r>
        <w:rPr>
          <w:color w:val="231F20"/>
          <w:spacing w:val="-3"/>
          <w:w w:val="105"/>
        </w:rPr>
        <w:t>lo</w:t>
      </w:r>
      <w:r>
        <w:rPr>
          <w:color w:val="231F20"/>
          <w:spacing w:val="-18"/>
          <w:w w:val="105"/>
        </w:rPr>
        <w:t> </w:t>
      </w:r>
      <w:r>
        <w:rPr>
          <w:color w:val="231F20"/>
          <w:spacing w:val="-4"/>
          <w:w w:val="105"/>
        </w:rPr>
        <w:t>que</w:t>
      </w:r>
      <w:r>
        <w:rPr>
          <w:color w:val="231F20"/>
          <w:spacing w:val="-18"/>
          <w:w w:val="105"/>
        </w:rPr>
        <w:t> </w:t>
      </w:r>
      <w:r>
        <w:rPr>
          <w:color w:val="231F20"/>
          <w:spacing w:val="-3"/>
          <w:w w:val="105"/>
        </w:rPr>
        <w:t>en</w:t>
      </w:r>
      <w:r>
        <w:rPr>
          <w:color w:val="231F20"/>
          <w:spacing w:val="-18"/>
          <w:w w:val="105"/>
        </w:rPr>
        <w:t> </w:t>
      </w:r>
      <w:r>
        <w:rPr>
          <w:color w:val="231F20"/>
          <w:spacing w:val="-3"/>
          <w:w w:val="105"/>
        </w:rPr>
        <w:t>el</w:t>
      </w:r>
      <w:r>
        <w:rPr>
          <w:color w:val="231F20"/>
          <w:spacing w:val="-18"/>
          <w:w w:val="105"/>
        </w:rPr>
        <w:t> </w:t>
      </w:r>
      <w:r>
        <w:rPr>
          <w:color w:val="231F20"/>
          <w:spacing w:val="-5"/>
          <w:w w:val="105"/>
        </w:rPr>
        <w:t>fondo</w:t>
      </w:r>
      <w:r>
        <w:rPr>
          <w:color w:val="231F20"/>
          <w:spacing w:val="-18"/>
          <w:w w:val="105"/>
        </w:rPr>
        <w:t> </w:t>
      </w:r>
      <w:r>
        <w:rPr>
          <w:color w:val="231F20"/>
          <w:spacing w:val="-3"/>
          <w:w w:val="105"/>
        </w:rPr>
        <w:t>no</w:t>
      </w:r>
      <w:r>
        <w:rPr>
          <w:color w:val="231F20"/>
          <w:spacing w:val="-18"/>
          <w:w w:val="105"/>
        </w:rPr>
        <w:t> </w:t>
      </w:r>
      <w:r>
        <w:rPr>
          <w:color w:val="231F20"/>
          <w:spacing w:val="-5"/>
          <w:w w:val="105"/>
        </w:rPr>
        <w:t>supone</w:t>
      </w:r>
      <w:r>
        <w:rPr>
          <w:color w:val="231F20"/>
          <w:spacing w:val="-18"/>
          <w:w w:val="105"/>
        </w:rPr>
        <w:t> </w:t>
      </w:r>
      <w:r>
        <w:rPr>
          <w:color w:val="231F20"/>
          <w:w w:val="105"/>
        </w:rPr>
        <w:t>la</w:t>
      </w:r>
      <w:r>
        <w:rPr>
          <w:color w:val="231F20"/>
          <w:spacing w:val="-18"/>
          <w:w w:val="105"/>
        </w:rPr>
        <w:t> </w:t>
      </w:r>
      <w:r>
        <w:rPr>
          <w:color w:val="231F20"/>
          <w:spacing w:val="-4"/>
          <w:w w:val="105"/>
        </w:rPr>
        <w:t>descentralización</w:t>
      </w:r>
      <w:r>
        <w:rPr>
          <w:color w:val="231F20"/>
          <w:spacing w:val="-18"/>
          <w:w w:val="105"/>
        </w:rPr>
        <w:t> </w:t>
      </w:r>
      <w:r>
        <w:rPr>
          <w:color w:val="231F20"/>
          <w:spacing w:val="-3"/>
          <w:w w:val="105"/>
        </w:rPr>
        <w:t>de</w:t>
      </w:r>
      <w:r>
        <w:rPr>
          <w:color w:val="231F20"/>
          <w:spacing w:val="-18"/>
          <w:w w:val="105"/>
        </w:rPr>
        <w:t> </w:t>
      </w:r>
      <w:r>
        <w:rPr>
          <w:color w:val="231F20"/>
          <w:w w:val="105"/>
        </w:rPr>
        <w:t>la</w:t>
      </w:r>
      <w:r>
        <w:rPr>
          <w:color w:val="231F20"/>
          <w:spacing w:val="-18"/>
          <w:w w:val="105"/>
        </w:rPr>
        <w:t> </w:t>
      </w:r>
      <w:r>
        <w:rPr>
          <w:color w:val="231F20"/>
          <w:spacing w:val="-4"/>
          <w:w w:val="105"/>
        </w:rPr>
        <w:t>toma</w:t>
      </w:r>
      <w:r>
        <w:rPr>
          <w:color w:val="231F20"/>
          <w:spacing w:val="-18"/>
          <w:w w:val="105"/>
        </w:rPr>
        <w:t> </w:t>
      </w:r>
      <w:r>
        <w:rPr>
          <w:color w:val="231F20"/>
          <w:spacing w:val="-3"/>
          <w:w w:val="105"/>
        </w:rPr>
        <w:t>de</w:t>
      </w:r>
      <w:r>
        <w:rPr>
          <w:color w:val="231F20"/>
          <w:spacing w:val="-18"/>
          <w:w w:val="105"/>
        </w:rPr>
        <w:t> </w:t>
      </w:r>
      <w:r>
        <w:rPr>
          <w:color w:val="231F20"/>
          <w:spacing w:val="-4"/>
          <w:w w:val="105"/>
        </w:rPr>
        <w:t>decisiones.</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19"/>
          <w:w w:val="105"/>
        </w:rPr>
        <w:t> </w:t>
      </w:r>
      <w:r>
        <w:rPr>
          <w:color w:val="231F20"/>
          <w:w w:val="105"/>
        </w:rPr>
        <w:t>último,</w:t>
      </w:r>
      <w:r>
        <w:rPr>
          <w:color w:val="231F20"/>
          <w:spacing w:val="-19"/>
          <w:w w:val="105"/>
        </w:rPr>
        <w:t> </w:t>
      </w:r>
      <w:r>
        <w:rPr>
          <w:color w:val="231F20"/>
          <w:w w:val="105"/>
        </w:rPr>
        <w:t>se</w:t>
      </w:r>
      <w:r>
        <w:rPr>
          <w:color w:val="231F20"/>
          <w:spacing w:val="-19"/>
          <w:w w:val="105"/>
        </w:rPr>
        <w:t> </w:t>
      </w:r>
      <w:r>
        <w:rPr>
          <w:color w:val="231F20"/>
          <w:w w:val="105"/>
        </w:rPr>
        <w:t>observaron</w:t>
      </w:r>
      <w:r>
        <w:rPr>
          <w:color w:val="231F20"/>
          <w:spacing w:val="-19"/>
          <w:w w:val="105"/>
        </w:rPr>
        <w:t> </w:t>
      </w:r>
      <w:r>
        <w:rPr>
          <w:color w:val="231F20"/>
          <w:w w:val="105"/>
        </w:rPr>
        <w:t>los</w:t>
      </w:r>
      <w:r>
        <w:rPr>
          <w:color w:val="231F20"/>
          <w:spacing w:val="-19"/>
          <w:w w:val="105"/>
        </w:rPr>
        <w:t> </w:t>
      </w:r>
      <w:r>
        <w:rPr>
          <w:color w:val="231F20"/>
          <w:w w:val="105"/>
        </w:rPr>
        <w:t>perfiles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titulares</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dependencias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APM</w:t>
      </w:r>
      <w:r>
        <w:rPr>
          <w:color w:val="231F20"/>
          <w:spacing w:val="-19"/>
          <w:w w:val="105"/>
        </w:rPr>
        <w:t> </w:t>
      </w:r>
      <w:r>
        <w:rPr>
          <w:color w:val="231F20"/>
          <w:w w:val="105"/>
        </w:rPr>
        <w:t>con el</w:t>
      </w:r>
      <w:r>
        <w:rPr>
          <w:color w:val="231F20"/>
          <w:spacing w:val="-23"/>
          <w:w w:val="105"/>
        </w:rPr>
        <w:t> </w:t>
      </w:r>
      <w:r>
        <w:rPr>
          <w:color w:val="231F20"/>
          <w:spacing w:val="2"/>
          <w:w w:val="105"/>
        </w:rPr>
        <w:t>fin</w:t>
      </w:r>
      <w:r>
        <w:rPr>
          <w:color w:val="231F20"/>
          <w:spacing w:val="-23"/>
          <w:w w:val="105"/>
        </w:rPr>
        <w:t> </w:t>
      </w:r>
      <w:r>
        <w:rPr>
          <w:color w:val="231F20"/>
          <w:w w:val="105"/>
        </w:rPr>
        <w:t>de</w:t>
      </w:r>
      <w:r>
        <w:rPr>
          <w:color w:val="231F20"/>
          <w:spacing w:val="-23"/>
          <w:w w:val="105"/>
        </w:rPr>
        <w:t> </w:t>
      </w:r>
      <w:r>
        <w:rPr>
          <w:color w:val="231F20"/>
          <w:w w:val="105"/>
        </w:rPr>
        <w:t>identificar</w:t>
      </w:r>
      <w:r>
        <w:rPr>
          <w:color w:val="231F20"/>
          <w:spacing w:val="-23"/>
          <w:w w:val="105"/>
        </w:rPr>
        <w:t> </w:t>
      </w:r>
      <w:r>
        <w:rPr>
          <w:color w:val="231F20"/>
          <w:w w:val="105"/>
        </w:rPr>
        <w:t>el</w:t>
      </w:r>
      <w:r>
        <w:rPr>
          <w:color w:val="231F20"/>
          <w:spacing w:val="-23"/>
          <w:w w:val="105"/>
        </w:rPr>
        <w:t> </w:t>
      </w:r>
      <w:r>
        <w:rPr>
          <w:color w:val="231F20"/>
          <w:w w:val="105"/>
        </w:rPr>
        <w:t>criterio</w:t>
      </w:r>
      <w:r>
        <w:rPr>
          <w:color w:val="231F20"/>
          <w:spacing w:val="-23"/>
          <w:w w:val="105"/>
        </w:rPr>
        <w:t> </w:t>
      </w:r>
      <w:r>
        <w:rPr>
          <w:color w:val="231F20"/>
          <w:w w:val="105"/>
        </w:rPr>
        <w:t>de</w:t>
      </w:r>
      <w:r>
        <w:rPr>
          <w:color w:val="231F20"/>
          <w:spacing w:val="-23"/>
          <w:w w:val="105"/>
        </w:rPr>
        <w:t> </w:t>
      </w:r>
      <w:r>
        <w:rPr>
          <w:color w:val="231F20"/>
          <w:w w:val="105"/>
        </w:rPr>
        <w:t>gobierno</w:t>
      </w:r>
      <w:r>
        <w:rPr>
          <w:color w:val="231F20"/>
          <w:spacing w:val="-23"/>
          <w:w w:val="105"/>
        </w:rPr>
        <w:t> </w:t>
      </w:r>
      <w:r>
        <w:rPr>
          <w:color w:val="231F20"/>
          <w:w w:val="105"/>
        </w:rPr>
        <w:t>adoptado</w:t>
      </w:r>
      <w:r>
        <w:rPr>
          <w:color w:val="231F20"/>
          <w:spacing w:val="-23"/>
          <w:w w:val="105"/>
        </w:rPr>
        <w:t> </w:t>
      </w:r>
      <w:r>
        <w:rPr>
          <w:color w:val="231F20"/>
          <w:w w:val="105"/>
        </w:rPr>
        <w:t>(ya</w:t>
      </w:r>
      <w:r>
        <w:rPr>
          <w:color w:val="231F20"/>
          <w:spacing w:val="-23"/>
          <w:w w:val="105"/>
        </w:rPr>
        <w:t> </w:t>
      </w:r>
      <w:r>
        <w:rPr>
          <w:color w:val="231F20"/>
          <w:w w:val="105"/>
        </w:rPr>
        <w:t>sea</w:t>
      </w:r>
      <w:r>
        <w:rPr>
          <w:color w:val="231F20"/>
          <w:spacing w:val="-23"/>
          <w:w w:val="105"/>
        </w:rPr>
        <w:t> </w:t>
      </w:r>
      <w:r>
        <w:rPr>
          <w:color w:val="231F20"/>
          <w:w w:val="105"/>
        </w:rPr>
        <w:t>de</w:t>
      </w:r>
      <w:r>
        <w:rPr>
          <w:color w:val="231F20"/>
          <w:spacing w:val="-23"/>
          <w:w w:val="105"/>
        </w:rPr>
        <w:t> </w:t>
      </w:r>
      <w:r>
        <w:rPr>
          <w:color w:val="231F20"/>
          <w:w w:val="105"/>
        </w:rPr>
        <w:t>corte</w:t>
      </w:r>
      <w:r>
        <w:rPr>
          <w:color w:val="231F20"/>
          <w:spacing w:val="-23"/>
          <w:w w:val="105"/>
        </w:rPr>
        <w:t> </w:t>
      </w:r>
      <w:r>
        <w:rPr>
          <w:color w:val="231F20"/>
          <w:w w:val="105"/>
        </w:rPr>
        <w:t>técnico,</w:t>
      </w:r>
      <w:r>
        <w:rPr>
          <w:color w:val="231F20"/>
          <w:spacing w:val="-23"/>
          <w:w w:val="105"/>
        </w:rPr>
        <w:t> </w:t>
      </w:r>
      <w:r>
        <w:rPr>
          <w:color w:val="231F20"/>
          <w:w w:val="105"/>
        </w:rPr>
        <w:t>pragmático, partidista,</w:t>
      </w:r>
      <w:r>
        <w:rPr>
          <w:color w:val="231F20"/>
          <w:spacing w:val="-11"/>
          <w:w w:val="105"/>
        </w:rPr>
        <w:t> </w:t>
      </w:r>
      <w:r>
        <w:rPr>
          <w:color w:val="231F20"/>
          <w:w w:val="105"/>
        </w:rPr>
        <w:t>programático)</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presidente</w:t>
      </w:r>
      <w:r>
        <w:rPr>
          <w:color w:val="231F20"/>
          <w:spacing w:val="-11"/>
          <w:w w:val="105"/>
        </w:rPr>
        <w:t> </w:t>
      </w:r>
      <w:r>
        <w:rPr>
          <w:color w:val="231F20"/>
          <w:w w:val="105"/>
        </w:rPr>
        <w:t>municipal,</w:t>
      </w:r>
      <w:r>
        <w:rPr>
          <w:color w:val="231F20"/>
          <w:spacing w:val="-11"/>
          <w:w w:val="105"/>
        </w:rPr>
        <w:t> </w:t>
      </w:r>
      <w:r>
        <w:rPr>
          <w:color w:val="231F20"/>
          <w:w w:val="105"/>
        </w:rPr>
        <w:t>Adrián</w:t>
      </w:r>
      <w:r>
        <w:rPr>
          <w:color w:val="231F20"/>
          <w:spacing w:val="-11"/>
          <w:w w:val="105"/>
        </w:rPr>
        <w:t> </w:t>
      </w:r>
      <w:r>
        <w:rPr>
          <w:color w:val="231F20"/>
          <w:w w:val="105"/>
        </w:rPr>
        <w:t>Fuentes.</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datos</w:t>
      </w:r>
      <w:r>
        <w:rPr>
          <w:color w:val="231F20"/>
          <w:spacing w:val="-14"/>
          <w:w w:val="105"/>
        </w:rPr>
        <w:t> </w:t>
      </w:r>
      <w:r>
        <w:rPr>
          <w:color w:val="231F20"/>
          <w:w w:val="105"/>
        </w:rPr>
        <w:t>recopilados,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spacing w:val="-6"/>
          <w:w w:val="105"/>
        </w:rPr>
        <w:t>16</w:t>
      </w:r>
      <w:r>
        <w:rPr>
          <w:color w:val="231F20"/>
          <w:spacing w:val="-14"/>
          <w:w w:val="105"/>
        </w:rPr>
        <w:t> </w:t>
      </w:r>
      <w:r>
        <w:rPr>
          <w:color w:val="231F20"/>
          <w:w w:val="105"/>
        </w:rPr>
        <w:t>titulares</w:t>
      </w:r>
      <w:r>
        <w:rPr>
          <w:color w:val="231F20"/>
          <w:spacing w:val="-14"/>
          <w:w w:val="105"/>
        </w:rPr>
        <w:t> </w:t>
      </w:r>
      <w:r>
        <w:rPr>
          <w:color w:val="231F20"/>
          <w:w w:val="105"/>
        </w:rPr>
        <w:t>registrados,</w:t>
      </w:r>
      <w:r>
        <w:rPr>
          <w:color w:val="231F20"/>
          <w:spacing w:val="-14"/>
          <w:w w:val="105"/>
        </w:rPr>
        <w:t> </w:t>
      </w:r>
      <w:r>
        <w:rPr>
          <w:color w:val="231F20"/>
          <w:w w:val="105"/>
        </w:rPr>
        <w:t>la</w:t>
      </w:r>
      <w:r>
        <w:rPr>
          <w:color w:val="231F20"/>
          <w:spacing w:val="-14"/>
          <w:w w:val="105"/>
        </w:rPr>
        <w:t> </w:t>
      </w:r>
      <w:r>
        <w:rPr>
          <w:color w:val="231F20"/>
          <w:w w:val="105"/>
        </w:rPr>
        <w:t>mayoría</w:t>
      </w:r>
      <w:r>
        <w:rPr>
          <w:color w:val="231F20"/>
          <w:spacing w:val="-14"/>
          <w:w w:val="105"/>
        </w:rPr>
        <w:t> </w:t>
      </w:r>
      <w:r>
        <w:rPr>
          <w:color w:val="231F20"/>
          <w:spacing w:val="-7"/>
          <w:w w:val="105"/>
        </w:rPr>
        <w:t>(11</w:t>
      </w:r>
      <w:r>
        <w:rPr>
          <w:color w:val="231F20"/>
          <w:spacing w:val="-14"/>
          <w:w w:val="105"/>
        </w:rPr>
        <w:t> </w:t>
      </w:r>
      <w:r>
        <w:rPr>
          <w:color w:val="231F20"/>
          <w:w w:val="105"/>
        </w:rPr>
        <w:t>casos) cuentan</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nivel</w:t>
      </w:r>
      <w:r>
        <w:rPr>
          <w:color w:val="231F20"/>
          <w:spacing w:val="-16"/>
          <w:w w:val="105"/>
        </w:rPr>
        <w:t> </w:t>
      </w:r>
      <w:r>
        <w:rPr>
          <w:color w:val="231F20"/>
          <w:w w:val="105"/>
        </w:rPr>
        <w:t>superior</w:t>
      </w:r>
      <w:r>
        <w:rPr>
          <w:color w:val="231F20"/>
          <w:spacing w:val="-16"/>
          <w:w w:val="105"/>
        </w:rPr>
        <w:t> </w:t>
      </w:r>
      <w:r>
        <w:rPr>
          <w:color w:val="231F20"/>
          <w:w w:val="105"/>
        </w:rPr>
        <w:t>terminado.</w:t>
      </w:r>
      <w:r>
        <w:rPr>
          <w:color w:val="231F20"/>
          <w:spacing w:val="-16"/>
          <w:w w:val="105"/>
        </w:rPr>
        <w:t> </w:t>
      </w:r>
      <w:r>
        <w:rPr>
          <w:color w:val="231F20"/>
          <w:w w:val="105"/>
        </w:rPr>
        <w:t>Sólo</w:t>
      </w:r>
      <w:r>
        <w:rPr>
          <w:color w:val="231F20"/>
          <w:spacing w:val="-16"/>
          <w:w w:val="105"/>
        </w:rPr>
        <w:t> </w:t>
      </w:r>
      <w:r>
        <w:rPr>
          <w:color w:val="231F20"/>
          <w:w w:val="105"/>
        </w:rPr>
        <w:t>uno</w:t>
      </w:r>
      <w:r>
        <w:rPr>
          <w:color w:val="231F20"/>
          <w:spacing w:val="-16"/>
          <w:w w:val="105"/>
        </w:rPr>
        <w:t> </w:t>
      </w:r>
      <w:r>
        <w:rPr>
          <w:color w:val="231F20"/>
          <w:w w:val="105"/>
        </w:rPr>
        <w:t>tiene</w:t>
      </w:r>
      <w:r>
        <w:rPr>
          <w:color w:val="231F20"/>
          <w:spacing w:val="-16"/>
          <w:w w:val="105"/>
        </w:rPr>
        <w:t> </w:t>
      </w:r>
      <w:r>
        <w:rPr>
          <w:color w:val="231F20"/>
          <w:w w:val="105"/>
        </w:rPr>
        <w:t>estudios</w:t>
      </w:r>
      <w:r>
        <w:rPr>
          <w:color w:val="231F20"/>
          <w:spacing w:val="-16"/>
          <w:w w:val="105"/>
        </w:rPr>
        <w:t> </w:t>
      </w:r>
      <w:r>
        <w:rPr>
          <w:color w:val="231F20"/>
          <w:w w:val="105"/>
        </w:rPr>
        <w:t>de</w:t>
      </w:r>
      <w:r>
        <w:rPr>
          <w:color w:val="231F20"/>
          <w:spacing w:val="-16"/>
          <w:w w:val="105"/>
        </w:rPr>
        <w:t> </w:t>
      </w:r>
      <w:r>
        <w:rPr>
          <w:color w:val="231F20"/>
          <w:w w:val="105"/>
        </w:rPr>
        <w:t>postgrado,</w:t>
      </w:r>
      <w:r>
        <w:rPr>
          <w:color w:val="231F20"/>
          <w:spacing w:val="-16"/>
          <w:w w:val="105"/>
        </w:rPr>
        <w:t> </w:t>
      </w:r>
      <w:r>
        <w:rPr>
          <w:color w:val="231F20"/>
          <w:w w:val="105"/>
        </w:rPr>
        <w:t>mientras que</w:t>
      </w:r>
      <w:r>
        <w:rPr>
          <w:color w:val="231F20"/>
          <w:spacing w:val="-9"/>
          <w:w w:val="105"/>
        </w:rPr>
        <w:t> </w:t>
      </w:r>
      <w:r>
        <w:rPr>
          <w:color w:val="231F20"/>
          <w:w w:val="105"/>
        </w:rPr>
        <w:t>cuatro</w:t>
      </w:r>
      <w:r>
        <w:rPr>
          <w:color w:val="231F20"/>
          <w:spacing w:val="-9"/>
          <w:w w:val="105"/>
        </w:rPr>
        <w:t> </w:t>
      </w:r>
      <w:r>
        <w:rPr>
          <w:color w:val="231F20"/>
          <w:w w:val="105"/>
        </w:rPr>
        <w:t>más</w:t>
      </w:r>
      <w:r>
        <w:rPr>
          <w:color w:val="231F20"/>
          <w:spacing w:val="-9"/>
          <w:w w:val="105"/>
        </w:rPr>
        <w:t> </w:t>
      </w:r>
      <w:r>
        <w:rPr>
          <w:color w:val="231F20"/>
          <w:w w:val="105"/>
        </w:rPr>
        <w:t>mostraron</w:t>
      </w:r>
      <w:r>
        <w:rPr>
          <w:color w:val="231F20"/>
          <w:spacing w:val="-9"/>
          <w:w w:val="105"/>
        </w:rPr>
        <w:t> </w:t>
      </w:r>
      <w:r>
        <w:rPr>
          <w:color w:val="231F20"/>
          <w:w w:val="105"/>
        </w:rPr>
        <w:t>solo</w:t>
      </w:r>
      <w:r>
        <w:rPr>
          <w:color w:val="231F20"/>
          <w:spacing w:val="-9"/>
          <w:w w:val="105"/>
        </w:rPr>
        <w:t> </w:t>
      </w:r>
      <w:r>
        <w:rPr>
          <w:color w:val="231F20"/>
          <w:w w:val="105"/>
        </w:rPr>
        <w:t>preparación</w:t>
      </w:r>
      <w:r>
        <w:rPr>
          <w:color w:val="231F20"/>
          <w:spacing w:val="-9"/>
          <w:w w:val="105"/>
        </w:rPr>
        <w:t> </w:t>
      </w:r>
      <w:r>
        <w:rPr>
          <w:color w:val="231F20"/>
          <w:w w:val="105"/>
        </w:rPr>
        <w:t>a</w:t>
      </w:r>
      <w:r>
        <w:rPr>
          <w:color w:val="231F20"/>
          <w:spacing w:val="-9"/>
          <w:w w:val="105"/>
        </w:rPr>
        <w:t> </w:t>
      </w:r>
      <w:r>
        <w:rPr>
          <w:color w:val="231F20"/>
          <w:w w:val="105"/>
        </w:rPr>
        <w:t>nivel</w:t>
      </w:r>
      <w:r>
        <w:rPr>
          <w:color w:val="231F20"/>
          <w:spacing w:val="-9"/>
          <w:w w:val="105"/>
        </w:rPr>
        <w:t> </w:t>
      </w:r>
      <w:r>
        <w:rPr>
          <w:color w:val="231F20"/>
          <w:w w:val="105"/>
        </w:rPr>
        <w:t>medio</w:t>
      </w:r>
      <w:r>
        <w:rPr>
          <w:color w:val="231F20"/>
          <w:spacing w:val="-9"/>
          <w:w w:val="105"/>
        </w:rPr>
        <w:t> </w:t>
      </w:r>
      <w:r>
        <w:rPr>
          <w:color w:val="231F20"/>
          <w:w w:val="105"/>
        </w:rPr>
        <w:t>superior.</w:t>
      </w:r>
    </w:p>
    <w:p>
      <w:pPr>
        <w:pStyle w:val="BodyText"/>
        <w:spacing w:before="1"/>
        <w:rPr>
          <w:sz w:val="26"/>
        </w:rPr>
      </w:pPr>
    </w:p>
    <w:p>
      <w:pPr>
        <w:pStyle w:val="BodyText"/>
        <w:spacing w:line="285" w:lineRule="auto"/>
        <w:ind w:left="110" w:right="108"/>
        <w:jc w:val="both"/>
        <w:rPr>
          <w:sz w:val="13"/>
        </w:rPr>
      </w:pPr>
      <w:r>
        <w:rPr>
          <w:color w:val="231F20"/>
          <w:w w:val="105"/>
        </w:rPr>
        <w:t>De</w:t>
      </w:r>
      <w:r>
        <w:rPr>
          <w:color w:val="231F20"/>
          <w:spacing w:val="-6"/>
          <w:w w:val="105"/>
        </w:rPr>
        <w:t> </w:t>
      </w:r>
      <w:r>
        <w:rPr>
          <w:color w:val="231F20"/>
          <w:w w:val="105"/>
        </w:rPr>
        <w:t>seis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titulares</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pudo</w:t>
      </w:r>
      <w:r>
        <w:rPr>
          <w:color w:val="231F20"/>
          <w:spacing w:val="-6"/>
          <w:w w:val="105"/>
        </w:rPr>
        <w:t> </w:t>
      </w:r>
      <w:r>
        <w:rPr>
          <w:color w:val="231F20"/>
          <w:w w:val="105"/>
        </w:rPr>
        <w:t>determinar</w:t>
      </w:r>
      <w:r>
        <w:rPr>
          <w:color w:val="231F20"/>
          <w:spacing w:val="-6"/>
          <w:w w:val="105"/>
        </w:rPr>
        <w:t> </w:t>
      </w:r>
      <w:r>
        <w:rPr>
          <w:color w:val="231F20"/>
          <w:w w:val="105"/>
        </w:rPr>
        <w:t>su</w:t>
      </w:r>
      <w:r>
        <w:rPr>
          <w:color w:val="231F20"/>
          <w:spacing w:val="-6"/>
          <w:w w:val="105"/>
        </w:rPr>
        <w:t> </w:t>
      </w:r>
      <w:r>
        <w:rPr>
          <w:color w:val="231F20"/>
          <w:w w:val="105"/>
        </w:rPr>
        <w:t>participación</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sector</w:t>
      </w:r>
      <w:r>
        <w:rPr>
          <w:color w:val="231F20"/>
          <w:spacing w:val="-6"/>
          <w:w w:val="105"/>
        </w:rPr>
        <w:t> </w:t>
      </w:r>
      <w:r>
        <w:rPr>
          <w:color w:val="231F20"/>
          <w:w w:val="105"/>
        </w:rPr>
        <w:t>público</w:t>
      </w:r>
      <w:r>
        <w:rPr>
          <w:color w:val="231F20"/>
          <w:spacing w:val="-6"/>
          <w:w w:val="105"/>
        </w:rPr>
        <w:t> </w:t>
      </w:r>
      <w:r>
        <w:rPr>
          <w:color w:val="231F20"/>
          <w:w w:val="105"/>
        </w:rPr>
        <w:t>con anterioridad. En contraparte, en otros ocho funcionarios se reconoció su participación previa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ejercicio</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cargo</w:t>
      </w:r>
      <w:r>
        <w:rPr>
          <w:color w:val="231F20"/>
          <w:spacing w:val="-13"/>
          <w:w w:val="105"/>
        </w:rPr>
        <w:t> </w:t>
      </w:r>
      <w:r>
        <w:rPr>
          <w:color w:val="231F20"/>
          <w:w w:val="105"/>
        </w:rPr>
        <w:t>de</w:t>
      </w:r>
      <w:r>
        <w:rPr>
          <w:color w:val="231F20"/>
          <w:spacing w:val="-13"/>
          <w:w w:val="105"/>
        </w:rPr>
        <w:t> </w:t>
      </w:r>
      <w:r>
        <w:rPr>
          <w:color w:val="231F20"/>
          <w:w w:val="105"/>
        </w:rPr>
        <w:t>gobierno</w:t>
      </w:r>
      <w:r>
        <w:rPr>
          <w:color w:val="231F20"/>
          <w:spacing w:val="-13"/>
          <w:w w:val="105"/>
        </w:rPr>
        <w:t> </w:t>
      </w:r>
      <w:r>
        <w:rPr>
          <w:color w:val="231F20"/>
          <w:w w:val="105"/>
        </w:rPr>
        <w:t>De</w:t>
      </w:r>
      <w:r>
        <w:rPr>
          <w:color w:val="231F20"/>
          <w:spacing w:val="-13"/>
          <w:w w:val="105"/>
        </w:rPr>
        <w:t> </w:t>
      </w:r>
      <w:r>
        <w:rPr>
          <w:color w:val="231F20"/>
          <w:w w:val="105"/>
        </w:rPr>
        <w:t>estos</w:t>
      </w:r>
      <w:r>
        <w:rPr>
          <w:color w:val="231F20"/>
          <w:spacing w:val="-13"/>
          <w:w w:val="105"/>
        </w:rPr>
        <w:t> </w:t>
      </w:r>
      <w:r>
        <w:rPr>
          <w:color w:val="231F20"/>
          <w:w w:val="105"/>
        </w:rPr>
        <w:t>últimos,</w:t>
      </w:r>
      <w:r>
        <w:rPr>
          <w:color w:val="231F20"/>
          <w:spacing w:val="-13"/>
          <w:w w:val="105"/>
        </w:rPr>
        <w:t> </w:t>
      </w:r>
      <w:r>
        <w:rPr>
          <w:color w:val="231F20"/>
          <w:w w:val="105"/>
        </w:rPr>
        <w:t>sólo</w:t>
      </w:r>
      <w:r>
        <w:rPr>
          <w:color w:val="231F20"/>
          <w:spacing w:val="-13"/>
          <w:w w:val="105"/>
        </w:rPr>
        <w:t> </w:t>
      </w:r>
      <w:r>
        <w:rPr>
          <w:color w:val="231F20"/>
          <w:w w:val="105"/>
        </w:rPr>
        <w:t>uno</w:t>
      </w:r>
      <w:r>
        <w:rPr>
          <w:color w:val="231F20"/>
          <w:spacing w:val="-13"/>
          <w:w w:val="105"/>
        </w:rPr>
        <w:t> </w:t>
      </w:r>
      <w:r>
        <w:rPr>
          <w:color w:val="231F20"/>
          <w:w w:val="105"/>
        </w:rPr>
        <w:t>ejerció</w:t>
      </w:r>
      <w:r>
        <w:rPr>
          <w:color w:val="231F20"/>
          <w:spacing w:val="-13"/>
          <w:w w:val="105"/>
        </w:rPr>
        <w:t> </w:t>
      </w:r>
      <w:r>
        <w:rPr>
          <w:color w:val="231F20"/>
          <w:w w:val="105"/>
        </w:rPr>
        <w:t>un</w:t>
      </w:r>
      <w:r>
        <w:rPr>
          <w:color w:val="231F20"/>
          <w:spacing w:val="-13"/>
          <w:w w:val="105"/>
        </w:rPr>
        <w:t> </w:t>
      </w:r>
      <w:r>
        <w:rPr>
          <w:color w:val="231F20"/>
          <w:w w:val="105"/>
        </w:rPr>
        <w:t>car- go</w:t>
      </w:r>
      <w:r>
        <w:rPr>
          <w:color w:val="231F20"/>
          <w:spacing w:val="-6"/>
          <w:w w:val="105"/>
        </w:rPr>
        <w:t> </w:t>
      </w:r>
      <w:r>
        <w:rPr>
          <w:color w:val="231F20"/>
          <w:w w:val="105"/>
        </w:rPr>
        <w:t>de</w:t>
      </w:r>
      <w:r>
        <w:rPr>
          <w:color w:val="231F20"/>
          <w:spacing w:val="-6"/>
          <w:w w:val="105"/>
        </w:rPr>
        <w:t> </w:t>
      </w:r>
      <w:r>
        <w:rPr>
          <w:color w:val="231F20"/>
          <w:w w:val="105"/>
        </w:rPr>
        <w:t>corte</w:t>
      </w:r>
      <w:r>
        <w:rPr>
          <w:color w:val="231F20"/>
          <w:spacing w:val="-6"/>
          <w:w w:val="105"/>
        </w:rPr>
        <w:t> </w:t>
      </w:r>
      <w:r>
        <w:rPr>
          <w:color w:val="231F20"/>
          <w:w w:val="105"/>
        </w:rPr>
        <w:t>estatal</w:t>
      </w:r>
      <w:r>
        <w:rPr>
          <w:color w:val="231F20"/>
          <w:w w:val="105"/>
          <w:position w:val="7"/>
          <w:sz w:val="13"/>
        </w:rPr>
        <w:t>43</w:t>
      </w:r>
      <w:r>
        <w:rPr>
          <w:color w:val="231F20"/>
          <w:spacing w:val="17"/>
          <w:w w:val="105"/>
          <w:position w:val="7"/>
          <w:sz w:val="13"/>
        </w:rPr>
        <w:t> </w:t>
      </w:r>
      <w:r>
        <w:rPr>
          <w:color w:val="231F20"/>
          <w:w w:val="105"/>
        </w:rPr>
        <w:t>y</w:t>
      </w:r>
      <w:r>
        <w:rPr>
          <w:color w:val="231F20"/>
          <w:spacing w:val="-6"/>
          <w:w w:val="105"/>
        </w:rPr>
        <w:t> </w:t>
      </w:r>
      <w:r>
        <w:rPr>
          <w:color w:val="231F20"/>
          <w:w w:val="105"/>
        </w:rPr>
        <w:t>otro</w:t>
      </w:r>
      <w:r>
        <w:rPr>
          <w:color w:val="231F20"/>
          <w:spacing w:val="-6"/>
          <w:w w:val="105"/>
        </w:rPr>
        <w:t> </w:t>
      </w:r>
      <w:r>
        <w:rPr>
          <w:color w:val="231F20"/>
          <w:w w:val="105"/>
        </w:rPr>
        <w:t>a</w:t>
      </w:r>
      <w:r>
        <w:rPr>
          <w:color w:val="231F20"/>
          <w:spacing w:val="-6"/>
          <w:w w:val="105"/>
        </w:rPr>
        <w:t> </w:t>
      </w:r>
      <w:r>
        <w:rPr>
          <w:color w:val="231F20"/>
          <w:w w:val="105"/>
        </w:rPr>
        <w:t>nivel</w:t>
      </w:r>
      <w:r>
        <w:rPr>
          <w:color w:val="231F20"/>
          <w:spacing w:val="-6"/>
          <w:w w:val="105"/>
        </w:rPr>
        <w:t> </w:t>
      </w:r>
      <w:r>
        <w:rPr>
          <w:color w:val="231F20"/>
          <w:w w:val="105"/>
        </w:rPr>
        <w:t>federal</w:t>
      </w:r>
      <w:r>
        <w:rPr>
          <w:color w:val="231F20"/>
          <w:w w:val="105"/>
          <w:position w:val="7"/>
          <w:sz w:val="13"/>
        </w:rPr>
        <w:t>44,</w:t>
      </w:r>
      <w:r>
        <w:rPr>
          <w:color w:val="231F20"/>
          <w:spacing w:val="17"/>
          <w:w w:val="105"/>
          <w:position w:val="7"/>
          <w:sz w:val="13"/>
        </w:rPr>
        <w:t> </w:t>
      </w:r>
      <w:r>
        <w:rPr>
          <w:color w:val="231F20"/>
          <w:w w:val="105"/>
        </w:rPr>
        <w:t>el</w:t>
      </w:r>
      <w:r>
        <w:rPr>
          <w:color w:val="231F20"/>
          <w:spacing w:val="-6"/>
          <w:w w:val="105"/>
        </w:rPr>
        <w:t> </w:t>
      </w:r>
      <w:r>
        <w:rPr>
          <w:color w:val="231F20"/>
          <w:w w:val="105"/>
        </w:rPr>
        <w:t>resto</w:t>
      </w:r>
      <w:r>
        <w:rPr>
          <w:color w:val="231F20"/>
          <w:spacing w:val="-6"/>
          <w:w w:val="105"/>
        </w:rPr>
        <w:t> </w:t>
      </w:r>
      <w:r>
        <w:rPr>
          <w:color w:val="231F20"/>
          <w:w w:val="105"/>
        </w:rPr>
        <w:t>participó</w:t>
      </w:r>
      <w:r>
        <w:rPr>
          <w:color w:val="231F20"/>
          <w:spacing w:val="-6"/>
          <w:w w:val="105"/>
        </w:rPr>
        <w:t> </w:t>
      </w:r>
      <w:r>
        <w:rPr>
          <w:color w:val="231F20"/>
          <w:w w:val="105"/>
        </w:rPr>
        <w:t>en</w:t>
      </w:r>
      <w:r>
        <w:rPr>
          <w:color w:val="231F20"/>
          <w:spacing w:val="-6"/>
          <w:w w:val="105"/>
        </w:rPr>
        <w:t> </w:t>
      </w:r>
      <w:r>
        <w:rPr>
          <w:color w:val="231F20"/>
          <w:w w:val="105"/>
        </w:rPr>
        <w:t>distintos</w:t>
      </w:r>
      <w:r>
        <w:rPr>
          <w:color w:val="231F20"/>
          <w:spacing w:val="-6"/>
          <w:w w:val="105"/>
        </w:rPr>
        <w:t> </w:t>
      </w:r>
      <w:r>
        <w:rPr>
          <w:color w:val="231F20"/>
          <w:w w:val="105"/>
        </w:rPr>
        <w:t>niveles</w:t>
      </w:r>
      <w:r>
        <w:rPr>
          <w:color w:val="231F20"/>
          <w:spacing w:val="-6"/>
          <w:w w:val="105"/>
        </w:rPr>
        <w:t> </w:t>
      </w:r>
      <w:r>
        <w:rPr>
          <w:color w:val="231F20"/>
          <w:w w:val="105"/>
        </w:rPr>
        <w:t>de</w:t>
      </w:r>
      <w:r>
        <w:rPr>
          <w:color w:val="231F20"/>
          <w:spacing w:val="-6"/>
          <w:w w:val="105"/>
        </w:rPr>
        <w:t> </w:t>
      </w:r>
      <w:r>
        <w:rPr>
          <w:color w:val="231F20"/>
          <w:w w:val="105"/>
        </w:rPr>
        <w:t>las administraciones municipales</w:t>
      </w:r>
      <w:r>
        <w:rPr>
          <w:color w:val="231F20"/>
          <w:spacing w:val="-15"/>
          <w:w w:val="105"/>
        </w:rPr>
        <w:t> </w:t>
      </w:r>
      <w:r>
        <w:rPr>
          <w:color w:val="231F20"/>
          <w:w w:val="105"/>
        </w:rPr>
        <w:t>anteriores</w:t>
      </w:r>
      <w:r>
        <w:rPr>
          <w:color w:val="231F20"/>
          <w:w w:val="105"/>
          <w:position w:val="7"/>
          <w:sz w:val="13"/>
        </w:rPr>
        <w:t>45.</w:t>
      </w:r>
    </w:p>
    <w:p>
      <w:pPr>
        <w:pStyle w:val="BodyText"/>
        <w:spacing w:before="1"/>
        <w:rPr>
          <w:sz w:val="26"/>
        </w:rPr>
      </w:pPr>
    </w:p>
    <w:p>
      <w:pPr>
        <w:pStyle w:val="BodyText"/>
        <w:spacing w:line="285" w:lineRule="auto"/>
        <w:ind w:left="110" w:right="109"/>
        <w:jc w:val="both"/>
      </w:pPr>
      <w:r>
        <w:rPr>
          <w:color w:val="231F20"/>
          <w:spacing w:val="-5"/>
          <w:w w:val="105"/>
        </w:rPr>
        <w:t>Uno</w:t>
      </w:r>
      <w:r>
        <w:rPr>
          <w:color w:val="231F20"/>
          <w:spacing w:val="-15"/>
          <w:w w:val="105"/>
        </w:rPr>
        <w:t> </w:t>
      </w:r>
      <w:r>
        <w:rPr>
          <w:color w:val="231F20"/>
          <w:w w:val="105"/>
        </w:rPr>
        <w:t>de</w:t>
      </w:r>
      <w:r>
        <w:rPr>
          <w:color w:val="231F20"/>
          <w:spacing w:val="-15"/>
          <w:w w:val="105"/>
        </w:rPr>
        <w:t> </w:t>
      </w:r>
      <w:r>
        <w:rPr>
          <w:color w:val="231F20"/>
          <w:spacing w:val="-3"/>
          <w:w w:val="105"/>
        </w:rPr>
        <w:t>los</w:t>
      </w:r>
      <w:r>
        <w:rPr>
          <w:color w:val="231F20"/>
          <w:spacing w:val="-15"/>
          <w:w w:val="105"/>
        </w:rPr>
        <w:t> </w:t>
      </w:r>
      <w:r>
        <w:rPr>
          <w:color w:val="231F20"/>
          <w:w w:val="105"/>
        </w:rPr>
        <w:t>aspectos</w:t>
      </w:r>
      <w:r>
        <w:rPr>
          <w:color w:val="231F20"/>
          <w:spacing w:val="-15"/>
          <w:w w:val="105"/>
        </w:rPr>
        <w:t> </w:t>
      </w:r>
      <w:r>
        <w:rPr>
          <w:color w:val="231F20"/>
          <w:spacing w:val="-3"/>
          <w:w w:val="105"/>
        </w:rPr>
        <w:t>que</w:t>
      </w:r>
      <w:r>
        <w:rPr>
          <w:color w:val="231F20"/>
          <w:spacing w:val="-15"/>
          <w:w w:val="105"/>
        </w:rPr>
        <w:t> </w:t>
      </w:r>
      <w:r>
        <w:rPr>
          <w:color w:val="231F20"/>
          <w:w w:val="105"/>
        </w:rPr>
        <w:t>más</w:t>
      </w:r>
      <w:r>
        <w:rPr>
          <w:color w:val="231F20"/>
          <w:spacing w:val="-15"/>
          <w:w w:val="105"/>
        </w:rPr>
        <w:t> </w:t>
      </w:r>
      <w:r>
        <w:rPr>
          <w:color w:val="231F20"/>
          <w:w w:val="105"/>
        </w:rPr>
        <w:t>llamó</w:t>
      </w:r>
      <w:r>
        <w:rPr>
          <w:color w:val="231F20"/>
          <w:spacing w:val="-15"/>
          <w:w w:val="105"/>
        </w:rPr>
        <w:t> </w:t>
      </w:r>
      <w:r>
        <w:rPr>
          <w:color w:val="231F20"/>
          <w:w w:val="105"/>
        </w:rPr>
        <w:t>la</w:t>
      </w:r>
      <w:r>
        <w:rPr>
          <w:color w:val="231F20"/>
          <w:spacing w:val="-15"/>
          <w:w w:val="105"/>
        </w:rPr>
        <w:t> </w:t>
      </w:r>
      <w:r>
        <w:rPr>
          <w:color w:val="231F20"/>
          <w:spacing w:val="-4"/>
          <w:w w:val="105"/>
        </w:rPr>
        <w:t>atención</w:t>
      </w:r>
      <w:r>
        <w:rPr>
          <w:color w:val="231F20"/>
          <w:spacing w:val="-15"/>
          <w:w w:val="105"/>
        </w:rPr>
        <w:t> </w:t>
      </w:r>
      <w:r>
        <w:rPr>
          <w:color w:val="231F20"/>
          <w:spacing w:val="-4"/>
          <w:w w:val="105"/>
        </w:rPr>
        <w:t>sobre</w:t>
      </w:r>
      <w:r>
        <w:rPr>
          <w:color w:val="231F20"/>
          <w:spacing w:val="-15"/>
          <w:w w:val="105"/>
        </w:rPr>
        <w:t> </w:t>
      </w:r>
      <w:r>
        <w:rPr>
          <w:color w:val="231F20"/>
          <w:spacing w:val="-3"/>
          <w:w w:val="105"/>
        </w:rPr>
        <w:t>los</w:t>
      </w:r>
      <w:r>
        <w:rPr>
          <w:color w:val="231F20"/>
          <w:spacing w:val="-15"/>
          <w:w w:val="105"/>
        </w:rPr>
        <w:t> </w:t>
      </w:r>
      <w:r>
        <w:rPr>
          <w:color w:val="231F20"/>
          <w:w w:val="105"/>
        </w:rPr>
        <w:t>perfiles</w:t>
      </w:r>
      <w:r>
        <w:rPr>
          <w:color w:val="231F20"/>
          <w:spacing w:val="-15"/>
          <w:w w:val="105"/>
        </w:rPr>
        <w:t> </w:t>
      </w:r>
      <w:r>
        <w:rPr>
          <w:color w:val="231F20"/>
          <w:w w:val="105"/>
        </w:rPr>
        <w:t>de</w:t>
      </w:r>
      <w:r>
        <w:rPr>
          <w:color w:val="231F20"/>
          <w:spacing w:val="-15"/>
          <w:w w:val="105"/>
        </w:rPr>
        <w:t> </w:t>
      </w:r>
      <w:r>
        <w:rPr>
          <w:color w:val="231F20"/>
          <w:spacing w:val="-3"/>
          <w:w w:val="105"/>
        </w:rPr>
        <w:t>los</w:t>
      </w:r>
      <w:r>
        <w:rPr>
          <w:color w:val="231F20"/>
          <w:spacing w:val="-15"/>
          <w:w w:val="105"/>
        </w:rPr>
        <w:t> </w:t>
      </w:r>
      <w:r>
        <w:rPr>
          <w:color w:val="231F20"/>
          <w:w w:val="105"/>
        </w:rPr>
        <w:t>titulares</w:t>
      </w:r>
      <w:r>
        <w:rPr>
          <w:color w:val="231F20"/>
          <w:spacing w:val="-15"/>
          <w:w w:val="105"/>
        </w:rPr>
        <w:t> </w:t>
      </w:r>
      <w:r>
        <w:rPr>
          <w:color w:val="231F20"/>
          <w:w w:val="105"/>
        </w:rPr>
        <w:t>consistió </w:t>
      </w:r>
      <w:r>
        <w:rPr>
          <w:color w:val="231F20"/>
          <w:w w:val="105"/>
          <w:u w:val="single" w:color="231F20"/>
        </w:rPr>
        <w:t>en</w:t>
      </w:r>
      <w:r>
        <w:rPr>
          <w:color w:val="231F20"/>
          <w:spacing w:val="-11"/>
          <w:w w:val="105"/>
          <w:u w:val="single" w:color="231F20"/>
        </w:rPr>
        <w:t> </w:t>
      </w:r>
      <w:r>
        <w:rPr>
          <w:color w:val="231F20"/>
          <w:w w:val="105"/>
          <w:u w:val="single" w:color="231F20"/>
        </w:rPr>
        <w:t>la</w:t>
      </w:r>
      <w:r>
        <w:rPr>
          <w:color w:val="231F20"/>
          <w:spacing w:val="-11"/>
          <w:w w:val="105"/>
          <w:u w:val="single" w:color="231F20"/>
        </w:rPr>
        <w:t> </w:t>
      </w:r>
      <w:r>
        <w:rPr>
          <w:color w:val="231F20"/>
          <w:w w:val="105"/>
          <w:u w:val="single" w:color="231F20"/>
        </w:rPr>
        <w:t>dificultad</w:t>
      </w:r>
      <w:r>
        <w:rPr>
          <w:color w:val="231F20"/>
          <w:spacing w:val="-11"/>
          <w:w w:val="105"/>
          <w:u w:val="single" w:color="231F20"/>
        </w:rPr>
        <w:t> </w:t>
      </w:r>
      <w:r>
        <w:rPr>
          <w:color w:val="231F20"/>
          <w:w w:val="105"/>
        </w:rPr>
        <w:t>para</w:t>
      </w:r>
      <w:r>
        <w:rPr>
          <w:color w:val="231F20"/>
          <w:spacing w:val="-11"/>
          <w:w w:val="105"/>
        </w:rPr>
        <w:t> </w:t>
      </w:r>
      <w:r>
        <w:rPr>
          <w:color w:val="231F20"/>
          <w:w w:val="105"/>
        </w:rPr>
        <w:t>identificar</w:t>
      </w:r>
      <w:r>
        <w:rPr>
          <w:color w:val="231F20"/>
          <w:spacing w:val="-11"/>
          <w:w w:val="105"/>
        </w:rPr>
        <w:t> </w:t>
      </w:r>
      <w:r>
        <w:rPr>
          <w:color w:val="231F20"/>
          <w:w w:val="105"/>
        </w:rPr>
        <w:t>sus</w:t>
      </w:r>
      <w:r>
        <w:rPr>
          <w:color w:val="231F20"/>
          <w:spacing w:val="-11"/>
          <w:w w:val="105"/>
        </w:rPr>
        <w:t> </w:t>
      </w:r>
      <w:r>
        <w:rPr>
          <w:color w:val="231F20"/>
          <w:w w:val="105"/>
        </w:rPr>
        <w:t>carreras</w:t>
      </w:r>
      <w:r>
        <w:rPr>
          <w:color w:val="231F20"/>
          <w:spacing w:val="-11"/>
          <w:w w:val="105"/>
        </w:rPr>
        <w:t> </w:t>
      </w:r>
      <w:r>
        <w:rPr>
          <w:color w:val="231F20"/>
          <w:w w:val="105"/>
        </w:rPr>
        <w:t>partidistas.</w:t>
      </w:r>
      <w:r>
        <w:rPr>
          <w:color w:val="231F20"/>
          <w:spacing w:val="-11"/>
          <w:w w:val="105"/>
        </w:rPr>
        <w:t> </w:t>
      </w:r>
      <w:r>
        <w:rPr>
          <w:color w:val="231F20"/>
          <w:w w:val="105"/>
        </w:rPr>
        <w:t>Los</w:t>
      </w:r>
      <w:r>
        <w:rPr>
          <w:color w:val="231F20"/>
          <w:spacing w:val="-11"/>
          <w:w w:val="105"/>
        </w:rPr>
        <w:t> </w:t>
      </w:r>
      <w:r>
        <w:rPr>
          <w:color w:val="231F20"/>
          <w:spacing w:val="-3"/>
          <w:w w:val="105"/>
        </w:rPr>
        <w:t>datos</w:t>
      </w:r>
      <w:r>
        <w:rPr>
          <w:color w:val="231F20"/>
          <w:spacing w:val="-11"/>
          <w:w w:val="105"/>
        </w:rPr>
        <w:t> </w:t>
      </w:r>
      <w:r>
        <w:rPr>
          <w:color w:val="231F20"/>
          <w:spacing w:val="-3"/>
          <w:w w:val="105"/>
        </w:rPr>
        <w:t>recopilados</w:t>
      </w:r>
      <w:r>
        <w:rPr>
          <w:color w:val="231F20"/>
          <w:spacing w:val="-11"/>
          <w:w w:val="105"/>
        </w:rPr>
        <w:t> </w:t>
      </w:r>
      <w:r>
        <w:rPr>
          <w:color w:val="231F20"/>
          <w:w w:val="105"/>
        </w:rPr>
        <w:t>señalaron</w:t>
      </w:r>
    </w:p>
    <w:p>
      <w:pPr>
        <w:pStyle w:val="ListParagraph"/>
        <w:numPr>
          <w:ilvl w:val="0"/>
          <w:numId w:val="4"/>
        </w:numPr>
        <w:tabs>
          <w:tab w:pos="325" w:val="left" w:leader="none"/>
        </w:tabs>
        <w:spacing w:line="244" w:lineRule="auto" w:before="53" w:after="0"/>
        <w:ind w:left="110" w:right="108" w:firstLine="0"/>
        <w:jc w:val="both"/>
        <w:rPr>
          <w:sz w:val="16"/>
        </w:rPr>
      </w:pPr>
      <w:r>
        <w:rPr>
          <w:color w:val="231F20"/>
          <w:sz w:val="16"/>
        </w:rPr>
        <w:t>Este</w:t>
      </w:r>
      <w:r>
        <w:rPr>
          <w:color w:val="231F20"/>
          <w:spacing w:val="-15"/>
          <w:sz w:val="16"/>
        </w:rPr>
        <w:t> </w:t>
      </w:r>
      <w:r>
        <w:rPr>
          <w:color w:val="231F20"/>
          <w:sz w:val="16"/>
        </w:rPr>
        <w:t>fue</w:t>
      </w:r>
      <w:r>
        <w:rPr>
          <w:color w:val="231F20"/>
          <w:spacing w:val="-15"/>
          <w:sz w:val="16"/>
        </w:rPr>
        <w:t> </w:t>
      </w:r>
      <w:r>
        <w:rPr>
          <w:color w:val="231F20"/>
          <w:sz w:val="16"/>
        </w:rPr>
        <w:t>Javier</w:t>
      </w:r>
      <w:r>
        <w:rPr>
          <w:color w:val="231F20"/>
          <w:spacing w:val="-15"/>
          <w:sz w:val="16"/>
        </w:rPr>
        <w:t> </w:t>
      </w:r>
      <w:r>
        <w:rPr>
          <w:color w:val="231F20"/>
          <w:sz w:val="16"/>
        </w:rPr>
        <w:t>Armando</w:t>
      </w:r>
      <w:r>
        <w:rPr>
          <w:color w:val="231F20"/>
          <w:spacing w:val="-15"/>
          <w:sz w:val="16"/>
        </w:rPr>
        <w:t> </w:t>
      </w:r>
      <w:r>
        <w:rPr>
          <w:color w:val="231F20"/>
          <w:sz w:val="16"/>
        </w:rPr>
        <w:t>Estrada</w:t>
      </w:r>
      <w:r>
        <w:rPr>
          <w:color w:val="231F20"/>
          <w:spacing w:val="-15"/>
          <w:sz w:val="16"/>
        </w:rPr>
        <w:t> </w:t>
      </w:r>
      <w:r>
        <w:rPr>
          <w:color w:val="231F20"/>
          <w:sz w:val="16"/>
        </w:rPr>
        <w:t>González,</w:t>
      </w:r>
      <w:r>
        <w:rPr>
          <w:color w:val="231F20"/>
          <w:spacing w:val="-15"/>
          <w:sz w:val="16"/>
        </w:rPr>
        <w:t> </w:t>
      </w:r>
      <w:r>
        <w:rPr>
          <w:color w:val="231F20"/>
          <w:sz w:val="16"/>
        </w:rPr>
        <w:t>contralor</w:t>
      </w:r>
      <w:r>
        <w:rPr>
          <w:color w:val="231F20"/>
          <w:spacing w:val="-15"/>
          <w:sz w:val="16"/>
        </w:rPr>
        <w:t> </w:t>
      </w:r>
      <w:r>
        <w:rPr>
          <w:color w:val="231F20"/>
          <w:sz w:val="16"/>
        </w:rPr>
        <w:t>municipal</w:t>
      </w:r>
      <w:r>
        <w:rPr>
          <w:color w:val="231F20"/>
          <w:spacing w:val="-15"/>
          <w:sz w:val="16"/>
        </w:rPr>
        <w:t> </w:t>
      </w:r>
      <w:r>
        <w:rPr>
          <w:color w:val="231F20"/>
          <w:sz w:val="16"/>
        </w:rPr>
        <w:t>de</w:t>
      </w:r>
      <w:r>
        <w:rPr>
          <w:color w:val="231F20"/>
          <w:spacing w:val="-15"/>
          <w:sz w:val="16"/>
        </w:rPr>
        <w:t> </w:t>
      </w:r>
      <w:r>
        <w:rPr>
          <w:color w:val="231F20"/>
          <w:sz w:val="16"/>
        </w:rPr>
        <w:t>Huixquilucan,</w:t>
      </w:r>
      <w:r>
        <w:rPr>
          <w:color w:val="231F20"/>
          <w:spacing w:val="-15"/>
          <w:sz w:val="16"/>
        </w:rPr>
        <w:t> </w:t>
      </w:r>
      <w:r>
        <w:rPr>
          <w:color w:val="231F20"/>
          <w:sz w:val="16"/>
        </w:rPr>
        <w:t>2006-2009,</w:t>
      </w:r>
      <w:r>
        <w:rPr>
          <w:color w:val="231F20"/>
          <w:spacing w:val="-15"/>
          <w:sz w:val="16"/>
        </w:rPr>
        <w:t> </w:t>
      </w:r>
      <w:r>
        <w:rPr>
          <w:color w:val="231F20"/>
          <w:sz w:val="16"/>
        </w:rPr>
        <w:t>quien</w:t>
      </w:r>
      <w:r>
        <w:rPr>
          <w:color w:val="231F20"/>
          <w:spacing w:val="-15"/>
          <w:sz w:val="16"/>
        </w:rPr>
        <w:t> </w:t>
      </w:r>
      <w:r>
        <w:rPr>
          <w:color w:val="231F20"/>
          <w:sz w:val="16"/>
        </w:rPr>
        <w:t>participó</w:t>
      </w:r>
      <w:r>
        <w:rPr>
          <w:color w:val="231F20"/>
          <w:spacing w:val="-15"/>
          <w:sz w:val="16"/>
        </w:rPr>
        <w:t> </w:t>
      </w:r>
      <w:r>
        <w:rPr>
          <w:color w:val="231F20"/>
          <w:sz w:val="16"/>
        </w:rPr>
        <w:t>anteriormen- te</w:t>
      </w:r>
      <w:r>
        <w:rPr>
          <w:color w:val="231F20"/>
          <w:spacing w:val="-10"/>
          <w:sz w:val="16"/>
        </w:rPr>
        <w:t> </w:t>
      </w:r>
      <w:r>
        <w:rPr>
          <w:color w:val="231F20"/>
          <w:sz w:val="16"/>
        </w:rPr>
        <w:t>como</w:t>
      </w:r>
      <w:r>
        <w:rPr>
          <w:color w:val="231F20"/>
          <w:spacing w:val="-10"/>
          <w:sz w:val="16"/>
        </w:rPr>
        <w:t> </w:t>
      </w:r>
      <w:r>
        <w:rPr>
          <w:color w:val="231F20"/>
          <w:sz w:val="16"/>
        </w:rPr>
        <w:t>Subdirector</w:t>
      </w:r>
      <w:r>
        <w:rPr>
          <w:color w:val="231F20"/>
          <w:spacing w:val="-10"/>
          <w:sz w:val="16"/>
        </w:rPr>
        <w:t> </w:t>
      </w:r>
      <w:r>
        <w:rPr>
          <w:color w:val="231F20"/>
          <w:sz w:val="16"/>
        </w:rPr>
        <w:t>del</w:t>
      </w:r>
      <w:r>
        <w:rPr>
          <w:color w:val="231F20"/>
          <w:spacing w:val="-10"/>
          <w:sz w:val="16"/>
        </w:rPr>
        <w:t> </w:t>
      </w:r>
      <w:r>
        <w:rPr>
          <w:color w:val="231F20"/>
          <w:sz w:val="16"/>
        </w:rPr>
        <w:t>DIF</w:t>
      </w:r>
      <w:r>
        <w:rPr>
          <w:color w:val="231F20"/>
          <w:spacing w:val="-10"/>
          <w:sz w:val="16"/>
        </w:rPr>
        <w:t> </w:t>
      </w:r>
      <w:r>
        <w:rPr>
          <w:color w:val="231F20"/>
          <w:sz w:val="16"/>
        </w:rPr>
        <w:t>del</w:t>
      </w:r>
      <w:r>
        <w:rPr>
          <w:color w:val="231F20"/>
          <w:spacing w:val="-10"/>
          <w:sz w:val="16"/>
        </w:rPr>
        <w:t> </w:t>
      </w:r>
      <w:r>
        <w:rPr>
          <w:color w:val="231F20"/>
          <w:sz w:val="16"/>
        </w:rPr>
        <w:t>Estado</w:t>
      </w:r>
      <w:r>
        <w:rPr>
          <w:color w:val="231F20"/>
          <w:spacing w:val="-10"/>
          <w:sz w:val="16"/>
        </w:rPr>
        <w:t> </w:t>
      </w:r>
      <w:r>
        <w:rPr>
          <w:color w:val="231F20"/>
          <w:sz w:val="16"/>
        </w:rPr>
        <w:t>de</w:t>
      </w:r>
      <w:r>
        <w:rPr>
          <w:color w:val="231F20"/>
          <w:spacing w:val="-10"/>
          <w:sz w:val="16"/>
        </w:rPr>
        <w:t> </w:t>
      </w:r>
      <w:r>
        <w:rPr>
          <w:color w:val="231F20"/>
          <w:sz w:val="16"/>
        </w:rPr>
        <w:t>México</w:t>
      </w:r>
      <w:r>
        <w:rPr>
          <w:color w:val="231F20"/>
          <w:spacing w:val="-10"/>
          <w:sz w:val="16"/>
        </w:rPr>
        <w:t> </w:t>
      </w:r>
      <w:r>
        <w:rPr>
          <w:color w:val="231F20"/>
          <w:sz w:val="16"/>
        </w:rPr>
        <w:t>entre</w:t>
      </w:r>
      <w:r>
        <w:rPr>
          <w:color w:val="231F20"/>
          <w:spacing w:val="-10"/>
          <w:sz w:val="16"/>
        </w:rPr>
        <w:t> </w:t>
      </w:r>
      <w:r>
        <w:rPr>
          <w:color w:val="231F20"/>
          <w:sz w:val="16"/>
        </w:rPr>
        <w:t>2001</w:t>
      </w:r>
      <w:r>
        <w:rPr>
          <w:color w:val="231F20"/>
          <w:spacing w:val="-10"/>
          <w:sz w:val="16"/>
        </w:rPr>
        <w:t> </w:t>
      </w:r>
      <w:r>
        <w:rPr>
          <w:color w:val="231F20"/>
          <w:sz w:val="16"/>
        </w:rPr>
        <w:t>y</w:t>
      </w:r>
      <w:r>
        <w:rPr>
          <w:color w:val="231F20"/>
          <w:spacing w:val="-10"/>
          <w:sz w:val="16"/>
        </w:rPr>
        <w:t> </w:t>
      </w:r>
      <w:r>
        <w:rPr>
          <w:color w:val="231F20"/>
          <w:sz w:val="16"/>
        </w:rPr>
        <w:t>2003.</w:t>
      </w:r>
    </w:p>
    <w:p>
      <w:pPr>
        <w:pStyle w:val="ListParagraph"/>
        <w:numPr>
          <w:ilvl w:val="0"/>
          <w:numId w:val="4"/>
        </w:numPr>
        <w:tabs>
          <w:tab w:pos="323" w:val="left" w:leader="none"/>
        </w:tabs>
        <w:spacing w:line="244" w:lineRule="auto" w:before="0" w:after="0"/>
        <w:ind w:left="110" w:right="109" w:firstLine="0"/>
        <w:jc w:val="both"/>
        <w:rPr>
          <w:sz w:val="16"/>
        </w:rPr>
      </w:pPr>
      <w:r>
        <w:rPr>
          <w:color w:val="231F20"/>
          <w:sz w:val="16"/>
        </w:rPr>
        <w:t>Adrián Fuentes Villalobos, presidente municipal del municipio entre 2006-2009, fue Diputado Federal en la legislatura durante</w:t>
      </w:r>
      <w:r>
        <w:rPr>
          <w:color w:val="231F20"/>
          <w:spacing w:val="-23"/>
          <w:sz w:val="16"/>
        </w:rPr>
        <w:t> </w:t>
      </w:r>
      <w:r>
        <w:rPr>
          <w:color w:val="231F20"/>
          <w:sz w:val="16"/>
        </w:rPr>
        <w:t>el</w:t>
      </w:r>
      <w:r>
        <w:rPr>
          <w:color w:val="231F20"/>
          <w:spacing w:val="-23"/>
          <w:sz w:val="16"/>
        </w:rPr>
        <w:t> </w:t>
      </w:r>
      <w:r>
        <w:rPr>
          <w:color w:val="231F20"/>
          <w:sz w:val="16"/>
        </w:rPr>
        <w:t>periodo</w:t>
      </w:r>
      <w:r>
        <w:rPr>
          <w:color w:val="231F20"/>
          <w:spacing w:val="-23"/>
          <w:sz w:val="16"/>
        </w:rPr>
        <w:t> </w:t>
      </w:r>
      <w:r>
        <w:rPr>
          <w:color w:val="231F20"/>
          <w:sz w:val="16"/>
        </w:rPr>
        <w:t>2003-2006.</w:t>
      </w:r>
    </w:p>
    <w:p>
      <w:pPr>
        <w:pStyle w:val="ListParagraph"/>
        <w:numPr>
          <w:ilvl w:val="0"/>
          <w:numId w:val="4"/>
        </w:numPr>
        <w:tabs>
          <w:tab w:pos="304" w:val="left" w:leader="none"/>
        </w:tabs>
        <w:spacing w:line="244" w:lineRule="auto" w:before="0" w:after="0"/>
        <w:ind w:left="110" w:right="107" w:firstLine="0"/>
        <w:jc w:val="both"/>
        <w:rPr>
          <w:sz w:val="16"/>
        </w:rPr>
      </w:pPr>
      <w:r>
        <w:rPr>
          <w:color w:val="231F20"/>
          <w:sz w:val="16"/>
        </w:rPr>
        <w:t>Uno de los actores que resalta por su importancia política dentro del municipio huixquiluquense es Rodolfo Encampira Montoya,</w:t>
      </w:r>
      <w:r>
        <w:rPr>
          <w:color w:val="231F20"/>
          <w:spacing w:val="-11"/>
          <w:sz w:val="16"/>
        </w:rPr>
        <w:t> </w:t>
      </w:r>
      <w:r>
        <w:rPr>
          <w:color w:val="231F20"/>
          <w:sz w:val="16"/>
        </w:rPr>
        <w:t>quien</w:t>
      </w:r>
      <w:r>
        <w:rPr>
          <w:color w:val="231F20"/>
          <w:spacing w:val="-11"/>
          <w:sz w:val="16"/>
        </w:rPr>
        <w:t> </w:t>
      </w:r>
      <w:r>
        <w:rPr>
          <w:color w:val="231F20"/>
          <w:sz w:val="16"/>
        </w:rPr>
        <w:t>se</w:t>
      </w:r>
      <w:r>
        <w:rPr>
          <w:color w:val="231F20"/>
          <w:spacing w:val="-11"/>
          <w:sz w:val="16"/>
        </w:rPr>
        <w:t> </w:t>
      </w:r>
      <w:r>
        <w:rPr>
          <w:color w:val="231F20"/>
          <w:sz w:val="16"/>
        </w:rPr>
        <w:t>desempeña</w:t>
      </w:r>
      <w:r>
        <w:rPr>
          <w:color w:val="231F20"/>
          <w:spacing w:val="-11"/>
          <w:sz w:val="16"/>
        </w:rPr>
        <w:t> </w:t>
      </w:r>
      <w:r>
        <w:rPr>
          <w:color w:val="231F20"/>
          <w:sz w:val="16"/>
        </w:rPr>
        <w:t>como</w:t>
      </w:r>
      <w:r>
        <w:rPr>
          <w:color w:val="231F20"/>
          <w:spacing w:val="-11"/>
          <w:sz w:val="16"/>
        </w:rPr>
        <w:t> </w:t>
      </w:r>
      <w:r>
        <w:rPr>
          <w:color w:val="231F20"/>
          <w:sz w:val="16"/>
        </w:rPr>
        <w:t>Secretario</w:t>
      </w:r>
      <w:r>
        <w:rPr>
          <w:color w:val="231F20"/>
          <w:spacing w:val="-11"/>
          <w:sz w:val="16"/>
        </w:rPr>
        <w:t> </w:t>
      </w:r>
      <w:r>
        <w:rPr>
          <w:color w:val="231F20"/>
          <w:sz w:val="16"/>
        </w:rPr>
        <w:t>del</w:t>
      </w:r>
      <w:r>
        <w:rPr>
          <w:color w:val="231F20"/>
          <w:spacing w:val="-11"/>
          <w:sz w:val="16"/>
        </w:rPr>
        <w:t> </w:t>
      </w:r>
      <w:r>
        <w:rPr>
          <w:color w:val="231F20"/>
          <w:sz w:val="16"/>
        </w:rPr>
        <w:t>Ayuntamiento,</w:t>
      </w:r>
      <w:r>
        <w:rPr>
          <w:color w:val="231F20"/>
          <w:spacing w:val="-11"/>
          <w:sz w:val="16"/>
        </w:rPr>
        <w:t> </w:t>
      </w:r>
      <w:r>
        <w:rPr>
          <w:color w:val="231F20"/>
          <w:sz w:val="16"/>
        </w:rPr>
        <w:t>2006-2009</w:t>
      </w:r>
      <w:r>
        <w:rPr>
          <w:color w:val="231F20"/>
          <w:spacing w:val="-11"/>
          <w:sz w:val="16"/>
        </w:rPr>
        <w:t> </w:t>
      </w:r>
      <w:r>
        <w:rPr>
          <w:color w:val="231F20"/>
          <w:sz w:val="16"/>
        </w:rPr>
        <w:t>y</w:t>
      </w:r>
      <w:r>
        <w:rPr>
          <w:color w:val="231F20"/>
          <w:spacing w:val="-11"/>
          <w:sz w:val="16"/>
        </w:rPr>
        <w:t> </w:t>
      </w:r>
      <w:r>
        <w:rPr>
          <w:color w:val="231F20"/>
          <w:sz w:val="16"/>
        </w:rPr>
        <w:t>que</w:t>
      </w:r>
      <w:r>
        <w:rPr>
          <w:color w:val="231F20"/>
          <w:spacing w:val="-11"/>
          <w:sz w:val="16"/>
        </w:rPr>
        <w:t> </w:t>
      </w:r>
      <w:r>
        <w:rPr>
          <w:color w:val="231F20"/>
          <w:sz w:val="16"/>
        </w:rPr>
        <w:t>fungió</w:t>
      </w:r>
      <w:r>
        <w:rPr>
          <w:color w:val="231F20"/>
          <w:spacing w:val="-11"/>
          <w:sz w:val="16"/>
        </w:rPr>
        <w:t> </w:t>
      </w:r>
      <w:r>
        <w:rPr>
          <w:color w:val="231F20"/>
          <w:sz w:val="16"/>
        </w:rPr>
        <w:t>como</w:t>
      </w:r>
      <w:r>
        <w:rPr>
          <w:color w:val="231F20"/>
          <w:spacing w:val="-11"/>
          <w:sz w:val="16"/>
        </w:rPr>
        <w:t> </w:t>
      </w:r>
      <w:r>
        <w:rPr>
          <w:color w:val="231F20"/>
          <w:sz w:val="16"/>
        </w:rPr>
        <w:t>Síndico</w:t>
      </w:r>
      <w:r>
        <w:rPr>
          <w:color w:val="231F20"/>
          <w:spacing w:val="-11"/>
          <w:sz w:val="16"/>
        </w:rPr>
        <w:t> </w:t>
      </w:r>
      <w:r>
        <w:rPr>
          <w:color w:val="231F20"/>
          <w:sz w:val="16"/>
        </w:rPr>
        <w:t>municipal</w:t>
      </w:r>
      <w:r>
        <w:rPr>
          <w:color w:val="231F20"/>
          <w:spacing w:val="-11"/>
          <w:sz w:val="16"/>
        </w:rPr>
        <w:t> </w:t>
      </w:r>
      <w:r>
        <w:rPr>
          <w:color w:val="231F20"/>
          <w:sz w:val="16"/>
        </w:rPr>
        <w:t>durante el periodo 2003-2006. A pesar de su relevancia política, no se pudo ubicar con claridad que hubiera algún cargo partidista previamente;</w:t>
      </w:r>
      <w:r>
        <w:rPr>
          <w:color w:val="231F20"/>
          <w:spacing w:val="-16"/>
          <w:sz w:val="16"/>
        </w:rPr>
        <w:t> </w:t>
      </w:r>
      <w:r>
        <w:rPr>
          <w:color w:val="231F20"/>
          <w:sz w:val="16"/>
        </w:rPr>
        <w:t>sin</w:t>
      </w:r>
      <w:r>
        <w:rPr>
          <w:color w:val="231F20"/>
          <w:spacing w:val="-16"/>
          <w:sz w:val="16"/>
        </w:rPr>
        <w:t> </w:t>
      </w:r>
      <w:r>
        <w:rPr>
          <w:color w:val="231F20"/>
          <w:sz w:val="16"/>
        </w:rPr>
        <w:t>embargo,</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información</w:t>
      </w:r>
      <w:r>
        <w:rPr>
          <w:color w:val="231F20"/>
          <w:spacing w:val="-16"/>
          <w:sz w:val="16"/>
        </w:rPr>
        <w:t> </w:t>
      </w:r>
      <w:r>
        <w:rPr>
          <w:color w:val="231F20"/>
          <w:sz w:val="16"/>
        </w:rPr>
        <w:t>recopilada</w:t>
      </w:r>
      <w:r>
        <w:rPr>
          <w:color w:val="231F20"/>
          <w:spacing w:val="-16"/>
          <w:sz w:val="16"/>
        </w:rPr>
        <w:t> </w:t>
      </w:r>
      <w:r>
        <w:rPr>
          <w:color w:val="231F20"/>
          <w:sz w:val="16"/>
        </w:rPr>
        <w:t>se</w:t>
      </w:r>
      <w:r>
        <w:rPr>
          <w:color w:val="231F20"/>
          <w:spacing w:val="-16"/>
          <w:sz w:val="16"/>
        </w:rPr>
        <w:t> </w:t>
      </w:r>
      <w:r>
        <w:rPr>
          <w:color w:val="231F20"/>
          <w:sz w:val="16"/>
        </w:rPr>
        <w:t>ubicó</w:t>
      </w:r>
      <w:r>
        <w:rPr>
          <w:color w:val="231F20"/>
          <w:spacing w:val="-16"/>
          <w:sz w:val="16"/>
        </w:rPr>
        <w:t> </w:t>
      </w:r>
      <w:r>
        <w:rPr>
          <w:color w:val="231F20"/>
          <w:sz w:val="16"/>
        </w:rPr>
        <w:t>a</w:t>
      </w:r>
      <w:r>
        <w:rPr>
          <w:color w:val="231F20"/>
          <w:spacing w:val="-16"/>
          <w:sz w:val="16"/>
        </w:rPr>
        <w:t> </w:t>
      </w:r>
      <w:r>
        <w:rPr>
          <w:color w:val="231F20"/>
          <w:sz w:val="16"/>
        </w:rPr>
        <w:t>su</w:t>
      </w:r>
      <w:r>
        <w:rPr>
          <w:color w:val="231F20"/>
          <w:spacing w:val="-16"/>
          <w:sz w:val="16"/>
        </w:rPr>
        <w:t> </w:t>
      </w:r>
      <w:r>
        <w:rPr>
          <w:color w:val="231F20"/>
          <w:sz w:val="16"/>
        </w:rPr>
        <w:t>hermano,</w:t>
      </w:r>
      <w:r>
        <w:rPr>
          <w:color w:val="231F20"/>
          <w:spacing w:val="-16"/>
          <w:sz w:val="16"/>
        </w:rPr>
        <w:t> </w:t>
      </w:r>
      <w:r>
        <w:rPr>
          <w:color w:val="231F20"/>
          <w:sz w:val="16"/>
        </w:rPr>
        <w:t>Carlos</w:t>
      </w:r>
      <w:r>
        <w:rPr>
          <w:color w:val="231F20"/>
          <w:spacing w:val="-16"/>
          <w:sz w:val="16"/>
        </w:rPr>
        <w:t> </w:t>
      </w:r>
      <w:r>
        <w:rPr>
          <w:color w:val="231F20"/>
          <w:sz w:val="16"/>
        </w:rPr>
        <w:t>Encampira</w:t>
      </w:r>
      <w:r>
        <w:rPr>
          <w:color w:val="231F20"/>
          <w:spacing w:val="-16"/>
          <w:sz w:val="16"/>
        </w:rPr>
        <w:t> </w:t>
      </w:r>
      <w:r>
        <w:rPr>
          <w:color w:val="231F20"/>
          <w:sz w:val="16"/>
        </w:rPr>
        <w:t>Montoya,</w:t>
      </w:r>
      <w:r>
        <w:rPr>
          <w:color w:val="231F20"/>
          <w:spacing w:val="-16"/>
          <w:sz w:val="16"/>
        </w:rPr>
        <w:t> </w:t>
      </w:r>
      <w:r>
        <w:rPr>
          <w:color w:val="231F20"/>
          <w:sz w:val="16"/>
        </w:rPr>
        <w:t>como</w:t>
      </w:r>
      <w:r>
        <w:rPr>
          <w:color w:val="231F20"/>
          <w:spacing w:val="-16"/>
          <w:sz w:val="16"/>
        </w:rPr>
        <w:t> </w:t>
      </w:r>
      <w:r>
        <w:rPr>
          <w:color w:val="231F20"/>
          <w:sz w:val="16"/>
        </w:rPr>
        <w:t>presidente del</w:t>
      </w:r>
      <w:r>
        <w:rPr>
          <w:color w:val="231F20"/>
          <w:spacing w:val="-6"/>
          <w:sz w:val="16"/>
        </w:rPr>
        <w:t> </w:t>
      </w:r>
      <w:r>
        <w:rPr>
          <w:color w:val="231F20"/>
          <w:sz w:val="16"/>
        </w:rPr>
        <w:t>Comité</w:t>
      </w:r>
      <w:r>
        <w:rPr>
          <w:color w:val="231F20"/>
          <w:spacing w:val="-6"/>
          <w:sz w:val="16"/>
        </w:rPr>
        <w:t> </w:t>
      </w:r>
      <w:r>
        <w:rPr>
          <w:color w:val="231F20"/>
          <w:sz w:val="16"/>
        </w:rPr>
        <w:t>Municipal</w:t>
      </w:r>
      <w:r>
        <w:rPr>
          <w:color w:val="231F20"/>
          <w:spacing w:val="-6"/>
          <w:sz w:val="16"/>
        </w:rPr>
        <w:t> </w:t>
      </w:r>
      <w:r>
        <w:rPr>
          <w:color w:val="231F20"/>
          <w:sz w:val="16"/>
        </w:rPr>
        <w:t>del</w:t>
      </w:r>
      <w:r>
        <w:rPr>
          <w:color w:val="231F20"/>
          <w:spacing w:val="-6"/>
          <w:sz w:val="16"/>
        </w:rPr>
        <w:t> </w:t>
      </w:r>
      <w:r>
        <w:rPr>
          <w:color w:val="231F20"/>
          <w:sz w:val="16"/>
        </w:rPr>
        <w:t>PRI</w:t>
      </w:r>
      <w:r>
        <w:rPr>
          <w:color w:val="231F20"/>
          <w:spacing w:val="-6"/>
          <w:sz w:val="16"/>
        </w:rPr>
        <w:t> </w:t>
      </w:r>
      <w:r>
        <w:rPr>
          <w:color w:val="231F20"/>
          <w:sz w:val="16"/>
        </w:rPr>
        <w:t>en</w:t>
      </w:r>
      <w:r>
        <w:rPr>
          <w:color w:val="231F20"/>
          <w:spacing w:val="-6"/>
          <w:sz w:val="16"/>
        </w:rPr>
        <w:t> </w:t>
      </w:r>
      <w:r>
        <w:rPr>
          <w:color w:val="231F20"/>
          <w:sz w:val="16"/>
        </w:rPr>
        <w:t>el</w:t>
      </w:r>
      <w:r>
        <w:rPr>
          <w:color w:val="231F20"/>
          <w:spacing w:val="-6"/>
          <w:sz w:val="16"/>
        </w:rPr>
        <w:t> </w:t>
      </w:r>
      <w:r>
        <w:rPr>
          <w:color w:val="231F20"/>
          <w:sz w:val="16"/>
        </w:rPr>
        <w:t>año</w:t>
      </w:r>
      <w:r>
        <w:rPr>
          <w:color w:val="231F20"/>
          <w:spacing w:val="-6"/>
          <w:sz w:val="16"/>
        </w:rPr>
        <w:t> </w:t>
      </w:r>
      <w:r>
        <w:rPr>
          <w:color w:val="231F20"/>
          <w:sz w:val="16"/>
        </w:rPr>
        <w:t>2006,</w:t>
      </w:r>
      <w:r>
        <w:rPr>
          <w:color w:val="231F20"/>
          <w:spacing w:val="-6"/>
          <w:sz w:val="16"/>
        </w:rPr>
        <w:t> </w:t>
      </w:r>
      <w:r>
        <w:rPr>
          <w:color w:val="231F20"/>
          <w:sz w:val="16"/>
        </w:rPr>
        <w:t>previo</w:t>
      </w:r>
      <w:r>
        <w:rPr>
          <w:color w:val="231F20"/>
          <w:spacing w:val="-6"/>
          <w:sz w:val="16"/>
        </w:rPr>
        <w:t> </w:t>
      </w:r>
      <w:r>
        <w:rPr>
          <w:color w:val="231F20"/>
          <w:sz w:val="16"/>
        </w:rPr>
        <w:t>a</w:t>
      </w:r>
      <w:r>
        <w:rPr>
          <w:color w:val="231F20"/>
          <w:spacing w:val="-6"/>
          <w:sz w:val="16"/>
        </w:rPr>
        <w:t> </w:t>
      </w:r>
      <w:r>
        <w:rPr>
          <w:color w:val="231F20"/>
          <w:sz w:val="16"/>
        </w:rPr>
        <w:t>la</w:t>
      </w:r>
      <w:r>
        <w:rPr>
          <w:color w:val="231F20"/>
          <w:spacing w:val="-6"/>
          <w:sz w:val="16"/>
        </w:rPr>
        <w:t> </w:t>
      </w:r>
      <w:r>
        <w:rPr>
          <w:color w:val="231F20"/>
          <w:sz w:val="16"/>
        </w:rPr>
        <w:t>renovación</w:t>
      </w:r>
      <w:r>
        <w:rPr>
          <w:color w:val="231F20"/>
          <w:spacing w:val="-6"/>
          <w:sz w:val="16"/>
        </w:rPr>
        <w:t> </w:t>
      </w:r>
      <w:r>
        <w:rPr>
          <w:color w:val="231F20"/>
          <w:sz w:val="16"/>
        </w:rPr>
        <w:t>del</w:t>
      </w:r>
      <w:r>
        <w:rPr>
          <w:color w:val="231F20"/>
          <w:spacing w:val="-6"/>
          <w:sz w:val="16"/>
        </w:rPr>
        <w:t> </w:t>
      </w:r>
      <w:r>
        <w:rPr>
          <w:color w:val="231F20"/>
          <w:sz w:val="16"/>
        </w:rPr>
        <w:t>ayuntamiento</w:t>
      </w:r>
      <w:r>
        <w:rPr>
          <w:color w:val="231F20"/>
          <w:spacing w:val="-6"/>
          <w:sz w:val="16"/>
        </w:rPr>
        <w:t> </w:t>
      </w:r>
      <w:r>
        <w:rPr>
          <w:color w:val="231F20"/>
          <w:sz w:val="16"/>
        </w:rPr>
        <w:t>local.</w:t>
      </w:r>
      <w:r>
        <w:rPr>
          <w:color w:val="231F20"/>
          <w:spacing w:val="-6"/>
          <w:sz w:val="16"/>
        </w:rPr>
        <w:t> </w:t>
      </w:r>
      <w:r>
        <w:rPr>
          <w:color w:val="231F20"/>
          <w:sz w:val="16"/>
        </w:rPr>
        <w:t>Lo</w:t>
      </w:r>
      <w:r>
        <w:rPr>
          <w:color w:val="231F20"/>
          <w:spacing w:val="-6"/>
          <w:sz w:val="16"/>
        </w:rPr>
        <w:t> </w:t>
      </w:r>
      <w:r>
        <w:rPr>
          <w:color w:val="231F20"/>
          <w:sz w:val="16"/>
        </w:rPr>
        <w:t>que</w:t>
      </w:r>
      <w:r>
        <w:rPr>
          <w:color w:val="231F20"/>
          <w:spacing w:val="-6"/>
          <w:sz w:val="16"/>
        </w:rPr>
        <w:t> </w:t>
      </w:r>
      <w:r>
        <w:rPr>
          <w:color w:val="231F20"/>
          <w:sz w:val="16"/>
        </w:rPr>
        <w:t>hace</w:t>
      </w:r>
      <w:r>
        <w:rPr>
          <w:color w:val="231F20"/>
          <w:spacing w:val="-6"/>
          <w:sz w:val="16"/>
        </w:rPr>
        <w:t> </w:t>
      </w:r>
      <w:r>
        <w:rPr>
          <w:color w:val="231F20"/>
          <w:sz w:val="16"/>
        </w:rPr>
        <w:t>suponer</w:t>
      </w:r>
      <w:r>
        <w:rPr>
          <w:color w:val="231F20"/>
          <w:spacing w:val="-6"/>
          <w:sz w:val="16"/>
        </w:rPr>
        <w:t> </w:t>
      </w:r>
      <w:r>
        <w:rPr>
          <w:color w:val="231F20"/>
          <w:sz w:val="16"/>
        </w:rPr>
        <w:t>que</w:t>
      </w:r>
      <w:r>
        <w:rPr>
          <w:color w:val="231F20"/>
          <w:spacing w:val="-6"/>
          <w:sz w:val="16"/>
        </w:rPr>
        <w:t> </w:t>
      </w:r>
      <w:r>
        <w:rPr>
          <w:color w:val="231F20"/>
          <w:sz w:val="16"/>
        </w:rPr>
        <w:t>contó con</w:t>
      </w:r>
      <w:r>
        <w:rPr>
          <w:color w:val="231F20"/>
          <w:spacing w:val="-11"/>
          <w:sz w:val="16"/>
        </w:rPr>
        <w:t> </w:t>
      </w:r>
      <w:r>
        <w:rPr>
          <w:color w:val="231F20"/>
          <w:sz w:val="16"/>
        </w:rPr>
        <w:t>la</w:t>
      </w:r>
      <w:r>
        <w:rPr>
          <w:color w:val="231F20"/>
          <w:spacing w:val="-11"/>
          <w:sz w:val="16"/>
        </w:rPr>
        <w:t> </w:t>
      </w:r>
      <w:r>
        <w:rPr>
          <w:color w:val="231F20"/>
          <w:sz w:val="16"/>
        </w:rPr>
        <w:t>fuerza</w:t>
      </w:r>
      <w:r>
        <w:rPr>
          <w:color w:val="231F20"/>
          <w:spacing w:val="-11"/>
          <w:sz w:val="16"/>
        </w:rPr>
        <w:t> </w:t>
      </w:r>
      <w:r>
        <w:rPr>
          <w:color w:val="231F20"/>
          <w:sz w:val="16"/>
        </w:rPr>
        <w:t>política</w:t>
      </w:r>
      <w:r>
        <w:rPr>
          <w:color w:val="231F20"/>
          <w:spacing w:val="-11"/>
          <w:sz w:val="16"/>
        </w:rPr>
        <w:t> </w:t>
      </w:r>
      <w:r>
        <w:rPr>
          <w:color w:val="231F20"/>
          <w:sz w:val="16"/>
        </w:rPr>
        <w:t>suficiente</w:t>
      </w:r>
      <w:r>
        <w:rPr>
          <w:color w:val="231F20"/>
          <w:spacing w:val="-11"/>
          <w:sz w:val="16"/>
        </w:rPr>
        <w:t> </w:t>
      </w:r>
      <w:r>
        <w:rPr>
          <w:color w:val="231F20"/>
          <w:sz w:val="16"/>
        </w:rPr>
        <w:t>para</w:t>
      </w:r>
      <w:r>
        <w:rPr>
          <w:color w:val="231F20"/>
          <w:spacing w:val="-11"/>
          <w:sz w:val="16"/>
        </w:rPr>
        <w:t> </w:t>
      </w:r>
      <w:r>
        <w:rPr>
          <w:color w:val="231F20"/>
          <w:sz w:val="16"/>
        </w:rPr>
        <w:t>imponerse</w:t>
      </w:r>
      <w:r>
        <w:rPr>
          <w:color w:val="231F20"/>
          <w:spacing w:val="-11"/>
          <w:sz w:val="16"/>
        </w:rPr>
        <w:t> </w:t>
      </w:r>
      <w:r>
        <w:rPr>
          <w:color w:val="231F20"/>
          <w:sz w:val="16"/>
        </w:rPr>
        <w:t>al</w:t>
      </w:r>
      <w:r>
        <w:rPr>
          <w:color w:val="231F20"/>
          <w:spacing w:val="-11"/>
          <w:sz w:val="16"/>
        </w:rPr>
        <w:t> </w:t>
      </w:r>
      <w:r>
        <w:rPr>
          <w:color w:val="231F20"/>
          <w:sz w:val="16"/>
        </w:rPr>
        <w:t>partido</w:t>
      </w:r>
      <w:r>
        <w:rPr>
          <w:color w:val="231F20"/>
          <w:spacing w:val="-11"/>
          <w:sz w:val="16"/>
        </w:rPr>
        <w:t> </w:t>
      </w:r>
      <w:r>
        <w:rPr>
          <w:color w:val="231F20"/>
          <w:sz w:val="16"/>
        </w:rPr>
        <w:t>desde</w:t>
      </w:r>
      <w:r>
        <w:rPr>
          <w:color w:val="231F20"/>
          <w:spacing w:val="-11"/>
          <w:sz w:val="16"/>
        </w:rPr>
        <w:t> </w:t>
      </w:r>
      <w:r>
        <w:rPr>
          <w:color w:val="231F20"/>
          <w:sz w:val="16"/>
        </w:rPr>
        <w:t>la</w:t>
      </w:r>
      <w:r>
        <w:rPr>
          <w:color w:val="231F20"/>
          <w:spacing w:val="-11"/>
          <w:sz w:val="16"/>
        </w:rPr>
        <w:t> </w:t>
      </w:r>
      <w:r>
        <w:rPr>
          <w:color w:val="231F20"/>
          <w:sz w:val="16"/>
        </w:rPr>
        <w:t>estructura</w:t>
      </w:r>
      <w:r>
        <w:rPr>
          <w:color w:val="231F20"/>
          <w:spacing w:val="-11"/>
          <w:sz w:val="16"/>
        </w:rPr>
        <w:t> </w:t>
      </w:r>
      <w:r>
        <w:rPr>
          <w:color w:val="231F20"/>
          <w:sz w:val="16"/>
        </w:rPr>
        <w:t>del</w:t>
      </w:r>
      <w:r>
        <w:rPr>
          <w:color w:val="231F20"/>
          <w:spacing w:val="-11"/>
          <w:sz w:val="16"/>
        </w:rPr>
        <w:t> </w:t>
      </w:r>
      <w:r>
        <w:rPr>
          <w:color w:val="231F20"/>
          <w:sz w:val="16"/>
        </w:rPr>
        <w:t>ayuntamiento.</w:t>
      </w:r>
    </w:p>
    <w:p>
      <w:pPr>
        <w:spacing w:after="0" w:line="244" w:lineRule="auto"/>
        <w:jc w:val="both"/>
        <w:rPr>
          <w:sz w:val="16"/>
        </w:rPr>
        <w:sectPr>
          <w:footerReference w:type="default" r:id="rId131"/>
          <w:pgSz w:w="9640" w:h="12190"/>
          <w:pgMar w:footer="743" w:header="0" w:top="1120" w:bottom="940" w:left="740" w:right="740"/>
          <w:pgNumType w:start="7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que </w:t>
      </w:r>
      <w:r>
        <w:rPr>
          <w:color w:val="231F20"/>
          <w:w w:val="105"/>
        </w:rPr>
        <w:t>al </w:t>
      </w:r>
      <w:r>
        <w:rPr>
          <w:color w:val="231F20"/>
          <w:spacing w:val="-4"/>
          <w:w w:val="105"/>
        </w:rPr>
        <w:t>menos </w:t>
      </w:r>
      <w:r>
        <w:rPr>
          <w:color w:val="231F20"/>
          <w:w w:val="105"/>
        </w:rPr>
        <w:t>seis de </w:t>
      </w:r>
      <w:r>
        <w:rPr>
          <w:color w:val="231F20"/>
          <w:spacing w:val="-3"/>
          <w:w w:val="105"/>
        </w:rPr>
        <w:t>los </w:t>
      </w:r>
      <w:r>
        <w:rPr>
          <w:color w:val="231F20"/>
          <w:w w:val="105"/>
        </w:rPr>
        <w:t>titulares habrían </w:t>
      </w:r>
      <w:r>
        <w:rPr>
          <w:color w:val="231F20"/>
          <w:spacing w:val="-4"/>
          <w:w w:val="105"/>
        </w:rPr>
        <w:t>contado </w:t>
      </w:r>
      <w:r>
        <w:rPr>
          <w:color w:val="231F20"/>
          <w:spacing w:val="-3"/>
          <w:w w:val="105"/>
        </w:rPr>
        <w:t>con </w:t>
      </w:r>
      <w:r>
        <w:rPr>
          <w:color w:val="231F20"/>
          <w:w w:val="105"/>
        </w:rPr>
        <w:t>una larga militancia </w:t>
      </w:r>
      <w:r>
        <w:rPr>
          <w:color w:val="231F20"/>
          <w:spacing w:val="-3"/>
          <w:w w:val="105"/>
        </w:rPr>
        <w:t>dentro del </w:t>
      </w:r>
      <w:r>
        <w:rPr>
          <w:color w:val="231F20"/>
          <w:w w:val="105"/>
        </w:rPr>
        <w:t>PRI,</w:t>
      </w:r>
      <w:r>
        <w:rPr>
          <w:color w:val="231F20"/>
          <w:spacing w:val="-14"/>
          <w:w w:val="105"/>
        </w:rPr>
        <w:t> </w:t>
      </w:r>
      <w:r>
        <w:rPr>
          <w:color w:val="231F20"/>
          <w:w w:val="105"/>
        </w:rPr>
        <w:t>mientras</w:t>
      </w:r>
      <w:r>
        <w:rPr>
          <w:color w:val="231F20"/>
          <w:spacing w:val="-14"/>
          <w:w w:val="105"/>
        </w:rPr>
        <w:t> </w:t>
      </w:r>
      <w:r>
        <w:rPr>
          <w:color w:val="231F20"/>
          <w:spacing w:val="-3"/>
          <w:w w:val="105"/>
        </w:rPr>
        <w:t>que</w:t>
      </w:r>
      <w:r>
        <w:rPr>
          <w:color w:val="231F20"/>
          <w:spacing w:val="-14"/>
          <w:w w:val="105"/>
        </w:rPr>
        <w:t> </w:t>
      </w:r>
      <w:r>
        <w:rPr>
          <w:color w:val="231F20"/>
          <w:w w:val="105"/>
        </w:rPr>
        <w:t>a</w:t>
      </w:r>
      <w:r>
        <w:rPr>
          <w:color w:val="231F20"/>
          <w:spacing w:val="-14"/>
          <w:w w:val="105"/>
        </w:rPr>
        <w:t> </w:t>
      </w:r>
      <w:r>
        <w:rPr>
          <w:color w:val="231F20"/>
          <w:spacing w:val="-2"/>
          <w:w w:val="105"/>
        </w:rPr>
        <w:t>cuatro</w:t>
      </w:r>
      <w:r>
        <w:rPr>
          <w:color w:val="231F20"/>
          <w:spacing w:val="-14"/>
          <w:w w:val="105"/>
        </w:rPr>
        <w:t> </w:t>
      </w:r>
      <w:r>
        <w:rPr>
          <w:color w:val="231F20"/>
          <w:w w:val="105"/>
        </w:rPr>
        <w:t>más</w:t>
      </w:r>
      <w:r>
        <w:rPr>
          <w:color w:val="231F20"/>
          <w:spacing w:val="-14"/>
          <w:w w:val="105"/>
        </w:rPr>
        <w:t> </w:t>
      </w:r>
      <w:r>
        <w:rPr>
          <w:color w:val="231F20"/>
          <w:w w:val="105"/>
        </w:rPr>
        <w:t>se</w:t>
      </w:r>
      <w:r>
        <w:rPr>
          <w:color w:val="231F20"/>
          <w:spacing w:val="-14"/>
          <w:w w:val="105"/>
        </w:rPr>
        <w:t> </w:t>
      </w:r>
      <w:r>
        <w:rPr>
          <w:color w:val="231F20"/>
          <w:spacing w:val="-3"/>
          <w:w w:val="105"/>
        </w:rPr>
        <w:t>les</w:t>
      </w:r>
      <w:r>
        <w:rPr>
          <w:color w:val="231F20"/>
          <w:spacing w:val="-14"/>
          <w:w w:val="105"/>
        </w:rPr>
        <w:t> </w:t>
      </w:r>
      <w:r>
        <w:rPr>
          <w:color w:val="231F20"/>
          <w:spacing w:val="-4"/>
          <w:w w:val="105"/>
        </w:rPr>
        <w:t>reconoció</w:t>
      </w:r>
      <w:r>
        <w:rPr>
          <w:color w:val="231F20"/>
          <w:spacing w:val="-14"/>
          <w:w w:val="105"/>
        </w:rPr>
        <w:t> </w:t>
      </w:r>
      <w:r>
        <w:rPr>
          <w:color w:val="231F20"/>
          <w:spacing w:val="-4"/>
          <w:w w:val="105"/>
        </w:rPr>
        <w:t>como</w:t>
      </w:r>
      <w:r>
        <w:rPr>
          <w:color w:val="231F20"/>
          <w:spacing w:val="-14"/>
          <w:w w:val="105"/>
        </w:rPr>
        <w:t> </w:t>
      </w:r>
      <w:r>
        <w:rPr>
          <w:color w:val="231F20"/>
          <w:spacing w:val="-3"/>
          <w:w w:val="105"/>
        </w:rPr>
        <w:t>miembros</w:t>
      </w:r>
      <w:r>
        <w:rPr>
          <w:color w:val="231F20"/>
          <w:spacing w:val="-14"/>
          <w:w w:val="105"/>
        </w:rPr>
        <w:t> </w:t>
      </w:r>
      <w:r>
        <w:rPr>
          <w:color w:val="231F20"/>
          <w:w w:val="105"/>
        </w:rPr>
        <w:t>partidistas</w:t>
      </w:r>
      <w:r>
        <w:rPr>
          <w:color w:val="231F20"/>
          <w:spacing w:val="-14"/>
          <w:w w:val="105"/>
        </w:rPr>
        <w:t> </w:t>
      </w:r>
      <w:r>
        <w:rPr>
          <w:color w:val="231F20"/>
          <w:spacing w:val="-3"/>
          <w:w w:val="105"/>
        </w:rPr>
        <w:t>recientes.</w:t>
      </w:r>
      <w:r>
        <w:rPr>
          <w:color w:val="231F20"/>
          <w:spacing w:val="-14"/>
          <w:w w:val="105"/>
        </w:rPr>
        <w:t> </w:t>
      </w:r>
      <w:r>
        <w:rPr>
          <w:color w:val="231F20"/>
          <w:w w:val="105"/>
        </w:rPr>
        <w:t>La militancia</w:t>
      </w:r>
      <w:r>
        <w:rPr>
          <w:color w:val="231F20"/>
          <w:spacing w:val="-15"/>
          <w:w w:val="105"/>
        </w:rPr>
        <w:t> </w:t>
      </w:r>
      <w:r>
        <w:rPr>
          <w:color w:val="231F20"/>
          <w:w w:val="105"/>
        </w:rPr>
        <w:t>de</w:t>
      </w:r>
      <w:r>
        <w:rPr>
          <w:color w:val="231F20"/>
          <w:spacing w:val="-15"/>
          <w:w w:val="105"/>
        </w:rPr>
        <w:t> </w:t>
      </w:r>
      <w:r>
        <w:rPr>
          <w:color w:val="231F20"/>
          <w:w w:val="105"/>
        </w:rPr>
        <w:t>estos</w:t>
      </w:r>
      <w:r>
        <w:rPr>
          <w:color w:val="231F20"/>
          <w:spacing w:val="-15"/>
          <w:w w:val="105"/>
        </w:rPr>
        <w:t> </w:t>
      </w:r>
      <w:r>
        <w:rPr>
          <w:color w:val="231F20"/>
          <w:w w:val="105"/>
        </w:rPr>
        <w:t>últimos,</w:t>
      </w:r>
      <w:r>
        <w:rPr>
          <w:color w:val="231F20"/>
          <w:spacing w:val="-15"/>
          <w:w w:val="105"/>
        </w:rPr>
        <w:t> </w:t>
      </w:r>
      <w:r>
        <w:rPr>
          <w:color w:val="231F20"/>
          <w:w w:val="105"/>
        </w:rPr>
        <w:t>según</w:t>
      </w:r>
      <w:r>
        <w:rPr>
          <w:color w:val="231F20"/>
          <w:spacing w:val="-15"/>
          <w:w w:val="105"/>
        </w:rPr>
        <w:t> </w:t>
      </w:r>
      <w:r>
        <w:rPr>
          <w:color w:val="231F20"/>
          <w:w w:val="105"/>
        </w:rPr>
        <w:t>se</w:t>
      </w:r>
      <w:r>
        <w:rPr>
          <w:color w:val="231F20"/>
          <w:spacing w:val="-15"/>
          <w:w w:val="105"/>
        </w:rPr>
        <w:t> </w:t>
      </w:r>
      <w:r>
        <w:rPr>
          <w:color w:val="231F20"/>
          <w:spacing w:val="-3"/>
          <w:w w:val="105"/>
        </w:rPr>
        <w:t>planteó,</w:t>
      </w:r>
      <w:r>
        <w:rPr>
          <w:color w:val="231F20"/>
          <w:spacing w:val="-15"/>
          <w:w w:val="105"/>
        </w:rPr>
        <w:t> </w:t>
      </w:r>
      <w:r>
        <w:rPr>
          <w:color w:val="231F20"/>
          <w:w w:val="105"/>
        </w:rPr>
        <w:t>estuvo</w:t>
      </w:r>
      <w:r>
        <w:rPr>
          <w:color w:val="231F20"/>
          <w:spacing w:val="-15"/>
          <w:w w:val="105"/>
        </w:rPr>
        <w:t> </w:t>
      </w:r>
      <w:r>
        <w:rPr>
          <w:color w:val="231F20"/>
          <w:w w:val="105"/>
        </w:rPr>
        <w:t>en</w:t>
      </w:r>
      <w:r>
        <w:rPr>
          <w:color w:val="231F20"/>
          <w:spacing w:val="-15"/>
          <w:w w:val="105"/>
        </w:rPr>
        <w:t> </w:t>
      </w:r>
      <w:r>
        <w:rPr>
          <w:color w:val="231F20"/>
          <w:w w:val="105"/>
        </w:rPr>
        <w:t>función</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spacing w:val="-3"/>
          <w:w w:val="105"/>
        </w:rPr>
        <w:t>participación</w:t>
      </w:r>
      <w:r>
        <w:rPr>
          <w:color w:val="231F20"/>
          <w:spacing w:val="-15"/>
          <w:w w:val="105"/>
        </w:rPr>
        <w:t> </w:t>
      </w:r>
      <w:r>
        <w:rPr>
          <w:color w:val="231F20"/>
          <w:w w:val="105"/>
        </w:rPr>
        <w:t>en</w:t>
      </w:r>
      <w:r>
        <w:rPr>
          <w:color w:val="231F20"/>
          <w:spacing w:val="-15"/>
          <w:w w:val="105"/>
        </w:rPr>
        <w:t> </w:t>
      </w:r>
      <w:r>
        <w:rPr>
          <w:color w:val="231F20"/>
          <w:w w:val="105"/>
        </w:rPr>
        <w:t>la administración</w:t>
      </w:r>
      <w:r>
        <w:rPr>
          <w:color w:val="231F20"/>
          <w:spacing w:val="-20"/>
          <w:w w:val="105"/>
        </w:rPr>
        <w:t> </w:t>
      </w:r>
      <w:r>
        <w:rPr>
          <w:color w:val="231F20"/>
          <w:w w:val="105"/>
        </w:rPr>
        <w:t>municipal</w:t>
      </w:r>
      <w:r>
        <w:rPr>
          <w:color w:val="231F20"/>
          <w:spacing w:val="-20"/>
          <w:w w:val="105"/>
        </w:rPr>
        <w:t> </w:t>
      </w:r>
      <w:r>
        <w:rPr>
          <w:color w:val="231F20"/>
          <w:spacing w:val="-3"/>
          <w:w w:val="105"/>
        </w:rPr>
        <w:t>encabezada</w:t>
      </w:r>
      <w:r>
        <w:rPr>
          <w:color w:val="231F20"/>
          <w:spacing w:val="-20"/>
          <w:w w:val="105"/>
        </w:rPr>
        <w:t> </w:t>
      </w:r>
      <w:r>
        <w:rPr>
          <w:color w:val="231F20"/>
          <w:spacing w:val="-3"/>
          <w:w w:val="105"/>
        </w:rPr>
        <w:t>por</w:t>
      </w:r>
      <w:r>
        <w:rPr>
          <w:color w:val="231F20"/>
          <w:spacing w:val="-20"/>
          <w:w w:val="105"/>
        </w:rPr>
        <w:t> </w:t>
      </w:r>
      <w:r>
        <w:rPr>
          <w:color w:val="231F20"/>
          <w:w w:val="105"/>
        </w:rPr>
        <w:t>Adrián</w:t>
      </w:r>
      <w:r>
        <w:rPr>
          <w:color w:val="231F20"/>
          <w:spacing w:val="-20"/>
          <w:w w:val="105"/>
        </w:rPr>
        <w:t> </w:t>
      </w:r>
      <w:r>
        <w:rPr>
          <w:color w:val="231F20"/>
          <w:spacing w:val="-4"/>
          <w:w w:val="105"/>
        </w:rPr>
        <w:t>Fuentes</w:t>
      </w:r>
      <w:r>
        <w:rPr>
          <w:color w:val="231F20"/>
          <w:spacing w:val="-20"/>
          <w:w w:val="105"/>
        </w:rPr>
        <w:t> </w:t>
      </w:r>
      <w:r>
        <w:rPr>
          <w:color w:val="231F20"/>
          <w:w w:val="105"/>
        </w:rPr>
        <w:t>para</w:t>
      </w:r>
      <w:r>
        <w:rPr>
          <w:color w:val="231F20"/>
          <w:spacing w:val="-20"/>
          <w:w w:val="105"/>
        </w:rPr>
        <w:t> </w:t>
      </w:r>
      <w:r>
        <w:rPr>
          <w:color w:val="231F20"/>
          <w:w w:val="105"/>
        </w:rPr>
        <w:t>el</w:t>
      </w:r>
      <w:r>
        <w:rPr>
          <w:color w:val="231F20"/>
          <w:spacing w:val="-20"/>
          <w:w w:val="105"/>
        </w:rPr>
        <w:t> </w:t>
      </w:r>
      <w:r>
        <w:rPr>
          <w:color w:val="231F20"/>
          <w:spacing w:val="-3"/>
          <w:w w:val="105"/>
        </w:rPr>
        <w:t>periodo</w:t>
      </w:r>
      <w:r>
        <w:rPr>
          <w:color w:val="231F20"/>
          <w:spacing w:val="-20"/>
          <w:w w:val="105"/>
        </w:rPr>
        <w:t> </w:t>
      </w:r>
      <w:r>
        <w:rPr>
          <w:color w:val="231F20"/>
          <w:w w:val="105"/>
        </w:rPr>
        <w:t>2006-2009.</w:t>
      </w:r>
    </w:p>
    <w:p>
      <w:pPr>
        <w:pStyle w:val="BodyText"/>
        <w:spacing w:before="1"/>
        <w:rPr>
          <w:sz w:val="26"/>
        </w:rPr>
      </w:pPr>
    </w:p>
    <w:p>
      <w:pPr>
        <w:pStyle w:val="BodyText"/>
        <w:spacing w:line="285" w:lineRule="auto"/>
        <w:ind w:left="110" w:right="108"/>
        <w:jc w:val="both"/>
      </w:pPr>
      <w:r>
        <w:rPr>
          <w:color w:val="231F20"/>
          <w:w w:val="105"/>
        </w:rPr>
        <w:t>Sin embargo, de ninguno de los funcionarios se pudo identificar claramente que hu- bieran ejercido algún cargo relevante al interior de la estructura municipal, estatal o federal del PRI.</w:t>
      </w:r>
    </w:p>
    <w:p>
      <w:pPr>
        <w:pStyle w:val="BodyText"/>
        <w:spacing w:before="1"/>
        <w:rPr>
          <w:sz w:val="26"/>
        </w:rPr>
      </w:pPr>
    </w:p>
    <w:p>
      <w:pPr>
        <w:pStyle w:val="BodyText"/>
        <w:spacing w:line="285" w:lineRule="auto"/>
        <w:ind w:left="110" w:right="108"/>
        <w:jc w:val="both"/>
      </w:pPr>
      <w:r>
        <w:rPr>
          <w:color w:val="231F20"/>
          <w:w w:val="105"/>
        </w:rPr>
        <w:t>En</w:t>
      </w:r>
      <w:r>
        <w:rPr>
          <w:color w:val="231F20"/>
          <w:spacing w:val="-20"/>
          <w:w w:val="105"/>
        </w:rPr>
        <w:t> </w:t>
      </w:r>
      <w:r>
        <w:rPr>
          <w:color w:val="231F20"/>
          <w:w w:val="105"/>
        </w:rPr>
        <w:t>términos</w:t>
      </w:r>
      <w:r>
        <w:rPr>
          <w:color w:val="231F20"/>
          <w:spacing w:val="-20"/>
          <w:w w:val="105"/>
        </w:rPr>
        <w:t> </w:t>
      </w:r>
      <w:r>
        <w:rPr>
          <w:color w:val="231F20"/>
          <w:spacing w:val="-3"/>
          <w:w w:val="105"/>
        </w:rPr>
        <w:t>generales,</w:t>
      </w:r>
      <w:r>
        <w:rPr>
          <w:color w:val="231F20"/>
          <w:spacing w:val="-20"/>
          <w:w w:val="105"/>
        </w:rPr>
        <w:t> </w:t>
      </w:r>
      <w:r>
        <w:rPr>
          <w:color w:val="231F20"/>
          <w:w w:val="105"/>
        </w:rPr>
        <w:t>se</w:t>
      </w:r>
      <w:r>
        <w:rPr>
          <w:color w:val="231F20"/>
          <w:spacing w:val="-20"/>
          <w:w w:val="105"/>
        </w:rPr>
        <w:t> </w:t>
      </w:r>
      <w:r>
        <w:rPr>
          <w:color w:val="231F20"/>
          <w:spacing w:val="-3"/>
          <w:w w:val="105"/>
        </w:rPr>
        <w:t>percibe</w:t>
      </w:r>
      <w:r>
        <w:rPr>
          <w:color w:val="231F20"/>
          <w:spacing w:val="-20"/>
          <w:w w:val="105"/>
        </w:rPr>
        <w:t> </w:t>
      </w:r>
      <w:r>
        <w:rPr>
          <w:color w:val="231F20"/>
          <w:w w:val="105"/>
        </w:rPr>
        <w:t>una</w:t>
      </w:r>
      <w:r>
        <w:rPr>
          <w:color w:val="231F20"/>
          <w:spacing w:val="-20"/>
          <w:w w:val="105"/>
        </w:rPr>
        <w:t> </w:t>
      </w:r>
      <w:r>
        <w:rPr>
          <w:color w:val="231F20"/>
          <w:w w:val="105"/>
        </w:rPr>
        <w:t>débil</w:t>
      </w:r>
      <w:r>
        <w:rPr>
          <w:color w:val="231F20"/>
          <w:spacing w:val="-20"/>
          <w:w w:val="105"/>
        </w:rPr>
        <w:t> </w:t>
      </w:r>
      <w:r>
        <w:rPr>
          <w:color w:val="231F20"/>
          <w:spacing w:val="-4"/>
          <w:w w:val="105"/>
        </w:rPr>
        <w:t>representación</w:t>
      </w:r>
      <w:r>
        <w:rPr>
          <w:color w:val="231F20"/>
          <w:spacing w:val="-20"/>
          <w:w w:val="105"/>
        </w:rPr>
        <w:t> </w:t>
      </w:r>
      <w:r>
        <w:rPr>
          <w:color w:val="231F20"/>
          <w:spacing w:val="-3"/>
          <w:w w:val="105"/>
        </w:rPr>
        <w:t>del</w:t>
      </w:r>
      <w:r>
        <w:rPr>
          <w:color w:val="231F20"/>
          <w:spacing w:val="-20"/>
          <w:w w:val="105"/>
        </w:rPr>
        <w:t> </w:t>
      </w:r>
      <w:r>
        <w:rPr>
          <w:color w:val="231F20"/>
          <w:w w:val="105"/>
        </w:rPr>
        <w:t>partido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spacing w:val="-4"/>
          <w:w w:val="105"/>
        </w:rPr>
        <w:t>conformación </w:t>
      </w:r>
      <w:r>
        <w:rPr>
          <w:color w:val="231F20"/>
          <w:w w:val="105"/>
        </w:rPr>
        <w:t>de </w:t>
      </w:r>
      <w:r>
        <w:rPr>
          <w:color w:val="231F20"/>
          <w:spacing w:val="-3"/>
          <w:w w:val="105"/>
        </w:rPr>
        <w:t>los principales </w:t>
      </w:r>
      <w:r>
        <w:rPr>
          <w:color w:val="231F20"/>
          <w:w w:val="105"/>
        </w:rPr>
        <w:t>integrantes de la </w:t>
      </w:r>
      <w:r>
        <w:rPr>
          <w:color w:val="231F20"/>
          <w:spacing w:val="-3"/>
          <w:w w:val="105"/>
        </w:rPr>
        <w:t>APM. Planteo que </w:t>
      </w:r>
      <w:r>
        <w:rPr>
          <w:color w:val="231F20"/>
          <w:w w:val="105"/>
        </w:rPr>
        <w:t>el </w:t>
      </w:r>
      <w:r>
        <w:rPr>
          <w:color w:val="231F20"/>
          <w:spacing w:val="-4"/>
          <w:w w:val="105"/>
        </w:rPr>
        <w:t>presidente </w:t>
      </w:r>
      <w:r>
        <w:rPr>
          <w:color w:val="231F20"/>
          <w:w w:val="105"/>
        </w:rPr>
        <w:t>municipal, Adrián </w:t>
      </w:r>
      <w:r>
        <w:rPr>
          <w:color w:val="231F20"/>
          <w:spacing w:val="-4"/>
          <w:w w:val="105"/>
        </w:rPr>
        <w:t>Fuentes,</w:t>
      </w:r>
      <w:r>
        <w:rPr>
          <w:color w:val="231F20"/>
          <w:spacing w:val="-8"/>
          <w:w w:val="105"/>
        </w:rPr>
        <w:t> </w:t>
      </w:r>
      <w:r>
        <w:rPr>
          <w:color w:val="231F20"/>
          <w:w w:val="105"/>
        </w:rPr>
        <w:t>recurrió</w:t>
      </w:r>
      <w:r>
        <w:rPr>
          <w:color w:val="231F20"/>
          <w:spacing w:val="-8"/>
          <w:w w:val="105"/>
        </w:rPr>
        <w:t> </w:t>
      </w:r>
      <w:r>
        <w:rPr>
          <w:color w:val="231F20"/>
          <w:w w:val="105"/>
        </w:rPr>
        <w:t>a</w:t>
      </w:r>
      <w:r>
        <w:rPr>
          <w:color w:val="231F20"/>
          <w:spacing w:val="-8"/>
          <w:w w:val="105"/>
        </w:rPr>
        <w:t> </w:t>
      </w:r>
      <w:r>
        <w:rPr>
          <w:color w:val="231F20"/>
          <w:spacing w:val="-3"/>
          <w:w w:val="105"/>
        </w:rPr>
        <w:t>criterios</w:t>
      </w:r>
      <w:r>
        <w:rPr>
          <w:color w:val="231F20"/>
          <w:spacing w:val="-8"/>
          <w:w w:val="105"/>
        </w:rPr>
        <w:t> </w:t>
      </w:r>
      <w:r>
        <w:rPr>
          <w:color w:val="231F20"/>
          <w:spacing w:val="-3"/>
          <w:w w:val="105"/>
        </w:rPr>
        <w:t>pragmáticos,</w:t>
      </w:r>
      <w:r>
        <w:rPr>
          <w:color w:val="231F20"/>
          <w:spacing w:val="-8"/>
          <w:w w:val="105"/>
        </w:rPr>
        <w:t> </w:t>
      </w:r>
      <w:r>
        <w:rPr>
          <w:color w:val="231F20"/>
          <w:w w:val="105"/>
        </w:rPr>
        <w:t>tanto</w:t>
      </w:r>
      <w:r>
        <w:rPr>
          <w:color w:val="231F20"/>
          <w:spacing w:val="-8"/>
          <w:w w:val="105"/>
        </w:rPr>
        <w:t> </w:t>
      </w:r>
      <w:r>
        <w:rPr>
          <w:color w:val="231F20"/>
          <w:w w:val="105"/>
        </w:rPr>
        <w:t>de</w:t>
      </w:r>
      <w:r>
        <w:rPr>
          <w:color w:val="231F20"/>
          <w:spacing w:val="-8"/>
          <w:w w:val="105"/>
        </w:rPr>
        <w:t> </w:t>
      </w:r>
      <w:r>
        <w:rPr>
          <w:color w:val="231F20"/>
          <w:w w:val="105"/>
        </w:rPr>
        <w:t>corte</w:t>
      </w:r>
      <w:r>
        <w:rPr>
          <w:color w:val="231F20"/>
          <w:spacing w:val="-8"/>
          <w:w w:val="105"/>
        </w:rPr>
        <w:t> </w:t>
      </w:r>
      <w:r>
        <w:rPr>
          <w:color w:val="231F20"/>
          <w:w w:val="105"/>
        </w:rPr>
        <w:t>técnico</w:t>
      </w:r>
      <w:r>
        <w:rPr>
          <w:color w:val="231F20"/>
          <w:spacing w:val="-8"/>
          <w:w w:val="105"/>
        </w:rPr>
        <w:t> </w:t>
      </w:r>
      <w:r>
        <w:rPr>
          <w:color w:val="231F20"/>
          <w:spacing w:val="-4"/>
          <w:w w:val="105"/>
        </w:rPr>
        <w:t>como</w:t>
      </w:r>
      <w:r>
        <w:rPr>
          <w:color w:val="231F20"/>
          <w:spacing w:val="-8"/>
          <w:w w:val="105"/>
        </w:rPr>
        <w:t> </w:t>
      </w:r>
      <w:r>
        <w:rPr>
          <w:color w:val="231F20"/>
          <w:w w:val="105"/>
        </w:rPr>
        <w:t>de</w:t>
      </w:r>
      <w:r>
        <w:rPr>
          <w:color w:val="231F20"/>
          <w:spacing w:val="-8"/>
          <w:w w:val="105"/>
        </w:rPr>
        <w:t> </w:t>
      </w:r>
      <w:r>
        <w:rPr>
          <w:color w:val="231F20"/>
          <w:spacing w:val="-4"/>
          <w:w w:val="105"/>
        </w:rPr>
        <w:t>relaciones</w:t>
      </w:r>
      <w:r>
        <w:rPr>
          <w:color w:val="231F20"/>
          <w:spacing w:val="-8"/>
          <w:w w:val="105"/>
        </w:rPr>
        <w:t> </w:t>
      </w:r>
      <w:r>
        <w:rPr>
          <w:color w:val="231F20"/>
          <w:spacing w:val="-3"/>
          <w:w w:val="105"/>
        </w:rPr>
        <w:t>polí- </w:t>
      </w:r>
      <w:r>
        <w:rPr>
          <w:color w:val="231F20"/>
          <w:w w:val="105"/>
        </w:rPr>
        <w:t>ticas</w:t>
      </w:r>
      <w:r>
        <w:rPr>
          <w:color w:val="231F20"/>
          <w:spacing w:val="-20"/>
          <w:w w:val="105"/>
        </w:rPr>
        <w:t> </w:t>
      </w:r>
      <w:r>
        <w:rPr>
          <w:color w:val="231F20"/>
          <w:spacing w:val="-3"/>
          <w:w w:val="105"/>
        </w:rPr>
        <w:t>personales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spacing w:val="-3"/>
          <w:w w:val="105"/>
        </w:rPr>
        <w:t>designación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primera</w:t>
      </w:r>
      <w:r>
        <w:rPr>
          <w:color w:val="231F20"/>
          <w:spacing w:val="-20"/>
          <w:w w:val="105"/>
        </w:rPr>
        <w:t> </w:t>
      </w:r>
      <w:r>
        <w:rPr>
          <w:color w:val="231F20"/>
          <w:w w:val="105"/>
        </w:rPr>
        <w:t>línea</w:t>
      </w:r>
      <w:r>
        <w:rPr>
          <w:color w:val="231F20"/>
          <w:spacing w:val="-20"/>
          <w:w w:val="105"/>
        </w:rPr>
        <w:t> </w:t>
      </w:r>
      <w:r>
        <w:rPr>
          <w:color w:val="231F20"/>
          <w:w w:val="105"/>
        </w:rPr>
        <w:t>de</w:t>
      </w:r>
      <w:r>
        <w:rPr>
          <w:color w:val="231F20"/>
          <w:spacing w:val="-20"/>
          <w:w w:val="105"/>
        </w:rPr>
        <w:t> </w:t>
      </w:r>
      <w:r>
        <w:rPr>
          <w:color w:val="231F20"/>
          <w:w w:val="105"/>
        </w:rPr>
        <w:t>su</w:t>
      </w:r>
      <w:r>
        <w:rPr>
          <w:color w:val="231F20"/>
          <w:spacing w:val="-20"/>
          <w:w w:val="105"/>
        </w:rPr>
        <w:t> </w:t>
      </w:r>
      <w:r>
        <w:rPr>
          <w:color w:val="231F20"/>
          <w:w w:val="105"/>
        </w:rPr>
        <w:t>equipo</w:t>
      </w:r>
      <w:r>
        <w:rPr>
          <w:color w:val="231F20"/>
          <w:spacing w:val="-20"/>
          <w:w w:val="105"/>
        </w:rPr>
        <w:t> </w:t>
      </w:r>
      <w:r>
        <w:rPr>
          <w:color w:val="231F20"/>
          <w:w w:val="105"/>
        </w:rPr>
        <w:t>administrativo.</w:t>
      </w:r>
    </w:p>
    <w:p>
      <w:pPr>
        <w:pStyle w:val="BodyText"/>
        <w:spacing w:before="1"/>
        <w:rPr>
          <w:sz w:val="26"/>
        </w:rPr>
      </w:pPr>
    </w:p>
    <w:p>
      <w:pPr>
        <w:pStyle w:val="BodyText"/>
        <w:spacing w:line="285" w:lineRule="auto"/>
        <w:ind w:left="110" w:right="106"/>
        <w:jc w:val="both"/>
      </w:pP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designación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titulares</w:t>
      </w:r>
      <w:r>
        <w:rPr>
          <w:color w:val="231F20"/>
          <w:spacing w:val="-21"/>
          <w:w w:val="105"/>
        </w:rPr>
        <w:t> </w:t>
      </w:r>
      <w:r>
        <w:rPr>
          <w:color w:val="231F20"/>
          <w:w w:val="105"/>
        </w:rPr>
        <w:t>del</w:t>
      </w:r>
      <w:r>
        <w:rPr>
          <w:color w:val="231F20"/>
          <w:spacing w:val="-21"/>
          <w:w w:val="105"/>
        </w:rPr>
        <w:t> </w:t>
      </w:r>
      <w:r>
        <w:rPr>
          <w:color w:val="231F20"/>
          <w:w w:val="105"/>
        </w:rPr>
        <w:t>área</w:t>
      </w:r>
      <w:r>
        <w:rPr>
          <w:color w:val="231F20"/>
          <w:spacing w:val="-21"/>
          <w:w w:val="105"/>
        </w:rPr>
        <w:t> </w:t>
      </w:r>
      <w:r>
        <w:rPr>
          <w:color w:val="231F20"/>
          <w:w w:val="105"/>
        </w:rPr>
        <w:t>administrativa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APM</w:t>
      </w:r>
      <w:r>
        <w:rPr>
          <w:color w:val="231F20"/>
          <w:spacing w:val="-21"/>
          <w:w w:val="105"/>
        </w:rPr>
        <w:t> </w:t>
      </w:r>
      <w:r>
        <w:rPr>
          <w:color w:val="231F20"/>
          <w:w w:val="105"/>
        </w:rPr>
        <w:t>se</w:t>
      </w:r>
      <w:r>
        <w:rPr>
          <w:color w:val="231F20"/>
          <w:spacing w:val="-21"/>
          <w:w w:val="105"/>
        </w:rPr>
        <w:t> </w:t>
      </w:r>
      <w:r>
        <w:rPr>
          <w:color w:val="231F20"/>
          <w:w w:val="105"/>
        </w:rPr>
        <w:t>ubicaron</w:t>
      </w:r>
      <w:r>
        <w:rPr>
          <w:color w:val="231F20"/>
          <w:spacing w:val="-21"/>
          <w:w w:val="105"/>
        </w:rPr>
        <w:t> </w:t>
      </w:r>
      <w:r>
        <w:rPr>
          <w:color w:val="231F20"/>
          <w:w w:val="105"/>
        </w:rPr>
        <w:t>criterios técnicos preeminentes, especialmente en las áreas de la tesorería municipal, la contra- loría interna, la dirección de administración y la dirección general jurídica consultiva. Sus</w:t>
      </w:r>
      <w:r>
        <w:rPr>
          <w:color w:val="231F20"/>
          <w:spacing w:val="-12"/>
          <w:w w:val="105"/>
        </w:rPr>
        <w:t> </w:t>
      </w:r>
      <w:r>
        <w:rPr>
          <w:color w:val="231F20"/>
          <w:w w:val="105"/>
        </w:rPr>
        <w:t>titulares</w:t>
      </w:r>
      <w:r>
        <w:rPr>
          <w:color w:val="231F20"/>
          <w:spacing w:val="-12"/>
          <w:w w:val="105"/>
        </w:rPr>
        <w:t> </w:t>
      </w:r>
      <w:r>
        <w:rPr>
          <w:color w:val="231F20"/>
          <w:w w:val="105"/>
        </w:rPr>
        <w:t>cuentan</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nivel</w:t>
      </w:r>
      <w:r>
        <w:rPr>
          <w:color w:val="231F20"/>
          <w:spacing w:val="-12"/>
          <w:w w:val="105"/>
        </w:rPr>
        <w:t> </w:t>
      </w:r>
      <w:r>
        <w:rPr>
          <w:color w:val="231F20"/>
          <w:w w:val="105"/>
        </w:rPr>
        <w:t>educativo</w:t>
      </w:r>
      <w:r>
        <w:rPr>
          <w:color w:val="231F20"/>
          <w:spacing w:val="-12"/>
          <w:w w:val="105"/>
        </w:rPr>
        <w:t> </w:t>
      </w:r>
      <w:r>
        <w:rPr>
          <w:color w:val="231F20"/>
          <w:w w:val="105"/>
        </w:rPr>
        <w:t>superior</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vez</w:t>
      </w:r>
      <w:r>
        <w:rPr>
          <w:color w:val="231F20"/>
          <w:spacing w:val="-12"/>
          <w:w w:val="105"/>
        </w:rPr>
        <w:t> </w:t>
      </w:r>
      <w:r>
        <w:rPr>
          <w:color w:val="231F20"/>
          <w:w w:val="105"/>
        </w:rPr>
        <w:t>de</w:t>
      </w:r>
      <w:r>
        <w:rPr>
          <w:color w:val="231F20"/>
          <w:spacing w:val="-12"/>
          <w:w w:val="105"/>
        </w:rPr>
        <w:t> </w:t>
      </w:r>
      <w:r>
        <w:rPr>
          <w:color w:val="231F20"/>
          <w:w w:val="105"/>
        </w:rPr>
        <w:t>experiencia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admi- nistración pública. Resalta que el director de administración es el único con posgrado, sin</w:t>
      </w:r>
      <w:r>
        <w:rPr>
          <w:color w:val="231F20"/>
          <w:spacing w:val="-7"/>
          <w:w w:val="105"/>
        </w:rPr>
        <w:t> </w:t>
      </w:r>
      <w:r>
        <w:rPr>
          <w:color w:val="231F20"/>
          <w:w w:val="105"/>
        </w:rPr>
        <w:t>embargo</w:t>
      </w:r>
      <w:r>
        <w:rPr>
          <w:color w:val="231F20"/>
          <w:spacing w:val="-7"/>
          <w:w w:val="105"/>
        </w:rPr>
        <w:t> </w:t>
      </w:r>
      <w:r>
        <w:rPr>
          <w:color w:val="231F20"/>
          <w:w w:val="105"/>
        </w:rPr>
        <w:t>su</w:t>
      </w:r>
      <w:r>
        <w:rPr>
          <w:color w:val="231F20"/>
          <w:spacing w:val="-7"/>
          <w:w w:val="105"/>
        </w:rPr>
        <w:t> </w:t>
      </w:r>
      <w:r>
        <w:rPr>
          <w:color w:val="231F20"/>
          <w:w w:val="105"/>
        </w:rPr>
        <w:t>militancia</w:t>
      </w:r>
      <w:r>
        <w:rPr>
          <w:color w:val="231F20"/>
          <w:spacing w:val="-7"/>
          <w:w w:val="105"/>
        </w:rPr>
        <w:t> </w:t>
      </w:r>
      <w:r>
        <w:rPr>
          <w:color w:val="231F20"/>
          <w:w w:val="105"/>
        </w:rPr>
        <w:t>partidista</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clara,</w:t>
      </w:r>
      <w:r>
        <w:rPr>
          <w:color w:val="231F20"/>
          <w:spacing w:val="-7"/>
          <w:w w:val="105"/>
        </w:rPr>
        <w:t> </w:t>
      </w:r>
      <w:r>
        <w:rPr>
          <w:color w:val="231F20"/>
          <w:w w:val="105"/>
        </w:rPr>
        <w:t>además</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ejerció</w:t>
      </w:r>
      <w:r>
        <w:rPr>
          <w:color w:val="231F20"/>
          <w:spacing w:val="-7"/>
          <w:w w:val="105"/>
        </w:rPr>
        <w:t> </w:t>
      </w:r>
      <w:r>
        <w:rPr>
          <w:color w:val="231F20"/>
          <w:w w:val="105"/>
        </w:rPr>
        <w:t>previamente cargos partidistas</w:t>
      </w:r>
      <w:r>
        <w:rPr>
          <w:color w:val="231F20"/>
          <w:spacing w:val="-22"/>
          <w:w w:val="105"/>
        </w:rPr>
        <w:t> </w:t>
      </w:r>
      <w:r>
        <w:rPr>
          <w:color w:val="231F20"/>
          <w:w w:val="105"/>
        </w:rPr>
        <w:t>relevantes.</w:t>
      </w:r>
    </w:p>
    <w:p>
      <w:pPr>
        <w:pStyle w:val="BodyText"/>
        <w:spacing w:before="1"/>
        <w:rPr>
          <w:sz w:val="26"/>
        </w:rPr>
      </w:pPr>
    </w:p>
    <w:p>
      <w:pPr>
        <w:pStyle w:val="BodyText"/>
        <w:spacing w:line="285" w:lineRule="auto"/>
        <w:ind w:left="110" w:right="108"/>
        <w:jc w:val="both"/>
        <w:rPr>
          <w:sz w:val="13"/>
        </w:rPr>
      </w:pPr>
      <w:r>
        <w:rPr/>
        <w:pict>
          <v:line style="position:absolute;mso-position-horizontal-relative:page;mso-position-vertical-relative:paragraph;z-index:6064;mso-wrap-distance-left:0;mso-wrap-distance-right:0" from="42.519699pt,110.225235pt" to="114.519699pt,110.225235pt" stroked="true" strokeweight="1pt" strokecolor="#231f20">
            <w10:wrap type="topAndBottom"/>
          </v:line>
        </w:pict>
      </w:r>
      <w:r>
        <w:rPr>
          <w:color w:val="231F20"/>
          <w:w w:val="105"/>
        </w:rPr>
        <w:t>En</w:t>
      </w:r>
      <w:r>
        <w:rPr>
          <w:color w:val="231F20"/>
          <w:spacing w:val="-14"/>
          <w:w w:val="105"/>
        </w:rPr>
        <w:t> </w:t>
      </w:r>
      <w:r>
        <w:rPr>
          <w:color w:val="231F20"/>
          <w:w w:val="105"/>
        </w:rPr>
        <w:t>contraposición,</w:t>
      </w:r>
      <w:r>
        <w:rPr>
          <w:color w:val="231F20"/>
          <w:spacing w:val="-14"/>
          <w:w w:val="105"/>
        </w:rPr>
        <w:t> </w:t>
      </w:r>
      <w:r>
        <w:rPr>
          <w:color w:val="231F20"/>
          <w:w w:val="105"/>
        </w:rPr>
        <w:t>el</w:t>
      </w:r>
      <w:r>
        <w:rPr>
          <w:color w:val="231F20"/>
          <w:spacing w:val="-14"/>
          <w:w w:val="105"/>
        </w:rPr>
        <w:t> </w:t>
      </w:r>
      <w:r>
        <w:rPr>
          <w:color w:val="231F20"/>
          <w:w w:val="105"/>
        </w:rPr>
        <w:t>alcalde</w:t>
      </w:r>
      <w:r>
        <w:rPr>
          <w:color w:val="231F20"/>
          <w:spacing w:val="-14"/>
          <w:w w:val="105"/>
        </w:rPr>
        <w:t> </w:t>
      </w:r>
      <w:r>
        <w:rPr>
          <w:color w:val="231F20"/>
          <w:w w:val="105"/>
        </w:rPr>
        <w:t>Fuentes</w:t>
      </w:r>
      <w:r>
        <w:rPr>
          <w:color w:val="231F20"/>
          <w:spacing w:val="-14"/>
          <w:w w:val="105"/>
        </w:rPr>
        <w:t> </w:t>
      </w:r>
      <w:r>
        <w:rPr>
          <w:color w:val="231F20"/>
          <w:w w:val="105"/>
        </w:rPr>
        <w:t>Villalobos</w:t>
      </w:r>
      <w:r>
        <w:rPr>
          <w:color w:val="231F20"/>
          <w:spacing w:val="-14"/>
          <w:w w:val="105"/>
        </w:rPr>
        <w:t> </w:t>
      </w:r>
      <w:r>
        <w:rPr>
          <w:color w:val="231F20"/>
          <w:w w:val="105"/>
        </w:rPr>
        <w:t>recurrió</w:t>
      </w:r>
      <w:r>
        <w:rPr>
          <w:color w:val="231F20"/>
          <w:spacing w:val="-14"/>
          <w:w w:val="105"/>
        </w:rPr>
        <w:t> </w:t>
      </w:r>
      <w:r>
        <w:rPr>
          <w:color w:val="231F20"/>
          <w:w w:val="105"/>
        </w:rPr>
        <w:t>a</w:t>
      </w:r>
      <w:r>
        <w:rPr>
          <w:color w:val="231F20"/>
          <w:spacing w:val="-14"/>
          <w:w w:val="105"/>
        </w:rPr>
        <w:t> </w:t>
      </w:r>
      <w:r>
        <w:rPr>
          <w:color w:val="231F20"/>
          <w:w w:val="105"/>
        </w:rPr>
        <w:t>posturas</w:t>
      </w:r>
      <w:r>
        <w:rPr>
          <w:color w:val="231F20"/>
          <w:spacing w:val="-14"/>
          <w:w w:val="105"/>
        </w:rPr>
        <w:t> </w:t>
      </w:r>
      <w:r>
        <w:rPr>
          <w:color w:val="231F20"/>
          <w:w w:val="105"/>
        </w:rPr>
        <w:t>políticas</w:t>
      </w:r>
      <w:r>
        <w:rPr>
          <w:color w:val="231F20"/>
          <w:spacing w:val="-14"/>
          <w:w w:val="105"/>
        </w:rPr>
        <w:t> </w:t>
      </w:r>
      <w:r>
        <w:rPr>
          <w:color w:val="231F20"/>
          <w:w w:val="105"/>
        </w:rPr>
        <w:t>pragmáti- cas en la designación del secretario del ayuntamiento y del director de desarrollo eco- nómico. El primero, Rodolfo Encampira Montoya, mostró un perfil partidista </w:t>
      </w:r>
      <w:r>
        <w:rPr>
          <w:color w:val="231F20"/>
          <w:spacing w:val="-3"/>
          <w:w w:val="105"/>
        </w:rPr>
        <w:t>(aunque </w:t>
      </w:r>
      <w:r>
        <w:rPr>
          <w:color w:val="231F20"/>
          <w:w w:val="105"/>
        </w:rPr>
        <w:t>no</w:t>
      </w:r>
      <w:r>
        <w:rPr>
          <w:color w:val="231F20"/>
          <w:spacing w:val="-3"/>
          <w:w w:val="105"/>
        </w:rPr>
        <w:t> </w:t>
      </w:r>
      <w:r>
        <w:rPr>
          <w:color w:val="231F20"/>
          <w:w w:val="105"/>
        </w:rPr>
        <w:t>se</w:t>
      </w:r>
      <w:r>
        <w:rPr>
          <w:color w:val="231F20"/>
          <w:spacing w:val="-3"/>
          <w:w w:val="105"/>
        </w:rPr>
        <w:t> </w:t>
      </w:r>
      <w:r>
        <w:rPr>
          <w:color w:val="231F20"/>
          <w:w w:val="105"/>
        </w:rPr>
        <w:t>le</w:t>
      </w:r>
      <w:r>
        <w:rPr>
          <w:color w:val="231F20"/>
          <w:spacing w:val="-3"/>
          <w:w w:val="105"/>
        </w:rPr>
        <w:t> </w:t>
      </w:r>
      <w:r>
        <w:rPr>
          <w:color w:val="231F20"/>
          <w:w w:val="105"/>
        </w:rPr>
        <w:t>identificó</w:t>
      </w:r>
      <w:r>
        <w:rPr>
          <w:color w:val="231F20"/>
          <w:spacing w:val="-3"/>
          <w:w w:val="105"/>
        </w:rPr>
        <w:t> </w:t>
      </w:r>
      <w:r>
        <w:rPr>
          <w:color w:val="231F20"/>
          <w:w w:val="105"/>
        </w:rPr>
        <w:t>haber</w:t>
      </w:r>
      <w:r>
        <w:rPr>
          <w:color w:val="231F20"/>
          <w:spacing w:val="-3"/>
          <w:w w:val="105"/>
        </w:rPr>
        <w:t> </w:t>
      </w:r>
      <w:r>
        <w:rPr>
          <w:color w:val="231F20"/>
          <w:w w:val="105"/>
        </w:rPr>
        <w:t>ejercido</w:t>
      </w:r>
      <w:r>
        <w:rPr>
          <w:color w:val="231F20"/>
          <w:spacing w:val="-3"/>
          <w:w w:val="105"/>
        </w:rPr>
        <w:t> </w:t>
      </w:r>
      <w:r>
        <w:rPr>
          <w:color w:val="231F20"/>
          <w:w w:val="105"/>
        </w:rPr>
        <w:t>algún</w:t>
      </w:r>
      <w:r>
        <w:rPr>
          <w:color w:val="231F20"/>
          <w:spacing w:val="-3"/>
          <w:w w:val="105"/>
        </w:rPr>
        <w:t> </w:t>
      </w:r>
      <w:r>
        <w:rPr>
          <w:color w:val="231F20"/>
          <w:w w:val="105"/>
        </w:rPr>
        <w:t>cargo</w:t>
      </w:r>
      <w:r>
        <w:rPr>
          <w:color w:val="231F20"/>
          <w:spacing w:val="-3"/>
          <w:w w:val="105"/>
        </w:rPr>
        <w:t> </w:t>
      </w:r>
      <w:r>
        <w:rPr>
          <w:color w:val="231F20"/>
          <w:w w:val="105"/>
        </w:rPr>
        <w:t>importante</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PRI</w:t>
      </w:r>
      <w:r>
        <w:rPr>
          <w:color w:val="231F20"/>
          <w:spacing w:val="-3"/>
          <w:w w:val="105"/>
        </w:rPr>
        <w:t> </w:t>
      </w:r>
      <w:r>
        <w:rPr>
          <w:color w:val="231F20"/>
          <w:w w:val="105"/>
        </w:rPr>
        <w:t>municipal)</w:t>
      </w:r>
      <w:r>
        <w:rPr>
          <w:color w:val="231F20"/>
          <w:spacing w:val="-3"/>
          <w:w w:val="105"/>
        </w:rPr>
        <w:t> </w:t>
      </w:r>
      <w:r>
        <w:rPr>
          <w:color w:val="231F20"/>
          <w:w w:val="105"/>
        </w:rPr>
        <w:t>pues</w:t>
      </w:r>
      <w:r>
        <w:rPr>
          <w:color w:val="231F20"/>
          <w:spacing w:val="-3"/>
          <w:w w:val="105"/>
        </w:rPr>
        <w:t> </w:t>
      </w:r>
      <w:r>
        <w:rPr>
          <w:color w:val="231F20"/>
          <w:w w:val="105"/>
        </w:rPr>
        <w:t>su desarrollo</w:t>
      </w:r>
      <w:r>
        <w:rPr>
          <w:color w:val="231F20"/>
          <w:spacing w:val="-8"/>
          <w:w w:val="105"/>
        </w:rPr>
        <w:t> </w:t>
      </w:r>
      <w:r>
        <w:rPr>
          <w:color w:val="231F20"/>
          <w:w w:val="105"/>
        </w:rPr>
        <w:t>político</w:t>
      </w:r>
      <w:r>
        <w:rPr>
          <w:color w:val="231F20"/>
          <w:spacing w:val="-8"/>
          <w:w w:val="105"/>
        </w:rPr>
        <w:t> </w:t>
      </w:r>
      <w:r>
        <w:rPr>
          <w:color w:val="231F20"/>
          <w:w w:val="105"/>
        </w:rPr>
        <w:t>se</w:t>
      </w:r>
      <w:r>
        <w:rPr>
          <w:color w:val="231F20"/>
          <w:spacing w:val="-8"/>
          <w:w w:val="105"/>
        </w:rPr>
        <w:t> </w:t>
      </w:r>
      <w:r>
        <w:rPr>
          <w:color w:val="231F20"/>
          <w:w w:val="105"/>
        </w:rPr>
        <w:t>basa</w:t>
      </w:r>
      <w:r>
        <w:rPr>
          <w:color w:val="231F20"/>
          <w:spacing w:val="-8"/>
          <w:w w:val="105"/>
        </w:rPr>
        <w:t> </w:t>
      </w:r>
      <w:r>
        <w:rPr>
          <w:color w:val="231F20"/>
          <w:w w:val="105"/>
        </w:rPr>
        <w:t>en</w:t>
      </w:r>
      <w:r>
        <w:rPr>
          <w:color w:val="231F20"/>
          <w:spacing w:val="-8"/>
          <w:w w:val="105"/>
        </w:rPr>
        <w:t> </w:t>
      </w:r>
      <w:r>
        <w:rPr>
          <w:color w:val="231F20"/>
          <w:w w:val="105"/>
        </w:rPr>
        <w:t>haber</w:t>
      </w:r>
      <w:r>
        <w:rPr>
          <w:color w:val="231F20"/>
          <w:spacing w:val="-8"/>
          <w:w w:val="105"/>
        </w:rPr>
        <w:t> </w:t>
      </w:r>
      <w:r>
        <w:rPr>
          <w:color w:val="231F20"/>
          <w:w w:val="105"/>
        </w:rPr>
        <w:t>formado</w:t>
      </w:r>
      <w:r>
        <w:rPr>
          <w:color w:val="231F20"/>
          <w:spacing w:val="-8"/>
          <w:w w:val="105"/>
        </w:rPr>
        <w:t> </w:t>
      </w:r>
      <w:r>
        <w:rPr>
          <w:color w:val="231F20"/>
          <w:w w:val="105"/>
        </w:rPr>
        <w:t>parte</w:t>
      </w:r>
      <w:r>
        <w:rPr>
          <w:color w:val="231F20"/>
          <w:spacing w:val="-8"/>
          <w:w w:val="105"/>
        </w:rPr>
        <w:t> </w:t>
      </w:r>
      <w:r>
        <w:rPr>
          <w:color w:val="231F20"/>
          <w:w w:val="105"/>
        </w:rPr>
        <w:t>de</w:t>
      </w:r>
      <w:r>
        <w:rPr>
          <w:color w:val="231F20"/>
          <w:spacing w:val="-8"/>
          <w:w w:val="105"/>
        </w:rPr>
        <w:t> </w:t>
      </w:r>
      <w:r>
        <w:rPr>
          <w:color w:val="231F20"/>
          <w:w w:val="105"/>
        </w:rPr>
        <w:t>varias</w:t>
      </w:r>
      <w:r>
        <w:rPr>
          <w:color w:val="231F20"/>
          <w:spacing w:val="-8"/>
          <w:w w:val="105"/>
        </w:rPr>
        <w:t> </w:t>
      </w:r>
      <w:r>
        <w:rPr>
          <w:color w:val="231F20"/>
          <w:w w:val="105"/>
        </w:rPr>
        <w:t>administraciones</w:t>
      </w:r>
      <w:r>
        <w:rPr>
          <w:color w:val="231F20"/>
          <w:spacing w:val="-8"/>
          <w:w w:val="105"/>
        </w:rPr>
        <w:t> </w:t>
      </w:r>
      <w:r>
        <w:rPr>
          <w:color w:val="231F20"/>
          <w:w w:val="105"/>
        </w:rPr>
        <w:t>locales</w:t>
      </w:r>
      <w:r>
        <w:rPr>
          <w:color w:val="231F20"/>
          <w:spacing w:val="-8"/>
          <w:w w:val="105"/>
        </w:rPr>
        <w:t> </w:t>
      </w:r>
      <w:r>
        <w:rPr>
          <w:color w:val="231F20"/>
          <w:w w:val="105"/>
        </w:rPr>
        <w:t>y de</w:t>
      </w:r>
      <w:r>
        <w:rPr>
          <w:color w:val="231F20"/>
          <w:spacing w:val="-10"/>
          <w:w w:val="105"/>
        </w:rPr>
        <w:t> </w:t>
      </w:r>
      <w:r>
        <w:rPr>
          <w:color w:val="231F20"/>
          <w:w w:val="105"/>
        </w:rPr>
        <w:t>coordinar</w:t>
      </w:r>
      <w:r>
        <w:rPr>
          <w:color w:val="231F20"/>
          <w:spacing w:val="-10"/>
          <w:w w:val="105"/>
        </w:rPr>
        <w:t> </w:t>
      </w:r>
      <w:r>
        <w:rPr>
          <w:color w:val="231F20"/>
          <w:w w:val="105"/>
        </w:rPr>
        <w:t>varias</w:t>
      </w:r>
      <w:r>
        <w:rPr>
          <w:color w:val="231F20"/>
          <w:spacing w:val="-10"/>
          <w:w w:val="105"/>
        </w:rPr>
        <w:t> </w:t>
      </w:r>
      <w:r>
        <w:rPr>
          <w:color w:val="231F20"/>
          <w:w w:val="105"/>
        </w:rPr>
        <w:t>campañas</w:t>
      </w:r>
      <w:r>
        <w:rPr>
          <w:color w:val="231F20"/>
          <w:spacing w:val="-10"/>
          <w:w w:val="105"/>
        </w:rPr>
        <w:t> </w:t>
      </w:r>
      <w:r>
        <w:rPr>
          <w:color w:val="231F20"/>
          <w:w w:val="105"/>
        </w:rPr>
        <w:t>electorales</w:t>
      </w:r>
      <w:r>
        <w:rPr>
          <w:color w:val="231F20"/>
          <w:spacing w:val="-10"/>
          <w:w w:val="105"/>
        </w:rPr>
        <w:t> </w:t>
      </w:r>
      <w:r>
        <w:rPr>
          <w:color w:val="231F20"/>
          <w:w w:val="105"/>
        </w:rPr>
        <w:t>municipales</w:t>
      </w:r>
      <w:r>
        <w:rPr>
          <w:color w:val="231F20"/>
          <w:spacing w:val="-10"/>
          <w:w w:val="105"/>
        </w:rPr>
        <w:t> </w:t>
      </w:r>
      <w:r>
        <w:rPr>
          <w:color w:val="231F20"/>
          <w:w w:val="105"/>
        </w:rPr>
        <w:t>con</w:t>
      </w:r>
      <w:r>
        <w:rPr>
          <w:color w:val="231F20"/>
          <w:spacing w:val="-10"/>
          <w:w w:val="105"/>
        </w:rPr>
        <w:t> </w:t>
      </w:r>
      <w:r>
        <w:rPr>
          <w:color w:val="231F20"/>
          <w:w w:val="105"/>
        </w:rPr>
        <w:t>anterioridad,</w:t>
      </w:r>
      <w:r>
        <w:rPr>
          <w:color w:val="231F20"/>
          <w:spacing w:val="-10"/>
          <w:w w:val="105"/>
        </w:rPr>
        <w:t> </w:t>
      </w:r>
      <w:r>
        <w:rPr>
          <w:color w:val="231F20"/>
          <w:w w:val="105"/>
        </w:rPr>
        <w:t>además</w:t>
      </w:r>
      <w:r>
        <w:rPr>
          <w:color w:val="231F20"/>
          <w:spacing w:val="-10"/>
          <w:w w:val="105"/>
        </w:rPr>
        <w:t> </w:t>
      </w:r>
      <w:r>
        <w:rPr>
          <w:color w:val="231F20"/>
          <w:w w:val="105"/>
        </w:rPr>
        <w:t>de</w:t>
      </w:r>
      <w:r>
        <w:rPr>
          <w:color w:val="231F20"/>
          <w:spacing w:val="-10"/>
          <w:w w:val="105"/>
        </w:rPr>
        <w:t> </w:t>
      </w:r>
      <w:r>
        <w:rPr>
          <w:color w:val="231F20"/>
          <w:w w:val="105"/>
        </w:rPr>
        <w:t>que cuenta</w:t>
      </w:r>
      <w:r>
        <w:rPr>
          <w:color w:val="231F20"/>
          <w:spacing w:val="-9"/>
          <w:w w:val="105"/>
        </w:rPr>
        <w:t> </w:t>
      </w:r>
      <w:r>
        <w:rPr>
          <w:color w:val="231F20"/>
          <w:w w:val="105"/>
        </w:rPr>
        <w:t>con</w:t>
      </w:r>
      <w:r>
        <w:rPr>
          <w:color w:val="231F20"/>
          <w:spacing w:val="-9"/>
          <w:w w:val="105"/>
        </w:rPr>
        <w:t> </w:t>
      </w:r>
      <w:r>
        <w:rPr>
          <w:color w:val="231F20"/>
          <w:w w:val="105"/>
        </w:rPr>
        <w:t>diversas</w:t>
      </w:r>
      <w:r>
        <w:rPr>
          <w:color w:val="231F20"/>
          <w:spacing w:val="-9"/>
          <w:w w:val="105"/>
        </w:rPr>
        <w:t> </w:t>
      </w:r>
      <w:r>
        <w:rPr>
          <w:color w:val="231F20"/>
          <w:w w:val="105"/>
        </w:rPr>
        <w:t>redes</w:t>
      </w:r>
      <w:r>
        <w:rPr>
          <w:color w:val="231F20"/>
          <w:spacing w:val="-9"/>
          <w:w w:val="105"/>
        </w:rPr>
        <w:t> </w:t>
      </w:r>
      <w:r>
        <w:rPr>
          <w:color w:val="231F20"/>
          <w:spacing w:val="2"/>
          <w:w w:val="105"/>
        </w:rPr>
        <w:t>al</w:t>
      </w:r>
      <w:r>
        <w:rPr>
          <w:color w:val="231F20"/>
          <w:spacing w:val="-9"/>
          <w:w w:val="105"/>
        </w:rPr>
        <w:t> </w:t>
      </w:r>
      <w:r>
        <w:rPr>
          <w:color w:val="231F20"/>
          <w:w w:val="105"/>
        </w:rPr>
        <w:t>interior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organización</w:t>
      </w:r>
      <w:r>
        <w:rPr>
          <w:color w:val="231F20"/>
          <w:spacing w:val="-9"/>
          <w:w w:val="105"/>
        </w:rPr>
        <w:t> </w:t>
      </w:r>
      <w:r>
        <w:rPr>
          <w:color w:val="231F20"/>
          <w:w w:val="105"/>
        </w:rPr>
        <w:t>partidista</w:t>
      </w:r>
      <w:r>
        <w:rPr>
          <w:color w:val="231F20"/>
          <w:spacing w:val="-9"/>
          <w:w w:val="105"/>
        </w:rPr>
        <w:t> </w:t>
      </w:r>
      <w:r>
        <w:rPr>
          <w:color w:val="231F20"/>
          <w:w w:val="105"/>
        </w:rPr>
        <w:t>municipal</w:t>
      </w:r>
      <w:r>
        <w:rPr>
          <w:color w:val="231F20"/>
          <w:w w:val="105"/>
          <w:position w:val="7"/>
          <w:sz w:val="13"/>
        </w:rPr>
        <w:t>46.</w:t>
      </w:r>
    </w:p>
    <w:p>
      <w:pPr>
        <w:pStyle w:val="ListParagraph"/>
        <w:numPr>
          <w:ilvl w:val="0"/>
          <w:numId w:val="4"/>
        </w:numPr>
        <w:tabs>
          <w:tab w:pos="301" w:val="left" w:leader="none"/>
        </w:tabs>
        <w:spacing w:line="244" w:lineRule="auto" w:before="8" w:after="0"/>
        <w:ind w:left="110" w:right="108" w:firstLine="0"/>
        <w:jc w:val="left"/>
        <w:rPr>
          <w:sz w:val="16"/>
        </w:rPr>
      </w:pPr>
      <w:r>
        <w:rPr>
          <w:color w:val="231F20"/>
          <w:sz w:val="16"/>
        </w:rPr>
        <w:t>Una</w:t>
      </w:r>
      <w:r>
        <w:rPr>
          <w:color w:val="231F20"/>
          <w:spacing w:val="-11"/>
          <w:sz w:val="16"/>
        </w:rPr>
        <w:t> </w:t>
      </w:r>
      <w:r>
        <w:rPr>
          <w:color w:val="231F20"/>
          <w:sz w:val="16"/>
        </w:rPr>
        <w:t>de</w:t>
      </w:r>
      <w:r>
        <w:rPr>
          <w:color w:val="231F20"/>
          <w:spacing w:val="-11"/>
          <w:sz w:val="16"/>
        </w:rPr>
        <w:t> </w:t>
      </w:r>
      <w:r>
        <w:rPr>
          <w:color w:val="231F20"/>
          <w:sz w:val="16"/>
        </w:rPr>
        <w:t>estas</w:t>
      </w:r>
      <w:r>
        <w:rPr>
          <w:color w:val="231F20"/>
          <w:spacing w:val="-11"/>
          <w:sz w:val="16"/>
        </w:rPr>
        <w:t> </w:t>
      </w:r>
      <w:r>
        <w:rPr>
          <w:color w:val="231F20"/>
          <w:sz w:val="16"/>
        </w:rPr>
        <w:t>redes</w:t>
      </w:r>
      <w:r>
        <w:rPr>
          <w:color w:val="231F20"/>
          <w:spacing w:val="-11"/>
          <w:sz w:val="16"/>
        </w:rPr>
        <w:t> </w:t>
      </w:r>
      <w:r>
        <w:rPr>
          <w:color w:val="231F20"/>
          <w:sz w:val="16"/>
        </w:rPr>
        <w:t>se</w:t>
      </w:r>
      <w:r>
        <w:rPr>
          <w:color w:val="231F20"/>
          <w:spacing w:val="-11"/>
          <w:sz w:val="16"/>
        </w:rPr>
        <w:t> </w:t>
      </w:r>
      <w:r>
        <w:rPr>
          <w:color w:val="231F20"/>
          <w:sz w:val="16"/>
        </w:rPr>
        <w:t>ubica</w:t>
      </w:r>
      <w:r>
        <w:rPr>
          <w:color w:val="231F20"/>
          <w:spacing w:val="-11"/>
          <w:sz w:val="16"/>
        </w:rPr>
        <w:t> </w:t>
      </w:r>
      <w:r>
        <w:rPr>
          <w:color w:val="231F20"/>
          <w:sz w:val="16"/>
        </w:rPr>
        <w:t>en</w:t>
      </w:r>
      <w:r>
        <w:rPr>
          <w:color w:val="231F20"/>
          <w:spacing w:val="-11"/>
          <w:sz w:val="16"/>
        </w:rPr>
        <w:t> </w:t>
      </w:r>
      <w:r>
        <w:rPr>
          <w:color w:val="231F20"/>
          <w:sz w:val="16"/>
        </w:rPr>
        <w:t>su</w:t>
      </w:r>
      <w:r>
        <w:rPr>
          <w:color w:val="231F20"/>
          <w:spacing w:val="-11"/>
          <w:sz w:val="16"/>
        </w:rPr>
        <w:t> </w:t>
      </w:r>
      <w:r>
        <w:rPr>
          <w:color w:val="231F20"/>
          <w:sz w:val="16"/>
        </w:rPr>
        <w:t>hermano,</w:t>
      </w:r>
      <w:r>
        <w:rPr>
          <w:color w:val="231F20"/>
          <w:spacing w:val="-11"/>
          <w:sz w:val="16"/>
        </w:rPr>
        <w:t> </w:t>
      </w:r>
      <w:r>
        <w:rPr>
          <w:color w:val="231F20"/>
          <w:sz w:val="16"/>
        </w:rPr>
        <w:t>Carlos</w:t>
      </w:r>
      <w:r>
        <w:rPr>
          <w:color w:val="231F20"/>
          <w:spacing w:val="-11"/>
          <w:sz w:val="16"/>
        </w:rPr>
        <w:t> </w:t>
      </w:r>
      <w:r>
        <w:rPr>
          <w:color w:val="231F20"/>
          <w:sz w:val="16"/>
        </w:rPr>
        <w:t>Encampira,</w:t>
      </w:r>
      <w:r>
        <w:rPr>
          <w:color w:val="231F20"/>
          <w:spacing w:val="-11"/>
          <w:sz w:val="16"/>
        </w:rPr>
        <w:t> </w:t>
      </w:r>
      <w:r>
        <w:rPr>
          <w:color w:val="231F20"/>
          <w:sz w:val="16"/>
        </w:rPr>
        <w:t>quien</w:t>
      </w:r>
      <w:r>
        <w:rPr>
          <w:color w:val="231F20"/>
          <w:spacing w:val="-11"/>
          <w:sz w:val="16"/>
        </w:rPr>
        <w:t> </w:t>
      </w:r>
      <w:r>
        <w:rPr>
          <w:color w:val="231F20"/>
          <w:sz w:val="16"/>
        </w:rPr>
        <w:t>fungió</w:t>
      </w:r>
      <w:r>
        <w:rPr>
          <w:color w:val="231F20"/>
          <w:spacing w:val="-11"/>
          <w:sz w:val="16"/>
        </w:rPr>
        <w:t> </w:t>
      </w:r>
      <w:r>
        <w:rPr>
          <w:color w:val="231F20"/>
          <w:sz w:val="16"/>
        </w:rPr>
        <w:t>como</w:t>
      </w:r>
      <w:r>
        <w:rPr>
          <w:color w:val="231F20"/>
          <w:spacing w:val="-11"/>
          <w:sz w:val="16"/>
        </w:rPr>
        <w:t> </w:t>
      </w:r>
      <w:r>
        <w:rPr>
          <w:color w:val="231F20"/>
          <w:sz w:val="16"/>
        </w:rPr>
        <w:t>presidente</w:t>
      </w:r>
      <w:r>
        <w:rPr>
          <w:color w:val="231F20"/>
          <w:spacing w:val="-11"/>
          <w:sz w:val="16"/>
        </w:rPr>
        <w:t> </w:t>
      </w:r>
      <w:r>
        <w:rPr>
          <w:color w:val="231F20"/>
          <w:sz w:val="16"/>
        </w:rPr>
        <w:t>del</w:t>
      </w:r>
      <w:r>
        <w:rPr>
          <w:color w:val="231F20"/>
          <w:spacing w:val="-11"/>
          <w:sz w:val="16"/>
        </w:rPr>
        <w:t> </w:t>
      </w:r>
      <w:r>
        <w:rPr>
          <w:color w:val="231F20"/>
          <w:sz w:val="16"/>
        </w:rPr>
        <w:t>comité</w:t>
      </w:r>
      <w:r>
        <w:rPr>
          <w:color w:val="231F20"/>
          <w:spacing w:val="-11"/>
          <w:sz w:val="16"/>
        </w:rPr>
        <w:t> </w:t>
      </w:r>
      <w:r>
        <w:rPr>
          <w:color w:val="231F20"/>
          <w:sz w:val="16"/>
        </w:rPr>
        <w:t>municipal</w:t>
      </w:r>
      <w:r>
        <w:rPr>
          <w:color w:val="231F20"/>
          <w:spacing w:val="-11"/>
          <w:sz w:val="16"/>
        </w:rPr>
        <w:t> </w:t>
      </w:r>
      <w:r>
        <w:rPr>
          <w:color w:val="231F20"/>
          <w:sz w:val="16"/>
        </w:rPr>
        <w:t>del</w:t>
      </w:r>
      <w:r>
        <w:rPr>
          <w:color w:val="231F20"/>
          <w:spacing w:val="-11"/>
          <w:sz w:val="16"/>
        </w:rPr>
        <w:t> </w:t>
      </w:r>
      <w:r>
        <w:rPr>
          <w:color w:val="231F20"/>
          <w:sz w:val="16"/>
        </w:rPr>
        <w:t>PRI en</w:t>
      </w:r>
      <w:r>
        <w:rPr>
          <w:color w:val="231F20"/>
          <w:spacing w:val="-8"/>
          <w:sz w:val="16"/>
        </w:rPr>
        <w:t> </w:t>
      </w:r>
      <w:r>
        <w:rPr>
          <w:color w:val="231F20"/>
          <w:sz w:val="16"/>
        </w:rPr>
        <w:t>el</w:t>
      </w:r>
      <w:r>
        <w:rPr>
          <w:color w:val="231F20"/>
          <w:spacing w:val="-8"/>
          <w:sz w:val="16"/>
        </w:rPr>
        <w:t> </w:t>
      </w:r>
      <w:r>
        <w:rPr>
          <w:color w:val="231F20"/>
          <w:sz w:val="16"/>
        </w:rPr>
        <w:t>periodo</w:t>
      </w:r>
      <w:r>
        <w:rPr>
          <w:color w:val="231F20"/>
          <w:spacing w:val="-8"/>
          <w:sz w:val="16"/>
        </w:rPr>
        <w:t> </w:t>
      </w:r>
      <w:r>
        <w:rPr>
          <w:color w:val="231F20"/>
          <w:sz w:val="16"/>
        </w:rPr>
        <w:t>previo</w:t>
      </w:r>
      <w:r>
        <w:rPr>
          <w:color w:val="231F20"/>
          <w:spacing w:val="-8"/>
          <w:sz w:val="16"/>
        </w:rPr>
        <w:t> </w:t>
      </w:r>
      <w:r>
        <w:rPr>
          <w:color w:val="231F20"/>
          <w:sz w:val="16"/>
        </w:rPr>
        <w:t>a</w:t>
      </w:r>
      <w:r>
        <w:rPr>
          <w:color w:val="231F20"/>
          <w:spacing w:val="-8"/>
          <w:sz w:val="16"/>
        </w:rPr>
        <w:t> </w:t>
      </w:r>
      <w:r>
        <w:rPr>
          <w:color w:val="231F20"/>
          <w:sz w:val="16"/>
        </w:rPr>
        <w:t>las</w:t>
      </w:r>
      <w:r>
        <w:rPr>
          <w:color w:val="231F20"/>
          <w:spacing w:val="-8"/>
          <w:sz w:val="16"/>
        </w:rPr>
        <w:t> </w:t>
      </w:r>
      <w:r>
        <w:rPr>
          <w:color w:val="231F20"/>
          <w:sz w:val="16"/>
        </w:rPr>
        <w:t>elecciones</w:t>
      </w:r>
      <w:r>
        <w:rPr>
          <w:color w:val="231F20"/>
          <w:spacing w:val="-8"/>
          <w:sz w:val="16"/>
        </w:rPr>
        <w:t> </w:t>
      </w:r>
      <w:r>
        <w:rPr>
          <w:color w:val="231F20"/>
          <w:sz w:val="16"/>
        </w:rPr>
        <w:t>locales</w:t>
      </w:r>
      <w:r>
        <w:rPr>
          <w:color w:val="231F20"/>
          <w:spacing w:val="-8"/>
          <w:sz w:val="16"/>
        </w:rPr>
        <w:t> </w:t>
      </w:r>
      <w:r>
        <w:rPr>
          <w:color w:val="231F20"/>
          <w:sz w:val="16"/>
        </w:rPr>
        <w:t>del</w:t>
      </w:r>
      <w:r>
        <w:rPr>
          <w:color w:val="231F20"/>
          <w:spacing w:val="-8"/>
          <w:sz w:val="16"/>
        </w:rPr>
        <w:t> </w:t>
      </w:r>
      <w:r>
        <w:rPr>
          <w:color w:val="231F20"/>
          <w:sz w:val="16"/>
        </w:rPr>
        <w:t>año</w:t>
      </w:r>
      <w:r>
        <w:rPr>
          <w:color w:val="231F20"/>
          <w:spacing w:val="-8"/>
          <w:sz w:val="16"/>
        </w:rPr>
        <w:t> </w:t>
      </w:r>
      <w:r>
        <w:rPr>
          <w:color w:val="231F20"/>
          <w:sz w:val="16"/>
        </w:rPr>
        <w:t>2006.</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Por</w:t>
      </w:r>
      <w:r>
        <w:rPr>
          <w:color w:val="231F20"/>
          <w:spacing w:val="-7"/>
          <w:w w:val="105"/>
        </w:rPr>
        <w:t> </w:t>
      </w:r>
      <w:r>
        <w:rPr>
          <w:color w:val="231F20"/>
          <w:w w:val="105"/>
        </w:rPr>
        <w:t>su</w:t>
      </w:r>
      <w:r>
        <w:rPr>
          <w:color w:val="231F20"/>
          <w:spacing w:val="-7"/>
          <w:w w:val="105"/>
        </w:rPr>
        <w:t> </w:t>
      </w:r>
      <w:r>
        <w:rPr>
          <w:color w:val="231F20"/>
          <w:w w:val="105"/>
        </w:rPr>
        <w:t>parte,</w:t>
      </w:r>
      <w:r>
        <w:rPr>
          <w:color w:val="231F20"/>
          <w:spacing w:val="-7"/>
          <w:w w:val="105"/>
        </w:rPr>
        <w:t> </w:t>
      </w:r>
      <w:r>
        <w:rPr>
          <w:color w:val="231F20"/>
          <w:w w:val="105"/>
        </w:rPr>
        <w:t>el</w:t>
      </w:r>
      <w:r>
        <w:rPr>
          <w:color w:val="231F20"/>
          <w:spacing w:val="-7"/>
          <w:w w:val="105"/>
        </w:rPr>
        <w:t> </w:t>
      </w:r>
      <w:r>
        <w:rPr>
          <w:color w:val="231F20"/>
          <w:w w:val="105"/>
        </w:rPr>
        <w:t>director</w:t>
      </w:r>
      <w:r>
        <w:rPr>
          <w:color w:val="231F20"/>
          <w:spacing w:val="-7"/>
          <w:w w:val="105"/>
        </w:rPr>
        <w:t> </w:t>
      </w:r>
      <w:r>
        <w:rPr>
          <w:color w:val="231F20"/>
          <w:w w:val="105"/>
        </w:rPr>
        <w:t>de</w:t>
      </w:r>
      <w:r>
        <w:rPr>
          <w:color w:val="231F20"/>
          <w:spacing w:val="-7"/>
          <w:w w:val="105"/>
        </w:rPr>
        <w:t> </w:t>
      </w:r>
      <w:r>
        <w:rPr>
          <w:color w:val="231F20"/>
          <w:w w:val="105"/>
        </w:rPr>
        <w:t>desarrollo</w:t>
      </w:r>
      <w:r>
        <w:rPr>
          <w:color w:val="231F20"/>
          <w:spacing w:val="-7"/>
          <w:w w:val="105"/>
        </w:rPr>
        <w:t> </w:t>
      </w:r>
      <w:r>
        <w:rPr>
          <w:color w:val="231F20"/>
          <w:w w:val="105"/>
        </w:rPr>
        <w:t>económico,</w:t>
      </w:r>
      <w:r>
        <w:rPr>
          <w:color w:val="231F20"/>
          <w:spacing w:val="-7"/>
          <w:w w:val="105"/>
        </w:rPr>
        <w:t> </w:t>
      </w:r>
      <w:r>
        <w:rPr>
          <w:color w:val="231F20"/>
          <w:w w:val="105"/>
        </w:rPr>
        <w:t>Abel</w:t>
      </w:r>
      <w:r>
        <w:rPr>
          <w:color w:val="231F20"/>
          <w:spacing w:val="-7"/>
          <w:w w:val="105"/>
        </w:rPr>
        <w:t> </w:t>
      </w:r>
      <w:r>
        <w:rPr>
          <w:color w:val="231F20"/>
          <w:w w:val="105"/>
        </w:rPr>
        <w:t>Huitrón</w:t>
      </w:r>
      <w:r>
        <w:rPr>
          <w:color w:val="231F20"/>
          <w:spacing w:val="-7"/>
          <w:w w:val="105"/>
        </w:rPr>
        <w:t> </w:t>
      </w:r>
      <w:r>
        <w:rPr>
          <w:color w:val="231F20"/>
          <w:w w:val="105"/>
        </w:rPr>
        <w:t>de</w:t>
      </w:r>
      <w:r>
        <w:rPr>
          <w:color w:val="231F20"/>
          <w:spacing w:val="-7"/>
          <w:w w:val="105"/>
        </w:rPr>
        <w:t> </w:t>
      </w:r>
      <w:r>
        <w:rPr>
          <w:color w:val="231F20"/>
          <w:spacing w:val="-3"/>
          <w:w w:val="105"/>
        </w:rPr>
        <w:t>Velasco,</w:t>
      </w:r>
      <w:r>
        <w:rPr>
          <w:color w:val="231F20"/>
          <w:spacing w:val="-7"/>
          <w:w w:val="105"/>
        </w:rPr>
        <w:t> </w:t>
      </w:r>
      <w:r>
        <w:rPr>
          <w:color w:val="231F20"/>
          <w:w w:val="105"/>
        </w:rPr>
        <w:t>cuenta</w:t>
      </w:r>
      <w:r>
        <w:rPr>
          <w:color w:val="231F20"/>
          <w:spacing w:val="-7"/>
          <w:w w:val="105"/>
        </w:rPr>
        <w:t> </w:t>
      </w:r>
      <w:r>
        <w:rPr>
          <w:color w:val="231F20"/>
          <w:w w:val="105"/>
        </w:rPr>
        <w:t>con una licenciatura en derecho, además de una militancia partidista reconocida. </w:t>
      </w:r>
      <w:r>
        <w:rPr>
          <w:color w:val="231F20"/>
          <w:spacing w:val="-3"/>
          <w:w w:val="105"/>
        </w:rPr>
        <w:t>Pero </w:t>
      </w:r>
      <w:r>
        <w:rPr>
          <w:color w:val="231F20"/>
          <w:w w:val="105"/>
        </w:rPr>
        <w:t>su mayor</w:t>
      </w:r>
      <w:r>
        <w:rPr>
          <w:color w:val="231F20"/>
          <w:spacing w:val="-11"/>
          <w:w w:val="105"/>
        </w:rPr>
        <w:t> </w:t>
      </w:r>
      <w:r>
        <w:rPr>
          <w:color w:val="231F20"/>
          <w:w w:val="105"/>
        </w:rPr>
        <w:t>reconocimiento</w:t>
      </w:r>
      <w:r>
        <w:rPr>
          <w:color w:val="231F20"/>
          <w:spacing w:val="-11"/>
          <w:w w:val="105"/>
        </w:rPr>
        <w:t> </w:t>
      </w:r>
      <w:r>
        <w:rPr>
          <w:color w:val="231F20"/>
          <w:w w:val="105"/>
        </w:rPr>
        <w:t>proviene</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influencia</w:t>
      </w:r>
      <w:r>
        <w:rPr>
          <w:color w:val="231F20"/>
          <w:spacing w:val="-11"/>
          <w:w w:val="105"/>
        </w:rPr>
        <w:t> </w:t>
      </w:r>
      <w:r>
        <w:rPr>
          <w:color w:val="231F20"/>
          <w:w w:val="105"/>
        </w:rPr>
        <w:t>política</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padre,</w:t>
      </w:r>
      <w:r>
        <w:rPr>
          <w:color w:val="231F20"/>
          <w:spacing w:val="-11"/>
          <w:w w:val="105"/>
        </w:rPr>
        <w:t> </w:t>
      </w:r>
      <w:r>
        <w:rPr>
          <w:color w:val="231F20"/>
          <w:w w:val="105"/>
        </w:rPr>
        <w:t>Abel</w:t>
      </w:r>
      <w:r>
        <w:rPr>
          <w:color w:val="231F20"/>
          <w:spacing w:val="-11"/>
          <w:w w:val="105"/>
        </w:rPr>
        <w:t> </w:t>
      </w:r>
      <w:r>
        <w:rPr>
          <w:color w:val="231F20"/>
          <w:w w:val="105"/>
        </w:rPr>
        <w:t>Huitrón</w:t>
      </w:r>
      <w:r>
        <w:rPr>
          <w:color w:val="231F20"/>
          <w:spacing w:val="-11"/>
          <w:w w:val="105"/>
        </w:rPr>
        <w:t> </w:t>
      </w:r>
      <w:r>
        <w:rPr>
          <w:color w:val="231F20"/>
          <w:w w:val="105"/>
        </w:rPr>
        <w:t>Ro- sete,</w:t>
      </w:r>
      <w:r>
        <w:rPr>
          <w:color w:val="231F20"/>
          <w:spacing w:val="-20"/>
          <w:w w:val="105"/>
        </w:rPr>
        <w:t> </w:t>
      </w:r>
      <w:r>
        <w:rPr>
          <w:color w:val="231F20"/>
          <w:w w:val="105"/>
        </w:rPr>
        <w:t>que</w:t>
      </w:r>
      <w:r>
        <w:rPr>
          <w:color w:val="231F20"/>
          <w:spacing w:val="-20"/>
          <w:w w:val="105"/>
        </w:rPr>
        <w:t> </w:t>
      </w:r>
      <w:r>
        <w:rPr>
          <w:color w:val="231F20"/>
          <w:w w:val="105"/>
        </w:rPr>
        <w:t>fue</w:t>
      </w:r>
      <w:r>
        <w:rPr>
          <w:color w:val="231F20"/>
          <w:spacing w:val="-20"/>
          <w:w w:val="105"/>
        </w:rPr>
        <w:t> </w:t>
      </w:r>
      <w:r>
        <w:rPr>
          <w:color w:val="231F20"/>
          <w:w w:val="105"/>
        </w:rPr>
        <w:t>presidente</w:t>
      </w:r>
      <w:r>
        <w:rPr>
          <w:color w:val="231F20"/>
          <w:spacing w:val="-20"/>
          <w:w w:val="105"/>
        </w:rPr>
        <w:t> </w:t>
      </w:r>
      <w:r>
        <w:rPr>
          <w:color w:val="231F20"/>
          <w:w w:val="105"/>
        </w:rPr>
        <w:t>municipal</w:t>
      </w:r>
      <w:r>
        <w:rPr>
          <w:color w:val="231F20"/>
          <w:spacing w:val="-20"/>
          <w:w w:val="105"/>
        </w:rPr>
        <w:t> </w:t>
      </w:r>
      <w:r>
        <w:rPr>
          <w:color w:val="231F20"/>
          <w:spacing w:val="-4"/>
          <w:w w:val="105"/>
        </w:rPr>
        <w:t>(1995-1996),</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le</w:t>
      </w:r>
      <w:r>
        <w:rPr>
          <w:color w:val="231F20"/>
          <w:spacing w:val="-20"/>
          <w:w w:val="105"/>
        </w:rPr>
        <w:t> </w:t>
      </w:r>
      <w:r>
        <w:rPr>
          <w:color w:val="231F20"/>
          <w:w w:val="105"/>
        </w:rPr>
        <w:t>ha</w:t>
      </w:r>
      <w:r>
        <w:rPr>
          <w:color w:val="231F20"/>
          <w:spacing w:val="-20"/>
          <w:w w:val="105"/>
        </w:rPr>
        <w:t> </w:t>
      </w:r>
      <w:r>
        <w:rPr>
          <w:color w:val="231F20"/>
          <w:w w:val="105"/>
        </w:rPr>
        <w:t>permitido</w:t>
      </w:r>
      <w:r>
        <w:rPr>
          <w:color w:val="231F20"/>
          <w:spacing w:val="-20"/>
          <w:w w:val="105"/>
        </w:rPr>
        <w:t> </w:t>
      </w:r>
      <w:r>
        <w:rPr>
          <w:color w:val="231F20"/>
          <w:w w:val="105"/>
        </w:rPr>
        <w:t>mantenerse</w:t>
      </w:r>
      <w:r>
        <w:rPr>
          <w:color w:val="231F20"/>
          <w:spacing w:val="-20"/>
          <w:w w:val="105"/>
        </w:rPr>
        <w:t> </w:t>
      </w:r>
      <w:r>
        <w:rPr>
          <w:color w:val="231F20"/>
          <w:w w:val="105"/>
        </w:rPr>
        <w:t>como un</w:t>
      </w:r>
      <w:r>
        <w:rPr>
          <w:color w:val="231F20"/>
          <w:spacing w:val="-11"/>
          <w:w w:val="105"/>
        </w:rPr>
        <w:t> </w:t>
      </w:r>
      <w:r>
        <w:rPr>
          <w:color w:val="231F20"/>
          <w:w w:val="105"/>
        </w:rPr>
        <w:t>personaje</w:t>
      </w:r>
      <w:r>
        <w:rPr>
          <w:color w:val="231F20"/>
          <w:spacing w:val="-11"/>
          <w:w w:val="105"/>
        </w:rPr>
        <w:t> </w:t>
      </w:r>
      <w:r>
        <w:rPr>
          <w:color w:val="231F20"/>
          <w:w w:val="105"/>
        </w:rPr>
        <w:t>político</w:t>
      </w:r>
      <w:r>
        <w:rPr>
          <w:color w:val="231F20"/>
          <w:spacing w:val="-11"/>
          <w:w w:val="105"/>
        </w:rPr>
        <w:t> </w:t>
      </w:r>
      <w:r>
        <w:rPr>
          <w:color w:val="231F20"/>
          <w:w w:val="105"/>
        </w:rPr>
        <w:t>relevante</w:t>
      </w:r>
      <w:r>
        <w:rPr>
          <w:color w:val="231F20"/>
          <w:spacing w:val="-11"/>
          <w:w w:val="105"/>
        </w:rPr>
        <w:t> </w:t>
      </w:r>
      <w:r>
        <w:rPr>
          <w:color w:val="231F20"/>
          <w:w w:val="105"/>
        </w:rPr>
        <w:t>dentro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priísta.</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7"/>
          <w:w w:val="105"/>
        </w:rPr>
        <w:t> </w:t>
      </w:r>
      <w:r>
        <w:rPr>
          <w:color w:val="231F20"/>
          <w:w w:val="105"/>
        </w:rPr>
        <w:t>relación</w:t>
      </w:r>
      <w:r>
        <w:rPr>
          <w:color w:val="231F20"/>
          <w:spacing w:val="-17"/>
          <w:w w:val="105"/>
        </w:rPr>
        <w:t> </w:t>
      </w:r>
      <w:r>
        <w:rPr>
          <w:color w:val="231F20"/>
          <w:w w:val="105"/>
        </w:rPr>
        <w:t>que</w:t>
      </w:r>
      <w:r>
        <w:rPr>
          <w:color w:val="231F20"/>
          <w:spacing w:val="-17"/>
          <w:w w:val="105"/>
        </w:rPr>
        <w:t> </w:t>
      </w:r>
      <w:r>
        <w:rPr>
          <w:color w:val="231F20"/>
          <w:spacing w:val="-3"/>
          <w:w w:val="105"/>
        </w:rPr>
        <w:t>generó</w:t>
      </w:r>
      <w:r>
        <w:rPr>
          <w:color w:val="231F20"/>
          <w:spacing w:val="-17"/>
          <w:w w:val="105"/>
        </w:rPr>
        <w:t> </w:t>
      </w:r>
      <w:r>
        <w:rPr>
          <w:color w:val="231F20"/>
          <w:w w:val="105"/>
        </w:rPr>
        <w:t>Adrián</w:t>
      </w:r>
      <w:r>
        <w:rPr>
          <w:color w:val="231F20"/>
          <w:spacing w:val="-17"/>
          <w:w w:val="105"/>
        </w:rPr>
        <w:t> </w:t>
      </w:r>
      <w:r>
        <w:rPr>
          <w:color w:val="231F20"/>
          <w:w w:val="105"/>
        </w:rPr>
        <w:t>Fuentes</w:t>
      </w:r>
      <w:r>
        <w:rPr>
          <w:color w:val="231F20"/>
          <w:spacing w:val="-17"/>
          <w:w w:val="105"/>
        </w:rPr>
        <w:t> </w:t>
      </w:r>
      <w:r>
        <w:rPr>
          <w:color w:val="231F20"/>
          <w:w w:val="105"/>
        </w:rPr>
        <w:t>con</w:t>
      </w:r>
      <w:r>
        <w:rPr>
          <w:color w:val="231F20"/>
          <w:spacing w:val="-17"/>
          <w:w w:val="105"/>
        </w:rPr>
        <w:t> </w:t>
      </w:r>
      <w:r>
        <w:rPr>
          <w:color w:val="231F20"/>
          <w:w w:val="105"/>
        </w:rPr>
        <w:t>este</w:t>
      </w:r>
      <w:r>
        <w:rPr>
          <w:color w:val="231F20"/>
          <w:spacing w:val="-17"/>
          <w:w w:val="105"/>
        </w:rPr>
        <w:t> </w:t>
      </w:r>
      <w:r>
        <w:rPr>
          <w:color w:val="231F20"/>
          <w:w w:val="105"/>
        </w:rPr>
        <w:t>tipo</w:t>
      </w:r>
      <w:r>
        <w:rPr>
          <w:color w:val="231F20"/>
          <w:spacing w:val="-17"/>
          <w:w w:val="105"/>
        </w:rPr>
        <w:t> </w:t>
      </w:r>
      <w:r>
        <w:rPr>
          <w:color w:val="231F20"/>
          <w:w w:val="105"/>
        </w:rPr>
        <w:t>de</w:t>
      </w:r>
      <w:r>
        <w:rPr>
          <w:color w:val="231F20"/>
          <w:spacing w:val="-17"/>
          <w:w w:val="105"/>
        </w:rPr>
        <w:t> </w:t>
      </w:r>
      <w:r>
        <w:rPr>
          <w:color w:val="231F20"/>
          <w:w w:val="105"/>
        </w:rPr>
        <w:t>liderazgos</w:t>
      </w:r>
      <w:r>
        <w:rPr>
          <w:color w:val="231F20"/>
          <w:spacing w:val="-17"/>
          <w:w w:val="105"/>
        </w:rPr>
        <w:t> </w:t>
      </w:r>
      <w:r>
        <w:rPr>
          <w:color w:val="231F20"/>
          <w:w w:val="105"/>
        </w:rPr>
        <w:t>político-partidistas</w:t>
      </w:r>
      <w:r>
        <w:rPr>
          <w:color w:val="231F20"/>
          <w:spacing w:val="-17"/>
          <w:w w:val="105"/>
        </w:rPr>
        <w:t> </w:t>
      </w:r>
      <w:r>
        <w:rPr>
          <w:color w:val="231F20"/>
          <w:w w:val="105"/>
        </w:rPr>
        <w:t>le facilitó</w:t>
      </w:r>
      <w:r>
        <w:rPr>
          <w:color w:val="231F20"/>
          <w:spacing w:val="-17"/>
          <w:w w:val="105"/>
        </w:rPr>
        <w:t> </w:t>
      </w:r>
      <w:r>
        <w:rPr>
          <w:color w:val="231F20"/>
          <w:w w:val="105"/>
        </w:rPr>
        <w:t>obtener</w:t>
      </w:r>
      <w:r>
        <w:rPr>
          <w:color w:val="231F20"/>
          <w:spacing w:val="-17"/>
          <w:w w:val="105"/>
        </w:rPr>
        <w:t> </w:t>
      </w:r>
      <w:r>
        <w:rPr>
          <w:color w:val="231F20"/>
          <w:w w:val="105"/>
        </w:rPr>
        <w:t>el</w:t>
      </w:r>
      <w:r>
        <w:rPr>
          <w:color w:val="231F20"/>
          <w:spacing w:val="-17"/>
          <w:w w:val="105"/>
        </w:rPr>
        <w:t> </w:t>
      </w:r>
      <w:r>
        <w:rPr>
          <w:color w:val="231F20"/>
          <w:w w:val="105"/>
        </w:rPr>
        <w:t>apoyo</w:t>
      </w:r>
      <w:r>
        <w:rPr>
          <w:color w:val="231F20"/>
          <w:spacing w:val="-17"/>
          <w:w w:val="105"/>
        </w:rPr>
        <w:t> </w:t>
      </w:r>
      <w:r>
        <w:rPr>
          <w:color w:val="231F20"/>
          <w:w w:val="105"/>
        </w:rPr>
        <w:t>del</w:t>
      </w:r>
      <w:r>
        <w:rPr>
          <w:color w:val="231F20"/>
          <w:spacing w:val="-17"/>
          <w:w w:val="105"/>
        </w:rPr>
        <w:t> </w:t>
      </w:r>
      <w:r>
        <w:rPr>
          <w:color w:val="231F20"/>
          <w:w w:val="105"/>
        </w:rPr>
        <w:t>PRI</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en</w:t>
      </w:r>
      <w:r>
        <w:rPr>
          <w:color w:val="231F20"/>
          <w:spacing w:val="-17"/>
          <w:w w:val="105"/>
        </w:rPr>
        <w:t> </w:t>
      </w:r>
      <w:r>
        <w:rPr>
          <w:color w:val="231F20"/>
          <w:w w:val="105"/>
        </w:rPr>
        <w:t>sus</w:t>
      </w:r>
      <w:r>
        <w:rPr>
          <w:color w:val="231F20"/>
          <w:spacing w:val="-17"/>
          <w:w w:val="105"/>
        </w:rPr>
        <w:t> </w:t>
      </w:r>
      <w:r>
        <w:rPr>
          <w:color w:val="231F20"/>
          <w:w w:val="105"/>
        </w:rPr>
        <w:t>postulaciones</w:t>
      </w:r>
      <w:r>
        <w:rPr>
          <w:color w:val="231F20"/>
          <w:spacing w:val="-17"/>
          <w:w w:val="105"/>
        </w:rPr>
        <w:t> </w:t>
      </w:r>
      <w:r>
        <w:rPr>
          <w:color w:val="231F20"/>
          <w:w w:val="105"/>
        </w:rPr>
        <w:t>como</w:t>
      </w:r>
      <w:r>
        <w:rPr>
          <w:color w:val="231F20"/>
          <w:spacing w:val="-17"/>
          <w:w w:val="105"/>
        </w:rPr>
        <w:t> </w:t>
      </w:r>
      <w:r>
        <w:rPr>
          <w:color w:val="231F20"/>
          <w:w w:val="105"/>
        </w:rPr>
        <w:t>candidato</w:t>
      </w:r>
      <w:r>
        <w:rPr>
          <w:color w:val="231F20"/>
          <w:spacing w:val="-17"/>
          <w:w w:val="105"/>
        </w:rPr>
        <w:t> </w:t>
      </w:r>
      <w:r>
        <w:rPr>
          <w:color w:val="231F20"/>
          <w:w w:val="105"/>
        </w:rPr>
        <w:t>a diputado</w:t>
      </w:r>
      <w:r>
        <w:rPr>
          <w:color w:val="231F20"/>
          <w:spacing w:val="-17"/>
          <w:w w:val="105"/>
        </w:rPr>
        <w:t> </w:t>
      </w:r>
      <w:r>
        <w:rPr>
          <w:color w:val="231F20"/>
          <w:w w:val="105"/>
        </w:rPr>
        <w:t>federal</w:t>
      </w:r>
      <w:r>
        <w:rPr>
          <w:color w:val="231F20"/>
          <w:spacing w:val="-17"/>
          <w:w w:val="105"/>
        </w:rPr>
        <w:t> </w:t>
      </w:r>
      <w:r>
        <w:rPr>
          <w:color w:val="231F20"/>
          <w:w w:val="105"/>
        </w:rPr>
        <w:t>(2003-2006)</w:t>
      </w:r>
      <w:r>
        <w:rPr>
          <w:color w:val="231F20"/>
          <w:spacing w:val="-17"/>
          <w:w w:val="105"/>
        </w:rPr>
        <w:t> </w:t>
      </w:r>
      <w:r>
        <w:rPr>
          <w:color w:val="231F20"/>
          <w:w w:val="105"/>
        </w:rPr>
        <w:t>y</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administración</w:t>
      </w:r>
      <w:r>
        <w:rPr>
          <w:color w:val="231F20"/>
          <w:spacing w:val="-17"/>
          <w:w w:val="105"/>
        </w:rPr>
        <w:t> </w:t>
      </w:r>
      <w:r>
        <w:rPr>
          <w:color w:val="231F20"/>
          <w:w w:val="105"/>
        </w:rPr>
        <w:t>huixquiluquense.</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15"/>
          <w:w w:val="105"/>
        </w:rPr>
        <w:t> </w:t>
      </w:r>
      <w:r>
        <w:rPr>
          <w:color w:val="231F20"/>
          <w:w w:val="105"/>
        </w:rPr>
        <w:t>último,</w:t>
      </w:r>
      <w:r>
        <w:rPr>
          <w:color w:val="231F20"/>
          <w:spacing w:val="-15"/>
          <w:w w:val="105"/>
        </w:rPr>
        <w:t> </w:t>
      </w:r>
      <w:r>
        <w:rPr>
          <w:color w:val="231F20"/>
          <w:w w:val="105"/>
        </w:rPr>
        <w:t>la</w:t>
      </w:r>
      <w:r>
        <w:rPr>
          <w:color w:val="231F20"/>
          <w:spacing w:val="-15"/>
          <w:w w:val="105"/>
        </w:rPr>
        <w:t> </w:t>
      </w:r>
      <w:r>
        <w:rPr>
          <w:color w:val="231F20"/>
          <w:w w:val="105"/>
        </w:rPr>
        <w:t>formación</w:t>
      </w:r>
      <w:r>
        <w:rPr>
          <w:color w:val="231F20"/>
          <w:spacing w:val="-15"/>
          <w:w w:val="105"/>
        </w:rPr>
        <w:t> </w:t>
      </w:r>
      <w:r>
        <w:rPr>
          <w:color w:val="231F20"/>
          <w:w w:val="105"/>
        </w:rPr>
        <w:t>del</w:t>
      </w:r>
      <w:r>
        <w:rPr>
          <w:color w:val="231F20"/>
          <w:spacing w:val="-15"/>
          <w:w w:val="105"/>
        </w:rPr>
        <w:t> </w:t>
      </w:r>
      <w:r>
        <w:rPr>
          <w:color w:val="231F20"/>
          <w:w w:val="105"/>
        </w:rPr>
        <w:t>presidente</w:t>
      </w:r>
      <w:r>
        <w:rPr>
          <w:color w:val="231F20"/>
          <w:spacing w:val="-15"/>
          <w:w w:val="105"/>
        </w:rPr>
        <w:t> </w:t>
      </w:r>
      <w:r>
        <w:rPr>
          <w:color w:val="231F20"/>
          <w:w w:val="105"/>
        </w:rPr>
        <w:t>municipal</w:t>
      </w:r>
      <w:r>
        <w:rPr>
          <w:color w:val="231F20"/>
          <w:spacing w:val="-15"/>
          <w:w w:val="105"/>
        </w:rPr>
        <w:t> </w:t>
      </w:r>
      <w:r>
        <w:rPr>
          <w:color w:val="231F20"/>
          <w:w w:val="105"/>
        </w:rPr>
        <w:t>en</w:t>
      </w:r>
      <w:r>
        <w:rPr>
          <w:color w:val="231F20"/>
          <w:spacing w:val="-15"/>
          <w:w w:val="105"/>
        </w:rPr>
        <w:t> </w:t>
      </w:r>
      <w:r>
        <w:rPr>
          <w:color w:val="231F20"/>
          <w:w w:val="105"/>
        </w:rPr>
        <w:t>turno,</w:t>
      </w:r>
      <w:r>
        <w:rPr>
          <w:color w:val="231F20"/>
          <w:spacing w:val="-15"/>
          <w:w w:val="105"/>
        </w:rPr>
        <w:t> </w:t>
      </w:r>
      <w:r>
        <w:rPr>
          <w:color w:val="231F20"/>
          <w:w w:val="105"/>
        </w:rPr>
        <w:t>Adrián</w:t>
      </w:r>
      <w:r>
        <w:rPr>
          <w:color w:val="231F20"/>
          <w:spacing w:val="-15"/>
          <w:w w:val="105"/>
        </w:rPr>
        <w:t> </w:t>
      </w:r>
      <w:r>
        <w:rPr>
          <w:color w:val="231F20"/>
          <w:w w:val="105"/>
        </w:rPr>
        <w:t>Fuentes,</w:t>
      </w:r>
      <w:r>
        <w:rPr>
          <w:color w:val="231F20"/>
          <w:spacing w:val="-15"/>
          <w:w w:val="105"/>
        </w:rPr>
        <w:t> </w:t>
      </w:r>
      <w:r>
        <w:rPr>
          <w:color w:val="231F20"/>
          <w:w w:val="105"/>
        </w:rPr>
        <w:t>muestra</w:t>
      </w:r>
      <w:r>
        <w:rPr>
          <w:color w:val="231F20"/>
          <w:spacing w:val="-15"/>
          <w:w w:val="105"/>
        </w:rPr>
        <w:t> </w:t>
      </w:r>
      <w:r>
        <w:rPr>
          <w:color w:val="231F20"/>
          <w:w w:val="105"/>
        </w:rPr>
        <w:t>un perfil</w:t>
      </w:r>
      <w:r>
        <w:rPr>
          <w:color w:val="231F20"/>
          <w:spacing w:val="-7"/>
          <w:w w:val="105"/>
        </w:rPr>
        <w:t> </w:t>
      </w:r>
      <w:r>
        <w:rPr>
          <w:color w:val="231F20"/>
          <w:w w:val="105"/>
        </w:rPr>
        <w:t>alejado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posturas</w:t>
      </w:r>
      <w:r>
        <w:rPr>
          <w:color w:val="231F20"/>
          <w:spacing w:val="-7"/>
          <w:w w:val="105"/>
        </w:rPr>
        <w:t> </w:t>
      </w:r>
      <w:r>
        <w:rPr>
          <w:color w:val="231F20"/>
          <w:w w:val="105"/>
        </w:rPr>
        <w:t>programático</w:t>
      </w:r>
      <w:r>
        <w:rPr>
          <w:color w:val="231F20"/>
          <w:spacing w:val="-7"/>
          <w:w w:val="105"/>
        </w:rPr>
        <w:t> </w:t>
      </w:r>
      <w:r>
        <w:rPr>
          <w:color w:val="231F20"/>
          <w:w w:val="105"/>
        </w:rPr>
        <w:t>partidistas.</w:t>
      </w:r>
      <w:r>
        <w:rPr>
          <w:color w:val="231F20"/>
          <w:spacing w:val="-7"/>
          <w:w w:val="105"/>
        </w:rPr>
        <w:t> </w:t>
      </w:r>
      <w:r>
        <w:rPr>
          <w:color w:val="231F20"/>
          <w:w w:val="105"/>
        </w:rPr>
        <w:t>Según</w:t>
      </w:r>
      <w:r>
        <w:rPr>
          <w:color w:val="231F20"/>
          <w:spacing w:val="-7"/>
          <w:w w:val="105"/>
        </w:rPr>
        <w:t> </w:t>
      </w:r>
      <w:r>
        <w:rPr>
          <w:color w:val="231F20"/>
          <w:w w:val="105"/>
        </w:rPr>
        <w:t>refiere</w:t>
      </w:r>
      <w:r>
        <w:rPr>
          <w:color w:val="231F20"/>
          <w:spacing w:val="-7"/>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experiencia</w:t>
      </w:r>
      <w:r>
        <w:rPr>
          <w:color w:val="231F20"/>
          <w:w w:val="105"/>
          <w:position w:val="7"/>
          <w:sz w:val="13"/>
        </w:rPr>
        <w:t>47 </w:t>
      </w:r>
      <w:r>
        <w:rPr>
          <w:color w:val="231F20"/>
          <w:w w:val="105"/>
        </w:rPr>
        <w:t>resalta que gran parte de su desempeño profesional lo ha realizado dentro del ramo empresarial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informática;</w:t>
      </w:r>
      <w:r>
        <w:rPr>
          <w:color w:val="231F20"/>
          <w:spacing w:val="-16"/>
          <w:w w:val="105"/>
        </w:rPr>
        <w:t> </w:t>
      </w:r>
      <w:r>
        <w:rPr>
          <w:color w:val="231F20"/>
          <w:w w:val="105"/>
        </w:rPr>
        <w:t>cuenta</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preparación</w:t>
      </w:r>
      <w:r>
        <w:rPr>
          <w:color w:val="231F20"/>
          <w:spacing w:val="-16"/>
          <w:w w:val="105"/>
        </w:rPr>
        <w:t> </w:t>
      </w:r>
      <w:r>
        <w:rPr>
          <w:color w:val="231F20"/>
          <w:w w:val="105"/>
        </w:rPr>
        <w:t>en</w:t>
      </w:r>
      <w:r>
        <w:rPr>
          <w:color w:val="231F20"/>
          <w:spacing w:val="-16"/>
          <w:w w:val="105"/>
        </w:rPr>
        <w:t> </w:t>
      </w:r>
      <w:r>
        <w:rPr>
          <w:color w:val="231F20"/>
          <w:w w:val="105"/>
        </w:rPr>
        <w:t>ingeniería</w:t>
      </w:r>
      <w:r>
        <w:rPr>
          <w:color w:val="231F20"/>
          <w:spacing w:val="-16"/>
          <w:w w:val="105"/>
        </w:rPr>
        <w:t> </w:t>
      </w:r>
      <w:r>
        <w:rPr>
          <w:color w:val="231F20"/>
          <w:w w:val="105"/>
        </w:rPr>
        <w:t>en</w:t>
      </w:r>
      <w:r>
        <w:rPr>
          <w:color w:val="231F20"/>
          <w:spacing w:val="-16"/>
          <w:w w:val="105"/>
        </w:rPr>
        <w:t> </w:t>
      </w:r>
      <w:r>
        <w:rPr>
          <w:color w:val="231F20"/>
          <w:w w:val="105"/>
        </w:rPr>
        <w:t>sistemas</w:t>
      </w:r>
      <w:r>
        <w:rPr>
          <w:color w:val="231F20"/>
          <w:spacing w:val="-16"/>
          <w:w w:val="105"/>
        </w:rPr>
        <w:t> </w:t>
      </w:r>
      <w:r>
        <w:rPr>
          <w:color w:val="231F20"/>
          <w:w w:val="105"/>
        </w:rPr>
        <w:t>com- putarizados y una licenciatura en administración de empresas, ambas cursadas en ins- tituciones</w:t>
      </w:r>
      <w:r>
        <w:rPr>
          <w:color w:val="231F20"/>
          <w:spacing w:val="-21"/>
          <w:w w:val="105"/>
        </w:rPr>
        <w:t> </w:t>
      </w:r>
      <w:r>
        <w:rPr>
          <w:color w:val="231F20"/>
          <w:w w:val="105"/>
        </w:rPr>
        <w:t>privadas.</w:t>
      </w:r>
      <w:r>
        <w:rPr>
          <w:color w:val="231F20"/>
          <w:spacing w:val="-21"/>
          <w:w w:val="105"/>
        </w:rPr>
        <w:t> </w:t>
      </w:r>
      <w:r>
        <w:rPr>
          <w:color w:val="231F20"/>
          <w:w w:val="105"/>
        </w:rPr>
        <w:t>En</w:t>
      </w:r>
      <w:r>
        <w:rPr>
          <w:color w:val="231F20"/>
          <w:spacing w:val="-21"/>
          <w:w w:val="105"/>
        </w:rPr>
        <w:t> </w:t>
      </w:r>
      <w:r>
        <w:rPr>
          <w:color w:val="231F20"/>
          <w:w w:val="105"/>
        </w:rPr>
        <w:t>contraposición,</w:t>
      </w:r>
      <w:r>
        <w:rPr>
          <w:color w:val="231F20"/>
          <w:spacing w:val="-21"/>
          <w:w w:val="105"/>
        </w:rPr>
        <w:t> </w:t>
      </w:r>
      <w:r>
        <w:rPr>
          <w:color w:val="231F20"/>
          <w:w w:val="105"/>
        </w:rPr>
        <w:t>su</w:t>
      </w:r>
      <w:r>
        <w:rPr>
          <w:color w:val="231F20"/>
          <w:spacing w:val="-21"/>
          <w:w w:val="105"/>
        </w:rPr>
        <w:t> </w:t>
      </w:r>
      <w:r>
        <w:rPr>
          <w:color w:val="231F20"/>
          <w:w w:val="105"/>
        </w:rPr>
        <w:t>experiencia</w:t>
      </w:r>
      <w:r>
        <w:rPr>
          <w:color w:val="231F20"/>
          <w:spacing w:val="-21"/>
          <w:w w:val="105"/>
        </w:rPr>
        <w:t> </w:t>
      </w:r>
      <w:r>
        <w:rPr>
          <w:color w:val="231F20"/>
          <w:w w:val="105"/>
        </w:rPr>
        <w:t>partidista</w:t>
      </w:r>
      <w:r>
        <w:rPr>
          <w:color w:val="231F20"/>
          <w:spacing w:val="-21"/>
          <w:w w:val="105"/>
        </w:rPr>
        <w:t> </w:t>
      </w:r>
      <w:r>
        <w:rPr>
          <w:color w:val="231F20"/>
          <w:w w:val="105"/>
        </w:rPr>
        <w:t>no</w:t>
      </w:r>
      <w:r>
        <w:rPr>
          <w:color w:val="231F20"/>
          <w:spacing w:val="-21"/>
          <w:w w:val="105"/>
        </w:rPr>
        <w:t> </w:t>
      </w:r>
      <w:r>
        <w:rPr>
          <w:color w:val="231F20"/>
          <w:w w:val="105"/>
        </w:rPr>
        <w:t>es</w:t>
      </w:r>
      <w:r>
        <w:rPr>
          <w:color w:val="231F20"/>
          <w:spacing w:val="-21"/>
          <w:w w:val="105"/>
        </w:rPr>
        <w:t> </w:t>
      </w:r>
      <w:r>
        <w:rPr>
          <w:color w:val="231F20"/>
          <w:w w:val="105"/>
        </w:rPr>
        <w:t>muy</w:t>
      </w:r>
      <w:r>
        <w:rPr>
          <w:color w:val="231F20"/>
          <w:spacing w:val="-21"/>
          <w:w w:val="105"/>
        </w:rPr>
        <w:t> </w:t>
      </w:r>
      <w:r>
        <w:rPr>
          <w:color w:val="231F20"/>
          <w:w w:val="105"/>
        </w:rPr>
        <w:t>relevante;</w:t>
      </w:r>
      <w:r>
        <w:rPr>
          <w:color w:val="231F20"/>
          <w:spacing w:val="-21"/>
          <w:w w:val="105"/>
        </w:rPr>
        <w:t> </w:t>
      </w:r>
      <w:r>
        <w:rPr>
          <w:color w:val="231F20"/>
          <w:w w:val="105"/>
        </w:rPr>
        <w:t>su primer</w:t>
      </w:r>
      <w:r>
        <w:rPr>
          <w:color w:val="231F20"/>
          <w:spacing w:val="-26"/>
          <w:w w:val="105"/>
        </w:rPr>
        <w:t> </w:t>
      </w:r>
      <w:r>
        <w:rPr>
          <w:color w:val="231F20"/>
          <w:w w:val="105"/>
        </w:rPr>
        <w:t>cargo</w:t>
      </w:r>
      <w:r>
        <w:rPr>
          <w:color w:val="231F20"/>
          <w:spacing w:val="-26"/>
          <w:w w:val="105"/>
        </w:rPr>
        <w:t> </w:t>
      </w:r>
      <w:r>
        <w:rPr>
          <w:color w:val="231F20"/>
          <w:w w:val="105"/>
        </w:rPr>
        <w:t>público</w:t>
      </w:r>
      <w:r>
        <w:rPr>
          <w:color w:val="231F20"/>
          <w:spacing w:val="-26"/>
          <w:w w:val="105"/>
        </w:rPr>
        <w:t> </w:t>
      </w:r>
      <w:r>
        <w:rPr>
          <w:color w:val="231F20"/>
          <w:w w:val="105"/>
        </w:rPr>
        <w:t>lo</w:t>
      </w:r>
      <w:r>
        <w:rPr>
          <w:color w:val="231F20"/>
          <w:spacing w:val="-26"/>
          <w:w w:val="105"/>
        </w:rPr>
        <w:t> </w:t>
      </w:r>
      <w:r>
        <w:rPr>
          <w:color w:val="231F20"/>
          <w:w w:val="105"/>
        </w:rPr>
        <w:t>ejerció</w:t>
      </w:r>
      <w:r>
        <w:rPr>
          <w:color w:val="231F20"/>
          <w:spacing w:val="-26"/>
          <w:w w:val="105"/>
        </w:rPr>
        <w:t> </w:t>
      </w:r>
      <w:r>
        <w:rPr>
          <w:color w:val="231F20"/>
          <w:w w:val="105"/>
        </w:rPr>
        <w:t>como</w:t>
      </w:r>
      <w:r>
        <w:rPr>
          <w:color w:val="231F20"/>
          <w:spacing w:val="-26"/>
          <w:w w:val="105"/>
        </w:rPr>
        <w:t> </w:t>
      </w:r>
      <w:r>
        <w:rPr>
          <w:color w:val="231F20"/>
          <w:w w:val="105"/>
        </w:rPr>
        <w:t>diputado</w:t>
      </w:r>
      <w:r>
        <w:rPr>
          <w:color w:val="231F20"/>
          <w:spacing w:val="-26"/>
          <w:w w:val="105"/>
        </w:rPr>
        <w:t> </w:t>
      </w:r>
      <w:r>
        <w:rPr>
          <w:color w:val="231F20"/>
          <w:w w:val="105"/>
        </w:rPr>
        <w:t>federal</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LIX</w:t>
      </w:r>
      <w:r>
        <w:rPr>
          <w:color w:val="231F20"/>
          <w:spacing w:val="-26"/>
          <w:w w:val="105"/>
        </w:rPr>
        <w:t> </w:t>
      </w:r>
      <w:r>
        <w:rPr>
          <w:color w:val="231F20"/>
          <w:w w:val="105"/>
        </w:rPr>
        <w:t>legislatura</w:t>
      </w:r>
      <w:r>
        <w:rPr>
          <w:color w:val="231F20"/>
          <w:spacing w:val="-26"/>
          <w:w w:val="105"/>
        </w:rPr>
        <w:t> </w:t>
      </w:r>
      <w:r>
        <w:rPr>
          <w:color w:val="231F20"/>
          <w:w w:val="105"/>
        </w:rPr>
        <w:t>(2003-2006). Pareciera</w:t>
      </w:r>
      <w:r>
        <w:rPr>
          <w:color w:val="231F20"/>
          <w:spacing w:val="-14"/>
          <w:w w:val="105"/>
        </w:rPr>
        <w:t> </w:t>
      </w:r>
      <w:r>
        <w:rPr>
          <w:color w:val="231F20"/>
          <w:w w:val="105"/>
        </w:rPr>
        <w:t>que</w:t>
      </w:r>
      <w:r>
        <w:rPr>
          <w:color w:val="231F20"/>
          <w:spacing w:val="-14"/>
          <w:w w:val="105"/>
        </w:rPr>
        <w:t> </w:t>
      </w:r>
      <w:r>
        <w:rPr>
          <w:color w:val="231F20"/>
          <w:w w:val="105"/>
        </w:rPr>
        <w:t>ese</w:t>
      </w:r>
      <w:r>
        <w:rPr>
          <w:color w:val="231F20"/>
          <w:spacing w:val="-14"/>
          <w:w w:val="105"/>
        </w:rPr>
        <w:t> </w:t>
      </w:r>
      <w:r>
        <w:rPr>
          <w:color w:val="231F20"/>
          <w:w w:val="105"/>
        </w:rPr>
        <w:t>cargo</w:t>
      </w:r>
      <w:r>
        <w:rPr>
          <w:color w:val="231F20"/>
          <w:spacing w:val="-14"/>
          <w:w w:val="105"/>
        </w:rPr>
        <w:t> </w:t>
      </w:r>
      <w:r>
        <w:rPr>
          <w:color w:val="231F20"/>
          <w:w w:val="105"/>
        </w:rPr>
        <w:t>le</w:t>
      </w:r>
      <w:r>
        <w:rPr>
          <w:color w:val="231F20"/>
          <w:spacing w:val="-14"/>
          <w:w w:val="105"/>
        </w:rPr>
        <w:t> </w:t>
      </w:r>
      <w:r>
        <w:rPr>
          <w:color w:val="231F20"/>
          <w:w w:val="105"/>
        </w:rPr>
        <w:t>abrió</w:t>
      </w:r>
      <w:r>
        <w:rPr>
          <w:color w:val="231F20"/>
          <w:spacing w:val="-14"/>
          <w:w w:val="105"/>
        </w:rPr>
        <w:t> </w:t>
      </w:r>
      <w:r>
        <w:rPr>
          <w:color w:val="231F20"/>
          <w:w w:val="105"/>
        </w:rPr>
        <w:t>nuevas</w:t>
      </w:r>
      <w:r>
        <w:rPr>
          <w:color w:val="231F20"/>
          <w:spacing w:val="-14"/>
          <w:w w:val="105"/>
        </w:rPr>
        <w:t> </w:t>
      </w:r>
      <w:r>
        <w:rPr>
          <w:color w:val="231F20"/>
          <w:w w:val="105"/>
        </w:rPr>
        <w:t>oportunidades</w:t>
      </w:r>
      <w:r>
        <w:rPr>
          <w:color w:val="231F20"/>
          <w:spacing w:val="-14"/>
          <w:w w:val="105"/>
        </w:rPr>
        <w:t> </w:t>
      </w:r>
      <w:r>
        <w:rPr>
          <w:color w:val="231F20"/>
          <w:w w:val="105"/>
        </w:rPr>
        <w:t>para</w:t>
      </w:r>
      <w:r>
        <w:rPr>
          <w:color w:val="231F20"/>
          <w:spacing w:val="-14"/>
          <w:w w:val="105"/>
        </w:rPr>
        <w:t> </w:t>
      </w:r>
      <w:r>
        <w:rPr>
          <w:color w:val="231F20"/>
          <w:w w:val="105"/>
        </w:rPr>
        <w:t>establecer</w:t>
      </w:r>
      <w:r>
        <w:rPr>
          <w:color w:val="231F20"/>
          <w:spacing w:val="-14"/>
          <w:w w:val="105"/>
        </w:rPr>
        <w:t> </w:t>
      </w:r>
      <w:r>
        <w:rPr>
          <w:color w:val="231F20"/>
          <w:w w:val="105"/>
        </w:rPr>
        <w:t>relaciones</w:t>
      </w:r>
      <w:r>
        <w:rPr>
          <w:color w:val="231F20"/>
          <w:spacing w:val="-14"/>
          <w:w w:val="105"/>
        </w:rPr>
        <w:t> </w:t>
      </w:r>
      <w:r>
        <w:rPr>
          <w:color w:val="231F20"/>
          <w:w w:val="105"/>
        </w:rPr>
        <w:t>políti- cas</w:t>
      </w:r>
      <w:r>
        <w:rPr>
          <w:color w:val="231F20"/>
          <w:spacing w:val="-21"/>
          <w:w w:val="105"/>
        </w:rPr>
        <w:t> </w:t>
      </w:r>
      <w:r>
        <w:rPr>
          <w:color w:val="231F20"/>
          <w:w w:val="105"/>
        </w:rPr>
        <w:t>con</w:t>
      </w:r>
      <w:r>
        <w:rPr>
          <w:color w:val="231F20"/>
          <w:spacing w:val="-21"/>
          <w:w w:val="105"/>
        </w:rPr>
        <w:t> </w:t>
      </w:r>
      <w:r>
        <w:rPr>
          <w:color w:val="231F20"/>
          <w:w w:val="105"/>
        </w:rPr>
        <w:t>su</w:t>
      </w:r>
      <w:r>
        <w:rPr>
          <w:color w:val="231F20"/>
          <w:spacing w:val="-21"/>
          <w:w w:val="105"/>
        </w:rPr>
        <w:t> </w:t>
      </w:r>
      <w:r>
        <w:rPr>
          <w:color w:val="231F20"/>
          <w:w w:val="105"/>
        </w:rPr>
        <w:t>partido</w:t>
      </w:r>
      <w:r>
        <w:rPr>
          <w:color w:val="231F20"/>
          <w:spacing w:val="-21"/>
          <w:w w:val="105"/>
        </w:rPr>
        <w:t> </w:t>
      </w:r>
      <w:r>
        <w:rPr>
          <w:color w:val="231F20"/>
          <w:w w:val="105"/>
        </w:rPr>
        <w:t>a</w:t>
      </w:r>
      <w:r>
        <w:rPr>
          <w:color w:val="231F20"/>
          <w:spacing w:val="-21"/>
          <w:w w:val="105"/>
        </w:rPr>
        <w:t> </w:t>
      </w:r>
      <w:r>
        <w:rPr>
          <w:color w:val="231F20"/>
          <w:w w:val="105"/>
        </w:rPr>
        <w:t>nivel</w:t>
      </w:r>
      <w:r>
        <w:rPr>
          <w:color w:val="231F20"/>
          <w:spacing w:val="-21"/>
          <w:w w:val="105"/>
        </w:rPr>
        <w:t> </w:t>
      </w:r>
      <w:r>
        <w:rPr>
          <w:color w:val="231F20"/>
          <w:w w:val="105"/>
        </w:rPr>
        <w:t>estatal</w:t>
      </w:r>
      <w:r>
        <w:rPr>
          <w:color w:val="231F20"/>
          <w:spacing w:val="-21"/>
          <w:w w:val="105"/>
        </w:rPr>
        <w:t> </w:t>
      </w:r>
      <w:r>
        <w:rPr>
          <w:color w:val="231F20"/>
          <w:w w:val="105"/>
        </w:rPr>
        <w:t>y</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w w:val="105"/>
        </w:rPr>
        <w:t>liderazgos</w:t>
      </w:r>
      <w:r>
        <w:rPr>
          <w:color w:val="231F20"/>
          <w:spacing w:val="-21"/>
          <w:w w:val="105"/>
        </w:rPr>
        <w:t> </w:t>
      </w:r>
      <w:r>
        <w:rPr>
          <w:color w:val="231F20"/>
          <w:w w:val="105"/>
        </w:rPr>
        <w:t>partidistas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municipio,</w:t>
      </w:r>
      <w:r>
        <w:rPr>
          <w:color w:val="231F20"/>
          <w:spacing w:val="-21"/>
          <w:w w:val="105"/>
        </w:rPr>
        <w:t> </w:t>
      </w:r>
      <w:r>
        <w:rPr>
          <w:color w:val="231F20"/>
          <w:w w:val="105"/>
        </w:rPr>
        <w:t>mismas que</w:t>
      </w:r>
      <w:r>
        <w:rPr>
          <w:color w:val="231F20"/>
          <w:spacing w:val="-10"/>
          <w:w w:val="105"/>
        </w:rPr>
        <w:t> </w:t>
      </w:r>
      <w:r>
        <w:rPr>
          <w:color w:val="231F20"/>
          <w:w w:val="105"/>
        </w:rPr>
        <w:t>le</w:t>
      </w:r>
      <w:r>
        <w:rPr>
          <w:color w:val="231F20"/>
          <w:spacing w:val="-10"/>
          <w:w w:val="105"/>
        </w:rPr>
        <w:t> </w:t>
      </w:r>
      <w:r>
        <w:rPr>
          <w:color w:val="231F20"/>
          <w:w w:val="105"/>
        </w:rPr>
        <w:t>permitieron</w:t>
      </w:r>
      <w:r>
        <w:rPr>
          <w:color w:val="231F20"/>
          <w:spacing w:val="-10"/>
          <w:w w:val="105"/>
        </w:rPr>
        <w:t> </w:t>
      </w:r>
      <w:r>
        <w:rPr>
          <w:color w:val="231F20"/>
          <w:w w:val="105"/>
        </w:rPr>
        <w:t>lograr</w:t>
      </w:r>
      <w:r>
        <w:rPr>
          <w:color w:val="231F20"/>
          <w:spacing w:val="-10"/>
          <w:w w:val="105"/>
        </w:rPr>
        <w:t> </w:t>
      </w:r>
      <w:r>
        <w:rPr>
          <w:color w:val="231F20"/>
          <w:w w:val="105"/>
        </w:rPr>
        <w:t>la</w:t>
      </w:r>
      <w:r>
        <w:rPr>
          <w:color w:val="231F20"/>
          <w:spacing w:val="-10"/>
          <w:w w:val="105"/>
        </w:rPr>
        <w:t> </w:t>
      </w:r>
      <w:r>
        <w:rPr>
          <w:color w:val="231F20"/>
          <w:w w:val="105"/>
        </w:rPr>
        <w:t>postulación</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partido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presidencia</w:t>
      </w:r>
      <w:r>
        <w:rPr>
          <w:color w:val="231F20"/>
          <w:spacing w:val="-10"/>
          <w:w w:val="105"/>
        </w:rPr>
        <w:t> </w:t>
      </w:r>
      <w:r>
        <w:rPr>
          <w:color w:val="231F20"/>
          <w:w w:val="105"/>
        </w:rPr>
        <w:t>municipal.</w:t>
      </w:r>
    </w:p>
    <w:p>
      <w:pPr>
        <w:pStyle w:val="BodyText"/>
        <w:spacing w:before="9"/>
      </w:pPr>
    </w:p>
    <w:p>
      <w:pPr>
        <w:pStyle w:val="Heading3"/>
        <w:numPr>
          <w:ilvl w:val="0"/>
          <w:numId w:val="2"/>
        </w:numPr>
        <w:tabs>
          <w:tab w:pos="536" w:val="left" w:leader="none"/>
        </w:tabs>
        <w:spacing w:line="240" w:lineRule="auto" w:before="0" w:after="0"/>
        <w:ind w:left="535" w:right="0" w:hanging="425"/>
        <w:jc w:val="both"/>
      </w:pPr>
      <w:r>
        <w:rPr>
          <w:color w:val="231F20"/>
          <w:spacing w:val="-3"/>
          <w:w w:val="105"/>
        </w:rPr>
        <w:t>Conclusiones</w:t>
      </w:r>
    </w:p>
    <w:p>
      <w:pPr>
        <w:pStyle w:val="BodyText"/>
        <w:spacing w:line="285" w:lineRule="auto" w:before="38"/>
        <w:ind w:left="110" w:right="108"/>
        <w:jc w:val="both"/>
      </w:pPr>
      <w:r>
        <w:rPr/>
        <w:pict>
          <v:line style="position:absolute;mso-position-horizontal-relative:page;mso-position-vertical-relative:paragraph;z-index:6088;mso-wrap-distance-left:0;mso-wrap-distance-right:0" from="42.519699pt,112.169243pt" to="114.519699pt,112.169243pt" stroked="true" strokeweight="1pt" strokecolor="#231f20">
            <w10:wrap type="topAndBottom"/>
          </v:line>
        </w:pict>
      </w:r>
      <w:r>
        <w:rPr>
          <w:color w:val="231F20"/>
          <w:w w:val="105"/>
        </w:rPr>
        <w:t>Huixquilucan</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ha</w:t>
      </w:r>
      <w:r>
        <w:rPr>
          <w:color w:val="231F20"/>
          <w:spacing w:val="-5"/>
          <w:w w:val="105"/>
        </w:rPr>
        <w:t> </w:t>
      </w:r>
      <w:r>
        <w:rPr>
          <w:color w:val="231F20"/>
          <w:w w:val="105"/>
        </w:rPr>
        <w:t>registrado</w:t>
      </w:r>
      <w:r>
        <w:rPr>
          <w:color w:val="231F20"/>
          <w:spacing w:val="-5"/>
          <w:w w:val="105"/>
        </w:rPr>
        <w:t> </w:t>
      </w:r>
      <w:r>
        <w:rPr>
          <w:color w:val="231F20"/>
          <w:w w:val="105"/>
        </w:rPr>
        <w:t>el</w:t>
      </w:r>
      <w:r>
        <w:rPr>
          <w:color w:val="231F20"/>
          <w:spacing w:val="-5"/>
          <w:w w:val="105"/>
        </w:rPr>
        <w:t> </w:t>
      </w:r>
      <w:r>
        <w:rPr>
          <w:color w:val="231F20"/>
          <w:w w:val="105"/>
        </w:rPr>
        <w:t>mayor</w:t>
      </w:r>
      <w:r>
        <w:rPr>
          <w:color w:val="231F20"/>
          <w:spacing w:val="-5"/>
          <w:w w:val="105"/>
        </w:rPr>
        <w:t> </w:t>
      </w:r>
      <w:r>
        <w:rPr>
          <w:color w:val="231F20"/>
          <w:w w:val="105"/>
        </w:rPr>
        <w:t>nivel</w:t>
      </w:r>
      <w:r>
        <w:rPr>
          <w:color w:val="231F20"/>
          <w:spacing w:val="-5"/>
          <w:w w:val="105"/>
        </w:rPr>
        <w:t> </w:t>
      </w:r>
      <w:r>
        <w:rPr>
          <w:color w:val="231F20"/>
          <w:w w:val="105"/>
        </w:rPr>
        <w:t>de</w:t>
      </w:r>
      <w:r>
        <w:rPr>
          <w:color w:val="231F20"/>
          <w:spacing w:val="-5"/>
          <w:w w:val="105"/>
        </w:rPr>
        <w:t> </w:t>
      </w:r>
      <w:r>
        <w:rPr>
          <w:color w:val="231F20"/>
          <w:w w:val="105"/>
        </w:rPr>
        <w:t>ingresos</w:t>
      </w:r>
      <w:r>
        <w:rPr>
          <w:color w:val="231F20"/>
          <w:spacing w:val="-5"/>
          <w:w w:val="105"/>
        </w:rPr>
        <w:t> </w:t>
      </w:r>
      <w:r>
        <w:rPr>
          <w:color w:val="231F20"/>
          <w:w w:val="105"/>
        </w:rPr>
        <w:t>per cápita</w:t>
      </w:r>
      <w:r>
        <w:rPr>
          <w:color w:val="231F20"/>
          <w:spacing w:val="-6"/>
          <w:w w:val="105"/>
        </w:rPr>
        <w:t> </w:t>
      </w:r>
      <w:r>
        <w:rPr>
          <w:color w:val="231F20"/>
          <w:w w:val="105"/>
        </w:rPr>
        <w:t>anual</w:t>
      </w:r>
      <w:r>
        <w:rPr>
          <w:color w:val="231F20"/>
          <w:spacing w:val="-6"/>
          <w:w w:val="105"/>
        </w:rPr>
        <w:t> </w:t>
      </w:r>
      <w:r>
        <w:rPr>
          <w:color w:val="231F20"/>
          <w:w w:val="105"/>
        </w:rPr>
        <w:t>dentro</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esto</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logrado</w:t>
      </w:r>
      <w:r>
        <w:rPr>
          <w:color w:val="231F20"/>
          <w:spacing w:val="-6"/>
          <w:w w:val="105"/>
        </w:rPr>
        <w:t> </w:t>
      </w:r>
      <w:r>
        <w:rPr>
          <w:color w:val="231F20"/>
          <w:spacing w:val="2"/>
          <w:w w:val="105"/>
        </w:rPr>
        <w:t>canalizar </w:t>
      </w:r>
      <w:r>
        <w:rPr>
          <w:color w:val="231F20"/>
          <w:w w:val="105"/>
        </w:rPr>
        <w:t>en un mejor desarrollo de sus habitantes. Aparentemente, el gobierno local comparte los</w:t>
      </w:r>
      <w:r>
        <w:rPr>
          <w:color w:val="231F20"/>
          <w:spacing w:val="-27"/>
          <w:w w:val="105"/>
        </w:rPr>
        <w:t> </w:t>
      </w:r>
      <w:r>
        <w:rPr>
          <w:color w:val="231F20"/>
          <w:w w:val="105"/>
        </w:rPr>
        <w:t>problemas</w:t>
      </w:r>
      <w:r>
        <w:rPr>
          <w:color w:val="231F20"/>
          <w:spacing w:val="-27"/>
          <w:w w:val="105"/>
        </w:rPr>
        <w:t> </w:t>
      </w:r>
      <w:r>
        <w:rPr>
          <w:color w:val="231F20"/>
          <w:w w:val="105"/>
        </w:rPr>
        <w:t>de</w:t>
      </w:r>
      <w:r>
        <w:rPr>
          <w:color w:val="231F20"/>
          <w:spacing w:val="-27"/>
          <w:w w:val="105"/>
        </w:rPr>
        <w:t> </w:t>
      </w:r>
      <w:r>
        <w:rPr>
          <w:color w:val="231F20"/>
          <w:w w:val="105"/>
        </w:rPr>
        <w:t>“debilidad</w:t>
      </w:r>
      <w:r>
        <w:rPr>
          <w:color w:val="231F20"/>
          <w:spacing w:val="-27"/>
          <w:w w:val="105"/>
        </w:rPr>
        <w:t> </w:t>
      </w:r>
      <w:r>
        <w:rPr>
          <w:color w:val="231F20"/>
          <w:w w:val="105"/>
        </w:rPr>
        <w:t>institucional,</w:t>
      </w:r>
      <w:r>
        <w:rPr>
          <w:color w:val="231F20"/>
          <w:spacing w:val="-27"/>
          <w:w w:val="105"/>
        </w:rPr>
        <w:t> </w:t>
      </w:r>
      <w:r>
        <w:rPr>
          <w:color w:val="231F20"/>
          <w:w w:val="105"/>
        </w:rPr>
        <w:t>carencia</w:t>
      </w:r>
      <w:r>
        <w:rPr>
          <w:color w:val="231F20"/>
          <w:spacing w:val="-27"/>
          <w:w w:val="105"/>
        </w:rPr>
        <w:t> </w:t>
      </w:r>
      <w:r>
        <w:rPr>
          <w:color w:val="231F20"/>
          <w:w w:val="105"/>
        </w:rPr>
        <w:t>de</w:t>
      </w:r>
      <w:r>
        <w:rPr>
          <w:color w:val="231F20"/>
          <w:spacing w:val="-27"/>
          <w:w w:val="105"/>
        </w:rPr>
        <w:t> </w:t>
      </w:r>
      <w:r>
        <w:rPr>
          <w:color w:val="231F20"/>
          <w:w w:val="105"/>
        </w:rPr>
        <w:t>recursos</w:t>
      </w:r>
      <w:r>
        <w:rPr>
          <w:color w:val="231F20"/>
          <w:spacing w:val="-27"/>
          <w:w w:val="105"/>
        </w:rPr>
        <w:t> </w:t>
      </w:r>
      <w:r>
        <w:rPr>
          <w:color w:val="231F20"/>
          <w:w w:val="105"/>
        </w:rPr>
        <w:t>económicos,</w:t>
      </w:r>
      <w:r>
        <w:rPr>
          <w:color w:val="231F20"/>
          <w:spacing w:val="-27"/>
          <w:w w:val="105"/>
        </w:rPr>
        <w:t> </w:t>
      </w:r>
      <w:r>
        <w:rPr>
          <w:color w:val="231F20"/>
          <w:w w:val="105"/>
        </w:rPr>
        <w:t>la</w:t>
      </w:r>
      <w:r>
        <w:rPr>
          <w:color w:val="231F20"/>
          <w:spacing w:val="-27"/>
          <w:w w:val="105"/>
        </w:rPr>
        <w:t> </w:t>
      </w:r>
      <w:r>
        <w:rPr>
          <w:color w:val="231F20"/>
          <w:w w:val="105"/>
        </w:rPr>
        <w:t>fragilidad de sus estructuras administrativas y la ausencia de recursos humanos profesionales y suficientemente</w:t>
      </w:r>
      <w:r>
        <w:rPr>
          <w:color w:val="231F20"/>
          <w:spacing w:val="-16"/>
          <w:w w:val="105"/>
        </w:rPr>
        <w:t> </w:t>
      </w:r>
      <w:r>
        <w:rPr>
          <w:color w:val="231F20"/>
          <w:w w:val="105"/>
        </w:rPr>
        <w:t>capacitados</w:t>
      </w:r>
      <w:r>
        <w:rPr>
          <w:color w:val="231F20"/>
          <w:spacing w:val="-16"/>
          <w:w w:val="105"/>
        </w:rPr>
        <w:t> </w:t>
      </w:r>
      <w:r>
        <w:rPr>
          <w:color w:val="231F20"/>
          <w:w w:val="105"/>
        </w:rPr>
        <w:t>para</w:t>
      </w:r>
      <w:r>
        <w:rPr>
          <w:color w:val="231F20"/>
          <w:spacing w:val="-16"/>
          <w:w w:val="105"/>
        </w:rPr>
        <w:t> </w:t>
      </w:r>
      <w:r>
        <w:rPr>
          <w:color w:val="231F20"/>
          <w:w w:val="105"/>
        </w:rPr>
        <w:t>la</w:t>
      </w:r>
      <w:r>
        <w:rPr>
          <w:color w:val="231F20"/>
          <w:spacing w:val="-16"/>
          <w:w w:val="105"/>
        </w:rPr>
        <w:t> </w:t>
      </w:r>
      <w:r>
        <w:rPr>
          <w:color w:val="231F20"/>
          <w:w w:val="105"/>
        </w:rPr>
        <w:t>función</w:t>
      </w:r>
      <w:r>
        <w:rPr>
          <w:color w:val="231F20"/>
          <w:spacing w:val="-16"/>
          <w:w w:val="105"/>
        </w:rPr>
        <w:t> </w:t>
      </w:r>
      <w:r>
        <w:rPr>
          <w:color w:val="231F20"/>
          <w:w w:val="105"/>
        </w:rPr>
        <w:t>pública”</w:t>
      </w:r>
      <w:r>
        <w:rPr>
          <w:color w:val="231F20"/>
          <w:spacing w:val="-16"/>
          <w:w w:val="105"/>
        </w:rPr>
        <w:t> </w:t>
      </w:r>
      <w:r>
        <w:rPr>
          <w:color w:val="231F20"/>
          <w:spacing w:val="-3"/>
          <w:w w:val="105"/>
        </w:rPr>
        <w:t>(Cabrero,</w:t>
      </w:r>
      <w:r>
        <w:rPr>
          <w:color w:val="231F20"/>
          <w:spacing w:val="-16"/>
          <w:w w:val="105"/>
        </w:rPr>
        <w:t> </w:t>
      </w:r>
      <w:r>
        <w:rPr>
          <w:color w:val="231F20"/>
          <w:spacing w:val="4"/>
          <w:w w:val="105"/>
        </w:rPr>
        <w:t>2000:</w:t>
      </w:r>
      <w:r>
        <w:rPr>
          <w:color w:val="231F20"/>
          <w:spacing w:val="-16"/>
          <w:w w:val="105"/>
        </w:rPr>
        <w:t> </w:t>
      </w:r>
      <w:r>
        <w:rPr>
          <w:color w:val="231F20"/>
          <w:spacing w:val="-4"/>
          <w:w w:val="105"/>
        </w:rPr>
        <w:t>9)</w:t>
      </w:r>
      <w:r>
        <w:rPr>
          <w:color w:val="231F20"/>
          <w:spacing w:val="-16"/>
          <w:w w:val="105"/>
        </w:rPr>
        <w:t> </w:t>
      </w:r>
      <w:r>
        <w:rPr>
          <w:color w:val="231F20"/>
          <w:w w:val="105"/>
        </w:rPr>
        <w:t>que</w:t>
      </w:r>
      <w:r>
        <w:rPr>
          <w:color w:val="231F20"/>
          <w:spacing w:val="-16"/>
          <w:w w:val="105"/>
        </w:rPr>
        <w:t> </w:t>
      </w:r>
      <w:r>
        <w:rPr>
          <w:color w:val="231F20"/>
          <w:w w:val="105"/>
        </w:rPr>
        <w:t>también</w:t>
      </w:r>
      <w:r>
        <w:rPr>
          <w:color w:val="231F20"/>
          <w:spacing w:val="-16"/>
          <w:w w:val="105"/>
        </w:rPr>
        <w:t> </w:t>
      </w:r>
      <w:r>
        <w:rPr>
          <w:color w:val="231F20"/>
          <w:w w:val="105"/>
        </w:rPr>
        <w:t>se han</w:t>
      </w:r>
      <w:r>
        <w:rPr>
          <w:color w:val="231F20"/>
          <w:spacing w:val="-13"/>
          <w:w w:val="105"/>
        </w:rPr>
        <w:t> </w:t>
      </w:r>
      <w:r>
        <w:rPr>
          <w:color w:val="231F20"/>
          <w:w w:val="105"/>
        </w:rPr>
        <w:t>observado</w:t>
      </w:r>
      <w:r>
        <w:rPr>
          <w:color w:val="231F20"/>
          <w:spacing w:val="-13"/>
          <w:w w:val="105"/>
        </w:rPr>
        <w:t> </w:t>
      </w:r>
      <w:r>
        <w:rPr>
          <w:color w:val="231F20"/>
          <w:w w:val="105"/>
        </w:rPr>
        <w:t>en</w:t>
      </w:r>
      <w:r>
        <w:rPr>
          <w:color w:val="231F20"/>
          <w:spacing w:val="-13"/>
          <w:w w:val="105"/>
        </w:rPr>
        <w:t> </w:t>
      </w:r>
      <w:r>
        <w:rPr>
          <w:color w:val="231F20"/>
          <w:w w:val="105"/>
        </w:rPr>
        <w:t>otras</w:t>
      </w:r>
      <w:r>
        <w:rPr>
          <w:color w:val="231F20"/>
          <w:spacing w:val="-13"/>
          <w:w w:val="105"/>
        </w:rPr>
        <w:t> </w:t>
      </w:r>
      <w:r>
        <w:rPr>
          <w:color w:val="231F20"/>
          <w:w w:val="105"/>
        </w:rPr>
        <w:t>regiones</w:t>
      </w:r>
      <w:r>
        <w:rPr>
          <w:color w:val="231F20"/>
          <w:spacing w:val="-13"/>
          <w:w w:val="105"/>
        </w:rPr>
        <w:t> </w:t>
      </w:r>
      <w:r>
        <w:rPr>
          <w:color w:val="231F20"/>
          <w:w w:val="105"/>
        </w:rPr>
        <w:t>a</w:t>
      </w:r>
      <w:r>
        <w:rPr>
          <w:color w:val="231F20"/>
          <w:spacing w:val="-13"/>
          <w:w w:val="105"/>
        </w:rPr>
        <w:t> </w:t>
      </w:r>
      <w:r>
        <w:rPr>
          <w:color w:val="231F20"/>
          <w:w w:val="105"/>
        </w:rPr>
        <w:t>nivel</w:t>
      </w:r>
      <w:r>
        <w:rPr>
          <w:color w:val="231F20"/>
          <w:spacing w:val="-13"/>
          <w:w w:val="105"/>
        </w:rPr>
        <w:t> </w:t>
      </w:r>
      <w:r>
        <w:rPr>
          <w:color w:val="231F20"/>
          <w:w w:val="105"/>
        </w:rPr>
        <w:t>nacional.</w:t>
      </w:r>
    </w:p>
    <w:p>
      <w:pPr>
        <w:pStyle w:val="ListParagraph"/>
        <w:numPr>
          <w:ilvl w:val="0"/>
          <w:numId w:val="4"/>
        </w:numPr>
        <w:tabs>
          <w:tab w:pos="316" w:val="left" w:leader="none"/>
        </w:tabs>
        <w:spacing w:line="244" w:lineRule="auto" w:before="8" w:after="0"/>
        <w:ind w:left="110" w:right="107" w:firstLine="0"/>
        <w:jc w:val="left"/>
        <w:rPr>
          <w:sz w:val="16"/>
        </w:rPr>
      </w:pPr>
      <w:r>
        <w:rPr>
          <w:color w:val="231F20"/>
          <w:sz w:val="16"/>
        </w:rPr>
        <w:t>Presentación personal de Adrián Fuentes Villalobos en la página del gobierno municipal de Huixquilucan, Estado de </w:t>
      </w:r>
      <w:r>
        <w:rPr>
          <w:color w:val="231F20"/>
          <w:w w:val="95"/>
          <w:sz w:val="16"/>
        </w:rPr>
        <w:t>México (FUENTES,</w:t>
      </w:r>
      <w:r>
        <w:rPr>
          <w:color w:val="231F20"/>
          <w:spacing w:val="12"/>
          <w:w w:val="95"/>
          <w:sz w:val="16"/>
        </w:rPr>
        <w:t> </w:t>
      </w:r>
      <w:r>
        <w:rPr>
          <w:color w:val="231F20"/>
          <w:w w:val="95"/>
          <w:sz w:val="16"/>
        </w:rPr>
        <w:t>2008b).</w:t>
      </w:r>
    </w:p>
    <w:p>
      <w:pPr>
        <w:spacing w:after="0" w:line="244" w:lineRule="auto"/>
        <w:jc w:val="left"/>
        <w:rPr>
          <w:sz w:val="16"/>
        </w:rPr>
        <w:sectPr>
          <w:footerReference w:type="default" r:id="rId132"/>
          <w:pgSz w:w="9640" w:h="12190"/>
          <w:pgMar w:footer="743" w:header="0" w:top="1120" w:bottom="940" w:left="740" w:right="740"/>
          <w:pgNumType w:start="72"/>
        </w:sectPr>
      </w:pPr>
    </w:p>
    <w:p>
      <w:pPr>
        <w:pStyle w:val="BodyText"/>
        <w:spacing w:before="8"/>
        <w:rPr>
          <w:rFonts w:ascii="Calibri"/>
          <w:sz w:val="10"/>
        </w:rPr>
      </w:pPr>
    </w:p>
    <w:p>
      <w:pPr>
        <w:pStyle w:val="BodyText"/>
        <w:spacing w:line="285" w:lineRule="auto" w:before="35"/>
        <w:ind w:left="110" w:right="108"/>
        <w:jc w:val="both"/>
      </w:pPr>
      <w:r>
        <w:rPr>
          <w:color w:val="231F20"/>
          <w:w w:val="105"/>
        </w:rPr>
        <w:t>A </w:t>
      </w:r>
      <w:r>
        <w:rPr>
          <w:color w:val="231F20"/>
          <w:spacing w:val="2"/>
          <w:w w:val="105"/>
        </w:rPr>
        <w:t>partir </w:t>
      </w:r>
      <w:r>
        <w:rPr>
          <w:color w:val="231F20"/>
          <w:w w:val="105"/>
        </w:rPr>
        <w:t>de los datos anteriores se concluye que uno de los obstáculos que se experi- mentan en el </w:t>
      </w:r>
      <w:r>
        <w:rPr>
          <w:color w:val="231F20"/>
          <w:spacing w:val="-3"/>
          <w:w w:val="105"/>
        </w:rPr>
        <w:t>fomento </w:t>
      </w:r>
      <w:r>
        <w:rPr>
          <w:color w:val="231F20"/>
          <w:w w:val="105"/>
        </w:rPr>
        <w:t>del desarrollo democrático del gobierno huixquiluquense radi- ca en la enorme centralización y personalización de la toma de decisiones dentro del ayuntamiento</w:t>
      </w:r>
      <w:r>
        <w:rPr>
          <w:color w:val="231F20"/>
          <w:spacing w:val="-7"/>
          <w:w w:val="105"/>
        </w:rPr>
        <w:t> </w:t>
      </w:r>
      <w:r>
        <w:rPr>
          <w:color w:val="231F20"/>
          <w:w w:val="105"/>
        </w:rPr>
        <w:t>en</w:t>
      </w:r>
      <w:r>
        <w:rPr>
          <w:color w:val="231F20"/>
          <w:spacing w:val="-7"/>
          <w:w w:val="105"/>
        </w:rPr>
        <w:t> </w:t>
      </w:r>
      <w:r>
        <w:rPr>
          <w:color w:val="231F20"/>
          <w:w w:val="105"/>
        </w:rPr>
        <w:t>torno</w:t>
      </w:r>
      <w:r>
        <w:rPr>
          <w:color w:val="231F20"/>
          <w:spacing w:val="-7"/>
          <w:w w:val="105"/>
        </w:rPr>
        <w:t> </w:t>
      </w:r>
      <w:r>
        <w:rPr>
          <w:color w:val="231F20"/>
          <w:w w:val="105"/>
        </w:rPr>
        <w:t>del</w:t>
      </w:r>
      <w:r>
        <w:rPr>
          <w:color w:val="231F20"/>
          <w:spacing w:val="-7"/>
          <w:w w:val="105"/>
        </w:rPr>
        <w:t> </w:t>
      </w:r>
      <w:r>
        <w:rPr>
          <w:color w:val="231F20"/>
          <w:w w:val="105"/>
        </w:rPr>
        <w:t>presidente</w:t>
      </w:r>
      <w:r>
        <w:rPr>
          <w:color w:val="231F20"/>
          <w:spacing w:val="-7"/>
          <w:w w:val="105"/>
        </w:rPr>
        <w:t> </w:t>
      </w:r>
      <w:r>
        <w:rPr>
          <w:color w:val="231F20"/>
          <w:w w:val="105"/>
        </w:rPr>
        <w:t>municipal.</w:t>
      </w:r>
      <w:r>
        <w:rPr>
          <w:color w:val="231F20"/>
          <w:spacing w:val="-7"/>
          <w:w w:val="105"/>
        </w:rPr>
        <w:t> </w:t>
      </w:r>
      <w:r>
        <w:rPr>
          <w:color w:val="231F20"/>
          <w:w w:val="105"/>
        </w:rPr>
        <w:t>Esto</w:t>
      </w:r>
      <w:r>
        <w:rPr>
          <w:color w:val="231F20"/>
          <w:spacing w:val="-7"/>
          <w:w w:val="105"/>
        </w:rPr>
        <w:t> </w:t>
      </w:r>
      <w:r>
        <w:rPr>
          <w:color w:val="231F20"/>
          <w:w w:val="105"/>
        </w:rPr>
        <w:t>es</w:t>
      </w:r>
      <w:r>
        <w:rPr>
          <w:color w:val="231F20"/>
          <w:spacing w:val="-7"/>
          <w:w w:val="105"/>
        </w:rPr>
        <w:t> </w:t>
      </w:r>
      <w:r>
        <w:rPr>
          <w:color w:val="231F20"/>
          <w:w w:val="105"/>
        </w:rPr>
        <w:t>consecuencia</w:t>
      </w:r>
      <w:r>
        <w:rPr>
          <w:color w:val="231F20"/>
          <w:spacing w:val="-7"/>
          <w:w w:val="105"/>
        </w:rPr>
        <w:t> </w:t>
      </w:r>
      <w:r>
        <w:rPr>
          <w:color w:val="231F20"/>
          <w:w w:val="105"/>
        </w:rPr>
        <w:t>de</w:t>
      </w:r>
      <w:r>
        <w:rPr>
          <w:color w:val="231F20"/>
          <w:spacing w:val="-7"/>
          <w:w w:val="105"/>
        </w:rPr>
        <w:t> </w:t>
      </w:r>
      <w:r>
        <w:rPr>
          <w:color w:val="231F20"/>
          <w:w w:val="105"/>
        </w:rPr>
        <w:t>dos</w:t>
      </w:r>
      <w:r>
        <w:rPr>
          <w:color w:val="231F20"/>
          <w:spacing w:val="-7"/>
          <w:w w:val="105"/>
        </w:rPr>
        <w:t> </w:t>
      </w:r>
      <w:r>
        <w:rPr>
          <w:color w:val="231F20"/>
          <w:w w:val="105"/>
        </w:rPr>
        <w:t>aspectos principales: uno radica en la sobrerrepresentación del partido ganador en los comicios electorales</w:t>
      </w:r>
      <w:r>
        <w:rPr>
          <w:color w:val="231F20"/>
          <w:spacing w:val="-14"/>
          <w:w w:val="105"/>
        </w:rPr>
        <w:t> </w:t>
      </w:r>
      <w:r>
        <w:rPr>
          <w:color w:val="231F20"/>
          <w:w w:val="105"/>
        </w:rPr>
        <w:t>y</w:t>
      </w:r>
      <w:r>
        <w:rPr>
          <w:color w:val="231F20"/>
          <w:spacing w:val="-14"/>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producida</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marco</w:t>
      </w:r>
      <w:r>
        <w:rPr>
          <w:color w:val="231F20"/>
          <w:spacing w:val="-14"/>
          <w:w w:val="105"/>
        </w:rPr>
        <w:t> </w:t>
      </w:r>
      <w:r>
        <w:rPr>
          <w:color w:val="231F20"/>
          <w:w w:val="105"/>
        </w:rPr>
        <w:t>institucional</w:t>
      </w:r>
      <w:r>
        <w:rPr>
          <w:color w:val="231F20"/>
          <w:spacing w:val="-14"/>
          <w:w w:val="105"/>
        </w:rPr>
        <w:t> </w:t>
      </w:r>
      <w:r>
        <w:rPr>
          <w:color w:val="231F20"/>
          <w:w w:val="105"/>
        </w:rPr>
        <w:t>para</w:t>
      </w:r>
      <w:r>
        <w:rPr>
          <w:color w:val="231F20"/>
          <w:spacing w:val="-14"/>
          <w:w w:val="105"/>
        </w:rPr>
        <w:t> </w:t>
      </w:r>
      <w:r>
        <w:rPr>
          <w:color w:val="231F20"/>
          <w:w w:val="105"/>
        </w:rPr>
        <w:t>la</w:t>
      </w:r>
      <w:r>
        <w:rPr>
          <w:color w:val="231F20"/>
          <w:spacing w:val="-14"/>
          <w:w w:val="105"/>
        </w:rPr>
        <w:t> </w:t>
      </w:r>
      <w:r>
        <w:rPr>
          <w:color w:val="231F20"/>
          <w:w w:val="105"/>
        </w:rPr>
        <w:t>integración</w:t>
      </w:r>
      <w:r>
        <w:rPr>
          <w:color w:val="231F20"/>
          <w:spacing w:val="-14"/>
          <w:w w:val="105"/>
        </w:rPr>
        <w:t> </w:t>
      </w:r>
      <w:r>
        <w:rPr>
          <w:color w:val="231F20"/>
          <w:w w:val="105"/>
        </w:rPr>
        <w:t>del</w:t>
      </w:r>
      <w:r>
        <w:rPr>
          <w:color w:val="231F20"/>
          <w:spacing w:val="-14"/>
          <w:w w:val="105"/>
        </w:rPr>
        <w:t> </w:t>
      </w:r>
      <w:r>
        <w:rPr>
          <w:color w:val="231F20"/>
          <w:w w:val="105"/>
        </w:rPr>
        <w:t>ayunta- miento</w:t>
      </w:r>
      <w:r>
        <w:rPr>
          <w:color w:val="231F20"/>
          <w:spacing w:val="-23"/>
          <w:w w:val="105"/>
        </w:rPr>
        <w:t> </w:t>
      </w:r>
      <w:r>
        <w:rPr>
          <w:color w:val="231F20"/>
          <w:w w:val="105"/>
        </w:rPr>
        <w:t>y</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APM.</w:t>
      </w:r>
      <w:r>
        <w:rPr>
          <w:color w:val="231F20"/>
          <w:spacing w:val="-23"/>
          <w:w w:val="105"/>
        </w:rPr>
        <w:t> </w:t>
      </w:r>
      <w:r>
        <w:rPr>
          <w:color w:val="231F20"/>
          <w:w w:val="105"/>
        </w:rPr>
        <w:t>El</w:t>
      </w:r>
      <w:r>
        <w:rPr>
          <w:color w:val="231F20"/>
          <w:spacing w:val="-23"/>
          <w:w w:val="105"/>
        </w:rPr>
        <w:t> </w:t>
      </w:r>
      <w:r>
        <w:rPr>
          <w:color w:val="231F20"/>
          <w:w w:val="105"/>
        </w:rPr>
        <w:t>otro</w:t>
      </w:r>
      <w:r>
        <w:rPr>
          <w:color w:val="231F20"/>
          <w:spacing w:val="-23"/>
          <w:w w:val="105"/>
        </w:rPr>
        <w:t> </w:t>
      </w:r>
      <w:r>
        <w:rPr>
          <w:color w:val="231F20"/>
          <w:w w:val="105"/>
        </w:rPr>
        <w:t>consiste</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forma</w:t>
      </w:r>
      <w:r>
        <w:rPr>
          <w:color w:val="231F20"/>
          <w:spacing w:val="-23"/>
          <w:w w:val="105"/>
        </w:rPr>
        <w:t> </w:t>
      </w:r>
      <w:r>
        <w:rPr>
          <w:color w:val="231F20"/>
          <w:w w:val="105"/>
        </w:rPr>
        <w:t>por</w:t>
      </w:r>
      <w:r>
        <w:rPr>
          <w:color w:val="231F20"/>
          <w:spacing w:val="-23"/>
          <w:w w:val="105"/>
        </w:rPr>
        <w:t> </w:t>
      </w:r>
      <w:r>
        <w:rPr>
          <w:color w:val="231F20"/>
          <w:w w:val="105"/>
        </w:rPr>
        <w:t>la</w:t>
      </w:r>
      <w:r>
        <w:rPr>
          <w:color w:val="231F20"/>
          <w:spacing w:val="-23"/>
          <w:w w:val="105"/>
        </w:rPr>
        <w:t> </w:t>
      </w:r>
      <w:r>
        <w:rPr>
          <w:color w:val="231F20"/>
          <w:w w:val="105"/>
        </w:rPr>
        <w:t>cual</w:t>
      </w:r>
      <w:r>
        <w:rPr>
          <w:color w:val="231F20"/>
          <w:spacing w:val="-23"/>
          <w:w w:val="105"/>
        </w:rPr>
        <w:t> </w:t>
      </w:r>
      <w:r>
        <w:rPr>
          <w:color w:val="231F20"/>
          <w:w w:val="105"/>
        </w:rPr>
        <w:t>son</w:t>
      </w:r>
      <w:r>
        <w:rPr>
          <w:color w:val="231F20"/>
          <w:spacing w:val="-23"/>
          <w:w w:val="105"/>
        </w:rPr>
        <w:t> </w:t>
      </w:r>
      <w:r>
        <w:rPr>
          <w:color w:val="231F20"/>
          <w:w w:val="105"/>
        </w:rPr>
        <w:t>postulados</w:t>
      </w:r>
      <w:r>
        <w:rPr>
          <w:color w:val="231F20"/>
          <w:spacing w:val="-23"/>
          <w:w w:val="105"/>
        </w:rPr>
        <w:t> </w:t>
      </w:r>
      <w:r>
        <w:rPr>
          <w:color w:val="231F20"/>
          <w:w w:val="105"/>
        </w:rPr>
        <w:t>y</w:t>
      </w:r>
      <w:r>
        <w:rPr>
          <w:color w:val="231F20"/>
          <w:spacing w:val="-23"/>
          <w:w w:val="105"/>
        </w:rPr>
        <w:t> </w:t>
      </w:r>
      <w:r>
        <w:rPr>
          <w:color w:val="231F20"/>
          <w:w w:val="105"/>
        </w:rPr>
        <w:t>elegidos</w:t>
      </w:r>
      <w:r>
        <w:rPr>
          <w:color w:val="231F20"/>
          <w:spacing w:val="-23"/>
          <w:w w:val="105"/>
        </w:rPr>
        <w:t> </w:t>
      </w:r>
      <w:r>
        <w:rPr>
          <w:color w:val="231F20"/>
          <w:w w:val="105"/>
        </w:rPr>
        <w:t>los candidatos de cada partido a ocupar los escaños del gobierno municipal; el método de las</w:t>
      </w:r>
      <w:r>
        <w:rPr>
          <w:color w:val="231F20"/>
          <w:spacing w:val="-9"/>
          <w:w w:val="105"/>
        </w:rPr>
        <w:t> </w:t>
      </w:r>
      <w:r>
        <w:rPr>
          <w:color w:val="231F20"/>
          <w:w w:val="105"/>
        </w:rPr>
        <w:t>listas</w:t>
      </w:r>
      <w:r>
        <w:rPr>
          <w:color w:val="231F20"/>
          <w:spacing w:val="-9"/>
          <w:w w:val="105"/>
        </w:rPr>
        <w:t> </w:t>
      </w:r>
      <w:r>
        <w:rPr>
          <w:color w:val="231F20"/>
          <w:w w:val="105"/>
        </w:rPr>
        <w:t>cerradas</w:t>
      </w:r>
      <w:r>
        <w:rPr>
          <w:color w:val="231F20"/>
          <w:spacing w:val="-9"/>
          <w:w w:val="105"/>
        </w:rPr>
        <w:t> </w:t>
      </w:r>
      <w:r>
        <w:rPr>
          <w:color w:val="231F20"/>
          <w:w w:val="105"/>
        </w:rPr>
        <w:t>y</w:t>
      </w:r>
      <w:r>
        <w:rPr>
          <w:color w:val="231F20"/>
          <w:spacing w:val="-9"/>
          <w:w w:val="105"/>
        </w:rPr>
        <w:t> </w:t>
      </w:r>
      <w:r>
        <w:rPr>
          <w:color w:val="231F20"/>
          <w:w w:val="105"/>
        </w:rPr>
        <w:t>bloqueadas</w:t>
      </w:r>
      <w:r>
        <w:rPr>
          <w:color w:val="231F20"/>
          <w:spacing w:val="-9"/>
          <w:w w:val="105"/>
        </w:rPr>
        <w:t> </w:t>
      </w:r>
      <w:r>
        <w:rPr>
          <w:color w:val="231F20"/>
          <w:w w:val="105"/>
        </w:rPr>
        <w:t>fomenta</w:t>
      </w:r>
      <w:r>
        <w:rPr>
          <w:color w:val="231F20"/>
          <w:spacing w:val="-9"/>
          <w:w w:val="105"/>
        </w:rPr>
        <w:t> </w:t>
      </w:r>
      <w:r>
        <w:rPr>
          <w:color w:val="231F20"/>
          <w:w w:val="105"/>
        </w:rPr>
        <w:t>la</w:t>
      </w:r>
      <w:r>
        <w:rPr>
          <w:color w:val="231F20"/>
          <w:spacing w:val="-9"/>
          <w:w w:val="105"/>
        </w:rPr>
        <w:t> </w:t>
      </w:r>
      <w:r>
        <w:rPr>
          <w:color w:val="231F20"/>
          <w:w w:val="105"/>
        </w:rPr>
        <w:t>personalización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postulante</w:t>
      </w:r>
      <w:r>
        <w:rPr>
          <w:color w:val="231F20"/>
          <w:spacing w:val="-9"/>
          <w:w w:val="105"/>
        </w:rPr>
        <w:t> </w:t>
      </w:r>
      <w:r>
        <w:rPr>
          <w:color w:val="231F20"/>
          <w:w w:val="105"/>
        </w:rPr>
        <w:t>a</w:t>
      </w:r>
      <w:r>
        <w:rPr>
          <w:color w:val="231F20"/>
          <w:spacing w:val="-9"/>
          <w:w w:val="105"/>
        </w:rPr>
        <w:t> </w:t>
      </w:r>
      <w:r>
        <w:rPr>
          <w:color w:val="231F20"/>
          <w:w w:val="105"/>
        </w:rPr>
        <w:t>ocupar</w:t>
      </w:r>
      <w:r>
        <w:rPr>
          <w:color w:val="231F20"/>
          <w:spacing w:val="-9"/>
          <w:w w:val="105"/>
        </w:rPr>
        <w:t> </w:t>
      </w:r>
      <w:r>
        <w:rPr>
          <w:color w:val="231F20"/>
          <w:w w:val="105"/>
        </w:rPr>
        <w:t>el cargo</w:t>
      </w:r>
      <w:r>
        <w:rPr>
          <w:color w:val="231F20"/>
          <w:spacing w:val="-20"/>
          <w:w w:val="105"/>
        </w:rPr>
        <w:t> </w:t>
      </w:r>
      <w:r>
        <w:rPr>
          <w:color w:val="231F20"/>
          <w:w w:val="105"/>
        </w:rPr>
        <w:t>del</w:t>
      </w:r>
      <w:r>
        <w:rPr>
          <w:color w:val="231F20"/>
          <w:spacing w:val="-20"/>
          <w:w w:val="105"/>
        </w:rPr>
        <w:t> </w:t>
      </w:r>
      <w:r>
        <w:rPr>
          <w:color w:val="231F20"/>
          <w:w w:val="105"/>
        </w:rPr>
        <w:t>ejecutivo</w:t>
      </w:r>
      <w:r>
        <w:rPr>
          <w:color w:val="231F20"/>
          <w:spacing w:val="-20"/>
          <w:w w:val="105"/>
        </w:rPr>
        <w:t> </w:t>
      </w:r>
      <w:r>
        <w:rPr>
          <w:color w:val="231F20"/>
          <w:w w:val="105"/>
        </w:rPr>
        <w:t>local,</w:t>
      </w:r>
      <w:r>
        <w:rPr>
          <w:color w:val="231F20"/>
          <w:spacing w:val="-20"/>
          <w:w w:val="105"/>
        </w:rPr>
        <w:t> </w:t>
      </w:r>
      <w:r>
        <w:rPr>
          <w:color w:val="231F20"/>
          <w:w w:val="105"/>
        </w:rPr>
        <w:t>mientras</w:t>
      </w:r>
      <w:r>
        <w:rPr>
          <w:color w:val="231F20"/>
          <w:spacing w:val="-20"/>
          <w:w w:val="105"/>
        </w:rPr>
        <w:t> </w:t>
      </w:r>
      <w:r>
        <w:rPr>
          <w:color w:val="231F20"/>
          <w:w w:val="105"/>
        </w:rPr>
        <w:t>que</w:t>
      </w:r>
      <w:r>
        <w:rPr>
          <w:color w:val="231F20"/>
          <w:spacing w:val="-20"/>
          <w:w w:val="105"/>
        </w:rPr>
        <w:t> </w:t>
      </w:r>
      <w:r>
        <w:rPr>
          <w:color w:val="231F20"/>
          <w:w w:val="105"/>
        </w:rPr>
        <w:t>el</w:t>
      </w:r>
      <w:r>
        <w:rPr>
          <w:color w:val="231F20"/>
          <w:spacing w:val="-20"/>
          <w:w w:val="105"/>
        </w:rPr>
        <w:t> </w:t>
      </w:r>
      <w:r>
        <w:rPr>
          <w:color w:val="231F20"/>
          <w:w w:val="105"/>
        </w:rPr>
        <w:t>resto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lista</w:t>
      </w:r>
      <w:r>
        <w:rPr>
          <w:color w:val="231F20"/>
          <w:spacing w:val="-20"/>
          <w:w w:val="105"/>
        </w:rPr>
        <w:t> </w:t>
      </w:r>
      <w:r>
        <w:rPr>
          <w:color w:val="231F20"/>
          <w:w w:val="105"/>
        </w:rPr>
        <w:t>no</w:t>
      </w:r>
      <w:r>
        <w:rPr>
          <w:color w:val="231F20"/>
          <w:spacing w:val="-20"/>
          <w:w w:val="105"/>
        </w:rPr>
        <w:t> </w:t>
      </w:r>
      <w:r>
        <w:rPr>
          <w:color w:val="231F20"/>
          <w:w w:val="105"/>
        </w:rPr>
        <w:t>tiene</w:t>
      </w:r>
      <w:r>
        <w:rPr>
          <w:color w:val="231F20"/>
          <w:spacing w:val="-20"/>
          <w:w w:val="105"/>
        </w:rPr>
        <w:t> </w:t>
      </w:r>
      <w:r>
        <w:rPr>
          <w:color w:val="231F20"/>
          <w:w w:val="105"/>
        </w:rPr>
        <w:t>fuertes</w:t>
      </w:r>
      <w:r>
        <w:rPr>
          <w:color w:val="231F20"/>
          <w:spacing w:val="-20"/>
          <w:w w:val="105"/>
        </w:rPr>
        <w:t> </w:t>
      </w:r>
      <w:r>
        <w:rPr>
          <w:color w:val="231F20"/>
          <w:w w:val="105"/>
        </w:rPr>
        <w:t>incentivos</w:t>
      </w:r>
      <w:r>
        <w:rPr>
          <w:color w:val="231F20"/>
          <w:spacing w:val="-20"/>
          <w:w w:val="105"/>
        </w:rPr>
        <w:t> </w:t>
      </w:r>
      <w:r>
        <w:rPr>
          <w:color w:val="231F20"/>
          <w:w w:val="105"/>
        </w:rPr>
        <w:t>para hacer campaña propia y entonces optan por adherirse </w:t>
      </w:r>
      <w:r>
        <w:rPr>
          <w:color w:val="231F20"/>
          <w:spacing w:val="2"/>
          <w:w w:val="105"/>
        </w:rPr>
        <w:t>al </w:t>
      </w:r>
      <w:r>
        <w:rPr>
          <w:color w:val="231F20"/>
          <w:spacing w:val="-2"/>
          <w:w w:val="105"/>
        </w:rPr>
        <w:t>“tren” </w:t>
      </w:r>
      <w:r>
        <w:rPr>
          <w:color w:val="231F20"/>
          <w:w w:val="105"/>
        </w:rPr>
        <w:t>del primero. A su vez, la</w:t>
      </w:r>
      <w:r>
        <w:rPr>
          <w:color w:val="231F20"/>
          <w:spacing w:val="-12"/>
          <w:w w:val="105"/>
        </w:rPr>
        <w:t> </w:t>
      </w:r>
      <w:r>
        <w:rPr>
          <w:color w:val="231F20"/>
          <w:w w:val="105"/>
        </w:rPr>
        <w:t>influencia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cláusula</w:t>
      </w:r>
      <w:r>
        <w:rPr>
          <w:color w:val="231F20"/>
          <w:spacing w:val="-12"/>
          <w:w w:val="105"/>
        </w:rPr>
        <w:t> </w:t>
      </w:r>
      <w:r>
        <w:rPr>
          <w:color w:val="231F20"/>
          <w:w w:val="105"/>
        </w:rPr>
        <w:t>de</w:t>
      </w:r>
      <w:r>
        <w:rPr>
          <w:color w:val="231F20"/>
          <w:spacing w:val="-12"/>
          <w:w w:val="105"/>
        </w:rPr>
        <w:t> </w:t>
      </w:r>
      <w:r>
        <w:rPr>
          <w:color w:val="231F20"/>
          <w:w w:val="105"/>
        </w:rPr>
        <w:t>no</w:t>
      </w:r>
      <w:r>
        <w:rPr>
          <w:color w:val="231F20"/>
          <w:spacing w:val="-12"/>
          <w:w w:val="105"/>
        </w:rPr>
        <w:t> </w:t>
      </w:r>
      <w:r>
        <w:rPr>
          <w:color w:val="231F20"/>
          <w:w w:val="105"/>
        </w:rPr>
        <w:t>reelección,</w:t>
      </w:r>
      <w:r>
        <w:rPr>
          <w:color w:val="231F20"/>
          <w:spacing w:val="-12"/>
          <w:w w:val="105"/>
        </w:rPr>
        <w:t> </w:t>
      </w:r>
      <w:r>
        <w:rPr>
          <w:color w:val="231F20"/>
          <w:w w:val="105"/>
        </w:rPr>
        <w:t>aunada</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facultad</w:t>
      </w:r>
      <w:r>
        <w:rPr>
          <w:color w:val="231F20"/>
          <w:spacing w:val="-12"/>
          <w:w w:val="105"/>
        </w:rPr>
        <w:t> </w:t>
      </w:r>
      <w:r>
        <w:rPr>
          <w:color w:val="231F20"/>
          <w:w w:val="105"/>
        </w:rPr>
        <w:t>exclusiva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parti- dos</w:t>
      </w:r>
      <w:r>
        <w:rPr>
          <w:color w:val="231F20"/>
          <w:spacing w:val="-5"/>
          <w:w w:val="105"/>
        </w:rPr>
        <w:t> </w:t>
      </w:r>
      <w:r>
        <w:rPr>
          <w:color w:val="231F20"/>
          <w:w w:val="105"/>
        </w:rPr>
        <w:t>para</w:t>
      </w:r>
      <w:r>
        <w:rPr>
          <w:color w:val="231F20"/>
          <w:spacing w:val="-5"/>
          <w:w w:val="105"/>
        </w:rPr>
        <w:t> </w:t>
      </w:r>
      <w:r>
        <w:rPr>
          <w:color w:val="231F20"/>
          <w:w w:val="105"/>
        </w:rPr>
        <w:t>postular</w:t>
      </w:r>
      <w:r>
        <w:rPr>
          <w:color w:val="231F20"/>
          <w:spacing w:val="-5"/>
          <w:w w:val="105"/>
        </w:rPr>
        <w:t> </w:t>
      </w:r>
      <w:r>
        <w:rPr>
          <w:color w:val="231F20"/>
          <w:w w:val="105"/>
        </w:rPr>
        <w:t>candidatos</w:t>
      </w:r>
      <w:r>
        <w:rPr>
          <w:color w:val="231F20"/>
          <w:spacing w:val="-5"/>
          <w:w w:val="105"/>
        </w:rPr>
        <w:t> </w:t>
      </w:r>
      <w:r>
        <w:rPr>
          <w:color w:val="231F20"/>
          <w:w w:val="105"/>
        </w:rPr>
        <w:t>a</w:t>
      </w:r>
      <w:r>
        <w:rPr>
          <w:color w:val="231F20"/>
          <w:spacing w:val="-5"/>
          <w:w w:val="105"/>
        </w:rPr>
        <w:t> </w:t>
      </w:r>
      <w:r>
        <w:rPr>
          <w:color w:val="231F20"/>
          <w:w w:val="105"/>
        </w:rPr>
        <w:t>cargos</w:t>
      </w:r>
      <w:r>
        <w:rPr>
          <w:color w:val="231F20"/>
          <w:spacing w:val="-5"/>
          <w:w w:val="105"/>
        </w:rPr>
        <w:t> </w:t>
      </w:r>
      <w:r>
        <w:rPr>
          <w:color w:val="231F20"/>
          <w:w w:val="105"/>
        </w:rPr>
        <w:t>públicos,</w:t>
      </w:r>
      <w:r>
        <w:rPr>
          <w:color w:val="231F20"/>
          <w:spacing w:val="-5"/>
          <w:w w:val="105"/>
        </w:rPr>
        <w:t> </w:t>
      </w:r>
      <w:r>
        <w:rPr>
          <w:color w:val="231F20"/>
          <w:w w:val="105"/>
        </w:rPr>
        <w:t>incentiva</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gobernantes</w:t>
      </w:r>
      <w:r>
        <w:rPr>
          <w:color w:val="231F20"/>
          <w:spacing w:val="-5"/>
          <w:w w:val="105"/>
        </w:rPr>
        <w:t> </w:t>
      </w:r>
      <w:r>
        <w:rPr>
          <w:color w:val="231F20"/>
          <w:w w:val="105"/>
        </w:rPr>
        <w:t>en</w:t>
      </w:r>
      <w:r>
        <w:rPr>
          <w:color w:val="231F20"/>
          <w:spacing w:val="-5"/>
          <w:w w:val="105"/>
        </w:rPr>
        <w:t> </w:t>
      </w:r>
      <w:r>
        <w:rPr>
          <w:color w:val="231F20"/>
          <w:w w:val="105"/>
        </w:rPr>
        <w:t>turno dirijan su lealtad hacia la organización partidista y no </w:t>
      </w:r>
      <w:r>
        <w:rPr>
          <w:color w:val="231F20"/>
          <w:spacing w:val="2"/>
          <w:w w:val="105"/>
        </w:rPr>
        <w:t>al </w:t>
      </w:r>
      <w:r>
        <w:rPr>
          <w:color w:val="231F20"/>
          <w:w w:val="105"/>
        </w:rPr>
        <w:t>electorado, pues sus carreras políticas dependerán de dichas organizaciones y de sus liderazgos internos. Así lo ha mostrado el comportamiento de los presidentes municipales priístas: David </w:t>
      </w:r>
      <w:r>
        <w:rPr>
          <w:color w:val="231F20"/>
          <w:spacing w:val="-3"/>
          <w:w w:val="105"/>
        </w:rPr>
        <w:t>Korenfeld </w:t>
      </w:r>
      <w:r>
        <w:rPr>
          <w:color w:val="231F20"/>
          <w:w w:val="105"/>
        </w:rPr>
        <w:t>(2003-2006)</w:t>
      </w:r>
      <w:r>
        <w:rPr>
          <w:color w:val="231F20"/>
          <w:spacing w:val="-39"/>
          <w:w w:val="105"/>
        </w:rPr>
        <w:t> </w:t>
      </w:r>
      <w:r>
        <w:rPr>
          <w:color w:val="231F20"/>
          <w:w w:val="105"/>
        </w:rPr>
        <w:t>y</w:t>
      </w:r>
      <w:r>
        <w:rPr>
          <w:color w:val="231F20"/>
          <w:spacing w:val="-39"/>
          <w:w w:val="105"/>
        </w:rPr>
        <w:t> </w:t>
      </w:r>
      <w:r>
        <w:rPr>
          <w:color w:val="231F20"/>
          <w:w w:val="105"/>
        </w:rPr>
        <w:t>Adrián</w:t>
      </w:r>
      <w:r>
        <w:rPr>
          <w:color w:val="231F20"/>
          <w:spacing w:val="-39"/>
          <w:w w:val="105"/>
        </w:rPr>
        <w:t> </w:t>
      </w:r>
      <w:r>
        <w:rPr>
          <w:color w:val="231F20"/>
          <w:w w:val="105"/>
        </w:rPr>
        <w:t>Fuentes</w:t>
      </w:r>
      <w:r>
        <w:rPr>
          <w:color w:val="231F20"/>
          <w:spacing w:val="-39"/>
          <w:w w:val="105"/>
        </w:rPr>
        <w:t> </w:t>
      </w:r>
      <w:r>
        <w:rPr>
          <w:color w:val="231F20"/>
          <w:w w:val="105"/>
        </w:rPr>
        <w:t>(2006-2009).</w:t>
      </w:r>
    </w:p>
    <w:p>
      <w:pPr>
        <w:pStyle w:val="BodyText"/>
        <w:spacing w:before="1"/>
        <w:rPr>
          <w:sz w:val="26"/>
        </w:rPr>
      </w:pPr>
    </w:p>
    <w:p>
      <w:pPr>
        <w:pStyle w:val="BodyText"/>
        <w:spacing w:line="285" w:lineRule="auto"/>
        <w:ind w:left="110" w:right="107"/>
        <w:jc w:val="both"/>
      </w:pPr>
      <w:r>
        <w:rPr>
          <w:color w:val="231F20"/>
          <w:spacing w:val="-3"/>
          <w:w w:val="105"/>
        </w:rPr>
        <w:t>Por </w:t>
      </w:r>
      <w:r>
        <w:rPr>
          <w:color w:val="231F20"/>
          <w:w w:val="105"/>
        </w:rPr>
        <w:t>su parte, la rendición de cuentas y la incorporación de la participación ciudadana en</w:t>
      </w:r>
      <w:r>
        <w:rPr>
          <w:color w:val="231F20"/>
          <w:spacing w:val="-13"/>
          <w:w w:val="105"/>
        </w:rPr>
        <w:t> </w:t>
      </w:r>
      <w:r>
        <w:rPr>
          <w:color w:val="231F20"/>
          <w:w w:val="105"/>
        </w:rPr>
        <w:t>la</w:t>
      </w:r>
      <w:r>
        <w:rPr>
          <w:color w:val="231F20"/>
          <w:spacing w:val="-13"/>
          <w:w w:val="105"/>
        </w:rPr>
        <w:t> </w:t>
      </w:r>
      <w:r>
        <w:rPr>
          <w:color w:val="231F20"/>
          <w:w w:val="105"/>
        </w:rPr>
        <w:t>toma</w:t>
      </w:r>
      <w:r>
        <w:rPr>
          <w:color w:val="231F20"/>
          <w:spacing w:val="-13"/>
          <w:w w:val="105"/>
        </w:rPr>
        <w:t> </w:t>
      </w:r>
      <w:r>
        <w:rPr>
          <w:color w:val="231F20"/>
          <w:w w:val="105"/>
        </w:rPr>
        <w:t>de</w:t>
      </w:r>
      <w:r>
        <w:rPr>
          <w:color w:val="231F20"/>
          <w:spacing w:val="-13"/>
          <w:w w:val="105"/>
        </w:rPr>
        <w:t> </w:t>
      </w:r>
      <w:r>
        <w:rPr>
          <w:color w:val="231F20"/>
          <w:w w:val="105"/>
        </w:rPr>
        <w:t>decisiones</w:t>
      </w:r>
      <w:r>
        <w:rPr>
          <w:color w:val="231F20"/>
          <w:spacing w:val="-13"/>
          <w:w w:val="105"/>
        </w:rPr>
        <w:t> </w:t>
      </w:r>
      <w:r>
        <w:rPr>
          <w:color w:val="231F20"/>
          <w:w w:val="105"/>
        </w:rPr>
        <w:t>no</w:t>
      </w:r>
      <w:r>
        <w:rPr>
          <w:color w:val="231F20"/>
          <w:spacing w:val="-13"/>
          <w:w w:val="105"/>
        </w:rPr>
        <w:t> </w:t>
      </w:r>
      <w:r>
        <w:rPr>
          <w:color w:val="231F20"/>
          <w:w w:val="105"/>
        </w:rPr>
        <w:t>están</w:t>
      </w:r>
      <w:r>
        <w:rPr>
          <w:color w:val="231F20"/>
          <w:spacing w:val="-13"/>
          <w:w w:val="105"/>
        </w:rPr>
        <w:t> </w:t>
      </w:r>
      <w:r>
        <w:rPr>
          <w:color w:val="231F20"/>
          <w:w w:val="105"/>
        </w:rPr>
        <w:t>claramente</w:t>
      </w:r>
      <w:r>
        <w:rPr>
          <w:color w:val="231F20"/>
          <w:spacing w:val="-13"/>
          <w:w w:val="105"/>
        </w:rPr>
        <w:t> </w:t>
      </w:r>
      <w:r>
        <w:rPr>
          <w:color w:val="231F20"/>
          <w:w w:val="105"/>
        </w:rPr>
        <w:t>institucionalizadas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marco</w:t>
      </w:r>
      <w:r>
        <w:rPr>
          <w:color w:val="231F20"/>
          <w:spacing w:val="-13"/>
          <w:w w:val="105"/>
        </w:rPr>
        <w:t> </w:t>
      </w:r>
      <w:r>
        <w:rPr>
          <w:color w:val="231F20"/>
          <w:w w:val="105"/>
        </w:rPr>
        <w:t>formal</w:t>
      </w:r>
      <w:r>
        <w:rPr>
          <w:color w:val="231F20"/>
          <w:spacing w:val="-13"/>
          <w:w w:val="105"/>
        </w:rPr>
        <w:t> </w:t>
      </w:r>
      <w:r>
        <w:rPr>
          <w:color w:val="231F20"/>
          <w:w w:val="105"/>
        </w:rPr>
        <w:t>del gobierno</w:t>
      </w:r>
      <w:r>
        <w:rPr>
          <w:color w:val="231F20"/>
          <w:spacing w:val="-14"/>
          <w:w w:val="105"/>
        </w:rPr>
        <w:t> </w:t>
      </w:r>
      <w:r>
        <w:rPr>
          <w:color w:val="231F20"/>
          <w:w w:val="105"/>
        </w:rPr>
        <w:t>municipal,</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gran</w:t>
      </w:r>
      <w:r>
        <w:rPr>
          <w:color w:val="231F20"/>
          <w:spacing w:val="-14"/>
          <w:w w:val="105"/>
        </w:rPr>
        <w:t> </w:t>
      </w:r>
      <w:r>
        <w:rPr>
          <w:color w:val="231F20"/>
          <w:w w:val="105"/>
        </w:rPr>
        <w:t>medida</w:t>
      </w:r>
      <w:r>
        <w:rPr>
          <w:color w:val="231F20"/>
          <w:spacing w:val="-14"/>
          <w:w w:val="105"/>
        </w:rPr>
        <w:t> </w:t>
      </w:r>
      <w:r>
        <w:rPr>
          <w:color w:val="231F20"/>
          <w:w w:val="105"/>
        </w:rPr>
        <w:t>ello</w:t>
      </w:r>
      <w:r>
        <w:rPr>
          <w:color w:val="231F20"/>
          <w:spacing w:val="-14"/>
          <w:w w:val="105"/>
        </w:rPr>
        <w:t> </w:t>
      </w:r>
      <w:r>
        <w:rPr>
          <w:color w:val="231F20"/>
          <w:w w:val="105"/>
        </w:rPr>
        <w:t>depende</w:t>
      </w:r>
      <w:r>
        <w:rPr>
          <w:color w:val="231F20"/>
          <w:spacing w:val="-14"/>
          <w:w w:val="105"/>
        </w:rPr>
        <w:t> </w:t>
      </w:r>
      <w:r>
        <w:rPr>
          <w:color w:val="231F20"/>
          <w:w w:val="105"/>
        </w:rPr>
        <w:t>de</w:t>
      </w:r>
      <w:r>
        <w:rPr>
          <w:color w:val="231F20"/>
          <w:spacing w:val="-14"/>
          <w:w w:val="105"/>
        </w:rPr>
        <w:t> </w:t>
      </w:r>
      <w:r>
        <w:rPr>
          <w:color w:val="231F20"/>
          <w:w w:val="105"/>
        </w:rPr>
        <w:t>disposiciones</w:t>
      </w:r>
      <w:r>
        <w:rPr>
          <w:color w:val="231F20"/>
          <w:spacing w:val="-14"/>
          <w:w w:val="105"/>
        </w:rPr>
        <w:t> </w:t>
      </w:r>
      <w:r>
        <w:rPr>
          <w:color w:val="231F20"/>
          <w:w w:val="105"/>
        </w:rPr>
        <w:t>informa- les</w:t>
      </w:r>
      <w:r>
        <w:rPr>
          <w:color w:val="231F20"/>
          <w:spacing w:val="-10"/>
          <w:w w:val="105"/>
        </w:rPr>
        <w:t> </w:t>
      </w:r>
      <w:r>
        <w:rPr>
          <w:color w:val="231F20"/>
          <w:w w:val="105"/>
        </w:rPr>
        <w:t>impulsadas</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alcalde.</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caso</w:t>
      </w:r>
      <w:r>
        <w:rPr>
          <w:color w:val="231F20"/>
          <w:spacing w:val="-10"/>
          <w:w w:val="105"/>
        </w:rPr>
        <w:t> </w:t>
      </w:r>
      <w:r>
        <w:rPr>
          <w:color w:val="231F20"/>
          <w:w w:val="105"/>
        </w:rPr>
        <w:t>de</w:t>
      </w:r>
      <w:r>
        <w:rPr>
          <w:color w:val="231F20"/>
          <w:spacing w:val="-10"/>
          <w:w w:val="105"/>
        </w:rPr>
        <w:t> </w:t>
      </w:r>
      <w:r>
        <w:rPr>
          <w:color w:val="231F20"/>
          <w:w w:val="105"/>
        </w:rPr>
        <w:t>Huixquilucan,</w:t>
      </w:r>
      <w:r>
        <w:rPr>
          <w:color w:val="231F20"/>
          <w:spacing w:val="-10"/>
          <w:w w:val="105"/>
        </w:rPr>
        <w:t> </w:t>
      </w:r>
      <w:r>
        <w:rPr>
          <w:color w:val="231F20"/>
          <w:w w:val="105"/>
        </w:rPr>
        <w:t>si</w:t>
      </w:r>
      <w:r>
        <w:rPr>
          <w:color w:val="231F20"/>
          <w:spacing w:val="-10"/>
          <w:w w:val="105"/>
        </w:rPr>
        <w:t> </w:t>
      </w:r>
      <w:r>
        <w:rPr>
          <w:color w:val="231F20"/>
          <w:w w:val="105"/>
        </w:rPr>
        <w:t>bien</w:t>
      </w:r>
      <w:r>
        <w:rPr>
          <w:color w:val="231F20"/>
          <w:spacing w:val="-10"/>
          <w:w w:val="105"/>
        </w:rPr>
        <w:t> </w:t>
      </w:r>
      <w:r>
        <w:rPr>
          <w:color w:val="231F20"/>
          <w:w w:val="105"/>
        </w:rPr>
        <w:t>el</w:t>
      </w:r>
      <w:r>
        <w:rPr>
          <w:color w:val="231F20"/>
          <w:spacing w:val="-10"/>
          <w:w w:val="105"/>
        </w:rPr>
        <w:t> </w:t>
      </w:r>
      <w:r>
        <w:rPr>
          <w:color w:val="231F20"/>
          <w:w w:val="105"/>
        </w:rPr>
        <w:t>marco</w:t>
      </w:r>
      <w:r>
        <w:rPr>
          <w:color w:val="231F20"/>
          <w:spacing w:val="-10"/>
          <w:w w:val="105"/>
        </w:rPr>
        <w:t> </w:t>
      </w:r>
      <w:r>
        <w:rPr>
          <w:color w:val="231F20"/>
          <w:w w:val="105"/>
        </w:rPr>
        <w:t>institucio- nal</w:t>
      </w:r>
      <w:r>
        <w:rPr>
          <w:color w:val="231F20"/>
          <w:spacing w:val="-15"/>
          <w:w w:val="105"/>
        </w:rPr>
        <w:t> </w:t>
      </w:r>
      <w:r>
        <w:rPr>
          <w:color w:val="231F20"/>
          <w:w w:val="105"/>
        </w:rPr>
        <w:t>también</w:t>
      </w:r>
      <w:r>
        <w:rPr>
          <w:color w:val="231F20"/>
          <w:spacing w:val="-15"/>
          <w:w w:val="105"/>
        </w:rPr>
        <w:t> </w:t>
      </w:r>
      <w:r>
        <w:rPr>
          <w:color w:val="231F20"/>
          <w:w w:val="105"/>
        </w:rPr>
        <w:t>sufre</w:t>
      </w:r>
      <w:r>
        <w:rPr>
          <w:color w:val="231F20"/>
          <w:spacing w:val="-15"/>
          <w:w w:val="105"/>
        </w:rPr>
        <w:t> </w:t>
      </w:r>
      <w:r>
        <w:rPr>
          <w:color w:val="231F20"/>
          <w:w w:val="105"/>
        </w:rPr>
        <w:t>de</w:t>
      </w:r>
      <w:r>
        <w:rPr>
          <w:color w:val="231F20"/>
          <w:spacing w:val="-15"/>
          <w:w w:val="105"/>
        </w:rPr>
        <w:t> </w:t>
      </w:r>
      <w:r>
        <w:rPr>
          <w:color w:val="231F20"/>
          <w:w w:val="105"/>
        </w:rPr>
        <w:t>estas</w:t>
      </w:r>
      <w:r>
        <w:rPr>
          <w:color w:val="231F20"/>
          <w:spacing w:val="-15"/>
          <w:w w:val="105"/>
        </w:rPr>
        <w:t> </w:t>
      </w:r>
      <w:r>
        <w:rPr>
          <w:color w:val="231F20"/>
          <w:w w:val="105"/>
        </w:rPr>
        <w:t>limitantes,</w:t>
      </w:r>
      <w:r>
        <w:rPr>
          <w:color w:val="231F20"/>
          <w:spacing w:val="-15"/>
          <w:w w:val="105"/>
        </w:rPr>
        <w:t> </w:t>
      </w:r>
      <w:r>
        <w:rPr>
          <w:color w:val="231F20"/>
          <w:w w:val="105"/>
        </w:rPr>
        <w:t>a</w:t>
      </w:r>
      <w:r>
        <w:rPr>
          <w:color w:val="231F20"/>
          <w:spacing w:val="-15"/>
          <w:w w:val="105"/>
        </w:rPr>
        <w:t> </w:t>
      </w:r>
      <w:r>
        <w:rPr>
          <w:color w:val="231F20"/>
          <w:w w:val="105"/>
        </w:rPr>
        <w:t>su</w:t>
      </w:r>
      <w:r>
        <w:rPr>
          <w:color w:val="231F20"/>
          <w:spacing w:val="-15"/>
          <w:w w:val="105"/>
        </w:rPr>
        <w:t> </w:t>
      </w:r>
      <w:r>
        <w:rPr>
          <w:color w:val="231F20"/>
          <w:w w:val="105"/>
        </w:rPr>
        <w:t>vez</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r>
        <w:rPr>
          <w:color w:val="231F20"/>
          <w:spacing w:val="-15"/>
          <w:w w:val="105"/>
        </w:rPr>
        <w:t> </w:t>
      </w:r>
      <w:r>
        <w:rPr>
          <w:color w:val="231F20"/>
          <w:w w:val="105"/>
        </w:rPr>
        <w:t>en</w:t>
      </w:r>
      <w:r>
        <w:rPr>
          <w:color w:val="231F20"/>
          <w:spacing w:val="-15"/>
          <w:w w:val="105"/>
        </w:rPr>
        <w:t> </w:t>
      </w:r>
      <w:r>
        <w:rPr>
          <w:color w:val="231F20"/>
          <w:w w:val="105"/>
        </w:rPr>
        <w:t>turno</w:t>
      </w:r>
      <w:r>
        <w:rPr>
          <w:color w:val="231F20"/>
          <w:spacing w:val="-15"/>
          <w:w w:val="105"/>
        </w:rPr>
        <w:t> </w:t>
      </w:r>
      <w:r>
        <w:rPr>
          <w:color w:val="231F20"/>
          <w:w w:val="105"/>
        </w:rPr>
        <w:t>tampoco ha</w:t>
      </w:r>
      <w:r>
        <w:rPr>
          <w:color w:val="231F20"/>
          <w:spacing w:val="-5"/>
          <w:w w:val="105"/>
        </w:rPr>
        <w:t> </w:t>
      </w:r>
      <w:r>
        <w:rPr>
          <w:color w:val="231F20"/>
          <w:w w:val="105"/>
        </w:rPr>
        <w:t>mostrado</w:t>
      </w:r>
      <w:r>
        <w:rPr>
          <w:color w:val="231F20"/>
          <w:spacing w:val="-5"/>
          <w:w w:val="105"/>
        </w:rPr>
        <w:t> </w:t>
      </w:r>
      <w:r>
        <w:rPr>
          <w:color w:val="231F20"/>
          <w:w w:val="105"/>
        </w:rPr>
        <w:t>interés</w:t>
      </w:r>
      <w:r>
        <w:rPr>
          <w:color w:val="231F20"/>
          <w:spacing w:val="-5"/>
          <w:w w:val="105"/>
        </w:rPr>
        <w:t> </w:t>
      </w:r>
      <w:r>
        <w:rPr>
          <w:color w:val="231F20"/>
          <w:w w:val="105"/>
        </w:rPr>
        <w:t>personal</w:t>
      </w:r>
      <w:r>
        <w:rPr>
          <w:color w:val="231F20"/>
          <w:spacing w:val="-5"/>
          <w:w w:val="105"/>
        </w:rPr>
        <w:t> </w:t>
      </w:r>
      <w:r>
        <w:rPr>
          <w:color w:val="231F20"/>
          <w:w w:val="105"/>
        </w:rPr>
        <w:t>por</w:t>
      </w:r>
      <w:r>
        <w:rPr>
          <w:color w:val="231F20"/>
          <w:spacing w:val="-5"/>
          <w:w w:val="105"/>
        </w:rPr>
        <w:t> </w:t>
      </w:r>
      <w:r>
        <w:rPr>
          <w:color w:val="231F20"/>
          <w:w w:val="105"/>
        </w:rPr>
        <w:t>fomentar</w:t>
      </w:r>
      <w:r>
        <w:rPr>
          <w:color w:val="231F20"/>
          <w:spacing w:val="-5"/>
          <w:w w:val="105"/>
        </w:rPr>
        <w:t> </w:t>
      </w:r>
      <w:r>
        <w:rPr>
          <w:color w:val="231F20"/>
          <w:w w:val="105"/>
        </w:rPr>
        <w:t>la</w:t>
      </w:r>
      <w:r>
        <w:rPr>
          <w:color w:val="231F20"/>
          <w:spacing w:val="-5"/>
          <w:w w:val="105"/>
        </w:rPr>
        <w:t> </w:t>
      </w:r>
      <w:r>
        <w:rPr>
          <w:color w:val="231F20"/>
          <w:w w:val="105"/>
        </w:rPr>
        <w:t>rendición</w:t>
      </w:r>
      <w:r>
        <w:rPr>
          <w:color w:val="231F20"/>
          <w:spacing w:val="-5"/>
          <w:w w:val="105"/>
        </w:rPr>
        <w:t> </w:t>
      </w:r>
      <w:r>
        <w:rPr>
          <w:color w:val="231F20"/>
          <w:w w:val="105"/>
        </w:rPr>
        <w:t>de</w:t>
      </w:r>
      <w:r>
        <w:rPr>
          <w:color w:val="231F20"/>
          <w:spacing w:val="-5"/>
          <w:w w:val="105"/>
        </w:rPr>
        <w:t> </w:t>
      </w:r>
      <w:r>
        <w:rPr>
          <w:color w:val="231F20"/>
          <w:w w:val="105"/>
        </w:rPr>
        <w:t>cuentas</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gobierno</w:t>
      </w:r>
      <w:r>
        <w:rPr>
          <w:color w:val="231F20"/>
          <w:spacing w:val="-5"/>
          <w:w w:val="105"/>
        </w:rPr>
        <w:t> </w:t>
      </w:r>
      <w:r>
        <w:rPr>
          <w:color w:val="231F20"/>
          <w:w w:val="105"/>
        </w:rPr>
        <w:t>ni</w:t>
      </w:r>
      <w:r>
        <w:rPr>
          <w:color w:val="231F20"/>
          <w:spacing w:val="-5"/>
          <w:w w:val="105"/>
        </w:rPr>
        <w:t> </w:t>
      </w:r>
      <w:r>
        <w:rPr>
          <w:color w:val="231F20"/>
          <w:w w:val="105"/>
        </w:rPr>
        <w:t>la inclusión</w:t>
      </w:r>
      <w:r>
        <w:rPr>
          <w:color w:val="231F20"/>
          <w:spacing w:val="-20"/>
          <w:w w:val="105"/>
        </w:rPr>
        <w:t> </w:t>
      </w:r>
      <w:r>
        <w:rPr>
          <w:color w:val="231F20"/>
          <w:w w:val="105"/>
        </w:rPr>
        <w:t>de</w:t>
      </w:r>
      <w:r>
        <w:rPr>
          <w:color w:val="231F20"/>
          <w:spacing w:val="-20"/>
          <w:w w:val="105"/>
        </w:rPr>
        <w:t> </w:t>
      </w:r>
      <w:r>
        <w:rPr>
          <w:color w:val="231F20"/>
          <w:w w:val="105"/>
        </w:rPr>
        <w:t>diversos</w:t>
      </w:r>
      <w:r>
        <w:rPr>
          <w:color w:val="231F20"/>
          <w:spacing w:val="-20"/>
          <w:w w:val="105"/>
        </w:rPr>
        <w:t> </w:t>
      </w:r>
      <w:r>
        <w:rPr>
          <w:color w:val="231F20"/>
          <w:w w:val="105"/>
        </w:rPr>
        <w:t>actores</w:t>
      </w:r>
      <w:r>
        <w:rPr>
          <w:color w:val="231F20"/>
          <w:spacing w:val="-20"/>
          <w:w w:val="105"/>
        </w:rPr>
        <w:t> </w:t>
      </w:r>
      <w:r>
        <w:rPr>
          <w:color w:val="231F20"/>
          <w:w w:val="105"/>
        </w:rPr>
        <w:t>en</w:t>
      </w:r>
      <w:r>
        <w:rPr>
          <w:color w:val="231F20"/>
          <w:spacing w:val="-20"/>
          <w:w w:val="105"/>
        </w:rPr>
        <w:t> </w:t>
      </w:r>
      <w:r>
        <w:rPr>
          <w:color w:val="231F20"/>
          <w:w w:val="105"/>
        </w:rPr>
        <w:t>sus</w:t>
      </w:r>
      <w:r>
        <w:rPr>
          <w:color w:val="231F20"/>
          <w:spacing w:val="-20"/>
          <w:w w:val="105"/>
        </w:rPr>
        <w:t> </w:t>
      </w:r>
      <w:r>
        <w:rPr>
          <w:color w:val="231F20"/>
          <w:w w:val="105"/>
        </w:rPr>
        <w:t>decisiones</w:t>
      </w:r>
      <w:r>
        <w:rPr>
          <w:color w:val="231F20"/>
          <w:spacing w:val="-20"/>
          <w:w w:val="105"/>
        </w:rPr>
        <w:t> </w:t>
      </w:r>
      <w:r>
        <w:rPr>
          <w:color w:val="231F20"/>
          <w:w w:val="105"/>
        </w:rPr>
        <w:t>políticas.</w:t>
      </w:r>
    </w:p>
    <w:p>
      <w:pPr>
        <w:pStyle w:val="BodyText"/>
        <w:spacing w:before="1"/>
        <w:rPr>
          <w:sz w:val="26"/>
        </w:rPr>
      </w:pPr>
    </w:p>
    <w:p>
      <w:pPr>
        <w:pStyle w:val="BodyText"/>
        <w:spacing w:line="285" w:lineRule="auto"/>
        <w:ind w:left="110" w:right="108"/>
        <w:jc w:val="both"/>
      </w:pPr>
      <w:r>
        <w:rPr>
          <w:color w:val="231F20"/>
          <w:w w:val="105"/>
        </w:rPr>
        <w:t>Esta falta de mecanismos de rendición de cuentas propicia que la renovación de los equipos entre distintas administraciones sea completa, pues en principio no se some- ten a escrutinio los resultados de las políticas previamente ejecutadas </w:t>
      </w:r>
      <w:r>
        <w:rPr>
          <w:color w:val="231F20"/>
          <w:spacing w:val="-7"/>
          <w:w w:val="105"/>
        </w:rPr>
        <w:t>y, </w:t>
      </w:r>
      <w:r>
        <w:rPr>
          <w:color w:val="231F20"/>
          <w:w w:val="105"/>
        </w:rPr>
        <w:t>por ende, no se</w:t>
      </w:r>
      <w:r>
        <w:rPr>
          <w:color w:val="231F20"/>
          <w:spacing w:val="-5"/>
          <w:w w:val="105"/>
        </w:rPr>
        <w:t> </w:t>
      </w:r>
      <w:r>
        <w:rPr>
          <w:color w:val="231F20"/>
          <w:w w:val="105"/>
        </w:rPr>
        <w:t>obliga</w:t>
      </w:r>
      <w:r>
        <w:rPr>
          <w:color w:val="231F20"/>
          <w:spacing w:val="-5"/>
          <w:w w:val="105"/>
        </w:rPr>
        <w:t> </w:t>
      </w:r>
      <w:r>
        <w:rPr>
          <w:color w:val="231F20"/>
          <w:w w:val="105"/>
        </w:rPr>
        <w:t>a</w:t>
      </w:r>
      <w:r>
        <w:rPr>
          <w:color w:val="231F20"/>
          <w:spacing w:val="-5"/>
          <w:w w:val="105"/>
        </w:rPr>
        <w:t> </w:t>
      </w:r>
      <w:r>
        <w:rPr>
          <w:color w:val="231F20"/>
          <w:w w:val="105"/>
        </w:rPr>
        <w:t>mantener</w:t>
      </w:r>
      <w:r>
        <w:rPr>
          <w:color w:val="231F20"/>
          <w:spacing w:val="-5"/>
          <w:w w:val="105"/>
        </w:rPr>
        <w:t> </w:t>
      </w:r>
      <w:r>
        <w:rPr>
          <w:color w:val="231F20"/>
          <w:w w:val="105"/>
        </w:rPr>
        <w:t>a</w:t>
      </w:r>
      <w:r>
        <w:rPr>
          <w:color w:val="231F20"/>
          <w:spacing w:val="-5"/>
          <w:w w:val="105"/>
        </w:rPr>
        <w:t> </w:t>
      </w:r>
      <w:r>
        <w:rPr>
          <w:color w:val="231F20"/>
          <w:w w:val="105"/>
        </w:rPr>
        <w:t>sus</w:t>
      </w:r>
      <w:r>
        <w:rPr>
          <w:color w:val="231F20"/>
          <w:spacing w:val="-5"/>
          <w:w w:val="105"/>
        </w:rPr>
        <w:t> </w:t>
      </w:r>
      <w:r>
        <w:rPr>
          <w:color w:val="231F20"/>
          <w:w w:val="105"/>
        </w:rPr>
        <w:t>responsables</w:t>
      </w:r>
      <w:r>
        <w:rPr>
          <w:color w:val="231F20"/>
          <w:spacing w:val="-5"/>
          <w:w w:val="105"/>
        </w:rPr>
        <w:t> </w:t>
      </w:r>
      <w:r>
        <w:rPr>
          <w:color w:val="231F20"/>
          <w:spacing w:val="2"/>
          <w:w w:val="105"/>
        </w:rPr>
        <w:t>al</w:t>
      </w:r>
      <w:r>
        <w:rPr>
          <w:color w:val="231F20"/>
          <w:spacing w:val="-5"/>
          <w:w w:val="105"/>
        </w:rPr>
        <w:t> </w:t>
      </w:r>
      <w:r>
        <w:rPr>
          <w:color w:val="231F20"/>
          <w:w w:val="105"/>
        </w:rPr>
        <w:t>frente</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dependencias</w:t>
      </w:r>
      <w:r>
        <w:rPr>
          <w:color w:val="231F20"/>
          <w:spacing w:val="-5"/>
          <w:w w:val="105"/>
        </w:rPr>
        <w:t> </w:t>
      </w:r>
      <w:r>
        <w:rPr>
          <w:color w:val="231F20"/>
          <w:w w:val="105"/>
        </w:rPr>
        <w:t>para</w:t>
      </w:r>
      <w:r>
        <w:rPr>
          <w:color w:val="231F20"/>
          <w:spacing w:val="-5"/>
          <w:w w:val="105"/>
        </w:rPr>
        <w:t> </w:t>
      </w:r>
      <w:r>
        <w:rPr>
          <w:color w:val="231F20"/>
          <w:w w:val="105"/>
        </w:rPr>
        <w:t>obligarlos</w:t>
      </w:r>
      <w:r>
        <w:rPr>
          <w:color w:val="231F20"/>
          <w:spacing w:val="-5"/>
          <w:w w:val="105"/>
        </w:rPr>
        <w:t> </w:t>
      </w:r>
      <w:r>
        <w:rPr>
          <w:color w:val="231F20"/>
          <w:w w:val="105"/>
        </w:rPr>
        <w:t>a informar</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logros</w:t>
      </w:r>
      <w:r>
        <w:rPr>
          <w:color w:val="231F20"/>
          <w:spacing w:val="-17"/>
          <w:w w:val="105"/>
        </w:rPr>
        <w:t> </w:t>
      </w:r>
      <w:r>
        <w:rPr>
          <w:color w:val="231F20"/>
          <w:w w:val="105"/>
        </w:rPr>
        <w:t>después</w:t>
      </w:r>
      <w:r>
        <w:rPr>
          <w:color w:val="231F20"/>
          <w:spacing w:val="-17"/>
          <w:w w:val="105"/>
        </w:rPr>
        <w:t> </w:t>
      </w:r>
      <w:r>
        <w:rPr>
          <w:color w:val="231F20"/>
          <w:w w:val="105"/>
        </w:rPr>
        <w:t>de</w:t>
      </w:r>
      <w:r>
        <w:rPr>
          <w:color w:val="231F20"/>
          <w:spacing w:val="-17"/>
          <w:w w:val="105"/>
        </w:rPr>
        <w:t> </w:t>
      </w:r>
      <w:r>
        <w:rPr>
          <w:color w:val="231F20"/>
          <w:w w:val="105"/>
        </w:rPr>
        <w:t>cada</w:t>
      </w:r>
      <w:r>
        <w:rPr>
          <w:color w:val="231F20"/>
          <w:spacing w:val="-17"/>
          <w:w w:val="105"/>
        </w:rPr>
        <w:t> </w:t>
      </w:r>
      <w:r>
        <w:rPr>
          <w:color w:val="231F20"/>
          <w:w w:val="105"/>
        </w:rPr>
        <w:t>periodo</w:t>
      </w:r>
      <w:r>
        <w:rPr>
          <w:color w:val="231F20"/>
          <w:spacing w:val="-17"/>
          <w:w w:val="105"/>
        </w:rPr>
        <w:t> </w:t>
      </w:r>
      <w:r>
        <w:rPr>
          <w:color w:val="231F20"/>
          <w:w w:val="105"/>
        </w:rPr>
        <w:t>de</w:t>
      </w:r>
      <w:r>
        <w:rPr>
          <w:color w:val="231F20"/>
          <w:spacing w:val="-17"/>
          <w:w w:val="105"/>
        </w:rPr>
        <w:t> </w:t>
      </w:r>
      <w:r>
        <w:rPr>
          <w:color w:val="231F20"/>
          <w:spacing w:val="-3"/>
          <w:w w:val="105"/>
        </w:rPr>
        <w:t>gobierno.</w:t>
      </w:r>
      <w:r>
        <w:rPr>
          <w:color w:val="231F20"/>
          <w:spacing w:val="-17"/>
          <w:w w:val="105"/>
        </w:rPr>
        <w:t> </w:t>
      </w:r>
      <w:r>
        <w:rPr>
          <w:color w:val="231F20"/>
          <w:w w:val="105"/>
        </w:rPr>
        <w:t>Esto,</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vez,</w:t>
      </w:r>
      <w:r>
        <w:rPr>
          <w:color w:val="231F20"/>
          <w:spacing w:val="-17"/>
          <w:w w:val="105"/>
        </w:rPr>
        <w:t> </w:t>
      </w:r>
      <w:r>
        <w:rPr>
          <w:color w:val="231F20"/>
          <w:w w:val="105"/>
        </w:rPr>
        <w:t>fomenta</w:t>
      </w:r>
      <w:r>
        <w:rPr>
          <w:color w:val="231F20"/>
          <w:spacing w:val="-17"/>
          <w:w w:val="105"/>
        </w:rPr>
        <w:t> </w:t>
      </w:r>
      <w:r>
        <w:rPr>
          <w:color w:val="231F20"/>
          <w:w w:val="105"/>
        </w:rPr>
        <w:t>que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cada nueva administración no se preocupe en gran medida por dar total cumplimiento a su plan de desarrollo pues hay obstáculos a la rendición de cuentas; además que los titulares designados de las dependencias de la APM le deberán su cargo </w:t>
      </w:r>
      <w:r>
        <w:rPr>
          <w:color w:val="231F20"/>
          <w:spacing w:val="2"/>
          <w:w w:val="105"/>
        </w:rPr>
        <w:t>al </w:t>
      </w:r>
      <w:r>
        <w:rPr>
          <w:color w:val="231F20"/>
          <w:w w:val="105"/>
        </w:rPr>
        <w:t>alcalde en turno,</w:t>
      </w:r>
      <w:r>
        <w:rPr>
          <w:color w:val="231F20"/>
          <w:spacing w:val="-9"/>
          <w:w w:val="105"/>
        </w:rPr>
        <w:t> </w:t>
      </w:r>
      <w:r>
        <w:rPr>
          <w:color w:val="231F20"/>
          <w:w w:val="105"/>
        </w:rPr>
        <w:t>convirtiéndose</w:t>
      </w:r>
      <w:r>
        <w:rPr>
          <w:color w:val="231F20"/>
          <w:spacing w:val="-9"/>
          <w:w w:val="105"/>
        </w:rPr>
        <w:t> </w:t>
      </w:r>
      <w:r>
        <w:rPr>
          <w:color w:val="231F20"/>
          <w:w w:val="105"/>
        </w:rPr>
        <w:t>en</w:t>
      </w:r>
      <w:r>
        <w:rPr>
          <w:color w:val="231F20"/>
          <w:spacing w:val="-9"/>
          <w:w w:val="105"/>
        </w:rPr>
        <w:t> </w:t>
      </w:r>
      <w:r>
        <w:rPr>
          <w:color w:val="231F20"/>
          <w:w w:val="105"/>
        </w:rPr>
        <w:t>agentes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preferencias</w:t>
      </w:r>
      <w:r>
        <w:rPr>
          <w:color w:val="231F20"/>
          <w:spacing w:val="-9"/>
          <w:w w:val="105"/>
        </w:rPr>
        <w:t> </w:t>
      </w:r>
      <w:r>
        <w:rPr>
          <w:color w:val="231F20"/>
          <w:w w:val="105"/>
        </w:rPr>
        <w:t>de</w:t>
      </w:r>
      <w:r>
        <w:rPr>
          <w:color w:val="231F20"/>
          <w:spacing w:val="-9"/>
          <w:w w:val="105"/>
        </w:rPr>
        <w:t> </w:t>
      </w:r>
      <w:r>
        <w:rPr>
          <w:color w:val="231F20"/>
          <w:w w:val="105"/>
        </w:rPr>
        <w:t>políticas</w:t>
      </w:r>
      <w:r>
        <w:rPr>
          <w:color w:val="231F20"/>
          <w:spacing w:val="-9"/>
          <w:w w:val="105"/>
        </w:rPr>
        <w:t> </w:t>
      </w:r>
      <w:r>
        <w:rPr>
          <w:color w:val="231F20"/>
          <w:w w:val="105"/>
        </w:rPr>
        <w:t>de</w:t>
      </w:r>
      <w:r>
        <w:rPr>
          <w:color w:val="231F20"/>
          <w:spacing w:val="-9"/>
          <w:w w:val="105"/>
        </w:rPr>
        <w:t> </w:t>
      </w:r>
      <w:r>
        <w:rPr>
          <w:color w:val="231F20"/>
          <w:w w:val="105"/>
        </w:rPr>
        <w:t>este</w:t>
      </w:r>
      <w:r>
        <w:rPr>
          <w:color w:val="231F20"/>
          <w:spacing w:val="-9"/>
          <w:w w:val="105"/>
        </w:rPr>
        <w:t> </w:t>
      </w:r>
      <w:r>
        <w:rPr>
          <w:color w:val="231F20"/>
          <w:w w:val="105"/>
        </w:rPr>
        <w:t>último,</w:t>
      </w:r>
      <w:r>
        <w:rPr>
          <w:color w:val="231F20"/>
          <w:spacing w:val="-9"/>
          <w:w w:val="105"/>
        </w:rPr>
        <w:t> </w:t>
      </w:r>
      <w:r>
        <w:rPr>
          <w:color w:val="231F20"/>
          <w:w w:val="105"/>
        </w:rPr>
        <w:t>por</w:t>
      </w:r>
      <w:r>
        <w:rPr>
          <w:color w:val="231F20"/>
          <w:spacing w:val="-9"/>
          <w:w w:val="105"/>
        </w:rPr>
        <w:t> </w:t>
      </w:r>
      <w:r>
        <w:rPr>
          <w:color w:val="231F20"/>
          <w:w w:val="105"/>
        </w:rPr>
        <w:t>en- cima de rendir cuentas ante el</w:t>
      </w:r>
      <w:r>
        <w:rPr>
          <w:color w:val="231F20"/>
          <w:spacing w:val="-40"/>
          <w:w w:val="105"/>
        </w:rPr>
        <w:t> </w:t>
      </w:r>
      <w:r>
        <w:rPr>
          <w:color w:val="231F20"/>
          <w:w w:val="105"/>
        </w:rPr>
        <w:t>electorado.</w:t>
      </w:r>
    </w:p>
    <w:p>
      <w:pPr>
        <w:pStyle w:val="BodyText"/>
        <w:spacing w:before="1"/>
        <w:rPr>
          <w:sz w:val="26"/>
        </w:rPr>
      </w:pPr>
    </w:p>
    <w:p>
      <w:pPr>
        <w:pStyle w:val="BodyText"/>
        <w:spacing w:line="285" w:lineRule="auto"/>
        <w:ind w:left="110" w:right="107"/>
        <w:jc w:val="both"/>
      </w:pPr>
      <w:r>
        <w:rPr>
          <w:color w:val="231F20"/>
          <w:w w:val="105"/>
        </w:rPr>
        <w:t>Hasta</w:t>
      </w:r>
      <w:r>
        <w:rPr>
          <w:color w:val="231F20"/>
          <w:spacing w:val="-15"/>
          <w:w w:val="105"/>
        </w:rPr>
        <w:t> </w:t>
      </w:r>
      <w:r>
        <w:rPr>
          <w:color w:val="231F20"/>
          <w:w w:val="105"/>
        </w:rPr>
        <w:t>el</w:t>
      </w:r>
      <w:r>
        <w:rPr>
          <w:color w:val="231F20"/>
          <w:spacing w:val="-15"/>
          <w:w w:val="105"/>
        </w:rPr>
        <w:t> </w:t>
      </w:r>
      <w:r>
        <w:rPr>
          <w:color w:val="231F20"/>
          <w:spacing w:val="-3"/>
          <w:w w:val="105"/>
        </w:rPr>
        <w:t>momento,</w:t>
      </w:r>
      <w:r>
        <w:rPr>
          <w:color w:val="231F20"/>
          <w:spacing w:val="-15"/>
          <w:w w:val="105"/>
        </w:rPr>
        <w:t> </w:t>
      </w:r>
      <w:r>
        <w:rPr>
          <w:color w:val="231F20"/>
          <w:w w:val="105"/>
        </w:rPr>
        <w:t>el</w:t>
      </w:r>
      <w:r>
        <w:rPr>
          <w:color w:val="231F20"/>
          <w:spacing w:val="-15"/>
          <w:w w:val="105"/>
        </w:rPr>
        <w:t> </w:t>
      </w:r>
      <w:r>
        <w:rPr>
          <w:color w:val="231F20"/>
          <w:w w:val="105"/>
        </w:rPr>
        <w:t>modelo</w:t>
      </w:r>
      <w:r>
        <w:rPr>
          <w:color w:val="231F20"/>
          <w:spacing w:val="-15"/>
          <w:w w:val="105"/>
        </w:rPr>
        <w:t> </w:t>
      </w:r>
      <w:r>
        <w:rPr>
          <w:color w:val="231F20"/>
          <w:w w:val="105"/>
        </w:rPr>
        <w:t>de</w:t>
      </w:r>
      <w:r>
        <w:rPr>
          <w:color w:val="231F20"/>
          <w:spacing w:val="-15"/>
          <w:w w:val="105"/>
        </w:rPr>
        <w:t> </w:t>
      </w:r>
      <w:r>
        <w:rPr>
          <w:color w:val="231F20"/>
          <w:w w:val="105"/>
        </w:rPr>
        <w:t>relación</w:t>
      </w:r>
      <w:r>
        <w:rPr>
          <w:color w:val="231F20"/>
          <w:spacing w:val="-15"/>
          <w:w w:val="105"/>
        </w:rPr>
        <w:t> </w:t>
      </w:r>
      <w:r>
        <w:rPr>
          <w:color w:val="231F20"/>
          <w:w w:val="105"/>
        </w:rPr>
        <w:t>del</w:t>
      </w:r>
      <w:r>
        <w:rPr>
          <w:color w:val="231F20"/>
          <w:spacing w:val="-15"/>
          <w:w w:val="105"/>
        </w:rPr>
        <w:t> </w:t>
      </w:r>
      <w:r>
        <w:rPr>
          <w:color w:val="231F20"/>
          <w:w w:val="105"/>
        </w:rPr>
        <w:t>gobierno</w:t>
      </w:r>
      <w:r>
        <w:rPr>
          <w:color w:val="231F20"/>
          <w:spacing w:val="-15"/>
          <w:w w:val="105"/>
        </w:rPr>
        <w:t> </w:t>
      </w:r>
      <w:r>
        <w:rPr>
          <w:color w:val="231F20"/>
          <w:w w:val="105"/>
        </w:rPr>
        <w:t>de</w:t>
      </w:r>
      <w:r>
        <w:rPr>
          <w:color w:val="231F20"/>
          <w:spacing w:val="-15"/>
          <w:w w:val="105"/>
        </w:rPr>
        <w:t> </w:t>
      </w:r>
      <w:r>
        <w:rPr>
          <w:color w:val="231F20"/>
          <w:w w:val="105"/>
        </w:rPr>
        <w:t>Huixquilucan</w:t>
      </w:r>
      <w:r>
        <w:rPr>
          <w:color w:val="231F20"/>
          <w:spacing w:val="-15"/>
          <w:w w:val="105"/>
        </w:rPr>
        <w:t> </w:t>
      </w:r>
      <w:r>
        <w:rPr>
          <w:color w:val="231F20"/>
          <w:w w:val="105"/>
        </w:rPr>
        <w:t>con</w:t>
      </w:r>
      <w:r>
        <w:rPr>
          <w:color w:val="231F20"/>
          <w:spacing w:val="-15"/>
          <w:w w:val="105"/>
        </w:rPr>
        <w:t> </w:t>
      </w:r>
      <w:r>
        <w:rPr>
          <w:color w:val="231F20"/>
          <w:w w:val="105"/>
        </w:rPr>
        <w:t>su</w:t>
      </w:r>
      <w:r>
        <w:rPr>
          <w:color w:val="231F20"/>
          <w:spacing w:val="-15"/>
          <w:w w:val="105"/>
        </w:rPr>
        <w:t> </w:t>
      </w:r>
      <w:r>
        <w:rPr>
          <w:color w:val="231F20"/>
          <w:w w:val="105"/>
        </w:rPr>
        <w:t>sociedad en</w:t>
      </w:r>
      <w:r>
        <w:rPr>
          <w:color w:val="231F20"/>
          <w:spacing w:val="-19"/>
          <w:w w:val="105"/>
        </w:rPr>
        <w:t> </w:t>
      </w:r>
      <w:r>
        <w:rPr>
          <w:color w:val="231F20"/>
          <w:w w:val="105"/>
        </w:rPr>
        <w:t>se</w:t>
      </w:r>
      <w:r>
        <w:rPr>
          <w:color w:val="231F20"/>
          <w:spacing w:val="-19"/>
          <w:w w:val="105"/>
        </w:rPr>
        <w:t> </w:t>
      </w:r>
      <w:r>
        <w:rPr>
          <w:color w:val="231F20"/>
          <w:w w:val="105"/>
        </w:rPr>
        <w:t>ha</w:t>
      </w:r>
      <w:r>
        <w:rPr>
          <w:color w:val="231F20"/>
          <w:spacing w:val="-19"/>
          <w:w w:val="105"/>
        </w:rPr>
        <w:t> </w:t>
      </w:r>
      <w:r>
        <w:rPr>
          <w:color w:val="231F20"/>
          <w:w w:val="105"/>
        </w:rPr>
        <w:t>caracterizado</w:t>
      </w:r>
      <w:r>
        <w:rPr>
          <w:color w:val="231F20"/>
          <w:spacing w:val="-19"/>
          <w:w w:val="105"/>
        </w:rPr>
        <w:t> </w:t>
      </w:r>
      <w:r>
        <w:rPr>
          <w:color w:val="231F20"/>
          <w:w w:val="105"/>
        </w:rPr>
        <w:t>por</w:t>
      </w:r>
      <w:r>
        <w:rPr>
          <w:color w:val="231F20"/>
          <w:spacing w:val="-19"/>
          <w:w w:val="105"/>
        </w:rPr>
        <w:t> </w:t>
      </w:r>
      <w:r>
        <w:rPr>
          <w:color w:val="231F20"/>
          <w:w w:val="105"/>
        </w:rPr>
        <w:t>su</w:t>
      </w:r>
      <w:r>
        <w:rPr>
          <w:color w:val="231F20"/>
          <w:spacing w:val="-19"/>
          <w:w w:val="105"/>
        </w:rPr>
        <w:t> </w:t>
      </w:r>
      <w:r>
        <w:rPr>
          <w:color w:val="231F20"/>
          <w:w w:val="105"/>
        </w:rPr>
        <w:t>dirección</w:t>
      </w:r>
      <w:r>
        <w:rPr>
          <w:color w:val="231F20"/>
          <w:spacing w:val="-19"/>
          <w:w w:val="105"/>
        </w:rPr>
        <w:t> </w:t>
      </w:r>
      <w:r>
        <w:rPr>
          <w:color w:val="231F20"/>
          <w:w w:val="105"/>
        </w:rPr>
        <w:t>de</w:t>
      </w:r>
      <w:r>
        <w:rPr>
          <w:color w:val="231F20"/>
          <w:spacing w:val="-19"/>
          <w:w w:val="105"/>
        </w:rPr>
        <w:t> </w:t>
      </w:r>
      <w:r>
        <w:rPr>
          <w:color w:val="231F20"/>
          <w:w w:val="105"/>
        </w:rPr>
        <w:t>“arriba</w:t>
      </w:r>
      <w:r>
        <w:rPr>
          <w:color w:val="231F20"/>
          <w:spacing w:val="-19"/>
          <w:w w:val="105"/>
        </w:rPr>
        <w:t> </w:t>
      </w:r>
      <w:r>
        <w:rPr>
          <w:color w:val="231F20"/>
          <w:w w:val="105"/>
        </w:rPr>
        <w:t>hacia</w:t>
      </w:r>
      <w:r>
        <w:rPr>
          <w:color w:val="231F20"/>
          <w:spacing w:val="-19"/>
          <w:w w:val="105"/>
        </w:rPr>
        <w:t> </w:t>
      </w:r>
      <w:r>
        <w:rPr>
          <w:color w:val="231F20"/>
          <w:w w:val="105"/>
        </w:rPr>
        <w:t>abajo”</w:t>
      </w:r>
      <w:r>
        <w:rPr>
          <w:color w:val="231F20"/>
          <w:spacing w:val="-19"/>
          <w:w w:val="105"/>
        </w:rPr>
        <w:t> </w:t>
      </w:r>
      <w:r>
        <w:rPr>
          <w:color w:val="231F20"/>
          <w:w w:val="105"/>
        </w:rPr>
        <w:t>y</w:t>
      </w:r>
      <w:r>
        <w:rPr>
          <w:color w:val="231F20"/>
          <w:spacing w:val="-19"/>
          <w:w w:val="105"/>
        </w:rPr>
        <w:t> </w:t>
      </w:r>
      <w:r>
        <w:rPr>
          <w:color w:val="231F20"/>
          <w:w w:val="105"/>
        </w:rPr>
        <w:t>bajo</w:t>
      </w:r>
      <w:r>
        <w:rPr>
          <w:color w:val="231F20"/>
          <w:spacing w:val="-19"/>
          <w:w w:val="105"/>
        </w:rPr>
        <w:t> </w:t>
      </w:r>
      <w:r>
        <w:rPr>
          <w:color w:val="231F20"/>
          <w:w w:val="105"/>
        </w:rPr>
        <w:t>este</w:t>
      </w:r>
      <w:r>
        <w:rPr>
          <w:color w:val="231F20"/>
          <w:spacing w:val="-19"/>
          <w:w w:val="105"/>
        </w:rPr>
        <w:t> </w:t>
      </w:r>
      <w:r>
        <w:rPr>
          <w:color w:val="231F20"/>
          <w:w w:val="105"/>
        </w:rPr>
        <w:t>esquema</w:t>
      </w:r>
      <w:r>
        <w:rPr>
          <w:color w:val="231F20"/>
          <w:spacing w:val="-19"/>
          <w:w w:val="105"/>
        </w:rPr>
        <w:t> </w:t>
      </w:r>
      <w:r>
        <w:rPr>
          <w:color w:val="231F20"/>
          <w:w w:val="105"/>
        </w:rPr>
        <w:t>se</w:t>
      </w:r>
      <w:r>
        <w:rPr>
          <w:color w:val="231F20"/>
          <w:spacing w:val="-19"/>
          <w:w w:val="105"/>
        </w:rPr>
        <w:t> </w:t>
      </w:r>
      <w:r>
        <w:rPr>
          <w:color w:val="231F20"/>
          <w:w w:val="105"/>
        </w:rPr>
        <w:t>ha llevado a cabo el alto desarrollo humano de sus habitantes, así como la baja margina- ción</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comunidades</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Sin</w:t>
      </w:r>
      <w:r>
        <w:rPr>
          <w:color w:val="231F20"/>
          <w:spacing w:val="-19"/>
          <w:w w:val="105"/>
        </w:rPr>
        <w:t> </w:t>
      </w:r>
      <w:r>
        <w:rPr>
          <w:color w:val="231F20"/>
          <w:w w:val="105"/>
        </w:rPr>
        <w:t>embargo,</w:t>
      </w:r>
      <w:r>
        <w:rPr>
          <w:color w:val="231F20"/>
          <w:spacing w:val="-19"/>
          <w:w w:val="105"/>
        </w:rPr>
        <w:t> </w:t>
      </w:r>
      <w:r>
        <w:rPr>
          <w:color w:val="231F20"/>
          <w:w w:val="105"/>
        </w:rPr>
        <w:t>las</w:t>
      </w:r>
      <w:r>
        <w:rPr>
          <w:color w:val="231F20"/>
          <w:spacing w:val="-19"/>
          <w:w w:val="105"/>
        </w:rPr>
        <w:t> </w:t>
      </w:r>
      <w:r>
        <w:rPr>
          <w:color w:val="231F20"/>
          <w:w w:val="105"/>
        </w:rPr>
        <w:t>diferencias</w:t>
      </w:r>
      <w:r>
        <w:rPr>
          <w:color w:val="231F20"/>
          <w:spacing w:val="-19"/>
          <w:w w:val="105"/>
        </w:rPr>
        <w:t> </w:t>
      </w:r>
      <w:r>
        <w:rPr>
          <w:color w:val="231F20"/>
          <w:w w:val="105"/>
        </w:rPr>
        <w:t>contrastantes</w:t>
      </w:r>
      <w:r>
        <w:rPr>
          <w:color w:val="231F20"/>
          <w:spacing w:val="-19"/>
          <w:w w:val="105"/>
        </w:rPr>
        <w:t> </w:t>
      </w:r>
      <w:r>
        <w:rPr>
          <w:color w:val="231F20"/>
          <w:w w:val="105"/>
        </w:rPr>
        <w:t>entre las diversas regiones del territorio huixquiluquense están generando problemas para  el</w:t>
      </w:r>
      <w:r>
        <w:rPr>
          <w:color w:val="231F20"/>
          <w:spacing w:val="-9"/>
          <w:w w:val="105"/>
        </w:rPr>
        <w:t> </w:t>
      </w:r>
      <w:r>
        <w:rPr>
          <w:color w:val="231F20"/>
          <w:w w:val="105"/>
        </w:rPr>
        <w:t>ejercicio</w:t>
      </w:r>
      <w:r>
        <w:rPr>
          <w:color w:val="231F20"/>
          <w:spacing w:val="-9"/>
          <w:w w:val="105"/>
        </w:rPr>
        <w:t> </w:t>
      </w:r>
      <w:r>
        <w:rPr>
          <w:color w:val="231F20"/>
          <w:w w:val="105"/>
        </w:rPr>
        <w:t>del</w:t>
      </w:r>
      <w:r>
        <w:rPr>
          <w:color w:val="231F20"/>
          <w:spacing w:val="-9"/>
          <w:w w:val="105"/>
        </w:rPr>
        <w:t> </w:t>
      </w:r>
      <w:r>
        <w:rPr>
          <w:color w:val="231F20"/>
          <w:w w:val="105"/>
        </w:rPr>
        <w:t>gobierno,</w:t>
      </w:r>
      <w:r>
        <w:rPr>
          <w:color w:val="231F20"/>
          <w:spacing w:val="-9"/>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desarrollo</w:t>
      </w:r>
      <w:r>
        <w:rPr>
          <w:color w:val="231F20"/>
          <w:spacing w:val="-9"/>
          <w:w w:val="105"/>
        </w:rPr>
        <w:t> </w:t>
      </w:r>
      <w:r>
        <w:rPr>
          <w:color w:val="231F20"/>
          <w:w w:val="105"/>
        </w:rPr>
        <w:t>de</w:t>
      </w:r>
      <w:r>
        <w:rPr>
          <w:color w:val="231F20"/>
          <w:spacing w:val="-9"/>
          <w:w w:val="105"/>
        </w:rPr>
        <w:t> </w:t>
      </w:r>
      <w:r>
        <w:rPr>
          <w:color w:val="231F20"/>
          <w:w w:val="105"/>
        </w:rPr>
        <w:t>políticas</w:t>
      </w:r>
      <w:r>
        <w:rPr>
          <w:color w:val="231F20"/>
          <w:spacing w:val="-9"/>
          <w:w w:val="105"/>
        </w:rPr>
        <w:t> </w:t>
      </w:r>
      <w:r>
        <w:rPr>
          <w:color w:val="231F20"/>
          <w:w w:val="105"/>
        </w:rPr>
        <w:t>de</w:t>
      </w:r>
      <w:r>
        <w:rPr>
          <w:color w:val="231F20"/>
          <w:spacing w:val="-9"/>
          <w:w w:val="105"/>
        </w:rPr>
        <w:t> </w:t>
      </w:r>
      <w:r>
        <w:rPr>
          <w:color w:val="231F20"/>
          <w:w w:val="105"/>
        </w:rPr>
        <w:t>corte</w:t>
      </w:r>
      <w:r>
        <w:rPr>
          <w:color w:val="231F20"/>
          <w:spacing w:val="-9"/>
          <w:w w:val="105"/>
        </w:rPr>
        <w:t> </w:t>
      </w:r>
      <w:r>
        <w:rPr>
          <w:color w:val="231F20"/>
          <w:w w:val="105"/>
        </w:rPr>
        <w:t>centralizadas y excluyentes de los distintos intereses de la comunidad. Ello puede ser una causa del comportamiento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datos</w:t>
      </w:r>
      <w:r>
        <w:rPr>
          <w:color w:val="231F20"/>
          <w:spacing w:val="-11"/>
          <w:w w:val="105"/>
        </w:rPr>
        <w:t> </w:t>
      </w:r>
      <w:r>
        <w:rPr>
          <w:color w:val="231F20"/>
          <w:w w:val="105"/>
        </w:rPr>
        <w:t>electorales</w:t>
      </w:r>
      <w:r>
        <w:rPr>
          <w:color w:val="231F20"/>
          <w:spacing w:val="-11"/>
          <w:w w:val="105"/>
        </w:rPr>
        <w:t> </w:t>
      </w:r>
      <w:r>
        <w:rPr>
          <w:color w:val="231F20"/>
          <w:w w:val="105"/>
        </w:rPr>
        <w:t>que</w:t>
      </w:r>
      <w:r>
        <w:rPr>
          <w:color w:val="231F20"/>
          <w:spacing w:val="-11"/>
          <w:w w:val="105"/>
        </w:rPr>
        <w:t> </w:t>
      </w:r>
      <w:r>
        <w:rPr>
          <w:color w:val="231F20"/>
          <w:w w:val="105"/>
        </w:rPr>
        <w:t>marcan</w:t>
      </w:r>
      <w:r>
        <w:rPr>
          <w:color w:val="231F20"/>
          <w:spacing w:val="-11"/>
          <w:w w:val="105"/>
        </w:rPr>
        <w:t> </w:t>
      </w:r>
      <w:r>
        <w:rPr>
          <w:color w:val="231F20"/>
          <w:w w:val="105"/>
        </w:rPr>
        <w:t>un</w:t>
      </w:r>
      <w:r>
        <w:rPr>
          <w:color w:val="231F20"/>
          <w:spacing w:val="-11"/>
          <w:w w:val="105"/>
        </w:rPr>
        <w:t> </w:t>
      </w:r>
      <w:r>
        <w:rPr>
          <w:color w:val="231F20"/>
          <w:w w:val="105"/>
        </w:rPr>
        <w:t>descenso</w:t>
      </w:r>
      <w:r>
        <w:rPr>
          <w:color w:val="231F20"/>
          <w:spacing w:val="-11"/>
          <w:w w:val="105"/>
        </w:rPr>
        <w:t> </w:t>
      </w:r>
      <w:r>
        <w:rPr>
          <w:color w:val="231F20"/>
          <w:w w:val="105"/>
        </w:rPr>
        <w:t>del</w:t>
      </w:r>
      <w:r>
        <w:rPr>
          <w:color w:val="231F20"/>
          <w:spacing w:val="-11"/>
          <w:w w:val="105"/>
        </w:rPr>
        <w:t> </w:t>
      </w:r>
      <w:r>
        <w:rPr>
          <w:color w:val="231F20"/>
          <w:w w:val="105"/>
        </w:rPr>
        <w:t>apoyo</w:t>
      </w:r>
      <w:r>
        <w:rPr>
          <w:color w:val="231F20"/>
          <w:spacing w:val="-11"/>
          <w:w w:val="105"/>
        </w:rPr>
        <w:t> </w:t>
      </w:r>
      <w:r>
        <w:rPr>
          <w:color w:val="231F20"/>
          <w:w w:val="105"/>
        </w:rPr>
        <w:t>del</w:t>
      </w:r>
      <w:r>
        <w:rPr>
          <w:color w:val="231F20"/>
          <w:spacing w:val="-11"/>
          <w:w w:val="105"/>
        </w:rPr>
        <w:t> </w:t>
      </w:r>
      <w:r>
        <w:rPr>
          <w:color w:val="231F20"/>
          <w:w w:val="105"/>
        </w:rPr>
        <w:t>partido tricolor</w:t>
      </w:r>
      <w:r>
        <w:rPr>
          <w:color w:val="231F20"/>
          <w:spacing w:val="-12"/>
          <w:w w:val="105"/>
        </w:rPr>
        <w:t> </w:t>
      </w:r>
      <w:r>
        <w:rPr>
          <w:color w:val="231F20"/>
          <w:w w:val="105"/>
        </w:rPr>
        <w:t>frente</w:t>
      </w:r>
      <w:r>
        <w:rPr>
          <w:color w:val="231F20"/>
          <w:spacing w:val="-12"/>
          <w:w w:val="105"/>
        </w:rPr>
        <w:t> </w:t>
      </w:r>
      <w:r>
        <w:rPr>
          <w:color w:val="231F20"/>
          <w:spacing w:val="2"/>
          <w:w w:val="105"/>
        </w:rPr>
        <w:t>al</w:t>
      </w:r>
      <w:r>
        <w:rPr>
          <w:color w:val="231F20"/>
          <w:spacing w:val="-12"/>
          <w:w w:val="105"/>
        </w:rPr>
        <w:t> </w:t>
      </w:r>
      <w:r>
        <w:rPr>
          <w:color w:val="231F20"/>
          <w:spacing w:val="-4"/>
          <w:w w:val="105"/>
        </w:rPr>
        <w:t>PAN,</w:t>
      </w:r>
      <w:r>
        <w:rPr>
          <w:color w:val="231F20"/>
          <w:spacing w:val="-12"/>
          <w:w w:val="105"/>
        </w:rPr>
        <w:t> </w:t>
      </w:r>
      <w:r>
        <w:rPr>
          <w:color w:val="231F20"/>
          <w:w w:val="105"/>
        </w:rPr>
        <w:t>de</w:t>
      </w:r>
      <w:r>
        <w:rPr>
          <w:color w:val="231F20"/>
          <w:spacing w:val="-12"/>
          <w:w w:val="105"/>
        </w:rPr>
        <w:t> </w:t>
      </w:r>
      <w:r>
        <w:rPr>
          <w:color w:val="231F20"/>
          <w:w w:val="105"/>
        </w:rPr>
        <w:t>igual</w:t>
      </w:r>
      <w:r>
        <w:rPr>
          <w:color w:val="231F20"/>
          <w:spacing w:val="-12"/>
          <w:w w:val="105"/>
        </w:rPr>
        <w:t> </w:t>
      </w:r>
      <w:r>
        <w:rPr>
          <w:color w:val="231F20"/>
          <w:w w:val="105"/>
        </w:rPr>
        <w:t>manera</w:t>
      </w:r>
      <w:r>
        <w:rPr>
          <w:color w:val="231F20"/>
          <w:spacing w:val="-12"/>
          <w:w w:val="105"/>
        </w:rPr>
        <w:t> </w:t>
      </w:r>
      <w:r>
        <w:rPr>
          <w:color w:val="231F20"/>
          <w:w w:val="105"/>
        </w:rPr>
        <w:t>puede</w:t>
      </w:r>
      <w:r>
        <w:rPr>
          <w:color w:val="231F20"/>
          <w:spacing w:val="-12"/>
          <w:w w:val="105"/>
        </w:rPr>
        <w:t> </w:t>
      </w:r>
      <w:r>
        <w:rPr>
          <w:color w:val="231F20"/>
          <w:w w:val="105"/>
        </w:rPr>
        <w:t>ser</w:t>
      </w:r>
      <w:r>
        <w:rPr>
          <w:color w:val="231F20"/>
          <w:spacing w:val="-12"/>
          <w:w w:val="105"/>
        </w:rPr>
        <w:t> </w:t>
      </w:r>
      <w:r>
        <w:rPr>
          <w:color w:val="231F20"/>
          <w:w w:val="105"/>
        </w:rPr>
        <w:t>motivo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resultados</w:t>
      </w:r>
      <w:r>
        <w:rPr>
          <w:color w:val="231F20"/>
          <w:spacing w:val="-12"/>
          <w:w w:val="105"/>
        </w:rPr>
        <w:t> </w:t>
      </w:r>
      <w:r>
        <w:rPr>
          <w:color w:val="231F20"/>
          <w:w w:val="105"/>
        </w:rPr>
        <w:t>de</w:t>
      </w:r>
      <w:r>
        <w:rPr>
          <w:color w:val="231F20"/>
          <w:spacing w:val="-12"/>
          <w:w w:val="105"/>
        </w:rPr>
        <w:t> </w:t>
      </w:r>
      <w:r>
        <w:rPr>
          <w:color w:val="231F20"/>
          <w:w w:val="105"/>
        </w:rPr>
        <w:t>encuestas de evaluación de los servicios públicos municipales, en </w:t>
      </w:r>
      <w:r>
        <w:rPr>
          <w:color w:val="231F20"/>
          <w:spacing w:val="-3"/>
          <w:w w:val="105"/>
        </w:rPr>
        <w:t>donde </w:t>
      </w:r>
      <w:r>
        <w:rPr>
          <w:color w:val="231F20"/>
          <w:w w:val="105"/>
        </w:rPr>
        <w:t>los gobiernos en turno logran</w:t>
      </w:r>
      <w:r>
        <w:rPr>
          <w:color w:val="231F20"/>
          <w:spacing w:val="-18"/>
          <w:w w:val="105"/>
        </w:rPr>
        <w:t> </w:t>
      </w:r>
      <w:r>
        <w:rPr>
          <w:color w:val="231F20"/>
          <w:w w:val="105"/>
        </w:rPr>
        <w:t>muy</w:t>
      </w:r>
      <w:r>
        <w:rPr>
          <w:color w:val="231F20"/>
          <w:spacing w:val="-18"/>
          <w:w w:val="105"/>
        </w:rPr>
        <w:t> </w:t>
      </w:r>
      <w:r>
        <w:rPr>
          <w:color w:val="231F20"/>
          <w:w w:val="105"/>
        </w:rPr>
        <w:t>poca</w:t>
      </w:r>
      <w:r>
        <w:rPr>
          <w:color w:val="231F20"/>
          <w:spacing w:val="-18"/>
          <w:w w:val="105"/>
        </w:rPr>
        <w:t> </w:t>
      </w:r>
      <w:r>
        <w:rPr>
          <w:color w:val="231F20"/>
          <w:w w:val="105"/>
        </w:rPr>
        <w:t>aprobación.</w:t>
      </w:r>
    </w:p>
    <w:p>
      <w:pPr>
        <w:pStyle w:val="BodyText"/>
        <w:spacing w:before="1"/>
        <w:rPr>
          <w:sz w:val="26"/>
        </w:rPr>
      </w:pPr>
    </w:p>
    <w:p>
      <w:pPr>
        <w:pStyle w:val="BodyText"/>
        <w:spacing w:line="285" w:lineRule="auto"/>
        <w:ind w:left="110" w:right="108"/>
        <w:jc w:val="both"/>
      </w:pPr>
      <w:r>
        <w:rPr>
          <w:color w:val="231F20"/>
          <w:spacing w:val="-3"/>
          <w:w w:val="105"/>
        </w:rPr>
        <w:t>Uno </w:t>
      </w:r>
      <w:r>
        <w:rPr>
          <w:color w:val="231F20"/>
          <w:w w:val="105"/>
        </w:rPr>
        <w:t>de los datos más relevantes del desempeño del gobierno municipal de</w:t>
      </w:r>
      <w:r>
        <w:rPr>
          <w:color w:val="231F20"/>
          <w:spacing w:val="-32"/>
          <w:w w:val="105"/>
        </w:rPr>
        <w:t> </w:t>
      </w:r>
      <w:r>
        <w:rPr>
          <w:color w:val="231F20"/>
          <w:w w:val="105"/>
        </w:rPr>
        <w:t>Huixquilu- can radica en la tendencia creciente de la recaudación de ingresos propios, que se ha visto</w:t>
      </w:r>
      <w:r>
        <w:rPr>
          <w:color w:val="231F20"/>
          <w:spacing w:val="-17"/>
          <w:w w:val="105"/>
        </w:rPr>
        <w:t> </w:t>
      </w:r>
      <w:r>
        <w:rPr>
          <w:color w:val="231F20"/>
          <w:w w:val="105"/>
        </w:rPr>
        <w:t>afectada</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incremento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burocracia</w:t>
      </w:r>
      <w:r>
        <w:rPr>
          <w:color w:val="231F20"/>
          <w:spacing w:val="-17"/>
          <w:w w:val="105"/>
        </w:rPr>
        <w:t> </w:t>
      </w:r>
      <w:r>
        <w:rPr>
          <w:color w:val="231F20"/>
          <w:w w:val="105"/>
        </w:rPr>
        <w:t>municipal,</w:t>
      </w:r>
      <w:r>
        <w:rPr>
          <w:color w:val="231F20"/>
          <w:spacing w:val="-17"/>
          <w:w w:val="105"/>
        </w:rPr>
        <w:t> </w:t>
      </w:r>
      <w:r>
        <w:rPr>
          <w:color w:val="231F20"/>
          <w:w w:val="105"/>
        </w:rPr>
        <w:t>obligando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hacienda</w:t>
      </w:r>
      <w:r>
        <w:rPr>
          <w:color w:val="231F20"/>
          <w:spacing w:val="-17"/>
          <w:w w:val="105"/>
        </w:rPr>
        <w:t> </w:t>
      </w:r>
      <w:r>
        <w:rPr>
          <w:color w:val="231F20"/>
          <w:w w:val="105"/>
        </w:rPr>
        <w:t>del ayuntamiento a recurrir cada vez más </w:t>
      </w:r>
      <w:r>
        <w:rPr>
          <w:color w:val="231F20"/>
          <w:spacing w:val="2"/>
          <w:w w:val="105"/>
        </w:rPr>
        <w:t>al </w:t>
      </w:r>
      <w:r>
        <w:rPr>
          <w:color w:val="231F20"/>
          <w:w w:val="105"/>
        </w:rPr>
        <w:t>financiamiento externo, así como a los recur- sos</w:t>
      </w:r>
      <w:r>
        <w:rPr>
          <w:color w:val="231F20"/>
          <w:spacing w:val="-7"/>
          <w:w w:val="105"/>
        </w:rPr>
        <w:t> </w:t>
      </w:r>
      <w:r>
        <w:rPr>
          <w:color w:val="231F20"/>
          <w:w w:val="105"/>
        </w:rPr>
        <w:t>indirectos.</w:t>
      </w:r>
      <w:r>
        <w:rPr>
          <w:color w:val="231F20"/>
          <w:spacing w:val="-7"/>
          <w:w w:val="105"/>
        </w:rPr>
        <w:t> </w:t>
      </w:r>
      <w:r>
        <w:rPr>
          <w:color w:val="231F20"/>
          <w:w w:val="105"/>
        </w:rPr>
        <w:t>Esto</w:t>
      </w:r>
      <w:r>
        <w:rPr>
          <w:color w:val="231F20"/>
          <w:spacing w:val="-7"/>
          <w:w w:val="105"/>
        </w:rPr>
        <w:t> </w:t>
      </w:r>
      <w:r>
        <w:rPr>
          <w:color w:val="231F20"/>
          <w:w w:val="105"/>
        </w:rPr>
        <w:t>muestra</w:t>
      </w:r>
      <w:r>
        <w:rPr>
          <w:color w:val="231F20"/>
          <w:spacing w:val="-7"/>
          <w:w w:val="105"/>
        </w:rPr>
        <w:t> </w:t>
      </w:r>
      <w:r>
        <w:rPr>
          <w:color w:val="231F20"/>
          <w:w w:val="105"/>
        </w:rPr>
        <w:t>problemas</w:t>
      </w:r>
      <w:r>
        <w:rPr>
          <w:color w:val="231F20"/>
          <w:spacing w:val="-7"/>
          <w:w w:val="105"/>
        </w:rPr>
        <w:t> </w:t>
      </w:r>
      <w:r>
        <w:rPr>
          <w:color w:val="231F20"/>
          <w:w w:val="105"/>
        </w:rPr>
        <w:t>administrativos</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planeación</w:t>
      </w:r>
      <w:r>
        <w:rPr>
          <w:color w:val="231F20"/>
          <w:spacing w:val="-7"/>
          <w:w w:val="105"/>
        </w:rPr>
        <w:t> </w:t>
      </w:r>
      <w:r>
        <w:rPr>
          <w:color w:val="231F20"/>
          <w:w w:val="105"/>
        </w:rPr>
        <w:t>municipal</w:t>
      </w:r>
      <w:r>
        <w:rPr>
          <w:color w:val="231F20"/>
          <w:spacing w:val="-7"/>
          <w:w w:val="105"/>
        </w:rPr>
        <w:t> </w:t>
      </w:r>
      <w:r>
        <w:rPr>
          <w:color w:val="231F20"/>
          <w:w w:val="105"/>
        </w:rPr>
        <w:t>que se</w:t>
      </w:r>
      <w:r>
        <w:rPr>
          <w:color w:val="231F20"/>
          <w:spacing w:val="-17"/>
          <w:w w:val="105"/>
        </w:rPr>
        <w:t> </w:t>
      </w:r>
      <w:r>
        <w:rPr>
          <w:color w:val="231F20"/>
          <w:w w:val="105"/>
        </w:rPr>
        <w:t>agravan</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perfiles</w:t>
      </w:r>
      <w:r>
        <w:rPr>
          <w:color w:val="231F20"/>
          <w:spacing w:val="-17"/>
          <w:w w:val="105"/>
        </w:rPr>
        <w:t> </w:t>
      </w:r>
      <w:r>
        <w:rPr>
          <w:color w:val="231F20"/>
          <w:w w:val="105"/>
        </w:rPr>
        <w:t>poco</w:t>
      </w:r>
      <w:r>
        <w:rPr>
          <w:color w:val="231F20"/>
          <w:spacing w:val="-17"/>
          <w:w w:val="105"/>
        </w:rPr>
        <w:t> </w:t>
      </w:r>
      <w:r>
        <w:rPr>
          <w:color w:val="231F20"/>
          <w:w w:val="105"/>
        </w:rPr>
        <w:t>profesionalizados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integrantes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APM.</w:t>
      </w:r>
    </w:p>
    <w:p>
      <w:pPr>
        <w:pStyle w:val="BodyText"/>
        <w:spacing w:before="1"/>
        <w:rPr>
          <w:sz w:val="26"/>
        </w:rPr>
      </w:pPr>
    </w:p>
    <w:p>
      <w:pPr>
        <w:pStyle w:val="BodyText"/>
        <w:spacing w:line="285" w:lineRule="auto"/>
        <w:ind w:left="110" w:right="108"/>
        <w:jc w:val="both"/>
      </w:pPr>
      <w:r>
        <w:rPr>
          <w:color w:val="231F20"/>
          <w:w w:val="105"/>
        </w:rPr>
        <w:t>Una consecuencia no prevista del debilitamiento de la f lexibilidad financiera del municipio huixquiluquense está en una menor autonomía frente al gobierno estatal, pues este último es el encargado de la distribución de las aportaciones y participa- ciones estatales y, sobre todo, federales. Además de que durante las administracio- nes de alcaldes priístas en los periodos 2003-2006 y 2006-2009, ellos han manifesta- do su apego a las líneas políticas de los gobernadores estatales surgidos del PRI, con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right="574"/>
      </w:pPr>
      <w:r>
        <w:rPr>
          <w:color w:val="231F20"/>
          <w:w w:val="105"/>
        </w:rPr>
        <w:t>quienes han compartido la misma militancia partidista.</w:t>
      </w:r>
    </w:p>
    <w:p>
      <w:pPr>
        <w:pStyle w:val="BodyText"/>
        <w:spacing w:before="2"/>
        <w:rPr>
          <w:sz w:val="30"/>
        </w:rPr>
      </w:pPr>
    </w:p>
    <w:p>
      <w:pPr>
        <w:pStyle w:val="BodyText"/>
        <w:spacing w:line="285" w:lineRule="auto"/>
        <w:ind w:left="110" w:right="106"/>
        <w:jc w:val="both"/>
      </w:pPr>
      <w:r>
        <w:rPr>
          <w:color w:val="231F20"/>
          <w:spacing w:val="3"/>
          <w:w w:val="105"/>
        </w:rPr>
        <w:t>Al </w:t>
      </w:r>
      <w:r>
        <w:rPr>
          <w:color w:val="231F20"/>
          <w:w w:val="105"/>
        </w:rPr>
        <w:t>final, la centralización y personalización fomentada por el marco institucional del ayuntamiento huixquiluquense ha abierto la puerta </w:t>
      </w:r>
      <w:r>
        <w:rPr>
          <w:color w:val="231F20"/>
          <w:spacing w:val="2"/>
          <w:w w:val="105"/>
        </w:rPr>
        <w:t>al </w:t>
      </w:r>
      <w:r>
        <w:rPr>
          <w:color w:val="231F20"/>
          <w:w w:val="105"/>
        </w:rPr>
        <w:t>ejercicio del gobierno del presi- dente</w:t>
      </w:r>
      <w:r>
        <w:rPr>
          <w:color w:val="231F20"/>
          <w:spacing w:val="-6"/>
          <w:w w:val="105"/>
        </w:rPr>
        <w:t> </w:t>
      </w:r>
      <w:r>
        <w:rPr>
          <w:color w:val="231F20"/>
          <w:w w:val="105"/>
        </w:rPr>
        <w:t>municipal</w:t>
      </w:r>
      <w:r>
        <w:rPr>
          <w:color w:val="231F20"/>
          <w:spacing w:val="-6"/>
          <w:w w:val="105"/>
        </w:rPr>
        <w:t> </w:t>
      </w:r>
      <w:r>
        <w:rPr>
          <w:color w:val="231F20"/>
          <w:w w:val="105"/>
        </w:rPr>
        <w:t>bajo</w:t>
      </w:r>
      <w:r>
        <w:rPr>
          <w:color w:val="231F20"/>
          <w:spacing w:val="-6"/>
          <w:w w:val="105"/>
        </w:rPr>
        <w:t> </w:t>
      </w:r>
      <w:r>
        <w:rPr>
          <w:color w:val="231F20"/>
          <w:w w:val="105"/>
        </w:rPr>
        <w:t>criterios</w:t>
      </w:r>
      <w:r>
        <w:rPr>
          <w:color w:val="231F20"/>
          <w:spacing w:val="-6"/>
          <w:w w:val="105"/>
        </w:rPr>
        <w:t> </w:t>
      </w:r>
      <w:r>
        <w:rPr>
          <w:color w:val="231F20"/>
          <w:w w:val="105"/>
        </w:rPr>
        <w:t>pragmáticos</w:t>
      </w:r>
      <w:r>
        <w:rPr>
          <w:color w:val="231F20"/>
          <w:spacing w:val="-6"/>
          <w:w w:val="105"/>
        </w:rPr>
        <w:t> </w:t>
      </w:r>
      <w:r>
        <w:rPr>
          <w:color w:val="231F20"/>
          <w:w w:val="105"/>
        </w:rPr>
        <w:t>y</w:t>
      </w:r>
      <w:r>
        <w:rPr>
          <w:color w:val="231F20"/>
          <w:spacing w:val="-6"/>
          <w:w w:val="105"/>
        </w:rPr>
        <w:t> </w:t>
      </w:r>
      <w:r>
        <w:rPr>
          <w:color w:val="231F20"/>
          <w:w w:val="105"/>
        </w:rPr>
        <w:t>preocupados</w:t>
      </w:r>
      <w:r>
        <w:rPr>
          <w:color w:val="231F20"/>
          <w:spacing w:val="-6"/>
          <w:w w:val="105"/>
        </w:rPr>
        <w:t> </w:t>
      </w:r>
      <w:r>
        <w:rPr>
          <w:color w:val="231F20"/>
          <w:w w:val="105"/>
        </w:rPr>
        <w:t>por</w:t>
      </w:r>
      <w:r>
        <w:rPr>
          <w:color w:val="231F20"/>
          <w:spacing w:val="-6"/>
          <w:w w:val="105"/>
        </w:rPr>
        <w:t> </w:t>
      </w:r>
      <w:r>
        <w:rPr>
          <w:color w:val="231F20"/>
          <w:w w:val="105"/>
        </w:rPr>
        <w:t>continuar</w:t>
      </w:r>
      <w:r>
        <w:rPr>
          <w:color w:val="231F20"/>
          <w:spacing w:val="-6"/>
          <w:w w:val="105"/>
        </w:rPr>
        <w:t> </w:t>
      </w:r>
      <w:r>
        <w:rPr>
          <w:color w:val="231F20"/>
          <w:w w:val="105"/>
        </w:rPr>
        <w:t>su</w:t>
      </w:r>
      <w:r>
        <w:rPr>
          <w:color w:val="231F20"/>
          <w:spacing w:val="-6"/>
          <w:w w:val="105"/>
        </w:rPr>
        <w:t> </w:t>
      </w:r>
      <w:r>
        <w:rPr>
          <w:color w:val="231F20"/>
          <w:w w:val="105"/>
        </w:rPr>
        <w:t>carrera</w:t>
      </w:r>
      <w:r>
        <w:rPr>
          <w:color w:val="231F20"/>
          <w:spacing w:val="-6"/>
          <w:w w:val="105"/>
        </w:rPr>
        <w:t> </w:t>
      </w:r>
      <w:r>
        <w:rPr>
          <w:color w:val="231F20"/>
          <w:w w:val="105"/>
        </w:rPr>
        <w:t>po- lítica</w:t>
      </w:r>
      <w:r>
        <w:rPr>
          <w:color w:val="231F20"/>
          <w:spacing w:val="-24"/>
          <w:w w:val="105"/>
        </w:rPr>
        <w:t> </w:t>
      </w:r>
      <w:r>
        <w:rPr>
          <w:color w:val="231F20"/>
          <w:w w:val="105"/>
        </w:rPr>
        <w:t>más</w:t>
      </w:r>
      <w:r>
        <w:rPr>
          <w:color w:val="231F20"/>
          <w:spacing w:val="-24"/>
          <w:w w:val="105"/>
        </w:rPr>
        <w:t> </w:t>
      </w:r>
      <w:r>
        <w:rPr>
          <w:color w:val="231F20"/>
          <w:spacing w:val="2"/>
          <w:w w:val="105"/>
        </w:rPr>
        <w:t>allá</w:t>
      </w:r>
      <w:r>
        <w:rPr>
          <w:color w:val="231F20"/>
          <w:spacing w:val="-24"/>
          <w:w w:val="105"/>
        </w:rPr>
        <w:t> </w:t>
      </w:r>
      <w:r>
        <w:rPr>
          <w:color w:val="231F20"/>
          <w:w w:val="105"/>
        </w:rPr>
        <w:t>del</w:t>
      </w:r>
      <w:r>
        <w:rPr>
          <w:color w:val="231F20"/>
          <w:spacing w:val="-24"/>
          <w:w w:val="105"/>
        </w:rPr>
        <w:t> </w:t>
      </w:r>
      <w:r>
        <w:rPr>
          <w:color w:val="231F20"/>
          <w:w w:val="105"/>
        </w:rPr>
        <w:t>cargo</w:t>
      </w:r>
      <w:r>
        <w:rPr>
          <w:color w:val="231F20"/>
          <w:spacing w:val="-24"/>
          <w:w w:val="105"/>
        </w:rPr>
        <w:t> </w:t>
      </w:r>
      <w:r>
        <w:rPr>
          <w:color w:val="231F20"/>
          <w:w w:val="105"/>
        </w:rPr>
        <w:t>municipal,</w:t>
      </w:r>
      <w:r>
        <w:rPr>
          <w:color w:val="231F20"/>
          <w:spacing w:val="-24"/>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APM</w:t>
      </w:r>
      <w:r>
        <w:rPr>
          <w:color w:val="231F20"/>
          <w:spacing w:val="-24"/>
          <w:w w:val="105"/>
        </w:rPr>
        <w:t> </w:t>
      </w:r>
      <w:r>
        <w:rPr>
          <w:color w:val="231F20"/>
          <w:w w:val="105"/>
        </w:rPr>
        <w:t>se</w:t>
      </w:r>
      <w:r>
        <w:rPr>
          <w:color w:val="231F20"/>
          <w:spacing w:val="-24"/>
          <w:w w:val="105"/>
        </w:rPr>
        <w:t> </w:t>
      </w:r>
      <w:r>
        <w:rPr>
          <w:color w:val="231F20"/>
          <w:w w:val="105"/>
        </w:rPr>
        <w:t>vuelve</w:t>
      </w:r>
      <w:r>
        <w:rPr>
          <w:color w:val="231F20"/>
          <w:spacing w:val="-24"/>
          <w:w w:val="105"/>
        </w:rPr>
        <w:t> </w:t>
      </w:r>
      <w:r>
        <w:rPr>
          <w:color w:val="231F20"/>
          <w:w w:val="105"/>
        </w:rPr>
        <w:t>un</w:t>
      </w:r>
      <w:r>
        <w:rPr>
          <w:color w:val="231F20"/>
          <w:spacing w:val="-24"/>
          <w:w w:val="105"/>
        </w:rPr>
        <w:t> </w:t>
      </w:r>
      <w:r>
        <w:rPr>
          <w:color w:val="231F20"/>
          <w:w w:val="105"/>
        </w:rPr>
        <w:t>cargo</w:t>
      </w:r>
      <w:r>
        <w:rPr>
          <w:color w:val="231F20"/>
          <w:spacing w:val="-24"/>
          <w:w w:val="105"/>
        </w:rPr>
        <w:t> </w:t>
      </w:r>
      <w:r>
        <w:rPr>
          <w:color w:val="231F20"/>
          <w:w w:val="105"/>
        </w:rPr>
        <w:t>“momentáneo” que</w:t>
      </w:r>
      <w:r>
        <w:rPr>
          <w:color w:val="231F20"/>
          <w:spacing w:val="-12"/>
          <w:w w:val="105"/>
        </w:rPr>
        <w:t> </w:t>
      </w:r>
      <w:r>
        <w:rPr>
          <w:color w:val="231F20"/>
          <w:w w:val="105"/>
        </w:rPr>
        <w:t>sirve</w:t>
      </w:r>
      <w:r>
        <w:rPr>
          <w:color w:val="231F20"/>
          <w:spacing w:val="-12"/>
          <w:w w:val="105"/>
        </w:rPr>
        <w:t> </w:t>
      </w:r>
      <w:r>
        <w:rPr>
          <w:color w:val="231F20"/>
          <w:w w:val="105"/>
        </w:rPr>
        <w:t>de</w:t>
      </w:r>
      <w:r>
        <w:rPr>
          <w:color w:val="231F20"/>
          <w:spacing w:val="-12"/>
          <w:w w:val="105"/>
        </w:rPr>
        <w:t> </w:t>
      </w:r>
      <w:r>
        <w:rPr>
          <w:color w:val="231F20"/>
          <w:w w:val="105"/>
        </w:rPr>
        <w:t>plataforma</w:t>
      </w:r>
      <w:r>
        <w:rPr>
          <w:color w:val="231F20"/>
          <w:spacing w:val="-12"/>
          <w:w w:val="105"/>
        </w:rPr>
        <w:t> </w:t>
      </w:r>
      <w:r>
        <w:rPr>
          <w:color w:val="231F20"/>
          <w:w w:val="105"/>
        </w:rPr>
        <w:t>de</w:t>
      </w:r>
      <w:r>
        <w:rPr>
          <w:color w:val="231F20"/>
          <w:spacing w:val="-12"/>
          <w:w w:val="105"/>
        </w:rPr>
        <w:t> </w:t>
      </w:r>
      <w:r>
        <w:rPr>
          <w:color w:val="231F20"/>
          <w:w w:val="105"/>
        </w:rPr>
        <w:t>activismo</w:t>
      </w:r>
      <w:r>
        <w:rPr>
          <w:color w:val="231F20"/>
          <w:spacing w:val="-12"/>
          <w:w w:val="105"/>
        </w:rPr>
        <w:t> </w:t>
      </w:r>
      <w:r>
        <w:rPr>
          <w:color w:val="231F20"/>
          <w:w w:val="105"/>
        </w:rPr>
        <w:t>político,</w:t>
      </w:r>
      <w:r>
        <w:rPr>
          <w:color w:val="231F20"/>
          <w:spacing w:val="-12"/>
          <w:w w:val="105"/>
        </w:rPr>
        <w:t> </w:t>
      </w:r>
      <w:r>
        <w:rPr>
          <w:color w:val="231F20"/>
          <w:w w:val="105"/>
        </w:rPr>
        <w:t>tanto</w:t>
      </w:r>
      <w:r>
        <w:rPr>
          <w:color w:val="231F20"/>
          <w:spacing w:val="-12"/>
          <w:w w:val="105"/>
        </w:rPr>
        <w:t> </w:t>
      </w:r>
      <w:r>
        <w:rPr>
          <w:color w:val="231F20"/>
          <w:spacing w:val="2"/>
          <w:w w:val="105"/>
        </w:rPr>
        <w:t>al</w:t>
      </w:r>
      <w:r>
        <w:rPr>
          <w:color w:val="231F20"/>
          <w:spacing w:val="-12"/>
          <w:w w:val="105"/>
        </w:rPr>
        <w:t> </w:t>
      </w:r>
      <w:r>
        <w:rPr>
          <w:color w:val="231F20"/>
          <w:w w:val="105"/>
        </w:rPr>
        <w:t>interior</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partido</w:t>
      </w:r>
      <w:r>
        <w:rPr>
          <w:color w:val="231F20"/>
          <w:spacing w:val="-12"/>
          <w:w w:val="105"/>
        </w:rPr>
        <w:t> </w:t>
      </w:r>
      <w:r>
        <w:rPr>
          <w:color w:val="231F20"/>
          <w:w w:val="105"/>
        </w:rPr>
        <w:t>como</w:t>
      </w:r>
      <w:r>
        <w:rPr>
          <w:color w:val="231F20"/>
          <w:spacing w:val="-12"/>
          <w:w w:val="105"/>
        </w:rPr>
        <w:t> </w:t>
      </w:r>
      <w:r>
        <w:rPr>
          <w:color w:val="231F20"/>
          <w:w w:val="105"/>
        </w:rPr>
        <w:t>entre su</w:t>
      </w:r>
      <w:r>
        <w:rPr>
          <w:color w:val="231F20"/>
          <w:spacing w:val="-7"/>
          <w:w w:val="105"/>
        </w:rPr>
        <w:t> </w:t>
      </w:r>
      <w:r>
        <w:rPr>
          <w:color w:val="231F20"/>
          <w:w w:val="105"/>
        </w:rPr>
        <w:t>electorado,</w:t>
      </w:r>
      <w:r>
        <w:rPr>
          <w:color w:val="231F20"/>
          <w:spacing w:val="-7"/>
          <w:w w:val="105"/>
        </w:rPr>
        <w:t> </w:t>
      </w:r>
      <w:r>
        <w:rPr>
          <w:color w:val="231F20"/>
          <w:w w:val="105"/>
        </w:rPr>
        <w:t>para</w:t>
      </w:r>
      <w:r>
        <w:rPr>
          <w:color w:val="231F20"/>
          <w:spacing w:val="-7"/>
          <w:w w:val="105"/>
        </w:rPr>
        <w:t> </w:t>
      </w:r>
      <w:r>
        <w:rPr>
          <w:color w:val="231F20"/>
          <w:w w:val="105"/>
        </w:rPr>
        <w:t>promocionarse</w:t>
      </w:r>
      <w:r>
        <w:rPr>
          <w:color w:val="231F20"/>
          <w:spacing w:val="-7"/>
          <w:w w:val="105"/>
        </w:rPr>
        <w:t> </w:t>
      </w:r>
      <w:r>
        <w:rPr>
          <w:color w:val="231F20"/>
          <w:w w:val="105"/>
        </w:rPr>
        <w:t>con</w:t>
      </w:r>
      <w:r>
        <w:rPr>
          <w:color w:val="231F20"/>
          <w:spacing w:val="-7"/>
          <w:w w:val="105"/>
        </w:rPr>
        <w:t> </w:t>
      </w:r>
      <w:r>
        <w:rPr>
          <w:color w:val="231F20"/>
          <w:spacing w:val="2"/>
          <w:w w:val="105"/>
        </w:rPr>
        <w:t>miras</w:t>
      </w:r>
      <w:r>
        <w:rPr>
          <w:color w:val="231F20"/>
          <w:spacing w:val="-7"/>
          <w:w w:val="105"/>
        </w:rPr>
        <w:t> </w:t>
      </w:r>
      <w:r>
        <w:rPr>
          <w:color w:val="231F20"/>
          <w:w w:val="105"/>
        </w:rPr>
        <w:t>a</w:t>
      </w:r>
      <w:r>
        <w:rPr>
          <w:color w:val="231F20"/>
          <w:spacing w:val="-7"/>
          <w:w w:val="105"/>
        </w:rPr>
        <w:t> </w:t>
      </w:r>
      <w:r>
        <w:rPr>
          <w:color w:val="231F20"/>
          <w:w w:val="105"/>
        </w:rPr>
        <w:t>un</w:t>
      </w:r>
      <w:r>
        <w:rPr>
          <w:color w:val="231F20"/>
          <w:spacing w:val="-7"/>
          <w:w w:val="105"/>
        </w:rPr>
        <w:t> </w:t>
      </w:r>
      <w:r>
        <w:rPr>
          <w:color w:val="231F20"/>
          <w:w w:val="105"/>
        </w:rPr>
        <w:t>futuro</w:t>
      </w:r>
      <w:r>
        <w:rPr>
          <w:color w:val="231F20"/>
          <w:spacing w:val="-7"/>
          <w:w w:val="105"/>
        </w:rPr>
        <w:t> </w:t>
      </w:r>
      <w:r>
        <w:rPr>
          <w:color w:val="231F20"/>
          <w:w w:val="105"/>
        </w:rPr>
        <w:t>político.</w:t>
      </w:r>
    </w:p>
    <w:p>
      <w:pPr>
        <w:pStyle w:val="BodyText"/>
        <w:spacing w:before="10"/>
      </w:pPr>
    </w:p>
    <w:p>
      <w:pPr>
        <w:pStyle w:val="Heading3"/>
        <w:ind w:right="574"/>
        <w:jc w:val="left"/>
      </w:pPr>
      <w:r>
        <w:rPr>
          <w:color w:val="231F20"/>
          <w:w w:val="105"/>
        </w:rPr>
        <w:t>Fuentes de consulta</w:t>
      </w:r>
    </w:p>
    <w:p>
      <w:pPr>
        <w:spacing w:line="348" w:lineRule="auto" w:before="75"/>
        <w:ind w:left="393" w:right="961" w:hanging="284"/>
        <w:jc w:val="left"/>
        <w:rPr>
          <w:sz w:val="18"/>
        </w:rPr>
      </w:pPr>
      <w:r>
        <w:rPr>
          <w:color w:val="231F20"/>
          <w:w w:val="105"/>
          <w:sz w:val="18"/>
        </w:rPr>
        <w:t>ACEDO,</w:t>
      </w:r>
      <w:r>
        <w:rPr>
          <w:color w:val="231F20"/>
          <w:spacing w:val="-15"/>
          <w:w w:val="105"/>
          <w:sz w:val="18"/>
        </w:rPr>
        <w:t> </w:t>
      </w:r>
      <w:r>
        <w:rPr>
          <w:color w:val="231F20"/>
          <w:w w:val="105"/>
          <w:sz w:val="18"/>
        </w:rPr>
        <w:t>Blanca</w:t>
      </w:r>
      <w:r>
        <w:rPr>
          <w:color w:val="231F20"/>
          <w:spacing w:val="-15"/>
          <w:w w:val="105"/>
          <w:sz w:val="18"/>
        </w:rPr>
        <w:t> </w:t>
      </w:r>
      <w:r>
        <w:rPr>
          <w:color w:val="231F20"/>
          <w:w w:val="105"/>
          <w:sz w:val="18"/>
        </w:rPr>
        <w:t>M.</w:t>
      </w:r>
      <w:r>
        <w:rPr>
          <w:color w:val="231F20"/>
          <w:spacing w:val="-15"/>
          <w:w w:val="105"/>
          <w:sz w:val="18"/>
        </w:rPr>
        <w:t> </w:t>
      </w:r>
      <w:r>
        <w:rPr>
          <w:color w:val="231F20"/>
          <w:w w:val="105"/>
          <w:sz w:val="18"/>
        </w:rPr>
        <w:t>(2000),</w:t>
      </w:r>
      <w:r>
        <w:rPr>
          <w:color w:val="231F20"/>
          <w:spacing w:val="-15"/>
          <w:w w:val="105"/>
          <w:sz w:val="18"/>
        </w:rPr>
        <w:t> </w:t>
      </w:r>
      <w:r>
        <w:rPr>
          <w:color w:val="231F20"/>
          <w:w w:val="105"/>
          <w:sz w:val="18"/>
        </w:rPr>
        <w:t>Representación</w:t>
      </w:r>
      <w:r>
        <w:rPr>
          <w:color w:val="231F20"/>
          <w:spacing w:val="-15"/>
          <w:w w:val="105"/>
          <w:sz w:val="18"/>
        </w:rPr>
        <w:t> </w:t>
      </w:r>
      <w:r>
        <w:rPr>
          <w:color w:val="231F20"/>
          <w:w w:val="105"/>
          <w:sz w:val="18"/>
        </w:rPr>
        <w:t>política</w:t>
      </w:r>
      <w:r>
        <w:rPr>
          <w:color w:val="231F20"/>
          <w:spacing w:val="-15"/>
          <w:w w:val="105"/>
          <w:sz w:val="18"/>
        </w:rPr>
        <w:t> </w:t>
      </w:r>
      <w:r>
        <w:rPr>
          <w:color w:val="231F20"/>
          <w:w w:val="105"/>
          <w:sz w:val="18"/>
        </w:rPr>
        <w:t>y</w:t>
      </w:r>
      <w:r>
        <w:rPr>
          <w:color w:val="231F20"/>
          <w:spacing w:val="-15"/>
          <w:w w:val="105"/>
          <w:sz w:val="18"/>
        </w:rPr>
        <w:t> </w:t>
      </w:r>
      <w:r>
        <w:rPr>
          <w:color w:val="231F20"/>
          <w:w w:val="105"/>
          <w:sz w:val="18"/>
        </w:rPr>
        <w:t>sistemas</w:t>
      </w:r>
      <w:r>
        <w:rPr>
          <w:color w:val="231F20"/>
          <w:spacing w:val="-15"/>
          <w:w w:val="105"/>
          <w:sz w:val="18"/>
        </w:rPr>
        <w:t> </w:t>
      </w:r>
      <w:r>
        <w:rPr>
          <w:color w:val="231F20"/>
          <w:w w:val="105"/>
          <w:sz w:val="18"/>
        </w:rPr>
        <w:t>electorales</w:t>
      </w:r>
      <w:r>
        <w:rPr>
          <w:color w:val="231F20"/>
          <w:spacing w:val="-15"/>
          <w:w w:val="105"/>
          <w:sz w:val="18"/>
        </w:rPr>
        <w:t> </w:t>
      </w:r>
      <w:r>
        <w:rPr>
          <w:color w:val="231F20"/>
          <w:w w:val="105"/>
          <w:sz w:val="18"/>
        </w:rPr>
        <w:t>municipales, </w:t>
      </w:r>
      <w:r>
        <w:rPr>
          <w:color w:val="231F20"/>
          <w:sz w:val="18"/>
        </w:rPr>
        <w:t>México,</w:t>
      </w:r>
      <w:r>
        <w:rPr>
          <w:color w:val="231F20"/>
          <w:spacing w:val="6"/>
          <w:sz w:val="18"/>
        </w:rPr>
        <w:t> </w:t>
      </w:r>
      <w:r>
        <w:rPr>
          <w:color w:val="231F20"/>
          <w:spacing w:val="2"/>
          <w:sz w:val="18"/>
        </w:rPr>
        <w:t>CIDE.</w:t>
      </w:r>
    </w:p>
    <w:p>
      <w:pPr>
        <w:spacing w:line="348" w:lineRule="auto" w:before="3"/>
        <w:ind w:left="393" w:right="961" w:hanging="284"/>
        <w:jc w:val="left"/>
        <w:rPr>
          <w:sz w:val="18"/>
        </w:rPr>
      </w:pPr>
      <w:r>
        <w:rPr>
          <w:color w:val="231F20"/>
          <w:w w:val="105"/>
          <w:sz w:val="18"/>
        </w:rPr>
        <w:t>ÁLVAREZ,</w:t>
      </w:r>
      <w:r>
        <w:rPr>
          <w:color w:val="231F20"/>
          <w:spacing w:val="-17"/>
          <w:w w:val="105"/>
          <w:sz w:val="18"/>
        </w:rPr>
        <w:t> </w:t>
      </w:r>
      <w:r>
        <w:rPr>
          <w:color w:val="231F20"/>
          <w:w w:val="105"/>
          <w:sz w:val="18"/>
        </w:rPr>
        <w:t>Eréndira</w:t>
      </w:r>
      <w:r>
        <w:rPr>
          <w:color w:val="231F20"/>
          <w:spacing w:val="-17"/>
          <w:w w:val="105"/>
          <w:sz w:val="18"/>
        </w:rPr>
        <w:t> </w:t>
      </w:r>
      <w:r>
        <w:rPr>
          <w:color w:val="231F20"/>
          <w:w w:val="105"/>
          <w:sz w:val="18"/>
        </w:rPr>
        <w:t>y</w:t>
      </w:r>
      <w:r>
        <w:rPr>
          <w:color w:val="231F20"/>
          <w:spacing w:val="-17"/>
          <w:w w:val="105"/>
          <w:sz w:val="18"/>
        </w:rPr>
        <w:t> </w:t>
      </w:r>
      <w:r>
        <w:rPr>
          <w:color w:val="231F20"/>
          <w:w w:val="105"/>
          <w:sz w:val="18"/>
        </w:rPr>
        <w:t>Castro</w:t>
      </w:r>
      <w:r>
        <w:rPr>
          <w:color w:val="231F20"/>
          <w:spacing w:val="-17"/>
          <w:w w:val="105"/>
          <w:sz w:val="18"/>
        </w:rPr>
        <w:t> </w:t>
      </w:r>
      <w:r>
        <w:rPr>
          <w:color w:val="231F20"/>
          <w:w w:val="105"/>
          <w:sz w:val="18"/>
        </w:rPr>
        <w:t>S.,</w:t>
      </w:r>
      <w:r>
        <w:rPr>
          <w:color w:val="231F20"/>
          <w:spacing w:val="-17"/>
          <w:w w:val="105"/>
          <w:sz w:val="18"/>
        </w:rPr>
        <w:t> </w:t>
      </w:r>
      <w:r>
        <w:rPr>
          <w:color w:val="231F20"/>
          <w:spacing w:val="2"/>
          <w:w w:val="105"/>
          <w:sz w:val="18"/>
        </w:rPr>
        <w:t>Óscar</w:t>
      </w:r>
      <w:r>
        <w:rPr>
          <w:color w:val="231F20"/>
          <w:spacing w:val="-17"/>
          <w:w w:val="105"/>
          <w:sz w:val="18"/>
        </w:rPr>
        <w:t> </w:t>
      </w:r>
      <w:r>
        <w:rPr>
          <w:color w:val="231F20"/>
          <w:w w:val="105"/>
          <w:sz w:val="18"/>
        </w:rPr>
        <w:t>(2000),</w:t>
      </w:r>
      <w:r>
        <w:rPr>
          <w:color w:val="231F20"/>
          <w:spacing w:val="-17"/>
          <w:w w:val="105"/>
          <w:sz w:val="18"/>
        </w:rPr>
        <w:t> </w:t>
      </w:r>
      <w:r>
        <w:rPr>
          <w:color w:val="231F20"/>
          <w:w w:val="105"/>
          <w:sz w:val="18"/>
        </w:rPr>
        <w:t>Participación</w:t>
      </w:r>
      <w:r>
        <w:rPr>
          <w:color w:val="231F20"/>
          <w:spacing w:val="-17"/>
          <w:w w:val="105"/>
          <w:sz w:val="18"/>
        </w:rPr>
        <w:t> </w:t>
      </w:r>
      <w:r>
        <w:rPr>
          <w:color w:val="231F20"/>
          <w:w w:val="105"/>
          <w:sz w:val="18"/>
        </w:rPr>
        <w:t>ciudadana</w:t>
      </w:r>
      <w:r>
        <w:rPr>
          <w:color w:val="231F20"/>
          <w:spacing w:val="-17"/>
          <w:w w:val="105"/>
          <w:sz w:val="18"/>
        </w:rPr>
        <w:t> </w:t>
      </w:r>
      <w:r>
        <w:rPr>
          <w:color w:val="231F20"/>
          <w:w w:val="105"/>
          <w:sz w:val="18"/>
        </w:rPr>
        <w:t>y</w:t>
      </w:r>
      <w:r>
        <w:rPr>
          <w:color w:val="231F20"/>
          <w:spacing w:val="-17"/>
          <w:w w:val="105"/>
          <w:sz w:val="18"/>
        </w:rPr>
        <w:t> </w:t>
      </w:r>
      <w:r>
        <w:rPr>
          <w:color w:val="231F20"/>
          <w:w w:val="105"/>
          <w:sz w:val="18"/>
        </w:rPr>
        <w:t>gobierno</w:t>
      </w:r>
      <w:r>
        <w:rPr>
          <w:color w:val="231F20"/>
          <w:spacing w:val="-17"/>
          <w:w w:val="105"/>
          <w:sz w:val="18"/>
        </w:rPr>
        <w:t> </w:t>
      </w:r>
      <w:r>
        <w:rPr>
          <w:color w:val="231F20"/>
          <w:w w:val="105"/>
          <w:sz w:val="18"/>
        </w:rPr>
        <w:t>local, </w:t>
      </w:r>
      <w:r>
        <w:rPr>
          <w:color w:val="231F20"/>
          <w:sz w:val="18"/>
        </w:rPr>
        <w:t>México,</w:t>
      </w:r>
      <w:r>
        <w:rPr>
          <w:color w:val="231F20"/>
          <w:spacing w:val="6"/>
          <w:sz w:val="18"/>
        </w:rPr>
        <w:t> </w:t>
      </w:r>
      <w:r>
        <w:rPr>
          <w:color w:val="231F20"/>
          <w:spacing w:val="2"/>
          <w:sz w:val="18"/>
        </w:rPr>
        <w:t>CIDE.</w:t>
      </w:r>
    </w:p>
    <w:p>
      <w:pPr>
        <w:spacing w:line="348" w:lineRule="auto" w:before="3"/>
        <w:ind w:left="393" w:right="574" w:hanging="284"/>
        <w:jc w:val="left"/>
        <w:rPr>
          <w:sz w:val="18"/>
        </w:rPr>
      </w:pPr>
      <w:r>
        <w:rPr>
          <w:color w:val="231F20"/>
          <w:w w:val="105"/>
          <w:sz w:val="18"/>
        </w:rPr>
        <w:t>CABRERO</w:t>
      </w:r>
      <w:r>
        <w:rPr>
          <w:color w:val="231F20"/>
          <w:spacing w:val="-17"/>
          <w:w w:val="105"/>
          <w:sz w:val="18"/>
        </w:rPr>
        <w:t> </w:t>
      </w:r>
      <w:r>
        <w:rPr>
          <w:color w:val="231F20"/>
          <w:w w:val="105"/>
          <w:sz w:val="18"/>
        </w:rPr>
        <w:t>M.,</w:t>
      </w:r>
      <w:r>
        <w:rPr>
          <w:color w:val="231F20"/>
          <w:spacing w:val="-17"/>
          <w:w w:val="105"/>
          <w:sz w:val="18"/>
        </w:rPr>
        <w:t> </w:t>
      </w:r>
      <w:r>
        <w:rPr>
          <w:color w:val="231F20"/>
          <w:w w:val="105"/>
          <w:sz w:val="18"/>
        </w:rPr>
        <w:t>Enrique</w:t>
      </w:r>
      <w:r>
        <w:rPr>
          <w:color w:val="231F20"/>
          <w:spacing w:val="-17"/>
          <w:w w:val="105"/>
          <w:sz w:val="18"/>
        </w:rPr>
        <w:t> </w:t>
      </w:r>
      <w:r>
        <w:rPr>
          <w:color w:val="231F20"/>
          <w:w w:val="105"/>
          <w:sz w:val="18"/>
        </w:rPr>
        <w:t>(1995),</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nueva</w:t>
      </w:r>
      <w:r>
        <w:rPr>
          <w:color w:val="231F20"/>
          <w:spacing w:val="-17"/>
          <w:w w:val="105"/>
          <w:sz w:val="18"/>
        </w:rPr>
        <w:t> </w:t>
      </w:r>
      <w:r>
        <w:rPr>
          <w:color w:val="231F20"/>
          <w:w w:val="105"/>
          <w:sz w:val="18"/>
        </w:rPr>
        <w:t>gestión</w:t>
      </w:r>
      <w:r>
        <w:rPr>
          <w:color w:val="231F20"/>
          <w:spacing w:val="-17"/>
          <w:w w:val="105"/>
          <w:sz w:val="18"/>
        </w:rPr>
        <w:t> </w:t>
      </w:r>
      <w:r>
        <w:rPr>
          <w:color w:val="231F20"/>
          <w:w w:val="105"/>
          <w:sz w:val="18"/>
        </w:rPr>
        <w:t>municipal</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México.</w:t>
      </w:r>
      <w:r>
        <w:rPr>
          <w:color w:val="231F20"/>
          <w:spacing w:val="-17"/>
          <w:w w:val="105"/>
          <w:sz w:val="18"/>
        </w:rPr>
        <w:t> </w:t>
      </w:r>
      <w:r>
        <w:rPr>
          <w:color w:val="231F20"/>
          <w:spacing w:val="2"/>
          <w:w w:val="105"/>
          <w:sz w:val="18"/>
        </w:rPr>
        <w:t>Análisis</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experiencias innovadoras</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gobiernos</w:t>
      </w:r>
      <w:r>
        <w:rPr>
          <w:color w:val="231F20"/>
          <w:spacing w:val="-14"/>
          <w:w w:val="105"/>
          <w:sz w:val="18"/>
        </w:rPr>
        <w:t> </w:t>
      </w:r>
      <w:r>
        <w:rPr>
          <w:color w:val="231F20"/>
          <w:w w:val="105"/>
          <w:sz w:val="18"/>
        </w:rPr>
        <w:t>locales,</w:t>
      </w:r>
      <w:r>
        <w:rPr>
          <w:color w:val="231F20"/>
          <w:spacing w:val="-14"/>
          <w:w w:val="105"/>
          <w:sz w:val="18"/>
        </w:rPr>
        <w:t> </w:t>
      </w:r>
      <w:r>
        <w:rPr>
          <w:color w:val="231F20"/>
          <w:w w:val="105"/>
          <w:sz w:val="18"/>
        </w:rPr>
        <w:t>México,</w:t>
      </w:r>
      <w:r>
        <w:rPr>
          <w:color w:val="231F20"/>
          <w:spacing w:val="-14"/>
          <w:w w:val="105"/>
          <w:sz w:val="18"/>
        </w:rPr>
        <w:t> </w:t>
      </w:r>
      <w:r>
        <w:rPr>
          <w:color w:val="231F20"/>
          <w:w w:val="105"/>
          <w:sz w:val="18"/>
        </w:rPr>
        <w:t>Miguel</w:t>
      </w:r>
      <w:r>
        <w:rPr>
          <w:color w:val="231F20"/>
          <w:spacing w:val="-14"/>
          <w:w w:val="105"/>
          <w:sz w:val="18"/>
        </w:rPr>
        <w:t> </w:t>
      </w:r>
      <w:r>
        <w:rPr>
          <w:color w:val="231F20"/>
          <w:w w:val="105"/>
          <w:sz w:val="18"/>
        </w:rPr>
        <w:t>Ángel</w:t>
      </w:r>
      <w:r>
        <w:rPr>
          <w:color w:val="231F20"/>
          <w:spacing w:val="-14"/>
          <w:w w:val="105"/>
          <w:sz w:val="18"/>
        </w:rPr>
        <w:t> </w:t>
      </w:r>
      <w:r>
        <w:rPr>
          <w:color w:val="231F20"/>
          <w:w w:val="105"/>
          <w:sz w:val="18"/>
        </w:rPr>
        <w:t>Porrúa,</w:t>
      </w:r>
      <w:r>
        <w:rPr>
          <w:color w:val="231F20"/>
          <w:spacing w:val="-14"/>
          <w:w w:val="105"/>
          <w:sz w:val="18"/>
        </w:rPr>
        <w:t> </w:t>
      </w:r>
      <w:r>
        <w:rPr>
          <w:color w:val="231F20"/>
          <w:w w:val="105"/>
          <w:sz w:val="18"/>
        </w:rPr>
        <w:t>CIDE.</w:t>
      </w:r>
    </w:p>
    <w:p>
      <w:pPr>
        <w:spacing w:line="348" w:lineRule="auto" w:before="3"/>
        <w:ind w:left="393" w:right="442" w:hanging="284"/>
        <w:jc w:val="left"/>
        <w:rPr>
          <w:sz w:val="18"/>
        </w:rPr>
      </w:pPr>
      <w:r>
        <w:rPr>
          <w:color w:val="231F20"/>
          <w:w w:val="105"/>
          <w:sz w:val="18"/>
        </w:rPr>
        <w:t>CABRERO M., Enrique (2000), Hacia la construcción de una agenda para la reforma administrativa municipal en México, México, CIDE.</w:t>
      </w:r>
    </w:p>
    <w:p>
      <w:pPr>
        <w:spacing w:line="348" w:lineRule="auto" w:before="3"/>
        <w:ind w:left="393" w:right="3205" w:hanging="284"/>
        <w:jc w:val="left"/>
        <w:rPr>
          <w:sz w:val="18"/>
        </w:rPr>
      </w:pPr>
      <w:r>
        <w:rPr>
          <w:color w:val="231F20"/>
          <w:sz w:val="18"/>
        </w:rPr>
        <w:t>CORZO, Hugo (2000), </w:t>
      </w:r>
      <w:r>
        <w:rPr>
          <w:color w:val="231F20"/>
          <w:spacing w:val="-2"/>
          <w:sz w:val="18"/>
        </w:rPr>
        <w:t>“Va </w:t>
      </w:r>
      <w:r>
        <w:rPr>
          <w:color w:val="231F20"/>
          <w:sz w:val="18"/>
        </w:rPr>
        <w:t>por la primera mayoría”, en Reforma, 2 de junio de</w:t>
      </w:r>
      <w:r>
        <w:rPr>
          <w:color w:val="231F20"/>
          <w:spacing w:val="28"/>
          <w:sz w:val="18"/>
        </w:rPr>
        <w:t> </w:t>
      </w:r>
      <w:r>
        <w:rPr>
          <w:color w:val="231F20"/>
          <w:spacing w:val="3"/>
          <w:sz w:val="18"/>
        </w:rPr>
        <w:t>2000.</w:t>
      </w:r>
    </w:p>
    <w:p>
      <w:pPr>
        <w:spacing w:line="348" w:lineRule="auto" w:before="3"/>
        <w:ind w:left="393" w:right="574" w:hanging="284"/>
        <w:jc w:val="left"/>
        <w:rPr>
          <w:sz w:val="18"/>
        </w:rPr>
      </w:pPr>
      <w:r>
        <w:rPr>
          <w:color w:val="231F20"/>
          <w:w w:val="105"/>
          <w:sz w:val="18"/>
        </w:rPr>
        <w:t>FUENTES V., Adrián (2008b), Currículum, [Documento en línea] disponible en: </w:t>
      </w:r>
      <w:hyperlink r:id="rId133">
        <w:r>
          <w:rPr>
            <w:color w:val="231F20"/>
            <w:sz w:val="18"/>
          </w:rPr>
          <w:t>http://200.66.90.178/index.php?option=com_content&amp;task=view&amp;id=122&amp;Itemid=250.</w:t>
        </w:r>
      </w:hyperlink>
    </w:p>
    <w:p>
      <w:pPr>
        <w:spacing w:line="348" w:lineRule="auto" w:before="3"/>
        <w:ind w:left="393" w:right="242" w:hanging="284"/>
        <w:jc w:val="left"/>
        <w:rPr>
          <w:sz w:val="18"/>
        </w:rPr>
      </w:pPr>
      <w:r>
        <w:rPr>
          <w:color w:val="231F20"/>
          <w:w w:val="105"/>
          <w:sz w:val="18"/>
        </w:rPr>
        <w:t>FUNTANET M., Francisco (2009), Currículum vitae, [Documento en línea] disponible en: </w:t>
      </w:r>
      <w:hyperlink r:id="rId134">
        <w:r>
          <w:rPr>
            <w:color w:val="231F20"/>
            <w:w w:val="105"/>
            <w:sz w:val="18"/>
          </w:rPr>
          <w:t>http://www.comce.org.mx/eventos/documentos/2009/INVI-DESAYUNO-PRESIDENTE-COSTA-</w:t>
        </w:r>
      </w:hyperlink>
      <w:r>
        <w:rPr>
          <w:color w:val="231F20"/>
          <w:w w:val="105"/>
          <w:sz w:val="18"/>
        </w:rPr>
        <w:t> RICA-27MAR09.pdf</w:t>
      </w:r>
    </w:p>
    <w:p>
      <w:pPr>
        <w:spacing w:line="348" w:lineRule="auto" w:before="3"/>
        <w:ind w:left="393" w:right="378" w:hanging="284"/>
        <w:jc w:val="left"/>
        <w:rPr>
          <w:sz w:val="18"/>
        </w:rPr>
      </w:pPr>
      <w:r>
        <w:rPr>
          <w:color w:val="231F20"/>
          <w:w w:val="105"/>
          <w:sz w:val="18"/>
        </w:rPr>
        <w:t>GUILLÉN,</w:t>
      </w:r>
      <w:r>
        <w:rPr>
          <w:color w:val="231F20"/>
          <w:spacing w:val="-14"/>
          <w:w w:val="105"/>
          <w:sz w:val="18"/>
        </w:rPr>
        <w:t> </w:t>
      </w:r>
      <w:r>
        <w:rPr>
          <w:color w:val="231F20"/>
          <w:w w:val="105"/>
          <w:sz w:val="18"/>
        </w:rPr>
        <w:t>Tonatiuh</w:t>
      </w:r>
      <w:r>
        <w:rPr>
          <w:color w:val="231F20"/>
          <w:spacing w:val="-14"/>
          <w:w w:val="105"/>
          <w:sz w:val="18"/>
        </w:rPr>
        <w:t> </w:t>
      </w:r>
      <w:r>
        <w:rPr>
          <w:color w:val="231F20"/>
          <w:w w:val="105"/>
          <w:sz w:val="18"/>
        </w:rPr>
        <w:t>y</w:t>
      </w:r>
      <w:r>
        <w:rPr>
          <w:color w:val="231F20"/>
          <w:spacing w:val="-14"/>
          <w:w w:val="105"/>
          <w:sz w:val="18"/>
        </w:rPr>
        <w:t> </w:t>
      </w:r>
      <w:r>
        <w:rPr>
          <w:color w:val="231F20"/>
          <w:w w:val="105"/>
          <w:sz w:val="18"/>
        </w:rPr>
        <w:t>ZICCARDI,</w:t>
      </w:r>
      <w:r>
        <w:rPr>
          <w:color w:val="231F20"/>
          <w:spacing w:val="-14"/>
          <w:w w:val="105"/>
          <w:sz w:val="18"/>
        </w:rPr>
        <w:t> </w:t>
      </w:r>
      <w:r>
        <w:rPr>
          <w:color w:val="231F20"/>
          <w:spacing w:val="2"/>
          <w:w w:val="105"/>
          <w:sz w:val="18"/>
        </w:rPr>
        <w:t>Alicia</w:t>
      </w:r>
      <w:r>
        <w:rPr>
          <w:color w:val="231F20"/>
          <w:spacing w:val="-14"/>
          <w:w w:val="105"/>
          <w:sz w:val="18"/>
        </w:rPr>
        <w:t> </w:t>
      </w:r>
      <w:r>
        <w:rPr>
          <w:color w:val="231F20"/>
          <w:w w:val="105"/>
          <w:sz w:val="18"/>
        </w:rPr>
        <w:t>(2004),</w:t>
      </w:r>
      <w:r>
        <w:rPr>
          <w:color w:val="231F20"/>
          <w:spacing w:val="-14"/>
          <w:w w:val="105"/>
          <w:sz w:val="18"/>
        </w:rPr>
        <w:t> </w:t>
      </w:r>
      <w:r>
        <w:rPr>
          <w:color w:val="231F20"/>
          <w:w w:val="105"/>
          <w:sz w:val="18"/>
        </w:rPr>
        <w:t>“Introducción:</w:t>
      </w:r>
      <w:r>
        <w:rPr>
          <w:color w:val="231F20"/>
          <w:spacing w:val="-14"/>
          <w:w w:val="105"/>
          <w:sz w:val="18"/>
        </w:rPr>
        <w:t> </w:t>
      </w:r>
      <w:r>
        <w:rPr>
          <w:color w:val="231F20"/>
          <w:w w:val="105"/>
          <w:sz w:val="18"/>
        </w:rPr>
        <w:t>parámetros</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reforma</w:t>
      </w:r>
      <w:r>
        <w:rPr>
          <w:color w:val="231F20"/>
          <w:spacing w:val="-14"/>
          <w:w w:val="105"/>
          <w:sz w:val="18"/>
        </w:rPr>
        <w:t> </w:t>
      </w:r>
      <w:r>
        <w:rPr>
          <w:color w:val="231F20"/>
          <w:w w:val="105"/>
          <w:sz w:val="18"/>
        </w:rPr>
        <w:t>municipal en</w:t>
      </w:r>
      <w:r>
        <w:rPr>
          <w:color w:val="231F20"/>
          <w:spacing w:val="-18"/>
          <w:w w:val="105"/>
          <w:sz w:val="18"/>
        </w:rPr>
        <w:t> </w:t>
      </w:r>
      <w:r>
        <w:rPr>
          <w:color w:val="231F20"/>
          <w:w w:val="105"/>
          <w:sz w:val="18"/>
        </w:rPr>
        <w:t>México”,</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GUILLÉN,</w:t>
      </w:r>
      <w:r>
        <w:rPr>
          <w:color w:val="231F20"/>
          <w:spacing w:val="-18"/>
          <w:w w:val="105"/>
          <w:sz w:val="18"/>
        </w:rPr>
        <w:t> </w:t>
      </w:r>
      <w:r>
        <w:rPr>
          <w:color w:val="231F20"/>
          <w:w w:val="105"/>
          <w:sz w:val="18"/>
        </w:rPr>
        <w:t>Tonatiuh</w:t>
      </w:r>
      <w:r>
        <w:rPr>
          <w:color w:val="231F20"/>
          <w:spacing w:val="-18"/>
          <w:w w:val="105"/>
          <w:sz w:val="18"/>
        </w:rPr>
        <w:t> </w:t>
      </w:r>
      <w:r>
        <w:rPr>
          <w:color w:val="231F20"/>
          <w:w w:val="105"/>
          <w:sz w:val="18"/>
        </w:rPr>
        <w:t>y</w:t>
      </w:r>
      <w:r>
        <w:rPr>
          <w:color w:val="231F20"/>
          <w:spacing w:val="-18"/>
          <w:w w:val="105"/>
          <w:sz w:val="18"/>
        </w:rPr>
        <w:t> </w:t>
      </w:r>
      <w:r>
        <w:rPr>
          <w:color w:val="231F20"/>
          <w:w w:val="105"/>
          <w:sz w:val="18"/>
        </w:rPr>
        <w:t>Ziccardi,</w:t>
      </w:r>
      <w:r>
        <w:rPr>
          <w:color w:val="231F20"/>
          <w:spacing w:val="-18"/>
          <w:w w:val="105"/>
          <w:sz w:val="18"/>
        </w:rPr>
        <w:t> </w:t>
      </w:r>
      <w:r>
        <w:rPr>
          <w:color w:val="231F20"/>
          <w:spacing w:val="2"/>
          <w:w w:val="105"/>
          <w:sz w:val="18"/>
        </w:rPr>
        <w:t>Alicia</w:t>
      </w:r>
      <w:r>
        <w:rPr>
          <w:color w:val="231F20"/>
          <w:spacing w:val="-18"/>
          <w:w w:val="105"/>
          <w:sz w:val="18"/>
        </w:rPr>
        <w:t> </w:t>
      </w:r>
      <w:r>
        <w:rPr>
          <w:color w:val="231F20"/>
          <w:w w:val="105"/>
          <w:sz w:val="18"/>
        </w:rPr>
        <w:t>(coords.),</w:t>
      </w:r>
      <w:r>
        <w:rPr>
          <w:color w:val="231F20"/>
          <w:spacing w:val="-18"/>
          <w:w w:val="105"/>
          <w:sz w:val="18"/>
        </w:rPr>
        <w:t> </w:t>
      </w:r>
      <w:r>
        <w:rPr>
          <w:color w:val="231F20"/>
          <w:w w:val="105"/>
          <w:sz w:val="18"/>
        </w:rPr>
        <w:t>Innovación</w:t>
      </w:r>
      <w:r>
        <w:rPr>
          <w:color w:val="231F20"/>
          <w:spacing w:val="-18"/>
          <w:w w:val="105"/>
          <w:sz w:val="18"/>
        </w:rPr>
        <w:t> </w:t>
      </w:r>
      <w:r>
        <w:rPr>
          <w:color w:val="231F20"/>
          <w:w w:val="105"/>
          <w:sz w:val="18"/>
        </w:rPr>
        <w:t>y</w:t>
      </w:r>
      <w:r>
        <w:rPr>
          <w:color w:val="231F20"/>
          <w:spacing w:val="-18"/>
          <w:w w:val="105"/>
          <w:sz w:val="18"/>
        </w:rPr>
        <w:t> </w:t>
      </w:r>
      <w:r>
        <w:rPr>
          <w:color w:val="231F20"/>
          <w:w w:val="105"/>
          <w:sz w:val="18"/>
        </w:rPr>
        <w:t>continuidad</w:t>
      </w:r>
    </w:p>
    <w:p>
      <w:pPr>
        <w:spacing w:line="348" w:lineRule="auto" w:before="3"/>
        <w:ind w:left="393" w:right="961" w:firstLine="0"/>
        <w:jc w:val="left"/>
        <w:rPr>
          <w:sz w:val="18"/>
        </w:rPr>
      </w:pPr>
      <w:r>
        <w:rPr>
          <w:color w:val="231F20"/>
          <w:sz w:val="18"/>
        </w:rPr>
        <w:t>del municipio mexicano. Análisis de la reforma municipal de 13 estados de la república, México, IIS-UNAM.</w:t>
      </w:r>
    </w:p>
    <w:p>
      <w:pPr>
        <w:spacing w:line="348" w:lineRule="auto" w:before="3"/>
        <w:ind w:left="393" w:right="819" w:hanging="284"/>
        <w:jc w:val="left"/>
        <w:rPr>
          <w:sz w:val="18"/>
        </w:rPr>
      </w:pPr>
      <w:r>
        <w:rPr>
          <w:color w:val="231F20"/>
          <w:spacing w:val="2"/>
          <w:sz w:val="18"/>
        </w:rPr>
        <w:t>HERNÁNDEZ </w:t>
      </w:r>
      <w:r>
        <w:rPr>
          <w:color w:val="231F20"/>
          <w:sz w:val="18"/>
        </w:rPr>
        <w:t>R., Rogelio </w:t>
      </w:r>
      <w:r>
        <w:rPr>
          <w:color w:val="231F20"/>
          <w:spacing w:val="-3"/>
          <w:sz w:val="18"/>
        </w:rPr>
        <w:t>(1998), </w:t>
      </w:r>
      <w:r>
        <w:rPr>
          <w:color w:val="231F20"/>
          <w:sz w:val="18"/>
        </w:rPr>
        <w:t>Amistades, compromisos y lealtades: líderes y grupos políticos en el Estado de México, 1942-1993, México, </w:t>
      </w:r>
      <w:r>
        <w:rPr>
          <w:color w:val="231F20"/>
          <w:spacing w:val="17"/>
          <w:sz w:val="18"/>
        </w:rPr>
        <w:t> </w:t>
      </w:r>
      <w:r>
        <w:rPr>
          <w:color w:val="231F20"/>
          <w:sz w:val="18"/>
        </w:rPr>
        <w:t>Colmex.</w:t>
      </w:r>
    </w:p>
    <w:p>
      <w:pPr>
        <w:spacing w:after="0" w:line="348" w:lineRule="auto"/>
        <w:jc w:val="left"/>
        <w:rPr>
          <w:sz w:val="18"/>
        </w:rPr>
        <w:sectPr>
          <w:pgSz w:w="9640" w:h="12190"/>
          <w:pgMar w:header="0" w:footer="743" w:top="1120" w:bottom="940" w:left="740" w:right="740"/>
        </w:sectPr>
      </w:pPr>
    </w:p>
    <w:p>
      <w:pPr>
        <w:pStyle w:val="BodyText"/>
        <w:spacing w:before="6"/>
        <w:rPr>
          <w:sz w:val="13"/>
        </w:rPr>
      </w:pPr>
    </w:p>
    <w:p>
      <w:pPr>
        <w:spacing w:line="348" w:lineRule="auto" w:before="47"/>
        <w:ind w:left="393" w:right="3771" w:hanging="284"/>
        <w:jc w:val="left"/>
        <w:rPr>
          <w:sz w:val="18"/>
        </w:rPr>
      </w:pPr>
      <w:r>
        <w:rPr>
          <w:color w:val="231F20"/>
          <w:sz w:val="18"/>
        </w:rPr>
        <w:t>KORENFELD F., David (2008), Currículum vitae, Mimeo.</w:t>
      </w:r>
    </w:p>
    <w:p>
      <w:pPr>
        <w:spacing w:line="348" w:lineRule="auto" w:before="3"/>
        <w:ind w:left="393" w:right="2577" w:hanging="284"/>
        <w:jc w:val="left"/>
        <w:rPr>
          <w:sz w:val="18"/>
        </w:rPr>
      </w:pPr>
      <w:r>
        <w:rPr>
          <w:color w:val="231F20"/>
          <w:sz w:val="18"/>
        </w:rPr>
        <w:t>MEJÍA L., José (1994), Problemática y desarrollo municipal, México, Plaza y Valdés editores, UIA.</w:t>
      </w:r>
    </w:p>
    <w:p>
      <w:pPr>
        <w:spacing w:line="348" w:lineRule="auto" w:before="3"/>
        <w:ind w:left="393" w:right="518" w:hanging="284"/>
        <w:jc w:val="left"/>
        <w:rPr>
          <w:sz w:val="18"/>
        </w:rPr>
      </w:pPr>
      <w:r>
        <w:rPr>
          <w:color w:val="231F20"/>
          <w:sz w:val="18"/>
        </w:rPr>
        <w:t>MONTAÑO D., </w:t>
      </w:r>
      <w:r>
        <w:rPr>
          <w:color w:val="231F20"/>
          <w:spacing w:val="2"/>
          <w:sz w:val="18"/>
        </w:rPr>
        <w:t>María </w:t>
      </w:r>
      <w:r>
        <w:rPr>
          <w:color w:val="231F20"/>
          <w:spacing w:val="-2"/>
          <w:sz w:val="18"/>
        </w:rPr>
        <w:t>Teresa </w:t>
      </w:r>
      <w:r>
        <w:rPr>
          <w:color w:val="231F20"/>
          <w:sz w:val="18"/>
        </w:rPr>
        <w:t>(2002), “Anulan la licencia otorgada </w:t>
      </w:r>
      <w:r>
        <w:rPr>
          <w:color w:val="231F20"/>
          <w:spacing w:val="2"/>
          <w:sz w:val="18"/>
        </w:rPr>
        <w:t>al edil panista </w:t>
      </w:r>
      <w:r>
        <w:rPr>
          <w:color w:val="231F20"/>
          <w:sz w:val="18"/>
        </w:rPr>
        <w:t>de Huixquilucan”,  en El Universal, 21 febrero</w:t>
      </w:r>
      <w:r>
        <w:rPr>
          <w:color w:val="231F20"/>
          <w:spacing w:val="23"/>
          <w:sz w:val="18"/>
        </w:rPr>
        <w:t> </w:t>
      </w:r>
      <w:r>
        <w:rPr>
          <w:color w:val="231F20"/>
          <w:spacing w:val="3"/>
          <w:sz w:val="18"/>
        </w:rPr>
        <w:t>2002.</w:t>
      </w:r>
    </w:p>
    <w:p>
      <w:pPr>
        <w:spacing w:line="348" w:lineRule="auto" w:before="3"/>
        <w:ind w:left="393" w:right="518" w:hanging="284"/>
        <w:jc w:val="left"/>
        <w:rPr>
          <w:sz w:val="18"/>
        </w:rPr>
      </w:pPr>
      <w:r>
        <w:rPr>
          <w:color w:val="231F20"/>
          <w:sz w:val="18"/>
        </w:rPr>
        <w:t>MORALES, Lorena (2008), “Buscan finanzas sanas”, en Reforma, 8 de agosto de 2008, p. 10 y 11, sección Estado.</w:t>
      </w:r>
    </w:p>
    <w:p>
      <w:pPr>
        <w:spacing w:before="3"/>
        <w:ind w:left="110" w:right="518" w:firstLine="0"/>
        <w:jc w:val="left"/>
        <w:rPr>
          <w:sz w:val="18"/>
        </w:rPr>
      </w:pPr>
      <w:r>
        <w:rPr>
          <w:color w:val="231F20"/>
          <w:w w:val="105"/>
          <w:sz w:val="18"/>
        </w:rPr>
        <w:t>PORTAL (2008), “Se caen casas en fraccionamiento de la familia Funtanet”, en Portal digital,</w:t>
      </w:r>
    </w:p>
    <w:p>
      <w:pPr>
        <w:spacing w:line="348" w:lineRule="auto" w:before="93"/>
        <w:ind w:left="393" w:right="0" w:firstLine="0"/>
        <w:jc w:val="left"/>
        <w:rPr>
          <w:sz w:val="18"/>
        </w:rPr>
      </w:pPr>
      <w:r>
        <w:rPr>
          <w:color w:val="231F20"/>
          <w:w w:val="105"/>
          <w:sz w:val="18"/>
        </w:rPr>
        <w:t>28 agosto 2009 [documento en línea] disponible en </w:t>
      </w:r>
      <w:hyperlink r:id="rId135">
        <w:r>
          <w:rPr>
            <w:color w:val="231F20"/>
            <w:w w:val="105"/>
            <w:sz w:val="18"/>
          </w:rPr>
          <w:t>http://www.portal-digital.com.mx/notacompleta</w:t>
        </w:r>
      </w:hyperlink>
      <w:r>
        <w:rPr>
          <w:color w:val="231F20"/>
          <w:w w:val="105"/>
          <w:sz w:val="18"/>
        </w:rPr>
        <w:t> php?%20var=9888.</w:t>
      </w:r>
    </w:p>
    <w:p>
      <w:pPr>
        <w:spacing w:line="348" w:lineRule="auto" w:before="3"/>
        <w:ind w:left="393" w:right="1072" w:hanging="284"/>
        <w:jc w:val="left"/>
        <w:rPr>
          <w:sz w:val="18"/>
        </w:rPr>
      </w:pPr>
      <w:r>
        <w:rPr>
          <w:color w:val="231F20"/>
          <w:sz w:val="18"/>
        </w:rPr>
        <w:t>REFORMA (2008), “Prevalece la no denuncia”, en Reforma, 8 de agosto de 2008, p. 11, sección Estado.</w:t>
      </w:r>
    </w:p>
    <w:p>
      <w:pPr>
        <w:spacing w:line="348" w:lineRule="auto" w:before="3"/>
        <w:ind w:left="393" w:right="1072" w:hanging="284"/>
        <w:jc w:val="left"/>
        <w:rPr>
          <w:sz w:val="18"/>
        </w:rPr>
      </w:pPr>
      <w:r>
        <w:rPr>
          <w:color w:val="231F20"/>
          <w:sz w:val="18"/>
        </w:rPr>
        <w:t>Ziccardi, </w:t>
      </w:r>
      <w:r>
        <w:rPr>
          <w:color w:val="231F20"/>
          <w:spacing w:val="2"/>
          <w:sz w:val="18"/>
        </w:rPr>
        <w:t>Alicia </w:t>
      </w:r>
      <w:r>
        <w:rPr>
          <w:color w:val="231F20"/>
          <w:sz w:val="18"/>
        </w:rPr>
        <w:t>y </w:t>
      </w:r>
      <w:r>
        <w:rPr>
          <w:color w:val="231F20"/>
          <w:spacing w:val="2"/>
          <w:sz w:val="18"/>
        </w:rPr>
        <w:t>Saltalamacchia, </w:t>
      </w:r>
      <w:r>
        <w:rPr>
          <w:color w:val="231F20"/>
          <w:sz w:val="18"/>
        </w:rPr>
        <w:t>Homero (1997), Metodología de evaluación del desempeño  de los gobiernos locales en ciudades </w:t>
      </w:r>
      <w:r>
        <w:rPr>
          <w:color w:val="231F20"/>
          <w:spacing w:val="2"/>
          <w:sz w:val="18"/>
        </w:rPr>
        <w:t>mexicanas, </w:t>
      </w:r>
      <w:r>
        <w:rPr>
          <w:color w:val="231F20"/>
          <w:sz w:val="18"/>
        </w:rPr>
        <w:t>México,  </w:t>
      </w:r>
      <w:r>
        <w:rPr>
          <w:color w:val="231F20"/>
          <w:spacing w:val="21"/>
          <w:sz w:val="18"/>
        </w:rPr>
        <w:t> </w:t>
      </w:r>
      <w:r>
        <w:rPr>
          <w:color w:val="231F20"/>
          <w:spacing w:val="2"/>
          <w:sz w:val="18"/>
        </w:rPr>
        <w:t>IIS-UNAM.</w:t>
      </w:r>
    </w:p>
    <w:p>
      <w:pPr>
        <w:pStyle w:val="BodyText"/>
        <w:spacing w:before="10"/>
        <w:rPr>
          <w:sz w:val="19"/>
        </w:rPr>
      </w:pPr>
    </w:p>
    <w:p>
      <w:pPr>
        <w:pStyle w:val="Heading3"/>
        <w:ind w:right="3771"/>
        <w:jc w:val="left"/>
      </w:pPr>
      <w:r>
        <w:rPr>
          <w:color w:val="231F20"/>
          <w:w w:val="105"/>
        </w:rPr>
        <w:t>Normas e informes de gobierno.</w:t>
      </w:r>
    </w:p>
    <w:p>
      <w:pPr>
        <w:spacing w:line="348" w:lineRule="auto" w:before="75"/>
        <w:ind w:left="393" w:right="664" w:hanging="284"/>
        <w:jc w:val="left"/>
        <w:rPr>
          <w:sz w:val="18"/>
        </w:rPr>
      </w:pPr>
      <w:r>
        <w:rPr>
          <w:color w:val="231F20"/>
          <w:spacing w:val="2"/>
          <w:sz w:val="18"/>
        </w:rPr>
        <w:t>FUENTES </w:t>
      </w:r>
      <w:r>
        <w:rPr>
          <w:color w:val="231F20"/>
          <w:spacing w:val="-6"/>
          <w:sz w:val="18"/>
        </w:rPr>
        <w:t>V., </w:t>
      </w:r>
      <w:r>
        <w:rPr>
          <w:color w:val="231F20"/>
          <w:sz w:val="18"/>
        </w:rPr>
        <w:t>Adrián (2007), “Primer informe de gobierno”, en Gaceta Municipal, año </w:t>
      </w:r>
      <w:r>
        <w:rPr>
          <w:color w:val="231F20"/>
          <w:spacing w:val="-3"/>
          <w:sz w:val="18"/>
        </w:rPr>
        <w:t>01, </w:t>
      </w:r>
      <w:r>
        <w:rPr>
          <w:color w:val="231F20"/>
          <w:sz w:val="18"/>
        </w:rPr>
        <w:t>núm. 09,    1 de agosto de 2007, Huixquilucan, Estado de  </w:t>
      </w:r>
      <w:r>
        <w:rPr>
          <w:color w:val="231F20"/>
          <w:spacing w:val="17"/>
          <w:sz w:val="18"/>
        </w:rPr>
        <w:t> </w:t>
      </w:r>
      <w:r>
        <w:rPr>
          <w:color w:val="231F20"/>
          <w:sz w:val="18"/>
        </w:rPr>
        <w:t>México.</w:t>
      </w:r>
    </w:p>
    <w:p>
      <w:pPr>
        <w:spacing w:line="348" w:lineRule="auto" w:before="3"/>
        <w:ind w:left="393" w:right="1072" w:hanging="284"/>
        <w:jc w:val="left"/>
        <w:rPr>
          <w:sz w:val="18"/>
        </w:rPr>
      </w:pPr>
      <w:r>
        <w:rPr>
          <w:color w:val="231F20"/>
          <w:sz w:val="18"/>
        </w:rPr>
        <w:t>FUENTES V., Adrián (2008a), “Segundo informe de gobierno”, en Gaceta Municipal, año 03, núm. 15, 8 de agosto de 2008, Huixquilucan, Estado de   México.</w:t>
      </w:r>
    </w:p>
    <w:p>
      <w:pPr>
        <w:spacing w:line="348" w:lineRule="auto" w:before="3"/>
        <w:ind w:left="393" w:right="518" w:hanging="284"/>
        <w:jc w:val="left"/>
        <w:rPr>
          <w:sz w:val="18"/>
        </w:rPr>
      </w:pPr>
      <w:r>
        <w:rPr>
          <w:color w:val="231F20"/>
          <w:sz w:val="18"/>
        </w:rPr>
        <w:t>GOBIERNO DEL ESTADO DE MÉXICO (2008), Ley orgánica municipal del Estado de México, Toluca, México.</w:t>
      </w:r>
    </w:p>
    <w:p>
      <w:pPr>
        <w:spacing w:before="3"/>
        <w:ind w:left="110" w:right="518" w:firstLine="0"/>
        <w:jc w:val="left"/>
        <w:rPr>
          <w:sz w:val="18"/>
        </w:rPr>
      </w:pPr>
      <w:r>
        <w:rPr>
          <w:color w:val="231F20"/>
          <w:sz w:val="18"/>
        </w:rPr>
        <w:t>HUIXQUILUCAN (2004), “Reglamento Orgánico de la Administración Pública Municipal</w:t>
      </w:r>
    </w:p>
    <w:p>
      <w:pPr>
        <w:spacing w:line="348" w:lineRule="auto" w:before="93"/>
        <w:ind w:left="393" w:right="664" w:firstLine="0"/>
        <w:jc w:val="left"/>
        <w:rPr>
          <w:sz w:val="18"/>
        </w:rPr>
      </w:pPr>
      <w:r>
        <w:rPr>
          <w:color w:val="231F20"/>
          <w:w w:val="105"/>
          <w:sz w:val="18"/>
        </w:rPr>
        <w:t>de Huixquilucan, Estado de México, 2004”, en Gaceta Municipal, 30 de septiembre de 2004, Huixquilucan, Estado de México.</w:t>
      </w:r>
    </w:p>
    <w:p>
      <w:pPr>
        <w:spacing w:line="348" w:lineRule="auto" w:before="3"/>
        <w:ind w:left="393" w:right="197" w:hanging="284"/>
        <w:jc w:val="left"/>
        <w:rPr>
          <w:sz w:val="18"/>
        </w:rPr>
      </w:pPr>
      <w:r>
        <w:rPr>
          <w:color w:val="231F20"/>
          <w:sz w:val="18"/>
        </w:rPr>
        <w:t>HUIXQUILUCAN (2006a), “Plan de Desarrollo Municipal, 2006-2009”, en Gaceta Municipal, año 01, núm. 03, 18 de diciembre de 2006, Huixquilucan, Estado de    México.</w:t>
      </w:r>
    </w:p>
    <w:p>
      <w:pPr>
        <w:spacing w:line="348" w:lineRule="auto" w:before="3"/>
        <w:ind w:left="436" w:right="1256" w:hanging="326"/>
        <w:jc w:val="left"/>
        <w:rPr>
          <w:sz w:val="18"/>
        </w:rPr>
      </w:pPr>
      <w:r>
        <w:rPr>
          <w:color w:val="231F20"/>
          <w:sz w:val="18"/>
        </w:rPr>
        <w:t>HUIXQUILUCAN (2006b), “Reglamento orgánico de la administración pública municipal   de</w:t>
      </w:r>
      <w:r>
        <w:rPr>
          <w:color w:val="231F20"/>
          <w:spacing w:val="15"/>
          <w:sz w:val="18"/>
        </w:rPr>
        <w:t> </w:t>
      </w:r>
      <w:r>
        <w:rPr>
          <w:color w:val="231F20"/>
          <w:sz w:val="18"/>
        </w:rPr>
        <w:t>Huixquilucan,</w:t>
      </w:r>
      <w:r>
        <w:rPr>
          <w:color w:val="231F20"/>
          <w:spacing w:val="15"/>
          <w:sz w:val="18"/>
        </w:rPr>
        <w:t> </w:t>
      </w:r>
      <w:r>
        <w:rPr>
          <w:color w:val="231F20"/>
          <w:sz w:val="18"/>
        </w:rPr>
        <w:t>Estado</w:t>
      </w:r>
      <w:r>
        <w:rPr>
          <w:color w:val="231F20"/>
          <w:spacing w:val="15"/>
          <w:sz w:val="18"/>
        </w:rPr>
        <w:t> </w:t>
      </w:r>
      <w:r>
        <w:rPr>
          <w:color w:val="231F20"/>
          <w:sz w:val="18"/>
        </w:rPr>
        <w:t>de</w:t>
      </w:r>
      <w:r>
        <w:rPr>
          <w:color w:val="231F20"/>
          <w:spacing w:val="15"/>
          <w:sz w:val="18"/>
        </w:rPr>
        <w:t> </w:t>
      </w:r>
      <w:r>
        <w:rPr>
          <w:color w:val="231F20"/>
          <w:sz w:val="18"/>
        </w:rPr>
        <w:t>México,</w:t>
      </w:r>
      <w:r>
        <w:rPr>
          <w:color w:val="231F20"/>
          <w:spacing w:val="15"/>
          <w:sz w:val="18"/>
        </w:rPr>
        <w:t> </w:t>
      </w:r>
      <w:r>
        <w:rPr>
          <w:color w:val="231F20"/>
          <w:sz w:val="18"/>
        </w:rPr>
        <w:t>2006”,</w:t>
      </w:r>
      <w:r>
        <w:rPr>
          <w:color w:val="231F20"/>
          <w:spacing w:val="15"/>
          <w:sz w:val="18"/>
        </w:rPr>
        <w:t> </w:t>
      </w:r>
      <w:r>
        <w:rPr>
          <w:color w:val="231F20"/>
          <w:sz w:val="18"/>
        </w:rPr>
        <w:t>en</w:t>
      </w:r>
      <w:r>
        <w:rPr>
          <w:color w:val="231F20"/>
          <w:spacing w:val="15"/>
          <w:sz w:val="18"/>
        </w:rPr>
        <w:t> </w:t>
      </w:r>
      <w:r>
        <w:rPr>
          <w:color w:val="231F20"/>
          <w:sz w:val="18"/>
        </w:rPr>
        <w:t>Gaceta</w:t>
      </w:r>
      <w:r>
        <w:rPr>
          <w:color w:val="231F20"/>
          <w:spacing w:val="15"/>
          <w:sz w:val="18"/>
        </w:rPr>
        <w:t> </w:t>
      </w:r>
      <w:r>
        <w:rPr>
          <w:color w:val="231F20"/>
          <w:sz w:val="18"/>
        </w:rPr>
        <w:t>Municipal,</w:t>
      </w:r>
      <w:r>
        <w:rPr>
          <w:color w:val="231F20"/>
          <w:spacing w:val="15"/>
          <w:sz w:val="18"/>
        </w:rPr>
        <w:t> </w:t>
      </w:r>
      <w:r>
        <w:rPr>
          <w:color w:val="231F20"/>
          <w:sz w:val="18"/>
        </w:rPr>
        <w:t>año</w:t>
      </w:r>
      <w:r>
        <w:rPr>
          <w:color w:val="231F20"/>
          <w:spacing w:val="15"/>
          <w:sz w:val="18"/>
        </w:rPr>
        <w:t> </w:t>
      </w:r>
      <w:r>
        <w:rPr>
          <w:color w:val="231F20"/>
          <w:spacing w:val="-3"/>
          <w:sz w:val="18"/>
        </w:rPr>
        <w:t>01,</w:t>
      </w:r>
      <w:r>
        <w:rPr>
          <w:color w:val="231F20"/>
          <w:spacing w:val="15"/>
          <w:sz w:val="18"/>
        </w:rPr>
        <w:t> </w:t>
      </w:r>
      <w:r>
        <w:rPr>
          <w:color w:val="231F20"/>
          <w:sz w:val="18"/>
        </w:rPr>
        <w:t>núm.</w:t>
      </w:r>
      <w:r>
        <w:rPr>
          <w:color w:val="231F20"/>
          <w:spacing w:val="15"/>
          <w:sz w:val="18"/>
        </w:rPr>
        <w:t> </w:t>
      </w:r>
      <w:r>
        <w:rPr>
          <w:color w:val="231F20"/>
          <w:spacing w:val="-3"/>
          <w:sz w:val="18"/>
        </w:rPr>
        <w:t>01,</w:t>
      </w:r>
    </w:p>
    <w:p>
      <w:pPr>
        <w:spacing w:before="3"/>
        <w:ind w:left="393" w:right="2577" w:firstLine="0"/>
        <w:jc w:val="left"/>
        <w:rPr>
          <w:sz w:val="18"/>
        </w:rPr>
      </w:pPr>
      <w:r>
        <w:rPr>
          <w:color w:val="231F20"/>
          <w:w w:val="105"/>
          <w:sz w:val="18"/>
        </w:rPr>
        <w:t>19 agosto de 2006, Huixquilucan, Estado de México.</w:t>
      </w:r>
    </w:p>
    <w:p>
      <w:pPr>
        <w:spacing w:after="0"/>
        <w:jc w:val="left"/>
        <w:rPr>
          <w:sz w:val="18"/>
        </w:rPr>
        <w:sectPr>
          <w:pgSz w:w="9640" w:h="12190"/>
          <w:pgMar w:header="0" w:footer="743" w:top="1120" w:bottom="940" w:left="740" w:right="800"/>
        </w:sectPr>
      </w:pPr>
    </w:p>
    <w:p>
      <w:pPr>
        <w:pStyle w:val="BodyText"/>
        <w:spacing w:before="6"/>
        <w:rPr>
          <w:sz w:val="13"/>
        </w:rPr>
      </w:pPr>
    </w:p>
    <w:p>
      <w:pPr>
        <w:spacing w:line="348" w:lineRule="auto" w:before="47"/>
        <w:ind w:left="393" w:right="378" w:hanging="284"/>
        <w:jc w:val="left"/>
        <w:rPr>
          <w:sz w:val="18"/>
        </w:rPr>
      </w:pPr>
      <w:r>
        <w:rPr>
          <w:color w:val="231F20"/>
          <w:sz w:val="18"/>
        </w:rPr>
        <w:t>HUIXQUILUCAN (2008a), “Bando Municipal. 5 de febrero de 2008”, en Gaceta Municipal, año 02, núm. 12, 5 de febrero de 2008, Huixquilucan, Estado de    México.</w:t>
      </w:r>
    </w:p>
    <w:p>
      <w:pPr>
        <w:spacing w:line="348" w:lineRule="auto" w:before="3"/>
        <w:ind w:left="393" w:right="1027" w:hanging="284"/>
        <w:jc w:val="left"/>
        <w:rPr>
          <w:sz w:val="18"/>
        </w:rPr>
      </w:pPr>
      <w:r>
        <w:rPr>
          <w:color w:val="231F20"/>
          <w:sz w:val="18"/>
        </w:rPr>
        <w:t>HUIXQUILUCAN (2008b), “Reglamento orgánico de la administración pública municipal   de</w:t>
      </w:r>
      <w:r>
        <w:rPr>
          <w:color w:val="231F20"/>
          <w:spacing w:val="15"/>
          <w:sz w:val="18"/>
        </w:rPr>
        <w:t> </w:t>
      </w:r>
      <w:r>
        <w:rPr>
          <w:color w:val="231F20"/>
          <w:sz w:val="18"/>
        </w:rPr>
        <w:t>Huixquilucan,</w:t>
      </w:r>
      <w:r>
        <w:rPr>
          <w:color w:val="231F20"/>
          <w:spacing w:val="15"/>
          <w:sz w:val="18"/>
        </w:rPr>
        <w:t> </w:t>
      </w:r>
      <w:r>
        <w:rPr>
          <w:color w:val="231F20"/>
          <w:sz w:val="18"/>
        </w:rPr>
        <w:t>Estado</w:t>
      </w:r>
      <w:r>
        <w:rPr>
          <w:color w:val="231F20"/>
          <w:spacing w:val="15"/>
          <w:sz w:val="18"/>
        </w:rPr>
        <w:t> </w:t>
      </w:r>
      <w:r>
        <w:rPr>
          <w:color w:val="231F20"/>
          <w:sz w:val="18"/>
        </w:rPr>
        <w:t>de</w:t>
      </w:r>
      <w:r>
        <w:rPr>
          <w:color w:val="231F20"/>
          <w:spacing w:val="15"/>
          <w:sz w:val="18"/>
        </w:rPr>
        <w:t> </w:t>
      </w:r>
      <w:r>
        <w:rPr>
          <w:color w:val="231F20"/>
          <w:sz w:val="18"/>
        </w:rPr>
        <w:t>México,</w:t>
      </w:r>
      <w:r>
        <w:rPr>
          <w:color w:val="231F20"/>
          <w:spacing w:val="15"/>
          <w:sz w:val="18"/>
        </w:rPr>
        <w:t> </w:t>
      </w:r>
      <w:r>
        <w:rPr>
          <w:color w:val="231F20"/>
          <w:sz w:val="18"/>
        </w:rPr>
        <w:t>2008”,</w:t>
      </w:r>
      <w:r>
        <w:rPr>
          <w:color w:val="231F20"/>
          <w:spacing w:val="15"/>
          <w:sz w:val="18"/>
        </w:rPr>
        <w:t> </w:t>
      </w:r>
      <w:r>
        <w:rPr>
          <w:color w:val="231F20"/>
          <w:sz w:val="18"/>
        </w:rPr>
        <w:t>en</w:t>
      </w:r>
      <w:r>
        <w:rPr>
          <w:color w:val="231F20"/>
          <w:spacing w:val="15"/>
          <w:sz w:val="18"/>
        </w:rPr>
        <w:t> </w:t>
      </w:r>
      <w:r>
        <w:rPr>
          <w:color w:val="231F20"/>
          <w:sz w:val="18"/>
        </w:rPr>
        <w:t>Gaceta</w:t>
      </w:r>
      <w:r>
        <w:rPr>
          <w:color w:val="231F20"/>
          <w:spacing w:val="15"/>
          <w:sz w:val="18"/>
        </w:rPr>
        <w:t> </w:t>
      </w:r>
      <w:r>
        <w:rPr>
          <w:color w:val="231F20"/>
          <w:sz w:val="18"/>
        </w:rPr>
        <w:t>Municipal,</w:t>
      </w:r>
      <w:r>
        <w:rPr>
          <w:color w:val="231F20"/>
          <w:spacing w:val="15"/>
          <w:sz w:val="18"/>
        </w:rPr>
        <w:t> </w:t>
      </w:r>
      <w:r>
        <w:rPr>
          <w:color w:val="231F20"/>
          <w:sz w:val="18"/>
        </w:rPr>
        <w:t>año</w:t>
      </w:r>
      <w:r>
        <w:rPr>
          <w:color w:val="231F20"/>
          <w:spacing w:val="15"/>
          <w:sz w:val="18"/>
        </w:rPr>
        <w:t> </w:t>
      </w:r>
      <w:r>
        <w:rPr>
          <w:color w:val="231F20"/>
          <w:sz w:val="18"/>
        </w:rPr>
        <w:t>03,</w:t>
      </w:r>
      <w:r>
        <w:rPr>
          <w:color w:val="231F20"/>
          <w:spacing w:val="15"/>
          <w:sz w:val="18"/>
        </w:rPr>
        <w:t> </w:t>
      </w:r>
      <w:r>
        <w:rPr>
          <w:color w:val="231F20"/>
          <w:sz w:val="18"/>
        </w:rPr>
        <w:t>núm.</w:t>
      </w:r>
      <w:r>
        <w:rPr>
          <w:color w:val="231F20"/>
          <w:spacing w:val="15"/>
          <w:sz w:val="18"/>
        </w:rPr>
        <w:t> </w:t>
      </w:r>
      <w:r>
        <w:rPr>
          <w:color w:val="231F20"/>
          <w:sz w:val="18"/>
        </w:rPr>
        <w:t>13,</w:t>
      </w:r>
    </w:p>
    <w:p>
      <w:pPr>
        <w:spacing w:before="3"/>
        <w:ind w:left="393" w:right="378" w:firstLine="0"/>
        <w:jc w:val="left"/>
        <w:rPr>
          <w:sz w:val="18"/>
        </w:rPr>
      </w:pPr>
      <w:r>
        <w:rPr>
          <w:color w:val="231F20"/>
          <w:w w:val="105"/>
          <w:sz w:val="18"/>
        </w:rPr>
        <w:t>28 de marzo de 2008, Huixquilucan, Estado de México.</w:t>
      </w:r>
    </w:p>
    <w:p>
      <w:pPr>
        <w:spacing w:line="348" w:lineRule="auto" w:before="93"/>
        <w:ind w:left="393" w:right="1027" w:hanging="284"/>
        <w:jc w:val="left"/>
        <w:rPr>
          <w:sz w:val="18"/>
        </w:rPr>
      </w:pPr>
      <w:r>
        <w:rPr>
          <w:color w:val="231F20"/>
          <w:sz w:val="18"/>
        </w:rPr>
        <w:t>IEEM (2008), Código electoral del Estado de México, IEEM, Estado de México, [Documento en línea] disponible en    </w:t>
      </w:r>
      <w:hyperlink r:id="rId136">
        <w:r>
          <w:rPr>
            <w:color w:val="231F20"/>
            <w:sz w:val="18"/>
          </w:rPr>
          <w:t>www.ieem.org.mx</w:t>
        </w:r>
      </w:hyperlink>
    </w:p>
    <w:p>
      <w:pPr>
        <w:spacing w:line="348" w:lineRule="auto" w:before="3"/>
        <w:ind w:left="393" w:right="378" w:hanging="284"/>
        <w:jc w:val="left"/>
        <w:rPr>
          <w:sz w:val="18"/>
        </w:rPr>
      </w:pPr>
      <w:r>
        <w:rPr>
          <w:color w:val="231F20"/>
          <w:sz w:val="18"/>
        </w:rPr>
        <w:t>KORENFELD F., David (2004), Primer informe de gobierno. Huixquilucan, 2003-2006, Huixquilucan,  Estado  de México.</w:t>
      </w:r>
    </w:p>
    <w:p>
      <w:pPr>
        <w:spacing w:line="348" w:lineRule="auto" w:before="3"/>
        <w:ind w:left="393" w:right="378" w:hanging="284"/>
        <w:jc w:val="left"/>
        <w:rPr>
          <w:sz w:val="18"/>
        </w:rPr>
      </w:pPr>
      <w:r>
        <w:rPr>
          <w:color w:val="231F20"/>
          <w:sz w:val="18"/>
        </w:rPr>
        <w:t>KORENFELD F., David (2005), Segundo informe de gobierno. Huixquilucan, 2003-2006, Huixquilucan,  Estado  de México.</w:t>
      </w:r>
    </w:p>
    <w:p>
      <w:pPr>
        <w:pStyle w:val="BodyText"/>
        <w:spacing w:before="10"/>
        <w:rPr>
          <w:sz w:val="19"/>
        </w:rPr>
      </w:pPr>
    </w:p>
    <w:p>
      <w:pPr>
        <w:pStyle w:val="Heading3"/>
        <w:ind w:right="378"/>
        <w:jc w:val="left"/>
      </w:pPr>
      <w:r>
        <w:rPr>
          <w:color w:val="231F20"/>
          <w:w w:val="105"/>
        </w:rPr>
        <w:t>Bases de datos</w:t>
      </w:r>
    </w:p>
    <w:p>
      <w:pPr>
        <w:spacing w:line="348" w:lineRule="auto" w:before="75"/>
        <w:ind w:left="393" w:right="1027" w:hanging="284"/>
        <w:jc w:val="left"/>
        <w:rPr>
          <w:sz w:val="18"/>
        </w:rPr>
      </w:pPr>
      <w:r>
        <w:rPr>
          <w:color w:val="231F20"/>
          <w:sz w:val="18"/>
        </w:rPr>
        <w:t>CIDAC (2008), Base de datos de elecciones locales, 1980-2008, México, CIDAC, [Documento en línea] disponible en:   </w:t>
      </w:r>
      <w:hyperlink r:id="rId137">
        <w:r>
          <w:rPr>
            <w:color w:val="231F20"/>
            <w:sz w:val="18"/>
          </w:rPr>
          <w:t>www.cidac.org</w:t>
        </w:r>
      </w:hyperlink>
    </w:p>
    <w:p>
      <w:pPr>
        <w:spacing w:line="348" w:lineRule="auto" w:before="3"/>
        <w:ind w:left="393" w:right="2911" w:hanging="284"/>
        <w:jc w:val="left"/>
        <w:rPr>
          <w:sz w:val="18"/>
        </w:rPr>
      </w:pPr>
      <w:r>
        <w:rPr>
          <w:color w:val="231F20"/>
          <w:sz w:val="18"/>
        </w:rPr>
        <w:t>CONAPO (2005a), Índice de Marginación 2000 y 2005, CONAPO,  México,  en </w:t>
      </w:r>
      <w:hyperlink r:id="rId138">
        <w:r>
          <w:rPr>
            <w:color w:val="231F20"/>
            <w:sz w:val="18"/>
          </w:rPr>
          <w:t>www.conapo.gob.mx</w:t>
        </w:r>
      </w:hyperlink>
    </w:p>
    <w:p>
      <w:pPr>
        <w:spacing w:line="348" w:lineRule="auto" w:before="3"/>
        <w:ind w:left="393" w:right="1587" w:hanging="284"/>
        <w:jc w:val="left"/>
        <w:rPr>
          <w:sz w:val="18"/>
        </w:rPr>
      </w:pPr>
      <w:r>
        <w:rPr>
          <w:color w:val="231F20"/>
          <w:sz w:val="18"/>
        </w:rPr>
        <w:t>CONAPO (2005b), Proyecciones de la población en México, </w:t>
      </w:r>
      <w:r>
        <w:rPr>
          <w:color w:val="231F20"/>
          <w:spacing w:val="2"/>
          <w:sz w:val="18"/>
        </w:rPr>
        <w:t>2000-2030,  </w:t>
      </w:r>
      <w:r>
        <w:rPr>
          <w:color w:val="231F20"/>
          <w:sz w:val="18"/>
        </w:rPr>
        <w:t>CONAPO, México, [Documento en línea] disponible en    </w:t>
      </w:r>
      <w:r>
        <w:rPr>
          <w:color w:val="231F20"/>
          <w:spacing w:val="4"/>
          <w:sz w:val="18"/>
        </w:rPr>
        <w:t> </w:t>
      </w:r>
      <w:hyperlink r:id="rId138">
        <w:r>
          <w:rPr>
            <w:color w:val="231F20"/>
            <w:sz w:val="18"/>
          </w:rPr>
          <w:t>www.conapo.gob.mx</w:t>
        </w:r>
      </w:hyperlink>
    </w:p>
    <w:p>
      <w:pPr>
        <w:spacing w:before="3"/>
        <w:ind w:left="110" w:right="378" w:firstLine="0"/>
        <w:jc w:val="left"/>
        <w:rPr>
          <w:sz w:val="18"/>
        </w:rPr>
      </w:pPr>
      <w:r>
        <w:rPr>
          <w:color w:val="231F20"/>
          <w:sz w:val="18"/>
        </w:rPr>
        <w:t>GOBIERNO DEL ESTADO DE MÉXICO (2008), Regiones del estado,</w:t>
      </w:r>
    </w:p>
    <w:p>
      <w:pPr>
        <w:spacing w:line="348" w:lineRule="auto" w:before="93"/>
        <w:ind w:left="393" w:right="378" w:firstLine="0"/>
        <w:jc w:val="left"/>
        <w:rPr>
          <w:sz w:val="18"/>
        </w:rPr>
      </w:pPr>
      <w:r>
        <w:rPr>
          <w:color w:val="231F20"/>
          <w:w w:val="105"/>
          <w:sz w:val="18"/>
        </w:rPr>
        <w:t>[Documento en línea] disponible en </w:t>
      </w:r>
      <w:hyperlink r:id="rId139">
        <w:r>
          <w:rPr>
            <w:color w:val="231F20"/>
            <w:w w:val="105"/>
            <w:sz w:val="18"/>
          </w:rPr>
          <w:t>http://www.edomex.gob.mx/portal/page/portal/edomex/</w:t>
        </w:r>
      </w:hyperlink>
      <w:r>
        <w:rPr>
          <w:color w:val="231F20"/>
          <w:w w:val="105"/>
          <w:sz w:val="18"/>
        </w:rPr>
        <w:t> nuestro-estado/regiones-y-municipios.</w:t>
      </w:r>
    </w:p>
    <w:p>
      <w:pPr>
        <w:spacing w:line="348" w:lineRule="auto" w:before="3"/>
        <w:ind w:left="393" w:right="1587" w:hanging="284"/>
        <w:jc w:val="left"/>
        <w:rPr>
          <w:sz w:val="18"/>
        </w:rPr>
      </w:pPr>
      <w:r>
        <w:rPr>
          <w:color w:val="231F20"/>
          <w:sz w:val="18"/>
        </w:rPr>
        <w:t>IEEM (2008), Numeralia. Resultados electorales, Toluca, México, IEEM, [Documento en línea] disponible en:    </w:t>
      </w:r>
      <w:hyperlink r:id="rId136">
        <w:r>
          <w:rPr>
            <w:color w:val="231F20"/>
            <w:sz w:val="18"/>
          </w:rPr>
          <w:t>www.ieem.org.mx</w:t>
        </w:r>
      </w:hyperlink>
    </w:p>
    <w:p>
      <w:pPr>
        <w:spacing w:line="348" w:lineRule="auto" w:before="3"/>
        <w:ind w:left="393" w:right="2911" w:hanging="284"/>
        <w:jc w:val="left"/>
        <w:rPr>
          <w:sz w:val="18"/>
        </w:rPr>
      </w:pPr>
      <w:r>
        <w:rPr>
          <w:color w:val="231F20"/>
          <w:sz w:val="18"/>
        </w:rPr>
        <w:t>IFE (2008), Estadísticas y resultados electorales, México, IEEM, [Documento  en  línea]  disponible en:</w:t>
      </w:r>
      <w:hyperlink r:id="rId140">
        <w:r>
          <w:rPr>
            <w:color w:val="231F20"/>
            <w:sz w:val="18"/>
          </w:rPr>
          <w:t>www.ife.org.mx</w:t>
        </w:r>
      </w:hyperlink>
    </w:p>
    <w:p>
      <w:pPr>
        <w:spacing w:line="348" w:lineRule="auto" w:before="3"/>
        <w:ind w:left="393" w:right="378" w:hanging="284"/>
        <w:jc w:val="left"/>
        <w:rPr>
          <w:sz w:val="18"/>
        </w:rPr>
      </w:pPr>
      <w:r>
        <w:rPr>
          <w:color w:val="231F20"/>
          <w:sz w:val="18"/>
        </w:rPr>
        <w:t>INAFED (2008), Sistema de información hacendaria, México, Instituto Nacional para el Federalismo      y el Desarrollo Municipal, Secretaría de Gobernación    </w:t>
      </w:r>
      <w:r>
        <w:rPr>
          <w:color w:val="231F20"/>
          <w:spacing w:val="2"/>
          <w:sz w:val="18"/>
        </w:rPr>
        <w:t> </w:t>
      </w:r>
      <w:r>
        <w:rPr>
          <w:color w:val="231F20"/>
          <w:sz w:val="18"/>
        </w:rPr>
        <w:t>federal</w:t>
      </w:r>
    </w:p>
    <w:p>
      <w:pPr>
        <w:spacing w:before="3"/>
        <w:ind w:left="393" w:right="378" w:firstLine="0"/>
        <w:jc w:val="left"/>
        <w:rPr>
          <w:sz w:val="18"/>
        </w:rPr>
      </w:pPr>
      <w:r>
        <w:rPr>
          <w:color w:val="231F20"/>
          <w:w w:val="105"/>
          <w:sz w:val="18"/>
        </w:rPr>
        <w:t>[Documento en línea] disponible en </w:t>
      </w:r>
      <w:hyperlink r:id="rId84">
        <w:r>
          <w:rPr>
            <w:color w:val="231F20"/>
            <w:w w:val="105"/>
            <w:sz w:val="18"/>
          </w:rPr>
          <w:t>www.inafed.gob.mx</w:t>
        </w:r>
      </w:hyperlink>
    </w:p>
    <w:p>
      <w:pPr>
        <w:spacing w:line="348" w:lineRule="auto" w:before="93"/>
        <w:ind w:left="393" w:right="1587" w:hanging="284"/>
        <w:jc w:val="left"/>
        <w:rPr>
          <w:sz w:val="18"/>
        </w:rPr>
      </w:pPr>
      <w:r>
        <w:rPr>
          <w:color w:val="231F20"/>
          <w:sz w:val="18"/>
        </w:rPr>
        <w:t>INEGI (2005a), II Conteo de Población y Vivienda, 2005, INEGI, México, [Documento en línea] disponible en    </w:t>
      </w:r>
      <w:hyperlink r:id="rId141">
        <w:r>
          <w:rPr>
            <w:color w:val="231F20"/>
            <w:sz w:val="18"/>
          </w:rPr>
          <w:t>www.inegi.gob.mx.</w:t>
        </w:r>
      </w:hyperlink>
    </w:p>
    <w:p>
      <w:pPr>
        <w:spacing w:after="0" w:line="348" w:lineRule="auto"/>
        <w:jc w:val="left"/>
        <w:rPr>
          <w:sz w:val="18"/>
        </w:rPr>
        <w:sectPr>
          <w:pgSz w:w="9640" w:h="12190"/>
          <w:pgMar w:header="0" w:footer="743" w:top="1120" w:bottom="940" w:left="740" w:right="1060"/>
        </w:sectPr>
      </w:pPr>
    </w:p>
    <w:p>
      <w:pPr>
        <w:pStyle w:val="BodyText"/>
        <w:spacing w:before="6"/>
        <w:rPr>
          <w:sz w:val="13"/>
        </w:rPr>
      </w:pPr>
    </w:p>
    <w:p>
      <w:pPr>
        <w:spacing w:line="348" w:lineRule="auto" w:before="47"/>
        <w:ind w:left="393" w:right="1201" w:hanging="284"/>
        <w:jc w:val="left"/>
        <w:rPr>
          <w:sz w:val="18"/>
        </w:rPr>
      </w:pPr>
      <w:r>
        <w:rPr>
          <w:color w:val="231F20"/>
          <w:sz w:val="18"/>
        </w:rPr>
        <w:t>INEGI (2005b), Anuario Estadístico del Estado de México, 2005, México, INEGI, [Documento en línea] disponible en    </w:t>
      </w:r>
      <w:hyperlink r:id="rId141">
        <w:r>
          <w:rPr>
            <w:color w:val="231F20"/>
            <w:sz w:val="18"/>
          </w:rPr>
          <w:t>www.inegi.gob.mx.</w:t>
        </w:r>
      </w:hyperlink>
    </w:p>
    <w:p>
      <w:pPr>
        <w:spacing w:line="348" w:lineRule="auto" w:before="3"/>
        <w:ind w:left="436" w:right="283" w:hanging="326"/>
        <w:jc w:val="left"/>
        <w:rPr>
          <w:sz w:val="18"/>
        </w:rPr>
      </w:pPr>
      <w:r>
        <w:rPr>
          <w:color w:val="231F20"/>
          <w:sz w:val="18"/>
        </w:rPr>
        <w:t>INEGI (2006), Finanzas Públicas Estatales y Municipales de México, 2000-2003; 2001-2004; 2003-2006, México, INEGI, [Documento en línea] disponible en    </w:t>
      </w:r>
      <w:hyperlink r:id="rId141">
        <w:r>
          <w:rPr>
            <w:color w:val="231F20"/>
            <w:sz w:val="18"/>
          </w:rPr>
          <w:t>www.inegi.gob.mx</w:t>
        </w:r>
      </w:hyperlink>
    </w:p>
    <w:p>
      <w:pPr>
        <w:spacing w:before="3"/>
        <w:ind w:left="110" w:right="1201" w:firstLine="0"/>
        <w:jc w:val="left"/>
        <w:rPr>
          <w:sz w:val="18"/>
        </w:rPr>
      </w:pPr>
      <w:r>
        <w:rPr>
          <w:color w:val="231F20"/>
          <w:w w:val="105"/>
          <w:sz w:val="18"/>
        </w:rPr>
        <w:t>PNUD (2005), Índice de Desarrollo Humano, 2000 y 2005, PNUD,</w:t>
      </w:r>
    </w:p>
    <w:p>
      <w:pPr>
        <w:spacing w:line="348" w:lineRule="auto" w:before="93"/>
        <w:ind w:left="393" w:right="307" w:firstLine="0"/>
        <w:jc w:val="left"/>
        <w:rPr>
          <w:sz w:val="18"/>
        </w:rPr>
      </w:pPr>
      <w:r>
        <w:rPr>
          <w:color w:val="231F20"/>
          <w:w w:val="105"/>
          <w:sz w:val="18"/>
        </w:rPr>
        <w:t>[Documento en línea] disponible en </w:t>
      </w:r>
      <w:hyperlink r:id="rId142">
        <w:r>
          <w:rPr>
            <w:color w:val="231F20"/>
            <w:w w:val="105"/>
            <w:sz w:val="18"/>
          </w:rPr>
          <w:t>http://www.inafed.gob.mx/wb2/INAFED/inafed_Municipios</w:t>
        </w:r>
      </w:hyperlink>
      <w:r>
        <w:rPr>
          <w:color w:val="231F20"/>
          <w:w w:val="105"/>
          <w:sz w:val="18"/>
        </w:rPr>
        <w:t> Indicadores</w:t>
      </w:r>
    </w:p>
    <w:p>
      <w:pPr>
        <w:spacing w:line="348" w:lineRule="auto" w:before="3"/>
        <w:ind w:left="393" w:right="608" w:hanging="284"/>
        <w:jc w:val="left"/>
        <w:rPr>
          <w:sz w:val="18"/>
        </w:rPr>
      </w:pPr>
      <w:r>
        <w:rPr>
          <w:color w:val="231F20"/>
          <w:w w:val="105"/>
          <w:sz w:val="18"/>
        </w:rPr>
        <w:t>Secretaría de Economía Federal (2008), Sistema de Información Empresarial Mexicano, México, Secretaría de Economía Federal, [Documento en línea]</w:t>
      </w:r>
    </w:p>
    <w:p>
      <w:pPr>
        <w:spacing w:line="348" w:lineRule="auto" w:before="3"/>
        <w:ind w:left="110" w:right="2743" w:firstLine="283"/>
        <w:jc w:val="left"/>
        <w:rPr>
          <w:sz w:val="18"/>
        </w:rPr>
      </w:pPr>
      <w:r>
        <w:rPr>
          <w:color w:val="231F20"/>
          <w:w w:val="105"/>
          <w:sz w:val="18"/>
        </w:rPr>
        <w:t>disponible en </w:t>
      </w:r>
      <w:hyperlink r:id="rId143">
        <w:r>
          <w:rPr>
            <w:color w:val="231F20"/>
            <w:w w:val="105"/>
            <w:sz w:val="18"/>
          </w:rPr>
          <w:t>www.siem.gob.mx/siem2008/estadisticas</w:t>
        </w:r>
      </w:hyperlink>
      <w:r>
        <w:rPr>
          <w:color w:val="231F20"/>
          <w:w w:val="105"/>
          <w:sz w:val="18"/>
        </w:rPr>
        <w:t> Secretaría de Finanzas (2009), Participaciones a Municipios, Toluca,</w:t>
      </w:r>
    </w:p>
    <w:p>
      <w:pPr>
        <w:spacing w:before="3"/>
        <w:ind w:left="393" w:right="1201" w:firstLine="0"/>
        <w:jc w:val="left"/>
        <w:rPr>
          <w:sz w:val="18"/>
        </w:rPr>
      </w:pPr>
      <w:r>
        <w:rPr>
          <w:color w:val="231F20"/>
          <w:w w:val="105"/>
          <w:sz w:val="18"/>
        </w:rPr>
        <w:t>Secretaría de Finanzas del Gobierno del Estado de México,</w:t>
      </w:r>
    </w:p>
    <w:p>
      <w:pPr>
        <w:spacing w:before="93"/>
        <w:ind w:left="393" w:right="1201" w:firstLine="0"/>
        <w:jc w:val="left"/>
        <w:rPr>
          <w:sz w:val="18"/>
        </w:rPr>
      </w:pPr>
      <w:r>
        <w:rPr>
          <w:color w:val="231F20"/>
          <w:w w:val="105"/>
          <w:sz w:val="18"/>
        </w:rPr>
        <w:t>[Documento en línea] disponible en https://sfpya.edomexico.gob.mx/participaciones/</w:t>
      </w:r>
    </w:p>
    <w:p>
      <w:pPr>
        <w:pStyle w:val="BodyText"/>
        <w:rPr>
          <w:sz w:val="18"/>
        </w:rPr>
      </w:pPr>
    </w:p>
    <w:p>
      <w:pPr>
        <w:pStyle w:val="Heading3"/>
        <w:spacing w:before="111"/>
        <w:ind w:right="1201"/>
        <w:jc w:val="left"/>
      </w:pPr>
      <w:r>
        <w:rPr>
          <w:color w:val="231F20"/>
        </w:rPr>
        <w:t>Entrevistas</w:t>
      </w:r>
    </w:p>
    <w:p>
      <w:pPr>
        <w:spacing w:line="348" w:lineRule="auto" w:before="75"/>
        <w:ind w:left="393" w:right="283" w:hanging="284"/>
        <w:jc w:val="left"/>
        <w:rPr>
          <w:sz w:val="18"/>
        </w:rPr>
      </w:pPr>
      <w:r>
        <w:rPr>
          <w:color w:val="231F20"/>
          <w:w w:val="105"/>
          <w:sz w:val="18"/>
        </w:rPr>
        <w:t>Justino Antonio Mondragón, Secretario Técnico del Ayuntamiento de Huixquilucan, 2006-2009, realizada el 29 de septiembre de 2008.</w:t>
      </w:r>
    </w:p>
    <w:p>
      <w:pPr>
        <w:spacing w:line="348" w:lineRule="auto" w:before="3"/>
        <w:ind w:left="393" w:right="283" w:hanging="284"/>
        <w:jc w:val="left"/>
        <w:rPr>
          <w:sz w:val="18"/>
        </w:rPr>
      </w:pPr>
      <w:r>
        <w:rPr>
          <w:color w:val="231F20"/>
          <w:sz w:val="18"/>
        </w:rPr>
        <w:t>Silvia Valdez Guerrero, Presidenta de la Fundación Colosio, A.C., Huixquilucan, Estado de México, realizada el 15 enero  2009.</w:t>
      </w:r>
    </w:p>
    <w:p>
      <w:pPr>
        <w:spacing w:line="348" w:lineRule="auto" w:before="3"/>
        <w:ind w:left="393" w:right="1920" w:hanging="284"/>
        <w:jc w:val="left"/>
        <w:rPr>
          <w:sz w:val="18"/>
        </w:rPr>
      </w:pPr>
      <w:r>
        <w:rPr>
          <w:color w:val="231F20"/>
          <w:w w:val="105"/>
          <w:sz w:val="18"/>
        </w:rPr>
        <w:t>Horacio Ibáñez, Primer regidor del Ayuntamiento de Huixquilucan, 2003-2006, realizada el 15 de enero de 2009.</w:t>
      </w:r>
    </w:p>
    <w:p>
      <w:pPr>
        <w:spacing w:after="0" w:line="348" w:lineRule="auto"/>
        <w:jc w:val="left"/>
        <w:rPr>
          <w:sz w:val="18"/>
        </w:rPr>
        <w:sectPr>
          <w:pgSz w:w="9640" w:h="12190"/>
          <w:pgMar w:header="0" w:footer="743" w:top="1120" w:bottom="940" w:left="740" w:right="820"/>
        </w:sectPr>
      </w:pPr>
    </w:p>
    <w:p>
      <w:pPr>
        <w:pStyle w:val="Heading5"/>
        <w:spacing w:before="27"/>
        <w:ind w:left="99" w:right="102"/>
        <w:jc w:val="center"/>
      </w:pPr>
      <w:r>
        <w:rPr>
          <w:color w:val="231F20"/>
          <w:w w:val="105"/>
        </w:rPr>
        <w:t>Anexo 1.</w:t>
      </w:r>
    </w:p>
    <w:p>
      <w:pPr>
        <w:spacing w:before="47"/>
        <w:ind w:left="102" w:right="102" w:firstLine="0"/>
        <w:jc w:val="center"/>
        <w:rPr>
          <w:b/>
          <w:sz w:val="22"/>
        </w:rPr>
      </w:pPr>
      <w:r>
        <w:rPr>
          <w:b/>
          <w:color w:val="231F20"/>
          <w:w w:val="105"/>
          <w:sz w:val="22"/>
        </w:rPr>
        <w:t>Dependencias del gobierno de Huixquilucan</w:t>
      </w:r>
    </w:p>
    <w:p>
      <w:pPr>
        <w:spacing w:before="47"/>
        <w:ind w:left="102" w:right="102" w:firstLine="0"/>
        <w:jc w:val="center"/>
        <w:rPr>
          <w:b/>
          <w:sz w:val="22"/>
        </w:rPr>
      </w:pPr>
      <w:r>
        <w:rPr>
          <w:b/>
          <w:color w:val="231F20"/>
          <w:w w:val="105"/>
          <w:sz w:val="22"/>
        </w:rPr>
        <w:t>al final del periodo 2003-2006 y al inicio del periodo 2006-2009</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22"/>
        <w:gridCol w:w="1999"/>
        <w:gridCol w:w="120"/>
        <w:gridCol w:w="1940"/>
        <w:gridCol w:w="1546"/>
      </w:tblGrid>
      <w:tr>
        <w:trPr>
          <w:trHeight w:val="130" w:hRule="exact"/>
        </w:trPr>
        <w:tc>
          <w:tcPr>
            <w:tcW w:w="2322" w:type="dxa"/>
            <w:tcBorders>
              <w:right w:val="nil"/>
            </w:tcBorders>
          </w:tcPr>
          <w:p>
            <w:pPr>
              <w:pStyle w:val="TableParagraph"/>
              <w:spacing w:line="160" w:lineRule="exact"/>
              <w:ind w:left="1410"/>
              <w:rPr>
                <w:b/>
                <w:sz w:val="16"/>
              </w:rPr>
            </w:pPr>
            <w:r>
              <w:rPr>
                <w:b/>
                <w:color w:val="231F20"/>
                <w:w w:val="85"/>
                <w:sz w:val="16"/>
              </w:rPr>
              <w:t>Administración</w:t>
            </w:r>
          </w:p>
        </w:tc>
        <w:tc>
          <w:tcPr>
            <w:tcW w:w="1999" w:type="dxa"/>
            <w:tcBorders>
              <w:left w:val="nil"/>
            </w:tcBorders>
          </w:tcPr>
          <w:p>
            <w:pPr>
              <w:pStyle w:val="TableParagraph"/>
              <w:spacing w:line="160" w:lineRule="exact"/>
              <w:ind w:left="-6"/>
              <w:rPr>
                <w:b/>
                <w:sz w:val="16"/>
              </w:rPr>
            </w:pPr>
            <w:r>
              <w:rPr>
                <w:b/>
                <w:color w:val="231F20"/>
                <w:w w:val="95"/>
                <w:sz w:val="16"/>
              </w:rPr>
              <w:t>2003-2006</w:t>
            </w:r>
          </w:p>
        </w:tc>
        <w:tc>
          <w:tcPr>
            <w:tcW w:w="120" w:type="dxa"/>
          </w:tcPr>
          <w:p>
            <w:pPr/>
          </w:p>
        </w:tc>
        <w:tc>
          <w:tcPr>
            <w:tcW w:w="1940" w:type="dxa"/>
            <w:tcBorders>
              <w:right w:val="nil"/>
            </w:tcBorders>
          </w:tcPr>
          <w:p>
            <w:pPr>
              <w:pStyle w:val="TableParagraph"/>
              <w:spacing w:line="160" w:lineRule="exact"/>
              <w:ind w:left="989" w:right="-37"/>
              <w:rPr>
                <w:b/>
                <w:sz w:val="16"/>
              </w:rPr>
            </w:pPr>
            <w:r>
              <w:rPr>
                <w:b/>
                <w:color w:val="231F20"/>
                <w:w w:val="85"/>
                <w:sz w:val="16"/>
              </w:rPr>
              <w:t>Administración</w:t>
            </w:r>
            <w:r>
              <w:rPr>
                <w:b/>
                <w:color w:val="231F20"/>
                <w:spacing w:val="4"/>
                <w:w w:val="85"/>
                <w:sz w:val="16"/>
              </w:rPr>
              <w:t> </w:t>
            </w:r>
            <w:r>
              <w:rPr>
                <w:b/>
                <w:color w:val="231F20"/>
                <w:w w:val="85"/>
                <w:sz w:val="16"/>
              </w:rPr>
              <w:t>2</w:t>
            </w:r>
          </w:p>
        </w:tc>
        <w:tc>
          <w:tcPr>
            <w:tcW w:w="1546" w:type="dxa"/>
            <w:tcBorders>
              <w:left w:val="nil"/>
            </w:tcBorders>
          </w:tcPr>
          <w:p>
            <w:pPr>
              <w:pStyle w:val="TableParagraph"/>
              <w:spacing w:line="160" w:lineRule="exact"/>
              <w:ind w:left="23"/>
              <w:rPr>
                <w:b/>
                <w:sz w:val="16"/>
              </w:rPr>
            </w:pPr>
            <w:r>
              <w:rPr>
                <w:b/>
                <w:color w:val="231F20"/>
                <w:w w:val="95"/>
                <w:sz w:val="16"/>
              </w:rPr>
              <w:t>006-2009</w:t>
            </w:r>
          </w:p>
        </w:tc>
      </w:tr>
      <w:tr>
        <w:trPr>
          <w:trHeight w:val="130" w:hRule="exact"/>
        </w:trPr>
        <w:tc>
          <w:tcPr>
            <w:tcW w:w="2322" w:type="dxa"/>
          </w:tcPr>
          <w:p>
            <w:pPr>
              <w:pStyle w:val="TableParagraph"/>
              <w:spacing w:line="160" w:lineRule="exact"/>
              <w:ind w:left="72" w:right="72"/>
              <w:jc w:val="center"/>
              <w:rPr>
                <w:sz w:val="16"/>
              </w:rPr>
            </w:pPr>
            <w:r>
              <w:rPr>
                <w:color w:val="231F20"/>
                <w:w w:val="85"/>
                <w:sz w:val="16"/>
              </w:rPr>
              <w:t>Dependencia</w:t>
            </w:r>
          </w:p>
        </w:tc>
        <w:tc>
          <w:tcPr>
            <w:tcW w:w="1999" w:type="dxa"/>
          </w:tcPr>
          <w:p>
            <w:pPr>
              <w:pStyle w:val="TableParagraph"/>
              <w:spacing w:line="160" w:lineRule="exact"/>
              <w:ind w:left="795" w:right="795"/>
              <w:jc w:val="center"/>
              <w:rPr>
                <w:sz w:val="16"/>
              </w:rPr>
            </w:pPr>
            <w:r>
              <w:rPr>
                <w:color w:val="231F20"/>
                <w:w w:val="85"/>
                <w:sz w:val="16"/>
              </w:rPr>
              <w:t>Titular</w:t>
            </w:r>
          </w:p>
        </w:tc>
        <w:tc>
          <w:tcPr>
            <w:tcW w:w="120" w:type="dxa"/>
          </w:tcPr>
          <w:p>
            <w:pPr/>
          </w:p>
        </w:tc>
        <w:tc>
          <w:tcPr>
            <w:tcW w:w="1940" w:type="dxa"/>
          </w:tcPr>
          <w:p>
            <w:pPr>
              <w:pStyle w:val="TableParagraph"/>
              <w:spacing w:line="160" w:lineRule="exact"/>
              <w:ind w:left="636"/>
              <w:rPr>
                <w:sz w:val="16"/>
              </w:rPr>
            </w:pPr>
            <w:r>
              <w:rPr>
                <w:color w:val="231F20"/>
                <w:w w:val="85"/>
                <w:sz w:val="16"/>
              </w:rPr>
              <w:t>Dependencia</w:t>
            </w:r>
          </w:p>
        </w:tc>
        <w:tc>
          <w:tcPr>
            <w:tcW w:w="1546" w:type="dxa"/>
          </w:tcPr>
          <w:p>
            <w:pPr>
              <w:pStyle w:val="TableParagraph"/>
              <w:spacing w:line="160" w:lineRule="exact"/>
              <w:ind w:left="202" w:right="202"/>
              <w:jc w:val="center"/>
              <w:rPr>
                <w:sz w:val="16"/>
              </w:rPr>
            </w:pPr>
            <w:r>
              <w:rPr>
                <w:color w:val="231F20"/>
                <w:w w:val="85"/>
                <w:sz w:val="16"/>
              </w:rPr>
              <w:t>Titular</w:t>
            </w:r>
          </w:p>
        </w:tc>
      </w:tr>
      <w:tr>
        <w:trPr>
          <w:trHeight w:val="322" w:hRule="exact"/>
        </w:trPr>
        <w:tc>
          <w:tcPr>
            <w:tcW w:w="2322" w:type="dxa"/>
          </w:tcPr>
          <w:p>
            <w:pPr>
              <w:pStyle w:val="TableParagraph"/>
              <w:spacing w:before="63"/>
              <w:ind w:left="678"/>
              <w:rPr>
                <w:sz w:val="16"/>
              </w:rPr>
            </w:pPr>
            <w:r>
              <w:rPr>
                <w:color w:val="231F20"/>
                <w:w w:val="75"/>
                <w:sz w:val="16"/>
              </w:rPr>
              <w:t>Contraloría Interna</w:t>
            </w:r>
          </w:p>
        </w:tc>
        <w:tc>
          <w:tcPr>
            <w:tcW w:w="1999" w:type="dxa"/>
          </w:tcPr>
          <w:p>
            <w:pPr>
              <w:pStyle w:val="TableParagraph"/>
              <w:spacing w:before="63"/>
              <w:ind w:left="441"/>
              <w:rPr>
                <w:sz w:val="16"/>
              </w:rPr>
            </w:pPr>
            <w:r>
              <w:rPr>
                <w:color w:val="231F20"/>
                <w:w w:val="75"/>
                <w:sz w:val="16"/>
              </w:rPr>
              <w:t>Pedro Hernández Ruiz</w:t>
            </w:r>
          </w:p>
        </w:tc>
        <w:tc>
          <w:tcPr>
            <w:tcW w:w="120" w:type="dxa"/>
          </w:tcPr>
          <w:p>
            <w:pPr/>
          </w:p>
        </w:tc>
        <w:tc>
          <w:tcPr>
            <w:tcW w:w="1940" w:type="dxa"/>
          </w:tcPr>
          <w:p>
            <w:pPr>
              <w:pStyle w:val="TableParagraph"/>
              <w:spacing w:before="63"/>
              <w:ind w:left="474"/>
              <w:rPr>
                <w:sz w:val="16"/>
              </w:rPr>
            </w:pPr>
            <w:r>
              <w:rPr>
                <w:color w:val="231F20"/>
                <w:w w:val="75"/>
                <w:sz w:val="16"/>
              </w:rPr>
              <w:t>Tesorería Municipal</w:t>
            </w:r>
          </w:p>
        </w:tc>
        <w:tc>
          <w:tcPr>
            <w:tcW w:w="1546" w:type="dxa"/>
          </w:tcPr>
          <w:p>
            <w:pPr>
              <w:pStyle w:val="TableParagraph"/>
              <w:spacing w:line="161" w:lineRule="exact"/>
              <w:ind w:left="202" w:right="202"/>
              <w:jc w:val="center"/>
              <w:rPr>
                <w:sz w:val="16"/>
              </w:rPr>
            </w:pPr>
            <w:r>
              <w:rPr>
                <w:color w:val="231F20"/>
                <w:w w:val="75"/>
                <w:sz w:val="16"/>
              </w:rPr>
              <w:t>Alejandro Méndez</w:t>
            </w:r>
          </w:p>
          <w:p>
            <w:pPr>
              <w:pStyle w:val="TableParagraph"/>
              <w:spacing w:line="191" w:lineRule="exact"/>
              <w:ind w:left="202" w:right="202"/>
              <w:jc w:val="center"/>
              <w:rPr>
                <w:sz w:val="16"/>
              </w:rPr>
            </w:pPr>
            <w:r>
              <w:rPr>
                <w:color w:val="231F20"/>
                <w:w w:val="85"/>
                <w:sz w:val="16"/>
              </w:rPr>
              <w:t>Gutiérrez</w:t>
            </w:r>
          </w:p>
        </w:tc>
      </w:tr>
      <w:tr>
        <w:trPr>
          <w:trHeight w:val="322" w:hRule="exact"/>
        </w:trPr>
        <w:tc>
          <w:tcPr>
            <w:tcW w:w="2322" w:type="dxa"/>
          </w:tcPr>
          <w:p>
            <w:pPr>
              <w:pStyle w:val="TableParagraph"/>
              <w:spacing w:line="161" w:lineRule="exact"/>
              <w:ind w:left="72" w:right="72"/>
              <w:jc w:val="center"/>
              <w:rPr>
                <w:sz w:val="16"/>
              </w:rPr>
            </w:pPr>
            <w:r>
              <w:rPr>
                <w:color w:val="231F20"/>
                <w:w w:val="75"/>
                <w:sz w:val="16"/>
              </w:rPr>
              <w:t>Dirección General de Administración,</w:t>
            </w:r>
          </w:p>
          <w:p>
            <w:pPr>
              <w:pStyle w:val="TableParagraph"/>
              <w:spacing w:line="191" w:lineRule="exact"/>
              <w:ind w:left="72" w:right="72"/>
              <w:jc w:val="center"/>
              <w:rPr>
                <w:sz w:val="16"/>
              </w:rPr>
            </w:pPr>
            <w:r>
              <w:rPr>
                <w:color w:val="231F20"/>
                <w:w w:val="75"/>
                <w:sz w:val="16"/>
              </w:rPr>
              <w:t>Finanzas y Tesorería</w:t>
            </w:r>
          </w:p>
        </w:tc>
        <w:tc>
          <w:tcPr>
            <w:tcW w:w="1999" w:type="dxa"/>
          </w:tcPr>
          <w:p>
            <w:pPr>
              <w:pStyle w:val="TableParagraph"/>
              <w:spacing w:before="63"/>
              <w:ind w:left="466"/>
              <w:rPr>
                <w:sz w:val="16"/>
              </w:rPr>
            </w:pPr>
            <w:r>
              <w:rPr>
                <w:color w:val="231F20"/>
                <w:w w:val="75"/>
                <w:sz w:val="16"/>
              </w:rPr>
              <w:t>Álger Escobar Cuevas</w:t>
            </w:r>
          </w:p>
        </w:tc>
        <w:tc>
          <w:tcPr>
            <w:tcW w:w="120" w:type="dxa"/>
          </w:tcPr>
          <w:p>
            <w:pPr/>
          </w:p>
        </w:tc>
        <w:tc>
          <w:tcPr>
            <w:tcW w:w="1940" w:type="dxa"/>
          </w:tcPr>
          <w:p>
            <w:pPr>
              <w:pStyle w:val="TableParagraph"/>
              <w:spacing w:before="63"/>
              <w:ind w:left="487"/>
              <w:rPr>
                <w:sz w:val="16"/>
              </w:rPr>
            </w:pPr>
            <w:r>
              <w:rPr>
                <w:color w:val="231F20"/>
                <w:w w:val="75"/>
                <w:sz w:val="16"/>
              </w:rPr>
              <w:t>Contraloría Interna</w:t>
            </w:r>
          </w:p>
        </w:tc>
        <w:tc>
          <w:tcPr>
            <w:tcW w:w="1546" w:type="dxa"/>
          </w:tcPr>
          <w:p>
            <w:pPr>
              <w:pStyle w:val="TableParagraph"/>
              <w:spacing w:before="63"/>
              <w:ind w:left="0" w:right="106"/>
              <w:jc w:val="right"/>
              <w:rPr>
                <w:sz w:val="16"/>
              </w:rPr>
            </w:pPr>
            <w:r>
              <w:rPr>
                <w:color w:val="231F20"/>
                <w:w w:val="75"/>
                <w:sz w:val="16"/>
              </w:rPr>
              <w:t>Alejandro Quiroz Martínez</w:t>
            </w:r>
          </w:p>
        </w:tc>
      </w:tr>
      <w:tr>
        <w:trPr>
          <w:trHeight w:val="322" w:hRule="exact"/>
        </w:trPr>
        <w:tc>
          <w:tcPr>
            <w:tcW w:w="2322" w:type="dxa"/>
          </w:tcPr>
          <w:p>
            <w:pPr>
              <w:pStyle w:val="TableParagraph"/>
              <w:spacing w:before="63"/>
              <w:ind w:left="507"/>
              <w:rPr>
                <w:sz w:val="16"/>
              </w:rPr>
            </w:pPr>
            <w:r>
              <w:rPr>
                <w:color w:val="231F20"/>
                <w:w w:val="75"/>
                <w:sz w:val="16"/>
              </w:rPr>
              <w:t>Dirección General Jurídica</w:t>
            </w:r>
          </w:p>
        </w:tc>
        <w:tc>
          <w:tcPr>
            <w:tcW w:w="1999" w:type="dxa"/>
          </w:tcPr>
          <w:p>
            <w:pPr>
              <w:pStyle w:val="TableParagraph"/>
              <w:spacing w:before="63"/>
              <w:ind w:left="533"/>
              <w:rPr>
                <w:sz w:val="16"/>
              </w:rPr>
            </w:pPr>
            <w:r>
              <w:rPr>
                <w:color w:val="231F20"/>
                <w:w w:val="80"/>
                <w:sz w:val="16"/>
              </w:rPr>
              <w:t>Ulises Canizal Díaz</w:t>
            </w:r>
          </w:p>
        </w:tc>
        <w:tc>
          <w:tcPr>
            <w:tcW w:w="120" w:type="dxa"/>
          </w:tcPr>
          <w:p>
            <w:pPr/>
          </w:p>
        </w:tc>
        <w:tc>
          <w:tcPr>
            <w:tcW w:w="1940" w:type="dxa"/>
          </w:tcPr>
          <w:p>
            <w:pPr>
              <w:pStyle w:val="TableParagraph"/>
              <w:spacing w:line="161" w:lineRule="exact"/>
              <w:ind w:left="169" w:right="169"/>
              <w:jc w:val="center"/>
              <w:rPr>
                <w:sz w:val="16"/>
              </w:rPr>
            </w:pPr>
            <w:r>
              <w:rPr>
                <w:color w:val="231F20"/>
                <w:w w:val="75"/>
                <w:sz w:val="16"/>
              </w:rPr>
              <w:t>Dirección General de Adminis-</w:t>
            </w:r>
          </w:p>
          <w:p>
            <w:pPr>
              <w:pStyle w:val="TableParagraph"/>
              <w:spacing w:line="191" w:lineRule="exact"/>
              <w:ind w:left="169" w:right="169"/>
              <w:jc w:val="center"/>
              <w:rPr>
                <w:sz w:val="16"/>
              </w:rPr>
            </w:pPr>
            <w:r>
              <w:rPr>
                <w:color w:val="231F20"/>
                <w:w w:val="85"/>
                <w:sz w:val="16"/>
              </w:rPr>
              <w:t>tración</w:t>
            </w:r>
          </w:p>
        </w:tc>
        <w:tc>
          <w:tcPr>
            <w:tcW w:w="1546" w:type="dxa"/>
          </w:tcPr>
          <w:p>
            <w:pPr>
              <w:pStyle w:val="TableParagraph"/>
              <w:spacing w:line="161" w:lineRule="exact"/>
              <w:ind w:left="202" w:right="202"/>
              <w:jc w:val="center"/>
              <w:rPr>
                <w:sz w:val="16"/>
              </w:rPr>
            </w:pPr>
            <w:r>
              <w:rPr>
                <w:color w:val="231F20"/>
                <w:w w:val="75"/>
                <w:sz w:val="16"/>
              </w:rPr>
              <w:t>Juan Manuel González</w:t>
            </w:r>
          </w:p>
          <w:p>
            <w:pPr>
              <w:pStyle w:val="TableParagraph"/>
              <w:spacing w:line="191" w:lineRule="exact"/>
              <w:ind w:left="202" w:right="202"/>
              <w:jc w:val="center"/>
              <w:rPr>
                <w:sz w:val="16"/>
              </w:rPr>
            </w:pPr>
            <w:r>
              <w:rPr>
                <w:color w:val="231F20"/>
                <w:w w:val="85"/>
                <w:sz w:val="16"/>
              </w:rPr>
              <w:t>Hernández</w:t>
            </w:r>
          </w:p>
        </w:tc>
      </w:tr>
      <w:tr>
        <w:trPr>
          <w:trHeight w:val="322" w:hRule="exact"/>
        </w:trPr>
        <w:tc>
          <w:tcPr>
            <w:tcW w:w="2322" w:type="dxa"/>
          </w:tcPr>
          <w:p>
            <w:pPr>
              <w:pStyle w:val="TableParagraph"/>
              <w:spacing w:line="161" w:lineRule="exact"/>
              <w:ind w:left="72" w:right="72"/>
              <w:jc w:val="center"/>
              <w:rPr>
                <w:sz w:val="16"/>
              </w:rPr>
            </w:pPr>
            <w:r>
              <w:rPr>
                <w:color w:val="231F20"/>
                <w:w w:val="80"/>
                <w:sz w:val="16"/>
              </w:rPr>
              <w:t>Dirección General de Seguridad Pública y</w:t>
            </w:r>
          </w:p>
          <w:p>
            <w:pPr>
              <w:pStyle w:val="TableParagraph"/>
              <w:spacing w:line="191" w:lineRule="exact"/>
              <w:ind w:left="72" w:right="71"/>
              <w:jc w:val="center"/>
              <w:rPr>
                <w:sz w:val="16"/>
              </w:rPr>
            </w:pPr>
            <w:r>
              <w:rPr>
                <w:color w:val="231F20"/>
                <w:w w:val="75"/>
                <w:sz w:val="16"/>
              </w:rPr>
              <w:t>Protección Ciudadana</w:t>
            </w:r>
          </w:p>
        </w:tc>
        <w:tc>
          <w:tcPr>
            <w:tcW w:w="1999" w:type="dxa"/>
          </w:tcPr>
          <w:p>
            <w:pPr>
              <w:pStyle w:val="TableParagraph"/>
              <w:spacing w:before="63"/>
              <w:ind w:left="0" w:right="291"/>
              <w:jc w:val="right"/>
              <w:rPr>
                <w:sz w:val="16"/>
              </w:rPr>
            </w:pPr>
            <w:r>
              <w:rPr>
                <w:color w:val="231F20"/>
                <w:w w:val="75"/>
                <w:sz w:val="16"/>
              </w:rPr>
              <w:t>Herminio Hernández Ingalls</w:t>
            </w:r>
          </w:p>
        </w:tc>
        <w:tc>
          <w:tcPr>
            <w:tcW w:w="120" w:type="dxa"/>
          </w:tcPr>
          <w:p>
            <w:pPr/>
          </w:p>
        </w:tc>
        <w:tc>
          <w:tcPr>
            <w:tcW w:w="1940" w:type="dxa"/>
          </w:tcPr>
          <w:p>
            <w:pPr>
              <w:pStyle w:val="TableParagraph"/>
              <w:spacing w:line="161" w:lineRule="exact"/>
              <w:ind w:left="169" w:right="169"/>
              <w:jc w:val="center"/>
              <w:rPr>
                <w:sz w:val="16"/>
              </w:rPr>
            </w:pPr>
            <w:r>
              <w:rPr>
                <w:color w:val="231F20"/>
                <w:w w:val="75"/>
                <w:sz w:val="16"/>
              </w:rPr>
              <w:t>Dirección General Jurídico</w:t>
            </w:r>
          </w:p>
          <w:p>
            <w:pPr>
              <w:pStyle w:val="TableParagraph"/>
              <w:spacing w:line="191" w:lineRule="exact"/>
              <w:ind w:left="169" w:right="169"/>
              <w:jc w:val="center"/>
              <w:rPr>
                <w:sz w:val="16"/>
              </w:rPr>
            </w:pPr>
            <w:r>
              <w:rPr>
                <w:color w:val="231F20"/>
                <w:w w:val="85"/>
                <w:sz w:val="16"/>
              </w:rPr>
              <w:t>Consultiva</w:t>
            </w:r>
          </w:p>
        </w:tc>
        <w:tc>
          <w:tcPr>
            <w:tcW w:w="1546" w:type="dxa"/>
          </w:tcPr>
          <w:p>
            <w:pPr>
              <w:pStyle w:val="TableParagraph"/>
              <w:spacing w:before="63"/>
              <w:ind w:left="0" w:right="168"/>
              <w:jc w:val="right"/>
              <w:rPr>
                <w:sz w:val="16"/>
              </w:rPr>
            </w:pPr>
            <w:r>
              <w:rPr>
                <w:color w:val="231F20"/>
                <w:w w:val="80"/>
                <w:sz w:val="16"/>
              </w:rPr>
              <w:t>José Paz Sánchez García</w:t>
            </w:r>
          </w:p>
        </w:tc>
      </w:tr>
      <w:tr>
        <w:trPr>
          <w:trHeight w:val="322" w:hRule="exact"/>
        </w:trPr>
        <w:tc>
          <w:tcPr>
            <w:tcW w:w="2322" w:type="dxa"/>
          </w:tcPr>
          <w:p>
            <w:pPr>
              <w:pStyle w:val="TableParagraph"/>
              <w:spacing w:line="161" w:lineRule="exact"/>
              <w:ind w:left="72" w:right="72"/>
              <w:jc w:val="center"/>
              <w:rPr>
                <w:sz w:val="16"/>
              </w:rPr>
            </w:pPr>
            <w:r>
              <w:rPr>
                <w:color w:val="231F20"/>
                <w:w w:val="75"/>
                <w:sz w:val="16"/>
              </w:rPr>
              <w:t>Dirección General de Desarrollo Econó-</w:t>
            </w:r>
          </w:p>
          <w:p>
            <w:pPr>
              <w:pStyle w:val="TableParagraph"/>
              <w:spacing w:line="191" w:lineRule="exact"/>
              <w:ind w:left="72" w:right="72"/>
              <w:jc w:val="center"/>
              <w:rPr>
                <w:sz w:val="16"/>
              </w:rPr>
            </w:pPr>
            <w:r>
              <w:rPr>
                <w:color w:val="231F20"/>
                <w:w w:val="80"/>
                <w:sz w:val="16"/>
              </w:rPr>
              <w:t>mico y Social</w:t>
            </w:r>
          </w:p>
        </w:tc>
        <w:tc>
          <w:tcPr>
            <w:tcW w:w="1999" w:type="dxa"/>
          </w:tcPr>
          <w:p>
            <w:pPr>
              <w:pStyle w:val="TableParagraph"/>
              <w:spacing w:before="63"/>
              <w:ind w:left="0" w:right="297"/>
              <w:jc w:val="right"/>
              <w:rPr>
                <w:sz w:val="16"/>
              </w:rPr>
            </w:pPr>
            <w:r>
              <w:rPr>
                <w:color w:val="231F20"/>
                <w:w w:val="75"/>
                <w:sz w:val="16"/>
              </w:rPr>
              <w:t>Carlos Eliseo Nava Gutiérrez</w:t>
            </w:r>
          </w:p>
        </w:tc>
        <w:tc>
          <w:tcPr>
            <w:tcW w:w="120" w:type="dxa"/>
          </w:tcPr>
          <w:p>
            <w:pPr/>
          </w:p>
        </w:tc>
        <w:tc>
          <w:tcPr>
            <w:tcW w:w="1940" w:type="dxa"/>
          </w:tcPr>
          <w:p>
            <w:pPr>
              <w:pStyle w:val="TableParagraph"/>
              <w:spacing w:line="161" w:lineRule="exact"/>
              <w:ind w:left="169" w:right="168"/>
              <w:jc w:val="center"/>
              <w:rPr>
                <w:sz w:val="16"/>
              </w:rPr>
            </w:pPr>
            <w:r>
              <w:rPr>
                <w:color w:val="231F20"/>
                <w:w w:val="75"/>
                <w:sz w:val="16"/>
              </w:rPr>
              <w:t>Dirección General de Seguridad</w:t>
            </w:r>
          </w:p>
          <w:p>
            <w:pPr>
              <w:pStyle w:val="TableParagraph"/>
              <w:spacing w:line="191" w:lineRule="exact"/>
              <w:ind w:left="169" w:right="169"/>
              <w:jc w:val="center"/>
              <w:rPr>
                <w:sz w:val="16"/>
              </w:rPr>
            </w:pPr>
            <w:r>
              <w:rPr>
                <w:color w:val="231F20"/>
                <w:w w:val="75"/>
                <w:sz w:val="16"/>
              </w:rPr>
              <w:t>Pública y Tránsito</w:t>
            </w:r>
          </w:p>
        </w:tc>
        <w:tc>
          <w:tcPr>
            <w:tcW w:w="1546" w:type="dxa"/>
          </w:tcPr>
          <w:p>
            <w:pPr>
              <w:pStyle w:val="TableParagraph"/>
              <w:spacing w:before="63"/>
              <w:ind w:left="229"/>
              <w:rPr>
                <w:sz w:val="16"/>
              </w:rPr>
            </w:pPr>
            <w:r>
              <w:rPr>
                <w:color w:val="231F20"/>
                <w:w w:val="75"/>
                <w:sz w:val="16"/>
              </w:rPr>
              <w:t>Pedro Chávez Rosales</w:t>
            </w:r>
          </w:p>
        </w:tc>
      </w:tr>
      <w:tr>
        <w:trPr>
          <w:trHeight w:val="667" w:hRule="exact"/>
        </w:trPr>
        <w:tc>
          <w:tcPr>
            <w:tcW w:w="2322" w:type="dxa"/>
          </w:tcPr>
          <w:p>
            <w:pPr>
              <w:pStyle w:val="TableParagraph"/>
              <w:spacing w:line="192" w:lineRule="exact" w:before="139"/>
              <w:ind w:left="450" w:hanging="307"/>
              <w:rPr>
                <w:sz w:val="16"/>
              </w:rPr>
            </w:pPr>
            <w:r>
              <w:rPr>
                <w:color w:val="231F20"/>
                <w:w w:val="75"/>
                <w:sz w:val="16"/>
              </w:rPr>
              <w:t>Dirección General de Desarrollo, Infraes- </w:t>
            </w:r>
            <w:r>
              <w:rPr>
                <w:color w:val="231F20"/>
                <w:w w:val="80"/>
                <w:sz w:val="16"/>
              </w:rPr>
              <w:t>tructura y Servicios Públicos</w:t>
            </w:r>
          </w:p>
        </w:tc>
        <w:tc>
          <w:tcPr>
            <w:tcW w:w="1999" w:type="dxa"/>
          </w:tcPr>
          <w:p>
            <w:pPr>
              <w:pStyle w:val="TableParagraph"/>
              <w:spacing w:before="6"/>
              <w:ind w:left="0"/>
              <w:rPr>
                <w:rFonts w:ascii="Times New Roman"/>
                <w:b/>
                <w:sz w:val="20"/>
              </w:rPr>
            </w:pPr>
          </w:p>
          <w:p>
            <w:pPr>
              <w:pStyle w:val="TableParagraph"/>
              <w:ind w:left="480"/>
              <w:rPr>
                <w:sz w:val="16"/>
              </w:rPr>
            </w:pPr>
            <w:r>
              <w:rPr>
                <w:color w:val="231F20"/>
                <w:w w:val="75"/>
                <w:sz w:val="16"/>
              </w:rPr>
              <w:t>René Chicho Escobar</w:t>
            </w:r>
          </w:p>
        </w:tc>
        <w:tc>
          <w:tcPr>
            <w:tcW w:w="120" w:type="dxa"/>
          </w:tcPr>
          <w:p>
            <w:pPr/>
          </w:p>
        </w:tc>
        <w:tc>
          <w:tcPr>
            <w:tcW w:w="1940" w:type="dxa"/>
          </w:tcPr>
          <w:p>
            <w:pPr>
              <w:pStyle w:val="TableParagraph"/>
              <w:spacing w:line="192" w:lineRule="exact" w:before="139"/>
              <w:ind w:left="816" w:hanging="639"/>
              <w:rPr>
                <w:sz w:val="16"/>
              </w:rPr>
            </w:pPr>
            <w:r>
              <w:rPr>
                <w:color w:val="231F20"/>
                <w:w w:val="75"/>
                <w:sz w:val="16"/>
              </w:rPr>
              <w:t>Dirección General de Desarrollo </w:t>
            </w:r>
            <w:r>
              <w:rPr>
                <w:color w:val="231F20"/>
                <w:w w:val="85"/>
                <w:sz w:val="16"/>
              </w:rPr>
              <w:t>Social</w:t>
            </w:r>
          </w:p>
        </w:tc>
        <w:tc>
          <w:tcPr>
            <w:tcW w:w="1546" w:type="dxa"/>
          </w:tcPr>
          <w:p>
            <w:pPr>
              <w:pStyle w:val="TableParagraph"/>
              <w:spacing w:before="6"/>
              <w:ind w:left="0"/>
              <w:rPr>
                <w:rFonts w:ascii="Times New Roman"/>
                <w:b/>
                <w:sz w:val="20"/>
              </w:rPr>
            </w:pPr>
          </w:p>
          <w:p>
            <w:pPr>
              <w:pStyle w:val="TableParagraph"/>
              <w:ind w:left="185"/>
              <w:rPr>
                <w:sz w:val="16"/>
              </w:rPr>
            </w:pPr>
            <w:r>
              <w:rPr>
                <w:color w:val="231F20"/>
                <w:w w:val="75"/>
                <w:sz w:val="16"/>
              </w:rPr>
              <w:t>Oscar Fernández Luque</w:t>
            </w:r>
          </w:p>
        </w:tc>
      </w:tr>
      <w:tr>
        <w:trPr>
          <w:trHeight w:val="322" w:hRule="exact"/>
        </w:trPr>
        <w:tc>
          <w:tcPr>
            <w:tcW w:w="2322" w:type="dxa"/>
          </w:tcPr>
          <w:p>
            <w:pPr>
              <w:pStyle w:val="TableParagraph"/>
              <w:spacing w:before="63"/>
              <w:ind w:left="642"/>
              <w:rPr>
                <w:sz w:val="16"/>
              </w:rPr>
            </w:pPr>
            <w:r>
              <w:rPr>
                <w:color w:val="231F20"/>
                <w:w w:val="75"/>
                <w:sz w:val="16"/>
              </w:rPr>
              <w:t>Secretaría Particular</w:t>
            </w:r>
          </w:p>
        </w:tc>
        <w:tc>
          <w:tcPr>
            <w:tcW w:w="1999" w:type="dxa"/>
          </w:tcPr>
          <w:p>
            <w:pPr>
              <w:pStyle w:val="TableParagraph"/>
              <w:spacing w:before="63"/>
              <w:ind w:left="0" w:right="342"/>
              <w:jc w:val="right"/>
              <w:rPr>
                <w:sz w:val="16"/>
              </w:rPr>
            </w:pPr>
            <w:r>
              <w:rPr>
                <w:color w:val="231F20"/>
                <w:w w:val="75"/>
                <w:sz w:val="16"/>
              </w:rPr>
              <w:t>Terence Ryan de la Fuente</w:t>
            </w:r>
          </w:p>
        </w:tc>
        <w:tc>
          <w:tcPr>
            <w:tcW w:w="120" w:type="dxa"/>
          </w:tcPr>
          <w:p>
            <w:pPr/>
          </w:p>
        </w:tc>
        <w:tc>
          <w:tcPr>
            <w:tcW w:w="1940" w:type="dxa"/>
          </w:tcPr>
          <w:p>
            <w:pPr>
              <w:pStyle w:val="TableParagraph"/>
              <w:spacing w:line="161" w:lineRule="exact"/>
              <w:ind w:left="169" w:right="169"/>
              <w:jc w:val="center"/>
              <w:rPr>
                <w:sz w:val="16"/>
              </w:rPr>
            </w:pPr>
            <w:r>
              <w:rPr>
                <w:color w:val="231F20"/>
                <w:w w:val="75"/>
                <w:sz w:val="16"/>
              </w:rPr>
              <w:t>Dirección General de Servicios</w:t>
            </w:r>
          </w:p>
          <w:p>
            <w:pPr>
              <w:pStyle w:val="TableParagraph"/>
              <w:spacing w:line="191" w:lineRule="exact"/>
              <w:ind w:left="169" w:right="169"/>
              <w:jc w:val="center"/>
              <w:rPr>
                <w:sz w:val="16"/>
              </w:rPr>
            </w:pPr>
            <w:r>
              <w:rPr>
                <w:color w:val="231F20"/>
                <w:w w:val="85"/>
                <w:sz w:val="16"/>
              </w:rPr>
              <w:t>Públicos</w:t>
            </w:r>
          </w:p>
        </w:tc>
        <w:tc>
          <w:tcPr>
            <w:tcW w:w="1546" w:type="dxa"/>
          </w:tcPr>
          <w:p>
            <w:pPr>
              <w:pStyle w:val="TableParagraph"/>
              <w:spacing w:before="63"/>
              <w:ind w:left="271"/>
              <w:rPr>
                <w:sz w:val="16"/>
              </w:rPr>
            </w:pPr>
            <w:r>
              <w:rPr>
                <w:color w:val="231F20"/>
                <w:w w:val="75"/>
                <w:sz w:val="16"/>
              </w:rPr>
              <w:t>Jesús Cedillo Valdez</w:t>
            </w:r>
          </w:p>
        </w:tc>
      </w:tr>
      <w:tr>
        <w:trPr>
          <w:trHeight w:val="322" w:hRule="exact"/>
        </w:trPr>
        <w:tc>
          <w:tcPr>
            <w:tcW w:w="2322" w:type="dxa"/>
          </w:tcPr>
          <w:p>
            <w:pPr>
              <w:pStyle w:val="TableParagraph"/>
              <w:spacing w:before="63"/>
              <w:ind w:left="436"/>
              <w:rPr>
                <w:sz w:val="16"/>
              </w:rPr>
            </w:pPr>
            <w:r>
              <w:rPr>
                <w:color w:val="231F20"/>
                <w:w w:val="75"/>
                <w:sz w:val="16"/>
              </w:rPr>
              <w:t>Secretaría del Ayuntamiento</w:t>
            </w:r>
          </w:p>
        </w:tc>
        <w:tc>
          <w:tcPr>
            <w:tcW w:w="1999" w:type="dxa"/>
          </w:tcPr>
          <w:p>
            <w:pPr>
              <w:pStyle w:val="TableParagraph"/>
              <w:spacing w:before="63"/>
              <w:ind w:left="423"/>
              <w:rPr>
                <w:sz w:val="16"/>
              </w:rPr>
            </w:pPr>
            <w:r>
              <w:rPr>
                <w:color w:val="231F20"/>
                <w:w w:val="75"/>
                <w:sz w:val="16"/>
              </w:rPr>
              <w:t>Humberto Nava D’Alba</w:t>
            </w:r>
          </w:p>
        </w:tc>
        <w:tc>
          <w:tcPr>
            <w:tcW w:w="120" w:type="dxa"/>
          </w:tcPr>
          <w:p>
            <w:pPr/>
          </w:p>
        </w:tc>
        <w:tc>
          <w:tcPr>
            <w:tcW w:w="1940" w:type="dxa"/>
          </w:tcPr>
          <w:p>
            <w:pPr>
              <w:pStyle w:val="TableParagraph"/>
              <w:spacing w:line="161" w:lineRule="exact"/>
              <w:ind w:left="169" w:right="169"/>
              <w:jc w:val="center"/>
              <w:rPr>
                <w:sz w:val="16"/>
              </w:rPr>
            </w:pPr>
            <w:r>
              <w:rPr>
                <w:color w:val="231F20"/>
                <w:w w:val="75"/>
                <w:sz w:val="16"/>
              </w:rPr>
              <w:t>Dirección General de Desarrollo</w:t>
            </w:r>
          </w:p>
          <w:p>
            <w:pPr>
              <w:pStyle w:val="TableParagraph"/>
              <w:spacing w:line="191" w:lineRule="exact"/>
              <w:ind w:left="169" w:right="169"/>
              <w:jc w:val="center"/>
              <w:rPr>
                <w:sz w:val="16"/>
              </w:rPr>
            </w:pPr>
            <w:r>
              <w:rPr>
                <w:color w:val="231F20"/>
                <w:w w:val="75"/>
                <w:sz w:val="16"/>
              </w:rPr>
              <w:t>Urbano y Ecología</w:t>
            </w:r>
          </w:p>
        </w:tc>
        <w:tc>
          <w:tcPr>
            <w:tcW w:w="1546" w:type="dxa"/>
          </w:tcPr>
          <w:p>
            <w:pPr>
              <w:pStyle w:val="TableParagraph"/>
              <w:spacing w:before="63"/>
              <w:ind w:left="224"/>
              <w:rPr>
                <w:sz w:val="16"/>
              </w:rPr>
            </w:pPr>
            <w:r>
              <w:rPr>
                <w:color w:val="231F20"/>
                <w:w w:val="75"/>
                <w:sz w:val="16"/>
              </w:rPr>
              <w:t>Víctor Colorado Reyes</w:t>
            </w:r>
          </w:p>
        </w:tc>
      </w:tr>
      <w:tr>
        <w:trPr>
          <w:trHeight w:val="322" w:hRule="exact"/>
        </w:trPr>
        <w:tc>
          <w:tcPr>
            <w:tcW w:w="2322" w:type="dxa"/>
          </w:tcPr>
          <w:p>
            <w:pPr/>
          </w:p>
        </w:tc>
        <w:tc>
          <w:tcPr>
            <w:tcW w:w="1999" w:type="dxa"/>
          </w:tcPr>
          <w:p>
            <w:pPr/>
          </w:p>
        </w:tc>
        <w:tc>
          <w:tcPr>
            <w:tcW w:w="120" w:type="dxa"/>
          </w:tcPr>
          <w:p>
            <w:pPr/>
          </w:p>
        </w:tc>
        <w:tc>
          <w:tcPr>
            <w:tcW w:w="1940" w:type="dxa"/>
          </w:tcPr>
          <w:p>
            <w:pPr>
              <w:pStyle w:val="TableParagraph"/>
              <w:spacing w:line="161" w:lineRule="exact"/>
              <w:ind w:left="169" w:right="169"/>
              <w:jc w:val="center"/>
              <w:rPr>
                <w:sz w:val="16"/>
              </w:rPr>
            </w:pPr>
            <w:r>
              <w:rPr>
                <w:color w:val="231F20"/>
                <w:w w:val="75"/>
                <w:sz w:val="16"/>
              </w:rPr>
              <w:t>Dirección General de Obras</w:t>
            </w:r>
          </w:p>
          <w:p>
            <w:pPr>
              <w:pStyle w:val="TableParagraph"/>
              <w:spacing w:line="191" w:lineRule="exact"/>
              <w:ind w:left="169" w:right="168"/>
              <w:jc w:val="center"/>
              <w:rPr>
                <w:sz w:val="16"/>
              </w:rPr>
            </w:pPr>
            <w:r>
              <w:rPr>
                <w:color w:val="231F20"/>
                <w:w w:val="85"/>
                <w:sz w:val="16"/>
              </w:rPr>
              <w:t>Públicas</w:t>
            </w:r>
          </w:p>
        </w:tc>
        <w:tc>
          <w:tcPr>
            <w:tcW w:w="1546" w:type="dxa"/>
          </w:tcPr>
          <w:p>
            <w:pPr>
              <w:pStyle w:val="TableParagraph"/>
              <w:spacing w:before="63"/>
              <w:ind w:left="241"/>
              <w:rPr>
                <w:sz w:val="16"/>
              </w:rPr>
            </w:pPr>
            <w:r>
              <w:rPr>
                <w:color w:val="231F20"/>
                <w:w w:val="75"/>
                <w:sz w:val="16"/>
              </w:rPr>
              <w:t>Inocente Nava García</w:t>
            </w:r>
          </w:p>
        </w:tc>
      </w:tr>
      <w:tr>
        <w:trPr>
          <w:trHeight w:val="322" w:hRule="exact"/>
        </w:trPr>
        <w:tc>
          <w:tcPr>
            <w:tcW w:w="2322" w:type="dxa"/>
          </w:tcPr>
          <w:p>
            <w:pPr/>
          </w:p>
        </w:tc>
        <w:tc>
          <w:tcPr>
            <w:tcW w:w="1999" w:type="dxa"/>
          </w:tcPr>
          <w:p>
            <w:pPr/>
          </w:p>
        </w:tc>
        <w:tc>
          <w:tcPr>
            <w:tcW w:w="120" w:type="dxa"/>
          </w:tcPr>
          <w:p>
            <w:pPr/>
          </w:p>
        </w:tc>
        <w:tc>
          <w:tcPr>
            <w:tcW w:w="1940" w:type="dxa"/>
          </w:tcPr>
          <w:p>
            <w:pPr>
              <w:pStyle w:val="TableParagraph"/>
              <w:spacing w:before="63"/>
              <w:ind w:left="451"/>
              <w:rPr>
                <w:sz w:val="16"/>
              </w:rPr>
            </w:pPr>
            <w:r>
              <w:rPr>
                <w:color w:val="231F20"/>
                <w:w w:val="75"/>
                <w:sz w:val="16"/>
              </w:rPr>
              <w:t>Secretaría Particular</w:t>
            </w:r>
          </w:p>
        </w:tc>
        <w:tc>
          <w:tcPr>
            <w:tcW w:w="1546" w:type="dxa"/>
          </w:tcPr>
          <w:p>
            <w:pPr>
              <w:pStyle w:val="TableParagraph"/>
              <w:spacing w:line="161" w:lineRule="exact"/>
              <w:ind w:left="202" w:right="202"/>
              <w:jc w:val="center"/>
              <w:rPr>
                <w:sz w:val="16"/>
              </w:rPr>
            </w:pPr>
            <w:r>
              <w:rPr>
                <w:color w:val="231F20"/>
                <w:w w:val="75"/>
                <w:sz w:val="16"/>
              </w:rPr>
              <w:t>Adrián Germán Ávila</w:t>
            </w:r>
          </w:p>
          <w:p>
            <w:pPr>
              <w:pStyle w:val="TableParagraph"/>
              <w:spacing w:line="191" w:lineRule="exact"/>
              <w:ind w:left="202" w:right="202"/>
              <w:jc w:val="center"/>
              <w:rPr>
                <w:sz w:val="16"/>
              </w:rPr>
            </w:pPr>
            <w:r>
              <w:rPr>
                <w:color w:val="231F20"/>
                <w:w w:val="85"/>
                <w:sz w:val="16"/>
              </w:rPr>
              <w:t>García</w:t>
            </w:r>
          </w:p>
        </w:tc>
      </w:tr>
      <w:tr>
        <w:trPr>
          <w:trHeight w:val="322" w:hRule="exact"/>
        </w:trPr>
        <w:tc>
          <w:tcPr>
            <w:tcW w:w="2322" w:type="dxa"/>
          </w:tcPr>
          <w:p>
            <w:pPr/>
          </w:p>
        </w:tc>
        <w:tc>
          <w:tcPr>
            <w:tcW w:w="1999" w:type="dxa"/>
          </w:tcPr>
          <w:p>
            <w:pPr/>
          </w:p>
        </w:tc>
        <w:tc>
          <w:tcPr>
            <w:tcW w:w="120" w:type="dxa"/>
          </w:tcPr>
          <w:p>
            <w:pPr/>
          </w:p>
        </w:tc>
        <w:tc>
          <w:tcPr>
            <w:tcW w:w="1940" w:type="dxa"/>
          </w:tcPr>
          <w:p>
            <w:pPr>
              <w:pStyle w:val="TableParagraph"/>
              <w:spacing w:before="63"/>
              <w:ind w:left="245"/>
              <w:rPr>
                <w:sz w:val="16"/>
              </w:rPr>
            </w:pPr>
            <w:r>
              <w:rPr>
                <w:color w:val="231F20"/>
                <w:w w:val="75"/>
                <w:sz w:val="16"/>
              </w:rPr>
              <w:t>Secretaría del Ayuntamiento</w:t>
            </w:r>
          </w:p>
        </w:tc>
        <w:tc>
          <w:tcPr>
            <w:tcW w:w="1546" w:type="dxa"/>
          </w:tcPr>
          <w:p>
            <w:pPr>
              <w:pStyle w:val="TableParagraph"/>
              <w:spacing w:line="161" w:lineRule="exact"/>
              <w:ind w:left="202" w:right="202"/>
              <w:jc w:val="center"/>
              <w:rPr>
                <w:sz w:val="16"/>
              </w:rPr>
            </w:pPr>
            <w:r>
              <w:rPr>
                <w:color w:val="231F20"/>
                <w:w w:val="75"/>
                <w:sz w:val="16"/>
              </w:rPr>
              <w:t>Rodolfo Encampira</w:t>
            </w:r>
          </w:p>
          <w:p>
            <w:pPr>
              <w:pStyle w:val="TableParagraph"/>
              <w:spacing w:line="191" w:lineRule="exact"/>
              <w:ind w:left="202" w:right="201"/>
              <w:jc w:val="center"/>
              <w:rPr>
                <w:sz w:val="16"/>
              </w:rPr>
            </w:pPr>
            <w:r>
              <w:rPr>
                <w:color w:val="231F20"/>
                <w:w w:val="85"/>
                <w:sz w:val="16"/>
              </w:rPr>
              <w:t>Montoya</w:t>
            </w:r>
          </w:p>
        </w:tc>
      </w:tr>
      <w:tr>
        <w:trPr>
          <w:trHeight w:val="322" w:hRule="exact"/>
        </w:trPr>
        <w:tc>
          <w:tcPr>
            <w:tcW w:w="2322" w:type="dxa"/>
          </w:tcPr>
          <w:p>
            <w:pPr/>
          </w:p>
        </w:tc>
        <w:tc>
          <w:tcPr>
            <w:tcW w:w="1999" w:type="dxa"/>
          </w:tcPr>
          <w:p>
            <w:pPr/>
          </w:p>
        </w:tc>
        <w:tc>
          <w:tcPr>
            <w:tcW w:w="120" w:type="dxa"/>
          </w:tcPr>
          <w:p>
            <w:pPr/>
          </w:p>
        </w:tc>
        <w:tc>
          <w:tcPr>
            <w:tcW w:w="1940" w:type="dxa"/>
          </w:tcPr>
          <w:p>
            <w:pPr>
              <w:pStyle w:val="TableParagraph"/>
              <w:spacing w:before="63"/>
              <w:ind w:left="512"/>
              <w:rPr>
                <w:sz w:val="16"/>
              </w:rPr>
            </w:pPr>
            <w:r>
              <w:rPr>
                <w:color w:val="231F20"/>
                <w:w w:val="75"/>
                <w:sz w:val="16"/>
              </w:rPr>
              <w:t>Secretaría Técnica</w:t>
            </w:r>
          </w:p>
        </w:tc>
        <w:tc>
          <w:tcPr>
            <w:tcW w:w="1546" w:type="dxa"/>
          </w:tcPr>
          <w:p>
            <w:pPr>
              <w:pStyle w:val="TableParagraph"/>
              <w:spacing w:line="161" w:lineRule="exact"/>
              <w:ind w:left="202" w:right="202"/>
              <w:jc w:val="center"/>
              <w:rPr>
                <w:sz w:val="16"/>
              </w:rPr>
            </w:pPr>
            <w:r>
              <w:rPr>
                <w:color w:val="231F20"/>
                <w:w w:val="75"/>
                <w:sz w:val="16"/>
              </w:rPr>
              <w:t>Justino Antonio Mon-</w:t>
            </w:r>
          </w:p>
          <w:p>
            <w:pPr>
              <w:pStyle w:val="TableParagraph"/>
              <w:spacing w:line="191" w:lineRule="exact"/>
              <w:ind w:left="202" w:right="200"/>
              <w:jc w:val="center"/>
              <w:rPr>
                <w:sz w:val="16"/>
              </w:rPr>
            </w:pPr>
            <w:r>
              <w:rPr>
                <w:color w:val="231F20"/>
                <w:w w:val="85"/>
                <w:sz w:val="16"/>
              </w:rPr>
              <w:t>dragón</w:t>
            </w:r>
          </w:p>
        </w:tc>
      </w:tr>
    </w:tbl>
    <w:p>
      <w:pPr>
        <w:spacing w:before="88"/>
        <w:ind w:left="2774" w:right="-2" w:firstLine="0"/>
        <w:jc w:val="left"/>
        <w:rPr>
          <w:rFonts w:ascii="Calibri"/>
          <w:sz w:val="16"/>
        </w:rPr>
      </w:pPr>
      <w:r>
        <w:rPr>
          <w:rFonts w:ascii="Calibri"/>
          <w:color w:val="231F20"/>
          <w:w w:val="95"/>
          <w:sz w:val="16"/>
        </w:rPr>
        <w:t>Fuente: (HUIXQUILUCAN, 2004), (HUIXQUILUCAN, 2006b), (HUIXQUILUCAN,  2006a).</w:t>
      </w:r>
    </w:p>
    <w:p>
      <w:pPr>
        <w:spacing w:after="0"/>
        <w:jc w:val="left"/>
        <w:rPr>
          <w:rFonts w:ascii="Calibri"/>
          <w:sz w:val="16"/>
        </w:rPr>
        <w:sectPr>
          <w:pgSz w:w="9640" w:h="12190"/>
          <w:pgMar w:header="0" w:footer="743" w:top="1120" w:bottom="940" w:left="740" w:right="740"/>
        </w:sectPr>
      </w:pPr>
    </w:p>
    <w:p>
      <w:pPr>
        <w:pStyle w:val="Heading5"/>
        <w:spacing w:before="27"/>
        <w:ind w:right="102"/>
        <w:jc w:val="center"/>
      </w:pPr>
      <w:r>
        <w:rPr>
          <w:color w:val="231F20"/>
          <w:w w:val="105"/>
        </w:rPr>
        <w:t>Anexo 2.</w:t>
      </w:r>
    </w:p>
    <w:p>
      <w:pPr>
        <w:spacing w:line="285" w:lineRule="auto" w:before="47"/>
        <w:ind w:left="1041" w:right="1040" w:firstLine="0"/>
        <w:jc w:val="center"/>
        <w:rPr>
          <w:b/>
          <w:sz w:val="22"/>
        </w:rPr>
      </w:pPr>
      <w:r>
        <w:rPr>
          <w:b/>
          <w:color w:val="231F20"/>
          <w:w w:val="105"/>
          <w:sz w:val="22"/>
        </w:rPr>
        <w:t>Cambios en la administración municipal del gobierno de Huixquilucan durante 2003-2006</w:t>
      </w:r>
    </w:p>
    <w:p>
      <w:pPr>
        <w:pStyle w:val="BodyText"/>
        <w:rPr>
          <w:b/>
          <w:sz w:val="20"/>
        </w:rPr>
      </w:pPr>
    </w:p>
    <w:p>
      <w:pPr>
        <w:pStyle w:val="BodyText"/>
        <w:spacing w:before="10"/>
        <w:rPr>
          <w:b/>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609"/>
        <w:gridCol w:w="1980"/>
        <w:gridCol w:w="1567"/>
        <w:gridCol w:w="576"/>
        <w:gridCol w:w="1749"/>
        <w:gridCol w:w="1446"/>
      </w:tblGrid>
      <w:tr>
        <w:trPr>
          <w:trHeight w:val="130" w:hRule="exact"/>
        </w:trPr>
        <w:tc>
          <w:tcPr>
            <w:tcW w:w="609" w:type="dxa"/>
          </w:tcPr>
          <w:p>
            <w:pPr>
              <w:pStyle w:val="TableParagraph"/>
              <w:spacing w:line="160" w:lineRule="exact"/>
              <w:ind w:left="141" w:right="141"/>
              <w:jc w:val="center"/>
              <w:rPr>
                <w:b/>
                <w:sz w:val="16"/>
              </w:rPr>
            </w:pPr>
            <w:r>
              <w:rPr>
                <w:b/>
                <w:color w:val="231F20"/>
                <w:w w:val="90"/>
                <w:sz w:val="16"/>
              </w:rPr>
              <w:t>Año</w:t>
            </w:r>
          </w:p>
        </w:tc>
        <w:tc>
          <w:tcPr>
            <w:tcW w:w="1980" w:type="dxa"/>
          </w:tcPr>
          <w:p>
            <w:pPr>
              <w:pStyle w:val="TableParagraph"/>
              <w:spacing w:line="160" w:lineRule="exact"/>
              <w:ind w:left="189" w:right="187"/>
              <w:jc w:val="center"/>
              <w:rPr>
                <w:b/>
                <w:sz w:val="16"/>
              </w:rPr>
            </w:pPr>
            <w:r>
              <w:rPr>
                <w:b/>
                <w:color w:val="231F20"/>
                <w:w w:val="95"/>
                <w:sz w:val="16"/>
              </w:rPr>
              <w:t>Dependencia</w:t>
            </w:r>
          </w:p>
        </w:tc>
        <w:tc>
          <w:tcPr>
            <w:tcW w:w="1567" w:type="dxa"/>
          </w:tcPr>
          <w:p>
            <w:pPr>
              <w:pStyle w:val="TableParagraph"/>
              <w:spacing w:line="160" w:lineRule="exact"/>
              <w:ind w:left="73" w:right="73"/>
              <w:jc w:val="center"/>
              <w:rPr>
                <w:b/>
                <w:sz w:val="16"/>
              </w:rPr>
            </w:pPr>
            <w:r>
              <w:rPr>
                <w:b/>
                <w:color w:val="231F20"/>
                <w:w w:val="95"/>
                <w:sz w:val="16"/>
              </w:rPr>
              <w:t>Titular</w:t>
            </w:r>
          </w:p>
        </w:tc>
        <w:tc>
          <w:tcPr>
            <w:tcW w:w="576" w:type="dxa"/>
          </w:tcPr>
          <w:p>
            <w:pPr>
              <w:pStyle w:val="TableParagraph"/>
              <w:spacing w:line="160" w:lineRule="exact"/>
              <w:ind w:left="124" w:right="124"/>
              <w:jc w:val="center"/>
              <w:rPr>
                <w:b/>
                <w:sz w:val="16"/>
              </w:rPr>
            </w:pPr>
            <w:r>
              <w:rPr>
                <w:b/>
                <w:color w:val="231F20"/>
                <w:w w:val="90"/>
                <w:sz w:val="16"/>
              </w:rPr>
              <w:t>Año</w:t>
            </w:r>
          </w:p>
        </w:tc>
        <w:tc>
          <w:tcPr>
            <w:tcW w:w="1749" w:type="dxa"/>
          </w:tcPr>
          <w:p>
            <w:pPr>
              <w:pStyle w:val="TableParagraph"/>
              <w:spacing w:line="160" w:lineRule="exact"/>
              <w:ind w:left="114" w:right="112"/>
              <w:jc w:val="center"/>
              <w:rPr>
                <w:b/>
                <w:sz w:val="16"/>
              </w:rPr>
            </w:pPr>
            <w:r>
              <w:rPr>
                <w:b/>
                <w:color w:val="231F20"/>
                <w:w w:val="95"/>
                <w:sz w:val="16"/>
              </w:rPr>
              <w:t>Dependencia</w:t>
            </w:r>
          </w:p>
        </w:tc>
        <w:tc>
          <w:tcPr>
            <w:tcW w:w="1446" w:type="dxa"/>
          </w:tcPr>
          <w:p>
            <w:pPr>
              <w:pStyle w:val="TableParagraph"/>
              <w:spacing w:line="160" w:lineRule="exact"/>
              <w:ind w:left="136" w:right="136"/>
              <w:jc w:val="center"/>
              <w:rPr>
                <w:b/>
                <w:sz w:val="16"/>
              </w:rPr>
            </w:pPr>
            <w:r>
              <w:rPr>
                <w:b/>
                <w:color w:val="231F20"/>
                <w:w w:val="95"/>
                <w:sz w:val="16"/>
              </w:rPr>
              <w:t>Titular</w:t>
            </w:r>
          </w:p>
        </w:tc>
      </w:tr>
      <w:tr>
        <w:trPr>
          <w:trHeight w:val="130" w:hRule="exact"/>
        </w:trPr>
        <w:tc>
          <w:tcPr>
            <w:tcW w:w="609" w:type="dxa"/>
          </w:tcPr>
          <w:p>
            <w:pPr>
              <w:pStyle w:val="TableParagraph"/>
              <w:spacing w:line="160" w:lineRule="exact"/>
              <w:ind w:left="141" w:right="141"/>
              <w:jc w:val="center"/>
              <w:rPr>
                <w:sz w:val="16"/>
              </w:rPr>
            </w:pPr>
            <w:r>
              <w:rPr>
                <w:color w:val="231F20"/>
                <w:w w:val="85"/>
                <w:sz w:val="16"/>
              </w:rPr>
              <w:t>2004</w:t>
            </w:r>
          </w:p>
        </w:tc>
        <w:tc>
          <w:tcPr>
            <w:tcW w:w="1980" w:type="dxa"/>
          </w:tcPr>
          <w:p>
            <w:pPr>
              <w:pStyle w:val="TableParagraph"/>
              <w:spacing w:line="160" w:lineRule="exact"/>
              <w:ind w:left="189" w:right="189"/>
              <w:jc w:val="center"/>
              <w:rPr>
                <w:sz w:val="16"/>
              </w:rPr>
            </w:pPr>
            <w:r>
              <w:rPr>
                <w:color w:val="231F20"/>
                <w:w w:val="75"/>
                <w:sz w:val="16"/>
              </w:rPr>
              <w:t>Contraloría Interna</w:t>
            </w:r>
          </w:p>
        </w:tc>
        <w:tc>
          <w:tcPr>
            <w:tcW w:w="1567" w:type="dxa"/>
          </w:tcPr>
          <w:p>
            <w:pPr>
              <w:pStyle w:val="TableParagraph"/>
              <w:spacing w:line="160" w:lineRule="exact"/>
              <w:ind w:left="73" w:right="73"/>
              <w:jc w:val="center"/>
              <w:rPr>
                <w:sz w:val="16"/>
              </w:rPr>
            </w:pPr>
            <w:r>
              <w:rPr>
                <w:color w:val="231F20"/>
                <w:w w:val="75"/>
                <w:sz w:val="16"/>
              </w:rPr>
              <w:t>Pedro Hernández Ruiz</w:t>
            </w:r>
          </w:p>
        </w:tc>
        <w:tc>
          <w:tcPr>
            <w:tcW w:w="576" w:type="dxa"/>
          </w:tcPr>
          <w:p>
            <w:pPr>
              <w:pStyle w:val="TableParagraph"/>
              <w:spacing w:line="160" w:lineRule="exact"/>
              <w:ind w:left="124" w:right="124"/>
              <w:jc w:val="center"/>
              <w:rPr>
                <w:sz w:val="16"/>
              </w:rPr>
            </w:pPr>
            <w:r>
              <w:rPr>
                <w:color w:val="231F20"/>
                <w:w w:val="85"/>
                <w:sz w:val="16"/>
              </w:rPr>
              <w:t>2005</w:t>
            </w:r>
          </w:p>
        </w:tc>
        <w:tc>
          <w:tcPr>
            <w:tcW w:w="1749" w:type="dxa"/>
          </w:tcPr>
          <w:p>
            <w:pPr>
              <w:pStyle w:val="TableParagraph"/>
              <w:spacing w:line="160" w:lineRule="exact"/>
              <w:ind w:left="114" w:right="114"/>
              <w:jc w:val="center"/>
              <w:rPr>
                <w:sz w:val="16"/>
              </w:rPr>
            </w:pPr>
            <w:r>
              <w:rPr>
                <w:color w:val="231F20"/>
                <w:w w:val="75"/>
                <w:sz w:val="16"/>
              </w:rPr>
              <w:t>Contraloría Interna</w:t>
            </w:r>
          </w:p>
        </w:tc>
        <w:tc>
          <w:tcPr>
            <w:tcW w:w="1446" w:type="dxa"/>
          </w:tcPr>
          <w:p>
            <w:pPr>
              <w:pStyle w:val="TableParagraph"/>
              <w:spacing w:line="160" w:lineRule="exact"/>
              <w:ind w:left="136" w:right="136"/>
              <w:jc w:val="center"/>
              <w:rPr>
                <w:sz w:val="16"/>
              </w:rPr>
            </w:pPr>
            <w:r>
              <w:rPr>
                <w:color w:val="231F20"/>
                <w:w w:val="75"/>
                <w:sz w:val="16"/>
              </w:rPr>
              <w:t>Pedro Hernández Ruiz</w:t>
            </w:r>
          </w:p>
        </w:tc>
      </w:tr>
      <w:tr>
        <w:trPr>
          <w:trHeight w:val="322" w:hRule="exact"/>
        </w:trPr>
        <w:tc>
          <w:tcPr>
            <w:tcW w:w="609" w:type="dxa"/>
          </w:tcPr>
          <w:p>
            <w:pPr>
              <w:pStyle w:val="TableParagraph"/>
              <w:spacing w:before="63"/>
              <w:ind w:left="141" w:right="141"/>
              <w:jc w:val="center"/>
              <w:rPr>
                <w:sz w:val="16"/>
              </w:rPr>
            </w:pPr>
            <w:r>
              <w:rPr>
                <w:color w:val="231F20"/>
                <w:w w:val="85"/>
                <w:sz w:val="16"/>
              </w:rPr>
              <w:t>2004</w:t>
            </w:r>
          </w:p>
        </w:tc>
        <w:tc>
          <w:tcPr>
            <w:tcW w:w="1980" w:type="dxa"/>
          </w:tcPr>
          <w:p>
            <w:pPr>
              <w:pStyle w:val="TableParagraph"/>
              <w:spacing w:before="63"/>
              <w:ind w:left="189" w:right="189"/>
              <w:jc w:val="center"/>
              <w:rPr>
                <w:sz w:val="16"/>
              </w:rPr>
            </w:pPr>
            <w:r>
              <w:rPr>
                <w:color w:val="231F20"/>
                <w:w w:val="75"/>
                <w:sz w:val="16"/>
              </w:rPr>
              <w:t>Tesorería Municipal</w:t>
            </w:r>
          </w:p>
        </w:tc>
        <w:tc>
          <w:tcPr>
            <w:tcW w:w="1567" w:type="dxa"/>
          </w:tcPr>
          <w:p>
            <w:pPr>
              <w:pStyle w:val="TableParagraph"/>
              <w:spacing w:before="63"/>
              <w:ind w:left="73" w:right="73"/>
              <w:jc w:val="center"/>
              <w:rPr>
                <w:sz w:val="16"/>
              </w:rPr>
            </w:pPr>
            <w:r>
              <w:rPr>
                <w:color w:val="231F20"/>
                <w:w w:val="75"/>
                <w:sz w:val="16"/>
              </w:rPr>
              <w:t>Roberto Soto Leyva</w:t>
            </w:r>
          </w:p>
        </w:tc>
        <w:tc>
          <w:tcPr>
            <w:tcW w:w="576" w:type="dxa"/>
          </w:tcPr>
          <w:p>
            <w:pPr>
              <w:pStyle w:val="TableParagraph"/>
              <w:spacing w:before="63"/>
              <w:ind w:left="124" w:right="124"/>
              <w:jc w:val="center"/>
              <w:rPr>
                <w:sz w:val="16"/>
              </w:rPr>
            </w:pPr>
            <w:r>
              <w:rPr>
                <w:color w:val="231F20"/>
                <w:w w:val="85"/>
                <w:sz w:val="16"/>
              </w:rPr>
              <w:t>2005</w:t>
            </w:r>
          </w:p>
        </w:tc>
        <w:tc>
          <w:tcPr>
            <w:tcW w:w="1749" w:type="dxa"/>
          </w:tcPr>
          <w:p>
            <w:pPr>
              <w:pStyle w:val="TableParagraph"/>
              <w:spacing w:line="161" w:lineRule="exact"/>
              <w:ind w:left="177" w:hanging="65"/>
              <w:rPr>
                <w:sz w:val="16"/>
              </w:rPr>
            </w:pPr>
            <w:r>
              <w:rPr>
                <w:color w:val="231F20"/>
                <w:w w:val="75"/>
                <w:sz w:val="16"/>
              </w:rPr>
              <w:t>Dirección General de Adminis-</w:t>
            </w:r>
          </w:p>
          <w:p>
            <w:pPr>
              <w:pStyle w:val="TableParagraph"/>
              <w:spacing w:line="191" w:lineRule="exact"/>
              <w:ind w:left="177"/>
              <w:rPr>
                <w:sz w:val="16"/>
              </w:rPr>
            </w:pPr>
            <w:r>
              <w:rPr>
                <w:color w:val="231F20"/>
                <w:w w:val="75"/>
                <w:sz w:val="16"/>
              </w:rPr>
              <w:t>tración Finanzas y Tesorería</w:t>
            </w:r>
          </w:p>
        </w:tc>
        <w:tc>
          <w:tcPr>
            <w:tcW w:w="1446" w:type="dxa"/>
          </w:tcPr>
          <w:p>
            <w:pPr>
              <w:pStyle w:val="TableParagraph"/>
              <w:spacing w:before="63"/>
              <w:ind w:left="136" w:right="135"/>
              <w:jc w:val="center"/>
              <w:rPr>
                <w:sz w:val="16"/>
              </w:rPr>
            </w:pPr>
            <w:r>
              <w:rPr>
                <w:color w:val="231F20"/>
                <w:w w:val="75"/>
                <w:sz w:val="16"/>
              </w:rPr>
              <w:t>Álger Escobar Cuevas</w:t>
            </w:r>
          </w:p>
        </w:tc>
      </w:tr>
      <w:tr>
        <w:trPr>
          <w:trHeight w:val="322" w:hRule="exact"/>
        </w:trPr>
        <w:tc>
          <w:tcPr>
            <w:tcW w:w="609" w:type="dxa"/>
          </w:tcPr>
          <w:p>
            <w:pPr>
              <w:pStyle w:val="TableParagraph"/>
              <w:spacing w:before="63"/>
              <w:ind w:left="141" w:right="141"/>
              <w:jc w:val="center"/>
              <w:rPr>
                <w:sz w:val="16"/>
              </w:rPr>
            </w:pPr>
            <w:r>
              <w:rPr>
                <w:color w:val="231F20"/>
                <w:w w:val="85"/>
                <w:sz w:val="16"/>
              </w:rPr>
              <w:t>2004</w:t>
            </w:r>
          </w:p>
        </w:tc>
        <w:tc>
          <w:tcPr>
            <w:tcW w:w="1980" w:type="dxa"/>
          </w:tcPr>
          <w:p>
            <w:pPr>
              <w:pStyle w:val="TableParagraph"/>
              <w:spacing w:line="161" w:lineRule="exact"/>
              <w:ind w:left="189" w:right="189"/>
              <w:jc w:val="center"/>
              <w:rPr>
                <w:sz w:val="16"/>
              </w:rPr>
            </w:pPr>
            <w:r>
              <w:rPr>
                <w:color w:val="231F20"/>
                <w:w w:val="75"/>
                <w:sz w:val="16"/>
              </w:rPr>
              <w:t>Dirección General Jurídico</w:t>
            </w:r>
          </w:p>
          <w:p>
            <w:pPr>
              <w:pStyle w:val="TableParagraph"/>
              <w:spacing w:line="191" w:lineRule="exact"/>
              <w:ind w:left="189" w:right="189"/>
              <w:jc w:val="center"/>
              <w:rPr>
                <w:sz w:val="16"/>
              </w:rPr>
            </w:pPr>
            <w:r>
              <w:rPr>
                <w:color w:val="231F20"/>
                <w:w w:val="85"/>
                <w:sz w:val="16"/>
              </w:rPr>
              <w:t>Consultiva</w:t>
            </w:r>
          </w:p>
        </w:tc>
        <w:tc>
          <w:tcPr>
            <w:tcW w:w="1567" w:type="dxa"/>
          </w:tcPr>
          <w:p>
            <w:pPr>
              <w:pStyle w:val="TableParagraph"/>
              <w:spacing w:before="63"/>
              <w:ind w:left="73" w:right="71"/>
              <w:jc w:val="center"/>
              <w:rPr>
                <w:sz w:val="16"/>
              </w:rPr>
            </w:pPr>
            <w:r>
              <w:rPr>
                <w:color w:val="231F20"/>
                <w:w w:val="75"/>
                <w:sz w:val="16"/>
              </w:rPr>
              <w:t>Álger Escobar Cuevas</w:t>
            </w:r>
          </w:p>
        </w:tc>
        <w:tc>
          <w:tcPr>
            <w:tcW w:w="576" w:type="dxa"/>
          </w:tcPr>
          <w:p>
            <w:pPr>
              <w:pStyle w:val="TableParagraph"/>
              <w:spacing w:before="63"/>
              <w:ind w:left="124" w:right="124"/>
              <w:jc w:val="center"/>
              <w:rPr>
                <w:sz w:val="16"/>
              </w:rPr>
            </w:pPr>
            <w:r>
              <w:rPr>
                <w:color w:val="231F20"/>
                <w:w w:val="85"/>
                <w:sz w:val="16"/>
              </w:rPr>
              <w:t>2005</w:t>
            </w:r>
          </w:p>
        </w:tc>
        <w:tc>
          <w:tcPr>
            <w:tcW w:w="1749" w:type="dxa"/>
          </w:tcPr>
          <w:p>
            <w:pPr>
              <w:pStyle w:val="TableParagraph"/>
              <w:spacing w:before="63"/>
              <w:ind w:left="114" w:right="114"/>
              <w:jc w:val="center"/>
              <w:rPr>
                <w:sz w:val="16"/>
              </w:rPr>
            </w:pPr>
            <w:r>
              <w:rPr>
                <w:color w:val="231F20"/>
                <w:w w:val="75"/>
                <w:sz w:val="16"/>
              </w:rPr>
              <w:t>Dirección General Jurídica</w:t>
            </w:r>
          </w:p>
        </w:tc>
        <w:tc>
          <w:tcPr>
            <w:tcW w:w="1446" w:type="dxa"/>
          </w:tcPr>
          <w:p>
            <w:pPr>
              <w:pStyle w:val="TableParagraph"/>
              <w:spacing w:before="63"/>
              <w:ind w:left="136" w:right="136"/>
              <w:jc w:val="center"/>
              <w:rPr>
                <w:sz w:val="16"/>
              </w:rPr>
            </w:pPr>
            <w:r>
              <w:rPr>
                <w:color w:val="231F20"/>
                <w:w w:val="80"/>
                <w:sz w:val="16"/>
              </w:rPr>
              <w:t>Ulises Canizal Díaz</w:t>
            </w:r>
          </w:p>
        </w:tc>
      </w:tr>
      <w:tr>
        <w:trPr>
          <w:trHeight w:val="514" w:hRule="exact"/>
        </w:trPr>
        <w:tc>
          <w:tcPr>
            <w:tcW w:w="609" w:type="dxa"/>
          </w:tcPr>
          <w:p>
            <w:pPr>
              <w:pStyle w:val="TableParagraph"/>
              <w:spacing w:before="10"/>
              <w:ind w:left="0"/>
              <w:rPr>
                <w:rFonts w:ascii="Times New Roman"/>
                <w:b/>
                <w:sz w:val="13"/>
              </w:rPr>
            </w:pPr>
          </w:p>
          <w:p>
            <w:pPr>
              <w:pStyle w:val="TableParagraph"/>
              <w:ind w:left="141" w:right="141"/>
              <w:jc w:val="center"/>
              <w:rPr>
                <w:sz w:val="16"/>
              </w:rPr>
            </w:pPr>
            <w:r>
              <w:rPr>
                <w:color w:val="231F20"/>
                <w:w w:val="85"/>
                <w:sz w:val="16"/>
              </w:rPr>
              <w:t>2004</w:t>
            </w:r>
          </w:p>
        </w:tc>
        <w:tc>
          <w:tcPr>
            <w:tcW w:w="1980" w:type="dxa"/>
          </w:tcPr>
          <w:p>
            <w:pPr>
              <w:pStyle w:val="TableParagraph"/>
              <w:spacing w:line="192" w:lineRule="exact" w:before="62"/>
              <w:ind w:left="807" w:hanging="580"/>
              <w:rPr>
                <w:sz w:val="16"/>
              </w:rPr>
            </w:pPr>
            <w:r>
              <w:rPr>
                <w:color w:val="231F20"/>
                <w:w w:val="75"/>
                <w:sz w:val="16"/>
              </w:rPr>
              <w:t>Dirección General de Adminis- </w:t>
            </w:r>
            <w:r>
              <w:rPr>
                <w:color w:val="231F20"/>
                <w:w w:val="85"/>
                <w:sz w:val="16"/>
              </w:rPr>
              <w:t>tración</w:t>
            </w:r>
          </w:p>
        </w:tc>
        <w:tc>
          <w:tcPr>
            <w:tcW w:w="1567" w:type="dxa"/>
          </w:tcPr>
          <w:p>
            <w:pPr>
              <w:pStyle w:val="TableParagraph"/>
              <w:spacing w:before="10"/>
              <w:ind w:left="0"/>
              <w:rPr>
                <w:rFonts w:ascii="Times New Roman"/>
                <w:b/>
                <w:sz w:val="13"/>
              </w:rPr>
            </w:pPr>
          </w:p>
          <w:p>
            <w:pPr>
              <w:pStyle w:val="TableParagraph"/>
              <w:ind w:left="73" w:right="73"/>
              <w:jc w:val="center"/>
              <w:rPr>
                <w:sz w:val="16"/>
              </w:rPr>
            </w:pPr>
            <w:r>
              <w:rPr>
                <w:color w:val="231F20"/>
                <w:w w:val="80"/>
                <w:sz w:val="16"/>
              </w:rPr>
              <w:t>Ulises Canizal Díaz</w:t>
            </w:r>
          </w:p>
        </w:tc>
        <w:tc>
          <w:tcPr>
            <w:tcW w:w="576" w:type="dxa"/>
          </w:tcPr>
          <w:p>
            <w:pPr>
              <w:pStyle w:val="TableParagraph"/>
              <w:spacing w:before="10"/>
              <w:ind w:left="0"/>
              <w:rPr>
                <w:rFonts w:ascii="Times New Roman"/>
                <w:b/>
                <w:sz w:val="13"/>
              </w:rPr>
            </w:pPr>
          </w:p>
          <w:p>
            <w:pPr>
              <w:pStyle w:val="TableParagraph"/>
              <w:ind w:left="124" w:right="124"/>
              <w:jc w:val="center"/>
              <w:rPr>
                <w:sz w:val="16"/>
              </w:rPr>
            </w:pPr>
            <w:r>
              <w:rPr>
                <w:color w:val="231F20"/>
                <w:w w:val="85"/>
                <w:sz w:val="16"/>
              </w:rPr>
              <w:t>2005</w:t>
            </w:r>
          </w:p>
        </w:tc>
        <w:tc>
          <w:tcPr>
            <w:tcW w:w="1749" w:type="dxa"/>
          </w:tcPr>
          <w:p>
            <w:pPr>
              <w:pStyle w:val="TableParagraph"/>
              <w:spacing w:line="161" w:lineRule="exact"/>
              <w:ind w:left="221" w:hanging="30"/>
              <w:rPr>
                <w:sz w:val="16"/>
              </w:rPr>
            </w:pPr>
            <w:r>
              <w:rPr>
                <w:color w:val="231F20"/>
                <w:w w:val="75"/>
                <w:sz w:val="16"/>
              </w:rPr>
              <w:t>Dirección General de Segu-</w:t>
            </w:r>
          </w:p>
          <w:p>
            <w:pPr>
              <w:pStyle w:val="TableParagraph"/>
              <w:spacing w:line="235" w:lineRule="auto" w:before="1"/>
              <w:ind w:left="602" w:right="152" w:hanging="382"/>
              <w:rPr>
                <w:sz w:val="16"/>
              </w:rPr>
            </w:pPr>
            <w:r>
              <w:rPr>
                <w:color w:val="231F20"/>
                <w:w w:val="80"/>
                <w:sz w:val="16"/>
              </w:rPr>
              <w:t>ridad Pública y Protección </w:t>
            </w:r>
            <w:r>
              <w:rPr>
                <w:color w:val="231F20"/>
                <w:w w:val="85"/>
                <w:sz w:val="16"/>
              </w:rPr>
              <w:t>Ciudadana</w:t>
            </w:r>
          </w:p>
        </w:tc>
        <w:tc>
          <w:tcPr>
            <w:tcW w:w="1446" w:type="dxa"/>
          </w:tcPr>
          <w:p>
            <w:pPr>
              <w:pStyle w:val="TableParagraph"/>
              <w:spacing w:line="192" w:lineRule="exact" w:before="62"/>
              <w:ind w:left="550" w:hanging="354"/>
              <w:rPr>
                <w:sz w:val="16"/>
              </w:rPr>
            </w:pPr>
            <w:r>
              <w:rPr>
                <w:color w:val="231F20"/>
                <w:w w:val="75"/>
                <w:sz w:val="16"/>
              </w:rPr>
              <w:t>Herminio Hernández </w:t>
            </w:r>
            <w:r>
              <w:rPr>
                <w:color w:val="231F20"/>
                <w:w w:val="85"/>
                <w:sz w:val="16"/>
              </w:rPr>
              <w:t>Ingalls</w:t>
            </w:r>
          </w:p>
        </w:tc>
      </w:tr>
      <w:tr>
        <w:trPr>
          <w:trHeight w:val="322" w:hRule="exact"/>
        </w:trPr>
        <w:tc>
          <w:tcPr>
            <w:tcW w:w="609" w:type="dxa"/>
          </w:tcPr>
          <w:p>
            <w:pPr>
              <w:pStyle w:val="TableParagraph"/>
              <w:spacing w:before="63"/>
              <w:ind w:left="141" w:right="141"/>
              <w:jc w:val="center"/>
              <w:rPr>
                <w:sz w:val="16"/>
              </w:rPr>
            </w:pPr>
            <w:r>
              <w:rPr>
                <w:color w:val="231F20"/>
                <w:w w:val="85"/>
                <w:sz w:val="16"/>
              </w:rPr>
              <w:t>2004</w:t>
            </w:r>
          </w:p>
        </w:tc>
        <w:tc>
          <w:tcPr>
            <w:tcW w:w="1980" w:type="dxa"/>
          </w:tcPr>
          <w:p>
            <w:pPr>
              <w:pStyle w:val="TableParagraph"/>
              <w:spacing w:line="161" w:lineRule="exact"/>
              <w:ind w:left="189" w:right="187"/>
              <w:jc w:val="center"/>
              <w:rPr>
                <w:sz w:val="16"/>
              </w:rPr>
            </w:pPr>
            <w:r>
              <w:rPr>
                <w:color w:val="231F20"/>
                <w:w w:val="75"/>
                <w:sz w:val="16"/>
              </w:rPr>
              <w:t>Dirección General de Seguridad</w:t>
            </w:r>
          </w:p>
          <w:p>
            <w:pPr>
              <w:pStyle w:val="TableParagraph"/>
              <w:spacing w:line="191" w:lineRule="exact"/>
              <w:ind w:left="189" w:right="188"/>
              <w:jc w:val="center"/>
              <w:rPr>
                <w:sz w:val="16"/>
              </w:rPr>
            </w:pPr>
            <w:r>
              <w:rPr>
                <w:color w:val="231F20"/>
                <w:w w:val="75"/>
                <w:sz w:val="16"/>
              </w:rPr>
              <w:t>Pública y Tránsito</w:t>
            </w:r>
          </w:p>
        </w:tc>
        <w:tc>
          <w:tcPr>
            <w:tcW w:w="1567" w:type="dxa"/>
          </w:tcPr>
          <w:p>
            <w:pPr>
              <w:pStyle w:val="TableParagraph"/>
              <w:spacing w:before="63"/>
              <w:ind w:left="73" w:right="73"/>
              <w:jc w:val="center"/>
              <w:rPr>
                <w:sz w:val="16"/>
              </w:rPr>
            </w:pPr>
            <w:r>
              <w:rPr>
                <w:color w:val="231F20"/>
                <w:w w:val="75"/>
                <w:sz w:val="16"/>
              </w:rPr>
              <w:t>Rodolfo Ocampo Pérez</w:t>
            </w:r>
          </w:p>
        </w:tc>
        <w:tc>
          <w:tcPr>
            <w:tcW w:w="576" w:type="dxa"/>
          </w:tcPr>
          <w:p>
            <w:pPr>
              <w:pStyle w:val="TableParagraph"/>
              <w:spacing w:before="63"/>
              <w:ind w:left="125" w:right="124"/>
              <w:jc w:val="center"/>
              <w:rPr>
                <w:sz w:val="16"/>
              </w:rPr>
            </w:pPr>
            <w:r>
              <w:rPr>
                <w:color w:val="231F20"/>
                <w:w w:val="85"/>
                <w:sz w:val="16"/>
              </w:rPr>
              <w:t>2005</w:t>
            </w:r>
          </w:p>
        </w:tc>
        <w:tc>
          <w:tcPr>
            <w:tcW w:w="1749" w:type="dxa"/>
          </w:tcPr>
          <w:p>
            <w:pPr>
              <w:pStyle w:val="TableParagraph"/>
              <w:spacing w:line="161" w:lineRule="exact"/>
              <w:ind w:left="114" w:right="114"/>
              <w:jc w:val="center"/>
              <w:rPr>
                <w:sz w:val="16"/>
              </w:rPr>
            </w:pPr>
            <w:r>
              <w:rPr>
                <w:color w:val="231F20"/>
                <w:w w:val="75"/>
                <w:sz w:val="16"/>
              </w:rPr>
              <w:t>Dirección General de Desarro-</w:t>
            </w:r>
          </w:p>
          <w:p>
            <w:pPr>
              <w:pStyle w:val="TableParagraph"/>
              <w:spacing w:line="191" w:lineRule="exact"/>
              <w:ind w:left="114" w:right="114"/>
              <w:jc w:val="center"/>
              <w:rPr>
                <w:sz w:val="16"/>
              </w:rPr>
            </w:pPr>
            <w:r>
              <w:rPr>
                <w:color w:val="231F20"/>
                <w:w w:val="80"/>
                <w:sz w:val="16"/>
              </w:rPr>
              <w:t>llo Económico y Social</w:t>
            </w:r>
          </w:p>
        </w:tc>
        <w:tc>
          <w:tcPr>
            <w:tcW w:w="1446" w:type="dxa"/>
          </w:tcPr>
          <w:p>
            <w:pPr>
              <w:pStyle w:val="TableParagraph"/>
              <w:spacing w:line="161" w:lineRule="exact"/>
              <w:ind w:left="136" w:right="136"/>
              <w:jc w:val="center"/>
              <w:rPr>
                <w:sz w:val="16"/>
              </w:rPr>
            </w:pPr>
            <w:r>
              <w:rPr>
                <w:color w:val="231F20"/>
                <w:w w:val="75"/>
                <w:sz w:val="16"/>
              </w:rPr>
              <w:t>Carlos Eliseo Nava</w:t>
            </w:r>
          </w:p>
          <w:p>
            <w:pPr>
              <w:pStyle w:val="TableParagraph"/>
              <w:spacing w:line="191" w:lineRule="exact"/>
              <w:ind w:left="136" w:right="136"/>
              <w:jc w:val="center"/>
              <w:rPr>
                <w:sz w:val="16"/>
              </w:rPr>
            </w:pPr>
            <w:r>
              <w:rPr>
                <w:color w:val="231F20"/>
                <w:w w:val="85"/>
                <w:sz w:val="16"/>
              </w:rPr>
              <w:t>Gutiérrez</w:t>
            </w:r>
          </w:p>
        </w:tc>
      </w:tr>
      <w:tr>
        <w:trPr>
          <w:trHeight w:val="514" w:hRule="exact"/>
        </w:trPr>
        <w:tc>
          <w:tcPr>
            <w:tcW w:w="609" w:type="dxa"/>
          </w:tcPr>
          <w:p>
            <w:pPr>
              <w:pStyle w:val="TableParagraph"/>
              <w:spacing w:before="10"/>
              <w:ind w:left="0"/>
              <w:rPr>
                <w:rFonts w:ascii="Times New Roman"/>
                <w:b/>
                <w:sz w:val="13"/>
              </w:rPr>
            </w:pPr>
          </w:p>
          <w:p>
            <w:pPr>
              <w:pStyle w:val="TableParagraph"/>
              <w:ind w:left="141" w:right="141"/>
              <w:jc w:val="center"/>
              <w:rPr>
                <w:sz w:val="16"/>
              </w:rPr>
            </w:pPr>
            <w:r>
              <w:rPr>
                <w:color w:val="231F20"/>
                <w:w w:val="85"/>
                <w:sz w:val="16"/>
              </w:rPr>
              <w:t>2004</w:t>
            </w:r>
          </w:p>
        </w:tc>
        <w:tc>
          <w:tcPr>
            <w:tcW w:w="1980" w:type="dxa"/>
          </w:tcPr>
          <w:p>
            <w:pPr>
              <w:pStyle w:val="TableParagraph"/>
              <w:spacing w:line="192" w:lineRule="exact" w:before="62"/>
              <w:ind w:left="837" w:hanging="639"/>
              <w:rPr>
                <w:sz w:val="16"/>
              </w:rPr>
            </w:pPr>
            <w:r>
              <w:rPr>
                <w:color w:val="231F20"/>
                <w:w w:val="75"/>
                <w:sz w:val="16"/>
              </w:rPr>
              <w:t>Dirección General de Desarrollo </w:t>
            </w:r>
            <w:r>
              <w:rPr>
                <w:color w:val="231F20"/>
                <w:w w:val="85"/>
                <w:sz w:val="16"/>
              </w:rPr>
              <w:t>Social</w:t>
            </w:r>
          </w:p>
        </w:tc>
        <w:tc>
          <w:tcPr>
            <w:tcW w:w="1567" w:type="dxa"/>
          </w:tcPr>
          <w:p>
            <w:pPr>
              <w:pStyle w:val="TableParagraph"/>
              <w:spacing w:line="192" w:lineRule="exact" w:before="62"/>
              <w:ind w:left="545" w:hanging="309"/>
              <w:rPr>
                <w:sz w:val="16"/>
              </w:rPr>
            </w:pPr>
            <w:r>
              <w:rPr>
                <w:color w:val="231F20"/>
                <w:w w:val="80"/>
                <w:sz w:val="16"/>
              </w:rPr>
              <w:t>Ezequiel Urbano Silva </w:t>
            </w:r>
            <w:r>
              <w:rPr>
                <w:color w:val="231F20"/>
                <w:w w:val="85"/>
                <w:sz w:val="16"/>
              </w:rPr>
              <w:t>Gutiérrez</w:t>
            </w:r>
          </w:p>
        </w:tc>
        <w:tc>
          <w:tcPr>
            <w:tcW w:w="576" w:type="dxa"/>
          </w:tcPr>
          <w:p>
            <w:pPr>
              <w:pStyle w:val="TableParagraph"/>
              <w:spacing w:before="10"/>
              <w:ind w:left="0"/>
              <w:rPr>
                <w:rFonts w:ascii="Times New Roman"/>
                <w:b/>
                <w:sz w:val="13"/>
              </w:rPr>
            </w:pPr>
          </w:p>
          <w:p>
            <w:pPr>
              <w:pStyle w:val="TableParagraph"/>
              <w:ind w:left="125" w:right="124"/>
              <w:jc w:val="center"/>
              <w:rPr>
                <w:sz w:val="16"/>
              </w:rPr>
            </w:pPr>
            <w:r>
              <w:rPr>
                <w:color w:val="231F20"/>
                <w:w w:val="85"/>
                <w:sz w:val="16"/>
              </w:rPr>
              <w:t>2005</w:t>
            </w:r>
          </w:p>
        </w:tc>
        <w:tc>
          <w:tcPr>
            <w:tcW w:w="1749" w:type="dxa"/>
          </w:tcPr>
          <w:p>
            <w:pPr>
              <w:pStyle w:val="TableParagraph"/>
              <w:spacing w:line="161" w:lineRule="exact"/>
              <w:ind w:left="119" w:firstLine="2"/>
              <w:rPr>
                <w:sz w:val="16"/>
              </w:rPr>
            </w:pPr>
            <w:r>
              <w:rPr>
                <w:color w:val="231F20"/>
                <w:w w:val="75"/>
                <w:sz w:val="16"/>
              </w:rPr>
              <w:t>Dirección General de Desarro-</w:t>
            </w:r>
          </w:p>
          <w:p>
            <w:pPr>
              <w:pStyle w:val="TableParagraph"/>
              <w:spacing w:line="235" w:lineRule="auto" w:before="1"/>
              <w:ind w:left="659" w:hanging="541"/>
              <w:rPr>
                <w:sz w:val="16"/>
              </w:rPr>
            </w:pPr>
            <w:r>
              <w:rPr>
                <w:color w:val="231F20"/>
                <w:w w:val="80"/>
                <w:sz w:val="16"/>
              </w:rPr>
              <w:t>llo, Infraestructura y Servicios </w:t>
            </w:r>
            <w:r>
              <w:rPr>
                <w:color w:val="231F20"/>
                <w:w w:val="85"/>
                <w:sz w:val="16"/>
              </w:rPr>
              <w:t>Públicos</w:t>
            </w:r>
          </w:p>
        </w:tc>
        <w:tc>
          <w:tcPr>
            <w:tcW w:w="1446" w:type="dxa"/>
          </w:tcPr>
          <w:p>
            <w:pPr>
              <w:pStyle w:val="TableParagraph"/>
              <w:spacing w:before="10"/>
              <w:ind w:left="0"/>
              <w:rPr>
                <w:rFonts w:ascii="Times New Roman"/>
                <w:b/>
                <w:sz w:val="13"/>
              </w:rPr>
            </w:pPr>
          </w:p>
          <w:p>
            <w:pPr>
              <w:pStyle w:val="TableParagraph"/>
              <w:ind w:left="136" w:right="134"/>
              <w:jc w:val="center"/>
              <w:rPr>
                <w:sz w:val="16"/>
              </w:rPr>
            </w:pPr>
            <w:r>
              <w:rPr>
                <w:color w:val="231F20"/>
                <w:w w:val="75"/>
                <w:sz w:val="16"/>
              </w:rPr>
              <w:t>René Chicho Escobar</w:t>
            </w:r>
          </w:p>
        </w:tc>
      </w:tr>
      <w:tr>
        <w:trPr>
          <w:trHeight w:val="322" w:hRule="exact"/>
        </w:trPr>
        <w:tc>
          <w:tcPr>
            <w:tcW w:w="609" w:type="dxa"/>
          </w:tcPr>
          <w:p>
            <w:pPr>
              <w:pStyle w:val="TableParagraph"/>
              <w:spacing w:before="63"/>
              <w:ind w:left="141" w:right="141"/>
              <w:jc w:val="center"/>
              <w:rPr>
                <w:sz w:val="16"/>
              </w:rPr>
            </w:pPr>
            <w:r>
              <w:rPr>
                <w:color w:val="231F20"/>
                <w:w w:val="85"/>
                <w:sz w:val="16"/>
              </w:rPr>
              <w:t>2004</w:t>
            </w:r>
          </w:p>
        </w:tc>
        <w:tc>
          <w:tcPr>
            <w:tcW w:w="1980" w:type="dxa"/>
          </w:tcPr>
          <w:p>
            <w:pPr>
              <w:pStyle w:val="TableParagraph"/>
              <w:spacing w:line="161" w:lineRule="exact"/>
              <w:ind w:left="189" w:right="189"/>
              <w:jc w:val="center"/>
              <w:rPr>
                <w:sz w:val="16"/>
              </w:rPr>
            </w:pPr>
            <w:r>
              <w:rPr>
                <w:color w:val="231F20"/>
                <w:w w:val="75"/>
                <w:sz w:val="16"/>
              </w:rPr>
              <w:t>Dirección General de Desarrollo</w:t>
            </w:r>
          </w:p>
          <w:p>
            <w:pPr>
              <w:pStyle w:val="TableParagraph"/>
              <w:spacing w:line="191" w:lineRule="exact"/>
              <w:ind w:left="189" w:right="188"/>
              <w:jc w:val="center"/>
              <w:rPr>
                <w:sz w:val="16"/>
              </w:rPr>
            </w:pPr>
            <w:r>
              <w:rPr>
                <w:color w:val="231F20"/>
                <w:w w:val="85"/>
                <w:sz w:val="16"/>
              </w:rPr>
              <w:t>Económico</w:t>
            </w:r>
          </w:p>
        </w:tc>
        <w:tc>
          <w:tcPr>
            <w:tcW w:w="1567" w:type="dxa"/>
          </w:tcPr>
          <w:p>
            <w:pPr>
              <w:pStyle w:val="TableParagraph"/>
              <w:spacing w:before="63"/>
              <w:ind w:left="73" w:right="73"/>
              <w:jc w:val="center"/>
              <w:rPr>
                <w:sz w:val="16"/>
              </w:rPr>
            </w:pPr>
            <w:r>
              <w:rPr>
                <w:color w:val="231F20"/>
                <w:w w:val="80"/>
                <w:sz w:val="16"/>
              </w:rPr>
              <w:t>Jorge Enrique Abud Chami</w:t>
            </w:r>
          </w:p>
        </w:tc>
        <w:tc>
          <w:tcPr>
            <w:tcW w:w="576" w:type="dxa"/>
          </w:tcPr>
          <w:p>
            <w:pPr>
              <w:pStyle w:val="TableParagraph"/>
              <w:spacing w:before="63"/>
              <w:ind w:left="125" w:right="124"/>
              <w:jc w:val="center"/>
              <w:rPr>
                <w:sz w:val="16"/>
              </w:rPr>
            </w:pPr>
            <w:r>
              <w:rPr>
                <w:color w:val="231F20"/>
                <w:w w:val="85"/>
                <w:sz w:val="16"/>
              </w:rPr>
              <w:t>2005</w:t>
            </w:r>
          </w:p>
        </w:tc>
        <w:tc>
          <w:tcPr>
            <w:tcW w:w="1749" w:type="dxa"/>
          </w:tcPr>
          <w:p>
            <w:pPr>
              <w:pStyle w:val="TableParagraph"/>
              <w:spacing w:before="63"/>
              <w:ind w:left="114" w:right="112"/>
              <w:jc w:val="center"/>
              <w:rPr>
                <w:sz w:val="16"/>
              </w:rPr>
            </w:pPr>
            <w:r>
              <w:rPr>
                <w:color w:val="231F20"/>
                <w:w w:val="75"/>
                <w:sz w:val="16"/>
              </w:rPr>
              <w:t>Secretaría Particular</w:t>
            </w:r>
          </w:p>
        </w:tc>
        <w:tc>
          <w:tcPr>
            <w:tcW w:w="1446" w:type="dxa"/>
          </w:tcPr>
          <w:p>
            <w:pPr>
              <w:pStyle w:val="TableParagraph"/>
              <w:spacing w:line="161" w:lineRule="exact"/>
              <w:ind w:left="136" w:right="136"/>
              <w:jc w:val="center"/>
              <w:rPr>
                <w:sz w:val="16"/>
              </w:rPr>
            </w:pPr>
            <w:r>
              <w:rPr>
                <w:color w:val="231F20"/>
                <w:w w:val="75"/>
                <w:sz w:val="16"/>
              </w:rPr>
              <w:t>Terence Ryan de la</w:t>
            </w:r>
          </w:p>
          <w:p>
            <w:pPr>
              <w:pStyle w:val="TableParagraph"/>
              <w:spacing w:line="191" w:lineRule="exact"/>
              <w:ind w:left="136" w:right="136"/>
              <w:jc w:val="center"/>
              <w:rPr>
                <w:sz w:val="16"/>
              </w:rPr>
            </w:pPr>
            <w:r>
              <w:rPr>
                <w:color w:val="231F20"/>
                <w:w w:val="85"/>
                <w:sz w:val="16"/>
              </w:rPr>
              <w:t>Fuente</w:t>
            </w:r>
          </w:p>
        </w:tc>
      </w:tr>
      <w:tr>
        <w:trPr>
          <w:trHeight w:val="322" w:hRule="exact"/>
        </w:trPr>
        <w:tc>
          <w:tcPr>
            <w:tcW w:w="609" w:type="dxa"/>
          </w:tcPr>
          <w:p>
            <w:pPr>
              <w:pStyle w:val="TableParagraph"/>
              <w:spacing w:before="64"/>
              <w:ind w:left="141" w:right="141"/>
              <w:jc w:val="center"/>
              <w:rPr>
                <w:sz w:val="16"/>
              </w:rPr>
            </w:pPr>
            <w:r>
              <w:rPr>
                <w:color w:val="231F20"/>
                <w:w w:val="85"/>
                <w:sz w:val="16"/>
              </w:rPr>
              <w:t>2004</w:t>
            </w:r>
          </w:p>
        </w:tc>
        <w:tc>
          <w:tcPr>
            <w:tcW w:w="1980" w:type="dxa"/>
          </w:tcPr>
          <w:p>
            <w:pPr>
              <w:pStyle w:val="TableParagraph"/>
              <w:spacing w:line="161" w:lineRule="exact"/>
              <w:ind w:left="189" w:right="189"/>
              <w:jc w:val="center"/>
              <w:rPr>
                <w:sz w:val="16"/>
              </w:rPr>
            </w:pPr>
            <w:r>
              <w:rPr>
                <w:color w:val="231F20"/>
                <w:w w:val="75"/>
                <w:sz w:val="16"/>
              </w:rPr>
              <w:t>Dirección General de Desarrollo</w:t>
            </w:r>
          </w:p>
          <w:p>
            <w:pPr>
              <w:pStyle w:val="TableParagraph"/>
              <w:spacing w:line="191" w:lineRule="exact"/>
              <w:ind w:left="189" w:right="189"/>
              <w:jc w:val="center"/>
              <w:rPr>
                <w:sz w:val="16"/>
              </w:rPr>
            </w:pPr>
            <w:r>
              <w:rPr>
                <w:color w:val="231F20"/>
                <w:w w:val="85"/>
                <w:sz w:val="16"/>
              </w:rPr>
              <w:t>Urbano</w:t>
            </w:r>
          </w:p>
        </w:tc>
        <w:tc>
          <w:tcPr>
            <w:tcW w:w="1567" w:type="dxa"/>
          </w:tcPr>
          <w:p>
            <w:pPr>
              <w:pStyle w:val="TableParagraph"/>
              <w:spacing w:before="64"/>
              <w:ind w:left="73" w:right="73"/>
              <w:jc w:val="center"/>
              <w:rPr>
                <w:sz w:val="16"/>
              </w:rPr>
            </w:pPr>
            <w:r>
              <w:rPr>
                <w:color w:val="231F20"/>
                <w:w w:val="75"/>
                <w:sz w:val="16"/>
              </w:rPr>
              <w:t>Sara Topelson de Grinberg</w:t>
            </w:r>
          </w:p>
        </w:tc>
        <w:tc>
          <w:tcPr>
            <w:tcW w:w="576" w:type="dxa"/>
          </w:tcPr>
          <w:p>
            <w:pPr>
              <w:pStyle w:val="TableParagraph"/>
              <w:spacing w:before="64"/>
              <w:ind w:left="125" w:right="124"/>
              <w:jc w:val="center"/>
              <w:rPr>
                <w:sz w:val="16"/>
              </w:rPr>
            </w:pPr>
            <w:r>
              <w:rPr>
                <w:color w:val="231F20"/>
                <w:w w:val="85"/>
                <w:sz w:val="16"/>
              </w:rPr>
              <w:t>2005</w:t>
            </w:r>
          </w:p>
        </w:tc>
        <w:tc>
          <w:tcPr>
            <w:tcW w:w="1749" w:type="dxa"/>
          </w:tcPr>
          <w:p>
            <w:pPr>
              <w:pStyle w:val="TableParagraph"/>
              <w:spacing w:before="64"/>
              <w:ind w:left="114" w:right="114"/>
              <w:jc w:val="center"/>
              <w:rPr>
                <w:sz w:val="16"/>
              </w:rPr>
            </w:pPr>
            <w:r>
              <w:rPr>
                <w:color w:val="231F20"/>
                <w:w w:val="75"/>
                <w:sz w:val="16"/>
              </w:rPr>
              <w:t>Secretaría del Ayuntamiento</w:t>
            </w:r>
          </w:p>
        </w:tc>
        <w:tc>
          <w:tcPr>
            <w:tcW w:w="1446" w:type="dxa"/>
          </w:tcPr>
          <w:p>
            <w:pPr>
              <w:pStyle w:val="TableParagraph"/>
              <w:spacing w:before="64"/>
              <w:ind w:left="136" w:right="136"/>
              <w:jc w:val="center"/>
              <w:rPr>
                <w:sz w:val="16"/>
              </w:rPr>
            </w:pPr>
            <w:r>
              <w:rPr>
                <w:color w:val="231F20"/>
                <w:w w:val="75"/>
                <w:sz w:val="16"/>
              </w:rPr>
              <w:t>Humberto Nava D’Alba</w:t>
            </w:r>
          </w:p>
        </w:tc>
      </w:tr>
      <w:tr>
        <w:trPr>
          <w:trHeight w:val="130" w:hRule="exact"/>
        </w:trPr>
        <w:tc>
          <w:tcPr>
            <w:tcW w:w="609" w:type="dxa"/>
          </w:tcPr>
          <w:p>
            <w:pPr>
              <w:pStyle w:val="TableParagraph"/>
              <w:spacing w:line="160" w:lineRule="exact"/>
              <w:ind w:left="141" w:right="141"/>
              <w:jc w:val="center"/>
              <w:rPr>
                <w:sz w:val="16"/>
              </w:rPr>
            </w:pPr>
            <w:r>
              <w:rPr>
                <w:color w:val="231F20"/>
                <w:w w:val="85"/>
                <w:sz w:val="16"/>
              </w:rPr>
              <w:t>2004</w:t>
            </w:r>
          </w:p>
        </w:tc>
        <w:tc>
          <w:tcPr>
            <w:tcW w:w="1980" w:type="dxa"/>
          </w:tcPr>
          <w:p>
            <w:pPr>
              <w:pStyle w:val="TableParagraph"/>
              <w:spacing w:line="160" w:lineRule="exact"/>
              <w:ind w:left="189" w:right="187"/>
              <w:jc w:val="center"/>
              <w:rPr>
                <w:sz w:val="16"/>
              </w:rPr>
            </w:pPr>
            <w:r>
              <w:rPr>
                <w:color w:val="231F20"/>
                <w:w w:val="75"/>
                <w:sz w:val="16"/>
              </w:rPr>
              <w:t>Dirección General de Gobierno</w:t>
            </w:r>
          </w:p>
        </w:tc>
        <w:tc>
          <w:tcPr>
            <w:tcW w:w="1567" w:type="dxa"/>
          </w:tcPr>
          <w:p>
            <w:pPr>
              <w:pStyle w:val="TableParagraph"/>
              <w:spacing w:line="160" w:lineRule="exact"/>
              <w:ind w:left="73" w:right="71"/>
              <w:jc w:val="center"/>
              <w:rPr>
                <w:sz w:val="16"/>
              </w:rPr>
            </w:pPr>
            <w:r>
              <w:rPr>
                <w:color w:val="231F20"/>
                <w:w w:val="75"/>
                <w:sz w:val="16"/>
              </w:rPr>
              <w:t>Facundo Roque Nava</w:t>
            </w:r>
          </w:p>
        </w:tc>
        <w:tc>
          <w:tcPr>
            <w:tcW w:w="576" w:type="dxa"/>
          </w:tcPr>
          <w:p>
            <w:pPr/>
          </w:p>
        </w:tc>
        <w:tc>
          <w:tcPr>
            <w:tcW w:w="1749" w:type="dxa"/>
          </w:tcPr>
          <w:p>
            <w:pPr/>
          </w:p>
        </w:tc>
        <w:tc>
          <w:tcPr>
            <w:tcW w:w="1446" w:type="dxa"/>
          </w:tcPr>
          <w:p>
            <w:pPr/>
          </w:p>
        </w:tc>
      </w:tr>
      <w:tr>
        <w:trPr>
          <w:trHeight w:val="130" w:hRule="exact"/>
        </w:trPr>
        <w:tc>
          <w:tcPr>
            <w:tcW w:w="609" w:type="dxa"/>
          </w:tcPr>
          <w:p>
            <w:pPr>
              <w:pStyle w:val="TableParagraph"/>
              <w:spacing w:line="160" w:lineRule="exact"/>
              <w:ind w:left="141" w:right="141"/>
              <w:jc w:val="center"/>
              <w:rPr>
                <w:sz w:val="16"/>
              </w:rPr>
            </w:pPr>
            <w:r>
              <w:rPr>
                <w:color w:val="231F20"/>
                <w:w w:val="85"/>
                <w:sz w:val="16"/>
              </w:rPr>
              <w:t>2004</w:t>
            </w:r>
          </w:p>
        </w:tc>
        <w:tc>
          <w:tcPr>
            <w:tcW w:w="1980" w:type="dxa"/>
          </w:tcPr>
          <w:p>
            <w:pPr>
              <w:pStyle w:val="TableParagraph"/>
              <w:spacing w:line="160" w:lineRule="exact"/>
              <w:ind w:left="189" w:right="188"/>
              <w:jc w:val="center"/>
              <w:rPr>
                <w:sz w:val="16"/>
              </w:rPr>
            </w:pPr>
            <w:r>
              <w:rPr>
                <w:color w:val="231F20"/>
                <w:w w:val="75"/>
                <w:sz w:val="16"/>
              </w:rPr>
              <w:t>Secretaría Particular</w:t>
            </w:r>
          </w:p>
        </w:tc>
        <w:tc>
          <w:tcPr>
            <w:tcW w:w="1567" w:type="dxa"/>
          </w:tcPr>
          <w:p>
            <w:pPr>
              <w:pStyle w:val="TableParagraph"/>
              <w:spacing w:line="160" w:lineRule="exact"/>
              <w:ind w:left="73" w:right="72"/>
              <w:jc w:val="center"/>
              <w:rPr>
                <w:sz w:val="16"/>
              </w:rPr>
            </w:pPr>
            <w:r>
              <w:rPr>
                <w:color w:val="231F20"/>
                <w:w w:val="75"/>
                <w:sz w:val="16"/>
              </w:rPr>
              <w:t>Francisco Olivares Salazar</w:t>
            </w:r>
          </w:p>
        </w:tc>
        <w:tc>
          <w:tcPr>
            <w:tcW w:w="576" w:type="dxa"/>
          </w:tcPr>
          <w:p>
            <w:pPr/>
          </w:p>
        </w:tc>
        <w:tc>
          <w:tcPr>
            <w:tcW w:w="1749" w:type="dxa"/>
          </w:tcPr>
          <w:p>
            <w:pPr/>
          </w:p>
        </w:tc>
        <w:tc>
          <w:tcPr>
            <w:tcW w:w="1446" w:type="dxa"/>
          </w:tcPr>
          <w:p>
            <w:pPr/>
          </w:p>
        </w:tc>
      </w:tr>
      <w:tr>
        <w:trPr>
          <w:trHeight w:val="130" w:hRule="exact"/>
        </w:trPr>
        <w:tc>
          <w:tcPr>
            <w:tcW w:w="609" w:type="dxa"/>
          </w:tcPr>
          <w:p>
            <w:pPr>
              <w:pStyle w:val="TableParagraph"/>
              <w:spacing w:line="160" w:lineRule="exact"/>
              <w:ind w:left="141" w:right="141"/>
              <w:jc w:val="center"/>
              <w:rPr>
                <w:sz w:val="16"/>
              </w:rPr>
            </w:pPr>
            <w:r>
              <w:rPr>
                <w:color w:val="231F20"/>
                <w:w w:val="85"/>
                <w:sz w:val="16"/>
              </w:rPr>
              <w:t>2004</w:t>
            </w:r>
          </w:p>
        </w:tc>
        <w:tc>
          <w:tcPr>
            <w:tcW w:w="1980" w:type="dxa"/>
          </w:tcPr>
          <w:p>
            <w:pPr>
              <w:pStyle w:val="TableParagraph"/>
              <w:spacing w:line="160" w:lineRule="exact"/>
              <w:ind w:left="189" w:right="189"/>
              <w:jc w:val="center"/>
              <w:rPr>
                <w:sz w:val="16"/>
              </w:rPr>
            </w:pPr>
            <w:r>
              <w:rPr>
                <w:color w:val="231F20"/>
                <w:w w:val="75"/>
                <w:sz w:val="16"/>
              </w:rPr>
              <w:t>Secretaría del Ayuntamiento</w:t>
            </w:r>
          </w:p>
        </w:tc>
        <w:tc>
          <w:tcPr>
            <w:tcW w:w="1567" w:type="dxa"/>
          </w:tcPr>
          <w:p>
            <w:pPr>
              <w:pStyle w:val="TableParagraph"/>
              <w:spacing w:line="160" w:lineRule="exact"/>
              <w:ind w:left="73" w:right="73"/>
              <w:jc w:val="center"/>
              <w:rPr>
                <w:sz w:val="16"/>
              </w:rPr>
            </w:pPr>
            <w:r>
              <w:rPr>
                <w:color w:val="231F20"/>
                <w:w w:val="75"/>
                <w:sz w:val="16"/>
              </w:rPr>
              <w:t>Humberto Navarro D’Alba</w:t>
            </w:r>
          </w:p>
        </w:tc>
        <w:tc>
          <w:tcPr>
            <w:tcW w:w="576" w:type="dxa"/>
          </w:tcPr>
          <w:p>
            <w:pPr/>
          </w:p>
        </w:tc>
        <w:tc>
          <w:tcPr>
            <w:tcW w:w="1749" w:type="dxa"/>
          </w:tcPr>
          <w:p>
            <w:pPr/>
          </w:p>
        </w:tc>
        <w:tc>
          <w:tcPr>
            <w:tcW w:w="1446" w:type="dxa"/>
          </w:tcPr>
          <w:p>
            <w:pPr/>
          </w:p>
        </w:tc>
      </w:tr>
      <w:tr>
        <w:trPr>
          <w:trHeight w:val="409" w:hRule="exact"/>
        </w:trPr>
        <w:tc>
          <w:tcPr>
            <w:tcW w:w="609" w:type="dxa"/>
          </w:tcPr>
          <w:p>
            <w:pPr>
              <w:pStyle w:val="TableParagraph"/>
              <w:spacing w:before="107"/>
              <w:ind w:left="141" w:right="141"/>
              <w:jc w:val="center"/>
              <w:rPr>
                <w:sz w:val="16"/>
              </w:rPr>
            </w:pPr>
            <w:r>
              <w:rPr>
                <w:color w:val="231F20"/>
                <w:w w:val="85"/>
                <w:sz w:val="16"/>
              </w:rPr>
              <w:t>2004</w:t>
            </w:r>
          </w:p>
        </w:tc>
        <w:tc>
          <w:tcPr>
            <w:tcW w:w="1980" w:type="dxa"/>
          </w:tcPr>
          <w:p>
            <w:pPr>
              <w:pStyle w:val="TableParagraph"/>
              <w:spacing w:before="107"/>
              <w:ind w:left="189" w:right="189"/>
              <w:jc w:val="center"/>
              <w:rPr>
                <w:sz w:val="16"/>
              </w:rPr>
            </w:pPr>
            <w:r>
              <w:rPr>
                <w:color w:val="231F20"/>
                <w:w w:val="75"/>
                <w:sz w:val="16"/>
              </w:rPr>
              <w:t>Secretaría Técnica</w:t>
            </w:r>
          </w:p>
        </w:tc>
        <w:tc>
          <w:tcPr>
            <w:tcW w:w="1567" w:type="dxa"/>
          </w:tcPr>
          <w:p>
            <w:pPr>
              <w:pStyle w:val="TableParagraph"/>
              <w:spacing w:before="107"/>
              <w:ind w:left="73" w:right="73"/>
              <w:jc w:val="center"/>
              <w:rPr>
                <w:sz w:val="16"/>
              </w:rPr>
            </w:pPr>
            <w:r>
              <w:rPr>
                <w:color w:val="231F20"/>
                <w:w w:val="75"/>
                <w:sz w:val="16"/>
              </w:rPr>
              <w:t>Roberto García Sevilla</w:t>
            </w:r>
          </w:p>
        </w:tc>
        <w:tc>
          <w:tcPr>
            <w:tcW w:w="576" w:type="dxa"/>
          </w:tcPr>
          <w:p>
            <w:pPr/>
          </w:p>
        </w:tc>
        <w:tc>
          <w:tcPr>
            <w:tcW w:w="1749" w:type="dxa"/>
          </w:tcPr>
          <w:p>
            <w:pPr/>
          </w:p>
        </w:tc>
        <w:tc>
          <w:tcPr>
            <w:tcW w:w="1446" w:type="dxa"/>
          </w:tcPr>
          <w:p>
            <w:pPr/>
          </w:p>
        </w:tc>
      </w:tr>
    </w:tbl>
    <w:p>
      <w:pPr>
        <w:pStyle w:val="BodyText"/>
        <w:spacing w:before="3"/>
        <w:rPr>
          <w:b/>
          <w:sz w:val="16"/>
        </w:rPr>
      </w:pPr>
    </w:p>
    <w:p>
      <w:pPr>
        <w:spacing w:before="74"/>
        <w:ind w:left="5003" w:right="-2" w:firstLine="0"/>
        <w:jc w:val="left"/>
        <w:rPr>
          <w:rFonts w:ascii="Calibri"/>
          <w:sz w:val="16"/>
        </w:rPr>
      </w:pPr>
      <w:r>
        <w:rPr>
          <w:rFonts w:ascii="Calibri"/>
          <w:color w:val="231F20"/>
          <w:w w:val="95"/>
          <w:sz w:val="16"/>
        </w:rPr>
        <w:t>Fuente: (KORENFELD, 2004), (KORENFELD, 2005).</w:t>
      </w:r>
    </w:p>
    <w:p>
      <w:pPr>
        <w:spacing w:after="0"/>
        <w:jc w:val="left"/>
        <w:rPr>
          <w:rFonts w:ascii="Calibri"/>
          <w:sz w:val="16"/>
        </w:rPr>
        <w:sectPr>
          <w:footerReference w:type="default" r:id="rId144"/>
          <w:pgSz w:w="9640" w:h="12190"/>
          <w:pgMar w:footer="743" w:header="0" w:top="1120" w:bottom="940" w:left="740" w:right="740"/>
          <w:pgNumType w:start="80"/>
        </w:sectPr>
      </w:pPr>
    </w:p>
    <w:p>
      <w:pPr>
        <w:pStyle w:val="Heading5"/>
        <w:spacing w:before="27"/>
        <w:ind w:right="102"/>
        <w:jc w:val="center"/>
      </w:pPr>
      <w:r>
        <w:rPr>
          <w:color w:val="231F20"/>
          <w:w w:val="105"/>
        </w:rPr>
        <w:t>Anexo 3.</w:t>
      </w:r>
    </w:p>
    <w:p>
      <w:pPr>
        <w:spacing w:line="285" w:lineRule="auto" w:before="47"/>
        <w:ind w:left="1042" w:right="1040" w:firstLine="0"/>
        <w:jc w:val="center"/>
        <w:rPr>
          <w:b/>
          <w:sz w:val="22"/>
        </w:rPr>
      </w:pPr>
      <w:r>
        <w:rPr>
          <w:b/>
          <w:color w:val="231F20"/>
          <w:w w:val="105"/>
          <w:sz w:val="22"/>
        </w:rPr>
        <w:t>Cambios de titulares en las dependencias del gobierno de Huixquilucan entre los periodos 2003-2006 y 2006-2009</w:t>
      </w:r>
    </w:p>
    <w:p>
      <w:pPr>
        <w:pStyle w:val="BodyText"/>
        <w:rPr>
          <w:b/>
          <w:sz w:val="20"/>
        </w:rPr>
      </w:pPr>
    </w:p>
    <w:p>
      <w:pPr>
        <w:pStyle w:val="BodyText"/>
        <w:spacing w:before="10"/>
        <w:rPr>
          <w:b/>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609"/>
        <w:gridCol w:w="1995"/>
        <w:gridCol w:w="1773"/>
        <w:gridCol w:w="561"/>
        <w:gridCol w:w="1916"/>
        <w:gridCol w:w="1073"/>
      </w:tblGrid>
      <w:tr>
        <w:trPr>
          <w:trHeight w:val="150" w:hRule="exact"/>
        </w:trPr>
        <w:tc>
          <w:tcPr>
            <w:tcW w:w="609" w:type="dxa"/>
          </w:tcPr>
          <w:p>
            <w:pPr>
              <w:pStyle w:val="TableParagraph"/>
              <w:spacing w:line="163" w:lineRule="exact"/>
              <w:ind w:left="141" w:right="141"/>
              <w:jc w:val="center"/>
              <w:rPr>
                <w:b/>
                <w:sz w:val="16"/>
              </w:rPr>
            </w:pPr>
            <w:r>
              <w:rPr>
                <w:b/>
                <w:color w:val="231F20"/>
                <w:w w:val="90"/>
                <w:sz w:val="16"/>
              </w:rPr>
              <w:t>Año</w:t>
            </w:r>
          </w:p>
        </w:tc>
        <w:tc>
          <w:tcPr>
            <w:tcW w:w="1995" w:type="dxa"/>
          </w:tcPr>
          <w:p>
            <w:pPr>
              <w:pStyle w:val="TableParagraph"/>
              <w:spacing w:line="163" w:lineRule="exact"/>
              <w:ind w:left="197" w:right="195"/>
              <w:jc w:val="center"/>
              <w:rPr>
                <w:b/>
                <w:sz w:val="16"/>
              </w:rPr>
            </w:pPr>
            <w:r>
              <w:rPr>
                <w:b/>
                <w:color w:val="231F20"/>
                <w:w w:val="95"/>
                <w:sz w:val="16"/>
              </w:rPr>
              <w:t>Dependencia</w:t>
            </w:r>
          </w:p>
        </w:tc>
        <w:tc>
          <w:tcPr>
            <w:tcW w:w="1773" w:type="dxa"/>
          </w:tcPr>
          <w:p>
            <w:pPr>
              <w:pStyle w:val="TableParagraph"/>
              <w:spacing w:line="163" w:lineRule="exact"/>
              <w:ind w:left="162" w:right="162"/>
              <w:jc w:val="center"/>
              <w:rPr>
                <w:b/>
                <w:sz w:val="16"/>
              </w:rPr>
            </w:pPr>
            <w:r>
              <w:rPr>
                <w:b/>
                <w:color w:val="231F20"/>
                <w:w w:val="95"/>
                <w:sz w:val="16"/>
              </w:rPr>
              <w:t>Titular</w:t>
            </w:r>
          </w:p>
        </w:tc>
        <w:tc>
          <w:tcPr>
            <w:tcW w:w="561" w:type="dxa"/>
          </w:tcPr>
          <w:p>
            <w:pPr>
              <w:pStyle w:val="TableParagraph"/>
              <w:spacing w:line="163" w:lineRule="exact"/>
              <w:ind w:left="116" w:right="116"/>
              <w:jc w:val="center"/>
              <w:rPr>
                <w:b/>
                <w:sz w:val="16"/>
              </w:rPr>
            </w:pPr>
            <w:r>
              <w:rPr>
                <w:b/>
                <w:color w:val="231F20"/>
                <w:w w:val="90"/>
                <w:sz w:val="16"/>
              </w:rPr>
              <w:t>Año</w:t>
            </w:r>
          </w:p>
        </w:tc>
        <w:tc>
          <w:tcPr>
            <w:tcW w:w="1916" w:type="dxa"/>
          </w:tcPr>
          <w:p>
            <w:pPr>
              <w:pStyle w:val="TableParagraph"/>
              <w:spacing w:line="163" w:lineRule="exact"/>
              <w:ind w:left="157" w:right="155"/>
              <w:jc w:val="center"/>
              <w:rPr>
                <w:b/>
                <w:sz w:val="16"/>
              </w:rPr>
            </w:pPr>
            <w:r>
              <w:rPr>
                <w:b/>
                <w:color w:val="231F20"/>
                <w:w w:val="95"/>
                <w:sz w:val="16"/>
              </w:rPr>
              <w:t>Dependencia</w:t>
            </w:r>
          </w:p>
        </w:tc>
        <w:tc>
          <w:tcPr>
            <w:tcW w:w="1073" w:type="dxa"/>
          </w:tcPr>
          <w:p>
            <w:pPr>
              <w:pStyle w:val="TableParagraph"/>
              <w:spacing w:line="163" w:lineRule="exact"/>
              <w:ind w:left="338"/>
              <w:rPr>
                <w:b/>
                <w:sz w:val="16"/>
              </w:rPr>
            </w:pPr>
            <w:r>
              <w:rPr>
                <w:b/>
                <w:color w:val="231F20"/>
                <w:w w:val="95"/>
                <w:sz w:val="16"/>
              </w:rPr>
              <w:t>Titular</w:t>
            </w:r>
          </w:p>
        </w:tc>
      </w:tr>
      <w:tr>
        <w:trPr>
          <w:trHeight w:val="322" w:hRule="exact"/>
        </w:trPr>
        <w:tc>
          <w:tcPr>
            <w:tcW w:w="609" w:type="dxa"/>
          </w:tcPr>
          <w:p>
            <w:pPr>
              <w:pStyle w:val="TableParagraph"/>
              <w:spacing w:before="63"/>
              <w:ind w:left="141" w:right="141"/>
              <w:jc w:val="center"/>
              <w:rPr>
                <w:sz w:val="16"/>
              </w:rPr>
            </w:pPr>
            <w:r>
              <w:rPr>
                <w:color w:val="231F20"/>
                <w:w w:val="85"/>
                <w:sz w:val="16"/>
              </w:rPr>
              <w:t>2007</w:t>
            </w:r>
          </w:p>
        </w:tc>
        <w:tc>
          <w:tcPr>
            <w:tcW w:w="1995" w:type="dxa"/>
          </w:tcPr>
          <w:p>
            <w:pPr>
              <w:pStyle w:val="TableParagraph"/>
              <w:spacing w:before="63"/>
              <w:ind w:left="197" w:right="197"/>
              <w:jc w:val="center"/>
              <w:rPr>
                <w:sz w:val="16"/>
              </w:rPr>
            </w:pPr>
            <w:r>
              <w:rPr>
                <w:color w:val="231F20"/>
                <w:w w:val="75"/>
                <w:sz w:val="16"/>
              </w:rPr>
              <w:t>Tesorería Municipal</w:t>
            </w:r>
          </w:p>
        </w:tc>
        <w:tc>
          <w:tcPr>
            <w:tcW w:w="1773" w:type="dxa"/>
          </w:tcPr>
          <w:p>
            <w:pPr>
              <w:pStyle w:val="TableParagraph"/>
              <w:spacing w:before="63"/>
              <w:ind w:left="162" w:right="162"/>
              <w:jc w:val="center"/>
              <w:rPr>
                <w:sz w:val="16"/>
              </w:rPr>
            </w:pPr>
            <w:r>
              <w:rPr>
                <w:color w:val="231F20"/>
                <w:w w:val="75"/>
                <w:sz w:val="16"/>
              </w:rPr>
              <w:t>Alejandro Méndez Gutiérrez</w:t>
            </w:r>
          </w:p>
        </w:tc>
        <w:tc>
          <w:tcPr>
            <w:tcW w:w="561" w:type="dxa"/>
          </w:tcPr>
          <w:p>
            <w:pPr>
              <w:pStyle w:val="TableParagraph"/>
              <w:spacing w:before="63"/>
              <w:ind w:left="116" w:right="116"/>
              <w:jc w:val="center"/>
              <w:rPr>
                <w:sz w:val="16"/>
              </w:rPr>
            </w:pPr>
            <w:r>
              <w:rPr>
                <w:color w:val="231F20"/>
                <w:w w:val="85"/>
                <w:sz w:val="16"/>
              </w:rPr>
              <w:t>2008</w:t>
            </w:r>
          </w:p>
        </w:tc>
        <w:tc>
          <w:tcPr>
            <w:tcW w:w="1916" w:type="dxa"/>
          </w:tcPr>
          <w:p>
            <w:pPr>
              <w:pStyle w:val="TableParagraph"/>
              <w:spacing w:before="63"/>
              <w:ind w:left="157" w:right="157"/>
              <w:jc w:val="center"/>
              <w:rPr>
                <w:sz w:val="16"/>
              </w:rPr>
            </w:pPr>
            <w:r>
              <w:rPr>
                <w:color w:val="231F20"/>
                <w:w w:val="75"/>
                <w:sz w:val="16"/>
              </w:rPr>
              <w:t>Tesorería Municipal</w:t>
            </w:r>
          </w:p>
        </w:tc>
        <w:tc>
          <w:tcPr>
            <w:tcW w:w="1073" w:type="dxa"/>
          </w:tcPr>
          <w:p>
            <w:pPr>
              <w:pStyle w:val="TableParagraph"/>
              <w:spacing w:line="161" w:lineRule="exact"/>
              <w:ind w:left="197" w:hanging="58"/>
              <w:rPr>
                <w:sz w:val="16"/>
              </w:rPr>
            </w:pPr>
            <w:r>
              <w:rPr>
                <w:color w:val="231F20"/>
                <w:w w:val="75"/>
                <w:sz w:val="16"/>
              </w:rPr>
              <w:t>Alejandro Mén-</w:t>
            </w:r>
          </w:p>
          <w:p>
            <w:pPr>
              <w:pStyle w:val="TableParagraph"/>
              <w:spacing w:line="191" w:lineRule="exact"/>
              <w:ind w:left="197"/>
              <w:rPr>
                <w:sz w:val="16"/>
              </w:rPr>
            </w:pPr>
            <w:r>
              <w:rPr>
                <w:color w:val="231F20"/>
                <w:w w:val="75"/>
                <w:sz w:val="16"/>
              </w:rPr>
              <w:t>dez Gutiérrez</w:t>
            </w:r>
          </w:p>
        </w:tc>
      </w:tr>
      <w:tr>
        <w:trPr>
          <w:trHeight w:val="514" w:hRule="exact"/>
        </w:trPr>
        <w:tc>
          <w:tcPr>
            <w:tcW w:w="609" w:type="dxa"/>
          </w:tcPr>
          <w:p>
            <w:pPr>
              <w:pStyle w:val="TableParagraph"/>
              <w:spacing w:before="10"/>
              <w:ind w:left="0"/>
              <w:rPr>
                <w:rFonts w:ascii="Times New Roman"/>
                <w:b/>
                <w:sz w:val="13"/>
              </w:rPr>
            </w:pPr>
          </w:p>
          <w:p>
            <w:pPr>
              <w:pStyle w:val="TableParagraph"/>
              <w:ind w:left="141" w:right="141"/>
              <w:jc w:val="center"/>
              <w:rPr>
                <w:sz w:val="16"/>
              </w:rPr>
            </w:pPr>
            <w:r>
              <w:rPr>
                <w:color w:val="231F20"/>
                <w:w w:val="85"/>
                <w:sz w:val="16"/>
              </w:rPr>
              <w:t>2007</w:t>
            </w:r>
          </w:p>
        </w:tc>
        <w:tc>
          <w:tcPr>
            <w:tcW w:w="1995" w:type="dxa"/>
          </w:tcPr>
          <w:p>
            <w:pPr>
              <w:pStyle w:val="TableParagraph"/>
              <w:spacing w:before="10"/>
              <w:ind w:left="0"/>
              <w:rPr>
                <w:rFonts w:ascii="Times New Roman"/>
                <w:b/>
                <w:sz w:val="13"/>
              </w:rPr>
            </w:pPr>
          </w:p>
          <w:p>
            <w:pPr>
              <w:pStyle w:val="TableParagraph"/>
              <w:ind w:left="197" w:right="197"/>
              <w:jc w:val="center"/>
              <w:rPr>
                <w:sz w:val="16"/>
              </w:rPr>
            </w:pPr>
            <w:r>
              <w:rPr>
                <w:color w:val="231F20"/>
                <w:w w:val="75"/>
                <w:sz w:val="16"/>
              </w:rPr>
              <w:t>Contraloría Interna</w:t>
            </w:r>
          </w:p>
        </w:tc>
        <w:tc>
          <w:tcPr>
            <w:tcW w:w="1773" w:type="dxa"/>
          </w:tcPr>
          <w:p>
            <w:pPr>
              <w:pStyle w:val="TableParagraph"/>
              <w:spacing w:before="10"/>
              <w:ind w:left="0"/>
              <w:rPr>
                <w:rFonts w:ascii="Times New Roman"/>
                <w:b/>
                <w:sz w:val="13"/>
              </w:rPr>
            </w:pPr>
          </w:p>
          <w:p>
            <w:pPr>
              <w:pStyle w:val="TableParagraph"/>
              <w:ind w:left="162" w:right="162"/>
              <w:jc w:val="center"/>
              <w:rPr>
                <w:sz w:val="16"/>
              </w:rPr>
            </w:pPr>
            <w:r>
              <w:rPr>
                <w:color w:val="231F20"/>
                <w:w w:val="75"/>
                <w:sz w:val="16"/>
              </w:rPr>
              <w:t>Alejandro Quiroz Martínez</w:t>
            </w:r>
          </w:p>
        </w:tc>
        <w:tc>
          <w:tcPr>
            <w:tcW w:w="561" w:type="dxa"/>
          </w:tcPr>
          <w:p>
            <w:pPr>
              <w:pStyle w:val="TableParagraph"/>
              <w:spacing w:before="10"/>
              <w:ind w:left="0"/>
              <w:rPr>
                <w:rFonts w:ascii="Times New Roman"/>
                <w:b/>
                <w:sz w:val="13"/>
              </w:rPr>
            </w:pPr>
          </w:p>
          <w:p>
            <w:pPr>
              <w:pStyle w:val="TableParagraph"/>
              <w:ind w:left="116" w:right="116"/>
              <w:jc w:val="center"/>
              <w:rPr>
                <w:sz w:val="16"/>
              </w:rPr>
            </w:pPr>
            <w:r>
              <w:rPr>
                <w:color w:val="231F20"/>
                <w:w w:val="85"/>
                <w:sz w:val="16"/>
              </w:rPr>
              <w:t>2008</w:t>
            </w:r>
          </w:p>
        </w:tc>
        <w:tc>
          <w:tcPr>
            <w:tcW w:w="1916" w:type="dxa"/>
          </w:tcPr>
          <w:p>
            <w:pPr>
              <w:pStyle w:val="TableParagraph"/>
              <w:spacing w:before="10"/>
              <w:ind w:left="0"/>
              <w:rPr>
                <w:rFonts w:ascii="Times New Roman"/>
                <w:b/>
                <w:sz w:val="13"/>
              </w:rPr>
            </w:pPr>
          </w:p>
          <w:p>
            <w:pPr>
              <w:pStyle w:val="TableParagraph"/>
              <w:ind w:left="157" w:right="157"/>
              <w:jc w:val="center"/>
              <w:rPr>
                <w:sz w:val="16"/>
              </w:rPr>
            </w:pPr>
            <w:r>
              <w:rPr>
                <w:color w:val="231F20"/>
                <w:w w:val="75"/>
                <w:sz w:val="16"/>
              </w:rPr>
              <w:t>Contraloría Interna</w:t>
            </w:r>
          </w:p>
        </w:tc>
        <w:tc>
          <w:tcPr>
            <w:tcW w:w="1073" w:type="dxa"/>
          </w:tcPr>
          <w:p>
            <w:pPr>
              <w:pStyle w:val="TableParagraph"/>
              <w:spacing w:line="161" w:lineRule="exact"/>
              <w:ind w:left="69" w:right="69"/>
              <w:jc w:val="center"/>
              <w:rPr>
                <w:sz w:val="16"/>
              </w:rPr>
            </w:pPr>
            <w:r>
              <w:rPr>
                <w:color w:val="231F20"/>
                <w:w w:val="75"/>
                <w:sz w:val="16"/>
              </w:rPr>
              <w:t>Javier Armando</w:t>
            </w:r>
          </w:p>
          <w:p>
            <w:pPr>
              <w:pStyle w:val="TableParagraph"/>
              <w:spacing w:line="235" w:lineRule="auto" w:before="1"/>
              <w:ind w:left="302" w:right="300"/>
              <w:jc w:val="center"/>
              <w:rPr>
                <w:sz w:val="16"/>
              </w:rPr>
            </w:pPr>
            <w:r>
              <w:rPr>
                <w:color w:val="231F20"/>
                <w:w w:val="80"/>
                <w:sz w:val="16"/>
              </w:rPr>
              <w:t>Estrada </w:t>
            </w:r>
            <w:r>
              <w:rPr>
                <w:color w:val="231F20"/>
                <w:w w:val="75"/>
                <w:sz w:val="16"/>
              </w:rPr>
              <w:t>González</w:t>
            </w:r>
          </w:p>
        </w:tc>
      </w:tr>
      <w:tr>
        <w:trPr>
          <w:trHeight w:val="322" w:hRule="exact"/>
        </w:trPr>
        <w:tc>
          <w:tcPr>
            <w:tcW w:w="609" w:type="dxa"/>
          </w:tcPr>
          <w:p>
            <w:pPr>
              <w:pStyle w:val="TableParagraph"/>
              <w:spacing w:before="63"/>
              <w:ind w:left="141" w:right="141"/>
              <w:jc w:val="center"/>
              <w:rPr>
                <w:sz w:val="16"/>
              </w:rPr>
            </w:pPr>
            <w:r>
              <w:rPr>
                <w:color w:val="231F20"/>
                <w:w w:val="85"/>
                <w:sz w:val="16"/>
              </w:rPr>
              <w:t>2007</w:t>
            </w:r>
          </w:p>
        </w:tc>
        <w:tc>
          <w:tcPr>
            <w:tcW w:w="1995" w:type="dxa"/>
          </w:tcPr>
          <w:p>
            <w:pPr>
              <w:pStyle w:val="TableParagraph"/>
              <w:spacing w:line="161" w:lineRule="exact"/>
              <w:ind w:left="197" w:right="197"/>
              <w:jc w:val="center"/>
              <w:rPr>
                <w:sz w:val="16"/>
              </w:rPr>
            </w:pPr>
            <w:r>
              <w:rPr>
                <w:color w:val="231F20"/>
                <w:w w:val="75"/>
                <w:sz w:val="16"/>
              </w:rPr>
              <w:t>Dirección General de Adminis-</w:t>
            </w:r>
          </w:p>
          <w:p>
            <w:pPr>
              <w:pStyle w:val="TableParagraph"/>
              <w:spacing w:line="191" w:lineRule="exact"/>
              <w:ind w:left="197" w:right="197"/>
              <w:jc w:val="center"/>
              <w:rPr>
                <w:sz w:val="16"/>
              </w:rPr>
            </w:pPr>
            <w:r>
              <w:rPr>
                <w:color w:val="231F20"/>
                <w:w w:val="85"/>
                <w:sz w:val="16"/>
              </w:rPr>
              <w:t>tración</w:t>
            </w:r>
          </w:p>
        </w:tc>
        <w:tc>
          <w:tcPr>
            <w:tcW w:w="1773" w:type="dxa"/>
          </w:tcPr>
          <w:p>
            <w:pPr>
              <w:pStyle w:val="TableParagraph"/>
              <w:spacing w:line="161" w:lineRule="exact"/>
              <w:ind w:left="162" w:right="162"/>
              <w:jc w:val="center"/>
              <w:rPr>
                <w:sz w:val="16"/>
              </w:rPr>
            </w:pPr>
            <w:r>
              <w:rPr>
                <w:color w:val="231F20"/>
                <w:w w:val="75"/>
                <w:sz w:val="16"/>
              </w:rPr>
              <w:t>Juan Manuel González</w:t>
            </w:r>
          </w:p>
          <w:p>
            <w:pPr>
              <w:pStyle w:val="TableParagraph"/>
              <w:spacing w:line="191" w:lineRule="exact"/>
              <w:ind w:left="162" w:right="162"/>
              <w:jc w:val="center"/>
              <w:rPr>
                <w:sz w:val="16"/>
              </w:rPr>
            </w:pPr>
            <w:r>
              <w:rPr>
                <w:color w:val="231F20"/>
                <w:w w:val="85"/>
                <w:sz w:val="16"/>
              </w:rPr>
              <w:t>Hernández</w:t>
            </w:r>
          </w:p>
        </w:tc>
        <w:tc>
          <w:tcPr>
            <w:tcW w:w="561" w:type="dxa"/>
          </w:tcPr>
          <w:p>
            <w:pPr>
              <w:pStyle w:val="TableParagraph"/>
              <w:spacing w:before="63"/>
              <w:ind w:left="116" w:right="116"/>
              <w:jc w:val="center"/>
              <w:rPr>
                <w:sz w:val="16"/>
              </w:rPr>
            </w:pPr>
            <w:r>
              <w:rPr>
                <w:color w:val="231F20"/>
                <w:w w:val="85"/>
                <w:sz w:val="16"/>
              </w:rPr>
              <w:t>2008</w:t>
            </w:r>
          </w:p>
        </w:tc>
        <w:tc>
          <w:tcPr>
            <w:tcW w:w="1916" w:type="dxa"/>
          </w:tcPr>
          <w:p>
            <w:pPr>
              <w:pStyle w:val="TableParagraph"/>
              <w:spacing w:line="161" w:lineRule="exact"/>
              <w:ind w:left="157" w:right="157"/>
              <w:jc w:val="center"/>
              <w:rPr>
                <w:sz w:val="16"/>
              </w:rPr>
            </w:pPr>
            <w:r>
              <w:rPr>
                <w:color w:val="231F20"/>
                <w:w w:val="75"/>
                <w:sz w:val="16"/>
              </w:rPr>
              <w:t>Dirección General de Adminis-</w:t>
            </w:r>
          </w:p>
          <w:p>
            <w:pPr>
              <w:pStyle w:val="TableParagraph"/>
              <w:spacing w:line="191" w:lineRule="exact"/>
              <w:ind w:left="157" w:right="157"/>
              <w:jc w:val="center"/>
              <w:rPr>
                <w:sz w:val="16"/>
              </w:rPr>
            </w:pPr>
            <w:r>
              <w:rPr>
                <w:color w:val="231F20"/>
                <w:w w:val="85"/>
                <w:sz w:val="16"/>
              </w:rPr>
              <w:t>tración</w:t>
            </w:r>
          </w:p>
        </w:tc>
        <w:tc>
          <w:tcPr>
            <w:tcW w:w="1073" w:type="dxa"/>
          </w:tcPr>
          <w:p>
            <w:pPr>
              <w:pStyle w:val="TableParagraph"/>
              <w:spacing w:line="161" w:lineRule="exact"/>
              <w:ind w:left="69" w:right="69"/>
              <w:jc w:val="center"/>
              <w:rPr>
                <w:sz w:val="16"/>
              </w:rPr>
            </w:pPr>
            <w:r>
              <w:rPr>
                <w:color w:val="231F20"/>
                <w:w w:val="75"/>
                <w:sz w:val="16"/>
              </w:rPr>
              <w:t>Alejandro Quiroz</w:t>
            </w:r>
          </w:p>
          <w:p>
            <w:pPr>
              <w:pStyle w:val="TableParagraph"/>
              <w:spacing w:line="191" w:lineRule="exact"/>
              <w:ind w:left="69" w:right="69"/>
              <w:jc w:val="center"/>
              <w:rPr>
                <w:sz w:val="16"/>
              </w:rPr>
            </w:pPr>
            <w:r>
              <w:rPr>
                <w:color w:val="231F20"/>
                <w:w w:val="85"/>
                <w:sz w:val="16"/>
              </w:rPr>
              <w:t>Martínez</w:t>
            </w:r>
          </w:p>
        </w:tc>
      </w:tr>
      <w:tr>
        <w:trPr>
          <w:trHeight w:val="322" w:hRule="exact"/>
        </w:trPr>
        <w:tc>
          <w:tcPr>
            <w:tcW w:w="609" w:type="dxa"/>
          </w:tcPr>
          <w:p>
            <w:pPr>
              <w:pStyle w:val="TableParagraph"/>
              <w:spacing w:before="64"/>
              <w:ind w:left="141" w:right="141"/>
              <w:jc w:val="center"/>
              <w:rPr>
                <w:sz w:val="16"/>
              </w:rPr>
            </w:pPr>
            <w:r>
              <w:rPr>
                <w:color w:val="231F20"/>
                <w:w w:val="85"/>
                <w:sz w:val="16"/>
              </w:rPr>
              <w:t>2007</w:t>
            </w:r>
          </w:p>
        </w:tc>
        <w:tc>
          <w:tcPr>
            <w:tcW w:w="1995" w:type="dxa"/>
          </w:tcPr>
          <w:p>
            <w:pPr>
              <w:pStyle w:val="TableParagraph"/>
              <w:spacing w:line="161" w:lineRule="exact"/>
              <w:ind w:left="197" w:right="197"/>
              <w:jc w:val="center"/>
              <w:rPr>
                <w:sz w:val="16"/>
              </w:rPr>
            </w:pPr>
            <w:r>
              <w:rPr>
                <w:color w:val="231F20"/>
                <w:w w:val="75"/>
                <w:sz w:val="16"/>
              </w:rPr>
              <w:t>Dirección General Jurídico</w:t>
            </w:r>
          </w:p>
          <w:p>
            <w:pPr>
              <w:pStyle w:val="TableParagraph"/>
              <w:spacing w:line="191" w:lineRule="exact"/>
              <w:ind w:left="197" w:right="197"/>
              <w:jc w:val="center"/>
              <w:rPr>
                <w:sz w:val="16"/>
              </w:rPr>
            </w:pPr>
            <w:r>
              <w:rPr>
                <w:color w:val="231F20"/>
                <w:w w:val="85"/>
                <w:sz w:val="16"/>
              </w:rPr>
              <w:t>Consultivo</w:t>
            </w:r>
          </w:p>
        </w:tc>
        <w:tc>
          <w:tcPr>
            <w:tcW w:w="1773" w:type="dxa"/>
          </w:tcPr>
          <w:p>
            <w:pPr>
              <w:pStyle w:val="TableParagraph"/>
              <w:spacing w:before="64"/>
              <w:ind w:left="162" w:right="162"/>
              <w:jc w:val="center"/>
              <w:rPr>
                <w:sz w:val="16"/>
              </w:rPr>
            </w:pPr>
            <w:r>
              <w:rPr>
                <w:color w:val="231F20"/>
                <w:w w:val="80"/>
                <w:sz w:val="16"/>
              </w:rPr>
              <w:t>José Paz Sánchez García</w:t>
            </w:r>
          </w:p>
        </w:tc>
        <w:tc>
          <w:tcPr>
            <w:tcW w:w="561" w:type="dxa"/>
          </w:tcPr>
          <w:p>
            <w:pPr>
              <w:pStyle w:val="TableParagraph"/>
              <w:spacing w:before="64"/>
              <w:ind w:left="117" w:right="116"/>
              <w:jc w:val="center"/>
              <w:rPr>
                <w:sz w:val="16"/>
              </w:rPr>
            </w:pPr>
            <w:r>
              <w:rPr>
                <w:color w:val="231F20"/>
                <w:w w:val="85"/>
                <w:sz w:val="16"/>
              </w:rPr>
              <w:t>2008</w:t>
            </w:r>
          </w:p>
        </w:tc>
        <w:tc>
          <w:tcPr>
            <w:tcW w:w="1916" w:type="dxa"/>
          </w:tcPr>
          <w:p>
            <w:pPr>
              <w:pStyle w:val="TableParagraph"/>
              <w:spacing w:line="161" w:lineRule="exact"/>
              <w:ind w:left="157" w:right="156"/>
              <w:jc w:val="center"/>
              <w:rPr>
                <w:sz w:val="16"/>
              </w:rPr>
            </w:pPr>
            <w:r>
              <w:rPr>
                <w:color w:val="231F20"/>
                <w:w w:val="75"/>
                <w:sz w:val="16"/>
              </w:rPr>
              <w:t>Dirección General Jurídico</w:t>
            </w:r>
          </w:p>
          <w:p>
            <w:pPr>
              <w:pStyle w:val="TableParagraph"/>
              <w:spacing w:line="191" w:lineRule="exact"/>
              <w:ind w:left="157" w:right="157"/>
              <w:jc w:val="center"/>
              <w:rPr>
                <w:sz w:val="16"/>
              </w:rPr>
            </w:pPr>
            <w:r>
              <w:rPr>
                <w:color w:val="231F20"/>
                <w:w w:val="85"/>
                <w:sz w:val="16"/>
              </w:rPr>
              <w:t>Consultivo</w:t>
            </w:r>
          </w:p>
        </w:tc>
        <w:tc>
          <w:tcPr>
            <w:tcW w:w="1073" w:type="dxa"/>
          </w:tcPr>
          <w:p>
            <w:pPr>
              <w:pStyle w:val="TableParagraph"/>
              <w:spacing w:line="161" w:lineRule="exact"/>
              <w:ind w:left="72" w:right="69"/>
              <w:jc w:val="center"/>
              <w:rPr>
                <w:sz w:val="16"/>
              </w:rPr>
            </w:pPr>
            <w:r>
              <w:rPr>
                <w:color w:val="231F20"/>
                <w:w w:val="80"/>
                <w:sz w:val="16"/>
              </w:rPr>
              <w:t>José Paz Sánchez</w:t>
            </w:r>
          </w:p>
          <w:p>
            <w:pPr>
              <w:pStyle w:val="TableParagraph"/>
              <w:spacing w:line="191" w:lineRule="exact"/>
              <w:ind w:left="69" w:right="69"/>
              <w:jc w:val="center"/>
              <w:rPr>
                <w:sz w:val="16"/>
              </w:rPr>
            </w:pPr>
            <w:r>
              <w:rPr>
                <w:color w:val="231F20"/>
                <w:w w:val="85"/>
                <w:sz w:val="16"/>
              </w:rPr>
              <w:t>García</w:t>
            </w:r>
          </w:p>
        </w:tc>
      </w:tr>
      <w:tr>
        <w:trPr>
          <w:trHeight w:val="322" w:hRule="exact"/>
        </w:trPr>
        <w:tc>
          <w:tcPr>
            <w:tcW w:w="609" w:type="dxa"/>
          </w:tcPr>
          <w:p>
            <w:pPr>
              <w:pStyle w:val="TableParagraph"/>
              <w:spacing w:before="63"/>
              <w:ind w:left="141" w:right="141"/>
              <w:jc w:val="center"/>
              <w:rPr>
                <w:sz w:val="16"/>
              </w:rPr>
            </w:pPr>
            <w:r>
              <w:rPr>
                <w:color w:val="231F20"/>
                <w:w w:val="85"/>
                <w:sz w:val="16"/>
              </w:rPr>
              <w:t>2007</w:t>
            </w:r>
          </w:p>
        </w:tc>
        <w:tc>
          <w:tcPr>
            <w:tcW w:w="1995" w:type="dxa"/>
          </w:tcPr>
          <w:p>
            <w:pPr>
              <w:pStyle w:val="TableParagraph"/>
              <w:spacing w:line="161" w:lineRule="exact"/>
              <w:ind w:left="197" w:right="195"/>
              <w:jc w:val="center"/>
              <w:rPr>
                <w:sz w:val="16"/>
              </w:rPr>
            </w:pPr>
            <w:r>
              <w:rPr>
                <w:color w:val="231F20"/>
                <w:w w:val="75"/>
                <w:sz w:val="16"/>
              </w:rPr>
              <w:t>Dirección General de Seguridad</w:t>
            </w:r>
          </w:p>
          <w:p>
            <w:pPr>
              <w:pStyle w:val="TableParagraph"/>
              <w:spacing w:line="191" w:lineRule="exact"/>
              <w:ind w:left="197" w:right="196"/>
              <w:jc w:val="center"/>
              <w:rPr>
                <w:sz w:val="16"/>
              </w:rPr>
            </w:pPr>
            <w:r>
              <w:rPr>
                <w:color w:val="231F20"/>
                <w:w w:val="75"/>
                <w:sz w:val="16"/>
              </w:rPr>
              <w:t>Pública y Tránsito</w:t>
            </w:r>
          </w:p>
        </w:tc>
        <w:tc>
          <w:tcPr>
            <w:tcW w:w="1773" w:type="dxa"/>
          </w:tcPr>
          <w:p>
            <w:pPr>
              <w:pStyle w:val="TableParagraph"/>
              <w:spacing w:before="63"/>
              <w:ind w:left="162" w:right="162"/>
              <w:jc w:val="center"/>
              <w:rPr>
                <w:sz w:val="16"/>
              </w:rPr>
            </w:pPr>
            <w:r>
              <w:rPr>
                <w:color w:val="231F20"/>
                <w:w w:val="75"/>
                <w:sz w:val="16"/>
              </w:rPr>
              <w:t>Pedro Chávez Rosales</w:t>
            </w:r>
          </w:p>
        </w:tc>
        <w:tc>
          <w:tcPr>
            <w:tcW w:w="561" w:type="dxa"/>
          </w:tcPr>
          <w:p>
            <w:pPr>
              <w:pStyle w:val="TableParagraph"/>
              <w:spacing w:before="63"/>
              <w:ind w:left="116" w:right="116"/>
              <w:jc w:val="center"/>
              <w:rPr>
                <w:sz w:val="16"/>
              </w:rPr>
            </w:pPr>
            <w:r>
              <w:rPr>
                <w:color w:val="231F20"/>
                <w:w w:val="85"/>
                <w:sz w:val="16"/>
              </w:rPr>
              <w:t>2008</w:t>
            </w:r>
          </w:p>
        </w:tc>
        <w:tc>
          <w:tcPr>
            <w:tcW w:w="1916" w:type="dxa"/>
          </w:tcPr>
          <w:p>
            <w:pPr>
              <w:pStyle w:val="TableParagraph"/>
              <w:spacing w:line="161" w:lineRule="exact"/>
              <w:ind w:left="157" w:right="155"/>
              <w:jc w:val="center"/>
              <w:rPr>
                <w:sz w:val="16"/>
              </w:rPr>
            </w:pPr>
            <w:r>
              <w:rPr>
                <w:color w:val="231F20"/>
                <w:w w:val="75"/>
                <w:sz w:val="16"/>
              </w:rPr>
              <w:t>Dirección General de Seguridad</w:t>
            </w:r>
          </w:p>
          <w:p>
            <w:pPr>
              <w:pStyle w:val="TableParagraph"/>
              <w:spacing w:line="191" w:lineRule="exact"/>
              <w:ind w:left="157" w:right="156"/>
              <w:jc w:val="center"/>
              <w:rPr>
                <w:sz w:val="16"/>
              </w:rPr>
            </w:pPr>
            <w:r>
              <w:rPr>
                <w:color w:val="231F20"/>
                <w:w w:val="75"/>
                <w:sz w:val="16"/>
              </w:rPr>
              <w:t>Pública y Tránsito</w:t>
            </w:r>
          </w:p>
        </w:tc>
        <w:tc>
          <w:tcPr>
            <w:tcW w:w="1073" w:type="dxa"/>
          </w:tcPr>
          <w:p>
            <w:pPr>
              <w:pStyle w:val="TableParagraph"/>
              <w:spacing w:line="161" w:lineRule="exact"/>
              <w:ind w:left="69" w:right="69"/>
              <w:jc w:val="center"/>
              <w:rPr>
                <w:sz w:val="16"/>
              </w:rPr>
            </w:pPr>
            <w:r>
              <w:rPr>
                <w:color w:val="231F20"/>
                <w:w w:val="75"/>
                <w:sz w:val="16"/>
              </w:rPr>
              <w:t>Pedro Chávez</w:t>
            </w:r>
          </w:p>
          <w:p>
            <w:pPr>
              <w:pStyle w:val="TableParagraph"/>
              <w:spacing w:line="191" w:lineRule="exact"/>
              <w:ind w:left="69" w:right="69"/>
              <w:jc w:val="center"/>
              <w:rPr>
                <w:sz w:val="16"/>
              </w:rPr>
            </w:pPr>
            <w:r>
              <w:rPr>
                <w:color w:val="231F20"/>
                <w:w w:val="85"/>
                <w:sz w:val="16"/>
              </w:rPr>
              <w:t>Rosales</w:t>
            </w:r>
          </w:p>
        </w:tc>
      </w:tr>
      <w:tr>
        <w:trPr>
          <w:trHeight w:val="322" w:hRule="exact"/>
        </w:trPr>
        <w:tc>
          <w:tcPr>
            <w:tcW w:w="609" w:type="dxa"/>
          </w:tcPr>
          <w:p>
            <w:pPr>
              <w:pStyle w:val="TableParagraph"/>
              <w:spacing w:before="63"/>
              <w:ind w:left="141" w:right="141"/>
              <w:jc w:val="center"/>
              <w:rPr>
                <w:sz w:val="16"/>
              </w:rPr>
            </w:pPr>
            <w:r>
              <w:rPr>
                <w:color w:val="231F20"/>
                <w:w w:val="85"/>
                <w:sz w:val="16"/>
              </w:rPr>
              <w:t>2007</w:t>
            </w:r>
          </w:p>
        </w:tc>
        <w:tc>
          <w:tcPr>
            <w:tcW w:w="1995" w:type="dxa"/>
          </w:tcPr>
          <w:p>
            <w:pPr>
              <w:pStyle w:val="TableParagraph"/>
              <w:spacing w:line="161" w:lineRule="exact"/>
              <w:ind w:left="197" w:right="197"/>
              <w:jc w:val="center"/>
              <w:rPr>
                <w:sz w:val="16"/>
              </w:rPr>
            </w:pPr>
            <w:r>
              <w:rPr>
                <w:color w:val="231F20"/>
                <w:w w:val="75"/>
                <w:sz w:val="16"/>
              </w:rPr>
              <w:t>Dirección General de Desarrollo</w:t>
            </w:r>
          </w:p>
          <w:p>
            <w:pPr>
              <w:pStyle w:val="TableParagraph"/>
              <w:spacing w:line="191" w:lineRule="exact"/>
              <w:ind w:left="197" w:right="197"/>
              <w:jc w:val="center"/>
              <w:rPr>
                <w:sz w:val="16"/>
              </w:rPr>
            </w:pPr>
            <w:r>
              <w:rPr>
                <w:color w:val="231F20"/>
                <w:w w:val="85"/>
                <w:sz w:val="16"/>
              </w:rPr>
              <w:t>Social</w:t>
            </w:r>
          </w:p>
        </w:tc>
        <w:tc>
          <w:tcPr>
            <w:tcW w:w="1773" w:type="dxa"/>
          </w:tcPr>
          <w:p>
            <w:pPr>
              <w:pStyle w:val="TableParagraph"/>
              <w:spacing w:before="63"/>
              <w:ind w:left="162" w:right="162"/>
              <w:jc w:val="center"/>
              <w:rPr>
                <w:sz w:val="16"/>
              </w:rPr>
            </w:pPr>
            <w:r>
              <w:rPr>
                <w:color w:val="231F20"/>
                <w:w w:val="75"/>
                <w:sz w:val="16"/>
              </w:rPr>
              <w:t>Oscar Fernández Luque</w:t>
            </w:r>
          </w:p>
        </w:tc>
        <w:tc>
          <w:tcPr>
            <w:tcW w:w="561" w:type="dxa"/>
          </w:tcPr>
          <w:p>
            <w:pPr>
              <w:pStyle w:val="TableParagraph"/>
              <w:spacing w:before="63"/>
              <w:ind w:left="116" w:right="116"/>
              <w:jc w:val="center"/>
              <w:rPr>
                <w:sz w:val="16"/>
              </w:rPr>
            </w:pPr>
            <w:r>
              <w:rPr>
                <w:color w:val="231F20"/>
                <w:w w:val="85"/>
                <w:sz w:val="16"/>
              </w:rPr>
              <w:t>2008</w:t>
            </w:r>
          </w:p>
        </w:tc>
        <w:tc>
          <w:tcPr>
            <w:tcW w:w="1916" w:type="dxa"/>
          </w:tcPr>
          <w:p>
            <w:pPr>
              <w:pStyle w:val="TableParagraph"/>
              <w:spacing w:line="161" w:lineRule="exact"/>
              <w:ind w:left="157" w:right="157"/>
              <w:jc w:val="center"/>
              <w:rPr>
                <w:sz w:val="16"/>
              </w:rPr>
            </w:pPr>
            <w:r>
              <w:rPr>
                <w:color w:val="231F20"/>
                <w:w w:val="75"/>
                <w:sz w:val="16"/>
              </w:rPr>
              <w:t>Dirección General de Desarrollo</w:t>
            </w:r>
          </w:p>
          <w:p>
            <w:pPr>
              <w:pStyle w:val="TableParagraph"/>
              <w:spacing w:line="191" w:lineRule="exact"/>
              <w:ind w:left="157" w:right="157"/>
              <w:jc w:val="center"/>
              <w:rPr>
                <w:sz w:val="16"/>
              </w:rPr>
            </w:pPr>
            <w:r>
              <w:rPr>
                <w:color w:val="231F20"/>
                <w:w w:val="85"/>
                <w:sz w:val="16"/>
              </w:rPr>
              <w:t>Social</w:t>
            </w:r>
          </w:p>
        </w:tc>
        <w:tc>
          <w:tcPr>
            <w:tcW w:w="1073" w:type="dxa"/>
          </w:tcPr>
          <w:p>
            <w:pPr>
              <w:pStyle w:val="TableParagraph"/>
              <w:spacing w:line="161" w:lineRule="exact"/>
              <w:ind w:left="72" w:right="69"/>
              <w:jc w:val="center"/>
              <w:rPr>
                <w:sz w:val="16"/>
              </w:rPr>
            </w:pPr>
            <w:r>
              <w:rPr>
                <w:color w:val="231F20"/>
                <w:w w:val="75"/>
                <w:sz w:val="16"/>
              </w:rPr>
              <w:t>Oscar Fernández</w:t>
            </w:r>
          </w:p>
          <w:p>
            <w:pPr>
              <w:pStyle w:val="TableParagraph"/>
              <w:spacing w:line="191" w:lineRule="exact"/>
              <w:ind w:left="71" w:right="69"/>
              <w:jc w:val="center"/>
              <w:rPr>
                <w:sz w:val="16"/>
              </w:rPr>
            </w:pPr>
            <w:r>
              <w:rPr>
                <w:color w:val="231F20"/>
                <w:w w:val="85"/>
                <w:sz w:val="16"/>
              </w:rPr>
              <w:t>Luque</w:t>
            </w:r>
          </w:p>
        </w:tc>
      </w:tr>
      <w:tr>
        <w:trPr>
          <w:trHeight w:val="322" w:hRule="exact"/>
        </w:trPr>
        <w:tc>
          <w:tcPr>
            <w:tcW w:w="609" w:type="dxa"/>
          </w:tcPr>
          <w:p>
            <w:pPr>
              <w:pStyle w:val="TableParagraph"/>
              <w:spacing w:before="63"/>
              <w:ind w:left="141" w:right="141"/>
              <w:jc w:val="center"/>
              <w:rPr>
                <w:sz w:val="16"/>
              </w:rPr>
            </w:pPr>
            <w:r>
              <w:rPr>
                <w:color w:val="231F20"/>
                <w:w w:val="85"/>
                <w:sz w:val="16"/>
              </w:rPr>
              <w:t>2007</w:t>
            </w:r>
          </w:p>
        </w:tc>
        <w:tc>
          <w:tcPr>
            <w:tcW w:w="1995" w:type="dxa"/>
          </w:tcPr>
          <w:p>
            <w:pPr>
              <w:pStyle w:val="TableParagraph"/>
              <w:spacing w:line="161" w:lineRule="exact"/>
              <w:ind w:left="197" w:right="197"/>
              <w:jc w:val="center"/>
              <w:rPr>
                <w:sz w:val="16"/>
              </w:rPr>
            </w:pPr>
            <w:r>
              <w:rPr>
                <w:color w:val="231F20"/>
                <w:w w:val="75"/>
                <w:sz w:val="16"/>
              </w:rPr>
              <w:t>Dirección General de Servicios</w:t>
            </w:r>
          </w:p>
          <w:p>
            <w:pPr>
              <w:pStyle w:val="TableParagraph"/>
              <w:spacing w:line="191" w:lineRule="exact"/>
              <w:ind w:left="197" w:right="197"/>
              <w:jc w:val="center"/>
              <w:rPr>
                <w:sz w:val="16"/>
              </w:rPr>
            </w:pPr>
            <w:r>
              <w:rPr>
                <w:color w:val="231F20"/>
                <w:w w:val="85"/>
                <w:sz w:val="16"/>
              </w:rPr>
              <w:t>Públicos</w:t>
            </w:r>
          </w:p>
        </w:tc>
        <w:tc>
          <w:tcPr>
            <w:tcW w:w="1773" w:type="dxa"/>
          </w:tcPr>
          <w:p>
            <w:pPr>
              <w:pStyle w:val="TableParagraph"/>
              <w:spacing w:before="63"/>
              <w:ind w:left="162" w:right="162"/>
              <w:jc w:val="center"/>
              <w:rPr>
                <w:sz w:val="16"/>
              </w:rPr>
            </w:pPr>
            <w:r>
              <w:rPr>
                <w:color w:val="231F20"/>
                <w:w w:val="75"/>
                <w:sz w:val="16"/>
              </w:rPr>
              <w:t>Jesús Cedillo Valdez</w:t>
            </w:r>
          </w:p>
        </w:tc>
        <w:tc>
          <w:tcPr>
            <w:tcW w:w="561" w:type="dxa"/>
          </w:tcPr>
          <w:p>
            <w:pPr>
              <w:pStyle w:val="TableParagraph"/>
              <w:spacing w:before="63"/>
              <w:ind w:left="116" w:right="116"/>
              <w:jc w:val="center"/>
              <w:rPr>
                <w:sz w:val="16"/>
              </w:rPr>
            </w:pPr>
            <w:r>
              <w:rPr>
                <w:color w:val="231F20"/>
                <w:w w:val="85"/>
                <w:sz w:val="16"/>
              </w:rPr>
              <w:t>2008</w:t>
            </w:r>
          </w:p>
        </w:tc>
        <w:tc>
          <w:tcPr>
            <w:tcW w:w="1916" w:type="dxa"/>
          </w:tcPr>
          <w:p>
            <w:pPr>
              <w:pStyle w:val="TableParagraph"/>
              <w:spacing w:line="161" w:lineRule="exact"/>
              <w:ind w:left="157" w:right="156"/>
              <w:jc w:val="center"/>
              <w:rPr>
                <w:sz w:val="16"/>
              </w:rPr>
            </w:pPr>
            <w:r>
              <w:rPr>
                <w:color w:val="231F20"/>
                <w:w w:val="75"/>
                <w:sz w:val="16"/>
              </w:rPr>
              <w:t>Dirección General de Servicios</w:t>
            </w:r>
          </w:p>
          <w:p>
            <w:pPr>
              <w:pStyle w:val="TableParagraph"/>
              <w:spacing w:line="191" w:lineRule="exact"/>
              <w:ind w:left="157" w:right="157"/>
              <w:jc w:val="center"/>
              <w:rPr>
                <w:sz w:val="16"/>
              </w:rPr>
            </w:pPr>
            <w:r>
              <w:rPr>
                <w:color w:val="231F20"/>
                <w:w w:val="85"/>
                <w:sz w:val="16"/>
              </w:rPr>
              <w:t>Públicos</w:t>
            </w:r>
          </w:p>
        </w:tc>
        <w:tc>
          <w:tcPr>
            <w:tcW w:w="1073" w:type="dxa"/>
          </w:tcPr>
          <w:p>
            <w:pPr>
              <w:pStyle w:val="TableParagraph"/>
              <w:spacing w:line="161" w:lineRule="exact"/>
              <w:ind w:left="345" w:hanging="87"/>
              <w:rPr>
                <w:sz w:val="16"/>
              </w:rPr>
            </w:pPr>
            <w:r>
              <w:rPr>
                <w:color w:val="231F20"/>
                <w:w w:val="80"/>
                <w:sz w:val="16"/>
              </w:rPr>
              <w:t>Luis Juárez</w:t>
            </w:r>
          </w:p>
          <w:p>
            <w:pPr>
              <w:pStyle w:val="TableParagraph"/>
              <w:spacing w:line="191" w:lineRule="exact"/>
              <w:ind w:left="345"/>
              <w:rPr>
                <w:sz w:val="16"/>
              </w:rPr>
            </w:pPr>
            <w:r>
              <w:rPr>
                <w:color w:val="231F20"/>
                <w:w w:val="85"/>
                <w:sz w:val="16"/>
              </w:rPr>
              <w:t>Muciño</w:t>
            </w:r>
          </w:p>
        </w:tc>
      </w:tr>
      <w:tr>
        <w:trPr>
          <w:trHeight w:val="514" w:hRule="exact"/>
        </w:trPr>
        <w:tc>
          <w:tcPr>
            <w:tcW w:w="609" w:type="dxa"/>
          </w:tcPr>
          <w:p>
            <w:pPr>
              <w:pStyle w:val="TableParagraph"/>
              <w:spacing w:before="10"/>
              <w:ind w:left="0"/>
              <w:rPr>
                <w:rFonts w:ascii="Times New Roman"/>
                <w:b/>
                <w:sz w:val="13"/>
              </w:rPr>
            </w:pPr>
          </w:p>
          <w:p>
            <w:pPr>
              <w:pStyle w:val="TableParagraph"/>
              <w:ind w:left="141" w:right="141"/>
              <w:jc w:val="center"/>
              <w:rPr>
                <w:sz w:val="16"/>
              </w:rPr>
            </w:pPr>
            <w:r>
              <w:rPr>
                <w:color w:val="231F20"/>
                <w:w w:val="85"/>
                <w:sz w:val="16"/>
              </w:rPr>
              <w:t>2007</w:t>
            </w:r>
          </w:p>
        </w:tc>
        <w:tc>
          <w:tcPr>
            <w:tcW w:w="1995" w:type="dxa"/>
          </w:tcPr>
          <w:p>
            <w:pPr>
              <w:pStyle w:val="TableParagraph"/>
              <w:spacing w:line="192" w:lineRule="exact" w:before="62"/>
              <w:ind w:left="544" w:hanging="338"/>
              <w:rPr>
                <w:sz w:val="16"/>
              </w:rPr>
            </w:pPr>
            <w:r>
              <w:rPr>
                <w:color w:val="231F20"/>
                <w:w w:val="75"/>
                <w:sz w:val="16"/>
              </w:rPr>
              <w:t>Dirección General de Desarrollo Urbano y Ecología</w:t>
            </w:r>
          </w:p>
        </w:tc>
        <w:tc>
          <w:tcPr>
            <w:tcW w:w="1773" w:type="dxa"/>
          </w:tcPr>
          <w:p>
            <w:pPr>
              <w:pStyle w:val="TableParagraph"/>
              <w:spacing w:before="10"/>
              <w:ind w:left="0"/>
              <w:rPr>
                <w:rFonts w:ascii="Times New Roman"/>
                <w:b/>
                <w:sz w:val="13"/>
              </w:rPr>
            </w:pPr>
          </w:p>
          <w:p>
            <w:pPr>
              <w:pStyle w:val="TableParagraph"/>
              <w:ind w:left="163" w:right="162"/>
              <w:jc w:val="center"/>
              <w:rPr>
                <w:sz w:val="16"/>
              </w:rPr>
            </w:pPr>
            <w:r>
              <w:rPr>
                <w:color w:val="231F20"/>
                <w:w w:val="75"/>
                <w:sz w:val="16"/>
              </w:rPr>
              <w:t>Víctor Colorado Reyes</w:t>
            </w:r>
          </w:p>
        </w:tc>
        <w:tc>
          <w:tcPr>
            <w:tcW w:w="561" w:type="dxa"/>
          </w:tcPr>
          <w:p>
            <w:pPr>
              <w:pStyle w:val="TableParagraph"/>
              <w:spacing w:before="10"/>
              <w:ind w:left="0"/>
              <w:rPr>
                <w:rFonts w:ascii="Times New Roman"/>
                <w:b/>
                <w:sz w:val="13"/>
              </w:rPr>
            </w:pPr>
          </w:p>
          <w:p>
            <w:pPr>
              <w:pStyle w:val="TableParagraph"/>
              <w:ind w:left="117" w:right="116"/>
              <w:jc w:val="center"/>
              <w:rPr>
                <w:sz w:val="16"/>
              </w:rPr>
            </w:pPr>
            <w:r>
              <w:rPr>
                <w:color w:val="231F20"/>
                <w:w w:val="85"/>
                <w:sz w:val="16"/>
              </w:rPr>
              <w:t>2008</w:t>
            </w:r>
          </w:p>
        </w:tc>
        <w:tc>
          <w:tcPr>
            <w:tcW w:w="1916" w:type="dxa"/>
          </w:tcPr>
          <w:p>
            <w:pPr>
              <w:pStyle w:val="TableParagraph"/>
              <w:spacing w:line="161" w:lineRule="exact"/>
              <w:ind w:left="125" w:right="120" w:firstLine="41"/>
              <w:rPr>
                <w:sz w:val="16"/>
              </w:rPr>
            </w:pPr>
            <w:r>
              <w:rPr>
                <w:color w:val="231F20"/>
                <w:w w:val="75"/>
                <w:sz w:val="16"/>
              </w:rPr>
              <w:t>Dirección General de Desarrollo</w:t>
            </w:r>
          </w:p>
          <w:p>
            <w:pPr>
              <w:pStyle w:val="TableParagraph"/>
              <w:spacing w:line="235" w:lineRule="auto" w:before="1"/>
              <w:ind w:left="744" w:right="120" w:hanging="620"/>
              <w:rPr>
                <w:sz w:val="16"/>
              </w:rPr>
            </w:pPr>
            <w:r>
              <w:rPr>
                <w:color w:val="231F20"/>
                <w:w w:val="75"/>
                <w:sz w:val="16"/>
              </w:rPr>
              <w:t>Urbano, Medio Ambiente y Obras </w:t>
            </w:r>
            <w:r>
              <w:rPr>
                <w:color w:val="231F20"/>
                <w:w w:val="85"/>
                <w:sz w:val="16"/>
              </w:rPr>
              <w:t>Públicas</w:t>
            </w:r>
          </w:p>
        </w:tc>
        <w:tc>
          <w:tcPr>
            <w:tcW w:w="1073" w:type="dxa"/>
          </w:tcPr>
          <w:p>
            <w:pPr>
              <w:pStyle w:val="TableParagraph"/>
              <w:spacing w:line="192" w:lineRule="exact" w:before="62"/>
              <w:ind w:left="387" w:right="134" w:hanging="241"/>
              <w:rPr>
                <w:sz w:val="16"/>
              </w:rPr>
            </w:pPr>
            <w:r>
              <w:rPr>
                <w:color w:val="231F20"/>
                <w:w w:val="75"/>
                <w:sz w:val="16"/>
              </w:rPr>
              <w:t>Víctor Colorado </w:t>
            </w:r>
            <w:r>
              <w:rPr>
                <w:color w:val="231F20"/>
                <w:w w:val="85"/>
                <w:sz w:val="16"/>
              </w:rPr>
              <w:t>Reyes</w:t>
            </w:r>
          </w:p>
        </w:tc>
      </w:tr>
      <w:tr>
        <w:trPr>
          <w:trHeight w:val="322" w:hRule="exact"/>
        </w:trPr>
        <w:tc>
          <w:tcPr>
            <w:tcW w:w="609" w:type="dxa"/>
          </w:tcPr>
          <w:p>
            <w:pPr>
              <w:pStyle w:val="TableParagraph"/>
              <w:spacing w:before="64"/>
              <w:ind w:left="141" w:right="141"/>
              <w:jc w:val="center"/>
              <w:rPr>
                <w:sz w:val="16"/>
              </w:rPr>
            </w:pPr>
            <w:r>
              <w:rPr>
                <w:color w:val="231F20"/>
                <w:w w:val="85"/>
                <w:sz w:val="16"/>
              </w:rPr>
              <w:t>2007</w:t>
            </w:r>
          </w:p>
        </w:tc>
        <w:tc>
          <w:tcPr>
            <w:tcW w:w="1995" w:type="dxa"/>
          </w:tcPr>
          <w:p>
            <w:pPr>
              <w:pStyle w:val="TableParagraph"/>
              <w:spacing w:before="64"/>
              <w:ind w:left="197" w:right="197"/>
              <w:jc w:val="center"/>
              <w:rPr>
                <w:sz w:val="16"/>
              </w:rPr>
            </w:pPr>
            <w:r>
              <w:rPr>
                <w:color w:val="231F20"/>
                <w:w w:val="75"/>
                <w:sz w:val="16"/>
              </w:rPr>
              <w:t>Dirección General de Obras</w:t>
            </w:r>
          </w:p>
        </w:tc>
        <w:tc>
          <w:tcPr>
            <w:tcW w:w="1773" w:type="dxa"/>
          </w:tcPr>
          <w:p>
            <w:pPr>
              <w:pStyle w:val="TableParagraph"/>
              <w:spacing w:before="64"/>
              <w:ind w:left="162" w:right="162"/>
              <w:jc w:val="center"/>
              <w:rPr>
                <w:sz w:val="16"/>
              </w:rPr>
            </w:pPr>
            <w:r>
              <w:rPr>
                <w:color w:val="231F20"/>
                <w:w w:val="75"/>
                <w:sz w:val="16"/>
              </w:rPr>
              <w:t>Inocente Nava García</w:t>
            </w:r>
          </w:p>
        </w:tc>
        <w:tc>
          <w:tcPr>
            <w:tcW w:w="561" w:type="dxa"/>
          </w:tcPr>
          <w:p>
            <w:pPr>
              <w:pStyle w:val="TableParagraph"/>
              <w:spacing w:before="64"/>
              <w:ind w:left="116" w:right="116"/>
              <w:jc w:val="center"/>
              <w:rPr>
                <w:sz w:val="16"/>
              </w:rPr>
            </w:pPr>
            <w:r>
              <w:rPr>
                <w:color w:val="231F20"/>
                <w:w w:val="85"/>
                <w:sz w:val="16"/>
              </w:rPr>
              <w:t>2008</w:t>
            </w:r>
          </w:p>
        </w:tc>
        <w:tc>
          <w:tcPr>
            <w:tcW w:w="1916" w:type="dxa"/>
          </w:tcPr>
          <w:p>
            <w:pPr>
              <w:pStyle w:val="TableParagraph"/>
              <w:spacing w:line="162" w:lineRule="exact"/>
              <w:ind w:left="157" w:right="157"/>
              <w:jc w:val="center"/>
              <w:rPr>
                <w:sz w:val="16"/>
              </w:rPr>
            </w:pPr>
            <w:r>
              <w:rPr>
                <w:color w:val="231F20"/>
                <w:w w:val="75"/>
                <w:sz w:val="16"/>
              </w:rPr>
              <w:t>Dirección General de Desarrollo</w:t>
            </w:r>
          </w:p>
          <w:p>
            <w:pPr>
              <w:pStyle w:val="TableParagraph"/>
              <w:spacing w:line="190" w:lineRule="exact"/>
              <w:ind w:left="157" w:right="156"/>
              <w:jc w:val="center"/>
              <w:rPr>
                <w:sz w:val="16"/>
              </w:rPr>
            </w:pPr>
            <w:r>
              <w:rPr>
                <w:color w:val="231F20"/>
                <w:w w:val="85"/>
                <w:sz w:val="16"/>
              </w:rPr>
              <w:t>Económico</w:t>
            </w:r>
          </w:p>
        </w:tc>
        <w:tc>
          <w:tcPr>
            <w:tcW w:w="1073" w:type="dxa"/>
          </w:tcPr>
          <w:p>
            <w:pPr>
              <w:pStyle w:val="TableParagraph"/>
              <w:spacing w:line="162" w:lineRule="exact"/>
              <w:ind w:left="71" w:right="69"/>
              <w:jc w:val="center"/>
              <w:rPr>
                <w:sz w:val="16"/>
              </w:rPr>
            </w:pPr>
            <w:r>
              <w:rPr>
                <w:color w:val="231F20"/>
                <w:w w:val="80"/>
                <w:sz w:val="16"/>
              </w:rPr>
              <w:t>Abel Huitrón de</w:t>
            </w:r>
          </w:p>
          <w:p>
            <w:pPr>
              <w:pStyle w:val="TableParagraph"/>
              <w:spacing w:line="190" w:lineRule="exact"/>
              <w:ind w:left="69" w:right="69"/>
              <w:jc w:val="center"/>
              <w:rPr>
                <w:sz w:val="16"/>
              </w:rPr>
            </w:pPr>
            <w:r>
              <w:rPr>
                <w:color w:val="231F20"/>
                <w:w w:val="85"/>
                <w:sz w:val="16"/>
              </w:rPr>
              <w:t>Velasco</w:t>
            </w:r>
          </w:p>
        </w:tc>
      </w:tr>
      <w:tr>
        <w:trPr>
          <w:trHeight w:val="322" w:hRule="exact"/>
        </w:trPr>
        <w:tc>
          <w:tcPr>
            <w:tcW w:w="609" w:type="dxa"/>
          </w:tcPr>
          <w:p>
            <w:pPr>
              <w:pStyle w:val="TableParagraph"/>
              <w:spacing w:before="64"/>
              <w:ind w:left="141" w:right="141"/>
              <w:jc w:val="center"/>
              <w:rPr>
                <w:sz w:val="16"/>
              </w:rPr>
            </w:pPr>
            <w:r>
              <w:rPr>
                <w:color w:val="231F20"/>
                <w:w w:val="85"/>
                <w:sz w:val="16"/>
              </w:rPr>
              <w:t>2007</w:t>
            </w:r>
          </w:p>
        </w:tc>
        <w:tc>
          <w:tcPr>
            <w:tcW w:w="1995" w:type="dxa"/>
          </w:tcPr>
          <w:p>
            <w:pPr>
              <w:pStyle w:val="TableParagraph"/>
              <w:spacing w:before="64"/>
              <w:ind w:left="197" w:right="195"/>
              <w:jc w:val="center"/>
              <w:rPr>
                <w:sz w:val="16"/>
              </w:rPr>
            </w:pPr>
            <w:r>
              <w:rPr>
                <w:color w:val="231F20"/>
                <w:w w:val="75"/>
                <w:sz w:val="16"/>
              </w:rPr>
              <w:t>Secretaría Particular</w:t>
            </w:r>
          </w:p>
        </w:tc>
        <w:tc>
          <w:tcPr>
            <w:tcW w:w="1773" w:type="dxa"/>
          </w:tcPr>
          <w:p>
            <w:pPr>
              <w:pStyle w:val="TableParagraph"/>
              <w:spacing w:before="64"/>
              <w:ind w:left="162" w:right="162"/>
              <w:jc w:val="center"/>
              <w:rPr>
                <w:sz w:val="16"/>
              </w:rPr>
            </w:pPr>
            <w:r>
              <w:rPr>
                <w:color w:val="231F20"/>
                <w:w w:val="75"/>
                <w:sz w:val="16"/>
              </w:rPr>
              <w:t>Adrián Germán Ávila García</w:t>
            </w:r>
          </w:p>
        </w:tc>
        <w:tc>
          <w:tcPr>
            <w:tcW w:w="561" w:type="dxa"/>
          </w:tcPr>
          <w:p>
            <w:pPr>
              <w:pStyle w:val="TableParagraph"/>
              <w:spacing w:before="64"/>
              <w:ind w:left="116" w:right="116"/>
              <w:jc w:val="center"/>
              <w:rPr>
                <w:sz w:val="16"/>
              </w:rPr>
            </w:pPr>
            <w:r>
              <w:rPr>
                <w:color w:val="231F20"/>
                <w:w w:val="85"/>
                <w:sz w:val="16"/>
              </w:rPr>
              <w:t>2008</w:t>
            </w:r>
          </w:p>
        </w:tc>
        <w:tc>
          <w:tcPr>
            <w:tcW w:w="1916" w:type="dxa"/>
          </w:tcPr>
          <w:p>
            <w:pPr>
              <w:pStyle w:val="TableParagraph"/>
              <w:spacing w:before="64"/>
              <w:ind w:left="157" w:right="155"/>
              <w:jc w:val="center"/>
              <w:rPr>
                <w:sz w:val="16"/>
              </w:rPr>
            </w:pPr>
            <w:r>
              <w:rPr>
                <w:color w:val="231F20"/>
                <w:w w:val="75"/>
                <w:sz w:val="16"/>
              </w:rPr>
              <w:t>Secretaría Particular</w:t>
            </w:r>
          </w:p>
        </w:tc>
        <w:tc>
          <w:tcPr>
            <w:tcW w:w="1073" w:type="dxa"/>
          </w:tcPr>
          <w:p>
            <w:pPr>
              <w:pStyle w:val="TableParagraph"/>
              <w:spacing w:line="161" w:lineRule="exact"/>
              <w:ind w:left="239" w:hanging="87"/>
              <w:rPr>
                <w:sz w:val="16"/>
              </w:rPr>
            </w:pPr>
            <w:r>
              <w:rPr>
                <w:color w:val="231F20"/>
                <w:w w:val="75"/>
                <w:sz w:val="16"/>
              </w:rPr>
              <w:t>Adrián Germán</w:t>
            </w:r>
          </w:p>
          <w:p>
            <w:pPr>
              <w:pStyle w:val="TableParagraph"/>
              <w:spacing w:line="191" w:lineRule="exact"/>
              <w:ind w:left="239"/>
              <w:rPr>
                <w:sz w:val="16"/>
              </w:rPr>
            </w:pPr>
            <w:r>
              <w:rPr>
                <w:color w:val="231F20"/>
                <w:w w:val="75"/>
                <w:sz w:val="16"/>
              </w:rPr>
              <w:t>Ávila García</w:t>
            </w:r>
          </w:p>
        </w:tc>
      </w:tr>
      <w:tr>
        <w:trPr>
          <w:trHeight w:val="322" w:hRule="exact"/>
        </w:trPr>
        <w:tc>
          <w:tcPr>
            <w:tcW w:w="609" w:type="dxa"/>
          </w:tcPr>
          <w:p>
            <w:pPr>
              <w:pStyle w:val="TableParagraph"/>
              <w:spacing w:before="64"/>
              <w:ind w:left="141" w:right="141"/>
              <w:jc w:val="center"/>
              <w:rPr>
                <w:sz w:val="16"/>
              </w:rPr>
            </w:pPr>
            <w:r>
              <w:rPr>
                <w:color w:val="231F20"/>
                <w:w w:val="85"/>
                <w:sz w:val="16"/>
              </w:rPr>
              <w:t>2007</w:t>
            </w:r>
          </w:p>
        </w:tc>
        <w:tc>
          <w:tcPr>
            <w:tcW w:w="1995" w:type="dxa"/>
          </w:tcPr>
          <w:p>
            <w:pPr>
              <w:pStyle w:val="TableParagraph"/>
              <w:spacing w:before="64"/>
              <w:ind w:left="197" w:right="197"/>
              <w:jc w:val="center"/>
              <w:rPr>
                <w:sz w:val="16"/>
              </w:rPr>
            </w:pPr>
            <w:r>
              <w:rPr>
                <w:color w:val="231F20"/>
                <w:w w:val="75"/>
                <w:sz w:val="16"/>
              </w:rPr>
              <w:t>Secretaría del Ayuntamiento</w:t>
            </w:r>
          </w:p>
        </w:tc>
        <w:tc>
          <w:tcPr>
            <w:tcW w:w="1773" w:type="dxa"/>
          </w:tcPr>
          <w:p>
            <w:pPr>
              <w:pStyle w:val="TableParagraph"/>
              <w:spacing w:before="64"/>
              <w:ind w:left="164" w:right="162"/>
              <w:jc w:val="center"/>
              <w:rPr>
                <w:sz w:val="16"/>
              </w:rPr>
            </w:pPr>
            <w:r>
              <w:rPr>
                <w:color w:val="231F20"/>
                <w:w w:val="75"/>
                <w:sz w:val="16"/>
              </w:rPr>
              <w:t>Rodolfo Encampira Montoya</w:t>
            </w:r>
          </w:p>
        </w:tc>
        <w:tc>
          <w:tcPr>
            <w:tcW w:w="561" w:type="dxa"/>
          </w:tcPr>
          <w:p>
            <w:pPr>
              <w:pStyle w:val="TableParagraph"/>
              <w:spacing w:before="64"/>
              <w:ind w:left="116" w:right="116"/>
              <w:jc w:val="center"/>
              <w:rPr>
                <w:sz w:val="16"/>
              </w:rPr>
            </w:pPr>
            <w:r>
              <w:rPr>
                <w:color w:val="231F20"/>
                <w:w w:val="85"/>
                <w:sz w:val="16"/>
              </w:rPr>
              <w:t>2008</w:t>
            </w:r>
          </w:p>
        </w:tc>
        <w:tc>
          <w:tcPr>
            <w:tcW w:w="1916" w:type="dxa"/>
          </w:tcPr>
          <w:p>
            <w:pPr>
              <w:pStyle w:val="TableParagraph"/>
              <w:spacing w:before="64"/>
              <w:ind w:left="157" w:right="157"/>
              <w:jc w:val="center"/>
              <w:rPr>
                <w:sz w:val="16"/>
              </w:rPr>
            </w:pPr>
            <w:r>
              <w:rPr>
                <w:color w:val="231F20"/>
                <w:w w:val="75"/>
                <w:sz w:val="16"/>
              </w:rPr>
              <w:t>Secretaría del Ayuntamiento</w:t>
            </w:r>
          </w:p>
        </w:tc>
        <w:tc>
          <w:tcPr>
            <w:tcW w:w="1073" w:type="dxa"/>
          </w:tcPr>
          <w:p>
            <w:pPr>
              <w:pStyle w:val="TableParagraph"/>
              <w:spacing w:line="162" w:lineRule="exact"/>
              <w:ind w:left="197" w:hanging="66"/>
              <w:rPr>
                <w:sz w:val="16"/>
              </w:rPr>
            </w:pPr>
            <w:r>
              <w:rPr>
                <w:color w:val="231F20"/>
                <w:w w:val="75"/>
                <w:sz w:val="16"/>
              </w:rPr>
              <w:t>Rodolfo Encam-</w:t>
            </w:r>
          </w:p>
          <w:p>
            <w:pPr>
              <w:pStyle w:val="TableParagraph"/>
              <w:spacing w:line="190" w:lineRule="exact"/>
              <w:ind w:left="197"/>
              <w:rPr>
                <w:sz w:val="16"/>
              </w:rPr>
            </w:pPr>
            <w:r>
              <w:rPr>
                <w:color w:val="231F20"/>
                <w:w w:val="75"/>
                <w:sz w:val="16"/>
              </w:rPr>
              <w:t>pira Montoya</w:t>
            </w:r>
          </w:p>
        </w:tc>
      </w:tr>
      <w:tr>
        <w:trPr>
          <w:trHeight w:val="322" w:hRule="exact"/>
        </w:trPr>
        <w:tc>
          <w:tcPr>
            <w:tcW w:w="609" w:type="dxa"/>
          </w:tcPr>
          <w:p>
            <w:pPr>
              <w:pStyle w:val="TableParagraph"/>
              <w:spacing w:before="64"/>
              <w:ind w:left="141" w:right="141"/>
              <w:jc w:val="center"/>
              <w:rPr>
                <w:sz w:val="16"/>
              </w:rPr>
            </w:pPr>
            <w:r>
              <w:rPr>
                <w:color w:val="231F20"/>
                <w:w w:val="85"/>
                <w:sz w:val="16"/>
              </w:rPr>
              <w:t>2007</w:t>
            </w:r>
          </w:p>
        </w:tc>
        <w:tc>
          <w:tcPr>
            <w:tcW w:w="1995" w:type="dxa"/>
          </w:tcPr>
          <w:p>
            <w:pPr>
              <w:pStyle w:val="TableParagraph"/>
              <w:spacing w:before="64"/>
              <w:ind w:left="197" w:right="197"/>
              <w:jc w:val="center"/>
              <w:rPr>
                <w:sz w:val="16"/>
              </w:rPr>
            </w:pPr>
            <w:r>
              <w:rPr>
                <w:color w:val="231F20"/>
                <w:w w:val="75"/>
                <w:sz w:val="16"/>
              </w:rPr>
              <w:t>Secretaría Técnica</w:t>
            </w:r>
          </w:p>
        </w:tc>
        <w:tc>
          <w:tcPr>
            <w:tcW w:w="1773" w:type="dxa"/>
          </w:tcPr>
          <w:p>
            <w:pPr>
              <w:pStyle w:val="TableParagraph"/>
              <w:spacing w:before="64"/>
              <w:ind w:left="164" w:right="162"/>
              <w:jc w:val="center"/>
              <w:rPr>
                <w:sz w:val="16"/>
              </w:rPr>
            </w:pPr>
            <w:r>
              <w:rPr>
                <w:color w:val="231F20"/>
                <w:w w:val="75"/>
                <w:sz w:val="16"/>
              </w:rPr>
              <w:t>Justino Antonio Mondragón</w:t>
            </w:r>
          </w:p>
        </w:tc>
        <w:tc>
          <w:tcPr>
            <w:tcW w:w="561" w:type="dxa"/>
          </w:tcPr>
          <w:p>
            <w:pPr>
              <w:pStyle w:val="TableParagraph"/>
              <w:spacing w:before="64"/>
              <w:ind w:left="116" w:right="116"/>
              <w:jc w:val="center"/>
              <w:rPr>
                <w:sz w:val="16"/>
              </w:rPr>
            </w:pPr>
            <w:r>
              <w:rPr>
                <w:color w:val="231F20"/>
                <w:w w:val="85"/>
                <w:sz w:val="16"/>
              </w:rPr>
              <w:t>2008</w:t>
            </w:r>
          </w:p>
        </w:tc>
        <w:tc>
          <w:tcPr>
            <w:tcW w:w="1916" w:type="dxa"/>
          </w:tcPr>
          <w:p>
            <w:pPr>
              <w:pStyle w:val="TableParagraph"/>
              <w:spacing w:before="64"/>
              <w:ind w:left="157" w:right="157"/>
              <w:jc w:val="center"/>
              <w:rPr>
                <w:sz w:val="16"/>
              </w:rPr>
            </w:pPr>
            <w:r>
              <w:rPr>
                <w:color w:val="231F20"/>
                <w:w w:val="75"/>
                <w:sz w:val="16"/>
              </w:rPr>
              <w:t>Secretaría Técnica</w:t>
            </w:r>
          </w:p>
        </w:tc>
        <w:tc>
          <w:tcPr>
            <w:tcW w:w="1073" w:type="dxa"/>
          </w:tcPr>
          <w:p>
            <w:pPr>
              <w:pStyle w:val="TableParagraph"/>
              <w:spacing w:line="161" w:lineRule="exact"/>
              <w:ind w:left="221" w:hanging="84"/>
              <w:rPr>
                <w:sz w:val="16"/>
              </w:rPr>
            </w:pPr>
            <w:r>
              <w:rPr>
                <w:color w:val="231F20"/>
                <w:w w:val="75"/>
                <w:sz w:val="16"/>
              </w:rPr>
              <w:t>Justino Antonio</w:t>
            </w:r>
          </w:p>
          <w:p>
            <w:pPr>
              <w:pStyle w:val="TableParagraph"/>
              <w:spacing w:line="191" w:lineRule="exact"/>
              <w:ind w:left="221"/>
              <w:rPr>
                <w:sz w:val="16"/>
              </w:rPr>
            </w:pPr>
            <w:r>
              <w:rPr>
                <w:color w:val="231F20"/>
                <w:w w:val="85"/>
                <w:sz w:val="16"/>
              </w:rPr>
              <w:t>Mondragón.</w:t>
            </w:r>
          </w:p>
        </w:tc>
      </w:tr>
    </w:tbl>
    <w:p>
      <w:pPr>
        <w:pStyle w:val="BodyText"/>
        <w:spacing w:before="5"/>
        <w:rPr>
          <w:b/>
          <w:sz w:val="7"/>
        </w:rPr>
      </w:pPr>
    </w:p>
    <w:p>
      <w:pPr>
        <w:spacing w:before="74"/>
        <w:ind w:left="5319" w:right="-2" w:firstLine="0"/>
        <w:jc w:val="left"/>
        <w:rPr>
          <w:rFonts w:ascii="Calibri"/>
          <w:sz w:val="16"/>
        </w:rPr>
      </w:pPr>
      <w:r>
        <w:rPr>
          <w:rFonts w:ascii="Calibri"/>
          <w:color w:val="231F20"/>
          <w:w w:val="95"/>
          <w:sz w:val="16"/>
        </w:rPr>
        <w:t>Fuente: (FUENTES, 2007), (FUENTES, 2008a)</w:t>
      </w:r>
    </w:p>
    <w:p>
      <w:pPr>
        <w:spacing w:after="0"/>
        <w:jc w:val="left"/>
        <w:rPr>
          <w:rFonts w:ascii="Calibri"/>
          <w:sz w:val="16"/>
        </w:rPr>
        <w:sectPr>
          <w:pgSz w:w="9640" w:h="12190"/>
          <w:pgMar w:header="0" w:footer="743" w:top="1120" w:bottom="940" w:left="740" w:right="74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Heading2"/>
        <w:spacing w:line="367" w:lineRule="auto" w:before="144"/>
        <w:ind w:left="2128" w:right="378" w:hanging="1558"/>
        <w:jc w:val="left"/>
      </w:pPr>
      <w:r>
        <w:rPr>
          <w:color w:val="231F20"/>
          <w:w w:val="105"/>
        </w:rPr>
        <w:t>La</w:t>
      </w:r>
      <w:r>
        <w:rPr>
          <w:color w:val="231F20"/>
          <w:spacing w:val="-29"/>
          <w:w w:val="105"/>
        </w:rPr>
        <w:t> </w:t>
      </w:r>
      <w:r>
        <w:rPr>
          <w:color w:val="231F20"/>
          <w:w w:val="105"/>
        </w:rPr>
        <w:t>tradición</w:t>
      </w:r>
      <w:r>
        <w:rPr>
          <w:color w:val="231F20"/>
          <w:spacing w:val="-29"/>
          <w:w w:val="105"/>
        </w:rPr>
        <w:t> </w:t>
      </w:r>
      <w:r>
        <w:rPr>
          <w:color w:val="231F20"/>
          <w:w w:val="105"/>
        </w:rPr>
        <w:t>partidista</w:t>
      </w:r>
      <w:r>
        <w:rPr>
          <w:color w:val="231F20"/>
          <w:spacing w:val="-29"/>
          <w:w w:val="105"/>
        </w:rPr>
        <w:t> </w:t>
      </w:r>
      <w:r>
        <w:rPr>
          <w:color w:val="231F20"/>
          <w:w w:val="105"/>
        </w:rPr>
        <w:t>en</w:t>
      </w:r>
      <w:r>
        <w:rPr>
          <w:color w:val="231F20"/>
          <w:spacing w:val="-29"/>
          <w:w w:val="105"/>
        </w:rPr>
        <w:t> </w:t>
      </w:r>
      <w:r>
        <w:rPr>
          <w:color w:val="231F20"/>
          <w:spacing w:val="-3"/>
          <w:w w:val="105"/>
        </w:rPr>
        <w:t>los</w:t>
      </w:r>
      <w:r>
        <w:rPr>
          <w:color w:val="231F20"/>
          <w:spacing w:val="-29"/>
          <w:w w:val="105"/>
        </w:rPr>
        <w:t> </w:t>
      </w:r>
      <w:r>
        <w:rPr>
          <w:color w:val="231F20"/>
          <w:spacing w:val="-4"/>
          <w:w w:val="105"/>
        </w:rPr>
        <w:t>gobiernos</w:t>
      </w:r>
      <w:r>
        <w:rPr>
          <w:color w:val="231F20"/>
          <w:spacing w:val="-29"/>
          <w:w w:val="105"/>
        </w:rPr>
        <w:t> </w:t>
      </w:r>
      <w:r>
        <w:rPr>
          <w:color w:val="231F20"/>
          <w:w w:val="105"/>
        </w:rPr>
        <w:t>locales: el</w:t>
      </w:r>
      <w:r>
        <w:rPr>
          <w:color w:val="231F20"/>
          <w:spacing w:val="-28"/>
          <w:w w:val="105"/>
        </w:rPr>
        <w:t> </w:t>
      </w:r>
      <w:r>
        <w:rPr>
          <w:color w:val="231F20"/>
          <w:w w:val="105"/>
        </w:rPr>
        <w:t>PRI</w:t>
      </w:r>
      <w:r>
        <w:rPr>
          <w:color w:val="231F20"/>
          <w:spacing w:val="-28"/>
          <w:w w:val="105"/>
        </w:rPr>
        <w:t> </w:t>
      </w:r>
      <w:r>
        <w:rPr>
          <w:color w:val="231F20"/>
          <w:w w:val="105"/>
        </w:rPr>
        <w:t>en</w:t>
      </w:r>
      <w:r>
        <w:rPr>
          <w:color w:val="231F20"/>
          <w:spacing w:val="-28"/>
          <w:w w:val="105"/>
        </w:rPr>
        <w:t> </w:t>
      </w:r>
      <w:r>
        <w:rPr>
          <w:color w:val="231F20"/>
          <w:w w:val="105"/>
        </w:rPr>
        <w:t>Ixtapan</w:t>
      </w:r>
      <w:r>
        <w:rPr>
          <w:color w:val="231F20"/>
          <w:spacing w:val="-28"/>
          <w:w w:val="105"/>
        </w:rPr>
        <w:t> </w:t>
      </w:r>
      <w:r>
        <w:rPr>
          <w:color w:val="231F20"/>
          <w:spacing w:val="-3"/>
          <w:w w:val="105"/>
        </w:rPr>
        <w:t>de</w:t>
      </w:r>
      <w:r>
        <w:rPr>
          <w:color w:val="231F20"/>
          <w:spacing w:val="-28"/>
          <w:w w:val="105"/>
        </w:rPr>
        <w:t> </w:t>
      </w:r>
      <w:r>
        <w:rPr>
          <w:color w:val="231F20"/>
          <w:w w:val="105"/>
        </w:rPr>
        <w:t>la</w:t>
      </w:r>
      <w:r>
        <w:rPr>
          <w:color w:val="231F20"/>
          <w:spacing w:val="-28"/>
          <w:w w:val="105"/>
        </w:rPr>
        <w:t> </w:t>
      </w:r>
      <w:r>
        <w:rPr>
          <w:color w:val="231F20"/>
          <w:w w:val="105"/>
        </w:rPr>
        <w:t>Sal</w:t>
      </w:r>
    </w:p>
    <w:p>
      <w:pPr>
        <w:pStyle w:val="BodyText"/>
        <w:spacing w:before="121"/>
        <w:ind w:left="5981" w:right="-2"/>
      </w:pPr>
      <w:r>
        <w:rPr>
          <w:color w:val="231F20"/>
          <w:w w:val="105"/>
        </w:rPr>
        <w:t>Cintya López Anzúrez</w:t>
      </w:r>
    </w:p>
    <w:p>
      <w:pPr>
        <w:pStyle w:val="BodyText"/>
        <w:spacing w:before="10"/>
        <w:rPr>
          <w:sz w:val="26"/>
        </w:rPr>
      </w:pPr>
    </w:p>
    <w:p>
      <w:pPr>
        <w:pStyle w:val="Heading3"/>
      </w:pPr>
      <w:r>
        <w:rPr>
          <w:color w:val="231F20"/>
          <w:w w:val="105"/>
        </w:rPr>
        <w:t>Introducción</w:t>
      </w:r>
    </w:p>
    <w:p>
      <w:pPr>
        <w:pStyle w:val="BodyText"/>
        <w:spacing w:line="285" w:lineRule="auto" w:before="38"/>
        <w:ind w:left="110" w:right="107"/>
        <w:jc w:val="both"/>
      </w:pPr>
      <w:r>
        <w:rPr>
          <w:color w:val="231F20"/>
          <w:spacing w:val="2"/>
          <w:w w:val="106"/>
        </w:rPr>
        <w:t>H</w:t>
      </w:r>
      <w:r>
        <w:rPr>
          <w:color w:val="231F20"/>
          <w:spacing w:val="-1"/>
          <w:w w:val="116"/>
        </w:rPr>
        <w:t>i</w:t>
      </w:r>
      <w:r>
        <w:rPr>
          <w:color w:val="231F20"/>
          <w:spacing w:val="-5"/>
          <w:w w:val="118"/>
        </w:rPr>
        <w:t>s</w:t>
      </w:r>
      <w:r>
        <w:rPr>
          <w:color w:val="231F20"/>
          <w:spacing w:val="-5"/>
          <w:w w:val="203"/>
        </w:rPr>
        <w:t>t</w:t>
      </w:r>
      <w:r>
        <w:rPr>
          <w:color w:val="231F20"/>
          <w:spacing w:val="-6"/>
          <w:w w:val="142"/>
        </w:rPr>
        <w:t>ó</w:t>
      </w:r>
      <w:r>
        <w:rPr>
          <w:color w:val="231F20"/>
          <w:spacing w:val="1"/>
          <w:w w:val="142"/>
        </w:rPr>
        <w:t>r</w:t>
      </w:r>
      <w:r>
        <w:rPr>
          <w:color w:val="231F20"/>
          <w:spacing w:val="-6"/>
          <w:w w:val="123"/>
        </w:rPr>
        <w:t>i</w:t>
      </w:r>
      <w:r>
        <w:rPr>
          <w:color w:val="231F20"/>
          <w:spacing w:val="-2"/>
          <w:w w:val="123"/>
        </w:rPr>
        <w:t>c</w:t>
      </w:r>
      <w:r>
        <w:rPr>
          <w:color w:val="231F20"/>
          <w:spacing w:val="4"/>
          <w:w w:val="133"/>
        </w:rPr>
        <w:t>a</w:t>
      </w:r>
      <w:r>
        <w:rPr>
          <w:color w:val="231F20"/>
          <w:spacing w:val="1"/>
          <w:w w:val="98"/>
        </w:rPr>
        <w:t>m</w:t>
      </w:r>
      <w:r>
        <w:rPr>
          <w:color w:val="231F20"/>
          <w:spacing w:val="-2"/>
          <w:w w:val="112"/>
        </w:rPr>
        <w:t>e</w:t>
      </w:r>
      <w:r>
        <w:rPr>
          <w:color w:val="231F20"/>
          <w:spacing w:val="1"/>
          <w:w w:val="129"/>
        </w:rPr>
        <w:t>n</w:t>
      </w:r>
      <w:r>
        <w:rPr>
          <w:color w:val="231F20"/>
          <w:w w:val="203"/>
        </w:rPr>
        <w:t>t</w:t>
      </w:r>
      <w:r>
        <w:rPr>
          <w:color w:val="231F20"/>
          <w:spacing w:val="1"/>
          <w:w w:val="112"/>
        </w:rPr>
        <w:t>e</w:t>
      </w:r>
      <w:r>
        <w:rPr>
          <w:color w:val="231F20"/>
          <w:w w:val="91"/>
        </w:rPr>
        <w:t>,</w:t>
      </w:r>
      <w:r>
        <w:rPr>
          <w:color w:val="231F20"/>
          <w:spacing w:val="14"/>
        </w:rPr>
        <w:t> </w:t>
      </w:r>
      <w:r>
        <w:rPr>
          <w:color w:val="231F20"/>
          <w:spacing w:val="-2"/>
          <w:w w:val="112"/>
        </w:rPr>
        <w:t>e</w:t>
      </w:r>
      <w:r>
        <w:rPr>
          <w:color w:val="231F20"/>
          <w:w w:val="129"/>
        </w:rPr>
        <w:t>n</w:t>
      </w:r>
      <w:r>
        <w:rPr>
          <w:color w:val="231F20"/>
          <w:spacing w:val="14"/>
        </w:rPr>
        <w:t> </w:t>
      </w:r>
      <w:r>
        <w:rPr>
          <w:color w:val="231F20"/>
          <w:spacing w:val="2"/>
          <w:w w:val="104"/>
        </w:rPr>
        <w:t>M</w:t>
      </w:r>
      <w:r>
        <w:rPr>
          <w:color w:val="231F20"/>
          <w:spacing w:val="-1"/>
          <w:w w:val="112"/>
        </w:rPr>
        <w:t>é</w:t>
      </w:r>
      <w:r>
        <w:rPr>
          <w:color w:val="231F20"/>
          <w:spacing w:val="1"/>
          <w:w w:val="117"/>
        </w:rPr>
        <w:t>x</w:t>
      </w:r>
      <w:r>
        <w:rPr>
          <w:color w:val="231F20"/>
          <w:spacing w:val="-6"/>
          <w:w w:val="123"/>
        </w:rPr>
        <w:t>i</w:t>
      </w:r>
      <w:r>
        <w:rPr>
          <w:color w:val="231F20"/>
          <w:spacing w:val="-2"/>
          <w:w w:val="123"/>
        </w:rPr>
        <w:t>c</w:t>
      </w:r>
      <w:r>
        <w:rPr>
          <w:color w:val="231F20"/>
          <w:w w:val="127"/>
        </w:rPr>
        <w:t>o</w:t>
      </w:r>
      <w:r>
        <w:rPr>
          <w:color w:val="231F20"/>
          <w:spacing w:val="14"/>
        </w:rPr>
        <w:t> </w:t>
      </w:r>
      <w:r>
        <w:rPr>
          <w:color w:val="231F20"/>
          <w:spacing w:val="1"/>
          <w:w w:val="175"/>
        </w:rPr>
        <w:t>l</w:t>
      </w:r>
      <w:r>
        <w:rPr>
          <w:color w:val="231F20"/>
          <w:w w:val="133"/>
        </w:rPr>
        <w:t>a</w:t>
      </w:r>
      <w:r>
        <w:rPr>
          <w:color w:val="231F20"/>
          <w:spacing w:val="14"/>
        </w:rPr>
        <w:t> </w:t>
      </w:r>
      <w:r>
        <w:rPr>
          <w:color w:val="231F20"/>
          <w:spacing w:val="-1"/>
          <w:w w:val="203"/>
        </w:rPr>
        <w:t>t</w:t>
      </w:r>
      <w:r>
        <w:rPr>
          <w:color w:val="231F20"/>
          <w:spacing w:val="3"/>
          <w:w w:val="165"/>
        </w:rPr>
        <w:t>r</w:t>
      </w:r>
      <w:r>
        <w:rPr>
          <w:color w:val="231F20"/>
          <w:spacing w:val="2"/>
          <w:w w:val="133"/>
        </w:rPr>
        <w:t>a</w:t>
      </w:r>
      <w:r>
        <w:rPr>
          <w:color w:val="231F20"/>
          <w:spacing w:val="-7"/>
          <w:w w:val="123"/>
        </w:rPr>
        <w:t>d</w:t>
      </w:r>
      <w:r>
        <w:rPr>
          <w:color w:val="231F20"/>
          <w:spacing w:val="-6"/>
          <w:w w:val="123"/>
        </w:rPr>
        <w:t>i</w:t>
      </w:r>
      <w:r>
        <w:rPr>
          <w:color w:val="231F20"/>
          <w:spacing w:val="-1"/>
          <w:w w:val="123"/>
        </w:rPr>
        <w:t>c</w:t>
      </w:r>
      <w:r>
        <w:rPr>
          <w:color w:val="231F20"/>
          <w:spacing w:val="-6"/>
          <w:w w:val="125"/>
        </w:rPr>
        <w:t>ió</w:t>
      </w:r>
      <w:r>
        <w:rPr>
          <w:color w:val="231F20"/>
          <w:w w:val="125"/>
        </w:rPr>
        <w:t>n</w:t>
      </w:r>
      <w:r>
        <w:rPr>
          <w:color w:val="231F20"/>
          <w:spacing w:val="14"/>
        </w:rPr>
        <w:t> </w:t>
      </w:r>
      <w:r>
        <w:rPr>
          <w:color w:val="231F20"/>
          <w:spacing w:val="-7"/>
          <w:w w:val="123"/>
        </w:rPr>
        <w:t>d</w:t>
      </w:r>
      <w:r>
        <w:rPr>
          <w:color w:val="231F20"/>
          <w:w w:val="112"/>
        </w:rPr>
        <w:t>e</w:t>
      </w:r>
      <w:r>
        <w:rPr>
          <w:color w:val="231F20"/>
          <w:spacing w:val="-7"/>
          <w:w w:val="98"/>
        </w:rPr>
        <w:t>m</w:t>
      </w:r>
      <w:r>
        <w:rPr>
          <w:color w:val="231F20"/>
          <w:spacing w:val="-1"/>
          <w:w w:val="127"/>
        </w:rPr>
        <w:t>o</w:t>
      </w:r>
      <w:r>
        <w:rPr>
          <w:color w:val="231F20"/>
          <w:spacing w:val="-1"/>
          <w:w w:val="127"/>
        </w:rPr>
        <w:t>c</w:t>
      </w:r>
      <w:r>
        <w:rPr>
          <w:color w:val="231F20"/>
          <w:spacing w:val="3"/>
          <w:w w:val="165"/>
        </w:rPr>
        <w:t>r</w:t>
      </w:r>
      <w:r>
        <w:rPr>
          <w:color w:val="231F20"/>
          <w:spacing w:val="-10"/>
          <w:w w:val="133"/>
        </w:rPr>
        <w:t>á</w:t>
      </w:r>
      <w:r>
        <w:rPr>
          <w:color w:val="231F20"/>
          <w:spacing w:val="-1"/>
          <w:w w:val="203"/>
        </w:rPr>
        <w:t>t</w:t>
      </w:r>
      <w:r>
        <w:rPr>
          <w:color w:val="231F20"/>
          <w:spacing w:val="-6"/>
          <w:w w:val="123"/>
        </w:rPr>
        <w:t>i</w:t>
      </w:r>
      <w:r>
        <w:rPr>
          <w:color w:val="231F20"/>
          <w:spacing w:val="-2"/>
          <w:w w:val="123"/>
        </w:rPr>
        <w:t>c</w:t>
      </w:r>
      <w:r>
        <w:rPr>
          <w:color w:val="231F20"/>
          <w:w w:val="133"/>
        </w:rPr>
        <w:t>a</w:t>
      </w:r>
      <w:r>
        <w:rPr>
          <w:color w:val="231F20"/>
          <w:spacing w:val="15"/>
        </w:rPr>
        <w:t> </w:t>
      </w:r>
      <w:r>
        <w:rPr>
          <w:color w:val="231F20"/>
          <w:spacing w:val="1"/>
          <w:w w:val="102"/>
        </w:rPr>
        <w:t>e</w:t>
      </w:r>
      <w:r>
        <w:rPr>
          <w:color w:val="231F20"/>
          <w:w w:val="99"/>
        </w:rPr>
        <w:t>s</w:t>
      </w:r>
      <w:r>
        <w:rPr>
          <w:color w:val="231F20"/>
          <w:spacing w:val="3"/>
          <w:w w:val="119"/>
        </w:rPr>
        <w:t>t</w:t>
      </w:r>
      <w:r>
        <w:rPr>
          <w:color w:val="231F20"/>
          <w:w w:val="102"/>
        </w:rPr>
        <w:t>á</w:t>
      </w:r>
      <w:r>
        <w:rPr>
          <w:color w:val="231F20"/>
          <w:spacing w:val="14"/>
        </w:rPr>
        <w:t> </w:t>
      </w:r>
      <w:r>
        <w:rPr>
          <w:color w:val="231F20"/>
          <w:spacing w:val="-3"/>
          <w:w w:val="107"/>
        </w:rPr>
        <w:t>r</w:t>
      </w:r>
      <w:r>
        <w:rPr>
          <w:color w:val="231F20"/>
          <w:spacing w:val="-2"/>
          <w:w w:val="107"/>
        </w:rPr>
        <w:t>e</w:t>
      </w:r>
      <w:r>
        <w:rPr>
          <w:color w:val="231F20"/>
          <w:w w:val="93"/>
        </w:rPr>
        <w:t>l</w:t>
      </w:r>
      <w:r>
        <w:rPr>
          <w:color w:val="231F20"/>
          <w:spacing w:val="-3"/>
          <w:w w:val="102"/>
        </w:rPr>
        <w:t>a</w:t>
      </w:r>
      <w:r>
        <w:rPr>
          <w:color w:val="231F20"/>
          <w:w w:val="102"/>
        </w:rPr>
        <w:t>c</w:t>
      </w:r>
      <w:r>
        <w:rPr>
          <w:color w:val="231F20"/>
          <w:spacing w:val="-3"/>
          <w:w w:val="105"/>
        </w:rPr>
        <w:t>io</w:t>
      </w:r>
      <w:r>
        <w:rPr>
          <w:color w:val="231F20"/>
          <w:spacing w:val="1"/>
          <w:w w:val="105"/>
        </w:rPr>
        <w:t>n</w:t>
      </w:r>
      <w:r>
        <w:rPr>
          <w:color w:val="231F20"/>
          <w:spacing w:val="-3"/>
          <w:w w:val="102"/>
        </w:rPr>
        <w:t>a</w:t>
      </w:r>
      <w:r>
        <w:rPr>
          <w:color w:val="231F20"/>
          <w:w w:val="107"/>
        </w:rPr>
        <w:t>d</w:t>
      </w:r>
      <w:r>
        <w:rPr>
          <w:color w:val="231F20"/>
          <w:w w:val="102"/>
        </w:rPr>
        <w:t>a</w:t>
      </w:r>
      <w:r>
        <w:rPr>
          <w:color w:val="231F20"/>
          <w:spacing w:val="14"/>
        </w:rPr>
        <w:t> </w:t>
      </w:r>
      <w:r>
        <w:rPr>
          <w:color w:val="231F20"/>
          <w:spacing w:val="-1"/>
          <w:w w:val="102"/>
        </w:rPr>
        <w:t>c</w:t>
      </w:r>
      <w:r>
        <w:rPr>
          <w:color w:val="231F20"/>
          <w:spacing w:val="-3"/>
          <w:w w:val="108"/>
        </w:rPr>
        <w:t>o</w:t>
      </w:r>
      <w:r>
        <w:rPr>
          <w:color w:val="231F20"/>
          <w:w w:val="108"/>
        </w:rPr>
        <w:t>n</w:t>
      </w:r>
      <w:r>
        <w:rPr>
          <w:color w:val="231F20"/>
          <w:spacing w:val="14"/>
        </w:rPr>
        <w:t> </w:t>
      </w:r>
      <w:r>
        <w:rPr>
          <w:color w:val="231F20"/>
          <w:spacing w:val="-2"/>
          <w:w w:val="102"/>
        </w:rPr>
        <w:t>e</w:t>
      </w:r>
      <w:r>
        <w:rPr>
          <w:color w:val="231F20"/>
          <w:w w:val="93"/>
        </w:rPr>
        <w:t>l </w:t>
      </w:r>
      <w:r>
        <w:rPr>
          <w:color w:val="231F20"/>
          <w:w w:val="105"/>
        </w:rPr>
        <w:t>desarrollo de los partidos políticos porque antes de la llegada de un sistema electoral competitivo, los gobiernos (nacional y locales) se caracterizaron por prácticas </w:t>
      </w:r>
      <w:r>
        <w:rPr>
          <w:color w:val="231F20"/>
          <w:spacing w:val="-3"/>
          <w:w w:val="105"/>
        </w:rPr>
        <w:t>autori- </w:t>
      </w:r>
      <w:r>
        <w:rPr>
          <w:color w:val="231F20"/>
          <w:w w:val="105"/>
        </w:rPr>
        <w:t>tarias con el objetivo de que el Partido Revolucionario Institucional lograra el control social</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comunidades</w:t>
      </w:r>
      <w:r>
        <w:rPr>
          <w:color w:val="231F20"/>
          <w:spacing w:val="-14"/>
          <w:w w:val="105"/>
        </w:rPr>
        <w:t> </w:t>
      </w:r>
      <w:r>
        <w:rPr>
          <w:color w:val="231F20"/>
          <w:spacing w:val="-7"/>
          <w:w w:val="105"/>
        </w:rPr>
        <w:t>y,</w:t>
      </w:r>
      <w:r>
        <w:rPr>
          <w:color w:val="231F20"/>
          <w:spacing w:val="-14"/>
          <w:w w:val="105"/>
        </w:rPr>
        <w:t> </w:t>
      </w:r>
      <w:r>
        <w:rPr>
          <w:color w:val="231F20"/>
          <w:w w:val="105"/>
        </w:rPr>
        <w:t>de</w:t>
      </w:r>
      <w:r>
        <w:rPr>
          <w:color w:val="231F20"/>
          <w:spacing w:val="-14"/>
          <w:w w:val="105"/>
        </w:rPr>
        <w:t> </w:t>
      </w:r>
      <w:r>
        <w:rPr>
          <w:color w:val="231F20"/>
          <w:w w:val="105"/>
        </w:rPr>
        <w:t>esta</w:t>
      </w:r>
      <w:r>
        <w:rPr>
          <w:color w:val="231F20"/>
          <w:spacing w:val="-14"/>
          <w:w w:val="105"/>
        </w:rPr>
        <w:t> </w:t>
      </w:r>
      <w:r>
        <w:rPr>
          <w:color w:val="231F20"/>
          <w:w w:val="105"/>
        </w:rPr>
        <w:t>manera,</w:t>
      </w:r>
      <w:r>
        <w:rPr>
          <w:color w:val="231F20"/>
          <w:spacing w:val="-14"/>
          <w:w w:val="105"/>
        </w:rPr>
        <w:t> </w:t>
      </w:r>
      <w:r>
        <w:rPr>
          <w:color w:val="231F20"/>
          <w:w w:val="105"/>
        </w:rPr>
        <w:t>asegurar</w:t>
      </w:r>
      <w:r>
        <w:rPr>
          <w:color w:val="231F20"/>
          <w:spacing w:val="-14"/>
          <w:w w:val="105"/>
        </w:rPr>
        <w:t> </w:t>
      </w:r>
      <w:r>
        <w:rPr>
          <w:color w:val="231F20"/>
          <w:w w:val="105"/>
        </w:rPr>
        <w:t>su</w:t>
      </w:r>
      <w:r>
        <w:rPr>
          <w:color w:val="231F20"/>
          <w:spacing w:val="-14"/>
          <w:w w:val="105"/>
        </w:rPr>
        <w:t> </w:t>
      </w:r>
      <w:r>
        <w:rPr>
          <w:color w:val="231F20"/>
          <w:w w:val="105"/>
        </w:rPr>
        <w:t>hegemonía</w:t>
      </w:r>
      <w:r>
        <w:rPr>
          <w:color w:val="231F20"/>
          <w:spacing w:val="-14"/>
          <w:w w:val="105"/>
        </w:rPr>
        <w:t> </w:t>
      </w:r>
      <w:r>
        <w:rPr>
          <w:color w:val="231F20"/>
          <w:w w:val="105"/>
        </w:rPr>
        <w:t>política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país.</w:t>
      </w:r>
    </w:p>
    <w:p>
      <w:pPr>
        <w:pStyle w:val="BodyText"/>
        <w:spacing w:before="1"/>
        <w:rPr>
          <w:sz w:val="26"/>
        </w:rPr>
      </w:pPr>
    </w:p>
    <w:p>
      <w:pPr>
        <w:pStyle w:val="BodyText"/>
        <w:spacing w:line="285" w:lineRule="auto"/>
        <w:ind w:left="110" w:right="107"/>
        <w:jc w:val="both"/>
      </w:pPr>
      <w:r>
        <w:rPr>
          <w:color w:val="231F20"/>
          <w:w w:val="105"/>
        </w:rPr>
        <w:t>A</w:t>
      </w:r>
      <w:r>
        <w:rPr>
          <w:color w:val="231F20"/>
          <w:spacing w:val="-19"/>
          <w:w w:val="105"/>
        </w:rPr>
        <w:t> </w:t>
      </w:r>
      <w:r>
        <w:rPr>
          <w:color w:val="231F20"/>
          <w:w w:val="105"/>
        </w:rPr>
        <w:t>medida</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espacios</w:t>
      </w:r>
      <w:r>
        <w:rPr>
          <w:color w:val="231F20"/>
          <w:spacing w:val="-19"/>
          <w:w w:val="105"/>
        </w:rPr>
        <w:t> </w:t>
      </w:r>
      <w:r>
        <w:rPr>
          <w:color w:val="231F20"/>
          <w:w w:val="105"/>
        </w:rPr>
        <w:t>locales</w:t>
      </w:r>
      <w:r>
        <w:rPr>
          <w:color w:val="231F20"/>
          <w:spacing w:val="-19"/>
          <w:w w:val="105"/>
        </w:rPr>
        <w:t> </w:t>
      </w:r>
      <w:r>
        <w:rPr>
          <w:color w:val="231F20"/>
          <w:w w:val="105"/>
        </w:rPr>
        <w:t>experimentaron</w:t>
      </w:r>
      <w:r>
        <w:rPr>
          <w:color w:val="231F20"/>
          <w:spacing w:val="-19"/>
          <w:w w:val="105"/>
        </w:rPr>
        <w:t> </w:t>
      </w:r>
      <w:r>
        <w:rPr>
          <w:color w:val="231F20"/>
          <w:w w:val="105"/>
        </w:rPr>
        <w:t>la</w:t>
      </w:r>
      <w:r>
        <w:rPr>
          <w:color w:val="231F20"/>
          <w:spacing w:val="-19"/>
          <w:w w:val="105"/>
        </w:rPr>
        <w:t> </w:t>
      </w:r>
      <w:r>
        <w:rPr>
          <w:color w:val="231F20"/>
          <w:w w:val="105"/>
        </w:rPr>
        <w:t>alternancia</w:t>
      </w:r>
      <w:r>
        <w:rPr>
          <w:color w:val="231F20"/>
          <w:spacing w:val="-19"/>
          <w:w w:val="105"/>
        </w:rPr>
        <w:t> </w:t>
      </w:r>
      <w:r>
        <w:rPr>
          <w:color w:val="231F20"/>
          <w:w w:val="105"/>
        </w:rPr>
        <w:t>electoral,</w:t>
      </w:r>
      <w:r>
        <w:rPr>
          <w:color w:val="231F20"/>
          <w:spacing w:val="-19"/>
          <w:w w:val="105"/>
        </w:rPr>
        <w:t> </w:t>
      </w:r>
      <w:r>
        <w:rPr>
          <w:color w:val="231F20"/>
          <w:w w:val="105"/>
        </w:rPr>
        <w:t>otras</w:t>
      </w:r>
      <w:r>
        <w:rPr>
          <w:color w:val="231F20"/>
          <w:spacing w:val="-19"/>
          <w:w w:val="105"/>
        </w:rPr>
        <w:t> </w:t>
      </w:r>
      <w:r>
        <w:rPr>
          <w:color w:val="231F20"/>
          <w:w w:val="105"/>
        </w:rPr>
        <w:t>fuerzas como el Partido Acción Nacional y el Partido de la </w:t>
      </w:r>
      <w:r>
        <w:rPr>
          <w:color w:val="231F20"/>
          <w:spacing w:val="-3"/>
          <w:w w:val="105"/>
        </w:rPr>
        <w:t>Revolución </w:t>
      </w:r>
      <w:r>
        <w:rPr>
          <w:color w:val="231F20"/>
          <w:w w:val="105"/>
        </w:rPr>
        <w:t>Democrática lograron acceder</w:t>
      </w:r>
      <w:r>
        <w:rPr>
          <w:color w:val="231F20"/>
          <w:spacing w:val="-18"/>
          <w:w w:val="105"/>
        </w:rPr>
        <w:t> </w:t>
      </w:r>
      <w:r>
        <w:rPr>
          <w:color w:val="231F20"/>
          <w:spacing w:val="2"/>
          <w:w w:val="105"/>
        </w:rPr>
        <w:t>al</w:t>
      </w:r>
      <w:r>
        <w:rPr>
          <w:color w:val="231F20"/>
          <w:spacing w:val="-18"/>
          <w:w w:val="105"/>
        </w:rPr>
        <w:t> </w:t>
      </w:r>
      <w:r>
        <w:rPr>
          <w:color w:val="231F20"/>
          <w:w w:val="105"/>
        </w:rPr>
        <w:t>poder</w:t>
      </w:r>
      <w:r>
        <w:rPr>
          <w:color w:val="231F20"/>
          <w:spacing w:val="-18"/>
          <w:w w:val="105"/>
        </w:rPr>
        <w:t> </w:t>
      </w:r>
      <w:r>
        <w:rPr>
          <w:color w:val="231F20"/>
          <w:w w:val="105"/>
        </w:rPr>
        <w:t>público</w:t>
      </w:r>
      <w:r>
        <w:rPr>
          <w:color w:val="231F20"/>
          <w:spacing w:val="-18"/>
          <w:w w:val="105"/>
        </w:rPr>
        <w:t> </w:t>
      </w:r>
      <w:r>
        <w:rPr>
          <w:color w:val="231F20"/>
          <w:w w:val="105"/>
        </w:rPr>
        <w:t>y</w:t>
      </w:r>
      <w:r>
        <w:rPr>
          <w:color w:val="231F20"/>
          <w:spacing w:val="-18"/>
          <w:w w:val="105"/>
        </w:rPr>
        <w:t> </w:t>
      </w:r>
      <w:r>
        <w:rPr>
          <w:color w:val="231F20"/>
          <w:w w:val="105"/>
        </w:rPr>
        <w:t>demostrar</w:t>
      </w:r>
      <w:r>
        <w:rPr>
          <w:color w:val="231F20"/>
          <w:spacing w:val="-18"/>
          <w:w w:val="105"/>
        </w:rPr>
        <w:t> </w:t>
      </w:r>
      <w:r>
        <w:rPr>
          <w:color w:val="231F20"/>
          <w:w w:val="105"/>
        </w:rPr>
        <w:t>nuevas</w:t>
      </w:r>
      <w:r>
        <w:rPr>
          <w:color w:val="231F20"/>
          <w:spacing w:val="-18"/>
          <w:w w:val="105"/>
        </w:rPr>
        <w:t> </w:t>
      </w:r>
      <w:r>
        <w:rPr>
          <w:color w:val="231F20"/>
          <w:w w:val="105"/>
        </w:rPr>
        <w:t>formas</w:t>
      </w:r>
      <w:r>
        <w:rPr>
          <w:color w:val="231F20"/>
          <w:spacing w:val="-18"/>
          <w:w w:val="105"/>
        </w:rPr>
        <w:t> </w:t>
      </w:r>
      <w:r>
        <w:rPr>
          <w:color w:val="231F20"/>
          <w:w w:val="105"/>
        </w:rPr>
        <w:t>de</w:t>
      </w:r>
      <w:r>
        <w:rPr>
          <w:color w:val="231F20"/>
          <w:spacing w:val="-18"/>
          <w:w w:val="105"/>
        </w:rPr>
        <w:t> </w:t>
      </w:r>
      <w:r>
        <w:rPr>
          <w:color w:val="231F20"/>
          <w:w w:val="105"/>
        </w:rPr>
        <w:t>conducir</w:t>
      </w:r>
      <w:r>
        <w:rPr>
          <w:color w:val="231F20"/>
          <w:spacing w:val="-18"/>
          <w:w w:val="105"/>
        </w:rPr>
        <w:t> </w:t>
      </w:r>
      <w:r>
        <w:rPr>
          <w:color w:val="231F20"/>
          <w:w w:val="105"/>
        </w:rPr>
        <w:t>el</w:t>
      </w:r>
      <w:r>
        <w:rPr>
          <w:color w:val="231F20"/>
          <w:spacing w:val="-18"/>
          <w:w w:val="105"/>
        </w:rPr>
        <w:t> </w:t>
      </w:r>
      <w:r>
        <w:rPr>
          <w:color w:val="231F20"/>
          <w:w w:val="105"/>
        </w:rPr>
        <w:t>aparato</w:t>
      </w:r>
      <w:r>
        <w:rPr>
          <w:color w:val="231F20"/>
          <w:spacing w:val="-18"/>
          <w:w w:val="105"/>
        </w:rPr>
        <w:t> </w:t>
      </w:r>
      <w:r>
        <w:rPr>
          <w:color w:val="231F20"/>
          <w:w w:val="105"/>
        </w:rPr>
        <w:t>de</w:t>
      </w:r>
      <w:r>
        <w:rPr>
          <w:color w:val="231F20"/>
          <w:spacing w:val="-18"/>
          <w:w w:val="105"/>
        </w:rPr>
        <w:t> </w:t>
      </w:r>
      <w:r>
        <w:rPr>
          <w:color w:val="231F20"/>
          <w:w w:val="105"/>
        </w:rPr>
        <w:t>gobierno, agudizando</w:t>
      </w:r>
      <w:r>
        <w:rPr>
          <w:color w:val="231F20"/>
          <w:spacing w:val="-12"/>
          <w:w w:val="105"/>
        </w:rPr>
        <w:t> </w:t>
      </w:r>
      <w:r>
        <w:rPr>
          <w:color w:val="231F20"/>
          <w:w w:val="105"/>
        </w:rPr>
        <w:t>el</w:t>
      </w:r>
      <w:r>
        <w:rPr>
          <w:color w:val="231F20"/>
          <w:spacing w:val="-12"/>
          <w:w w:val="105"/>
        </w:rPr>
        <w:t> </w:t>
      </w:r>
      <w:r>
        <w:rPr>
          <w:color w:val="231F20"/>
          <w:w w:val="105"/>
        </w:rPr>
        <w:t>declive</w:t>
      </w:r>
      <w:r>
        <w:rPr>
          <w:color w:val="231F20"/>
          <w:spacing w:val="-12"/>
          <w:w w:val="105"/>
        </w:rPr>
        <w:t> </w:t>
      </w:r>
      <w:r>
        <w:rPr>
          <w:color w:val="231F20"/>
          <w:w w:val="105"/>
        </w:rPr>
        <w:t>tanto</w:t>
      </w:r>
      <w:r>
        <w:rPr>
          <w:color w:val="231F20"/>
          <w:spacing w:val="-12"/>
          <w:w w:val="105"/>
        </w:rPr>
        <w:t> </w:t>
      </w:r>
      <w:r>
        <w:rPr>
          <w:color w:val="231F20"/>
          <w:w w:val="105"/>
        </w:rPr>
        <w:t>electoral</w:t>
      </w:r>
      <w:r>
        <w:rPr>
          <w:color w:val="231F20"/>
          <w:spacing w:val="-12"/>
          <w:w w:val="105"/>
        </w:rPr>
        <w:t> </w:t>
      </w:r>
      <w:r>
        <w:rPr>
          <w:color w:val="231F20"/>
          <w:w w:val="105"/>
        </w:rPr>
        <w:t>como</w:t>
      </w:r>
      <w:r>
        <w:rPr>
          <w:color w:val="231F20"/>
          <w:spacing w:val="-12"/>
          <w:w w:val="105"/>
        </w:rPr>
        <w:t> </w:t>
      </w:r>
      <w:r>
        <w:rPr>
          <w:color w:val="231F20"/>
          <w:w w:val="105"/>
        </w:rPr>
        <w:t>político</w:t>
      </w:r>
      <w:r>
        <w:rPr>
          <w:color w:val="231F20"/>
          <w:spacing w:val="-12"/>
          <w:w w:val="105"/>
        </w:rPr>
        <w:t> </w:t>
      </w:r>
      <w:r>
        <w:rPr>
          <w:color w:val="231F20"/>
          <w:w w:val="105"/>
        </w:rPr>
        <w:t>del</w:t>
      </w:r>
      <w:r>
        <w:rPr>
          <w:color w:val="231F20"/>
          <w:spacing w:val="-12"/>
          <w:w w:val="105"/>
        </w:rPr>
        <w:t> </w:t>
      </w:r>
      <w:r>
        <w:rPr>
          <w:color w:val="231F20"/>
          <w:w w:val="105"/>
        </w:rPr>
        <w:t>PRI.</w:t>
      </w:r>
      <w:r>
        <w:rPr>
          <w:color w:val="231F20"/>
          <w:spacing w:val="-12"/>
          <w:w w:val="105"/>
        </w:rPr>
        <w:t> </w:t>
      </w:r>
      <w:r>
        <w:rPr>
          <w:color w:val="231F20"/>
          <w:w w:val="105"/>
        </w:rPr>
        <w:t>Del</w:t>
      </w:r>
      <w:r>
        <w:rPr>
          <w:color w:val="231F20"/>
          <w:spacing w:val="-12"/>
          <w:w w:val="105"/>
        </w:rPr>
        <w:t> </w:t>
      </w:r>
      <w:r>
        <w:rPr>
          <w:color w:val="231F20"/>
          <w:w w:val="105"/>
        </w:rPr>
        <w:t>dominio</w:t>
      </w:r>
      <w:r>
        <w:rPr>
          <w:color w:val="231F20"/>
          <w:spacing w:val="-12"/>
          <w:w w:val="105"/>
        </w:rPr>
        <w:t> </w:t>
      </w:r>
      <w:r>
        <w:rPr>
          <w:color w:val="231F20"/>
          <w:w w:val="105"/>
        </w:rPr>
        <w:t>que</w:t>
      </w:r>
      <w:r>
        <w:rPr>
          <w:color w:val="231F20"/>
          <w:spacing w:val="-12"/>
          <w:w w:val="105"/>
        </w:rPr>
        <w:t> </w:t>
      </w:r>
      <w:r>
        <w:rPr>
          <w:color w:val="231F20"/>
          <w:w w:val="105"/>
        </w:rPr>
        <w:t>ejerció</w:t>
      </w:r>
      <w:r>
        <w:rPr>
          <w:color w:val="231F20"/>
          <w:spacing w:val="-12"/>
          <w:w w:val="105"/>
        </w:rPr>
        <w:t> </w:t>
      </w:r>
      <w:r>
        <w:rPr>
          <w:color w:val="231F20"/>
          <w:w w:val="105"/>
        </w:rPr>
        <w:t>el priismo</w:t>
      </w:r>
      <w:r>
        <w:rPr>
          <w:color w:val="231F20"/>
          <w:spacing w:val="-5"/>
          <w:w w:val="105"/>
        </w:rPr>
        <w:t> </w:t>
      </w:r>
      <w:r>
        <w:rPr>
          <w:color w:val="231F20"/>
          <w:w w:val="105"/>
        </w:rPr>
        <w:t>en</w:t>
      </w:r>
      <w:r>
        <w:rPr>
          <w:color w:val="231F20"/>
          <w:spacing w:val="-5"/>
          <w:w w:val="105"/>
        </w:rPr>
        <w:t> </w:t>
      </w:r>
      <w:r>
        <w:rPr>
          <w:color w:val="231F20"/>
          <w:w w:val="105"/>
        </w:rPr>
        <w:t>todo</w:t>
      </w:r>
      <w:r>
        <w:rPr>
          <w:color w:val="231F20"/>
          <w:spacing w:val="-5"/>
          <w:w w:val="105"/>
        </w:rPr>
        <w:t> </w:t>
      </w:r>
      <w:r>
        <w:rPr>
          <w:color w:val="231F20"/>
          <w:w w:val="105"/>
        </w:rPr>
        <w:t>el</w:t>
      </w:r>
      <w:r>
        <w:rPr>
          <w:color w:val="231F20"/>
          <w:spacing w:val="-5"/>
          <w:w w:val="105"/>
        </w:rPr>
        <w:t> </w:t>
      </w:r>
      <w:r>
        <w:rPr>
          <w:color w:val="231F20"/>
          <w:w w:val="105"/>
        </w:rPr>
        <w:t>territorio</w:t>
      </w:r>
      <w:r>
        <w:rPr>
          <w:color w:val="231F20"/>
          <w:spacing w:val="-5"/>
          <w:w w:val="105"/>
        </w:rPr>
        <w:t> </w:t>
      </w:r>
      <w:r>
        <w:rPr>
          <w:color w:val="231F20"/>
          <w:w w:val="105"/>
        </w:rPr>
        <w:t>nacional,</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año</w:t>
      </w:r>
      <w:r>
        <w:rPr>
          <w:color w:val="231F20"/>
          <w:spacing w:val="-5"/>
          <w:w w:val="105"/>
        </w:rPr>
        <w:t> </w:t>
      </w:r>
      <w:r>
        <w:rPr>
          <w:color w:val="231F20"/>
          <w:spacing w:val="4"/>
          <w:w w:val="105"/>
        </w:rPr>
        <w:t>2000</w:t>
      </w:r>
      <w:r>
        <w:rPr>
          <w:color w:val="231F20"/>
          <w:spacing w:val="-5"/>
          <w:w w:val="105"/>
        </w:rPr>
        <w:t> </w:t>
      </w:r>
      <w:r>
        <w:rPr>
          <w:color w:val="231F20"/>
          <w:w w:val="105"/>
        </w:rPr>
        <w:t>sólo</w:t>
      </w:r>
      <w:r>
        <w:rPr>
          <w:color w:val="231F20"/>
          <w:spacing w:val="-5"/>
          <w:w w:val="105"/>
        </w:rPr>
        <w:t> </w:t>
      </w:r>
      <w:r>
        <w:rPr>
          <w:color w:val="231F20"/>
          <w:w w:val="105"/>
        </w:rPr>
        <w:t>pudo</w:t>
      </w:r>
      <w:r>
        <w:rPr>
          <w:color w:val="231F20"/>
          <w:spacing w:val="-5"/>
          <w:w w:val="105"/>
        </w:rPr>
        <w:t> </w:t>
      </w:r>
      <w:r>
        <w:rPr>
          <w:color w:val="231F20"/>
          <w:w w:val="105"/>
        </w:rPr>
        <w:t>mantener</w:t>
      </w:r>
      <w:r>
        <w:rPr>
          <w:color w:val="231F20"/>
          <w:spacing w:val="-5"/>
          <w:w w:val="105"/>
        </w:rPr>
        <w:t> </w:t>
      </w:r>
      <w:r>
        <w:rPr>
          <w:color w:val="231F20"/>
          <w:w w:val="105"/>
        </w:rPr>
        <w:t>un</w:t>
      </w:r>
      <w:r>
        <w:rPr>
          <w:color w:val="231F20"/>
          <w:spacing w:val="-5"/>
          <w:w w:val="105"/>
        </w:rPr>
        <w:t> </w:t>
      </w:r>
      <w:r>
        <w:rPr>
          <w:color w:val="231F20"/>
          <w:w w:val="105"/>
        </w:rPr>
        <w:t>poco</w:t>
      </w:r>
      <w:r>
        <w:rPr>
          <w:color w:val="231F20"/>
          <w:spacing w:val="-5"/>
          <w:w w:val="105"/>
        </w:rPr>
        <w:t> </w:t>
      </w:r>
      <w:r>
        <w:rPr>
          <w:color w:val="231F20"/>
          <w:w w:val="105"/>
        </w:rPr>
        <w:t>me- nos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mitad</w:t>
      </w:r>
      <w:r>
        <w:rPr>
          <w:color w:val="231F20"/>
          <w:spacing w:val="-9"/>
          <w:w w:val="105"/>
        </w:rPr>
        <w:t> </w:t>
      </w:r>
      <w:r>
        <w:rPr>
          <w:color w:val="231F20"/>
          <w:w w:val="105"/>
        </w:rPr>
        <w:t>de</w:t>
      </w:r>
      <w:r>
        <w:rPr>
          <w:color w:val="231F20"/>
          <w:spacing w:val="-9"/>
          <w:w w:val="105"/>
        </w:rPr>
        <w:t> </w:t>
      </w:r>
      <w:r>
        <w:rPr>
          <w:color w:val="231F20"/>
          <w:w w:val="105"/>
        </w:rPr>
        <w:t>gubernaturas</w:t>
      </w:r>
      <w:r>
        <w:rPr>
          <w:color w:val="231F20"/>
          <w:spacing w:val="-9"/>
          <w:w w:val="105"/>
        </w:rPr>
        <w:t> </w:t>
      </w:r>
      <w:r>
        <w:rPr>
          <w:color w:val="231F20"/>
          <w:w w:val="105"/>
        </w:rPr>
        <w:t>y</w:t>
      </w:r>
      <w:r>
        <w:rPr>
          <w:color w:val="231F20"/>
          <w:spacing w:val="-9"/>
          <w:w w:val="105"/>
        </w:rPr>
        <w:t> </w:t>
      </w:r>
      <w:r>
        <w:rPr>
          <w:color w:val="231F20"/>
          <w:w w:val="105"/>
        </w:rPr>
        <w:t>alcaldías.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8"/>
          <w:w w:val="105"/>
        </w:rPr>
        <w:t> </w:t>
      </w:r>
      <w:r>
        <w:rPr>
          <w:color w:val="231F20"/>
          <w:spacing w:val="-4"/>
          <w:w w:val="105"/>
        </w:rPr>
        <w:t>reciente</w:t>
      </w:r>
      <w:r>
        <w:rPr>
          <w:color w:val="231F20"/>
          <w:spacing w:val="-8"/>
          <w:w w:val="105"/>
        </w:rPr>
        <w:t> </w:t>
      </w:r>
      <w:r>
        <w:rPr>
          <w:color w:val="231F20"/>
          <w:w w:val="105"/>
        </w:rPr>
        <w:t>geografía</w:t>
      </w:r>
      <w:r>
        <w:rPr>
          <w:color w:val="231F20"/>
          <w:spacing w:val="-8"/>
          <w:w w:val="105"/>
        </w:rPr>
        <w:t> </w:t>
      </w:r>
      <w:r>
        <w:rPr>
          <w:color w:val="231F20"/>
          <w:w w:val="105"/>
        </w:rPr>
        <w:t>electoral</w:t>
      </w:r>
      <w:r>
        <w:rPr>
          <w:color w:val="231F20"/>
          <w:spacing w:val="-8"/>
          <w:w w:val="105"/>
        </w:rPr>
        <w:t> </w:t>
      </w:r>
      <w:r>
        <w:rPr>
          <w:color w:val="231F20"/>
          <w:w w:val="105"/>
        </w:rPr>
        <w:t>de</w:t>
      </w:r>
      <w:r>
        <w:rPr>
          <w:color w:val="231F20"/>
          <w:spacing w:val="-8"/>
          <w:w w:val="105"/>
        </w:rPr>
        <w:t> </w:t>
      </w:r>
      <w:r>
        <w:rPr>
          <w:color w:val="231F20"/>
          <w:spacing w:val="-3"/>
          <w:w w:val="105"/>
        </w:rPr>
        <w:t>los</w:t>
      </w:r>
      <w:r>
        <w:rPr>
          <w:color w:val="231F20"/>
          <w:spacing w:val="-8"/>
          <w:w w:val="105"/>
        </w:rPr>
        <w:t> </w:t>
      </w:r>
      <w:r>
        <w:rPr>
          <w:color w:val="231F20"/>
          <w:spacing w:val="-4"/>
          <w:w w:val="105"/>
        </w:rPr>
        <w:t>gobiernos</w:t>
      </w:r>
      <w:r>
        <w:rPr>
          <w:color w:val="231F20"/>
          <w:spacing w:val="-8"/>
          <w:w w:val="105"/>
        </w:rPr>
        <w:t> </w:t>
      </w:r>
      <w:r>
        <w:rPr>
          <w:color w:val="231F20"/>
          <w:w w:val="105"/>
        </w:rPr>
        <w:t>locales</w:t>
      </w:r>
      <w:r>
        <w:rPr>
          <w:color w:val="231F20"/>
          <w:spacing w:val="-8"/>
          <w:w w:val="105"/>
        </w:rPr>
        <w:t> </w:t>
      </w:r>
      <w:r>
        <w:rPr>
          <w:color w:val="231F20"/>
          <w:w w:val="105"/>
        </w:rPr>
        <w:t>así</w:t>
      </w:r>
      <w:r>
        <w:rPr>
          <w:color w:val="231F20"/>
          <w:spacing w:val="-8"/>
          <w:w w:val="105"/>
        </w:rPr>
        <w:t> </w:t>
      </w:r>
      <w:r>
        <w:rPr>
          <w:color w:val="231F20"/>
          <w:spacing w:val="-3"/>
          <w:w w:val="105"/>
        </w:rPr>
        <w:t>lo</w:t>
      </w:r>
      <w:r>
        <w:rPr>
          <w:color w:val="231F20"/>
          <w:spacing w:val="-8"/>
          <w:w w:val="105"/>
        </w:rPr>
        <w:t> </w:t>
      </w:r>
      <w:r>
        <w:rPr>
          <w:color w:val="231F20"/>
          <w:w w:val="105"/>
        </w:rPr>
        <w:t>confirma;</w:t>
      </w:r>
      <w:r>
        <w:rPr>
          <w:color w:val="231F20"/>
          <w:spacing w:val="-8"/>
          <w:w w:val="105"/>
        </w:rPr>
        <w:t> </w:t>
      </w:r>
      <w:r>
        <w:rPr>
          <w:color w:val="231F20"/>
          <w:w w:val="105"/>
        </w:rPr>
        <w:t>sin</w:t>
      </w:r>
      <w:r>
        <w:rPr>
          <w:color w:val="231F20"/>
          <w:spacing w:val="-8"/>
          <w:w w:val="105"/>
        </w:rPr>
        <w:t> </w:t>
      </w:r>
      <w:r>
        <w:rPr>
          <w:color w:val="231F20"/>
          <w:spacing w:val="-3"/>
          <w:w w:val="105"/>
        </w:rPr>
        <w:t>embargo,</w:t>
      </w:r>
      <w:r>
        <w:rPr>
          <w:color w:val="231F20"/>
          <w:spacing w:val="-8"/>
          <w:w w:val="105"/>
        </w:rPr>
        <w:t> </w:t>
      </w:r>
      <w:r>
        <w:rPr>
          <w:color w:val="231F20"/>
          <w:w w:val="105"/>
        </w:rPr>
        <w:t>en algunas</w:t>
      </w:r>
      <w:r>
        <w:rPr>
          <w:color w:val="231F20"/>
          <w:spacing w:val="-18"/>
          <w:w w:val="105"/>
        </w:rPr>
        <w:t> </w:t>
      </w:r>
      <w:r>
        <w:rPr>
          <w:color w:val="231F20"/>
          <w:spacing w:val="-3"/>
          <w:w w:val="105"/>
        </w:rPr>
        <w:t>regiones</w:t>
      </w:r>
      <w:r>
        <w:rPr>
          <w:color w:val="231F20"/>
          <w:spacing w:val="-18"/>
          <w:w w:val="105"/>
        </w:rPr>
        <w:t> </w:t>
      </w:r>
      <w:r>
        <w:rPr>
          <w:color w:val="231F20"/>
          <w:w w:val="105"/>
        </w:rPr>
        <w:t>el</w:t>
      </w:r>
      <w:r>
        <w:rPr>
          <w:color w:val="231F20"/>
          <w:spacing w:val="-18"/>
          <w:w w:val="105"/>
        </w:rPr>
        <w:t> </w:t>
      </w:r>
      <w:r>
        <w:rPr>
          <w:color w:val="231F20"/>
          <w:w w:val="105"/>
        </w:rPr>
        <w:t>viejo</w:t>
      </w:r>
      <w:r>
        <w:rPr>
          <w:color w:val="231F20"/>
          <w:spacing w:val="-18"/>
          <w:w w:val="105"/>
        </w:rPr>
        <w:t> </w:t>
      </w:r>
      <w:r>
        <w:rPr>
          <w:color w:val="231F20"/>
          <w:w w:val="105"/>
        </w:rPr>
        <w:t>partido</w:t>
      </w:r>
      <w:r>
        <w:rPr>
          <w:color w:val="231F20"/>
          <w:spacing w:val="-18"/>
          <w:w w:val="105"/>
        </w:rPr>
        <w:t> </w:t>
      </w:r>
      <w:r>
        <w:rPr>
          <w:color w:val="231F20"/>
          <w:w w:val="105"/>
        </w:rPr>
        <w:t>se</w:t>
      </w:r>
      <w:r>
        <w:rPr>
          <w:color w:val="231F20"/>
          <w:spacing w:val="-18"/>
          <w:w w:val="105"/>
        </w:rPr>
        <w:t> </w:t>
      </w:r>
      <w:r>
        <w:rPr>
          <w:color w:val="231F20"/>
          <w:w w:val="105"/>
        </w:rPr>
        <w:t>ha</w:t>
      </w:r>
      <w:r>
        <w:rPr>
          <w:color w:val="231F20"/>
          <w:spacing w:val="-18"/>
          <w:w w:val="105"/>
        </w:rPr>
        <w:t> </w:t>
      </w:r>
      <w:r>
        <w:rPr>
          <w:color w:val="231F20"/>
          <w:spacing w:val="-3"/>
          <w:w w:val="105"/>
        </w:rPr>
        <w:t>mantenido</w:t>
      </w:r>
      <w:r>
        <w:rPr>
          <w:color w:val="231F20"/>
          <w:spacing w:val="-18"/>
          <w:w w:val="105"/>
        </w:rPr>
        <w:t> </w:t>
      </w:r>
      <w:r>
        <w:rPr>
          <w:color w:val="231F20"/>
          <w:spacing w:val="-3"/>
          <w:w w:val="105"/>
        </w:rPr>
        <w:t>fuertemente</w:t>
      </w:r>
      <w:r>
        <w:rPr>
          <w:color w:val="231F20"/>
          <w:spacing w:val="-18"/>
          <w:w w:val="105"/>
        </w:rPr>
        <w:t> </w:t>
      </w:r>
      <w:r>
        <w:rPr>
          <w:color w:val="231F20"/>
          <w:spacing w:val="-3"/>
          <w:w w:val="105"/>
        </w:rPr>
        <w:t>arraigado.</w:t>
      </w:r>
      <w:r>
        <w:rPr>
          <w:color w:val="231F20"/>
          <w:spacing w:val="-18"/>
          <w:w w:val="105"/>
        </w:rPr>
        <w:t> </w:t>
      </w:r>
      <w:r>
        <w:rPr>
          <w:color w:val="231F20"/>
          <w:spacing w:val="-4"/>
          <w:w w:val="105"/>
        </w:rPr>
        <w:t>Ejemplo</w:t>
      </w:r>
      <w:r>
        <w:rPr>
          <w:color w:val="231F20"/>
          <w:spacing w:val="-18"/>
          <w:w w:val="105"/>
        </w:rPr>
        <w:t> </w:t>
      </w:r>
      <w:r>
        <w:rPr>
          <w:color w:val="231F20"/>
          <w:w w:val="105"/>
        </w:rPr>
        <w:t>de</w:t>
      </w:r>
      <w:r>
        <w:rPr>
          <w:color w:val="231F20"/>
          <w:spacing w:val="-18"/>
          <w:w w:val="105"/>
        </w:rPr>
        <w:t> </w:t>
      </w:r>
      <w:r>
        <w:rPr>
          <w:color w:val="231F20"/>
          <w:w w:val="105"/>
        </w:rPr>
        <w:t>esto es</w:t>
      </w:r>
      <w:r>
        <w:rPr>
          <w:color w:val="231F20"/>
          <w:spacing w:val="-6"/>
          <w:w w:val="105"/>
        </w:rPr>
        <w:t> </w:t>
      </w:r>
      <w:r>
        <w:rPr>
          <w:color w:val="231F20"/>
          <w:w w:val="105"/>
        </w:rPr>
        <w:t>la</w:t>
      </w:r>
      <w:r>
        <w:rPr>
          <w:color w:val="231F20"/>
          <w:spacing w:val="-6"/>
          <w:w w:val="105"/>
        </w:rPr>
        <w:t> </w:t>
      </w:r>
      <w:r>
        <w:rPr>
          <w:color w:val="231F20"/>
          <w:w w:val="105"/>
        </w:rPr>
        <w:t>gubernatura</w:t>
      </w:r>
      <w:r>
        <w:rPr>
          <w:color w:val="231F20"/>
          <w:spacing w:val="-6"/>
          <w:w w:val="105"/>
        </w:rPr>
        <w:t> </w:t>
      </w:r>
      <w:r>
        <w:rPr>
          <w:color w:val="231F20"/>
          <w:spacing w:val="-3"/>
          <w:w w:val="105"/>
        </w:rPr>
        <w:t>del</w:t>
      </w:r>
      <w:r>
        <w:rPr>
          <w:color w:val="231F20"/>
          <w:spacing w:val="-6"/>
          <w:w w:val="105"/>
        </w:rPr>
        <w:t> </w:t>
      </w:r>
      <w:r>
        <w:rPr>
          <w:color w:val="231F20"/>
          <w:spacing w:val="-3"/>
          <w:w w:val="105"/>
        </w:rPr>
        <w:t>Estado</w:t>
      </w:r>
      <w:r>
        <w:rPr>
          <w:color w:val="231F20"/>
          <w:spacing w:val="-6"/>
          <w:w w:val="105"/>
        </w:rPr>
        <w:t> </w:t>
      </w:r>
      <w:r>
        <w:rPr>
          <w:color w:val="231F20"/>
          <w:w w:val="105"/>
        </w:rPr>
        <w:t>de</w:t>
      </w:r>
      <w:r>
        <w:rPr>
          <w:color w:val="231F20"/>
          <w:spacing w:val="-6"/>
          <w:w w:val="105"/>
        </w:rPr>
        <w:t> </w:t>
      </w:r>
      <w:r>
        <w:rPr>
          <w:color w:val="231F20"/>
          <w:spacing w:val="-3"/>
          <w:w w:val="105"/>
        </w:rPr>
        <w:t>México,</w:t>
      </w:r>
      <w:r>
        <w:rPr>
          <w:color w:val="231F20"/>
          <w:spacing w:val="-6"/>
          <w:w w:val="105"/>
        </w:rPr>
        <w:t> </w:t>
      </w:r>
      <w:r>
        <w:rPr>
          <w:color w:val="231F20"/>
          <w:spacing w:val="-3"/>
          <w:w w:val="105"/>
        </w:rPr>
        <w:t>que</w:t>
      </w:r>
      <w:r>
        <w:rPr>
          <w:color w:val="231F20"/>
          <w:spacing w:val="-6"/>
          <w:w w:val="105"/>
        </w:rPr>
        <w:t> </w:t>
      </w:r>
      <w:r>
        <w:rPr>
          <w:color w:val="231F20"/>
          <w:spacing w:val="-3"/>
          <w:w w:val="105"/>
        </w:rPr>
        <w:t>no</w:t>
      </w:r>
      <w:r>
        <w:rPr>
          <w:color w:val="231F20"/>
          <w:spacing w:val="-6"/>
          <w:w w:val="105"/>
        </w:rPr>
        <w:t> </w:t>
      </w:r>
      <w:r>
        <w:rPr>
          <w:color w:val="231F20"/>
          <w:w w:val="105"/>
        </w:rPr>
        <w:t>ha</w:t>
      </w:r>
      <w:r>
        <w:rPr>
          <w:color w:val="231F20"/>
          <w:spacing w:val="-6"/>
          <w:w w:val="105"/>
        </w:rPr>
        <w:t> </w:t>
      </w:r>
      <w:r>
        <w:rPr>
          <w:color w:val="231F20"/>
          <w:spacing w:val="-3"/>
          <w:w w:val="105"/>
        </w:rPr>
        <w:t>experimentado</w:t>
      </w:r>
      <w:r>
        <w:rPr>
          <w:color w:val="231F20"/>
          <w:spacing w:val="-6"/>
          <w:w w:val="105"/>
        </w:rPr>
        <w:t> </w:t>
      </w:r>
      <w:r>
        <w:rPr>
          <w:color w:val="231F20"/>
          <w:w w:val="105"/>
        </w:rPr>
        <w:t>alternancia</w:t>
      </w:r>
      <w:r>
        <w:rPr>
          <w:color w:val="231F20"/>
          <w:spacing w:val="-6"/>
          <w:w w:val="105"/>
        </w:rPr>
        <w:t> </w:t>
      </w:r>
      <w:r>
        <w:rPr>
          <w:color w:val="231F20"/>
          <w:w w:val="105"/>
        </w:rPr>
        <w:t>electoral, al</w:t>
      </w:r>
      <w:r>
        <w:rPr>
          <w:color w:val="231F20"/>
          <w:spacing w:val="-18"/>
          <w:w w:val="105"/>
        </w:rPr>
        <w:t> </w:t>
      </w:r>
      <w:r>
        <w:rPr>
          <w:color w:val="231F20"/>
          <w:w w:val="105"/>
        </w:rPr>
        <w:t>igual</w:t>
      </w:r>
      <w:r>
        <w:rPr>
          <w:color w:val="231F20"/>
          <w:spacing w:val="-18"/>
          <w:w w:val="105"/>
        </w:rPr>
        <w:t> </w:t>
      </w:r>
      <w:r>
        <w:rPr>
          <w:color w:val="231F20"/>
          <w:spacing w:val="-3"/>
          <w:w w:val="105"/>
        </w:rPr>
        <w:t>que</w:t>
      </w:r>
      <w:r>
        <w:rPr>
          <w:color w:val="231F20"/>
          <w:spacing w:val="-18"/>
          <w:w w:val="105"/>
        </w:rPr>
        <w:t> </w:t>
      </w:r>
      <w:r>
        <w:rPr>
          <w:color w:val="231F20"/>
          <w:w w:val="105"/>
        </w:rPr>
        <w:t>algunos</w:t>
      </w:r>
      <w:r>
        <w:rPr>
          <w:color w:val="231F20"/>
          <w:spacing w:val="-18"/>
          <w:w w:val="105"/>
        </w:rPr>
        <w:t> </w:t>
      </w:r>
      <w:r>
        <w:rPr>
          <w:color w:val="231F20"/>
          <w:w w:val="105"/>
        </w:rPr>
        <w:t>de</w:t>
      </w:r>
      <w:r>
        <w:rPr>
          <w:color w:val="231F20"/>
          <w:spacing w:val="-18"/>
          <w:w w:val="105"/>
        </w:rPr>
        <w:t> </w:t>
      </w:r>
      <w:r>
        <w:rPr>
          <w:color w:val="231F20"/>
          <w:w w:val="105"/>
        </w:rPr>
        <w:t>sus</w:t>
      </w:r>
      <w:r>
        <w:rPr>
          <w:color w:val="231F20"/>
          <w:spacing w:val="-18"/>
          <w:w w:val="105"/>
        </w:rPr>
        <w:t> </w:t>
      </w:r>
      <w:r>
        <w:rPr>
          <w:color w:val="231F20"/>
          <w:spacing w:val="-3"/>
          <w:w w:val="105"/>
        </w:rPr>
        <w:t>municipios.</w:t>
      </w:r>
      <w:r>
        <w:rPr>
          <w:color w:val="231F20"/>
          <w:spacing w:val="-18"/>
          <w:w w:val="105"/>
        </w:rPr>
        <w:t> </w:t>
      </w:r>
      <w:r>
        <w:rPr>
          <w:color w:val="231F20"/>
          <w:w w:val="105"/>
        </w:rPr>
        <w:t>Es</w:t>
      </w:r>
      <w:r>
        <w:rPr>
          <w:color w:val="231F20"/>
          <w:spacing w:val="-18"/>
          <w:w w:val="105"/>
        </w:rPr>
        <w:t> </w:t>
      </w:r>
      <w:r>
        <w:rPr>
          <w:color w:val="231F20"/>
          <w:w w:val="105"/>
        </w:rPr>
        <w:t>el</w:t>
      </w:r>
      <w:r>
        <w:rPr>
          <w:color w:val="231F20"/>
          <w:spacing w:val="-18"/>
          <w:w w:val="105"/>
        </w:rPr>
        <w:t> </w:t>
      </w:r>
      <w:r>
        <w:rPr>
          <w:color w:val="231F20"/>
          <w:w w:val="105"/>
        </w:rPr>
        <w:t>caso</w:t>
      </w:r>
      <w:r>
        <w:rPr>
          <w:color w:val="231F20"/>
          <w:spacing w:val="-18"/>
          <w:w w:val="105"/>
        </w:rPr>
        <w:t> </w:t>
      </w:r>
      <w:r>
        <w:rPr>
          <w:color w:val="231F20"/>
          <w:w w:val="105"/>
        </w:rPr>
        <w:t>de</w:t>
      </w:r>
      <w:r>
        <w:rPr>
          <w:color w:val="231F20"/>
          <w:spacing w:val="-18"/>
          <w:w w:val="105"/>
        </w:rPr>
        <w:t> </w:t>
      </w:r>
      <w:r>
        <w:rPr>
          <w:color w:val="231F20"/>
          <w:w w:val="105"/>
        </w:rPr>
        <w:t>Ixtapan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Sal,</w:t>
      </w:r>
      <w:r>
        <w:rPr>
          <w:color w:val="231F20"/>
          <w:spacing w:val="-18"/>
          <w:w w:val="105"/>
        </w:rPr>
        <w:t> </w:t>
      </w:r>
      <w:r>
        <w:rPr>
          <w:color w:val="231F20"/>
          <w:w w:val="105"/>
        </w:rPr>
        <w:t>en</w:t>
      </w:r>
      <w:r>
        <w:rPr>
          <w:color w:val="231F20"/>
          <w:spacing w:val="-18"/>
          <w:w w:val="105"/>
        </w:rPr>
        <w:t> </w:t>
      </w:r>
      <w:r>
        <w:rPr>
          <w:color w:val="231F20"/>
          <w:spacing w:val="-4"/>
          <w:w w:val="105"/>
        </w:rPr>
        <w:t>donde</w:t>
      </w:r>
      <w:r>
        <w:rPr>
          <w:color w:val="231F20"/>
          <w:spacing w:val="-18"/>
          <w:w w:val="105"/>
        </w:rPr>
        <w:t> </w:t>
      </w:r>
      <w:r>
        <w:rPr>
          <w:color w:val="231F20"/>
          <w:w w:val="105"/>
        </w:rPr>
        <w:t>hasta</w:t>
      </w:r>
      <w:r>
        <w:rPr>
          <w:color w:val="231F20"/>
          <w:spacing w:val="-18"/>
          <w:w w:val="105"/>
        </w:rPr>
        <w:t> </w:t>
      </w:r>
      <w:r>
        <w:rPr>
          <w:color w:val="231F20"/>
          <w:spacing w:val="-4"/>
          <w:w w:val="105"/>
        </w:rPr>
        <w:t>los </w:t>
      </w:r>
      <w:r>
        <w:rPr>
          <w:color w:val="231F20"/>
          <w:spacing w:val="-3"/>
          <w:w w:val="105"/>
        </w:rPr>
        <w:t>comicios</w:t>
      </w:r>
      <w:r>
        <w:rPr>
          <w:color w:val="231F20"/>
          <w:spacing w:val="-22"/>
          <w:w w:val="105"/>
        </w:rPr>
        <w:t> </w:t>
      </w:r>
      <w:r>
        <w:rPr>
          <w:color w:val="231F20"/>
          <w:spacing w:val="-3"/>
          <w:w w:val="105"/>
        </w:rPr>
        <w:t>efectuados</w:t>
      </w:r>
      <w:r>
        <w:rPr>
          <w:color w:val="231F20"/>
          <w:spacing w:val="-22"/>
          <w:w w:val="105"/>
        </w:rPr>
        <w:t> </w:t>
      </w:r>
      <w:r>
        <w:rPr>
          <w:color w:val="231F20"/>
          <w:w w:val="105"/>
        </w:rPr>
        <w:t>(2006)</w:t>
      </w:r>
      <w:r>
        <w:rPr>
          <w:color w:val="231F20"/>
          <w:spacing w:val="-22"/>
          <w:w w:val="105"/>
        </w:rPr>
        <w:t> </w:t>
      </w:r>
      <w:r>
        <w:rPr>
          <w:color w:val="231F20"/>
          <w:w w:val="105"/>
        </w:rPr>
        <w:t>el</w:t>
      </w:r>
      <w:r>
        <w:rPr>
          <w:color w:val="231F20"/>
          <w:spacing w:val="-22"/>
          <w:w w:val="105"/>
        </w:rPr>
        <w:t> </w:t>
      </w:r>
      <w:r>
        <w:rPr>
          <w:color w:val="231F20"/>
          <w:spacing w:val="-2"/>
          <w:w w:val="105"/>
        </w:rPr>
        <w:t>PRI</w:t>
      </w:r>
      <w:r>
        <w:rPr>
          <w:color w:val="231F20"/>
          <w:spacing w:val="-22"/>
          <w:w w:val="105"/>
        </w:rPr>
        <w:t> </w:t>
      </w:r>
      <w:r>
        <w:rPr>
          <w:color w:val="231F20"/>
          <w:w w:val="105"/>
        </w:rPr>
        <w:t>se</w:t>
      </w:r>
      <w:r>
        <w:rPr>
          <w:color w:val="231F20"/>
          <w:spacing w:val="-22"/>
          <w:w w:val="105"/>
        </w:rPr>
        <w:t> </w:t>
      </w:r>
      <w:r>
        <w:rPr>
          <w:color w:val="231F20"/>
          <w:w w:val="105"/>
        </w:rPr>
        <w:t>ha</w:t>
      </w:r>
      <w:r>
        <w:rPr>
          <w:color w:val="231F20"/>
          <w:spacing w:val="-22"/>
          <w:w w:val="105"/>
        </w:rPr>
        <w:t> </w:t>
      </w:r>
      <w:r>
        <w:rPr>
          <w:color w:val="231F20"/>
          <w:spacing w:val="-3"/>
          <w:w w:val="105"/>
        </w:rPr>
        <w:t>mantenido</w:t>
      </w:r>
      <w:r>
        <w:rPr>
          <w:color w:val="231F20"/>
          <w:spacing w:val="-22"/>
          <w:w w:val="105"/>
        </w:rPr>
        <w:t> </w:t>
      </w:r>
      <w:r>
        <w:rPr>
          <w:color w:val="231F20"/>
          <w:w w:val="105"/>
        </w:rPr>
        <w:t>invicto</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spacing w:val="-4"/>
          <w:w w:val="105"/>
        </w:rPr>
        <w:t>presidencia</w:t>
      </w:r>
      <w:r>
        <w:rPr>
          <w:color w:val="231F20"/>
          <w:spacing w:val="-22"/>
          <w:w w:val="105"/>
        </w:rPr>
        <w:t> </w:t>
      </w:r>
      <w:r>
        <w:rPr>
          <w:color w:val="231F20"/>
          <w:w w:val="105"/>
        </w:rPr>
        <w:t>municipal.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En</w:t>
      </w:r>
      <w:r>
        <w:rPr>
          <w:color w:val="231F20"/>
          <w:spacing w:val="-13"/>
          <w:w w:val="105"/>
        </w:rPr>
        <w:t> </w:t>
      </w:r>
      <w:r>
        <w:rPr>
          <w:color w:val="231F20"/>
          <w:w w:val="105"/>
        </w:rPr>
        <w:t>estos</w:t>
      </w:r>
      <w:r>
        <w:rPr>
          <w:color w:val="231F20"/>
          <w:spacing w:val="-13"/>
          <w:w w:val="105"/>
        </w:rPr>
        <w:t> </w:t>
      </w:r>
      <w:r>
        <w:rPr>
          <w:color w:val="231F20"/>
          <w:w w:val="105"/>
        </w:rPr>
        <w:t>espacios</w:t>
      </w:r>
      <w:r>
        <w:rPr>
          <w:color w:val="231F20"/>
          <w:spacing w:val="-13"/>
          <w:w w:val="105"/>
        </w:rPr>
        <w:t> </w:t>
      </w:r>
      <w:r>
        <w:rPr>
          <w:color w:val="231F20"/>
          <w:w w:val="105"/>
        </w:rPr>
        <w:t>en</w:t>
      </w:r>
      <w:r>
        <w:rPr>
          <w:color w:val="231F20"/>
          <w:spacing w:val="-13"/>
          <w:w w:val="105"/>
        </w:rPr>
        <w:t> </w:t>
      </w:r>
      <w:r>
        <w:rPr>
          <w:color w:val="231F20"/>
          <w:spacing w:val="-3"/>
          <w:w w:val="105"/>
        </w:rPr>
        <w:t>donde</w:t>
      </w:r>
      <w:r>
        <w:rPr>
          <w:color w:val="231F20"/>
          <w:spacing w:val="-13"/>
          <w:w w:val="105"/>
        </w:rPr>
        <w:t> </w:t>
      </w:r>
      <w:r>
        <w:rPr>
          <w:color w:val="231F20"/>
          <w:w w:val="105"/>
        </w:rPr>
        <w:t>el</w:t>
      </w:r>
      <w:r>
        <w:rPr>
          <w:color w:val="231F20"/>
          <w:spacing w:val="-13"/>
          <w:w w:val="105"/>
        </w:rPr>
        <w:t> </w:t>
      </w:r>
      <w:r>
        <w:rPr>
          <w:color w:val="231F20"/>
          <w:w w:val="105"/>
        </w:rPr>
        <w:t>partido</w:t>
      </w:r>
      <w:r>
        <w:rPr>
          <w:color w:val="231F20"/>
          <w:spacing w:val="-13"/>
          <w:w w:val="105"/>
        </w:rPr>
        <w:t> </w:t>
      </w:r>
      <w:r>
        <w:rPr>
          <w:color w:val="231F20"/>
          <w:w w:val="105"/>
        </w:rPr>
        <w:t>no</w:t>
      </w:r>
      <w:r>
        <w:rPr>
          <w:color w:val="231F20"/>
          <w:spacing w:val="-13"/>
          <w:w w:val="105"/>
        </w:rPr>
        <w:t> </w:t>
      </w:r>
      <w:r>
        <w:rPr>
          <w:color w:val="231F20"/>
          <w:w w:val="105"/>
        </w:rPr>
        <w:t>ha</w:t>
      </w:r>
      <w:r>
        <w:rPr>
          <w:color w:val="231F20"/>
          <w:spacing w:val="-13"/>
          <w:w w:val="105"/>
        </w:rPr>
        <w:t> </w:t>
      </w:r>
      <w:r>
        <w:rPr>
          <w:color w:val="231F20"/>
          <w:spacing w:val="-2"/>
          <w:w w:val="105"/>
        </w:rPr>
        <w:t>dejado</w:t>
      </w:r>
      <w:r>
        <w:rPr>
          <w:color w:val="231F20"/>
          <w:spacing w:val="-13"/>
          <w:w w:val="105"/>
        </w:rPr>
        <w:t> </w:t>
      </w:r>
      <w:r>
        <w:rPr>
          <w:color w:val="231F20"/>
          <w:w w:val="105"/>
        </w:rPr>
        <w:t>de</w:t>
      </w:r>
      <w:r>
        <w:rPr>
          <w:color w:val="231F20"/>
          <w:spacing w:val="-13"/>
          <w:w w:val="105"/>
        </w:rPr>
        <w:t> </w:t>
      </w:r>
      <w:r>
        <w:rPr>
          <w:color w:val="231F20"/>
          <w:w w:val="105"/>
        </w:rPr>
        <w:t>gobernar</w:t>
      </w:r>
      <w:r>
        <w:rPr>
          <w:color w:val="231F20"/>
          <w:spacing w:val="-13"/>
          <w:w w:val="105"/>
        </w:rPr>
        <w:t> </w:t>
      </w:r>
      <w:r>
        <w:rPr>
          <w:color w:val="231F20"/>
          <w:w w:val="105"/>
        </w:rPr>
        <w:t>saltan</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2"/>
          <w:w w:val="105"/>
        </w:rPr>
        <w:t>vista</w:t>
      </w:r>
      <w:r>
        <w:rPr>
          <w:color w:val="231F20"/>
          <w:spacing w:val="-13"/>
          <w:w w:val="105"/>
        </w:rPr>
        <w:t> </w:t>
      </w:r>
      <w:r>
        <w:rPr>
          <w:color w:val="231F20"/>
          <w:w w:val="105"/>
        </w:rPr>
        <w:t>cuestio- namientos sobre la forma de conducir el aparato de </w:t>
      </w:r>
      <w:r>
        <w:rPr>
          <w:color w:val="231F20"/>
          <w:spacing w:val="-3"/>
          <w:w w:val="105"/>
        </w:rPr>
        <w:t>gobierno: ¿Se </w:t>
      </w:r>
      <w:r>
        <w:rPr>
          <w:color w:val="231F20"/>
          <w:w w:val="105"/>
        </w:rPr>
        <w:t>siguen manteniendo las</w:t>
      </w:r>
      <w:r>
        <w:rPr>
          <w:color w:val="231F20"/>
          <w:spacing w:val="-18"/>
          <w:w w:val="105"/>
        </w:rPr>
        <w:t> </w:t>
      </w:r>
      <w:r>
        <w:rPr>
          <w:color w:val="231F20"/>
          <w:w w:val="105"/>
        </w:rPr>
        <w:t>viejas</w:t>
      </w:r>
      <w:r>
        <w:rPr>
          <w:color w:val="231F20"/>
          <w:spacing w:val="-18"/>
          <w:w w:val="105"/>
        </w:rPr>
        <w:t> </w:t>
      </w:r>
      <w:r>
        <w:rPr>
          <w:color w:val="231F20"/>
          <w:w w:val="105"/>
        </w:rPr>
        <w:t>prácticas</w:t>
      </w:r>
      <w:r>
        <w:rPr>
          <w:color w:val="231F20"/>
          <w:spacing w:val="-18"/>
          <w:w w:val="105"/>
        </w:rPr>
        <w:t> </w:t>
      </w:r>
      <w:r>
        <w:rPr>
          <w:color w:val="231F20"/>
          <w:w w:val="105"/>
        </w:rPr>
        <w:t>de</w:t>
      </w:r>
      <w:r>
        <w:rPr>
          <w:color w:val="231F20"/>
          <w:spacing w:val="-18"/>
          <w:w w:val="105"/>
        </w:rPr>
        <w:t> </w:t>
      </w:r>
      <w:r>
        <w:rPr>
          <w:color w:val="231F20"/>
          <w:w w:val="105"/>
        </w:rPr>
        <w:t>autoritarismo,</w:t>
      </w:r>
      <w:r>
        <w:rPr>
          <w:color w:val="231F20"/>
          <w:spacing w:val="-18"/>
          <w:w w:val="105"/>
        </w:rPr>
        <w:t> </w:t>
      </w:r>
      <w:r>
        <w:rPr>
          <w:color w:val="231F20"/>
          <w:w w:val="105"/>
        </w:rPr>
        <w:t>manipulación,</w:t>
      </w:r>
      <w:r>
        <w:rPr>
          <w:color w:val="231F20"/>
          <w:spacing w:val="-18"/>
          <w:w w:val="105"/>
        </w:rPr>
        <w:t> </w:t>
      </w:r>
      <w:r>
        <w:rPr>
          <w:color w:val="231F20"/>
          <w:w w:val="105"/>
        </w:rPr>
        <w:t>exclusión</w:t>
      </w:r>
      <w:r>
        <w:rPr>
          <w:color w:val="231F20"/>
          <w:spacing w:val="-18"/>
          <w:w w:val="105"/>
        </w:rPr>
        <w:t> </w:t>
      </w:r>
      <w:r>
        <w:rPr>
          <w:color w:val="231F20"/>
          <w:w w:val="105"/>
        </w:rPr>
        <w:t>y</w:t>
      </w:r>
      <w:r>
        <w:rPr>
          <w:color w:val="231F20"/>
          <w:spacing w:val="-18"/>
          <w:w w:val="105"/>
        </w:rPr>
        <w:t> </w:t>
      </w:r>
      <w:r>
        <w:rPr>
          <w:color w:val="231F20"/>
          <w:w w:val="105"/>
        </w:rPr>
        <w:t>represión</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2"/>
          <w:w w:val="105"/>
        </w:rPr>
        <w:t>ejercicio </w:t>
      </w:r>
      <w:r>
        <w:rPr>
          <w:color w:val="231F20"/>
          <w:w w:val="105"/>
        </w:rPr>
        <w:t>gubernamental</w:t>
      </w:r>
      <w:r>
        <w:rPr>
          <w:color w:val="231F20"/>
          <w:spacing w:val="-17"/>
          <w:w w:val="105"/>
        </w:rPr>
        <w:t> </w:t>
      </w:r>
      <w:r>
        <w:rPr>
          <w:color w:val="231F20"/>
          <w:w w:val="105"/>
        </w:rPr>
        <w:t>que</w:t>
      </w:r>
      <w:r>
        <w:rPr>
          <w:color w:val="231F20"/>
          <w:spacing w:val="-17"/>
          <w:w w:val="105"/>
        </w:rPr>
        <w:t> </w:t>
      </w:r>
      <w:r>
        <w:rPr>
          <w:color w:val="231F20"/>
          <w:w w:val="105"/>
        </w:rPr>
        <w:t>caracterizó</w:t>
      </w:r>
      <w:r>
        <w:rPr>
          <w:color w:val="231F20"/>
          <w:spacing w:val="-17"/>
          <w:w w:val="105"/>
        </w:rPr>
        <w:t> </w:t>
      </w:r>
      <w:r>
        <w:rPr>
          <w:color w:val="231F20"/>
          <w:spacing w:val="2"/>
          <w:w w:val="105"/>
        </w:rPr>
        <w:t>al</w:t>
      </w:r>
      <w:r>
        <w:rPr>
          <w:color w:val="231F20"/>
          <w:spacing w:val="-17"/>
          <w:w w:val="105"/>
        </w:rPr>
        <w:t> </w:t>
      </w:r>
      <w:r>
        <w:rPr>
          <w:color w:val="231F20"/>
          <w:w w:val="105"/>
        </w:rPr>
        <w:t>PRI</w:t>
      </w:r>
      <w:r>
        <w:rPr>
          <w:color w:val="231F20"/>
          <w:spacing w:val="-17"/>
          <w:w w:val="105"/>
        </w:rPr>
        <w:t> </w:t>
      </w:r>
      <w:r>
        <w:rPr>
          <w:color w:val="231F20"/>
          <w:w w:val="105"/>
        </w:rPr>
        <w:t>años</w:t>
      </w:r>
      <w:r>
        <w:rPr>
          <w:color w:val="231F20"/>
          <w:spacing w:val="-17"/>
          <w:w w:val="105"/>
        </w:rPr>
        <w:t> </w:t>
      </w:r>
      <w:r>
        <w:rPr>
          <w:color w:val="231F20"/>
          <w:w w:val="105"/>
        </w:rPr>
        <w:t>atrás?</w:t>
      </w:r>
      <w:r>
        <w:rPr>
          <w:color w:val="231F20"/>
          <w:spacing w:val="-17"/>
          <w:w w:val="105"/>
        </w:rPr>
        <w:t> </w:t>
      </w:r>
      <w:r>
        <w:rPr>
          <w:color w:val="231F20"/>
          <w:w w:val="105"/>
        </w:rPr>
        <w:t>o</w:t>
      </w:r>
      <w:r>
        <w:rPr>
          <w:color w:val="231F20"/>
          <w:spacing w:val="-17"/>
          <w:w w:val="105"/>
        </w:rPr>
        <w:t> </w:t>
      </w:r>
      <w:r>
        <w:rPr>
          <w:color w:val="231F20"/>
          <w:spacing w:val="-3"/>
          <w:w w:val="105"/>
        </w:rPr>
        <w:t>¿La</w:t>
      </w:r>
      <w:r>
        <w:rPr>
          <w:color w:val="231F20"/>
          <w:spacing w:val="-17"/>
          <w:w w:val="105"/>
        </w:rPr>
        <w:t> </w:t>
      </w:r>
      <w:r>
        <w:rPr>
          <w:color w:val="231F20"/>
          <w:w w:val="105"/>
        </w:rPr>
        <w:t>reforma</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principios</w:t>
      </w:r>
      <w:r>
        <w:rPr>
          <w:color w:val="231F20"/>
          <w:spacing w:val="-17"/>
          <w:w w:val="105"/>
        </w:rPr>
        <w:t> </w:t>
      </w:r>
      <w:r>
        <w:rPr>
          <w:color w:val="231F20"/>
          <w:w w:val="105"/>
        </w:rPr>
        <w:t>con</w:t>
      </w:r>
      <w:r>
        <w:rPr>
          <w:color w:val="231F20"/>
          <w:spacing w:val="-17"/>
          <w:w w:val="105"/>
        </w:rPr>
        <w:t> </w:t>
      </w:r>
      <w:r>
        <w:rPr>
          <w:color w:val="231F20"/>
          <w:w w:val="105"/>
        </w:rPr>
        <w:t>la introducción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democracia</w:t>
      </w:r>
      <w:r>
        <w:rPr>
          <w:color w:val="231F20"/>
          <w:spacing w:val="-17"/>
          <w:w w:val="105"/>
        </w:rPr>
        <w:t> </w:t>
      </w:r>
      <w:r>
        <w:rPr>
          <w:color w:val="231F20"/>
          <w:w w:val="105"/>
        </w:rPr>
        <w:t>social</w:t>
      </w:r>
      <w:r>
        <w:rPr>
          <w:color w:val="231F20"/>
          <w:spacing w:val="-17"/>
          <w:w w:val="105"/>
        </w:rPr>
        <w:t> </w:t>
      </w:r>
      <w:r>
        <w:rPr>
          <w:color w:val="231F20"/>
          <w:w w:val="105"/>
        </w:rPr>
        <w:t>responde</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nuevos</w:t>
      </w:r>
      <w:r>
        <w:rPr>
          <w:color w:val="231F20"/>
          <w:spacing w:val="-17"/>
          <w:w w:val="105"/>
        </w:rPr>
        <w:t> </w:t>
      </w:r>
      <w:r>
        <w:rPr>
          <w:color w:val="231F20"/>
          <w:w w:val="105"/>
        </w:rPr>
        <w:t>intereses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sociedad?</w:t>
      </w:r>
    </w:p>
    <w:p>
      <w:pPr>
        <w:pStyle w:val="BodyText"/>
        <w:spacing w:before="1"/>
        <w:rPr>
          <w:sz w:val="26"/>
        </w:rPr>
      </w:pPr>
    </w:p>
    <w:p>
      <w:pPr>
        <w:pStyle w:val="BodyText"/>
        <w:spacing w:line="285" w:lineRule="auto"/>
        <w:ind w:left="110" w:right="106"/>
        <w:jc w:val="both"/>
      </w:pPr>
      <w:r>
        <w:rPr>
          <w:color w:val="231F20"/>
          <w:w w:val="105"/>
        </w:rPr>
        <w:t>Para</w:t>
      </w:r>
      <w:r>
        <w:rPr>
          <w:color w:val="231F20"/>
          <w:spacing w:val="-24"/>
          <w:w w:val="105"/>
        </w:rPr>
        <w:t> </w:t>
      </w:r>
      <w:r>
        <w:rPr>
          <w:color w:val="231F20"/>
          <w:w w:val="105"/>
        </w:rPr>
        <w:t>el</w:t>
      </w:r>
      <w:r>
        <w:rPr>
          <w:color w:val="231F20"/>
          <w:spacing w:val="-24"/>
          <w:w w:val="105"/>
        </w:rPr>
        <w:t> </w:t>
      </w:r>
      <w:r>
        <w:rPr>
          <w:color w:val="231F20"/>
          <w:w w:val="105"/>
        </w:rPr>
        <w:t>caso</w:t>
      </w:r>
      <w:r>
        <w:rPr>
          <w:color w:val="231F20"/>
          <w:spacing w:val="-24"/>
          <w:w w:val="105"/>
        </w:rPr>
        <w:t> </w:t>
      </w:r>
      <w:r>
        <w:rPr>
          <w:color w:val="231F20"/>
          <w:w w:val="105"/>
        </w:rPr>
        <w:t>de</w:t>
      </w:r>
      <w:r>
        <w:rPr>
          <w:color w:val="231F20"/>
          <w:spacing w:val="-24"/>
          <w:w w:val="105"/>
        </w:rPr>
        <w:t> </w:t>
      </w:r>
      <w:r>
        <w:rPr>
          <w:color w:val="231F20"/>
          <w:w w:val="105"/>
        </w:rPr>
        <w:t>Ixtapan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Sal</w:t>
      </w:r>
      <w:r>
        <w:rPr>
          <w:color w:val="231F20"/>
          <w:spacing w:val="-24"/>
          <w:w w:val="105"/>
        </w:rPr>
        <w:t> </w:t>
      </w:r>
      <w:r>
        <w:rPr>
          <w:color w:val="231F20"/>
          <w:w w:val="105"/>
        </w:rPr>
        <w:t>(2006-2009)</w:t>
      </w:r>
      <w:r>
        <w:rPr>
          <w:color w:val="231F20"/>
          <w:spacing w:val="-24"/>
          <w:w w:val="105"/>
        </w:rPr>
        <w:t> </w:t>
      </w:r>
      <w:r>
        <w:rPr>
          <w:color w:val="231F20"/>
          <w:w w:val="105"/>
        </w:rPr>
        <w:t>resulta</w:t>
      </w:r>
      <w:r>
        <w:rPr>
          <w:color w:val="231F20"/>
          <w:spacing w:val="-24"/>
          <w:w w:val="105"/>
        </w:rPr>
        <w:t> </w:t>
      </w:r>
      <w:r>
        <w:rPr>
          <w:color w:val="231F20"/>
          <w:w w:val="105"/>
        </w:rPr>
        <w:t>interesante</w:t>
      </w:r>
      <w:r>
        <w:rPr>
          <w:color w:val="231F20"/>
          <w:spacing w:val="-24"/>
          <w:w w:val="105"/>
        </w:rPr>
        <w:t> </w:t>
      </w:r>
      <w:r>
        <w:rPr>
          <w:color w:val="231F20"/>
          <w:spacing w:val="2"/>
          <w:w w:val="105"/>
        </w:rPr>
        <w:t>analizar</w:t>
      </w:r>
      <w:r>
        <w:rPr>
          <w:color w:val="231F20"/>
          <w:spacing w:val="-24"/>
          <w:w w:val="105"/>
        </w:rPr>
        <w:t> </w:t>
      </w:r>
      <w:r>
        <w:rPr>
          <w:color w:val="231F20"/>
          <w:w w:val="105"/>
        </w:rPr>
        <w:t>las</w:t>
      </w:r>
      <w:r>
        <w:rPr>
          <w:color w:val="231F20"/>
          <w:spacing w:val="-24"/>
          <w:w w:val="105"/>
        </w:rPr>
        <w:t> </w:t>
      </w:r>
      <w:r>
        <w:rPr>
          <w:color w:val="231F20"/>
          <w:w w:val="105"/>
        </w:rPr>
        <w:t>condiciones y características del gobierno municipal para entender la permanencia ininterrumpida del</w:t>
      </w:r>
      <w:r>
        <w:rPr>
          <w:color w:val="231F20"/>
          <w:spacing w:val="-6"/>
          <w:w w:val="105"/>
        </w:rPr>
        <w:t> </w:t>
      </w:r>
      <w:r>
        <w:rPr>
          <w:color w:val="231F20"/>
          <w:w w:val="105"/>
        </w:rPr>
        <w:t>PRI</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poder</w:t>
      </w:r>
      <w:r>
        <w:rPr>
          <w:color w:val="231F20"/>
          <w:spacing w:val="-6"/>
          <w:w w:val="105"/>
        </w:rPr>
        <w:t> </w:t>
      </w:r>
      <w:r>
        <w:rPr>
          <w:color w:val="231F20"/>
          <w:spacing w:val="-7"/>
          <w:w w:val="105"/>
        </w:rPr>
        <w:t>y,</w:t>
      </w:r>
      <w:r>
        <w:rPr>
          <w:color w:val="231F20"/>
          <w:spacing w:val="-6"/>
          <w:w w:val="105"/>
        </w:rPr>
        <w:t> </w:t>
      </w:r>
      <w:r>
        <w:rPr>
          <w:color w:val="231F20"/>
          <w:spacing w:val="2"/>
          <w:w w:val="105"/>
        </w:rPr>
        <w:t>al</w:t>
      </w:r>
      <w:r>
        <w:rPr>
          <w:color w:val="231F20"/>
          <w:spacing w:val="-6"/>
          <w:w w:val="105"/>
        </w:rPr>
        <w:t> </w:t>
      </w:r>
      <w:r>
        <w:rPr>
          <w:color w:val="231F20"/>
          <w:w w:val="105"/>
        </w:rPr>
        <w:t>mismo</w:t>
      </w:r>
      <w:r>
        <w:rPr>
          <w:color w:val="231F20"/>
          <w:spacing w:val="-6"/>
          <w:w w:val="105"/>
        </w:rPr>
        <w:t> </w:t>
      </w:r>
      <w:r>
        <w:rPr>
          <w:color w:val="231F20"/>
          <w:w w:val="105"/>
        </w:rPr>
        <w:t>tiempo,</w:t>
      </w:r>
      <w:r>
        <w:rPr>
          <w:color w:val="231F20"/>
          <w:spacing w:val="-6"/>
          <w:w w:val="105"/>
        </w:rPr>
        <w:t> </w:t>
      </w:r>
      <w:r>
        <w:rPr>
          <w:color w:val="231F20"/>
          <w:w w:val="105"/>
        </w:rPr>
        <w:t>evaluar</w:t>
      </w:r>
      <w:r>
        <w:rPr>
          <w:color w:val="231F20"/>
          <w:spacing w:val="-6"/>
          <w:w w:val="105"/>
        </w:rPr>
        <w:t> </w:t>
      </w:r>
      <w:r>
        <w:rPr>
          <w:color w:val="231F20"/>
          <w:w w:val="105"/>
        </w:rPr>
        <w:t>la</w:t>
      </w:r>
      <w:r>
        <w:rPr>
          <w:color w:val="231F20"/>
          <w:spacing w:val="-6"/>
          <w:w w:val="105"/>
        </w:rPr>
        <w:t> </w:t>
      </w:r>
      <w:r>
        <w:rPr>
          <w:color w:val="231F20"/>
          <w:w w:val="105"/>
        </w:rPr>
        <w:t>calidad</w:t>
      </w:r>
      <w:r>
        <w:rPr>
          <w:color w:val="231F20"/>
          <w:spacing w:val="-6"/>
          <w:w w:val="105"/>
        </w:rPr>
        <w:t> </w:t>
      </w:r>
      <w:r>
        <w:rPr>
          <w:color w:val="231F20"/>
          <w:w w:val="105"/>
        </w:rPr>
        <w:t>del</w:t>
      </w:r>
      <w:r>
        <w:rPr>
          <w:color w:val="231F20"/>
          <w:spacing w:val="-6"/>
          <w:w w:val="105"/>
        </w:rPr>
        <w:t> </w:t>
      </w:r>
      <w:r>
        <w:rPr>
          <w:color w:val="231F20"/>
          <w:w w:val="105"/>
        </w:rPr>
        <w:t>ejercicio</w:t>
      </w:r>
      <w:r>
        <w:rPr>
          <w:color w:val="231F20"/>
          <w:spacing w:val="-6"/>
          <w:w w:val="105"/>
        </w:rPr>
        <w:t> </w:t>
      </w:r>
      <w:r>
        <w:rPr>
          <w:color w:val="231F20"/>
          <w:w w:val="105"/>
        </w:rPr>
        <w:t>gubernamental del partido como </w:t>
      </w:r>
      <w:r>
        <w:rPr>
          <w:color w:val="231F20"/>
          <w:spacing w:val="-3"/>
          <w:w w:val="105"/>
        </w:rPr>
        <w:t>gobierno. </w:t>
      </w:r>
      <w:r>
        <w:rPr>
          <w:color w:val="231F20"/>
          <w:w w:val="105"/>
        </w:rPr>
        <w:t>Estos son los objetivos por desarrollar en el presente ca- pítulo, el cual se divide en tres apartados: el primero que describe a Ixtapan de la Sal en</w:t>
      </w:r>
      <w:r>
        <w:rPr>
          <w:color w:val="231F20"/>
          <w:spacing w:val="-9"/>
          <w:w w:val="105"/>
        </w:rPr>
        <w:t> </w:t>
      </w:r>
      <w:r>
        <w:rPr>
          <w:color w:val="231F20"/>
          <w:w w:val="105"/>
        </w:rPr>
        <w:t>relación</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condiciones</w:t>
      </w:r>
      <w:r>
        <w:rPr>
          <w:color w:val="231F20"/>
          <w:spacing w:val="-9"/>
          <w:w w:val="105"/>
        </w:rPr>
        <w:t> </w:t>
      </w:r>
      <w:r>
        <w:rPr>
          <w:color w:val="231F20"/>
          <w:w w:val="105"/>
        </w:rPr>
        <w:t>socioeconómicas</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población,</w:t>
      </w:r>
      <w:r>
        <w:rPr>
          <w:color w:val="231F20"/>
          <w:spacing w:val="-9"/>
          <w:w w:val="105"/>
        </w:rPr>
        <w:t> </w:t>
      </w:r>
      <w:r>
        <w:rPr>
          <w:color w:val="231F20"/>
          <w:w w:val="105"/>
        </w:rPr>
        <w:t>los</w:t>
      </w:r>
      <w:r>
        <w:rPr>
          <w:color w:val="231F20"/>
          <w:spacing w:val="-9"/>
          <w:w w:val="105"/>
        </w:rPr>
        <w:t> </w:t>
      </w:r>
      <w:r>
        <w:rPr>
          <w:color w:val="231F20"/>
          <w:w w:val="105"/>
        </w:rPr>
        <w:t>resultados</w:t>
      </w:r>
      <w:r>
        <w:rPr>
          <w:color w:val="231F20"/>
          <w:spacing w:val="-9"/>
          <w:w w:val="105"/>
        </w:rPr>
        <w:t> </w:t>
      </w:r>
      <w:r>
        <w:rPr>
          <w:color w:val="231F20"/>
          <w:w w:val="105"/>
        </w:rPr>
        <w:t>de</w:t>
      </w:r>
      <w:r>
        <w:rPr>
          <w:color w:val="231F20"/>
          <w:spacing w:val="-9"/>
          <w:w w:val="105"/>
        </w:rPr>
        <w:t> </w:t>
      </w:r>
      <w:r>
        <w:rPr>
          <w:color w:val="231F20"/>
          <w:w w:val="105"/>
        </w:rPr>
        <w:t>las elecciones</w:t>
      </w:r>
      <w:r>
        <w:rPr>
          <w:color w:val="231F20"/>
          <w:spacing w:val="-22"/>
          <w:w w:val="105"/>
        </w:rPr>
        <w:t> </w:t>
      </w:r>
      <w:r>
        <w:rPr>
          <w:color w:val="231F20"/>
          <w:w w:val="105"/>
        </w:rPr>
        <w:t>municipales</w:t>
      </w:r>
      <w:r>
        <w:rPr>
          <w:color w:val="231F20"/>
          <w:spacing w:val="-22"/>
          <w:w w:val="105"/>
        </w:rPr>
        <w:t> </w:t>
      </w:r>
      <w:r>
        <w:rPr>
          <w:color w:val="231F20"/>
          <w:w w:val="105"/>
        </w:rPr>
        <w:t>y</w:t>
      </w:r>
      <w:r>
        <w:rPr>
          <w:color w:val="231F20"/>
          <w:spacing w:val="-22"/>
          <w:w w:val="105"/>
        </w:rPr>
        <w:t> </w:t>
      </w:r>
      <w:r>
        <w:rPr>
          <w:color w:val="231F20"/>
          <w:w w:val="105"/>
        </w:rPr>
        <w:t>las</w:t>
      </w:r>
      <w:r>
        <w:rPr>
          <w:color w:val="231F20"/>
          <w:spacing w:val="-22"/>
          <w:w w:val="105"/>
        </w:rPr>
        <w:t> </w:t>
      </w:r>
      <w:r>
        <w:rPr>
          <w:color w:val="231F20"/>
          <w:w w:val="105"/>
        </w:rPr>
        <w:t>características</w:t>
      </w:r>
      <w:r>
        <w:rPr>
          <w:color w:val="231F20"/>
          <w:spacing w:val="-22"/>
          <w:w w:val="105"/>
        </w:rPr>
        <w:t> </w:t>
      </w:r>
      <w:r>
        <w:rPr>
          <w:color w:val="231F20"/>
          <w:w w:val="105"/>
        </w:rPr>
        <w:t>básicas</w:t>
      </w:r>
      <w:r>
        <w:rPr>
          <w:color w:val="231F20"/>
          <w:spacing w:val="-22"/>
          <w:w w:val="105"/>
        </w:rPr>
        <w:t> </w:t>
      </w:r>
      <w:r>
        <w:rPr>
          <w:color w:val="231F20"/>
          <w:w w:val="105"/>
        </w:rPr>
        <w:t>del</w:t>
      </w:r>
      <w:r>
        <w:rPr>
          <w:color w:val="231F20"/>
          <w:spacing w:val="-22"/>
          <w:w w:val="105"/>
        </w:rPr>
        <w:t> </w:t>
      </w:r>
      <w:r>
        <w:rPr>
          <w:color w:val="231F20"/>
          <w:spacing w:val="-3"/>
          <w:w w:val="105"/>
        </w:rPr>
        <w:t>gobierno.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segundo</w:t>
      </w:r>
      <w:r>
        <w:rPr>
          <w:color w:val="231F20"/>
          <w:spacing w:val="-22"/>
          <w:w w:val="105"/>
        </w:rPr>
        <w:t> </w:t>
      </w:r>
      <w:r>
        <w:rPr>
          <w:color w:val="231F20"/>
          <w:w w:val="105"/>
        </w:rPr>
        <w:t>se</w:t>
      </w:r>
      <w:r>
        <w:rPr>
          <w:color w:val="231F20"/>
          <w:spacing w:val="-22"/>
          <w:w w:val="105"/>
        </w:rPr>
        <w:t> </w:t>
      </w:r>
      <w:r>
        <w:rPr>
          <w:color w:val="231F20"/>
          <w:w w:val="105"/>
        </w:rPr>
        <w:t>anali- zarán</w:t>
      </w:r>
      <w:r>
        <w:rPr>
          <w:color w:val="231F20"/>
          <w:spacing w:val="-9"/>
          <w:w w:val="105"/>
        </w:rPr>
        <w:t> </w:t>
      </w:r>
      <w:r>
        <w:rPr>
          <w:color w:val="231F20"/>
          <w:w w:val="105"/>
        </w:rPr>
        <w:t>los</w:t>
      </w:r>
      <w:r>
        <w:rPr>
          <w:color w:val="231F20"/>
          <w:spacing w:val="-9"/>
          <w:w w:val="105"/>
        </w:rPr>
        <w:t> </w:t>
      </w:r>
      <w:r>
        <w:rPr>
          <w:color w:val="231F20"/>
          <w:w w:val="105"/>
        </w:rPr>
        <w:t>fines</w:t>
      </w:r>
      <w:r>
        <w:rPr>
          <w:color w:val="231F20"/>
          <w:spacing w:val="-9"/>
          <w:w w:val="105"/>
        </w:rPr>
        <w:t> </w:t>
      </w:r>
      <w:r>
        <w:rPr>
          <w:color w:val="231F20"/>
          <w:w w:val="105"/>
        </w:rPr>
        <w:t>planteados</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actual</w:t>
      </w:r>
      <w:r>
        <w:rPr>
          <w:color w:val="231F20"/>
          <w:spacing w:val="-9"/>
          <w:w w:val="105"/>
        </w:rPr>
        <w:t> </w:t>
      </w:r>
      <w:r>
        <w:rPr>
          <w:color w:val="231F20"/>
          <w:w w:val="105"/>
        </w:rPr>
        <w:t>administración</w:t>
      </w:r>
      <w:r>
        <w:rPr>
          <w:color w:val="231F20"/>
          <w:spacing w:val="-9"/>
          <w:w w:val="105"/>
        </w:rPr>
        <w:t> </w:t>
      </w:r>
      <w:r>
        <w:rPr>
          <w:color w:val="231F20"/>
          <w:w w:val="105"/>
        </w:rPr>
        <w:t>priísta</w:t>
      </w:r>
      <w:r>
        <w:rPr>
          <w:color w:val="231F20"/>
          <w:spacing w:val="-9"/>
          <w:w w:val="105"/>
        </w:rPr>
        <w:t> </w:t>
      </w:r>
      <w:r>
        <w:rPr>
          <w:color w:val="231F20"/>
          <w:w w:val="105"/>
        </w:rPr>
        <w:t>y</w:t>
      </w:r>
      <w:r>
        <w:rPr>
          <w:color w:val="231F20"/>
          <w:spacing w:val="-9"/>
          <w:w w:val="105"/>
        </w:rPr>
        <w:t> </w:t>
      </w:r>
      <w:r>
        <w:rPr>
          <w:color w:val="231F20"/>
          <w:w w:val="105"/>
        </w:rPr>
        <w:t>los</w:t>
      </w:r>
      <w:r>
        <w:rPr>
          <w:color w:val="231F20"/>
          <w:spacing w:val="-9"/>
          <w:w w:val="105"/>
        </w:rPr>
        <w:t> </w:t>
      </w:r>
      <w:r>
        <w:rPr>
          <w:color w:val="231F20"/>
          <w:w w:val="105"/>
        </w:rPr>
        <w:t>resultados</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que llegó,</w:t>
      </w:r>
      <w:r>
        <w:rPr>
          <w:color w:val="231F20"/>
          <w:spacing w:val="-13"/>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tercer</w:t>
      </w:r>
      <w:r>
        <w:rPr>
          <w:color w:val="231F20"/>
          <w:spacing w:val="-13"/>
          <w:w w:val="105"/>
        </w:rPr>
        <w:t> </w:t>
      </w:r>
      <w:r>
        <w:rPr>
          <w:color w:val="231F20"/>
          <w:w w:val="105"/>
        </w:rPr>
        <w:t>apartado</w:t>
      </w:r>
      <w:r>
        <w:rPr>
          <w:color w:val="231F20"/>
          <w:spacing w:val="-13"/>
          <w:w w:val="105"/>
        </w:rPr>
        <w:t> </w:t>
      </w:r>
      <w:r>
        <w:rPr>
          <w:color w:val="231F20"/>
          <w:w w:val="105"/>
        </w:rPr>
        <w:t>se</w:t>
      </w:r>
      <w:r>
        <w:rPr>
          <w:color w:val="231F20"/>
          <w:spacing w:val="-13"/>
          <w:w w:val="105"/>
        </w:rPr>
        <w:t> </w:t>
      </w:r>
      <w:r>
        <w:rPr>
          <w:color w:val="231F20"/>
          <w:w w:val="105"/>
        </w:rPr>
        <w:t>analice</w:t>
      </w:r>
      <w:r>
        <w:rPr>
          <w:color w:val="231F20"/>
          <w:spacing w:val="-13"/>
          <w:w w:val="105"/>
        </w:rPr>
        <w:t> </w:t>
      </w:r>
      <w:r>
        <w:rPr>
          <w:color w:val="231F20"/>
          <w:w w:val="105"/>
        </w:rPr>
        <w:t>la</w:t>
      </w:r>
      <w:r>
        <w:rPr>
          <w:color w:val="231F20"/>
          <w:spacing w:val="-13"/>
          <w:w w:val="105"/>
        </w:rPr>
        <w:t> </w:t>
      </w:r>
      <w:r>
        <w:rPr>
          <w:color w:val="231F20"/>
          <w:w w:val="105"/>
        </w:rPr>
        <w:t>relación</w:t>
      </w:r>
      <w:r>
        <w:rPr>
          <w:color w:val="231F20"/>
          <w:spacing w:val="-13"/>
          <w:w w:val="105"/>
        </w:rPr>
        <w:t> </w:t>
      </w:r>
      <w:r>
        <w:rPr>
          <w:color w:val="231F20"/>
          <w:w w:val="105"/>
        </w:rPr>
        <w:t>partido-gobierno.</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3"/>
          <w:w w:val="105"/>
        </w:rPr>
        <w:t> </w:t>
      </w:r>
      <w:r>
        <w:rPr>
          <w:color w:val="231F20"/>
          <w:w w:val="105"/>
        </w:rPr>
        <w:t>estudio</w:t>
      </w:r>
      <w:r>
        <w:rPr>
          <w:color w:val="231F20"/>
          <w:spacing w:val="-13"/>
          <w:w w:val="105"/>
        </w:rPr>
        <w:t> </w:t>
      </w:r>
      <w:r>
        <w:rPr>
          <w:color w:val="231F20"/>
          <w:w w:val="105"/>
        </w:rPr>
        <w:t>es</w:t>
      </w:r>
      <w:r>
        <w:rPr>
          <w:color w:val="231F20"/>
          <w:spacing w:val="-13"/>
          <w:w w:val="105"/>
        </w:rPr>
        <w:t> </w:t>
      </w:r>
      <w:r>
        <w:rPr>
          <w:color w:val="231F20"/>
          <w:w w:val="105"/>
        </w:rPr>
        <w:t>de</w:t>
      </w:r>
      <w:r>
        <w:rPr>
          <w:color w:val="231F20"/>
          <w:spacing w:val="-13"/>
          <w:w w:val="105"/>
        </w:rPr>
        <w:t> </w:t>
      </w:r>
      <w:r>
        <w:rPr>
          <w:color w:val="231F20"/>
          <w:w w:val="105"/>
        </w:rPr>
        <w:t>carácter</w:t>
      </w:r>
      <w:r>
        <w:rPr>
          <w:color w:val="231F20"/>
          <w:spacing w:val="-13"/>
          <w:w w:val="105"/>
        </w:rPr>
        <w:t> </w:t>
      </w:r>
      <w:r>
        <w:rPr>
          <w:color w:val="231F20"/>
          <w:w w:val="105"/>
        </w:rPr>
        <w:t>descriptivo</w:t>
      </w:r>
      <w:r>
        <w:rPr>
          <w:color w:val="231F20"/>
          <w:spacing w:val="-13"/>
          <w:w w:val="105"/>
        </w:rPr>
        <w:t> </w:t>
      </w:r>
      <w:r>
        <w:rPr>
          <w:color w:val="231F20"/>
          <w:w w:val="105"/>
        </w:rPr>
        <w:t>y</w:t>
      </w:r>
      <w:r>
        <w:rPr>
          <w:color w:val="231F20"/>
          <w:spacing w:val="-13"/>
          <w:w w:val="105"/>
        </w:rPr>
        <w:t> </w:t>
      </w:r>
      <w:r>
        <w:rPr>
          <w:color w:val="231F20"/>
          <w:w w:val="105"/>
        </w:rPr>
        <w:t>analítico,</w:t>
      </w:r>
      <w:r>
        <w:rPr>
          <w:color w:val="231F20"/>
          <w:spacing w:val="-13"/>
          <w:w w:val="105"/>
        </w:rPr>
        <w:t> </w:t>
      </w:r>
      <w:r>
        <w:rPr>
          <w:color w:val="231F20"/>
          <w:w w:val="105"/>
        </w:rPr>
        <w:t>cuya</w:t>
      </w:r>
      <w:r>
        <w:rPr>
          <w:color w:val="231F20"/>
          <w:spacing w:val="-13"/>
          <w:w w:val="105"/>
        </w:rPr>
        <w:t> </w:t>
      </w:r>
      <w:r>
        <w:rPr>
          <w:color w:val="231F20"/>
          <w:w w:val="105"/>
        </w:rPr>
        <w:t>fuente</w:t>
      </w:r>
      <w:r>
        <w:rPr>
          <w:color w:val="231F20"/>
          <w:spacing w:val="-13"/>
          <w:w w:val="105"/>
        </w:rPr>
        <w:t> </w:t>
      </w:r>
      <w:r>
        <w:rPr>
          <w:color w:val="231F20"/>
          <w:w w:val="105"/>
        </w:rPr>
        <w:t>de</w:t>
      </w:r>
      <w:r>
        <w:rPr>
          <w:color w:val="231F20"/>
          <w:spacing w:val="-13"/>
          <w:w w:val="105"/>
        </w:rPr>
        <w:t> </w:t>
      </w:r>
      <w:r>
        <w:rPr>
          <w:color w:val="231F20"/>
          <w:w w:val="105"/>
        </w:rPr>
        <w:t>información</w:t>
      </w:r>
      <w:r>
        <w:rPr>
          <w:color w:val="231F20"/>
          <w:spacing w:val="-13"/>
          <w:w w:val="105"/>
        </w:rPr>
        <w:t> </w:t>
      </w:r>
      <w:r>
        <w:rPr>
          <w:color w:val="231F20"/>
          <w:w w:val="105"/>
        </w:rPr>
        <w:t>fue</w:t>
      </w:r>
      <w:r>
        <w:rPr>
          <w:color w:val="231F20"/>
          <w:spacing w:val="-13"/>
          <w:w w:val="105"/>
        </w:rPr>
        <w:t> </w:t>
      </w:r>
      <w:r>
        <w:rPr>
          <w:color w:val="231F20"/>
          <w:w w:val="105"/>
        </w:rPr>
        <w:t>la</w:t>
      </w:r>
      <w:r>
        <w:rPr>
          <w:color w:val="231F20"/>
          <w:spacing w:val="-13"/>
          <w:w w:val="105"/>
        </w:rPr>
        <w:t> </w:t>
      </w:r>
      <w:r>
        <w:rPr>
          <w:color w:val="231F20"/>
          <w:w w:val="105"/>
        </w:rPr>
        <w:t>revi- sión</w:t>
      </w:r>
      <w:r>
        <w:rPr>
          <w:color w:val="231F20"/>
          <w:spacing w:val="-9"/>
          <w:w w:val="105"/>
        </w:rPr>
        <w:t> </w:t>
      </w:r>
      <w:r>
        <w:rPr>
          <w:color w:val="231F20"/>
          <w:w w:val="105"/>
        </w:rPr>
        <w:t>de</w:t>
      </w:r>
      <w:r>
        <w:rPr>
          <w:color w:val="231F20"/>
          <w:spacing w:val="-9"/>
          <w:w w:val="105"/>
        </w:rPr>
        <w:t> </w:t>
      </w:r>
      <w:r>
        <w:rPr>
          <w:color w:val="231F20"/>
          <w:w w:val="105"/>
        </w:rPr>
        <w:t>documentos</w:t>
      </w:r>
      <w:r>
        <w:rPr>
          <w:color w:val="231F20"/>
          <w:spacing w:val="-9"/>
          <w:w w:val="105"/>
        </w:rPr>
        <w:t> </w:t>
      </w:r>
      <w:r>
        <w:rPr>
          <w:color w:val="231F20"/>
          <w:w w:val="105"/>
        </w:rPr>
        <w:t>oficiales</w:t>
      </w:r>
      <w:r>
        <w:rPr>
          <w:color w:val="231F20"/>
          <w:spacing w:val="-9"/>
          <w:w w:val="105"/>
        </w:rPr>
        <w:t> </w:t>
      </w:r>
      <w:r>
        <w:rPr>
          <w:color w:val="231F20"/>
          <w:w w:val="105"/>
        </w:rPr>
        <w:t>y</w:t>
      </w:r>
      <w:r>
        <w:rPr>
          <w:color w:val="231F20"/>
          <w:spacing w:val="-9"/>
          <w:w w:val="105"/>
        </w:rPr>
        <w:t> </w:t>
      </w:r>
      <w:r>
        <w:rPr>
          <w:color w:val="231F20"/>
          <w:w w:val="105"/>
        </w:rPr>
        <w:t>notas</w:t>
      </w:r>
      <w:r>
        <w:rPr>
          <w:color w:val="231F20"/>
          <w:spacing w:val="-9"/>
          <w:w w:val="105"/>
        </w:rPr>
        <w:t> </w:t>
      </w:r>
      <w:r>
        <w:rPr>
          <w:color w:val="231F20"/>
          <w:w w:val="105"/>
        </w:rPr>
        <w:t>periodísticas</w:t>
      </w:r>
      <w:r>
        <w:rPr>
          <w:color w:val="231F20"/>
          <w:spacing w:val="-9"/>
          <w:w w:val="105"/>
        </w:rPr>
        <w:t> </w:t>
      </w:r>
      <w:r>
        <w:rPr>
          <w:color w:val="231F20"/>
          <w:w w:val="105"/>
        </w:rPr>
        <w:t>de</w:t>
      </w:r>
      <w:r>
        <w:rPr>
          <w:color w:val="231F20"/>
          <w:spacing w:val="-9"/>
          <w:w w:val="105"/>
        </w:rPr>
        <w:t> </w:t>
      </w:r>
      <w:r>
        <w:rPr>
          <w:color w:val="231F20"/>
          <w:w w:val="105"/>
        </w:rPr>
        <w:t>diarios</w:t>
      </w:r>
      <w:r>
        <w:rPr>
          <w:color w:val="231F20"/>
          <w:spacing w:val="-9"/>
          <w:w w:val="105"/>
        </w:rPr>
        <w:t> </w:t>
      </w:r>
      <w:r>
        <w:rPr>
          <w:color w:val="231F20"/>
          <w:w w:val="105"/>
        </w:rPr>
        <w:t>locales,</w:t>
      </w:r>
      <w:r>
        <w:rPr>
          <w:color w:val="231F20"/>
          <w:spacing w:val="-9"/>
          <w:w w:val="105"/>
        </w:rPr>
        <w:t> </w:t>
      </w:r>
      <w:r>
        <w:rPr>
          <w:color w:val="231F20"/>
          <w:w w:val="105"/>
        </w:rPr>
        <w:t>entrevistas</w:t>
      </w:r>
      <w:r>
        <w:rPr>
          <w:color w:val="231F20"/>
          <w:spacing w:val="-9"/>
          <w:w w:val="105"/>
        </w:rPr>
        <w:t> </w:t>
      </w:r>
      <w:r>
        <w:rPr>
          <w:color w:val="231F20"/>
          <w:w w:val="105"/>
        </w:rPr>
        <w:t>con</w:t>
      </w:r>
      <w:r>
        <w:rPr>
          <w:color w:val="231F20"/>
          <w:spacing w:val="-9"/>
          <w:w w:val="105"/>
        </w:rPr>
        <w:t> </w:t>
      </w:r>
      <w:r>
        <w:rPr>
          <w:color w:val="231F20"/>
          <w:w w:val="105"/>
        </w:rPr>
        <w:t>el presidente</w:t>
      </w:r>
      <w:r>
        <w:rPr>
          <w:color w:val="231F20"/>
          <w:spacing w:val="-26"/>
          <w:w w:val="105"/>
        </w:rPr>
        <w:t> </w:t>
      </w:r>
      <w:r>
        <w:rPr>
          <w:color w:val="231F20"/>
          <w:w w:val="105"/>
        </w:rPr>
        <w:t>municipal</w:t>
      </w:r>
      <w:r>
        <w:rPr>
          <w:color w:val="231F20"/>
          <w:spacing w:val="-26"/>
          <w:w w:val="105"/>
        </w:rPr>
        <w:t> </w:t>
      </w:r>
      <w:r>
        <w:rPr>
          <w:color w:val="231F20"/>
          <w:w w:val="105"/>
        </w:rPr>
        <w:t>y</w:t>
      </w:r>
      <w:r>
        <w:rPr>
          <w:color w:val="231F20"/>
          <w:spacing w:val="-26"/>
          <w:w w:val="105"/>
        </w:rPr>
        <w:t> </w:t>
      </w:r>
      <w:r>
        <w:rPr>
          <w:color w:val="231F20"/>
          <w:w w:val="105"/>
        </w:rPr>
        <w:t>regidores,</w:t>
      </w:r>
      <w:r>
        <w:rPr>
          <w:color w:val="231F20"/>
          <w:spacing w:val="-27"/>
          <w:w w:val="105"/>
        </w:rPr>
        <w:t> </w:t>
      </w:r>
      <w:r>
        <w:rPr>
          <w:color w:val="231F20"/>
          <w:w w:val="105"/>
        </w:rPr>
        <w:t>además</w:t>
      </w:r>
      <w:r>
        <w:rPr>
          <w:color w:val="231F20"/>
          <w:spacing w:val="-27"/>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utilización</w:t>
      </w:r>
      <w:r>
        <w:rPr>
          <w:color w:val="231F20"/>
          <w:spacing w:val="-26"/>
          <w:w w:val="105"/>
        </w:rPr>
        <w:t> </w:t>
      </w:r>
      <w:r>
        <w:rPr>
          <w:color w:val="231F20"/>
          <w:w w:val="105"/>
        </w:rPr>
        <w:t>de</w:t>
      </w:r>
      <w:r>
        <w:rPr>
          <w:color w:val="231F20"/>
          <w:spacing w:val="-27"/>
          <w:w w:val="105"/>
        </w:rPr>
        <w:t> </w:t>
      </w:r>
      <w:r>
        <w:rPr>
          <w:color w:val="231F20"/>
          <w:w w:val="105"/>
        </w:rPr>
        <w:t>indicadores</w:t>
      </w:r>
      <w:r>
        <w:rPr>
          <w:color w:val="231F20"/>
          <w:spacing w:val="-26"/>
          <w:w w:val="105"/>
        </w:rPr>
        <w:t> </w:t>
      </w:r>
      <w:r>
        <w:rPr>
          <w:color w:val="231F20"/>
          <w:w w:val="105"/>
        </w:rPr>
        <w:t>elaborados</w:t>
      </w:r>
      <w:r>
        <w:rPr>
          <w:color w:val="231F20"/>
          <w:spacing w:val="-26"/>
          <w:w w:val="105"/>
        </w:rPr>
        <w:t> </w:t>
      </w:r>
      <w:r>
        <w:rPr>
          <w:color w:val="231F20"/>
          <w:w w:val="105"/>
        </w:rPr>
        <w:t>por el</w:t>
      </w:r>
      <w:r>
        <w:rPr>
          <w:color w:val="231F20"/>
          <w:spacing w:val="-10"/>
          <w:w w:val="105"/>
        </w:rPr>
        <w:t> </w:t>
      </w:r>
      <w:r>
        <w:rPr>
          <w:color w:val="231F20"/>
          <w:w w:val="105"/>
        </w:rPr>
        <w:t>INEGI,</w:t>
      </w:r>
      <w:r>
        <w:rPr>
          <w:color w:val="231F20"/>
          <w:spacing w:val="-10"/>
          <w:w w:val="105"/>
        </w:rPr>
        <w:t> </w:t>
      </w:r>
      <w:r>
        <w:rPr>
          <w:color w:val="231F20"/>
          <w:w w:val="105"/>
        </w:rPr>
        <w:t>CONAPO,</w:t>
      </w:r>
      <w:r>
        <w:rPr>
          <w:color w:val="231F20"/>
          <w:spacing w:val="-10"/>
          <w:w w:val="105"/>
        </w:rPr>
        <w:t> </w:t>
      </w:r>
      <w:r>
        <w:rPr>
          <w:color w:val="231F20"/>
          <w:w w:val="105"/>
        </w:rPr>
        <w:t>Instituto</w:t>
      </w:r>
      <w:r>
        <w:rPr>
          <w:color w:val="231F20"/>
          <w:spacing w:val="-10"/>
          <w:w w:val="105"/>
        </w:rPr>
        <w:t> </w:t>
      </w:r>
      <w:r>
        <w:rPr>
          <w:color w:val="231F20"/>
          <w:w w:val="105"/>
        </w:rPr>
        <w:t>Nacional</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Federalismo</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Desarrollo</w:t>
      </w:r>
      <w:r>
        <w:rPr>
          <w:color w:val="231F20"/>
          <w:spacing w:val="-10"/>
          <w:w w:val="105"/>
        </w:rPr>
        <w:t> </w:t>
      </w:r>
      <w:r>
        <w:rPr>
          <w:color w:val="231F20"/>
          <w:w w:val="105"/>
        </w:rPr>
        <w:t>Municipal (INAFED),</w:t>
      </w:r>
      <w:r>
        <w:rPr>
          <w:color w:val="231F20"/>
          <w:spacing w:val="-25"/>
          <w:w w:val="105"/>
        </w:rPr>
        <w:t> </w:t>
      </w:r>
      <w:r>
        <w:rPr>
          <w:color w:val="231F20"/>
          <w:w w:val="105"/>
        </w:rPr>
        <w:t>la</w:t>
      </w:r>
      <w:r>
        <w:rPr>
          <w:color w:val="231F20"/>
          <w:spacing w:val="-25"/>
          <w:w w:val="105"/>
        </w:rPr>
        <w:t> </w:t>
      </w:r>
      <w:r>
        <w:rPr>
          <w:color w:val="231F20"/>
          <w:w w:val="105"/>
        </w:rPr>
        <w:t>Auditoría</w:t>
      </w:r>
      <w:r>
        <w:rPr>
          <w:color w:val="231F20"/>
          <w:spacing w:val="-25"/>
          <w:w w:val="105"/>
        </w:rPr>
        <w:t> </w:t>
      </w:r>
      <w:r>
        <w:rPr>
          <w:color w:val="231F20"/>
          <w:w w:val="105"/>
        </w:rPr>
        <w:t>del</w:t>
      </w:r>
      <w:r>
        <w:rPr>
          <w:color w:val="231F20"/>
          <w:spacing w:val="-25"/>
          <w:w w:val="105"/>
        </w:rPr>
        <w:t> </w:t>
      </w:r>
      <w:r>
        <w:rPr>
          <w:color w:val="231F20"/>
          <w:w w:val="105"/>
        </w:rPr>
        <w:t>Congreso</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México</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Programa</w:t>
      </w:r>
      <w:r>
        <w:rPr>
          <w:color w:val="231F20"/>
          <w:spacing w:val="-25"/>
          <w:w w:val="105"/>
        </w:rPr>
        <w:t> </w:t>
      </w:r>
      <w:r>
        <w:rPr>
          <w:color w:val="231F20"/>
          <w:w w:val="105"/>
        </w:rPr>
        <w:t>de</w:t>
      </w:r>
      <w:r>
        <w:rPr>
          <w:color w:val="231F20"/>
          <w:spacing w:val="-25"/>
          <w:w w:val="105"/>
        </w:rPr>
        <w:t> </w:t>
      </w:r>
      <w:r>
        <w:rPr>
          <w:color w:val="231F20"/>
          <w:w w:val="105"/>
        </w:rPr>
        <w:t>Desarrollo de</w:t>
      </w:r>
      <w:r>
        <w:rPr>
          <w:color w:val="231F20"/>
          <w:spacing w:val="-28"/>
          <w:w w:val="105"/>
        </w:rPr>
        <w:t> </w:t>
      </w:r>
      <w:r>
        <w:rPr>
          <w:color w:val="231F20"/>
          <w:w w:val="105"/>
        </w:rPr>
        <w:t>la</w:t>
      </w:r>
      <w:r>
        <w:rPr>
          <w:color w:val="231F20"/>
          <w:spacing w:val="-28"/>
          <w:w w:val="105"/>
        </w:rPr>
        <w:t> </w:t>
      </w:r>
      <w:r>
        <w:rPr>
          <w:color w:val="231F20"/>
          <w:w w:val="105"/>
        </w:rPr>
        <w:t>Naciones</w:t>
      </w:r>
      <w:r>
        <w:rPr>
          <w:color w:val="231F20"/>
          <w:spacing w:val="-28"/>
          <w:w w:val="105"/>
        </w:rPr>
        <w:t> </w:t>
      </w:r>
      <w:r>
        <w:rPr>
          <w:color w:val="231F20"/>
          <w:w w:val="105"/>
        </w:rPr>
        <w:t>Unidas</w:t>
      </w:r>
      <w:r>
        <w:rPr>
          <w:color w:val="231F20"/>
          <w:spacing w:val="-28"/>
          <w:w w:val="105"/>
        </w:rPr>
        <w:t> </w:t>
      </w:r>
      <w:r>
        <w:rPr>
          <w:color w:val="231F20"/>
          <w:w w:val="105"/>
        </w:rPr>
        <w:t>(PNUD).</w:t>
      </w:r>
    </w:p>
    <w:p>
      <w:pPr>
        <w:pStyle w:val="BodyText"/>
        <w:spacing w:before="1"/>
        <w:rPr>
          <w:sz w:val="26"/>
        </w:rPr>
      </w:pPr>
    </w:p>
    <w:p>
      <w:pPr>
        <w:pStyle w:val="BodyText"/>
        <w:spacing w:line="285" w:lineRule="auto"/>
        <w:ind w:left="110" w:right="108"/>
        <w:jc w:val="both"/>
      </w:pPr>
      <w:r>
        <w:rPr>
          <w:color w:val="231F20"/>
          <w:w w:val="105"/>
        </w:rPr>
        <w:t>El</w:t>
      </w:r>
      <w:r>
        <w:rPr>
          <w:color w:val="231F20"/>
          <w:spacing w:val="-8"/>
          <w:w w:val="105"/>
        </w:rPr>
        <w:t> </w:t>
      </w:r>
      <w:r>
        <w:rPr>
          <w:color w:val="231F20"/>
          <w:w w:val="105"/>
        </w:rPr>
        <w:t>binomio</w:t>
      </w:r>
      <w:r>
        <w:rPr>
          <w:color w:val="231F20"/>
          <w:spacing w:val="-8"/>
          <w:w w:val="105"/>
        </w:rPr>
        <w:t> </w:t>
      </w:r>
      <w:r>
        <w:rPr>
          <w:color w:val="231F20"/>
          <w:w w:val="105"/>
        </w:rPr>
        <w:t>partidos</w:t>
      </w:r>
      <w:r>
        <w:rPr>
          <w:color w:val="231F20"/>
          <w:spacing w:val="-8"/>
          <w:w w:val="105"/>
        </w:rPr>
        <w:t> </w:t>
      </w:r>
      <w:r>
        <w:rPr>
          <w:color w:val="231F20"/>
          <w:w w:val="105"/>
        </w:rPr>
        <w:t>políticos</w:t>
      </w:r>
      <w:r>
        <w:rPr>
          <w:color w:val="231F20"/>
          <w:spacing w:val="-8"/>
          <w:w w:val="105"/>
        </w:rPr>
        <w:t> </w:t>
      </w:r>
      <w:r>
        <w:rPr>
          <w:color w:val="231F20"/>
          <w:w w:val="105"/>
        </w:rPr>
        <w:t>y</w:t>
      </w:r>
      <w:r>
        <w:rPr>
          <w:color w:val="231F20"/>
          <w:spacing w:val="-8"/>
          <w:w w:val="105"/>
        </w:rPr>
        <w:t> </w:t>
      </w:r>
      <w:r>
        <w:rPr>
          <w:color w:val="231F20"/>
          <w:w w:val="105"/>
        </w:rPr>
        <w:t>gobierno</w:t>
      </w:r>
      <w:r>
        <w:rPr>
          <w:color w:val="231F20"/>
          <w:spacing w:val="-8"/>
          <w:w w:val="105"/>
        </w:rPr>
        <w:t> </w:t>
      </w:r>
      <w:r>
        <w:rPr>
          <w:color w:val="231F20"/>
          <w:w w:val="105"/>
        </w:rPr>
        <w:t>ha</w:t>
      </w:r>
      <w:r>
        <w:rPr>
          <w:color w:val="231F20"/>
          <w:spacing w:val="-8"/>
          <w:w w:val="105"/>
        </w:rPr>
        <w:t> </w:t>
      </w:r>
      <w:r>
        <w:rPr>
          <w:color w:val="231F20"/>
          <w:w w:val="105"/>
        </w:rPr>
        <w:t>sido</w:t>
      </w:r>
      <w:r>
        <w:rPr>
          <w:color w:val="231F20"/>
          <w:spacing w:val="-8"/>
          <w:w w:val="105"/>
        </w:rPr>
        <w:t> </w:t>
      </w:r>
      <w:r>
        <w:rPr>
          <w:color w:val="231F20"/>
          <w:w w:val="105"/>
        </w:rPr>
        <w:t>abordado</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estudios</w:t>
      </w:r>
      <w:r>
        <w:rPr>
          <w:color w:val="231F20"/>
          <w:spacing w:val="-8"/>
          <w:w w:val="105"/>
        </w:rPr>
        <w:t> </w:t>
      </w:r>
      <w:r>
        <w:rPr>
          <w:color w:val="231F20"/>
          <w:w w:val="105"/>
        </w:rPr>
        <w:t>electorales</w:t>
      </w:r>
      <w:r>
        <w:rPr>
          <w:color w:val="231F20"/>
          <w:spacing w:val="-8"/>
          <w:w w:val="105"/>
        </w:rPr>
        <w:t> </w:t>
      </w:r>
      <w:r>
        <w:rPr>
          <w:color w:val="231F20"/>
          <w:w w:val="105"/>
        </w:rPr>
        <w:t>y en</w:t>
      </w:r>
      <w:r>
        <w:rPr>
          <w:color w:val="231F20"/>
          <w:spacing w:val="-23"/>
          <w:w w:val="105"/>
        </w:rPr>
        <w:t> </w:t>
      </w:r>
      <w:r>
        <w:rPr>
          <w:color w:val="231F20"/>
          <w:w w:val="105"/>
        </w:rPr>
        <w:t>las</w:t>
      </w:r>
      <w:r>
        <w:rPr>
          <w:color w:val="231F20"/>
          <w:spacing w:val="-23"/>
          <w:w w:val="105"/>
        </w:rPr>
        <w:t> </w:t>
      </w:r>
      <w:r>
        <w:rPr>
          <w:color w:val="231F20"/>
          <w:w w:val="105"/>
        </w:rPr>
        <w:t>investigaciones</w:t>
      </w:r>
      <w:r>
        <w:rPr>
          <w:color w:val="231F20"/>
          <w:spacing w:val="-23"/>
          <w:w w:val="105"/>
        </w:rPr>
        <w:t> </w:t>
      </w:r>
      <w:r>
        <w:rPr>
          <w:color w:val="231F20"/>
          <w:w w:val="105"/>
        </w:rPr>
        <w:t>de</w:t>
      </w:r>
      <w:r>
        <w:rPr>
          <w:color w:val="231F20"/>
          <w:spacing w:val="-23"/>
          <w:w w:val="105"/>
        </w:rPr>
        <w:t> </w:t>
      </w:r>
      <w:r>
        <w:rPr>
          <w:color w:val="231F20"/>
          <w:w w:val="105"/>
        </w:rPr>
        <w:t>desempeño</w:t>
      </w:r>
      <w:r>
        <w:rPr>
          <w:color w:val="231F20"/>
          <w:spacing w:val="-23"/>
          <w:w w:val="105"/>
        </w:rPr>
        <w:t> </w:t>
      </w:r>
      <w:r>
        <w:rPr>
          <w:color w:val="231F20"/>
          <w:w w:val="105"/>
        </w:rPr>
        <w:t>gubernamental</w:t>
      </w:r>
      <w:r>
        <w:rPr>
          <w:color w:val="231F20"/>
          <w:spacing w:val="-23"/>
          <w:w w:val="105"/>
        </w:rPr>
        <w:t> </w:t>
      </w:r>
      <w:r>
        <w:rPr>
          <w:color w:val="231F20"/>
          <w:w w:val="105"/>
        </w:rPr>
        <w:t>de</w:t>
      </w:r>
      <w:r>
        <w:rPr>
          <w:color w:val="231F20"/>
          <w:spacing w:val="-23"/>
          <w:w w:val="105"/>
        </w:rPr>
        <w:t> </w:t>
      </w:r>
      <w:r>
        <w:rPr>
          <w:color w:val="231F20"/>
          <w:w w:val="105"/>
        </w:rPr>
        <w:t>manera</w:t>
      </w:r>
      <w:r>
        <w:rPr>
          <w:color w:val="231F20"/>
          <w:spacing w:val="-23"/>
          <w:w w:val="105"/>
        </w:rPr>
        <w:t> </w:t>
      </w:r>
      <w:r>
        <w:rPr>
          <w:color w:val="231F20"/>
          <w:w w:val="105"/>
        </w:rPr>
        <w:t>separada.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proyecto de investigación del que forma parte Ixtapan de la Sal se </w:t>
      </w:r>
      <w:r>
        <w:rPr>
          <w:color w:val="231F20"/>
          <w:spacing w:val="2"/>
          <w:w w:val="105"/>
        </w:rPr>
        <w:t>analizan </w:t>
      </w:r>
      <w:r>
        <w:rPr>
          <w:color w:val="231F20"/>
          <w:w w:val="105"/>
        </w:rPr>
        <w:t>como factores inte- rrelacionados,</w:t>
      </w:r>
      <w:r>
        <w:rPr>
          <w:color w:val="231F20"/>
          <w:spacing w:val="-15"/>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cada</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estudio</w:t>
      </w:r>
      <w:r>
        <w:rPr>
          <w:color w:val="231F20"/>
          <w:spacing w:val="-15"/>
          <w:w w:val="105"/>
        </w:rPr>
        <w:t> </w:t>
      </w:r>
      <w:r>
        <w:rPr>
          <w:color w:val="231F20"/>
          <w:w w:val="105"/>
        </w:rPr>
        <w:t>representa</w:t>
      </w:r>
      <w:r>
        <w:rPr>
          <w:color w:val="231F20"/>
          <w:spacing w:val="-15"/>
          <w:w w:val="105"/>
        </w:rPr>
        <w:t> </w:t>
      </w:r>
      <w:r>
        <w:rPr>
          <w:color w:val="231F20"/>
          <w:w w:val="105"/>
        </w:rPr>
        <w:t>un</w:t>
      </w:r>
      <w:r>
        <w:rPr>
          <w:color w:val="231F20"/>
          <w:spacing w:val="-15"/>
          <w:w w:val="105"/>
        </w:rPr>
        <w:t> </w:t>
      </w:r>
      <w:r>
        <w:rPr>
          <w:color w:val="231F20"/>
          <w:spacing w:val="2"/>
          <w:w w:val="105"/>
        </w:rPr>
        <w:t>análisis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situación</w:t>
      </w:r>
      <w:r>
        <w:rPr>
          <w:color w:val="231F20"/>
          <w:spacing w:val="-15"/>
          <w:w w:val="105"/>
        </w:rPr>
        <w:t> </w:t>
      </w:r>
      <w:r>
        <w:rPr>
          <w:color w:val="231F20"/>
          <w:w w:val="105"/>
        </w:rPr>
        <w:t>real del</w:t>
      </w:r>
      <w:r>
        <w:rPr>
          <w:color w:val="231F20"/>
          <w:spacing w:val="-6"/>
          <w:w w:val="105"/>
        </w:rPr>
        <w:t> </w:t>
      </w:r>
      <w:r>
        <w:rPr>
          <w:color w:val="231F20"/>
          <w:w w:val="105"/>
        </w:rPr>
        <w:t>municipio.</w:t>
      </w:r>
      <w:r>
        <w:rPr>
          <w:color w:val="231F20"/>
          <w:spacing w:val="-6"/>
          <w:w w:val="105"/>
        </w:rPr>
        <w:t> </w:t>
      </w:r>
      <w:r>
        <w:rPr>
          <w:color w:val="231F20"/>
          <w:w w:val="105"/>
        </w:rPr>
        <w:t>Aunque</w:t>
      </w:r>
      <w:r>
        <w:rPr>
          <w:color w:val="231F20"/>
          <w:spacing w:val="-6"/>
          <w:w w:val="105"/>
        </w:rPr>
        <w:t> </w:t>
      </w:r>
      <w:r>
        <w:rPr>
          <w:color w:val="231F20"/>
          <w:w w:val="105"/>
        </w:rPr>
        <w:t>sería</w:t>
      </w:r>
      <w:r>
        <w:rPr>
          <w:color w:val="231F20"/>
          <w:spacing w:val="-6"/>
          <w:w w:val="105"/>
        </w:rPr>
        <w:t> </w:t>
      </w:r>
      <w:r>
        <w:rPr>
          <w:color w:val="231F20"/>
          <w:w w:val="105"/>
        </w:rPr>
        <w:t>un</w:t>
      </w:r>
      <w:r>
        <w:rPr>
          <w:color w:val="231F20"/>
          <w:spacing w:val="-6"/>
          <w:w w:val="105"/>
        </w:rPr>
        <w:t> </w:t>
      </w:r>
      <w:r>
        <w:rPr>
          <w:color w:val="231F20"/>
          <w:w w:val="105"/>
        </w:rPr>
        <w:t>error</w:t>
      </w:r>
      <w:r>
        <w:rPr>
          <w:color w:val="231F20"/>
          <w:spacing w:val="-6"/>
          <w:w w:val="105"/>
        </w:rPr>
        <w:t> </w:t>
      </w:r>
      <w:r>
        <w:rPr>
          <w:color w:val="231F20"/>
          <w:w w:val="105"/>
        </w:rPr>
        <w:t>generalizar,</w:t>
      </w:r>
      <w:r>
        <w:rPr>
          <w:color w:val="231F20"/>
          <w:spacing w:val="-6"/>
          <w:w w:val="105"/>
        </w:rPr>
        <w:t> </w:t>
      </w:r>
      <w:r>
        <w:rPr>
          <w:color w:val="231F20"/>
          <w:w w:val="105"/>
        </w:rPr>
        <w:t>sí</w:t>
      </w:r>
      <w:r>
        <w:rPr>
          <w:color w:val="231F20"/>
          <w:spacing w:val="-6"/>
          <w:w w:val="105"/>
        </w:rPr>
        <w:t> </w:t>
      </w:r>
      <w:r>
        <w:rPr>
          <w:color w:val="231F20"/>
          <w:w w:val="105"/>
        </w:rPr>
        <w:t>se</w:t>
      </w:r>
      <w:r>
        <w:rPr>
          <w:color w:val="231F20"/>
          <w:spacing w:val="-6"/>
          <w:w w:val="105"/>
        </w:rPr>
        <w:t> </w:t>
      </w:r>
      <w:r>
        <w:rPr>
          <w:color w:val="231F20"/>
          <w:w w:val="105"/>
        </w:rPr>
        <w:t>puede</w:t>
      </w:r>
      <w:r>
        <w:rPr>
          <w:color w:val="231F20"/>
          <w:spacing w:val="-6"/>
          <w:w w:val="105"/>
        </w:rPr>
        <w:t> </w:t>
      </w:r>
      <w:r>
        <w:rPr>
          <w:color w:val="231F20"/>
          <w:w w:val="105"/>
        </w:rPr>
        <w:t>dar</w:t>
      </w:r>
      <w:r>
        <w:rPr>
          <w:color w:val="231F20"/>
          <w:spacing w:val="-6"/>
          <w:w w:val="105"/>
        </w:rPr>
        <w:t> </w:t>
      </w:r>
      <w:r>
        <w:rPr>
          <w:color w:val="231F20"/>
          <w:w w:val="105"/>
        </w:rPr>
        <w:t>una</w:t>
      </w:r>
      <w:r>
        <w:rPr>
          <w:color w:val="231F20"/>
          <w:spacing w:val="-6"/>
          <w:w w:val="105"/>
        </w:rPr>
        <w:t> </w:t>
      </w:r>
      <w:r>
        <w:rPr>
          <w:color w:val="231F20"/>
          <w:w w:val="105"/>
        </w:rPr>
        <w:t>visión</w:t>
      </w:r>
      <w:r>
        <w:rPr>
          <w:color w:val="231F20"/>
          <w:spacing w:val="-6"/>
          <w:w w:val="105"/>
        </w:rPr>
        <w:t> </w:t>
      </w:r>
      <w:r>
        <w:rPr>
          <w:color w:val="231F20"/>
          <w:w w:val="105"/>
        </w:rPr>
        <w:t>del</w:t>
      </w:r>
      <w:r>
        <w:rPr>
          <w:color w:val="231F20"/>
          <w:spacing w:val="-6"/>
          <w:w w:val="105"/>
        </w:rPr>
        <w:t> </w:t>
      </w:r>
      <w:r>
        <w:rPr>
          <w:color w:val="231F20"/>
          <w:w w:val="105"/>
        </w:rPr>
        <w:t>estado de</w:t>
      </w:r>
      <w:r>
        <w:rPr>
          <w:color w:val="231F20"/>
          <w:spacing w:val="-15"/>
          <w:w w:val="105"/>
        </w:rPr>
        <w:t> </w:t>
      </w:r>
      <w:r>
        <w:rPr>
          <w:color w:val="231F20"/>
          <w:w w:val="105"/>
        </w:rPr>
        <w:t>los</w:t>
      </w:r>
      <w:r>
        <w:rPr>
          <w:color w:val="231F20"/>
          <w:spacing w:val="-15"/>
          <w:w w:val="105"/>
        </w:rPr>
        <w:t> </w:t>
      </w:r>
      <w:r>
        <w:rPr>
          <w:color w:val="231F20"/>
          <w:w w:val="105"/>
        </w:rPr>
        <w:t>municipios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entidad.</w:t>
      </w:r>
    </w:p>
    <w:p>
      <w:pPr>
        <w:spacing w:after="0" w:line="285" w:lineRule="auto"/>
        <w:jc w:val="both"/>
        <w:sectPr>
          <w:pgSz w:w="9640" w:h="12190"/>
          <w:pgMar w:header="0" w:footer="743" w:top="1120" w:bottom="940" w:left="740" w:right="740"/>
        </w:sectPr>
      </w:pPr>
    </w:p>
    <w:p>
      <w:pPr>
        <w:pStyle w:val="BodyText"/>
        <w:spacing w:before="3"/>
        <w:rPr>
          <w:sz w:val="9"/>
        </w:rPr>
      </w:pPr>
    </w:p>
    <w:p>
      <w:pPr>
        <w:pStyle w:val="Heading3"/>
        <w:spacing w:before="21"/>
      </w:pPr>
      <w:r>
        <w:rPr>
          <w:color w:val="231F20"/>
          <w:w w:val="105"/>
        </w:rPr>
        <w:t>Ixtapan de la Sal: sociedad, elecciones y gobierno</w:t>
      </w:r>
    </w:p>
    <w:p>
      <w:pPr>
        <w:pStyle w:val="BodyText"/>
        <w:spacing w:before="6"/>
        <w:rPr>
          <w:b/>
          <w:sz w:val="23"/>
        </w:rPr>
      </w:pPr>
    </w:p>
    <w:p>
      <w:pPr>
        <w:pStyle w:val="Heading4"/>
        <w:rPr>
          <w:i/>
        </w:rPr>
      </w:pPr>
      <w:r>
        <w:rPr>
          <w:i/>
          <w:color w:val="231F20"/>
          <w:w w:val="105"/>
        </w:rPr>
        <w:t>Sociedad</w:t>
      </w:r>
    </w:p>
    <w:p>
      <w:pPr>
        <w:pStyle w:val="BodyText"/>
        <w:spacing w:line="285" w:lineRule="auto" w:before="16"/>
        <w:ind w:left="110" w:right="108" w:hanging="1"/>
        <w:jc w:val="both"/>
      </w:pPr>
      <w:r>
        <w:rPr>
          <w:color w:val="231F20"/>
          <w:w w:val="105"/>
        </w:rPr>
        <w:t>Ixtapan de la Sal es un municipio semi-urbano, localizado en la región VI</w:t>
      </w:r>
      <w:r>
        <w:rPr>
          <w:color w:val="231F20"/>
          <w:w w:val="105"/>
          <w:position w:val="7"/>
          <w:sz w:val="13"/>
        </w:rPr>
        <w:t>1 </w:t>
      </w:r>
      <w:r>
        <w:rPr>
          <w:color w:val="231F20"/>
          <w:w w:val="105"/>
        </w:rPr>
        <w:t>del sureste del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1"/>
          <w:w w:val="105"/>
        </w:rPr>
        <w:t> </w:t>
      </w:r>
      <w:r>
        <w:rPr>
          <w:color w:val="231F20"/>
          <w:w w:val="105"/>
        </w:rPr>
        <w:t>y</w:t>
      </w:r>
      <w:r>
        <w:rPr>
          <w:color w:val="231F20"/>
          <w:spacing w:val="-21"/>
          <w:w w:val="105"/>
        </w:rPr>
        <w:t> </w:t>
      </w:r>
      <w:r>
        <w:rPr>
          <w:color w:val="231F20"/>
          <w:w w:val="105"/>
        </w:rPr>
        <w:t>que</w:t>
      </w:r>
      <w:r>
        <w:rPr>
          <w:color w:val="231F20"/>
          <w:spacing w:val="-21"/>
          <w:w w:val="105"/>
        </w:rPr>
        <w:t> </w:t>
      </w:r>
      <w:r>
        <w:rPr>
          <w:color w:val="231F20"/>
          <w:w w:val="105"/>
        </w:rPr>
        <w:t>colinda</w:t>
      </w:r>
      <w:r>
        <w:rPr>
          <w:color w:val="231F20"/>
          <w:spacing w:val="-21"/>
          <w:w w:val="105"/>
        </w:rPr>
        <w:t> </w:t>
      </w:r>
      <w:r>
        <w:rPr>
          <w:color w:val="231F20"/>
          <w:spacing w:val="2"/>
          <w:w w:val="105"/>
        </w:rPr>
        <w:t>al</w:t>
      </w:r>
      <w:r>
        <w:rPr>
          <w:color w:val="231F20"/>
          <w:spacing w:val="-21"/>
          <w:w w:val="105"/>
        </w:rPr>
        <w:t> </w:t>
      </w:r>
      <w:r>
        <w:rPr>
          <w:color w:val="231F20"/>
          <w:w w:val="105"/>
        </w:rPr>
        <w:t>norte</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w w:val="105"/>
        </w:rPr>
        <w:t>municipios</w:t>
      </w:r>
      <w:r>
        <w:rPr>
          <w:color w:val="231F20"/>
          <w:spacing w:val="-21"/>
          <w:w w:val="105"/>
        </w:rPr>
        <w:t> </w:t>
      </w:r>
      <w:r>
        <w:rPr>
          <w:color w:val="231F20"/>
          <w:w w:val="105"/>
        </w:rPr>
        <w:t>de</w:t>
      </w:r>
      <w:r>
        <w:rPr>
          <w:color w:val="231F20"/>
          <w:spacing w:val="-21"/>
          <w:w w:val="105"/>
        </w:rPr>
        <w:t> </w:t>
      </w:r>
      <w:r>
        <w:rPr>
          <w:color w:val="231F20"/>
          <w:w w:val="105"/>
        </w:rPr>
        <w:t>Villa</w:t>
      </w:r>
      <w:r>
        <w:rPr>
          <w:color w:val="231F20"/>
          <w:spacing w:val="-21"/>
          <w:w w:val="105"/>
        </w:rPr>
        <w:t> </w:t>
      </w:r>
      <w:r>
        <w:rPr>
          <w:color w:val="231F20"/>
          <w:w w:val="105"/>
        </w:rPr>
        <w:t>Guerrero</w:t>
      </w:r>
      <w:r>
        <w:rPr>
          <w:color w:val="231F20"/>
          <w:spacing w:val="-21"/>
          <w:w w:val="105"/>
        </w:rPr>
        <w:t> </w:t>
      </w:r>
      <w:r>
        <w:rPr>
          <w:color w:val="231F20"/>
          <w:w w:val="105"/>
        </w:rPr>
        <w:t>y</w:t>
      </w:r>
      <w:r>
        <w:rPr>
          <w:color w:val="231F20"/>
          <w:spacing w:val="-21"/>
          <w:w w:val="105"/>
        </w:rPr>
        <w:t> </w:t>
      </w:r>
      <w:r>
        <w:rPr>
          <w:color w:val="231F20"/>
          <w:w w:val="105"/>
        </w:rPr>
        <w:t>Coa- tepec Harinas, </w:t>
      </w:r>
      <w:r>
        <w:rPr>
          <w:color w:val="231F20"/>
          <w:spacing w:val="2"/>
          <w:w w:val="105"/>
        </w:rPr>
        <w:t>al </w:t>
      </w:r>
      <w:r>
        <w:rPr>
          <w:color w:val="231F20"/>
          <w:w w:val="105"/>
        </w:rPr>
        <w:t>oriente con Villa Guerrero y Zumpahuacan, </w:t>
      </w:r>
      <w:r>
        <w:rPr>
          <w:color w:val="231F20"/>
          <w:spacing w:val="2"/>
          <w:w w:val="105"/>
        </w:rPr>
        <w:t>al </w:t>
      </w:r>
      <w:r>
        <w:rPr>
          <w:color w:val="231F20"/>
          <w:w w:val="105"/>
        </w:rPr>
        <w:t>poniente con Zacual- pan,</w:t>
      </w:r>
      <w:r>
        <w:rPr>
          <w:color w:val="231F20"/>
          <w:spacing w:val="-13"/>
          <w:w w:val="105"/>
        </w:rPr>
        <w:t> </w:t>
      </w:r>
      <w:r>
        <w:rPr>
          <w:color w:val="231F20"/>
          <w:w w:val="105"/>
        </w:rPr>
        <w:t>y</w:t>
      </w:r>
      <w:r>
        <w:rPr>
          <w:color w:val="231F20"/>
          <w:spacing w:val="-13"/>
          <w:w w:val="105"/>
        </w:rPr>
        <w:t> </w:t>
      </w:r>
      <w:r>
        <w:rPr>
          <w:color w:val="231F20"/>
          <w:spacing w:val="2"/>
          <w:w w:val="105"/>
        </w:rPr>
        <w:t>al</w:t>
      </w:r>
      <w:r>
        <w:rPr>
          <w:color w:val="231F20"/>
          <w:spacing w:val="-13"/>
          <w:w w:val="105"/>
        </w:rPr>
        <w:t> </w:t>
      </w:r>
      <w:r>
        <w:rPr>
          <w:color w:val="231F20"/>
          <w:w w:val="105"/>
        </w:rPr>
        <w:t>sur</w:t>
      </w:r>
      <w:r>
        <w:rPr>
          <w:color w:val="231F20"/>
          <w:spacing w:val="-13"/>
          <w:w w:val="105"/>
        </w:rPr>
        <w:t> </w:t>
      </w:r>
      <w:r>
        <w:rPr>
          <w:color w:val="231F20"/>
          <w:w w:val="105"/>
        </w:rPr>
        <w:t>con</w:t>
      </w:r>
      <w:r>
        <w:rPr>
          <w:color w:val="231F20"/>
          <w:spacing w:val="-13"/>
          <w:w w:val="105"/>
        </w:rPr>
        <w:t> </w:t>
      </w:r>
      <w:r>
        <w:rPr>
          <w:color w:val="231F20"/>
          <w:spacing w:val="-4"/>
          <w:w w:val="105"/>
        </w:rPr>
        <w:t>Tonatico</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Guerrero</w:t>
      </w:r>
      <w:r>
        <w:rPr>
          <w:color w:val="231F20"/>
          <w:spacing w:val="-13"/>
          <w:w w:val="105"/>
        </w:rPr>
        <w:t> </w:t>
      </w:r>
      <w:r>
        <w:rPr>
          <w:color w:val="231F20"/>
          <w:spacing w:val="-5"/>
          <w:w w:val="105"/>
        </w:rPr>
        <w:t>(Ver</w:t>
      </w:r>
      <w:r>
        <w:rPr>
          <w:color w:val="231F20"/>
          <w:spacing w:val="-13"/>
          <w:w w:val="105"/>
        </w:rPr>
        <w:t> </w:t>
      </w:r>
      <w:r>
        <w:rPr>
          <w:color w:val="231F20"/>
          <w:w w:val="105"/>
        </w:rPr>
        <w:t>gráfico</w:t>
      </w:r>
      <w:r>
        <w:rPr>
          <w:color w:val="231F20"/>
          <w:spacing w:val="-13"/>
          <w:w w:val="105"/>
        </w:rPr>
        <w:t> </w:t>
      </w:r>
      <w:r>
        <w:rPr>
          <w:color w:val="231F20"/>
          <w:spacing w:val="-7"/>
          <w:w w:val="105"/>
        </w:rPr>
        <w:t>1).</w:t>
      </w:r>
    </w:p>
    <w:p>
      <w:pPr>
        <w:pStyle w:val="BodyText"/>
        <w:spacing w:before="1"/>
        <w:rPr>
          <w:sz w:val="26"/>
        </w:rPr>
      </w:pPr>
    </w:p>
    <w:p>
      <w:pPr>
        <w:pStyle w:val="Heading5"/>
        <w:ind w:left="2237"/>
        <w:rPr>
          <w:b w:val="0"/>
        </w:rPr>
      </w:pPr>
      <w:r>
        <w:rPr>
          <w:color w:val="231F20"/>
          <w:w w:val="105"/>
        </w:rPr>
        <w:t>Gráfico 1. Localización del municipio</w:t>
      </w:r>
      <w:r>
        <w:rPr>
          <w:b w:val="0"/>
          <w:color w:val="231F20"/>
          <w:w w:val="105"/>
        </w:rPr>
        <w:t>.</w:t>
      </w:r>
    </w:p>
    <w:p>
      <w:pPr>
        <w:pStyle w:val="BodyText"/>
        <w:spacing w:before="5"/>
        <w:rPr>
          <w:sz w:val="9"/>
        </w:rPr>
      </w:pPr>
      <w:r>
        <w:rPr/>
        <w:pict>
          <v:group style="position:absolute;margin-left:165.190292pt;margin-top:7.37639pt;width:124.95pt;height:164.4pt;mso-position-horizontal-relative:page;mso-position-vertical-relative:paragraph;z-index:6112;mso-wrap-distance-left:0;mso-wrap-distance-right:0" coordorigin="3304,148" coordsize="2499,3288">
            <v:shape style="position:absolute;left:4536;top:1262;width:1014;height:1028" coordorigin="4536,1262" coordsize="1014,1028" path="m4633,1552l4594,1577,4621,1629,4629,1679,4536,1736,4580,1784,4603,1810,4612,1820,4614,1825,4622,1837,4639,1861,4656,1883,4663,1893,4663,1938,4724,1942,4853,2063,4848,2165,4875,2215,4931,2219,4960,2284,4968,2289,5016,2269,4968,2058,4961,2048,4928,1958,4873,1905,5011,1848,5221,1848,5221,1836,5199,1816,5266,1786,5294,1746,5465,1746,5463,1738,5463,1651,5459,1644,4722,1644,4706,1607,4678,1577,4633,1552xm5213,1883l5134,1883,5143,1920,5190,1921,5207,1895,5213,1883xm5465,1746l5294,1746,5312,1754,5334,1803,5344,1853,5358,1900,5382,1921,5424,1905,5478,1895,5549,1895,5548,1861,5472,1773,5465,1746xm5549,1895l5478,1895,5549,1901,5549,1895xm5221,1848l5011,1848,5053,1880,5080,1898,5134,1883,5213,1883,5222,1866,5221,1848xm4831,1270l4816,1275,4783,1282,4745,1324,4778,1335,4778,1424,4719,1479,4721,1560,4721,1577,4727,1581,4741,1583,4755,1584,4761,1584,4772,1619,4755,1638,4722,1644,5459,1644,5419,1571,5361,1567,5326,1517,5304,1462,5302,1367,5280,1359,5094,1359,5070,1334,5026,1304,4853,1304,4831,1270xm5092,1270l5094,1359,5280,1359,5275,1357,5224,1355,5187,1317,5124,1273,5092,1270xm4926,1262l4878,1262,4867,1294,4853,1304,5026,1304,5021,1300,4946,1300,4938,1278,4933,1267,4930,1262,4926,1262xm5019,1299l4946,1300,5021,1300,5019,1299xe" filled="true" fillcolor="#fbb040" stroked="false">
              <v:path arrowok="t"/>
              <v:fill type="solid"/>
            </v:shape>
            <v:shape style="position:absolute;left:3311;top:155;width:2485;height:3274" coordorigin="3311,155" coordsize="2485,3274" path="m3989,248l4087,185,4114,155,4297,201,4534,201,4534,155,4751,155,4792,225,4958,228,5002,249,5031,261,5056,267,5090,271,5129,271,5163,263,5196,255,5233,255,5265,257,5283,259,5287,267,5280,288,5267,315,5256,337,5249,359,5250,385,5250,409,5250,424,5262,434,5297,445,5345,452,5383,450,5409,445,5419,442,5422,505,5368,569,5392,756,5338,769,5351,829,5412,856,5419,856,5464,874,5488,886,5497,898,5500,916,5504,932,5464,997,5446,1014,5440,1031,5453,1053,5473,1077,5484,1095,5485,1108,5477,1116,5466,1129,5460,1147,5457,1163,5456,1170,5453,1227,5524,1350,5521,1464,5538,1507,5534,1634,5566,1633,5581,1638,5586,1655,5585,1688,5584,1726,5584,1756,5585,1775,5585,1781,5591,1812,5594,1830,5594,1841,5592,1851,5592,1867,5592,1884,5589,1899,5575,1905,5548,1905,5548,1921,5579,1997,5609,2028,5629,2025,5666,2048,5677,2085,5731,2112,5765,2162,5778,2252,5788,2352,5795,2416,5768,2463,5700,2399,5664,2390,5585,2406,5527,2440,5511,2456,5524,2501,5528,2526,5473,2580,5453,2582,5433,2569,5415,2542,5404,2511,5397,2486,5395,2476,5385,2443,5341,2436,5307,2322,5158,2149,5046,2149,4968,2058,5016,2269,4968,2289,4999,2402,5053,2406,5100,2446,5080,2466,5128,2543,5151,2586,5126,2611,5112,2622,5105,2623,5100,2616,5095,2604,5089,2589,5082,2575,5011,2560,5002,2559,4996,2542,4964,2482,4907,2476,4836,2456,4826,2442,4819,2435,4812,2433,4802,2433,4776,2433,4736,2434,4700,2435,4684,2436,4711,2493,4602,2610,4592,2680,4602,2723,4490,2800,4494,2847,4460,2893,4456,2934,4419,2967,4416,3020,4390,3044,4366,3104,4362,3174,4358,3187,4182,3258,4113,3252,4073,3252,3994,3300,3979,3368,3850,3364,3694,3284,3606,3351,3602,3378,3535,3415,3521,3394,3477,3428,3335,3421,3311,3338,3399,3328,3430,3337,3448,3337,3457,3327,3463,3304,3468,3270,3467,3234,3465,3206,3463,3194,3436,3151,3484,3121,3521,3091,3545,3107,3592,3081,3667,3081,3690,3034,3619,2964,3643,2950,3628,2892,3613,2802,3606,2753,3599,2716,3623,2706,3599,2630,3663,2603,3721,2600,3918,2583,3953,2602,4017,2656,4063,2710,4090,2716,4107,2703,4101,2663,4117,2640,4107,2583,4111,2529,4094,2503,4111,2456,4111,2412,4114,2369,4168,2316,4134,2262,4073,2205,4053,2125,3999,2159,3951,2132,3911,2142,3880,2162,3894,2058,3934,1931,3934,1825,3902,1760,3881,1723,3862,1699,3836,1674,3873,1648,3975,1801,4148,1962,4206,1908,4206,1867,4209,1846,4216,1836,4229,1831,4246,1833,4259,1844,4267,1856,4270,1861,4311,1861,4362,1908,4412,1848,4450,1865,4439,1751,4433,1714,4372,1638,4348,1605,4333,1588,4322,1582,4307,1581,4288,1583,4268,1587,4252,1592,4246,1594,4226,1554,4189,1551,4158,1451,4114,1347,4067,1284,3979,1290,3951,1350,3901,1387,3840,1324,3789,1280,3724,1260,3809,1160,3833,1106,3833,1016,3873,980,3890,919,3938,813,3809,772,3751,732,3721,702,3765,579,3951,656,3985,418,4053,425,4038,390,4032,372,4135,359,4202,358,4090,271,4056,271,4002,285,3989,248xe" filled="false" stroked="true" strokeweight=".673pt" strokecolor="#231f20">
              <v:path arrowok="t"/>
            </v:shape>
            <v:shape style="position:absolute;left:4362;top:1270;width:470;height:700" coordorigin="4362,1270" coordsize="470,700" path="m4362,1906l4409,1965,4434,1932,4463,1942,4512,1963,4541,1970,4607,1960,4663,1938,4663,1893,4636,1856,4621,1837,4616,1828,4614,1825,4601,1809,4574,1778,4548,1749,4536,1736,4629,1679,4621,1629,4594,1577,4633,1552,4678,1577,4706,1608,4722,1644,4755,1638,4772,1619,4761,1584,4738,1584,4726,1583,4721,1581,4721,1577,4721,1559,4720,1526,4719,1493,4719,1479,4778,1424,4778,1335,4745,1324,4783,1282,4816,1275,4831,1270e" filled="false" stroked="true" strokeweight=".5pt" strokecolor="#231f20">
              <v:path arrowok="t"/>
            </v:shape>
            <v:shape style="position:absolute;left:4658;top:1933;width:313;height:369" type="#_x0000_t75" stroked="false">
              <v:imagedata r:id="rId145" o:title=""/>
            </v:shape>
            <v:shape style="position:absolute;left:4073;top:226;width:1644;height:2135" type="#_x0000_t75" stroked="false">
              <v:imagedata r:id="rId146" o:title=""/>
            </v:shape>
            <v:shape style="position:absolute;left:4826;top:2870;width:534;height:215" type="#_x0000_t75" stroked="false">
              <v:imagedata r:id="rId147" o:title=""/>
            </v:shape>
            <w10:wrap type="topAndBottom"/>
          </v:group>
        </w:pict>
      </w:r>
      <w:r>
        <w:rPr/>
        <w:drawing>
          <wp:anchor distT="0" distB="0" distL="0" distR="0" allowOverlap="1" layoutInCell="1" locked="0" behindDoc="0" simplePos="0" relativeHeight="6136">
            <wp:simplePos x="0" y="0"/>
            <wp:positionH relativeFrom="page">
              <wp:posOffset>3729098</wp:posOffset>
            </wp:positionH>
            <wp:positionV relativeFrom="paragraph">
              <wp:posOffset>138631</wp:posOffset>
            </wp:positionV>
            <wp:extent cx="301284" cy="309562"/>
            <wp:effectExtent l="0" t="0" r="0" b="0"/>
            <wp:wrapTopAndBottom/>
            <wp:docPr id="77" name="image113.png" descr=""/>
            <wp:cNvGraphicFramePr>
              <a:graphicFrameLocks noChangeAspect="1"/>
            </wp:cNvGraphicFramePr>
            <a:graphic>
              <a:graphicData uri="http://schemas.openxmlformats.org/drawingml/2006/picture">
                <pic:pic>
                  <pic:nvPicPr>
                    <pic:cNvPr id="78" name="image113.png"/>
                    <pic:cNvPicPr/>
                  </pic:nvPicPr>
                  <pic:blipFill>
                    <a:blip r:embed="rId148" cstate="print"/>
                    <a:stretch>
                      <a:fillRect/>
                    </a:stretch>
                  </pic:blipFill>
                  <pic:spPr>
                    <a:xfrm>
                      <a:off x="0" y="0"/>
                      <a:ext cx="301284" cy="309562"/>
                    </a:xfrm>
                    <a:prstGeom prst="rect">
                      <a:avLst/>
                    </a:prstGeom>
                  </pic:spPr>
                </pic:pic>
              </a:graphicData>
            </a:graphic>
          </wp:anchor>
        </w:drawing>
      </w:r>
    </w:p>
    <w:p>
      <w:pPr>
        <w:pStyle w:val="BodyText"/>
        <w:spacing w:before="6"/>
        <w:rPr>
          <w:sz w:val="20"/>
        </w:rPr>
      </w:pPr>
    </w:p>
    <w:p>
      <w:pPr>
        <w:spacing w:before="0"/>
        <w:ind w:left="1088" w:right="-2" w:firstLine="0"/>
        <w:jc w:val="left"/>
        <w:rPr>
          <w:rFonts w:ascii="Calibri" w:hAnsi="Calibri"/>
          <w:sz w:val="16"/>
        </w:rPr>
      </w:pPr>
      <w:r>
        <w:rPr>
          <w:rFonts w:ascii="Calibri" w:hAnsi="Calibri"/>
          <w:color w:val="231F20"/>
          <w:sz w:val="16"/>
        </w:rPr>
        <w:t>Fuente: Enciclopedia de los municipios del Estado de México, México, Instituto Nacional para el Federalismo</w:t>
      </w:r>
    </w:p>
    <w:p>
      <w:pPr>
        <w:spacing w:before="104"/>
        <w:ind w:left="4863" w:right="-2" w:firstLine="0"/>
        <w:jc w:val="left"/>
        <w:rPr>
          <w:rFonts w:ascii="Calibri" w:hAnsi="Calibri"/>
          <w:sz w:val="16"/>
        </w:rPr>
      </w:pPr>
      <w:r>
        <w:rPr>
          <w:rFonts w:ascii="Calibri" w:hAnsi="Calibri"/>
          <w:color w:val="231F20"/>
          <w:sz w:val="16"/>
        </w:rPr>
        <w:t>y el Desarrollo Municipal, Estado de México, 2005.</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pict>
          <v:line style="position:absolute;mso-position-horizontal-relative:page;mso-position-vertical-relative:paragraph;z-index:6160;mso-wrap-distance-left:0;mso-wrap-distance-right:0" from="42.519699pt,80.319336pt" to="114.519699pt,80.319336pt" stroked="true" strokeweight="1pt" strokecolor="#231f20">
            <w10:wrap type="topAndBottom"/>
          </v:line>
        </w:pict>
      </w:r>
      <w:r>
        <w:rPr>
          <w:color w:val="231F20"/>
          <w:w w:val="105"/>
        </w:rPr>
        <w:t>Su extensión </w:t>
      </w:r>
      <w:r>
        <w:rPr>
          <w:color w:val="231F20"/>
          <w:spacing w:val="2"/>
          <w:w w:val="105"/>
        </w:rPr>
        <w:t>territorial </w:t>
      </w:r>
      <w:r>
        <w:rPr>
          <w:color w:val="231F20"/>
          <w:w w:val="105"/>
        </w:rPr>
        <w:t>es de aproximadamente 162.89 </w:t>
      </w:r>
      <w:r>
        <w:rPr>
          <w:color w:val="231F20"/>
          <w:spacing w:val="2"/>
          <w:w w:val="105"/>
        </w:rPr>
        <w:t>kilómetros </w:t>
      </w:r>
      <w:r>
        <w:rPr>
          <w:color w:val="231F20"/>
          <w:w w:val="105"/>
        </w:rPr>
        <w:t>cuadrados, de los </w:t>
      </w:r>
      <w:r>
        <w:rPr>
          <w:color w:val="231F20"/>
          <w:spacing w:val="2"/>
          <w:w w:val="105"/>
        </w:rPr>
        <w:t>cuales</w:t>
      </w:r>
      <w:r>
        <w:rPr>
          <w:color w:val="231F20"/>
          <w:spacing w:val="-7"/>
          <w:w w:val="105"/>
        </w:rPr>
        <w:t> </w:t>
      </w:r>
      <w:r>
        <w:rPr>
          <w:color w:val="231F20"/>
          <w:w w:val="105"/>
        </w:rPr>
        <w:t>el</w:t>
      </w:r>
      <w:r>
        <w:rPr>
          <w:color w:val="231F20"/>
          <w:spacing w:val="-7"/>
          <w:w w:val="105"/>
        </w:rPr>
        <w:t> </w:t>
      </w:r>
      <w:r>
        <w:rPr>
          <w:color w:val="231F20"/>
          <w:w w:val="105"/>
        </w:rPr>
        <w:t>21.97%</w:t>
      </w:r>
      <w:r>
        <w:rPr>
          <w:color w:val="231F20"/>
          <w:spacing w:val="-7"/>
          <w:w w:val="105"/>
        </w:rPr>
        <w:t> </w:t>
      </w:r>
      <w:r>
        <w:rPr>
          <w:color w:val="231F20"/>
          <w:w w:val="105"/>
        </w:rPr>
        <w:t>es</w:t>
      </w:r>
      <w:r>
        <w:rPr>
          <w:color w:val="231F20"/>
          <w:spacing w:val="-7"/>
          <w:w w:val="105"/>
        </w:rPr>
        <w:t> </w:t>
      </w:r>
      <w:r>
        <w:rPr>
          <w:color w:val="231F20"/>
          <w:spacing w:val="2"/>
          <w:w w:val="105"/>
        </w:rPr>
        <w:t>cultivable</w:t>
      </w:r>
      <w:r>
        <w:rPr>
          <w:color w:val="231F20"/>
          <w:spacing w:val="-7"/>
          <w:w w:val="105"/>
        </w:rPr>
        <w:t> </w:t>
      </w:r>
      <w:r>
        <w:rPr>
          <w:color w:val="231F20"/>
          <w:spacing w:val="2"/>
          <w:w w:val="105"/>
        </w:rPr>
        <w:t>(maíz,</w:t>
      </w:r>
      <w:r>
        <w:rPr>
          <w:color w:val="231F20"/>
          <w:spacing w:val="-7"/>
          <w:w w:val="105"/>
        </w:rPr>
        <w:t> </w:t>
      </w:r>
      <w:r>
        <w:rPr>
          <w:color w:val="231F20"/>
          <w:w w:val="105"/>
        </w:rPr>
        <w:t>frijol,</w:t>
      </w:r>
      <w:r>
        <w:rPr>
          <w:color w:val="231F20"/>
          <w:spacing w:val="-7"/>
          <w:w w:val="105"/>
        </w:rPr>
        <w:t> </w:t>
      </w:r>
      <w:r>
        <w:rPr>
          <w:color w:val="231F20"/>
          <w:w w:val="105"/>
        </w:rPr>
        <w:t>sorgo,</w:t>
      </w:r>
      <w:r>
        <w:rPr>
          <w:color w:val="231F20"/>
          <w:spacing w:val="-7"/>
          <w:w w:val="105"/>
        </w:rPr>
        <w:t> </w:t>
      </w:r>
      <w:r>
        <w:rPr>
          <w:color w:val="231F20"/>
          <w:w w:val="105"/>
        </w:rPr>
        <w:t>avena</w:t>
      </w:r>
      <w:r>
        <w:rPr>
          <w:color w:val="231F20"/>
          <w:spacing w:val="-7"/>
          <w:w w:val="105"/>
        </w:rPr>
        <w:t> </w:t>
      </w:r>
      <w:r>
        <w:rPr>
          <w:color w:val="231F20"/>
          <w:w w:val="105"/>
        </w:rPr>
        <w:t>y</w:t>
      </w:r>
      <w:r>
        <w:rPr>
          <w:color w:val="231F20"/>
          <w:spacing w:val="-7"/>
          <w:w w:val="105"/>
        </w:rPr>
        <w:t> </w:t>
      </w:r>
      <w:r>
        <w:rPr>
          <w:color w:val="231F20"/>
          <w:w w:val="105"/>
        </w:rPr>
        <w:t>jitomate,</w:t>
      </w:r>
      <w:r>
        <w:rPr>
          <w:color w:val="231F20"/>
          <w:spacing w:val="-7"/>
          <w:w w:val="105"/>
        </w:rPr>
        <w:t> </w:t>
      </w:r>
      <w:r>
        <w:rPr>
          <w:color w:val="231F20"/>
          <w:w w:val="105"/>
        </w:rPr>
        <w:t>entre</w:t>
      </w:r>
      <w:r>
        <w:rPr>
          <w:color w:val="231F20"/>
          <w:spacing w:val="-7"/>
          <w:w w:val="105"/>
        </w:rPr>
        <w:t> </w:t>
      </w:r>
      <w:r>
        <w:rPr>
          <w:color w:val="231F20"/>
          <w:w w:val="105"/>
        </w:rPr>
        <w:t>otros);</w:t>
      </w:r>
      <w:r>
        <w:rPr>
          <w:color w:val="231F20"/>
          <w:spacing w:val="-7"/>
          <w:w w:val="105"/>
        </w:rPr>
        <w:t> </w:t>
      </w:r>
      <w:r>
        <w:rPr>
          <w:color w:val="231F20"/>
          <w:w w:val="105"/>
        </w:rPr>
        <w:t>en</w:t>
      </w:r>
      <w:r>
        <w:rPr>
          <w:color w:val="231F20"/>
          <w:spacing w:val="-7"/>
          <w:w w:val="105"/>
        </w:rPr>
        <w:t> </w:t>
      </w:r>
      <w:r>
        <w:rPr>
          <w:color w:val="231F20"/>
          <w:w w:val="105"/>
        </w:rPr>
        <w:t>el 6.5%</w:t>
      </w:r>
      <w:r>
        <w:rPr>
          <w:color w:val="231F20"/>
          <w:spacing w:val="-8"/>
          <w:w w:val="105"/>
        </w:rPr>
        <w:t> </w:t>
      </w:r>
      <w:r>
        <w:rPr>
          <w:color w:val="231F20"/>
          <w:w w:val="105"/>
        </w:rPr>
        <w:t>se</w:t>
      </w:r>
      <w:r>
        <w:rPr>
          <w:color w:val="231F20"/>
          <w:spacing w:val="-8"/>
          <w:w w:val="105"/>
        </w:rPr>
        <w:t> </w:t>
      </w:r>
      <w:r>
        <w:rPr>
          <w:color w:val="231F20"/>
          <w:w w:val="105"/>
        </w:rPr>
        <w:t>encuentran</w:t>
      </w:r>
      <w:r>
        <w:rPr>
          <w:color w:val="231F20"/>
          <w:spacing w:val="-8"/>
          <w:w w:val="105"/>
        </w:rPr>
        <w:t> </w:t>
      </w:r>
      <w:r>
        <w:rPr>
          <w:color w:val="231F20"/>
          <w:w w:val="105"/>
        </w:rPr>
        <w:t>asentamientos</w:t>
      </w:r>
      <w:r>
        <w:rPr>
          <w:color w:val="231F20"/>
          <w:spacing w:val="-8"/>
          <w:w w:val="105"/>
        </w:rPr>
        <w:t> </w:t>
      </w:r>
      <w:r>
        <w:rPr>
          <w:color w:val="231F20"/>
          <w:spacing w:val="2"/>
          <w:w w:val="105"/>
        </w:rPr>
        <w:t>urbanos,</w:t>
      </w:r>
      <w:r>
        <w:rPr>
          <w:color w:val="231F20"/>
          <w:spacing w:val="-8"/>
          <w:w w:val="105"/>
        </w:rPr>
        <w:t> </w:t>
      </w:r>
      <w:r>
        <w:rPr>
          <w:color w:val="231F20"/>
          <w:spacing w:val="-4"/>
          <w:w w:val="105"/>
        </w:rPr>
        <w:t>5.11%</w:t>
      </w:r>
      <w:r>
        <w:rPr>
          <w:color w:val="231F20"/>
          <w:spacing w:val="-8"/>
          <w:w w:val="105"/>
        </w:rPr>
        <w:t> </w:t>
      </w:r>
      <w:r>
        <w:rPr>
          <w:color w:val="231F20"/>
          <w:spacing w:val="3"/>
          <w:w w:val="105"/>
        </w:rPr>
        <w:t>rurales</w:t>
      </w:r>
      <w:r>
        <w:rPr>
          <w:color w:val="231F20"/>
          <w:spacing w:val="-8"/>
          <w:w w:val="105"/>
        </w:rPr>
        <w:t> </w:t>
      </w:r>
      <w:r>
        <w:rPr>
          <w:color w:val="231F20"/>
          <w:w w:val="105"/>
        </w:rPr>
        <w:t>y</w:t>
      </w:r>
      <w:r>
        <w:rPr>
          <w:color w:val="231F20"/>
          <w:spacing w:val="-8"/>
          <w:w w:val="105"/>
        </w:rPr>
        <w:t> </w:t>
      </w:r>
      <w:r>
        <w:rPr>
          <w:color w:val="231F20"/>
          <w:spacing w:val="2"/>
          <w:w w:val="105"/>
        </w:rPr>
        <w:t>2.2%</w:t>
      </w:r>
      <w:r>
        <w:rPr>
          <w:color w:val="231F20"/>
          <w:spacing w:val="-8"/>
          <w:w w:val="105"/>
        </w:rPr>
        <w:t> </w:t>
      </w:r>
      <w:r>
        <w:rPr>
          <w:color w:val="231F20"/>
          <w:w w:val="105"/>
        </w:rPr>
        <w:t>es</w:t>
      </w:r>
      <w:r>
        <w:rPr>
          <w:color w:val="231F20"/>
          <w:spacing w:val="-8"/>
          <w:w w:val="105"/>
        </w:rPr>
        <w:t> </w:t>
      </w:r>
      <w:r>
        <w:rPr>
          <w:color w:val="231F20"/>
          <w:w w:val="105"/>
        </w:rPr>
        <w:t>de</w:t>
      </w:r>
      <w:r>
        <w:rPr>
          <w:color w:val="231F20"/>
          <w:spacing w:val="-8"/>
          <w:w w:val="105"/>
        </w:rPr>
        <w:t> </w:t>
      </w:r>
      <w:r>
        <w:rPr>
          <w:color w:val="231F20"/>
          <w:w w:val="105"/>
        </w:rPr>
        <w:t>asentamientos </w:t>
      </w:r>
      <w:r>
        <w:rPr>
          <w:color w:val="231F20"/>
          <w:spacing w:val="3"/>
          <w:w w:val="105"/>
        </w:rPr>
        <w:t>irregulares. </w:t>
      </w:r>
      <w:r>
        <w:rPr>
          <w:color w:val="231F20"/>
          <w:w w:val="105"/>
        </w:rPr>
        <w:t>El resto es de </w:t>
      </w:r>
      <w:r>
        <w:rPr>
          <w:color w:val="231F20"/>
          <w:spacing w:val="2"/>
          <w:w w:val="105"/>
        </w:rPr>
        <w:t>uso </w:t>
      </w:r>
      <w:r>
        <w:rPr>
          <w:color w:val="231F20"/>
          <w:w w:val="105"/>
        </w:rPr>
        <w:t>forestal, </w:t>
      </w:r>
      <w:r>
        <w:rPr>
          <w:color w:val="231F20"/>
          <w:spacing w:val="2"/>
          <w:w w:val="105"/>
        </w:rPr>
        <w:t>caracterizado </w:t>
      </w:r>
      <w:r>
        <w:rPr>
          <w:color w:val="231F20"/>
          <w:w w:val="105"/>
        </w:rPr>
        <w:t>por </w:t>
      </w:r>
      <w:r>
        <w:rPr>
          <w:color w:val="231F20"/>
          <w:spacing w:val="3"/>
          <w:w w:val="105"/>
        </w:rPr>
        <w:t>un </w:t>
      </w:r>
      <w:r>
        <w:rPr>
          <w:color w:val="231F20"/>
          <w:spacing w:val="2"/>
          <w:w w:val="105"/>
        </w:rPr>
        <w:t>vasto </w:t>
      </w:r>
      <w:r>
        <w:rPr>
          <w:color w:val="231F20"/>
          <w:w w:val="105"/>
        </w:rPr>
        <w:t>y rico ecosistema templado</w:t>
      </w:r>
      <w:r>
        <w:rPr>
          <w:color w:val="231F20"/>
          <w:spacing w:val="-7"/>
          <w:w w:val="105"/>
        </w:rPr>
        <w:t> </w:t>
      </w:r>
      <w:r>
        <w:rPr>
          <w:color w:val="231F20"/>
          <w:w w:val="105"/>
        </w:rPr>
        <w:t>y</w:t>
      </w:r>
      <w:r>
        <w:rPr>
          <w:color w:val="231F20"/>
          <w:spacing w:val="-7"/>
          <w:w w:val="105"/>
        </w:rPr>
        <w:t> </w:t>
      </w:r>
      <w:r>
        <w:rPr>
          <w:color w:val="231F20"/>
          <w:spacing w:val="3"/>
          <w:w w:val="105"/>
        </w:rPr>
        <w:t>manantiales</w:t>
      </w:r>
      <w:r>
        <w:rPr>
          <w:color w:val="231F20"/>
          <w:spacing w:val="-7"/>
          <w:w w:val="105"/>
        </w:rPr>
        <w:t> </w:t>
      </w:r>
      <w:r>
        <w:rPr>
          <w:color w:val="231F20"/>
          <w:w w:val="105"/>
        </w:rPr>
        <w:t>de</w:t>
      </w:r>
      <w:r>
        <w:rPr>
          <w:color w:val="231F20"/>
          <w:spacing w:val="-7"/>
          <w:w w:val="105"/>
        </w:rPr>
        <w:t> </w:t>
      </w:r>
      <w:r>
        <w:rPr>
          <w:color w:val="231F20"/>
          <w:spacing w:val="3"/>
          <w:w w:val="105"/>
        </w:rPr>
        <w:t>aguas</w:t>
      </w:r>
      <w:r>
        <w:rPr>
          <w:color w:val="231F20"/>
          <w:spacing w:val="-7"/>
          <w:w w:val="105"/>
        </w:rPr>
        <w:t> </w:t>
      </w:r>
      <w:r>
        <w:rPr>
          <w:color w:val="231F20"/>
          <w:spacing w:val="2"/>
          <w:w w:val="105"/>
        </w:rPr>
        <w:t>termales,</w:t>
      </w:r>
      <w:r>
        <w:rPr>
          <w:color w:val="231F20"/>
          <w:spacing w:val="-7"/>
          <w:w w:val="105"/>
        </w:rPr>
        <w:t> </w:t>
      </w:r>
      <w:r>
        <w:rPr>
          <w:color w:val="231F20"/>
          <w:w w:val="105"/>
        </w:rPr>
        <w:t>que</w:t>
      </w:r>
      <w:r>
        <w:rPr>
          <w:color w:val="231F20"/>
          <w:spacing w:val="-7"/>
          <w:w w:val="105"/>
        </w:rPr>
        <w:t> </w:t>
      </w:r>
      <w:r>
        <w:rPr>
          <w:color w:val="231F20"/>
          <w:w w:val="105"/>
        </w:rPr>
        <w:t>lo</w:t>
      </w:r>
      <w:r>
        <w:rPr>
          <w:color w:val="231F20"/>
          <w:spacing w:val="-7"/>
          <w:w w:val="105"/>
        </w:rPr>
        <w:t> </w:t>
      </w:r>
      <w:r>
        <w:rPr>
          <w:color w:val="231F20"/>
          <w:spacing w:val="3"/>
          <w:w w:val="105"/>
        </w:rPr>
        <w:t>han</w:t>
      </w:r>
      <w:r>
        <w:rPr>
          <w:color w:val="231F20"/>
          <w:spacing w:val="-7"/>
          <w:w w:val="105"/>
        </w:rPr>
        <w:t> </w:t>
      </w:r>
      <w:r>
        <w:rPr>
          <w:color w:val="231F20"/>
          <w:spacing w:val="2"/>
          <w:w w:val="105"/>
        </w:rPr>
        <w:t>perfilado</w:t>
      </w:r>
      <w:r>
        <w:rPr>
          <w:color w:val="231F20"/>
          <w:spacing w:val="-7"/>
          <w:w w:val="105"/>
        </w:rPr>
        <w:t> </w:t>
      </w:r>
      <w:r>
        <w:rPr>
          <w:color w:val="231F20"/>
          <w:w w:val="105"/>
        </w:rPr>
        <w:t>como</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cen-</w:t>
      </w:r>
    </w:p>
    <w:p>
      <w:pPr>
        <w:pStyle w:val="ListParagraph"/>
        <w:numPr>
          <w:ilvl w:val="0"/>
          <w:numId w:val="5"/>
        </w:numPr>
        <w:tabs>
          <w:tab w:pos="226" w:val="left" w:leader="none"/>
        </w:tabs>
        <w:spacing w:line="244" w:lineRule="auto" w:before="8" w:after="0"/>
        <w:ind w:left="110" w:right="108" w:firstLine="0"/>
        <w:jc w:val="left"/>
        <w:rPr>
          <w:sz w:val="16"/>
        </w:rPr>
      </w:pPr>
      <w:r>
        <w:rPr>
          <w:color w:val="231F20"/>
          <w:sz w:val="16"/>
        </w:rPr>
        <w:t>La</w:t>
      </w:r>
      <w:r>
        <w:rPr>
          <w:color w:val="231F20"/>
          <w:spacing w:val="-16"/>
          <w:sz w:val="16"/>
        </w:rPr>
        <w:t> </w:t>
      </w:r>
      <w:r>
        <w:rPr>
          <w:color w:val="231F20"/>
          <w:sz w:val="16"/>
        </w:rPr>
        <w:t>Región</w:t>
      </w:r>
      <w:r>
        <w:rPr>
          <w:color w:val="231F20"/>
          <w:spacing w:val="-16"/>
          <w:sz w:val="16"/>
        </w:rPr>
        <w:t> </w:t>
      </w:r>
      <w:r>
        <w:rPr>
          <w:color w:val="231F20"/>
          <w:sz w:val="16"/>
        </w:rPr>
        <w:t>VI</w:t>
      </w:r>
      <w:r>
        <w:rPr>
          <w:color w:val="231F20"/>
          <w:spacing w:val="-16"/>
          <w:sz w:val="16"/>
        </w:rPr>
        <w:t> </w:t>
      </w:r>
      <w:r>
        <w:rPr>
          <w:color w:val="231F20"/>
          <w:sz w:val="16"/>
        </w:rPr>
        <w:t>está</w:t>
      </w:r>
      <w:r>
        <w:rPr>
          <w:color w:val="231F20"/>
          <w:spacing w:val="-16"/>
          <w:sz w:val="16"/>
        </w:rPr>
        <w:t> </w:t>
      </w:r>
      <w:r>
        <w:rPr>
          <w:color w:val="231F20"/>
          <w:sz w:val="16"/>
        </w:rPr>
        <w:t>integrada</w:t>
      </w:r>
      <w:r>
        <w:rPr>
          <w:color w:val="231F20"/>
          <w:spacing w:val="-16"/>
          <w:sz w:val="16"/>
        </w:rPr>
        <w:t> </w:t>
      </w:r>
      <w:r>
        <w:rPr>
          <w:color w:val="231F20"/>
          <w:sz w:val="16"/>
        </w:rPr>
        <w:t>por</w:t>
      </w:r>
      <w:r>
        <w:rPr>
          <w:color w:val="231F20"/>
          <w:spacing w:val="-16"/>
          <w:sz w:val="16"/>
        </w:rPr>
        <w:t> </w:t>
      </w:r>
      <w:r>
        <w:rPr>
          <w:color w:val="231F20"/>
          <w:sz w:val="16"/>
        </w:rPr>
        <w:t>Ixtapan</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Sal,</w:t>
      </w:r>
      <w:r>
        <w:rPr>
          <w:color w:val="231F20"/>
          <w:spacing w:val="-16"/>
          <w:sz w:val="16"/>
        </w:rPr>
        <w:t> </w:t>
      </w:r>
      <w:r>
        <w:rPr>
          <w:color w:val="231F20"/>
          <w:sz w:val="16"/>
        </w:rPr>
        <w:t>Coatepec</w:t>
      </w:r>
      <w:r>
        <w:rPr>
          <w:color w:val="231F20"/>
          <w:spacing w:val="-16"/>
          <w:sz w:val="16"/>
        </w:rPr>
        <w:t> </w:t>
      </w:r>
      <w:r>
        <w:rPr>
          <w:color w:val="231F20"/>
          <w:sz w:val="16"/>
        </w:rPr>
        <w:t>Harinas,</w:t>
      </w:r>
      <w:r>
        <w:rPr>
          <w:color w:val="231F20"/>
          <w:spacing w:val="-16"/>
          <w:sz w:val="16"/>
        </w:rPr>
        <w:t> </w:t>
      </w:r>
      <w:r>
        <w:rPr>
          <w:color w:val="231F20"/>
          <w:sz w:val="16"/>
        </w:rPr>
        <w:t>Almoloya</w:t>
      </w:r>
      <w:r>
        <w:rPr>
          <w:color w:val="231F20"/>
          <w:spacing w:val="-16"/>
          <w:sz w:val="16"/>
        </w:rPr>
        <w:t> </w:t>
      </w:r>
      <w:r>
        <w:rPr>
          <w:color w:val="231F20"/>
          <w:sz w:val="16"/>
        </w:rPr>
        <w:t>de</w:t>
      </w:r>
      <w:r>
        <w:rPr>
          <w:color w:val="231F20"/>
          <w:spacing w:val="-16"/>
          <w:sz w:val="16"/>
        </w:rPr>
        <w:t> </w:t>
      </w:r>
      <w:r>
        <w:rPr>
          <w:color w:val="231F20"/>
          <w:sz w:val="16"/>
        </w:rPr>
        <w:t>Alquisiras,</w:t>
      </w:r>
      <w:r>
        <w:rPr>
          <w:color w:val="231F20"/>
          <w:spacing w:val="-16"/>
          <w:sz w:val="16"/>
        </w:rPr>
        <w:t> </w:t>
      </w:r>
      <w:r>
        <w:rPr>
          <w:color w:val="231F20"/>
          <w:sz w:val="16"/>
        </w:rPr>
        <w:t>Joquincingo,</w:t>
      </w:r>
      <w:r>
        <w:rPr>
          <w:color w:val="231F20"/>
          <w:spacing w:val="-16"/>
          <w:sz w:val="16"/>
        </w:rPr>
        <w:t> </w:t>
      </w:r>
      <w:r>
        <w:rPr>
          <w:color w:val="231F20"/>
          <w:sz w:val="16"/>
        </w:rPr>
        <w:t>Malinalco,</w:t>
      </w:r>
      <w:r>
        <w:rPr>
          <w:color w:val="231F20"/>
          <w:spacing w:val="-16"/>
          <w:sz w:val="16"/>
        </w:rPr>
        <w:t> </w:t>
      </w:r>
      <w:r>
        <w:rPr>
          <w:color w:val="231F20"/>
          <w:sz w:val="16"/>
        </w:rPr>
        <w:t>Ocuilan, </w:t>
      </w:r>
      <w:r>
        <w:rPr>
          <w:color w:val="231F20"/>
          <w:w w:val="95"/>
          <w:sz w:val="16"/>
        </w:rPr>
        <w:t>San Simón de Guerrero, Sultepec, Temascaltepec, </w:t>
      </w:r>
      <w:r>
        <w:rPr>
          <w:color w:val="231F20"/>
          <w:spacing w:val="-3"/>
          <w:w w:val="95"/>
          <w:sz w:val="16"/>
        </w:rPr>
        <w:t>Tenancingo, </w:t>
      </w:r>
      <w:r>
        <w:rPr>
          <w:color w:val="231F20"/>
          <w:w w:val="95"/>
          <w:sz w:val="16"/>
        </w:rPr>
        <w:t>Texcaltitlán, </w:t>
      </w:r>
      <w:r>
        <w:rPr>
          <w:color w:val="231F20"/>
          <w:spacing w:val="-3"/>
          <w:w w:val="95"/>
          <w:sz w:val="16"/>
        </w:rPr>
        <w:t>Tonatico, </w:t>
      </w:r>
      <w:r>
        <w:rPr>
          <w:color w:val="231F20"/>
          <w:w w:val="95"/>
          <w:sz w:val="16"/>
        </w:rPr>
        <w:t>Villa Guerrero, Zacualpan y </w:t>
      </w:r>
      <w:r>
        <w:rPr>
          <w:color w:val="231F20"/>
          <w:spacing w:val="17"/>
          <w:w w:val="95"/>
          <w:sz w:val="16"/>
        </w:rPr>
        <w:t> </w:t>
      </w:r>
      <w:r>
        <w:rPr>
          <w:color w:val="231F20"/>
          <w:w w:val="95"/>
          <w:sz w:val="16"/>
        </w:rPr>
        <w:t>Zumpahuacan.</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w w:val="105"/>
        </w:rPr>
        <w:t>tros turísticos más importantes de la entidad, con significativa derrama económica.</w:t>
      </w:r>
    </w:p>
    <w:p>
      <w:pPr>
        <w:pStyle w:val="BodyText"/>
        <w:spacing w:before="2"/>
        <w:rPr>
          <w:sz w:val="30"/>
        </w:rPr>
      </w:pPr>
    </w:p>
    <w:p>
      <w:pPr>
        <w:pStyle w:val="BodyText"/>
        <w:spacing w:line="285" w:lineRule="auto"/>
        <w:ind w:left="110" w:right="106"/>
        <w:jc w:val="both"/>
      </w:pPr>
      <w:r>
        <w:rPr>
          <w:color w:val="231F20"/>
          <w:w w:val="105"/>
        </w:rPr>
        <w:t>En cuanto a la población, el crecimiento es lento pues en veinte años </w:t>
      </w:r>
      <w:r>
        <w:rPr>
          <w:color w:val="231F20"/>
          <w:spacing w:val="-4"/>
          <w:w w:val="105"/>
        </w:rPr>
        <w:t>(1980 </w:t>
      </w:r>
      <w:r>
        <w:rPr>
          <w:color w:val="231F20"/>
          <w:w w:val="105"/>
        </w:rPr>
        <w:t>a </w:t>
      </w:r>
      <w:r>
        <w:rPr>
          <w:color w:val="231F20"/>
          <w:spacing w:val="2"/>
          <w:w w:val="105"/>
        </w:rPr>
        <w:t>2000) </w:t>
      </w:r>
      <w:r>
        <w:rPr>
          <w:color w:val="231F20"/>
          <w:w w:val="105"/>
        </w:rPr>
        <w:t>la tasa</w:t>
      </w:r>
      <w:r>
        <w:rPr>
          <w:color w:val="231F20"/>
          <w:spacing w:val="-5"/>
          <w:w w:val="105"/>
        </w:rPr>
        <w:t> </w:t>
      </w:r>
      <w:r>
        <w:rPr>
          <w:color w:val="231F20"/>
          <w:w w:val="105"/>
        </w:rPr>
        <w:t>poblacional</w:t>
      </w:r>
      <w:r>
        <w:rPr>
          <w:color w:val="231F20"/>
          <w:spacing w:val="-5"/>
          <w:w w:val="105"/>
        </w:rPr>
        <w:t> </w:t>
      </w:r>
      <w:r>
        <w:rPr>
          <w:color w:val="231F20"/>
          <w:w w:val="105"/>
        </w:rPr>
        <w:t>apenas</w:t>
      </w:r>
      <w:r>
        <w:rPr>
          <w:color w:val="231F20"/>
          <w:spacing w:val="-5"/>
          <w:w w:val="105"/>
        </w:rPr>
        <w:t> </w:t>
      </w:r>
      <w:r>
        <w:rPr>
          <w:color w:val="231F20"/>
          <w:w w:val="105"/>
        </w:rPr>
        <w:t>creció</w:t>
      </w:r>
      <w:r>
        <w:rPr>
          <w:color w:val="231F20"/>
          <w:spacing w:val="-5"/>
          <w:w w:val="105"/>
        </w:rPr>
        <w:t> </w:t>
      </w:r>
      <w:r>
        <w:rPr>
          <w:color w:val="231F20"/>
          <w:w w:val="105"/>
        </w:rPr>
        <w:t>en</w:t>
      </w:r>
      <w:r>
        <w:rPr>
          <w:color w:val="231F20"/>
          <w:spacing w:val="-5"/>
          <w:w w:val="105"/>
        </w:rPr>
        <w:t> </w:t>
      </w:r>
      <w:r>
        <w:rPr>
          <w:color w:val="231F20"/>
          <w:w w:val="105"/>
        </w:rPr>
        <w:t>promedio</w:t>
      </w:r>
      <w:r>
        <w:rPr>
          <w:color w:val="231F20"/>
          <w:spacing w:val="-5"/>
          <w:w w:val="105"/>
        </w:rPr>
        <w:t> </w:t>
      </w:r>
      <w:r>
        <w:rPr>
          <w:color w:val="231F20"/>
          <w:w w:val="105"/>
        </w:rPr>
        <w:t>un</w:t>
      </w:r>
      <w:r>
        <w:rPr>
          <w:color w:val="231F20"/>
          <w:spacing w:val="-5"/>
          <w:w w:val="105"/>
        </w:rPr>
        <w:t> </w:t>
      </w:r>
      <w:r>
        <w:rPr>
          <w:color w:val="231F20"/>
          <w:w w:val="105"/>
        </w:rPr>
        <w:t>3.97%</w:t>
      </w:r>
      <w:r>
        <w:rPr>
          <w:color w:val="231F20"/>
          <w:spacing w:val="-5"/>
          <w:w w:val="105"/>
        </w:rPr>
        <w:t> </w:t>
      </w:r>
      <w:r>
        <w:rPr>
          <w:color w:val="231F20"/>
          <w:w w:val="105"/>
        </w:rPr>
        <w:t>anual,</w:t>
      </w:r>
      <w:r>
        <w:rPr>
          <w:color w:val="231F20"/>
          <w:spacing w:val="-5"/>
          <w:w w:val="105"/>
        </w:rPr>
        <w:t> </w:t>
      </w:r>
      <w:r>
        <w:rPr>
          <w:color w:val="231F20"/>
          <w:w w:val="105"/>
        </w:rPr>
        <w:t>e</w:t>
      </w:r>
      <w:r>
        <w:rPr>
          <w:color w:val="231F20"/>
          <w:spacing w:val="-5"/>
          <w:w w:val="105"/>
        </w:rPr>
        <w:t> </w:t>
      </w:r>
      <w:r>
        <w:rPr>
          <w:color w:val="231F20"/>
          <w:w w:val="105"/>
        </w:rPr>
        <w:t>incluso</w:t>
      </w:r>
      <w:r>
        <w:rPr>
          <w:color w:val="231F20"/>
          <w:spacing w:val="-5"/>
          <w:w w:val="105"/>
        </w:rPr>
        <w:t> </w:t>
      </w:r>
      <w:r>
        <w:rPr>
          <w:color w:val="231F20"/>
          <w:w w:val="105"/>
        </w:rPr>
        <w:t>presentó</w:t>
      </w:r>
      <w:r>
        <w:rPr>
          <w:color w:val="231F20"/>
          <w:spacing w:val="-5"/>
          <w:w w:val="105"/>
        </w:rPr>
        <w:t> </w:t>
      </w:r>
      <w:r>
        <w:rPr>
          <w:color w:val="231F20"/>
          <w:w w:val="105"/>
        </w:rPr>
        <w:t>dismi- nuciones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último</w:t>
      </w:r>
      <w:r>
        <w:rPr>
          <w:color w:val="231F20"/>
          <w:spacing w:val="-11"/>
          <w:w w:val="105"/>
        </w:rPr>
        <w:t> </w:t>
      </w:r>
      <w:r>
        <w:rPr>
          <w:color w:val="231F20"/>
          <w:w w:val="105"/>
        </w:rPr>
        <w:t>conteo</w:t>
      </w:r>
      <w:r>
        <w:rPr>
          <w:color w:val="231F20"/>
          <w:spacing w:val="-11"/>
          <w:w w:val="105"/>
        </w:rPr>
        <w:t> </w:t>
      </w:r>
      <w:r>
        <w:rPr>
          <w:color w:val="231F20"/>
          <w:w w:val="105"/>
        </w:rPr>
        <w:t>realizado</w:t>
      </w:r>
      <w:r>
        <w:rPr>
          <w:color w:val="231F20"/>
          <w:spacing w:val="-11"/>
          <w:w w:val="105"/>
        </w:rPr>
        <w:t> </w:t>
      </w:r>
      <w:r>
        <w:rPr>
          <w:color w:val="231F20"/>
          <w:w w:val="105"/>
        </w:rPr>
        <w:t>por</w:t>
      </w:r>
      <w:r>
        <w:rPr>
          <w:color w:val="231F20"/>
          <w:spacing w:val="-11"/>
          <w:w w:val="105"/>
        </w:rPr>
        <w:t> </w:t>
      </w:r>
      <w:r>
        <w:rPr>
          <w:color w:val="231F20"/>
          <w:w w:val="105"/>
        </w:rPr>
        <w:t>INEGI</w:t>
      </w:r>
      <w:r>
        <w:rPr>
          <w:color w:val="231F20"/>
          <w:spacing w:val="-11"/>
          <w:w w:val="105"/>
        </w:rPr>
        <w:t> </w:t>
      </w:r>
      <w:r>
        <w:rPr>
          <w:color w:val="231F20"/>
          <w:w w:val="105"/>
        </w:rPr>
        <w:t>en</w:t>
      </w:r>
      <w:r>
        <w:rPr>
          <w:color w:val="231F20"/>
          <w:spacing w:val="-11"/>
          <w:w w:val="105"/>
        </w:rPr>
        <w:t> </w:t>
      </w:r>
      <w:r>
        <w:rPr>
          <w:color w:val="231F20"/>
          <w:spacing w:val="2"/>
          <w:w w:val="105"/>
        </w:rPr>
        <w:t>2005,</w:t>
      </w:r>
      <w:r>
        <w:rPr>
          <w:color w:val="231F20"/>
          <w:spacing w:val="-11"/>
          <w:w w:val="105"/>
        </w:rPr>
        <w:t> </w:t>
      </w:r>
      <w:r>
        <w:rPr>
          <w:color w:val="231F20"/>
          <w:w w:val="105"/>
        </w:rPr>
        <w:t>efecto</w:t>
      </w:r>
      <w:r>
        <w:rPr>
          <w:color w:val="231F20"/>
          <w:spacing w:val="-11"/>
          <w:w w:val="105"/>
        </w:rPr>
        <w:t> </w:t>
      </w:r>
      <w:r>
        <w:rPr>
          <w:color w:val="231F20"/>
          <w:w w:val="105"/>
        </w:rPr>
        <w:t>general</w:t>
      </w:r>
      <w:r>
        <w:rPr>
          <w:color w:val="231F20"/>
          <w:spacing w:val="-11"/>
          <w:w w:val="105"/>
        </w:rPr>
        <w:t> </w:t>
      </w:r>
      <w:r>
        <w:rPr>
          <w:color w:val="231F20"/>
          <w:w w:val="105"/>
        </w:rPr>
        <w:t>que</w:t>
      </w:r>
      <w:r>
        <w:rPr>
          <w:color w:val="231F20"/>
          <w:spacing w:val="-11"/>
          <w:w w:val="105"/>
        </w:rPr>
        <w:t> </w:t>
      </w:r>
      <w:r>
        <w:rPr>
          <w:color w:val="231F20"/>
          <w:w w:val="105"/>
        </w:rPr>
        <w:t>sufrió</w:t>
      </w:r>
      <w:r>
        <w:rPr>
          <w:color w:val="231F20"/>
          <w:spacing w:val="-11"/>
          <w:w w:val="105"/>
        </w:rPr>
        <w:t> </w:t>
      </w:r>
      <w:r>
        <w:rPr>
          <w:color w:val="231F20"/>
          <w:w w:val="105"/>
        </w:rPr>
        <w:t>la región</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entidad</w:t>
      </w:r>
      <w:r>
        <w:rPr>
          <w:color w:val="231F20"/>
          <w:spacing w:val="-18"/>
          <w:w w:val="105"/>
        </w:rPr>
        <w:t> </w:t>
      </w:r>
      <w:r>
        <w:rPr>
          <w:color w:val="231F20"/>
          <w:spacing w:val="-5"/>
          <w:w w:val="105"/>
        </w:rPr>
        <w:t>(Ver</w:t>
      </w:r>
      <w:r>
        <w:rPr>
          <w:color w:val="231F20"/>
          <w:spacing w:val="-18"/>
          <w:w w:val="105"/>
        </w:rPr>
        <w:t> </w:t>
      </w:r>
      <w:r>
        <w:rPr>
          <w:color w:val="231F20"/>
          <w:w w:val="105"/>
        </w:rPr>
        <w:t>Gráfico</w:t>
      </w:r>
      <w:r>
        <w:rPr>
          <w:color w:val="231F20"/>
          <w:spacing w:val="-18"/>
          <w:w w:val="105"/>
        </w:rPr>
        <w:t> </w:t>
      </w:r>
      <w:r>
        <w:rPr>
          <w:color w:val="231F20"/>
          <w:spacing w:val="-5"/>
          <w:w w:val="105"/>
        </w:rPr>
        <w:t>2).</w:t>
      </w:r>
      <w:r>
        <w:rPr>
          <w:color w:val="231F20"/>
          <w:spacing w:val="-18"/>
          <w:w w:val="105"/>
        </w:rPr>
        <w:t> </w:t>
      </w:r>
      <w:r>
        <w:rPr>
          <w:color w:val="231F20"/>
          <w:w w:val="105"/>
        </w:rPr>
        <w:t>De</w:t>
      </w:r>
      <w:r>
        <w:rPr>
          <w:color w:val="231F20"/>
          <w:spacing w:val="-18"/>
          <w:w w:val="105"/>
        </w:rPr>
        <w:t> </w:t>
      </w:r>
      <w:r>
        <w:rPr>
          <w:color w:val="231F20"/>
          <w:w w:val="105"/>
        </w:rPr>
        <w:t>acuerdo</w:t>
      </w:r>
      <w:r>
        <w:rPr>
          <w:color w:val="231F20"/>
          <w:spacing w:val="-18"/>
          <w:w w:val="105"/>
        </w:rPr>
        <w:t> </w:t>
      </w:r>
      <w:r>
        <w:rPr>
          <w:color w:val="231F20"/>
          <w:w w:val="105"/>
        </w:rPr>
        <w:t>con</w:t>
      </w:r>
      <w:r>
        <w:rPr>
          <w:color w:val="231F20"/>
          <w:spacing w:val="-18"/>
          <w:w w:val="105"/>
        </w:rPr>
        <w:t> </w:t>
      </w:r>
      <w:r>
        <w:rPr>
          <w:color w:val="231F20"/>
          <w:w w:val="105"/>
        </w:rPr>
        <w:t>lo</w:t>
      </w:r>
      <w:r>
        <w:rPr>
          <w:color w:val="231F20"/>
          <w:spacing w:val="-18"/>
          <w:w w:val="105"/>
        </w:rPr>
        <w:t> </w:t>
      </w:r>
      <w:r>
        <w:rPr>
          <w:color w:val="231F20"/>
          <w:spacing w:val="-3"/>
          <w:w w:val="105"/>
        </w:rPr>
        <w:t>anterior,</w:t>
      </w:r>
      <w:r>
        <w:rPr>
          <w:color w:val="231F20"/>
          <w:spacing w:val="-18"/>
          <w:w w:val="105"/>
        </w:rPr>
        <w:t> </w:t>
      </w:r>
      <w:r>
        <w:rPr>
          <w:color w:val="231F20"/>
          <w:w w:val="105"/>
        </w:rPr>
        <w:t>en</w:t>
      </w:r>
      <w:r>
        <w:rPr>
          <w:color w:val="231F20"/>
          <w:spacing w:val="-18"/>
          <w:w w:val="105"/>
        </w:rPr>
        <w:t> </w:t>
      </w:r>
      <w:r>
        <w:rPr>
          <w:color w:val="231F20"/>
          <w:spacing w:val="3"/>
          <w:w w:val="105"/>
        </w:rPr>
        <w:t>2005</w:t>
      </w:r>
      <w:r>
        <w:rPr>
          <w:color w:val="231F20"/>
          <w:spacing w:val="-18"/>
          <w:w w:val="105"/>
        </w:rPr>
        <w:t> </w:t>
      </w:r>
      <w:r>
        <w:rPr>
          <w:color w:val="231F20"/>
          <w:w w:val="105"/>
        </w:rPr>
        <w:t>Ixtapan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Sal contó</w:t>
      </w:r>
      <w:r>
        <w:rPr>
          <w:color w:val="231F20"/>
          <w:spacing w:val="-16"/>
          <w:w w:val="105"/>
        </w:rPr>
        <w:t> </w:t>
      </w:r>
      <w:r>
        <w:rPr>
          <w:color w:val="231F20"/>
          <w:w w:val="105"/>
        </w:rPr>
        <w:t>con</w:t>
      </w:r>
      <w:r>
        <w:rPr>
          <w:color w:val="231F20"/>
          <w:spacing w:val="-16"/>
          <w:w w:val="105"/>
        </w:rPr>
        <w:t> </w:t>
      </w:r>
      <w:r>
        <w:rPr>
          <w:color w:val="231F20"/>
          <w:w w:val="105"/>
        </w:rPr>
        <w:t>una</w:t>
      </w:r>
      <w:r>
        <w:rPr>
          <w:color w:val="231F20"/>
          <w:spacing w:val="-16"/>
          <w:w w:val="105"/>
        </w:rPr>
        <w:t> </w:t>
      </w:r>
      <w:r>
        <w:rPr>
          <w:color w:val="231F20"/>
          <w:w w:val="105"/>
        </w:rPr>
        <w:t>población</w:t>
      </w:r>
      <w:r>
        <w:rPr>
          <w:color w:val="231F20"/>
          <w:spacing w:val="-16"/>
          <w:w w:val="105"/>
        </w:rPr>
        <w:t> </w:t>
      </w:r>
      <w:r>
        <w:rPr>
          <w:color w:val="231F20"/>
          <w:w w:val="105"/>
        </w:rPr>
        <w:t>de</w:t>
      </w:r>
      <w:r>
        <w:rPr>
          <w:color w:val="231F20"/>
          <w:spacing w:val="-16"/>
          <w:w w:val="105"/>
        </w:rPr>
        <w:t> </w:t>
      </w:r>
      <w:r>
        <w:rPr>
          <w:color w:val="231F20"/>
          <w:w w:val="105"/>
        </w:rPr>
        <w:t>30,073</w:t>
      </w:r>
      <w:r>
        <w:rPr>
          <w:color w:val="231F20"/>
          <w:spacing w:val="-16"/>
          <w:w w:val="105"/>
        </w:rPr>
        <w:t> </w:t>
      </w:r>
      <w:r>
        <w:rPr>
          <w:color w:val="231F20"/>
          <w:w w:val="105"/>
        </w:rPr>
        <w:t>habitantes</w:t>
      </w:r>
      <w:r>
        <w:rPr>
          <w:color w:val="231F20"/>
          <w:spacing w:val="-16"/>
          <w:w w:val="105"/>
        </w:rPr>
        <w:t> </w:t>
      </w:r>
      <w:r>
        <w:rPr>
          <w:color w:val="231F20"/>
          <w:spacing w:val="-3"/>
          <w:w w:val="105"/>
        </w:rPr>
        <w:t>(24</w:t>
      </w:r>
      <w:r>
        <w:rPr>
          <w:color w:val="231F20"/>
          <w:spacing w:val="-16"/>
          <w:w w:val="105"/>
        </w:rPr>
        <w:t> </w:t>
      </w:r>
      <w:r>
        <w:rPr>
          <w:color w:val="231F20"/>
          <w:w w:val="105"/>
        </w:rPr>
        <w:t>veces</w:t>
      </w:r>
      <w:r>
        <w:rPr>
          <w:color w:val="231F20"/>
          <w:spacing w:val="-16"/>
          <w:w w:val="105"/>
        </w:rPr>
        <w:t> </w:t>
      </w:r>
      <w:r>
        <w:rPr>
          <w:color w:val="231F20"/>
          <w:w w:val="105"/>
        </w:rPr>
        <w:t>menos</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existente</w:t>
      </w:r>
      <w:r>
        <w:rPr>
          <w:color w:val="231F20"/>
          <w:spacing w:val="-16"/>
          <w:w w:val="105"/>
        </w:rPr>
        <w:t> </w:t>
      </w:r>
      <w:r>
        <w:rPr>
          <w:color w:val="231F20"/>
          <w:w w:val="105"/>
        </w:rPr>
        <w:t>en</w:t>
      </w:r>
      <w:r>
        <w:rPr>
          <w:color w:val="231F20"/>
          <w:spacing w:val="-16"/>
          <w:w w:val="105"/>
        </w:rPr>
        <w:t> </w:t>
      </w:r>
      <w:r>
        <w:rPr>
          <w:color w:val="231F20"/>
          <w:spacing w:val="-7"/>
          <w:w w:val="105"/>
        </w:rPr>
        <w:t>Tolu- </w:t>
      </w:r>
      <w:r>
        <w:rPr>
          <w:color w:val="231F20"/>
          <w:w w:val="105"/>
        </w:rPr>
        <w:t>ca,</w:t>
      </w:r>
      <w:r>
        <w:rPr>
          <w:color w:val="231F20"/>
          <w:spacing w:val="-16"/>
          <w:w w:val="105"/>
        </w:rPr>
        <w:t> </w:t>
      </w:r>
      <w:r>
        <w:rPr>
          <w:color w:val="231F20"/>
          <w:w w:val="105"/>
        </w:rPr>
        <w:t>por</w:t>
      </w:r>
      <w:r>
        <w:rPr>
          <w:color w:val="231F20"/>
          <w:spacing w:val="-16"/>
          <w:w w:val="105"/>
        </w:rPr>
        <w:t> </w:t>
      </w:r>
      <w:r>
        <w:rPr>
          <w:color w:val="231F20"/>
          <w:spacing w:val="-4"/>
          <w:w w:val="105"/>
        </w:rPr>
        <w:t>ejemplo),</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términos</w:t>
      </w:r>
      <w:r>
        <w:rPr>
          <w:color w:val="231F20"/>
          <w:spacing w:val="-16"/>
          <w:w w:val="105"/>
        </w:rPr>
        <w:t> </w:t>
      </w:r>
      <w:r>
        <w:rPr>
          <w:color w:val="231F20"/>
          <w:w w:val="105"/>
        </w:rPr>
        <w:t>reales</w:t>
      </w:r>
      <w:r>
        <w:rPr>
          <w:color w:val="231F20"/>
          <w:spacing w:val="-16"/>
          <w:w w:val="105"/>
        </w:rPr>
        <w:t> </w:t>
      </w:r>
      <w:r>
        <w:rPr>
          <w:color w:val="231F20"/>
          <w:w w:val="105"/>
        </w:rPr>
        <w:t>representa</w:t>
      </w:r>
      <w:r>
        <w:rPr>
          <w:color w:val="231F20"/>
          <w:spacing w:val="-16"/>
          <w:w w:val="105"/>
        </w:rPr>
        <w:t> </w:t>
      </w:r>
      <w:r>
        <w:rPr>
          <w:color w:val="231F20"/>
          <w:w w:val="105"/>
        </w:rPr>
        <w:t>el</w:t>
      </w:r>
      <w:r>
        <w:rPr>
          <w:color w:val="231F20"/>
          <w:spacing w:val="-16"/>
          <w:w w:val="105"/>
        </w:rPr>
        <w:t> </w:t>
      </w:r>
      <w:r>
        <w:rPr>
          <w:color w:val="231F20"/>
          <w:spacing w:val="-4"/>
          <w:w w:val="105"/>
        </w:rPr>
        <w:t>0.21%</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estatal.</w:t>
      </w:r>
    </w:p>
    <w:p>
      <w:pPr>
        <w:pStyle w:val="BodyText"/>
        <w:spacing w:before="1"/>
        <w:rPr>
          <w:sz w:val="26"/>
        </w:rPr>
      </w:pPr>
    </w:p>
    <w:p>
      <w:pPr>
        <w:pStyle w:val="Heading5"/>
        <w:spacing w:line="285" w:lineRule="auto"/>
        <w:ind w:left="3496" w:right="620" w:hanging="2875"/>
      </w:pPr>
      <w:r>
        <w:rPr/>
        <w:drawing>
          <wp:anchor distT="0" distB="0" distL="0" distR="0" allowOverlap="1" layoutInCell="1" locked="0" behindDoc="0" simplePos="0" relativeHeight="6208">
            <wp:simplePos x="0" y="0"/>
            <wp:positionH relativeFrom="page">
              <wp:posOffset>1412791</wp:posOffset>
            </wp:positionH>
            <wp:positionV relativeFrom="paragraph">
              <wp:posOffset>460438</wp:posOffset>
            </wp:positionV>
            <wp:extent cx="246742" cy="88677"/>
            <wp:effectExtent l="0" t="0" r="0" b="0"/>
            <wp:wrapNone/>
            <wp:docPr id="79" name="image114.png" descr=""/>
            <wp:cNvGraphicFramePr>
              <a:graphicFrameLocks noChangeAspect="1"/>
            </wp:cNvGraphicFramePr>
            <a:graphic>
              <a:graphicData uri="http://schemas.openxmlformats.org/drawingml/2006/picture">
                <pic:pic>
                  <pic:nvPicPr>
                    <pic:cNvPr id="80" name="image114.png"/>
                    <pic:cNvPicPr/>
                  </pic:nvPicPr>
                  <pic:blipFill>
                    <a:blip r:embed="rId149" cstate="print"/>
                    <a:stretch>
                      <a:fillRect/>
                    </a:stretch>
                  </pic:blipFill>
                  <pic:spPr>
                    <a:xfrm>
                      <a:off x="0" y="0"/>
                      <a:ext cx="246742" cy="88677"/>
                    </a:xfrm>
                    <a:prstGeom prst="rect">
                      <a:avLst/>
                    </a:prstGeom>
                  </pic:spPr>
                </pic:pic>
              </a:graphicData>
            </a:graphic>
          </wp:anchor>
        </w:drawing>
      </w:r>
      <w:r>
        <w:rPr/>
        <w:drawing>
          <wp:anchor distT="0" distB="0" distL="0" distR="0" allowOverlap="1" layoutInCell="1" locked="0" behindDoc="0" simplePos="0" relativeHeight="6232">
            <wp:simplePos x="0" y="0"/>
            <wp:positionH relativeFrom="page">
              <wp:posOffset>1412791</wp:posOffset>
            </wp:positionH>
            <wp:positionV relativeFrom="paragraph">
              <wp:posOffset>704534</wp:posOffset>
            </wp:positionV>
            <wp:extent cx="246749" cy="88677"/>
            <wp:effectExtent l="0" t="0" r="0" b="0"/>
            <wp:wrapNone/>
            <wp:docPr id="81" name="image115.png" descr=""/>
            <wp:cNvGraphicFramePr>
              <a:graphicFrameLocks noChangeAspect="1"/>
            </wp:cNvGraphicFramePr>
            <a:graphic>
              <a:graphicData uri="http://schemas.openxmlformats.org/drawingml/2006/picture">
                <pic:pic>
                  <pic:nvPicPr>
                    <pic:cNvPr id="82" name="image115.png"/>
                    <pic:cNvPicPr/>
                  </pic:nvPicPr>
                  <pic:blipFill>
                    <a:blip r:embed="rId150" cstate="print"/>
                    <a:stretch>
                      <a:fillRect/>
                    </a:stretch>
                  </pic:blipFill>
                  <pic:spPr>
                    <a:xfrm>
                      <a:off x="0" y="0"/>
                      <a:ext cx="246749" cy="88677"/>
                    </a:xfrm>
                    <a:prstGeom prst="rect">
                      <a:avLst/>
                    </a:prstGeom>
                  </pic:spPr>
                </pic:pic>
              </a:graphicData>
            </a:graphic>
          </wp:anchor>
        </w:drawing>
      </w:r>
      <w:r>
        <w:rPr/>
        <w:drawing>
          <wp:anchor distT="0" distB="0" distL="0" distR="0" allowOverlap="1" layoutInCell="1" locked="0" behindDoc="0" simplePos="0" relativeHeight="6256">
            <wp:simplePos x="0" y="0"/>
            <wp:positionH relativeFrom="page">
              <wp:posOffset>1413124</wp:posOffset>
            </wp:positionH>
            <wp:positionV relativeFrom="paragraph">
              <wp:posOffset>948627</wp:posOffset>
            </wp:positionV>
            <wp:extent cx="242969" cy="87439"/>
            <wp:effectExtent l="0" t="0" r="0" b="0"/>
            <wp:wrapNone/>
            <wp:docPr id="83" name="image116.png" descr=""/>
            <wp:cNvGraphicFramePr>
              <a:graphicFrameLocks noChangeAspect="1"/>
            </wp:cNvGraphicFramePr>
            <a:graphic>
              <a:graphicData uri="http://schemas.openxmlformats.org/drawingml/2006/picture">
                <pic:pic>
                  <pic:nvPicPr>
                    <pic:cNvPr id="84" name="image116.png"/>
                    <pic:cNvPicPr/>
                  </pic:nvPicPr>
                  <pic:blipFill>
                    <a:blip r:embed="rId151" cstate="print"/>
                    <a:stretch>
                      <a:fillRect/>
                    </a:stretch>
                  </pic:blipFill>
                  <pic:spPr>
                    <a:xfrm>
                      <a:off x="0" y="0"/>
                      <a:ext cx="242969" cy="87439"/>
                    </a:xfrm>
                    <a:prstGeom prst="rect">
                      <a:avLst/>
                    </a:prstGeom>
                  </pic:spPr>
                </pic:pic>
              </a:graphicData>
            </a:graphic>
          </wp:anchor>
        </w:drawing>
      </w:r>
      <w:r>
        <w:rPr/>
        <w:drawing>
          <wp:anchor distT="0" distB="0" distL="0" distR="0" allowOverlap="1" layoutInCell="1" locked="0" behindDoc="0" simplePos="0" relativeHeight="6280">
            <wp:simplePos x="0" y="0"/>
            <wp:positionH relativeFrom="page">
              <wp:posOffset>1413124</wp:posOffset>
            </wp:positionH>
            <wp:positionV relativeFrom="paragraph">
              <wp:posOffset>1192721</wp:posOffset>
            </wp:positionV>
            <wp:extent cx="242973" cy="87439"/>
            <wp:effectExtent l="0" t="0" r="0" b="0"/>
            <wp:wrapNone/>
            <wp:docPr id="85" name="image117.png" descr=""/>
            <wp:cNvGraphicFramePr>
              <a:graphicFrameLocks noChangeAspect="1"/>
            </wp:cNvGraphicFramePr>
            <a:graphic>
              <a:graphicData uri="http://schemas.openxmlformats.org/drawingml/2006/picture">
                <pic:pic>
                  <pic:nvPicPr>
                    <pic:cNvPr id="86" name="image117.png"/>
                    <pic:cNvPicPr/>
                  </pic:nvPicPr>
                  <pic:blipFill>
                    <a:blip r:embed="rId152" cstate="print"/>
                    <a:stretch>
                      <a:fillRect/>
                    </a:stretch>
                  </pic:blipFill>
                  <pic:spPr>
                    <a:xfrm>
                      <a:off x="0" y="0"/>
                      <a:ext cx="242973" cy="87439"/>
                    </a:xfrm>
                    <a:prstGeom prst="rect">
                      <a:avLst/>
                    </a:prstGeom>
                  </pic:spPr>
                </pic:pic>
              </a:graphicData>
            </a:graphic>
          </wp:anchor>
        </w:drawing>
      </w:r>
      <w:r>
        <w:rPr/>
        <w:drawing>
          <wp:anchor distT="0" distB="0" distL="0" distR="0" allowOverlap="1" layoutInCell="1" locked="0" behindDoc="0" simplePos="0" relativeHeight="6304">
            <wp:simplePos x="0" y="0"/>
            <wp:positionH relativeFrom="page">
              <wp:posOffset>1419740</wp:posOffset>
            </wp:positionH>
            <wp:positionV relativeFrom="paragraph">
              <wp:posOffset>1436815</wp:posOffset>
            </wp:positionV>
            <wp:extent cx="239745" cy="88677"/>
            <wp:effectExtent l="0" t="0" r="0" b="0"/>
            <wp:wrapNone/>
            <wp:docPr id="87" name="image118.png" descr=""/>
            <wp:cNvGraphicFramePr>
              <a:graphicFrameLocks noChangeAspect="1"/>
            </wp:cNvGraphicFramePr>
            <a:graphic>
              <a:graphicData uri="http://schemas.openxmlformats.org/drawingml/2006/picture">
                <pic:pic>
                  <pic:nvPicPr>
                    <pic:cNvPr id="88" name="image118.png"/>
                    <pic:cNvPicPr/>
                  </pic:nvPicPr>
                  <pic:blipFill>
                    <a:blip r:embed="rId153" cstate="print"/>
                    <a:stretch>
                      <a:fillRect/>
                    </a:stretch>
                  </pic:blipFill>
                  <pic:spPr>
                    <a:xfrm>
                      <a:off x="0" y="0"/>
                      <a:ext cx="239745" cy="88677"/>
                    </a:xfrm>
                    <a:prstGeom prst="rect">
                      <a:avLst/>
                    </a:prstGeom>
                  </pic:spPr>
                </pic:pic>
              </a:graphicData>
            </a:graphic>
          </wp:anchor>
        </w:drawing>
      </w:r>
      <w:r>
        <w:rPr/>
        <w:pict>
          <v:group style="position:absolute;margin-left:137.703003pt;margin-top:39.139347pt;width:194.4pt;height:134.65pt;mso-position-horizontal-relative:page;mso-position-vertical-relative:paragraph;z-index:6400" coordorigin="2754,783" coordsize="3888,2693">
            <v:shape style="position:absolute;left:3272;top:1782;width:465;height:139" type="#_x0000_t75" stroked="false">
              <v:imagedata r:id="rId154" o:title=""/>
            </v:shape>
            <v:shape style="position:absolute;left:3849;top:1364;width:474;height:139" type="#_x0000_t75" stroked="false">
              <v:imagedata r:id="rId155" o:title=""/>
            </v:shape>
            <v:shape style="position:absolute;left:4432;top:1316;width:476;height:139" type="#_x0000_t75" stroked="false">
              <v:imagedata r:id="rId156" o:title=""/>
            </v:shape>
            <v:shape style="position:absolute;left:5051;top:883;width:476;height:139" type="#_x0000_t75" stroked="false">
              <v:imagedata r:id="rId157" o:title=""/>
            </v:shape>
            <v:shape style="position:absolute;left:5623;top:926;width:471;height:139" type="#_x0000_t75" stroked="false">
              <v:imagedata r:id="rId158" o:title=""/>
            </v:shape>
            <v:shape style="position:absolute;left:2758;top:787;width:3880;height:2685" coordorigin="2758,787" coordsize="3880,2685" path="m6637,3472l2758,3472,2758,787,6637,787,6637,3472xm2762,1169l6637,1169m6196,1563l6637,1563m2762,1563l5005,1563m6196,1938l6637,1938m2762,1938l3815,1938m6196,2320l6637,2320m2762,2320l3219,2320m6196,2703l6637,2703m2762,2703l3219,2703m6196,3085l6637,3085m2762,3085l3219,3085e" filled="false" stroked="true" strokeweight=".389pt" strokecolor="#231f20">
              <v:path arrowok="t"/>
            </v:shape>
            <v:rect style="position:absolute;left:3219;top:2029;width:595;height:1443" filled="true" fillcolor="#1b75bc" stroked="false">
              <v:fill type="solid"/>
            </v:rect>
            <v:rect style="position:absolute;left:3815;top:1625;width:595;height:1847" filled="true" fillcolor="#3e7ec1" stroked="false">
              <v:fill type="solid"/>
            </v:rect>
            <v:rect style="position:absolute;left:4410;top:1580;width:595;height:1892" filled="true" fillcolor="#5688c7" stroked="false">
              <v:fill type="solid"/>
            </v:rect>
            <v:rect style="position:absolute;left:5005;top:1149;width:595;height:2323" filled="true" fillcolor="#6a93cd" stroked="false">
              <v:fill type="solid"/>
            </v:rect>
            <v:rect style="position:absolute;left:5601;top:1286;width:595;height:2186" filled="true" fillcolor="#90acd9" stroked="false">
              <v:fill type="solid"/>
            </v:rect>
            <w10:wrap type="none"/>
          </v:group>
        </w:pict>
      </w:r>
      <w:r>
        <w:rPr/>
        <w:pict>
          <v:group style="position:absolute;margin-left:346.462006pt;margin-top:78.637154pt;width:25.15pt;height:6.85pt;mso-position-horizontal-relative:page;mso-position-vertical-relative:paragraph;z-index:6424" coordorigin="6929,1573" coordsize="503,137">
            <v:shape style="position:absolute;left:7093;top:1575;width:39;height:115" coordorigin="7093,1575" coordsize="39,115" path="m7132,1589l7117,1589,7117,1690,7132,1690,7132,1589xm7132,1575l7118,1575,7093,1588,7096,1600,7116,1589,7132,1589,7132,1575xe" filled="true" fillcolor="#231f20" stroked="false">
              <v:path arrowok="t"/>
              <v:fill type="solid"/>
            </v:shape>
            <v:shape style="position:absolute;left:7173;top:1573;width:258;height:119" type="#_x0000_t75" stroked="false">
              <v:imagedata r:id="rId159" o:title=""/>
            </v:shape>
            <v:rect style="position:absolute;left:6929;top:1580;width:130;height:130" filled="true" fillcolor="#1b75bc" stroked="false">
              <v:fill type="solid"/>
            </v:rect>
            <w10:wrap type="none"/>
          </v:group>
        </w:pict>
      </w:r>
      <w:r>
        <w:rPr/>
        <w:pict>
          <v:group style="position:absolute;margin-left:346.462006pt;margin-top:93.628853pt;width:25.15pt;height:6.55pt;mso-position-horizontal-relative:page;mso-position-vertical-relative:paragraph;z-index:6448" coordorigin="6929,1873" coordsize="503,131">
            <v:shape style="position:absolute;left:7093;top:1875;width:39;height:115" coordorigin="7093,1875" coordsize="39,115" path="m7132,1889l7117,1889,7117,1989,7132,1989,7132,1889xm7132,1875l7118,1875,7093,1888,7096,1900,7116,1889,7132,1889,7132,1875xe" filled="true" fillcolor="#231f20" stroked="false">
              <v:path arrowok="t"/>
              <v:fill type="solid"/>
            </v:shape>
            <v:shape style="position:absolute;left:7173;top:1873;width:258;height:119" type="#_x0000_t75" stroked="false">
              <v:imagedata r:id="rId160" o:title=""/>
            </v:shape>
            <v:rect style="position:absolute;left:6929;top:1873;width:130;height:130" filled="true" fillcolor="#3e7ec1" stroked="false">
              <v:fill type="solid"/>
            </v:rect>
            <w10:wrap type="none"/>
          </v:group>
        </w:pict>
      </w:r>
      <w:r>
        <w:rPr/>
        <w:pict>
          <v:group style="position:absolute;margin-left:346.462006pt;margin-top:108.620842pt;width:24.85pt;height:6.7pt;mso-position-horizontal-relative:page;mso-position-vertical-relative:paragraph;z-index:6472" coordorigin="6929,2172" coordsize="497,134">
            <v:shape style="position:absolute;left:7093;top:2174;width:39;height:115" coordorigin="7093,2174" coordsize="39,115" path="m7132,2189l7117,2189,7117,2289,7132,2289,7132,2189xm7132,2174l7118,2174,7093,2188,7096,2200,7116,2189,7132,2189,7132,2174xe" filled="true" fillcolor="#231f20" stroked="false">
              <v:path arrowok="t"/>
              <v:fill type="solid"/>
            </v:shape>
            <v:shape style="position:absolute;left:7173;top:2172;width:253;height:119" type="#_x0000_t75" stroked="false">
              <v:imagedata r:id="rId161" o:title=""/>
            </v:shape>
            <v:rect style="position:absolute;left:6929;top:2176;width:130;height:130" filled="true" fillcolor="#5688c7" stroked="false">
              <v:fill type="solid"/>
            </v:rect>
            <w10:wrap type="none"/>
          </v:group>
        </w:pict>
      </w:r>
      <w:r>
        <w:rPr/>
        <w:pict>
          <v:group style="position:absolute;margin-left:346.462006pt;margin-top:123.611656pt;width:25.15pt;height:7.1pt;mso-position-horizontal-relative:page;mso-position-vertical-relative:paragraph;z-index:6496" coordorigin="6929,2472" coordsize="503,142">
            <v:shape style="position:absolute;left:7083;top:2472;width:348;height:119" type="#_x0000_t75" stroked="false">
              <v:imagedata r:id="rId162" o:title=""/>
            </v:shape>
            <v:rect style="position:absolute;left:6929;top:2483;width:130;height:130" filled="true" fillcolor="#6a93cd" stroked="false">
              <v:fill type="solid"/>
            </v:rect>
            <w10:wrap type="none"/>
          </v:group>
        </w:pict>
      </w:r>
      <w:r>
        <w:rPr>
          <w:color w:val="231F20"/>
          <w:w w:val="105"/>
        </w:rPr>
        <w:t>Gráfico</w:t>
      </w:r>
      <w:r>
        <w:rPr>
          <w:color w:val="231F20"/>
          <w:spacing w:val="-15"/>
          <w:w w:val="105"/>
        </w:rPr>
        <w:t> </w:t>
      </w:r>
      <w:r>
        <w:rPr>
          <w:color w:val="231F20"/>
          <w:spacing w:val="2"/>
          <w:w w:val="105"/>
        </w:rPr>
        <w:t>2.</w:t>
      </w:r>
      <w:r>
        <w:rPr>
          <w:color w:val="231F20"/>
          <w:spacing w:val="-15"/>
          <w:w w:val="105"/>
        </w:rPr>
        <w:t> </w:t>
      </w:r>
      <w:r>
        <w:rPr>
          <w:color w:val="231F20"/>
          <w:w w:val="105"/>
        </w:rPr>
        <w:t>Crecimiento</w:t>
      </w:r>
      <w:r>
        <w:rPr>
          <w:color w:val="231F20"/>
          <w:spacing w:val="-15"/>
          <w:w w:val="105"/>
        </w:rPr>
        <w:t> </w:t>
      </w:r>
      <w:r>
        <w:rPr>
          <w:color w:val="231F20"/>
          <w:w w:val="105"/>
        </w:rPr>
        <w:t>poblacional</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de</w:t>
      </w:r>
      <w:r>
        <w:rPr>
          <w:color w:val="231F20"/>
          <w:spacing w:val="-15"/>
          <w:w w:val="105"/>
        </w:rPr>
        <w:t> </w:t>
      </w:r>
      <w:r>
        <w:rPr>
          <w:color w:val="231F20"/>
          <w:w w:val="105"/>
        </w:rPr>
        <w:t>Ixtapan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Sal </w:t>
      </w:r>
      <w:r>
        <w:rPr>
          <w:color w:val="231F20"/>
          <w:spacing w:val="-3"/>
          <w:w w:val="105"/>
        </w:rPr>
        <w:t>(1980-2005)</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8"/>
        </w:rPr>
      </w:pPr>
      <w:r>
        <w:rPr/>
        <w:drawing>
          <wp:anchor distT="0" distB="0" distL="0" distR="0" allowOverlap="1" layoutInCell="1" locked="0" behindDoc="0" simplePos="0" relativeHeight="6184">
            <wp:simplePos x="0" y="0"/>
            <wp:positionH relativeFrom="page">
              <wp:posOffset>2748309</wp:posOffset>
            </wp:positionH>
            <wp:positionV relativeFrom="paragraph">
              <wp:posOffset>159570</wp:posOffset>
            </wp:positionV>
            <wp:extent cx="442785" cy="88677"/>
            <wp:effectExtent l="0" t="0" r="0" b="0"/>
            <wp:wrapTopAndBottom/>
            <wp:docPr id="89" name="image128.png" descr=""/>
            <wp:cNvGraphicFramePr>
              <a:graphicFrameLocks noChangeAspect="1"/>
            </wp:cNvGraphicFramePr>
            <a:graphic>
              <a:graphicData uri="http://schemas.openxmlformats.org/drawingml/2006/picture">
                <pic:pic>
                  <pic:nvPicPr>
                    <pic:cNvPr id="90" name="image128.png"/>
                    <pic:cNvPicPr/>
                  </pic:nvPicPr>
                  <pic:blipFill>
                    <a:blip r:embed="rId163" cstate="print"/>
                    <a:stretch>
                      <a:fillRect/>
                    </a:stretch>
                  </pic:blipFill>
                  <pic:spPr>
                    <a:xfrm>
                      <a:off x="0" y="0"/>
                      <a:ext cx="442785" cy="88677"/>
                    </a:xfrm>
                    <a:prstGeom prst="rect">
                      <a:avLst/>
                    </a:prstGeom>
                  </pic:spPr>
                </pic:pic>
              </a:graphicData>
            </a:graphic>
          </wp:anchor>
        </w:drawing>
      </w:r>
    </w:p>
    <w:p>
      <w:pPr>
        <w:spacing w:before="173"/>
        <w:ind w:left="4044" w:right="-2" w:firstLine="0"/>
        <w:jc w:val="left"/>
        <w:rPr>
          <w:rFonts w:ascii="Calibri"/>
          <w:sz w:val="16"/>
        </w:rPr>
      </w:pPr>
      <w:r>
        <w:rPr>
          <w:rFonts w:ascii="Calibri"/>
          <w:color w:val="231F20"/>
          <w:sz w:val="16"/>
        </w:rPr>
        <w:t>Fuente: Plan de Desarrollo Municipal de Ixtapan de la Sal, 2006</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drawing>
          <wp:anchor distT="0" distB="0" distL="0" distR="0" allowOverlap="1" layoutInCell="1" locked="0" behindDoc="0" simplePos="0" relativeHeight="6328">
            <wp:simplePos x="0" y="0"/>
            <wp:positionH relativeFrom="page">
              <wp:posOffset>1419740</wp:posOffset>
            </wp:positionH>
            <wp:positionV relativeFrom="paragraph">
              <wp:posOffset>-1175766</wp:posOffset>
            </wp:positionV>
            <wp:extent cx="239776" cy="88677"/>
            <wp:effectExtent l="0" t="0" r="0" b="0"/>
            <wp:wrapNone/>
            <wp:docPr id="91" name="image129.png" descr=""/>
            <wp:cNvGraphicFramePr>
              <a:graphicFrameLocks noChangeAspect="1"/>
            </wp:cNvGraphicFramePr>
            <a:graphic>
              <a:graphicData uri="http://schemas.openxmlformats.org/drawingml/2006/picture">
                <pic:pic>
                  <pic:nvPicPr>
                    <pic:cNvPr id="92" name="image129.png"/>
                    <pic:cNvPicPr/>
                  </pic:nvPicPr>
                  <pic:blipFill>
                    <a:blip r:embed="rId164" cstate="print"/>
                    <a:stretch>
                      <a:fillRect/>
                    </a:stretch>
                  </pic:blipFill>
                  <pic:spPr>
                    <a:xfrm>
                      <a:off x="0" y="0"/>
                      <a:ext cx="239776" cy="88677"/>
                    </a:xfrm>
                    <a:prstGeom prst="rect">
                      <a:avLst/>
                    </a:prstGeom>
                  </pic:spPr>
                </pic:pic>
              </a:graphicData>
            </a:graphic>
          </wp:anchor>
        </w:drawing>
      </w:r>
      <w:r>
        <w:rPr/>
        <w:drawing>
          <wp:anchor distT="0" distB="0" distL="0" distR="0" allowOverlap="1" layoutInCell="1" locked="0" behindDoc="0" simplePos="0" relativeHeight="6352">
            <wp:simplePos x="0" y="0"/>
            <wp:positionH relativeFrom="page">
              <wp:posOffset>1412788</wp:posOffset>
            </wp:positionH>
            <wp:positionV relativeFrom="paragraph">
              <wp:posOffset>-931672</wp:posOffset>
            </wp:positionV>
            <wp:extent cx="243338" cy="87439"/>
            <wp:effectExtent l="0" t="0" r="0" b="0"/>
            <wp:wrapNone/>
            <wp:docPr id="93" name="image130.png" descr=""/>
            <wp:cNvGraphicFramePr>
              <a:graphicFrameLocks noChangeAspect="1"/>
            </wp:cNvGraphicFramePr>
            <a:graphic>
              <a:graphicData uri="http://schemas.openxmlformats.org/drawingml/2006/picture">
                <pic:pic>
                  <pic:nvPicPr>
                    <pic:cNvPr id="94" name="image130.png"/>
                    <pic:cNvPicPr/>
                  </pic:nvPicPr>
                  <pic:blipFill>
                    <a:blip r:embed="rId165" cstate="print"/>
                    <a:stretch>
                      <a:fillRect/>
                    </a:stretch>
                  </pic:blipFill>
                  <pic:spPr>
                    <a:xfrm>
                      <a:off x="0" y="0"/>
                      <a:ext cx="243338" cy="87439"/>
                    </a:xfrm>
                    <a:prstGeom prst="rect">
                      <a:avLst/>
                    </a:prstGeom>
                  </pic:spPr>
                </pic:pic>
              </a:graphicData>
            </a:graphic>
          </wp:anchor>
        </w:drawing>
      </w:r>
      <w:r>
        <w:rPr/>
        <w:pict>
          <v:shape style="position:absolute;margin-left:126.62735pt;margin-top:-54.140064pt;width:3.9pt;height:5.95pt;mso-position-horizontal-relative:page;mso-position-vertical-relative:paragraph;z-index:6376" coordorigin="2533,-1083" coordsize="78,119" path="m2572,-1083l2556,-1079,2544,-1067,2535,-1049,2533,-1025,2533,-1023,2535,-998,2543,-979,2543,-979,2555,-968,2571,-964,2587,-968,2596,-976,2571,-976,2562,-979,2554,-988,2550,-1003,2548,-1023,2550,-1044,2555,-1059,2562,-1068,2572,-1071,2597,-1071,2589,-1079,2572,-1083xm2597,-1071l2572,-1071,2582,-1067,2589,-1058,2594,-1043,2595,-1025,2595,-1023,2593,-1004,2589,-989,2582,-979,2571,-976,2596,-976,2600,-980,2608,-999,2610,-1025,2608,-1049,2601,-1067,2597,-1071xe" filled="true" fillcolor="#231f20" stroked="false">
            <v:path arrowok="t"/>
            <v:fill type="solid"/>
            <w10:wrap type="none"/>
          </v:shape>
        </w:pict>
      </w:r>
      <w:r>
        <w:rPr/>
        <w:pict>
          <v:group style="position:absolute;margin-left:346.462006pt;margin-top:-86.332664pt;width:24.85pt;height:6.85pt;mso-position-horizontal-relative:page;mso-position-vertical-relative:paragraph;z-index:6520" coordorigin="6929,-1727" coordsize="497,137">
            <v:shape style="position:absolute;left:7083;top:-1727;width:343;height:119" type="#_x0000_t75" stroked="false">
              <v:imagedata r:id="rId166" o:title=""/>
            </v:shape>
            <v:rect style="position:absolute;left:6929;top:-1720;width:130;height:130" filled="true" fillcolor="#90acd9" stroked="false">
              <v:fill type="solid"/>
            </v:rect>
            <w10:wrap type="none"/>
          </v:group>
        </w:pict>
      </w:r>
      <w:r>
        <w:rPr>
          <w:color w:val="231F20"/>
          <w:w w:val="105"/>
        </w:rPr>
        <w:t>De </w:t>
      </w:r>
      <w:r>
        <w:rPr>
          <w:color w:val="231F20"/>
          <w:spacing w:val="-6"/>
          <w:w w:val="105"/>
        </w:rPr>
        <w:t>acuerdo </w:t>
      </w:r>
      <w:r>
        <w:rPr>
          <w:color w:val="231F20"/>
          <w:spacing w:val="-5"/>
          <w:w w:val="105"/>
        </w:rPr>
        <w:t>con </w:t>
      </w:r>
      <w:r>
        <w:rPr>
          <w:color w:val="231F20"/>
          <w:spacing w:val="-3"/>
          <w:w w:val="105"/>
        </w:rPr>
        <w:t>el </w:t>
      </w:r>
      <w:r>
        <w:rPr>
          <w:color w:val="231F20"/>
          <w:spacing w:val="-4"/>
          <w:w w:val="105"/>
        </w:rPr>
        <w:t>Bando Municipal </w:t>
      </w:r>
      <w:r>
        <w:rPr>
          <w:color w:val="231F20"/>
          <w:w w:val="105"/>
        </w:rPr>
        <w:t>2006 sus </w:t>
      </w:r>
      <w:r>
        <w:rPr>
          <w:color w:val="231F20"/>
          <w:spacing w:val="-5"/>
          <w:w w:val="105"/>
        </w:rPr>
        <w:t>habitantes </w:t>
      </w:r>
      <w:r>
        <w:rPr>
          <w:color w:val="231F20"/>
          <w:w w:val="105"/>
        </w:rPr>
        <w:t>se </w:t>
      </w:r>
      <w:r>
        <w:rPr>
          <w:color w:val="231F20"/>
          <w:spacing w:val="-5"/>
          <w:w w:val="105"/>
        </w:rPr>
        <w:t>encuentran </w:t>
      </w:r>
      <w:r>
        <w:rPr>
          <w:color w:val="231F20"/>
          <w:spacing w:val="-4"/>
          <w:w w:val="105"/>
        </w:rPr>
        <w:t>distribuidos en </w:t>
      </w:r>
      <w:r>
        <w:rPr>
          <w:color w:val="231F20"/>
          <w:w w:val="105"/>
        </w:rPr>
        <w:t>4 </w:t>
      </w:r>
      <w:r>
        <w:rPr>
          <w:color w:val="231F20"/>
          <w:spacing w:val="-4"/>
          <w:w w:val="105"/>
        </w:rPr>
        <w:t>barrios,</w:t>
      </w:r>
      <w:r>
        <w:rPr>
          <w:color w:val="231F20"/>
          <w:spacing w:val="-10"/>
          <w:w w:val="105"/>
        </w:rPr>
        <w:t> </w:t>
      </w:r>
      <w:r>
        <w:rPr>
          <w:color w:val="231F20"/>
          <w:spacing w:val="-7"/>
          <w:w w:val="105"/>
        </w:rPr>
        <w:t>10</w:t>
      </w:r>
      <w:r>
        <w:rPr>
          <w:color w:val="231F20"/>
          <w:spacing w:val="-10"/>
          <w:w w:val="105"/>
        </w:rPr>
        <w:t> </w:t>
      </w:r>
      <w:r>
        <w:rPr>
          <w:color w:val="231F20"/>
          <w:spacing w:val="-5"/>
          <w:w w:val="105"/>
        </w:rPr>
        <w:t>colonias,</w:t>
      </w:r>
      <w:r>
        <w:rPr>
          <w:color w:val="231F20"/>
          <w:spacing w:val="-10"/>
          <w:w w:val="105"/>
        </w:rPr>
        <w:t> </w:t>
      </w:r>
      <w:r>
        <w:rPr>
          <w:color w:val="231F20"/>
          <w:spacing w:val="-7"/>
          <w:w w:val="105"/>
        </w:rPr>
        <w:t>10</w:t>
      </w:r>
      <w:r>
        <w:rPr>
          <w:color w:val="231F20"/>
          <w:spacing w:val="-10"/>
          <w:w w:val="105"/>
        </w:rPr>
        <w:t> </w:t>
      </w:r>
      <w:r>
        <w:rPr>
          <w:color w:val="231F20"/>
          <w:spacing w:val="-5"/>
          <w:w w:val="105"/>
        </w:rPr>
        <w:t>fraccionamientos,</w:t>
      </w:r>
      <w:r>
        <w:rPr>
          <w:color w:val="231F20"/>
          <w:spacing w:val="-10"/>
          <w:w w:val="105"/>
        </w:rPr>
        <w:t> </w:t>
      </w:r>
      <w:r>
        <w:rPr>
          <w:color w:val="231F20"/>
          <w:w w:val="105"/>
        </w:rPr>
        <w:t>3</w:t>
      </w:r>
      <w:r>
        <w:rPr>
          <w:color w:val="231F20"/>
          <w:spacing w:val="-10"/>
          <w:w w:val="105"/>
        </w:rPr>
        <w:t> </w:t>
      </w:r>
      <w:r>
        <w:rPr>
          <w:color w:val="231F20"/>
          <w:spacing w:val="-5"/>
          <w:w w:val="105"/>
        </w:rPr>
        <w:t>unidades</w:t>
      </w:r>
      <w:r>
        <w:rPr>
          <w:color w:val="231F20"/>
          <w:spacing w:val="-10"/>
          <w:w w:val="105"/>
        </w:rPr>
        <w:t> </w:t>
      </w:r>
      <w:r>
        <w:rPr>
          <w:color w:val="231F20"/>
          <w:spacing w:val="-5"/>
          <w:w w:val="105"/>
        </w:rPr>
        <w:t>habitacionales,</w:t>
      </w:r>
      <w:r>
        <w:rPr>
          <w:color w:val="231F20"/>
          <w:spacing w:val="-10"/>
          <w:w w:val="105"/>
        </w:rPr>
        <w:t> </w:t>
      </w:r>
      <w:r>
        <w:rPr>
          <w:color w:val="231F20"/>
          <w:w w:val="105"/>
        </w:rPr>
        <w:t>5</w:t>
      </w:r>
      <w:r>
        <w:rPr>
          <w:color w:val="231F20"/>
          <w:spacing w:val="-10"/>
          <w:w w:val="105"/>
        </w:rPr>
        <w:t> </w:t>
      </w:r>
      <w:r>
        <w:rPr>
          <w:color w:val="231F20"/>
          <w:spacing w:val="-6"/>
          <w:w w:val="105"/>
        </w:rPr>
        <w:t>pueblos,</w:t>
      </w:r>
      <w:r>
        <w:rPr>
          <w:color w:val="231F20"/>
          <w:spacing w:val="-10"/>
          <w:w w:val="105"/>
        </w:rPr>
        <w:t> </w:t>
      </w:r>
      <w:r>
        <w:rPr>
          <w:color w:val="231F20"/>
          <w:spacing w:val="-4"/>
          <w:w w:val="105"/>
        </w:rPr>
        <w:t>13</w:t>
      </w:r>
      <w:r>
        <w:rPr>
          <w:color w:val="231F20"/>
          <w:spacing w:val="-10"/>
          <w:w w:val="105"/>
        </w:rPr>
        <w:t> </w:t>
      </w:r>
      <w:r>
        <w:rPr>
          <w:color w:val="231F20"/>
          <w:spacing w:val="-5"/>
          <w:w w:val="105"/>
        </w:rPr>
        <w:t>ranche- </w:t>
      </w:r>
      <w:r>
        <w:rPr>
          <w:color w:val="231F20"/>
          <w:w w:val="105"/>
        </w:rPr>
        <w:t>rías</w:t>
      </w:r>
      <w:r>
        <w:rPr>
          <w:color w:val="231F20"/>
          <w:spacing w:val="-29"/>
          <w:w w:val="105"/>
        </w:rPr>
        <w:t> </w:t>
      </w:r>
      <w:r>
        <w:rPr>
          <w:color w:val="231F20"/>
          <w:w w:val="105"/>
        </w:rPr>
        <w:t>y</w:t>
      </w:r>
      <w:r>
        <w:rPr>
          <w:color w:val="231F20"/>
          <w:spacing w:val="-29"/>
          <w:w w:val="105"/>
        </w:rPr>
        <w:t> </w:t>
      </w:r>
      <w:r>
        <w:rPr>
          <w:color w:val="231F20"/>
          <w:w w:val="105"/>
        </w:rPr>
        <w:t>4</w:t>
      </w:r>
      <w:r>
        <w:rPr>
          <w:color w:val="231F20"/>
          <w:spacing w:val="-29"/>
          <w:w w:val="105"/>
        </w:rPr>
        <w:t> </w:t>
      </w:r>
      <w:r>
        <w:rPr>
          <w:color w:val="231F20"/>
          <w:spacing w:val="-4"/>
          <w:w w:val="105"/>
        </w:rPr>
        <w:t>caseríos,</w:t>
      </w:r>
      <w:r>
        <w:rPr>
          <w:color w:val="231F20"/>
          <w:spacing w:val="-29"/>
          <w:w w:val="105"/>
        </w:rPr>
        <w:t> </w:t>
      </w:r>
      <w:r>
        <w:rPr>
          <w:color w:val="231F20"/>
          <w:spacing w:val="-4"/>
          <w:w w:val="105"/>
        </w:rPr>
        <w:t>observándose</w:t>
      </w:r>
      <w:r>
        <w:rPr>
          <w:color w:val="231F20"/>
          <w:spacing w:val="-29"/>
          <w:w w:val="105"/>
        </w:rPr>
        <w:t> </w:t>
      </w:r>
      <w:r>
        <w:rPr>
          <w:color w:val="231F20"/>
          <w:spacing w:val="-4"/>
          <w:w w:val="105"/>
        </w:rPr>
        <w:t>que</w:t>
      </w:r>
      <w:r>
        <w:rPr>
          <w:color w:val="231F20"/>
          <w:spacing w:val="-29"/>
          <w:w w:val="105"/>
        </w:rPr>
        <w:t> </w:t>
      </w:r>
      <w:r>
        <w:rPr>
          <w:color w:val="231F20"/>
          <w:spacing w:val="-4"/>
          <w:w w:val="105"/>
        </w:rPr>
        <w:t>de</w:t>
      </w:r>
      <w:r>
        <w:rPr>
          <w:color w:val="231F20"/>
          <w:spacing w:val="-29"/>
          <w:w w:val="105"/>
        </w:rPr>
        <w:t> </w:t>
      </w:r>
      <w:r>
        <w:rPr>
          <w:color w:val="231F20"/>
          <w:spacing w:val="-4"/>
          <w:w w:val="105"/>
        </w:rPr>
        <w:t>los</w:t>
      </w:r>
      <w:r>
        <w:rPr>
          <w:color w:val="231F20"/>
          <w:spacing w:val="-29"/>
          <w:w w:val="105"/>
        </w:rPr>
        <w:t> </w:t>
      </w:r>
      <w:r>
        <w:rPr>
          <w:color w:val="231F20"/>
          <w:spacing w:val="-3"/>
          <w:w w:val="105"/>
        </w:rPr>
        <w:t>49</w:t>
      </w:r>
      <w:r>
        <w:rPr>
          <w:color w:val="231F20"/>
          <w:spacing w:val="-29"/>
          <w:w w:val="105"/>
        </w:rPr>
        <w:t> </w:t>
      </w:r>
      <w:r>
        <w:rPr>
          <w:color w:val="231F20"/>
          <w:spacing w:val="-5"/>
          <w:w w:val="105"/>
        </w:rPr>
        <w:t>asentamientos</w:t>
      </w:r>
      <w:r>
        <w:rPr>
          <w:color w:val="231F20"/>
          <w:spacing w:val="-29"/>
          <w:w w:val="105"/>
        </w:rPr>
        <w:t> </w:t>
      </w:r>
      <w:r>
        <w:rPr>
          <w:color w:val="231F20"/>
          <w:spacing w:val="-4"/>
          <w:w w:val="105"/>
        </w:rPr>
        <w:t>territoriales</w:t>
      </w:r>
      <w:r>
        <w:rPr>
          <w:color w:val="231F20"/>
          <w:spacing w:val="-29"/>
          <w:w w:val="105"/>
        </w:rPr>
        <w:t> </w:t>
      </w:r>
      <w:r>
        <w:rPr>
          <w:color w:val="231F20"/>
          <w:spacing w:val="-3"/>
          <w:w w:val="105"/>
        </w:rPr>
        <w:t>el</w:t>
      </w:r>
      <w:r>
        <w:rPr>
          <w:color w:val="231F20"/>
          <w:spacing w:val="-29"/>
          <w:w w:val="105"/>
        </w:rPr>
        <w:t> </w:t>
      </w:r>
      <w:r>
        <w:rPr>
          <w:color w:val="231F20"/>
          <w:w w:val="105"/>
        </w:rPr>
        <w:t>44.89%</w:t>
      </w:r>
      <w:r>
        <w:rPr>
          <w:color w:val="231F20"/>
          <w:spacing w:val="-29"/>
          <w:w w:val="105"/>
        </w:rPr>
        <w:t> </w:t>
      </w:r>
      <w:r>
        <w:rPr>
          <w:color w:val="231F20"/>
          <w:spacing w:val="-5"/>
          <w:w w:val="105"/>
        </w:rPr>
        <w:t>concentra </w:t>
      </w:r>
      <w:r>
        <w:rPr>
          <w:color w:val="231F20"/>
          <w:spacing w:val="-6"/>
          <w:w w:val="105"/>
        </w:rPr>
        <w:t>poblaciones </w:t>
      </w:r>
      <w:r>
        <w:rPr>
          <w:color w:val="231F20"/>
          <w:spacing w:val="-4"/>
          <w:w w:val="105"/>
        </w:rPr>
        <w:t>en zonas </w:t>
      </w:r>
      <w:r>
        <w:rPr>
          <w:color w:val="231F20"/>
          <w:spacing w:val="-3"/>
          <w:w w:val="105"/>
        </w:rPr>
        <w:t>rurales </w:t>
      </w:r>
      <w:r>
        <w:rPr>
          <w:color w:val="231F20"/>
          <w:w w:val="105"/>
        </w:rPr>
        <w:t>y </w:t>
      </w:r>
      <w:r>
        <w:rPr>
          <w:color w:val="231F20"/>
          <w:spacing w:val="-3"/>
          <w:w w:val="105"/>
        </w:rPr>
        <w:t>el </w:t>
      </w:r>
      <w:r>
        <w:rPr>
          <w:color w:val="231F20"/>
          <w:spacing w:val="-4"/>
          <w:w w:val="105"/>
        </w:rPr>
        <w:t>resto en </w:t>
      </w:r>
      <w:r>
        <w:rPr>
          <w:color w:val="231F20"/>
          <w:spacing w:val="-6"/>
          <w:w w:val="105"/>
        </w:rPr>
        <w:t>condiciones </w:t>
      </w:r>
      <w:r>
        <w:rPr>
          <w:color w:val="231F20"/>
          <w:spacing w:val="-3"/>
          <w:w w:val="105"/>
        </w:rPr>
        <w:t>urbanas, </w:t>
      </w:r>
      <w:r>
        <w:rPr>
          <w:color w:val="231F20"/>
          <w:spacing w:val="-4"/>
          <w:w w:val="105"/>
        </w:rPr>
        <w:t>lo que refleja en términos </w:t>
      </w:r>
      <w:r>
        <w:rPr>
          <w:color w:val="231F20"/>
          <w:spacing w:val="-5"/>
          <w:w w:val="105"/>
        </w:rPr>
        <w:t>económicos </w:t>
      </w:r>
      <w:r>
        <w:rPr>
          <w:color w:val="231F20"/>
          <w:w w:val="105"/>
        </w:rPr>
        <w:t>una </w:t>
      </w:r>
      <w:r>
        <w:rPr>
          <w:color w:val="231F20"/>
          <w:spacing w:val="-5"/>
          <w:w w:val="105"/>
        </w:rPr>
        <w:t>diversidad </w:t>
      </w:r>
      <w:r>
        <w:rPr>
          <w:color w:val="231F20"/>
          <w:spacing w:val="-4"/>
          <w:w w:val="105"/>
        </w:rPr>
        <w:t>en los ingresos </w:t>
      </w:r>
      <w:r>
        <w:rPr>
          <w:color w:val="231F20"/>
          <w:spacing w:val="-3"/>
          <w:w w:val="105"/>
        </w:rPr>
        <w:t>familiares, </w:t>
      </w:r>
      <w:r>
        <w:rPr>
          <w:color w:val="231F20"/>
          <w:spacing w:val="-5"/>
          <w:w w:val="105"/>
        </w:rPr>
        <w:t>pues </w:t>
      </w:r>
      <w:r>
        <w:rPr>
          <w:color w:val="231F20"/>
          <w:w w:val="105"/>
        </w:rPr>
        <w:t>se </w:t>
      </w:r>
      <w:r>
        <w:rPr>
          <w:color w:val="231F20"/>
          <w:spacing w:val="-5"/>
          <w:w w:val="105"/>
        </w:rPr>
        <w:t>encuentran desde </w:t>
      </w:r>
      <w:r>
        <w:rPr>
          <w:color w:val="231F20"/>
          <w:spacing w:val="-4"/>
          <w:w w:val="105"/>
        </w:rPr>
        <w:t>sencillas </w:t>
      </w:r>
      <w:r>
        <w:rPr>
          <w:color w:val="231F20"/>
          <w:spacing w:val="-5"/>
          <w:w w:val="105"/>
        </w:rPr>
        <w:t>comunidades conformadas </w:t>
      </w:r>
      <w:r>
        <w:rPr>
          <w:color w:val="231F20"/>
          <w:spacing w:val="-4"/>
          <w:w w:val="105"/>
        </w:rPr>
        <w:t>por campesinos </w:t>
      </w:r>
      <w:r>
        <w:rPr>
          <w:color w:val="231F20"/>
          <w:w w:val="105"/>
        </w:rPr>
        <w:t>y </w:t>
      </w:r>
      <w:r>
        <w:rPr>
          <w:color w:val="231F20"/>
          <w:spacing w:val="-3"/>
          <w:w w:val="105"/>
        </w:rPr>
        <w:t>artesanos, hasta </w:t>
      </w:r>
      <w:r>
        <w:rPr>
          <w:color w:val="231F20"/>
          <w:spacing w:val="-5"/>
          <w:w w:val="105"/>
        </w:rPr>
        <w:t>espacios residenciales </w:t>
      </w:r>
      <w:r>
        <w:rPr>
          <w:color w:val="231F20"/>
          <w:spacing w:val="-4"/>
          <w:w w:val="105"/>
        </w:rPr>
        <w:t>que </w:t>
      </w:r>
      <w:r>
        <w:rPr>
          <w:color w:val="231F20"/>
          <w:spacing w:val="-6"/>
          <w:w w:val="105"/>
        </w:rPr>
        <w:t>corresponden</w:t>
      </w:r>
      <w:r>
        <w:rPr>
          <w:color w:val="231F20"/>
          <w:spacing w:val="-19"/>
          <w:w w:val="105"/>
        </w:rPr>
        <w:t> </w:t>
      </w:r>
      <w:r>
        <w:rPr>
          <w:color w:val="231F20"/>
          <w:w w:val="105"/>
        </w:rPr>
        <w:t>a</w:t>
      </w:r>
      <w:r>
        <w:rPr>
          <w:color w:val="231F20"/>
          <w:spacing w:val="-19"/>
          <w:w w:val="105"/>
        </w:rPr>
        <w:t> </w:t>
      </w:r>
      <w:r>
        <w:rPr>
          <w:color w:val="231F20"/>
          <w:spacing w:val="-5"/>
          <w:w w:val="105"/>
        </w:rPr>
        <w:t>empresarios</w:t>
      </w:r>
      <w:r>
        <w:rPr>
          <w:color w:val="231F20"/>
          <w:spacing w:val="-19"/>
          <w:w w:val="105"/>
        </w:rPr>
        <w:t> </w:t>
      </w:r>
      <w:r>
        <w:rPr>
          <w:color w:val="231F20"/>
          <w:spacing w:val="-4"/>
          <w:w w:val="105"/>
        </w:rPr>
        <w:t>de</w:t>
      </w:r>
      <w:r>
        <w:rPr>
          <w:color w:val="231F20"/>
          <w:spacing w:val="-19"/>
          <w:w w:val="105"/>
        </w:rPr>
        <w:t> </w:t>
      </w:r>
      <w:r>
        <w:rPr>
          <w:color w:val="231F20"/>
          <w:w w:val="105"/>
        </w:rPr>
        <w:t>la</w:t>
      </w:r>
      <w:r>
        <w:rPr>
          <w:color w:val="231F20"/>
          <w:spacing w:val="-19"/>
          <w:w w:val="105"/>
        </w:rPr>
        <w:t> </w:t>
      </w:r>
      <w:r>
        <w:rPr>
          <w:color w:val="231F20"/>
          <w:spacing w:val="-5"/>
          <w:w w:val="105"/>
        </w:rPr>
        <w:t>región</w:t>
      </w:r>
      <w:r>
        <w:rPr>
          <w:color w:val="231F20"/>
          <w:spacing w:val="-19"/>
          <w:w w:val="105"/>
        </w:rPr>
        <w:t> </w:t>
      </w:r>
      <w:r>
        <w:rPr>
          <w:color w:val="231F20"/>
          <w:w w:val="105"/>
        </w:rPr>
        <w:t>y</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familias</w:t>
      </w:r>
      <w:r>
        <w:rPr>
          <w:color w:val="231F20"/>
          <w:spacing w:val="-19"/>
          <w:w w:val="105"/>
        </w:rPr>
        <w:t> </w:t>
      </w:r>
      <w:r>
        <w:rPr>
          <w:color w:val="231F20"/>
          <w:w w:val="105"/>
        </w:rPr>
        <w:t>más</w:t>
      </w:r>
      <w:r>
        <w:rPr>
          <w:color w:val="231F20"/>
          <w:spacing w:val="-19"/>
          <w:w w:val="105"/>
        </w:rPr>
        <w:t> </w:t>
      </w:r>
      <w:r>
        <w:rPr>
          <w:color w:val="231F20"/>
          <w:spacing w:val="-5"/>
          <w:w w:val="105"/>
        </w:rPr>
        <w:t>prominentes</w:t>
      </w:r>
      <w:r>
        <w:rPr>
          <w:color w:val="231F20"/>
          <w:spacing w:val="-19"/>
          <w:w w:val="105"/>
        </w:rPr>
        <w:t> </w:t>
      </w:r>
      <w:r>
        <w:rPr>
          <w:color w:val="231F20"/>
          <w:spacing w:val="-5"/>
          <w:w w:val="105"/>
        </w:rPr>
        <w:t>del</w:t>
      </w:r>
      <w:r>
        <w:rPr>
          <w:color w:val="231F20"/>
          <w:spacing w:val="-19"/>
          <w:w w:val="105"/>
        </w:rPr>
        <w:t> </w:t>
      </w:r>
      <w:r>
        <w:rPr>
          <w:color w:val="231F20"/>
          <w:spacing w:val="-6"/>
          <w:w w:val="105"/>
        </w:rPr>
        <w:t>municipio.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Esta disparidad de ingresos </w:t>
      </w:r>
      <w:r>
        <w:rPr>
          <w:color w:val="231F20"/>
          <w:spacing w:val="-4"/>
          <w:w w:val="105"/>
        </w:rPr>
        <w:t>provoca </w:t>
      </w:r>
      <w:r>
        <w:rPr>
          <w:color w:val="231F20"/>
          <w:spacing w:val="-3"/>
          <w:w w:val="105"/>
        </w:rPr>
        <w:t>que </w:t>
      </w:r>
      <w:r>
        <w:rPr>
          <w:color w:val="231F20"/>
          <w:w w:val="105"/>
        </w:rPr>
        <w:t>se </w:t>
      </w:r>
      <w:r>
        <w:rPr>
          <w:color w:val="231F20"/>
          <w:spacing w:val="-3"/>
          <w:w w:val="105"/>
        </w:rPr>
        <w:t>mantenga </w:t>
      </w:r>
      <w:r>
        <w:rPr>
          <w:color w:val="231F20"/>
          <w:w w:val="105"/>
        </w:rPr>
        <w:t>un </w:t>
      </w:r>
      <w:r>
        <w:rPr>
          <w:color w:val="231F20"/>
          <w:spacing w:val="-3"/>
          <w:w w:val="105"/>
        </w:rPr>
        <w:t>nivel </w:t>
      </w:r>
      <w:r>
        <w:rPr>
          <w:color w:val="231F20"/>
          <w:w w:val="105"/>
        </w:rPr>
        <w:t>medio de marginación </w:t>
      </w:r>
      <w:r>
        <w:rPr>
          <w:color w:val="231F20"/>
          <w:spacing w:val="-5"/>
          <w:w w:val="105"/>
        </w:rPr>
        <w:t>(CONAPO,</w:t>
      </w:r>
      <w:r>
        <w:rPr>
          <w:color w:val="231F20"/>
          <w:spacing w:val="-9"/>
          <w:w w:val="105"/>
        </w:rPr>
        <w:t> </w:t>
      </w:r>
      <w:r>
        <w:rPr>
          <w:color w:val="231F20"/>
          <w:w w:val="105"/>
        </w:rPr>
        <w:t>2005),</w:t>
      </w:r>
      <w:r>
        <w:rPr>
          <w:color w:val="231F20"/>
          <w:spacing w:val="-9"/>
          <w:w w:val="105"/>
        </w:rPr>
        <w:t> </w:t>
      </w:r>
      <w:r>
        <w:rPr>
          <w:color w:val="231F20"/>
          <w:spacing w:val="-3"/>
          <w:w w:val="105"/>
        </w:rPr>
        <w:t>lo</w:t>
      </w:r>
      <w:r>
        <w:rPr>
          <w:color w:val="231F20"/>
          <w:spacing w:val="-9"/>
          <w:w w:val="105"/>
        </w:rPr>
        <w:t> </w:t>
      </w:r>
      <w:r>
        <w:rPr>
          <w:color w:val="231F20"/>
          <w:spacing w:val="-3"/>
          <w:w w:val="105"/>
        </w:rPr>
        <w:t>que</w:t>
      </w:r>
      <w:r>
        <w:rPr>
          <w:color w:val="231F20"/>
          <w:spacing w:val="-9"/>
          <w:w w:val="105"/>
        </w:rPr>
        <w:t> </w:t>
      </w:r>
      <w:r>
        <w:rPr>
          <w:color w:val="231F20"/>
          <w:w w:val="105"/>
        </w:rPr>
        <w:t>significa</w:t>
      </w:r>
      <w:r>
        <w:rPr>
          <w:color w:val="231F20"/>
          <w:spacing w:val="-9"/>
          <w:w w:val="105"/>
        </w:rPr>
        <w:t> </w:t>
      </w:r>
      <w:r>
        <w:rPr>
          <w:color w:val="231F20"/>
          <w:w w:val="105"/>
        </w:rPr>
        <w:t>carencias</w:t>
      </w:r>
      <w:r>
        <w:rPr>
          <w:color w:val="231F20"/>
          <w:spacing w:val="-9"/>
          <w:w w:val="105"/>
        </w:rPr>
        <w:t> </w:t>
      </w:r>
      <w:r>
        <w:rPr>
          <w:color w:val="231F20"/>
          <w:w w:val="105"/>
        </w:rPr>
        <w:t>de</w:t>
      </w:r>
      <w:r>
        <w:rPr>
          <w:color w:val="231F20"/>
          <w:spacing w:val="-9"/>
          <w:w w:val="105"/>
        </w:rPr>
        <w:t> </w:t>
      </w:r>
      <w:r>
        <w:rPr>
          <w:color w:val="231F20"/>
          <w:w w:val="105"/>
        </w:rPr>
        <w:t>urbanización,</w:t>
      </w:r>
      <w:r>
        <w:rPr>
          <w:color w:val="231F20"/>
          <w:spacing w:val="-9"/>
          <w:w w:val="105"/>
        </w:rPr>
        <w:t> </w:t>
      </w:r>
      <w:r>
        <w:rPr>
          <w:color w:val="231F20"/>
          <w:spacing w:val="-4"/>
          <w:w w:val="105"/>
        </w:rPr>
        <w:t>educación</w:t>
      </w:r>
      <w:r>
        <w:rPr>
          <w:color w:val="231F20"/>
          <w:spacing w:val="-9"/>
          <w:w w:val="105"/>
        </w:rPr>
        <w:t> </w:t>
      </w:r>
      <w:r>
        <w:rPr>
          <w:color w:val="231F20"/>
          <w:w w:val="105"/>
        </w:rPr>
        <w:t>y</w:t>
      </w:r>
      <w:r>
        <w:rPr>
          <w:color w:val="231F20"/>
          <w:spacing w:val="-9"/>
          <w:w w:val="105"/>
        </w:rPr>
        <w:t> </w:t>
      </w:r>
      <w:r>
        <w:rPr>
          <w:color w:val="231F20"/>
          <w:w w:val="105"/>
        </w:rPr>
        <w:t>salud</w:t>
      </w:r>
      <w:r>
        <w:rPr>
          <w:color w:val="231F20"/>
          <w:spacing w:val="-9"/>
          <w:w w:val="105"/>
        </w:rPr>
        <w:t> </w:t>
      </w:r>
      <w:r>
        <w:rPr>
          <w:color w:val="231F20"/>
          <w:w w:val="105"/>
        </w:rPr>
        <w:t>en</w:t>
      </w:r>
      <w:r>
        <w:rPr>
          <w:color w:val="231F20"/>
          <w:spacing w:val="-9"/>
          <w:w w:val="105"/>
        </w:rPr>
        <w:t> </w:t>
      </w:r>
      <w:r>
        <w:rPr>
          <w:color w:val="231F20"/>
          <w:w w:val="105"/>
        </w:rPr>
        <w:t>una parte</w:t>
      </w:r>
      <w:r>
        <w:rPr>
          <w:color w:val="231F20"/>
          <w:spacing w:val="-26"/>
          <w:w w:val="105"/>
        </w:rPr>
        <w:t> </w:t>
      </w:r>
      <w:r>
        <w:rPr>
          <w:color w:val="231F20"/>
          <w:w w:val="105"/>
        </w:rPr>
        <w:t>significativa</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spacing w:val="-3"/>
          <w:w w:val="105"/>
        </w:rPr>
        <w:t>localidades.</w:t>
      </w:r>
      <w:r>
        <w:rPr>
          <w:color w:val="231F20"/>
          <w:spacing w:val="-26"/>
          <w:w w:val="105"/>
        </w:rPr>
        <w:t> </w:t>
      </w:r>
      <w:r>
        <w:rPr>
          <w:color w:val="231F20"/>
          <w:w w:val="105"/>
        </w:rPr>
        <w:t>De</w:t>
      </w:r>
      <w:r>
        <w:rPr>
          <w:color w:val="231F20"/>
          <w:spacing w:val="-26"/>
          <w:w w:val="105"/>
        </w:rPr>
        <w:t> </w:t>
      </w:r>
      <w:r>
        <w:rPr>
          <w:color w:val="231F20"/>
          <w:spacing w:val="-4"/>
          <w:w w:val="105"/>
        </w:rPr>
        <w:t>hecho,</w:t>
      </w:r>
      <w:r>
        <w:rPr>
          <w:color w:val="231F20"/>
          <w:spacing w:val="-26"/>
          <w:w w:val="105"/>
        </w:rPr>
        <w:t> </w:t>
      </w:r>
      <w:r>
        <w:rPr>
          <w:color w:val="231F20"/>
          <w:w w:val="105"/>
        </w:rPr>
        <w:t>tal</w:t>
      </w:r>
      <w:r>
        <w:rPr>
          <w:color w:val="231F20"/>
          <w:spacing w:val="-26"/>
          <w:w w:val="105"/>
        </w:rPr>
        <w:t> </w:t>
      </w:r>
      <w:r>
        <w:rPr>
          <w:color w:val="231F20"/>
          <w:spacing w:val="-4"/>
          <w:w w:val="105"/>
        </w:rPr>
        <w:t>condición</w:t>
      </w:r>
      <w:r>
        <w:rPr>
          <w:color w:val="231F20"/>
          <w:spacing w:val="-26"/>
          <w:w w:val="105"/>
        </w:rPr>
        <w:t> </w:t>
      </w:r>
      <w:r>
        <w:rPr>
          <w:color w:val="231F20"/>
          <w:spacing w:val="-3"/>
          <w:w w:val="105"/>
        </w:rPr>
        <w:t>no</w:t>
      </w:r>
      <w:r>
        <w:rPr>
          <w:color w:val="231F20"/>
          <w:spacing w:val="-26"/>
          <w:w w:val="105"/>
        </w:rPr>
        <w:t> </w:t>
      </w:r>
      <w:r>
        <w:rPr>
          <w:color w:val="231F20"/>
          <w:w w:val="105"/>
        </w:rPr>
        <w:t>ha</w:t>
      </w:r>
      <w:r>
        <w:rPr>
          <w:color w:val="231F20"/>
          <w:spacing w:val="-26"/>
          <w:w w:val="105"/>
        </w:rPr>
        <w:t> </w:t>
      </w:r>
      <w:r>
        <w:rPr>
          <w:color w:val="231F20"/>
          <w:spacing w:val="-4"/>
          <w:w w:val="105"/>
        </w:rPr>
        <w:t>presentado</w:t>
      </w:r>
      <w:r>
        <w:rPr>
          <w:color w:val="231F20"/>
          <w:spacing w:val="-26"/>
          <w:w w:val="105"/>
        </w:rPr>
        <w:t> </w:t>
      </w:r>
      <w:r>
        <w:rPr>
          <w:color w:val="231F20"/>
          <w:spacing w:val="-3"/>
          <w:w w:val="105"/>
        </w:rPr>
        <w:t>variaciones </w:t>
      </w:r>
      <w:r>
        <w:rPr>
          <w:color w:val="231F20"/>
          <w:w w:val="105"/>
        </w:rPr>
        <w:t>significativas</w:t>
      </w:r>
      <w:r>
        <w:rPr>
          <w:color w:val="231F20"/>
          <w:spacing w:val="-20"/>
          <w:w w:val="105"/>
        </w:rPr>
        <w:t> </w:t>
      </w:r>
      <w:r>
        <w:rPr>
          <w:color w:val="231F20"/>
          <w:w w:val="105"/>
        </w:rPr>
        <w:t>en</w:t>
      </w:r>
      <w:r>
        <w:rPr>
          <w:color w:val="231F20"/>
          <w:spacing w:val="-20"/>
          <w:w w:val="105"/>
        </w:rPr>
        <w:t> </w:t>
      </w:r>
      <w:r>
        <w:rPr>
          <w:color w:val="231F20"/>
          <w:spacing w:val="-3"/>
          <w:w w:val="105"/>
        </w:rPr>
        <w:t>los</w:t>
      </w:r>
      <w:r>
        <w:rPr>
          <w:color w:val="231F20"/>
          <w:spacing w:val="-20"/>
          <w:w w:val="105"/>
        </w:rPr>
        <w:t> </w:t>
      </w:r>
      <w:r>
        <w:rPr>
          <w:color w:val="231F20"/>
          <w:w w:val="105"/>
        </w:rPr>
        <w:t>últimos</w:t>
      </w:r>
      <w:r>
        <w:rPr>
          <w:color w:val="231F20"/>
          <w:spacing w:val="-20"/>
          <w:w w:val="105"/>
        </w:rPr>
        <w:t> </w:t>
      </w:r>
      <w:r>
        <w:rPr>
          <w:color w:val="231F20"/>
          <w:spacing w:val="-3"/>
          <w:w w:val="105"/>
        </w:rPr>
        <w:t>13</w:t>
      </w:r>
      <w:r>
        <w:rPr>
          <w:color w:val="231F20"/>
          <w:spacing w:val="-20"/>
          <w:w w:val="105"/>
        </w:rPr>
        <w:t> </w:t>
      </w:r>
      <w:r>
        <w:rPr>
          <w:color w:val="231F20"/>
          <w:w w:val="105"/>
        </w:rPr>
        <w:t>años,</w:t>
      </w:r>
      <w:r>
        <w:rPr>
          <w:color w:val="231F20"/>
          <w:spacing w:val="-20"/>
          <w:w w:val="105"/>
        </w:rPr>
        <w:t> </w:t>
      </w:r>
      <w:r>
        <w:rPr>
          <w:color w:val="231F20"/>
          <w:w w:val="105"/>
        </w:rPr>
        <w:t>ya</w:t>
      </w:r>
      <w:r>
        <w:rPr>
          <w:color w:val="231F20"/>
          <w:spacing w:val="-20"/>
          <w:w w:val="105"/>
        </w:rPr>
        <w:t> </w:t>
      </w:r>
      <w:r>
        <w:rPr>
          <w:color w:val="231F20"/>
          <w:spacing w:val="-3"/>
          <w:w w:val="105"/>
        </w:rPr>
        <w:t>que</w:t>
      </w:r>
      <w:r>
        <w:rPr>
          <w:color w:val="231F20"/>
          <w:spacing w:val="-20"/>
          <w:w w:val="105"/>
        </w:rPr>
        <w:t> </w:t>
      </w:r>
      <w:r>
        <w:rPr>
          <w:color w:val="231F20"/>
          <w:spacing w:val="-3"/>
          <w:w w:val="105"/>
        </w:rPr>
        <w:t>desde</w:t>
      </w:r>
      <w:r>
        <w:rPr>
          <w:color w:val="231F20"/>
          <w:spacing w:val="-20"/>
          <w:w w:val="105"/>
        </w:rPr>
        <w:t> </w:t>
      </w:r>
      <w:r>
        <w:rPr>
          <w:color w:val="231F20"/>
          <w:spacing w:val="-3"/>
          <w:w w:val="105"/>
        </w:rPr>
        <w:t>1995</w:t>
      </w:r>
      <w:r>
        <w:rPr>
          <w:color w:val="231F20"/>
          <w:spacing w:val="-20"/>
          <w:w w:val="105"/>
        </w:rPr>
        <w:t> </w:t>
      </w:r>
      <w:r>
        <w:rPr>
          <w:color w:val="231F20"/>
          <w:w w:val="105"/>
        </w:rPr>
        <w:t>se</w:t>
      </w:r>
      <w:r>
        <w:rPr>
          <w:color w:val="231F20"/>
          <w:spacing w:val="-20"/>
          <w:w w:val="105"/>
        </w:rPr>
        <w:t> </w:t>
      </w:r>
      <w:r>
        <w:rPr>
          <w:color w:val="231F20"/>
          <w:spacing w:val="-3"/>
          <w:w w:val="105"/>
        </w:rPr>
        <w:t>mantienen</w:t>
      </w:r>
      <w:r>
        <w:rPr>
          <w:color w:val="231F20"/>
          <w:spacing w:val="-20"/>
          <w:w w:val="105"/>
        </w:rPr>
        <w:t> </w:t>
      </w:r>
      <w:r>
        <w:rPr>
          <w:color w:val="231F20"/>
          <w:spacing w:val="-3"/>
          <w:w w:val="105"/>
        </w:rPr>
        <w:t>indicadores</w:t>
      </w:r>
      <w:r>
        <w:rPr>
          <w:color w:val="231F20"/>
          <w:spacing w:val="-20"/>
          <w:w w:val="105"/>
        </w:rPr>
        <w:t> </w:t>
      </w:r>
      <w:r>
        <w:rPr>
          <w:color w:val="231F20"/>
          <w:w w:val="105"/>
        </w:rPr>
        <w:t>simila- </w:t>
      </w:r>
      <w:r>
        <w:rPr>
          <w:color w:val="231F20"/>
          <w:spacing w:val="-3"/>
          <w:w w:val="105"/>
        </w:rPr>
        <w:t>res</w:t>
      </w:r>
      <w:r>
        <w:rPr>
          <w:color w:val="231F20"/>
          <w:spacing w:val="-19"/>
          <w:w w:val="105"/>
        </w:rPr>
        <w:t> </w:t>
      </w:r>
      <w:r>
        <w:rPr>
          <w:color w:val="231F20"/>
          <w:spacing w:val="-7"/>
          <w:w w:val="105"/>
        </w:rPr>
        <w:t>(Ver</w:t>
      </w:r>
      <w:r>
        <w:rPr>
          <w:color w:val="231F20"/>
          <w:spacing w:val="-19"/>
          <w:w w:val="105"/>
        </w:rPr>
        <w:t> </w:t>
      </w:r>
      <w:r>
        <w:rPr>
          <w:color w:val="231F20"/>
          <w:w w:val="105"/>
        </w:rPr>
        <w:t>Gráfico</w:t>
      </w:r>
      <w:r>
        <w:rPr>
          <w:color w:val="231F20"/>
          <w:spacing w:val="-19"/>
          <w:w w:val="105"/>
        </w:rPr>
        <w:t> </w:t>
      </w:r>
      <w:r>
        <w:rPr>
          <w:color w:val="231F20"/>
          <w:spacing w:val="-6"/>
          <w:w w:val="105"/>
        </w:rPr>
        <w:t>3).</w:t>
      </w:r>
      <w:r>
        <w:rPr>
          <w:color w:val="231F20"/>
          <w:spacing w:val="-19"/>
          <w:w w:val="105"/>
        </w:rPr>
        <w:t> </w:t>
      </w:r>
      <w:r>
        <w:rPr>
          <w:color w:val="231F20"/>
          <w:w w:val="105"/>
        </w:rPr>
        <w:t>Se</w:t>
      </w:r>
      <w:r>
        <w:rPr>
          <w:color w:val="231F20"/>
          <w:spacing w:val="-19"/>
          <w:w w:val="105"/>
        </w:rPr>
        <w:t> </w:t>
      </w:r>
      <w:r>
        <w:rPr>
          <w:color w:val="231F20"/>
          <w:w w:val="105"/>
        </w:rPr>
        <w:t>registra</w:t>
      </w:r>
      <w:r>
        <w:rPr>
          <w:color w:val="231F20"/>
          <w:spacing w:val="-19"/>
          <w:w w:val="105"/>
        </w:rPr>
        <w:t> </w:t>
      </w:r>
      <w:r>
        <w:rPr>
          <w:color w:val="231F20"/>
          <w:w w:val="105"/>
        </w:rPr>
        <w:t>un</w:t>
      </w:r>
      <w:r>
        <w:rPr>
          <w:color w:val="231F20"/>
          <w:spacing w:val="-19"/>
          <w:w w:val="105"/>
        </w:rPr>
        <w:t> </w:t>
      </w:r>
      <w:r>
        <w:rPr>
          <w:color w:val="231F20"/>
          <w:spacing w:val="-3"/>
          <w:w w:val="105"/>
        </w:rPr>
        <w:t>ligero</w:t>
      </w:r>
      <w:r>
        <w:rPr>
          <w:color w:val="231F20"/>
          <w:spacing w:val="-19"/>
          <w:w w:val="105"/>
        </w:rPr>
        <w:t> </w:t>
      </w:r>
      <w:r>
        <w:rPr>
          <w:color w:val="231F20"/>
          <w:spacing w:val="-4"/>
          <w:w w:val="105"/>
        </w:rPr>
        <w:t>aumento</w:t>
      </w:r>
      <w:r>
        <w:rPr>
          <w:color w:val="231F20"/>
          <w:spacing w:val="-19"/>
          <w:w w:val="105"/>
        </w:rPr>
        <w:t> </w:t>
      </w:r>
      <w:r>
        <w:rPr>
          <w:color w:val="231F20"/>
          <w:w w:val="105"/>
        </w:rPr>
        <w:t>en</w:t>
      </w:r>
      <w:r>
        <w:rPr>
          <w:color w:val="231F20"/>
          <w:spacing w:val="-19"/>
          <w:w w:val="105"/>
        </w:rPr>
        <w:t> </w:t>
      </w:r>
      <w:r>
        <w:rPr>
          <w:color w:val="231F20"/>
          <w:spacing w:val="-3"/>
          <w:w w:val="105"/>
        </w:rPr>
        <w:t>los</w:t>
      </w:r>
      <w:r>
        <w:rPr>
          <w:color w:val="231F20"/>
          <w:spacing w:val="-19"/>
          <w:w w:val="105"/>
        </w:rPr>
        <w:t> </w:t>
      </w:r>
      <w:r>
        <w:rPr>
          <w:color w:val="231F20"/>
          <w:spacing w:val="-3"/>
          <w:w w:val="105"/>
        </w:rPr>
        <w:t>habitantes</w:t>
      </w:r>
      <w:r>
        <w:rPr>
          <w:color w:val="231F20"/>
          <w:spacing w:val="-19"/>
          <w:w w:val="105"/>
        </w:rPr>
        <w:t> </w:t>
      </w:r>
      <w:r>
        <w:rPr>
          <w:color w:val="231F20"/>
          <w:spacing w:val="-3"/>
          <w:w w:val="105"/>
        </w:rPr>
        <w:t>que</w:t>
      </w:r>
      <w:r>
        <w:rPr>
          <w:color w:val="231F20"/>
          <w:spacing w:val="-19"/>
          <w:w w:val="105"/>
        </w:rPr>
        <w:t> </w:t>
      </w:r>
      <w:r>
        <w:rPr>
          <w:color w:val="231F20"/>
          <w:w w:val="105"/>
        </w:rPr>
        <w:t>viven</w:t>
      </w:r>
      <w:r>
        <w:rPr>
          <w:color w:val="231F20"/>
          <w:spacing w:val="-19"/>
          <w:w w:val="105"/>
        </w:rPr>
        <w:t> </w:t>
      </w:r>
      <w:r>
        <w:rPr>
          <w:color w:val="231F20"/>
          <w:w w:val="105"/>
        </w:rPr>
        <w:t>en</w:t>
      </w:r>
      <w:r>
        <w:rPr>
          <w:color w:val="231F20"/>
          <w:spacing w:val="-19"/>
          <w:w w:val="105"/>
        </w:rPr>
        <w:t> </w:t>
      </w:r>
      <w:r>
        <w:rPr>
          <w:color w:val="231F20"/>
          <w:spacing w:val="-3"/>
          <w:w w:val="105"/>
        </w:rPr>
        <w:t>condicio- nes</w:t>
      </w:r>
      <w:r>
        <w:rPr>
          <w:color w:val="231F20"/>
          <w:spacing w:val="-27"/>
          <w:w w:val="105"/>
        </w:rPr>
        <w:t> </w:t>
      </w:r>
      <w:r>
        <w:rPr>
          <w:color w:val="231F20"/>
          <w:w w:val="105"/>
        </w:rPr>
        <w:t>rurales,</w:t>
      </w:r>
      <w:r>
        <w:rPr>
          <w:color w:val="231F20"/>
          <w:spacing w:val="-27"/>
          <w:w w:val="105"/>
        </w:rPr>
        <w:t> </w:t>
      </w:r>
      <w:r>
        <w:rPr>
          <w:color w:val="231F20"/>
          <w:spacing w:val="-3"/>
          <w:w w:val="105"/>
        </w:rPr>
        <w:t>pues</w:t>
      </w:r>
      <w:r>
        <w:rPr>
          <w:color w:val="231F20"/>
          <w:spacing w:val="-27"/>
          <w:w w:val="105"/>
        </w:rPr>
        <w:t> </w:t>
      </w:r>
      <w:r>
        <w:rPr>
          <w:color w:val="231F20"/>
          <w:w w:val="105"/>
        </w:rPr>
        <w:t>de</w:t>
      </w:r>
      <w:r>
        <w:rPr>
          <w:color w:val="231F20"/>
          <w:spacing w:val="-27"/>
          <w:w w:val="105"/>
        </w:rPr>
        <w:t> </w:t>
      </w:r>
      <w:r>
        <w:rPr>
          <w:color w:val="231F20"/>
          <w:spacing w:val="-3"/>
          <w:w w:val="105"/>
        </w:rPr>
        <w:t>los</w:t>
      </w:r>
      <w:r>
        <w:rPr>
          <w:color w:val="231F20"/>
          <w:spacing w:val="-27"/>
          <w:w w:val="105"/>
        </w:rPr>
        <w:t> </w:t>
      </w:r>
      <w:r>
        <w:rPr>
          <w:color w:val="231F20"/>
          <w:spacing w:val="-4"/>
          <w:w w:val="105"/>
        </w:rPr>
        <w:t>11,038</w:t>
      </w:r>
      <w:r>
        <w:rPr>
          <w:color w:val="231F20"/>
          <w:spacing w:val="-27"/>
          <w:w w:val="105"/>
        </w:rPr>
        <w:t> </w:t>
      </w:r>
      <w:r>
        <w:rPr>
          <w:color w:val="231F20"/>
          <w:spacing w:val="-3"/>
          <w:w w:val="105"/>
        </w:rPr>
        <w:t>que</w:t>
      </w:r>
      <w:r>
        <w:rPr>
          <w:color w:val="231F20"/>
          <w:spacing w:val="-27"/>
          <w:w w:val="105"/>
        </w:rPr>
        <w:t> </w:t>
      </w:r>
      <w:r>
        <w:rPr>
          <w:color w:val="231F20"/>
          <w:w w:val="105"/>
        </w:rPr>
        <w:t>existían</w:t>
      </w:r>
      <w:r>
        <w:rPr>
          <w:color w:val="231F20"/>
          <w:spacing w:val="-27"/>
          <w:w w:val="105"/>
        </w:rPr>
        <w:t> </w:t>
      </w:r>
      <w:r>
        <w:rPr>
          <w:color w:val="231F20"/>
          <w:w w:val="105"/>
        </w:rPr>
        <w:t>en</w:t>
      </w:r>
      <w:r>
        <w:rPr>
          <w:color w:val="231F20"/>
          <w:spacing w:val="-27"/>
          <w:w w:val="105"/>
        </w:rPr>
        <w:t> </w:t>
      </w:r>
      <w:r>
        <w:rPr>
          <w:color w:val="231F20"/>
          <w:w w:val="105"/>
        </w:rPr>
        <w:t>1990,</w:t>
      </w:r>
      <w:r>
        <w:rPr>
          <w:color w:val="231F20"/>
          <w:spacing w:val="-27"/>
          <w:w w:val="105"/>
        </w:rPr>
        <w:t> </w:t>
      </w:r>
      <w:r>
        <w:rPr>
          <w:color w:val="231F20"/>
          <w:w w:val="105"/>
        </w:rPr>
        <w:t>para</w:t>
      </w:r>
      <w:r>
        <w:rPr>
          <w:color w:val="231F20"/>
          <w:spacing w:val="-27"/>
          <w:w w:val="105"/>
        </w:rPr>
        <w:t> </w:t>
      </w:r>
      <w:r>
        <w:rPr>
          <w:color w:val="231F20"/>
          <w:spacing w:val="2"/>
          <w:w w:val="105"/>
        </w:rPr>
        <w:t>2000</w:t>
      </w:r>
      <w:r>
        <w:rPr>
          <w:color w:val="231F20"/>
          <w:spacing w:val="-27"/>
          <w:w w:val="105"/>
        </w:rPr>
        <w:t> </w:t>
      </w:r>
      <w:r>
        <w:rPr>
          <w:color w:val="231F20"/>
          <w:spacing w:val="-3"/>
          <w:w w:val="105"/>
        </w:rPr>
        <w:t>aumentaron</w:t>
      </w:r>
      <w:r>
        <w:rPr>
          <w:color w:val="231F20"/>
          <w:spacing w:val="-27"/>
          <w:w w:val="105"/>
        </w:rPr>
        <w:t> </w:t>
      </w:r>
      <w:r>
        <w:rPr>
          <w:color w:val="231F20"/>
          <w:w w:val="105"/>
        </w:rPr>
        <w:t>a</w:t>
      </w:r>
      <w:r>
        <w:rPr>
          <w:color w:val="231F20"/>
          <w:spacing w:val="-27"/>
          <w:w w:val="105"/>
        </w:rPr>
        <w:t> </w:t>
      </w:r>
      <w:r>
        <w:rPr>
          <w:color w:val="231F20"/>
          <w:spacing w:val="-4"/>
          <w:w w:val="105"/>
        </w:rPr>
        <w:t>14,673</w:t>
      </w:r>
      <w:r>
        <w:rPr>
          <w:color w:val="231F20"/>
          <w:spacing w:val="-27"/>
          <w:w w:val="105"/>
        </w:rPr>
        <w:t> </w:t>
      </w:r>
      <w:r>
        <w:rPr>
          <w:color w:val="231F20"/>
          <w:w w:val="105"/>
        </w:rPr>
        <w:t>y</w:t>
      </w:r>
      <w:r>
        <w:rPr>
          <w:color w:val="231F20"/>
          <w:spacing w:val="-27"/>
          <w:w w:val="105"/>
        </w:rPr>
        <w:t> </w:t>
      </w:r>
      <w:r>
        <w:rPr>
          <w:color w:val="231F20"/>
          <w:w w:val="105"/>
        </w:rPr>
        <w:t>para 2005</w:t>
      </w:r>
      <w:r>
        <w:rPr>
          <w:color w:val="231F20"/>
          <w:spacing w:val="-19"/>
          <w:w w:val="105"/>
        </w:rPr>
        <w:t> </w:t>
      </w:r>
      <w:r>
        <w:rPr>
          <w:color w:val="231F20"/>
          <w:w w:val="105"/>
        </w:rPr>
        <w:t>a</w:t>
      </w:r>
      <w:r>
        <w:rPr>
          <w:color w:val="231F20"/>
          <w:spacing w:val="-19"/>
          <w:w w:val="105"/>
        </w:rPr>
        <w:t> </w:t>
      </w:r>
      <w:r>
        <w:rPr>
          <w:color w:val="231F20"/>
          <w:spacing w:val="-5"/>
          <w:w w:val="105"/>
        </w:rPr>
        <w:t>14,</w:t>
      </w:r>
      <w:r>
        <w:rPr>
          <w:color w:val="231F20"/>
          <w:spacing w:val="-19"/>
          <w:w w:val="105"/>
        </w:rPr>
        <w:t> </w:t>
      </w:r>
      <w:r>
        <w:rPr>
          <w:color w:val="231F20"/>
          <w:w w:val="105"/>
        </w:rPr>
        <w:t>690,</w:t>
      </w:r>
      <w:r>
        <w:rPr>
          <w:color w:val="231F20"/>
          <w:spacing w:val="-19"/>
          <w:w w:val="105"/>
        </w:rPr>
        <w:t> </w:t>
      </w:r>
      <w:r>
        <w:rPr>
          <w:color w:val="231F20"/>
          <w:spacing w:val="-3"/>
          <w:w w:val="105"/>
        </w:rPr>
        <w:t>lo</w:t>
      </w:r>
      <w:r>
        <w:rPr>
          <w:color w:val="231F20"/>
          <w:spacing w:val="-19"/>
          <w:w w:val="105"/>
        </w:rPr>
        <w:t> </w:t>
      </w:r>
      <w:r>
        <w:rPr>
          <w:color w:val="231F20"/>
          <w:spacing w:val="-3"/>
          <w:w w:val="105"/>
        </w:rPr>
        <w:t>que</w:t>
      </w:r>
      <w:r>
        <w:rPr>
          <w:color w:val="231F20"/>
          <w:spacing w:val="-19"/>
          <w:w w:val="105"/>
        </w:rPr>
        <w:t> </w:t>
      </w:r>
      <w:r>
        <w:rPr>
          <w:color w:val="231F20"/>
          <w:w w:val="105"/>
        </w:rPr>
        <w:t>significa</w:t>
      </w:r>
      <w:r>
        <w:rPr>
          <w:color w:val="231F20"/>
          <w:spacing w:val="-19"/>
          <w:w w:val="105"/>
        </w:rPr>
        <w:t> </w:t>
      </w:r>
      <w:r>
        <w:rPr>
          <w:color w:val="231F20"/>
          <w:spacing w:val="-3"/>
          <w:w w:val="105"/>
        </w:rPr>
        <w:t>que</w:t>
      </w:r>
      <w:r>
        <w:rPr>
          <w:color w:val="231F20"/>
          <w:spacing w:val="-19"/>
          <w:w w:val="105"/>
        </w:rPr>
        <w:t> </w:t>
      </w:r>
      <w:r>
        <w:rPr>
          <w:color w:val="231F20"/>
          <w:w w:val="105"/>
        </w:rPr>
        <w:t>en</w:t>
      </w:r>
      <w:r>
        <w:rPr>
          <w:color w:val="231F20"/>
          <w:spacing w:val="-19"/>
          <w:w w:val="105"/>
        </w:rPr>
        <w:t> </w:t>
      </w:r>
      <w:r>
        <w:rPr>
          <w:color w:val="231F20"/>
          <w:spacing w:val="-4"/>
          <w:w w:val="105"/>
        </w:rPr>
        <w:t>poblados</w:t>
      </w:r>
      <w:r>
        <w:rPr>
          <w:color w:val="231F20"/>
          <w:spacing w:val="-19"/>
          <w:w w:val="105"/>
        </w:rPr>
        <w:t> </w:t>
      </w:r>
      <w:r>
        <w:rPr>
          <w:color w:val="231F20"/>
          <w:spacing w:val="-3"/>
          <w:w w:val="105"/>
        </w:rPr>
        <w:t>que</w:t>
      </w:r>
      <w:r>
        <w:rPr>
          <w:color w:val="231F20"/>
          <w:spacing w:val="-19"/>
          <w:w w:val="105"/>
        </w:rPr>
        <w:t> </w:t>
      </w:r>
      <w:r>
        <w:rPr>
          <w:color w:val="231F20"/>
          <w:spacing w:val="-3"/>
          <w:w w:val="105"/>
        </w:rPr>
        <w:t>desde</w:t>
      </w:r>
      <w:r>
        <w:rPr>
          <w:color w:val="231F20"/>
          <w:spacing w:val="-19"/>
          <w:w w:val="105"/>
        </w:rPr>
        <w:t> </w:t>
      </w:r>
      <w:r>
        <w:rPr>
          <w:color w:val="231F20"/>
          <w:spacing w:val="-3"/>
          <w:w w:val="105"/>
        </w:rPr>
        <w:t>hace</w:t>
      </w:r>
      <w:r>
        <w:rPr>
          <w:color w:val="231F20"/>
          <w:spacing w:val="-19"/>
          <w:w w:val="105"/>
        </w:rPr>
        <w:t> </w:t>
      </w:r>
      <w:r>
        <w:rPr>
          <w:color w:val="231F20"/>
          <w:spacing w:val="-3"/>
          <w:w w:val="105"/>
        </w:rPr>
        <w:t>13</w:t>
      </w:r>
      <w:r>
        <w:rPr>
          <w:color w:val="231F20"/>
          <w:spacing w:val="-19"/>
          <w:w w:val="105"/>
        </w:rPr>
        <w:t> </w:t>
      </w:r>
      <w:r>
        <w:rPr>
          <w:color w:val="231F20"/>
          <w:w w:val="105"/>
        </w:rPr>
        <w:t>años</w:t>
      </w:r>
      <w:r>
        <w:rPr>
          <w:color w:val="231F20"/>
          <w:spacing w:val="-19"/>
          <w:w w:val="105"/>
        </w:rPr>
        <w:t> </w:t>
      </w:r>
      <w:r>
        <w:rPr>
          <w:color w:val="231F20"/>
          <w:w w:val="105"/>
        </w:rPr>
        <w:t>se</w:t>
      </w:r>
      <w:r>
        <w:rPr>
          <w:color w:val="231F20"/>
          <w:spacing w:val="-19"/>
          <w:w w:val="105"/>
        </w:rPr>
        <w:t> </w:t>
      </w:r>
      <w:r>
        <w:rPr>
          <w:color w:val="231F20"/>
          <w:w w:val="105"/>
        </w:rPr>
        <w:t>caracterizaron </w:t>
      </w:r>
      <w:r>
        <w:rPr>
          <w:color w:val="231F20"/>
          <w:spacing w:val="-3"/>
          <w:w w:val="105"/>
        </w:rPr>
        <w:t>por</w:t>
      </w:r>
      <w:r>
        <w:rPr>
          <w:color w:val="231F20"/>
          <w:spacing w:val="-13"/>
          <w:w w:val="105"/>
        </w:rPr>
        <w:t> </w:t>
      </w:r>
      <w:r>
        <w:rPr>
          <w:color w:val="231F20"/>
          <w:spacing w:val="-2"/>
          <w:w w:val="105"/>
        </w:rPr>
        <w:t>ser</w:t>
      </w:r>
      <w:r>
        <w:rPr>
          <w:color w:val="231F20"/>
          <w:spacing w:val="-13"/>
          <w:w w:val="105"/>
        </w:rPr>
        <w:t> </w:t>
      </w:r>
      <w:r>
        <w:rPr>
          <w:color w:val="231F20"/>
          <w:w w:val="105"/>
        </w:rPr>
        <w:t>rurales</w:t>
      </w:r>
      <w:r>
        <w:rPr>
          <w:color w:val="231F20"/>
          <w:spacing w:val="-13"/>
          <w:w w:val="105"/>
        </w:rPr>
        <w:t> </w:t>
      </w:r>
      <w:r>
        <w:rPr>
          <w:color w:val="231F20"/>
          <w:w w:val="105"/>
        </w:rPr>
        <w:t>aún</w:t>
      </w:r>
      <w:r>
        <w:rPr>
          <w:color w:val="231F20"/>
          <w:spacing w:val="-13"/>
          <w:w w:val="105"/>
        </w:rPr>
        <w:t> </w:t>
      </w:r>
      <w:r>
        <w:rPr>
          <w:color w:val="231F20"/>
          <w:spacing w:val="-3"/>
          <w:w w:val="105"/>
        </w:rPr>
        <w:t>siguen</w:t>
      </w:r>
      <w:r>
        <w:rPr>
          <w:color w:val="231F20"/>
          <w:spacing w:val="-13"/>
          <w:w w:val="105"/>
        </w:rPr>
        <w:t> </w:t>
      </w:r>
      <w:r>
        <w:rPr>
          <w:color w:val="231F20"/>
          <w:spacing w:val="-3"/>
          <w:w w:val="105"/>
        </w:rPr>
        <w:t>manteniendo</w:t>
      </w:r>
      <w:r>
        <w:rPr>
          <w:color w:val="231F20"/>
          <w:spacing w:val="-13"/>
          <w:w w:val="105"/>
        </w:rPr>
        <w:t> </w:t>
      </w:r>
      <w:r>
        <w:rPr>
          <w:color w:val="231F20"/>
          <w:w w:val="105"/>
        </w:rPr>
        <w:t>las</w:t>
      </w:r>
      <w:r>
        <w:rPr>
          <w:color w:val="231F20"/>
          <w:spacing w:val="-13"/>
          <w:w w:val="105"/>
        </w:rPr>
        <w:t> </w:t>
      </w:r>
      <w:r>
        <w:rPr>
          <w:color w:val="231F20"/>
          <w:w w:val="105"/>
        </w:rPr>
        <w:t>mismas</w:t>
      </w:r>
      <w:r>
        <w:rPr>
          <w:color w:val="231F20"/>
          <w:spacing w:val="-13"/>
          <w:w w:val="105"/>
        </w:rPr>
        <w:t> </w:t>
      </w:r>
      <w:r>
        <w:rPr>
          <w:color w:val="231F20"/>
          <w:spacing w:val="-4"/>
          <w:w w:val="105"/>
        </w:rPr>
        <w:t>condiciones</w:t>
      </w:r>
      <w:r>
        <w:rPr>
          <w:color w:val="231F20"/>
          <w:spacing w:val="-13"/>
          <w:w w:val="105"/>
        </w:rPr>
        <w:t> </w:t>
      </w:r>
      <w:r>
        <w:rPr>
          <w:color w:val="231F20"/>
          <w:w w:val="105"/>
        </w:rPr>
        <w:t>de</w:t>
      </w:r>
      <w:r>
        <w:rPr>
          <w:color w:val="231F20"/>
          <w:spacing w:val="-13"/>
          <w:w w:val="105"/>
        </w:rPr>
        <w:t> </w:t>
      </w:r>
      <w:r>
        <w:rPr>
          <w:color w:val="231F20"/>
          <w:w w:val="105"/>
        </w:rPr>
        <w:t>marginación.</w:t>
      </w:r>
    </w:p>
    <w:p>
      <w:pPr>
        <w:pStyle w:val="BodyText"/>
        <w:spacing w:before="1"/>
        <w:rPr>
          <w:sz w:val="26"/>
        </w:rPr>
      </w:pPr>
    </w:p>
    <w:p>
      <w:pPr>
        <w:pStyle w:val="Heading5"/>
        <w:spacing w:line="285" w:lineRule="auto"/>
        <w:ind w:left="3496" w:right="622" w:hanging="2873"/>
      </w:pPr>
      <w:r>
        <w:rPr/>
        <w:pict>
          <v:group style="position:absolute;margin-left:97.134499pt;margin-top:31.771631pt;width:282.6pt;height:119.75pt;mso-position-horizontal-relative:page;mso-position-vertical-relative:paragraph;z-index:6544;mso-wrap-distance-left:0;mso-wrap-distance-right:0" coordorigin="1943,635" coordsize="5652,2395">
            <v:shape style="position:absolute;left:3047;top:1272;width:3959;height:1435" coordorigin="3047,1272" coordsize="3959,1435" path="m4430,1272l4370,1283,4314,1324,4264,1376,4221,1424,3068,2581,3047,2635,3070,2684,3118,2707,3172,2685,4429,1423,4387,1412,4459,1394,4911,1394,4835,1374,4755,1353,4593,1307,4511,1287,4430,1272xm5634,1727l5665,1742,5701,1761,5773,1799,6895,2379,6954,2383,6996,2348,7005,2296,6970,2252,6014,1758,5958,1728,5638,1728,5634,1727xm5629,1725l5634,1727,5638,1728,5636,1727,5629,1725xm5951,1725l5629,1725,5636,1727,5638,1728,5958,1728,5951,1725xm4911,1394l4459,1394,4429,1423,5533,1702,5576,1714,5597,1719,5618,1724,5633,1727,5634,1727,5629,1725,5951,1725,5863,1679,5787,1640,5711,1602,5649,1578,5584,1560,5452,1531,4911,1394xm4459,1394l4387,1412,4429,1423,4459,1394xe" filled="true" fillcolor="#8dc63f" stroked="false">
              <v:path arrowok="t"/>
              <v:fill type="solid"/>
            </v:shape>
            <v:shape style="position:absolute;left:3285;top:2552;width:490;height:151" type="#_x0000_t75" stroked="false">
              <v:imagedata r:id="rId167" o:title=""/>
            </v:shape>
            <v:shape style="position:absolute;left:4535;top:1276;width:486;height:151" type="#_x0000_t75" stroked="false">
              <v:imagedata r:id="rId168" o:title=""/>
            </v:shape>
            <v:shape style="position:absolute;left:5805;top:1609;width:496;height:151" type="#_x0000_t75" stroked="false">
              <v:imagedata r:id="rId169" o:title=""/>
            </v:shape>
            <v:shape style="position:absolute;left:1943;top:1272;width:448;height:151" type="#_x0000_t75" stroked="false">
              <v:imagedata r:id="rId170" o:title=""/>
            </v:shape>
            <v:line style="position:absolute" from="2428,1342" to="7588,1342" stroked="true" strokeweight=".553pt" strokecolor="#231f20"/>
            <v:shape style="position:absolute;left:1943;top:1590;width:458;height:151" type="#_x0000_t75" stroked="false">
              <v:imagedata r:id="rId171" o:title=""/>
            </v:shape>
            <v:line style="position:absolute" from="2428,1660" to="7588,1660" stroked="true" strokeweight=".553pt" strokecolor="#231f20"/>
            <v:shape style="position:absolute;left:1943;top:1908;width:448;height:151" type="#_x0000_t75" stroked="false">
              <v:imagedata r:id="rId172" o:title=""/>
            </v:shape>
            <v:line style="position:absolute" from="2428,1998" to="7588,1998" stroked="true" strokeweight=".553pt" strokecolor="#231f20"/>
            <v:shape style="position:absolute;left:1943;top:2226;width:455;height:151" type="#_x0000_t75" stroked="false">
              <v:imagedata r:id="rId173" o:title=""/>
            </v:shape>
            <v:shape style="position:absolute;left:7076;top:2224;width:493;height:151" type="#_x0000_t75" stroked="false">
              <v:imagedata r:id="rId174" o:title=""/>
            </v:shape>
            <v:line style="position:absolute" from="2428,2316" to="7588,2316" stroked="true" strokeweight=".553pt" strokecolor="#231f20"/>
            <v:shape style="position:absolute;left:1943;top:2545;width:453;height:151" type="#_x0000_t75" stroked="false">
              <v:imagedata r:id="rId175" o:title=""/>
            </v:shape>
            <v:line style="position:absolute" from="2428,2633" to="7588,2633" stroked="true" strokeweight=".553pt" strokecolor="#231f20"/>
            <v:shape style="position:absolute;left:1943;top:635;width:332;height:151" type="#_x0000_t75" stroked="false">
              <v:imagedata r:id="rId176" o:title=""/>
            </v:shape>
            <v:shape style="position:absolute;left:2313;top:638;width:49;height:147" coordorigin="2313,638" coordsize="49,147" path="m2362,656l2343,656,2343,784,2362,784,2362,656xm2362,638l2345,638,2313,655,2317,670,2343,656,2362,656,2362,638xe" filled="true" fillcolor="#231f20" stroked="false">
              <v:path arrowok="t"/>
              <v:fill type="solid"/>
            </v:shape>
            <v:line style="position:absolute" from="2428,707" to="7588,707" stroked="true" strokeweight=".553pt" strokecolor="#231f20"/>
            <v:shape style="position:absolute;left:1943;top:954;width:451;height:151" type="#_x0000_t75" stroked="false">
              <v:imagedata r:id="rId177" o:title=""/>
            </v:shape>
            <v:line style="position:absolute" from="2428,1024" to="7588,1024" stroked="true" strokeweight=".553pt" strokecolor="#231f20"/>
            <v:shape style="position:absolute;left:1943;top:2863;width:455;height:151" type="#_x0000_t75" stroked="false">
              <v:imagedata r:id="rId178" o:title=""/>
            </v:shape>
            <v:line style="position:absolute" from="2428,2946" to="7588,2946" stroked="true" strokeweight=".553pt" strokecolor="#231f20"/>
            <v:line style="position:absolute" from="2485,707" to="2485,2946" stroked="true" strokeweight=".553pt" strokecolor="#231f20"/>
            <v:line style="position:absolute" from="3750,2946" to="3750,3024" stroked="true" strokeweight=".553pt" strokecolor="#231f20"/>
            <v:line style="position:absolute" from="5042,2946" to="5042,3024" stroked="true" strokeweight=".553pt" strokecolor="#231f20"/>
            <v:line style="position:absolute" from="6307,2946" to="6307,3024" stroked="true" strokeweight=".553pt" strokecolor="#231f20"/>
            <v:line style="position:absolute" from="7588,2946" to="7588,3024" stroked="true" strokeweight=".553pt" strokecolor="#231f20"/>
            <w10:wrap type="topAndBottom"/>
          </v:group>
        </w:pict>
      </w:r>
      <w:r>
        <w:rPr>
          <w:color w:val="231F20"/>
          <w:w w:val="105"/>
        </w:rPr>
        <w:t>Gráfico</w:t>
      </w:r>
      <w:r>
        <w:rPr>
          <w:color w:val="231F20"/>
          <w:spacing w:val="-15"/>
          <w:w w:val="105"/>
        </w:rPr>
        <w:t> </w:t>
      </w:r>
      <w:r>
        <w:rPr>
          <w:color w:val="231F20"/>
          <w:w w:val="105"/>
        </w:rPr>
        <w:t>3.</w:t>
      </w:r>
      <w:r>
        <w:rPr>
          <w:color w:val="231F20"/>
          <w:spacing w:val="-15"/>
          <w:w w:val="105"/>
        </w:rPr>
        <w:t> </w:t>
      </w:r>
      <w:r>
        <w:rPr>
          <w:color w:val="231F20"/>
          <w:w w:val="105"/>
        </w:rPr>
        <w:t>Crecimiento</w:t>
      </w:r>
      <w:r>
        <w:rPr>
          <w:color w:val="231F20"/>
          <w:spacing w:val="-15"/>
          <w:w w:val="105"/>
        </w:rPr>
        <w:t> </w:t>
      </w:r>
      <w:r>
        <w:rPr>
          <w:color w:val="231F20"/>
          <w:w w:val="105"/>
        </w:rPr>
        <w:t>poblacional</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de</w:t>
      </w:r>
      <w:r>
        <w:rPr>
          <w:color w:val="231F20"/>
          <w:spacing w:val="-15"/>
          <w:w w:val="105"/>
        </w:rPr>
        <w:t> </w:t>
      </w:r>
      <w:r>
        <w:rPr>
          <w:color w:val="231F20"/>
          <w:w w:val="105"/>
        </w:rPr>
        <w:t>Ixtapan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Sal </w:t>
      </w:r>
      <w:r>
        <w:rPr>
          <w:color w:val="231F20"/>
          <w:spacing w:val="-3"/>
          <w:w w:val="105"/>
        </w:rPr>
        <w:t>(1980-2005)</w:t>
      </w:r>
    </w:p>
    <w:p>
      <w:pPr>
        <w:pStyle w:val="BodyText"/>
        <w:spacing w:before="3"/>
        <w:rPr>
          <w:b/>
          <w:sz w:val="5"/>
        </w:rPr>
      </w:pPr>
    </w:p>
    <w:p>
      <w:pPr>
        <w:tabs>
          <w:tab w:pos="3468" w:val="left" w:leader="none"/>
          <w:tab w:pos="4728" w:val="left" w:leader="none"/>
          <w:tab w:pos="6002" w:val="left" w:leader="none"/>
        </w:tabs>
        <w:spacing w:line="151" w:lineRule="exact"/>
        <w:ind w:left="2242" w:right="574" w:firstLine="0"/>
        <w:rPr>
          <w:sz w:val="15"/>
        </w:rPr>
      </w:pPr>
      <w:r>
        <w:rPr>
          <w:position w:val="-2"/>
          <w:sz w:val="15"/>
        </w:rPr>
        <w:pict>
          <v:group style="width:21.55pt;height:7.6pt;mso-position-horizontal-relative:char;mso-position-vertical-relative:line" coordorigin="0,0" coordsize="431,152">
            <v:shape style="position:absolute;left:0;top:3;width:49;height:147" coordorigin="0,3" coordsize="49,147" path="m49,21l30,21,30,149,49,149,49,21xm49,3l32,3,0,20,4,35,29,21,49,21,49,3xe" filled="true" fillcolor="#231f20" stroked="false">
              <v:path arrowok="t"/>
              <v:fill type="solid"/>
            </v:shape>
            <v:shape style="position:absolute;left:101;top:0;width:329;height:151" type="#_x0000_t75" stroked="false">
              <v:imagedata r:id="rId179" o:title=""/>
            </v:shape>
          </v:group>
        </w:pict>
      </w:r>
      <w:r>
        <w:rPr>
          <w:position w:val="-2"/>
          <w:sz w:val="15"/>
        </w:rPr>
      </w:r>
      <w:r>
        <w:rPr>
          <w:position w:val="-2"/>
          <w:sz w:val="15"/>
        </w:rPr>
        <w:tab/>
      </w:r>
      <w:r>
        <w:rPr>
          <w:position w:val="-2"/>
          <w:sz w:val="15"/>
        </w:rPr>
        <w:pict>
          <v:group style="width:21.2pt;height:7.6pt;mso-position-horizontal-relative:char;mso-position-vertical-relative:line" coordorigin="0,0" coordsize="424,152">
            <v:shape style="position:absolute;left:0;top:3;width:49;height:147" coordorigin="0,3" coordsize="49,147" path="m49,21l30,21,30,149,49,149,49,21xm49,3l32,3,0,20,4,35,29,21,49,21,49,3xe" filled="true" fillcolor="#231f20" stroked="false">
              <v:path arrowok="t"/>
              <v:fill type="solid"/>
            </v:shape>
            <v:shape style="position:absolute;left:101;top:0;width:322;height:151" type="#_x0000_t75" stroked="false">
              <v:imagedata r:id="rId180" o:title=""/>
            </v:shape>
          </v:group>
        </w:pict>
      </w:r>
      <w:r>
        <w:rPr>
          <w:position w:val="-2"/>
          <w:sz w:val="15"/>
        </w:rPr>
      </w:r>
      <w:r>
        <w:rPr>
          <w:position w:val="-2"/>
          <w:sz w:val="15"/>
        </w:rPr>
        <w:tab/>
      </w:r>
      <w:r>
        <w:rPr>
          <w:position w:val="-2"/>
          <w:sz w:val="15"/>
        </w:rPr>
        <w:drawing>
          <wp:inline distT="0" distB="0" distL="0" distR="0">
            <wp:extent cx="281475" cy="96012"/>
            <wp:effectExtent l="0" t="0" r="0" b="0"/>
            <wp:docPr id="95" name="image146.png" descr=""/>
            <wp:cNvGraphicFramePr>
              <a:graphicFrameLocks noChangeAspect="1"/>
            </wp:cNvGraphicFramePr>
            <a:graphic>
              <a:graphicData uri="http://schemas.openxmlformats.org/drawingml/2006/picture">
                <pic:pic>
                  <pic:nvPicPr>
                    <pic:cNvPr id="96" name="image146.png"/>
                    <pic:cNvPicPr/>
                  </pic:nvPicPr>
                  <pic:blipFill>
                    <a:blip r:embed="rId181" cstate="print"/>
                    <a:stretch>
                      <a:fillRect/>
                    </a:stretch>
                  </pic:blipFill>
                  <pic:spPr>
                    <a:xfrm>
                      <a:off x="0" y="0"/>
                      <a:ext cx="281475" cy="96012"/>
                    </a:xfrm>
                    <a:prstGeom prst="rect">
                      <a:avLst/>
                    </a:prstGeom>
                  </pic:spPr>
                </pic:pic>
              </a:graphicData>
            </a:graphic>
          </wp:inline>
        </w:drawing>
      </w:r>
      <w:r>
        <w:rPr>
          <w:position w:val="-2"/>
          <w:sz w:val="15"/>
        </w:rPr>
      </w:r>
      <w:r>
        <w:rPr>
          <w:position w:val="-2"/>
          <w:sz w:val="15"/>
        </w:rPr>
        <w:tab/>
      </w:r>
      <w:r>
        <w:rPr>
          <w:position w:val="-2"/>
          <w:sz w:val="15"/>
        </w:rPr>
        <w:drawing>
          <wp:inline distT="0" distB="0" distL="0" distR="0">
            <wp:extent cx="277044" cy="96012"/>
            <wp:effectExtent l="0" t="0" r="0" b="0"/>
            <wp:docPr id="97" name="image147.png" descr=""/>
            <wp:cNvGraphicFramePr>
              <a:graphicFrameLocks noChangeAspect="1"/>
            </wp:cNvGraphicFramePr>
            <a:graphic>
              <a:graphicData uri="http://schemas.openxmlformats.org/drawingml/2006/picture">
                <pic:pic>
                  <pic:nvPicPr>
                    <pic:cNvPr id="98" name="image147.png"/>
                    <pic:cNvPicPr/>
                  </pic:nvPicPr>
                  <pic:blipFill>
                    <a:blip r:embed="rId182" cstate="print"/>
                    <a:stretch>
                      <a:fillRect/>
                    </a:stretch>
                  </pic:blipFill>
                  <pic:spPr>
                    <a:xfrm>
                      <a:off x="0" y="0"/>
                      <a:ext cx="277044" cy="96012"/>
                    </a:xfrm>
                    <a:prstGeom prst="rect">
                      <a:avLst/>
                    </a:prstGeom>
                  </pic:spPr>
                </pic:pic>
              </a:graphicData>
            </a:graphic>
          </wp:inline>
        </w:drawing>
      </w:r>
      <w:r>
        <w:rPr>
          <w:position w:val="-2"/>
          <w:sz w:val="15"/>
        </w:rPr>
      </w:r>
    </w:p>
    <w:p>
      <w:pPr>
        <w:spacing w:before="82"/>
        <w:ind w:left="3197" w:right="-18" w:firstLine="0"/>
        <w:jc w:val="left"/>
        <w:rPr>
          <w:rFonts w:ascii="Calibri"/>
          <w:sz w:val="16"/>
        </w:rPr>
      </w:pPr>
      <w:r>
        <w:rPr>
          <w:rFonts w:ascii="Calibri"/>
          <w:color w:val="231F20"/>
          <w:sz w:val="16"/>
        </w:rPr>
        <w:t>Fuente: Base de datos municipales, Centro Universitario UAEM Amecameca.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Actualmente</w:t>
      </w:r>
      <w:r>
        <w:rPr>
          <w:color w:val="231F20"/>
          <w:spacing w:val="-7"/>
          <w:w w:val="105"/>
        </w:rPr>
        <w:t> </w:t>
      </w:r>
      <w:r>
        <w:rPr>
          <w:color w:val="231F20"/>
          <w:w w:val="105"/>
        </w:rPr>
        <w:t>el</w:t>
      </w:r>
      <w:r>
        <w:rPr>
          <w:color w:val="231F20"/>
          <w:spacing w:val="-7"/>
          <w:w w:val="105"/>
        </w:rPr>
        <w:t> </w:t>
      </w:r>
      <w:r>
        <w:rPr>
          <w:color w:val="231F20"/>
          <w:w w:val="105"/>
        </w:rPr>
        <w:t>proceso</w:t>
      </w:r>
      <w:r>
        <w:rPr>
          <w:color w:val="231F20"/>
          <w:spacing w:val="-7"/>
          <w:w w:val="105"/>
        </w:rPr>
        <w:t> </w:t>
      </w:r>
      <w:r>
        <w:rPr>
          <w:color w:val="231F20"/>
          <w:w w:val="105"/>
        </w:rPr>
        <w:t>de</w:t>
      </w:r>
      <w:r>
        <w:rPr>
          <w:color w:val="231F20"/>
          <w:spacing w:val="-7"/>
          <w:w w:val="105"/>
        </w:rPr>
        <w:t> </w:t>
      </w:r>
      <w:r>
        <w:rPr>
          <w:color w:val="231F20"/>
          <w:w w:val="105"/>
        </w:rPr>
        <w:t>urbanización,</w:t>
      </w:r>
      <w:r>
        <w:rPr>
          <w:color w:val="231F20"/>
          <w:spacing w:val="-7"/>
          <w:w w:val="105"/>
        </w:rPr>
        <w:t> </w:t>
      </w:r>
      <w:r>
        <w:rPr>
          <w:color w:val="231F20"/>
          <w:w w:val="105"/>
        </w:rPr>
        <w:t>entendido</w:t>
      </w:r>
      <w:r>
        <w:rPr>
          <w:color w:val="231F20"/>
          <w:spacing w:val="-7"/>
          <w:w w:val="105"/>
        </w:rPr>
        <w:t> </w:t>
      </w:r>
      <w:r>
        <w:rPr>
          <w:color w:val="231F20"/>
          <w:w w:val="105"/>
        </w:rPr>
        <w:t>como</w:t>
      </w:r>
      <w:r>
        <w:rPr>
          <w:color w:val="231F20"/>
          <w:spacing w:val="-7"/>
          <w:w w:val="105"/>
        </w:rPr>
        <w:t> </w:t>
      </w:r>
      <w:r>
        <w:rPr>
          <w:color w:val="231F20"/>
          <w:w w:val="105"/>
        </w:rPr>
        <w:t>el</w:t>
      </w:r>
      <w:r>
        <w:rPr>
          <w:color w:val="231F20"/>
          <w:spacing w:val="-7"/>
          <w:w w:val="105"/>
        </w:rPr>
        <w:t> </w:t>
      </w:r>
      <w:r>
        <w:rPr>
          <w:color w:val="231F20"/>
          <w:w w:val="105"/>
        </w:rPr>
        <w:t>acceso</w:t>
      </w:r>
      <w:r>
        <w:rPr>
          <w:color w:val="231F20"/>
          <w:spacing w:val="-7"/>
          <w:w w:val="105"/>
        </w:rPr>
        <w:t> </w:t>
      </w:r>
      <w:r>
        <w:rPr>
          <w:color w:val="231F20"/>
          <w:w w:val="105"/>
        </w:rPr>
        <w:t>a</w:t>
      </w:r>
      <w:r>
        <w:rPr>
          <w:color w:val="231F20"/>
          <w:spacing w:val="-7"/>
          <w:w w:val="105"/>
        </w:rPr>
        <w:t> </w:t>
      </w:r>
      <w:r>
        <w:rPr>
          <w:color w:val="231F20"/>
          <w:w w:val="105"/>
        </w:rPr>
        <w:t>servicios</w:t>
      </w:r>
      <w:r>
        <w:rPr>
          <w:color w:val="231F20"/>
          <w:spacing w:val="-7"/>
          <w:w w:val="105"/>
        </w:rPr>
        <w:t> </w:t>
      </w:r>
      <w:r>
        <w:rPr>
          <w:color w:val="231F20"/>
          <w:w w:val="105"/>
        </w:rPr>
        <w:t>básicos como</w:t>
      </w:r>
      <w:r>
        <w:rPr>
          <w:color w:val="231F20"/>
          <w:spacing w:val="-17"/>
          <w:w w:val="105"/>
        </w:rPr>
        <w:t> </w:t>
      </w:r>
      <w:r>
        <w:rPr>
          <w:color w:val="231F20"/>
          <w:w w:val="105"/>
        </w:rPr>
        <w:t>agua</w:t>
      </w:r>
      <w:r>
        <w:rPr>
          <w:color w:val="231F20"/>
          <w:spacing w:val="-17"/>
          <w:w w:val="105"/>
        </w:rPr>
        <w:t> </w:t>
      </w:r>
      <w:r>
        <w:rPr>
          <w:color w:val="231F20"/>
          <w:w w:val="105"/>
        </w:rPr>
        <w:t>potable,</w:t>
      </w:r>
      <w:r>
        <w:rPr>
          <w:color w:val="231F20"/>
          <w:spacing w:val="-17"/>
          <w:w w:val="105"/>
        </w:rPr>
        <w:t> </w:t>
      </w:r>
      <w:r>
        <w:rPr>
          <w:color w:val="231F20"/>
          <w:w w:val="105"/>
        </w:rPr>
        <w:t>drenaje</w:t>
      </w:r>
      <w:r>
        <w:rPr>
          <w:color w:val="231F20"/>
          <w:spacing w:val="-17"/>
          <w:w w:val="105"/>
        </w:rPr>
        <w:t> </w:t>
      </w:r>
      <w:r>
        <w:rPr>
          <w:color w:val="231F20"/>
          <w:w w:val="105"/>
        </w:rPr>
        <w:t>y</w:t>
      </w:r>
      <w:r>
        <w:rPr>
          <w:color w:val="231F20"/>
          <w:spacing w:val="-17"/>
          <w:w w:val="105"/>
        </w:rPr>
        <w:t> </w:t>
      </w:r>
      <w:r>
        <w:rPr>
          <w:color w:val="231F20"/>
          <w:w w:val="105"/>
        </w:rPr>
        <w:t>energía</w:t>
      </w:r>
      <w:r>
        <w:rPr>
          <w:color w:val="231F20"/>
          <w:spacing w:val="-17"/>
          <w:w w:val="105"/>
        </w:rPr>
        <w:t> </w:t>
      </w:r>
      <w:r>
        <w:rPr>
          <w:color w:val="231F20"/>
          <w:w w:val="105"/>
        </w:rPr>
        <w:t>eléctrica,</w:t>
      </w:r>
      <w:r>
        <w:rPr>
          <w:color w:val="231F20"/>
          <w:spacing w:val="-17"/>
          <w:w w:val="105"/>
        </w:rPr>
        <w:t> </w:t>
      </w:r>
      <w:r>
        <w:rPr>
          <w:color w:val="231F20"/>
          <w:w w:val="105"/>
        </w:rPr>
        <w:t>muestra</w:t>
      </w:r>
      <w:r>
        <w:rPr>
          <w:color w:val="231F20"/>
          <w:spacing w:val="-17"/>
          <w:w w:val="105"/>
        </w:rPr>
        <w:t> </w:t>
      </w:r>
      <w:r>
        <w:rPr>
          <w:color w:val="231F20"/>
          <w:w w:val="105"/>
        </w:rPr>
        <w:t>que</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5,905</w:t>
      </w:r>
      <w:r>
        <w:rPr>
          <w:color w:val="231F20"/>
          <w:spacing w:val="-17"/>
          <w:w w:val="105"/>
        </w:rPr>
        <w:t> </w:t>
      </w:r>
      <w:r>
        <w:rPr>
          <w:color w:val="231F20"/>
          <w:w w:val="105"/>
        </w:rPr>
        <w:t>viviendas</w:t>
      </w:r>
      <w:r>
        <w:rPr>
          <w:color w:val="231F20"/>
          <w:spacing w:val="-17"/>
          <w:w w:val="105"/>
        </w:rPr>
        <w:t> </w:t>
      </w:r>
      <w:r>
        <w:rPr>
          <w:color w:val="231F20"/>
          <w:w w:val="105"/>
        </w:rPr>
        <w:t>en</w:t>
      </w:r>
      <w:r>
        <w:rPr>
          <w:color w:val="231F20"/>
          <w:spacing w:val="-17"/>
          <w:w w:val="105"/>
        </w:rPr>
        <w:t> </w:t>
      </w:r>
      <w:r>
        <w:rPr>
          <w:color w:val="231F20"/>
          <w:w w:val="105"/>
        </w:rPr>
        <w:t>el municipio,</w:t>
      </w:r>
      <w:r>
        <w:rPr>
          <w:color w:val="231F20"/>
          <w:spacing w:val="-26"/>
          <w:w w:val="105"/>
        </w:rPr>
        <w:t> </w:t>
      </w:r>
      <w:r>
        <w:rPr>
          <w:color w:val="231F20"/>
          <w:w w:val="105"/>
        </w:rPr>
        <w:t>el</w:t>
      </w:r>
      <w:r>
        <w:rPr>
          <w:color w:val="231F20"/>
          <w:spacing w:val="-26"/>
          <w:w w:val="105"/>
        </w:rPr>
        <w:t> </w:t>
      </w:r>
      <w:r>
        <w:rPr>
          <w:color w:val="231F20"/>
          <w:spacing w:val="-3"/>
          <w:w w:val="105"/>
        </w:rPr>
        <w:t>14.02%</w:t>
      </w:r>
      <w:r>
        <w:rPr>
          <w:color w:val="231F20"/>
          <w:spacing w:val="-26"/>
          <w:w w:val="105"/>
        </w:rPr>
        <w:t> </w:t>
      </w:r>
      <w:r>
        <w:rPr>
          <w:color w:val="231F20"/>
          <w:w w:val="105"/>
        </w:rPr>
        <w:t>carece</w:t>
      </w:r>
      <w:r>
        <w:rPr>
          <w:color w:val="231F20"/>
          <w:spacing w:val="-26"/>
          <w:w w:val="105"/>
        </w:rPr>
        <w:t> </w:t>
      </w:r>
      <w:r>
        <w:rPr>
          <w:color w:val="231F20"/>
          <w:w w:val="105"/>
        </w:rPr>
        <w:t>de</w:t>
      </w:r>
      <w:r>
        <w:rPr>
          <w:color w:val="231F20"/>
          <w:spacing w:val="-26"/>
          <w:w w:val="105"/>
        </w:rPr>
        <w:t> </w:t>
      </w:r>
      <w:r>
        <w:rPr>
          <w:color w:val="231F20"/>
          <w:w w:val="105"/>
        </w:rPr>
        <w:t>redes</w:t>
      </w:r>
      <w:r>
        <w:rPr>
          <w:color w:val="231F20"/>
          <w:spacing w:val="-26"/>
          <w:w w:val="105"/>
        </w:rPr>
        <w:t> </w:t>
      </w:r>
      <w:r>
        <w:rPr>
          <w:color w:val="231F20"/>
          <w:w w:val="105"/>
        </w:rPr>
        <w:t>y</w:t>
      </w:r>
      <w:r>
        <w:rPr>
          <w:color w:val="231F20"/>
          <w:spacing w:val="-26"/>
          <w:w w:val="105"/>
        </w:rPr>
        <w:t> </w:t>
      </w:r>
      <w:r>
        <w:rPr>
          <w:color w:val="231F20"/>
          <w:w w:val="105"/>
        </w:rPr>
        <w:t>servicio</w:t>
      </w:r>
      <w:r>
        <w:rPr>
          <w:color w:val="231F20"/>
          <w:spacing w:val="-26"/>
          <w:w w:val="105"/>
        </w:rPr>
        <w:t> </w:t>
      </w:r>
      <w:r>
        <w:rPr>
          <w:color w:val="231F20"/>
          <w:w w:val="105"/>
        </w:rPr>
        <w:t>de</w:t>
      </w:r>
      <w:r>
        <w:rPr>
          <w:color w:val="231F20"/>
          <w:spacing w:val="-26"/>
          <w:w w:val="105"/>
        </w:rPr>
        <w:t> </w:t>
      </w:r>
      <w:r>
        <w:rPr>
          <w:color w:val="231F20"/>
          <w:w w:val="105"/>
        </w:rPr>
        <w:t>drenaje,</w:t>
      </w:r>
      <w:r>
        <w:rPr>
          <w:color w:val="231F20"/>
          <w:spacing w:val="-26"/>
          <w:w w:val="105"/>
        </w:rPr>
        <w:t> </w:t>
      </w:r>
      <w:r>
        <w:rPr>
          <w:color w:val="231F20"/>
          <w:w w:val="105"/>
        </w:rPr>
        <w:t>el</w:t>
      </w:r>
      <w:r>
        <w:rPr>
          <w:color w:val="231F20"/>
          <w:spacing w:val="-26"/>
          <w:w w:val="105"/>
        </w:rPr>
        <w:t> </w:t>
      </w:r>
      <w:r>
        <w:rPr>
          <w:color w:val="231F20"/>
          <w:w w:val="105"/>
        </w:rPr>
        <w:t>24.25%</w:t>
      </w:r>
      <w:r>
        <w:rPr>
          <w:color w:val="231F20"/>
          <w:spacing w:val="-26"/>
          <w:w w:val="105"/>
        </w:rPr>
        <w:t> </w:t>
      </w:r>
      <w:r>
        <w:rPr>
          <w:color w:val="231F20"/>
          <w:w w:val="105"/>
        </w:rPr>
        <w:t>no</w:t>
      </w:r>
      <w:r>
        <w:rPr>
          <w:color w:val="231F20"/>
          <w:spacing w:val="-26"/>
          <w:w w:val="105"/>
        </w:rPr>
        <w:t> </w:t>
      </w:r>
      <w:r>
        <w:rPr>
          <w:color w:val="231F20"/>
          <w:w w:val="105"/>
        </w:rPr>
        <w:t>dispone</w:t>
      </w:r>
      <w:r>
        <w:rPr>
          <w:color w:val="231F20"/>
          <w:spacing w:val="-26"/>
          <w:w w:val="105"/>
        </w:rPr>
        <w:t> </w:t>
      </w:r>
      <w:r>
        <w:rPr>
          <w:color w:val="231F20"/>
          <w:w w:val="105"/>
        </w:rPr>
        <w:t>de</w:t>
      </w:r>
      <w:r>
        <w:rPr>
          <w:color w:val="231F20"/>
          <w:spacing w:val="-26"/>
          <w:w w:val="105"/>
        </w:rPr>
        <w:t> </w:t>
      </w:r>
      <w:r>
        <w:rPr>
          <w:color w:val="231F20"/>
          <w:w w:val="105"/>
        </w:rPr>
        <w:t>agua potable</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1.25%</w:t>
      </w:r>
      <w:r>
        <w:rPr>
          <w:color w:val="231F20"/>
          <w:spacing w:val="-16"/>
          <w:w w:val="105"/>
        </w:rPr>
        <w:t> </w:t>
      </w:r>
      <w:r>
        <w:rPr>
          <w:color w:val="231F20"/>
          <w:w w:val="105"/>
        </w:rPr>
        <w:t>no</w:t>
      </w:r>
      <w:r>
        <w:rPr>
          <w:color w:val="231F20"/>
          <w:spacing w:val="-16"/>
          <w:w w:val="105"/>
        </w:rPr>
        <w:t> </w:t>
      </w:r>
      <w:r>
        <w:rPr>
          <w:color w:val="231F20"/>
          <w:w w:val="105"/>
        </w:rPr>
        <w:t>cuenta</w:t>
      </w:r>
      <w:r>
        <w:rPr>
          <w:color w:val="231F20"/>
          <w:spacing w:val="-16"/>
          <w:w w:val="105"/>
        </w:rPr>
        <w:t> </w:t>
      </w:r>
      <w:r>
        <w:rPr>
          <w:color w:val="231F20"/>
          <w:w w:val="105"/>
        </w:rPr>
        <w:t>con</w:t>
      </w:r>
      <w:r>
        <w:rPr>
          <w:color w:val="231F20"/>
          <w:spacing w:val="-16"/>
          <w:w w:val="105"/>
        </w:rPr>
        <w:t> </w:t>
      </w:r>
      <w:r>
        <w:rPr>
          <w:color w:val="231F20"/>
          <w:w w:val="105"/>
        </w:rPr>
        <w:t>energía</w:t>
      </w:r>
      <w:r>
        <w:rPr>
          <w:color w:val="231F20"/>
          <w:spacing w:val="-16"/>
          <w:w w:val="105"/>
        </w:rPr>
        <w:t> </w:t>
      </w:r>
      <w:r>
        <w:rPr>
          <w:color w:val="231F20"/>
          <w:w w:val="105"/>
        </w:rPr>
        <w:t>eléctrica</w:t>
      </w:r>
      <w:r>
        <w:rPr>
          <w:color w:val="231F20"/>
          <w:spacing w:val="-16"/>
          <w:w w:val="105"/>
        </w:rPr>
        <w:t> </w:t>
      </w:r>
      <w:r>
        <w:rPr>
          <w:color w:val="231F20"/>
          <w:spacing w:val="-3"/>
          <w:w w:val="105"/>
        </w:rPr>
        <w:t>(CONAPO,</w:t>
      </w:r>
      <w:r>
        <w:rPr>
          <w:color w:val="231F20"/>
          <w:spacing w:val="-16"/>
          <w:w w:val="105"/>
        </w:rPr>
        <w:t> </w:t>
      </w:r>
      <w:r>
        <w:rPr>
          <w:color w:val="231F20"/>
          <w:w w:val="105"/>
        </w:rPr>
        <w:t>2005).</w:t>
      </w:r>
      <w:r>
        <w:rPr>
          <w:color w:val="231F20"/>
          <w:spacing w:val="-16"/>
          <w:w w:val="105"/>
        </w:rPr>
        <w:t> </w:t>
      </w:r>
      <w:r>
        <w:rPr>
          <w:color w:val="231F20"/>
          <w:w w:val="105"/>
        </w:rPr>
        <w:t>Estos</w:t>
      </w:r>
      <w:r>
        <w:rPr>
          <w:color w:val="231F20"/>
          <w:spacing w:val="-16"/>
          <w:w w:val="105"/>
        </w:rPr>
        <w:t> </w:t>
      </w:r>
      <w:r>
        <w:rPr>
          <w:color w:val="231F20"/>
          <w:w w:val="105"/>
        </w:rPr>
        <w:t>indicadores reflejan</w:t>
      </w:r>
      <w:r>
        <w:rPr>
          <w:color w:val="231F20"/>
          <w:spacing w:val="-10"/>
          <w:w w:val="105"/>
        </w:rPr>
        <w:t> </w:t>
      </w:r>
      <w:r>
        <w:rPr>
          <w:color w:val="231F20"/>
          <w:w w:val="105"/>
        </w:rPr>
        <w:t>precisamente</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polo</w:t>
      </w:r>
      <w:r>
        <w:rPr>
          <w:color w:val="231F20"/>
          <w:spacing w:val="-10"/>
          <w:w w:val="105"/>
        </w:rPr>
        <w:t> </w:t>
      </w:r>
      <w:r>
        <w:rPr>
          <w:color w:val="231F20"/>
          <w:w w:val="105"/>
        </w:rPr>
        <w:t>de</w:t>
      </w:r>
      <w:r>
        <w:rPr>
          <w:color w:val="231F20"/>
          <w:spacing w:val="-10"/>
          <w:w w:val="105"/>
        </w:rPr>
        <w:t> </w:t>
      </w:r>
      <w:r>
        <w:rPr>
          <w:color w:val="231F20"/>
          <w:w w:val="105"/>
        </w:rPr>
        <w:t>desarrollo</w:t>
      </w:r>
      <w:r>
        <w:rPr>
          <w:color w:val="231F20"/>
          <w:spacing w:val="-10"/>
          <w:w w:val="105"/>
        </w:rPr>
        <w:t> </w:t>
      </w:r>
      <w:r>
        <w:rPr>
          <w:color w:val="231F20"/>
          <w:w w:val="105"/>
        </w:rPr>
        <w:t>en</w:t>
      </w:r>
      <w:r>
        <w:rPr>
          <w:color w:val="231F20"/>
          <w:spacing w:val="-10"/>
          <w:w w:val="105"/>
        </w:rPr>
        <w:t> </w:t>
      </w:r>
      <w:r>
        <w:rPr>
          <w:color w:val="231F20"/>
          <w:w w:val="105"/>
        </w:rPr>
        <w:t>infraestructura</w:t>
      </w:r>
      <w:r>
        <w:rPr>
          <w:color w:val="231F20"/>
          <w:spacing w:val="-10"/>
          <w:w w:val="105"/>
        </w:rPr>
        <w:t> </w:t>
      </w:r>
      <w:r>
        <w:rPr>
          <w:color w:val="231F20"/>
          <w:w w:val="105"/>
        </w:rPr>
        <w:t>básica</w:t>
      </w:r>
      <w:r>
        <w:rPr>
          <w:color w:val="231F20"/>
          <w:spacing w:val="-10"/>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w w:val="105"/>
        </w:rPr>
        <w:t>centrado en</w:t>
      </w:r>
      <w:r>
        <w:rPr>
          <w:color w:val="231F20"/>
          <w:spacing w:val="-14"/>
          <w:w w:val="105"/>
        </w:rPr>
        <w:t> </w:t>
      </w:r>
      <w:r>
        <w:rPr>
          <w:color w:val="231F20"/>
          <w:w w:val="105"/>
        </w:rPr>
        <w:t>la</w:t>
      </w:r>
      <w:r>
        <w:rPr>
          <w:color w:val="231F20"/>
          <w:spacing w:val="-14"/>
          <w:w w:val="105"/>
        </w:rPr>
        <w:t> </w:t>
      </w:r>
      <w:r>
        <w:rPr>
          <w:color w:val="231F20"/>
          <w:w w:val="105"/>
        </w:rPr>
        <w:t>cabecera</w:t>
      </w:r>
      <w:r>
        <w:rPr>
          <w:color w:val="231F20"/>
          <w:spacing w:val="-14"/>
          <w:w w:val="105"/>
        </w:rPr>
        <w:t> </w:t>
      </w:r>
      <w:r>
        <w:rPr>
          <w:color w:val="231F20"/>
          <w:w w:val="105"/>
        </w:rPr>
        <w:t>municipal,</w:t>
      </w:r>
      <w:r>
        <w:rPr>
          <w:color w:val="231F20"/>
          <w:spacing w:val="-14"/>
          <w:w w:val="105"/>
        </w:rPr>
        <w:t> </w:t>
      </w:r>
      <w:r>
        <w:rPr>
          <w:color w:val="231F20"/>
          <w:w w:val="105"/>
        </w:rPr>
        <w:t>dejando</w:t>
      </w:r>
      <w:r>
        <w:rPr>
          <w:color w:val="231F20"/>
          <w:spacing w:val="-14"/>
          <w:w w:val="105"/>
        </w:rPr>
        <w:t> </w:t>
      </w:r>
      <w:r>
        <w:rPr>
          <w:color w:val="231F20"/>
          <w:w w:val="105"/>
        </w:rPr>
        <w:t>sin</w:t>
      </w:r>
      <w:r>
        <w:rPr>
          <w:color w:val="231F20"/>
          <w:spacing w:val="-14"/>
          <w:w w:val="105"/>
        </w:rPr>
        <w:t> </w:t>
      </w:r>
      <w:r>
        <w:rPr>
          <w:color w:val="231F20"/>
          <w:w w:val="105"/>
        </w:rPr>
        <w:t>atención</w:t>
      </w:r>
      <w:r>
        <w:rPr>
          <w:color w:val="231F20"/>
          <w:spacing w:val="-14"/>
          <w:w w:val="105"/>
        </w:rPr>
        <w:t> </w:t>
      </w:r>
      <w:r>
        <w:rPr>
          <w:color w:val="231F20"/>
          <w:w w:val="105"/>
        </w:rPr>
        <w:t>las</w:t>
      </w:r>
      <w:r>
        <w:rPr>
          <w:color w:val="231F20"/>
          <w:spacing w:val="-14"/>
          <w:w w:val="105"/>
        </w:rPr>
        <w:t> </w:t>
      </w:r>
      <w:r>
        <w:rPr>
          <w:color w:val="231F20"/>
          <w:w w:val="105"/>
        </w:rPr>
        <w:t>localidades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periferia</w:t>
      </w:r>
      <w:r>
        <w:rPr>
          <w:color w:val="231F20"/>
          <w:spacing w:val="-14"/>
          <w:w w:val="105"/>
        </w:rPr>
        <w:t> </w:t>
      </w:r>
      <w:r>
        <w:rPr>
          <w:color w:val="231F20"/>
          <w:w w:val="105"/>
        </w:rPr>
        <w:t>(las</w:t>
      </w:r>
      <w:r>
        <w:rPr>
          <w:color w:val="231F20"/>
          <w:spacing w:val="-14"/>
          <w:w w:val="105"/>
        </w:rPr>
        <w:t> </w:t>
      </w:r>
      <w:r>
        <w:rPr>
          <w:color w:val="231F20"/>
          <w:w w:val="105"/>
        </w:rPr>
        <w:t>cuales concentran el 48.85% de la población municipal) </w:t>
      </w:r>
      <w:r>
        <w:rPr>
          <w:color w:val="231F20"/>
          <w:spacing w:val="-2"/>
          <w:w w:val="105"/>
        </w:rPr>
        <w:t>siendo </w:t>
      </w:r>
      <w:r>
        <w:rPr>
          <w:color w:val="231F20"/>
          <w:w w:val="105"/>
        </w:rPr>
        <w:t>precisamente éstas </w:t>
      </w:r>
      <w:r>
        <w:rPr>
          <w:color w:val="231F20"/>
          <w:spacing w:val="-3"/>
          <w:w w:val="105"/>
        </w:rPr>
        <w:t>donde </w:t>
      </w:r>
      <w:r>
        <w:rPr>
          <w:color w:val="231F20"/>
          <w:w w:val="105"/>
        </w:rPr>
        <w:t>se elevan</w:t>
      </w:r>
      <w:r>
        <w:rPr>
          <w:color w:val="231F20"/>
          <w:spacing w:val="-25"/>
          <w:w w:val="105"/>
        </w:rPr>
        <w:t> </w:t>
      </w:r>
      <w:r>
        <w:rPr>
          <w:color w:val="231F20"/>
          <w:w w:val="105"/>
        </w:rPr>
        <w:t>los</w:t>
      </w:r>
      <w:r>
        <w:rPr>
          <w:color w:val="231F20"/>
          <w:spacing w:val="-25"/>
          <w:w w:val="105"/>
        </w:rPr>
        <w:t> </w:t>
      </w:r>
      <w:r>
        <w:rPr>
          <w:color w:val="231F20"/>
          <w:w w:val="105"/>
        </w:rPr>
        <w:t>niveles</w:t>
      </w:r>
      <w:r>
        <w:rPr>
          <w:color w:val="231F20"/>
          <w:spacing w:val="-25"/>
          <w:w w:val="105"/>
        </w:rPr>
        <w:t> </w:t>
      </w:r>
      <w:r>
        <w:rPr>
          <w:color w:val="231F20"/>
          <w:w w:val="105"/>
        </w:rPr>
        <w:t>de</w:t>
      </w:r>
      <w:r>
        <w:rPr>
          <w:color w:val="231F20"/>
          <w:spacing w:val="-25"/>
          <w:w w:val="105"/>
        </w:rPr>
        <w:t> </w:t>
      </w:r>
      <w:r>
        <w:rPr>
          <w:color w:val="231F20"/>
          <w:w w:val="105"/>
        </w:rPr>
        <w:t>marginación.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rPr>
        <w:t>En términos de salud el municipio cuenta con </w:t>
      </w:r>
      <w:r>
        <w:rPr>
          <w:color w:val="231F20"/>
          <w:spacing w:val="-6"/>
        </w:rPr>
        <w:t>16 </w:t>
      </w:r>
      <w:r>
        <w:rPr>
          <w:color w:val="231F20"/>
        </w:rPr>
        <w:t>unidades médicas, </w:t>
      </w:r>
      <w:r>
        <w:rPr>
          <w:color w:val="231F20"/>
          <w:spacing w:val="-4"/>
        </w:rPr>
        <w:t>11 </w:t>
      </w:r>
      <w:r>
        <w:rPr>
          <w:color w:val="231F20"/>
        </w:rPr>
        <w:t>en zonas rurales    y 5 en las urbanas entre las cuales destacan el ISEM (Hospital General y de Especiali- </w:t>
      </w:r>
      <w:r>
        <w:rPr>
          <w:color w:val="231F20"/>
          <w:spacing w:val="-3"/>
        </w:rPr>
        <w:t>dades), </w:t>
      </w:r>
      <w:r>
        <w:rPr>
          <w:color w:val="231F20"/>
        </w:rPr>
        <w:t>ISSEMyM (Clínica-Hospital) y el IMSS, los cuales ofrecen servicios no sólo de consulta externa, sino también de especialización y   </w:t>
      </w:r>
      <w:r>
        <w:rPr>
          <w:color w:val="231F20"/>
          <w:spacing w:val="25"/>
        </w:rPr>
        <w:t> </w:t>
      </w:r>
      <w:r>
        <w:rPr>
          <w:color w:val="231F20"/>
        </w:rPr>
        <w:t>hospitalización.</w:t>
      </w:r>
    </w:p>
    <w:p>
      <w:pPr>
        <w:pStyle w:val="BodyText"/>
        <w:spacing w:before="1"/>
        <w:rPr>
          <w:sz w:val="26"/>
        </w:rPr>
      </w:pPr>
    </w:p>
    <w:p>
      <w:pPr>
        <w:pStyle w:val="BodyText"/>
        <w:spacing w:line="285" w:lineRule="auto"/>
        <w:ind w:left="110" w:right="106"/>
        <w:jc w:val="both"/>
      </w:pPr>
      <w:r>
        <w:rPr>
          <w:color w:val="231F20"/>
          <w:w w:val="105"/>
        </w:rPr>
        <w:t>Aunque</w:t>
      </w:r>
      <w:r>
        <w:rPr>
          <w:color w:val="231F20"/>
          <w:spacing w:val="-4"/>
          <w:w w:val="105"/>
        </w:rPr>
        <w:t> </w:t>
      </w:r>
      <w:r>
        <w:rPr>
          <w:color w:val="231F20"/>
          <w:w w:val="105"/>
        </w:rPr>
        <w:t>cabe</w:t>
      </w:r>
      <w:r>
        <w:rPr>
          <w:color w:val="231F20"/>
          <w:spacing w:val="-4"/>
          <w:w w:val="105"/>
        </w:rPr>
        <w:t> </w:t>
      </w:r>
      <w:r>
        <w:rPr>
          <w:color w:val="231F20"/>
          <w:w w:val="105"/>
        </w:rPr>
        <w:t>destacar</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infraestructura</w:t>
      </w:r>
      <w:r>
        <w:rPr>
          <w:color w:val="231F20"/>
          <w:spacing w:val="-4"/>
          <w:w w:val="105"/>
        </w:rPr>
        <w:t> </w:t>
      </w:r>
      <w:r>
        <w:rPr>
          <w:color w:val="231F20"/>
          <w:w w:val="105"/>
        </w:rPr>
        <w:t>de</w:t>
      </w:r>
      <w:r>
        <w:rPr>
          <w:color w:val="231F20"/>
          <w:spacing w:val="-4"/>
          <w:w w:val="105"/>
        </w:rPr>
        <w:t> </w:t>
      </w:r>
      <w:r>
        <w:rPr>
          <w:color w:val="231F20"/>
          <w:w w:val="105"/>
        </w:rPr>
        <w:t>estos</w:t>
      </w:r>
      <w:r>
        <w:rPr>
          <w:color w:val="231F20"/>
          <w:spacing w:val="-4"/>
          <w:w w:val="105"/>
        </w:rPr>
        <w:t> </w:t>
      </w:r>
      <w:r>
        <w:rPr>
          <w:color w:val="231F20"/>
          <w:w w:val="105"/>
        </w:rPr>
        <w:t>dos</w:t>
      </w:r>
      <w:r>
        <w:rPr>
          <w:color w:val="231F20"/>
          <w:spacing w:val="-4"/>
          <w:w w:val="105"/>
        </w:rPr>
        <w:t> </w:t>
      </w:r>
      <w:r>
        <w:rPr>
          <w:color w:val="231F20"/>
          <w:w w:val="105"/>
        </w:rPr>
        <w:t>últimos</w:t>
      </w:r>
      <w:r>
        <w:rPr>
          <w:color w:val="231F20"/>
          <w:spacing w:val="-4"/>
          <w:w w:val="105"/>
        </w:rPr>
        <w:t> </w:t>
      </w:r>
      <w:r>
        <w:rPr>
          <w:color w:val="231F20"/>
          <w:w w:val="105"/>
        </w:rPr>
        <w:t>es</w:t>
      </w:r>
      <w:r>
        <w:rPr>
          <w:color w:val="231F20"/>
          <w:spacing w:val="-4"/>
          <w:w w:val="105"/>
        </w:rPr>
        <w:t> </w:t>
      </w:r>
      <w:r>
        <w:rPr>
          <w:color w:val="231F20"/>
          <w:w w:val="105"/>
        </w:rPr>
        <w:t>deficiente</w:t>
      </w:r>
      <w:r>
        <w:rPr>
          <w:color w:val="231F20"/>
          <w:spacing w:val="-4"/>
          <w:w w:val="105"/>
        </w:rPr>
        <w:t> </w:t>
      </w:r>
      <w:r>
        <w:rPr>
          <w:color w:val="231F20"/>
          <w:w w:val="105"/>
        </w:rPr>
        <w:t>pues</w:t>
      </w:r>
      <w:r>
        <w:rPr>
          <w:color w:val="231F20"/>
          <w:spacing w:val="-4"/>
          <w:w w:val="105"/>
        </w:rPr>
        <w:t> </w:t>
      </w:r>
      <w:r>
        <w:rPr>
          <w:color w:val="231F20"/>
          <w:w w:val="105"/>
        </w:rPr>
        <w:t>en el IMSS apenas se cuenta con dos camas y en el ISSEMyM </w:t>
      </w:r>
      <w:r>
        <w:rPr>
          <w:color w:val="231F20"/>
          <w:spacing w:val="-3"/>
          <w:w w:val="105"/>
        </w:rPr>
        <w:t>18, </w:t>
      </w:r>
      <w:r>
        <w:rPr>
          <w:color w:val="231F20"/>
          <w:w w:val="105"/>
        </w:rPr>
        <w:t>mientras que el ISEM ofrece</w:t>
      </w:r>
      <w:r>
        <w:rPr>
          <w:color w:val="231F20"/>
          <w:spacing w:val="-19"/>
          <w:w w:val="105"/>
        </w:rPr>
        <w:t> </w:t>
      </w:r>
      <w:r>
        <w:rPr>
          <w:color w:val="231F20"/>
          <w:w w:val="105"/>
        </w:rPr>
        <w:t>30.</w:t>
      </w:r>
      <w:r>
        <w:rPr>
          <w:color w:val="231F20"/>
          <w:spacing w:val="-19"/>
          <w:w w:val="105"/>
        </w:rPr>
        <w:t> </w:t>
      </w:r>
      <w:r>
        <w:rPr>
          <w:color w:val="231F20"/>
          <w:w w:val="105"/>
        </w:rPr>
        <w:t>En</w:t>
      </w:r>
      <w:r>
        <w:rPr>
          <w:color w:val="231F20"/>
          <w:spacing w:val="-19"/>
          <w:w w:val="105"/>
        </w:rPr>
        <w:t> </w:t>
      </w:r>
      <w:r>
        <w:rPr>
          <w:color w:val="231F20"/>
          <w:w w:val="105"/>
        </w:rPr>
        <w:t>cuanto</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servicios,</w:t>
      </w:r>
      <w:r>
        <w:rPr>
          <w:color w:val="231F20"/>
          <w:spacing w:val="-19"/>
          <w:w w:val="105"/>
        </w:rPr>
        <w:t> </w:t>
      </w:r>
      <w:r>
        <w:rPr>
          <w:color w:val="231F20"/>
          <w:w w:val="105"/>
        </w:rPr>
        <w:t>hay</w:t>
      </w:r>
      <w:r>
        <w:rPr>
          <w:color w:val="231F20"/>
          <w:spacing w:val="-19"/>
          <w:w w:val="105"/>
        </w:rPr>
        <w:t> </w:t>
      </w:r>
      <w:r>
        <w:rPr>
          <w:color w:val="231F20"/>
          <w:w w:val="105"/>
        </w:rPr>
        <w:t>consultas</w:t>
      </w:r>
      <w:r>
        <w:rPr>
          <w:color w:val="231F20"/>
          <w:spacing w:val="-19"/>
          <w:w w:val="105"/>
        </w:rPr>
        <w:t> </w:t>
      </w:r>
      <w:r>
        <w:rPr>
          <w:color w:val="231F20"/>
          <w:w w:val="105"/>
        </w:rPr>
        <w:t>desde</w:t>
      </w:r>
      <w:r>
        <w:rPr>
          <w:color w:val="231F20"/>
          <w:spacing w:val="-19"/>
          <w:w w:val="105"/>
        </w:rPr>
        <w:t> </w:t>
      </w:r>
      <w:r>
        <w:rPr>
          <w:color w:val="231F20"/>
          <w:w w:val="105"/>
        </w:rPr>
        <w:t>medicina</w:t>
      </w:r>
      <w:r>
        <w:rPr>
          <w:color w:val="231F20"/>
          <w:spacing w:val="-19"/>
          <w:w w:val="105"/>
        </w:rPr>
        <w:t> </w:t>
      </w:r>
      <w:r>
        <w:rPr>
          <w:color w:val="231F20"/>
          <w:w w:val="105"/>
        </w:rPr>
        <w:t>general</w:t>
      </w:r>
      <w:r>
        <w:rPr>
          <w:color w:val="231F20"/>
          <w:spacing w:val="-19"/>
          <w:w w:val="105"/>
        </w:rPr>
        <w:t> </w:t>
      </w:r>
      <w:r>
        <w:rPr>
          <w:color w:val="231F20"/>
          <w:w w:val="105"/>
        </w:rPr>
        <w:t>y</w:t>
      </w:r>
      <w:r>
        <w:rPr>
          <w:color w:val="231F20"/>
          <w:spacing w:val="-19"/>
          <w:w w:val="105"/>
        </w:rPr>
        <w:t> </w:t>
      </w:r>
      <w:r>
        <w:rPr>
          <w:color w:val="231F20"/>
          <w:w w:val="105"/>
        </w:rPr>
        <w:t>consultorio dental,</w:t>
      </w:r>
      <w:r>
        <w:rPr>
          <w:color w:val="231F20"/>
          <w:spacing w:val="-6"/>
          <w:w w:val="105"/>
        </w:rPr>
        <w:t> </w:t>
      </w:r>
      <w:r>
        <w:rPr>
          <w:color w:val="231F20"/>
          <w:w w:val="105"/>
        </w:rPr>
        <w:t>hasta</w:t>
      </w:r>
      <w:r>
        <w:rPr>
          <w:color w:val="231F20"/>
          <w:spacing w:val="-6"/>
          <w:w w:val="105"/>
        </w:rPr>
        <w:t> </w:t>
      </w:r>
      <w:r>
        <w:rPr>
          <w:color w:val="231F20"/>
          <w:w w:val="105"/>
        </w:rPr>
        <w:t>ginecología,</w:t>
      </w:r>
      <w:r>
        <w:rPr>
          <w:color w:val="231F20"/>
          <w:spacing w:val="-6"/>
          <w:w w:val="105"/>
        </w:rPr>
        <w:t> </w:t>
      </w:r>
      <w:r>
        <w:rPr>
          <w:color w:val="231F20"/>
          <w:w w:val="105"/>
        </w:rPr>
        <w:t>pediatría,</w:t>
      </w:r>
      <w:r>
        <w:rPr>
          <w:color w:val="231F20"/>
          <w:spacing w:val="-6"/>
          <w:w w:val="105"/>
        </w:rPr>
        <w:t> </w:t>
      </w:r>
      <w:r>
        <w:rPr>
          <w:color w:val="231F20"/>
          <w:w w:val="105"/>
        </w:rPr>
        <w:t>cardiología,</w:t>
      </w:r>
      <w:r>
        <w:rPr>
          <w:color w:val="231F20"/>
          <w:spacing w:val="-6"/>
          <w:w w:val="105"/>
        </w:rPr>
        <w:t> </w:t>
      </w:r>
      <w:r>
        <w:rPr>
          <w:color w:val="231F20"/>
          <w:w w:val="105"/>
        </w:rPr>
        <w:t>ortopedia</w:t>
      </w:r>
      <w:r>
        <w:rPr>
          <w:color w:val="231F20"/>
          <w:spacing w:val="-6"/>
          <w:w w:val="105"/>
        </w:rPr>
        <w:t> </w:t>
      </w:r>
      <w:r>
        <w:rPr>
          <w:color w:val="231F20"/>
          <w:w w:val="105"/>
        </w:rPr>
        <w:t>y</w:t>
      </w:r>
      <w:r>
        <w:rPr>
          <w:color w:val="231F20"/>
          <w:spacing w:val="-6"/>
          <w:w w:val="105"/>
        </w:rPr>
        <w:t> </w:t>
      </w:r>
      <w:r>
        <w:rPr>
          <w:color w:val="231F20"/>
          <w:w w:val="105"/>
        </w:rPr>
        <w:t>traumatología,</w:t>
      </w:r>
      <w:r>
        <w:rPr>
          <w:color w:val="231F20"/>
          <w:spacing w:val="-6"/>
          <w:w w:val="105"/>
        </w:rPr>
        <w:t> </w:t>
      </w:r>
      <w:r>
        <w:rPr>
          <w:color w:val="231F20"/>
          <w:w w:val="105"/>
        </w:rPr>
        <w:t>además</w:t>
      </w:r>
      <w:r>
        <w:rPr>
          <w:color w:val="231F20"/>
          <w:spacing w:val="-6"/>
          <w:w w:val="105"/>
        </w:rPr>
        <w:t> </w:t>
      </w:r>
      <w:r>
        <w:rPr>
          <w:color w:val="231F20"/>
          <w:w w:val="105"/>
        </w:rPr>
        <w:t>de laboratorios</w:t>
      </w:r>
      <w:r>
        <w:rPr>
          <w:color w:val="231F20"/>
          <w:spacing w:val="-31"/>
          <w:w w:val="105"/>
        </w:rPr>
        <w:t> </w:t>
      </w:r>
      <w:r>
        <w:rPr>
          <w:color w:val="231F20"/>
          <w:w w:val="105"/>
        </w:rPr>
        <w:t>y</w:t>
      </w:r>
      <w:r>
        <w:rPr>
          <w:color w:val="231F20"/>
          <w:spacing w:val="-31"/>
          <w:w w:val="105"/>
        </w:rPr>
        <w:t> </w:t>
      </w:r>
      <w:r>
        <w:rPr>
          <w:color w:val="231F20"/>
          <w:w w:val="105"/>
        </w:rPr>
        <w:t>rayos</w:t>
      </w:r>
      <w:r>
        <w:rPr>
          <w:color w:val="231F20"/>
          <w:spacing w:val="-31"/>
          <w:w w:val="105"/>
        </w:rPr>
        <w:t> </w:t>
      </w:r>
      <w:r>
        <w:rPr>
          <w:color w:val="231F20"/>
          <w:w w:val="105"/>
        </w:rPr>
        <w:t>X</w:t>
      </w:r>
      <w:r>
        <w:rPr>
          <w:color w:val="231F20"/>
          <w:spacing w:val="-31"/>
          <w:w w:val="105"/>
        </w:rPr>
        <w:t> </w:t>
      </w:r>
      <w:r>
        <w:rPr>
          <w:color w:val="231F20"/>
          <w:w w:val="105"/>
        </w:rPr>
        <w:t>(Plan</w:t>
      </w:r>
      <w:r>
        <w:rPr>
          <w:color w:val="231F20"/>
          <w:spacing w:val="-31"/>
          <w:w w:val="105"/>
        </w:rPr>
        <w:t> </w:t>
      </w:r>
      <w:r>
        <w:rPr>
          <w:color w:val="231F20"/>
          <w:w w:val="105"/>
        </w:rPr>
        <w:t>Municipal,</w:t>
      </w:r>
      <w:r>
        <w:rPr>
          <w:color w:val="231F20"/>
          <w:spacing w:val="-31"/>
          <w:w w:val="105"/>
        </w:rPr>
        <w:t> </w:t>
      </w:r>
      <w:r>
        <w:rPr>
          <w:color w:val="231F20"/>
          <w:w w:val="105"/>
        </w:rPr>
        <w:t>2006:46).</w:t>
      </w:r>
    </w:p>
    <w:p>
      <w:pPr>
        <w:pStyle w:val="BodyText"/>
        <w:spacing w:before="1"/>
        <w:rPr>
          <w:sz w:val="26"/>
        </w:rPr>
      </w:pPr>
    </w:p>
    <w:p>
      <w:pPr>
        <w:pStyle w:val="BodyText"/>
        <w:spacing w:line="285" w:lineRule="auto"/>
        <w:ind w:left="110" w:right="108"/>
        <w:jc w:val="both"/>
      </w:pPr>
      <w:r>
        <w:rPr>
          <w:color w:val="231F20"/>
          <w:w w:val="105"/>
        </w:rPr>
        <w:t>Pese</w:t>
      </w:r>
      <w:r>
        <w:rPr>
          <w:color w:val="231F20"/>
          <w:spacing w:val="-11"/>
          <w:w w:val="105"/>
        </w:rPr>
        <w:t> </w:t>
      </w:r>
      <w:r>
        <w:rPr>
          <w:color w:val="231F20"/>
          <w:w w:val="105"/>
        </w:rPr>
        <w:t>a</w:t>
      </w:r>
      <w:r>
        <w:rPr>
          <w:color w:val="231F20"/>
          <w:spacing w:val="-11"/>
          <w:w w:val="105"/>
        </w:rPr>
        <w:t> </w:t>
      </w:r>
      <w:r>
        <w:rPr>
          <w:color w:val="231F20"/>
          <w:w w:val="105"/>
        </w:rPr>
        <w:t>existir</w:t>
      </w:r>
      <w:r>
        <w:rPr>
          <w:color w:val="231F20"/>
          <w:spacing w:val="-11"/>
          <w:w w:val="105"/>
        </w:rPr>
        <w:t> </w:t>
      </w:r>
      <w:r>
        <w:rPr>
          <w:color w:val="231F20"/>
          <w:w w:val="105"/>
        </w:rPr>
        <w:t>dichos</w:t>
      </w:r>
      <w:r>
        <w:rPr>
          <w:color w:val="231F20"/>
          <w:spacing w:val="-11"/>
          <w:w w:val="105"/>
        </w:rPr>
        <w:t> </w:t>
      </w:r>
      <w:r>
        <w:rPr>
          <w:color w:val="231F20"/>
          <w:w w:val="105"/>
        </w:rPr>
        <w:t>centros,</w:t>
      </w:r>
      <w:r>
        <w:rPr>
          <w:color w:val="231F20"/>
          <w:spacing w:val="-11"/>
          <w:w w:val="105"/>
        </w:rPr>
        <w:t> </w:t>
      </w:r>
      <w:r>
        <w:rPr>
          <w:color w:val="231F20"/>
          <w:w w:val="105"/>
        </w:rPr>
        <w:t>sólo</w:t>
      </w:r>
      <w:r>
        <w:rPr>
          <w:color w:val="231F20"/>
          <w:spacing w:val="-11"/>
          <w:w w:val="105"/>
        </w:rPr>
        <w:t> </w:t>
      </w:r>
      <w:r>
        <w:rPr>
          <w:color w:val="231F20"/>
          <w:w w:val="105"/>
        </w:rPr>
        <w:t>el</w:t>
      </w:r>
      <w:r>
        <w:rPr>
          <w:color w:val="231F20"/>
          <w:spacing w:val="-11"/>
          <w:w w:val="105"/>
        </w:rPr>
        <w:t> </w:t>
      </w:r>
      <w:r>
        <w:rPr>
          <w:color w:val="231F20"/>
          <w:w w:val="105"/>
        </w:rPr>
        <w:t>46.18%</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es</w:t>
      </w:r>
      <w:r>
        <w:rPr>
          <w:color w:val="231F20"/>
          <w:spacing w:val="-11"/>
          <w:w w:val="105"/>
        </w:rPr>
        <w:t> </w:t>
      </w:r>
      <w:r>
        <w:rPr>
          <w:color w:val="231F20"/>
          <w:w w:val="105"/>
        </w:rPr>
        <w:t>derechohabiente,</w:t>
      </w:r>
      <w:r>
        <w:rPr>
          <w:color w:val="231F20"/>
          <w:spacing w:val="-11"/>
          <w:w w:val="105"/>
        </w:rPr>
        <w:t> </w:t>
      </w:r>
      <w:r>
        <w:rPr>
          <w:color w:val="231F20"/>
          <w:w w:val="105"/>
        </w:rPr>
        <w:t>mien- tras que el resto </w:t>
      </w:r>
      <w:r>
        <w:rPr>
          <w:color w:val="231F20"/>
          <w:spacing w:val="-6"/>
          <w:w w:val="105"/>
        </w:rPr>
        <w:t>(16,183 </w:t>
      </w:r>
      <w:r>
        <w:rPr>
          <w:color w:val="231F20"/>
          <w:w w:val="105"/>
        </w:rPr>
        <w:t>habitantes) son atendidos en centros de consulta externa </w:t>
      </w:r>
      <w:r>
        <w:rPr>
          <w:color w:val="231F20"/>
          <w:spacing w:val="-7"/>
          <w:w w:val="105"/>
        </w:rPr>
        <w:t>y, </w:t>
      </w:r>
      <w:r>
        <w:rPr>
          <w:color w:val="231F20"/>
          <w:w w:val="105"/>
        </w:rPr>
        <w:t>en caso</w:t>
      </w:r>
      <w:r>
        <w:rPr>
          <w:color w:val="231F20"/>
          <w:spacing w:val="-10"/>
          <w:w w:val="105"/>
        </w:rPr>
        <w:t> </w:t>
      </w:r>
      <w:r>
        <w:rPr>
          <w:color w:val="231F20"/>
          <w:w w:val="105"/>
        </w:rPr>
        <w:t>de</w:t>
      </w:r>
      <w:r>
        <w:rPr>
          <w:color w:val="231F20"/>
          <w:spacing w:val="-10"/>
          <w:w w:val="105"/>
        </w:rPr>
        <w:t> </w:t>
      </w:r>
      <w:r>
        <w:rPr>
          <w:color w:val="231F20"/>
          <w:w w:val="105"/>
        </w:rPr>
        <w:t>requerir</w:t>
      </w:r>
      <w:r>
        <w:rPr>
          <w:color w:val="231F20"/>
          <w:spacing w:val="-10"/>
          <w:w w:val="105"/>
        </w:rPr>
        <w:t> </w:t>
      </w:r>
      <w:r>
        <w:rPr>
          <w:color w:val="231F20"/>
          <w:w w:val="105"/>
        </w:rPr>
        <w:t>estudios</w:t>
      </w:r>
      <w:r>
        <w:rPr>
          <w:color w:val="231F20"/>
          <w:spacing w:val="-10"/>
          <w:w w:val="105"/>
        </w:rPr>
        <w:t> </w:t>
      </w:r>
      <w:r>
        <w:rPr>
          <w:color w:val="231F20"/>
          <w:w w:val="105"/>
        </w:rPr>
        <w:t>de</w:t>
      </w:r>
      <w:r>
        <w:rPr>
          <w:color w:val="231F20"/>
          <w:spacing w:val="-10"/>
          <w:w w:val="105"/>
        </w:rPr>
        <w:t> </w:t>
      </w:r>
      <w:r>
        <w:rPr>
          <w:color w:val="231F20"/>
          <w:w w:val="105"/>
        </w:rPr>
        <w:t>especialización,</w:t>
      </w:r>
      <w:r>
        <w:rPr>
          <w:color w:val="231F20"/>
          <w:spacing w:val="-10"/>
          <w:w w:val="105"/>
        </w:rPr>
        <w:t> </w:t>
      </w:r>
      <w:r>
        <w:rPr>
          <w:color w:val="231F20"/>
          <w:w w:val="105"/>
        </w:rPr>
        <w:t>tienen</w:t>
      </w:r>
      <w:r>
        <w:rPr>
          <w:color w:val="231F20"/>
          <w:spacing w:val="-10"/>
          <w:w w:val="105"/>
        </w:rPr>
        <w:t> </w:t>
      </w:r>
      <w:r>
        <w:rPr>
          <w:color w:val="231F20"/>
          <w:w w:val="105"/>
        </w:rPr>
        <w:t>que</w:t>
      </w:r>
      <w:r>
        <w:rPr>
          <w:color w:val="231F20"/>
          <w:spacing w:val="-10"/>
          <w:w w:val="105"/>
        </w:rPr>
        <w:t> </w:t>
      </w:r>
      <w:r>
        <w:rPr>
          <w:color w:val="231F20"/>
          <w:w w:val="105"/>
        </w:rPr>
        <w:t>cubrir</w:t>
      </w:r>
      <w:r>
        <w:rPr>
          <w:color w:val="231F20"/>
          <w:spacing w:val="-10"/>
          <w:w w:val="105"/>
        </w:rPr>
        <w:t> </w:t>
      </w:r>
      <w:r>
        <w:rPr>
          <w:color w:val="231F20"/>
          <w:w w:val="105"/>
        </w:rPr>
        <w:t>el</w:t>
      </w:r>
      <w:r>
        <w:rPr>
          <w:color w:val="231F20"/>
          <w:spacing w:val="-10"/>
          <w:w w:val="105"/>
        </w:rPr>
        <w:t> </w:t>
      </w:r>
      <w:r>
        <w:rPr>
          <w:color w:val="231F20"/>
          <w:w w:val="105"/>
        </w:rPr>
        <w:t>costo</w:t>
      </w:r>
      <w:r>
        <w:rPr>
          <w:color w:val="231F20"/>
          <w:spacing w:val="-10"/>
          <w:w w:val="105"/>
        </w:rPr>
        <w:t> </w:t>
      </w:r>
      <w:r>
        <w:rPr>
          <w:color w:val="231F20"/>
          <w:w w:val="105"/>
        </w:rPr>
        <w:t>requerido.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5"/>
          <w:w w:val="105"/>
        </w:rPr>
        <w:t> </w:t>
      </w:r>
      <w:r>
        <w:rPr>
          <w:color w:val="231F20"/>
          <w:w w:val="105"/>
        </w:rPr>
        <w:t>escolaridad</w:t>
      </w:r>
      <w:r>
        <w:rPr>
          <w:color w:val="231F20"/>
          <w:spacing w:val="-15"/>
          <w:w w:val="105"/>
        </w:rPr>
        <w:t> </w:t>
      </w:r>
      <w:r>
        <w:rPr>
          <w:color w:val="231F20"/>
          <w:w w:val="105"/>
        </w:rPr>
        <w:t>el</w:t>
      </w:r>
      <w:r>
        <w:rPr>
          <w:color w:val="231F20"/>
          <w:spacing w:val="-15"/>
          <w:w w:val="105"/>
        </w:rPr>
        <w:t> </w:t>
      </w:r>
      <w:r>
        <w:rPr>
          <w:color w:val="231F20"/>
          <w:spacing w:val="-6"/>
          <w:w w:val="105"/>
        </w:rPr>
        <w:t>89.17%</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ixtapenses</w:t>
      </w:r>
      <w:r>
        <w:rPr>
          <w:color w:val="231F20"/>
          <w:spacing w:val="-15"/>
          <w:w w:val="105"/>
        </w:rPr>
        <w:t> </w:t>
      </w:r>
      <w:r>
        <w:rPr>
          <w:color w:val="231F20"/>
          <w:w w:val="105"/>
        </w:rPr>
        <w:t>es</w:t>
      </w:r>
      <w:r>
        <w:rPr>
          <w:color w:val="231F20"/>
          <w:spacing w:val="-15"/>
          <w:w w:val="105"/>
        </w:rPr>
        <w:t> </w:t>
      </w:r>
      <w:r>
        <w:rPr>
          <w:color w:val="231F20"/>
          <w:w w:val="105"/>
        </w:rPr>
        <w:t>alfabeta</w:t>
      </w:r>
      <w:r>
        <w:rPr>
          <w:color w:val="231F20"/>
          <w:spacing w:val="-15"/>
          <w:w w:val="105"/>
        </w:rPr>
        <w:t> </w:t>
      </w:r>
      <w:r>
        <w:rPr>
          <w:color w:val="231F20"/>
          <w:spacing w:val="-5"/>
          <w:w w:val="105"/>
        </w:rPr>
        <w:t>(de</w:t>
      </w:r>
      <w:r>
        <w:rPr>
          <w:color w:val="231F20"/>
          <w:spacing w:val="-15"/>
          <w:w w:val="105"/>
        </w:rPr>
        <w:t> </w:t>
      </w:r>
      <w:r>
        <w:rPr>
          <w:color w:val="231F20"/>
          <w:w w:val="105"/>
        </w:rPr>
        <w:t>los</w:t>
      </w:r>
      <w:r>
        <w:rPr>
          <w:color w:val="231F20"/>
          <w:spacing w:val="-15"/>
          <w:w w:val="105"/>
        </w:rPr>
        <w:t> </w:t>
      </w:r>
      <w:r>
        <w:rPr>
          <w:color w:val="231F20"/>
          <w:w w:val="105"/>
        </w:rPr>
        <w:t>cuales</w:t>
      </w:r>
      <w:r>
        <w:rPr>
          <w:color w:val="231F20"/>
          <w:spacing w:val="-15"/>
          <w:w w:val="105"/>
        </w:rPr>
        <w:t> </w:t>
      </w:r>
      <w:r>
        <w:rPr>
          <w:color w:val="231F20"/>
          <w:spacing w:val="-4"/>
          <w:w w:val="105"/>
        </w:rPr>
        <w:t>19.4%</w:t>
      </w:r>
      <w:r>
        <w:rPr>
          <w:color w:val="231F20"/>
          <w:spacing w:val="-15"/>
          <w:w w:val="105"/>
        </w:rPr>
        <w:t> </w:t>
      </w:r>
      <w:r>
        <w:rPr>
          <w:color w:val="231F20"/>
          <w:w w:val="105"/>
        </w:rPr>
        <w:t>no</w:t>
      </w:r>
      <w:r>
        <w:rPr>
          <w:color w:val="231F20"/>
          <w:spacing w:val="-15"/>
          <w:w w:val="105"/>
        </w:rPr>
        <w:t> </w:t>
      </w:r>
      <w:r>
        <w:rPr>
          <w:color w:val="231F20"/>
          <w:w w:val="105"/>
        </w:rPr>
        <w:t>concluyó la</w:t>
      </w:r>
      <w:r>
        <w:rPr>
          <w:color w:val="231F20"/>
          <w:spacing w:val="-11"/>
          <w:w w:val="105"/>
        </w:rPr>
        <w:t> </w:t>
      </w:r>
      <w:r>
        <w:rPr>
          <w:color w:val="231F20"/>
          <w:w w:val="105"/>
        </w:rPr>
        <w:t>educación</w:t>
      </w:r>
      <w:r>
        <w:rPr>
          <w:color w:val="231F20"/>
          <w:spacing w:val="-11"/>
          <w:w w:val="105"/>
        </w:rPr>
        <w:t> </w:t>
      </w:r>
      <w:r>
        <w:rPr>
          <w:color w:val="231F20"/>
          <w:w w:val="105"/>
        </w:rPr>
        <w:t>primaria)</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spacing w:val="-7"/>
          <w:w w:val="105"/>
        </w:rPr>
        <w:t>11%</w:t>
      </w:r>
      <w:r>
        <w:rPr>
          <w:color w:val="231F20"/>
          <w:spacing w:val="-11"/>
          <w:w w:val="105"/>
        </w:rPr>
        <w:t> </w:t>
      </w:r>
      <w:r>
        <w:rPr>
          <w:color w:val="231F20"/>
          <w:w w:val="105"/>
        </w:rPr>
        <w:t>no</w:t>
      </w:r>
      <w:r>
        <w:rPr>
          <w:color w:val="231F20"/>
          <w:spacing w:val="-11"/>
          <w:w w:val="105"/>
        </w:rPr>
        <w:t> </w:t>
      </w:r>
      <w:r>
        <w:rPr>
          <w:color w:val="231F20"/>
          <w:w w:val="105"/>
        </w:rPr>
        <w:t>cuenta</w:t>
      </w:r>
      <w:r>
        <w:rPr>
          <w:color w:val="231F20"/>
          <w:spacing w:val="-11"/>
          <w:w w:val="105"/>
        </w:rPr>
        <w:t> </w:t>
      </w:r>
      <w:r>
        <w:rPr>
          <w:color w:val="231F20"/>
          <w:w w:val="105"/>
        </w:rPr>
        <w:t>con</w:t>
      </w:r>
      <w:r>
        <w:rPr>
          <w:color w:val="231F20"/>
          <w:spacing w:val="-11"/>
          <w:w w:val="105"/>
        </w:rPr>
        <w:t> </w:t>
      </w:r>
      <w:r>
        <w:rPr>
          <w:color w:val="231F20"/>
          <w:w w:val="105"/>
        </w:rPr>
        <w:t>instrucción</w:t>
      </w:r>
      <w:r>
        <w:rPr>
          <w:color w:val="231F20"/>
          <w:spacing w:val="-11"/>
          <w:w w:val="105"/>
        </w:rPr>
        <w:t> </w:t>
      </w:r>
      <w:r>
        <w:rPr>
          <w:color w:val="231F20"/>
          <w:w w:val="105"/>
        </w:rPr>
        <w:t>escolar;</w:t>
      </w:r>
      <w:r>
        <w:rPr>
          <w:color w:val="231F20"/>
          <w:spacing w:val="-11"/>
          <w:w w:val="105"/>
        </w:rPr>
        <w:t> </w:t>
      </w:r>
      <w:r>
        <w:rPr>
          <w:color w:val="231F20"/>
          <w:w w:val="105"/>
        </w:rPr>
        <w:t>es</w:t>
      </w:r>
      <w:r>
        <w:rPr>
          <w:color w:val="231F20"/>
          <w:spacing w:val="-11"/>
          <w:w w:val="105"/>
        </w:rPr>
        <w:t> </w:t>
      </w:r>
      <w:r>
        <w:rPr>
          <w:color w:val="231F20"/>
          <w:w w:val="105"/>
        </w:rPr>
        <w:t>decir,</w:t>
      </w:r>
      <w:r>
        <w:rPr>
          <w:color w:val="231F20"/>
          <w:spacing w:val="-11"/>
          <w:w w:val="105"/>
        </w:rPr>
        <w:t> </w:t>
      </w:r>
      <w:r>
        <w:rPr>
          <w:color w:val="231F20"/>
          <w:w w:val="105"/>
        </w:rPr>
        <w:t>existe</w:t>
      </w:r>
      <w:r>
        <w:rPr>
          <w:color w:val="231F20"/>
          <w:spacing w:val="-11"/>
          <w:w w:val="105"/>
        </w:rPr>
        <w:t> </w:t>
      </w:r>
      <w:r>
        <w:rPr>
          <w:color w:val="231F20"/>
          <w:w w:val="105"/>
        </w:rPr>
        <w:t>en</w:t>
      </w:r>
      <w:r>
        <w:rPr>
          <w:color w:val="231F20"/>
          <w:spacing w:val="-11"/>
          <w:w w:val="105"/>
        </w:rPr>
        <w:t> </w:t>
      </w:r>
      <w:r>
        <w:rPr>
          <w:color w:val="231F20"/>
          <w:w w:val="105"/>
        </w:rPr>
        <w:t>el municipio</w:t>
      </w:r>
      <w:r>
        <w:rPr>
          <w:color w:val="231F20"/>
          <w:spacing w:val="-13"/>
          <w:w w:val="105"/>
        </w:rPr>
        <w:t> </w:t>
      </w:r>
      <w:r>
        <w:rPr>
          <w:color w:val="231F20"/>
          <w:w w:val="105"/>
        </w:rPr>
        <w:t>un</w:t>
      </w:r>
      <w:r>
        <w:rPr>
          <w:color w:val="231F20"/>
          <w:spacing w:val="-13"/>
          <w:w w:val="105"/>
        </w:rPr>
        <w:t> </w:t>
      </w:r>
      <w:r>
        <w:rPr>
          <w:color w:val="231F20"/>
          <w:w w:val="105"/>
        </w:rPr>
        <w:t>rezago</w:t>
      </w:r>
      <w:r>
        <w:rPr>
          <w:color w:val="231F20"/>
          <w:spacing w:val="-13"/>
          <w:w w:val="105"/>
        </w:rPr>
        <w:t> </w:t>
      </w:r>
      <w:r>
        <w:rPr>
          <w:color w:val="231F20"/>
          <w:w w:val="105"/>
        </w:rPr>
        <w:t>educativo</w:t>
      </w:r>
      <w:r>
        <w:rPr>
          <w:color w:val="231F20"/>
          <w:spacing w:val="-13"/>
          <w:w w:val="105"/>
        </w:rPr>
        <w:t> </w:t>
      </w:r>
      <w:r>
        <w:rPr>
          <w:color w:val="231F20"/>
          <w:w w:val="105"/>
        </w:rPr>
        <w:t>de</w:t>
      </w:r>
      <w:r>
        <w:rPr>
          <w:color w:val="231F20"/>
          <w:spacing w:val="-13"/>
          <w:w w:val="105"/>
        </w:rPr>
        <w:t> </w:t>
      </w:r>
      <w:r>
        <w:rPr>
          <w:color w:val="231F20"/>
          <w:w w:val="105"/>
        </w:rPr>
        <w:t>30.6%,</w:t>
      </w:r>
      <w:r>
        <w:rPr>
          <w:color w:val="231F20"/>
          <w:spacing w:val="-13"/>
          <w:w w:val="105"/>
        </w:rPr>
        <w:t> </w:t>
      </w:r>
      <w:r>
        <w:rPr>
          <w:color w:val="231F20"/>
          <w:w w:val="105"/>
        </w:rPr>
        <w:t>tasa</w:t>
      </w:r>
      <w:r>
        <w:rPr>
          <w:color w:val="231F20"/>
          <w:spacing w:val="-13"/>
          <w:w w:val="105"/>
        </w:rPr>
        <w:t> </w:t>
      </w:r>
      <w:r>
        <w:rPr>
          <w:color w:val="231F20"/>
          <w:w w:val="105"/>
        </w:rPr>
        <w:t>alta</w:t>
      </w:r>
      <w:r>
        <w:rPr>
          <w:color w:val="231F20"/>
          <w:spacing w:val="-13"/>
          <w:w w:val="105"/>
        </w:rPr>
        <w:t> </w:t>
      </w:r>
      <w:r>
        <w:rPr>
          <w:color w:val="231F20"/>
          <w:w w:val="105"/>
        </w:rPr>
        <w:t>en</w:t>
      </w:r>
      <w:r>
        <w:rPr>
          <w:color w:val="231F20"/>
          <w:spacing w:val="-13"/>
          <w:w w:val="105"/>
        </w:rPr>
        <w:t> </w:t>
      </w:r>
      <w:r>
        <w:rPr>
          <w:color w:val="231F20"/>
          <w:w w:val="105"/>
        </w:rPr>
        <w:t>comparación</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media</w:t>
      </w:r>
      <w:r>
        <w:rPr>
          <w:color w:val="231F20"/>
          <w:spacing w:val="-13"/>
          <w:w w:val="105"/>
        </w:rPr>
        <w:t> </w:t>
      </w:r>
      <w:r>
        <w:rPr>
          <w:color w:val="231F20"/>
          <w:w w:val="105"/>
        </w:rPr>
        <w:t>estatal </w:t>
      </w:r>
      <w:r>
        <w:rPr>
          <w:color w:val="231F20"/>
          <w:spacing w:val="-5"/>
          <w:w w:val="105"/>
        </w:rPr>
        <w:t>(15.9%)</w:t>
      </w:r>
      <w:r>
        <w:rPr>
          <w:color w:val="231F20"/>
          <w:spacing w:val="-26"/>
          <w:w w:val="105"/>
        </w:rPr>
        <w:t> </w:t>
      </w:r>
      <w:r>
        <w:rPr>
          <w:color w:val="231F20"/>
          <w:w w:val="105"/>
        </w:rPr>
        <w:t>e</w:t>
      </w:r>
      <w:r>
        <w:rPr>
          <w:color w:val="231F20"/>
          <w:spacing w:val="-26"/>
          <w:w w:val="105"/>
        </w:rPr>
        <w:t> </w:t>
      </w:r>
      <w:r>
        <w:rPr>
          <w:color w:val="231F20"/>
          <w:w w:val="105"/>
        </w:rPr>
        <w:t>incluso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región</w:t>
      </w:r>
      <w:r>
        <w:rPr>
          <w:color w:val="231F20"/>
          <w:spacing w:val="-26"/>
          <w:w w:val="105"/>
        </w:rPr>
        <w:t> </w:t>
      </w:r>
      <w:r>
        <w:rPr>
          <w:color w:val="231F20"/>
          <w:w w:val="105"/>
        </w:rPr>
        <w:t>(23.5)</w:t>
      </w:r>
      <w:r>
        <w:rPr>
          <w:color w:val="231F20"/>
          <w:spacing w:val="-26"/>
          <w:w w:val="105"/>
        </w:rPr>
        <w:t> </w:t>
      </w:r>
      <w:r>
        <w:rPr>
          <w:color w:val="231F20"/>
          <w:spacing w:val="-5"/>
          <w:w w:val="105"/>
        </w:rPr>
        <w:t>(Ver</w:t>
      </w:r>
      <w:r>
        <w:rPr>
          <w:color w:val="231F20"/>
          <w:spacing w:val="-26"/>
          <w:w w:val="105"/>
        </w:rPr>
        <w:t> </w:t>
      </w:r>
      <w:r>
        <w:rPr>
          <w:color w:val="231F20"/>
          <w:w w:val="105"/>
        </w:rPr>
        <w:t>Cuadro</w:t>
      </w:r>
      <w:r>
        <w:rPr>
          <w:color w:val="231F20"/>
          <w:spacing w:val="-26"/>
          <w:w w:val="105"/>
        </w:rPr>
        <w:t> </w:t>
      </w:r>
      <w:r>
        <w:rPr>
          <w:color w:val="231F20"/>
          <w:spacing w:val="-5"/>
          <w:w w:val="105"/>
        </w:rPr>
        <w:t>2).</w:t>
      </w:r>
    </w:p>
    <w:p>
      <w:pPr>
        <w:pStyle w:val="BodyText"/>
        <w:spacing w:before="1"/>
        <w:rPr>
          <w:sz w:val="26"/>
        </w:rPr>
      </w:pPr>
    </w:p>
    <w:p>
      <w:pPr>
        <w:pStyle w:val="Heading5"/>
        <w:ind w:left="1694"/>
      </w:pPr>
      <w:r>
        <w:rPr>
          <w:color w:val="231F20"/>
          <w:w w:val="105"/>
        </w:rPr>
        <w:t>Cuadro 2. Escolaridad en Ixtapan de la Sal (2005)</w:t>
      </w:r>
    </w:p>
    <w:p>
      <w:pPr>
        <w:pStyle w:val="BodyText"/>
        <w:spacing w:before="9"/>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67"/>
        <w:gridCol w:w="2042"/>
        <w:gridCol w:w="2031"/>
        <w:gridCol w:w="1787"/>
      </w:tblGrid>
      <w:tr>
        <w:trPr>
          <w:trHeight w:val="442" w:hRule="exact"/>
        </w:trPr>
        <w:tc>
          <w:tcPr>
            <w:tcW w:w="2067" w:type="dxa"/>
            <w:shd w:val="clear" w:color="auto" w:fill="F3F3F3"/>
          </w:tcPr>
          <w:p>
            <w:pPr/>
          </w:p>
        </w:tc>
        <w:tc>
          <w:tcPr>
            <w:tcW w:w="2042" w:type="dxa"/>
            <w:shd w:val="clear" w:color="auto" w:fill="F3F3F3"/>
          </w:tcPr>
          <w:p>
            <w:pPr>
              <w:pStyle w:val="TableParagraph"/>
              <w:spacing w:line="163" w:lineRule="exact"/>
              <w:ind w:left="647" w:right="647"/>
              <w:jc w:val="center"/>
              <w:rPr>
                <w:b/>
                <w:sz w:val="16"/>
              </w:rPr>
            </w:pPr>
            <w:r>
              <w:rPr>
                <w:b/>
                <w:color w:val="231F20"/>
                <w:w w:val="85"/>
                <w:sz w:val="16"/>
              </w:rPr>
              <w:t>Alfabeta (%)</w:t>
            </w:r>
          </w:p>
        </w:tc>
        <w:tc>
          <w:tcPr>
            <w:tcW w:w="2031" w:type="dxa"/>
            <w:shd w:val="clear" w:color="auto" w:fill="F3F3F3"/>
          </w:tcPr>
          <w:p>
            <w:pPr>
              <w:pStyle w:val="TableParagraph"/>
              <w:spacing w:line="163" w:lineRule="exact"/>
              <w:ind w:left="255" w:right="255"/>
              <w:jc w:val="center"/>
              <w:rPr>
                <w:b/>
                <w:sz w:val="16"/>
              </w:rPr>
            </w:pPr>
            <w:r>
              <w:rPr>
                <w:b/>
                <w:color w:val="231F20"/>
                <w:w w:val="85"/>
                <w:sz w:val="16"/>
              </w:rPr>
              <w:t>Sin instrucción escolar (%)</w:t>
            </w:r>
          </w:p>
        </w:tc>
        <w:tc>
          <w:tcPr>
            <w:tcW w:w="1787" w:type="dxa"/>
            <w:shd w:val="clear" w:color="auto" w:fill="F3F3F3"/>
          </w:tcPr>
          <w:p>
            <w:pPr>
              <w:pStyle w:val="TableParagraph"/>
              <w:spacing w:line="163" w:lineRule="exact"/>
              <w:ind w:left="266" w:right="266"/>
              <w:jc w:val="center"/>
              <w:rPr>
                <w:b/>
                <w:sz w:val="16"/>
              </w:rPr>
            </w:pPr>
            <w:r>
              <w:rPr>
                <w:b/>
                <w:color w:val="231F20"/>
                <w:w w:val="85"/>
                <w:sz w:val="16"/>
              </w:rPr>
              <w:t>Rezago Educativo (%)</w:t>
            </w:r>
          </w:p>
        </w:tc>
      </w:tr>
      <w:tr>
        <w:trPr>
          <w:trHeight w:val="218" w:hRule="exact"/>
        </w:trPr>
        <w:tc>
          <w:tcPr>
            <w:tcW w:w="2067" w:type="dxa"/>
          </w:tcPr>
          <w:p>
            <w:pPr>
              <w:pStyle w:val="TableParagraph"/>
              <w:spacing w:line="204" w:lineRule="exact"/>
              <w:ind w:left="469" w:right="469"/>
              <w:jc w:val="center"/>
              <w:rPr>
                <w:sz w:val="20"/>
              </w:rPr>
            </w:pPr>
            <w:r>
              <w:rPr>
                <w:color w:val="231F20"/>
                <w:w w:val="75"/>
                <w:sz w:val="20"/>
              </w:rPr>
              <w:t>Estado de México</w:t>
            </w:r>
          </w:p>
        </w:tc>
        <w:tc>
          <w:tcPr>
            <w:tcW w:w="2042" w:type="dxa"/>
          </w:tcPr>
          <w:p>
            <w:pPr>
              <w:pStyle w:val="TableParagraph"/>
              <w:spacing w:line="204" w:lineRule="exact"/>
              <w:ind w:left="647" w:right="647"/>
              <w:jc w:val="center"/>
              <w:rPr>
                <w:sz w:val="20"/>
              </w:rPr>
            </w:pPr>
            <w:r>
              <w:rPr>
                <w:color w:val="231F20"/>
                <w:w w:val="85"/>
                <w:sz w:val="20"/>
              </w:rPr>
              <w:t>94.5</w:t>
            </w:r>
          </w:p>
        </w:tc>
        <w:tc>
          <w:tcPr>
            <w:tcW w:w="2031" w:type="dxa"/>
          </w:tcPr>
          <w:p>
            <w:pPr>
              <w:pStyle w:val="TableParagraph"/>
              <w:spacing w:line="204" w:lineRule="exact"/>
              <w:ind w:left="255" w:right="255"/>
              <w:jc w:val="center"/>
              <w:rPr>
                <w:sz w:val="20"/>
              </w:rPr>
            </w:pPr>
            <w:r>
              <w:rPr>
                <w:color w:val="231F20"/>
                <w:w w:val="85"/>
                <w:sz w:val="20"/>
              </w:rPr>
              <w:t>5.6</w:t>
            </w:r>
          </w:p>
        </w:tc>
        <w:tc>
          <w:tcPr>
            <w:tcW w:w="1787" w:type="dxa"/>
          </w:tcPr>
          <w:p>
            <w:pPr>
              <w:pStyle w:val="TableParagraph"/>
              <w:spacing w:line="204" w:lineRule="exact"/>
              <w:ind w:left="266" w:right="266"/>
              <w:jc w:val="center"/>
              <w:rPr>
                <w:sz w:val="20"/>
              </w:rPr>
            </w:pPr>
            <w:r>
              <w:rPr>
                <w:color w:val="231F20"/>
                <w:w w:val="85"/>
                <w:sz w:val="20"/>
              </w:rPr>
              <w:t>15.9</w:t>
            </w:r>
          </w:p>
        </w:tc>
      </w:tr>
      <w:tr>
        <w:trPr>
          <w:trHeight w:val="218" w:hRule="exact"/>
        </w:trPr>
        <w:tc>
          <w:tcPr>
            <w:tcW w:w="2067" w:type="dxa"/>
          </w:tcPr>
          <w:p>
            <w:pPr>
              <w:pStyle w:val="TableParagraph"/>
              <w:spacing w:line="204" w:lineRule="exact"/>
              <w:ind w:left="469" w:right="469"/>
              <w:jc w:val="center"/>
              <w:rPr>
                <w:sz w:val="20"/>
              </w:rPr>
            </w:pPr>
            <w:r>
              <w:rPr>
                <w:color w:val="231F20"/>
                <w:w w:val="75"/>
                <w:sz w:val="20"/>
              </w:rPr>
              <w:t>Región VI</w:t>
            </w:r>
          </w:p>
        </w:tc>
        <w:tc>
          <w:tcPr>
            <w:tcW w:w="2042" w:type="dxa"/>
          </w:tcPr>
          <w:p>
            <w:pPr>
              <w:pStyle w:val="TableParagraph"/>
              <w:spacing w:line="204" w:lineRule="exact"/>
              <w:ind w:left="647" w:right="647"/>
              <w:jc w:val="center"/>
              <w:rPr>
                <w:sz w:val="20"/>
              </w:rPr>
            </w:pPr>
            <w:r>
              <w:rPr>
                <w:color w:val="231F20"/>
                <w:w w:val="85"/>
                <w:sz w:val="20"/>
              </w:rPr>
              <w:t>86.8</w:t>
            </w:r>
          </w:p>
        </w:tc>
        <w:tc>
          <w:tcPr>
            <w:tcW w:w="2031" w:type="dxa"/>
          </w:tcPr>
          <w:p>
            <w:pPr>
              <w:pStyle w:val="TableParagraph"/>
              <w:spacing w:line="204" w:lineRule="exact"/>
              <w:ind w:left="255" w:right="255"/>
              <w:jc w:val="center"/>
              <w:rPr>
                <w:sz w:val="20"/>
              </w:rPr>
            </w:pPr>
            <w:r>
              <w:rPr>
                <w:color w:val="231F20"/>
                <w:w w:val="85"/>
                <w:sz w:val="20"/>
              </w:rPr>
              <w:t>4.3</w:t>
            </w:r>
          </w:p>
        </w:tc>
        <w:tc>
          <w:tcPr>
            <w:tcW w:w="1787" w:type="dxa"/>
          </w:tcPr>
          <w:p>
            <w:pPr>
              <w:pStyle w:val="TableParagraph"/>
              <w:spacing w:line="204" w:lineRule="exact"/>
              <w:ind w:left="266" w:right="266"/>
              <w:jc w:val="center"/>
              <w:rPr>
                <w:sz w:val="20"/>
              </w:rPr>
            </w:pPr>
            <w:r>
              <w:rPr>
                <w:color w:val="231F20"/>
                <w:w w:val="85"/>
                <w:sz w:val="20"/>
              </w:rPr>
              <w:t>23.5</w:t>
            </w:r>
          </w:p>
        </w:tc>
      </w:tr>
      <w:tr>
        <w:trPr>
          <w:trHeight w:val="218" w:hRule="exact"/>
        </w:trPr>
        <w:tc>
          <w:tcPr>
            <w:tcW w:w="2067" w:type="dxa"/>
          </w:tcPr>
          <w:p>
            <w:pPr>
              <w:pStyle w:val="TableParagraph"/>
              <w:spacing w:line="204" w:lineRule="exact"/>
              <w:ind w:left="469" w:right="469"/>
              <w:jc w:val="center"/>
              <w:rPr>
                <w:sz w:val="20"/>
              </w:rPr>
            </w:pPr>
            <w:r>
              <w:rPr>
                <w:color w:val="231F20"/>
                <w:w w:val="80"/>
                <w:sz w:val="20"/>
              </w:rPr>
              <w:t>Ixtapan de la Sal</w:t>
            </w:r>
          </w:p>
        </w:tc>
        <w:tc>
          <w:tcPr>
            <w:tcW w:w="2042" w:type="dxa"/>
          </w:tcPr>
          <w:p>
            <w:pPr>
              <w:pStyle w:val="TableParagraph"/>
              <w:spacing w:line="204" w:lineRule="exact"/>
              <w:ind w:left="647" w:right="647"/>
              <w:jc w:val="center"/>
              <w:rPr>
                <w:sz w:val="20"/>
              </w:rPr>
            </w:pPr>
            <w:r>
              <w:rPr>
                <w:color w:val="231F20"/>
                <w:w w:val="85"/>
                <w:sz w:val="20"/>
              </w:rPr>
              <w:t>89.2</w:t>
            </w:r>
          </w:p>
        </w:tc>
        <w:tc>
          <w:tcPr>
            <w:tcW w:w="2031" w:type="dxa"/>
          </w:tcPr>
          <w:p>
            <w:pPr>
              <w:pStyle w:val="TableParagraph"/>
              <w:spacing w:line="204" w:lineRule="exact"/>
              <w:ind w:left="245" w:right="255"/>
              <w:jc w:val="center"/>
              <w:rPr>
                <w:sz w:val="20"/>
              </w:rPr>
            </w:pPr>
            <w:r>
              <w:rPr>
                <w:color w:val="231F20"/>
                <w:w w:val="85"/>
                <w:sz w:val="20"/>
              </w:rPr>
              <w:t>11.1</w:t>
            </w:r>
          </w:p>
        </w:tc>
        <w:tc>
          <w:tcPr>
            <w:tcW w:w="1787" w:type="dxa"/>
          </w:tcPr>
          <w:p>
            <w:pPr>
              <w:pStyle w:val="TableParagraph"/>
              <w:spacing w:line="204" w:lineRule="exact"/>
              <w:ind w:left="266" w:right="266"/>
              <w:jc w:val="center"/>
              <w:rPr>
                <w:sz w:val="20"/>
              </w:rPr>
            </w:pPr>
            <w:r>
              <w:rPr>
                <w:color w:val="231F20"/>
                <w:w w:val="85"/>
                <w:sz w:val="20"/>
              </w:rPr>
              <w:t>30.6</w:t>
            </w:r>
          </w:p>
        </w:tc>
      </w:tr>
    </w:tbl>
    <w:p>
      <w:pPr>
        <w:pStyle w:val="BodyText"/>
        <w:spacing w:before="7"/>
        <w:rPr>
          <w:b/>
          <w:sz w:val="7"/>
        </w:rPr>
      </w:pPr>
    </w:p>
    <w:p>
      <w:pPr>
        <w:spacing w:before="74"/>
        <w:ind w:left="4044" w:right="-2" w:firstLine="0"/>
        <w:jc w:val="left"/>
        <w:rPr>
          <w:rFonts w:ascii="Calibri"/>
          <w:sz w:val="16"/>
        </w:rPr>
      </w:pPr>
      <w:r>
        <w:rPr>
          <w:rFonts w:ascii="Calibri"/>
          <w:color w:val="231F20"/>
          <w:sz w:val="16"/>
        </w:rPr>
        <w:t>Fuente: Plan de Desarrollo Municipal de Ixtapan de la Sal, 2006</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En </w:t>
      </w:r>
      <w:r>
        <w:rPr>
          <w:color w:val="231F20"/>
          <w:spacing w:val="4"/>
          <w:w w:val="105"/>
        </w:rPr>
        <w:t>términos </w:t>
      </w:r>
      <w:r>
        <w:rPr>
          <w:color w:val="231F20"/>
          <w:spacing w:val="3"/>
          <w:w w:val="105"/>
        </w:rPr>
        <w:t>económicos, </w:t>
      </w:r>
      <w:r>
        <w:rPr>
          <w:color w:val="231F20"/>
          <w:w w:val="105"/>
        </w:rPr>
        <w:t>el </w:t>
      </w:r>
      <w:r>
        <w:rPr>
          <w:color w:val="231F20"/>
          <w:spacing w:val="3"/>
          <w:w w:val="105"/>
        </w:rPr>
        <w:t>26.2% </w:t>
      </w:r>
      <w:r>
        <w:rPr>
          <w:color w:val="231F20"/>
          <w:w w:val="105"/>
        </w:rPr>
        <w:t>de </w:t>
      </w:r>
      <w:r>
        <w:rPr>
          <w:color w:val="231F20"/>
          <w:spacing w:val="2"/>
          <w:w w:val="105"/>
        </w:rPr>
        <w:t>la población ubica </w:t>
      </w:r>
      <w:r>
        <w:rPr>
          <w:color w:val="231F20"/>
          <w:w w:val="105"/>
        </w:rPr>
        <w:t>en </w:t>
      </w:r>
      <w:r>
        <w:rPr>
          <w:color w:val="231F20"/>
          <w:spacing w:val="3"/>
          <w:w w:val="105"/>
        </w:rPr>
        <w:t>pobreza </w:t>
      </w:r>
      <w:r>
        <w:rPr>
          <w:color w:val="231F20"/>
          <w:spacing w:val="4"/>
          <w:w w:val="105"/>
        </w:rPr>
        <w:t>extrema al </w:t>
      </w:r>
      <w:r>
        <w:rPr>
          <w:color w:val="231F20"/>
          <w:w w:val="105"/>
        </w:rPr>
        <w:t>no </w:t>
      </w:r>
      <w:r>
        <w:rPr>
          <w:color w:val="231F20"/>
          <w:spacing w:val="3"/>
          <w:w w:val="105"/>
        </w:rPr>
        <w:t>contar</w:t>
      </w:r>
      <w:r>
        <w:rPr>
          <w:color w:val="231F20"/>
          <w:spacing w:val="-6"/>
          <w:w w:val="105"/>
        </w:rPr>
        <w:t> </w:t>
      </w:r>
      <w:r>
        <w:rPr>
          <w:color w:val="231F20"/>
          <w:w w:val="105"/>
        </w:rPr>
        <w:t>con</w:t>
      </w:r>
      <w:r>
        <w:rPr>
          <w:color w:val="231F20"/>
          <w:spacing w:val="-6"/>
          <w:w w:val="105"/>
        </w:rPr>
        <w:t> </w:t>
      </w:r>
      <w:r>
        <w:rPr>
          <w:color w:val="231F20"/>
          <w:spacing w:val="4"/>
          <w:w w:val="105"/>
        </w:rPr>
        <w:t>recursos</w:t>
      </w:r>
      <w:r>
        <w:rPr>
          <w:color w:val="231F20"/>
          <w:spacing w:val="-6"/>
          <w:w w:val="105"/>
        </w:rPr>
        <w:t> </w:t>
      </w:r>
      <w:r>
        <w:rPr>
          <w:color w:val="231F20"/>
          <w:spacing w:val="3"/>
          <w:w w:val="105"/>
        </w:rPr>
        <w:t>suficientes</w:t>
      </w:r>
      <w:r>
        <w:rPr>
          <w:color w:val="231F20"/>
          <w:spacing w:val="-6"/>
          <w:w w:val="105"/>
        </w:rPr>
        <w:t> </w:t>
      </w:r>
      <w:r>
        <w:rPr>
          <w:color w:val="231F20"/>
          <w:spacing w:val="4"/>
          <w:w w:val="105"/>
        </w:rPr>
        <w:t>para</w:t>
      </w:r>
      <w:r>
        <w:rPr>
          <w:color w:val="231F20"/>
          <w:spacing w:val="-6"/>
          <w:w w:val="105"/>
        </w:rPr>
        <w:t> </w:t>
      </w:r>
      <w:r>
        <w:rPr>
          <w:color w:val="231F20"/>
          <w:spacing w:val="2"/>
          <w:w w:val="105"/>
        </w:rPr>
        <w:t>acceder</w:t>
      </w:r>
      <w:r>
        <w:rPr>
          <w:color w:val="231F20"/>
          <w:spacing w:val="-6"/>
          <w:w w:val="105"/>
        </w:rPr>
        <w:t> </w:t>
      </w:r>
      <w:r>
        <w:rPr>
          <w:color w:val="231F20"/>
          <w:w w:val="105"/>
        </w:rPr>
        <w:t>a</w:t>
      </w:r>
      <w:r>
        <w:rPr>
          <w:color w:val="231F20"/>
          <w:spacing w:val="-6"/>
          <w:w w:val="105"/>
        </w:rPr>
        <w:t> </w:t>
      </w:r>
      <w:r>
        <w:rPr>
          <w:color w:val="231F20"/>
          <w:spacing w:val="4"/>
          <w:w w:val="105"/>
        </w:rPr>
        <w:t>una</w:t>
      </w:r>
      <w:r>
        <w:rPr>
          <w:color w:val="231F20"/>
          <w:spacing w:val="-6"/>
          <w:w w:val="105"/>
        </w:rPr>
        <w:t> </w:t>
      </w:r>
      <w:r>
        <w:rPr>
          <w:color w:val="231F20"/>
          <w:spacing w:val="3"/>
          <w:w w:val="105"/>
        </w:rPr>
        <w:t>alimentación</w:t>
      </w:r>
      <w:r>
        <w:rPr>
          <w:color w:val="231F20"/>
          <w:spacing w:val="-6"/>
          <w:w w:val="105"/>
        </w:rPr>
        <w:t> </w:t>
      </w:r>
      <w:r>
        <w:rPr>
          <w:color w:val="231F20"/>
          <w:spacing w:val="3"/>
          <w:w w:val="105"/>
        </w:rPr>
        <w:t>básica</w:t>
      </w:r>
      <w:r>
        <w:rPr>
          <w:color w:val="231F20"/>
          <w:spacing w:val="-6"/>
          <w:w w:val="105"/>
        </w:rPr>
        <w:t> </w:t>
      </w:r>
      <w:r>
        <w:rPr>
          <w:color w:val="231F20"/>
          <w:spacing w:val="2"/>
          <w:w w:val="105"/>
        </w:rPr>
        <w:t>(CENEVAL, </w:t>
      </w:r>
      <w:r>
        <w:rPr>
          <w:color w:val="231F20"/>
          <w:spacing w:val="5"/>
          <w:w w:val="105"/>
        </w:rPr>
        <w:t>2005) </w:t>
      </w:r>
      <w:r>
        <w:rPr>
          <w:color w:val="231F20"/>
          <w:spacing w:val="2"/>
          <w:w w:val="105"/>
        </w:rPr>
        <w:t>pues </w:t>
      </w:r>
      <w:r>
        <w:rPr>
          <w:color w:val="231F20"/>
          <w:w w:val="105"/>
        </w:rPr>
        <w:t>en </w:t>
      </w:r>
      <w:r>
        <w:rPr>
          <w:color w:val="231F20"/>
          <w:spacing w:val="2"/>
          <w:w w:val="105"/>
        </w:rPr>
        <w:t>promedio </w:t>
      </w:r>
      <w:r>
        <w:rPr>
          <w:color w:val="231F20"/>
          <w:w w:val="105"/>
        </w:rPr>
        <w:t>el </w:t>
      </w:r>
      <w:r>
        <w:rPr>
          <w:color w:val="231F20"/>
          <w:spacing w:val="4"/>
          <w:w w:val="105"/>
        </w:rPr>
        <w:t>ingreso </w:t>
      </w:r>
      <w:r>
        <w:rPr>
          <w:color w:val="231F20"/>
          <w:spacing w:val="2"/>
          <w:w w:val="105"/>
        </w:rPr>
        <w:t>pér </w:t>
      </w:r>
      <w:r>
        <w:rPr>
          <w:color w:val="231F20"/>
          <w:spacing w:val="3"/>
          <w:w w:val="105"/>
        </w:rPr>
        <w:t>capita </w:t>
      </w:r>
      <w:r>
        <w:rPr>
          <w:color w:val="231F20"/>
          <w:spacing w:val="4"/>
          <w:w w:val="105"/>
        </w:rPr>
        <w:t>osciló </w:t>
      </w:r>
      <w:r>
        <w:rPr>
          <w:color w:val="231F20"/>
          <w:w w:val="105"/>
        </w:rPr>
        <w:t>en </w:t>
      </w:r>
      <w:r>
        <w:rPr>
          <w:color w:val="231F20"/>
          <w:spacing w:val="4"/>
          <w:w w:val="105"/>
        </w:rPr>
        <w:t>33,358 </w:t>
      </w:r>
      <w:r>
        <w:rPr>
          <w:color w:val="231F20"/>
          <w:spacing w:val="3"/>
          <w:w w:val="105"/>
        </w:rPr>
        <w:t>pesos </w:t>
      </w:r>
      <w:r>
        <w:rPr>
          <w:color w:val="231F20"/>
          <w:spacing w:val="4"/>
          <w:w w:val="105"/>
        </w:rPr>
        <w:t>anual, </w:t>
      </w:r>
      <w:r>
        <w:rPr>
          <w:color w:val="231F20"/>
          <w:spacing w:val="2"/>
          <w:w w:val="105"/>
        </w:rPr>
        <w:t>que</w:t>
      </w:r>
      <w:r>
        <w:rPr>
          <w:color w:val="231F20"/>
          <w:spacing w:val="50"/>
          <w:w w:val="105"/>
        </w:rPr>
        <w:t> </w:t>
      </w:r>
      <w:r>
        <w:rPr>
          <w:color w:val="231F20"/>
          <w:w w:val="105"/>
        </w:rPr>
        <w:t>re-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sulta bajo cuando se compara con Tejupilco ubicado en la misma región donde el promedio fue de $43,746 pesos (PNUD, 2004).</w:t>
      </w:r>
    </w:p>
    <w:p>
      <w:pPr>
        <w:pStyle w:val="BodyText"/>
        <w:spacing w:before="1"/>
        <w:rPr>
          <w:sz w:val="26"/>
        </w:rPr>
      </w:pPr>
    </w:p>
    <w:p>
      <w:pPr>
        <w:pStyle w:val="BodyText"/>
        <w:spacing w:line="285" w:lineRule="auto"/>
        <w:ind w:left="110" w:right="109"/>
        <w:jc w:val="both"/>
      </w:pPr>
      <w:r>
        <w:rPr>
          <w:color w:val="231F20"/>
          <w:w w:val="105"/>
        </w:rPr>
        <w:t>Se</w:t>
      </w:r>
      <w:r>
        <w:rPr>
          <w:color w:val="231F20"/>
          <w:spacing w:val="-8"/>
          <w:w w:val="105"/>
        </w:rPr>
        <w:t> </w:t>
      </w:r>
      <w:r>
        <w:rPr>
          <w:color w:val="231F20"/>
          <w:w w:val="105"/>
        </w:rPr>
        <w:t>encuentra</w:t>
      </w:r>
      <w:r>
        <w:rPr>
          <w:color w:val="231F20"/>
          <w:spacing w:val="-8"/>
          <w:w w:val="105"/>
        </w:rPr>
        <w:t> </w:t>
      </w:r>
      <w:r>
        <w:rPr>
          <w:color w:val="231F20"/>
          <w:w w:val="105"/>
        </w:rPr>
        <w:t>entonces</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52.25%</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sobrevivió</w:t>
      </w:r>
      <w:r>
        <w:rPr>
          <w:color w:val="231F20"/>
          <w:spacing w:val="-8"/>
          <w:w w:val="105"/>
        </w:rPr>
        <w:t> </w:t>
      </w:r>
      <w:r>
        <w:rPr>
          <w:color w:val="231F20"/>
          <w:w w:val="105"/>
        </w:rPr>
        <w:t>hasta</w:t>
      </w:r>
      <w:r>
        <w:rPr>
          <w:color w:val="231F20"/>
          <w:spacing w:val="-8"/>
          <w:w w:val="105"/>
        </w:rPr>
        <w:t> </w:t>
      </w:r>
      <w:r>
        <w:rPr>
          <w:color w:val="231F20"/>
          <w:w w:val="105"/>
        </w:rPr>
        <w:t>con</w:t>
      </w:r>
      <w:r>
        <w:rPr>
          <w:color w:val="231F20"/>
          <w:spacing w:val="-8"/>
          <w:w w:val="105"/>
        </w:rPr>
        <w:t> </w:t>
      </w:r>
      <w:r>
        <w:rPr>
          <w:color w:val="231F20"/>
          <w:w w:val="105"/>
        </w:rPr>
        <w:t>dos</w:t>
      </w:r>
      <w:r>
        <w:rPr>
          <w:color w:val="231F20"/>
          <w:spacing w:val="-8"/>
          <w:w w:val="105"/>
        </w:rPr>
        <w:t> </w:t>
      </w:r>
      <w:r>
        <w:rPr>
          <w:color w:val="231F20"/>
          <w:w w:val="105"/>
        </w:rPr>
        <w:t>salarios mínimos</w:t>
      </w:r>
      <w:r>
        <w:rPr>
          <w:color w:val="231F20"/>
          <w:spacing w:val="-21"/>
          <w:w w:val="105"/>
        </w:rPr>
        <w:t> </w:t>
      </w:r>
      <w:r>
        <w:rPr>
          <w:color w:val="231F20"/>
          <w:w w:val="105"/>
        </w:rPr>
        <w:t>diarios,</w:t>
      </w:r>
      <w:r>
        <w:rPr>
          <w:color w:val="231F20"/>
          <w:spacing w:val="-21"/>
          <w:w w:val="105"/>
        </w:rPr>
        <w:t> </w:t>
      </w:r>
      <w:r>
        <w:rPr>
          <w:color w:val="231F20"/>
          <w:w w:val="105"/>
        </w:rPr>
        <w:t>tasa</w:t>
      </w:r>
      <w:r>
        <w:rPr>
          <w:color w:val="231F20"/>
          <w:spacing w:val="-21"/>
          <w:w w:val="105"/>
        </w:rPr>
        <w:t> </w:t>
      </w:r>
      <w:r>
        <w:rPr>
          <w:color w:val="231F20"/>
          <w:w w:val="105"/>
        </w:rPr>
        <w:t>alta</w:t>
      </w:r>
      <w:r>
        <w:rPr>
          <w:color w:val="231F20"/>
          <w:spacing w:val="-21"/>
          <w:w w:val="105"/>
        </w:rPr>
        <w:t> </w:t>
      </w:r>
      <w:r>
        <w:rPr>
          <w:color w:val="231F20"/>
          <w:w w:val="105"/>
        </w:rPr>
        <w:t>en</w:t>
      </w:r>
      <w:r>
        <w:rPr>
          <w:color w:val="231F20"/>
          <w:spacing w:val="-21"/>
          <w:w w:val="105"/>
        </w:rPr>
        <w:t> </w:t>
      </w:r>
      <w:r>
        <w:rPr>
          <w:color w:val="231F20"/>
          <w:w w:val="105"/>
        </w:rPr>
        <w:t>relación</w:t>
      </w:r>
      <w:r>
        <w:rPr>
          <w:color w:val="231F20"/>
          <w:spacing w:val="-21"/>
          <w:w w:val="105"/>
        </w:rPr>
        <w:t> </w:t>
      </w:r>
      <w:r>
        <w:rPr>
          <w:color w:val="231F20"/>
          <w:w w:val="105"/>
        </w:rPr>
        <w:t>con</w:t>
      </w:r>
      <w:r>
        <w:rPr>
          <w:color w:val="231F20"/>
          <w:spacing w:val="-21"/>
          <w:w w:val="105"/>
        </w:rPr>
        <w:t> </w:t>
      </w:r>
      <w:r>
        <w:rPr>
          <w:color w:val="231F20"/>
          <w:spacing w:val="-5"/>
          <w:w w:val="105"/>
        </w:rPr>
        <w:t>Toluca,</w:t>
      </w:r>
      <w:r>
        <w:rPr>
          <w:color w:val="231F20"/>
          <w:spacing w:val="-21"/>
          <w:w w:val="105"/>
        </w:rPr>
        <w:t> </w:t>
      </w:r>
      <w:r>
        <w:rPr>
          <w:color w:val="231F20"/>
          <w:w w:val="105"/>
        </w:rPr>
        <w:t>en</w:t>
      </w:r>
      <w:r>
        <w:rPr>
          <w:color w:val="231F20"/>
          <w:spacing w:val="-21"/>
          <w:w w:val="105"/>
        </w:rPr>
        <w:t> </w:t>
      </w:r>
      <w:r>
        <w:rPr>
          <w:color w:val="231F20"/>
          <w:spacing w:val="-3"/>
          <w:w w:val="105"/>
        </w:rPr>
        <w:t>donde</w:t>
      </w:r>
      <w:r>
        <w:rPr>
          <w:color w:val="231F20"/>
          <w:spacing w:val="-21"/>
          <w:w w:val="105"/>
        </w:rPr>
        <w:t> </w:t>
      </w:r>
      <w:r>
        <w:rPr>
          <w:color w:val="231F20"/>
          <w:w w:val="105"/>
        </w:rPr>
        <w:t>sólo</w:t>
      </w:r>
      <w:r>
        <w:rPr>
          <w:color w:val="231F20"/>
          <w:spacing w:val="-21"/>
          <w:w w:val="105"/>
        </w:rPr>
        <w:t> </w:t>
      </w:r>
      <w:r>
        <w:rPr>
          <w:color w:val="231F20"/>
          <w:w w:val="105"/>
        </w:rPr>
        <w:t>el</w:t>
      </w:r>
      <w:r>
        <w:rPr>
          <w:color w:val="231F20"/>
          <w:spacing w:val="-21"/>
          <w:w w:val="105"/>
        </w:rPr>
        <w:t> </w:t>
      </w:r>
      <w:r>
        <w:rPr>
          <w:color w:val="231F20"/>
          <w:w w:val="105"/>
        </w:rPr>
        <w:t>12.54%</w:t>
      </w:r>
      <w:r>
        <w:rPr>
          <w:color w:val="231F20"/>
          <w:spacing w:val="-21"/>
          <w:w w:val="105"/>
        </w:rPr>
        <w:t> </w:t>
      </w:r>
      <w:r>
        <w:rPr>
          <w:color w:val="231F20"/>
          <w:w w:val="105"/>
        </w:rPr>
        <w:t>se</w:t>
      </w:r>
      <w:r>
        <w:rPr>
          <w:color w:val="231F20"/>
          <w:spacing w:val="-21"/>
          <w:w w:val="105"/>
        </w:rPr>
        <w:t> </w:t>
      </w:r>
      <w:r>
        <w:rPr>
          <w:color w:val="231F20"/>
          <w:w w:val="105"/>
        </w:rPr>
        <w:t>encontraba en</w:t>
      </w:r>
      <w:r>
        <w:rPr>
          <w:color w:val="231F20"/>
          <w:spacing w:val="-6"/>
          <w:w w:val="105"/>
        </w:rPr>
        <w:t> </w:t>
      </w:r>
      <w:r>
        <w:rPr>
          <w:color w:val="231F20"/>
          <w:w w:val="105"/>
        </w:rPr>
        <w:t>la</w:t>
      </w:r>
      <w:r>
        <w:rPr>
          <w:color w:val="231F20"/>
          <w:spacing w:val="-6"/>
          <w:w w:val="105"/>
        </w:rPr>
        <w:t> </w:t>
      </w:r>
      <w:r>
        <w:rPr>
          <w:color w:val="231F20"/>
          <w:w w:val="105"/>
        </w:rPr>
        <w:t>misma</w:t>
      </w:r>
      <w:r>
        <w:rPr>
          <w:color w:val="231F20"/>
          <w:spacing w:val="-6"/>
          <w:w w:val="105"/>
        </w:rPr>
        <w:t> </w:t>
      </w:r>
      <w:r>
        <w:rPr>
          <w:color w:val="231F20"/>
          <w:w w:val="105"/>
        </w:rPr>
        <w:t>condición,</w:t>
      </w:r>
      <w:r>
        <w:rPr>
          <w:color w:val="231F20"/>
          <w:spacing w:val="-6"/>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resulta</w:t>
      </w:r>
      <w:r>
        <w:rPr>
          <w:color w:val="231F20"/>
          <w:spacing w:val="-6"/>
          <w:w w:val="105"/>
        </w:rPr>
        <w:t> </w:t>
      </w:r>
      <w:r>
        <w:rPr>
          <w:color w:val="231F20"/>
          <w:w w:val="105"/>
        </w:rPr>
        <w:t>baja</w:t>
      </w:r>
      <w:r>
        <w:rPr>
          <w:color w:val="231F20"/>
          <w:spacing w:val="-6"/>
          <w:w w:val="105"/>
        </w:rPr>
        <w:t> </w:t>
      </w:r>
      <w:r>
        <w:rPr>
          <w:color w:val="231F20"/>
          <w:w w:val="105"/>
        </w:rPr>
        <w:t>cuando</w:t>
      </w:r>
      <w:r>
        <w:rPr>
          <w:color w:val="231F20"/>
          <w:spacing w:val="-6"/>
          <w:w w:val="105"/>
        </w:rPr>
        <w:t> </w:t>
      </w:r>
      <w:r>
        <w:rPr>
          <w:color w:val="231F20"/>
          <w:w w:val="105"/>
        </w:rPr>
        <w:t>se</w:t>
      </w:r>
      <w:r>
        <w:rPr>
          <w:color w:val="231F20"/>
          <w:spacing w:val="-6"/>
          <w:w w:val="105"/>
        </w:rPr>
        <w:t> </w:t>
      </w:r>
      <w:r>
        <w:rPr>
          <w:color w:val="231F20"/>
          <w:w w:val="105"/>
        </w:rPr>
        <w:t>compara</w:t>
      </w:r>
      <w:r>
        <w:rPr>
          <w:color w:val="231F20"/>
          <w:spacing w:val="-6"/>
          <w:w w:val="105"/>
        </w:rPr>
        <w:t> </w:t>
      </w:r>
      <w:r>
        <w:rPr>
          <w:color w:val="231F20"/>
          <w:w w:val="105"/>
        </w:rPr>
        <w:t>con</w:t>
      </w:r>
      <w:r>
        <w:rPr>
          <w:color w:val="231F20"/>
          <w:spacing w:val="-6"/>
          <w:w w:val="105"/>
        </w:rPr>
        <w:t> </w:t>
      </w:r>
      <w:r>
        <w:rPr>
          <w:color w:val="231F20"/>
          <w:spacing w:val="-4"/>
          <w:w w:val="105"/>
        </w:rPr>
        <w:t>Tejupilco,</w:t>
      </w:r>
      <w:r>
        <w:rPr>
          <w:color w:val="231F20"/>
          <w:spacing w:val="-6"/>
          <w:w w:val="105"/>
        </w:rPr>
        <w:t> </w:t>
      </w:r>
      <w:r>
        <w:rPr>
          <w:color w:val="231F20"/>
          <w:w w:val="105"/>
        </w:rPr>
        <w:t>en </w:t>
      </w:r>
      <w:r>
        <w:rPr>
          <w:color w:val="231F20"/>
          <w:spacing w:val="-3"/>
          <w:w w:val="105"/>
        </w:rPr>
        <w:t>donde</w:t>
      </w:r>
      <w:r>
        <w:rPr>
          <w:color w:val="231F20"/>
          <w:spacing w:val="-23"/>
          <w:w w:val="105"/>
        </w:rPr>
        <w:t> </w:t>
      </w:r>
      <w:r>
        <w:rPr>
          <w:color w:val="231F20"/>
          <w:w w:val="105"/>
        </w:rPr>
        <w:t>la</w:t>
      </w:r>
      <w:r>
        <w:rPr>
          <w:color w:val="231F20"/>
          <w:spacing w:val="-23"/>
          <w:w w:val="105"/>
        </w:rPr>
        <w:t> </w:t>
      </w:r>
      <w:r>
        <w:rPr>
          <w:color w:val="231F20"/>
          <w:w w:val="105"/>
        </w:rPr>
        <w:t>tasa</w:t>
      </w:r>
      <w:r>
        <w:rPr>
          <w:color w:val="231F20"/>
          <w:spacing w:val="-23"/>
          <w:w w:val="105"/>
        </w:rPr>
        <w:t> </w:t>
      </w:r>
      <w:r>
        <w:rPr>
          <w:color w:val="231F20"/>
          <w:w w:val="105"/>
        </w:rPr>
        <w:t>fue</w:t>
      </w:r>
      <w:r>
        <w:rPr>
          <w:color w:val="231F20"/>
          <w:spacing w:val="-23"/>
          <w:w w:val="105"/>
        </w:rPr>
        <w:t> </w:t>
      </w:r>
      <w:r>
        <w:rPr>
          <w:color w:val="231F20"/>
          <w:w w:val="105"/>
        </w:rPr>
        <w:t>de</w:t>
      </w:r>
      <w:r>
        <w:rPr>
          <w:color w:val="231F20"/>
          <w:spacing w:val="-23"/>
          <w:w w:val="105"/>
        </w:rPr>
        <w:t> </w:t>
      </w:r>
      <w:r>
        <w:rPr>
          <w:color w:val="231F20"/>
          <w:w w:val="105"/>
        </w:rPr>
        <w:t>64.76%.</w:t>
      </w:r>
    </w:p>
    <w:p>
      <w:pPr>
        <w:pStyle w:val="BodyText"/>
        <w:spacing w:before="1"/>
        <w:rPr>
          <w:sz w:val="26"/>
        </w:rPr>
      </w:pPr>
    </w:p>
    <w:p>
      <w:pPr>
        <w:pStyle w:val="BodyText"/>
        <w:spacing w:line="285" w:lineRule="auto"/>
        <w:ind w:left="110" w:right="108"/>
        <w:jc w:val="both"/>
      </w:pPr>
      <w:r>
        <w:rPr>
          <w:color w:val="231F20"/>
          <w:w w:val="105"/>
        </w:rPr>
        <w:t>Generalizando,</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spacing w:val="-3"/>
          <w:w w:val="105"/>
        </w:rPr>
        <w:t>llegada</w:t>
      </w:r>
      <w:r>
        <w:rPr>
          <w:color w:val="231F20"/>
          <w:spacing w:val="-23"/>
          <w:w w:val="105"/>
        </w:rPr>
        <w:t> </w:t>
      </w:r>
      <w:r>
        <w:rPr>
          <w:color w:val="231F20"/>
          <w:spacing w:val="-3"/>
          <w:w w:val="105"/>
        </w:rPr>
        <w:t>del</w:t>
      </w:r>
      <w:r>
        <w:rPr>
          <w:color w:val="231F20"/>
          <w:spacing w:val="-23"/>
          <w:w w:val="105"/>
        </w:rPr>
        <w:t> </w:t>
      </w:r>
      <w:r>
        <w:rPr>
          <w:color w:val="231F20"/>
          <w:spacing w:val="-4"/>
          <w:w w:val="105"/>
        </w:rPr>
        <w:t>gobierno</w:t>
      </w:r>
      <w:r>
        <w:rPr>
          <w:color w:val="231F20"/>
          <w:spacing w:val="-23"/>
          <w:w w:val="105"/>
        </w:rPr>
        <w:t> </w:t>
      </w:r>
      <w:r>
        <w:rPr>
          <w:color w:val="231F20"/>
          <w:w w:val="105"/>
        </w:rPr>
        <w:t>2006-2009,</w:t>
      </w:r>
      <w:r>
        <w:rPr>
          <w:color w:val="231F20"/>
          <w:spacing w:val="-23"/>
          <w:w w:val="105"/>
        </w:rPr>
        <w:t> </w:t>
      </w:r>
      <w:r>
        <w:rPr>
          <w:color w:val="231F20"/>
          <w:w w:val="105"/>
        </w:rPr>
        <w:t>las</w:t>
      </w:r>
      <w:r>
        <w:rPr>
          <w:color w:val="231F20"/>
          <w:spacing w:val="-23"/>
          <w:w w:val="105"/>
        </w:rPr>
        <w:t> </w:t>
      </w:r>
      <w:r>
        <w:rPr>
          <w:color w:val="231F20"/>
          <w:spacing w:val="-4"/>
          <w:w w:val="105"/>
        </w:rPr>
        <w:t>condiciones</w:t>
      </w:r>
      <w:r>
        <w:rPr>
          <w:color w:val="231F20"/>
          <w:spacing w:val="-23"/>
          <w:w w:val="105"/>
        </w:rPr>
        <w:t> </w:t>
      </w:r>
      <w:r>
        <w:rPr>
          <w:color w:val="231F20"/>
          <w:spacing w:val="-3"/>
          <w:w w:val="105"/>
        </w:rPr>
        <w:t>socioeconómicas</w:t>
      </w:r>
      <w:r>
        <w:rPr>
          <w:color w:val="231F20"/>
          <w:spacing w:val="-23"/>
          <w:w w:val="105"/>
        </w:rPr>
        <w:t> </w:t>
      </w:r>
      <w:r>
        <w:rPr>
          <w:color w:val="231F20"/>
          <w:spacing w:val="-3"/>
          <w:w w:val="105"/>
        </w:rPr>
        <w:t>del municipio </w:t>
      </w:r>
      <w:r>
        <w:rPr>
          <w:color w:val="231F20"/>
          <w:w w:val="105"/>
        </w:rPr>
        <w:t>reflejaban una fuerte </w:t>
      </w:r>
      <w:r>
        <w:rPr>
          <w:color w:val="231F20"/>
          <w:spacing w:val="-3"/>
          <w:w w:val="105"/>
        </w:rPr>
        <w:t>polarización económica </w:t>
      </w:r>
      <w:r>
        <w:rPr>
          <w:color w:val="231F20"/>
          <w:w w:val="105"/>
        </w:rPr>
        <w:t>en la </w:t>
      </w:r>
      <w:r>
        <w:rPr>
          <w:color w:val="231F20"/>
          <w:spacing w:val="-3"/>
          <w:w w:val="105"/>
        </w:rPr>
        <w:t>sociedad pues </w:t>
      </w:r>
      <w:r>
        <w:rPr>
          <w:color w:val="231F20"/>
          <w:w w:val="105"/>
        </w:rPr>
        <w:t>a pesar de </w:t>
      </w:r>
      <w:r>
        <w:rPr>
          <w:color w:val="231F20"/>
          <w:spacing w:val="-3"/>
          <w:w w:val="105"/>
        </w:rPr>
        <w:t>que </w:t>
      </w:r>
      <w:r>
        <w:rPr>
          <w:color w:val="231F20"/>
          <w:w w:val="105"/>
        </w:rPr>
        <w:t>el </w:t>
      </w:r>
      <w:r>
        <w:rPr>
          <w:color w:val="231F20"/>
          <w:spacing w:val="-3"/>
          <w:w w:val="105"/>
        </w:rPr>
        <w:t>municipio desde </w:t>
      </w:r>
      <w:r>
        <w:rPr>
          <w:color w:val="231F20"/>
          <w:w w:val="105"/>
        </w:rPr>
        <w:t>2001 ha </w:t>
      </w:r>
      <w:r>
        <w:rPr>
          <w:color w:val="231F20"/>
          <w:spacing w:val="-4"/>
          <w:w w:val="105"/>
        </w:rPr>
        <w:t>sido </w:t>
      </w:r>
      <w:r>
        <w:rPr>
          <w:color w:val="231F20"/>
          <w:w w:val="105"/>
        </w:rPr>
        <w:t>impulsado </w:t>
      </w:r>
      <w:r>
        <w:rPr>
          <w:color w:val="231F20"/>
          <w:spacing w:val="-4"/>
          <w:w w:val="105"/>
        </w:rPr>
        <w:t>como </w:t>
      </w:r>
      <w:r>
        <w:rPr>
          <w:color w:val="231F20"/>
          <w:spacing w:val="-3"/>
          <w:w w:val="105"/>
        </w:rPr>
        <w:t>centro </w:t>
      </w:r>
      <w:r>
        <w:rPr>
          <w:color w:val="231F20"/>
          <w:w w:val="105"/>
        </w:rPr>
        <w:t>turístico de </w:t>
      </w:r>
      <w:r>
        <w:rPr>
          <w:color w:val="231F20"/>
          <w:spacing w:val="-3"/>
          <w:w w:val="105"/>
        </w:rPr>
        <w:t>relevancia </w:t>
      </w:r>
      <w:r>
        <w:rPr>
          <w:color w:val="231F20"/>
          <w:w w:val="105"/>
        </w:rPr>
        <w:t>es- tatal,</w:t>
      </w:r>
      <w:r>
        <w:rPr>
          <w:color w:val="231F20"/>
          <w:spacing w:val="-9"/>
          <w:w w:val="105"/>
        </w:rPr>
        <w:t> </w:t>
      </w:r>
      <w:r>
        <w:rPr>
          <w:color w:val="231F20"/>
          <w:w w:val="105"/>
        </w:rPr>
        <w:t>las</w:t>
      </w:r>
      <w:r>
        <w:rPr>
          <w:color w:val="231F20"/>
          <w:spacing w:val="-9"/>
          <w:w w:val="105"/>
        </w:rPr>
        <w:t> </w:t>
      </w:r>
      <w:r>
        <w:rPr>
          <w:color w:val="231F20"/>
          <w:w w:val="105"/>
        </w:rPr>
        <w:t>carencias</w:t>
      </w:r>
      <w:r>
        <w:rPr>
          <w:color w:val="231F20"/>
          <w:spacing w:val="-9"/>
          <w:w w:val="105"/>
        </w:rPr>
        <w:t> </w:t>
      </w:r>
      <w:r>
        <w:rPr>
          <w:color w:val="231F20"/>
          <w:w w:val="105"/>
        </w:rPr>
        <w:t>sociales</w:t>
      </w:r>
      <w:r>
        <w:rPr>
          <w:color w:val="231F20"/>
          <w:spacing w:val="-9"/>
          <w:w w:val="105"/>
        </w:rPr>
        <w:t> </w:t>
      </w:r>
      <w:r>
        <w:rPr>
          <w:color w:val="231F20"/>
          <w:w w:val="105"/>
        </w:rPr>
        <w:t>están</w:t>
      </w:r>
      <w:r>
        <w:rPr>
          <w:color w:val="231F20"/>
          <w:spacing w:val="-9"/>
          <w:w w:val="105"/>
        </w:rPr>
        <w:t> </w:t>
      </w:r>
      <w:r>
        <w:rPr>
          <w:color w:val="231F20"/>
          <w:spacing w:val="-4"/>
          <w:w w:val="105"/>
        </w:rPr>
        <w:t>presentes</w:t>
      </w:r>
      <w:r>
        <w:rPr>
          <w:color w:val="231F20"/>
          <w:spacing w:val="-9"/>
          <w:w w:val="105"/>
        </w:rPr>
        <w:t> </w:t>
      </w:r>
      <w:r>
        <w:rPr>
          <w:color w:val="231F20"/>
          <w:w w:val="105"/>
        </w:rPr>
        <w:t>en</w:t>
      </w:r>
      <w:r>
        <w:rPr>
          <w:color w:val="231F20"/>
          <w:spacing w:val="-9"/>
          <w:w w:val="105"/>
        </w:rPr>
        <w:t> </w:t>
      </w:r>
      <w:r>
        <w:rPr>
          <w:color w:val="231F20"/>
          <w:w w:val="105"/>
        </w:rPr>
        <w:t>materias</w:t>
      </w:r>
      <w:r>
        <w:rPr>
          <w:color w:val="231F20"/>
          <w:spacing w:val="-9"/>
          <w:w w:val="105"/>
        </w:rPr>
        <w:t> </w:t>
      </w:r>
      <w:r>
        <w:rPr>
          <w:color w:val="231F20"/>
          <w:w w:val="105"/>
        </w:rPr>
        <w:t>básicas</w:t>
      </w:r>
      <w:r>
        <w:rPr>
          <w:color w:val="231F20"/>
          <w:spacing w:val="-9"/>
          <w:w w:val="105"/>
        </w:rPr>
        <w:t> </w:t>
      </w:r>
      <w:r>
        <w:rPr>
          <w:color w:val="231F20"/>
          <w:spacing w:val="-4"/>
          <w:w w:val="105"/>
        </w:rPr>
        <w:t>como</w:t>
      </w:r>
      <w:r>
        <w:rPr>
          <w:color w:val="231F20"/>
          <w:spacing w:val="-9"/>
          <w:w w:val="105"/>
        </w:rPr>
        <w:t> </w:t>
      </w:r>
      <w:r>
        <w:rPr>
          <w:color w:val="231F20"/>
          <w:spacing w:val="-4"/>
          <w:w w:val="105"/>
        </w:rPr>
        <w:t>educación,</w:t>
      </w:r>
      <w:r>
        <w:rPr>
          <w:color w:val="231F20"/>
          <w:spacing w:val="-9"/>
          <w:w w:val="105"/>
        </w:rPr>
        <w:t> </w:t>
      </w:r>
      <w:r>
        <w:rPr>
          <w:color w:val="231F20"/>
          <w:w w:val="105"/>
        </w:rPr>
        <w:t>salud</w:t>
      </w:r>
      <w:r>
        <w:rPr>
          <w:color w:val="231F20"/>
          <w:spacing w:val="-9"/>
          <w:w w:val="105"/>
        </w:rPr>
        <w:t> </w:t>
      </w:r>
      <w:r>
        <w:rPr>
          <w:color w:val="231F20"/>
          <w:w w:val="105"/>
        </w:rPr>
        <w:t>y vivienda.</w:t>
      </w:r>
      <w:r>
        <w:rPr>
          <w:color w:val="231F20"/>
          <w:spacing w:val="-19"/>
          <w:w w:val="105"/>
        </w:rPr>
        <w:t> </w:t>
      </w:r>
      <w:r>
        <w:rPr>
          <w:color w:val="231F20"/>
          <w:spacing w:val="-3"/>
          <w:w w:val="105"/>
        </w:rPr>
        <w:t>Situación</w:t>
      </w:r>
      <w:r>
        <w:rPr>
          <w:color w:val="231F20"/>
          <w:spacing w:val="-19"/>
          <w:w w:val="105"/>
        </w:rPr>
        <w:t> </w:t>
      </w:r>
      <w:r>
        <w:rPr>
          <w:color w:val="231F20"/>
          <w:spacing w:val="-3"/>
          <w:w w:val="105"/>
        </w:rPr>
        <w:t>que</w:t>
      </w:r>
      <w:r>
        <w:rPr>
          <w:color w:val="231F20"/>
          <w:spacing w:val="-19"/>
          <w:w w:val="105"/>
        </w:rPr>
        <w:t> </w:t>
      </w:r>
      <w:r>
        <w:rPr>
          <w:color w:val="231F20"/>
          <w:w w:val="105"/>
        </w:rPr>
        <w:t>parece</w:t>
      </w:r>
      <w:r>
        <w:rPr>
          <w:color w:val="231F20"/>
          <w:spacing w:val="-19"/>
          <w:w w:val="105"/>
        </w:rPr>
        <w:t> </w:t>
      </w:r>
      <w:r>
        <w:rPr>
          <w:color w:val="231F20"/>
          <w:spacing w:val="-3"/>
          <w:w w:val="105"/>
        </w:rPr>
        <w:t>no</w:t>
      </w:r>
      <w:r>
        <w:rPr>
          <w:color w:val="231F20"/>
          <w:spacing w:val="-19"/>
          <w:w w:val="105"/>
        </w:rPr>
        <w:t> </w:t>
      </w:r>
      <w:r>
        <w:rPr>
          <w:color w:val="231F20"/>
          <w:spacing w:val="-3"/>
          <w:w w:val="105"/>
        </w:rPr>
        <w:t>haber</w:t>
      </w:r>
      <w:r>
        <w:rPr>
          <w:color w:val="231F20"/>
          <w:spacing w:val="-19"/>
          <w:w w:val="105"/>
        </w:rPr>
        <w:t> </w:t>
      </w:r>
      <w:r>
        <w:rPr>
          <w:color w:val="231F20"/>
          <w:spacing w:val="-4"/>
          <w:w w:val="105"/>
        </w:rPr>
        <w:t>sido</w:t>
      </w:r>
      <w:r>
        <w:rPr>
          <w:color w:val="231F20"/>
          <w:spacing w:val="-19"/>
          <w:w w:val="105"/>
        </w:rPr>
        <w:t> </w:t>
      </w:r>
      <w:r>
        <w:rPr>
          <w:color w:val="231F20"/>
          <w:spacing w:val="-3"/>
          <w:w w:val="105"/>
        </w:rPr>
        <w:t>atendida</w:t>
      </w:r>
      <w:r>
        <w:rPr>
          <w:color w:val="231F20"/>
          <w:spacing w:val="-19"/>
          <w:w w:val="105"/>
        </w:rPr>
        <w:t> </w:t>
      </w:r>
      <w:r>
        <w:rPr>
          <w:color w:val="231F20"/>
          <w:spacing w:val="-3"/>
          <w:w w:val="105"/>
        </w:rPr>
        <w:t>por</w:t>
      </w:r>
      <w:r>
        <w:rPr>
          <w:color w:val="231F20"/>
          <w:spacing w:val="-19"/>
          <w:w w:val="105"/>
        </w:rPr>
        <w:t> </w:t>
      </w:r>
      <w:r>
        <w:rPr>
          <w:color w:val="231F20"/>
          <w:w w:val="105"/>
        </w:rPr>
        <w:t>las</w:t>
      </w:r>
      <w:r>
        <w:rPr>
          <w:color w:val="231F20"/>
          <w:spacing w:val="-19"/>
          <w:w w:val="105"/>
        </w:rPr>
        <w:t> </w:t>
      </w:r>
      <w:r>
        <w:rPr>
          <w:color w:val="231F20"/>
          <w:spacing w:val="-3"/>
          <w:w w:val="105"/>
        </w:rPr>
        <w:t>anteriores</w:t>
      </w:r>
      <w:r>
        <w:rPr>
          <w:color w:val="231F20"/>
          <w:spacing w:val="-19"/>
          <w:w w:val="105"/>
        </w:rPr>
        <w:t> </w:t>
      </w:r>
      <w:r>
        <w:rPr>
          <w:color w:val="231F20"/>
          <w:w w:val="105"/>
        </w:rPr>
        <w:t>administraciones priistas,</w:t>
      </w:r>
      <w:r>
        <w:rPr>
          <w:color w:val="231F20"/>
          <w:spacing w:val="-15"/>
          <w:w w:val="105"/>
        </w:rPr>
        <w:t> </w:t>
      </w:r>
      <w:r>
        <w:rPr>
          <w:color w:val="231F20"/>
          <w:w w:val="105"/>
        </w:rPr>
        <w:t>e</w:t>
      </w:r>
      <w:r>
        <w:rPr>
          <w:color w:val="231F20"/>
          <w:spacing w:val="-15"/>
          <w:w w:val="105"/>
        </w:rPr>
        <w:t> </w:t>
      </w:r>
      <w:r>
        <w:rPr>
          <w:color w:val="231F20"/>
          <w:spacing w:val="-3"/>
          <w:w w:val="105"/>
        </w:rPr>
        <w:t>inclusive</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actual</w:t>
      </w:r>
      <w:r>
        <w:rPr>
          <w:color w:val="231F20"/>
          <w:spacing w:val="-15"/>
          <w:w w:val="105"/>
        </w:rPr>
        <w:t> </w:t>
      </w:r>
      <w:r>
        <w:rPr>
          <w:color w:val="231F20"/>
          <w:spacing w:val="-4"/>
          <w:w w:val="105"/>
        </w:rPr>
        <w:t>gobierno</w:t>
      </w:r>
      <w:r>
        <w:rPr>
          <w:color w:val="231F20"/>
          <w:spacing w:val="-15"/>
          <w:w w:val="105"/>
        </w:rPr>
        <w:t> </w:t>
      </w:r>
      <w:r>
        <w:rPr>
          <w:color w:val="231F20"/>
          <w:spacing w:val="-3"/>
          <w:w w:val="105"/>
        </w:rPr>
        <w:t>también</w:t>
      </w:r>
      <w:r>
        <w:rPr>
          <w:color w:val="231F20"/>
          <w:spacing w:val="-15"/>
          <w:w w:val="105"/>
        </w:rPr>
        <w:t> </w:t>
      </w:r>
      <w:r>
        <w:rPr>
          <w:color w:val="231F20"/>
          <w:w w:val="105"/>
        </w:rPr>
        <w:t>parece</w:t>
      </w:r>
      <w:r>
        <w:rPr>
          <w:color w:val="231F20"/>
          <w:spacing w:val="-15"/>
          <w:w w:val="105"/>
        </w:rPr>
        <w:t> </w:t>
      </w:r>
      <w:r>
        <w:rPr>
          <w:color w:val="231F20"/>
          <w:spacing w:val="-3"/>
          <w:w w:val="105"/>
        </w:rPr>
        <w:t>haber</w:t>
      </w:r>
      <w:r>
        <w:rPr>
          <w:color w:val="231F20"/>
          <w:spacing w:val="-15"/>
          <w:w w:val="105"/>
        </w:rPr>
        <w:t> </w:t>
      </w:r>
      <w:r>
        <w:rPr>
          <w:color w:val="231F20"/>
          <w:spacing w:val="-3"/>
          <w:w w:val="105"/>
        </w:rPr>
        <w:t>pasado</w:t>
      </w:r>
      <w:r>
        <w:rPr>
          <w:color w:val="231F20"/>
          <w:spacing w:val="-15"/>
          <w:w w:val="105"/>
        </w:rPr>
        <w:t> </w:t>
      </w:r>
      <w:r>
        <w:rPr>
          <w:color w:val="231F20"/>
          <w:spacing w:val="-3"/>
          <w:w w:val="105"/>
        </w:rPr>
        <w:t>inadvertida.</w:t>
      </w:r>
    </w:p>
    <w:p>
      <w:pPr>
        <w:pStyle w:val="BodyText"/>
        <w:spacing w:before="2"/>
        <w:rPr>
          <w:sz w:val="20"/>
        </w:rPr>
      </w:pPr>
    </w:p>
    <w:p>
      <w:pPr>
        <w:pStyle w:val="Heading4"/>
        <w:rPr>
          <w:i/>
        </w:rPr>
      </w:pPr>
      <w:r>
        <w:rPr>
          <w:i/>
          <w:color w:val="231F20"/>
        </w:rPr>
        <w:t>Elecciones</w:t>
      </w:r>
    </w:p>
    <w:p>
      <w:pPr>
        <w:pStyle w:val="BodyText"/>
        <w:spacing w:line="285" w:lineRule="auto" w:before="17"/>
        <w:ind w:left="110" w:right="108"/>
        <w:jc w:val="both"/>
      </w:pPr>
      <w:r>
        <w:rPr>
          <w:color w:val="231F20"/>
          <w:w w:val="105"/>
        </w:rPr>
        <w:t>En Ixtapan de la Sal las elecciones para ayuntamiento se encuentran reglamentadas por</w:t>
      </w:r>
      <w:r>
        <w:rPr>
          <w:color w:val="231F20"/>
          <w:spacing w:val="-13"/>
          <w:w w:val="105"/>
        </w:rPr>
        <w:t> </w:t>
      </w:r>
      <w:r>
        <w:rPr>
          <w:color w:val="231F20"/>
          <w:w w:val="105"/>
        </w:rPr>
        <w:t>la</w:t>
      </w:r>
      <w:r>
        <w:rPr>
          <w:color w:val="231F20"/>
          <w:spacing w:val="-13"/>
          <w:w w:val="105"/>
        </w:rPr>
        <w:t> </w:t>
      </w:r>
      <w:r>
        <w:rPr>
          <w:color w:val="231F20"/>
          <w:w w:val="105"/>
        </w:rPr>
        <w:t>Ley</w:t>
      </w:r>
      <w:r>
        <w:rPr>
          <w:color w:val="231F20"/>
          <w:spacing w:val="-13"/>
          <w:w w:val="105"/>
        </w:rPr>
        <w:t> </w:t>
      </w:r>
      <w:r>
        <w:rPr>
          <w:color w:val="231F20"/>
          <w:w w:val="105"/>
        </w:rPr>
        <w:t>Electoral</w:t>
      </w:r>
      <w:r>
        <w:rPr>
          <w:color w:val="231F20"/>
          <w:spacing w:val="-13"/>
          <w:w w:val="105"/>
        </w:rPr>
        <w:t> </w:t>
      </w:r>
      <w:r>
        <w:rPr>
          <w:color w:val="231F20"/>
          <w:w w:val="105"/>
        </w:rPr>
        <w:t>vigente</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últimos</w:t>
      </w:r>
      <w:r>
        <w:rPr>
          <w:color w:val="231F20"/>
          <w:spacing w:val="-13"/>
          <w:w w:val="105"/>
        </w:rPr>
        <w:t> </w:t>
      </w:r>
      <w:r>
        <w:rPr>
          <w:color w:val="231F20"/>
          <w:w w:val="105"/>
        </w:rPr>
        <w:t>diez</w:t>
      </w:r>
      <w:r>
        <w:rPr>
          <w:color w:val="231F20"/>
          <w:spacing w:val="-13"/>
          <w:w w:val="105"/>
        </w:rPr>
        <w:t> </w:t>
      </w:r>
      <w:r>
        <w:rPr>
          <w:color w:val="231F20"/>
          <w:w w:val="105"/>
        </w:rPr>
        <w:t>años</w:t>
      </w:r>
      <w:r>
        <w:rPr>
          <w:color w:val="231F20"/>
          <w:spacing w:val="-13"/>
          <w:w w:val="105"/>
        </w:rPr>
        <w:t> </w:t>
      </w:r>
      <w:r>
        <w:rPr>
          <w:color w:val="231F20"/>
          <w:w w:val="105"/>
        </w:rPr>
        <w:t>se</w:t>
      </w:r>
      <w:r>
        <w:rPr>
          <w:color w:val="231F20"/>
          <w:spacing w:val="-13"/>
          <w:w w:val="105"/>
        </w:rPr>
        <w:t> </w:t>
      </w:r>
      <w:r>
        <w:rPr>
          <w:color w:val="231F20"/>
          <w:w w:val="105"/>
        </w:rPr>
        <w:t>pueden</w:t>
      </w:r>
      <w:r>
        <w:rPr>
          <w:color w:val="231F20"/>
          <w:spacing w:val="-13"/>
          <w:w w:val="105"/>
        </w:rPr>
        <w:t> </w:t>
      </w:r>
      <w:r>
        <w:rPr>
          <w:color w:val="231F20"/>
          <w:w w:val="105"/>
        </w:rPr>
        <w:t>caracterizar como</w:t>
      </w:r>
      <w:r>
        <w:rPr>
          <w:color w:val="231F20"/>
          <w:spacing w:val="-11"/>
          <w:w w:val="105"/>
        </w:rPr>
        <w:t> </w:t>
      </w:r>
      <w:r>
        <w:rPr>
          <w:color w:val="231F20"/>
          <w:w w:val="105"/>
        </w:rPr>
        <w:t>propias</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sistema</w:t>
      </w:r>
      <w:r>
        <w:rPr>
          <w:color w:val="231F20"/>
          <w:spacing w:val="-11"/>
          <w:w w:val="105"/>
        </w:rPr>
        <w:t> </w:t>
      </w:r>
      <w:r>
        <w:rPr>
          <w:color w:val="231F20"/>
          <w:w w:val="105"/>
        </w:rPr>
        <w:t>bipartidista</w:t>
      </w:r>
      <w:r>
        <w:rPr>
          <w:color w:val="231F20"/>
          <w:spacing w:val="-11"/>
          <w:w w:val="105"/>
        </w:rPr>
        <w:t> </w:t>
      </w:r>
      <w:r>
        <w:rPr>
          <w:color w:val="231F20"/>
          <w:w w:val="105"/>
        </w:rPr>
        <w:t>con</w:t>
      </w:r>
      <w:r>
        <w:rPr>
          <w:color w:val="231F20"/>
          <w:spacing w:val="-11"/>
          <w:w w:val="105"/>
        </w:rPr>
        <w:t> </w:t>
      </w:r>
      <w:r>
        <w:rPr>
          <w:color w:val="231F20"/>
          <w:w w:val="105"/>
        </w:rPr>
        <w:t>niveles</w:t>
      </w:r>
      <w:r>
        <w:rPr>
          <w:color w:val="231F20"/>
          <w:spacing w:val="-11"/>
          <w:w w:val="105"/>
        </w:rPr>
        <w:t> </w:t>
      </w:r>
      <w:r>
        <w:rPr>
          <w:color w:val="231F20"/>
          <w:w w:val="105"/>
        </w:rPr>
        <w:t>de</w:t>
      </w:r>
      <w:r>
        <w:rPr>
          <w:color w:val="231F20"/>
          <w:spacing w:val="-11"/>
          <w:w w:val="105"/>
        </w:rPr>
        <w:t> </w:t>
      </w:r>
      <w:r>
        <w:rPr>
          <w:color w:val="231F20"/>
          <w:w w:val="105"/>
        </w:rPr>
        <w:t>competitividad</w:t>
      </w:r>
      <w:r>
        <w:rPr>
          <w:color w:val="231F20"/>
          <w:spacing w:val="-11"/>
          <w:w w:val="105"/>
        </w:rPr>
        <w:t> </w:t>
      </w:r>
      <w:r>
        <w:rPr>
          <w:color w:val="231F20"/>
          <w:w w:val="105"/>
        </w:rPr>
        <w:t>medio.</w:t>
      </w:r>
    </w:p>
    <w:p>
      <w:pPr>
        <w:pStyle w:val="BodyText"/>
        <w:spacing w:before="1"/>
        <w:rPr>
          <w:sz w:val="26"/>
        </w:rPr>
      </w:pPr>
    </w:p>
    <w:p>
      <w:pPr>
        <w:pStyle w:val="BodyText"/>
        <w:spacing w:line="285" w:lineRule="auto"/>
        <w:ind w:left="110" w:right="108"/>
        <w:jc w:val="both"/>
      </w:pPr>
      <w:r>
        <w:rPr>
          <w:color w:val="231F20"/>
          <w:w w:val="105"/>
        </w:rPr>
        <w:t>La</w:t>
      </w:r>
      <w:r>
        <w:rPr>
          <w:color w:val="231F20"/>
          <w:spacing w:val="-20"/>
          <w:w w:val="105"/>
        </w:rPr>
        <w:t> </w:t>
      </w:r>
      <w:r>
        <w:rPr>
          <w:color w:val="231F20"/>
          <w:w w:val="105"/>
        </w:rPr>
        <w:t>base</w:t>
      </w:r>
      <w:r>
        <w:rPr>
          <w:color w:val="231F20"/>
          <w:spacing w:val="-20"/>
          <w:w w:val="105"/>
        </w:rPr>
        <w:t> </w:t>
      </w:r>
      <w:r>
        <w:rPr>
          <w:color w:val="231F20"/>
          <w:w w:val="105"/>
        </w:rPr>
        <w:t>de</w:t>
      </w:r>
      <w:r>
        <w:rPr>
          <w:color w:val="231F20"/>
          <w:spacing w:val="-20"/>
          <w:w w:val="105"/>
        </w:rPr>
        <w:t> </w:t>
      </w:r>
      <w:r>
        <w:rPr>
          <w:color w:val="231F20"/>
          <w:w w:val="105"/>
        </w:rPr>
        <w:t>electores</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se</w:t>
      </w:r>
      <w:r>
        <w:rPr>
          <w:color w:val="231F20"/>
          <w:spacing w:val="-20"/>
          <w:w w:val="105"/>
        </w:rPr>
        <w:t> </w:t>
      </w:r>
      <w:r>
        <w:rPr>
          <w:color w:val="231F20"/>
          <w:w w:val="105"/>
        </w:rPr>
        <w:t>conforma</w:t>
      </w:r>
      <w:r>
        <w:rPr>
          <w:color w:val="231F20"/>
          <w:spacing w:val="-20"/>
          <w:w w:val="105"/>
        </w:rPr>
        <w:t> </w:t>
      </w:r>
      <w:r>
        <w:rPr>
          <w:color w:val="231F20"/>
          <w:w w:val="105"/>
        </w:rPr>
        <w:t>por</w:t>
      </w:r>
      <w:r>
        <w:rPr>
          <w:color w:val="231F20"/>
          <w:spacing w:val="-20"/>
          <w:w w:val="105"/>
        </w:rPr>
        <w:t> </w:t>
      </w:r>
      <w:r>
        <w:rPr>
          <w:color w:val="231F20"/>
          <w:spacing w:val="-3"/>
          <w:w w:val="105"/>
        </w:rPr>
        <w:t>18,851</w:t>
      </w:r>
      <w:r>
        <w:rPr>
          <w:color w:val="231F20"/>
          <w:spacing w:val="-20"/>
          <w:w w:val="105"/>
        </w:rPr>
        <w:t> </w:t>
      </w:r>
      <w:r>
        <w:rPr>
          <w:color w:val="231F20"/>
          <w:w w:val="105"/>
        </w:rPr>
        <w:t>votantes</w:t>
      </w:r>
      <w:r>
        <w:rPr>
          <w:color w:val="231F20"/>
          <w:spacing w:val="-20"/>
          <w:w w:val="105"/>
        </w:rPr>
        <w:t> </w:t>
      </w:r>
      <w:r>
        <w:rPr>
          <w:color w:val="231F20"/>
          <w:w w:val="105"/>
        </w:rPr>
        <w:t>(IEEM,</w:t>
      </w:r>
      <w:r>
        <w:rPr>
          <w:color w:val="231F20"/>
          <w:spacing w:val="-20"/>
          <w:w w:val="105"/>
        </w:rPr>
        <w:t> </w:t>
      </w:r>
      <w:r>
        <w:rPr>
          <w:color w:val="231F20"/>
          <w:w w:val="105"/>
        </w:rPr>
        <w:t>2006),</w:t>
      </w:r>
      <w:r>
        <w:rPr>
          <w:color w:val="231F20"/>
          <w:spacing w:val="-20"/>
          <w:w w:val="105"/>
        </w:rPr>
        <w:t> </w:t>
      </w:r>
      <w:r>
        <w:rPr>
          <w:color w:val="231F20"/>
          <w:w w:val="105"/>
        </w:rPr>
        <w:t>cuya tasa</w:t>
      </w:r>
      <w:r>
        <w:rPr>
          <w:color w:val="231F20"/>
          <w:spacing w:val="-16"/>
          <w:w w:val="105"/>
        </w:rPr>
        <w:t> </w:t>
      </w:r>
      <w:r>
        <w:rPr>
          <w:color w:val="231F20"/>
          <w:w w:val="105"/>
        </w:rPr>
        <w:t>de</w:t>
      </w:r>
      <w:r>
        <w:rPr>
          <w:color w:val="231F20"/>
          <w:spacing w:val="-16"/>
          <w:w w:val="105"/>
        </w:rPr>
        <w:t> </w:t>
      </w:r>
      <w:r>
        <w:rPr>
          <w:color w:val="231F20"/>
          <w:w w:val="105"/>
        </w:rPr>
        <w:t>participación</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elección</w:t>
      </w:r>
      <w:r>
        <w:rPr>
          <w:color w:val="231F20"/>
          <w:spacing w:val="-16"/>
          <w:w w:val="105"/>
        </w:rPr>
        <w:t> </w:t>
      </w:r>
      <w:r>
        <w:rPr>
          <w:color w:val="231F20"/>
          <w:w w:val="105"/>
        </w:rPr>
        <w:t>celebrada</w:t>
      </w:r>
      <w:r>
        <w:rPr>
          <w:color w:val="231F20"/>
          <w:spacing w:val="-16"/>
          <w:w w:val="105"/>
        </w:rPr>
        <w:t> </w:t>
      </w:r>
      <w:r>
        <w:rPr>
          <w:color w:val="231F20"/>
          <w:w w:val="105"/>
        </w:rPr>
        <w:t>en</w:t>
      </w:r>
      <w:r>
        <w:rPr>
          <w:color w:val="231F20"/>
          <w:spacing w:val="-16"/>
          <w:w w:val="105"/>
        </w:rPr>
        <w:t> </w:t>
      </w:r>
      <w:r>
        <w:rPr>
          <w:color w:val="231F20"/>
          <w:spacing w:val="3"/>
          <w:w w:val="105"/>
        </w:rPr>
        <w:t>2006</w:t>
      </w:r>
      <w:r>
        <w:rPr>
          <w:color w:val="231F20"/>
          <w:spacing w:val="-16"/>
          <w:w w:val="105"/>
        </w:rPr>
        <w:t> </w:t>
      </w:r>
      <w:r>
        <w:rPr>
          <w:color w:val="231F20"/>
          <w:w w:val="105"/>
        </w:rPr>
        <w:t>marcó</w:t>
      </w:r>
      <w:r>
        <w:rPr>
          <w:color w:val="231F20"/>
          <w:spacing w:val="-16"/>
          <w:w w:val="105"/>
        </w:rPr>
        <w:t> </w:t>
      </w:r>
      <w:r>
        <w:rPr>
          <w:color w:val="231F20"/>
          <w:w w:val="105"/>
        </w:rPr>
        <w:t>apenas</w:t>
      </w:r>
      <w:r>
        <w:rPr>
          <w:color w:val="231F20"/>
          <w:spacing w:val="-16"/>
          <w:w w:val="105"/>
        </w:rPr>
        <w:t> </w:t>
      </w:r>
      <w:r>
        <w:rPr>
          <w:color w:val="231F20"/>
          <w:w w:val="105"/>
        </w:rPr>
        <w:t>el</w:t>
      </w:r>
      <w:r>
        <w:rPr>
          <w:color w:val="231F20"/>
          <w:spacing w:val="-16"/>
          <w:w w:val="105"/>
        </w:rPr>
        <w:t> </w:t>
      </w:r>
      <w:r>
        <w:rPr>
          <w:color w:val="231F20"/>
          <w:w w:val="105"/>
        </w:rPr>
        <w:t>49%</w:t>
      </w:r>
      <w:r>
        <w:rPr>
          <w:color w:val="231F20"/>
          <w:spacing w:val="-16"/>
          <w:w w:val="105"/>
        </w:rPr>
        <w:t> </w:t>
      </w:r>
      <w:r>
        <w:rPr>
          <w:color w:val="231F20"/>
          <w:w w:val="105"/>
        </w:rPr>
        <w:t>de</w:t>
      </w:r>
      <w:r>
        <w:rPr>
          <w:color w:val="231F20"/>
          <w:spacing w:val="-16"/>
          <w:w w:val="105"/>
        </w:rPr>
        <w:t> </w:t>
      </w:r>
      <w:r>
        <w:rPr>
          <w:color w:val="231F20"/>
          <w:w w:val="105"/>
        </w:rPr>
        <w:t>ciudada- nos</w:t>
      </w:r>
      <w:r>
        <w:rPr>
          <w:color w:val="231F20"/>
          <w:spacing w:val="-21"/>
          <w:w w:val="105"/>
        </w:rPr>
        <w:t> </w:t>
      </w:r>
      <w:r>
        <w:rPr>
          <w:color w:val="231F20"/>
          <w:w w:val="105"/>
        </w:rPr>
        <w:t>que</w:t>
      </w:r>
      <w:r>
        <w:rPr>
          <w:color w:val="231F20"/>
          <w:spacing w:val="-21"/>
          <w:w w:val="105"/>
        </w:rPr>
        <w:t> </w:t>
      </w:r>
      <w:r>
        <w:rPr>
          <w:color w:val="231F20"/>
          <w:w w:val="105"/>
        </w:rPr>
        <w:t>acudieron</w:t>
      </w:r>
      <w:r>
        <w:rPr>
          <w:color w:val="231F20"/>
          <w:spacing w:val="-21"/>
          <w:w w:val="105"/>
        </w:rPr>
        <w:t> </w:t>
      </w:r>
      <w:r>
        <w:rPr>
          <w:color w:val="231F20"/>
          <w:w w:val="105"/>
        </w:rPr>
        <w:t>a</w:t>
      </w:r>
      <w:r>
        <w:rPr>
          <w:color w:val="231F20"/>
          <w:spacing w:val="-21"/>
          <w:w w:val="105"/>
        </w:rPr>
        <w:t> </w:t>
      </w:r>
      <w:r>
        <w:rPr>
          <w:color w:val="231F20"/>
          <w:spacing w:val="-2"/>
          <w:w w:val="105"/>
        </w:rPr>
        <w:t>votar,</w:t>
      </w:r>
      <w:r>
        <w:rPr>
          <w:color w:val="231F20"/>
          <w:spacing w:val="-21"/>
          <w:w w:val="105"/>
        </w:rPr>
        <w:t> </w:t>
      </w:r>
      <w:r>
        <w:rPr>
          <w:color w:val="231F20"/>
          <w:w w:val="105"/>
        </w:rPr>
        <w:t>el</w:t>
      </w:r>
      <w:r>
        <w:rPr>
          <w:color w:val="231F20"/>
          <w:spacing w:val="-21"/>
          <w:w w:val="105"/>
        </w:rPr>
        <w:t> </w:t>
      </w:r>
      <w:r>
        <w:rPr>
          <w:color w:val="231F20"/>
          <w:w w:val="105"/>
        </w:rPr>
        <w:t>porcentaje</w:t>
      </w:r>
      <w:r>
        <w:rPr>
          <w:color w:val="231F20"/>
          <w:spacing w:val="-21"/>
          <w:w w:val="105"/>
        </w:rPr>
        <w:t> </w:t>
      </w:r>
      <w:r>
        <w:rPr>
          <w:color w:val="231F20"/>
          <w:w w:val="105"/>
        </w:rPr>
        <w:t>más</w:t>
      </w:r>
      <w:r>
        <w:rPr>
          <w:color w:val="231F20"/>
          <w:spacing w:val="-21"/>
          <w:w w:val="105"/>
        </w:rPr>
        <w:t> </w:t>
      </w:r>
      <w:r>
        <w:rPr>
          <w:color w:val="231F20"/>
          <w:w w:val="105"/>
        </w:rPr>
        <w:t>bajo</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últimos</w:t>
      </w:r>
      <w:r>
        <w:rPr>
          <w:color w:val="231F20"/>
          <w:spacing w:val="-21"/>
          <w:w w:val="105"/>
        </w:rPr>
        <w:t> </w:t>
      </w:r>
      <w:r>
        <w:rPr>
          <w:color w:val="231F20"/>
          <w:w w:val="105"/>
        </w:rPr>
        <w:t>diez</w:t>
      </w:r>
      <w:r>
        <w:rPr>
          <w:color w:val="231F20"/>
          <w:spacing w:val="-21"/>
          <w:w w:val="105"/>
        </w:rPr>
        <w:t> </w:t>
      </w:r>
      <w:r>
        <w:rPr>
          <w:color w:val="231F20"/>
          <w:w w:val="105"/>
        </w:rPr>
        <w:t>años.</w:t>
      </w:r>
      <w:r>
        <w:rPr>
          <w:color w:val="231F20"/>
          <w:spacing w:val="-21"/>
          <w:w w:val="105"/>
        </w:rPr>
        <w:t> </w:t>
      </w:r>
      <w:r>
        <w:rPr>
          <w:color w:val="231F20"/>
          <w:w w:val="105"/>
        </w:rPr>
        <w:t>De</w:t>
      </w:r>
      <w:r>
        <w:rPr>
          <w:color w:val="231F20"/>
          <w:spacing w:val="-21"/>
          <w:w w:val="105"/>
        </w:rPr>
        <w:t> </w:t>
      </w:r>
      <w:r>
        <w:rPr>
          <w:color w:val="231F20"/>
          <w:w w:val="105"/>
        </w:rPr>
        <w:t>hecho</w:t>
      </w:r>
      <w:r>
        <w:rPr>
          <w:color w:val="231F20"/>
          <w:spacing w:val="-21"/>
          <w:w w:val="105"/>
        </w:rPr>
        <w:t> </w:t>
      </w:r>
      <w:r>
        <w:rPr>
          <w:color w:val="231F20"/>
          <w:w w:val="105"/>
        </w:rPr>
        <w:t>esta tendencia</w:t>
      </w:r>
      <w:r>
        <w:rPr>
          <w:color w:val="231F20"/>
          <w:spacing w:val="-13"/>
          <w:w w:val="105"/>
        </w:rPr>
        <w:t> </w:t>
      </w:r>
      <w:r>
        <w:rPr>
          <w:color w:val="231F20"/>
          <w:w w:val="105"/>
        </w:rPr>
        <w:t>de</w:t>
      </w:r>
      <w:r>
        <w:rPr>
          <w:color w:val="231F20"/>
          <w:spacing w:val="-13"/>
          <w:w w:val="105"/>
        </w:rPr>
        <w:t> </w:t>
      </w:r>
      <w:r>
        <w:rPr>
          <w:color w:val="231F20"/>
          <w:w w:val="105"/>
        </w:rPr>
        <w:t>disminución</w:t>
      </w:r>
      <w:r>
        <w:rPr>
          <w:color w:val="231F20"/>
          <w:spacing w:val="-13"/>
          <w:w w:val="105"/>
        </w:rPr>
        <w:t> </w:t>
      </w:r>
      <w:r>
        <w:rPr>
          <w:color w:val="231F20"/>
          <w:w w:val="105"/>
        </w:rPr>
        <w:t>ha</w:t>
      </w:r>
      <w:r>
        <w:rPr>
          <w:color w:val="231F20"/>
          <w:spacing w:val="-13"/>
          <w:w w:val="105"/>
        </w:rPr>
        <w:t> </w:t>
      </w:r>
      <w:r>
        <w:rPr>
          <w:color w:val="231F20"/>
          <w:w w:val="105"/>
        </w:rPr>
        <w:t>sido</w:t>
      </w:r>
      <w:r>
        <w:rPr>
          <w:color w:val="231F20"/>
          <w:spacing w:val="-13"/>
          <w:w w:val="105"/>
        </w:rPr>
        <w:t> </w:t>
      </w:r>
      <w:r>
        <w:rPr>
          <w:color w:val="231F20"/>
          <w:w w:val="105"/>
        </w:rPr>
        <w:t>constante</w:t>
      </w:r>
      <w:r>
        <w:rPr>
          <w:color w:val="231F20"/>
          <w:spacing w:val="-13"/>
          <w:w w:val="105"/>
        </w:rPr>
        <w:t> </w:t>
      </w:r>
      <w:r>
        <w:rPr>
          <w:color w:val="231F20"/>
          <w:w w:val="105"/>
        </w:rPr>
        <w:t>desde</w:t>
      </w:r>
      <w:r>
        <w:rPr>
          <w:color w:val="231F20"/>
          <w:spacing w:val="-13"/>
          <w:w w:val="105"/>
        </w:rPr>
        <w:t> </w:t>
      </w:r>
      <w:r>
        <w:rPr>
          <w:color w:val="231F20"/>
          <w:spacing w:val="4"/>
          <w:w w:val="105"/>
        </w:rPr>
        <w:t>2000</w:t>
      </w:r>
      <w:r>
        <w:rPr>
          <w:color w:val="231F20"/>
          <w:spacing w:val="-13"/>
          <w:w w:val="105"/>
        </w:rPr>
        <w:t> </w:t>
      </w:r>
      <w:r>
        <w:rPr>
          <w:color w:val="231F20"/>
          <w:spacing w:val="-5"/>
          <w:w w:val="105"/>
        </w:rPr>
        <w:t>(Ver</w:t>
      </w:r>
      <w:r>
        <w:rPr>
          <w:color w:val="231F20"/>
          <w:spacing w:val="-13"/>
          <w:w w:val="105"/>
        </w:rPr>
        <w:t> </w:t>
      </w:r>
      <w:r>
        <w:rPr>
          <w:color w:val="231F20"/>
          <w:w w:val="105"/>
        </w:rPr>
        <w:t>Gráfico</w:t>
      </w:r>
      <w:r>
        <w:rPr>
          <w:color w:val="231F20"/>
          <w:spacing w:val="-13"/>
          <w:w w:val="105"/>
        </w:rPr>
        <w:t> </w:t>
      </w:r>
      <w:r>
        <w:rPr>
          <w:color w:val="231F20"/>
          <w:spacing w:val="-5"/>
          <w:w w:val="105"/>
        </w:rPr>
        <w:t>4).</w:t>
      </w:r>
    </w:p>
    <w:p>
      <w:pPr>
        <w:spacing w:after="0" w:line="285" w:lineRule="auto"/>
        <w:jc w:val="both"/>
        <w:sectPr>
          <w:pgSz w:w="9640" w:h="12190"/>
          <w:pgMar w:header="0" w:footer="743" w:top="1120" w:bottom="940" w:left="740" w:right="740"/>
        </w:sectPr>
      </w:pPr>
    </w:p>
    <w:p>
      <w:pPr>
        <w:pStyle w:val="Heading5"/>
        <w:spacing w:before="27"/>
        <w:ind w:left="883"/>
      </w:pPr>
      <w:r>
        <w:rPr/>
        <w:pict>
          <v:group style="position:absolute;margin-left:129.015396pt;margin-top:30.529938pt;width:234.15pt;height:130.8pt;mso-position-horizontal-relative:page;mso-position-vertical-relative:paragraph;z-index:6616" coordorigin="2580,611" coordsize="4683,2616">
            <v:shape style="position:absolute;left:0;top:10822;width:4674;height:2456" coordorigin="0,10822" coordsize="4674,2456" path="m2585,853l2634,853,3002,615,7259,615m2585,1175l2634,1175,3002,938,7259,938m2585,1489l2634,1489,3002,1251,7259,1251m2585,1803l2634,1803,3002,1566,7259,1566m2585,2121l2634,2121,3002,1883,7259,1883m2585,2439l2634,2439,3002,2201,7259,2201m2585,2748l2634,2748,3002,2511,7259,2511m2585,3071l2634,3071,3002,2833,7259,2833,6896,3071,2634,3071,2634,853e" filled="false" stroked="true" strokeweight=".441pt" strokecolor="#939598">
              <v:path arrowok="t"/>
            </v:shape>
            <v:shape style="position:absolute;left:3213;top:689;width:3498;height:2537" coordorigin="3213,689" coordsize="3498,2537" path="m3251,3137l3241,3137,3222,3147,3224,3156,3239,3148,3240,3148,3240,3225,3251,3225,3251,3148,3251,3137m3273,806l3270,804,3262,795,3260,795,3260,811,3260,836,3254,845,3231,845,3224,834,3224,823,3224,818,3225,816,3225,814,3229,808,3234,805,3235,804,3253,804,3260,811,3260,795,3236,795,3229,799,3225,805,3224,805,3228,794,3234,785,3243,778,3255,774,3258,773,3264,773,3264,763,3259,764,3255,764,3244,765,3234,770,3227,777,3221,784,3217,794,3213,804,3213,814,3213,818,3215,832,3221,844,3231,851,3243,854,3256,851,3264,845,3265,845,3271,835,3273,823,3273,806m3337,815l3329,807,3318,805,3318,805,3329,801,3334,793,3334,774,3333,773,3326,763,3299,763,3291,767,3286,770,3289,779,3293,776,3300,773,3318,773,3322,779,3322,796,3311,801,3296,801,3296,810,3314,810,3325,815,3325,835,3320,844,3297,844,3289,841,3286,839,3283,848,3287,851,3296,854,3305,854,3319,852,3329,846,3330,844,3335,838,3337,828,3337,815m3341,3173l3339,3157,3334,3146,3332,3145,3329,3142,3329,3156,3329,3173,3329,3174,3325,3181,3319,3185,3301,3185,3294,3177,3294,3154,3301,3145,3324,3145,3329,3156,3329,3142,3324,3138,3312,3136,3300,3138,3291,3145,3285,3155,3282,3167,3282,3182,3293,3194,3317,3194,3324,3190,3329,3185,3329,3184,3329,3184,3328,3195,3324,3202,3318,3207,3313,3212,3306,3215,3299,3216,3292,3217,3290,3216,3290,3226,3296,3226,3301,3225,3310,3224,3320,3220,3323,3217,3326,3214,3332,3206,3337,3197,3340,3186,3340,3184,3341,3173m3369,840l3366,837,3356,837,3353,840,3353,850,3356,854,3366,854,3369,850,3369,840m3411,3173l3409,3157,3403,3146,3402,3145,3399,3142,3399,3156,3399,3173,3398,3174,3394,3181,3388,3185,3370,3185,3363,3177,3363,3154,3371,3145,3393,3145,3399,3156,3399,3142,3394,3138,3382,3136,3369,3138,3360,3145,3354,3155,3352,3167,3352,3182,3362,3194,3386,3194,3393,3190,3398,3185,3398,3184,3399,3184,3397,3195,3393,3202,3387,3207,3382,3212,3375,3215,3369,3216,3362,3217,3359,3216,3359,3226,3366,3226,3370,3225,3379,3224,3389,3220,3392,3217,3395,3214,3401,3206,3406,3197,3409,3186,3410,3184,3411,3173m3437,765l3382,765,3382,775,3425,775,3425,775,3387,852,3399,852,3437,773,3437,765m3480,3178l3478,3176,3469,3167,3468,3167,3468,3183,3468,3209,3461,3217,3438,3217,3432,3206,3432,3195,3432,3190,3432,3188,3433,3187,3436,3180,3441,3177,3443,3176,3461,3176,3468,3183,3468,3167,3444,3167,3437,3172,3432,3177,3432,3177,3435,3167,3441,3157,3450,3150,3462,3146,3466,3145,3471,3145,3471,3136,3466,3136,3463,3136,3452,3138,3442,3142,3435,3149,3429,3157,3424,3166,3421,3177,3420,3187,3420,3190,3422,3204,3428,3216,3438,3224,3451,3226,3463,3224,3472,3217,3472,3217,3478,3207,3480,3195,3480,3178m3506,765l3451,765,3451,775,3494,775,3494,775,3456,852,3468,852,3506,773,3506,765m4347,3215l4307,3215,4307,3215,4314,3208,4327,3196,4336,3184,4342,3173,4345,3161,4345,3149,4343,3145,4337,3136,4308,3136,4299,3139,4293,3145,4297,3153,4301,3149,4307,3145,4328,3145,4333,3154,4333,3163,4331,3172,4325,3182,4315,3194,4300,3208,4291,3217,4291,3225,4347,3225,4347,3215m4352,732l4350,730,4341,721,4340,721,4340,737,4340,762,4333,771,4310,771,4304,760,4303,749,4303,743,4304,742,4305,740,4308,734,4313,731,4315,730,4333,730,4340,737,4340,721,4316,721,4308,725,4304,731,4304,731,4307,720,4313,711,4322,704,4334,700,4338,699,4343,699,4343,689,4338,689,4335,690,4323,691,4314,696,4306,703,4300,710,4296,719,4293,730,4292,740,4292,743,4294,758,4300,770,4310,777,4323,780,4335,777,4344,771,4344,770,4350,761,4352,749,4352,732m4418,3180l4416,3161,4411,3147,4408,3145,4406,3143,4406,3159,4406,3181,4405,3196,4402,3207,4396,3214,4388,3217,4378,3217,4371,3204,4371,3180,4372,3166,4376,3154,4381,3147,4388,3145,4401,3145,4406,3159,4406,3143,4401,3139,4389,3136,4377,3139,4367,3147,4361,3162,4359,3180,4359,3181,4361,3200,4367,3215,4376,3223,4388,3226,4401,3223,4407,3217,4410,3214,4416,3200,4418,3180m4421,732l4419,730,4410,721,4409,721,4409,737,4409,762,4402,771,4379,771,4373,760,4373,749,4373,743,4373,742,4374,740,4377,734,4382,731,4384,730,4402,730,4409,737,4409,721,4385,721,4377,725,4373,731,4373,731,4376,720,4382,711,4391,704,4403,700,4407,699,4412,699,4412,689,4407,689,4404,690,4393,691,4383,696,4376,703,4370,710,4365,719,4362,730,4361,740,4361,743,4363,758,4369,770,4379,777,4392,780,4404,777,4413,771,4413,770,4419,761,4421,749,4421,732m4448,766l4445,763,4436,763,4432,766,4432,776,4436,780,4445,780,4448,776,4448,766m4487,3180l4485,3161,4480,3147,4477,3145,4475,3143,4475,3159,4475,3181,4474,3196,4471,3207,4465,3214,4457,3217,4447,3217,4440,3204,4440,3180,4441,3166,4445,3154,4450,3147,4458,3145,4470,3145,4475,3159,4475,3143,4471,3139,4458,3136,4446,3139,4436,3147,4430,3162,4428,3180,4428,3181,4430,3200,4436,3215,4445,3223,4457,3226,4470,3223,4476,3217,4479,3214,4485,3200,4487,3180m4518,734l4516,715,4510,701,4507,698,4506,697,4506,713,4506,735,4505,749,4501,761,4496,768,4488,771,4477,771,4470,758,4470,734,4471,719,4475,708,4481,701,4488,698,4500,698,4506,713,4506,697,4501,692,4489,689,4476,692,4467,701,4460,715,4458,734,4458,735,4460,754,4466,768,4475,777,4487,780,4500,777,4507,771,4510,768,4516,753,4518,734m4556,3180l4555,3161,4549,3147,4546,3145,4545,3143,4545,3159,4544,3181,4543,3196,4540,3207,4535,3214,4527,3217,4516,3217,4509,3204,4509,3180,4510,3166,4514,3154,4520,3147,4527,3145,4539,3145,4545,3159,4545,3143,4540,3139,4527,3136,4515,3139,4506,3147,4499,3162,4497,3180,4497,3181,4499,3200,4505,3215,4514,3223,4526,3226,4539,3223,4545,3217,4548,3214,4554,3200,4556,3180m4587,744l4580,736,4580,736,4575,734,4575,745,4575,764,4568,771,4546,771,4539,763,4539,756,4540,746,4545,739,4555,736,4567,740,4575,745,4575,734,4569,732,4569,731,4576,728,4580,726,4583,718,4583,700,4582,698,4575,689,4572,689,4572,705,4572,720,4566,725,4559,728,4549,725,4542,721,4542,704,4547,698,4568,698,4572,705,4572,689,4543,689,4531,699,4531,720,4535,728,4545,732,4545,733,4534,737,4528,745,4527,769,4538,780,4574,780,4585,771,4587,770,4587,744m5452,3215l5413,3215,5413,3215,5420,3208,5432,3196,5442,3184,5448,3173,5450,3161,5450,3149,5448,3145,5442,3136,5413,3136,5404,3139,5398,3145,5402,3153,5406,3149,5413,3145,5434,3145,5438,3154,5438,3163,5436,3172,5430,3182,5420,3194,5405,3208,5396,3217,5396,3225,5452,3225,5452,3215m5456,1102l5451,1095,5451,1095,5444,1091,5438,1087,5434,1087,5432,1086,5422,1086,5418,1087,5421,1064,5455,1064,5455,1054,5413,1054,5407,1096,5410,1096,5414,1095,5437,1095,5444,1103,5444,1126,5435,1134,5416,1134,5408,1131,5405,1129,5402,1138,5406,1140,5414,1143,5424,1143,5437,1141,5447,1135,5448,1134,5454,1125,5456,1113,5456,1102m5524,3180l5522,3161,5516,3147,5513,3145,5512,3143,5512,3159,5512,3181,5511,3196,5507,3207,5502,3214,5494,3217,5483,3217,5476,3204,5476,3180,5477,3166,5481,3154,5487,3147,5494,3145,5506,3145,5512,3159,5512,3143,5507,3139,5495,3136,5482,3139,5473,3147,5466,3162,5464,3180,5464,3181,5466,3200,5472,3215,5481,3223,5493,3226,5506,3223,5513,3217,5516,3214,5521,3200,5524,3180m5531,1108l5519,1108,5519,1065,5519,1054,5508,1054,5508,1065,5508,1070,5508,1108,5479,1108,5479,1108,5501,1078,5503,1074,5505,1071,5508,1065,5508,1065,5508,1054,5506,1054,5467,1110,5467,1118,5508,1118,5508,1142,5519,1142,5519,1118,5531,1118,5531,1108m5557,1130l5554,1126,5545,1126,5541,1130,5541,1140,5545,1143,5554,1143,5557,1140,5557,1130m5593,3180l5591,3161,5585,3147,5582,3145,5581,3143,5581,3159,5581,3181,5580,3196,5576,3207,5571,3214,5563,3217,5552,3217,5545,3204,5545,3180,5546,3166,5550,3154,5556,3147,5563,3145,5575,3145,5581,3159,5581,3143,5576,3139,5564,3136,5551,3139,5542,3147,5535,3162,5533,3180,5533,3181,5535,3200,5541,3215,5550,3223,5562,3226,5575,3223,5582,3217,5585,3214,5591,3200,5593,3180m5629,1108l5616,1108,5616,1065,5616,1054,5605,1054,5605,1065,5605,1070,5605,1108,5576,1108,5576,1108,5598,1078,5600,1074,5602,1071,5605,1065,5605,1065,5605,1054,5603,1054,5564,1110,5564,1118,5605,1118,5605,1142,5616,1142,5616,1118,5629,1118,5629,1108m5658,3188l5649,3180,5638,3177,5638,3177,5649,3173,5655,3166,5655,3146,5654,3145,5647,3136,5620,3136,5611,3139,5607,3142,5610,3151,5613,3148,5620,3145,5638,3145,5643,3151,5643,3169,5632,3173,5616,3173,5616,3182,5634,3182,5646,3187,5646,3207,5641,3217,5618,3217,5610,3213,5606,3211,5603,3220,5607,3223,5616,3226,5626,3226,5640,3224,5650,3218,5651,3217,5656,3210,5658,3200,5658,3188m5692,1105l5683,1096,5672,1094,5672,1094,5683,1090,5689,1082,5689,1063,5688,1062,5681,1053,5654,1053,5645,1056,5641,1059,5644,1068,5647,1065,5654,1062,5672,1062,5677,1068,5677,1086,5666,1090,5650,1090,5650,1099,5668,1099,5679,1104,5680,1124,5675,1134,5652,1134,5644,1130,5640,1128,5637,1137,5641,1140,5650,1143,5660,1143,5674,1141,5684,1135,5685,1134,5690,1127,5692,1117,5692,1105m6452,1293l6440,1293,6440,1250,6440,1238,6429,1238,6429,1250,6429,1254,6428,1293,6400,1293,6400,1293,6421,1263,6424,1259,6426,1255,6428,1250,6429,1250,6429,1238,6427,1238,6388,1294,6388,1302,6428,1302,6428,1326,6440,1326,6440,1302,6452,1302,6452,1293m6500,3215l6461,3215,6461,3215,6468,3208,6480,3196,6490,3184,6496,3173,6498,3161,6498,3149,6496,3145,6490,3136,6461,3136,6453,3139,6447,3145,6450,3153,6454,3149,6461,3145,6482,3145,6486,3154,6486,3163,6484,3172,6478,3182,6468,3194,6454,3208,6444,3217,6444,3225,6500,3225,6500,3215m6519,1291l6513,1284,6512,1284,6507,1282,6507,1293,6507,1312,6500,1319,6478,1319,6472,1311,6472,1303,6472,1294,6478,1287,6488,1284,6500,1287,6507,1293,6507,1282,6501,1279,6501,1279,6508,1276,6512,1274,6516,1266,6516,1248,6514,1245,6507,1237,6504,1237,6504,1253,6504,1268,6499,1273,6491,1276,6481,1273,6474,1268,6474,1252,6480,1245,6500,1245,6504,1253,6504,1237,6475,1237,6463,1246,6463,1268,6467,1275,6477,1280,6477,1280,6466,1285,6460,1293,6460,1317,6471,1328,6506,1328,6517,1319,6519,1317,6519,1291m6547,1314l6544,1311,6534,1311,6531,1314,6531,1324,6534,1328,6544,1328,6547,1324,6547,1314m6572,3180l6570,3161,6564,3147,6562,3145,6560,3143,6560,3159,6560,3181,6559,3196,6555,3207,6550,3214,6542,3217,6531,3217,6524,3204,6524,3180,6525,3166,6529,3154,6535,3147,6542,3145,6554,3145,6560,3159,6560,3143,6555,3139,6543,3136,6530,3139,6521,3147,6515,3162,6512,3180,6512,3181,6515,3200,6520,3215,6530,3223,6541,3226,6554,3223,6561,3217,6564,3214,6570,3200,6572,3180m6616,1274l6614,1259,6609,1247,6607,1246,6604,1244,6604,1257,6604,1274,6604,1276,6603,1277,6600,1282,6594,1286,6576,1286,6569,1278,6569,1255,6576,1246,6599,1246,6604,1257,6604,1244,6599,1240,6587,1237,6575,1239,6566,1246,6560,1256,6557,1268,6557,1283,6568,1295,6592,1295,6599,1291,6604,1286,6604,1285,6604,1285,6603,1296,6599,1304,6593,1309,6588,1313,6581,1316,6574,1317,6567,1318,6565,1318,6565,1327,6571,1327,6576,1327,6585,1326,6595,1322,6598,1318,6601,1315,6607,1308,6612,1298,6615,1287,6615,1285,6616,1274m6641,3180l6639,3161,6633,3147,6631,3145,6629,3143,6629,3159,6629,3181,6628,3196,6625,3207,6619,3214,6611,3217,6600,3217,6593,3204,6593,3180,6595,3166,6598,3154,6604,3147,6611,3145,6624,3145,6629,3159,6629,3143,6624,3139,6612,3136,6600,3139,6590,3147,6584,3162,6582,3180,6581,3181,6584,3200,6590,3215,6599,3223,6610,3226,6623,3223,6630,3217,6633,3214,6639,3200,6641,3180m6686,1279l6684,1277,6675,1268,6674,1268,6674,1285,6674,1310,6667,1318,6644,1318,6638,1308,6637,1297,6637,1291,6638,1289,6639,1288,6642,1282,6647,1278,6649,1277,6667,1277,6674,1285,6674,1268,6650,1268,6642,1273,6638,1278,6638,1278,6641,1268,6647,1259,6656,1251,6668,1247,6672,1247,6677,1247,6677,1237,6672,1237,6669,1238,6657,1239,6648,1243,6640,1251,6635,1258,6630,1267,6627,1278,6626,1288,6626,1291,6628,1306,6634,1317,6644,1325,6657,1327,6669,1325,6678,1318,6678,1318,6684,1308,6686,1297,6686,1279m6710,3178l6708,3176,6700,3167,6698,3167,6698,3183,6698,3209,6692,3217,6669,3217,6662,3206,6662,3195,6662,3190,6663,3188,6663,3187,6667,3180,6671,3177,6673,3176,6691,3176,6698,3183,6698,3167,6674,3167,6667,3172,6663,3177,6662,3177,6665,3167,6671,3157,6681,3150,6693,3146,6696,3145,6702,3145,6702,3136,6697,3136,6693,3136,6682,3138,6672,3142,6665,3149,6659,3157,6655,3166,6651,3177,6651,3187,6650,3190,6653,3204,6659,3216,6669,3224,6681,3226,6694,3224,6702,3217,6703,3217,6708,3207,6710,3195,6710,3178e" filled="true" fillcolor="#231f20" stroked="false">
              <v:path arrowok="t"/>
              <v:fill type="solid"/>
            </v:shape>
            <v:shape style="position:absolute;left:4283;top:867;width:350;height:2129" type="#_x0000_t75" stroked="false">
              <v:imagedata r:id="rId183" o:title=""/>
            </v:shape>
            <v:shape style="position:absolute;left:3169;top:940;width:399;height:2057" type="#_x0000_t75" stroked="false">
              <v:imagedata r:id="rId184" o:title=""/>
            </v:shape>
            <v:shape style="position:absolute;left:5398;top:1243;width:301;height:1754" type="#_x0000_t75" stroked="false">
              <v:imagedata r:id="rId185" o:title=""/>
            </v:shape>
            <v:shape style="position:absolute;left:6512;top:1425;width:253;height:1571" type="#_x0000_t75" stroked="false">
              <v:imagedata r:id="rId186" o:title=""/>
            </v:shape>
            <v:shape style="position:absolute;left:3133;top:816;width:3632;height:637" coordorigin="3133,816" coordsize="3632,637" path="m3567,926l3550,907,3504,893,3435,886,3350,887,3266,896,3197,910,3150,929,3133,950,3150,968,3197,982,3266,989,3350,988,3435,980,3504,965,3550,946,3567,926m4633,856l4616,837,4569,823,4500,816,4416,817,4331,826,4262,840,4216,859,4199,880,4216,898,4262,912,4331,919,4416,918,4500,909,4569,895,4616,876,4633,856m5699,1215l5682,1196,5635,1183,5566,1176,5482,1177,5398,1185,5329,1200,5282,1219,5265,1239,5282,1258,5329,1271,5398,1278,5482,1278,5566,1269,5635,1254,5682,1236,5699,1215m6765,1390l6748,1371,6701,1358,6632,1351,6548,1351,6463,1360,6394,1375,6348,1393,6331,1414,6348,1433,6394,1446,6463,1453,6548,1452,6632,1444,6701,1429,6748,1411,6765,1390e" filled="true" fillcolor="#2b3890" stroked="false">
              <v:path arrowok="t"/>
              <v:fill type="solid"/>
            </v:shape>
            <w10:wrap type="none"/>
          </v:group>
        </w:pict>
      </w:r>
      <w:r>
        <w:rPr/>
        <w:pict>
          <v:shape style="position:absolute;margin-left:118.186005pt;margin-top:40.462521pt;width:5.9pt;height:4.25pt;mso-position-horizontal-relative:page;mso-position-vertical-relative:paragraph;z-index:6640" coordorigin="2364,809" coordsize="118,85" path="m2416,811l2364,811,2364,820,2404,820,2404,820,2368,893,2380,893,2416,818,2416,811m2482,851l2480,833,2475,820,2472,818,2471,816,2471,831,2471,872,2465,886,2444,886,2437,873,2437,830,2444,818,2465,818,2471,831,2471,816,2466,812,2454,809,2443,812,2434,820,2428,834,2426,851,2426,852,2428,870,2434,883,2442,891,2453,894,2465,891,2471,886,2474,883,2480,869,2482,851e" filled="true" fillcolor="#231f20" stroked="false">
            <v:path arrowok="t"/>
            <v:fill type="solid"/>
            <w10:wrap type="none"/>
          </v:shape>
        </w:pict>
      </w:r>
      <w:r>
        <w:rPr/>
        <w:pict>
          <v:shape style="position:absolute;margin-left:118.041008pt;margin-top:56.260521pt;width:6.05pt;height:4.25pt;mso-position-horizontal-relative:page;mso-position-vertical-relative:paragraph;z-index:6664" coordorigin="2361,1125" coordsize="121,85" path="m2417,1165l2415,1163,2407,1155,2406,1155,2406,1170,2406,1194,2400,1202,2378,1202,2372,1192,2372,1178,2372,1176,2372,1174,2373,1173,2376,1167,2381,1164,2382,1163,2399,1163,2406,1170,2406,1155,2383,1155,2377,1159,2373,1164,2372,1164,2375,1154,2381,1146,2389,1139,2401,1135,2404,1134,2409,1134,2409,1125,2404,1125,2401,1126,2391,1127,2382,1131,2375,1138,2367,1146,2361,1159,2361,1176,2363,1190,2369,1201,2378,1208,2390,1210,2407,1210,2413,1202,2417,1196,2417,1165m2482,1167l2480,1149,2475,1136,2472,1134,2471,1132,2471,1147,2471,1188,2465,1202,2444,1202,2437,1189,2437,1146,2444,1134,2465,1134,2471,1147,2471,1132,2466,1128,2454,1125,2443,1128,2434,1136,2428,1150,2426,1167,2426,1168,2428,1186,2434,1199,2442,1207,2453,1210,2465,1207,2471,1202,2474,1199,2480,1185,2482,1167e" filled="true" fillcolor="#231f20" stroked="false">
            <v:path arrowok="t"/>
            <v:fill type="solid"/>
            <w10:wrap type="none"/>
          </v:shape>
        </w:pict>
      </w:r>
      <w:r>
        <w:rPr/>
        <w:pict>
          <v:shape style="position:absolute;margin-left:118.091003pt;margin-top:72.059525pt;width:6pt;height:4.25pt;mso-position-horizontal-relative:page;mso-position-vertical-relative:paragraph;z-index:6688" coordorigin="2362,1441" coordsize="120,85" path="m2413,1488l2408,1481,2408,1481,2401,1477,2396,1474,2392,1473,2390,1473,2380,1473,2377,1473,2380,1452,2411,1452,2411,1443,2372,1443,2367,1482,2373,1481,2394,1481,2402,1489,2402,1510,2393,1517,2375,1517,2368,1515,2365,1513,2362,1521,2366,1524,2373,1526,2382,1526,2395,1524,2404,1518,2405,1517,2411,1509,2413,1498,2413,1488m2482,1483l2480,1465,2475,1452,2472,1450,2471,1448,2471,1463,2471,1504,2465,1518,2444,1518,2437,1505,2437,1462,2444,1450,2465,1450,2471,1463,2471,1448,2466,1444,2454,1441,2443,1444,2434,1452,2428,1466,2426,1483,2426,1484,2428,1502,2434,1515,2442,1523,2453,1526,2465,1523,2471,1518,2474,1515,2480,1501,2482,1483e" filled="true" fillcolor="#231f20" stroked="false">
            <v:path arrowok="t"/>
            <v:fill type="solid"/>
            <w10:wrap type="none"/>
          </v:shape>
        </w:pict>
      </w:r>
      <w:r>
        <w:rPr/>
        <w:pict>
          <v:shape style="position:absolute;margin-left:117.921005pt;margin-top:87.857521pt;width:6.2pt;height:4.25pt;mso-position-horizontal-relative:page;mso-position-vertical-relative:paragraph;z-index:6712" coordorigin="2358,1757" coordsize="124,85" path="m2419,1810l2407,1810,2407,1769,2407,1759,2397,1759,2397,1769,2397,1774,2397,1810,2370,1810,2370,1809,2390,1781,2392,1778,2394,1774,2397,1769,2397,1769,2397,1759,2395,1759,2358,1811,2358,1818,2397,1818,2397,1841,2407,1841,2407,1818,2419,1818,2419,1810m2482,1799l2480,1781,2475,1768,2472,1766,2471,1764,2471,1779,2471,1820,2465,1833,2444,1833,2437,1821,2437,1778,2444,1766,2465,1766,2471,1779,2471,1764,2466,1760,2454,1757,2443,1760,2434,1768,2428,1782,2426,1799,2426,1800,2428,1818,2434,1831,2442,1839,2453,1842,2465,1839,2471,1833,2474,1831,2480,1817,2482,1799e" filled="true" fillcolor="#231f20" stroked="false">
            <v:path arrowok="t"/>
            <v:fill type="solid"/>
            <w10:wrap type="none"/>
          </v:shape>
        </w:pict>
      </w:r>
      <w:r>
        <w:rPr>
          <w:color w:val="231F20"/>
          <w:w w:val="105"/>
        </w:rPr>
        <w:t>Gráfico 4. Participación electoral en Ixtapan de la Sal (1996-2003)</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17"/>
        </w:rPr>
      </w:pPr>
    </w:p>
    <w:p>
      <w:pPr>
        <w:spacing w:before="0"/>
        <w:ind w:left="2688" w:right="-2" w:firstLine="0"/>
        <w:jc w:val="left"/>
        <w:rPr>
          <w:rFonts w:ascii="Calibri"/>
          <w:sz w:val="16"/>
        </w:rPr>
      </w:pPr>
      <w:r>
        <w:rPr/>
        <w:pict>
          <v:shape style="position:absolute;margin-left:118.091003pt;margin-top:-72.261040pt;width:6pt;height:4.25pt;mso-position-horizontal-relative:page;mso-position-vertical-relative:paragraph;z-index:6736" coordorigin="2362,-1445" coordsize="120,85" path="m2413,-1396l2405,-1404,2395,-1406,2395,-1406,2405,-1410,2410,-1417,2410,-1436,2410,-1436,2403,-1445,2378,-1445,2369,-1442,2365,-1439,2368,-1431,2371,-1433,2378,-1436,2395,-1436,2399,-1430,2399,-1414,2389,-1410,2374,-1410,2374,-1402,2391,-1402,2402,-1397,2402,-1378,2397,-1369,2375,-1369,2368,-1372,2365,-1374,2362,-1366,2366,-1363,2374,-1360,2403,-1360,2411,-1369,2413,-1372,2413,-1396m2482,-1404l2480,-1421,2475,-1434,2472,-1437,2471,-1438,2471,-1423,2471,-1382,2465,-1369,2444,-1369,2437,-1381,2437,-1425,2444,-1437,2465,-1437,2471,-1423,2471,-1438,2466,-1442,2454,-1445,2443,-1442,2434,-1434,2428,-1421,2426,-1404,2426,-1402,2428,-1384,2434,-1371,2442,-1363,2453,-1360,2465,-1363,2471,-1369,2474,-1372,2480,-1385,2482,-1404e" filled="true" fillcolor="#231f20" stroked="false">
            <v:path arrowok="t"/>
            <v:fill type="solid"/>
            <w10:wrap type="none"/>
          </v:shape>
        </w:pict>
      </w:r>
      <w:r>
        <w:rPr/>
        <w:pict>
          <v:shape style="position:absolute;margin-left:118.110008pt;margin-top:-56.464043pt;width:6pt;height:4.25pt;mso-position-horizontal-relative:page;mso-position-vertical-relative:paragraph;z-index:6760" coordorigin="2362,-1129" coordsize="120,85" path="m2415,-1055l2378,-1055,2378,-1055,2384,-1061,2396,-1073,2405,-1084,2411,-1094,2413,-1105,2413,-1117,2411,-1120,2405,-1129,2378,-1129,2370,-1126,2364,-1121,2368,-1113,2372,-1116,2378,-1120,2397,-1120,2402,-1112,2402,-1104,2400,-1095,2394,-1085,2385,-1074,2371,-1061,2362,-1053,2362,-1046,2415,-1046,2415,-1055m2482,-1088l2480,-1105,2475,-1118,2472,-1121,2471,-1122,2471,-1107,2471,-1066,2465,-1053,2444,-1053,2437,-1065,2437,-1109,2444,-1121,2465,-1121,2471,-1107,2471,-1122,2466,-1126,2454,-1129,2443,-1126,2434,-1118,2428,-1105,2426,-1088,2426,-1086,2428,-1069,2434,-1055,2442,-1047,2453,-1044,2465,-1047,2471,-1053,2474,-1056,2480,-1069,2482,-1088e" filled="true" fillcolor="#231f20" stroked="false">
            <v:path arrowok="t"/>
            <v:fill type="solid"/>
            <w10:wrap type="none"/>
          </v:shape>
        </w:pict>
      </w:r>
      <w:r>
        <w:rPr/>
        <w:pict>
          <v:shape style="position:absolute;margin-left:118.483009pt;margin-top:-40.66404pt;width:5.6pt;height:4.25pt;mso-position-horizontal-relative:page;mso-position-vertical-relative:paragraph;z-index:6784" coordorigin="2370,-813" coordsize="112,85" path="m2397,-812l2388,-812,2370,-802,2372,-794,2386,-802,2386,-802,2386,-730,2397,-730,2397,-802,2397,-812m2482,-772l2480,-789,2475,-802,2472,-805,2471,-806,2471,-791,2471,-750,2465,-737,2444,-737,2437,-749,2437,-793,2444,-805,2465,-805,2471,-791,2471,-806,2466,-810,2454,-813,2443,-810,2434,-802,2428,-789,2426,-772,2426,-770,2428,-753,2434,-739,2442,-731,2453,-728,2465,-731,2471,-737,2474,-740,2480,-753,2482,-772e" filled="true" fillcolor="#231f20" stroked="false">
            <v:path arrowok="t"/>
            <v:fill type="solid"/>
            <w10:wrap type="none"/>
          </v:shape>
        </w:pict>
      </w:r>
      <w:r>
        <w:rPr/>
        <w:pict>
          <v:shape style="position:absolute;margin-left:121.296799pt;margin-top:-24.867117pt;width:2.8pt;height:4.25pt;mso-position-horizontal-relative:page;mso-position-vertical-relative:paragraph;z-index:6808" coordorigin="2426,-497" coordsize="56,85" path="m2454,-497l2443,-495,2434,-486,2428,-473,2426,-456,2426,-455,2428,-437,2434,-423,2442,-415,2453,-412,2465,-415,2471,-421,2444,-421,2437,-433,2437,-477,2444,-489,2472,-489,2466,-495,2454,-497xm2472,-489l2465,-489,2471,-475,2471,-434,2465,-421,2471,-421,2474,-424,2480,-437,2482,-456,2480,-473,2475,-486,2472,-489xe" filled="true" fillcolor="#231f20" stroked="false">
            <v:path arrowok="t"/>
            <v:fill type="solid"/>
            <w10:wrap type="none"/>
          </v:shape>
        </w:pict>
      </w:r>
      <w:r>
        <w:rPr>
          <w:rFonts w:ascii="Calibri"/>
          <w:color w:val="231F20"/>
          <w:sz w:val="16"/>
        </w:rPr>
        <w:t>Fuente:</w:t>
      </w:r>
      <w:r>
        <w:rPr>
          <w:rFonts w:ascii="Calibri"/>
          <w:color w:val="231F20"/>
          <w:spacing w:val="-19"/>
          <w:sz w:val="16"/>
        </w:rPr>
        <w:t> </w:t>
      </w:r>
      <w:r>
        <w:rPr>
          <w:rFonts w:ascii="Calibri"/>
          <w:color w:val="231F20"/>
          <w:sz w:val="16"/>
        </w:rPr>
        <w:t>Fuente:</w:t>
      </w:r>
      <w:r>
        <w:rPr>
          <w:rFonts w:ascii="Calibri"/>
          <w:color w:val="231F20"/>
          <w:spacing w:val="-19"/>
          <w:sz w:val="16"/>
        </w:rPr>
        <w:t> </w:t>
      </w:r>
      <w:r>
        <w:rPr>
          <w:rFonts w:ascii="Calibri"/>
          <w:color w:val="231F20"/>
          <w:sz w:val="16"/>
        </w:rPr>
        <w:t>Base</w:t>
      </w:r>
      <w:r>
        <w:rPr>
          <w:rFonts w:ascii="Calibri"/>
          <w:color w:val="231F20"/>
          <w:spacing w:val="-19"/>
          <w:sz w:val="16"/>
        </w:rPr>
        <w:t> </w:t>
      </w:r>
      <w:r>
        <w:rPr>
          <w:rFonts w:ascii="Calibri"/>
          <w:color w:val="231F20"/>
          <w:sz w:val="16"/>
        </w:rPr>
        <w:t>de</w:t>
      </w:r>
      <w:r>
        <w:rPr>
          <w:rFonts w:ascii="Calibri"/>
          <w:color w:val="231F20"/>
          <w:spacing w:val="-19"/>
          <w:sz w:val="16"/>
        </w:rPr>
        <w:t> </w:t>
      </w:r>
      <w:r>
        <w:rPr>
          <w:rFonts w:ascii="Calibri"/>
          <w:color w:val="231F20"/>
          <w:sz w:val="16"/>
        </w:rPr>
        <w:t>datos</w:t>
      </w:r>
      <w:r>
        <w:rPr>
          <w:rFonts w:ascii="Calibri"/>
          <w:color w:val="231F20"/>
          <w:spacing w:val="-19"/>
          <w:sz w:val="16"/>
        </w:rPr>
        <w:t> </w:t>
      </w:r>
      <w:r>
        <w:rPr>
          <w:rFonts w:ascii="Calibri"/>
          <w:color w:val="231F20"/>
          <w:sz w:val="16"/>
        </w:rPr>
        <w:t>municipales,</w:t>
      </w:r>
      <w:r>
        <w:rPr>
          <w:rFonts w:ascii="Calibri"/>
          <w:color w:val="231F20"/>
          <w:spacing w:val="-19"/>
          <w:sz w:val="16"/>
        </w:rPr>
        <w:t> </w:t>
      </w:r>
      <w:r>
        <w:rPr>
          <w:rFonts w:ascii="Calibri"/>
          <w:color w:val="231F20"/>
          <w:sz w:val="16"/>
        </w:rPr>
        <w:t>Centro</w:t>
      </w:r>
      <w:r>
        <w:rPr>
          <w:rFonts w:ascii="Calibri"/>
          <w:color w:val="231F20"/>
          <w:spacing w:val="-19"/>
          <w:sz w:val="16"/>
        </w:rPr>
        <w:t> </w:t>
      </w:r>
      <w:r>
        <w:rPr>
          <w:rFonts w:ascii="Calibri"/>
          <w:color w:val="231F20"/>
          <w:sz w:val="16"/>
        </w:rPr>
        <w:t>Universitario</w:t>
      </w:r>
      <w:r>
        <w:rPr>
          <w:rFonts w:ascii="Calibri"/>
          <w:color w:val="231F20"/>
          <w:spacing w:val="-19"/>
          <w:sz w:val="16"/>
        </w:rPr>
        <w:t> </w:t>
      </w:r>
      <w:r>
        <w:rPr>
          <w:rFonts w:ascii="Calibri"/>
          <w:color w:val="231F20"/>
          <w:sz w:val="16"/>
        </w:rPr>
        <w:t>UAEM</w:t>
      </w:r>
      <w:r>
        <w:rPr>
          <w:rFonts w:ascii="Calibri"/>
          <w:color w:val="231F20"/>
          <w:spacing w:val="-19"/>
          <w:sz w:val="16"/>
        </w:rPr>
        <w:t> </w:t>
      </w:r>
      <w:r>
        <w:rPr>
          <w:rFonts w:ascii="Calibri"/>
          <w:color w:val="231F20"/>
          <w:sz w:val="16"/>
        </w:rPr>
        <w:t>Amecameca.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Otra característica en materia electoral que sucede en el municipio es el dominio que tiene</w:t>
      </w:r>
      <w:r>
        <w:rPr>
          <w:color w:val="231F20"/>
          <w:spacing w:val="-17"/>
          <w:w w:val="105"/>
        </w:rPr>
        <w:t> </w:t>
      </w:r>
      <w:r>
        <w:rPr>
          <w:color w:val="231F20"/>
          <w:w w:val="105"/>
        </w:rPr>
        <w:t>el</w:t>
      </w:r>
      <w:r>
        <w:rPr>
          <w:color w:val="231F20"/>
          <w:spacing w:val="-17"/>
          <w:w w:val="105"/>
        </w:rPr>
        <w:t> </w:t>
      </w:r>
      <w:r>
        <w:rPr>
          <w:color w:val="231F20"/>
          <w:w w:val="105"/>
        </w:rPr>
        <w:t>PRI</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elecciones</w:t>
      </w:r>
      <w:r>
        <w:rPr>
          <w:color w:val="231F20"/>
          <w:spacing w:val="-17"/>
          <w:w w:val="105"/>
        </w:rPr>
        <w:t> </w:t>
      </w:r>
      <w:r>
        <w:rPr>
          <w:color w:val="231F20"/>
          <w:w w:val="105"/>
        </w:rPr>
        <w:t>para</w:t>
      </w:r>
      <w:r>
        <w:rPr>
          <w:color w:val="231F20"/>
          <w:spacing w:val="-17"/>
          <w:w w:val="105"/>
        </w:rPr>
        <w:t> </w:t>
      </w:r>
      <w:r>
        <w:rPr>
          <w:color w:val="231F20"/>
          <w:w w:val="105"/>
        </w:rPr>
        <w:t>ayuntamiento,</w:t>
      </w:r>
      <w:r>
        <w:rPr>
          <w:color w:val="231F20"/>
          <w:spacing w:val="-17"/>
          <w:w w:val="105"/>
        </w:rPr>
        <w:t> </w:t>
      </w:r>
      <w:r>
        <w:rPr>
          <w:color w:val="231F20"/>
          <w:w w:val="105"/>
        </w:rPr>
        <w:t>pues</w:t>
      </w:r>
      <w:r>
        <w:rPr>
          <w:color w:val="231F20"/>
          <w:spacing w:val="-17"/>
          <w:w w:val="105"/>
        </w:rPr>
        <w:t> </w:t>
      </w:r>
      <w:r>
        <w:rPr>
          <w:color w:val="231F20"/>
          <w:w w:val="105"/>
        </w:rPr>
        <w:t>se</w:t>
      </w:r>
      <w:r>
        <w:rPr>
          <w:color w:val="231F20"/>
          <w:spacing w:val="-17"/>
          <w:w w:val="105"/>
        </w:rPr>
        <w:t> </w:t>
      </w:r>
      <w:r>
        <w:rPr>
          <w:color w:val="231F20"/>
          <w:w w:val="105"/>
        </w:rPr>
        <w:t>ha</w:t>
      </w:r>
      <w:r>
        <w:rPr>
          <w:color w:val="231F20"/>
          <w:spacing w:val="-17"/>
          <w:w w:val="105"/>
        </w:rPr>
        <w:t> </w:t>
      </w:r>
      <w:r>
        <w:rPr>
          <w:color w:val="231F20"/>
          <w:w w:val="105"/>
        </w:rPr>
        <w:t>mantenido</w:t>
      </w:r>
      <w:r>
        <w:rPr>
          <w:color w:val="231F20"/>
          <w:spacing w:val="-17"/>
          <w:w w:val="105"/>
        </w:rPr>
        <w:t> </w:t>
      </w:r>
      <w:r>
        <w:rPr>
          <w:color w:val="231F20"/>
          <w:w w:val="105"/>
        </w:rPr>
        <w:t>como</w:t>
      </w:r>
      <w:r>
        <w:rPr>
          <w:color w:val="231F20"/>
          <w:spacing w:val="-17"/>
          <w:w w:val="105"/>
        </w:rPr>
        <w:t> </w:t>
      </w:r>
      <w:r>
        <w:rPr>
          <w:color w:val="231F20"/>
          <w:w w:val="105"/>
        </w:rPr>
        <w:t>la</w:t>
      </w:r>
      <w:r>
        <w:rPr>
          <w:color w:val="231F20"/>
          <w:spacing w:val="-17"/>
          <w:w w:val="105"/>
        </w:rPr>
        <w:t> </w:t>
      </w:r>
      <w:r>
        <w:rPr>
          <w:color w:val="231F20"/>
          <w:w w:val="105"/>
        </w:rPr>
        <w:t>primera preferencia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mayoría,</w:t>
      </w:r>
      <w:r>
        <w:rPr>
          <w:color w:val="231F20"/>
          <w:spacing w:val="-11"/>
          <w:w w:val="105"/>
        </w:rPr>
        <w:t> </w:t>
      </w:r>
      <w:r>
        <w:rPr>
          <w:color w:val="231F20"/>
          <w:w w:val="105"/>
        </w:rPr>
        <w:t>logrando</w:t>
      </w:r>
      <w:r>
        <w:rPr>
          <w:color w:val="231F20"/>
          <w:spacing w:val="-11"/>
          <w:w w:val="105"/>
        </w:rPr>
        <w:t> </w:t>
      </w:r>
      <w:r>
        <w:rPr>
          <w:color w:val="231F20"/>
          <w:w w:val="105"/>
        </w:rPr>
        <w:t>niveles</w:t>
      </w:r>
      <w:r>
        <w:rPr>
          <w:color w:val="231F20"/>
          <w:spacing w:val="-11"/>
          <w:w w:val="105"/>
        </w:rPr>
        <w:t> </w:t>
      </w:r>
      <w:r>
        <w:rPr>
          <w:color w:val="231F20"/>
          <w:w w:val="105"/>
        </w:rPr>
        <w:t>de</w:t>
      </w:r>
      <w:r>
        <w:rPr>
          <w:color w:val="231F20"/>
          <w:spacing w:val="-11"/>
          <w:w w:val="105"/>
        </w:rPr>
        <w:t> </w:t>
      </w:r>
      <w:r>
        <w:rPr>
          <w:color w:val="231F20"/>
          <w:w w:val="105"/>
        </w:rPr>
        <w:t>aceptación</w:t>
      </w:r>
      <w:r>
        <w:rPr>
          <w:color w:val="231F20"/>
          <w:spacing w:val="-11"/>
          <w:w w:val="105"/>
        </w:rPr>
        <w:t> </w:t>
      </w:r>
      <w:r>
        <w:rPr>
          <w:color w:val="231F20"/>
          <w:w w:val="105"/>
        </w:rPr>
        <w:t>con</w:t>
      </w:r>
      <w:r>
        <w:rPr>
          <w:color w:val="231F20"/>
          <w:spacing w:val="-11"/>
          <w:w w:val="105"/>
        </w:rPr>
        <w:t> </w:t>
      </w:r>
      <w:r>
        <w:rPr>
          <w:color w:val="231F20"/>
          <w:w w:val="105"/>
        </w:rPr>
        <w:t>más</w:t>
      </w:r>
      <w:r>
        <w:rPr>
          <w:color w:val="231F20"/>
          <w:spacing w:val="-11"/>
          <w:w w:val="105"/>
        </w:rPr>
        <w:t> </w:t>
      </w:r>
      <w:r>
        <w:rPr>
          <w:color w:val="231F20"/>
          <w:w w:val="105"/>
        </w:rPr>
        <w:t>del</w:t>
      </w:r>
      <w:r>
        <w:rPr>
          <w:color w:val="231F20"/>
          <w:spacing w:val="-11"/>
          <w:w w:val="105"/>
        </w:rPr>
        <w:t> </w:t>
      </w:r>
      <w:r>
        <w:rPr>
          <w:color w:val="231F20"/>
          <w:w w:val="105"/>
        </w:rPr>
        <w:t>40%</w:t>
      </w:r>
      <w:r>
        <w:rPr>
          <w:color w:val="231F20"/>
          <w:spacing w:val="-11"/>
          <w:w w:val="105"/>
        </w:rPr>
        <w:t> </w:t>
      </w:r>
      <w:r>
        <w:rPr>
          <w:color w:val="231F20"/>
          <w:w w:val="105"/>
        </w:rPr>
        <w:t>del</w:t>
      </w:r>
      <w:r>
        <w:rPr>
          <w:color w:val="231F20"/>
          <w:spacing w:val="-11"/>
          <w:w w:val="105"/>
        </w:rPr>
        <w:t> </w:t>
      </w:r>
      <w:r>
        <w:rPr>
          <w:color w:val="231F20"/>
          <w:w w:val="105"/>
        </w:rPr>
        <w:t>total</w:t>
      </w:r>
      <w:r>
        <w:rPr>
          <w:color w:val="231F20"/>
          <w:spacing w:val="-11"/>
          <w:w w:val="105"/>
        </w:rPr>
        <w:t> </w:t>
      </w:r>
      <w:r>
        <w:rPr>
          <w:color w:val="231F20"/>
          <w:w w:val="105"/>
        </w:rPr>
        <w:t>de </w:t>
      </w:r>
      <w:r>
        <w:rPr>
          <w:color w:val="231F20"/>
        </w:rPr>
        <w:t>los</w:t>
      </w:r>
      <w:r>
        <w:rPr>
          <w:color w:val="231F20"/>
          <w:spacing w:val="-3"/>
        </w:rPr>
        <w:t> </w:t>
      </w:r>
      <w:r>
        <w:rPr>
          <w:color w:val="231F20"/>
        </w:rPr>
        <w:t>votos.</w:t>
      </w:r>
    </w:p>
    <w:p>
      <w:pPr>
        <w:pStyle w:val="BodyText"/>
        <w:spacing w:before="1"/>
        <w:rPr>
          <w:sz w:val="26"/>
        </w:rPr>
      </w:pPr>
    </w:p>
    <w:p>
      <w:pPr>
        <w:pStyle w:val="BodyText"/>
        <w:spacing w:line="285" w:lineRule="auto"/>
        <w:ind w:left="110" w:right="107"/>
        <w:jc w:val="both"/>
      </w:pPr>
      <w:r>
        <w:rPr>
          <w:color w:val="231F20"/>
          <w:w w:val="105"/>
        </w:rPr>
        <w:t>El</w:t>
      </w:r>
      <w:r>
        <w:rPr>
          <w:color w:val="231F20"/>
          <w:spacing w:val="-5"/>
          <w:w w:val="105"/>
        </w:rPr>
        <w:t> </w:t>
      </w:r>
      <w:r>
        <w:rPr>
          <w:color w:val="231F20"/>
          <w:spacing w:val="2"/>
          <w:w w:val="105"/>
        </w:rPr>
        <w:t>análisis</w:t>
      </w:r>
      <w:r>
        <w:rPr>
          <w:color w:val="231F20"/>
          <w:spacing w:val="-5"/>
          <w:w w:val="105"/>
        </w:rPr>
        <w:t> </w:t>
      </w:r>
      <w:r>
        <w:rPr>
          <w:color w:val="231F20"/>
          <w:w w:val="105"/>
        </w:rPr>
        <w:t>desde</w:t>
      </w:r>
      <w:r>
        <w:rPr>
          <w:color w:val="231F20"/>
          <w:spacing w:val="-5"/>
          <w:w w:val="105"/>
        </w:rPr>
        <w:t> </w:t>
      </w:r>
      <w:r>
        <w:rPr>
          <w:color w:val="231F20"/>
          <w:w w:val="105"/>
        </w:rPr>
        <w:t>1990</w:t>
      </w:r>
      <w:r>
        <w:rPr>
          <w:color w:val="231F20"/>
          <w:spacing w:val="-5"/>
          <w:w w:val="105"/>
        </w:rPr>
        <w:t> </w:t>
      </w:r>
      <w:r>
        <w:rPr>
          <w:color w:val="231F20"/>
          <w:w w:val="105"/>
        </w:rPr>
        <w:t>hasta</w:t>
      </w:r>
      <w:r>
        <w:rPr>
          <w:color w:val="231F20"/>
          <w:spacing w:val="-5"/>
          <w:w w:val="105"/>
        </w:rPr>
        <w:t> </w:t>
      </w:r>
      <w:r>
        <w:rPr>
          <w:color w:val="231F20"/>
          <w:spacing w:val="3"/>
          <w:w w:val="105"/>
        </w:rPr>
        <w:t>2006</w:t>
      </w:r>
      <w:r>
        <w:rPr>
          <w:color w:val="231F20"/>
          <w:spacing w:val="-5"/>
          <w:w w:val="105"/>
        </w:rPr>
        <w:t> </w:t>
      </w:r>
      <w:r>
        <w:rPr>
          <w:color w:val="231F20"/>
          <w:w w:val="105"/>
        </w:rPr>
        <w:t>así</w:t>
      </w:r>
      <w:r>
        <w:rPr>
          <w:color w:val="231F20"/>
          <w:spacing w:val="-5"/>
          <w:w w:val="105"/>
        </w:rPr>
        <w:t> </w:t>
      </w:r>
      <w:r>
        <w:rPr>
          <w:color w:val="231F20"/>
          <w:w w:val="105"/>
        </w:rPr>
        <w:t>lo</w:t>
      </w:r>
      <w:r>
        <w:rPr>
          <w:color w:val="231F20"/>
          <w:spacing w:val="-5"/>
          <w:w w:val="105"/>
        </w:rPr>
        <w:t> </w:t>
      </w:r>
      <w:r>
        <w:rPr>
          <w:color w:val="231F20"/>
          <w:w w:val="105"/>
        </w:rPr>
        <w:t>demuestra:</w:t>
      </w:r>
      <w:r>
        <w:rPr>
          <w:color w:val="231F20"/>
          <w:spacing w:val="-5"/>
          <w:w w:val="105"/>
        </w:rPr>
        <w:t> </w:t>
      </w:r>
      <w:r>
        <w:rPr>
          <w:color w:val="231F20"/>
          <w:w w:val="105"/>
        </w:rPr>
        <w:t>el</w:t>
      </w:r>
      <w:r>
        <w:rPr>
          <w:color w:val="231F20"/>
          <w:spacing w:val="-5"/>
          <w:w w:val="105"/>
        </w:rPr>
        <w:t> </w:t>
      </w:r>
      <w:r>
        <w:rPr>
          <w:color w:val="231F20"/>
          <w:w w:val="105"/>
        </w:rPr>
        <w:t>crecimiento</w:t>
      </w:r>
      <w:r>
        <w:rPr>
          <w:color w:val="231F20"/>
          <w:spacing w:val="-5"/>
          <w:w w:val="105"/>
        </w:rPr>
        <w:t> </w:t>
      </w:r>
      <w:r>
        <w:rPr>
          <w:color w:val="231F20"/>
          <w:w w:val="105"/>
        </w:rPr>
        <w:t>de</w:t>
      </w:r>
      <w:r>
        <w:rPr>
          <w:color w:val="231F20"/>
          <w:spacing w:val="-5"/>
          <w:w w:val="105"/>
        </w:rPr>
        <w:t> </w:t>
      </w:r>
      <w:r>
        <w:rPr>
          <w:color w:val="231F20"/>
          <w:w w:val="105"/>
        </w:rPr>
        <w:t>votos</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tri- color</w:t>
      </w:r>
      <w:r>
        <w:rPr>
          <w:color w:val="231F20"/>
          <w:spacing w:val="-7"/>
          <w:w w:val="105"/>
        </w:rPr>
        <w:t> </w:t>
      </w:r>
      <w:r>
        <w:rPr>
          <w:color w:val="231F20"/>
          <w:w w:val="105"/>
        </w:rPr>
        <w:t>es</w:t>
      </w:r>
      <w:r>
        <w:rPr>
          <w:color w:val="231F20"/>
          <w:spacing w:val="-7"/>
          <w:w w:val="105"/>
        </w:rPr>
        <w:t> </w:t>
      </w:r>
      <w:r>
        <w:rPr>
          <w:color w:val="231F20"/>
          <w:w w:val="105"/>
        </w:rPr>
        <w:t>constante</w:t>
      </w:r>
      <w:r>
        <w:rPr>
          <w:color w:val="231F20"/>
          <w:spacing w:val="-7"/>
          <w:w w:val="105"/>
        </w:rPr>
        <w:t> </w:t>
      </w:r>
      <w:r>
        <w:rPr>
          <w:color w:val="231F20"/>
          <w:spacing w:val="-4"/>
          <w:w w:val="105"/>
        </w:rPr>
        <w:t>(con</w:t>
      </w:r>
      <w:r>
        <w:rPr>
          <w:color w:val="231F20"/>
          <w:spacing w:val="-7"/>
          <w:w w:val="105"/>
        </w:rPr>
        <w:t> </w:t>
      </w:r>
      <w:r>
        <w:rPr>
          <w:color w:val="231F20"/>
          <w:w w:val="105"/>
        </w:rPr>
        <w:t>excepción</w:t>
      </w:r>
      <w:r>
        <w:rPr>
          <w:color w:val="231F20"/>
          <w:spacing w:val="-7"/>
          <w:w w:val="105"/>
        </w:rPr>
        <w:t> </w:t>
      </w:r>
      <w:r>
        <w:rPr>
          <w:color w:val="231F20"/>
          <w:w w:val="105"/>
        </w:rPr>
        <w:t>de</w:t>
      </w:r>
      <w:r>
        <w:rPr>
          <w:color w:val="231F20"/>
          <w:spacing w:val="-7"/>
          <w:w w:val="105"/>
        </w:rPr>
        <w:t> </w:t>
      </w:r>
      <w:r>
        <w:rPr>
          <w:color w:val="231F20"/>
          <w:spacing w:val="2"/>
          <w:w w:val="105"/>
        </w:rPr>
        <w:t>2003,</w:t>
      </w:r>
      <w:r>
        <w:rPr>
          <w:color w:val="231F20"/>
          <w:spacing w:val="-7"/>
          <w:w w:val="105"/>
        </w:rPr>
        <w:t> </w:t>
      </w:r>
      <w:r>
        <w:rPr>
          <w:color w:val="231F20"/>
          <w:w w:val="105"/>
        </w:rPr>
        <w:t>cuando</w:t>
      </w:r>
      <w:r>
        <w:rPr>
          <w:color w:val="231F20"/>
          <w:spacing w:val="-7"/>
          <w:w w:val="105"/>
        </w:rPr>
        <w:t> </w:t>
      </w:r>
      <w:r>
        <w:rPr>
          <w:color w:val="231F20"/>
          <w:spacing w:val="-3"/>
          <w:w w:val="105"/>
        </w:rPr>
        <w:t>pierde</w:t>
      </w:r>
      <w:r>
        <w:rPr>
          <w:color w:val="231F20"/>
          <w:spacing w:val="-7"/>
          <w:w w:val="105"/>
        </w:rPr>
        <w:t> </w:t>
      </w:r>
      <w:r>
        <w:rPr>
          <w:color w:val="231F20"/>
          <w:spacing w:val="-6"/>
          <w:w w:val="105"/>
        </w:rPr>
        <w:t>619</w:t>
      </w:r>
      <w:r>
        <w:rPr>
          <w:color w:val="231F20"/>
          <w:spacing w:val="-7"/>
          <w:w w:val="105"/>
        </w:rPr>
        <w:t> </w:t>
      </w:r>
      <w:r>
        <w:rPr>
          <w:color w:val="231F20"/>
          <w:spacing w:val="-4"/>
          <w:w w:val="105"/>
        </w:rPr>
        <w:t>votos).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elección</w:t>
      </w:r>
      <w:r>
        <w:rPr>
          <w:color w:val="231F20"/>
          <w:spacing w:val="-7"/>
          <w:w w:val="105"/>
        </w:rPr>
        <w:t> </w:t>
      </w:r>
      <w:r>
        <w:rPr>
          <w:color w:val="231F20"/>
          <w:w w:val="105"/>
        </w:rPr>
        <w:t>de </w:t>
      </w:r>
      <w:r>
        <w:rPr>
          <w:color w:val="231F20"/>
          <w:spacing w:val="3"/>
          <w:w w:val="105"/>
        </w:rPr>
        <w:t>2006</w:t>
      </w:r>
      <w:r>
        <w:rPr>
          <w:color w:val="231F20"/>
          <w:spacing w:val="-14"/>
          <w:w w:val="105"/>
        </w:rPr>
        <w:t> </w:t>
      </w:r>
      <w:r>
        <w:rPr>
          <w:color w:val="231F20"/>
          <w:w w:val="105"/>
        </w:rPr>
        <w:t>fue</w:t>
      </w:r>
      <w:r>
        <w:rPr>
          <w:color w:val="231F20"/>
          <w:spacing w:val="-14"/>
          <w:w w:val="105"/>
        </w:rPr>
        <w:t> </w:t>
      </w:r>
      <w:r>
        <w:rPr>
          <w:color w:val="231F20"/>
          <w:w w:val="105"/>
        </w:rPr>
        <w:t>cuando</w:t>
      </w:r>
      <w:r>
        <w:rPr>
          <w:color w:val="231F20"/>
          <w:spacing w:val="-14"/>
          <w:w w:val="105"/>
        </w:rPr>
        <w:t> </w:t>
      </w:r>
      <w:r>
        <w:rPr>
          <w:color w:val="231F20"/>
          <w:w w:val="105"/>
        </w:rPr>
        <w:t>obtuvo</w:t>
      </w:r>
      <w:r>
        <w:rPr>
          <w:color w:val="231F20"/>
          <w:spacing w:val="-14"/>
          <w:w w:val="105"/>
        </w:rPr>
        <w:t> </w:t>
      </w:r>
      <w:r>
        <w:rPr>
          <w:color w:val="231F20"/>
          <w:w w:val="105"/>
        </w:rPr>
        <w:t>más</w:t>
      </w:r>
      <w:r>
        <w:rPr>
          <w:color w:val="231F20"/>
          <w:spacing w:val="-14"/>
          <w:w w:val="105"/>
        </w:rPr>
        <w:t> </w:t>
      </w:r>
      <w:r>
        <w:rPr>
          <w:color w:val="231F20"/>
          <w:w w:val="105"/>
        </w:rPr>
        <w:t>sufragios</w:t>
      </w:r>
      <w:r>
        <w:rPr>
          <w:color w:val="231F20"/>
          <w:spacing w:val="-14"/>
          <w:w w:val="105"/>
        </w:rPr>
        <w:t> </w:t>
      </w:r>
      <w:r>
        <w:rPr>
          <w:color w:val="231F20"/>
          <w:w w:val="105"/>
        </w:rPr>
        <w:t>a</w:t>
      </w:r>
      <w:r>
        <w:rPr>
          <w:color w:val="231F20"/>
          <w:spacing w:val="-14"/>
          <w:w w:val="105"/>
        </w:rPr>
        <w:t> </w:t>
      </w:r>
      <w:r>
        <w:rPr>
          <w:color w:val="231F20"/>
          <w:w w:val="105"/>
        </w:rPr>
        <w:t>favor</w:t>
      </w:r>
      <w:r>
        <w:rPr>
          <w:color w:val="231F20"/>
          <w:spacing w:val="-14"/>
          <w:w w:val="105"/>
        </w:rPr>
        <w:t> </w:t>
      </w:r>
      <w:r>
        <w:rPr>
          <w:color w:val="231F20"/>
          <w:spacing w:val="-5"/>
          <w:w w:val="105"/>
        </w:rPr>
        <w:t>(de</w:t>
      </w:r>
      <w:r>
        <w:rPr>
          <w:color w:val="231F20"/>
          <w:spacing w:val="-14"/>
          <w:w w:val="105"/>
        </w:rPr>
        <w:t> </w:t>
      </w:r>
      <w:r>
        <w:rPr>
          <w:color w:val="231F20"/>
          <w:spacing w:val="2"/>
          <w:w w:val="105"/>
        </w:rPr>
        <w:t>2003</w:t>
      </w:r>
      <w:r>
        <w:rPr>
          <w:color w:val="231F20"/>
          <w:spacing w:val="-14"/>
          <w:w w:val="105"/>
        </w:rPr>
        <w:t> </w:t>
      </w:r>
      <w:r>
        <w:rPr>
          <w:color w:val="231F20"/>
          <w:w w:val="105"/>
        </w:rPr>
        <w:t>a</w:t>
      </w:r>
      <w:r>
        <w:rPr>
          <w:color w:val="231F20"/>
          <w:spacing w:val="-14"/>
          <w:w w:val="105"/>
        </w:rPr>
        <w:t> </w:t>
      </w:r>
      <w:r>
        <w:rPr>
          <w:color w:val="231F20"/>
          <w:spacing w:val="3"/>
          <w:w w:val="105"/>
        </w:rPr>
        <w:t>2006</w:t>
      </w:r>
      <w:r>
        <w:rPr>
          <w:color w:val="231F20"/>
          <w:spacing w:val="-14"/>
          <w:w w:val="105"/>
        </w:rPr>
        <w:t> </w:t>
      </w:r>
      <w:r>
        <w:rPr>
          <w:color w:val="231F20"/>
          <w:w w:val="105"/>
        </w:rPr>
        <w:t>incrementó</w:t>
      </w:r>
      <w:r>
        <w:rPr>
          <w:color w:val="231F20"/>
          <w:spacing w:val="-14"/>
          <w:w w:val="105"/>
        </w:rPr>
        <w:t> </w:t>
      </w:r>
      <w:r>
        <w:rPr>
          <w:color w:val="231F20"/>
          <w:spacing w:val="-3"/>
          <w:w w:val="105"/>
        </w:rPr>
        <w:t>68%)</w:t>
      </w:r>
      <w:r>
        <w:rPr>
          <w:color w:val="231F20"/>
          <w:spacing w:val="-14"/>
          <w:w w:val="105"/>
        </w:rPr>
        <w:t> </w:t>
      </w:r>
      <w:r>
        <w:rPr>
          <w:color w:val="231F20"/>
          <w:w w:val="105"/>
        </w:rPr>
        <w:t>pese</w:t>
      </w:r>
      <w:r>
        <w:rPr>
          <w:color w:val="231F20"/>
          <w:spacing w:val="-14"/>
          <w:w w:val="105"/>
        </w:rPr>
        <w:t> </w:t>
      </w:r>
      <w:r>
        <w:rPr>
          <w:color w:val="231F20"/>
          <w:w w:val="105"/>
        </w:rPr>
        <w:t>a que</w:t>
      </w:r>
      <w:r>
        <w:rPr>
          <w:color w:val="231F20"/>
          <w:spacing w:val="-12"/>
          <w:w w:val="105"/>
        </w:rPr>
        <w:t> </w:t>
      </w:r>
      <w:r>
        <w:rPr>
          <w:color w:val="231F20"/>
          <w:w w:val="105"/>
        </w:rPr>
        <w:t>en</w:t>
      </w:r>
      <w:r>
        <w:rPr>
          <w:color w:val="231F20"/>
          <w:spacing w:val="-12"/>
          <w:w w:val="105"/>
        </w:rPr>
        <w:t> </w:t>
      </w:r>
      <w:r>
        <w:rPr>
          <w:color w:val="231F20"/>
          <w:w w:val="105"/>
        </w:rPr>
        <w:t>ese</w:t>
      </w:r>
      <w:r>
        <w:rPr>
          <w:color w:val="231F20"/>
          <w:spacing w:val="-12"/>
          <w:w w:val="105"/>
        </w:rPr>
        <w:t> </w:t>
      </w:r>
      <w:r>
        <w:rPr>
          <w:color w:val="231F20"/>
          <w:w w:val="105"/>
        </w:rPr>
        <w:t>año</w:t>
      </w:r>
      <w:r>
        <w:rPr>
          <w:color w:val="231F20"/>
          <w:spacing w:val="-12"/>
          <w:w w:val="105"/>
        </w:rPr>
        <w:t> </w:t>
      </w:r>
      <w:r>
        <w:rPr>
          <w:color w:val="231F20"/>
          <w:w w:val="105"/>
        </w:rPr>
        <w:t>fue</w:t>
      </w:r>
      <w:r>
        <w:rPr>
          <w:color w:val="231F20"/>
          <w:spacing w:val="-12"/>
          <w:w w:val="105"/>
        </w:rPr>
        <w:t> </w:t>
      </w:r>
      <w:r>
        <w:rPr>
          <w:color w:val="231F20"/>
          <w:w w:val="105"/>
        </w:rPr>
        <w:t>cuando</w:t>
      </w:r>
      <w:r>
        <w:rPr>
          <w:color w:val="231F20"/>
          <w:spacing w:val="-12"/>
          <w:w w:val="105"/>
        </w:rPr>
        <w:t> </w:t>
      </w:r>
      <w:r>
        <w:rPr>
          <w:color w:val="231F20"/>
          <w:w w:val="105"/>
        </w:rPr>
        <w:t>más</w:t>
      </w:r>
      <w:r>
        <w:rPr>
          <w:color w:val="231F20"/>
          <w:spacing w:val="-12"/>
          <w:w w:val="105"/>
        </w:rPr>
        <w:t> </w:t>
      </w:r>
      <w:r>
        <w:rPr>
          <w:color w:val="231F20"/>
          <w:w w:val="105"/>
        </w:rPr>
        <w:t>disminuyó</w:t>
      </w:r>
      <w:r>
        <w:rPr>
          <w:color w:val="231F20"/>
          <w:spacing w:val="-12"/>
          <w:w w:val="105"/>
        </w:rPr>
        <w:t> </w:t>
      </w:r>
      <w:r>
        <w:rPr>
          <w:color w:val="231F20"/>
          <w:w w:val="105"/>
        </w:rPr>
        <w:t>la</w:t>
      </w:r>
      <w:r>
        <w:rPr>
          <w:color w:val="231F20"/>
          <w:spacing w:val="-12"/>
          <w:w w:val="105"/>
        </w:rPr>
        <w:t> </w:t>
      </w:r>
      <w:r>
        <w:rPr>
          <w:color w:val="231F20"/>
          <w:w w:val="105"/>
        </w:rPr>
        <w:t>participación</w:t>
      </w:r>
      <w:r>
        <w:rPr>
          <w:color w:val="231F20"/>
          <w:spacing w:val="-12"/>
          <w:w w:val="105"/>
        </w:rPr>
        <w:t> </w:t>
      </w:r>
      <w:r>
        <w:rPr>
          <w:color w:val="231F20"/>
          <w:w w:val="105"/>
        </w:rPr>
        <w:t>electoral</w:t>
      </w:r>
      <w:r>
        <w:rPr>
          <w:color w:val="231F20"/>
          <w:spacing w:val="-12"/>
          <w:w w:val="105"/>
        </w:rPr>
        <w:t> </w:t>
      </w:r>
      <w:r>
        <w:rPr>
          <w:color w:val="231F20"/>
          <w:spacing w:val="-5"/>
          <w:w w:val="105"/>
        </w:rPr>
        <w:t>(Ver</w:t>
      </w:r>
      <w:r>
        <w:rPr>
          <w:color w:val="231F20"/>
          <w:spacing w:val="-12"/>
          <w:w w:val="105"/>
        </w:rPr>
        <w:t> </w:t>
      </w:r>
      <w:r>
        <w:rPr>
          <w:color w:val="231F20"/>
          <w:w w:val="105"/>
        </w:rPr>
        <w:t>Gráfico</w:t>
      </w:r>
      <w:r>
        <w:rPr>
          <w:color w:val="231F20"/>
          <w:spacing w:val="-12"/>
          <w:w w:val="105"/>
        </w:rPr>
        <w:t> </w:t>
      </w:r>
      <w:r>
        <w:rPr>
          <w:color w:val="231F20"/>
          <w:spacing w:val="-4"/>
          <w:w w:val="105"/>
        </w:rPr>
        <w:t>5).</w:t>
      </w:r>
    </w:p>
    <w:p>
      <w:pPr>
        <w:spacing w:after="0" w:line="285" w:lineRule="auto"/>
        <w:jc w:val="both"/>
        <w:sectPr>
          <w:pgSz w:w="9640" w:h="12190"/>
          <w:pgMar w:header="0" w:footer="743" w:top="1120" w:bottom="940" w:left="740" w:right="740"/>
        </w:sectPr>
      </w:pPr>
    </w:p>
    <w:p>
      <w:pPr>
        <w:pStyle w:val="Heading5"/>
        <w:spacing w:line="285" w:lineRule="auto" w:before="27"/>
        <w:ind w:left="776" w:right="774"/>
        <w:jc w:val="center"/>
      </w:pPr>
      <w:r>
        <w:rPr>
          <w:color w:val="231F20"/>
          <w:w w:val="105"/>
        </w:rPr>
        <w:t>Gráfico</w:t>
      </w:r>
      <w:r>
        <w:rPr>
          <w:color w:val="231F20"/>
          <w:spacing w:val="-14"/>
          <w:w w:val="105"/>
        </w:rPr>
        <w:t> </w:t>
      </w:r>
      <w:r>
        <w:rPr>
          <w:color w:val="231F20"/>
          <w:w w:val="105"/>
        </w:rPr>
        <w:t>5.</w:t>
      </w:r>
      <w:r>
        <w:rPr>
          <w:color w:val="231F20"/>
          <w:spacing w:val="-14"/>
          <w:w w:val="105"/>
        </w:rPr>
        <w:t> </w:t>
      </w:r>
      <w:r>
        <w:rPr>
          <w:color w:val="231F20"/>
          <w:w w:val="105"/>
        </w:rPr>
        <w:t>Desarrollo</w:t>
      </w:r>
      <w:r>
        <w:rPr>
          <w:color w:val="231F20"/>
          <w:spacing w:val="-14"/>
          <w:w w:val="105"/>
        </w:rPr>
        <w:t> </w:t>
      </w:r>
      <w:r>
        <w:rPr>
          <w:color w:val="231F20"/>
          <w:w w:val="105"/>
        </w:rPr>
        <w:t>electoral</w:t>
      </w:r>
      <w:r>
        <w:rPr>
          <w:color w:val="231F20"/>
          <w:spacing w:val="-14"/>
          <w:w w:val="105"/>
        </w:rPr>
        <w:t> </w:t>
      </w:r>
      <w:r>
        <w:rPr>
          <w:color w:val="231F20"/>
          <w:w w:val="105"/>
        </w:rPr>
        <w:t>del</w:t>
      </w:r>
      <w:r>
        <w:rPr>
          <w:color w:val="231F20"/>
          <w:spacing w:val="-14"/>
          <w:w w:val="105"/>
        </w:rPr>
        <w:t> </w:t>
      </w:r>
      <w:r>
        <w:rPr>
          <w:color w:val="231F20"/>
          <w:w w:val="105"/>
        </w:rPr>
        <w:t>PRI</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elecciones</w:t>
      </w:r>
      <w:r>
        <w:rPr>
          <w:color w:val="231F20"/>
          <w:spacing w:val="-14"/>
          <w:w w:val="105"/>
        </w:rPr>
        <w:t> </w:t>
      </w:r>
      <w:r>
        <w:rPr>
          <w:color w:val="231F20"/>
          <w:w w:val="105"/>
        </w:rPr>
        <w:t>municipales en</w:t>
      </w:r>
      <w:r>
        <w:rPr>
          <w:color w:val="231F20"/>
          <w:spacing w:val="-11"/>
          <w:w w:val="105"/>
        </w:rPr>
        <w:t> </w:t>
      </w:r>
      <w:r>
        <w:rPr>
          <w:color w:val="231F20"/>
          <w:w w:val="105"/>
        </w:rPr>
        <w:t>Ixtapan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Sal</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(1990-2006)</w:t>
      </w:r>
    </w:p>
    <w:p>
      <w:pPr>
        <w:pStyle w:val="BodyText"/>
        <w:spacing w:before="1"/>
        <w:rPr>
          <w:b/>
          <w:sz w:val="16"/>
        </w:rPr>
      </w:pPr>
      <w:r>
        <w:rPr/>
        <w:pict>
          <v:group style="position:absolute;margin-left:70.942902pt;margin-top:11.217681pt;width:339.2pt;height:221.9pt;mso-position-horizontal-relative:page;mso-position-vertical-relative:paragraph;z-index:6832;mso-wrap-distance-left:0;mso-wrap-distance-right:0" coordorigin="1419,224" coordsize="6784,4438">
            <v:shape style="position:absolute;left:1603;top:272;width:6031;height:2659" coordorigin="1603,272" coordsize="6031,2659" path="m1603,2931l2801,1460,5254,272,7634,272e" filled="false" stroked="true" strokeweight="2pt" strokecolor="#bcbec0">
              <v:path arrowok="t"/>
            </v:shape>
            <v:shape style="position:absolute;left:1578;top:1640;width:6057;height:1842" coordorigin="1578,1640" coordsize="6057,1842" path="m1578,3482l2797,3188,4010,2787,5228,2278,6432,2572,7635,1640e" filled="false" stroked="true" strokeweight="2pt" strokecolor="#be1e2d">
              <v:path arrowok="t"/>
            </v:shape>
            <v:shape style="position:absolute;left:1578;top:2725;width:6058;height:1878" coordorigin="1578,2725" coordsize="6058,1878" path="m1578,4602l2796,3337,4005,3337,5223,3306,6426,2725,7635,4113e" filled="false" stroked="true" strokeweight="2pt" strokecolor="#1b75bc">
              <v:path arrowok="t"/>
            </v:shape>
            <v:shape style="position:absolute;left:1604;top:4031;width:6031;height:444" coordorigin="1604,4031" coordsize="6031,444" path="m1604,4273l2817,4433,4020,4237,5228,4031,6421,4474,7635,4061e" filled="false" stroked="true" strokeweight="2.0pt" strokecolor="#fbb040">
              <v:path arrowok="t"/>
            </v:shape>
            <v:shape style="position:absolute;left:1578;top:4298;width:6082;height:176" coordorigin="1578,4298" coordsize="6082,176" path="m1578,4370l2781,4344,4005,4357,5218,4474,6421,4344,7660,4298e" filled="false" stroked="true" strokeweight="2pt" strokecolor="#662d91">
              <v:path arrowok="t"/>
            </v:shape>
            <v:shape style="position:absolute;left:1731;top:2883;width:401;height:140" type="#_x0000_t75" stroked="false">
              <v:imagedata r:id="rId188" o:title=""/>
            </v:shape>
            <v:shape style="position:absolute;left:1758;top:3412;width:373;height:140" type="#_x0000_t75" stroked="false">
              <v:imagedata r:id="rId189" o:title=""/>
            </v:shape>
            <v:shape style="position:absolute;left:1759;top:4229;width:79;height:119" coordorigin="1759,4229" coordsize="79,119" path="m1814,4229l1801,4229,1789,4231,1778,4236,1770,4245,1764,4258,1761,4268,1759,4280,1759,4298,1760,4308,1762,4319,1766,4328,1771,4335,1779,4344,1788,4348,1811,4348,1821,4344,1828,4335,1792,4335,1787,4332,1778,4322,1776,4316,1776,4301,1778,4295,1788,4286,1790,4285,1774,4285,1775,4272,1775,4271,1777,4261,1787,4246,1793,4242,1830,4242,1823,4233,1814,4229xm1832,4284l1808,4284,1814,4287,1821,4298,1823,4303,1823,4316,1821,4322,1813,4332,1808,4335,1828,4335,1835,4328,1838,4318,1838,4296,1834,4286,1832,4284xm1812,4271l1796,4271,1791,4272,1787,4274,1782,4277,1777,4280,1774,4285,1790,4285,1793,4284,1832,4284,1820,4274,1812,4271xm1830,4242l1808,4242,1814,4244,1819,4252,1820,4255,1821,4260,1835,4260,1835,4253,1833,4246,1830,4242xe" filled="true" fillcolor="#231f20" stroked="false">
              <v:path arrowok="t"/>
              <v:fill type="solid"/>
            </v:shape>
            <v:shape style="position:absolute;left:1850;top:4230;width:78;height:119" coordorigin="1850,4230" coordsize="78,119" path="m1866,4317l1852,4317,1852,4326,1855,4333,1866,4345,1875,4348,1886,4348,1898,4346,1907,4341,1912,4336,1882,4336,1878,4335,1875,4333,1870,4330,1867,4325,1866,4317xm1928,4292l1913,4292,1911,4310,1908,4321,1898,4333,1892,4336,1912,4336,1915,4333,1922,4321,1926,4310,1928,4297,1928,4292xm1888,4230l1876,4230,1866,4234,1853,4249,1850,4259,1850,4280,1853,4289,1866,4302,1875,4306,1892,4306,1897,4305,1906,4301,1910,4297,1913,4293,1880,4293,1874,4291,1867,4282,1865,4276,1865,4260,1867,4255,1876,4245,1881,4243,1917,4243,1917,4242,1909,4235,1900,4231,1888,4230xm1917,4243l1895,4243,1900,4245,1909,4253,1911,4259,1911,4277,1909,4284,1899,4291,1894,4293,1913,4293,1913,4292,1928,4292,1928,4271,1926,4260,1923,4252,1917,4243xe" filled="true" fillcolor="#231f20" stroked="false">
              <v:path arrowok="t"/>
              <v:fill type="solid"/>
            </v:shape>
            <v:shape style="position:absolute;left:1941;top:4232;width:80;height:116" coordorigin="1941,4232" coordsize="80,116" path="m1956,4315l1941,4315,1942,4326,1946,4334,1960,4345,1969,4348,1993,4348,2004,4343,2011,4335,1975,4335,1971,4334,1968,4333,1961,4329,1957,4324,1956,4315xm2012,4283l1987,4283,1993,4286,2002,4294,2005,4301,2005,4315,2003,4321,1994,4332,1988,4335,2011,4335,2017,4327,2020,4317,2020,4296,2017,4287,2012,4283xm2014,4232l1954,4232,1945,4294,1958,4294,1960,4291,1963,4288,1971,4284,1975,4283,2012,4283,2006,4278,1960,4278,1965,4246,2014,4246,2014,4232xm1993,4270l1977,4270,1972,4271,1965,4274,1963,4276,1960,4278,2006,4278,2002,4274,1993,4270xe" filled="true" fillcolor="#231f20" stroked="false">
              <v:path arrowok="t"/>
              <v:fill type="solid"/>
            </v:shape>
            <v:shape style="position:absolute;left:2673;top:4085;width:262;height:118" type="#_x0000_t75" stroked="false">
              <v:imagedata r:id="rId190" o:title=""/>
            </v:shape>
            <v:shape style="position:absolute;left:2749;top:4507;width:265;height:115" type="#_x0000_t75" stroked="false">
              <v:imagedata r:id="rId191" o:title=""/>
            </v:shape>
            <v:shape style="position:absolute;left:4169;top:4157;width:262;height:119" type="#_x0000_t75" stroked="false">
              <v:imagedata r:id="rId192" o:title=""/>
            </v:shape>
            <v:shape style="position:absolute;left:4169;top:4318;width:144;height:117" type="#_x0000_t75" stroked="false">
              <v:imagedata r:id="rId193" o:title=""/>
            </v:shape>
            <v:shape style="position:absolute;left:4351;top:4317;width:82;height:116" coordorigin="4351,4317" coordsize="82,116" path="m4416,4404l4402,4404,4402,4432,4416,4432,4416,4404xm4416,4317l4404,4317,4351,4390,4351,4404,4433,4404,4433,4391,4365,4391,4401,4339,4416,4339,4416,4317xm4416,4339l4401,4339,4401,4391,4416,4391,4416,4339xe" filled="true" fillcolor="#231f20" stroked="false">
              <v:path arrowok="t"/>
              <v:fill type="solid"/>
            </v:shape>
            <v:shape style="position:absolute;left:5419;top:3967;width:389;height:140" type="#_x0000_t75" stroked="false">
              <v:imagedata r:id="rId194" o:title=""/>
            </v:shape>
            <v:shape style="position:absolute;left:5408;top:4435;width:263;height:115" type="#_x0000_t75" stroked="false">
              <v:imagedata r:id="rId195" o:title=""/>
            </v:shape>
            <v:shape style="position:absolute;left:6488;top:4121;width:264;height:118" type="#_x0000_t75" stroked="false">
              <v:imagedata r:id="rId196" o:title=""/>
            </v:shape>
            <v:shape style="position:absolute;left:6600;top:4404;width:146;height:118" type="#_x0000_t75" stroked="false">
              <v:imagedata r:id="rId197" o:title=""/>
            </v:shape>
            <v:shape style="position:absolute;left:6785;top:4406;width:80;height:114" coordorigin="6785,4406" coordsize="80,114" path="m6865,4406l6785,4406,6785,4421,6849,4421,6843,4428,6810,4487,6801,4520,6817,4520,6820,4508,6822,4499,6826,4486,6829,4477,6834,4467,6839,4456,6844,4447,6856,4429,6861,4423,6865,4419,6865,4406xe" filled="true" fillcolor="#231f20" stroked="false">
              <v:path arrowok="t"/>
              <v:fill type="solid"/>
            </v:shape>
            <v:shape style="position:absolute;left:7295;top:3664;width:389;height:140" type="#_x0000_t75" stroked="false">
              <v:imagedata r:id="rId198" o:title=""/>
            </v:shape>
            <v:shape style="position:absolute;left:7162;top:3999;width:43;height:115" coordorigin="7162,3999" coordsize="43,115" path="m7204,3999l7193,3999,7191,4008,7188,4013,7179,4018,7172,4020,7162,4021,7162,4032,7189,4032,7189,4113,7204,4113,7204,3999xe" filled="true" fillcolor="#231f20" stroked="false">
              <v:path arrowok="t"/>
              <v:fill type="solid"/>
            </v:shape>
            <v:shape style="position:absolute;left:7251;top:4096;width:18;height:42" coordorigin="7251,4096" coordsize="18,42" path="m7268,4096l7251,4096,7251,4113,7260,4113,7260,4118,7260,4120,7257,4127,7255,4130,7251,4130,7251,4138,7257,4137,7262,4134,7267,4124,7268,4118,7268,4096xe" filled="true" fillcolor="#231f20" stroked="false">
              <v:path arrowok="t"/>
              <v:fill type="solid"/>
            </v:shape>
            <v:shape style="position:absolute;left:7299;top:3999;width:43;height:115" coordorigin="7299,3999" coordsize="43,115" path="m7341,3999l7330,3999,7328,4008,7325,4013,7317,4018,7309,4020,7299,4021,7299,4032,7326,4032,7326,4113,7341,4113,7341,3999xe" filled="true" fillcolor="#231f20" stroked="false">
              <v:path arrowok="t"/>
              <v:fill type="solid"/>
            </v:shape>
            <v:shape style="position:absolute;left:7381;top:3998;width:169;height:118" type="#_x0000_t75" stroked="false">
              <v:imagedata r:id="rId199" o:title=""/>
            </v:shape>
            <v:shape style="position:absolute;left:7641;top:4404;width:260;height:119" type="#_x0000_t75" stroked="false">
              <v:imagedata r:id="rId200" o:title=""/>
            </v:shape>
            <v:shape style="position:absolute;left:1757;top:4358;width:82;height:116" coordorigin="1757,4358" coordsize="82,116" path="m1822,4445l1808,4445,1808,4473,1822,4473,1822,4445xm1822,4358l1810,4358,1757,4431,1757,4445,1839,4445,1839,4433,1770,4433,1807,4380,1822,4380,1822,4358xm1822,4380l1807,4380,1807,4433,1822,4433,1822,4380xe" filled="true" fillcolor="#231f20" stroked="false">
              <v:path arrowok="t"/>
              <v:fill type="solid"/>
            </v:shape>
            <v:shape style="position:absolute;left:1849;top:4358;width:82;height:116" coordorigin="1849,4358" coordsize="82,116" path="m1913,4445l1899,4445,1899,4473,1913,4473,1913,4445xm1913,4358l1901,4358,1849,4431,1849,4445,1930,4445,1930,4433,1862,4433,1899,4380,1913,4380,1913,4358xm1913,4380l1899,4380,1899,4433,1913,4433,1913,4380xe" filled="true" fillcolor="#231f20" stroked="false">
              <v:path arrowok="t"/>
              <v:fill type="solid"/>
            </v:shape>
            <v:shape style="position:absolute;left:1942;top:4360;width:80;height:114" coordorigin="1942,4360" coordsize="80,114" path="m2022,4360l1942,4360,1942,4375,2006,4375,2000,4382,1967,4440,1958,4473,1974,4473,1977,4462,1979,4453,1983,4439,1986,4430,1991,4420,1996,4410,2001,4400,2013,4383,2018,4376,2022,4373,2022,4360xe" filled="true" fillcolor="#231f20" stroked="false">
              <v:path arrowok="t"/>
              <v:fill type="solid"/>
            </v:shape>
            <v:shape style="position:absolute;left:1758;top:4543;width:80;height:119" coordorigin="1758,4543" coordsize="80,119" path="m1812,4543l1797,4543,1786,4545,1776,4550,1769,4558,1763,4570,1760,4579,1758,4590,1758,4603,1759,4615,1760,4626,1763,4635,1766,4643,1773,4655,1783,4661,1813,4661,1824,4654,1826,4648,1788,4648,1781,4643,1775,4625,1774,4616,1774,4588,1776,4576,1783,4560,1790,4556,1827,4556,1823,4549,1812,4543xm1827,4556l1808,4556,1814,4561,1820,4577,1822,4588,1822,4619,1820,4632,1811,4645,1805,4648,1826,4648,1830,4639,1835,4629,1837,4616,1837,4584,1835,4571,1827,4556xe" filled="true" fillcolor="#231f20" stroked="false">
              <v:path arrowok="t"/>
              <v:fill type="solid"/>
            </v:shape>
            <v:shape style="position:absolute;left:2944;top:3124;width:401;height:140" type="#_x0000_t75" stroked="false">
              <v:imagedata r:id="rId201" o:title=""/>
            </v:shape>
            <v:shape style="position:absolute;left:2946;top:3304;width:400;height:140" type="#_x0000_t75" stroked="false">
              <v:imagedata r:id="rId202" o:title=""/>
            </v:shape>
            <v:shape style="position:absolute;left:4169;top:3304;width:400;height:140" type="#_x0000_t75" stroked="false">
              <v:imagedata r:id="rId203" o:title=""/>
            </v:shape>
            <v:shape style="position:absolute;left:5408;top:3252;width:399;height:140" type="#_x0000_t75" stroked="false">
              <v:imagedata r:id="rId204" o:title=""/>
            </v:shape>
            <v:shape style="position:absolute;left:4142;top:2743;width:401;height:140" type="#_x0000_t75" stroked="false">
              <v:imagedata r:id="rId205" o:title=""/>
            </v:shape>
            <v:shape style="position:absolute;left:5361;top:2240;width:401;height:140" type="#_x0000_t75" stroked="false">
              <v:imagedata r:id="rId206" o:title=""/>
            </v:shape>
            <v:shape style="position:absolute;left:6569;top:2517;width:433;height:294" type="#_x0000_t75" stroked="false">
              <v:imagedata r:id="rId207" o:title=""/>
            </v:shape>
            <v:shape style="position:absolute;left:7800;top:1587;width:400;height:140" type="#_x0000_t75" stroked="false">
              <v:imagedata r:id="rId208" o:title=""/>
            </v:shape>
            <v:shape style="position:absolute;left:2947;top:1417;width:281;height:140" type="#_x0000_t75" stroked="false">
              <v:imagedata r:id="rId209" o:title=""/>
            </v:shape>
            <v:shape style="position:absolute;left:3266;top:1417;width:80;height:116" coordorigin="3266,1417" coordsize="80,116" path="m3338,1430l3314,1430,3319,1432,3327,1440,3329,1445,3329,1458,3327,1463,3320,1470,3315,1474,3283,1493,3276,1499,3268,1514,3266,1523,3266,1533,3345,1533,3345,1519,3282,1519,3283,1513,3287,1508,3295,1501,3299,1498,3325,1484,3332,1479,3336,1475,3342,1469,3345,1461,3345,1443,3342,1435,3338,1430xm3321,1417l3292,1417,3280,1423,3271,1440,3269,1448,3269,1458,3283,1458,3284,1451,3285,1446,3291,1434,3297,1430,3338,1430,3330,1421,3321,1417xe" filled="true" fillcolor="#231f20" stroked="false">
              <v:path arrowok="t"/>
              <v:fill type="solid"/>
            </v:shape>
            <v:shape style="position:absolute;left:4144;top:857;width:281;height:140" type="#_x0000_t75" stroked="false">
              <v:imagedata r:id="rId210" o:title=""/>
            </v:shape>
            <v:shape style="position:absolute;left:4464;top:859;width:80;height:116" coordorigin="4464,859" coordsize="80,116" path="m4479,943l4464,943,4465,954,4469,962,4483,972,4491,975,4516,975,4526,971,4533,962,4498,962,4494,962,4484,957,4480,951,4479,943xm4535,911l4509,911,4515,913,4525,922,4528,928,4527,943,4525,949,4517,960,4511,962,4533,962,4540,954,4543,945,4543,923,4539,915,4535,911xm4537,859l4477,859,4468,921,4481,922,4483,918,4486,916,4493,912,4498,911,4535,911,4529,905,4483,905,4488,873,4537,873,4537,859xm4516,898l4500,898,4495,899,4490,900,4488,901,4485,903,4483,905,4529,905,4525,901,4516,898xe" filled="true" fillcolor="#231f20" stroked="false">
              <v:path arrowok="t"/>
              <v:fill type="solid"/>
            </v:shape>
            <v:shape style="position:absolute;left:5363;top:224;width:399;height:140" type="#_x0000_t75" stroked="false">
              <v:imagedata r:id="rId211" o:title=""/>
            </v:shape>
            <v:shape style="position:absolute;left:6571;top:224;width:400;height:140" type="#_x0000_t75" stroked="false">
              <v:imagedata r:id="rId212" o:title=""/>
            </v:shape>
            <v:shape style="position:absolute;left:7764;top:224;width:399;height:140" type="#_x0000_t75" stroked="false">
              <v:imagedata r:id="rId213" o:title=""/>
            </v:shape>
            <v:line style="position:absolute" from="1424,4602" to="8198,4602" stroked="true" strokeweight=".5pt" strokecolor="#a7a9ac"/>
            <w10:wrap type="topAndBottom"/>
          </v:group>
        </w:pict>
      </w:r>
      <w:r>
        <w:rPr/>
        <w:drawing>
          <wp:anchor distT="0" distB="0" distL="0" distR="0" allowOverlap="1" layoutInCell="1" locked="0" behindDoc="0" simplePos="0" relativeHeight="6856">
            <wp:simplePos x="0" y="0"/>
            <wp:positionH relativeFrom="page">
              <wp:posOffset>914147</wp:posOffset>
            </wp:positionH>
            <wp:positionV relativeFrom="paragraph">
              <wp:posOffset>3051821</wp:posOffset>
            </wp:positionV>
            <wp:extent cx="219651" cy="75723"/>
            <wp:effectExtent l="0" t="0" r="0" b="0"/>
            <wp:wrapTopAndBottom/>
            <wp:docPr id="99" name="image178.png" descr=""/>
            <wp:cNvGraphicFramePr>
              <a:graphicFrameLocks noChangeAspect="1"/>
            </wp:cNvGraphicFramePr>
            <a:graphic>
              <a:graphicData uri="http://schemas.openxmlformats.org/drawingml/2006/picture">
                <pic:pic>
                  <pic:nvPicPr>
                    <pic:cNvPr id="100" name="image178.png"/>
                    <pic:cNvPicPr/>
                  </pic:nvPicPr>
                  <pic:blipFill>
                    <a:blip r:embed="rId214" cstate="print"/>
                    <a:stretch>
                      <a:fillRect/>
                    </a:stretch>
                  </pic:blipFill>
                  <pic:spPr>
                    <a:xfrm>
                      <a:off x="0" y="0"/>
                      <a:ext cx="219651" cy="75723"/>
                    </a:xfrm>
                    <a:prstGeom prst="rect">
                      <a:avLst/>
                    </a:prstGeom>
                  </pic:spPr>
                </pic:pic>
              </a:graphicData>
            </a:graphic>
          </wp:anchor>
        </w:drawing>
      </w:r>
      <w:r>
        <w:rPr/>
        <w:drawing>
          <wp:anchor distT="0" distB="0" distL="0" distR="0" allowOverlap="1" layoutInCell="1" locked="0" behindDoc="0" simplePos="0" relativeHeight="6880">
            <wp:simplePos x="0" y="0"/>
            <wp:positionH relativeFrom="page">
              <wp:posOffset>1682803</wp:posOffset>
            </wp:positionH>
            <wp:positionV relativeFrom="paragraph">
              <wp:posOffset>3051821</wp:posOffset>
            </wp:positionV>
            <wp:extent cx="219579" cy="75723"/>
            <wp:effectExtent l="0" t="0" r="0" b="0"/>
            <wp:wrapTopAndBottom/>
            <wp:docPr id="101" name="image179.png" descr=""/>
            <wp:cNvGraphicFramePr>
              <a:graphicFrameLocks noChangeAspect="1"/>
            </wp:cNvGraphicFramePr>
            <a:graphic>
              <a:graphicData uri="http://schemas.openxmlformats.org/drawingml/2006/picture">
                <pic:pic>
                  <pic:nvPicPr>
                    <pic:cNvPr id="102" name="image179.png"/>
                    <pic:cNvPicPr/>
                  </pic:nvPicPr>
                  <pic:blipFill>
                    <a:blip r:embed="rId215" cstate="print"/>
                    <a:stretch>
                      <a:fillRect/>
                    </a:stretch>
                  </pic:blipFill>
                  <pic:spPr>
                    <a:xfrm>
                      <a:off x="0" y="0"/>
                      <a:ext cx="219579" cy="75723"/>
                    </a:xfrm>
                    <a:prstGeom prst="rect">
                      <a:avLst/>
                    </a:prstGeom>
                  </pic:spPr>
                </pic:pic>
              </a:graphicData>
            </a:graphic>
          </wp:anchor>
        </w:drawing>
      </w:r>
      <w:r>
        <w:rPr/>
        <w:drawing>
          <wp:anchor distT="0" distB="0" distL="0" distR="0" allowOverlap="1" layoutInCell="1" locked="0" behindDoc="0" simplePos="0" relativeHeight="6904">
            <wp:simplePos x="0" y="0"/>
            <wp:positionH relativeFrom="page">
              <wp:posOffset>2452389</wp:posOffset>
            </wp:positionH>
            <wp:positionV relativeFrom="paragraph">
              <wp:posOffset>3051617</wp:posOffset>
            </wp:positionV>
            <wp:extent cx="219444" cy="75723"/>
            <wp:effectExtent l="0" t="0" r="0" b="0"/>
            <wp:wrapTopAndBottom/>
            <wp:docPr id="103" name="image180.png" descr=""/>
            <wp:cNvGraphicFramePr>
              <a:graphicFrameLocks noChangeAspect="1"/>
            </wp:cNvGraphicFramePr>
            <a:graphic>
              <a:graphicData uri="http://schemas.openxmlformats.org/drawingml/2006/picture">
                <pic:pic>
                  <pic:nvPicPr>
                    <pic:cNvPr id="104" name="image180.png"/>
                    <pic:cNvPicPr/>
                  </pic:nvPicPr>
                  <pic:blipFill>
                    <a:blip r:embed="rId216" cstate="print"/>
                    <a:stretch>
                      <a:fillRect/>
                    </a:stretch>
                  </pic:blipFill>
                  <pic:spPr>
                    <a:xfrm>
                      <a:off x="0" y="0"/>
                      <a:ext cx="219444" cy="75723"/>
                    </a:xfrm>
                    <a:prstGeom prst="rect">
                      <a:avLst/>
                    </a:prstGeom>
                  </pic:spPr>
                </pic:pic>
              </a:graphicData>
            </a:graphic>
          </wp:anchor>
        </w:drawing>
      </w:r>
      <w:r>
        <w:rPr/>
        <w:drawing>
          <wp:anchor distT="0" distB="0" distL="0" distR="0" allowOverlap="1" layoutInCell="1" locked="0" behindDoc="0" simplePos="0" relativeHeight="6928">
            <wp:simplePos x="0" y="0"/>
            <wp:positionH relativeFrom="page">
              <wp:posOffset>3209444</wp:posOffset>
            </wp:positionH>
            <wp:positionV relativeFrom="paragraph">
              <wp:posOffset>3051673</wp:posOffset>
            </wp:positionV>
            <wp:extent cx="225988" cy="75723"/>
            <wp:effectExtent l="0" t="0" r="0" b="0"/>
            <wp:wrapTopAndBottom/>
            <wp:docPr id="105" name="image181.png" descr=""/>
            <wp:cNvGraphicFramePr>
              <a:graphicFrameLocks noChangeAspect="1"/>
            </wp:cNvGraphicFramePr>
            <a:graphic>
              <a:graphicData uri="http://schemas.openxmlformats.org/drawingml/2006/picture">
                <pic:pic>
                  <pic:nvPicPr>
                    <pic:cNvPr id="106" name="image181.png"/>
                    <pic:cNvPicPr/>
                  </pic:nvPicPr>
                  <pic:blipFill>
                    <a:blip r:embed="rId217" cstate="print"/>
                    <a:stretch>
                      <a:fillRect/>
                    </a:stretch>
                  </pic:blipFill>
                  <pic:spPr>
                    <a:xfrm>
                      <a:off x="0" y="0"/>
                      <a:ext cx="225988" cy="75723"/>
                    </a:xfrm>
                    <a:prstGeom prst="rect">
                      <a:avLst/>
                    </a:prstGeom>
                  </pic:spPr>
                </pic:pic>
              </a:graphicData>
            </a:graphic>
          </wp:anchor>
        </w:drawing>
      </w:r>
      <w:r>
        <w:rPr/>
        <w:drawing>
          <wp:anchor distT="0" distB="0" distL="0" distR="0" allowOverlap="1" layoutInCell="1" locked="0" behindDoc="0" simplePos="0" relativeHeight="6952">
            <wp:simplePos x="0" y="0"/>
            <wp:positionH relativeFrom="page">
              <wp:posOffset>3978061</wp:posOffset>
            </wp:positionH>
            <wp:positionV relativeFrom="paragraph">
              <wp:posOffset>3051673</wp:posOffset>
            </wp:positionV>
            <wp:extent cx="225886" cy="75723"/>
            <wp:effectExtent l="0" t="0" r="0" b="0"/>
            <wp:wrapTopAndBottom/>
            <wp:docPr id="107" name="image182.png" descr=""/>
            <wp:cNvGraphicFramePr>
              <a:graphicFrameLocks noChangeAspect="1"/>
            </wp:cNvGraphicFramePr>
            <a:graphic>
              <a:graphicData uri="http://schemas.openxmlformats.org/drawingml/2006/picture">
                <pic:pic>
                  <pic:nvPicPr>
                    <pic:cNvPr id="108" name="image182.png"/>
                    <pic:cNvPicPr/>
                  </pic:nvPicPr>
                  <pic:blipFill>
                    <a:blip r:embed="rId218" cstate="print"/>
                    <a:stretch>
                      <a:fillRect/>
                    </a:stretch>
                  </pic:blipFill>
                  <pic:spPr>
                    <a:xfrm>
                      <a:off x="0" y="0"/>
                      <a:ext cx="225886" cy="75723"/>
                    </a:xfrm>
                    <a:prstGeom prst="rect">
                      <a:avLst/>
                    </a:prstGeom>
                  </pic:spPr>
                </pic:pic>
              </a:graphicData>
            </a:graphic>
          </wp:anchor>
        </w:drawing>
      </w:r>
      <w:r>
        <w:rPr/>
        <w:drawing>
          <wp:anchor distT="0" distB="0" distL="0" distR="0" allowOverlap="1" layoutInCell="1" locked="0" behindDoc="0" simplePos="0" relativeHeight="6976">
            <wp:simplePos x="0" y="0"/>
            <wp:positionH relativeFrom="page">
              <wp:posOffset>4744702</wp:posOffset>
            </wp:positionH>
            <wp:positionV relativeFrom="paragraph">
              <wp:posOffset>3051617</wp:posOffset>
            </wp:positionV>
            <wp:extent cx="226173" cy="75723"/>
            <wp:effectExtent l="0" t="0" r="0" b="0"/>
            <wp:wrapTopAndBottom/>
            <wp:docPr id="109" name="image183.png" descr=""/>
            <wp:cNvGraphicFramePr>
              <a:graphicFrameLocks noChangeAspect="1"/>
            </wp:cNvGraphicFramePr>
            <a:graphic>
              <a:graphicData uri="http://schemas.openxmlformats.org/drawingml/2006/picture">
                <pic:pic>
                  <pic:nvPicPr>
                    <pic:cNvPr id="110" name="image183.png"/>
                    <pic:cNvPicPr/>
                  </pic:nvPicPr>
                  <pic:blipFill>
                    <a:blip r:embed="rId219" cstate="print"/>
                    <a:stretch>
                      <a:fillRect/>
                    </a:stretch>
                  </pic:blipFill>
                  <pic:spPr>
                    <a:xfrm>
                      <a:off x="0" y="0"/>
                      <a:ext cx="226173" cy="75723"/>
                    </a:xfrm>
                    <a:prstGeom prst="rect">
                      <a:avLst/>
                    </a:prstGeom>
                  </pic:spPr>
                </pic:pic>
              </a:graphicData>
            </a:graphic>
          </wp:anchor>
        </w:drawing>
      </w:r>
    </w:p>
    <w:p>
      <w:pPr>
        <w:pStyle w:val="BodyText"/>
        <w:spacing w:before="7"/>
        <w:rPr>
          <w:b/>
          <w:sz w:val="6"/>
        </w:rPr>
      </w:pPr>
    </w:p>
    <w:p>
      <w:pPr>
        <w:pStyle w:val="BodyText"/>
        <w:spacing w:before="4"/>
        <w:rPr>
          <w:b/>
          <w:sz w:val="29"/>
        </w:rPr>
      </w:pPr>
    </w:p>
    <w:p>
      <w:pPr>
        <w:spacing w:before="0"/>
        <w:ind w:left="4650" w:right="-2" w:firstLine="0"/>
        <w:jc w:val="left"/>
        <w:rPr>
          <w:rFonts w:ascii="Calibri" w:hAnsi="Calibri"/>
          <w:sz w:val="16"/>
        </w:rPr>
      </w:pPr>
      <w:r>
        <w:rPr>
          <w:rFonts w:ascii="Calibri" w:hAnsi="Calibri"/>
          <w:color w:val="231F20"/>
          <w:sz w:val="16"/>
        </w:rPr>
        <w:t>Fuente: elaboración propia con información de IEEM.</w:t>
      </w:r>
    </w:p>
    <w:p>
      <w:pPr>
        <w:pStyle w:val="BodyText"/>
        <w:rPr>
          <w:rFonts w:ascii="Calibri"/>
          <w:sz w:val="16"/>
        </w:rPr>
      </w:pPr>
    </w:p>
    <w:p>
      <w:pPr>
        <w:pStyle w:val="BodyText"/>
        <w:spacing w:before="9"/>
        <w:rPr>
          <w:rFonts w:ascii="Calibri"/>
          <w:sz w:val="12"/>
        </w:rPr>
      </w:pPr>
    </w:p>
    <w:p>
      <w:pPr>
        <w:pStyle w:val="BodyText"/>
        <w:spacing w:line="285" w:lineRule="auto" w:before="1"/>
        <w:ind w:left="110" w:right="106"/>
        <w:jc w:val="both"/>
      </w:pPr>
      <w:r>
        <w:rPr>
          <w:color w:val="231F20"/>
          <w:w w:val="105"/>
        </w:rPr>
        <w:t>El</w:t>
      </w:r>
      <w:r>
        <w:rPr>
          <w:color w:val="231F20"/>
          <w:spacing w:val="-17"/>
          <w:w w:val="105"/>
        </w:rPr>
        <w:t> </w:t>
      </w:r>
      <w:r>
        <w:rPr>
          <w:color w:val="231F20"/>
          <w:w w:val="105"/>
        </w:rPr>
        <w:t>Partido</w:t>
      </w:r>
      <w:r>
        <w:rPr>
          <w:color w:val="231F20"/>
          <w:spacing w:val="-17"/>
          <w:w w:val="105"/>
        </w:rPr>
        <w:t> </w:t>
      </w:r>
      <w:r>
        <w:rPr>
          <w:color w:val="231F20"/>
          <w:w w:val="105"/>
        </w:rPr>
        <w:t>Acción</w:t>
      </w:r>
      <w:r>
        <w:rPr>
          <w:color w:val="231F20"/>
          <w:spacing w:val="-17"/>
          <w:w w:val="105"/>
        </w:rPr>
        <w:t> </w:t>
      </w:r>
      <w:r>
        <w:rPr>
          <w:color w:val="231F20"/>
          <w:w w:val="105"/>
        </w:rPr>
        <w:t>Nacional</w:t>
      </w:r>
      <w:r>
        <w:rPr>
          <w:color w:val="231F20"/>
          <w:spacing w:val="-17"/>
          <w:w w:val="105"/>
        </w:rPr>
        <w:t> </w:t>
      </w:r>
      <w:r>
        <w:rPr>
          <w:color w:val="231F20"/>
          <w:w w:val="105"/>
        </w:rPr>
        <w:t>poseyó</w:t>
      </w:r>
      <w:r>
        <w:rPr>
          <w:color w:val="231F20"/>
          <w:spacing w:val="-17"/>
          <w:w w:val="105"/>
        </w:rPr>
        <w:t> </w:t>
      </w:r>
      <w:r>
        <w:rPr>
          <w:color w:val="231F20"/>
          <w:w w:val="105"/>
        </w:rPr>
        <w:t>una</w:t>
      </w:r>
      <w:r>
        <w:rPr>
          <w:color w:val="231F20"/>
          <w:spacing w:val="-17"/>
          <w:w w:val="105"/>
        </w:rPr>
        <w:t> </w:t>
      </w:r>
      <w:r>
        <w:rPr>
          <w:color w:val="231F20"/>
          <w:w w:val="105"/>
        </w:rPr>
        <w:t>trayectoria</w:t>
      </w:r>
      <w:r>
        <w:rPr>
          <w:color w:val="231F20"/>
          <w:spacing w:val="-17"/>
          <w:w w:val="105"/>
        </w:rPr>
        <w:t> </w:t>
      </w:r>
      <w:r>
        <w:rPr>
          <w:color w:val="231F20"/>
          <w:w w:val="105"/>
        </w:rPr>
        <w:t>competitiva</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PRI</w:t>
      </w:r>
      <w:r>
        <w:rPr>
          <w:color w:val="231F20"/>
          <w:spacing w:val="-17"/>
          <w:w w:val="105"/>
        </w:rPr>
        <w:t> </w:t>
      </w:r>
      <w:r>
        <w:rPr>
          <w:color w:val="231F20"/>
          <w:w w:val="105"/>
        </w:rPr>
        <w:t>pues</w:t>
      </w:r>
      <w:r>
        <w:rPr>
          <w:color w:val="231F20"/>
          <w:spacing w:val="-17"/>
          <w:w w:val="105"/>
        </w:rPr>
        <w:t> </w:t>
      </w:r>
      <w:r>
        <w:rPr>
          <w:color w:val="231F20"/>
          <w:w w:val="105"/>
        </w:rPr>
        <w:t>además de</w:t>
      </w:r>
      <w:r>
        <w:rPr>
          <w:color w:val="231F20"/>
          <w:spacing w:val="-4"/>
          <w:w w:val="105"/>
        </w:rPr>
        <w:t> </w:t>
      </w:r>
      <w:r>
        <w:rPr>
          <w:color w:val="231F20"/>
          <w:w w:val="105"/>
        </w:rPr>
        <w:t>mantener</w:t>
      </w:r>
      <w:r>
        <w:rPr>
          <w:color w:val="231F20"/>
          <w:spacing w:val="-4"/>
          <w:w w:val="105"/>
        </w:rPr>
        <w:t> </w:t>
      </w:r>
      <w:r>
        <w:rPr>
          <w:color w:val="231F20"/>
          <w:w w:val="105"/>
        </w:rPr>
        <w:t>tasas</w:t>
      </w:r>
      <w:r>
        <w:rPr>
          <w:color w:val="231F20"/>
          <w:spacing w:val="-4"/>
          <w:w w:val="105"/>
        </w:rPr>
        <w:t> </w:t>
      </w:r>
      <w:r>
        <w:rPr>
          <w:color w:val="231F20"/>
          <w:w w:val="105"/>
        </w:rPr>
        <w:t>de</w:t>
      </w:r>
      <w:r>
        <w:rPr>
          <w:color w:val="231F20"/>
          <w:spacing w:val="-4"/>
          <w:w w:val="105"/>
        </w:rPr>
        <w:t> </w:t>
      </w:r>
      <w:r>
        <w:rPr>
          <w:color w:val="231F20"/>
          <w:w w:val="105"/>
        </w:rPr>
        <w:t>votos</w:t>
      </w:r>
      <w:r>
        <w:rPr>
          <w:color w:val="231F20"/>
          <w:spacing w:val="-4"/>
          <w:w w:val="105"/>
        </w:rPr>
        <w:t> </w:t>
      </w:r>
      <w:r>
        <w:rPr>
          <w:color w:val="231F20"/>
          <w:w w:val="105"/>
        </w:rPr>
        <w:t>constantes,</w:t>
      </w:r>
      <w:r>
        <w:rPr>
          <w:color w:val="231F20"/>
          <w:spacing w:val="-4"/>
          <w:w w:val="105"/>
        </w:rPr>
        <w:t> </w:t>
      </w:r>
      <w:r>
        <w:rPr>
          <w:color w:val="231F20"/>
          <w:w w:val="105"/>
        </w:rPr>
        <w:t>en</w:t>
      </w:r>
      <w:r>
        <w:rPr>
          <w:color w:val="231F20"/>
          <w:spacing w:val="-4"/>
          <w:w w:val="105"/>
        </w:rPr>
        <w:t> </w:t>
      </w:r>
      <w:r>
        <w:rPr>
          <w:color w:val="231F20"/>
          <w:w w:val="105"/>
        </w:rPr>
        <w:t>dos</w:t>
      </w:r>
      <w:r>
        <w:rPr>
          <w:color w:val="231F20"/>
          <w:spacing w:val="-4"/>
          <w:w w:val="105"/>
        </w:rPr>
        <w:t> </w:t>
      </w:r>
      <w:r>
        <w:rPr>
          <w:color w:val="231F20"/>
          <w:w w:val="105"/>
        </w:rPr>
        <w:t>procesos</w:t>
      </w:r>
      <w:r>
        <w:rPr>
          <w:color w:val="231F20"/>
          <w:spacing w:val="-4"/>
          <w:w w:val="105"/>
        </w:rPr>
        <w:t> </w:t>
      </w:r>
      <w:r>
        <w:rPr>
          <w:color w:val="231F20"/>
          <w:w w:val="105"/>
        </w:rPr>
        <w:t>electorales</w:t>
      </w:r>
      <w:r>
        <w:rPr>
          <w:color w:val="231F20"/>
          <w:spacing w:val="-4"/>
          <w:w w:val="105"/>
        </w:rPr>
        <w:t> (1993 </w:t>
      </w:r>
      <w:r>
        <w:rPr>
          <w:color w:val="231F20"/>
          <w:w w:val="105"/>
        </w:rPr>
        <w:t>y</w:t>
      </w:r>
      <w:r>
        <w:rPr>
          <w:color w:val="231F20"/>
          <w:spacing w:val="-4"/>
          <w:w w:val="105"/>
        </w:rPr>
        <w:t> </w:t>
      </w:r>
      <w:r>
        <w:rPr>
          <w:color w:val="231F20"/>
          <w:w w:val="105"/>
        </w:rPr>
        <w:t>2003)</w:t>
      </w:r>
      <w:r>
        <w:rPr>
          <w:color w:val="231F20"/>
          <w:spacing w:val="-4"/>
          <w:w w:val="105"/>
        </w:rPr>
        <w:t> </w:t>
      </w:r>
      <w:r>
        <w:rPr>
          <w:color w:val="231F20"/>
          <w:w w:val="105"/>
        </w:rPr>
        <w:t>puso en</w:t>
      </w:r>
      <w:r>
        <w:rPr>
          <w:color w:val="231F20"/>
          <w:spacing w:val="-20"/>
          <w:w w:val="105"/>
        </w:rPr>
        <w:t> </w:t>
      </w:r>
      <w:r>
        <w:rPr>
          <w:color w:val="231F20"/>
          <w:w w:val="105"/>
        </w:rPr>
        <w:t>riesgo</w:t>
      </w:r>
      <w:r>
        <w:rPr>
          <w:color w:val="231F20"/>
          <w:spacing w:val="-20"/>
          <w:w w:val="105"/>
        </w:rPr>
        <w:t> </w:t>
      </w:r>
      <w:r>
        <w:rPr>
          <w:color w:val="231F20"/>
          <w:w w:val="105"/>
        </w:rPr>
        <w:t>el</w:t>
      </w:r>
      <w:r>
        <w:rPr>
          <w:color w:val="231F20"/>
          <w:spacing w:val="-20"/>
          <w:w w:val="105"/>
        </w:rPr>
        <w:t> </w:t>
      </w:r>
      <w:r>
        <w:rPr>
          <w:color w:val="231F20"/>
          <w:w w:val="105"/>
        </w:rPr>
        <w:t>dominio</w:t>
      </w:r>
      <w:r>
        <w:rPr>
          <w:color w:val="231F20"/>
          <w:spacing w:val="-20"/>
          <w:w w:val="105"/>
        </w:rPr>
        <w:t> </w:t>
      </w:r>
      <w:r>
        <w:rPr>
          <w:color w:val="231F20"/>
          <w:w w:val="105"/>
        </w:rPr>
        <w:t>del</w:t>
      </w:r>
      <w:r>
        <w:rPr>
          <w:color w:val="231F20"/>
          <w:spacing w:val="-20"/>
          <w:w w:val="105"/>
        </w:rPr>
        <w:t> </w:t>
      </w:r>
      <w:r>
        <w:rPr>
          <w:color w:val="231F20"/>
          <w:w w:val="105"/>
        </w:rPr>
        <w:t>viejo</w:t>
      </w:r>
      <w:r>
        <w:rPr>
          <w:color w:val="231F20"/>
          <w:spacing w:val="-20"/>
          <w:w w:val="105"/>
        </w:rPr>
        <w:t> </w:t>
      </w:r>
      <w:r>
        <w:rPr>
          <w:color w:val="231F20"/>
          <w:w w:val="105"/>
        </w:rPr>
        <w:t>partido</w:t>
      </w:r>
      <w:r>
        <w:rPr>
          <w:color w:val="231F20"/>
          <w:spacing w:val="-20"/>
          <w:w w:val="105"/>
        </w:rPr>
        <w:t> </w:t>
      </w:r>
      <w:r>
        <w:rPr>
          <w:color w:val="231F20"/>
          <w:w w:val="105"/>
        </w:rPr>
        <w:t>con</w:t>
      </w:r>
      <w:r>
        <w:rPr>
          <w:color w:val="231F20"/>
          <w:spacing w:val="-20"/>
          <w:w w:val="105"/>
        </w:rPr>
        <w:t> </w:t>
      </w:r>
      <w:r>
        <w:rPr>
          <w:color w:val="231F20"/>
          <w:w w:val="105"/>
        </w:rPr>
        <w:t>márgenes</w:t>
      </w:r>
      <w:r>
        <w:rPr>
          <w:color w:val="231F20"/>
          <w:spacing w:val="-20"/>
          <w:w w:val="105"/>
        </w:rPr>
        <w:t> </w:t>
      </w:r>
      <w:r>
        <w:rPr>
          <w:color w:val="231F20"/>
          <w:w w:val="105"/>
        </w:rPr>
        <w:t>de</w:t>
      </w:r>
      <w:r>
        <w:rPr>
          <w:color w:val="231F20"/>
          <w:spacing w:val="-20"/>
          <w:w w:val="105"/>
        </w:rPr>
        <w:t> </w:t>
      </w:r>
      <w:r>
        <w:rPr>
          <w:color w:val="231F20"/>
          <w:w w:val="105"/>
        </w:rPr>
        <w:t>victoria</w:t>
      </w:r>
      <w:r>
        <w:rPr>
          <w:color w:val="231F20"/>
          <w:spacing w:val="-20"/>
          <w:w w:val="105"/>
        </w:rPr>
        <w:t> </w:t>
      </w:r>
      <w:r>
        <w:rPr>
          <w:color w:val="231F20"/>
          <w:w w:val="105"/>
        </w:rPr>
        <w:t>muy</w:t>
      </w:r>
      <w:r>
        <w:rPr>
          <w:color w:val="231F20"/>
          <w:spacing w:val="-20"/>
          <w:w w:val="105"/>
        </w:rPr>
        <w:t> </w:t>
      </w:r>
      <w:r>
        <w:rPr>
          <w:color w:val="231F20"/>
          <w:w w:val="105"/>
        </w:rPr>
        <w:t>bajos</w:t>
      </w:r>
      <w:r>
        <w:rPr>
          <w:color w:val="231F20"/>
          <w:spacing w:val="-20"/>
          <w:w w:val="105"/>
        </w:rPr>
        <w:t> </w:t>
      </w:r>
      <w:r>
        <w:rPr>
          <w:color w:val="231F20"/>
          <w:spacing w:val="-3"/>
          <w:w w:val="105"/>
        </w:rPr>
        <w:t>(5.21</w:t>
      </w:r>
      <w:r>
        <w:rPr>
          <w:color w:val="231F20"/>
          <w:spacing w:val="-20"/>
          <w:w w:val="105"/>
        </w:rPr>
        <w:t> </w:t>
      </w:r>
      <w:r>
        <w:rPr>
          <w:color w:val="231F20"/>
          <w:w w:val="105"/>
        </w:rPr>
        <w:t>y</w:t>
      </w:r>
      <w:r>
        <w:rPr>
          <w:color w:val="231F20"/>
          <w:spacing w:val="-20"/>
          <w:w w:val="105"/>
        </w:rPr>
        <w:t> </w:t>
      </w:r>
      <w:r>
        <w:rPr>
          <w:color w:val="231F20"/>
          <w:w w:val="105"/>
        </w:rPr>
        <w:t>3.42% respectivamente). Sin embargo, a pesar de ser la segunda preferencia electoral en el municipio,</w:t>
      </w:r>
      <w:r>
        <w:rPr>
          <w:color w:val="231F20"/>
          <w:spacing w:val="-18"/>
          <w:w w:val="105"/>
        </w:rPr>
        <w:t> </w:t>
      </w:r>
      <w:r>
        <w:rPr>
          <w:color w:val="231F20"/>
          <w:w w:val="105"/>
        </w:rPr>
        <w:t>en</w:t>
      </w:r>
      <w:r>
        <w:rPr>
          <w:color w:val="231F20"/>
          <w:spacing w:val="-18"/>
          <w:w w:val="105"/>
        </w:rPr>
        <w:t> </w:t>
      </w:r>
      <w:r>
        <w:rPr>
          <w:color w:val="231F20"/>
          <w:spacing w:val="3"/>
          <w:w w:val="105"/>
        </w:rPr>
        <w:t>2006</w:t>
      </w:r>
      <w:r>
        <w:rPr>
          <w:color w:val="231F20"/>
          <w:spacing w:val="-18"/>
          <w:w w:val="105"/>
        </w:rPr>
        <w:t> </w:t>
      </w:r>
      <w:r>
        <w:rPr>
          <w:color w:val="231F20"/>
          <w:w w:val="105"/>
        </w:rPr>
        <w:t>el</w:t>
      </w:r>
      <w:r>
        <w:rPr>
          <w:color w:val="231F20"/>
          <w:spacing w:val="-18"/>
          <w:w w:val="105"/>
        </w:rPr>
        <w:t> </w:t>
      </w:r>
      <w:r>
        <w:rPr>
          <w:color w:val="231F20"/>
          <w:spacing w:val="-4"/>
          <w:w w:val="105"/>
        </w:rPr>
        <w:t>PAN</w:t>
      </w:r>
      <w:r>
        <w:rPr>
          <w:color w:val="231F20"/>
          <w:spacing w:val="-18"/>
          <w:w w:val="105"/>
        </w:rPr>
        <w:t> </w:t>
      </w:r>
      <w:r>
        <w:rPr>
          <w:color w:val="231F20"/>
          <w:w w:val="105"/>
        </w:rPr>
        <w:t>sufrió</w:t>
      </w:r>
      <w:r>
        <w:rPr>
          <w:color w:val="231F20"/>
          <w:spacing w:val="-18"/>
          <w:w w:val="105"/>
        </w:rPr>
        <w:t> </w:t>
      </w:r>
      <w:r>
        <w:rPr>
          <w:color w:val="231F20"/>
          <w:w w:val="105"/>
        </w:rPr>
        <w:t>un</w:t>
      </w:r>
      <w:r>
        <w:rPr>
          <w:color w:val="231F20"/>
          <w:spacing w:val="-18"/>
          <w:w w:val="105"/>
        </w:rPr>
        <w:t> </w:t>
      </w:r>
      <w:r>
        <w:rPr>
          <w:color w:val="231F20"/>
          <w:w w:val="105"/>
        </w:rPr>
        <w:t>revés</w:t>
      </w:r>
      <w:r>
        <w:rPr>
          <w:color w:val="231F20"/>
          <w:spacing w:val="-18"/>
          <w:w w:val="105"/>
        </w:rPr>
        <w:t> </w:t>
      </w:r>
      <w:r>
        <w:rPr>
          <w:color w:val="231F20"/>
          <w:w w:val="105"/>
        </w:rPr>
        <w:t>pues</w:t>
      </w:r>
      <w:r>
        <w:rPr>
          <w:color w:val="231F20"/>
          <w:spacing w:val="-18"/>
          <w:w w:val="105"/>
        </w:rPr>
        <w:t> </w:t>
      </w:r>
      <w:r>
        <w:rPr>
          <w:color w:val="231F20"/>
          <w:w w:val="105"/>
        </w:rPr>
        <w:t>de</w:t>
      </w:r>
      <w:r>
        <w:rPr>
          <w:color w:val="231F20"/>
          <w:spacing w:val="-18"/>
          <w:w w:val="105"/>
        </w:rPr>
        <w:t> </w:t>
      </w:r>
      <w:r>
        <w:rPr>
          <w:color w:val="231F20"/>
          <w:spacing w:val="-3"/>
          <w:w w:val="105"/>
        </w:rPr>
        <w:t>4,017</w:t>
      </w:r>
      <w:r>
        <w:rPr>
          <w:color w:val="231F20"/>
          <w:spacing w:val="-18"/>
          <w:w w:val="105"/>
        </w:rPr>
        <w:t> </w:t>
      </w:r>
      <w:r>
        <w:rPr>
          <w:color w:val="231F20"/>
          <w:w w:val="105"/>
        </w:rPr>
        <w:t>votos</w:t>
      </w:r>
      <w:r>
        <w:rPr>
          <w:color w:val="231F20"/>
          <w:spacing w:val="-18"/>
          <w:w w:val="105"/>
        </w:rPr>
        <w:t> </w:t>
      </w:r>
      <w:r>
        <w:rPr>
          <w:color w:val="231F20"/>
          <w:w w:val="105"/>
        </w:rPr>
        <w:t>que</w:t>
      </w:r>
      <w:r>
        <w:rPr>
          <w:color w:val="231F20"/>
          <w:spacing w:val="-18"/>
          <w:w w:val="105"/>
        </w:rPr>
        <w:t> </w:t>
      </w:r>
      <w:r>
        <w:rPr>
          <w:color w:val="231F20"/>
          <w:w w:val="105"/>
        </w:rPr>
        <w:t>obtuvo</w:t>
      </w:r>
      <w:r>
        <w:rPr>
          <w:color w:val="231F20"/>
          <w:spacing w:val="-18"/>
          <w:w w:val="105"/>
        </w:rPr>
        <w:t> </w:t>
      </w:r>
      <w:r>
        <w:rPr>
          <w:color w:val="231F20"/>
          <w:w w:val="105"/>
        </w:rPr>
        <w:t>en</w:t>
      </w:r>
      <w:r>
        <w:rPr>
          <w:color w:val="231F20"/>
          <w:spacing w:val="-18"/>
          <w:w w:val="105"/>
        </w:rPr>
        <w:t> </w:t>
      </w:r>
      <w:r>
        <w:rPr>
          <w:color w:val="231F20"/>
          <w:spacing w:val="2"/>
          <w:w w:val="105"/>
        </w:rPr>
        <w:t>2003</w:t>
      </w:r>
      <w:r>
        <w:rPr>
          <w:color w:val="231F20"/>
          <w:spacing w:val="-18"/>
          <w:w w:val="105"/>
        </w:rPr>
        <w:t> </w:t>
      </w:r>
      <w:r>
        <w:rPr>
          <w:color w:val="231F20"/>
          <w:w w:val="105"/>
        </w:rPr>
        <w:t>para este</w:t>
      </w:r>
      <w:r>
        <w:rPr>
          <w:color w:val="231F20"/>
          <w:spacing w:val="-4"/>
          <w:w w:val="105"/>
        </w:rPr>
        <w:t> </w:t>
      </w:r>
      <w:r>
        <w:rPr>
          <w:color w:val="231F20"/>
          <w:w w:val="105"/>
        </w:rPr>
        <w:t>último</w:t>
      </w:r>
      <w:r>
        <w:rPr>
          <w:color w:val="231F20"/>
          <w:spacing w:val="-4"/>
          <w:w w:val="105"/>
        </w:rPr>
        <w:t> </w:t>
      </w:r>
      <w:r>
        <w:rPr>
          <w:color w:val="231F20"/>
          <w:w w:val="105"/>
        </w:rPr>
        <w:t>proceso</w:t>
      </w:r>
      <w:r>
        <w:rPr>
          <w:color w:val="231F20"/>
          <w:spacing w:val="-4"/>
          <w:w w:val="105"/>
        </w:rPr>
        <w:t> </w:t>
      </w:r>
      <w:r>
        <w:rPr>
          <w:color w:val="231F20"/>
          <w:w w:val="105"/>
        </w:rPr>
        <w:t>apenas</w:t>
      </w:r>
      <w:r>
        <w:rPr>
          <w:color w:val="231F20"/>
          <w:spacing w:val="-4"/>
          <w:w w:val="105"/>
        </w:rPr>
        <w:t> </w:t>
      </w:r>
      <w:r>
        <w:rPr>
          <w:color w:val="231F20"/>
          <w:w w:val="105"/>
        </w:rPr>
        <w:t>alcanzó</w:t>
      </w:r>
      <w:r>
        <w:rPr>
          <w:color w:val="231F20"/>
          <w:spacing w:val="-4"/>
          <w:w w:val="105"/>
        </w:rPr>
        <w:t> </w:t>
      </w:r>
      <w:r>
        <w:rPr>
          <w:color w:val="231F20"/>
          <w:w w:val="105"/>
        </w:rPr>
        <w:t>1,058</w:t>
      </w:r>
      <w:r>
        <w:rPr>
          <w:color w:val="231F20"/>
          <w:spacing w:val="-4"/>
          <w:w w:val="105"/>
        </w:rPr>
        <w:t> </w:t>
      </w:r>
      <w:r>
        <w:rPr>
          <w:color w:val="231F20"/>
          <w:w w:val="105"/>
        </w:rPr>
        <w:t>,</w:t>
      </w:r>
      <w:r>
        <w:rPr>
          <w:color w:val="231F20"/>
          <w:spacing w:val="-4"/>
          <w:w w:val="105"/>
        </w:rPr>
        <w:t> </w:t>
      </w:r>
      <w:r>
        <w:rPr>
          <w:color w:val="231F20"/>
          <w:w w:val="105"/>
        </w:rPr>
        <w:t>por</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fue</w:t>
      </w:r>
      <w:r>
        <w:rPr>
          <w:color w:val="231F20"/>
          <w:spacing w:val="-4"/>
          <w:w w:val="105"/>
        </w:rPr>
        <w:t> </w:t>
      </w:r>
      <w:r>
        <w:rPr>
          <w:color w:val="231F20"/>
          <w:w w:val="105"/>
        </w:rPr>
        <w:t>desplazado</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PRD</w:t>
      </w:r>
      <w:r>
        <w:rPr>
          <w:color w:val="231F20"/>
          <w:spacing w:val="-4"/>
          <w:w w:val="105"/>
        </w:rPr>
        <w:t> </w:t>
      </w:r>
      <w:r>
        <w:rPr>
          <w:color w:val="231F20"/>
          <w:w w:val="105"/>
        </w:rPr>
        <w:t>en</w:t>
      </w:r>
      <w:r>
        <w:rPr>
          <w:color w:val="231F20"/>
          <w:spacing w:val="-4"/>
          <w:w w:val="105"/>
        </w:rPr>
        <w:t> </w:t>
      </w:r>
      <w:r>
        <w:rPr>
          <w:color w:val="231F20"/>
          <w:w w:val="105"/>
        </w:rPr>
        <w:t>la posición</w:t>
      </w:r>
      <w:r>
        <w:rPr>
          <w:color w:val="231F20"/>
          <w:spacing w:val="-35"/>
          <w:w w:val="105"/>
        </w:rPr>
        <w:t> </w:t>
      </w:r>
      <w:r>
        <w:rPr>
          <w:color w:val="231F20"/>
          <w:w w:val="105"/>
        </w:rPr>
        <w:t>de</w:t>
      </w:r>
      <w:r>
        <w:rPr>
          <w:color w:val="231F20"/>
          <w:spacing w:val="-35"/>
          <w:w w:val="105"/>
        </w:rPr>
        <w:t> </w:t>
      </w:r>
      <w:r>
        <w:rPr>
          <w:color w:val="231F20"/>
          <w:w w:val="105"/>
        </w:rPr>
        <w:t>preferencias.</w:t>
      </w:r>
    </w:p>
    <w:p>
      <w:pPr>
        <w:pStyle w:val="BodyText"/>
        <w:spacing w:before="1"/>
        <w:rPr>
          <w:sz w:val="26"/>
        </w:rPr>
      </w:pPr>
    </w:p>
    <w:p>
      <w:pPr>
        <w:pStyle w:val="BodyText"/>
        <w:spacing w:line="285" w:lineRule="auto"/>
        <w:ind w:left="110" w:right="107"/>
        <w:jc w:val="both"/>
      </w:pPr>
      <w:r>
        <w:rPr>
          <w:color w:val="231F20"/>
          <w:w w:val="105"/>
        </w:rPr>
        <w:t>Por su parte, el PRD no logró despuntar como fuerza electoral en diez años, pues el número de votos superó los mil hasta 2000 cuando logró 1,253 adeptos en las  urnas,</w:t>
      </w:r>
    </w:p>
    <w:p>
      <w:pPr>
        <w:spacing w:after="0" w:line="285" w:lineRule="auto"/>
        <w:jc w:val="both"/>
        <w:sectPr>
          <w:footerReference w:type="default" r:id="rId187"/>
          <w:pgSz w:w="9640" w:h="12190"/>
          <w:pgMar w:footer="743" w:header="0" w:top="1120" w:bottom="940" w:left="740" w:right="740"/>
          <w:pgNumType w:start="90"/>
        </w:sectPr>
      </w:pPr>
    </w:p>
    <w:p>
      <w:pPr>
        <w:pStyle w:val="BodyText"/>
        <w:spacing w:before="3"/>
        <w:rPr>
          <w:sz w:val="11"/>
        </w:rPr>
      </w:pPr>
    </w:p>
    <w:p>
      <w:pPr>
        <w:pStyle w:val="BodyText"/>
        <w:spacing w:line="285" w:lineRule="auto" w:before="36"/>
        <w:ind w:left="110" w:right="108"/>
        <w:jc w:val="both"/>
      </w:pPr>
      <w:r>
        <w:rPr>
          <w:color w:val="231F20"/>
          <w:w w:val="105"/>
        </w:rPr>
        <w:t>aunque</w:t>
      </w:r>
      <w:r>
        <w:rPr>
          <w:color w:val="231F20"/>
          <w:spacing w:val="-17"/>
          <w:w w:val="105"/>
        </w:rPr>
        <w:t> </w:t>
      </w:r>
      <w:r>
        <w:rPr>
          <w:color w:val="231F20"/>
          <w:w w:val="105"/>
        </w:rPr>
        <w:t>para</w:t>
      </w:r>
      <w:r>
        <w:rPr>
          <w:color w:val="231F20"/>
          <w:spacing w:val="-17"/>
          <w:w w:val="105"/>
        </w:rPr>
        <w:t> </w:t>
      </w:r>
      <w:r>
        <w:rPr>
          <w:color w:val="231F20"/>
          <w:spacing w:val="2"/>
          <w:w w:val="105"/>
        </w:rPr>
        <w:t>2003</w:t>
      </w:r>
      <w:r>
        <w:rPr>
          <w:color w:val="231F20"/>
          <w:spacing w:val="-17"/>
          <w:w w:val="105"/>
        </w:rPr>
        <w:t> </w:t>
      </w:r>
      <w:r>
        <w:rPr>
          <w:color w:val="231F20"/>
          <w:w w:val="105"/>
        </w:rPr>
        <w:t>la</w:t>
      </w:r>
      <w:r>
        <w:rPr>
          <w:color w:val="231F20"/>
          <w:spacing w:val="-17"/>
          <w:w w:val="105"/>
        </w:rPr>
        <w:t> </w:t>
      </w:r>
      <w:r>
        <w:rPr>
          <w:color w:val="231F20"/>
          <w:w w:val="105"/>
        </w:rPr>
        <w:t>tendencia</w:t>
      </w:r>
      <w:r>
        <w:rPr>
          <w:color w:val="231F20"/>
          <w:spacing w:val="-17"/>
          <w:w w:val="105"/>
        </w:rPr>
        <w:t> </w:t>
      </w:r>
      <w:r>
        <w:rPr>
          <w:color w:val="231F20"/>
          <w:w w:val="105"/>
        </w:rPr>
        <w:t>retrocedió</w:t>
      </w:r>
      <w:r>
        <w:rPr>
          <w:color w:val="231F20"/>
          <w:spacing w:val="-17"/>
          <w:w w:val="105"/>
        </w:rPr>
        <w:t> </w:t>
      </w:r>
      <w:r>
        <w:rPr>
          <w:color w:val="231F20"/>
          <w:w w:val="105"/>
        </w:rPr>
        <w:t>y</w:t>
      </w:r>
      <w:r>
        <w:rPr>
          <w:color w:val="231F20"/>
          <w:spacing w:val="-17"/>
          <w:w w:val="105"/>
        </w:rPr>
        <w:t> </w:t>
      </w:r>
      <w:r>
        <w:rPr>
          <w:color w:val="231F20"/>
          <w:w w:val="105"/>
        </w:rPr>
        <w:t>se</w:t>
      </w:r>
      <w:r>
        <w:rPr>
          <w:color w:val="231F20"/>
          <w:spacing w:val="-17"/>
          <w:w w:val="105"/>
        </w:rPr>
        <w:t> </w:t>
      </w:r>
      <w:r>
        <w:rPr>
          <w:color w:val="231F20"/>
          <w:w w:val="105"/>
        </w:rPr>
        <w:t>recuperó</w:t>
      </w:r>
      <w:r>
        <w:rPr>
          <w:color w:val="231F20"/>
          <w:spacing w:val="-17"/>
          <w:w w:val="105"/>
        </w:rPr>
        <w:t> </w:t>
      </w:r>
      <w:r>
        <w:rPr>
          <w:color w:val="231F20"/>
          <w:w w:val="105"/>
        </w:rPr>
        <w:t>nuevamente</w:t>
      </w:r>
      <w:r>
        <w:rPr>
          <w:color w:val="231F20"/>
          <w:spacing w:val="-17"/>
          <w:w w:val="105"/>
        </w:rPr>
        <w:t> </w:t>
      </w:r>
      <w:r>
        <w:rPr>
          <w:color w:val="231F20"/>
          <w:w w:val="105"/>
        </w:rPr>
        <w:t>en</w:t>
      </w:r>
      <w:r>
        <w:rPr>
          <w:color w:val="231F20"/>
          <w:spacing w:val="-17"/>
          <w:w w:val="105"/>
        </w:rPr>
        <w:t> </w:t>
      </w:r>
      <w:r>
        <w:rPr>
          <w:color w:val="231F20"/>
          <w:spacing w:val="3"/>
          <w:w w:val="105"/>
        </w:rPr>
        <w:t>2006,</w:t>
      </w:r>
      <w:r>
        <w:rPr>
          <w:color w:val="231F20"/>
          <w:spacing w:val="-17"/>
          <w:w w:val="105"/>
        </w:rPr>
        <w:t> </w:t>
      </w:r>
      <w:r>
        <w:rPr>
          <w:color w:val="231F20"/>
          <w:w w:val="105"/>
        </w:rPr>
        <w:t>cuando</w:t>
      </w:r>
      <w:r>
        <w:rPr>
          <w:color w:val="231F20"/>
          <w:spacing w:val="-17"/>
          <w:w w:val="105"/>
        </w:rPr>
        <w:t> </w:t>
      </w:r>
      <w:r>
        <w:rPr>
          <w:color w:val="231F20"/>
          <w:w w:val="105"/>
        </w:rPr>
        <w:t>se coloca</w:t>
      </w:r>
      <w:r>
        <w:rPr>
          <w:color w:val="231F20"/>
          <w:spacing w:val="-18"/>
          <w:w w:val="105"/>
        </w:rPr>
        <w:t> </w:t>
      </w:r>
      <w:r>
        <w:rPr>
          <w:color w:val="231F20"/>
          <w:w w:val="105"/>
        </w:rPr>
        <w:t>como</w:t>
      </w:r>
      <w:r>
        <w:rPr>
          <w:color w:val="231F20"/>
          <w:spacing w:val="-18"/>
          <w:w w:val="105"/>
        </w:rPr>
        <w:t> </w:t>
      </w:r>
      <w:r>
        <w:rPr>
          <w:color w:val="231F20"/>
          <w:w w:val="105"/>
        </w:rPr>
        <w:t>la</w:t>
      </w:r>
      <w:r>
        <w:rPr>
          <w:color w:val="231F20"/>
          <w:spacing w:val="-18"/>
          <w:w w:val="105"/>
        </w:rPr>
        <w:t> </w:t>
      </w:r>
      <w:r>
        <w:rPr>
          <w:color w:val="231F20"/>
          <w:w w:val="105"/>
        </w:rPr>
        <w:t>segunda</w:t>
      </w:r>
      <w:r>
        <w:rPr>
          <w:color w:val="231F20"/>
          <w:spacing w:val="-18"/>
          <w:w w:val="105"/>
        </w:rPr>
        <w:t> </w:t>
      </w:r>
      <w:r>
        <w:rPr>
          <w:color w:val="231F20"/>
          <w:w w:val="105"/>
        </w:rPr>
        <w:t>fuerza</w:t>
      </w:r>
      <w:r>
        <w:rPr>
          <w:color w:val="231F20"/>
          <w:spacing w:val="-18"/>
          <w:w w:val="105"/>
        </w:rPr>
        <w:t> </w:t>
      </w:r>
      <w:r>
        <w:rPr>
          <w:color w:val="231F20"/>
          <w:w w:val="105"/>
        </w:rPr>
        <w:t>electoral.</w:t>
      </w:r>
    </w:p>
    <w:p>
      <w:pPr>
        <w:pStyle w:val="BodyText"/>
        <w:spacing w:before="1"/>
        <w:rPr>
          <w:sz w:val="26"/>
        </w:rPr>
      </w:pPr>
    </w:p>
    <w:p>
      <w:pPr>
        <w:pStyle w:val="BodyText"/>
        <w:spacing w:line="285" w:lineRule="auto"/>
        <w:ind w:left="110" w:right="108"/>
        <w:jc w:val="both"/>
      </w:pPr>
      <w:r>
        <w:rPr>
          <w:color w:val="231F20"/>
          <w:w w:val="105"/>
        </w:rPr>
        <w:t>Como se percibe, existe una relación inversa en cuanto participación electoral y desa- rrollo</w:t>
      </w:r>
      <w:r>
        <w:rPr>
          <w:color w:val="231F20"/>
          <w:spacing w:val="-11"/>
          <w:w w:val="105"/>
        </w:rPr>
        <w:t> </w:t>
      </w:r>
      <w:r>
        <w:rPr>
          <w:color w:val="231F20"/>
          <w:w w:val="105"/>
        </w:rPr>
        <w:t>del</w:t>
      </w:r>
      <w:r>
        <w:rPr>
          <w:color w:val="231F20"/>
          <w:spacing w:val="-11"/>
          <w:w w:val="105"/>
        </w:rPr>
        <w:t> </w:t>
      </w:r>
      <w:r>
        <w:rPr>
          <w:color w:val="231F20"/>
          <w:w w:val="105"/>
        </w:rPr>
        <w:t>PRI,</w:t>
      </w:r>
      <w:r>
        <w:rPr>
          <w:color w:val="231F20"/>
          <w:spacing w:val="-11"/>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mientras</w:t>
      </w:r>
      <w:r>
        <w:rPr>
          <w:color w:val="231F20"/>
          <w:spacing w:val="-11"/>
          <w:w w:val="105"/>
        </w:rPr>
        <w:t> </w:t>
      </w:r>
      <w:r>
        <w:rPr>
          <w:color w:val="231F20"/>
          <w:w w:val="105"/>
        </w:rPr>
        <w:t>cae</w:t>
      </w:r>
      <w:r>
        <w:rPr>
          <w:color w:val="231F20"/>
          <w:spacing w:val="-11"/>
          <w:w w:val="105"/>
        </w:rPr>
        <w:t> </w:t>
      </w:r>
      <w:r>
        <w:rPr>
          <w:color w:val="231F20"/>
          <w:w w:val="105"/>
        </w:rPr>
        <w:t>la</w:t>
      </w:r>
      <w:r>
        <w:rPr>
          <w:color w:val="231F20"/>
          <w:spacing w:val="-11"/>
          <w:w w:val="105"/>
        </w:rPr>
        <w:t> </w:t>
      </w:r>
      <w:r>
        <w:rPr>
          <w:color w:val="231F20"/>
          <w:w w:val="105"/>
        </w:rPr>
        <w:t>tasa</w:t>
      </w:r>
      <w:r>
        <w:rPr>
          <w:color w:val="231F20"/>
          <w:spacing w:val="-11"/>
          <w:w w:val="105"/>
        </w:rPr>
        <w:t> </w:t>
      </w:r>
      <w:r>
        <w:rPr>
          <w:color w:val="231F20"/>
          <w:w w:val="105"/>
        </w:rPr>
        <w:t>de</w:t>
      </w:r>
      <w:r>
        <w:rPr>
          <w:color w:val="231F20"/>
          <w:spacing w:val="-11"/>
          <w:w w:val="105"/>
        </w:rPr>
        <w:t> </w:t>
      </w:r>
      <w:r>
        <w:rPr>
          <w:color w:val="231F20"/>
          <w:w w:val="105"/>
        </w:rPr>
        <w:t>participación</w:t>
      </w:r>
      <w:r>
        <w:rPr>
          <w:color w:val="231F20"/>
          <w:spacing w:val="-11"/>
          <w:w w:val="105"/>
        </w:rPr>
        <w:t> </w:t>
      </w:r>
      <w:r>
        <w:rPr>
          <w:color w:val="231F20"/>
          <w:w w:val="105"/>
        </w:rPr>
        <w:t>el</w:t>
      </w:r>
      <w:r>
        <w:rPr>
          <w:color w:val="231F20"/>
          <w:spacing w:val="-11"/>
          <w:w w:val="105"/>
        </w:rPr>
        <w:t> </w:t>
      </w:r>
      <w:r>
        <w:rPr>
          <w:color w:val="231F20"/>
          <w:w w:val="105"/>
        </w:rPr>
        <w:t>PRI</w:t>
      </w:r>
      <w:r>
        <w:rPr>
          <w:color w:val="231F20"/>
          <w:spacing w:val="-11"/>
          <w:w w:val="105"/>
        </w:rPr>
        <w:t> </w:t>
      </w:r>
      <w:r>
        <w:rPr>
          <w:color w:val="231F20"/>
          <w:w w:val="105"/>
        </w:rPr>
        <w:t>aumenta</w:t>
      </w:r>
      <w:r>
        <w:rPr>
          <w:color w:val="231F20"/>
          <w:spacing w:val="-11"/>
          <w:w w:val="105"/>
        </w:rPr>
        <w:t> </w:t>
      </w:r>
      <w:r>
        <w:rPr>
          <w:color w:val="231F20"/>
          <w:w w:val="105"/>
        </w:rPr>
        <w:t>votos,</w:t>
      </w:r>
      <w:r>
        <w:rPr>
          <w:color w:val="231F20"/>
          <w:spacing w:val="-11"/>
          <w:w w:val="105"/>
        </w:rPr>
        <w:t> </w:t>
      </w:r>
      <w:r>
        <w:rPr>
          <w:color w:val="231F20"/>
          <w:w w:val="105"/>
        </w:rPr>
        <w:t>situa- ción</w:t>
      </w:r>
      <w:r>
        <w:rPr>
          <w:color w:val="231F20"/>
          <w:spacing w:val="-13"/>
          <w:w w:val="105"/>
        </w:rPr>
        <w:t> </w:t>
      </w:r>
      <w:r>
        <w:rPr>
          <w:color w:val="231F20"/>
          <w:w w:val="105"/>
        </w:rPr>
        <w:t>que</w:t>
      </w:r>
      <w:r>
        <w:rPr>
          <w:color w:val="231F20"/>
          <w:spacing w:val="-13"/>
          <w:w w:val="105"/>
        </w:rPr>
        <w:t> </w:t>
      </w:r>
      <w:r>
        <w:rPr>
          <w:color w:val="231F20"/>
          <w:w w:val="105"/>
        </w:rPr>
        <w:t>podría</w:t>
      </w:r>
      <w:r>
        <w:rPr>
          <w:color w:val="231F20"/>
          <w:spacing w:val="-13"/>
          <w:w w:val="105"/>
        </w:rPr>
        <w:t> </w:t>
      </w:r>
      <w:r>
        <w:rPr>
          <w:color w:val="231F20"/>
          <w:w w:val="105"/>
        </w:rPr>
        <w:t>reflejar</w:t>
      </w:r>
      <w:r>
        <w:rPr>
          <w:color w:val="231F20"/>
          <w:spacing w:val="-13"/>
          <w:w w:val="105"/>
        </w:rPr>
        <w:t> </w:t>
      </w:r>
      <w:r>
        <w:rPr>
          <w:color w:val="231F20"/>
          <w:w w:val="105"/>
        </w:rPr>
        <w:t>pérdida</w:t>
      </w:r>
      <w:r>
        <w:rPr>
          <w:color w:val="231F20"/>
          <w:spacing w:val="-13"/>
          <w:w w:val="105"/>
        </w:rPr>
        <w:t> </w:t>
      </w:r>
      <w:r>
        <w:rPr>
          <w:color w:val="231F20"/>
          <w:w w:val="105"/>
        </w:rPr>
        <w:t>de</w:t>
      </w:r>
      <w:r>
        <w:rPr>
          <w:color w:val="231F20"/>
          <w:spacing w:val="-13"/>
          <w:w w:val="105"/>
        </w:rPr>
        <w:t> </w:t>
      </w:r>
      <w:r>
        <w:rPr>
          <w:color w:val="231F20"/>
          <w:w w:val="105"/>
        </w:rPr>
        <w:t>legitimidad</w:t>
      </w:r>
      <w:r>
        <w:rPr>
          <w:color w:val="231F20"/>
          <w:spacing w:val="-13"/>
          <w:w w:val="105"/>
        </w:rPr>
        <w:t> </w:t>
      </w:r>
      <w:r>
        <w:rPr>
          <w:color w:val="231F20"/>
          <w:w w:val="105"/>
        </w:rPr>
        <w:t>política</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gobierno</w:t>
      </w:r>
      <w:r>
        <w:rPr>
          <w:color w:val="231F20"/>
          <w:spacing w:val="-13"/>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resultados</w:t>
      </w:r>
      <w:r>
        <w:rPr>
          <w:color w:val="231F20"/>
          <w:spacing w:val="-5"/>
          <w:w w:val="105"/>
        </w:rPr>
        <w:t> </w:t>
      </w:r>
      <w:r>
        <w:rPr>
          <w:color w:val="231F20"/>
          <w:w w:val="105"/>
        </w:rPr>
        <w:t>electorales</w:t>
      </w:r>
      <w:r>
        <w:rPr>
          <w:color w:val="231F20"/>
          <w:spacing w:val="-5"/>
          <w:w w:val="105"/>
        </w:rPr>
        <w:t> </w:t>
      </w:r>
      <w:r>
        <w:rPr>
          <w:color w:val="231F20"/>
          <w:w w:val="105"/>
        </w:rPr>
        <w:t>se</w:t>
      </w:r>
      <w:r>
        <w:rPr>
          <w:color w:val="231F20"/>
          <w:spacing w:val="-5"/>
          <w:w w:val="105"/>
        </w:rPr>
        <w:t> </w:t>
      </w:r>
      <w:r>
        <w:rPr>
          <w:color w:val="231F20"/>
          <w:w w:val="105"/>
        </w:rPr>
        <w:t>desprende</w:t>
      </w:r>
      <w:r>
        <w:rPr>
          <w:color w:val="231F20"/>
          <w:spacing w:val="-5"/>
          <w:w w:val="105"/>
        </w:rPr>
        <w:t> </w:t>
      </w:r>
      <w:r>
        <w:rPr>
          <w:color w:val="231F20"/>
          <w:w w:val="105"/>
        </w:rPr>
        <w:t>también</w:t>
      </w:r>
      <w:r>
        <w:rPr>
          <w:color w:val="231F20"/>
          <w:spacing w:val="-5"/>
          <w:w w:val="105"/>
        </w:rPr>
        <w:t> </w:t>
      </w:r>
      <w:r>
        <w:rPr>
          <w:color w:val="231F20"/>
          <w:w w:val="105"/>
        </w:rPr>
        <w:t>el</w:t>
      </w:r>
      <w:r>
        <w:rPr>
          <w:color w:val="231F20"/>
          <w:spacing w:val="-5"/>
          <w:w w:val="105"/>
        </w:rPr>
        <w:t> </w:t>
      </w:r>
      <w:r>
        <w:rPr>
          <w:color w:val="231F20"/>
          <w:w w:val="105"/>
        </w:rPr>
        <w:t>hecho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desproporcionalidad partidista en el ayuntamiento, porque la fórmula para el reparto de las regidurías en   el municipio </w:t>
      </w:r>
      <w:r>
        <w:rPr>
          <w:color w:val="231F20"/>
          <w:spacing w:val="-4"/>
          <w:w w:val="105"/>
        </w:rPr>
        <w:t>(que </w:t>
      </w:r>
      <w:r>
        <w:rPr>
          <w:color w:val="231F20"/>
          <w:w w:val="105"/>
        </w:rPr>
        <w:t>atiende el sistema electoral adoptado por el Estado de </w:t>
      </w:r>
      <w:r>
        <w:rPr>
          <w:color w:val="231F20"/>
          <w:spacing w:val="-3"/>
          <w:w w:val="105"/>
        </w:rPr>
        <w:t>México) </w:t>
      </w:r>
      <w:r>
        <w:rPr>
          <w:color w:val="231F20"/>
          <w:w w:val="105"/>
        </w:rPr>
        <w:t>le ha dado</w:t>
      </w:r>
      <w:r>
        <w:rPr>
          <w:color w:val="231F20"/>
          <w:spacing w:val="-22"/>
          <w:w w:val="105"/>
        </w:rPr>
        <w:t> </w:t>
      </w:r>
      <w:r>
        <w:rPr>
          <w:color w:val="231F20"/>
          <w:w w:val="105"/>
        </w:rPr>
        <w:t>la</w:t>
      </w:r>
      <w:r>
        <w:rPr>
          <w:color w:val="231F20"/>
          <w:spacing w:val="-22"/>
          <w:w w:val="105"/>
        </w:rPr>
        <w:t> </w:t>
      </w:r>
      <w:r>
        <w:rPr>
          <w:color w:val="231F20"/>
          <w:w w:val="105"/>
        </w:rPr>
        <w:t>mayoría</w:t>
      </w:r>
      <w:r>
        <w:rPr>
          <w:color w:val="231F20"/>
          <w:spacing w:val="-22"/>
          <w:w w:val="105"/>
        </w:rPr>
        <w:t> </w:t>
      </w:r>
      <w:r>
        <w:rPr>
          <w:color w:val="231F20"/>
          <w:w w:val="105"/>
        </w:rPr>
        <w:t>absoluta</w:t>
      </w:r>
      <w:r>
        <w:rPr>
          <w:color w:val="231F20"/>
          <w:spacing w:val="-22"/>
          <w:w w:val="105"/>
        </w:rPr>
        <w:t> </w:t>
      </w:r>
      <w:r>
        <w:rPr>
          <w:color w:val="231F20"/>
          <w:spacing w:val="2"/>
          <w:w w:val="105"/>
        </w:rPr>
        <w:t>al</w:t>
      </w:r>
      <w:r>
        <w:rPr>
          <w:color w:val="231F20"/>
          <w:spacing w:val="-22"/>
          <w:w w:val="105"/>
        </w:rPr>
        <w:t> </w:t>
      </w:r>
      <w:r>
        <w:rPr>
          <w:color w:val="231F20"/>
          <w:w w:val="105"/>
        </w:rPr>
        <w:t>PRI,</w:t>
      </w:r>
      <w:r>
        <w:rPr>
          <w:color w:val="231F20"/>
          <w:spacing w:val="-22"/>
          <w:w w:val="105"/>
        </w:rPr>
        <w:t> </w:t>
      </w:r>
      <w:r>
        <w:rPr>
          <w:color w:val="231F20"/>
          <w:w w:val="105"/>
        </w:rPr>
        <w:t>mientras</w:t>
      </w:r>
      <w:r>
        <w:rPr>
          <w:color w:val="231F20"/>
          <w:spacing w:val="-22"/>
          <w:w w:val="105"/>
        </w:rPr>
        <w:t> </w:t>
      </w:r>
      <w:r>
        <w:rPr>
          <w:color w:val="231F20"/>
          <w:w w:val="105"/>
        </w:rPr>
        <w:t>que</w:t>
      </w:r>
      <w:r>
        <w:rPr>
          <w:color w:val="231F20"/>
          <w:spacing w:val="-22"/>
          <w:w w:val="105"/>
        </w:rPr>
        <w:t> </w:t>
      </w:r>
      <w:r>
        <w:rPr>
          <w:color w:val="231F20"/>
          <w:w w:val="105"/>
        </w:rPr>
        <w:t>la</w:t>
      </w:r>
      <w:r>
        <w:rPr>
          <w:color w:val="231F20"/>
          <w:spacing w:val="-22"/>
          <w:w w:val="105"/>
        </w:rPr>
        <w:t> </w:t>
      </w:r>
      <w:r>
        <w:rPr>
          <w:color w:val="231F20"/>
          <w:w w:val="105"/>
        </w:rPr>
        <w:t>participación</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oposición</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toma de</w:t>
      </w:r>
      <w:r>
        <w:rPr>
          <w:color w:val="231F20"/>
          <w:spacing w:val="-9"/>
          <w:w w:val="105"/>
        </w:rPr>
        <w:t> </w:t>
      </w:r>
      <w:r>
        <w:rPr>
          <w:color w:val="231F20"/>
          <w:w w:val="105"/>
        </w:rPr>
        <w:t>decisiones</w:t>
      </w:r>
      <w:r>
        <w:rPr>
          <w:color w:val="231F20"/>
          <w:spacing w:val="-9"/>
          <w:w w:val="105"/>
        </w:rPr>
        <w:t> </w:t>
      </w:r>
      <w:r>
        <w:rPr>
          <w:color w:val="231F20"/>
          <w:w w:val="105"/>
        </w:rPr>
        <w:t>ha</w:t>
      </w:r>
      <w:r>
        <w:rPr>
          <w:color w:val="231F20"/>
          <w:spacing w:val="-9"/>
          <w:w w:val="105"/>
        </w:rPr>
        <w:t> </w:t>
      </w:r>
      <w:r>
        <w:rPr>
          <w:color w:val="231F20"/>
          <w:w w:val="105"/>
        </w:rPr>
        <w:t>sido</w:t>
      </w:r>
      <w:r>
        <w:rPr>
          <w:color w:val="231F20"/>
          <w:spacing w:val="-9"/>
          <w:w w:val="105"/>
        </w:rPr>
        <w:t> </w:t>
      </w:r>
      <w:r>
        <w:rPr>
          <w:color w:val="231F20"/>
          <w:w w:val="105"/>
        </w:rPr>
        <w:t>limitada</w:t>
      </w:r>
      <w:r>
        <w:rPr>
          <w:color w:val="231F20"/>
          <w:spacing w:val="-9"/>
          <w:w w:val="105"/>
        </w:rPr>
        <w:t> </w:t>
      </w:r>
      <w:r>
        <w:rPr>
          <w:color w:val="231F20"/>
          <w:w w:val="105"/>
        </w:rPr>
        <w:t>e</w:t>
      </w:r>
      <w:r>
        <w:rPr>
          <w:color w:val="231F20"/>
          <w:spacing w:val="-9"/>
          <w:w w:val="105"/>
        </w:rPr>
        <w:t> </w:t>
      </w:r>
      <w:r>
        <w:rPr>
          <w:color w:val="231F20"/>
          <w:w w:val="105"/>
        </w:rPr>
        <w:t>incluso</w:t>
      </w:r>
      <w:r>
        <w:rPr>
          <w:color w:val="231F20"/>
          <w:spacing w:val="-9"/>
          <w:w w:val="105"/>
        </w:rPr>
        <w:t> </w:t>
      </w:r>
      <w:r>
        <w:rPr>
          <w:color w:val="231F20"/>
          <w:w w:val="105"/>
        </w:rPr>
        <w:t>en</w:t>
      </w:r>
      <w:r>
        <w:rPr>
          <w:color w:val="231F20"/>
          <w:spacing w:val="-9"/>
          <w:w w:val="105"/>
        </w:rPr>
        <w:t> </w:t>
      </w:r>
      <w:r>
        <w:rPr>
          <w:color w:val="231F20"/>
          <w:w w:val="105"/>
        </w:rPr>
        <w:t>ocasiones</w:t>
      </w:r>
      <w:r>
        <w:rPr>
          <w:color w:val="231F20"/>
          <w:spacing w:val="-9"/>
          <w:w w:val="105"/>
        </w:rPr>
        <w:t> </w:t>
      </w:r>
      <w:r>
        <w:rPr>
          <w:color w:val="231F20"/>
          <w:w w:val="105"/>
        </w:rPr>
        <w:t>inexistente,</w:t>
      </w:r>
      <w:r>
        <w:rPr>
          <w:color w:val="231F20"/>
          <w:spacing w:val="-9"/>
          <w:w w:val="105"/>
        </w:rPr>
        <w:t> </w:t>
      </w:r>
      <w:r>
        <w:rPr>
          <w:color w:val="231F20"/>
          <w:w w:val="105"/>
        </w:rPr>
        <w:t>como</w:t>
      </w:r>
      <w:r>
        <w:rPr>
          <w:color w:val="231F20"/>
          <w:spacing w:val="-9"/>
          <w:w w:val="105"/>
        </w:rPr>
        <w:t> </w:t>
      </w:r>
      <w:r>
        <w:rPr>
          <w:color w:val="231F20"/>
          <w:w w:val="105"/>
        </w:rPr>
        <w:t>se</w:t>
      </w:r>
      <w:r>
        <w:rPr>
          <w:color w:val="231F20"/>
          <w:spacing w:val="-9"/>
          <w:w w:val="105"/>
        </w:rPr>
        <w:t> </w:t>
      </w:r>
      <w:r>
        <w:rPr>
          <w:color w:val="231F20"/>
          <w:spacing w:val="2"/>
          <w:w w:val="105"/>
        </w:rPr>
        <w:t>analizará</w:t>
      </w:r>
      <w:r>
        <w:rPr>
          <w:color w:val="231F20"/>
          <w:spacing w:val="-9"/>
          <w:w w:val="105"/>
        </w:rPr>
        <w:t> </w:t>
      </w:r>
      <w:r>
        <w:rPr>
          <w:color w:val="231F20"/>
          <w:w w:val="105"/>
        </w:rPr>
        <w:t>en el segundo</w:t>
      </w:r>
      <w:r>
        <w:rPr>
          <w:color w:val="231F20"/>
          <w:spacing w:val="-23"/>
          <w:w w:val="105"/>
        </w:rPr>
        <w:t> </w:t>
      </w:r>
      <w:r>
        <w:rPr>
          <w:color w:val="231F20"/>
          <w:w w:val="105"/>
        </w:rPr>
        <w:t>apartado.</w:t>
      </w:r>
    </w:p>
    <w:p>
      <w:pPr>
        <w:pStyle w:val="BodyText"/>
        <w:spacing w:before="1"/>
        <w:rPr>
          <w:sz w:val="26"/>
        </w:rPr>
      </w:pPr>
    </w:p>
    <w:p>
      <w:pPr>
        <w:pStyle w:val="BodyText"/>
        <w:spacing w:line="285" w:lineRule="auto"/>
        <w:ind w:left="110" w:right="106"/>
        <w:jc w:val="both"/>
      </w:pPr>
      <w:r>
        <w:rPr>
          <w:color w:val="231F20"/>
          <w:spacing w:val="-3"/>
          <w:w w:val="105"/>
        </w:rPr>
        <w:t>Por</w:t>
      </w:r>
      <w:r>
        <w:rPr>
          <w:color w:val="231F20"/>
          <w:spacing w:val="-22"/>
          <w:w w:val="105"/>
        </w:rPr>
        <w:t> </w:t>
      </w:r>
      <w:r>
        <w:rPr>
          <w:color w:val="231F20"/>
          <w:w w:val="105"/>
        </w:rPr>
        <w:t>todo</w:t>
      </w:r>
      <w:r>
        <w:rPr>
          <w:color w:val="231F20"/>
          <w:spacing w:val="-22"/>
          <w:w w:val="105"/>
        </w:rPr>
        <w:t> </w:t>
      </w:r>
      <w:r>
        <w:rPr>
          <w:color w:val="231F20"/>
          <w:w w:val="105"/>
        </w:rPr>
        <w:t>esto,</w:t>
      </w:r>
      <w:r>
        <w:rPr>
          <w:color w:val="231F20"/>
          <w:spacing w:val="-22"/>
          <w:w w:val="105"/>
        </w:rPr>
        <w:t> </w:t>
      </w:r>
      <w:r>
        <w:rPr>
          <w:color w:val="231F20"/>
          <w:w w:val="105"/>
        </w:rPr>
        <w:t>es</w:t>
      </w:r>
      <w:r>
        <w:rPr>
          <w:color w:val="231F20"/>
          <w:spacing w:val="-22"/>
          <w:w w:val="105"/>
        </w:rPr>
        <w:t> </w:t>
      </w:r>
      <w:r>
        <w:rPr>
          <w:color w:val="231F20"/>
          <w:w w:val="105"/>
        </w:rPr>
        <w:t>evidente</w:t>
      </w:r>
      <w:r>
        <w:rPr>
          <w:color w:val="231F20"/>
          <w:spacing w:val="-22"/>
          <w:w w:val="105"/>
        </w:rPr>
        <w:t> </w:t>
      </w:r>
      <w:r>
        <w:rPr>
          <w:color w:val="231F20"/>
          <w:w w:val="105"/>
        </w:rPr>
        <w:t>la</w:t>
      </w:r>
      <w:r>
        <w:rPr>
          <w:color w:val="231F20"/>
          <w:spacing w:val="-22"/>
          <w:w w:val="105"/>
        </w:rPr>
        <w:t> </w:t>
      </w:r>
      <w:r>
        <w:rPr>
          <w:color w:val="231F20"/>
          <w:w w:val="105"/>
        </w:rPr>
        <w:t>notable</w:t>
      </w:r>
      <w:r>
        <w:rPr>
          <w:color w:val="231F20"/>
          <w:spacing w:val="-22"/>
          <w:w w:val="105"/>
        </w:rPr>
        <w:t> </w:t>
      </w:r>
      <w:r>
        <w:rPr>
          <w:color w:val="231F20"/>
          <w:w w:val="105"/>
        </w:rPr>
        <w:t>presencia</w:t>
      </w:r>
      <w:r>
        <w:rPr>
          <w:color w:val="231F20"/>
          <w:spacing w:val="-22"/>
          <w:w w:val="105"/>
        </w:rPr>
        <w:t> </w:t>
      </w:r>
      <w:r>
        <w:rPr>
          <w:color w:val="231F20"/>
          <w:w w:val="105"/>
        </w:rPr>
        <w:t>política</w:t>
      </w:r>
      <w:r>
        <w:rPr>
          <w:color w:val="231F20"/>
          <w:spacing w:val="-22"/>
          <w:w w:val="105"/>
        </w:rPr>
        <w:t> </w:t>
      </w:r>
      <w:r>
        <w:rPr>
          <w:color w:val="231F20"/>
          <w:w w:val="105"/>
        </w:rPr>
        <w:t>que</w:t>
      </w:r>
      <w:r>
        <w:rPr>
          <w:color w:val="231F20"/>
          <w:spacing w:val="-22"/>
          <w:w w:val="105"/>
        </w:rPr>
        <w:t> </w:t>
      </w:r>
      <w:r>
        <w:rPr>
          <w:color w:val="231F20"/>
          <w:w w:val="105"/>
        </w:rPr>
        <w:t>conserva</w:t>
      </w:r>
      <w:r>
        <w:rPr>
          <w:color w:val="231F20"/>
          <w:spacing w:val="-22"/>
          <w:w w:val="105"/>
        </w:rPr>
        <w:t> </w:t>
      </w:r>
      <w:r>
        <w:rPr>
          <w:color w:val="231F20"/>
          <w:w w:val="105"/>
        </w:rPr>
        <w:t>la</w:t>
      </w:r>
      <w:r>
        <w:rPr>
          <w:color w:val="231F20"/>
          <w:spacing w:val="-22"/>
          <w:w w:val="105"/>
        </w:rPr>
        <w:t> </w:t>
      </w:r>
      <w:r>
        <w:rPr>
          <w:color w:val="231F20"/>
          <w:w w:val="105"/>
        </w:rPr>
        <w:t>organización</w:t>
      </w:r>
      <w:r>
        <w:rPr>
          <w:color w:val="231F20"/>
          <w:spacing w:val="-22"/>
          <w:w w:val="105"/>
        </w:rPr>
        <w:t> </w:t>
      </w:r>
      <w:r>
        <w:rPr>
          <w:color w:val="231F20"/>
          <w:w w:val="105"/>
        </w:rPr>
        <w:t>par- tidista,</w:t>
      </w:r>
      <w:r>
        <w:rPr>
          <w:color w:val="231F20"/>
          <w:spacing w:val="-18"/>
          <w:w w:val="105"/>
        </w:rPr>
        <w:t> </w:t>
      </w:r>
      <w:r>
        <w:rPr>
          <w:color w:val="231F20"/>
          <w:w w:val="105"/>
        </w:rPr>
        <w:t>tanto</w:t>
      </w:r>
      <w:r>
        <w:rPr>
          <w:color w:val="231F20"/>
          <w:spacing w:val="-18"/>
          <w:w w:val="105"/>
        </w:rPr>
        <w:t> </w:t>
      </w:r>
      <w:r>
        <w:rPr>
          <w:color w:val="231F20"/>
          <w:spacing w:val="2"/>
          <w:w w:val="105"/>
        </w:rPr>
        <w:t>al</w:t>
      </w:r>
      <w:r>
        <w:rPr>
          <w:color w:val="231F20"/>
          <w:spacing w:val="-18"/>
          <w:w w:val="105"/>
        </w:rPr>
        <w:t> </w:t>
      </w:r>
      <w:r>
        <w:rPr>
          <w:color w:val="231F20"/>
          <w:w w:val="105"/>
        </w:rPr>
        <w:t>interior</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como</w:t>
      </w:r>
      <w:r>
        <w:rPr>
          <w:color w:val="231F20"/>
          <w:spacing w:val="-18"/>
          <w:w w:val="105"/>
        </w:rPr>
        <w:t> </w:t>
      </w:r>
      <w:r>
        <w:rPr>
          <w:color w:val="231F20"/>
          <w:w w:val="105"/>
        </w:rPr>
        <w:t>fuera</w:t>
      </w:r>
      <w:r>
        <w:rPr>
          <w:color w:val="231F20"/>
          <w:spacing w:val="-18"/>
          <w:w w:val="105"/>
        </w:rPr>
        <w:t> </w:t>
      </w:r>
      <w:r>
        <w:rPr>
          <w:color w:val="231F20"/>
          <w:w w:val="105"/>
        </w:rPr>
        <w:t>de</w:t>
      </w:r>
      <w:r>
        <w:rPr>
          <w:color w:val="231F20"/>
          <w:spacing w:val="-18"/>
          <w:w w:val="105"/>
        </w:rPr>
        <w:t> </w:t>
      </w:r>
      <w:r>
        <w:rPr>
          <w:color w:val="231F20"/>
          <w:w w:val="105"/>
        </w:rPr>
        <w:t>él.</w:t>
      </w:r>
      <w:r>
        <w:rPr>
          <w:color w:val="231F20"/>
          <w:spacing w:val="-18"/>
          <w:w w:val="105"/>
        </w:rPr>
        <w:t> </w:t>
      </w:r>
      <w:r>
        <w:rPr>
          <w:color w:val="231F20"/>
          <w:w w:val="105"/>
        </w:rPr>
        <w:t>Esto</w:t>
      </w:r>
      <w:r>
        <w:rPr>
          <w:color w:val="231F20"/>
          <w:spacing w:val="-18"/>
          <w:w w:val="105"/>
        </w:rPr>
        <w:t> </w:t>
      </w:r>
      <w:r>
        <w:rPr>
          <w:color w:val="231F20"/>
          <w:w w:val="105"/>
        </w:rPr>
        <w:t>le</w:t>
      </w:r>
      <w:r>
        <w:rPr>
          <w:color w:val="231F20"/>
          <w:spacing w:val="-18"/>
          <w:w w:val="105"/>
        </w:rPr>
        <w:t> </w:t>
      </w:r>
      <w:r>
        <w:rPr>
          <w:color w:val="231F20"/>
          <w:w w:val="105"/>
        </w:rPr>
        <w:t>ha</w:t>
      </w:r>
      <w:r>
        <w:rPr>
          <w:color w:val="231F20"/>
          <w:spacing w:val="-18"/>
          <w:w w:val="105"/>
        </w:rPr>
        <w:t> </w:t>
      </w:r>
      <w:r>
        <w:rPr>
          <w:color w:val="231F20"/>
          <w:w w:val="105"/>
        </w:rPr>
        <w:t>permitido</w:t>
      </w:r>
      <w:r>
        <w:rPr>
          <w:color w:val="231F20"/>
          <w:spacing w:val="-18"/>
          <w:w w:val="105"/>
        </w:rPr>
        <w:t> </w:t>
      </w:r>
      <w:r>
        <w:rPr>
          <w:color w:val="231F20"/>
          <w:w w:val="105"/>
        </w:rPr>
        <w:t>mantenerse como partido dominante en los comicios locales y cultivar una clase de políticos con expectativas</w:t>
      </w:r>
      <w:r>
        <w:rPr>
          <w:color w:val="231F20"/>
          <w:spacing w:val="-19"/>
          <w:w w:val="105"/>
        </w:rPr>
        <w:t> </w:t>
      </w:r>
      <w:r>
        <w:rPr>
          <w:color w:val="231F20"/>
          <w:w w:val="105"/>
        </w:rPr>
        <w:t>y</w:t>
      </w:r>
      <w:r>
        <w:rPr>
          <w:color w:val="231F20"/>
          <w:spacing w:val="-19"/>
          <w:w w:val="105"/>
        </w:rPr>
        <w:t> </w:t>
      </w:r>
      <w:r>
        <w:rPr>
          <w:color w:val="231F20"/>
          <w:w w:val="105"/>
        </w:rPr>
        <w:t>relaciones</w:t>
      </w:r>
      <w:r>
        <w:rPr>
          <w:color w:val="231F20"/>
          <w:spacing w:val="-19"/>
          <w:w w:val="105"/>
        </w:rPr>
        <w:t> </w:t>
      </w:r>
      <w:r>
        <w:rPr>
          <w:color w:val="231F20"/>
          <w:w w:val="105"/>
        </w:rPr>
        <w:t>políticas</w:t>
      </w:r>
      <w:r>
        <w:rPr>
          <w:color w:val="231F20"/>
          <w:spacing w:val="-19"/>
          <w:w w:val="105"/>
        </w:rPr>
        <w:t> </w:t>
      </w:r>
      <w:r>
        <w:rPr>
          <w:color w:val="231F20"/>
          <w:w w:val="105"/>
        </w:rPr>
        <w:t>fructíferas,</w:t>
      </w:r>
      <w:r>
        <w:rPr>
          <w:color w:val="231F20"/>
          <w:spacing w:val="-19"/>
          <w:w w:val="105"/>
        </w:rPr>
        <w:t> </w:t>
      </w:r>
      <w:r>
        <w:rPr>
          <w:color w:val="231F20"/>
          <w:w w:val="105"/>
        </w:rPr>
        <w:t>como</w:t>
      </w:r>
      <w:r>
        <w:rPr>
          <w:color w:val="231F20"/>
          <w:spacing w:val="-19"/>
          <w:w w:val="105"/>
        </w:rPr>
        <w:t> </w:t>
      </w:r>
      <w:r>
        <w:rPr>
          <w:color w:val="231F20"/>
          <w:w w:val="105"/>
        </w:rPr>
        <w:t>se</w:t>
      </w:r>
      <w:r>
        <w:rPr>
          <w:color w:val="231F20"/>
          <w:spacing w:val="-19"/>
          <w:w w:val="105"/>
        </w:rPr>
        <w:t> </w:t>
      </w:r>
      <w:r>
        <w:rPr>
          <w:color w:val="231F20"/>
          <w:spacing w:val="2"/>
          <w:w w:val="105"/>
        </w:rPr>
        <w:t>analizará</w:t>
      </w:r>
      <w:r>
        <w:rPr>
          <w:color w:val="231F20"/>
          <w:spacing w:val="-19"/>
          <w:w w:val="105"/>
        </w:rPr>
        <w:t> </w:t>
      </w:r>
      <w:r>
        <w:rPr>
          <w:color w:val="231F20"/>
          <w:w w:val="105"/>
        </w:rPr>
        <w:t>más</w:t>
      </w:r>
      <w:r>
        <w:rPr>
          <w:color w:val="231F20"/>
          <w:spacing w:val="-19"/>
          <w:w w:val="105"/>
        </w:rPr>
        <w:t> </w:t>
      </w:r>
      <w:r>
        <w:rPr>
          <w:color w:val="231F20"/>
          <w:w w:val="105"/>
        </w:rPr>
        <w:t>adelante.</w:t>
      </w:r>
    </w:p>
    <w:p>
      <w:pPr>
        <w:pStyle w:val="BodyText"/>
        <w:spacing w:before="2"/>
        <w:rPr>
          <w:sz w:val="20"/>
        </w:rPr>
      </w:pPr>
    </w:p>
    <w:p>
      <w:pPr>
        <w:pStyle w:val="Heading4"/>
        <w:rPr>
          <w:i/>
        </w:rPr>
      </w:pPr>
      <w:r>
        <w:rPr>
          <w:i/>
          <w:color w:val="231F20"/>
          <w:w w:val="105"/>
        </w:rPr>
        <w:t>Gobierno</w:t>
      </w:r>
    </w:p>
    <w:p>
      <w:pPr>
        <w:pStyle w:val="BodyText"/>
        <w:spacing w:line="285" w:lineRule="auto" w:before="17"/>
        <w:ind w:left="110" w:right="108"/>
        <w:jc w:val="both"/>
      </w:pPr>
      <w:r>
        <w:rPr>
          <w:color w:val="231F20"/>
          <w:w w:val="105"/>
        </w:rPr>
        <w:t>El</w:t>
      </w:r>
      <w:r>
        <w:rPr>
          <w:color w:val="231F20"/>
          <w:spacing w:val="-9"/>
          <w:w w:val="105"/>
        </w:rPr>
        <w:t> </w:t>
      </w:r>
      <w:r>
        <w:rPr>
          <w:color w:val="231F20"/>
          <w:w w:val="105"/>
        </w:rPr>
        <w:t>municipio</w:t>
      </w:r>
      <w:r>
        <w:rPr>
          <w:color w:val="231F20"/>
          <w:spacing w:val="-9"/>
          <w:w w:val="105"/>
        </w:rPr>
        <w:t> </w:t>
      </w:r>
      <w:r>
        <w:rPr>
          <w:color w:val="231F20"/>
          <w:w w:val="105"/>
        </w:rPr>
        <w:t>libre</w:t>
      </w:r>
      <w:r>
        <w:rPr>
          <w:color w:val="231F20"/>
          <w:spacing w:val="-9"/>
          <w:w w:val="105"/>
        </w:rPr>
        <w:t> </w:t>
      </w:r>
      <w:r>
        <w:rPr>
          <w:color w:val="231F20"/>
          <w:w w:val="105"/>
        </w:rPr>
        <w:t>constituye</w:t>
      </w:r>
      <w:r>
        <w:rPr>
          <w:color w:val="231F20"/>
          <w:spacing w:val="-9"/>
          <w:w w:val="105"/>
        </w:rPr>
        <w:t> </w:t>
      </w:r>
      <w:r>
        <w:rPr>
          <w:color w:val="231F20"/>
          <w:w w:val="105"/>
        </w:rPr>
        <w:t>la</w:t>
      </w:r>
      <w:r>
        <w:rPr>
          <w:color w:val="231F20"/>
          <w:spacing w:val="-9"/>
          <w:w w:val="105"/>
        </w:rPr>
        <w:t> </w:t>
      </w:r>
      <w:r>
        <w:rPr>
          <w:color w:val="231F20"/>
          <w:w w:val="105"/>
        </w:rPr>
        <w:t>base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división</w:t>
      </w:r>
      <w:r>
        <w:rPr>
          <w:color w:val="231F20"/>
          <w:spacing w:val="-9"/>
          <w:w w:val="105"/>
        </w:rPr>
        <w:t> </w:t>
      </w:r>
      <w:r>
        <w:rPr>
          <w:color w:val="231F20"/>
          <w:w w:val="105"/>
        </w:rPr>
        <w:t>territorial</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organización</w:t>
      </w:r>
      <w:r>
        <w:rPr>
          <w:color w:val="231F20"/>
          <w:spacing w:val="-9"/>
          <w:w w:val="105"/>
        </w:rPr>
        <w:t> </w:t>
      </w:r>
      <w:r>
        <w:rPr>
          <w:color w:val="231F20"/>
          <w:w w:val="105"/>
        </w:rPr>
        <w:t>política y</w:t>
      </w:r>
      <w:r>
        <w:rPr>
          <w:color w:val="231F20"/>
          <w:spacing w:val="-14"/>
          <w:w w:val="105"/>
        </w:rPr>
        <w:t> </w:t>
      </w:r>
      <w:r>
        <w:rPr>
          <w:color w:val="231F20"/>
          <w:w w:val="105"/>
        </w:rPr>
        <w:t>administrativa</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mexicano;</w:t>
      </w:r>
      <w:r>
        <w:rPr>
          <w:color w:val="231F20"/>
          <w:spacing w:val="-14"/>
          <w:w w:val="105"/>
        </w:rPr>
        <w:t> </w:t>
      </w:r>
      <w:r>
        <w:rPr>
          <w:color w:val="231F20"/>
          <w:w w:val="105"/>
        </w:rPr>
        <w:t>es</w:t>
      </w:r>
      <w:r>
        <w:rPr>
          <w:color w:val="231F20"/>
          <w:spacing w:val="-14"/>
          <w:w w:val="105"/>
        </w:rPr>
        <w:t> </w:t>
      </w:r>
      <w:r>
        <w:rPr>
          <w:color w:val="231F20"/>
          <w:w w:val="105"/>
        </w:rPr>
        <w:t>una</w:t>
      </w:r>
      <w:r>
        <w:rPr>
          <w:color w:val="231F20"/>
          <w:spacing w:val="-14"/>
          <w:w w:val="105"/>
        </w:rPr>
        <w:t> </w:t>
      </w:r>
      <w:r>
        <w:rPr>
          <w:color w:val="231F20"/>
          <w:w w:val="105"/>
        </w:rPr>
        <w:t>entidad</w:t>
      </w:r>
      <w:r>
        <w:rPr>
          <w:color w:val="231F20"/>
          <w:spacing w:val="-14"/>
          <w:w w:val="105"/>
        </w:rPr>
        <w:t> </w:t>
      </w:r>
      <w:r>
        <w:rPr>
          <w:color w:val="231F20"/>
          <w:w w:val="105"/>
        </w:rPr>
        <w:t>pública</w:t>
      </w:r>
      <w:r>
        <w:rPr>
          <w:color w:val="231F20"/>
          <w:spacing w:val="-14"/>
          <w:w w:val="105"/>
        </w:rPr>
        <w:t> </w:t>
      </w:r>
      <w:r>
        <w:rPr>
          <w:color w:val="231F20"/>
          <w:w w:val="105"/>
        </w:rPr>
        <w:t>susceptible</w:t>
      </w:r>
      <w:r>
        <w:rPr>
          <w:color w:val="231F20"/>
          <w:spacing w:val="-14"/>
          <w:w w:val="105"/>
        </w:rPr>
        <w:t> </w:t>
      </w:r>
      <w:r>
        <w:rPr>
          <w:color w:val="231F20"/>
          <w:w w:val="105"/>
        </w:rPr>
        <w:t>de</w:t>
      </w:r>
      <w:r>
        <w:rPr>
          <w:color w:val="231F20"/>
          <w:spacing w:val="-14"/>
          <w:w w:val="105"/>
        </w:rPr>
        <w:t> </w:t>
      </w:r>
      <w:r>
        <w:rPr>
          <w:color w:val="231F20"/>
          <w:w w:val="105"/>
        </w:rPr>
        <w:t>derechos</w:t>
      </w:r>
      <w:r>
        <w:rPr>
          <w:color w:val="231F20"/>
          <w:spacing w:val="-14"/>
          <w:w w:val="105"/>
        </w:rPr>
        <w:t> </w:t>
      </w:r>
      <w:r>
        <w:rPr>
          <w:color w:val="231F20"/>
          <w:w w:val="105"/>
        </w:rPr>
        <w:t>y obligaciones</w:t>
      </w:r>
      <w:r>
        <w:rPr>
          <w:color w:val="231F20"/>
          <w:spacing w:val="-15"/>
          <w:w w:val="105"/>
        </w:rPr>
        <w:t> </w:t>
      </w:r>
      <w:r>
        <w:rPr>
          <w:color w:val="231F20"/>
          <w:w w:val="105"/>
        </w:rPr>
        <w:t>establecidas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artículo</w:t>
      </w:r>
      <w:r>
        <w:rPr>
          <w:color w:val="231F20"/>
          <w:spacing w:val="-15"/>
          <w:w w:val="105"/>
        </w:rPr>
        <w:t> </w:t>
      </w:r>
      <w:r>
        <w:rPr>
          <w:color w:val="231F20"/>
          <w:spacing w:val="-4"/>
          <w:w w:val="105"/>
        </w:rPr>
        <w:t>115</w:t>
      </w:r>
      <w:r>
        <w:rPr>
          <w:color w:val="231F20"/>
          <w:spacing w:val="-15"/>
          <w:w w:val="105"/>
        </w:rPr>
        <w:t> </w:t>
      </w:r>
      <w:r>
        <w:rPr>
          <w:color w:val="231F20"/>
          <w:w w:val="105"/>
        </w:rPr>
        <w:t>Constitucional</w:t>
      </w:r>
      <w:r>
        <w:rPr>
          <w:color w:val="231F20"/>
          <w:spacing w:val="-15"/>
          <w:w w:val="105"/>
        </w:rPr>
        <w:t> </w:t>
      </w:r>
      <w:r>
        <w:rPr>
          <w:color w:val="231F20"/>
          <w:w w:val="105"/>
        </w:rPr>
        <w:t>y</w:t>
      </w:r>
      <w:r>
        <w:rPr>
          <w:color w:val="231F20"/>
          <w:spacing w:val="-15"/>
          <w:w w:val="105"/>
        </w:rPr>
        <w:t> </w:t>
      </w:r>
      <w:r>
        <w:rPr>
          <w:color w:val="231F20"/>
          <w:w w:val="105"/>
        </w:rPr>
        <w:t>leyes</w:t>
      </w:r>
      <w:r>
        <w:rPr>
          <w:color w:val="231F20"/>
          <w:spacing w:val="-15"/>
          <w:w w:val="105"/>
        </w:rPr>
        <w:t> </w:t>
      </w:r>
      <w:r>
        <w:rPr>
          <w:color w:val="231F20"/>
          <w:w w:val="105"/>
        </w:rPr>
        <w:t>propias</w:t>
      </w:r>
      <w:r>
        <w:rPr>
          <w:color w:val="231F20"/>
          <w:spacing w:val="-15"/>
          <w:w w:val="105"/>
        </w:rPr>
        <w:t> </w:t>
      </w:r>
      <w:r>
        <w:rPr>
          <w:color w:val="231F20"/>
          <w:w w:val="105"/>
        </w:rPr>
        <w:t>de</w:t>
      </w:r>
      <w:r>
        <w:rPr>
          <w:color w:val="231F20"/>
          <w:spacing w:val="-15"/>
          <w:w w:val="105"/>
        </w:rPr>
        <w:t> </w:t>
      </w:r>
      <w:r>
        <w:rPr>
          <w:color w:val="231F20"/>
          <w:w w:val="105"/>
        </w:rPr>
        <w:t>cada</w:t>
      </w:r>
      <w:r>
        <w:rPr>
          <w:color w:val="231F20"/>
          <w:spacing w:val="-15"/>
          <w:w w:val="105"/>
        </w:rPr>
        <w:t> </w:t>
      </w:r>
      <w:r>
        <w:rPr>
          <w:color w:val="231F20"/>
          <w:w w:val="105"/>
        </w:rPr>
        <w:t>enti- dad</w:t>
      </w:r>
      <w:r>
        <w:rPr>
          <w:color w:val="231F20"/>
          <w:spacing w:val="-39"/>
          <w:w w:val="105"/>
        </w:rPr>
        <w:t> </w:t>
      </w:r>
      <w:r>
        <w:rPr>
          <w:color w:val="231F20"/>
          <w:w w:val="105"/>
        </w:rPr>
        <w:t>federativa.</w:t>
      </w:r>
    </w:p>
    <w:p>
      <w:pPr>
        <w:pStyle w:val="BodyText"/>
        <w:spacing w:before="1"/>
        <w:rPr>
          <w:sz w:val="26"/>
        </w:rPr>
      </w:pPr>
    </w:p>
    <w:p>
      <w:pPr>
        <w:pStyle w:val="BodyText"/>
        <w:spacing w:line="285" w:lineRule="auto"/>
        <w:ind w:left="110" w:right="107"/>
        <w:jc w:val="both"/>
      </w:pPr>
      <w:r>
        <w:rPr>
          <w:color w:val="231F20"/>
          <w:w w:val="105"/>
        </w:rPr>
        <w:t>Con las últimas reformas a este artículo y dentro del marco del federalismo, se le re- conoció su facultad para gobernar y no solo para administrar, obligándolo a adoptar para su régimen interior una forma de gobierno representativo y popular, la cual está en</w:t>
      </w:r>
      <w:r>
        <w:rPr>
          <w:color w:val="231F20"/>
          <w:spacing w:val="-8"/>
          <w:w w:val="105"/>
        </w:rPr>
        <w:t> </w:t>
      </w:r>
      <w:r>
        <w:rPr>
          <w:color w:val="231F20"/>
          <w:w w:val="105"/>
        </w:rPr>
        <w:t>función</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órgano</w:t>
      </w:r>
      <w:r>
        <w:rPr>
          <w:color w:val="231F20"/>
          <w:spacing w:val="-8"/>
          <w:w w:val="105"/>
        </w:rPr>
        <w:t> </w:t>
      </w:r>
      <w:r>
        <w:rPr>
          <w:color w:val="231F20"/>
          <w:w w:val="105"/>
        </w:rPr>
        <w:t>colegiado</w:t>
      </w:r>
      <w:r>
        <w:rPr>
          <w:color w:val="231F20"/>
          <w:spacing w:val="-8"/>
          <w:w w:val="105"/>
        </w:rPr>
        <w:t> </w:t>
      </w:r>
      <w:r>
        <w:rPr>
          <w:color w:val="231F20"/>
          <w:w w:val="105"/>
        </w:rPr>
        <w:t>(integrado</w:t>
      </w:r>
      <w:r>
        <w:rPr>
          <w:color w:val="231F20"/>
          <w:spacing w:val="-8"/>
          <w:w w:val="105"/>
        </w:rPr>
        <w:t> </w:t>
      </w:r>
      <w:r>
        <w:rPr>
          <w:color w:val="231F20"/>
          <w:w w:val="105"/>
        </w:rPr>
        <w:t>por</w:t>
      </w:r>
      <w:r>
        <w:rPr>
          <w:color w:val="231F20"/>
          <w:spacing w:val="-8"/>
          <w:w w:val="105"/>
        </w:rPr>
        <w:t> </w:t>
      </w:r>
      <w:r>
        <w:rPr>
          <w:color w:val="231F20"/>
          <w:w w:val="105"/>
        </w:rPr>
        <w:t>un</w:t>
      </w:r>
      <w:r>
        <w:rPr>
          <w:color w:val="231F20"/>
          <w:spacing w:val="-8"/>
          <w:w w:val="105"/>
        </w:rPr>
        <w:t> </w:t>
      </w:r>
      <w:r>
        <w:rPr>
          <w:color w:val="231F20"/>
          <w:w w:val="105"/>
        </w:rPr>
        <w:t>presidente</w:t>
      </w:r>
      <w:r>
        <w:rPr>
          <w:color w:val="231F20"/>
          <w:spacing w:val="-8"/>
          <w:w w:val="105"/>
        </w:rPr>
        <w:t> </w:t>
      </w:r>
      <w:r>
        <w:rPr>
          <w:color w:val="231F20"/>
          <w:w w:val="105"/>
        </w:rPr>
        <w:t>municipal,</w:t>
      </w:r>
      <w:r>
        <w:rPr>
          <w:color w:val="231F20"/>
          <w:spacing w:val="-8"/>
          <w:w w:val="105"/>
        </w:rPr>
        <w:t> </w:t>
      </w:r>
      <w:r>
        <w:rPr>
          <w:color w:val="231F20"/>
          <w:w w:val="105"/>
        </w:rPr>
        <w:t>regidores</w:t>
      </w:r>
      <w:r>
        <w:rPr>
          <w:color w:val="231F20"/>
          <w:spacing w:val="-8"/>
          <w:w w:val="105"/>
        </w:rPr>
        <w:t> </w:t>
      </w:r>
      <w:r>
        <w:rPr>
          <w:color w:val="231F20"/>
          <w:w w:val="105"/>
        </w:rPr>
        <w:t>y síndicos)</w:t>
      </w:r>
      <w:r>
        <w:rPr>
          <w:color w:val="231F20"/>
          <w:spacing w:val="-31"/>
          <w:w w:val="105"/>
        </w:rPr>
        <w:t> </w:t>
      </w:r>
      <w:r>
        <w:rPr>
          <w:color w:val="231F20"/>
          <w:w w:val="105"/>
        </w:rPr>
        <w:t>elegido</w:t>
      </w:r>
      <w:r>
        <w:rPr>
          <w:color w:val="231F20"/>
          <w:spacing w:val="-31"/>
          <w:w w:val="105"/>
        </w:rPr>
        <w:t> </w:t>
      </w:r>
      <w:r>
        <w:rPr>
          <w:color w:val="231F20"/>
          <w:w w:val="105"/>
        </w:rPr>
        <w:t>popularmente.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6"/>
        <w:jc w:val="both"/>
      </w:pPr>
      <w:r>
        <w:rPr>
          <w:color w:val="231F20"/>
          <w:w w:val="105"/>
        </w:rPr>
        <w:t>De conformidad con el artículo </w:t>
      </w:r>
      <w:r>
        <w:rPr>
          <w:color w:val="231F20"/>
          <w:spacing w:val="-4"/>
          <w:w w:val="105"/>
        </w:rPr>
        <w:t>115 </w:t>
      </w:r>
      <w:r>
        <w:rPr>
          <w:color w:val="231F20"/>
          <w:w w:val="105"/>
        </w:rPr>
        <w:t>de la Constitución Mexicana, el municipio tiene la obligación y la tarea de proveer de servicios públicos como agua potable, drenaje, alcantarillado, alumbrado público, seguridad pública, limpia y recolección de basura; construcción y mantenimiento de infraestructura básica como mercados, panteones, parques,</w:t>
      </w:r>
      <w:r>
        <w:rPr>
          <w:color w:val="231F20"/>
          <w:spacing w:val="-14"/>
          <w:w w:val="105"/>
        </w:rPr>
        <w:t> </w:t>
      </w:r>
      <w:r>
        <w:rPr>
          <w:color w:val="231F20"/>
          <w:w w:val="105"/>
        </w:rPr>
        <w:t>calles,</w:t>
      </w:r>
      <w:r>
        <w:rPr>
          <w:color w:val="231F20"/>
          <w:spacing w:val="-14"/>
          <w:w w:val="105"/>
        </w:rPr>
        <w:t> </w:t>
      </w:r>
      <w:r>
        <w:rPr>
          <w:color w:val="231F20"/>
          <w:w w:val="105"/>
        </w:rPr>
        <w:t>jardines,</w:t>
      </w:r>
      <w:r>
        <w:rPr>
          <w:color w:val="231F20"/>
          <w:spacing w:val="-14"/>
          <w:w w:val="105"/>
        </w:rPr>
        <w:t> </w:t>
      </w:r>
      <w:r>
        <w:rPr>
          <w:color w:val="231F20"/>
          <w:w w:val="105"/>
        </w:rPr>
        <w:t>entre</w:t>
      </w:r>
      <w:r>
        <w:rPr>
          <w:color w:val="231F20"/>
          <w:spacing w:val="-14"/>
          <w:w w:val="105"/>
        </w:rPr>
        <w:t> </w:t>
      </w:r>
      <w:r>
        <w:rPr>
          <w:color w:val="231F20"/>
          <w:w w:val="105"/>
        </w:rPr>
        <w:t>otros,</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función</w:t>
      </w:r>
      <w:r>
        <w:rPr>
          <w:color w:val="231F20"/>
          <w:spacing w:val="-14"/>
          <w:w w:val="105"/>
        </w:rPr>
        <w:t> </w:t>
      </w:r>
      <w:r>
        <w:rPr>
          <w:color w:val="231F20"/>
          <w:w w:val="105"/>
        </w:rPr>
        <w:t>de</w:t>
      </w:r>
      <w:r>
        <w:rPr>
          <w:color w:val="231F20"/>
          <w:spacing w:val="-14"/>
          <w:w w:val="105"/>
        </w:rPr>
        <w:t> </w:t>
      </w:r>
      <w:r>
        <w:rPr>
          <w:color w:val="231F20"/>
          <w:w w:val="105"/>
        </w:rPr>
        <w:t>reglamentación.</w:t>
      </w:r>
    </w:p>
    <w:p>
      <w:pPr>
        <w:pStyle w:val="BodyText"/>
        <w:spacing w:before="1"/>
        <w:rPr>
          <w:sz w:val="26"/>
        </w:rPr>
      </w:pPr>
    </w:p>
    <w:p>
      <w:pPr>
        <w:pStyle w:val="BodyText"/>
        <w:spacing w:line="285" w:lineRule="auto"/>
        <w:ind w:left="110" w:right="107"/>
        <w:jc w:val="both"/>
      </w:pP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logro</w:t>
      </w:r>
      <w:r>
        <w:rPr>
          <w:color w:val="231F20"/>
          <w:spacing w:val="-17"/>
          <w:w w:val="105"/>
        </w:rPr>
        <w:t> </w:t>
      </w:r>
      <w:r>
        <w:rPr>
          <w:color w:val="231F20"/>
          <w:w w:val="105"/>
        </w:rPr>
        <w:t>de</w:t>
      </w:r>
      <w:r>
        <w:rPr>
          <w:color w:val="231F20"/>
          <w:spacing w:val="-17"/>
          <w:w w:val="105"/>
        </w:rPr>
        <w:t> </w:t>
      </w:r>
      <w:r>
        <w:rPr>
          <w:color w:val="231F20"/>
          <w:w w:val="105"/>
        </w:rPr>
        <w:t>estos</w:t>
      </w:r>
      <w:r>
        <w:rPr>
          <w:color w:val="231F20"/>
          <w:spacing w:val="-17"/>
          <w:w w:val="105"/>
        </w:rPr>
        <w:t> </w:t>
      </w:r>
      <w:r>
        <w:rPr>
          <w:color w:val="231F20"/>
          <w:w w:val="105"/>
        </w:rPr>
        <w:t>objetivos,</w:t>
      </w:r>
      <w:r>
        <w:rPr>
          <w:color w:val="231F20"/>
          <w:spacing w:val="-17"/>
          <w:w w:val="105"/>
        </w:rPr>
        <w:t> </w:t>
      </w:r>
      <w:r>
        <w:rPr>
          <w:color w:val="231F20"/>
          <w:w w:val="105"/>
        </w:rPr>
        <w:t>así</w:t>
      </w:r>
      <w:r>
        <w:rPr>
          <w:color w:val="231F20"/>
          <w:spacing w:val="-17"/>
          <w:w w:val="105"/>
        </w:rPr>
        <w:t> </w:t>
      </w:r>
      <w:r>
        <w:rPr>
          <w:color w:val="231F20"/>
          <w:w w:val="105"/>
        </w:rPr>
        <w:t>mismo</w:t>
      </w:r>
      <w:r>
        <w:rPr>
          <w:color w:val="231F20"/>
          <w:spacing w:val="-17"/>
          <w:w w:val="105"/>
        </w:rPr>
        <w:t> </w:t>
      </w:r>
      <w:r>
        <w:rPr>
          <w:color w:val="231F20"/>
          <w:w w:val="105"/>
        </w:rPr>
        <w:t>se</w:t>
      </w:r>
      <w:r>
        <w:rPr>
          <w:color w:val="231F20"/>
          <w:spacing w:val="-17"/>
          <w:w w:val="105"/>
        </w:rPr>
        <w:t> </w:t>
      </w:r>
      <w:r>
        <w:rPr>
          <w:color w:val="231F20"/>
          <w:w w:val="105"/>
        </w:rPr>
        <w:t>le</w:t>
      </w:r>
      <w:r>
        <w:rPr>
          <w:color w:val="231F20"/>
          <w:spacing w:val="-17"/>
          <w:w w:val="105"/>
        </w:rPr>
        <w:t> </w:t>
      </w:r>
      <w:r>
        <w:rPr>
          <w:color w:val="231F20"/>
          <w:w w:val="105"/>
        </w:rPr>
        <w:t>ha</w:t>
      </w:r>
      <w:r>
        <w:rPr>
          <w:color w:val="231F20"/>
          <w:spacing w:val="-17"/>
          <w:w w:val="105"/>
        </w:rPr>
        <w:t> </w:t>
      </w:r>
      <w:r>
        <w:rPr>
          <w:color w:val="231F20"/>
          <w:w w:val="105"/>
        </w:rPr>
        <w:t>facultado</w:t>
      </w:r>
      <w:r>
        <w:rPr>
          <w:color w:val="231F20"/>
          <w:spacing w:val="-17"/>
          <w:w w:val="105"/>
        </w:rPr>
        <w:t> </w:t>
      </w:r>
      <w:r>
        <w:rPr>
          <w:color w:val="231F20"/>
          <w:w w:val="105"/>
        </w:rPr>
        <w:t>con</w:t>
      </w:r>
      <w:r>
        <w:rPr>
          <w:color w:val="231F20"/>
          <w:spacing w:val="-17"/>
          <w:w w:val="105"/>
        </w:rPr>
        <w:t> </w:t>
      </w:r>
      <w:r>
        <w:rPr>
          <w:color w:val="231F20"/>
          <w:w w:val="105"/>
        </w:rPr>
        <w:t>instrumentos</w:t>
      </w:r>
      <w:r>
        <w:rPr>
          <w:color w:val="231F20"/>
          <w:spacing w:val="-17"/>
          <w:w w:val="105"/>
        </w:rPr>
        <w:t> </w:t>
      </w:r>
      <w:r>
        <w:rPr>
          <w:color w:val="231F20"/>
          <w:w w:val="105"/>
        </w:rPr>
        <w:t>financie- ros</w:t>
      </w:r>
      <w:r>
        <w:rPr>
          <w:color w:val="231F20"/>
          <w:spacing w:val="-5"/>
          <w:w w:val="105"/>
        </w:rPr>
        <w:t> </w:t>
      </w:r>
      <w:r>
        <w:rPr>
          <w:color w:val="231F20"/>
          <w:w w:val="105"/>
        </w:rPr>
        <w:t>que</w:t>
      </w:r>
      <w:r>
        <w:rPr>
          <w:color w:val="231F20"/>
          <w:spacing w:val="-5"/>
          <w:w w:val="105"/>
        </w:rPr>
        <w:t> </w:t>
      </w:r>
      <w:r>
        <w:rPr>
          <w:color w:val="231F20"/>
          <w:w w:val="105"/>
        </w:rPr>
        <w:t>le</w:t>
      </w:r>
      <w:r>
        <w:rPr>
          <w:color w:val="231F20"/>
          <w:spacing w:val="-5"/>
          <w:w w:val="105"/>
        </w:rPr>
        <w:t> </w:t>
      </w:r>
      <w:r>
        <w:rPr>
          <w:color w:val="231F20"/>
          <w:w w:val="105"/>
        </w:rPr>
        <w:t>permitan</w:t>
      </w:r>
      <w:r>
        <w:rPr>
          <w:color w:val="231F20"/>
          <w:spacing w:val="-5"/>
          <w:w w:val="105"/>
        </w:rPr>
        <w:t> </w:t>
      </w:r>
      <w:r>
        <w:rPr>
          <w:color w:val="231F20"/>
          <w:w w:val="105"/>
        </w:rPr>
        <w:t>contar</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recursos</w:t>
      </w:r>
      <w:r>
        <w:rPr>
          <w:color w:val="231F20"/>
          <w:spacing w:val="-5"/>
          <w:w w:val="105"/>
        </w:rPr>
        <w:t> </w:t>
      </w:r>
      <w:r>
        <w:rPr>
          <w:color w:val="231F20"/>
          <w:w w:val="105"/>
        </w:rPr>
        <w:t>económicos</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desarrollo</w:t>
      </w:r>
      <w:r>
        <w:rPr>
          <w:color w:val="231F20"/>
          <w:spacing w:val="-5"/>
          <w:w w:val="105"/>
        </w:rPr>
        <w:t> </w:t>
      </w:r>
      <w:r>
        <w:rPr>
          <w:color w:val="231F20"/>
          <w:w w:val="105"/>
        </w:rPr>
        <w:t>del</w:t>
      </w:r>
      <w:r>
        <w:rPr>
          <w:color w:val="231F20"/>
          <w:spacing w:val="-5"/>
          <w:w w:val="105"/>
        </w:rPr>
        <w:t> </w:t>
      </w:r>
      <w:r>
        <w:rPr>
          <w:color w:val="231F20"/>
          <w:w w:val="105"/>
        </w:rPr>
        <w:t>ejercicio gubernamental</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combate</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carencias</w:t>
      </w:r>
      <w:r>
        <w:rPr>
          <w:color w:val="231F20"/>
          <w:spacing w:val="-20"/>
          <w:w w:val="105"/>
        </w:rPr>
        <w:t> </w:t>
      </w:r>
      <w:r>
        <w:rPr>
          <w:color w:val="231F20"/>
          <w:w w:val="105"/>
        </w:rPr>
        <w:t>y</w:t>
      </w:r>
      <w:r>
        <w:rPr>
          <w:color w:val="231F20"/>
          <w:spacing w:val="-20"/>
          <w:w w:val="105"/>
        </w:rPr>
        <w:t> </w:t>
      </w:r>
      <w:r>
        <w:rPr>
          <w:color w:val="231F20"/>
          <w:w w:val="105"/>
        </w:rPr>
        <w:t>problemas</w:t>
      </w:r>
      <w:r>
        <w:rPr>
          <w:color w:val="231F20"/>
          <w:spacing w:val="-20"/>
          <w:w w:val="105"/>
        </w:rPr>
        <w:t> </w:t>
      </w:r>
      <w:r>
        <w:rPr>
          <w:color w:val="231F20"/>
          <w:w w:val="105"/>
        </w:rPr>
        <w:t>sociales;</w:t>
      </w:r>
      <w:r>
        <w:rPr>
          <w:color w:val="231F20"/>
          <w:spacing w:val="-20"/>
          <w:w w:val="105"/>
        </w:rPr>
        <w:t> </w:t>
      </w:r>
      <w:r>
        <w:rPr>
          <w:color w:val="231F20"/>
          <w:w w:val="105"/>
        </w:rPr>
        <w:t>actualmente,</w:t>
      </w:r>
      <w:r>
        <w:rPr>
          <w:color w:val="231F20"/>
          <w:spacing w:val="-20"/>
          <w:w w:val="105"/>
        </w:rPr>
        <w:t> </w:t>
      </w:r>
      <w:r>
        <w:rPr>
          <w:color w:val="231F20"/>
          <w:w w:val="105"/>
        </w:rPr>
        <w:t>las</w:t>
      </w:r>
      <w:r>
        <w:rPr>
          <w:color w:val="231F20"/>
          <w:spacing w:val="-20"/>
          <w:w w:val="105"/>
        </w:rPr>
        <w:t> </w:t>
      </w:r>
      <w:r>
        <w:rPr>
          <w:color w:val="231F20"/>
          <w:w w:val="105"/>
        </w:rPr>
        <w:t>fuen- tes</w:t>
      </w:r>
      <w:r>
        <w:rPr>
          <w:color w:val="231F20"/>
          <w:spacing w:val="-14"/>
          <w:w w:val="105"/>
        </w:rPr>
        <w:t> </w:t>
      </w:r>
      <w:r>
        <w:rPr>
          <w:color w:val="231F20"/>
          <w:w w:val="105"/>
        </w:rPr>
        <w:t>de</w:t>
      </w:r>
      <w:r>
        <w:rPr>
          <w:color w:val="231F20"/>
          <w:spacing w:val="-14"/>
          <w:w w:val="105"/>
        </w:rPr>
        <w:t> </w:t>
      </w:r>
      <w:r>
        <w:rPr>
          <w:color w:val="231F20"/>
          <w:w w:val="105"/>
        </w:rPr>
        <w:t>ingreso</w:t>
      </w:r>
      <w:r>
        <w:rPr>
          <w:color w:val="231F20"/>
          <w:spacing w:val="-14"/>
          <w:w w:val="105"/>
        </w:rPr>
        <w:t> </w:t>
      </w:r>
      <w:r>
        <w:rPr>
          <w:color w:val="231F20"/>
          <w:w w:val="105"/>
        </w:rPr>
        <w:t>para</w:t>
      </w:r>
      <w:r>
        <w:rPr>
          <w:color w:val="231F20"/>
          <w:spacing w:val="-14"/>
          <w:w w:val="105"/>
        </w:rPr>
        <w:t> </w:t>
      </w:r>
      <w:r>
        <w:rPr>
          <w:color w:val="231F20"/>
          <w:w w:val="105"/>
        </w:rPr>
        <w:t>las</w:t>
      </w:r>
      <w:r>
        <w:rPr>
          <w:color w:val="231F20"/>
          <w:spacing w:val="-14"/>
          <w:w w:val="105"/>
        </w:rPr>
        <w:t> </w:t>
      </w:r>
      <w:r>
        <w:rPr>
          <w:color w:val="231F20"/>
          <w:w w:val="105"/>
        </w:rPr>
        <w:t>Haciendas</w:t>
      </w:r>
      <w:r>
        <w:rPr>
          <w:color w:val="231F20"/>
          <w:spacing w:val="-14"/>
          <w:w w:val="105"/>
        </w:rPr>
        <w:t> </w:t>
      </w:r>
      <w:r>
        <w:rPr>
          <w:color w:val="231F20"/>
          <w:w w:val="105"/>
        </w:rPr>
        <w:t>municipales</w:t>
      </w:r>
      <w:r>
        <w:rPr>
          <w:color w:val="231F20"/>
          <w:spacing w:val="-14"/>
          <w:w w:val="105"/>
        </w:rPr>
        <w:t> </w:t>
      </w:r>
      <w:r>
        <w:rPr>
          <w:color w:val="231F20"/>
          <w:w w:val="105"/>
        </w:rPr>
        <w:t>son</w:t>
      </w:r>
      <w:r>
        <w:rPr>
          <w:color w:val="231F20"/>
          <w:spacing w:val="-14"/>
          <w:w w:val="105"/>
        </w:rPr>
        <w:t> </w:t>
      </w:r>
      <w:r>
        <w:rPr>
          <w:color w:val="231F20"/>
          <w:w w:val="105"/>
        </w:rPr>
        <w:t>las</w:t>
      </w:r>
      <w:r>
        <w:rPr>
          <w:color w:val="231F20"/>
          <w:spacing w:val="-14"/>
          <w:w w:val="105"/>
        </w:rPr>
        <w:t> </w:t>
      </w:r>
      <w:r>
        <w:rPr>
          <w:color w:val="231F20"/>
          <w:w w:val="105"/>
        </w:rPr>
        <w:t>provenientes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explotación</w:t>
      </w:r>
      <w:r>
        <w:rPr>
          <w:color w:val="231F20"/>
          <w:spacing w:val="-14"/>
          <w:w w:val="105"/>
        </w:rPr>
        <w:t> </w:t>
      </w:r>
      <w:r>
        <w:rPr>
          <w:color w:val="231F20"/>
          <w:w w:val="105"/>
        </w:rPr>
        <w:t>de los bienes patrimoniales, contribuciones y derechos, y los recursos provenientes de la Federación</w:t>
      </w:r>
      <w:r>
        <w:rPr>
          <w:color w:val="231F20"/>
          <w:spacing w:val="-19"/>
          <w:w w:val="105"/>
        </w:rPr>
        <w:t> </w:t>
      </w:r>
      <w:r>
        <w:rPr>
          <w:color w:val="231F20"/>
          <w:w w:val="105"/>
        </w:rPr>
        <w:t>y</w:t>
      </w:r>
      <w:r>
        <w:rPr>
          <w:color w:val="231F20"/>
          <w:spacing w:val="-19"/>
          <w:w w:val="105"/>
        </w:rPr>
        <w:t> </w:t>
      </w:r>
      <w:r>
        <w:rPr>
          <w:color w:val="231F20"/>
          <w:w w:val="105"/>
        </w:rPr>
        <w:t>las</w:t>
      </w:r>
      <w:r>
        <w:rPr>
          <w:color w:val="231F20"/>
          <w:spacing w:val="-19"/>
          <w:w w:val="105"/>
        </w:rPr>
        <w:t> </w:t>
      </w:r>
      <w:r>
        <w:rPr>
          <w:color w:val="231F20"/>
          <w:w w:val="105"/>
        </w:rPr>
        <w:t>entidades</w:t>
      </w:r>
      <w:r>
        <w:rPr>
          <w:color w:val="231F20"/>
          <w:spacing w:val="-19"/>
          <w:w w:val="105"/>
        </w:rPr>
        <w:t> </w:t>
      </w:r>
      <w:r>
        <w:rPr>
          <w:color w:val="231F20"/>
          <w:w w:val="105"/>
        </w:rPr>
        <w:t>a</w:t>
      </w:r>
      <w:r>
        <w:rPr>
          <w:color w:val="231F20"/>
          <w:spacing w:val="-19"/>
          <w:w w:val="105"/>
        </w:rPr>
        <w:t> </w:t>
      </w:r>
      <w:r>
        <w:rPr>
          <w:color w:val="231F20"/>
          <w:w w:val="105"/>
        </w:rPr>
        <w:t>través</w:t>
      </w:r>
      <w:r>
        <w:rPr>
          <w:color w:val="231F20"/>
          <w:spacing w:val="-19"/>
          <w:w w:val="105"/>
        </w:rPr>
        <w:t> </w:t>
      </w:r>
      <w:r>
        <w:rPr>
          <w:color w:val="231F20"/>
          <w:w w:val="105"/>
        </w:rPr>
        <w:t>de</w:t>
      </w:r>
      <w:r>
        <w:rPr>
          <w:color w:val="231F20"/>
          <w:spacing w:val="-19"/>
          <w:w w:val="105"/>
        </w:rPr>
        <w:t> </w:t>
      </w:r>
      <w:r>
        <w:rPr>
          <w:color w:val="231F20"/>
          <w:w w:val="105"/>
        </w:rPr>
        <w:t>participaciones</w:t>
      </w:r>
      <w:r>
        <w:rPr>
          <w:color w:val="231F20"/>
          <w:spacing w:val="-19"/>
          <w:w w:val="105"/>
        </w:rPr>
        <w:t> </w:t>
      </w:r>
      <w:r>
        <w:rPr>
          <w:color w:val="231F20"/>
          <w:w w:val="105"/>
        </w:rPr>
        <w:t>y</w:t>
      </w:r>
      <w:r>
        <w:rPr>
          <w:color w:val="231F20"/>
          <w:spacing w:val="-19"/>
          <w:w w:val="105"/>
        </w:rPr>
        <w:t> </w:t>
      </w:r>
      <w:r>
        <w:rPr>
          <w:color w:val="231F20"/>
          <w:w w:val="105"/>
        </w:rPr>
        <w:t>aportaciones.</w:t>
      </w:r>
    </w:p>
    <w:p>
      <w:pPr>
        <w:pStyle w:val="BodyText"/>
        <w:spacing w:before="1"/>
        <w:rPr>
          <w:sz w:val="26"/>
        </w:rPr>
      </w:pPr>
    </w:p>
    <w:p>
      <w:pPr>
        <w:pStyle w:val="BodyText"/>
        <w:spacing w:line="285" w:lineRule="auto"/>
        <w:ind w:left="110" w:right="107"/>
        <w:jc w:val="both"/>
      </w:pPr>
      <w:r>
        <w:rPr>
          <w:color w:val="231F20"/>
        </w:rPr>
        <w:t>De esta forma, el gobierno municipal, aparte de ser </w:t>
      </w:r>
      <w:r>
        <w:rPr>
          <w:color w:val="231F20"/>
          <w:spacing w:val="2"/>
        </w:rPr>
        <w:t>“la </w:t>
      </w:r>
      <w:r>
        <w:rPr>
          <w:color w:val="231F20"/>
        </w:rPr>
        <w:t>forma primaria de estructuración del poder político en una sociedad local” (Guillén, 1995: </w:t>
      </w:r>
      <w:r>
        <w:rPr>
          <w:color w:val="231F20"/>
          <w:spacing w:val="-3"/>
        </w:rPr>
        <w:t>130), </w:t>
      </w:r>
      <w:r>
        <w:rPr>
          <w:color w:val="231F20"/>
        </w:rPr>
        <w:t>constituye la instancia responsable y encargada de atender los asuntos públicos ya que está en contacto directo    y permanente con el ciudadano y sus necesidades, y es el vínculo entre éstos y los otros niveles de gobierno </w:t>
      </w:r>
      <w:r>
        <w:rPr>
          <w:color w:val="231F20"/>
          <w:spacing w:val="-3"/>
        </w:rPr>
        <w:t>(aunque  </w:t>
      </w:r>
      <w:r>
        <w:rPr>
          <w:color w:val="231F20"/>
        </w:rPr>
        <w:t>existen </w:t>
      </w:r>
      <w:r>
        <w:rPr>
          <w:color w:val="231F20"/>
          <w:spacing w:val="14"/>
        </w:rPr>
        <w:t> </w:t>
      </w:r>
      <w:r>
        <w:rPr>
          <w:color w:val="231F20"/>
          <w:spacing w:val="-3"/>
        </w:rPr>
        <w:t>excepciones).</w:t>
      </w:r>
    </w:p>
    <w:p>
      <w:pPr>
        <w:pStyle w:val="BodyText"/>
        <w:spacing w:before="1"/>
        <w:rPr>
          <w:sz w:val="26"/>
        </w:rPr>
      </w:pPr>
    </w:p>
    <w:p>
      <w:pPr>
        <w:pStyle w:val="BodyText"/>
        <w:spacing w:line="285" w:lineRule="auto"/>
        <w:ind w:left="110" w:right="108"/>
        <w:jc w:val="both"/>
      </w:pPr>
      <w:r>
        <w:rPr>
          <w:color w:val="231F20"/>
          <w:spacing w:val="-3"/>
          <w:w w:val="105"/>
        </w:rPr>
        <w:t>Por</w:t>
      </w:r>
      <w:r>
        <w:rPr>
          <w:color w:val="231F20"/>
          <w:spacing w:val="-7"/>
          <w:w w:val="105"/>
        </w:rPr>
        <w:t> </w:t>
      </w:r>
      <w:r>
        <w:rPr>
          <w:color w:val="231F20"/>
          <w:w w:val="105"/>
        </w:rPr>
        <w:t>esta</w:t>
      </w:r>
      <w:r>
        <w:rPr>
          <w:color w:val="231F20"/>
          <w:spacing w:val="-7"/>
          <w:w w:val="105"/>
        </w:rPr>
        <w:t> </w:t>
      </w:r>
      <w:r>
        <w:rPr>
          <w:color w:val="231F20"/>
          <w:w w:val="105"/>
        </w:rPr>
        <w:t>importancia,</w:t>
      </w:r>
      <w:r>
        <w:rPr>
          <w:color w:val="231F20"/>
          <w:spacing w:val="-7"/>
          <w:w w:val="105"/>
        </w:rPr>
        <w:t> </w:t>
      </w:r>
      <w:r>
        <w:rPr>
          <w:color w:val="231F20"/>
          <w:w w:val="105"/>
        </w:rPr>
        <w:t>es</w:t>
      </w:r>
      <w:r>
        <w:rPr>
          <w:color w:val="231F20"/>
          <w:spacing w:val="-7"/>
          <w:w w:val="105"/>
        </w:rPr>
        <w:t> </w:t>
      </w:r>
      <w:r>
        <w:rPr>
          <w:color w:val="231F20"/>
          <w:w w:val="105"/>
        </w:rPr>
        <w:t>preciso</w:t>
      </w:r>
      <w:r>
        <w:rPr>
          <w:color w:val="231F20"/>
          <w:spacing w:val="-7"/>
          <w:w w:val="105"/>
        </w:rPr>
        <w:t> </w:t>
      </w:r>
      <w:r>
        <w:rPr>
          <w:color w:val="231F20"/>
          <w:spacing w:val="2"/>
          <w:w w:val="105"/>
        </w:rPr>
        <w:t>analizar</w:t>
      </w:r>
      <w:r>
        <w:rPr>
          <w:color w:val="231F20"/>
          <w:spacing w:val="-7"/>
          <w:w w:val="105"/>
        </w:rPr>
        <w:t> </w:t>
      </w:r>
      <w:r>
        <w:rPr>
          <w:color w:val="231F20"/>
          <w:w w:val="105"/>
        </w:rPr>
        <w:t>los</w:t>
      </w:r>
      <w:r>
        <w:rPr>
          <w:color w:val="231F20"/>
          <w:spacing w:val="-7"/>
          <w:w w:val="105"/>
        </w:rPr>
        <w:t> </w:t>
      </w:r>
      <w:r>
        <w:rPr>
          <w:color w:val="231F20"/>
          <w:w w:val="105"/>
        </w:rPr>
        <w:t>gobiernos</w:t>
      </w:r>
      <w:r>
        <w:rPr>
          <w:color w:val="231F20"/>
          <w:spacing w:val="-7"/>
          <w:w w:val="105"/>
        </w:rPr>
        <w:t> </w:t>
      </w:r>
      <w:r>
        <w:rPr>
          <w:color w:val="231F20"/>
          <w:w w:val="105"/>
        </w:rPr>
        <w:t>municipales,</w:t>
      </w:r>
      <w:r>
        <w:rPr>
          <w:color w:val="231F20"/>
          <w:spacing w:val="-7"/>
          <w:w w:val="105"/>
        </w:rPr>
        <w:t> </w:t>
      </w:r>
      <w:r>
        <w:rPr>
          <w:color w:val="231F20"/>
          <w:w w:val="105"/>
        </w:rPr>
        <w:t>principalmente</w:t>
      </w:r>
      <w:r>
        <w:rPr>
          <w:color w:val="231F20"/>
          <w:spacing w:val="-7"/>
          <w:w w:val="105"/>
        </w:rPr>
        <w:t> </w:t>
      </w:r>
      <w:r>
        <w:rPr>
          <w:color w:val="231F20"/>
          <w:w w:val="105"/>
        </w:rPr>
        <w:t>en dos dimensiones: la política y la administrativa; la primera atiende a cómo está dis- tribuido el poder entre las diferentes fuerzas políticas del municipio y la capacidad de gestión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actores,</w:t>
      </w:r>
      <w:r>
        <w:rPr>
          <w:color w:val="231F20"/>
          <w:spacing w:val="-10"/>
          <w:w w:val="105"/>
        </w:rPr>
        <w:t> </w:t>
      </w:r>
      <w:r>
        <w:rPr>
          <w:color w:val="231F20"/>
          <w:w w:val="105"/>
        </w:rPr>
        <w:t>la</w:t>
      </w:r>
      <w:r>
        <w:rPr>
          <w:color w:val="231F20"/>
          <w:spacing w:val="-10"/>
          <w:w w:val="105"/>
        </w:rPr>
        <w:t> </w:t>
      </w:r>
      <w:r>
        <w:rPr>
          <w:color w:val="231F20"/>
          <w:w w:val="105"/>
        </w:rPr>
        <w:t>segunda</w:t>
      </w:r>
      <w:r>
        <w:rPr>
          <w:color w:val="231F20"/>
          <w:spacing w:val="-10"/>
          <w:w w:val="105"/>
        </w:rPr>
        <w:t> </w:t>
      </w:r>
      <w:r>
        <w:rPr>
          <w:color w:val="231F20"/>
          <w:w w:val="105"/>
        </w:rPr>
        <w:t>se</w:t>
      </w:r>
      <w:r>
        <w:rPr>
          <w:color w:val="231F20"/>
          <w:spacing w:val="-10"/>
          <w:w w:val="105"/>
        </w:rPr>
        <w:t> </w:t>
      </w:r>
      <w:r>
        <w:rPr>
          <w:color w:val="231F20"/>
          <w:w w:val="105"/>
        </w:rPr>
        <w:t>relaciona</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normatividad</w:t>
      </w:r>
      <w:r>
        <w:rPr>
          <w:color w:val="231F20"/>
          <w:spacing w:val="-10"/>
          <w:w w:val="105"/>
        </w:rPr>
        <w:t> </w:t>
      </w:r>
      <w:r>
        <w:rPr>
          <w:color w:val="231F20"/>
          <w:w w:val="105"/>
        </w:rPr>
        <w:t>existente,</w:t>
      </w:r>
      <w:r>
        <w:rPr>
          <w:color w:val="231F20"/>
          <w:spacing w:val="-10"/>
          <w:w w:val="105"/>
        </w:rPr>
        <w:t> </w:t>
      </w:r>
      <w:r>
        <w:rPr>
          <w:color w:val="231F20"/>
          <w:w w:val="105"/>
        </w:rPr>
        <w:t>la</w:t>
      </w:r>
      <w:r>
        <w:rPr>
          <w:color w:val="231F20"/>
          <w:spacing w:val="-10"/>
          <w:w w:val="105"/>
        </w:rPr>
        <w:t> </w:t>
      </w:r>
      <w:r>
        <w:rPr>
          <w:color w:val="231F20"/>
          <w:w w:val="105"/>
        </w:rPr>
        <w:t>organi- zación</w:t>
      </w:r>
      <w:r>
        <w:rPr>
          <w:color w:val="231F20"/>
          <w:spacing w:val="-18"/>
          <w:w w:val="105"/>
        </w:rPr>
        <w:t> </w:t>
      </w:r>
      <w:r>
        <w:rPr>
          <w:color w:val="231F20"/>
          <w:w w:val="105"/>
        </w:rPr>
        <w:t>interna</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spacing w:val="2"/>
          <w:w w:val="105"/>
        </w:rPr>
        <w:t>finanzas</w:t>
      </w:r>
      <w:r>
        <w:rPr>
          <w:color w:val="231F20"/>
          <w:spacing w:val="-18"/>
          <w:w w:val="105"/>
        </w:rPr>
        <w:t> </w:t>
      </w:r>
      <w:r>
        <w:rPr>
          <w:color w:val="231F20"/>
          <w:w w:val="105"/>
        </w:rPr>
        <w:t>públicas.</w:t>
      </w:r>
    </w:p>
    <w:p>
      <w:pPr>
        <w:pStyle w:val="BodyText"/>
        <w:spacing w:before="2"/>
        <w:rPr>
          <w:sz w:val="20"/>
        </w:rPr>
      </w:pPr>
    </w:p>
    <w:p>
      <w:pPr>
        <w:pStyle w:val="Heading4"/>
        <w:rPr>
          <w:i/>
        </w:rPr>
      </w:pPr>
      <w:r>
        <w:rPr>
          <w:i/>
          <w:color w:val="231F20"/>
          <w:w w:val="105"/>
        </w:rPr>
        <w:t>Composición del ayuntamiento y distribución de comisiones</w:t>
      </w:r>
    </w:p>
    <w:p>
      <w:pPr>
        <w:pStyle w:val="BodyText"/>
        <w:spacing w:line="285" w:lineRule="auto" w:before="16"/>
        <w:ind w:left="110" w:right="108"/>
        <w:jc w:val="both"/>
      </w:pPr>
      <w:r>
        <w:rPr>
          <w:color w:val="231F20"/>
          <w:w w:val="105"/>
        </w:rPr>
        <w:t>Para la toma de decisiones que tienen que ver con la conducción de la vida pública del municipio, la aplicación del gasto público, los planes de obras y servicios pú- blicos, entre otros asuntos, formalmente la responsabilidad recae en la instancia colegiada de gobierno que es el Ayuntamiento, el cual se integra por el presidente municipal, síndicos y regidores que la ley determina.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El</w:t>
      </w:r>
      <w:r>
        <w:rPr>
          <w:color w:val="231F20"/>
          <w:spacing w:val="-21"/>
          <w:w w:val="105"/>
        </w:rPr>
        <w:t> </w:t>
      </w:r>
      <w:r>
        <w:rPr>
          <w:color w:val="231F20"/>
          <w:w w:val="105"/>
        </w:rPr>
        <w:t>Código</w:t>
      </w:r>
      <w:r>
        <w:rPr>
          <w:color w:val="231F20"/>
          <w:spacing w:val="-21"/>
          <w:w w:val="105"/>
        </w:rPr>
        <w:t> </w:t>
      </w:r>
      <w:r>
        <w:rPr>
          <w:color w:val="231F20"/>
          <w:w w:val="105"/>
        </w:rPr>
        <w:t>Electoral</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1"/>
          <w:w w:val="105"/>
        </w:rPr>
        <w:t> </w:t>
      </w:r>
      <w:r>
        <w:rPr>
          <w:color w:val="231F20"/>
          <w:w w:val="105"/>
        </w:rPr>
        <w:t>establece</w:t>
      </w:r>
      <w:r>
        <w:rPr>
          <w:color w:val="231F20"/>
          <w:spacing w:val="-21"/>
          <w:w w:val="105"/>
        </w:rPr>
        <w:t> </w:t>
      </w:r>
      <w:r>
        <w:rPr>
          <w:color w:val="231F20"/>
          <w:w w:val="105"/>
        </w:rPr>
        <w:t>que</w:t>
      </w:r>
      <w:r>
        <w:rPr>
          <w:color w:val="231F20"/>
          <w:spacing w:val="-21"/>
          <w:w w:val="105"/>
        </w:rPr>
        <w:t> </w:t>
      </w:r>
      <w:r>
        <w:rPr>
          <w:color w:val="231F20"/>
          <w:w w:val="105"/>
        </w:rPr>
        <w:t>es</w:t>
      </w:r>
      <w:r>
        <w:rPr>
          <w:color w:val="231F20"/>
          <w:spacing w:val="-21"/>
          <w:w w:val="105"/>
        </w:rPr>
        <w:t> </w:t>
      </w:r>
      <w:r>
        <w:rPr>
          <w:color w:val="231F20"/>
          <w:w w:val="105"/>
        </w:rPr>
        <w:t>responsabilidad</w:t>
      </w:r>
      <w:r>
        <w:rPr>
          <w:color w:val="231F20"/>
          <w:spacing w:val="-21"/>
          <w:w w:val="105"/>
        </w:rPr>
        <w:t> </w:t>
      </w:r>
      <w:r>
        <w:rPr>
          <w:color w:val="231F20"/>
          <w:w w:val="105"/>
        </w:rPr>
        <w:t>y</w:t>
      </w:r>
      <w:r>
        <w:rPr>
          <w:color w:val="231F20"/>
          <w:spacing w:val="-21"/>
          <w:w w:val="105"/>
        </w:rPr>
        <w:t> </w:t>
      </w:r>
      <w:r>
        <w:rPr>
          <w:color w:val="231F20"/>
          <w:w w:val="105"/>
        </w:rPr>
        <w:t>obligación del partido ganador de la contienda incluir en el ayuntamiento a miembros de la opo- sición como medida para contribuir a la democratización gubernamental. </w:t>
      </w:r>
      <w:r>
        <w:rPr>
          <w:color w:val="231F20"/>
          <w:spacing w:val="-3"/>
          <w:w w:val="105"/>
        </w:rPr>
        <w:t>Pero </w:t>
      </w:r>
      <w:r>
        <w:rPr>
          <w:color w:val="231F20"/>
          <w:w w:val="105"/>
        </w:rPr>
        <w:t>tiene el efecto</w:t>
      </w:r>
      <w:r>
        <w:rPr>
          <w:color w:val="231F20"/>
          <w:spacing w:val="-10"/>
          <w:w w:val="105"/>
        </w:rPr>
        <w:t> </w:t>
      </w:r>
      <w:r>
        <w:rPr>
          <w:color w:val="231F20"/>
          <w:w w:val="105"/>
        </w:rPr>
        <w:t>contrario</w:t>
      </w:r>
      <w:r>
        <w:rPr>
          <w:color w:val="231F20"/>
          <w:spacing w:val="-10"/>
          <w:w w:val="105"/>
        </w:rPr>
        <w:t> </w:t>
      </w:r>
      <w:r>
        <w:rPr>
          <w:color w:val="231F20"/>
          <w:spacing w:val="2"/>
          <w:w w:val="105"/>
        </w:rPr>
        <w:t>al</w:t>
      </w:r>
      <w:r>
        <w:rPr>
          <w:color w:val="231F20"/>
          <w:spacing w:val="-10"/>
          <w:w w:val="105"/>
        </w:rPr>
        <w:t> </w:t>
      </w:r>
      <w:r>
        <w:rPr>
          <w:color w:val="231F20"/>
          <w:w w:val="105"/>
        </w:rPr>
        <w:t>darle</w:t>
      </w:r>
      <w:r>
        <w:rPr>
          <w:color w:val="231F20"/>
          <w:spacing w:val="-10"/>
          <w:w w:val="105"/>
        </w:rPr>
        <w:t> </w:t>
      </w:r>
      <w:r>
        <w:rPr>
          <w:color w:val="231F20"/>
          <w:spacing w:val="2"/>
          <w:w w:val="105"/>
        </w:rPr>
        <w:t>al</w:t>
      </w:r>
      <w:r>
        <w:rPr>
          <w:color w:val="231F20"/>
          <w:spacing w:val="-10"/>
          <w:w w:val="105"/>
        </w:rPr>
        <w:t> </w:t>
      </w:r>
      <w:r>
        <w:rPr>
          <w:color w:val="231F20"/>
          <w:w w:val="105"/>
        </w:rPr>
        <w:t>partido</w:t>
      </w:r>
      <w:r>
        <w:rPr>
          <w:color w:val="231F20"/>
          <w:spacing w:val="-10"/>
          <w:w w:val="105"/>
        </w:rPr>
        <w:t> </w:t>
      </w:r>
      <w:r>
        <w:rPr>
          <w:color w:val="231F20"/>
          <w:w w:val="105"/>
        </w:rPr>
        <w:t>ganador</w:t>
      </w:r>
      <w:r>
        <w:rPr>
          <w:color w:val="231F20"/>
          <w:spacing w:val="-10"/>
          <w:w w:val="105"/>
        </w:rPr>
        <w:t> </w:t>
      </w:r>
      <w:r>
        <w:rPr>
          <w:color w:val="231F20"/>
          <w:w w:val="105"/>
        </w:rPr>
        <w:t>el</w:t>
      </w:r>
      <w:r>
        <w:rPr>
          <w:color w:val="231F20"/>
          <w:spacing w:val="-10"/>
          <w:w w:val="105"/>
        </w:rPr>
        <w:t> </w:t>
      </w:r>
      <w:r>
        <w:rPr>
          <w:color w:val="231F20"/>
          <w:w w:val="105"/>
        </w:rPr>
        <w:t>dominio</w:t>
      </w:r>
      <w:r>
        <w:rPr>
          <w:color w:val="231F20"/>
          <w:spacing w:val="-10"/>
          <w:w w:val="105"/>
        </w:rPr>
        <w:t> </w:t>
      </w:r>
      <w:r>
        <w:rPr>
          <w:color w:val="231F20"/>
          <w:w w:val="105"/>
        </w:rPr>
        <w:t>total</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cabildo:</w:t>
      </w:r>
    </w:p>
    <w:p>
      <w:pPr>
        <w:pStyle w:val="BodyText"/>
        <w:spacing w:line="285" w:lineRule="auto" w:before="1"/>
        <w:ind w:left="507" w:right="109"/>
        <w:jc w:val="both"/>
      </w:pPr>
      <w:r>
        <w:rPr>
          <w:color w:val="231F20"/>
        </w:rPr>
        <w:t>Artículo 24. Para la elección de los ayuntamientos de los municipios del Estado, se estará a las reglas</w:t>
      </w:r>
      <w:r>
        <w:rPr>
          <w:color w:val="231F20"/>
          <w:spacing w:val="51"/>
        </w:rPr>
        <w:t> </w:t>
      </w:r>
      <w:r>
        <w:rPr>
          <w:color w:val="231F20"/>
        </w:rPr>
        <w:t>siguientes:</w:t>
      </w:r>
    </w:p>
    <w:p>
      <w:pPr>
        <w:pStyle w:val="ListParagraph"/>
        <w:numPr>
          <w:ilvl w:val="1"/>
          <w:numId w:val="5"/>
        </w:numPr>
        <w:tabs>
          <w:tab w:pos="692" w:val="left" w:leader="none"/>
        </w:tabs>
        <w:spacing w:line="285" w:lineRule="auto" w:before="1" w:after="0"/>
        <w:ind w:left="507" w:right="107" w:firstLine="0"/>
        <w:jc w:val="both"/>
        <w:rPr>
          <w:rFonts w:ascii="Times New Roman" w:hAnsi="Times New Roman"/>
          <w:sz w:val="22"/>
        </w:rPr>
      </w:pPr>
      <w:r>
        <w:rPr>
          <w:rFonts w:ascii="Times New Roman" w:hAnsi="Times New Roman"/>
          <w:color w:val="231F20"/>
          <w:w w:val="105"/>
          <w:sz w:val="22"/>
        </w:rPr>
        <w:t>Se</w:t>
      </w:r>
      <w:r>
        <w:rPr>
          <w:rFonts w:ascii="Times New Roman" w:hAnsi="Times New Roman"/>
          <w:color w:val="231F20"/>
          <w:spacing w:val="-12"/>
          <w:w w:val="105"/>
          <w:sz w:val="22"/>
        </w:rPr>
        <w:t> </w:t>
      </w:r>
      <w:r>
        <w:rPr>
          <w:rFonts w:ascii="Times New Roman" w:hAnsi="Times New Roman"/>
          <w:color w:val="231F20"/>
          <w:w w:val="105"/>
          <w:sz w:val="22"/>
        </w:rPr>
        <w:t>aplicarán</w:t>
      </w:r>
      <w:r>
        <w:rPr>
          <w:rFonts w:ascii="Times New Roman" w:hAnsi="Times New Roman"/>
          <w:color w:val="231F20"/>
          <w:spacing w:val="-12"/>
          <w:w w:val="105"/>
          <w:sz w:val="22"/>
        </w:rPr>
        <w:t> </w:t>
      </w:r>
      <w:r>
        <w:rPr>
          <w:rFonts w:ascii="Times New Roman" w:hAnsi="Times New Roman"/>
          <w:color w:val="231F20"/>
          <w:w w:val="105"/>
          <w:sz w:val="22"/>
        </w:rPr>
        <w:t>los</w:t>
      </w:r>
      <w:r>
        <w:rPr>
          <w:rFonts w:ascii="Times New Roman" w:hAnsi="Times New Roman"/>
          <w:color w:val="231F20"/>
          <w:spacing w:val="-12"/>
          <w:w w:val="105"/>
          <w:sz w:val="22"/>
        </w:rPr>
        <w:t> </w:t>
      </w:r>
      <w:r>
        <w:rPr>
          <w:rFonts w:ascii="Times New Roman" w:hAnsi="Times New Roman"/>
          <w:color w:val="231F20"/>
          <w:w w:val="105"/>
          <w:sz w:val="22"/>
        </w:rPr>
        <w:t>principios</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mayoría</w:t>
      </w:r>
      <w:r>
        <w:rPr>
          <w:rFonts w:ascii="Times New Roman" w:hAnsi="Times New Roman"/>
          <w:color w:val="231F20"/>
          <w:spacing w:val="-12"/>
          <w:w w:val="105"/>
          <w:sz w:val="22"/>
        </w:rPr>
        <w:t> </w:t>
      </w:r>
      <w:r>
        <w:rPr>
          <w:rFonts w:ascii="Times New Roman" w:hAnsi="Times New Roman"/>
          <w:color w:val="231F20"/>
          <w:w w:val="105"/>
          <w:sz w:val="22"/>
        </w:rPr>
        <w:t>relativa</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representación</w:t>
      </w:r>
      <w:r>
        <w:rPr>
          <w:rFonts w:ascii="Times New Roman" w:hAnsi="Times New Roman"/>
          <w:color w:val="231F20"/>
          <w:spacing w:val="-12"/>
          <w:w w:val="105"/>
          <w:sz w:val="22"/>
        </w:rPr>
        <w:t> </w:t>
      </w:r>
      <w:r>
        <w:rPr>
          <w:rFonts w:ascii="Times New Roman" w:hAnsi="Times New Roman"/>
          <w:color w:val="231F20"/>
          <w:w w:val="105"/>
          <w:sz w:val="22"/>
        </w:rPr>
        <w:t>proporcional, con dominante</w:t>
      </w:r>
      <w:r>
        <w:rPr>
          <w:rFonts w:ascii="Times New Roman" w:hAnsi="Times New Roman"/>
          <w:color w:val="231F20"/>
          <w:spacing w:val="-18"/>
          <w:w w:val="105"/>
          <w:sz w:val="22"/>
        </w:rPr>
        <w:t> </w:t>
      </w:r>
      <w:r>
        <w:rPr>
          <w:rFonts w:ascii="Times New Roman" w:hAnsi="Times New Roman"/>
          <w:color w:val="231F20"/>
          <w:w w:val="105"/>
          <w:sz w:val="22"/>
        </w:rPr>
        <w:t>mayoritario;</w:t>
      </w:r>
    </w:p>
    <w:p>
      <w:pPr>
        <w:pStyle w:val="ListParagraph"/>
        <w:numPr>
          <w:ilvl w:val="1"/>
          <w:numId w:val="5"/>
        </w:numPr>
        <w:tabs>
          <w:tab w:pos="745" w:val="left" w:leader="none"/>
        </w:tabs>
        <w:spacing w:line="240" w:lineRule="auto" w:before="1" w:after="0"/>
        <w:ind w:left="744" w:right="0" w:hanging="237"/>
        <w:jc w:val="both"/>
        <w:rPr>
          <w:rFonts w:ascii="Times New Roman" w:hAnsi="Times New Roman"/>
          <w:sz w:val="22"/>
        </w:rPr>
      </w:pPr>
      <w:r>
        <w:rPr>
          <w:rFonts w:ascii="Times New Roman" w:hAnsi="Times New Roman"/>
          <w:color w:val="231F20"/>
          <w:spacing w:val="-3"/>
          <w:w w:val="105"/>
          <w:sz w:val="22"/>
        </w:rPr>
        <w:t>Los</w:t>
      </w:r>
      <w:r>
        <w:rPr>
          <w:rFonts w:ascii="Times New Roman" w:hAnsi="Times New Roman"/>
          <w:color w:val="231F20"/>
          <w:spacing w:val="-21"/>
          <w:w w:val="105"/>
          <w:sz w:val="22"/>
        </w:rPr>
        <w:t> </w:t>
      </w:r>
      <w:r>
        <w:rPr>
          <w:rFonts w:ascii="Times New Roman" w:hAnsi="Times New Roman"/>
          <w:color w:val="231F20"/>
          <w:spacing w:val="-4"/>
          <w:w w:val="105"/>
          <w:sz w:val="22"/>
        </w:rPr>
        <w:t>ayuntamientos</w:t>
      </w:r>
      <w:r>
        <w:rPr>
          <w:rFonts w:ascii="Times New Roman" w:hAnsi="Times New Roman"/>
          <w:color w:val="231F20"/>
          <w:spacing w:val="-21"/>
          <w:w w:val="105"/>
          <w:sz w:val="22"/>
        </w:rPr>
        <w:t> </w:t>
      </w:r>
      <w:r>
        <w:rPr>
          <w:rFonts w:ascii="Times New Roman" w:hAnsi="Times New Roman"/>
          <w:color w:val="231F20"/>
          <w:w w:val="105"/>
          <w:sz w:val="22"/>
        </w:rPr>
        <w:t>se</w:t>
      </w:r>
      <w:r>
        <w:rPr>
          <w:rFonts w:ascii="Times New Roman" w:hAnsi="Times New Roman"/>
          <w:color w:val="231F20"/>
          <w:spacing w:val="-21"/>
          <w:w w:val="105"/>
          <w:sz w:val="22"/>
        </w:rPr>
        <w:t> </w:t>
      </w:r>
      <w:r>
        <w:rPr>
          <w:rFonts w:ascii="Times New Roman" w:hAnsi="Times New Roman"/>
          <w:color w:val="231F20"/>
          <w:spacing w:val="-3"/>
          <w:w w:val="105"/>
          <w:sz w:val="22"/>
        </w:rPr>
        <w:t>integrarán</w:t>
      </w:r>
      <w:r>
        <w:rPr>
          <w:rFonts w:ascii="Times New Roman" w:hAnsi="Times New Roman"/>
          <w:color w:val="231F20"/>
          <w:spacing w:val="-21"/>
          <w:w w:val="105"/>
          <w:sz w:val="22"/>
        </w:rPr>
        <w:t> </w:t>
      </w:r>
      <w:r>
        <w:rPr>
          <w:rFonts w:ascii="Times New Roman" w:hAnsi="Times New Roman"/>
          <w:color w:val="231F20"/>
          <w:spacing w:val="-5"/>
          <w:w w:val="105"/>
          <w:sz w:val="22"/>
        </w:rPr>
        <w:t>conforme</w:t>
      </w:r>
      <w:r>
        <w:rPr>
          <w:rFonts w:ascii="Times New Roman" w:hAnsi="Times New Roman"/>
          <w:color w:val="231F20"/>
          <w:spacing w:val="-21"/>
          <w:w w:val="105"/>
          <w:sz w:val="22"/>
        </w:rPr>
        <w:t> </w:t>
      </w:r>
      <w:r>
        <w:rPr>
          <w:rFonts w:ascii="Times New Roman" w:hAnsi="Times New Roman"/>
          <w:color w:val="231F20"/>
          <w:w w:val="105"/>
          <w:sz w:val="22"/>
        </w:rPr>
        <w:t>a</w:t>
      </w:r>
      <w:r>
        <w:rPr>
          <w:rFonts w:ascii="Times New Roman" w:hAnsi="Times New Roman"/>
          <w:color w:val="231F20"/>
          <w:spacing w:val="-21"/>
          <w:w w:val="105"/>
          <w:sz w:val="22"/>
        </w:rPr>
        <w:t> </w:t>
      </w:r>
      <w:r>
        <w:rPr>
          <w:rFonts w:ascii="Times New Roman" w:hAnsi="Times New Roman"/>
          <w:color w:val="231F20"/>
          <w:spacing w:val="-4"/>
          <w:w w:val="105"/>
          <w:sz w:val="22"/>
        </w:rPr>
        <w:t>los</w:t>
      </w:r>
      <w:r>
        <w:rPr>
          <w:rFonts w:ascii="Times New Roman" w:hAnsi="Times New Roman"/>
          <w:color w:val="231F20"/>
          <w:spacing w:val="-21"/>
          <w:w w:val="105"/>
          <w:sz w:val="22"/>
        </w:rPr>
        <w:t> </w:t>
      </w:r>
      <w:r>
        <w:rPr>
          <w:rFonts w:ascii="Times New Roman" w:hAnsi="Times New Roman"/>
          <w:color w:val="231F20"/>
          <w:spacing w:val="-5"/>
          <w:w w:val="105"/>
          <w:sz w:val="22"/>
        </w:rPr>
        <w:t>siguientes</w:t>
      </w:r>
      <w:r>
        <w:rPr>
          <w:rFonts w:ascii="Times New Roman" w:hAnsi="Times New Roman"/>
          <w:color w:val="231F20"/>
          <w:spacing w:val="-21"/>
          <w:w w:val="105"/>
          <w:sz w:val="22"/>
        </w:rPr>
        <w:t> </w:t>
      </w:r>
      <w:r>
        <w:rPr>
          <w:rFonts w:ascii="Times New Roman" w:hAnsi="Times New Roman"/>
          <w:color w:val="231F20"/>
          <w:spacing w:val="-5"/>
          <w:w w:val="105"/>
          <w:sz w:val="22"/>
        </w:rPr>
        <w:t>criterios</w:t>
      </w:r>
      <w:r>
        <w:rPr>
          <w:rFonts w:ascii="Times New Roman" w:hAnsi="Times New Roman"/>
          <w:color w:val="231F20"/>
          <w:spacing w:val="-21"/>
          <w:w w:val="105"/>
          <w:sz w:val="22"/>
        </w:rPr>
        <w:t> </w:t>
      </w:r>
      <w:r>
        <w:rPr>
          <w:rFonts w:ascii="Times New Roman" w:hAnsi="Times New Roman"/>
          <w:color w:val="231F20"/>
          <w:spacing w:val="-5"/>
          <w:w w:val="105"/>
          <w:sz w:val="22"/>
        </w:rPr>
        <w:t>poblacionales:</w:t>
      </w:r>
    </w:p>
    <w:p>
      <w:pPr>
        <w:pStyle w:val="BodyText"/>
        <w:spacing w:line="285" w:lineRule="auto" w:before="47"/>
        <w:ind w:left="507" w:right="108"/>
        <w:jc w:val="both"/>
      </w:pPr>
      <w:r>
        <w:rPr>
          <w:color w:val="231F20"/>
          <w:w w:val="105"/>
        </w:rPr>
        <w:t>A.</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municipios</w:t>
      </w:r>
      <w:r>
        <w:rPr>
          <w:color w:val="231F20"/>
          <w:spacing w:val="-13"/>
          <w:w w:val="105"/>
        </w:rPr>
        <w:t> </w:t>
      </w:r>
      <w:r>
        <w:rPr>
          <w:color w:val="231F20"/>
          <w:w w:val="105"/>
        </w:rPr>
        <w:t>de</w:t>
      </w:r>
      <w:r>
        <w:rPr>
          <w:color w:val="231F20"/>
          <w:spacing w:val="-13"/>
          <w:w w:val="105"/>
        </w:rPr>
        <w:t> </w:t>
      </w:r>
      <w:r>
        <w:rPr>
          <w:color w:val="231F20"/>
          <w:w w:val="105"/>
        </w:rPr>
        <w:t>menos</w:t>
      </w:r>
      <w:r>
        <w:rPr>
          <w:color w:val="231F20"/>
          <w:spacing w:val="-13"/>
          <w:w w:val="105"/>
        </w:rPr>
        <w:t> </w:t>
      </w:r>
      <w:r>
        <w:rPr>
          <w:color w:val="231F20"/>
          <w:w w:val="105"/>
        </w:rPr>
        <w:t>de</w:t>
      </w:r>
      <w:r>
        <w:rPr>
          <w:color w:val="231F20"/>
          <w:spacing w:val="-13"/>
          <w:w w:val="105"/>
        </w:rPr>
        <w:t> </w:t>
      </w:r>
      <w:r>
        <w:rPr>
          <w:color w:val="231F20"/>
          <w:w w:val="105"/>
        </w:rPr>
        <w:t>150</w:t>
      </w:r>
      <w:r>
        <w:rPr>
          <w:color w:val="231F20"/>
          <w:spacing w:val="-13"/>
          <w:w w:val="105"/>
        </w:rPr>
        <w:t> </w:t>
      </w:r>
      <w:r>
        <w:rPr>
          <w:color w:val="231F20"/>
          <w:spacing w:val="2"/>
          <w:w w:val="105"/>
        </w:rPr>
        <w:t>mil</w:t>
      </w:r>
      <w:r>
        <w:rPr>
          <w:color w:val="231F20"/>
          <w:spacing w:val="-13"/>
          <w:w w:val="105"/>
        </w:rPr>
        <w:t> </w:t>
      </w:r>
      <w:r>
        <w:rPr>
          <w:color w:val="231F20"/>
          <w:w w:val="105"/>
        </w:rPr>
        <w:t>habitantes,</w:t>
      </w:r>
      <w:r>
        <w:rPr>
          <w:color w:val="231F20"/>
          <w:spacing w:val="-13"/>
          <w:w w:val="105"/>
        </w:rPr>
        <w:t> </w:t>
      </w:r>
      <w:r>
        <w:rPr>
          <w:color w:val="231F20"/>
          <w:w w:val="105"/>
        </w:rPr>
        <w:t>el</w:t>
      </w:r>
      <w:r>
        <w:rPr>
          <w:color w:val="231F20"/>
          <w:spacing w:val="-13"/>
          <w:w w:val="105"/>
        </w:rPr>
        <w:t> </w:t>
      </w:r>
      <w:r>
        <w:rPr>
          <w:color w:val="231F20"/>
          <w:w w:val="105"/>
        </w:rPr>
        <w:t>Ayuntamiento</w:t>
      </w:r>
      <w:r>
        <w:rPr>
          <w:color w:val="231F20"/>
          <w:spacing w:val="-13"/>
          <w:w w:val="105"/>
        </w:rPr>
        <w:t> </w:t>
      </w:r>
      <w:r>
        <w:rPr>
          <w:color w:val="231F20"/>
          <w:w w:val="105"/>
        </w:rPr>
        <w:t>estará</w:t>
      </w:r>
      <w:r>
        <w:rPr>
          <w:color w:val="231F20"/>
          <w:spacing w:val="-13"/>
          <w:w w:val="105"/>
        </w:rPr>
        <w:t> </w:t>
      </w:r>
      <w:r>
        <w:rPr>
          <w:color w:val="231F20"/>
          <w:w w:val="105"/>
        </w:rPr>
        <w:t>inte- grado</w:t>
      </w:r>
      <w:r>
        <w:rPr>
          <w:color w:val="231F20"/>
          <w:spacing w:val="-9"/>
          <w:w w:val="105"/>
        </w:rPr>
        <w:t> </w:t>
      </w:r>
      <w:r>
        <w:rPr>
          <w:color w:val="231F20"/>
          <w:w w:val="105"/>
        </w:rPr>
        <w:t>por</w:t>
      </w:r>
      <w:r>
        <w:rPr>
          <w:color w:val="231F20"/>
          <w:spacing w:val="-9"/>
          <w:w w:val="105"/>
        </w:rPr>
        <w:t> </w:t>
      </w:r>
      <w:r>
        <w:rPr>
          <w:color w:val="231F20"/>
          <w:w w:val="105"/>
        </w:rPr>
        <w:t>un</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un</w:t>
      </w:r>
      <w:r>
        <w:rPr>
          <w:color w:val="231F20"/>
          <w:spacing w:val="-9"/>
          <w:w w:val="105"/>
        </w:rPr>
        <w:t> </w:t>
      </w:r>
      <w:r>
        <w:rPr>
          <w:color w:val="231F20"/>
          <w:w w:val="105"/>
        </w:rPr>
        <w:t>síndico</w:t>
      </w:r>
      <w:r>
        <w:rPr>
          <w:color w:val="231F20"/>
          <w:spacing w:val="-9"/>
          <w:w w:val="105"/>
        </w:rPr>
        <w:t> </w:t>
      </w:r>
      <w:r>
        <w:rPr>
          <w:color w:val="231F20"/>
          <w:w w:val="105"/>
        </w:rPr>
        <w:t>y</w:t>
      </w:r>
      <w:r>
        <w:rPr>
          <w:color w:val="231F20"/>
          <w:spacing w:val="-9"/>
          <w:w w:val="105"/>
        </w:rPr>
        <w:t> </w:t>
      </w:r>
      <w:r>
        <w:rPr>
          <w:color w:val="231F20"/>
          <w:w w:val="105"/>
        </w:rPr>
        <w:t>seis</w:t>
      </w:r>
      <w:r>
        <w:rPr>
          <w:color w:val="231F20"/>
          <w:spacing w:val="-9"/>
          <w:w w:val="105"/>
        </w:rPr>
        <w:t> </w:t>
      </w:r>
      <w:r>
        <w:rPr>
          <w:color w:val="231F20"/>
          <w:w w:val="105"/>
        </w:rPr>
        <w:t>regidores,</w:t>
      </w:r>
      <w:r>
        <w:rPr>
          <w:color w:val="231F20"/>
          <w:spacing w:val="-9"/>
          <w:w w:val="105"/>
        </w:rPr>
        <w:t> </w:t>
      </w:r>
      <w:r>
        <w:rPr>
          <w:color w:val="231F20"/>
          <w:w w:val="105"/>
        </w:rPr>
        <w:t>electos</w:t>
      </w:r>
      <w:r>
        <w:rPr>
          <w:color w:val="231F20"/>
          <w:spacing w:val="-9"/>
          <w:w w:val="105"/>
        </w:rPr>
        <w:t> </w:t>
      </w:r>
      <w:r>
        <w:rPr>
          <w:color w:val="231F20"/>
          <w:w w:val="105"/>
        </w:rPr>
        <w:t>por</w:t>
      </w:r>
      <w:r>
        <w:rPr>
          <w:color w:val="231F20"/>
          <w:spacing w:val="-9"/>
          <w:w w:val="105"/>
        </w:rPr>
        <w:t> </w:t>
      </w:r>
      <w:r>
        <w:rPr>
          <w:color w:val="231F20"/>
          <w:w w:val="105"/>
        </w:rPr>
        <w:t>planilla según</w:t>
      </w:r>
      <w:r>
        <w:rPr>
          <w:color w:val="231F20"/>
          <w:spacing w:val="-4"/>
          <w:w w:val="105"/>
        </w:rPr>
        <w:t> </w:t>
      </w:r>
      <w:r>
        <w:rPr>
          <w:color w:val="231F20"/>
          <w:w w:val="105"/>
        </w:rPr>
        <w:t>el</w:t>
      </w:r>
      <w:r>
        <w:rPr>
          <w:color w:val="231F20"/>
          <w:spacing w:val="-4"/>
          <w:w w:val="105"/>
        </w:rPr>
        <w:t> </w:t>
      </w:r>
      <w:r>
        <w:rPr>
          <w:color w:val="231F20"/>
          <w:w w:val="105"/>
        </w:rPr>
        <w:t>principio</w:t>
      </w:r>
      <w:r>
        <w:rPr>
          <w:color w:val="231F20"/>
          <w:spacing w:val="-4"/>
          <w:w w:val="105"/>
        </w:rPr>
        <w:t> </w:t>
      </w:r>
      <w:r>
        <w:rPr>
          <w:color w:val="231F20"/>
          <w:w w:val="105"/>
        </w:rPr>
        <w:t>de</w:t>
      </w:r>
      <w:r>
        <w:rPr>
          <w:color w:val="231F20"/>
          <w:spacing w:val="-4"/>
          <w:w w:val="105"/>
        </w:rPr>
        <w:t> </w:t>
      </w:r>
      <w:r>
        <w:rPr>
          <w:color w:val="231F20"/>
          <w:w w:val="105"/>
        </w:rPr>
        <w:t>mayoría</w:t>
      </w:r>
      <w:r>
        <w:rPr>
          <w:color w:val="231F20"/>
          <w:spacing w:val="-4"/>
          <w:w w:val="105"/>
        </w:rPr>
        <w:t> </w:t>
      </w:r>
      <w:r>
        <w:rPr>
          <w:color w:val="231F20"/>
          <w:w w:val="105"/>
        </w:rPr>
        <w:t>relativa.</w:t>
      </w:r>
      <w:r>
        <w:rPr>
          <w:color w:val="231F20"/>
          <w:spacing w:val="-4"/>
          <w:w w:val="105"/>
        </w:rPr>
        <w:t> </w:t>
      </w:r>
      <w:r>
        <w:rPr>
          <w:color w:val="231F20"/>
          <w:w w:val="105"/>
        </w:rPr>
        <w:t>En</w:t>
      </w:r>
      <w:r>
        <w:rPr>
          <w:color w:val="231F20"/>
          <w:spacing w:val="-4"/>
          <w:w w:val="105"/>
        </w:rPr>
        <w:t> </w:t>
      </w:r>
      <w:r>
        <w:rPr>
          <w:color w:val="231F20"/>
          <w:w w:val="105"/>
        </w:rPr>
        <w:t>adición</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spacing w:val="-3"/>
          <w:w w:val="105"/>
        </w:rPr>
        <w:t>anterior,</w:t>
      </w:r>
      <w:r>
        <w:rPr>
          <w:color w:val="231F20"/>
          <w:spacing w:val="-4"/>
          <w:w w:val="105"/>
        </w:rPr>
        <w:t> </w:t>
      </w:r>
      <w:r>
        <w:rPr>
          <w:color w:val="231F20"/>
          <w:w w:val="105"/>
        </w:rPr>
        <w:t>habrá</w:t>
      </w:r>
      <w:r>
        <w:rPr>
          <w:color w:val="231F20"/>
          <w:spacing w:val="-4"/>
          <w:w w:val="105"/>
        </w:rPr>
        <w:t> </w:t>
      </w:r>
      <w:r>
        <w:rPr>
          <w:color w:val="231F20"/>
          <w:w w:val="105"/>
        </w:rPr>
        <w:t>hasta</w:t>
      </w:r>
      <w:r>
        <w:rPr>
          <w:color w:val="231F20"/>
          <w:spacing w:val="-4"/>
          <w:w w:val="105"/>
        </w:rPr>
        <w:t> </w:t>
      </w:r>
      <w:r>
        <w:rPr>
          <w:color w:val="231F20"/>
          <w:w w:val="105"/>
        </w:rPr>
        <w:t>cuatro regidores</w:t>
      </w:r>
      <w:r>
        <w:rPr>
          <w:color w:val="231F20"/>
          <w:spacing w:val="-18"/>
          <w:w w:val="105"/>
        </w:rPr>
        <w:t> </w:t>
      </w:r>
      <w:r>
        <w:rPr>
          <w:color w:val="231F20"/>
          <w:w w:val="105"/>
        </w:rPr>
        <w:t>designados</w:t>
      </w:r>
      <w:r>
        <w:rPr>
          <w:color w:val="231F20"/>
          <w:spacing w:val="-18"/>
          <w:w w:val="105"/>
        </w:rPr>
        <w:t> </w:t>
      </w:r>
      <w:r>
        <w:rPr>
          <w:color w:val="231F20"/>
          <w:w w:val="105"/>
        </w:rPr>
        <w:t>según</w:t>
      </w:r>
      <w:r>
        <w:rPr>
          <w:color w:val="231F20"/>
          <w:spacing w:val="-18"/>
          <w:w w:val="105"/>
        </w:rPr>
        <w:t> </w:t>
      </w:r>
      <w:r>
        <w:rPr>
          <w:color w:val="231F20"/>
          <w:w w:val="105"/>
        </w:rPr>
        <w:t>el</w:t>
      </w:r>
      <w:r>
        <w:rPr>
          <w:color w:val="231F20"/>
          <w:spacing w:val="-18"/>
          <w:w w:val="105"/>
        </w:rPr>
        <w:t> </w:t>
      </w:r>
      <w:r>
        <w:rPr>
          <w:color w:val="231F20"/>
          <w:w w:val="105"/>
        </w:rPr>
        <w:t>principio</w:t>
      </w:r>
      <w:r>
        <w:rPr>
          <w:color w:val="231F20"/>
          <w:spacing w:val="-18"/>
          <w:w w:val="105"/>
        </w:rPr>
        <w:t> </w:t>
      </w:r>
      <w:r>
        <w:rPr>
          <w:color w:val="231F20"/>
          <w:w w:val="105"/>
        </w:rPr>
        <w:t>de</w:t>
      </w:r>
      <w:r>
        <w:rPr>
          <w:color w:val="231F20"/>
          <w:spacing w:val="-18"/>
          <w:w w:val="105"/>
        </w:rPr>
        <w:t> </w:t>
      </w:r>
      <w:r>
        <w:rPr>
          <w:color w:val="231F20"/>
          <w:w w:val="105"/>
        </w:rPr>
        <w:t>representación</w:t>
      </w:r>
      <w:r>
        <w:rPr>
          <w:color w:val="231F20"/>
          <w:spacing w:val="-18"/>
          <w:w w:val="105"/>
        </w:rPr>
        <w:t> </w:t>
      </w:r>
      <w:r>
        <w:rPr>
          <w:color w:val="231F20"/>
          <w:w w:val="105"/>
        </w:rPr>
        <w:t>proporcional.</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6"/>
          <w:w w:val="105"/>
        </w:rPr>
        <w:t> </w:t>
      </w:r>
      <w:r>
        <w:rPr>
          <w:color w:val="231F20"/>
          <w:spacing w:val="-5"/>
          <w:w w:val="105"/>
        </w:rPr>
        <w:t>acuerdo</w:t>
      </w:r>
      <w:r>
        <w:rPr>
          <w:color w:val="231F20"/>
          <w:spacing w:val="-16"/>
          <w:w w:val="105"/>
        </w:rPr>
        <w:t> </w:t>
      </w:r>
      <w:r>
        <w:rPr>
          <w:color w:val="231F20"/>
          <w:spacing w:val="-4"/>
          <w:w w:val="105"/>
        </w:rPr>
        <w:t>con</w:t>
      </w:r>
      <w:r>
        <w:rPr>
          <w:color w:val="231F20"/>
          <w:spacing w:val="-16"/>
          <w:w w:val="105"/>
        </w:rPr>
        <w:t> </w:t>
      </w:r>
      <w:r>
        <w:rPr>
          <w:color w:val="231F20"/>
          <w:spacing w:val="-3"/>
          <w:w w:val="105"/>
        </w:rPr>
        <w:t>lo</w:t>
      </w:r>
      <w:r>
        <w:rPr>
          <w:color w:val="231F20"/>
          <w:spacing w:val="-16"/>
          <w:w w:val="105"/>
        </w:rPr>
        <w:t> </w:t>
      </w:r>
      <w:r>
        <w:rPr>
          <w:color w:val="231F20"/>
          <w:spacing w:val="-5"/>
          <w:w w:val="105"/>
        </w:rPr>
        <w:t>anterior,</w:t>
      </w:r>
      <w:r>
        <w:rPr>
          <w:color w:val="231F20"/>
          <w:spacing w:val="-16"/>
          <w:w w:val="105"/>
        </w:rPr>
        <w:t> </w:t>
      </w:r>
      <w:r>
        <w:rPr>
          <w:color w:val="231F20"/>
          <w:spacing w:val="-3"/>
          <w:w w:val="105"/>
        </w:rPr>
        <w:t>el</w:t>
      </w:r>
      <w:r>
        <w:rPr>
          <w:color w:val="231F20"/>
          <w:spacing w:val="-16"/>
          <w:w w:val="105"/>
        </w:rPr>
        <w:t> </w:t>
      </w:r>
      <w:r>
        <w:rPr>
          <w:color w:val="231F20"/>
          <w:spacing w:val="-3"/>
          <w:w w:val="105"/>
        </w:rPr>
        <w:t>ayuntamiento</w:t>
      </w:r>
      <w:r>
        <w:rPr>
          <w:color w:val="231F20"/>
          <w:spacing w:val="-16"/>
          <w:w w:val="105"/>
        </w:rPr>
        <w:t> </w:t>
      </w:r>
      <w:r>
        <w:rPr>
          <w:color w:val="231F20"/>
          <w:spacing w:val="-3"/>
          <w:w w:val="105"/>
        </w:rPr>
        <w:t>de</w:t>
      </w:r>
      <w:r>
        <w:rPr>
          <w:color w:val="231F20"/>
          <w:spacing w:val="-16"/>
          <w:w w:val="105"/>
        </w:rPr>
        <w:t> </w:t>
      </w:r>
      <w:r>
        <w:rPr>
          <w:color w:val="231F20"/>
          <w:w w:val="105"/>
        </w:rPr>
        <w:t>Ixtapan</w:t>
      </w:r>
      <w:r>
        <w:rPr>
          <w:color w:val="231F20"/>
          <w:spacing w:val="-16"/>
          <w:w w:val="105"/>
        </w:rPr>
        <w:t> </w:t>
      </w:r>
      <w:r>
        <w:rPr>
          <w:color w:val="231F20"/>
          <w:spacing w:val="-3"/>
          <w:w w:val="105"/>
        </w:rPr>
        <w:t>de</w:t>
      </w:r>
      <w:r>
        <w:rPr>
          <w:color w:val="231F20"/>
          <w:spacing w:val="-16"/>
          <w:w w:val="105"/>
        </w:rPr>
        <w:t> </w:t>
      </w:r>
      <w:r>
        <w:rPr>
          <w:color w:val="231F20"/>
          <w:w w:val="105"/>
        </w:rPr>
        <w:t>la</w:t>
      </w:r>
      <w:r>
        <w:rPr>
          <w:color w:val="231F20"/>
          <w:spacing w:val="-16"/>
          <w:w w:val="105"/>
        </w:rPr>
        <w:t> </w:t>
      </w:r>
      <w:r>
        <w:rPr>
          <w:color w:val="231F20"/>
          <w:w w:val="105"/>
        </w:rPr>
        <w:t>Sal</w:t>
      </w:r>
      <w:r>
        <w:rPr>
          <w:color w:val="231F20"/>
          <w:spacing w:val="-16"/>
          <w:w w:val="105"/>
        </w:rPr>
        <w:t> </w:t>
      </w:r>
      <w:r>
        <w:rPr>
          <w:color w:val="231F20"/>
          <w:w w:val="105"/>
        </w:rPr>
        <w:t>está</w:t>
      </w:r>
      <w:r>
        <w:rPr>
          <w:color w:val="231F20"/>
          <w:spacing w:val="-16"/>
          <w:w w:val="105"/>
        </w:rPr>
        <w:t> </w:t>
      </w:r>
      <w:r>
        <w:rPr>
          <w:color w:val="231F20"/>
          <w:spacing w:val="-4"/>
          <w:w w:val="105"/>
        </w:rPr>
        <w:t>integrado</w:t>
      </w:r>
      <w:r>
        <w:rPr>
          <w:color w:val="231F20"/>
          <w:spacing w:val="-16"/>
          <w:w w:val="105"/>
        </w:rPr>
        <w:t> </w:t>
      </w:r>
      <w:r>
        <w:rPr>
          <w:color w:val="231F20"/>
          <w:spacing w:val="-3"/>
          <w:w w:val="105"/>
        </w:rPr>
        <w:t>por</w:t>
      </w:r>
      <w:r>
        <w:rPr>
          <w:color w:val="231F20"/>
          <w:spacing w:val="-16"/>
          <w:w w:val="105"/>
        </w:rPr>
        <w:t> </w:t>
      </w:r>
      <w:r>
        <w:rPr>
          <w:color w:val="231F20"/>
          <w:w w:val="105"/>
        </w:rPr>
        <w:t>un</w:t>
      </w:r>
      <w:r>
        <w:rPr>
          <w:color w:val="231F20"/>
          <w:spacing w:val="-16"/>
          <w:w w:val="105"/>
        </w:rPr>
        <w:t> </w:t>
      </w:r>
      <w:r>
        <w:rPr>
          <w:color w:val="231F20"/>
          <w:spacing w:val="-5"/>
          <w:w w:val="105"/>
        </w:rPr>
        <w:t>pre- sidente</w:t>
      </w:r>
      <w:r>
        <w:rPr>
          <w:color w:val="231F20"/>
          <w:spacing w:val="-25"/>
          <w:w w:val="105"/>
        </w:rPr>
        <w:t> </w:t>
      </w:r>
      <w:r>
        <w:rPr>
          <w:color w:val="231F20"/>
          <w:spacing w:val="-3"/>
          <w:w w:val="105"/>
        </w:rPr>
        <w:t>municipal,</w:t>
      </w:r>
      <w:r>
        <w:rPr>
          <w:color w:val="231F20"/>
          <w:spacing w:val="-25"/>
          <w:w w:val="105"/>
        </w:rPr>
        <w:t> </w:t>
      </w:r>
      <w:r>
        <w:rPr>
          <w:color w:val="231F20"/>
          <w:w w:val="105"/>
        </w:rPr>
        <w:t>un</w:t>
      </w:r>
      <w:r>
        <w:rPr>
          <w:color w:val="231F20"/>
          <w:spacing w:val="-25"/>
          <w:w w:val="105"/>
        </w:rPr>
        <w:t> </w:t>
      </w:r>
      <w:r>
        <w:rPr>
          <w:color w:val="231F20"/>
          <w:spacing w:val="-3"/>
          <w:w w:val="105"/>
        </w:rPr>
        <w:t>síndico</w:t>
      </w:r>
      <w:r>
        <w:rPr>
          <w:color w:val="231F20"/>
          <w:spacing w:val="-25"/>
          <w:w w:val="105"/>
        </w:rPr>
        <w:t> </w:t>
      </w:r>
      <w:r>
        <w:rPr>
          <w:color w:val="231F20"/>
          <w:w w:val="105"/>
        </w:rPr>
        <w:t>y</w:t>
      </w:r>
      <w:r>
        <w:rPr>
          <w:color w:val="231F20"/>
          <w:spacing w:val="-25"/>
          <w:w w:val="105"/>
        </w:rPr>
        <w:t> </w:t>
      </w:r>
      <w:r>
        <w:rPr>
          <w:color w:val="231F20"/>
          <w:spacing w:val="-6"/>
          <w:w w:val="105"/>
        </w:rPr>
        <w:t>10</w:t>
      </w:r>
      <w:r>
        <w:rPr>
          <w:color w:val="231F20"/>
          <w:spacing w:val="-25"/>
          <w:w w:val="105"/>
        </w:rPr>
        <w:t> </w:t>
      </w:r>
      <w:r>
        <w:rPr>
          <w:color w:val="231F20"/>
          <w:spacing w:val="-4"/>
          <w:w w:val="105"/>
        </w:rPr>
        <w:t>regidores;</w:t>
      </w:r>
      <w:r>
        <w:rPr>
          <w:color w:val="231F20"/>
          <w:spacing w:val="-25"/>
          <w:w w:val="105"/>
        </w:rPr>
        <w:t> </w:t>
      </w:r>
      <w:r>
        <w:rPr>
          <w:color w:val="231F20"/>
          <w:spacing w:val="-3"/>
          <w:w w:val="105"/>
        </w:rPr>
        <w:t>de</w:t>
      </w:r>
      <w:r>
        <w:rPr>
          <w:color w:val="231F20"/>
          <w:spacing w:val="-25"/>
          <w:w w:val="105"/>
        </w:rPr>
        <w:t> </w:t>
      </w:r>
      <w:r>
        <w:rPr>
          <w:color w:val="231F20"/>
          <w:spacing w:val="-3"/>
          <w:w w:val="105"/>
        </w:rPr>
        <w:t>estos</w:t>
      </w:r>
      <w:r>
        <w:rPr>
          <w:color w:val="231F20"/>
          <w:spacing w:val="-25"/>
          <w:w w:val="105"/>
        </w:rPr>
        <w:t> </w:t>
      </w:r>
      <w:r>
        <w:rPr>
          <w:color w:val="231F20"/>
          <w:spacing w:val="-3"/>
          <w:w w:val="105"/>
        </w:rPr>
        <w:t>últimos,</w:t>
      </w:r>
      <w:r>
        <w:rPr>
          <w:color w:val="231F20"/>
          <w:spacing w:val="-25"/>
          <w:w w:val="105"/>
        </w:rPr>
        <w:t> </w:t>
      </w:r>
      <w:r>
        <w:rPr>
          <w:color w:val="231F20"/>
          <w:spacing w:val="-3"/>
          <w:w w:val="105"/>
        </w:rPr>
        <w:t>seis</w:t>
      </w:r>
      <w:r>
        <w:rPr>
          <w:color w:val="231F20"/>
          <w:spacing w:val="-25"/>
          <w:w w:val="105"/>
        </w:rPr>
        <w:t> </w:t>
      </w:r>
      <w:r>
        <w:rPr>
          <w:color w:val="231F20"/>
          <w:spacing w:val="-3"/>
          <w:w w:val="105"/>
        </w:rPr>
        <w:t>son</w:t>
      </w:r>
      <w:r>
        <w:rPr>
          <w:color w:val="231F20"/>
          <w:spacing w:val="-25"/>
          <w:w w:val="105"/>
        </w:rPr>
        <w:t> </w:t>
      </w:r>
      <w:r>
        <w:rPr>
          <w:color w:val="231F20"/>
          <w:w w:val="105"/>
        </w:rPr>
        <w:t>para</w:t>
      </w:r>
      <w:r>
        <w:rPr>
          <w:color w:val="231F20"/>
          <w:spacing w:val="-25"/>
          <w:w w:val="105"/>
        </w:rPr>
        <w:t> </w:t>
      </w:r>
      <w:r>
        <w:rPr>
          <w:color w:val="231F20"/>
          <w:spacing w:val="-3"/>
          <w:w w:val="105"/>
        </w:rPr>
        <w:t>el</w:t>
      </w:r>
      <w:r>
        <w:rPr>
          <w:color w:val="231F20"/>
          <w:spacing w:val="-25"/>
          <w:w w:val="105"/>
        </w:rPr>
        <w:t> </w:t>
      </w:r>
      <w:r>
        <w:rPr>
          <w:color w:val="231F20"/>
          <w:w w:val="105"/>
        </w:rPr>
        <w:t>partido</w:t>
      </w:r>
      <w:r>
        <w:rPr>
          <w:color w:val="231F20"/>
          <w:spacing w:val="-25"/>
          <w:w w:val="105"/>
        </w:rPr>
        <w:t> </w:t>
      </w:r>
      <w:r>
        <w:rPr>
          <w:color w:val="231F20"/>
          <w:spacing w:val="-3"/>
          <w:w w:val="105"/>
        </w:rPr>
        <w:t>gana- </w:t>
      </w:r>
      <w:r>
        <w:rPr>
          <w:color w:val="231F20"/>
          <w:spacing w:val="-4"/>
          <w:w w:val="105"/>
        </w:rPr>
        <w:t>dor</w:t>
      </w:r>
      <w:r>
        <w:rPr>
          <w:color w:val="231F20"/>
          <w:spacing w:val="-10"/>
          <w:w w:val="105"/>
        </w:rPr>
        <w:t> </w:t>
      </w:r>
      <w:r>
        <w:rPr>
          <w:color w:val="231F20"/>
          <w:w w:val="105"/>
        </w:rPr>
        <w:t>y</w:t>
      </w:r>
      <w:r>
        <w:rPr>
          <w:color w:val="231F20"/>
          <w:spacing w:val="-10"/>
          <w:w w:val="105"/>
        </w:rPr>
        <w:t> </w:t>
      </w:r>
      <w:r>
        <w:rPr>
          <w:color w:val="231F20"/>
          <w:spacing w:val="-3"/>
          <w:w w:val="105"/>
        </w:rPr>
        <w:t>únicamente</w:t>
      </w:r>
      <w:r>
        <w:rPr>
          <w:color w:val="231F20"/>
          <w:spacing w:val="-10"/>
          <w:w w:val="105"/>
        </w:rPr>
        <w:t> </w:t>
      </w:r>
      <w:r>
        <w:rPr>
          <w:color w:val="231F20"/>
          <w:spacing w:val="-3"/>
          <w:w w:val="105"/>
        </w:rPr>
        <w:t>cuatro</w:t>
      </w:r>
      <w:r>
        <w:rPr>
          <w:color w:val="231F20"/>
          <w:spacing w:val="-10"/>
          <w:w w:val="105"/>
        </w:rPr>
        <w:t> </w:t>
      </w:r>
      <w:r>
        <w:rPr>
          <w:color w:val="231F20"/>
          <w:w w:val="105"/>
        </w:rPr>
        <w:t>para</w:t>
      </w:r>
      <w:r>
        <w:rPr>
          <w:color w:val="231F20"/>
          <w:spacing w:val="-10"/>
          <w:w w:val="105"/>
        </w:rPr>
        <w:t> </w:t>
      </w:r>
      <w:r>
        <w:rPr>
          <w:color w:val="231F20"/>
          <w:spacing w:val="-4"/>
          <w:w w:val="105"/>
        </w:rPr>
        <w:t>los</w:t>
      </w:r>
      <w:r>
        <w:rPr>
          <w:color w:val="231F20"/>
          <w:spacing w:val="-10"/>
          <w:w w:val="105"/>
        </w:rPr>
        <w:t> </w:t>
      </w:r>
      <w:r>
        <w:rPr>
          <w:color w:val="231F20"/>
          <w:spacing w:val="-3"/>
          <w:w w:val="105"/>
        </w:rPr>
        <w:t>partidos</w:t>
      </w:r>
      <w:r>
        <w:rPr>
          <w:color w:val="231F20"/>
          <w:spacing w:val="-10"/>
          <w:w w:val="105"/>
        </w:rPr>
        <w:t> </w:t>
      </w:r>
      <w:r>
        <w:rPr>
          <w:color w:val="231F20"/>
          <w:spacing w:val="-3"/>
          <w:w w:val="105"/>
        </w:rPr>
        <w:t>de</w:t>
      </w:r>
      <w:r>
        <w:rPr>
          <w:color w:val="231F20"/>
          <w:spacing w:val="-10"/>
          <w:w w:val="105"/>
        </w:rPr>
        <w:t> </w:t>
      </w:r>
      <w:r>
        <w:rPr>
          <w:color w:val="231F20"/>
          <w:spacing w:val="-5"/>
          <w:w w:val="105"/>
        </w:rPr>
        <w:t>oposición</w:t>
      </w:r>
      <w:r>
        <w:rPr>
          <w:color w:val="231F20"/>
          <w:spacing w:val="-10"/>
          <w:w w:val="105"/>
        </w:rPr>
        <w:t> </w:t>
      </w:r>
      <w:r>
        <w:rPr>
          <w:color w:val="231F20"/>
          <w:spacing w:val="-4"/>
          <w:w w:val="105"/>
        </w:rPr>
        <w:t>con</w:t>
      </w:r>
      <w:r>
        <w:rPr>
          <w:color w:val="231F20"/>
          <w:spacing w:val="-10"/>
          <w:w w:val="105"/>
        </w:rPr>
        <w:t> </w:t>
      </w:r>
      <w:r>
        <w:rPr>
          <w:color w:val="231F20"/>
          <w:spacing w:val="-5"/>
          <w:w w:val="105"/>
        </w:rPr>
        <w:t>mayor</w:t>
      </w:r>
      <w:r>
        <w:rPr>
          <w:color w:val="231F20"/>
          <w:spacing w:val="-10"/>
          <w:w w:val="105"/>
        </w:rPr>
        <w:t> </w:t>
      </w:r>
      <w:r>
        <w:rPr>
          <w:color w:val="231F20"/>
          <w:spacing w:val="-5"/>
          <w:w w:val="105"/>
        </w:rPr>
        <w:t>porcentaje</w:t>
      </w:r>
      <w:r>
        <w:rPr>
          <w:color w:val="231F20"/>
          <w:spacing w:val="-10"/>
          <w:w w:val="105"/>
        </w:rPr>
        <w:t> </w:t>
      </w:r>
      <w:r>
        <w:rPr>
          <w:color w:val="231F20"/>
          <w:spacing w:val="-3"/>
          <w:w w:val="105"/>
        </w:rPr>
        <w:t>electoral.</w:t>
      </w:r>
    </w:p>
    <w:p>
      <w:pPr>
        <w:pStyle w:val="BodyText"/>
        <w:spacing w:before="1"/>
        <w:rPr>
          <w:sz w:val="26"/>
        </w:rPr>
      </w:pPr>
    </w:p>
    <w:p>
      <w:pPr>
        <w:pStyle w:val="BodyText"/>
        <w:spacing w:line="285" w:lineRule="auto"/>
        <w:ind w:left="110" w:right="106"/>
        <w:jc w:val="both"/>
      </w:pPr>
      <w:r>
        <w:rPr>
          <w:color w:val="231F20"/>
          <w:w w:val="105"/>
        </w:rPr>
        <w:t>Si</w:t>
      </w:r>
      <w:r>
        <w:rPr>
          <w:color w:val="231F20"/>
          <w:spacing w:val="-6"/>
          <w:w w:val="105"/>
        </w:rPr>
        <w:t> </w:t>
      </w:r>
      <w:r>
        <w:rPr>
          <w:color w:val="231F20"/>
          <w:spacing w:val="-3"/>
          <w:w w:val="105"/>
        </w:rPr>
        <w:t>lo</w:t>
      </w:r>
      <w:r>
        <w:rPr>
          <w:color w:val="231F20"/>
          <w:spacing w:val="-6"/>
          <w:w w:val="105"/>
        </w:rPr>
        <w:t> </w:t>
      </w:r>
      <w:r>
        <w:rPr>
          <w:color w:val="231F20"/>
          <w:spacing w:val="-3"/>
          <w:w w:val="105"/>
        </w:rPr>
        <w:t>que</w:t>
      </w:r>
      <w:r>
        <w:rPr>
          <w:color w:val="231F20"/>
          <w:spacing w:val="-6"/>
          <w:w w:val="105"/>
        </w:rPr>
        <w:t> </w:t>
      </w:r>
      <w:r>
        <w:rPr>
          <w:color w:val="231F20"/>
          <w:w w:val="105"/>
        </w:rPr>
        <w:t>se</w:t>
      </w:r>
      <w:r>
        <w:rPr>
          <w:color w:val="231F20"/>
          <w:spacing w:val="-6"/>
          <w:w w:val="105"/>
        </w:rPr>
        <w:t> </w:t>
      </w:r>
      <w:r>
        <w:rPr>
          <w:color w:val="231F20"/>
          <w:spacing w:val="-3"/>
          <w:w w:val="105"/>
        </w:rPr>
        <w:t>quiere</w:t>
      </w:r>
      <w:r>
        <w:rPr>
          <w:color w:val="231F20"/>
          <w:spacing w:val="-6"/>
          <w:w w:val="105"/>
        </w:rPr>
        <w:t> </w:t>
      </w:r>
      <w:r>
        <w:rPr>
          <w:color w:val="231F20"/>
          <w:w w:val="105"/>
        </w:rPr>
        <w:t>es</w:t>
      </w:r>
      <w:r>
        <w:rPr>
          <w:color w:val="231F20"/>
          <w:spacing w:val="-6"/>
          <w:w w:val="105"/>
        </w:rPr>
        <w:t> </w:t>
      </w:r>
      <w:r>
        <w:rPr>
          <w:color w:val="231F20"/>
          <w:w w:val="105"/>
        </w:rPr>
        <w:t>medir</w:t>
      </w:r>
      <w:r>
        <w:rPr>
          <w:color w:val="231F20"/>
          <w:spacing w:val="-6"/>
          <w:w w:val="105"/>
        </w:rPr>
        <w:t> </w:t>
      </w:r>
      <w:r>
        <w:rPr>
          <w:color w:val="231F20"/>
          <w:w w:val="105"/>
        </w:rPr>
        <w:t>el</w:t>
      </w:r>
      <w:r>
        <w:rPr>
          <w:color w:val="231F20"/>
          <w:spacing w:val="-6"/>
          <w:w w:val="105"/>
        </w:rPr>
        <w:t> </w:t>
      </w:r>
      <w:r>
        <w:rPr>
          <w:color w:val="231F20"/>
          <w:spacing w:val="-3"/>
          <w:w w:val="105"/>
        </w:rPr>
        <w:t>grado</w:t>
      </w:r>
      <w:r>
        <w:rPr>
          <w:color w:val="231F20"/>
          <w:spacing w:val="-6"/>
          <w:w w:val="105"/>
        </w:rPr>
        <w:t> </w:t>
      </w:r>
      <w:r>
        <w:rPr>
          <w:color w:val="231F20"/>
          <w:w w:val="105"/>
        </w:rPr>
        <w:t>de</w:t>
      </w:r>
      <w:r>
        <w:rPr>
          <w:color w:val="231F20"/>
          <w:spacing w:val="-6"/>
          <w:w w:val="105"/>
        </w:rPr>
        <w:t> </w:t>
      </w:r>
      <w:r>
        <w:rPr>
          <w:color w:val="231F20"/>
          <w:w w:val="105"/>
        </w:rPr>
        <w:t>pluralidad</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spacing w:val="-3"/>
          <w:w w:val="105"/>
        </w:rPr>
        <w:t>ayuntamiento,</w:t>
      </w:r>
      <w:r>
        <w:rPr>
          <w:color w:val="231F20"/>
          <w:spacing w:val="-6"/>
          <w:w w:val="105"/>
        </w:rPr>
        <w:t> </w:t>
      </w:r>
      <w:r>
        <w:rPr>
          <w:color w:val="231F20"/>
          <w:w w:val="105"/>
        </w:rPr>
        <w:t>se</w:t>
      </w:r>
      <w:r>
        <w:rPr>
          <w:color w:val="231F20"/>
          <w:spacing w:val="-6"/>
          <w:w w:val="105"/>
        </w:rPr>
        <w:t> </w:t>
      </w:r>
      <w:r>
        <w:rPr>
          <w:color w:val="231F20"/>
          <w:spacing w:val="-4"/>
          <w:w w:val="105"/>
        </w:rPr>
        <w:t>atiende</w:t>
      </w:r>
      <w:r>
        <w:rPr>
          <w:color w:val="231F20"/>
          <w:spacing w:val="-6"/>
          <w:w w:val="105"/>
        </w:rPr>
        <w:t> </w:t>
      </w:r>
      <w:r>
        <w:rPr>
          <w:color w:val="231F20"/>
          <w:w w:val="105"/>
        </w:rPr>
        <w:t>la</w:t>
      </w:r>
      <w:r>
        <w:rPr>
          <w:color w:val="231F20"/>
          <w:spacing w:val="-6"/>
          <w:w w:val="105"/>
        </w:rPr>
        <w:t> </w:t>
      </w:r>
      <w:r>
        <w:rPr>
          <w:color w:val="231F20"/>
          <w:spacing w:val="-4"/>
          <w:w w:val="105"/>
        </w:rPr>
        <w:t>pre- </w:t>
      </w:r>
      <w:r>
        <w:rPr>
          <w:color w:val="231F20"/>
          <w:w w:val="105"/>
        </w:rPr>
        <w:t>misa</w:t>
      </w:r>
      <w:r>
        <w:rPr>
          <w:color w:val="231F20"/>
          <w:spacing w:val="-7"/>
          <w:w w:val="105"/>
        </w:rPr>
        <w:t> </w:t>
      </w:r>
      <w:r>
        <w:rPr>
          <w:color w:val="231F20"/>
          <w:w w:val="105"/>
        </w:rPr>
        <w:t>de</w:t>
      </w:r>
      <w:r>
        <w:rPr>
          <w:color w:val="231F20"/>
          <w:spacing w:val="-7"/>
          <w:w w:val="105"/>
        </w:rPr>
        <w:t> </w:t>
      </w:r>
      <w:r>
        <w:rPr>
          <w:color w:val="231F20"/>
          <w:spacing w:val="-2"/>
          <w:w w:val="105"/>
        </w:rPr>
        <w:t>Rigoberto</w:t>
      </w:r>
      <w:r>
        <w:rPr>
          <w:color w:val="231F20"/>
          <w:spacing w:val="-7"/>
          <w:w w:val="105"/>
        </w:rPr>
        <w:t> </w:t>
      </w:r>
      <w:r>
        <w:rPr>
          <w:color w:val="231F20"/>
          <w:w w:val="105"/>
        </w:rPr>
        <w:t>Ramírez</w:t>
      </w:r>
      <w:r>
        <w:rPr>
          <w:color w:val="231F20"/>
          <w:spacing w:val="-7"/>
          <w:w w:val="105"/>
        </w:rPr>
        <w:t> </w:t>
      </w:r>
      <w:r>
        <w:rPr>
          <w:color w:val="231F20"/>
          <w:w w:val="105"/>
        </w:rPr>
        <w:t>(2003:</w:t>
      </w:r>
      <w:r>
        <w:rPr>
          <w:color w:val="231F20"/>
          <w:spacing w:val="-7"/>
          <w:w w:val="105"/>
        </w:rPr>
        <w:t> </w:t>
      </w:r>
      <w:r>
        <w:rPr>
          <w:color w:val="231F20"/>
          <w:spacing w:val="-4"/>
          <w:w w:val="105"/>
        </w:rPr>
        <w:t>88)</w:t>
      </w:r>
      <w:r>
        <w:rPr>
          <w:color w:val="231F20"/>
          <w:spacing w:val="-7"/>
          <w:w w:val="105"/>
        </w:rPr>
        <w:t> </w:t>
      </w:r>
      <w:r>
        <w:rPr>
          <w:color w:val="231F20"/>
          <w:spacing w:val="-3"/>
          <w:w w:val="105"/>
        </w:rPr>
        <w:t>que</w:t>
      </w:r>
      <w:r>
        <w:rPr>
          <w:color w:val="231F20"/>
          <w:spacing w:val="-7"/>
          <w:w w:val="105"/>
        </w:rPr>
        <w:t> </w:t>
      </w:r>
      <w:r>
        <w:rPr>
          <w:color w:val="231F20"/>
          <w:spacing w:val="-3"/>
          <w:w w:val="105"/>
        </w:rPr>
        <w:t>establece</w:t>
      </w:r>
      <w:r>
        <w:rPr>
          <w:color w:val="231F20"/>
          <w:spacing w:val="-7"/>
          <w:w w:val="105"/>
        </w:rPr>
        <w:t> </w:t>
      </w:r>
      <w:r>
        <w:rPr>
          <w:color w:val="231F20"/>
          <w:spacing w:val="-3"/>
          <w:w w:val="105"/>
        </w:rPr>
        <w:t>que</w:t>
      </w:r>
      <w:r>
        <w:rPr>
          <w:color w:val="231F20"/>
          <w:spacing w:val="-7"/>
          <w:w w:val="105"/>
        </w:rPr>
        <w:t> </w:t>
      </w:r>
      <w:r>
        <w:rPr>
          <w:color w:val="231F20"/>
          <w:w w:val="105"/>
        </w:rPr>
        <w:t>la</w:t>
      </w:r>
      <w:r>
        <w:rPr>
          <w:color w:val="231F20"/>
          <w:spacing w:val="-7"/>
          <w:w w:val="105"/>
        </w:rPr>
        <w:t> </w:t>
      </w:r>
      <w:r>
        <w:rPr>
          <w:color w:val="231F20"/>
          <w:w w:val="105"/>
        </w:rPr>
        <w:t>suma</w:t>
      </w:r>
      <w:r>
        <w:rPr>
          <w:color w:val="231F20"/>
          <w:spacing w:val="-7"/>
          <w:w w:val="105"/>
        </w:rPr>
        <w:t> </w:t>
      </w:r>
      <w:r>
        <w:rPr>
          <w:color w:val="231F20"/>
          <w:w w:val="105"/>
        </w:rPr>
        <w:t>de</w:t>
      </w:r>
      <w:r>
        <w:rPr>
          <w:color w:val="231F20"/>
          <w:spacing w:val="-7"/>
          <w:w w:val="105"/>
        </w:rPr>
        <w:t> </w:t>
      </w:r>
      <w:r>
        <w:rPr>
          <w:color w:val="231F20"/>
          <w:spacing w:val="-4"/>
          <w:w w:val="105"/>
        </w:rPr>
        <w:t>votos</w:t>
      </w:r>
      <w:r>
        <w:rPr>
          <w:color w:val="231F20"/>
          <w:spacing w:val="-7"/>
          <w:w w:val="105"/>
        </w:rPr>
        <w:t> </w:t>
      </w:r>
      <w:r>
        <w:rPr>
          <w:color w:val="231F20"/>
          <w:w w:val="105"/>
        </w:rPr>
        <w:t>de</w:t>
      </w:r>
      <w:r>
        <w:rPr>
          <w:color w:val="231F20"/>
          <w:spacing w:val="-7"/>
          <w:w w:val="105"/>
        </w:rPr>
        <w:t> </w:t>
      </w:r>
      <w:r>
        <w:rPr>
          <w:color w:val="231F20"/>
          <w:spacing w:val="-4"/>
          <w:w w:val="105"/>
        </w:rPr>
        <w:t>presidente </w:t>
      </w:r>
      <w:r>
        <w:rPr>
          <w:color w:val="231F20"/>
          <w:w w:val="105"/>
        </w:rPr>
        <w:t>municipal, más </w:t>
      </w:r>
      <w:r>
        <w:rPr>
          <w:color w:val="231F20"/>
          <w:spacing w:val="-3"/>
          <w:w w:val="105"/>
        </w:rPr>
        <w:t>síndico, </w:t>
      </w:r>
      <w:r>
        <w:rPr>
          <w:color w:val="231F20"/>
          <w:w w:val="105"/>
        </w:rPr>
        <w:t>más </w:t>
      </w:r>
      <w:r>
        <w:rPr>
          <w:color w:val="231F20"/>
          <w:spacing w:val="-4"/>
          <w:w w:val="105"/>
        </w:rPr>
        <w:t>regidores </w:t>
      </w:r>
      <w:r>
        <w:rPr>
          <w:color w:val="231F20"/>
          <w:spacing w:val="-3"/>
          <w:w w:val="105"/>
        </w:rPr>
        <w:t>del </w:t>
      </w:r>
      <w:r>
        <w:rPr>
          <w:color w:val="231F20"/>
          <w:w w:val="105"/>
        </w:rPr>
        <w:t>partido </w:t>
      </w:r>
      <w:r>
        <w:rPr>
          <w:color w:val="231F20"/>
          <w:spacing w:val="-3"/>
          <w:w w:val="105"/>
        </w:rPr>
        <w:t>del </w:t>
      </w:r>
      <w:r>
        <w:rPr>
          <w:color w:val="231F20"/>
          <w:spacing w:val="-4"/>
          <w:w w:val="105"/>
        </w:rPr>
        <w:t>presidente </w:t>
      </w:r>
      <w:r>
        <w:rPr>
          <w:color w:val="231F20"/>
          <w:w w:val="105"/>
        </w:rPr>
        <w:t>municipal </w:t>
      </w:r>
      <w:r>
        <w:rPr>
          <w:color w:val="231F20"/>
          <w:spacing w:val="-4"/>
          <w:w w:val="105"/>
        </w:rPr>
        <w:t>menos los votos</w:t>
      </w:r>
      <w:r>
        <w:rPr>
          <w:color w:val="231F20"/>
          <w:spacing w:val="-21"/>
          <w:w w:val="105"/>
        </w:rPr>
        <w:t> </w:t>
      </w:r>
      <w:r>
        <w:rPr>
          <w:color w:val="231F20"/>
          <w:w w:val="105"/>
        </w:rPr>
        <w:t>de</w:t>
      </w:r>
      <w:r>
        <w:rPr>
          <w:color w:val="231F20"/>
          <w:spacing w:val="-21"/>
          <w:w w:val="105"/>
        </w:rPr>
        <w:t> </w:t>
      </w:r>
      <w:r>
        <w:rPr>
          <w:color w:val="231F20"/>
          <w:spacing w:val="-3"/>
          <w:w w:val="105"/>
        </w:rPr>
        <w:t>los</w:t>
      </w:r>
      <w:r>
        <w:rPr>
          <w:color w:val="231F20"/>
          <w:spacing w:val="-21"/>
          <w:w w:val="105"/>
        </w:rPr>
        <w:t> </w:t>
      </w:r>
      <w:r>
        <w:rPr>
          <w:color w:val="231F20"/>
          <w:spacing w:val="-4"/>
          <w:w w:val="105"/>
        </w:rPr>
        <w:t>regidores</w:t>
      </w:r>
      <w:r>
        <w:rPr>
          <w:color w:val="231F20"/>
          <w:spacing w:val="-21"/>
          <w:w w:val="105"/>
        </w:rPr>
        <w:t> </w:t>
      </w:r>
      <w:r>
        <w:rPr>
          <w:color w:val="231F20"/>
          <w:w w:val="105"/>
        </w:rPr>
        <w:t>de</w:t>
      </w:r>
      <w:r>
        <w:rPr>
          <w:color w:val="231F20"/>
          <w:spacing w:val="-21"/>
          <w:w w:val="105"/>
        </w:rPr>
        <w:t> </w:t>
      </w:r>
      <w:r>
        <w:rPr>
          <w:color w:val="231F20"/>
          <w:spacing w:val="-4"/>
          <w:w w:val="105"/>
        </w:rPr>
        <w:t>oposición,</w:t>
      </w:r>
      <w:r>
        <w:rPr>
          <w:color w:val="231F20"/>
          <w:spacing w:val="-22"/>
          <w:w w:val="105"/>
        </w:rPr>
        <w:t> </w:t>
      </w:r>
      <w:r>
        <w:rPr>
          <w:color w:val="231F20"/>
          <w:w w:val="105"/>
        </w:rPr>
        <w:t>dividido</w:t>
      </w:r>
      <w:r>
        <w:rPr>
          <w:color w:val="231F20"/>
          <w:spacing w:val="-21"/>
          <w:w w:val="105"/>
        </w:rPr>
        <w:t> </w:t>
      </w:r>
      <w:r>
        <w:rPr>
          <w:color w:val="231F20"/>
          <w:spacing w:val="-3"/>
          <w:w w:val="105"/>
        </w:rPr>
        <w:t>entre</w:t>
      </w:r>
      <w:r>
        <w:rPr>
          <w:color w:val="231F20"/>
          <w:spacing w:val="-21"/>
          <w:w w:val="105"/>
        </w:rPr>
        <w:t> </w:t>
      </w:r>
      <w:r>
        <w:rPr>
          <w:color w:val="231F20"/>
          <w:w w:val="105"/>
        </w:rPr>
        <w:t>el</w:t>
      </w:r>
      <w:r>
        <w:rPr>
          <w:color w:val="231F20"/>
          <w:spacing w:val="-21"/>
          <w:w w:val="105"/>
        </w:rPr>
        <w:t> </w:t>
      </w:r>
      <w:r>
        <w:rPr>
          <w:color w:val="231F20"/>
          <w:spacing w:val="-3"/>
          <w:w w:val="105"/>
        </w:rPr>
        <w:t>número</w:t>
      </w:r>
      <w:r>
        <w:rPr>
          <w:color w:val="231F20"/>
          <w:spacing w:val="-21"/>
          <w:w w:val="105"/>
        </w:rPr>
        <w:t> </w:t>
      </w:r>
      <w:r>
        <w:rPr>
          <w:color w:val="231F20"/>
          <w:w w:val="105"/>
        </w:rPr>
        <w:t>total</w:t>
      </w:r>
      <w:r>
        <w:rPr>
          <w:color w:val="231F20"/>
          <w:spacing w:val="-21"/>
          <w:w w:val="105"/>
        </w:rPr>
        <w:t> </w:t>
      </w:r>
      <w:r>
        <w:rPr>
          <w:color w:val="231F20"/>
          <w:w w:val="105"/>
        </w:rPr>
        <w:t>de</w:t>
      </w:r>
      <w:r>
        <w:rPr>
          <w:color w:val="231F20"/>
          <w:spacing w:val="-21"/>
          <w:w w:val="105"/>
        </w:rPr>
        <w:t> </w:t>
      </w:r>
      <w:r>
        <w:rPr>
          <w:color w:val="231F20"/>
          <w:spacing w:val="-4"/>
          <w:w w:val="105"/>
        </w:rPr>
        <w:t>votos,</w:t>
      </w:r>
      <w:r>
        <w:rPr>
          <w:color w:val="231F20"/>
          <w:spacing w:val="-22"/>
          <w:w w:val="105"/>
        </w:rPr>
        <w:t> </w:t>
      </w:r>
      <w:r>
        <w:rPr>
          <w:color w:val="231F20"/>
          <w:w w:val="105"/>
        </w:rPr>
        <w:t>indican</w:t>
      </w:r>
      <w:r>
        <w:rPr>
          <w:color w:val="231F20"/>
          <w:spacing w:val="-21"/>
          <w:w w:val="105"/>
        </w:rPr>
        <w:t> </w:t>
      </w:r>
      <w:r>
        <w:rPr>
          <w:color w:val="231F20"/>
          <w:w w:val="105"/>
        </w:rPr>
        <w:t>el</w:t>
      </w:r>
      <w:r>
        <w:rPr>
          <w:color w:val="231F20"/>
          <w:spacing w:val="-21"/>
          <w:w w:val="105"/>
        </w:rPr>
        <w:t> </w:t>
      </w:r>
      <w:r>
        <w:rPr>
          <w:color w:val="231F20"/>
          <w:w w:val="105"/>
        </w:rPr>
        <w:t>tipo de</w:t>
      </w:r>
      <w:r>
        <w:rPr>
          <w:color w:val="231F20"/>
          <w:spacing w:val="-17"/>
          <w:w w:val="105"/>
        </w:rPr>
        <w:t> </w:t>
      </w:r>
      <w:r>
        <w:rPr>
          <w:color w:val="231F20"/>
          <w:spacing w:val="-3"/>
          <w:w w:val="105"/>
        </w:rPr>
        <w:t>mayorías</w:t>
      </w:r>
      <w:r>
        <w:rPr>
          <w:color w:val="231F20"/>
          <w:spacing w:val="-17"/>
          <w:w w:val="105"/>
        </w:rPr>
        <w:t> </w:t>
      </w:r>
      <w:r>
        <w:rPr>
          <w:color w:val="231F20"/>
          <w:w w:val="105"/>
        </w:rPr>
        <w:t>y</w:t>
      </w:r>
      <w:r>
        <w:rPr>
          <w:color w:val="231F20"/>
          <w:spacing w:val="-17"/>
          <w:w w:val="105"/>
        </w:rPr>
        <w:t> </w:t>
      </w:r>
      <w:r>
        <w:rPr>
          <w:color w:val="231F20"/>
          <w:spacing w:val="-3"/>
          <w:w w:val="105"/>
        </w:rPr>
        <w:t>decisiones</w:t>
      </w:r>
      <w:r>
        <w:rPr>
          <w:color w:val="231F20"/>
          <w:spacing w:val="-17"/>
          <w:w w:val="105"/>
        </w:rPr>
        <w:t> </w:t>
      </w:r>
      <w:r>
        <w:rPr>
          <w:color w:val="231F20"/>
          <w:spacing w:val="-3"/>
          <w:w w:val="105"/>
        </w:rPr>
        <w:t>que</w:t>
      </w:r>
      <w:r>
        <w:rPr>
          <w:color w:val="231F20"/>
          <w:spacing w:val="-17"/>
          <w:w w:val="105"/>
        </w:rPr>
        <w:t> </w:t>
      </w:r>
      <w:r>
        <w:rPr>
          <w:color w:val="231F20"/>
          <w:w w:val="105"/>
        </w:rPr>
        <w:t>se</w:t>
      </w:r>
      <w:r>
        <w:rPr>
          <w:color w:val="231F20"/>
          <w:spacing w:val="-17"/>
          <w:w w:val="105"/>
        </w:rPr>
        <w:t> </w:t>
      </w:r>
      <w:r>
        <w:rPr>
          <w:color w:val="231F20"/>
          <w:w w:val="105"/>
        </w:rPr>
        <w:t>toman</w:t>
      </w:r>
      <w:r>
        <w:rPr>
          <w:color w:val="231F20"/>
          <w:spacing w:val="-17"/>
          <w:w w:val="105"/>
        </w:rPr>
        <w:t> </w:t>
      </w:r>
      <w:r>
        <w:rPr>
          <w:color w:val="231F20"/>
          <w:w w:val="105"/>
        </w:rPr>
        <w:t>al</w:t>
      </w:r>
      <w:r>
        <w:rPr>
          <w:color w:val="231F20"/>
          <w:spacing w:val="-17"/>
          <w:w w:val="105"/>
        </w:rPr>
        <w:t> </w:t>
      </w:r>
      <w:r>
        <w:rPr>
          <w:color w:val="231F20"/>
          <w:spacing w:val="-3"/>
          <w:w w:val="105"/>
        </w:rPr>
        <w:t>interior</w:t>
      </w:r>
      <w:r>
        <w:rPr>
          <w:color w:val="231F20"/>
          <w:spacing w:val="-17"/>
          <w:w w:val="105"/>
        </w:rPr>
        <w:t> </w:t>
      </w:r>
      <w:r>
        <w:rPr>
          <w:color w:val="231F20"/>
          <w:spacing w:val="-3"/>
          <w:w w:val="105"/>
        </w:rPr>
        <w:t>del</w:t>
      </w:r>
      <w:r>
        <w:rPr>
          <w:color w:val="231F20"/>
          <w:spacing w:val="-17"/>
          <w:w w:val="105"/>
        </w:rPr>
        <w:t> </w:t>
      </w:r>
      <w:r>
        <w:rPr>
          <w:color w:val="231F20"/>
          <w:spacing w:val="-3"/>
          <w:w w:val="105"/>
        </w:rPr>
        <w:t>órgano</w:t>
      </w:r>
      <w:r>
        <w:rPr>
          <w:color w:val="231F20"/>
          <w:spacing w:val="-17"/>
          <w:w w:val="105"/>
        </w:rPr>
        <w:t> </w:t>
      </w:r>
      <w:r>
        <w:rPr>
          <w:color w:val="231F20"/>
          <w:spacing w:val="-4"/>
          <w:w w:val="105"/>
        </w:rPr>
        <w:t>colegiado</w:t>
      </w:r>
      <w:r>
        <w:rPr>
          <w:color w:val="231F20"/>
          <w:spacing w:val="-17"/>
          <w:w w:val="105"/>
        </w:rPr>
        <w:t> </w:t>
      </w:r>
      <w:r>
        <w:rPr>
          <w:color w:val="231F20"/>
          <w:spacing w:val="-7"/>
          <w:w w:val="105"/>
        </w:rPr>
        <w:t>(Ver</w:t>
      </w:r>
      <w:r>
        <w:rPr>
          <w:color w:val="231F20"/>
          <w:spacing w:val="-17"/>
          <w:w w:val="105"/>
        </w:rPr>
        <w:t> </w:t>
      </w:r>
      <w:r>
        <w:rPr>
          <w:color w:val="231F20"/>
          <w:spacing w:val="-3"/>
          <w:w w:val="105"/>
        </w:rPr>
        <w:t>Fórmula</w:t>
      </w:r>
      <w:r>
        <w:rPr>
          <w:color w:val="231F20"/>
          <w:spacing w:val="-17"/>
          <w:w w:val="105"/>
        </w:rPr>
        <w:t> </w:t>
      </w:r>
      <w:r>
        <w:rPr>
          <w:color w:val="231F20"/>
          <w:spacing w:val="-8"/>
          <w:w w:val="105"/>
        </w:rPr>
        <w:t>1).</w:t>
      </w:r>
    </w:p>
    <w:p>
      <w:pPr>
        <w:pStyle w:val="BodyText"/>
        <w:spacing w:before="1"/>
        <w:rPr>
          <w:sz w:val="26"/>
        </w:rPr>
      </w:pPr>
    </w:p>
    <w:p>
      <w:pPr>
        <w:pStyle w:val="Heading5"/>
        <w:ind w:left="1673"/>
      </w:pPr>
      <w:r>
        <w:rPr>
          <w:color w:val="231F20"/>
          <w:w w:val="105"/>
        </w:rPr>
        <w:t>Fórmula 1. Pluralidad Política en Ayuntamientos.</w:t>
      </w:r>
    </w:p>
    <w:p>
      <w:pPr>
        <w:pStyle w:val="BodyText"/>
        <w:spacing w:before="9"/>
        <w:rPr>
          <w:b/>
          <w:sz w:val="20"/>
        </w:rPr>
      </w:pPr>
      <w:r>
        <w:rPr/>
        <w:pict>
          <v:group style="position:absolute;margin-left:161.850006pt;margin-top:22.380814pt;width:31.1pt;height:8.35pt;mso-position-horizontal-relative:page;mso-position-vertical-relative:paragraph;z-index:7000;mso-wrap-distance-left:0;mso-wrap-distance-right:0" coordorigin="3237,448" coordsize="622,167">
            <v:shape style="position:absolute;left:3237;top:448;width:422;height:166" type="#_x0000_t75" stroked="false">
              <v:imagedata r:id="rId220" o:title=""/>
            </v:shape>
            <v:shape style="position:absolute;left:3725;top:529;width:135;height:54" coordorigin="3725,529" coordsize="135,54" path="m3859,529l3725,529,3725,544,3859,544,3859,529xm3859,568l3725,568,3725,583,3859,583,3859,568xe" filled="true" fillcolor="#231f20" stroked="false">
              <v:path arrowok="t"/>
              <v:fill type="solid"/>
            </v:shape>
            <w10:wrap type="topAndBottom"/>
          </v:group>
        </w:pict>
      </w:r>
      <w:r>
        <w:rPr/>
        <w:pict>
          <v:group style="position:absolute;margin-left:196.229797pt;margin-top:13.925606pt;width:123.5pt;height:13.1pt;mso-position-horizontal-relative:page;mso-position-vertical-relative:paragraph;z-index:7024;mso-wrap-distance-left:0;mso-wrap-distance-right:0" coordorigin="3925,279" coordsize="2470,262">
            <v:shape style="position:absolute;left:3948;top:279;width:783;height:218" type="#_x0000_t75" stroked="false">
              <v:imagedata r:id="rId221" o:title=""/>
            </v:shape>
            <v:shape style="position:absolute;left:4761;top:283;width:588;height:166" type="#_x0000_t75" stroked="false">
              <v:imagedata r:id="rId222" o:title=""/>
            </v:shape>
            <v:shape style="position:absolute;left:5379;top:286;width:162;height:163" coordorigin="5379,286" coordsize="162,163" path="m5451,286l5381,286,5379,291,5390,291,5395,292,5401,296,5402,299,5402,306,5402,310,5401,316,5386,449,5391,449,5424,409,5414,409,5424,314,5425,306,5426,301,5429,296,5431,294,5437,291,5442,291,5450,291,5451,286xm5541,286l5487,286,5485,291,5491,291,5495,292,5499,295,5499,296,5499,301,5499,303,5496,309,5491,315,5414,409,5424,409,5502,315,5510,306,5519,298,5524,295,5529,293,5531,292,5535,291,5539,291,5541,286xe" filled="true" fillcolor="#231f20" stroked="false">
              <v:path arrowok="t"/>
              <v:fill type="solid"/>
            </v:shape>
            <v:shape style="position:absolute;left:5504;top:286;width:163;height:159" coordorigin="5504,286" coordsize="163,159" path="m5641,291l5557,291,5562,292,5568,297,5570,300,5570,307,5569,312,5535,414,5532,424,5529,430,5527,434,5525,436,5522,438,5519,439,5516,440,5512,441,5506,441,5504,445,5573,445,5574,441,5566,440,5561,439,5556,436,5555,434,5555,426,5556,420,5573,366,5616,366,5631,364,5639,361,5586,361,5581,360,5575,359,5597,296,5600,295,5604,295,5650,295,5645,292,5641,291xm5617,368l5594,368,5622,445,5665,445,5666,441,5657,440,5650,438,5642,432,5638,424,5633,413,5617,368xm5616,366l5573,366,5580,367,5587,368,5594,368,5617,368,5616,366xm5650,295l5618,295,5626,297,5637,306,5639,313,5639,333,5635,342,5618,357,5606,361,5639,361,5643,359,5661,342,5665,333,5666,311,5661,303,5653,296,5650,295xm5610,286l5552,286,5551,291,5641,291,5636,289,5624,287,5610,286xe" filled="true" fillcolor="#231f20" stroked="false">
              <v:path arrowok="t"/>
              <v:fill type="solid"/>
            </v:shape>
            <v:shape style="position:absolute;left:5646;top:279;width:101;height:218" coordorigin="5646,279" coordsize="101,218" path="m5719,279l5714,281,5721,295,5725,309,5728,321,5729,333,5728,348,5710,414,5677,467,5646,493,5649,496,5713,443,5745,376,5747,358,5747,347,5726,291,5719,279xe" filled="true" fillcolor="#231f20" stroked="false">
              <v:path arrowok="t"/>
              <v:fill type="solid"/>
            </v:shape>
            <v:line style="position:absolute" from="5771,390" to="5848,390" stroked="true" strokeweight="1.213pt" strokecolor="#231f20"/>
            <v:shape style="position:absolute;left:5888;top:286;width:162;height:163" coordorigin="5888,286" coordsize="162,163" path="m5960,286l5890,286,5888,291,5899,291,5904,292,5910,296,5911,299,5911,306,5911,310,5910,316,5896,449,5900,449,5933,409,5923,409,5933,314,5934,306,5935,301,5938,296,5940,294,5946,291,5951,291,5959,291,5960,286xm6050,286l5996,286,5994,291,6000,291,6004,292,6008,295,6008,296,6009,301,6008,303,6005,309,6000,315,5923,409,5933,409,6011,315,6019,306,6028,298,6033,295,6038,293,6041,292,6044,291,6048,291,6050,286xe" filled="true" fillcolor="#231f20" stroked="false">
              <v:path arrowok="t"/>
              <v:fill type="solid"/>
            </v:shape>
            <v:shape style="position:absolute;left:6013;top:286;width:163;height:159" coordorigin="6013,286" coordsize="163,159" path="m6150,291l6066,291,6071,292,6077,297,6079,300,6079,307,6078,312,6045,414,6042,424,6039,430,6036,434,6034,436,6031,438,6028,439,6026,440,6021,441,6015,441,6013,445,6082,445,6084,441,6075,440,6070,439,6065,436,6064,434,6064,426,6065,420,6082,366,6125,366,6141,364,6148,361,6095,361,6090,360,6085,359,6106,296,6110,295,6113,295,6159,295,6154,292,6150,291xm6126,368l6103,368,6132,445,6174,445,6176,441,6166,440,6159,438,6151,432,6147,424,6143,413,6126,368xm6125,366l6082,366,6089,367,6096,368,6103,368,6126,368,6125,366xm6159,295l6127,295,6135,297,6146,306,6149,313,6149,333,6144,342,6127,357,6115,361,6148,361,6153,359,6170,342,6175,333,6175,311,6170,303,6162,296,6159,295xm6120,286l6061,286,6060,291,6150,291,6145,289,6133,287,6120,286xe" filled="true" fillcolor="#231f20" stroked="false">
              <v:path arrowok="t"/>
              <v:fill type="solid"/>
            </v:shape>
            <v:shape style="position:absolute;left:6200;top:283;width:178;height:167" coordorigin="6200,283" coordsize="178,167" path="m6329,283l6317,283,6307,283,6296,285,6286,287,6277,290,6267,295,6258,300,6249,306,6241,313,6233,321,6226,329,6219,339,6212,349,6207,360,6203,371,6201,382,6200,391,6200,402,6202,410,6211,428,6218,435,6237,446,6248,449,6262,449,6276,448,6290,445,6302,441,6253,441,6244,437,6231,420,6228,410,6228,399,6228,387,6231,375,6234,362,6240,349,6245,339,6250,330,6256,322,6262,315,6270,306,6278,300,6295,292,6304,290,6350,290,6339,285,6329,283xm6350,290l6326,290,6335,294,6348,311,6351,320,6351,331,6351,342,6349,353,6345,365,6341,377,6335,389,6329,400,6322,409,6314,418,6306,426,6298,432,6282,440,6275,441,6302,441,6304,440,6318,434,6330,426,6342,416,6352,404,6361,391,6368,377,6374,364,6377,351,6378,339,6378,328,6375,319,6365,301,6358,294,6350,290xe" filled="true" fillcolor="#231f20" stroked="false">
              <v:path arrowok="t"/>
              <v:fill type="solid"/>
            </v:shape>
            <v:line style="position:absolute" from="3930,535" to="6390,535" stroked="true" strokeweight=".5pt" strokecolor="#231f20"/>
            <w10:wrap type="topAndBottom"/>
          </v:group>
        </w:pict>
      </w:r>
    </w:p>
    <w:p>
      <w:pPr>
        <w:pStyle w:val="BodyText"/>
        <w:spacing w:before="5"/>
        <w:rPr>
          <w:b/>
          <w:sz w:val="26"/>
        </w:rPr>
      </w:pPr>
    </w:p>
    <w:p>
      <w:pPr>
        <w:pStyle w:val="BodyText"/>
        <w:spacing w:line="285" w:lineRule="auto"/>
        <w:ind w:left="110" w:right="108"/>
        <w:jc w:val="both"/>
      </w:pPr>
      <w:r>
        <w:rPr/>
        <w:drawing>
          <wp:anchor distT="0" distB="0" distL="0" distR="0" allowOverlap="1" layoutInCell="1" locked="0" behindDoc="0" simplePos="0" relativeHeight="7048">
            <wp:simplePos x="0" y="0"/>
            <wp:positionH relativeFrom="page">
              <wp:posOffset>3170313</wp:posOffset>
            </wp:positionH>
            <wp:positionV relativeFrom="paragraph">
              <wp:posOffset>-206929</wp:posOffset>
            </wp:positionV>
            <wp:extent cx="224840" cy="102679"/>
            <wp:effectExtent l="0" t="0" r="0" b="0"/>
            <wp:wrapNone/>
            <wp:docPr id="111" name="image187.png" descr=""/>
            <wp:cNvGraphicFramePr>
              <a:graphicFrameLocks noChangeAspect="1"/>
            </wp:cNvGraphicFramePr>
            <a:graphic>
              <a:graphicData uri="http://schemas.openxmlformats.org/drawingml/2006/picture">
                <pic:pic>
                  <pic:nvPicPr>
                    <pic:cNvPr id="112" name="image187.png"/>
                    <pic:cNvPicPr/>
                  </pic:nvPicPr>
                  <pic:blipFill>
                    <a:blip r:embed="rId223" cstate="print"/>
                    <a:stretch>
                      <a:fillRect/>
                    </a:stretch>
                  </pic:blipFill>
                  <pic:spPr>
                    <a:xfrm>
                      <a:off x="0" y="0"/>
                      <a:ext cx="224840" cy="102679"/>
                    </a:xfrm>
                    <a:prstGeom prst="rect">
                      <a:avLst/>
                    </a:prstGeom>
                  </pic:spPr>
                </pic:pic>
              </a:graphicData>
            </a:graphic>
          </wp:anchor>
        </w:drawing>
      </w:r>
      <w:r>
        <w:rPr>
          <w:color w:val="231F20"/>
          <w:spacing w:val="-3"/>
          <w:w w:val="105"/>
        </w:rPr>
        <w:t>Valores</w:t>
      </w:r>
      <w:r>
        <w:rPr>
          <w:color w:val="231F20"/>
          <w:spacing w:val="-14"/>
          <w:w w:val="105"/>
        </w:rPr>
        <w:t> </w:t>
      </w:r>
      <w:r>
        <w:rPr>
          <w:color w:val="231F20"/>
          <w:w w:val="105"/>
        </w:rPr>
        <w:t>negativos</w:t>
      </w:r>
      <w:r>
        <w:rPr>
          <w:color w:val="231F20"/>
          <w:spacing w:val="-14"/>
          <w:w w:val="105"/>
        </w:rPr>
        <w:t> </w:t>
      </w:r>
      <w:r>
        <w:rPr>
          <w:color w:val="231F20"/>
          <w:w w:val="105"/>
        </w:rPr>
        <w:t>indican</w:t>
      </w:r>
      <w:r>
        <w:rPr>
          <w:color w:val="231F20"/>
          <w:spacing w:val="-14"/>
          <w:w w:val="105"/>
        </w:rPr>
        <w:t> </w:t>
      </w:r>
      <w:r>
        <w:rPr>
          <w:color w:val="231F20"/>
          <w:w w:val="105"/>
        </w:rPr>
        <w:t>mayoría</w:t>
      </w:r>
      <w:r>
        <w:rPr>
          <w:color w:val="231F20"/>
          <w:spacing w:val="-14"/>
          <w:w w:val="105"/>
        </w:rPr>
        <w:t> </w:t>
      </w:r>
      <w:r>
        <w:rPr>
          <w:color w:val="231F20"/>
          <w:w w:val="105"/>
        </w:rPr>
        <w:t>con</w:t>
      </w:r>
      <w:r>
        <w:rPr>
          <w:color w:val="231F20"/>
          <w:spacing w:val="-14"/>
          <w:w w:val="105"/>
        </w:rPr>
        <w:t> </w:t>
      </w:r>
      <w:r>
        <w:rPr>
          <w:color w:val="231F20"/>
          <w:w w:val="105"/>
        </w:rPr>
        <w:t>posible</w:t>
      </w:r>
      <w:r>
        <w:rPr>
          <w:color w:val="231F20"/>
          <w:spacing w:val="-14"/>
          <w:w w:val="105"/>
        </w:rPr>
        <w:t> </w:t>
      </w:r>
      <w:r>
        <w:rPr>
          <w:color w:val="231F20"/>
          <w:w w:val="105"/>
        </w:rPr>
        <w:t>coalición</w:t>
      </w:r>
      <w:r>
        <w:rPr>
          <w:color w:val="231F20"/>
          <w:spacing w:val="-14"/>
          <w:w w:val="105"/>
        </w:rPr>
        <w:t> </w:t>
      </w:r>
      <w:r>
        <w:rPr>
          <w:color w:val="231F20"/>
          <w:w w:val="105"/>
        </w:rPr>
        <w:t>de</w:t>
      </w:r>
      <w:r>
        <w:rPr>
          <w:color w:val="231F20"/>
          <w:spacing w:val="-14"/>
          <w:w w:val="105"/>
        </w:rPr>
        <w:t> </w:t>
      </w:r>
      <w:r>
        <w:rPr>
          <w:color w:val="231F20"/>
          <w:w w:val="105"/>
        </w:rPr>
        <w:t>partidos</w:t>
      </w:r>
      <w:r>
        <w:rPr>
          <w:color w:val="231F20"/>
          <w:spacing w:val="-14"/>
          <w:w w:val="105"/>
        </w:rPr>
        <w:t> </w:t>
      </w:r>
      <w:r>
        <w:rPr>
          <w:color w:val="231F20"/>
          <w:w w:val="105"/>
        </w:rPr>
        <w:t>de</w:t>
      </w:r>
      <w:r>
        <w:rPr>
          <w:color w:val="231F20"/>
          <w:spacing w:val="-14"/>
          <w:w w:val="105"/>
        </w:rPr>
        <w:t> </w:t>
      </w:r>
      <w:r>
        <w:rPr>
          <w:color w:val="231F20"/>
          <w:w w:val="105"/>
        </w:rPr>
        <w:t>oposición</w:t>
      </w:r>
      <w:r>
        <w:rPr>
          <w:color w:val="231F20"/>
          <w:spacing w:val="-14"/>
          <w:w w:val="105"/>
        </w:rPr>
        <w:t> </w:t>
      </w:r>
      <w:r>
        <w:rPr>
          <w:color w:val="231F20"/>
          <w:w w:val="105"/>
        </w:rPr>
        <w:t>y</w:t>
      </w:r>
      <w:r>
        <w:rPr>
          <w:color w:val="231F20"/>
          <w:spacing w:val="-14"/>
          <w:w w:val="105"/>
        </w:rPr>
        <w:t> </w:t>
      </w:r>
      <w:r>
        <w:rPr>
          <w:color w:val="231F20"/>
          <w:w w:val="105"/>
        </w:rPr>
        <w:t>mi- noría para el partido</w:t>
      </w:r>
      <w:r>
        <w:rPr>
          <w:color w:val="231F20"/>
          <w:spacing w:val="-25"/>
          <w:w w:val="105"/>
        </w:rPr>
        <w:t> </w:t>
      </w:r>
      <w:r>
        <w:rPr>
          <w:color w:val="231F20"/>
          <w:w w:val="105"/>
        </w:rPr>
        <w:t>ganador.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2"/>
      </w:pPr>
      <w:r>
        <w:rPr>
          <w:color w:val="231F20"/>
        </w:rPr>
        <w:t>Valor 0 (cero), existe equidad en las fuerzas del partido de gobierno y los de oposición. Valores positivos, existe dominio del partido   ganador.</w:t>
      </w:r>
    </w:p>
    <w:p>
      <w:pPr>
        <w:spacing w:before="53"/>
        <w:ind w:left="5151" w:right="-2" w:firstLine="0"/>
        <w:jc w:val="left"/>
        <w:rPr>
          <w:rFonts w:ascii="Calibri" w:hAnsi="Calibri"/>
          <w:sz w:val="16"/>
        </w:rPr>
      </w:pPr>
      <w:r>
        <w:rPr>
          <w:rFonts w:ascii="Calibri" w:hAnsi="Calibri"/>
          <w:color w:val="231F20"/>
          <w:sz w:val="16"/>
        </w:rPr>
        <w:t>Fuente: Con información en Ramírez, 2003:88</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En función de este indicador, en Ixtapan de la Sal se encuentra que la pluralidad del ayuntamiento se caracteriza por la presencia de un partido dominante y mayoritario, donde las decisiones son tomadas sin el consentimiento de la oposición y cabildos sin que llegue a propiciarse el debate. De acuerdo con el modelo propuesto.</w:t>
      </w:r>
    </w:p>
    <w:p>
      <w:pPr>
        <w:pStyle w:val="BodyText"/>
        <w:spacing w:before="1"/>
        <w:rPr>
          <w:sz w:val="26"/>
        </w:rPr>
      </w:pPr>
    </w:p>
    <w:p>
      <w:pPr>
        <w:pStyle w:val="Heading5"/>
        <w:ind w:left="1513"/>
      </w:pPr>
      <w:r>
        <w:rPr>
          <w:color w:val="231F20"/>
          <w:w w:val="105"/>
        </w:rPr>
        <w:t>Cuadro 3. Composición de ayuntamiento 2006-2009.</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99"/>
        <w:gridCol w:w="2527"/>
        <w:gridCol w:w="984"/>
        <w:gridCol w:w="3217"/>
      </w:tblGrid>
      <w:tr>
        <w:trPr>
          <w:trHeight w:val="400" w:hRule="exact"/>
        </w:trPr>
        <w:tc>
          <w:tcPr>
            <w:tcW w:w="1199" w:type="dxa"/>
            <w:shd w:val="clear" w:color="auto" w:fill="F3F3F3"/>
          </w:tcPr>
          <w:p>
            <w:pPr>
              <w:pStyle w:val="TableParagraph"/>
              <w:spacing w:before="79"/>
              <w:ind w:left="245" w:right="245"/>
              <w:jc w:val="center"/>
              <w:rPr>
                <w:b/>
                <w:sz w:val="20"/>
              </w:rPr>
            </w:pPr>
            <w:r>
              <w:rPr>
                <w:b/>
                <w:color w:val="231F20"/>
                <w:w w:val="95"/>
                <w:sz w:val="20"/>
              </w:rPr>
              <w:t>Cargo</w:t>
            </w:r>
          </w:p>
        </w:tc>
        <w:tc>
          <w:tcPr>
            <w:tcW w:w="2527" w:type="dxa"/>
            <w:shd w:val="clear" w:color="auto" w:fill="F3F3F3"/>
          </w:tcPr>
          <w:p>
            <w:pPr>
              <w:pStyle w:val="TableParagraph"/>
              <w:spacing w:before="79"/>
              <w:ind w:left="792" w:right="792"/>
              <w:jc w:val="center"/>
              <w:rPr>
                <w:b/>
                <w:sz w:val="20"/>
              </w:rPr>
            </w:pPr>
            <w:r>
              <w:rPr>
                <w:b/>
                <w:color w:val="231F20"/>
                <w:w w:val="95"/>
                <w:sz w:val="20"/>
              </w:rPr>
              <w:t>Propietario</w:t>
            </w:r>
          </w:p>
        </w:tc>
        <w:tc>
          <w:tcPr>
            <w:tcW w:w="984" w:type="dxa"/>
            <w:shd w:val="clear" w:color="auto" w:fill="F3F3F3"/>
          </w:tcPr>
          <w:p>
            <w:pPr>
              <w:pStyle w:val="TableParagraph"/>
              <w:spacing w:line="202" w:lineRule="exact"/>
              <w:ind w:left="180" w:firstLine="9"/>
              <w:rPr>
                <w:b/>
                <w:sz w:val="20"/>
              </w:rPr>
            </w:pPr>
            <w:r>
              <w:rPr>
                <w:b/>
                <w:color w:val="231F20"/>
                <w:w w:val="90"/>
                <w:sz w:val="20"/>
              </w:rPr>
              <w:t>PARTIDO</w:t>
            </w:r>
          </w:p>
          <w:p>
            <w:pPr>
              <w:pStyle w:val="TableParagraph"/>
              <w:spacing w:line="228" w:lineRule="exact"/>
              <w:ind w:left="180"/>
              <w:rPr>
                <w:b/>
                <w:sz w:val="20"/>
              </w:rPr>
            </w:pPr>
            <w:r>
              <w:rPr>
                <w:b/>
                <w:color w:val="231F20"/>
                <w:w w:val="90"/>
                <w:sz w:val="20"/>
              </w:rPr>
              <w:t>POLÍTICO</w:t>
            </w:r>
          </w:p>
        </w:tc>
        <w:tc>
          <w:tcPr>
            <w:tcW w:w="3217" w:type="dxa"/>
            <w:shd w:val="clear" w:color="auto" w:fill="F3F3F3"/>
          </w:tcPr>
          <w:p>
            <w:pPr>
              <w:pStyle w:val="TableParagraph"/>
              <w:spacing w:before="79"/>
              <w:ind w:left="198" w:right="198"/>
              <w:jc w:val="center"/>
              <w:rPr>
                <w:b/>
                <w:sz w:val="20"/>
              </w:rPr>
            </w:pPr>
            <w:r>
              <w:rPr>
                <w:b/>
                <w:color w:val="231F20"/>
                <w:w w:val="95"/>
                <w:sz w:val="20"/>
              </w:rPr>
              <w:t>Comisión</w:t>
            </w:r>
          </w:p>
        </w:tc>
      </w:tr>
      <w:tr>
        <w:trPr>
          <w:trHeight w:val="400" w:hRule="exact"/>
        </w:trPr>
        <w:tc>
          <w:tcPr>
            <w:tcW w:w="1199" w:type="dxa"/>
          </w:tcPr>
          <w:p>
            <w:pPr>
              <w:pStyle w:val="TableParagraph"/>
              <w:spacing w:before="102"/>
              <w:ind w:left="245" w:right="245"/>
              <w:jc w:val="center"/>
              <w:rPr>
                <w:sz w:val="16"/>
              </w:rPr>
            </w:pPr>
            <w:r>
              <w:rPr>
                <w:color w:val="231F20"/>
                <w:w w:val="85"/>
                <w:sz w:val="16"/>
              </w:rPr>
              <w:t>Presidente</w:t>
            </w:r>
          </w:p>
        </w:tc>
        <w:tc>
          <w:tcPr>
            <w:tcW w:w="2527" w:type="dxa"/>
          </w:tcPr>
          <w:p>
            <w:pPr>
              <w:pStyle w:val="TableParagraph"/>
              <w:spacing w:before="102"/>
              <w:ind w:left="588"/>
              <w:rPr>
                <w:sz w:val="9"/>
              </w:rPr>
            </w:pPr>
            <w:r>
              <w:rPr>
                <w:color w:val="231F20"/>
                <w:w w:val="80"/>
                <w:sz w:val="16"/>
              </w:rPr>
              <w:t>Salvador C. Vergara Cruz †</w:t>
            </w:r>
            <w:r>
              <w:rPr>
                <w:color w:val="231F20"/>
                <w:w w:val="80"/>
                <w:position w:val="5"/>
                <w:sz w:val="9"/>
              </w:rPr>
              <w:t>1</w:t>
            </w:r>
          </w:p>
        </w:tc>
        <w:tc>
          <w:tcPr>
            <w:tcW w:w="984" w:type="dxa"/>
          </w:tcPr>
          <w:p>
            <w:pPr>
              <w:pStyle w:val="TableParagraph"/>
              <w:spacing w:before="102"/>
              <w:ind w:left="318" w:right="318"/>
              <w:jc w:val="center"/>
              <w:rPr>
                <w:sz w:val="16"/>
              </w:rPr>
            </w:pPr>
            <w:r>
              <w:rPr>
                <w:color w:val="231F20"/>
                <w:w w:val="85"/>
                <w:sz w:val="16"/>
              </w:rPr>
              <w:t>PRI</w:t>
            </w:r>
          </w:p>
        </w:tc>
        <w:tc>
          <w:tcPr>
            <w:tcW w:w="3217" w:type="dxa"/>
          </w:tcPr>
          <w:p>
            <w:pPr>
              <w:pStyle w:val="TableParagraph"/>
              <w:spacing w:line="202" w:lineRule="exact"/>
              <w:ind w:left="198" w:right="198"/>
              <w:jc w:val="center"/>
              <w:rPr>
                <w:sz w:val="20"/>
              </w:rPr>
            </w:pPr>
            <w:r>
              <w:rPr>
                <w:color w:val="231F20"/>
                <w:w w:val="75"/>
                <w:sz w:val="20"/>
              </w:rPr>
              <w:t>Gobernación, seguridad pública, planeación y</w:t>
            </w:r>
          </w:p>
          <w:p>
            <w:pPr>
              <w:pStyle w:val="TableParagraph"/>
              <w:spacing w:line="228" w:lineRule="exact"/>
              <w:ind w:left="198" w:right="198"/>
              <w:jc w:val="center"/>
              <w:rPr>
                <w:sz w:val="20"/>
              </w:rPr>
            </w:pPr>
            <w:r>
              <w:rPr>
                <w:color w:val="231F20"/>
                <w:w w:val="85"/>
                <w:sz w:val="20"/>
              </w:rPr>
              <w:t>Hacienda</w:t>
            </w:r>
          </w:p>
        </w:tc>
      </w:tr>
      <w:tr>
        <w:trPr>
          <w:trHeight w:val="215" w:hRule="exact"/>
        </w:trPr>
        <w:tc>
          <w:tcPr>
            <w:tcW w:w="1199" w:type="dxa"/>
          </w:tcPr>
          <w:p>
            <w:pPr>
              <w:pStyle w:val="TableParagraph"/>
              <w:spacing w:line="231" w:lineRule="exact"/>
              <w:ind w:left="245" w:right="245"/>
              <w:jc w:val="center"/>
              <w:rPr>
                <w:sz w:val="20"/>
              </w:rPr>
            </w:pPr>
            <w:r>
              <w:rPr>
                <w:color w:val="231F20"/>
                <w:w w:val="75"/>
                <w:sz w:val="20"/>
              </w:rPr>
              <w:t>Síndico 1</w:t>
            </w:r>
          </w:p>
        </w:tc>
        <w:tc>
          <w:tcPr>
            <w:tcW w:w="2527" w:type="dxa"/>
          </w:tcPr>
          <w:p>
            <w:pPr>
              <w:pStyle w:val="TableParagraph"/>
              <w:spacing w:line="231" w:lineRule="exact"/>
              <w:ind w:left="517"/>
              <w:rPr>
                <w:sz w:val="20"/>
              </w:rPr>
            </w:pPr>
            <w:r>
              <w:rPr>
                <w:color w:val="231F20"/>
                <w:w w:val="75"/>
                <w:sz w:val="20"/>
              </w:rPr>
              <w:t>Dante Figueroa Sánchez</w:t>
            </w:r>
          </w:p>
        </w:tc>
        <w:tc>
          <w:tcPr>
            <w:tcW w:w="984" w:type="dxa"/>
          </w:tcPr>
          <w:p>
            <w:pPr>
              <w:pStyle w:val="TableParagraph"/>
              <w:spacing w:line="231" w:lineRule="exact"/>
              <w:ind w:left="318" w:right="318"/>
              <w:jc w:val="center"/>
              <w:rPr>
                <w:sz w:val="20"/>
              </w:rPr>
            </w:pPr>
            <w:r>
              <w:rPr>
                <w:color w:val="231F20"/>
                <w:w w:val="85"/>
                <w:sz w:val="20"/>
              </w:rPr>
              <w:t>PRI</w:t>
            </w:r>
          </w:p>
        </w:tc>
        <w:tc>
          <w:tcPr>
            <w:tcW w:w="3217" w:type="dxa"/>
          </w:tcPr>
          <w:p>
            <w:pPr/>
          </w:p>
        </w:tc>
      </w:tr>
      <w:tr>
        <w:trPr>
          <w:trHeight w:val="231" w:hRule="exact"/>
        </w:trPr>
        <w:tc>
          <w:tcPr>
            <w:tcW w:w="1199" w:type="dxa"/>
          </w:tcPr>
          <w:p>
            <w:pPr>
              <w:pStyle w:val="TableParagraph"/>
              <w:spacing w:line="239" w:lineRule="exact"/>
              <w:ind w:left="245" w:right="245"/>
              <w:jc w:val="center"/>
              <w:rPr>
                <w:sz w:val="20"/>
              </w:rPr>
            </w:pPr>
            <w:r>
              <w:rPr>
                <w:color w:val="231F20"/>
                <w:w w:val="75"/>
                <w:sz w:val="20"/>
              </w:rPr>
              <w:t>Regidor 1</w:t>
            </w:r>
          </w:p>
        </w:tc>
        <w:tc>
          <w:tcPr>
            <w:tcW w:w="2527" w:type="dxa"/>
          </w:tcPr>
          <w:p>
            <w:pPr>
              <w:pStyle w:val="TableParagraph"/>
              <w:spacing w:line="239" w:lineRule="exact"/>
              <w:ind w:left="565"/>
              <w:rPr>
                <w:sz w:val="20"/>
              </w:rPr>
            </w:pPr>
            <w:r>
              <w:rPr>
                <w:color w:val="231F20"/>
                <w:w w:val="75"/>
                <w:sz w:val="20"/>
              </w:rPr>
              <w:t>Olga Elena Fierro Alejo</w:t>
            </w:r>
          </w:p>
        </w:tc>
        <w:tc>
          <w:tcPr>
            <w:tcW w:w="984" w:type="dxa"/>
          </w:tcPr>
          <w:p>
            <w:pPr>
              <w:pStyle w:val="TableParagraph"/>
              <w:spacing w:line="239" w:lineRule="exact"/>
              <w:ind w:left="318" w:right="318"/>
              <w:jc w:val="center"/>
              <w:rPr>
                <w:sz w:val="20"/>
              </w:rPr>
            </w:pPr>
            <w:r>
              <w:rPr>
                <w:color w:val="231F20"/>
                <w:w w:val="85"/>
                <w:sz w:val="20"/>
              </w:rPr>
              <w:t>PRI</w:t>
            </w:r>
          </w:p>
        </w:tc>
        <w:tc>
          <w:tcPr>
            <w:tcW w:w="3217" w:type="dxa"/>
          </w:tcPr>
          <w:p>
            <w:pPr>
              <w:pStyle w:val="TableParagraph"/>
              <w:spacing w:line="239" w:lineRule="exact"/>
              <w:ind w:left="198" w:right="198"/>
              <w:jc w:val="center"/>
              <w:rPr>
                <w:sz w:val="20"/>
              </w:rPr>
            </w:pPr>
            <w:r>
              <w:rPr>
                <w:color w:val="231F20"/>
                <w:w w:val="75"/>
                <w:sz w:val="20"/>
              </w:rPr>
              <w:t>Salud, parques y jardines</w:t>
            </w:r>
          </w:p>
        </w:tc>
      </w:tr>
      <w:tr>
        <w:trPr>
          <w:trHeight w:val="231" w:hRule="exact"/>
        </w:trPr>
        <w:tc>
          <w:tcPr>
            <w:tcW w:w="1199" w:type="dxa"/>
          </w:tcPr>
          <w:p>
            <w:pPr>
              <w:pStyle w:val="TableParagraph"/>
              <w:spacing w:line="239" w:lineRule="exact"/>
              <w:ind w:left="245" w:right="245"/>
              <w:jc w:val="center"/>
              <w:rPr>
                <w:sz w:val="20"/>
              </w:rPr>
            </w:pPr>
            <w:r>
              <w:rPr>
                <w:color w:val="231F20"/>
                <w:w w:val="75"/>
                <w:sz w:val="20"/>
              </w:rPr>
              <w:t>Regidor 2</w:t>
            </w:r>
          </w:p>
        </w:tc>
        <w:tc>
          <w:tcPr>
            <w:tcW w:w="2527" w:type="dxa"/>
          </w:tcPr>
          <w:p>
            <w:pPr>
              <w:pStyle w:val="TableParagraph"/>
              <w:spacing w:line="239" w:lineRule="exact"/>
              <w:ind w:left="450"/>
              <w:rPr>
                <w:sz w:val="20"/>
              </w:rPr>
            </w:pPr>
            <w:r>
              <w:rPr>
                <w:color w:val="231F20"/>
                <w:w w:val="75"/>
                <w:sz w:val="20"/>
              </w:rPr>
              <w:t>Gloria A. Arizmendi Sotelo</w:t>
            </w:r>
          </w:p>
        </w:tc>
        <w:tc>
          <w:tcPr>
            <w:tcW w:w="984" w:type="dxa"/>
          </w:tcPr>
          <w:p>
            <w:pPr>
              <w:pStyle w:val="TableParagraph"/>
              <w:spacing w:line="239" w:lineRule="exact"/>
              <w:ind w:left="318" w:right="318"/>
              <w:jc w:val="center"/>
              <w:rPr>
                <w:sz w:val="20"/>
              </w:rPr>
            </w:pPr>
            <w:r>
              <w:rPr>
                <w:color w:val="231F20"/>
                <w:w w:val="85"/>
                <w:sz w:val="20"/>
              </w:rPr>
              <w:t>PRI</w:t>
            </w:r>
          </w:p>
        </w:tc>
        <w:tc>
          <w:tcPr>
            <w:tcW w:w="3217" w:type="dxa"/>
          </w:tcPr>
          <w:p>
            <w:pPr>
              <w:pStyle w:val="TableParagraph"/>
              <w:spacing w:line="239" w:lineRule="exact"/>
              <w:ind w:left="198" w:right="198"/>
              <w:jc w:val="center"/>
              <w:rPr>
                <w:sz w:val="20"/>
              </w:rPr>
            </w:pPr>
            <w:r>
              <w:rPr>
                <w:color w:val="231F20"/>
                <w:w w:val="75"/>
                <w:sz w:val="20"/>
              </w:rPr>
              <w:t>Deporte y cultura</w:t>
            </w:r>
          </w:p>
        </w:tc>
      </w:tr>
      <w:tr>
        <w:trPr>
          <w:trHeight w:val="231" w:hRule="exact"/>
        </w:trPr>
        <w:tc>
          <w:tcPr>
            <w:tcW w:w="1199" w:type="dxa"/>
          </w:tcPr>
          <w:p>
            <w:pPr>
              <w:pStyle w:val="TableParagraph"/>
              <w:spacing w:line="239" w:lineRule="exact"/>
              <w:ind w:left="245" w:right="245"/>
              <w:jc w:val="center"/>
              <w:rPr>
                <w:sz w:val="20"/>
              </w:rPr>
            </w:pPr>
            <w:r>
              <w:rPr>
                <w:color w:val="231F20"/>
                <w:w w:val="75"/>
                <w:sz w:val="20"/>
              </w:rPr>
              <w:t>Regidor 3</w:t>
            </w:r>
          </w:p>
        </w:tc>
        <w:tc>
          <w:tcPr>
            <w:tcW w:w="2527" w:type="dxa"/>
          </w:tcPr>
          <w:p>
            <w:pPr>
              <w:pStyle w:val="TableParagraph"/>
              <w:spacing w:line="239" w:lineRule="exact"/>
              <w:ind w:left="0" w:right="296"/>
              <w:jc w:val="right"/>
              <w:rPr>
                <w:sz w:val="20"/>
              </w:rPr>
            </w:pPr>
            <w:r>
              <w:rPr>
                <w:color w:val="231F20"/>
                <w:w w:val="75"/>
                <w:sz w:val="20"/>
              </w:rPr>
              <w:t>Raymundo E. Fuentes González</w:t>
            </w:r>
          </w:p>
        </w:tc>
        <w:tc>
          <w:tcPr>
            <w:tcW w:w="984" w:type="dxa"/>
          </w:tcPr>
          <w:p>
            <w:pPr>
              <w:pStyle w:val="TableParagraph"/>
              <w:spacing w:line="239" w:lineRule="exact"/>
              <w:ind w:left="318" w:right="318"/>
              <w:jc w:val="center"/>
              <w:rPr>
                <w:sz w:val="20"/>
              </w:rPr>
            </w:pPr>
            <w:r>
              <w:rPr>
                <w:color w:val="231F20"/>
                <w:w w:val="85"/>
                <w:sz w:val="20"/>
              </w:rPr>
              <w:t>PRI</w:t>
            </w:r>
          </w:p>
        </w:tc>
        <w:tc>
          <w:tcPr>
            <w:tcW w:w="3217" w:type="dxa"/>
          </w:tcPr>
          <w:p>
            <w:pPr>
              <w:pStyle w:val="TableParagraph"/>
              <w:spacing w:line="239" w:lineRule="exact"/>
              <w:ind w:left="198" w:right="198"/>
              <w:jc w:val="center"/>
              <w:rPr>
                <w:sz w:val="20"/>
              </w:rPr>
            </w:pPr>
            <w:r>
              <w:rPr>
                <w:color w:val="231F20"/>
                <w:w w:val="75"/>
                <w:sz w:val="20"/>
              </w:rPr>
              <w:t>Agua, drenaje y alcantarillado</w:t>
            </w:r>
          </w:p>
        </w:tc>
      </w:tr>
      <w:tr>
        <w:trPr>
          <w:trHeight w:val="400" w:hRule="exact"/>
        </w:trPr>
        <w:tc>
          <w:tcPr>
            <w:tcW w:w="1199" w:type="dxa"/>
          </w:tcPr>
          <w:p>
            <w:pPr>
              <w:pStyle w:val="TableParagraph"/>
              <w:spacing w:before="79"/>
              <w:ind w:left="245" w:right="245"/>
              <w:jc w:val="center"/>
              <w:rPr>
                <w:sz w:val="20"/>
              </w:rPr>
            </w:pPr>
            <w:r>
              <w:rPr>
                <w:color w:val="231F20"/>
                <w:w w:val="75"/>
                <w:sz w:val="20"/>
              </w:rPr>
              <w:t>Regidor 4</w:t>
            </w:r>
          </w:p>
        </w:tc>
        <w:tc>
          <w:tcPr>
            <w:tcW w:w="2527" w:type="dxa"/>
          </w:tcPr>
          <w:p>
            <w:pPr>
              <w:pStyle w:val="TableParagraph"/>
              <w:spacing w:before="79"/>
              <w:ind w:left="447"/>
              <w:rPr>
                <w:sz w:val="20"/>
              </w:rPr>
            </w:pPr>
            <w:r>
              <w:rPr>
                <w:color w:val="231F20"/>
                <w:w w:val="75"/>
                <w:sz w:val="20"/>
              </w:rPr>
              <w:t>Arturo C. Arellano Morales</w:t>
            </w:r>
          </w:p>
        </w:tc>
        <w:tc>
          <w:tcPr>
            <w:tcW w:w="984" w:type="dxa"/>
          </w:tcPr>
          <w:p>
            <w:pPr>
              <w:pStyle w:val="TableParagraph"/>
              <w:spacing w:before="79"/>
              <w:ind w:left="318" w:right="318"/>
              <w:jc w:val="center"/>
              <w:rPr>
                <w:sz w:val="20"/>
              </w:rPr>
            </w:pPr>
            <w:r>
              <w:rPr>
                <w:color w:val="231F20"/>
                <w:w w:val="85"/>
                <w:sz w:val="20"/>
              </w:rPr>
              <w:t>PRI</w:t>
            </w:r>
          </w:p>
        </w:tc>
        <w:tc>
          <w:tcPr>
            <w:tcW w:w="3217" w:type="dxa"/>
          </w:tcPr>
          <w:p>
            <w:pPr>
              <w:pStyle w:val="TableParagraph"/>
              <w:spacing w:line="201" w:lineRule="exact"/>
              <w:ind w:left="198" w:right="198"/>
              <w:jc w:val="center"/>
              <w:rPr>
                <w:sz w:val="20"/>
              </w:rPr>
            </w:pPr>
            <w:r>
              <w:rPr>
                <w:color w:val="231F20"/>
                <w:w w:val="75"/>
                <w:sz w:val="20"/>
              </w:rPr>
              <w:t>Medio Ambiente, Desarrollo Urbano y Trans-</w:t>
            </w:r>
          </w:p>
          <w:p>
            <w:pPr>
              <w:pStyle w:val="TableParagraph"/>
              <w:spacing w:line="229" w:lineRule="exact"/>
              <w:ind w:left="198" w:right="198"/>
              <w:jc w:val="center"/>
              <w:rPr>
                <w:sz w:val="20"/>
              </w:rPr>
            </w:pPr>
            <w:r>
              <w:rPr>
                <w:color w:val="231F20"/>
                <w:w w:val="85"/>
                <w:sz w:val="20"/>
              </w:rPr>
              <w:t>porte</w:t>
            </w:r>
          </w:p>
        </w:tc>
      </w:tr>
      <w:tr>
        <w:trPr>
          <w:trHeight w:val="231" w:hRule="exact"/>
        </w:trPr>
        <w:tc>
          <w:tcPr>
            <w:tcW w:w="1199" w:type="dxa"/>
          </w:tcPr>
          <w:p>
            <w:pPr>
              <w:pStyle w:val="TableParagraph"/>
              <w:spacing w:line="239" w:lineRule="exact"/>
              <w:ind w:left="245" w:right="245"/>
              <w:jc w:val="center"/>
              <w:rPr>
                <w:sz w:val="20"/>
              </w:rPr>
            </w:pPr>
            <w:r>
              <w:rPr>
                <w:color w:val="231F20"/>
                <w:w w:val="75"/>
                <w:sz w:val="20"/>
              </w:rPr>
              <w:t>Regidor 5</w:t>
            </w:r>
          </w:p>
        </w:tc>
        <w:tc>
          <w:tcPr>
            <w:tcW w:w="2527" w:type="dxa"/>
          </w:tcPr>
          <w:p>
            <w:pPr>
              <w:pStyle w:val="TableParagraph"/>
              <w:spacing w:line="239" w:lineRule="exact"/>
              <w:ind w:left="426"/>
              <w:rPr>
                <w:sz w:val="20"/>
              </w:rPr>
            </w:pPr>
            <w:r>
              <w:rPr>
                <w:color w:val="231F20"/>
                <w:w w:val="75"/>
                <w:sz w:val="20"/>
              </w:rPr>
              <w:t>Ángel J. Alderete Espiniella</w:t>
            </w:r>
          </w:p>
        </w:tc>
        <w:tc>
          <w:tcPr>
            <w:tcW w:w="984" w:type="dxa"/>
          </w:tcPr>
          <w:p>
            <w:pPr>
              <w:pStyle w:val="TableParagraph"/>
              <w:spacing w:line="239" w:lineRule="exact"/>
              <w:ind w:left="318" w:right="318"/>
              <w:jc w:val="center"/>
              <w:rPr>
                <w:sz w:val="20"/>
              </w:rPr>
            </w:pPr>
            <w:r>
              <w:rPr>
                <w:color w:val="231F20"/>
                <w:w w:val="85"/>
                <w:sz w:val="20"/>
              </w:rPr>
              <w:t>PRI</w:t>
            </w:r>
          </w:p>
        </w:tc>
        <w:tc>
          <w:tcPr>
            <w:tcW w:w="3217" w:type="dxa"/>
          </w:tcPr>
          <w:p>
            <w:pPr>
              <w:pStyle w:val="TableParagraph"/>
              <w:spacing w:line="239" w:lineRule="exact"/>
              <w:ind w:left="198" w:right="197"/>
              <w:jc w:val="center"/>
              <w:rPr>
                <w:sz w:val="20"/>
              </w:rPr>
            </w:pPr>
            <w:r>
              <w:rPr>
                <w:color w:val="231F20"/>
                <w:w w:val="75"/>
                <w:sz w:val="20"/>
              </w:rPr>
              <w:t>Turismo y obras públicas</w:t>
            </w:r>
          </w:p>
        </w:tc>
      </w:tr>
      <w:tr>
        <w:trPr>
          <w:trHeight w:val="215" w:hRule="exact"/>
        </w:trPr>
        <w:tc>
          <w:tcPr>
            <w:tcW w:w="1199" w:type="dxa"/>
          </w:tcPr>
          <w:p>
            <w:pPr>
              <w:pStyle w:val="TableParagraph"/>
              <w:spacing w:line="231" w:lineRule="exact"/>
              <w:ind w:left="245" w:right="245"/>
              <w:jc w:val="center"/>
              <w:rPr>
                <w:sz w:val="20"/>
              </w:rPr>
            </w:pPr>
            <w:r>
              <w:rPr>
                <w:color w:val="231F20"/>
                <w:w w:val="75"/>
                <w:sz w:val="20"/>
              </w:rPr>
              <w:t>Regidor 6</w:t>
            </w:r>
          </w:p>
        </w:tc>
        <w:tc>
          <w:tcPr>
            <w:tcW w:w="2527" w:type="dxa"/>
          </w:tcPr>
          <w:p>
            <w:pPr>
              <w:pStyle w:val="TableParagraph"/>
              <w:spacing w:line="231" w:lineRule="exact"/>
              <w:ind w:left="422"/>
              <w:rPr>
                <w:sz w:val="20"/>
              </w:rPr>
            </w:pPr>
            <w:r>
              <w:rPr>
                <w:color w:val="231F20"/>
                <w:w w:val="75"/>
                <w:sz w:val="20"/>
              </w:rPr>
              <w:t>María M. Gómez Arizmendi</w:t>
            </w:r>
          </w:p>
        </w:tc>
        <w:tc>
          <w:tcPr>
            <w:tcW w:w="984" w:type="dxa"/>
          </w:tcPr>
          <w:p>
            <w:pPr>
              <w:pStyle w:val="TableParagraph"/>
              <w:spacing w:line="231" w:lineRule="exact"/>
              <w:ind w:left="318" w:right="318"/>
              <w:jc w:val="center"/>
              <w:rPr>
                <w:sz w:val="20"/>
              </w:rPr>
            </w:pPr>
            <w:r>
              <w:rPr>
                <w:color w:val="231F20"/>
                <w:w w:val="85"/>
                <w:sz w:val="20"/>
              </w:rPr>
              <w:t>PRI</w:t>
            </w:r>
          </w:p>
        </w:tc>
        <w:tc>
          <w:tcPr>
            <w:tcW w:w="3217" w:type="dxa"/>
          </w:tcPr>
          <w:p>
            <w:pPr>
              <w:pStyle w:val="TableParagraph"/>
              <w:spacing w:line="231" w:lineRule="exact"/>
              <w:ind w:left="198" w:right="198"/>
              <w:jc w:val="center"/>
              <w:rPr>
                <w:sz w:val="20"/>
              </w:rPr>
            </w:pPr>
            <w:r>
              <w:rPr>
                <w:color w:val="231F20"/>
                <w:w w:val="75"/>
                <w:sz w:val="20"/>
              </w:rPr>
              <w:t>Educación Pública</w:t>
            </w:r>
          </w:p>
        </w:tc>
      </w:tr>
      <w:tr>
        <w:trPr>
          <w:trHeight w:val="215" w:hRule="exact"/>
        </w:trPr>
        <w:tc>
          <w:tcPr>
            <w:tcW w:w="1199" w:type="dxa"/>
          </w:tcPr>
          <w:p>
            <w:pPr>
              <w:pStyle w:val="TableParagraph"/>
              <w:spacing w:line="231" w:lineRule="exact"/>
              <w:ind w:left="245" w:right="245"/>
              <w:jc w:val="center"/>
              <w:rPr>
                <w:sz w:val="20"/>
              </w:rPr>
            </w:pPr>
            <w:r>
              <w:rPr>
                <w:color w:val="231F20"/>
                <w:w w:val="75"/>
                <w:sz w:val="20"/>
              </w:rPr>
              <w:t>Regidor 7</w:t>
            </w:r>
          </w:p>
        </w:tc>
        <w:tc>
          <w:tcPr>
            <w:tcW w:w="2527" w:type="dxa"/>
          </w:tcPr>
          <w:p>
            <w:pPr>
              <w:pStyle w:val="TableParagraph"/>
              <w:spacing w:line="231" w:lineRule="exact"/>
              <w:ind w:left="472"/>
              <w:rPr>
                <w:sz w:val="20"/>
              </w:rPr>
            </w:pPr>
            <w:r>
              <w:rPr>
                <w:color w:val="231F20"/>
                <w:w w:val="80"/>
                <w:sz w:val="20"/>
              </w:rPr>
              <w:t>Jorge A. Pedraza Lagunas</w:t>
            </w:r>
          </w:p>
        </w:tc>
        <w:tc>
          <w:tcPr>
            <w:tcW w:w="984" w:type="dxa"/>
          </w:tcPr>
          <w:p>
            <w:pPr>
              <w:pStyle w:val="TableParagraph"/>
              <w:spacing w:line="231" w:lineRule="exact"/>
              <w:ind w:left="318" w:right="318"/>
              <w:jc w:val="center"/>
              <w:rPr>
                <w:sz w:val="20"/>
              </w:rPr>
            </w:pPr>
            <w:r>
              <w:rPr>
                <w:color w:val="231F20"/>
                <w:w w:val="85"/>
                <w:sz w:val="20"/>
              </w:rPr>
              <w:t>PRD</w:t>
            </w:r>
          </w:p>
        </w:tc>
        <w:tc>
          <w:tcPr>
            <w:tcW w:w="3217" w:type="dxa"/>
          </w:tcPr>
          <w:p>
            <w:pPr>
              <w:pStyle w:val="TableParagraph"/>
              <w:spacing w:line="231" w:lineRule="exact"/>
              <w:ind w:left="198" w:right="197"/>
              <w:jc w:val="center"/>
              <w:rPr>
                <w:sz w:val="20"/>
              </w:rPr>
            </w:pPr>
            <w:r>
              <w:rPr>
                <w:color w:val="231F20"/>
                <w:w w:val="75"/>
                <w:sz w:val="20"/>
              </w:rPr>
              <w:t>Mercado, tianguis y abasto</w:t>
            </w:r>
          </w:p>
        </w:tc>
      </w:tr>
      <w:tr>
        <w:trPr>
          <w:trHeight w:val="215" w:hRule="exact"/>
        </w:trPr>
        <w:tc>
          <w:tcPr>
            <w:tcW w:w="1199" w:type="dxa"/>
          </w:tcPr>
          <w:p>
            <w:pPr>
              <w:pStyle w:val="TableParagraph"/>
              <w:spacing w:line="231" w:lineRule="exact"/>
              <w:ind w:left="246" w:right="245"/>
              <w:jc w:val="center"/>
              <w:rPr>
                <w:sz w:val="20"/>
              </w:rPr>
            </w:pPr>
            <w:r>
              <w:rPr>
                <w:color w:val="231F20"/>
                <w:w w:val="75"/>
                <w:sz w:val="20"/>
              </w:rPr>
              <w:t>Regidor 8</w:t>
            </w:r>
          </w:p>
        </w:tc>
        <w:tc>
          <w:tcPr>
            <w:tcW w:w="2527" w:type="dxa"/>
          </w:tcPr>
          <w:p>
            <w:pPr>
              <w:pStyle w:val="TableParagraph"/>
              <w:spacing w:line="231" w:lineRule="exact"/>
              <w:ind w:left="0" w:right="341"/>
              <w:jc w:val="right"/>
              <w:rPr>
                <w:sz w:val="20"/>
              </w:rPr>
            </w:pPr>
            <w:r>
              <w:rPr>
                <w:color w:val="231F20"/>
                <w:w w:val="75"/>
                <w:sz w:val="20"/>
              </w:rPr>
              <w:t>Ma. Irma Hernández Figueroa</w:t>
            </w:r>
          </w:p>
        </w:tc>
        <w:tc>
          <w:tcPr>
            <w:tcW w:w="984" w:type="dxa"/>
          </w:tcPr>
          <w:p>
            <w:pPr>
              <w:pStyle w:val="TableParagraph"/>
              <w:spacing w:line="231" w:lineRule="exact"/>
              <w:ind w:left="319" w:right="318"/>
              <w:jc w:val="center"/>
              <w:rPr>
                <w:sz w:val="20"/>
              </w:rPr>
            </w:pPr>
            <w:r>
              <w:rPr>
                <w:color w:val="231F20"/>
                <w:w w:val="85"/>
                <w:sz w:val="20"/>
              </w:rPr>
              <w:t>PRD</w:t>
            </w:r>
          </w:p>
        </w:tc>
        <w:tc>
          <w:tcPr>
            <w:tcW w:w="3217" w:type="dxa"/>
          </w:tcPr>
          <w:p>
            <w:pPr>
              <w:pStyle w:val="TableParagraph"/>
              <w:spacing w:line="231" w:lineRule="exact"/>
              <w:ind w:left="198" w:right="197"/>
              <w:jc w:val="center"/>
              <w:rPr>
                <w:sz w:val="20"/>
              </w:rPr>
            </w:pPr>
            <w:r>
              <w:rPr>
                <w:color w:val="231F20"/>
                <w:w w:val="75"/>
                <w:sz w:val="20"/>
              </w:rPr>
              <w:t>Poblaciones y reglamentos</w:t>
            </w:r>
          </w:p>
        </w:tc>
      </w:tr>
      <w:tr>
        <w:trPr>
          <w:trHeight w:val="215" w:hRule="exact"/>
        </w:trPr>
        <w:tc>
          <w:tcPr>
            <w:tcW w:w="1199" w:type="dxa"/>
          </w:tcPr>
          <w:p>
            <w:pPr>
              <w:pStyle w:val="TableParagraph"/>
              <w:spacing w:line="231" w:lineRule="exact"/>
              <w:ind w:left="246" w:right="245"/>
              <w:jc w:val="center"/>
              <w:rPr>
                <w:sz w:val="20"/>
              </w:rPr>
            </w:pPr>
            <w:r>
              <w:rPr>
                <w:color w:val="231F20"/>
                <w:w w:val="75"/>
                <w:sz w:val="20"/>
              </w:rPr>
              <w:t>Regidor 9</w:t>
            </w:r>
          </w:p>
        </w:tc>
        <w:tc>
          <w:tcPr>
            <w:tcW w:w="2527" w:type="dxa"/>
          </w:tcPr>
          <w:p>
            <w:pPr>
              <w:pStyle w:val="TableParagraph"/>
              <w:spacing w:line="231" w:lineRule="exact"/>
              <w:ind w:left="380"/>
              <w:rPr>
                <w:sz w:val="20"/>
              </w:rPr>
            </w:pPr>
            <w:r>
              <w:rPr>
                <w:color w:val="231F20"/>
                <w:w w:val="75"/>
                <w:sz w:val="20"/>
              </w:rPr>
              <w:t>Gloria Elsa Rodríguez Gómez</w:t>
            </w:r>
          </w:p>
        </w:tc>
        <w:tc>
          <w:tcPr>
            <w:tcW w:w="984" w:type="dxa"/>
          </w:tcPr>
          <w:p>
            <w:pPr>
              <w:pStyle w:val="TableParagraph"/>
              <w:spacing w:line="231" w:lineRule="exact"/>
              <w:ind w:left="319" w:right="318"/>
              <w:jc w:val="center"/>
              <w:rPr>
                <w:sz w:val="20"/>
              </w:rPr>
            </w:pPr>
            <w:r>
              <w:rPr>
                <w:color w:val="231F20"/>
                <w:w w:val="85"/>
                <w:sz w:val="20"/>
              </w:rPr>
              <w:t>PAN</w:t>
            </w:r>
          </w:p>
        </w:tc>
        <w:tc>
          <w:tcPr>
            <w:tcW w:w="3217" w:type="dxa"/>
          </w:tcPr>
          <w:p>
            <w:pPr>
              <w:pStyle w:val="TableParagraph"/>
              <w:spacing w:line="231" w:lineRule="exact"/>
              <w:ind w:left="198" w:right="198"/>
              <w:jc w:val="center"/>
              <w:rPr>
                <w:sz w:val="20"/>
              </w:rPr>
            </w:pPr>
            <w:r>
              <w:rPr>
                <w:color w:val="231F20"/>
                <w:w w:val="75"/>
                <w:sz w:val="20"/>
              </w:rPr>
              <w:t>Empleo y alumbrado</w:t>
            </w:r>
          </w:p>
        </w:tc>
      </w:tr>
      <w:tr>
        <w:trPr>
          <w:trHeight w:val="215" w:hRule="exact"/>
        </w:trPr>
        <w:tc>
          <w:tcPr>
            <w:tcW w:w="1199" w:type="dxa"/>
          </w:tcPr>
          <w:p>
            <w:pPr>
              <w:pStyle w:val="TableParagraph"/>
              <w:spacing w:line="231" w:lineRule="exact"/>
              <w:ind w:left="246" w:right="245"/>
              <w:jc w:val="center"/>
              <w:rPr>
                <w:sz w:val="20"/>
              </w:rPr>
            </w:pPr>
            <w:r>
              <w:rPr>
                <w:color w:val="231F20"/>
                <w:w w:val="75"/>
                <w:sz w:val="20"/>
              </w:rPr>
              <w:t>Regidor 10</w:t>
            </w:r>
          </w:p>
        </w:tc>
        <w:tc>
          <w:tcPr>
            <w:tcW w:w="2527" w:type="dxa"/>
          </w:tcPr>
          <w:p>
            <w:pPr>
              <w:pStyle w:val="TableParagraph"/>
              <w:spacing w:line="231" w:lineRule="exact"/>
              <w:ind w:left="428"/>
              <w:rPr>
                <w:sz w:val="20"/>
              </w:rPr>
            </w:pPr>
            <w:r>
              <w:rPr>
                <w:color w:val="231F20"/>
                <w:w w:val="75"/>
                <w:sz w:val="20"/>
              </w:rPr>
              <w:t>Benjamín Velasco Zariñana</w:t>
            </w:r>
          </w:p>
        </w:tc>
        <w:tc>
          <w:tcPr>
            <w:tcW w:w="984" w:type="dxa"/>
          </w:tcPr>
          <w:p>
            <w:pPr>
              <w:pStyle w:val="TableParagraph"/>
              <w:spacing w:line="231" w:lineRule="exact"/>
              <w:ind w:left="318" w:right="318"/>
              <w:jc w:val="center"/>
              <w:rPr>
                <w:sz w:val="20"/>
              </w:rPr>
            </w:pPr>
            <w:r>
              <w:rPr>
                <w:color w:val="231F20"/>
                <w:w w:val="85"/>
                <w:sz w:val="20"/>
              </w:rPr>
              <w:t>PAN</w:t>
            </w:r>
          </w:p>
        </w:tc>
        <w:tc>
          <w:tcPr>
            <w:tcW w:w="3217" w:type="dxa"/>
          </w:tcPr>
          <w:p>
            <w:pPr>
              <w:pStyle w:val="TableParagraph"/>
              <w:spacing w:line="231" w:lineRule="exact"/>
              <w:ind w:left="198" w:right="198"/>
              <w:jc w:val="center"/>
              <w:rPr>
                <w:sz w:val="20"/>
              </w:rPr>
            </w:pPr>
            <w:r>
              <w:rPr>
                <w:color w:val="231F20"/>
                <w:w w:val="75"/>
                <w:sz w:val="20"/>
              </w:rPr>
              <w:t>Fomento agropecuario</w:t>
            </w:r>
          </w:p>
        </w:tc>
      </w:tr>
    </w:tbl>
    <w:p>
      <w:pPr>
        <w:pStyle w:val="BodyText"/>
        <w:spacing w:before="8"/>
        <w:rPr>
          <w:b/>
          <w:sz w:val="14"/>
        </w:rPr>
      </w:pPr>
    </w:p>
    <w:p>
      <w:pPr>
        <w:spacing w:before="74"/>
        <w:ind w:left="5083" w:right="-2" w:firstLine="0"/>
        <w:jc w:val="left"/>
        <w:rPr>
          <w:rFonts w:ascii="Calibri" w:hAnsi="Calibri"/>
          <w:sz w:val="16"/>
        </w:rPr>
      </w:pPr>
      <w:r>
        <w:rPr>
          <w:rFonts w:ascii="Calibri" w:hAnsi="Calibri"/>
          <w:color w:val="231F20"/>
          <w:sz w:val="16"/>
        </w:rPr>
        <w:t>Fuente: Elaboración propia con datos de IEEM.</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Centrando la atención en la última elección efectuada en </w:t>
      </w:r>
      <w:r>
        <w:rPr>
          <w:color w:val="231F20"/>
          <w:spacing w:val="3"/>
          <w:w w:val="105"/>
        </w:rPr>
        <w:t>2006, </w:t>
      </w:r>
      <w:r>
        <w:rPr>
          <w:color w:val="231F20"/>
          <w:w w:val="105"/>
        </w:rPr>
        <w:t>cuando el PRI nueva- mente</w:t>
      </w:r>
      <w:r>
        <w:rPr>
          <w:color w:val="231F20"/>
          <w:spacing w:val="-10"/>
          <w:w w:val="105"/>
        </w:rPr>
        <w:t> </w:t>
      </w:r>
      <w:r>
        <w:rPr>
          <w:color w:val="231F20"/>
          <w:w w:val="105"/>
        </w:rPr>
        <w:t>ganó</w:t>
      </w:r>
      <w:r>
        <w:rPr>
          <w:color w:val="231F20"/>
          <w:spacing w:val="-10"/>
          <w:w w:val="105"/>
        </w:rPr>
        <w:t> </w:t>
      </w:r>
      <w:r>
        <w:rPr>
          <w:color w:val="231F20"/>
          <w:w w:val="105"/>
        </w:rPr>
        <w:t>la</w:t>
      </w:r>
      <w:r>
        <w:rPr>
          <w:color w:val="231F20"/>
          <w:spacing w:val="-10"/>
          <w:w w:val="105"/>
        </w:rPr>
        <w:t> </w:t>
      </w:r>
      <w:r>
        <w:rPr>
          <w:color w:val="231F20"/>
          <w:w w:val="105"/>
        </w:rPr>
        <w:t>presidencia</w:t>
      </w:r>
      <w:r>
        <w:rPr>
          <w:color w:val="231F20"/>
          <w:spacing w:val="-10"/>
          <w:w w:val="105"/>
        </w:rPr>
        <w:t> </w:t>
      </w:r>
      <w:r>
        <w:rPr>
          <w:color w:val="231F20"/>
          <w:w w:val="105"/>
        </w:rPr>
        <w:t>municipal</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69%</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votación</w:t>
      </w:r>
      <w:r>
        <w:rPr>
          <w:color w:val="231F20"/>
          <w:spacing w:val="-10"/>
          <w:w w:val="105"/>
        </w:rPr>
        <w:t> </w:t>
      </w:r>
      <w:r>
        <w:rPr>
          <w:color w:val="231F20"/>
          <w:w w:val="105"/>
        </w:rPr>
        <w:t>total</w:t>
      </w:r>
      <w:r>
        <w:rPr>
          <w:color w:val="231F20"/>
          <w:spacing w:val="-10"/>
          <w:w w:val="105"/>
        </w:rPr>
        <w:t> </w:t>
      </w:r>
      <w:r>
        <w:rPr>
          <w:color w:val="231F20"/>
          <w:w w:val="105"/>
        </w:rPr>
        <w:t>bajo</w:t>
      </w:r>
      <w:r>
        <w:rPr>
          <w:color w:val="231F20"/>
          <w:spacing w:val="-10"/>
          <w:w w:val="105"/>
        </w:rPr>
        <w:t> </w:t>
      </w:r>
      <w:r>
        <w:rPr>
          <w:color w:val="231F20"/>
          <w:w w:val="105"/>
        </w:rPr>
        <w:t>la</w:t>
      </w:r>
      <w:r>
        <w:rPr>
          <w:color w:val="231F20"/>
          <w:spacing w:val="-10"/>
          <w:w w:val="105"/>
        </w:rPr>
        <w:t> </w:t>
      </w:r>
      <w:r>
        <w:rPr>
          <w:color w:val="231F20"/>
          <w:w w:val="105"/>
        </w:rPr>
        <w:t>fórmula</w:t>
      </w:r>
      <w:r>
        <w:rPr>
          <w:color w:val="231F20"/>
          <w:spacing w:val="-10"/>
          <w:w w:val="105"/>
        </w:rPr>
        <w:t> </w:t>
      </w:r>
      <w:r>
        <w:rPr>
          <w:color w:val="231F20"/>
          <w:w w:val="105"/>
        </w:rPr>
        <w:t>de Salvador </w:t>
      </w:r>
      <w:r>
        <w:rPr>
          <w:color w:val="231F20"/>
          <w:spacing w:val="-3"/>
          <w:w w:val="105"/>
        </w:rPr>
        <w:t>Vergara </w:t>
      </w:r>
      <w:r>
        <w:rPr>
          <w:color w:val="231F20"/>
          <w:w w:val="105"/>
        </w:rPr>
        <w:t>como alcalde, el reparto de regidurías </w:t>
      </w:r>
      <w:r>
        <w:rPr>
          <w:color w:val="231F20"/>
          <w:spacing w:val="-3"/>
          <w:w w:val="105"/>
        </w:rPr>
        <w:t>(atendiendo </w:t>
      </w:r>
      <w:r>
        <w:rPr>
          <w:color w:val="231F20"/>
          <w:w w:val="105"/>
        </w:rPr>
        <w:t>el principio</w:t>
      </w:r>
      <w:r>
        <w:rPr>
          <w:color w:val="231F20"/>
          <w:spacing w:val="-40"/>
          <w:w w:val="105"/>
        </w:rPr>
        <w:t> </w:t>
      </w:r>
      <w:r>
        <w:rPr>
          <w:color w:val="231F20"/>
          <w:w w:val="105"/>
        </w:rPr>
        <w:t>legal) quedó</w:t>
      </w:r>
      <w:r>
        <w:rPr>
          <w:color w:val="231F20"/>
          <w:spacing w:val="-10"/>
          <w:w w:val="105"/>
        </w:rPr>
        <w:t> </w:t>
      </w:r>
      <w:r>
        <w:rPr>
          <w:color w:val="231F20"/>
          <w:w w:val="105"/>
        </w:rPr>
        <w:t>como</w:t>
      </w:r>
      <w:r>
        <w:rPr>
          <w:color w:val="231F20"/>
          <w:spacing w:val="-10"/>
          <w:w w:val="105"/>
        </w:rPr>
        <w:t> </w:t>
      </w:r>
      <w:r>
        <w:rPr>
          <w:color w:val="231F20"/>
          <w:w w:val="105"/>
        </w:rPr>
        <w:t>se</w:t>
      </w:r>
      <w:r>
        <w:rPr>
          <w:color w:val="231F20"/>
          <w:spacing w:val="-10"/>
          <w:w w:val="105"/>
        </w:rPr>
        <w:t> </w:t>
      </w:r>
      <w:r>
        <w:rPr>
          <w:color w:val="231F20"/>
          <w:w w:val="105"/>
        </w:rPr>
        <w:t>presenta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Cuadro</w:t>
      </w:r>
      <w:r>
        <w:rPr>
          <w:color w:val="231F20"/>
          <w:spacing w:val="-10"/>
          <w:w w:val="105"/>
        </w:rPr>
        <w:t> </w:t>
      </w:r>
      <w:r>
        <w:rPr>
          <w:color w:val="231F20"/>
          <w:w w:val="105"/>
        </w:rPr>
        <w:t>3.</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Se constata que el PRI obtuvo el 67% del total de los cargos por elección popular del ayuntamiento,</w:t>
      </w:r>
      <w:r>
        <w:rPr>
          <w:color w:val="231F20"/>
          <w:spacing w:val="-7"/>
          <w:w w:val="105"/>
        </w:rPr>
        <w:t> </w:t>
      </w:r>
      <w:r>
        <w:rPr>
          <w:color w:val="231F20"/>
          <w:w w:val="105"/>
        </w:rPr>
        <w:t>que</w:t>
      </w:r>
      <w:r>
        <w:rPr>
          <w:color w:val="231F20"/>
          <w:spacing w:val="-7"/>
          <w:w w:val="105"/>
        </w:rPr>
        <w:t> </w:t>
      </w:r>
      <w:r>
        <w:rPr>
          <w:color w:val="231F20"/>
          <w:w w:val="105"/>
        </w:rPr>
        <w:t>significa</w:t>
      </w:r>
      <w:r>
        <w:rPr>
          <w:color w:val="231F20"/>
          <w:spacing w:val="-7"/>
          <w:w w:val="105"/>
        </w:rPr>
        <w:t> </w:t>
      </w:r>
      <w:r>
        <w:rPr>
          <w:color w:val="231F20"/>
          <w:w w:val="105"/>
        </w:rPr>
        <w:t>también</w:t>
      </w:r>
      <w:r>
        <w:rPr>
          <w:color w:val="231F20"/>
          <w:spacing w:val="-7"/>
          <w:w w:val="105"/>
        </w:rPr>
        <w:t> </w:t>
      </w:r>
      <w:r>
        <w:rPr>
          <w:color w:val="231F20"/>
          <w:w w:val="105"/>
        </w:rPr>
        <w:t>el</w:t>
      </w:r>
      <w:r>
        <w:rPr>
          <w:color w:val="231F20"/>
          <w:spacing w:val="-7"/>
          <w:w w:val="105"/>
        </w:rPr>
        <w:t> </w:t>
      </w:r>
      <w:r>
        <w:rPr>
          <w:color w:val="231F20"/>
          <w:w w:val="105"/>
        </w:rPr>
        <w:t>67%</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votos</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toma</w:t>
      </w:r>
      <w:r>
        <w:rPr>
          <w:color w:val="231F20"/>
          <w:spacing w:val="-7"/>
          <w:w w:val="105"/>
        </w:rPr>
        <w:t> </w:t>
      </w:r>
      <w:r>
        <w:rPr>
          <w:color w:val="231F20"/>
          <w:w w:val="105"/>
        </w:rPr>
        <w:t>de</w:t>
      </w:r>
      <w:r>
        <w:rPr>
          <w:color w:val="231F20"/>
          <w:spacing w:val="-7"/>
          <w:w w:val="105"/>
        </w:rPr>
        <w:t> </w:t>
      </w:r>
      <w:r>
        <w:rPr>
          <w:color w:val="231F20"/>
          <w:w w:val="105"/>
        </w:rPr>
        <w:t>decisiones</w:t>
      </w:r>
      <w:r>
        <w:rPr>
          <w:color w:val="231F20"/>
          <w:spacing w:val="-7"/>
          <w:w w:val="105"/>
        </w:rPr>
        <w:t> </w:t>
      </w:r>
      <w:r>
        <w:rPr>
          <w:color w:val="231F20"/>
          <w:w w:val="105"/>
        </w:rPr>
        <w:t>de los</w:t>
      </w:r>
      <w:r>
        <w:rPr>
          <w:color w:val="231F20"/>
          <w:spacing w:val="-24"/>
          <w:w w:val="105"/>
        </w:rPr>
        <w:t> </w:t>
      </w:r>
      <w:r>
        <w:rPr>
          <w:color w:val="231F20"/>
          <w:w w:val="105"/>
        </w:rPr>
        <w:t>asuntos</w:t>
      </w:r>
      <w:r>
        <w:rPr>
          <w:color w:val="231F20"/>
          <w:spacing w:val="-24"/>
          <w:w w:val="105"/>
        </w:rPr>
        <w:t> </w:t>
      </w:r>
      <w:r>
        <w:rPr>
          <w:color w:val="231F20"/>
          <w:w w:val="105"/>
        </w:rPr>
        <w:t>públicos,</w:t>
      </w:r>
      <w:r>
        <w:rPr>
          <w:color w:val="231F20"/>
          <w:spacing w:val="-24"/>
          <w:w w:val="105"/>
        </w:rPr>
        <w:t> </w:t>
      </w:r>
      <w:r>
        <w:rPr>
          <w:color w:val="231F20"/>
          <w:w w:val="105"/>
        </w:rPr>
        <w:t>contra</w:t>
      </w:r>
      <w:r>
        <w:rPr>
          <w:color w:val="231F20"/>
          <w:spacing w:val="-24"/>
          <w:w w:val="105"/>
        </w:rPr>
        <w:t> </w:t>
      </w:r>
      <w:r>
        <w:rPr>
          <w:color w:val="231F20"/>
          <w:w w:val="105"/>
        </w:rPr>
        <w:t>cuatro</w:t>
      </w:r>
      <w:r>
        <w:rPr>
          <w:color w:val="231F20"/>
          <w:spacing w:val="-24"/>
          <w:w w:val="105"/>
        </w:rPr>
        <w:t> </w:t>
      </w:r>
      <w:r>
        <w:rPr>
          <w:color w:val="231F20"/>
          <w:w w:val="105"/>
        </w:rPr>
        <w:t>votos</w:t>
      </w:r>
      <w:r>
        <w:rPr>
          <w:color w:val="231F20"/>
          <w:spacing w:val="-24"/>
          <w:w w:val="105"/>
        </w:rPr>
        <w:t> </w:t>
      </w:r>
      <w:r>
        <w:rPr>
          <w:color w:val="231F20"/>
          <w:w w:val="105"/>
        </w:rPr>
        <w:t>juntos</w:t>
      </w:r>
      <w:r>
        <w:rPr>
          <w:color w:val="231F20"/>
          <w:spacing w:val="-24"/>
          <w:w w:val="105"/>
        </w:rPr>
        <w:t> </w:t>
      </w:r>
      <w:r>
        <w:rPr>
          <w:color w:val="231F20"/>
          <w:spacing w:val="-5"/>
          <w:w w:val="105"/>
        </w:rPr>
        <w:t>(33%)</w:t>
      </w:r>
      <w:r>
        <w:rPr>
          <w:color w:val="231F20"/>
          <w:spacing w:val="-24"/>
          <w:w w:val="105"/>
        </w:rPr>
        <w:t> </w:t>
      </w:r>
      <w:r>
        <w:rPr>
          <w:color w:val="231F20"/>
          <w:w w:val="105"/>
        </w:rPr>
        <w:t>del</w:t>
      </w:r>
      <w:r>
        <w:rPr>
          <w:color w:val="231F20"/>
          <w:spacing w:val="-24"/>
          <w:w w:val="105"/>
        </w:rPr>
        <w:t> </w:t>
      </w:r>
      <w:r>
        <w:rPr>
          <w:color w:val="231F20"/>
          <w:w w:val="105"/>
        </w:rPr>
        <w:t>PRD</w:t>
      </w:r>
      <w:r>
        <w:rPr>
          <w:color w:val="231F20"/>
          <w:spacing w:val="-24"/>
          <w:w w:val="105"/>
        </w:rPr>
        <w:t> </w:t>
      </w:r>
      <w:r>
        <w:rPr>
          <w:color w:val="231F20"/>
          <w:w w:val="105"/>
        </w:rPr>
        <w:t>y</w:t>
      </w:r>
      <w:r>
        <w:rPr>
          <w:color w:val="231F20"/>
          <w:spacing w:val="-24"/>
          <w:w w:val="105"/>
        </w:rPr>
        <w:t> </w:t>
      </w:r>
      <w:r>
        <w:rPr>
          <w:color w:val="231F20"/>
          <w:spacing w:val="-4"/>
          <w:w w:val="105"/>
        </w:rPr>
        <w:t>PAN;</w:t>
      </w:r>
      <w:r>
        <w:rPr>
          <w:color w:val="231F20"/>
          <w:spacing w:val="-24"/>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si</w:t>
      </w:r>
      <w:r>
        <w:rPr>
          <w:color w:val="231F20"/>
          <w:spacing w:val="-24"/>
          <w:w w:val="105"/>
        </w:rPr>
        <w:t> </w:t>
      </w:r>
      <w:r>
        <w:rPr>
          <w:color w:val="231F20"/>
          <w:w w:val="105"/>
        </w:rPr>
        <w:t>estos últimos</w:t>
      </w:r>
      <w:r>
        <w:rPr>
          <w:color w:val="231F20"/>
          <w:spacing w:val="-18"/>
          <w:w w:val="105"/>
        </w:rPr>
        <w:t> </w:t>
      </w:r>
      <w:r>
        <w:rPr>
          <w:color w:val="231F20"/>
          <w:w w:val="105"/>
        </w:rPr>
        <w:t>quieren</w:t>
      </w:r>
      <w:r>
        <w:rPr>
          <w:color w:val="231F20"/>
          <w:spacing w:val="-19"/>
          <w:w w:val="105"/>
        </w:rPr>
        <w:t> </w:t>
      </w:r>
      <w:r>
        <w:rPr>
          <w:color w:val="231F20"/>
          <w:w w:val="105"/>
        </w:rPr>
        <w:t>que</w:t>
      </w:r>
      <w:r>
        <w:rPr>
          <w:color w:val="231F20"/>
          <w:spacing w:val="-18"/>
          <w:w w:val="105"/>
        </w:rPr>
        <w:t> </w:t>
      </w:r>
      <w:r>
        <w:rPr>
          <w:color w:val="231F20"/>
          <w:w w:val="105"/>
        </w:rPr>
        <w:t>sean</w:t>
      </w:r>
      <w:r>
        <w:rPr>
          <w:color w:val="231F20"/>
          <w:spacing w:val="-19"/>
          <w:w w:val="105"/>
        </w:rPr>
        <w:t> </w:t>
      </w:r>
      <w:r>
        <w:rPr>
          <w:color w:val="231F20"/>
          <w:w w:val="105"/>
        </w:rPr>
        <w:t>aprobados</w:t>
      </w:r>
      <w:r>
        <w:rPr>
          <w:color w:val="231F20"/>
          <w:spacing w:val="-18"/>
          <w:w w:val="105"/>
        </w:rPr>
        <w:t> </w:t>
      </w:r>
      <w:r>
        <w:rPr>
          <w:color w:val="231F20"/>
          <w:w w:val="105"/>
        </w:rPr>
        <w:t>sus</w:t>
      </w:r>
      <w:r>
        <w:rPr>
          <w:color w:val="231F20"/>
          <w:spacing w:val="-19"/>
          <w:w w:val="105"/>
        </w:rPr>
        <w:t> </w:t>
      </w:r>
      <w:r>
        <w:rPr>
          <w:color w:val="231F20"/>
          <w:w w:val="105"/>
        </w:rPr>
        <w:t>proyectos</w:t>
      </w:r>
      <w:r>
        <w:rPr>
          <w:color w:val="231F20"/>
          <w:spacing w:val="-19"/>
          <w:w w:val="105"/>
        </w:rPr>
        <w:t> </w:t>
      </w:r>
      <w:r>
        <w:rPr>
          <w:color w:val="231F20"/>
          <w:w w:val="105"/>
        </w:rPr>
        <w:t>y</w:t>
      </w:r>
      <w:r>
        <w:rPr>
          <w:color w:val="231F20"/>
          <w:spacing w:val="-18"/>
          <w:w w:val="105"/>
        </w:rPr>
        <w:t> </w:t>
      </w:r>
      <w:r>
        <w:rPr>
          <w:color w:val="231F20"/>
          <w:w w:val="105"/>
        </w:rPr>
        <w:t>propuestas,</w:t>
      </w:r>
      <w:r>
        <w:rPr>
          <w:color w:val="231F20"/>
          <w:spacing w:val="-18"/>
          <w:w w:val="105"/>
        </w:rPr>
        <w:t> </w:t>
      </w:r>
      <w:r>
        <w:rPr>
          <w:color w:val="231F20"/>
          <w:w w:val="105"/>
        </w:rPr>
        <w:t>deben</w:t>
      </w:r>
      <w:r>
        <w:rPr>
          <w:color w:val="231F20"/>
          <w:spacing w:val="-18"/>
          <w:w w:val="105"/>
        </w:rPr>
        <w:t> </w:t>
      </w:r>
      <w:r>
        <w:rPr>
          <w:color w:val="231F20"/>
          <w:w w:val="105"/>
        </w:rPr>
        <w:t>llegar</w:t>
      </w:r>
      <w:r>
        <w:rPr>
          <w:color w:val="231F20"/>
          <w:spacing w:val="-18"/>
          <w:w w:val="105"/>
        </w:rPr>
        <w:t> </w:t>
      </w:r>
      <w:r>
        <w:rPr>
          <w:color w:val="231F20"/>
          <w:w w:val="105"/>
        </w:rPr>
        <w:t>a</w:t>
      </w:r>
      <w:r>
        <w:rPr>
          <w:color w:val="231F20"/>
          <w:spacing w:val="-18"/>
          <w:w w:val="105"/>
        </w:rPr>
        <w:t> </w:t>
      </w:r>
      <w:r>
        <w:rPr>
          <w:color w:val="231F20"/>
          <w:w w:val="105"/>
        </w:rPr>
        <w:t>acuerdos y</w:t>
      </w:r>
      <w:r>
        <w:rPr>
          <w:color w:val="231F20"/>
          <w:spacing w:val="-21"/>
          <w:w w:val="105"/>
        </w:rPr>
        <w:t> </w:t>
      </w:r>
      <w:r>
        <w:rPr>
          <w:color w:val="231F20"/>
          <w:w w:val="105"/>
        </w:rPr>
        <w:t>coaliciones</w:t>
      </w:r>
      <w:r>
        <w:rPr>
          <w:color w:val="231F20"/>
          <w:spacing w:val="-21"/>
          <w:w w:val="105"/>
        </w:rPr>
        <w:t> </w:t>
      </w:r>
      <w:r>
        <w:rPr>
          <w:color w:val="231F20"/>
          <w:w w:val="105"/>
        </w:rPr>
        <w:t>con</w:t>
      </w:r>
      <w:r>
        <w:rPr>
          <w:color w:val="231F20"/>
          <w:spacing w:val="-21"/>
          <w:w w:val="105"/>
        </w:rPr>
        <w:t> </w:t>
      </w:r>
      <w:r>
        <w:rPr>
          <w:color w:val="231F20"/>
          <w:w w:val="105"/>
        </w:rPr>
        <w:t>otros</w:t>
      </w:r>
      <w:r>
        <w:rPr>
          <w:color w:val="231F20"/>
          <w:spacing w:val="-21"/>
          <w:w w:val="105"/>
        </w:rPr>
        <w:t> </w:t>
      </w:r>
      <w:r>
        <w:rPr>
          <w:color w:val="231F20"/>
          <w:w w:val="105"/>
        </w:rPr>
        <w:t>miembros</w:t>
      </w:r>
      <w:r>
        <w:rPr>
          <w:color w:val="231F20"/>
          <w:spacing w:val="-21"/>
          <w:w w:val="105"/>
        </w:rPr>
        <w:t> </w:t>
      </w:r>
      <w:r>
        <w:rPr>
          <w:color w:val="231F20"/>
          <w:w w:val="105"/>
        </w:rPr>
        <w:t>del</w:t>
      </w:r>
      <w:r>
        <w:rPr>
          <w:color w:val="231F20"/>
          <w:spacing w:val="-21"/>
          <w:w w:val="105"/>
        </w:rPr>
        <w:t> </w:t>
      </w:r>
      <w:r>
        <w:rPr>
          <w:color w:val="231F20"/>
          <w:w w:val="105"/>
        </w:rPr>
        <w:t>PRI.</w:t>
      </w:r>
    </w:p>
    <w:p>
      <w:pPr>
        <w:pStyle w:val="BodyText"/>
        <w:spacing w:before="1"/>
        <w:rPr>
          <w:sz w:val="26"/>
        </w:rPr>
      </w:pPr>
    </w:p>
    <w:p>
      <w:pPr>
        <w:pStyle w:val="BodyText"/>
        <w:spacing w:line="285" w:lineRule="auto"/>
        <w:ind w:left="110" w:right="107"/>
        <w:jc w:val="both"/>
      </w:pPr>
      <w:r>
        <w:rPr>
          <w:color w:val="231F20"/>
          <w:w w:val="105"/>
        </w:rPr>
        <w:t>El</w:t>
      </w:r>
      <w:r>
        <w:rPr>
          <w:color w:val="231F20"/>
          <w:spacing w:val="-25"/>
          <w:w w:val="105"/>
        </w:rPr>
        <w:t> </w:t>
      </w:r>
      <w:r>
        <w:rPr>
          <w:color w:val="231F20"/>
          <w:w w:val="105"/>
        </w:rPr>
        <w:t>discurso</w:t>
      </w:r>
      <w:r>
        <w:rPr>
          <w:color w:val="231F20"/>
          <w:spacing w:val="-25"/>
          <w:w w:val="105"/>
        </w:rPr>
        <w:t> </w:t>
      </w:r>
      <w:r>
        <w:rPr>
          <w:color w:val="231F20"/>
          <w:w w:val="105"/>
        </w:rPr>
        <w:t>oficial</w:t>
      </w:r>
      <w:r>
        <w:rPr>
          <w:color w:val="231F20"/>
          <w:spacing w:val="-25"/>
          <w:w w:val="105"/>
        </w:rPr>
        <w:t> </w:t>
      </w:r>
      <w:r>
        <w:rPr>
          <w:color w:val="231F20"/>
          <w:spacing w:val="-3"/>
          <w:w w:val="105"/>
        </w:rPr>
        <w:t>del</w:t>
      </w:r>
      <w:r>
        <w:rPr>
          <w:color w:val="231F20"/>
          <w:spacing w:val="-25"/>
          <w:w w:val="105"/>
        </w:rPr>
        <w:t> </w:t>
      </w:r>
      <w:r>
        <w:rPr>
          <w:color w:val="231F20"/>
          <w:spacing w:val="-2"/>
          <w:w w:val="105"/>
        </w:rPr>
        <w:t>PRI</w:t>
      </w:r>
      <w:r>
        <w:rPr>
          <w:color w:val="231F20"/>
          <w:spacing w:val="-25"/>
          <w:w w:val="105"/>
        </w:rPr>
        <w:t> </w:t>
      </w:r>
      <w:r>
        <w:rPr>
          <w:color w:val="231F20"/>
          <w:w w:val="105"/>
        </w:rPr>
        <w:t>difiere</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spacing w:val="-3"/>
          <w:w w:val="105"/>
        </w:rPr>
        <w:t>experiencias</w:t>
      </w:r>
      <w:r>
        <w:rPr>
          <w:color w:val="231F20"/>
          <w:spacing w:val="-25"/>
          <w:w w:val="105"/>
        </w:rPr>
        <w:t> </w:t>
      </w:r>
      <w:r>
        <w:rPr>
          <w:color w:val="231F20"/>
          <w:w w:val="105"/>
        </w:rPr>
        <w:t>de</w:t>
      </w:r>
      <w:r>
        <w:rPr>
          <w:color w:val="231F20"/>
          <w:spacing w:val="-25"/>
          <w:w w:val="105"/>
        </w:rPr>
        <w:t> </w:t>
      </w:r>
      <w:r>
        <w:rPr>
          <w:color w:val="231F20"/>
          <w:spacing w:val="-3"/>
          <w:w w:val="105"/>
        </w:rPr>
        <w:t>los</w:t>
      </w:r>
      <w:r>
        <w:rPr>
          <w:color w:val="231F20"/>
          <w:spacing w:val="-25"/>
          <w:w w:val="105"/>
        </w:rPr>
        <w:t> </w:t>
      </w:r>
      <w:r>
        <w:rPr>
          <w:color w:val="231F20"/>
          <w:spacing w:val="-4"/>
          <w:w w:val="105"/>
        </w:rPr>
        <w:t>regidores</w:t>
      </w:r>
      <w:r>
        <w:rPr>
          <w:color w:val="231F20"/>
          <w:spacing w:val="-25"/>
          <w:w w:val="105"/>
        </w:rPr>
        <w:t> </w:t>
      </w:r>
      <w:r>
        <w:rPr>
          <w:color w:val="231F20"/>
          <w:w w:val="105"/>
        </w:rPr>
        <w:t>de</w:t>
      </w:r>
      <w:r>
        <w:rPr>
          <w:color w:val="231F20"/>
          <w:spacing w:val="-25"/>
          <w:w w:val="105"/>
        </w:rPr>
        <w:t> </w:t>
      </w:r>
      <w:r>
        <w:rPr>
          <w:color w:val="231F20"/>
          <w:spacing w:val="-4"/>
          <w:w w:val="105"/>
        </w:rPr>
        <w:t>oposición,</w:t>
      </w:r>
      <w:r>
        <w:rPr>
          <w:color w:val="231F20"/>
          <w:spacing w:val="-25"/>
          <w:w w:val="105"/>
        </w:rPr>
        <w:t> </w:t>
      </w:r>
      <w:r>
        <w:rPr>
          <w:color w:val="231F20"/>
          <w:spacing w:val="-4"/>
          <w:w w:val="105"/>
        </w:rPr>
        <w:t>porque </w:t>
      </w:r>
      <w:r>
        <w:rPr>
          <w:color w:val="231F20"/>
          <w:w w:val="105"/>
        </w:rPr>
        <w:t>mientras</w:t>
      </w:r>
      <w:r>
        <w:rPr>
          <w:color w:val="231F20"/>
          <w:spacing w:val="-12"/>
          <w:w w:val="105"/>
        </w:rPr>
        <w:t> </w:t>
      </w:r>
      <w:r>
        <w:rPr>
          <w:color w:val="231F20"/>
          <w:w w:val="105"/>
        </w:rPr>
        <w:t>el</w:t>
      </w:r>
      <w:r>
        <w:rPr>
          <w:color w:val="231F20"/>
          <w:spacing w:val="-12"/>
          <w:w w:val="105"/>
        </w:rPr>
        <w:t> </w:t>
      </w:r>
      <w:r>
        <w:rPr>
          <w:color w:val="231F20"/>
          <w:w w:val="105"/>
        </w:rPr>
        <w:t>actual</w:t>
      </w:r>
      <w:r>
        <w:rPr>
          <w:color w:val="231F20"/>
          <w:spacing w:val="-12"/>
          <w:w w:val="105"/>
        </w:rPr>
        <w:t> </w:t>
      </w:r>
      <w:r>
        <w:rPr>
          <w:color w:val="231F20"/>
          <w:spacing w:val="-4"/>
          <w:w w:val="105"/>
        </w:rPr>
        <w:t>presidente</w:t>
      </w:r>
      <w:r>
        <w:rPr>
          <w:color w:val="231F20"/>
          <w:spacing w:val="-12"/>
          <w:w w:val="105"/>
        </w:rPr>
        <w:t> </w:t>
      </w:r>
      <w:r>
        <w:rPr>
          <w:color w:val="231F20"/>
          <w:w w:val="105"/>
        </w:rPr>
        <w:t>municipal</w:t>
      </w:r>
      <w:r>
        <w:rPr>
          <w:color w:val="231F20"/>
          <w:spacing w:val="-12"/>
          <w:w w:val="105"/>
        </w:rPr>
        <w:t> </w:t>
      </w:r>
      <w:r>
        <w:rPr>
          <w:color w:val="231F20"/>
          <w:w w:val="105"/>
        </w:rPr>
        <w:t>Oscar</w:t>
      </w:r>
      <w:r>
        <w:rPr>
          <w:color w:val="231F20"/>
          <w:spacing w:val="-12"/>
          <w:w w:val="105"/>
        </w:rPr>
        <w:t> </w:t>
      </w:r>
      <w:r>
        <w:rPr>
          <w:color w:val="231F20"/>
          <w:w w:val="105"/>
        </w:rPr>
        <w:t>Sandoval</w:t>
      </w:r>
      <w:r>
        <w:rPr>
          <w:color w:val="231F20"/>
          <w:spacing w:val="-12"/>
          <w:w w:val="105"/>
        </w:rPr>
        <w:t> </w:t>
      </w:r>
      <w:r>
        <w:rPr>
          <w:color w:val="231F20"/>
          <w:spacing w:val="-6"/>
          <w:w w:val="105"/>
        </w:rPr>
        <w:t>Tovar</w:t>
      </w:r>
      <w:r>
        <w:rPr>
          <w:color w:val="231F20"/>
          <w:spacing w:val="-12"/>
          <w:w w:val="105"/>
        </w:rPr>
        <w:t> </w:t>
      </w:r>
      <w:r>
        <w:rPr>
          <w:color w:val="231F20"/>
          <w:w w:val="105"/>
        </w:rPr>
        <w:t>Arizmendi</w:t>
      </w:r>
      <w:r>
        <w:rPr>
          <w:color w:val="231F20"/>
          <w:spacing w:val="-12"/>
          <w:w w:val="105"/>
        </w:rPr>
        <w:t> </w:t>
      </w:r>
      <w:r>
        <w:rPr>
          <w:color w:val="231F20"/>
          <w:w w:val="105"/>
        </w:rPr>
        <w:t>afirma</w:t>
      </w:r>
      <w:r>
        <w:rPr>
          <w:color w:val="231F20"/>
          <w:spacing w:val="-12"/>
          <w:w w:val="105"/>
        </w:rPr>
        <w:t> </w:t>
      </w:r>
      <w:r>
        <w:rPr>
          <w:color w:val="231F20"/>
          <w:spacing w:val="-3"/>
          <w:w w:val="105"/>
        </w:rPr>
        <w:t>que</w:t>
      </w:r>
      <w:r>
        <w:rPr>
          <w:color w:val="231F20"/>
          <w:spacing w:val="-12"/>
          <w:w w:val="105"/>
        </w:rPr>
        <w:t> </w:t>
      </w:r>
      <w:r>
        <w:rPr>
          <w:color w:val="231F20"/>
          <w:w w:val="105"/>
        </w:rPr>
        <w:t>en el</w:t>
      </w:r>
      <w:r>
        <w:rPr>
          <w:color w:val="231F20"/>
          <w:spacing w:val="-4"/>
          <w:w w:val="105"/>
        </w:rPr>
        <w:t> </w:t>
      </w:r>
      <w:r>
        <w:rPr>
          <w:color w:val="231F20"/>
          <w:spacing w:val="-3"/>
          <w:w w:val="105"/>
        </w:rPr>
        <w:t>cabildo</w:t>
      </w:r>
      <w:r>
        <w:rPr>
          <w:color w:val="231F20"/>
          <w:spacing w:val="-4"/>
          <w:w w:val="105"/>
        </w:rPr>
        <w:t> </w:t>
      </w:r>
      <w:r>
        <w:rPr>
          <w:color w:val="231F20"/>
          <w:w w:val="105"/>
        </w:rPr>
        <w:t>se</w:t>
      </w:r>
      <w:r>
        <w:rPr>
          <w:color w:val="231F20"/>
          <w:spacing w:val="-4"/>
          <w:w w:val="105"/>
        </w:rPr>
        <w:t> </w:t>
      </w:r>
      <w:r>
        <w:rPr>
          <w:color w:val="231F20"/>
          <w:w w:val="105"/>
        </w:rPr>
        <w:t>ha</w:t>
      </w:r>
      <w:r>
        <w:rPr>
          <w:color w:val="231F20"/>
          <w:spacing w:val="-4"/>
          <w:w w:val="105"/>
        </w:rPr>
        <w:t> promovido </w:t>
      </w:r>
      <w:r>
        <w:rPr>
          <w:color w:val="231F20"/>
          <w:w w:val="105"/>
        </w:rPr>
        <w:t>el</w:t>
      </w:r>
      <w:r>
        <w:rPr>
          <w:color w:val="231F20"/>
          <w:spacing w:val="-4"/>
          <w:w w:val="105"/>
        </w:rPr>
        <w:t> </w:t>
      </w:r>
      <w:r>
        <w:rPr>
          <w:color w:val="231F20"/>
          <w:w w:val="105"/>
        </w:rPr>
        <w:t>consenso</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spacing w:val="-3"/>
          <w:w w:val="105"/>
        </w:rPr>
        <w:t>inclusión</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spacing w:val="-3"/>
          <w:w w:val="105"/>
        </w:rPr>
        <w:t>propuestas</w:t>
      </w:r>
      <w:r>
        <w:rPr>
          <w:color w:val="231F20"/>
          <w:spacing w:val="-4"/>
          <w:w w:val="105"/>
        </w:rPr>
        <w:t> </w:t>
      </w:r>
      <w:r>
        <w:rPr>
          <w:color w:val="231F20"/>
          <w:spacing w:val="-3"/>
          <w:w w:val="105"/>
        </w:rPr>
        <w:t>del</w:t>
      </w:r>
      <w:r>
        <w:rPr>
          <w:color w:val="231F20"/>
          <w:spacing w:val="-4"/>
          <w:w w:val="105"/>
        </w:rPr>
        <w:t> </w:t>
      </w:r>
      <w:r>
        <w:rPr>
          <w:color w:val="231F20"/>
          <w:spacing w:val="-6"/>
          <w:w w:val="105"/>
        </w:rPr>
        <w:t>PAN</w:t>
      </w:r>
      <w:r>
        <w:rPr>
          <w:color w:val="231F20"/>
          <w:spacing w:val="-4"/>
          <w:w w:val="105"/>
        </w:rPr>
        <w:t> </w:t>
      </w:r>
      <w:r>
        <w:rPr>
          <w:color w:val="231F20"/>
          <w:w w:val="105"/>
        </w:rPr>
        <w:t>y</w:t>
      </w:r>
      <w:r>
        <w:rPr>
          <w:color w:val="231F20"/>
          <w:spacing w:val="-4"/>
          <w:w w:val="105"/>
        </w:rPr>
        <w:t> </w:t>
      </w:r>
      <w:r>
        <w:rPr>
          <w:color w:val="231F20"/>
          <w:w w:val="105"/>
        </w:rPr>
        <w:t>PRD </w:t>
      </w:r>
      <w:r>
        <w:rPr>
          <w:color w:val="231F20"/>
          <w:spacing w:val="-4"/>
          <w:w w:val="105"/>
        </w:rPr>
        <w:t>(2008),</w:t>
      </w:r>
      <w:r>
        <w:rPr>
          <w:color w:val="231F20"/>
          <w:spacing w:val="-9"/>
          <w:w w:val="105"/>
        </w:rPr>
        <w:t> </w:t>
      </w:r>
      <w:r>
        <w:rPr>
          <w:color w:val="231F20"/>
          <w:spacing w:val="-3"/>
          <w:w w:val="105"/>
        </w:rPr>
        <w:t>Gloria</w:t>
      </w:r>
      <w:r>
        <w:rPr>
          <w:color w:val="231F20"/>
          <w:spacing w:val="-9"/>
          <w:w w:val="105"/>
        </w:rPr>
        <w:t> </w:t>
      </w:r>
      <w:r>
        <w:rPr>
          <w:color w:val="231F20"/>
          <w:w w:val="105"/>
        </w:rPr>
        <w:t>Rodríguez</w:t>
      </w:r>
      <w:r>
        <w:rPr>
          <w:color w:val="231F20"/>
          <w:spacing w:val="-9"/>
          <w:w w:val="105"/>
        </w:rPr>
        <w:t> </w:t>
      </w:r>
      <w:r>
        <w:rPr>
          <w:color w:val="231F20"/>
          <w:spacing w:val="-3"/>
          <w:w w:val="105"/>
        </w:rPr>
        <w:t>Gómez</w:t>
      </w:r>
      <w:r>
        <w:rPr>
          <w:color w:val="231F20"/>
          <w:spacing w:val="-9"/>
          <w:w w:val="105"/>
        </w:rPr>
        <w:t> </w:t>
      </w:r>
      <w:r>
        <w:rPr>
          <w:color w:val="231F20"/>
          <w:spacing w:val="-5"/>
          <w:w w:val="105"/>
        </w:rPr>
        <w:t>(novena</w:t>
      </w:r>
      <w:r>
        <w:rPr>
          <w:color w:val="231F20"/>
          <w:spacing w:val="-9"/>
          <w:w w:val="105"/>
        </w:rPr>
        <w:t> </w:t>
      </w:r>
      <w:r>
        <w:rPr>
          <w:color w:val="231F20"/>
          <w:spacing w:val="-3"/>
          <w:w w:val="105"/>
        </w:rPr>
        <w:t>regidora</w:t>
      </w:r>
      <w:r>
        <w:rPr>
          <w:color w:val="231F20"/>
          <w:spacing w:val="-9"/>
          <w:w w:val="105"/>
        </w:rPr>
        <w:t> </w:t>
      </w:r>
      <w:r>
        <w:rPr>
          <w:color w:val="231F20"/>
          <w:spacing w:val="-3"/>
          <w:w w:val="105"/>
        </w:rPr>
        <w:t>por</w:t>
      </w:r>
      <w:r>
        <w:rPr>
          <w:color w:val="231F20"/>
          <w:spacing w:val="-9"/>
          <w:w w:val="105"/>
        </w:rPr>
        <w:t> </w:t>
      </w:r>
      <w:r>
        <w:rPr>
          <w:color w:val="231F20"/>
          <w:w w:val="105"/>
        </w:rPr>
        <w:t>el</w:t>
      </w:r>
      <w:r>
        <w:rPr>
          <w:color w:val="231F20"/>
          <w:spacing w:val="-9"/>
          <w:w w:val="105"/>
        </w:rPr>
        <w:t> </w:t>
      </w:r>
      <w:r>
        <w:rPr>
          <w:color w:val="231F20"/>
          <w:spacing w:val="-5"/>
          <w:w w:val="105"/>
        </w:rPr>
        <w:t>PAN)</w:t>
      </w:r>
      <w:r>
        <w:rPr>
          <w:color w:val="231F20"/>
          <w:spacing w:val="-9"/>
          <w:w w:val="105"/>
        </w:rPr>
        <w:t> </w:t>
      </w:r>
      <w:r>
        <w:rPr>
          <w:color w:val="231F20"/>
          <w:w w:val="105"/>
        </w:rPr>
        <w:t>afirma</w:t>
      </w:r>
      <w:r>
        <w:rPr>
          <w:color w:val="231F20"/>
          <w:spacing w:val="-9"/>
          <w:w w:val="105"/>
        </w:rPr>
        <w:t> </w:t>
      </w:r>
      <w:r>
        <w:rPr>
          <w:color w:val="231F20"/>
          <w:spacing w:val="-3"/>
          <w:w w:val="105"/>
        </w:rPr>
        <w:t>que</w:t>
      </w:r>
      <w:r>
        <w:rPr>
          <w:color w:val="231F20"/>
          <w:spacing w:val="-9"/>
          <w:w w:val="105"/>
        </w:rPr>
        <w:t> </w:t>
      </w:r>
      <w:r>
        <w:rPr>
          <w:color w:val="231F20"/>
          <w:w w:val="105"/>
        </w:rPr>
        <w:t>es</w:t>
      </w:r>
      <w:r>
        <w:rPr>
          <w:color w:val="231F20"/>
          <w:spacing w:val="-9"/>
          <w:w w:val="105"/>
        </w:rPr>
        <w:t> </w:t>
      </w:r>
      <w:r>
        <w:rPr>
          <w:color w:val="231F20"/>
          <w:w w:val="105"/>
        </w:rPr>
        <w:t>difícil</w:t>
      </w:r>
      <w:r>
        <w:rPr>
          <w:color w:val="231F20"/>
          <w:spacing w:val="-9"/>
          <w:w w:val="105"/>
        </w:rPr>
        <w:t> </w:t>
      </w:r>
      <w:r>
        <w:rPr>
          <w:color w:val="231F20"/>
          <w:spacing w:val="-3"/>
          <w:w w:val="105"/>
        </w:rPr>
        <w:t>que proyectos</w:t>
      </w:r>
      <w:r>
        <w:rPr>
          <w:color w:val="231F20"/>
          <w:spacing w:val="-9"/>
          <w:w w:val="105"/>
        </w:rPr>
        <w:t> </w:t>
      </w:r>
      <w:r>
        <w:rPr>
          <w:color w:val="231F20"/>
          <w:spacing w:val="-4"/>
          <w:w w:val="105"/>
        </w:rPr>
        <w:t>elaborados</w:t>
      </w:r>
      <w:r>
        <w:rPr>
          <w:color w:val="231F20"/>
          <w:spacing w:val="-9"/>
          <w:w w:val="105"/>
        </w:rPr>
        <w:t> </w:t>
      </w:r>
      <w:r>
        <w:rPr>
          <w:color w:val="231F20"/>
          <w:spacing w:val="-3"/>
          <w:w w:val="105"/>
        </w:rPr>
        <w:t>por</w:t>
      </w:r>
      <w:r>
        <w:rPr>
          <w:color w:val="231F20"/>
          <w:spacing w:val="-9"/>
          <w:w w:val="105"/>
        </w:rPr>
        <w:t> </w:t>
      </w:r>
      <w:r>
        <w:rPr>
          <w:color w:val="231F20"/>
          <w:w w:val="105"/>
        </w:rPr>
        <w:t>ellos</w:t>
      </w:r>
      <w:r>
        <w:rPr>
          <w:color w:val="231F20"/>
          <w:spacing w:val="-9"/>
          <w:w w:val="105"/>
        </w:rPr>
        <w:t> </w:t>
      </w:r>
      <w:r>
        <w:rPr>
          <w:color w:val="231F20"/>
          <w:spacing w:val="-4"/>
          <w:w w:val="105"/>
        </w:rPr>
        <w:t>como</w:t>
      </w:r>
      <w:r>
        <w:rPr>
          <w:color w:val="231F20"/>
          <w:spacing w:val="-9"/>
          <w:w w:val="105"/>
        </w:rPr>
        <w:t> </w:t>
      </w:r>
      <w:r>
        <w:rPr>
          <w:color w:val="231F20"/>
          <w:w w:val="105"/>
        </w:rPr>
        <w:t>partidos</w:t>
      </w:r>
      <w:r>
        <w:rPr>
          <w:color w:val="231F20"/>
          <w:spacing w:val="-9"/>
          <w:w w:val="105"/>
        </w:rPr>
        <w:t> </w:t>
      </w:r>
      <w:r>
        <w:rPr>
          <w:color w:val="231F20"/>
          <w:w w:val="105"/>
        </w:rPr>
        <w:t>de</w:t>
      </w:r>
      <w:r>
        <w:rPr>
          <w:color w:val="231F20"/>
          <w:spacing w:val="-9"/>
          <w:w w:val="105"/>
        </w:rPr>
        <w:t> </w:t>
      </w:r>
      <w:r>
        <w:rPr>
          <w:color w:val="231F20"/>
          <w:spacing w:val="-4"/>
          <w:w w:val="105"/>
        </w:rPr>
        <w:t>oposición</w:t>
      </w:r>
      <w:r>
        <w:rPr>
          <w:color w:val="231F20"/>
          <w:spacing w:val="-9"/>
          <w:w w:val="105"/>
        </w:rPr>
        <w:t> </w:t>
      </w:r>
      <w:r>
        <w:rPr>
          <w:color w:val="231F20"/>
          <w:w w:val="105"/>
        </w:rPr>
        <w:t>sean</w:t>
      </w:r>
      <w:r>
        <w:rPr>
          <w:color w:val="231F20"/>
          <w:spacing w:val="-9"/>
          <w:w w:val="105"/>
        </w:rPr>
        <w:t> </w:t>
      </w:r>
      <w:r>
        <w:rPr>
          <w:color w:val="231F20"/>
          <w:spacing w:val="-4"/>
          <w:w w:val="105"/>
        </w:rPr>
        <w:t>aprobados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cabildo, </w:t>
      </w:r>
      <w:r>
        <w:rPr>
          <w:color w:val="231F20"/>
          <w:w w:val="105"/>
        </w:rPr>
        <w:t>más</w:t>
      </w:r>
      <w:r>
        <w:rPr>
          <w:color w:val="231F20"/>
          <w:spacing w:val="-16"/>
          <w:w w:val="105"/>
        </w:rPr>
        <w:t> </w:t>
      </w:r>
      <w:r>
        <w:rPr>
          <w:color w:val="231F20"/>
          <w:w w:val="105"/>
        </w:rPr>
        <w:t>cuando</w:t>
      </w:r>
      <w:r>
        <w:rPr>
          <w:color w:val="231F20"/>
          <w:spacing w:val="-16"/>
          <w:w w:val="105"/>
        </w:rPr>
        <w:t> </w:t>
      </w:r>
      <w:r>
        <w:rPr>
          <w:color w:val="231F20"/>
          <w:spacing w:val="-4"/>
          <w:w w:val="105"/>
        </w:rPr>
        <w:t>ponen</w:t>
      </w:r>
      <w:r>
        <w:rPr>
          <w:color w:val="231F20"/>
          <w:spacing w:val="-16"/>
          <w:w w:val="105"/>
        </w:rPr>
        <w:t> </w:t>
      </w:r>
      <w:r>
        <w:rPr>
          <w:color w:val="231F20"/>
          <w:w w:val="105"/>
        </w:rPr>
        <w:t>en</w:t>
      </w:r>
      <w:r>
        <w:rPr>
          <w:color w:val="231F20"/>
          <w:spacing w:val="-16"/>
          <w:w w:val="105"/>
        </w:rPr>
        <w:t> </w:t>
      </w:r>
      <w:r>
        <w:rPr>
          <w:color w:val="231F20"/>
          <w:spacing w:val="-3"/>
          <w:w w:val="105"/>
        </w:rPr>
        <w:t>riesgo</w:t>
      </w:r>
      <w:r>
        <w:rPr>
          <w:color w:val="231F20"/>
          <w:spacing w:val="-16"/>
          <w:w w:val="105"/>
        </w:rPr>
        <w:t> </w:t>
      </w:r>
      <w:r>
        <w:rPr>
          <w:color w:val="231F20"/>
          <w:spacing w:val="-3"/>
          <w:w w:val="105"/>
        </w:rPr>
        <w:t>los</w:t>
      </w:r>
      <w:r>
        <w:rPr>
          <w:color w:val="231F20"/>
          <w:spacing w:val="-16"/>
          <w:w w:val="105"/>
        </w:rPr>
        <w:t> </w:t>
      </w:r>
      <w:r>
        <w:rPr>
          <w:color w:val="231F20"/>
          <w:spacing w:val="-3"/>
          <w:w w:val="105"/>
        </w:rPr>
        <w:t>intereses</w:t>
      </w:r>
      <w:r>
        <w:rPr>
          <w:color w:val="231F20"/>
          <w:spacing w:val="-16"/>
          <w:w w:val="105"/>
        </w:rPr>
        <w:t> </w:t>
      </w:r>
      <w:r>
        <w:rPr>
          <w:color w:val="231F20"/>
          <w:spacing w:val="-3"/>
          <w:w w:val="105"/>
        </w:rPr>
        <w:t>del</w:t>
      </w:r>
      <w:r>
        <w:rPr>
          <w:color w:val="231F20"/>
          <w:spacing w:val="-16"/>
          <w:w w:val="105"/>
        </w:rPr>
        <w:t> </w:t>
      </w:r>
      <w:r>
        <w:rPr>
          <w:color w:val="231F20"/>
          <w:w w:val="105"/>
        </w:rPr>
        <w:t>principal</w:t>
      </w:r>
      <w:r>
        <w:rPr>
          <w:color w:val="231F20"/>
          <w:spacing w:val="-16"/>
          <w:w w:val="105"/>
        </w:rPr>
        <w:t> </w:t>
      </w:r>
      <w:r>
        <w:rPr>
          <w:color w:val="231F20"/>
          <w:w w:val="105"/>
        </w:rPr>
        <w:t>partido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4"/>
          <w:w w:val="105"/>
        </w:rPr>
        <w:t>gobierno</w:t>
      </w:r>
      <w:r>
        <w:rPr>
          <w:color w:val="231F20"/>
          <w:spacing w:val="-16"/>
          <w:w w:val="105"/>
        </w:rPr>
        <w:t> </w:t>
      </w:r>
      <w:r>
        <w:rPr>
          <w:color w:val="231F20"/>
          <w:spacing w:val="-4"/>
          <w:w w:val="105"/>
        </w:rPr>
        <w:t>(2008).</w:t>
      </w:r>
    </w:p>
    <w:p>
      <w:pPr>
        <w:pStyle w:val="BodyText"/>
        <w:spacing w:before="1"/>
        <w:rPr>
          <w:sz w:val="26"/>
        </w:rPr>
      </w:pPr>
    </w:p>
    <w:p>
      <w:pPr>
        <w:pStyle w:val="BodyText"/>
        <w:spacing w:line="285" w:lineRule="auto"/>
        <w:ind w:left="110" w:right="107"/>
        <w:jc w:val="both"/>
      </w:pPr>
      <w:r>
        <w:rPr>
          <w:color w:val="231F20"/>
          <w:w w:val="105"/>
        </w:rPr>
        <w:t>Esto no significa que los partidos de oposición se encuentren </w:t>
      </w:r>
      <w:r>
        <w:rPr>
          <w:color w:val="231F20"/>
          <w:spacing w:val="-3"/>
          <w:w w:val="105"/>
        </w:rPr>
        <w:t>“atados </w:t>
      </w:r>
      <w:r>
        <w:rPr>
          <w:color w:val="231F20"/>
          <w:w w:val="105"/>
        </w:rPr>
        <w:t>de manos” fren- te </w:t>
      </w:r>
      <w:r>
        <w:rPr>
          <w:color w:val="231F20"/>
          <w:spacing w:val="2"/>
          <w:w w:val="105"/>
        </w:rPr>
        <w:t>al </w:t>
      </w:r>
      <w:r>
        <w:rPr>
          <w:color w:val="231F20"/>
          <w:w w:val="105"/>
        </w:rPr>
        <w:t>dominio en el cabildo, sino que depende de la capacidad negociadora, y a veces coercitiva,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regidores</w:t>
      </w:r>
      <w:r>
        <w:rPr>
          <w:color w:val="231F20"/>
          <w:spacing w:val="-12"/>
          <w:w w:val="105"/>
        </w:rPr>
        <w:t> </w:t>
      </w:r>
      <w:r>
        <w:rPr>
          <w:color w:val="231F20"/>
          <w:w w:val="105"/>
        </w:rPr>
        <w:t>por</w:t>
      </w:r>
      <w:r>
        <w:rPr>
          <w:color w:val="231F20"/>
          <w:spacing w:val="-12"/>
          <w:w w:val="105"/>
        </w:rPr>
        <w:t> </w:t>
      </w:r>
      <w:r>
        <w:rPr>
          <w:color w:val="231F20"/>
          <w:w w:val="105"/>
        </w:rPr>
        <w:t>obtener</w:t>
      </w:r>
      <w:r>
        <w:rPr>
          <w:color w:val="231F20"/>
          <w:spacing w:val="-12"/>
          <w:w w:val="105"/>
        </w:rPr>
        <w:t> </w:t>
      </w:r>
      <w:r>
        <w:rPr>
          <w:color w:val="231F20"/>
          <w:w w:val="105"/>
        </w:rPr>
        <w:t>el</w:t>
      </w:r>
      <w:r>
        <w:rPr>
          <w:color w:val="231F20"/>
          <w:spacing w:val="-12"/>
          <w:w w:val="105"/>
        </w:rPr>
        <w:t> </w:t>
      </w:r>
      <w:r>
        <w:rPr>
          <w:color w:val="231F20"/>
          <w:w w:val="105"/>
        </w:rPr>
        <w:t>apoyo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spacing w:val="-3"/>
          <w:w w:val="105"/>
        </w:rPr>
        <w:t>Jorge</w:t>
      </w:r>
      <w:r>
        <w:rPr>
          <w:color w:val="231F20"/>
          <w:spacing w:val="-12"/>
          <w:w w:val="105"/>
        </w:rPr>
        <w:t> </w:t>
      </w:r>
      <w:r>
        <w:rPr>
          <w:color w:val="231F20"/>
          <w:w w:val="105"/>
        </w:rPr>
        <w:t>Pedraza</w:t>
      </w:r>
      <w:r>
        <w:rPr>
          <w:color w:val="231F20"/>
          <w:spacing w:val="-12"/>
          <w:w w:val="105"/>
        </w:rPr>
        <w:t> </w:t>
      </w:r>
      <w:r>
        <w:rPr>
          <w:color w:val="231F20"/>
          <w:w w:val="105"/>
        </w:rPr>
        <w:t>Lagunas, regidor</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spacing w:val="-3"/>
          <w:w w:val="105"/>
        </w:rPr>
        <w:t>PRD,</w:t>
      </w:r>
      <w:r>
        <w:rPr>
          <w:color w:val="231F20"/>
          <w:spacing w:val="-6"/>
          <w:w w:val="105"/>
        </w:rPr>
        <w:t> </w:t>
      </w:r>
      <w:r>
        <w:rPr>
          <w:color w:val="231F20"/>
          <w:spacing w:val="2"/>
          <w:w w:val="105"/>
        </w:rPr>
        <w:t>afirma</w:t>
      </w:r>
      <w:r>
        <w:rPr>
          <w:color w:val="231F20"/>
          <w:spacing w:val="-6"/>
          <w:w w:val="105"/>
        </w:rPr>
        <w:t> </w:t>
      </w:r>
      <w:r>
        <w:rPr>
          <w:color w:val="231F20"/>
          <w:w w:val="105"/>
        </w:rPr>
        <w:t>que</w:t>
      </w:r>
      <w:r>
        <w:rPr>
          <w:color w:val="231F20"/>
          <w:spacing w:val="-6"/>
          <w:w w:val="105"/>
        </w:rPr>
        <w:t> </w:t>
      </w:r>
      <w:r>
        <w:rPr>
          <w:color w:val="231F20"/>
          <w:w w:val="105"/>
        </w:rPr>
        <w:t>como</w:t>
      </w:r>
      <w:r>
        <w:rPr>
          <w:color w:val="231F20"/>
          <w:spacing w:val="-6"/>
          <w:w w:val="105"/>
        </w:rPr>
        <w:t> </w:t>
      </w:r>
      <w:r>
        <w:rPr>
          <w:color w:val="231F20"/>
          <w:w w:val="105"/>
        </w:rPr>
        <w:t>partido</w:t>
      </w:r>
      <w:r>
        <w:rPr>
          <w:color w:val="231F20"/>
          <w:spacing w:val="-6"/>
          <w:w w:val="105"/>
        </w:rPr>
        <w:t> </w:t>
      </w:r>
      <w:r>
        <w:rPr>
          <w:color w:val="231F20"/>
          <w:w w:val="105"/>
        </w:rPr>
        <w:t>de</w:t>
      </w:r>
      <w:r>
        <w:rPr>
          <w:color w:val="231F20"/>
          <w:spacing w:val="-6"/>
          <w:w w:val="105"/>
        </w:rPr>
        <w:t> </w:t>
      </w:r>
      <w:r>
        <w:rPr>
          <w:color w:val="231F20"/>
          <w:w w:val="105"/>
        </w:rPr>
        <w:t>oposición</w:t>
      </w:r>
      <w:r>
        <w:rPr>
          <w:color w:val="231F20"/>
          <w:spacing w:val="-6"/>
          <w:w w:val="105"/>
        </w:rPr>
        <w:t> </w:t>
      </w:r>
      <w:r>
        <w:rPr>
          <w:color w:val="231F20"/>
          <w:w w:val="105"/>
        </w:rPr>
        <w:t>ha</w:t>
      </w:r>
      <w:r>
        <w:rPr>
          <w:color w:val="231F20"/>
          <w:spacing w:val="-6"/>
          <w:w w:val="105"/>
        </w:rPr>
        <w:t> </w:t>
      </w:r>
      <w:r>
        <w:rPr>
          <w:color w:val="231F20"/>
          <w:w w:val="105"/>
        </w:rPr>
        <w:t>presionado</w:t>
      </w:r>
      <w:r>
        <w:rPr>
          <w:color w:val="231F20"/>
          <w:spacing w:val="-6"/>
          <w:w w:val="105"/>
        </w:rPr>
        <w:t> </w:t>
      </w:r>
      <w:r>
        <w:rPr>
          <w:color w:val="231F20"/>
          <w:spacing w:val="2"/>
          <w:w w:val="105"/>
        </w:rPr>
        <w:t>al</w:t>
      </w:r>
      <w:r>
        <w:rPr>
          <w:color w:val="231F20"/>
          <w:spacing w:val="-6"/>
          <w:w w:val="105"/>
        </w:rPr>
        <w:t> </w:t>
      </w:r>
      <w:r>
        <w:rPr>
          <w:color w:val="231F20"/>
          <w:w w:val="105"/>
        </w:rPr>
        <w:t>presidente municipal</w:t>
      </w:r>
      <w:r>
        <w:rPr>
          <w:color w:val="231F20"/>
          <w:spacing w:val="-11"/>
          <w:w w:val="105"/>
        </w:rPr>
        <w:t> </w:t>
      </w:r>
      <w:r>
        <w:rPr>
          <w:color w:val="231F20"/>
          <w:w w:val="105"/>
        </w:rPr>
        <w:t>y</w:t>
      </w:r>
      <w:r>
        <w:rPr>
          <w:color w:val="231F20"/>
          <w:spacing w:val="-11"/>
          <w:w w:val="105"/>
        </w:rPr>
        <w:t> </w:t>
      </w:r>
      <w:r>
        <w:rPr>
          <w:color w:val="231F20"/>
          <w:w w:val="105"/>
        </w:rPr>
        <w:t>regidores</w:t>
      </w:r>
      <w:r>
        <w:rPr>
          <w:color w:val="231F20"/>
          <w:spacing w:val="-11"/>
          <w:w w:val="105"/>
        </w:rPr>
        <w:t> </w:t>
      </w:r>
      <w:r>
        <w:rPr>
          <w:color w:val="231F20"/>
          <w:w w:val="105"/>
        </w:rPr>
        <w:t>priístas</w:t>
      </w:r>
      <w:r>
        <w:rPr>
          <w:color w:val="231F20"/>
          <w:spacing w:val="-11"/>
          <w:w w:val="105"/>
        </w:rPr>
        <w:t> </w:t>
      </w:r>
      <w:r>
        <w:rPr>
          <w:color w:val="231F20"/>
          <w:w w:val="105"/>
        </w:rPr>
        <w:t>a</w:t>
      </w:r>
      <w:r>
        <w:rPr>
          <w:color w:val="231F20"/>
          <w:spacing w:val="-11"/>
          <w:w w:val="105"/>
        </w:rPr>
        <w:t> </w:t>
      </w:r>
      <w:r>
        <w:rPr>
          <w:color w:val="231F20"/>
          <w:w w:val="105"/>
        </w:rPr>
        <w:t>aprobar</w:t>
      </w:r>
      <w:r>
        <w:rPr>
          <w:color w:val="231F20"/>
          <w:spacing w:val="-11"/>
          <w:w w:val="105"/>
        </w:rPr>
        <w:t> </w:t>
      </w:r>
      <w:r>
        <w:rPr>
          <w:color w:val="231F20"/>
          <w:w w:val="105"/>
        </w:rPr>
        <w:t>ciertos</w:t>
      </w:r>
      <w:r>
        <w:rPr>
          <w:color w:val="231F20"/>
          <w:spacing w:val="-11"/>
          <w:w w:val="105"/>
        </w:rPr>
        <w:t> </w:t>
      </w:r>
      <w:r>
        <w:rPr>
          <w:color w:val="231F20"/>
          <w:w w:val="105"/>
        </w:rPr>
        <w:t>proyectos,</w:t>
      </w:r>
      <w:r>
        <w:rPr>
          <w:color w:val="231F20"/>
          <w:spacing w:val="-11"/>
          <w:w w:val="105"/>
        </w:rPr>
        <w:t> </w:t>
      </w:r>
      <w:r>
        <w:rPr>
          <w:color w:val="231F20"/>
          <w:w w:val="105"/>
        </w:rPr>
        <w:t>mediante</w:t>
      </w:r>
      <w:r>
        <w:rPr>
          <w:color w:val="231F20"/>
          <w:spacing w:val="-11"/>
          <w:w w:val="105"/>
        </w:rPr>
        <w:t> </w:t>
      </w:r>
      <w:r>
        <w:rPr>
          <w:color w:val="231F20"/>
          <w:w w:val="105"/>
        </w:rPr>
        <w:t>la</w:t>
      </w:r>
      <w:r>
        <w:rPr>
          <w:color w:val="231F20"/>
          <w:spacing w:val="-11"/>
          <w:w w:val="105"/>
        </w:rPr>
        <w:t> </w:t>
      </w:r>
      <w:r>
        <w:rPr>
          <w:color w:val="231F20"/>
          <w:w w:val="105"/>
        </w:rPr>
        <w:t>movilización</w:t>
      </w:r>
      <w:r>
        <w:rPr>
          <w:color w:val="231F20"/>
          <w:spacing w:val="-11"/>
          <w:w w:val="105"/>
        </w:rPr>
        <w:t> </w:t>
      </w:r>
      <w:r>
        <w:rPr>
          <w:color w:val="231F20"/>
          <w:w w:val="105"/>
        </w:rPr>
        <w:t>de ciudadanos</w:t>
      </w:r>
      <w:r>
        <w:rPr>
          <w:color w:val="231F20"/>
          <w:spacing w:val="-27"/>
          <w:w w:val="105"/>
        </w:rPr>
        <w:t> </w:t>
      </w:r>
      <w:r>
        <w:rPr>
          <w:color w:val="231F20"/>
          <w:w w:val="105"/>
        </w:rPr>
        <w:t>y</w:t>
      </w:r>
      <w:r>
        <w:rPr>
          <w:color w:val="231F20"/>
          <w:spacing w:val="-27"/>
          <w:w w:val="105"/>
        </w:rPr>
        <w:t> </w:t>
      </w:r>
      <w:r>
        <w:rPr>
          <w:color w:val="231F20"/>
          <w:w w:val="105"/>
        </w:rPr>
        <w:t>manifestaciones</w:t>
      </w:r>
      <w:r>
        <w:rPr>
          <w:color w:val="231F20"/>
          <w:spacing w:val="-27"/>
          <w:w w:val="105"/>
        </w:rPr>
        <w:t> </w:t>
      </w:r>
      <w:r>
        <w:rPr>
          <w:color w:val="231F20"/>
          <w:w w:val="105"/>
        </w:rPr>
        <w:t>públicas.</w:t>
      </w:r>
    </w:p>
    <w:p>
      <w:pPr>
        <w:pStyle w:val="BodyText"/>
        <w:spacing w:before="1"/>
        <w:rPr>
          <w:sz w:val="26"/>
        </w:rPr>
      </w:pPr>
    </w:p>
    <w:p>
      <w:pPr>
        <w:pStyle w:val="BodyText"/>
        <w:spacing w:line="285" w:lineRule="auto"/>
        <w:ind w:left="110" w:right="108"/>
        <w:jc w:val="both"/>
        <w:rPr>
          <w:sz w:val="13"/>
        </w:rPr>
      </w:pPr>
      <w:r>
        <w:rPr>
          <w:color w:val="231F20"/>
          <w:w w:val="105"/>
        </w:rPr>
        <w:t>A</w:t>
      </w:r>
      <w:r>
        <w:rPr>
          <w:color w:val="231F20"/>
          <w:spacing w:val="-17"/>
          <w:w w:val="105"/>
        </w:rPr>
        <w:t> </w:t>
      </w:r>
      <w:r>
        <w:rPr>
          <w:color w:val="231F20"/>
          <w:w w:val="105"/>
        </w:rPr>
        <w:t>pesar</w:t>
      </w:r>
      <w:r>
        <w:rPr>
          <w:color w:val="231F20"/>
          <w:spacing w:val="-17"/>
          <w:w w:val="105"/>
        </w:rPr>
        <w:t> </w:t>
      </w:r>
      <w:r>
        <w:rPr>
          <w:color w:val="231F20"/>
          <w:w w:val="105"/>
        </w:rPr>
        <w:t>de</w:t>
      </w:r>
      <w:r>
        <w:rPr>
          <w:color w:val="231F20"/>
          <w:spacing w:val="-17"/>
          <w:w w:val="105"/>
        </w:rPr>
        <w:t> </w:t>
      </w:r>
      <w:r>
        <w:rPr>
          <w:color w:val="231F20"/>
          <w:w w:val="105"/>
        </w:rPr>
        <w:t>estos</w:t>
      </w:r>
      <w:r>
        <w:rPr>
          <w:color w:val="231F20"/>
          <w:spacing w:val="-17"/>
          <w:w w:val="105"/>
        </w:rPr>
        <w:t> </w:t>
      </w:r>
      <w:r>
        <w:rPr>
          <w:color w:val="231F20"/>
          <w:w w:val="105"/>
        </w:rPr>
        <w:t>dos</w:t>
      </w:r>
      <w:r>
        <w:rPr>
          <w:color w:val="231F20"/>
          <w:spacing w:val="-17"/>
          <w:w w:val="105"/>
        </w:rPr>
        <w:t> </w:t>
      </w:r>
      <w:r>
        <w:rPr>
          <w:color w:val="231F20"/>
          <w:w w:val="105"/>
        </w:rPr>
        <w:t>extremos,</w:t>
      </w:r>
      <w:r>
        <w:rPr>
          <w:color w:val="231F20"/>
          <w:spacing w:val="-17"/>
          <w:w w:val="105"/>
        </w:rPr>
        <w:t> </w:t>
      </w:r>
      <w:r>
        <w:rPr>
          <w:color w:val="231F20"/>
          <w:w w:val="105"/>
        </w:rPr>
        <w:t>han</w:t>
      </w:r>
      <w:r>
        <w:rPr>
          <w:color w:val="231F20"/>
          <w:spacing w:val="-17"/>
          <w:w w:val="105"/>
        </w:rPr>
        <w:t> </w:t>
      </w:r>
      <w:r>
        <w:rPr>
          <w:color w:val="231F20"/>
          <w:w w:val="105"/>
        </w:rPr>
        <w:t>existido</w:t>
      </w:r>
      <w:r>
        <w:rPr>
          <w:color w:val="231F20"/>
          <w:spacing w:val="-17"/>
          <w:w w:val="105"/>
        </w:rPr>
        <w:t> </w:t>
      </w:r>
      <w:r>
        <w:rPr>
          <w:color w:val="231F20"/>
          <w:w w:val="105"/>
        </w:rPr>
        <w:t>consensos</w:t>
      </w:r>
      <w:r>
        <w:rPr>
          <w:color w:val="231F20"/>
          <w:spacing w:val="-17"/>
          <w:w w:val="105"/>
        </w:rPr>
        <w:t> </w:t>
      </w:r>
      <w:r>
        <w:rPr>
          <w:color w:val="231F20"/>
          <w:w w:val="105"/>
        </w:rPr>
        <w:t>en</w:t>
      </w:r>
      <w:r>
        <w:rPr>
          <w:color w:val="231F20"/>
          <w:spacing w:val="-17"/>
          <w:w w:val="105"/>
        </w:rPr>
        <w:t> </w:t>
      </w:r>
      <w:r>
        <w:rPr>
          <w:color w:val="231F20"/>
          <w:w w:val="105"/>
        </w:rPr>
        <w:t>intereses</w:t>
      </w:r>
      <w:r>
        <w:rPr>
          <w:color w:val="231F20"/>
          <w:spacing w:val="-17"/>
          <w:w w:val="105"/>
        </w:rPr>
        <w:t> </w:t>
      </w:r>
      <w:r>
        <w:rPr>
          <w:color w:val="231F20"/>
          <w:w w:val="105"/>
        </w:rPr>
        <w:t>que</w:t>
      </w:r>
      <w:r>
        <w:rPr>
          <w:color w:val="231F20"/>
          <w:spacing w:val="-17"/>
          <w:w w:val="105"/>
        </w:rPr>
        <w:t> </w:t>
      </w:r>
      <w:r>
        <w:rPr>
          <w:color w:val="231F20"/>
          <w:w w:val="105"/>
        </w:rPr>
        <w:t>les</w:t>
      </w:r>
      <w:r>
        <w:rPr>
          <w:color w:val="231F20"/>
          <w:spacing w:val="-17"/>
          <w:w w:val="105"/>
        </w:rPr>
        <w:t> </w:t>
      </w:r>
      <w:r>
        <w:rPr>
          <w:color w:val="231F20"/>
          <w:w w:val="105"/>
        </w:rPr>
        <w:t>son</w:t>
      </w:r>
      <w:r>
        <w:rPr>
          <w:color w:val="231F20"/>
          <w:spacing w:val="-17"/>
          <w:w w:val="105"/>
        </w:rPr>
        <w:t> </w:t>
      </w:r>
      <w:r>
        <w:rPr>
          <w:color w:val="231F20"/>
          <w:w w:val="105"/>
        </w:rPr>
        <w:t>comunes a</w:t>
      </w:r>
      <w:r>
        <w:rPr>
          <w:color w:val="231F20"/>
          <w:spacing w:val="-8"/>
          <w:w w:val="105"/>
        </w:rPr>
        <w:t> </w:t>
      </w:r>
      <w:r>
        <w:rPr>
          <w:color w:val="231F20"/>
          <w:w w:val="105"/>
        </w:rPr>
        <w:t>los</w:t>
      </w:r>
      <w:r>
        <w:rPr>
          <w:color w:val="231F20"/>
          <w:spacing w:val="-8"/>
          <w:w w:val="105"/>
        </w:rPr>
        <w:t> </w:t>
      </w:r>
      <w:r>
        <w:rPr>
          <w:color w:val="231F20"/>
          <w:w w:val="105"/>
        </w:rPr>
        <w:t>tres</w:t>
      </w:r>
      <w:r>
        <w:rPr>
          <w:color w:val="231F20"/>
          <w:spacing w:val="-8"/>
          <w:w w:val="105"/>
        </w:rPr>
        <w:t> </w:t>
      </w:r>
      <w:r>
        <w:rPr>
          <w:color w:val="231F20"/>
          <w:w w:val="105"/>
        </w:rPr>
        <w:t>partidos,</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varios</w:t>
      </w:r>
      <w:r>
        <w:rPr>
          <w:color w:val="231F20"/>
          <w:spacing w:val="-8"/>
          <w:w w:val="105"/>
        </w:rPr>
        <w:t> </w:t>
      </w:r>
      <w:r>
        <w:rPr>
          <w:color w:val="231F20"/>
          <w:w w:val="105"/>
        </w:rPr>
        <w:t>acuerdos</w:t>
      </w:r>
      <w:r>
        <w:rPr>
          <w:color w:val="231F20"/>
          <w:spacing w:val="-8"/>
          <w:w w:val="105"/>
        </w:rPr>
        <w:t> </w:t>
      </w:r>
      <w:r>
        <w:rPr>
          <w:color w:val="231F20"/>
          <w:w w:val="105"/>
        </w:rPr>
        <w:t>han</w:t>
      </w:r>
      <w:r>
        <w:rPr>
          <w:color w:val="231F20"/>
          <w:spacing w:val="-8"/>
          <w:w w:val="105"/>
        </w:rPr>
        <w:t> </w:t>
      </w:r>
      <w:r>
        <w:rPr>
          <w:color w:val="231F20"/>
          <w:w w:val="105"/>
        </w:rPr>
        <w:t>sido</w:t>
      </w:r>
      <w:r>
        <w:rPr>
          <w:color w:val="231F20"/>
          <w:spacing w:val="-8"/>
          <w:w w:val="105"/>
        </w:rPr>
        <w:t> </w:t>
      </w:r>
      <w:r>
        <w:rPr>
          <w:color w:val="231F20"/>
          <w:w w:val="105"/>
        </w:rPr>
        <w:t>aprobados</w:t>
      </w:r>
      <w:r>
        <w:rPr>
          <w:color w:val="231F20"/>
          <w:spacing w:val="-8"/>
          <w:w w:val="105"/>
        </w:rPr>
        <w:t> </w:t>
      </w:r>
      <w:r>
        <w:rPr>
          <w:color w:val="231F20"/>
          <w:w w:val="105"/>
        </w:rPr>
        <w:t>por</w:t>
      </w:r>
      <w:r>
        <w:rPr>
          <w:color w:val="231F20"/>
          <w:spacing w:val="-8"/>
          <w:w w:val="105"/>
        </w:rPr>
        <w:t> </w:t>
      </w:r>
      <w:r>
        <w:rPr>
          <w:color w:val="231F20"/>
          <w:w w:val="105"/>
        </w:rPr>
        <w:t>unanimidad.</w:t>
      </w:r>
      <w:r>
        <w:rPr>
          <w:color w:val="231F20"/>
          <w:w w:val="105"/>
          <w:position w:val="7"/>
          <w:sz w:val="13"/>
        </w:rPr>
        <w:t>2</w:t>
      </w:r>
    </w:p>
    <w:p>
      <w:pPr>
        <w:pStyle w:val="BodyText"/>
        <w:rPr>
          <w:sz w:val="26"/>
        </w:rPr>
      </w:pPr>
    </w:p>
    <w:p>
      <w:pPr>
        <w:pStyle w:val="BodyText"/>
        <w:spacing w:line="285" w:lineRule="auto"/>
        <w:ind w:left="110" w:right="107"/>
        <w:jc w:val="both"/>
      </w:pPr>
      <w:r>
        <w:rPr>
          <w:color w:val="231F20"/>
          <w:w w:val="105"/>
        </w:rPr>
        <w:t>En cuanto a las comisiones en los ayuntamientos que permiten a cada integrante es- pecializarse en algún grupo social o demanda específica y así atender eficazmente los problemas más recurrentes de las comunidades, en Ixtapan de la Sal se distribuyeron </w:t>
      </w:r>
      <w:r>
        <w:rPr>
          <w:color w:val="231F20"/>
          <w:spacing w:val="2"/>
          <w:w w:val="105"/>
        </w:rPr>
        <w:t>tal </w:t>
      </w:r>
      <w:r>
        <w:rPr>
          <w:color w:val="231F20"/>
          <w:w w:val="105"/>
        </w:rPr>
        <w:t>como lo marca el Cuadro 3. </w:t>
      </w:r>
      <w:r>
        <w:rPr>
          <w:color w:val="231F20"/>
          <w:spacing w:val="-4"/>
          <w:w w:val="105"/>
        </w:rPr>
        <w:t>Temas </w:t>
      </w:r>
      <w:r>
        <w:rPr>
          <w:color w:val="231F20"/>
          <w:w w:val="105"/>
        </w:rPr>
        <w:t>de especial interés en el municipio como segu- ridad</w:t>
      </w:r>
      <w:r>
        <w:rPr>
          <w:color w:val="231F20"/>
          <w:spacing w:val="-8"/>
          <w:w w:val="105"/>
        </w:rPr>
        <w:t> </w:t>
      </w:r>
      <w:r>
        <w:rPr>
          <w:color w:val="231F20"/>
          <w:w w:val="105"/>
        </w:rPr>
        <w:t>pública,</w:t>
      </w:r>
      <w:r>
        <w:rPr>
          <w:color w:val="231F20"/>
          <w:spacing w:val="-8"/>
          <w:w w:val="105"/>
        </w:rPr>
        <w:t> </w:t>
      </w:r>
      <w:r>
        <w:rPr>
          <w:color w:val="231F20"/>
          <w:w w:val="105"/>
        </w:rPr>
        <w:t>hacienda,</w:t>
      </w:r>
      <w:r>
        <w:rPr>
          <w:color w:val="231F20"/>
          <w:spacing w:val="-8"/>
          <w:w w:val="105"/>
        </w:rPr>
        <w:t> </w:t>
      </w:r>
      <w:r>
        <w:rPr>
          <w:color w:val="231F20"/>
          <w:w w:val="105"/>
        </w:rPr>
        <w:t>turismo,</w:t>
      </w:r>
      <w:r>
        <w:rPr>
          <w:color w:val="231F20"/>
          <w:spacing w:val="-8"/>
          <w:w w:val="105"/>
        </w:rPr>
        <w:t> </w:t>
      </w:r>
      <w:r>
        <w:rPr>
          <w:color w:val="231F20"/>
          <w:w w:val="105"/>
        </w:rPr>
        <w:t>obras</w:t>
      </w:r>
      <w:r>
        <w:rPr>
          <w:color w:val="231F20"/>
          <w:spacing w:val="-8"/>
          <w:w w:val="105"/>
        </w:rPr>
        <w:t> </w:t>
      </w:r>
      <w:r>
        <w:rPr>
          <w:color w:val="231F20"/>
          <w:w w:val="105"/>
        </w:rPr>
        <w:t>públicas,</w:t>
      </w:r>
      <w:r>
        <w:rPr>
          <w:color w:val="231F20"/>
          <w:spacing w:val="-8"/>
          <w:w w:val="105"/>
        </w:rPr>
        <w:t> </w:t>
      </w:r>
      <w:r>
        <w:rPr>
          <w:color w:val="231F20"/>
          <w:w w:val="105"/>
        </w:rPr>
        <w:t>educación,</w:t>
      </w:r>
      <w:r>
        <w:rPr>
          <w:color w:val="231F20"/>
          <w:spacing w:val="-8"/>
          <w:w w:val="105"/>
        </w:rPr>
        <w:t> </w:t>
      </w:r>
      <w:r>
        <w:rPr>
          <w:color w:val="231F20"/>
          <w:w w:val="105"/>
        </w:rPr>
        <w:t>desarrollo</w:t>
      </w:r>
      <w:r>
        <w:rPr>
          <w:color w:val="231F20"/>
          <w:spacing w:val="-8"/>
          <w:w w:val="105"/>
        </w:rPr>
        <w:t> </w:t>
      </w:r>
      <w:r>
        <w:rPr>
          <w:color w:val="231F20"/>
          <w:w w:val="105"/>
        </w:rPr>
        <w:t>urbano</w:t>
      </w:r>
      <w:r>
        <w:rPr>
          <w:color w:val="231F20"/>
          <w:spacing w:val="-8"/>
          <w:w w:val="105"/>
        </w:rPr>
        <w:t> </w:t>
      </w:r>
      <w:r>
        <w:rPr>
          <w:color w:val="231F20"/>
          <w:w w:val="105"/>
        </w:rPr>
        <w:t>y</w:t>
      </w:r>
      <w:r>
        <w:rPr>
          <w:color w:val="231F20"/>
          <w:spacing w:val="-8"/>
          <w:w w:val="105"/>
        </w:rPr>
        <w:t> </w:t>
      </w:r>
      <w:r>
        <w:rPr>
          <w:color w:val="231F20"/>
          <w:w w:val="105"/>
        </w:rPr>
        <w:t>salud, quedaron bajo la responsabilidad priísta. </w:t>
      </w:r>
      <w:r>
        <w:rPr>
          <w:color w:val="231F20"/>
          <w:spacing w:val="-4"/>
          <w:w w:val="105"/>
        </w:rPr>
        <w:t>Tanto </w:t>
      </w:r>
      <w:r>
        <w:rPr>
          <w:color w:val="231F20"/>
          <w:w w:val="105"/>
        </w:rPr>
        <w:t>abasto, como población y reglamentos </w:t>
      </w:r>
      <w:r>
        <w:rPr>
          <w:color w:val="231F20"/>
          <w:w w:val="105"/>
          <w:u w:val="single" w:color="231F20"/>
        </w:rPr>
        <w:t>les correspondi</w:t>
      </w:r>
      <w:r>
        <w:rPr>
          <w:color w:val="231F20"/>
          <w:w w:val="105"/>
        </w:rPr>
        <w:t>eron </w:t>
      </w:r>
      <w:r>
        <w:rPr>
          <w:color w:val="231F20"/>
          <w:spacing w:val="2"/>
          <w:w w:val="105"/>
        </w:rPr>
        <w:t>al </w:t>
      </w:r>
      <w:r>
        <w:rPr>
          <w:color w:val="231F20"/>
          <w:spacing w:val="-3"/>
          <w:w w:val="105"/>
        </w:rPr>
        <w:t>PRD, </w:t>
      </w:r>
      <w:r>
        <w:rPr>
          <w:color w:val="231F20"/>
          <w:w w:val="105"/>
        </w:rPr>
        <w:t>y empleo, alumbrado público y </w:t>
      </w:r>
      <w:r>
        <w:rPr>
          <w:color w:val="231F20"/>
          <w:spacing w:val="-3"/>
          <w:w w:val="105"/>
        </w:rPr>
        <w:t>fomento </w:t>
      </w:r>
      <w:r>
        <w:rPr>
          <w:color w:val="231F20"/>
          <w:w w:val="105"/>
        </w:rPr>
        <w:t>agropecuario </w:t>
      </w:r>
      <w:r>
        <w:rPr>
          <w:color w:val="231F20"/>
          <w:spacing w:val="14"/>
          <w:w w:val="105"/>
        </w:rPr>
        <w:t> </w:t>
      </w:r>
      <w:r>
        <w:rPr>
          <w:color w:val="231F20"/>
          <w:spacing w:val="2"/>
          <w:w w:val="105"/>
        </w:rPr>
        <w:t>al</w:t>
      </w:r>
    </w:p>
    <w:p>
      <w:pPr>
        <w:pStyle w:val="ListParagraph"/>
        <w:numPr>
          <w:ilvl w:val="0"/>
          <w:numId w:val="5"/>
        </w:numPr>
        <w:tabs>
          <w:tab w:pos="259" w:val="left" w:leader="none"/>
        </w:tabs>
        <w:spacing w:line="240" w:lineRule="auto" w:before="53" w:after="0"/>
        <w:ind w:left="258" w:right="0" w:hanging="148"/>
        <w:jc w:val="both"/>
        <w:rPr>
          <w:sz w:val="16"/>
        </w:rPr>
      </w:pPr>
      <w:r>
        <w:rPr>
          <w:color w:val="231F20"/>
          <w:sz w:val="16"/>
        </w:rPr>
        <w:t>Las</w:t>
      </w:r>
      <w:r>
        <w:rPr>
          <w:color w:val="231F20"/>
          <w:spacing w:val="-7"/>
          <w:sz w:val="16"/>
        </w:rPr>
        <w:t> </w:t>
      </w:r>
      <w:r>
        <w:rPr>
          <w:color w:val="231F20"/>
          <w:sz w:val="16"/>
        </w:rPr>
        <w:t>temáticas</w:t>
      </w:r>
      <w:r>
        <w:rPr>
          <w:color w:val="231F20"/>
          <w:spacing w:val="-7"/>
          <w:sz w:val="16"/>
        </w:rPr>
        <w:t> </w:t>
      </w:r>
      <w:r>
        <w:rPr>
          <w:color w:val="231F20"/>
          <w:sz w:val="16"/>
        </w:rPr>
        <w:t>de</w:t>
      </w:r>
      <w:r>
        <w:rPr>
          <w:color w:val="231F20"/>
          <w:spacing w:val="-7"/>
          <w:sz w:val="16"/>
        </w:rPr>
        <w:t> </w:t>
      </w:r>
      <w:r>
        <w:rPr>
          <w:color w:val="231F20"/>
          <w:sz w:val="16"/>
        </w:rPr>
        <w:t>estos</w:t>
      </w:r>
      <w:r>
        <w:rPr>
          <w:color w:val="231F20"/>
          <w:spacing w:val="-7"/>
          <w:sz w:val="16"/>
        </w:rPr>
        <w:t> </w:t>
      </w:r>
      <w:r>
        <w:rPr>
          <w:color w:val="231F20"/>
          <w:sz w:val="16"/>
        </w:rPr>
        <w:t>acuerdos</w:t>
      </w:r>
      <w:r>
        <w:rPr>
          <w:color w:val="231F20"/>
          <w:spacing w:val="-7"/>
          <w:sz w:val="16"/>
        </w:rPr>
        <w:t> </w:t>
      </w:r>
      <w:r>
        <w:rPr>
          <w:color w:val="231F20"/>
          <w:sz w:val="16"/>
        </w:rPr>
        <w:t>se</w:t>
      </w:r>
      <w:r>
        <w:rPr>
          <w:color w:val="231F20"/>
          <w:spacing w:val="-7"/>
          <w:sz w:val="16"/>
        </w:rPr>
        <w:t> </w:t>
      </w:r>
      <w:r>
        <w:rPr>
          <w:color w:val="231F20"/>
          <w:sz w:val="16"/>
        </w:rPr>
        <w:t>desconocen</w:t>
      </w:r>
      <w:r>
        <w:rPr>
          <w:color w:val="231F20"/>
          <w:spacing w:val="-7"/>
          <w:sz w:val="16"/>
        </w:rPr>
        <w:t> </w:t>
      </w:r>
      <w:r>
        <w:rPr>
          <w:color w:val="231F20"/>
          <w:sz w:val="16"/>
        </w:rPr>
        <w:t>porque</w:t>
      </w:r>
      <w:r>
        <w:rPr>
          <w:color w:val="231F20"/>
          <w:spacing w:val="-7"/>
          <w:sz w:val="16"/>
        </w:rPr>
        <w:t> </w:t>
      </w:r>
      <w:r>
        <w:rPr>
          <w:color w:val="231F20"/>
          <w:sz w:val="16"/>
        </w:rPr>
        <w:t>no</w:t>
      </w:r>
      <w:r>
        <w:rPr>
          <w:color w:val="231F20"/>
          <w:spacing w:val="-7"/>
          <w:sz w:val="16"/>
        </w:rPr>
        <w:t> </w:t>
      </w:r>
      <w:r>
        <w:rPr>
          <w:color w:val="231F20"/>
          <w:sz w:val="16"/>
        </w:rPr>
        <w:t>se</w:t>
      </w:r>
      <w:r>
        <w:rPr>
          <w:color w:val="231F20"/>
          <w:spacing w:val="-7"/>
          <w:sz w:val="16"/>
        </w:rPr>
        <w:t> </w:t>
      </w:r>
      <w:r>
        <w:rPr>
          <w:color w:val="231F20"/>
          <w:sz w:val="16"/>
        </w:rPr>
        <w:t>tuvo</w:t>
      </w:r>
      <w:r>
        <w:rPr>
          <w:color w:val="231F20"/>
          <w:spacing w:val="-7"/>
          <w:sz w:val="16"/>
        </w:rPr>
        <w:t> </w:t>
      </w:r>
      <w:r>
        <w:rPr>
          <w:color w:val="231F20"/>
          <w:sz w:val="16"/>
        </w:rPr>
        <w:t>acceso</w:t>
      </w:r>
      <w:r>
        <w:rPr>
          <w:color w:val="231F20"/>
          <w:spacing w:val="-7"/>
          <w:sz w:val="16"/>
        </w:rPr>
        <w:t> </w:t>
      </w:r>
      <w:r>
        <w:rPr>
          <w:color w:val="231F20"/>
          <w:sz w:val="16"/>
        </w:rPr>
        <w:t>al</w:t>
      </w:r>
      <w:r>
        <w:rPr>
          <w:color w:val="231F20"/>
          <w:spacing w:val="-7"/>
          <w:sz w:val="16"/>
        </w:rPr>
        <w:t> </w:t>
      </w:r>
      <w:r>
        <w:rPr>
          <w:color w:val="231F20"/>
          <w:sz w:val="16"/>
        </w:rPr>
        <w:t>libro</w:t>
      </w:r>
      <w:r>
        <w:rPr>
          <w:color w:val="231F20"/>
          <w:spacing w:val="-7"/>
          <w:sz w:val="16"/>
        </w:rPr>
        <w:t> </w:t>
      </w:r>
      <w:r>
        <w:rPr>
          <w:color w:val="231F20"/>
          <w:sz w:val="16"/>
        </w:rPr>
        <w:t>de</w:t>
      </w:r>
      <w:r>
        <w:rPr>
          <w:color w:val="231F20"/>
          <w:spacing w:val="-7"/>
          <w:sz w:val="16"/>
        </w:rPr>
        <w:t> </w:t>
      </w:r>
      <w:r>
        <w:rPr>
          <w:color w:val="231F20"/>
          <w:sz w:val="16"/>
        </w:rPr>
        <w:t>actas.</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spacing w:val="-4"/>
          <w:w w:val="105"/>
        </w:rPr>
        <w:t>PAN. </w:t>
      </w:r>
      <w:r>
        <w:rPr>
          <w:color w:val="231F20"/>
          <w:w w:val="105"/>
        </w:rPr>
        <w:t>Nuevamente se reafirma la desproporción existente </w:t>
      </w:r>
      <w:r>
        <w:rPr>
          <w:color w:val="231F20"/>
          <w:spacing w:val="2"/>
          <w:w w:val="105"/>
        </w:rPr>
        <w:t>al </w:t>
      </w:r>
      <w:r>
        <w:rPr>
          <w:color w:val="231F20"/>
          <w:w w:val="105"/>
        </w:rPr>
        <w:t>interior del ayuntamiento porque,</w:t>
      </w:r>
      <w:r>
        <w:rPr>
          <w:color w:val="231F20"/>
          <w:spacing w:val="-16"/>
          <w:w w:val="105"/>
        </w:rPr>
        <w:t> </w:t>
      </w:r>
      <w:r>
        <w:rPr>
          <w:color w:val="231F20"/>
          <w:spacing w:val="2"/>
          <w:w w:val="105"/>
        </w:rPr>
        <w:t>al</w:t>
      </w:r>
      <w:r>
        <w:rPr>
          <w:color w:val="231F20"/>
          <w:spacing w:val="-16"/>
          <w:w w:val="105"/>
        </w:rPr>
        <w:t> </w:t>
      </w:r>
      <w:r>
        <w:rPr>
          <w:color w:val="231F20"/>
          <w:w w:val="105"/>
        </w:rPr>
        <w:t>ser</w:t>
      </w:r>
      <w:r>
        <w:rPr>
          <w:color w:val="231F20"/>
          <w:spacing w:val="-16"/>
          <w:w w:val="105"/>
        </w:rPr>
        <w:t> </w:t>
      </w:r>
      <w:r>
        <w:rPr>
          <w:color w:val="231F20"/>
          <w:w w:val="105"/>
        </w:rPr>
        <w:t>aprobadas</w:t>
      </w:r>
      <w:r>
        <w:rPr>
          <w:color w:val="231F20"/>
          <w:spacing w:val="-16"/>
          <w:w w:val="105"/>
        </w:rPr>
        <w:t> </w:t>
      </w:r>
      <w:r>
        <w:rPr>
          <w:color w:val="231F20"/>
          <w:w w:val="105"/>
        </w:rPr>
        <w:t>en</w:t>
      </w:r>
      <w:r>
        <w:rPr>
          <w:color w:val="231F20"/>
          <w:spacing w:val="-16"/>
          <w:w w:val="105"/>
        </w:rPr>
        <w:t> </w:t>
      </w:r>
      <w:r>
        <w:rPr>
          <w:color w:val="231F20"/>
          <w:w w:val="105"/>
        </w:rPr>
        <w:t>cabildo,</w:t>
      </w:r>
      <w:r>
        <w:rPr>
          <w:color w:val="231F20"/>
          <w:spacing w:val="-16"/>
          <w:w w:val="105"/>
        </w:rPr>
        <w:t> </w:t>
      </w:r>
      <w:r>
        <w:rPr>
          <w:color w:val="231F20"/>
          <w:w w:val="105"/>
        </w:rPr>
        <w:t>el</w:t>
      </w:r>
      <w:r>
        <w:rPr>
          <w:color w:val="231F20"/>
          <w:spacing w:val="-16"/>
          <w:w w:val="105"/>
        </w:rPr>
        <w:t> </w:t>
      </w:r>
      <w:r>
        <w:rPr>
          <w:color w:val="231F20"/>
          <w:w w:val="105"/>
        </w:rPr>
        <w:t>partido</w:t>
      </w:r>
      <w:r>
        <w:rPr>
          <w:color w:val="231F20"/>
          <w:spacing w:val="-16"/>
          <w:w w:val="105"/>
        </w:rPr>
        <w:t> </w:t>
      </w:r>
      <w:r>
        <w:rPr>
          <w:color w:val="231F20"/>
          <w:w w:val="105"/>
        </w:rPr>
        <w:t>mayoritario</w:t>
      </w:r>
      <w:r>
        <w:rPr>
          <w:color w:val="231F20"/>
          <w:spacing w:val="-16"/>
          <w:w w:val="105"/>
        </w:rPr>
        <w:t> </w:t>
      </w:r>
      <w:r>
        <w:rPr>
          <w:color w:val="231F20"/>
          <w:w w:val="105"/>
        </w:rPr>
        <w:t>tiene</w:t>
      </w:r>
      <w:r>
        <w:rPr>
          <w:color w:val="231F20"/>
          <w:spacing w:val="-16"/>
          <w:w w:val="105"/>
        </w:rPr>
        <w:t> </w:t>
      </w:r>
      <w:r>
        <w:rPr>
          <w:color w:val="231F20"/>
          <w:w w:val="105"/>
        </w:rPr>
        <w:t>la</w:t>
      </w:r>
      <w:r>
        <w:rPr>
          <w:color w:val="231F20"/>
          <w:spacing w:val="-16"/>
          <w:w w:val="105"/>
        </w:rPr>
        <w:t> </w:t>
      </w:r>
      <w:r>
        <w:rPr>
          <w:color w:val="231F20"/>
          <w:w w:val="105"/>
        </w:rPr>
        <w:t>ventaja</w:t>
      </w:r>
      <w:r>
        <w:rPr>
          <w:color w:val="231F20"/>
          <w:spacing w:val="-16"/>
          <w:w w:val="105"/>
        </w:rPr>
        <w:t> </w:t>
      </w:r>
      <w:r>
        <w:rPr>
          <w:color w:val="231F20"/>
          <w:w w:val="105"/>
        </w:rPr>
        <w:t>de</w:t>
      </w:r>
      <w:r>
        <w:rPr>
          <w:color w:val="231F20"/>
          <w:spacing w:val="-16"/>
          <w:w w:val="105"/>
        </w:rPr>
        <w:t> </w:t>
      </w:r>
      <w:r>
        <w:rPr>
          <w:color w:val="231F20"/>
          <w:w w:val="105"/>
        </w:rPr>
        <w:t>asumir</w:t>
      </w:r>
      <w:r>
        <w:rPr>
          <w:color w:val="231F20"/>
          <w:spacing w:val="-16"/>
          <w:w w:val="105"/>
        </w:rPr>
        <w:t> </w:t>
      </w:r>
      <w:r>
        <w:rPr>
          <w:color w:val="231F20"/>
          <w:w w:val="105"/>
        </w:rPr>
        <w:t>las comisiones</w:t>
      </w:r>
      <w:r>
        <w:rPr>
          <w:color w:val="231F20"/>
          <w:spacing w:val="-20"/>
          <w:w w:val="105"/>
        </w:rPr>
        <w:t> </w:t>
      </w:r>
      <w:r>
        <w:rPr>
          <w:color w:val="231F20"/>
          <w:w w:val="105"/>
        </w:rPr>
        <w:t>de</w:t>
      </w:r>
      <w:r>
        <w:rPr>
          <w:color w:val="231F20"/>
          <w:spacing w:val="-20"/>
          <w:w w:val="105"/>
        </w:rPr>
        <w:t> </w:t>
      </w:r>
      <w:r>
        <w:rPr>
          <w:color w:val="231F20"/>
          <w:w w:val="105"/>
        </w:rPr>
        <w:t>mayor</w:t>
      </w:r>
      <w:r>
        <w:rPr>
          <w:color w:val="231F20"/>
          <w:spacing w:val="-20"/>
          <w:w w:val="105"/>
        </w:rPr>
        <w:t> </w:t>
      </w:r>
      <w:r>
        <w:rPr>
          <w:color w:val="231F20"/>
          <w:w w:val="105"/>
        </w:rPr>
        <w:t>impacto</w:t>
      </w:r>
      <w:r>
        <w:rPr>
          <w:color w:val="231F20"/>
          <w:spacing w:val="-20"/>
          <w:w w:val="105"/>
        </w:rPr>
        <w:t> </w:t>
      </w:r>
      <w:r>
        <w:rPr>
          <w:color w:val="231F20"/>
          <w:w w:val="105"/>
        </w:rPr>
        <w:t>social</w:t>
      </w:r>
      <w:r>
        <w:rPr>
          <w:color w:val="231F20"/>
          <w:spacing w:val="-20"/>
          <w:w w:val="105"/>
        </w:rPr>
        <w:t> </w:t>
      </w:r>
      <w:r>
        <w:rPr>
          <w:color w:val="231F20"/>
          <w:w w:val="105"/>
        </w:rPr>
        <w:t>y</w:t>
      </w:r>
      <w:r>
        <w:rPr>
          <w:color w:val="231F20"/>
          <w:spacing w:val="-20"/>
          <w:w w:val="105"/>
        </w:rPr>
        <w:t> </w:t>
      </w:r>
      <w:r>
        <w:rPr>
          <w:color w:val="231F20"/>
          <w:w w:val="105"/>
        </w:rPr>
        <w:t>electoral.</w:t>
      </w:r>
    </w:p>
    <w:p>
      <w:pPr>
        <w:pStyle w:val="BodyText"/>
        <w:spacing w:before="3"/>
        <w:rPr>
          <w:sz w:val="20"/>
        </w:rPr>
      </w:pPr>
    </w:p>
    <w:p>
      <w:pPr>
        <w:pStyle w:val="Heading4"/>
        <w:rPr>
          <w:i/>
        </w:rPr>
      </w:pPr>
      <w:r>
        <w:rPr>
          <w:i/>
          <w:color w:val="231F20"/>
        </w:rPr>
        <w:t>Organización interna</w:t>
      </w:r>
    </w:p>
    <w:p>
      <w:pPr>
        <w:pStyle w:val="BodyText"/>
        <w:spacing w:line="285" w:lineRule="auto" w:before="17"/>
        <w:ind w:left="110" w:right="107"/>
        <w:jc w:val="both"/>
      </w:pPr>
      <w:r>
        <w:rPr>
          <w:color w:val="231F20"/>
          <w:w w:val="105"/>
        </w:rPr>
        <w:t>La</w:t>
      </w:r>
      <w:r>
        <w:rPr>
          <w:color w:val="231F20"/>
          <w:spacing w:val="-14"/>
          <w:w w:val="105"/>
        </w:rPr>
        <w:t> </w:t>
      </w:r>
      <w:r>
        <w:rPr>
          <w:color w:val="231F20"/>
          <w:w w:val="105"/>
        </w:rPr>
        <w:t>estructura</w:t>
      </w:r>
      <w:r>
        <w:rPr>
          <w:color w:val="231F20"/>
          <w:spacing w:val="-14"/>
          <w:w w:val="105"/>
        </w:rPr>
        <w:t> </w:t>
      </w:r>
      <w:r>
        <w:rPr>
          <w:color w:val="231F20"/>
          <w:w w:val="105"/>
        </w:rPr>
        <w:t>orgánica</w:t>
      </w:r>
      <w:r>
        <w:rPr>
          <w:color w:val="231F20"/>
          <w:spacing w:val="-14"/>
          <w:w w:val="105"/>
        </w:rPr>
        <w:t> </w:t>
      </w:r>
      <w:r>
        <w:rPr>
          <w:color w:val="231F20"/>
          <w:w w:val="105"/>
        </w:rPr>
        <w:t>y</w:t>
      </w:r>
      <w:r>
        <w:rPr>
          <w:color w:val="231F20"/>
          <w:spacing w:val="-14"/>
          <w:w w:val="105"/>
        </w:rPr>
        <w:t> </w:t>
      </w:r>
      <w:r>
        <w:rPr>
          <w:color w:val="231F20"/>
          <w:w w:val="105"/>
        </w:rPr>
        <w:t>funcional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w w:val="105"/>
        </w:rPr>
        <w:t>pública</w:t>
      </w:r>
      <w:r>
        <w:rPr>
          <w:color w:val="231F20"/>
          <w:spacing w:val="-14"/>
          <w:w w:val="105"/>
        </w:rPr>
        <w:t> </w:t>
      </w:r>
      <w:r>
        <w:rPr>
          <w:color w:val="231F20"/>
          <w:w w:val="105"/>
        </w:rPr>
        <w:t>municipal</w:t>
      </w:r>
      <w:r>
        <w:rPr>
          <w:color w:val="231F20"/>
          <w:spacing w:val="-14"/>
          <w:w w:val="105"/>
        </w:rPr>
        <w:t> </w:t>
      </w:r>
      <w:r>
        <w:rPr>
          <w:color w:val="231F20"/>
          <w:w w:val="105"/>
        </w:rPr>
        <w:t>constituye</w:t>
      </w:r>
      <w:r>
        <w:rPr>
          <w:color w:val="231F20"/>
          <w:spacing w:val="-14"/>
          <w:w w:val="105"/>
        </w:rPr>
        <w:t> </w:t>
      </w:r>
      <w:r>
        <w:rPr>
          <w:color w:val="231F20"/>
          <w:w w:val="105"/>
        </w:rPr>
        <w:t>el pilar</w:t>
      </w:r>
      <w:r>
        <w:rPr>
          <w:color w:val="231F20"/>
          <w:spacing w:val="-19"/>
          <w:w w:val="105"/>
        </w:rPr>
        <w:t> </w:t>
      </w:r>
      <w:r>
        <w:rPr>
          <w:color w:val="231F20"/>
          <w:w w:val="105"/>
        </w:rPr>
        <w:t>del</w:t>
      </w:r>
      <w:r>
        <w:rPr>
          <w:color w:val="231F20"/>
          <w:spacing w:val="-19"/>
          <w:w w:val="105"/>
        </w:rPr>
        <w:t> </w:t>
      </w:r>
      <w:r>
        <w:rPr>
          <w:color w:val="231F20"/>
          <w:w w:val="105"/>
        </w:rPr>
        <w:t>trabajo</w:t>
      </w:r>
      <w:r>
        <w:rPr>
          <w:color w:val="231F20"/>
          <w:spacing w:val="-19"/>
          <w:w w:val="105"/>
        </w:rPr>
        <w:t> </w:t>
      </w:r>
      <w:r>
        <w:rPr>
          <w:color w:val="231F20"/>
          <w:w w:val="105"/>
        </w:rPr>
        <w:t>gubernamental,</w:t>
      </w:r>
      <w:r>
        <w:rPr>
          <w:color w:val="231F20"/>
          <w:spacing w:val="-19"/>
          <w:w w:val="105"/>
        </w:rPr>
        <w:t> </w:t>
      </w:r>
      <w:r>
        <w:rPr>
          <w:color w:val="231F20"/>
          <w:w w:val="105"/>
        </w:rPr>
        <w:t>pues</w:t>
      </w:r>
      <w:r>
        <w:rPr>
          <w:color w:val="231F20"/>
          <w:spacing w:val="-19"/>
          <w:w w:val="105"/>
        </w:rPr>
        <w:t> </w:t>
      </w:r>
      <w:r>
        <w:rPr>
          <w:color w:val="231F20"/>
          <w:w w:val="105"/>
        </w:rPr>
        <w:t>sin</w:t>
      </w:r>
      <w:r>
        <w:rPr>
          <w:color w:val="231F20"/>
          <w:spacing w:val="-19"/>
          <w:w w:val="105"/>
        </w:rPr>
        <w:t> </w:t>
      </w:r>
      <w:r>
        <w:rPr>
          <w:color w:val="231F20"/>
          <w:w w:val="105"/>
        </w:rPr>
        <w:t>el</w:t>
      </w:r>
      <w:r>
        <w:rPr>
          <w:color w:val="231F20"/>
          <w:spacing w:val="-19"/>
          <w:w w:val="105"/>
        </w:rPr>
        <w:t> </w:t>
      </w:r>
      <w:r>
        <w:rPr>
          <w:color w:val="231F20"/>
          <w:w w:val="105"/>
        </w:rPr>
        <w:t>personal</w:t>
      </w:r>
      <w:r>
        <w:rPr>
          <w:color w:val="231F20"/>
          <w:spacing w:val="-19"/>
          <w:w w:val="105"/>
        </w:rPr>
        <w:t> </w:t>
      </w:r>
      <w:r>
        <w:rPr>
          <w:color w:val="231F20"/>
          <w:w w:val="105"/>
        </w:rPr>
        <w:t>administrativo,</w:t>
      </w:r>
      <w:r>
        <w:rPr>
          <w:color w:val="231F20"/>
          <w:spacing w:val="-19"/>
          <w:w w:val="105"/>
        </w:rPr>
        <w:t> </w:t>
      </w:r>
      <w:r>
        <w:rPr>
          <w:color w:val="231F20"/>
          <w:w w:val="105"/>
        </w:rPr>
        <w:t>operativo</w:t>
      </w:r>
      <w:r>
        <w:rPr>
          <w:color w:val="231F20"/>
          <w:spacing w:val="-19"/>
          <w:w w:val="105"/>
        </w:rPr>
        <w:t> </w:t>
      </w:r>
      <w:r>
        <w:rPr>
          <w:color w:val="231F20"/>
          <w:w w:val="105"/>
        </w:rPr>
        <w:t>y</w:t>
      </w:r>
      <w:r>
        <w:rPr>
          <w:color w:val="231F20"/>
          <w:spacing w:val="-19"/>
          <w:w w:val="105"/>
        </w:rPr>
        <w:t> </w:t>
      </w:r>
      <w:r>
        <w:rPr>
          <w:color w:val="231F20"/>
          <w:w w:val="105"/>
        </w:rPr>
        <w:t>técnico simplemente no existiría la instancia pública. Sin embargo, otra característica general de</w:t>
      </w:r>
      <w:r>
        <w:rPr>
          <w:color w:val="231F20"/>
          <w:spacing w:val="-4"/>
          <w:w w:val="105"/>
        </w:rPr>
        <w:t> </w:t>
      </w:r>
      <w:r>
        <w:rPr>
          <w:color w:val="231F20"/>
          <w:w w:val="105"/>
        </w:rPr>
        <w:t>los</w:t>
      </w:r>
      <w:r>
        <w:rPr>
          <w:color w:val="231F20"/>
          <w:spacing w:val="-4"/>
          <w:w w:val="105"/>
        </w:rPr>
        <w:t> </w:t>
      </w:r>
      <w:r>
        <w:rPr>
          <w:color w:val="231F20"/>
          <w:w w:val="105"/>
        </w:rPr>
        <w:t>municipios</w:t>
      </w:r>
      <w:r>
        <w:rPr>
          <w:color w:val="231F20"/>
          <w:spacing w:val="-4"/>
          <w:w w:val="105"/>
        </w:rPr>
        <w:t> </w:t>
      </w:r>
      <w:r>
        <w:rPr>
          <w:color w:val="231F20"/>
          <w:w w:val="105"/>
        </w:rPr>
        <w:t>mexicanos</w:t>
      </w:r>
      <w:r>
        <w:rPr>
          <w:color w:val="231F20"/>
          <w:spacing w:val="-4"/>
          <w:w w:val="105"/>
        </w:rPr>
        <w:t> </w:t>
      </w:r>
      <w:r>
        <w:rPr>
          <w:color w:val="231F20"/>
          <w:w w:val="105"/>
        </w:rPr>
        <w:t>es</w:t>
      </w:r>
      <w:r>
        <w:rPr>
          <w:color w:val="231F20"/>
          <w:spacing w:val="-4"/>
          <w:w w:val="105"/>
        </w:rPr>
        <w:t> </w:t>
      </w:r>
      <w:r>
        <w:rPr>
          <w:color w:val="231F20"/>
          <w:w w:val="105"/>
        </w:rPr>
        <w:t>que</w:t>
      </w:r>
      <w:r>
        <w:rPr>
          <w:color w:val="231F20"/>
          <w:spacing w:val="-4"/>
          <w:w w:val="105"/>
        </w:rPr>
        <w:t> </w:t>
      </w:r>
      <w:r>
        <w:rPr>
          <w:color w:val="231F20"/>
          <w:w w:val="105"/>
        </w:rPr>
        <w:t>precisamente</w:t>
      </w:r>
      <w:r>
        <w:rPr>
          <w:color w:val="231F20"/>
          <w:spacing w:val="-4"/>
          <w:w w:val="105"/>
        </w:rPr>
        <w:t> </w:t>
      </w:r>
      <w:r>
        <w:rPr>
          <w:color w:val="231F20"/>
          <w:w w:val="105"/>
        </w:rPr>
        <w:t>las</w:t>
      </w:r>
      <w:r>
        <w:rPr>
          <w:color w:val="231F20"/>
          <w:spacing w:val="-4"/>
          <w:w w:val="105"/>
        </w:rPr>
        <w:t> </w:t>
      </w:r>
      <w:r>
        <w:rPr>
          <w:color w:val="231F20"/>
          <w:w w:val="105"/>
        </w:rPr>
        <w:t>plazas</w:t>
      </w:r>
      <w:r>
        <w:rPr>
          <w:color w:val="231F20"/>
          <w:spacing w:val="-3"/>
          <w:w w:val="105"/>
        </w:rPr>
        <w:t> </w:t>
      </w:r>
      <w:r>
        <w:rPr>
          <w:color w:val="231F20"/>
          <w:w w:val="105"/>
        </w:rPr>
        <w:t>y</w:t>
      </w:r>
      <w:r>
        <w:rPr>
          <w:color w:val="231F20"/>
          <w:spacing w:val="-4"/>
          <w:w w:val="105"/>
        </w:rPr>
        <w:t> </w:t>
      </w:r>
      <w:r>
        <w:rPr>
          <w:color w:val="231F20"/>
          <w:w w:val="105"/>
        </w:rPr>
        <w:t>puestos</w:t>
      </w:r>
      <w:r>
        <w:rPr>
          <w:color w:val="231F20"/>
          <w:spacing w:val="-4"/>
          <w:w w:val="105"/>
        </w:rPr>
        <w:t> </w:t>
      </w:r>
      <w:r>
        <w:rPr>
          <w:color w:val="231F20"/>
          <w:w w:val="105"/>
        </w:rPr>
        <w:t>públicos</w:t>
      </w:r>
      <w:r>
        <w:rPr>
          <w:color w:val="231F20"/>
          <w:spacing w:val="-3"/>
          <w:w w:val="105"/>
        </w:rPr>
        <w:t> </w:t>
      </w:r>
      <w:r>
        <w:rPr>
          <w:color w:val="231F20"/>
          <w:w w:val="105"/>
        </w:rPr>
        <w:t>se</w:t>
      </w:r>
      <w:r>
        <w:rPr>
          <w:color w:val="231F20"/>
          <w:spacing w:val="-3"/>
          <w:w w:val="105"/>
        </w:rPr>
        <w:t> </w:t>
      </w:r>
      <w:r>
        <w:rPr>
          <w:color w:val="231F20"/>
          <w:w w:val="105"/>
        </w:rPr>
        <w:t>han convertido</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medios</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control</w:t>
      </w:r>
      <w:r>
        <w:rPr>
          <w:color w:val="231F20"/>
          <w:spacing w:val="-8"/>
          <w:w w:val="105"/>
        </w:rPr>
        <w:t> </w:t>
      </w:r>
      <w:r>
        <w:rPr>
          <w:color w:val="231F20"/>
          <w:w w:val="105"/>
        </w:rPr>
        <w:t>político</w:t>
      </w:r>
      <w:r>
        <w:rPr>
          <w:color w:val="231F20"/>
          <w:spacing w:val="-8"/>
          <w:w w:val="105"/>
        </w:rPr>
        <w:t> </w:t>
      </w:r>
      <w:r>
        <w:rPr>
          <w:color w:val="231F20"/>
          <w:spacing w:val="2"/>
          <w:w w:val="105"/>
        </w:rPr>
        <w:t>al</w:t>
      </w:r>
      <w:r>
        <w:rPr>
          <w:color w:val="231F20"/>
          <w:spacing w:val="-8"/>
          <w:w w:val="105"/>
        </w:rPr>
        <w:t> </w:t>
      </w:r>
      <w:r>
        <w:rPr>
          <w:color w:val="231F20"/>
          <w:w w:val="105"/>
        </w:rPr>
        <w:t>interior</w:t>
      </w:r>
      <w:r>
        <w:rPr>
          <w:color w:val="231F20"/>
          <w:spacing w:val="-8"/>
          <w:w w:val="105"/>
        </w:rPr>
        <w:t> </w:t>
      </w:r>
      <w:r>
        <w:rPr>
          <w:color w:val="231F20"/>
          <w:w w:val="105"/>
        </w:rPr>
        <w:t>del</w:t>
      </w:r>
      <w:r>
        <w:rPr>
          <w:color w:val="231F20"/>
          <w:spacing w:val="-8"/>
          <w:w w:val="105"/>
        </w:rPr>
        <w:t> </w:t>
      </w:r>
      <w:r>
        <w:rPr>
          <w:color w:val="231F20"/>
          <w:w w:val="105"/>
        </w:rPr>
        <w:t>ayuntamiento,</w:t>
      </w:r>
      <w:r>
        <w:rPr>
          <w:color w:val="231F20"/>
          <w:spacing w:val="-8"/>
          <w:w w:val="105"/>
        </w:rPr>
        <w:t> </w:t>
      </w:r>
      <w:r>
        <w:rPr>
          <w:color w:val="231F20"/>
          <w:w w:val="105"/>
        </w:rPr>
        <w:t>debido</w:t>
      </w:r>
      <w:r>
        <w:rPr>
          <w:color w:val="231F20"/>
          <w:spacing w:val="-8"/>
          <w:w w:val="105"/>
        </w:rPr>
        <w:t> </w:t>
      </w:r>
      <w:r>
        <w:rPr>
          <w:color w:val="231F20"/>
          <w:w w:val="105"/>
        </w:rPr>
        <w:t>a que por los compromisos hechos en campaña, la designación de funcionarios está su- bordinada</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intereses</w:t>
      </w:r>
      <w:r>
        <w:rPr>
          <w:color w:val="231F20"/>
          <w:spacing w:val="-12"/>
          <w:w w:val="105"/>
        </w:rPr>
        <w:t> </w:t>
      </w:r>
      <w:r>
        <w:rPr>
          <w:color w:val="231F20"/>
          <w:w w:val="105"/>
        </w:rPr>
        <w:t>del</w:t>
      </w:r>
      <w:r>
        <w:rPr>
          <w:color w:val="231F20"/>
          <w:spacing w:val="-12"/>
          <w:w w:val="105"/>
        </w:rPr>
        <w:t> </w:t>
      </w:r>
      <w:r>
        <w:rPr>
          <w:color w:val="231F20"/>
          <w:w w:val="105"/>
        </w:rPr>
        <w:t>presidente</w:t>
      </w:r>
      <w:r>
        <w:rPr>
          <w:color w:val="231F20"/>
          <w:spacing w:val="-12"/>
          <w:w w:val="105"/>
        </w:rPr>
        <w:t> </w:t>
      </w:r>
      <w:r>
        <w:rPr>
          <w:color w:val="231F20"/>
          <w:w w:val="105"/>
        </w:rPr>
        <w:t>municipal</w:t>
      </w:r>
      <w:r>
        <w:rPr>
          <w:color w:val="231F20"/>
          <w:spacing w:val="-12"/>
          <w:w w:val="105"/>
        </w:rPr>
        <w:t> </w:t>
      </w:r>
      <w:r>
        <w:rPr>
          <w:color w:val="231F20"/>
          <w:w w:val="105"/>
        </w:rPr>
        <w:t>y</w:t>
      </w:r>
      <w:r>
        <w:rPr>
          <w:color w:val="231F20"/>
          <w:spacing w:val="-12"/>
          <w:w w:val="105"/>
        </w:rPr>
        <w:t> </w:t>
      </w:r>
      <w:r>
        <w:rPr>
          <w:color w:val="231F20"/>
          <w:w w:val="105"/>
        </w:rPr>
        <w:t>del</w:t>
      </w:r>
      <w:r>
        <w:rPr>
          <w:color w:val="231F20"/>
          <w:spacing w:val="-12"/>
          <w:w w:val="105"/>
        </w:rPr>
        <w:t> </w:t>
      </w:r>
      <w:r>
        <w:rPr>
          <w:color w:val="231F20"/>
          <w:w w:val="105"/>
        </w:rPr>
        <w:t>partido</w:t>
      </w:r>
      <w:r>
        <w:rPr>
          <w:color w:val="231F20"/>
          <w:spacing w:val="-12"/>
          <w:w w:val="105"/>
        </w:rPr>
        <w:t> </w:t>
      </w:r>
      <w:r>
        <w:rPr>
          <w:color w:val="231F20"/>
          <w:w w:val="105"/>
        </w:rPr>
        <w:t>mayoritario.</w:t>
      </w:r>
    </w:p>
    <w:p>
      <w:pPr>
        <w:pStyle w:val="BodyText"/>
        <w:spacing w:before="1"/>
        <w:rPr>
          <w:sz w:val="26"/>
        </w:rPr>
      </w:pPr>
    </w:p>
    <w:p>
      <w:pPr>
        <w:pStyle w:val="BodyText"/>
        <w:spacing w:line="285" w:lineRule="auto"/>
        <w:ind w:left="110" w:right="108"/>
        <w:jc w:val="both"/>
      </w:pPr>
      <w:r>
        <w:rPr>
          <w:color w:val="231F20"/>
          <w:w w:val="105"/>
        </w:rPr>
        <w:t>La estructura organizacional del ayuntamiento debe atender dos criterios: el adminis- trativo y el operativo, es decir, deben estar presentes las funciones adjetivas y sustan- tivas. Las primeras atienden precisamente actividades relacionadas con el manejo de personal, material y recursos públicos, y las segundas al ejercicio público en sí.</w:t>
      </w:r>
    </w:p>
    <w:p>
      <w:pPr>
        <w:pStyle w:val="BodyText"/>
        <w:spacing w:before="1"/>
        <w:rPr>
          <w:sz w:val="26"/>
        </w:rPr>
      </w:pPr>
    </w:p>
    <w:p>
      <w:pPr>
        <w:pStyle w:val="BodyText"/>
        <w:spacing w:line="285" w:lineRule="auto"/>
        <w:ind w:left="110" w:right="107"/>
        <w:jc w:val="both"/>
      </w:pPr>
      <w:r>
        <w:rPr>
          <w:color w:val="231F20"/>
        </w:rPr>
        <w:t>Analizando el organigrama del ayuntamiento de Ixtapan de la Sal, de las once dependen- cias directas más tres autónomas, cuatro realizan trabajos relacionados con la función adjetiva, y el resto con la sustantiva </w:t>
      </w:r>
      <w:r>
        <w:rPr>
          <w:color w:val="231F20"/>
          <w:spacing w:val="-5"/>
        </w:rPr>
        <w:t>(Ver </w:t>
      </w:r>
      <w:r>
        <w:rPr>
          <w:color w:val="231F20"/>
        </w:rPr>
        <w:t>Cuadro </w:t>
      </w:r>
      <w:r>
        <w:rPr>
          <w:color w:val="231F20"/>
          <w:spacing w:val="-4"/>
        </w:rPr>
        <w:t>6). </w:t>
      </w:r>
      <w:r>
        <w:rPr>
          <w:color w:val="231F20"/>
        </w:rPr>
        <w:t>Además se observa que cada de- pendencia tiene una estructura que permite atender con cierta especialización las áreas    de sus respectivas competencias. La tesorería municipal, por </w:t>
      </w:r>
      <w:r>
        <w:rPr>
          <w:color w:val="231F20"/>
          <w:spacing w:val="-3"/>
        </w:rPr>
        <w:t>ejemplo, </w:t>
      </w:r>
      <w:r>
        <w:rPr>
          <w:color w:val="231F20"/>
        </w:rPr>
        <w:t>cuenta con tres subdirecciones: una especializada en ingresos, otra en egresos y por último en Catastro; Contraloría por el contrario, es una dependencia única sin estructura </w:t>
      </w:r>
      <w:r>
        <w:rPr>
          <w:color w:val="231F20"/>
          <w:spacing w:val="2"/>
        </w:rPr>
        <w:t>al </w:t>
      </w:r>
      <w:r>
        <w:rPr>
          <w:color w:val="231F20"/>
          <w:spacing w:val="-3"/>
        </w:rPr>
        <w:t>interior, </w:t>
      </w:r>
      <w:r>
        <w:rPr>
          <w:color w:val="231F20"/>
          <w:spacing w:val="2"/>
        </w:rPr>
        <w:t>al </w:t>
      </w:r>
      <w:r>
        <w:rPr>
          <w:color w:val="231F20"/>
        </w:rPr>
        <w:t>igual que</w:t>
      </w:r>
      <w:r>
        <w:rPr>
          <w:color w:val="231F20"/>
          <w:spacing w:val="25"/>
        </w:rPr>
        <w:t> </w:t>
      </w:r>
      <w:r>
        <w:rPr>
          <w:color w:val="231F20"/>
        </w:rPr>
        <w:t>la</w:t>
      </w:r>
      <w:r>
        <w:rPr>
          <w:color w:val="231F20"/>
          <w:spacing w:val="25"/>
        </w:rPr>
        <w:t> </w:t>
      </w:r>
      <w:r>
        <w:rPr>
          <w:color w:val="231F20"/>
        </w:rPr>
        <w:t>Coordinación</w:t>
      </w:r>
      <w:r>
        <w:rPr>
          <w:color w:val="231F20"/>
          <w:spacing w:val="25"/>
        </w:rPr>
        <w:t> </w:t>
      </w:r>
      <w:r>
        <w:rPr>
          <w:color w:val="231F20"/>
        </w:rPr>
        <w:t>de</w:t>
      </w:r>
      <w:r>
        <w:rPr>
          <w:color w:val="231F20"/>
          <w:spacing w:val="25"/>
        </w:rPr>
        <w:t> </w:t>
      </w:r>
      <w:r>
        <w:rPr>
          <w:color w:val="231F20"/>
        </w:rPr>
        <w:t>Derechos</w:t>
      </w:r>
      <w:r>
        <w:rPr>
          <w:color w:val="231F20"/>
          <w:spacing w:val="25"/>
        </w:rPr>
        <w:t> </w:t>
      </w:r>
      <w:r>
        <w:rPr>
          <w:color w:val="231F20"/>
        </w:rPr>
        <w:t>humanos,</w:t>
      </w:r>
      <w:r>
        <w:rPr>
          <w:color w:val="231F20"/>
          <w:spacing w:val="25"/>
        </w:rPr>
        <w:t> </w:t>
      </w:r>
      <w:r>
        <w:rPr>
          <w:color w:val="231F20"/>
        </w:rPr>
        <w:t>la</w:t>
      </w:r>
      <w:r>
        <w:rPr>
          <w:color w:val="231F20"/>
          <w:spacing w:val="25"/>
        </w:rPr>
        <w:t> </w:t>
      </w:r>
      <w:r>
        <w:rPr>
          <w:color w:val="231F20"/>
        </w:rPr>
        <w:t>cual</w:t>
      </w:r>
      <w:r>
        <w:rPr>
          <w:color w:val="231F20"/>
          <w:spacing w:val="25"/>
        </w:rPr>
        <w:t> </w:t>
      </w:r>
      <w:r>
        <w:rPr>
          <w:color w:val="231F20"/>
        </w:rPr>
        <w:t>es</w:t>
      </w:r>
      <w:r>
        <w:rPr>
          <w:color w:val="231F20"/>
          <w:spacing w:val="25"/>
        </w:rPr>
        <w:t> </w:t>
      </w:r>
      <w:r>
        <w:rPr>
          <w:color w:val="231F20"/>
          <w:spacing w:val="-3"/>
        </w:rPr>
        <w:t>autónoma</w:t>
      </w:r>
      <w:r>
        <w:rPr>
          <w:color w:val="231F20"/>
          <w:spacing w:val="25"/>
        </w:rPr>
        <w:t> </w:t>
      </w:r>
      <w:r>
        <w:rPr>
          <w:color w:val="231F20"/>
        </w:rPr>
        <w:t>del</w:t>
      </w:r>
      <w:r>
        <w:rPr>
          <w:color w:val="231F20"/>
          <w:spacing w:val="25"/>
        </w:rPr>
        <w:t> </w:t>
      </w:r>
      <w:r>
        <w:rPr>
          <w:color w:val="231F20"/>
        </w:rPr>
        <w:t>ayuntamiento.</w:t>
      </w:r>
    </w:p>
    <w:p>
      <w:pPr>
        <w:pStyle w:val="BodyText"/>
        <w:spacing w:before="1"/>
        <w:rPr>
          <w:sz w:val="26"/>
        </w:rPr>
      </w:pPr>
    </w:p>
    <w:p>
      <w:pPr>
        <w:pStyle w:val="BodyText"/>
        <w:spacing w:line="285" w:lineRule="auto"/>
        <w:ind w:left="110" w:right="107"/>
        <w:jc w:val="both"/>
      </w:pPr>
      <w:r>
        <w:rPr>
          <w:color w:val="231F20"/>
          <w:w w:val="105"/>
        </w:rPr>
        <w:t>Lo que no se observa es una dependencia encargada del archivo municipal, informa- ción pública y/o transparencia, de fomento a la participación ciudadana, de la Mujer, ni alguna exclusiva a la salud pública, la que sería de suma importancia por la falta de cobertura de los servicios de seguridad social en las localidades. El síndico pro-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spacing w:val="3"/>
          <w:w w:val="105"/>
        </w:rPr>
        <w:t>curador </w:t>
      </w:r>
      <w:r>
        <w:rPr>
          <w:color w:val="231F20"/>
          <w:spacing w:val="4"/>
          <w:w w:val="105"/>
        </w:rPr>
        <w:t>tampoco </w:t>
      </w:r>
      <w:r>
        <w:rPr>
          <w:color w:val="231F20"/>
          <w:spacing w:val="3"/>
          <w:w w:val="105"/>
        </w:rPr>
        <w:t>aparece </w:t>
      </w:r>
      <w:r>
        <w:rPr>
          <w:color w:val="231F20"/>
          <w:w w:val="105"/>
        </w:rPr>
        <w:t>en </w:t>
      </w:r>
      <w:r>
        <w:rPr>
          <w:color w:val="231F20"/>
          <w:spacing w:val="2"/>
          <w:w w:val="105"/>
        </w:rPr>
        <w:t>la</w:t>
      </w:r>
      <w:r>
        <w:rPr>
          <w:color w:val="231F20"/>
          <w:spacing w:val="59"/>
          <w:w w:val="105"/>
        </w:rPr>
        <w:t> </w:t>
      </w:r>
      <w:r>
        <w:rPr>
          <w:color w:val="231F20"/>
          <w:spacing w:val="5"/>
          <w:w w:val="105"/>
        </w:rPr>
        <w:t>estructura.</w:t>
      </w:r>
    </w:p>
    <w:p>
      <w:pPr>
        <w:pStyle w:val="BodyText"/>
        <w:spacing w:before="2"/>
        <w:rPr>
          <w:sz w:val="30"/>
        </w:rPr>
      </w:pPr>
    </w:p>
    <w:p>
      <w:pPr>
        <w:pStyle w:val="BodyText"/>
        <w:spacing w:line="285" w:lineRule="auto"/>
        <w:ind w:left="110" w:right="107"/>
        <w:jc w:val="both"/>
      </w:pPr>
      <w:r>
        <w:rPr>
          <w:color w:val="231F20"/>
          <w:w w:val="105"/>
        </w:rPr>
        <w:t>Ahora bien, la red burocrática creada </w:t>
      </w:r>
      <w:r>
        <w:rPr>
          <w:color w:val="231F20"/>
          <w:spacing w:val="3"/>
          <w:w w:val="105"/>
        </w:rPr>
        <w:t>al </w:t>
      </w:r>
      <w:r>
        <w:rPr>
          <w:color w:val="231F20"/>
          <w:w w:val="105"/>
        </w:rPr>
        <w:t>interior del </w:t>
      </w:r>
      <w:r>
        <w:rPr>
          <w:color w:val="231F20"/>
          <w:spacing w:val="2"/>
          <w:w w:val="105"/>
        </w:rPr>
        <w:t>ayuntamiento </w:t>
      </w:r>
      <w:r>
        <w:rPr>
          <w:color w:val="231F20"/>
          <w:w w:val="105"/>
        </w:rPr>
        <w:t>permite que </w:t>
      </w:r>
      <w:r>
        <w:rPr>
          <w:color w:val="231F20"/>
          <w:spacing w:val="-4"/>
          <w:w w:val="105"/>
        </w:rPr>
        <w:t>“el </w:t>
      </w:r>
      <w:r>
        <w:rPr>
          <w:color w:val="231F20"/>
          <w:spacing w:val="2"/>
          <w:w w:val="105"/>
        </w:rPr>
        <w:t>flujo </w:t>
      </w:r>
      <w:r>
        <w:rPr>
          <w:color w:val="231F20"/>
          <w:w w:val="105"/>
        </w:rPr>
        <w:t>de decisiones se </w:t>
      </w:r>
      <w:r>
        <w:rPr>
          <w:color w:val="231F20"/>
          <w:spacing w:val="3"/>
          <w:w w:val="105"/>
        </w:rPr>
        <w:t>transmitan, </w:t>
      </w:r>
      <w:r>
        <w:rPr>
          <w:color w:val="231F20"/>
          <w:w w:val="105"/>
        </w:rPr>
        <w:t>reciban e impacten de manera no cuestionada en lo </w:t>
      </w:r>
      <w:r>
        <w:rPr>
          <w:color w:val="231F20"/>
          <w:spacing w:val="2"/>
          <w:w w:val="105"/>
        </w:rPr>
        <w:t>fundamental</w:t>
      </w:r>
      <w:r>
        <w:rPr>
          <w:color w:val="231F20"/>
          <w:spacing w:val="-9"/>
          <w:w w:val="105"/>
        </w:rPr>
        <w:t> </w:t>
      </w:r>
      <w:r>
        <w:rPr>
          <w:color w:val="231F20"/>
          <w:w w:val="105"/>
        </w:rPr>
        <w:t>(y</w:t>
      </w:r>
      <w:r>
        <w:rPr>
          <w:color w:val="231F20"/>
          <w:spacing w:val="-9"/>
          <w:w w:val="105"/>
        </w:rPr>
        <w:t> </w:t>
      </w:r>
      <w:r>
        <w:rPr>
          <w:color w:val="231F20"/>
          <w:w w:val="105"/>
        </w:rPr>
        <w:t>que)</w:t>
      </w:r>
      <w:r>
        <w:rPr>
          <w:color w:val="231F20"/>
          <w:spacing w:val="-9"/>
          <w:w w:val="105"/>
        </w:rPr>
        <w:t> </w:t>
      </w:r>
      <w:r>
        <w:rPr>
          <w:color w:val="231F20"/>
          <w:w w:val="105"/>
        </w:rPr>
        <w:t>implica</w:t>
      </w:r>
      <w:r>
        <w:rPr>
          <w:color w:val="231F20"/>
          <w:spacing w:val="-9"/>
          <w:w w:val="105"/>
        </w:rPr>
        <w:t> </w:t>
      </w:r>
      <w:r>
        <w:rPr>
          <w:color w:val="231F20"/>
          <w:w w:val="105"/>
        </w:rPr>
        <w:t>la</w:t>
      </w:r>
      <w:r>
        <w:rPr>
          <w:color w:val="231F20"/>
          <w:spacing w:val="-9"/>
          <w:w w:val="105"/>
        </w:rPr>
        <w:t> </w:t>
      </w:r>
      <w:r>
        <w:rPr>
          <w:color w:val="231F20"/>
          <w:w w:val="105"/>
        </w:rPr>
        <w:t>no</w:t>
      </w:r>
      <w:r>
        <w:rPr>
          <w:color w:val="231F20"/>
          <w:spacing w:val="-9"/>
          <w:w w:val="105"/>
        </w:rPr>
        <w:t> </w:t>
      </w:r>
      <w:r>
        <w:rPr>
          <w:color w:val="231F20"/>
          <w:spacing w:val="2"/>
          <w:w w:val="105"/>
        </w:rPr>
        <w:t>pluralidad</w:t>
      </w:r>
      <w:r>
        <w:rPr>
          <w:color w:val="231F20"/>
          <w:spacing w:val="-9"/>
          <w:w w:val="105"/>
        </w:rPr>
        <w:t> </w:t>
      </w:r>
      <w:r>
        <w:rPr>
          <w:color w:val="231F20"/>
          <w:w w:val="105"/>
        </w:rPr>
        <w:t>dentro</w:t>
      </w:r>
      <w:r>
        <w:rPr>
          <w:color w:val="231F20"/>
          <w:spacing w:val="-9"/>
          <w:w w:val="105"/>
        </w:rPr>
        <w:t> </w:t>
      </w:r>
      <w:r>
        <w:rPr>
          <w:color w:val="231F20"/>
          <w:w w:val="105"/>
        </w:rPr>
        <w:t>de</w:t>
      </w:r>
      <w:r>
        <w:rPr>
          <w:color w:val="231F20"/>
          <w:spacing w:val="-9"/>
          <w:w w:val="105"/>
        </w:rPr>
        <w:t> </w:t>
      </w:r>
      <w:r>
        <w:rPr>
          <w:color w:val="231F20"/>
          <w:w w:val="105"/>
        </w:rPr>
        <w:t>esa</w:t>
      </w:r>
      <w:r>
        <w:rPr>
          <w:color w:val="231F20"/>
          <w:spacing w:val="-9"/>
          <w:w w:val="105"/>
        </w:rPr>
        <w:t> </w:t>
      </w:r>
      <w:r>
        <w:rPr>
          <w:color w:val="231F20"/>
          <w:spacing w:val="2"/>
          <w:w w:val="105"/>
        </w:rPr>
        <w:t>estructura”</w:t>
      </w:r>
      <w:r>
        <w:rPr>
          <w:color w:val="231F20"/>
          <w:spacing w:val="-9"/>
          <w:w w:val="105"/>
        </w:rPr>
        <w:t> </w:t>
      </w:r>
      <w:r>
        <w:rPr>
          <w:color w:val="231F20"/>
          <w:w w:val="105"/>
        </w:rPr>
        <w:t>(Guillén,</w:t>
      </w:r>
      <w:r>
        <w:rPr>
          <w:color w:val="231F20"/>
          <w:spacing w:val="-9"/>
          <w:w w:val="105"/>
        </w:rPr>
        <w:t> </w:t>
      </w:r>
      <w:r>
        <w:rPr>
          <w:color w:val="231F20"/>
          <w:w w:val="105"/>
        </w:rPr>
        <w:t>1995: 35), lo que provoca que </w:t>
      </w:r>
      <w:r>
        <w:rPr>
          <w:color w:val="231F20"/>
          <w:spacing w:val="2"/>
          <w:w w:val="105"/>
        </w:rPr>
        <w:t>las </w:t>
      </w:r>
      <w:r>
        <w:rPr>
          <w:color w:val="231F20"/>
          <w:w w:val="105"/>
        </w:rPr>
        <w:t>acciones y decisiones de cada dependencia estén sujetas a ciertos</w:t>
      </w:r>
      <w:r>
        <w:rPr>
          <w:color w:val="231F20"/>
          <w:spacing w:val="22"/>
          <w:w w:val="105"/>
        </w:rPr>
        <w:t> </w:t>
      </w:r>
      <w:r>
        <w:rPr>
          <w:color w:val="231F20"/>
          <w:w w:val="105"/>
        </w:rPr>
        <w:t>intereses.</w:t>
      </w:r>
    </w:p>
    <w:p>
      <w:pPr>
        <w:pStyle w:val="BodyText"/>
        <w:spacing w:before="1"/>
        <w:rPr>
          <w:sz w:val="26"/>
        </w:rPr>
      </w:pPr>
    </w:p>
    <w:p>
      <w:pPr>
        <w:pStyle w:val="BodyText"/>
        <w:spacing w:line="285" w:lineRule="auto"/>
        <w:ind w:left="110" w:right="108"/>
        <w:jc w:val="both"/>
      </w:pPr>
      <w:r>
        <w:rPr>
          <w:color w:val="231F20"/>
          <w:spacing w:val="-4"/>
          <w:w w:val="105"/>
        </w:rPr>
        <w:t>Tomando</w:t>
      </w:r>
      <w:r>
        <w:rPr>
          <w:color w:val="231F20"/>
          <w:spacing w:val="-13"/>
          <w:w w:val="105"/>
        </w:rPr>
        <w:t> </w:t>
      </w:r>
      <w:r>
        <w:rPr>
          <w:color w:val="231F20"/>
          <w:w w:val="105"/>
        </w:rPr>
        <w:t>en</w:t>
      </w:r>
      <w:r>
        <w:rPr>
          <w:color w:val="231F20"/>
          <w:spacing w:val="-13"/>
          <w:w w:val="105"/>
        </w:rPr>
        <w:t> </w:t>
      </w:r>
      <w:r>
        <w:rPr>
          <w:color w:val="231F20"/>
          <w:w w:val="105"/>
        </w:rPr>
        <w:t>cuenta</w:t>
      </w:r>
      <w:r>
        <w:rPr>
          <w:color w:val="231F20"/>
          <w:spacing w:val="-13"/>
          <w:w w:val="105"/>
        </w:rPr>
        <w:t> </w:t>
      </w:r>
      <w:r>
        <w:rPr>
          <w:color w:val="231F20"/>
          <w:w w:val="105"/>
        </w:rPr>
        <w:t>la</w:t>
      </w:r>
      <w:r>
        <w:rPr>
          <w:color w:val="231F20"/>
          <w:spacing w:val="-13"/>
          <w:w w:val="105"/>
        </w:rPr>
        <w:t> </w:t>
      </w:r>
      <w:r>
        <w:rPr>
          <w:color w:val="231F20"/>
          <w:w w:val="105"/>
        </w:rPr>
        <w:t>información</w:t>
      </w:r>
      <w:r>
        <w:rPr>
          <w:color w:val="231F20"/>
          <w:spacing w:val="-13"/>
          <w:w w:val="105"/>
        </w:rPr>
        <w:t> </w:t>
      </w:r>
      <w:r>
        <w:rPr>
          <w:color w:val="231F20"/>
          <w:w w:val="105"/>
        </w:rPr>
        <w:t>proporcionada</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regidora</w:t>
      </w:r>
      <w:r>
        <w:rPr>
          <w:color w:val="231F20"/>
          <w:spacing w:val="-13"/>
          <w:w w:val="105"/>
        </w:rPr>
        <w:t> </w:t>
      </w:r>
      <w:r>
        <w:rPr>
          <w:color w:val="231F20"/>
          <w:w w:val="105"/>
        </w:rPr>
        <w:t>panista</w:t>
      </w:r>
      <w:r>
        <w:rPr>
          <w:color w:val="231F20"/>
          <w:spacing w:val="-13"/>
          <w:w w:val="105"/>
        </w:rPr>
        <w:t> </w:t>
      </w:r>
      <w:r>
        <w:rPr>
          <w:color w:val="231F20"/>
          <w:w w:val="105"/>
        </w:rPr>
        <w:t>Gloria</w:t>
      </w:r>
      <w:r>
        <w:rPr>
          <w:color w:val="231F20"/>
          <w:spacing w:val="-13"/>
          <w:w w:val="105"/>
        </w:rPr>
        <w:t> </w:t>
      </w:r>
      <w:r>
        <w:rPr>
          <w:color w:val="231F20"/>
          <w:w w:val="105"/>
        </w:rPr>
        <w:t>Rodrí- guez,</w:t>
      </w:r>
      <w:r>
        <w:rPr>
          <w:color w:val="231F20"/>
          <w:spacing w:val="-5"/>
          <w:w w:val="105"/>
        </w:rPr>
        <w:t> </w:t>
      </w:r>
      <w:r>
        <w:rPr>
          <w:color w:val="231F20"/>
          <w:w w:val="105"/>
        </w:rPr>
        <w:t>en</w:t>
      </w:r>
      <w:r>
        <w:rPr>
          <w:color w:val="231F20"/>
          <w:spacing w:val="-5"/>
          <w:w w:val="105"/>
        </w:rPr>
        <w:t> </w:t>
      </w:r>
      <w:r>
        <w:rPr>
          <w:color w:val="231F20"/>
          <w:w w:val="105"/>
        </w:rPr>
        <w:t>relación</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designación</w:t>
      </w:r>
      <w:r>
        <w:rPr>
          <w:color w:val="231F20"/>
          <w:spacing w:val="-5"/>
          <w:w w:val="105"/>
        </w:rPr>
        <w:t> </w:t>
      </w:r>
      <w:r>
        <w:rPr>
          <w:color w:val="231F20"/>
          <w:w w:val="105"/>
        </w:rPr>
        <w:t>de</w:t>
      </w:r>
      <w:r>
        <w:rPr>
          <w:color w:val="231F20"/>
          <w:spacing w:val="-5"/>
          <w:w w:val="105"/>
        </w:rPr>
        <w:t> </w:t>
      </w:r>
      <w:r>
        <w:rPr>
          <w:color w:val="231F20"/>
          <w:w w:val="105"/>
        </w:rPr>
        <w:t>funcionarios</w:t>
      </w:r>
      <w:r>
        <w:rPr>
          <w:color w:val="231F20"/>
          <w:spacing w:val="-5"/>
          <w:w w:val="105"/>
        </w:rPr>
        <w:t> </w:t>
      </w:r>
      <w:r>
        <w:rPr>
          <w:color w:val="231F20"/>
          <w:spacing w:val="2"/>
          <w:w w:val="105"/>
        </w:rPr>
        <w:t>al</w:t>
      </w:r>
      <w:r>
        <w:rPr>
          <w:color w:val="231F20"/>
          <w:spacing w:val="-5"/>
          <w:w w:val="105"/>
        </w:rPr>
        <w:t> </w:t>
      </w:r>
      <w:r>
        <w:rPr>
          <w:color w:val="231F20"/>
          <w:w w:val="105"/>
        </w:rPr>
        <w:t>inicio</w:t>
      </w:r>
      <w:r>
        <w:rPr>
          <w:color w:val="231F20"/>
          <w:spacing w:val="-5"/>
          <w:w w:val="105"/>
        </w:rPr>
        <w:t> </w:t>
      </w:r>
      <w:r>
        <w:rPr>
          <w:color w:val="231F20"/>
          <w:w w:val="105"/>
        </w:rPr>
        <w:t>del</w:t>
      </w:r>
      <w:r>
        <w:rPr>
          <w:color w:val="231F20"/>
          <w:spacing w:val="-5"/>
          <w:w w:val="105"/>
        </w:rPr>
        <w:t> </w:t>
      </w:r>
      <w:r>
        <w:rPr>
          <w:color w:val="231F20"/>
          <w:w w:val="105"/>
        </w:rPr>
        <w:t>periodo</w:t>
      </w:r>
      <w:r>
        <w:rPr>
          <w:color w:val="231F20"/>
          <w:spacing w:val="-5"/>
          <w:w w:val="105"/>
        </w:rPr>
        <w:t> </w:t>
      </w:r>
      <w:r>
        <w:rPr>
          <w:color w:val="231F20"/>
          <w:w w:val="105"/>
        </w:rPr>
        <w:t>de</w:t>
      </w:r>
      <w:r>
        <w:rPr>
          <w:color w:val="231F20"/>
          <w:spacing w:val="-5"/>
          <w:w w:val="105"/>
        </w:rPr>
        <w:t> </w:t>
      </w:r>
      <w:r>
        <w:rPr>
          <w:color w:val="231F20"/>
          <w:w w:val="105"/>
        </w:rPr>
        <w:t>gobierno, como</w:t>
      </w:r>
      <w:r>
        <w:rPr>
          <w:color w:val="231F20"/>
          <w:spacing w:val="-10"/>
          <w:w w:val="105"/>
        </w:rPr>
        <w:t> </w:t>
      </w:r>
      <w:r>
        <w:rPr>
          <w:color w:val="231F20"/>
          <w:w w:val="105"/>
        </w:rPr>
        <w:t>regidores</w:t>
      </w:r>
      <w:r>
        <w:rPr>
          <w:color w:val="231F20"/>
          <w:spacing w:val="-10"/>
          <w:w w:val="105"/>
        </w:rPr>
        <w:t> </w:t>
      </w:r>
      <w:r>
        <w:rPr>
          <w:color w:val="231F20"/>
          <w:w w:val="105"/>
        </w:rPr>
        <w:t>de</w:t>
      </w:r>
      <w:r>
        <w:rPr>
          <w:color w:val="231F20"/>
          <w:spacing w:val="-10"/>
          <w:w w:val="105"/>
        </w:rPr>
        <w:t> </w:t>
      </w:r>
      <w:r>
        <w:rPr>
          <w:color w:val="231F20"/>
          <w:w w:val="105"/>
        </w:rPr>
        <w:t>oposición</w:t>
      </w:r>
      <w:r>
        <w:rPr>
          <w:color w:val="231F20"/>
          <w:spacing w:val="-10"/>
          <w:w w:val="105"/>
        </w:rPr>
        <w:t> </w:t>
      </w:r>
      <w:r>
        <w:rPr>
          <w:color w:val="231F20"/>
          <w:w w:val="105"/>
        </w:rPr>
        <w:t>sólo</w:t>
      </w:r>
      <w:r>
        <w:rPr>
          <w:color w:val="231F20"/>
          <w:spacing w:val="-10"/>
          <w:w w:val="105"/>
        </w:rPr>
        <w:t> </w:t>
      </w:r>
      <w:r>
        <w:rPr>
          <w:color w:val="231F20"/>
          <w:w w:val="105"/>
        </w:rPr>
        <w:t>les</w:t>
      </w:r>
      <w:r>
        <w:rPr>
          <w:color w:val="231F20"/>
          <w:spacing w:val="-10"/>
          <w:w w:val="105"/>
        </w:rPr>
        <w:t> </w:t>
      </w:r>
      <w:r>
        <w:rPr>
          <w:color w:val="231F20"/>
          <w:w w:val="105"/>
        </w:rPr>
        <w:t>fue</w:t>
      </w:r>
      <w:r>
        <w:rPr>
          <w:color w:val="231F20"/>
          <w:spacing w:val="-10"/>
          <w:w w:val="105"/>
        </w:rPr>
        <w:t> </w:t>
      </w:r>
      <w:r>
        <w:rPr>
          <w:color w:val="231F20"/>
          <w:w w:val="105"/>
        </w:rPr>
        <w:t>permitido</w:t>
      </w:r>
      <w:r>
        <w:rPr>
          <w:color w:val="231F20"/>
          <w:spacing w:val="-10"/>
          <w:w w:val="105"/>
        </w:rPr>
        <w:t> </w:t>
      </w:r>
      <w:r>
        <w:rPr>
          <w:color w:val="231F20"/>
          <w:w w:val="105"/>
        </w:rPr>
        <w:t>designar</w:t>
      </w:r>
      <w:r>
        <w:rPr>
          <w:color w:val="231F20"/>
          <w:spacing w:val="-10"/>
          <w:w w:val="105"/>
        </w:rPr>
        <w:t> </w:t>
      </w:r>
      <w:r>
        <w:rPr>
          <w:color w:val="231F20"/>
          <w:w w:val="105"/>
        </w:rPr>
        <w:t>colaboradores</w:t>
      </w:r>
      <w:r>
        <w:rPr>
          <w:color w:val="231F20"/>
          <w:spacing w:val="-10"/>
          <w:w w:val="105"/>
        </w:rPr>
        <w:t> </w:t>
      </w:r>
      <w:r>
        <w:rPr>
          <w:color w:val="231F20"/>
          <w:w w:val="105"/>
        </w:rPr>
        <w:t>en</w:t>
      </w:r>
      <w:r>
        <w:rPr>
          <w:color w:val="231F20"/>
          <w:spacing w:val="-10"/>
          <w:w w:val="105"/>
        </w:rPr>
        <w:t> </w:t>
      </w:r>
      <w:r>
        <w:rPr>
          <w:color w:val="231F20"/>
          <w:w w:val="105"/>
        </w:rPr>
        <w:t>aquellas dependencias que correspondieran a sus respectivas comisiones (2008), de </w:t>
      </w:r>
      <w:r>
        <w:rPr>
          <w:color w:val="231F20"/>
          <w:spacing w:val="2"/>
          <w:w w:val="105"/>
        </w:rPr>
        <w:t>tal </w:t>
      </w:r>
      <w:r>
        <w:rPr>
          <w:color w:val="231F20"/>
          <w:w w:val="105"/>
        </w:rPr>
        <w:t>forma que en el caso del PRD </w:t>
      </w:r>
      <w:r>
        <w:rPr>
          <w:color w:val="231F20"/>
          <w:spacing w:val="2"/>
          <w:w w:val="105"/>
        </w:rPr>
        <w:t>al </w:t>
      </w:r>
      <w:r>
        <w:rPr>
          <w:color w:val="231F20"/>
          <w:w w:val="105"/>
        </w:rPr>
        <w:t>que le correspondió Mercados y Reglamentos únicamente tiene</w:t>
      </w:r>
      <w:r>
        <w:rPr>
          <w:color w:val="231F20"/>
          <w:spacing w:val="-21"/>
          <w:w w:val="105"/>
        </w:rPr>
        <w:t> </w:t>
      </w:r>
      <w:r>
        <w:rPr>
          <w:color w:val="231F20"/>
          <w:w w:val="105"/>
        </w:rPr>
        <w:t>colaboradores</w:t>
      </w:r>
      <w:r>
        <w:rPr>
          <w:color w:val="231F20"/>
          <w:spacing w:val="-21"/>
          <w:w w:val="105"/>
        </w:rPr>
        <w:t> </w:t>
      </w:r>
      <w:r>
        <w:rPr>
          <w:color w:val="231F20"/>
          <w:w w:val="105"/>
        </w:rPr>
        <w:t>cercanos</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subdirección</w:t>
      </w:r>
      <w:r>
        <w:rPr>
          <w:color w:val="231F20"/>
          <w:spacing w:val="-21"/>
          <w:w w:val="105"/>
        </w:rPr>
        <w:t> </w:t>
      </w:r>
      <w:r>
        <w:rPr>
          <w:color w:val="231F20"/>
          <w:w w:val="105"/>
        </w:rPr>
        <w:t>de</w:t>
      </w:r>
      <w:r>
        <w:rPr>
          <w:color w:val="231F20"/>
          <w:spacing w:val="-21"/>
          <w:w w:val="105"/>
        </w:rPr>
        <w:t> </w:t>
      </w:r>
      <w:r>
        <w:rPr>
          <w:color w:val="231F20"/>
          <w:w w:val="105"/>
        </w:rPr>
        <w:t>Mercados</w:t>
      </w:r>
      <w:r>
        <w:rPr>
          <w:color w:val="231F20"/>
          <w:spacing w:val="-21"/>
          <w:w w:val="105"/>
        </w:rPr>
        <w:t> </w:t>
      </w:r>
      <w:r>
        <w:rPr>
          <w:color w:val="231F20"/>
          <w:w w:val="105"/>
        </w:rPr>
        <w:t>y</w:t>
      </w:r>
      <w:r>
        <w:rPr>
          <w:color w:val="231F20"/>
          <w:spacing w:val="-21"/>
          <w:w w:val="105"/>
        </w:rPr>
        <w:t> </w:t>
      </w:r>
      <w:r>
        <w:rPr>
          <w:color w:val="231F20"/>
          <w:w w:val="105"/>
        </w:rPr>
        <w:t>tianguis;</w:t>
      </w:r>
      <w:r>
        <w:rPr>
          <w:color w:val="231F20"/>
          <w:spacing w:val="-21"/>
          <w:w w:val="105"/>
        </w:rPr>
        <w:t> </w:t>
      </w:r>
      <w:r>
        <w:rPr>
          <w:color w:val="231F20"/>
          <w:w w:val="105"/>
        </w:rPr>
        <w:t>mientras</w:t>
      </w:r>
      <w:r>
        <w:rPr>
          <w:color w:val="231F20"/>
          <w:spacing w:val="-21"/>
          <w:w w:val="105"/>
        </w:rPr>
        <w:t> </w:t>
      </w:r>
      <w:r>
        <w:rPr>
          <w:color w:val="231F20"/>
          <w:w w:val="105"/>
        </w:rPr>
        <w:t>que</w:t>
      </w:r>
      <w:r>
        <w:rPr>
          <w:color w:val="231F20"/>
          <w:spacing w:val="-21"/>
          <w:w w:val="105"/>
        </w:rPr>
        <w:t> </w:t>
      </w:r>
      <w:r>
        <w:rPr>
          <w:color w:val="231F20"/>
          <w:w w:val="105"/>
        </w:rPr>
        <w:t>el </w:t>
      </w:r>
      <w:r>
        <w:rPr>
          <w:color w:val="231F20"/>
          <w:spacing w:val="-4"/>
          <w:w w:val="105"/>
        </w:rPr>
        <w:t>PAN,</w:t>
      </w:r>
      <w:r>
        <w:rPr>
          <w:color w:val="231F20"/>
          <w:spacing w:val="-12"/>
          <w:w w:val="105"/>
        </w:rPr>
        <w:t> </w:t>
      </w:r>
      <w:r>
        <w:rPr>
          <w:color w:val="231F20"/>
          <w:w w:val="105"/>
        </w:rPr>
        <w:t>cuyas</w:t>
      </w:r>
      <w:r>
        <w:rPr>
          <w:color w:val="231F20"/>
          <w:spacing w:val="-12"/>
          <w:w w:val="105"/>
        </w:rPr>
        <w:t> </w:t>
      </w:r>
      <w:r>
        <w:rPr>
          <w:color w:val="231F20"/>
          <w:w w:val="105"/>
        </w:rPr>
        <w:t>comisiones</w:t>
      </w:r>
      <w:r>
        <w:rPr>
          <w:color w:val="231F20"/>
          <w:spacing w:val="-12"/>
          <w:w w:val="105"/>
        </w:rPr>
        <w:t> </w:t>
      </w:r>
      <w:r>
        <w:rPr>
          <w:color w:val="231F20"/>
          <w:w w:val="105"/>
        </w:rPr>
        <w:t>fueron</w:t>
      </w:r>
      <w:r>
        <w:rPr>
          <w:color w:val="231F20"/>
          <w:spacing w:val="-12"/>
          <w:w w:val="105"/>
        </w:rPr>
        <w:t> </w:t>
      </w:r>
      <w:r>
        <w:rPr>
          <w:color w:val="231F20"/>
          <w:w w:val="105"/>
        </w:rPr>
        <w:t>Empleo</w:t>
      </w:r>
      <w:r>
        <w:rPr>
          <w:color w:val="231F20"/>
          <w:spacing w:val="-12"/>
          <w:w w:val="105"/>
        </w:rPr>
        <w:t> </w:t>
      </w:r>
      <w:r>
        <w:rPr>
          <w:color w:val="231F20"/>
          <w:w w:val="105"/>
        </w:rPr>
        <w:t>y</w:t>
      </w:r>
      <w:r>
        <w:rPr>
          <w:color w:val="231F20"/>
          <w:spacing w:val="-12"/>
          <w:w w:val="105"/>
        </w:rPr>
        <w:t> </w:t>
      </w:r>
      <w:r>
        <w:rPr>
          <w:color w:val="231F20"/>
          <w:w w:val="105"/>
        </w:rPr>
        <w:t>Alumbrado</w:t>
      </w:r>
      <w:r>
        <w:rPr>
          <w:color w:val="231F20"/>
          <w:spacing w:val="-12"/>
          <w:w w:val="105"/>
        </w:rPr>
        <w:t> </w:t>
      </w:r>
      <w:r>
        <w:rPr>
          <w:color w:val="231F20"/>
          <w:w w:val="105"/>
        </w:rPr>
        <w:t>Público,</w:t>
      </w:r>
      <w:r>
        <w:rPr>
          <w:color w:val="231F20"/>
          <w:spacing w:val="-12"/>
          <w:w w:val="105"/>
        </w:rPr>
        <w:t> </w:t>
      </w:r>
      <w:r>
        <w:rPr>
          <w:color w:val="231F20"/>
          <w:w w:val="105"/>
        </w:rPr>
        <w:t>y</w:t>
      </w:r>
      <w:r>
        <w:rPr>
          <w:color w:val="231F20"/>
          <w:spacing w:val="-12"/>
          <w:w w:val="105"/>
        </w:rPr>
        <w:t> </w:t>
      </w:r>
      <w:r>
        <w:rPr>
          <w:color w:val="231F20"/>
          <w:spacing w:val="-3"/>
          <w:w w:val="105"/>
        </w:rPr>
        <w:t>fomento</w:t>
      </w:r>
      <w:r>
        <w:rPr>
          <w:color w:val="231F20"/>
          <w:spacing w:val="-12"/>
          <w:w w:val="105"/>
        </w:rPr>
        <w:t> </w:t>
      </w:r>
      <w:r>
        <w:rPr>
          <w:color w:val="231F20"/>
          <w:w w:val="105"/>
        </w:rPr>
        <w:t>agropecuario, sólo influyó en la designación del Subdirector de Alumbrado Público y en la de</w:t>
      </w:r>
      <w:r>
        <w:rPr>
          <w:color w:val="231F20"/>
          <w:spacing w:val="-36"/>
          <w:w w:val="105"/>
        </w:rPr>
        <w:t> </w:t>
      </w:r>
      <w:r>
        <w:rPr>
          <w:color w:val="231F20"/>
          <w:w w:val="105"/>
        </w:rPr>
        <w:t>Desa- rrollo</w:t>
      </w:r>
      <w:r>
        <w:rPr>
          <w:color w:val="231F20"/>
          <w:spacing w:val="-29"/>
          <w:w w:val="105"/>
        </w:rPr>
        <w:t> </w:t>
      </w:r>
      <w:r>
        <w:rPr>
          <w:color w:val="231F20"/>
          <w:w w:val="105"/>
        </w:rPr>
        <w:t>Agropecuario.</w:t>
      </w:r>
    </w:p>
    <w:p>
      <w:pPr>
        <w:pStyle w:val="BodyText"/>
        <w:spacing w:before="1"/>
        <w:rPr>
          <w:sz w:val="26"/>
        </w:rPr>
      </w:pPr>
    </w:p>
    <w:p>
      <w:pPr>
        <w:pStyle w:val="BodyText"/>
        <w:spacing w:line="285" w:lineRule="auto"/>
        <w:ind w:left="110" w:right="108"/>
        <w:jc w:val="both"/>
      </w:pPr>
      <w:r>
        <w:rPr>
          <w:color w:val="231F20"/>
          <w:w w:val="105"/>
        </w:rPr>
        <w:t>En </w:t>
      </w:r>
      <w:r>
        <w:rPr>
          <w:color w:val="231F20"/>
          <w:spacing w:val="2"/>
          <w:w w:val="105"/>
        </w:rPr>
        <w:t>cuanto </w:t>
      </w:r>
      <w:r>
        <w:rPr>
          <w:color w:val="231F20"/>
          <w:w w:val="105"/>
        </w:rPr>
        <w:t>a la rotación de puestos, que es común en el </w:t>
      </w:r>
      <w:r>
        <w:rPr>
          <w:color w:val="231F20"/>
          <w:spacing w:val="3"/>
          <w:w w:val="105"/>
        </w:rPr>
        <w:t>transcurso </w:t>
      </w:r>
      <w:r>
        <w:rPr>
          <w:color w:val="231F20"/>
          <w:w w:val="105"/>
        </w:rPr>
        <w:t>de la </w:t>
      </w:r>
      <w:r>
        <w:rPr>
          <w:color w:val="231F20"/>
          <w:spacing w:val="3"/>
          <w:w w:val="105"/>
        </w:rPr>
        <w:t>administra- </w:t>
      </w:r>
      <w:r>
        <w:rPr>
          <w:color w:val="231F20"/>
          <w:w w:val="105"/>
        </w:rPr>
        <w:t>ción </w:t>
      </w:r>
      <w:r>
        <w:rPr>
          <w:color w:val="231F20"/>
          <w:spacing w:val="2"/>
          <w:w w:val="105"/>
        </w:rPr>
        <w:t>municipal, particularmente </w:t>
      </w:r>
      <w:r>
        <w:rPr>
          <w:color w:val="231F20"/>
          <w:w w:val="105"/>
        </w:rPr>
        <w:t>en </w:t>
      </w:r>
      <w:r>
        <w:rPr>
          <w:color w:val="231F20"/>
          <w:spacing w:val="3"/>
          <w:w w:val="105"/>
        </w:rPr>
        <w:t>Ixtapan </w:t>
      </w:r>
      <w:r>
        <w:rPr>
          <w:color w:val="231F20"/>
          <w:w w:val="105"/>
        </w:rPr>
        <w:t>de la </w:t>
      </w:r>
      <w:r>
        <w:rPr>
          <w:color w:val="231F20"/>
          <w:spacing w:val="2"/>
          <w:w w:val="105"/>
        </w:rPr>
        <w:t>Sal, </w:t>
      </w:r>
      <w:r>
        <w:rPr>
          <w:color w:val="231F20"/>
          <w:w w:val="105"/>
        </w:rPr>
        <w:t>como se mencionó, tristemente el </w:t>
      </w:r>
      <w:r>
        <w:rPr>
          <w:color w:val="231F20"/>
          <w:spacing w:val="2"/>
          <w:w w:val="105"/>
        </w:rPr>
        <w:t>alcalde </w:t>
      </w:r>
      <w:r>
        <w:rPr>
          <w:color w:val="231F20"/>
          <w:w w:val="105"/>
        </w:rPr>
        <w:t>Salvador Vergara </w:t>
      </w:r>
      <w:r>
        <w:rPr>
          <w:color w:val="231F20"/>
          <w:spacing w:val="2"/>
          <w:w w:val="105"/>
        </w:rPr>
        <w:t>fue </w:t>
      </w:r>
      <w:r>
        <w:rPr>
          <w:color w:val="231F20"/>
          <w:w w:val="105"/>
        </w:rPr>
        <w:t>asesinado en </w:t>
      </w:r>
      <w:r>
        <w:rPr>
          <w:color w:val="231F20"/>
          <w:spacing w:val="4"/>
          <w:w w:val="105"/>
        </w:rPr>
        <w:t>2008 </w:t>
      </w:r>
      <w:r>
        <w:rPr>
          <w:color w:val="231F20"/>
          <w:w w:val="105"/>
        </w:rPr>
        <w:t>o </w:t>
      </w:r>
      <w:r>
        <w:rPr>
          <w:color w:val="231F20"/>
          <w:spacing w:val="3"/>
          <w:w w:val="105"/>
        </w:rPr>
        <w:t>cual </w:t>
      </w:r>
      <w:r>
        <w:rPr>
          <w:color w:val="231F20"/>
          <w:spacing w:val="2"/>
          <w:w w:val="105"/>
        </w:rPr>
        <w:t>conllevó </w:t>
      </w:r>
      <w:r>
        <w:rPr>
          <w:color w:val="231F20"/>
          <w:w w:val="105"/>
        </w:rPr>
        <w:t>cinco </w:t>
      </w:r>
      <w:r>
        <w:rPr>
          <w:color w:val="231F20"/>
          <w:spacing w:val="2"/>
          <w:w w:val="105"/>
        </w:rPr>
        <w:t>modifica- </w:t>
      </w:r>
      <w:r>
        <w:rPr>
          <w:color w:val="231F20"/>
          <w:w w:val="105"/>
        </w:rPr>
        <w:t>ciones: la primera </w:t>
      </w:r>
      <w:r>
        <w:rPr>
          <w:color w:val="231F20"/>
          <w:spacing w:val="2"/>
          <w:w w:val="105"/>
        </w:rPr>
        <w:t>fue </w:t>
      </w:r>
      <w:r>
        <w:rPr>
          <w:color w:val="231F20"/>
          <w:w w:val="105"/>
        </w:rPr>
        <w:t>que </w:t>
      </w:r>
      <w:r>
        <w:rPr>
          <w:color w:val="231F20"/>
          <w:spacing w:val="3"/>
          <w:w w:val="105"/>
        </w:rPr>
        <w:t>Oscar </w:t>
      </w:r>
      <w:r>
        <w:rPr>
          <w:color w:val="231F20"/>
          <w:w w:val="105"/>
        </w:rPr>
        <w:t>Salvador Tovar </w:t>
      </w:r>
      <w:r>
        <w:rPr>
          <w:color w:val="231F20"/>
          <w:spacing w:val="2"/>
          <w:w w:val="105"/>
        </w:rPr>
        <w:t>Arizmendi asumió </w:t>
      </w:r>
      <w:r>
        <w:rPr>
          <w:color w:val="231F20"/>
          <w:w w:val="105"/>
        </w:rPr>
        <w:t>la presidencia </w:t>
      </w:r>
      <w:r>
        <w:rPr>
          <w:color w:val="231F20"/>
          <w:spacing w:val="2"/>
          <w:w w:val="105"/>
        </w:rPr>
        <w:t>municipal, </w:t>
      </w:r>
      <w:r>
        <w:rPr>
          <w:color w:val="231F20"/>
          <w:w w:val="105"/>
        </w:rPr>
        <w:t>por decisión de la </w:t>
      </w:r>
      <w:r>
        <w:rPr>
          <w:color w:val="231F20"/>
          <w:spacing w:val="3"/>
          <w:w w:val="105"/>
        </w:rPr>
        <w:t>Legislatura </w:t>
      </w:r>
      <w:r>
        <w:rPr>
          <w:color w:val="231F20"/>
          <w:spacing w:val="2"/>
          <w:w w:val="105"/>
        </w:rPr>
        <w:t>local, </w:t>
      </w:r>
      <w:r>
        <w:rPr>
          <w:color w:val="231F20"/>
          <w:w w:val="105"/>
        </w:rPr>
        <w:t>luego de que </w:t>
      </w:r>
      <w:r>
        <w:rPr>
          <w:color w:val="231F20"/>
          <w:spacing w:val="3"/>
          <w:w w:val="105"/>
        </w:rPr>
        <w:t>Oscar </w:t>
      </w:r>
      <w:r>
        <w:rPr>
          <w:color w:val="231F20"/>
          <w:w w:val="105"/>
        </w:rPr>
        <w:t>Morales </w:t>
      </w:r>
      <w:r>
        <w:rPr>
          <w:color w:val="231F20"/>
          <w:spacing w:val="-3"/>
          <w:w w:val="105"/>
        </w:rPr>
        <w:t>Torres </w:t>
      </w:r>
      <w:r>
        <w:rPr>
          <w:color w:val="231F20"/>
          <w:w w:val="105"/>
        </w:rPr>
        <w:t>renunció a su derecho de ser presidente sustituto. El segundo cambio correspondió a la </w:t>
      </w:r>
      <w:r>
        <w:rPr>
          <w:color w:val="231F20"/>
          <w:spacing w:val="2"/>
          <w:w w:val="105"/>
        </w:rPr>
        <w:t>Secretaría </w:t>
      </w:r>
      <w:r>
        <w:rPr>
          <w:color w:val="231F20"/>
          <w:w w:val="105"/>
        </w:rPr>
        <w:t>del Ayuntamiento pues Felipe de Jesús Asunción renunció </w:t>
      </w:r>
      <w:r>
        <w:rPr>
          <w:color w:val="231F20"/>
          <w:spacing w:val="3"/>
          <w:w w:val="105"/>
        </w:rPr>
        <w:t>al </w:t>
      </w:r>
      <w:r>
        <w:rPr>
          <w:color w:val="231F20"/>
          <w:w w:val="105"/>
        </w:rPr>
        <w:t>cargo </w:t>
      </w:r>
      <w:r>
        <w:rPr>
          <w:color w:val="231F20"/>
          <w:spacing w:val="3"/>
          <w:w w:val="105"/>
        </w:rPr>
        <w:t>tras </w:t>
      </w:r>
      <w:r>
        <w:rPr>
          <w:color w:val="231F20"/>
          <w:spacing w:val="2"/>
          <w:w w:val="105"/>
        </w:rPr>
        <w:t>las</w:t>
      </w:r>
      <w:r>
        <w:rPr>
          <w:color w:val="231F20"/>
          <w:spacing w:val="-13"/>
          <w:w w:val="105"/>
        </w:rPr>
        <w:t> </w:t>
      </w:r>
      <w:r>
        <w:rPr>
          <w:color w:val="231F20"/>
          <w:w w:val="105"/>
        </w:rPr>
        <w:t>agresiones</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también</w:t>
      </w:r>
      <w:r>
        <w:rPr>
          <w:color w:val="231F20"/>
          <w:spacing w:val="-13"/>
          <w:w w:val="105"/>
        </w:rPr>
        <w:t> </w:t>
      </w:r>
      <w:r>
        <w:rPr>
          <w:color w:val="231F20"/>
          <w:spacing w:val="2"/>
          <w:w w:val="105"/>
        </w:rPr>
        <w:t>fue</w:t>
      </w:r>
      <w:r>
        <w:rPr>
          <w:color w:val="231F20"/>
          <w:spacing w:val="-13"/>
          <w:w w:val="105"/>
        </w:rPr>
        <w:t> </w:t>
      </w:r>
      <w:r>
        <w:rPr>
          <w:color w:val="231F20"/>
          <w:spacing w:val="3"/>
          <w:w w:val="105"/>
        </w:rPr>
        <w:t>víctima,</w:t>
      </w:r>
      <w:r>
        <w:rPr>
          <w:color w:val="231F20"/>
          <w:spacing w:val="-13"/>
          <w:w w:val="105"/>
        </w:rPr>
        <w:t> </w:t>
      </w:r>
      <w:r>
        <w:rPr>
          <w:color w:val="231F20"/>
          <w:w w:val="105"/>
        </w:rPr>
        <w:t>quedando</w:t>
      </w:r>
      <w:r>
        <w:rPr>
          <w:color w:val="231F20"/>
          <w:spacing w:val="-13"/>
          <w:w w:val="105"/>
        </w:rPr>
        <w:t> </w:t>
      </w:r>
      <w:r>
        <w:rPr>
          <w:color w:val="231F20"/>
          <w:spacing w:val="3"/>
          <w:w w:val="105"/>
        </w:rPr>
        <w:t>Alfredo</w:t>
      </w:r>
      <w:r>
        <w:rPr>
          <w:color w:val="231F20"/>
          <w:spacing w:val="-13"/>
          <w:w w:val="105"/>
        </w:rPr>
        <w:t> </w:t>
      </w:r>
      <w:r>
        <w:rPr>
          <w:color w:val="231F20"/>
          <w:spacing w:val="2"/>
          <w:w w:val="105"/>
        </w:rPr>
        <w:t>Rodríguez,</w:t>
      </w:r>
      <w:r>
        <w:rPr>
          <w:color w:val="231F20"/>
          <w:spacing w:val="-13"/>
          <w:w w:val="105"/>
        </w:rPr>
        <w:t> </w:t>
      </w:r>
      <w:r>
        <w:rPr>
          <w:color w:val="231F20"/>
          <w:w w:val="105"/>
        </w:rPr>
        <w:t>quien</w:t>
      </w:r>
      <w:r>
        <w:rPr>
          <w:color w:val="231F20"/>
          <w:spacing w:val="-13"/>
          <w:w w:val="105"/>
        </w:rPr>
        <w:t> </w:t>
      </w:r>
      <w:r>
        <w:rPr>
          <w:color w:val="231F20"/>
          <w:spacing w:val="4"/>
          <w:w w:val="105"/>
        </w:rPr>
        <w:t>fungía </w:t>
      </w:r>
      <w:r>
        <w:rPr>
          <w:color w:val="231F20"/>
          <w:w w:val="105"/>
        </w:rPr>
        <w:t>como </w:t>
      </w:r>
      <w:r>
        <w:rPr>
          <w:color w:val="231F20"/>
          <w:spacing w:val="2"/>
          <w:w w:val="105"/>
        </w:rPr>
        <w:t>secretario </w:t>
      </w:r>
      <w:r>
        <w:rPr>
          <w:color w:val="231F20"/>
          <w:spacing w:val="3"/>
          <w:w w:val="105"/>
        </w:rPr>
        <w:t>particular. </w:t>
      </w:r>
      <w:r>
        <w:rPr>
          <w:color w:val="231F20"/>
          <w:w w:val="105"/>
        </w:rPr>
        <w:t>Este cargo lo </w:t>
      </w:r>
      <w:r>
        <w:rPr>
          <w:color w:val="231F20"/>
          <w:spacing w:val="3"/>
          <w:w w:val="105"/>
        </w:rPr>
        <w:t>asumió </w:t>
      </w:r>
      <w:r>
        <w:rPr>
          <w:color w:val="231F20"/>
          <w:spacing w:val="4"/>
          <w:w w:val="105"/>
        </w:rPr>
        <w:t>Levi Millán </w:t>
      </w:r>
      <w:r>
        <w:rPr>
          <w:color w:val="231F20"/>
          <w:spacing w:val="2"/>
          <w:w w:val="105"/>
        </w:rPr>
        <w:t>Guadarrama, </w:t>
      </w:r>
      <w:r>
        <w:rPr>
          <w:color w:val="231F20"/>
          <w:w w:val="105"/>
        </w:rPr>
        <w:t>pariente de</w:t>
      </w:r>
      <w:r>
        <w:rPr>
          <w:color w:val="231F20"/>
          <w:spacing w:val="-10"/>
          <w:w w:val="105"/>
        </w:rPr>
        <w:t> </w:t>
      </w:r>
      <w:r>
        <w:rPr>
          <w:color w:val="231F20"/>
          <w:w w:val="105"/>
        </w:rPr>
        <w:t>Raymundo</w:t>
      </w:r>
      <w:r>
        <w:rPr>
          <w:color w:val="231F20"/>
          <w:spacing w:val="-10"/>
          <w:w w:val="105"/>
        </w:rPr>
        <w:t> </w:t>
      </w:r>
      <w:r>
        <w:rPr>
          <w:color w:val="231F20"/>
          <w:spacing w:val="2"/>
          <w:w w:val="105"/>
        </w:rPr>
        <w:t>Guadarrama,</w:t>
      </w:r>
      <w:r>
        <w:rPr>
          <w:color w:val="231F20"/>
          <w:spacing w:val="-10"/>
          <w:w w:val="105"/>
        </w:rPr>
        <w:t> </w:t>
      </w:r>
      <w:r>
        <w:rPr>
          <w:color w:val="231F20"/>
          <w:w w:val="105"/>
        </w:rPr>
        <w:t>colaborador</w:t>
      </w:r>
      <w:r>
        <w:rPr>
          <w:color w:val="231F20"/>
          <w:spacing w:val="-10"/>
          <w:w w:val="105"/>
        </w:rPr>
        <w:t> </w:t>
      </w:r>
      <w:r>
        <w:rPr>
          <w:color w:val="231F20"/>
          <w:w w:val="105"/>
        </w:rPr>
        <w:t>del</w:t>
      </w:r>
      <w:r>
        <w:rPr>
          <w:color w:val="231F20"/>
          <w:spacing w:val="-10"/>
          <w:w w:val="105"/>
        </w:rPr>
        <w:t> </w:t>
      </w:r>
      <w:r>
        <w:rPr>
          <w:color w:val="231F20"/>
          <w:spacing w:val="2"/>
          <w:w w:val="105"/>
        </w:rPr>
        <w:t>fallecido</w:t>
      </w:r>
      <w:r>
        <w:rPr>
          <w:color w:val="231F20"/>
          <w:spacing w:val="-10"/>
          <w:w w:val="105"/>
        </w:rPr>
        <w:t> </w:t>
      </w:r>
      <w:r>
        <w:rPr>
          <w:color w:val="231F20"/>
          <w:spacing w:val="2"/>
          <w:w w:val="105"/>
        </w:rPr>
        <w:t>alcalde.</w:t>
      </w:r>
    </w:p>
    <w:p>
      <w:pPr>
        <w:pStyle w:val="BodyText"/>
        <w:spacing w:before="1"/>
        <w:rPr>
          <w:sz w:val="26"/>
        </w:rPr>
      </w:pPr>
    </w:p>
    <w:p>
      <w:pPr>
        <w:pStyle w:val="BodyText"/>
        <w:spacing w:line="285" w:lineRule="auto"/>
        <w:ind w:left="110" w:right="108"/>
        <w:jc w:val="both"/>
      </w:pPr>
      <w:r>
        <w:rPr>
          <w:color w:val="231F20"/>
          <w:w w:val="105"/>
        </w:rPr>
        <w:t>La </w:t>
      </w:r>
      <w:r>
        <w:rPr>
          <w:color w:val="231F20"/>
          <w:spacing w:val="-3"/>
          <w:w w:val="105"/>
        </w:rPr>
        <w:t>dirección de </w:t>
      </w:r>
      <w:r>
        <w:rPr>
          <w:color w:val="231F20"/>
          <w:spacing w:val="-6"/>
          <w:w w:val="105"/>
        </w:rPr>
        <w:t>Turismo, </w:t>
      </w:r>
      <w:r>
        <w:rPr>
          <w:color w:val="231F20"/>
          <w:spacing w:val="-5"/>
          <w:w w:val="105"/>
        </w:rPr>
        <w:t>dependencia </w:t>
      </w:r>
      <w:r>
        <w:rPr>
          <w:color w:val="231F20"/>
          <w:spacing w:val="-3"/>
          <w:w w:val="105"/>
        </w:rPr>
        <w:t>importante por ser el </w:t>
      </w:r>
      <w:r>
        <w:rPr>
          <w:color w:val="231F20"/>
          <w:w w:val="105"/>
        </w:rPr>
        <w:t>vínculo </w:t>
      </w:r>
      <w:r>
        <w:rPr>
          <w:color w:val="231F20"/>
          <w:spacing w:val="-4"/>
          <w:w w:val="105"/>
        </w:rPr>
        <w:t>del </w:t>
      </w:r>
      <w:r>
        <w:rPr>
          <w:color w:val="231F20"/>
          <w:spacing w:val="-3"/>
          <w:w w:val="105"/>
        </w:rPr>
        <w:t>sector </w:t>
      </w:r>
      <w:r>
        <w:rPr>
          <w:color w:val="231F20"/>
          <w:spacing w:val="-5"/>
          <w:w w:val="105"/>
        </w:rPr>
        <w:t>hotelero </w:t>
      </w:r>
      <w:r>
        <w:rPr>
          <w:color w:val="231F20"/>
          <w:w w:val="105"/>
        </w:rPr>
        <w:t>y </w:t>
      </w:r>
      <w:r>
        <w:rPr>
          <w:color w:val="231F20"/>
          <w:spacing w:val="-4"/>
          <w:w w:val="105"/>
        </w:rPr>
        <w:t>comercial</w:t>
      </w:r>
      <w:r>
        <w:rPr>
          <w:color w:val="231F20"/>
          <w:spacing w:val="-23"/>
          <w:w w:val="105"/>
        </w:rPr>
        <w:t> </w:t>
      </w:r>
      <w:r>
        <w:rPr>
          <w:color w:val="231F20"/>
          <w:spacing w:val="-4"/>
          <w:w w:val="105"/>
        </w:rPr>
        <w:t>con</w:t>
      </w:r>
      <w:r>
        <w:rPr>
          <w:color w:val="231F20"/>
          <w:spacing w:val="-23"/>
          <w:w w:val="105"/>
        </w:rPr>
        <w:t> </w:t>
      </w:r>
      <w:r>
        <w:rPr>
          <w:color w:val="231F20"/>
          <w:spacing w:val="-3"/>
          <w:w w:val="105"/>
        </w:rPr>
        <w:t>el</w:t>
      </w:r>
      <w:r>
        <w:rPr>
          <w:color w:val="231F20"/>
          <w:spacing w:val="-23"/>
          <w:w w:val="105"/>
        </w:rPr>
        <w:t> </w:t>
      </w:r>
      <w:r>
        <w:rPr>
          <w:color w:val="231F20"/>
          <w:spacing w:val="-5"/>
          <w:w w:val="105"/>
        </w:rPr>
        <w:t>gobierno</w:t>
      </w:r>
      <w:r>
        <w:rPr>
          <w:color w:val="231F20"/>
          <w:spacing w:val="-23"/>
          <w:w w:val="105"/>
        </w:rPr>
        <w:t> </w:t>
      </w:r>
      <w:r>
        <w:rPr>
          <w:color w:val="231F20"/>
          <w:spacing w:val="-3"/>
          <w:w w:val="105"/>
        </w:rPr>
        <w:t>municipal</w:t>
      </w:r>
      <w:r>
        <w:rPr>
          <w:color w:val="231F20"/>
          <w:spacing w:val="-23"/>
          <w:w w:val="105"/>
        </w:rPr>
        <w:t> </w:t>
      </w:r>
      <w:r>
        <w:rPr>
          <w:color w:val="231F20"/>
          <w:w w:val="105"/>
        </w:rPr>
        <w:t>y</w:t>
      </w:r>
      <w:r>
        <w:rPr>
          <w:color w:val="231F20"/>
          <w:spacing w:val="-23"/>
          <w:w w:val="105"/>
        </w:rPr>
        <w:t> </w:t>
      </w:r>
      <w:r>
        <w:rPr>
          <w:color w:val="231F20"/>
          <w:w w:val="105"/>
        </w:rPr>
        <w:t>otras</w:t>
      </w:r>
      <w:r>
        <w:rPr>
          <w:color w:val="231F20"/>
          <w:spacing w:val="-23"/>
          <w:w w:val="105"/>
        </w:rPr>
        <w:t> </w:t>
      </w:r>
      <w:r>
        <w:rPr>
          <w:color w:val="231F20"/>
          <w:w w:val="105"/>
        </w:rPr>
        <w:t>instancias,</w:t>
      </w:r>
      <w:r>
        <w:rPr>
          <w:color w:val="231F20"/>
          <w:spacing w:val="-23"/>
          <w:w w:val="105"/>
        </w:rPr>
        <w:t> </w:t>
      </w:r>
      <w:r>
        <w:rPr>
          <w:color w:val="231F20"/>
          <w:spacing w:val="-4"/>
          <w:w w:val="105"/>
        </w:rPr>
        <w:t>también</w:t>
      </w:r>
      <w:r>
        <w:rPr>
          <w:color w:val="231F20"/>
          <w:spacing w:val="-23"/>
          <w:w w:val="105"/>
        </w:rPr>
        <w:t> </w:t>
      </w:r>
      <w:r>
        <w:rPr>
          <w:color w:val="231F20"/>
          <w:w w:val="105"/>
        </w:rPr>
        <w:t>sufrió</w:t>
      </w:r>
      <w:r>
        <w:rPr>
          <w:color w:val="231F20"/>
          <w:spacing w:val="-23"/>
          <w:w w:val="105"/>
        </w:rPr>
        <w:t> </w:t>
      </w:r>
      <w:r>
        <w:rPr>
          <w:color w:val="231F20"/>
          <w:spacing w:val="-4"/>
          <w:w w:val="105"/>
        </w:rPr>
        <w:t>cambios</w:t>
      </w:r>
      <w:r>
        <w:rPr>
          <w:color w:val="231F20"/>
          <w:spacing w:val="-23"/>
          <w:w w:val="105"/>
        </w:rPr>
        <w:t> </w:t>
      </w:r>
      <w:r>
        <w:rPr>
          <w:color w:val="231F20"/>
          <w:spacing w:val="-4"/>
          <w:w w:val="105"/>
        </w:rPr>
        <w:t>pues</w:t>
      </w:r>
      <w:r>
        <w:rPr>
          <w:color w:val="231F20"/>
          <w:spacing w:val="-23"/>
          <w:w w:val="105"/>
        </w:rPr>
        <w:t> </w:t>
      </w:r>
      <w:r>
        <w:rPr>
          <w:color w:val="231F20"/>
          <w:w w:val="105"/>
        </w:rPr>
        <w:t>cuan-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10"/>
        <w:jc w:val="both"/>
      </w:pPr>
      <w:r>
        <w:rPr>
          <w:color w:val="231F20"/>
          <w:spacing w:val="-3"/>
          <w:w w:val="105"/>
        </w:rPr>
        <w:t>do </w:t>
      </w:r>
      <w:r>
        <w:rPr>
          <w:color w:val="231F20"/>
          <w:w w:val="105"/>
        </w:rPr>
        <w:t>salió </w:t>
      </w:r>
      <w:r>
        <w:rPr>
          <w:color w:val="231F20"/>
          <w:spacing w:val="-5"/>
          <w:w w:val="105"/>
        </w:rPr>
        <w:t>Jorge Obregón </w:t>
      </w:r>
      <w:r>
        <w:rPr>
          <w:color w:val="231F20"/>
          <w:spacing w:val="-4"/>
          <w:w w:val="105"/>
        </w:rPr>
        <w:t>entró </w:t>
      </w:r>
      <w:r>
        <w:rPr>
          <w:color w:val="231F20"/>
          <w:spacing w:val="-3"/>
          <w:w w:val="105"/>
        </w:rPr>
        <w:t>Miguel </w:t>
      </w:r>
      <w:r>
        <w:rPr>
          <w:color w:val="231F20"/>
          <w:w w:val="105"/>
        </w:rPr>
        <w:t>Castillo </w:t>
      </w:r>
      <w:r>
        <w:rPr>
          <w:color w:val="231F20"/>
          <w:spacing w:val="-5"/>
          <w:w w:val="105"/>
        </w:rPr>
        <w:t>Fierro, </w:t>
      </w:r>
      <w:r>
        <w:rPr>
          <w:color w:val="231F20"/>
          <w:spacing w:val="-4"/>
          <w:w w:val="105"/>
        </w:rPr>
        <w:t>pariente </w:t>
      </w:r>
      <w:r>
        <w:rPr>
          <w:color w:val="231F20"/>
          <w:spacing w:val="-3"/>
          <w:w w:val="105"/>
        </w:rPr>
        <w:t>de </w:t>
      </w:r>
      <w:r>
        <w:rPr>
          <w:color w:val="231F20"/>
          <w:w w:val="105"/>
        </w:rPr>
        <w:t>la </w:t>
      </w:r>
      <w:r>
        <w:rPr>
          <w:color w:val="231F20"/>
          <w:spacing w:val="-3"/>
          <w:w w:val="105"/>
        </w:rPr>
        <w:t>primera </w:t>
      </w:r>
      <w:r>
        <w:rPr>
          <w:color w:val="231F20"/>
          <w:spacing w:val="-4"/>
          <w:w w:val="105"/>
        </w:rPr>
        <w:t>regidora. </w:t>
      </w:r>
      <w:r>
        <w:rPr>
          <w:color w:val="231F20"/>
          <w:w w:val="105"/>
        </w:rPr>
        <w:t>La </w:t>
      </w:r>
      <w:r>
        <w:rPr>
          <w:color w:val="231F20"/>
          <w:spacing w:val="-4"/>
          <w:w w:val="105"/>
        </w:rPr>
        <w:t>Subdirección </w:t>
      </w:r>
      <w:r>
        <w:rPr>
          <w:color w:val="231F20"/>
          <w:spacing w:val="-3"/>
          <w:w w:val="105"/>
        </w:rPr>
        <w:t>de Recursos Humanos </w:t>
      </w:r>
      <w:r>
        <w:rPr>
          <w:color w:val="231F20"/>
          <w:w w:val="105"/>
        </w:rPr>
        <w:t>se </w:t>
      </w:r>
      <w:r>
        <w:rPr>
          <w:color w:val="231F20"/>
          <w:spacing w:val="-3"/>
          <w:w w:val="105"/>
        </w:rPr>
        <w:t>fusionó </w:t>
      </w:r>
      <w:r>
        <w:rPr>
          <w:color w:val="231F20"/>
          <w:spacing w:val="-4"/>
          <w:w w:val="105"/>
        </w:rPr>
        <w:t>con </w:t>
      </w:r>
      <w:r>
        <w:rPr>
          <w:color w:val="231F20"/>
          <w:w w:val="105"/>
        </w:rPr>
        <w:t>la </w:t>
      </w:r>
      <w:r>
        <w:rPr>
          <w:color w:val="231F20"/>
          <w:spacing w:val="-4"/>
          <w:w w:val="105"/>
        </w:rPr>
        <w:t>Subdirección </w:t>
      </w:r>
      <w:r>
        <w:rPr>
          <w:color w:val="231F20"/>
          <w:spacing w:val="-3"/>
          <w:w w:val="105"/>
        </w:rPr>
        <w:t>de Administración.</w:t>
      </w:r>
    </w:p>
    <w:p>
      <w:pPr>
        <w:pStyle w:val="BodyText"/>
        <w:spacing w:before="1"/>
        <w:rPr>
          <w:sz w:val="26"/>
        </w:rPr>
      </w:pPr>
    </w:p>
    <w:p>
      <w:pPr>
        <w:pStyle w:val="BodyText"/>
        <w:spacing w:line="285" w:lineRule="auto"/>
        <w:ind w:left="110" w:right="107"/>
        <w:jc w:val="both"/>
      </w:pPr>
      <w:r>
        <w:rPr>
          <w:color w:val="231F20"/>
          <w:w w:val="105"/>
        </w:rPr>
        <w:t>La</w:t>
      </w:r>
      <w:r>
        <w:rPr>
          <w:color w:val="231F20"/>
          <w:spacing w:val="-7"/>
          <w:w w:val="105"/>
        </w:rPr>
        <w:t> </w:t>
      </w:r>
      <w:r>
        <w:rPr>
          <w:color w:val="231F20"/>
          <w:w w:val="105"/>
        </w:rPr>
        <w:t>profesionalización</w:t>
      </w:r>
      <w:r>
        <w:rPr>
          <w:color w:val="231F20"/>
          <w:spacing w:val="-7"/>
          <w:w w:val="105"/>
        </w:rPr>
        <w:t> </w:t>
      </w:r>
      <w:r>
        <w:rPr>
          <w:color w:val="231F20"/>
          <w:w w:val="105"/>
        </w:rPr>
        <w:t>del</w:t>
      </w:r>
      <w:r>
        <w:rPr>
          <w:color w:val="231F20"/>
          <w:spacing w:val="-7"/>
          <w:w w:val="105"/>
        </w:rPr>
        <w:t> </w:t>
      </w:r>
      <w:r>
        <w:rPr>
          <w:color w:val="231F20"/>
          <w:w w:val="105"/>
        </w:rPr>
        <w:t>ejercicio</w:t>
      </w:r>
      <w:r>
        <w:rPr>
          <w:color w:val="231F20"/>
          <w:spacing w:val="-7"/>
          <w:w w:val="105"/>
        </w:rPr>
        <w:t> </w:t>
      </w:r>
      <w:r>
        <w:rPr>
          <w:color w:val="231F20"/>
          <w:w w:val="105"/>
        </w:rPr>
        <w:t>público</w:t>
      </w:r>
      <w:r>
        <w:rPr>
          <w:color w:val="231F20"/>
          <w:spacing w:val="-7"/>
          <w:w w:val="105"/>
        </w:rPr>
        <w:t> </w:t>
      </w:r>
      <w:r>
        <w:rPr>
          <w:color w:val="231F20"/>
          <w:w w:val="105"/>
        </w:rPr>
        <w:t>es</w:t>
      </w:r>
      <w:r>
        <w:rPr>
          <w:color w:val="231F20"/>
          <w:spacing w:val="-7"/>
          <w:w w:val="105"/>
        </w:rPr>
        <w:t> </w:t>
      </w:r>
      <w:r>
        <w:rPr>
          <w:color w:val="231F20"/>
          <w:w w:val="105"/>
        </w:rPr>
        <w:t>otro</w:t>
      </w:r>
      <w:r>
        <w:rPr>
          <w:color w:val="231F20"/>
          <w:spacing w:val="-7"/>
          <w:w w:val="105"/>
        </w:rPr>
        <w:t> </w:t>
      </w:r>
      <w:r>
        <w:rPr>
          <w:color w:val="231F20"/>
          <w:w w:val="105"/>
        </w:rPr>
        <w:t>tema</w:t>
      </w:r>
      <w:r>
        <w:rPr>
          <w:color w:val="231F20"/>
          <w:spacing w:val="-7"/>
          <w:w w:val="105"/>
        </w:rPr>
        <w:t> </w:t>
      </w:r>
      <w:r>
        <w:rPr>
          <w:color w:val="231F20"/>
          <w:w w:val="105"/>
        </w:rPr>
        <w:t>de</w:t>
      </w:r>
      <w:r>
        <w:rPr>
          <w:color w:val="231F20"/>
          <w:spacing w:val="-7"/>
          <w:w w:val="105"/>
        </w:rPr>
        <w:t> </w:t>
      </w:r>
      <w:r>
        <w:rPr>
          <w:color w:val="231F20"/>
          <w:w w:val="105"/>
        </w:rPr>
        <w:t>interés</w:t>
      </w:r>
      <w:r>
        <w:rPr>
          <w:color w:val="231F20"/>
          <w:spacing w:val="-7"/>
          <w:w w:val="105"/>
        </w:rPr>
        <w:t> </w:t>
      </w:r>
      <w:r>
        <w:rPr>
          <w:color w:val="231F20"/>
          <w:w w:val="105"/>
        </w:rPr>
        <w:t>democrático</w:t>
      </w:r>
      <w:r>
        <w:rPr>
          <w:color w:val="231F20"/>
          <w:spacing w:val="-7"/>
          <w:w w:val="105"/>
        </w:rPr>
        <w:t> </w:t>
      </w:r>
      <w:r>
        <w:rPr>
          <w:color w:val="231F20"/>
          <w:w w:val="105"/>
        </w:rPr>
        <w:t>actual- mente, pues contar con servidores públicos y funcionarios capaces de ejecutar progra- mas</w:t>
      </w:r>
      <w:r>
        <w:rPr>
          <w:color w:val="231F20"/>
          <w:spacing w:val="-15"/>
          <w:w w:val="105"/>
        </w:rPr>
        <w:t> </w:t>
      </w:r>
      <w:r>
        <w:rPr>
          <w:color w:val="231F20"/>
          <w:w w:val="105"/>
        </w:rPr>
        <w:t>y</w:t>
      </w:r>
      <w:r>
        <w:rPr>
          <w:color w:val="231F20"/>
          <w:spacing w:val="-15"/>
          <w:w w:val="105"/>
        </w:rPr>
        <w:t> </w:t>
      </w:r>
      <w:r>
        <w:rPr>
          <w:color w:val="231F20"/>
          <w:w w:val="105"/>
        </w:rPr>
        <w:t>proyectos</w:t>
      </w:r>
      <w:r>
        <w:rPr>
          <w:color w:val="231F20"/>
          <w:spacing w:val="-15"/>
          <w:w w:val="105"/>
        </w:rPr>
        <w:t> </w:t>
      </w:r>
      <w:r>
        <w:rPr>
          <w:color w:val="231F20"/>
          <w:w w:val="105"/>
        </w:rPr>
        <w:t>con</w:t>
      </w:r>
      <w:r>
        <w:rPr>
          <w:color w:val="231F20"/>
          <w:spacing w:val="-15"/>
          <w:w w:val="105"/>
        </w:rPr>
        <w:t> </w:t>
      </w:r>
      <w:r>
        <w:rPr>
          <w:color w:val="231F20"/>
          <w:w w:val="105"/>
        </w:rPr>
        <w:t>real</w:t>
      </w:r>
      <w:r>
        <w:rPr>
          <w:color w:val="231F20"/>
          <w:spacing w:val="-15"/>
          <w:w w:val="105"/>
        </w:rPr>
        <w:t> </w:t>
      </w:r>
      <w:r>
        <w:rPr>
          <w:color w:val="231F20"/>
          <w:w w:val="105"/>
        </w:rPr>
        <w:t>impacto</w:t>
      </w:r>
      <w:r>
        <w:rPr>
          <w:color w:val="231F20"/>
          <w:spacing w:val="-15"/>
          <w:w w:val="105"/>
        </w:rPr>
        <w:t> </w:t>
      </w:r>
      <w:r>
        <w:rPr>
          <w:color w:val="231F20"/>
          <w:w w:val="105"/>
        </w:rPr>
        <w:t>social,</w:t>
      </w:r>
      <w:r>
        <w:rPr>
          <w:color w:val="231F20"/>
          <w:spacing w:val="-15"/>
          <w:w w:val="105"/>
        </w:rPr>
        <w:t> </w:t>
      </w:r>
      <w:r>
        <w:rPr>
          <w:color w:val="231F20"/>
          <w:w w:val="105"/>
        </w:rPr>
        <w:t>es</w:t>
      </w:r>
      <w:r>
        <w:rPr>
          <w:color w:val="231F20"/>
          <w:spacing w:val="-15"/>
          <w:w w:val="105"/>
        </w:rPr>
        <w:t> </w:t>
      </w:r>
      <w:r>
        <w:rPr>
          <w:color w:val="231F20"/>
          <w:w w:val="105"/>
        </w:rPr>
        <w:t>lo</w:t>
      </w:r>
      <w:r>
        <w:rPr>
          <w:color w:val="231F20"/>
          <w:spacing w:val="-15"/>
          <w:w w:val="105"/>
        </w:rPr>
        <w:t> </w:t>
      </w:r>
      <w:r>
        <w:rPr>
          <w:color w:val="231F20"/>
          <w:w w:val="105"/>
        </w:rPr>
        <w:t>más</w:t>
      </w:r>
      <w:r>
        <w:rPr>
          <w:color w:val="231F20"/>
          <w:spacing w:val="-15"/>
          <w:w w:val="105"/>
        </w:rPr>
        <w:t> </w:t>
      </w:r>
      <w:r>
        <w:rPr>
          <w:color w:val="231F20"/>
          <w:w w:val="105"/>
        </w:rPr>
        <w:t>deseado</w:t>
      </w:r>
      <w:r>
        <w:rPr>
          <w:color w:val="231F20"/>
          <w:spacing w:val="-15"/>
          <w:w w:val="105"/>
        </w:rPr>
        <w:t> </w:t>
      </w:r>
      <w:r>
        <w:rPr>
          <w:color w:val="231F20"/>
          <w:w w:val="105"/>
        </w:rPr>
        <w:t>en</w:t>
      </w:r>
      <w:r>
        <w:rPr>
          <w:color w:val="231F20"/>
          <w:spacing w:val="-15"/>
          <w:w w:val="105"/>
        </w:rPr>
        <w:t> </w:t>
      </w:r>
      <w:r>
        <w:rPr>
          <w:color w:val="231F20"/>
          <w:w w:val="105"/>
        </w:rPr>
        <w:t>todo</w:t>
      </w:r>
      <w:r>
        <w:rPr>
          <w:color w:val="231F20"/>
          <w:spacing w:val="-15"/>
          <w:w w:val="105"/>
        </w:rPr>
        <w:t> </w:t>
      </w:r>
      <w:r>
        <w:rPr>
          <w:color w:val="231F20"/>
          <w:w w:val="105"/>
        </w:rPr>
        <w:t>gobierno,</w:t>
      </w:r>
      <w:r>
        <w:rPr>
          <w:color w:val="231F20"/>
          <w:spacing w:val="-15"/>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que es</w:t>
      </w:r>
      <w:r>
        <w:rPr>
          <w:color w:val="231F20"/>
          <w:spacing w:val="-5"/>
          <w:w w:val="105"/>
        </w:rPr>
        <w:t> </w:t>
      </w:r>
      <w:r>
        <w:rPr>
          <w:color w:val="231F20"/>
          <w:w w:val="105"/>
        </w:rPr>
        <w:t>indispensable</w:t>
      </w:r>
      <w:r>
        <w:rPr>
          <w:color w:val="231F20"/>
          <w:spacing w:val="-5"/>
          <w:w w:val="105"/>
        </w:rPr>
        <w:t> </w:t>
      </w:r>
      <w:r>
        <w:rPr>
          <w:color w:val="231F20"/>
          <w:w w:val="105"/>
        </w:rPr>
        <w:t>la</w:t>
      </w:r>
      <w:r>
        <w:rPr>
          <w:color w:val="231F20"/>
          <w:spacing w:val="-5"/>
          <w:w w:val="105"/>
        </w:rPr>
        <w:t> </w:t>
      </w:r>
      <w:r>
        <w:rPr>
          <w:color w:val="231F20"/>
          <w:w w:val="105"/>
        </w:rPr>
        <w:t>preparación</w:t>
      </w:r>
      <w:r>
        <w:rPr>
          <w:color w:val="231F20"/>
          <w:spacing w:val="-5"/>
          <w:w w:val="105"/>
        </w:rPr>
        <w:t> </w:t>
      </w:r>
      <w:r>
        <w:rPr>
          <w:color w:val="231F20"/>
          <w:w w:val="105"/>
        </w:rPr>
        <w:t>profesional</w:t>
      </w:r>
      <w:r>
        <w:rPr>
          <w:color w:val="231F20"/>
          <w:spacing w:val="-5"/>
          <w:w w:val="105"/>
        </w:rPr>
        <w:t> </w:t>
      </w:r>
      <w:r>
        <w:rPr>
          <w:color w:val="231F20"/>
          <w:w w:val="105"/>
        </w:rPr>
        <w:t>y</w:t>
      </w:r>
      <w:r>
        <w:rPr>
          <w:color w:val="231F20"/>
          <w:spacing w:val="-5"/>
          <w:w w:val="105"/>
        </w:rPr>
        <w:t> </w:t>
      </w:r>
      <w:r>
        <w:rPr>
          <w:color w:val="231F20"/>
          <w:w w:val="105"/>
        </w:rPr>
        <w:t>especializada</w:t>
      </w:r>
      <w:r>
        <w:rPr>
          <w:color w:val="231F20"/>
          <w:spacing w:val="-5"/>
          <w:w w:val="105"/>
        </w:rPr>
        <w:t> </w:t>
      </w:r>
      <w:r>
        <w:rPr>
          <w:color w:val="231F20"/>
          <w:w w:val="105"/>
        </w:rPr>
        <w:t>para</w:t>
      </w:r>
      <w:r>
        <w:rPr>
          <w:color w:val="231F20"/>
          <w:spacing w:val="-5"/>
          <w:w w:val="105"/>
        </w:rPr>
        <w:t> </w:t>
      </w:r>
      <w:r>
        <w:rPr>
          <w:color w:val="231F20"/>
          <w:w w:val="105"/>
        </w:rPr>
        <w:t>así</w:t>
      </w:r>
      <w:r>
        <w:rPr>
          <w:color w:val="231F20"/>
          <w:spacing w:val="-5"/>
          <w:w w:val="105"/>
        </w:rPr>
        <w:t> </w:t>
      </w:r>
      <w:r>
        <w:rPr>
          <w:color w:val="231F20"/>
          <w:w w:val="105"/>
        </w:rPr>
        <w:t>realizar</w:t>
      </w:r>
      <w:r>
        <w:rPr>
          <w:color w:val="231F20"/>
          <w:spacing w:val="-5"/>
          <w:w w:val="105"/>
        </w:rPr>
        <w:t> </w:t>
      </w:r>
      <w:r>
        <w:rPr>
          <w:color w:val="231F20"/>
          <w:w w:val="105"/>
        </w:rPr>
        <w:t>un</w:t>
      </w:r>
      <w:r>
        <w:rPr>
          <w:color w:val="231F20"/>
          <w:spacing w:val="-5"/>
          <w:w w:val="105"/>
        </w:rPr>
        <w:t> </w:t>
      </w:r>
      <w:r>
        <w:rPr>
          <w:color w:val="231F20"/>
          <w:w w:val="105"/>
        </w:rPr>
        <w:t>trabajo eficaz.</w:t>
      </w:r>
      <w:r>
        <w:rPr>
          <w:color w:val="231F20"/>
          <w:spacing w:val="-9"/>
          <w:w w:val="105"/>
        </w:rPr>
        <w:t> </w:t>
      </w:r>
      <w:r>
        <w:rPr>
          <w:color w:val="231F20"/>
          <w:w w:val="105"/>
        </w:rPr>
        <w:t>En</w:t>
      </w:r>
      <w:r>
        <w:rPr>
          <w:color w:val="231F20"/>
          <w:spacing w:val="-9"/>
          <w:w w:val="105"/>
        </w:rPr>
        <w:t> </w:t>
      </w:r>
      <w:r>
        <w:rPr>
          <w:color w:val="231F20"/>
          <w:w w:val="105"/>
        </w:rPr>
        <w:t>cuanto</w:t>
      </w:r>
      <w:r>
        <w:rPr>
          <w:color w:val="231F20"/>
          <w:spacing w:val="-9"/>
          <w:w w:val="105"/>
        </w:rPr>
        <w:t> </w:t>
      </w:r>
      <w:r>
        <w:rPr>
          <w:color w:val="231F20"/>
          <w:w w:val="105"/>
        </w:rPr>
        <w:t>a</w:t>
      </w:r>
      <w:r>
        <w:rPr>
          <w:color w:val="231F20"/>
          <w:spacing w:val="-9"/>
          <w:w w:val="105"/>
        </w:rPr>
        <w:t> </w:t>
      </w:r>
      <w:r>
        <w:rPr>
          <w:color w:val="231F20"/>
          <w:w w:val="105"/>
        </w:rPr>
        <w:t>este</w:t>
      </w:r>
      <w:r>
        <w:rPr>
          <w:color w:val="231F20"/>
          <w:spacing w:val="-9"/>
          <w:w w:val="105"/>
        </w:rPr>
        <w:t> </w:t>
      </w:r>
      <w:r>
        <w:rPr>
          <w:color w:val="231F20"/>
          <w:w w:val="105"/>
        </w:rPr>
        <w:t>criterio,</w:t>
      </w:r>
      <w:r>
        <w:rPr>
          <w:color w:val="231F20"/>
          <w:spacing w:val="-9"/>
          <w:w w:val="105"/>
        </w:rPr>
        <w:t> </w:t>
      </w:r>
      <w:r>
        <w:rPr>
          <w:color w:val="231F20"/>
          <w:w w:val="105"/>
        </w:rPr>
        <w:t>el</w:t>
      </w:r>
      <w:r>
        <w:rPr>
          <w:color w:val="231F20"/>
          <w:spacing w:val="-9"/>
          <w:w w:val="105"/>
        </w:rPr>
        <w:t> </w:t>
      </w:r>
      <w:r>
        <w:rPr>
          <w:color w:val="231F20"/>
          <w:w w:val="105"/>
        </w:rPr>
        <w:t>perfil</w:t>
      </w:r>
      <w:r>
        <w:rPr>
          <w:color w:val="231F20"/>
          <w:spacing w:val="-9"/>
          <w:w w:val="105"/>
        </w:rPr>
        <w:t> </w:t>
      </w:r>
      <w:r>
        <w:rPr>
          <w:color w:val="231F20"/>
          <w:w w:val="105"/>
        </w:rPr>
        <w:t>técnico-profesional</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funcionarios</w:t>
      </w:r>
      <w:r>
        <w:rPr>
          <w:color w:val="231F20"/>
          <w:spacing w:val="-9"/>
          <w:w w:val="105"/>
        </w:rPr>
        <w:t> </w:t>
      </w:r>
      <w:r>
        <w:rPr>
          <w:color w:val="231F20"/>
          <w:w w:val="105"/>
        </w:rPr>
        <w:t>públi- cos</w:t>
      </w:r>
      <w:r>
        <w:rPr>
          <w:color w:val="231F20"/>
          <w:spacing w:val="-23"/>
          <w:w w:val="105"/>
        </w:rPr>
        <w:t> </w:t>
      </w:r>
      <w:r>
        <w:rPr>
          <w:color w:val="231F20"/>
          <w:w w:val="105"/>
        </w:rPr>
        <w:t>es</w:t>
      </w:r>
      <w:r>
        <w:rPr>
          <w:color w:val="231F20"/>
          <w:spacing w:val="-23"/>
          <w:w w:val="105"/>
        </w:rPr>
        <w:t> </w:t>
      </w:r>
      <w:r>
        <w:rPr>
          <w:color w:val="231F20"/>
          <w:w w:val="105"/>
        </w:rPr>
        <w:t>bajo,</w:t>
      </w:r>
      <w:r>
        <w:rPr>
          <w:color w:val="231F20"/>
          <w:spacing w:val="-23"/>
          <w:w w:val="105"/>
        </w:rPr>
        <w:t> </w:t>
      </w:r>
      <w:r>
        <w:rPr>
          <w:color w:val="231F20"/>
          <w:w w:val="105"/>
        </w:rPr>
        <w:t>pues</w:t>
      </w:r>
      <w:r>
        <w:rPr>
          <w:color w:val="231F20"/>
          <w:spacing w:val="-23"/>
          <w:w w:val="105"/>
        </w:rPr>
        <w:t> </w:t>
      </w:r>
      <w:r>
        <w:rPr>
          <w:color w:val="231F20"/>
          <w:w w:val="105"/>
        </w:rPr>
        <w:t>del</w:t>
      </w:r>
      <w:r>
        <w:rPr>
          <w:color w:val="231F20"/>
          <w:spacing w:val="-23"/>
          <w:w w:val="105"/>
        </w:rPr>
        <w:t> </w:t>
      </w:r>
      <w:r>
        <w:rPr>
          <w:color w:val="231F20"/>
          <w:w w:val="105"/>
        </w:rPr>
        <w:t>total</w:t>
      </w:r>
      <w:r>
        <w:rPr>
          <w:color w:val="231F20"/>
          <w:spacing w:val="-23"/>
          <w:w w:val="105"/>
        </w:rPr>
        <w:t> </w:t>
      </w:r>
      <w:r>
        <w:rPr>
          <w:color w:val="231F20"/>
          <w:w w:val="105"/>
        </w:rPr>
        <w:t>solamente</w:t>
      </w:r>
      <w:r>
        <w:rPr>
          <w:color w:val="231F20"/>
          <w:spacing w:val="-23"/>
          <w:w w:val="105"/>
        </w:rPr>
        <w:t> </w:t>
      </w:r>
      <w:r>
        <w:rPr>
          <w:color w:val="231F20"/>
          <w:w w:val="105"/>
        </w:rPr>
        <w:t>el</w:t>
      </w:r>
      <w:r>
        <w:rPr>
          <w:color w:val="231F20"/>
          <w:spacing w:val="-23"/>
          <w:w w:val="105"/>
        </w:rPr>
        <w:t> </w:t>
      </w:r>
      <w:r>
        <w:rPr>
          <w:color w:val="231F20"/>
          <w:w w:val="105"/>
        </w:rPr>
        <w:t>38.5%</w:t>
      </w:r>
      <w:r>
        <w:rPr>
          <w:color w:val="231F20"/>
          <w:spacing w:val="-23"/>
          <w:w w:val="105"/>
        </w:rPr>
        <w:t> </w:t>
      </w:r>
      <w:r>
        <w:rPr>
          <w:color w:val="231F20"/>
          <w:w w:val="105"/>
        </w:rPr>
        <w:t>cuenta</w:t>
      </w:r>
      <w:r>
        <w:rPr>
          <w:color w:val="231F20"/>
          <w:spacing w:val="-23"/>
          <w:w w:val="105"/>
        </w:rPr>
        <w:t> </w:t>
      </w:r>
      <w:r>
        <w:rPr>
          <w:color w:val="231F20"/>
          <w:w w:val="105"/>
        </w:rPr>
        <w:t>con</w:t>
      </w:r>
      <w:r>
        <w:rPr>
          <w:color w:val="231F20"/>
          <w:spacing w:val="-23"/>
          <w:w w:val="105"/>
        </w:rPr>
        <w:t> </w:t>
      </w:r>
      <w:r>
        <w:rPr>
          <w:color w:val="231F20"/>
          <w:w w:val="105"/>
        </w:rPr>
        <w:t>estudios</w:t>
      </w:r>
      <w:r>
        <w:rPr>
          <w:color w:val="231F20"/>
          <w:spacing w:val="-23"/>
          <w:w w:val="105"/>
        </w:rPr>
        <w:t> </w:t>
      </w:r>
      <w:r>
        <w:rPr>
          <w:color w:val="231F20"/>
          <w:w w:val="105"/>
        </w:rPr>
        <w:t>de</w:t>
      </w:r>
      <w:r>
        <w:rPr>
          <w:color w:val="231F20"/>
          <w:spacing w:val="-23"/>
          <w:w w:val="105"/>
        </w:rPr>
        <w:t> </w:t>
      </w:r>
      <w:r>
        <w:rPr>
          <w:color w:val="231F20"/>
          <w:w w:val="105"/>
        </w:rPr>
        <w:t>licenciatura,</w:t>
      </w:r>
      <w:r>
        <w:rPr>
          <w:color w:val="231F20"/>
          <w:spacing w:val="-23"/>
          <w:w w:val="105"/>
        </w:rPr>
        <w:t> </w:t>
      </w:r>
      <w:r>
        <w:rPr>
          <w:color w:val="231F20"/>
          <w:w w:val="105"/>
        </w:rPr>
        <w:t>12.5% nivel</w:t>
      </w:r>
      <w:r>
        <w:rPr>
          <w:color w:val="231F20"/>
          <w:spacing w:val="-11"/>
          <w:w w:val="105"/>
        </w:rPr>
        <w:t> </w:t>
      </w:r>
      <w:r>
        <w:rPr>
          <w:color w:val="231F20"/>
          <w:w w:val="105"/>
        </w:rPr>
        <w:t>técnico</w:t>
      </w:r>
      <w:r>
        <w:rPr>
          <w:color w:val="231F20"/>
          <w:spacing w:val="-11"/>
          <w:w w:val="105"/>
        </w:rPr>
        <w:t> </w:t>
      </w:r>
      <w:r>
        <w:rPr>
          <w:color w:val="231F20"/>
          <w:spacing w:val="-7"/>
          <w:w w:val="105"/>
        </w:rPr>
        <w:t>y,</w:t>
      </w:r>
      <w:r>
        <w:rPr>
          <w:color w:val="231F20"/>
          <w:spacing w:val="-10"/>
          <w:w w:val="105"/>
        </w:rPr>
        <w:t> </w:t>
      </w:r>
      <w:r>
        <w:rPr>
          <w:color w:val="231F20"/>
          <w:w w:val="105"/>
        </w:rPr>
        <w:t>como</w:t>
      </w:r>
      <w:r>
        <w:rPr>
          <w:color w:val="231F20"/>
          <w:spacing w:val="-11"/>
          <w:w w:val="105"/>
        </w:rPr>
        <w:t> </w:t>
      </w:r>
      <w:r>
        <w:rPr>
          <w:color w:val="231F20"/>
          <w:w w:val="105"/>
        </w:rPr>
        <w:t>es</w:t>
      </w:r>
      <w:r>
        <w:rPr>
          <w:color w:val="231F20"/>
          <w:spacing w:val="-10"/>
          <w:w w:val="105"/>
        </w:rPr>
        <w:t> </w:t>
      </w:r>
      <w:r>
        <w:rPr>
          <w:color w:val="231F20"/>
          <w:w w:val="105"/>
        </w:rPr>
        <w:t>obvio,</w:t>
      </w:r>
      <w:r>
        <w:rPr>
          <w:color w:val="231F20"/>
          <w:spacing w:val="-10"/>
          <w:w w:val="105"/>
        </w:rPr>
        <w:t> </w:t>
      </w:r>
      <w:r>
        <w:rPr>
          <w:color w:val="231F20"/>
          <w:w w:val="105"/>
        </w:rPr>
        <w:t>el</w:t>
      </w:r>
      <w:r>
        <w:rPr>
          <w:color w:val="231F20"/>
          <w:spacing w:val="-11"/>
          <w:w w:val="105"/>
        </w:rPr>
        <w:t> </w:t>
      </w:r>
      <w:r>
        <w:rPr>
          <w:color w:val="231F20"/>
          <w:w w:val="105"/>
        </w:rPr>
        <w:t>49%</w:t>
      </w:r>
      <w:r>
        <w:rPr>
          <w:color w:val="231F20"/>
          <w:spacing w:val="-10"/>
          <w:w w:val="105"/>
        </w:rPr>
        <w:t> </w:t>
      </w:r>
      <w:r>
        <w:rPr>
          <w:color w:val="231F20"/>
          <w:w w:val="105"/>
        </w:rPr>
        <w:t>restante</w:t>
      </w:r>
      <w:r>
        <w:rPr>
          <w:color w:val="231F20"/>
          <w:spacing w:val="-10"/>
          <w:w w:val="105"/>
        </w:rPr>
        <w:t> </w:t>
      </w:r>
      <w:r>
        <w:rPr>
          <w:color w:val="231F20"/>
          <w:w w:val="105"/>
        </w:rPr>
        <w:t>corresponde</w:t>
      </w:r>
      <w:r>
        <w:rPr>
          <w:color w:val="231F20"/>
          <w:spacing w:val="-10"/>
          <w:w w:val="105"/>
        </w:rPr>
        <w:t> </w:t>
      </w:r>
      <w:r>
        <w:rPr>
          <w:color w:val="231F20"/>
          <w:w w:val="105"/>
        </w:rPr>
        <w:t>a</w:t>
      </w:r>
      <w:r>
        <w:rPr>
          <w:color w:val="231F20"/>
          <w:spacing w:val="-11"/>
          <w:w w:val="105"/>
        </w:rPr>
        <w:t> </w:t>
      </w:r>
      <w:r>
        <w:rPr>
          <w:color w:val="231F20"/>
          <w:w w:val="105"/>
        </w:rPr>
        <w:t>personas</w:t>
      </w:r>
      <w:r>
        <w:rPr>
          <w:color w:val="231F20"/>
          <w:spacing w:val="-10"/>
          <w:w w:val="105"/>
        </w:rPr>
        <w:t> </w:t>
      </w:r>
      <w:r>
        <w:rPr>
          <w:color w:val="231F20"/>
          <w:w w:val="105"/>
        </w:rPr>
        <w:t>con</w:t>
      </w:r>
      <w:r>
        <w:rPr>
          <w:color w:val="231F20"/>
          <w:spacing w:val="-11"/>
          <w:w w:val="105"/>
        </w:rPr>
        <w:t> </w:t>
      </w:r>
      <w:r>
        <w:rPr>
          <w:color w:val="231F20"/>
          <w:w w:val="105"/>
        </w:rPr>
        <w:t>instrucción menor</w:t>
      </w:r>
      <w:r>
        <w:rPr>
          <w:color w:val="231F20"/>
          <w:spacing w:val="-21"/>
          <w:w w:val="105"/>
        </w:rPr>
        <w:t> </w:t>
      </w:r>
      <w:r>
        <w:rPr>
          <w:color w:val="231F20"/>
          <w:w w:val="105"/>
        </w:rPr>
        <w:t>a</w:t>
      </w:r>
      <w:r>
        <w:rPr>
          <w:color w:val="231F20"/>
          <w:spacing w:val="-21"/>
          <w:w w:val="105"/>
        </w:rPr>
        <w:t> </w:t>
      </w:r>
      <w:r>
        <w:rPr>
          <w:color w:val="231F20"/>
          <w:w w:val="105"/>
        </w:rPr>
        <w:t>preparatoria</w:t>
      </w:r>
      <w:r>
        <w:rPr>
          <w:color w:val="231F20"/>
          <w:spacing w:val="-21"/>
          <w:w w:val="105"/>
        </w:rPr>
        <w:t> </w:t>
      </w:r>
      <w:r>
        <w:rPr>
          <w:color w:val="231F20"/>
          <w:w w:val="105"/>
        </w:rPr>
        <w:t>o</w:t>
      </w:r>
      <w:r>
        <w:rPr>
          <w:color w:val="231F20"/>
          <w:spacing w:val="-21"/>
          <w:w w:val="105"/>
        </w:rPr>
        <w:t> </w:t>
      </w:r>
      <w:r>
        <w:rPr>
          <w:color w:val="231F20"/>
          <w:w w:val="105"/>
        </w:rPr>
        <w:t>afines</w:t>
      </w:r>
      <w:r>
        <w:rPr>
          <w:color w:val="231F20"/>
          <w:spacing w:val="-21"/>
          <w:w w:val="105"/>
        </w:rPr>
        <w:t> </w:t>
      </w:r>
      <w:r>
        <w:rPr>
          <w:color w:val="231F20"/>
          <w:w w:val="105"/>
        </w:rPr>
        <w:t>(Plan</w:t>
      </w:r>
      <w:r>
        <w:rPr>
          <w:color w:val="231F20"/>
          <w:spacing w:val="-21"/>
          <w:w w:val="105"/>
        </w:rPr>
        <w:t> </w:t>
      </w:r>
      <w:r>
        <w:rPr>
          <w:color w:val="231F20"/>
          <w:w w:val="105"/>
        </w:rPr>
        <w:t>Municipal,</w:t>
      </w:r>
      <w:r>
        <w:rPr>
          <w:color w:val="231F20"/>
          <w:spacing w:val="-21"/>
          <w:w w:val="105"/>
        </w:rPr>
        <w:t> </w:t>
      </w:r>
      <w:r>
        <w:rPr>
          <w:color w:val="231F20"/>
          <w:w w:val="105"/>
        </w:rPr>
        <w:t>2006:105).</w:t>
      </w:r>
    </w:p>
    <w:p>
      <w:pPr>
        <w:pStyle w:val="BodyText"/>
        <w:spacing w:before="1"/>
        <w:rPr>
          <w:sz w:val="26"/>
        </w:rPr>
      </w:pPr>
    </w:p>
    <w:p>
      <w:pPr>
        <w:pStyle w:val="BodyText"/>
        <w:spacing w:line="285" w:lineRule="auto"/>
        <w:ind w:left="110" w:right="107"/>
        <w:jc w:val="both"/>
      </w:pPr>
      <w:r>
        <w:rPr>
          <w:color w:val="231F20"/>
          <w:w w:val="105"/>
        </w:rPr>
        <w:t>Los manuales de organización y procedimientos permiten a cada dependencia y</w:t>
      </w:r>
      <w:r>
        <w:rPr>
          <w:color w:val="231F20"/>
          <w:spacing w:val="-38"/>
          <w:w w:val="105"/>
        </w:rPr>
        <w:t> </w:t>
      </w:r>
      <w:r>
        <w:rPr>
          <w:color w:val="231F20"/>
          <w:w w:val="105"/>
        </w:rPr>
        <w:t>servi- dor</w:t>
      </w:r>
      <w:r>
        <w:rPr>
          <w:color w:val="231F20"/>
          <w:spacing w:val="-7"/>
          <w:w w:val="105"/>
        </w:rPr>
        <w:t> </w:t>
      </w:r>
      <w:r>
        <w:rPr>
          <w:color w:val="231F20"/>
          <w:w w:val="105"/>
        </w:rPr>
        <w:t>público</w:t>
      </w:r>
      <w:r>
        <w:rPr>
          <w:color w:val="231F20"/>
          <w:spacing w:val="-7"/>
          <w:w w:val="105"/>
        </w:rPr>
        <w:t> </w:t>
      </w:r>
      <w:r>
        <w:rPr>
          <w:color w:val="231F20"/>
          <w:w w:val="105"/>
        </w:rPr>
        <w:t>atender</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legalmente</w:t>
      </w:r>
      <w:r>
        <w:rPr>
          <w:color w:val="231F20"/>
          <w:spacing w:val="-7"/>
          <w:w w:val="105"/>
        </w:rPr>
        <w:t> </w:t>
      </w:r>
      <w:r>
        <w:rPr>
          <w:color w:val="231F20"/>
          <w:w w:val="105"/>
        </w:rPr>
        <w:t>le</w:t>
      </w:r>
      <w:r>
        <w:rPr>
          <w:color w:val="231F20"/>
          <w:spacing w:val="-7"/>
          <w:w w:val="105"/>
        </w:rPr>
        <w:t> </w:t>
      </w:r>
      <w:r>
        <w:rPr>
          <w:color w:val="231F20"/>
          <w:w w:val="105"/>
        </w:rPr>
        <w:t>compete,</w:t>
      </w:r>
      <w:r>
        <w:rPr>
          <w:color w:val="231F20"/>
          <w:spacing w:val="-7"/>
          <w:w w:val="105"/>
        </w:rPr>
        <w:t> </w:t>
      </w:r>
      <w:r>
        <w:rPr>
          <w:color w:val="231F20"/>
          <w:w w:val="105"/>
        </w:rPr>
        <w:t>los</w:t>
      </w:r>
      <w:r>
        <w:rPr>
          <w:color w:val="231F20"/>
          <w:spacing w:val="-7"/>
          <w:w w:val="105"/>
        </w:rPr>
        <w:t> </w:t>
      </w:r>
      <w:r>
        <w:rPr>
          <w:color w:val="231F20"/>
          <w:w w:val="105"/>
        </w:rPr>
        <w:t>procedimientos</w:t>
      </w:r>
      <w:r>
        <w:rPr>
          <w:color w:val="231F20"/>
          <w:spacing w:val="-7"/>
          <w:w w:val="105"/>
        </w:rPr>
        <w:t> </w:t>
      </w:r>
      <w:r>
        <w:rPr>
          <w:color w:val="231F20"/>
          <w:w w:val="105"/>
        </w:rPr>
        <w:t>para</w:t>
      </w:r>
      <w:r>
        <w:rPr>
          <w:color w:val="231F20"/>
          <w:spacing w:val="-7"/>
          <w:w w:val="105"/>
        </w:rPr>
        <w:t> </w:t>
      </w:r>
      <w:r>
        <w:rPr>
          <w:color w:val="231F20"/>
          <w:w w:val="105"/>
        </w:rPr>
        <w:t>realizarlo</w:t>
      </w:r>
      <w:r>
        <w:rPr>
          <w:color w:val="231F20"/>
          <w:spacing w:val="-7"/>
          <w:w w:val="105"/>
        </w:rPr>
        <w:t> </w:t>
      </w:r>
      <w:r>
        <w:rPr>
          <w:color w:val="231F20"/>
          <w:w w:val="105"/>
        </w:rPr>
        <w:t>y las restricciones a las que están sujetos; sin embargo, en este caso de estudio, </w:t>
      </w:r>
      <w:r>
        <w:rPr>
          <w:color w:val="231F20"/>
          <w:spacing w:val="2"/>
          <w:w w:val="105"/>
        </w:rPr>
        <w:t>al </w:t>
      </w:r>
      <w:r>
        <w:rPr>
          <w:color w:val="231F20"/>
          <w:w w:val="105"/>
        </w:rPr>
        <w:t>inicio de funciones de la actual administración no existía manual alguno, con excepción de Patrimonio</w:t>
      </w:r>
      <w:r>
        <w:rPr>
          <w:color w:val="231F20"/>
          <w:spacing w:val="-12"/>
          <w:w w:val="105"/>
        </w:rPr>
        <w:t> </w:t>
      </w:r>
      <w:r>
        <w:rPr>
          <w:color w:val="231F20"/>
          <w:w w:val="105"/>
        </w:rPr>
        <w:t>Municipal.</w:t>
      </w:r>
    </w:p>
    <w:p>
      <w:pPr>
        <w:pStyle w:val="BodyText"/>
        <w:spacing w:before="1"/>
        <w:rPr>
          <w:sz w:val="26"/>
        </w:rPr>
      </w:pPr>
    </w:p>
    <w:p>
      <w:pPr>
        <w:pStyle w:val="Heading5"/>
        <w:ind w:left="1909"/>
      </w:pPr>
      <w:r>
        <w:rPr>
          <w:color w:val="231F20"/>
          <w:w w:val="105"/>
        </w:rPr>
        <w:t>Cuadro 6. Dependencias por tipo de función.</w:t>
      </w:r>
    </w:p>
    <w:p>
      <w:pPr>
        <w:pStyle w:val="BodyText"/>
        <w:spacing w:before="7"/>
        <w:rPr>
          <w:b/>
          <w:sz w:val="12"/>
        </w:rPr>
      </w:pPr>
    </w:p>
    <w:tbl>
      <w:tblPr>
        <w:tblW w:w="0" w:type="auto"/>
        <w:jc w:val="left"/>
        <w:tblInd w:w="14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57"/>
        <w:gridCol w:w="3185"/>
        <w:gridCol w:w="3756"/>
      </w:tblGrid>
      <w:tr>
        <w:trPr>
          <w:trHeight w:val="380" w:hRule="exact"/>
        </w:trPr>
        <w:tc>
          <w:tcPr>
            <w:tcW w:w="857" w:type="dxa"/>
            <w:shd w:val="clear" w:color="auto" w:fill="F3F3F3"/>
          </w:tcPr>
          <w:p>
            <w:pPr>
              <w:pStyle w:val="TableParagraph"/>
              <w:spacing w:line="192" w:lineRule="exact"/>
              <w:ind w:left="167" w:firstLine="13"/>
              <w:rPr>
                <w:b/>
                <w:sz w:val="19"/>
              </w:rPr>
            </w:pPr>
            <w:r>
              <w:rPr>
                <w:b/>
                <w:color w:val="231F20"/>
                <w:w w:val="85"/>
                <w:sz w:val="19"/>
              </w:rPr>
              <w:t>Tipo de</w:t>
            </w:r>
          </w:p>
          <w:p>
            <w:pPr>
              <w:pStyle w:val="TableParagraph"/>
              <w:spacing w:line="218" w:lineRule="exact"/>
              <w:ind w:left="167"/>
              <w:rPr>
                <w:b/>
                <w:sz w:val="19"/>
              </w:rPr>
            </w:pPr>
            <w:r>
              <w:rPr>
                <w:b/>
                <w:color w:val="231F20"/>
                <w:w w:val="95"/>
                <w:sz w:val="19"/>
              </w:rPr>
              <w:t>función</w:t>
            </w:r>
          </w:p>
        </w:tc>
        <w:tc>
          <w:tcPr>
            <w:tcW w:w="3185" w:type="dxa"/>
            <w:shd w:val="clear" w:color="auto" w:fill="F3F3F3"/>
          </w:tcPr>
          <w:p>
            <w:pPr>
              <w:pStyle w:val="TableParagraph"/>
              <w:spacing w:line="194" w:lineRule="exact"/>
              <w:ind w:left="351" w:right="351"/>
              <w:jc w:val="center"/>
              <w:rPr>
                <w:b/>
                <w:sz w:val="19"/>
              </w:rPr>
            </w:pPr>
            <w:r>
              <w:rPr>
                <w:b/>
                <w:color w:val="231F20"/>
                <w:w w:val="95"/>
                <w:sz w:val="19"/>
              </w:rPr>
              <w:t>Dependencia</w:t>
            </w:r>
          </w:p>
        </w:tc>
        <w:tc>
          <w:tcPr>
            <w:tcW w:w="3756" w:type="dxa"/>
            <w:shd w:val="clear" w:color="auto" w:fill="F3F3F3"/>
          </w:tcPr>
          <w:p>
            <w:pPr>
              <w:pStyle w:val="TableParagraph"/>
              <w:spacing w:line="194" w:lineRule="exact"/>
              <w:ind w:left="1167" w:right="1167"/>
              <w:jc w:val="center"/>
              <w:rPr>
                <w:b/>
                <w:sz w:val="19"/>
              </w:rPr>
            </w:pPr>
            <w:r>
              <w:rPr>
                <w:b/>
                <w:color w:val="231F20"/>
                <w:w w:val="95"/>
                <w:sz w:val="19"/>
              </w:rPr>
              <w:t>Sub-dependencias</w:t>
            </w:r>
          </w:p>
        </w:tc>
      </w:tr>
      <w:tr>
        <w:trPr>
          <w:trHeight w:val="513" w:hRule="exact"/>
        </w:trPr>
        <w:tc>
          <w:tcPr>
            <w:tcW w:w="857" w:type="dxa"/>
            <w:vMerge w:val="restart"/>
            <w:textDirection w:val="btLr"/>
          </w:tcPr>
          <w:p>
            <w:pPr>
              <w:pStyle w:val="TableParagraph"/>
              <w:spacing w:before="70"/>
              <w:ind w:left="716" w:right="714"/>
              <w:jc w:val="center"/>
              <w:rPr>
                <w:sz w:val="16"/>
              </w:rPr>
            </w:pPr>
            <w:r>
              <w:rPr>
                <w:color w:val="231F20"/>
                <w:w w:val="75"/>
                <w:sz w:val="16"/>
              </w:rPr>
              <w:t>A</w:t>
            </w:r>
            <w:r>
              <w:rPr>
                <w:color w:val="231F20"/>
                <w:spacing w:val="1"/>
                <w:w w:val="75"/>
                <w:sz w:val="16"/>
              </w:rPr>
              <w:t>d</w:t>
            </w:r>
            <w:r>
              <w:rPr>
                <w:color w:val="231F20"/>
                <w:spacing w:val="1"/>
                <w:w w:val="78"/>
                <w:sz w:val="16"/>
              </w:rPr>
              <w:t>j</w:t>
            </w:r>
            <w:r>
              <w:rPr>
                <w:color w:val="231F20"/>
                <w:spacing w:val="2"/>
                <w:w w:val="72"/>
                <w:sz w:val="16"/>
              </w:rPr>
              <w:t>e</w:t>
            </w:r>
            <w:r>
              <w:rPr>
                <w:color w:val="231F20"/>
                <w:spacing w:val="2"/>
                <w:w w:val="76"/>
                <w:sz w:val="16"/>
              </w:rPr>
              <w:t>t</w:t>
            </w:r>
            <w:r>
              <w:rPr>
                <w:color w:val="231F20"/>
                <w:spacing w:val="2"/>
                <w:w w:val="80"/>
                <w:sz w:val="16"/>
              </w:rPr>
              <w:t>i</w:t>
            </w:r>
            <w:r>
              <w:rPr>
                <w:color w:val="231F20"/>
                <w:spacing w:val="1"/>
                <w:w w:val="75"/>
                <w:sz w:val="16"/>
              </w:rPr>
              <w:t>vas</w:t>
            </w:r>
          </w:p>
        </w:tc>
        <w:tc>
          <w:tcPr>
            <w:tcW w:w="3185" w:type="dxa"/>
          </w:tcPr>
          <w:p>
            <w:pPr>
              <w:pStyle w:val="TableParagraph"/>
              <w:spacing w:line="161" w:lineRule="exact"/>
              <w:ind w:left="351" w:right="351"/>
              <w:jc w:val="center"/>
              <w:rPr>
                <w:sz w:val="16"/>
              </w:rPr>
            </w:pPr>
            <w:r>
              <w:rPr>
                <w:color w:val="231F20"/>
                <w:w w:val="85"/>
                <w:sz w:val="16"/>
              </w:rPr>
              <w:t>Tesorería</w:t>
            </w:r>
          </w:p>
          <w:p>
            <w:pPr>
              <w:pStyle w:val="TableParagraph"/>
              <w:spacing w:line="194" w:lineRule="exact"/>
              <w:ind w:left="731"/>
              <w:rPr>
                <w:i/>
                <w:sz w:val="16"/>
              </w:rPr>
            </w:pPr>
            <w:r>
              <w:rPr>
                <w:i/>
                <w:color w:val="231F20"/>
                <w:sz w:val="16"/>
              </w:rPr>
              <w:t>C. P. José Arizmendi Osorio</w:t>
            </w:r>
          </w:p>
        </w:tc>
        <w:tc>
          <w:tcPr>
            <w:tcW w:w="3756" w:type="dxa"/>
          </w:tcPr>
          <w:p>
            <w:pPr>
              <w:pStyle w:val="TableParagraph"/>
              <w:numPr>
                <w:ilvl w:val="0"/>
                <w:numId w:val="6"/>
              </w:numPr>
              <w:tabs>
                <w:tab w:pos="1308" w:val="left" w:leader="none"/>
              </w:tabs>
              <w:spacing w:line="161" w:lineRule="exact" w:before="0" w:after="0"/>
              <w:ind w:left="1307" w:right="0" w:hanging="114"/>
              <w:jc w:val="left"/>
              <w:rPr>
                <w:sz w:val="16"/>
              </w:rPr>
            </w:pPr>
            <w:r>
              <w:rPr>
                <w:color w:val="231F20"/>
                <w:w w:val="75"/>
                <w:sz w:val="16"/>
              </w:rPr>
              <w:t>Subdirección de</w:t>
            </w:r>
            <w:r>
              <w:rPr>
                <w:color w:val="231F20"/>
                <w:spacing w:val="15"/>
                <w:w w:val="75"/>
                <w:sz w:val="16"/>
              </w:rPr>
              <w:t> </w:t>
            </w:r>
            <w:r>
              <w:rPr>
                <w:color w:val="231F20"/>
                <w:w w:val="75"/>
                <w:sz w:val="16"/>
              </w:rPr>
              <w:t>Catastro</w:t>
            </w:r>
          </w:p>
          <w:p>
            <w:pPr>
              <w:pStyle w:val="TableParagraph"/>
              <w:numPr>
                <w:ilvl w:val="0"/>
                <w:numId w:val="6"/>
              </w:numPr>
              <w:tabs>
                <w:tab w:pos="1328" w:val="left" w:leader="none"/>
              </w:tabs>
              <w:spacing w:line="192" w:lineRule="exact" w:before="0" w:after="0"/>
              <w:ind w:left="1327" w:right="0" w:hanging="119"/>
              <w:jc w:val="left"/>
              <w:rPr>
                <w:sz w:val="16"/>
              </w:rPr>
            </w:pPr>
            <w:r>
              <w:rPr>
                <w:color w:val="231F20"/>
                <w:w w:val="75"/>
                <w:sz w:val="16"/>
              </w:rPr>
              <w:t>Subdirección de</w:t>
            </w:r>
            <w:r>
              <w:rPr>
                <w:color w:val="231F20"/>
                <w:spacing w:val="18"/>
                <w:w w:val="75"/>
                <w:sz w:val="16"/>
              </w:rPr>
              <w:t> </w:t>
            </w:r>
            <w:r>
              <w:rPr>
                <w:color w:val="231F20"/>
                <w:w w:val="75"/>
                <w:sz w:val="16"/>
              </w:rPr>
              <w:t>egresos</w:t>
            </w:r>
          </w:p>
          <w:p>
            <w:pPr>
              <w:pStyle w:val="TableParagraph"/>
              <w:numPr>
                <w:ilvl w:val="0"/>
                <w:numId w:val="6"/>
              </w:numPr>
              <w:tabs>
                <w:tab w:pos="1308" w:val="left" w:leader="none"/>
              </w:tabs>
              <w:spacing w:line="191" w:lineRule="exact" w:before="0" w:after="0"/>
              <w:ind w:left="1307" w:right="0" w:hanging="117"/>
              <w:jc w:val="left"/>
              <w:rPr>
                <w:sz w:val="16"/>
              </w:rPr>
            </w:pPr>
            <w:r>
              <w:rPr>
                <w:color w:val="231F20"/>
                <w:w w:val="75"/>
                <w:sz w:val="16"/>
              </w:rPr>
              <w:t>Subdirección de</w:t>
            </w:r>
            <w:r>
              <w:rPr>
                <w:color w:val="231F20"/>
                <w:spacing w:val="23"/>
                <w:w w:val="75"/>
                <w:sz w:val="16"/>
              </w:rPr>
              <w:t> </w:t>
            </w:r>
            <w:r>
              <w:rPr>
                <w:color w:val="231F20"/>
                <w:w w:val="75"/>
                <w:sz w:val="16"/>
              </w:rPr>
              <w:t>ingresos</w:t>
            </w:r>
          </w:p>
        </w:tc>
      </w:tr>
      <w:tr>
        <w:trPr>
          <w:trHeight w:val="364" w:hRule="exact"/>
        </w:trPr>
        <w:tc>
          <w:tcPr>
            <w:tcW w:w="857" w:type="dxa"/>
            <w:vMerge/>
            <w:textDirection w:val="btLr"/>
          </w:tcPr>
          <w:p>
            <w:pPr/>
          </w:p>
        </w:tc>
        <w:tc>
          <w:tcPr>
            <w:tcW w:w="3185" w:type="dxa"/>
          </w:tcPr>
          <w:p>
            <w:pPr>
              <w:pStyle w:val="TableParagraph"/>
              <w:spacing w:line="161" w:lineRule="exact"/>
              <w:ind w:left="351" w:right="351"/>
              <w:jc w:val="center"/>
              <w:rPr>
                <w:sz w:val="16"/>
              </w:rPr>
            </w:pPr>
            <w:r>
              <w:rPr>
                <w:color w:val="231F20"/>
                <w:w w:val="85"/>
                <w:sz w:val="16"/>
              </w:rPr>
              <w:t>Contraloría</w:t>
            </w:r>
          </w:p>
          <w:p>
            <w:pPr>
              <w:pStyle w:val="TableParagraph"/>
              <w:spacing w:line="194" w:lineRule="exact"/>
              <w:ind w:left="351" w:right="351"/>
              <w:jc w:val="center"/>
              <w:rPr>
                <w:i/>
                <w:sz w:val="16"/>
              </w:rPr>
            </w:pPr>
            <w:r>
              <w:rPr>
                <w:i/>
                <w:color w:val="231F20"/>
                <w:sz w:val="16"/>
              </w:rPr>
              <w:t>Lic. Pedro Guadalupe Almazán García</w:t>
            </w:r>
          </w:p>
        </w:tc>
        <w:tc>
          <w:tcPr>
            <w:tcW w:w="3756" w:type="dxa"/>
          </w:tcPr>
          <w:p>
            <w:pPr/>
          </w:p>
        </w:tc>
      </w:tr>
      <w:tr>
        <w:trPr>
          <w:trHeight w:val="608" w:hRule="exact"/>
        </w:trPr>
        <w:tc>
          <w:tcPr>
            <w:tcW w:w="857" w:type="dxa"/>
            <w:vMerge/>
            <w:textDirection w:val="btLr"/>
          </w:tcPr>
          <w:p>
            <w:pPr/>
          </w:p>
        </w:tc>
        <w:tc>
          <w:tcPr>
            <w:tcW w:w="3185" w:type="dxa"/>
          </w:tcPr>
          <w:p>
            <w:pPr>
              <w:pStyle w:val="TableParagraph"/>
              <w:spacing w:line="192" w:lineRule="exact"/>
              <w:ind w:left="762"/>
              <w:rPr>
                <w:sz w:val="19"/>
              </w:rPr>
            </w:pPr>
            <w:r>
              <w:rPr>
                <w:color w:val="231F20"/>
                <w:w w:val="75"/>
                <w:sz w:val="19"/>
              </w:rPr>
              <w:t>Dirección de Administración</w:t>
            </w:r>
          </w:p>
          <w:p>
            <w:pPr>
              <w:pStyle w:val="TableParagraph"/>
              <w:spacing w:line="230" w:lineRule="exact"/>
              <w:ind w:left="504"/>
              <w:rPr>
                <w:sz w:val="19"/>
              </w:rPr>
            </w:pPr>
            <w:r>
              <w:rPr>
                <w:i/>
                <w:color w:val="231F20"/>
                <w:sz w:val="19"/>
              </w:rPr>
              <w:t>C.P. Hugo Carmona Pedraza</w:t>
            </w:r>
            <w:r>
              <w:rPr>
                <w:color w:val="231F20"/>
                <w:sz w:val="19"/>
              </w:rPr>
              <w:t>.</w:t>
            </w:r>
          </w:p>
        </w:tc>
        <w:tc>
          <w:tcPr>
            <w:tcW w:w="3756" w:type="dxa"/>
          </w:tcPr>
          <w:p>
            <w:pPr>
              <w:pStyle w:val="TableParagraph"/>
              <w:numPr>
                <w:ilvl w:val="0"/>
                <w:numId w:val="7"/>
              </w:numPr>
              <w:tabs>
                <w:tab w:pos="1009" w:val="left" w:leader="none"/>
              </w:tabs>
              <w:spacing w:line="192" w:lineRule="exact" w:before="0" w:after="0"/>
              <w:ind w:left="1008" w:right="0" w:hanging="135"/>
              <w:jc w:val="left"/>
              <w:rPr>
                <w:sz w:val="19"/>
              </w:rPr>
            </w:pPr>
            <w:r>
              <w:rPr>
                <w:color w:val="231F20"/>
                <w:w w:val="75"/>
                <w:sz w:val="19"/>
              </w:rPr>
              <w:t>Subdirección de</w:t>
            </w:r>
            <w:r>
              <w:rPr>
                <w:color w:val="231F20"/>
                <w:spacing w:val="16"/>
                <w:w w:val="75"/>
                <w:sz w:val="19"/>
              </w:rPr>
              <w:t> </w:t>
            </w:r>
            <w:r>
              <w:rPr>
                <w:color w:val="231F20"/>
                <w:w w:val="75"/>
                <w:sz w:val="19"/>
              </w:rPr>
              <w:t>Administración</w:t>
            </w:r>
          </w:p>
          <w:p>
            <w:pPr>
              <w:pStyle w:val="TableParagraph"/>
              <w:numPr>
                <w:ilvl w:val="0"/>
                <w:numId w:val="7"/>
              </w:numPr>
              <w:tabs>
                <w:tab w:pos="749" w:val="left" w:leader="none"/>
              </w:tabs>
              <w:spacing w:line="228" w:lineRule="exact" w:before="0" w:after="0"/>
              <w:ind w:left="748" w:right="0" w:hanging="139"/>
              <w:jc w:val="left"/>
              <w:rPr>
                <w:sz w:val="19"/>
              </w:rPr>
            </w:pPr>
            <w:r>
              <w:rPr>
                <w:color w:val="231F20"/>
                <w:w w:val="75"/>
                <w:sz w:val="19"/>
              </w:rPr>
              <w:t>Subdirección de adquisiciones y</w:t>
            </w:r>
            <w:r>
              <w:rPr>
                <w:color w:val="231F20"/>
                <w:spacing w:val="10"/>
                <w:w w:val="75"/>
                <w:sz w:val="19"/>
              </w:rPr>
              <w:t> </w:t>
            </w:r>
            <w:r>
              <w:rPr>
                <w:color w:val="231F20"/>
                <w:w w:val="75"/>
                <w:sz w:val="19"/>
              </w:rPr>
              <w:t>almacén</w:t>
            </w:r>
          </w:p>
          <w:p>
            <w:pPr>
              <w:pStyle w:val="TableParagraph"/>
              <w:numPr>
                <w:ilvl w:val="0"/>
                <w:numId w:val="7"/>
              </w:numPr>
              <w:tabs>
                <w:tab w:pos="885" w:val="left" w:leader="none"/>
              </w:tabs>
              <w:spacing w:line="219" w:lineRule="exact" w:before="0" w:after="0"/>
              <w:ind w:left="884" w:right="0" w:hanging="138"/>
              <w:jc w:val="left"/>
              <w:rPr>
                <w:sz w:val="19"/>
              </w:rPr>
            </w:pPr>
            <w:r>
              <w:rPr>
                <w:color w:val="231F20"/>
                <w:w w:val="75"/>
                <w:sz w:val="19"/>
              </w:rPr>
              <w:t>Subdirección de servicios</w:t>
            </w:r>
            <w:r>
              <w:rPr>
                <w:color w:val="231F20"/>
                <w:spacing w:val="12"/>
                <w:w w:val="75"/>
                <w:sz w:val="19"/>
              </w:rPr>
              <w:t> </w:t>
            </w:r>
            <w:r>
              <w:rPr>
                <w:color w:val="231F20"/>
                <w:w w:val="75"/>
                <w:sz w:val="19"/>
              </w:rPr>
              <w:t>generales.</w:t>
            </w:r>
          </w:p>
        </w:tc>
      </w:tr>
      <w:tr>
        <w:trPr>
          <w:trHeight w:val="458" w:hRule="exact"/>
        </w:trPr>
        <w:tc>
          <w:tcPr>
            <w:tcW w:w="857" w:type="dxa"/>
            <w:vMerge/>
            <w:textDirection w:val="btLr"/>
          </w:tcPr>
          <w:p>
            <w:pPr/>
          </w:p>
        </w:tc>
        <w:tc>
          <w:tcPr>
            <w:tcW w:w="3185" w:type="dxa"/>
          </w:tcPr>
          <w:p>
            <w:pPr>
              <w:pStyle w:val="TableParagraph"/>
              <w:spacing w:line="192" w:lineRule="exact"/>
              <w:ind w:left="671"/>
              <w:rPr>
                <w:sz w:val="19"/>
              </w:rPr>
            </w:pPr>
            <w:r>
              <w:rPr>
                <w:color w:val="231F20"/>
                <w:w w:val="75"/>
                <w:sz w:val="19"/>
              </w:rPr>
              <w:t>Unidad de Comunicación Social</w:t>
            </w:r>
          </w:p>
          <w:p>
            <w:pPr>
              <w:pStyle w:val="TableParagraph"/>
              <w:spacing w:line="230" w:lineRule="exact"/>
              <w:ind w:left="417"/>
              <w:rPr>
                <w:i/>
                <w:sz w:val="19"/>
              </w:rPr>
            </w:pPr>
            <w:r>
              <w:rPr>
                <w:i/>
                <w:color w:val="231F20"/>
                <w:sz w:val="19"/>
              </w:rPr>
              <w:t>P.L.C.C. Rocío Melgar Quintana</w:t>
            </w:r>
          </w:p>
        </w:tc>
        <w:tc>
          <w:tcPr>
            <w:tcW w:w="3756" w:type="dxa"/>
          </w:tcPr>
          <w:p>
            <w:pPr>
              <w:pStyle w:val="TableParagraph"/>
              <w:numPr>
                <w:ilvl w:val="0"/>
                <w:numId w:val="8"/>
              </w:numPr>
              <w:tabs>
                <w:tab w:pos="1252" w:val="left" w:leader="none"/>
              </w:tabs>
              <w:spacing w:line="192" w:lineRule="exact" w:before="0" w:after="0"/>
              <w:ind w:left="1252" w:right="0" w:hanging="135"/>
              <w:jc w:val="left"/>
              <w:rPr>
                <w:sz w:val="19"/>
              </w:rPr>
            </w:pPr>
            <w:r>
              <w:rPr>
                <w:color w:val="231F20"/>
                <w:w w:val="75"/>
                <w:sz w:val="19"/>
              </w:rPr>
              <w:t>Coordinación de</w:t>
            </w:r>
            <w:r>
              <w:rPr>
                <w:color w:val="231F20"/>
                <w:spacing w:val="-12"/>
                <w:w w:val="75"/>
                <w:sz w:val="19"/>
              </w:rPr>
              <w:t> </w:t>
            </w:r>
            <w:r>
              <w:rPr>
                <w:color w:val="231F20"/>
                <w:w w:val="75"/>
                <w:sz w:val="19"/>
              </w:rPr>
              <w:t>Diseño</w:t>
            </w:r>
          </w:p>
          <w:p>
            <w:pPr>
              <w:pStyle w:val="TableParagraph"/>
              <w:numPr>
                <w:ilvl w:val="0"/>
                <w:numId w:val="8"/>
              </w:numPr>
              <w:tabs>
                <w:tab w:pos="1111" w:val="left" w:leader="none"/>
              </w:tabs>
              <w:spacing w:line="230" w:lineRule="exact" w:before="0" w:after="0"/>
              <w:ind w:left="1110" w:right="0" w:hanging="139"/>
              <w:jc w:val="left"/>
              <w:rPr>
                <w:sz w:val="19"/>
              </w:rPr>
            </w:pPr>
            <w:r>
              <w:rPr>
                <w:color w:val="231F20"/>
                <w:w w:val="75"/>
                <w:sz w:val="19"/>
              </w:rPr>
              <w:t>Coordinación de</w:t>
            </w:r>
            <w:r>
              <w:rPr>
                <w:color w:val="231F20"/>
                <w:spacing w:val="4"/>
                <w:w w:val="75"/>
                <w:sz w:val="19"/>
              </w:rPr>
              <w:t> </w:t>
            </w:r>
            <w:r>
              <w:rPr>
                <w:color w:val="231F20"/>
                <w:w w:val="75"/>
                <w:sz w:val="19"/>
              </w:rPr>
              <w:t>informática</w:t>
            </w:r>
          </w:p>
        </w:tc>
      </w:tr>
    </w:tbl>
    <w:p>
      <w:pPr>
        <w:pStyle w:val="BodyText"/>
        <w:spacing w:before="9"/>
        <w:rPr>
          <w:b/>
          <w:sz w:val="27"/>
        </w:rPr>
      </w:pPr>
    </w:p>
    <w:p>
      <w:pPr>
        <w:spacing w:before="0"/>
        <w:ind w:left="1206" w:right="-2"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spacing w:after="0"/>
        <w:jc w:val="left"/>
        <w:rPr>
          <w:rFonts w:ascii="Calibri" w:hAnsi="Calibri"/>
          <w:sz w:val="16"/>
        </w:rPr>
        <w:sectPr>
          <w:pgSz w:w="9640" w:h="12190"/>
          <w:pgMar w:header="0" w:footer="743" w:top="1120" w:bottom="940" w:left="740" w:right="740"/>
        </w:sectPr>
      </w:pPr>
    </w:p>
    <w:p>
      <w:pPr>
        <w:pStyle w:val="BodyText"/>
        <w:spacing w:before="6"/>
        <w:rPr>
          <w:rFonts w:ascii="Calibri"/>
          <w:sz w:val="8"/>
        </w:rPr>
      </w:pPr>
    </w:p>
    <w:p>
      <w:pPr>
        <w:pStyle w:val="Heading4"/>
        <w:spacing w:line="345" w:lineRule="exact"/>
        <w:rPr>
          <w:i/>
        </w:rPr>
      </w:pPr>
      <w:r>
        <w:rPr>
          <w:i/>
          <w:color w:val="231F20"/>
          <w:w w:val="105"/>
        </w:rPr>
        <w:t>Normatividad</w:t>
      </w:r>
    </w:p>
    <w:p>
      <w:pPr>
        <w:pStyle w:val="BodyText"/>
        <w:spacing w:line="285" w:lineRule="auto" w:before="17"/>
        <w:ind w:left="110" w:right="108"/>
        <w:jc w:val="both"/>
      </w:pPr>
      <w:r>
        <w:rPr>
          <w:color w:val="231F20"/>
          <w:w w:val="105"/>
        </w:rPr>
        <w:t>Aunque</w:t>
      </w:r>
      <w:r>
        <w:rPr>
          <w:color w:val="231F20"/>
          <w:spacing w:val="-5"/>
          <w:w w:val="105"/>
        </w:rPr>
        <w:t> </w:t>
      </w:r>
      <w:r>
        <w:rPr>
          <w:color w:val="231F20"/>
          <w:w w:val="105"/>
        </w:rPr>
        <w:t>constitucionalmente</w:t>
      </w:r>
      <w:r>
        <w:rPr>
          <w:color w:val="231F20"/>
          <w:spacing w:val="-5"/>
          <w:w w:val="105"/>
        </w:rPr>
        <w:t> </w:t>
      </w:r>
      <w:r>
        <w:rPr>
          <w:color w:val="231F20"/>
          <w:w w:val="105"/>
        </w:rPr>
        <w:t>carece</w:t>
      </w:r>
      <w:r>
        <w:rPr>
          <w:color w:val="231F20"/>
          <w:spacing w:val="-5"/>
          <w:w w:val="105"/>
        </w:rPr>
        <w:t> </w:t>
      </w:r>
      <w:r>
        <w:rPr>
          <w:color w:val="231F20"/>
          <w:w w:val="105"/>
        </w:rPr>
        <w:t>de</w:t>
      </w:r>
      <w:r>
        <w:rPr>
          <w:color w:val="231F20"/>
          <w:spacing w:val="-5"/>
          <w:w w:val="105"/>
        </w:rPr>
        <w:t> </w:t>
      </w:r>
      <w:r>
        <w:rPr>
          <w:color w:val="231F20"/>
          <w:w w:val="105"/>
        </w:rPr>
        <w:t>funciones</w:t>
      </w:r>
      <w:r>
        <w:rPr>
          <w:color w:val="231F20"/>
          <w:spacing w:val="-5"/>
          <w:w w:val="105"/>
        </w:rPr>
        <w:t> </w:t>
      </w:r>
      <w:r>
        <w:rPr>
          <w:color w:val="231F20"/>
          <w:w w:val="105"/>
        </w:rPr>
        <w:t>para</w:t>
      </w:r>
      <w:r>
        <w:rPr>
          <w:color w:val="231F20"/>
          <w:spacing w:val="-5"/>
          <w:w w:val="105"/>
        </w:rPr>
        <w:t> </w:t>
      </w:r>
      <w:r>
        <w:rPr>
          <w:color w:val="231F20"/>
          <w:w w:val="105"/>
        </w:rPr>
        <w:t>legislar,</w:t>
      </w:r>
      <w:r>
        <w:rPr>
          <w:color w:val="231F20"/>
          <w:spacing w:val="-5"/>
          <w:w w:val="105"/>
        </w:rPr>
        <w:t> </w:t>
      </w:r>
      <w:r>
        <w:rPr>
          <w:color w:val="231F20"/>
          <w:w w:val="105"/>
        </w:rPr>
        <w:t>el</w:t>
      </w:r>
      <w:r>
        <w:rPr>
          <w:color w:val="231F20"/>
          <w:spacing w:val="-5"/>
          <w:w w:val="105"/>
        </w:rPr>
        <w:t> </w:t>
      </w:r>
      <w:r>
        <w:rPr>
          <w:color w:val="231F20"/>
          <w:w w:val="105"/>
        </w:rPr>
        <w:t>ayuntamiento</w:t>
      </w:r>
      <w:r>
        <w:rPr>
          <w:color w:val="231F20"/>
          <w:spacing w:val="-5"/>
          <w:w w:val="105"/>
        </w:rPr>
        <w:t> </w:t>
      </w:r>
      <w:r>
        <w:rPr>
          <w:color w:val="231F20"/>
          <w:w w:val="105"/>
        </w:rPr>
        <w:t>sí</w:t>
      </w:r>
      <w:r>
        <w:rPr>
          <w:color w:val="231F20"/>
          <w:spacing w:val="-5"/>
          <w:w w:val="105"/>
        </w:rPr>
        <w:t> </w:t>
      </w:r>
      <w:r>
        <w:rPr>
          <w:color w:val="231F20"/>
          <w:w w:val="105"/>
        </w:rPr>
        <w:t>está expresamente autorizado para expedir los reglamentos necesarios para conducir </w:t>
      </w:r>
      <w:r>
        <w:rPr>
          <w:color w:val="231F20"/>
          <w:spacing w:val="2"/>
          <w:w w:val="105"/>
        </w:rPr>
        <w:t>al </w:t>
      </w:r>
      <w:r>
        <w:rPr>
          <w:color w:val="231F20"/>
          <w:spacing w:val="-4"/>
          <w:w w:val="105"/>
        </w:rPr>
        <w:t>or- </w:t>
      </w:r>
      <w:r>
        <w:rPr>
          <w:color w:val="231F20"/>
          <w:w w:val="105"/>
        </w:rPr>
        <w:t>den</w:t>
      </w:r>
      <w:r>
        <w:rPr>
          <w:color w:val="231F20"/>
          <w:spacing w:val="-11"/>
          <w:w w:val="105"/>
        </w:rPr>
        <w:t> </w:t>
      </w:r>
      <w:r>
        <w:rPr>
          <w:color w:val="231F20"/>
          <w:w w:val="105"/>
        </w:rPr>
        <w:t>social</w:t>
      </w:r>
      <w:r>
        <w:rPr>
          <w:color w:val="231F20"/>
          <w:spacing w:val="-11"/>
          <w:w w:val="105"/>
        </w:rPr>
        <w:t> </w:t>
      </w:r>
      <w:r>
        <w:rPr>
          <w:color w:val="231F20"/>
          <w:w w:val="105"/>
        </w:rPr>
        <w:t>y</w:t>
      </w:r>
      <w:r>
        <w:rPr>
          <w:color w:val="231F20"/>
          <w:spacing w:val="-11"/>
          <w:w w:val="105"/>
        </w:rPr>
        <w:t> </w:t>
      </w:r>
      <w:r>
        <w:rPr>
          <w:color w:val="231F20"/>
          <w:spacing w:val="2"/>
          <w:w w:val="105"/>
        </w:rPr>
        <w:t>al</w:t>
      </w:r>
      <w:r>
        <w:rPr>
          <w:color w:val="231F20"/>
          <w:spacing w:val="-11"/>
          <w:w w:val="105"/>
        </w:rPr>
        <w:t> </w:t>
      </w:r>
      <w:r>
        <w:rPr>
          <w:color w:val="231F20"/>
          <w:w w:val="105"/>
        </w:rPr>
        <w:t>desarrollo</w:t>
      </w:r>
      <w:r>
        <w:rPr>
          <w:color w:val="231F20"/>
          <w:spacing w:val="-11"/>
          <w:w w:val="105"/>
        </w:rPr>
        <w:t> </w:t>
      </w:r>
      <w:r>
        <w:rPr>
          <w:color w:val="231F20"/>
          <w:w w:val="105"/>
        </w:rPr>
        <w:t>comunitario;</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resulta</w:t>
      </w:r>
      <w:r>
        <w:rPr>
          <w:color w:val="231F20"/>
          <w:spacing w:val="-11"/>
          <w:w w:val="105"/>
        </w:rPr>
        <w:t> </w:t>
      </w:r>
      <w:r>
        <w:rPr>
          <w:color w:val="231F20"/>
          <w:w w:val="105"/>
        </w:rPr>
        <w:t>de</w:t>
      </w:r>
      <w:r>
        <w:rPr>
          <w:color w:val="231F20"/>
          <w:spacing w:val="-11"/>
          <w:w w:val="105"/>
        </w:rPr>
        <w:t> </w:t>
      </w:r>
      <w:r>
        <w:rPr>
          <w:color w:val="231F20"/>
          <w:w w:val="105"/>
        </w:rPr>
        <w:t>vital</w:t>
      </w:r>
      <w:r>
        <w:rPr>
          <w:color w:val="231F20"/>
          <w:spacing w:val="-11"/>
          <w:w w:val="105"/>
        </w:rPr>
        <w:t> </w:t>
      </w:r>
      <w:r>
        <w:rPr>
          <w:color w:val="231F20"/>
          <w:w w:val="105"/>
        </w:rPr>
        <w:t>importancia.</w:t>
      </w:r>
    </w:p>
    <w:p>
      <w:pPr>
        <w:pStyle w:val="BodyText"/>
        <w:spacing w:before="1"/>
        <w:rPr>
          <w:sz w:val="26"/>
        </w:rPr>
      </w:pPr>
    </w:p>
    <w:p>
      <w:pPr>
        <w:pStyle w:val="BodyText"/>
        <w:spacing w:line="285" w:lineRule="auto"/>
        <w:ind w:left="110" w:right="107"/>
        <w:jc w:val="both"/>
      </w:pPr>
      <w:r>
        <w:rPr>
          <w:color w:val="231F20"/>
          <w:w w:val="105"/>
        </w:rPr>
        <w:t>Lo común en todos los gobiernos municipales de México es que el ordenamiento </w:t>
      </w:r>
      <w:r>
        <w:rPr>
          <w:color w:val="231F20"/>
          <w:spacing w:val="-2"/>
          <w:w w:val="105"/>
        </w:rPr>
        <w:t>ge- </w:t>
      </w:r>
      <w:r>
        <w:rPr>
          <w:color w:val="231F20"/>
          <w:w w:val="105"/>
        </w:rPr>
        <w:t>neral sea expresado en el Bando de Policía y Buen Gobierno, que precisamente “tiene el</w:t>
      </w:r>
      <w:r>
        <w:rPr>
          <w:color w:val="231F20"/>
          <w:spacing w:val="-10"/>
          <w:w w:val="105"/>
        </w:rPr>
        <w:t> </w:t>
      </w:r>
      <w:r>
        <w:rPr>
          <w:color w:val="231F20"/>
          <w:w w:val="105"/>
        </w:rPr>
        <w:t>objetivo</w:t>
      </w:r>
      <w:r>
        <w:rPr>
          <w:color w:val="231F20"/>
          <w:spacing w:val="-10"/>
          <w:w w:val="105"/>
        </w:rPr>
        <w:t> </w:t>
      </w:r>
      <w:r>
        <w:rPr>
          <w:color w:val="231F20"/>
          <w:w w:val="105"/>
        </w:rPr>
        <w:t>de</w:t>
      </w:r>
      <w:r>
        <w:rPr>
          <w:color w:val="231F20"/>
          <w:spacing w:val="-10"/>
          <w:w w:val="105"/>
        </w:rPr>
        <w:t> </w:t>
      </w:r>
      <w:r>
        <w:rPr>
          <w:color w:val="231F20"/>
          <w:w w:val="105"/>
        </w:rPr>
        <w:t>establecer</w:t>
      </w:r>
      <w:r>
        <w:rPr>
          <w:color w:val="231F20"/>
          <w:spacing w:val="-10"/>
          <w:w w:val="105"/>
        </w:rPr>
        <w:t> </w:t>
      </w:r>
      <w:r>
        <w:rPr>
          <w:color w:val="231F20"/>
          <w:w w:val="105"/>
        </w:rPr>
        <w:t>las</w:t>
      </w:r>
      <w:r>
        <w:rPr>
          <w:color w:val="231F20"/>
          <w:spacing w:val="-10"/>
          <w:w w:val="105"/>
        </w:rPr>
        <w:t> </w:t>
      </w:r>
      <w:r>
        <w:rPr>
          <w:color w:val="231F20"/>
          <w:w w:val="105"/>
        </w:rPr>
        <w:t>normas</w:t>
      </w:r>
      <w:r>
        <w:rPr>
          <w:color w:val="231F20"/>
          <w:spacing w:val="-10"/>
          <w:w w:val="105"/>
        </w:rPr>
        <w:t> </w:t>
      </w:r>
      <w:r>
        <w:rPr>
          <w:color w:val="231F20"/>
          <w:w w:val="105"/>
        </w:rPr>
        <w:t>de</w:t>
      </w:r>
      <w:r>
        <w:rPr>
          <w:color w:val="231F20"/>
          <w:spacing w:val="-10"/>
          <w:w w:val="105"/>
        </w:rPr>
        <w:t> </w:t>
      </w:r>
      <w:r>
        <w:rPr>
          <w:color w:val="231F20"/>
          <w:w w:val="105"/>
        </w:rPr>
        <w:t>observancia</w:t>
      </w:r>
      <w:r>
        <w:rPr>
          <w:color w:val="231F20"/>
          <w:spacing w:val="-10"/>
          <w:w w:val="105"/>
        </w:rPr>
        <w:t> </w:t>
      </w:r>
      <w:r>
        <w:rPr>
          <w:color w:val="231F20"/>
          <w:w w:val="105"/>
        </w:rPr>
        <w:t>general</w:t>
      </w:r>
      <w:r>
        <w:rPr>
          <w:color w:val="231F20"/>
          <w:spacing w:val="-10"/>
          <w:w w:val="105"/>
        </w:rPr>
        <w:t> </w:t>
      </w:r>
      <w:r>
        <w:rPr>
          <w:color w:val="231F20"/>
          <w:w w:val="105"/>
        </w:rPr>
        <w:t>que</w:t>
      </w:r>
      <w:r>
        <w:rPr>
          <w:color w:val="231F20"/>
          <w:spacing w:val="-10"/>
          <w:w w:val="105"/>
        </w:rPr>
        <w:t> </w:t>
      </w:r>
      <w:r>
        <w:rPr>
          <w:color w:val="231F20"/>
          <w:w w:val="105"/>
        </w:rPr>
        <w:t>rigen</w:t>
      </w:r>
      <w:r>
        <w:rPr>
          <w:color w:val="231F20"/>
          <w:spacing w:val="-10"/>
          <w:w w:val="105"/>
        </w:rPr>
        <w:t> </w:t>
      </w:r>
      <w:r>
        <w:rPr>
          <w:color w:val="231F20"/>
          <w:spacing w:val="2"/>
          <w:w w:val="105"/>
        </w:rPr>
        <w:t>al</w:t>
      </w:r>
      <w:r>
        <w:rPr>
          <w:color w:val="231F20"/>
          <w:spacing w:val="-10"/>
          <w:w w:val="105"/>
        </w:rPr>
        <w:t> </w:t>
      </w:r>
      <w:r>
        <w:rPr>
          <w:color w:val="231F20"/>
          <w:w w:val="105"/>
        </w:rPr>
        <w:t>gobierno</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la Administración,</w:t>
      </w:r>
      <w:r>
        <w:rPr>
          <w:color w:val="231F20"/>
          <w:spacing w:val="-12"/>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habitantes,</w:t>
      </w:r>
      <w:r>
        <w:rPr>
          <w:color w:val="231F20"/>
          <w:spacing w:val="-12"/>
          <w:w w:val="105"/>
        </w:rPr>
        <w:t> </w:t>
      </w:r>
      <w:r>
        <w:rPr>
          <w:color w:val="231F20"/>
          <w:w w:val="105"/>
        </w:rPr>
        <w:t>visitantes</w:t>
      </w:r>
      <w:r>
        <w:rPr>
          <w:color w:val="231F20"/>
          <w:spacing w:val="-12"/>
          <w:w w:val="105"/>
        </w:rPr>
        <w:t> </w:t>
      </w:r>
      <w:r>
        <w:rPr>
          <w:color w:val="231F20"/>
          <w:w w:val="105"/>
        </w:rPr>
        <w:t>y</w:t>
      </w:r>
      <w:r>
        <w:rPr>
          <w:color w:val="231F20"/>
          <w:spacing w:val="-12"/>
          <w:w w:val="105"/>
        </w:rPr>
        <w:t> </w:t>
      </w:r>
      <w:r>
        <w:rPr>
          <w:color w:val="231F20"/>
          <w:w w:val="105"/>
        </w:rPr>
        <w:t>transeúntes”</w:t>
      </w:r>
      <w:r>
        <w:rPr>
          <w:color w:val="231F20"/>
          <w:spacing w:val="-12"/>
          <w:w w:val="105"/>
        </w:rPr>
        <w:t> </w:t>
      </w:r>
      <w:r>
        <w:rPr>
          <w:color w:val="231F20"/>
          <w:w w:val="105"/>
        </w:rPr>
        <w:t>(Bando</w:t>
      </w:r>
      <w:r>
        <w:rPr>
          <w:color w:val="231F20"/>
          <w:spacing w:val="-12"/>
          <w:w w:val="105"/>
        </w:rPr>
        <w:t> </w:t>
      </w:r>
      <w:r>
        <w:rPr>
          <w:color w:val="231F20"/>
          <w:w w:val="105"/>
        </w:rPr>
        <w:t>Municipal, 2008:5). </w:t>
      </w:r>
      <w:r>
        <w:rPr>
          <w:color w:val="231F20"/>
          <w:spacing w:val="-3"/>
          <w:w w:val="105"/>
        </w:rPr>
        <w:t>Pero </w:t>
      </w:r>
      <w:r>
        <w:rPr>
          <w:color w:val="231F20"/>
          <w:w w:val="105"/>
        </w:rPr>
        <w:t>no es suficiente para mantener bajo Estado de Derecho las funciones </w:t>
      </w:r>
      <w:r>
        <w:rPr>
          <w:color w:val="231F20"/>
          <w:spacing w:val="2"/>
          <w:w w:val="105"/>
        </w:rPr>
        <w:t>al </w:t>
      </w:r>
      <w:r>
        <w:rPr>
          <w:color w:val="231F20"/>
          <w:w w:val="105"/>
        </w:rPr>
        <w:t>interior</w:t>
      </w:r>
      <w:r>
        <w:rPr>
          <w:color w:val="231F20"/>
          <w:spacing w:val="-18"/>
          <w:w w:val="105"/>
        </w:rPr>
        <w:t> </w:t>
      </w:r>
      <w:r>
        <w:rPr>
          <w:color w:val="231F20"/>
          <w:w w:val="105"/>
        </w:rPr>
        <w:t>del</w:t>
      </w:r>
      <w:r>
        <w:rPr>
          <w:color w:val="231F20"/>
          <w:spacing w:val="-18"/>
          <w:w w:val="105"/>
        </w:rPr>
        <w:t> </w:t>
      </w:r>
      <w:r>
        <w:rPr>
          <w:color w:val="231F20"/>
          <w:w w:val="105"/>
        </w:rPr>
        <w:t>ayuntamiento</w:t>
      </w:r>
      <w:r>
        <w:rPr>
          <w:color w:val="231F20"/>
          <w:spacing w:val="-18"/>
          <w:w w:val="105"/>
        </w:rPr>
        <w:t> </w:t>
      </w:r>
      <w:r>
        <w:rPr>
          <w:color w:val="231F20"/>
          <w:w w:val="105"/>
        </w:rPr>
        <w:t>y</w:t>
      </w:r>
      <w:r>
        <w:rPr>
          <w:color w:val="231F20"/>
          <w:spacing w:val="-18"/>
          <w:w w:val="105"/>
        </w:rPr>
        <w:t> </w:t>
      </w:r>
      <w:r>
        <w:rPr>
          <w:color w:val="231F20"/>
          <w:w w:val="105"/>
        </w:rPr>
        <w:t>del</w:t>
      </w:r>
      <w:r>
        <w:rPr>
          <w:color w:val="231F20"/>
          <w:spacing w:val="-18"/>
          <w:w w:val="105"/>
        </w:rPr>
        <w:t> </w:t>
      </w:r>
      <w:r>
        <w:rPr>
          <w:color w:val="231F20"/>
          <w:w w:val="105"/>
        </w:rPr>
        <w:t>ejercicio</w:t>
      </w:r>
      <w:r>
        <w:rPr>
          <w:color w:val="231F20"/>
          <w:spacing w:val="-18"/>
          <w:w w:val="105"/>
        </w:rPr>
        <w:t> </w:t>
      </w:r>
      <w:r>
        <w:rPr>
          <w:color w:val="231F20"/>
          <w:w w:val="105"/>
        </w:rPr>
        <w:t>público,</w:t>
      </w:r>
      <w:r>
        <w:rPr>
          <w:color w:val="231F20"/>
          <w:spacing w:val="-18"/>
          <w:w w:val="105"/>
        </w:rPr>
        <w:t> </w:t>
      </w:r>
      <w:r>
        <w:rPr>
          <w:color w:val="231F20"/>
          <w:w w:val="105"/>
        </w:rPr>
        <w:t>por</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resulta</w:t>
      </w:r>
      <w:r>
        <w:rPr>
          <w:color w:val="231F20"/>
          <w:spacing w:val="-18"/>
          <w:w w:val="105"/>
        </w:rPr>
        <w:t> </w:t>
      </w:r>
      <w:r>
        <w:rPr>
          <w:color w:val="231F20"/>
          <w:w w:val="105"/>
        </w:rPr>
        <w:t>indispensable</w:t>
      </w:r>
      <w:r>
        <w:rPr>
          <w:color w:val="231F20"/>
          <w:spacing w:val="-18"/>
          <w:w w:val="105"/>
        </w:rPr>
        <w:t> </w:t>
      </w:r>
      <w:r>
        <w:rPr>
          <w:color w:val="231F20"/>
          <w:w w:val="105"/>
        </w:rPr>
        <w:t>que</w:t>
      </w:r>
      <w:r>
        <w:rPr>
          <w:color w:val="231F20"/>
          <w:spacing w:val="-18"/>
          <w:w w:val="105"/>
        </w:rPr>
        <w:t> </w:t>
      </w:r>
      <w:r>
        <w:rPr>
          <w:color w:val="231F20"/>
          <w:w w:val="105"/>
        </w:rPr>
        <w:t>se creen</w:t>
      </w:r>
      <w:r>
        <w:rPr>
          <w:color w:val="231F20"/>
          <w:spacing w:val="-13"/>
          <w:w w:val="105"/>
        </w:rPr>
        <w:t> </w:t>
      </w:r>
      <w:r>
        <w:rPr>
          <w:color w:val="231F20"/>
          <w:w w:val="105"/>
        </w:rPr>
        <w:t>los</w:t>
      </w:r>
      <w:r>
        <w:rPr>
          <w:color w:val="231F20"/>
          <w:spacing w:val="-13"/>
          <w:w w:val="105"/>
        </w:rPr>
        <w:t> </w:t>
      </w:r>
      <w:r>
        <w:rPr>
          <w:color w:val="231F20"/>
          <w:w w:val="105"/>
        </w:rPr>
        <w:t>reglamentos</w:t>
      </w:r>
      <w:r>
        <w:rPr>
          <w:color w:val="231F20"/>
          <w:spacing w:val="-13"/>
          <w:w w:val="105"/>
        </w:rPr>
        <w:t> </w:t>
      </w:r>
      <w:r>
        <w:rPr>
          <w:color w:val="231F20"/>
          <w:w w:val="105"/>
        </w:rPr>
        <w:t>especializados</w:t>
      </w:r>
      <w:r>
        <w:rPr>
          <w:color w:val="231F20"/>
          <w:spacing w:val="-13"/>
          <w:w w:val="105"/>
        </w:rPr>
        <w:t> </w:t>
      </w:r>
      <w:r>
        <w:rPr>
          <w:color w:val="231F20"/>
          <w:w w:val="105"/>
        </w:rPr>
        <w:t>para</w:t>
      </w:r>
      <w:r>
        <w:rPr>
          <w:color w:val="231F20"/>
          <w:spacing w:val="-13"/>
          <w:w w:val="105"/>
        </w:rPr>
        <w:t> </w:t>
      </w:r>
      <w:r>
        <w:rPr>
          <w:color w:val="231F20"/>
          <w:w w:val="105"/>
        </w:rPr>
        <w:t>cada</w:t>
      </w:r>
      <w:r>
        <w:rPr>
          <w:color w:val="231F20"/>
          <w:spacing w:val="-13"/>
          <w:w w:val="105"/>
        </w:rPr>
        <w:t> </w:t>
      </w:r>
      <w:r>
        <w:rPr>
          <w:color w:val="231F20"/>
          <w:w w:val="105"/>
        </w:rPr>
        <w:t>área</w:t>
      </w:r>
      <w:r>
        <w:rPr>
          <w:color w:val="231F20"/>
          <w:spacing w:val="-13"/>
          <w:w w:val="105"/>
        </w:rPr>
        <w:t> </w:t>
      </w:r>
      <w:r>
        <w:rPr>
          <w:color w:val="231F20"/>
          <w:w w:val="105"/>
        </w:rPr>
        <w:t>y</w:t>
      </w:r>
      <w:r>
        <w:rPr>
          <w:color w:val="231F20"/>
          <w:spacing w:val="-13"/>
          <w:w w:val="105"/>
        </w:rPr>
        <w:t> </w:t>
      </w:r>
      <w:r>
        <w:rPr>
          <w:color w:val="231F20"/>
          <w:w w:val="105"/>
        </w:rPr>
        <w:t>así</w:t>
      </w:r>
      <w:r>
        <w:rPr>
          <w:color w:val="231F20"/>
          <w:spacing w:val="-13"/>
          <w:w w:val="105"/>
        </w:rPr>
        <w:t> </w:t>
      </w:r>
      <w:r>
        <w:rPr>
          <w:color w:val="231F20"/>
          <w:w w:val="105"/>
        </w:rPr>
        <w:t>se</w:t>
      </w:r>
      <w:r>
        <w:rPr>
          <w:color w:val="231F20"/>
          <w:spacing w:val="-13"/>
          <w:w w:val="105"/>
        </w:rPr>
        <w:t> </w:t>
      </w:r>
      <w:r>
        <w:rPr>
          <w:color w:val="231F20"/>
          <w:w w:val="105"/>
        </w:rPr>
        <w:t>tenga</w:t>
      </w:r>
      <w:r>
        <w:rPr>
          <w:color w:val="231F20"/>
          <w:spacing w:val="-13"/>
          <w:w w:val="105"/>
        </w:rPr>
        <w:t> </w:t>
      </w:r>
      <w:r>
        <w:rPr>
          <w:color w:val="231F20"/>
          <w:w w:val="105"/>
        </w:rPr>
        <w:t>la</w:t>
      </w:r>
      <w:r>
        <w:rPr>
          <w:color w:val="231F20"/>
          <w:spacing w:val="-13"/>
          <w:w w:val="105"/>
        </w:rPr>
        <w:t> </w:t>
      </w:r>
      <w:r>
        <w:rPr>
          <w:color w:val="231F20"/>
          <w:w w:val="105"/>
        </w:rPr>
        <w:t>procedencia</w:t>
      </w:r>
      <w:r>
        <w:rPr>
          <w:color w:val="231F20"/>
          <w:spacing w:val="-13"/>
          <w:w w:val="105"/>
        </w:rPr>
        <w:t> </w:t>
      </w:r>
      <w:r>
        <w:rPr>
          <w:color w:val="231F20"/>
          <w:w w:val="105"/>
        </w:rPr>
        <w:t>admi- nistrativa</w:t>
      </w:r>
      <w:r>
        <w:rPr>
          <w:color w:val="231F20"/>
          <w:spacing w:val="-14"/>
          <w:w w:val="105"/>
        </w:rPr>
        <w:t> </w:t>
      </w:r>
      <w:r>
        <w:rPr>
          <w:color w:val="231F20"/>
          <w:w w:val="105"/>
        </w:rPr>
        <w:t>para</w:t>
      </w:r>
      <w:r>
        <w:rPr>
          <w:color w:val="231F20"/>
          <w:spacing w:val="-14"/>
          <w:w w:val="105"/>
        </w:rPr>
        <w:t> </w:t>
      </w:r>
      <w:r>
        <w:rPr>
          <w:color w:val="231F20"/>
          <w:w w:val="105"/>
        </w:rPr>
        <w:t>ser</w:t>
      </w:r>
      <w:r>
        <w:rPr>
          <w:color w:val="231F20"/>
          <w:spacing w:val="-14"/>
          <w:w w:val="105"/>
        </w:rPr>
        <w:t> </w:t>
      </w:r>
      <w:r>
        <w:rPr>
          <w:color w:val="231F20"/>
          <w:w w:val="105"/>
        </w:rPr>
        <w:t>sometidas</w:t>
      </w:r>
      <w:r>
        <w:rPr>
          <w:color w:val="231F20"/>
          <w:spacing w:val="-14"/>
          <w:w w:val="105"/>
        </w:rPr>
        <w:t> </w:t>
      </w:r>
      <w:r>
        <w:rPr>
          <w:color w:val="231F20"/>
          <w:w w:val="105"/>
        </w:rPr>
        <w:t>como</w:t>
      </w:r>
      <w:r>
        <w:rPr>
          <w:color w:val="231F20"/>
          <w:spacing w:val="-14"/>
          <w:w w:val="105"/>
        </w:rPr>
        <w:t> </w:t>
      </w:r>
      <w:r>
        <w:rPr>
          <w:color w:val="231F20"/>
          <w:w w:val="105"/>
        </w:rPr>
        <w:t>obligación.</w:t>
      </w:r>
    </w:p>
    <w:p>
      <w:pPr>
        <w:pStyle w:val="BodyText"/>
        <w:spacing w:before="1"/>
        <w:rPr>
          <w:sz w:val="26"/>
        </w:rPr>
      </w:pPr>
    </w:p>
    <w:p>
      <w:pPr>
        <w:pStyle w:val="BodyText"/>
        <w:spacing w:line="285" w:lineRule="auto"/>
        <w:ind w:left="110" w:right="107"/>
        <w:jc w:val="both"/>
      </w:pPr>
      <w:r>
        <w:rPr>
          <w:color w:val="231F20"/>
          <w:spacing w:val="-3"/>
          <w:w w:val="105"/>
        </w:rPr>
        <w:t>Por </w:t>
      </w:r>
      <w:r>
        <w:rPr>
          <w:color w:val="231F20"/>
          <w:w w:val="105"/>
        </w:rPr>
        <w:t>esto, si se quiere medir el grado de normatividad existente en el municipio, es ne- cesario </w:t>
      </w:r>
      <w:r>
        <w:rPr>
          <w:color w:val="231F20"/>
          <w:spacing w:val="2"/>
          <w:w w:val="105"/>
        </w:rPr>
        <w:t>distinguir </w:t>
      </w:r>
      <w:r>
        <w:rPr>
          <w:color w:val="231F20"/>
          <w:w w:val="105"/>
        </w:rPr>
        <w:t>entre todas las áreas que deben de ser reglamentadas y aquellas que cuentan actualmente con norma. Considerando que el Bando Municipal establece las áreas que le competen </w:t>
      </w:r>
      <w:r>
        <w:rPr>
          <w:color w:val="231F20"/>
          <w:spacing w:val="2"/>
          <w:w w:val="105"/>
        </w:rPr>
        <w:t>al </w:t>
      </w:r>
      <w:r>
        <w:rPr>
          <w:color w:val="231F20"/>
          <w:w w:val="105"/>
        </w:rPr>
        <w:t>ayuntamiento en relación con su administración interna y la ejecución</w:t>
      </w:r>
      <w:r>
        <w:rPr>
          <w:color w:val="231F20"/>
          <w:spacing w:val="-13"/>
          <w:w w:val="105"/>
        </w:rPr>
        <w:t> </w:t>
      </w:r>
      <w:r>
        <w:rPr>
          <w:color w:val="231F20"/>
          <w:w w:val="105"/>
        </w:rPr>
        <w:t>del</w:t>
      </w:r>
      <w:r>
        <w:rPr>
          <w:color w:val="231F20"/>
          <w:spacing w:val="-13"/>
          <w:w w:val="105"/>
        </w:rPr>
        <w:t> </w:t>
      </w:r>
      <w:r>
        <w:rPr>
          <w:color w:val="231F20"/>
          <w:w w:val="105"/>
        </w:rPr>
        <w:t>ejercicio</w:t>
      </w:r>
      <w:r>
        <w:rPr>
          <w:color w:val="231F20"/>
          <w:spacing w:val="-13"/>
          <w:w w:val="105"/>
        </w:rPr>
        <w:t> </w:t>
      </w:r>
      <w:r>
        <w:rPr>
          <w:color w:val="231F20"/>
          <w:w w:val="105"/>
        </w:rPr>
        <w:t>público,</w:t>
      </w:r>
      <w:r>
        <w:rPr>
          <w:color w:val="231F20"/>
          <w:spacing w:val="-13"/>
          <w:w w:val="105"/>
        </w:rPr>
        <w:t> </w:t>
      </w:r>
      <w:r>
        <w:rPr>
          <w:color w:val="231F20"/>
          <w:w w:val="105"/>
        </w:rPr>
        <w:t>se</w:t>
      </w:r>
      <w:r>
        <w:rPr>
          <w:color w:val="231F20"/>
          <w:spacing w:val="-13"/>
          <w:w w:val="105"/>
        </w:rPr>
        <w:t> </w:t>
      </w:r>
      <w:r>
        <w:rPr>
          <w:color w:val="231F20"/>
          <w:w w:val="105"/>
        </w:rPr>
        <w:t>encuentra</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general</w:t>
      </w:r>
      <w:r>
        <w:rPr>
          <w:color w:val="231F20"/>
          <w:spacing w:val="-13"/>
          <w:w w:val="105"/>
        </w:rPr>
        <w:t> </w:t>
      </w:r>
      <w:r>
        <w:rPr>
          <w:color w:val="231F20"/>
          <w:w w:val="105"/>
        </w:rPr>
        <w:t>el</w:t>
      </w:r>
      <w:r>
        <w:rPr>
          <w:color w:val="231F20"/>
          <w:spacing w:val="-13"/>
          <w:w w:val="105"/>
        </w:rPr>
        <w:t> </w:t>
      </w:r>
      <w:r>
        <w:rPr>
          <w:color w:val="231F20"/>
          <w:w w:val="105"/>
        </w:rPr>
        <w:t>ayuntamiento</w:t>
      </w:r>
      <w:r>
        <w:rPr>
          <w:color w:val="231F20"/>
          <w:spacing w:val="-13"/>
          <w:w w:val="105"/>
        </w:rPr>
        <w:t> </w:t>
      </w:r>
      <w:r>
        <w:rPr>
          <w:color w:val="231F20"/>
          <w:w w:val="105"/>
        </w:rPr>
        <w:t>de</w:t>
      </w:r>
      <w:r>
        <w:rPr>
          <w:color w:val="231F20"/>
          <w:spacing w:val="-13"/>
          <w:w w:val="105"/>
        </w:rPr>
        <w:t> </w:t>
      </w:r>
      <w:r>
        <w:rPr>
          <w:color w:val="231F20"/>
          <w:w w:val="105"/>
        </w:rPr>
        <w:t>Ixtapan de</w:t>
      </w:r>
      <w:r>
        <w:rPr>
          <w:color w:val="231F20"/>
          <w:spacing w:val="-22"/>
          <w:w w:val="105"/>
        </w:rPr>
        <w:t> </w:t>
      </w:r>
      <w:r>
        <w:rPr>
          <w:color w:val="231F20"/>
          <w:w w:val="105"/>
        </w:rPr>
        <w:t>la</w:t>
      </w:r>
      <w:r>
        <w:rPr>
          <w:color w:val="231F20"/>
          <w:spacing w:val="-22"/>
          <w:w w:val="105"/>
        </w:rPr>
        <w:t> </w:t>
      </w:r>
      <w:r>
        <w:rPr>
          <w:color w:val="231F20"/>
          <w:w w:val="105"/>
        </w:rPr>
        <w:t>Sal</w:t>
      </w:r>
      <w:r>
        <w:rPr>
          <w:color w:val="231F20"/>
          <w:spacing w:val="-22"/>
          <w:w w:val="105"/>
        </w:rPr>
        <w:t> </w:t>
      </w:r>
      <w:r>
        <w:rPr>
          <w:color w:val="231F20"/>
          <w:w w:val="105"/>
        </w:rPr>
        <w:t>tiene</w:t>
      </w:r>
      <w:r>
        <w:rPr>
          <w:color w:val="231F20"/>
          <w:spacing w:val="-22"/>
          <w:w w:val="105"/>
        </w:rPr>
        <w:t> </w:t>
      </w:r>
      <w:r>
        <w:rPr>
          <w:color w:val="231F20"/>
          <w:w w:val="105"/>
        </w:rPr>
        <w:t>reglamentado</w:t>
      </w:r>
      <w:r>
        <w:rPr>
          <w:color w:val="231F20"/>
          <w:spacing w:val="-22"/>
          <w:w w:val="105"/>
        </w:rPr>
        <w:t> </w:t>
      </w:r>
      <w:r>
        <w:rPr>
          <w:color w:val="231F20"/>
          <w:w w:val="105"/>
        </w:rPr>
        <w:t>el</w:t>
      </w:r>
      <w:r>
        <w:rPr>
          <w:color w:val="231F20"/>
          <w:spacing w:val="-22"/>
          <w:w w:val="105"/>
        </w:rPr>
        <w:t> </w:t>
      </w:r>
      <w:r>
        <w:rPr>
          <w:color w:val="231F20"/>
          <w:w w:val="105"/>
        </w:rPr>
        <w:t>48%</w:t>
      </w:r>
      <w:r>
        <w:rPr>
          <w:color w:val="231F20"/>
          <w:spacing w:val="-22"/>
          <w:w w:val="105"/>
        </w:rPr>
        <w:t> </w:t>
      </w:r>
      <w:r>
        <w:rPr>
          <w:color w:val="231F20"/>
          <w:w w:val="105"/>
        </w:rPr>
        <w:t>de</w:t>
      </w:r>
      <w:r>
        <w:rPr>
          <w:color w:val="231F20"/>
          <w:spacing w:val="-22"/>
          <w:w w:val="105"/>
        </w:rPr>
        <w:t> </w:t>
      </w:r>
      <w:r>
        <w:rPr>
          <w:color w:val="231F20"/>
          <w:w w:val="105"/>
        </w:rPr>
        <w:t>su</w:t>
      </w:r>
      <w:r>
        <w:rPr>
          <w:color w:val="231F20"/>
          <w:spacing w:val="-22"/>
          <w:w w:val="105"/>
        </w:rPr>
        <w:t> </w:t>
      </w:r>
      <w:r>
        <w:rPr>
          <w:color w:val="231F20"/>
          <w:w w:val="105"/>
        </w:rPr>
        <w:t>competencia,</w:t>
      </w:r>
      <w:r>
        <w:rPr>
          <w:color w:val="231F20"/>
          <w:spacing w:val="-22"/>
          <w:w w:val="105"/>
        </w:rPr>
        <w:t> </w:t>
      </w:r>
      <w:r>
        <w:rPr>
          <w:color w:val="231F20"/>
          <w:w w:val="105"/>
        </w:rPr>
        <w:t>es</w:t>
      </w:r>
      <w:r>
        <w:rPr>
          <w:color w:val="231F20"/>
          <w:spacing w:val="-22"/>
          <w:w w:val="105"/>
        </w:rPr>
        <w:t> </w:t>
      </w:r>
      <w:r>
        <w:rPr>
          <w:color w:val="231F20"/>
          <w:w w:val="105"/>
        </w:rPr>
        <w:t>decir,</w:t>
      </w:r>
      <w:r>
        <w:rPr>
          <w:color w:val="231F20"/>
          <w:spacing w:val="-22"/>
          <w:w w:val="105"/>
        </w:rPr>
        <w:t> </w:t>
      </w:r>
      <w:r>
        <w:rPr>
          <w:color w:val="231F20"/>
          <w:w w:val="105"/>
        </w:rPr>
        <w:t>un</w:t>
      </w:r>
      <w:r>
        <w:rPr>
          <w:color w:val="231F20"/>
          <w:spacing w:val="-22"/>
          <w:w w:val="105"/>
        </w:rPr>
        <w:t> </w:t>
      </w:r>
      <w:r>
        <w:rPr>
          <w:color w:val="231F20"/>
          <w:w w:val="105"/>
        </w:rPr>
        <w:t>poco</w:t>
      </w:r>
      <w:r>
        <w:rPr>
          <w:color w:val="231F20"/>
          <w:spacing w:val="-22"/>
          <w:w w:val="105"/>
        </w:rPr>
        <w:t> </w:t>
      </w:r>
      <w:r>
        <w:rPr>
          <w:color w:val="231F20"/>
          <w:w w:val="105"/>
        </w:rPr>
        <w:t>más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mitad de</w:t>
      </w:r>
      <w:r>
        <w:rPr>
          <w:color w:val="231F20"/>
          <w:spacing w:val="-9"/>
          <w:w w:val="105"/>
        </w:rPr>
        <w:t> </w:t>
      </w:r>
      <w:r>
        <w:rPr>
          <w:color w:val="231F20"/>
          <w:w w:val="105"/>
        </w:rPr>
        <w:t>la</w:t>
      </w:r>
      <w:r>
        <w:rPr>
          <w:color w:val="231F20"/>
          <w:spacing w:val="-9"/>
          <w:w w:val="105"/>
        </w:rPr>
        <w:t> </w:t>
      </w:r>
      <w:r>
        <w:rPr>
          <w:color w:val="231F20"/>
          <w:w w:val="105"/>
        </w:rPr>
        <w:t>áreas</w:t>
      </w:r>
      <w:r>
        <w:rPr>
          <w:color w:val="231F20"/>
          <w:spacing w:val="-9"/>
          <w:w w:val="105"/>
        </w:rPr>
        <w:t> </w:t>
      </w:r>
      <w:r>
        <w:rPr>
          <w:color w:val="231F20"/>
          <w:w w:val="105"/>
        </w:rPr>
        <w:t>de</w:t>
      </w:r>
      <w:r>
        <w:rPr>
          <w:color w:val="231F20"/>
          <w:spacing w:val="-9"/>
          <w:w w:val="105"/>
        </w:rPr>
        <w:t> </w:t>
      </w:r>
      <w:r>
        <w:rPr>
          <w:color w:val="231F20"/>
          <w:w w:val="105"/>
        </w:rPr>
        <w:t>acción</w:t>
      </w:r>
      <w:r>
        <w:rPr>
          <w:color w:val="231F20"/>
          <w:spacing w:val="-9"/>
          <w:w w:val="105"/>
        </w:rPr>
        <w:t> </w:t>
      </w:r>
      <w:r>
        <w:rPr>
          <w:color w:val="231F20"/>
          <w:w w:val="105"/>
        </w:rPr>
        <w:t>del</w:t>
      </w:r>
      <w:r>
        <w:rPr>
          <w:color w:val="231F20"/>
          <w:spacing w:val="-9"/>
          <w:w w:val="105"/>
        </w:rPr>
        <w:t> </w:t>
      </w:r>
      <w:r>
        <w:rPr>
          <w:color w:val="231F20"/>
          <w:w w:val="105"/>
        </w:rPr>
        <w:t>gobierno</w:t>
      </w:r>
      <w:r>
        <w:rPr>
          <w:color w:val="231F20"/>
          <w:spacing w:val="-9"/>
          <w:w w:val="105"/>
        </w:rPr>
        <w:t> </w:t>
      </w:r>
      <w:r>
        <w:rPr>
          <w:color w:val="231F20"/>
          <w:w w:val="105"/>
        </w:rPr>
        <w:t>no</w:t>
      </w:r>
      <w:r>
        <w:rPr>
          <w:color w:val="231F20"/>
          <w:spacing w:val="-9"/>
          <w:w w:val="105"/>
        </w:rPr>
        <w:t> </w:t>
      </w:r>
      <w:r>
        <w:rPr>
          <w:color w:val="231F20"/>
          <w:w w:val="105"/>
        </w:rPr>
        <w:t>tienen</w:t>
      </w:r>
      <w:r>
        <w:rPr>
          <w:color w:val="231F20"/>
          <w:spacing w:val="-9"/>
          <w:w w:val="105"/>
        </w:rPr>
        <w:t> </w:t>
      </w:r>
      <w:r>
        <w:rPr>
          <w:color w:val="231F20"/>
          <w:w w:val="105"/>
        </w:rPr>
        <w:t>norma</w:t>
      </w:r>
      <w:r>
        <w:rPr>
          <w:color w:val="231F20"/>
          <w:spacing w:val="-9"/>
          <w:w w:val="105"/>
        </w:rPr>
        <w:t> </w:t>
      </w:r>
      <w:r>
        <w:rPr>
          <w:color w:val="231F20"/>
          <w:w w:val="105"/>
        </w:rPr>
        <w:t>alguna,</w:t>
      </w:r>
      <w:r>
        <w:rPr>
          <w:color w:val="231F20"/>
          <w:spacing w:val="-9"/>
          <w:w w:val="105"/>
        </w:rPr>
        <w:t> </w:t>
      </w:r>
      <w:r>
        <w:rPr>
          <w:color w:val="231F20"/>
          <w:w w:val="105"/>
        </w:rPr>
        <w:t>sin</w:t>
      </w:r>
      <w:r>
        <w:rPr>
          <w:color w:val="231F20"/>
          <w:spacing w:val="-9"/>
          <w:w w:val="105"/>
        </w:rPr>
        <w:t> </w:t>
      </w:r>
      <w:r>
        <w:rPr>
          <w:color w:val="231F20"/>
          <w:w w:val="105"/>
        </w:rPr>
        <w:t>embargo,</w:t>
      </w:r>
      <w:r>
        <w:rPr>
          <w:color w:val="231F20"/>
          <w:spacing w:val="-9"/>
          <w:w w:val="105"/>
        </w:rPr>
        <w:t> </w:t>
      </w:r>
      <w:r>
        <w:rPr>
          <w:color w:val="231F20"/>
          <w:w w:val="105"/>
        </w:rPr>
        <w:t>están</w:t>
      </w:r>
      <w:r>
        <w:rPr>
          <w:color w:val="231F20"/>
          <w:spacing w:val="-9"/>
          <w:w w:val="105"/>
        </w:rPr>
        <w:t> </w:t>
      </w:r>
      <w:r>
        <w:rPr>
          <w:color w:val="231F20"/>
          <w:w w:val="105"/>
        </w:rPr>
        <w:t>contem- plados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Bando</w:t>
      </w:r>
      <w:r>
        <w:rPr>
          <w:color w:val="231F20"/>
          <w:spacing w:val="-18"/>
          <w:w w:val="105"/>
        </w:rPr>
        <w:t> </w:t>
      </w:r>
      <w:r>
        <w:rPr>
          <w:color w:val="231F20"/>
          <w:w w:val="105"/>
        </w:rPr>
        <w:t>Municipal</w:t>
      </w:r>
      <w:r>
        <w:rPr>
          <w:color w:val="231F20"/>
          <w:spacing w:val="-18"/>
          <w:w w:val="105"/>
        </w:rPr>
        <w:t> </w:t>
      </w:r>
      <w:r>
        <w:rPr>
          <w:color w:val="231F20"/>
          <w:spacing w:val="-5"/>
          <w:w w:val="105"/>
        </w:rPr>
        <w:t>(Ver</w:t>
      </w:r>
      <w:r>
        <w:rPr>
          <w:color w:val="231F20"/>
          <w:spacing w:val="-18"/>
          <w:w w:val="105"/>
        </w:rPr>
        <w:t> </w:t>
      </w:r>
      <w:r>
        <w:rPr>
          <w:color w:val="231F20"/>
          <w:w w:val="105"/>
        </w:rPr>
        <w:t>Cuadro</w:t>
      </w:r>
      <w:r>
        <w:rPr>
          <w:color w:val="231F20"/>
          <w:spacing w:val="-18"/>
          <w:w w:val="105"/>
        </w:rPr>
        <w:t> </w:t>
      </w:r>
      <w:r>
        <w:rPr>
          <w:color w:val="231F20"/>
          <w:spacing w:val="-4"/>
          <w:w w:val="105"/>
        </w:rPr>
        <w:t>7).</w:t>
      </w:r>
    </w:p>
    <w:p>
      <w:pPr>
        <w:pStyle w:val="BodyText"/>
        <w:spacing w:before="1"/>
        <w:rPr>
          <w:sz w:val="26"/>
        </w:rPr>
      </w:pPr>
    </w:p>
    <w:p>
      <w:pPr>
        <w:pStyle w:val="BodyText"/>
        <w:spacing w:line="285" w:lineRule="auto"/>
        <w:ind w:left="110" w:right="108"/>
        <w:jc w:val="both"/>
      </w:pPr>
      <w:r>
        <w:rPr>
          <w:color w:val="231F20"/>
          <w:w w:val="105"/>
        </w:rPr>
        <w:t>De</w:t>
      </w:r>
      <w:r>
        <w:rPr>
          <w:color w:val="231F20"/>
          <w:spacing w:val="-29"/>
          <w:w w:val="105"/>
        </w:rPr>
        <w:t> </w:t>
      </w:r>
      <w:r>
        <w:rPr>
          <w:color w:val="231F20"/>
          <w:w w:val="105"/>
        </w:rPr>
        <w:t>este</w:t>
      </w:r>
      <w:r>
        <w:rPr>
          <w:color w:val="231F20"/>
          <w:spacing w:val="-29"/>
          <w:w w:val="105"/>
        </w:rPr>
        <w:t> </w:t>
      </w:r>
      <w:r>
        <w:rPr>
          <w:color w:val="231F20"/>
          <w:w w:val="105"/>
        </w:rPr>
        <w:t>48%,</w:t>
      </w:r>
      <w:r>
        <w:rPr>
          <w:color w:val="231F20"/>
          <w:spacing w:val="-29"/>
          <w:w w:val="105"/>
        </w:rPr>
        <w:t> </w:t>
      </w:r>
      <w:r>
        <w:rPr>
          <w:color w:val="231F20"/>
          <w:w w:val="105"/>
        </w:rPr>
        <w:t>lo</w:t>
      </w:r>
      <w:r>
        <w:rPr>
          <w:color w:val="231F20"/>
          <w:spacing w:val="-29"/>
          <w:w w:val="105"/>
        </w:rPr>
        <w:t> </w:t>
      </w:r>
      <w:r>
        <w:rPr>
          <w:color w:val="231F20"/>
          <w:w w:val="105"/>
        </w:rPr>
        <w:t>relacionado</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Administración</w:t>
      </w:r>
      <w:r>
        <w:rPr>
          <w:color w:val="231F20"/>
          <w:spacing w:val="-29"/>
          <w:w w:val="105"/>
        </w:rPr>
        <w:t> </w:t>
      </w:r>
      <w:r>
        <w:rPr>
          <w:color w:val="231F20"/>
          <w:w w:val="105"/>
        </w:rPr>
        <w:t>Pública</w:t>
      </w:r>
      <w:r>
        <w:rPr>
          <w:color w:val="231F20"/>
          <w:spacing w:val="-29"/>
          <w:w w:val="105"/>
        </w:rPr>
        <w:t> </w:t>
      </w:r>
      <w:r>
        <w:rPr>
          <w:color w:val="231F20"/>
          <w:w w:val="105"/>
        </w:rPr>
        <w:t>Municipal</w:t>
      </w:r>
      <w:r>
        <w:rPr>
          <w:color w:val="231F20"/>
          <w:spacing w:val="-29"/>
          <w:w w:val="105"/>
        </w:rPr>
        <w:t> </w:t>
      </w:r>
      <w:r>
        <w:rPr>
          <w:color w:val="231F20"/>
          <w:w w:val="105"/>
        </w:rPr>
        <w:t>sólo</w:t>
      </w:r>
      <w:r>
        <w:rPr>
          <w:color w:val="231F20"/>
          <w:spacing w:val="-29"/>
          <w:w w:val="105"/>
        </w:rPr>
        <w:t> </w:t>
      </w:r>
      <w:r>
        <w:rPr>
          <w:color w:val="231F20"/>
          <w:w w:val="105"/>
        </w:rPr>
        <w:t>está</w:t>
      </w:r>
      <w:r>
        <w:rPr>
          <w:color w:val="231F20"/>
          <w:spacing w:val="-29"/>
          <w:w w:val="105"/>
        </w:rPr>
        <w:t> </w:t>
      </w:r>
      <w:r>
        <w:rPr>
          <w:color w:val="231F20"/>
          <w:w w:val="105"/>
        </w:rPr>
        <w:t>reglamenta- do</w:t>
      </w:r>
      <w:r>
        <w:rPr>
          <w:color w:val="231F20"/>
          <w:spacing w:val="-30"/>
          <w:w w:val="105"/>
        </w:rPr>
        <w:t> </w:t>
      </w:r>
      <w:r>
        <w:rPr>
          <w:color w:val="231F20"/>
          <w:w w:val="105"/>
        </w:rPr>
        <w:t>el</w:t>
      </w:r>
      <w:r>
        <w:rPr>
          <w:color w:val="231F20"/>
          <w:spacing w:val="-30"/>
          <w:w w:val="105"/>
        </w:rPr>
        <w:t> </w:t>
      </w:r>
      <w:r>
        <w:rPr>
          <w:color w:val="231F20"/>
          <w:w w:val="105"/>
        </w:rPr>
        <w:t>57%,</w:t>
      </w:r>
      <w:r>
        <w:rPr>
          <w:color w:val="231F20"/>
          <w:spacing w:val="-30"/>
          <w:w w:val="105"/>
        </w:rPr>
        <w:t> </w:t>
      </w:r>
      <w:r>
        <w:rPr>
          <w:color w:val="231F20"/>
          <w:w w:val="105"/>
        </w:rPr>
        <w:t>Servicios</w:t>
      </w:r>
      <w:r>
        <w:rPr>
          <w:color w:val="231F20"/>
          <w:spacing w:val="-30"/>
          <w:w w:val="105"/>
        </w:rPr>
        <w:t> </w:t>
      </w:r>
      <w:r>
        <w:rPr>
          <w:color w:val="231F20"/>
          <w:w w:val="105"/>
        </w:rPr>
        <w:t>Públicos</w:t>
      </w:r>
      <w:r>
        <w:rPr>
          <w:color w:val="231F20"/>
          <w:spacing w:val="-30"/>
          <w:w w:val="105"/>
        </w:rPr>
        <w:t> </w:t>
      </w:r>
      <w:r>
        <w:rPr>
          <w:color w:val="231F20"/>
          <w:w w:val="105"/>
        </w:rPr>
        <w:t>33%,</w:t>
      </w:r>
      <w:r>
        <w:rPr>
          <w:color w:val="231F20"/>
          <w:spacing w:val="-30"/>
          <w:w w:val="105"/>
        </w:rPr>
        <w:t> </w:t>
      </w:r>
      <w:r>
        <w:rPr>
          <w:color w:val="231F20"/>
          <w:w w:val="105"/>
        </w:rPr>
        <w:t>Seguridad</w:t>
      </w:r>
      <w:r>
        <w:rPr>
          <w:color w:val="231F20"/>
          <w:spacing w:val="-30"/>
          <w:w w:val="105"/>
        </w:rPr>
        <w:t> </w:t>
      </w:r>
      <w:r>
        <w:rPr>
          <w:color w:val="231F20"/>
          <w:w w:val="105"/>
        </w:rPr>
        <w:t>Pública</w:t>
      </w:r>
      <w:r>
        <w:rPr>
          <w:color w:val="231F20"/>
          <w:spacing w:val="-30"/>
          <w:w w:val="105"/>
        </w:rPr>
        <w:t> </w:t>
      </w:r>
      <w:r>
        <w:rPr>
          <w:color w:val="231F20"/>
          <w:w w:val="105"/>
        </w:rPr>
        <w:t>66%;</w:t>
      </w:r>
      <w:r>
        <w:rPr>
          <w:color w:val="231F20"/>
          <w:spacing w:val="-30"/>
          <w:w w:val="105"/>
        </w:rPr>
        <w:t> </w:t>
      </w:r>
      <w:r>
        <w:rPr>
          <w:color w:val="231F20"/>
          <w:spacing w:val="-3"/>
          <w:w w:val="105"/>
        </w:rPr>
        <w:t>Turismo</w:t>
      </w:r>
      <w:r>
        <w:rPr>
          <w:color w:val="231F20"/>
          <w:spacing w:val="-30"/>
          <w:w w:val="105"/>
        </w:rPr>
        <w:t> </w:t>
      </w:r>
      <w:r>
        <w:rPr>
          <w:color w:val="231F20"/>
          <w:w w:val="105"/>
        </w:rPr>
        <w:t>y</w:t>
      </w:r>
      <w:r>
        <w:rPr>
          <w:color w:val="231F20"/>
          <w:spacing w:val="-30"/>
          <w:w w:val="105"/>
        </w:rPr>
        <w:t> </w:t>
      </w:r>
      <w:r>
        <w:rPr>
          <w:color w:val="231F20"/>
          <w:w w:val="105"/>
        </w:rPr>
        <w:t>Medio</w:t>
      </w:r>
      <w:r>
        <w:rPr>
          <w:color w:val="231F20"/>
          <w:spacing w:val="-30"/>
          <w:w w:val="105"/>
        </w:rPr>
        <w:t> </w:t>
      </w:r>
      <w:r>
        <w:rPr>
          <w:color w:val="231F20"/>
          <w:w w:val="105"/>
        </w:rPr>
        <w:t>Ambiente, y</w:t>
      </w:r>
      <w:r>
        <w:rPr>
          <w:color w:val="231F20"/>
          <w:spacing w:val="-17"/>
          <w:w w:val="105"/>
        </w:rPr>
        <w:t> </w:t>
      </w:r>
      <w:r>
        <w:rPr>
          <w:color w:val="231F20"/>
          <w:w w:val="105"/>
        </w:rPr>
        <w:t>Actividades</w:t>
      </w:r>
      <w:r>
        <w:rPr>
          <w:color w:val="231F20"/>
          <w:spacing w:val="-17"/>
          <w:w w:val="105"/>
        </w:rPr>
        <w:t> </w:t>
      </w:r>
      <w:r>
        <w:rPr>
          <w:color w:val="231F20"/>
          <w:w w:val="105"/>
        </w:rPr>
        <w:t>comerciales,</w:t>
      </w:r>
      <w:r>
        <w:rPr>
          <w:color w:val="231F20"/>
          <w:spacing w:val="-17"/>
          <w:w w:val="105"/>
        </w:rPr>
        <w:t> </w:t>
      </w:r>
      <w:r>
        <w:rPr>
          <w:color w:val="231F20"/>
          <w:w w:val="105"/>
        </w:rPr>
        <w:t>industriales</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servicios</w:t>
      </w:r>
      <w:r>
        <w:rPr>
          <w:color w:val="231F20"/>
          <w:spacing w:val="-17"/>
          <w:w w:val="105"/>
        </w:rPr>
        <w:t> </w:t>
      </w:r>
      <w:r>
        <w:rPr>
          <w:color w:val="231F20"/>
          <w:w w:val="105"/>
        </w:rPr>
        <w:t>no</w:t>
      </w:r>
      <w:r>
        <w:rPr>
          <w:color w:val="231F20"/>
          <w:spacing w:val="-17"/>
          <w:w w:val="105"/>
        </w:rPr>
        <w:t> </w:t>
      </w:r>
      <w:r>
        <w:rPr>
          <w:color w:val="231F20"/>
          <w:w w:val="105"/>
        </w:rPr>
        <w:t>cuenta</w:t>
      </w:r>
      <w:r>
        <w:rPr>
          <w:color w:val="231F20"/>
          <w:spacing w:val="-17"/>
          <w:w w:val="105"/>
        </w:rPr>
        <w:t> </w:t>
      </w:r>
      <w:r>
        <w:rPr>
          <w:color w:val="231F20"/>
          <w:w w:val="105"/>
        </w:rPr>
        <w:t>con</w:t>
      </w:r>
      <w:r>
        <w:rPr>
          <w:color w:val="231F20"/>
          <w:spacing w:val="-17"/>
          <w:w w:val="105"/>
        </w:rPr>
        <w:t> </w:t>
      </w:r>
      <w:r>
        <w:rPr>
          <w:color w:val="231F20"/>
          <w:w w:val="105"/>
        </w:rPr>
        <w:t>algún</w:t>
      </w:r>
      <w:r>
        <w:rPr>
          <w:color w:val="231F20"/>
          <w:spacing w:val="-17"/>
          <w:w w:val="105"/>
        </w:rPr>
        <w:t> </w:t>
      </w:r>
      <w:r>
        <w:rPr>
          <w:color w:val="231F20"/>
          <w:w w:val="105"/>
        </w:rPr>
        <w:t>ordenamien- to</w:t>
      </w:r>
      <w:r>
        <w:rPr>
          <w:color w:val="231F20"/>
          <w:spacing w:val="-16"/>
          <w:w w:val="105"/>
        </w:rPr>
        <w:t> </w:t>
      </w:r>
      <w:r>
        <w:rPr>
          <w:color w:val="231F20"/>
          <w:w w:val="105"/>
        </w:rPr>
        <w:t>y</w:t>
      </w:r>
      <w:r>
        <w:rPr>
          <w:color w:val="231F20"/>
          <w:spacing w:val="-16"/>
          <w:w w:val="105"/>
        </w:rPr>
        <w:t> </w:t>
      </w:r>
      <w:r>
        <w:rPr>
          <w:color w:val="231F20"/>
          <w:w w:val="105"/>
        </w:rPr>
        <w:t>Obra</w:t>
      </w:r>
      <w:r>
        <w:rPr>
          <w:color w:val="231F20"/>
          <w:spacing w:val="-16"/>
          <w:w w:val="105"/>
        </w:rPr>
        <w:t> </w:t>
      </w:r>
      <w:r>
        <w:rPr>
          <w:color w:val="231F20"/>
          <w:w w:val="105"/>
        </w:rPr>
        <w:t>Pública</w:t>
      </w:r>
      <w:r>
        <w:rPr>
          <w:color w:val="231F20"/>
          <w:spacing w:val="-16"/>
          <w:w w:val="105"/>
        </w:rPr>
        <w:t> </w:t>
      </w:r>
      <w:r>
        <w:rPr>
          <w:color w:val="231F20"/>
          <w:spacing w:val="2"/>
          <w:w w:val="105"/>
        </w:rPr>
        <w:t>al</w:t>
      </w:r>
      <w:r>
        <w:rPr>
          <w:color w:val="231F20"/>
          <w:spacing w:val="-16"/>
          <w:w w:val="105"/>
        </w:rPr>
        <w:t> </w:t>
      </w:r>
      <w:r>
        <w:rPr>
          <w:color w:val="231F20"/>
          <w:w w:val="105"/>
        </w:rPr>
        <w:t>100%.</w:t>
      </w:r>
      <w:r>
        <w:rPr>
          <w:color w:val="231F20"/>
          <w:spacing w:val="-16"/>
          <w:w w:val="105"/>
        </w:rPr>
        <w:t> </w:t>
      </w:r>
      <w:r>
        <w:rPr>
          <w:color w:val="231F20"/>
          <w:w w:val="105"/>
        </w:rPr>
        <w:t>Esto</w:t>
      </w:r>
      <w:r>
        <w:rPr>
          <w:color w:val="231F20"/>
          <w:spacing w:val="-16"/>
          <w:w w:val="105"/>
        </w:rPr>
        <w:t> </w:t>
      </w:r>
      <w:r>
        <w:rPr>
          <w:color w:val="231F20"/>
          <w:w w:val="105"/>
        </w:rPr>
        <w:t>es</w:t>
      </w:r>
      <w:r>
        <w:rPr>
          <w:color w:val="231F20"/>
          <w:spacing w:val="-16"/>
          <w:w w:val="105"/>
        </w:rPr>
        <w:t> </w:t>
      </w:r>
      <w:r>
        <w:rPr>
          <w:color w:val="231F20"/>
          <w:w w:val="105"/>
        </w:rPr>
        <w:t>en</w:t>
      </w:r>
      <w:r>
        <w:rPr>
          <w:color w:val="231F20"/>
          <w:spacing w:val="-16"/>
          <w:w w:val="105"/>
        </w:rPr>
        <w:t> </w:t>
      </w:r>
      <w:r>
        <w:rPr>
          <w:color w:val="231F20"/>
          <w:w w:val="105"/>
        </w:rPr>
        <w:t>términos</w:t>
      </w:r>
      <w:r>
        <w:rPr>
          <w:color w:val="231F20"/>
          <w:spacing w:val="-16"/>
          <w:w w:val="105"/>
        </w:rPr>
        <w:t> </w:t>
      </w:r>
      <w:r>
        <w:rPr>
          <w:color w:val="231F20"/>
          <w:w w:val="105"/>
        </w:rPr>
        <w:t>cuantitativos,</w:t>
      </w:r>
      <w:r>
        <w:rPr>
          <w:color w:val="231F20"/>
          <w:spacing w:val="-16"/>
          <w:w w:val="105"/>
        </w:rPr>
        <w:t> </w:t>
      </w:r>
      <w:r>
        <w:rPr>
          <w:color w:val="231F20"/>
          <w:w w:val="105"/>
        </w:rPr>
        <w:t>aunque</w:t>
      </w:r>
      <w:r>
        <w:rPr>
          <w:color w:val="231F20"/>
          <w:spacing w:val="-16"/>
          <w:w w:val="105"/>
        </w:rPr>
        <w:t> </w:t>
      </w:r>
      <w:r>
        <w:rPr>
          <w:color w:val="231F20"/>
          <w:w w:val="105"/>
        </w:rPr>
        <w:t>faltaría</w:t>
      </w:r>
      <w:r>
        <w:rPr>
          <w:color w:val="231F20"/>
          <w:spacing w:val="-16"/>
          <w:w w:val="105"/>
        </w:rPr>
        <w:t> </w:t>
      </w:r>
      <w:r>
        <w:rPr>
          <w:color w:val="231F20"/>
          <w:spacing w:val="2"/>
          <w:w w:val="105"/>
        </w:rPr>
        <w:t>analizar</w:t>
      </w:r>
      <w:r>
        <w:rPr>
          <w:color w:val="231F20"/>
          <w:spacing w:val="-16"/>
          <w:w w:val="105"/>
        </w:rPr>
        <w:t> </w:t>
      </w:r>
      <w:r>
        <w:rPr>
          <w:color w:val="231F20"/>
          <w:w w:val="105"/>
        </w:rPr>
        <w:t>si las</w:t>
      </w:r>
      <w:r>
        <w:rPr>
          <w:color w:val="231F20"/>
          <w:spacing w:val="-14"/>
          <w:w w:val="105"/>
        </w:rPr>
        <w:t> </w:t>
      </w:r>
      <w:r>
        <w:rPr>
          <w:color w:val="231F20"/>
          <w:w w:val="105"/>
        </w:rPr>
        <w:t>normas</w:t>
      </w:r>
      <w:r>
        <w:rPr>
          <w:color w:val="231F20"/>
          <w:spacing w:val="-14"/>
          <w:w w:val="105"/>
        </w:rPr>
        <w:t> </w:t>
      </w:r>
      <w:r>
        <w:rPr>
          <w:color w:val="231F20"/>
          <w:w w:val="105"/>
        </w:rPr>
        <w:t>existentes</w:t>
      </w:r>
      <w:r>
        <w:rPr>
          <w:color w:val="231F20"/>
          <w:spacing w:val="-14"/>
          <w:w w:val="105"/>
        </w:rPr>
        <w:t> </w:t>
      </w:r>
      <w:r>
        <w:rPr>
          <w:color w:val="231F20"/>
          <w:w w:val="105"/>
        </w:rPr>
        <w:t>son</w:t>
      </w:r>
      <w:r>
        <w:rPr>
          <w:color w:val="231F20"/>
          <w:spacing w:val="-14"/>
          <w:w w:val="105"/>
        </w:rPr>
        <w:t> </w:t>
      </w:r>
      <w:r>
        <w:rPr>
          <w:color w:val="231F20"/>
          <w:w w:val="105"/>
        </w:rPr>
        <w:t>realmente</w:t>
      </w:r>
      <w:r>
        <w:rPr>
          <w:color w:val="231F20"/>
          <w:spacing w:val="-14"/>
          <w:w w:val="105"/>
        </w:rPr>
        <w:t> </w:t>
      </w:r>
      <w:r>
        <w:rPr>
          <w:color w:val="231F20"/>
          <w:w w:val="105"/>
        </w:rPr>
        <w:t>efectivas.</w:t>
      </w:r>
    </w:p>
    <w:p>
      <w:pPr>
        <w:spacing w:after="0" w:line="285" w:lineRule="auto"/>
        <w:jc w:val="both"/>
        <w:sectPr>
          <w:pgSz w:w="9640" w:h="12190"/>
          <w:pgMar w:header="0" w:footer="743" w:top="1120" w:bottom="940" w:left="740" w:right="740"/>
        </w:sectPr>
      </w:pPr>
    </w:p>
    <w:p>
      <w:pPr>
        <w:pStyle w:val="Heading5"/>
        <w:spacing w:before="27"/>
        <w:ind w:left="1908" w:right="340"/>
      </w:pPr>
      <w:r>
        <w:rPr>
          <w:color w:val="231F20"/>
          <w:w w:val="105"/>
        </w:rPr>
        <w:t>Cuadro 7. Normatividad de Ixtapan de la Sal.</w:t>
      </w:r>
    </w:p>
    <w:p>
      <w:pPr>
        <w:pStyle w:val="BodyText"/>
        <w:rPr>
          <w:b/>
          <w:sz w:val="20"/>
        </w:rPr>
      </w:pPr>
    </w:p>
    <w:p>
      <w:pPr>
        <w:pStyle w:val="BodyText"/>
        <w:spacing w:before="10"/>
        <w:rPr>
          <w:b/>
          <w:sz w:val="2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6"/>
        <w:gridCol w:w="3059"/>
        <w:gridCol w:w="765"/>
        <w:gridCol w:w="2577"/>
      </w:tblGrid>
      <w:tr>
        <w:trPr>
          <w:trHeight w:val="327" w:hRule="exact"/>
        </w:trPr>
        <w:tc>
          <w:tcPr>
            <w:tcW w:w="1506" w:type="dxa"/>
            <w:tcBorders>
              <w:top w:val="single" w:sz="6" w:space="0" w:color="231F20"/>
              <w:left w:val="single" w:sz="12" w:space="0" w:color="231F20"/>
              <w:bottom w:val="single" w:sz="6" w:space="0" w:color="231F20"/>
              <w:right w:val="single" w:sz="6" w:space="0" w:color="231F20"/>
            </w:tcBorders>
            <w:shd w:val="clear" w:color="auto" w:fill="E0E0E0"/>
          </w:tcPr>
          <w:p>
            <w:pPr>
              <w:pStyle w:val="TableParagraph"/>
              <w:spacing w:before="63"/>
              <w:ind w:left="147" w:right="152"/>
              <w:jc w:val="center"/>
              <w:rPr>
                <w:b/>
                <w:sz w:val="16"/>
              </w:rPr>
            </w:pPr>
            <w:r>
              <w:rPr>
                <w:b/>
                <w:color w:val="231F20"/>
                <w:w w:val="90"/>
                <w:sz w:val="16"/>
              </w:rPr>
              <w:t>Área</w:t>
            </w:r>
          </w:p>
        </w:tc>
        <w:tc>
          <w:tcPr>
            <w:tcW w:w="3059" w:type="dxa"/>
            <w:tcBorders>
              <w:top w:val="single" w:sz="6" w:space="0" w:color="231F20"/>
              <w:left w:val="single" w:sz="6" w:space="0" w:color="231F20"/>
              <w:bottom w:val="single" w:sz="6" w:space="0" w:color="231F20"/>
              <w:right w:val="single" w:sz="6" w:space="0" w:color="231F20"/>
            </w:tcBorders>
            <w:shd w:val="clear" w:color="auto" w:fill="E0E0E0"/>
          </w:tcPr>
          <w:p>
            <w:pPr>
              <w:pStyle w:val="TableParagraph"/>
              <w:spacing w:before="63"/>
              <w:ind w:left="290" w:right="290"/>
              <w:jc w:val="center"/>
              <w:rPr>
                <w:b/>
                <w:sz w:val="16"/>
              </w:rPr>
            </w:pPr>
            <w:r>
              <w:rPr>
                <w:b/>
                <w:color w:val="231F20"/>
                <w:w w:val="95"/>
                <w:sz w:val="16"/>
              </w:rPr>
              <w:t>Tema</w:t>
            </w:r>
          </w:p>
        </w:tc>
        <w:tc>
          <w:tcPr>
            <w:tcW w:w="765" w:type="dxa"/>
            <w:tcBorders>
              <w:top w:val="single" w:sz="6" w:space="0" w:color="231F20"/>
              <w:left w:val="single" w:sz="6" w:space="0" w:color="231F20"/>
              <w:bottom w:val="single" w:sz="6" w:space="0" w:color="231F20"/>
              <w:right w:val="single" w:sz="6" w:space="0" w:color="231F20"/>
            </w:tcBorders>
            <w:shd w:val="clear" w:color="auto" w:fill="E0E0E0"/>
          </w:tcPr>
          <w:p>
            <w:pPr>
              <w:pStyle w:val="TableParagraph"/>
              <w:spacing w:line="161" w:lineRule="exact"/>
              <w:ind w:left="213" w:hanging="23"/>
              <w:rPr>
                <w:b/>
                <w:sz w:val="16"/>
              </w:rPr>
            </w:pPr>
            <w:r>
              <w:rPr>
                <w:b/>
                <w:color w:val="231F20"/>
                <w:w w:val="95"/>
                <w:sz w:val="16"/>
              </w:rPr>
              <w:t>Bando</w:t>
            </w:r>
          </w:p>
          <w:p>
            <w:pPr>
              <w:pStyle w:val="TableParagraph"/>
              <w:spacing w:line="191" w:lineRule="exact"/>
              <w:ind w:left="213"/>
              <w:rPr>
                <w:b/>
                <w:sz w:val="16"/>
              </w:rPr>
            </w:pPr>
            <w:r>
              <w:rPr>
                <w:b/>
                <w:color w:val="231F20"/>
                <w:w w:val="95"/>
                <w:sz w:val="16"/>
              </w:rPr>
              <w:t>Mpal.</w:t>
            </w:r>
          </w:p>
        </w:tc>
        <w:tc>
          <w:tcPr>
            <w:tcW w:w="2577" w:type="dxa"/>
            <w:tcBorders>
              <w:top w:val="single" w:sz="6" w:space="0" w:color="231F20"/>
              <w:left w:val="single" w:sz="6" w:space="0" w:color="231F20"/>
              <w:bottom w:val="single" w:sz="6" w:space="0" w:color="231F20"/>
              <w:right w:val="single" w:sz="12" w:space="0" w:color="231F20"/>
            </w:tcBorders>
            <w:shd w:val="clear" w:color="auto" w:fill="E0E0E0"/>
          </w:tcPr>
          <w:p>
            <w:pPr>
              <w:pStyle w:val="TableParagraph"/>
              <w:spacing w:before="63"/>
              <w:ind w:left="146" w:right="139"/>
              <w:jc w:val="center"/>
              <w:rPr>
                <w:b/>
                <w:sz w:val="16"/>
              </w:rPr>
            </w:pPr>
            <w:r>
              <w:rPr>
                <w:b/>
                <w:color w:val="231F20"/>
                <w:w w:val="95"/>
                <w:sz w:val="16"/>
              </w:rPr>
              <w:t>Reglamento</w:t>
            </w:r>
          </w:p>
        </w:tc>
      </w:tr>
      <w:tr>
        <w:trPr>
          <w:trHeight w:val="453" w:hRule="exact"/>
        </w:trPr>
        <w:tc>
          <w:tcPr>
            <w:tcW w:w="1506" w:type="dxa"/>
            <w:tcBorders>
              <w:top w:val="single" w:sz="6" w:space="0" w:color="231F20"/>
              <w:left w:val="single" w:sz="12" w:space="0" w:color="231F20"/>
              <w:right w:val="single" w:sz="6" w:space="0" w:color="231F20"/>
            </w:tcBorders>
          </w:tcPr>
          <w:p>
            <w:pPr>
              <w:pStyle w:val="TableParagraph"/>
              <w:spacing w:line="161" w:lineRule="exact"/>
              <w:ind w:left="147" w:right="152"/>
              <w:jc w:val="center"/>
              <w:rPr>
                <w:sz w:val="16"/>
              </w:rPr>
            </w:pPr>
            <w:r>
              <w:rPr>
                <w:color w:val="231F20"/>
                <w:w w:val="75"/>
                <w:sz w:val="16"/>
              </w:rPr>
              <w:t>Administración  Pública</w:t>
            </w:r>
          </w:p>
          <w:p>
            <w:pPr>
              <w:pStyle w:val="TableParagraph"/>
              <w:spacing w:line="194" w:lineRule="exact"/>
              <w:ind w:left="147" w:right="152"/>
              <w:jc w:val="center"/>
              <w:rPr>
                <w:sz w:val="16"/>
              </w:rPr>
            </w:pPr>
            <w:r>
              <w:rPr>
                <w:color w:val="231F20"/>
                <w:w w:val="85"/>
                <w:sz w:val="16"/>
              </w:rPr>
              <w:t>Municipal</w:t>
            </w:r>
          </w:p>
        </w:tc>
        <w:tc>
          <w:tcPr>
            <w:tcW w:w="3059" w:type="dxa"/>
            <w:tcBorders>
              <w:top w:val="single" w:sz="6" w:space="0" w:color="231F20"/>
              <w:left w:val="single" w:sz="6" w:space="0" w:color="231F20"/>
              <w:right w:val="single" w:sz="6" w:space="0" w:color="231F20"/>
            </w:tcBorders>
          </w:tcPr>
          <w:p>
            <w:pPr>
              <w:pStyle w:val="TableParagraph"/>
              <w:ind w:left="0"/>
              <w:rPr>
                <w:rFonts w:ascii="Times New Roman"/>
                <w:b/>
                <w:sz w:val="16"/>
              </w:rPr>
            </w:pPr>
          </w:p>
          <w:p>
            <w:pPr>
              <w:pStyle w:val="TableParagraph"/>
              <w:spacing w:before="95"/>
              <w:ind w:left="290" w:right="290"/>
              <w:jc w:val="center"/>
              <w:rPr>
                <w:sz w:val="16"/>
              </w:rPr>
            </w:pPr>
            <w:r>
              <w:rPr>
                <w:color w:val="231F20"/>
                <w:w w:val="75"/>
                <w:sz w:val="16"/>
              </w:rPr>
              <w:t>Funciones del ayuntamiento.</w:t>
            </w:r>
          </w:p>
        </w:tc>
        <w:tc>
          <w:tcPr>
            <w:tcW w:w="765" w:type="dxa"/>
            <w:tcBorders>
              <w:top w:val="single" w:sz="6" w:space="0" w:color="231F20"/>
              <w:left w:val="single" w:sz="6" w:space="0" w:color="231F20"/>
              <w:right w:val="single" w:sz="6" w:space="0" w:color="231F20"/>
            </w:tcBorders>
          </w:tcPr>
          <w:p>
            <w:pPr/>
          </w:p>
        </w:tc>
        <w:tc>
          <w:tcPr>
            <w:tcW w:w="2577" w:type="dxa"/>
            <w:tcBorders>
              <w:top w:val="single" w:sz="6" w:space="0" w:color="231F20"/>
              <w:left w:val="single" w:sz="6" w:space="0" w:color="231F20"/>
              <w:right w:val="single" w:sz="12" w:space="0" w:color="231F20"/>
            </w:tcBorders>
          </w:tcPr>
          <w:p>
            <w:pPr>
              <w:pStyle w:val="TableParagraph"/>
              <w:ind w:left="0"/>
              <w:rPr>
                <w:rFonts w:ascii="Times New Roman"/>
                <w:b/>
                <w:sz w:val="16"/>
              </w:rPr>
            </w:pPr>
          </w:p>
          <w:p>
            <w:pPr>
              <w:pStyle w:val="TableParagraph"/>
              <w:spacing w:before="95"/>
              <w:ind w:left="146" w:right="139"/>
              <w:jc w:val="center"/>
              <w:rPr>
                <w:sz w:val="16"/>
              </w:rPr>
            </w:pPr>
            <w:r>
              <w:rPr>
                <w:color w:val="231F20"/>
                <w:w w:val="75"/>
                <w:sz w:val="16"/>
              </w:rPr>
              <w:t>Reglamento interior del ayuntamiento</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Administración  Municipal</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6" w:right="139"/>
              <w:jc w:val="center"/>
              <w:rPr>
                <w:sz w:val="16"/>
              </w:rPr>
            </w:pPr>
            <w:r>
              <w:rPr>
                <w:color w:val="231F20"/>
                <w:w w:val="80"/>
                <w:sz w:val="16"/>
              </w:rPr>
              <w:t>Reglamento interno de la A. P. M.</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Planeación para el  desarrollo.</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De organismos auxiliares.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Consejos de participación  ciudadana</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Hacienda Municipal</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312"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Patrimonio Municipal</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8" w:lineRule="exact"/>
              <w:ind w:left="148" w:right="139"/>
              <w:jc w:val="center"/>
              <w:rPr>
                <w:sz w:val="16"/>
              </w:rPr>
            </w:pPr>
            <w:r>
              <w:rPr>
                <w:color w:val="231F20"/>
                <w:w w:val="75"/>
                <w:sz w:val="16"/>
              </w:rPr>
              <w:t>Manual de procedimientos de control interno</w:t>
            </w:r>
          </w:p>
          <w:p>
            <w:pPr>
              <w:pStyle w:val="TableParagraph"/>
              <w:spacing w:line="194" w:lineRule="exact"/>
              <w:ind w:left="147" w:right="139"/>
              <w:jc w:val="center"/>
              <w:rPr>
                <w:sz w:val="16"/>
              </w:rPr>
            </w:pPr>
            <w:r>
              <w:rPr>
                <w:color w:val="231F20"/>
                <w:w w:val="75"/>
                <w:sz w:val="16"/>
              </w:rPr>
              <w:t>del patrimonio municipal</w:t>
            </w:r>
          </w:p>
        </w:tc>
      </w:tr>
      <w:tr>
        <w:trPr>
          <w:trHeight w:val="120" w:hRule="exact"/>
        </w:trPr>
        <w:tc>
          <w:tcPr>
            <w:tcW w:w="1506" w:type="dxa"/>
            <w:tcBorders>
              <w:left w:val="single" w:sz="12" w:space="0" w:color="231F20"/>
              <w:right w:val="single" w:sz="6" w:space="0" w:color="231F20"/>
            </w:tcBorders>
          </w:tcPr>
          <w:p>
            <w:pPr>
              <w:pStyle w:val="TableParagraph"/>
              <w:spacing w:line="149" w:lineRule="exact"/>
              <w:ind w:left="147" w:right="150"/>
              <w:jc w:val="center"/>
              <w:rPr>
                <w:sz w:val="16"/>
              </w:rPr>
            </w:pPr>
            <w:r>
              <w:rPr>
                <w:color w:val="231F20"/>
                <w:w w:val="75"/>
                <w:sz w:val="16"/>
              </w:rPr>
              <w:t>Servicios Públicos</w:t>
            </w:r>
          </w:p>
        </w:tc>
        <w:tc>
          <w:tcPr>
            <w:tcW w:w="3059" w:type="dxa"/>
            <w:tcBorders>
              <w:left w:val="single" w:sz="6" w:space="0" w:color="231F20"/>
              <w:right w:val="single" w:sz="6" w:space="0" w:color="231F20"/>
            </w:tcBorders>
          </w:tcPr>
          <w:p>
            <w:pP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2" w:right="139"/>
              <w:jc w:val="center"/>
              <w:rPr>
                <w:sz w:val="16"/>
              </w:rPr>
            </w:pPr>
            <w:r>
              <w:rPr>
                <w:color w:val="231F20"/>
                <w:w w:val="90"/>
                <w:sz w:val="16"/>
              </w:rPr>
              <w:t>(57%)</w:t>
            </w:r>
          </w:p>
        </w:tc>
      </w:tr>
      <w:tr>
        <w:trPr>
          <w:trHeight w:val="302"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8" w:lineRule="exact"/>
              <w:ind w:left="290" w:right="290"/>
              <w:jc w:val="center"/>
              <w:rPr>
                <w:sz w:val="16"/>
              </w:rPr>
            </w:pPr>
            <w:r>
              <w:rPr>
                <w:color w:val="231F20"/>
                <w:w w:val="80"/>
                <w:sz w:val="16"/>
              </w:rPr>
              <w:t>Agua Potable, Drenaje y Tratamiento de Aguas</w:t>
            </w:r>
          </w:p>
          <w:p>
            <w:pPr>
              <w:pStyle w:val="TableParagraph"/>
              <w:spacing w:line="194" w:lineRule="exact"/>
              <w:ind w:left="290" w:right="290"/>
              <w:jc w:val="center"/>
              <w:rPr>
                <w:sz w:val="16"/>
              </w:rPr>
            </w:pPr>
            <w:r>
              <w:rPr>
                <w:color w:val="231F20"/>
                <w:w w:val="85"/>
                <w:sz w:val="16"/>
              </w:rPr>
              <w:t>Residuales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6"/>
              <w:jc w:val="center"/>
              <w:rPr>
                <w:sz w:val="16"/>
              </w:rPr>
            </w:pPr>
            <w:r>
              <w:rPr>
                <w:color w:val="231F20"/>
                <w:w w:val="75"/>
                <w:sz w:val="16"/>
              </w:rPr>
              <w:t>X</w:t>
            </w:r>
          </w:p>
        </w:tc>
      </w:tr>
      <w:tr>
        <w:trPr>
          <w:trHeight w:val="13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59" w:lineRule="exact"/>
              <w:ind w:left="290" w:right="290"/>
              <w:jc w:val="center"/>
              <w:rPr>
                <w:sz w:val="16"/>
              </w:rPr>
            </w:pPr>
            <w:r>
              <w:rPr>
                <w:color w:val="231F20"/>
                <w:w w:val="75"/>
                <w:sz w:val="16"/>
              </w:rPr>
              <w:t>Alumbrado Público</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59" w:lineRule="exact"/>
              <w:ind w:left="6"/>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80"/>
                <w:sz w:val="16"/>
              </w:rPr>
              <w:t>Servicio de limpia</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6"/>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Mercados y tianguis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6"/>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Panteones y cementerios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5" w:right="139"/>
              <w:jc w:val="center"/>
              <w:rPr>
                <w:sz w:val="16"/>
              </w:rPr>
            </w:pPr>
            <w:r>
              <w:rPr>
                <w:color w:val="231F20"/>
                <w:w w:val="75"/>
                <w:sz w:val="16"/>
              </w:rPr>
              <w:t>Reglamento de Panteones y Cementerios</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Rastro Municipal</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6" w:right="139"/>
              <w:jc w:val="center"/>
              <w:rPr>
                <w:sz w:val="16"/>
              </w:rPr>
            </w:pPr>
            <w:r>
              <w:rPr>
                <w:color w:val="231F20"/>
                <w:w w:val="75"/>
                <w:sz w:val="16"/>
              </w:rPr>
              <w:t>Reglamento de Rastros</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Calles, parques y jardines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Style w:val="TableParagraph"/>
              <w:spacing w:line="149" w:lineRule="exact"/>
              <w:ind w:left="147" w:right="152"/>
              <w:jc w:val="center"/>
              <w:rPr>
                <w:sz w:val="16"/>
              </w:rPr>
            </w:pPr>
            <w:r>
              <w:rPr>
                <w:color w:val="231F20"/>
                <w:w w:val="75"/>
                <w:sz w:val="16"/>
              </w:rPr>
              <w:t>Seguridad  pública</w:t>
            </w:r>
          </w:p>
        </w:tc>
        <w:tc>
          <w:tcPr>
            <w:tcW w:w="3059" w:type="dxa"/>
            <w:tcBorders>
              <w:left w:val="single" w:sz="6" w:space="0" w:color="231F20"/>
              <w:right w:val="single" w:sz="6" w:space="0" w:color="231F20"/>
            </w:tcBorders>
          </w:tcPr>
          <w:p>
            <w:pP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2" w:right="139"/>
              <w:jc w:val="center"/>
              <w:rPr>
                <w:sz w:val="16"/>
              </w:rPr>
            </w:pPr>
            <w:r>
              <w:rPr>
                <w:color w:val="231F20"/>
                <w:w w:val="90"/>
                <w:sz w:val="16"/>
              </w:rPr>
              <w:t>(33%)</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Seguridad  Pública</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6" w:right="139"/>
              <w:jc w:val="center"/>
              <w:rPr>
                <w:sz w:val="16"/>
              </w:rPr>
            </w:pPr>
            <w:r>
              <w:rPr>
                <w:color w:val="231F20"/>
                <w:w w:val="80"/>
                <w:sz w:val="16"/>
              </w:rPr>
              <w:t>Reglamento de Seguridad Pública</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De protección civil y bomberos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Tránsito y vialidad</w:t>
            </w:r>
          </w:p>
        </w:tc>
        <w:tc>
          <w:tcPr>
            <w:tcW w:w="765" w:type="dxa"/>
            <w:tcBorders>
              <w:left w:val="single" w:sz="6" w:space="0" w:color="231F20"/>
              <w:right w:val="single" w:sz="6" w:space="0" w:color="231F20"/>
            </w:tcBorders>
          </w:tcPr>
          <w:p>
            <w:pPr>
              <w:pStyle w:val="TableParagraph"/>
              <w:spacing w:line="149" w:lineRule="exact"/>
              <w:ind w:left="0"/>
              <w:jc w:val="center"/>
              <w:rPr>
                <w:sz w:val="16"/>
              </w:rPr>
            </w:pPr>
            <w:r>
              <w:rPr>
                <w:color w:val="231F20"/>
                <w:w w:val="75"/>
                <w:sz w:val="16"/>
              </w:rPr>
              <w:t>X</w:t>
            </w:r>
          </w:p>
        </w:tc>
        <w:tc>
          <w:tcPr>
            <w:tcW w:w="2577" w:type="dxa"/>
            <w:tcBorders>
              <w:left w:val="single" w:sz="6" w:space="0" w:color="231F20"/>
              <w:right w:val="single" w:sz="12" w:space="0" w:color="231F20"/>
            </w:tcBorders>
          </w:tcPr>
          <w:p>
            <w:pPr>
              <w:pStyle w:val="TableParagraph"/>
              <w:spacing w:line="149" w:lineRule="exact"/>
              <w:ind w:left="146" w:right="139"/>
              <w:jc w:val="center"/>
              <w:rPr>
                <w:sz w:val="16"/>
              </w:rPr>
            </w:pPr>
            <w:r>
              <w:rPr>
                <w:color w:val="231F20"/>
                <w:w w:val="80"/>
                <w:sz w:val="16"/>
              </w:rPr>
              <w:t>Reglamento de Tránsito y Vialidad</w:t>
            </w:r>
          </w:p>
        </w:tc>
      </w:tr>
      <w:tr>
        <w:trPr>
          <w:trHeight w:val="302" w:hRule="exact"/>
        </w:trPr>
        <w:tc>
          <w:tcPr>
            <w:tcW w:w="1506" w:type="dxa"/>
            <w:tcBorders>
              <w:left w:val="single" w:sz="12" w:space="0" w:color="231F20"/>
              <w:right w:val="single" w:sz="6" w:space="0" w:color="231F20"/>
            </w:tcBorders>
          </w:tcPr>
          <w:p>
            <w:pPr>
              <w:pStyle w:val="TableParagraph"/>
              <w:spacing w:line="148" w:lineRule="exact"/>
              <w:ind w:left="147" w:right="152"/>
              <w:jc w:val="center"/>
              <w:rPr>
                <w:sz w:val="16"/>
              </w:rPr>
            </w:pPr>
            <w:r>
              <w:rPr>
                <w:color w:val="231F20"/>
                <w:w w:val="75"/>
                <w:sz w:val="16"/>
              </w:rPr>
              <w:t>Turismo y medio</w:t>
            </w:r>
          </w:p>
          <w:p>
            <w:pPr>
              <w:pStyle w:val="TableParagraph"/>
              <w:spacing w:line="194" w:lineRule="exact"/>
              <w:ind w:left="147" w:right="152"/>
              <w:jc w:val="center"/>
              <w:rPr>
                <w:sz w:val="16"/>
              </w:rPr>
            </w:pPr>
            <w:r>
              <w:rPr>
                <w:color w:val="231F20"/>
                <w:w w:val="85"/>
                <w:sz w:val="16"/>
              </w:rPr>
              <w:t>ambiente</w:t>
            </w:r>
          </w:p>
        </w:tc>
        <w:tc>
          <w:tcPr>
            <w:tcW w:w="3059" w:type="dxa"/>
            <w:tcBorders>
              <w:left w:val="single" w:sz="6" w:space="0" w:color="231F20"/>
              <w:right w:val="single" w:sz="6" w:space="0" w:color="231F20"/>
            </w:tcBorders>
          </w:tcPr>
          <w:p>
            <w:pP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2" w:right="139"/>
              <w:jc w:val="center"/>
              <w:rPr>
                <w:sz w:val="16"/>
              </w:rPr>
            </w:pPr>
            <w:r>
              <w:rPr>
                <w:color w:val="231F20"/>
                <w:w w:val="90"/>
                <w:sz w:val="16"/>
              </w:rPr>
              <w:t>(66%)</w:t>
            </w:r>
          </w:p>
        </w:tc>
      </w:tr>
      <w:tr>
        <w:trPr>
          <w:trHeight w:val="13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59" w:lineRule="exact"/>
              <w:ind w:left="290" w:right="289"/>
              <w:jc w:val="center"/>
              <w:rPr>
                <w:sz w:val="16"/>
              </w:rPr>
            </w:pPr>
            <w:r>
              <w:rPr>
                <w:color w:val="231F20"/>
                <w:w w:val="85"/>
                <w:sz w:val="16"/>
              </w:rPr>
              <w:t>Turismo</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59" w:lineRule="exact"/>
              <w:ind w:left="7"/>
              <w:jc w:val="center"/>
              <w:rPr>
                <w:sz w:val="16"/>
              </w:rPr>
            </w:pPr>
            <w:r>
              <w:rPr>
                <w:color w:val="231F20"/>
                <w:w w:val="75"/>
                <w:sz w:val="16"/>
              </w:rPr>
              <w:t>X</w:t>
            </w:r>
          </w:p>
        </w:tc>
      </w:tr>
      <w:tr>
        <w:trPr>
          <w:trHeight w:val="12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Medio ambiente</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7"/>
              <w:jc w:val="center"/>
              <w:rPr>
                <w:sz w:val="16"/>
              </w:rPr>
            </w:pPr>
            <w:r>
              <w:rPr>
                <w:color w:val="231F20"/>
                <w:w w:val="75"/>
                <w:sz w:val="16"/>
              </w:rPr>
              <w:t>X</w:t>
            </w:r>
          </w:p>
        </w:tc>
      </w:tr>
      <w:tr>
        <w:trPr>
          <w:trHeight w:val="302" w:hRule="exact"/>
        </w:trPr>
        <w:tc>
          <w:tcPr>
            <w:tcW w:w="1506" w:type="dxa"/>
            <w:tcBorders>
              <w:left w:val="single" w:sz="12" w:space="0" w:color="231F20"/>
              <w:right w:val="single" w:sz="6" w:space="0" w:color="231F20"/>
            </w:tcBorders>
          </w:tcPr>
          <w:p>
            <w:pPr>
              <w:pStyle w:val="TableParagraph"/>
              <w:spacing w:line="148" w:lineRule="exact"/>
              <w:ind w:left="147" w:right="152"/>
              <w:jc w:val="center"/>
              <w:rPr>
                <w:sz w:val="16"/>
              </w:rPr>
            </w:pPr>
            <w:r>
              <w:rPr>
                <w:color w:val="231F20"/>
                <w:w w:val="75"/>
                <w:sz w:val="16"/>
              </w:rPr>
              <w:t>Desarrollo Urbano y</w:t>
            </w:r>
          </w:p>
          <w:p>
            <w:pPr>
              <w:pStyle w:val="TableParagraph"/>
              <w:spacing w:line="194" w:lineRule="exact"/>
              <w:ind w:left="147" w:right="150"/>
              <w:jc w:val="center"/>
              <w:rPr>
                <w:sz w:val="16"/>
              </w:rPr>
            </w:pPr>
            <w:r>
              <w:rPr>
                <w:color w:val="231F20"/>
                <w:w w:val="75"/>
                <w:sz w:val="16"/>
              </w:rPr>
              <w:t>Obras Públicas</w:t>
            </w:r>
          </w:p>
        </w:tc>
        <w:tc>
          <w:tcPr>
            <w:tcW w:w="3059" w:type="dxa"/>
            <w:tcBorders>
              <w:left w:val="single" w:sz="6" w:space="0" w:color="231F20"/>
              <w:right w:val="single" w:sz="6" w:space="0" w:color="231F20"/>
            </w:tcBorders>
          </w:tcPr>
          <w:p>
            <w:pP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3" w:right="139"/>
              <w:jc w:val="center"/>
              <w:rPr>
                <w:sz w:val="16"/>
              </w:rPr>
            </w:pPr>
            <w:r>
              <w:rPr>
                <w:color w:val="231F20"/>
                <w:w w:val="95"/>
                <w:sz w:val="16"/>
              </w:rPr>
              <w:t>(0%)</w:t>
            </w:r>
          </w:p>
        </w:tc>
      </w:tr>
      <w:tr>
        <w:trPr>
          <w:trHeight w:val="312"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59" w:lineRule="exact"/>
              <w:ind w:left="290" w:right="290"/>
              <w:jc w:val="center"/>
              <w:rPr>
                <w:sz w:val="16"/>
              </w:rPr>
            </w:pPr>
            <w:r>
              <w:rPr>
                <w:color w:val="231F20"/>
                <w:w w:val="75"/>
                <w:sz w:val="16"/>
              </w:rPr>
              <w:t>Desarrollo Urbano</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58" w:lineRule="exact"/>
              <w:ind w:left="146" w:right="139"/>
              <w:jc w:val="center"/>
              <w:rPr>
                <w:sz w:val="16"/>
              </w:rPr>
            </w:pPr>
            <w:r>
              <w:rPr>
                <w:color w:val="231F20"/>
                <w:w w:val="75"/>
                <w:sz w:val="16"/>
              </w:rPr>
              <w:t>Reglamento de Fraccionamiento y  Munici-</w:t>
            </w:r>
          </w:p>
          <w:p>
            <w:pPr>
              <w:pStyle w:val="TableParagraph"/>
              <w:spacing w:line="194" w:lineRule="exact"/>
              <w:ind w:left="146" w:right="139"/>
              <w:jc w:val="center"/>
              <w:rPr>
                <w:sz w:val="16"/>
              </w:rPr>
            </w:pPr>
            <w:r>
              <w:rPr>
                <w:color w:val="231F20"/>
                <w:w w:val="85"/>
                <w:sz w:val="16"/>
              </w:rPr>
              <w:t>palización</w:t>
            </w:r>
          </w:p>
        </w:tc>
      </w:tr>
      <w:tr>
        <w:trPr>
          <w:trHeight w:val="13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59" w:lineRule="exact"/>
              <w:ind w:left="290" w:right="289"/>
              <w:jc w:val="center"/>
              <w:rPr>
                <w:sz w:val="16"/>
              </w:rPr>
            </w:pPr>
            <w:r>
              <w:rPr>
                <w:color w:val="231F20"/>
                <w:w w:val="75"/>
                <w:sz w:val="16"/>
              </w:rPr>
              <w:t>Obras públicas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59" w:lineRule="exact"/>
              <w:ind w:left="146" w:right="139"/>
              <w:jc w:val="center"/>
              <w:rPr>
                <w:sz w:val="16"/>
              </w:rPr>
            </w:pPr>
            <w:r>
              <w:rPr>
                <w:color w:val="231F20"/>
                <w:w w:val="75"/>
                <w:sz w:val="16"/>
              </w:rPr>
              <w:t>Reglamento de Obra Pública  Municipal</w:t>
            </w:r>
          </w:p>
        </w:tc>
      </w:tr>
      <w:tr>
        <w:trPr>
          <w:trHeight w:val="312"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Uso de suelo</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8" w:lineRule="exact"/>
              <w:ind w:left="412" w:right="250" w:hanging="82"/>
              <w:rPr>
                <w:sz w:val="16"/>
              </w:rPr>
            </w:pPr>
            <w:r>
              <w:rPr>
                <w:color w:val="231F20"/>
                <w:w w:val="75"/>
                <w:sz w:val="16"/>
              </w:rPr>
              <w:t>Reglamento de Zonificación de  Suelos</w:t>
            </w:r>
          </w:p>
          <w:p>
            <w:pPr>
              <w:pStyle w:val="TableParagraph"/>
              <w:spacing w:line="194" w:lineRule="exact"/>
              <w:ind w:left="412" w:right="250"/>
              <w:rPr>
                <w:sz w:val="16"/>
              </w:rPr>
            </w:pPr>
            <w:r>
              <w:rPr>
                <w:color w:val="231F20"/>
                <w:w w:val="75"/>
                <w:sz w:val="16"/>
              </w:rPr>
              <w:t>Reglamento de Catastro  Municipal</w:t>
            </w:r>
          </w:p>
        </w:tc>
      </w:tr>
      <w:tr>
        <w:trPr>
          <w:trHeight w:val="302" w:hRule="exact"/>
        </w:trPr>
        <w:tc>
          <w:tcPr>
            <w:tcW w:w="1506" w:type="dxa"/>
            <w:tcBorders>
              <w:left w:val="single" w:sz="12" w:space="0" w:color="231F20"/>
              <w:right w:val="single" w:sz="6" w:space="0" w:color="231F20"/>
            </w:tcBorders>
          </w:tcPr>
          <w:p>
            <w:pPr>
              <w:pStyle w:val="TableParagraph"/>
              <w:spacing w:line="148" w:lineRule="exact"/>
              <w:ind w:left="96" w:firstLine="22"/>
              <w:rPr>
                <w:sz w:val="16"/>
              </w:rPr>
            </w:pPr>
            <w:r>
              <w:rPr>
                <w:color w:val="231F20"/>
                <w:w w:val="75"/>
                <w:sz w:val="16"/>
              </w:rPr>
              <w:t>Actividades comerciales,</w:t>
            </w:r>
          </w:p>
          <w:p>
            <w:pPr>
              <w:pStyle w:val="TableParagraph"/>
              <w:spacing w:line="194" w:lineRule="exact"/>
              <w:ind w:left="96"/>
              <w:rPr>
                <w:sz w:val="16"/>
              </w:rPr>
            </w:pPr>
            <w:r>
              <w:rPr>
                <w:color w:val="231F20"/>
                <w:w w:val="80"/>
                <w:sz w:val="16"/>
              </w:rPr>
              <w:t>industriales y de servicios</w:t>
            </w:r>
          </w:p>
        </w:tc>
        <w:tc>
          <w:tcPr>
            <w:tcW w:w="3059" w:type="dxa"/>
            <w:tcBorders>
              <w:left w:val="single" w:sz="6" w:space="0" w:color="231F20"/>
              <w:right w:val="single" w:sz="6" w:space="0" w:color="231F20"/>
            </w:tcBorders>
          </w:tcPr>
          <w:p>
            <w:pP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142" w:right="139"/>
              <w:jc w:val="center"/>
              <w:rPr>
                <w:sz w:val="16"/>
              </w:rPr>
            </w:pPr>
            <w:r>
              <w:rPr>
                <w:color w:val="231F20"/>
                <w:w w:val="90"/>
                <w:sz w:val="16"/>
              </w:rPr>
              <w:t>(100%)</w:t>
            </w:r>
          </w:p>
        </w:tc>
      </w:tr>
      <w:tr>
        <w:trPr>
          <w:trHeight w:val="13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59" w:lineRule="exact"/>
              <w:ind w:left="290" w:right="290"/>
              <w:jc w:val="center"/>
              <w:rPr>
                <w:sz w:val="16"/>
              </w:rPr>
            </w:pPr>
            <w:r>
              <w:rPr>
                <w:color w:val="231F20"/>
                <w:w w:val="75"/>
                <w:sz w:val="16"/>
              </w:rPr>
              <w:t>Licencias y reglamentos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59" w:lineRule="exact"/>
              <w:ind w:left="6"/>
              <w:jc w:val="center"/>
              <w:rPr>
                <w:sz w:val="16"/>
              </w:rPr>
            </w:pPr>
            <w:r>
              <w:rPr>
                <w:color w:val="231F20"/>
                <w:w w:val="75"/>
                <w:sz w:val="16"/>
              </w:rPr>
              <w:t>X</w:t>
            </w:r>
          </w:p>
        </w:tc>
      </w:tr>
      <w:tr>
        <w:trPr>
          <w:trHeight w:val="13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Funcionamiento de establecimientos</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9" w:lineRule="exact"/>
              <w:ind w:left="6"/>
              <w:jc w:val="center"/>
              <w:rPr>
                <w:sz w:val="16"/>
              </w:rPr>
            </w:pPr>
            <w:r>
              <w:rPr>
                <w:color w:val="231F20"/>
                <w:w w:val="75"/>
                <w:sz w:val="16"/>
              </w:rPr>
              <w:t>X</w:t>
            </w:r>
          </w:p>
        </w:tc>
      </w:tr>
      <w:tr>
        <w:trPr>
          <w:trHeight w:val="110" w:hRule="exact"/>
        </w:trPr>
        <w:tc>
          <w:tcPr>
            <w:tcW w:w="1506" w:type="dxa"/>
            <w:tcBorders>
              <w:left w:val="single" w:sz="12" w:space="0" w:color="231F20"/>
              <w:right w:val="single" w:sz="6" w:space="0" w:color="231F20"/>
            </w:tcBorders>
          </w:tcPr>
          <w:p>
            <w:pPr/>
          </w:p>
        </w:tc>
        <w:tc>
          <w:tcPr>
            <w:tcW w:w="3059" w:type="dxa"/>
            <w:tcBorders>
              <w:left w:val="single" w:sz="6" w:space="0" w:color="231F20"/>
              <w:right w:val="single" w:sz="6" w:space="0" w:color="231F20"/>
            </w:tcBorders>
          </w:tcPr>
          <w:p>
            <w:pP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39" w:lineRule="exact"/>
              <w:ind w:left="142" w:right="139"/>
              <w:jc w:val="center"/>
              <w:rPr>
                <w:sz w:val="16"/>
              </w:rPr>
            </w:pPr>
            <w:r>
              <w:rPr>
                <w:color w:val="231F20"/>
                <w:w w:val="95"/>
                <w:sz w:val="16"/>
              </w:rPr>
              <w:t>(0%)</w:t>
            </w:r>
          </w:p>
        </w:tc>
      </w:tr>
      <w:tr>
        <w:trPr>
          <w:trHeight w:val="564" w:hRule="exact"/>
        </w:trPr>
        <w:tc>
          <w:tcPr>
            <w:tcW w:w="1506" w:type="dxa"/>
            <w:tcBorders>
              <w:left w:val="single" w:sz="12" w:space="0" w:color="231F20"/>
              <w:right w:val="single" w:sz="6" w:space="0" w:color="231F20"/>
            </w:tcBorders>
          </w:tcPr>
          <w:p>
            <w:pPr>
              <w:pStyle w:val="TableParagraph"/>
              <w:spacing w:line="149" w:lineRule="exact"/>
              <w:ind w:left="147" w:right="151"/>
              <w:jc w:val="center"/>
              <w:rPr>
                <w:sz w:val="16"/>
              </w:rPr>
            </w:pPr>
            <w:r>
              <w:rPr>
                <w:color w:val="231F20"/>
                <w:w w:val="80"/>
                <w:sz w:val="16"/>
              </w:rPr>
              <w:t>Otros</w:t>
            </w:r>
          </w:p>
        </w:tc>
        <w:tc>
          <w:tcPr>
            <w:tcW w:w="3059" w:type="dxa"/>
            <w:tcBorders>
              <w:left w:val="single" w:sz="6" w:space="0" w:color="231F20"/>
              <w:right w:val="single" w:sz="6" w:space="0" w:color="231F20"/>
            </w:tcBorders>
          </w:tcPr>
          <w:p>
            <w:pPr>
              <w:pStyle w:val="TableParagraph"/>
              <w:spacing w:line="149" w:lineRule="exact"/>
              <w:ind w:left="290" w:right="290"/>
              <w:jc w:val="center"/>
              <w:rPr>
                <w:sz w:val="16"/>
              </w:rPr>
            </w:pPr>
            <w:r>
              <w:rPr>
                <w:color w:val="231F20"/>
                <w:w w:val="75"/>
                <w:sz w:val="16"/>
              </w:rPr>
              <w:t>Justicia  Administrativa</w:t>
            </w:r>
          </w:p>
        </w:tc>
        <w:tc>
          <w:tcPr>
            <w:tcW w:w="765" w:type="dxa"/>
            <w:tcBorders>
              <w:left w:val="single" w:sz="6" w:space="0" w:color="231F20"/>
              <w:right w:val="single" w:sz="6" w:space="0" w:color="231F20"/>
            </w:tcBorders>
          </w:tcPr>
          <w:p>
            <w:pPr/>
          </w:p>
        </w:tc>
        <w:tc>
          <w:tcPr>
            <w:tcW w:w="2577" w:type="dxa"/>
            <w:tcBorders>
              <w:left w:val="single" w:sz="6" w:space="0" w:color="231F20"/>
              <w:right w:val="single" w:sz="12" w:space="0" w:color="231F20"/>
            </w:tcBorders>
          </w:tcPr>
          <w:p>
            <w:pPr>
              <w:pStyle w:val="TableParagraph"/>
              <w:spacing w:line="148" w:lineRule="exact"/>
              <w:ind w:left="745" w:right="250"/>
              <w:rPr>
                <w:sz w:val="16"/>
              </w:rPr>
            </w:pPr>
            <w:r>
              <w:rPr>
                <w:color w:val="231F20"/>
                <w:w w:val="80"/>
                <w:sz w:val="16"/>
              </w:rPr>
              <w:t>Reglamento de Salud</w:t>
            </w:r>
          </w:p>
          <w:p>
            <w:pPr>
              <w:pStyle w:val="TableParagraph"/>
              <w:spacing w:line="235" w:lineRule="auto" w:before="1"/>
              <w:ind w:left="997" w:right="250" w:hanging="657"/>
              <w:rPr>
                <w:sz w:val="16"/>
              </w:rPr>
            </w:pPr>
            <w:r>
              <w:rPr>
                <w:color w:val="231F20"/>
                <w:w w:val="80"/>
                <w:sz w:val="16"/>
              </w:rPr>
              <w:t>Reglamento de Expendios de Bebidas </w:t>
            </w:r>
            <w:r>
              <w:rPr>
                <w:color w:val="231F20"/>
                <w:w w:val="85"/>
                <w:sz w:val="16"/>
              </w:rPr>
              <w:t>Alcohólicas</w:t>
            </w:r>
          </w:p>
        </w:tc>
      </w:tr>
      <w:tr>
        <w:trPr>
          <w:trHeight w:val="174" w:hRule="exact"/>
        </w:trPr>
        <w:tc>
          <w:tcPr>
            <w:tcW w:w="1506" w:type="dxa"/>
            <w:tcBorders>
              <w:left w:val="single" w:sz="12" w:space="0" w:color="231F20"/>
              <w:bottom w:val="single" w:sz="6" w:space="0" w:color="231F20"/>
              <w:right w:val="single" w:sz="6" w:space="0" w:color="231F20"/>
            </w:tcBorders>
          </w:tcPr>
          <w:p>
            <w:pPr/>
          </w:p>
        </w:tc>
        <w:tc>
          <w:tcPr>
            <w:tcW w:w="3059" w:type="dxa"/>
            <w:tcBorders>
              <w:left w:val="single" w:sz="6" w:space="0" w:color="231F20"/>
              <w:bottom w:val="single" w:sz="6" w:space="0" w:color="231F20"/>
              <w:right w:val="single" w:sz="6" w:space="0" w:color="231F20"/>
            </w:tcBorders>
          </w:tcPr>
          <w:p>
            <w:pPr>
              <w:pStyle w:val="TableParagraph"/>
              <w:spacing w:line="192" w:lineRule="exact" w:before="14"/>
              <w:ind w:left="290" w:right="290"/>
              <w:jc w:val="center"/>
              <w:rPr>
                <w:sz w:val="16"/>
              </w:rPr>
            </w:pPr>
            <w:r>
              <w:rPr>
                <w:color w:val="231F20"/>
                <w:w w:val="85"/>
                <w:sz w:val="16"/>
              </w:rPr>
              <w:t>Total</w:t>
            </w:r>
          </w:p>
        </w:tc>
        <w:tc>
          <w:tcPr>
            <w:tcW w:w="765" w:type="dxa"/>
            <w:tcBorders>
              <w:left w:val="single" w:sz="6" w:space="0" w:color="231F20"/>
              <w:bottom w:val="single" w:sz="6" w:space="0" w:color="231F20"/>
              <w:right w:val="single" w:sz="6" w:space="0" w:color="231F20"/>
            </w:tcBorders>
          </w:tcPr>
          <w:p>
            <w:pPr>
              <w:pStyle w:val="TableParagraph"/>
              <w:spacing w:line="192" w:lineRule="exact" w:before="14"/>
              <w:ind w:left="286" w:right="285"/>
              <w:jc w:val="center"/>
              <w:rPr>
                <w:sz w:val="16"/>
              </w:rPr>
            </w:pPr>
            <w:r>
              <w:rPr>
                <w:color w:val="231F20"/>
                <w:w w:val="85"/>
                <w:sz w:val="16"/>
              </w:rPr>
              <w:t>25</w:t>
            </w:r>
          </w:p>
        </w:tc>
        <w:tc>
          <w:tcPr>
            <w:tcW w:w="2577" w:type="dxa"/>
            <w:tcBorders>
              <w:left w:val="single" w:sz="6" w:space="0" w:color="231F20"/>
              <w:bottom w:val="single" w:sz="6" w:space="0" w:color="231F20"/>
              <w:right w:val="single" w:sz="12" w:space="0" w:color="231F20"/>
            </w:tcBorders>
          </w:tcPr>
          <w:p>
            <w:pPr>
              <w:pStyle w:val="TableParagraph"/>
              <w:spacing w:line="192" w:lineRule="exact" w:before="14"/>
              <w:ind w:left="145" w:right="139"/>
              <w:jc w:val="center"/>
              <w:rPr>
                <w:sz w:val="16"/>
              </w:rPr>
            </w:pPr>
            <w:r>
              <w:rPr>
                <w:color w:val="231F20"/>
                <w:w w:val="80"/>
                <w:sz w:val="16"/>
              </w:rPr>
              <w:t>12 (48%)</w:t>
            </w:r>
          </w:p>
        </w:tc>
      </w:tr>
    </w:tbl>
    <w:p>
      <w:pPr>
        <w:pStyle w:val="BodyText"/>
        <w:spacing w:before="6"/>
        <w:rPr>
          <w:b/>
          <w:sz w:val="20"/>
        </w:rPr>
      </w:pPr>
    </w:p>
    <w:p>
      <w:pPr>
        <w:spacing w:before="74"/>
        <w:ind w:left="468" w:right="-3" w:firstLine="0"/>
        <w:jc w:val="left"/>
        <w:rPr>
          <w:rFonts w:ascii="Calibri" w:hAnsi="Calibri"/>
          <w:sz w:val="16"/>
        </w:rPr>
      </w:pPr>
      <w:r>
        <w:rPr>
          <w:rFonts w:ascii="Calibri" w:hAnsi="Calibri"/>
          <w:color w:val="231F20"/>
          <w:sz w:val="16"/>
        </w:rPr>
        <w:t>Fuente: Elaboración propia con información del Bando Municipal de Ixtapan de la Sal y demás reglamentos existentes.</w:t>
      </w:r>
    </w:p>
    <w:p>
      <w:pPr>
        <w:pStyle w:val="BodyText"/>
        <w:rPr>
          <w:rFonts w:ascii="Calibri"/>
          <w:sz w:val="16"/>
        </w:rPr>
      </w:pPr>
    </w:p>
    <w:p>
      <w:pPr>
        <w:pStyle w:val="BodyText"/>
        <w:spacing w:before="9"/>
        <w:rPr>
          <w:rFonts w:ascii="Calibri"/>
          <w:sz w:val="12"/>
        </w:rPr>
      </w:pPr>
    </w:p>
    <w:p>
      <w:pPr>
        <w:pStyle w:val="BodyText"/>
        <w:spacing w:line="285" w:lineRule="auto" w:before="1"/>
        <w:ind w:left="110" w:right="128"/>
        <w:jc w:val="both"/>
      </w:pPr>
      <w:r>
        <w:rPr>
          <w:color w:val="231F20"/>
          <w:w w:val="105"/>
        </w:rPr>
        <w:t>Así, se observa que no ha sido prioridad del gobierno priísta poner en orden estas competencias. Pero, como lo afirma el presidente municipal, es el asunto pendiente y de suma importancia en cabildo que será tratado en lo que resta del trienio (2008). Sin embargo, es relevante el estado que guarda el municipio en comparación con otros ayuntamientos de la región, pues en algunos la reglamentación es escasa e</w:t>
      </w:r>
    </w:p>
    <w:p>
      <w:pPr>
        <w:spacing w:after="0" w:line="285" w:lineRule="auto"/>
        <w:jc w:val="both"/>
        <w:sectPr>
          <w:footerReference w:type="default" r:id="rId224"/>
          <w:pgSz w:w="9640" w:h="12190"/>
          <w:pgMar w:footer="743" w:header="0" w:top="1120" w:bottom="940" w:left="740" w:right="720"/>
          <w:pgNumType w:start="100"/>
        </w:sectPr>
      </w:pPr>
    </w:p>
    <w:p>
      <w:pPr>
        <w:pStyle w:val="BodyText"/>
        <w:rPr>
          <w:sz w:val="10"/>
        </w:rPr>
      </w:pPr>
    </w:p>
    <w:p>
      <w:pPr>
        <w:pStyle w:val="BodyText"/>
        <w:spacing w:before="50"/>
        <w:ind w:left="110"/>
        <w:jc w:val="both"/>
      </w:pPr>
      <w:r>
        <w:rPr>
          <w:color w:val="231F20"/>
          <w:w w:val="105"/>
        </w:rPr>
        <w:t>incluso inexistente, como se ve en el caso de Tejupilco</w:t>
      </w:r>
      <w:r>
        <w:rPr>
          <w:color w:val="231F20"/>
          <w:w w:val="105"/>
          <w:position w:val="7"/>
          <w:sz w:val="13"/>
        </w:rPr>
        <w:t>3</w:t>
      </w:r>
      <w:r>
        <w:rPr>
          <w:color w:val="231F20"/>
          <w:w w:val="105"/>
        </w:rPr>
        <w:t>.</w:t>
      </w:r>
    </w:p>
    <w:p>
      <w:pPr>
        <w:pStyle w:val="BodyText"/>
        <w:spacing w:before="2"/>
        <w:rPr>
          <w:sz w:val="30"/>
        </w:rPr>
      </w:pPr>
    </w:p>
    <w:p>
      <w:pPr>
        <w:pStyle w:val="BodyText"/>
        <w:spacing w:line="285" w:lineRule="auto"/>
        <w:ind w:left="110" w:right="108"/>
        <w:jc w:val="both"/>
      </w:pP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spacing w:val="-3"/>
          <w:w w:val="105"/>
        </w:rPr>
        <w:t>pública</w:t>
      </w:r>
      <w:r>
        <w:rPr>
          <w:color w:val="231F20"/>
          <w:spacing w:val="-16"/>
          <w:w w:val="105"/>
        </w:rPr>
        <w:t> </w:t>
      </w:r>
      <w:r>
        <w:rPr>
          <w:color w:val="231F20"/>
          <w:spacing w:val="-3"/>
          <w:w w:val="105"/>
        </w:rPr>
        <w:t>debe</w:t>
      </w:r>
      <w:r>
        <w:rPr>
          <w:color w:val="231F20"/>
          <w:spacing w:val="-16"/>
          <w:w w:val="105"/>
        </w:rPr>
        <w:t> </w:t>
      </w:r>
      <w:r>
        <w:rPr>
          <w:color w:val="231F20"/>
          <w:w w:val="105"/>
        </w:rPr>
        <w:t>definirse</w:t>
      </w:r>
      <w:r>
        <w:rPr>
          <w:color w:val="231F20"/>
          <w:spacing w:val="-16"/>
          <w:w w:val="105"/>
        </w:rPr>
        <w:t> </w:t>
      </w:r>
      <w:r>
        <w:rPr>
          <w:color w:val="231F20"/>
          <w:w w:val="105"/>
        </w:rPr>
        <w:t>a</w:t>
      </w:r>
      <w:r>
        <w:rPr>
          <w:color w:val="231F20"/>
          <w:spacing w:val="-16"/>
          <w:w w:val="105"/>
        </w:rPr>
        <w:t> </w:t>
      </w:r>
      <w:r>
        <w:rPr>
          <w:color w:val="231F20"/>
          <w:spacing w:val="-3"/>
          <w:w w:val="105"/>
        </w:rPr>
        <w:t>través</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spacing w:val="-4"/>
          <w:w w:val="105"/>
        </w:rPr>
        <w:t>planeaciones</w:t>
      </w:r>
      <w:r>
        <w:rPr>
          <w:color w:val="231F20"/>
          <w:spacing w:val="-16"/>
          <w:w w:val="105"/>
        </w:rPr>
        <w:t> </w:t>
      </w:r>
      <w:r>
        <w:rPr>
          <w:color w:val="231F20"/>
          <w:w w:val="105"/>
        </w:rPr>
        <w:t>técnicas</w:t>
      </w:r>
      <w:r>
        <w:rPr>
          <w:color w:val="231F20"/>
          <w:spacing w:val="-16"/>
          <w:w w:val="105"/>
        </w:rPr>
        <w:t> </w:t>
      </w:r>
      <w:r>
        <w:rPr>
          <w:color w:val="231F20"/>
          <w:spacing w:val="-3"/>
          <w:w w:val="105"/>
        </w:rPr>
        <w:t>que</w:t>
      </w:r>
      <w:r>
        <w:rPr>
          <w:color w:val="231F20"/>
          <w:spacing w:val="-16"/>
          <w:w w:val="105"/>
        </w:rPr>
        <w:t> </w:t>
      </w:r>
      <w:r>
        <w:rPr>
          <w:color w:val="231F20"/>
          <w:w w:val="105"/>
        </w:rPr>
        <w:t>se</w:t>
      </w:r>
      <w:r>
        <w:rPr>
          <w:color w:val="231F20"/>
          <w:spacing w:val="-16"/>
          <w:w w:val="105"/>
        </w:rPr>
        <w:t> </w:t>
      </w:r>
      <w:r>
        <w:rPr>
          <w:color w:val="231F20"/>
          <w:w w:val="105"/>
        </w:rPr>
        <w:t>tra- </w:t>
      </w:r>
      <w:r>
        <w:rPr>
          <w:color w:val="231F20"/>
          <w:spacing w:val="-3"/>
          <w:w w:val="105"/>
        </w:rPr>
        <w:t>cen </w:t>
      </w:r>
      <w:r>
        <w:rPr>
          <w:color w:val="231F20"/>
          <w:w w:val="105"/>
        </w:rPr>
        <w:t>para la </w:t>
      </w:r>
      <w:r>
        <w:rPr>
          <w:color w:val="231F20"/>
          <w:spacing w:val="-4"/>
          <w:w w:val="105"/>
        </w:rPr>
        <w:t>solución </w:t>
      </w:r>
      <w:r>
        <w:rPr>
          <w:color w:val="231F20"/>
          <w:w w:val="105"/>
        </w:rPr>
        <w:t>de </w:t>
      </w:r>
      <w:r>
        <w:rPr>
          <w:color w:val="231F20"/>
          <w:spacing w:val="-3"/>
          <w:w w:val="105"/>
        </w:rPr>
        <w:t>los </w:t>
      </w:r>
      <w:r>
        <w:rPr>
          <w:color w:val="231F20"/>
          <w:spacing w:val="-4"/>
          <w:w w:val="105"/>
        </w:rPr>
        <w:t>problemas </w:t>
      </w:r>
      <w:r>
        <w:rPr>
          <w:color w:val="231F20"/>
          <w:w w:val="105"/>
        </w:rPr>
        <w:t>reales y significativos </w:t>
      </w:r>
      <w:r>
        <w:rPr>
          <w:color w:val="231F20"/>
          <w:spacing w:val="-3"/>
          <w:w w:val="105"/>
        </w:rPr>
        <w:t>que </w:t>
      </w:r>
      <w:r>
        <w:rPr>
          <w:color w:val="231F20"/>
          <w:w w:val="105"/>
        </w:rPr>
        <w:t>afecten a la </w:t>
      </w:r>
      <w:r>
        <w:rPr>
          <w:color w:val="231F20"/>
          <w:spacing w:val="-4"/>
          <w:w w:val="105"/>
        </w:rPr>
        <w:t>población </w:t>
      </w:r>
      <w:r>
        <w:rPr>
          <w:color w:val="231F20"/>
          <w:w w:val="105"/>
        </w:rPr>
        <w:t>y al </w:t>
      </w:r>
      <w:r>
        <w:rPr>
          <w:color w:val="231F20"/>
          <w:spacing w:val="-4"/>
          <w:w w:val="105"/>
        </w:rPr>
        <w:t>municipio. </w:t>
      </w:r>
      <w:r>
        <w:rPr>
          <w:color w:val="231F20"/>
          <w:w w:val="105"/>
        </w:rPr>
        <w:t>El Plan de Desarrollo Municipal es el instrumento </w:t>
      </w:r>
      <w:r>
        <w:rPr>
          <w:color w:val="231F20"/>
          <w:spacing w:val="-3"/>
          <w:w w:val="105"/>
        </w:rPr>
        <w:t>con que </w:t>
      </w:r>
      <w:r>
        <w:rPr>
          <w:color w:val="231F20"/>
          <w:w w:val="105"/>
        </w:rPr>
        <w:t>cuentan </w:t>
      </w:r>
      <w:r>
        <w:rPr>
          <w:color w:val="231F20"/>
          <w:spacing w:val="-4"/>
          <w:w w:val="105"/>
        </w:rPr>
        <w:t>los </w:t>
      </w:r>
      <w:r>
        <w:rPr>
          <w:color w:val="231F20"/>
          <w:w w:val="105"/>
        </w:rPr>
        <w:t>ayuntamientos</w:t>
      </w:r>
      <w:r>
        <w:rPr>
          <w:color w:val="231F20"/>
          <w:spacing w:val="-12"/>
          <w:w w:val="105"/>
        </w:rPr>
        <w:t> </w:t>
      </w:r>
      <w:r>
        <w:rPr>
          <w:color w:val="231F20"/>
          <w:w w:val="105"/>
        </w:rPr>
        <w:t>para</w:t>
      </w:r>
      <w:r>
        <w:rPr>
          <w:color w:val="231F20"/>
          <w:spacing w:val="-12"/>
          <w:w w:val="105"/>
        </w:rPr>
        <w:t> </w:t>
      </w:r>
      <w:r>
        <w:rPr>
          <w:color w:val="231F20"/>
          <w:w w:val="105"/>
        </w:rPr>
        <w:t>fijarse</w:t>
      </w:r>
      <w:r>
        <w:rPr>
          <w:color w:val="231F20"/>
          <w:spacing w:val="-12"/>
          <w:w w:val="105"/>
        </w:rPr>
        <w:t> </w:t>
      </w:r>
      <w:r>
        <w:rPr>
          <w:color w:val="231F20"/>
          <w:w w:val="105"/>
        </w:rPr>
        <w:t>metas</w:t>
      </w:r>
      <w:r>
        <w:rPr>
          <w:color w:val="231F20"/>
          <w:spacing w:val="-12"/>
          <w:w w:val="105"/>
        </w:rPr>
        <w:t> </w:t>
      </w:r>
      <w:r>
        <w:rPr>
          <w:color w:val="231F20"/>
          <w:w w:val="105"/>
        </w:rPr>
        <w:t>y</w:t>
      </w:r>
      <w:r>
        <w:rPr>
          <w:color w:val="231F20"/>
          <w:spacing w:val="-12"/>
          <w:w w:val="105"/>
        </w:rPr>
        <w:t> </w:t>
      </w:r>
      <w:r>
        <w:rPr>
          <w:color w:val="231F20"/>
          <w:w w:val="105"/>
        </w:rPr>
        <w:t>cumplirlas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3"/>
          <w:w w:val="105"/>
        </w:rPr>
        <w:t>tiempo</w:t>
      </w:r>
      <w:r>
        <w:rPr>
          <w:color w:val="231F20"/>
          <w:spacing w:val="-12"/>
          <w:w w:val="105"/>
        </w:rPr>
        <w:t> </w:t>
      </w:r>
      <w:r>
        <w:rPr>
          <w:color w:val="231F20"/>
          <w:spacing w:val="-3"/>
          <w:w w:val="105"/>
        </w:rPr>
        <w:t>establecido;</w:t>
      </w:r>
      <w:r>
        <w:rPr>
          <w:color w:val="231F20"/>
          <w:spacing w:val="-12"/>
          <w:w w:val="105"/>
        </w:rPr>
        <w:t> </w:t>
      </w:r>
      <w:r>
        <w:rPr>
          <w:color w:val="231F20"/>
          <w:spacing w:val="-3"/>
          <w:w w:val="105"/>
        </w:rPr>
        <w:t>aunque</w:t>
      </w:r>
      <w:r>
        <w:rPr>
          <w:color w:val="231F20"/>
          <w:spacing w:val="-12"/>
          <w:w w:val="105"/>
        </w:rPr>
        <w:t> </w:t>
      </w:r>
      <w:r>
        <w:rPr>
          <w:color w:val="231F20"/>
          <w:spacing w:val="-3"/>
          <w:w w:val="105"/>
        </w:rPr>
        <w:t>desafor- </w:t>
      </w:r>
      <w:r>
        <w:rPr>
          <w:color w:val="231F20"/>
          <w:w w:val="105"/>
        </w:rPr>
        <w:t>tunadamente</w:t>
      </w:r>
      <w:r>
        <w:rPr>
          <w:color w:val="231F20"/>
          <w:spacing w:val="-17"/>
          <w:w w:val="105"/>
        </w:rPr>
        <w:t> </w:t>
      </w:r>
      <w:r>
        <w:rPr>
          <w:color w:val="231F20"/>
          <w:w w:val="105"/>
        </w:rPr>
        <w:t>es</w:t>
      </w:r>
      <w:r>
        <w:rPr>
          <w:color w:val="231F20"/>
          <w:spacing w:val="-17"/>
          <w:w w:val="105"/>
        </w:rPr>
        <w:t> </w:t>
      </w:r>
      <w:r>
        <w:rPr>
          <w:color w:val="231F20"/>
          <w:w w:val="105"/>
        </w:rPr>
        <w:t>más</w:t>
      </w:r>
      <w:r>
        <w:rPr>
          <w:color w:val="231F20"/>
          <w:spacing w:val="-17"/>
          <w:w w:val="105"/>
        </w:rPr>
        <w:t> </w:t>
      </w:r>
      <w:r>
        <w:rPr>
          <w:color w:val="231F20"/>
          <w:w w:val="105"/>
        </w:rPr>
        <w:t>un</w:t>
      </w:r>
      <w:r>
        <w:rPr>
          <w:color w:val="231F20"/>
          <w:spacing w:val="-17"/>
          <w:w w:val="105"/>
        </w:rPr>
        <w:t> </w:t>
      </w:r>
      <w:r>
        <w:rPr>
          <w:color w:val="231F20"/>
          <w:spacing w:val="-3"/>
          <w:w w:val="105"/>
        </w:rPr>
        <w:t>requisito</w:t>
      </w:r>
      <w:r>
        <w:rPr>
          <w:color w:val="231F20"/>
          <w:spacing w:val="-17"/>
          <w:w w:val="105"/>
        </w:rPr>
        <w:t> </w:t>
      </w:r>
      <w:r>
        <w:rPr>
          <w:color w:val="231F20"/>
          <w:spacing w:val="-3"/>
          <w:w w:val="105"/>
        </w:rPr>
        <w:t>que</w:t>
      </w:r>
      <w:r>
        <w:rPr>
          <w:color w:val="231F20"/>
          <w:spacing w:val="-17"/>
          <w:w w:val="105"/>
        </w:rPr>
        <w:t> </w:t>
      </w:r>
      <w:r>
        <w:rPr>
          <w:color w:val="231F20"/>
          <w:spacing w:val="-3"/>
          <w:w w:val="105"/>
        </w:rPr>
        <w:t>debe</w:t>
      </w:r>
      <w:r>
        <w:rPr>
          <w:color w:val="231F20"/>
          <w:spacing w:val="-17"/>
          <w:w w:val="105"/>
        </w:rPr>
        <w:t> </w:t>
      </w:r>
      <w:r>
        <w:rPr>
          <w:color w:val="231F20"/>
          <w:w w:val="105"/>
        </w:rPr>
        <w:t>cumplirse</w:t>
      </w:r>
      <w:r>
        <w:rPr>
          <w:color w:val="231F20"/>
          <w:spacing w:val="-17"/>
          <w:w w:val="105"/>
        </w:rPr>
        <w:t> </w:t>
      </w:r>
      <w:r>
        <w:rPr>
          <w:color w:val="231F20"/>
          <w:w w:val="105"/>
        </w:rPr>
        <w:t>de</w:t>
      </w:r>
      <w:r>
        <w:rPr>
          <w:color w:val="231F20"/>
          <w:spacing w:val="-17"/>
          <w:w w:val="105"/>
        </w:rPr>
        <w:t> </w:t>
      </w:r>
      <w:r>
        <w:rPr>
          <w:color w:val="231F20"/>
          <w:spacing w:val="-4"/>
          <w:w w:val="105"/>
        </w:rPr>
        <w:t>acuerdo</w:t>
      </w:r>
      <w:r>
        <w:rPr>
          <w:color w:val="231F20"/>
          <w:spacing w:val="-17"/>
          <w:w w:val="105"/>
        </w:rPr>
        <w:t> </w:t>
      </w:r>
      <w:r>
        <w:rPr>
          <w:color w:val="231F20"/>
          <w:spacing w:val="-3"/>
          <w:w w:val="105"/>
        </w:rPr>
        <w:t>con</w:t>
      </w:r>
      <w:r>
        <w:rPr>
          <w:color w:val="231F20"/>
          <w:spacing w:val="-17"/>
          <w:w w:val="105"/>
        </w:rPr>
        <w:t> </w:t>
      </w:r>
      <w:r>
        <w:rPr>
          <w:color w:val="231F20"/>
          <w:w w:val="105"/>
        </w:rPr>
        <w:t>el</w:t>
      </w:r>
      <w:r>
        <w:rPr>
          <w:color w:val="231F20"/>
          <w:spacing w:val="-17"/>
          <w:w w:val="105"/>
        </w:rPr>
        <w:t> </w:t>
      </w:r>
      <w:r>
        <w:rPr>
          <w:color w:val="231F20"/>
          <w:w w:val="105"/>
        </w:rPr>
        <w:t>Sistema</w:t>
      </w:r>
      <w:r>
        <w:rPr>
          <w:color w:val="231F20"/>
          <w:spacing w:val="-17"/>
          <w:w w:val="105"/>
        </w:rPr>
        <w:t> </w:t>
      </w:r>
      <w:r>
        <w:rPr>
          <w:color w:val="231F20"/>
          <w:spacing w:val="-3"/>
          <w:w w:val="105"/>
        </w:rPr>
        <w:t>Nacional </w:t>
      </w:r>
      <w:r>
        <w:rPr>
          <w:color w:val="231F20"/>
          <w:w w:val="105"/>
        </w:rPr>
        <w:t>y Estatal de </w:t>
      </w:r>
      <w:r>
        <w:rPr>
          <w:color w:val="231F20"/>
          <w:spacing w:val="-4"/>
          <w:w w:val="105"/>
        </w:rPr>
        <w:t>Planeación </w:t>
      </w:r>
      <w:r>
        <w:rPr>
          <w:color w:val="231F20"/>
          <w:spacing w:val="-3"/>
          <w:w w:val="105"/>
        </w:rPr>
        <w:t>Democrática, que </w:t>
      </w:r>
      <w:r>
        <w:rPr>
          <w:color w:val="231F20"/>
          <w:spacing w:val="-4"/>
          <w:w w:val="105"/>
        </w:rPr>
        <w:t>preocupación </w:t>
      </w:r>
      <w:r>
        <w:rPr>
          <w:color w:val="231F20"/>
          <w:w w:val="105"/>
        </w:rPr>
        <w:t>gubernamental </w:t>
      </w:r>
      <w:r>
        <w:rPr>
          <w:color w:val="231F20"/>
          <w:spacing w:val="-3"/>
          <w:w w:val="105"/>
        </w:rPr>
        <w:t>por </w:t>
      </w:r>
      <w:r>
        <w:rPr>
          <w:color w:val="231F20"/>
          <w:w w:val="105"/>
        </w:rPr>
        <w:t>realizar el </w:t>
      </w:r>
      <w:r>
        <w:rPr>
          <w:color w:val="231F20"/>
          <w:spacing w:val="-4"/>
          <w:w w:val="105"/>
        </w:rPr>
        <w:t>ejercicio </w:t>
      </w:r>
      <w:r>
        <w:rPr>
          <w:color w:val="231F20"/>
          <w:spacing w:val="-3"/>
          <w:w w:val="105"/>
        </w:rPr>
        <w:t>público </w:t>
      </w:r>
      <w:r>
        <w:rPr>
          <w:color w:val="231F20"/>
          <w:spacing w:val="-4"/>
          <w:w w:val="105"/>
        </w:rPr>
        <w:t>profesionalmente. </w:t>
      </w:r>
      <w:r>
        <w:rPr>
          <w:color w:val="231F20"/>
          <w:w w:val="105"/>
        </w:rPr>
        <w:t>En el caso </w:t>
      </w:r>
      <w:r>
        <w:rPr>
          <w:color w:val="231F20"/>
          <w:spacing w:val="-3"/>
          <w:w w:val="105"/>
        </w:rPr>
        <w:t>que compete </w:t>
      </w:r>
      <w:r>
        <w:rPr>
          <w:color w:val="231F20"/>
          <w:w w:val="105"/>
        </w:rPr>
        <w:t>el </w:t>
      </w:r>
      <w:r>
        <w:rPr>
          <w:color w:val="231F20"/>
          <w:spacing w:val="-3"/>
          <w:w w:val="105"/>
        </w:rPr>
        <w:t>documento </w:t>
      </w:r>
      <w:r>
        <w:rPr>
          <w:color w:val="231F20"/>
          <w:w w:val="105"/>
        </w:rPr>
        <w:t>sí da un </w:t>
      </w:r>
      <w:r>
        <w:rPr>
          <w:color w:val="231F20"/>
          <w:spacing w:val="-3"/>
          <w:w w:val="105"/>
        </w:rPr>
        <w:t>diag- nóstico </w:t>
      </w:r>
      <w:r>
        <w:rPr>
          <w:color w:val="231F20"/>
          <w:spacing w:val="-4"/>
          <w:w w:val="105"/>
        </w:rPr>
        <w:t>sobre </w:t>
      </w:r>
      <w:r>
        <w:rPr>
          <w:color w:val="231F20"/>
          <w:w w:val="105"/>
        </w:rPr>
        <w:t>el </w:t>
      </w:r>
      <w:r>
        <w:rPr>
          <w:color w:val="231F20"/>
          <w:spacing w:val="-3"/>
          <w:w w:val="105"/>
        </w:rPr>
        <w:t>estado que </w:t>
      </w:r>
      <w:r>
        <w:rPr>
          <w:color w:val="231F20"/>
          <w:w w:val="105"/>
        </w:rPr>
        <w:t>guarda la </w:t>
      </w:r>
      <w:r>
        <w:rPr>
          <w:color w:val="231F20"/>
          <w:spacing w:val="-3"/>
          <w:w w:val="105"/>
        </w:rPr>
        <w:t>sociedad </w:t>
      </w:r>
      <w:r>
        <w:rPr>
          <w:color w:val="231F20"/>
          <w:w w:val="105"/>
        </w:rPr>
        <w:t>y </w:t>
      </w:r>
      <w:r>
        <w:rPr>
          <w:color w:val="231F20"/>
          <w:spacing w:val="-4"/>
          <w:w w:val="105"/>
        </w:rPr>
        <w:t>gobierno </w:t>
      </w:r>
      <w:r>
        <w:rPr>
          <w:color w:val="231F20"/>
          <w:w w:val="105"/>
        </w:rPr>
        <w:t>en cuanto a carencias </w:t>
      </w:r>
      <w:r>
        <w:rPr>
          <w:color w:val="231F20"/>
          <w:spacing w:val="-3"/>
          <w:w w:val="105"/>
        </w:rPr>
        <w:t>del pri- </w:t>
      </w:r>
      <w:r>
        <w:rPr>
          <w:color w:val="231F20"/>
          <w:spacing w:val="-4"/>
          <w:w w:val="105"/>
        </w:rPr>
        <w:t>mero</w:t>
      </w:r>
      <w:r>
        <w:rPr>
          <w:color w:val="231F20"/>
          <w:spacing w:val="-11"/>
          <w:w w:val="105"/>
        </w:rPr>
        <w:t> </w:t>
      </w:r>
      <w:r>
        <w:rPr>
          <w:color w:val="231F20"/>
          <w:w w:val="105"/>
        </w:rPr>
        <w:t>y</w:t>
      </w:r>
      <w:r>
        <w:rPr>
          <w:color w:val="231F20"/>
          <w:spacing w:val="-11"/>
          <w:w w:val="105"/>
        </w:rPr>
        <w:t> </w:t>
      </w:r>
      <w:r>
        <w:rPr>
          <w:color w:val="231F20"/>
          <w:w w:val="105"/>
        </w:rPr>
        <w:t>estrategias</w:t>
      </w:r>
      <w:r>
        <w:rPr>
          <w:color w:val="231F20"/>
          <w:spacing w:val="-11"/>
          <w:w w:val="105"/>
        </w:rPr>
        <w:t> </w:t>
      </w:r>
      <w:r>
        <w:rPr>
          <w:color w:val="231F20"/>
          <w:spacing w:val="-3"/>
          <w:w w:val="105"/>
        </w:rPr>
        <w:t>del</w:t>
      </w:r>
      <w:r>
        <w:rPr>
          <w:color w:val="231F20"/>
          <w:spacing w:val="-11"/>
          <w:w w:val="105"/>
        </w:rPr>
        <w:t> </w:t>
      </w:r>
      <w:r>
        <w:rPr>
          <w:color w:val="231F20"/>
          <w:spacing w:val="-3"/>
          <w:w w:val="105"/>
        </w:rPr>
        <w:t>segundo,</w:t>
      </w:r>
      <w:r>
        <w:rPr>
          <w:color w:val="231F20"/>
          <w:spacing w:val="-11"/>
          <w:w w:val="105"/>
        </w:rPr>
        <w:t> </w:t>
      </w:r>
      <w:r>
        <w:rPr>
          <w:color w:val="231F20"/>
          <w:spacing w:val="-3"/>
          <w:w w:val="105"/>
        </w:rPr>
        <w:t>aunque</w:t>
      </w:r>
      <w:r>
        <w:rPr>
          <w:color w:val="231F20"/>
          <w:spacing w:val="-11"/>
          <w:w w:val="105"/>
        </w:rPr>
        <w:t> </w:t>
      </w:r>
      <w:r>
        <w:rPr>
          <w:color w:val="231F20"/>
          <w:w w:val="105"/>
        </w:rPr>
        <w:t>el</w:t>
      </w:r>
      <w:r>
        <w:rPr>
          <w:color w:val="231F20"/>
          <w:spacing w:val="-11"/>
          <w:w w:val="105"/>
        </w:rPr>
        <w:t> </w:t>
      </w:r>
      <w:r>
        <w:rPr>
          <w:color w:val="231F20"/>
          <w:w w:val="105"/>
        </w:rPr>
        <w:t>único</w:t>
      </w:r>
      <w:r>
        <w:rPr>
          <w:color w:val="231F20"/>
          <w:spacing w:val="-11"/>
          <w:w w:val="105"/>
        </w:rPr>
        <w:t> </w:t>
      </w:r>
      <w:r>
        <w:rPr>
          <w:color w:val="231F20"/>
          <w:spacing w:val="-4"/>
          <w:w w:val="105"/>
        </w:rPr>
        <w:t>inconveniente</w:t>
      </w:r>
      <w:r>
        <w:rPr>
          <w:color w:val="231F20"/>
          <w:spacing w:val="-11"/>
          <w:w w:val="105"/>
        </w:rPr>
        <w:t> </w:t>
      </w:r>
      <w:r>
        <w:rPr>
          <w:color w:val="231F20"/>
          <w:spacing w:val="-6"/>
          <w:w w:val="105"/>
        </w:rPr>
        <w:t>(que</w:t>
      </w:r>
      <w:r>
        <w:rPr>
          <w:color w:val="231F20"/>
          <w:spacing w:val="-11"/>
          <w:w w:val="105"/>
        </w:rPr>
        <w:t> </w:t>
      </w:r>
      <w:r>
        <w:rPr>
          <w:color w:val="231F20"/>
          <w:w w:val="105"/>
        </w:rPr>
        <w:t>se</w:t>
      </w:r>
      <w:r>
        <w:rPr>
          <w:color w:val="231F20"/>
          <w:spacing w:val="-11"/>
          <w:w w:val="105"/>
        </w:rPr>
        <w:t> </w:t>
      </w:r>
      <w:r>
        <w:rPr>
          <w:color w:val="231F20"/>
          <w:spacing w:val="-4"/>
          <w:w w:val="105"/>
        </w:rPr>
        <w:t>repite</w:t>
      </w:r>
      <w:r>
        <w:rPr>
          <w:color w:val="231F20"/>
          <w:spacing w:val="-11"/>
          <w:w w:val="105"/>
        </w:rPr>
        <w:t> </w:t>
      </w:r>
      <w:r>
        <w:rPr>
          <w:color w:val="231F20"/>
          <w:w w:val="105"/>
        </w:rPr>
        <w:t>en</w:t>
      </w:r>
      <w:r>
        <w:rPr>
          <w:color w:val="231F20"/>
          <w:spacing w:val="-11"/>
          <w:w w:val="105"/>
        </w:rPr>
        <w:t> </w:t>
      </w:r>
      <w:r>
        <w:rPr>
          <w:color w:val="231F20"/>
          <w:spacing w:val="-3"/>
          <w:w w:val="105"/>
        </w:rPr>
        <w:t>todos</w:t>
      </w:r>
      <w:r>
        <w:rPr>
          <w:color w:val="231F20"/>
          <w:spacing w:val="-11"/>
          <w:w w:val="105"/>
        </w:rPr>
        <w:t> </w:t>
      </w:r>
      <w:r>
        <w:rPr>
          <w:color w:val="231F20"/>
          <w:spacing w:val="-4"/>
          <w:w w:val="105"/>
        </w:rPr>
        <w:t>los espacios </w:t>
      </w:r>
      <w:r>
        <w:rPr>
          <w:color w:val="231F20"/>
          <w:spacing w:val="-3"/>
          <w:w w:val="105"/>
        </w:rPr>
        <w:t>municipales) </w:t>
      </w:r>
      <w:r>
        <w:rPr>
          <w:color w:val="231F20"/>
          <w:w w:val="105"/>
        </w:rPr>
        <w:t>es </w:t>
      </w:r>
      <w:r>
        <w:rPr>
          <w:color w:val="231F20"/>
          <w:spacing w:val="-3"/>
          <w:w w:val="105"/>
        </w:rPr>
        <w:t>que los datos </w:t>
      </w:r>
      <w:r>
        <w:rPr>
          <w:color w:val="231F20"/>
          <w:w w:val="105"/>
        </w:rPr>
        <w:t>estadísticos </w:t>
      </w:r>
      <w:r>
        <w:rPr>
          <w:color w:val="231F20"/>
          <w:spacing w:val="-3"/>
          <w:w w:val="105"/>
        </w:rPr>
        <w:t>expresados tienen rezago </w:t>
      </w:r>
      <w:r>
        <w:rPr>
          <w:color w:val="231F20"/>
          <w:w w:val="105"/>
        </w:rPr>
        <w:t>en cuanto  a</w:t>
      </w:r>
      <w:r>
        <w:rPr>
          <w:color w:val="231F20"/>
          <w:spacing w:val="-7"/>
          <w:w w:val="105"/>
        </w:rPr>
        <w:t> </w:t>
      </w:r>
      <w:r>
        <w:rPr>
          <w:color w:val="231F20"/>
          <w:w w:val="105"/>
        </w:rPr>
        <w:t>actualización</w:t>
      </w:r>
      <w:r>
        <w:rPr>
          <w:color w:val="231F20"/>
          <w:spacing w:val="-7"/>
          <w:w w:val="105"/>
        </w:rPr>
        <w:t> </w:t>
      </w:r>
      <w:r>
        <w:rPr>
          <w:color w:val="231F20"/>
          <w:w w:val="105"/>
        </w:rPr>
        <w:t>de</w:t>
      </w:r>
      <w:r>
        <w:rPr>
          <w:color w:val="231F20"/>
          <w:spacing w:val="-7"/>
          <w:w w:val="105"/>
        </w:rPr>
        <w:t> </w:t>
      </w:r>
      <w:r>
        <w:rPr>
          <w:color w:val="231F20"/>
          <w:spacing w:val="-3"/>
          <w:w w:val="105"/>
        </w:rPr>
        <w:t>información,</w:t>
      </w:r>
      <w:r>
        <w:rPr>
          <w:color w:val="231F20"/>
          <w:spacing w:val="-7"/>
          <w:w w:val="105"/>
        </w:rPr>
        <w:t> </w:t>
      </w:r>
      <w:r>
        <w:rPr>
          <w:color w:val="231F20"/>
          <w:spacing w:val="-3"/>
          <w:w w:val="105"/>
        </w:rPr>
        <w:t>pues</w:t>
      </w:r>
      <w:r>
        <w:rPr>
          <w:color w:val="231F20"/>
          <w:spacing w:val="-7"/>
          <w:w w:val="105"/>
        </w:rPr>
        <w:t> </w:t>
      </w:r>
      <w:r>
        <w:rPr>
          <w:color w:val="231F20"/>
          <w:w w:val="105"/>
        </w:rPr>
        <w:t>el</w:t>
      </w:r>
      <w:r>
        <w:rPr>
          <w:color w:val="231F20"/>
          <w:spacing w:val="-7"/>
          <w:w w:val="105"/>
        </w:rPr>
        <w:t> </w:t>
      </w:r>
      <w:r>
        <w:rPr>
          <w:color w:val="231F20"/>
          <w:w w:val="105"/>
        </w:rPr>
        <w:t>Plan</w:t>
      </w:r>
      <w:r>
        <w:rPr>
          <w:color w:val="231F20"/>
          <w:spacing w:val="-7"/>
          <w:w w:val="105"/>
        </w:rPr>
        <w:t> </w:t>
      </w:r>
      <w:r>
        <w:rPr>
          <w:color w:val="231F20"/>
          <w:w w:val="105"/>
        </w:rPr>
        <w:t>Municipal</w:t>
      </w:r>
      <w:r>
        <w:rPr>
          <w:color w:val="231F20"/>
          <w:spacing w:val="-7"/>
          <w:w w:val="105"/>
        </w:rPr>
        <w:t> </w:t>
      </w:r>
      <w:r>
        <w:rPr>
          <w:color w:val="231F20"/>
          <w:spacing w:val="-3"/>
          <w:w w:val="105"/>
        </w:rPr>
        <w:t>que</w:t>
      </w:r>
      <w:r>
        <w:rPr>
          <w:color w:val="231F20"/>
          <w:spacing w:val="-7"/>
          <w:w w:val="105"/>
        </w:rPr>
        <w:t> </w:t>
      </w:r>
      <w:r>
        <w:rPr>
          <w:color w:val="231F20"/>
          <w:w w:val="105"/>
        </w:rPr>
        <w:t>fue</w:t>
      </w:r>
      <w:r>
        <w:rPr>
          <w:color w:val="231F20"/>
          <w:spacing w:val="-7"/>
          <w:w w:val="105"/>
        </w:rPr>
        <w:t> </w:t>
      </w:r>
      <w:r>
        <w:rPr>
          <w:color w:val="231F20"/>
          <w:spacing w:val="-4"/>
          <w:w w:val="105"/>
        </w:rPr>
        <w:t>elaborado</w:t>
      </w:r>
      <w:r>
        <w:rPr>
          <w:color w:val="231F20"/>
          <w:spacing w:val="-7"/>
          <w:w w:val="105"/>
        </w:rPr>
        <w:t> </w:t>
      </w:r>
      <w:r>
        <w:rPr>
          <w:color w:val="231F20"/>
          <w:w w:val="105"/>
        </w:rPr>
        <w:t>en</w:t>
      </w:r>
      <w:r>
        <w:rPr>
          <w:color w:val="231F20"/>
          <w:spacing w:val="-7"/>
          <w:w w:val="105"/>
        </w:rPr>
        <w:t> </w:t>
      </w:r>
      <w:r>
        <w:rPr>
          <w:color w:val="231F20"/>
          <w:w w:val="105"/>
        </w:rPr>
        <w:t>2006</w:t>
      </w:r>
      <w:r>
        <w:rPr>
          <w:color w:val="231F20"/>
          <w:spacing w:val="-7"/>
          <w:w w:val="105"/>
        </w:rPr>
        <w:t> </w:t>
      </w:r>
      <w:r>
        <w:rPr>
          <w:color w:val="231F20"/>
          <w:spacing w:val="-3"/>
          <w:w w:val="105"/>
        </w:rPr>
        <w:t>tiene </w:t>
      </w:r>
      <w:r>
        <w:rPr>
          <w:color w:val="231F20"/>
          <w:spacing w:val="-4"/>
          <w:w w:val="105"/>
        </w:rPr>
        <w:t>como </w:t>
      </w:r>
      <w:r>
        <w:rPr>
          <w:color w:val="231F20"/>
          <w:w w:val="105"/>
        </w:rPr>
        <w:t>base </w:t>
      </w:r>
      <w:r>
        <w:rPr>
          <w:color w:val="231F20"/>
          <w:spacing w:val="-3"/>
          <w:w w:val="105"/>
        </w:rPr>
        <w:t>indicadores </w:t>
      </w:r>
      <w:r>
        <w:rPr>
          <w:color w:val="231F20"/>
          <w:w w:val="105"/>
        </w:rPr>
        <w:t>de </w:t>
      </w:r>
      <w:r>
        <w:rPr>
          <w:color w:val="231F20"/>
          <w:spacing w:val="-3"/>
          <w:w w:val="105"/>
        </w:rPr>
        <w:t>CONAPO </w:t>
      </w:r>
      <w:r>
        <w:rPr>
          <w:color w:val="231F20"/>
          <w:w w:val="105"/>
        </w:rPr>
        <w:t>e INEGI de 2004 y 2005 </w:t>
      </w:r>
      <w:r>
        <w:rPr>
          <w:color w:val="231F20"/>
          <w:spacing w:val="-8"/>
          <w:w w:val="105"/>
        </w:rPr>
        <w:t>y, </w:t>
      </w:r>
      <w:r>
        <w:rPr>
          <w:color w:val="231F20"/>
          <w:spacing w:val="-3"/>
          <w:w w:val="105"/>
        </w:rPr>
        <w:t>por </w:t>
      </w:r>
      <w:r>
        <w:rPr>
          <w:color w:val="231F20"/>
          <w:w w:val="105"/>
        </w:rPr>
        <w:t>la </w:t>
      </w:r>
      <w:r>
        <w:rPr>
          <w:color w:val="231F20"/>
          <w:spacing w:val="-3"/>
          <w:w w:val="105"/>
        </w:rPr>
        <w:t>volatilidad </w:t>
      </w:r>
      <w:r>
        <w:rPr>
          <w:color w:val="231F20"/>
          <w:w w:val="105"/>
        </w:rPr>
        <w:t>de</w:t>
      </w:r>
      <w:r>
        <w:rPr>
          <w:color w:val="231F20"/>
          <w:spacing w:val="-25"/>
          <w:w w:val="105"/>
        </w:rPr>
        <w:t> </w:t>
      </w:r>
      <w:r>
        <w:rPr>
          <w:color w:val="231F20"/>
          <w:w w:val="105"/>
        </w:rPr>
        <w:t>la dinámica</w:t>
      </w:r>
      <w:r>
        <w:rPr>
          <w:color w:val="231F20"/>
          <w:spacing w:val="-14"/>
          <w:w w:val="105"/>
        </w:rPr>
        <w:t> </w:t>
      </w:r>
      <w:r>
        <w:rPr>
          <w:color w:val="231F20"/>
          <w:spacing w:val="-3"/>
          <w:w w:val="105"/>
        </w:rPr>
        <w:t>poblacional</w:t>
      </w:r>
      <w:r>
        <w:rPr>
          <w:color w:val="231F20"/>
          <w:spacing w:val="-14"/>
          <w:w w:val="105"/>
        </w:rPr>
        <w:t> </w:t>
      </w:r>
      <w:r>
        <w:rPr>
          <w:color w:val="231F20"/>
          <w:w w:val="105"/>
        </w:rPr>
        <w:t>y</w:t>
      </w:r>
      <w:r>
        <w:rPr>
          <w:color w:val="231F20"/>
          <w:spacing w:val="-14"/>
          <w:w w:val="105"/>
        </w:rPr>
        <w:t> </w:t>
      </w:r>
      <w:r>
        <w:rPr>
          <w:color w:val="231F20"/>
          <w:spacing w:val="-3"/>
          <w:w w:val="105"/>
        </w:rPr>
        <w:t>económica,</w:t>
      </w:r>
      <w:r>
        <w:rPr>
          <w:color w:val="231F20"/>
          <w:spacing w:val="-14"/>
          <w:w w:val="105"/>
        </w:rPr>
        <w:t> </w:t>
      </w:r>
      <w:r>
        <w:rPr>
          <w:color w:val="231F20"/>
          <w:spacing w:val="-4"/>
          <w:w w:val="105"/>
        </w:rPr>
        <w:t>pudo</w:t>
      </w:r>
      <w:r>
        <w:rPr>
          <w:color w:val="231F20"/>
          <w:spacing w:val="-14"/>
          <w:w w:val="105"/>
        </w:rPr>
        <w:t> </w:t>
      </w:r>
      <w:r>
        <w:rPr>
          <w:color w:val="231F20"/>
          <w:spacing w:val="-3"/>
          <w:w w:val="105"/>
        </w:rPr>
        <w:t>haber</w:t>
      </w:r>
      <w:r>
        <w:rPr>
          <w:color w:val="231F20"/>
          <w:spacing w:val="-14"/>
          <w:w w:val="105"/>
        </w:rPr>
        <w:t> </w:t>
      </w:r>
      <w:r>
        <w:rPr>
          <w:color w:val="231F20"/>
          <w:w w:val="105"/>
        </w:rPr>
        <w:t>variado</w:t>
      </w:r>
      <w:r>
        <w:rPr>
          <w:color w:val="231F20"/>
          <w:spacing w:val="-14"/>
          <w:w w:val="105"/>
        </w:rPr>
        <w:t> </w:t>
      </w:r>
      <w:r>
        <w:rPr>
          <w:color w:val="231F20"/>
          <w:w w:val="105"/>
        </w:rPr>
        <w:t>la</w:t>
      </w:r>
      <w:r>
        <w:rPr>
          <w:color w:val="231F20"/>
          <w:spacing w:val="-14"/>
          <w:w w:val="105"/>
        </w:rPr>
        <w:t> </w:t>
      </w:r>
      <w:r>
        <w:rPr>
          <w:color w:val="231F20"/>
          <w:spacing w:val="-3"/>
          <w:w w:val="105"/>
        </w:rPr>
        <w:t>situación</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año</w:t>
      </w:r>
      <w:r>
        <w:rPr>
          <w:color w:val="231F20"/>
          <w:spacing w:val="-14"/>
          <w:w w:val="105"/>
        </w:rPr>
        <w:t> </w:t>
      </w:r>
      <w:r>
        <w:rPr>
          <w:color w:val="231F20"/>
          <w:w w:val="105"/>
        </w:rPr>
        <w:t>a</w:t>
      </w:r>
      <w:r>
        <w:rPr>
          <w:color w:val="231F20"/>
          <w:spacing w:val="-14"/>
          <w:w w:val="105"/>
        </w:rPr>
        <w:t> </w:t>
      </w:r>
      <w:r>
        <w:rPr>
          <w:color w:val="231F20"/>
          <w:spacing w:val="-3"/>
          <w:w w:val="105"/>
        </w:rPr>
        <w:t>otro.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0"/>
          <w:w w:val="105"/>
        </w:rPr>
        <w:t> </w:t>
      </w:r>
      <w:r>
        <w:rPr>
          <w:color w:val="231F20"/>
          <w:w w:val="105"/>
        </w:rPr>
        <w:t>relación</w:t>
      </w:r>
      <w:r>
        <w:rPr>
          <w:color w:val="231F20"/>
          <w:spacing w:val="-10"/>
          <w:w w:val="105"/>
        </w:rPr>
        <w:t> </w:t>
      </w:r>
      <w:r>
        <w:rPr>
          <w:color w:val="231F20"/>
          <w:w w:val="105"/>
        </w:rPr>
        <w:t>con</w:t>
      </w:r>
      <w:r>
        <w:rPr>
          <w:color w:val="231F20"/>
          <w:spacing w:val="-10"/>
          <w:w w:val="105"/>
        </w:rPr>
        <w:t> </w:t>
      </w:r>
      <w:r>
        <w:rPr>
          <w:color w:val="231F20"/>
          <w:w w:val="105"/>
        </w:rPr>
        <w:t>estos</w:t>
      </w:r>
      <w:r>
        <w:rPr>
          <w:color w:val="231F20"/>
          <w:spacing w:val="-10"/>
          <w:w w:val="105"/>
        </w:rPr>
        <w:t> </w:t>
      </w:r>
      <w:r>
        <w:rPr>
          <w:color w:val="231F20"/>
          <w:w w:val="105"/>
        </w:rPr>
        <w:t>dos</w:t>
      </w:r>
      <w:r>
        <w:rPr>
          <w:color w:val="231F20"/>
          <w:spacing w:val="-10"/>
          <w:w w:val="105"/>
        </w:rPr>
        <w:t> </w:t>
      </w:r>
      <w:r>
        <w:rPr>
          <w:color w:val="231F20"/>
          <w:w w:val="105"/>
        </w:rPr>
        <w:t>asuntos</w:t>
      </w:r>
      <w:r>
        <w:rPr>
          <w:color w:val="231F20"/>
          <w:spacing w:val="-10"/>
          <w:w w:val="105"/>
        </w:rPr>
        <w:t> </w:t>
      </w:r>
      <w:r>
        <w:rPr>
          <w:color w:val="231F20"/>
          <w:w w:val="105"/>
        </w:rPr>
        <w:t>(normas</w:t>
      </w:r>
      <w:r>
        <w:rPr>
          <w:color w:val="231F20"/>
          <w:spacing w:val="-10"/>
          <w:w w:val="105"/>
        </w:rPr>
        <w:t> </w:t>
      </w:r>
      <w:r>
        <w:rPr>
          <w:color w:val="231F20"/>
          <w:w w:val="105"/>
        </w:rPr>
        <w:t>y</w:t>
      </w:r>
      <w:r>
        <w:rPr>
          <w:color w:val="231F20"/>
          <w:spacing w:val="-10"/>
          <w:w w:val="105"/>
        </w:rPr>
        <w:t> </w:t>
      </w:r>
      <w:r>
        <w:rPr>
          <w:color w:val="231F20"/>
          <w:w w:val="105"/>
        </w:rPr>
        <w:t>planeación),</w:t>
      </w:r>
      <w:r>
        <w:rPr>
          <w:color w:val="231F20"/>
          <w:spacing w:val="-10"/>
          <w:w w:val="105"/>
        </w:rPr>
        <w:t> </w:t>
      </w:r>
      <w:r>
        <w:rPr>
          <w:color w:val="231F20"/>
          <w:w w:val="105"/>
        </w:rPr>
        <w:t>el</w:t>
      </w:r>
      <w:r>
        <w:rPr>
          <w:color w:val="231F20"/>
          <w:spacing w:val="-10"/>
          <w:w w:val="105"/>
        </w:rPr>
        <w:t> </w:t>
      </w:r>
      <w:r>
        <w:rPr>
          <w:color w:val="231F20"/>
          <w:w w:val="105"/>
        </w:rPr>
        <w:t>federalismo</w:t>
      </w:r>
      <w:r>
        <w:rPr>
          <w:color w:val="231F20"/>
          <w:spacing w:val="-10"/>
          <w:w w:val="105"/>
        </w:rPr>
        <w:t> </w:t>
      </w:r>
      <w:r>
        <w:rPr>
          <w:color w:val="231F20"/>
          <w:w w:val="105"/>
        </w:rPr>
        <w:t>implantado</w:t>
      </w:r>
      <w:r>
        <w:rPr>
          <w:color w:val="231F20"/>
          <w:spacing w:val="-10"/>
          <w:w w:val="105"/>
        </w:rPr>
        <w:t> </w:t>
      </w:r>
      <w:r>
        <w:rPr>
          <w:color w:val="231F20"/>
          <w:w w:val="105"/>
        </w:rPr>
        <w:t>en México</w:t>
      </w:r>
      <w:r>
        <w:rPr>
          <w:color w:val="231F20"/>
          <w:spacing w:val="-14"/>
          <w:w w:val="105"/>
        </w:rPr>
        <w:t> </w:t>
      </w:r>
      <w:r>
        <w:rPr>
          <w:color w:val="231F20"/>
          <w:w w:val="105"/>
        </w:rPr>
        <w:t>hace</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instancias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encuentren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cúspide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jerarquía</w:t>
      </w:r>
      <w:r>
        <w:rPr>
          <w:color w:val="231F20"/>
          <w:spacing w:val="-14"/>
          <w:w w:val="105"/>
        </w:rPr>
        <w:t> </w:t>
      </w:r>
      <w:r>
        <w:rPr>
          <w:color w:val="231F20"/>
          <w:w w:val="105"/>
        </w:rPr>
        <w:t>establez- can</w:t>
      </w:r>
      <w:r>
        <w:rPr>
          <w:color w:val="231F20"/>
          <w:spacing w:val="-14"/>
          <w:w w:val="105"/>
        </w:rPr>
        <w:t> </w:t>
      </w:r>
      <w:r>
        <w:rPr>
          <w:color w:val="231F20"/>
          <w:w w:val="105"/>
        </w:rPr>
        <w:t>parámetros</w:t>
      </w:r>
      <w:r>
        <w:rPr>
          <w:color w:val="231F20"/>
          <w:spacing w:val="-14"/>
          <w:w w:val="105"/>
        </w:rPr>
        <w:t> </w:t>
      </w:r>
      <w:r>
        <w:rPr>
          <w:color w:val="231F20"/>
          <w:w w:val="105"/>
        </w:rPr>
        <w:t>e</w:t>
      </w:r>
      <w:r>
        <w:rPr>
          <w:color w:val="231F20"/>
          <w:spacing w:val="-14"/>
          <w:w w:val="105"/>
        </w:rPr>
        <w:t> </w:t>
      </w:r>
      <w:r>
        <w:rPr>
          <w:color w:val="231F20"/>
          <w:w w:val="105"/>
        </w:rPr>
        <w:t>indicadores</w:t>
      </w:r>
      <w:r>
        <w:rPr>
          <w:color w:val="231F20"/>
          <w:spacing w:val="-14"/>
          <w:w w:val="105"/>
        </w:rPr>
        <w:t> </w:t>
      </w:r>
      <w:r>
        <w:rPr>
          <w:color w:val="231F20"/>
          <w:w w:val="105"/>
        </w:rPr>
        <w:t>fijos</w:t>
      </w:r>
      <w:r>
        <w:rPr>
          <w:color w:val="231F20"/>
          <w:spacing w:val="-14"/>
          <w:w w:val="105"/>
        </w:rPr>
        <w:t> </w:t>
      </w:r>
      <w:r>
        <w:rPr>
          <w:color w:val="231F20"/>
          <w:w w:val="105"/>
        </w:rPr>
        <w:t>para</w:t>
      </w:r>
      <w:r>
        <w:rPr>
          <w:color w:val="231F20"/>
          <w:spacing w:val="-14"/>
          <w:w w:val="105"/>
        </w:rPr>
        <w:t> </w:t>
      </w:r>
      <w:r>
        <w:rPr>
          <w:color w:val="231F20"/>
          <w:w w:val="105"/>
        </w:rPr>
        <w:t>que</w:t>
      </w:r>
      <w:r>
        <w:rPr>
          <w:color w:val="231F20"/>
          <w:spacing w:val="-14"/>
          <w:w w:val="105"/>
        </w:rPr>
        <w:t> </w:t>
      </w:r>
      <w:r>
        <w:rPr>
          <w:color w:val="231F20"/>
          <w:w w:val="105"/>
        </w:rPr>
        <w:t>tanto</w:t>
      </w:r>
      <w:r>
        <w:rPr>
          <w:color w:val="231F20"/>
          <w:spacing w:val="-14"/>
          <w:w w:val="105"/>
        </w:rPr>
        <w:t> </w:t>
      </w:r>
      <w:r>
        <w:rPr>
          <w:color w:val="231F20"/>
          <w:w w:val="105"/>
        </w:rPr>
        <w:t>entidades</w:t>
      </w:r>
      <w:r>
        <w:rPr>
          <w:color w:val="231F20"/>
          <w:spacing w:val="-14"/>
          <w:w w:val="105"/>
        </w:rPr>
        <w:t> </w:t>
      </w:r>
      <w:r>
        <w:rPr>
          <w:color w:val="231F20"/>
          <w:w w:val="105"/>
        </w:rPr>
        <w:t>como</w:t>
      </w:r>
      <w:r>
        <w:rPr>
          <w:color w:val="231F20"/>
          <w:spacing w:val="-14"/>
          <w:w w:val="105"/>
        </w:rPr>
        <w:t> </w:t>
      </w:r>
      <w:r>
        <w:rPr>
          <w:color w:val="231F20"/>
          <w:w w:val="105"/>
        </w:rPr>
        <w:t>municipios</w:t>
      </w:r>
      <w:r>
        <w:rPr>
          <w:color w:val="231F20"/>
          <w:spacing w:val="-14"/>
          <w:w w:val="105"/>
        </w:rPr>
        <w:t> </w:t>
      </w:r>
      <w:r>
        <w:rPr>
          <w:color w:val="231F20"/>
          <w:w w:val="105"/>
        </w:rPr>
        <w:t>se</w:t>
      </w:r>
      <w:r>
        <w:rPr>
          <w:color w:val="231F20"/>
          <w:spacing w:val="-14"/>
          <w:w w:val="105"/>
        </w:rPr>
        <w:t> </w:t>
      </w:r>
      <w:r>
        <w:rPr>
          <w:color w:val="231F20"/>
          <w:w w:val="105"/>
        </w:rPr>
        <w:t>ajusten a ellos para sus planeaciones y normas. En Ixtapan de la Sal, por </w:t>
      </w:r>
      <w:r>
        <w:rPr>
          <w:color w:val="231F20"/>
          <w:spacing w:val="-3"/>
          <w:w w:val="105"/>
        </w:rPr>
        <w:t>ejemplo, </w:t>
      </w:r>
      <w:r>
        <w:rPr>
          <w:color w:val="231F20"/>
          <w:w w:val="105"/>
        </w:rPr>
        <w:t>el gobierno Estatal</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legislatura</w:t>
      </w:r>
      <w:r>
        <w:rPr>
          <w:color w:val="231F20"/>
          <w:spacing w:val="-22"/>
          <w:w w:val="105"/>
        </w:rPr>
        <w:t> </w:t>
      </w:r>
      <w:r>
        <w:rPr>
          <w:color w:val="231F20"/>
          <w:w w:val="105"/>
        </w:rPr>
        <w:t>local</w:t>
      </w:r>
      <w:r>
        <w:rPr>
          <w:color w:val="231F20"/>
          <w:spacing w:val="-22"/>
          <w:w w:val="105"/>
        </w:rPr>
        <w:t> </w:t>
      </w:r>
      <w:r>
        <w:rPr>
          <w:color w:val="231F20"/>
          <w:w w:val="105"/>
        </w:rPr>
        <w:t>han</w:t>
      </w:r>
      <w:r>
        <w:rPr>
          <w:color w:val="231F20"/>
          <w:spacing w:val="-22"/>
          <w:w w:val="105"/>
        </w:rPr>
        <w:t> </w:t>
      </w:r>
      <w:r>
        <w:rPr>
          <w:color w:val="231F20"/>
          <w:w w:val="105"/>
        </w:rPr>
        <w:t>envidado</w:t>
      </w:r>
      <w:r>
        <w:rPr>
          <w:color w:val="231F20"/>
          <w:spacing w:val="-22"/>
          <w:w w:val="105"/>
        </w:rPr>
        <w:t> </w:t>
      </w:r>
      <w:r>
        <w:rPr>
          <w:color w:val="231F20"/>
          <w:w w:val="105"/>
        </w:rPr>
        <w:t>guías</w:t>
      </w:r>
      <w:r>
        <w:rPr>
          <w:color w:val="231F20"/>
          <w:spacing w:val="-22"/>
          <w:w w:val="105"/>
        </w:rPr>
        <w:t> </w:t>
      </w:r>
      <w:r>
        <w:rPr>
          <w:color w:val="231F20"/>
          <w:w w:val="105"/>
        </w:rPr>
        <w:t>para</w:t>
      </w:r>
      <w:r>
        <w:rPr>
          <w:color w:val="231F20"/>
          <w:spacing w:val="-22"/>
          <w:w w:val="105"/>
        </w:rPr>
        <w:t> </w:t>
      </w:r>
      <w:r>
        <w:rPr>
          <w:color w:val="231F20"/>
          <w:w w:val="105"/>
        </w:rPr>
        <w:t>la</w:t>
      </w:r>
      <w:r>
        <w:rPr>
          <w:color w:val="231F20"/>
          <w:spacing w:val="-22"/>
          <w:w w:val="105"/>
        </w:rPr>
        <w:t> </w:t>
      </w:r>
      <w:r>
        <w:rPr>
          <w:color w:val="231F20"/>
          <w:w w:val="105"/>
        </w:rPr>
        <w:t>elaboración</w:t>
      </w:r>
      <w:r>
        <w:rPr>
          <w:color w:val="231F20"/>
          <w:spacing w:val="-22"/>
          <w:w w:val="105"/>
        </w:rPr>
        <w:t> </w:t>
      </w:r>
      <w:r>
        <w:rPr>
          <w:color w:val="231F20"/>
          <w:w w:val="105"/>
        </w:rPr>
        <w:t>de</w:t>
      </w:r>
      <w:r>
        <w:rPr>
          <w:color w:val="231F20"/>
          <w:spacing w:val="-22"/>
          <w:w w:val="105"/>
        </w:rPr>
        <w:t> </w:t>
      </w:r>
      <w:r>
        <w:rPr>
          <w:color w:val="231F20"/>
          <w:w w:val="105"/>
        </w:rPr>
        <w:t>Bando,</w:t>
      </w:r>
      <w:r>
        <w:rPr>
          <w:color w:val="231F20"/>
          <w:spacing w:val="-22"/>
          <w:w w:val="105"/>
        </w:rPr>
        <w:t> </w:t>
      </w:r>
      <w:r>
        <w:rPr>
          <w:color w:val="231F20"/>
          <w:w w:val="105"/>
        </w:rPr>
        <w:t>manuales, reglamentos y Plan de Desarrollo, lo que genera el llamado isomorfismo institucional (Sánchez,</w:t>
      </w:r>
      <w:r>
        <w:rPr>
          <w:color w:val="231F20"/>
          <w:spacing w:val="-21"/>
          <w:w w:val="105"/>
        </w:rPr>
        <w:t> </w:t>
      </w:r>
      <w:r>
        <w:rPr>
          <w:color w:val="231F20"/>
          <w:w w:val="105"/>
        </w:rPr>
        <w:t>2006),</w:t>
      </w:r>
      <w:r>
        <w:rPr>
          <w:color w:val="231F20"/>
          <w:spacing w:val="-21"/>
          <w:w w:val="105"/>
        </w:rPr>
        <w:t> </w:t>
      </w:r>
      <w:r>
        <w:rPr>
          <w:color w:val="231F20"/>
          <w:w w:val="105"/>
        </w:rPr>
        <w:t>que</w:t>
      </w:r>
      <w:r>
        <w:rPr>
          <w:color w:val="231F20"/>
          <w:spacing w:val="-21"/>
          <w:w w:val="105"/>
        </w:rPr>
        <w:t> </w:t>
      </w:r>
      <w:r>
        <w:rPr>
          <w:color w:val="231F20"/>
          <w:w w:val="105"/>
        </w:rPr>
        <w:t>obliga</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instancias</w:t>
      </w:r>
      <w:r>
        <w:rPr>
          <w:color w:val="231F20"/>
          <w:spacing w:val="-21"/>
          <w:w w:val="105"/>
        </w:rPr>
        <w:t> </w:t>
      </w:r>
      <w:r>
        <w:rPr>
          <w:color w:val="231F20"/>
          <w:w w:val="105"/>
        </w:rPr>
        <w:t>locales</w:t>
      </w:r>
      <w:r>
        <w:rPr>
          <w:color w:val="231F20"/>
          <w:spacing w:val="-21"/>
          <w:w w:val="105"/>
        </w:rPr>
        <w:t> </w:t>
      </w:r>
      <w:r>
        <w:rPr>
          <w:color w:val="231F20"/>
          <w:w w:val="105"/>
        </w:rPr>
        <w:t>a</w:t>
      </w:r>
      <w:r>
        <w:rPr>
          <w:color w:val="231F20"/>
          <w:spacing w:val="-21"/>
          <w:w w:val="105"/>
        </w:rPr>
        <w:t> </w:t>
      </w:r>
      <w:r>
        <w:rPr>
          <w:color w:val="231F20"/>
          <w:w w:val="105"/>
        </w:rPr>
        <w:t>adecuarse</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planes</w:t>
      </w:r>
      <w:r>
        <w:rPr>
          <w:color w:val="231F20"/>
          <w:spacing w:val="-21"/>
          <w:w w:val="105"/>
        </w:rPr>
        <w:t> </w:t>
      </w:r>
      <w:r>
        <w:rPr>
          <w:color w:val="231F20"/>
          <w:w w:val="105"/>
        </w:rPr>
        <w:t>nacionales</w:t>
      </w:r>
      <w:r>
        <w:rPr>
          <w:color w:val="231F20"/>
          <w:spacing w:val="-21"/>
          <w:w w:val="105"/>
        </w:rPr>
        <w:t> </w:t>
      </w:r>
      <w:r>
        <w:rPr>
          <w:color w:val="231F20"/>
          <w:w w:val="105"/>
        </w:rPr>
        <w:t>y estatales,</w:t>
      </w:r>
      <w:r>
        <w:rPr>
          <w:color w:val="231F20"/>
          <w:spacing w:val="-13"/>
          <w:w w:val="105"/>
        </w:rPr>
        <w:t> </w:t>
      </w:r>
      <w:r>
        <w:rPr>
          <w:color w:val="231F20"/>
          <w:w w:val="105"/>
        </w:rPr>
        <w:t>y</w:t>
      </w:r>
      <w:r>
        <w:rPr>
          <w:color w:val="231F20"/>
          <w:spacing w:val="-13"/>
          <w:w w:val="105"/>
        </w:rPr>
        <w:t> </w:t>
      </w:r>
      <w:r>
        <w:rPr>
          <w:color w:val="231F20"/>
          <w:w w:val="105"/>
        </w:rPr>
        <w:t>homologarse</w:t>
      </w:r>
      <w:r>
        <w:rPr>
          <w:color w:val="231F20"/>
          <w:spacing w:val="-13"/>
          <w:w w:val="105"/>
        </w:rPr>
        <w:t> </w:t>
      </w:r>
      <w:r>
        <w:rPr>
          <w:color w:val="231F20"/>
          <w:w w:val="105"/>
        </w:rPr>
        <w:t>en</w:t>
      </w:r>
      <w:r>
        <w:rPr>
          <w:color w:val="231F20"/>
          <w:spacing w:val="-13"/>
          <w:w w:val="105"/>
        </w:rPr>
        <w:t> </w:t>
      </w:r>
      <w:r>
        <w:rPr>
          <w:color w:val="231F20"/>
          <w:w w:val="105"/>
        </w:rPr>
        <w:t>estructuras,</w:t>
      </w:r>
      <w:r>
        <w:rPr>
          <w:color w:val="231F20"/>
          <w:spacing w:val="-13"/>
          <w:w w:val="105"/>
        </w:rPr>
        <w:t> </w:t>
      </w:r>
      <w:r>
        <w:rPr>
          <w:color w:val="231F20"/>
          <w:w w:val="105"/>
        </w:rPr>
        <w:t>funciones</w:t>
      </w:r>
      <w:r>
        <w:rPr>
          <w:color w:val="231F20"/>
          <w:spacing w:val="-13"/>
          <w:w w:val="105"/>
        </w:rPr>
        <w:t> </w:t>
      </w:r>
      <w:r>
        <w:rPr>
          <w:color w:val="231F20"/>
          <w:w w:val="105"/>
        </w:rPr>
        <w:t>y</w:t>
      </w:r>
      <w:r>
        <w:rPr>
          <w:color w:val="231F20"/>
          <w:spacing w:val="-13"/>
          <w:w w:val="105"/>
        </w:rPr>
        <w:t> </w:t>
      </w:r>
      <w:r>
        <w:rPr>
          <w:color w:val="231F20"/>
          <w:w w:val="105"/>
        </w:rPr>
        <w:t>normatividad.</w:t>
      </w:r>
    </w:p>
    <w:p>
      <w:pPr>
        <w:pStyle w:val="BodyText"/>
        <w:spacing w:before="1"/>
        <w:rPr>
          <w:sz w:val="20"/>
        </w:rPr>
      </w:pPr>
    </w:p>
    <w:p>
      <w:pPr>
        <w:pStyle w:val="Heading4"/>
        <w:rPr>
          <w:i/>
        </w:rPr>
      </w:pPr>
      <w:r>
        <w:rPr>
          <w:i/>
          <w:color w:val="231F20"/>
          <w:w w:val="105"/>
        </w:rPr>
        <w:t>Finanzas públicas municipales</w:t>
      </w:r>
    </w:p>
    <w:p>
      <w:pPr>
        <w:pStyle w:val="BodyText"/>
        <w:spacing w:line="285" w:lineRule="auto" w:before="16"/>
        <w:ind w:left="110" w:right="108"/>
        <w:jc w:val="both"/>
      </w:pPr>
      <w:r>
        <w:rPr>
          <w:color w:val="231F20"/>
          <w:spacing w:val="-3"/>
          <w:w w:val="105"/>
        </w:rPr>
        <w:t>Uno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aspectos</w:t>
      </w:r>
      <w:r>
        <w:rPr>
          <w:color w:val="231F20"/>
          <w:spacing w:val="-19"/>
          <w:w w:val="105"/>
        </w:rPr>
        <w:t> </w:t>
      </w:r>
      <w:r>
        <w:rPr>
          <w:color w:val="231F20"/>
          <w:w w:val="105"/>
        </w:rPr>
        <w:t>fundamentales</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spacing w:val="2"/>
          <w:w w:val="105"/>
        </w:rPr>
        <w:t>análisis</w:t>
      </w:r>
      <w:r>
        <w:rPr>
          <w:color w:val="231F20"/>
          <w:spacing w:val="-19"/>
          <w:w w:val="105"/>
        </w:rPr>
        <w:t> </w:t>
      </w:r>
      <w:r>
        <w:rPr>
          <w:color w:val="231F20"/>
          <w:w w:val="105"/>
        </w:rPr>
        <w:t>municipal</w:t>
      </w:r>
      <w:r>
        <w:rPr>
          <w:color w:val="231F20"/>
          <w:spacing w:val="-19"/>
          <w:w w:val="105"/>
        </w:rPr>
        <w:t> </w:t>
      </w:r>
      <w:r>
        <w:rPr>
          <w:color w:val="231F20"/>
          <w:w w:val="105"/>
        </w:rPr>
        <w:t>son</w:t>
      </w:r>
      <w:r>
        <w:rPr>
          <w:color w:val="231F20"/>
          <w:spacing w:val="-19"/>
          <w:w w:val="105"/>
        </w:rPr>
        <w:t> </w:t>
      </w:r>
      <w:r>
        <w:rPr>
          <w:color w:val="231F20"/>
          <w:w w:val="105"/>
        </w:rPr>
        <w:t>sus</w:t>
      </w:r>
      <w:r>
        <w:rPr>
          <w:color w:val="231F20"/>
          <w:spacing w:val="-19"/>
          <w:w w:val="105"/>
        </w:rPr>
        <w:t> </w:t>
      </w:r>
      <w:r>
        <w:rPr>
          <w:color w:val="231F20"/>
          <w:spacing w:val="2"/>
          <w:w w:val="105"/>
        </w:rPr>
        <w:t>finanzas</w:t>
      </w:r>
      <w:r>
        <w:rPr>
          <w:color w:val="231F20"/>
          <w:spacing w:val="-19"/>
          <w:w w:val="105"/>
        </w:rPr>
        <w:t> </w:t>
      </w:r>
      <w:r>
        <w:rPr>
          <w:color w:val="231F20"/>
          <w:w w:val="105"/>
        </w:rPr>
        <w:t>públicas, pues</w:t>
      </w:r>
      <w:r>
        <w:rPr>
          <w:color w:val="231F20"/>
          <w:spacing w:val="-16"/>
          <w:w w:val="105"/>
        </w:rPr>
        <w:t> </w:t>
      </w:r>
      <w:r>
        <w:rPr>
          <w:color w:val="231F20"/>
          <w:w w:val="105"/>
        </w:rPr>
        <w:t>a</w:t>
      </w:r>
      <w:r>
        <w:rPr>
          <w:color w:val="231F20"/>
          <w:spacing w:val="-16"/>
          <w:w w:val="105"/>
        </w:rPr>
        <w:t> </w:t>
      </w:r>
      <w:r>
        <w:rPr>
          <w:color w:val="231F20"/>
          <w:w w:val="105"/>
        </w:rPr>
        <w:t>través</w:t>
      </w:r>
      <w:r>
        <w:rPr>
          <w:color w:val="231F20"/>
          <w:spacing w:val="-16"/>
          <w:w w:val="105"/>
        </w:rPr>
        <w:t> </w:t>
      </w:r>
      <w:r>
        <w:rPr>
          <w:color w:val="231F20"/>
          <w:w w:val="105"/>
        </w:rPr>
        <w:t>de</w:t>
      </w:r>
      <w:r>
        <w:rPr>
          <w:color w:val="231F20"/>
          <w:spacing w:val="-16"/>
          <w:w w:val="105"/>
        </w:rPr>
        <w:t> </w:t>
      </w:r>
      <w:r>
        <w:rPr>
          <w:color w:val="231F20"/>
          <w:w w:val="105"/>
        </w:rPr>
        <w:t>ellas</w:t>
      </w:r>
      <w:r>
        <w:rPr>
          <w:color w:val="231F20"/>
          <w:spacing w:val="-16"/>
          <w:w w:val="105"/>
        </w:rPr>
        <w:t> </w:t>
      </w:r>
      <w:r>
        <w:rPr>
          <w:color w:val="231F20"/>
          <w:w w:val="105"/>
        </w:rPr>
        <w:t>se</w:t>
      </w:r>
      <w:r>
        <w:rPr>
          <w:color w:val="231F20"/>
          <w:spacing w:val="-16"/>
          <w:w w:val="105"/>
        </w:rPr>
        <w:t> </w:t>
      </w:r>
      <w:r>
        <w:rPr>
          <w:color w:val="231F20"/>
          <w:w w:val="105"/>
        </w:rPr>
        <w:t>puede</w:t>
      </w:r>
      <w:r>
        <w:rPr>
          <w:color w:val="231F20"/>
          <w:spacing w:val="-16"/>
          <w:w w:val="105"/>
        </w:rPr>
        <w:t> </w:t>
      </w:r>
      <w:r>
        <w:rPr>
          <w:color w:val="231F20"/>
          <w:w w:val="105"/>
        </w:rPr>
        <w:t>observar</w:t>
      </w:r>
      <w:r>
        <w:rPr>
          <w:color w:val="231F20"/>
          <w:spacing w:val="-16"/>
          <w:w w:val="105"/>
        </w:rPr>
        <w:t> </w:t>
      </w:r>
      <w:r>
        <w:rPr>
          <w:color w:val="231F20"/>
          <w:w w:val="105"/>
        </w:rPr>
        <w:t>cuantitativamente</w:t>
      </w:r>
      <w:r>
        <w:rPr>
          <w:color w:val="231F20"/>
          <w:spacing w:val="-16"/>
          <w:w w:val="105"/>
        </w:rPr>
        <w:t> </w:t>
      </w:r>
      <w:r>
        <w:rPr>
          <w:color w:val="231F20"/>
          <w:w w:val="105"/>
        </w:rPr>
        <w:t>qué</w:t>
      </w:r>
      <w:r>
        <w:rPr>
          <w:color w:val="231F20"/>
          <w:spacing w:val="-16"/>
          <w:w w:val="105"/>
        </w:rPr>
        <w:t> </w:t>
      </w:r>
      <w:r>
        <w:rPr>
          <w:color w:val="231F20"/>
          <w:w w:val="105"/>
        </w:rPr>
        <w:t>fines</w:t>
      </w:r>
      <w:r>
        <w:rPr>
          <w:color w:val="231F20"/>
          <w:spacing w:val="-16"/>
          <w:w w:val="105"/>
        </w:rPr>
        <w:t> </w:t>
      </w:r>
      <w:r>
        <w:rPr>
          <w:color w:val="231F20"/>
          <w:w w:val="105"/>
        </w:rPr>
        <w:t>persigue</w:t>
      </w:r>
      <w:r>
        <w:rPr>
          <w:color w:val="231F20"/>
          <w:spacing w:val="-16"/>
          <w:w w:val="105"/>
        </w:rPr>
        <w:t> </w:t>
      </w:r>
      <w:r>
        <w:rPr>
          <w:color w:val="231F20"/>
          <w:w w:val="105"/>
        </w:rPr>
        <w:t>el</w:t>
      </w:r>
      <w:r>
        <w:rPr>
          <w:color w:val="231F20"/>
          <w:spacing w:val="-16"/>
          <w:w w:val="105"/>
        </w:rPr>
        <w:t> </w:t>
      </w:r>
      <w:r>
        <w:rPr>
          <w:color w:val="231F20"/>
          <w:w w:val="105"/>
        </w:rPr>
        <w:t>munici- pio</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sustentabilidad</w:t>
      </w:r>
      <w:r>
        <w:rPr>
          <w:color w:val="231F20"/>
          <w:spacing w:val="-17"/>
          <w:w w:val="105"/>
        </w:rPr>
        <w:t> </w:t>
      </w:r>
      <w:r>
        <w:rPr>
          <w:color w:val="231F20"/>
          <w:w w:val="105"/>
        </w:rPr>
        <w:t>financiera</w:t>
      </w:r>
      <w:r>
        <w:rPr>
          <w:color w:val="231F20"/>
          <w:spacing w:val="-17"/>
          <w:w w:val="105"/>
        </w:rPr>
        <w:t> </w:t>
      </w:r>
      <w:r>
        <w:rPr>
          <w:color w:val="231F20"/>
          <w:w w:val="105"/>
        </w:rPr>
        <w:t>para</w:t>
      </w:r>
      <w:r>
        <w:rPr>
          <w:color w:val="231F20"/>
          <w:spacing w:val="-17"/>
          <w:w w:val="105"/>
        </w:rPr>
        <w:t> </w:t>
      </w:r>
      <w:r>
        <w:rPr>
          <w:color w:val="231F20"/>
          <w:w w:val="105"/>
        </w:rPr>
        <w:t>llevarlos</w:t>
      </w:r>
      <w:r>
        <w:rPr>
          <w:color w:val="231F20"/>
          <w:spacing w:val="-17"/>
          <w:w w:val="105"/>
        </w:rPr>
        <w:t> </w:t>
      </w:r>
      <w:r>
        <w:rPr>
          <w:color w:val="231F20"/>
          <w:w w:val="105"/>
        </w:rPr>
        <w:t>a</w:t>
      </w:r>
      <w:r>
        <w:rPr>
          <w:color w:val="231F20"/>
          <w:spacing w:val="-17"/>
          <w:w w:val="105"/>
        </w:rPr>
        <w:t> </w:t>
      </w:r>
      <w:r>
        <w:rPr>
          <w:color w:val="231F20"/>
          <w:w w:val="105"/>
        </w:rPr>
        <w:t>cabo.</w:t>
      </w:r>
    </w:p>
    <w:p>
      <w:pPr>
        <w:pStyle w:val="BodyText"/>
        <w:spacing w:before="8"/>
        <w:rPr>
          <w:sz w:val="20"/>
        </w:rPr>
      </w:pPr>
      <w:r>
        <w:rPr/>
        <w:pict>
          <v:line style="position:absolute;mso-position-horizontal-relative:page;mso-position-vertical-relative:paragraph;z-index:7072;mso-wrap-distance-left:0;mso-wrap-distance-right:0" from="42.519699pt,14.392497pt" to="114.519699pt,14.392497pt" stroked="true" strokeweight="1pt" strokecolor="#231f20">
            <w10:wrap type="topAndBottom"/>
          </v:line>
        </w:pict>
      </w:r>
    </w:p>
    <w:p>
      <w:pPr>
        <w:pStyle w:val="ListParagraph"/>
        <w:numPr>
          <w:ilvl w:val="0"/>
          <w:numId w:val="5"/>
        </w:numPr>
        <w:tabs>
          <w:tab w:pos="214" w:val="left" w:leader="none"/>
        </w:tabs>
        <w:spacing w:line="240" w:lineRule="auto" w:before="8" w:after="0"/>
        <w:ind w:left="213" w:right="0" w:hanging="103"/>
        <w:jc w:val="left"/>
        <w:rPr>
          <w:sz w:val="16"/>
        </w:rPr>
      </w:pPr>
      <w:r>
        <w:rPr>
          <w:color w:val="231F20"/>
          <w:spacing w:val="-5"/>
          <w:sz w:val="16"/>
        </w:rPr>
        <w:t>Ver</w:t>
      </w:r>
      <w:r>
        <w:rPr>
          <w:color w:val="231F20"/>
          <w:spacing w:val="-24"/>
          <w:sz w:val="16"/>
        </w:rPr>
        <w:t> </w:t>
      </w:r>
      <w:r>
        <w:rPr>
          <w:color w:val="231F20"/>
          <w:spacing w:val="-4"/>
          <w:sz w:val="16"/>
        </w:rPr>
        <w:t>Experiencia</w:t>
      </w:r>
      <w:r>
        <w:rPr>
          <w:color w:val="231F20"/>
          <w:spacing w:val="-24"/>
          <w:sz w:val="16"/>
        </w:rPr>
        <w:t> </w:t>
      </w:r>
      <w:r>
        <w:rPr>
          <w:color w:val="231F20"/>
          <w:sz w:val="16"/>
        </w:rPr>
        <w:t>de</w:t>
      </w:r>
      <w:r>
        <w:rPr>
          <w:color w:val="231F20"/>
          <w:spacing w:val="-24"/>
          <w:sz w:val="16"/>
        </w:rPr>
        <w:t> </w:t>
      </w:r>
      <w:r>
        <w:rPr>
          <w:color w:val="231F20"/>
          <w:spacing w:val="-3"/>
          <w:sz w:val="16"/>
        </w:rPr>
        <w:t>un</w:t>
      </w:r>
      <w:r>
        <w:rPr>
          <w:color w:val="231F20"/>
          <w:spacing w:val="-24"/>
          <w:sz w:val="16"/>
        </w:rPr>
        <w:t> </w:t>
      </w:r>
      <w:r>
        <w:rPr>
          <w:color w:val="231F20"/>
          <w:spacing w:val="-4"/>
          <w:sz w:val="16"/>
        </w:rPr>
        <w:t>Gobierno</w:t>
      </w:r>
      <w:r>
        <w:rPr>
          <w:color w:val="231F20"/>
          <w:spacing w:val="-24"/>
          <w:sz w:val="16"/>
        </w:rPr>
        <w:t> </w:t>
      </w:r>
      <w:r>
        <w:rPr>
          <w:color w:val="231F20"/>
          <w:spacing w:val="-4"/>
          <w:sz w:val="16"/>
        </w:rPr>
        <w:t>Príista:</w:t>
      </w:r>
      <w:r>
        <w:rPr>
          <w:color w:val="231F20"/>
          <w:spacing w:val="-24"/>
          <w:sz w:val="16"/>
        </w:rPr>
        <w:t> </w:t>
      </w:r>
      <w:r>
        <w:rPr>
          <w:color w:val="231F20"/>
          <w:spacing w:val="-6"/>
          <w:sz w:val="16"/>
        </w:rPr>
        <w:t>Tejupilco</w:t>
      </w:r>
      <w:r>
        <w:rPr>
          <w:color w:val="231F20"/>
          <w:spacing w:val="-24"/>
          <w:sz w:val="16"/>
        </w:rPr>
        <w:t> </w:t>
      </w:r>
      <w:r>
        <w:rPr>
          <w:color w:val="231F20"/>
          <w:spacing w:val="-3"/>
          <w:sz w:val="16"/>
        </w:rPr>
        <w:t>Estado</w:t>
      </w:r>
      <w:r>
        <w:rPr>
          <w:color w:val="231F20"/>
          <w:spacing w:val="-24"/>
          <w:sz w:val="16"/>
        </w:rPr>
        <w:t> </w:t>
      </w:r>
      <w:r>
        <w:rPr>
          <w:color w:val="231F20"/>
          <w:sz w:val="16"/>
        </w:rPr>
        <w:t>de</w:t>
      </w:r>
      <w:r>
        <w:rPr>
          <w:color w:val="231F20"/>
          <w:spacing w:val="-24"/>
          <w:sz w:val="16"/>
        </w:rPr>
        <w:t> </w:t>
      </w:r>
      <w:r>
        <w:rPr>
          <w:color w:val="231F20"/>
          <w:spacing w:val="-4"/>
          <w:sz w:val="16"/>
        </w:rPr>
        <w:t>México</w:t>
      </w:r>
      <w:r>
        <w:rPr>
          <w:color w:val="231F20"/>
          <w:spacing w:val="-24"/>
          <w:sz w:val="16"/>
        </w:rPr>
        <w:t> </w:t>
      </w:r>
      <w:r>
        <w:rPr>
          <w:color w:val="231F20"/>
          <w:spacing w:val="-5"/>
          <w:sz w:val="16"/>
        </w:rPr>
        <w:t>(2006-2009)</w:t>
      </w:r>
      <w:r>
        <w:rPr>
          <w:color w:val="231F20"/>
          <w:spacing w:val="-24"/>
          <w:sz w:val="16"/>
        </w:rPr>
        <w:t> </w:t>
      </w:r>
      <w:r>
        <w:rPr>
          <w:color w:val="231F20"/>
          <w:sz w:val="16"/>
        </w:rPr>
        <w:t>de</w:t>
      </w:r>
      <w:r>
        <w:rPr>
          <w:color w:val="231F20"/>
          <w:spacing w:val="-24"/>
          <w:sz w:val="16"/>
        </w:rPr>
        <w:t> </w:t>
      </w:r>
      <w:r>
        <w:rPr>
          <w:color w:val="231F20"/>
          <w:spacing w:val="-4"/>
          <w:sz w:val="16"/>
        </w:rPr>
        <w:t>María</w:t>
      </w:r>
      <w:r>
        <w:rPr>
          <w:color w:val="231F20"/>
          <w:spacing w:val="-24"/>
          <w:sz w:val="16"/>
        </w:rPr>
        <w:t> </w:t>
      </w:r>
      <w:r>
        <w:rPr>
          <w:color w:val="231F20"/>
          <w:spacing w:val="-3"/>
          <w:sz w:val="16"/>
        </w:rPr>
        <w:t>del</w:t>
      </w:r>
      <w:r>
        <w:rPr>
          <w:color w:val="231F20"/>
          <w:spacing w:val="-24"/>
          <w:sz w:val="16"/>
        </w:rPr>
        <w:t> </w:t>
      </w:r>
      <w:r>
        <w:rPr>
          <w:color w:val="231F20"/>
          <w:spacing w:val="-5"/>
          <w:sz w:val="16"/>
        </w:rPr>
        <w:t>Pilar</w:t>
      </w:r>
      <w:r>
        <w:rPr>
          <w:color w:val="231F20"/>
          <w:spacing w:val="-24"/>
          <w:sz w:val="16"/>
        </w:rPr>
        <w:t> </w:t>
      </w:r>
      <w:r>
        <w:rPr>
          <w:color w:val="231F20"/>
          <w:spacing w:val="-4"/>
          <w:sz w:val="16"/>
        </w:rPr>
        <w:t>Silva</w:t>
      </w:r>
      <w:r>
        <w:rPr>
          <w:color w:val="231F20"/>
          <w:spacing w:val="-24"/>
          <w:sz w:val="16"/>
        </w:rPr>
        <w:t> </w:t>
      </w:r>
      <w:r>
        <w:rPr>
          <w:color w:val="231F20"/>
          <w:spacing w:val="-4"/>
          <w:sz w:val="16"/>
        </w:rPr>
        <w:t>Rivera</w:t>
      </w:r>
      <w:r>
        <w:rPr>
          <w:color w:val="231F20"/>
          <w:spacing w:val="-24"/>
          <w:sz w:val="16"/>
        </w:rPr>
        <w:t> </w:t>
      </w:r>
      <w:r>
        <w:rPr>
          <w:color w:val="231F20"/>
          <w:spacing w:val="-3"/>
          <w:sz w:val="16"/>
        </w:rPr>
        <w:t>en</w:t>
      </w:r>
      <w:r>
        <w:rPr>
          <w:color w:val="231F20"/>
          <w:spacing w:val="-24"/>
          <w:sz w:val="16"/>
        </w:rPr>
        <w:t> </w:t>
      </w:r>
      <w:r>
        <w:rPr>
          <w:color w:val="231F20"/>
          <w:spacing w:val="-3"/>
          <w:sz w:val="16"/>
        </w:rPr>
        <w:t>esta</w:t>
      </w:r>
      <w:r>
        <w:rPr>
          <w:color w:val="231F20"/>
          <w:spacing w:val="-24"/>
          <w:sz w:val="16"/>
        </w:rPr>
        <w:t> </w:t>
      </w:r>
      <w:r>
        <w:rPr>
          <w:color w:val="231F20"/>
          <w:spacing w:val="-5"/>
          <w:sz w:val="16"/>
        </w:rPr>
        <w:t>misma</w:t>
      </w:r>
      <w:r>
        <w:rPr>
          <w:color w:val="231F20"/>
          <w:spacing w:val="-24"/>
          <w:sz w:val="16"/>
        </w:rPr>
        <w:t> </w:t>
      </w:r>
      <w:r>
        <w:rPr>
          <w:color w:val="231F20"/>
          <w:spacing w:val="-3"/>
          <w:sz w:val="16"/>
        </w:rPr>
        <w:t>obra.</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hanging="1"/>
        <w:jc w:val="both"/>
      </w:pPr>
      <w:r>
        <w:rPr>
          <w:color w:val="231F20"/>
          <w:spacing w:val="-3"/>
          <w:w w:val="105"/>
        </w:rPr>
        <w:t>Un</w:t>
      </w:r>
      <w:r>
        <w:rPr>
          <w:color w:val="231F20"/>
          <w:spacing w:val="-11"/>
          <w:w w:val="105"/>
        </w:rPr>
        <w:t> </w:t>
      </w:r>
      <w:r>
        <w:rPr>
          <w:color w:val="231F20"/>
          <w:w w:val="105"/>
        </w:rPr>
        <w:t>rasgo</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1"/>
          <w:w w:val="105"/>
        </w:rPr>
        <w:t> </w:t>
      </w:r>
      <w:r>
        <w:rPr>
          <w:color w:val="231F20"/>
          <w:w w:val="105"/>
        </w:rPr>
        <w:t>mayoría</w:t>
      </w:r>
      <w:r>
        <w:rPr>
          <w:color w:val="231F20"/>
          <w:spacing w:val="-11"/>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municipios</w:t>
      </w:r>
      <w:r>
        <w:rPr>
          <w:color w:val="231F20"/>
          <w:spacing w:val="-10"/>
          <w:w w:val="105"/>
        </w:rPr>
        <w:t> </w:t>
      </w:r>
      <w:r>
        <w:rPr>
          <w:color w:val="231F20"/>
          <w:w w:val="105"/>
        </w:rPr>
        <w:t>del</w:t>
      </w:r>
      <w:r>
        <w:rPr>
          <w:color w:val="231F20"/>
          <w:spacing w:val="-10"/>
          <w:w w:val="105"/>
        </w:rPr>
        <w:t> </w:t>
      </w:r>
      <w:r>
        <w:rPr>
          <w:color w:val="231F20"/>
          <w:w w:val="105"/>
        </w:rPr>
        <w:t>país</w:t>
      </w:r>
      <w:r>
        <w:rPr>
          <w:color w:val="231F20"/>
          <w:spacing w:val="-11"/>
          <w:w w:val="105"/>
        </w:rPr>
        <w:t> </w:t>
      </w:r>
      <w:r>
        <w:rPr>
          <w:color w:val="231F20"/>
          <w:w w:val="105"/>
        </w:rPr>
        <w:t>comparten</w:t>
      </w:r>
      <w:r>
        <w:rPr>
          <w:color w:val="231F20"/>
          <w:spacing w:val="-10"/>
          <w:w w:val="105"/>
        </w:rPr>
        <w:t> </w:t>
      </w:r>
      <w:r>
        <w:rPr>
          <w:color w:val="231F20"/>
          <w:w w:val="105"/>
        </w:rPr>
        <w:t>es</w:t>
      </w:r>
      <w:r>
        <w:rPr>
          <w:color w:val="231F20"/>
          <w:spacing w:val="-11"/>
          <w:w w:val="105"/>
        </w:rPr>
        <w:t> </w:t>
      </w:r>
      <w:r>
        <w:rPr>
          <w:color w:val="231F20"/>
          <w:w w:val="105"/>
        </w:rPr>
        <w:t>la</w:t>
      </w:r>
      <w:r>
        <w:rPr>
          <w:color w:val="231F20"/>
          <w:spacing w:val="-10"/>
          <w:w w:val="105"/>
        </w:rPr>
        <w:t> </w:t>
      </w:r>
      <w:r>
        <w:rPr>
          <w:color w:val="231F20"/>
          <w:w w:val="105"/>
        </w:rPr>
        <w:t>dependencia</w:t>
      </w:r>
      <w:r>
        <w:rPr>
          <w:color w:val="231F20"/>
          <w:spacing w:val="-10"/>
          <w:w w:val="105"/>
        </w:rPr>
        <w:t> </w:t>
      </w:r>
      <w:r>
        <w:rPr>
          <w:color w:val="231F20"/>
          <w:w w:val="105"/>
        </w:rPr>
        <w:t>finan- ciera</w:t>
      </w:r>
      <w:r>
        <w:rPr>
          <w:color w:val="231F20"/>
          <w:spacing w:val="-12"/>
          <w:w w:val="105"/>
        </w:rPr>
        <w:t> </w:t>
      </w:r>
      <w:r>
        <w:rPr>
          <w:color w:val="231F20"/>
          <w:w w:val="105"/>
        </w:rPr>
        <w:t>con</w:t>
      </w:r>
      <w:r>
        <w:rPr>
          <w:color w:val="231F20"/>
          <w:spacing w:val="-12"/>
          <w:w w:val="105"/>
        </w:rPr>
        <w:t> </w:t>
      </w:r>
      <w:r>
        <w:rPr>
          <w:color w:val="231F20"/>
          <w:w w:val="105"/>
        </w:rPr>
        <w:t>respecto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ingresos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Federación</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Entidad,</w:t>
      </w:r>
      <w:r>
        <w:rPr>
          <w:color w:val="231F20"/>
          <w:spacing w:val="-12"/>
          <w:w w:val="105"/>
        </w:rPr>
        <w:t> </w:t>
      </w:r>
      <w:r>
        <w:rPr>
          <w:color w:val="231F20"/>
          <w:w w:val="105"/>
        </w:rPr>
        <w:t>que</w:t>
      </w:r>
      <w:r>
        <w:rPr>
          <w:color w:val="231F20"/>
          <w:spacing w:val="-12"/>
          <w:w w:val="105"/>
        </w:rPr>
        <w:t> </w:t>
      </w:r>
      <w:r>
        <w:rPr>
          <w:color w:val="231F20"/>
          <w:w w:val="105"/>
        </w:rPr>
        <w:t>ha</w:t>
      </w:r>
      <w:r>
        <w:rPr>
          <w:color w:val="231F20"/>
          <w:spacing w:val="-12"/>
          <w:w w:val="105"/>
        </w:rPr>
        <w:t> </w:t>
      </w:r>
      <w:r>
        <w:rPr>
          <w:color w:val="231F20"/>
          <w:w w:val="105"/>
        </w:rPr>
        <w:t>puesto</w:t>
      </w:r>
      <w:r>
        <w:rPr>
          <w:color w:val="231F20"/>
          <w:spacing w:val="-12"/>
          <w:w w:val="105"/>
        </w:rPr>
        <w:t> </w:t>
      </w:r>
      <w:r>
        <w:rPr>
          <w:color w:val="231F20"/>
          <w:w w:val="105"/>
        </w:rPr>
        <w:t>en</w:t>
      </w:r>
      <w:r>
        <w:rPr>
          <w:color w:val="231F20"/>
          <w:spacing w:val="-12"/>
          <w:w w:val="105"/>
        </w:rPr>
        <w:t> </w:t>
      </w:r>
      <w:r>
        <w:rPr>
          <w:color w:val="231F20"/>
          <w:w w:val="105"/>
        </w:rPr>
        <w:t>evi- dencia</w:t>
      </w:r>
      <w:r>
        <w:rPr>
          <w:color w:val="231F20"/>
          <w:spacing w:val="-20"/>
          <w:w w:val="105"/>
        </w:rPr>
        <w:t> </w:t>
      </w:r>
      <w:r>
        <w:rPr>
          <w:color w:val="231F20"/>
          <w:w w:val="105"/>
        </w:rPr>
        <w:t>el</w:t>
      </w:r>
      <w:r>
        <w:rPr>
          <w:color w:val="231F20"/>
          <w:spacing w:val="-20"/>
          <w:w w:val="105"/>
        </w:rPr>
        <w:t> </w:t>
      </w:r>
      <w:r>
        <w:rPr>
          <w:color w:val="231F20"/>
          <w:w w:val="105"/>
        </w:rPr>
        <w:t>hecho</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las</w:t>
      </w:r>
      <w:r>
        <w:rPr>
          <w:color w:val="231F20"/>
          <w:spacing w:val="-20"/>
          <w:w w:val="105"/>
        </w:rPr>
        <w:t> </w:t>
      </w:r>
      <w:r>
        <w:rPr>
          <w:color w:val="231F20"/>
          <w:w w:val="105"/>
        </w:rPr>
        <w:t>haciendas</w:t>
      </w:r>
      <w:r>
        <w:rPr>
          <w:color w:val="231F20"/>
          <w:spacing w:val="-20"/>
          <w:w w:val="105"/>
        </w:rPr>
        <w:t> </w:t>
      </w:r>
      <w:r>
        <w:rPr>
          <w:color w:val="231F20"/>
          <w:w w:val="105"/>
        </w:rPr>
        <w:t>locales</w:t>
      </w:r>
      <w:r>
        <w:rPr>
          <w:color w:val="231F20"/>
          <w:spacing w:val="-20"/>
          <w:w w:val="105"/>
        </w:rPr>
        <w:t> </w:t>
      </w:r>
      <w:r>
        <w:rPr>
          <w:color w:val="231F20"/>
          <w:w w:val="105"/>
        </w:rPr>
        <w:t>han</w:t>
      </w:r>
      <w:r>
        <w:rPr>
          <w:color w:val="231F20"/>
          <w:spacing w:val="-20"/>
          <w:w w:val="105"/>
        </w:rPr>
        <w:t> </w:t>
      </w:r>
      <w:r>
        <w:rPr>
          <w:color w:val="231F20"/>
          <w:w w:val="105"/>
        </w:rPr>
        <w:t>desactivado</w:t>
      </w:r>
      <w:r>
        <w:rPr>
          <w:color w:val="231F20"/>
          <w:spacing w:val="-20"/>
          <w:w w:val="105"/>
        </w:rPr>
        <w:t> </w:t>
      </w:r>
      <w:r>
        <w:rPr>
          <w:color w:val="231F20"/>
          <w:w w:val="105"/>
        </w:rPr>
        <w:t>el</w:t>
      </w:r>
      <w:r>
        <w:rPr>
          <w:color w:val="231F20"/>
          <w:spacing w:val="-20"/>
          <w:w w:val="105"/>
        </w:rPr>
        <w:t> </w:t>
      </w:r>
      <w:r>
        <w:rPr>
          <w:color w:val="231F20"/>
          <w:w w:val="105"/>
        </w:rPr>
        <w:t>empeño</w:t>
      </w:r>
      <w:r>
        <w:rPr>
          <w:color w:val="231F20"/>
          <w:spacing w:val="-20"/>
          <w:w w:val="105"/>
        </w:rPr>
        <w:t> </w:t>
      </w:r>
      <w:r>
        <w:rPr>
          <w:color w:val="231F20"/>
          <w:w w:val="105"/>
        </w:rPr>
        <w:t>por</w:t>
      </w:r>
      <w:r>
        <w:rPr>
          <w:color w:val="231F20"/>
          <w:spacing w:val="-20"/>
          <w:w w:val="105"/>
        </w:rPr>
        <w:t> </w:t>
      </w:r>
      <w:r>
        <w:rPr>
          <w:color w:val="231F20"/>
          <w:w w:val="105"/>
        </w:rPr>
        <w:t>incrementar la</w:t>
      </w:r>
      <w:r>
        <w:rPr>
          <w:color w:val="231F20"/>
          <w:spacing w:val="-11"/>
          <w:w w:val="105"/>
        </w:rPr>
        <w:t> </w:t>
      </w:r>
      <w:r>
        <w:rPr>
          <w:color w:val="231F20"/>
          <w:w w:val="105"/>
        </w:rPr>
        <w:t>recaudación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ingresos</w:t>
      </w:r>
      <w:r>
        <w:rPr>
          <w:color w:val="231F20"/>
          <w:spacing w:val="-11"/>
          <w:w w:val="105"/>
        </w:rPr>
        <w:t> </w:t>
      </w:r>
      <w:r>
        <w:rPr>
          <w:color w:val="231F20"/>
          <w:spacing w:val="-3"/>
          <w:w w:val="105"/>
        </w:rPr>
        <w:t>propios</w:t>
      </w:r>
      <w:r>
        <w:rPr>
          <w:color w:val="231F20"/>
          <w:spacing w:val="-11"/>
          <w:w w:val="105"/>
        </w:rPr>
        <w:t> </w:t>
      </w:r>
      <w:r>
        <w:rPr>
          <w:color w:val="231F20"/>
          <w:w w:val="105"/>
        </w:rPr>
        <w:t>Hay</w:t>
      </w:r>
      <w:r>
        <w:rPr>
          <w:color w:val="231F20"/>
          <w:spacing w:val="-11"/>
          <w:w w:val="105"/>
        </w:rPr>
        <w:t> </w:t>
      </w:r>
      <w:r>
        <w:rPr>
          <w:color w:val="231F20"/>
          <w:w w:val="105"/>
        </w:rPr>
        <w:t>que</w:t>
      </w:r>
      <w:r>
        <w:rPr>
          <w:color w:val="231F20"/>
          <w:spacing w:val="-11"/>
          <w:w w:val="105"/>
        </w:rPr>
        <w:t> </w:t>
      </w:r>
      <w:r>
        <w:rPr>
          <w:color w:val="231F20"/>
          <w:w w:val="105"/>
        </w:rPr>
        <w:t>señalar</w:t>
      </w:r>
      <w:r>
        <w:rPr>
          <w:color w:val="231F20"/>
          <w:spacing w:val="-11"/>
          <w:w w:val="105"/>
        </w:rPr>
        <w:t> </w:t>
      </w:r>
      <w:r>
        <w:rPr>
          <w:color w:val="231F20"/>
          <w:w w:val="105"/>
        </w:rPr>
        <w:t>que</w:t>
      </w:r>
      <w:r>
        <w:rPr>
          <w:color w:val="231F20"/>
          <w:spacing w:val="-11"/>
          <w:w w:val="105"/>
        </w:rPr>
        <w:t> </w:t>
      </w:r>
      <w:r>
        <w:rPr>
          <w:color w:val="231F20"/>
          <w:w w:val="105"/>
        </w:rPr>
        <w:t>esta</w:t>
      </w:r>
      <w:r>
        <w:rPr>
          <w:color w:val="231F20"/>
          <w:spacing w:val="-11"/>
          <w:w w:val="105"/>
        </w:rPr>
        <w:t> </w:t>
      </w:r>
      <w:r>
        <w:rPr>
          <w:color w:val="231F20"/>
          <w:w w:val="105"/>
        </w:rPr>
        <w:t>capacidad</w:t>
      </w:r>
      <w:r>
        <w:rPr>
          <w:color w:val="231F20"/>
          <w:spacing w:val="-11"/>
          <w:w w:val="105"/>
        </w:rPr>
        <w:t> </w:t>
      </w:r>
      <w:r>
        <w:rPr>
          <w:color w:val="231F20"/>
          <w:w w:val="105"/>
        </w:rPr>
        <w:t>se</w:t>
      </w:r>
      <w:r>
        <w:rPr>
          <w:color w:val="231F20"/>
          <w:spacing w:val="-11"/>
          <w:w w:val="105"/>
        </w:rPr>
        <w:t> </w:t>
      </w:r>
      <w:r>
        <w:rPr>
          <w:color w:val="231F20"/>
          <w:w w:val="105"/>
        </w:rPr>
        <w:t>encuentra relacionada</w:t>
      </w:r>
      <w:r>
        <w:rPr>
          <w:color w:val="231F20"/>
          <w:spacing w:val="-11"/>
          <w:w w:val="105"/>
        </w:rPr>
        <w:t> </w:t>
      </w:r>
      <w:r>
        <w:rPr>
          <w:color w:val="231F20"/>
          <w:w w:val="105"/>
        </w:rPr>
        <w:t>precisamente</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desarrollo</w:t>
      </w:r>
      <w:r>
        <w:rPr>
          <w:color w:val="231F20"/>
          <w:spacing w:val="-11"/>
          <w:w w:val="105"/>
        </w:rPr>
        <w:t> </w:t>
      </w:r>
      <w:r>
        <w:rPr>
          <w:color w:val="231F20"/>
          <w:w w:val="105"/>
        </w:rPr>
        <w:t>económico</w:t>
      </w:r>
      <w:r>
        <w:rPr>
          <w:color w:val="231F20"/>
          <w:spacing w:val="-11"/>
          <w:w w:val="105"/>
        </w:rPr>
        <w:t> </w:t>
      </w:r>
      <w:r>
        <w:rPr>
          <w:color w:val="231F20"/>
          <w:w w:val="105"/>
        </w:rPr>
        <w:t>del</w:t>
      </w:r>
      <w:r>
        <w:rPr>
          <w:color w:val="231F20"/>
          <w:spacing w:val="-11"/>
          <w:w w:val="105"/>
        </w:rPr>
        <w:t> </w:t>
      </w:r>
      <w:r>
        <w:rPr>
          <w:color w:val="231F20"/>
          <w:w w:val="105"/>
        </w:rPr>
        <w:t>municipio,</w:t>
      </w:r>
      <w:r>
        <w:rPr>
          <w:color w:val="231F20"/>
          <w:spacing w:val="-11"/>
          <w:w w:val="105"/>
        </w:rPr>
        <w:t> </w:t>
      </w:r>
      <w:r>
        <w:rPr>
          <w:color w:val="231F20"/>
          <w:w w:val="105"/>
        </w:rPr>
        <w:t>pues</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puede comparar</w:t>
      </w:r>
      <w:r>
        <w:rPr>
          <w:color w:val="231F20"/>
          <w:spacing w:val="-5"/>
          <w:w w:val="105"/>
        </w:rPr>
        <w:t> </w:t>
      </w:r>
      <w:r>
        <w:rPr>
          <w:color w:val="231F20"/>
          <w:w w:val="105"/>
        </w:rPr>
        <w:t>la</w:t>
      </w:r>
      <w:r>
        <w:rPr>
          <w:color w:val="231F20"/>
          <w:spacing w:val="-5"/>
          <w:w w:val="105"/>
        </w:rPr>
        <w:t> </w:t>
      </w:r>
      <w:r>
        <w:rPr>
          <w:color w:val="231F20"/>
          <w:w w:val="105"/>
        </w:rPr>
        <w:t>recaudación</w:t>
      </w:r>
      <w:r>
        <w:rPr>
          <w:color w:val="231F20"/>
          <w:spacing w:val="-5"/>
          <w:w w:val="105"/>
        </w:rPr>
        <w:t> </w:t>
      </w:r>
      <w:r>
        <w:rPr>
          <w:color w:val="231F20"/>
          <w:w w:val="105"/>
        </w:rPr>
        <w:t>que</w:t>
      </w:r>
      <w:r>
        <w:rPr>
          <w:color w:val="231F20"/>
          <w:spacing w:val="-5"/>
          <w:w w:val="105"/>
        </w:rPr>
        <w:t> </w:t>
      </w:r>
      <w:r>
        <w:rPr>
          <w:color w:val="231F20"/>
          <w:w w:val="105"/>
        </w:rPr>
        <w:t>puede</w:t>
      </w:r>
      <w:r>
        <w:rPr>
          <w:color w:val="231F20"/>
          <w:spacing w:val="-5"/>
          <w:w w:val="105"/>
        </w:rPr>
        <w:t> </w:t>
      </w:r>
      <w:r>
        <w:rPr>
          <w:color w:val="231F20"/>
          <w:w w:val="105"/>
        </w:rPr>
        <w:t>hacer</w:t>
      </w:r>
      <w:r>
        <w:rPr>
          <w:color w:val="231F20"/>
          <w:spacing w:val="-5"/>
          <w:w w:val="105"/>
        </w:rPr>
        <w:t> </w:t>
      </w:r>
      <w:r>
        <w:rPr>
          <w:color w:val="231F20"/>
          <w:w w:val="105"/>
        </w:rPr>
        <w:t>un</w:t>
      </w:r>
      <w:r>
        <w:rPr>
          <w:color w:val="231F20"/>
          <w:spacing w:val="-5"/>
          <w:w w:val="105"/>
        </w:rPr>
        <w:t> </w:t>
      </w:r>
      <w:r>
        <w:rPr>
          <w:color w:val="231F20"/>
          <w:w w:val="105"/>
        </w:rPr>
        <w:t>municipio</w:t>
      </w:r>
      <w:r>
        <w:rPr>
          <w:color w:val="231F20"/>
          <w:spacing w:val="-5"/>
          <w:w w:val="105"/>
        </w:rPr>
        <w:t> </w:t>
      </w:r>
      <w:r>
        <w:rPr>
          <w:color w:val="231F20"/>
          <w:w w:val="105"/>
        </w:rPr>
        <w:t>industrializado</w:t>
      </w:r>
      <w:r>
        <w:rPr>
          <w:color w:val="231F20"/>
          <w:spacing w:val="-5"/>
          <w:w w:val="105"/>
        </w:rPr>
        <w:t> </w:t>
      </w:r>
      <w:r>
        <w:rPr>
          <w:color w:val="231F20"/>
          <w:w w:val="105"/>
        </w:rPr>
        <w:t>con</w:t>
      </w:r>
      <w:r>
        <w:rPr>
          <w:color w:val="231F20"/>
          <w:spacing w:val="-5"/>
          <w:w w:val="105"/>
        </w:rPr>
        <w:t> </w:t>
      </w:r>
      <w:r>
        <w:rPr>
          <w:color w:val="231F20"/>
          <w:w w:val="105"/>
        </w:rPr>
        <w:t>uno</w:t>
      </w:r>
      <w:r>
        <w:rPr>
          <w:color w:val="231F20"/>
          <w:spacing w:val="-5"/>
          <w:w w:val="105"/>
        </w:rPr>
        <w:t> </w:t>
      </w:r>
      <w:r>
        <w:rPr>
          <w:color w:val="231F20"/>
          <w:spacing w:val="2"/>
          <w:w w:val="105"/>
        </w:rPr>
        <w:t>rural.</w:t>
      </w:r>
    </w:p>
    <w:p>
      <w:pPr>
        <w:pStyle w:val="BodyText"/>
        <w:spacing w:before="1"/>
        <w:rPr>
          <w:sz w:val="26"/>
        </w:rPr>
      </w:pPr>
    </w:p>
    <w:p>
      <w:pPr>
        <w:pStyle w:val="Heading5"/>
        <w:ind w:right="102"/>
        <w:jc w:val="center"/>
      </w:pPr>
      <w:r>
        <w:rPr/>
        <w:drawing>
          <wp:anchor distT="0" distB="0" distL="0" distR="0" allowOverlap="1" layoutInCell="1" locked="0" behindDoc="0" simplePos="0" relativeHeight="7096">
            <wp:simplePos x="0" y="0"/>
            <wp:positionH relativeFrom="page">
              <wp:posOffset>769476</wp:posOffset>
            </wp:positionH>
            <wp:positionV relativeFrom="paragraph">
              <wp:posOffset>244502</wp:posOffset>
            </wp:positionV>
            <wp:extent cx="132697" cy="92297"/>
            <wp:effectExtent l="0" t="0" r="0" b="0"/>
            <wp:wrapTopAndBottom/>
            <wp:docPr id="113" name="image188.png" descr=""/>
            <wp:cNvGraphicFramePr>
              <a:graphicFrameLocks noChangeAspect="1"/>
            </wp:cNvGraphicFramePr>
            <a:graphic>
              <a:graphicData uri="http://schemas.openxmlformats.org/drawingml/2006/picture">
                <pic:pic>
                  <pic:nvPicPr>
                    <pic:cNvPr id="114" name="image188.png"/>
                    <pic:cNvPicPr/>
                  </pic:nvPicPr>
                  <pic:blipFill>
                    <a:blip r:embed="rId225" cstate="print"/>
                    <a:stretch>
                      <a:fillRect/>
                    </a:stretch>
                  </pic:blipFill>
                  <pic:spPr>
                    <a:xfrm>
                      <a:off x="0" y="0"/>
                      <a:ext cx="132697" cy="92297"/>
                    </a:xfrm>
                    <a:prstGeom prst="rect">
                      <a:avLst/>
                    </a:prstGeom>
                  </pic:spPr>
                </pic:pic>
              </a:graphicData>
            </a:graphic>
          </wp:anchor>
        </w:drawing>
      </w:r>
      <w:r>
        <w:rPr/>
        <w:pict>
          <v:group style="position:absolute;margin-left:77.553299pt;margin-top:22.187317pt;width:276.75pt;height:189.6pt;mso-position-horizontal-relative:page;mso-position-vertical-relative:paragraph;z-index:-594592" coordorigin="1551,444" coordsize="5535,3792">
            <v:shape style="position:absolute;left:0;top:8794;width:5445;height:3282" coordorigin="0,8794" coordsize="5445,3282" path="m1626,459l7070,459m1626,876l6395,876m1626,1274l2301,1274m1626,1692l2301,1692m1626,2096l2301,2096m1626,2500l2301,2500m1626,2919l2301,2919m1626,3323l1907,3323m1626,3740l1907,3740e" filled="false" stroked="true" strokeweight=".5pt" strokecolor="#231f20">
              <v:path arrowok="t"/>
            </v:shape>
            <v:line style="position:absolute" from="1626,459" to="1626,4220" stroked="true" strokeweight="1.5pt" strokecolor="#231f20"/>
            <v:shape style="position:absolute;left:0;top:8794;width:5510;height:3751" coordorigin="0,8794" coordsize="5510,3751" path="m1561,459l1626,459m1561,876l1626,876m1561,1274l1626,1274m1561,1692l1626,1692m1561,2096l1626,2096m1561,2500l1626,2500m1561,2919l1626,2919m1561,3322l1626,3322m1561,3740l1626,3740m1561,4145l1626,4145m2991,4209l2991,4145m4348,4209l4348,4145m5705,4209l5705,4145m7071,4209l7071,4145e" filled="false" stroked="true" strokeweight="1pt" strokecolor="#231f20">
              <v:path arrowok="t"/>
            </v:shape>
            <v:shape style="position:absolute;left:1070;top:9609;width:966;height:2467" coordorigin="1070,9609" coordsize="966,2467" path="m2696,1274l3661,1274m2696,1692l3661,1692m2696,2096l3661,2096m2696,2500l3661,2500m2696,2919l3661,2919m2696,3323l3267,3323m2696,3740l3267,3740e" filled="false" stroked="true" strokeweight=".5pt" strokecolor="#231f20">
              <v:path arrowok="t"/>
            </v:shape>
            <v:rect style="position:absolute;left:2301;top:976;width:394;height:3169" filled="true" fillcolor="#fad5e5" stroked="false">
              <v:fill type="solid"/>
            </v:rect>
            <v:shape style="position:absolute;left:1907;top:3094;width:1754;height:1051" coordorigin="1907,3094" coordsize="1754,1051" path="m2301,3190l1907,3190,1907,4145,2301,4145,2301,3190m3661,3094l3267,3094,3267,4145,3661,4145,3661,3094e" filled="true" fillcolor="#be1e2d" stroked="false">
              <v:path arrowok="t"/>
              <v:fill type="solid"/>
            </v:shape>
            <v:shape style="position:absolute;left:2429;top:11658;width:584;height:418" coordorigin="2429,11658" coordsize="584,418" path="m4055,3323l4638,3323m4055,3740l4638,3740e" filled="false" stroked="true" strokeweight=".5pt" strokecolor="#231f20">
              <v:path arrowok="t"/>
            </v:shape>
            <v:rect style="position:absolute;left:4639;top:3237;width:394;height:908" filled="true" fillcolor="#be1e2d" stroked="false">
              <v:fill type="solid"/>
            </v:rect>
            <v:shape style="position:absolute;left:3791;top:11658;width:979;height:418" coordorigin="3791,11658" coordsize="979,418" path="m5417,3323l6395,3323m5417,3740l6001,3740e" filled="false" stroked="true" strokeweight=".5pt" strokecolor="#231f20">
              <v:path arrowok="t"/>
            </v:shape>
            <v:rect style="position:absolute;left:6001;top:3363;width:394;height:781" filled="true" fillcolor="#be1e2d" stroked="false">
              <v:fill type="solid"/>
            </v:rect>
            <v:shape style="position:absolute;left:2429;top:9609;width:968;height:1645" coordorigin="2429,9609" coordsize="968,1645" path="m4055,1274l5023,1274m4055,1692l5023,1692m4055,2096l5023,2096m4055,2500l5023,2500m4055,2919l5023,2919e" filled="false" stroked="true" strokeweight=".5pt" strokecolor="#231f20">
              <v:path arrowok="t"/>
            </v:shape>
            <v:rect style="position:absolute;left:3661;top:1072;width:394;height:3072" filled="true" fillcolor="#fad5e5" stroked="false">
              <v:fill type="solid"/>
            </v:rect>
            <v:shape style="position:absolute;left:3791;top:9609;width:979;height:1645" coordorigin="3791,9609" coordsize="979,1645" path="m5417,1274l6395,1274m5417,1692l6395,1692m5417,2096l6395,2096m5417,2500l6395,2500m5417,2919l6395,2919e" filled="false" stroked="true" strokeweight=".5pt" strokecolor="#231f20">
              <v:path arrowok="t"/>
            </v:shape>
            <v:rect style="position:absolute;left:5023;top:931;width:394;height:3214" filled="true" fillcolor="#fad5e5" stroked="false">
              <v:fill type="solid"/>
            </v:rect>
            <v:line style="position:absolute" from="1626,4145" to="7070,4145" stroked="true" strokeweight="1.5pt" strokecolor="#231f20"/>
            <v:shape style="position:absolute;left:2255;top:699;width:345;height:141" type="#_x0000_t75" stroked="false">
              <v:imagedata r:id="rId226" o:title=""/>
            </v:shape>
            <v:shape style="position:absolute;left:2649;top:698;width:97;height:146" coordorigin="2649,698" coordsize="97,146" path="m2716,698l2700,698,2685,700,2673,707,2663,718,2655,733,2652,743,2650,753,2649,765,2649,769,2649,780,2650,794,2652,808,2657,820,2663,829,2673,839,2684,844,2713,844,2725,839,2734,828,2690,828,2682,825,2672,813,2669,805,2669,786,2672,778,2684,768,2687,767,2667,767,2668,755,2670,744,2673,735,2677,727,2683,718,2691,714,2736,714,2727,702,2716,698xm2738,766l2709,766,2716,769,2725,782,2727,789,2727,805,2725,812,2715,825,2708,828,2734,828,2741,819,2746,807,2746,780,2741,768,2738,766xm2713,749l2694,749,2688,751,2682,753,2676,756,2671,761,2667,767,2687,767,2690,766,2738,766,2724,753,2713,749xm2736,714l2709,714,2716,717,2722,726,2724,730,2725,736,2743,736,2743,727,2739,718,2736,714xe" filled="true" fillcolor="#231f20" stroked="false">
              <v:path arrowok="t"/>
              <v:fill type="solid"/>
            </v:shape>
            <v:shape style="position:absolute;left:1860;top:2912;width:493;height:146" type="#_x0000_t75" stroked="false">
              <v:imagedata r:id="rId227" o:title=""/>
            </v:shape>
            <v:shape style="position:absolute;left:3194;top:2821;width:459;height:146" type="#_x0000_t75" stroked="false">
              <v:imagedata r:id="rId228" o:title=""/>
            </v:shape>
            <v:shape style="position:absolute;left:4533;top:2952;width:493;height:146" type="#_x0000_t75" stroked="false">
              <v:imagedata r:id="rId229" o:title=""/>
            </v:shape>
            <v:shape style="position:absolute;left:5865;top:3073;width:479;height:146" type="#_x0000_t75" stroked="false">
              <v:imagedata r:id="rId230" o:title=""/>
            </v:shape>
            <v:shape style="position:absolute;left:3614;top:789;width:489;height:146" type="#_x0000_t75" stroked="false">
              <v:imagedata r:id="rId231" o:title=""/>
            </v:shape>
            <v:shape style="position:absolute;left:4994;top:673;width:490;height:145" type="#_x0000_t75" stroked="false">
              <v:imagedata r:id="rId232" o:title=""/>
            </v:shape>
            <v:shape style="position:absolute;left:6348;top:531;width:177;height:146" type="#_x0000_t75" stroked="false">
              <v:imagedata r:id="rId233" o:title=""/>
            </v:shape>
            <v:shape style="position:absolute;left:6572;top:531;width:268;height:146" type="#_x0000_t75" stroked="false">
              <v:imagedata r:id="rId234" o:title=""/>
            </v:shape>
            <v:shape style="position:absolute;left:0;top:8612;width:4084;height:2452" coordorigin="0,8612" coordsize="4084,2452" path="m2312,1057l6395,875m2312,3139l6395,3326e" filled="false" stroked="true" strokeweight="1pt" strokecolor="#231f20">
              <v:path arrowok="t"/>
            </v:shape>
            <w10:wrap type="none"/>
          </v:group>
        </w:pict>
      </w:r>
      <w:r>
        <w:rPr/>
        <w:drawing>
          <wp:anchor distT="0" distB="0" distL="0" distR="0" allowOverlap="1" layoutInCell="1" locked="0" behindDoc="0" simplePos="0" relativeHeight="7240">
            <wp:simplePos x="0" y="0"/>
            <wp:positionH relativeFrom="page">
              <wp:posOffset>769030</wp:posOffset>
            </wp:positionH>
            <wp:positionV relativeFrom="paragraph">
              <wp:posOffset>503679</wp:posOffset>
            </wp:positionV>
            <wp:extent cx="134312" cy="93345"/>
            <wp:effectExtent l="0" t="0" r="0" b="0"/>
            <wp:wrapNone/>
            <wp:docPr id="115" name="image198.png" descr=""/>
            <wp:cNvGraphicFramePr>
              <a:graphicFrameLocks noChangeAspect="1"/>
            </wp:cNvGraphicFramePr>
            <a:graphic>
              <a:graphicData uri="http://schemas.openxmlformats.org/drawingml/2006/picture">
                <pic:pic>
                  <pic:nvPicPr>
                    <pic:cNvPr id="116" name="image198.png"/>
                    <pic:cNvPicPr/>
                  </pic:nvPicPr>
                  <pic:blipFill>
                    <a:blip r:embed="rId235" cstate="print"/>
                    <a:stretch>
                      <a:fillRect/>
                    </a:stretch>
                  </pic:blipFill>
                  <pic:spPr>
                    <a:xfrm>
                      <a:off x="0" y="0"/>
                      <a:ext cx="134312" cy="93345"/>
                    </a:xfrm>
                    <a:prstGeom prst="rect">
                      <a:avLst/>
                    </a:prstGeom>
                  </pic:spPr>
                </pic:pic>
              </a:graphicData>
            </a:graphic>
          </wp:anchor>
        </w:drawing>
      </w:r>
      <w:r>
        <w:rPr/>
        <w:drawing>
          <wp:anchor distT="0" distB="0" distL="0" distR="0" allowOverlap="1" layoutInCell="1" locked="0" behindDoc="0" simplePos="0" relativeHeight="7264">
            <wp:simplePos x="0" y="0"/>
            <wp:positionH relativeFrom="page">
              <wp:posOffset>769606</wp:posOffset>
            </wp:positionH>
            <wp:positionV relativeFrom="paragraph">
              <wp:posOffset>763219</wp:posOffset>
            </wp:positionV>
            <wp:extent cx="132759" cy="92297"/>
            <wp:effectExtent l="0" t="0" r="0" b="0"/>
            <wp:wrapNone/>
            <wp:docPr id="117" name="image199.png" descr=""/>
            <wp:cNvGraphicFramePr>
              <a:graphicFrameLocks noChangeAspect="1"/>
            </wp:cNvGraphicFramePr>
            <a:graphic>
              <a:graphicData uri="http://schemas.openxmlformats.org/drawingml/2006/picture">
                <pic:pic>
                  <pic:nvPicPr>
                    <pic:cNvPr id="118" name="image199.png"/>
                    <pic:cNvPicPr/>
                  </pic:nvPicPr>
                  <pic:blipFill>
                    <a:blip r:embed="rId236" cstate="print"/>
                    <a:stretch>
                      <a:fillRect/>
                    </a:stretch>
                  </pic:blipFill>
                  <pic:spPr>
                    <a:xfrm>
                      <a:off x="0" y="0"/>
                      <a:ext cx="132759" cy="92297"/>
                    </a:xfrm>
                    <a:prstGeom prst="rect">
                      <a:avLst/>
                    </a:prstGeom>
                  </pic:spPr>
                </pic:pic>
              </a:graphicData>
            </a:graphic>
          </wp:anchor>
        </w:drawing>
      </w:r>
      <w:r>
        <w:rPr/>
        <w:drawing>
          <wp:anchor distT="0" distB="0" distL="0" distR="0" allowOverlap="1" layoutInCell="1" locked="0" behindDoc="0" simplePos="0" relativeHeight="7288">
            <wp:simplePos x="0" y="0"/>
            <wp:positionH relativeFrom="page">
              <wp:posOffset>769786</wp:posOffset>
            </wp:positionH>
            <wp:positionV relativeFrom="paragraph">
              <wp:posOffset>1022143</wp:posOffset>
            </wp:positionV>
            <wp:extent cx="133544" cy="93345"/>
            <wp:effectExtent l="0" t="0" r="0" b="0"/>
            <wp:wrapNone/>
            <wp:docPr id="119" name="image200.png" descr=""/>
            <wp:cNvGraphicFramePr>
              <a:graphicFrameLocks noChangeAspect="1"/>
            </wp:cNvGraphicFramePr>
            <a:graphic>
              <a:graphicData uri="http://schemas.openxmlformats.org/drawingml/2006/picture">
                <pic:pic>
                  <pic:nvPicPr>
                    <pic:cNvPr id="120" name="image200.png"/>
                    <pic:cNvPicPr/>
                  </pic:nvPicPr>
                  <pic:blipFill>
                    <a:blip r:embed="rId237" cstate="print"/>
                    <a:stretch>
                      <a:fillRect/>
                    </a:stretch>
                  </pic:blipFill>
                  <pic:spPr>
                    <a:xfrm>
                      <a:off x="0" y="0"/>
                      <a:ext cx="133544" cy="93345"/>
                    </a:xfrm>
                    <a:prstGeom prst="rect">
                      <a:avLst/>
                    </a:prstGeom>
                  </pic:spPr>
                </pic:pic>
              </a:graphicData>
            </a:graphic>
          </wp:anchor>
        </w:drawing>
      </w:r>
      <w:r>
        <w:rPr/>
        <w:drawing>
          <wp:anchor distT="0" distB="0" distL="0" distR="0" allowOverlap="1" layoutInCell="1" locked="0" behindDoc="0" simplePos="0" relativeHeight="7312">
            <wp:simplePos x="0" y="0"/>
            <wp:positionH relativeFrom="page">
              <wp:posOffset>769034</wp:posOffset>
            </wp:positionH>
            <wp:positionV relativeFrom="paragraph">
              <wp:posOffset>1281804</wp:posOffset>
            </wp:positionV>
            <wp:extent cx="133331" cy="92297"/>
            <wp:effectExtent l="0" t="0" r="0" b="0"/>
            <wp:wrapNone/>
            <wp:docPr id="121" name="image201.png" descr=""/>
            <wp:cNvGraphicFramePr>
              <a:graphicFrameLocks noChangeAspect="1"/>
            </wp:cNvGraphicFramePr>
            <a:graphic>
              <a:graphicData uri="http://schemas.openxmlformats.org/drawingml/2006/picture">
                <pic:pic>
                  <pic:nvPicPr>
                    <pic:cNvPr id="122" name="image201.png"/>
                    <pic:cNvPicPr/>
                  </pic:nvPicPr>
                  <pic:blipFill>
                    <a:blip r:embed="rId238" cstate="print"/>
                    <a:stretch>
                      <a:fillRect/>
                    </a:stretch>
                  </pic:blipFill>
                  <pic:spPr>
                    <a:xfrm>
                      <a:off x="0" y="0"/>
                      <a:ext cx="133331" cy="92297"/>
                    </a:xfrm>
                    <a:prstGeom prst="rect">
                      <a:avLst/>
                    </a:prstGeom>
                  </pic:spPr>
                </pic:pic>
              </a:graphicData>
            </a:graphic>
          </wp:anchor>
        </w:drawing>
      </w:r>
      <w:r>
        <w:rPr/>
        <w:drawing>
          <wp:anchor distT="0" distB="0" distL="0" distR="0" allowOverlap="1" layoutInCell="1" locked="0" behindDoc="0" simplePos="0" relativeHeight="7336">
            <wp:simplePos x="0" y="0"/>
            <wp:positionH relativeFrom="page">
              <wp:posOffset>768162</wp:posOffset>
            </wp:positionH>
            <wp:positionV relativeFrom="paragraph">
              <wp:posOffset>1540846</wp:posOffset>
            </wp:positionV>
            <wp:extent cx="133835" cy="92297"/>
            <wp:effectExtent l="0" t="0" r="0" b="0"/>
            <wp:wrapNone/>
            <wp:docPr id="123" name="image202.png" descr=""/>
            <wp:cNvGraphicFramePr>
              <a:graphicFrameLocks noChangeAspect="1"/>
            </wp:cNvGraphicFramePr>
            <a:graphic>
              <a:graphicData uri="http://schemas.openxmlformats.org/drawingml/2006/picture">
                <pic:pic>
                  <pic:nvPicPr>
                    <pic:cNvPr id="124" name="image202.png"/>
                    <pic:cNvPicPr/>
                  </pic:nvPicPr>
                  <pic:blipFill>
                    <a:blip r:embed="rId239" cstate="print"/>
                    <a:stretch>
                      <a:fillRect/>
                    </a:stretch>
                  </pic:blipFill>
                  <pic:spPr>
                    <a:xfrm>
                      <a:off x="0" y="0"/>
                      <a:ext cx="133835" cy="92297"/>
                    </a:xfrm>
                    <a:prstGeom prst="rect">
                      <a:avLst/>
                    </a:prstGeom>
                  </pic:spPr>
                </pic:pic>
              </a:graphicData>
            </a:graphic>
          </wp:anchor>
        </w:drawing>
      </w:r>
      <w:r>
        <w:rPr/>
        <w:pict>
          <v:group style="position:absolute;margin-left:370.028992pt;margin-top:112.940521pt;width:40.35pt;height:8.9pt;mso-position-horizontal-relative:page;mso-position-vertical-relative:paragraph;z-index:7456" coordorigin="7401,2259" coordsize="807,178">
            <v:rect style="position:absolute;left:7401;top:2260;width:136;height:136" filled="true" fillcolor="#be1e2d" stroked="false">
              <v:fill type="solid"/>
            </v:rect>
            <v:shape style="position:absolute;left:7598;top:2259;width:609;height:177" type="#_x0000_t75" stroked="false">
              <v:imagedata r:id="rId240" o:title=""/>
            </v:shape>
            <w10:wrap type="none"/>
          </v:group>
        </w:pict>
      </w:r>
      <w:r>
        <w:rPr>
          <w:color w:val="231F20"/>
          <w:w w:val="105"/>
        </w:rPr>
        <w:t>Gráfico 6. Ingresos del municipio (2005-2008)</w:t>
      </w:r>
    </w:p>
    <w:p>
      <w:pPr>
        <w:pStyle w:val="BodyText"/>
        <w:spacing w:before="7"/>
        <w:rPr>
          <w:b/>
          <w:sz w:val="24"/>
        </w:rPr>
      </w:pPr>
    </w:p>
    <w:tbl>
      <w:tblPr>
        <w:tblW w:w="0" w:type="auto"/>
        <w:jc w:val="left"/>
        <w:tblInd w:w="56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4"/>
        <w:gridCol w:w="281"/>
      </w:tblGrid>
      <w:tr>
        <w:trPr>
          <w:trHeight w:val="426" w:hRule="exact"/>
        </w:trPr>
        <w:tc>
          <w:tcPr>
            <w:tcW w:w="394" w:type="dxa"/>
            <w:vMerge w:val="restart"/>
            <w:shd w:val="clear" w:color="auto" w:fill="FAD5E5"/>
          </w:tcPr>
          <w:p>
            <w:pPr/>
          </w:p>
        </w:tc>
        <w:tc>
          <w:tcPr>
            <w:tcW w:w="281" w:type="dxa"/>
            <w:tcBorders>
              <w:top w:val="single" w:sz="4" w:space="0" w:color="231F20"/>
              <w:bottom w:val="single" w:sz="4" w:space="0" w:color="231F20"/>
            </w:tcBorders>
          </w:tcPr>
          <w:p>
            <w:pPr/>
          </w:p>
        </w:tc>
      </w:tr>
      <w:tr>
        <w:trPr>
          <w:trHeight w:val="418" w:hRule="exact"/>
        </w:trPr>
        <w:tc>
          <w:tcPr>
            <w:tcW w:w="394" w:type="dxa"/>
            <w:vMerge/>
            <w:shd w:val="clear" w:color="auto" w:fill="FAD5E5"/>
          </w:tcPr>
          <w:p>
            <w:pPr/>
          </w:p>
        </w:tc>
        <w:tc>
          <w:tcPr>
            <w:tcW w:w="281" w:type="dxa"/>
            <w:tcBorders>
              <w:top w:val="single" w:sz="4" w:space="0" w:color="231F20"/>
              <w:bottom w:val="single" w:sz="4" w:space="0" w:color="231F20"/>
            </w:tcBorders>
          </w:tcPr>
          <w:p>
            <w:pPr/>
          </w:p>
        </w:tc>
      </w:tr>
      <w:tr>
        <w:trPr>
          <w:trHeight w:val="404" w:hRule="exact"/>
        </w:trPr>
        <w:tc>
          <w:tcPr>
            <w:tcW w:w="394" w:type="dxa"/>
            <w:vMerge/>
            <w:shd w:val="clear" w:color="auto" w:fill="FAD5E5"/>
          </w:tcPr>
          <w:p>
            <w:pPr/>
          </w:p>
        </w:tc>
        <w:tc>
          <w:tcPr>
            <w:tcW w:w="281" w:type="dxa"/>
            <w:tcBorders>
              <w:top w:val="single" w:sz="4" w:space="0" w:color="231F20"/>
              <w:bottom w:val="single" w:sz="4" w:space="0" w:color="231F20"/>
            </w:tcBorders>
          </w:tcPr>
          <w:p>
            <w:pPr/>
          </w:p>
        </w:tc>
      </w:tr>
      <w:tr>
        <w:trPr>
          <w:trHeight w:val="404" w:hRule="exact"/>
        </w:trPr>
        <w:tc>
          <w:tcPr>
            <w:tcW w:w="394" w:type="dxa"/>
            <w:vMerge/>
            <w:shd w:val="clear" w:color="auto" w:fill="FAD5E5"/>
          </w:tcPr>
          <w:p>
            <w:pPr/>
          </w:p>
        </w:tc>
        <w:tc>
          <w:tcPr>
            <w:tcW w:w="281" w:type="dxa"/>
            <w:tcBorders>
              <w:top w:val="single" w:sz="4" w:space="0" w:color="231F20"/>
              <w:bottom w:val="single" w:sz="4" w:space="0" w:color="231F20"/>
            </w:tcBorders>
          </w:tcPr>
          <w:p>
            <w:pPr/>
          </w:p>
        </w:tc>
      </w:tr>
      <w:tr>
        <w:trPr>
          <w:trHeight w:val="419" w:hRule="exact"/>
        </w:trPr>
        <w:tc>
          <w:tcPr>
            <w:tcW w:w="394" w:type="dxa"/>
            <w:vMerge/>
            <w:shd w:val="clear" w:color="auto" w:fill="FAD5E5"/>
          </w:tcPr>
          <w:p>
            <w:pPr/>
          </w:p>
        </w:tc>
        <w:tc>
          <w:tcPr>
            <w:tcW w:w="281" w:type="dxa"/>
            <w:tcBorders>
              <w:top w:val="single" w:sz="4" w:space="0" w:color="231F20"/>
              <w:bottom w:val="single" w:sz="4" w:space="0" w:color="231F20"/>
            </w:tcBorders>
          </w:tcPr>
          <w:p>
            <w:pPr/>
          </w:p>
        </w:tc>
      </w:tr>
      <w:tr>
        <w:trPr>
          <w:trHeight w:val="403" w:hRule="exact"/>
        </w:trPr>
        <w:tc>
          <w:tcPr>
            <w:tcW w:w="394" w:type="dxa"/>
            <w:vMerge/>
            <w:shd w:val="clear" w:color="auto" w:fill="FAD5E5"/>
          </w:tcPr>
          <w:p>
            <w:pPr/>
          </w:p>
        </w:tc>
        <w:tc>
          <w:tcPr>
            <w:tcW w:w="281" w:type="dxa"/>
            <w:tcBorders>
              <w:top w:val="single" w:sz="4" w:space="0" w:color="231F20"/>
              <w:bottom w:val="single" w:sz="4" w:space="0" w:color="231F20"/>
            </w:tcBorders>
          </w:tcPr>
          <w:p>
            <w:pPr/>
          </w:p>
        </w:tc>
      </w:tr>
      <w:tr>
        <w:trPr>
          <w:trHeight w:val="418" w:hRule="exact"/>
        </w:trPr>
        <w:tc>
          <w:tcPr>
            <w:tcW w:w="394" w:type="dxa"/>
            <w:vMerge/>
            <w:shd w:val="clear" w:color="auto" w:fill="FAD5E5"/>
          </w:tcPr>
          <w:p>
            <w:pPr/>
          </w:p>
        </w:tc>
        <w:tc>
          <w:tcPr>
            <w:tcW w:w="281" w:type="dxa"/>
            <w:tcBorders>
              <w:top w:val="single" w:sz="4" w:space="0" w:color="231F20"/>
              <w:bottom w:val="single" w:sz="4" w:space="0" w:color="231F20"/>
            </w:tcBorders>
          </w:tcPr>
          <w:p>
            <w:pPr/>
          </w:p>
        </w:tc>
      </w:tr>
      <w:tr>
        <w:trPr>
          <w:trHeight w:val="404" w:hRule="exact"/>
        </w:trPr>
        <w:tc>
          <w:tcPr>
            <w:tcW w:w="394" w:type="dxa"/>
            <w:vMerge/>
            <w:shd w:val="clear" w:color="auto" w:fill="FAD5E5"/>
          </w:tcPr>
          <w:p>
            <w:pPr/>
          </w:p>
        </w:tc>
        <w:tc>
          <w:tcPr>
            <w:tcW w:w="281" w:type="dxa"/>
            <w:tcBorders>
              <w:top w:val="single" w:sz="4" w:space="0" w:color="231F20"/>
            </w:tcBorders>
          </w:tcPr>
          <w:p>
            <w:pPr/>
          </w:p>
        </w:tc>
      </w:tr>
    </w:tbl>
    <w:p>
      <w:pPr>
        <w:pStyle w:val="BodyText"/>
        <w:spacing w:before="3"/>
        <w:rPr>
          <w:b/>
          <w:sz w:val="19"/>
        </w:rPr>
      </w:pPr>
      <w:r>
        <w:rPr/>
        <w:drawing>
          <wp:anchor distT="0" distB="0" distL="0" distR="0" allowOverlap="1" layoutInCell="1" locked="0" behindDoc="0" simplePos="0" relativeHeight="7120">
            <wp:simplePos x="0" y="0"/>
            <wp:positionH relativeFrom="page">
              <wp:posOffset>1328575</wp:posOffset>
            </wp:positionH>
            <wp:positionV relativeFrom="paragraph">
              <wp:posOffset>165780</wp:posOffset>
            </wp:positionV>
            <wp:extent cx="275433" cy="92297"/>
            <wp:effectExtent l="0" t="0" r="0" b="0"/>
            <wp:wrapTopAndBottom/>
            <wp:docPr id="125" name="image204.png" descr=""/>
            <wp:cNvGraphicFramePr>
              <a:graphicFrameLocks noChangeAspect="1"/>
            </wp:cNvGraphicFramePr>
            <a:graphic>
              <a:graphicData uri="http://schemas.openxmlformats.org/drawingml/2006/picture">
                <pic:pic>
                  <pic:nvPicPr>
                    <pic:cNvPr id="126" name="image204.png"/>
                    <pic:cNvPicPr/>
                  </pic:nvPicPr>
                  <pic:blipFill>
                    <a:blip r:embed="rId241" cstate="print"/>
                    <a:stretch>
                      <a:fillRect/>
                    </a:stretch>
                  </pic:blipFill>
                  <pic:spPr>
                    <a:xfrm>
                      <a:off x="0" y="0"/>
                      <a:ext cx="275433" cy="92297"/>
                    </a:xfrm>
                    <a:prstGeom prst="rect">
                      <a:avLst/>
                    </a:prstGeom>
                  </pic:spPr>
                </pic:pic>
              </a:graphicData>
            </a:graphic>
          </wp:anchor>
        </w:drawing>
      </w:r>
      <w:r>
        <w:rPr/>
        <w:drawing>
          <wp:anchor distT="0" distB="0" distL="0" distR="0" allowOverlap="1" layoutInCell="1" locked="0" behindDoc="0" simplePos="0" relativeHeight="7144">
            <wp:simplePos x="0" y="0"/>
            <wp:positionH relativeFrom="page">
              <wp:posOffset>2199286</wp:posOffset>
            </wp:positionH>
            <wp:positionV relativeFrom="paragraph">
              <wp:posOffset>165719</wp:posOffset>
            </wp:positionV>
            <wp:extent cx="275687" cy="92297"/>
            <wp:effectExtent l="0" t="0" r="0" b="0"/>
            <wp:wrapTopAndBottom/>
            <wp:docPr id="127" name="image205.png" descr=""/>
            <wp:cNvGraphicFramePr>
              <a:graphicFrameLocks noChangeAspect="1"/>
            </wp:cNvGraphicFramePr>
            <a:graphic>
              <a:graphicData uri="http://schemas.openxmlformats.org/drawingml/2006/picture">
                <pic:pic>
                  <pic:nvPicPr>
                    <pic:cNvPr id="128" name="image205.png"/>
                    <pic:cNvPicPr/>
                  </pic:nvPicPr>
                  <pic:blipFill>
                    <a:blip r:embed="rId242" cstate="print"/>
                    <a:stretch>
                      <a:fillRect/>
                    </a:stretch>
                  </pic:blipFill>
                  <pic:spPr>
                    <a:xfrm>
                      <a:off x="0" y="0"/>
                      <a:ext cx="275687" cy="92297"/>
                    </a:xfrm>
                    <a:prstGeom prst="rect">
                      <a:avLst/>
                    </a:prstGeom>
                  </pic:spPr>
                </pic:pic>
              </a:graphicData>
            </a:graphic>
          </wp:anchor>
        </w:drawing>
      </w:r>
      <w:r>
        <w:rPr/>
        <w:drawing>
          <wp:anchor distT="0" distB="0" distL="0" distR="0" allowOverlap="1" layoutInCell="1" locked="0" behindDoc="0" simplePos="0" relativeHeight="7168">
            <wp:simplePos x="0" y="0"/>
            <wp:positionH relativeFrom="page">
              <wp:posOffset>3079733</wp:posOffset>
            </wp:positionH>
            <wp:positionV relativeFrom="paragraph">
              <wp:posOffset>165780</wp:posOffset>
            </wp:positionV>
            <wp:extent cx="276616" cy="92297"/>
            <wp:effectExtent l="0" t="0" r="0" b="0"/>
            <wp:wrapTopAndBottom/>
            <wp:docPr id="129" name="image206.png" descr=""/>
            <wp:cNvGraphicFramePr>
              <a:graphicFrameLocks noChangeAspect="1"/>
            </wp:cNvGraphicFramePr>
            <a:graphic>
              <a:graphicData uri="http://schemas.openxmlformats.org/drawingml/2006/picture">
                <pic:pic>
                  <pic:nvPicPr>
                    <pic:cNvPr id="130" name="image206.png"/>
                    <pic:cNvPicPr/>
                  </pic:nvPicPr>
                  <pic:blipFill>
                    <a:blip r:embed="rId243" cstate="print"/>
                    <a:stretch>
                      <a:fillRect/>
                    </a:stretch>
                  </pic:blipFill>
                  <pic:spPr>
                    <a:xfrm>
                      <a:off x="0" y="0"/>
                      <a:ext cx="276616" cy="92297"/>
                    </a:xfrm>
                    <a:prstGeom prst="rect">
                      <a:avLst/>
                    </a:prstGeom>
                  </pic:spPr>
                </pic:pic>
              </a:graphicData>
            </a:graphic>
          </wp:anchor>
        </w:drawing>
      </w:r>
      <w:r>
        <w:rPr/>
        <w:drawing>
          <wp:anchor distT="0" distB="0" distL="0" distR="0" allowOverlap="1" layoutInCell="1" locked="0" behindDoc="0" simplePos="0" relativeHeight="7192">
            <wp:simplePos x="0" y="0"/>
            <wp:positionH relativeFrom="page">
              <wp:posOffset>3938823</wp:posOffset>
            </wp:positionH>
            <wp:positionV relativeFrom="paragraph">
              <wp:posOffset>165780</wp:posOffset>
            </wp:positionV>
            <wp:extent cx="274954" cy="92297"/>
            <wp:effectExtent l="0" t="0" r="0" b="0"/>
            <wp:wrapTopAndBottom/>
            <wp:docPr id="131" name="image207.png" descr=""/>
            <wp:cNvGraphicFramePr>
              <a:graphicFrameLocks noChangeAspect="1"/>
            </wp:cNvGraphicFramePr>
            <a:graphic>
              <a:graphicData uri="http://schemas.openxmlformats.org/drawingml/2006/picture">
                <pic:pic>
                  <pic:nvPicPr>
                    <pic:cNvPr id="132" name="image207.png"/>
                    <pic:cNvPicPr/>
                  </pic:nvPicPr>
                  <pic:blipFill>
                    <a:blip r:embed="rId244" cstate="print"/>
                    <a:stretch>
                      <a:fillRect/>
                    </a:stretch>
                  </pic:blipFill>
                  <pic:spPr>
                    <a:xfrm>
                      <a:off x="0" y="0"/>
                      <a:ext cx="274954" cy="92297"/>
                    </a:xfrm>
                    <a:prstGeom prst="rect">
                      <a:avLst/>
                    </a:prstGeom>
                  </pic:spPr>
                </pic:pic>
              </a:graphicData>
            </a:graphic>
          </wp:anchor>
        </w:drawing>
      </w:r>
    </w:p>
    <w:p>
      <w:pPr>
        <w:pStyle w:val="BodyText"/>
        <w:spacing w:before="8"/>
        <w:rPr>
          <w:b/>
          <w:sz w:val="23"/>
        </w:rPr>
      </w:pPr>
    </w:p>
    <w:p>
      <w:pPr>
        <w:spacing w:before="0"/>
        <w:ind w:left="205" w:right="0" w:firstLine="0"/>
        <w:jc w:val="both"/>
        <w:rPr>
          <w:rFonts w:ascii="Calibri" w:hAnsi="Calibri"/>
          <w:sz w:val="16"/>
        </w:rPr>
      </w:pPr>
      <w:r>
        <w:rPr/>
        <w:drawing>
          <wp:anchor distT="0" distB="0" distL="0" distR="0" allowOverlap="1" layoutInCell="1" locked="0" behindDoc="0" simplePos="0" relativeHeight="7360">
            <wp:simplePos x="0" y="0"/>
            <wp:positionH relativeFrom="page">
              <wp:posOffset>767971</wp:posOffset>
            </wp:positionH>
            <wp:positionV relativeFrom="paragraph">
              <wp:posOffset>-1281211</wp:posOffset>
            </wp:positionV>
            <wp:extent cx="132954" cy="91439"/>
            <wp:effectExtent l="0" t="0" r="0" b="0"/>
            <wp:wrapNone/>
            <wp:docPr id="133" name="image208.png" descr=""/>
            <wp:cNvGraphicFramePr>
              <a:graphicFrameLocks noChangeAspect="1"/>
            </wp:cNvGraphicFramePr>
            <a:graphic>
              <a:graphicData uri="http://schemas.openxmlformats.org/drawingml/2006/picture">
                <pic:pic>
                  <pic:nvPicPr>
                    <pic:cNvPr id="134" name="image208.png"/>
                    <pic:cNvPicPr/>
                  </pic:nvPicPr>
                  <pic:blipFill>
                    <a:blip r:embed="rId245" cstate="print"/>
                    <a:stretch>
                      <a:fillRect/>
                    </a:stretch>
                  </pic:blipFill>
                  <pic:spPr>
                    <a:xfrm>
                      <a:off x="0" y="0"/>
                      <a:ext cx="132954" cy="91439"/>
                    </a:xfrm>
                    <a:prstGeom prst="rect">
                      <a:avLst/>
                    </a:prstGeom>
                  </pic:spPr>
                </pic:pic>
              </a:graphicData>
            </a:graphic>
          </wp:anchor>
        </w:drawing>
      </w:r>
      <w:r>
        <w:rPr/>
        <w:drawing>
          <wp:anchor distT="0" distB="0" distL="0" distR="0" allowOverlap="1" layoutInCell="1" locked="0" behindDoc="0" simplePos="0" relativeHeight="7384">
            <wp:simplePos x="0" y="0"/>
            <wp:positionH relativeFrom="page">
              <wp:posOffset>768917</wp:posOffset>
            </wp:positionH>
            <wp:positionV relativeFrom="paragraph">
              <wp:posOffset>-1022101</wp:posOffset>
            </wp:positionV>
            <wp:extent cx="132990" cy="92297"/>
            <wp:effectExtent l="0" t="0" r="0" b="0"/>
            <wp:wrapNone/>
            <wp:docPr id="135" name="image209.png" descr=""/>
            <wp:cNvGraphicFramePr>
              <a:graphicFrameLocks noChangeAspect="1"/>
            </wp:cNvGraphicFramePr>
            <a:graphic>
              <a:graphicData uri="http://schemas.openxmlformats.org/drawingml/2006/picture">
                <pic:pic>
                  <pic:nvPicPr>
                    <pic:cNvPr id="136" name="image209.png"/>
                    <pic:cNvPicPr/>
                  </pic:nvPicPr>
                  <pic:blipFill>
                    <a:blip r:embed="rId246" cstate="print"/>
                    <a:stretch>
                      <a:fillRect/>
                    </a:stretch>
                  </pic:blipFill>
                  <pic:spPr>
                    <a:xfrm>
                      <a:off x="0" y="0"/>
                      <a:ext cx="132990" cy="92297"/>
                    </a:xfrm>
                    <a:prstGeom prst="rect">
                      <a:avLst/>
                    </a:prstGeom>
                  </pic:spPr>
                </pic:pic>
              </a:graphicData>
            </a:graphic>
          </wp:anchor>
        </w:drawing>
      </w:r>
      <w:r>
        <w:rPr/>
        <w:pict>
          <v:shape style="position:absolute;margin-left:61.195004pt;margin-top:-60.038017pt;width:9.85pt;height:7.3pt;mso-position-horizontal-relative:page;mso-position-vertical-relative:paragraph;z-index:7408" coordorigin="1224,-1201" coordsize="197,146" path="m1276,-1200l1262,-1200,1260,-1189,1256,-1182,1246,-1176,1237,-1174,1224,-1173,1224,-1160,1257,-1160,1257,-1059,1276,-1059,1276,-1200m1421,-1130l1420,-1145,1418,-1157,1415,-1169,1411,-1178,1407,-1185,1404,-1188,1402,-1190,1402,-1127,1401,-1114,1400,-1102,1397,-1091,1393,-1084,1388,-1076,1381,-1072,1360,-1072,1352,-1078,1344,-1101,1342,-1112,1343,-1130,1343,-1139,1343,-1141,1344,-1152,1347,-1162,1350,-1170,1355,-1180,1362,-1185,1384,-1185,1392,-1180,1396,-1169,1398,-1161,1400,-1152,1401,-1141,1401,-1139,1402,-1127,1402,-1190,1395,-1195,1384,-1199,1372,-1201,1358,-1199,1346,-1193,1337,-1183,1330,-1169,1327,-1160,1325,-1150,1324,-1139,1323,-1130,1323,-1127,1324,-1114,1324,-1112,1326,-1099,1329,-1088,1334,-1078,1341,-1068,1349,-1061,1360,-1057,1372,-1056,1385,-1057,1396,-1062,1405,-1071,1406,-1072,1412,-1083,1416,-1093,1419,-1104,1420,-1117,1421,-1130e" filled="true" fillcolor="#231f20" stroked="false">
            <v:path arrowok="t"/>
            <v:fill type="solid"/>
            <w10:wrap type="none"/>
          </v:shape>
        </w:pict>
      </w:r>
      <w:r>
        <w:rPr/>
        <w:pict>
          <v:shape style="position:absolute;margin-left:66.167084pt;margin-top:-39.621410pt;width:4.9pt;height:7.3pt;mso-position-horizontal-relative:page;mso-position-vertical-relative:paragraph;z-index:7432" coordorigin="1323,-792" coordsize="98,146" path="m1372,-792l1358,-790,1346,-784,1337,-774,1330,-760,1327,-751,1325,-741,1324,-731,1323,-722,1323,-718,1324,-706,1324,-704,1326,-691,1329,-679,1334,-669,1341,-660,1349,-653,1360,-649,1372,-647,1385,-649,1396,-654,1405,-662,1406,-663,1360,-663,1352,-670,1344,-692,1342,-704,1343,-722,1343,-731,1343,-733,1344,-743,1347,-753,1350,-762,1355,-772,1362,-776,1407,-776,1404,-780,1395,-787,1384,-791,1372,-792xm1407,-776l1384,-776,1392,-771,1396,-761,1398,-753,1400,-743,1401,-733,1401,-731,1402,-718,1401,-706,1400,-693,1397,-683,1393,-676,1388,-668,1381,-663,1406,-663,1412,-674,1416,-684,1419,-696,1420,-708,1421,-722,1420,-736,1418,-749,1415,-760,1411,-770,1407,-776xe" filled="true" fillcolor="#231f20" stroked="false">
            <v:path arrowok="t"/>
            <v:fill type="solid"/>
            <w10:wrap type="none"/>
          </v:shape>
        </w:pict>
      </w:r>
      <w:r>
        <w:rPr/>
        <w:pict>
          <v:group style="position:absolute;margin-left:370.028992pt;margin-top:-109.667007pt;width:50.65pt;height:7.7pt;mso-position-horizontal-relative:page;mso-position-vertical-relative:paragraph;z-index:7480" coordorigin="7401,-2193" coordsize="1013,154">
            <v:rect style="position:absolute;left:7401;top:-2191;width:136;height:136" filled="true" fillcolor="#fad5e5" stroked="false">
              <v:fill type="solid"/>
            </v:rect>
            <v:shape style="position:absolute;left:7598;top:-2193;width:816;height:154" type="#_x0000_t75" stroked="false">
              <v:imagedata r:id="rId247" o:title=""/>
            </v:shape>
            <w10:wrap type="none"/>
          </v:group>
        </w:pict>
      </w:r>
      <w:r>
        <w:rPr>
          <w:rFonts w:ascii="Calibri" w:hAnsi="Calibri"/>
          <w:color w:val="231F20"/>
          <w:sz w:val="16"/>
        </w:rPr>
        <w:t>Fuente:</w:t>
      </w:r>
      <w:r>
        <w:rPr>
          <w:rFonts w:ascii="Calibri" w:hAnsi="Calibri"/>
          <w:color w:val="231F20"/>
          <w:spacing w:val="-11"/>
          <w:sz w:val="16"/>
        </w:rPr>
        <w:t> </w:t>
      </w:r>
      <w:r>
        <w:rPr>
          <w:rFonts w:ascii="Calibri" w:hAnsi="Calibri"/>
          <w:color w:val="231F20"/>
          <w:sz w:val="16"/>
        </w:rPr>
        <w:t>elaboracion</w:t>
      </w:r>
      <w:r>
        <w:rPr>
          <w:rFonts w:ascii="Calibri" w:hAnsi="Calibri"/>
          <w:color w:val="231F20"/>
          <w:spacing w:val="-11"/>
          <w:sz w:val="16"/>
        </w:rPr>
        <w:t> </w:t>
      </w:r>
      <w:r>
        <w:rPr>
          <w:rFonts w:ascii="Calibri" w:hAnsi="Calibri"/>
          <w:color w:val="231F20"/>
          <w:sz w:val="16"/>
        </w:rPr>
        <w:t>propia</w:t>
      </w:r>
      <w:r>
        <w:rPr>
          <w:rFonts w:ascii="Calibri" w:hAnsi="Calibri"/>
          <w:color w:val="231F20"/>
          <w:spacing w:val="-11"/>
          <w:sz w:val="16"/>
        </w:rPr>
        <w:t> </w:t>
      </w:r>
      <w:r>
        <w:rPr>
          <w:rFonts w:ascii="Calibri" w:hAnsi="Calibri"/>
          <w:color w:val="231F20"/>
          <w:sz w:val="16"/>
        </w:rPr>
        <w:t>con</w:t>
      </w:r>
      <w:r>
        <w:rPr>
          <w:rFonts w:ascii="Calibri" w:hAnsi="Calibri"/>
          <w:color w:val="231F20"/>
          <w:spacing w:val="-11"/>
          <w:sz w:val="16"/>
        </w:rPr>
        <w:t> </w:t>
      </w:r>
      <w:r>
        <w:rPr>
          <w:rFonts w:ascii="Calibri" w:hAnsi="Calibri"/>
          <w:color w:val="231F20"/>
          <w:sz w:val="16"/>
        </w:rPr>
        <w:t>datos</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Tesorería</w:t>
      </w:r>
      <w:r>
        <w:rPr>
          <w:rFonts w:ascii="Calibri" w:hAnsi="Calibri"/>
          <w:color w:val="231F20"/>
          <w:spacing w:val="-11"/>
          <w:sz w:val="16"/>
        </w:rPr>
        <w:t> </w:t>
      </w:r>
      <w:r>
        <w:rPr>
          <w:rFonts w:ascii="Calibri" w:hAnsi="Calibri"/>
          <w:color w:val="231F20"/>
          <w:sz w:val="16"/>
        </w:rPr>
        <w:t>Municipal</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Ixtapan</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la</w:t>
      </w:r>
      <w:r>
        <w:rPr>
          <w:rFonts w:ascii="Calibri" w:hAnsi="Calibri"/>
          <w:color w:val="231F20"/>
          <w:spacing w:val="-11"/>
          <w:sz w:val="16"/>
        </w:rPr>
        <w:t> </w:t>
      </w:r>
      <w:r>
        <w:rPr>
          <w:rFonts w:ascii="Calibri" w:hAnsi="Calibri"/>
          <w:color w:val="231F20"/>
          <w:sz w:val="16"/>
        </w:rPr>
        <w:t>Sal,</w:t>
      </w:r>
      <w:r>
        <w:rPr>
          <w:rFonts w:ascii="Calibri" w:hAnsi="Calibri"/>
          <w:color w:val="231F20"/>
          <w:spacing w:val="-11"/>
          <w:sz w:val="16"/>
        </w:rPr>
        <w:t> </w:t>
      </w:r>
      <w:r>
        <w:rPr>
          <w:rFonts w:ascii="Calibri" w:hAnsi="Calibri"/>
          <w:color w:val="231F20"/>
          <w:sz w:val="16"/>
        </w:rPr>
        <w:t>Contraloría</w:t>
      </w:r>
      <w:r>
        <w:rPr>
          <w:rFonts w:ascii="Calibri" w:hAnsi="Calibri"/>
          <w:color w:val="231F20"/>
          <w:spacing w:val="-11"/>
          <w:sz w:val="16"/>
        </w:rPr>
        <w:t> </w:t>
      </w:r>
      <w:r>
        <w:rPr>
          <w:rFonts w:ascii="Calibri" w:hAnsi="Calibri"/>
          <w:color w:val="231F20"/>
          <w:sz w:val="16"/>
        </w:rPr>
        <w:t>del</w:t>
      </w:r>
      <w:r>
        <w:rPr>
          <w:rFonts w:ascii="Calibri" w:hAnsi="Calibri"/>
          <w:color w:val="231F20"/>
          <w:spacing w:val="-11"/>
          <w:sz w:val="16"/>
        </w:rPr>
        <w:t> </w:t>
      </w:r>
      <w:r>
        <w:rPr>
          <w:rFonts w:ascii="Calibri" w:hAnsi="Calibri"/>
          <w:color w:val="231F20"/>
          <w:sz w:val="16"/>
        </w:rPr>
        <w:t>Congreso</w:t>
      </w:r>
      <w:r>
        <w:rPr>
          <w:rFonts w:ascii="Calibri" w:hAnsi="Calibri"/>
          <w:color w:val="231F20"/>
          <w:spacing w:val="-11"/>
          <w:sz w:val="16"/>
        </w:rPr>
        <w:t> </w:t>
      </w:r>
      <w:r>
        <w:rPr>
          <w:rFonts w:ascii="Calibri" w:hAnsi="Calibri"/>
          <w:color w:val="231F20"/>
          <w:sz w:val="16"/>
        </w:rPr>
        <w:t>Local</w:t>
      </w:r>
      <w:r>
        <w:rPr>
          <w:rFonts w:ascii="Calibri" w:hAnsi="Calibri"/>
          <w:color w:val="231F20"/>
          <w:spacing w:val="-11"/>
          <w:sz w:val="16"/>
        </w:rPr>
        <w:t> </w:t>
      </w:r>
      <w:r>
        <w:rPr>
          <w:rFonts w:ascii="Calibri" w:hAnsi="Calibri"/>
          <w:color w:val="231F20"/>
          <w:sz w:val="16"/>
        </w:rPr>
        <w:t>e</w:t>
      </w:r>
      <w:r>
        <w:rPr>
          <w:rFonts w:ascii="Calibri" w:hAnsi="Calibri"/>
          <w:color w:val="231F20"/>
          <w:spacing w:val="-11"/>
          <w:sz w:val="16"/>
        </w:rPr>
        <w:t> </w:t>
      </w:r>
      <w:r>
        <w:rPr>
          <w:rFonts w:ascii="Calibri" w:hAnsi="Calibri"/>
          <w:color w:val="231F20"/>
          <w:sz w:val="16"/>
        </w:rPr>
        <w:t>INAFED.</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En este sentido, a </w:t>
      </w:r>
      <w:r>
        <w:rPr>
          <w:color w:val="231F20"/>
          <w:spacing w:val="3"/>
          <w:w w:val="105"/>
        </w:rPr>
        <w:t>pesar </w:t>
      </w:r>
      <w:r>
        <w:rPr>
          <w:color w:val="231F20"/>
          <w:w w:val="105"/>
        </w:rPr>
        <w:t>de que </w:t>
      </w:r>
      <w:r>
        <w:rPr>
          <w:color w:val="231F20"/>
          <w:spacing w:val="3"/>
          <w:w w:val="105"/>
        </w:rPr>
        <w:t>Ixtapan </w:t>
      </w:r>
      <w:r>
        <w:rPr>
          <w:color w:val="231F20"/>
          <w:w w:val="105"/>
        </w:rPr>
        <w:t>de la </w:t>
      </w:r>
      <w:r>
        <w:rPr>
          <w:color w:val="231F20"/>
          <w:spacing w:val="3"/>
          <w:w w:val="105"/>
        </w:rPr>
        <w:t>Sal </w:t>
      </w:r>
      <w:r>
        <w:rPr>
          <w:color w:val="231F20"/>
          <w:w w:val="105"/>
        </w:rPr>
        <w:t>es </w:t>
      </w:r>
      <w:r>
        <w:rPr>
          <w:color w:val="231F20"/>
          <w:spacing w:val="3"/>
          <w:w w:val="105"/>
        </w:rPr>
        <w:t>una </w:t>
      </w:r>
      <w:r>
        <w:rPr>
          <w:color w:val="231F20"/>
          <w:w w:val="105"/>
        </w:rPr>
        <w:t>zona </w:t>
      </w:r>
      <w:r>
        <w:rPr>
          <w:color w:val="231F20"/>
          <w:spacing w:val="2"/>
          <w:w w:val="105"/>
        </w:rPr>
        <w:t>turísticamente activa </w:t>
      </w:r>
      <w:r>
        <w:rPr>
          <w:color w:val="231F20"/>
          <w:w w:val="105"/>
        </w:rPr>
        <w:t>y que ha traído la inversión de pequeños, </w:t>
      </w:r>
      <w:r>
        <w:rPr>
          <w:color w:val="231F20"/>
          <w:spacing w:val="2"/>
          <w:w w:val="105"/>
        </w:rPr>
        <w:t>medianos </w:t>
      </w:r>
      <w:r>
        <w:rPr>
          <w:color w:val="231F20"/>
          <w:w w:val="105"/>
        </w:rPr>
        <w:t>y </w:t>
      </w:r>
      <w:r>
        <w:rPr>
          <w:color w:val="231F20"/>
          <w:spacing w:val="2"/>
          <w:w w:val="105"/>
        </w:rPr>
        <w:t>grandes </w:t>
      </w:r>
      <w:r>
        <w:rPr>
          <w:color w:val="231F20"/>
          <w:w w:val="105"/>
        </w:rPr>
        <w:t>empresarios, la depen- dencia </w:t>
      </w:r>
      <w:r>
        <w:rPr>
          <w:color w:val="231F20"/>
          <w:spacing w:val="2"/>
          <w:w w:val="105"/>
        </w:rPr>
        <w:t>financiera registra </w:t>
      </w:r>
      <w:r>
        <w:rPr>
          <w:color w:val="231F20"/>
          <w:spacing w:val="3"/>
          <w:w w:val="105"/>
        </w:rPr>
        <w:t>un </w:t>
      </w:r>
      <w:r>
        <w:rPr>
          <w:color w:val="231F20"/>
          <w:w w:val="105"/>
        </w:rPr>
        <w:t>incremento </w:t>
      </w:r>
      <w:r>
        <w:rPr>
          <w:color w:val="231F20"/>
          <w:spacing w:val="2"/>
          <w:w w:val="105"/>
        </w:rPr>
        <w:t>significativo </w:t>
      </w:r>
      <w:r>
        <w:rPr>
          <w:color w:val="231F20"/>
          <w:w w:val="105"/>
        </w:rPr>
        <w:t>de </w:t>
      </w:r>
      <w:r>
        <w:rPr>
          <w:color w:val="231F20"/>
          <w:spacing w:val="3"/>
          <w:w w:val="105"/>
        </w:rPr>
        <w:t>3.88 </w:t>
      </w:r>
      <w:r>
        <w:rPr>
          <w:color w:val="231F20"/>
          <w:w w:val="105"/>
        </w:rPr>
        <w:t>puntos porcentuales   en promedio durante el periodo </w:t>
      </w:r>
      <w:r>
        <w:rPr>
          <w:color w:val="231F20"/>
          <w:spacing w:val="3"/>
          <w:w w:val="105"/>
        </w:rPr>
        <w:t>2005-2008 </w:t>
      </w:r>
      <w:r>
        <w:rPr>
          <w:color w:val="231F20"/>
          <w:spacing w:val="-3"/>
          <w:w w:val="105"/>
        </w:rPr>
        <w:t>(Ver </w:t>
      </w:r>
      <w:r>
        <w:rPr>
          <w:color w:val="231F20"/>
          <w:spacing w:val="2"/>
          <w:w w:val="105"/>
        </w:rPr>
        <w:t>Gráfico </w:t>
      </w:r>
      <w:r>
        <w:rPr>
          <w:color w:val="231F20"/>
          <w:spacing w:val="-2"/>
          <w:w w:val="105"/>
        </w:rPr>
        <w:t>6); </w:t>
      </w:r>
      <w:r>
        <w:rPr>
          <w:color w:val="231F20"/>
          <w:w w:val="105"/>
        </w:rPr>
        <w:t>en relación </w:t>
      </w:r>
      <w:r>
        <w:rPr>
          <w:color w:val="231F20"/>
          <w:spacing w:val="3"/>
          <w:w w:val="105"/>
        </w:rPr>
        <w:t>al </w:t>
      </w:r>
      <w:r>
        <w:rPr>
          <w:color w:val="231F20"/>
          <w:spacing w:val="2"/>
          <w:w w:val="105"/>
        </w:rPr>
        <w:t>último </w:t>
      </w:r>
      <w:r>
        <w:rPr>
          <w:color w:val="231F20"/>
          <w:w w:val="105"/>
        </w:rPr>
        <w:t>año ejercido</w:t>
      </w:r>
      <w:r>
        <w:rPr>
          <w:color w:val="231F20"/>
          <w:spacing w:val="-6"/>
          <w:w w:val="105"/>
        </w:rPr>
        <w:t> </w:t>
      </w:r>
      <w:r>
        <w:rPr>
          <w:color w:val="231F20"/>
          <w:w w:val="105"/>
        </w:rPr>
        <w:t>(2008),</w:t>
      </w:r>
      <w:r>
        <w:rPr>
          <w:color w:val="231F20"/>
          <w:spacing w:val="-6"/>
          <w:w w:val="105"/>
        </w:rPr>
        <w:t> </w:t>
      </w:r>
      <w:r>
        <w:rPr>
          <w:color w:val="231F20"/>
          <w:w w:val="105"/>
        </w:rPr>
        <w:t>el</w:t>
      </w:r>
      <w:r>
        <w:rPr>
          <w:color w:val="231F20"/>
          <w:spacing w:val="-6"/>
          <w:w w:val="105"/>
        </w:rPr>
        <w:t> </w:t>
      </w:r>
      <w:r>
        <w:rPr>
          <w:color w:val="231F20"/>
          <w:w w:val="105"/>
        </w:rPr>
        <w:t>aumento</w:t>
      </w:r>
      <w:r>
        <w:rPr>
          <w:color w:val="231F20"/>
          <w:spacing w:val="-6"/>
          <w:w w:val="105"/>
        </w:rPr>
        <w:t> </w:t>
      </w:r>
      <w:r>
        <w:rPr>
          <w:color w:val="231F20"/>
          <w:spacing w:val="2"/>
          <w:w w:val="105"/>
        </w:rPr>
        <w:t>fue</w:t>
      </w:r>
      <w:r>
        <w:rPr>
          <w:color w:val="231F20"/>
          <w:spacing w:val="-6"/>
          <w:w w:val="105"/>
        </w:rPr>
        <w:t> </w:t>
      </w:r>
      <w:r>
        <w:rPr>
          <w:color w:val="231F20"/>
          <w:w w:val="105"/>
        </w:rPr>
        <w:t>de</w:t>
      </w:r>
      <w:r>
        <w:rPr>
          <w:color w:val="231F20"/>
          <w:spacing w:val="-6"/>
          <w:w w:val="105"/>
        </w:rPr>
        <w:t> </w:t>
      </w:r>
      <w:r>
        <w:rPr>
          <w:color w:val="231F20"/>
          <w:w w:val="105"/>
        </w:rPr>
        <w:t>3.11%.</w:t>
      </w:r>
      <w:r>
        <w:rPr>
          <w:color w:val="231F20"/>
          <w:spacing w:val="-6"/>
          <w:w w:val="105"/>
        </w:rPr>
        <w:t> </w:t>
      </w:r>
      <w:r>
        <w:rPr>
          <w:color w:val="231F20"/>
          <w:w w:val="105"/>
        </w:rPr>
        <w:t>La</w:t>
      </w:r>
      <w:r>
        <w:rPr>
          <w:color w:val="231F20"/>
          <w:spacing w:val="-6"/>
          <w:w w:val="105"/>
        </w:rPr>
        <w:t> </w:t>
      </w:r>
      <w:r>
        <w:rPr>
          <w:color w:val="231F20"/>
          <w:w w:val="105"/>
        </w:rPr>
        <w:t>tendencia</w:t>
      </w:r>
      <w:r>
        <w:rPr>
          <w:color w:val="231F20"/>
          <w:spacing w:val="-6"/>
          <w:w w:val="105"/>
        </w:rPr>
        <w:t> </w:t>
      </w:r>
      <w:r>
        <w:rPr>
          <w:color w:val="231F20"/>
          <w:w w:val="105"/>
        </w:rPr>
        <w:t>ha</w:t>
      </w:r>
      <w:r>
        <w:rPr>
          <w:color w:val="231F20"/>
          <w:spacing w:val="-6"/>
          <w:w w:val="105"/>
        </w:rPr>
        <w:t> </w:t>
      </w:r>
      <w:r>
        <w:rPr>
          <w:color w:val="231F20"/>
          <w:w w:val="105"/>
        </w:rPr>
        <w:t>sido</w:t>
      </w:r>
      <w:r>
        <w:rPr>
          <w:color w:val="231F20"/>
          <w:spacing w:val="-6"/>
          <w:w w:val="105"/>
        </w:rPr>
        <w:t> </w:t>
      </w:r>
      <w:r>
        <w:rPr>
          <w:color w:val="231F20"/>
          <w:spacing w:val="4"/>
          <w:w w:val="105"/>
        </w:rPr>
        <w:t>similar</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spacing w:val="2"/>
          <w:w w:val="105"/>
        </w:rPr>
        <w:t>disminu- </w:t>
      </w:r>
      <w:r>
        <w:rPr>
          <w:color w:val="231F20"/>
          <w:w w:val="105"/>
        </w:rPr>
        <w:t>ción de </w:t>
      </w:r>
      <w:r>
        <w:rPr>
          <w:color w:val="231F20"/>
          <w:spacing w:val="2"/>
          <w:w w:val="105"/>
        </w:rPr>
        <w:t>recursos</w:t>
      </w:r>
      <w:r>
        <w:rPr>
          <w:color w:val="231F20"/>
          <w:spacing w:val="3"/>
          <w:w w:val="105"/>
        </w:rPr>
        <w:t> </w:t>
      </w:r>
      <w:r>
        <w:rPr>
          <w:color w:val="231F20"/>
          <w:w w:val="105"/>
        </w:rPr>
        <w:t>propios.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En lo </w:t>
      </w:r>
      <w:r>
        <w:rPr>
          <w:color w:val="231F20"/>
          <w:spacing w:val="-3"/>
          <w:w w:val="105"/>
        </w:rPr>
        <w:t>referente </w:t>
      </w:r>
      <w:r>
        <w:rPr>
          <w:color w:val="231F20"/>
          <w:w w:val="105"/>
        </w:rPr>
        <w:t>a ingresos propios, recuérdese que Ixtapan de la Sal se caracteriza por ser un municipio con fuerte derrama económica debido </w:t>
      </w:r>
      <w:r>
        <w:rPr>
          <w:color w:val="231F20"/>
          <w:spacing w:val="2"/>
          <w:w w:val="105"/>
        </w:rPr>
        <w:t>al </w:t>
      </w:r>
      <w:r>
        <w:rPr>
          <w:color w:val="231F20"/>
          <w:w w:val="105"/>
        </w:rPr>
        <w:t>turismo como principal ac- tividad</w:t>
      </w:r>
      <w:r>
        <w:rPr>
          <w:color w:val="231F20"/>
          <w:spacing w:val="-15"/>
          <w:w w:val="105"/>
        </w:rPr>
        <w:t> </w:t>
      </w:r>
      <w:r>
        <w:rPr>
          <w:color w:val="231F20"/>
          <w:w w:val="105"/>
        </w:rPr>
        <w:t>económica,</w:t>
      </w:r>
      <w:r>
        <w:rPr>
          <w:color w:val="231F20"/>
          <w:spacing w:val="-15"/>
          <w:w w:val="105"/>
        </w:rPr>
        <w:t> </w:t>
      </w:r>
      <w:r>
        <w:rPr>
          <w:color w:val="231F20"/>
          <w:w w:val="105"/>
        </w:rPr>
        <w:t>y</w:t>
      </w:r>
      <w:r>
        <w:rPr>
          <w:color w:val="231F20"/>
          <w:spacing w:val="-15"/>
          <w:w w:val="105"/>
        </w:rPr>
        <w:t> </w:t>
      </w:r>
      <w:r>
        <w:rPr>
          <w:color w:val="231F20"/>
          <w:w w:val="105"/>
        </w:rPr>
        <w:t>que</w:t>
      </w:r>
      <w:r>
        <w:rPr>
          <w:color w:val="231F20"/>
          <w:spacing w:val="-15"/>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tanto</w:t>
      </w:r>
      <w:r>
        <w:rPr>
          <w:color w:val="231F20"/>
          <w:spacing w:val="-15"/>
          <w:w w:val="105"/>
        </w:rPr>
        <w:t> </w:t>
      </w:r>
      <w:r>
        <w:rPr>
          <w:color w:val="231F20"/>
          <w:w w:val="105"/>
        </w:rPr>
        <w:t>se</w:t>
      </w:r>
      <w:r>
        <w:rPr>
          <w:color w:val="231F20"/>
          <w:spacing w:val="-15"/>
          <w:w w:val="105"/>
        </w:rPr>
        <w:t> </w:t>
      </w:r>
      <w:r>
        <w:rPr>
          <w:color w:val="231F20"/>
          <w:w w:val="105"/>
        </w:rPr>
        <w:t>expresa</w:t>
      </w:r>
      <w:r>
        <w:rPr>
          <w:color w:val="231F20"/>
          <w:spacing w:val="-15"/>
          <w:w w:val="105"/>
        </w:rPr>
        <w:t> </w:t>
      </w:r>
      <w:r>
        <w:rPr>
          <w:color w:val="231F20"/>
          <w:w w:val="105"/>
        </w:rPr>
        <w:t>en</w:t>
      </w:r>
      <w:r>
        <w:rPr>
          <w:color w:val="231F20"/>
          <w:spacing w:val="-15"/>
          <w:w w:val="105"/>
        </w:rPr>
        <w:t> </w:t>
      </w:r>
      <w:r>
        <w:rPr>
          <w:color w:val="231F20"/>
          <w:w w:val="105"/>
        </w:rPr>
        <w:t>recaudación</w:t>
      </w:r>
      <w:r>
        <w:rPr>
          <w:color w:val="231F20"/>
          <w:spacing w:val="-15"/>
          <w:w w:val="105"/>
        </w:rPr>
        <w:t> </w:t>
      </w:r>
      <w:r>
        <w:rPr>
          <w:color w:val="231F20"/>
          <w:w w:val="105"/>
        </w:rPr>
        <w:t>de</w:t>
      </w:r>
      <w:r>
        <w:rPr>
          <w:color w:val="231F20"/>
          <w:spacing w:val="-15"/>
          <w:w w:val="105"/>
        </w:rPr>
        <w:t> </w:t>
      </w:r>
      <w:r>
        <w:rPr>
          <w:color w:val="231F20"/>
          <w:w w:val="105"/>
        </w:rPr>
        <w:t>impuestos</w:t>
      </w:r>
      <w:r>
        <w:rPr>
          <w:color w:val="231F20"/>
          <w:spacing w:val="-15"/>
          <w:w w:val="105"/>
        </w:rPr>
        <w:t> </w:t>
      </w:r>
      <w:r>
        <w:rPr>
          <w:color w:val="231F20"/>
          <w:w w:val="105"/>
        </w:rPr>
        <w:t>en</w:t>
      </w:r>
      <w:r>
        <w:rPr>
          <w:color w:val="231F20"/>
          <w:spacing w:val="-15"/>
          <w:w w:val="105"/>
        </w:rPr>
        <w:t> </w:t>
      </w:r>
      <w:r>
        <w:rPr>
          <w:color w:val="231F20"/>
          <w:w w:val="105"/>
        </w:rPr>
        <w:t>mayor número. </w:t>
      </w:r>
      <w:r>
        <w:rPr>
          <w:color w:val="231F20"/>
          <w:spacing w:val="-3"/>
          <w:w w:val="105"/>
        </w:rPr>
        <w:t>Pero </w:t>
      </w:r>
      <w:r>
        <w:rPr>
          <w:color w:val="231F20"/>
          <w:w w:val="105"/>
        </w:rPr>
        <w:t>como se advierte, la dependencia financiera ha aumentado año tras año, disminuyendo</w:t>
      </w:r>
      <w:r>
        <w:rPr>
          <w:color w:val="231F20"/>
          <w:spacing w:val="-10"/>
          <w:w w:val="105"/>
        </w:rPr>
        <w:t> </w:t>
      </w:r>
      <w:r>
        <w:rPr>
          <w:color w:val="231F20"/>
          <w:w w:val="105"/>
        </w:rPr>
        <w:t>la</w:t>
      </w:r>
      <w:r>
        <w:rPr>
          <w:color w:val="231F20"/>
          <w:spacing w:val="-10"/>
          <w:w w:val="105"/>
        </w:rPr>
        <w:t> </w:t>
      </w:r>
      <w:r>
        <w:rPr>
          <w:color w:val="231F20"/>
          <w:w w:val="105"/>
        </w:rPr>
        <w:t>capacidad</w:t>
      </w:r>
      <w:r>
        <w:rPr>
          <w:color w:val="231F20"/>
          <w:spacing w:val="-10"/>
          <w:w w:val="105"/>
        </w:rPr>
        <w:t> </w:t>
      </w:r>
      <w:r>
        <w:rPr>
          <w:color w:val="231F20"/>
          <w:w w:val="105"/>
        </w:rPr>
        <w:t>de</w:t>
      </w:r>
      <w:r>
        <w:rPr>
          <w:color w:val="231F20"/>
          <w:spacing w:val="-10"/>
          <w:w w:val="105"/>
        </w:rPr>
        <w:t> </w:t>
      </w:r>
      <w:r>
        <w:rPr>
          <w:color w:val="231F20"/>
          <w:w w:val="105"/>
        </w:rPr>
        <w:t>mantener</w:t>
      </w:r>
      <w:r>
        <w:rPr>
          <w:color w:val="231F20"/>
          <w:spacing w:val="-10"/>
          <w:w w:val="105"/>
        </w:rPr>
        <w:t> </w:t>
      </w:r>
      <w:r>
        <w:rPr>
          <w:color w:val="231F20"/>
          <w:w w:val="105"/>
        </w:rPr>
        <w:t>la</w:t>
      </w:r>
      <w:r>
        <w:rPr>
          <w:color w:val="231F20"/>
          <w:spacing w:val="-10"/>
          <w:w w:val="105"/>
        </w:rPr>
        <w:t> </w:t>
      </w:r>
      <w:r>
        <w:rPr>
          <w:color w:val="231F20"/>
          <w:w w:val="105"/>
        </w:rPr>
        <w:t>tasa</w:t>
      </w:r>
      <w:r>
        <w:rPr>
          <w:color w:val="231F20"/>
          <w:spacing w:val="-10"/>
          <w:w w:val="105"/>
        </w:rPr>
        <w:t> </w:t>
      </w:r>
      <w:r>
        <w:rPr>
          <w:color w:val="231F20"/>
          <w:w w:val="105"/>
        </w:rPr>
        <w:t>de</w:t>
      </w:r>
      <w:r>
        <w:rPr>
          <w:color w:val="231F20"/>
          <w:spacing w:val="-10"/>
          <w:w w:val="105"/>
        </w:rPr>
        <w:t> </w:t>
      </w:r>
      <w:r>
        <w:rPr>
          <w:color w:val="231F20"/>
          <w:w w:val="105"/>
        </w:rPr>
        <w:t>recaudación</w:t>
      </w:r>
      <w:r>
        <w:rPr>
          <w:color w:val="231F20"/>
          <w:spacing w:val="-10"/>
          <w:w w:val="105"/>
        </w:rPr>
        <w:t> </w:t>
      </w:r>
      <w:r>
        <w:rPr>
          <w:color w:val="231F20"/>
          <w:w w:val="105"/>
        </w:rPr>
        <w:t>constante.</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último</w:t>
      </w:r>
      <w:r>
        <w:rPr>
          <w:color w:val="231F20"/>
          <w:spacing w:val="-14"/>
          <w:w w:val="105"/>
        </w:rPr>
        <w:t> </w:t>
      </w:r>
      <w:r>
        <w:rPr>
          <w:color w:val="231F20"/>
          <w:w w:val="105"/>
        </w:rPr>
        <w:t>año</w:t>
      </w:r>
      <w:r>
        <w:rPr>
          <w:color w:val="231F20"/>
          <w:spacing w:val="-14"/>
          <w:w w:val="105"/>
        </w:rPr>
        <w:t> </w:t>
      </w:r>
      <w:r>
        <w:rPr>
          <w:color w:val="231F20"/>
          <w:spacing w:val="2"/>
          <w:w w:val="105"/>
        </w:rPr>
        <w:t>fiscal</w:t>
      </w:r>
      <w:r>
        <w:rPr>
          <w:color w:val="231F20"/>
          <w:spacing w:val="-14"/>
          <w:w w:val="105"/>
        </w:rPr>
        <w:t> </w:t>
      </w:r>
      <w:r>
        <w:rPr>
          <w:color w:val="231F20"/>
          <w:w w:val="105"/>
        </w:rPr>
        <w:t>analizado</w:t>
      </w:r>
      <w:r>
        <w:rPr>
          <w:color w:val="231F20"/>
          <w:spacing w:val="-14"/>
          <w:w w:val="105"/>
        </w:rPr>
        <w:t> </w:t>
      </w:r>
      <w:r>
        <w:rPr>
          <w:color w:val="231F20"/>
          <w:w w:val="105"/>
        </w:rPr>
        <w:t>(2008)</w:t>
      </w:r>
      <w:r>
        <w:rPr>
          <w:color w:val="231F20"/>
          <w:spacing w:val="-14"/>
          <w:w w:val="105"/>
        </w:rPr>
        <w:t> </w:t>
      </w:r>
      <w:r>
        <w:rPr>
          <w:color w:val="231F20"/>
          <w:w w:val="105"/>
        </w:rPr>
        <w:t>la</w:t>
      </w:r>
      <w:r>
        <w:rPr>
          <w:color w:val="231F20"/>
          <w:spacing w:val="-14"/>
          <w:w w:val="105"/>
        </w:rPr>
        <w:t> </w:t>
      </w:r>
      <w:r>
        <w:rPr>
          <w:color w:val="231F20"/>
          <w:w w:val="105"/>
        </w:rPr>
        <w:t>tesorería</w:t>
      </w:r>
      <w:r>
        <w:rPr>
          <w:color w:val="231F20"/>
          <w:spacing w:val="-14"/>
          <w:w w:val="105"/>
        </w:rPr>
        <w:t> </w:t>
      </w:r>
      <w:r>
        <w:rPr>
          <w:color w:val="231F20"/>
          <w:w w:val="105"/>
        </w:rPr>
        <w:t>municipal</w:t>
      </w:r>
      <w:r>
        <w:rPr>
          <w:color w:val="231F20"/>
          <w:spacing w:val="-14"/>
          <w:w w:val="105"/>
        </w:rPr>
        <w:t> </w:t>
      </w:r>
      <w:r>
        <w:rPr>
          <w:color w:val="231F20"/>
          <w:w w:val="105"/>
        </w:rPr>
        <w:t>recibió</w:t>
      </w:r>
      <w:r>
        <w:rPr>
          <w:color w:val="231F20"/>
          <w:spacing w:val="-14"/>
          <w:w w:val="105"/>
        </w:rPr>
        <w:t> </w:t>
      </w:r>
      <w:r>
        <w:rPr>
          <w:color w:val="231F20"/>
          <w:w w:val="105"/>
        </w:rPr>
        <w:t>recursos</w:t>
      </w:r>
      <w:r>
        <w:rPr>
          <w:color w:val="231F20"/>
          <w:spacing w:val="-14"/>
          <w:w w:val="105"/>
        </w:rPr>
        <w:t> </w:t>
      </w:r>
      <w:r>
        <w:rPr>
          <w:color w:val="231F20"/>
          <w:w w:val="105"/>
        </w:rPr>
        <w:t>por</w:t>
      </w:r>
      <w:r>
        <w:rPr>
          <w:color w:val="231F20"/>
          <w:spacing w:val="-14"/>
          <w:w w:val="105"/>
        </w:rPr>
        <w:t> </w:t>
      </w:r>
      <w:r>
        <w:rPr>
          <w:color w:val="231F20"/>
          <w:spacing w:val="-3"/>
          <w:w w:val="105"/>
        </w:rPr>
        <w:t>cer- </w:t>
      </w:r>
      <w:r>
        <w:rPr>
          <w:color w:val="231F20"/>
          <w:w w:val="105"/>
        </w:rPr>
        <w:t>ca de once millones de pesos </w:t>
      </w:r>
      <w:r>
        <w:rPr>
          <w:color w:val="231F20"/>
          <w:spacing w:val="-5"/>
          <w:w w:val="105"/>
        </w:rPr>
        <w:t>(Ver </w:t>
      </w:r>
      <w:r>
        <w:rPr>
          <w:color w:val="231F20"/>
          <w:w w:val="105"/>
        </w:rPr>
        <w:t>Cuadro </w:t>
      </w:r>
      <w:r>
        <w:rPr>
          <w:color w:val="231F20"/>
          <w:spacing w:val="-5"/>
          <w:w w:val="105"/>
        </w:rPr>
        <w:t>8), </w:t>
      </w:r>
      <w:r>
        <w:rPr>
          <w:color w:val="231F20"/>
          <w:w w:val="105"/>
        </w:rPr>
        <w:t>de los cuales el 52.55% correspondió </w:t>
      </w:r>
      <w:r>
        <w:rPr>
          <w:color w:val="231F20"/>
          <w:spacing w:val="2"/>
          <w:w w:val="105"/>
        </w:rPr>
        <w:t>al </w:t>
      </w:r>
      <w:r>
        <w:rPr>
          <w:color w:val="231F20"/>
          <w:w w:val="105"/>
        </w:rPr>
        <w:t>impuesto</w:t>
      </w:r>
      <w:r>
        <w:rPr>
          <w:color w:val="231F20"/>
          <w:spacing w:val="-16"/>
          <w:w w:val="105"/>
        </w:rPr>
        <w:t> </w:t>
      </w:r>
      <w:r>
        <w:rPr>
          <w:color w:val="231F20"/>
          <w:w w:val="105"/>
        </w:rPr>
        <w:t>predial,</w:t>
      </w:r>
      <w:r>
        <w:rPr>
          <w:color w:val="231F20"/>
          <w:spacing w:val="-16"/>
          <w:w w:val="105"/>
        </w:rPr>
        <w:t> </w:t>
      </w:r>
      <w:r>
        <w:rPr>
          <w:color w:val="231F20"/>
          <w:w w:val="105"/>
        </w:rPr>
        <w:t>seguido</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gravamen</w:t>
      </w:r>
      <w:r>
        <w:rPr>
          <w:color w:val="231F20"/>
          <w:spacing w:val="-16"/>
          <w:w w:val="105"/>
        </w:rPr>
        <w:t> </w:t>
      </w:r>
      <w:r>
        <w:rPr>
          <w:color w:val="231F20"/>
          <w:w w:val="105"/>
        </w:rPr>
        <w:t>sobre</w:t>
      </w:r>
      <w:r>
        <w:rPr>
          <w:color w:val="231F20"/>
          <w:spacing w:val="-16"/>
          <w:w w:val="105"/>
        </w:rPr>
        <w:t> </w:t>
      </w:r>
      <w:r>
        <w:rPr>
          <w:color w:val="231F20"/>
          <w:w w:val="105"/>
        </w:rPr>
        <w:t>el</w:t>
      </w:r>
      <w:r>
        <w:rPr>
          <w:color w:val="231F20"/>
          <w:spacing w:val="-16"/>
          <w:w w:val="105"/>
        </w:rPr>
        <w:t> </w:t>
      </w:r>
      <w:r>
        <w:rPr>
          <w:color w:val="231F20"/>
          <w:w w:val="105"/>
        </w:rPr>
        <w:t>hospedaje</w:t>
      </w:r>
      <w:r>
        <w:rPr>
          <w:color w:val="231F20"/>
          <w:spacing w:val="-16"/>
          <w:w w:val="105"/>
        </w:rPr>
        <w:t> </w:t>
      </w:r>
      <w:r>
        <w:rPr>
          <w:color w:val="231F20"/>
          <w:spacing w:val="-7"/>
          <w:w w:val="105"/>
        </w:rPr>
        <w:t>(18.71%)</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adquisición de</w:t>
      </w:r>
      <w:r>
        <w:rPr>
          <w:color w:val="231F20"/>
          <w:spacing w:val="-29"/>
          <w:w w:val="105"/>
        </w:rPr>
        <w:t> </w:t>
      </w:r>
      <w:r>
        <w:rPr>
          <w:color w:val="231F20"/>
          <w:w w:val="105"/>
        </w:rPr>
        <w:t>inmuebles</w:t>
      </w:r>
      <w:r>
        <w:rPr>
          <w:color w:val="231F20"/>
          <w:spacing w:val="-29"/>
          <w:w w:val="105"/>
        </w:rPr>
        <w:t> </w:t>
      </w:r>
      <w:r>
        <w:rPr>
          <w:color w:val="231F20"/>
          <w:w w:val="105"/>
        </w:rPr>
        <w:t>y</w:t>
      </w:r>
      <w:r>
        <w:rPr>
          <w:color w:val="231F20"/>
          <w:spacing w:val="-29"/>
          <w:w w:val="105"/>
        </w:rPr>
        <w:t> </w:t>
      </w:r>
      <w:r>
        <w:rPr>
          <w:color w:val="231F20"/>
          <w:w w:val="105"/>
        </w:rPr>
        <w:t>otras</w:t>
      </w:r>
      <w:r>
        <w:rPr>
          <w:color w:val="231F20"/>
          <w:spacing w:val="-29"/>
          <w:w w:val="105"/>
        </w:rPr>
        <w:t> </w:t>
      </w:r>
      <w:r>
        <w:rPr>
          <w:color w:val="231F20"/>
          <w:w w:val="105"/>
        </w:rPr>
        <w:t>operaciones</w:t>
      </w:r>
      <w:r>
        <w:rPr>
          <w:color w:val="231F20"/>
          <w:spacing w:val="-29"/>
          <w:w w:val="105"/>
        </w:rPr>
        <w:t> </w:t>
      </w:r>
      <w:r>
        <w:rPr>
          <w:color w:val="231F20"/>
          <w:spacing w:val="-5"/>
          <w:w w:val="105"/>
        </w:rPr>
        <w:t>(15.67%).</w:t>
      </w:r>
    </w:p>
    <w:p>
      <w:pPr>
        <w:pStyle w:val="BodyText"/>
        <w:spacing w:before="1"/>
        <w:rPr>
          <w:sz w:val="26"/>
        </w:rPr>
      </w:pPr>
    </w:p>
    <w:p>
      <w:pPr>
        <w:pStyle w:val="Heading5"/>
        <w:ind w:left="223" w:right="-2"/>
      </w:pPr>
      <w:r>
        <w:rPr>
          <w:color w:val="231F20"/>
          <w:w w:val="105"/>
        </w:rPr>
        <w:t>Cuadro 8. Recaudación de impuestos en el municipio de Ixtapan de la Sal, 2008.</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73"/>
        <w:gridCol w:w="2105"/>
        <w:gridCol w:w="1949"/>
      </w:tblGrid>
      <w:tr>
        <w:trPr>
          <w:trHeight w:val="248" w:hRule="exact"/>
        </w:trPr>
        <w:tc>
          <w:tcPr>
            <w:tcW w:w="3873" w:type="dxa"/>
            <w:shd w:val="clear" w:color="auto" w:fill="FFCD05"/>
          </w:tcPr>
          <w:p>
            <w:pPr>
              <w:pStyle w:val="TableParagraph"/>
              <w:spacing w:line="204" w:lineRule="exact"/>
              <w:ind w:left="405" w:right="405"/>
              <w:jc w:val="center"/>
              <w:rPr>
                <w:b/>
                <w:sz w:val="20"/>
              </w:rPr>
            </w:pPr>
            <w:r>
              <w:rPr>
                <w:b/>
                <w:color w:val="231F20"/>
                <w:w w:val="90"/>
                <w:sz w:val="20"/>
              </w:rPr>
              <w:t>Concepto</w:t>
            </w:r>
          </w:p>
        </w:tc>
        <w:tc>
          <w:tcPr>
            <w:tcW w:w="2105" w:type="dxa"/>
            <w:shd w:val="clear" w:color="auto" w:fill="FFCD05"/>
          </w:tcPr>
          <w:p>
            <w:pPr>
              <w:pStyle w:val="TableParagraph"/>
              <w:spacing w:line="204" w:lineRule="exact"/>
              <w:ind w:left="526" w:right="525"/>
              <w:jc w:val="center"/>
              <w:rPr>
                <w:b/>
                <w:sz w:val="20"/>
              </w:rPr>
            </w:pPr>
            <w:r>
              <w:rPr>
                <w:b/>
                <w:color w:val="231F20"/>
                <w:w w:val="95"/>
                <w:sz w:val="20"/>
              </w:rPr>
              <w:t>Recaudación</w:t>
            </w:r>
          </w:p>
        </w:tc>
        <w:tc>
          <w:tcPr>
            <w:tcW w:w="1949" w:type="dxa"/>
            <w:shd w:val="clear" w:color="auto" w:fill="FFCD05"/>
          </w:tcPr>
          <w:p>
            <w:pPr>
              <w:pStyle w:val="TableParagraph"/>
              <w:spacing w:line="204" w:lineRule="exact"/>
              <w:ind w:left="524" w:right="523"/>
              <w:jc w:val="center"/>
              <w:rPr>
                <w:b/>
                <w:sz w:val="20"/>
              </w:rPr>
            </w:pPr>
            <w:r>
              <w:rPr>
                <w:b/>
                <w:color w:val="231F20"/>
                <w:w w:val="95"/>
                <w:sz w:val="20"/>
              </w:rPr>
              <w:t>Porcentaje</w:t>
            </w:r>
          </w:p>
        </w:tc>
      </w:tr>
      <w:tr>
        <w:trPr>
          <w:trHeight w:val="142" w:hRule="exact"/>
        </w:trPr>
        <w:tc>
          <w:tcPr>
            <w:tcW w:w="3873" w:type="dxa"/>
          </w:tcPr>
          <w:p>
            <w:pPr>
              <w:pStyle w:val="TableParagraph"/>
              <w:spacing w:line="163" w:lineRule="exact"/>
              <w:ind w:left="405" w:right="404"/>
              <w:jc w:val="center"/>
              <w:rPr>
                <w:sz w:val="16"/>
              </w:rPr>
            </w:pPr>
            <w:r>
              <w:rPr>
                <w:color w:val="231F20"/>
                <w:w w:val="75"/>
                <w:sz w:val="16"/>
              </w:rPr>
              <w:t>Urbano actual</w:t>
            </w:r>
          </w:p>
        </w:tc>
        <w:tc>
          <w:tcPr>
            <w:tcW w:w="2105" w:type="dxa"/>
          </w:tcPr>
          <w:p>
            <w:pPr>
              <w:pStyle w:val="TableParagraph"/>
              <w:spacing w:line="163" w:lineRule="exact"/>
              <w:ind w:left="525" w:right="525"/>
              <w:jc w:val="center"/>
              <w:rPr>
                <w:sz w:val="16"/>
              </w:rPr>
            </w:pPr>
            <w:r>
              <w:rPr>
                <w:color w:val="231F20"/>
                <w:w w:val="85"/>
                <w:sz w:val="16"/>
              </w:rPr>
              <w:t>$5’738,542</w:t>
            </w:r>
          </w:p>
        </w:tc>
        <w:tc>
          <w:tcPr>
            <w:tcW w:w="1949" w:type="dxa"/>
          </w:tcPr>
          <w:p>
            <w:pPr>
              <w:pStyle w:val="TableParagraph"/>
              <w:spacing w:line="172" w:lineRule="exact"/>
              <w:ind w:left="523" w:right="523"/>
              <w:jc w:val="center"/>
              <w:rPr>
                <w:sz w:val="16"/>
              </w:rPr>
            </w:pPr>
            <w:r>
              <w:rPr>
                <w:color w:val="231F20"/>
                <w:w w:val="85"/>
                <w:sz w:val="16"/>
              </w:rPr>
              <w:t>52.55</w:t>
            </w:r>
          </w:p>
        </w:tc>
      </w:tr>
      <w:tr>
        <w:trPr>
          <w:trHeight w:val="160" w:hRule="exact"/>
        </w:trPr>
        <w:tc>
          <w:tcPr>
            <w:tcW w:w="3873" w:type="dxa"/>
          </w:tcPr>
          <w:p>
            <w:pPr>
              <w:pStyle w:val="TableParagraph"/>
              <w:spacing w:line="190" w:lineRule="exact"/>
              <w:ind w:left="405" w:right="405"/>
              <w:jc w:val="center"/>
              <w:rPr>
                <w:sz w:val="20"/>
              </w:rPr>
            </w:pPr>
            <w:r>
              <w:rPr>
                <w:color w:val="231F20"/>
                <w:w w:val="75"/>
                <w:sz w:val="20"/>
              </w:rPr>
              <w:t>Urbano rezago</w:t>
            </w:r>
          </w:p>
        </w:tc>
        <w:tc>
          <w:tcPr>
            <w:tcW w:w="2105" w:type="dxa"/>
          </w:tcPr>
          <w:p>
            <w:pPr>
              <w:pStyle w:val="TableParagraph"/>
              <w:spacing w:line="163" w:lineRule="exact"/>
              <w:ind w:left="525" w:right="525"/>
              <w:jc w:val="center"/>
              <w:rPr>
                <w:sz w:val="16"/>
              </w:rPr>
            </w:pPr>
            <w:r>
              <w:rPr>
                <w:color w:val="231F20"/>
                <w:w w:val="85"/>
                <w:sz w:val="16"/>
              </w:rPr>
              <w:t>$1’312,753</w:t>
            </w:r>
          </w:p>
        </w:tc>
        <w:tc>
          <w:tcPr>
            <w:tcW w:w="1949" w:type="dxa"/>
          </w:tcPr>
          <w:p>
            <w:pPr>
              <w:pStyle w:val="TableParagraph"/>
              <w:spacing w:line="190" w:lineRule="exact"/>
              <w:ind w:left="523" w:right="523"/>
              <w:jc w:val="center"/>
              <w:rPr>
                <w:sz w:val="16"/>
              </w:rPr>
            </w:pPr>
            <w:r>
              <w:rPr>
                <w:color w:val="231F20"/>
                <w:w w:val="85"/>
                <w:sz w:val="16"/>
              </w:rPr>
              <w:t>12.02</w:t>
            </w:r>
          </w:p>
        </w:tc>
      </w:tr>
      <w:tr>
        <w:trPr>
          <w:trHeight w:val="160" w:hRule="exact"/>
        </w:trPr>
        <w:tc>
          <w:tcPr>
            <w:tcW w:w="3873" w:type="dxa"/>
          </w:tcPr>
          <w:p>
            <w:pPr>
              <w:pStyle w:val="TableParagraph"/>
              <w:spacing w:line="190" w:lineRule="exact"/>
              <w:ind w:left="405" w:right="405"/>
              <w:jc w:val="center"/>
              <w:rPr>
                <w:sz w:val="20"/>
              </w:rPr>
            </w:pPr>
            <w:r>
              <w:rPr>
                <w:color w:val="231F20"/>
                <w:w w:val="75"/>
                <w:sz w:val="20"/>
              </w:rPr>
              <w:t>Adquisición de inmuebles y otras operaciones</w:t>
            </w:r>
          </w:p>
        </w:tc>
        <w:tc>
          <w:tcPr>
            <w:tcW w:w="2105" w:type="dxa"/>
          </w:tcPr>
          <w:p>
            <w:pPr>
              <w:pStyle w:val="TableParagraph"/>
              <w:spacing w:line="163" w:lineRule="exact"/>
              <w:ind w:left="525" w:right="525"/>
              <w:jc w:val="center"/>
              <w:rPr>
                <w:sz w:val="16"/>
              </w:rPr>
            </w:pPr>
            <w:r>
              <w:rPr>
                <w:color w:val="231F20"/>
                <w:w w:val="85"/>
                <w:sz w:val="16"/>
              </w:rPr>
              <w:t>$1’711,450</w:t>
            </w:r>
          </w:p>
        </w:tc>
        <w:tc>
          <w:tcPr>
            <w:tcW w:w="1949" w:type="dxa"/>
          </w:tcPr>
          <w:p>
            <w:pPr>
              <w:pStyle w:val="TableParagraph"/>
              <w:spacing w:line="190" w:lineRule="exact"/>
              <w:ind w:left="523" w:right="523"/>
              <w:jc w:val="center"/>
              <w:rPr>
                <w:sz w:val="16"/>
              </w:rPr>
            </w:pPr>
            <w:r>
              <w:rPr>
                <w:color w:val="231F20"/>
                <w:w w:val="85"/>
                <w:sz w:val="16"/>
              </w:rPr>
              <w:t>15.67</w:t>
            </w:r>
          </w:p>
        </w:tc>
      </w:tr>
      <w:tr>
        <w:trPr>
          <w:trHeight w:val="160" w:hRule="exact"/>
        </w:trPr>
        <w:tc>
          <w:tcPr>
            <w:tcW w:w="3873" w:type="dxa"/>
          </w:tcPr>
          <w:p>
            <w:pPr>
              <w:pStyle w:val="TableParagraph"/>
              <w:spacing w:line="190" w:lineRule="exact"/>
              <w:ind w:left="405" w:right="404"/>
              <w:jc w:val="center"/>
              <w:rPr>
                <w:sz w:val="20"/>
              </w:rPr>
            </w:pPr>
            <w:r>
              <w:rPr>
                <w:color w:val="231F20"/>
                <w:w w:val="75"/>
                <w:sz w:val="20"/>
              </w:rPr>
              <w:t>Sobre anuncios publicitarios</w:t>
            </w:r>
          </w:p>
        </w:tc>
        <w:tc>
          <w:tcPr>
            <w:tcW w:w="2105" w:type="dxa"/>
          </w:tcPr>
          <w:p>
            <w:pPr>
              <w:pStyle w:val="TableParagraph"/>
              <w:spacing w:line="163" w:lineRule="exact"/>
              <w:ind w:left="525" w:right="525"/>
              <w:jc w:val="center"/>
              <w:rPr>
                <w:sz w:val="16"/>
              </w:rPr>
            </w:pPr>
            <w:r>
              <w:rPr>
                <w:color w:val="231F20"/>
                <w:w w:val="85"/>
                <w:sz w:val="16"/>
              </w:rPr>
              <w:t>$102,089</w:t>
            </w:r>
          </w:p>
        </w:tc>
        <w:tc>
          <w:tcPr>
            <w:tcW w:w="1949" w:type="dxa"/>
          </w:tcPr>
          <w:p>
            <w:pPr>
              <w:pStyle w:val="TableParagraph"/>
              <w:spacing w:line="190" w:lineRule="exact"/>
              <w:ind w:left="523" w:right="523"/>
              <w:jc w:val="center"/>
              <w:rPr>
                <w:sz w:val="16"/>
              </w:rPr>
            </w:pPr>
            <w:r>
              <w:rPr>
                <w:color w:val="231F20"/>
                <w:w w:val="85"/>
                <w:sz w:val="16"/>
              </w:rPr>
              <w:t>0.93</w:t>
            </w:r>
          </w:p>
        </w:tc>
      </w:tr>
      <w:tr>
        <w:trPr>
          <w:trHeight w:val="160" w:hRule="exact"/>
        </w:trPr>
        <w:tc>
          <w:tcPr>
            <w:tcW w:w="3873" w:type="dxa"/>
          </w:tcPr>
          <w:p>
            <w:pPr>
              <w:pStyle w:val="TableParagraph"/>
              <w:spacing w:line="190" w:lineRule="exact"/>
              <w:ind w:left="405" w:right="405"/>
              <w:jc w:val="center"/>
              <w:rPr>
                <w:sz w:val="20"/>
              </w:rPr>
            </w:pPr>
            <w:r>
              <w:rPr>
                <w:color w:val="231F20"/>
                <w:w w:val="75"/>
                <w:sz w:val="20"/>
              </w:rPr>
              <w:t>Sobre diversiones, juegos y espectáculos públicos</w:t>
            </w:r>
          </w:p>
        </w:tc>
        <w:tc>
          <w:tcPr>
            <w:tcW w:w="2105" w:type="dxa"/>
          </w:tcPr>
          <w:p>
            <w:pPr>
              <w:pStyle w:val="TableParagraph"/>
              <w:spacing w:line="163" w:lineRule="exact"/>
              <w:ind w:left="525" w:right="525"/>
              <w:jc w:val="center"/>
              <w:rPr>
                <w:sz w:val="16"/>
              </w:rPr>
            </w:pPr>
            <w:r>
              <w:rPr>
                <w:color w:val="231F20"/>
                <w:w w:val="85"/>
                <w:sz w:val="16"/>
              </w:rPr>
              <w:t>$11,410</w:t>
            </w:r>
          </w:p>
        </w:tc>
        <w:tc>
          <w:tcPr>
            <w:tcW w:w="1949" w:type="dxa"/>
          </w:tcPr>
          <w:p>
            <w:pPr>
              <w:pStyle w:val="TableParagraph"/>
              <w:spacing w:line="190" w:lineRule="exact"/>
              <w:ind w:left="523" w:right="523"/>
              <w:jc w:val="center"/>
              <w:rPr>
                <w:sz w:val="16"/>
              </w:rPr>
            </w:pPr>
            <w:r>
              <w:rPr>
                <w:color w:val="231F20"/>
                <w:w w:val="85"/>
                <w:sz w:val="16"/>
              </w:rPr>
              <w:t>0.10</w:t>
            </w:r>
          </w:p>
        </w:tc>
      </w:tr>
      <w:tr>
        <w:trPr>
          <w:trHeight w:val="160" w:hRule="exact"/>
        </w:trPr>
        <w:tc>
          <w:tcPr>
            <w:tcW w:w="3873" w:type="dxa"/>
          </w:tcPr>
          <w:p>
            <w:pPr>
              <w:pStyle w:val="TableParagraph"/>
              <w:spacing w:line="190" w:lineRule="exact"/>
              <w:ind w:left="405" w:right="405"/>
              <w:jc w:val="center"/>
              <w:rPr>
                <w:sz w:val="20"/>
              </w:rPr>
            </w:pPr>
            <w:r>
              <w:rPr>
                <w:color w:val="231F20"/>
                <w:w w:val="75"/>
                <w:sz w:val="20"/>
              </w:rPr>
              <w:t>Sobre la prestación de servicios de hospedaje.</w:t>
            </w:r>
          </w:p>
        </w:tc>
        <w:tc>
          <w:tcPr>
            <w:tcW w:w="2105" w:type="dxa"/>
          </w:tcPr>
          <w:p>
            <w:pPr>
              <w:pStyle w:val="TableParagraph"/>
              <w:spacing w:line="163" w:lineRule="exact"/>
              <w:ind w:left="525" w:right="525"/>
              <w:jc w:val="center"/>
              <w:rPr>
                <w:sz w:val="16"/>
              </w:rPr>
            </w:pPr>
            <w:r>
              <w:rPr>
                <w:color w:val="231F20"/>
                <w:w w:val="85"/>
                <w:sz w:val="16"/>
              </w:rPr>
              <w:t>$2’043,314</w:t>
            </w:r>
          </w:p>
        </w:tc>
        <w:tc>
          <w:tcPr>
            <w:tcW w:w="1949" w:type="dxa"/>
          </w:tcPr>
          <w:p>
            <w:pPr>
              <w:pStyle w:val="TableParagraph"/>
              <w:spacing w:line="190" w:lineRule="exact"/>
              <w:ind w:left="523" w:right="523"/>
              <w:jc w:val="center"/>
              <w:rPr>
                <w:sz w:val="16"/>
              </w:rPr>
            </w:pPr>
            <w:r>
              <w:rPr>
                <w:color w:val="231F20"/>
                <w:w w:val="85"/>
                <w:sz w:val="16"/>
              </w:rPr>
              <w:t>18.71</w:t>
            </w:r>
          </w:p>
        </w:tc>
      </w:tr>
      <w:tr>
        <w:trPr>
          <w:trHeight w:val="160" w:hRule="exact"/>
        </w:trPr>
        <w:tc>
          <w:tcPr>
            <w:tcW w:w="3873" w:type="dxa"/>
          </w:tcPr>
          <w:p>
            <w:pPr>
              <w:pStyle w:val="TableParagraph"/>
              <w:spacing w:line="190" w:lineRule="exact"/>
              <w:ind w:left="405" w:right="405"/>
              <w:jc w:val="center"/>
              <w:rPr>
                <w:sz w:val="20"/>
              </w:rPr>
            </w:pPr>
            <w:r>
              <w:rPr>
                <w:color w:val="231F20"/>
                <w:w w:val="85"/>
                <w:sz w:val="20"/>
              </w:rPr>
              <w:t>Total</w:t>
            </w:r>
          </w:p>
        </w:tc>
        <w:tc>
          <w:tcPr>
            <w:tcW w:w="2105" w:type="dxa"/>
          </w:tcPr>
          <w:p>
            <w:pPr>
              <w:pStyle w:val="TableParagraph"/>
              <w:spacing w:line="163" w:lineRule="exact"/>
              <w:ind w:left="525" w:right="525"/>
              <w:jc w:val="center"/>
              <w:rPr>
                <w:sz w:val="16"/>
              </w:rPr>
            </w:pPr>
            <w:r>
              <w:rPr>
                <w:color w:val="231F20"/>
                <w:w w:val="85"/>
                <w:sz w:val="16"/>
              </w:rPr>
              <w:t>$10,919,558</w:t>
            </w:r>
          </w:p>
        </w:tc>
        <w:tc>
          <w:tcPr>
            <w:tcW w:w="1949" w:type="dxa"/>
          </w:tcPr>
          <w:p>
            <w:pPr>
              <w:pStyle w:val="TableParagraph"/>
              <w:spacing w:line="190" w:lineRule="exact"/>
              <w:ind w:left="523" w:right="523"/>
              <w:jc w:val="center"/>
              <w:rPr>
                <w:sz w:val="20"/>
              </w:rPr>
            </w:pPr>
            <w:r>
              <w:rPr>
                <w:color w:val="231F20"/>
                <w:w w:val="85"/>
                <w:sz w:val="20"/>
              </w:rPr>
              <w:t>100</w:t>
            </w:r>
          </w:p>
        </w:tc>
      </w:tr>
    </w:tbl>
    <w:p>
      <w:pPr>
        <w:pStyle w:val="BodyText"/>
        <w:spacing w:before="6"/>
        <w:rPr>
          <w:b/>
          <w:sz w:val="11"/>
        </w:rPr>
      </w:pPr>
    </w:p>
    <w:p>
      <w:pPr>
        <w:spacing w:before="75"/>
        <w:ind w:left="2869" w:right="-15" w:firstLine="0"/>
        <w:jc w:val="left"/>
        <w:rPr>
          <w:rFonts w:ascii="Calibri" w:hAnsi="Calibri"/>
          <w:sz w:val="16"/>
        </w:rPr>
      </w:pPr>
      <w:r>
        <w:rPr>
          <w:rFonts w:ascii="Calibri" w:hAnsi="Calibri"/>
          <w:color w:val="231F20"/>
          <w:sz w:val="16"/>
        </w:rPr>
        <w:t>Fuente: elaboración propia con datos de Tesorería Municipal de Ixtapan de la Sal.</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Otros</w:t>
      </w:r>
      <w:r>
        <w:rPr>
          <w:color w:val="231F20"/>
          <w:spacing w:val="-17"/>
          <w:w w:val="105"/>
        </w:rPr>
        <w:t> </w:t>
      </w:r>
      <w:r>
        <w:rPr>
          <w:color w:val="231F20"/>
          <w:w w:val="105"/>
        </w:rPr>
        <w:t>de</w:t>
      </w:r>
      <w:r>
        <w:rPr>
          <w:color w:val="231F20"/>
          <w:spacing w:val="-17"/>
          <w:w w:val="105"/>
        </w:rPr>
        <w:t> </w:t>
      </w:r>
      <w:r>
        <w:rPr>
          <w:color w:val="231F20"/>
          <w:spacing w:val="-3"/>
          <w:w w:val="105"/>
        </w:rPr>
        <w:t>los</w:t>
      </w:r>
      <w:r>
        <w:rPr>
          <w:color w:val="231F20"/>
          <w:spacing w:val="-17"/>
          <w:w w:val="105"/>
        </w:rPr>
        <w:t> </w:t>
      </w:r>
      <w:r>
        <w:rPr>
          <w:color w:val="231F20"/>
          <w:spacing w:val="-3"/>
          <w:w w:val="105"/>
        </w:rPr>
        <w:t>rubros</w:t>
      </w:r>
      <w:r>
        <w:rPr>
          <w:color w:val="231F20"/>
          <w:spacing w:val="-17"/>
          <w:w w:val="105"/>
        </w:rPr>
        <w:t> </w:t>
      </w:r>
      <w:r>
        <w:rPr>
          <w:color w:val="231F20"/>
          <w:spacing w:val="-3"/>
          <w:w w:val="105"/>
        </w:rPr>
        <w:t>con</w:t>
      </w:r>
      <w:r>
        <w:rPr>
          <w:color w:val="231F20"/>
          <w:spacing w:val="-17"/>
          <w:w w:val="105"/>
        </w:rPr>
        <w:t> </w:t>
      </w:r>
      <w:r>
        <w:rPr>
          <w:color w:val="231F20"/>
          <w:spacing w:val="-4"/>
          <w:w w:val="105"/>
        </w:rPr>
        <w:t>mayor</w:t>
      </w:r>
      <w:r>
        <w:rPr>
          <w:color w:val="231F20"/>
          <w:spacing w:val="-17"/>
          <w:w w:val="105"/>
        </w:rPr>
        <w:t> </w:t>
      </w:r>
      <w:r>
        <w:rPr>
          <w:color w:val="231F20"/>
          <w:spacing w:val="-3"/>
          <w:w w:val="105"/>
        </w:rPr>
        <w:t>relevancia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erario</w:t>
      </w:r>
      <w:r>
        <w:rPr>
          <w:color w:val="231F20"/>
          <w:spacing w:val="-17"/>
          <w:w w:val="105"/>
        </w:rPr>
        <w:t> </w:t>
      </w:r>
      <w:r>
        <w:rPr>
          <w:color w:val="231F20"/>
          <w:spacing w:val="-3"/>
          <w:w w:val="105"/>
        </w:rPr>
        <w:t>público</w:t>
      </w:r>
      <w:r>
        <w:rPr>
          <w:color w:val="231F20"/>
          <w:spacing w:val="-17"/>
          <w:w w:val="105"/>
        </w:rPr>
        <w:t> </w:t>
      </w:r>
      <w:r>
        <w:rPr>
          <w:color w:val="231F20"/>
          <w:w w:val="105"/>
        </w:rPr>
        <w:t>municipal</w:t>
      </w:r>
      <w:r>
        <w:rPr>
          <w:color w:val="231F20"/>
          <w:spacing w:val="-17"/>
          <w:w w:val="105"/>
        </w:rPr>
        <w:t> </w:t>
      </w:r>
      <w:r>
        <w:rPr>
          <w:color w:val="231F20"/>
          <w:spacing w:val="-3"/>
          <w:w w:val="105"/>
        </w:rPr>
        <w:t>son</w:t>
      </w:r>
      <w:r>
        <w:rPr>
          <w:color w:val="231F20"/>
          <w:spacing w:val="-17"/>
          <w:w w:val="105"/>
        </w:rPr>
        <w:t> </w:t>
      </w:r>
      <w:r>
        <w:rPr>
          <w:color w:val="231F20"/>
          <w:spacing w:val="-3"/>
          <w:w w:val="105"/>
        </w:rPr>
        <w:t>los</w:t>
      </w:r>
      <w:r>
        <w:rPr>
          <w:color w:val="231F20"/>
          <w:spacing w:val="-17"/>
          <w:w w:val="105"/>
        </w:rPr>
        <w:t> </w:t>
      </w:r>
      <w:r>
        <w:rPr>
          <w:color w:val="231F20"/>
          <w:spacing w:val="-3"/>
          <w:w w:val="105"/>
        </w:rPr>
        <w:t>derechos, que</w:t>
      </w:r>
      <w:r>
        <w:rPr>
          <w:color w:val="231F20"/>
          <w:spacing w:val="-15"/>
          <w:w w:val="105"/>
        </w:rPr>
        <w:t> </w:t>
      </w:r>
      <w:r>
        <w:rPr>
          <w:color w:val="231F20"/>
          <w:w w:val="105"/>
        </w:rPr>
        <w:t>suman</w:t>
      </w:r>
      <w:r>
        <w:rPr>
          <w:color w:val="231F20"/>
          <w:spacing w:val="-15"/>
          <w:w w:val="105"/>
        </w:rPr>
        <w:t> </w:t>
      </w:r>
      <w:r>
        <w:rPr>
          <w:color w:val="231F20"/>
          <w:w w:val="105"/>
        </w:rPr>
        <w:t>un</w:t>
      </w:r>
      <w:r>
        <w:rPr>
          <w:color w:val="231F20"/>
          <w:spacing w:val="-15"/>
          <w:w w:val="105"/>
        </w:rPr>
        <w:t> </w:t>
      </w:r>
      <w:r>
        <w:rPr>
          <w:color w:val="231F20"/>
          <w:w w:val="105"/>
        </w:rPr>
        <w:t>total</w:t>
      </w:r>
      <w:r>
        <w:rPr>
          <w:color w:val="231F20"/>
          <w:spacing w:val="-15"/>
          <w:w w:val="105"/>
        </w:rPr>
        <w:t> </w:t>
      </w:r>
      <w:r>
        <w:rPr>
          <w:color w:val="231F20"/>
          <w:w w:val="105"/>
        </w:rPr>
        <w:t>de</w:t>
      </w:r>
      <w:r>
        <w:rPr>
          <w:color w:val="231F20"/>
          <w:spacing w:val="-15"/>
          <w:w w:val="105"/>
        </w:rPr>
        <w:t> </w:t>
      </w:r>
      <w:r>
        <w:rPr>
          <w:color w:val="231F20"/>
          <w:w w:val="105"/>
        </w:rPr>
        <w:t>2’</w:t>
      </w:r>
      <w:r>
        <w:rPr>
          <w:color w:val="231F20"/>
          <w:spacing w:val="-15"/>
          <w:w w:val="105"/>
        </w:rPr>
        <w:t> </w:t>
      </w:r>
      <w:r>
        <w:rPr>
          <w:color w:val="231F20"/>
          <w:spacing w:val="-6"/>
          <w:w w:val="105"/>
        </w:rPr>
        <w:t>321,</w:t>
      </w:r>
      <w:r>
        <w:rPr>
          <w:color w:val="231F20"/>
          <w:spacing w:val="-15"/>
          <w:w w:val="105"/>
        </w:rPr>
        <w:t> </w:t>
      </w:r>
      <w:r>
        <w:rPr>
          <w:color w:val="231F20"/>
          <w:spacing w:val="-4"/>
          <w:w w:val="105"/>
        </w:rPr>
        <w:t>653</w:t>
      </w:r>
      <w:r>
        <w:rPr>
          <w:color w:val="231F20"/>
          <w:spacing w:val="-15"/>
          <w:w w:val="105"/>
        </w:rPr>
        <w:t> </w:t>
      </w:r>
      <w:r>
        <w:rPr>
          <w:color w:val="231F20"/>
          <w:w w:val="105"/>
        </w:rPr>
        <w:t>pesos</w:t>
      </w:r>
      <w:r>
        <w:rPr>
          <w:color w:val="231F20"/>
          <w:spacing w:val="-15"/>
          <w:w w:val="105"/>
        </w:rPr>
        <w:t> </w:t>
      </w:r>
      <w:r>
        <w:rPr>
          <w:color w:val="231F20"/>
          <w:spacing w:val="-4"/>
          <w:w w:val="105"/>
        </w:rPr>
        <w:t>recaudados,</w:t>
      </w:r>
      <w:r>
        <w:rPr>
          <w:color w:val="231F20"/>
          <w:spacing w:val="-15"/>
          <w:w w:val="105"/>
        </w:rPr>
        <w:t> </w:t>
      </w:r>
      <w:r>
        <w:rPr>
          <w:color w:val="231F20"/>
          <w:w w:val="105"/>
        </w:rPr>
        <w:t>seguidos</w:t>
      </w:r>
      <w:r>
        <w:rPr>
          <w:color w:val="231F20"/>
          <w:spacing w:val="-15"/>
          <w:w w:val="105"/>
        </w:rPr>
        <w:t> </w:t>
      </w:r>
      <w:r>
        <w:rPr>
          <w:color w:val="231F20"/>
          <w:spacing w:val="-3"/>
          <w:w w:val="105"/>
        </w:rPr>
        <w:t>por</w:t>
      </w:r>
      <w:r>
        <w:rPr>
          <w:color w:val="231F20"/>
          <w:spacing w:val="-15"/>
          <w:w w:val="105"/>
        </w:rPr>
        <w:t> </w:t>
      </w:r>
      <w:r>
        <w:rPr>
          <w:color w:val="231F20"/>
          <w:spacing w:val="-3"/>
          <w:w w:val="105"/>
        </w:rPr>
        <w:t>los</w:t>
      </w:r>
      <w:r>
        <w:rPr>
          <w:color w:val="231F20"/>
          <w:spacing w:val="-15"/>
          <w:w w:val="105"/>
        </w:rPr>
        <w:t> </w:t>
      </w:r>
      <w:r>
        <w:rPr>
          <w:color w:val="231F20"/>
          <w:spacing w:val="-4"/>
          <w:w w:val="105"/>
        </w:rPr>
        <w:t>productos</w:t>
      </w:r>
      <w:r>
        <w:rPr>
          <w:color w:val="231F20"/>
          <w:spacing w:val="-15"/>
          <w:w w:val="105"/>
        </w:rPr>
        <w:t> </w:t>
      </w:r>
      <w:r>
        <w:rPr>
          <w:color w:val="231F20"/>
          <w:w w:val="105"/>
        </w:rPr>
        <w:t>(particu- </w:t>
      </w:r>
      <w:r>
        <w:rPr>
          <w:color w:val="231F20"/>
          <w:spacing w:val="-3"/>
          <w:w w:val="105"/>
        </w:rPr>
        <w:t>larmente</w:t>
      </w:r>
      <w:r>
        <w:rPr>
          <w:color w:val="231F20"/>
          <w:spacing w:val="-16"/>
          <w:w w:val="105"/>
        </w:rPr>
        <w:t> </w:t>
      </w:r>
      <w:r>
        <w:rPr>
          <w:color w:val="231F20"/>
          <w:spacing w:val="-3"/>
          <w:w w:val="105"/>
        </w:rPr>
        <w:t>los</w:t>
      </w:r>
      <w:r>
        <w:rPr>
          <w:color w:val="231F20"/>
          <w:spacing w:val="-16"/>
          <w:w w:val="105"/>
        </w:rPr>
        <w:t> </w:t>
      </w:r>
      <w:r>
        <w:rPr>
          <w:color w:val="231F20"/>
          <w:spacing w:val="-4"/>
          <w:w w:val="105"/>
        </w:rPr>
        <w:t>provenientes</w:t>
      </w:r>
      <w:r>
        <w:rPr>
          <w:color w:val="231F20"/>
          <w:spacing w:val="-16"/>
          <w:w w:val="105"/>
        </w:rPr>
        <w:t> </w:t>
      </w:r>
      <w:r>
        <w:rPr>
          <w:color w:val="231F20"/>
          <w:spacing w:val="-3"/>
          <w:w w:val="105"/>
        </w:rPr>
        <w:t>del</w:t>
      </w:r>
      <w:r>
        <w:rPr>
          <w:color w:val="231F20"/>
          <w:spacing w:val="-16"/>
          <w:w w:val="105"/>
        </w:rPr>
        <w:t> </w:t>
      </w:r>
      <w:r>
        <w:rPr>
          <w:color w:val="231F20"/>
          <w:w w:val="105"/>
        </w:rPr>
        <w:t>Balneario</w:t>
      </w:r>
      <w:r>
        <w:rPr>
          <w:color w:val="231F20"/>
          <w:spacing w:val="-16"/>
          <w:w w:val="105"/>
        </w:rPr>
        <w:t> </w:t>
      </w:r>
      <w:r>
        <w:rPr>
          <w:color w:val="231F20"/>
          <w:spacing w:val="-3"/>
          <w:w w:val="105"/>
        </w:rPr>
        <w:t>Municipal)</w:t>
      </w:r>
      <w:r>
        <w:rPr>
          <w:color w:val="231F20"/>
          <w:spacing w:val="-16"/>
          <w:w w:val="105"/>
        </w:rPr>
        <w:t> </w:t>
      </w:r>
      <w:r>
        <w:rPr>
          <w:color w:val="231F20"/>
          <w:spacing w:val="-3"/>
          <w:w w:val="105"/>
        </w:rPr>
        <w:t>que</w:t>
      </w:r>
      <w:r>
        <w:rPr>
          <w:color w:val="231F20"/>
          <w:spacing w:val="-16"/>
          <w:w w:val="105"/>
        </w:rPr>
        <w:t> </w:t>
      </w:r>
      <w:r>
        <w:rPr>
          <w:color w:val="231F20"/>
          <w:spacing w:val="-3"/>
          <w:w w:val="105"/>
        </w:rPr>
        <w:t>ascienden</w:t>
      </w:r>
      <w:r>
        <w:rPr>
          <w:color w:val="231F20"/>
          <w:spacing w:val="-16"/>
          <w:w w:val="105"/>
        </w:rPr>
        <w:t> </w:t>
      </w:r>
      <w:r>
        <w:rPr>
          <w:color w:val="231F20"/>
          <w:w w:val="105"/>
        </w:rPr>
        <w:t>a</w:t>
      </w:r>
      <w:r>
        <w:rPr>
          <w:color w:val="231F20"/>
          <w:spacing w:val="-16"/>
          <w:w w:val="105"/>
        </w:rPr>
        <w:t> </w:t>
      </w:r>
      <w:r>
        <w:rPr>
          <w:color w:val="231F20"/>
          <w:spacing w:val="-3"/>
          <w:w w:val="105"/>
        </w:rPr>
        <w:t>cerca</w:t>
      </w:r>
      <w:r>
        <w:rPr>
          <w:color w:val="231F20"/>
          <w:spacing w:val="-16"/>
          <w:w w:val="105"/>
        </w:rPr>
        <w:t> </w:t>
      </w:r>
      <w:r>
        <w:rPr>
          <w:color w:val="231F20"/>
          <w:w w:val="105"/>
        </w:rPr>
        <w:t>de</w:t>
      </w:r>
      <w:r>
        <w:rPr>
          <w:color w:val="231F20"/>
          <w:spacing w:val="-16"/>
          <w:w w:val="105"/>
        </w:rPr>
        <w:t> </w:t>
      </w:r>
      <w:r>
        <w:rPr>
          <w:color w:val="231F20"/>
          <w:w w:val="105"/>
        </w:rPr>
        <w:t>cinco</w:t>
      </w:r>
      <w:r>
        <w:rPr>
          <w:color w:val="231F20"/>
          <w:spacing w:val="-16"/>
          <w:w w:val="105"/>
        </w:rPr>
        <w:t> </w:t>
      </w:r>
      <w:r>
        <w:rPr>
          <w:color w:val="231F20"/>
          <w:w w:val="105"/>
        </w:rPr>
        <w:t>millo- </w:t>
      </w:r>
      <w:r>
        <w:rPr>
          <w:color w:val="231F20"/>
          <w:spacing w:val="-3"/>
          <w:w w:val="105"/>
        </w:rPr>
        <w:t>nes</w:t>
      </w:r>
      <w:r>
        <w:rPr>
          <w:color w:val="231F20"/>
          <w:spacing w:val="-19"/>
          <w:w w:val="105"/>
        </w:rPr>
        <w:t> </w:t>
      </w:r>
      <w:r>
        <w:rPr>
          <w:color w:val="231F20"/>
          <w:w w:val="105"/>
        </w:rPr>
        <w:t>y</w:t>
      </w:r>
      <w:r>
        <w:rPr>
          <w:color w:val="231F20"/>
          <w:spacing w:val="-19"/>
          <w:w w:val="105"/>
        </w:rPr>
        <w:t> </w:t>
      </w:r>
      <w:r>
        <w:rPr>
          <w:color w:val="231F20"/>
          <w:w w:val="105"/>
        </w:rPr>
        <w:t>medio</w:t>
      </w:r>
      <w:r>
        <w:rPr>
          <w:color w:val="231F20"/>
          <w:spacing w:val="-19"/>
          <w:w w:val="105"/>
        </w:rPr>
        <w:t> </w:t>
      </w:r>
      <w:r>
        <w:rPr>
          <w:color w:val="231F20"/>
          <w:w w:val="105"/>
        </w:rPr>
        <w:t>de</w:t>
      </w:r>
      <w:r>
        <w:rPr>
          <w:color w:val="231F20"/>
          <w:spacing w:val="-19"/>
          <w:w w:val="105"/>
        </w:rPr>
        <w:t> </w:t>
      </w:r>
      <w:r>
        <w:rPr>
          <w:color w:val="231F20"/>
          <w:w w:val="105"/>
        </w:rPr>
        <w:t>pesos.</w:t>
      </w:r>
      <w:r>
        <w:rPr>
          <w:color w:val="231F20"/>
          <w:spacing w:val="-19"/>
          <w:w w:val="105"/>
        </w:rPr>
        <w:t> </w:t>
      </w:r>
      <w:r>
        <w:rPr>
          <w:color w:val="231F20"/>
          <w:w w:val="105"/>
        </w:rPr>
        <w:t>De</w:t>
      </w:r>
      <w:r>
        <w:rPr>
          <w:color w:val="231F20"/>
          <w:spacing w:val="-19"/>
          <w:w w:val="105"/>
        </w:rPr>
        <w:t> </w:t>
      </w:r>
      <w:r>
        <w:rPr>
          <w:color w:val="231F20"/>
          <w:spacing w:val="-3"/>
          <w:w w:val="105"/>
        </w:rPr>
        <w:t>los</w:t>
      </w:r>
      <w:r>
        <w:rPr>
          <w:color w:val="231F20"/>
          <w:spacing w:val="-19"/>
          <w:w w:val="105"/>
        </w:rPr>
        <w:t> </w:t>
      </w:r>
      <w:r>
        <w:rPr>
          <w:color w:val="231F20"/>
          <w:w w:val="105"/>
        </w:rPr>
        <w:t>recursos</w:t>
      </w:r>
      <w:r>
        <w:rPr>
          <w:color w:val="231F20"/>
          <w:spacing w:val="-19"/>
          <w:w w:val="105"/>
        </w:rPr>
        <w:t> </w:t>
      </w:r>
      <w:r>
        <w:rPr>
          <w:color w:val="231F20"/>
          <w:w w:val="105"/>
        </w:rPr>
        <w:t>indirectos</w:t>
      </w:r>
      <w:r>
        <w:rPr>
          <w:color w:val="231F20"/>
          <w:spacing w:val="-19"/>
          <w:w w:val="105"/>
        </w:rPr>
        <w:t> </w:t>
      </w:r>
      <w:r>
        <w:rPr>
          <w:color w:val="231F20"/>
          <w:spacing w:val="-4"/>
          <w:w w:val="105"/>
        </w:rPr>
        <w:t>(federales</w:t>
      </w:r>
      <w:r>
        <w:rPr>
          <w:color w:val="231F20"/>
          <w:spacing w:val="-19"/>
          <w:w w:val="105"/>
        </w:rPr>
        <w:t> </w:t>
      </w:r>
      <w:r>
        <w:rPr>
          <w:color w:val="231F20"/>
          <w:w w:val="105"/>
        </w:rPr>
        <w:t>y</w:t>
      </w:r>
      <w:r>
        <w:rPr>
          <w:color w:val="231F20"/>
          <w:spacing w:val="-19"/>
          <w:w w:val="105"/>
        </w:rPr>
        <w:t> </w:t>
      </w:r>
      <w:r>
        <w:rPr>
          <w:color w:val="231F20"/>
          <w:spacing w:val="-3"/>
          <w:w w:val="105"/>
        </w:rPr>
        <w:t>estatales)</w:t>
      </w:r>
      <w:r>
        <w:rPr>
          <w:color w:val="231F20"/>
          <w:spacing w:val="-19"/>
          <w:w w:val="105"/>
        </w:rPr>
        <w:t> </w:t>
      </w:r>
      <w:r>
        <w:rPr>
          <w:color w:val="231F20"/>
          <w:spacing w:val="-3"/>
          <w:w w:val="105"/>
        </w:rPr>
        <w:t>los</w:t>
      </w:r>
      <w:r>
        <w:rPr>
          <w:color w:val="231F20"/>
          <w:spacing w:val="-19"/>
          <w:w w:val="105"/>
        </w:rPr>
        <w:t> </w:t>
      </w:r>
      <w:r>
        <w:rPr>
          <w:color w:val="231F20"/>
          <w:w w:val="105"/>
        </w:rPr>
        <w:t>más</w:t>
      </w:r>
      <w:r>
        <w:rPr>
          <w:color w:val="231F20"/>
          <w:spacing w:val="-19"/>
          <w:w w:val="105"/>
        </w:rPr>
        <w:t> </w:t>
      </w:r>
      <w:r>
        <w:rPr>
          <w:color w:val="231F20"/>
          <w:w w:val="105"/>
        </w:rPr>
        <w:t>importan- tes </w:t>
      </w:r>
      <w:r>
        <w:rPr>
          <w:color w:val="231F20"/>
          <w:spacing w:val="-3"/>
          <w:w w:val="105"/>
        </w:rPr>
        <w:t>son del </w:t>
      </w:r>
      <w:r>
        <w:rPr>
          <w:color w:val="231F20"/>
          <w:w w:val="105"/>
        </w:rPr>
        <w:t>programa </w:t>
      </w:r>
      <w:r>
        <w:rPr>
          <w:color w:val="231F20"/>
          <w:spacing w:val="-3"/>
          <w:w w:val="105"/>
        </w:rPr>
        <w:t>Hábitat, </w:t>
      </w:r>
      <w:r>
        <w:rPr>
          <w:color w:val="231F20"/>
          <w:w w:val="105"/>
        </w:rPr>
        <w:t>Programa de </w:t>
      </w:r>
      <w:r>
        <w:rPr>
          <w:color w:val="231F20"/>
          <w:spacing w:val="-4"/>
          <w:w w:val="105"/>
        </w:rPr>
        <w:t>Inversión </w:t>
      </w:r>
      <w:r>
        <w:rPr>
          <w:color w:val="231F20"/>
          <w:w w:val="105"/>
        </w:rPr>
        <w:t>Estatal </w:t>
      </w:r>
      <w:r>
        <w:rPr>
          <w:color w:val="231F20"/>
          <w:spacing w:val="-4"/>
          <w:w w:val="105"/>
        </w:rPr>
        <w:t>(PIE) </w:t>
      </w:r>
      <w:r>
        <w:rPr>
          <w:color w:val="231F20"/>
          <w:w w:val="105"/>
        </w:rPr>
        <w:t>y Gasto de</w:t>
      </w:r>
      <w:r>
        <w:rPr>
          <w:color w:val="231F20"/>
          <w:spacing w:val="-39"/>
          <w:w w:val="105"/>
        </w:rPr>
        <w:t> </w:t>
      </w:r>
      <w:r>
        <w:rPr>
          <w:color w:val="231F20"/>
          <w:spacing w:val="-4"/>
          <w:w w:val="105"/>
        </w:rPr>
        <w:t>Inversión </w:t>
      </w:r>
      <w:r>
        <w:rPr>
          <w:color w:val="231F20"/>
          <w:w w:val="105"/>
        </w:rPr>
        <w:t>Sectorial</w:t>
      </w:r>
      <w:r>
        <w:rPr>
          <w:color w:val="231F20"/>
          <w:spacing w:val="-27"/>
          <w:w w:val="105"/>
        </w:rPr>
        <w:t> </w:t>
      </w:r>
      <w:r>
        <w:rPr>
          <w:color w:val="231F20"/>
          <w:spacing w:val="-5"/>
          <w:w w:val="105"/>
        </w:rPr>
        <w:t>(GIS)</w:t>
      </w:r>
      <w:r>
        <w:rPr>
          <w:color w:val="231F20"/>
          <w:spacing w:val="-27"/>
          <w:w w:val="105"/>
        </w:rPr>
        <w:t> </w:t>
      </w:r>
      <w:r>
        <w:rPr>
          <w:color w:val="231F20"/>
          <w:w w:val="105"/>
        </w:rPr>
        <w:t>para</w:t>
      </w:r>
      <w:r>
        <w:rPr>
          <w:color w:val="231F20"/>
          <w:spacing w:val="-27"/>
          <w:w w:val="105"/>
        </w:rPr>
        <w:t> </w:t>
      </w:r>
      <w:r>
        <w:rPr>
          <w:color w:val="231F20"/>
          <w:w w:val="105"/>
        </w:rPr>
        <w:t>el</w:t>
      </w:r>
      <w:r>
        <w:rPr>
          <w:color w:val="231F20"/>
          <w:spacing w:val="-27"/>
          <w:w w:val="105"/>
        </w:rPr>
        <w:t> </w:t>
      </w:r>
      <w:r>
        <w:rPr>
          <w:color w:val="231F20"/>
          <w:w w:val="105"/>
        </w:rPr>
        <w:t>caso</w:t>
      </w:r>
      <w:r>
        <w:rPr>
          <w:color w:val="231F20"/>
          <w:spacing w:val="-27"/>
          <w:w w:val="105"/>
        </w:rPr>
        <w:t> </w:t>
      </w:r>
      <w:r>
        <w:rPr>
          <w:color w:val="231F20"/>
          <w:w w:val="105"/>
        </w:rPr>
        <w:t>de</w:t>
      </w:r>
      <w:r>
        <w:rPr>
          <w:color w:val="231F20"/>
          <w:spacing w:val="-27"/>
          <w:w w:val="105"/>
        </w:rPr>
        <w:t> </w:t>
      </w:r>
      <w:r>
        <w:rPr>
          <w:color w:val="231F20"/>
          <w:w w:val="105"/>
        </w:rPr>
        <w:t>obras</w:t>
      </w:r>
      <w:r>
        <w:rPr>
          <w:color w:val="231F20"/>
          <w:spacing w:val="-27"/>
          <w:w w:val="105"/>
        </w:rPr>
        <w:t> </w:t>
      </w:r>
      <w:r>
        <w:rPr>
          <w:color w:val="231F20"/>
          <w:spacing w:val="-3"/>
          <w:w w:val="105"/>
        </w:rPr>
        <w:t>públicas</w:t>
      </w:r>
      <w:r>
        <w:rPr>
          <w:color w:val="231F20"/>
          <w:spacing w:val="-27"/>
          <w:w w:val="105"/>
        </w:rPr>
        <w:t> </w:t>
      </w:r>
      <w:r>
        <w:rPr>
          <w:color w:val="231F20"/>
          <w:spacing w:val="-3"/>
          <w:w w:val="105"/>
        </w:rPr>
        <w:t>que</w:t>
      </w:r>
      <w:r>
        <w:rPr>
          <w:color w:val="231F20"/>
          <w:spacing w:val="-27"/>
          <w:w w:val="105"/>
        </w:rPr>
        <w:t> </w:t>
      </w:r>
      <w:r>
        <w:rPr>
          <w:color w:val="231F20"/>
          <w:w w:val="105"/>
        </w:rPr>
        <w:t>suman</w:t>
      </w:r>
      <w:r>
        <w:rPr>
          <w:color w:val="231F20"/>
          <w:spacing w:val="-27"/>
          <w:w w:val="105"/>
        </w:rPr>
        <w:t> </w:t>
      </w:r>
      <w:r>
        <w:rPr>
          <w:color w:val="231F20"/>
          <w:w w:val="105"/>
        </w:rPr>
        <w:t>un</w:t>
      </w:r>
      <w:r>
        <w:rPr>
          <w:color w:val="231F20"/>
          <w:spacing w:val="-27"/>
          <w:w w:val="105"/>
        </w:rPr>
        <w:t> </w:t>
      </w:r>
      <w:r>
        <w:rPr>
          <w:color w:val="231F20"/>
          <w:spacing w:val="-4"/>
          <w:w w:val="105"/>
        </w:rPr>
        <w:t>aproximado</w:t>
      </w:r>
      <w:r>
        <w:rPr>
          <w:color w:val="231F20"/>
          <w:spacing w:val="-27"/>
          <w:w w:val="105"/>
        </w:rPr>
        <w:t> </w:t>
      </w:r>
      <w:r>
        <w:rPr>
          <w:color w:val="231F20"/>
          <w:w w:val="105"/>
        </w:rPr>
        <w:t>de</w:t>
      </w:r>
      <w:r>
        <w:rPr>
          <w:color w:val="231F20"/>
          <w:spacing w:val="-27"/>
          <w:w w:val="105"/>
        </w:rPr>
        <w:t> </w:t>
      </w:r>
      <w:r>
        <w:rPr>
          <w:color w:val="231F20"/>
          <w:spacing w:val="-4"/>
          <w:w w:val="105"/>
        </w:rPr>
        <w:t>once</w:t>
      </w:r>
      <w:r>
        <w:rPr>
          <w:color w:val="231F20"/>
          <w:spacing w:val="-27"/>
          <w:w w:val="105"/>
        </w:rPr>
        <w:t> </w:t>
      </w:r>
      <w:r>
        <w:rPr>
          <w:color w:val="231F20"/>
          <w:w w:val="105"/>
        </w:rPr>
        <w:t>millones; 60</w:t>
      </w:r>
      <w:r>
        <w:rPr>
          <w:color w:val="231F20"/>
          <w:spacing w:val="-16"/>
          <w:w w:val="105"/>
        </w:rPr>
        <w:t> </w:t>
      </w:r>
      <w:r>
        <w:rPr>
          <w:color w:val="231F20"/>
          <w:w w:val="105"/>
        </w:rPr>
        <w:t>millones</w:t>
      </w:r>
      <w:r>
        <w:rPr>
          <w:color w:val="231F20"/>
          <w:spacing w:val="-16"/>
          <w:w w:val="105"/>
        </w:rPr>
        <w:t> </w:t>
      </w:r>
      <w:r>
        <w:rPr>
          <w:color w:val="231F20"/>
          <w:w w:val="105"/>
        </w:rPr>
        <w:t>de</w:t>
      </w:r>
      <w:r>
        <w:rPr>
          <w:color w:val="231F20"/>
          <w:spacing w:val="-16"/>
          <w:w w:val="105"/>
        </w:rPr>
        <w:t> </w:t>
      </w:r>
      <w:r>
        <w:rPr>
          <w:color w:val="231F20"/>
          <w:w w:val="105"/>
        </w:rPr>
        <w:t>pesos</w:t>
      </w:r>
      <w:r>
        <w:rPr>
          <w:color w:val="231F20"/>
          <w:spacing w:val="-16"/>
          <w:w w:val="105"/>
        </w:rPr>
        <w:t> </w:t>
      </w:r>
      <w:r>
        <w:rPr>
          <w:color w:val="231F20"/>
          <w:spacing w:val="-3"/>
          <w:w w:val="105"/>
        </w:rPr>
        <w:t>que</w:t>
      </w:r>
      <w:r>
        <w:rPr>
          <w:color w:val="231F20"/>
          <w:spacing w:val="-16"/>
          <w:w w:val="105"/>
        </w:rPr>
        <w:t> </w:t>
      </w:r>
      <w:r>
        <w:rPr>
          <w:color w:val="231F20"/>
          <w:w w:val="105"/>
        </w:rPr>
        <w:t>envía</w:t>
      </w:r>
      <w:r>
        <w:rPr>
          <w:color w:val="231F20"/>
          <w:spacing w:val="-16"/>
          <w:w w:val="105"/>
        </w:rPr>
        <w:t> </w:t>
      </w:r>
      <w:r>
        <w:rPr>
          <w:color w:val="231F20"/>
          <w:w w:val="105"/>
        </w:rPr>
        <w:t>la</w:t>
      </w:r>
      <w:r>
        <w:rPr>
          <w:color w:val="231F20"/>
          <w:spacing w:val="-16"/>
          <w:w w:val="105"/>
        </w:rPr>
        <w:t> </w:t>
      </w:r>
      <w:r>
        <w:rPr>
          <w:color w:val="231F20"/>
          <w:spacing w:val="-4"/>
          <w:w w:val="105"/>
        </w:rPr>
        <w:t>federación</w:t>
      </w:r>
      <w:r>
        <w:rPr>
          <w:color w:val="231F20"/>
          <w:spacing w:val="-16"/>
          <w:w w:val="105"/>
        </w:rPr>
        <w:t> </w:t>
      </w:r>
      <w:r>
        <w:rPr>
          <w:color w:val="231F20"/>
          <w:w w:val="105"/>
        </w:rPr>
        <w:t>para</w:t>
      </w:r>
      <w:r>
        <w:rPr>
          <w:color w:val="231F20"/>
          <w:spacing w:val="-16"/>
          <w:w w:val="105"/>
        </w:rPr>
        <w:t> </w:t>
      </w:r>
      <w:r>
        <w:rPr>
          <w:color w:val="231F20"/>
          <w:w w:val="105"/>
        </w:rPr>
        <w:t>programas</w:t>
      </w:r>
      <w:r>
        <w:rPr>
          <w:color w:val="231F20"/>
          <w:spacing w:val="-16"/>
          <w:w w:val="105"/>
        </w:rPr>
        <w:t> </w:t>
      </w:r>
      <w:r>
        <w:rPr>
          <w:color w:val="231F20"/>
          <w:w w:val="105"/>
        </w:rPr>
        <w:t>sociales</w:t>
      </w:r>
      <w:r>
        <w:rPr>
          <w:color w:val="231F20"/>
          <w:spacing w:val="-16"/>
          <w:w w:val="105"/>
        </w:rPr>
        <w:t> </w:t>
      </w:r>
      <w:r>
        <w:rPr>
          <w:color w:val="231F20"/>
          <w:w w:val="105"/>
        </w:rPr>
        <w:t>y</w:t>
      </w:r>
      <w:r>
        <w:rPr>
          <w:color w:val="231F20"/>
          <w:spacing w:val="-16"/>
          <w:w w:val="105"/>
        </w:rPr>
        <w:t> </w:t>
      </w:r>
      <w:r>
        <w:rPr>
          <w:color w:val="231F20"/>
          <w:w w:val="105"/>
        </w:rPr>
        <w:t>transferencias,</w:t>
      </w:r>
      <w:r>
        <w:rPr>
          <w:color w:val="231F20"/>
          <w:spacing w:val="-16"/>
          <w:w w:val="105"/>
        </w:rPr>
        <w:t> </w:t>
      </w:r>
      <w:r>
        <w:rPr>
          <w:color w:val="231F20"/>
          <w:w w:val="105"/>
        </w:rPr>
        <w:t>y </w:t>
      </w:r>
      <w:r>
        <w:rPr>
          <w:color w:val="231F20"/>
          <w:spacing w:val="-8"/>
          <w:w w:val="105"/>
        </w:rPr>
        <w:t>917</w:t>
      </w:r>
      <w:r>
        <w:rPr>
          <w:color w:val="231F20"/>
          <w:spacing w:val="-17"/>
          <w:w w:val="105"/>
        </w:rPr>
        <w:t> </w:t>
      </w:r>
      <w:r>
        <w:rPr>
          <w:color w:val="231F20"/>
          <w:w w:val="105"/>
        </w:rPr>
        <w:t>mil</w:t>
      </w:r>
      <w:r>
        <w:rPr>
          <w:color w:val="231F20"/>
          <w:spacing w:val="-17"/>
          <w:w w:val="105"/>
        </w:rPr>
        <w:t> </w:t>
      </w:r>
      <w:r>
        <w:rPr>
          <w:color w:val="231F20"/>
          <w:w w:val="105"/>
        </w:rPr>
        <w:t>pesos</w:t>
      </w:r>
      <w:r>
        <w:rPr>
          <w:color w:val="231F20"/>
          <w:spacing w:val="-17"/>
          <w:w w:val="105"/>
        </w:rPr>
        <w:t> </w:t>
      </w:r>
      <w:r>
        <w:rPr>
          <w:color w:val="231F20"/>
          <w:spacing w:val="-3"/>
          <w:w w:val="105"/>
        </w:rPr>
        <w:t>enviados</w:t>
      </w:r>
      <w:r>
        <w:rPr>
          <w:color w:val="231F20"/>
          <w:spacing w:val="-17"/>
          <w:w w:val="105"/>
        </w:rPr>
        <w:t> </w:t>
      </w:r>
      <w:r>
        <w:rPr>
          <w:color w:val="231F20"/>
          <w:spacing w:val="-3"/>
          <w:w w:val="105"/>
        </w:rPr>
        <w:t>por</w:t>
      </w:r>
      <w:r>
        <w:rPr>
          <w:color w:val="231F20"/>
          <w:spacing w:val="-17"/>
          <w:w w:val="105"/>
        </w:rPr>
        <w:t> </w:t>
      </w:r>
      <w:r>
        <w:rPr>
          <w:color w:val="231F20"/>
          <w:w w:val="105"/>
        </w:rPr>
        <w:t>el</w:t>
      </w:r>
      <w:r>
        <w:rPr>
          <w:color w:val="231F20"/>
          <w:spacing w:val="-17"/>
          <w:w w:val="105"/>
        </w:rPr>
        <w:t> </w:t>
      </w:r>
      <w:r>
        <w:rPr>
          <w:color w:val="231F20"/>
          <w:spacing w:val="-4"/>
          <w:w w:val="105"/>
        </w:rPr>
        <w:t>gobierno</w:t>
      </w:r>
      <w:r>
        <w:rPr>
          <w:color w:val="231F20"/>
          <w:spacing w:val="-17"/>
          <w:w w:val="105"/>
        </w:rPr>
        <w:t> </w:t>
      </w:r>
      <w:r>
        <w:rPr>
          <w:color w:val="231F20"/>
          <w:w w:val="105"/>
        </w:rPr>
        <w:t>Estatal</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mismo</w:t>
      </w:r>
      <w:r>
        <w:rPr>
          <w:color w:val="231F20"/>
          <w:spacing w:val="-17"/>
          <w:w w:val="105"/>
        </w:rPr>
        <w:t> </w:t>
      </w:r>
      <w:r>
        <w:rPr>
          <w:color w:val="231F20"/>
          <w:spacing w:val="-3"/>
          <w:w w:val="105"/>
        </w:rPr>
        <w:t>rubro</w:t>
      </w:r>
      <w:r>
        <w:rPr>
          <w:color w:val="231F20"/>
          <w:spacing w:val="-17"/>
          <w:w w:val="105"/>
        </w:rPr>
        <w:t> </w:t>
      </w:r>
      <w:r>
        <w:rPr>
          <w:color w:val="231F20"/>
          <w:spacing w:val="-7"/>
          <w:w w:val="105"/>
        </w:rPr>
        <w:t>(Ver</w:t>
      </w:r>
      <w:r>
        <w:rPr>
          <w:color w:val="231F20"/>
          <w:spacing w:val="-17"/>
          <w:w w:val="105"/>
        </w:rPr>
        <w:t> </w:t>
      </w:r>
      <w:r>
        <w:rPr>
          <w:color w:val="231F20"/>
          <w:spacing w:val="-2"/>
          <w:w w:val="105"/>
        </w:rPr>
        <w:t>cuadro</w:t>
      </w:r>
      <w:r>
        <w:rPr>
          <w:color w:val="231F20"/>
          <w:spacing w:val="-17"/>
          <w:w w:val="105"/>
        </w:rPr>
        <w:t> </w:t>
      </w:r>
      <w:r>
        <w:rPr>
          <w:color w:val="231F20"/>
          <w:spacing w:val="-5"/>
          <w:w w:val="105"/>
        </w:rPr>
        <w:t>9)</w:t>
      </w:r>
    </w:p>
    <w:p>
      <w:pPr>
        <w:spacing w:after="0" w:line="285" w:lineRule="auto"/>
        <w:jc w:val="both"/>
        <w:sectPr>
          <w:pgSz w:w="9640" w:h="12190"/>
          <w:pgMar w:header="0" w:footer="743" w:top="1120" w:bottom="940" w:left="740" w:right="740"/>
        </w:sectPr>
      </w:pPr>
    </w:p>
    <w:p>
      <w:pPr>
        <w:pStyle w:val="Heading5"/>
        <w:spacing w:before="27"/>
        <w:ind w:left="1893"/>
        <w:rPr>
          <w:b w:val="0"/>
        </w:rPr>
      </w:pPr>
      <w:r>
        <w:rPr>
          <w:color w:val="231F20"/>
          <w:w w:val="105"/>
        </w:rPr>
        <w:t>Cuadro 9. Otros conceptos de ingresos, 2008</w:t>
      </w:r>
      <w:r>
        <w:rPr>
          <w:b w:val="0"/>
          <w:color w:val="231F20"/>
          <w:w w:val="105"/>
        </w:rPr>
        <w:t>.</w:t>
      </w:r>
    </w:p>
    <w:p>
      <w:pPr>
        <w:pStyle w:val="BodyText"/>
        <w:rPr>
          <w:sz w:val="20"/>
        </w:rPr>
      </w:pPr>
    </w:p>
    <w:p>
      <w:pPr>
        <w:pStyle w:val="BodyText"/>
        <w:spacing w:before="10"/>
        <w:rPr>
          <w:sz w:val="20"/>
        </w:rPr>
      </w:pPr>
    </w:p>
    <w:tbl>
      <w:tblPr>
        <w:tblW w:w="0" w:type="auto"/>
        <w:jc w:val="left"/>
        <w:tblInd w:w="118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262"/>
        <w:gridCol w:w="1516"/>
      </w:tblGrid>
      <w:tr>
        <w:trPr>
          <w:trHeight w:val="248" w:hRule="exact"/>
        </w:trPr>
        <w:tc>
          <w:tcPr>
            <w:tcW w:w="4262" w:type="dxa"/>
            <w:shd w:val="clear" w:color="auto" w:fill="FFCD05"/>
          </w:tcPr>
          <w:p>
            <w:pPr>
              <w:pStyle w:val="TableParagraph"/>
              <w:spacing w:line="204" w:lineRule="exact"/>
              <w:ind w:left="252" w:right="252"/>
              <w:jc w:val="center"/>
              <w:rPr>
                <w:b/>
                <w:sz w:val="20"/>
              </w:rPr>
            </w:pPr>
            <w:r>
              <w:rPr>
                <w:b/>
                <w:color w:val="231F20"/>
                <w:w w:val="90"/>
                <w:sz w:val="20"/>
              </w:rPr>
              <w:t>Concepto</w:t>
            </w:r>
          </w:p>
        </w:tc>
        <w:tc>
          <w:tcPr>
            <w:tcW w:w="1516" w:type="dxa"/>
            <w:shd w:val="clear" w:color="auto" w:fill="FFCD05"/>
          </w:tcPr>
          <w:p>
            <w:pPr>
              <w:pStyle w:val="TableParagraph"/>
              <w:spacing w:line="204" w:lineRule="exact"/>
              <w:ind w:left="231" w:right="230"/>
              <w:jc w:val="center"/>
              <w:rPr>
                <w:b/>
                <w:sz w:val="20"/>
              </w:rPr>
            </w:pPr>
            <w:r>
              <w:rPr>
                <w:b/>
                <w:color w:val="231F20"/>
                <w:w w:val="95"/>
                <w:sz w:val="20"/>
              </w:rPr>
              <w:t>Recaudación</w:t>
            </w:r>
          </w:p>
        </w:tc>
      </w:tr>
      <w:tr>
        <w:trPr>
          <w:trHeight w:val="130" w:hRule="exact"/>
        </w:trPr>
        <w:tc>
          <w:tcPr>
            <w:tcW w:w="4262" w:type="dxa"/>
          </w:tcPr>
          <w:p>
            <w:pPr>
              <w:pStyle w:val="TableParagraph"/>
              <w:spacing w:line="160" w:lineRule="exact"/>
              <w:ind w:left="252" w:right="252"/>
              <w:jc w:val="center"/>
              <w:rPr>
                <w:sz w:val="16"/>
              </w:rPr>
            </w:pPr>
            <w:r>
              <w:rPr>
                <w:color w:val="231F20"/>
                <w:w w:val="85"/>
                <w:sz w:val="16"/>
              </w:rPr>
              <w:t>Derechos</w:t>
            </w:r>
          </w:p>
        </w:tc>
        <w:tc>
          <w:tcPr>
            <w:tcW w:w="1516" w:type="dxa"/>
          </w:tcPr>
          <w:p>
            <w:pPr>
              <w:pStyle w:val="TableParagraph"/>
              <w:spacing w:line="160" w:lineRule="exact"/>
              <w:ind w:left="230" w:right="230"/>
              <w:jc w:val="center"/>
              <w:rPr>
                <w:sz w:val="16"/>
              </w:rPr>
            </w:pPr>
            <w:r>
              <w:rPr>
                <w:color w:val="231F20"/>
                <w:w w:val="85"/>
                <w:sz w:val="16"/>
              </w:rPr>
              <w:t>2’321,653</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Aportación de mejoras</w:t>
            </w:r>
          </w:p>
        </w:tc>
        <w:tc>
          <w:tcPr>
            <w:tcW w:w="1516" w:type="dxa"/>
          </w:tcPr>
          <w:p>
            <w:pPr>
              <w:pStyle w:val="TableParagraph"/>
              <w:spacing w:line="163" w:lineRule="exact"/>
              <w:ind w:left="230" w:right="230"/>
              <w:jc w:val="center"/>
              <w:rPr>
                <w:sz w:val="16"/>
              </w:rPr>
            </w:pPr>
            <w:r>
              <w:rPr>
                <w:color w:val="231F20"/>
                <w:w w:val="85"/>
                <w:sz w:val="16"/>
              </w:rPr>
              <w:t>560,921</w:t>
            </w:r>
          </w:p>
        </w:tc>
      </w:tr>
      <w:tr>
        <w:trPr>
          <w:trHeight w:val="160" w:hRule="exact"/>
        </w:trPr>
        <w:tc>
          <w:tcPr>
            <w:tcW w:w="4262" w:type="dxa"/>
          </w:tcPr>
          <w:p>
            <w:pPr>
              <w:pStyle w:val="TableParagraph"/>
              <w:spacing w:line="190" w:lineRule="exact"/>
              <w:ind w:left="252" w:right="252"/>
              <w:jc w:val="center"/>
              <w:rPr>
                <w:sz w:val="20"/>
              </w:rPr>
            </w:pPr>
            <w:r>
              <w:rPr>
                <w:color w:val="231F20"/>
                <w:w w:val="85"/>
                <w:sz w:val="20"/>
              </w:rPr>
              <w:t>Productos</w:t>
            </w:r>
          </w:p>
        </w:tc>
        <w:tc>
          <w:tcPr>
            <w:tcW w:w="1516" w:type="dxa"/>
          </w:tcPr>
          <w:p>
            <w:pPr>
              <w:pStyle w:val="TableParagraph"/>
              <w:spacing w:line="163" w:lineRule="exact"/>
              <w:ind w:left="231" w:right="229"/>
              <w:jc w:val="center"/>
              <w:rPr>
                <w:sz w:val="16"/>
              </w:rPr>
            </w:pPr>
            <w:r>
              <w:rPr>
                <w:color w:val="231F20"/>
                <w:w w:val="85"/>
                <w:sz w:val="16"/>
              </w:rPr>
              <w:t>7’359,099</w:t>
            </w:r>
          </w:p>
        </w:tc>
      </w:tr>
      <w:tr>
        <w:trPr>
          <w:trHeight w:val="160" w:hRule="exact"/>
        </w:trPr>
        <w:tc>
          <w:tcPr>
            <w:tcW w:w="4262" w:type="dxa"/>
          </w:tcPr>
          <w:p>
            <w:pPr>
              <w:pStyle w:val="TableParagraph"/>
              <w:spacing w:line="190" w:lineRule="exact"/>
              <w:ind w:left="1435"/>
              <w:rPr>
                <w:sz w:val="20"/>
              </w:rPr>
            </w:pPr>
            <w:r>
              <w:rPr>
                <w:color w:val="231F20"/>
                <w:w w:val="75"/>
                <w:sz w:val="20"/>
              </w:rPr>
              <w:t>a) Balneario Municipal</w:t>
            </w:r>
          </w:p>
        </w:tc>
        <w:tc>
          <w:tcPr>
            <w:tcW w:w="1516" w:type="dxa"/>
          </w:tcPr>
          <w:p>
            <w:pPr>
              <w:pStyle w:val="TableParagraph"/>
              <w:spacing w:line="163" w:lineRule="exact"/>
              <w:ind w:left="230" w:right="230"/>
              <w:jc w:val="center"/>
              <w:rPr>
                <w:sz w:val="16"/>
              </w:rPr>
            </w:pPr>
            <w:r>
              <w:rPr>
                <w:color w:val="231F20"/>
                <w:w w:val="85"/>
                <w:sz w:val="16"/>
              </w:rPr>
              <w:t>5’605,599</w:t>
            </w:r>
          </w:p>
        </w:tc>
      </w:tr>
      <w:tr>
        <w:trPr>
          <w:trHeight w:val="160" w:hRule="exact"/>
        </w:trPr>
        <w:tc>
          <w:tcPr>
            <w:tcW w:w="4262" w:type="dxa"/>
          </w:tcPr>
          <w:p>
            <w:pPr>
              <w:pStyle w:val="TableParagraph"/>
              <w:spacing w:line="190" w:lineRule="exact"/>
              <w:ind w:left="252" w:right="252"/>
              <w:jc w:val="center"/>
              <w:rPr>
                <w:sz w:val="20"/>
              </w:rPr>
            </w:pPr>
            <w:r>
              <w:rPr>
                <w:color w:val="231F20"/>
                <w:w w:val="85"/>
                <w:sz w:val="20"/>
              </w:rPr>
              <w:t>Aprovechamientos</w:t>
            </w:r>
          </w:p>
        </w:tc>
        <w:tc>
          <w:tcPr>
            <w:tcW w:w="1516" w:type="dxa"/>
          </w:tcPr>
          <w:p>
            <w:pPr>
              <w:pStyle w:val="TableParagraph"/>
              <w:spacing w:line="163" w:lineRule="exact"/>
              <w:ind w:left="230" w:right="230"/>
              <w:jc w:val="center"/>
              <w:rPr>
                <w:sz w:val="16"/>
              </w:rPr>
            </w:pPr>
            <w:r>
              <w:rPr>
                <w:color w:val="231F20"/>
                <w:w w:val="85"/>
                <w:sz w:val="16"/>
              </w:rPr>
              <w:t>18,180</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Recursos hábitat</w:t>
            </w:r>
          </w:p>
        </w:tc>
        <w:tc>
          <w:tcPr>
            <w:tcW w:w="1516" w:type="dxa"/>
          </w:tcPr>
          <w:p>
            <w:pPr>
              <w:pStyle w:val="TableParagraph"/>
              <w:spacing w:line="163" w:lineRule="exact"/>
              <w:ind w:left="230" w:right="230"/>
              <w:jc w:val="center"/>
              <w:rPr>
                <w:sz w:val="16"/>
              </w:rPr>
            </w:pPr>
            <w:r>
              <w:rPr>
                <w:color w:val="231F20"/>
                <w:w w:val="85"/>
                <w:sz w:val="16"/>
              </w:rPr>
              <w:t>2’014,058</w:t>
            </w:r>
          </w:p>
        </w:tc>
      </w:tr>
      <w:tr>
        <w:trPr>
          <w:trHeight w:val="160" w:hRule="exact"/>
        </w:trPr>
        <w:tc>
          <w:tcPr>
            <w:tcW w:w="4262" w:type="dxa"/>
          </w:tcPr>
          <w:p>
            <w:pPr>
              <w:pStyle w:val="TableParagraph"/>
              <w:spacing w:line="190" w:lineRule="exact"/>
              <w:ind w:left="252" w:right="252"/>
              <w:jc w:val="center"/>
              <w:rPr>
                <w:sz w:val="20"/>
              </w:rPr>
            </w:pPr>
            <w:r>
              <w:rPr>
                <w:color w:val="231F20"/>
                <w:w w:val="85"/>
                <w:sz w:val="20"/>
              </w:rPr>
              <w:t>PIE</w:t>
            </w:r>
          </w:p>
        </w:tc>
        <w:tc>
          <w:tcPr>
            <w:tcW w:w="1516" w:type="dxa"/>
          </w:tcPr>
          <w:p>
            <w:pPr>
              <w:pStyle w:val="TableParagraph"/>
              <w:spacing w:line="163" w:lineRule="exact"/>
              <w:ind w:left="230" w:right="230"/>
              <w:jc w:val="center"/>
              <w:rPr>
                <w:sz w:val="16"/>
              </w:rPr>
            </w:pPr>
            <w:r>
              <w:rPr>
                <w:color w:val="231F20"/>
                <w:w w:val="75"/>
                <w:sz w:val="16"/>
              </w:rPr>
              <w:t>969, 470</w:t>
            </w:r>
          </w:p>
        </w:tc>
      </w:tr>
      <w:tr>
        <w:trPr>
          <w:trHeight w:val="160" w:hRule="exact"/>
        </w:trPr>
        <w:tc>
          <w:tcPr>
            <w:tcW w:w="4262" w:type="dxa"/>
          </w:tcPr>
          <w:p>
            <w:pPr>
              <w:pStyle w:val="TableParagraph"/>
              <w:spacing w:line="190" w:lineRule="exact"/>
              <w:ind w:left="251" w:right="252"/>
              <w:jc w:val="center"/>
              <w:rPr>
                <w:sz w:val="20"/>
              </w:rPr>
            </w:pPr>
            <w:r>
              <w:rPr>
                <w:color w:val="231F20"/>
                <w:w w:val="85"/>
                <w:sz w:val="20"/>
              </w:rPr>
              <w:t>GIS</w:t>
            </w:r>
          </w:p>
        </w:tc>
        <w:tc>
          <w:tcPr>
            <w:tcW w:w="1516" w:type="dxa"/>
          </w:tcPr>
          <w:p>
            <w:pPr>
              <w:pStyle w:val="TableParagraph"/>
              <w:spacing w:line="163" w:lineRule="exact"/>
              <w:ind w:left="230" w:right="230"/>
              <w:jc w:val="center"/>
              <w:rPr>
                <w:sz w:val="16"/>
              </w:rPr>
            </w:pPr>
            <w:r>
              <w:rPr>
                <w:color w:val="231F20"/>
                <w:w w:val="85"/>
                <w:sz w:val="16"/>
              </w:rPr>
              <w:t>8’841,503</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Recursos federales</w:t>
            </w:r>
          </w:p>
        </w:tc>
        <w:tc>
          <w:tcPr>
            <w:tcW w:w="1516" w:type="dxa"/>
          </w:tcPr>
          <w:p>
            <w:pPr>
              <w:pStyle w:val="TableParagraph"/>
              <w:spacing w:line="163" w:lineRule="exact"/>
              <w:ind w:left="230" w:right="230"/>
              <w:jc w:val="center"/>
              <w:rPr>
                <w:sz w:val="16"/>
              </w:rPr>
            </w:pPr>
            <w:r>
              <w:rPr>
                <w:color w:val="231F20"/>
                <w:w w:val="85"/>
                <w:sz w:val="16"/>
              </w:rPr>
              <w:t>60’231,877</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Recursos estatales</w:t>
            </w:r>
          </w:p>
        </w:tc>
        <w:tc>
          <w:tcPr>
            <w:tcW w:w="1516" w:type="dxa"/>
          </w:tcPr>
          <w:p>
            <w:pPr>
              <w:pStyle w:val="TableParagraph"/>
              <w:spacing w:line="163" w:lineRule="exact"/>
              <w:ind w:left="230" w:right="230"/>
              <w:jc w:val="center"/>
              <w:rPr>
                <w:sz w:val="16"/>
              </w:rPr>
            </w:pPr>
            <w:r>
              <w:rPr>
                <w:color w:val="231F20"/>
                <w:w w:val="85"/>
                <w:sz w:val="16"/>
              </w:rPr>
              <w:t>917,439</w:t>
            </w:r>
          </w:p>
        </w:tc>
      </w:tr>
    </w:tbl>
    <w:p>
      <w:pPr>
        <w:pStyle w:val="BodyText"/>
        <w:spacing w:before="1"/>
        <w:rPr>
          <w:sz w:val="23"/>
        </w:rPr>
      </w:pPr>
    </w:p>
    <w:p>
      <w:pPr>
        <w:spacing w:before="74"/>
        <w:ind w:left="2869" w:right="-15" w:firstLine="0"/>
        <w:jc w:val="left"/>
        <w:rPr>
          <w:rFonts w:ascii="Calibri" w:hAnsi="Calibri"/>
          <w:sz w:val="16"/>
        </w:rPr>
      </w:pPr>
      <w:r>
        <w:rPr>
          <w:rFonts w:ascii="Calibri" w:hAnsi="Calibri"/>
          <w:color w:val="231F20"/>
          <w:sz w:val="16"/>
        </w:rPr>
        <w:t>Fuente: elaboración propia con datos de Tesorería Municipal de Ixtapan de la Sal.</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Cabe destacar que, al contrario a lo que ocurre en algunos municipios en los que en años electorales la capacidad de recaudación tiende a caer, en Ixtapan de la Sal des- pués de haber recaudado 25.31% en 2005, aumentó 2.47 puntos porcentuales para el siguiente año fiscal.</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9"/>
          <w:w w:val="105"/>
        </w:rPr>
        <w:t> </w:t>
      </w:r>
      <w:r>
        <w:rPr>
          <w:color w:val="231F20"/>
          <w:w w:val="105"/>
        </w:rPr>
        <w:t>cuanto</w:t>
      </w:r>
      <w:r>
        <w:rPr>
          <w:color w:val="231F20"/>
          <w:spacing w:val="-19"/>
          <w:w w:val="105"/>
        </w:rPr>
        <w:t> </w:t>
      </w:r>
      <w:r>
        <w:rPr>
          <w:color w:val="231F20"/>
          <w:w w:val="105"/>
        </w:rPr>
        <w:t>al</w:t>
      </w:r>
      <w:r>
        <w:rPr>
          <w:color w:val="231F20"/>
          <w:spacing w:val="-19"/>
          <w:w w:val="105"/>
        </w:rPr>
        <w:t> </w:t>
      </w:r>
      <w:r>
        <w:rPr>
          <w:color w:val="231F20"/>
          <w:w w:val="105"/>
        </w:rPr>
        <w:t>gasto</w:t>
      </w:r>
      <w:r>
        <w:rPr>
          <w:color w:val="231F20"/>
          <w:spacing w:val="-19"/>
          <w:w w:val="105"/>
        </w:rPr>
        <w:t> </w:t>
      </w:r>
      <w:r>
        <w:rPr>
          <w:color w:val="231F20"/>
          <w:spacing w:val="-3"/>
          <w:w w:val="105"/>
        </w:rPr>
        <w:t>que</w:t>
      </w:r>
      <w:r>
        <w:rPr>
          <w:color w:val="231F20"/>
          <w:spacing w:val="-19"/>
          <w:w w:val="105"/>
        </w:rPr>
        <w:t> </w:t>
      </w:r>
      <w:r>
        <w:rPr>
          <w:color w:val="231F20"/>
          <w:w w:val="105"/>
        </w:rPr>
        <w:t>realizó</w:t>
      </w:r>
      <w:r>
        <w:rPr>
          <w:color w:val="231F20"/>
          <w:spacing w:val="-19"/>
          <w:w w:val="105"/>
        </w:rPr>
        <w:t> </w:t>
      </w:r>
      <w:r>
        <w:rPr>
          <w:color w:val="231F20"/>
          <w:w w:val="105"/>
        </w:rPr>
        <w:t>la</w:t>
      </w:r>
      <w:r>
        <w:rPr>
          <w:color w:val="231F20"/>
          <w:spacing w:val="-19"/>
          <w:w w:val="105"/>
        </w:rPr>
        <w:t> </w:t>
      </w:r>
      <w:r>
        <w:rPr>
          <w:color w:val="231F20"/>
          <w:w w:val="105"/>
        </w:rPr>
        <w:t>administración,</w:t>
      </w:r>
      <w:r>
        <w:rPr>
          <w:color w:val="231F20"/>
          <w:spacing w:val="-19"/>
          <w:w w:val="105"/>
        </w:rPr>
        <w:t> </w:t>
      </w:r>
      <w:r>
        <w:rPr>
          <w:color w:val="231F20"/>
          <w:w w:val="105"/>
        </w:rPr>
        <w:t>la</w:t>
      </w:r>
      <w:r>
        <w:rPr>
          <w:color w:val="231F20"/>
          <w:spacing w:val="-19"/>
          <w:w w:val="105"/>
        </w:rPr>
        <w:t> </w:t>
      </w:r>
      <w:r>
        <w:rPr>
          <w:color w:val="231F20"/>
          <w:spacing w:val="-4"/>
          <w:w w:val="105"/>
        </w:rPr>
        <w:t>mayor</w:t>
      </w:r>
      <w:r>
        <w:rPr>
          <w:color w:val="231F20"/>
          <w:spacing w:val="-19"/>
          <w:w w:val="105"/>
        </w:rPr>
        <w:t> </w:t>
      </w:r>
      <w:r>
        <w:rPr>
          <w:color w:val="231F20"/>
          <w:w w:val="105"/>
        </w:rPr>
        <w:t>parte</w:t>
      </w:r>
      <w:r>
        <w:rPr>
          <w:color w:val="231F20"/>
          <w:spacing w:val="-19"/>
          <w:w w:val="105"/>
        </w:rPr>
        <w:t> </w:t>
      </w:r>
      <w:r>
        <w:rPr>
          <w:color w:val="231F20"/>
          <w:w w:val="105"/>
        </w:rPr>
        <w:t>está</w:t>
      </w:r>
      <w:r>
        <w:rPr>
          <w:color w:val="231F20"/>
          <w:spacing w:val="-19"/>
          <w:w w:val="105"/>
        </w:rPr>
        <w:t> </w:t>
      </w:r>
      <w:r>
        <w:rPr>
          <w:color w:val="231F20"/>
          <w:w w:val="105"/>
        </w:rPr>
        <w:t>dirigido</w:t>
      </w:r>
      <w:r>
        <w:rPr>
          <w:color w:val="231F20"/>
          <w:spacing w:val="-19"/>
          <w:w w:val="105"/>
        </w:rPr>
        <w:t> </w:t>
      </w:r>
      <w:r>
        <w:rPr>
          <w:color w:val="231F20"/>
          <w:w w:val="105"/>
        </w:rPr>
        <w:t>al</w:t>
      </w:r>
      <w:r>
        <w:rPr>
          <w:color w:val="231F20"/>
          <w:spacing w:val="-19"/>
          <w:w w:val="105"/>
        </w:rPr>
        <w:t> </w:t>
      </w:r>
      <w:r>
        <w:rPr>
          <w:color w:val="231F20"/>
          <w:w w:val="105"/>
        </w:rPr>
        <w:t>gasto</w:t>
      </w:r>
      <w:r>
        <w:rPr>
          <w:color w:val="231F20"/>
          <w:spacing w:val="-19"/>
          <w:w w:val="105"/>
        </w:rPr>
        <w:t> </w:t>
      </w:r>
      <w:r>
        <w:rPr>
          <w:color w:val="231F20"/>
          <w:w w:val="105"/>
        </w:rPr>
        <w:t>co- </w:t>
      </w:r>
      <w:r>
        <w:rPr>
          <w:color w:val="231F20"/>
          <w:spacing w:val="-3"/>
          <w:w w:val="105"/>
        </w:rPr>
        <w:t>rriente</w:t>
      </w:r>
      <w:r>
        <w:rPr>
          <w:color w:val="231F20"/>
          <w:spacing w:val="-20"/>
          <w:w w:val="105"/>
        </w:rPr>
        <w:t> </w:t>
      </w:r>
      <w:r>
        <w:rPr>
          <w:color w:val="231F20"/>
          <w:spacing w:val="-7"/>
          <w:w w:val="105"/>
        </w:rPr>
        <w:t>(Ver</w:t>
      </w:r>
      <w:r>
        <w:rPr>
          <w:color w:val="231F20"/>
          <w:spacing w:val="-20"/>
          <w:w w:val="105"/>
        </w:rPr>
        <w:t> </w:t>
      </w:r>
      <w:r>
        <w:rPr>
          <w:color w:val="231F20"/>
          <w:w w:val="105"/>
        </w:rPr>
        <w:t>Gráfico</w:t>
      </w:r>
      <w:r>
        <w:rPr>
          <w:color w:val="231F20"/>
          <w:spacing w:val="-20"/>
          <w:w w:val="105"/>
        </w:rPr>
        <w:t> </w:t>
      </w:r>
      <w:r>
        <w:rPr>
          <w:color w:val="231F20"/>
          <w:spacing w:val="-6"/>
          <w:w w:val="105"/>
        </w:rPr>
        <w:t>8),</w:t>
      </w:r>
      <w:r>
        <w:rPr>
          <w:color w:val="231F20"/>
          <w:spacing w:val="-20"/>
          <w:w w:val="105"/>
        </w:rPr>
        <w:t> </w:t>
      </w:r>
      <w:r>
        <w:rPr>
          <w:color w:val="231F20"/>
          <w:w w:val="105"/>
        </w:rPr>
        <w:t>característica</w:t>
      </w:r>
      <w:r>
        <w:rPr>
          <w:color w:val="231F20"/>
          <w:spacing w:val="-20"/>
          <w:w w:val="105"/>
        </w:rPr>
        <w:t> </w:t>
      </w:r>
      <w:r>
        <w:rPr>
          <w:color w:val="231F20"/>
          <w:spacing w:val="-3"/>
          <w:w w:val="105"/>
        </w:rPr>
        <w:t>que</w:t>
      </w:r>
      <w:r>
        <w:rPr>
          <w:color w:val="231F20"/>
          <w:spacing w:val="-20"/>
          <w:w w:val="105"/>
        </w:rPr>
        <w:t> </w:t>
      </w:r>
      <w:r>
        <w:rPr>
          <w:color w:val="231F20"/>
          <w:spacing w:val="-2"/>
          <w:w w:val="105"/>
        </w:rPr>
        <w:t>comparten</w:t>
      </w:r>
      <w:r>
        <w:rPr>
          <w:color w:val="231F20"/>
          <w:spacing w:val="-20"/>
          <w:w w:val="105"/>
        </w:rPr>
        <w:t> </w:t>
      </w:r>
      <w:r>
        <w:rPr>
          <w:color w:val="231F20"/>
          <w:w w:val="105"/>
        </w:rPr>
        <w:t>la</w:t>
      </w:r>
      <w:r>
        <w:rPr>
          <w:color w:val="231F20"/>
          <w:spacing w:val="-20"/>
          <w:w w:val="105"/>
        </w:rPr>
        <w:t> </w:t>
      </w:r>
      <w:r>
        <w:rPr>
          <w:color w:val="231F20"/>
          <w:spacing w:val="-4"/>
          <w:w w:val="105"/>
        </w:rPr>
        <w:t>mayor</w:t>
      </w:r>
      <w:r>
        <w:rPr>
          <w:color w:val="231F20"/>
          <w:spacing w:val="-20"/>
          <w:w w:val="105"/>
        </w:rPr>
        <w:t> </w:t>
      </w:r>
      <w:r>
        <w:rPr>
          <w:color w:val="231F20"/>
          <w:w w:val="105"/>
        </w:rPr>
        <w:t>parte</w:t>
      </w:r>
      <w:r>
        <w:rPr>
          <w:color w:val="231F20"/>
          <w:spacing w:val="-20"/>
          <w:w w:val="105"/>
        </w:rPr>
        <w:t> </w:t>
      </w:r>
      <w:r>
        <w:rPr>
          <w:color w:val="231F20"/>
          <w:w w:val="105"/>
        </w:rPr>
        <w:t>de</w:t>
      </w:r>
      <w:r>
        <w:rPr>
          <w:color w:val="231F20"/>
          <w:spacing w:val="-20"/>
          <w:w w:val="105"/>
        </w:rPr>
        <w:t> </w:t>
      </w:r>
      <w:r>
        <w:rPr>
          <w:color w:val="231F20"/>
          <w:spacing w:val="-3"/>
          <w:w w:val="105"/>
        </w:rPr>
        <w:t>los</w:t>
      </w:r>
      <w:r>
        <w:rPr>
          <w:color w:val="231F20"/>
          <w:spacing w:val="-20"/>
          <w:w w:val="105"/>
        </w:rPr>
        <w:t> </w:t>
      </w:r>
      <w:r>
        <w:rPr>
          <w:color w:val="231F20"/>
          <w:spacing w:val="-3"/>
          <w:w w:val="105"/>
        </w:rPr>
        <w:t>municipios,</w:t>
      </w:r>
      <w:r>
        <w:rPr>
          <w:color w:val="231F20"/>
          <w:spacing w:val="-20"/>
          <w:w w:val="105"/>
        </w:rPr>
        <w:t> </w:t>
      </w:r>
      <w:r>
        <w:rPr>
          <w:color w:val="231F20"/>
          <w:w w:val="105"/>
        </w:rPr>
        <w:t>sin importar</w:t>
      </w:r>
      <w:r>
        <w:rPr>
          <w:color w:val="231F20"/>
          <w:spacing w:val="-12"/>
          <w:w w:val="105"/>
        </w:rPr>
        <w:t> </w:t>
      </w:r>
      <w:r>
        <w:rPr>
          <w:color w:val="231F20"/>
          <w:w w:val="105"/>
        </w:rPr>
        <w:t>la</w:t>
      </w:r>
      <w:r>
        <w:rPr>
          <w:color w:val="231F20"/>
          <w:spacing w:val="-12"/>
          <w:w w:val="105"/>
        </w:rPr>
        <w:t> </w:t>
      </w:r>
      <w:r>
        <w:rPr>
          <w:color w:val="231F20"/>
          <w:spacing w:val="-3"/>
          <w:w w:val="105"/>
        </w:rPr>
        <w:t>bandera</w:t>
      </w:r>
      <w:r>
        <w:rPr>
          <w:color w:val="231F20"/>
          <w:spacing w:val="-12"/>
          <w:w w:val="105"/>
        </w:rPr>
        <w:t> </w:t>
      </w:r>
      <w:r>
        <w:rPr>
          <w:color w:val="231F20"/>
          <w:w w:val="105"/>
        </w:rPr>
        <w:t>partidista,</w:t>
      </w:r>
      <w:r>
        <w:rPr>
          <w:color w:val="231F20"/>
          <w:spacing w:val="-12"/>
          <w:w w:val="105"/>
        </w:rPr>
        <w:t> </w:t>
      </w:r>
      <w:r>
        <w:rPr>
          <w:color w:val="231F20"/>
          <w:w w:val="105"/>
        </w:rPr>
        <w:t>el</w:t>
      </w:r>
      <w:r>
        <w:rPr>
          <w:color w:val="231F20"/>
          <w:spacing w:val="-12"/>
          <w:w w:val="105"/>
        </w:rPr>
        <w:t> </w:t>
      </w:r>
      <w:r>
        <w:rPr>
          <w:color w:val="231F20"/>
          <w:w w:val="105"/>
        </w:rPr>
        <w:t>segundo</w:t>
      </w:r>
      <w:r>
        <w:rPr>
          <w:color w:val="231F20"/>
          <w:spacing w:val="-12"/>
          <w:w w:val="105"/>
        </w:rPr>
        <w:t> </w:t>
      </w:r>
      <w:r>
        <w:rPr>
          <w:color w:val="231F20"/>
          <w:spacing w:val="-3"/>
          <w:w w:val="105"/>
        </w:rPr>
        <w:t>rubro</w:t>
      </w:r>
      <w:r>
        <w:rPr>
          <w:color w:val="231F20"/>
          <w:spacing w:val="-12"/>
          <w:w w:val="105"/>
        </w:rPr>
        <w:t> </w:t>
      </w:r>
      <w:r>
        <w:rPr>
          <w:color w:val="231F20"/>
          <w:spacing w:val="-4"/>
          <w:w w:val="105"/>
        </w:rPr>
        <w:t>corresponde</w:t>
      </w:r>
      <w:r>
        <w:rPr>
          <w:color w:val="231F20"/>
          <w:spacing w:val="-12"/>
          <w:w w:val="105"/>
        </w:rPr>
        <w:t> </w:t>
      </w:r>
      <w:r>
        <w:rPr>
          <w:color w:val="231F20"/>
          <w:w w:val="105"/>
        </w:rPr>
        <w:t>a</w:t>
      </w:r>
      <w:r>
        <w:rPr>
          <w:color w:val="231F20"/>
          <w:spacing w:val="-12"/>
          <w:w w:val="105"/>
        </w:rPr>
        <w:t> </w:t>
      </w:r>
      <w:r>
        <w:rPr>
          <w:color w:val="231F20"/>
          <w:w w:val="105"/>
        </w:rPr>
        <w:t>obras</w:t>
      </w:r>
      <w:r>
        <w:rPr>
          <w:color w:val="231F20"/>
          <w:spacing w:val="-12"/>
          <w:w w:val="105"/>
        </w:rPr>
        <w:t> </w:t>
      </w:r>
      <w:r>
        <w:rPr>
          <w:color w:val="231F20"/>
          <w:spacing w:val="-3"/>
          <w:w w:val="105"/>
        </w:rPr>
        <w:t>públicas</w:t>
      </w:r>
      <w:r>
        <w:rPr>
          <w:color w:val="231F20"/>
          <w:spacing w:val="-12"/>
          <w:w w:val="105"/>
        </w:rPr>
        <w:t> </w:t>
      </w:r>
      <w:r>
        <w:rPr>
          <w:color w:val="231F20"/>
          <w:w w:val="105"/>
        </w:rPr>
        <w:t>e</w:t>
      </w:r>
      <w:r>
        <w:rPr>
          <w:color w:val="231F20"/>
          <w:spacing w:val="-12"/>
          <w:w w:val="105"/>
        </w:rPr>
        <w:t> </w:t>
      </w:r>
      <w:r>
        <w:rPr>
          <w:color w:val="231F20"/>
          <w:spacing w:val="-3"/>
          <w:w w:val="105"/>
        </w:rPr>
        <w:t>inversio- nes</w:t>
      </w:r>
      <w:r>
        <w:rPr>
          <w:color w:val="231F20"/>
          <w:spacing w:val="-19"/>
          <w:w w:val="105"/>
        </w:rPr>
        <w:t> </w:t>
      </w:r>
      <w:r>
        <w:rPr>
          <w:color w:val="231F20"/>
          <w:spacing w:val="-3"/>
          <w:w w:val="105"/>
        </w:rPr>
        <w:t>(transferencias</w:t>
      </w:r>
      <w:r>
        <w:rPr>
          <w:color w:val="231F20"/>
          <w:spacing w:val="-19"/>
          <w:w w:val="105"/>
        </w:rPr>
        <w:t> </w:t>
      </w:r>
      <w:r>
        <w:rPr>
          <w:color w:val="231F20"/>
          <w:w w:val="105"/>
        </w:rPr>
        <w:t>y</w:t>
      </w:r>
      <w:r>
        <w:rPr>
          <w:color w:val="231F20"/>
          <w:spacing w:val="-19"/>
          <w:w w:val="105"/>
        </w:rPr>
        <w:t> </w:t>
      </w:r>
      <w:r>
        <w:rPr>
          <w:color w:val="231F20"/>
          <w:w w:val="105"/>
        </w:rPr>
        <w:t>programas</w:t>
      </w:r>
      <w:r>
        <w:rPr>
          <w:color w:val="231F20"/>
          <w:spacing w:val="-19"/>
          <w:w w:val="105"/>
        </w:rPr>
        <w:t> </w:t>
      </w:r>
      <w:r>
        <w:rPr>
          <w:color w:val="231F20"/>
          <w:spacing w:val="-3"/>
          <w:w w:val="105"/>
        </w:rPr>
        <w:t>sociales)</w:t>
      </w:r>
      <w:r>
        <w:rPr>
          <w:color w:val="231F20"/>
          <w:spacing w:val="-19"/>
          <w:w w:val="105"/>
        </w:rPr>
        <w:t> </w:t>
      </w:r>
      <w:r>
        <w:rPr>
          <w:color w:val="231F20"/>
          <w:spacing w:val="-8"/>
          <w:w w:val="105"/>
        </w:rPr>
        <w:t>y,</w:t>
      </w:r>
      <w:r>
        <w:rPr>
          <w:color w:val="231F20"/>
          <w:spacing w:val="-19"/>
          <w:w w:val="105"/>
        </w:rPr>
        <w:t> </w:t>
      </w:r>
      <w:r>
        <w:rPr>
          <w:color w:val="231F20"/>
          <w:spacing w:val="-3"/>
          <w:w w:val="105"/>
        </w:rPr>
        <w:t>por</w:t>
      </w:r>
      <w:r>
        <w:rPr>
          <w:color w:val="231F20"/>
          <w:spacing w:val="-19"/>
          <w:w w:val="105"/>
        </w:rPr>
        <w:t> </w:t>
      </w:r>
      <w:r>
        <w:rPr>
          <w:color w:val="231F20"/>
          <w:w w:val="105"/>
        </w:rPr>
        <w:t>último,</w:t>
      </w:r>
      <w:r>
        <w:rPr>
          <w:color w:val="231F20"/>
          <w:spacing w:val="-19"/>
          <w:w w:val="105"/>
        </w:rPr>
        <w:t> </w:t>
      </w:r>
      <w:r>
        <w:rPr>
          <w:color w:val="231F20"/>
          <w:w w:val="105"/>
        </w:rPr>
        <w:t>el</w:t>
      </w:r>
      <w:r>
        <w:rPr>
          <w:color w:val="231F20"/>
          <w:spacing w:val="-19"/>
          <w:w w:val="105"/>
        </w:rPr>
        <w:t> </w:t>
      </w:r>
      <w:r>
        <w:rPr>
          <w:color w:val="231F20"/>
          <w:spacing w:val="-3"/>
          <w:w w:val="105"/>
        </w:rPr>
        <w:t>endeudamiento</w:t>
      </w:r>
      <w:r>
        <w:rPr>
          <w:color w:val="231F20"/>
          <w:spacing w:val="-19"/>
          <w:w w:val="105"/>
        </w:rPr>
        <w:t> </w:t>
      </w:r>
      <w:r>
        <w:rPr>
          <w:color w:val="231F20"/>
          <w:spacing w:val="-4"/>
          <w:w w:val="105"/>
        </w:rPr>
        <w:t>público.</w:t>
      </w:r>
    </w:p>
    <w:p>
      <w:pPr>
        <w:pStyle w:val="BodyText"/>
        <w:spacing w:before="1"/>
        <w:rPr>
          <w:sz w:val="26"/>
        </w:rPr>
      </w:pPr>
    </w:p>
    <w:p>
      <w:pPr>
        <w:pStyle w:val="BodyText"/>
        <w:spacing w:line="285" w:lineRule="auto"/>
        <w:ind w:left="110" w:right="107"/>
        <w:jc w:val="both"/>
      </w:pPr>
      <w:r>
        <w:rPr>
          <w:color w:val="231F20"/>
          <w:w w:val="105"/>
        </w:rPr>
        <w:t>Al igual que el supuesto anterior en relación a los periodos electorales, cuando tiende a aumentar el gasto de inversión y obras públicas como mecanismo para beneficiar la imagen del gobierno para los comicios electorales, justamente fue en ese año (2006) cuando disminuyeron ambos rubros en el gobierno de Ixtapan de la Sal, pero aumenta la deuda pública (aunque no se sabe para qué fue destinada).</w:t>
      </w:r>
    </w:p>
    <w:p>
      <w:pPr>
        <w:pStyle w:val="BodyText"/>
        <w:spacing w:before="1"/>
        <w:rPr>
          <w:sz w:val="26"/>
        </w:rPr>
      </w:pPr>
    </w:p>
    <w:p>
      <w:pPr>
        <w:pStyle w:val="BodyText"/>
        <w:spacing w:line="285" w:lineRule="auto"/>
        <w:ind w:left="110" w:right="106"/>
        <w:jc w:val="both"/>
      </w:pP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sí</w:t>
      </w:r>
      <w:r>
        <w:rPr>
          <w:color w:val="231F20"/>
          <w:spacing w:val="-19"/>
          <w:w w:val="105"/>
        </w:rPr>
        <w:t> </w:t>
      </w:r>
      <w:r>
        <w:rPr>
          <w:color w:val="231F20"/>
          <w:w w:val="105"/>
        </w:rPr>
        <w:t>puede</w:t>
      </w:r>
      <w:r>
        <w:rPr>
          <w:color w:val="231F20"/>
          <w:spacing w:val="-19"/>
          <w:w w:val="105"/>
        </w:rPr>
        <w:t> </w:t>
      </w:r>
      <w:r>
        <w:rPr>
          <w:color w:val="231F20"/>
          <w:spacing w:val="2"/>
          <w:w w:val="105"/>
        </w:rPr>
        <w:t>afirmarse</w:t>
      </w:r>
      <w:r>
        <w:rPr>
          <w:color w:val="231F20"/>
          <w:spacing w:val="-19"/>
          <w:w w:val="105"/>
        </w:rPr>
        <w:t> </w:t>
      </w:r>
      <w:r>
        <w:rPr>
          <w:color w:val="231F20"/>
          <w:w w:val="105"/>
        </w:rPr>
        <w:t>es</w:t>
      </w:r>
      <w:r>
        <w:rPr>
          <w:color w:val="231F20"/>
          <w:spacing w:val="-19"/>
          <w:w w:val="105"/>
        </w:rPr>
        <w:t> </w:t>
      </w:r>
      <w:r>
        <w:rPr>
          <w:color w:val="231F20"/>
          <w:w w:val="105"/>
        </w:rPr>
        <w:t>que</w:t>
      </w:r>
      <w:r>
        <w:rPr>
          <w:color w:val="231F20"/>
          <w:spacing w:val="-19"/>
          <w:w w:val="105"/>
        </w:rPr>
        <w:t> </w:t>
      </w:r>
      <w:r>
        <w:rPr>
          <w:color w:val="231F20"/>
          <w:w w:val="105"/>
        </w:rPr>
        <w:t>justamente</w:t>
      </w:r>
      <w:r>
        <w:rPr>
          <w:color w:val="231F20"/>
          <w:spacing w:val="-19"/>
          <w:w w:val="105"/>
        </w:rPr>
        <w:t> </w:t>
      </w:r>
      <w:r>
        <w:rPr>
          <w:color w:val="231F20"/>
          <w:w w:val="105"/>
        </w:rPr>
        <w:t>a</w:t>
      </w:r>
      <w:r>
        <w:rPr>
          <w:color w:val="231F20"/>
          <w:spacing w:val="-19"/>
          <w:w w:val="105"/>
        </w:rPr>
        <w:t> </w:t>
      </w:r>
      <w:r>
        <w:rPr>
          <w:color w:val="231F20"/>
          <w:w w:val="105"/>
        </w:rPr>
        <w:t>finales</w:t>
      </w:r>
      <w:r>
        <w:rPr>
          <w:color w:val="231F20"/>
          <w:spacing w:val="-19"/>
          <w:w w:val="105"/>
        </w:rPr>
        <w:t> </w:t>
      </w:r>
      <w:r>
        <w:rPr>
          <w:color w:val="231F20"/>
          <w:w w:val="105"/>
        </w:rPr>
        <w:t>del</w:t>
      </w:r>
      <w:r>
        <w:rPr>
          <w:color w:val="231F20"/>
          <w:spacing w:val="-19"/>
          <w:w w:val="105"/>
        </w:rPr>
        <w:t> </w:t>
      </w:r>
      <w:r>
        <w:rPr>
          <w:color w:val="231F20"/>
          <w:w w:val="105"/>
        </w:rPr>
        <w:t>primer</w:t>
      </w:r>
      <w:r>
        <w:rPr>
          <w:color w:val="231F20"/>
          <w:spacing w:val="-19"/>
          <w:w w:val="105"/>
        </w:rPr>
        <w:t> </w:t>
      </w:r>
      <w:r>
        <w:rPr>
          <w:color w:val="231F20"/>
          <w:w w:val="105"/>
        </w:rPr>
        <w:t>año</w:t>
      </w:r>
      <w:r>
        <w:rPr>
          <w:color w:val="231F20"/>
          <w:spacing w:val="-19"/>
          <w:w w:val="105"/>
        </w:rPr>
        <w:t> </w:t>
      </w:r>
      <w:r>
        <w:rPr>
          <w:color w:val="231F20"/>
          <w:w w:val="105"/>
        </w:rPr>
        <w:t>de</w:t>
      </w:r>
      <w:r>
        <w:rPr>
          <w:color w:val="231F20"/>
          <w:spacing w:val="-19"/>
          <w:w w:val="105"/>
        </w:rPr>
        <w:t> </w:t>
      </w:r>
      <w:r>
        <w:rPr>
          <w:color w:val="231F20"/>
          <w:w w:val="105"/>
        </w:rPr>
        <w:t>gobierno</w:t>
      </w:r>
      <w:r>
        <w:rPr>
          <w:color w:val="231F20"/>
          <w:spacing w:val="-19"/>
          <w:w w:val="105"/>
        </w:rPr>
        <w:t> </w:t>
      </w:r>
      <w:r>
        <w:rPr>
          <w:color w:val="231F20"/>
          <w:w w:val="105"/>
        </w:rPr>
        <w:t>(2007) es</w:t>
      </w:r>
      <w:r>
        <w:rPr>
          <w:color w:val="231F20"/>
          <w:spacing w:val="-7"/>
          <w:w w:val="105"/>
        </w:rPr>
        <w:t> </w:t>
      </w:r>
      <w:r>
        <w:rPr>
          <w:color w:val="231F20"/>
          <w:w w:val="105"/>
        </w:rPr>
        <w:t>cuando</w:t>
      </w:r>
      <w:r>
        <w:rPr>
          <w:color w:val="231F20"/>
          <w:spacing w:val="-7"/>
          <w:w w:val="105"/>
        </w:rPr>
        <w:t> </w:t>
      </w:r>
      <w:r>
        <w:rPr>
          <w:color w:val="231F20"/>
          <w:w w:val="105"/>
        </w:rPr>
        <w:t>se</w:t>
      </w:r>
      <w:r>
        <w:rPr>
          <w:color w:val="231F20"/>
          <w:spacing w:val="-7"/>
          <w:w w:val="105"/>
        </w:rPr>
        <w:t> </w:t>
      </w:r>
      <w:r>
        <w:rPr>
          <w:color w:val="231F20"/>
          <w:w w:val="105"/>
        </w:rPr>
        <w:t>incrementa</w:t>
      </w:r>
      <w:r>
        <w:rPr>
          <w:color w:val="231F20"/>
          <w:spacing w:val="-7"/>
          <w:w w:val="105"/>
        </w:rPr>
        <w:t> </w:t>
      </w:r>
      <w:r>
        <w:rPr>
          <w:color w:val="231F20"/>
          <w:w w:val="105"/>
        </w:rPr>
        <w:t>el</w:t>
      </w:r>
      <w:r>
        <w:rPr>
          <w:color w:val="231F20"/>
          <w:spacing w:val="-7"/>
          <w:w w:val="105"/>
        </w:rPr>
        <w:t> </w:t>
      </w:r>
      <w:r>
        <w:rPr>
          <w:color w:val="231F20"/>
          <w:w w:val="105"/>
        </w:rPr>
        <w:t>gasto</w:t>
      </w:r>
      <w:r>
        <w:rPr>
          <w:color w:val="231F20"/>
          <w:spacing w:val="-7"/>
          <w:w w:val="105"/>
        </w:rPr>
        <w:t> </w:t>
      </w:r>
      <w:r>
        <w:rPr>
          <w:color w:val="231F20"/>
          <w:w w:val="105"/>
        </w:rPr>
        <w:t>en</w:t>
      </w:r>
      <w:r>
        <w:rPr>
          <w:color w:val="231F20"/>
          <w:spacing w:val="-7"/>
          <w:w w:val="105"/>
        </w:rPr>
        <w:t> </w:t>
      </w:r>
      <w:r>
        <w:rPr>
          <w:color w:val="231F20"/>
          <w:w w:val="105"/>
        </w:rPr>
        <w:t>obra</w:t>
      </w:r>
      <w:r>
        <w:rPr>
          <w:color w:val="231F20"/>
          <w:spacing w:val="-7"/>
          <w:w w:val="105"/>
        </w:rPr>
        <w:t> </w:t>
      </w:r>
      <w:r>
        <w:rPr>
          <w:color w:val="231F20"/>
          <w:w w:val="105"/>
        </w:rPr>
        <w:t>pública</w:t>
      </w:r>
      <w:r>
        <w:rPr>
          <w:color w:val="231F20"/>
          <w:spacing w:val="-7"/>
          <w:w w:val="105"/>
        </w:rPr>
        <w:t> </w:t>
      </w:r>
      <w:r>
        <w:rPr>
          <w:color w:val="231F20"/>
          <w:w w:val="105"/>
        </w:rPr>
        <w:t>e</w:t>
      </w:r>
      <w:r>
        <w:rPr>
          <w:color w:val="231F20"/>
          <w:spacing w:val="-7"/>
          <w:w w:val="105"/>
        </w:rPr>
        <w:t> </w:t>
      </w:r>
      <w:r>
        <w:rPr>
          <w:color w:val="231F20"/>
          <w:w w:val="105"/>
        </w:rPr>
        <w:t>inversión,</w:t>
      </w:r>
      <w:r>
        <w:rPr>
          <w:color w:val="231F20"/>
          <w:spacing w:val="-7"/>
          <w:w w:val="105"/>
        </w:rPr>
        <w:t> </w:t>
      </w:r>
      <w:r>
        <w:rPr>
          <w:color w:val="231F20"/>
          <w:w w:val="105"/>
        </w:rPr>
        <w:t>y</w:t>
      </w:r>
      <w:r>
        <w:rPr>
          <w:color w:val="231F20"/>
          <w:spacing w:val="-7"/>
          <w:w w:val="105"/>
        </w:rPr>
        <w:t> </w:t>
      </w:r>
      <w:r>
        <w:rPr>
          <w:color w:val="231F20"/>
          <w:w w:val="105"/>
        </w:rPr>
        <w:t>disminuye</w:t>
      </w:r>
      <w:r>
        <w:rPr>
          <w:color w:val="231F20"/>
          <w:spacing w:val="-7"/>
          <w:w w:val="105"/>
        </w:rPr>
        <w:t> </w:t>
      </w:r>
      <w:r>
        <w:rPr>
          <w:color w:val="231F20"/>
          <w:w w:val="105"/>
        </w:rPr>
        <w:t>el</w:t>
      </w:r>
      <w:r>
        <w:rPr>
          <w:color w:val="231F20"/>
          <w:spacing w:val="-7"/>
          <w:w w:val="105"/>
        </w:rPr>
        <w:t> </w:t>
      </w:r>
      <w:r>
        <w:rPr>
          <w:color w:val="231F20"/>
          <w:w w:val="105"/>
        </w:rPr>
        <w:t>corriente; sin</w:t>
      </w:r>
      <w:r>
        <w:rPr>
          <w:color w:val="231F20"/>
          <w:spacing w:val="-16"/>
          <w:w w:val="105"/>
        </w:rPr>
        <w:t> </w:t>
      </w:r>
      <w:r>
        <w:rPr>
          <w:color w:val="231F20"/>
          <w:w w:val="105"/>
        </w:rPr>
        <w:t>embargo</w:t>
      </w:r>
      <w:r>
        <w:rPr>
          <w:color w:val="231F20"/>
          <w:spacing w:val="-16"/>
          <w:w w:val="105"/>
        </w:rPr>
        <w:t> </w:t>
      </w:r>
      <w:r>
        <w:rPr>
          <w:color w:val="231F20"/>
          <w:w w:val="105"/>
        </w:rPr>
        <w:t>para</w:t>
      </w:r>
      <w:r>
        <w:rPr>
          <w:color w:val="231F20"/>
          <w:spacing w:val="-16"/>
          <w:w w:val="105"/>
        </w:rPr>
        <w:t> </w:t>
      </w:r>
      <w:r>
        <w:rPr>
          <w:color w:val="231F20"/>
          <w:spacing w:val="3"/>
          <w:w w:val="105"/>
        </w:rPr>
        <w:t>2008</w:t>
      </w:r>
      <w:r>
        <w:rPr>
          <w:color w:val="231F20"/>
          <w:spacing w:val="-16"/>
          <w:w w:val="105"/>
        </w:rPr>
        <w:t> </w:t>
      </w:r>
      <w:r>
        <w:rPr>
          <w:color w:val="231F20"/>
          <w:w w:val="105"/>
        </w:rPr>
        <w:t>nuevamente</w:t>
      </w:r>
      <w:r>
        <w:rPr>
          <w:color w:val="231F20"/>
          <w:spacing w:val="-16"/>
          <w:w w:val="105"/>
        </w:rPr>
        <w:t> </w:t>
      </w:r>
      <w:r>
        <w:rPr>
          <w:color w:val="231F20"/>
          <w:w w:val="105"/>
        </w:rPr>
        <w:t>la</w:t>
      </w:r>
      <w:r>
        <w:rPr>
          <w:color w:val="231F20"/>
          <w:spacing w:val="-16"/>
          <w:w w:val="105"/>
        </w:rPr>
        <w:t> </w:t>
      </w:r>
      <w:r>
        <w:rPr>
          <w:color w:val="231F20"/>
          <w:w w:val="105"/>
        </w:rPr>
        <w:t>tendencia</w:t>
      </w:r>
      <w:r>
        <w:rPr>
          <w:color w:val="231F20"/>
          <w:spacing w:val="-16"/>
          <w:w w:val="105"/>
        </w:rPr>
        <w:t> </w:t>
      </w:r>
      <w:r>
        <w:rPr>
          <w:color w:val="231F20"/>
          <w:w w:val="105"/>
        </w:rPr>
        <w:t>se</w:t>
      </w:r>
      <w:r>
        <w:rPr>
          <w:color w:val="231F20"/>
          <w:spacing w:val="-16"/>
          <w:w w:val="105"/>
        </w:rPr>
        <w:t> </w:t>
      </w:r>
      <w:r>
        <w:rPr>
          <w:color w:val="231F20"/>
          <w:w w:val="105"/>
        </w:rPr>
        <w:t>vuelve</w:t>
      </w:r>
      <w:r>
        <w:rPr>
          <w:color w:val="231F20"/>
          <w:spacing w:val="-16"/>
          <w:w w:val="105"/>
        </w:rPr>
        <w:t> </w:t>
      </w:r>
      <w:r>
        <w:rPr>
          <w:color w:val="231F20"/>
          <w:w w:val="105"/>
        </w:rPr>
        <w:t>inversa</w:t>
      </w:r>
      <w:r>
        <w:rPr>
          <w:color w:val="231F20"/>
          <w:spacing w:val="-16"/>
          <w:w w:val="105"/>
        </w:rPr>
        <w:t> </w:t>
      </w:r>
      <w:r>
        <w:rPr>
          <w:color w:val="231F20"/>
          <w:w w:val="105"/>
        </w:rPr>
        <w:t>en</w:t>
      </w:r>
      <w:r>
        <w:rPr>
          <w:color w:val="231F20"/>
          <w:spacing w:val="-16"/>
          <w:w w:val="105"/>
        </w:rPr>
        <w:t> </w:t>
      </w:r>
      <w:r>
        <w:rPr>
          <w:color w:val="231F20"/>
          <w:w w:val="105"/>
        </w:rPr>
        <w:t>ambos</w:t>
      </w:r>
      <w:r>
        <w:rPr>
          <w:color w:val="231F20"/>
          <w:spacing w:val="-16"/>
          <w:w w:val="105"/>
        </w:rPr>
        <w:t> </w:t>
      </w:r>
      <w:r>
        <w:rPr>
          <w:color w:val="231F20"/>
          <w:w w:val="105"/>
        </w:rPr>
        <w:t>casos.</w:t>
      </w:r>
    </w:p>
    <w:p>
      <w:pPr>
        <w:spacing w:after="0" w:line="285" w:lineRule="auto"/>
        <w:jc w:val="both"/>
        <w:sectPr>
          <w:pgSz w:w="9640" w:h="12190"/>
          <w:pgMar w:header="0" w:footer="743" w:top="1120" w:bottom="940" w:left="740" w:right="740"/>
        </w:sectPr>
      </w:pPr>
    </w:p>
    <w:p>
      <w:pPr>
        <w:pStyle w:val="Heading5"/>
        <w:spacing w:before="27"/>
        <w:ind w:left="1481"/>
      </w:pPr>
      <w:r>
        <w:rPr/>
        <w:pict>
          <v:group style="position:absolute;margin-left:142.468994pt;margin-top:22.789942pt;width:223.75pt;height:175pt;mso-position-horizontal-relative:page;mso-position-vertical-relative:paragraph;z-index:7672" coordorigin="2849,456" coordsize="4475,3500">
            <v:shape style="position:absolute;left:2854;top:461;width:1540;height:2685" coordorigin="2854,461" coordsize="1540,2685" path="m4354,461l2854,951,2964,3146,4394,2221,4354,461xe" filled="true" fillcolor="#808285" stroked="false">
              <v:path arrowok="t"/>
              <v:fill type="solid"/>
            </v:shape>
            <v:shape style="position:absolute;left:4354;top:461;width:2965;height:2035" coordorigin="4354,461" coordsize="2965,2035" path="m4354,461l4394,2221,7224,2496,7319,611,4354,461xe" filled="true" fillcolor="#bcbec0" stroked="false">
              <v:path arrowok="t"/>
              <v:fill type="solid"/>
            </v:shape>
            <v:shape style="position:absolute;left:2964;top:2221;width:4260;height:1405" coordorigin="2964,2221" coordsize="4260,1405" path="m4394,2221l2964,3146,6514,3626,7224,2496,4394,2221xe" filled="true" fillcolor="#e6e7e8" stroked="false">
              <v:path arrowok="t"/>
              <v:fill type="solid"/>
            </v:shape>
            <v:shape style="position:absolute;left:-4465;top:10910;width:4465;height:2365" coordorigin="-4465,10910" coordsize="4465,2365" path="m7319,611l4354,461,2854,951m2870,1263l4369,731,7306,885m2887,1598l4354,998,7289,1169m2903,1921l4374,1231,7278,1435m2918,2221l4379,1486,7264,1711m2933,2516l4374,1731,7251,1970m2948,2826l4384,1976,7238,2221e" filled="false" stroked="true" strokeweight=".5pt" strokecolor="#231f20">
              <v:path arrowok="t"/>
            </v:shape>
            <v:shape style="position:absolute;left:4357;top:748;width:2683;height:502" coordorigin="4357,748" coordsize="2683,502" path="m4774,774l4477,748,4357,801,4642,826,4774,774m5496,840l5211,813,5091,866,5376,891,5496,840m6232,1193l5932,1171,5832,1238,6139,1250,6232,1193m7039,801l6725,774,6640,836,6967,852,7039,801e" filled="true" fillcolor="#2b3890" stroked="false">
              <v:path arrowok="t"/>
              <v:fill type="solid"/>
            </v:shape>
            <v:shape style="position:absolute;left:4357;top:801;width:2610;height:1830" coordorigin="4357,801" coordsize="2610,1830" path="m4657,2396l4642,826,4357,801,4384,2363,4657,2396m5376,891l5091,866,5091,2433,5369,2468,5376,891m6139,1250l5832,1238,5832,2506,6119,2547,6139,1250m6967,852l6640,836,6587,2593,6892,2631,6967,852e" filled="true" fillcolor="#50579f" stroked="false">
              <v:path arrowok="t"/>
              <v:fill type="solid"/>
            </v:shape>
            <v:shape style="position:absolute;left:4642;top:774;width:2398;height:1858" coordorigin="4642,774" coordsize="2398,1858" path="m4774,774l4642,826,4657,2396,4774,2316,4774,774m5496,840l5376,891,5369,2468,5484,2396,5496,840m6232,1193l6139,1250,6119,2547,6209,2468,6232,1193m7039,801l6967,852,6892,2631,6967,2547,7039,801e" filled="true" fillcolor="#3c3f79" stroked="false">
              <v:path arrowok="t"/>
              <v:fill type="solid"/>
            </v:shape>
            <v:shape style="position:absolute;left:4064;top:1741;width:2758;height:523" coordorigin="4064,1741" coordsize="2758,523" path="m4474,1898l4192,1861,4064,1946,4347,1981,4474,1898m5239,2016l4919,1981,4809,2058,5107,2098,5239,2016m6009,1781l5699,1741,5626,1790,5590,1815,5580,1824,5587,1826,5644,1830,5914,1852,6009,1781m6822,2173l6494,2133,6409,2228,6739,2263,6822,2173e" filled="true" fillcolor="#8dc63f" stroked="false">
              <v:path arrowok="t"/>
              <v:fill type="solid"/>
            </v:shape>
            <v:shape style="position:absolute;left:4064;top:1826;width:2675;height:1055" coordorigin="4064,1826" coordsize="2675,1055" path="m4354,2613l4347,1981,4064,1946,4064,2568,4354,2613m5107,2098l4809,2058,4809,2651,5107,2698,5107,2098m5914,1852l5587,1826,5587,2743,5892,2788,5914,1852m6739,2263l6409,2228,6397,2843,6717,2881,6739,2263e" filled="true" fillcolor="#bbd976" stroked="false">
              <v:path arrowok="t"/>
              <v:fill type="solid"/>
            </v:shape>
            <v:shape style="position:absolute;left:4347;top:1781;width:2475;height:1100" coordorigin="4347,1781" coordsize="2475,1100" path="m4492,2523l4474,1898,4347,1981,4354,2613,4492,2523m5239,2016l5107,2098,5107,2698,5239,2613,5239,2016m6009,1781l5914,1852,5892,2788,6009,2698,6009,1781m6822,2173l6739,2263,6717,2881,6804,2788,6822,2173e" filled="true" fillcolor="#73a533" stroked="false">
              <v:path arrowok="t"/>
              <v:fill type="solid"/>
            </v:shape>
            <v:shape style="position:absolute;left:3714;top:2383;width:2910;height:338" coordorigin="3714,2383" coordsize="2910,338" path="m4167,2408l3862,2383,3714,2476,4019,2506,4167,2408m4944,2506l4627,2476,4562,2526,4515,2561,4489,2578,4814,2616,4944,2506m5767,2455l5434,2416,5338,2507,5317,2526,5649,2568,5767,2455m6624,2603l6272,2568,6174,2676,6534,2721,6624,2603e" filled="true" fillcolor="#ef4136" stroked="false">
              <v:path arrowok="t"/>
              <v:fill type="solid"/>
            </v:shape>
            <v:shape style="position:absolute;left:3714;top:2476;width:2820;height:685" coordorigin="3714,2476" coordsize="2820,685" path="m4029,2858l4019,2506,3714,2476,3714,2816,4029,2858m4817,2948l4814,2616,4489,2578,4507,2906,4817,2948m5649,2568l5317,2526,5317,3016,5649,3048,5649,2568m6534,2721l6174,2676,6174,3113,6522,3161,6534,2721e" filled="true" fillcolor="#f3705a" stroked="false">
              <v:path arrowok="t"/>
              <v:fill type="solid"/>
            </v:shape>
            <v:shape style="position:absolute;left:4019;top:2408;width:2605;height:753" coordorigin="4019,2408" coordsize="2605,753" path="m4167,2408l4019,2506,4029,2858,4167,2748,4167,2408m4944,2506l4814,2616,4817,2948,4944,2858,4944,2506m5767,2455l5649,2568,5649,3048,5767,2938,5767,2455m6624,2603l6534,2721,6522,3161,6612,3048,6624,2603e" filled="true" fillcolor="#c5342b" stroked="false">
              <v:path arrowok="t"/>
              <v:fill type="solid"/>
            </v:shape>
            <v:shape style="position:absolute;left:3312;top:2858;width:3088;height:623" coordorigin="3312,2858" coordsize="3088,623" path="m3819,2898l3489,2858,3312,2981,3652,3023,3819,2898m4632,2918l4294,2871,4137,2996,4489,3048,4632,2918m5483,3141l5139,3103,5002,3236,5367,3281,5483,3141m6399,3331l6027,3281,5917,3428,6297,3481,6399,3331e" filled="true" fillcolor="#1b75bc" stroked="false">
              <v:path arrowok="t"/>
              <v:fill type="solid"/>
            </v:shape>
            <v:shape style="position:absolute;left:3312;top:2981;width:2060;height:375" coordorigin="3312,2981" coordsize="2060,375" path="m3652,3023l3312,2981,3312,3093,3649,3136,3652,3023m4489,3048l4137,2996,4137,3192,4489,3246,4489,3048m5372,3356l5367,3281,5002,3236,5002,3318,5372,3356e" filled="true" fillcolor="#5698d2" stroked="false">
              <v:path arrowok="t"/>
              <v:fill type="solid"/>
            </v:shape>
            <v:shape style="position:absolute;left:3649;top:2898;width:1845;height:458" coordorigin="3649,2898" coordsize="1845,458" path="m3819,2898l3652,3023,3649,3136,3819,3006,3819,2898m4632,2918l4489,3048,4489,3246,4632,3121,4632,2918m5494,3236l5483,3141,5367,3281,5372,3356,5494,3236e" filled="true" fillcolor="#16629e" stroked="false">
              <v:path arrowok="t"/>
              <v:fill type="solid"/>
            </v:shape>
            <v:shape style="position:absolute;left:3166;top:3482;width:382;height:128" type="#_x0000_t75" stroked="false">
              <v:imagedata r:id="rId248" o:title=""/>
            </v:shape>
            <v:shape style="position:absolute;left:4035;top:3595;width:382;height:128" type="#_x0000_t75" stroked="false">
              <v:imagedata r:id="rId249" o:title=""/>
            </v:shape>
            <v:shape style="position:absolute;left:4913;top:3713;width:384;height:128" type="#_x0000_t75" stroked="false">
              <v:imagedata r:id="rId250" o:title=""/>
            </v:shape>
            <v:shape style="position:absolute;left:5842;top:3827;width:382;height:128" type="#_x0000_t75" stroked="false">
              <v:imagedata r:id="rId251" o:title=""/>
            </v:shape>
            <w10:wrap type="none"/>
          </v:group>
        </w:pict>
      </w:r>
      <w:r>
        <w:rPr/>
        <w:drawing>
          <wp:anchor distT="0" distB="0" distL="0" distR="0" allowOverlap="1" layoutInCell="1" locked="0" behindDoc="0" simplePos="0" relativeHeight="7696">
            <wp:simplePos x="0" y="0"/>
            <wp:positionH relativeFrom="page">
              <wp:posOffset>1638819</wp:posOffset>
            </wp:positionH>
            <wp:positionV relativeFrom="paragraph">
              <wp:posOffset>562884</wp:posOffset>
            </wp:positionV>
            <wp:extent cx="104822" cy="72866"/>
            <wp:effectExtent l="0" t="0" r="0" b="0"/>
            <wp:wrapNone/>
            <wp:docPr id="137" name="image215.png" descr=""/>
            <wp:cNvGraphicFramePr>
              <a:graphicFrameLocks noChangeAspect="1"/>
            </wp:cNvGraphicFramePr>
            <a:graphic>
              <a:graphicData uri="http://schemas.openxmlformats.org/drawingml/2006/picture">
                <pic:pic>
                  <pic:nvPicPr>
                    <pic:cNvPr id="138" name="image215.png"/>
                    <pic:cNvPicPr/>
                  </pic:nvPicPr>
                  <pic:blipFill>
                    <a:blip r:embed="rId252" cstate="print"/>
                    <a:stretch>
                      <a:fillRect/>
                    </a:stretch>
                  </pic:blipFill>
                  <pic:spPr>
                    <a:xfrm>
                      <a:off x="0" y="0"/>
                      <a:ext cx="104822" cy="72866"/>
                    </a:xfrm>
                    <a:prstGeom prst="rect">
                      <a:avLst/>
                    </a:prstGeom>
                  </pic:spPr>
                </pic:pic>
              </a:graphicData>
            </a:graphic>
          </wp:anchor>
        </w:drawing>
      </w:r>
      <w:r>
        <w:rPr/>
        <w:drawing>
          <wp:anchor distT="0" distB="0" distL="0" distR="0" allowOverlap="1" layoutInCell="1" locked="0" behindDoc="0" simplePos="0" relativeHeight="7720">
            <wp:simplePos x="0" y="0"/>
            <wp:positionH relativeFrom="page">
              <wp:posOffset>1638919</wp:posOffset>
            </wp:positionH>
            <wp:positionV relativeFrom="paragraph">
              <wp:posOffset>761977</wp:posOffset>
            </wp:positionV>
            <wp:extent cx="104703" cy="73151"/>
            <wp:effectExtent l="0" t="0" r="0" b="0"/>
            <wp:wrapNone/>
            <wp:docPr id="139" name="image216.png" descr=""/>
            <wp:cNvGraphicFramePr>
              <a:graphicFrameLocks noChangeAspect="1"/>
            </wp:cNvGraphicFramePr>
            <a:graphic>
              <a:graphicData uri="http://schemas.openxmlformats.org/drawingml/2006/picture">
                <pic:pic>
                  <pic:nvPicPr>
                    <pic:cNvPr id="140" name="image216.png"/>
                    <pic:cNvPicPr/>
                  </pic:nvPicPr>
                  <pic:blipFill>
                    <a:blip r:embed="rId253" cstate="print"/>
                    <a:stretch>
                      <a:fillRect/>
                    </a:stretch>
                  </pic:blipFill>
                  <pic:spPr>
                    <a:xfrm>
                      <a:off x="0" y="0"/>
                      <a:ext cx="104703" cy="73151"/>
                    </a:xfrm>
                    <a:prstGeom prst="rect">
                      <a:avLst/>
                    </a:prstGeom>
                  </pic:spPr>
                </pic:pic>
              </a:graphicData>
            </a:graphic>
          </wp:anchor>
        </w:drawing>
      </w:r>
      <w:r>
        <w:rPr/>
        <w:drawing>
          <wp:anchor distT="0" distB="0" distL="0" distR="0" allowOverlap="1" layoutInCell="1" locked="0" behindDoc="0" simplePos="0" relativeHeight="7744">
            <wp:simplePos x="0" y="0"/>
            <wp:positionH relativeFrom="page">
              <wp:posOffset>1638383</wp:posOffset>
            </wp:positionH>
            <wp:positionV relativeFrom="paragraph">
              <wp:posOffset>961663</wp:posOffset>
            </wp:positionV>
            <wp:extent cx="105670" cy="73151"/>
            <wp:effectExtent l="0" t="0" r="0" b="0"/>
            <wp:wrapNone/>
            <wp:docPr id="141" name="image217.png" descr=""/>
            <wp:cNvGraphicFramePr>
              <a:graphicFrameLocks noChangeAspect="1"/>
            </wp:cNvGraphicFramePr>
            <a:graphic>
              <a:graphicData uri="http://schemas.openxmlformats.org/drawingml/2006/picture">
                <pic:pic>
                  <pic:nvPicPr>
                    <pic:cNvPr id="142" name="image217.png"/>
                    <pic:cNvPicPr/>
                  </pic:nvPicPr>
                  <pic:blipFill>
                    <a:blip r:embed="rId254" cstate="print"/>
                    <a:stretch>
                      <a:fillRect/>
                    </a:stretch>
                  </pic:blipFill>
                  <pic:spPr>
                    <a:xfrm>
                      <a:off x="0" y="0"/>
                      <a:ext cx="105670" cy="73151"/>
                    </a:xfrm>
                    <a:prstGeom prst="rect">
                      <a:avLst/>
                    </a:prstGeom>
                  </pic:spPr>
                </pic:pic>
              </a:graphicData>
            </a:graphic>
          </wp:anchor>
        </w:drawing>
      </w:r>
      <w:r>
        <w:rPr/>
        <w:drawing>
          <wp:anchor distT="0" distB="0" distL="0" distR="0" allowOverlap="1" layoutInCell="1" locked="0" behindDoc="0" simplePos="0" relativeHeight="7768">
            <wp:simplePos x="0" y="0"/>
            <wp:positionH relativeFrom="page">
              <wp:posOffset>1637682</wp:posOffset>
            </wp:positionH>
            <wp:positionV relativeFrom="paragraph">
              <wp:posOffset>1160856</wp:posOffset>
            </wp:positionV>
            <wp:extent cx="105669" cy="72866"/>
            <wp:effectExtent l="0" t="0" r="0" b="0"/>
            <wp:wrapNone/>
            <wp:docPr id="143" name="image218.png" descr=""/>
            <wp:cNvGraphicFramePr>
              <a:graphicFrameLocks noChangeAspect="1"/>
            </wp:cNvGraphicFramePr>
            <a:graphic>
              <a:graphicData uri="http://schemas.openxmlformats.org/drawingml/2006/picture">
                <pic:pic>
                  <pic:nvPicPr>
                    <pic:cNvPr id="144" name="image218.png"/>
                    <pic:cNvPicPr/>
                  </pic:nvPicPr>
                  <pic:blipFill>
                    <a:blip r:embed="rId255" cstate="print"/>
                    <a:stretch>
                      <a:fillRect/>
                    </a:stretch>
                  </pic:blipFill>
                  <pic:spPr>
                    <a:xfrm>
                      <a:off x="0" y="0"/>
                      <a:ext cx="105669" cy="72866"/>
                    </a:xfrm>
                    <a:prstGeom prst="rect">
                      <a:avLst/>
                    </a:prstGeom>
                  </pic:spPr>
                </pic:pic>
              </a:graphicData>
            </a:graphic>
          </wp:anchor>
        </w:drawing>
      </w:r>
      <w:r>
        <w:rPr/>
        <w:drawing>
          <wp:anchor distT="0" distB="0" distL="0" distR="0" allowOverlap="1" layoutInCell="1" locked="0" behindDoc="0" simplePos="0" relativeHeight="7792">
            <wp:simplePos x="0" y="0"/>
            <wp:positionH relativeFrom="page">
              <wp:posOffset>1637537</wp:posOffset>
            </wp:positionH>
            <wp:positionV relativeFrom="paragraph">
              <wp:posOffset>1360336</wp:posOffset>
            </wp:positionV>
            <wp:extent cx="105947" cy="72866"/>
            <wp:effectExtent l="0" t="0" r="0" b="0"/>
            <wp:wrapNone/>
            <wp:docPr id="145" name="image219.png" descr=""/>
            <wp:cNvGraphicFramePr>
              <a:graphicFrameLocks noChangeAspect="1"/>
            </wp:cNvGraphicFramePr>
            <a:graphic>
              <a:graphicData uri="http://schemas.openxmlformats.org/drawingml/2006/picture">
                <pic:pic>
                  <pic:nvPicPr>
                    <pic:cNvPr id="146" name="image219.png"/>
                    <pic:cNvPicPr/>
                  </pic:nvPicPr>
                  <pic:blipFill>
                    <a:blip r:embed="rId256" cstate="print"/>
                    <a:stretch>
                      <a:fillRect/>
                    </a:stretch>
                  </pic:blipFill>
                  <pic:spPr>
                    <a:xfrm>
                      <a:off x="0" y="0"/>
                      <a:ext cx="105947" cy="72866"/>
                    </a:xfrm>
                    <a:prstGeom prst="rect">
                      <a:avLst/>
                    </a:prstGeom>
                  </pic:spPr>
                </pic:pic>
              </a:graphicData>
            </a:graphic>
          </wp:anchor>
        </w:drawing>
      </w:r>
      <w:r>
        <w:rPr/>
        <w:drawing>
          <wp:anchor distT="0" distB="0" distL="0" distR="0" allowOverlap="1" layoutInCell="1" locked="0" behindDoc="0" simplePos="0" relativeHeight="7816">
            <wp:simplePos x="0" y="0"/>
            <wp:positionH relativeFrom="page">
              <wp:posOffset>1638275</wp:posOffset>
            </wp:positionH>
            <wp:positionV relativeFrom="paragraph">
              <wp:posOffset>1559587</wp:posOffset>
            </wp:positionV>
            <wp:extent cx="105009" cy="72866"/>
            <wp:effectExtent l="0" t="0" r="0" b="0"/>
            <wp:wrapNone/>
            <wp:docPr id="147" name="image220.png" descr=""/>
            <wp:cNvGraphicFramePr>
              <a:graphicFrameLocks noChangeAspect="1"/>
            </wp:cNvGraphicFramePr>
            <a:graphic>
              <a:graphicData uri="http://schemas.openxmlformats.org/drawingml/2006/picture">
                <pic:pic>
                  <pic:nvPicPr>
                    <pic:cNvPr id="148" name="image220.png"/>
                    <pic:cNvPicPr/>
                  </pic:nvPicPr>
                  <pic:blipFill>
                    <a:blip r:embed="rId257" cstate="print"/>
                    <a:stretch>
                      <a:fillRect/>
                    </a:stretch>
                  </pic:blipFill>
                  <pic:spPr>
                    <a:xfrm>
                      <a:off x="0" y="0"/>
                      <a:ext cx="105009" cy="72866"/>
                    </a:xfrm>
                    <a:prstGeom prst="rect">
                      <a:avLst/>
                    </a:prstGeom>
                  </pic:spPr>
                </pic:pic>
              </a:graphicData>
            </a:graphic>
          </wp:anchor>
        </w:drawing>
      </w:r>
      <w:r>
        <w:rPr/>
        <w:pict>
          <v:shape style="position:absolute;margin-left:129.513pt;margin-top:138.521530pt;width:7.8pt;height:5.75pt;mso-position-horizontal-relative:page;mso-position-vertical-relative:paragraph;z-index:7840" coordorigin="2590,2770" coordsize="156,115" path="m2632,2771l2621,2771,2619,2780,2616,2785,2608,2790,2600,2791,2590,2792,2590,2803,2617,2803,2617,2882,2632,2882,2632,2771m2746,2810l2744,2798,2736,2783,2732,2776,2731,2776,2731,2814,2731,2844,2729,2856,2720,2869,2714,2873,2698,2873,2692,2867,2685,2850,2684,2841,2684,2814,2686,2803,2694,2787,2700,2783,2717,2783,2723,2787,2729,2804,2731,2814,2731,2776,2722,2770,2707,2770,2696,2772,2687,2777,2679,2785,2674,2796,2671,2805,2669,2816,2669,2829,2669,2840,2671,2851,2674,2860,2677,2868,2684,2880,2694,2885,2722,2885,2733,2878,2735,2873,2744,2854,2746,2841,2746,2810e" filled="true" fillcolor="#231f20" stroked="false">
            <v:path arrowok="t"/>
            <v:fill type="solid"/>
            <w10:wrap type="none"/>
          </v:shape>
        </w:pict>
      </w:r>
      <w:r>
        <w:rPr/>
        <w:pict>
          <v:shape style="position:absolute;margin-left:133.447906pt;margin-top:154.221054pt;width:3.9pt;height:5.75pt;mso-position-horizontal-relative:page;mso-position-vertical-relative:paragraph;z-index:7864" coordorigin="2669,3084" coordsize="78,115" path="m2722,3084l2707,3084,2696,3086,2687,3091,2679,3099,2674,3110,2671,3119,2669,3130,2669,3143,2669,3154,2671,3165,2674,3174,2677,3182,2684,3194,2694,3199,2722,3199,2733,3192,2735,3187,2698,3187,2692,3181,2685,3164,2684,3155,2684,3128,2686,3117,2694,3101,2700,3097,2736,3097,2732,3090,2722,3084xm2736,3097l2717,3097,2723,3101,2729,3118,2731,3128,2731,3158,2729,3170,2720,3183,2714,3187,2735,3187,2744,3168,2746,3155,2746,3124,2744,3112,2736,3097xe" filled="true" fillcolor="#231f20" stroked="false">
            <v:path arrowok="t"/>
            <v:fill type="solid"/>
            <w10:wrap type="none"/>
          </v:shape>
        </w:pict>
      </w:r>
      <w:r>
        <w:rPr>
          <w:color w:val="231F20"/>
          <w:w w:val="105"/>
        </w:rPr>
        <w:t>Gráfico 7. Egresos públicos del municipio, Porcentaje.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1"/>
        </w:rPr>
      </w:pPr>
    </w:p>
    <w:tbl>
      <w:tblPr>
        <w:tblW w:w="0" w:type="auto"/>
        <w:jc w:val="left"/>
        <w:tblInd w:w="1164"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490"/>
        <w:gridCol w:w="1088"/>
        <w:gridCol w:w="1095"/>
        <w:gridCol w:w="1078"/>
        <w:gridCol w:w="1090"/>
      </w:tblGrid>
      <w:tr>
        <w:trPr>
          <w:trHeight w:val="370" w:hRule="exact"/>
        </w:trPr>
        <w:tc>
          <w:tcPr>
            <w:tcW w:w="1490" w:type="dxa"/>
            <w:tcBorders>
              <w:top w:val="nil"/>
              <w:left w:val="nil"/>
            </w:tcBorders>
          </w:tcPr>
          <w:p>
            <w:pPr/>
          </w:p>
        </w:tc>
        <w:tc>
          <w:tcPr>
            <w:tcW w:w="1088" w:type="dxa"/>
          </w:tcPr>
          <w:p>
            <w:pPr>
              <w:pStyle w:val="TableParagraph"/>
              <w:spacing w:before="7"/>
              <w:ind w:left="0"/>
              <w:rPr>
                <w:rFonts w:ascii="Times New Roman"/>
                <w:b/>
                <w:sz w:val="9"/>
              </w:rPr>
            </w:pPr>
          </w:p>
          <w:p>
            <w:pPr>
              <w:pStyle w:val="TableParagraph"/>
              <w:spacing w:line="127" w:lineRule="exact"/>
              <w:ind w:left="357"/>
              <w:rPr>
                <w:rFonts w:ascii="Times New Roman"/>
                <w:sz w:val="12"/>
              </w:rPr>
            </w:pPr>
            <w:r>
              <w:rPr>
                <w:rFonts w:ascii="Times New Roman"/>
                <w:position w:val="-2"/>
                <w:sz w:val="12"/>
              </w:rPr>
              <w:drawing>
                <wp:inline distT="0" distB="0" distL="0" distR="0">
                  <wp:extent cx="241612" cy="80962"/>
                  <wp:effectExtent l="0" t="0" r="0" b="0"/>
                  <wp:docPr id="149" name="image221.png" descr=""/>
                  <wp:cNvGraphicFramePr>
                    <a:graphicFrameLocks noChangeAspect="1"/>
                  </wp:cNvGraphicFramePr>
                  <a:graphic>
                    <a:graphicData uri="http://schemas.openxmlformats.org/drawingml/2006/picture">
                      <pic:pic>
                        <pic:nvPicPr>
                          <pic:cNvPr id="150" name="image221.png"/>
                          <pic:cNvPicPr/>
                        </pic:nvPicPr>
                        <pic:blipFill>
                          <a:blip r:embed="rId258" cstate="print"/>
                          <a:stretch>
                            <a:fillRect/>
                          </a:stretch>
                        </pic:blipFill>
                        <pic:spPr>
                          <a:xfrm>
                            <a:off x="0" y="0"/>
                            <a:ext cx="241612" cy="80962"/>
                          </a:xfrm>
                          <a:prstGeom prst="rect">
                            <a:avLst/>
                          </a:prstGeom>
                        </pic:spPr>
                      </pic:pic>
                    </a:graphicData>
                  </a:graphic>
                </wp:inline>
              </w:drawing>
            </w:r>
            <w:r>
              <w:rPr>
                <w:rFonts w:ascii="Times New Roman"/>
                <w:position w:val="-2"/>
                <w:sz w:val="12"/>
              </w:rPr>
            </w:r>
          </w:p>
        </w:tc>
        <w:tc>
          <w:tcPr>
            <w:tcW w:w="1095" w:type="dxa"/>
          </w:tcPr>
          <w:p>
            <w:pPr>
              <w:pStyle w:val="TableParagraph"/>
              <w:spacing w:before="7"/>
              <w:ind w:left="0"/>
              <w:rPr>
                <w:rFonts w:ascii="Times New Roman"/>
                <w:b/>
                <w:sz w:val="9"/>
              </w:rPr>
            </w:pPr>
          </w:p>
          <w:p>
            <w:pPr>
              <w:pStyle w:val="TableParagraph"/>
              <w:spacing w:line="127" w:lineRule="exact"/>
              <w:ind w:left="366"/>
              <w:rPr>
                <w:rFonts w:ascii="Times New Roman"/>
                <w:sz w:val="12"/>
              </w:rPr>
            </w:pPr>
            <w:r>
              <w:rPr>
                <w:rFonts w:ascii="Times New Roman"/>
                <w:position w:val="-2"/>
                <w:sz w:val="12"/>
              </w:rPr>
              <w:drawing>
                <wp:inline distT="0" distB="0" distL="0" distR="0">
                  <wp:extent cx="241851" cy="80962"/>
                  <wp:effectExtent l="0" t="0" r="0" b="0"/>
                  <wp:docPr id="151" name="image222.png" descr=""/>
                  <wp:cNvGraphicFramePr>
                    <a:graphicFrameLocks noChangeAspect="1"/>
                  </wp:cNvGraphicFramePr>
                  <a:graphic>
                    <a:graphicData uri="http://schemas.openxmlformats.org/drawingml/2006/picture">
                      <pic:pic>
                        <pic:nvPicPr>
                          <pic:cNvPr id="152" name="image222.png"/>
                          <pic:cNvPicPr/>
                        </pic:nvPicPr>
                        <pic:blipFill>
                          <a:blip r:embed="rId259" cstate="print"/>
                          <a:stretch>
                            <a:fillRect/>
                          </a:stretch>
                        </pic:blipFill>
                        <pic:spPr>
                          <a:xfrm>
                            <a:off x="0" y="0"/>
                            <a:ext cx="241851" cy="80962"/>
                          </a:xfrm>
                          <a:prstGeom prst="rect">
                            <a:avLst/>
                          </a:prstGeom>
                        </pic:spPr>
                      </pic:pic>
                    </a:graphicData>
                  </a:graphic>
                </wp:inline>
              </w:drawing>
            </w:r>
            <w:r>
              <w:rPr>
                <w:rFonts w:ascii="Times New Roman"/>
                <w:position w:val="-2"/>
                <w:sz w:val="12"/>
              </w:rPr>
            </w:r>
          </w:p>
        </w:tc>
        <w:tc>
          <w:tcPr>
            <w:tcW w:w="1078" w:type="dxa"/>
          </w:tcPr>
          <w:p>
            <w:pPr>
              <w:pStyle w:val="TableParagraph"/>
              <w:spacing w:before="7"/>
              <w:ind w:left="0"/>
              <w:rPr>
                <w:rFonts w:ascii="Times New Roman"/>
                <w:b/>
                <w:sz w:val="9"/>
              </w:rPr>
            </w:pPr>
          </w:p>
          <w:p>
            <w:pPr>
              <w:pStyle w:val="TableParagraph"/>
              <w:spacing w:line="127" w:lineRule="exact"/>
              <w:ind w:left="330"/>
              <w:rPr>
                <w:rFonts w:ascii="Times New Roman"/>
                <w:sz w:val="12"/>
              </w:rPr>
            </w:pPr>
            <w:r>
              <w:rPr>
                <w:rFonts w:ascii="Times New Roman"/>
                <w:position w:val="-2"/>
                <w:sz w:val="12"/>
              </w:rPr>
              <w:drawing>
                <wp:inline distT="0" distB="0" distL="0" distR="0">
                  <wp:extent cx="242659" cy="80962"/>
                  <wp:effectExtent l="0" t="0" r="0" b="0"/>
                  <wp:docPr id="153" name="image223.png" descr=""/>
                  <wp:cNvGraphicFramePr>
                    <a:graphicFrameLocks noChangeAspect="1"/>
                  </wp:cNvGraphicFramePr>
                  <a:graphic>
                    <a:graphicData uri="http://schemas.openxmlformats.org/drawingml/2006/picture">
                      <pic:pic>
                        <pic:nvPicPr>
                          <pic:cNvPr id="154" name="image223.png"/>
                          <pic:cNvPicPr/>
                        </pic:nvPicPr>
                        <pic:blipFill>
                          <a:blip r:embed="rId260" cstate="print"/>
                          <a:stretch>
                            <a:fillRect/>
                          </a:stretch>
                        </pic:blipFill>
                        <pic:spPr>
                          <a:xfrm>
                            <a:off x="0" y="0"/>
                            <a:ext cx="242659" cy="80962"/>
                          </a:xfrm>
                          <a:prstGeom prst="rect">
                            <a:avLst/>
                          </a:prstGeom>
                        </pic:spPr>
                      </pic:pic>
                    </a:graphicData>
                  </a:graphic>
                </wp:inline>
              </w:drawing>
            </w:r>
            <w:r>
              <w:rPr>
                <w:rFonts w:ascii="Times New Roman"/>
                <w:position w:val="-2"/>
                <w:sz w:val="12"/>
              </w:rPr>
            </w:r>
          </w:p>
        </w:tc>
        <w:tc>
          <w:tcPr>
            <w:tcW w:w="1090" w:type="dxa"/>
          </w:tcPr>
          <w:p>
            <w:pPr>
              <w:pStyle w:val="TableParagraph"/>
              <w:spacing w:before="7"/>
              <w:ind w:left="0"/>
              <w:rPr>
                <w:rFonts w:ascii="Times New Roman"/>
                <w:b/>
                <w:sz w:val="9"/>
              </w:rPr>
            </w:pPr>
          </w:p>
          <w:p>
            <w:pPr>
              <w:pStyle w:val="TableParagraph"/>
              <w:spacing w:line="127" w:lineRule="exact"/>
              <w:ind w:left="357"/>
              <w:rPr>
                <w:rFonts w:ascii="Times New Roman"/>
                <w:sz w:val="12"/>
              </w:rPr>
            </w:pPr>
            <w:r>
              <w:rPr>
                <w:rFonts w:ascii="Times New Roman"/>
                <w:position w:val="-2"/>
                <w:sz w:val="12"/>
              </w:rPr>
              <w:drawing>
                <wp:inline distT="0" distB="0" distL="0" distR="0">
                  <wp:extent cx="241164" cy="80962"/>
                  <wp:effectExtent l="0" t="0" r="0" b="0"/>
                  <wp:docPr id="155" name="image224.png" descr=""/>
                  <wp:cNvGraphicFramePr>
                    <a:graphicFrameLocks noChangeAspect="1"/>
                  </wp:cNvGraphicFramePr>
                  <a:graphic>
                    <a:graphicData uri="http://schemas.openxmlformats.org/drawingml/2006/picture">
                      <pic:pic>
                        <pic:nvPicPr>
                          <pic:cNvPr id="156" name="image224.png"/>
                          <pic:cNvPicPr/>
                        </pic:nvPicPr>
                        <pic:blipFill>
                          <a:blip r:embed="rId261" cstate="print"/>
                          <a:stretch>
                            <a:fillRect/>
                          </a:stretch>
                        </pic:blipFill>
                        <pic:spPr>
                          <a:xfrm>
                            <a:off x="0" y="0"/>
                            <a:ext cx="241164" cy="80962"/>
                          </a:xfrm>
                          <a:prstGeom prst="rect">
                            <a:avLst/>
                          </a:prstGeom>
                        </pic:spPr>
                      </pic:pic>
                    </a:graphicData>
                  </a:graphic>
                </wp:inline>
              </w:drawing>
            </w:r>
            <w:r>
              <w:rPr>
                <w:rFonts w:ascii="Times New Roman"/>
                <w:position w:val="-2"/>
                <w:sz w:val="12"/>
              </w:rPr>
            </w:r>
          </w:p>
        </w:tc>
      </w:tr>
      <w:tr>
        <w:trPr>
          <w:trHeight w:val="350" w:hRule="exact"/>
        </w:trPr>
        <w:tc>
          <w:tcPr>
            <w:tcW w:w="1490" w:type="dxa"/>
          </w:tcPr>
          <w:p>
            <w:pPr>
              <w:pStyle w:val="TableParagraph"/>
              <w:spacing w:before="6"/>
              <w:ind w:left="0"/>
              <w:rPr>
                <w:rFonts w:ascii="Times New Roman"/>
                <w:b/>
                <w:sz w:val="6"/>
              </w:rPr>
            </w:pPr>
          </w:p>
          <w:p>
            <w:pPr>
              <w:pStyle w:val="TableParagraph"/>
              <w:spacing w:line="153" w:lineRule="exact"/>
              <w:ind w:left="45"/>
              <w:rPr>
                <w:rFonts w:ascii="Times New Roman"/>
                <w:sz w:val="15"/>
              </w:rPr>
            </w:pPr>
            <w:r>
              <w:rPr>
                <w:rFonts w:ascii="Times New Roman"/>
                <w:position w:val="-2"/>
                <w:sz w:val="15"/>
              </w:rPr>
              <w:pict>
                <v:group style="width:66.45pt;height:7.7pt;mso-position-horizontal-relative:char;mso-position-vertical-relative:line" coordorigin="0,0" coordsize="1329,154">
                  <v:shape style="position:absolute;left:192;top:18;width:505;height:131" type="#_x0000_t75" stroked="false">
                    <v:imagedata r:id="rId262" o:title=""/>
                  </v:shape>
                  <v:shape style="position:absolute;left:765;top:10;width:564;height:143" type="#_x0000_t75" stroked="false">
                    <v:imagedata r:id="rId263" o:title=""/>
                  </v:shape>
                  <v:rect style="position:absolute;left:0;top:0;width:145;height:146" filled="true" fillcolor="#1b75bc" stroked="false">
                    <v:fill type="solid"/>
                  </v:rect>
                </v:group>
              </w:pict>
            </w:r>
            <w:r>
              <w:rPr>
                <w:rFonts w:ascii="Times New Roman"/>
                <w:position w:val="-2"/>
                <w:sz w:val="15"/>
              </w:rPr>
            </w:r>
          </w:p>
        </w:tc>
        <w:tc>
          <w:tcPr>
            <w:tcW w:w="1088" w:type="dxa"/>
          </w:tcPr>
          <w:p>
            <w:pPr>
              <w:pStyle w:val="TableParagraph"/>
              <w:spacing w:before="4"/>
              <w:ind w:left="0"/>
              <w:rPr>
                <w:rFonts w:ascii="Times New Roman"/>
                <w:b/>
                <w:sz w:val="8"/>
              </w:rPr>
            </w:pPr>
          </w:p>
          <w:p>
            <w:pPr>
              <w:pStyle w:val="TableParagraph"/>
              <w:spacing w:line="127" w:lineRule="exact"/>
              <w:ind w:left="381"/>
              <w:rPr>
                <w:rFonts w:ascii="Times New Roman"/>
                <w:sz w:val="12"/>
              </w:rPr>
            </w:pPr>
            <w:r>
              <w:rPr>
                <w:rFonts w:ascii="Times New Roman"/>
                <w:position w:val="-2"/>
                <w:sz w:val="12"/>
              </w:rPr>
              <w:drawing>
                <wp:inline distT="0" distB="0" distL="0" distR="0">
                  <wp:extent cx="211631" cy="80962"/>
                  <wp:effectExtent l="0" t="0" r="0" b="0"/>
                  <wp:docPr id="157" name="image227.png" descr=""/>
                  <wp:cNvGraphicFramePr>
                    <a:graphicFrameLocks noChangeAspect="1"/>
                  </wp:cNvGraphicFramePr>
                  <a:graphic>
                    <a:graphicData uri="http://schemas.openxmlformats.org/drawingml/2006/picture">
                      <pic:pic>
                        <pic:nvPicPr>
                          <pic:cNvPr id="158" name="image227.png"/>
                          <pic:cNvPicPr/>
                        </pic:nvPicPr>
                        <pic:blipFill>
                          <a:blip r:embed="rId264" cstate="print"/>
                          <a:stretch>
                            <a:fillRect/>
                          </a:stretch>
                        </pic:blipFill>
                        <pic:spPr>
                          <a:xfrm>
                            <a:off x="0" y="0"/>
                            <a:ext cx="211631" cy="80962"/>
                          </a:xfrm>
                          <a:prstGeom prst="rect">
                            <a:avLst/>
                          </a:prstGeom>
                        </pic:spPr>
                      </pic:pic>
                    </a:graphicData>
                  </a:graphic>
                </wp:inline>
              </w:drawing>
            </w:r>
            <w:r>
              <w:rPr>
                <w:rFonts w:ascii="Times New Roman"/>
                <w:position w:val="-2"/>
                <w:sz w:val="12"/>
              </w:rPr>
            </w:r>
          </w:p>
        </w:tc>
        <w:tc>
          <w:tcPr>
            <w:tcW w:w="1095" w:type="dxa"/>
          </w:tcPr>
          <w:p>
            <w:pPr>
              <w:pStyle w:val="TableParagraph"/>
              <w:spacing w:before="3"/>
              <w:ind w:left="0"/>
              <w:rPr>
                <w:rFonts w:ascii="Times New Roman"/>
                <w:b/>
                <w:sz w:val="8"/>
              </w:rPr>
            </w:pPr>
          </w:p>
          <w:p>
            <w:pPr>
              <w:pStyle w:val="TableParagraph"/>
              <w:spacing w:line="127" w:lineRule="exact"/>
              <w:ind w:left="356"/>
              <w:rPr>
                <w:rFonts w:ascii="Times New Roman"/>
                <w:sz w:val="12"/>
              </w:rPr>
            </w:pPr>
            <w:r>
              <w:rPr>
                <w:rFonts w:ascii="Times New Roman"/>
                <w:position w:val="-2"/>
                <w:sz w:val="12"/>
              </w:rPr>
              <w:drawing>
                <wp:inline distT="0" distB="0" distL="0" distR="0">
                  <wp:extent cx="209434" cy="80962"/>
                  <wp:effectExtent l="0" t="0" r="0" b="0"/>
                  <wp:docPr id="159" name="image228.png" descr=""/>
                  <wp:cNvGraphicFramePr>
                    <a:graphicFrameLocks noChangeAspect="1"/>
                  </wp:cNvGraphicFramePr>
                  <a:graphic>
                    <a:graphicData uri="http://schemas.openxmlformats.org/drawingml/2006/picture">
                      <pic:pic>
                        <pic:nvPicPr>
                          <pic:cNvPr id="160" name="image228.png"/>
                          <pic:cNvPicPr/>
                        </pic:nvPicPr>
                        <pic:blipFill>
                          <a:blip r:embed="rId265" cstate="print"/>
                          <a:stretch>
                            <a:fillRect/>
                          </a:stretch>
                        </pic:blipFill>
                        <pic:spPr>
                          <a:xfrm>
                            <a:off x="0" y="0"/>
                            <a:ext cx="209434" cy="80962"/>
                          </a:xfrm>
                          <a:prstGeom prst="rect">
                            <a:avLst/>
                          </a:prstGeom>
                        </pic:spPr>
                      </pic:pic>
                    </a:graphicData>
                  </a:graphic>
                </wp:inline>
              </w:drawing>
            </w:r>
            <w:r>
              <w:rPr>
                <w:rFonts w:ascii="Times New Roman"/>
                <w:position w:val="-2"/>
                <w:sz w:val="12"/>
              </w:rPr>
            </w:r>
          </w:p>
        </w:tc>
        <w:tc>
          <w:tcPr>
            <w:tcW w:w="1078" w:type="dxa"/>
          </w:tcPr>
          <w:p>
            <w:pPr>
              <w:pStyle w:val="TableParagraph"/>
              <w:spacing w:before="4"/>
              <w:ind w:left="0"/>
              <w:rPr>
                <w:rFonts w:ascii="Times New Roman"/>
                <w:b/>
                <w:sz w:val="8"/>
              </w:rPr>
            </w:pPr>
          </w:p>
          <w:p>
            <w:pPr>
              <w:pStyle w:val="TableParagraph"/>
              <w:spacing w:line="127" w:lineRule="exact"/>
              <w:ind w:left="375"/>
              <w:rPr>
                <w:rFonts w:ascii="Times New Roman"/>
                <w:sz w:val="12"/>
              </w:rPr>
            </w:pPr>
            <w:r>
              <w:rPr>
                <w:rFonts w:ascii="Times New Roman"/>
                <w:position w:val="-2"/>
                <w:sz w:val="12"/>
              </w:rPr>
              <w:drawing>
                <wp:inline distT="0" distB="0" distL="0" distR="0">
                  <wp:extent cx="209754" cy="80962"/>
                  <wp:effectExtent l="0" t="0" r="0" b="0"/>
                  <wp:docPr id="161" name="image229.png" descr=""/>
                  <wp:cNvGraphicFramePr>
                    <a:graphicFrameLocks noChangeAspect="1"/>
                  </wp:cNvGraphicFramePr>
                  <a:graphic>
                    <a:graphicData uri="http://schemas.openxmlformats.org/drawingml/2006/picture">
                      <pic:pic>
                        <pic:nvPicPr>
                          <pic:cNvPr id="162" name="image229.png"/>
                          <pic:cNvPicPr/>
                        </pic:nvPicPr>
                        <pic:blipFill>
                          <a:blip r:embed="rId266" cstate="print"/>
                          <a:stretch>
                            <a:fillRect/>
                          </a:stretch>
                        </pic:blipFill>
                        <pic:spPr>
                          <a:xfrm>
                            <a:off x="0" y="0"/>
                            <a:ext cx="209754" cy="80962"/>
                          </a:xfrm>
                          <a:prstGeom prst="rect">
                            <a:avLst/>
                          </a:prstGeom>
                        </pic:spPr>
                      </pic:pic>
                    </a:graphicData>
                  </a:graphic>
                </wp:inline>
              </w:drawing>
            </w:r>
            <w:r>
              <w:rPr>
                <w:rFonts w:ascii="Times New Roman"/>
                <w:position w:val="-2"/>
                <w:sz w:val="12"/>
              </w:rPr>
            </w:r>
          </w:p>
        </w:tc>
        <w:tc>
          <w:tcPr>
            <w:tcW w:w="1090" w:type="dxa"/>
          </w:tcPr>
          <w:p>
            <w:pPr>
              <w:pStyle w:val="TableParagraph"/>
              <w:spacing w:before="4"/>
              <w:ind w:left="0"/>
              <w:rPr>
                <w:rFonts w:ascii="Times New Roman"/>
                <w:b/>
                <w:sz w:val="8"/>
              </w:rPr>
            </w:pPr>
          </w:p>
          <w:p>
            <w:pPr>
              <w:pStyle w:val="TableParagraph"/>
              <w:spacing w:line="127" w:lineRule="exact"/>
              <w:ind w:left="486"/>
              <w:rPr>
                <w:rFonts w:ascii="Times New Roman"/>
                <w:sz w:val="12"/>
              </w:rPr>
            </w:pPr>
            <w:r>
              <w:rPr>
                <w:rFonts w:ascii="Times New Roman"/>
                <w:position w:val="-2"/>
                <w:sz w:val="12"/>
              </w:rPr>
              <w:pict>
                <v:group style="width:4.3pt;height:6.4pt;mso-position-horizontal-relative:char;mso-position-vertical-relative:line" coordorigin="0,0" coordsize="86,128">
                  <v:shape style="position:absolute;left:0;top:0;width:86;height:128" coordorigin="0,0" coordsize="86,128" path="m43,0l30,2,20,7,12,16,5,28,2,38,0,49,0,65,0,74,1,78,2,89,5,99,9,108,16,121,28,128,42,128,54,126,64,122,72,114,72,113,32,113,25,107,18,88,17,78,17,48,19,36,27,18,34,14,73,14,71,11,63,5,54,1,43,0xm73,14l53,14,60,19,67,37,69,48,69,65,68,76,67,87,65,96,62,103,57,110,50,113,72,113,78,104,81,95,84,85,85,74,86,62,85,51,85,48,84,38,81,28,77,20,73,14xe" filled="true" fillcolor="#231f20" stroked="false">
                    <v:path arrowok="t"/>
                    <v:fill type="solid"/>
                  </v:shape>
                </v:group>
              </w:pict>
            </w:r>
            <w:r>
              <w:rPr>
                <w:rFonts w:ascii="Times New Roman"/>
                <w:position w:val="-2"/>
                <w:sz w:val="12"/>
              </w:rPr>
            </w:r>
          </w:p>
        </w:tc>
      </w:tr>
      <w:tr>
        <w:trPr>
          <w:trHeight w:val="330" w:hRule="exact"/>
        </w:trPr>
        <w:tc>
          <w:tcPr>
            <w:tcW w:w="1490" w:type="dxa"/>
          </w:tcPr>
          <w:p>
            <w:pPr>
              <w:pStyle w:val="TableParagraph"/>
              <w:spacing w:before="2"/>
              <w:ind w:left="0"/>
              <w:rPr>
                <w:rFonts w:ascii="Times New Roman"/>
                <w:b/>
                <w:sz w:val="5"/>
              </w:rPr>
            </w:pPr>
          </w:p>
          <w:p>
            <w:pPr>
              <w:pStyle w:val="TableParagraph"/>
              <w:spacing w:line="171" w:lineRule="exact"/>
              <w:ind w:left="45"/>
              <w:rPr>
                <w:rFonts w:ascii="Times New Roman"/>
                <w:sz w:val="14"/>
              </w:rPr>
            </w:pPr>
            <w:r>
              <w:rPr>
                <w:rFonts w:ascii="Times New Roman"/>
                <w:position w:val="-2"/>
                <w:sz w:val="16"/>
              </w:rPr>
              <w:pict>
                <v:group style="width:20.2pt;height:8.15pt;mso-position-horizontal-relative:char;mso-position-vertical-relative:line" coordorigin="0,0" coordsize="404,163">
                  <v:shape style="position:absolute;left:199;top:0;width:204;height:131" type="#_x0000_t75" stroked="false">
                    <v:imagedata r:id="rId267" o:title=""/>
                  </v:shape>
                  <v:rect style="position:absolute;left:0;top:17;width:145;height:146" filled="true" fillcolor="#ef4136" stroked="false">
                    <v:fill type="solid"/>
                  </v:rect>
                </v:group>
              </w:pict>
            </w:r>
            <w:r>
              <w:rPr>
                <w:rFonts w:ascii="Times New Roman"/>
                <w:position w:val="-2"/>
                <w:sz w:val="16"/>
              </w:rPr>
            </w:r>
            <w:r>
              <w:rPr>
                <w:rFonts w:ascii="Times New Roman"/>
                <w:spacing w:val="28"/>
                <w:position w:val="-2"/>
                <w:sz w:val="14"/>
              </w:rPr>
              <w:t> </w:t>
            </w:r>
            <w:r>
              <w:rPr>
                <w:rFonts w:ascii="Times New Roman"/>
                <w:spacing w:val="28"/>
                <w:position w:val="0"/>
                <w:sz w:val="14"/>
              </w:rPr>
              <w:drawing>
                <wp:inline distT="0" distB="0" distL="0" distR="0">
                  <wp:extent cx="440767" cy="92297"/>
                  <wp:effectExtent l="0" t="0" r="0" b="0"/>
                  <wp:docPr id="163" name="image231.png" descr=""/>
                  <wp:cNvGraphicFramePr>
                    <a:graphicFrameLocks noChangeAspect="1"/>
                  </wp:cNvGraphicFramePr>
                  <a:graphic>
                    <a:graphicData uri="http://schemas.openxmlformats.org/drawingml/2006/picture">
                      <pic:pic>
                        <pic:nvPicPr>
                          <pic:cNvPr id="164" name="image231.png"/>
                          <pic:cNvPicPr/>
                        </pic:nvPicPr>
                        <pic:blipFill>
                          <a:blip r:embed="rId268" cstate="print"/>
                          <a:stretch>
                            <a:fillRect/>
                          </a:stretch>
                        </pic:blipFill>
                        <pic:spPr>
                          <a:xfrm>
                            <a:off x="0" y="0"/>
                            <a:ext cx="440767" cy="92297"/>
                          </a:xfrm>
                          <a:prstGeom prst="rect">
                            <a:avLst/>
                          </a:prstGeom>
                        </pic:spPr>
                      </pic:pic>
                    </a:graphicData>
                  </a:graphic>
                </wp:inline>
              </w:drawing>
            </w:r>
            <w:r>
              <w:rPr>
                <w:rFonts w:ascii="Times New Roman"/>
                <w:spacing w:val="28"/>
                <w:position w:val="0"/>
                <w:sz w:val="14"/>
              </w:rPr>
            </w:r>
          </w:p>
        </w:tc>
        <w:tc>
          <w:tcPr>
            <w:tcW w:w="1088" w:type="dxa"/>
          </w:tcPr>
          <w:p>
            <w:pPr>
              <w:pStyle w:val="TableParagraph"/>
              <w:spacing w:before="2"/>
              <w:ind w:left="0"/>
              <w:rPr>
                <w:rFonts w:ascii="Times New Roman"/>
                <w:b/>
                <w:sz w:val="9"/>
              </w:rPr>
            </w:pPr>
          </w:p>
          <w:p>
            <w:pPr>
              <w:pStyle w:val="TableParagraph"/>
              <w:spacing w:line="127" w:lineRule="exact"/>
              <w:ind w:left="324"/>
              <w:rPr>
                <w:rFonts w:ascii="Times New Roman"/>
                <w:sz w:val="12"/>
              </w:rPr>
            </w:pPr>
            <w:r>
              <w:rPr>
                <w:rFonts w:ascii="Times New Roman"/>
                <w:position w:val="-2"/>
                <w:sz w:val="12"/>
              </w:rPr>
              <w:drawing>
                <wp:inline distT="0" distB="0" distL="0" distR="0">
                  <wp:extent cx="265475" cy="80962"/>
                  <wp:effectExtent l="0" t="0" r="0" b="0"/>
                  <wp:docPr id="165" name="image232.png" descr=""/>
                  <wp:cNvGraphicFramePr>
                    <a:graphicFrameLocks noChangeAspect="1"/>
                  </wp:cNvGraphicFramePr>
                  <a:graphic>
                    <a:graphicData uri="http://schemas.openxmlformats.org/drawingml/2006/picture">
                      <pic:pic>
                        <pic:nvPicPr>
                          <pic:cNvPr id="166" name="image232.png"/>
                          <pic:cNvPicPr/>
                        </pic:nvPicPr>
                        <pic:blipFill>
                          <a:blip r:embed="rId269" cstate="print"/>
                          <a:stretch>
                            <a:fillRect/>
                          </a:stretch>
                        </pic:blipFill>
                        <pic:spPr>
                          <a:xfrm>
                            <a:off x="0" y="0"/>
                            <a:ext cx="265475" cy="80962"/>
                          </a:xfrm>
                          <a:prstGeom prst="rect">
                            <a:avLst/>
                          </a:prstGeom>
                        </pic:spPr>
                      </pic:pic>
                    </a:graphicData>
                  </a:graphic>
                </wp:inline>
              </w:drawing>
            </w:r>
            <w:r>
              <w:rPr>
                <w:rFonts w:ascii="Times New Roman"/>
                <w:position w:val="-2"/>
                <w:sz w:val="12"/>
              </w:rPr>
            </w:r>
          </w:p>
        </w:tc>
        <w:tc>
          <w:tcPr>
            <w:tcW w:w="1095" w:type="dxa"/>
          </w:tcPr>
          <w:p>
            <w:pPr>
              <w:pStyle w:val="TableParagraph"/>
              <w:spacing w:before="2"/>
              <w:ind w:left="0"/>
              <w:rPr>
                <w:rFonts w:ascii="Times New Roman"/>
                <w:b/>
                <w:sz w:val="9"/>
              </w:rPr>
            </w:pPr>
          </w:p>
          <w:p>
            <w:pPr>
              <w:pStyle w:val="TableParagraph"/>
              <w:spacing w:line="128" w:lineRule="exact"/>
              <w:ind w:left="321"/>
              <w:rPr>
                <w:rFonts w:ascii="Times New Roman"/>
                <w:sz w:val="12"/>
              </w:rPr>
            </w:pPr>
            <w:r>
              <w:rPr>
                <w:rFonts w:ascii="Times New Roman"/>
                <w:position w:val="-2"/>
                <w:sz w:val="12"/>
              </w:rPr>
              <w:pict>
                <v:group style="width:20.3pt;height:6.45pt;mso-position-horizontal-relative:char;mso-position-vertical-relative:line" coordorigin="0,0" coordsize="406,129">
                  <v:shape style="position:absolute;left:0;top:1;width:46;height:124" coordorigin="0,1" coordsize="46,124" path="m46,1l34,1,31,11,28,17,19,22,11,24,0,25,0,37,29,37,29,125,46,125,46,1xe" filled="true" fillcolor="#231f20" stroked="false">
                    <v:path arrowok="t"/>
                    <v:fill type="solid"/>
                  </v:shape>
                  <v:shape style="position:absolute;left:86;top:1;width:46;height:124" coordorigin="86,1" coordsize="46,124" path="m132,1l119,1,117,11,114,17,105,22,97,24,86,25,86,37,115,37,115,125,132,125,132,1xe" filled="true" fillcolor="#231f20" stroked="false">
                    <v:path arrowok="t"/>
                    <v:fill type="solid"/>
                  </v:shape>
                  <v:shape style="position:absolute;left:173;top:0;width:233;height:128" type="#_x0000_t75" stroked="false">
                    <v:imagedata r:id="rId270" o:title=""/>
                  </v:shape>
                </v:group>
              </w:pict>
            </w:r>
            <w:r>
              <w:rPr>
                <w:rFonts w:ascii="Times New Roman"/>
                <w:position w:val="-2"/>
                <w:sz w:val="12"/>
              </w:rPr>
            </w:r>
          </w:p>
        </w:tc>
        <w:tc>
          <w:tcPr>
            <w:tcW w:w="1078" w:type="dxa"/>
          </w:tcPr>
          <w:p>
            <w:pPr>
              <w:pStyle w:val="TableParagraph"/>
              <w:spacing w:before="2"/>
              <w:ind w:left="0"/>
              <w:rPr>
                <w:rFonts w:ascii="Times New Roman"/>
                <w:b/>
                <w:sz w:val="9"/>
              </w:rPr>
            </w:pPr>
          </w:p>
          <w:p>
            <w:pPr>
              <w:pStyle w:val="TableParagraph"/>
              <w:spacing w:line="127" w:lineRule="exact"/>
              <w:ind w:left="339"/>
              <w:rPr>
                <w:rFonts w:ascii="Times New Roman"/>
                <w:sz w:val="12"/>
              </w:rPr>
            </w:pPr>
            <w:r>
              <w:rPr>
                <w:rFonts w:ascii="Times New Roman"/>
                <w:position w:val="-2"/>
                <w:sz w:val="12"/>
              </w:rPr>
              <w:drawing>
                <wp:inline distT="0" distB="0" distL="0" distR="0">
                  <wp:extent cx="265936" cy="80962"/>
                  <wp:effectExtent l="0" t="0" r="0" b="0"/>
                  <wp:docPr id="167" name="image234.png" descr=""/>
                  <wp:cNvGraphicFramePr>
                    <a:graphicFrameLocks noChangeAspect="1"/>
                  </wp:cNvGraphicFramePr>
                  <a:graphic>
                    <a:graphicData uri="http://schemas.openxmlformats.org/drawingml/2006/picture">
                      <pic:pic>
                        <pic:nvPicPr>
                          <pic:cNvPr id="168" name="image234.png"/>
                          <pic:cNvPicPr/>
                        </pic:nvPicPr>
                        <pic:blipFill>
                          <a:blip r:embed="rId271" cstate="print"/>
                          <a:stretch>
                            <a:fillRect/>
                          </a:stretch>
                        </pic:blipFill>
                        <pic:spPr>
                          <a:xfrm>
                            <a:off x="0" y="0"/>
                            <a:ext cx="265936" cy="80962"/>
                          </a:xfrm>
                          <a:prstGeom prst="rect">
                            <a:avLst/>
                          </a:prstGeom>
                        </pic:spPr>
                      </pic:pic>
                    </a:graphicData>
                  </a:graphic>
                </wp:inline>
              </w:drawing>
            </w:r>
            <w:r>
              <w:rPr>
                <w:rFonts w:ascii="Times New Roman"/>
                <w:position w:val="-2"/>
                <w:sz w:val="12"/>
              </w:rPr>
            </w:r>
          </w:p>
        </w:tc>
        <w:tc>
          <w:tcPr>
            <w:tcW w:w="1090" w:type="dxa"/>
          </w:tcPr>
          <w:p>
            <w:pPr>
              <w:pStyle w:val="TableParagraph"/>
              <w:spacing w:before="2"/>
              <w:ind w:left="0"/>
              <w:rPr>
                <w:rFonts w:ascii="Times New Roman"/>
                <w:b/>
                <w:sz w:val="9"/>
              </w:rPr>
            </w:pPr>
          </w:p>
          <w:p>
            <w:pPr>
              <w:pStyle w:val="TableParagraph"/>
              <w:spacing w:line="127" w:lineRule="exact"/>
              <w:ind w:left="324"/>
              <w:rPr>
                <w:rFonts w:ascii="Times New Roman"/>
                <w:sz w:val="12"/>
              </w:rPr>
            </w:pPr>
            <w:r>
              <w:rPr>
                <w:rFonts w:ascii="Times New Roman"/>
                <w:position w:val="-2"/>
                <w:sz w:val="12"/>
              </w:rPr>
              <w:drawing>
                <wp:inline distT="0" distB="0" distL="0" distR="0">
                  <wp:extent cx="266248" cy="80962"/>
                  <wp:effectExtent l="0" t="0" r="0" b="0"/>
                  <wp:docPr id="169" name="image235.png" descr=""/>
                  <wp:cNvGraphicFramePr>
                    <a:graphicFrameLocks noChangeAspect="1"/>
                  </wp:cNvGraphicFramePr>
                  <a:graphic>
                    <a:graphicData uri="http://schemas.openxmlformats.org/drawingml/2006/picture">
                      <pic:pic>
                        <pic:nvPicPr>
                          <pic:cNvPr id="170" name="image235.png"/>
                          <pic:cNvPicPr/>
                        </pic:nvPicPr>
                        <pic:blipFill>
                          <a:blip r:embed="rId272" cstate="print"/>
                          <a:stretch>
                            <a:fillRect/>
                          </a:stretch>
                        </pic:blipFill>
                        <pic:spPr>
                          <a:xfrm>
                            <a:off x="0" y="0"/>
                            <a:ext cx="266248" cy="80962"/>
                          </a:xfrm>
                          <a:prstGeom prst="rect">
                            <a:avLst/>
                          </a:prstGeom>
                        </pic:spPr>
                      </pic:pic>
                    </a:graphicData>
                  </a:graphic>
                </wp:inline>
              </w:drawing>
            </w:r>
            <w:r>
              <w:rPr>
                <w:rFonts w:ascii="Times New Roman"/>
                <w:position w:val="-2"/>
                <w:sz w:val="12"/>
              </w:rPr>
            </w:r>
          </w:p>
        </w:tc>
      </w:tr>
      <w:tr>
        <w:trPr>
          <w:trHeight w:val="350" w:hRule="exact"/>
        </w:trPr>
        <w:tc>
          <w:tcPr>
            <w:tcW w:w="1490" w:type="dxa"/>
          </w:tcPr>
          <w:p>
            <w:pPr>
              <w:pStyle w:val="TableParagraph"/>
              <w:spacing w:before="6"/>
              <w:ind w:left="0"/>
              <w:rPr>
                <w:rFonts w:ascii="Times New Roman"/>
                <w:b/>
                <w:sz w:val="6"/>
              </w:rPr>
            </w:pPr>
          </w:p>
          <w:p>
            <w:pPr>
              <w:pStyle w:val="TableParagraph"/>
              <w:spacing w:line="152" w:lineRule="exact"/>
              <w:ind w:left="45"/>
              <w:rPr>
                <w:rFonts w:ascii="Times New Roman"/>
                <w:sz w:val="14"/>
              </w:rPr>
            </w:pPr>
            <w:r>
              <w:rPr>
                <w:rFonts w:ascii="Times New Roman"/>
                <w:position w:val="-2"/>
                <w:sz w:val="14"/>
              </w:rPr>
              <w:pict>
                <v:group style="width:33.2pt;height:7.5pt;mso-position-horizontal-relative:char;mso-position-vertical-relative:line" coordorigin="0,0" coordsize="664,150">
                  <v:shape style="position:absolute;left:192;top:15;width:471;height:135" type="#_x0000_t75" stroked="false">
                    <v:imagedata r:id="rId273" o:title=""/>
                  </v:shape>
                  <v:rect style="position:absolute;left:0;top:0;width:145;height:146" filled="true" fillcolor="#8dc63f" stroked="false">
                    <v:fill type="solid"/>
                  </v:rect>
                </v:group>
              </w:pict>
            </w:r>
            <w:r>
              <w:rPr>
                <w:rFonts w:ascii="Times New Roman"/>
                <w:position w:val="-2"/>
                <w:sz w:val="14"/>
              </w:rPr>
            </w:r>
            <w:r>
              <w:rPr>
                <w:rFonts w:ascii="Times New Roman"/>
                <w:spacing w:val="13"/>
                <w:position w:val="-2"/>
                <w:sz w:val="14"/>
              </w:rPr>
              <w:t> </w:t>
            </w:r>
            <w:r>
              <w:rPr>
                <w:rFonts w:ascii="Times New Roman"/>
                <w:spacing w:val="13"/>
                <w:position w:val="-2"/>
                <w:sz w:val="14"/>
              </w:rPr>
              <w:drawing>
                <wp:inline distT="0" distB="0" distL="0" distR="0">
                  <wp:extent cx="411706" cy="90487"/>
                  <wp:effectExtent l="0" t="0" r="0" b="0"/>
                  <wp:docPr id="171" name="image237.png" descr=""/>
                  <wp:cNvGraphicFramePr>
                    <a:graphicFrameLocks noChangeAspect="1"/>
                  </wp:cNvGraphicFramePr>
                  <a:graphic>
                    <a:graphicData uri="http://schemas.openxmlformats.org/drawingml/2006/picture">
                      <pic:pic>
                        <pic:nvPicPr>
                          <pic:cNvPr id="172" name="image237.png"/>
                          <pic:cNvPicPr/>
                        </pic:nvPicPr>
                        <pic:blipFill>
                          <a:blip r:embed="rId274" cstate="print"/>
                          <a:stretch>
                            <a:fillRect/>
                          </a:stretch>
                        </pic:blipFill>
                        <pic:spPr>
                          <a:xfrm>
                            <a:off x="0" y="0"/>
                            <a:ext cx="411706" cy="90487"/>
                          </a:xfrm>
                          <a:prstGeom prst="rect">
                            <a:avLst/>
                          </a:prstGeom>
                        </pic:spPr>
                      </pic:pic>
                    </a:graphicData>
                  </a:graphic>
                </wp:inline>
              </w:drawing>
            </w:r>
            <w:r>
              <w:rPr>
                <w:rFonts w:ascii="Times New Roman"/>
                <w:spacing w:val="13"/>
                <w:position w:val="-2"/>
                <w:sz w:val="14"/>
              </w:rPr>
            </w:r>
          </w:p>
        </w:tc>
        <w:tc>
          <w:tcPr>
            <w:tcW w:w="1088" w:type="dxa"/>
          </w:tcPr>
          <w:p>
            <w:pPr>
              <w:pStyle w:val="TableParagraph"/>
              <w:spacing w:before="4"/>
              <w:ind w:left="0"/>
              <w:rPr>
                <w:rFonts w:ascii="Times New Roman"/>
                <w:b/>
                <w:sz w:val="8"/>
              </w:rPr>
            </w:pPr>
          </w:p>
          <w:p>
            <w:pPr>
              <w:pStyle w:val="TableParagraph"/>
              <w:spacing w:line="127" w:lineRule="exact"/>
              <w:ind w:left="313"/>
              <w:rPr>
                <w:rFonts w:ascii="Times New Roman"/>
                <w:sz w:val="12"/>
              </w:rPr>
            </w:pPr>
            <w:r>
              <w:rPr>
                <w:rFonts w:ascii="Times New Roman"/>
                <w:position w:val="-2"/>
                <w:sz w:val="12"/>
              </w:rPr>
              <w:drawing>
                <wp:inline distT="0" distB="0" distL="0" distR="0">
                  <wp:extent cx="273909" cy="80962"/>
                  <wp:effectExtent l="0" t="0" r="0" b="0"/>
                  <wp:docPr id="173" name="image238.png" descr=""/>
                  <wp:cNvGraphicFramePr>
                    <a:graphicFrameLocks noChangeAspect="1"/>
                  </wp:cNvGraphicFramePr>
                  <a:graphic>
                    <a:graphicData uri="http://schemas.openxmlformats.org/drawingml/2006/picture">
                      <pic:pic>
                        <pic:nvPicPr>
                          <pic:cNvPr id="174" name="image238.png"/>
                          <pic:cNvPicPr/>
                        </pic:nvPicPr>
                        <pic:blipFill>
                          <a:blip r:embed="rId275" cstate="print"/>
                          <a:stretch>
                            <a:fillRect/>
                          </a:stretch>
                        </pic:blipFill>
                        <pic:spPr>
                          <a:xfrm>
                            <a:off x="0" y="0"/>
                            <a:ext cx="273909" cy="80962"/>
                          </a:xfrm>
                          <a:prstGeom prst="rect">
                            <a:avLst/>
                          </a:prstGeom>
                        </pic:spPr>
                      </pic:pic>
                    </a:graphicData>
                  </a:graphic>
                </wp:inline>
              </w:drawing>
            </w:r>
            <w:r>
              <w:rPr>
                <w:rFonts w:ascii="Times New Roman"/>
                <w:position w:val="-2"/>
                <w:sz w:val="12"/>
              </w:rPr>
            </w:r>
          </w:p>
        </w:tc>
        <w:tc>
          <w:tcPr>
            <w:tcW w:w="1095" w:type="dxa"/>
          </w:tcPr>
          <w:p>
            <w:pPr>
              <w:pStyle w:val="TableParagraph"/>
              <w:spacing w:before="3"/>
              <w:ind w:left="0"/>
              <w:rPr>
                <w:rFonts w:ascii="Times New Roman"/>
                <w:b/>
                <w:sz w:val="8"/>
              </w:rPr>
            </w:pPr>
          </w:p>
          <w:p>
            <w:pPr>
              <w:pStyle w:val="TableParagraph"/>
              <w:spacing w:line="127" w:lineRule="exact"/>
              <w:ind w:left="305"/>
              <w:rPr>
                <w:rFonts w:ascii="Times New Roman"/>
                <w:sz w:val="12"/>
              </w:rPr>
            </w:pPr>
            <w:r>
              <w:rPr>
                <w:rFonts w:ascii="Times New Roman"/>
                <w:position w:val="-2"/>
                <w:sz w:val="12"/>
              </w:rPr>
              <w:drawing>
                <wp:inline distT="0" distB="0" distL="0" distR="0">
                  <wp:extent cx="273042" cy="80962"/>
                  <wp:effectExtent l="0" t="0" r="0" b="0"/>
                  <wp:docPr id="175" name="image239.png" descr=""/>
                  <wp:cNvGraphicFramePr>
                    <a:graphicFrameLocks noChangeAspect="1"/>
                  </wp:cNvGraphicFramePr>
                  <a:graphic>
                    <a:graphicData uri="http://schemas.openxmlformats.org/drawingml/2006/picture">
                      <pic:pic>
                        <pic:nvPicPr>
                          <pic:cNvPr id="176" name="image239.png"/>
                          <pic:cNvPicPr/>
                        </pic:nvPicPr>
                        <pic:blipFill>
                          <a:blip r:embed="rId276" cstate="print"/>
                          <a:stretch>
                            <a:fillRect/>
                          </a:stretch>
                        </pic:blipFill>
                        <pic:spPr>
                          <a:xfrm>
                            <a:off x="0" y="0"/>
                            <a:ext cx="273042" cy="80962"/>
                          </a:xfrm>
                          <a:prstGeom prst="rect">
                            <a:avLst/>
                          </a:prstGeom>
                        </pic:spPr>
                      </pic:pic>
                    </a:graphicData>
                  </a:graphic>
                </wp:inline>
              </w:drawing>
            </w:r>
            <w:r>
              <w:rPr>
                <w:rFonts w:ascii="Times New Roman"/>
                <w:position w:val="-2"/>
                <w:sz w:val="12"/>
              </w:rPr>
            </w:r>
          </w:p>
        </w:tc>
        <w:tc>
          <w:tcPr>
            <w:tcW w:w="1078" w:type="dxa"/>
          </w:tcPr>
          <w:p>
            <w:pPr>
              <w:pStyle w:val="TableParagraph"/>
              <w:spacing w:before="4"/>
              <w:ind w:left="0"/>
              <w:rPr>
                <w:rFonts w:ascii="Times New Roman"/>
                <w:b/>
                <w:sz w:val="8"/>
              </w:rPr>
            </w:pPr>
          </w:p>
          <w:p>
            <w:pPr>
              <w:pStyle w:val="TableParagraph"/>
              <w:spacing w:line="127" w:lineRule="exact"/>
              <w:ind w:left="314"/>
              <w:rPr>
                <w:rFonts w:ascii="Times New Roman"/>
                <w:sz w:val="12"/>
              </w:rPr>
            </w:pPr>
            <w:r>
              <w:rPr>
                <w:rFonts w:ascii="Times New Roman"/>
                <w:position w:val="-2"/>
                <w:sz w:val="12"/>
              </w:rPr>
              <w:drawing>
                <wp:inline distT="0" distB="0" distL="0" distR="0">
                  <wp:extent cx="255723" cy="80962"/>
                  <wp:effectExtent l="0" t="0" r="0" b="0"/>
                  <wp:docPr id="177" name="image240.png" descr=""/>
                  <wp:cNvGraphicFramePr>
                    <a:graphicFrameLocks noChangeAspect="1"/>
                  </wp:cNvGraphicFramePr>
                  <a:graphic>
                    <a:graphicData uri="http://schemas.openxmlformats.org/drawingml/2006/picture">
                      <pic:pic>
                        <pic:nvPicPr>
                          <pic:cNvPr id="178" name="image240.png"/>
                          <pic:cNvPicPr/>
                        </pic:nvPicPr>
                        <pic:blipFill>
                          <a:blip r:embed="rId277" cstate="print"/>
                          <a:stretch>
                            <a:fillRect/>
                          </a:stretch>
                        </pic:blipFill>
                        <pic:spPr>
                          <a:xfrm>
                            <a:off x="0" y="0"/>
                            <a:ext cx="255723" cy="80962"/>
                          </a:xfrm>
                          <a:prstGeom prst="rect">
                            <a:avLst/>
                          </a:prstGeom>
                        </pic:spPr>
                      </pic:pic>
                    </a:graphicData>
                  </a:graphic>
                </wp:inline>
              </w:drawing>
            </w:r>
            <w:r>
              <w:rPr>
                <w:rFonts w:ascii="Times New Roman"/>
                <w:position w:val="-2"/>
                <w:sz w:val="12"/>
              </w:rPr>
            </w:r>
          </w:p>
        </w:tc>
        <w:tc>
          <w:tcPr>
            <w:tcW w:w="1090" w:type="dxa"/>
          </w:tcPr>
          <w:p>
            <w:pPr>
              <w:pStyle w:val="TableParagraph"/>
              <w:spacing w:before="4"/>
              <w:ind w:left="0"/>
              <w:rPr>
                <w:rFonts w:ascii="Times New Roman"/>
                <w:b/>
                <w:sz w:val="8"/>
              </w:rPr>
            </w:pPr>
          </w:p>
          <w:p>
            <w:pPr>
              <w:pStyle w:val="TableParagraph"/>
              <w:spacing w:line="127" w:lineRule="exact"/>
              <w:ind w:left="382"/>
              <w:rPr>
                <w:rFonts w:ascii="Times New Roman"/>
                <w:sz w:val="12"/>
              </w:rPr>
            </w:pPr>
            <w:r>
              <w:rPr>
                <w:rFonts w:ascii="Times New Roman"/>
                <w:position w:val="-2"/>
                <w:sz w:val="12"/>
              </w:rPr>
              <w:pict>
                <v:group style="width:16.650pt;height:6.4pt;mso-position-horizontal-relative:char;mso-position-vertical-relative:line" coordorigin="0,0" coordsize="333,128">
                  <v:shape style="position:absolute;left:0;top:0;width:156;height:125" type="#_x0000_t75" stroked="false">
                    <v:imagedata r:id="rId278" o:title=""/>
                  </v:shape>
                  <v:shape style="position:absolute;left:198;top:3;width:135;height:125" type="#_x0000_t75" stroked="false">
                    <v:imagedata r:id="rId279" o:title=""/>
                  </v:shape>
                </v:group>
              </w:pict>
            </w:r>
            <w:r>
              <w:rPr>
                <w:rFonts w:ascii="Times New Roman"/>
                <w:position w:val="-2"/>
                <w:sz w:val="12"/>
              </w:rPr>
            </w:r>
          </w:p>
        </w:tc>
      </w:tr>
      <w:tr>
        <w:trPr>
          <w:trHeight w:val="340" w:hRule="exact"/>
        </w:trPr>
        <w:tc>
          <w:tcPr>
            <w:tcW w:w="1490" w:type="dxa"/>
          </w:tcPr>
          <w:p>
            <w:pPr>
              <w:pStyle w:val="TableParagraph"/>
              <w:spacing w:before="9"/>
              <w:ind w:left="0"/>
              <w:rPr>
                <w:rFonts w:ascii="Times New Roman"/>
                <w:b/>
                <w:sz w:val="4"/>
              </w:rPr>
            </w:pPr>
          </w:p>
          <w:p>
            <w:pPr>
              <w:pStyle w:val="TableParagraph"/>
              <w:spacing w:line="149" w:lineRule="exact"/>
              <w:ind w:left="45"/>
              <w:rPr>
                <w:rFonts w:ascii="Times New Roman"/>
                <w:sz w:val="14"/>
              </w:rPr>
            </w:pPr>
            <w:r>
              <w:rPr>
                <w:rFonts w:ascii="Times New Roman"/>
                <w:position w:val="-2"/>
                <w:sz w:val="14"/>
              </w:rPr>
              <w:pict>
                <v:group style="width:45.4pt;height:7.45pt;mso-position-horizontal-relative:char;mso-position-vertical-relative:line" coordorigin="0,0" coordsize="908,149">
                  <v:shape style="position:absolute;left:193;top:15;width:714;height:134" type="#_x0000_t75" stroked="false">
                    <v:imagedata r:id="rId280" o:title=""/>
                  </v:shape>
                  <v:rect style="position:absolute;left:0;top:0;width:145;height:146" filled="true" fillcolor="#2b3890" stroked="false">
                    <v:fill type="solid"/>
                  </v:rect>
                </v:group>
              </w:pict>
            </w:r>
            <w:r>
              <w:rPr>
                <w:rFonts w:ascii="Times New Roman"/>
                <w:position w:val="-2"/>
                <w:sz w:val="14"/>
              </w:rPr>
            </w:r>
          </w:p>
        </w:tc>
        <w:tc>
          <w:tcPr>
            <w:tcW w:w="1088" w:type="dxa"/>
          </w:tcPr>
          <w:p>
            <w:pPr>
              <w:pStyle w:val="TableParagraph"/>
              <w:spacing w:before="3"/>
              <w:ind w:left="0"/>
              <w:rPr>
                <w:rFonts w:ascii="Times New Roman"/>
                <w:b/>
                <w:sz w:val="8"/>
              </w:rPr>
            </w:pPr>
          </w:p>
          <w:p>
            <w:pPr>
              <w:pStyle w:val="TableParagraph"/>
              <w:spacing w:line="127" w:lineRule="exact"/>
              <w:ind w:left="314"/>
              <w:rPr>
                <w:rFonts w:ascii="Times New Roman"/>
                <w:sz w:val="12"/>
              </w:rPr>
            </w:pPr>
            <w:r>
              <w:rPr>
                <w:rFonts w:ascii="Times New Roman"/>
                <w:position w:val="-2"/>
                <w:sz w:val="12"/>
              </w:rPr>
              <w:drawing>
                <wp:inline distT="0" distB="0" distL="0" distR="0">
                  <wp:extent cx="272993" cy="80962"/>
                  <wp:effectExtent l="0" t="0" r="0" b="0"/>
                  <wp:docPr id="179" name="image244.png" descr=""/>
                  <wp:cNvGraphicFramePr>
                    <a:graphicFrameLocks noChangeAspect="1"/>
                  </wp:cNvGraphicFramePr>
                  <a:graphic>
                    <a:graphicData uri="http://schemas.openxmlformats.org/drawingml/2006/picture">
                      <pic:pic>
                        <pic:nvPicPr>
                          <pic:cNvPr id="180" name="image244.png"/>
                          <pic:cNvPicPr/>
                        </pic:nvPicPr>
                        <pic:blipFill>
                          <a:blip r:embed="rId281" cstate="print"/>
                          <a:stretch>
                            <a:fillRect/>
                          </a:stretch>
                        </pic:blipFill>
                        <pic:spPr>
                          <a:xfrm>
                            <a:off x="0" y="0"/>
                            <a:ext cx="272993" cy="80962"/>
                          </a:xfrm>
                          <a:prstGeom prst="rect">
                            <a:avLst/>
                          </a:prstGeom>
                        </pic:spPr>
                      </pic:pic>
                    </a:graphicData>
                  </a:graphic>
                </wp:inline>
              </w:drawing>
            </w:r>
            <w:r>
              <w:rPr>
                <w:rFonts w:ascii="Times New Roman"/>
                <w:position w:val="-2"/>
                <w:sz w:val="12"/>
              </w:rPr>
            </w:r>
          </w:p>
        </w:tc>
        <w:tc>
          <w:tcPr>
            <w:tcW w:w="1095" w:type="dxa"/>
          </w:tcPr>
          <w:p>
            <w:pPr>
              <w:pStyle w:val="TableParagraph"/>
              <w:spacing w:before="3"/>
              <w:ind w:left="0"/>
              <w:rPr>
                <w:rFonts w:ascii="Times New Roman"/>
                <w:b/>
                <w:sz w:val="8"/>
              </w:rPr>
            </w:pPr>
          </w:p>
          <w:p>
            <w:pPr>
              <w:pStyle w:val="TableParagraph"/>
              <w:spacing w:line="127" w:lineRule="exact"/>
              <w:ind w:left="322"/>
              <w:rPr>
                <w:rFonts w:ascii="Times New Roman"/>
                <w:sz w:val="12"/>
              </w:rPr>
            </w:pPr>
            <w:r>
              <w:rPr>
                <w:rFonts w:ascii="Times New Roman"/>
                <w:position w:val="-2"/>
                <w:sz w:val="12"/>
              </w:rPr>
              <w:drawing>
                <wp:inline distT="0" distB="0" distL="0" distR="0">
                  <wp:extent cx="272687" cy="80962"/>
                  <wp:effectExtent l="0" t="0" r="0" b="0"/>
                  <wp:docPr id="181" name="image245.png" descr=""/>
                  <wp:cNvGraphicFramePr>
                    <a:graphicFrameLocks noChangeAspect="1"/>
                  </wp:cNvGraphicFramePr>
                  <a:graphic>
                    <a:graphicData uri="http://schemas.openxmlformats.org/drawingml/2006/picture">
                      <pic:pic>
                        <pic:nvPicPr>
                          <pic:cNvPr id="182" name="image245.png"/>
                          <pic:cNvPicPr/>
                        </pic:nvPicPr>
                        <pic:blipFill>
                          <a:blip r:embed="rId282" cstate="print"/>
                          <a:stretch>
                            <a:fillRect/>
                          </a:stretch>
                        </pic:blipFill>
                        <pic:spPr>
                          <a:xfrm>
                            <a:off x="0" y="0"/>
                            <a:ext cx="272687" cy="80962"/>
                          </a:xfrm>
                          <a:prstGeom prst="rect">
                            <a:avLst/>
                          </a:prstGeom>
                        </pic:spPr>
                      </pic:pic>
                    </a:graphicData>
                  </a:graphic>
                </wp:inline>
              </w:drawing>
            </w:r>
            <w:r>
              <w:rPr>
                <w:rFonts w:ascii="Times New Roman"/>
                <w:position w:val="-2"/>
                <w:sz w:val="12"/>
              </w:rPr>
            </w:r>
          </w:p>
        </w:tc>
        <w:tc>
          <w:tcPr>
            <w:tcW w:w="1078" w:type="dxa"/>
          </w:tcPr>
          <w:p>
            <w:pPr>
              <w:pStyle w:val="TableParagraph"/>
              <w:spacing w:before="4"/>
              <w:ind w:left="0"/>
              <w:rPr>
                <w:rFonts w:ascii="Times New Roman"/>
                <w:b/>
                <w:sz w:val="8"/>
              </w:rPr>
            </w:pPr>
          </w:p>
          <w:p>
            <w:pPr>
              <w:pStyle w:val="TableParagraph"/>
              <w:spacing w:line="127" w:lineRule="exact"/>
              <w:ind w:left="304"/>
              <w:rPr>
                <w:rFonts w:ascii="Times New Roman"/>
                <w:sz w:val="12"/>
              </w:rPr>
            </w:pPr>
            <w:r>
              <w:rPr>
                <w:rFonts w:ascii="Times New Roman"/>
                <w:position w:val="-2"/>
                <w:sz w:val="12"/>
              </w:rPr>
              <w:drawing>
                <wp:inline distT="0" distB="0" distL="0" distR="0">
                  <wp:extent cx="273045" cy="80962"/>
                  <wp:effectExtent l="0" t="0" r="0" b="0"/>
                  <wp:docPr id="183" name="image246.png" descr=""/>
                  <wp:cNvGraphicFramePr>
                    <a:graphicFrameLocks noChangeAspect="1"/>
                  </wp:cNvGraphicFramePr>
                  <a:graphic>
                    <a:graphicData uri="http://schemas.openxmlformats.org/drawingml/2006/picture">
                      <pic:pic>
                        <pic:nvPicPr>
                          <pic:cNvPr id="184" name="image246.png"/>
                          <pic:cNvPicPr/>
                        </pic:nvPicPr>
                        <pic:blipFill>
                          <a:blip r:embed="rId283" cstate="print"/>
                          <a:stretch>
                            <a:fillRect/>
                          </a:stretch>
                        </pic:blipFill>
                        <pic:spPr>
                          <a:xfrm>
                            <a:off x="0" y="0"/>
                            <a:ext cx="273045" cy="80962"/>
                          </a:xfrm>
                          <a:prstGeom prst="rect">
                            <a:avLst/>
                          </a:prstGeom>
                        </pic:spPr>
                      </pic:pic>
                    </a:graphicData>
                  </a:graphic>
                </wp:inline>
              </w:drawing>
            </w:r>
            <w:r>
              <w:rPr>
                <w:rFonts w:ascii="Times New Roman"/>
                <w:position w:val="-2"/>
                <w:sz w:val="12"/>
              </w:rPr>
            </w:r>
          </w:p>
        </w:tc>
        <w:tc>
          <w:tcPr>
            <w:tcW w:w="1090" w:type="dxa"/>
          </w:tcPr>
          <w:p>
            <w:pPr>
              <w:pStyle w:val="TableParagraph"/>
              <w:spacing w:before="3"/>
              <w:ind w:left="0"/>
              <w:rPr>
                <w:rFonts w:ascii="Times New Roman"/>
                <w:b/>
                <w:sz w:val="8"/>
              </w:rPr>
            </w:pPr>
          </w:p>
          <w:p>
            <w:pPr>
              <w:pStyle w:val="TableParagraph"/>
              <w:spacing w:line="127" w:lineRule="exact"/>
              <w:ind w:left="314"/>
              <w:rPr>
                <w:rFonts w:ascii="Times New Roman"/>
                <w:sz w:val="12"/>
              </w:rPr>
            </w:pPr>
            <w:r>
              <w:rPr>
                <w:rFonts w:ascii="Times New Roman"/>
                <w:position w:val="-2"/>
                <w:sz w:val="12"/>
              </w:rPr>
              <w:drawing>
                <wp:inline distT="0" distB="0" distL="0" distR="0">
                  <wp:extent cx="271457" cy="80962"/>
                  <wp:effectExtent l="0" t="0" r="0" b="0"/>
                  <wp:docPr id="185" name="image247.png" descr=""/>
                  <wp:cNvGraphicFramePr>
                    <a:graphicFrameLocks noChangeAspect="1"/>
                  </wp:cNvGraphicFramePr>
                  <a:graphic>
                    <a:graphicData uri="http://schemas.openxmlformats.org/drawingml/2006/picture">
                      <pic:pic>
                        <pic:nvPicPr>
                          <pic:cNvPr id="186" name="image247.png"/>
                          <pic:cNvPicPr/>
                        </pic:nvPicPr>
                        <pic:blipFill>
                          <a:blip r:embed="rId284" cstate="print"/>
                          <a:stretch>
                            <a:fillRect/>
                          </a:stretch>
                        </pic:blipFill>
                        <pic:spPr>
                          <a:xfrm>
                            <a:off x="0" y="0"/>
                            <a:ext cx="271457" cy="80962"/>
                          </a:xfrm>
                          <a:prstGeom prst="rect">
                            <a:avLst/>
                          </a:prstGeom>
                        </pic:spPr>
                      </pic:pic>
                    </a:graphicData>
                  </a:graphic>
                </wp:inline>
              </w:drawing>
            </w:r>
            <w:r>
              <w:rPr>
                <w:rFonts w:ascii="Times New Roman"/>
                <w:position w:val="-2"/>
                <w:sz w:val="12"/>
              </w:rPr>
            </w:r>
          </w:p>
        </w:tc>
      </w:tr>
    </w:tbl>
    <w:p>
      <w:pPr>
        <w:pStyle w:val="BodyText"/>
        <w:rPr>
          <w:b/>
        </w:rPr>
      </w:pPr>
    </w:p>
    <w:p>
      <w:pPr>
        <w:spacing w:line="369" w:lineRule="auto" w:before="184"/>
        <w:ind w:left="2805" w:right="-2" w:firstLine="64"/>
        <w:jc w:val="left"/>
        <w:rPr>
          <w:rFonts w:ascii="Calibri" w:hAnsi="Calibri"/>
          <w:sz w:val="16"/>
        </w:rPr>
      </w:pPr>
      <w:r>
        <w:rPr>
          <w:rFonts w:ascii="Calibri" w:hAnsi="Calibri"/>
          <w:color w:val="231F20"/>
          <w:sz w:val="16"/>
        </w:rPr>
        <w:t>Fuente:</w:t>
      </w:r>
      <w:r>
        <w:rPr>
          <w:rFonts w:ascii="Calibri" w:hAnsi="Calibri"/>
          <w:color w:val="231F20"/>
          <w:spacing w:val="-12"/>
          <w:sz w:val="16"/>
        </w:rPr>
        <w:t> </w:t>
      </w:r>
      <w:r>
        <w:rPr>
          <w:rFonts w:ascii="Calibri" w:hAnsi="Calibri"/>
          <w:color w:val="231F20"/>
          <w:sz w:val="16"/>
        </w:rPr>
        <w:t>elaboracion</w:t>
      </w:r>
      <w:r>
        <w:rPr>
          <w:rFonts w:ascii="Calibri" w:hAnsi="Calibri"/>
          <w:color w:val="231F20"/>
          <w:spacing w:val="-12"/>
          <w:sz w:val="16"/>
        </w:rPr>
        <w:t> </w:t>
      </w:r>
      <w:r>
        <w:rPr>
          <w:rFonts w:ascii="Calibri" w:hAnsi="Calibri"/>
          <w:color w:val="231F20"/>
          <w:sz w:val="16"/>
        </w:rPr>
        <w:t>propia</w:t>
      </w:r>
      <w:r>
        <w:rPr>
          <w:rFonts w:ascii="Calibri" w:hAnsi="Calibri"/>
          <w:color w:val="231F20"/>
          <w:spacing w:val="-12"/>
          <w:sz w:val="16"/>
        </w:rPr>
        <w:t> </w:t>
      </w:r>
      <w:r>
        <w:rPr>
          <w:rFonts w:ascii="Calibri" w:hAnsi="Calibri"/>
          <w:color w:val="231F20"/>
          <w:sz w:val="16"/>
        </w:rPr>
        <w:t>con</w:t>
      </w:r>
      <w:r>
        <w:rPr>
          <w:rFonts w:ascii="Calibri" w:hAnsi="Calibri"/>
          <w:color w:val="231F20"/>
          <w:spacing w:val="-12"/>
          <w:sz w:val="16"/>
        </w:rPr>
        <w:t> </w:t>
      </w:r>
      <w:r>
        <w:rPr>
          <w:rFonts w:ascii="Calibri" w:hAnsi="Calibri"/>
          <w:color w:val="231F20"/>
          <w:sz w:val="16"/>
        </w:rPr>
        <w:t>datos</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Tesorería</w:t>
      </w:r>
      <w:r>
        <w:rPr>
          <w:rFonts w:ascii="Calibri" w:hAnsi="Calibri"/>
          <w:color w:val="231F20"/>
          <w:spacing w:val="-12"/>
          <w:sz w:val="16"/>
        </w:rPr>
        <w:t> </w:t>
      </w:r>
      <w:r>
        <w:rPr>
          <w:rFonts w:ascii="Calibri" w:hAnsi="Calibri"/>
          <w:color w:val="231F20"/>
          <w:sz w:val="16"/>
        </w:rPr>
        <w:t>Municipal</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Ixtapan</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la</w:t>
      </w:r>
      <w:r>
        <w:rPr>
          <w:rFonts w:ascii="Calibri" w:hAnsi="Calibri"/>
          <w:color w:val="231F20"/>
          <w:spacing w:val="-12"/>
          <w:sz w:val="16"/>
        </w:rPr>
        <w:t> </w:t>
      </w:r>
      <w:r>
        <w:rPr>
          <w:rFonts w:ascii="Calibri" w:hAnsi="Calibri"/>
          <w:color w:val="231F20"/>
          <w:sz w:val="16"/>
        </w:rPr>
        <w:t>Sal, Contraloría</w:t>
      </w:r>
      <w:r>
        <w:rPr>
          <w:rFonts w:ascii="Calibri" w:hAnsi="Calibri"/>
          <w:color w:val="231F20"/>
          <w:spacing w:val="-12"/>
          <w:sz w:val="16"/>
        </w:rPr>
        <w:t> </w:t>
      </w:r>
      <w:r>
        <w:rPr>
          <w:rFonts w:ascii="Calibri" w:hAnsi="Calibri"/>
          <w:color w:val="231F20"/>
          <w:sz w:val="16"/>
        </w:rPr>
        <w:t>del</w:t>
      </w:r>
      <w:r>
        <w:rPr>
          <w:rFonts w:ascii="Calibri" w:hAnsi="Calibri"/>
          <w:color w:val="231F20"/>
          <w:spacing w:val="-12"/>
          <w:sz w:val="16"/>
        </w:rPr>
        <w:t> </w:t>
      </w:r>
      <w:r>
        <w:rPr>
          <w:rFonts w:ascii="Calibri" w:hAnsi="Calibri"/>
          <w:color w:val="231F20"/>
          <w:sz w:val="16"/>
        </w:rPr>
        <w:t>Congreso</w:t>
      </w:r>
      <w:r>
        <w:rPr>
          <w:rFonts w:ascii="Calibri" w:hAnsi="Calibri"/>
          <w:color w:val="231F20"/>
          <w:spacing w:val="-12"/>
          <w:sz w:val="16"/>
        </w:rPr>
        <w:t> </w:t>
      </w:r>
      <w:r>
        <w:rPr>
          <w:rFonts w:ascii="Calibri" w:hAnsi="Calibri"/>
          <w:color w:val="231F20"/>
          <w:sz w:val="16"/>
        </w:rPr>
        <w:t>local</w:t>
      </w:r>
      <w:r>
        <w:rPr>
          <w:rFonts w:ascii="Calibri" w:hAnsi="Calibri"/>
          <w:color w:val="231F20"/>
          <w:spacing w:val="-12"/>
          <w:sz w:val="16"/>
        </w:rPr>
        <w:t> </w:t>
      </w:r>
      <w:r>
        <w:rPr>
          <w:rFonts w:ascii="Calibri" w:hAnsi="Calibri"/>
          <w:color w:val="231F20"/>
          <w:sz w:val="16"/>
        </w:rPr>
        <w:t>e</w:t>
      </w:r>
      <w:r>
        <w:rPr>
          <w:rFonts w:ascii="Calibri" w:hAnsi="Calibri"/>
          <w:color w:val="231F20"/>
          <w:spacing w:val="-12"/>
          <w:sz w:val="16"/>
        </w:rPr>
        <w:t> </w:t>
      </w:r>
      <w:r>
        <w:rPr>
          <w:rFonts w:ascii="Calibri" w:hAnsi="Calibri"/>
          <w:color w:val="231F20"/>
          <w:sz w:val="16"/>
        </w:rPr>
        <w:t>Instituto</w:t>
      </w:r>
      <w:r>
        <w:rPr>
          <w:rFonts w:ascii="Calibri" w:hAnsi="Calibri"/>
          <w:color w:val="231F20"/>
          <w:spacing w:val="-12"/>
          <w:sz w:val="16"/>
        </w:rPr>
        <w:t> </w:t>
      </w:r>
      <w:r>
        <w:rPr>
          <w:rFonts w:ascii="Calibri" w:hAnsi="Calibri"/>
          <w:color w:val="231F20"/>
          <w:sz w:val="16"/>
        </w:rPr>
        <w:t>Nacional</w:t>
      </w:r>
      <w:r>
        <w:rPr>
          <w:rFonts w:ascii="Calibri" w:hAnsi="Calibri"/>
          <w:color w:val="231F20"/>
          <w:spacing w:val="-12"/>
          <w:sz w:val="16"/>
        </w:rPr>
        <w:t> </w:t>
      </w:r>
      <w:r>
        <w:rPr>
          <w:rFonts w:ascii="Calibri" w:hAnsi="Calibri"/>
          <w:color w:val="231F20"/>
          <w:sz w:val="16"/>
        </w:rPr>
        <w:t>para</w:t>
      </w:r>
      <w:r>
        <w:rPr>
          <w:rFonts w:ascii="Calibri" w:hAnsi="Calibri"/>
          <w:color w:val="231F20"/>
          <w:spacing w:val="-12"/>
          <w:sz w:val="16"/>
        </w:rPr>
        <w:t> </w:t>
      </w:r>
      <w:r>
        <w:rPr>
          <w:rFonts w:ascii="Calibri" w:hAnsi="Calibri"/>
          <w:color w:val="231F20"/>
          <w:sz w:val="16"/>
        </w:rPr>
        <w:t>el</w:t>
      </w:r>
      <w:r>
        <w:rPr>
          <w:rFonts w:ascii="Calibri" w:hAnsi="Calibri"/>
          <w:color w:val="231F20"/>
          <w:spacing w:val="-12"/>
          <w:sz w:val="16"/>
        </w:rPr>
        <w:t> </w:t>
      </w:r>
      <w:r>
        <w:rPr>
          <w:rFonts w:ascii="Calibri" w:hAnsi="Calibri"/>
          <w:color w:val="231F20"/>
          <w:sz w:val="16"/>
        </w:rPr>
        <w:t>Federalismo</w:t>
      </w:r>
      <w:r>
        <w:rPr>
          <w:rFonts w:ascii="Calibri" w:hAnsi="Calibri"/>
          <w:color w:val="231F20"/>
          <w:spacing w:val="-12"/>
          <w:sz w:val="16"/>
        </w:rPr>
        <w:t> </w:t>
      </w:r>
      <w:r>
        <w:rPr>
          <w:rFonts w:ascii="Calibri" w:hAnsi="Calibri"/>
          <w:color w:val="231F20"/>
          <w:sz w:val="16"/>
        </w:rPr>
        <w:t>en</w:t>
      </w:r>
      <w:r>
        <w:rPr>
          <w:rFonts w:ascii="Calibri" w:hAnsi="Calibri"/>
          <w:color w:val="231F20"/>
          <w:spacing w:val="-12"/>
          <w:sz w:val="16"/>
        </w:rPr>
        <w:t> </w:t>
      </w:r>
      <w:r>
        <w:rPr>
          <w:rFonts w:ascii="Calibri" w:hAnsi="Calibri"/>
          <w:color w:val="231F20"/>
          <w:sz w:val="16"/>
        </w:rPr>
        <w:t>México.</w:t>
      </w:r>
    </w:p>
    <w:p>
      <w:pPr>
        <w:pStyle w:val="BodyText"/>
        <w:spacing w:before="2"/>
        <w:rPr>
          <w:rFonts w:ascii="Calibri"/>
          <w:sz w:val="20"/>
        </w:rPr>
      </w:pPr>
    </w:p>
    <w:p>
      <w:pPr>
        <w:pStyle w:val="BodyText"/>
        <w:spacing w:line="285" w:lineRule="auto"/>
        <w:ind w:left="110" w:right="108"/>
        <w:jc w:val="both"/>
      </w:pPr>
      <w:r>
        <w:rPr>
          <w:color w:val="231F20"/>
          <w:spacing w:val="-6"/>
          <w:w w:val="105"/>
        </w:rPr>
        <w:t>Atendiendo </w:t>
      </w:r>
      <w:r>
        <w:rPr>
          <w:color w:val="231F20"/>
          <w:spacing w:val="-4"/>
          <w:w w:val="105"/>
        </w:rPr>
        <w:t>particularmente </w:t>
      </w:r>
      <w:r>
        <w:rPr>
          <w:color w:val="231F20"/>
          <w:w w:val="105"/>
        </w:rPr>
        <w:t>2008, la </w:t>
      </w:r>
      <w:r>
        <w:rPr>
          <w:color w:val="231F20"/>
          <w:spacing w:val="-6"/>
          <w:w w:val="105"/>
        </w:rPr>
        <w:t>mayor </w:t>
      </w:r>
      <w:r>
        <w:rPr>
          <w:color w:val="231F20"/>
          <w:w w:val="105"/>
        </w:rPr>
        <w:t>parte </w:t>
      </w:r>
      <w:r>
        <w:rPr>
          <w:color w:val="231F20"/>
          <w:spacing w:val="-5"/>
          <w:w w:val="105"/>
        </w:rPr>
        <w:t>del </w:t>
      </w:r>
      <w:r>
        <w:rPr>
          <w:color w:val="231F20"/>
          <w:spacing w:val="-4"/>
          <w:w w:val="105"/>
        </w:rPr>
        <w:t>gasto </w:t>
      </w:r>
      <w:r>
        <w:rPr>
          <w:color w:val="231F20"/>
          <w:spacing w:val="-5"/>
          <w:w w:val="105"/>
        </w:rPr>
        <w:t>público </w:t>
      </w:r>
      <w:r>
        <w:rPr>
          <w:color w:val="231F20"/>
          <w:spacing w:val="-4"/>
          <w:w w:val="105"/>
        </w:rPr>
        <w:t>sigue </w:t>
      </w:r>
      <w:r>
        <w:rPr>
          <w:color w:val="231F20"/>
          <w:spacing w:val="-5"/>
          <w:w w:val="105"/>
        </w:rPr>
        <w:t>concentrándose </w:t>
      </w:r>
      <w:r>
        <w:rPr>
          <w:color w:val="231F20"/>
          <w:spacing w:val="-4"/>
          <w:w w:val="105"/>
        </w:rPr>
        <w:t>en</w:t>
      </w:r>
      <w:r>
        <w:rPr>
          <w:color w:val="231F20"/>
          <w:spacing w:val="-28"/>
          <w:w w:val="105"/>
        </w:rPr>
        <w:t> </w:t>
      </w:r>
      <w:r>
        <w:rPr>
          <w:color w:val="231F20"/>
          <w:spacing w:val="-3"/>
          <w:w w:val="105"/>
        </w:rPr>
        <w:t>el</w:t>
      </w:r>
      <w:r>
        <w:rPr>
          <w:color w:val="231F20"/>
          <w:spacing w:val="-28"/>
          <w:w w:val="105"/>
        </w:rPr>
        <w:t> </w:t>
      </w:r>
      <w:r>
        <w:rPr>
          <w:color w:val="231F20"/>
          <w:spacing w:val="-5"/>
          <w:w w:val="105"/>
        </w:rPr>
        <w:t>pago</w:t>
      </w:r>
      <w:r>
        <w:rPr>
          <w:color w:val="231F20"/>
          <w:spacing w:val="-28"/>
          <w:w w:val="105"/>
        </w:rPr>
        <w:t> </w:t>
      </w:r>
      <w:r>
        <w:rPr>
          <w:color w:val="231F20"/>
          <w:spacing w:val="-4"/>
          <w:w w:val="105"/>
        </w:rPr>
        <w:t>de</w:t>
      </w:r>
      <w:r>
        <w:rPr>
          <w:color w:val="231F20"/>
          <w:spacing w:val="-28"/>
          <w:w w:val="105"/>
        </w:rPr>
        <w:t> </w:t>
      </w:r>
      <w:r>
        <w:rPr>
          <w:color w:val="231F20"/>
          <w:spacing w:val="-6"/>
          <w:w w:val="105"/>
        </w:rPr>
        <w:t>remuneraciones</w:t>
      </w:r>
      <w:r>
        <w:rPr>
          <w:color w:val="231F20"/>
          <w:spacing w:val="-28"/>
          <w:w w:val="105"/>
        </w:rPr>
        <w:t> </w:t>
      </w:r>
      <w:r>
        <w:rPr>
          <w:color w:val="231F20"/>
          <w:spacing w:val="-4"/>
          <w:w w:val="105"/>
        </w:rPr>
        <w:t>de</w:t>
      </w:r>
      <w:r>
        <w:rPr>
          <w:color w:val="231F20"/>
          <w:spacing w:val="-28"/>
          <w:w w:val="105"/>
        </w:rPr>
        <w:t> </w:t>
      </w:r>
      <w:r>
        <w:rPr>
          <w:color w:val="231F20"/>
          <w:spacing w:val="-4"/>
          <w:w w:val="105"/>
        </w:rPr>
        <w:t>los</w:t>
      </w:r>
      <w:r>
        <w:rPr>
          <w:color w:val="231F20"/>
          <w:spacing w:val="-28"/>
          <w:w w:val="105"/>
        </w:rPr>
        <w:t> </w:t>
      </w:r>
      <w:r>
        <w:rPr>
          <w:color w:val="231F20"/>
          <w:spacing w:val="-4"/>
          <w:w w:val="105"/>
        </w:rPr>
        <w:t>servidores</w:t>
      </w:r>
      <w:r>
        <w:rPr>
          <w:color w:val="231F20"/>
          <w:spacing w:val="-28"/>
          <w:w w:val="105"/>
        </w:rPr>
        <w:t> </w:t>
      </w:r>
      <w:r>
        <w:rPr>
          <w:color w:val="231F20"/>
          <w:spacing w:val="-5"/>
          <w:w w:val="105"/>
        </w:rPr>
        <w:t>públicos</w:t>
      </w:r>
      <w:r>
        <w:rPr>
          <w:color w:val="231F20"/>
          <w:spacing w:val="-28"/>
          <w:w w:val="105"/>
        </w:rPr>
        <w:t> </w:t>
      </w:r>
      <w:r>
        <w:rPr>
          <w:color w:val="231F20"/>
          <w:w w:val="105"/>
        </w:rPr>
        <w:t>y</w:t>
      </w:r>
      <w:r>
        <w:rPr>
          <w:color w:val="231F20"/>
          <w:spacing w:val="-28"/>
          <w:w w:val="105"/>
        </w:rPr>
        <w:t> </w:t>
      </w:r>
      <w:r>
        <w:rPr>
          <w:color w:val="231F20"/>
          <w:spacing w:val="-4"/>
          <w:w w:val="105"/>
        </w:rPr>
        <w:t>funcionarios</w:t>
      </w:r>
      <w:r>
        <w:rPr>
          <w:color w:val="231F20"/>
          <w:spacing w:val="-28"/>
          <w:w w:val="105"/>
        </w:rPr>
        <w:t> </w:t>
      </w:r>
      <w:r>
        <w:rPr>
          <w:color w:val="231F20"/>
          <w:spacing w:val="-4"/>
          <w:w w:val="105"/>
        </w:rPr>
        <w:t>que</w:t>
      </w:r>
      <w:r>
        <w:rPr>
          <w:color w:val="231F20"/>
          <w:spacing w:val="-28"/>
          <w:w w:val="105"/>
        </w:rPr>
        <w:t> </w:t>
      </w:r>
      <w:r>
        <w:rPr>
          <w:color w:val="231F20"/>
          <w:spacing w:val="-5"/>
          <w:w w:val="105"/>
        </w:rPr>
        <w:t>asciende</w:t>
      </w:r>
      <w:r>
        <w:rPr>
          <w:color w:val="231F20"/>
          <w:spacing w:val="-28"/>
          <w:w w:val="105"/>
        </w:rPr>
        <w:t> </w:t>
      </w:r>
      <w:r>
        <w:rPr>
          <w:color w:val="231F20"/>
          <w:w w:val="105"/>
        </w:rPr>
        <w:t>a</w:t>
      </w:r>
      <w:r>
        <w:rPr>
          <w:color w:val="231F20"/>
          <w:spacing w:val="-28"/>
          <w:w w:val="105"/>
        </w:rPr>
        <w:t> </w:t>
      </w:r>
      <w:r>
        <w:rPr>
          <w:color w:val="231F20"/>
          <w:spacing w:val="-7"/>
          <w:w w:val="105"/>
        </w:rPr>
        <w:t>31</w:t>
      </w:r>
      <w:r>
        <w:rPr>
          <w:color w:val="231F20"/>
          <w:spacing w:val="-28"/>
          <w:w w:val="105"/>
        </w:rPr>
        <w:t> </w:t>
      </w:r>
      <w:r>
        <w:rPr>
          <w:color w:val="231F20"/>
          <w:spacing w:val="-3"/>
          <w:w w:val="105"/>
        </w:rPr>
        <w:t>mi- </w:t>
      </w:r>
      <w:r>
        <w:rPr>
          <w:color w:val="231F20"/>
          <w:spacing w:val="-5"/>
          <w:w w:val="105"/>
        </w:rPr>
        <w:t>llones</w:t>
      </w:r>
      <w:r>
        <w:rPr>
          <w:color w:val="231F20"/>
          <w:spacing w:val="-15"/>
          <w:w w:val="105"/>
        </w:rPr>
        <w:t> </w:t>
      </w:r>
      <w:r>
        <w:rPr>
          <w:color w:val="231F20"/>
          <w:spacing w:val="-9"/>
          <w:w w:val="105"/>
        </w:rPr>
        <w:t>310</w:t>
      </w:r>
      <w:r>
        <w:rPr>
          <w:color w:val="231F20"/>
          <w:spacing w:val="-15"/>
          <w:w w:val="105"/>
        </w:rPr>
        <w:t> </w:t>
      </w:r>
      <w:r>
        <w:rPr>
          <w:color w:val="231F20"/>
          <w:w w:val="105"/>
        </w:rPr>
        <w:t>mil</w:t>
      </w:r>
      <w:r>
        <w:rPr>
          <w:color w:val="231F20"/>
          <w:spacing w:val="-15"/>
          <w:w w:val="105"/>
        </w:rPr>
        <w:t> </w:t>
      </w:r>
      <w:r>
        <w:rPr>
          <w:color w:val="231F20"/>
          <w:w w:val="105"/>
        </w:rPr>
        <w:t>444</w:t>
      </w:r>
      <w:r>
        <w:rPr>
          <w:color w:val="231F20"/>
          <w:spacing w:val="-15"/>
          <w:w w:val="105"/>
        </w:rPr>
        <w:t> </w:t>
      </w:r>
      <w:r>
        <w:rPr>
          <w:color w:val="231F20"/>
          <w:spacing w:val="-4"/>
          <w:w w:val="105"/>
        </w:rPr>
        <w:t>pesos,</w:t>
      </w:r>
      <w:r>
        <w:rPr>
          <w:color w:val="231F20"/>
          <w:spacing w:val="-15"/>
          <w:w w:val="105"/>
        </w:rPr>
        <w:t> </w:t>
      </w:r>
      <w:r>
        <w:rPr>
          <w:color w:val="231F20"/>
          <w:spacing w:val="-4"/>
          <w:w w:val="105"/>
        </w:rPr>
        <w:t>mientras</w:t>
      </w:r>
      <w:r>
        <w:rPr>
          <w:color w:val="231F20"/>
          <w:spacing w:val="-15"/>
          <w:w w:val="105"/>
        </w:rPr>
        <w:t> </w:t>
      </w:r>
      <w:r>
        <w:rPr>
          <w:color w:val="231F20"/>
          <w:spacing w:val="-4"/>
          <w:w w:val="105"/>
        </w:rPr>
        <w:t>que</w:t>
      </w:r>
      <w:r>
        <w:rPr>
          <w:color w:val="231F20"/>
          <w:spacing w:val="-15"/>
          <w:w w:val="105"/>
        </w:rPr>
        <w:t> </w:t>
      </w:r>
      <w:r>
        <w:rPr>
          <w:color w:val="231F20"/>
          <w:spacing w:val="-4"/>
          <w:w w:val="105"/>
        </w:rPr>
        <w:t>gastos</w:t>
      </w:r>
      <w:r>
        <w:rPr>
          <w:color w:val="231F20"/>
          <w:spacing w:val="-15"/>
          <w:w w:val="105"/>
        </w:rPr>
        <w:t> </w:t>
      </w:r>
      <w:r>
        <w:rPr>
          <w:color w:val="231F20"/>
          <w:spacing w:val="-5"/>
          <w:w w:val="105"/>
        </w:rPr>
        <w:t>productivos</w:t>
      </w:r>
      <w:r>
        <w:rPr>
          <w:color w:val="231F20"/>
          <w:spacing w:val="-15"/>
          <w:w w:val="105"/>
        </w:rPr>
        <w:t> </w:t>
      </w:r>
      <w:r>
        <w:rPr>
          <w:color w:val="231F20"/>
          <w:spacing w:val="-6"/>
          <w:w w:val="105"/>
        </w:rPr>
        <w:t>como</w:t>
      </w:r>
      <w:r>
        <w:rPr>
          <w:color w:val="231F20"/>
          <w:spacing w:val="-15"/>
          <w:w w:val="105"/>
        </w:rPr>
        <w:t> </w:t>
      </w:r>
      <w:r>
        <w:rPr>
          <w:color w:val="231F20"/>
          <w:spacing w:val="-4"/>
          <w:w w:val="105"/>
        </w:rPr>
        <w:t>obras</w:t>
      </w:r>
      <w:r>
        <w:rPr>
          <w:color w:val="231F20"/>
          <w:spacing w:val="-15"/>
          <w:w w:val="105"/>
        </w:rPr>
        <w:t> </w:t>
      </w:r>
      <w:r>
        <w:rPr>
          <w:color w:val="231F20"/>
          <w:spacing w:val="-4"/>
          <w:w w:val="105"/>
        </w:rPr>
        <w:t>públicas</w:t>
      </w:r>
      <w:r>
        <w:rPr>
          <w:color w:val="231F20"/>
          <w:spacing w:val="-15"/>
          <w:w w:val="105"/>
        </w:rPr>
        <w:t> </w:t>
      </w:r>
      <w:r>
        <w:rPr>
          <w:color w:val="231F20"/>
          <w:w w:val="105"/>
        </w:rPr>
        <w:t>y</w:t>
      </w:r>
      <w:r>
        <w:rPr>
          <w:color w:val="231F20"/>
          <w:spacing w:val="-15"/>
          <w:w w:val="105"/>
        </w:rPr>
        <w:t> </w:t>
      </w:r>
      <w:r>
        <w:rPr>
          <w:color w:val="231F20"/>
          <w:spacing w:val="-6"/>
          <w:w w:val="105"/>
        </w:rPr>
        <w:t>subsidios </w:t>
      </w:r>
      <w:r>
        <w:rPr>
          <w:color w:val="231F20"/>
          <w:w w:val="105"/>
        </w:rPr>
        <w:t>y</w:t>
      </w:r>
      <w:r>
        <w:rPr>
          <w:color w:val="231F20"/>
          <w:spacing w:val="-9"/>
          <w:w w:val="105"/>
        </w:rPr>
        <w:t> </w:t>
      </w:r>
      <w:r>
        <w:rPr>
          <w:color w:val="231F20"/>
          <w:spacing w:val="-6"/>
          <w:w w:val="105"/>
        </w:rPr>
        <w:t>apoyos</w:t>
      </w:r>
      <w:r>
        <w:rPr>
          <w:color w:val="231F20"/>
          <w:spacing w:val="-9"/>
          <w:w w:val="105"/>
        </w:rPr>
        <w:t> </w:t>
      </w:r>
      <w:r>
        <w:rPr>
          <w:color w:val="231F20"/>
          <w:w w:val="105"/>
        </w:rPr>
        <w:t>a</w:t>
      </w:r>
      <w:r>
        <w:rPr>
          <w:color w:val="231F20"/>
          <w:spacing w:val="-9"/>
          <w:w w:val="105"/>
        </w:rPr>
        <w:t> </w:t>
      </w:r>
      <w:r>
        <w:rPr>
          <w:color w:val="231F20"/>
          <w:spacing w:val="-4"/>
          <w:w w:val="105"/>
        </w:rPr>
        <w:t>los</w:t>
      </w:r>
      <w:r>
        <w:rPr>
          <w:color w:val="231F20"/>
          <w:spacing w:val="-9"/>
          <w:w w:val="105"/>
        </w:rPr>
        <w:t> </w:t>
      </w:r>
      <w:r>
        <w:rPr>
          <w:color w:val="231F20"/>
          <w:spacing w:val="-4"/>
          <w:w w:val="105"/>
        </w:rPr>
        <w:t>sectores</w:t>
      </w:r>
      <w:r>
        <w:rPr>
          <w:color w:val="231F20"/>
          <w:spacing w:val="-9"/>
          <w:w w:val="105"/>
        </w:rPr>
        <w:t> </w:t>
      </w:r>
      <w:r>
        <w:rPr>
          <w:color w:val="231F20"/>
          <w:spacing w:val="-3"/>
          <w:w w:val="105"/>
        </w:rPr>
        <w:t>social</w:t>
      </w:r>
      <w:r>
        <w:rPr>
          <w:color w:val="231F20"/>
          <w:spacing w:val="-9"/>
          <w:w w:val="105"/>
        </w:rPr>
        <w:t> </w:t>
      </w:r>
      <w:r>
        <w:rPr>
          <w:color w:val="231F20"/>
          <w:w w:val="105"/>
        </w:rPr>
        <w:t>y</w:t>
      </w:r>
      <w:r>
        <w:rPr>
          <w:color w:val="231F20"/>
          <w:spacing w:val="-9"/>
          <w:w w:val="105"/>
        </w:rPr>
        <w:t> </w:t>
      </w:r>
      <w:r>
        <w:rPr>
          <w:color w:val="231F20"/>
          <w:spacing w:val="-5"/>
          <w:w w:val="105"/>
        </w:rPr>
        <w:t>privado</w:t>
      </w:r>
      <w:r>
        <w:rPr>
          <w:color w:val="231F20"/>
          <w:spacing w:val="-9"/>
          <w:w w:val="105"/>
        </w:rPr>
        <w:t> </w:t>
      </w:r>
      <w:r>
        <w:rPr>
          <w:color w:val="231F20"/>
          <w:spacing w:val="-4"/>
          <w:w w:val="105"/>
        </w:rPr>
        <w:t>apenas</w:t>
      </w:r>
      <w:r>
        <w:rPr>
          <w:color w:val="231F20"/>
          <w:spacing w:val="-9"/>
          <w:w w:val="105"/>
        </w:rPr>
        <w:t> </w:t>
      </w:r>
      <w:r>
        <w:rPr>
          <w:color w:val="231F20"/>
          <w:spacing w:val="-3"/>
          <w:w w:val="105"/>
        </w:rPr>
        <w:t>suman</w:t>
      </w:r>
      <w:r>
        <w:rPr>
          <w:color w:val="231F20"/>
          <w:spacing w:val="-9"/>
          <w:w w:val="105"/>
        </w:rPr>
        <w:t> </w:t>
      </w:r>
      <w:r>
        <w:rPr>
          <w:color w:val="231F20"/>
          <w:spacing w:val="-6"/>
          <w:w w:val="105"/>
        </w:rPr>
        <w:t>21</w:t>
      </w:r>
      <w:r>
        <w:rPr>
          <w:color w:val="231F20"/>
          <w:spacing w:val="-9"/>
          <w:w w:val="105"/>
        </w:rPr>
        <w:t> </w:t>
      </w:r>
      <w:r>
        <w:rPr>
          <w:color w:val="231F20"/>
          <w:spacing w:val="-4"/>
          <w:w w:val="105"/>
        </w:rPr>
        <w:t>millones</w:t>
      </w:r>
      <w:r>
        <w:rPr>
          <w:color w:val="231F20"/>
          <w:spacing w:val="-9"/>
          <w:w w:val="105"/>
        </w:rPr>
        <w:t> </w:t>
      </w:r>
      <w:r>
        <w:rPr>
          <w:color w:val="231F20"/>
          <w:spacing w:val="-5"/>
          <w:w w:val="105"/>
        </w:rPr>
        <w:t>aproximadamente</w:t>
      </w:r>
      <w:r>
        <w:rPr>
          <w:color w:val="231F20"/>
          <w:spacing w:val="-9"/>
          <w:w w:val="105"/>
        </w:rPr>
        <w:t> </w:t>
      </w:r>
      <w:r>
        <w:rPr>
          <w:color w:val="231F20"/>
          <w:spacing w:val="-8"/>
          <w:w w:val="105"/>
        </w:rPr>
        <w:t>(Ver </w:t>
      </w:r>
      <w:r>
        <w:rPr>
          <w:color w:val="231F20"/>
          <w:spacing w:val="-5"/>
          <w:w w:val="105"/>
        </w:rPr>
        <w:t>Cuadro</w:t>
      </w:r>
      <w:r>
        <w:rPr>
          <w:color w:val="231F20"/>
          <w:spacing w:val="-19"/>
          <w:w w:val="105"/>
        </w:rPr>
        <w:t> </w:t>
      </w:r>
      <w:r>
        <w:rPr>
          <w:color w:val="231F20"/>
          <w:spacing w:val="-8"/>
          <w:w w:val="105"/>
        </w:rPr>
        <w:t>10),</w:t>
      </w:r>
      <w:r>
        <w:rPr>
          <w:color w:val="231F20"/>
          <w:spacing w:val="-19"/>
          <w:w w:val="105"/>
        </w:rPr>
        <w:t> </w:t>
      </w:r>
      <w:r>
        <w:rPr>
          <w:color w:val="231F20"/>
          <w:spacing w:val="-4"/>
          <w:w w:val="105"/>
        </w:rPr>
        <w:t>lo</w:t>
      </w:r>
      <w:r>
        <w:rPr>
          <w:color w:val="231F20"/>
          <w:spacing w:val="-19"/>
          <w:w w:val="105"/>
        </w:rPr>
        <w:t> </w:t>
      </w:r>
      <w:r>
        <w:rPr>
          <w:color w:val="231F20"/>
          <w:spacing w:val="-4"/>
          <w:w w:val="105"/>
        </w:rPr>
        <w:t>que</w:t>
      </w:r>
      <w:r>
        <w:rPr>
          <w:color w:val="231F20"/>
          <w:spacing w:val="-19"/>
          <w:w w:val="105"/>
        </w:rPr>
        <w:t> </w:t>
      </w:r>
      <w:r>
        <w:rPr>
          <w:color w:val="231F20"/>
          <w:spacing w:val="-5"/>
          <w:w w:val="105"/>
        </w:rPr>
        <w:t>demuestra</w:t>
      </w:r>
      <w:r>
        <w:rPr>
          <w:color w:val="231F20"/>
          <w:spacing w:val="-19"/>
          <w:w w:val="105"/>
        </w:rPr>
        <w:t> </w:t>
      </w:r>
      <w:r>
        <w:rPr>
          <w:color w:val="231F20"/>
          <w:spacing w:val="-4"/>
          <w:w w:val="105"/>
        </w:rPr>
        <w:t>que</w:t>
      </w:r>
      <w:r>
        <w:rPr>
          <w:color w:val="231F20"/>
          <w:spacing w:val="-19"/>
          <w:w w:val="105"/>
        </w:rPr>
        <w:t> </w:t>
      </w:r>
      <w:r>
        <w:rPr>
          <w:color w:val="231F20"/>
          <w:spacing w:val="-3"/>
          <w:w w:val="105"/>
        </w:rPr>
        <w:t>el</w:t>
      </w:r>
      <w:r>
        <w:rPr>
          <w:color w:val="231F20"/>
          <w:spacing w:val="-19"/>
          <w:w w:val="105"/>
        </w:rPr>
        <w:t> </w:t>
      </w:r>
      <w:r>
        <w:rPr>
          <w:color w:val="231F20"/>
          <w:spacing w:val="-4"/>
          <w:w w:val="105"/>
        </w:rPr>
        <w:t>gasto</w:t>
      </w:r>
      <w:r>
        <w:rPr>
          <w:color w:val="231F20"/>
          <w:spacing w:val="-19"/>
          <w:w w:val="105"/>
        </w:rPr>
        <w:t> </w:t>
      </w:r>
      <w:r>
        <w:rPr>
          <w:color w:val="231F20"/>
          <w:spacing w:val="-5"/>
          <w:w w:val="105"/>
        </w:rPr>
        <w:t>destinado</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spacing w:val="-6"/>
          <w:w w:val="105"/>
        </w:rPr>
        <w:t>atención</w:t>
      </w:r>
      <w:r>
        <w:rPr>
          <w:color w:val="231F20"/>
          <w:spacing w:val="-19"/>
          <w:w w:val="105"/>
        </w:rPr>
        <w:t> </w:t>
      </w:r>
      <w:r>
        <w:rPr>
          <w:color w:val="231F20"/>
          <w:spacing w:val="-4"/>
          <w:w w:val="105"/>
        </w:rPr>
        <w:t>de</w:t>
      </w:r>
      <w:r>
        <w:rPr>
          <w:color w:val="231F20"/>
          <w:spacing w:val="-19"/>
          <w:w w:val="105"/>
        </w:rPr>
        <w:t> </w:t>
      </w:r>
      <w:r>
        <w:rPr>
          <w:color w:val="231F20"/>
          <w:spacing w:val="-4"/>
          <w:w w:val="105"/>
        </w:rPr>
        <w:t>demandas</w:t>
      </w:r>
      <w:r>
        <w:rPr>
          <w:color w:val="231F20"/>
          <w:spacing w:val="-19"/>
          <w:w w:val="105"/>
        </w:rPr>
        <w:t> </w:t>
      </w:r>
      <w:r>
        <w:rPr>
          <w:color w:val="231F20"/>
          <w:w w:val="105"/>
        </w:rPr>
        <w:t>y</w:t>
      </w:r>
      <w:r>
        <w:rPr>
          <w:color w:val="231F20"/>
          <w:spacing w:val="-19"/>
          <w:w w:val="105"/>
        </w:rPr>
        <w:t> </w:t>
      </w:r>
      <w:r>
        <w:rPr>
          <w:color w:val="231F20"/>
          <w:spacing w:val="-5"/>
          <w:w w:val="105"/>
        </w:rPr>
        <w:t>problemas </w:t>
      </w:r>
      <w:r>
        <w:rPr>
          <w:color w:val="231F20"/>
          <w:spacing w:val="-4"/>
          <w:w w:val="105"/>
        </w:rPr>
        <w:t>sociales </w:t>
      </w:r>
      <w:r>
        <w:rPr>
          <w:color w:val="231F20"/>
          <w:spacing w:val="-3"/>
          <w:w w:val="105"/>
        </w:rPr>
        <w:t>está </w:t>
      </w:r>
      <w:r>
        <w:rPr>
          <w:color w:val="231F20"/>
          <w:spacing w:val="-6"/>
          <w:w w:val="105"/>
        </w:rPr>
        <w:t>siendo superado </w:t>
      </w:r>
      <w:r>
        <w:rPr>
          <w:color w:val="231F20"/>
          <w:spacing w:val="-4"/>
          <w:w w:val="105"/>
        </w:rPr>
        <w:t>por </w:t>
      </w:r>
      <w:r>
        <w:rPr>
          <w:color w:val="231F20"/>
          <w:w w:val="105"/>
        </w:rPr>
        <w:t>la </w:t>
      </w:r>
      <w:r>
        <w:rPr>
          <w:color w:val="231F20"/>
          <w:spacing w:val="-3"/>
          <w:w w:val="105"/>
        </w:rPr>
        <w:t>maquinaria </w:t>
      </w:r>
      <w:r>
        <w:rPr>
          <w:color w:val="231F20"/>
          <w:spacing w:val="-5"/>
          <w:w w:val="105"/>
        </w:rPr>
        <w:t>burocrática del ayuntamiento, </w:t>
      </w:r>
      <w:r>
        <w:rPr>
          <w:color w:val="231F20"/>
          <w:w w:val="105"/>
        </w:rPr>
        <w:t>a </w:t>
      </w:r>
      <w:r>
        <w:rPr>
          <w:color w:val="231F20"/>
          <w:spacing w:val="-3"/>
          <w:w w:val="105"/>
        </w:rPr>
        <w:t>pesar </w:t>
      </w:r>
      <w:r>
        <w:rPr>
          <w:color w:val="231F20"/>
          <w:spacing w:val="-4"/>
          <w:w w:val="105"/>
        </w:rPr>
        <w:t>de que</w:t>
      </w:r>
      <w:r>
        <w:rPr>
          <w:color w:val="231F20"/>
          <w:spacing w:val="-19"/>
          <w:w w:val="105"/>
        </w:rPr>
        <w:t> </w:t>
      </w:r>
      <w:r>
        <w:rPr>
          <w:color w:val="231F20"/>
          <w:w w:val="105"/>
        </w:rPr>
        <w:t>las</w:t>
      </w:r>
      <w:r>
        <w:rPr>
          <w:color w:val="231F20"/>
          <w:spacing w:val="-19"/>
          <w:w w:val="105"/>
        </w:rPr>
        <w:t> </w:t>
      </w:r>
      <w:r>
        <w:rPr>
          <w:color w:val="231F20"/>
          <w:spacing w:val="-6"/>
          <w:w w:val="105"/>
        </w:rPr>
        <w:t>condiciones</w:t>
      </w:r>
      <w:r>
        <w:rPr>
          <w:color w:val="231F20"/>
          <w:spacing w:val="-19"/>
          <w:w w:val="105"/>
        </w:rPr>
        <w:t> </w:t>
      </w:r>
      <w:r>
        <w:rPr>
          <w:color w:val="231F20"/>
          <w:spacing w:val="-3"/>
          <w:w w:val="105"/>
        </w:rPr>
        <w:t>marginales</w:t>
      </w:r>
      <w:r>
        <w:rPr>
          <w:color w:val="231F20"/>
          <w:spacing w:val="-19"/>
          <w:w w:val="105"/>
        </w:rPr>
        <w:t> </w:t>
      </w:r>
      <w:r>
        <w:rPr>
          <w:color w:val="231F20"/>
          <w:spacing w:val="-5"/>
          <w:w w:val="105"/>
        </w:rPr>
        <w:t>del</w:t>
      </w:r>
      <w:r>
        <w:rPr>
          <w:color w:val="231F20"/>
          <w:spacing w:val="-19"/>
          <w:w w:val="105"/>
        </w:rPr>
        <w:t> </w:t>
      </w:r>
      <w:r>
        <w:rPr>
          <w:color w:val="231F20"/>
          <w:spacing w:val="-5"/>
          <w:w w:val="105"/>
        </w:rPr>
        <w:t>municipio</w:t>
      </w:r>
      <w:r>
        <w:rPr>
          <w:color w:val="231F20"/>
          <w:spacing w:val="-19"/>
          <w:w w:val="105"/>
        </w:rPr>
        <w:t> </w:t>
      </w:r>
      <w:r>
        <w:rPr>
          <w:color w:val="231F20"/>
          <w:spacing w:val="-4"/>
          <w:w w:val="105"/>
        </w:rPr>
        <w:t>no</w:t>
      </w:r>
      <w:r>
        <w:rPr>
          <w:color w:val="231F20"/>
          <w:spacing w:val="-19"/>
          <w:w w:val="105"/>
        </w:rPr>
        <w:t> </w:t>
      </w:r>
      <w:r>
        <w:rPr>
          <w:color w:val="231F20"/>
          <w:w w:val="105"/>
        </w:rPr>
        <w:t>han</w:t>
      </w:r>
      <w:r>
        <w:rPr>
          <w:color w:val="231F20"/>
          <w:spacing w:val="-19"/>
          <w:w w:val="105"/>
        </w:rPr>
        <w:t> </w:t>
      </w:r>
      <w:r>
        <w:rPr>
          <w:color w:val="231F20"/>
          <w:spacing w:val="-4"/>
          <w:w w:val="105"/>
        </w:rPr>
        <w:t>variado</w:t>
      </w:r>
      <w:r>
        <w:rPr>
          <w:color w:val="231F20"/>
          <w:spacing w:val="-19"/>
          <w:w w:val="105"/>
        </w:rPr>
        <w:t> </w:t>
      </w:r>
      <w:r>
        <w:rPr>
          <w:color w:val="231F20"/>
          <w:spacing w:val="-4"/>
          <w:w w:val="105"/>
        </w:rPr>
        <w:t>en</w:t>
      </w:r>
      <w:r>
        <w:rPr>
          <w:color w:val="231F20"/>
          <w:spacing w:val="-19"/>
          <w:w w:val="105"/>
        </w:rPr>
        <w:t> </w:t>
      </w:r>
      <w:r>
        <w:rPr>
          <w:color w:val="231F20"/>
          <w:spacing w:val="-4"/>
          <w:w w:val="105"/>
        </w:rPr>
        <w:t>los</w:t>
      </w:r>
      <w:r>
        <w:rPr>
          <w:color w:val="231F20"/>
          <w:spacing w:val="-19"/>
          <w:w w:val="105"/>
        </w:rPr>
        <w:t> </w:t>
      </w:r>
      <w:r>
        <w:rPr>
          <w:color w:val="231F20"/>
          <w:spacing w:val="-4"/>
          <w:w w:val="105"/>
        </w:rPr>
        <w:t>últimos</w:t>
      </w:r>
      <w:r>
        <w:rPr>
          <w:color w:val="231F20"/>
          <w:spacing w:val="-19"/>
          <w:w w:val="105"/>
        </w:rPr>
        <w:t> </w:t>
      </w:r>
      <w:r>
        <w:rPr>
          <w:color w:val="231F20"/>
          <w:spacing w:val="-4"/>
          <w:w w:val="105"/>
        </w:rPr>
        <w:t>diez</w:t>
      </w:r>
      <w:r>
        <w:rPr>
          <w:color w:val="231F20"/>
          <w:spacing w:val="-19"/>
          <w:w w:val="105"/>
        </w:rPr>
        <w:t> </w:t>
      </w:r>
      <w:r>
        <w:rPr>
          <w:color w:val="231F20"/>
          <w:spacing w:val="-4"/>
          <w:w w:val="105"/>
        </w:rPr>
        <w:t>años.</w:t>
      </w:r>
    </w:p>
    <w:p>
      <w:pPr>
        <w:spacing w:after="0" w:line="285" w:lineRule="auto"/>
        <w:jc w:val="both"/>
        <w:sectPr>
          <w:pgSz w:w="9640" w:h="12190"/>
          <w:pgMar w:header="0" w:footer="743" w:top="1120" w:bottom="940" w:left="740" w:right="740"/>
        </w:sectPr>
      </w:pPr>
    </w:p>
    <w:p>
      <w:pPr>
        <w:pStyle w:val="Heading5"/>
        <w:spacing w:before="27"/>
        <w:ind w:left="515" w:right="-2"/>
      </w:pPr>
      <w:r>
        <w:rPr>
          <w:color w:val="231F20"/>
          <w:w w:val="105"/>
        </w:rPr>
        <w:t>Cuadro 10. Conceptos de gasto en el municipio de Ixtapan de la Sal, 2008.</w:t>
      </w:r>
    </w:p>
    <w:p>
      <w:pPr>
        <w:pStyle w:val="BodyText"/>
        <w:rPr>
          <w:b/>
          <w:sz w:val="20"/>
        </w:rPr>
      </w:pPr>
    </w:p>
    <w:p>
      <w:pPr>
        <w:pStyle w:val="BodyText"/>
        <w:spacing w:before="10"/>
        <w:rPr>
          <w:b/>
          <w:sz w:val="20"/>
        </w:rPr>
      </w:pPr>
    </w:p>
    <w:tbl>
      <w:tblPr>
        <w:tblW w:w="0" w:type="auto"/>
        <w:jc w:val="left"/>
        <w:tblInd w:w="89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262"/>
        <w:gridCol w:w="2105"/>
      </w:tblGrid>
      <w:tr>
        <w:trPr>
          <w:trHeight w:val="204" w:hRule="exact"/>
        </w:trPr>
        <w:tc>
          <w:tcPr>
            <w:tcW w:w="4262" w:type="dxa"/>
            <w:shd w:val="clear" w:color="auto" w:fill="FFCD05"/>
          </w:tcPr>
          <w:p>
            <w:pPr>
              <w:pStyle w:val="TableParagraph"/>
              <w:spacing w:line="204" w:lineRule="exact"/>
              <w:ind w:left="252" w:right="252"/>
              <w:jc w:val="center"/>
              <w:rPr>
                <w:b/>
                <w:sz w:val="20"/>
              </w:rPr>
            </w:pPr>
            <w:r>
              <w:rPr>
                <w:b/>
                <w:color w:val="231F20"/>
                <w:w w:val="90"/>
                <w:sz w:val="20"/>
              </w:rPr>
              <w:t>Concepto</w:t>
            </w:r>
          </w:p>
        </w:tc>
        <w:tc>
          <w:tcPr>
            <w:tcW w:w="2105" w:type="dxa"/>
            <w:shd w:val="clear" w:color="auto" w:fill="FFCD05"/>
          </w:tcPr>
          <w:p>
            <w:pPr>
              <w:pStyle w:val="TableParagraph"/>
              <w:spacing w:line="204" w:lineRule="exact"/>
              <w:ind w:left="525" w:right="525"/>
              <w:jc w:val="center"/>
              <w:rPr>
                <w:b/>
                <w:sz w:val="20"/>
              </w:rPr>
            </w:pPr>
            <w:r>
              <w:rPr>
                <w:b/>
                <w:color w:val="231F20"/>
                <w:w w:val="90"/>
                <w:sz w:val="20"/>
              </w:rPr>
              <w:t>Gasto</w:t>
            </w:r>
          </w:p>
        </w:tc>
      </w:tr>
      <w:tr>
        <w:trPr>
          <w:trHeight w:val="130" w:hRule="exact"/>
        </w:trPr>
        <w:tc>
          <w:tcPr>
            <w:tcW w:w="4262" w:type="dxa"/>
          </w:tcPr>
          <w:p>
            <w:pPr>
              <w:pStyle w:val="TableParagraph"/>
              <w:spacing w:line="160" w:lineRule="exact"/>
              <w:ind w:left="252" w:right="252"/>
              <w:jc w:val="center"/>
              <w:rPr>
                <w:sz w:val="16"/>
              </w:rPr>
            </w:pPr>
            <w:r>
              <w:rPr>
                <w:color w:val="231F20"/>
                <w:w w:val="75"/>
                <w:sz w:val="16"/>
              </w:rPr>
              <w:t>Servicios personales</w:t>
            </w:r>
          </w:p>
        </w:tc>
        <w:tc>
          <w:tcPr>
            <w:tcW w:w="2105" w:type="dxa"/>
          </w:tcPr>
          <w:p>
            <w:pPr>
              <w:pStyle w:val="TableParagraph"/>
              <w:spacing w:line="160" w:lineRule="exact"/>
              <w:ind w:left="525" w:right="525"/>
              <w:jc w:val="center"/>
              <w:rPr>
                <w:sz w:val="16"/>
              </w:rPr>
            </w:pPr>
            <w:r>
              <w:rPr>
                <w:color w:val="231F20"/>
                <w:w w:val="85"/>
                <w:sz w:val="16"/>
              </w:rPr>
              <w:t>35’214,212</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Materiales y suministros</w:t>
            </w:r>
          </w:p>
        </w:tc>
        <w:tc>
          <w:tcPr>
            <w:tcW w:w="2105" w:type="dxa"/>
          </w:tcPr>
          <w:p>
            <w:pPr>
              <w:pStyle w:val="TableParagraph"/>
              <w:spacing w:line="163" w:lineRule="exact"/>
              <w:ind w:left="525" w:right="525"/>
              <w:jc w:val="center"/>
              <w:rPr>
                <w:sz w:val="16"/>
              </w:rPr>
            </w:pPr>
            <w:r>
              <w:rPr>
                <w:color w:val="231F20"/>
                <w:w w:val="85"/>
                <w:sz w:val="16"/>
              </w:rPr>
              <w:t>7’593,054</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Servicios generales</w:t>
            </w:r>
          </w:p>
        </w:tc>
        <w:tc>
          <w:tcPr>
            <w:tcW w:w="2105" w:type="dxa"/>
          </w:tcPr>
          <w:p>
            <w:pPr>
              <w:pStyle w:val="TableParagraph"/>
              <w:spacing w:line="163" w:lineRule="exact"/>
              <w:ind w:left="524" w:right="525"/>
              <w:jc w:val="center"/>
              <w:rPr>
                <w:sz w:val="16"/>
              </w:rPr>
            </w:pPr>
            <w:r>
              <w:rPr>
                <w:color w:val="231F20"/>
                <w:w w:val="85"/>
                <w:sz w:val="16"/>
              </w:rPr>
              <w:t>10’733,575</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Subsidios y apoyos a los sectores productivo, social y privado</w:t>
            </w:r>
          </w:p>
        </w:tc>
        <w:tc>
          <w:tcPr>
            <w:tcW w:w="2105" w:type="dxa"/>
          </w:tcPr>
          <w:p>
            <w:pPr>
              <w:pStyle w:val="TableParagraph"/>
              <w:spacing w:line="163" w:lineRule="exact"/>
              <w:ind w:left="525" w:right="525"/>
              <w:jc w:val="center"/>
              <w:rPr>
                <w:sz w:val="16"/>
              </w:rPr>
            </w:pPr>
            <w:r>
              <w:rPr>
                <w:color w:val="231F20"/>
                <w:w w:val="85"/>
                <w:sz w:val="16"/>
              </w:rPr>
              <w:t>3’224,356</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Bienes muebles e inmuebles</w:t>
            </w:r>
          </w:p>
        </w:tc>
        <w:tc>
          <w:tcPr>
            <w:tcW w:w="2105" w:type="dxa"/>
          </w:tcPr>
          <w:p>
            <w:pPr>
              <w:pStyle w:val="TableParagraph"/>
              <w:spacing w:line="163" w:lineRule="exact"/>
              <w:ind w:left="525" w:right="525"/>
              <w:jc w:val="center"/>
              <w:rPr>
                <w:sz w:val="16"/>
              </w:rPr>
            </w:pPr>
            <w:r>
              <w:rPr>
                <w:color w:val="231F20"/>
                <w:w w:val="85"/>
                <w:sz w:val="16"/>
              </w:rPr>
              <w:t>3’238,243</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Obras públicas</w:t>
            </w:r>
          </w:p>
        </w:tc>
        <w:tc>
          <w:tcPr>
            <w:tcW w:w="2105" w:type="dxa"/>
          </w:tcPr>
          <w:p>
            <w:pPr>
              <w:pStyle w:val="TableParagraph"/>
              <w:spacing w:line="163" w:lineRule="exact"/>
              <w:ind w:left="525" w:right="525"/>
              <w:jc w:val="center"/>
              <w:rPr>
                <w:sz w:val="16"/>
              </w:rPr>
            </w:pPr>
            <w:r>
              <w:rPr>
                <w:color w:val="231F20"/>
                <w:w w:val="75"/>
                <w:sz w:val="16"/>
              </w:rPr>
              <w:t>17’994, 596</w:t>
            </w:r>
          </w:p>
        </w:tc>
      </w:tr>
      <w:tr>
        <w:trPr>
          <w:trHeight w:val="160" w:hRule="exact"/>
        </w:trPr>
        <w:tc>
          <w:tcPr>
            <w:tcW w:w="4262" w:type="dxa"/>
          </w:tcPr>
          <w:p>
            <w:pPr>
              <w:pStyle w:val="TableParagraph"/>
              <w:spacing w:line="190" w:lineRule="exact"/>
              <w:ind w:left="252" w:right="252"/>
              <w:jc w:val="center"/>
              <w:rPr>
                <w:sz w:val="20"/>
              </w:rPr>
            </w:pPr>
            <w:r>
              <w:rPr>
                <w:color w:val="231F20"/>
                <w:w w:val="75"/>
                <w:sz w:val="20"/>
              </w:rPr>
              <w:t>Deuda Pública</w:t>
            </w:r>
          </w:p>
        </w:tc>
        <w:tc>
          <w:tcPr>
            <w:tcW w:w="2105" w:type="dxa"/>
          </w:tcPr>
          <w:p>
            <w:pPr>
              <w:pStyle w:val="TableParagraph"/>
              <w:spacing w:line="163" w:lineRule="exact"/>
              <w:ind w:left="0"/>
              <w:jc w:val="center"/>
              <w:rPr>
                <w:sz w:val="16"/>
              </w:rPr>
            </w:pPr>
            <w:r>
              <w:rPr>
                <w:color w:val="231F20"/>
                <w:w w:val="75"/>
                <w:sz w:val="16"/>
              </w:rPr>
              <w:t>0</w:t>
            </w:r>
          </w:p>
        </w:tc>
      </w:tr>
    </w:tbl>
    <w:p>
      <w:pPr>
        <w:pStyle w:val="BodyText"/>
        <w:spacing w:before="5"/>
        <w:rPr>
          <w:b/>
          <w:sz w:val="16"/>
        </w:rPr>
      </w:pPr>
    </w:p>
    <w:p>
      <w:pPr>
        <w:spacing w:before="74"/>
        <w:ind w:left="2869" w:right="-15" w:firstLine="0"/>
        <w:jc w:val="left"/>
        <w:rPr>
          <w:rFonts w:ascii="Calibri" w:hAnsi="Calibri"/>
          <w:sz w:val="16"/>
        </w:rPr>
      </w:pPr>
      <w:r>
        <w:rPr>
          <w:rFonts w:ascii="Calibri" w:hAnsi="Calibri"/>
          <w:color w:val="231F20"/>
          <w:sz w:val="16"/>
        </w:rPr>
        <w:t>Fuente: elaboración propia con datos de Tesorería Municipal de Ixtapan de la Sal.</w:t>
      </w:r>
    </w:p>
    <w:p>
      <w:pPr>
        <w:pStyle w:val="BodyText"/>
        <w:rPr>
          <w:rFonts w:ascii="Calibri"/>
          <w:sz w:val="16"/>
        </w:rPr>
      </w:pPr>
    </w:p>
    <w:p>
      <w:pPr>
        <w:pStyle w:val="Heading3"/>
        <w:spacing w:before="119"/>
      </w:pPr>
      <w:r>
        <w:rPr>
          <w:color w:val="231F20"/>
          <w:w w:val="105"/>
        </w:rPr>
        <w:t>Calidad del gobierno municipal y desempeño del PRI</w:t>
      </w:r>
    </w:p>
    <w:p>
      <w:pPr>
        <w:pStyle w:val="BodyText"/>
        <w:spacing w:line="285" w:lineRule="auto" w:before="38"/>
        <w:ind w:left="110" w:right="107"/>
        <w:jc w:val="both"/>
      </w:pPr>
      <w:r>
        <w:rPr>
          <w:color w:val="231F20"/>
          <w:w w:val="105"/>
        </w:rPr>
        <w:t>Habiendo</w:t>
      </w:r>
      <w:r>
        <w:rPr>
          <w:color w:val="231F20"/>
          <w:spacing w:val="-19"/>
          <w:w w:val="105"/>
        </w:rPr>
        <w:t> </w:t>
      </w:r>
      <w:r>
        <w:rPr>
          <w:color w:val="231F20"/>
          <w:w w:val="105"/>
        </w:rPr>
        <w:t>observado</w:t>
      </w:r>
      <w:r>
        <w:rPr>
          <w:color w:val="231F20"/>
          <w:spacing w:val="-19"/>
          <w:w w:val="105"/>
        </w:rPr>
        <w:t> </w:t>
      </w:r>
      <w:r>
        <w:rPr>
          <w:color w:val="231F20"/>
          <w:w w:val="105"/>
        </w:rPr>
        <w:t>las</w:t>
      </w:r>
      <w:r>
        <w:rPr>
          <w:color w:val="231F20"/>
          <w:spacing w:val="-19"/>
          <w:w w:val="105"/>
        </w:rPr>
        <w:t> </w:t>
      </w:r>
      <w:r>
        <w:rPr>
          <w:color w:val="231F20"/>
          <w:w w:val="105"/>
        </w:rPr>
        <w:t>condiciones</w:t>
      </w:r>
      <w:r>
        <w:rPr>
          <w:color w:val="231F20"/>
          <w:spacing w:val="-19"/>
          <w:w w:val="105"/>
        </w:rPr>
        <w:t> </w:t>
      </w:r>
      <w:r>
        <w:rPr>
          <w:color w:val="231F20"/>
          <w:w w:val="105"/>
        </w:rPr>
        <w:t>sociales,</w:t>
      </w:r>
      <w:r>
        <w:rPr>
          <w:color w:val="231F20"/>
          <w:spacing w:val="-19"/>
          <w:w w:val="105"/>
        </w:rPr>
        <w:t> </w:t>
      </w:r>
      <w:r>
        <w:rPr>
          <w:color w:val="231F20"/>
          <w:w w:val="105"/>
        </w:rPr>
        <w:t>económicas</w:t>
      </w:r>
      <w:r>
        <w:rPr>
          <w:color w:val="231F20"/>
          <w:spacing w:val="-19"/>
          <w:w w:val="105"/>
        </w:rPr>
        <w:t> </w:t>
      </w:r>
      <w:r>
        <w:rPr>
          <w:color w:val="231F20"/>
          <w:w w:val="105"/>
        </w:rPr>
        <w:t>y</w:t>
      </w:r>
      <w:r>
        <w:rPr>
          <w:color w:val="231F20"/>
          <w:spacing w:val="-19"/>
          <w:w w:val="105"/>
        </w:rPr>
        <w:t> </w:t>
      </w:r>
      <w:r>
        <w:rPr>
          <w:color w:val="231F20"/>
          <w:w w:val="105"/>
        </w:rPr>
        <w:t>políticas</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así como las características más importantes del gobierno municipal de Ixtapan de la Sal, se procederá a </w:t>
      </w:r>
      <w:r>
        <w:rPr>
          <w:color w:val="231F20"/>
          <w:spacing w:val="2"/>
          <w:w w:val="105"/>
        </w:rPr>
        <w:t>analizar </w:t>
      </w:r>
      <w:r>
        <w:rPr>
          <w:color w:val="231F20"/>
          <w:w w:val="105"/>
        </w:rPr>
        <w:t>la calidad del gobierno y el desempeño del PRI como partido gobernante,</w:t>
      </w:r>
      <w:r>
        <w:rPr>
          <w:color w:val="231F20"/>
          <w:spacing w:val="-11"/>
          <w:w w:val="105"/>
        </w:rPr>
        <w:t> </w:t>
      </w:r>
      <w:r>
        <w:rPr>
          <w:color w:val="231F20"/>
          <w:w w:val="105"/>
        </w:rPr>
        <w:t>particularmente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último</w:t>
      </w:r>
      <w:r>
        <w:rPr>
          <w:color w:val="231F20"/>
          <w:spacing w:val="-11"/>
          <w:w w:val="105"/>
        </w:rPr>
        <w:t> </w:t>
      </w:r>
      <w:r>
        <w:rPr>
          <w:color w:val="231F20"/>
          <w:w w:val="105"/>
        </w:rPr>
        <w:t>año</w:t>
      </w:r>
      <w:r>
        <w:rPr>
          <w:color w:val="231F20"/>
          <w:spacing w:val="-11"/>
          <w:w w:val="105"/>
        </w:rPr>
        <w:t> </w:t>
      </w:r>
      <w:r>
        <w:rPr>
          <w:color w:val="231F20"/>
          <w:w w:val="105"/>
        </w:rPr>
        <w:t>ejercido</w:t>
      </w:r>
      <w:r>
        <w:rPr>
          <w:color w:val="231F20"/>
          <w:spacing w:val="-11"/>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w w:val="105"/>
        </w:rPr>
        <w:t>Para el </w:t>
      </w:r>
      <w:r>
        <w:rPr>
          <w:color w:val="231F20"/>
          <w:spacing w:val="-2"/>
          <w:w w:val="105"/>
        </w:rPr>
        <w:t>primer </w:t>
      </w:r>
      <w:r>
        <w:rPr>
          <w:color w:val="231F20"/>
          <w:spacing w:val="-4"/>
          <w:w w:val="105"/>
        </w:rPr>
        <w:t>objetivo, </w:t>
      </w:r>
      <w:r>
        <w:rPr>
          <w:color w:val="231F20"/>
          <w:w w:val="105"/>
        </w:rPr>
        <w:t>la calidad </w:t>
      </w:r>
      <w:r>
        <w:rPr>
          <w:color w:val="231F20"/>
          <w:spacing w:val="-3"/>
          <w:w w:val="105"/>
        </w:rPr>
        <w:t>del </w:t>
      </w:r>
      <w:r>
        <w:rPr>
          <w:color w:val="231F20"/>
          <w:spacing w:val="-4"/>
          <w:w w:val="105"/>
        </w:rPr>
        <w:t>gobierno, </w:t>
      </w:r>
      <w:r>
        <w:rPr>
          <w:color w:val="231F20"/>
          <w:w w:val="105"/>
        </w:rPr>
        <w:t>se tomarán </w:t>
      </w:r>
      <w:r>
        <w:rPr>
          <w:color w:val="231F20"/>
          <w:spacing w:val="-4"/>
          <w:w w:val="105"/>
        </w:rPr>
        <w:t>como </w:t>
      </w:r>
      <w:r>
        <w:rPr>
          <w:color w:val="231F20"/>
          <w:spacing w:val="-3"/>
          <w:w w:val="105"/>
        </w:rPr>
        <w:t>indicadores </w:t>
      </w:r>
      <w:r>
        <w:rPr>
          <w:color w:val="231F20"/>
          <w:w w:val="105"/>
        </w:rPr>
        <w:t>las metas </w:t>
      </w:r>
      <w:r>
        <w:rPr>
          <w:color w:val="231F20"/>
          <w:spacing w:val="-3"/>
          <w:w w:val="105"/>
        </w:rPr>
        <w:t>propuestas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Plan</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w w:val="105"/>
        </w:rPr>
        <w:t>y</w:t>
      </w:r>
      <w:r>
        <w:rPr>
          <w:color w:val="231F20"/>
          <w:spacing w:val="-19"/>
          <w:w w:val="105"/>
        </w:rPr>
        <w:t> </w:t>
      </w:r>
      <w:r>
        <w:rPr>
          <w:color w:val="231F20"/>
          <w:spacing w:val="-3"/>
          <w:w w:val="105"/>
        </w:rPr>
        <w:t>los</w:t>
      </w:r>
      <w:r>
        <w:rPr>
          <w:color w:val="231F20"/>
          <w:spacing w:val="-19"/>
          <w:w w:val="105"/>
        </w:rPr>
        <w:t> </w:t>
      </w:r>
      <w:r>
        <w:rPr>
          <w:color w:val="231F20"/>
          <w:spacing w:val="-3"/>
          <w:w w:val="105"/>
        </w:rPr>
        <w:t>resultados</w:t>
      </w:r>
      <w:r>
        <w:rPr>
          <w:color w:val="231F20"/>
          <w:spacing w:val="-19"/>
          <w:w w:val="105"/>
        </w:rPr>
        <w:t> </w:t>
      </w:r>
      <w:r>
        <w:rPr>
          <w:color w:val="231F20"/>
          <w:w w:val="105"/>
        </w:rPr>
        <w:t>según</w:t>
      </w:r>
      <w:r>
        <w:rPr>
          <w:color w:val="231F20"/>
          <w:spacing w:val="-19"/>
          <w:w w:val="105"/>
        </w:rPr>
        <w:t> </w:t>
      </w:r>
      <w:r>
        <w:rPr>
          <w:color w:val="231F20"/>
          <w:w w:val="105"/>
        </w:rPr>
        <w:t>el</w:t>
      </w:r>
      <w:r>
        <w:rPr>
          <w:color w:val="231F20"/>
          <w:spacing w:val="-19"/>
          <w:w w:val="105"/>
        </w:rPr>
        <w:t> </w:t>
      </w:r>
      <w:r>
        <w:rPr>
          <w:color w:val="231F20"/>
          <w:w w:val="105"/>
        </w:rPr>
        <w:t>segundo</w:t>
      </w:r>
      <w:r>
        <w:rPr>
          <w:color w:val="231F20"/>
          <w:spacing w:val="-19"/>
          <w:w w:val="105"/>
        </w:rPr>
        <w:t> </w:t>
      </w:r>
      <w:r>
        <w:rPr>
          <w:color w:val="231F20"/>
          <w:w w:val="105"/>
        </w:rPr>
        <w:t>Informe</w:t>
      </w:r>
      <w:r>
        <w:rPr>
          <w:color w:val="231F20"/>
          <w:spacing w:val="-19"/>
          <w:w w:val="105"/>
        </w:rPr>
        <w:t> </w:t>
      </w:r>
      <w:r>
        <w:rPr>
          <w:color w:val="231F20"/>
          <w:w w:val="105"/>
        </w:rPr>
        <w:t>de</w:t>
      </w:r>
      <w:r>
        <w:rPr>
          <w:color w:val="231F20"/>
          <w:spacing w:val="-19"/>
          <w:w w:val="105"/>
        </w:rPr>
        <w:t> </w:t>
      </w:r>
      <w:r>
        <w:rPr>
          <w:color w:val="231F20"/>
          <w:spacing w:val="-5"/>
          <w:w w:val="105"/>
        </w:rPr>
        <w:t>Gobier- </w:t>
      </w:r>
      <w:r>
        <w:rPr>
          <w:color w:val="231F20"/>
          <w:spacing w:val="-4"/>
          <w:w w:val="105"/>
        </w:rPr>
        <w:t>no.</w:t>
      </w:r>
      <w:r>
        <w:rPr>
          <w:color w:val="231F20"/>
          <w:spacing w:val="-16"/>
          <w:w w:val="105"/>
        </w:rPr>
        <w:t> </w:t>
      </w:r>
      <w:r>
        <w:rPr>
          <w:color w:val="231F20"/>
          <w:w w:val="105"/>
        </w:rPr>
        <w:t>Es</w:t>
      </w:r>
      <w:r>
        <w:rPr>
          <w:color w:val="231F20"/>
          <w:spacing w:val="-16"/>
          <w:w w:val="105"/>
        </w:rPr>
        <w:t> </w:t>
      </w:r>
      <w:r>
        <w:rPr>
          <w:color w:val="231F20"/>
          <w:spacing w:val="-3"/>
          <w:w w:val="105"/>
        </w:rPr>
        <w:t>preciso</w:t>
      </w:r>
      <w:r>
        <w:rPr>
          <w:color w:val="231F20"/>
          <w:spacing w:val="-16"/>
          <w:w w:val="105"/>
        </w:rPr>
        <w:t> </w:t>
      </w:r>
      <w:r>
        <w:rPr>
          <w:color w:val="231F20"/>
          <w:w w:val="105"/>
        </w:rPr>
        <w:t>señalar</w:t>
      </w:r>
      <w:r>
        <w:rPr>
          <w:color w:val="231F20"/>
          <w:spacing w:val="-16"/>
          <w:w w:val="105"/>
        </w:rPr>
        <w:t> </w:t>
      </w:r>
      <w:r>
        <w:rPr>
          <w:color w:val="231F20"/>
          <w:spacing w:val="-3"/>
          <w:w w:val="105"/>
        </w:rPr>
        <w:t>que</w:t>
      </w:r>
      <w:r>
        <w:rPr>
          <w:color w:val="231F20"/>
          <w:spacing w:val="-16"/>
          <w:w w:val="105"/>
        </w:rPr>
        <w:t> </w:t>
      </w:r>
      <w:r>
        <w:rPr>
          <w:color w:val="231F20"/>
          <w:spacing w:val="-3"/>
          <w:w w:val="105"/>
        </w:rPr>
        <w:t>no</w:t>
      </w:r>
      <w:r>
        <w:rPr>
          <w:color w:val="231F20"/>
          <w:spacing w:val="-16"/>
          <w:w w:val="105"/>
        </w:rPr>
        <w:t> </w:t>
      </w:r>
      <w:r>
        <w:rPr>
          <w:color w:val="231F20"/>
          <w:w w:val="105"/>
        </w:rPr>
        <w:t>se</w:t>
      </w:r>
      <w:r>
        <w:rPr>
          <w:color w:val="231F20"/>
          <w:spacing w:val="-16"/>
          <w:w w:val="105"/>
        </w:rPr>
        <w:t> </w:t>
      </w:r>
      <w:r>
        <w:rPr>
          <w:color w:val="231F20"/>
          <w:w w:val="105"/>
        </w:rPr>
        <w:t>tuvo</w:t>
      </w:r>
      <w:r>
        <w:rPr>
          <w:color w:val="231F20"/>
          <w:spacing w:val="-16"/>
          <w:w w:val="105"/>
        </w:rPr>
        <w:t> </w:t>
      </w:r>
      <w:r>
        <w:rPr>
          <w:color w:val="231F20"/>
          <w:spacing w:val="-3"/>
          <w:w w:val="105"/>
        </w:rPr>
        <w:t>acceso</w:t>
      </w:r>
      <w:r>
        <w:rPr>
          <w:color w:val="231F20"/>
          <w:spacing w:val="-16"/>
          <w:w w:val="105"/>
        </w:rPr>
        <w:t> </w:t>
      </w:r>
      <w:r>
        <w:rPr>
          <w:color w:val="231F20"/>
          <w:w w:val="105"/>
        </w:rPr>
        <w:t>al</w:t>
      </w:r>
      <w:r>
        <w:rPr>
          <w:color w:val="231F20"/>
          <w:spacing w:val="-16"/>
          <w:w w:val="105"/>
        </w:rPr>
        <w:t> </w:t>
      </w:r>
      <w:r>
        <w:rPr>
          <w:color w:val="231F20"/>
          <w:spacing w:val="-2"/>
          <w:w w:val="105"/>
        </w:rPr>
        <w:t>primer</w:t>
      </w:r>
      <w:r>
        <w:rPr>
          <w:color w:val="231F20"/>
          <w:spacing w:val="-16"/>
          <w:w w:val="105"/>
        </w:rPr>
        <w:t> </w:t>
      </w:r>
      <w:r>
        <w:rPr>
          <w:color w:val="231F20"/>
          <w:w w:val="105"/>
        </w:rPr>
        <w:t>informe,</w:t>
      </w:r>
      <w:r>
        <w:rPr>
          <w:color w:val="231F20"/>
          <w:spacing w:val="-16"/>
          <w:w w:val="105"/>
        </w:rPr>
        <w:t> </w:t>
      </w:r>
      <w:r>
        <w:rPr>
          <w:color w:val="231F20"/>
          <w:spacing w:val="-3"/>
          <w:w w:val="105"/>
        </w:rPr>
        <w:t>por</w:t>
      </w:r>
      <w:r>
        <w:rPr>
          <w:color w:val="231F20"/>
          <w:spacing w:val="-16"/>
          <w:w w:val="105"/>
        </w:rPr>
        <w:t> </w:t>
      </w:r>
      <w:r>
        <w:rPr>
          <w:color w:val="231F20"/>
          <w:spacing w:val="-3"/>
          <w:w w:val="105"/>
        </w:rPr>
        <w:t>lo</w:t>
      </w:r>
      <w:r>
        <w:rPr>
          <w:color w:val="231F20"/>
          <w:spacing w:val="-16"/>
          <w:w w:val="105"/>
        </w:rPr>
        <w:t> </w:t>
      </w:r>
      <w:r>
        <w:rPr>
          <w:color w:val="231F20"/>
          <w:spacing w:val="-3"/>
          <w:w w:val="105"/>
        </w:rPr>
        <w:t>que</w:t>
      </w:r>
      <w:r>
        <w:rPr>
          <w:color w:val="231F20"/>
          <w:spacing w:val="-16"/>
          <w:w w:val="105"/>
        </w:rPr>
        <w:t> </w:t>
      </w:r>
      <w:r>
        <w:rPr>
          <w:color w:val="231F20"/>
          <w:spacing w:val="-3"/>
          <w:w w:val="105"/>
        </w:rPr>
        <w:t>no</w:t>
      </w:r>
      <w:r>
        <w:rPr>
          <w:color w:val="231F20"/>
          <w:spacing w:val="-16"/>
          <w:w w:val="105"/>
        </w:rPr>
        <w:t> </w:t>
      </w:r>
      <w:r>
        <w:rPr>
          <w:color w:val="231F20"/>
          <w:w w:val="105"/>
        </w:rPr>
        <w:t>se</w:t>
      </w:r>
      <w:r>
        <w:rPr>
          <w:color w:val="231F20"/>
          <w:spacing w:val="-16"/>
          <w:w w:val="105"/>
        </w:rPr>
        <w:t> </w:t>
      </w:r>
      <w:r>
        <w:rPr>
          <w:color w:val="231F20"/>
          <w:w w:val="105"/>
        </w:rPr>
        <w:t>medirá</w:t>
      </w:r>
      <w:r>
        <w:rPr>
          <w:color w:val="231F20"/>
          <w:spacing w:val="-16"/>
          <w:w w:val="105"/>
        </w:rPr>
        <w:t> </w:t>
      </w:r>
      <w:r>
        <w:rPr>
          <w:color w:val="231F20"/>
          <w:w w:val="105"/>
        </w:rPr>
        <w:t>el avance</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metas,</w:t>
      </w:r>
      <w:r>
        <w:rPr>
          <w:color w:val="231F20"/>
          <w:spacing w:val="-22"/>
          <w:w w:val="105"/>
        </w:rPr>
        <w:t> </w:t>
      </w:r>
      <w:r>
        <w:rPr>
          <w:color w:val="231F20"/>
          <w:w w:val="105"/>
        </w:rPr>
        <w:t>sino</w:t>
      </w:r>
      <w:r>
        <w:rPr>
          <w:color w:val="231F20"/>
          <w:spacing w:val="-22"/>
          <w:w w:val="105"/>
        </w:rPr>
        <w:t> </w:t>
      </w:r>
      <w:r>
        <w:rPr>
          <w:color w:val="231F20"/>
          <w:spacing w:val="-4"/>
          <w:w w:val="105"/>
        </w:rPr>
        <w:t>simplemente</w:t>
      </w:r>
      <w:r>
        <w:rPr>
          <w:color w:val="231F20"/>
          <w:spacing w:val="-22"/>
          <w:w w:val="105"/>
        </w:rPr>
        <w:t> </w:t>
      </w:r>
      <w:r>
        <w:rPr>
          <w:color w:val="231F20"/>
          <w:w w:val="105"/>
        </w:rPr>
        <w:t>si</w:t>
      </w:r>
      <w:r>
        <w:rPr>
          <w:color w:val="231F20"/>
          <w:spacing w:val="-22"/>
          <w:w w:val="105"/>
        </w:rPr>
        <w:t> </w:t>
      </w:r>
      <w:r>
        <w:rPr>
          <w:color w:val="231F20"/>
          <w:w w:val="105"/>
        </w:rPr>
        <w:t>existieron</w:t>
      </w:r>
      <w:r>
        <w:rPr>
          <w:color w:val="231F20"/>
          <w:spacing w:val="-22"/>
          <w:w w:val="105"/>
        </w:rPr>
        <w:t> </w:t>
      </w:r>
      <w:r>
        <w:rPr>
          <w:color w:val="231F20"/>
          <w:spacing w:val="-4"/>
          <w:w w:val="105"/>
        </w:rPr>
        <w:t>acciones</w:t>
      </w:r>
      <w:r>
        <w:rPr>
          <w:color w:val="231F20"/>
          <w:spacing w:val="-22"/>
          <w:w w:val="105"/>
        </w:rPr>
        <w:t> </w:t>
      </w:r>
      <w:r>
        <w:rPr>
          <w:color w:val="231F20"/>
          <w:spacing w:val="-4"/>
          <w:w w:val="105"/>
        </w:rPr>
        <w:t>relacionadas</w:t>
      </w:r>
      <w:r>
        <w:rPr>
          <w:color w:val="231F20"/>
          <w:spacing w:val="-22"/>
          <w:w w:val="105"/>
        </w:rPr>
        <w:t> </w:t>
      </w:r>
      <w:r>
        <w:rPr>
          <w:color w:val="231F20"/>
          <w:spacing w:val="-3"/>
          <w:w w:val="105"/>
        </w:rPr>
        <w:t>con</w:t>
      </w:r>
      <w:r>
        <w:rPr>
          <w:color w:val="231F20"/>
          <w:spacing w:val="-22"/>
          <w:w w:val="105"/>
        </w:rPr>
        <w:t> </w:t>
      </w:r>
      <w:r>
        <w:rPr>
          <w:color w:val="231F20"/>
          <w:w w:val="105"/>
        </w:rPr>
        <w:t>esas</w:t>
      </w:r>
      <w:r>
        <w:rPr>
          <w:color w:val="231F20"/>
          <w:spacing w:val="-22"/>
          <w:w w:val="105"/>
        </w:rPr>
        <w:t> </w:t>
      </w:r>
      <w:r>
        <w:rPr>
          <w:color w:val="231F20"/>
          <w:w w:val="105"/>
        </w:rPr>
        <w:t>áreas.</w:t>
      </w:r>
    </w:p>
    <w:p>
      <w:pPr>
        <w:pStyle w:val="BodyText"/>
        <w:spacing w:before="1"/>
        <w:rPr>
          <w:sz w:val="26"/>
        </w:rPr>
      </w:pPr>
    </w:p>
    <w:p>
      <w:pPr>
        <w:pStyle w:val="BodyText"/>
        <w:spacing w:line="285" w:lineRule="auto"/>
        <w:ind w:left="110" w:right="106"/>
        <w:jc w:val="both"/>
      </w:pPr>
      <w:r>
        <w:rPr>
          <w:color w:val="231F20"/>
          <w:w w:val="105"/>
        </w:rPr>
        <w:t>Como se comentó anteriormente, el isomorfismo institucional genera que los munici- pios</w:t>
      </w:r>
      <w:r>
        <w:rPr>
          <w:color w:val="231F20"/>
          <w:spacing w:val="-4"/>
          <w:w w:val="105"/>
        </w:rPr>
        <w:t> </w:t>
      </w:r>
      <w:r>
        <w:rPr>
          <w:color w:val="231F20"/>
          <w:w w:val="105"/>
        </w:rPr>
        <w:t>homologuen</w:t>
      </w:r>
      <w:r>
        <w:rPr>
          <w:color w:val="231F20"/>
          <w:spacing w:val="-4"/>
          <w:w w:val="105"/>
        </w:rPr>
        <w:t> </w:t>
      </w:r>
      <w:r>
        <w:rPr>
          <w:color w:val="231F20"/>
          <w:w w:val="105"/>
        </w:rPr>
        <w:t>criterios</w:t>
      </w:r>
      <w:r>
        <w:rPr>
          <w:color w:val="231F20"/>
          <w:spacing w:val="-4"/>
          <w:w w:val="105"/>
        </w:rPr>
        <w:t> </w:t>
      </w:r>
      <w:r>
        <w:rPr>
          <w:color w:val="231F20"/>
          <w:w w:val="105"/>
        </w:rPr>
        <w:t>de</w:t>
      </w:r>
      <w:r>
        <w:rPr>
          <w:color w:val="231F20"/>
          <w:spacing w:val="-4"/>
          <w:w w:val="105"/>
        </w:rPr>
        <w:t> </w:t>
      </w:r>
      <w:r>
        <w:rPr>
          <w:color w:val="231F20"/>
          <w:w w:val="105"/>
        </w:rPr>
        <w:t>planeación</w:t>
      </w:r>
      <w:r>
        <w:rPr>
          <w:color w:val="231F20"/>
          <w:spacing w:val="-4"/>
          <w:w w:val="105"/>
        </w:rPr>
        <w:t> </w:t>
      </w:r>
      <w:r>
        <w:rPr>
          <w:color w:val="231F20"/>
          <w:w w:val="105"/>
        </w:rPr>
        <w:t>y</w:t>
      </w:r>
      <w:r>
        <w:rPr>
          <w:color w:val="231F20"/>
          <w:spacing w:val="-4"/>
          <w:w w:val="105"/>
        </w:rPr>
        <w:t> </w:t>
      </w:r>
      <w:r>
        <w:rPr>
          <w:color w:val="231F20"/>
          <w:w w:val="105"/>
        </w:rPr>
        <w:t>programas,</w:t>
      </w:r>
      <w:r>
        <w:rPr>
          <w:color w:val="231F20"/>
          <w:spacing w:val="-4"/>
          <w:w w:val="105"/>
        </w:rPr>
        <w:t> </w:t>
      </w:r>
      <w:r>
        <w:rPr>
          <w:color w:val="231F20"/>
          <w:w w:val="105"/>
        </w:rPr>
        <w:t>por</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Plan</w:t>
      </w:r>
      <w:r>
        <w:rPr>
          <w:color w:val="231F20"/>
          <w:spacing w:val="-4"/>
          <w:w w:val="105"/>
        </w:rPr>
        <w:t> </w:t>
      </w:r>
      <w:r>
        <w:rPr>
          <w:color w:val="231F20"/>
          <w:w w:val="105"/>
        </w:rPr>
        <w:t>Municipal</w:t>
      </w:r>
      <w:r>
        <w:rPr>
          <w:color w:val="231F20"/>
          <w:spacing w:val="-4"/>
          <w:w w:val="105"/>
        </w:rPr>
        <w:t> </w:t>
      </w:r>
      <w:r>
        <w:rPr>
          <w:color w:val="231F20"/>
          <w:w w:val="105"/>
        </w:rPr>
        <w:t>se encuentra</w:t>
      </w:r>
      <w:r>
        <w:rPr>
          <w:color w:val="231F20"/>
          <w:spacing w:val="-17"/>
          <w:w w:val="105"/>
        </w:rPr>
        <w:t> </w:t>
      </w:r>
      <w:r>
        <w:rPr>
          <w:color w:val="231F20"/>
          <w:w w:val="105"/>
        </w:rPr>
        <w:t>dividido</w:t>
      </w:r>
      <w:r>
        <w:rPr>
          <w:color w:val="231F20"/>
          <w:spacing w:val="-17"/>
          <w:w w:val="105"/>
        </w:rPr>
        <w:t> </w:t>
      </w:r>
      <w:r>
        <w:rPr>
          <w:color w:val="231F20"/>
          <w:w w:val="105"/>
        </w:rPr>
        <w:t>en</w:t>
      </w:r>
      <w:r>
        <w:rPr>
          <w:color w:val="231F20"/>
          <w:spacing w:val="-17"/>
          <w:w w:val="105"/>
        </w:rPr>
        <w:t> </w:t>
      </w:r>
      <w:r>
        <w:rPr>
          <w:color w:val="231F20"/>
          <w:w w:val="105"/>
        </w:rPr>
        <w:t>cuatro</w:t>
      </w:r>
      <w:r>
        <w:rPr>
          <w:color w:val="231F20"/>
          <w:spacing w:val="-17"/>
          <w:w w:val="105"/>
        </w:rPr>
        <w:t> </w:t>
      </w:r>
      <w:r>
        <w:rPr>
          <w:color w:val="231F20"/>
          <w:w w:val="105"/>
        </w:rPr>
        <w:t>pilares:</w:t>
      </w:r>
      <w:r>
        <w:rPr>
          <w:color w:val="231F20"/>
          <w:spacing w:val="-17"/>
          <w:w w:val="105"/>
        </w:rPr>
        <w:t> </w:t>
      </w:r>
      <w:r>
        <w:rPr>
          <w:color w:val="231F20"/>
          <w:w w:val="105"/>
        </w:rPr>
        <w:t>seguridad</w:t>
      </w:r>
      <w:r>
        <w:rPr>
          <w:color w:val="231F20"/>
          <w:spacing w:val="-17"/>
          <w:w w:val="105"/>
        </w:rPr>
        <w:t> </w:t>
      </w:r>
      <w:r>
        <w:rPr>
          <w:color w:val="231F20"/>
          <w:w w:val="105"/>
        </w:rPr>
        <w:t>social,</w:t>
      </w:r>
      <w:r>
        <w:rPr>
          <w:color w:val="231F20"/>
          <w:spacing w:val="-17"/>
          <w:w w:val="105"/>
        </w:rPr>
        <w:t> </w:t>
      </w:r>
      <w:r>
        <w:rPr>
          <w:color w:val="231F20"/>
          <w:w w:val="105"/>
        </w:rPr>
        <w:t>económica,</w:t>
      </w:r>
      <w:r>
        <w:rPr>
          <w:color w:val="231F20"/>
          <w:spacing w:val="-17"/>
          <w:w w:val="105"/>
        </w:rPr>
        <w:t> </w:t>
      </w:r>
      <w:r>
        <w:rPr>
          <w:color w:val="231F20"/>
          <w:w w:val="105"/>
        </w:rPr>
        <w:t>pública</w:t>
      </w:r>
      <w:r>
        <w:rPr>
          <w:color w:val="231F20"/>
          <w:spacing w:val="-17"/>
          <w:w w:val="105"/>
        </w:rPr>
        <w:t> </w:t>
      </w:r>
      <w:r>
        <w:rPr>
          <w:color w:val="231F20"/>
          <w:w w:val="105"/>
        </w:rPr>
        <w:t>e</w:t>
      </w:r>
      <w:r>
        <w:rPr>
          <w:color w:val="231F20"/>
          <w:spacing w:val="-17"/>
          <w:w w:val="105"/>
        </w:rPr>
        <w:t> </w:t>
      </w:r>
      <w:r>
        <w:rPr>
          <w:color w:val="231F20"/>
          <w:w w:val="105"/>
        </w:rPr>
        <w:t>integral.</w:t>
      </w:r>
      <w:r>
        <w:rPr>
          <w:color w:val="231F20"/>
          <w:spacing w:val="-17"/>
          <w:w w:val="105"/>
        </w:rPr>
        <w:t> </w:t>
      </w:r>
      <w:r>
        <w:rPr>
          <w:color w:val="231F20"/>
          <w:w w:val="105"/>
        </w:rPr>
        <w:t>El primero</w:t>
      </w:r>
      <w:r>
        <w:rPr>
          <w:color w:val="231F20"/>
          <w:spacing w:val="-17"/>
          <w:w w:val="105"/>
        </w:rPr>
        <w:t> </w:t>
      </w:r>
      <w:r>
        <w:rPr>
          <w:color w:val="231F20"/>
          <w:w w:val="105"/>
        </w:rPr>
        <w:t>atiende</w:t>
      </w:r>
      <w:r>
        <w:rPr>
          <w:color w:val="231F20"/>
          <w:spacing w:val="-17"/>
          <w:w w:val="105"/>
        </w:rPr>
        <w:t> </w:t>
      </w:r>
      <w:r>
        <w:rPr>
          <w:color w:val="231F20"/>
          <w:w w:val="105"/>
        </w:rPr>
        <w:t>aspectos</w:t>
      </w:r>
      <w:r>
        <w:rPr>
          <w:color w:val="231F20"/>
          <w:spacing w:val="-17"/>
          <w:w w:val="105"/>
        </w:rPr>
        <w:t> </w:t>
      </w:r>
      <w:r>
        <w:rPr>
          <w:color w:val="231F20"/>
          <w:w w:val="105"/>
        </w:rPr>
        <w:t>relacionados</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acceso</w:t>
      </w:r>
      <w:r>
        <w:rPr>
          <w:color w:val="231F20"/>
          <w:spacing w:val="-17"/>
          <w:w w:val="105"/>
        </w:rPr>
        <w:t> </w:t>
      </w:r>
      <w:r>
        <w:rPr>
          <w:color w:val="231F20"/>
          <w:w w:val="105"/>
        </w:rPr>
        <w:t>a</w:t>
      </w:r>
      <w:r>
        <w:rPr>
          <w:color w:val="231F20"/>
          <w:spacing w:val="-17"/>
          <w:w w:val="105"/>
        </w:rPr>
        <w:t> </w:t>
      </w:r>
      <w:r>
        <w:rPr>
          <w:color w:val="231F20"/>
          <w:w w:val="105"/>
        </w:rPr>
        <w:t>servicios</w:t>
      </w:r>
      <w:r>
        <w:rPr>
          <w:color w:val="231F20"/>
          <w:spacing w:val="-17"/>
          <w:w w:val="105"/>
        </w:rPr>
        <w:t> </w:t>
      </w:r>
      <w:r>
        <w:rPr>
          <w:color w:val="231F20"/>
          <w:w w:val="105"/>
        </w:rPr>
        <w:t>de</w:t>
      </w:r>
      <w:r>
        <w:rPr>
          <w:color w:val="231F20"/>
          <w:spacing w:val="-17"/>
          <w:w w:val="105"/>
        </w:rPr>
        <w:t> </w:t>
      </w:r>
      <w:r>
        <w:rPr>
          <w:color w:val="231F20"/>
          <w:w w:val="105"/>
        </w:rPr>
        <w:t>educación</w:t>
      </w:r>
      <w:r>
        <w:rPr>
          <w:color w:val="231F20"/>
          <w:spacing w:val="-17"/>
          <w:w w:val="105"/>
        </w:rPr>
        <w:t> </w:t>
      </w:r>
      <w:r>
        <w:rPr>
          <w:color w:val="231F20"/>
          <w:w w:val="105"/>
        </w:rPr>
        <w:t>y</w:t>
      </w:r>
      <w:r>
        <w:rPr>
          <w:color w:val="231F20"/>
          <w:spacing w:val="-17"/>
          <w:w w:val="105"/>
        </w:rPr>
        <w:t> </w:t>
      </w:r>
      <w:r>
        <w:rPr>
          <w:color w:val="231F20"/>
          <w:w w:val="105"/>
        </w:rPr>
        <w:t>salud;</w:t>
      </w:r>
      <w:r>
        <w:rPr>
          <w:color w:val="231F20"/>
          <w:spacing w:val="-17"/>
          <w:w w:val="105"/>
        </w:rPr>
        <w:t> </w:t>
      </w:r>
      <w:r>
        <w:rPr>
          <w:color w:val="231F20"/>
          <w:w w:val="105"/>
        </w:rPr>
        <w:t>el segundo</w:t>
      </w:r>
      <w:r>
        <w:rPr>
          <w:color w:val="231F20"/>
          <w:spacing w:val="-23"/>
          <w:w w:val="105"/>
        </w:rPr>
        <w:t> </w:t>
      </w:r>
      <w:r>
        <w:rPr>
          <w:color w:val="231F20"/>
          <w:w w:val="105"/>
        </w:rPr>
        <w:t>a</w:t>
      </w:r>
      <w:r>
        <w:rPr>
          <w:color w:val="231F20"/>
          <w:spacing w:val="-23"/>
          <w:w w:val="105"/>
        </w:rPr>
        <w:t> </w:t>
      </w:r>
      <w:r>
        <w:rPr>
          <w:color w:val="231F20"/>
          <w:w w:val="105"/>
        </w:rPr>
        <w:t>servicios</w:t>
      </w:r>
      <w:r>
        <w:rPr>
          <w:color w:val="231F20"/>
          <w:spacing w:val="-23"/>
          <w:w w:val="105"/>
        </w:rPr>
        <w:t> </w:t>
      </w:r>
      <w:r>
        <w:rPr>
          <w:color w:val="231F20"/>
          <w:w w:val="105"/>
        </w:rPr>
        <w:t>públicos,</w:t>
      </w:r>
      <w:r>
        <w:rPr>
          <w:color w:val="231F20"/>
          <w:spacing w:val="-23"/>
          <w:w w:val="105"/>
        </w:rPr>
        <w:t> </w:t>
      </w:r>
      <w:r>
        <w:rPr>
          <w:color w:val="231F20"/>
          <w:w w:val="105"/>
        </w:rPr>
        <w:t>marginación</w:t>
      </w:r>
      <w:r>
        <w:rPr>
          <w:color w:val="231F20"/>
          <w:spacing w:val="-23"/>
          <w:w w:val="105"/>
        </w:rPr>
        <w:t> </w:t>
      </w:r>
      <w:r>
        <w:rPr>
          <w:color w:val="231F20"/>
          <w:w w:val="105"/>
        </w:rPr>
        <w:t>y</w:t>
      </w:r>
      <w:r>
        <w:rPr>
          <w:color w:val="231F20"/>
          <w:spacing w:val="-23"/>
          <w:w w:val="105"/>
        </w:rPr>
        <w:t> </w:t>
      </w:r>
      <w:r>
        <w:rPr>
          <w:color w:val="231F20"/>
          <w:w w:val="105"/>
        </w:rPr>
        <w:t>desarrollo</w:t>
      </w:r>
      <w:r>
        <w:rPr>
          <w:color w:val="231F20"/>
          <w:spacing w:val="-23"/>
          <w:w w:val="105"/>
        </w:rPr>
        <w:t> </w:t>
      </w:r>
      <w:r>
        <w:rPr>
          <w:color w:val="231F20"/>
          <w:w w:val="105"/>
        </w:rPr>
        <w:t>económico;</w:t>
      </w:r>
      <w:r>
        <w:rPr>
          <w:color w:val="231F20"/>
          <w:spacing w:val="-23"/>
          <w:w w:val="105"/>
        </w:rPr>
        <w:t> </w:t>
      </w:r>
      <w:r>
        <w:rPr>
          <w:color w:val="231F20"/>
          <w:w w:val="105"/>
        </w:rPr>
        <w:t>la</w:t>
      </w:r>
      <w:r>
        <w:rPr>
          <w:color w:val="231F20"/>
          <w:spacing w:val="-23"/>
          <w:w w:val="105"/>
        </w:rPr>
        <w:t> </w:t>
      </w:r>
      <w:r>
        <w:rPr>
          <w:color w:val="231F20"/>
          <w:w w:val="105"/>
        </w:rPr>
        <w:t>seguridad</w:t>
      </w:r>
      <w:r>
        <w:rPr>
          <w:color w:val="231F20"/>
          <w:spacing w:val="-23"/>
          <w:w w:val="105"/>
        </w:rPr>
        <w:t> </w:t>
      </w:r>
      <w:r>
        <w:rPr>
          <w:color w:val="231F20"/>
          <w:w w:val="105"/>
        </w:rPr>
        <w:t>pública precisamente</w:t>
      </w:r>
      <w:r>
        <w:rPr>
          <w:color w:val="231F20"/>
          <w:spacing w:val="-20"/>
          <w:w w:val="105"/>
        </w:rPr>
        <w:t> </w:t>
      </w:r>
      <w:r>
        <w:rPr>
          <w:color w:val="231F20"/>
          <w:w w:val="105"/>
        </w:rPr>
        <w:t>se</w:t>
      </w:r>
      <w:r>
        <w:rPr>
          <w:color w:val="231F20"/>
          <w:spacing w:val="-20"/>
          <w:w w:val="105"/>
        </w:rPr>
        <w:t> </w:t>
      </w:r>
      <w:r>
        <w:rPr>
          <w:color w:val="231F20"/>
          <w:w w:val="105"/>
        </w:rPr>
        <w:t>dirige</w:t>
      </w:r>
      <w:r>
        <w:rPr>
          <w:color w:val="231F20"/>
          <w:spacing w:val="-20"/>
          <w:w w:val="105"/>
        </w:rPr>
        <w:t> </w:t>
      </w:r>
      <w:r>
        <w:rPr>
          <w:color w:val="231F20"/>
          <w:w w:val="105"/>
        </w:rPr>
        <w:t>a</w:t>
      </w:r>
      <w:r>
        <w:rPr>
          <w:color w:val="231F20"/>
          <w:spacing w:val="-20"/>
          <w:w w:val="105"/>
        </w:rPr>
        <w:t> </w:t>
      </w:r>
      <w:r>
        <w:rPr>
          <w:color w:val="231F20"/>
          <w:w w:val="105"/>
        </w:rPr>
        <w:t>protección</w:t>
      </w:r>
      <w:r>
        <w:rPr>
          <w:color w:val="231F20"/>
          <w:spacing w:val="-20"/>
          <w:w w:val="105"/>
        </w:rPr>
        <w:t> </w:t>
      </w:r>
      <w:r>
        <w:rPr>
          <w:color w:val="231F20"/>
          <w:w w:val="105"/>
        </w:rPr>
        <w:t>civil,</w:t>
      </w:r>
      <w:r>
        <w:rPr>
          <w:color w:val="231F20"/>
          <w:spacing w:val="-20"/>
          <w:w w:val="105"/>
        </w:rPr>
        <w:t> </w:t>
      </w:r>
      <w:r>
        <w:rPr>
          <w:color w:val="231F20"/>
          <w:w w:val="105"/>
        </w:rPr>
        <w:t>tránsito</w:t>
      </w:r>
      <w:r>
        <w:rPr>
          <w:color w:val="231F20"/>
          <w:spacing w:val="-20"/>
          <w:w w:val="105"/>
        </w:rPr>
        <w:t> </w:t>
      </w:r>
      <w:r>
        <w:rPr>
          <w:color w:val="231F20"/>
          <w:w w:val="105"/>
        </w:rPr>
        <w:t>y</w:t>
      </w:r>
      <w:r>
        <w:rPr>
          <w:color w:val="231F20"/>
          <w:spacing w:val="-20"/>
          <w:w w:val="105"/>
        </w:rPr>
        <w:t> </w:t>
      </w:r>
      <w:r>
        <w:rPr>
          <w:color w:val="231F20"/>
          <w:w w:val="105"/>
        </w:rPr>
        <w:t>policial</w:t>
      </w:r>
      <w:r>
        <w:rPr>
          <w:color w:val="231F20"/>
          <w:spacing w:val="-20"/>
          <w:w w:val="105"/>
        </w:rPr>
        <w:t> </w:t>
      </w:r>
      <w:r>
        <w:rPr>
          <w:color w:val="231F20"/>
          <w:spacing w:val="-7"/>
          <w:w w:val="105"/>
        </w:rPr>
        <w:t>y,</w:t>
      </w:r>
      <w:r>
        <w:rPr>
          <w:color w:val="231F20"/>
          <w:spacing w:val="-20"/>
          <w:w w:val="105"/>
        </w:rPr>
        <w:t> </w:t>
      </w:r>
      <w:r>
        <w:rPr>
          <w:color w:val="231F20"/>
          <w:w w:val="105"/>
        </w:rPr>
        <w:t>por</w:t>
      </w:r>
      <w:r>
        <w:rPr>
          <w:color w:val="231F20"/>
          <w:spacing w:val="-20"/>
          <w:w w:val="105"/>
        </w:rPr>
        <w:t> </w:t>
      </w:r>
      <w:r>
        <w:rPr>
          <w:color w:val="231F20"/>
          <w:w w:val="105"/>
        </w:rPr>
        <w:t>último,</w:t>
      </w:r>
      <w:r>
        <w:rPr>
          <w:color w:val="231F20"/>
          <w:spacing w:val="-20"/>
          <w:w w:val="105"/>
        </w:rPr>
        <w:t> </w:t>
      </w:r>
      <w:r>
        <w:rPr>
          <w:color w:val="231F20"/>
          <w:w w:val="105"/>
        </w:rPr>
        <w:t>la</w:t>
      </w:r>
      <w:r>
        <w:rPr>
          <w:color w:val="231F20"/>
          <w:spacing w:val="-20"/>
          <w:w w:val="105"/>
        </w:rPr>
        <w:t> </w:t>
      </w:r>
      <w:r>
        <w:rPr>
          <w:color w:val="231F20"/>
          <w:w w:val="105"/>
        </w:rPr>
        <w:t>integral</w:t>
      </w:r>
      <w:r>
        <w:rPr>
          <w:color w:val="231F20"/>
          <w:spacing w:val="-20"/>
          <w:w w:val="105"/>
        </w:rPr>
        <w:t> </w:t>
      </w:r>
      <w:r>
        <w:rPr>
          <w:color w:val="231F20"/>
          <w:w w:val="105"/>
        </w:rPr>
        <w:t>está relacionada</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modernización</w:t>
      </w:r>
      <w:r>
        <w:rPr>
          <w:color w:val="231F20"/>
          <w:spacing w:val="-10"/>
          <w:w w:val="105"/>
        </w:rPr>
        <w:t> </w:t>
      </w:r>
      <w:r>
        <w:rPr>
          <w:color w:val="231F20"/>
          <w:w w:val="105"/>
        </w:rPr>
        <w:t>administrativa</w:t>
      </w:r>
      <w:r>
        <w:rPr>
          <w:color w:val="231F20"/>
          <w:spacing w:val="-10"/>
          <w:w w:val="105"/>
        </w:rPr>
        <w:t> </w:t>
      </w:r>
      <w:r>
        <w:rPr>
          <w:color w:val="231F20"/>
          <w:w w:val="105"/>
        </w:rPr>
        <w:t>del</w:t>
      </w:r>
      <w:r>
        <w:rPr>
          <w:color w:val="231F20"/>
          <w:spacing w:val="-10"/>
          <w:w w:val="105"/>
        </w:rPr>
        <w:t> </w:t>
      </w:r>
      <w:r>
        <w:rPr>
          <w:color w:val="231F20"/>
          <w:w w:val="105"/>
        </w:rPr>
        <w:t>aparato</w:t>
      </w:r>
      <w:r>
        <w:rPr>
          <w:color w:val="231F20"/>
          <w:spacing w:val="-10"/>
          <w:w w:val="105"/>
        </w:rPr>
        <w:t> </w:t>
      </w:r>
      <w:r>
        <w:rPr>
          <w:color w:val="231F20"/>
          <w:w w:val="105"/>
        </w:rPr>
        <w:t>de</w:t>
      </w:r>
      <w:r>
        <w:rPr>
          <w:color w:val="231F20"/>
          <w:spacing w:val="-10"/>
          <w:w w:val="105"/>
        </w:rPr>
        <w:t> </w:t>
      </w:r>
      <w:r>
        <w:rPr>
          <w:color w:val="231F20"/>
          <w:spacing w:val="-3"/>
          <w:w w:val="105"/>
        </w:rPr>
        <w:t>gobierno.</w:t>
      </w:r>
    </w:p>
    <w:p>
      <w:pPr>
        <w:pStyle w:val="BodyText"/>
        <w:spacing w:before="2"/>
        <w:rPr>
          <w:sz w:val="20"/>
        </w:rPr>
      </w:pPr>
    </w:p>
    <w:p>
      <w:pPr>
        <w:pStyle w:val="Heading4"/>
        <w:rPr>
          <w:i/>
        </w:rPr>
      </w:pPr>
      <w:r>
        <w:rPr>
          <w:i/>
          <w:color w:val="231F20"/>
          <w:w w:val="105"/>
        </w:rPr>
        <w:t>Seguridad social</w:t>
      </w:r>
    </w:p>
    <w:p>
      <w:pPr>
        <w:pStyle w:val="BodyText"/>
        <w:spacing w:line="285" w:lineRule="auto" w:before="16"/>
        <w:ind w:left="110" w:right="108"/>
        <w:jc w:val="both"/>
      </w:pPr>
      <w:r>
        <w:rPr>
          <w:color w:val="231F20"/>
          <w:w w:val="105"/>
        </w:rPr>
        <w:t>Cuando</w:t>
      </w:r>
      <w:r>
        <w:rPr>
          <w:color w:val="231F20"/>
          <w:spacing w:val="-16"/>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municipal</w:t>
      </w:r>
      <w:r>
        <w:rPr>
          <w:color w:val="231F20"/>
          <w:spacing w:val="-16"/>
          <w:w w:val="105"/>
        </w:rPr>
        <w:t> </w:t>
      </w:r>
      <w:r>
        <w:rPr>
          <w:color w:val="231F20"/>
          <w:w w:val="105"/>
        </w:rPr>
        <w:t>de</w:t>
      </w:r>
      <w:r>
        <w:rPr>
          <w:color w:val="231F20"/>
          <w:spacing w:val="-16"/>
          <w:w w:val="105"/>
        </w:rPr>
        <w:t> </w:t>
      </w:r>
      <w:r>
        <w:rPr>
          <w:color w:val="231F20"/>
          <w:w w:val="105"/>
        </w:rPr>
        <w:t>Salvador</w:t>
      </w:r>
      <w:r>
        <w:rPr>
          <w:color w:val="231F20"/>
          <w:spacing w:val="-16"/>
          <w:w w:val="105"/>
        </w:rPr>
        <w:t> </w:t>
      </w:r>
      <w:r>
        <w:rPr>
          <w:color w:val="231F20"/>
          <w:spacing w:val="-3"/>
          <w:w w:val="105"/>
        </w:rPr>
        <w:t>Vergara</w:t>
      </w:r>
      <w:r>
        <w:rPr>
          <w:color w:val="231F20"/>
          <w:spacing w:val="-16"/>
          <w:w w:val="105"/>
        </w:rPr>
        <w:t> </w:t>
      </w:r>
      <w:r>
        <w:rPr>
          <w:color w:val="231F20"/>
          <w:w w:val="105"/>
        </w:rPr>
        <w:t>entró</w:t>
      </w:r>
      <w:r>
        <w:rPr>
          <w:color w:val="231F20"/>
          <w:spacing w:val="-16"/>
          <w:w w:val="105"/>
        </w:rPr>
        <w:t> </w:t>
      </w:r>
      <w:r>
        <w:rPr>
          <w:color w:val="231F20"/>
          <w:w w:val="105"/>
        </w:rPr>
        <w:t>en</w:t>
      </w:r>
      <w:r>
        <w:rPr>
          <w:color w:val="231F20"/>
          <w:spacing w:val="-16"/>
          <w:w w:val="105"/>
        </w:rPr>
        <w:t> </w:t>
      </w:r>
      <w:r>
        <w:rPr>
          <w:color w:val="231F20"/>
          <w:w w:val="105"/>
        </w:rPr>
        <w:t>funciones,</w:t>
      </w:r>
      <w:r>
        <w:rPr>
          <w:color w:val="231F20"/>
          <w:spacing w:val="-16"/>
          <w:w w:val="105"/>
        </w:rPr>
        <w:t> </w:t>
      </w:r>
      <w:r>
        <w:rPr>
          <w:color w:val="231F20"/>
          <w:w w:val="105"/>
        </w:rPr>
        <w:t>las</w:t>
      </w:r>
      <w:r>
        <w:rPr>
          <w:color w:val="231F20"/>
          <w:spacing w:val="-16"/>
          <w:w w:val="105"/>
        </w:rPr>
        <w:t> </w:t>
      </w:r>
      <w:r>
        <w:rPr>
          <w:color w:val="231F20"/>
          <w:w w:val="105"/>
        </w:rPr>
        <w:t>condi- ciones</w:t>
      </w:r>
      <w:r>
        <w:rPr>
          <w:color w:val="231F20"/>
          <w:spacing w:val="-18"/>
          <w:w w:val="105"/>
        </w:rPr>
        <w:t> </w:t>
      </w:r>
      <w:r>
        <w:rPr>
          <w:color w:val="231F20"/>
          <w:w w:val="105"/>
        </w:rPr>
        <w:t>sociales</w:t>
      </w:r>
      <w:r>
        <w:rPr>
          <w:color w:val="231F20"/>
          <w:spacing w:val="-18"/>
          <w:w w:val="105"/>
        </w:rPr>
        <w:t> </w:t>
      </w:r>
      <w:r>
        <w:rPr>
          <w:color w:val="231F20"/>
          <w:w w:val="105"/>
        </w:rPr>
        <w:t>presentaban</w:t>
      </w:r>
      <w:r>
        <w:rPr>
          <w:color w:val="231F20"/>
          <w:spacing w:val="-18"/>
          <w:w w:val="105"/>
        </w:rPr>
        <w:t> </w:t>
      </w:r>
      <w:r>
        <w:rPr>
          <w:color w:val="231F20"/>
          <w:w w:val="105"/>
        </w:rPr>
        <w:t>rezagos</w:t>
      </w:r>
      <w:r>
        <w:rPr>
          <w:color w:val="231F20"/>
          <w:spacing w:val="-18"/>
          <w:w w:val="105"/>
        </w:rPr>
        <w:t> </w:t>
      </w:r>
      <w:r>
        <w:rPr>
          <w:color w:val="231F20"/>
          <w:w w:val="105"/>
        </w:rPr>
        <w:t>en</w:t>
      </w:r>
      <w:r>
        <w:rPr>
          <w:color w:val="231F20"/>
          <w:spacing w:val="-18"/>
          <w:w w:val="105"/>
        </w:rPr>
        <w:t> </w:t>
      </w:r>
      <w:r>
        <w:rPr>
          <w:color w:val="231F20"/>
          <w:w w:val="105"/>
        </w:rPr>
        <w:t>educación</w:t>
      </w:r>
      <w:r>
        <w:rPr>
          <w:color w:val="231F20"/>
          <w:spacing w:val="-18"/>
          <w:w w:val="105"/>
        </w:rPr>
        <w:t> </w:t>
      </w:r>
      <w:r>
        <w:rPr>
          <w:color w:val="231F20"/>
          <w:w w:val="105"/>
        </w:rPr>
        <w:t>y</w:t>
      </w:r>
      <w:r>
        <w:rPr>
          <w:color w:val="231F20"/>
          <w:spacing w:val="-18"/>
          <w:w w:val="105"/>
        </w:rPr>
        <w:t> </w:t>
      </w:r>
      <w:r>
        <w:rPr>
          <w:color w:val="231F20"/>
          <w:w w:val="105"/>
        </w:rPr>
        <w:t>salud,</w:t>
      </w:r>
      <w:r>
        <w:rPr>
          <w:color w:val="231F20"/>
          <w:spacing w:val="-18"/>
          <w:w w:val="105"/>
        </w:rPr>
        <w:t> </w:t>
      </w:r>
      <w:r>
        <w:rPr>
          <w:color w:val="231F20"/>
          <w:spacing w:val="2"/>
          <w:w w:val="105"/>
        </w:rPr>
        <w:t>tal</w:t>
      </w:r>
      <w:r>
        <w:rPr>
          <w:color w:val="231F20"/>
          <w:spacing w:val="-18"/>
          <w:w w:val="105"/>
        </w:rPr>
        <w:t> </w:t>
      </w:r>
      <w:r>
        <w:rPr>
          <w:color w:val="231F20"/>
          <w:w w:val="105"/>
        </w:rPr>
        <w:t>como</w:t>
      </w:r>
      <w:r>
        <w:rPr>
          <w:color w:val="231F20"/>
          <w:spacing w:val="-18"/>
          <w:w w:val="105"/>
        </w:rPr>
        <w:t> </w:t>
      </w:r>
      <w:r>
        <w:rPr>
          <w:color w:val="231F20"/>
          <w:w w:val="105"/>
        </w:rPr>
        <w:t>se</w:t>
      </w:r>
      <w:r>
        <w:rPr>
          <w:color w:val="231F20"/>
          <w:spacing w:val="-18"/>
          <w:w w:val="105"/>
        </w:rPr>
        <w:t> </w:t>
      </w:r>
      <w:r>
        <w:rPr>
          <w:color w:val="231F20"/>
          <w:w w:val="105"/>
        </w:rPr>
        <w:t>observó</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pri-</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mer</w:t>
      </w:r>
      <w:r>
        <w:rPr>
          <w:color w:val="231F20"/>
          <w:spacing w:val="-6"/>
          <w:w w:val="105"/>
        </w:rPr>
        <w:t> </w:t>
      </w:r>
      <w:r>
        <w:rPr>
          <w:color w:val="231F20"/>
          <w:w w:val="105"/>
        </w:rPr>
        <w:t>apartado.</w:t>
      </w:r>
      <w:r>
        <w:rPr>
          <w:color w:val="231F20"/>
          <w:spacing w:val="-6"/>
          <w:w w:val="105"/>
        </w:rPr>
        <w:t> </w:t>
      </w:r>
      <w:r>
        <w:rPr>
          <w:color w:val="231F20"/>
          <w:spacing w:val="-3"/>
          <w:w w:val="105"/>
        </w:rPr>
        <w:t>Un</w:t>
      </w:r>
      <w:r>
        <w:rPr>
          <w:color w:val="231F20"/>
          <w:spacing w:val="-6"/>
          <w:w w:val="105"/>
        </w:rPr>
        <w:t> </w:t>
      </w:r>
      <w:r>
        <w:rPr>
          <w:color w:val="231F20"/>
          <w:w w:val="105"/>
        </w:rPr>
        <w:t>poco</w:t>
      </w:r>
      <w:r>
        <w:rPr>
          <w:color w:val="231F20"/>
          <w:spacing w:val="-6"/>
          <w:w w:val="105"/>
        </w:rPr>
        <w:t> </w:t>
      </w:r>
      <w:r>
        <w:rPr>
          <w:color w:val="231F20"/>
          <w:w w:val="105"/>
        </w:rPr>
        <w:t>más</w:t>
      </w:r>
      <w:r>
        <w:rPr>
          <w:color w:val="231F20"/>
          <w:spacing w:val="-6"/>
          <w:w w:val="105"/>
        </w:rPr>
        <w:t> </w:t>
      </w:r>
      <w:r>
        <w:rPr>
          <w:color w:val="231F20"/>
          <w:w w:val="105"/>
        </w:rPr>
        <w:t>del</w:t>
      </w:r>
      <w:r>
        <w:rPr>
          <w:color w:val="231F20"/>
          <w:spacing w:val="-6"/>
          <w:w w:val="105"/>
        </w:rPr>
        <w:t> </w:t>
      </w:r>
      <w:r>
        <w:rPr>
          <w:color w:val="231F20"/>
          <w:w w:val="105"/>
        </w:rPr>
        <w:t>30%</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alfabetas</w:t>
      </w:r>
      <w:r>
        <w:rPr>
          <w:color w:val="231F20"/>
          <w:spacing w:val="-6"/>
          <w:w w:val="105"/>
        </w:rPr>
        <w:t> </w:t>
      </w:r>
      <w:r>
        <w:rPr>
          <w:color w:val="231F20"/>
          <w:w w:val="105"/>
        </w:rPr>
        <w:t>no</w:t>
      </w:r>
      <w:r>
        <w:rPr>
          <w:color w:val="231F20"/>
          <w:spacing w:val="-6"/>
          <w:w w:val="105"/>
        </w:rPr>
        <w:t> </w:t>
      </w:r>
      <w:r>
        <w:rPr>
          <w:color w:val="231F20"/>
          <w:w w:val="105"/>
        </w:rPr>
        <w:t>tenían</w:t>
      </w:r>
      <w:r>
        <w:rPr>
          <w:color w:val="231F20"/>
          <w:spacing w:val="-6"/>
          <w:w w:val="105"/>
        </w:rPr>
        <w:t> </w:t>
      </w:r>
      <w:r>
        <w:rPr>
          <w:color w:val="231F20"/>
          <w:w w:val="105"/>
        </w:rPr>
        <w:t>concluidos</w:t>
      </w:r>
      <w:r>
        <w:rPr>
          <w:color w:val="231F20"/>
          <w:spacing w:val="-6"/>
          <w:w w:val="105"/>
        </w:rPr>
        <w:t> </w:t>
      </w:r>
      <w:r>
        <w:rPr>
          <w:color w:val="231F20"/>
          <w:w w:val="105"/>
        </w:rPr>
        <w:t>sus</w:t>
      </w:r>
      <w:r>
        <w:rPr>
          <w:color w:val="231F20"/>
          <w:spacing w:val="-6"/>
          <w:w w:val="105"/>
        </w:rPr>
        <w:t> </w:t>
      </w:r>
      <w:r>
        <w:rPr>
          <w:color w:val="231F20"/>
          <w:w w:val="105"/>
        </w:rPr>
        <w:t>estudios básicos,</w:t>
      </w:r>
      <w:r>
        <w:rPr>
          <w:color w:val="231F20"/>
          <w:spacing w:val="-11"/>
          <w:w w:val="105"/>
        </w:rPr>
        <w:t> </w:t>
      </w:r>
      <w:r>
        <w:rPr>
          <w:color w:val="231F20"/>
          <w:w w:val="105"/>
        </w:rPr>
        <w:t>sumándoseles</w:t>
      </w:r>
      <w:r>
        <w:rPr>
          <w:color w:val="231F20"/>
          <w:spacing w:val="-11"/>
          <w:w w:val="105"/>
        </w:rPr>
        <w:t> </w:t>
      </w:r>
      <w:r>
        <w:rPr>
          <w:color w:val="231F20"/>
          <w:w w:val="105"/>
        </w:rPr>
        <w:t>aquellos</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contaban</w:t>
      </w:r>
      <w:r>
        <w:rPr>
          <w:color w:val="231F20"/>
          <w:spacing w:val="-11"/>
          <w:w w:val="105"/>
        </w:rPr>
        <w:t> </w:t>
      </w:r>
      <w:r>
        <w:rPr>
          <w:color w:val="231F20"/>
          <w:w w:val="105"/>
        </w:rPr>
        <w:t>con</w:t>
      </w:r>
      <w:r>
        <w:rPr>
          <w:color w:val="231F20"/>
          <w:spacing w:val="-11"/>
          <w:w w:val="105"/>
        </w:rPr>
        <w:t> </w:t>
      </w:r>
      <w:r>
        <w:rPr>
          <w:color w:val="231F20"/>
          <w:w w:val="105"/>
        </w:rPr>
        <w:t>ninguna</w:t>
      </w:r>
      <w:r>
        <w:rPr>
          <w:color w:val="231F20"/>
          <w:spacing w:val="-11"/>
          <w:w w:val="105"/>
        </w:rPr>
        <w:t> </w:t>
      </w:r>
      <w:r>
        <w:rPr>
          <w:color w:val="231F20"/>
          <w:w w:val="105"/>
        </w:rPr>
        <w:t>instrucción</w:t>
      </w:r>
      <w:r>
        <w:rPr>
          <w:color w:val="231F20"/>
          <w:spacing w:val="-11"/>
          <w:w w:val="105"/>
        </w:rPr>
        <w:t> </w:t>
      </w:r>
      <w:r>
        <w:rPr>
          <w:color w:val="231F20"/>
          <w:w w:val="105"/>
        </w:rPr>
        <w:t>educativa.</w:t>
      </w:r>
    </w:p>
    <w:p>
      <w:pPr>
        <w:pStyle w:val="BodyText"/>
        <w:spacing w:before="1"/>
        <w:rPr>
          <w:sz w:val="26"/>
        </w:rPr>
      </w:pPr>
    </w:p>
    <w:p>
      <w:pPr>
        <w:pStyle w:val="BodyText"/>
        <w:spacing w:line="285" w:lineRule="auto"/>
        <w:ind w:left="110" w:right="108"/>
        <w:jc w:val="both"/>
      </w:pPr>
      <w:r>
        <w:rPr>
          <w:color w:val="231F20"/>
          <w:w w:val="105"/>
        </w:rPr>
        <w:t>Ante</w:t>
      </w:r>
      <w:r>
        <w:rPr>
          <w:color w:val="231F20"/>
          <w:spacing w:val="-15"/>
          <w:w w:val="105"/>
        </w:rPr>
        <w:t> </w:t>
      </w:r>
      <w:r>
        <w:rPr>
          <w:color w:val="231F20"/>
          <w:w w:val="105"/>
        </w:rPr>
        <w:t>esta</w:t>
      </w:r>
      <w:r>
        <w:rPr>
          <w:color w:val="231F20"/>
          <w:spacing w:val="-15"/>
          <w:w w:val="105"/>
        </w:rPr>
        <w:t> </w:t>
      </w:r>
      <w:r>
        <w:rPr>
          <w:color w:val="231F20"/>
          <w:w w:val="105"/>
        </w:rPr>
        <w:t>situación,</w:t>
      </w:r>
      <w:r>
        <w:rPr>
          <w:color w:val="231F20"/>
          <w:spacing w:val="-15"/>
          <w:w w:val="105"/>
        </w:rPr>
        <w:t> </w:t>
      </w:r>
      <w:r>
        <w:rPr>
          <w:color w:val="231F20"/>
          <w:w w:val="105"/>
        </w:rPr>
        <w:t>la</w:t>
      </w:r>
      <w:r>
        <w:rPr>
          <w:color w:val="231F20"/>
          <w:spacing w:val="-15"/>
          <w:w w:val="105"/>
        </w:rPr>
        <w:t> </w:t>
      </w:r>
      <w:r>
        <w:rPr>
          <w:color w:val="231F20"/>
          <w:w w:val="105"/>
        </w:rPr>
        <w:t>estrategia</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tramó</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Plan</w:t>
      </w:r>
      <w:r>
        <w:rPr>
          <w:color w:val="231F20"/>
          <w:spacing w:val="-15"/>
          <w:w w:val="105"/>
        </w:rPr>
        <w:t> </w:t>
      </w:r>
      <w:r>
        <w:rPr>
          <w:color w:val="231F20"/>
          <w:w w:val="105"/>
        </w:rPr>
        <w:t>municipal</w:t>
      </w:r>
      <w:r>
        <w:rPr>
          <w:color w:val="231F20"/>
          <w:spacing w:val="-15"/>
          <w:w w:val="105"/>
        </w:rPr>
        <w:t> </w:t>
      </w:r>
      <w:r>
        <w:rPr>
          <w:color w:val="231F20"/>
          <w:w w:val="105"/>
        </w:rPr>
        <w:t>fue</w:t>
      </w:r>
      <w:r>
        <w:rPr>
          <w:color w:val="231F20"/>
          <w:spacing w:val="-15"/>
          <w:w w:val="105"/>
        </w:rPr>
        <w:t> </w:t>
      </w:r>
      <w:r>
        <w:rPr>
          <w:color w:val="231F20"/>
          <w:w w:val="105"/>
        </w:rPr>
        <w:t>equipar</w:t>
      </w:r>
      <w:r>
        <w:rPr>
          <w:color w:val="231F20"/>
          <w:spacing w:val="-15"/>
          <w:w w:val="105"/>
        </w:rPr>
        <w:t> </w:t>
      </w:r>
      <w:r>
        <w:rPr>
          <w:color w:val="231F20"/>
          <w:w w:val="105"/>
        </w:rPr>
        <w:t>de</w:t>
      </w:r>
      <w:r>
        <w:rPr>
          <w:color w:val="231F20"/>
          <w:spacing w:val="-15"/>
          <w:w w:val="105"/>
        </w:rPr>
        <w:t> </w:t>
      </w:r>
      <w:r>
        <w:rPr>
          <w:color w:val="231F20"/>
          <w:w w:val="105"/>
        </w:rPr>
        <w:t>infra- estructura educativa a las instituciones públicas y también se fijó la meta de construir dos</w:t>
      </w:r>
      <w:r>
        <w:rPr>
          <w:color w:val="231F20"/>
          <w:spacing w:val="-17"/>
          <w:w w:val="105"/>
        </w:rPr>
        <w:t> </w:t>
      </w:r>
      <w:r>
        <w:rPr>
          <w:color w:val="231F20"/>
          <w:w w:val="105"/>
        </w:rPr>
        <w:t>universidades</w:t>
      </w:r>
      <w:r>
        <w:rPr>
          <w:color w:val="231F20"/>
          <w:spacing w:val="-17"/>
          <w:w w:val="105"/>
        </w:rPr>
        <w:t> </w:t>
      </w:r>
      <w:r>
        <w:rPr>
          <w:color w:val="231F20"/>
          <w:w w:val="105"/>
        </w:rPr>
        <w:t>públicas</w:t>
      </w:r>
      <w:r>
        <w:rPr>
          <w:color w:val="231F20"/>
          <w:spacing w:val="-17"/>
          <w:w w:val="105"/>
        </w:rPr>
        <w:t> </w:t>
      </w:r>
      <w:r>
        <w:rPr>
          <w:color w:val="231F20"/>
          <w:w w:val="105"/>
        </w:rPr>
        <w:t>y</w:t>
      </w:r>
      <w:r>
        <w:rPr>
          <w:color w:val="231F20"/>
          <w:spacing w:val="-17"/>
          <w:w w:val="105"/>
        </w:rPr>
        <w:t> </w:t>
      </w:r>
      <w:r>
        <w:rPr>
          <w:color w:val="231F20"/>
          <w:w w:val="105"/>
        </w:rPr>
        <w:t>dar</w:t>
      </w:r>
      <w:r>
        <w:rPr>
          <w:color w:val="231F20"/>
          <w:spacing w:val="-17"/>
          <w:w w:val="105"/>
        </w:rPr>
        <w:t> </w:t>
      </w:r>
      <w:r>
        <w:rPr>
          <w:color w:val="231F20"/>
          <w:w w:val="105"/>
        </w:rPr>
        <w:t>mantenimiento</w:t>
      </w:r>
      <w:r>
        <w:rPr>
          <w:color w:val="231F20"/>
          <w:spacing w:val="-17"/>
          <w:w w:val="105"/>
        </w:rPr>
        <w:t> </w:t>
      </w:r>
      <w:r>
        <w:rPr>
          <w:color w:val="231F20"/>
          <w:w w:val="105"/>
        </w:rPr>
        <w:t>a</w:t>
      </w:r>
      <w:r>
        <w:rPr>
          <w:color w:val="231F20"/>
          <w:spacing w:val="-17"/>
          <w:w w:val="105"/>
        </w:rPr>
        <w:t> </w:t>
      </w:r>
      <w:r>
        <w:rPr>
          <w:color w:val="231F20"/>
          <w:w w:val="105"/>
        </w:rPr>
        <w:t>96</w:t>
      </w:r>
      <w:r>
        <w:rPr>
          <w:color w:val="231F20"/>
          <w:spacing w:val="-17"/>
          <w:w w:val="105"/>
        </w:rPr>
        <w:t> </w:t>
      </w:r>
      <w:r>
        <w:rPr>
          <w:color w:val="231F20"/>
          <w:w w:val="105"/>
        </w:rPr>
        <w:t>planteles</w:t>
      </w:r>
      <w:r>
        <w:rPr>
          <w:color w:val="231F20"/>
          <w:spacing w:val="-17"/>
          <w:w w:val="105"/>
        </w:rPr>
        <w:t> </w:t>
      </w:r>
      <w:r>
        <w:rPr>
          <w:color w:val="231F20"/>
          <w:spacing w:val="-5"/>
          <w:w w:val="105"/>
        </w:rPr>
        <w:t>(Ver</w:t>
      </w:r>
      <w:r>
        <w:rPr>
          <w:color w:val="231F20"/>
          <w:spacing w:val="-17"/>
          <w:w w:val="105"/>
        </w:rPr>
        <w:t> </w:t>
      </w:r>
      <w:r>
        <w:rPr>
          <w:color w:val="231F20"/>
          <w:w w:val="105"/>
        </w:rPr>
        <w:t>Cuadro</w:t>
      </w:r>
      <w:r>
        <w:rPr>
          <w:color w:val="231F20"/>
          <w:spacing w:val="-17"/>
          <w:w w:val="105"/>
        </w:rPr>
        <w:t> </w:t>
      </w:r>
      <w:r>
        <w:rPr>
          <w:color w:val="231F20"/>
          <w:spacing w:val="-7"/>
          <w:w w:val="105"/>
        </w:rPr>
        <w:t>11).</w:t>
      </w:r>
      <w:r>
        <w:rPr>
          <w:color w:val="231F20"/>
          <w:spacing w:val="-17"/>
          <w:w w:val="105"/>
        </w:rPr>
        <w:t> </w:t>
      </w:r>
      <w:r>
        <w:rPr>
          <w:color w:val="231F20"/>
          <w:w w:val="105"/>
        </w:rPr>
        <w:t>Con</w:t>
      </w:r>
      <w:r>
        <w:rPr>
          <w:color w:val="231F20"/>
          <w:spacing w:val="-17"/>
          <w:w w:val="105"/>
        </w:rPr>
        <w:t> </w:t>
      </w:r>
      <w:r>
        <w:rPr>
          <w:color w:val="231F20"/>
          <w:w w:val="105"/>
        </w:rPr>
        <w:t>re- lación</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salud,</w:t>
      </w:r>
      <w:r>
        <w:rPr>
          <w:color w:val="231F20"/>
          <w:spacing w:val="-25"/>
          <w:w w:val="105"/>
        </w:rPr>
        <w:t> </w:t>
      </w:r>
      <w:r>
        <w:rPr>
          <w:color w:val="231F20"/>
          <w:w w:val="105"/>
        </w:rPr>
        <w:t>el</w:t>
      </w:r>
      <w:r>
        <w:rPr>
          <w:color w:val="231F20"/>
          <w:spacing w:val="-25"/>
          <w:w w:val="105"/>
        </w:rPr>
        <w:t> </w:t>
      </w:r>
      <w:r>
        <w:rPr>
          <w:color w:val="231F20"/>
          <w:w w:val="105"/>
        </w:rPr>
        <w:t>diagnóstico</w:t>
      </w:r>
      <w:r>
        <w:rPr>
          <w:color w:val="231F20"/>
          <w:spacing w:val="-25"/>
          <w:w w:val="105"/>
        </w:rPr>
        <w:t> </w:t>
      </w:r>
      <w:r>
        <w:rPr>
          <w:color w:val="231F20"/>
          <w:spacing w:val="2"/>
          <w:w w:val="105"/>
        </w:rPr>
        <w:t>al</w:t>
      </w:r>
      <w:r>
        <w:rPr>
          <w:color w:val="231F20"/>
          <w:spacing w:val="-25"/>
          <w:w w:val="105"/>
        </w:rPr>
        <w:t> </w:t>
      </w:r>
      <w:r>
        <w:rPr>
          <w:color w:val="231F20"/>
          <w:w w:val="105"/>
        </w:rPr>
        <w:t>inicio</w:t>
      </w:r>
      <w:r>
        <w:rPr>
          <w:color w:val="231F20"/>
          <w:spacing w:val="-25"/>
          <w:w w:val="105"/>
        </w:rPr>
        <w:t> </w:t>
      </w:r>
      <w:r>
        <w:rPr>
          <w:color w:val="231F20"/>
          <w:w w:val="105"/>
        </w:rPr>
        <w:t>de</w:t>
      </w:r>
      <w:r>
        <w:rPr>
          <w:color w:val="231F20"/>
          <w:spacing w:val="-25"/>
          <w:w w:val="105"/>
        </w:rPr>
        <w:t> </w:t>
      </w:r>
      <w:r>
        <w:rPr>
          <w:color w:val="231F20"/>
          <w:w w:val="105"/>
        </w:rPr>
        <w:t>gobierno</w:t>
      </w:r>
      <w:r>
        <w:rPr>
          <w:color w:val="231F20"/>
          <w:spacing w:val="-25"/>
          <w:w w:val="105"/>
        </w:rPr>
        <w:t> </w:t>
      </w:r>
      <w:r>
        <w:rPr>
          <w:color w:val="231F20"/>
          <w:w w:val="105"/>
        </w:rPr>
        <w:t>estableció</w:t>
      </w:r>
      <w:r>
        <w:rPr>
          <w:color w:val="231F20"/>
          <w:spacing w:val="-25"/>
          <w:w w:val="105"/>
        </w:rPr>
        <w:t> </w:t>
      </w:r>
      <w:r>
        <w:rPr>
          <w:color w:val="231F20"/>
          <w:w w:val="105"/>
        </w:rPr>
        <w:t>que</w:t>
      </w:r>
      <w:r>
        <w:rPr>
          <w:color w:val="231F20"/>
          <w:spacing w:val="-25"/>
          <w:w w:val="105"/>
        </w:rPr>
        <w:t> </w:t>
      </w:r>
      <w:r>
        <w:rPr>
          <w:color w:val="231F20"/>
          <w:w w:val="105"/>
        </w:rPr>
        <w:t>además</w:t>
      </w:r>
      <w:r>
        <w:rPr>
          <w:color w:val="231F20"/>
          <w:spacing w:val="-25"/>
          <w:w w:val="105"/>
        </w:rPr>
        <w:t> </w:t>
      </w:r>
      <w:r>
        <w:rPr>
          <w:color w:val="231F20"/>
          <w:w w:val="105"/>
        </w:rPr>
        <w:t>del</w:t>
      </w:r>
      <w:r>
        <w:rPr>
          <w:color w:val="231F20"/>
          <w:spacing w:val="-25"/>
          <w:w w:val="105"/>
        </w:rPr>
        <w:t> </w:t>
      </w:r>
      <w:r>
        <w:rPr>
          <w:color w:val="231F20"/>
          <w:w w:val="105"/>
        </w:rPr>
        <w:t>rezago</w:t>
      </w:r>
      <w:r>
        <w:rPr>
          <w:color w:val="231F20"/>
          <w:spacing w:val="-25"/>
          <w:w w:val="105"/>
        </w:rPr>
        <w:t> </w:t>
      </w:r>
      <w:r>
        <w:rPr>
          <w:color w:val="231F20"/>
          <w:w w:val="105"/>
        </w:rPr>
        <w:t>en cobertura</w:t>
      </w:r>
      <w:r>
        <w:rPr>
          <w:color w:val="231F20"/>
          <w:spacing w:val="-16"/>
          <w:w w:val="105"/>
        </w:rPr>
        <w:t> </w:t>
      </w:r>
      <w:r>
        <w:rPr>
          <w:color w:val="231F20"/>
          <w:w w:val="105"/>
        </w:rPr>
        <w:t>y</w:t>
      </w:r>
      <w:r>
        <w:rPr>
          <w:color w:val="231F20"/>
          <w:spacing w:val="-16"/>
          <w:w w:val="105"/>
        </w:rPr>
        <w:t> </w:t>
      </w:r>
      <w:r>
        <w:rPr>
          <w:color w:val="231F20"/>
          <w:w w:val="105"/>
        </w:rPr>
        <w:t>acceso</w:t>
      </w:r>
      <w:r>
        <w:rPr>
          <w:color w:val="231F20"/>
          <w:spacing w:val="-16"/>
          <w:w w:val="105"/>
        </w:rPr>
        <w:t> </w:t>
      </w:r>
      <w:r>
        <w:rPr>
          <w:color w:val="231F20"/>
          <w:spacing w:val="2"/>
          <w:w w:val="105"/>
        </w:rPr>
        <w:t>al</w:t>
      </w:r>
      <w:r>
        <w:rPr>
          <w:color w:val="231F20"/>
          <w:spacing w:val="-16"/>
          <w:w w:val="105"/>
        </w:rPr>
        <w:t> </w:t>
      </w:r>
      <w:r>
        <w:rPr>
          <w:color w:val="231F20"/>
          <w:w w:val="105"/>
        </w:rPr>
        <w:t>servicio,</w:t>
      </w:r>
      <w:r>
        <w:rPr>
          <w:color w:val="231F20"/>
          <w:spacing w:val="-16"/>
          <w:w w:val="105"/>
        </w:rPr>
        <w:t> </w:t>
      </w:r>
      <w:r>
        <w:rPr>
          <w:color w:val="231F20"/>
          <w:w w:val="105"/>
        </w:rPr>
        <w:t>existía</w:t>
      </w:r>
      <w:r>
        <w:rPr>
          <w:color w:val="231F20"/>
          <w:spacing w:val="-16"/>
          <w:w w:val="105"/>
        </w:rPr>
        <w:t> </w:t>
      </w:r>
      <w:r>
        <w:rPr>
          <w:color w:val="231F20"/>
          <w:w w:val="105"/>
        </w:rPr>
        <w:t>déficit</w:t>
      </w:r>
      <w:r>
        <w:rPr>
          <w:color w:val="231F20"/>
          <w:spacing w:val="-16"/>
          <w:w w:val="105"/>
        </w:rPr>
        <w:t> </w:t>
      </w:r>
      <w:r>
        <w:rPr>
          <w:color w:val="231F20"/>
          <w:w w:val="105"/>
        </w:rPr>
        <w:t>tanto</w:t>
      </w:r>
      <w:r>
        <w:rPr>
          <w:color w:val="231F20"/>
          <w:spacing w:val="-16"/>
          <w:w w:val="105"/>
        </w:rPr>
        <w:t> </w:t>
      </w:r>
      <w:r>
        <w:rPr>
          <w:color w:val="231F20"/>
          <w:w w:val="105"/>
        </w:rPr>
        <w:t>en</w:t>
      </w:r>
      <w:r>
        <w:rPr>
          <w:color w:val="231F20"/>
          <w:spacing w:val="-16"/>
          <w:w w:val="105"/>
        </w:rPr>
        <w:t> </w:t>
      </w:r>
      <w:r>
        <w:rPr>
          <w:color w:val="231F20"/>
          <w:w w:val="105"/>
        </w:rPr>
        <w:t>instalaciones</w:t>
      </w:r>
      <w:r>
        <w:rPr>
          <w:color w:val="231F20"/>
          <w:spacing w:val="-16"/>
          <w:w w:val="105"/>
        </w:rPr>
        <w:t> </w:t>
      </w:r>
      <w:r>
        <w:rPr>
          <w:color w:val="231F20"/>
          <w:w w:val="105"/>
        </w:rPr>
        <w:t>como</w:t>
      </w:r>
      <w:r>
        <w:rPr>
          <w:color w:val="231F20"/>
          <w:spacing w:val="-16"/>
          <w:w w:val="105"/>
        </w:rPr>
        <w:t> </w:t>
      </w:r>
      <w:r>
        <w:rPr>
          <w:color w:val="231F20"/>
          <w:w w:val="105"/>
        </w:rPr>
        <w:t>en</w:t>
      </w:r>
      <w:r>
        <w:rPr>
          <w:color w:val="231F20"/>
          <w:spacing w:val="-16"/>
          <w:w w:val="105"/>
        </w:rPr>
        <w:t> </w:t>
      </w:r>
      <w:r>
        <w:rPr>
          <w:color w:val="231F20"/>
          <w:w w:val="105"/>
        </w:rPr>
        <w:t>equipo,</w:t>
      </w:r>
      <w:r>
        <w:rPr>
          <w:color w:val="231F20"/>
          <w:spacing w:val="-16"/>
          <w:w w:val="105"/>
        </w:rPr>
        <w:t> </w:t>
      </w:r>
      <w:r>
        <w:rPr>
          <w:color w:val="231F20"/>
          <w:w w:val="105"/>
        </w:rPr>
        <w:t>por lo</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objetivo</w:t>
      </w:r>
      <w:r>
        <w:rPr>
          <w:color w:val="231F20"/>
          <w:spacing w:val="-10"/>
          <w:w w:val="105"/>
        </w:rPr>
        <w:t> </w:t>
      </w:r>
      <w:r>
        <w:rPr>
          <w:color w:val="231F20"/>
          <w:w w:val="105"/>
        </w:rPr>
        <w:t>propuesto</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administración</w:t>
      </w:r>
      <w:r>
        <w:rPr>
          <w:color w:val="231F20"/>
          <w:spacing w:val="-10"/>
          <w:w w:val="105"/>
        </w:rPr>
        <w:t> </w:t>
      </w:r>
      <w:r>
        <w:rPr>
          <w:color w:val="231F20"/>
          <w:w w:val="105"/>
        </w:rPr>
        <w:t>fue</w:t>
      </w:r>
      <w:r>
        <w:rPr>
          <w:color w:val="231F20"/>
          <w:spacing w:val="-10"/>
          <w:w w:val="105"/>
        </w:rPr>
        <w:t> </w:t>
      </w:r>
      <w:r>
        <w:rPr>
          <w:color w:val="231F20"/>
          <w:w w:val="105"/>
        </w:rPr>
        <w:t>construir</w:t>
      </w:r>
      <w:r>
        <w:rPr>
          <w:color w:val="231F20"/>
          <w:spacing w:val="-10"/>
          <w:w w:val="105"/>
        </w:rPr>
        <w:t> </w:t>
      </w:r>
      <w:r>
        <w:rPr>
          <w:color w:val="231F20"/>
          <w:w w:val="105"/>
        </w:rPr>
        <w:t>más</w:t>
      </w:r>
      <w:r>
        <w:rPr>
          <w:color w:val="231F20"/>
          <w:spacing w:val="-10"/>
          <w:w w:val="105"/>
        </w:rPr>
        <w:t> </w:t>
      </w:r>
      <w:r>
        <w:rPr>
          <w:color w:val="231F20"/>
          <w:w w:val="105"/>
        </w:rPr>
        <w:t>unidades</w:t>
      </w:r>
      <w:r>
        <w:rPr>
          <w:color w:val="231F20"/>
          <w:spacing w:val="-10"/>
          <w:w w:val="105"/>
        </w:rPr>
        <w:t> </w:t>
      </w:r>
      <w:r>
        <w:rPr>
          <w:color w:val="231F20"/>
          <w:w w:val="105"/>
        </w:rPr>
        <w:t>médicas, sobre</w:t>
      </w:r>
      <w:r>
        <w:rPr>
          <w:color w:val="231F20"/>
          <w:spacing w:val="-19"/>
          <w:w w:val="105"/>
        </w:rPr>
        <w:t> </w:t>
      </w:r>
      <w:r>
        <w:rPr>
          <w:color w:val="231F20"/>
          <w:w w:val="105"/>
        </w:rPr>
        <w:t>todo</w:t>
      </w:r>
      <w:r>
        <w:rPr>
          <w:color w:val="231F20"/>
          <w:spacing w:val="-19"/>
          <w:w w:val="105"/>
        </w:rPr>
        <w:t> </w:t>
      </w:r>
      <w:r>
        <w:rPr>
          <w:color w:val="231F20"/>
          <w:w w:val="105"/>
        </w:rPr>
        <w:t>en</w:t>
      </w:r>
      <w:r>
        <w:rPr>
          <w:color w:val="231F20"/>
          <w:spacing w:val="-19"/>
          <w:w w:val="105"/>
        </w:rPr>
        <w:t> </w:t>
      </w:r>
      <w:r>
        <w:rPr>
          <w:color w:val="231F20"/>
          <w:w w:val="105"/>
        </w:rPr>
        <w:t>aquellas</w:t>
      </w:r>
      <w:r>
        <w:rPr>
          <w:color w:val="231F20"/>
          <w:spacing w:val="-19"/>
          <w:w w:val="105"/>
        </w:rPr>
        <w:t> </w:t>
      </w:r>
      <w:r>
        <w:rPr>
          <w:color w:val="231F20"/>
          <w:w w:val="105"/>
        </w:rPr>
        <w:t>localidades</w:t>
      </w:r>
      <w:r>
        <w:rPr>
          <w:color w:val="231F20"/>
          <w:spacing w:val="-19"/>
          <w:w w:val="105"/>
        </w:rPr>
        <w:t> </w:t>
      </w:r>
      <w:r>
        <w:rPr>
          <w:color w:val="231F20"/>
          <w:w w:val="105"/>
        </w:rPr>
        <w:t>alejadas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cabecera</w:t>
      </w:r>
      <w:r>
        <w:rPr>
          <w:color w:val="231F20"/>
          <w:spacing w:val="-19"/>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Lo</w:t>
      </w:r>
      <w:r>
        <w:rPr>
          <w:color w:val="231F20"/>
          <w:spacing w:val="-21"/>
          <w:w w:val="105"/>
        </w:rPr>
        <w:t> </w:t>
      </w:r>
      <w:r>
        <w:rPr>
          <w:color w:val="231F20"/>
          <w:w w:val="105"/>
        </w:rPr>
        <w:t>sobresaliente</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acciones</w:t>
      </w:r>
      <w:r>
        <w:rPr>
          <w:color w:val="231F20"/>
          <w:spacing w:val="-21"/>
          <w:w w:val="105"/>
        </w:rPr>
        <w:t> </w:t>
      </w:r>
      <w:r>
        <w:rPr>
          <w:color w:val="231F20"/>
          <w:w w:val="105"/>
        </w:rPr>
        <w:t>de</w:t>
      </w:r>
      <w:r>
        <w:rPr>
          <w:color w:val="231F20"/>
          <w:spacing w:val="-21"/>
          <w:w w:val="105"/>
        </w:rPr>
        <w:t> </w:t>
      </w:r>
      <w:r>
        <w:rPr>
          <w:color w:val="231F20"/>
          <w:w w:val="105"/>
        </w:rPr>
        <w:t>gobierno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año</w:t>
      </w:r>
      <w:r>
        <w:rPr>
          <w:color w:val="231F20"/>
          <w:spacing w:val="-21"/>
          <w:w w:val="105"/>
        </w:rPr>
        <w:t> </w:t>
      </w:r>
      <w:r>
        <w:rPr>
          <w:color w:val="231F20"/>
          <w:spacing w:val="3"/>
          <w:w w:val="105"/>
        </w:rPr>
        <w:t>2008</w:t>
      </w:r>
      <w:r>
        <w:rPr>
          <w:color w:val="231F20"/>
          <w:spacing w:val="-21"/>
          <w:w w:val="105"/>
        </w:rPr>
        <w:t> </w:t>
      </w:r>
      <w:r>
        <w:rPr>
          <w:color w:val="231F20"/>
          <w:w w:val="105"/>
        </w:rPr>
        <w:t>fue</w:t>
      </w:r>
      <w:r>
        <w:rPr>
          <w:color w:val="231F20"/>
          <w:spacing w:val="-21"/>
          <w:w w:val="105"/>
        </w:rPr>
        <w:t> </w:t>
      </w:r>
      <w:r>
        <w:rPr>
          <w:color w:val="231F20"/>
          <w:w w:val="105"/>
        </w:rPr>
        <w:t>la</w:t>
      </w:r>
      <w:r>
        <w:rPr>
          <w:color w:val="231F20"/>
          <w:spacing w:val="-21"/>
          <w:w w:val="105"/>
        </w:rPr>
        <w:t> </w:t>
      </w:r>
      <w:r>
        <w:rPr>
          <w:color w:val="231F20"/>
          <w:w w:val="105"/>
        </w:rPr>
        <w:t>innovación</w:t>
      </w:r>
      <w:r>
        <w:rPr>
          <w:color w:val="231F20"/>
          <w:spacing w:val="-21"/>
          <w:w w:val="105"/>
        </w:rPr>
        <w:t> </w:t>
      </w:r>
      <w:r>
        <w:rPr>
          <w:color w:val="231F20"/>
          <w:w w:val="105"/>
        </w:rPr>
        <w:t>de</w:t>
      </w:r>
      <w:r>
        <w:rPr>
          <w:color w:val="231F20"/>
          <w:spacing w:val="-21"/>
          <w:w w:val="105"/>
        </w:rPr>
        <w:t> </w:t>
      </w:r>
      <w:r>
        <w:rPr>
          <w:color w:val="231F20"/>
          <w:w w:val="105"/>
        </w:rPr>
        <w:t>progra- mas</w:t>
      </w:r>
      <w:r>
        <w:rPr>
          <w:color w:val="231F20"/>
          <w:spacing w:val="-6"/>
          <w:w w:val="105"/>
        </w:rPr>
        <w:t> </w:t>
      </w:r>
      <w:r>
        <w:rPr>
          <w:color w:val="231F20"/>
          <w:w w:val="105"/>
        </w:rPr>
        <w:t>que</w:t>
      </w:r>
      <w:r>
        <w:rPr>
          <w:color w:val="231F20"/>
          <w:spacing w:val="-6"/>
          <w:w w:val="105"/>
        </w:rPr>
        <w:t> </w:t>
      </w:r>
      <w:r>
        <w:rPr>
          <w:color w:val="231F20"/>
          <w:w w:val="105"/>
        </w:rPr>
        <w:t>contribuyeron</w:t>
      </w:r>
      <w:r>
        <w:rPr>
          <w:color w:val="231F20"/>
          <w:spacing w:val="-6"/>
          <w:w w:val="105"/>
        </w:rPr>
        <w:t> </w:t>
      </w:r>
      <w:r>
        <w:rPr>
          <w:color w:val="231F20"/>
          <w:w w:val="105"/>
        </w:rPr>
        <w:t>a</w:t>
      </w:r>
      <w:r>
        <w:rPr>
          <w:color w:val="231F20"/>
          <w:spacing w:val="-6"/>
          <w:w w:val="105"/>
        </w:rPr>
        <w:t> </w:t>
      </w:r>
      <w:r>
        <w:rPr>
          <w:color w:val="231F20"/>
          <w:w w:val="105"/>
        </w:rPr>
        <w:t>facilitar</w:t>
      </w:r>
      <w:r>
        <w:rPr>
          <w:color w:val="231F20"/>
          <w:spacing w:val="-6"/>
          <w:w w:val="105"/>
        </w:rPr>
        <w:t> </w:t>
      </w:r>
      <w:r>
        <w:rPr>
          <w:color w:val="231F20"/>
          <w:w w:val="105"/>
        </w:rPr>
        <w:t>infraestructura;</w:t>
      </w:r>
      <w:r>
        <w:rPr>
          <w:color w:val="231F20"/>
          <w:spacing w:val="-6"/>
          <w:w w:val="105"/>
        </w:rPr>
        <w:t> </w:t>
      </w:r>
      <w:r>
        <w:rPr>
          <w:color w:val="231F20"/>
          <w:w w:val="105"/>
        </w:rPr>
        <w:t>“Invítame</w:t>
      </w:r>
      <w:r>
        <w:rPr>
          <w:color w:val="231F20"/>
          <w:spacing w:val="-6"/>
          <w:w w:val="105"/>
        </w:rPr>
        <w:t> </w:t>
      </w:r>
      <w:r>
        <w:rPr>
          <w:color w:val="231F20"/>
          <w:w w:val="105"/>
        </w:rPr>
        <w:t>a</w:t>
      </w:r>
      <w:r>
        <w:rPr>
          <w:color w:val="231F20"/>
          <w:spacing w:val="-6"/>
          <w:w w:val="105"/>
        </w:rPr>
        <w:t> </w:t>
      </w:r>
      <w:r>
        <w:rPr>
          <w:color w:val="231F20"/>
          <w:spacing w:val="2"/>
          <w:w w:val="105"/>
        </w:rPr>
        <w:t>tus</w:t>
      </w:r>
      <w:r>
        <w:rPr>
          <w:color w:val="231F20"/>
          <w:spacing w:val="-6"/>
          <w:w w:val="105"/>
        </w:rPr>
        <w:t> </w:t>
      </w:r>
      <w:r>
        <w:rPr>
          <w:color w:val="231F20"/>
          <w:w w:val="105"/>
        </w:rPr>
        <w:t>honores”</w:t>
      </w:r>
      <w:r>
        <w:rPr>
          <w:color w:val="231F20"/>
          <w:spacing w:val="-6"/>
          <w:w w:val="105"/>
        </w:rPr>
        <w:t> </w:t>
      </w:r>
      <w:r>
        <w:rPr>
          <w:color w:val="231F20"/>
          <w:w w:val="105"/>
        </w:rPr>
        <w:t>e</w:t>
      </w:r>
      <w:r>
        <w:rPr>
          <w:color w:val="231F20"/>
          <w:spacing w:val="-6"/>
          <w:w w:val="105"/>
        </w:rPr>
        <w:t> </w:t>
      </w:r>
      <w:r>
        <w:rPr>
          <w:color w:val="231F20"/>
          <w:w w:val="105"/>
        </w:rPr>
        <w:t>“Ixtaton” fueron</w:t>
      </w:r>
      <w:r>
        <w:rPr>
          <w:color w:val="231F20"/>
          <w:spacing w:val="-26"/>
          <w:w w:val="105"/>
        </w:rPr>
        <w:t> </w:t>
      </w:r>
      <w:r>
        <w:rPr>
          <w:color w:val="231F20"/>
          <w:w w:val="105"/>
        </w:rPr>
        <w:t>dos</w:t>
      </w:r>
      <w:r>
        <w:rPr>
          <w:color w:val="231F20"/>
          <w:spacing w:val="-26"/>
          <w:w w:val="105"/>
        </w:rPr>
        <w:t> </w:t>
      </w:r>
      <w:r>
        <w:rPr>
          <w:color w:val="231F20"/>
          <w:w w:val="105"/>
        </w:rPr>
        <w:t>proyectos</w:t>
      </w:r>
      <w:r>
        <w:rPr>
          <w:color w:val="231F20"/>
          <w:spacing w:val="-26"/>
          <w:w w:val="105"/>
        </w:rPr>
        <w:t> </w:t>
      </w:r>
      <w:r>
        <w:rPr>
          <w:color w:val="231F20"/>
          <w:w w:val="105"/>
        </w:rPr>
        <w:t>llevados</w:t>
      </w:r>
      <w:r>
        <w:rPr>
          <w:color w:val="231F20"/>
          <w:spacing w:val="-26"/>
          <w:w w:val="105"/>
        </w:rPr>
        <w:t> </w:t>
      </w:r>
      <w:r>
        <w:rPr>
          <w:color w:val="231F20"/>
          <w:w w:val="105"/>
        </w:rPr>
        <w:t>a</w:t>
      </w:r>
      <w:r>
        <w:rPr>
          <w:color w:val="231F20"/>
          <w:spacing w:val="-26"/>
          <w:w w:val="105"/>
        </w:rPr>
        <w:t> </w:t>
      </w:r>
      <w:r>
        <w:rPr>
          <w:color w:val="231F20"/>
          <w:w w:val="105"/>
        </w:rPr>
        <w:t>cabo</w:t>
      </w:r>
      <w:r>
        <w:rPr>
          <w:color w:val="231F20"/>
          <w:spacing w:val="-26"/>
          <w:w w:val="105"/>
        </w:rPr>
        <w:t> </w:t>
      </w:r>
      <w:r>
        <w:rPr>
          <w:color w:val="231F20"/>
          <w:w w:val="105"/>
        </w:rPr>
        <w:t>por</w:t>
      </w:r>
      <w:r>
        <w:rPr>
          <w:color w:val="231F20"/>
          <w:spacing w:val="-26"/>
          <w:w w:val="105"/>
        </w:rPr>
        <w:t> </w:t>
      </w:r>
      <w:r>
        <w:rPr>
          <w:color w:val="231F20"/>
          <w:w w:val="105"/>
        </w:rPr>
        <w:t>iniciativa</w:t>
      </w:r>
      <w:r>
        <w:rPr>
          <w:color w:val="231F20"/>
          <w:spacing w:val="-26"/>
          <w:w w:val="105"/>
        </w:rPr>
        <w:t> </w:t>
      </w:r>
      <w:r>
        <w:rPr>
          <w:color w:val="231F20"/>
          <w:w w:val="105"/>
        </w:rPr>
        <w:t>del</w:t>
      </w:r>
      <w:r>
        <w:rPr>
          <w:color w:val="231F20"/>
          <w:spacing w:val="-26"/>
          <w:w w:val="105"/>
        </w:rPr>
        <w:t> </w:t>
      </w:r>
      <w:r>
        <w:rPr>
          <w:color w:val="231F20"/>
          <w:w w:val="105"/>
        </w:rPr>
        <w:t>gobierno</w:t>
      </w:r>
      <w:r>
        <w:rPr>
          <w:color w:val="231F20"/>
          <w:spacing w:val="-26"/>
          <w:w w:val="105"/>
        </w:rPr>
        <w:t> </w:t>
      </w:r>
      <w:r>
        <w:rPr>
          <w:color w:val="231F20"/>
          <w:w w:val="105"/>
        </w:rPr>
        <w:t>municipal</w:t>
      </w:r>
      <w:r>
        <w:rPr>
          <w:color w:val="231F20"/>
          <w:spacing w:val="-26"/>
          <w:w w:val="105"/>
        </w:rPr>
        <w:t> </w:t>
      </w:r>
      <w:r>
        <w:rPr>
          <w:color w:val="231F20"/>
          <w:w w:val="105"/>
        </w:rPr>
        <w:t>con</w:t>
      </w:r>
      <w:r>
        <w:rPr>
          <w:color w:val="231F20"/>
          <w:spacing w:val="-26"/>
          <w:w w:val="105"/>
        </w:rPr>
        <w:t> </w:t>
      </w:r>
      <w:r>
        <w:rPr>
          <w:color w:val="231F20"/>
          <w:w w:val="105"/>
        </w:rPr>
        <w:t>inversión de recursos propios, y que permitieron dotar de pizarrones, botes de pintura, material de</w:t>
      </w:r>
      <w:r>
        <w:rPr>
          <w:color w:val="231F20"/>
          <w:spacing w:val="-6"/>
          <w:w w:val="105"/>
        </w:rPr>
        <w:t> </w:t>
      </w:r>
      <w:r>
        <w:rPr>
          <w:color w:val="231F20"/>
          <w:w w:val="105"/>
        </w:rPr>
        <w:t>construcción</w:t>
      </w:r>
      <w:r>
        <w:rPr>
          <w:color w:val="231F20"/>
          <w:spacing w:val="-6"/>
          <w:w w:val="105"/>
        </w:rPr>
        <w:t> </w:t>
      </w:r>
      <w:r>
        <w:rPr>
          <w:color w:val="231F20"/>
          <w:w w:val="105"/>
        </w:rPr>
        <w:t>y</w:t>
      </w:r>
      <w:r>
        <w:rPr>
          <w:color w:val="231F20"/>
          <w:spacing w:val="-5"/>
          <w:w w:val="105"/>
        </w:rPr>
        <w:t> </w:t>
      </w:r>
      <w:r>
        <w:rPr>
          <w:color w:val="231F20"/>
          <w:w w:val="105"/>
        </w:rPr>
        <w:t>computadoras</w:t>
      </w:r>
      <w:r>
        <w:rPr>
          <w:color w:val="231F20"/>
          <w:spacing w:val="-6"/>
          <w:w w:val="105"/>
        </w:rPr>
        <w:t> </w:t>
      </w:r>
      <w:r>
        <w:rPr>
          <w:color w:val="231F20"/>
          <w:w w:val="105"/>
        </w:rPr>
        <w:t>a</w:t>
      </w:r>
      <w:r>
        <w:rPr>
          <w:color w:val="231F20"/>
          <w:spacing w:val="-6"/>
          <w:w w:val="105"/>
        </w:rPr>
        <w:t> </w:t>
      </w:r>
      <w:r>
        <w:rPr>
          <w:color w:val="231F20"/>
          <w:w w:val="105"/>
        </w:rPr>
        <w:t>planteles</w:t>
      </w:r>
      <w:r>
        <w:rPr>
          <w:color w:val="231F20"/>
          <w:spacing w:val="-5"/>
          <w:w w:val="105"/>
        </w:rPr>
        <w:t> </w:t>
      </w:r>
      <w:r>
        <w:rPr>
          <w:color w:val="231F20"/>
          <w:w w:val="105"/>
        </w:rPr>
        <w:t>educativos,</w:t>
      </w:r>
      <w:r>
        <w:rPr>
          <w:color w:val="231F20"/>
          <w:spacing w:val="-6"/>
          <w:w w:val="105"/>
        </w:rPr>
        <w:t> </w:t>
      </w:r>
      <w:r>
        <w:rPr>
          <w:color w:val="231F20"/>
          <w:w w:val="105"/>
        </w:rPr>
        <w:t>sobre</w:t>
      </w:r>
      <w:r>
        <w:rPr>
          <w:color w:val="231F20"/>
          <w:spacing w:val="-5"/>
          <w:w w:val="105"/>
        </w:rPr>
        <w:t> </w:t>
      </w:r>
      <w:r>
        <w:rPr>
          <w:color w:val="231F20"/>
          <w:w w:val="105"/>
        </w:rPr>
        <w:t>todo</w:t>
      </w:r>
      <w:r>
        <w:rPr>
          <w:color w:val="231F20"/>
          <w:spacing w:val="-5"/>
          <w:w w:val="105"/>
        </w:rPr>
        <w:t> </w:t>
      </w:r>
      <w:r>
        <w:rPr>
          <w:color w:val="231F20"/>
          <w:w w:val="105"/>
        </w:rPr>
        <w:t>de</w:t>
      </w:r>
      <w:r>
        <w:rPr>
          <w:color w:val="231F20"/>
          <w:spacing w:val="-5"/>
          <w:w w:val="105"/>
        </w:rPr>
        <w:t> </w:t>
      </w:r>
      <w:r>
        <w:rPr>
          <w:color w:val="231F20"/>
          <w:w w:val="105"/>
        </w:rPr>
        <w:t>nivel</w:t>
      </w:r>
      <w:r>
        <w:rPr>
          <w:color w:val="231F20"/>
          <w:spacing w:val="-6"/>
          <w:w w:val="105"/>
        </w:rPr>
        <w:t> </w:t>
      </w:r>
      <w:r>
        <w:rPr>
          <w:color w:val="231F20"/>
          <w:w w:val="105"/>
        </w:rPr>
        <w:t>primaria</w:t>
      </w:r>
      <w:r>
        <w:rPr>
          <w:color w:val="231F20"/>
          <w:spacing w:val="-5"/>
          <w:w w:val="105"/>
        </w:rPr>
        <w:t> </w:t>
      </w:r>
      <w:r>
        <w:rPr>
          <w:color w:val="231F20"/>
          <w:w w:val="105"/>
        </w:rPr>
        <w:t>y secundaria.</w:t>
      </w:r>
      <w:r>
        <w:rPr>
          <w:color w:val="231F20"/>
          <w:spacing w:val="-8"/>
          <w:w w:val="105"/>
        </w:rPr>
        <w:t> </w:t>
      </w:r>
      <w:r>
        <w:rPr>
          <w:color w:val="231F20"/>
          <w:spacing w:val="-3"/>
          <w:w w:val="105"/>
        </w:rPr>
        <w:t>“Ixtatón”,</w:t>
      </w:r>
      <w:r>
        <w:rPr>
          <w:color w:val="231F20"/>
          <w:spacing w:val="-8"/>
          <w:w w:val="105"/>
        </w:rPr>
        <w:t> </w:t>
      </w:r>
      <w:r>
        <w:rPr>
          <w:color w:val="231F20"/>
          <w:w w:val="105"/>
        </w:rPr>
        <w:t>en</w:t>
      </w:r>
      <w:r>
        <w:rPr>
          <w:color w:val="231F20"/>
          <w:spacing w:val="-8"/>
          <w:w w:val="105"/>
        </w:rPr>
        <w:t> </w:t>
      </w:r>
      <w:r>
        <w:rPr>
          <w:color w:val="231F20"/>
          <w:w w:val="105"/>
        </w:rPr>
        <w:t>específico,</w:t>
      </w:r>
      <w:r>
        <w:rPr>
          <w:color w:val="231F20"/>
          <w:spacing w:val="-8"/>
          <w:w w:val="105"/>
        </w:rPr>
        <w:t> </w:t>
      </w:r>
      <w:r>
        <w:rPr>
          <w:color w:val="231F20"/>
          <w:w w:val="105"/>
        </w:rPr>
        <w:t>fue</w:t>
      </w:r>
      <w:r>
        <w:rPr>
          <w:color w:val="231F20"/>
          <w:spacing w:val="-8"/>
          <w:w w:val="105"/>
        </w:rPr>
        <w:t> </w:t>
      </w:r>
      <w:r>
        <w:rPr>
          <w:color w:val="231F20"/>
          <w:w w:val="105"/>
        </w:rPr>
        <w:t>una</w:t>
      </w:r>
      <w:r>
        <w:rPr>
          <w:color w:val="231F20"/>
          <w:spacing w:val="-8"/>
          <w:w w:val="105"/>
        </w:rPr>
        <w:t> </w:t>
      </w:r>
      <w:r>
        <w:rPr>
          <w:color w:val="231F20"/>
          <w:w w:val="105"/>
        </w:rPr>
        <w:t>acción</w:t>
      </w:r>
      <w:r>
        <w:rPr>
          <w:color w:val="231F20"/>
          <w:spacing w:val="-8"/>
          <w:w w:val="105"/>
        </w:rPr>
        <w:t> </w:t>
      </w:r>
      <w:r>
        <w:rPr>
          <w:color w:val="231F20"/>
          <w:w w:val="105"/>
        </w:rPr>
        <w:t>colectiva</w:t>
      </w:r>
      <w:r>
        <w:rPr>
          <w:color w:val="231F20"/>
          <w:spacing w:val="-8"/>
          <w:w w:val="105"/>
        </w:rPr>
        <w:t> </w:t>
      </w:r>
      <w:r>
        <w:rPr>
          <w:color w:val="231F20"/>
          <w:w w:val="105"/>
        </w:rPr>
        <w:t>que</w:t>
      </w:r>
      <w:r>
        <w:rPr>
          <w:color w:val="231F20"/>
          <w:spacing w:val="-8"/>
          <w:w w:val="105"/>
        </w:rPr>
        <w:t> </w:t>
      </w:r>
      <w:r>
        <w:rPr>
          <w:color w:val="231F20"/>
          <w:w w:val="105"/>
        </w:rPr>
        <w:t>permitió</w:t>
      </w:r>
      <w:r>
        <w:rPr>
          <w:color w:val="231F20"/>
          <w:spacing w:val="-8"/>
          <w:w w:val="105"/>
        </w:rPr>
        <w:t> </w:t>
      </w:r>
      <w:r>
        <w:rPr>
          <w:color w:val="231F20"/>
          <w:w w:val="105"/>
        </w:rPr>
        <w:t>dotar</w:t>
      </w:r>
      <w:r>
        <w:rPr>
          <w:color w:val="231F20"/>
          <w:spacing w:val="-8"/>
          <w:w w:val="105"/>
        </w:rPr>
        <w:t> </w:t>
      </w:r>
      <w:r>
        <w:rPr>
          <w:color w:val="231F20"/>
          <w:w w:val="105"/>
        </w:rPr>
        <w:t>de</w:t>
      </w:r>
      <w:r>
        <w:rPr>
          <w:color w:val="231F20"/>
          <w:spacing w:val="-8"/>
          <w:w w:val="105"/>
        </w:rPr>
        <w:t> </w:t>
      </w:r>
      <w:r>
        <w:rPr>
          <w:color w:val="231F20"/>
          <w:w w:val="105"/>
        </w:rPr>
        <w:t>ca- mas</w:t>
      </w:r>
      <w:r>
        <w:rPr>
          <w:color w:val="231F20"/>
          <w:spacing w:val="-19"/>
          <w:w w:val="105"/>
        </w:rPr>
        <w:t> </w:t>
      </w:r>
      <w:r>
        <w:rPr>
          <w:color w:val="231F20"/>
          <w:w w:val="105"/>
        </w:rPr>
        <w:t>y</w:t>
      </w:r>
      <w:r>
        <w:rPr>
          <w:color w:val="231F20"/>
          <w:spacing w:val="-19"/>
          <w:w w:val="105"/>
        </w:rPr>
        <w:t> </w:t>
      </w:r>
      <w:r>
        <w:rPr>
          <w:color w:val="231F20"/>
          <w:w w:val="105"/>
        </w:rPr>
        <w:t>medicamentos</w:t>
      </w:r>
      <w:r>
        <w:rPr>
          <w:color w:val="231F20"/>
          <w:spacing w:val="-19"/>
          <w:w w:val="105"/>
        </w:rPr>
        <w:t> </w:t>
      </w:r>
      <w:r>
        <w:rPr>
          <w:color w:val="231F20"/>
          <w:w w:val="105"/>
        </w:rPr>
        <w:t>básicos</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centros</w:t>
      </w:r>
      <w:r>
        <w:rPr>
          <w:color w:val="231F20"/>
          <w:spacing w:val="-19"/>
          <w:w w:val="105"/>
        </w:rPr>
        <w:t> </w:t>
      </w:r>
      <w:r>
        <w:rPr>
          <w:color w:val="231F20"/>
          <w:w w:val="105"/>
        </w:rPr>
        <w:t>de</w:t>
      </w:r>
      <w:r>
        <w:rPr>
          <w:color w:val="231F20"/>
          <w:spacing w:val="-19"/>
          <w:w w:val="105"/>
        </w:rPr>
        <w:t> </w:t>
      </w:r>
      <w:r>
        <w:rPr>
          <w:color w:val="231F20"/>
          <w:w w:val="105"/>
        </w:rPr>
        <w:t>salud.</w:t>
      </w:r>
      <w:r>
        <w:rPr>
          <w:color w:val="231F20"/>
          <w:spacing w:val="-19"/>
          <w:w w:val="105"/>
        </w:rPr>
        <w:t> </w:t>
      </w:r>
      <w:r>
        <w:rPr>
          <w:color w:val="231F20"/>
          <w:w w:val="105"/>
        </w:rPr>
        <w:t>De</w:t>
      </w:r>
      <w:r>
        <w:rPr>
          <w:color w:val="231F20"/>
          <w:spacing w:val="-19"/>
          <w:w w:val="105"/>
        </w:rPr>
        <w:t> </w:t>
      </w:r>
      <w:r>
        <w:rPr>
          <w:color w:val="231F20"/>
          <w:w w:val="105"/>
        </w:rPr>
        <w:t>igual</w:t>
      </w:r>
      <w:r>
        <w:rPr>
          <w:color w:val="231F20"/>
          <w:spacing w:val="-19"/>
          <w:w w:val="105"/>
        </w:rPr>
        <w:t> </w:t>
      </w:r>
      <w:r>
        <w:rPr>
          <w:color w:val="231F20"/>
          <w:w w:val="105"/>
        </w:rPr>
        <w:t>forma,</w:t>
      </w:r>
      <w:r>
        <w:rPr>
          <w:color w:val="231F20"/>
          <w:spacing w:val="-19"/>
          <w:w w:val="105"/>
        </w:rPr>
        <w:t> </w:t>
      </w:r>
      <w:r>
        <w:rPr>
          <w:color w:val="231F20"/>
          <w:w w:val="105"/>
        </w:rPr>
        <w:t>recursos</w:t>
      </w:r>
      <w:r>
        <w:rPr>
          <w:color w:val="231F20"/>
          <w:spacing w:val="-19"/>
          <w:w w:val="105"/>
        </w:rPr>
        <w:t> </w:t>
      </w:r>
      <w:r>
        <w:rPr>
          <w:color w:val="231F20"/>
          <w:w w:val="105"/>
        </w:rPr>
        <w:t>federales</w:t>
      </w:r>
      <w:r>
        <w:rPr>
          <w:color w:val="231F20"/>
          <w:spacing w:val="-19"/>
          <w:w w:val="105"/>
        </w:rPr>
        <w:t> </w:t>
      </w:r>
      <w:r>
        <w:rPr>
          <w:color w:val="231F20"/>
          <w:w w:val="105"/>
        </w:rPr>
        <w:t>y estatales</w:t>
      </w:r>
      <w:r>
        <w:rPr>
          <w:color w:val="231F20"/>
          <w:spacing w:val="-9"/>
          <w:w w:val="105"/>
        </w:rPr>
        <w:t> </w:t>
      </w:r>
      <w:r>
        <w:rPr>
          <w:color w:val="231F20"/>
          <w:w w:val="105"/>
        </w:rPr>
        <w:t>llegaron</w:t>
      </w:r>
      <w:r>
        <w:rPr>
          <w:color w:val="231F20"/>
          <w:spacing w:val="-9"/>
          <w:w w:val="105"/>
        </w:rPr>
        <w:t> </w:t>
      </w:r>
      <w:r>
        <w:rPr>
          <w:color w:val="231F20"/>
          <w:spacing w:val="2"/>
          <w:w w:val="105"/>
        </w:rPr>
        <w:t>al</w:t>
      </w:r>
      <w:r>
        <w:rPr>
          <w:color w:val="231F20"/>
          <w:spacing w:val="-9"/>
          <w:w w:val="105"/>
        </w:rPr>
        <w:t> </w:t>
      </w:r>
      <w:r>
        <w:rPr>
          <w:color w:val="231F20"/>
          <w:w w:val="105"/>
        </w:rPr>
        <w:t>municipio</w:t>
      </w:r>
      <w:r>
        <w:rPr>
          <w:color w:val="231F20"/>
          <w:spacing w:val="-9"/>
          <w:w w:val="105"/>
        </w:rPr>
        <w:t> </w:t>
      </w:r>
      <w:r>
        <w:rPr>
          <w:color w:val="231F20"/>
          <w:w w:val="105"/>
        </w:rPr>
        <w:t>en</w:t>
      </w:r>
      <w:r>
        <w:rPr>
          <w:color w:val="231F20"/>
          <w:spacing w:val="-9"/>
          <w:w w:val="105"/>
        </w:rPr>
        <w:t> </w:t>
      </w:r>
      <w:r>
        <w:rPr>
          <w:color w:val="231F20"/>
          <w:w w:val="105"/>
        </w:rPr>
        <w:t>estos</w:t>
      </w:r>
      <w:r>
        <w:rPr>
          <w:color w:val="231F20"/>
          <w:spacing w:val="-9"/>
          <w:w w:val="105"/>
        </w:rPr>
        <w:t> </w:t>
      </w:r>
      <w:r>
        <w:rPr>
          <w:color w:val="231F20"/>
          <w:w w:val="105"/>
        </w:rPr>
        <w:t>rubros</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mantenimiento</w:t>
      </w:r>
      <w:r>
        <w:rPr>
          <w:color w:val="231F20"/>
          <w:spacing w:val="-9"/>
          <w:w w:val="105"/>
        </w:rPr>
        <w:t> </w:t>
      </w:r>
      <w:r>
        <w:rPr>
          <w:color w:val="231F20"/>
          <w:w w:val="105"/>
        </w:rPr>
        <w:t>de</w:t>
      </w:r>
      <w:r>
        <w:rPr>
          <w:color w:val="231F20"/>
          <w:spacing w:val="-9"/>
          <w:w w:val="105"/>
        </w:rPr>
        <w:t> </w:t>
      </w:r>
      <w:r>
        <w:rPr>
          <w:color w:val="231F20"/>
          <w:w w:val="105"/>
        </w:rPr>
        <w:t>instalaciones.</w:t>
      </w:r>
    </w:p>
    <w:p>
      <w:pPr>
        <w:pStyle w:val="BodyText"/>
        <w:spacing w:before="1"/>
        <w:rPr>
          <w:sz w:val="26"/>
        </w:rPr>
      </w:pPr>
    </w:p>
    <w:p>
      <w:pPr>
        <w:pStyle w:val="BodyText"/>
        <w:spacing w:line="285" w:lineRule="auto"/>
        <w:ind w:left="110" w:right="108"/>
        <w:jc w:val="both"/>
      </w:pPr>
      <w:r>
        <w:rPr>
          <w:color w:val="231F20"/>
          <w:w w:val="105"/>
        </w:rPr>
        <w:t>Pese a todo, el rezago educativo y de salud no pueden ser combatidos con estas</w:t>
      </w:r>
      <w:r>
        <w:rPr>
          <w:color w:val="231F20"/>
          <w:spacing w:val="-34"/>
          <w:w w:val="105"/>
        </w:rPr>
        <w:t> </w:t>
      </w:r>
      <w:r>
        <w:rPr>
          <w:color w:val="231F20"/>
          <w:w w:val="105"/>
        </w:rPr>
        <w:t>accio- nes,</w:t>
      </w:r>
      <w:r>
        <w:rPr>
          <w:color w:val="231F20"/>
          <w:spacing w:val="-10"/>
          <w:w w:val="105"/>
        </w:rPr>
        <w:t> </w:t>
      </w:r>
      <w:r>
        <w:rPr>
          <w:color w:val="231F20"/>
          <w:w w:val="105"/>
        </w:rPr>
        <w:t>pues</w:t>
      </w:r>
      <w:r>
        <w:rPr>
          <w:color w:val="231F20"/>
          <w:spacing w:val="-10"/>
          <w:w w:val="105"/>
        </w:rPr>
        <w:t> </w:t>
      </w:r>
      <w:r>
        <w:rPr>
          <w:color w:val="231F20"/>
          <w:w w:val="105"/>
        </w:rPr>
        <w:t>el</w:t>
      </w:r>
      <w:r>
        <w:rPr>
          <w:color w:val="231F20"/>
          <w:spacing w:val="-10"/>
          <w:w w:val="105"/>
        </w:rPr>
        <w:t> </w:t>
      </w:r>
      <w:r>
        <w:rPr>
          <w:color w:val="231F20"/>
          <w:w w:val="105"/>
        </w:rPr>
        <w:t>problema</w:t>
      </w:r>
      <w:r>
        <w:rPr>
          <w:color w:val="231F20"/>
          <w:spacing w:val="-10"/>
          <w:w w:val="105"/>
        </w:rPr>
        <w:t> </w:t>
      </w:r>
      <w:r>
        <w:rPr>
          <w:color w:val="231F20"/>
          <w:w w:val="105"/>
        </w:rPr>
        <w:t>es</w:t>
      </w:r>
      <w:r>
        <w:rPr>
          <w:color w:val="231F20"/>
          <w:spacing w:val="-10"/>
          <w:w w:val="105"/>
        </w:rPr>
        <w:t> </w:t>
      </w:r>
      <w:r>
        <w:rPr>
          <w:color w:val="231F20"/>
          <w:w w:val="105"/>
        </w:rPr>
        <w:t>la</w:t>
      </w:r>
      <w:r>
        <w:rPr>
          <w:color w:val="231F20"/>
          <w:spacing w:val="-10"/>
          <w:w w:val="105"/>
        </w:rPr>
        <w:t> </w:t>
      </w:r>
      <w:r>
        <w:rPr>
          <w:color w:val="231F20"/>
          <w:w w:val="105"/>
        </w:rPr>
        <w:t>falta</w:t>
      </w:r>
      <w:r>
        <w:rPr>
          <w:color w:val="231F20"/>
          <w:spacing w:val="-10"/>
          <w:w w:val="105"/>
        </w:rPr>
        <w:t> </w:t>
      </w:r>
      <w:r>
        <w:rPr>
          <w:color w:val="231F20"/>
          <w:w w:val="105"/>
        </w:rPr>
        <w:t>de</w:t>
      </w:r>
      <w:r>
        <w:rPr>
          <w:color w:val="231F20"/>
          <w:spacing w:val="-10"/>
          <w:w w:val="105"/>
        </w:rPr>
        <w:t> </w:t>
      </w:r>
      <w:r>
        <w:rPr>
          <w:color w:val="231F20"/>
          <w:w w:val="105"/>
        </w:rPr>
        <w:t>cobertura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servicios,</w:t>
      </w:r>
      <w:r>
        <w:rPr>
          <w:color w:val="231F20"/>
          <w:spacing w:val="-10"/>
          <w:w w:val="105"/>
        </w:rPr>
        <w:t> </w:t>
      </w:r>
      <w:r>
        <w:rPr>
          <w:color w:val="231F20"/>
          <w:w w:val="105"/>
        </w:rPr>
        <w:t>de</w:t>
      </w:r>
      <w:r>
        <w:rPr>
          <w:color w:val="231F20"/>
          <w:spacing w:val="-10"/>
          <w:w w:val="105"/>
        </w:rPr>
        <w:t> </w:t>
      </w:r>
      <w:r>
        <w:rPr>
          <w:color w:val="231F20"/>
          <w:w w:val="105"/>
        </w:rPr>
        <w:t>talleres</w:t>
      </w:r>
      <w:r>
        <w:rPr>
          <w:color w:val="231F20"/>
          <w:spacing w:val="-10"/>
          <w:w w:val="105"/>
        </w:rPr>
        <w:t> </w:t>
      </w:r>
      <w:r>
        <w:rPr>
          <w:color w:val="231F20"/>
          <w:w w:val="105"/>
        </w:rPr>
        <w:t>para</w:t>
      </w:r>
      <w:r>
        <w:rPr>
          <w:color w:val="231F20"/>
          <w:spacing w:val="-10"/>
          <w:w w:val="105"/>
        </w:rPr>
        <w:t> </w:t>
      </w:r>
      <w:r>
        <w:rPr>
          <w:color w:val="231F20"/>
          <w:spacing w:val="2"/>
          <w:w w:val="105"/>
        </w:rPr>
        <w:t>instruir</w:t>
      </w:r>
      <w:r>
        <w:rPr>
          <w:color w:val="231F20"/>
          <w:spacing w:val="-10"/>
          <w:w w:val="105"/>
        </w:rPr>
        <w:t> </w:t>
      </w:r>
      <w:r>
        <w:rPr>
          <w:color w:val="231F20"/>
          <w:w w:val="105"/>
        </w:rPr>
        <w:t>a adultos</w:t>
      </w:r>
      <w:r>
        <w:rPr>
          <w:color w:val="231F20"/>
          <w:spacing w:val="-14"/>
          <w:w w:val="105"/>
        </w:rPr>
        <w:t> </w:t>
      </w:r>
      <w:r>
        <w:rPr>
          <w:color w:val="231F20"/>
          <w:w w:val="105"/>
        </w:rPr>
        <w:t>y</w:t>
      </w:r>
      <w:r>
        <w:rPr>
          <w:color w:val="231F20"/>
          <w:spacing w:val="-14"/>
          <w:w w:val="105"/>
        </w:rPr>
        <w:t> </w:t>
      </w:r>
      <w:r>
        <w:rPr>
          <w:color w:val="231F20"/>
          <w:w w:val="105"/>
        </w:rPr>
        <w:t>adultos</w:t>
      </w:r>
      <w:r>
        <w:rPr>
          <w:color w:val="231F20"/>
          <w:spacing w:val="-14"/>
          <w:w w:val="105"/>
        </w:rPr>
        <w:t> </w:t>
      </w:r>
      <w:r>
        <w:rPr>
          <w:color w:val="231F20"/>
          <w:w w:val="105"/>
        </w:rPr>
        <w:t>mayores,</w:t>
      </w:r>
      <w:r>
        <w:rPr>
          <w:color w:val="231F20"/>
          <w:spacing w:val="-14"/>
          <w:w w:val="105"/>
        </w:rPr>
        <w:t> </w:t>
      </w:r>
      <w:r>
        <w:rPr>
          <w:color w:val="231F20"/>
          <w:w w:val="105"/>
        </w:rPr>
        <w:t>de</w:t>
      </w:r>
      <w:r>
        <w:rPr>
          <w:color w:val="231F20"/>
          <w:spacing w:val="-14"/>
          <w:w w:val="105"/>
        </w:rPr>
        <w:t> </w:t>
      </w:r>
      <w:r>
        <w:rPr>
          <w:color w:val="231F20"/>
          <w:w w:val="105"/>
        </w:rPr>
        <w:t>becas</w:t>
      </w:r>
      <w:r>
        <w:rPr>
          <w:color w:val="231F20"/>
          <w:spacing w:val="-14"/>
          <w:w w:val="105"/>
        </w:rPr>
        <w:t> </w:t>
      </w:r>
      <w:r>
        <w:rPr>
          <w:color w:val="231F20"/>
          <w:w w:val="105"/>
        </w:rPr>
        <w:t>para</w:t>
      </w:r>
      <w:r>
        <w:rPr>
          <w:color w:val="231F20"/>
          <w:spacing w:val="-14"/>
          <w:w w:val="105"/>
        </w:rPr>
        <w:t> </w:t>
      </w:r>
      <w:r>
        <w:rPr>
          <w:color w:val="231F20"/>
          <w:w w:val="105"/>
        </w:rPr>
        <w:t>los</w:t>
      </w:r>
      <w:r>
        <w:rPr>
          <w:color w:val="231F20"/>
          <w:spacing w:val="-14"/>
          <w:w w:val="105"/>
        </w:rPr>
        <w:t> </w:t>
      </w:r>
      <w:r>
        <w:rPr>
          <w:color w:val="231F20"/>
          <w:w w:val="105"/>
        </w:rPr>
        <w:t>menores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spacing w:val="2"/>
          <w:w w:val="105"/>
        </w:rPr>
        <w:t>familias</w:t>
      </w:r>
      <w:r>
        <w:rPr>
          <w:color w:val="231F20"/>
          <w:spacing w:val="-14"/>
          <w:w w:val="105"/>
        </w:rPr>
        <w:t> </w:t>
      </w:r>
      <w:r>
        <w:rPr>
          <w:color w:val="231F20"/>
          <w:w w:val="105"/>
        </w:rPr>
        <w:t>más</w:t>
      </w:r>
      <w:r>
        <w:rPr>
          <w:color w:val="231F20"/>
          <w:spacing w:val="-14"/>
          <w:w w:val="105"/>
        </w:rPr>
        <w:t> </w:t>
      </w:r>
      <w:r>
        <w:rPr>
          <w:color w:val="231F20"/>
          <w:w w:val="105"/>
        </w:rPr>
        <w:t>precarias</w:t>
      </w:r>
      <w:r>
        <w:rPr>
          <w:color w:val="231F20"/>
          <w:spacing w:val="-14"/>
          <w:w w:val="105"/>
        </w:rPr>
        <w:t> </w:t>
      </w:r>
      <w:r>
        <w:rPr>
          <w:color w:val="231F20"/>
          <w:w w:val="105"/>
        </w:rPr>
        <w:t>y</w:t>
      </w:r>
      <w:r>
        <w:rPr>
          <w:color w:val="231F20"/>
          <w:spacing w:val="-14"/>
          <w:w w:val="105"/>
        </w:rPr>
        <w:t> </w:t>
      </w:r>
      <w:r>
        <w:rPr>
          <w:color w:val="231F20"/>
          <w:w w:val="105"/>
        </w:rPr>
        <w:t>de campañas de salud en las comunidades. </w:t>
      </w:r>
      <w:r>
        <w:rPr>
          <w:color w:val="231F20"/>
          <w:spacing w:val="-3"/>
          <w:w w:val="105"/>
        </w:rPr>
        <w:t>Por </w:t>
      </w:r>
      <w:r>
        <w:rPr>
          <w:color w:val="231F20"/>
          <w:w w:val="105"/>
        </w:rPr>
        <w:t>lo tanto, el interés del gobierno ixtapense no</w:t>
      </w:r>
      <w:r>
        <w:rPr>
          <w:color w:val="231F20"/>
          <w:spacing w:val="-11"/>
          <w:w w:val="105"/>
        </w:rPr>
        <w:t> </w:t>
      </w:r>
      <w:r>
        <w:rPr>
          <w:color w:val="231F20"/>
          <w:w w:val="105"/>
        </w:rPr>
        <w:t>puede</w:t>
      </w:r>
      <w:r>
        <w:rPr>
          <w:color w:val="231F20"/>
          <w:spacing w:val="-11"/>
          <w:w w:val="105"/>
        </w:rPr>
        <w:t> </w:t>
      </w:r>
      <w:r>
        <w:rPr>
          <w:color w:val="231F20"/>
          <w:w w:val="105"/>
        </w:rPr>
        <w:t>ser</w:t>
      </w:r>
      <w:r>
        <w:rPr>
          <w:color w:val="231F20"/>
          <w:spacing w:val="-11"/>
          <w:w w:val="105"/>
        </w:rPr>
        <w:t> </w:t>
      </w:r>
      <w:r>
        <w:rPr>
          <w:color w:val="231F20"/>
          <w:w w:val="105"/>
        </w:rPr>
        <w:t>considerado</w:t>
      </w:r>
      <w:r>
        <w:rPr>
          <w:color w:val="231F20"/>
          <w:spacing w:val="-11"/>
          <w:w w:val="105"/>
        </w:rPr>
        <w:t> </w:t>
      </w:r>
      <w:r>
        <w:rPr>
          <w:color w:val="231F20"/>
          <w:w w:val="105"/>
        </w:rPr>
        <w:t>eficaz</w:t>
      </w:r>
      <w:r>
        <w:rPr>
          <w:color w:val="231F20"/>
          <w:spacing w:val="-11"/>
          <w:w w:val="105"/>
        </w:rPr>
        <w:t> </w:t>
      </w:r>
      <w:r>
        <w:rPr>
          <w:color w:val="231F20"/>
          <w:w w:val="105"/>
        </w:rPr>
        <w:t>de</w:t>
      </w:r>
      <w:r>
        <w:rPr>
          <w:color w:val="231F20"/>
          <w:spacing w:val="-11"/>
          <w:w w:val="105"/>
        </w:rPr>
        <w:t> </w:t>
      </w:r>
      <w:r>
        <w:rPr>
          <w:color w:val="231F20"/>
          <w:w w:val="105"/>
        </w:rPr>
        <w:t>acuerdo</w:t>
      </w:r>
      <w:r>
        <w:rPr>
          <w:color w:val="231F20"/>
          <w:spacing w:val="-11"/>
          <w:w w:val="105"/>
        </w:rPr>
        <w:t> </w:t>
      </w:r>
      <w:r>
        <w:rPr>
          <w:color w:val="231F20"/>
          <w:w w:val="105"/>
        </w:rPr>
        <w:t>con</w:t>
      </w:r>
      <w:r>
        <w:rPr>
          <w:color w:val="231F20"/>
          <w:spacing w:val="-11"/>
          <w:w w:val="105"/>
        </w:rPr>
        <w:t> </w:t>
      </w:r>
      <w:r>
        <w:rPr>
          <w:color w:val="231F20"/>
          <w:w w:val="105"/>
        </w:rPr>
        <w:t>las</w:t>
      </w:r>
      <w:r>
        <w:rPr>
          <w:color w:val="231F20"/>
          <w:spacing w:val="-11"/>
          <w:w w:val="105"/>
        </w:rPr>
        <w:t> </w:t>
      </w:r>
      <w:r>
        <w:rPr>
          <w:color w:val="231F20"/>
          <w:w w:val="105"/>
        </w:rPr>
        <w:t>demandas</w:t>
      </w:r>
      <w:r>
        <w:rPr>
          <w:color w:val="231F20"/>
          <w:spacing w:val="-11"/>
          <w:w w:val="105"/>
        </w:rPr>
        <w:t> </w:t>
      </w:r>
      <w:r>
        <w:rPr>
          <w:color w:val="231F20"/>
          <w:w w:val="105"/>
        </w:rPr>
        <w:t>en</w:t>
      </w:r>
      <w:r>
        <w:rPr>
          <w:color w:val="231F20"/>
          <w:spacing w:val="-11"/>
          <w:w w:val="105"/>
        </w:rPr>
        <w:t> </w:t>
      </w:r>
      <w:r>
        <w:rPr>
          <w:color w:val="231F20"/>
          <w:w w:val="105"/>
        </w:rPr>
        <w:t>estas</w:t>
      </w:r>
      <w:r>
        <w:rPr>
          <w:color w:val="231F20"/>
          <w:spacing w:val="-11"/>
          <w:w w:val="105"/>
        </w:rPr>
        <w:t> </w:t>
      </w:r>
      <w:r>
        <w:rPr>
          <w:color w:val="231F20"/>
          <w:w w:val="105"/>
        </w:rPr>
        <w:t>áreas.</w:t>
      </w:r>
    </w:p>
    <w:p>
      <w:pPr>
        <w:spacing w:after="0" w:line="285" w:lineRule="auto"/>
        <w:jc w:val="both"/>
        <w:sectPr>
          <w:pgSz w:w="9640" w:h="12190"/>
          <w:pgMar w:header="0" w:footer="743" w:top="1120" w:bottom="940" w:left="740" w:right="740"/>
        </w:sectPr>
      </w:pPr>
    </w:p>
    <w:p>
      <w:pPr>
        <w:pStyle w:val="Heading5"/>
        <w:spacing w:line="285" w:lineRule="auto" w:before="27"/>
        <w:ind w:left="1364" w:right="663" w:hanging="492"/>
      </w:pPr>
      <w:r>
        <w:rPr>
          <w:color w:val="231F20"/>
          <w:w w:val="105"/>
        </w:rPr>
        <w:t>Cuadro</w:t>
      </w:r>
      <w:r>
        <w:rPr>
          <w:color w:val="231F20"/>
          <w:spacing w:val="-21"/>
          <w:w w:val="105"/>
        </w:rPr>
        <w:t> </w:t>
      </w:r>
      <w:r>
        <w:rPr>
          <w:color w:val="231F20"/>
          <w:spacing w:val="-5"/>
          <w:w w:val="105"/>
        </w:rPr>
        <w:t>11.</w:t>
      </w:r>
      <w:r>
        <w:rPr>
          <w:color w:val="231F20"/>
          <w:spacing w:val="-21"/>
          <w:w w:val="105"/>
        </w:rPr>
        <w:t> </w:t>
      </w:r>
      <w:r>
        <w:rPr>
          <w:color w:val="231F20"/>
          <w:w w:val="105"/>
        </w:rPr>
        <w:t>Seguridad</w:t>
      </w:r>
      <w:r>
        <w:rPr>
          <w:color w:val="231F20"/>
          <w:spacing w:val="-21"/>
          <w:w w:val="105"/>
        </w:rPr>
        <w:t> </w:t>
      </w:r>
      <w:r>
        <w:rPr>
          <w:color w:val="231F20"/>
          <w:w w:val="105"/>
        </w:rPr>
        <w:t>Social:</w:t>
      </w:r>
      <w:r>
        <w:rPr>
          <w:color w:val="231F20"/>
          <w:spacing w:val="-21"/>
          <w:w w:val="105"/>
        </w:rPr>
        <w:t> </w:t>
      </w:r>
      <w:r>
        <w:rPr>
          <w:color w:val="231F20"/>
          <w:w w:val="105"/>
        </w:rPr>
        <w:t>Deficiencias,</w:t>
      </w:r>
      <w:r>
        <w:rPr>
          <w:color w:val="231F20"/>
          <w:spacing w:val="-21"/>
          <w:w w:val="105"/>
        </w:rPr>
        <w:t> </w:t>
      </w:r>
      <w:r>
        <w:rPr>
          <w:color w:val="231F20"/>
          <w:w w:val="105"/>
        </w:rPr>
        <w:t>estrategias</w:t>
      </w:r>
      <w:r>
        <w:rPr>
          <w:color w:val="231F20"/>
          <w:spacing w:val="-21"/>
          <w:w w:val="105"/>
        </w:rPr>
        <w:t> </w:t>
      </w:r>
      <w:r>
        <w:rPr>
          <w:color w:val="231F20"/>
          <w:w w:val="105"/>
        </w:rPr>
        <w:t>y</w:t>
      </w:r>
      <w:r>
        <w:rPr>
          <w:color w:val="231F20"/>
          <w:spacing w:val="-21"/>
          <w:w w:val="105"/>
        </w:rPr>
        <w:t> </w:t>
      </w:r>
      <w:r>
        <w:rPr>
          <w:color w:val="231F20"/>
          <w:w w:val="105"/>
        </w:rPr>
        <w:t>resultados del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w w:val="105"/>
        </w:rPr>
        <w:t>Ixtapan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w:t>
      </w:r>
      <w:r>
        <w:rPr>
          <w:color w:val="231F20"/>
          <w:spacing w:val="-12"/>
          <w:w w:val="105"/>
        </w:rPr>
        <w:t> </w:t>
      </w:r>
      <w:r>
        <w:rPr>
          <w:color w:val="231F20"/>
          <w:w w:val="105"/>
        </w:rPr>
        <w:t>(2006-2008)</w:t>
      </w:r>
    </w:p>
    <w:p>
      <w:pPr>
        <w:pStyle w:val="BodyText"/>
        <w:rPr>
          <w:b/>
          <w:sz w:val="20"/>
        </w:rPr>
      </w:pPr>
    </w:p>
    <w:p>
      <w:pPr>
        <w:pStyle w:val="BodyText"/>
        <w:spacing w:before="10"/>
        <w:rPr>
          <w:b/>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52"/>
        <w:gridCol w:w="840"/>
        <w:gridCol w:w="2373"/>
        <w:gridCol w:w="2060"/>
        <w:gridCol w:w="2282"/>
      </w:tblGrid>
      <w:tr>
        <w:trPr>
          <w:trHeight w:val="322" w:hRule="exact"/>
        </w:trPr>
        <w:tc>
          <w:tcPr>
            <w:tcW w:w="352" w:type="dxa"/>
            <w:vMerge w:val="restart"/>
            <w:shd w:val="clear" w:color="auto" w:fill="E6E6E6"/>
            <w:textDirection w:val="btLr"/>
          </w:tcPr>
          <w:p>
            <w:pPr>
              <w:pStyle w:val="TableParagraph"/>
              <w:spacing w:before="70"/>
              <w:ind w:left="197"/>
              <w:rPr>
                <w:b/>
                <w:sz w:val="16"/>
              </w:rPr>
            </w:pPr>
            <w:r>
              <w:rPr>
                <w:b/>
                <w:color w:val="231F20"/>
                <w:spacing w:val="1"/>
                <w:w w:val="85"/>
                <w:sz w:val="16"/>
              </w:rPr>
              <w:t>P</w:t>
            </w:r>
            <w:r>
              <w:rPr>
                <w:b/>
                <w:color w:val="231F20"/>
                <w:spacing w:val="2"/>
                <w:w w:val="91"/>
                <w:sz w:val="16"/>
              </w:rPr>
              <w:t>il</w:t>
            </w:r>
            <w:r>
              <w:rPr>
                <w:b/>
                <w:color w:val="231F20"/>
                <w:spacing w:val="2"/>
                <w:w w:val="85"/>
                <w:sz w:val="16"/>
              </w:rPr>
              <w:t>a</w:t>
            </w:r>
            <w:r>
              <w:rPr>
                <w:b/>
                <w:color w:val="231F20"/>
                <w:w w:val="82"/>
                <w:sz w:val="16"/>
              </w:rPr>
              <w:t>r</w:t>
            </w:r>
          </w:p>
        </w:tc>
        <w:tc>
          <w:tcPr>
            <w:tcW w:w="840" w:type="dxa"/>
            <w:shd w:val="clear" w:color="auto" w:fill="E6E6E6"/>
          </w:tcPr>
          <w:p>
            <w:pPr>
              <w:pStyle w:val="TableParagraph"/>
              <w:spacing w:line="161" w:lineRule="exact"/>
              <w:ind w:left="113" w:right="113"/>
              <w:jc w:val="center"/>
              <w:rPr>
                <w:b/>
                <w:sz w:val="16"/>
              </w:rPr>
            </w:pPr>
            <w:r>
              <w:rPr>
                <w:b/>
                <w:color w:val="231F20"/>
                <w:w w:val="95"/>
                <w:sz w:val="16"/>
              </w:rPr>
              <w:t>Deficien-</w:t>
            </w:r>
          </w:p>
          <w:p>
            <w:pPr>
              <w:pStyle w:val="TableParagraph"/>
              <w:spacing w:line="191" w:lineRule="exact"/>
              <w:ind w:left="113" w:right="111"/>
              <w:jc w:val="center"/>
              <w:rPr>
                <w:b/>
                <w:sz w:val="16"/>
              </w:rPr>
            </w:pPr>
            <w:r>
              <w:rPr>
                <w:b/>
                <w:color w:val="231F20"/>
                <w:w w:val="95"/>
                <w:sz w:val="16"/>
              </w:rPr>
              <w:t>cia</w:t>
            </w:r>
          </w:p>
        </w:tc>
        <w:tc>
          <w:tcPr>
            <w:tcW w:w="2373" w:type="dxa"/>
            <w:vMerge w:val="restart"/>
            <w:shd w:val="clear" w:color="auto" w:fill="E6E6E6"/>
          </w:tcPr>
          <w:p>
            <w:pPr>
              <w:pStyle w:val="TableParagraph"/>
              <w:spacing w:line="161" w:lineRule="exact"/>
              <w:ind w:left="223" w:hanging="87"/>
              <w:rPr>
                <w:b/>
                <w:sz w:val="16"/>
              </w:rPr>
            </w:pPr>
            <w:r>
              <w:rPr>
                <w:b/>
                <w:color w:val="231F20"/>
                <w:w w:val="85"/>
                <w:sz w:val="16"/>
              </w:rPr>
              <w:t>Diagnóstico de acuerdo a PDM e indi-</w:t>
            </w:r>
          </w:p>
          <w:p>
            <w:pPr>
              <w:pStyle w:val="TableParagraph"/>
              <w:spacing w:line="194" w:lineRule="exact"/>
              <w:ind w:left="223"/>
              <w:rPr>
                <w:b/>
                <w:sz w:val="16"/>
              </w:rPr>
            </w:pPr>
            <w:r>
              <w:rPr>
                <w:b/>
                <w:color w:val="231F20"/>
                <w:w w:val="80"/>
                <w:sz w:val="16"/>
              </w:rPr>
              <w:t>cadores de INEGI, CONAPO y PNUD.</w:t>
            </w:r>
          </w:p>
        </w:tc>
        <w:tc>
          <w:tcPr>
            <w:tcW w:w="2060" w:type="dxa"/>
            <w:shd w:val="clear" w:color="auto" w:fill="E6E6E6"/>
          </w:tcPr>
          <w:p>
            <w:pPr>
              <w:pStyle w:val="TableParagraph"/>
              <w:spacing w:line="163" w:lineRule="exact"/>
              <w:ind w:left="191" w:right="191"/>
              <w:jc w:val="center"/>
              <w:rPr>
                <w:b/>
                <w:sz w:val="16"/>
              </w:rPr>
            </w:pPr>
            <w:r>
              <w:rPr>
                <w:b/>
                <w:color w:val="231F20"/>
                <w:w w:val="95"/>
                <w:sz w:val="16"/>
              </w:rPr>
              <w:t>Estrategia</w:t>
            </w:r>
          </w:p>
        </w:tc>
        <w:tc>
          <w:tcPr>
            <w:tcW w:w="2282" w:type="dxa"/>
            <w:tcBorders>
              <w:right w:val="double" w:sz="9" w:space="0" w:color="231F20"/>
            </w:tcBorders>
            <w:shd w:val="clear" w:color="auto" w:fill="E6E6E6"/>
          </w:tcPr>
          <w:p>
            <w:pPr>
              <w:pStyle w:val="TableParagraph"/>
              <w:spacing w:line="163" w:lineRule="exact"/>
              <w:ind w:left="114" w:right="112"/>
              <w:jc w:val="center"/>
              <w:rPr>
                <w:b/>
                <w:sz w:val="16"/>
              </w:rPr>
            </w:pPr>
            <w:r>
              <w:rPr>
                <w:b/>
                <w:color w:val="231F20"/>
                <w:w w:val="95"/>
                <w:sz w:val="16"/>
              </w:rPr>
              <w:t>Resultado</w:t>
            </w:r>
          </w:p>
        </w:tc>
      </w:tr>
      <w:tr>
        <w:trPr>
          <w:trHeight w:val="352" w:hRule="exact"/>
        </w:trPr>
        <w:tc>
          <w:tcPr>
            <w:tcW w:w="352" w:type="dxa"/>
            <w:vMerge/>
            <w:shd w:val="clear" w:color="auto" w:fill="E6E6E6"/>
            <w:textDirection w:val="btLr"/>
          </w:tcPr>
          <w:p>
            <w:pPr/>
          </w:p>
        </w:tc>
        <w:tc>
          <w:tcPr>
            <w:tcW w:w="840" w:type="dxa"/>
            <w:shd w:val="clear" w:color="auto" w:fill="E6E6E6"/>
          </w:tcPr>
          <w:p>
            <w:pPr>
              <w:pStyle w:val="TableParagraph"/>
              <w:spacing w:line="163" w:lineRule="exact"/>
              <w:ind w:left="141"/>
              <w:rPr>
                <w:b/>
                <w:sz w:val="16"/>
              </w:rPr>
            </w:pPr>
            <w:r>
              <w:rPr>
                <w:b/>
                <w:color w:val="231F20"/>
                <w:w w:val="95"/>
                <w:sz w:val="16"/>
              </w:rPr>
              <w:t>Indicador</w:t>
            </w:r>
          </w:p>
        </w:tc>
        <w:tc>
          <w:tcPr>
            <w:tcW w:w="2373" w:type="dxa"/>
            <w:vMerge/>
            <w:shd w:val="clear" w:color="auto" w:fill="E6E6E6"/>
          </w:tcPr>
          <w:p>
            <w:pPr/>
          </w:p>
        </w:tc>
        <w:tc>
          <w:tcPr>
            <w:tcW w:w="2060" w:type="dxa"/>
            <w:shd w:val="clear" w:color="auto" w:fill="E6E6E6"/>
          </w:tcPr>
          <w:p>
            <w:pPr>
              <w:pStyle w:val="TableParagraph"/>
              <w:spacing w:line="161" w:lineRule="exact"/>
              <w:ind w:left="192" w:right="191"/>
              <w:jc w:val="center"/>
              <w:rPr>
                <w:b/>
                <w:sz w:val="16"/>
              </w:rPr>
            </w:pPr>
            <w:r>
              <w:rPr>
                <w:b/>
                <w:color w:val="231F20"/>
                <w:w w:val="85"/>
                <w:sz w:val="16"/>
              </w:rPr>
              <w:t>Plan de Desarrollo Municipal</w:t>
            </w:r>
          </w:p>
          <w:p>
            <w:pPr>
              <w:pStyle w:val="TableParagraph"/>
              <w:spacing w:line="194" w:lineRule="exact"/>
              <w:ind w:left="191" w:right="191"/>
              <w:jc w:val="center"/>
              <w:rPr>
                <w:b/>
                <w:sz w:val="16"/>
              </w:rPr>
            </w:pPr>
            <w:r>
              <w:rPr>
                <w:b/>
                <w:color w:val="231F20"/>
                <w:w w:val="95"/>
                <w:sz w:val="16"/>
              </w:rPr>
              <w:t>(2006-2009)</w:t>
            </w:r>
          </w:p>
        </w:tc>
        <w:tc>
          <w:tcPr>
            <w:tcW w:w="2282" w:type="dxa"/>
            <w:tcBorders>
              <w:right w:val="double" w:sz="9" w:space="0" w:color="231F20"/>
            </w:tcBorders>
            <w:shd w:val="clear" w:color="auto" w:fill="E6E6E6"/>
          </w:tcPr>
          <w:p>
            <w:pPr>
              <w:pStyle w:val="TableParagraph"/>
              <w:spacing w:line="161" w:lineRule="exact"/>
              <w:ind w:left="114" w:right="114"/>
              <w:jc w:val="center"/>
              <w:rPr>
                <w:b/>
                <w:sz w:val="16"/>
              </w:rPr>
            </w:pPr>
            <w:r>
              <w:rPr>
                <w:b/>
                <w:color w:val="231F20"/>
                <w:w w:val="85"/>
                <w:sz w:val="16"/>
              </w:rPr>
              <w:t>Segundo Informe de Gobierno</w:t>
            </w:r>
          </w:p>
          <w:p>
            <w:pPr>
              <w:pStyle w:val="TableParagraph"/>
              <w:spacing w:line="194" w:lineRule="exact"/>
              <w:ind w:left="114" w:right="114"/>
              <w:jc w:val="center"/>
              <w:rPr>
                <w:b/>
                <w:sz w:val="16"/>
              </w:rPr>
            </w:pPr>
            <w:r>
              <w:rPr>
                <w:b/>
                <w:color w:val="231F20"/>
                <w:w w:val="95"/>
                <w:sz w:val="16"/>
              </w:rPr>
              <w:t>(2008)</w:t>
            </w:r>
          </w:p>
        </w:tc>
      </w:tr>
      <w:tr>
        <w:trPr>
          <w:trHeight w:val="206" w:hRule="exact"/>
        </w:trPr>
        <w:tc>
          <w:tcPr>
            <w:tcW w:w="352" w:type="dxa"/>
            <w:vMerge w:val="restart"/>
            <w:textDirection w:val="btLr"/>
          </w:tcPr>
          <w:p>
            <w:pPr>
              <w:pStyle w:val="TableParagraph"/>
              <w:spacing w:before="70"/>
              <w:ind w:left="672"/>
              <w:rPr>
                <w:sz w:val="16"/>
              </w:rPr>
            </w:pPr>
            <w:r>
              <w:rPr>
                <w:color w:val="231F20"/>
                <w:spacing w:val="2"/>
                <w:w w:val="75"/>
                <w:sz w:val="16"/>
              </w:rPr>
              <w:t>Se</w:t>
            </w:r>
            <w:r>
              <w:rPr>
                <w:color w:val="231F20"/>
                <w:spacing w:val="1"/>
                <w:w w:val="84"/>
                <w:sz w:val="16"/>
              </w:rPr>
              <w:t>g</w:t>
            </w:r>
            <w:r>
              <w:rPr>
                <w:color w:val="231F20"/>
                <w:spacing w:val="1"/>
                <w:w w:val="75"/>
                <w:sz w:val="16"/>
              </w:rPr>
              <w:t>u</w:t>
            </w:r>
            <w:r>
              <w:rPr>
                <w:color w:val="231F20"/>
                <w:spacing w:val="2"/>
                <w:w w:val="71"/>
                <w:sz w:val="16"/>
              </w:rPr>
              <w:t>r</w:t>
            </w:r>
            <w:r>
              <w:rPr>
                <w:color w:val="231F20"/>
                <w:spacing w:val="1"/>
                <w:w w:val="80"/>
                <w:sz w:val="16"/>
              </w:rPr>
              <w:t>i</w:t>
            </w:r>
            <w:r>
              <w:rPr>
                <w:color w:val="231F20"/>
                <w:spacing w:val="1"/>
                <w:w w:val="75"/>
                <w:sz w:val="16"/>
              </w:rPr>
              <w:t>d</w:t>
            </w:r>
            <w:r>
              <w:rPr>
                <w:color w:val="231F20"/>
                <w:spacing w:val="1"/>
                <w:w w:val="75"/>
                <w:sz w:val="16"/>
              </w:rPr>
              <w:t>a</w:t>
            </w:r>
            <w:r>
              <w:rPr>
                <w:color w:val="231F20"/>
                <w:w w:val="75"/>
                <w:sz w:val="16"/>
              </w:rPr>
              <w:t>d</w:t>
            </w:r>
            <w:r>
              <w:rPr>
                <w:color w:val="231F20"/>
                <w:spacing w:val="-12"/>
                <w:sz w:val="16"/>
              </w:rPr>
              <w:t> </w:t>
            </w:r>
            <w:r>
              <w:rPr>
                <w:color w:val="231F20"/>
                <w:spacing w:val="2"/>
                <w:w w:val="73"/>
                <w:sz w:val="16"/>
              </w:rPr>
              <w:t>soc</w:t>
            </w:r>
            <w:r>
              <w:rPr>
                <w:color w:val="231F20"/>
                <w:spacing w:val="1"/>
                <w:w w:val="73"/>
                <w:sz w:val="16"/>
              </w:rPr>
              <w:t>i</w:t>
            </w:r>
            <w:r>
              <w:rPr>
                <w:color w:val="231F20"/>
                <w:spacing w:val="1"/>
                <w:w w:val="75"/>
                <w:sz w:val="16"/>
              </w:rPr>
              <w:t>a</w:t>
            </w:r>
            <w:r>
              <w:rPr>
                <w:color w:val="231F20"/>
                <w:w w:val="83"/>
                <w:sz w:val="16"/>
              </w:rPr>
              <w:t>l</w:t>
            </w:r>
          </w:p>
        </w:tc>
        <w:tc>
          <w:tcPr>
            <w:tcW w:w="840" w:type="dxa"/>
            <w:vMerge w:val="restart"/>
          </w:tcPr>
          <w:p>
            <w:pPr>
              <w:pStyle w:val="TableParagraph"/>
              <w:spacing w:line="163" w:lineRule="exact"/>
              <w:ind w:left="160"/>
              <w:rPr>
                <w:sz w:val="16"/>
              </w:rPr>
            </w:pPr>
            <w:r>
              <w:rPr>
                <w:color w:val="231F20"/>
                <w:w w:val="85"/>
                <w:sz w:val="16"/>
              </w:rPr>
              <w:t>Educación</w:t>
            </w:r>
          </w:p>
        </w:tc>
        <w:tc>
          <w:tcPr>
            <w:tcW w:w="2373" w:type="dxa"/>
          </w:tcPr>
          <w:p>
            <w:pPr>
              <w:pStyle w:val="TableParagraph"/>
              <w:spacing w:line="163" w:lineRule="exact"/>
              <w:ind w:left="272" w:right="272"/>
              <w:jc w:val="center"/>
              <w:rPr>
                <w:sz w:val="16"/>
              </w:rPr>
            </w:pPr>
            <w:r>
              <w:rPr>
                <w:color w:val="231F20"/>
                <w:w w:val="80"/>
                <w:sz w:val="16"/>
              </w:rPr>
              <w:t>Tasa alta de rezago educativo</w:t>
            </w:r>
          </w:p>
        </w:tc>
        <w:tc>
          <w:tcPr>
            <w:tcW w:w="2060" w:type="dxa"/>
            <w:vMerge w:val="restart"/>
          </w:tcPr>
          <w:p>
            <w:pPr>
              <w:pStyle w:val="TableParagraph"/>
              <w:spacing w:line="161" w:lineRule="exact"/>
              <w:ind w:left="185" w:right="102" w:firstLine="4"/>
              <w:rPr>
                <w:sz w:val="16"/>
              </w:rPr>
            </w:pPr>
            <w:r>
              <w:rPr>
                <w:color w:val="231F20"/>
                <w:w w:val="75"/>
                <w:sz w:val="16"/>
              </w:rPr>
              <w:t>Equipar instalaciones educativas.</w:t>
            </w:r>
          </w:p>
          <w:p>
            <w:pPr>
              <w:pStyle w:val="TableParagraph"/>
              <w:spacing w:line="235" w:lineRule="auto" w:before="1"/>
              <w:ind w:left="480" w:right="102" w:hanging="295"/>
              <w:rPr>
                <w:sz w:val="16"/>
              </w:rPr>
            </w:pPr>
            <w:r>
              <w:rPr>
                <w:color w:val="231F20"/>
                <w:w w:val="80"/>
                <w:sz w:val="16"/>
              </w:rPr>
              <w:t>Meta: 2 universidades y manteni- </w:t>
            </w:r>
            <w:r>
              <w:rPr>
                <w:color w:val="231F20"/>
                <w:w w:val="75"/>
                <w:sz w:val="16"/>
              </w:rPr>
              <w:t>miento de 96 centros.</w:t>
            </w:r>
          </w:p>
        </w:tc>
        <w:tc>
          <w:tcPr>
            <w:tcW w:w="2282" w:type="dxa"/>
            <w:vMerge w:val="restart"/>
            <w:tcBorders>
              <w:right w:val="double" w:sz="9" w:space="0" w:color="231F20"/>
            </w:tcBorders>
          </w:tcPr>
          <w:p>
            <w:pPr>
              <w:pStyle w:val="TableParagraph"/>
              <w:spacing w:line="161" w:lineRule="exact"/>
              <w:ind w:left="114" w:right="114"/>
              <w:jc w:val="center"/>
              <w:rPr>
                <w:sz w:val="16"/>
              </w:rPr>
            </w:pPr>
            <w:r>
              <w:rPr>
                <w:color w:val="231F20"/>
                <w:w w:val="75"/>
                <w:sz w:val="16"/>
              </w:rPr>
              <w:t>“Invítame a tus honores”, otorgamiento</w:t>
            </w:r>
          </w:p>
          <w:p>
            <w:pPr>
              <w:pStyle w:val="TableParagraph"/>
              <w:spacing w:line="235" w:lineRule="auto" w:before="1"/>
              <w:ind w:left="114" w:right="112"/>
              <w:jc w:val="center"/>
              <w:rPr>
                <w:sz w:val="16"/>
              </w:rPr>
            </w:pPr>
            <w:r>
              <w:rPr>
                <w:color w:val="231F20"/>
                <w:w w:val="80"/>
                <w:sz w:val="16"/>
              </w:rPr>
              <w:t>de computadoras, botes de pintura, </w:t>
            </w:r>
            <w:r>
              <w:rPr>
                <w:color w:val="231F20"/>
                <w:w w:val="75"/>
                <w:sz w:val="16"/>
              </w:rPr>
              <w:t>materiales de construcción, pizarrones y equipos de sonido (Recurso mixto)</w:t>
            </w:r>
          </w:p>
          <w:p>
            <w:pPr>
              <w:pStyle w:val="TableParagraph"/>
              <w:spacing w:line="235" w:lineRule="auto"/>
              <w:ind w:left="135" w:right="115" w:firstLine="117"/>
              <w:rPr>
                <w:sz w:val="16"/>
              </w:rPr>
            </w:pPr>
            <w:r>
              <w:rPr>
                <w:color w:val="231F20"/>
                <w:w w:val="80"/>
                <w:sz w:val="16"/>
              </w:rPr>
              <w:t>“Mil aulas, mil esfuerzos: gobierno que cumple” otorgamiento de apoyos </w:t>
            </w:r>
            <w:r>
              <w:rPr>
                <w:color w:val="231F20"/>
                <w:w w:val="75"/>
                <w:sz w:val="16"/>
              </w:rPr>
              <w:t>para infraestructura educativa (recurso</w:t>
            </w:r>
          </w:p>
          <w:p>
            <w:pPr>
              <w:pStyle w:val="TableParagraph"/>
              <w:spacing w:line="190" w:lineRule="exact"/>
              <w:ind w:left="114" w:right="114"/>
              <w:jc w:val="center"/>
              <w:rPr>
                <w:sz w:val="16"/>
              </w:rPr>
            </w:pPr>
            <w:r>
              <w:rPr>
                <w:color w:val="231F20"/>
                <w:w w:val="85"/>
                <w:sz w:val="16"/>
              </w:rPr>
              <w:t>estatal)</w:t>
            </w:r>
          </w:p>
        </w:tc>
      </w:tr>
      <w:tr>
        <w:trPr>
          <w:trHeight w:val="1268" w:hRule="exact"/>
        </w:trPr>
        <w:tc>
          <w:tcPr>
            <w:tcW w:w="352" w:type="dxa"/>
            <w:vMerge/>
            <w:textDirection w:val="btLr"/>
          </w:tcPr>
          <w:p>
            <w:pPr/>
          </w:p>
        </w:tc>
        <w:tc>
          <w:tcPr>
            <w:tcW w:w="840" w:type="dxa"/>
            <w:vMerge/>
          </w:tcPr>
          <w:p>
            <w:pPr/>
          </w:p>
        </w:tc>
        <w:tc>
          <w:tcPr>
            <w:tcW w:w="2373" w:type="dxa"/>
          </w:tcPr>
          <w:p>
            <w:pPr>
              <w:pStyle w:val="TableParagraph"/>
              <w:spacing w:line="161" w:lineRule="exact"/>
              <w:ind w:left="272" w:right="272"/>
              <w:jc w:val="center"/>
              <w:rPr>
                <w:sz w:val="16"/>
              </w:rPr>
            </w:pPr>
            <w:r>
              <w:rPr>
                <w:color w:val="231F20"/>
                <w:w w:val="75"/>
                <w:sz w:val="16"/>
              </w:rPr>
              <w:t>Concentración de instalaciones en la</w:t>
            </w:r>
          </w:p>
          <w:p>
            <w:pPr>
              <w:pStyle w:val="TableParagraph"/>
              <w:spacing w:line="194" w:lineRule="exact"/>
              <w:ind w:left="272" w:right="272"/>
              <w:jc w:val="center"/>
              <w:rPr>
                <w:sz w:val="16"/>
              </w:rPr>
            </w:pPr>
            <w:r>
              <w:rPr>
                <w:color w:val="231F20"/>
                <w:w w:val="75"/>
                <w:sz w:val="16"/>
              </w:rPr>
              <w:t>cabecera municipal.</w:t>
            </w:r>
          </w:p>
        </w:tc>
        <w:tc>
          <w:tcPr>
            <w:tcW w:w="2060" w:type="dxa"/>
            <w:vMerge/>
          </w:tcPr>
          <w:p>
            <w:pPr/>
          </w:p>
        </w:tc>
        <w:tc>
          <w:tcPr>
            <w:tcW w:w="2282" w:type="dxa"/>
            <w:vMerge/>
            <w:tcBorders>
              <w:right w:val="double" w:sz="9" w:space="0" w:color="231F20"/>
            </w:tcBorders>
          </w:tcPr>
          <w:p>
            <w:pPr/>
          </w:p>
        </w:tc>
      </w:tr>
      <w:tr>
        <w:trPr>
          <w:trHeight w:val="236" w:hRule="exact"/>
        </w:trPr>
        <w:tc>
          <w:tcPr>
            <w:tcW w:w="352" w:type="dxa"/>
            <w:vMerge/>
            <w:textDirection w:val="btLr"/>
          </w:tcPr>
          <w:p>
            <w:pPr/>
          </w:p>
        </w:tc>
        <w:tc>
          <w:tcPr>
            <w:tcW w:w="840" w:type="dxa"/>
            <w:vMerge w:val="restart"/>
          </w:tcPr>
          <w:p>
            <w:pPr>
              <w:pStyle w:val="TableParagraph"/>
              <w:spacing w:line="163" w:lineRule="exact"/>
              <w:ind w:left="274"/>
              <w:rPr>
                <w:sz w:val="16"/>
              </w:rPr>
            </w:pPr>
            <w:r>
              <w:rPr>
                <w:color w:val="231F20"/>
                <w:w w:val="90"/>
                <w:sz w:val="16"/>
              </w:rPr>
              <w:t>Salud</w:t>
            </w:r>
          </w:p>
        </w:tc>
        <w:tc>
          <w:tcPr>
            <w:tcW w:w="2373" w:type="dxa"/>
          </w:tcPr>
          <w:p>
            <w:pPr>
              <w:pStyle w:val="TableParagraph"/>
              <w:spacing w:line="163" w:lineRule="exact"/>
              <w:ind w:left="272" w:right="272"/>
              <w:jc w:val="center"/>
              <w:rPr>
                <w:sz w:val="16"/>
              </w:rPr>
            </w:pPr>
            <w:r>
              <w:rPr>
                <w:color w:val="231F20"/>
                <w:w w:val="80"/>
                <w:sz w:val="16"/>
              </w:rPr>
              <w:t>Rezago (54%)</w:t>
            </w:r>
          </w:p>
        </w:tc>
        <w:tc>
          <w:tcPr>
            <w:tcW w:w="2060" w:type="dxa"/>
            <w:vMerge w:val="restart"/>
          </w:tcPr>
          <w:p>
            <w:pPr>
              <w:pStyle w:val="TableParagraph"/>
              <w:spacing w:line="161" w:lineRule="exact"/>
              <w:ind w:left="197" w:right="102" w:firstLine="16"/>
              <w:rPr>
                <w:sz w:val="16"/>
              </w:rPr>
            </w:pPr>
            <w:r>
              <w:rPr>
                <w:color w:val="231F20"/>
                <w:w w:val="75"/>
                <w:sz w:val="16"/>
              </w:rPr>
              <w:t>Construir más unidades médicas</w:t>
            </w:r>
          </w:p>
          <w:p>
            <w:pPr>
              <w:pStyle w:val="TableParagraph"/>
              <w:spacing w:line="235" w:lineRule="auto" w:before="1"/>
              <w:ind w:left="816" w:right="111" w:hanging="619"/>
              <w:rPr>
                <w:sz w:val="16"/>
              </w:rPr>
            </w:pPr>
            <w:r>
              <w:rPr>
                <w:color w:val="231F20"/>
                <w:w w:val="80"/>
                <w:sz w:val="16"/>
              </w:rPr>
              <w:t>en localidades donde no existe el </w:t>
            </w:r>
            <w:r>
              <w:rPr>
                <w:color w:val="231F20"/>
                <w:w w:val="85"/>
                <w:sz w:val="16"/>
              </w:rPr>
              <w:t>servicio.</w:t>
            </w:r>
          </w:p>
        </w:tc>
        <w:tc>
          <w:tcPr>
            <w:tcW w:w="2282" w:type="dxa"/>
            <w:vMerge w:val="restart"/>
            <w:tcBorders>
              <w:right w:val="double" w:sz="9" w:space="0" w:color="231F20"/>
            </w:tcBorders>
          </w:tcPr>
          <w:p>
            <w:pPr>
              <w:pStyle w:val="TableParagraph"/>
              <w:spacing w:line="161" w:lineRule="exact"/>
              <w:ind w:left="114" w:right="114"/>
              <w:jc w:val="center"/>
              <w:rPr>
                <w:sz w:val="16"/>
              </w:rPr>
            </w:pPr>
            <w:r>
              <w:rPr>
                <w:color w:val="231F20"/>
                <w:w w:val="80"/>
                <w:sz w:val="16"/>
              </w:rPr>
              <w:t>“2° Ixtatón” para adquirir equipo para</w:t>
            </w:r>
          </w:p>
          <w:p>
            <w:pPr>
              <w:pStyle w:val="TableParagraph"/>
              <w:spacing w:line="192" w:lineRule="exact"/>
              <w:ind w:left="114" w:right="114"/>
              <w:jc w:val="center"/>
              <w:rPr>
                <w:sz w:val="16"/>
              </w:rPr>
            </w:pPr>
            <w:r>
              <w:rPr>
                <w:color w:val="231F20"/>
                <w:w w:val="75"/>
                <w:sz w:val="16"/>
              </w:rPr>
              <w:t>clínicas de rehabilitación.</w:t>
            </w:r>
          </w:p>
          <w:p>
            <w:pPr>
              <w:pStyle w:val="TableParagraph"/>
              <w:spacing w:line="235" w:lineRule="auto" w:before="1"/>
              <w:ind w:left="190" w:right="188"/>
              <w:jc w:val="center"/>
              <w:rPr>
                <w:sz w:val="16"/>
              </w:rPr>
            </w:pPr>
            <w:r>
              <w:rPr>
                <w:color w:val="231F20"/>
                <w:w w:val="80"/>
                <w:sz w:val="16"/>
              </w:rPr>
              <w:t>Apoyo</w:t>
            </w:r>
            <w:r>
              <w:rPr>
                <w:color w:val="231F20"/>
                <w:spacing w:val="-20"/>
                <w:w w:val="80"/>
                <w:sz w:val="16"/>
              </w:rPr>
              <w:t> </w:t>
            </w:r>
            <w:r>
              <w:rPr>
                <w:color w:val="231F20"/>
                <w:w w:val="80"/>
                <w:sz w:val="16"/>
              </w:rPr>
              <w:t>económico</w:t>
            </w:r>
            <w:r>
              <w:rPr>
                <w:color w:val="231F20"/>
                <w:spacing w:val="-20"/>
                <w:w w:val="80"/>
                <w:sz w:val="16"/>
              </w:rPr>
              <w:t> </w:t>
            </w:r>
            <w:r>
              <w:rPr>
                <w:color w:val="231F20"/>
                <w:w w:val="80"/>
                <w:sz w:val="16"/>
              </w:rPr>
              <w:t>a</w:t>
            </w:r>
            <w:r>
              <w:rPr>
                <w:color w:val="231F20"/>
                <w:spacing w:val="-20"/>
                <w:w w:val="80"/>
                <w:sz w:val="16"/>
              </w:rPr>
              <w:t> </w:t>
            </w:r>
            <w:r>
              <w:rPr>
                <w:color w:val="231F20"/>
                <w:w w:val="80"/>
                <w:sz w:val="16"/>
              </w:rPr>
              <w:t>un</w:t>
            </w:r>
            <w:r>
              <w:rPr>
                <w:color w:val="231F20"/>
                <w:spacing w:val="-20"/>
                <w:w w:val="80"/>
                <w:sz w:val="16"/>
              </w:rPr>
              <w:t> </w:t>
            </w:r>
            <w:r>
              <w:rPr>
                <w:color w:val="231F20"/>
                <w:w w:val="80"/>
                <w:sz w:val="16"/>
              </w:rPr>
              <w:t>ixtapense</w:t>
            </w:r>
            <w:r>
              <w:rPr>
                <w:color w:val="231F20"/>
                <w:spacing w:val="-20"/>
                <w:w w:val="80"/>
                <w:sz w:val="16"/>
              </w:rPr>
              <w:t> </w:t>
            </w:r>
            <w:r>
              <w:rPr>
                <w:color w:val="231F20"/>
                <w:w w:val="80"/>
                <w:sz w:val="16"/>
              </w:rPr>
              <w:t>que </w:t>
            </w:r>
            <w:r>
              <w:rPr>
                <w:color w:val="231F20"/>
                <w:w w:val="75"/>
                <w:sz w:val="16"/>
              </w:rPr>
              <w:t>fue</w:t>
            </w:r>
            <w:r>
              <w:rPr>
                <w:color w:val="231F20"/>
                <w:spacing w:val="4"/>
                <w:w w:val="75"/>
                <w:sz w:val="16"/>
              </w:rPr>
              <w:t> </w:t>
            </w:r>
            <w:r>
              <w:rPr>
                <w:color w:val="231F20"/>
                <w:w w:val="75"/>
                <w:sz w:val="16"/>
              </w:rPr>
              <w:t>operado.</w:t>
            </w:r>
          </w:p>
        </w:tc>
      </w:tr>
      <w:tr>
        <w:trPr>
          <w:trHeight w:val="470" w:hRule="exact"/>
        </w:trPr>
        <w:tc>
          <w:tcPr>
            <w:tcW w:w="352" w:type="dxa"/>
            <w:vMerge/>
            <w:textDirection w:val="btLr"/>
          </w:tcPr>
          <w:p>
            <w:pPr/>
          </w:p>
        </w:tc>
        <w:tc>
          <w:tcPr>
            <w:tcW w:w="840" w:type="dxa"/>
            <w:vMerge/>
          </w:tcPr>
          <w:p>
            <w:pPr/>
          </w:p>
        </w:tc>
        <w:tc>
          <w:tcPr>
            <w:tcW w:w="2373" w:type="dxa"/>
          </w:tcPr>
          <w:p>
            <w:pPr>
              <w:pStyle w:val="TableParagraph"/>
              <w:spacing w:line="163" w:lineRule="exact"/>
              <w:ind w:left="272" w:right="270"/>
              <w:jc w:val="center"/>
              <w:rPr>
                <w:sz w:val="16"/>
              </w:rPr>
            </w:pPr>
            <w:r>
              <w:rPr>
                <w:color w:val="231F20"/>
                <w:w w:val="75"/>
                <w:sz w:val="16"/>
              </w:rPr>
              <w:t>Déficit de infraestructura</w:t>
            </w:r>
          </w:p>
        </w:tc>
        <w:tc>
          <w:tcPr>
            <w:tcW w:w="2060" w:type="dxa"/>
            <w:vMerge/>
          </w:tcPr>
          <w:p>
            <w:pPr/>
          </w:p>
        </w:tc>
        <w:tc>
          <w:tcPr>
            <w:tcW w:w="2282" w:type="dxa"/>
            <w:vMerge/>
            <w:tcBorders>
              <w:right w:val="double" w:sz="9" w:space="0" w:color="231F20"/>
            </w:tcBorders>
          </w:tcPr>
          <w:p>
            <w:pPr/>
          </w:p>
        </w:tc>
      </w:tr>
      <w:tr>
        <w:trPr>
          <w:trHeight w:val="148" w:hRule="exact"/>
        </w:trPr>
        <w:tc>
          <w:tcPr>
            <w:tcW w:w="7908" w:type="dxa"/>
            <w:gridSpan w:val="5"/>
          </w:tcPr>
          <w:p>
            <w:pPr>
              <w:pStyle w:val="TableParagraph"/>
              <w:spacing w:line="163" w:lineRule="exact"/>
              <w:ind w:left="3216" w:right="3186"/>
              <w:jc w:val="center"/>
              <w:rPr>
                <w:sz w:val="16"/>
              </w:rPr>
            </w:pPr>
            <w:r>
              <w:rPr>
                <w:color w:val="231F20"/>
                <w:w w:val="80"/>
                <w:sz w:val="16"/>
              </w:rPr>
              <w:t>No contemplados en el plan</w:t>
            </w:r>
          </w:p>
        </w:tc>
      </w:tr>
      <w:tr>
        <w:trPr>
          <w:trHeight w:val="392" w:hRule="exact"/>
        </w:trPr>
        <w:tc>
          <w:tcPr>
            <w:tcW w:w="3566" w:type="dxa"/>
            <w:gridSpan w:val="3"/>
            <w:vMerge w:val="restart"/>
          </w:tcPr>
          <w:p>
            <w:pPr/>
          </w:p>
        </w:tc>
        <w:tc>
          <w:tcPr>
            <w:tcW w:w="2060" w:type="dxa"/>
          </w:tcPr>
          <w:p>
            <w:pPr>
              <w:pStyle w:val="TableParagraph"/>
              <w:spacing w:before="99"/>
              <w:ind w:left="191" w:right="191"/>
              <w:jc w:val="center"/>
              <w:rPr>
                <w:sz w:val="16"/>
              </w:rPr>
            </w:pPr>
            <w:r>
              <w:rPr>
                <w:color w:val="231F20"/>
                <w:w w:val="85"/>
                <w:sz w:val="16"/>
              </w:rPr>
              <w:t>Niñez</w:t>
            </w:r>
          </w:p>
        </w:tc>
        <w:tc>
          <w:tcPr>
            <w:tcW w:w="2282" w:type="dxa"/>
          </w:tcPr>
          <w:p>
            <w:pPr>
              <w:pStyle w:val="TableParagraph"/>
              <w:spacing w:line="192" w:lineRule="exact" w:before="1"/>
              <w:ind w:left="139" w:firstLine="23"/>
              <w:rPr>
                <w:sz w:val="16"/>
              </w:rPr>
            </w:pPr>
            <w:r>
              <w:rPr>
                <w:color w:val="231F20"/>
                <w:w w:val="75"/>
                <w:sz w:val="16"/>
              </w:rPr>
              <w:t>“Oportunidades” programa federal que otorga recursos en efectivo y despensas.</w:t>
            </w:r>
          </w:p>
        </w:tc>
      </w:tr>
      <w:tr>
        <w:trPr>
          <w:trHeight w:val="342" w:hRule="exact"/>
        </w:trPr>
        <w:tc>
          <w:tcPr>
            <w:tcW w:w="3566" w:type="dxa"/>
            <w:gridSpan w:val="3"/>
            <w:vMerge/>
          </w:tcPr>
          <w:p>
            <w:pPr/>
          </w:p>
        </w:tc>
        <w:tc>
          <w:tcPr>
            <w:tcW w:w="2060" w:type="dxa"/>
            <w:vMerge w:val="restart"/>
          </w:tcPr>
          <w:p>
            <w:pPr>
              <w:pStyle w:val="TableParagraph"/>
              <w:spacing w:before="3"/>
              <w:ind w:left="0"/>
              <w:rPr>
                <w:rFonts w:ascii="Times New Roman"/>
                <w:b/>
                <w:sz w:val="21"/>
              </w:rPr>
            </w:pPr>
          </w:p>
          <w:p>
            <w:pPr>
              <w:pStyle w:val="TableParagraph"/>
              <w:ind w:left="606" w:right="102"/>
              <w:rPr>
                <w:sz w:val="16"/>
              </w:rPr>
            </w:pPr>
            <w:r>
              <w:rPr>
                <w:color w:val="231F20"/>
                <w:w w:val="75"/>
                <w:sz w:val="16"/>
              </w:rPr>
              <w:t>Adultos mayores</w:t>
            </w:r>
          </w:p>
        </w:tc>
        <w:tc>
          <w:tcPr>
            <w:tcW w:w="2282" w:type="dxa"/>
          </w:tcPr>
          <w:p>
            <w:pPr>
              <w:pStyle w:val="TableParagraph"/>
              <w:spacing w:line="163" w:lineRule="exact"/>
              <w:ind w:left="122" w:right="92"/>
              <w:jc w:val="center"/>
              <w:rPr>
                <w:sz w:val="16"/>
              </w:rPr>
            </w:pPr>
            <w:r>
              <w:rPr>
                <w:color w:val="231F20"/>
                <w:w w:val="75"/>
                <w:sz w:val="16"/>
              </w:rPr>
              <w:t>“Setenta y más”, apoyos económicos.</w:t>
            </w:r>
          </w:p>
        </w:tc>
      </w:tr>
      <w:tr>
        <w:trPr>
          <w:trHeight w:val="342" w:hRule="exact"/>
        </w:trPr>
        <w:tc>
          <w:tcPr>
            <w:tcW w:w="3566" w:type="dxa"/>
            <w:gridSpan w:val="3"/>
            <w:vMerge/>
          </w:tcPr>
          <w:p>
            <w:pPr/>
          </w:p>
        </w:tc>
        <w:tc>
          <w:tcPr>
            <w:tcW w:w="2060" w:type="dxa"/>
            <w:vMerge/>
          </w:tcPr>
          <w:p>
            <w:pPr/>
          </w:p>
        </w:tc>
        <w:tc>
          <w:tcPr>
            <w:tcW w:w="2282" w:type="dxa"/>
          </w:tcPr>
          <w:p>
            <w:pPr>
              <w:pStyle w:val="TableParagraph"/>
              <w:spacing w:line="162" w:lineRule="exact"/>
              <w:ind w:left="122" w:right="92"/>
              <w:jc w:val="center"/>
              <w:rPr>
                <w:sz w:val="16"/>
              </w:rPr>
            </w:pPr>
            <w:r>
              <w:rPr>
                <w:color w:val="231F20"/>
                <w:w w:val="75"/>
                <w:sz w:val="16"/>
              </w:rPr>
              <w:t>Conformación de red de adultos mayores</w:t>
            </w:r>
          </w:p>
          <w:p>
            <w:pPr>
              <w:pStyle w:val="TableParagraph"/>
              <w:spacing w:line="194" w:lineRule="exact"/>
              <w:ind w:left="122" w:right="92"/>
              <w:jc w:val="center"/>
              <w:rPr>
                <w:sz w:val="16"/>
              </w:rPr>
            </w:pPr>
            <w:r>
              <w:rPr>
                <w:color w:val="231F20"/>
                <w:w w:val="75"/>
                <w:sz w:val="16"/>
              </w:rPr>
              <w:t>(Recursos propios)</w:t>
            </w:r>
          </w:p>
        </w:tc>
      </w:tr>
      <w:tr>
        <w:trPr>
          <w:trHeight w:val="441" w:hRule="exact"/>
        </w:trPr>
        <w:tc>
          <w:tcPr>
            <w:tcW w:w="3566" w:type="dxa"/>
            <w:gridSpan w:val="3"/>
          </w:tcPr>
          <w:p>
            <w:pPr/>
          </w:p>
        </w:tc>
        <w:tc>
          <w:tcPr>
            <w:tcW w:w="2060" w:type="dxa"/>
          </w:tcPr>
          <w:p>
            <w:pPr>
              <w:pStyle w:val="TableParagraph"/>
              <w:spacing w:before="123"/>
              <w:ind w:left="192" w:right="190"/>
              <w:jc w:val="center"/>
              <w:rPr>
                <w:sz w:val="16"/>
              </w:rPr>
            </w:pPr>
            <w:r>
              <w:rPr>
                <w:color w:val="231F20"/>
                <w:w w:val="85"/>
                <w:sz w:val="16"/>
              </w:rPr>
              <w:t>Mujer</w:t>
            </w:r>
          </w:p>
        </w:tc>
        <w:tc>
          <w:tcPr>
            <w:tcW w:w="2282" w:type="dxa"/>
          </w:tcPr>
          <w:p>
            <w:pPr>
              <w:pStyle w:val="TableParagraph"/>
              <w:spacing w:line="162" w:lineRule="exact"/>
              <w:ind w:left="122" w:right="92"/>
              <w:jc w:val="center"/>
              <w:rPr>
                <w:sz w:val="16"/>
              </w:rPr>
            </w:pPr>
            <w:r>
              <w:rPr>
                <w:color w:val="231F20"/>
                <w:w w:val="75"/>
                <w:sz w:val="16"/>
              </w:rPr>
              <w:t>Creación del Consejo Municipal de la</w:t>
            </w:r>
          </w:p>
          <w:p>
            <w:pPr>
              <w:pStyle w:val="TableParagraph"/>
              <w:spacing w:line="194" w:lineRule="exact"/>
              <w:ind w:left="122" w:right="90"/>
              <w:jc w:val="center"/>
              <w:rPr>
                <w:sz w:val="16"/>
              </w:rPr>
            </w:pPr>
            <w:r>
              <w:rPr>
                <w:color w:val="231F20"/>
                <w:w w:val="85"/>
                <w:sz w:val="16"/>
              </w:rPr>
              <w:t>Mujer</w:t>
            </w:r>
          </w:p>
        </w:tc>
      </w:tr>
    </w:tbl>
    <w:p>
      <w:pPr>
        <w:pStyle w:val="BodyText"/>
        <w:rPr>
          <w:b/>
          <w:sz w:val="23"/>
        </w:rPr>
      </w:pPr>
    </w:p>
    <w:p>
      <w:pPr>
        <w:spacing w:before="74"/>
        <w:ind w:left="1206" w:right="0"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pStyle w:val="BodyText"/>
        <w:rPr>
          <w:rFonts w:ascii="Calibri"/>
          <w:sz w:val="16"/>
        </w:rPr>
      </w:pPr>
    </w:p>
    <w:p>
      <w:pPr>
        <w:pStyle w:val="BodyText"/>
        <w:spacing w:before="9"/>
        <w:rPr>
          <w:rFonts w:ascii="Calibri"/>
          <w:sz w:val="12"/>
        </w:rPr>
      </w:pPr>
    </w:p>
    <w:p>
      <w:pPr>
        <w:pStyle w:val="BodyText"/>
        <w:spacing w:line="285" w:lineRule="auto"/>
        <w:ind w:left="110" w:right="146"/>
        <w:jc w:val="both"/>
      </w:pPr>
      <w:r>
        <w:rPr>
          <w:color w:val="231F20"/>
          <w:w w:val="105"/>
        </w:rPr>
        <w:t>Aspectos</w:t>
      </w:r>
      <w:r>
        <w:rPr>
          <w:color w:val="231F20"/>
          <w:spacing w:val="-4"/>
          <w:w w:val="105"/>
        </w:rPr>
        <w:t> </w:t>
      </w:r>
      <w:r>
        <w:rPr>
          <w:color w:val="231F20"/>
          <w:w w:val="105"/>
        </w:rPr>
        <w:t>no</w:t>
      </w:r>
      <w:r>
        <w:rPr>
          <w:color w:val="231F20"/>
          <w:spacing w:val="-4"/>
          <w:w w:val="105"/>
        </w:rPr>
        <w:t> </w:t>
      </w:r>
      <w:r>
        <w:rPr>
          <w:color w:val="231F20"/>
          <w:w w:val="105"/>
        </w:rPr>
        <w:t>previstos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Plan</w:t>
      </w:r>
      <w:r>
        <w:rPr>
          <w:color w:val="231F20"/>
          <w:spacing w:val="-4"/>
          <w:w w:val="105"/>
        </w:rPr>
        <w:t> </w:t>
      </w:r>
      <w:r>
        <w:rPr>
          <w:color w:val="231F20"/>
          <w:w w:val="105"/>
        </w:rPr>
        <w:t>Municipal</w:t>
      </w:r>
      <w:r>
        <w:rPr>
          <w:color w:val="231F20"/>
          <w:spacing w:val="-4"/>
          <w:w w:val="105"/>
        </w:rPr>
        <w:t> </w:t>
      </w:r>
      <w:r>
        <w:rPr>
          <w:color w:val="231F20"/>
          <w:w w:val="105"/>
        </w:rPr>
        <w:t>pero</w:t>
      </w:r>
      <w:r>
        <w:rPr>
          <w:color w:val="231F20"/>
          <w:spacing w:val="-4"/>
          <w:w w:val="105"/>
        </w:rPr>
        <w:t> </w:t>
      </w:r>
      <w:r>
        <w:rPr>
          <w:color w:val="231F20"/>
          <w:w w:val="105"/>
        </w:rPr>
        <w:t>que</w:t>
      </w:r>
      <w:r>
        <w:rPr>
          <w:color w:val="231F20"/>
          <w:spacing w:val="-4"/>
          <w:w w:val="105"/>
        </w:rPr>
        <w:t> </w:t>
      </w:r>
      <w:r>
        <w:rPr>
          <w:color w:val="231F20"/>
          <w:w w:val="105"/>
        </w:rPr>
        <w:t>sí</w:t>
      </w:r>
      <w:r>
        <w:rPr>
          <w:color w:val="231F20"/>
          <w:spacing w:val="-4"/>
          <w:w w:val="105"/>
        </w:rPr>
        <w:t> </w:t>
      </w:r>
      <w:r>
        <w:rPr>
          <w:color w:val="231F20"/>
          <w:w w:val="105"/>
        </w:rPr>
        <w:t>fueron</w:t>
      </w:r>
      <w:r>
        <w:rPr>
          <w:color w:val="231F20"/>
          <w:spacing w:val="-4"/>
          <w:w w:val="105"/>
        </w:rPr>
        <w:t> </w:t>
      </w:r>
      <w:r>
        <w:rPr>
          <w:color w:val="231F20"/>
          <w:w w:val="105"/>
        </w:rPr>
        <w:t>atendidos</w:t>
      </w:r>
      <w:r>
        <w:rPr>
          <w:color w:val="231F20"/>
          <w:spacing w:val="-4"/>
          <w:w w:val="105"/>
        </w:rPr>
        <w:t> </w:t>
      </w:r>
      <w:r>
        <w:rPr>
          <w:color w:val="231F20"/>
          <w:w w:val="105"/>
        </w:rPr>
        <w:t>durante</w:t>
      </w:r>
      <w:r>
        <w:rPr>
          <w:color w:val="231F20"/>
          <w:spacing w:val="-4"/>
          <w:w w:val="105"/>
        </w:rPr>
        <w:t> </w:t>
      </w:r>
      <w:r>
        <w:rPr>
          <w:color w:val="231F20"/>
          <w:spacing w:val="3"/>
          <w:w w:val="105"/>
        </w:rPr>
        <w:t>2008 </w:t>
      </w:r>
      <w:r>
        <w:rPr>
          <w:color w:val="231F20"/>
          <w:w w:val="105"/>
        </w:rPr>
        <w:t>estuvieron</w:t>
      </w:r>
      <w:r>
        <w:rPr>
          <w:color w:val="231F20"/>
          <w:spacing w:val="-12"/>
          <w:w w:val="105"/>
        </w:rPr>
        <w:t> </w:t>
      </w:r>
      <w:r>
        <w:rPr>
          <w:color w:val="231F20"/>
          <w:w w:val="105"/>
        </w:rPr>
        <w:t>relacionados</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niñez,</w:t>
      </w:r>
      <w:r>
        <w:rPr>
          <w:color w:val="231F20"/>
          <w:spacing w:val="-12"/>
          <w:w w:val="105"/>
        </w:rPr>
        <w:t> </w:t>
      </w:r>
      <w:r>
        <w:rPr>
          <w:color w:val="231F20"/>
          <w:w w:val="105"/>
        </w:rPr>
        <w:t>mujeres</w:t>
      </w:r>
      <w:r>
        <w:rPr>
          <w:color w:val="231F20"/>
          <w:spacing w:val="-12"/>
          <w:w w:val="105"/>
        </w:rPr>
        <w:t> </w:t>
      </w:r>
      <w:r>
        <w:rPr>
          <w:color w:val="231F20"/>
          <w:w w:val="105"/>
        </w:rPr>
        <w:t>y</w:t>
      </w:r>
      <w:r>
        <w:rPr>
          <w:color w:val="231F20"/>
          <w:spacing w:val="-12"/>
          <w:w w:val="105"/>
        </w:rPr>
        <w:t> </w:t>
      </w:r>
      <w:r>
        <w:rPr>
          <w:color w:val="231F20"/>
          <w:w w:val="105"/>
        </w:rPr>
        <w:t>adultos</w:t>
      </w:r>
      <w:r>
        <w:rPr>
          <w:color w:val="231F20"/>
          <w:spacing w:val="-12"/>
          <w:w w:val="105"/>
        </w:rPr>
        <w:t> </w:t>
      </w:r>
      <w:r>
        <w:rPr>
          <w:color w:val="231F20"/>
          <w:w w:val="105"/>
        </w:rPr>
        <w:t>mayores,</w:t>
      </w:r>
      <w:r>
        <w:rPr>
          <w:color w:val="231F20"/>
          <w:spacing w:val="-12"/>
          <w:w w:val="105"/>
        </w:rPr>
        <w:t> </w:t>
      </w:r>
      <w:r>
        <w:rPr>
          <w:color w:val="231F20"/>
          <w:w w:val="105"/>
        </w:rPr>
        <w:t>aunque</w:t>
      </w:r>
      <w:r>
        <w:rPr>
          <w:color w:val="231F20"/>
          <w:spacing w:val="-12"/>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w w:val="105"/>
        </w:rPr>
        <w:t>de estas</w:t>
      </w:r>
      <w:r>
        <w:rPr>
          <w:color w:val="231F20"/>
          <w:spacing w:val="-11"/>
          <w:w w:val="105"/>
        </w:rPr>
        <w:t> </w:t>
      </w:r>
      <w:r>
        <w:rPr>
          <w:color w:val="231F20"/>
          <w:w w:val="105"/>
        </w:rPr>
        <w:t>áreas</w:t>
      </w:r>
      <w:r>
        <w:rPr>
          <w:color w:val="231F20"/>
          <w:spacing w:val="-11"/>
          <w:w w:val="105"/>
        </w:rPr>
        <w:t> </w:t>
      </w:r>
      <w:r>
        <w:rPr>
          <w:color w:val="231F20"/>
          <w:w w:val="105"/>
        </w:rPr>
        <w:t>fueron</w:t>
      </w:r>
      <w:r>
        <w:rPr>
          <w:color w:val="231F20"/>
          <w:spacing w:val="-11"/>
          <w:w w:val="105"/>
        </w:rPr>
        <w:t> </w:t>
      </w:r>
      <w:r>
        <w:rPr>
          <w:color w:val="231F20"/>
          <w:w w:val="105"/>
        </w:rPr>
        <w:t>cubiertas</w:t>
      </w:r>
      <w:r>
        <w:rPr>
          <w:color w:val="231F20"/>
          <w:spacing w:val="-11"/>
          <w:w w:val="105"/>
        </w:rPr>
        <w:t> </w:t>
      </w:r>
      <w:r>
        <w:rPr>
          <w:color w:val="231F20"/>
          <w:w w:val="105"/>
        </w:rPr>
        <w:t>con</w:t>
      </w:r>
      <w:r>
        <w:rPr>
          <w:color w:val="231F20"/>
          <w:spacing w:val="-11"/>
          <w:w w:val="105"/>
        </w:rPr>
        <w:t> </w:t>
      </w:r>
      <w:r>
        <w:rPr>
          <w:color w:val="231F20"/>
          <w:w w:val="105"/>
        </w:rPr>
        <w:t>recursos</w:t>
      </w:r>
      <w:r>
        <w:rPr>
          <w:color w:val="231F20"/>
          <w:spacing w:val="-11"/>
          <w:w w:val="105"/>
        </w:rPr>
        <w:t> </w:t>
      </w:r>
      <w:r>
        <w:rPr>
          <w:color w:val="231F20"/>
          <w:w w:val="105"/>
        </w:rPr>
        <w:t>federales</w:t>
      </w:r>
      <w:r>
        <w:rPr>
          <w:color w:val="231F20"/>
          <w:spacing w:val="-11"/>
          <w:w w:val="105"/>
        </w:rPr>
        <w:t> </w:t>
      </w:r>
      <w:r>
        <w:rPr>
          <w:color w:val="231F20"/>
          <w:w w:val="105"/>
        </w:rPr>
        <w:t>y</w:t>
      </w:r>
      <w:r>
        <w:rPr>
          <w:color w:val="231F20"/>
          <w:spacing w:val="-11"/>
          <w:w w:val="105"/>
        </w:rPr>
        <w:t> </w:t>
      </w:r>
      <w:r>
        <w:rPr>
          <w:color w:val="231F20"/>
          <w:w w:val="105"/>
        </w:rPr>
        <w:t>estatales.</w:t>
      </w:r>
      <w:r>
        <w:rPr>
          <w:color w:val="231F20"/>
          <w:spacing w:val="-11"/>
          <w:w w:val="105"/>
        </w:rPr>
        <w:t> </w:t>
      </w:r>
      <w:r>
        <w:rPr>
          <w:color w:val="231F20"/>
          <w:w w:val="105"/>
        </w:rPr>
        <w:t>Lo</w:t>
      </w:r>
      <w:r>
        <w:rPr>
          <w:color w:val="231F20"/>
          <w:spacing w:val="-11"/>
          <w:w w:val="105"/>
        </w:rPr>
        <w:t> </w:t>
      </w:r>
      <w:r>
        <w:rPr>
          <w:color w:val="231F20"/>
          <w:w w:val="105"/>
        </w:rPr>
        <w:t>destacable</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crea- ción del Instituto de la </w:t>
      </w:r>
      <w:r>
        <w:rPr>
          <w:color w:val="231F20"/>
          <w:spacing w:val="-4"/>
          <w:w w:val="105"/>
        </w:rPr>
        <w:t>Mujer, </w:t>
      </w:r>
      <w:r>
        <w:rPr>
          <w:color w:val="231F20"/>
          <w:w w:val="105"/>
        </w:rPr>
        <w:t>el primero de la región y que en su primer año impulsó proyectos</w:t>
      </w:r>
      <w:r>
        <w:rPr>
          <w:color w:val="231F20"/>
          <w:spacing w:val="-16"/>
          <w:w w:val="105"/>
        </w:rPr>
        <w:t> </w:t>
      </w:r>
      <w:r>
        <w:rPr>
          <w:color w:val="231F20"/>
          <w:w w:val="105"/>
        </w:rPr>
        <w:t>productivos</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spacing w:val="-3"/>
          <w:w w:val="105"/>
        </w:rPr>
        <w:t>género</w:t>
      </w:r>
      <w:r>
        <w:rPr>
          <w:color w:val="231F20"/>
          <w:spacing w:val="-16"/>
          <w:w w:val="105"/>
        </w:rPr>
        <w:t> </w:t>
      </w:r>
      <w:r>
        <w:rPr>
          <w:color w:val="231F20"/>
          <w:w w:val="105"/>
        </w:rPr>
        <w:t>femenino.</w:t>
      </w:r>
    </w:p>
    <w:p>
      <w:pPr>
        <w:pStyle w:val="BodyText"/>
        <w:spacing w:before="2"/>
        <w:rPr>
          <w:sz w:val="20"/>
        </w:rPr>
      </w:pPr>
    </w:p>
    <w:p>
      <w:pPr>
        <w:pStyle w:val="Heading4"/>
        <w:spacing w:before="1"/>
        <w:rPr>
          <w:i/>
        </w:rPr>
      </w:pPr>
      <w:r>
        <w:rPr>
          <w:i/>
          <w:color w:val="231F20"/>
          <w:w w:val="105"/>
        </w:rPr>
        <w:t>Seguridad económica</w:t>
      </w:r>
    </w:p>
    <w:p>
      <w:pPr>
        <w:pStyle w:val="BodyText"/>
        <w:spacing w:line="285" w:lineRule="auto" w:before="17"/>
        <w:ind w:left="110" w:right="148"/>
        <w:jc w:val="both"/>
      </w:pP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al</w:t>
      </w:r>
      <w:r>
        <w:rPr>
          <w:color w:val="231F20"/>
          <w:spacing w:val="-15"/>
          <w:w w:val="105"/>
        </w:rPr>
        <w:t> </w:t>
      </w:r>
      <w:r>
        <w:rPr>
          <w:color w:val="231F20"/>
          <w:w w:val="105"/>
        </w:rPr>
        <w:t>pilar</w:t>
      </w:r>
      <w:r>
        <w:rPr>
          <w:color w:val="231F20"/>
          <w:spacing w:val="-15"/>
          <w:w w:val="105"/>
        </w:rPr>
        <w:t> </w:t>
      </w:r>
      <w:r>
        <w:rPr>
          <w:color w:val="231F20"/>
          <w:w w:val="105"/>
        </w:rPr>
        <w:t>de</w:t>
      </w:r>
      <w:r>
        <w:rPr>
          <w:color w:val="231F20"/>
          <w:spacing w:val="-15"/>
          <w:w w:val="105"/>
        </w:rPr>
        <w:t> </w:t>
      </w:r>
      <w:r>
        <w:rPr>
          <w:color w:val="231F20"/>
          <w:w w:val="105"/>
        </w:rPr>
        <w:t>seguridad</w:t>
      </w:r>
      <w:r>
        <w:rPr>
          <w:color w:val="231F20"/>
          <w:spacing w:val="-15"/>
          <w:w w:val="105"/>
        </w:rPr>
        <w:t> </w:t>
      </w:r>
      <w:r>
        <w:rPr>
          <w:color w:val="231F20"/>
          <w:spacing w:val="-3"/>
          <w:w w:val="105"/>
        </w:rPr>
        <w:t>económica</w:t>
      </w:r>
      <w:r>
        <w:rPr>
          <w:color w:val="231F20"/>
          <w:spacing w:val="-15"/>
          <w:w w:val="105"/>
        </w:rPr>
        <w:t> </w:t>
      </w:r>
      <w:r>
        <w:rPr>
          <w:color w:val="231F20"/>
          <w:spacing w:val="-3"/>
          <w:w w:val="105"/>
        </w:rPr>
        <w:t>con</w:t>
      </w:r>
      <w:r>
        <w:rPr>
          <w:color w:val="231F20"/>
          <w:spacing w:val="-15"/>
          <w:w w:val="105"/>
        </w:rPr>
        <w:t> </w:t>
      </w:r>
      <w:r>
        <w:rPr>
          <w:color w:val="231F20"/>
          <w:spacing w:val="-4"/>
          <w:w w:val="105"/>
        </w:rPr>
        <w:t>relación</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cobertura</w:t>
      </w:r>
      <w:r>
        <w:rPr>
          <w:color w:val="231F20"/>
          <w:spacing w:val="-15"/>
          <w:w w:val="105"/>
        </w:rPr>
        <w:t> </w:t>
      </w:r>
      <w:r>
        <w:rPr>
          <w:color w:val="231F20"/>
          <w:w w:val="105"/>
        </w:rPr>
        <w:t>de</w:t>
      </w:r>
      <w:r>
        <w:rPr>
          <w:color w:val="231F20"/>
          <w:spacing w:val="-15"/>
          <w:w w:val="105"/>
        </w:rPr>
        <w:t> </w:t>
      </w:r>
      <w:r>
        <w:rPr>
          <w:color w:val="231F20"/>
          <w:w w:val="105"/>
        </w:rPr>
        <w:t>servicios</w:t>
      </w:r>
      <w:r>
        <w:rPr>
          <w:color w:val="231F20"/>
          <w:spacing w:val="-15"/>
          <w:w w:val="105"/>
        </w:rPr>
        <w:t> </w:t>
      </w:r>
      <w:r>
        <w:rPr>
          <w:color w:val="231F20"/>
          <w:spacing w:val="-4"/>
          <w:w w:val="105"/>
        </w:rPr>
        <w:t>públi- </w:t>
      </w:r>
      <w:r>
        <w:rPr>
          <w:color w:val="231F20"/>
          <w:w w:val="105"/>
        </w:rPr>
        <w:t>cos</w:t>
      </w:r>
      <w:r>
        <w:rPr>
          <w:color w:val="231F20"/>
          <w:spacing w:val="-22"/>
          <w:w w:val="105"/>
        </w:rPr>
        <w:t> </w:t>
      </w:r>
      <w:r>
        <w:rPr>
          <w:color w:val="231F20"/>
          <w:spacing w:val="-3"/>
          <w:w w:val="105"/>
        </w:rPr>
        <w:t>básicos,</w:t>
      </w:r>
      <w:r>
        <w:rPr>
          <w:color w:val="231F20"/>
          <w:spacing w:val="-22"/>
          <w:w w:val="105"/>
        </w:rPr>
        <w:t> </w:t>
      </w:r>
      <w:r>
        <w:rPr>
          <w:color w:val="231F20"/>
          <w:w w:val="105"/>
        </w:rPr>
        <w:t>el</w:t>
      </w:r>
      <w:r>
        <w:rPr>
          <w:color w:val="231F20"/>
          <w:spacing w:val="-22"/>
          <w:w w:val="105"/>
        </w:rPr>
        <w:t> </w:t>
      </w:r>
      <w:r>
        <w:rPr>
          <w:color w:val="231F20"/>
          <w:w w:val="105"/>
        </w:rPr>
        <w:t>diagnóstico</w:t>
      </w:r>
      <w:r>
        <w:rPr>
          <w:color w:val="231F20"/>
          <w:spacing w:val="-22"/>
          <w:w w:val="105"/>
        </w:rPr>
        <w:t> </w:t>
      </w:r>
      <w:r>
        <w:rPr>
          <w:color w:val="231F20"/>
          <w:w w:val="105"/>
        </w:rPr>
        <w:t>en</w:t>
      </w:r>
      <w:r>
        <w:rPr>
          <w:color w:val="231F20"/>
          <w:spacing w:val="-22"/>
          <w:w w:val="105"/>
        </w:rPr>
        <w:t> </w:t>
      </w:r>
      <w:r>
        <w:rPr>
          <w:color w:val="231F20"/>
          <w:w w:val="105"/>
        </w:rPr>
        <w:t>2006</w:t>
      </w:r>
      <w:r>
        <w:rPr>
          <w:color w:val="231F20"/>
          <w:spacing w:val="-22"/>
          <w:w w:val="105"/>
        </w:rPr>
        <w:t> </w:t>
      </w:r>
      <w:r>
        <w:rPr>
          <w:color w:val="231F20"/>
          <w:spacing w:val="-4"/>
          <w:w w:val="105"/>
        </w:rPr>
        <w:t>reveló</w:t>
      </w:r>
      <w:r>
        <w:rPr>
          <w:color w:val="231F20"/>
          <w:spacing w:val="-22"/>
          <w:w w:val="105"/>
        </w:rPr>
        <w:t> </w:t>
      </w:r>
      <w:r>
        <w:rPr>
          <w:color w:val="231F20"/>
          <w:spacing w:val="-3"/>
          <w:w w:val="105"/>
        </w:rPr>
        <w:t>que</w:t>
      </w:r>
      <w:r>
        <w:rPr>
          <w:color w:val="231F20"/>
          <w:spacing w:val="-22"/>
          <w:w w:val="105"/>
        </w:rPr>
        <w:t> </w:t>
      </w:r>
      <w:r>
        <w:rPr>
          <w:color w:val="231F20"/>
          <w:w w:val="105"/>
        </w:rPr>
        <w:t>existía</w:t>
      </w:r>
      <w:r>
        <w:rPr>
          <w:color w:val="231F20"/>
          <w:spacing w:val="-22"/>
          <w:w w:val="105"/>
        </w:rPr>
        <w:t> </w:t>
      </w:r>
      <w:r>
        <w:rPr>
          <w:color w:val="231F20"/>
          <w:spacing w:val="-3"/>
          <w:w w:val="105"/>
        </w:rPr>
        <w:t>déficit</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cobertura</w:t>
      </w:r>
      <w:r>
        <w:rPr>
          <w:color w:val="231F20"/>
          <w:spacing w:val="-22"/>
          <w:w w:val="105"/>
        </w:rPr>
        <w:t> </w:t>
      </w:r>
      <w:r>
        <w:rPr>
          <w:color w:val="231F20"/>
          <w:w w:val="105"/>
        </w:rPr>
        <w:t>tanto</w:t>
      </w:r>
      <w:r>
        <w:rPr>
          <w:color w:val="231F20"/>
          <w:spacing w:val="-22"/>
          <w:w w:val="105"/>
        </w:rPr>
        <w:t> </w:t>
      </w:r>
      <w:r>
        <w:rPr>
          <w:color w:val="231F20"/>
          <w:w w:val="105"/>
        </w:rPr>
        <w:t>en</w:t>
      </w:r>
      <w:r>
        <w:rPr>
          <w:color w:val="231F20"/>
          <w:spacing w:val="-22"/>
          <w:w w:val="105"/>
        </w:rPr>
        <w:t> </w:t>
      </w:r>
      <w:r>
        <w:rPr>
          <w:color w:val="231F20"/>
          <w:w w:val="105"/>
        </w:rPr>
        <w:t>agua </w:t>
      </w:r>
      <w:r>
        <w:rPr>
          <w:color w:val="231F20"/>
          <w:spacing w:val="-3"/>
          <w:w w:val="105"/>
        </w:rPr>
        <w:t>potable</w:t>
      </w:r>
      <w:r>
        <w:rPr>
          <w:color w:val="231F20"/>
          <w:spacing w:val="-14"/>
          <w:w w:val="105"/>
        </w:rPr>
        <w:t> </w:t>
      </w:r>
      <w:r>
        <w:rPr>
          <w:color w:val="231F20"/>
          <w:spacing w:val="-4"/>
          <w:w w:val="105"/>
        </w:rPr>
        <w:t>como</w:t>
      </w:r>
      <w:r>
        <w:rPr>
          <w:color w:val="231F20"/>
          <w:spacing w:val="-14"/>
          <w:w w:val="105"/>
        </w:rPr>
        <w:t> </w:t>
      </w:r>
      <w:r>
        <w:rPr>
          <w:color w:val="231F20"/>
          <w:w w:val="105"/>
        </w:rPr>
        <w:t>de</w:t>
      </w:r>
      <w:r>
        <w:rPr>
          <w:color w:val="231F20"/>
          <w:spacing w:val="-14"/>
          <w:w w:val="105"/>
        </w:rPr>
        <w:t> </w:t>
      </w:r>
      <w:r>
        <w:rPr>
          <w:color w:val="231F20"/>
          <w:spacing w:val="-3"/>
          <w:w w:val="105"/>
        </w:rPr>
        <w:t>drenaje,</w:t>
      </w:r>
      <w:r>
        <w:rPr>
          <w:color w:val="231F20"/>
          <w:spacing w:val="-14"/>
          <w:w w:val="105"/>
        </w:rPr>
        <w:t> </w:t>
      </w:r>
      <w:r>
        <w:rPr>
          <w:color w:val="231F20"/>
          <w:spacing w:val="-3"/>
          <w:w w:val="105"/>
        </w:rPr>
        <w:t>por</w:t>
      </w:r>
      <w:r>
        <w:rPr>
          <w:color w:val="231F20"/>
          <w:spacing w:val="-14"/>
          <w:w w:val="105"/>
        </w:rPr>
        <w:t> </w:t>
      </w:r>
      <w:r>
        <w:rPr>
          <w:color w:val="231F20"/>
          <w:spacing w:val="-3"/>
          <w:w w:val="105"/>
        </w:rPr>
        <w:t>lo</w:t>
      </w:r>
      <w:r>
        <w:rPr>
          <w:color w:val="231F20"/>
          <w:spacing w:val="-14"/>
          <w:w w:val="105"/>
        </w:rPr>
        <w:t> </w:t>
      </w:r>
      <w:r>
        <w:rPr>
          <w:color w:val="231F20"/>
          <w:spacing w:val="-3"/>
          <w:w w:val="105"/>
        </w:rPr>
        <w:t>que</w:t>
      </w:r>
      <w:r>
        <w:rPr>
          <w:color w:val="231F20"/>
          <w:spacing w:val="-14"/>
          <w:w w:val="105"/>
        </w:rPr>
        <w:t> </w:t>
      </w:r>
      <w:r>
        <w:rPr>
          <w:color w:val="231F20"/>
          <w:w w:val="105"/>
        </w:rPr>
        <w:t>el</w:t>
      </w:r>
      <w:r>
        <w:rPr>
          <w:color w:val="231F20"/>
          <w:spacing w:val="-14"/>
          <w:w w:val="105"/>
        </w:rPr>
        <w:t> </w:t>
      </w:r>
      <w:r>
        <w:rPr>
          <w:color w:val="231F20"/>
          <w:spacing w:val="-3"/>
          <w:w w:val="105"/>
        </w:rPr>
        <w:t>objetivo</w:t>
      </w:r>
      <w:r>
        <w:rPr>
          <w:color w:val="231F20"/>
          <w:spacing w:val="-14"/>
          <w:w w:val="105"/>
        </w:rPr>
        <w:t> </w:t>
      </w:r>
      <w:r>
        <w:rPr>
          <w:color w:val="231F20"/>
          <w:spacing w:val="-3"/>
          <w:w w:val="105"/>
        </w:rPr>
        <w:t>del</w:t>
      </w:r>
      <w:r>
        <w:rPr>
          <w:color w:val="231F20"/>
          <w:spacing w:val="-14"/>
          <w:w w:val="105"/>
        </w:rPr>
        <w:t> </w:t>
      </w:r>
      <w:r>
        <w:rPr>
          <w:color w:val="231F20"/>
          <w:w w:val="105"/>
        </w:rPr>
        <w:t>ayuntamiento</w:t>
      </w:r>
      <w:r>
        <w:rPr>
          <w:color w:val="231F20"/>
          <w:spacing w:val="-14"/>
          <w:w w:val="105"/>
        </w:rPr>
        <w:t> </w:t>
      </w:r>
      <w:r>
        <w:rPr>
          <w:color w:val="231F20"/>
          <w:w w:val="105"/>
        </w:rPr>
        <w:t>se</w:t>
      </w:r>
      <w:r>
        <w:rPr>
          <w:color w:val="231F20"/>
          <w:spacing w:val="-14"/>
          <w:w w:val="105"/>
        </w:rPr>
        <w:t> </w:t>
      </w:r>
      <w:r>
        <w:rPr>
          <w:color w:val="231F20"/>
          <w:spacing w:val="-3"/>
          <w:w w:val="105"/>
        </w:rPr>
        <w:t>centró</w:t>
      </w:r>
      <w:r>
        <w:rPr>
          <w:color w:val="231F20"/>
          <w:spacing w:val="-14"/>
          <w:w w:val="105"/>
        </w:rPr>
        <w:t> </w:t>
      </w:r>
      <w:r>
        <w:rPr>
          <w:color w:val="231F20"/>
          <w:w w:val="105"/>
        </w:rPr>
        <w:t>en</w:t>
      </w:r>
      <w:r>
        <w:rPr>
          <w:color w:val="231F20"/>
          <w:spacing w:val="-14"/>
          <w:w w:val="105"/>
        </w:rPr>
        <w:t> </w:t>
      </w:r>
      <w:r>
        <w:rPr>
          <w:color w:val="231F20"/>
          <w:w w:val="105"/>
        </w:rPr>
        <w:t>ampliar</w:t>
      </w:r>
      <w:r>
        <w:rPr>
          <w:color w:val="231F20"/>
          <w:spacing w:val="-14"/>
          <w:w w:val="105"/>
        </w:rPr>
        <w:t> </w:t>
      </w:r>
      <w:r>
        <w:rPr>
          <w:color w:val="231F20"/>
          <w:w w:val="105"/>
        </w:rPr>
        <w:t>las</w:t>
      </w:r>
    </w:p>
    <w:p>
      <w:pPr>
        <w:spacing w:after="0" w:line="285" w:lineRule="auto"/>
        <w:jc w:val="both"/>
        <w:sectPr>
          <w:pgSz w:w="9640" w:h="12190"/>
          <w:pgMar w:header="0" w:footer="743" w:top="1120" w:bottom="940" w:left="740" w:right="700"/>
        </w:sectPr>
      </w:pPr>
    </w:p>
    <w:p>
      <w:pPr>
        <w:pStyle w:val="BodyText"/>
        <w:spacing w:before="3"/>
        <w:rPr>
          <w:sz w:val="11"/>
        </w:rPr>
      </w:pPr>
    </w:p>
    <w:p>
      <w:pPr>
        <w:pStyle w:val="BodyText"/>
        <w:spacing w:line="285" w:lineRule="auto" w:before="36"/>
        <w:ind w:left="110" w:right="108"/>
        <w:jc w:val="both"/>
      </w:pPr>
      <w:r>
        <w:rPr>
          <w:color w:val="231F20"/>
          <w:spacing w:val="-3"/>
          <w:w w:val="105"/>
        </w:rPr>
        <w:t>redes</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spacing w:val="-3"/>
          <w:w w:val="105"/>
        </w:rPr>
        <w:t>construcción</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spacing w:val="-3"/>
          <w:w w:val="105"/>
        </w:rPr>
        <w:t>presa</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spacing w:val="-4"/>
          <w:w w:val="105"/>
        </w:rPr>
        <w:t>captación</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aguas</w:t>
      </w:r>
      <w:r>
        <w:rPr>
          <w:color w:val="231F20"/>
          <w:spacing w:val="-18"/>
          <w:w w:val="105"/>
        </w:rPr>
        <w:t> </w:t>
      </w:r>
      <w:r>
        <w:rPr>
          <w:color w:val="231F20"/>
          <w:w w:val="105"/>
        </w:rPr>
        <w:t>pluviales.</w:t>
      </w:r>
      <w:r>
        <w:rPr>
          <w:color w:val="231F20"/>
          <w:spacing w:val="-18"/>
          <w:w w:val="105"/>
        </w:rPr>
        <w:t> </w:t>
      </w:r>
      <w:r>
        <w:rPr>
          <w:color w:val="231F20"/>
          <w:w w:val="105"/>
        </w:rPr>
        <w:t>Para</w:t>
      </w:r>
      <w:r>
        <w:rPr>
          <w:color w:val="231F20"/>
          <w:spacing w:val="-18"/>
          <w:w w:val="105"/>
        </w:rPr>
        <w:t> </w:t>
      </w:r>
      <w:r>
        <w:rPr>
          <w:color w:val="231F20"/>
          <w:w w:val="105"/>
        </w:rPr>
        <w:t>2008</w:t>
      </w:r>
      <w:r>
        <w:rPr>
          <w:color w:val="231F20"/>
          <w:spacing w:val="-18"/>
          <w:w w:val="105"/>
        </w:rPr>
        <w:t> </w:t>
      </w:r>
      <w:r>
        <w:rPr>
          <w:color w:val="231F20"/>
          <w:w w:val="105"/>
        </w:rPr>
        <w:t>sí se</w:t>
      </w:r>
      <w:r>
        <w:rPr>
          <w:color w:val="231F20"/>
          <w:spacing w:val="-8"/>
          <w:w w:val="105"/>
        </w:rPr>
        <w:t> </w:t>
      </w:r>
      <w:r>
        <w:rPr>
          <w:color w:val="231F20"/>
          <w:w w:val="105"/>
        </w:rPr>
        <w:t>observan</w:t>
      </w:r>
      <w:r>
        <w:rPr>
          <w:color w:val="231F20"/>
          <w:spacing w:val="-8"/>
          <w:w w:val="105"/>
        </w:rPr>
        <w:t> </w:t>
      </w:r>
      <w:r>
        <w:rPr>
          <w:color w:val="231F20"/>
          <w:spacing w:val="-4"/>
          <w:w w:val="105"/>
        </w:rPr>
        <w:t>acciones</w:t>
      </w:r>
      <w:r>
        <w:rPr>
          <w:color w:val="231F20"/>
          <w:spacing w:val="-8"/>
          <w:w w:val="105"/>
        </w:rPr>
        <w:t> </w:t>
      </w:r>
      <w:r>
        <w:rPr>
          <w:color w:val="231F20"/>
          <w:w w:val="105"/>
        </w:rPr>
        <w:t>para</w:t>
      </w:r>
      <w:r>
        <w:rPr>
          <w:color w:val="231F20"/>
          <w:spacing w:val="-8"/>
          <w:w w:val="105"/>
        </w:rPr>
        <w:t> </w:t>
      </w:r>
      <w:r>
        <w:rPr>
          <w:color w:val="231F20"/>
          <w:spacing w:val="-3"/>
          <w:w w:val="105"/>
        </w:rPr>
        <w:t>combatir</w:t>
      </w:r>
      <w:r>
        <w:rPr>
          <w:color w:val="231F20"/>
          <w:spacing w:val="-8"/>
          <w:w w:val="105"/>
        </w:rPr>
        <w:t> </w:t>
      </w:r>
      <w:r>
        <w:rPr>
          <w:color w:val="231F20"/>
          <w:w w:val="105"/>
        </w:rPr>
        <w:t>la</w:t>
      </w:r>
      <w:r>
        <w:rPr>
          <w:color w:val="231F20"/>
          <w:spacing w:val="-8"/>
          <w:w w:val="105"/>
        </w:rPr>
        <w:t> </w:t>
      </w:r>
      <w:r>
        <w:rPr>
          <w:color w:val="231F20"/>
          <w:spacing w:val="-4"/>
          <w:w w:val="105"/>
        </w:rPr>
        <w:t>problemática</w:t>
      </w:r>
      <w:r>
        <w:rPr>
          <w:color w:val="231F20"/>
          <w:spacing w:val="-8"/>
          <w:w w:val="105"/>
        </w:rPr>
        <w:t> </w:t>
      </w:r>
      <w:r>
        <w:rPr>
          <w:color w:val="231F20"/>
          <w:w w:val="105"/>
        </w:rPr>
        <w:t>al</w:t>
      </w:r>
      <w:r>
        <w:rPr>
          <w:color w:val="231F20"/>
          <w:spacing w:val="-8"/>
          <w:w w:val="105"/>
        </w:rPr>
        <w:t> </w:t>
      </w:r>
      <w:r>
        <w:rPr>
          <w:color w:val="231F20"/>
          <w:w w:val="105"/>
        </w:rPr>
        <w:t>construir</w:t>
      </w:r>
      <w:r>
        <w:rPr>
          <w:color w:val="231F20"/>
          <w:spacing w:val="-8"/>
          <w:w w:val="105"/>
        </w:rPr>
        <w:t> </w:t>
      </w:r>
      <w:r>
        <w:rPr>
          <w:color w:val="231F20"/>
          <w:w w:val="105"/>
        </w:rPr>
        <w:t>y</w:t>
      </w:r>
      <w:r>
        <w:rPr>
          <w:color w:val="231F20"/>
          <w:spacing w:val="-8"/>
          <w:w w:val="105"/>
        </w:rPr>
        <w:t> </w:t>
      </w:r>
      <w:r>
        <w:rPr>
          <w:color w:val="231F20"/>
          <w:w w:val="105"/>
        </w:rPr>
        <w:t>ampliar</w:t>
      </w:r>
      <w:r>
        <w:rPr>
          <w:color w:val="231F20"/>
          <w:spacing w:val="-8"/>
          <w:w w:val="105"/>
        </w:rPr>
        <w:t> </w:t>
      </w:r>
      <w:r>
        <w:rPr>
          <w:color w:val="231F20"/>
          <w:spacing w:val="-3"/>
          <w:w w:val="105"/>
        </w:rPr>
        <w:t>redes,</w:t>
      </w:r>
      <w:r>
        <w:rPr>
          <w:color w:val="231F20"/>
          <w:spacing w:val="-8"/>
          <w:w w:val="105"/>
        </w:rPr>
        <w:t> </w:t>
      </w:r>
      <w:r>
        <w:rPr>
          <w:color w:val="231F20"/>
          <w:spacing w:val="-3"/>
          <w:w w:val="105"/>
        </w:rPr>
        <w:t>captan- do</w:t>
      </w:r>
      <w:r>
        <w:rPr>
          <w:color w:val="231F20"/>
          <w:spacing w:val="-13"/>
          <w:w w:val="105"/>
        </w:rPr>
        <w:t> </w:t>
      </w:r>
      <w:r>
        <w:rPr>
          <w:color w:val="231F20"/>
          <w:spacing w:val="-3"/>
          <w:w w:val="105"/>
        </w:rPr>
        <w:t>los</w:t>
      </w:r>
      <w:r>
        <w:rPr>
          <w:color w:val="231F20"/>
          <w:spacing w:val="-13"/>
          <w:w w:val="105"/>
        </w:rPr>
        <w:t> </w:t>
      </w:r>
      <w:r>
        <w:rPr>
          <w:color w:val="231F20"/>
          <w:spacing w:val="-3"/>
          <w:w w:val="105"/>
        </w:rPr>
        <w:t>residuales</w:t>
      </w:r>
      <w:r>
        <w:rPr>
          <w:color w:val="231F20"/>
          <w:spacing w:val="-13"/>
          <w:w w:val="105"/>
        </w:rPr>
        <w:t> </w:t>
      </w:r>
      <w:r>
        <w:rPr>
          <w:color w:val="231F20"/>
          <w:spacing w:val="-3"/>
          <w:w w:val="105"/>
        </w:rPr>
        <w:t>que</w:t>
      </w:r>
      <w:r>
        <w:rPr>
          <w:color w:val="231F20"/>
          <w:spacing w:val="-13"/>
          <w:w w:val="105"/>
        </w:rPr>
        <w:t> </w:t>
      </w:r>
      <w:r>
        <w:rPr>
          <w:color w:val="231F20"/>
          <w:w w:val="105"/>
        </w:rPr>
        <w:t>contaminaban</w:t>
      </w:r>
      <w:r>
        <w:rPr>
          <w:color w:val="231F20"/>
          <w:spacing w:val="-13"/>
          <w:w w:val="105"/>
        </w:rPr>
        <w:t> </w:t>
      </w:r>
      <w:r>
        <w:rPr>
          <w:color w:val="231F20"/>
          <w:w w:val="105"/>
        </w:rPr>
        <w:t>ríos.</w:t>
      </w:r>
      <w:r>
        <w:rPr>
          <w:color w:val="231F20"/>
          <w:spacing w:val="-13"/>
          <w:w w:val="105"/>
        </w:rPr>
        <w:t> </w:t>
      </w:r>
      <w:r>
        <w:rPr>
          <w:color w:val="231F20"/>
          <w:w w:val="105"/>
        </w:rPr>
        <w:t>En</w:t>
      </w:r>
      <w:r>
        <w:rPr>
          <w:color w:val="231F20"/>
          <w:spacing w:val="-13"/>
          <w:w w:val="105"/>
        </w:rPr>
        <w:t> </w:t>
      </w:r>
      <w:r>
        <w:rPr>
          <w:color w:val="231F20"/>
          <w:w w:val="105"/>
        </w:rPr>
        <w:t>aquellas</w:t>
      </w:r>
      <w:r>
        <w:rPr>
          <w:color w:val="231F20"/>
          <w:spacing w:val="-13"/>
          <w:w w:val="105"/>
        </w:rPr>
        <w:t> </w:t>
      </w:r>
      <w:r>
        <w:rPr>
          <w:color w:val="231F20"/>
          <w:spacing w:val="-3"/>
          <w:w w:val="105"/>
        </w:rPr>
        <w:t>localidades</w:t>
      </w:r>
      <w:r>
        <w:rPr>
          <w:color w:val="231F20"/>
          <w:spacing w:val="-13"/>
          <w:w w:val="105"/>
        </w:rPr>
        <w:t> </w:t>
      </w:r>
      <w:r>
        <w:rPr>
          <w:color w:val="231F20"/>
          <w:spacing w:val="-4"/>
          <w:w w:val="105"/>
        </w:rPr>
        <w:t>donde</w:t>
      </w:r>
      <w:r>
        <w:rPr>
          <w:color w:val="231F20"/>
          <w:spacing w:val="-13"/>
          <w:w w:val="105"/>
        </w:rPr>
        <w:t> </w:t>
      </w:r>
      <w:r>
        <w:rPr>
          <w:color w:val="231F20"/>
          <w:w w:val="105"/>
        </w:rPr>
        <w:t>aún</w:t>
      </w:r>
      <w:r>
        <w:rPr>
          <w:color w:val="231F20"/>
          <w:spacing w:val="-13"/>
          <w:w w:val="105"/>
        </w:rPr>
        <w:t> </w:t>
      </w:r>
      <w:r>
        <w:rPr>
          <w:color w:val="231F20"/>
          <w:w w:val="105"/>
        </w:rPr>
        <w:t>faltaba</w:t>
      </w:r>
      <w:r>
        <w:rPr>
          <w:color w:val="231F20"/>
          <w:spacing w:val="-13"/>
          <w:w w:val="105"/>
        </w:rPr>
        <w:t> </w:t>
      </w:r>
      <w:r>
        <w:rPr>
          <w:color w:val="231F20"/>
          <w:w w:val="105"/>
        </w:rPr>
        <w:t>agua </w:t>
      </w:r>
      <w:r>
        <w:rPr>
          <w:color w:val="231F20"/>
          <w:spacing w:val="-3"/>
          <w:w w:val="105"/>
        </w:rPr>
        <w:t>potable</w:t>
      </w:r>
      <w:r>
        <w:rPr>
          <w:color w:val="231F20"/>
          <w:spacing w:val="-17"/>
          <w:w w:val="105"/>
        </w:rPr>
        <w:t> </w:t>
      </w:r>
      <w:r>
        <w:rPr>
          <w:color w:val="231F20"/>
          <w:w w:val="105"/>
        </w:rPr>
        <w:t>se</w:t>
      </w:r>
      <w:r>
        <w:rPr>
          <w:color w:val="231F20"/>
          <w:spacing w:val="-17"/>
          <w:w w:val="105"/>
        </w:rPr>
        <w:t> </w:t>
      </w:r>
      <w:r>
        <w:rPr>
          <w:color w:val="231F20"/>
          <w:w w:val="105"/>
        </w:rPr>
        <w:t>enviaron</w:t>
      </w:r>
      <w:r>
        <w:rPr>
          <w:color w:val="231F20"/>
          <w:spacing w:val="-17"/>
          <w:w w:val="105"/>
        </w:rPr>
        <w:t> </w:t>
      </w:r>
      <w:r>
        <w:rPr>
          <w:color w:val="231F20"/>
          <w:spacing w:val="-3"/>
          <w:w w:val="105"/>
        </w:rPr>
        <w:t>pipas</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suministro</w:t>
      </w:r>
      <w:r>
        <w:rPr>
          <w:color w:val="231F20"/>
          <w:spacing w:val="-17"/>
          <w:w w:val="105"/>
        </w:rPr>
        <w:t> </w:t>
      </w:r>
      <w:r>
        <w:rPr>
          <w:color w:val="231F20"/>
          <w:w w:val="105"/>
        </w:rPr>
        <w:t>temporal</w:t>
      </w:r>
      <w:r>
        <w:rPr>
          <w:color w:val="231F20"/>
          <w:spacing w:val="-17"/>
          <w:w w:val="105"/>
        </w:rPr>
        <w:t> </w:t>
      </w:r>
      <w:r>
        <w:rPr>
          <w:color w:val="231F20"/>
          <w:spacing w:val="-6"/>
          <w:w w:val="105"/>
        </w:rPr>
        <w:t>(ver</w:t>
      </w:r>
      <w:r>
        <w:rPr>
          <w:color w:val="231F20"/>
          <w:spacing w:val="-17"/>
          <w:w w:val="105"/>
        </w:rPr>
        <w:t> </w:t>
      </w:r>
      <w:r>
        <w:rPr>
          <w:color w:val="231F20"/>
          <w:spacing w:val="-3"/>
          <w:w w:val="105"/>
        </w:rPr>
        <w:t>Cuadro</w:t>
      </w:r>
      <w:r>
        <w:rPr>
          <w:color w:val="231F20"/>
          <w:spacing w:val="-17"/>
          <w:w w:val="105"/>
        </w:rPr>
        <w:t> </w:t>
      </w:r>
      <w:r>
        <w:rPr>
          <w:color w:val="231F20"/>
          <w:spacing w:val="-6"/>
          <w:w w:val="105"/>
        </w:rPr>
        <w:t>12).</w:t>
      </w:r>
    </w:p>
    <w:p>
      <w:pPr>
        <w:spacing w:after="0" w:line="285" w:lineRule="auto"/>
        <w:jc w:val="both"/>
        <w:sectPr>
          <w:pgSz w:w="9640" w:h="12190"/>
          <w:pgMar w:header="0" w:footer="743" w:top="1120" w:bottom="940" w:left="740" w:right="740"/>
        </w:sectPr>
      </w:pPr>
    </w:p>
    <w:p>
      <w:pPr>
        <w:pStyle w:val="Heading5"/>
        <w:spacing w:line="285" w:lineRule="auto" w:before="27" w:after="4"/>
        <w:ind w:left="1383" w:right="530" w:hanging="727"/>
      </w:pPr>
      <w:r>
        <w:rPr>
          <w:color w:val="231F20"/>
          <w:w w:val="105"/>
        </w:rPr>
        <w:t>Cuadro</w:t>
      </w:r>
      <w:r>
        <w:rPr>
          <w:color w:val="231F20"/>
          <w:spacing w:val="-21"/>
          <w:w w:val="105"/>
        </w:rPr>
        <w:t> </w:t>
      </w:r>
      <w:r>
        <w:rPr>
          <w:color w:val="231F20"/>
          <w:w w:val="105"/>
        </w:rPr>
        <w:t>12.</w:t>
      </w:r>
      <w:r>
        <w:rPr>
          <w:color w:val="231F20"/>
          <w:spacing w:val="-21"/>
          <w:w w:val="105"/>
        </w:rPr>
        <w:t> </w:t>
      </w:r>
      <w:r>
        <w:rPr>
          <w:color w:val="231F20"/>
          <w:w w:val="105"/>
        </w:rPr>
        <w:t>Seguridad</w:t>
      </w:r>
      <w:r>
        <w:rPr>
          <w:color w:val="231F20"/>
          <w:spacing w:val="-21"/>
          <w:w w:val="105"/>
        </w:rPr>
        <w:t> </w:t>
      </w:r>
      <w:r>
        <w:rPr>
          <w:color w:val="231F20"/>
          <w:w w:val="105"/>
        </w:rPr>
        <w:t>económica:</w:t>
      </w:r>
      <w:r>
        <w:rPr>
          <w:color w:val="231F20"/>
          <w:spacing w:val="-21"/>
          <w:w w:val="105"/>
        </w:rPr>
        <w:t> </w:t>
      </w:r>
      <w:r>
        <w:rPr>
          <w:color w:val="231F20"/>
          <w:w w:val="105"/>
        </w:rPr>
        <w:t>Deficiencias,</w:t>
      </w:r>
      <w:r>
        <w:rPr>
          <w:color w:val="231F20"/>
          <w:spacing w:val="-21"/>
          <w:w w:val="105"/>
        </w:rPr>
        <w:t> </w:t>
      </w:r>
      <w:r>
        <w:rPr>
          <w:color w:val="231F20"/>
          <w:w w:val="105"/>
        </w:rPr>
        <w:t>estrategias</w:t>
      </w:r>
      <w:r>
        <w:rPr>
          <w:color w:val="231F20"/>
          <w:spacing w:val="-21"/>
          <w:w w:val="105"/>
        </w:rPr>
        <w:t> </w:t>
      </w:r>
      <w:r>
        <w:rPr>
          <w:color w:val="231F20"/>
          <w:w w:val="105"/>
        </w:rPr>
        <w:t>y</w:t>
      </w:r>
      <w:r>
        <w:rPr>
          <w:color w:val="231F20"/>
          <w:spacing w:val="-21"/>
          <w:w w:val="105"/>
        </w:rPr>
        <w:t> </w:t>
      </w:r>
      <w:r>
        <w:rPr>
          <w:color w:val="231F20"/>
          <w:w w:val="105"/>
        </w:rPr>
        <w:t>resultados del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w w:val="105"/>
        </w:rPr>
        <w:t>Ixtapan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w:t>
      </w:r>
      <w:r>
        <w:rPr>
          <w:color w:val="231F20"/>
          <w:spacing w:val="-12"/>
          <w:w w:val="105"/>
        </w:rPr>
        <w:t> </w:t>
      </w:r>
      <w:r>
        <w:rPr>
          <w:color w:val="231F20"/>
          <w:w w:val="105"/>
        </w:rPr>
        <w:t>(2006-2008)</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5"/>
        <w:gridCol w:w="717"/>
        <w:gridCol w:w="1963"/>
        <w:gridCol w:w="1951"/>
        <w:gridCol w:w="2998"/>
      </w:tblGrid>
      <w:tr>
        <w:trPr>
          <w:trHeight w:val="483" w:hRule="exact"/>
        </w:trPr>
        <w:tc>
          <w:tcPr>
            <w:tcW w:w="335" w:type="dxa"/>
            <w:shd w:val="clear" w:color="auto" w:fill="E6E6E6"/>
            <w:textDirection w:val="btLr"/>
          </w:tcPr>
          <w:p>
            <w:pPr>
              <w:pStyle w:val="TableParagraph"/>
              <w:spacing w:before="74"/>
              <w:ind w:left="117"/>
              <w:rPr>
                <w:b/>
                <w:sz w:val="14"/>
              </w:rPr>
            </w:pPr>
            <w:r>
              <w:rPr>
                <w:b/>
                <w:color w:val="231F20"/>
                <w:spacing w:val="1"/>
                <w:w w:val="85"/>
                <w:sz w:val="14"/>
              </w:rPr>
              <w:t>P</w:t>
            </w:r>
            <w:r>
              <w:rPr>
                <w:b/>
                <w:color w:val="231F20"/>
                <w:spacing w:val="2"/>
                <w:w w:val="91"/>
                <w:sz w:val="14"/>
              </w:rPr>
              <w:t>il</w:t>
            </w:r>
            <w:r>
              <w:rPr>
                <w:b/>
                <w:color w:val="231F20"/>
                <w:spacing w:val="2"/>
                <w:w w:val="85"/>
                <w:sz w:val="14"/>
              </w:rPr>
              <w:t>a</w:t>
            </w:r>
            <w:r>
              <w:rPr>
                <w:b/>
                <w:color w:val="231F20"/>
                <w:w w:val="82"/>
                <w:sz w:val="14"/>
              </w:rPr>
              <w:t>r</w:t>
            </w:r>
          </w:p>
        </w:tc>
        <w:tc>
          <w:tcPr>
            <w:tcW w:w="717" w:type="dxa"/>
            <w:shd w:val="clear" w:color="auto" w:fill="E6E6E6"/>
          </w:tcPr>
          <w:p>
            <w:pPr>
              <w:pStyle w:val="TableParagraph"/>
              <w:spacing w:line="196" w:lineRule="auto"/>
              <w:ind w:left="282" w:right="118" w:hanging="155"/>
              <w:rPr>
                <w:b/>
                <w:sz w:val="14"/>
              </w:rPr>
            </w:pPr>
            <w:r>
              <w:rPr>
                <w:b/>
                <w:color w:val="231F20"/>
                <w:w w:val="85"/>
                <w:sz w:val="14"/>
              </w:rPr>
              <w:t>Deficien- </w:t>
            </w:r>
            <w:r>
              <w:rPr>
                <w:b/>
                <w:color w:val="231F20"/>
                <w:w w:val="95"/>
                <w:sz w:val="14"/>
              </w:rPr>
              <w:t>cia</w:t>
            </w:r>
          </w:p>
        </w:tc>
        <w:tc>
          <w:tcPr>
            <w:tcW w:w="1963" w:type="dxa"/>
            <w:shd w:val="clear" w:color="auto" w:fill="E6E6E6"/>
          </w:tcPr>
          <w:p>
            <w:pPr>
              <w:pStyle w:val="TableParagraph"/>
              <w:spacing w:line="196" w:lineRule="auto"/>
              <w:ind w:left="196" w:right="194"/>
              <w:jc w:val="center"/>
              <w:rPr>
                <w:b/>
                <w:sz w:val="14"/>
              </w:rPr>
            </w:pPr>
            <w:r>
              <w:rPr>
                <w:b/>
                <w:color w:val="231F20"/>
                <w:w w:val="85"/>
                <w:sz w:val="14"/>
              </w:rPr>
              <w:t>Diagnóstico</w:t>
            </w:r>
            <w:r>
              <w:rPr>
                <w:b/>
                <w:color w:val="231F20"/>
                <w:spacing w:val="-7"/>
                <w:w w:val="85"/>
                <w:sz w:val="14"/>
              </w:rPr>
              <w:t> </w:t>
            </w:r>
            <w:r>
              <w:rPr>
                <w:b/>
                <w:color w:val="231F20"/>
                <w:w w:val="85"/>
                <w:sz w:val="14"/>
              </w:rPr>
              <w:t>de</w:t>
            </w:r>
            <w:r>
              <w:rPr>
                <w:b/>
                <w:color w:val="231F20"/>
                <w:spacing w:val="-7"/>
                <w:w w:val="85"/>
                <w:sz w:val="14"/>
              </w:rPr>
              <w:t> </w:t>
            </w:r>
            <w:r>
              <w:rPr>
                <w:b/>
                <w:color w:val="231F20"/>
                <w:w w:val="85"/>
                <w:sz w:val="14"/>
              </w:rPr>
              <w:t>acuerdo</w:t>
            </w:r>
            <w:r>
              <w:rPr>
                <w:b/>
                <w:color w:val="231F20"/>
                <w:spacing w:val="-7"/>
                <w:w w:val="85"/>
                <w:sz w:val="14"/>
              </w:rPr>
              <w:t> </w:t>
            </w:r>
            <w:r>
              <w:rPr>
                <w:b/>
                <w:color w:val="231F20"/>
                <w:w w:val="85"/>
                <w:sz w:val="14"/>
              </w:rPr>
              <w:t>a</w:t>
            </w:r>
            <w:r>
              <w:rPr>
                <w:b/>
                <w:color w:val="231F20"/>
                <w:spacing w:val="-7"/>
                <w:w w:val="85"/>
                <w:sz w:val="14"/>
              </w:rPr>
              <w:t> </w:t>
            </w:r>
            <w:r>
              <w:rPr>
                <w:b/>
                <w:color w:val="231F20"/>
                <w:w w:val="85"/>
                <w:sz w:val="14"/>
              </w:rPr>
              <w:t>PDM e</w:t>
            </w:r>
            <w:r>
              <w:rPr>
                <w:b/>
                <w:color w:val="231F20"/>
                <w:spacing w:val="-20"/>
                <w:w w:val="85"/>
                <w:sz w:val="14"/>
              </w:rPr>
              <w:t> </w:t>
            </w:r>
            <w:r>
              <w:rPr>
                <w:b/>
                <w:color w:val="231F20"/>
                <w:spacing w:val="2"/>
                <w:w w:val="85"/>
                <w:sz w:val="14"/>
              </w:rPr>
              <w:t>indicadores</w:t>
            </w:r>
            <w:r>
              <w:rPr>
                <w:b/>
                <w:color w:val="231F20"/>
                <w:spacing w:val="-20"/>
                <w:w w:val="85"/>
                <w:sz w:val="14"/>
              </w:rPr>
              <w:t> </w:t>
            </w:r>
            <w:r>
              <w:rPr>
                <w:b/>
                <w:color w:val="231F20"/>
                <w:w w:val="85"/>
                <w:sz w:val="14"/>
              </w:rPr>
              <w:t>de</w:t>
            </w:r>
            <w:r>
              <w:rPr>
                <w:b/>
                <w:color w:val="231F20"/>
                <w:spacing w:val="-20"/>
                <w:w w:val="85"/>
                <w:sz w:val="14"/>
              </w:rPr>
              <w:t> </w:t>
            </w:r>
            <w:r>
              <w:rPr>
                <w:b/>
                <w:color w:val="231F20"/>
                <w:w w:val="85"/>
                <w:sz w:val="14"/>
              </w:rPr>
              <w:t>INEGI,</w:t>
            </w:r>
            <w:r>
              <w:rPr>
                <w:b/>
                <w:color w:val="231F20"/>
                <w:spacing w:val="-20"/>
                <w:w w:val="85"/>
                <w:sz w:val="14"/>
              </w:rPr>
              <w:t> </w:t>
            </w:r>
            <w:r>
              <w:rPr>
                <w:b/>
                <w:color w:val="231F20"/>
                <w:w w:val="85"/>
                <w:sz w:val="14"/>
              </w:rPr>
              <w:t>CONAPO </w:t>
            </w:r>
            <w:r>
              <w:rPr>
                <w:b/>
                <w:color w:val="231F20"/>
                <w:w w:val="80"/>
                <w:sz w:val="14"/>
              </w:rPr>
              <w:t>y</w:t>
            </w:r>
            <w:r>
              <w:rPr>
                <w:b/>
                <w:color w:val="231F20"/>
                <w:spacing w:val="-2"/>
                <w:w w:val="80"/>
                <w:sz w:val="14"/>
              </w:rPr>
              <w:t> </w:t>
            </w:r>
            <w:r>
              <w:rPr>
                <w:b/>
                <w:color w:val="231F20"/>
                <w:w w:val="80"/>
                <w:sz w:val="14"/>
              </w:rPr>
              <w:t>PNUD.</w:t>
            </w:r>
          </w:p>
        </w:tc>
        <w:tc>
          <w:tcPr>
            <w:tcW w:w="1951" w:type="dxa"/>
            <w:shd w:val="clear" w:color="auto" w:fill="E6E6E6"/>
          </w:tcPr>
          <w:p>
            <w:pPr>
              <w:pStyle w:val="TableParagraph"/>
              <w:spacing w:line="127" w:lineRule="exact"/>
              <w:ind w:left="248" w:right="248"/>
              <w:jc w:val="center"/>
              <w:rPr>
                <w:b/>
                <w:sz w:val="14"/>
              </w:rPr>
            </w:pPr>
            <w:r>
              <w:rPr>
                <w:b/>
                <w:color w:val="231F20"/>
                <w:w w:val="95"/>
                <w:sz w:val="14"/>
              </w:rPr>
              <w:t>Estrategia</w:t>
            </w:r>
          </w:p>
          <w:p>
            <w:pPr>
              <w:pStyle w:val="TableParagraph"/>
              <w:spacing w:line="140" w:lineRule="exact" w:before="6"/>
              <w:ind w:left="250" w:right="248"/>
              <w:jc w:val="center"/>
              <w:rPr>
                <w:b/>
                <w:sz w:val="14"/>
              </w:rPr>
            </w:pPr>
            <w:r>
              <w:rPr>
                <w:b/>
                <w:color w:val="231F20"/>
                <w:w w:val="85"/>
                <w:sz w:val="14"/>
              </w:rPr>
              <w:t>Plan de Desarrollo Municipal </w:t>
            </w:r>
            <w:r>
              <w:rPr>
                <w:b/>
                <w:color w:val="231F20"/>
                <w:w w:val="95"/>
                <w:sz w:val="14"/>
              </w:rPr>
              <w:t>(2006-2009)</w:t>
            </w:r>
          </w:p>
        </w:tc>
        <w:tc>
          <w:tcPr>
            <w:tcW w:w="2998" w:type="dxa"/>
            <w:shd w:val="clear" w:color="auto" w:fill="E6E6E6"/>
          </w:tcPr>
          <w:p>
            <w:pPr>
              <w:pStyle w:val="TableParagraph"/>
              <w:spacing w:line="127" w:lineRule="exact"/>
              <w:ind w:left="556" w:right="556"/>
              <w:jc w:val="center"/>
              <w:rPr>
                <w:b/>
                <w:sz w:val="14"/>
              </w:rPr>
            </w:pPr>
            <w:r>
              <w:rPr>
                <w:b/>
                <w:color w:val="231F20"/>
                <w:w w:val="95"/>
                <w:sz w:val="14"/>
              </w:rPr>
              <w:t>Resultado:</w:t>
            </w:r>
          </w:p>
          <w:p>
            <w:pPr>
              <w:pStyle w:val="TableParagraph"/>
              <w:spacing w:line="155" w:lineRule="exact"/>
              <w:ind w:left="556" w:right="556"/>
              <w:jc w:val="center"/>
              <w:rPr>
                <w:b/>
                <w:sz w:val="14"/>
              </w:rPr>
            </w:pPr>
            <w:r>
              <w:rPr>
                <w:b/>
                <w:color w:val="231F20"/>
                <w:w w:val="85"/>
                <w:sz w:val="14"/>
              </w:rPr>
              <w:t>Segundo Informe de Gobierno (2008)</w:t>
            </w:r>
          </w:p>
        </w:tc>
      </w:tr>
      <w:tr>
        <w:trPr>
          <w:trHeight w:val="395" w:hRule="exact"/>
        </w:trPr>
        <w:tc>
          <w:tcPr>
            <w:tcW w:w="335" w:type="dxa"/>
            <w:vMerge w:val="restart"/>
            <w:textDirection w:val="btLr"/>
          </w:tcPr>
          <w:p>
            <w:pPr>
              <w:pStyle w:val="TableParagraph"/>
              <w:spacing w:before="74"/>
              <w:ind w:left="2635" w:right="2635"/>
              <w:jc w:val="center"/>
              <w:rPr>
                <w:sz w:val="14"/>
              </w:rPr>
            </w:pPr>
            <w:r>
              <w:rPr>
                <w:color w:val="231F20"/>
                <w:spacing w:val="2"/>
                <w:w w:val="78"/>
                <w:sz w:val="14"/>
              </w:rPr>
              <w:t>S</w:t>
            </w:r>
            <w:r>
              <w:rPr>
                <w:color w:val="231F20"/>
                <w:spacing w:val="2"/>
                <w:w w:val="72"/>
                <w:sz w:val="14"/>
              </w:rPr>
              <w:t>e</w:t>
            </w:r>
            <w:r>
              <w:rPr>
                <w:color w:val="231F20"/>
                <w:spacing w:val="2"/>
                <w:w w:val="84"/>
                <w:sz w:val="14"/>
              </w:rPr>
              <w:t>g</w:t>
            </w:r>
            <w:r>
              <w:rPr>
                <w:color w:val="231F20"/>
                <w:spacing w:val="2"/>
                <w:w w:val="73"/>
                <w:sz w:val="14"/>
              </w:rPr>
              <w:t>ur</w:t>
            </w:r>
            <w:r>
              <w:rPr>
                <w:color w:val="231F20"/>
                <w:spacing w:val="2"/>
                <w:w w:val="80"/>
                <w:sz w:val="14"/>
              </w:rPr>
              <w:t>i</w:t>
            </w:r>
            <w:r>
              <w:rPr>
                <w:color w:val="231F20"/>
                <w:spacing w:val="1"/>
                <w:w w:val="75"/>
                <w:sz w:val="14"/>
              </w:rPr>
              <w:t>d</w:t>
            </w:r>
            <w:r>
              <w:rPr>
                <w:color w:val="231F20"/>
                <w:spacing w:val="2"/>
                <w:w w:val="75"/>
                <w:sz w:val="14"/>
              </w:rPr>
              <w:t>a</w:t>
            </w:r>
            <w:r>
              <w:rPr>
                <w:color w:val="231F20"/>
                <w:w w:val="75"/>
                <w:sz w:val="14"/>
              </w:rPr>
              <w:t>d</w:t>
            </w:r>
            <w:r>
              <w:rPr>
                <w:color w:val="231F20"/>
                <w:spacing w:val="-10"/>
                <w:sz w:val="14"/>
              </w:rPr>
              <w:t> </w:t>
            </w:r>
            <w:r>
              <w:rPr>
                <w:color w:val="231F20"/>
                <w:spacing w:val="2"/>
                <w:w w:val="72"/>
                <w:sz w:val="14"/>
              </w:rPr>
              <w:t>e</w:t>
            </w:r>
            <w:r>
              <w:rPr>
                <w:color w:val="231F20"/>
                <w:spacing w:val="1"/>
                <w:w w:val="71"/>
                <w:sz w:val="14"/>
              </w:rPr>
              <w:t>c</w:t>
            </w:r>
            <w:r>
              <w:rPr>
                <w:color w:val="231F20"/>
                <w:spacing w:val="2"/>
                <w:w w:val="74"/>
                <w:sz w:val="14"/>
              </w:rPr>
              <w:t>on</w:t>
            </w:r>
            <w:r>
              <w:rPr>
                <w:color w:val="231F20"/>
                <w:spacing w:val="2"/>
                <w:w w:val="75"/>
                <w:sz w:val="14"/>
              </w:rPr>
              <w:t>ó</w:t>
            </w:r>
            <w:r>
              <w:rPr>
                <w:color w:val="231F20"/>
                <w:spacing w:val="1"/>
                <w:w w:val="75"/>
                <w:sz w:val="14"/>
              </w:rPr>
              <w:t>m</w:t>
            </w:r>
            <w:r>
              <w:rPr>
                <w:color w:val="231F20"/>
                <w:spacing w:val="1"/>
                <w:w w:val="80"/>
                <w:sz w:val="14"/>
              </w:rPr>
              <w:t>i</w:t>
            </w:r>
            <w:r>
              <w:rPr>
                <w:color w:val="231F20"/>
                <w:spacing w:val="3"/>
                <w:w w:val="71"/>
                <w:sz w:val="14"/>
              </w:rPr>
              <w:t>c</w:t>
            </w:r>
            <w:r>
              <w:rPr>
                <w:color w:val="231F20"/>
                <w:w w:val="75"/>
                <w:sz w:val="14"/>
              </w:rPr>
              <w:t>a</w:t>
            </w:r>
          </w:p>
        </w:tc>
        <w:tc>
          <w:tcPr>
            <w:tcW w:w="717" w:type="dxa"/>
            <w:vMerge w:val="restart"/>
          </w:tcPr>
          <w:p>
            <w:pPr>
              <w:pStyle w:val="TableParagraph"/>
              <w:spacing w:line="196" w:lineRule="auto"/>
              <w:ind w:left="181" w:right="118" w:firstLine="57"/>
              <w:rPr>
                <w:sz w:val="14"/>
              </w:rPr>
            </w:pPr>
            <w:r>
              <w:rPr>
                <w:color w:val="231F20"/>
                <w:w w:val="85"/>
                <w:sz w:val="14"/>
              </w:rPr>
              <w:t>Agua </w:t>
            </w:r>
            <w:r>
              <w:rPr>
                <w:color w:val="231F20"/>
                <w:w w:val="75"/>
                <w:sz w:val="14"/>
              </w:rPr>
              <w:t>potable</w:t>
            </w:r>
          </w:p>
        </w:tc>
        <w:tc>
          <w:tcPr>
            <w:tcW w:w="1963" w:type="dxa"/>
            <w:vMerge w:val="restart"/>
          </w:tcPr>
          <w:p>
            <w:pPr>
              <w:pStyle w:val="TableParagraph"/>
              <w:spacing w:line="196" w:lineRule="auto"/>
              <w:ind w:left="683" w:right="148" w:hanging="460"/>
              <w:rPr>
                <w:sz w:val="14"/>
              </w:rPr>
            </w:pPr>
            <w:r>
              <w:rPr>
                <w:color w:val="231F20"/>
                <w:w w:val="80"/>
                <w:sz w:val="14"/>
              </w:rPr>
              <w:t>Déficit de cobertura en servicio de agua potable</w:t>
            </w:r>
          </w:p>
        </w:tc>
        <w:tc>
          <w:tcPr>
            <w:tcW w:w="1951" w:type="dxa"/>
            <w:vMerge w:val="restart"/>
          </w:tcPr>
          <w:p>
            <w:pPr>
              <w:pStyle w:val="TableParagraph"/>
              <w:spacing w:line="196" w:lineRule="auto"/>
              <w:ind w:left="474" w:right="82" w:hanging="310"/>
              <w:rPr>
                <w:sz w:val="14"/>
              </w:rPr>
            </w:pPr>
            <w:r>
              <w:rPr>
                <w:color w:val="231F20"/>
                <w:w w:val="80"/>
                <w:sz w:val="14"/>
              </w:rPr>
              <w:t>Ampliar red de cobertura. Avance de </w:t>
            </w:r>
            <w:r>
              <w:rPr>
                <w:color w:val="231F20"/>
                <w:w w:val="75"/>
                <w:sz w:val="14"/>
              </w:rPr>
              <w:t>construcción de presa.</w:t>
            </w:r>
          </w:p>
        </w:tc>
        <w:tc>
          <w:tcPr>
            <w:tcW w:w="2998" w:type="dxa"/>
          </w:tcPr>
          <w:p>
            <w:pPr>
              <w:pStyle w:val="TableParagraph"/>
              <w:spacing w:line="196" w:lineRule="auto"/>
              <w:ind w:left="1091" w:right="31" w:hanging="960"/>
              <w:rPr>
                <w:sz w:val="14"/>
              </w:rPr>
            </w:pPr>
            <w:r>
              <w:rPr>
                <w:color w:val="231F20"/>
                <w:w w:val="80"/>
                <w:sz w:val="14"/>
              </w:rPr>
              <w:t>Entubamiento de agua potable para la comunidad de Albrojo, San Diego y Alcalá</w:t>
            </w:r>
          </w:p>
        </w:tc>
      </w:tr>
      <w:tr>
        <w:trPr>
          <w:trHeight w:val="372"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96" w:lineRule="auto"/>
              <w:ind w:left="1299" w:right="31" w:hanging="1143"/>
              <w:rPr>
                <w:sz w:val="14"/>
              </w:rPr>
            </w:pPr>
            <w:r>
              <w:rPr>
                <w:color w:val="231F20"/>
                <w:w w:val="80"/>
                <w:sz w:val="14"/>
              </w:rPr>
              <w:t>Envío</w:t>
            </w:r>
            <w:r>
              <w:rPr>
                <w:color w:val="231F20"/>
                <w:spacing w:val="-13"/>
                <w:w w:val="80"/>
                <w:sz w:val="14"/>
              </w:rPr>
              <w:t> </w:t>
            </w:r>
            <w:r>
              <w:rPr>
                <w:color w:val="231F20"/>
                <w:w w:val="80"/>
                <w:sz w:val="14"/>
              </w:rPr>
              <w:t>de</w:t>
            </w:r>
            <w:r>
              <w:rPr>
                <w:color w:val="231F20"/>
                <w:spacing w:val="-13"/>
                <w:w w:val="80"/>
                <w:sz w:val="14"/>
              </w:rPr>
              <w:t> </w:t>
            </w:r>
            <w:r>
              <w:rPr>
                <w:color w:val="231F20"/>
                <w:w w:val="80"/>
                <w:sz w:val="14"/>
              </w:rPr>
              <w:t>2,211</w:t>
            </w:r>
            <w:r>
              <w:rPr>
                <w:color w:val="231F20"/>
                <w:spacing w:val="-13"/>
                <w:w w:val="80"/>
                <w:sz w:val="14"/>
              </w:rPr>
              <w:t> </w:t>
            </w:r>
            <w:r>
              <w:rPr>
                <w:color w:val="231F20"/>
                <w:w w:val="80"/>
                <w:sz w:val="14"/>
              </w:rPr>
              <w:t>pipas</w:t>
            </w:r>
            <w:r>
              <w:rPr>
                <w:color w:val="231F20"/>
                <w:spacing w:val="-13"/>
                <w:w w:val="80"/>
                <w:sz w:val="14"/>
              </w:rPr>
              <w:t> </w:t>
            </w:r>
            <w:r>
              <w:rPr>
                <w:color w:val="231F20"/>
                <w:w w:val="80"/>
                <w:sz w:val="14"/>
              </w:rPr>
              <w:t>de</w:t>
            </w:r>
            <w:r>
              <w:rPr>
                <w:color w:val="231F20"/>
                <w:spacing w:val="-13"/>
                <w:w w:val="80"/>
                <w:sz w:val="14"/>
              </w:rPr>
              <w:t> </w:t>
            </w:r>
            <w:r>
              <w:rPr>
                <w:color w:val="231F20"/>
                <w:w w:val="80"/>
                <w:sz w:val="14"/>
              </w:rPr>
              <w:t>agua</w:t>
            </w:r>
            <w:r>
              <w:rPr>
                <w:color w:val="231F20"/>
                <w:spacing w:val="-13"/>
                <w:w w:val="80"/>
                <w:sz w:val="14"/>
              </w:rPr>
              <w:t> </w:t>
            </w:r>
            <w:r>
              <w:rPr>
                <w:color w:val="231F20"/>
                <w:w w:val="80"/>
                <w:sz w:val="14"/>
              </w:rPr>
              <w:t>a</w:t>
            </w:r>
            <w:r>
              <w:rPr>
                <w:color w:val="231F20"/>
                <w:spacing w:val="-13"/>
                <w:w w:val="80"/>
                <w:sz w:val="14"/>
              </w:rPr>
              <w:t> </w:t>
            </w:r>
            <w:r>
              <w:rPr>
                <w:color w:val="231F20"/>
                <w:w w:val="80"/>
                <w:sz w:val="14"/>
              </w:rPr>
              <w:t>comunidades</w:t>
            </w:r>
            <w:r>
              <w:rPr>
                <w:color w:val="231F20"/>
                <w:spacing w:val="-13"/>
                <w:w w:val="80"/>
                <w:sz w:val="14"/>
              </w:rPr>
              <w:t> </w:t>
            </w:r>
            <w:r>
              <w:rPr>
                <w:color w:val="231F20"/>
                <w:w w:val="80"/>
                <w:sz w:val="14"/>
              </w:rPr>
              <w:t>que</w:t>
            </w:r>
            <w:r>
              <w:rPr>
                <w:color w:val="231F20"/>
                <w:spacing w:val="-13"/>
                <w:w w:val="80"/>
                <w:sz w:val="14"/>
              </w:rPr>
              <w:t> </w:t>
            </w:r>
            <w:r>
              <w:rPr>
                <w:color w:val="231F20"/>
                <w:w w:val="80"/>
                <w:sz w:val="14"/>
              </w:rPr>
              <w:t>carecen</w:t>
            </w:r>
            <w:r>
              <w:rPr>
                <w:color w:val="231F20"/>
                <w:spacing w:val="-13"/>
                <w:w w:val="80"/>
                <w:sz w:val="14"/>
              </w:rPr>
              <w:t> </w:t>
            </w:r>
            <w:r>
              <w:rPr>
                <w:color w:val="231F20"/>
                <w:w w:val="80"/>
                <w:sz w:val="14"/>
              </w:rPr>
              <w:t>del líquido.</w:t>
            </w:r>
            <w:r>
              <w:rPr>
                <w:color w:val="231F20"/>
                <w:spacing w:val="-10"/>
                <w:w w:val="80"/>
                <w:sz w:val="14"/>
              </w:rPr>
              <w:t> </w:t>
            </w:r>
            <w:r>
              <w:rPr>
                <w:color w:val="231F20"/>
                <w:w w:val="80"/>
                <w:sz w:val="14"/>
              </w:rPr>
              <w:t>.</w:t>
            </w:r>
          </w:p>
        </w:tc>
      </w:tr>
      <w:tr>
        <w:trPr>
          <w:trHeight w:val="292" w:hRule="exact"/>
        </w:trPr>
        <w:tc>
          <w:tcPr>
            <w:tcW w:w="335" w:type="dxa"/>
            <w:vMerge/>
            <w:textDirection w:val="btLr"/>
          </w:tcPr>
          <w:p>
            <w:pPr/>
          </w:p>
        </w:tc>
        <w:tc>
          <w:tcPr>
            <w:tcW w:w="717" w:type="dxa"/>
            <w:vMerge w:val="restart"/>
          </w:tcPr>
          <w:p>
            <w:pPr>
              <w:pStyle w:val="TableParagraph"/>
              <w:spacing w:line="143" w:lineRule="exact"/>
              <w:ind w:left="180"/>
              <w:rPr>
                <w:sz w:val="14"/>
              </w:rPr>
            </w:pPr>
            <w:r>
              <w:rPr>
                <w:color w:val="231F20"/>
                <w:w w:val="85"/>
                <w:sz w:val="14"/>
              </w:rPr>
              <w:t>Drenaje</w:t>
            </w:r>
          </w:p>
        </w:tc>
        <w:tc>
          <w:tcPr>
            <w:tcW w:w="1963" w:type="dxa"/>
            <w:vMerge w:val="restart"/>
          </w:tcPr>
          <w:p>
            <w:pPr>
              <w:pStyle w:val="TableParagraph"/>
              <w:spacing w:line="143" w:lineRule="exact"/>
              <w:ind w:left="291" w:right="148"/>
              <w:rPr>
                <w:sz w:val="14"/>
              </w:rPr>
            </w:pPr>
            <w:r>
              <w:rPr>
                <w:color w:val="231F20"/>
                <w:w w:val="80"/>
                <w:sz w:val="14"/>
              </w:rPr>
              <w:t>Déficit de cobertura de drenaje</w:t>
            </w:r>
          </w:p>
        </w:tc>
        <w:tc>
          <w:tcPr>
            <w:tcW w:w="1951" w:type="dxa"/>
            <w:vMerge w:val="restart"/>
          </w:tcPr>
          <w:p>
            <w:pPr>
              <w:pStyle w:val="TableParagraph"/>
              <w:spacing w:line="196" w:lineRule="auto"/>
              <w:ind w:left="602" w:right="19" w:hanging="500"/>
              <w:rPr>
                <w:sz w:val="14"/>
              </w:rPr>
            </w:pPr>
            <w:r>
              <w:rPr>
                <w:color w:val="231F20"/>
                <w:w w:val="80"/>
                <w:sz w:val="14"/>
              </w:rPr>
              <w:t>Ampliar red de cobertura. Construcción de un km de red.</w:t>
            </w:r>
          </w:p>
        </w:tc>
        <w:tc>
          <w:tcPr>
            <w:tcW w:w="2998" w:type="dxa"/>
          </w:tcPr>
          <w:p>
            <w:pPr>
              <w:pStyle w:val="TableParagraph"/>
              <w:spacing w:line="143" w:lineRule="exact"/>
              <w:ind w:left="307" w:right="31"/>
              <w:rPr>
                <w:sz w:val="14"/>
              </w:rPr>
            </w:pPr>
            <w:r>
              <w:rPr>
                <w:color w:val="231F20"/>
                <w:w w:val="80"/>
                <w:sz w:val="14"/>
              </w:rPr>
              <w:t>Entubamiento de las aguas del canal, con 1,119 tubos.</w:t>
            </w:r>
          </w:p>
        </w:tc>
      </w:tr>
      <w:tr>
        <w:trPr>
          <w:trHeight w:val="316"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96" w:lineRule="auto"/>
              <w:ind w:left="1330" w:right="106" w:hanging="1125"/>
              <w:rPr>
                <w:sz w:val="14"/>
              </w:rPr>
            </w:pPr>
            <w:r>
              <w:rPr>
                <w:color w:val="231F20"/>
                <w:w w:val="80"/>
                <w:sz w:val="14"/>
              </w:rPr>
              <w:t>Entubamiento de aguas residuales de los ríos los Sabinos y </w:t>
            </w:r>
            <w:r>
              <w:rPr>
                <w:color w:val="231F20"/>
                <w:w w:val="85"/>
                <w:sz w:val="14"/>
              </w:rPr>
              <w:t>Salado.</w:t>
            </w:r>
          </w:p>
        </w:tc>
      </w:tr>
      <w:tr>
        <w:trPr>
          <w:trHeight w:val="255" w:hRule="exact"/>
        </w:trPr>
        <w:tc>
          <w:tcPr>
            <w:tcW w:w="335" w:type="dxa"/>
            <w:vMerge/>
            <w:textDirection w:val="btLr"/>
          </w:tcPr>
          <w:p>
            <w:pPr/>
          </w:p>
        </w:tc>
        <w:tc>
          <w:tcPr>
            <w:tcW w:w="717" w:type="dxa"/>
          </w:tcPr>
          <w:p>
            <w:pPr>
              <w:pStyle w:val="TableParagraph"/>
              <w:spacing w:line="143" w:lineRule="exact"/>
              <w:ind w:left="137"/>
              <w:rPr>
                <w:sz w:val="14"/>
              </w:rPr>
            </w:pPr>
            <w:r>
              <w:rPr>
                <w:color w:val="231F20"/>
                <w:w w:val="85"/>
                <w:sz w:val="14"/>
              </w:rPr>
              <w:t>Viviendas</w:t>
            </w:r>
          </w:p>
        </w:tc>
        <w:tc>
          <w:tcPr>
            <w:tcW w:w="1963" w:type="dxa"/>
          </w:tcPr>
          <w:p>
            <w:pPr>
              <w:pStyle w:val="TableParagraph"/>
              <w:spacing w:line="196" w:lineRule="auto"/>
              <w:ind w:left="493" w:right="74" w:hanging="341"/>
              <w:rPr>
                <w:sz w:val="14"/>
              </w:rPr>
            </w:pPr>
            <w:r>
              <w:rPr>
                <w:color w:val="231F20"/>
                <w:w w:val="80"/>
                <w:sz w:val="14"/>
              </w:rPr>
              <w:t>Marginación: alto índice de techos de </w:t>
            </w:r>
            <w:r>
              <w:rPr>
                <w:color w:val="231F20"/>
                <w:w w:val="75"/>
                <w:sz w:val="14"/>
              </w:rPr>
              <w:t>viviendas  vulnerables</w:t>
            </w:r>
          </w:p>
        </w:tc>
        <w:tc>
          <w:tcPr>
            <w:tcW w:w="1951" w:type="dxa"/>
          </w:tcPr>
          <w:p>
            <w:pPr>
              <w:pStyle w:val="TableParagraph"/>
              <w:spacing w:line="196" w:lineRule="auto"/>
              <w:ind w:left="544" w:right="82" w:hanging="375"/>
              <w:rPr>
                <w:sz w:val="14"/>
              </w:rPr>
            </w:pPr>
            <w:r>
              <w:rPr>
                <w:color w:val="231F20"/>
                <w:w w:val="80"/>
                <w:sz w:val="14"/>
              </w:rPr>
              <w:t>Implementar programas de mejora- miento de vivienda</w:t>
            </w:r>
          </w:p>
        </w:tc>
        <w:tc>
          <w:tcPr>
            <w:tcW w:w="2998" w:type="dxa"/>
          </w:tcPr>
          <w:p>
            <w:pPr>
              <w:pStyle w:val="TableParagraph"/>
              <w:spacing w:line="143" w:lineRule="exact"/>
              <w:ind w:left="0" w:right="156"/>
              <w:jc w:val="right"/>
              <w:rPr>
                <w:sz w:val="14"/>
              </w:rPr>
            </w:pPr>
            <w:r>
              <w:rPr>
                <w:color w:val="231F20"/>
                <w:w w:val="80"/>
                <w:sz w:val="14"/>
              </w:rPr>
              <w:t>“Tu casa”, programa federal para mejoramiento de vivienda.</w:t>
            </w:r>
          </w:p>
        </w:tc>
      </w:tr>
      <w:tr>
        <w:trPr>
          <w:trHeight w:val="395" w:hRule="exact"/>
        </w:trPr>
        <w:tc>
          <w:tcPr>
            <w:tcW w:w="335" w:type="dxa"/>
            <w:vMerge/>
            <w:textDirection w:val="btLr"/>
          </w:tcPr>
          <w:p>
            <w:pPr/>
          </w:p>
        </w:tc>
        <w:tc>
          <w:tcPr>
            <w:tcW w:w="717" w:type="dxa"/>
          </w:tcPr>
          <w:p>
            <w:pPr>
              <w:pStyle w:val="TableParagraph"/>
              <w:spacing w:line="196" w:lineRule="auto"/>
              <w:ind w:left="146" w:right="144" w:firstLine="31"/>
              <w:jc w:val="both"/>
              <w:rPr>
                <w:sz w:val="14"/>
              </w:rPr>
            </w:pPr>
            <w:r>
              <w:rPr>
                <w:color w:val="231F20"/>
                <w:w w:val="85"/>
                <w:sz w:val="14"/>
              </w:rPr>
              <w:t>Asenta- mientos </w:t>
            </w:r>
            <w:r>
              <w:rPr>
                <w:color w:val="231F20"/>
                <w:w w:val="75"/>
                <w:sz w:val="14"/>
              </w:rPr>
              <w:t>humanos</w:t>
            </w:r>
          </w:p>
        </w:tc>
        <w:tc>
          <w:tcPr>
            <w:tcW w:w="1963" w:type="dxa"/>
          </w:tcPr>
          <w:p>
            <w:pPr>
              <w:pStyle w:val="TableParagraph"/>
              <w:spacing w:line="143" w:lineRule="exact"/>
              <w:ind w:left="194" w:right="194"/>
              <w:jc w:val="center"/>
              <w:rPr>
                <w:sz w:val="14"/>
              </w:rPr>
            </w:pPr>
            <w:r>
              <w:rPr>
                <w:color w:val="231F20"/>
                <w:w w:val="75"/>
                <w:sz w:val="14"/>
              </w:rPr>
              <w:t>Asentamientos  irregulares</w:t>
            </w:r>
          </w:p>
        </w:tc>
        <w:tc>
          <w:tcPr>
            <w:tcW w:w="1951" w:type="dxa"/>
          </w:tcPr>
          <w:p>
            <w:pPr>
              <w:pStyle w:val="TableParagraph"/>
              <w:spacing w:line="196" w:lineRule="auto"/>
              <w:ind w:left="160" w:right="82" w:firstLine="67"/>
              <w:rPr>
                <w:sz w:val="14"/>
              </w:rPr>
            </w:pPr>
            <w:r>
              <w:rPr>
                <w:color w:val="231F20"/>
                <w:w w:val="80"/>
                <w:sz w:val="14"/>
              </w:rPr>
              <w:t>Regular asentamientos urbanos y </w:t>
            </w:r>
            <w:r>
              <w:rPr>
                <w:color w:val="231F20"/>
                <w:w w:val="75"/>
                <w:sz w:val="14"/>
              </w:rPr>
              <w:t>reinstalar asentamientos  irregulares</w:t>
            </w:r>
          </w:p>
        </w:tc>
        <w:tc>
          <w:tcPr>
            <w:tcW w:w="2998" w:type="dxa"/>
          </w:tcPr>
          <w:p>
            <w:pPr>
              <w:pStyle w:val="TableParagraph"/>
              <w:spacing w:line="143" w:lineRule="exact"/>
              <w:ind w:left="556" w:right="556"/>
              <w:jc w:val="center"/>
              <w:rPr>
                <w:sz w:val="14"/>
              </w:rPr>
            </w:pPr>
            <w:r>
              <w:rPr>
                <w:color w:val="231F20"/>
                <w:w w:val="75"/>
                <w:sz w:val="14"/>
              </w:rPr>
              <w:t>No reporta</w:t>
            </w:r>
          </w:p>
        </w:tc>
      </w:tr>
      <w:tr>
        <w:trPr>
          <w:trHeight w:val="283" w:hRule="exact"/>
        </w:trPr>
        <w:tc>
          <w:tcPr>
            <w:tcW w:w="335" w:type="dxa"/>
            <w:vMerge/>
            <w:textDirection w:val="btLr"/>
          </w:tcPr>
          <w:p>
            <w:pPr/>
          </w:p>
        </w:tc>
        <w:tc>
          <w:tcPr>
            <w:tcW w:w="717" w:type="dxa"/>
          </w:tcPr>
          <w:p>
            <w:pPr>
              <w:pStyle w:val="TableParagraph"/>
              <w:spacing w:line="196" w:lineRule="auto"/>
              <w:ind w:left="203" w:right="105" w:hanging="85"/>
              <w:rPr>
                <w:sz w:val="14"/>
              </w:rPr>
            </w:pPr>
            <w:r>
              <w:rPr>
                <w:color w:val="231F20"/>
                <w:w w:val="75"/>
                <w:sz w:val="14"/>
              </w:rPr>
              <w:t>Centros de </w:t>
            </w:r>
            <w:r>
              <w:rPr>
                <w:color w:val="231F20"/>
                <w:w w:val="85"/>
                <w:sz w:val="14"/>
              </w:rPr>
              <w:t>abasto</w:t>
            </w:r>
          </w:p>
        </w:tc>
        <w:tc>
          <w:tcPr>
            <w:tcW w:w="1963" w:type="dxa"/>
          </w:tcPr>
          <w:p>
            <w:pPr>
              <w:pStyle w:val="TableParagraph"/>
              <w:spacing w:line="142" w:lineRule="exact"/>
              <w:ind w:left="195" w:right="194"/>
              <w:jc w:val="center"/>
              <w:rPr>
                <w:sz w:val="14"/>
              </w:rPr>
            </w:pPr>
            <w:r>
              <w:rPr>
                <w:color w:val="231F20"/>
                <w:w w:val="75"/>
                <w:sz w:val="14"/>
              </w:rPr>
              <w:t>Inoperatividad de mercado</w:t>
            </w:r>
          </w:p>
        </w:tc>
        <w:tc>
          <w:tcPr>
            <w:tcW w:w="1951" w:type="dxa"/>
          </w:tcPr>
          <w:p>
            <w:pPr>
              <w:pStyle w:val="TableParagraph"/>
              <w:spacing w:line="142" w:lineRule="exact"/>
              <w:ind w:left="248" w:right="248"/>
              <w:jc w:val="center"/>
              <w:rPr>
                <w:sz w:val="14"/>
              </w:rPr>
            </w:pPr>
            <w:r>
              <w:rPr>
                <w:color w:val="231F20"/>
                <w:w w:val="80"/>
                <w:sz w:val="14"/>
              </w:rPr>
              <w:t>No existe dato.</w:t>
            </w:r>
          </w:p>
        </w:tc>
        <w:tc>
          <w:tcPr>
            <w:tcW w:w="2998" w:type="dxa"/>
          </w:tcPr>
          <w:p>
            <w:pPr>
              <w:pStyle w:val="TableParagraph"/>
              <w:spacing w:line="142" w:lineRule="exact"/>
              <w:ind w:left="556" w:right="555"/>
              <w:jc w:val="center"/>
              <w:rPr>
                <w:sz w:val="14"/>
              </w:rPr>
            </w:pPr>
            <w:r>
              <w:rPr>
                <w:color w:val="231F20"/>
                <w:w w:val="85"/>
                <w:sz w:val="14"/>
              </w:rPr>
              <w:t>Remodelación</w:t>
            </w:r>
          </w:p>
        </w:tc>
      </w:tr>
      <w:tr>
        <w:trPr>
          <w:trHeight w:val="231" w:hRule="exact"/>
        </w:trPr>
        <w:tc>
          <w:tcPr>
            <w:tcW w:w="335" w:type="dxa"/>
            <w:vMerge/>
            <w:textDirection w:val="btLr"/>
          </w:tcPr>
          <w:p>
            <w:pPr/>
          </w:p>
        </w:tc>
        <w:tc>
          <w:tcPr>
            <w:tcW w:w="717" w:type="dxa"/>
            <w:vMerge w:val="restart"/>
          </w:tcPr>
          <w:p>
            <w:pPr>
              <w:pStyle w:val="TableParagraph"/>
              <w:spacing w:line="196" w:lineRule="auto"/>
              <w:ind w:left="188" w:hanging="86"/>
              <w:rPr>
                <w:sz w:val="14"/>
              </w:rPr>
            </w:pPr>
            <w:r>
              <w:rPr>
                <w:color w:val="231F20"/>
                <w:w w:val="75"/>
                <w:sz w:val="14"/>
              </w:rPr>
              <w:t>Alumbrado </w:t>
            </w:r>
            <w:r>
              <w:rPr>
                <w:color w:val="231F20"/>
                <w:w w:val="85"/>
                <w:sz w:val="14"/>
              </w:rPr>
              <w:t>público</w:t>
            </w:r>
          </w:p>
        </w:tc>
        <w:tc>
          <w:tcPr>
            <w:tcW w:w="1963" w:type="dxa"/>
            <w:vMerge w:val="restart"/>
          </w:tcPr>
          <w:p>
            <w:pPr>
              <w:pStyle w:val="TableParagraph"/>
              <w:spacing w:line="142" w:lineRule="exact"/>
              <w:ind w:left="292" w:right="148"/>
              <w:rPr>
                <w:sz w:val="14"/>
              </w:rPr>
            </w:pPr>
            <w:r>
              <w:rPr>
                <w:color w:val="231F20"/>
                <w:w w:val="75"/>
                <w:sz w:val="14"/>
              </w:rPr>
              <w:t>Inexistencia de infraestructura</w:t>
            </w:r>
          </w:p>
        </w:tc>
        <w:tc>
          <w:tcPr>
            <w:tcW w:w="1951" w:type="dxa"/>
            <w:vMerge w:val="restart"/>
          </w:tcPr>
          <w:p>
            <w:pPr>
              <w:pStyle w:val="TableParagraph"/>
              <w:spacing w:line="142" w:lineRule="exact"/>
              <w:ind w:left="305" w:right="82"/>
              <w:rPr>
                <w:sz w:val="14"/>
              </w:rPr>
            </w:pPr>
            <w:r>
              <w:rPr>
                <w:color w:val="231F20"/>
                <w:w w:val="80"/>
                <w:sz w:val="14"/>
              </w:rPr>
              <w:t>Adquisición un equipo técnico</w:t>
            </w:r>
          </w:p>
        </w:tc>
        <w:tc>
          <w:tcPr>
            <w:tcW w:w="2998" w:type="dxa"/>
          </w:tcPr>
          <w:p>
            <w:pPr>
              <w:pStyle w:val="TableParagraph"/>
              <w:spacing w:line="142" w:lineRule="exact"/>
              <w:ind w:left="338" w:right="31"/>
              <w:rPr>
                <w:sz w:val="14"/>
              </w:rPr>
            </w:pPr>
            <w:r>
              <w:rPr>
                <w:color w:val="231F20"/>
                <w:w w:val="80"/>
                <w:sz w:val="14"/>
              </w:rPr>
              <w:t>Instalación de 73 lámparas y mantenimiento de 727.</w:t>
            </w:r>
          </w:p>
        </w:tc>
      </w:tr>
      <w:tr>
        <w:trPr>
          <w:trHeight w:val="201"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42" w:lineRule="exact"/>
              <w:ind w:left="340" w:right="31"/>
              <w:rPr>
                <w:sz w:val="14"/>
              </w:rPr>
            </w:pPr>
            <w:r>
              <w:rPr>
                <w:color w:val="231F20"/>
                <w:w w:val="80"/>
                <w:sz w:val="14"/>
              </w:rPr>
              <w:t>Adquisición de unidad para realizar mantenimiento.</w:t>
            </w:r>
          </w:p>
        </w:tc>
      </w:tr>
      <w:tr>
        <w:trPr>
          <w:trHeight w:val="141" w:hRule="exact"/>
        </w:trPr>
        <w:tc>
          <w:tcPr>
            <w:tcW w:w="335" w:type="dxa"/>
            <w:vMerge/>
            <w:textDirection w:val="btLr"/>
          </w:tcPr>
          <w:p>
            <w:pPr/>
          </w:p>
        </w:tc>
        <w:tc>
          <w:tcPr>
            <w:tcW w:w="717" w:type="dxa"/>
            <w:vMerge w:val="restart"/>
          </w:tcPr>
          <w:p>
            <w:pPr>
              <w:pStyle w:val="TableParagraph"/>
              <w:spacing w:line="196" w:lineRule="auto"/>
              <w:ind w:left="194" w:right="165" w:hanging="28"/>
              <w:jc w:val="both"/>
              <w:rPr>
                <w:sz w:val="14"/>
              </w:rPr>
            </w:pPr>
            <w:r>
              <w:rPr>
                <w:color w:val="231F20"/>
                <w:w w:val="75"/>
                <w:sz w:val="14"/>
              </w:rPr>
              <w:t>Recolec- </w:t>
            </w:r>
            <w:r>
              <w:rPr>
                <w:color w:val="231F20"/>
                <w:w w:val="85"/>
                <w:sz w:val="14"/>
              </w:rPr>
              <w:t>ción</w:t>
            </w:r>
            <w:r>
              <w:rPr>
                <w:color w:val="231F20"/>
                <w:spacing w:val="-18"/>
                <w:w w:val="85"/>
                <w:sz w:val="14"/>
              </w:rPr>
              <w:t> </w:t>
            </w:r>
            <w:r>
              <w:rPr>
                <w:color w:val="231F20"/>
                <w:w w:val="85"/>
                <w:sz w:val="14"/>
              </w:rPr>
              <w:t>de basura</w:t>
            </w:r>
          </w:p>
        </w:tc>
        <w:tc>
          <w:tcPr>
            <w:tcW w:w="1963" w:type="dxa"/>
          </w:tcPr>
          <w:p>
            <w:pPr>
              <w:pStyle w:val="TableParagraph"/>
              <w:spacing w:line="142" w:lineRule="exact"/>
              <w:ind w:left="194" w:right="194"/>
              <w:jc w:val="center"/>
              <w:rPr>
                <w:sz w:val="14"/>
              </w:rPr>
            </w:pPr>
            <w:r>
              <w:rPr>
                <w:color w:val="231F20"/>
                <w:w w:val="75"/>
                <w:sz w:val="14"/>
              </w:rPr>
              <w:t>Necesidad de nuevas  unidades</w:t>
            </w:r>
          </w:p>
        </w:tc>
        <w:tc>
          <w:tcPr>
            <w:tcW w:w="1951" w:type="dxa"/>
          </w:tcPr>
          <w:p>
            <w:pPr>
              <w:pStyle w:val="TableParagraph"/>
              <w:spacing w:line="142" w:lineRule="exact"/>
              <w:ind w:left="248" w:right="248"/>
              <w:jc w:val="center"/>
              <w:rPr>
                <w:sz w:val="14"/>
              </w:rPr>
            </w:pPr>
            <w:r>
              <w:rPr>
                <w:color w:val="231F20"/>
                <w:w w:val="80"/>
                <w:sz w:val="14"/>
              </w:rPr>
              <w:t>Adquisición de dos unidades</w:t>
            </w:r>
          </w:p>
        </w:tc>
        <w:tc>
          <w:tcPr>
            <w:tcW w:w="2998" w:type="dxa"/>
          </w:tcPr>
          <w:p>
            <w:pPr>
              <w:pStyle w:val="TableParagraph"/>
              <w:spacing w:line="142" w:lineRule="exact"/>
              <w:ind w:left="322" w:right="31"/>
              <w:rPr>
                <w:sz w:val="14"/>
              </w:rPr>
            </w:pPr>
            <w:r>
              <w:rPr>
                <w:color w:val="231F20"/>
                <w:w w:val="80"/>
                <w:sz w:val="14"/>
              </w:rPr>
              <w:t>Adquisición de un camión volteador. (recurso propio)</w:t>
            </w:r>
          </w:p>
        </w:tc>
      </w:tr>
      <w:tr>
        <w:trPr>
          <w:trHeight w:val="535" w:hRule="exact"/>
        </w:trPr>
        <w:tc>
          <w:tcPr>
            <w:tcW w:w="335" w:type="dxa"/>
            <w:vMerge/>
            <w:textDirection w:val="btLr"/>
          </w:tcPr>
          <w:p>
            <w:pPr/>
          </w:p>
        </w:tc>
        <w:tc>
          <w:tcPr>
            <w:tcW w:w="717" w:type="dxa"/>
            <w:vMerge/>
          </w:tcPr>
          <w:p>
            <w:pPr/>
          </w:p>
        </w:tc>
        <w:tc>
          <w:tcPr>
            <w:tcW w:w="1963" w:type="dxa"/>
          </w:tcPr>
          <w:p>
            <w:pPr>
              <w:pStyle w:val="TableParagraph"/>
              <w:spacing w:line="142" w:lineRule="exact"/>
              <w:ind w:left="102" w:right="102"/>
              <w:jc w:val="center"/>
              <w:rPr>
                <w:sz w:val="14"/>
              </w:rPr>
            </w:pPr>
            <w:r>
              <w:rPr>
                <w:color w:val="231F20"/>
                <w:w w:val="75"/>
                <w:sz w:val="14"/>
              </w:rPr>
              <w:t>Manejo inadecuado de residuos  sólidos</w:t>
            </w:r>
          </w:p>
        </w:tc>
        <w:tc>
          <w:tcPr>
            <w:tcW w:w="1951" w:type="dxa"/>
          </w:tcPr>
          <w:p>
            <w:pPr>
              <w:pStyle w:val="TableParagraph"/>
              <w:spacing w:line="196" w:lineRule="auto"/>
              <w:ind w:left="112" w:right="111"/>
              <w:jc w:val="center"/>
              <w:rPr>
                <w:sz w:val="14"/>
              </w:rPr>
            </w:pPr>
            <w:r>
              <w:rPr>
                <w:color w:val="231F20"/>
                <w:w w:val="80"/>
                <w:sz w:val="14"/>
              </w:rPr>
              <w:t>Cumplir</w:t>
            </w:r>
            <w:r>
              <w:rPr>
                <w:color w:val="231F20"/>
                <w:spacing w:val="-14"/>
                <w:w w:val="80"/>
                <w:sz w:val="14"/>
              </w:rPr>
              <w:t> </w:t>
            </w:r>
            <w:r>
              <w:rPr>
                <w:color w:val="231F20"/>
                <w:w w:val="80"/>
                <w:sz w:val="14"/>
              </w:rPr>
              <w:t>normas</w:t>
            </w:r>
            <w:r>
              <w:rPr>
                <w:color w:val="231F20"/>
                <w:spacing w:val="-14"/>
                <w:w w:val="80"/>
                <w:sz w:val="14"/>
              </w:rPr>
              <w:t> </w:t>
            </w:r>
            <w:r>
              <w:rPr>
                <w:color w:val="231F20"/>
                <w:w w:val="80"/>
                <w:sz w:val="14"/>
              </w:rPr>
              <w:t>ambientales.</w:t>
            </w:r>
            <w:r>
              <w:rPr>
                <w:color w:val="231F20"/>
                <w:spacing w:val="-14"/>
                <w:w w:val="80"/>
                <w:sz w:val="14"/>
              </w:rPr>
              <w:t> </w:t>
            </w:r>
            <w:r>
              <w:rPr>
                <w:color w:val="231F20"/>
                <w:w w:val="80"/>
                <w:sz w:val="14"/>
              </w:rPr>
              <w:t>Avance en</w:t>
            </w:r>
            <w:r>
              <w:rPr>
                <w:color w:val="231F20"/>
                <w:spacing w:val="-14"/>
                <w:w w:val="80"/>
                <w:sz w:val="14"/>
              </w:rPr>
              <w:t> </w:t>
            </w:r>
            <w:r>
              <w:rPr>
                <w:color w:val="231F20"/>
                <w:w w:val="80"/>
                <w:sz w:val="14"/>
              </w:rPr>
              <w:t>construcción</w:t>
            </w:r>
            <w:r>
              <w:rPr>
                <w:color w:val="231F20"/>
                <w:spacing w:val="-14"/>
                <w:w w:val="80"/>
                <w:sz w:val="14"/>
              </w:rPr>
              <w:t> </w:t>
            </w:r>
            <w:r>
              <w:rPr>
                <w:color w:val="231F20"/>
                <w:w w:val="80"/>
                <w:sz w:val="14"/>
              </w:rPr>
              <w:t>de</w:t>
            </w:r>
            <w:r>
              <w:rPr>
                <w:color w:val="231F20"/>
                <w:spacing w:val="-14"/>
                <w:w w:val="80"/>
                <w:sz w:val="14"/>
              </w:rPr>
              <w:t> </w:t>
            </w:r>
            <w:r>
              <w:rPr>
                <w:color w:val="231F20"/>
                <w:w w:val="80"/>
                <w:sz w:val="14"/>
              </w:rPr>
              <w:t>planta</w:t>
            </w:r>
            <w:r>
              <w:rPr>
                <w:color w:val="231F20"/>
                <w:spacing w:val="-14"/>
                <w:w w:val="80"/>
                <w:sz w:val="14"/>
              </w:rPr>
              <w:t> </w:t>
            </w:r>
            <w:r>
              <w:rPr>
                <w:color w:val="231F20"/>
                <w:w w:val="80"/>
                <w:sz w:val="14"/>
              </w:rPr>
              <w:t>tratadora</w:t>
            </w:r>
            <w:r>
              <w:rPr>
                <w:color w:val="231F20"/>
                <w:spacing w:val="-14"/>
                <w:w w:val="80"/>
                <w:sz w:val="14"/>
              </w:rPr>
              <w:t> </w:t>
            </w:r>
            <w:r>
              <w:rPr>
                <w:color w:val="231F20"/>
                <w:w w:val="80"/>
                <w:sz w:val="14"/>
              </w:rPr>
              <w:t>de </w:t>
            </w:r>
            <w:r>
              <w:rPr>
                <w:color w:val="231F20"/>
                <w:w w:val="75"/>
                <w:sz w:val="14"/>
              </w:rPr>
              <w:t>aguas </w:t>
            </w:r>
            <w:r>
              <w:rPr>
                <w:color w:val="231F20"/>
                <w:spacing w:val="5"/>
                <w:w w:val="75"/>
                <w:sz w:val="14"/>
              </w:rPr>
              <w:t> </w:t>
            </w:r>
            <w:r>
              <w:rPr>
                <w:color w:val="231F20"/>
                <w:w w:val="75"/>
                <w:sz w:val="14"/>
              </w:rPr>
              <w:t>residuales.</w:t>
            </w:r>
          </w:p>
          <w:p>
            <w:pPr>
              <w:pStyle w:val="TableParagraph"/>
              <w:spacing w:line="147" w:lineRule="exact"/>
              <w:ind w:left="90" w:right="89"/>
              <w:jc w:val="center"/>
              <w:rPr>
                <w:sz w:val="14"/>
              </w:rPr>
            </w:pPr>
            <w:r>
              <w:rPr>
                <w:color w:val="231F20"/>
                <w:w w:val="80"/>
                <w:sz w:val="14"/>
              </w:rPr>
              <w:t>Ejecución de 33 campanas ecológicas.</w:t>
            </w:r>
          </w:p>
        </w:tc>
        <w:tc>
          <w:tcPr>
            <w:tcW w:w="2998" w:type="dxa"/>
          </w:tcPr>
          <w:p>
            <w:pPr>
              <w:pStyle w:val="TableParagraph"/>
              <w:spacing w:line="196" w:lineRule="auto"/>
              <w:ind w:left="739" w:right="735" w:hanging="3"/>
              <w:jc w:val="center"/>
              <w:rPr>
                <w:sz w:val="14"/>
              </w:rPr>
            </w:pPr>
            <w:r>
              <w:rPr>
                <w:color w:val="231F20"/>
                <w:w w:val="85"/>
                <w:sz w:val="14"/>
              </w:rPr>
              <w:t>Campaña “Carta a la tierra” </w:t>
            </w:r>
            <w:r>
              <w:rPr>
                <w:color w:val="231F20"/>
                <w:w w:val="80"/>
                <w:sz w:val="14"/>
              </w:rPr>
              <w:t>Campaña</w:t>
            </w:r>
            <w:r>
              <w:rPr>
                <w:color w:val="231F20"/>
                <w:spacing w:val="-16"/>
                <w:w w:val="80"/>
                <w:sz w:val="14"/>
              </w:rPr>
              <w:t> </w:t>
            </w:r>
            <w:r>
              <w:rPr>
                <w:color w:val="231F20"/>
                <w:w w:val="80"/>
                <w:sz w:val="14"/>
              </w:rPr>
              <w:t>de</w:t>
            </w:r>
            <w:r>
              <w:rPr>
                <w:color w:val="231F20"/>
                <w:spacing w:val="-16"/>
                <w:w w:val="80"/>
                <w:sz w:val="14"/>
              </w:rPr>
              <w:t> </w:t>
            </w:r>
            <w:r>
              <w:rPr>
                <w:color w:val="231F20"/>
                <w:w w:val="80"/>
                <w:sz w:val="14"/>
              </w:rPr>
              <w:t>separación</w:t>
            </w:r>
            <w:r>
              <w:rPr>
                <w:color w:val="231F20"/>
                <w:spacing w:val="-16"/>
                <w:w w:val="80"/>
                <w:sz w:val="14"/>
              </w:rPr>
              <w:t> </w:t>
            </w:r>
            <w:r>
              <w:rPr>
                <w:color w:val="231F20"/>
                <w:w w:val="80"/>
                <w:sz w:val="14"/>
              </w:rPr>
              <w:t>de</w:t>
            </w:r>
            <w:r>
              <w:rPr>
                <w:color w:val="231F20"/>
                <w:spacing w:val="-16"/>
                <w:w w:val="80"/>
                <w:sz w:val="14"/>
              </w:rPr>
              <w:t> </w:t>
            </w:r>
            <w:r>
              <w:rPr>
                <w:color w:val="231F20"/>
                <w:w w:val="80"/>
                <w:sz w:val="14"/>
              </w:rPr>
              <w:t>basura </w:t>
            </w:r>
            <w:r>
              <w:rPr>
                <w:color w:val="231F20"/>
                <w:w w:val="75"/>
                <w:sz w:val="14"/>
              </w:rPr>
              <w:t>Campañas de</w:t>
            </w:r>
            <w:r>
              <w:rPr>
                <w:color w:val="231F20"/>
                <w:spacing w:val="5"/>
                <w:w w:val="75"/>
                <w:sz w:val="14"/>
              </w:rPr>
              <w:t> </w:t>
            </w:r>
            <w:r>
              <w:rPr>
                <w:color w:val="231F20"/>
                <w:spacing w:val="2"/>
                <w:w w:val="75"/>
                <w:sz w:val="14"/>
              </w:rPr>
              <w:t>reforestación</w:t>
            </w:r>
          </w:p>
        </w:tc>
      </w:tr>
      <w:tr>
        <w:trPr>
          <w:trHeight w:val="255" w:hRule="exact"/>
        </w:trPr>
        <w:tc>
          <w:tcPr>
            <w:tcW w:w="335" w:type="dxa"/>
            <w:vMerge/>
            <w:textDirection w:val="btLr"/>
          </w:tcPr>
          <w:p>
            <w:pPr/>
          </w:p>
        </w:tc>
        <w:tc>
          <w:tcPr>
            <w:tcW w:w="717" w:type="dxa"/>
          </w:tcPr>
          <w:p>
            <w:pPr>
              <w:pStyle w:val="TableParagraph"/>
              <w:spacing w:line="196" w:lineRule="auto"/>
              <w:ind w:left="132" w:right="118" w:firstLine="34"/>
              <w:rPr>
                <w:sz w:val="14"/>
              </w:rPr>
            </w:pPr>
            <w:r>
              <w:rPr>
                <w:color w:val="231F20"/>
                <w:w w:val="80"/>
                <w:sz w:val="14"/>
              </w:rPr>
              <w:t>Panteón </w:t>
            </w:r>
            <w:r>
              <w:rPr>
                <w:color w:val="231F20"/>
                <w:w w:val="75"/>
                <w:sz w:val="14"/>
              </w:rPr>
              <w:t>Municipal</w:t>
            </w:r>
          </w:p>
        </w:tc>
        <w:tc>
          <w:tcPr>
            <w:tcW w:w="1963" w:type="dxa"/>
          </w:tcPr>
          <w:p>
            <w:pPr>
              <w:pStyle w:val="TableParagraph"/>
              <w:spacing w:line="142" w:lineRule="exact"/>
              <w:ind w:left="195" w:right="194"/>
              <w:jc w:val="center"/>
              <w:rPr>
                <w:sz w:val="14"/>
              </w:rPr>
            </w:pPr>
            <w:r>
              <w:rPr>
                <w:color w:val="231F20"/>
                <w:w w:val="75"/>
                <w:sz w:val="14"/>
              </w:rPr>
              <w:t>Necesidad de ampliación</w:t>
            </w:r>
          </w:p>
        </w:tc>
        <w:tc>
          <w:tcPr>
            <w:tcW w:w="1951" w:type="dxa"/>
          </w:tcPr>
          <w:p>
            <w:pPr>
              <w:pStyle w:val="TableParagraph"/>
              <w:spacing w:line="196" w:lineRule="auto"/>
              <w:ind w:left="740" w:right="19" w:hanging="628"/>
              <w:rPr>
                <w:sz w:val="14"/>
              </w:rPr>
            </w:pPr>
            <w:r>
              <w:rPr>
                <w:color w:val="231F20"/>
                <w:w w:val="80"/>
                <w:sz w:val="14"/>
              </w:rPr>
              <w:t>Realizar la ampliación de 6,500 metros </w:t>
            </w:r>
            <w:r>
              <w:rPr>
                <w:color w:val="231F20"/>
                <w:w w:val="85"/>
                <w:sz w:val="14"/>
              </w:rPr>
              <w:t>cuadrados</w:t>
            </w:r>
          </w:p>
        </w:tc>
        <w:tc>
          <w:tcPr>
            <w:tcW w:w="2998" w:type="dxa"/>
          </w:tcPr>
          <w:p>
            <w:pPr>
              <w:pStyle w:val="TableParagraph"/>
              <w:spacing w:line="142" w:lineRule="exact"/>
              <w:ind w:left="834" w:right="31"/>
              <w:rPr>
                <w:sz w:val="14"/>
              </w:rPr>
            </w:pPr>
            <w:r>
              <w:rPr>
                <w:color w:val="231F20"/>
                <w:w w:val="75"/>
                <w:sz w:val="14"/>
              </w:rPr>
              <w:t>Creación de barda  perimetral.</w:t>
            </w:r>
          </w:p>
        </w:tc>
      </w:tr>
      <w:tr>
        <w:trPr>
          <w:trHeight w:val="255" w:hRule="exact"/>
        </w:trPr>
        <w:tc>
          <w:tcPr>
            <w:tcW w:w="335" w:type="dxa"/>
            <w:vMerge/>
            <w:textDirection w:val="btLr"/>
          </w:tcPr>
          <w:p>
            <w:pPr/>
          </w:p>
        </w:tc>
        <w:tc>
          <w:tcPr>
            <w:tcW w:w="717" w:type="dxa"/>
          </w:tcPr>
          <w:p>
            <w:pPr>
              <w:pStyle w:val="TableParagraph"/>
              <w:spacing w:line="142" w:lineRule="exact"/>
              <w:ind w:left="123"/>
              <w:rPr>
                <w:sz w:val="14"/>
              </w:rPr>
            </w:pPr>
            <w:r>
              <w:rPr>
                <w:color w:val="231F20"/>
                <w:w w:val="85"/>
                <w:sz w:val="14"/>
              </w:rPr>
              <w:t>Carreteras</w:t>
            </w:r>
          </w:p>
        </w:tc>
        <w:tc>
          <w:tcPr>
            <w:tcW w:w="1963" w:type="dxa"/>
          </w:tcPr>
          <w:p>
            <w:pPr>
              <w:pStyle w:val="TableParagraph"/>
              <w:spacing w:line="142" w:lineRule="exact"/>
              <w:ind w:left="194" w:right="194"/>
              <w:jc w:val="center"/>
              <w:rPr>
                <w:sz w:val="14"/>
              </w:rPr>
            </w:pPr>
            <w:r>
              <w:rPr>
                <w:color w:val="231F20"/>
                <w:w w:val="75"/>
                <w:sz w:val="14"/>
              </w:rPr>
              <w:t>Necesidad de mantenimiento</w:t>
            </w:r>
          </w:p>
        </w:tc>
        <w:tc>
          <w:tcPr>
            <w:tcW w:w="1951" w:type="dxa"/>
          </w:tcPr>
          <w:p>
            <w:pPr>
              <w:pStyle w:val="TableParagraph"/>
              <w:spacing w:line="127" w:lineRule="exact"/>
              <w:ind w:left="111" w:right="111"/>
              <w:jc w:val="center"/>
              <w:rPr>
                <w:sz w:val="14"/>
              </w:rPr>
            </w:pPr>
            <w:r>
              <w:rPr>
                <w:color w:val="231F20"/>
                <w:w w:val="80"/>
                <w:sz w:val="14"/>
              </w:rPr>
              <w:t>Impulsar la creación de nuevas vías.</w:t>
            </w:r>
          </w:p>
          <w:p>
            <w:pPr>
              <w:pStyle w:val="TableParagraph"/>
              <w:spacing w:line="155" w:lineRule="exact"/>
              <w:ind w:left="248" w:right="248"/>
              <w:jc w:val="center"/>
              <w:rPr>
                <w:sz w:val="14"/>
              </w:rPr>
            </w:pPr>
            <w:r>
              <w:rPr>
                <w:color w:val="231F20"/>
                <w:w w:val="80"/>
                <w:sz w:val="14"/>
              </w:rPr>
              <w:t>3 km de mantenimiento</w:t>
            </w:r>
          </w:p>
        </w:tc>
        <w:tc>
          <w:tcPr>
            <w:tcW w:w="2998" w:type="dxa"/>
          </w:tcPr>
          <w:p>
            <w:pPr>
              <w:pStyle w:val="TableParagraph"/>
              <w:spacing w:line="142" w:lineRule="exact"/>
              <w:ind w:left="844" w:right="31"/>
              <w:rPr>
                <w:sz w:val="14"/>
              </w:rPr>
            </w:pPr>
            <w:r>
              <w:rPr>
                <w:color w:val="231F20"/>
                <w:w w:val="75"/>
                <w:sz w:val="14"/>
              </w:rPr>
              <w:t>Mantenimiento de vialidades</w:t>
            </w:r>
          </w:p>
        </w:tc>
      </w:tr>
      <w:tr>
        <w:trPr>
          <w:trHeight w:val="115" w:hRule="exact"/>
        </w:trPr>
        <w:tc>
          <w:tcPr>
            <w:tcW w:w="335" w:type="dxa"/>
            <w:vMerge/>
            <w:textDirection w:val="btLr"/>
          </w:tcPr>
          <w:p>
            <w:pPr/>
          </w:p>
        </w:tc>
        <w:tc>
          <w:tcPr>
            <w:tcW w:w="717" w:type="dxa"/>
            <w:vMerge w:val="restart"/>
          </w:tcPr>
          <w:p>
            <w:pPr>
              <w:pStyle w:val="TableParagraph"/>
              <w:spacing w:line="142" w:lineRule="exact"/>
              <w:ind w:left="223" w:right="118"/>
              <w:rPr>
                <w:sz w:val="14"/>
              </w:rPr>
            </w:pPr>
            <w:r>
              <w:rPr>
                <w:color w:val="231F20"/>
                <w:w w:val="85"/>
                <w:sz w:val="14"/>
              </w:rPr>
              <w:t>Calles</w:t>
            </w:r>
          </w:p>
        </w:tc>
        <w:tc>
          <w:tcPr>
            <w:tcW w:w="1963" w:type="dxa"/>
            <w:vMerge w:val="restart"/>
          </w:tcPr>
          <w:p>
            <w:pPr>
              <w:pStyle w:val="TableParagraph"/>
              <w:spacing w:line="142" w:lineRule="exact"/>
              <w:ind w:left="323" w:right="148"/>
              <w:rPr>
                <w:sz w:val="14"/>
              </w:rPr>
            </w:pPr>
            <w:r>
              <w:rPr>
                <w:color w:val="231F20"/>
                <w:w w:val="75"/>
                <w:sz w:val="14"/>
              </w:rPr>
              <w:t>Necesidad de mantenimiento</w:t>
            </w:r>
          </w:p>
        </w:tc>
        <w:tc>
          <w:tcPr>
            <w:tcW w:w="1951" w:type="dxa"/>
            <w:vMerge w:val="restart"/>
          </w:tcPr>
          <w:p>
            <w:pPr>
              <w:pStyle w:val="TableParagraph"/>
              <w:spacing w:line="142" w:lineRule="exact"/>
              <w:ind w:left="326" w:right="82"/>
              <w:rPr>
                <w:sz w:val="14"/>
              </w:rPr>
            </w:pPr>
            <w:r>
              <w:rPr>
                <w:color w:val="231F20"/>
                <w:w w:val="75"/>
                <w:sz w:val="14"/>
              </w:rPr>
              <w:t>Dar mantenimiento continuo</w:t>
            </w:r>
          </w:p>
        </w:tc>
        <w:tc>
          <w:tcPr>
            <w:tcW w:w="2998" w:type="dxa"/>
          </w:tcPr>
          <w:p>
            <w:pPr>
              <w:pStyle w:val="TableParagraph"/>
              <w:spacing w:line="142" w:lineRule="exact"/>
              <w:ind w:left="805" w:right="31"/>
              <w:rPr>
                <w:sz w:val="14"/>
              </w:rPr>
            </w:pPr>
            <w:r>
              <w:rPr>
                <w:color w:val="231F20"/>
                <w:w w:val="80"/>
                <w:sz w:val="14"/>
              </w:rPr>
              <w:t>Pavimentación de calles (FISM)</w:t>
            </w:r>
          </w:p>
        </w:tc>
      </w:tr>
      <w:tr>
        <w:trPr>
          <w:trHeight w:val="187"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42" w:lineRule="exact"/>
              <w:ind w:left="770" w:right="31"/>
              <w:rPr>
                <w:sz w:val="14"/>
              </w:rPr>
            </w:pPr>
            <w:r>
              <w:rPr>
                <w:color w:val="231F20"/>
                <w:w w:val="75"/>
                <w:sz w:val="14"/>
              </w:rPr>
              <w:t>Construcción de camellón  (FISM)</w:t>
            </w:r>
          </w:p>
        </w:tc>
      </w:tr>
      <w:tr>
        <w:trPr>
          <w:trHeight w:val="178"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42" w:lineRule="exact"/>
              <w:ind w:left="945" w:right="31"/>
              <w:rPr>
                <w:sz w:val="14"/>
              </w:rPr>
            </w:pPr>
            <w:r>
              <w:rPr>
                <w:color w:val="231F20"/>
                <w:w w:val="75"/>
                <w:sz w:val="14"/>
              </w:rPr>
              <w:t>Mantenimiento de calles</w:t>
            </w:r>
          </w:p>
        </w:tc>
      </w:tr>
      <w:tr>
        <w:trPr>
          <w:trHeight w:val="141" w:hRule="exact"/>
        </w:trPr>
        <w:tc>
          <w:tcPr>
            <w:tcW w:w="335" w:type="dxa"/>
            <w:vMerge/>
            <w:textDirection w:val="btLr"/>
          </w:tcPr>
          <w:p>
            <w:pPr/>
          </w:p>
        </w:tc>
        <w:tc>
          <w:tcPr>
            <w:tcW w:w="717" w:type="dxa"/>
          </w:tcPr>
          <w:p>
            <w:pPr>
              <w:pStyle w:val="TableParagraph"/>
              <w:spacing w:line="142" w:lineRule="exact"/>
              <w:ind w:left="162"/>
              <w:rPr>
                <w:sz w:val="14"/>
              </w:rPr>
            </w:pPr>
            <w:r>
              <w:rPr>
                <w:color w:val="231F20"/>
                <w:w w:val="85"/>
                <w:sz w:val="14"/>
              </w:rPr>
              <w:t>Caminos</w:t>
            </w:r>
          </w:p>
        </w:tc>
        <w:tc>
          <w:tcPr>
            <w:tcW w:w="1963" w:type="dxa"/>
          </w:tcPr>
          <w:p>
            <w:pPr>
              <w:pStyle w:val="TableParagraph"/>
              <w:spacing w:line="142" w:lineRule="exact"/>
              <w:ind w:left="193" w:right="194"/>
              <w:jc w:val="center"/>
              <w:rPr>
                <w:sz w:val="14"/>
              </w:rPr>
            </w:pPr>
            <w:r>
              <w:rPr>
                <w:color w:val="231F20"/>
                <w:w w:val="75"/>
                <w:sz w:val="14"/>
              </w:rPr>
              <w:t>Necesidad de mantenimiento</w:t>
            </w:r>
          </w:p>
        </w:tc>
        <w:tc>
          <w:tcPr>
            <w:tcW w:w="1951" w:type="dxa"/>
          </w:tcPr>
          <w:p>
            <w:pPr>
              <w:pStyle w:val="TableParagraph"/>
              <w:spacing w:line="142" w:lineRule="exact"/>
              <w:ind w:left="247" w:right="248"/>
              <w:jc w:val="center"/>
              <w:rPr>
                <w:sz w:val="14"/>
              </w:rPr>
            </w:pPr>
            <w:r>
              <w:rPr>
                <w:color w:val="231F20"/>
                <w:w w:val="75"/>
                <w:sz w:val="14"/>
              </w:rPr>
              <w:t>Pavimentar  caminos</w:t>
            </w:r>
          </w:p>
        </w:tc>
        <w:tc>
          <w:tcPr>
            <w:tcW w:w="2998" w:type="dxa"/>
          </w:tcPr>
          <w:p>
            <w:pPr>
              <w:pStyle w:val="TableParagraph"/>
              <w:spacing w:line="142" w:lineRule="exact"/>
              <w:ind w:left="600" w:right="31"/>
              <w:rPr>
                <w:sz w:val="14"/>
              </w:rPr>
            </w:pPr>
            <w:r>
              <w:rPr>
                <w:color w:val="231F20"/>
                <w:w w:val="80"/>
                <w:sz w:val="14"/>
              </w:rPr>
              <w:t>Encementado de canal de agua de riego.</w:t>
            </w:r>
          </w:p>
        </w:tc>
      </w:tr>
      <w:tr>
        <w:trPr>
          <w:trHeight w:val="255" w:hRule="exact"/>
        </w:trPr>
        <w:tc>
          <w:tcPr>
            <w:tcW w:w="335" w:type="dxa"/>
            <w:vMerge/>
            <w:textDirection w:val="btLr"/>
          </w:tcPr>
          <w:p>
            <w:pPr/>
          </w:p>
        </w:tc>
        <w:tc>
          <w:tcPr>
            <w:tcW w:w="717" w:type="dxa"/>
          </w:tcPr>
          <w:p>
            <w:pPr>
              <w:pStyle w:val="TableParagraph"/>
              <w:spacing w:line="196" w:lineRule="auto"/>
              <w:ind w:left="194" w:right="166" w:hanging="12"/>
              <w:rPr>
                <w:sz w:val="14"/>
              </w:rPr>
            </w:pPr>
            <w:r>
              <w:rPr>
                <w:color w:val="231F20"/>
                <w:w w:val="80"/>
                <w:sz w:val="14"/>
              </w:rPr>
              <w:t>Imagen urbana</w:t>
            </w:r>
          </w:p>
        </w:tc>
        <w:tc>
          <w:tcPr>
            <w:tcW w:w="1963" w:type="dxa"/>
          </w:tcPr>
          <w:p>
            <w:pPr>
              <w:pStyle w:val="TableParagraph"/>
              <w:spacing w:line="142" w:lineRule="exact"/>
              <w:ind w:left="193" w:right="194"/>
              <w:jc w:val="center"/>
              <w:rPr>
                <w:sz w:val="14"/>
              </w:rPr>
            </w:pPr>
            <w:r>
              <w:rPr>
                <w:color w:val="231F20"/>
                <w:w w:val="75"/>
                <w:sz w:val="14"/>
              </w:rPr>
              <w:t>Necesidad de mantenimiento</w:t>
            </w:r>
          </w:p>
        </w:tc>
        <w:tc>
          <w:tcPr>
            <w:tcW w:w="1951" w:type="dxa"/>
          </w:tcPr>
          <w:p>
            <w:pPr>
              <w:pStyle w:val="TableParagraph"/>
              <w:spacing w:line="196" w:lineRule="auto"/>
              <w:ind w:left="631" w:right="82" w:hanging="412"/>
              <w:rPr>
                <w:sz w:val="14"/>
              </w:rPr>
            </w:pPr>
            <w:r>
              <w:rPr>
                <w:color w:val="231F20"/>
                <w:w w:val="75"/>
                <w:sz w:val="14"/>
              </w:rPr>
              <w:t>Gestionar recursos para recuperar </w:t>
            </w:r>
            <w:r>
              <w:rPr>
                <w:color w:val="231F20"/>
                <w:w w:val="80"/>
                <w:sz w:val="14"/>
              </w:rPr>
              <w:t>imagen urbana</w:t>
            </w:r>
          </w:p>
        </w:tc>
        <w:tc>
          <w:tcPr>
            <w:tcW w:w="2998" w:type="dxa"/>
          </w:tcPr>
          <w:p>
            <w:pPr>
              <w:pStyle w:val="TableParagraph"/>
              <w:spacing w:line="142" w:lineRule="exact"/>
              <w:ind w:left="597" w:right="31"/>
              <w:rPr>
                <w:sz w:val="14"/>
              </w:rPr>
            </w:pPr>
            <w:r>
              <w:rPr>
                <w:color w:val="231F20"/>
                <w:w w:val="80"/>
                <w:sz w:val="14"/>
              </w:rPr>
              <w:t>Construcción de la fuente Iztapancihuatl</w:t>
            </w:r>
          </w:p>
        </w:tc>
      </w:tr>
      <w:tr>
        <w:trPr>
          <w:trHeight w:val="141" w:hRule="exact"/>
        </w:trPr>
        <w:tc>
          <w:tcPr>
            <w:tcW w:w="335" w:type="dxa"/>
            <w:vMerge/>
            <w:textDirection w:val="btLr"/>
          </w:tcPr>
          <w:p>
            <w:pPr/>
          </w:p>
        </w:tc>
        <w:tc>
          <w:tcPr>
            <w:tcW w:w="717" w:type="dxa"/>
            <w:vMerge w:val="restart"/>
          </w:tcPr>
          <w:p>
            <w:pPr>
              <w:pStyle w:val="TableParagraph"/>
              <w:spacing w:line="142" w:lineRule="exact"/>
              <w:ind w:left="185"/>
              <w:rPr>
                <w:sz w:val="14"/>
              </w:rPr>
            </w:pPr>
            <w:r>
              <w:rPr>
                <w:color w:val="231F20"/>
                <w:w w:val="85"/>
                <w:sz w:val="14"/>
              </w:rPr>
              <w:t>Empleo</w:t>
            </w:r>
          </w:p>
        </w:tc>
        <w:tc>
          <w:tcPr>
            <w:tcW w:w="1963" w:type="dxa"/>
          </w:tcPr>
          <w:p>
            <w:pPr>
              <w:pStyle w:val="TableParagraph"/>
              <w:spacing w:line="142" w:lineRule="exact"/>
              <w:ind w:left="193" w:right="194"/>
              <w:jc w:val="center"/>
              <w:rPr>
                <w:sz w:val="14"/>
              </w:rPr>
            </w:pPr>
            <w:r>
              <w:rPr>
                <w:color w:val="231F20"/>
                <w:w w:val="80"/>
                <w:sz w:val="14"/>
              </w:rPr>
              <w:t>Tasa alta de migración.</w:t>
            </w:r>
          </w:p>
        </w:tc>
        <w:tc>
          <w:tcPr>
            <w:tcW w:w="1951" w:type="dxa"/>
            <w:vMerge w:val="restart"/>
          </w:tcPr>
          <w:p>
            <w:pPr>
              <w:pStyle w:val="TableParagraph"/>
              <w:spacing w:line="127" w:lineRule="exact"/>
              <w:ind w:left="247" w:right="248"/>
              <w:jc w:val="center"/>
              <w:rPr>
                <w:sz w:val="14"/>
              </w:rPr>
            </w:pPr>
            <w:r>
              <w:rPr>
                <w:color w:val="231F20"/>
                <w:w w:val="80"/>
                <w:sz w:val="14"/>
              </w:rPr>
              <w:t>Diversificar la oferta turística.</w:t>
            </w:r>
          </w:p>
          <w:p>
            <w:pPr>
              <w:pStyle w:val="TableParagraph"/>
              <w:spacing w:line="140" w:lineRule="exact" w:before="6"/>
              <w:ind w:left="110" w:right="49" w:firstLine="422"/>
              <w:rPr>
                <w:sz w:val="14"/>
              </w:rPr>
            </w:pPr>
            <w:r>
              <w:rPr>
                <w:color w:val="231F20"/>
                <w:w w:val="85"/>
                <w:sz w:val="14"/>
              </w:rPr>
              <w:t>Promoción turística </w:t>
            </w:r>
            <w:r>
              <w:rPr>
                <w:color w:val="231F20"/>
                <w:w w:val="80"/>
                <w:sz w:val="14"/>
              </w:rPr>
              <w:t>Capacitar a la población en actividades</w:t>
            </w:r>
          </w:p>
          <w:p>
            <w:pPr>
              <w:pStyle w:val="TableParagraph"/>
              <w:spacing w:line="134" w:lineRule="exact"/>
              <w:ind w:left="247" w:right="248"/>
              <w:jc w:val="center"/>
              <w:rPr>
                <w:sz w:val="14"/>
              </w:rPr>
            </w:pPr>
            <w:r>
              <w:rPr>
                <w:color w:val="231F20"/>
                <w:w w:val="85"/>
                <w:sz w:val="14"/>
              </w:rPr>
              <w:t>productivas.</w:t>
            </w:r>
          </w:p>
          <w:p>
            <w:pPr>
              <w:pStyle w:val="TableParagraph"/>
              <w:spacing w:line="155" w:lineRule="exact"/>
              <w:ind w:left="248" w:right="248"/>
              <w:jc w:val="center"/>
              <w:rPr>
                <w:sz w:val="14"/>
              </w:rPr>
            </w:pPr>
            <w:r>
              <w:rPr>
                <w:color w:val="231F20"/>
                <w:w w:val="80"/>
                <w:sz w:val="14"/>
              </w:rPr>
              <w:t>Capacitar a sector artesanal</w:t>
            </w:r>
          </w:p>
        </w:tc>
        <w:tc>
          <w:tcPr>
            <w:tcW w:w="2998" w:type="dxa"/>
          </w:tcPr>
          <w:p>
            <w:pPr>
              <w:pStyle w:val="TableParagraph"/>
              <w:spacing w:line="142" w:lineRule="exact"/>
              <w:ind w:left="604" w:right="31"/>
              <w:rPr>
                <w:sz w:val="14"/>
              </w:rPr>
            </w:pPr>
            <w:r>
              <w:rPr>
                <w:color w:val="231F20"/>
                <w:w w:val="75"/>
                <w:sz w:val="14"/>
              </w:rPr>
              <w:t>Otorgamiento de “Opciones productivas</w:t>
            </w:r>
          </w:p>
        </w:tc>
      </w:tr>
      <w:tr>
        <w:trPr>
          <w:trHeight w:val="141" w:hRule="exact"/>
        </w:trPr>
        <w:tc>
          <w:tcPr>
            <w:tcW w:w="335" w:type="dxa"/>
            <w:vMerge/>
            <w:textDirection w:val="btLr"/>
          </w:tcPr>
          <w:p>
            <w:pPr/>
          </w:p>
        </w:tc>
        <w:tc>
          <w:tcPr>
            <w:tcW w:w="717" w:type="dxa"/>
            <w:vMerge/>
          </w:tcPr>
          <w:p>
            <w:pPr/>
          </w:p>
        </w:tc>
        <w:tc>
          <w:tcPr>
            <w:tcW w:w="1963" w:type="dxa"/>
          </w:tcPr>
          <w:p>
            <w:pPr>
              <w:pStyle w:val="TableParagraph"/>
              <w:spacing w:line="142" w:lineRule="exact"/>
              <w:ind w:left="193" w:right="194"/>
              <w:jc w:val="center"/>
              <w:rPr>
                <w:sz w:val="14"/>
              </w:rPr>
            </w:pPr>
            <w:r>
              <w:rPr>
                <w:color w:val="231F20"/>
                <w:w w:val="75"/>
                <w:sz w:val="14"/>
              </w:rPr>
              <w:t>Empleos mal remunerados</w:t>
            </w:r>
          </w:p>
        </w:tc>
        <w:tc>
          <w:tcPr>
            <w:tcW w:w="1951" w:type="dxa"/>
            <w:vMerge/>
          </w:tcPr>
          <w:p>
            <w:pPr/>
          </w:p>
        </w:tc>
        <w:tc>
          <w:tcPr>
            <w:tcW w:w="2998" w:type="dxa"/>
            <w:vMerge w:val="restart"/>
          </w:tcPr>
          <w:p>
            <w:pPr>
              <w:pStyle w:val="TableParagraph"/>
              <w:spacing w:before="6"/>
              <w:ind w:left="0"/>
              <w:rPr>
                <w:rFonts w:ascii="Times New Roman"/>
                <w:b/>
                <w:sz w:val="11"/>
              </w:rPr>
            </w:pPr>
          </w:p>
          <w:p>
            <w:pPr>
              <w:pStyle w:val="TableParagraph"/>
              <w:spacing w:line="140" w:lineRule="exact"/>
              <w:ind w:left="1324" w:right="144" w:hanging="1099"/>
              <w:rPr>
                <w:sz w:val="14"/>
              </w:rPr>
            </w:pPr>
            <w:r>
              <w:rPr>
                <w:color w:val="231F20"/>
                <w:w w:val="80"/>
                <w:sz w:val="14"/>
              </w:rPr>
              <w:t>Programa “Moderniza” para la difusión turística (Recurso </w:t>
            </w:r>
            <w:r>
              <w:rPr>
                <w:color w:val="231F20"/>
                <w:w w:val="85"/>
                <w:sz w:val="14"/>
              </w:rPr>
              <w:t>mixtos)</w:t>
            </w:r>
          </w:p>
        </w:tc>
      </w:tr>
      <w:tr>
        <w:trPr>
          <w:trHeight w:val="254" w:hRule="exact"/>
        </w:trPr>
        <w:tc>
          <w:tcPr>
            <w:tcW w:w="335" w:type="dxa"/>
            <w:vMerge/>
            <w:textDirection w:val="btLr"/>
          </w:tcPr>
          <w:p>
            <w:pPr/>
          </w:p>
        </w:tc>
        <w:tc>
          <w:tcPr>
            <w:tcW w:w="717" w:type="dxa"/>
            <w:vMerge/>
          </w:tcPr>
          <w:p>
            <w:pPr/>
          </w:p>
        </w:tc>
        <w:tc>
          <w:tcPr>
            <w:tcW w:w="1963" w:type="dxa"/>
            <w:vMerge w:val="restart"/>
          </w:tcPr>
          <w:p>
            <w:pPr>
              <w:pStyle w:val="TableParagraph"/>
              <w:spacing w:line="142" w:lineRule="exact"/>
              <w:ind w:left="431" w:right="148"/>
              <w:rPr>
                <w:sz w:val="14"/>
              </w:rPr>
            </w:pPr>
            <w:r>
              <w:rPr>
                <w:color w:val="231F20"/>
                <w:w w:val="80"/>
                <w:sz w:val="14"/>
              </w:rPr>
              <w:t>Falta de nuevos empleos</w:t>
            </w:r>
          </w:p>
        </w:tc>
        <w:tc>
          <w:tcPr>
            <w:tcW w:w="1951" w:type="dxa"/>
            <w:vMerge/>
          </w:tcPr>
          <w:p>
            <w:pPr/>
          </w:p>
        </w:tc>
        <w:tc>
          <w:tcPr>
            <w:tcW w:w="2998" w:type="dxa"/>
            <w:vMerge/>
          </w:tcPr>
          <w:p>
            <w:pPr/>
          </w:p>
        </w:tc>
      </w:tr>
      <w:tr>
        <w:trPr>
          <w:trHeight w:val="223"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42" w:lineRule="exact"/>
              <w:ind w:left="0" w:right="147"/>
              <w:jc w:val="right"/>
              <w:rPr>
                <w:sz w:val="14"/>
              </w:rPr>
            </w:pPr>
            <w:r>
              <w:rPr>
                <w:color w:val="231F20"/>
                <w:w w:val="80"/>
                <w:sz w:val="14"/>
              </w:rPr>
              <w:t>Feria del Empleo con 72 personas colocadas en algún puesto.</w:t>
            </w:r>
          </w:p>
        </w:tc>
      </w:tr>
      <w:tr>
        <w:trPr>
          <w:trHeight w:val="170"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42" w:lineRule="exact"/>
              <w:ind w:left="765" w:right="31"/>
              <w:rPr>
                <w:sz w:val="14"/>
              </w:rPr>
            </w:pPr>
            <w:r>
              <w:rPr>
                <w:color w:val="231F20"/>
                <w:w w:val="75"/>
                <w:sz w:val="14"/>
              </w:rPr>
              <w:t>Talleres de formación  productiva</w:t>
            </w:r>
          </w:p>
        </w:tc>
      </w:tr>
      <w:tr>
        <w:trPr>
          <w:trHeight w:val="344" w:hRule="exact"/>
        </w:trPr>
        <w:tc>
          <w:tcPr>
            <w:tcW w:w="335" w:type="dxa"/>
            <w:vMerge/>
            <w:textDirection w:val="btLr"/>
          </w:tcPr>
          <w:p>
            <w:pPr/>
          </w:p>
        </w:tc>
        <w:tc>
          <w:tcPr>
            <w:tcW w:w="717" w:type="dxa"/>
            <w:vMerge/>
          </w:tcPr>
          <w:p>
            <w:pPr/>
          </w:p>
        </w:tc>
        <w:tc>
          <w:tcPr>
            <w:tcW w:w="1963" w:type="dxa"/>
            <w:vMerge/>
          </w:tcPr>
          <w:p>
            <w:pPr/>
          </w:p>
        </w:tc>
        <w:tc>
          <w:tcPr>
            <w:tcW w:w="1951" w:type="dxa"/>
            <w:vMerge w:val="restart"/>
          </w:tcPr>
          <w:p>
            <w:pPr>
              <w:pStyle w:val="TableParagraph"/>
              <w:spacing w:line="196" w:lineRule="auto"/>
              <w:ind w:left="768" w:right="99" w:hanging="609"/>
              <w:rPr>
                <w:sz w:val="14"/>
              </w:rPr>
            </w:pPr>
            <w:r>
              <w:rPr>
                <w:color w:val="231F20"/>
                <w:w w:val="80"/>
                <w:sz w:val="14"/>
              </w:rPr>
              <w:t>Implementar proyectos rentables en el campo</w:t>
            </w:r>
          </w:p>
        </w:tc>
        <w:tc>
          <w:tcPr>
            <w:tcW w:w="2998" w:type="dxa"/>
          </w:tcPr>
          <w:p>
            <w:pPr>
              <w:pStyle w:val="TableParagraph"/>
              <w:spacing w:line="196" w:lineRule="auto"/>
              <w:ind w:left="446" w:right="214" w:hanging="229"/>
              <w:rPr>
                <w:sz w:val="14"/>
              </w:rPr>
            </w:pPr>
            <w:r>
              <w:rPr>
                <w:color w:val="231F20"/>
                <w:w w:val="80"/>
                <w:sz w:val="14"/>
              </w:rPr>
              <w:t>Construcción</w:t>
            </w:r>
            <w:r>
              <w:rPr>
                <w:color w:val="231F20"/>
                <w:spacing w:val="-17"/>
                <w:w w:val="80"/>
                <w:sz w:val="14"/>
              </w:rPr>
              <w:t> </w:t>
            </w:r>
            <w:r>
              <w:rPr>
                <w:color w:val="231F20"/>
                <w:w w:val="80"/>
                <w:sz w:val="14"/>
              </w:rPr>
              <w:t>de</w:t>
            </w:r>
            <w:r>
              <w:rPr>
                <w:color w:val="231F20"/>
                <w:spacing w:val="-17"/>
                <w:w w:val="80"/>
                <w:sz w:val="14"/>
              </w:rPr>
              <w:t> </w:t>
            </w:r>
            <w:r>
              <w:rPr>
                <w:color w:val="231F20"/>
                <w:w w:val="80"/>
                <w:sz w:val="14"/>
              </w:rPr>
              <w:t>10</w:t>
            </w:r>
            <w:r>
              <w:rPr>
                <w:color w:val="231F20"/>
                <w:spacing w:val="-17"/>
                <w:w w:val="80"/>
                <w:sz w:val="14"/>
              </w:rPr>
              <w:t> </w:t>
            </w:r>
            <w:r>
              <w:rPr>
                <w:color w:val="231F20"/>
                <w:w w:val="80"/>
                <w:sz w:val="14"/>
              </w:rPr>
              <w:t>invernaderos</w:t>
            </w:r>
            <w:r>
              <w:rPr>
                <w:color w:val="231F20"/>
                <w:spacing w:val="-17"/>
                <w:w w:val="80"/>
                <w:sz w:val="14"/>
              </w:rPr>
              <w:t> </w:t>
            </w:r>
            <w:r>
              <w:rPr>
                <w:color w:val="231F20"/>
                <w:w w:val="80"/>
                <w:sz w:val="14"/>
              </w:rPr>
              <w:t>y</w:t>
            </w:r>
            <w:r>
              <w:rPr>
                <w:color w:val="231F20"/>
                <w:spacing w:val="-17"/>
                <w:w w:val="80"/>
                <w:sz w:val="14"/>
              </w:rPr>
              <w:t> </w:t>
            </w:r>
            <w:r>
              <w:rPr>
                <w:color w:val="231F20"/>
                <w:w w:val="80"/>
                <w:sz w:val="14"/>
              </w:rPr>
              <w:t>operación</w:t>
            </w:r>
            <w:r>
              <w:rPr>
                <w:color w:val="231F20"/>
                <w:spacing w:val="-17"/>
                <w:w w:val="80"/>
                <w:sz w:val="14"/>
              </w:rPr>
              <w:t> </w:t>
            </w:r>
            <w:r>
              <w:rPr>
                <w:color w:val="231F20"/>
                <w:w w:val="80"/>
                <w:sz w:val="14"/>
              </w:rPr>
              <w:t>del</w:t>
            </w:r>
            <w:r>
              <w:rPr>
                <w:color w:val="231F20"/>
                <w:spacing w:val="-17"/>
                <w:w w:val="80"/>
                <w:sz w:val="14"/>
              </w:rPr>
              <w:t> </w:t>
            </w:r>
            <w:r>
              <w:rPr>
                <w:color w:val="231F20"/>
                <w:w w:val="80"/>
                <w:sz w:val="14"/>
              </w:rPr>
              <w:t>proyecto </w:t>
            </w:r>
            <w:r>
              <w:rPr>
                <w:color w:val="231F20"/>
                <w:w w:val="75"/>
                <w:sz w:val="14"/>
              </w:rPr>
              <w:t>Implementos agrícolas (Recursos de </w:t>
            </w:r>
            <w:r>
              <w:rPr>
                <w:color w:val="231F20"/>
                <w:spacing w:val="16"/>
                <w:w w:val="75"/>
                <w:sz w:val="14"/>
              </w:rPr>
              <w:t> </w:t>
            </w:r>
            <w:r>
              <w:rPr>
                <w:color w:val="231F20"/>
                <w:w w:val="75"/>
                <w:sz w:val="14"/>
              </w:rPr>
              <w:t>SEDRAGO).</w:t>
            </w:r>
          </w:p>
        </w:tc>
      </w:tr>
      <w:tr>
        <w:trPr>
          <w:trHeight w:val="196" w:hRule="exact"/>
        </w:trPr>
        <w:tc>
          <w:tcPr>
            <w:tcW w:w="335" w:type="dxa"/>
            <w:vMerge/>
            <w:textDirection w:val="btLr"/>
          </w:tcPr>
          <w:p>
            <w:pPr/>
          </w:p>
        </w:tc>
        <w:tc>
          <w:tcPr>
            <w:tcW w:w="717" w:type="dxa"/>
            <w:vMerge/>
          </w:tcPr>
          <w:p>
            <w:pPr/>
          </w:p>
        </w:tc>
        <w:tc>
          <w:tcPr>
            <w:tcW w:w="1963" w:type="dxa"/>
            <w:vMerge/>
          </w:tcPr>
          <w:p>
            <w:pPr/>
          </w:p>
        </w:tc>
        <w:tc>
          <w:tcPr>
            <w:tcW w:w="1951" w:type="dxa"/>
            <w:vMerge/>
          </w:tcPr>
          <w:p>
            <w:pPr/>
          </w:p>
        </w:tc>
        <w:tc>
          <w:tcPr>
            <w:tcW w:w="2998" w:type="dxa"/>
          </w:tcPr>
          <w:p>
            <w:pPr>
              <w:pStyle w:val="TableParagraph"/>
              <w:spacing w:line="142" w:lineRule="exact"/>
              <w:ind w:left="555" w:right="556"/>
              <w:jc w:val="center"/>
              <w:rPr>
                <w:sz w:val="14"/>
              </w:rPr>
            </w:pPr>
            <w:r>
              <w:rPr>
                <w:color w:val="231F20"/>
                <w:w w:val="80"/>
                <w:sz w:val="14"/>
              </w:rPr>
              <w:t>Entrega de 6 tractores</w:t>
            </w:r>
          </w:p>
        </w:tc>
      </w:tr>
      <w:tr>
        <w:trPr>
          <w:trHeight w:val="193" w:hRule="exact"/>
        </w:trPr>
        <w:tc>
          <w:tcPr>
            <w:tcW w:w="7963" w:type="dxa"/>
            <w:gridSpan w:val="5"/>
          </w:tcPr>
          <w:p>
            <w:pPr>
              <w:pStyle w:val="TableParagraph"/>
              <w:spacing w:line="163" w:lineRule="exact"/>
              <w:ind w:left="3157" w:right="3154"/>
              <w:jc w:val="center"/>
              <w:rPr>
                <w:sz w:val="16"/>
              </w:rPr>
            </w:pPr>
            <w:r>
              <w:rPr>
                <w:color w:val="231F20"/>
                <w:w w:val="75"/>
                <w:sz w:val="16"/>
              </w:rPr>
              <w:t>NO CONTEMPLADOS EN EL PLAN</w:t>
            </w:r>
          </w:p>
        </w:tc>
      </w:tr>
      <w:tr>
        <w:trPr>
          <w:trHeight w:val="277" w:hRule="exact"/>
        </w:trPr>
        <w:tc>
          <w:tcPr>
            <w:tcW w:w="3014" w:type="dxa"/>
            <w:gridSpan w:val="3"/>
            <w:vMerge w:val="restart"/>
          </w:tcPr>
          <w:p>
            <w:pPr/>
          </w:p>
        </w:tc>
        <w:tc>
          <w:tcPr>
            <w:tcW w:w="1951" w:type="dxa"/>
            <w:vMerge w:val="restart"/>
          </w:tcPr>
          <w:p>
            <w:pPr>
              <w:pStyle w:val="TableParagraph"/>
              <w:ind w:left="0"/>
              <w:rPr>
                <w:rFonts w:ascii="Times New Roman"/>
                <w:b/>
                <w:sz w:val="14"/>
              </w:rPr>
            </w:pPr>
          </w:p>
          <w:p>
            <w:pPr>
              <w:pStyle w:val="TableParagraph"/>
              <w:spacing w:before="3"/>
              <w:ind w:left="0"/>
              <w:rPr>
                <w:rFonts w:ascii="Times New Roman"/>
                <w:b/>
                <w:sz w:val="20"/>
              </w:rPr>
            </w:pPr>
          </w:p>
          <w:p>
            <w:pPr>
              <w:pStyle w:val="TableParagraph"/>
              <w:ind w:left="248" w:right="248"/>
              <w:jc w:val="center"/>
              <w:rPr>
                <w:sz w:val="14"/>
              </w:rPr>
            </w:pPr>
            <w:r>
              <w:rPr>
                <w:color w:val="231F20"/>
                <w:w w:val="85"/>
                <w:sz w:val="14"/>
              </w:rPr>
              <w:t>Cultura</w:t>
            </w:r>
          </w:p>
        </w:tc>
        <w:tc>
          <w:tcPr>
            <w:tcW w:w="2998" w:type="dxa"/>
          </w:tcPr>
          <w:p>
            <w:pPr>
              <w:pStyle w:val="TableParagraph"/>
              <w:spacing w:before="52"/>
              <w:ind w:left="351" w:right="31"/>
              <w:rPr>
                <w:sz w:val="14"/>
              </w:rPr>
            </w:pPr>
            <w:r>
              <w:rPr>
                <w:color w:val="231F20"/>
                <w:w w:val="80"/>
                <w:sz w:val="14"/>
              </w:rPr>
              <w:t>“Sábados culturales” con presentación de películas.</w:t>
            </w:r>
          </w:p>
        </w:tc>
      </w:tr>
      <w:tr>
        <w:trPr>
          <w:trHeight w:val="177" w:hRule="exact"/>
        </w:trPr>
        <w:tc>
          <w:tcPr>
            <w:tcW w:w="3014" w:type="dxa"/>
            <w:gridSpan w:val="3"/>
            <w:vMerge/>
          </w:tcPr>
          <w:p>
            <w:pPr/>
          </w:p>
        </w:tc>
        <w:tc>
          <w:tcPr>
            <w:tcW w:w="1951" w:type="dxa"/>
            <w:vMerge/>
          </w:tcPr>
          <w:p>
            <w:pPr/>
          </w:p>
        </w:tc>
        <w:tc>
          <w:tcPr>
            <w:tcW w:w="2998" w:type="dxa"/>
          </w:tcPr>
          <w:p>
            <w:pPr>
              <w:pStyle w:val="TableParagraph"/>
              <w:spacing w:before="3"/>
              <w:ind w:left="592" w:right="31"/>
              <w:rPr>
                <w:sz w:val="14"/>
              </w:rPr>
            </w:pPr>
            <w:r>
              <w:rPr>
                <w:color w:val="231F20"/>
                <w:w w:val="80"/>
                <w:sz w:val="14"/>
              </w:rPr>
              <w:t>Organización de Primer Festival de Coros</w:t>
            </w:r>
          </w:p>
        </w:tc>
      </w:tr>
      <w:tr>
        <w:trPr>
          <w:trHeight w:val="506" w:hRule="exact"/>
        </w:trPr>
        <w:tc>
          <w:tcPr>
            <w:tcW w:w="3014" w:type="dxa"/>
            <w:gridSpan w:val="3"/>
            <w:vMerge/>
          </w:tcPr>
          <w:p>
            <w:pPr/>
          </w:p>
        </w:tc>
        <w:tc>
          <w:tcPr>
            <w:tcW w:w="1951" w:type="dxa"/>
            <w:vMerge/>
          </w:tcPr>
          <w:p>
            <w:pPr/>
          </w:p>
        </w:tc>
        <w:tc>
          <w:tcPr>
            <w:tcW w:w="2998" w:type="dxa"/>
          </w:tcPr>
          <w:p>
            <w:pPr>
              <w:pStyle w:val="TableParagraph"/>
              <w:spacing w:line="140" w:lineRule="exact" w:before="48"/>
              <w:ind w:left="743" w:right="741"/>
              <w:jc w:val="center"/>
              <w:rPr>
                <w:sz w:val="14"/>
              </w:rPr>
            </w:pPr>
            <w:r>
              <w:rPr>
                <w:color w:val="231F20"/>
                <w:w w:val="80"/>
                <w:sz w:val="14"/>
              </w:rPr>
              <w:t>Sede del Festival de Cuento Libre </w:t>
            </w:r>
            <w:r>
              <w:rPr>
                <w:color w:val="231F20"/>
                <w:w w:val="85"/>
                <w:sz w:val="14"/>
              </w:rPr>
              <w:t>9 presentaciones de libros </w:t>
            </w:r>
            <w:r>
              <w:rPr>
                <w:color w:val="231F20"/>
                <w:w w:val="80"/>
                <w:sz w:val="14"/>
              </w:rPr>
              <w:t>Fomento de lectura</w:t>
            </w:r>
          </w:p>
        </w:tc>
      </w:tr>
      <w:tr>
        <w:trPr>
          <w:trHeight w:val="278" w:hRule="exact"/>
        </w:trPr>
        <w:tc>
          <w:tcPr>
            <w:tcW w:w="3014" w:type="dxa"/>
            <w:gridSpan w:val="3"/>
            <w:vMerge/>
          </w:tcPr>
          <w:p>
            <w:pPr/>
          </w:p>
        </w:tc>
        <w:tc>
          <w:tcPr>
            <w:tcW w:w="1951" w:type="dxa"/>
            <w:vMerge w:val="restart"/>
          </w:tcPr>
          <w:p>
            <w:pPr>
              <w:pStyle w:val="TableParagraph"/>
              <w:spacing w:before="5"/>
              <w:ind w:left="0"/>
              <w:rPr>
                <w:rFonts w:ascii="Times New Roman"/>
                <w:b/>
                <w:sz w:val="13"/>
              </w:rPr>
            </w:pPr>
          </w:p>
          <w:p>
            <w:pPr>
              <w:pStyle w:val="TableParagraph"/>
              <w:ind w:left="542" w:right="82"/>
              <w:rPr>
                <w:sz w:val="14"/>
              </w:rPr>
            </w:pPr>
            <w:r>
              <w:rPr>
                <w:color w:val="231F20"/>
                <w:w w:val="75"/>
                <w:sz w:val="14"/>
              </w:rPr>
              <w:t>Fomento  deportivo</w:t>
            </w:r>
          </w:p>
        </w:tc>
        <w:tc>
          <w:tcPr>
            <w:tcW w:w="2998" w:type="dxa"/>
          </w:tcPr>
          <w:p>
            <w:pPr>
              <w:pStyle w:val="TableParagraph"/>
              <w:spacing w:before="53"/>
              <w:ind w:left="205" w:right="31"/>
              <w:rPr>
                <w:sz w:val="14"/>
              </w:rPr>
            </w:pPr>
            <w:r>
              <w:rPr>
                <w:color w:val="231F20"/>
                <w:w w:val="80"/>
                <w:sz w:val="14"/>
              </w:rPr>
              <w:t>Organización de torneos de fútbol, básquetbol y atletismo</w:t>
            </w:r>
          </w:p>
        </w:tc>
      </w:tr>
      <w:tr>
        <w:trPr>
          <w:trHeight w:val="204" w:hRule="exact"/>
        </w:trPr>
        <w:tc>
          <w:tcPr>
            <w:tcW w:w="3014" w:type="dxa"/>
            <w:gridSpan w:val="3"/>
            <w:vMerge/>
          </w:tcPr>
          <w:p>
            <w:pPr/>
          </w:p>
        </w:tc>
        <w:tc>
          <w:tcPr>
            <w:tcW w:w="1951" w:type="dxa"/>
            <w:vMerge/>
          </w:tcPr>
          <w:p>
            <w:pPr/>
          </w:p>
        </w:tc>
        <w:tc>
          <w:tcPr>
            <w:tcW w:w="2998" w:type="dxa"/>
          </w:tcPr>
          <w:p>
            <w:pPr>
              <w:pStyle w:val="TableParagraph"/>
              <w:spacing w:line="143" w:lineRule="exact"/>
              <w:ind w:left="380" w:right="31"/>
              <w:rPr>
                <w:sz w:val="14"/>
              </w:rPr>
            </w:pPr>
            <w:r>
              <w:rPr>
                <w:color w:val="231F20"/>
                <w:w w:val="80"/>
                <w:sz w:val="14"/>
              </w:rPr>
              <w:t>Mini-olimpiada intermunicipal “El día del desafió”</w:t>
            </w:r>
          </w:p>
        </w:tc>
      </w:tr>
    </w:tbl>
    <w:p>
      <w:pPr>
        <w:pStyle w:val="BodyText"/>
        <w:spacing w:before="11"/>
        <w:rPr>
          <w:b/>
          <w:sz w:val="9"/>
        </w:rPr>
      </w:pPr>
    </w:p>
    <w:p>
      <w:pPr>
        <w:spacing w:before="74"/>
        <w:ind w:left="1215" w:right="0"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spacing w:after="0"/>
        <w:jc w:val="left"/>
        <w:rPr>
          <w:rFonts w:ascii="Calibri" w:hAnsi="Calibri"/>
          <w:sz w:val="16"/>
        </w:rPr>
        <w:sectPr>
          <w:footerReference w:type="default" r:id="rId285"/>
          <w:pgSz w:w="9640" w:h="12190"/>
          <w:pgMar w:footer="743" w:header="0" w:top="1120" w:bottom="940" w:left="720" w:right="720"/>
          <w:pgNumType w:start="110"/>
        </w:sectPr>
      </w:pPr>
    </w:p>
    <w:p>
      <w:pPr>
        <w:pStyle w:val="BodyText"/>
        <w:spacing w:before="8"/>
        <w:rPr>
          <w:rFonts w:ascii="Calibri"/>
          <w:sz w:val="10"/>
        </w:rPr>
      </w:pPr>
    </w:p>
    <w:p>
      <w:pPr>
        <w:pStyle w:val="BodyText"/>
        <w:spacing w:line="285" w:lineRule="auto" w:before="35"/>
        <w:ind w:left="110" w:right="107"/>
        <w:jc w:val="both"/>
      </w:pPr>
      <w:r>
        <w:rPr>
          <w:color w:val="231F20"/>
          <w:w w:val="105"/>
        </w:rPr>
        <w:t>En</w:t>
      </w:r>
      <w:r>
        <w:rPr>
          <w:color w:val="231F20"/>
          <w:spacing w:val="-7"/>
          <w:w w:val="105"/>
        </w:rPr>
        <w:t> </w:t>
      </w:r>
      <w:r>
        <w:rPr>
          <w:color w:val="231F20"/>
          <w:spacing w:val="3"/>
          <w:w w:val="105"/>
        </w:rPr>
        <w:t>2006</w:t>
      </w:r>
      <w:r>
        <w:rPr>
          <w:color w:val="231F20"/>
          <w:spacing w:val="-7"/>
          <w:w w:val="105"/>
        </w:rPr>
        <w:t> </w:t>
      </w:r>
      <w:r>
        <w:rPr>
          <w:color w:val="231F20"/>
          <w:w w:val="105"/>
        </w:rPr>
        <w:t>una</w:t>
      </w:r>
      <w:r>
        <w:rPr>
          <w:color w:val="231F20"/>
          <w:spacing w:val="-7"/>
          <w:w w:val="105"/>
        </w:rPr>
        <w:t> </w:t>
      </w:r>
      <w:r>
        <w:rPr>
          <w:color w:val="231F20"/>
          <w:w w:val="105"/>
        </w:rPr>
        <w:t>parte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hogares</w:t>
      </w:r>
      <w:r>
        <w:rPr>
          <w:color w:val="231F20"/>
          <w:spacing w:val="-7"/>
          <w:w w:val="105"/>
        </w:rPr>
        <w:t> </w:t>
      </w:r>
      <w:r>
        <w:rPr>
          <w:color w:val="231F20"/>
          <w:w w:val="105"/>
        </w:rPr>
        <w:t>de</w:t>
      </w:r>
      <w:r>
        <w:rPr>
          <w:color w:val="231F20"/>
          <w:spacing w:val="-7"/>
          <w:w w:val="105"/>
        </w:rPr>
        <w:t> </w:t>
      </w:r>
      <w:r>
        <w:rPr>
          <w:color w:val="231F20"/>
          <w:w w:val="105"/>
        </w:rPr>
        <w:t>Ixtapan</w:t>
      </w:r>
      <w:r>
        <w:rPr>
          <w:color w:val="231F20"/>
          <w:spacing w:val="-7"/>
          <w:w w:val="105"/>
        </w:rPr>
        <w:t> </w:t>
      </w:r>
      <w:r>
        <w:rPr>
          <w:color w:val="231F20"/>
          <w:w w:val="105"/>
        </w:rPr>
        <w:t>presentaron</w:t>
      </w:r>
      <w:r>
        <w:rPr>
          <w:color w:val="231F20"/>
          <w:spacing w:val="-7"/>
          <w:w w:val="105"/>
        </w:rPr>
        <w:t> </w:t>
      </w:r>
      <w:r>
        <w:rPr>
          <w:color w:val="231F20"/>
          <w:w w:val="105"/>
        </w:rPr>
        <w:t>carencias</w:t>
      </w:r>
      <w:r>
        <w:rPr>
          <w:color w:val="231F20"/>
          <w:spacing w:val="-7"/>
          <w:w w:val="105"/>
        </w:rPr>
        <w:t> </w:t>
      </w:r>
      <w:r>
        <w:rPr>
          <w:color w:val="231F20"/>
          <w:w w:val="105"/>
        </w:rPr>
        <w:t>en</w:t>
      </w:r>
      <w:r>
        <w:rPr>
          <w:color w:val="231F20"/>
          <w:spacing w:val="-7"/>
          <w:w w:val="105"/>
        </w:rPr>
        <w:t> </w:t>
      </w:r>
      <w:r>
        <w:rPr>
          <w:color w:val="231F20"/>
          <w:w w:val="105"/>
        </w:rPr>
        <w:t>cuanto</w:t>
      </w:r>
      <w:r>
        <w:rPr>
          <w:color w:val="231F20"/>
          <w:spacing w:val="-7"/>
          <w:w w:val="105"/>
        </w:rPr>
        <w:t> </w:t>
      </w:r>
      <w:r>
        <w:rPr>
          <w:color w:val="231F20"/>
          <w:w w:val="105"/>
        </w:rPr>
        <w:t>a</w:t>
      </w:r>
      <w:r>
        <w:rPr>
          <w:color w:val="231F20"/>
          <w:spacing w:val="-7"/>
          <w:w w:val="105"/>
        </w:rPr>
        <w:t> </w:t>
      </w:r>
      <w:r>
        <w:rPr>
          <w:color w:val="231F20"/>
          <w:w w:val="105"/>
        </w:rPr>
        <w:t>calidad en</w:t>
      </w:r>
      <w:r>
        <w:rPr>
          <w:color w:val="231F20"/>
          <w:spacing w:val="-18"/>
          <w:w w:val="105"/>
        </w:rPr>
        <w:t> </w:t>
      </w:r>
      <w:r>
        <w:rPr>
          <w:color w:val="231F20"/>
          <w:w w:val="105"/>
        </w:rPr>
        <w:t>la</w:t>
      </w:r>
      <w:r>
        <w:rPr>
          <w:color w:val="231F20"/>
          <w:spacing w:val="-18"/>
          <w:w w:val="105"/>
        </w:rPr>
        <w:t> </w:t>
      </w:r>
      <w:r>
        <w:rPr>
          <w:color w:val="231F20"/>
          <w:w w:val="105"/>
        </w:rPr>
        <w:t>vivienda,</w:t>
      </w:r>
      <w:r>
        <w:rPr>
          <w:color w:val="231F20"/>
          <w:spacing w:val="-18"/>
          <w:w w:val="105"/>
        </w:rPr>
        <w:t> </w:t>
      </w:r>
      <w:r>
        <w:rPr>
          <w:color w:val="231F20"/>
          <w:w w:val="105"/>
        </w:rPr>
        <w:t>pues</w:t>
      </w:r>
      <w:r>
        <w:rPr>
          <w:color w:val="231F20"/>
          <w:spacing w:val="-18"/>
          <w:w w:val="105"/>
        </w:rPr>
        <w:t> </w:t>
      </w:r>
      <w:r>
        <w:rPr>
          <w:color w:val="231F20"/>
          <w:w w:val="105"/>
        </w:rPr>
        <w:t>algunas</w:t>
      </w:r>
      <w:r>
        <w:rPr>
          <w:color w:val="231F20"/>
          <w:spacing w:val="-18"/>
          <w:w w:val="105"/>
        </w:rPr>
        <w:t> </w:t>
      </w:r>
      <w:r>
        <w:rPr>
          <w:color w:val="231F20"/>
          <w:w w:val="105"/>
        </w:rPr>
        <w:t>casas</w:t>
      </w:r>
      <w:r>
        <w:rPr>
          <w:color w:val="231F20"/>
          <w:spacing w:val="-18"/>
          <w:w w:val="105"/>
        </w:rPr>
        <w:t> </w:t>
      </w:r>
      <w:r>
        <w:rPr>
          <w:color w:val="231F20"/>
          <w:w w:val="105"/>
        </w:rPr>
        <w:t>estaban</w:t>
      </w:r>
      <w:r>
        <w:rPr>
          <w:color w:val="231F20"/>
          <w:spacing w:val="-18"/>
          <w:w w:val="105"/>
        </w:rPr>
        <w:t> </w:t>
      </w:r>
      <w:r>
        <w:rPr>
          <w:color w:val="231F20"/>
          <w:w w:val="105"/>
        </w:rPr>
        <w:t>construidas</w:t>
      </w:r>
      <w:r>
        <w:rPr>
          <w:color w:val="231F20"/>
          <w:spacing w:val="-18"/>
          <w:w w:val="105"/>
        </w:rPr>
        <w:t> </w:t>
      </w:r>
      <w:r>
        <w:rPr>
          <w:color w:val="231F20"/>
          <w:w w:val="105"/>
        </w:rPr>
        <w:t>con</w:t>
      </w:r>
      <w:r>
        <w:rPr>
          <w:color w:val="231F20"/>
          <w:spacing w:val="-18"/>
          <w:w w:val="105"/>
        </w:rPr>
        <w:t> </w:t>
      </w:r>
      <w:r>
        <w:rPr>
          <w:color w:val="231F20"/>
          <w:w w:val="105"/>
        </w:rPr>
        <w:t>materiales</w:t>
      </w:r>
      <w:r>
        <w:rPr>
          <w:color w:val="231F20"/>
          <w:spacing w:val="-18"/>
          <w:w w:val="105"/>
        </w:rPr>
        <w:t> </w:t>
      </w:r>
      <w:r>
        <w:rPr>
          <w:color w:val="231F20"/>
          <w:w w:val="105"/>
        </w:rPr>
        <w:t>vulnerables</w:t>
      </w:r>
      <w:r>
        <w:rPr>
          <w:color w:val="231F20"/>
          <w:spacing w:val="-18"/>
          <w:w w:val="105"/>
        </w:rPr>
        <w:t> </w:t>
      </w:r>
      <w:r>
        <w:rPr>
          <w:color w:val="231F20"/>
          <w:w w:val="105"/>
        </w:rPr>
        <w:t>como cartón</w:t>
      </w:r>
      <w:r>
        <w:rPr>
          <w:color w:val="231F20"/>
          <w:spacing w:val="-12"/>
          <w:w w:val="105"/>
        </w:rPr>
        <w:t> </w:t>
      </w:r>
      <w:r>
        <w:rPr>
          <w:color w:val="231F20"/>
          <w:w w:val="105"/>
        </w:rPr>
        <w:t>y</w:t>
      </w:r>
      <w:r>
        <w:rPr>
          <w:color w:val="231F20"/>
          <w:spacing w:val="-12"/>
          <w:w w:val="105"/>
        </w:rPr>
        <w:t> </w:t>
      </w:r>
      <w:r>
        <w:rPr>
          <w:color w:val="231F20"/>
          <w:w w:val="105"/>
        </w:rPr>
        <w:t>pisos</w:t>
      </w:r>
      <w:r>
        <w:rPr>
          <w:color w:val="231F20"/>
          <w:spacing w:val="-12"/>
          <w:w w:val="105"/>
        </w:rPr>
        <w:t> </w:t>
      </w:r>
      <w:r>
        <w:rPr>
          <w:color w:val="231F20"/>
          <w:w w:val="105"/>
        </w:rPr>
        <w:t>de</w:t>
      </w:r>
      <w:r>
        <w:rPr>
          <w:color w:val="231F20"/>
          <w:spacing w:val="-12"/>
          <w:w w:val="105"/>
        </w:rPr>
        <w:t> </w:t>
      </w:r>
      <w:r>
        <w:rPr>
          <w:color w:val="231F20"/>
          <w:w w:val="105"/>
        </w:rPr>
        <w:t>tierra.</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programa</w:t>
      </w:r>
      <w:r>
        <w:rPr>
          <w:color w:val="231F20"/>
          <w:spacing w:val="-12"/>
          <w:w w:val="105"/>
        </w:rPr>
        <w:t> </w:t>
      </w:r>
      <w:r>
        <w:rPr>
          <w:color w:val="231F20"/>
          <w:w w:val="105"/>
        </w:rPr>
        <w:t>federal</w:t>
      </w:r>
      <w:r>
        <w:rPr>
          <w:color w:val="231F20"/>
          <w:spacing w:val="-12"/>
          <w:w w:val="105"/>
        </w:rPr>
        <w:t> </w:t>
      </w:r>
      <w:r>
        <w:rPr>
          <w:color w:val="231F20"/>
          <w:spacing w:val="-7"/>
          <w:w w:val="105"/>
        </w:rPr>
        <w:t>“Tu</w:t>
      </w:r>
      <w:r>
        <w:rPr>
          <w:color w:val="231F20"/>
          <w:spacing w:val="-12"/>
          <w:w w:val="105"/>
        </w:rPr>
        <w:t> </w:t>
      </w:r>
      <w:r>
        <w:rPr>
          <w:color w:val="231F20"/>
          <w:w w:val="105"/>
        </w:rPr>
        <w:t>casa”</w:t>
      </w:r>
      <w:r>
        <w:rPr>
          <w:color w:val="231F20"/>
          <w:spacing w:val="-12"/>
          <w:w w:val="105"/>
        </w:rPr>
        <w:t> </w:t>
      </w:r>
      <w:r>
        <w:rPr>
          <w:color w:val="231F20"/>
          <w:w w:val="105"/>
        </w:rPr>
        <w:t>se</w:t>
      </w:r>
      <w:r>
        <w:rPr>
          <w:color w:val="231F20"/>
          <w:spacing w:val="-12"/>
          <w:w w:val="105"/>
        </w:rPr>
        <w:t> </w:t>
      </w:r>
      <w:r>
        <w:rPr>
          <w:color w:val="231F20"/>
          <w:w w:val="105"/>
        </w:rPr>
        <w:t>logró</w:t>
      </w:r>
      <w:r>
        <w:rPr>
          <w:color w:val="231F20"/>
          <w:spacing w:val="-12"/>
          <w:w w:val="105"/>
        </w:rPr>
        <w:t> </w:t>
      </w:r>
      <w:r>
        <w:rPr>
          <w:color w:val="231F20"/>
          <w:w w:val="105"/>
        </w:rPr>
        <w:t>atender</w:t>
      </w:r>
      <w:r>
        <w:rPr>
          <w:color w:val="231F20"/>
          <w:spacing w:val="-12"/>
          <w:w w:val="105"/>
        </w:rPr>
        <w:t> </w:t>
      </w:r>
      <w:r>
        <w:rPr>
          <w:color w:val="231F20"/>
          <w:w w:val="105"/>
        </w:rPr>
        <w:t>la</w:t>
      </w:r>
      <w:r>
        <w:rPr>
          <w:color w:val="231F20"/>
          <w:spacing w:val="-12"/>
          <w:w w:val="105"/>
        </w:rPr>
        <w:t> </w:t>
      </w:r>
      <w:r>
        <w:rPr>
          <w:color w:val="231F20"/>
          <w:w w:val="105"/>
        </w:rPr>
        <w:t>demanda de</w:t>
      </w:r>
      <w:r>
        <w:rPr>
          <w:color w:val="231F20"/>
          <w:spacing w:val="-15"/>
          <w:w w:val="105"/>
        </w:rPr>
        <w:t> </w:t>
      </w:r>
      <w:r>
        <w:rPr>
          <w:color w:val="231F20"/>
          <w:w w:val="105"/>
        </w:rPr>
        <w:t>algunos</w:t>
      </w:r>
      <w:r>
        <w:rPr>
          <w:color w:val="231F20"/>
          <w:spacing w:val="-15"/>
          <w:w w:val="105"/>
        </w:rPr>
        <w:t> </w:t>
      </w:r>
      <w:r>
        <w:rPr>
          <w:color w:val="231F20"/>
          <w:w w:val="105"/>
        </w:rPr>
        <w:t>habitantes</w:t>
      </w:r>
      <w:r>
        <w:rPr>
          <w:color w:val="231F20"/>
          <w:spacing w:val="-15"/>
          <w:w w:val="105"/>
        </w:rPr>
        <w:t> </w:t>
      </w:r>
      <w:r>
        <w:rPr>
          <w:color w:val="231F20"/>
          <w:w w:val="105"/>
        </w:rPr>
        <w:t>que</w:t>
      </w:r>
      <w:r>
        <w:rPr>
          <w:color w:val="231F20"/>
          <w:spacing w:val="-15"/>
          <w:w w:val="105"/>
        </w:rPr>
        <w:t> </w:t>
      </w:r>
      <w:r>
        <w:rPr>
          <w:color w:val="231F20"/>
          <w:w w:val="105"/>
        </w:rPr>
        <w:t>mejoraron</w:t>
      </w:r>
      <w:r>
        <w:rPr>
          <w:color w:val="231F20"/>
          <w:spacing w:val="-15"/>
          <w:w w:val="105"/>
        </w:rPr>
        <w:t> </w:t>
      </w:r>
      <w:r>
        <w:rPr>
          <w:color w:val="231F20"/>
          <w:w w:val="105"/>
        </w:rPr>
        <w:t>sus</w:t>
      </w:r>
      <w:r>
        <w:rPr>
          <w:color w:val="231F20"/>
          <w:spacing w:val="-15"/>
          <w:w w:val="105"/>
        </w:rPr>
        <w:t> </w:t>
      </w:r>
      <w:r>
        <w:rPr>
          <w:color w:val="231F20"/>
          <w:w w:val="105"/>
        </w:rPr>
        <w:t>viviendas</w:t>
      </w:r>
      <w:r>
        <w:rPr>
          <w:color w:val="231F20"/>
          <w:spacing w:val="-15"/>
          <w:w w:val="105"/>
        </w:rPr>
        <w:t> </w:t>
      </w:r>
      <w:r>
        <w:rPr>
          <w:color w:val="231F20"/>
          <w:w w:val="105"/>
        </w:rPr>
        <w:t>mediante</w:t>
      </w:r>
      <w:r>
        <w:rPr>
          <w:color w:val="231F20"/>
          <w:spacing w:val="-15"/>
          <w:w w:val="105"/>
        </w:rPr>
        <w:t> </w:t>
      </w:r>
      <w:r>
        <w:rPr>
          <w:color w:val="231F20"/>
          <w:w w:val="105"/>
        </w:rPr>
        <w:t>la</w:t>
      </w:r>
      <w:r>
        <w:rPr>
          <w:color w:val="231F20"/>
          <w:spacing w:val="-15"/>
          <w:w w:val="105"/>
        </w:rPr>
        <w:t> </w:t>
      </w:r>
      <w:r>
        <w:rPr>
          <w:color w:val="231F20"/>
          <w:w w:val="105"/>
        </w:rPr>
        <w:t>donación</w:t>
      </w:r>
      <w:r>
        <w:rPr>
          <w:color w:val="231F20"/>
          <w:spacing w:val="-15"/>
          <w:w w:val="105"/>
        </w:rPr>
        <w:t> </w:t>
      </w:r>
      <w:r>
        <w:rPr>
          <w:color w:val="231F20"/>
          <w:w w:val="105"/>
        </w:rPr>
        <w:t>de</w:t>
      </w:r>
      <w:r>
        <w:rPr>
          <w:color w:val="231F20"/>
          <w:spacing w:val="-15"/>
          <w:w w:val="105"/>
        </w:rPr>
        <w:t> </w:t>
      </w:r>
      <w:r>
        <w:rPr>
          <w:color w:val="231F20"/>
          <w:w w:val="105"/>
        </w:rPr>
        <w:t>material</w:t>
      </w:r>
      <w:r>
        <w:rPr>
          <w:color w:val="231F20"/>
          <w:spacing w:val="-15"/>
          <w:w w:val="105"/>
        </w:rPr>
        <w:t> </w:t>
      </w:r>
      <w:r>
        <w:rPr>
          <w:color w:val="231F20"/>
          <w:w w:val="105"/>
        </w:rPr>
        <w:t>de construcción como tabique y </w:t>
      </w:r>
      <w:r>
        <w:rPr>
          <w:color w:val="231F20"/>
          <w:spacing w:val="2"/>
          <w:w w:val="105"/>
        </w:rPr>
        <w:t>lámina </w:t>
      </w:r>
      <w:r>
        <w:rPr>
          <w:color w:val="231F20"/>
          <w:w w:val="105"/>
        </w:rPr>
        <w:t>de asbesto y aluminio; aunque esta acción no fue de</w:t>
      </w:r>
      <w:r>
        <w:rPr>
          <w:color w:val="231F20"/>
          <w:spacing w:val="-11"/>
          <w:w w:val="105"/>
        </w:rPr>
        <w:t> </w:t>
      </w:r>
      <w:r>
        <w:rPr>
          <w:color w:val="231F20"/>
          <w:w w:val="105"/>
        </w:rPr>
        <w:t>recurso</w:t>
      </w:r>
      <w:r>
        <w:rPr>
          <w:color w:val="231F20"/>
          <w:spacing w:val="-11"/>
          <w:w w:val="105"/>
        </w:rPr>
        <w:t> </w:t>
      </w:r>
      <w:r>
        <w:rPr>
          <w:color w:val="231F20"/>
          <w:spacing w:val="-3"/>
          <w:w w:val="105"/>
        </w:rPr>
        <w:t>propio,</w:t>
      </w:r>
      <w:r>
        <w:rPr>
          <w:color w:val="231F20"/>
          <w:spacing w:val="-11"/>
          <w:w w:val="105"/>
        </w:rPr>
        <w:t> </w:t>
      </w:r>
      <w:r>
        <w:rPr>
          <w:color w:val="231F20"/>
          <w:w w:val="105"/>
        </w:rPr>
        <w:t>sí</w:t>
      </w:r>
      <w:r>
        <w:rPr>
          <w:color w:val="231F20"/>
          <w:spacing w:val="-11"/>
          <w:w w:val="105"/>
        </w:rPr>
        <w:t> </w:t>
      </w:r>
      <w:r>
        <w:rPr>
          <w:color w:val="231F20"/>
          <w:w w:val="105"/>
        </w:rPr>
        <w:t>contribuyó</w:t>
      </w:r>
      <w:r>
        <w:rPr>
          <w:color w:val="231F20"/>
          <w:spacing w:val="-11"/>
          <w:w w:val="105"/>
        </w:rPr>
        <w:t> </w:t>
      </w:r>
      <w:r>
        <w:rPr>
          <w:color w:val="231F20"/>
          <w:spacing w:val="2"/>
          <w:w w:val="105"/>
        </w:rPr>
        <w:t>al</w:t>
      </w:r>
      <w:r>
        <w:rPr>
          <w:color w:val="231F20"/>
          <w:spacing w:val="-11"/>
          <w:w w:val="105"/>
        </w:rPr>
        <w:t> </w:t>
      </w:r>
      <w:r>
        <w:rPr>
          <w:color w:val="231F20"/>
          <w:w w:val="105"/>
        </w:rPr>
        <w:t>combate</w:t>
      </w:r>
      <w:r>
        <w:rPr>
          <w:color w:val="231F20"/>
          <w:spacing w:val="-11"/>
          <w:w w:val="105"/>
        </w:rPr>
        <w:t> </w:t>
      </w:r>
      <w:r>
        <w:rPr>
          <w:color w:val="231F20"/>
          <w:w w:val="105"/>
        </w:rPr>
        <w:t>de</w:t>
      </w:r>
      <w:r>
        <w:rPr>
          <w:color w:val="231F20"/>
          <w:spacing w:val="-11"/>
          <w:w w:val="105"/>
        </w:rPr>
        <w:t> </w:t>
      </w:r>
      <w:r>
        <w:rPr>
          <w:color w:val="231F20"/>
          <w:w w:val="105"/>
        </w:rPr>
        <w:t>estas</w:t>
      </w:r>
      <w:r>
        <w:rPr>
          <w:color w:val="231F20"/>
          <w:spacing w:val="-11"/>
          <w:w w:val="105"/>
        </w:rPr>
        <w:t> </w:t>
      </w:r>
      <w:r>
        <w:rPr>
          <w:color w:val="231F20"/>
          <w:w w:val="105"/>
        </w:rPr>
        <w:t>carencias.</w:t>
      </w:r>
    </w:p>
    <w:p>
      <w:pPr>
        <w:pStyle w:val="BodyText"/>
        <w:spacing w:before="1"/>
        <w:rPr>
          <w:sz w:val="26"/>
        </w:rPr>
      </w:pPr>
    </w:p>
    <w:p>
      <w:pPr>
        <w:pStyle w:val="BodyText"/>
        <w:spacing w:line="285" w:lineRule="auto"/>
        <w:ind w:left="110" w:right="107"/>
        <w:jc w:val="both"/>
      </w:pPr>
      <w:r>
        <w:rPr>
          <w:color w:val="231F20"/>
          <w:w w:val="105"/>
        </w:rPr>
        <w:t>Los servicios públicos como alumbrado público y recolección de basura presentaban deficiencias</w:t>
      </w:r>
      <w:r>
        <w:rPr>
          <w:color w:val="231F20"/>
          <w:spacing w:val="-10"/>
          <w:w w:val="105"/>
        </w:rPr>
        <w:t> </w:t>
      </w:r>
      <w:r>
        <w:rPr>
          <w:color w:val="231F20"/>
          <w:w w:val="105"/>
        </w:rPr>
        <w:t>en</w:t>
      </w:r>
      <w:r>
        <w:rPr>
          <w:color w:val="231F20"/>
          <w:spacing w:val="-10"/>
          <w:w w:val="105"/>
        </w:rPr>
        <w:t> </w:t>
      </w:r>
      <w:r>
        <w:rPr>
          <w:color w:val="231F20"/>
          <w:w w:val="105"/>
        </w:rPr>
        <w:t>cuanto</w:t>
      </w:r>
      <w:r>
        <w:rPr>
          <w:color w:val="231F20"/>
          <w:spacing w:val="-10"/>
          <w:w w:val="105"/>
        </w:rPr>
        <w:t> </w:t>
      </w:r>
      <w:r>
        <w:rPr>
          <w:color w:val="231F20"/>
          <w:w w:val="105"/>
        </w:rPr>
        <w:t>a</w:t>
      </w:r>
      <w:r>
        <w:rPr>
          <w:color w:val="231F20"/>
          <w:spacing w:val="-10"/>
          <w:w w:val="105"/>
        </w:rPr>
        <w:t> </w:t>
      </w:r>
      <w:r>
        <w:rPr>
          <w:color w:val="231F20"/>
          <w:w w:val="105"/>
        </w:rPr>
        <w:t>equipo,</w:t>
      </w:r>
      <w:r>
        <w:rPr>
          <w:color w:val="231F20"/>
          <w:spacing w:val="-10"/>
          <w:w w:val="105"/>
        </w:rPr>
        <w:t> </w:t>
      </w:r>
      <w:r>
        <w:rPr>
          <w:color w:val="231F20"/>
          <w:w w:val="105"/>
        </w:rPr>
        <w:t>por</w:t>
      </w:r>
      <w:r>
        <w:rPr>
          <w:color w:val="231F20"/>
          <w:spacing w:val="-10"/>
          <w:w w:val="105"/>
        </w:rPr>
        <w:t> </w:t>
      </w:r>
      <w:r>
        <w:rPr>
          <w:color w:val="231F20"/>
          <w:w w:val="105"/>
        </w:rPr>
        <w:t>lo</w:t>
      </w:r>
      <w:r>
        <w:rPr>
          <w:color w:val="231F20"/>
          <w:spacing w:val="-10"/>
          <w:w w:val="105"/>
        </w:rPr>
        <w:t> </w:t>
      </w:r>
      <w:r>
        <w:rPr>
          <w:color w:val="231F20"/>
          <w:w w:val="105"/>
        </w:rPr>
        <w:t>cual</w:t>
      </w:r>
      <w:r>
        <w:rPr>
          <w:color w:val="231F20"/>
          <w:spacing w:val="-10"/>
          <w:w w:val="105"/>
        </w:rPr>
        <w:t> </w:t>
      </w:r>
      <w:r>
        <w:rPr>
          <w:color w:val="231F20"/>
          <w:w w:val="105"/>
        </w:rPr>
        <w:t>en</w:t>
      </w:r>
      <w:r>
        <w:rPr>
          <w:color w:val="231F20"/>
          <w:spacing w:val="-10"/>
          <w:w w:val="105"/>
        </w:rPr>
        <w:t> </w:t>
      </w:r>
      <w:r>
        <w:rPr>
          <w:color w:val="231F20"/>
          <w:spacing w:val="3"/>
          <w:w w:val="105"/>
        </w:rPr>
        <w:t>2008</w:t>
      </w:r>
      <w:r>
        <w:rPr>
          <w:color w:val="231F20"/>
          <w:spacing w:val="-10"/>
          <w:w w:val="105"/>
        </w:rPr>
        <w:t> </w:t>
      </w:r>
      <w:r>
        <w:rPr>
          <w:color w:val="231F20"/>
          <w:w w:val="105"/>
        </w:rPr>
        <w:t>se</w:t>
      </w:r>
      <w:r>
        <w:rPr>
          <w:color w:val="231F20"/>
          <w:spacing w:val="-10"/>
          <w:w w:val="105"/>
        </w:rPr>
        <w:t> </w:t>
      </w:r>
      <w:r>
        <w:rPr>
          <w:color w:val="231F20"/>
          <w:w w:val="105"/>
        </w:rPr>
        <w:t>adquirieron</w:t>
      </w:r>
      <w:r>
        <w:rPr>
          <w:color w:val="231F20"/>
          <w:spacing w:val="-10"/>
          <w:w w:val="105"/>
        </w:rPr>
        <w:t> </w:t>
      </w:r>
      <w:r>
        <w:rPr>
          <w:color w:val="231F20"/>
          <w:w w:val="105"/>
        </w:rPr>
        <w:t>unidades</w:t>
      </w:r>
      <w:r>
        <w:rPr>
          <w:color w:val="231F20"/>
          <w:spacing w:val="-10"/>
          <w:w w:val="105"/>
        </w:rPr>
        <w:t> </w:t>
      </w:r>
      <w:r>
        <w:rPr>
          <w:color w:val="231F20"/>
          <w:w w:val="105"/>
        </w:rPr>
        <w:t>técnicas</w:t>
      </w:r>
      <w:r>
        <w:rPr>
          <w:color w:val="231F20"/>
          <w:spacing w:val="-10"/>
          <w:w w:val="105"/>
        </w:rPr>
        <w:t> </w:t>
      </w:r>
      <w:r>
        <w:rPr>
          <w:color w:val="231F20"/>
          <w:w w:val="105"/>
        </w:rPr>
        <w:t>y móviles,</w:t>
      </w:r>
      <w:r>
        <w:rPr>
          <w:color w:val="231F20"/>
          <w:spacing w:val="-15"/>
          <w:w w:val="105"/>
        </w:rPr>
        <w:t> </w:t>
      </w:r>
      <w:r>
        <w:rPr>
          <w:color w:val="231F20"/>
          <w:w w:val="105"/>
        </w:rPr>
        <w:t>extendiéndose</w:t>
      </w:r>
      <w:r>
        <w:rPr>
          <w:color w:val="231F20"/>
          <w:spacing w:val="-15"/>
          <w:w w:val="105"/>
        </w:rPr>
        <w:t> </w:t>
      </w:r>
      <w:r>
        <w:rPr>
          <w:color w:val="231F20"/>
          <w:w w:val="105"/>
        </w:rPr>
        <w:t>así</w:t>
      </w:r>
      <w:r>
        <w:rPr>
          <w:color w:val="231F20"/>
          <w:spacing w:val="-15"/>
          <w:w w:val="105"/>
        </w:rPr>
        <w:t> </w:t>
      </w:r>
      <w:r>
        <w:rPr>
          <w:color w:val="231F20"/>
          <w:w w:val="105"/>
        </w:rPr>
        <w:t>la</w:t>
      </w:r>
      <w:r>
        <w:rPr>
          <w:color w:val="231F20"/>
          <w:spacing w:val="-15"/>
          <w:w w:val="105"/>
        </w:rPr>
        <w:t> </w:t>
      </w:r>
      <w:r>
        <w:rPr>
          <w:color w:val="231F20"/>
          <w:w w:val="105"/>
        </w:rPr>
        <w:t>cobertura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mismos.</w:t>
      </w:r>
    </w:p>
    <w:p>
      <w:pPr>
        <w:pStyle w:val="BodyText"/>
        <w:spacing w:line="285" w:lineRule="auto" w:before="1"/>
        <w:ind w:left="110" w:right="107"/>
        <w:jc w:val="both"/>
      </w:pPr>
      <w:r>
        <w:rPr>
          <w:color w:val="231F20"/>
          <w:spacing w:val="-3"/>
          <w:w w:val="105"/>
        </w:rPr>
        <w:t>Uno</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rubros</w:t>
      </w:r>
      <w:r>
        <w:rPr>
          <w:color w:val="231F20"/>
          <w:spacing w:val="-23"/>
          <w:w w:val="105"/>
        </w:rPr>
        <w:t> </w:t>
      </w:r>
      <w:r>
        <w:rPr>
          <w:color w:val="231F20"/>
          <w:w w:val="105"/>
        </w:rPr>
        <w:t>con</w:t>
      </w:r>
      <w:r>
        <w:rPr>
          <w:color w:val="231F20"/>
          <w:spacing w:val="-23"/>
          <w:w w:val="105"/>
        </w:rPr>
        <w:t> </w:t>
      </w:r>
      <w:r>
        <w:rPr>
          <w:color w:val="231F20"/>
          <w:w w:val="105"/>
        </w:rPr>
        <w:t>mayor</w:t>
      </w:r>
      <w:r>
        <w:rPr>
          <w:color w:val="231F20"/>
          <w:spacing w:val="-23"/>
          <w:w w:val="105"/>
        </w:rPr>
        <w:t> </w:t>
      </w:r>
      <w:r>
        <w:rPr>
          <w:color w:val="231F20"/>
          <w:w w:val="105"/>
        </w:rPr>
        <w:t>reporte</w:t>
      </w:r>
      <w:r>
        <w:rPr>
          <w:color w:val="231F20"/>
          <w:spacing w:val="-23"/>
          <w:w w:val="105"/>
        </w:rPr>
        <w:t> </w:t>
      </w:r>
      <w:r>
        <w:rPr>
          <w:color w:val="231F20"/>
          <w:w w:val="105"/>
        </w:rPr>
        <w:t>de</w:t>
      </w:r>
      <w:r>
        <w:rPr>
          <w:color w:val="231F20"/>
          <w:spacing w:val="-23"/>
          <w:w w:val="105"/>
        </w:rPr>
        <w:t> </w:t>
      </w:r>
      <w:r>
        <w:rPr>
          <w:color w:val="231F20"/>
          <w:w w:val="105"/>
        </w:rPr>
        <w:t>acciones</w:t>
      </w:r>
      <w:r>
        <w:rPr>
          <w:color w:val="231F20"/>
          <w:spacing w:val="-23"/>
          <w:w w:val="105"/>
        </w:rPr>
        <w:t> </w:t>
      </w:r>
      <w:r>
        <w:rPr>
          <w:color w:val="231F20"/>
          <w:w w:val="105"/>
        </w:rPr>
        <w:t>y</w:t>
      </w:r>
      <w:r>
        <w:rPr>
          <w:color w:val="231F20"/>
          <w:spacing w:val="-23"/>
          <w:w w:val="105"/>
        </w:rPr>
        <w:t> </w:t>
      </w:r>
      <w:r>
        <w:rPr>
          <w:color w:val="231F20"/>
          <w:w w:val="105"/>
        </w:rPr>
        <w:t>gasto</w:t>
      </w:r>
      <w:r>
        <w:rPr>
          <w:color w:val="231F20"/>
          <w:spacing w:val="-23"/>
          <w:w w:val="105"/>
        </w:rPr>
        <w:t> </w:t>
      </w:r>
      <w:r>
        <w:rPr>
          <w:color w:val="231F20"/>
          <w:w w:val="105"/>
        </w:rPr>
        <w:t>fue</w:t>
      </w:r>
      <w:r>
        <w:rPr>
          <w:color w:val="231F20"/>
          <w:spacing w:val="-23"/>
          <w:w w:val="105"/>
        </w:rPr>
        <w:t> </w:t>
      </w:r>
      <w:r>
        <w:rPr>
          <w:color w:val="231F20"/>
          <w:w w:val="105"/>
        </w:rPr>
        <w:t>el</w:t>
      </w:r>
      <w:r>
        <w:rPr>
          <w:color w:val="231F20"/>
          <w:spacing w:val="-23"/>
          <w:w w:val="105"/>
        </w:rPr>
        <w:t> </w:t>
      </w:r>
      <w:r>
        <w:rPr>
          <w:color w:val="231F20"/>
          <w:w w:val="105"/>
        </w:rPr>
        <w:t>de</w:t>
      </w:r>
      <w:r>
        <w:rPr>
          <w:color w:val="231F20"/>
          <w:spacing w:val="-23"/>
          <w:w w:val="105"/>
        </w:rPr>
        <w:t> </w:t>
      </w:r>
      <w:r>
        <w:rPr>
          <w:color w:val="231F20"/>
          <w:w w:val="105"/>
        </w:rPr>
        <w:t>Vialidades,</w:t>
      </w:r>
      <w:r>
        <w:rPr>
          <w:color w:val="231F20"/>
          <w:spacing w:val="-23"/>
          <w:w w:val="105"/>
        </w:rPr>
        <w:t> </w:t>
      </w:r>
      <w:r>
        <w:rPr>
          <w:color w:val="231F20"/>
          <w:w w:val="105"/>
        </w:rPr>
        <w:t>se</w:t>
      </w:r>
      <w:r>
        <w:rPr>
          <w:color w:val="231F20"/>
          <w:spacing w:val="-23"/>
          <w:w w:val="105"/>
        </w:rPr>
        <w:t> </w:t>
      </w:r>
      <w:r>
        <w:rPr>
          <w:color w:val="231F20"/>
          <w:w w:val="105"/>
        </w:rPr>
        <w:t>remode- laron</w:t>
      </w:r>
      <w:r>
        <w:rPr>
          <w:color w:val="231F20"/>
          <w:spacing w:val="-8"/>
          <w:w w:val="105"/>
        </w:rPr>
        <w:t> </w:t>
      </w:r>
      <w:r>
        <w:rPr>
          <w:color w:val="231F20"/>
          <w:w w:val="105"/>
        </w:rPr>
        <w:t>las</w:t>
      </w:r>
      <w:r>
        <w:rPr>
          <w:color w:val="231F20"/>
          <w:spacing w:val="-8"/>
          <w:w w:val="105"/>
        </w:rPr>
        <w:t> </w:t>
      </w:r>
      <w:r>
        <w:rPr>
          <w:color w:val="231F20"/>
          <w:w w:val="105"/>
        </w:rPr>
        <w:t>principales</w:t>
      </w:r>
      <w:r>
        <w:rPr>
          <w:color w:val="231F20"/>
          <w:spacing w:val="-8"/>
          <w:w w:val="105"/>
        </w:rPr>
        <w:t> </w:t>
      </w:r>
      <w:r>
        <w:rPr>
          <w:color w:val="231F20"/>
          <w:w w:val="105"/>
        </w:rPr>
        <w:t>avenidas</w:t>
      </w:r>
      <w:r>
        <w:rPr>
          <w:color w:val="231F20"/>
          <w:spacing w:val="-8"/>
          <w:w w:val="105"/>
        </w:rPr>
        <w:t> </w:t>
      </w:r>
      <w:r>
        <w:rPr>
          <w:color w:val="231F20"/>
          <w:w w:val="105"/>
        </w:rPr>
        <w:t>que</w:t>
      </w:r>
      <w:r>
        <w:rPr>
          <w:color w:val="231F20"/>
          <w:spacing w:val="-8"/>
          <w:w w:val="105"/>
        </w:rPr>
        <w:t> </w:t>
      </w:r>
      <w:r>
        <w:rPr>
          <w:color w:val="231F20"/>
          <w:w w:val="105"/>
        </w:rPr>
        <w:t>dan</w:t>
      </w:r>
      <w:r>
        <w:rPr>
          <w:color w:val="231F20"/>
          <w:spacing w:val="-8"/>
          <w:w w:val="105"/>
        </w:rPr>
        <w:t> </w:t>
      </w:r>
      <w:r>
        <w:rPr>
          <w:color w:val="231F20"/>
          <w:w w:val="105"/>
        </w:rPr>
        <w:t>acceso</w:t>
      </w:r>
      <w:r>
        <w:rPr>
          <w:color w:val="231F20"/>
          <w:spacing w:val="-8"/>
          <w:w w:val="105"/>
        </w:rPr>
        <w:t> </w:t>
      </w:r>
      <w:r>
        <w:rPr>
          <w:color w:val="231F20"/>
          <w:spacing w:val="2"/>
          <w:w w:val="105"/>
        </w:rPr>
        <w:t>al</w:t>
      </w:r>
      <w:r>
        <w:rPr>
          <w:color w:val="231F20"/>
          <w:spacing w:val="-8"/>
          <w:w w:val="105"/>
        </w:rPr>
        <w:t> </w:t>
      </w:r>
      <w:r>
        <w:rPr>
          <w:color w:val="231F20"/>
          <w:w w:val="105"/>
        </w:rPr>
        <w:t>municipio,</w:t>
      </w:r>
      <w:r>
        <w:rPr>
          <w:color w:val="231F20"/>
          <w:spacing w:val="-8"/>
          <w:w w:val="105"/>
        </w:rPr>
        <w:t> </w:t>
      </w:r>
      <w:r>
        <w:rPr>
          <w:color w:val="231F20"/>
          <w:w w:val="105"/>
        </w:rPr>
        <w:t>se</w:t>
      </w:r>
      <w:r>
        <w:rPr>
          <w:color w:val="231F20"/>
          <w:spacing w:val="-8"/>
          <w:w w:val="105"/>
        </w:rPr>
        <w:t> </w:t>
      </w:r>
      <w:r>
        <w:rPr>
          <w:color w:val="231F20"/>
          <w:w w:val="105"/>
        </w:rPr>
        <w:t>construyeron</w:t>
      </w:r>
      <w:r>
        <w:rPr>
          <w:color w:val="231F20"/>
          <w:spacing w:val="-8"/>
          <w:w w:val="105"/>
        </w:rPr>
        <w:t> </w:t>
      </w:r>
      <w:r>
        <w:rPr>
          <w:color w:val="231F20"/>
          <w:w w:val="105"/>
        </w:rPr>
        <w:t>guarnicio- nes</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tránsito</w:t>
      </w:r>
      <w:r>
        <w:rPr>
          <w:color w:val="231F20"/>
          <w:spacing w:val="-7"/>
          <w:w w:val="105"/>
        </w:rPr>
        <w:t> </w:t>
      </w:r>
      <w:r>
        <w:rPr>
          <w:color w:val="231F20"/>
          <w:w w:val="105"/>
        </w:rPr>
        <w:t>peatonal,</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calles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cabecera</w:t>
      </w:r>
      <w:r>
        <w:rPr>
          <w:color w:val="231F20"/>
          <w:spacing w:val="-7"/>
          <w:w w:val="105"/>
        </w:rPr>
        <w:t> </w:t>
      </w:r>
      <w:r>
        <w:rPr>
          <w:color w:val="231F20"/>
          <w:w w:val="105"/>
        </w:rPr>
        <w:t>y</w:t>
      </w:r>
      <w:r>
        <w:rPr>
          <w:color w:val="231F20"/>
          <w:spacing w:val="-7"/>
          <w:w w:val="105"/>
        </w:rPr>
        <w:t> </w:t>
      </w:r>
      <w:r>
        <w:rPr>
          <w:color w:val="231F20"/>
          <w:w w:val="105"/>
        </w:rPr>
        <w:t>algunas</w:t>
      </w:r>
      <w:r>
        <w:rPr>
          <w:color w:val="231F20"/>
          <w:spacing w:val="-7"/>
          <w:w w:val="105"/>
        </w:rPr>
        <w:t> </w:t>
      </w:r>
      <w:r>
        <w:rPr>
          <w:color w:val="231F20"/>
          <w:w w:val="105"/>
        </w:rPr>
        <w:t>localidades</w:t>
      </w:r>
      <w:r>
        <w:rPr>
          <w:color w:val="231F20"/>
          <w:spacing w:val="-7"/>
          <w:w w:val="105"/>
        </w:rPr>
        <w:t> </w:t>
      </w:r>
      <w:r>
        <w:rPr>
          <w:color w:val="231F20"/>
          <w:w w:val="105"/>
        </w:rPr>
        <w:t>se</w:t>
      </w:r>
      <w:r>
        <w:rPr>
          <w:color w:val="231F20"/>
          <w:spacing w:val="-7"/>
          <w:w w:val="105"/>
        </w:rPr>
        <w:t> </w:t>
      </w:r>
      <w:r>
        <w:rPr>
          <w:color w:val="231F20"/>
          <w:w w:val="105"/>
        </w:rPr>
        <w:t>les</w:t>
      </w:r>
      <w:r>
        <w:rPr>
          <w:color w:val="231F20"/>
          <w:spacing w:val="-7"/>
          <w:w w:val="105"/>
        </w:rPr>
        <w:t> </w:t>
      </w:r>
      <w:r>
        <w:rPr>
          <w:color w:val="231F20"/>
          <w:w w:val="105"/>
        </w:rPr>
        <w:t>dio mantenimiento </w:t>
      </w:r>
      <w:r>
        <w:rPr>
          <w:color w:val="231F20"/>
          <w:spacing w:val="-3"/>
          <w:w w:val="105"/>
        </w:rPr>
        <w:t>(bacheo). </w:t>
      </w:r>
      <w:r>
        <w:rPr>
          <w:color w:val="231F20"/>
          <w:w w:val="105"/>
        </w:rPr>
        <w:t>Sin embargo, el objetivo planteado por la administración fue la creación de nuevas carreteras y la pavimentación de terracerías, acciones que hasta </w:t>
      </w:r>
      <w:r>
        <w:rPr>
          <w:color w:val="231F20"/>
          <w:spacing w:val="3"/>
          <w:w w:val="105"/>
        </w:rPr>
        <w:t>2008</w:t>
      </w:r>
      <w:r>
        <w:rPr>
          <w:color w:val="231F20"/>
          <w:spacing w:val="-15"/>
          <w:w w:val="105"/>
        </w:rPr>
        <w:t> </w:t>
      </w:r>
      <w:r>
        <w:rPr>
          <w:color w:val="231F20"/>
          <w:w w:val="105"/>
        </w:rPr>
        <w:t>no</w:t>
      </w:r>
      <w:r>
        <w:rPr>
          <w:color w:val="231F20"/>
          <w:spacing w:val="-15"/>
          <w:w w:val="105"/>
        </w:rPr>
        <w:t> </w:t>
      </w:r>
      <w:r>
        <w:rPr>
          <w:color w:val="231F20"/>
          <w:w w:val="105"/>
        </w:rPr>
        <w:t>habían</w:t>
      </w:r>
      <w:r>
        <w:rPr>
          <w:color w:val="231F20"/>
          <w:spacing w:val="-15"/>
          <w:w w:val="105"/>
        </w:rPr>
        <w:t> </w:t>
      </w:r>
      <w:r>
        <w:rPr>
          <w:color w:val="231F20"/>
          <w:w w:val="105"/>
        </w:rPr>
        <w:t>sido</w:t>
      </w:r>
      <w:r>
        <w:rPr>
          <w:color w:val="231F20"/>
          <w:spacing w:val="-15"/>
          <w:w w:val="105"/>
        </w:rPr>
        <w:t> </w:t>
      </w:r>
      <w:r>
        <w:rPr>
          <w:color w:val="231F20"/>
          <w:w w:val="105"/>
        </w:rPr>
        <w:t>atendidas.</w:t>
      </w:r>
    </w:p>
    <w:p>
      <w:pPr>
        <w:pStyle w:val="BodyText"/>
        <w:spacing w:before="1"/>
        <w:rPr>
          <w:sz w:val="26"/>
        </w:rPr>
      </w:pPr>
    </w:p>
    <w:p>
      <w:pPr>
        <w:pStyle w:val="BodyText"/>
        <w:spacing w:line="285" w:lineRule="auto"/>
        <w:ind w:left="110" w:right="107"/>
        <w:jc w:val="both"/>
      </w:pPr>
      <w:r>
        <w:rPr>
          <w:color w:val="231F20"/>
          <w:w w:val="105"/>
        </w:rPr>
        <w:t>De acuerdo con el Plan Municipal, Imagen Urbana representaba otra área de interés, particularmente</w:t>
      </w:r>
      <w:r>
        <w:rPr>
          <w:color w:val="231F20"/>
          <w:spacing w:val="-14"/>
          <w:w w:val="105"/>
        </w:rPr>
        <w:t> </w:t>
      </w:r>
      <w:r>
        <w:rPr>
          <w:color w:val="231F20"/>
          <w:w w:val="105"/>
        </w:rPr>
        <w:t>porque</w:t>
      </w:r>
      <w:r>
        <w:rPr>
          <w:color w:val="231F20"/>
          <w:spacing w:val="-14"/>
          <w:w w:val="105"/>
        </w:rPr>
        <w:t> </w:t>
      </w:r>
      <w:r>
        <w:rPr>
          <w:color w:val="231F20"/>
          <w:w w:val="105"/>
        </w:rPr>
        <w:t>el</w:t>
      </w:r>
      <w:r>
        <w:rPr>
          <w:color w:val="231F20"/>
          <w:spacing w:val="-14"/>
          <w:w w:val="105"/>
        </w:rPr>
        <w:t> </w:t>
      </w:r>
      <w:r>
        <w:rPr>
          <w:color w:val="231F20"/>
          <w:w w:val="105"/>
        </w:rPr>
        <w:t>turismo</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actividad</w:t>
      </w:r>
      <w:r>
        <w:rPr>
          <w:color w:val="231F20"/>
          <w:spacing w:val="-14"/>
          <w:w w:val="105"/>
        </w:rPr>
        <w:t> </w:t>
      </w:r>
      <w:r>
        <w:rPr>
          <w:color w:val="231F20"/>
          <w:w w:val="105"/>
        </w:rPr>
        <w:t>básica</w:t>
      </w:r>
      <w:r>
        <w:rPr>
          <w:color w:val="231F20"/>
          <w:spacing w:val="-14"/>
          <w:w w:val="105"/>
        </w:rPr>
        <w:t> </w:t>
      </w:r>
      <w:r>
        <w:rPr>
          <w:color w:val="231F20"/>
          <w:w w:val="105"/>
        </w:rPr>
        <w:t>del</w:t>
      </w:r>
      <w:r>
        <w:rPr>
          <w:color w:val="231F20"/>
          <w:spacing w:val="-14"/>
          <w:w w:val="105"/>
        </w:rPr>
        <w:t> </w:t>
      </w:r>
      <w:r>
        <w:rPr>
          <w:color w:val="231F20"/>
          <w:w w:val="105"/>
        </w:rPr>
        <w:t>municipio,</w:t>
      </w:r>
      <w:r>
        <w:rPr>
          <w:color w:val="231F20"/>
          <w:spacing w:val="-14"/>
          <w:w w:val="105"/>
        </w:rPr>
        <w:t> </w:t>
      </w:r>
      <w:r>
        <w:rPr>
          <w:color w:val="231F20"/>
          <w:w w:val="105"/>
        </w:rPr>
        <w:t>sin</w:t>
      </w:r>
      <w:r>
        <w:rPr>
          <w:color w:val="231F20"/>
          <w:spacing w:val="-14"/>
          <w:w w:val="105"/>
        </w:rPr>
        <w:t> </w:t>
      </w:r>
      <w:r>
        <w:rPr>
          <w:color w:val="231F20"/>
          <w:w w:val="105"/>
        </w:rPr>
        <w:t>embargo,</w:t>
      </w:r>
      <w:r>
        <w:rPr>
          <w:color w:val="231F20"/>
          <w:spacing w:val="-14"/>
          <w:w w:val="105"/>
        </w:rPr>
        <w:t> </w:t>
      </w:r>
      <w:r>
        <w:rPr>
          <w:color w:val="231F20"/>
          <w:w w:val="105"/>
        </w:rPr>
        <w:t>en </w:t>
      </w:r>
      <w:r>
        <w:rPr>
          <w:color w:val="231F20"/>
          <w:spacing w:val="3"/>
          <w:w w:val="105"/>
        </w:rPr>
        <w:t>2008</w:t>
      </w:r>
      <w:r>
        <w:rPr>
          <w:color w:val="231F20"/>
          <w:spacing w:val="-5"/>
          <w:w w:val="105"/>
        </w:rPr>
        <w:t> </w:t>
      </w:r>
      <w:r>
        <w:rPr>
          <w:color w:val="231F20"/>
          <w:w w:val="105"/>
        </w:rPr>
        <w:t>únicamente</w:t>
      </w:r>
      <w:r>
        <w:rPr>
          <w:color w:val="231F20"/>
          <w:spacing w:val="-5"/>
          <w:w w:val="105"/>
        </w:rPr>
        <w:t> </w:t>
      </w:r>
      <w:r>
        <w:rPr>
          <w:color w:val="231F20"/>
          <w:w w:val="105"/>
        </w:rPr>
        <w:t>se</w:t>
      </w:r>
      <w:r>
        <w:rPr>
          <w:color w:val="231F20"/>
          <w:spacing w:val="-5"/>
          <w:w w:val="105"/>
        </w:rPr>
        <w:t> </w:t>
      </w:r>
      <w:r>
        <w:rPr>
          <w:color w:val="231F20"/>
          <w:w w:val="105"/>
        </w:rPr>
        <w:t>llevó</w:t>
      </w:r>
      <w:r>
        <w:rPr>
          <w:color w:val="231F20"/>
          <w:spacing w:val="-5"/>
          <w:w w:val="105"/>
        </w:rPr>
        <w:t> </w:t>
      </w:r>
      <w:r>
        <w:rPr>
          <w:color w:val="231F20"/>
          <w:w w:val="105"/>
        </w:rPr>
        <w:t>a</w:t>
      </w:r>
      <w:r>
        <w:rPr>
          <w:color w:val="231F20"/>
          <w:spacing w:val="-5"/>
          <w:w w:val="105"/>
        </w:rPr>
        <w:t> </w:t>
      </w:r>
      <w:r>
        <w:rPr>
          <w:color w:val="231F20"/>
          <w:w w:val="105"/>
        </w:rPr>
        <w:t>cabo</w:t>
      </w:r>
      <w:r>
        <w:rPr>
          <w:color w:val="231F20"/>
          <w:spacing w:val="-5"/>
          <w:w w:val="105"/>
        </w:rPr>
        <w:t> </w:t>
      </w:r>
      <w:r>
        <w:rPr>
          <w:color w:val="231F20"/>
          <w:w w:val="105"/>
        </w:rPr>
        <w:t>la</w:t>
      </w:r>
      <w:r>
        <w:rPr>
          <w:color w:val="231F20"/>
          <w:spacing w:val="-5"/>
          <w:w w:val="105"/>
        </w:rPr>
        <w:t> </w:t>
      </w:r>
      <w:r>
        <w:rPr>
          <w:color w:val="231F20"/>
          <w:w w:val="105"/>
        </w:rPr>
        <w:t>construcción</w:t>
      </w:r>
      <w:r>
        <w:rPr>
          <w:color w:val="231F20"/>
          <w:spacing w:val="-5"/>
          <w:w w:val="105"/>
        </w:rPr>
        <w:t> </w:t>
      </w:r>
      <w:r>
        <w:rPr>
          <w:color w:val="231F20"/>
          <w:w w:val="105"/>
        </w:rPr>
        <w:t>de</w:t>
      </w:r>
      <w:r>
        <w:rPr>
          <w:color w:val="231F20"/>
          <w:spacing w:val="-5"/>
          <w:w w:val="105"/>
        </w:rPr>
        <w:t> </w:t>
      </w:r>
      <w:r>
        <w:rPr>
          <w:color w:val="231F20"/>
          <w:w w:val="105"/>
        </w:rPr>
        <w:t>una</w:t>
      </w:r>
      <w:r>
        <w:rPr>
          <w:color w:val="231F20"/>
          <w:spacing w:val="-5"/>
          <w:w w:val="105"/>
        </w:rPr>
        <w:t> </w:t>
      </w:r>
      <w:r>
        <w:rPr>
          <w:color w:val="231F20"/>
          <w:w w:val="105"/>
        </w:rPr>
        <w:t>fuente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centro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cabe- cera</w:t>
      </w:r>
      <w:r>
        <w:rPr>
          <w:color w:val="231F20"/>
          <w:spacing w:val="-18"/>
          <w:w w:val="105"/>
        </w:rPr>
        <w:t> </w:t>
      </w:r>
      <w:r>
        <w:rPr>
          <w:color w:val="231F20"/>
          <w:w w:val="105"/>
        </w:rPr>
        <w:t>y</w:t>
      </w:r>
      <w:r>
        <w:rPr>
          <w:color w:val="231F20"/>
          <w:spacing w:val="-18"/>
          <w:w w:val="105"/>
        </w:rPr>
        <w:t> </w:t>
      </w:r>
      <w:r>
        <w:rPr>
          <w:color w:val="231F20"/>
          <w:w w:val="105"/>
        </w:rPr>
        <w:t>se</w:t>
      </w:r>
      <w:r>
        <w:rPr>
          <w:color w:val="231F20"/>
          <w:spacing w:val="-18"/>
          <w:w w:val="105"/>
        </w:rPr>
        <w:t> </w:t>
      </w:r>
      <w:r>
        <w:rPr>
          <w:color w:val="231F20"/>
          <w:w w:val="105"/>
        </w:rPr>
        <w:t>remodelaron</w:t>
      </w:r>
      <w:r>
        <w:rPr>
          <w:color w:val="231F20"/>
          <w:spacing w:val="-18"/>
          <w:w w:val="105"/>
        </w:rPr>
        <w:t> </w:t>
      </w:r>
      <w:r>
        <w:rPr>
          <w:color w:val="231F20"/>
          <w:w w:val="105"/>
        </w:rPr>
        <w:t>el</w:t>
      </w:r>
      <w:r>
        <w:rPr>
          <w:color w:val="231F20"/>
          <w:spacing w:val="-18"/>
          <w:w w:val="105"/>
        </w:rPr>
        <w:t> </w:t>
      </w:r>
      <w:r>
        <w:rPr>
          <w:color w:val="231F20"/>
          <w:w w:val="105"/>
        </w:rPr>
        <w:t>Palacio</w:t>
      </w:r>
      <w:r>
        <w:rPr>
          <w:color w:val="231F20"/>
          <w:spacing w:val="-18"/>
          <w:w w:val="105"/>
        </w:rPr>
        <w:t> </w:t>
      </w:r>
      <w:r>
        <w:rPr>
          <w:color w:val="231F20"/>
          <w:w w:val="105"/>
        </w:rPr>
        <w:t>municipal</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Plaza</w:t>
      </w:r>
      <w:r>
        <w:rPr>
          <w:color w:val="231F20"/>
          <w:spacing w:val="-18"/>
          <w:w w:val="105"/>
        </w:rPr>
        <w:t> </w:t>
      </w:r>
      <w:r>
        <w:rPr>
          <w:color w:val="231F20"/>
          <w:w w:val="105"/>
        </w:rPr>
        <w:t>Cívica,</w:t>
      </w:r>
      <w:r>
        <w:rPr>
          <w:color w:val="231F20"/>
          <w:spacing w:val="-18"/>
          <w:w w:val="105"/>
        </w:rPr>
        <w:t> </w:t>
      </w:r>
      <w:r>
        <w:rPr>
          <w:color w:val="231F20"/>
          <w:w w:val="105"/>
        </w:rPr>
        <w:t>lo</w:t>
      </w:r>
      <w:r>
        <w:rPr>
          <w:color w:val="231F20"/>
          <w:spacing w:val="-18"/>
          <w:w w:val="105"/>
        </w:rPr>
        <w:t> </w:t>
      </w:r>
      <w:r>
        <w:rPr>
          <w:color w:val="231F20"/>
          <w:w w:val="105"/>
        </w:rPr>
        <w:t>cual</w:t>
      </w:r>
      <w:r>
        <w:rPr>
          <w:color w:val="231F20"/>
          <w:spacing w:val="-18"/>
          <w:w w:val="105"/>
        </w:rPr>
        <w:t> </w:t>
      </w:r>
      <w:r>
        <w:rPr>
          <w:color w:val="231F20"/>
          <w:w w:val="105"/>
        </w:rPr>
        <w:t>resultó</w:t>
      </w:r>
      <w:r>
        <w:rPr>
          <w:color w:val="231F20"/>
          <w:spacing w:val="-18"/>
          <w:w w:val="105"/>
        </w:rPr>
        <w:t> </w:t>
      </w:r>
      <w:r>
        <w:rPr>
          <w:color w:val="231F20"/>
          <w:w w:val="105"/>
        </w:rPr>
        <w:t>insuficiente ante</w:t>
      </w:r>
      <w:r>
        <w:rPr>
          <w:color w:val="231F20"/>
          <w:spacing w:val="-11"/>
          <w:w w:val="105"/>
        </w:rPr>
        <w:t> </w:t>
      </w:r>
      <w:r>
        <w:rPr>
          <w:color w:val="231F20"/>
          <w:w w:val="105"/>
        </w:rPr>
        <w:t>problemas</w:t>
      </w:r>
      <w:r>
        <w:rPr>
          <w:color w:val="231F20"/>
          <w:spacing w:val="-11"/>
          <w:w w:val="105"/>
        </w:rPr>
        <w:t> </w:t>
      </w:r>
      <w:r>
        <w:rPr>
          <w:color w:val="231F20"/>
          <w:w w:val="105"/>
        </w:rPr>
        <w:t>que</w:t>
      </w:r>
      <w:r>
        <w:rPr>
          <w:color w:val="231F20"/>
          <w:spacing w:val="-11"/>
          <w:w w:val="105"/>
        </w:rPr>
        <w:t> </w:t>
      </w:r>
      <w:r>
        <w:rPr>
          <w:color w:val="231F20"/>
          <w:w w:val="105"/>
        </w:rPr>
        <w:t>afectan</w:t>
      </w:r>
      <w:r>
        <w:rPr>
          <w:color w:val="231F20"/>
          <w:spacing w:val="-11"/>
          <w:w w:val="105"/>
        </w:rPr>
        <w:t> </w:t>
      </w:r>
      <w:r>
        <w:rPr>
          <w:color w:val="231F20"/>
          <w:spacing w:val="-3"/>
          <w:w w:val="105"/>
        </w:rPr>
        <w:t>mucho</w:t>
      </w:r>
      <w:r>
        <w:rPr>
          <w:color w:val="231F20"/>
          <w:spacing w:val="-11"/>
          <w:w w:val="105"/>
        </w:rPr>
        <w:t> </w:t>
      </w:r>
      <w:r>
        <w:rPr>
          <w:color w:val="231F20"/>
          <w:w w:val="105"/>
        </w:rPr>
        <w:t>más</w:t>
      </w:r>
      <w:r>
        <w:rPr>
          <w:color w:val="231F20"/>
          <w:spacing w:val="-11"/>
          <w:w w:val="105"/>
        </w:rPr>
        <w:t> </w:t>
      </w:r>
      <w:r>
        <w:rPr>
          <w:color w:val="231F20"/>
          <w:w w:val="105"/>
        </w:rPr>
        <w:t>severamente</w:t>
      </w:r>
      <w:r>
        <w:rPr>
          <w:color w:val="231F20"/>
          <w:spacing w:val="-11"/>
          <w:w w:val="105"/>
        </w:rPr>
        <w:t> </w:t>
      </w:r>
      <w:r>
        <w:rPr>
          <w:color w:val="231F20"/>
          <w:w w:val="105"/>
        </w:rPr>
        <w:t>la</w:t>
      </w:r>
      <w:r>
        <w:rPr>
          <w:color w:val="231F20"/>
          <w:spacing w:val="-11"/>
          <w:w w:val="105"/>
        </w:rPr>
        <w:t> </w:t>
      </w:r>
      <w:r>
        <w:rPr>
          <w:color w:val="231F20"/>
          <w:w w:val="105"/>
        </w:rPr>
        <w:t>imagen</w:t>
      </w:r>
      <w:r>
        <w:rPr>
          <w:color w:val="231F20"/>
          <w:spacing w:val="-11"/>
          <w:w w:val="105"/>
        </w:rPr>
        <w:t> </w:t>
      </w:r>
      <w:r>
        <w:rPr>
          <w:color w:val="231F20"/>
          <w:w w:val="105"/>
        </w:rPr>
        <w:t>urbana,</w:t>
      </w:r>
      <w:r>
        <w:rPr>
          <w:color w:val="231F20"/>
          <w:spacing w:val="-11"/>
          <w:w w:val="105"/>
        </w:rPr>
        <w:t> </w:t>
      </w:r>
      <w:r>
        <w:rPr>
          <w:color w:val="231F20"/>
          <w:w w:val="105"/>
        </w:rPr>
        <w:t>como</w:t>
      </w:r>
      <w:r>
        <w:rPr>
          <w:color w:val="231F20"/>
          <w:spacing w:val="-11"/>
          <w:w w:val="105"/>
        </w:rPr>
        <w:t> </w:t>
      </w:r>
      <w:r>
        <w:rPr>
          <w:color w:val="231F20"/>
          <w:w w:val="105"/>
        </w:rPr>
        <w:t>el</w:t>
      </w:r>
      <w:r>
        <w:rPr>
          <w:color w:val="231F20"/>
          <w:spacing w:val="-11"/>
          <w:w w:val="105"/>
        </w:rPr>
        <w:t> </w:t>
      </w:r>
      <w:r>
        <w:rPr>
          <w:color w:val="231F20"/>
          <w:spacing w:val="-3"/>
          <w:w w:val="105"/>
        </w:rPr>
        <w:t>comer- </w:t>
      </w:r>
      <w:r>
        <w:rPr>
          <w:color w:val="231F20"/>
          <w:w w:val="105"/>
        </w:rPr>
        <w:t>cio</w:t>
      </w:r>
      <w:r>
        <w:rPr>
          <w:color w:val="231F20"/>
          <w:spacing w:val="-9"/>
          <w:w w:val="105"/>
        </w:rPr>
        <w:t> </w:t>
      </w:r>
      <w:r>
        <w:rPr>
          <w:color w:val="231F20"/>
          <w:w w:val="105"/>
        </w:rPr>
        <w:t>en</w:t>
      </w:r>
      <w:r>
        <w:rPr>
          <w:color w:val="231F20"/>
          <w:spacing w:val="-9"/>
          <w:w w:val="105"/>
        </w:rPr>
        <w:t> </w:t>
      </w:r>
      <w:r>
        <w:rPr>
          <w:color w:val="231F20"/>
          <w:w w:val="105"/>
        </w:rPr>
        <w:t>calles</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está</w:t>
      </w:r>
      <w:r>
        <w:rPr>
          <w:color w:val="231F20"/>
          <w:spacing w:val="-9"/>
          <w:w w:val="105"/>
        </w:rPr>
        <w:t> </w:t>
      </w:r>
      <w:r>
        <w:rPr>
          <w:color w:val="231F20"/>
          <w:w w:val="105"/>
        </w:rPr>
        <w:t>en</w:t>
      </w:r>
      <w:r>
        <w:rPr>
          <w:color w:val="231F20"/>
          <w:spacing w:val="-9"/>
          <w:w w:val="105"/>
        </w:rPr>
        <w:t> </w:t>
      </w:r>
      <w:r>
        <w:rPr>
          <w:color w:val="231F20"/>
          <w:w w:val="105"/>
        </w:rPr>
        <w:t>orden.</w:t>
      </w:r>
    </w:p>
    <w:p>
      <w:pPr>
        <w:pStyle w:val="BodyText"/>
        <w:spacing w:before="1"/>
        <w:rPr>
          <w:sz w:val="26"/>
        </w:rPr>
      </w:pPr>
    </w:p>
    <w:p>
      <w:pPr>
        <w:pStyle w:val="BodyText"/>
        <w:spacing w:line="285" w:lineRule="auto"/>
        <w:ind w:left="110" w:right="107"/>
        <w:jc w:val="both"/>
      </w:pPr>
      <w:r>
        <w:rPr>
          <w:color w:val="231F20"/>
        </w:rPr>
        <w:t>Empleo, la principal demanda de la región y primer compromiso adquirido por Salvador </w:t>
      </w:r>
      <w:r>
        <w:rPr>
          <w:color w:val="231F20"/>
          <w:spacing w:val="-3"/>
        </w:rPr>
        <w:t>Vergara, </w:t>
      </w:r>
      <w:r>
        <w:rPr>
          <w:color w:val="231F20"/>
        </w:rPr>
        <w:t>se </w:t>
      </w:r>
      <w:r>
        <w:rPr>
          <w:color w:val="231F20"/>
          <w:spacing w:val="-3"/>
        </w:rPr>
        <w:t>contempló </w:t>
      </w:r>
      <w:r>
        <w:rPr>
          <w:color w:val="231F20"/>
        </w:rPr>
        <w:t>en el Plan como área inmediata por atender mediante la pro- moción turística y la diversificación de actividades relacionadas </w:t>
      </w:r>
      <w:r>
        <w:rPr>
          <w:color w:val="231F20"/>
          <w:spacing w:val="-4"/>
        </w:rPr>
        <w:t>(como </w:t>
      </w:r>
      <w:r>
        <w:rPr>
          <w:color w:val="231F20"/>
        </w:rPr>
        <w:t>por </w:t>
      </w:r>
      <w:r>
        <w:rPr>
          <w:color w:val="231F20"/>
          <w:spacing w:val="-3"/>
        </w:rPr>
        <w:t>ejemplo, </w:t>
      </w:r>
      <w:r>
        <w:rPr>
          <w:color w:val="231F20"/>
        </w:rPr>
        <w:t>la creación de Parques Ecológicos). Se estimó necesaria la capacitación del sector </w:t>
      </w:r>
      <w:r>
        <w:rPr>
          <w:color w:val="231F20"/>
          <w:spacing w:val="2"/>
        </w:rPr>
        <w:t>artesanal </w:t>
      </w:r>
      <w:r>
        <w:rPr>
          <w:color w:val="231F20"/>
        </w:rPr>
        <w:t>y de la población en general a través de cursos y talleres productivos; por otro lado se consideró como una alternativa viable desarrollar el sector primario a través de </w:t>
      </w:r>
      <w:r>
        <w:rPr>
          <w:color w:val="231F20"/>
          <w:spacing w:val="-3"/>
        </w:rPr>
        <w:t>proyec-  </w:t>
      </w:r>
      <w:r>
        <w:rPr>
          <w:color w:val="231F20"/>
        </w:rPr>
        <w:t>tos rentables para el </w:t>
      </w:r>
      <w:r>
        <w:rPr>
          <w:color w:val="231F20"/>
          <w:spacing w:val="28"/>
        </w:rPr>
        <w:t> </w:t>
      </w:r>
      <w:r>
        <w:rPr>
          <w:color w:val="231F20"/>
        </w:rPr>
        <w:t>campo.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De</w:t>
      </w:r>
      <w:r>
        <w:rPr>
          <w:color w:val="231F20"/>
          <w:spacing w:val="-30"/>
          <w:w w:val="105"/>
        </w:rPr>
        <w:t> </w:t>
      </w:r>
      <w:r>
        <w:rPr>
          <w:color w:val="231F20"/>
          <w:spacing w:val="-3"/>
          <w:w w:val="105"/>
        </w:rPr>
        <w:t>este</w:t>
      </w:r>
      <w:r>
        <w:rPr>
          <w:color w:val="231F20"/>
          <w:spacing w:val="-30"/>
          <w:w w:val="105"/>
        </w:rPr>
        <w:t> </w:t>
      </w:r>
      <w:r>
        <w:rPr>
          <w:color w:val="231F20"/>
          <w:w w:val="105"/>
        </w:rPr>
        <w:t>discurso,</w:t>
      </w:r>
      <w:r>
        <w:rPr>
          <w:color w:val="231F20"/>
          <w:spacing w:val="-30"/>
          <w:w w:val="105"/>
        </w:rPr>
        <w:t> </w:t>
      </w:r>
      <w:r>
        <w:rPr>
          <w:color w:val="231F20"/>
          <w:spacing w:val="-3"/>
          <w:w w:val="105"/>
        </w:rPr>
        <w:t>lo</w:t>
      </w:r>
      <w:r>
        <w:rPr>
          <w:color w:val="231F20"/>
          <w:spacing w:val="-30"/>
          <w:w w:val="105"/>
        </w:rPr>
        <w:t> </w:t>
      </w:r>
      <w:r>
        <w:rPr>
          <w:color w:val="231F20"/>
          <w:spacing w:val="-3"/>
          <w:w w:val="105"/>
        </w:rPr>
        <w:t>realizado</w:t>
      </w:r>
      <w:r>
        <w:rPr>
          <w:color w:val="231F20"/>
          <w:spacing w:val="-30"/>
          <w:w w:val="105"/>
        </w:rPr>
        <w:t> </w:t>
      </w:r>
      <w:r>
        <w:rPr>
          <w:color w:val="231F20"/>
          <w:spacing w:val="-4"/>
          <w:w w:val="105"/>
        </w:rPr>
        <w:t>realmente</w:t>
      </w:r>
      <w:r>
        <w:rPr>
          <w:color w:val="231F20"/>
          <w:spacing w:val="-30"/>
          <w:w w:val="105"/>
        </w:rPr>
        <w:t> </w:t>
      </w:r>
      <w:r>
        <w:rPr>
          <w:color w:val="231F20"/>
          <w:spacing w:val="-3"/>
          <w:w w:val="105"/>
        </w:rPr>
        <w:t>en</w:t>
      </w:r>
      <w:r>
        <w:rPr>
          <w:color w:val="231F20"/>
          <w:spacing w:val="-30"/>
          <w:w w:val="105"/>
        </w:rPr>
        <w:t> </w:t>
      </w:r>
      <w:r>
        <w:rPr>
          <w:color w:val="231F20"/>
          <w:w w:val="105"/>
        </w:rPr>
        <w:t>2008</w:t>
      </w:r>
      <w:r>
        <w:rPr>
          <w:color w:val="231F20"/>
          <w:spacing w:val="-30"/>
          <w:w w:val="105"/>
        </w:rPr>
        <w:t> </w:t>
      </w:r>
      <w:r>
        <w:rPr>
          <w:color w:val="231F20"/>
          <w:w w:val="105"/>
        </w:rPr>
        <w:t>fue</w:t>
      </w:r>
      <w:r>
        <w:rPr>
          <w:color w:val="231F20"/>
          <w:spacing w:val="-30"/>
          <w:w w:val="105"/>
        </w:rPr>
        <w:t> </w:t>
      </w:r>
      <w:r>
        <w:rPr>
          <w:color w:val="231F20"/>
          <w:w w:val="105"/>
        </w:rPr>
        <w:t>la</w:t>
      </w:r>
      <w:r>
        <w:rPr>
          <w:color w:val="231F20"/>
          <w:spacing w:val="-30"/>
          <w:w w:val="105"/>
        </w:rPr>
        <w:t> </w:t>
      </w:r>
      <w:r>
        <w:rPr>
          <w:color w:val="231F20"/>
          <w:spacing w:val="-5"/>
          <w:w w:val="105"/>
        </w:rPr>
        <w:t>capacitación</w:t>
      </w:r>
      <w:r>
        <w:rPr>
          <w:color w:val="231F20"/>
          <w:spacing w:val="-30"/>
          <w:w w:val="105"/>
        </w:rPr>
        <w:t> </w:t>
      </w:r>
      <w:r>
        <w:rPr>
          <w:color w:val="231F20"/>
          <w:spacing w:val="-3"/>
          <w:w w:val="105"/>
        </w:rPr>
        <w:t>de</w:t>
      </w:r>
      <w:r>
        <w:rPr>
          <w:color w:val="231F20"/>
          <w:spacing w:val="-30"/>
          <w:w w:val="105"/>
        </w:rPr>
        <w:t> </w:t>
      </w:r>
      <w:r>
        <w:rPr>
          <w:color w:val="231F20"/>
          <w:w w:val="105"/>
        </w:rPr>
        <w:t>ixtapenses</w:t>
      </w:r>
      <w:r>
        <w:rPr>
          <w:color w:val="231F20"/>
          <w:spacing w:val="-30"/>
          <w:w w:val="105"/>
        </w:rPr>
        <w:t> </w:t>
      </w:r>
      <w:r>
        <w:rPr>
          <w:color w:val="231F20"/>
          <w:spacing w:val="-3"/>
          <w:w w:val="105"/>
        </w:rPr>
        <w:t>mediante talleres de </w:t>
      </w:r>
      <w:r>
        <w:rPr>
          <w:color w:val="231F20"/>
          <w:spacing w:val="-5"/>
          <w:w w:val="105"/>
        </w:rPr>
        <w:t>formación </w:t>
      </w:r>
      <w:r>
        <w:rPr>
          <w:color w:val="231F20"/>
          <w:spacing w:val="-4"/>
          <w:w w:val="105"/>
        </w:rPr>
        <w:t>productiva como </w:t>
      </w:r>
      <w:r>
        <w:rPr>
          <w:color w:val="231F20"/>
          <w:spacing w:val="-5"/>
          <w:w w:val="105"/>
        </w:rPr>
        <w:t>computación </w:t>
      </w:r>
      <w:r>
        <w:rPr>
          <w:color w:val="231F20"/>
          <w:w w:val="105"/>
        </w:rPr>
        <w:t>y </w:t>
      </w:r>
      <w:r>
        <w:rPr>
          <w:color w:val="231F20"/>
          <w:spacing w:val="-5"/>
          <w:w w:val="105"/>
        </w:rPr>
        <w:t>elaboración </w:t>
      </w:r>
      <w:r>
        <w:rPr>
          <w:color w:val="231F20"/>
          <w:spacing w:val="-3"/>
          <w:w w:val="105"/>
        </w:rPr>
        <w:t>de </w:t>
      </w:r>
      <w:r>
        <w:rPr>
          <w:color w:val="231F20"/>
          <w:spacing w:val="-4"/>
          <w:w w:val="105"/>
        </w:rPr>
        <w:t>productos </w:t>
      </w:r>
      <w:r>
        <w:rPr>
          <w:color w:val="231F20"/>
          <w:spacing w:val="-3"/>
          <w:w w:val="105"/>
        </w:rPr>
        <w:t>alimenti- </w:t>
      </w:r>
      <w:r>
        <w:rPr>
          <w:color w:val="231F20"/>
          <w:spacing w:val="-4"/>
          <w:w w:val="105"/>
        </w:rPr>
        <w:t>cios</w:t>
      </w:r>
      <w:r>
        <w:rPr>
          <w:color w:val="231F20"/>
          <w:spacing w:val="-20"/>
          <w:w w:val="105"/>
        </w:rPr>
        <w:t> </w:t>
      </w:r>
      <w:r>
        <w:rPr>
          <w:color w:val="231F20"/>
          <w:spacing w:val="-4"/>
          <w:w w:val="105"/>
        </w:rPr>
        <w:t>como</w:t>
      </w:r>
      <w:r>
        <w:rPr>
          <w:color w:val="231F20"/>
          <w:spacing w:val="-20"/>
          <w:w w:val="105"/>
        </w:rPr>
        <w:t> </w:t>
      </w:r>
      <w:r>
        <w:rPr>
          <w:color w:val="231F20"/>
          <w:spacing w:val="-3"/>
          <w:w w:val="105"/>
        </w:rPr>
        <w:t>soya,</w:t>
      </w:r>
      <w:r>
        <w:rPr>
          <w:color w:val="231F20"/>
          <w:spacing w:val="-20"/>
          <w:w w:val="105"/>
        </w:rPr>
        <w:t> </w:t>
      </w:r>
      <w:r>
        <w:rPr>
          <w:color w:val="231F20"/>
          <w:w w:val="105"/>
        </w:rPr>
        <w:t>yogurt,</w:t>
      </w:r>
      <w:r>
        <w:rPr>
          <w:color w:val="231F20"/>
          <w:spacing w:val="-20"/>
          <w:w w:val="105"/>
        </w:rPr>
        <w:t> </w:t>
      </w:r>
      <w:r>
        <w:rPr>
          <w:color w:val="231F20"/>
          <w:spacing w:val="-4"/>
          <w:w w:val="105"/>
        </w:rPr>
        <w:t>etcétera,</w:t>
      </w:r>
      <w:r>
        <w:rPr>
          <w:color w:val="231F20"/>
          <w:spacing w:val="-20"/>
          <w:w w:val="105"/>
        </w:rPr>
        <w:t> </w:t>
      </w:r>
      <w:r>
        <w:rPr>
          <w:color w:val="231F20"/>
          <w:spacing w:val="-3"/>
          <w:w w:val="105"/>
        </w:rPr>
        <w:t>esto</w:t>
      </w:r>
      <w:r>
        <w:rPr>
          <w:color w:val="231F20"/>
          <w:spacing w:val="-20"/>
          <w:w w:val="105"/>
        </w:rPr>
        <w:t> </w:t>
      </w:r>
      <w:r>
        <w:rPr>
          <w:color w:val="231F20"/>
          <w:spacing w:val="-4"/>
          <w:w w:val="105"/>
        </w:rPr>
        <w:t>captó</w:t>
      </w:r>
      <w:r>
        <w:rPr>
          <w:color w:val="231F20"/>
          <w:spacing w:val="-20"/>
          <w:w w:val="105"/>
        </w:rPr>
        <w:t> </w:t>
      </w:r>
      <w:r>
        <w:rPr>
          <w:color w:val="231F20"/>
          <w:w w:val="105"/>
        </w:rPr>
        <w:t>la</w:t>
      </w:r>
      <w:r>
        <w:rPr>
          <w:color w:val="231F20"/>
          <w:spacing w:val="-20"/>
          <w:w w:val="105"/>
        </w:rPr>
        <w:t> </w:t>
      </w:r>
      <w:r>
        <w:rPr>
          <w:color w:val="231F20"/>
          <w:spacing w:val="-5"/>
          <w:w w:val="105"/>
        </w:rPr>
        <w:t>atención</w:t>
      </w:r>
      <w:r>
        <w:rPr>
          <w:color w:val="231F20"/>
          <w:spacing w:val="-20"/>
          <w:w w:val="105"/>
        </w:rPr>
        <w:t> </w:t>
      </w:r>
      <w:r>
        <w:rPr>
          <w:color w:val="231F20"/>
          <w:spacing w:val="-3"/>
          <w:w w:val="105"/>
        </w:rPr>
        <w:t>de</w:t>
      </w:r>
      <w:r>
        <w:rPr>
          <w:color w:val="231F20"/>
          <w:spacing w:val="-20"/>
          <w:w w:val="105"/>
        </w:rPr>
        <w:t> </w:t>
      </w:r>
      <w:r>
        <w:rPr>
          <w:color w:val="231F20"/>
          <w:spacing w:val="-5"/>
          <w:w w:val="105"/>
        </w:rPr>
        <w:t>jóvenes</w:t>
      </w:r>
      <w:r>
        <w:rPr>
          <w:color w:val="231F20"/>
          <w:spacing w:val="-20"/>
          <w:w w:val="105"/>
        </w:rPr>
        <w:t> </w:t>
      </w:r>
      <w:r>
        <w:rPr>
          <w:color w:val="231F20"/>
          <w:w w:val="105"/>
        </w:rPr>
        <w:t>y</w:t>
      </w:r>
      <w:r>
        <w:rPr>
          <w:color w:val="231F20"/>
          <w:spacing w:val="-20"/>
          <w:w w:val="105"/>
        </w:rPr>
        <w:t> </w:t>
      </w:r>
      <w:r>
        <w:rPr>
          <w:color w:val="231F20"/>
          <w:spacing w:val="-5"/>
          <w:w w:val="105"/>
        </w:rPr>
        <w:t>mujeres</w:t>
      </w:r>
      <w:r>
        <w:rPr>
          <w:color w:val="231F20"/>
          <w:spacing w:val="-20"/>
          <w:w w:val="105"/>
        </w:rPr>
        <w:t> </w:t>
      </w:r>
      <w:r>
        <w:rPr>
          <w:color w:val="231F20"/>
          <w:spacing w:val="-4"/>
          <w:w w:val="105"/>
        </w:rPr>
        <w:t>principalmen- </w:t>
      </w:r>
      <w:r>
        <w:rPr>
          <w:color w:val="231F20"/>
          <w:spacing w:val="-3"/>
          <w:w w:val="105"/>
        </w:rPr>
        <w:t>te,</w:t>
      </w:r>
      <w:r>
        <w:rPr>
          <w:color w:val="231F20"/>
          <w:spacing w:val="-15"/>
          <w:w w:val="105"/>
        </w:rPr>
        <w:t> </w:t>
      </w:r>
      <w:r>
        <w:rPr>
          <w:color w:val="231F20"/>
          <w:w w:val="105"/>
        </w:rPr>
        <w:t>a</w:t>
      </w:r>
      <w:r>
        <w:rPr>
          <w:color w:val="231F20"/>
          <w:spacing w:val="-15"/>
          <w:w w:val="105"/>
        </w:rPr>
        <w:t> </w:t>
      </w:r>
      <w:r>
        <w:rPr>
          <w:color w:val="231F20"/>
          <w:w w:val="105"/>
        </w:rPr>
        <w:t>pesar</w:t>
      </w:r>
      <w:r>
        <w:rPr>
          <w:color w:val="231F20"/>
          <w:spacing w:val="-15"/>
          <w:w w:val="105"/>
        </w:rPr>
        <w:t> </w:t>
      </w:r>
      <w:r>
        <w:rPr>
          <w:color w:val="231F20"/>
          <w:spacing w:val="-3"/>
          <w:w w:val="105"/>
        </w:rPr>
        <w:t>de</w:t>
      </w:r>
      <w:r>
        <w:rPr>
          <w:color w:val="231F20"/>
          <w:spacing w:val="-15"/>
          <w:w w:val="105"/>
        </w:rPr>
        <w:t> </w:t>
      </w:r>
      <w:r>
        <w:rPr>
          <w:color w:val="231F20"/>
          <w:spacing w:val="-4"/>
          <w:w w:val="105"/>
        </w:rPr>
        <w:t>que</w:t>
      </w:r>
      <w:r>
        <w:rPr>
          <w:color w:val="231F20"/>
          <w:spacing w:val="-15"/>
          <w:w w:val="105"/>
        </w:rPr>
        <w:t> </w:t>
      </w:r>
      <w:r>
        <w:rPr>
          <w:color w:val="231F20"/>
          <w:w w:val="105"/>
        </w:rPr>
        <w:t>la</w:t>
      </w:r>
      <w:r>
        <w:rPr>
          <w:color w:val="231F20"/>
          <w:spacing w:val="-15"/>
          <w:w w:val="105"/>
        </w:rPr>
        <w:t> </w:t>
      </w:r>
      <w:r>
        <w:rPr>
          <w:color w:val="231F20"/>
          <w:spacing w:val="-5"/>
          <w:w w:val="105"/>
        </w:rPr>
        <w:t>mayor</w:t>
      </w:r>
      <w:r>
        <w:rPr>
          <w:color w:val="231F20"/>
          <w:spacing w:val="-15"/>
          <w:w w:val="105"/>
        </w:rPr>
        <w:t> </w:t>
      </w:r>
      <w:r>
        <w:rPr>
          <w:color w:val="231F20"/>
          <w:spacing w:val="-4"/>
          <w:w w:val="105"/>
        </w:rPr>
        <w:t>demanda</w:t>
      </w:r>
      <w:r>
        <w:rPr>
          <w:color w:val="231F20"/>
          <w:spacing w:val="-15"/>
          <w:w w:val="105"/>
        </w:rPr>
        <w:t> </w:t>
      </w:r>
      <w:r>
        <w:rPr>
          <w:color w:val="231F20"/>
          <w:w w:val="105"/>
        </w:rPr>
        <w:t>es</w:t>
      </w:r>
      <w:r>
        <w:rPr>
          <w:color w:val="231F20"/>
          <w:spacing w:val="-15"/>
          <w:w w:val="105"/>
        </w:rPr>
        <w:t> </w:t>
      </w:r>
      <w:r>
        <w:rPr>
          <w:color w:val="231F20"/>
          <w:spacing w:val="-3"/>
          <w:w w:val="105"/>
        </w:rPr>
        <w:t>por</w:t>
      </w:r>
      <w:r>
        <w:rPr>
          <w:color w:val="231F20"/>
          <w:spacing w:val="-15"/>
          <w:w w:val="105"/>
        </w:rPr>
        <w:t> </w:t>
      </w:r>
      <w:r>
        <w:rPr>
          <w:color w:val="231F20"/>
          <w:w w:val="105"/>
        </w:rPr>
        <w:t>parte</w:t>
      </w:r>
      <w:r>
        <w:rPr>
          <w:color w:val="231F20"/>
          <w:spacing w:val="-15"/>
          <w:w w:val="105"/>
        </w:rPr>
        <w:t> </w:t>
      </w:r>
      <w:r>
        <w:rPr>
          <w:color w:val="231F20"/>
          <w:spacing w:val="-4"/>
          <w:w w:val="105"/>
        </w:rPr>
        <w:t>del</w:t>
      </w:r>
      <w:r>
        <w:rPr>
          <w:color w:val="231F20"/>
          <w:spacing w:val="-15"/>
          <w:w w:val="105"/>
        </w:rPr>
        <w:t> </w:t>
      </w:r>
      <w:r>
        <w:rPr>
          <w:color w:val="231F20"/>
          <w:spacing w:val="-3"/>
          <w:w w:val="105"/>
        </w:rPr>
        <w:t>sector</w:t>
      </w:r>
      <w:r>
        <w:rPr>
          <w:color w:val="231F20"/>
          <w:spacing w:val="-15"/>
          <w:w w:val="105"/>
        </w:rPr>
        <w:t> </w:t>
      </w:r>
      <w:r>
        <w:rPr>
          <w:color w:val="231F20"/>
          <w:w w:val="105"/>
        </w:rPr>
        <w:t>masculino.</w:t>
      </w:r>
      <w:r>
        <w:rPr>
          <w:color w:val="231F20"/>
          <w:spacing w:val="-15"/>
          <w:w w:val="105"/>
        </w:rPr>
        <w:t> </w:t>
      </w:r>
      <w:r>
        <w:rPr>
          <w:color w:val="231F20"/>
          <w:spacing w:val="-5"/>
          <w:w w:val="105"/>
        </w:rPr>
        <w:t>“Opciones</w:t>
      </w:r>
      <w:r>
        <w:rPr>
          <w:color w:val="231F20"/>
          <w:spacing w:val="-15"/>
          <w:w w:val="105"/>
        </w:rPr>
        <w:t> </w:t>
      </w:r>
      <w:r>
        <w:rPr>
          <w:color w:val="231F20"/>
          <w:spacing w:val="-5"/>
          <w:w w:val="105"/>
        </w:rPr>
        <w:t>Produc- </w:t>
      </w:r>
      <w:r>
        <w:rPr>
          <w:color w:val="231F20"/>
          <w:spacing w:val="-2"/>
          <w:w w:val="105"/>
        </w:rPr>
        <w:t>tivas”</w:t>
      </w:r>
      <w:r>
        <w:rPr>
          <w:color w:val="231F20"/>
          <w:spacing w:val="-22"/>
          <w:w w:val="105"/>
        </w:rPr>
        <w:t> </w:t>
      </w:r>
      <w:r>
        <w:rPr>
          <w:color w:val="231F20"/>
          <w:w w:val="105"/>
        </w:rPr>
        <w:t>es</w:t>
      </w:r>
      <w:r>
        <w:rPr>
          <w:color w:val="231F20"/>
          <w:spacing w:val="-22"/>
          <w:w w:val="105"/>
        </w:rPr>
        <w:t> </w:t>
      </w:r>
      <w:r>
        <w:rPr>
          <w:color w:val="231F20"/>
          <w:w w:val="105"/>
        </w:rPr>
        <w:t>un</w:t>
      </w:r>
      <w:r>
        <w:rPr>
          <w:color w:val="231F20"/>
          <w:spacing w:val="-22"/>
          <w:w w:val="105"/>
        </w:rPr>
        <w:t> </w:t>
      </w:r>
      <w:r>
        <w:rPr>
          <w:color w:val="231F20"/>
          <w:spacing w:val="-3"/>
          <w:w w:val="105"/>
        </w:rPr>
        <w:t>programa</w:t>
      </w:r>
      <w:r>
        <w:rPr>
          <w:color w:val="231F20"/>
          <w:spacing w:val="-22"/>
          <w:w w:val="105"/>
        </w:rPr>
        <w:t> </w:t>
      </w:r>
      <w:r>
        <w:rPr>
          <w:color w:val="231F20"/>
          <w:w w:val="105"/>
        </w:rPr>
        <w:t>estatal</w:t>
      </w:r>
      <w:r>
        <w:rPr>
          <w:color w:val="231F20"/>
          <w:spacing w:val="-22"/>
          <w:w w:val="105"/>
        </w:rPr>
        <w:t> </w:t>
      </w:r>
      <w:r>
        <w:rPr>
          <w:color w:val="231F20"/>
          <w:spacing w:val="-4"/>
          <w:w w:val="105"/>
        </w:rPr>
        <w:t>que</w:t>
      </w:r>
      <w:r>
        <w:rPr>
          <w:color w:val="231F20"/>
          <w:spacing w:val="-22"/>
          <w:w w:val="105"/>
        </w:rPr>
        <w:t> </w:t>
      </w:r>
      <w:r>
        <w:rPr>
          <w:color w:val="231F20"/>
          <w:spacing w:val="-5"/>
          <w:w w:val="105"/>
        </w:rPr>
        <w:t>atiende</w:t>
      </w:r>
      <w:r>
        <w:rPr>
          <w:color w:val="231F20"/>
          <w:spacing w:val="-22"/>
          <w:w w:val="105"/>
        </w:rPr>
        <w:t> </w:t>
      </w:r>
      <w:r>
        <w:rPr>
          <w:color w:val="231F20"/>
          <w:spacing w:val="-3"/>
          <w:w w:val="105"/>
        </w:rPr>
        <w:t>el</w:t>
      </w:r>
      <w:r>
        <w:rPr>
          <w:color w:val="231F20"/>
          <w:spacing w:val="-22"/>
          <w:w w:val="105"/>
        </w:rPr>
        <w:t> </w:t>
      </w:r>
      <w:r>
        <w:rPr>
          <w:color w:val="231F20"/>
          <w:spacing w:val="-3"/>
          <w:w w:val="105"/>
        </w:rPr>
        <w:t>financiamiento</w:t>
      </w:r>
      <w:r>
        <w:rPr>
          <w:color w:val="231F20"/>
          <w:spacing w:val="-22"/>
          <w:w w:val="105"/>
        </w:rPr>
        <w:t> </w:t>
      </w:r>
      <w:r>
        <w:rPr>
          <w:color w:val="231F20"/>
          <w:spacing w:val="-3"/>
          <w:w w:val="105"/>
        </w:rPr>
        <w:t>de</w:t>
      </w:r>
      <w:r>
        <w:rPr>
          <w:color w:val="231F20"/>
          <w:spacing w:val="-22"/>
          <w:w w:val="105"/>
        </w:rPr>
        <w:t> </w:t>
      </w:r>
      <w:r>
        <w:rPr>
          <w:color w:val="231F20"/>
          <w:spacing w:val="-4"/>
          <w:w w:val="105"/>
        </w:rPr>
        <w:t>proyectos</w:t>
      </w:r>
      <w:r>
        <w:rPr>
          <w:color w:val="231F20"/>
          <w:spacing w:val="-22"/>
          <w:w w:val="105"/>
        </w:rPr>
        <w:t> </w:t>
      </w:r>
      <w:r>
        <w:rPr>
          <w:color w:val="231F20"/>
          <w:spacing w:val="-3"/>
          <w:w w:val="105"/>
        </w:rPr>
        <w:t>de</w:t>
      </w:r>
      <w:r>
        <w:rPr>
          <w:color w:val="231F20"/>
          <w:spacing w:val="-22"/>
          <w:w w:val="105"/>
        </w:rPr>
        <w:t> </w:t>
      </w:r>
      <w:r>
        <w:rPr>
          <w:color w:val="231F20"/>
          <w:spacing w:val="-4"/>
          <w:w w:val="105"/>
        </w:rPr>
        <w:t>comunidades</w:t>
      </w:r>
      <w:r>
        <w:rPr>
          <w:color w:val="231F20"/>
          <w:spacing w:val="-22"/>
          <w:w w:val="105"/>
        </w:rPr>
        <w:t> </w:t>
      </w:r>
      <w:r>
        <w:rPr>
          <w:color w:val="231F20"/>
          <w:w w:val="105"/>
        </w:rPr>
        <w:t>y </w:t>
      </w:r>
      <w:r>
        <w:rPr>
          <w:color w:val="231F20"/>
          <w:spacing w:val="-4"/>
          <w:w w:val="105"/>
        </w:rPr>
        <w:t>que</w:t>
      </w:r>
      <w:r>
        <w:rPr>
          <w:color w:val="231F20"/>
          <w:spacing w:val="-15"/>
          <w:w w:val="105"/>
        </w:rPr>
        <w:t> </w:t>
      </w:r>
      <w:r>
        <w:rPr>
          <w:color w:val="231F20"/>
          <w:w w:val="105"/>
        </w:rPr>
        <w:t>fue</w:t>
      </w:r>
      <w:r>
        <w:rPr>
          <w:color w:val="231F20"/>
          <w:spacing w:val="-15"/>
          <w:w w:val="105"/>
        </w:rPr>
        <w:t> </w:t>
      </w:r>
      <w:r>
        <w:rPr>
          <w:color w:val="231F20"/>
          <w:spacing w:val="-4"/>
          <w:w w:val="105"/>
        </w:rPr>
        <w:t>ejecutado</w:t>
      </w:r>
      <w:r>
        <w:rPr>
          <w:color w:val="231F20"/>
          <w:spacing w:val="-15"/>
          <w:w w:val="105"/>
        </w:rPr>
        <w:t> </w:t>
      </w:r>
      <w:r>
        <w:rPr>
          <w:color w:val="231F20"/>
          <w:spacing w:val="-3"/>
          <w:w w:val="105"/>
        </w:rPr>
        <w:t>por</w:t>
      </w:r>
      <w:r>
        <w:rPr>
          <w:color w:val="231F20"/>
          <w:spacing w:val="-15"/>
          <w:w w:val="105"/>
        </w:rPr>
        <w:t> </w:t>
      </w:r>
      <w:r>
        <w:rPr>
          <w:color w:val="231F20"/>
          <w:spacing w:val="-3"/>
          <w:w w:val="105"/>
        </w:rPr>
        <w:t>el</w:t>
      </w:r>
      <w:r>
        <w:rPr>
          <w:color w:val="231F20"/>
          <w:spacing w:val="-15"/>
          <w:w w:val="105"/>
        </w:rPr>
        <w:t> </w:t>
      </w:r>
      <w:r>
        <w:rPr>
          <w:color w:val="231F20"/>
          <w:spacing w:val="-5"/>
          <w:w w:val="105"/>
        </w:rPr>
        <w:t>gobierno</w:t>
      </w:r>
      <w:r>
        <w:rPr>
          <w:color w:val="231F20"/>
          <w:spacing w:val="-15"/>
          <w:w w:val="105"/>
        </w:rPr>
        <w:t> </w:t>
      </w:r>
      <w:r>
        <w:rPr>
          <w:color w:val="231F20"/>
          <w:spacing w:val="-3"/>
          <w:w w:val="105"/>
        </w:rPr>
        <w:t>municipal</w:t>
      </w:r>
      <w:r>
        <w:rPr>
          <w:color w:val="231F20"/>
          <w:spacing w:val="-15"/>
          <w:w w:val="105"/>
        </w:rPr>
        <w:t> </w:t>
      </w:r>
      <w:r>
        <w:rPr>
          <w:color w:val="231F20"/>
          <w:spacing w:val="-5"/>
          <w:w w:val="105"/>
        </w:rPr>
        <w:t>otorgando</w:t>
      </w:r>
      <w:r>
        <w:rPr>
          <w:color w:val="231F20"/>
          <w:spacing w:val="-15"/>
          <w:w w:val="105"/>
        </w:rPr>
        <w:t> </w:t>
      </w:r>
      <w:r>
        <w:rPr>
          <w:color w:val="231F20"/>
          <w:spacing w:val="-4"/>
          <w:w w:val="105"/>
        </w:rPr>
        <w:t>cerca</w:t>
      </w:r>
      <w:r>
        <w:rPr>
          <w:color w:val="231F20"/>
          <w:spacing w:val="-15"/>
          <w:w w:val="105"/>
        </w:rPr>
        <w:t> </w:t>
      </w:r>
      <w:r>
        <w:rPr>
          <w:color w:val="231F20"/>
          <w:spacing w:val="-3"/>
          <w:w w:val="105"/>
        </w:rPr>
        <w:t>de</w:t>
      </w:r>
      <w:r>
        <w:rPr>
          <w:color w:val="231F20"/>
          <w:spacing w:val="-15"/>
          <w:w w:val="105"/>
        </w:rPr>
        <w:t> </w:t>
      </w:r>
      <w:r>
        <w:rPr>
          <w:color w:val="231F20"/>
          <w:spacing w:val="-2"/>
          <w:w w:val="105"/>
        </w:rPr>
        <w:t>850</w:t>
      </w:r>
      <w:r>
        <w:rPr>
          <w:color w:val="231F20"/>
          <w:spacing w:val="-15"/>
          <w:w w:val="105"/>
        </w:rPr>
        <w:t> </w:t>
      </w:r>
      <w:r>
        <w:rPr>
          <w:color w:val="231F20"/>
          <w:w w:val="105"/>
        </w:rPr>
        <w:t>mil</w:t>
      </w:r>
      <w:r>
        <w:rPr>
          <w:color w:val="231F20"/>
          <w:spacing w:val="-15"/>
          <w:w w:val="105"/>
        </w:rPr>
        <w:t> </w:t>
      </w:r>
      <w:r>
        <w:rPr>
          <w:color w:val="231F20"/>
          <w:spacing w:val="-3"/>
          <w:w w:val="105"/>
        </w:rPr>
        <w:t>pesos</w:t>
      </w:r>
      <w:r>
        <w:rPr>
          <w:color w:val="231F20"/>
          <w:spacing w:val="-15"/>
          <w:w w:val="105"/>
        </w:rPr>
        <w:t> </w:t>
      </w:r>
      <w:r>
        <w:rPr>
          <w:color w:val="231F20"/>
          <w:spacing w:val="-3"/>
          <w:w w:val="105"/>
        </w:rPr>
        <w:t>en</w:t>
      </w:r>
      <w:r>
        <w:rPr>
          <w:color w:val="231F20"/>
          <w:spacing w:val="-15"/>
          <w:w w:val="105"/>
        </w:rPr>
        <w:t> </w:t>
      </w:r>
      <w:r>
        <w:rPr>
          <w:color w:val="231F20"/>
          <w:spacing w:val="-5"/>
          <w:w w:val="105"/>
        </w:rPr>
        <w:t>apoyos.</w:t>
      </w:r>
    </w:p>
    <w:p>
      <w:pPr>
        <w:pStyle w:val="BodyText"/>
        <w:spacing w:before="1"/>
        <w:rPr>
          <w:sz w:val="26"/>
        </w:rPr>
      </w:pPr>
    </w:p>
    <w:p>
      <w:pPr>
        <w:pStyle w:val="BodyText"/>
        <w:spacing w:line="285" w:lineRule="auto"/>
        <w:ind w:left="110" w:right="106"/>
        <w:jc w:val="both"/>
      </w:pPr>
      <w:r>
        <w:rPr>
          <w:color w:val="231F20"/>
          <w:w w:val="105"/>
        </w:rPr>
        <w:t>La</w:t>
      </w:r>
      <w:r>
        <w:rPr>
          <w:color w:val="231F20"/>
          <w:spacing w:val="-22"/>
          <w:w w:val="105"/>
        </w:rPr>
        <w:t> </w:t>
      </w:r>
      <w:r>
        <w:rPr>
          <w:color w:val="231F20"/>
          <w:w w:val="105"/>
        </w:rPr>
        <w:t>Feria</w:t>
      </w:r>
      <w:r>
        <w:rPr>
          <w:color w:val="231F20"/>
          <w:spacing w:val="-22"/>
          <w:w w:val="105"/>
        </w:rPr>
        <w:t> </w:t>
      </w:r>
      <w:r>
        <w:rPr>
          <w:color w:val="231F20"/>
          <w:w w:val="105"/>
        </w:rPr>
        <w:t>del</w:t>
      </w:r>
      <w:r>
        <w:rPr>
          <w:color w:val="231F20"/>
          <w:spacing w:val="-22"/>
          <w:w w:val="105"/>
        </w:rPr>
        <w:t> </w:t>
      </w:r>
      <w:r>
        <w:rPr>
          <w:color w:val="231F20"/>
          <w:w w:val="105"/>
        </w:rPr>
        <w:t>Empleo</w:t>
      </w:r>
      <w:r>
        <w:rPr>
          <w:color w:val="231F20"/>
          <w:spacing w:val="-22"/>
          <w:w w:val="105"/>
        </w:rPr>
        <w:t> </w:t>
      </w:r>
      <w:r>
        <w:rPr>
          <w:color w:val="231F20"/>
          <w:w w:val="105"/>
        </w:rPr>
        <w:t>realizada</w:t>
      </w:r>
      <w:r>
        <w:rPr>
          <w:color w:val="231F20"/>
          <w:spacing w:val="-22"/>
          <w:w w:val="105"/>
        </w:rPr>
        <w:t> </w:t>
      </w:r>
      <w:r>
        <w:rPr>
          <w:color w:val="231F20"/>
          <w:w w:val="105"/>
        </w:rPr>
        <w:t>en</w:t>
      </w:r>
      <w:r>
        <w:rPr>
          <w:color w:val="231F20"/>
          <w:spacing w:val="-22"/>
          <w:w w:val="105"/>
        </w:rPr>
        <w:t> </w:t>
      </w:r>
      <w:r>
        <w:rPr>
          <w:color w:val="231F20"/>
          <w:spacing w:val="3"/>
          <w:w w:val="105"/>
        </w:rPr>
        <w:t>2008</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Secretaría</w:t>
      </w:r>
      <w:r>
        <w:rPr>
          <w:color w:val="231F20"/>
          <w:spacing w:val="-22"/>
          <w:w w:val="105"/>
        </w:rPr>
        <w:t> </w:t>
      </w:r>
      <w:r>
        <w:rPr>
          <w:color w:val="231F20"/>
          <w:w w:val="105"/>
        </w:rPr>
        <w:t>Estatal</w:t>
      </w:r>
      <w:r>
        <w:rPr>
          <w:color w:val="231F20"/>
          <w:spacing w:val="-22"/>
          <w:w w:val="105"/>
        </w:rPr>
        <w:t> </w:t>
      </w:r>
      <w:r>
        <w:rPr>
          <w:color w:val="231F20"/>
          <w:w w:val="105"/>
        </w:rPr>
        <w:t>del</w:t>
      </w:r>
      <w:r>
        <w:rPr>
          <w:color w:val="231F20"/>
          <w:spacing w:val="-22"/>
          <w:w w:val="105"/>
        </w:rPr>
        <w:t> </w:t>
      </w:r>
      <w:r>
        <w:rPr>
          <w:color w:val="231F20"/>
          <w:spacing w:val="-3"/>
          <w:w w:val="105"/>
        </w:rPr>
        <w:t>Trabajo</w:t>
      </w:r>
      <w:r>
        <w:rPr>
          <w:color w:val="231F20"/>
          <w:spacing w:val="-22"/>
          <w:w w:val="105"/>
        </w:rPr>
        <w:t> </w:t>
      </w:r>
      <w:r>
        <w:rPr>
          <w:color w:val="231F20"/>
          <w:w w:val="105"/>
        </w:rPr>
        <w:t>(la</w:t>
      </w:r>
      <w:r>
        <w:rPr>
          <w:color w:val="231F20"/>
          <w:spacing w:val="-22"/>
          <w:w w:val="105"/>
        </w:rPr>
        <w:t> </w:t>
      </w:r>
      <w:r>
        <w:rPr>
          <w:color w:val="231F20"/>
          <w:w w:val="105"/>
        </w:rPr>
        <w:t>cual</w:t>
      </w:r>
      <w:r>
        <w:rPr>
          <w:color w:val="231F20"/>
          <w:spacing w:val="-22"/>
          <w:w w:val="105"/>
        </w:rPr>
        <w:t> </w:t>
      </w:r>
      <w:r>
        <w:rPr>
          <w:color w:val="231F20"/>
          <w:w w:val="105"/>
        </w:rPr>
        <w:t>es</w:t>
      </w:r>
      <w:r>
        <w:rPr>
          <w:color w:val="231F20"/>
          <w:spacing w:val="-22"/>
          <w:w w:val="105"/>
        </w:rPr>
        <w:t> </w:t>
      </w:r>
      <w:r>
        <w:rPr>
          <w:color w:val="231F20"/>
          <w:w w:val="105"/>
        </w:rPr>
        <w:t>di- rigida</w:t>
      </w:r>
      <w:r>
        <w:rPr>
          <w:color w:val="231F20"/>
          <w:spacing w:val="-8"/>
          <w:w w:val="105"/>
        </w:rPr>
        <w:t> </w:t>
      </w:r>
      <w:r>
        <w:rPr>
          <w:color w:val="231F20"/>
          <w:w w:val="105"/>
        </w:rPr>
        <w:t>por</w:t>
      </w:r>
      <w:r>
        <w:rPr>
          <w:color w:val="231F20"/>
          <w:spacing w:val="-8"/>
          <w:w w:val="105"/>
        </w:rPr>
        <w:t> </w:t>
      </w:r>
      <w:r>
        <w:rPr>
          <w:color w:val="231F20"/>
          <w:w w:val="105"/>
        </w:rPr>
        <w:t>un</w:t>
      </w:r>
      <w:r>
        <w:rPr>
          <w:color w:val="231F20"/>
          <w:spacing w:val="-8"/>
          <w:w w:val="105"/>
        </w:rPr>
        <w:t> </w:t>
      </w:r>
      <w:r>
        <w:rPr>
          <w:color w:val="231F20"/>
          <w:w w:val="105"/>
        </w:rPr>
        <w:t>ex</w:t>
      </w:r>
      <w:r>
        <w:rPr>
          <w:color w:val="231F20"/>
          <w:spacing w:val="-8"/>
          <w:w w:val="105"/>
        </w:rPr>
        <w:t> </w:t>
      </w:r>
      <w:r>
        <w:rPr>
          <w:color w:val="231F20"/>
          <w:w w:val="105"/>
        </w:rPr>
        <w:t>presidente</w:t>
      </w:r>
      <w:r>
        <w:rPr>
          <w:color w:val="231F20"/>
          <w:spacing w:val="-8"/>
          <w:w w:val="105"/>
        </w:rPr>
        <w:t> </w:t>
      </w:r>
      <w:r>
        <w:rPr>
          <w:color w:val="231F20"/>
          <w:w w:val="105"/>
        </w:rPr>
        <w:t>municipal</w:t>
      </w:r>
      <w:r>
        <w:rPr>
          <w:color w:val="231F20"/>
          <w:spacing w:val="-8"/>
          <w:w w:val="105"/>
        </w:rPr>
        <w:t> </w:t>
      </w:r>
      <w:r>
        <w:rPr>
          <w:color w:val="231F20"/>
          <w:w w:val="105"/>
        </w:rPr>
        <w:t>de</w:t>
      </w:r>
      <w:r>
        <w:rPr>
          <w:color w:val="231F20"/>
          <w:spacing w:val="-8"/>
          <w:w w:val="105"/>
        </w:rPr>
        <w:t> </w:t>
      </w:r>
      <w:r>
        <w:rPr>
          <w:color w:val="231F20"/>
          <w:w w:val="105"/>
        </w:rPr>
        <w:t>Ixtapan)</w:t>
      </w:r>
      <w:r>
        <w:rPr>
          <w:color w:val="231F20"/>
          <w:spacing w:val="-8"/>
          <w:w w:val="105"/>
        </w:rPr>
        <w:t> </w:t>
      </w:r>
      <w:r>
        <w:rPr>
          <w:color w:val="231F20"/>
          <w:w w:val="105"/>
        </w:rPr>
        <w:t>logró</w:t>
      </w:r>
      <w:r>
        <w:rPr>
          <w:color w:val="231F20"/>
          <w:spacing w:val="-8"/>
          <w:w w:val="105"/>
        </w:rPr>
        <w:t> </w:t>
      </w:r>
      <w:r>
        <w:rPr>
          <w:color w:val="231F20"/>
          <w:w w:val="105"/>
        </w:rPr>
        <w:t>colocar</w:t>
      </w:r>
      <w:r>
        <w:rPr>
          <w:color w:val="231F20"/>
          <w:spacing w:val="-8"/>
          <w:w w:val="105"/>
        </w:rPr>
        <w:t> </w:t>
      </w:r>
      <w:r>
        <w:rPr>
          <w:color w:val="231F20"/>
          <w:w w:val="105"/>
        </w:rPr>
        <w:t>a</w:t>
      </w:r>
      <w:r>
        <w:rPr>
          <w:color w:val="231F20"/>
          <w:spacing w:val="-8"/>
          <w:w w:val="105"/>
        </w:rPr>
        <w:t> </w:t>
      </w:r>
      <w:r>
        <w:rPr>
          <w:color w:val="231F20"/>
          <w:w w:val="105"/>
        </w:rPr>
        <w:t>72</w:t>
      </w:r>
      <w:r>
        <w:rPr>
          <w:color w:val="231F20"/>
          <w:spacing w:val="-8"/>
          <w:w w:val="105"/>
        </w:rPr>
        <w:t> </w:t>
      </w:r>
      <w:r>
        <w:rPr>
          <w:color w:val="231F20"/>
          <w:w w:val="105"/>
        </w:rPr>
        <w:t>personas</w:t>
      </w:r>
      <w:r>
        <w:rPr>
          <w:color w:val="231F20"/>
          <w:spacing w:val="-8"/>
          <w:w w:val="105"/>
        </w:rPr>
        <w:t> </w:t>
      </w:r>
      <w:r>
        <w:rPr>
          <w:color w:val="231F20"/>
          <w:w w:val="105"/>
        </w:rPr>
        <w:t>en</w:t>
      </w:r>
      <w:r>
        <w:rPr>
          <w:color w:val="231F20"/>
          <w:spacing w:val="-8"/>
          <w:w w:val="105"/>
        </w:rPr>
        <w:t> </w:t>
      </w:r>
      <w:r>
        <w:rPr>
          <w:color w:val="231F20"/>
          <w:w w:val="105"/>
        </w:rPr>
        <w:t>algún empleo</w:t>
      </w:r>
      <w:r>
        <w:rPr>
          <w:color w:val="231F20"/>
          <w:spacing w:val="-10"/>
          <w:w w:val="105"/>
        </w:rPr>
        <w:t> </w:t>
      </w:r>
      <w:r>
        <w:rPr>
          <w:color w:val="231F20"/>
          <w:w w:val="105"/>
        </w:rPr>
        <w:t>remunerado,</w:t>
      </w:r>
      <w:r>
        <w:rPr>
          <w:color w:val="231F20"/>
          <w:spacing w:val="-10"/>
          <w:w w:val="105"/>
        </w:rPr>
        <w:t> </w:t>
      </w:r>
      <w:r>
        <w:rPr>
          <w:color w:val="231F20"/>
          <w:w w:val="105"/>
        </w:rPr>
        <w:t>aunque</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sabe</w:t>
      </w:r>
      <w:r>
        <w:rPr>
          <w:color w:val="231F20"/>
          <w:spacing w:val="-10"/>
          <w:w w:val="105"/>
        </w:rPr>
        <w:t> </w:t>
      </w:r>
      <w:r>
        <w:rPr>
          <w:color w:val="231F20"/>
          <w:w w:val="105"/>
        </w:rPr>
        <w:t>sí</w:t>
      </w:r>
      <w:r>
        <w:rPr>
          <w:color w:val="231F20"/>
          <w:spacing w:val="-10"/>
          <w:w w:val="105"/>
        </w:rPr>
        <w:t> </w:t>
      </w:r>
      <w:r>
        <w:rPr>
          <w:color w:val="231F20"/>
          <w:w w:val="105"/>
        </w:rPr>
        <w:t>fue</w:t>
      </w:r>
      <w:r>
        <w:rPr>
          <w:color w:val="231F20"/>
          <w:spacing w:val="-10"/>
          <w:w w:val="105"/>
        </w:rPr>
        <w:t> </w:t>
      </w:r>
      <w:r>
        <w:rPr>
          <w:color w:val="231F20"/>
          <w:w w:val="105"/>
        </w:rPr>
        <w:t>temporal.</w:t>
      </w:r>
      <w:r>
        <w:rPr>
          <w:color w:val="231F20"/>
          <w:spacing w:val="-10"/>
          <w:w w:val="105"/>
        </w:rPr>
        <w:t> </w:t>
      </w:r>
      <w:r>
        <w:rPr>
          <w:color w:val="231F20"/>
          <w:w w:val="105"/>
        </w:rPr>
        <w:t>Y</w:t>
      </w:r>
      <w:r>
        <w:rPr>
          <w:color w:val="231F20"/>
          <w:spacing w:val="-10"/>
          <w:w w:val="105"/>
        </w:rPr>
        <w:t> </w:t>
      </w:r>
      <w:r>
        <w:rPr>
          <w:color w:val="231F20"/>
          <w:w w:val="105"/>
        </w:rPr>
        <w:t>por</w:t>
      </w:r>
      <w:r>
        <w:rPr>
          <w:color w:val="231F20"/>
          <w:spacing w:val="-10"/>
          <w:w w:val="105"/>
        </w:rPr>
        <w:t> </w:t>
      </w:r>
      <w:r>
        <w:rPr>
          <w:color w:val="231F20"/>
          <w:w w:val="105"/>
        </w:rPr>
        <w:t>último,</w:t>
      </w:r>
      <w:r>
        <w:rPr>
          <w:color w:val="231F20"/>
          <w:spacing w:val="-10"/>
          <w:w w:val="105"/>
        </w:rPr>
        <w:t> </w:t>
      </w:r>
      <w:r>
        <w:rPr>
          <w:color w:val="231F20"/>
          <w:w w:val="105"/>
        </w:rPr>
        <w:t>la</w:t>
      </w:r>
      <w:r>
        <w:rPr>
          <w:color w:val="231F20"/>
          <w:spacing w:val="-10"/>
          <w:w w:val="105"/>
        </w:rPr>
        <w:t> </w:t>
      </w:r>
      <w:r>
        <w:rPr>
          <w:color w:val="231F20"/>
          <w:w w:val="105"/>
        </w:rPr>
        <w:t>difusión</w:t>
      </w:r>
      <w:r>
        <w:rPr>
          <w:color w:val="231F20"/>
          <w:spacing w:val="-10"/>
          <w:w w:val="105"/>
        </w:rPr>
        <w:t> </w:t>
      </w:r>
      <w:r>
        <w:rPr>
          <w:color w:val="231F20"/>
          <w:spacing w:val="2"/>
          <w:w w:val="105"/>
        </w:rPr>
        <w:t>turís- </w:t>
      </w:r>
      <w:r>
        <w:rPr>
          <w:color w:val="231F20"/>
          <w:w w:val="105"/>
        </w:rPr>
        <w:t>tica del municipio sí fue una prioridad del gobierno en este año, pues con el programa Moderniza se buscó atraer tanto el turismo como la inversión privada para la creación de</w:t>
      </w:r>
      <w:r>
        <w:rPr>
          <w:color w:val="231F20"/>
          <w:spacing w:val="-6"/>
          <w:w w:val="105"/>
        </w:rPr>
        <w:t> </w:t>
      </w:r>
      <w:r>
        <w:rPr>
          <w:color w:val="231F20"/>
          <w:w w:val="105"/>
        </w:rPr>
        <w:t>nuevos</w:t>
      </w:r>
      <w:r>
        <w:rPr>
          <w:color w:val="231F20"/>
          <w:spacing w:val="-6"/>
          <w:w w:val="105"/>
        </w:rPr>
        <w:t> </w:t>
      </w:r>
      <w:r>
        <w:rPr>
          <w:color w:val="231F20"/>
          <w:w w:val="105"/>
        </w:rPr>
        <w:t>empleos</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aumento</w:t>
      </w:r>
      <w:r>
        <w:rPr>
          <w:color w:val="231F20"/>
          <w:spacing w:val="-6"/>
          <w:w w:val="105"/>
        </w:rPr>
        <w:t> </w:t>
      </w:r>
      <w:r>
        <w:rPr>
          <w:color w:val="231F20"/>
          <w:w w:val="105"/>
        </w:rPr>
        <w:t>de</w:t>
      </w:r>
      <w:r>
        <w:rPr>
          <w:color w:val="231F20"/>
          <w:spacing w:val="-6"/>
          <w:w w:val="105"/>
        </w:rPr>
        <w:t> </w:t>
      </w:r>
      <w:r>
        <w:rPr>
          <w:color w:val="231F20"/>
          <w:w w:val="105"/>
        </w:rPr>
        <w:t>derrama</w:t>
      </w:r>
      <w:r>
        <w:rPr>
          <w:color w:val="231F20"/>
          <w:spacing w:val="-6"/>
          <w:w w:val="105"/>
        </w:rPr>
        <w:t> </w:t>
      </w:r>
      <w:r>
        <w:rPr>
          <w:color w:val="231F20"/>
          <w:w w:val="105"/>
        </w:rPr>
        <w:t>económica,</w:t>
      </w:r>
      <w:r>
        <w:rPr>
          <w:color w:val="231F20"/>
          <w:spacing w:val="-6"/>
          <w:w w:val="105"/>
        </w:rPr>
        <w:t> </w:t>
      </w:r>
      <w:r>
        <w:rPr>
          <w:color w:val="231F20"/>
          <w:w w:val="105"/>
        </w:rPr>
        <w:t>aunque</w:t>
      </w:r>
      <w:r>
        <w:rPr>
          <w:color w:val="231F20"/>
          <w:spacing w:val="-6"/>
          <w:w w:val="105"/>
        </w:rPr>
        <w:t> </w:t>
      </w:r>
      <w:r>
        <w:rPr>
          <w:color w:val="231F20"/>
          <w:w w:val="105"/>
        </w:rPr>
        <w:t>se</w:t>
      </w:r>
      <w:r>
        <w:rPr>
          <w:color w:val="231F20"/>
          <w:spacing w:val="-6"/>
          <w:w w:val="105"/>
        </w:rPr>
        <w:t> </w:t>
      </w:r>
      <w:r>
        <w:rPr>
          <w:color w:val="231F20"/>
          <w:w w:val="105"/>
        </w:rPr>
        <w:t>carece</w:t>
      </w:r>
      <w:r>
        <w:rPr>
          <w:color w:val="231F20"/>
          <w:spacing w:val="-6"/>
          <w:w w:val="105"/>
        </w:rPr>
        <w:t> </w:t>
      </w:r>
      <w:r>
        <w:rPr>
          <w:color w:val="231F20"/>
          <w:w w:val="105"/>
        </w:rPr>
        <w:t>de</w:t>
      </w:r>
      <w:r>
        <w:rPr>
          <w:color w:val="231F20"/>
          <w:spacing w:val="-6"/>
          <w:w w:val="105"/>
        </w:rPr>
        <w:t> </w:t>
      </w:r>
      <w:r>
        <w:rPr>
          <w:color w:val="231F20"/>
          <w:w w:val="105"/>
        </w:rPr>
        <w:t>informa- ción</w:t>
      </w:r>
      <w:r>
        <w:rPr>
          <w:color w:val="231F20"/>
          <w:spacing w:val="-17"/>
          <w:w w:val="105"/>
        </w:rPr>
        <w:t> </w:t>
      </w:r>
      <w:r>
        <w:rPr>
          <w:color w:val="231F20"/>
          <w:w w:val="105"/>
        </w:rPr>
        <w:t>para</w:t>
      </w:r>
      <w:r>
        <w:rPr>
          <w:color w:val="231F20"/>
          <w:spacing w:val="-17"/>
          <w:w w:val="105"/>
        </w:rPr>
        <w:t> </w:t>
      </w:r>
      <w:r>
        <w:rPr>
          <w:color w:val="231F20"/>
          <w:w w:val="105"/>
        </w:rPr>
        <w:t>evaluar</w:t>
      </w:r>
      <w:r>
        <w:rPr>
          <w:color w:val="231F20"/>
          <w:spacing w:val="-17"/>
          <w:w w:val="105"/>
        </w:rPr>
        <w:t> </w:t>
      </w:r>
      <w:r>
        <w:rPr>
          <w:color w:val="231F20"/>
          <w:w w:val="105"/>
        </w:rPr>
        <w:t>si</w:t>
      </w:r>
      <w:r>
        <w:rPr>
          <w:color w:val="231F20"/>
          <w:spacing w:val="-17"/>
          <w:w w:val="105"/>
        </w:rPr>
        <w:t> </w:t>
      </w:r>
      <w:r>
        <w:rPr>
          <w:color w:val="231F20"/>
          <w:w w:val="105"/>
        </w:rPr>
        <w:t>realmente</w:t>
      </w:r>
      <w:r>
        <w:rPr>
          <w:color w:val="231F20"/>
          <w:spacing w:val="-17"/>
          <w:w w:val="105"/>
        </w:rPr>
        <w:t> </w:t>
      </w:r>
      <w:r>
        <w:rPr>
          <w:color w:val="231F20"/>
          <w:w w:val="105"/>
        </w:rPr>
        <w:t>el</w:t>
      </w:r>
      <w:r>
        <w:rPr>
          <w:color w:val="231F20"/>
          <w:spacing w:val="-17"/>
          <w:w w:val="105"/>
        </w:rPr>
        <w:t> </w:t>
      </w:r>
      <w:r>
        <w:rPr>
          <w:color w:val="231F20"/>
          <w:w w:val="105"/>
        </w:rPr>
        <w:t>objetivo</w:t>
      </w:r>
      <w:r>
        <w:rPr>
          <w:color w:val="231F20"/>
          <w:spacing w:val="-17"/>
          <w:w w:val="105"/>
        </w:rPr>
        <w:t> </w:t>
      </w:r>
      <w:r>
        <w:rPr>
          <w:color w:val="231F20"/>
          <w:w w:val="105"/>
        </w:rPr>
        <w:t>fue</w:t>
      </w:r>
      <w:r>
        <w:rPr>
          <w:color w:val="231F20"/>
          <w:spacing w:val="-17"/>
          <w:w w:val="105"/>
        </w:rPr>
        <w:t> </w:t>
      </w:r>
      <w:r>
        <w:rPr>
          <w:color w:val="231F20"/>
          <w:w w:val="105"/>
        </w:rPr>
        <w:t>logrado.</w:t>
      </w:r>
    </w:p>
    <w:p>
      <w:pPr>
        <w:pStyle w:val="BodyText"/>
        <w:spacing w:before="1"/>
        <w:rPr>
          <w:sz w:val="26"/>
        </w:rPr>
      </w:pPr>
    </w:p>
    <w:p>
      <w:pPr>
        <w:pStyle w:val="BodyText"/>
        <w:spacing w:line="285" w:lineRule="auto"/>
        <w:ind w:left="110" w:right="108"/>
        <w:jc w:val="both"/>
      </w:pPr>
      <w:r>
        <w:rPr>
          <w:color w:val="231F20"/>
          <w:w w:val="105"/>
        </w:rPr>
        <w:t>Aspectos</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fueron</w:t>
      </w:r>
      <w:r>
        <w:rPr>
          <w:color w:val="231F20"/>
          <w:spacing w:val="-9"/>
          <w:w w:val="105"/>
        </w:rPr>
        <w:t> </w:t>
      </w:r>
      <w:r>
        <w:rPr>
          <w:color w:val="231F20"/>
          <w:w w:val="105"/>
        </w:rPr>
        <w:t>cuidados</w:t>
      </w:r>
      <w:r>
        <w:rPr>
          <w:color w:val="231F20"/>
          <w:spacing w:val="-9"/>
          <w:w w:val="105"/>
        </w:rPr>
        <w:t> </w:t>
      </w:r>
      <w:r>
        <w:rPr>
          <w:color w:val="231F20"/>
          <w:w w:val="105"/>
        </w:rPr>
        <w:t>en</w:t>
      </w:r>
      <w:r>
        <w:rPr>
          <w:color w:val="231F20"/>
          <w:spacing w:val="-9"/>
          <w:w w:val="105"/>
        </w:rPr>
        <w:t> </w:t>
      </w:r>
      <w:r>
        <w:rPr>
          <w:color w:val="231F20"/>
          <w:w w:val="105"/>
        </w:rPr>
        <w:t>estas</w:t>
      </w:r>
      <w:r>
        <w:rPr>
          <w:color w:val="231F20"/>
          <w:spacing w:val="-9"/>
          <w:w w:val="105"/>
        </w:rPr>
        <w:t> </w:t>
      </w:r>
      <w:r>
        <w:rPr>
          <w:color w:val="231F20"/>
          <w:w w:val="105"/>
        </w:rPr>
        <w:t>acciones</w:t>
      </w:r>
      <w:r>
        <w:rPr>
          <w:color w:val="231F20"/>
          <w:spacing w:val="-9"/>
          <w:w w:val="105"/>
        </w:rPr>
        <w:t> </w:t>
      </w:r>
      <w:r>
        <w:rPr>
          <w:color w:val="231F20"/>
          <w:w w:val="105"/>
        </w:rPr>
        <w:t>fueron:</w:t>
      </w:r>
      <w:r>
        <w:rPr>
          <w:color w:val="231F20"/>
          <w:spacing w:val="-9"/>
          <w:w w:val="105"/>
        </w:rPr>
        <w:t> </w:t>
      </w:r>
      <w:r>
        <w:rPr>
          <w:color w:val="231F20"/>
          <w:w w:val="105"/>
        </w:rPr>
        <w:t>los</w:t>
      </w:r>
      <w:r>
        <w:rPr>
          <w:color w:val="231F20"/>
          <w:spacing w:val="-9"/>
          <w:w w:val="105"/>
        </w:rPr>
        <w:t> </w:t>
      </w:r>
      <w:r>
        <w:rPr>
          <w:color w:val="231F20"/>
          <w:w w:val="105"/>
        </w:rPr>
        <w:t>talleres</w:t>
      </w:r>
      <w:r>
        <w:rPr>
          <w:color w:val="231F20"/>
          <w:spacing w:val="-9"/>
          <w:w w:val="105"/>
        </w:rPr>
        <w:t> </w:t>
      </w:r>
      <w:r>
        <w:rPr>
          <w:color w:val="231F20"/>
          <w:w w:val="105"/>
        </w:rPr>
        <w:t>no</w:t>
      </w:r>
      <w:r>
        <w:rPr>
          <w:color w:val="231F20"/>
          <w:spacing w:val="-9"/>
          <w:w w:val="105"/>
        </w:rPr>
        <w:t> </w:t>
      </w:r>
      <w:r>
        <w:rPr>
          <w:color w:val="231F20"/>
          <w:w w:val="105"/>
        </w:rPr>
        <w:t>garantizaban el acceso directo a empleo, los proyectos comunitarios correspondieron a localidades urbanas,</w:t>
      </w:r>
      <w:r>
        <w:rPr>
          <w:color w:val="231F20"/>
          <w:spacing w:val="-10"/>
          <w:w w:val="105"/>
        </w:rPr>
        <w:t> </w:t>
      </w:r>
      <w:r>
        <w:rPr>
          <w:color w:val="231F20"/>
          <w:w w:val="105"/>
        </w:rPr>
        <w:t>la</w:t>
      </w:r>
      <w:r>
        <w:rPr>
          <w:color w:val="231F20"/>
          <w:spacing w:val="-10"/>
          <w:w w:val="105"/>
        </w:rPr>
        <w:t> </w:t>
      </w:r>
      <w:r>
        <w:rPr>
          <w:color w:val="231F20"/>
          <w:w w:val="105"/>
        </w:rPr>
        <w:t>feria</w:t>
      </w:r>
      <w:r>
        <w:rPr>
          <w:color w:val="231F20"/>
          <w:spacing w:val="-10"/>
          <w:w w:val="105"/>
        </w:rPr>
        <w:t> </w:t>
      </w:r>
      <w:r>
        <w:rPr>
          <w:color w:val="231F20"/>
          <w:w w:val="105"/>
        </w:rPr>
        <w:t>del</w:t>
      </w:r>
      <w:r>
        <w:rPr>
          <w:color w:val="231F20"/>
          <w:spacing w:val="-10"/>
          <w:w w:val="105"/>
        </w:rPr>
        <w:t> </w:t>
      </w:r>
      <w:r>
        <w:rPr>
          <w:color w:val="231F20"/>
          <w:w w:val="105"/>
        </w:rPr>
        <w:t>empleo</w:t>
      </w:r>
      <w:r>
        <w:rPr>
          <w:color w:val="231F20"/>
          <w:spacing w:val="-10"/>
          <w:w w:val="105"/>
        </w:rPr>
        <w:t> </w:t>
      </w:r>
      <w:r>
        <w:rPr>
          <w:color w:val="231F20"/>
          <w:w w:val="105"/>
        </w:rPr>
        <w:t>colocó</w:t>
      </w:r>
      <w:r>
        <w:rPr>
          <w:color w:val="231F20"/>
          <w:spacing w:val="-10"/>
          <w:w w:val="105"/>
        </w:rPr>
        <w:t> </w:t>
      </w:r>
      <w:r>
        <w:rPr>
          <w:color w:val="231F20"/>
          <w:w w:val="105"/>
        </w:rPr>
        <w:t>a</w:t>
      </w:r>
      <w:r>
        <w:rPr>
          <w:color w:val="231F20"/>
          <w:spacing w:val="-10"/>
          <w:w w:val="105"/>
        </w:rPr>
        <w:t> </w:t>
      </w:r>
      <w:r>
        <w:rPr>
          <w:color w:val="231F20"/>
          <w:w w:val="105"/>
        </w:rPr>
        <w:t>trabajadores</w:t>
      </w:r>
      <w:r>
        <w:rPr>
          <w:color w:val="231F20"/>
          <w:spacing w:val="-10"/>
          <w:w w:val="105"/>
        </w:rPr>
        <w:t> </w:t>
      </w:r>
      <w:r>
        <w:rPr>
          <w:color w:val="231F20"/>
          <w:w w:val="105"/>
        </w:rPr>
        <w:t>en</w:t>
      </w:r>
      <w:r>
        <w:rPr>
          <w:color w:val="231F20"/>
          <w:spacing w:val="-10"/>
          <w:w w:val="105"/>
        </w:rPr>
        <w:t> </w:t>
      </w:r>
      <w:r>
        <w:rPr>
          <w:color w:val="231F20"/>
          <w:w w:val="105"/>
        </w:rPr>
        <w:t>empresas</w:t>
      </w:r>
      <w:r>
        <w:rPr>
          <w:color w:val="231F20"/>
          <w:spacing w:val="-10"/>
          <w:w w:val="105"/>
        </w:rPr>
        <w:t> </w:t>
      </w:r>
      <w:r>
        <w:rPr>
          <w:color w:val="231F20"/>
          <w:w w:val="105"/>
        </w:rPr>
        <w:t>de</w:t>
      </w:r>
      <w:r>
        <w:rPr>
          <w:color w:val="231F20"/>
          <w:spacing w:val="-10"/>
          <w:w w:val="105"/>
        </w:rPr>
        <w:t> </w:t>
      </w:r>
      <w:r>
        <w:rPr>
          <w:color w:val="231F20"/>
          <w:w w:val="105"/>
        </w:rPr>
        <w:t>otros</w:t>
      </w:r>
      <w:r>
        <w:rPr>
          <w:color w:val="231F20"/>
          <w:spacing w:val="-10"/>
          <w:w w:val="105"/>
        </w:rPr>
        <w:t> </w:t>
      </w:r>
      <w:r>
        <w:rPr>
          <w:color w:val="231F20"/>
          <w:w w:val="105"/>
        </w:rPr>
        <w:t>municipios</w:t>
      </w:r>
      <w:r>
        <w:rPr>
          <w:color w:val="231F20"/>
          <w:spacing w:val="-10"/>
          <w:w w:val="105"/>
        </w:rPr>
        <w:t> </w:t>
      </w:r>
      <w:r>
        <w:rPr>
          <w:color w:val="231F20"/>
          <w:w w:val="105"/>
        </w:rPr>
        <w:t>y</w:t>
      </w:r>
      <w:r>
        <w:rPr>
          <w:color w:val="231F20"/>
          <w:spacing w:val="-10"/>
          <w:w w:val="105"/>
        </w:rPr>
        <w:t> </w:t>
      </w:r>
      <w:r>
        <w:rPr>
          <w:color w:val="231F20"/>
          <w:w w:val="105"/>
        </w:rPr>
        <w:t>la difusión</w:t>
      </w:r>
      <w:r>
        <w:rPr>
          <w:color w:val="231F20"/>
          <w:spacing w:val="-20"/>
          <w:w w:val="105"/>
        </w:rPr>
        <w:t> </w:t>
      </w:r>
      <w:r>
        <w:rPr>
          <w:color w:val="231F20"/>
          <w:w w:val="105"/>
        </w:rPr>
        <w:t>turística</w:t>
      </w:r>
      <w:r>
        <w:rPr>
          <w:color w:val="231F20"/>
          <w:spacing w:val="-20"/>
          <w:w w:val="105"/>
        </w:rPr>
        <w:t> </w:t>
      </w:r>
      <w:r>
        <w:rPr>
          <w:color w:val="231F20"/>
          <w:w w:val="105"/>
        </w:rPr>
        <w:t>benefició</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grandes</w:t>
      </w:r>
      <w:r>
        <w:rPr>
          <w:color w:val="231F20"/>
          <w:spacing w:val="-20"/>
          <w:w w:val="105"/>
        </w:rPr>
        <w:t> </w:t>
      </w:r>
      <w:r>
        <w:rPr>
          <w:color w:val="231F20"/>
          <w:w w:val="105"/>
        </w:rPr>
        <w:t>y</w:t>
      </w:r>
      <w:r>
        <w:rPr>
          <w:color w:val="231F20"/>
          <w:spacing w:val="-20"/>
          <w:w w:val="105"/>
        </w:rPr>
        <w:t> </w:t>
      </w:r>
      <w:r>
        <w:rPr>
          <w:color w:val="231F20"/>
          <w:w w:val="105"/>
        </w:rPr>
        <w:t>medianos</w:t>
      </w:r>
      <w:r>
        <w:rPr>
          <w:color w:val="231F20"/>
          <w:spacing w:val="-20"/>
          <w:w w:val="105"/>
        </w:rPr>
        <w:t> </w:t>
      </w:r>
      <w:r>
        <w:rPr>
          <w:color w:val="231F20"/>
          <w:w w:val="105"/>
        </w:rPr>
        <w:t>empresarios,</w:t>
      </w:r>
      <w:r>
        <w:rPr>
          <w:color w:val="231F20"/>
          <w:spacing w:val="-20"/>
          <w:w w:val="105"/>
        </w:rPr>
        <w:t> </w:t>
      </w:r>
      <w:r>
        <w:rPr>
          <w:color w:val="231F20"/>
          <w:w w:val="105"/>
        </w:rPr>
        <w:t>además</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el</w:t>
      </w:r>
      <w:r>
        <w:rPr>
          <w:color w:val="231F20"/>
          <w:spacing w:val="-20"/>
          <w:w w:val="105"/>
        </w:rPr>
        <w:t> </w:t>
      </w:r>
      <w:r>
        <w:rPr>
          <w:color w:val="231F20"/>
          <w:w w:val="105"/>
        </w:rPr>
        <w:t>sec- tor </w:t>
      </w:r>
      <w:r>
        <w:rPr>
          <w:color w:val="231F20"/>
          <w:spacing w:val="2"/>
          <w:w w:val="105"/>
        </w:rPr>
        <w:t>artesanal </w:t>
      </w:r>
      <w:r>
        <w:rPr>
          <w:color w:val="231F20"/>
          <w:w w:val="105"/>
        </w:rPr>
        <w:t>no fue atendido y los recursos operados pertenecían a </w:t>
      </w:r>
      <w:r>
        <w:rPr>
          <w:color w:val="231F20"/>
          <w:spacing w:val="-3"/>
          <w:w w:val="105"/>
        </w:rPr>
        <w:t>fondos </w:t>
      </w:r>
      <w:r>
        <w:rPr>
          <w:color w:val="231F20"/>
          <w:w w:val="105"/>
        </w:rPr>
        <w:t>etiquetados del</w:t>
      </w:r>
      <w:r>
        <w:rPr>
          <w:color w:val="231F20"/>
          <w:spacing w:val="-22"/>
          <w:w w:val="105"/>
        </w:rPr>
        <w:t> </w:t>
      </w:r>
      <w:r>
        <w:rPr>
          <w:color w:val="231F20"/>
          <w:w w:val="105"/>
        </w:rPr>
        <w:t>gobierno</w:t>
      </w:r>
      <w:r>
        <w:rPr>
          <w:color w:val="231F20"/>
          <w:spacing w:val="-22"/>
          <w:w w:val="105"/>
        </w:rPr>
        <w:t> </w:t>
      </w:r>
      <w:r>
        <w:rPr>
          <w:color w:val="231F20"/>
          <w:w w:val="105"/>
        </w:rPr>
        <w:t>federal</w:t>
      </w:r>
      <w:r>
        <w:rPr>
          <w:color w:val="231F20"/>
          <w:spacing w:val="-22"/>
          <w:w w:val="105"/>
        </w:rPr>
        <w:t> </w:t>
      </w:r>
      <w:r>
        <w:rPr>
          <w:color w:val="231F20"/>
          <w:w w:val="105"/>
        </w:rPr>
        <w:t>y</w:t>
      </w:r>
      <w:r>
        <w:rPr>
          <w:color w:val="231F20"/>
          <w:spacing w:val="-22"/>
          <w:w w:val="105"/>
        </w:rPr>
        <w:t> </w:t>
      </w:r>
      <w:r>
        <w:rPr>
          <w:color w:val="231F20"/>
          <w:w w:val="105"/>
        </w:rPr>
        <w:t>estatal.</w:t>
      </w:r>
    </w:p>
    <w:p>
      <w:pPr>
        <w:pStyle w:val="BodyText"/>
        <w:spacing w:before="1"/>
        <w:rPr>
          <w:sz w:val="26"/>
        </w:rPr>
      </w:pPr>
    </w:p>
    <w:p>
      <w:pPr>
        <w:pStyle w:val="BodyText"/>
        <w:spacing w:line="285" w:lineRule="auto"/>
        <w:ind w:left="110" w:right="107"/>
        <w:jc w:val="both"/>
      </w:pPr>
      <w:r>
        <w:rPr>
          <w:color w:val="231F20"/>
          <w:w w:val="105"/>
        </w:rPr>
        <w:t>Lo</w:t>
      </w:r>
      <w:r>
        <w:rPr>
          <w:color w:val="231F20"/>
          <w:spacing w:val="-16"/>
          <w:w w:val="105"/>
        </w:rPr>
        <w:t> </w:t>
      </w:r>
      <w:r>
        <w:rPr>
          <w:color w:val="231F20"/>
          <w:w w:val="105"/>
        </w:rPr>
        <w:t>destacable</w:t>
      </w:r>
      <w:r>
        <w:rPr>
          <w:color w:val="231F20"/>
          <w:spacing w:val="-16"/>
          <w:w w:val="105"/>
        </w:rPr>
        <w:t> </w:t>
      </w:r>
      <w:r>
        <w:rPr>
          <w:color w:val="231F20"/>
          <w:w w:val="105"/>
        </w:rPr>
        <w:t>de</w:t>
      </w:r>
      <w:r>
        <w:rPr>
          <w:color w:val="231F20"/>
          <w:spacing w:val="-16"/>
          <w:w w:val="105"/>
        </w:rPr>
        <w:t> </w:t>
      </w:r>
      <w:r>
        <w:rPr>
          <w:color w:val="231F20"/>
          <w:w w:val="105"/>
        </w:rPr>
        <w:t>esta</w:t>
      </w:r>
      <w:r>
        <w:rPr>
          <w:color w:val="231F20"/>
          <w:spacing w:val="-16"/>
          <w:w w:val="105"/>
        </w:rPr>
        <w:t> </w:t>
      </w:r>
      <w:r>
        <w:rPr>
          <w:color w:val="231F20"/>
          <w:w w:val="105"/>
        </w:rPr>
        <w:t>área</w:t>
      </w:r>
      <w:r>
        <w:rPr>
          <w:color w:val="231F20"/>
          <w:spacing w:val="-16"/>
          <w:w w:val="105"/>
        </w:rPr>
        <w:t> </w:t>
      </w:r>
      <w:r>
        <w:rPr>
          <w:color w:val="231F20"/>
          <w:w w:val="105"/>
        </w:rPr>
        <w:t>fue</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spacing w:val="-3"/>
          <w:w w:val="105"/>
        </w:rPr>
        <w:t>fomento</w:t>
      </w:r>
      <w:r>
        <w:rPr>
          <w:color w:val="231F20"/>
          <w:spacing w:val="-16"/>
          <w:w w:val="105"/>
        </w:rPr>
        <w:t> </w:t>
      </w:r>
      <w:r>
        <w:rPr>
          <w:color w:val="231F20"/>
          <w:w w:val="105"/>
        </w:rPr>
        <w:t>del</w:t>
      </w:r>
      <w:r>
        <w:rPr>
          <w:color w:val="231F20"/>
          <w:spacing w:val="-16"/>
          <w:w w:val="105"/>
        </w:rPr>
        <w:t> </w:t>
      </w:r>
      <w:r>
        <w:rPr>
          <w:color w:val="231F20"/>
          <w:w w:val="105"/>
        </w:rPr>
        <w:t>campo</w:t>
      </w:r>
      <w:r>
        <w:rPr>
          <w:color w:val="231F20"/>
          <w:spacing w:val="-16"/>
          <w:w w:val="105"/>
        </w:rPr>
        <w:t> </w:t>
      </w:r>
      <w:r>
        <w:rPr>
          <w:color w:val="231F20"/>
          <w:w w:val="105"/>
        </w:rPr>
        <w:t>fue</w:t>
      </w:r>
      <w:r>
        <w:rPr>
          <w:color w:val="231F20"/>
          <w:spacing w:val="-16"/>
          <w:w w:val="105"/>
        </w:rPr>
        <w:t> </w:t>
      </w:r>
      <w:r>
        <w:rPr>
          <w:color w:val="231F20"/>
          <w:w w:val="105"/>
        </w:rPr>
        <w:t>lo</w:t>
      </w:r>
      <w:r>
        <w:rPr>
          <w:color w:val="231F20"/>
          <w:spacing w:val="-16"/>
          <w:w w:val="105"/>
        </w:rPr>
        <w:t> </w:t>
      </w:r>
      <w:r>
        <w:rPr>
          <w:color w:val="231F20"/>
          <w:w w:val="105"/>
        </w:rPr>
        <w:t>más</w:t>
      </w:r>
      <w:r>
        <w:rPr>
          <w:color w:val="231F20"/>
          <w:spacing w:val="-16"/>
          <w:w w:val="105"/>
        </w:rPr>
        <w:t> </w:t>
      </w:r>
      <w:r>
        <w:rPr>
          <w:color w:val="231F20"/>
          <w:w w:val="105"/>
        </w:rPr>
        <w:t>impulsado,</w:t>
      </w:r>
      <w:r>
        <w:rPr>
          <w:color w:val="231F20"/>
          <w:spacing w:val="-16"/>
          <w:w w:val="105"/>
        </w:rPr>
        <w:t> </w:t>
      </w:r>
      <w:r>
        <w:rPr>
          <w:color w:val="231F20"/>
          <w:w w:val="105"/>
        </w:rPr>
        <w:t>pues</w:t>
      </w:r>
      <w:r>
        <w:rPr>
          <w:color w:val="231F20"/>
          <w:spacing w:val="-16"/>
          <w:w w:val="105"/>
        </w:rPr>
        <w:t> </w:t>
      </w:r>
      <w:r>
        <w:rPr>
          <w:color w:val="231F20"/>
          <w:w w:val="105"/>
        </w:rPr>
        <w:t>con apoyo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Secretaría</w:t>
      </w:r>
      <w:r>
        <w:rPr>
          <w:color w:val="231F20"/>
          <w:spacing w:val="-13"/>
          <w:w w:val="105"/>
        </w:rPr>
        <w:t> </w:t>
      </w:r>
      <w:r>
        <w:rPr>
          <w:color w:val="231F20"/>
          <w:w w:val="105"/>
        </w:rPr>
        <w:t>Estatal</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Agropecuario</w:t>
      </w:r>
      <w:r>
        <w:rPr>
          <w:color w:val="231F20"/>
          <w:spacing w:val="-13"/>
          <w:w w:val="105"/>
        </w:rPr>
        <w:t> </w:t>
      </w:r>
      <w:r>
        <w:rPr>
          <w:color w:val="231F20"/>
          <w:w w:val="105"/>
        </w:rPr>
        <w:t>se</w:t>
      </w:r>
      <w:r>
        <w:rPr>
          <w:color w:val="231F20"/>
          <w:spacing w:val="-13"/>
          <w:w w:val="105"/>
        </w:rPr>
        <w:t> </w:t>
      </w:r>
      <w:r>
        <w:rPr>
          <w:color w:val="231F20"/>
          <w:w w:val="105"/>
        </w:rPr>
        <w:t>implementaron</w:t>
      </w:r>
      <w:r>
        <w:rPr>
          <w:color w:val="231F20"/>
          <w:spacing w:val="-13"/>
          <w:w w:val="105"/>
        </w:rPr>
        <w:t> </w:t>
      </w:r>
      <w:r>
        <w:rPr>
          <w:color w:val="231F20"/>
          <w:w w:val="105"/>
        </w:rPr>
        <w:t>proyectos rentables</w:t>
      </w:r>
      <w:r>
        <w:rPr>
          <w:color w:val="231F20"/>
          <w:spacing w:val="-14"/>
          <w:w w:val="105"/>
        </w:rPr>
        <w:t> </w:t>
      </w:r>
      <w:r>
        <w:rPr>
          <w:color w:val="231F20"/>
          <w:w w:val="105"/>
        </w:rPr>
        <w:t>para</w:t>
      </w:r>
      <w:r>
        <w:rPr>
          <w:color w:val="231F20"/>
          <w:spacing w:val="-14"/>
          <w:w w:val="105"/>
        </w:rPr>
        <w:t> </w:t>
      </w:r>
      <w:r>
        <w:rPr>
          <w:color w:val="231F20"/>
          <w:w w:val="105"/>
        </w:rPr>
        <w:t>estos</w:t>
      </w:r>
      <w:r>
        <w:rPr>
          <w:color w:val="231F20"/>
          <w:spacing w:val="-14"/>
          <w:w w:val="105"/>
        </w:rPr>
        <w:t> </w:t>
      </w:r>
      <w:r>
        <w:rPr>
          <w:color w:val="231F20"/>
          <w:w w:val="105"/>
        </w:rPr>
        <w:t>grupos,</w:t>
      </w:r>
      <w:r>
        <w:rPr>
          <w:color w:val="231F20"/>
          <w:spacing w:val="-14"/>
          <w:w w:val="105"/>
        </w:rPr>
        <w:t> </w:t>
      </w:r>
      <w:r>
        <w:rPr>
          <w:color w:val="231F20"/>
          <w:w w:val="105"/>
        </w:rPr>
        <w:t>como</w:t>
      </w:r>
      <w:r>
        <w:rPr>
          <w:color w:val="231F20"/>
          <w:spacing w:val="-14"/>
          <w:w w:val="105"/>
        </w:rPr>
        <w:t> </w:t>
      </w:r>
      <w:r>
        <w:rPr>
          <w:color w:val="231F20"/>
          <w:w w:val="105"/>
        </w:rPr>
        <w:t>fue</w:t>
      </w:r>
      <w:r>
        <w:rPr>
          <w:color w:val="231F20"/>
          <w:spacing w:val="-14"/>
          <w:w w:val="105"/>
        </w:rPr>
        <w:t> </w:t>
      </w:r>
      <w:r>
        <w:rPr>
          <w:color w:val="231F20"/>
          <w:w w:val="105"/>
        </w:rPr>
        <w:t>la</w:t>
      </w:r>
      <w:r>
        <w:rPr>
          <w:color w:val="231F20"/>
          <w:spacing w:val="-14"/>
          <w:w w:val="105"/>
        </w:rPr>
        <w:t> </w:t>
      </w:r>
      <w:r>
        <w:rPr>
          <w:color w:val="231F20"/>
          <w:w w:val="105"/>
        </w:rPr>
        <w:t>construcción</w:t>
      </w:r>
      <w:r>
        <w:rPr>
          <w:color w:val="231F20"/>
          <w:spacing w:val="-14"/>
          <w:w w:val="105"/>
        </w:rPr>
        <w:t> </w:t>
      </w:r>
      <w:r>
        <w:rPr>
          <w:color w:val="231F20"/>
          <w:w w:val="105"/>
        </w:rPr>
        <w:t>de</w:t>
      </w:r>
      <w:r>
        <w:rPr>
          <w:color w:val="231F20"/>
          <w:spacing w:val="-14"/>
          <w:w w:val="105"/>
        </w:rPr>
        <w:t> </w:t>
      </w:r>
      <w:r>
        <w:rPr>
          <w:color w:val="231F20"/>
          <w:w w:val="105"/>
        </w:rPr>
        <w:t>invernaderos</w:t>
      </w:r>
      <w:r>
        <w:rPr>
          <w:color w:val="231F20"/>
          <w:spacing w:val="-14"/>
          <w:w w:val="105"/>
        </w:rPr>
        <w:t> </w:t>
      </w:r>
      <w:r>
        <w:rPr>
          <w:color w:val="231F20"/>
          <w:w w:val="105"/>
        </w:rPr>
        <w:t>para</w:t>
      </w:r>
      <w:r>
        <w:rPr>
          <w:color w:val="231F20"/>
          <w:spacing w:val="-14"/>
          <w:w w:val="105"/>
        </w:rPr>
        <w:t> </w:t>
      </w:r>
      <w:r>
        <w:rPr>
          <w:color w:val="231F20"/>
          <w:w w:val="105"/>
        </w:rPr>
        <w:t>los</w:t>
      </w:r>
      <w:r>
        <w:rPr>
          <w:color w:val="231F20"/>
          <w:spacing w:val="-14"/>
          <w:w w:val="105"/>
        </w:rPr>
        <w:t> </w:t>
      </w:r>
      <w:r>
        <w:rPr>
          <w:color w:val="231F20"/>
          <w:w w:val="105"/>
        </w:rPr>
        <w:t>floricul- tores;</w:t>
      </w:r>
      <w:r>
        <w:rPr>
          <w:color w:val="231F20"/>
          <w:spacing w:val="-15"/>
          <w:w w:val="105"/>
        </w:rPr>
        <w:t> </w:t>
      </w:r>
      <w:r>
        <w:rPr>
          <w:color w:val="231F20"/>
          <w:w w:val="105"/>
        </w:rPr>
        <w:t>la</w:t>
      </w:r>
      <w:r>
        <w:rPr>
          <w:color w:val="231F20"/>
          <w:spacing w:val="-15"/>
          <w:w w:val="105"/>
        </w:rPr>
        <w:t> </w:t>
      </w:r>
      <w:r>
        <w:rPr>
          <w:color w:val="231F20"/>
          <w:w w:val="105"/>
        </w:rPr>
        <w:t>entrega</w:t>
      </w:r>
      <w:r>
        <w:rPr>
          <w:color w:val="231F20"/>
          <w:spacing w:val="-15"/>
          <w:w w:val="105"/>
        </w:rPr>
        <w:t> </w:t>
      </w:r>
      <w:r>
        <w:rPr>
          <w:color w:val="231F20"/>
          <w:w w:val="105"/>
        </w:rPr>
        <w:t>de</w:t>
      </w:r>
      <w:r>
        <w:rPr>
          <w:color w:val="231F20"/>
          <w:spacing w:val="-15"/>
          <w:w w:val="105"/>
        </w:rPr>
        <w:t> </w:t>
      </w:r>
      <w:r>
        <w:rPr>
          <w:color w:val="231F20"/>
          <w:w w:val="105"/>
        </w:rPr>
        <w:t>surcadoras,</w:t>
      </w:r>
      <w:r>
        <w:rPr>
          <w:color w:val="231F20"/>
          <w:spacing w:val="-15"/>
          <w:w w:val="105"/>
        </w:rPr>
        <w:t> </w:t>
      </w:r>
      <w:r>
        <w:rPr>
          <w:color w:val="231F20"/>
          <w:w w:val="105"/>
        </w:rPr>
        <w:t>aspersores</w:t>
      </w:r>
      <w:r>
        <w:rPr>
          <w:color w:val="231F20"/>
          <w:spacing w:val="-15"/>
          <w:w w:val="105"/>
        </w:rPr>
        <w:t> </w:t>
      </w:r>
      <w:r>
        <w:rPr>
          <w:color w:val="231F20"/>
          <w:w w:val="105"/>
        </w:rPr>
        <w:t>y</w:t>
      </w:r>
      <w:r>
        <w:rPr>
          <w:color w:val="231F20"/>
          <w:spacing w:val="-15"/>
          <w:w w:val="105"/>
        </w:rPr>
        <w:t> </w:t>
      </w:r>
      <w:r>
        <w:rPr>
          <w:color w:val="231F20"/>
          <w:w w:val="105"/>
        </w:rPr>
        <w:t>rastras</w:t>
      </w:r>
      <w:r>
        <w:rPr>
          <w:color w:val="231F20"/>
          <w:spacing w:val="-15"/>
          <w:w w:val="105"/>
        </w:rPr>
        <w:t> </w:t>
      </w:r>
      <w:r>
        <w:rPr>
          <w:color w:val="231F20"/>
          <w:w w:val="105"/>
        </w:rPr>
        <w:t>que</w:t>
      </w:r>
      <w:r>
        <w:rPr>
          <w:color w:val="231F20"/>
          <w:spacing w:val="-15"/>
          <w:w w:val="105"/>
        </w:rPr>
        <w:t> </w:t>
      </w:r>
      <w:r>
        <w:rPr>
          <w:color w:val="231F20"/>
          <w:w w:val="105"/>
        </w:rPr>
        <w:t>facilitaron</w:t>
      </w:r>
      <w:r>
        <w:rPr>
          <w:color w:val="231F20"/>
          <w:spacing w:val="-15"/>
          <w:w w:val="105"/>
        </w:rPr>
        <w:t> </w:t>
      </w:r>
      <w:r>
        <w:rPr>
          <w:color w:val="231F20"/>
          <w:w w:val="105"/>
        </w:rPr>
        <w:t>la</w:t>
      </w:r>
      <w:r>
        <w:rPr>
          <w:color w:val="231F20"/>
          <w:spacing w:val="-15"/>
          <w:w w:val="105"/>
        </w:rPr>
        <w:t> </w:t>
      </w:r>
      <w:r>
        <w:rPr>
          <w:color w:val="231F20"/>
          <w:w w:val="105"/>
        </w:rPr>
        <w:t>siembra</w:t>
      </w:r>
      <w:r>
        <w:rPr>
          <w:color w:val="231F20"/>
          <w:spacing w:val="-15"/>
          <w:w w:val="105"/>
        </w:rPr>
        <w:t> </w:t>
      </w:r>
      <w:r>
        <w:rPr>
          <w:color w:val="231F20"/>
          <w:w w:val="105"/>
        </w:rPr>
        <w:t>y</w:t>
      </w:r>
      <w:r>
        <w:rPr>
          <w:color w:val="231F20"/>
          <w:spacing w:val="-15"/>
          <w:w w:val="105"/>
        </w:rPr>
        <w:t> </w:t>
      </w:r>
      <w:r>
        <w:rPr>
          <w:color w:val="231F20"/>
          <w:w w:val="105"/>
        </w:rPr>
        <w:t>cosecha a</w:t>
      </w:r>
      <w:r>
        <w:rPr>
          <w:color w:val="231F20"/>
          <w:spacing w:val="-11"/>
          <w:w w:val="105"/>
        </w:rPr>
        <w:t> </w:t>
      </w:r>
      <w:r>
        <w:rPr>
          <w:color w:val="231F20"/>
          <w:w w:val="105"/>
        </w:rPr>
        <w:t>los</w:t>
      </w:r>
      <w:r>
        <w:rPr>
          <w:color w:val="231F20"/>
          <w:spacing w:val="-11"/>
          <w:w w:val="105"/>
        </w:rPr>
        <w:t> </w:t>
      </w:r>
      <w:r>
        <w:rPr>
          <w:color w:val="231F20"/>
          <w:w w:val="105"/>
        </w:rPr>
        <w:t>campesinos</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entrega</w:t>
      </w:r>
      <w:r>
        <w:rPr>
          <w:color w:val="231F20"/>
          <w:spacing w:val="-11"/>
          <w:w w:val="105"/>
        </w:rPr>
        <w:t> </w:t>
      </w:r>
      <w:r>
        <w:rPr>
          <w:color w:val="231F20"/>
          <w:w w:val="105"/>
        </w:rPr>
        <w:t>de</w:t>
      </w:r>
      <w:r>
        <w:rPr>
          <w:color w:val="231F20"/>
          <w:spacing w:val="-11"/>
          <w:w w:val="105"/>
        </w:rPr>
        <w:t> </w:t>
      </w:r>
      <w:r>
        <w:rPr>
          <w:color w:val="231F20"/>
          <w:w w:val="105"/>
        </w:rPr>
        <w:t>tractores</w:t>
      </w:r>
      <w:r>
        <w:rPr>
          <w:color w:val="231F20"/>
          <w:spacing w:val="-11"/>
          <w:w w:val="105"/>
        </w:rPr>
        <w:t> </w:t>
      </w:r>
      <w:r>
        <w:rPr>
          <w:color w:val="231F20"/>
          <w:w w:val="105"/>
        </w:rPr>
        <w:t>para</w:t>
      </w:r>
      <w:r>
        <w:rPr>
          <w:color w:val="231F20"/>
          <w:spacing w:val="-11"/>
          <w:w w:val="105"/>
        </w:rPr>
        <w:t> </w:t>
      </w:r>
      <w:r>
        <w:rPr>
          <w:color w:val="231F20"/>
          <w:w w:val="105"/>
        </w:rPr>
        <w:t>grupos</w:t>
      </w:r>
      <w:r>
        <w:rPr>
          <w:color w:val="231F20"/>
          <w:spacing w:val="-11"/>
          <w:w w:val="105"/>
        </w:rPr>
        <w:t> </w:t>
      </w:r>
      <w:r>
        <w:rPr>
          <w:color w:val="231F20"/>
          <w:w w:val="105"/>
        </w:rPr>
        <w:t>de</w:t>
      </w:r>
      <w:r>
        <w:rPr>
          <w:color w:val="231F20"/>
          <w:spacing w:val="-11"/>
          <w:w w:val="105"/>
        </w:rPr>
        <w:t> </w:t>
      </w:r>
      <w:r>
        <w:rPr>
          <w:color w:val="231F20"/>
          <w:w w:val="105"/>
        </w:rPr>
        <w:t>ejidatarios.</w:t>
      </w:r>
    </w:p>
    <w:p>
      <w:pPr>
        <w:pStyle w:val="BodyText"/>
        <w:spacing w:before="1"/>
        <w:rPr>
          <w:sz w:val="26"/>
        </w:rPr>
      </w:pPr>
    </w:p>
    <w:p>
      <w:pPr>
        <w:pStyle w:val="BodyText"/>
        <w:spacing w:line="285" w:lineRule="auto"/>
        <w:ind w:left="110" w:right="108"/>
        <w:jc w:val="both"/>
      </w:pPr>
      <w:r>
        <w:rPr>
          <w:color w:val="231F20"/>
          <w:w w:val="105"/>
        </w:rPr>
        <w:t>De las áreas </w:t>
      </w:r>
      <w:r>
        <w:rPr>
          <w:color w:val="231F20"/>
          <w:spacing w:val="-3"/>
          <w:w w:val="105"/>
        </w:rPr>
        <w:t>no </w:t>
      </w:r>
      <w:r>
        <w:rPr>
          <w:color w:val="231F20"/>
          <w:w w:val="105"/>
        </w:rPr>
        <w:t>incluidas en el diagnóstico </w:t>
      </w:r>
      <w:r>
        <w:rPr>
          <w:color w:val="231F20"/>
          <w:spacing w:val="-3"/>
          <w:w w:val="105"/>
        </w:rPr>
        <w:t>del </w:t>
      </w:r>
      <w:r>
        <w:rPr>
          <w:color w:val="231F20"/>
          <w:w w:val="105"/>
        </w:rPr>
        <w:t>plan </w:t>
      </w:r>
      <w:r>
        <w:rPr>
          <w:color w:val="231F20"/>
          <w:spacing w:val="-8"/>
          <w:w w:val="105"/>
        </w:rPr>
        <w:t>y, </w:t>
      </w:r>
      <w:r>
        <w:rPr>
          <w:color w:val="231F20"/>
          <w:spacing w:val="-3"/>
          <w:w w:val="105"/>
        </w:rPr>
        <w:t>por lo </w:t>
      </w:r>
      <w:r>
        <w:rPr>
          <w:color w:val="231F20"/>
          <w:w w:val="105"/>
        </w:rPr>
        <w:t>tanto, en la </w:t>
      </w:r>
      <w:r>
        <w:rPr>
          <w:color w:val="231F20"/>
          <w:spacing w:val="-3"/>
          <w:w w:val="105"/>
        </w:rPr>
        <w:t>planeación del </w:t>
      </w:r>
      <w:r>
        <w:rPr>
          <w:color w:val="231F20"/>
          <w:spacing w:val="-4"/>
          <w:w w:val="105"/>
        </w:rPr>
        <w:t>gobierno,</w:t>
      </w:r>
      <w:r>
        <w:rPr>
          <w:color w:val="231F20"/>
          <w:spacing w:val="-13"/>
          <w:w w:val="105"/>
        </w:rPr>
        <w:t> </w:t>
      </w:r>
      <w:r>
        <w:rPr>
          <w:color w:val="231F20"/>
          <w:spacing w:val="-3"/>
          <w:w w:val="105"/>
        </w:rPr>
        <w:t>pero</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spacing w:val="-3"/>
          <w:w w:val="105"/>
        </w:rPr>
        <w:t>que</w:t>
      </w:r>
      <w:r>
        <w:rPr>
          <w:color w:val="231F20"/>
          <w:spacing w:val="-13"/>
          <w:w w:val="105"/>
        </w:rPr>
        <w:t> </w:t>
      </w:r>
      <w:r>
        <w:rPr>
          <w:color w:val="231F20"/>
          <w:w w:val="105"/>
        </w:rPr>
        <w:t>sí</w:t>
      </w:r>
      <w:r>
        <w:rPr>
          <w:color w:val="231F20"/>
          <w:spacing w:val="-13"/>
          <w:w w:val="105"/>
        </w:rPr>
        <w:t> </w:t>
      </w:r>
      <w:r>
        <w:rPr>
          <w:color w:val="231F20"/>
          <w:w w:val="105"/>
        </w:rPr>
        <w:t>se</w:t>
      </w:r>
      <w:r>
        <w:rPr>
          <w:color w:val="231F20"/>
          <w:spacing w:val="-13"/>
          <w:w w:val="105"/>
        </w:rPr>
        <w:t> </w:t>
      </w:r>
      <w:r>
        <w:rPr>
          <w:color w:val="231F20"/>
          <w:spacing w:val="-3"/>
          <w:w w:val="105"/>
        </w:rPr>
        <w:t>ejecutaron</w:t>
      </w:r>
      <w:r>
        <w:rPr>
          <w:color w:val="231F20"/>
          <w:spacing w:val="-13"/>
          <w:w w:val="105"/>
        </w:rPr>
        <w:t> </w:t>
      </w:r>
      <w:r>
        <w:rPr>
          <w:color w:val="231F20"/>
          <w:spacing w:val="-4"/>
          <w:w w:val="105"/>
        </w:rPr>
        <w:t>acciones</w:t>
      </w:r>
      <w:r>
        <w:rPr>
          <w:color w:val="231F20"/>
          <w:spacing w:val="-13"/>
          <w:w w:val="105"/>
        </w:rPr>
        <w:t> </w:t>
      </w:r>
      <w:r>
        <w:rPr>
          <w:color w:val="231F20"/>
          <w:w w:val="105"/>
        </w:rPr>
        <w:t>se</w:t>
      </w:r>
      <w:r>
        <w:rPr>
          <w:color w:val="231F20"/>
          <w:spacing w:val="-13"/>
          <w:w w:val="105"/>
        </w:rPr>
        <w:t> </w:t>
      </w:r>
      <w:r>
        <w:rPr>
          <w:color w:val="231F20"/>
          <w:spacing w:val="-3"/>
          <w:w w:val="105"/>
        </w:rPr>
        <w:t>encuentra</w:t>
      </w:r>
      <w:r>
        <w:rPr>
          <w:color w:val="231F20"/>
          <w:spacing w:val="-13"/>
          <w:w w:val="105"/>
        </w:rPr>
        <w:t> </w:t>
      </w:r>
      <w:r>
        <w:rPr>
          <w:color w:val="231F20"/>
          <w:w w:val="105"/>
        </w:rPr>
        <w:t>la</w:t>
      </w:r>
      <w:r>
        <w:rPr>
          <w:color w:val="231F20"/>
          <w:spacing w:val="-13"/>
          <w:w w:val="105"/>
        </w:rPr>
        <w:t> </w:t>
      </w:r>
      <w:r>
        <w:rPr>
          <w:color w:val="231F20"/>
          <w:w w:val="105"/>
        </w:rPr>
        <w:t>cultura</w:t>
      </w:r>
      <w:r>
        <w:rPr>
          <w:color w:val="231F20"/>
          <w:spacing w:val="-13"/>
          <w:w w:val="105"/>
        </w:rPr>
        <w:t> </w:t>
      </w:r>
      <w:r>
        <w:rPr>
          <w:color w:val="231F20"/>
          <w:w w:val="105"/>
        </w:rPr>
        <w:t>mediante</w:t>
      </w:r>
      <w:r>
        <w:rPr>
          <w:color w:val="231F20"/>
          <w:spacing w:val="-13"/>
          <w:w w:val="105"/>
        </w:rPr>
        <w:t> </w:t>
      </w:r>
      <w:r>
        <w:rPr>
          <w:color w:val="231F20"/>
          <w:w w:val="105"/>
        </w:rPr>
        <w:t>el</w:t>
      </w:r>
      <w:r>
        <w:rPr>
          <w:color w:val="231F20"/>
          <w:spacing w:val="-13"/>
          <w:w w:val="105"/>
        </w:rPr>
        <w:t> </w:t>
      </w:r>
      <w:r>
        <w:rPr>
          <w:color w:val="231F20"/>
          <w:spacing w:val="-3"/>
          <w:w w:val="105"/>
        </w:rPr>
        <w:t>fo- </w:t>
      </w:r>
      <w:r>
        <w:rPr>
          <w:color w:val="231F20"/>
          <w:spacing w:val="-4"/>
          <w:w w:val="105"/>
        </w:rPr>
        <w:t>mento</w:t>
      </w:r>
      <w:r>
        <w:rPr>
          <w:color w:val="231F20"/>
          <w:spacing w:val="-20"/>
          <w:w w:val="105"/>
        </w:rPr>
        <w:t> </w:t>
      </w:r>
      <w:r>
        <w:rPr>
          <w:color w:val="231F20"/>
          <w:w w:val="105"/>
        </w:rPr>
        <w:t>de</w:t>
      </w:r>
      <w:r>
        <w:rPr>
          <w:color w:val="231F20"/>
          <w:spacing w:val="-20"/>
          <w:w w:val="105"/>
        </w:rPr>
        <w:t> </w:t>
      </w:r>
      <w:r>
        <w:rPr>
          <w:color w:val="231F20"/>
          <w:w w:val="105"/>
        </w:rPr>
        <w:t>festivales</w:t>
      </w:r>
      <w:r>
        <w:rPr>
          <w:color w:val="231F20"/>
          <w:spacing w:val="-20"/>
          <w:w w:val="105"/>
        </w:rPr>
        <w:t> </w:t>
      </w:r>
      <w:r>
        <w:rPr>
          <w:color w:val="231F20"/>
          <w:spacing w:val="-3"/>
          <w:w w:val="105"/>
        </w:rPr>
        <w:t>regionales</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spacing w:val="-3"/>
          <w:w w:val="105"/>
        </w:rPr>
        <w:t>deporte</w:t>
      </w:r>
      <w:r>
        <w:rPr>
          <w:color w:val="231F20"/>
          <w:spacing w:val="-20"/>
          <w:w w:val="105"/>
        </w:rPr>
        <w:t> </w:t>
      </w:r>
      <w:r>
        <w:rPr>
          <w:color w:val="231F20"/>
          <w:w w:val="105"/>
        </w:rPr>
        <w:t>a</w:t>
      </w:r>
      <w:r>
        <w:rPr>
          <w:color w:val="231F20"/>
          <w:spacing w:val="-20"/>
          <w:w w:val="105"/>
        </w:rPr>
        <w:t> </w:t>
      </w:r>
      <w:r>
        <w:rPr>
          <w:color w:val="231F20"/>
          <w:spacing w:val="-3"/>
          <w:w w:val="105"/>
        </w:rPr>
        <w:t>través</w:t>
      </w:r>
      <w:r>
        <w:rPr>
          <w:color w:val="231F20"/>
          <w:spacing w:val="-20"/>
          <w:w w:val="105"/>
        </w:rPr>
        <w:t> </w:t>
      </w:r>
      <w:r>
        <w:rPr>
          <w:color w:val="231F20"/>
          <w:w w:val="105"/>
        </w:rPr>
        <w:t>de</w:t>
      </w:r>
      <w:r>
        <w:rPr>
          <w:color w:val="231F20"/>
          <w:spacing w:val="-20"/>
          <w:w w:val="105"/>
        </w:rPr>
        <w:t> </w:t>
      </w:r>
      <w:r>
        <w:rPr>
          <w:color w:val="231F20"/>
          <w:w w:val="105"/>
        </w:rPr>
        <w:t>mini-olimpiadas</w:t>
      </w:r>
      <w:r>
        <w:rPr>
          <w:color w:val="231F20"/>
          <w:spacing w:val="-20"/>
          <w:w w:val="105"/>
        </w:rPr>
        <w:t> </w:t>
      </w:r>
      <w:r>
        <w:rPr>
          <w:color w:val="231F20"/>
          <w:spacing w:val="-3"/>
          <w:w w:val="105"/>
        </w:rPr>
        <w:t>intermunicipales.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27"/>
        <w:jc w:val="both"/>
      </w:pPr>
      <w:r>
        <w:rPr>
          <w:color w:val="231F20"/>
          <w:w w:val="105"/>
        </w:rPr>
        <w:t>Aunque las acciones realizadas no tuvieron el impacto necesario para combatir y eli- minar los problemas que la comunidad padecía, es destacable que el gobierno priísta se preocupara por atender todas las áreas de seguridad económica (excepto asenta- mientos humanos).</w:t>
      </w:r>
    </w:p>
    <w:p>
      <w:pPr>
        <w:pStyle w:val="BodyText"/>
        <w:spacing w:before="2"/>
        <w:rPr>
          <w:sz w:val="20"/>
        </w:rPr>
      </w:pPr>
    </w:p>
    <w:p>
      <w:pPr>
        <w:pStyle w:val="Heading4"/>
        <w:spacing w:before="1"/>
        <w:rPr>
          <w:i/>
        </w:rPr>
      </w:pPr>
      <w:r>
        <w:rPr>
          <w:i/>
          <w:color w:val="231F20"/>
          <w:w w:val="105"/>
        </w:rPr>
        <w:t>Seguridad pública</w:t>
      </w:r>
    </w:p>
    <w:p>
      <w:pPr>
        <w:pStyle w:val="BodyText"/>
        <w:spacing w:line="285" w:lineRule="auto" w:before="16"/>
        <w:ind w:left="110" w:right="128"/>
        <w:jc w:val="both"/>
      </w:pPr>
      <w:r>
        <w:rPr>
          <w:color w:val="231F20"/>
          <w:w w:val="105"/>
        </w:rPr>
        <w:t>Es</w:t>
      </w:r>
      <w:r>
        <w:rPr>
          <w:color w:val="231F20"/>
          <w:spacing w:val="-23"/>
          <w:w w:val="105"/>
        </w:rPr>
        <w:t> </w:t>
      </w:r>
      <w:r>
        <w:rPr>
          <w:color w:val="231F20"/>
          <w:w w:val="105"/>
        </w:rPr>
        <w:t>sabido</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w w:val="105"/>
        </w:rPr>
        <w:t>operan</w:t>
      </w:r>
      <w:r>
        <w:rPr>
          <w:color w:val="231F20"/>
          <w:spacing w:val="-23"/>
          <w:w w:val="105"/>
        </w:rPr>
        <w:t> </w:t>
      </w:r>
      <w:r>
        <w:rPr>
          <w:color w:val="231F20"/>
          <w:w w:val="105"/>
        </w:rPr>
        <w:t>grupos</w:t>
      </w:r>
      <w:r>
        <w:rPr>
          <w:color w:val="231F20"/>
          <w:spacing w:val="-23"/>
          <w:w w:val="105"/>
        </w:rPr>
        <w:t> </w:t>
      </w:r>
      <w:r>
        <w:rPr>
          <w:color w:val="231F20"/>
          <w:w w:val="105"/>
        </w:rPr>
        <w:t>delictivos</w:t>
      </w:r>
      <w:r>
        <w:rPr>
          <w:color w:val="231F20"/>
          <w:spacing w:val="-23"/>
          <w:w w:val="105"/>
        </w:rPr>
        <w:t> </w:t>
      </w:r>
      <w:r>
        <w:rPr>
          <w:color w:val="231F20"/>
          <w:w w:val="105"/>
        </w:rPr>
        <w:t>dedicados</w:t>
      </w:r>
      <w:r>
        <w:rPr>
          <w:color w:val="231F20"/>
          <w:spacing w:val="-23"/>
          <w:w w:val="105"/>
        </w:rPr>
        <w:t> </w:t>
      </w:r>
      <w:r>
        <w:rPr>
          <w:color w:val="231F20"/>
          <w:spacing w:val="2"/>
          <w:w w:val="105"/>
        </w:rPr>
        <w:t>al</w:t>
      </w:r>
      <w:r>
        <w:rPr>
          <w:color w:val="231F20"/>
          <w:spacing w:val="-23"/>
          <w:w w:val="105"/>
        </w:rPr>
        <w:t> </w:t>
      </w:r>
      <w:r>
        <w:rPr>
          <w:color w:val="231F20"/>
          <w:w w:val="105"/>
        </w:rPr>
        <w:t>narcomenu- deo,</w:t>
      </w:r>
      <w:r>
        <w:rPr>
          <w:color w:val="231F20"/>
          <w:spacing w:val="-19"/>
          <w:w w:val="105"/>
        </w:rPr>
        <w:t> </w:t>
      </w:r>
      <w:r>
        <w:rPr>
          <w:color w:val="231F20"/>
          <w:w w:val="105"/>
        </w:rPr>
        <w:t>secuestro</w:t>
      </w:r>
      <w:r>
        <w:rPr>
          <w:color w:val="231F20"/>
          <w:spacing w:val="-19"/>
          <w:w w:val="105"/>
        </w:rPr>
        <w:t> </w:t>
      </w:r>
      <w:r>
        <w:rPr>
          <w:color w:val="231F20"/>
          <w:w w:val="105"/>
        </w:rPr>
        <w:t>y</w:t>
      </w:r>
      <w:r>
        <w:rPr>
          <w:color w:val="231F20"/>
          <w:spacing w:val="-19"/>
          <w:w w:val="105"/>
        </w:rPr>
        <w:t> </w:t>
      </w:r>
      <w:r>
        <w:rPr>
          <w:color w:val="231F20"/>
          <w:w w:val="105"/>
        </w:rPr>
        <w:t>robo,</w:t>
      </w:r>
      <w:r>
        <w:rPr>
          <w:color w:val="231F20"/>
          <w:spacing w:val="-19"/>
          <w:w w:val="105"/>
        </w:rPr>
        <w:t> </w:t>
      </w:r>
      <w:r>
        <w:rPr>
          <w:color w:val="231F20"/>
          <w:w w:val="105"/>
        </w:rPr>
        <w:t>e</w:t>
      </w:r>
      <w:r>
        <w:rPr>
          <w:color w:val="231F20"/>
          <w:spacing w:val="-19"/>
          <w:w w:val="105"/>
        </w:rPr>
        <w:t> </w:t>
      </w:r>
      <w:r>
        <w:rPr>
          <w:color w:val="231F20"/>
          <w:w w:val="105"/>
        </w:rPr>
        <w:t>Ixtapan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Sal</w:t>
      </w:r>
      <w:r>
        <w:rPr>
          <w:color w:val="231F20"/>
          <w:spacing w:val="-19"/>
          <w:w w:val="105"/>
        </w:rPr>
        <w:t> </w:t>
      </w:r>
      <w:r>
        <w:rPr>
          <w:color w:val="231F20"/>
          <w:w w:val="105"/>
        </w:rPr>
        <w:t>no</w:t>
      </w:r>
      <w:r>
        <w:rPr>
          <w:color w:val="231F20"/>
          <w:spacing w:val="-19"/>
          <w:w w:val="105"/>
        </w:rPr>
        <w:t> </w:t>
      </w:r>
      <w:r>
        <w:rPr>
          <w:color w:val="231F20"/>
          <w:w w:val="105"/>
        </w:rPr>
        <w:t>está</w:t>
      </w:r>
      <w:r>
        <w:rPr>
          <w:color w:val="231F20"/>
          <w:spacing w:val="-19"/>
          <w:w w:val="105"/>
        </w:rPr>
        <w:t> </w:t>
      </w:r>
      <w:r>
        <w:rPr>
          <w:color w:val="231F20"/>
          <w:w w:val="105"/>
        </w:rPr>
        <w:t>exento</w:t>
      </w:r>
      <w:r>
        <w:rPr>
          <w:color w:val="231F20"/>
          <w:spacing w:val="-19"/>
          <w:w w:val="105"/>
        </w:rPr>
        <w:t> </w:t>
      </w:r>
      <w:r>
        <w:rPr>
          <w:color w:val="231F20"/>
          <w:w w:val="105"/>
        </w:rPr>
        <w:t>de</w:t>
      </w:r>
      <w:r>
        <w:rPr>
          <w:color w:val="231F20"/>
          <w:spacing w:val="-19"/>
          <w:w w:val="105"/>
        </w:rPr>
        <w:t> </w:t>
      </w:r>
      <w:r>
        <w:rPr>
          <w:color w:val="231F20"/>
          <w:w w:val="105"/>
        </w:rPr>
        <w:t>ello.</w:t>
      </w:r>
      <w:r>
        <w:rPr>
          <w:color w:val="231F20"/>
          <w:spacing w:val="-19"/>
          <w:w w:val="105"/>
        </w:rPr>
        <w:t> </w:t>
      </w:r>
      <w:r>
        <w:rPr>
          <w:color w:val="231F20"/>
          <w:w w:val="105"/>
        </w:rPr>
        <w:t>A</w:t>
      </w:r>
      <w:r>
        <w:rPr>
          <w:color w:val="231F20"/>
          <w:spacing w:val="-19"/>
          <w:w w:val="105"/>
        </w:rPr>
        <w:t> </w:t>
      </w:r>
      <w:r>
        <w:rPr>
          <w:color w:val="231F20"/>
          <w:w w:val="105"/>
        </w:rPr>
        <w:t>pesar</w:t>
      </w:r>
      <w:r>
        <w:rPr>
          <w:color w:val="231F20"/>
          <w:spacing w:val="-19"/>
          <w:w w:val="105"/>
        </w:rPr>
        <w:t> </w:t>
      </w:r>
      <w:r>
        <w:rPr>
          <w:color w:val="231F20"/>
          <w:w w:val="105"/>
        </w:rPr>
        <w:t>de</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discur- so</w:t>
      </w:r>
      <w:r>
        <w:rPr>
          <w:color w:val="231F20"/>
          <w:spacing w:val="-10"/>
          <w:w w:val="105"/>
        </w:rPr>
        <w:t> </w:t>
      </w:r>
      <w:r>
        <w:rPr>
          <w:color w:val="231F20"/>
          <w:w w:val="105"/>
        </w:rPr>
        <w:t>oficial</w:t>
      </w:r>
      <w:r>
        <w:rPr>
          <w:color w:val="231F20"/>
          <w:spacing w:val="-10"/>
          <w:w w:val="105"/>
        </w:rPr>
        <w:t> </w:t>
      </w:r>
      <w:r>
        <w:rPr>
          <w:color w:val="231F20"/>
          <w:w w:val="105"/>
        </w:rPr>
        <w:t>del</w:t>
      </w:r>
      <w:r>
        <w:rPr>
          <w:color w:val="231F20"/>
          <w:spacing w:val="-10"/>
          <w:w w:val="105"/>
        </w:rPr>
        <w:t> </w:t>
      </w:r>
      <w:r>
        <w:rPr>
          <w:color w:val="231F20"/>
          <w:w w:val="105"/>
        </w:rPr>
        <w:t>combate</w:t>
      </w:r>
      <w:r>
        <w:rPr>
          <w:color w:val="231F20"/>
          <w:spacing w:val="-10"/>
          <w:w w:val="105"/>
        </w:rPr>
        <w:t> </w:t>
      </w:r>
      <w:r>
        <w:rPr>
          <w:color w:val="231F20"/>
          <w:w w:val="105"/>
        </w:rPr>
        <w:t>a</w:t>
      </w:r>
      <w:r>
        <w:rPr>
          <w:color w:val="231F20"/>
          <w:spacing w:val="-10"/>
          <w:w w:val="105"/>
        </w:rPr>
        <w:t> </w:t>
      </w:r>
      <w:r>
        <w:rPr>
          <w:color w:val="231F20"/>
          <w:w w:val="105"/>
        </w:rPr>
        <w:t>estos</w:t>
      </w:r>
      <w:r>
        <w:rPr>
          <w:color w:val="231F20"/>
          <w:spacing w:val="-10"/>
          <w:w w:val="105"/>
        </w:rPr>
        <w:t> </w:t>
      </w:r>
      <w:r>
        <w:rPr>
          <w:color w:val="231F20"/>
          <w:w w:val="105"/>
        </w:rPr>
        <w:t>grupos</w:t>
      </w:r>
      <w:r>
        <w:rPr>
          <w:color w:val="231F20"/>
          <w:spacing w:val="-10"/>
          <w:w w:val="105"/>
        </w:rPr>
        <w:t> </w:t>
      </w:r>
      <w:r>
        <w:rPr>
          <w:color w:val="231F20"/>
          <w:w w:val="105"/>
        </w:rPr>
        <w:t>pertenece</w:t>
      </w:r>
      <w:r>
        <w:rPr>
          <w:color w:val="231F20"/>
          <w:spacing w:val="-10"/>
          <w:w w:val="105"/>
        </w:rPr>
        <w:t> </w:t>
      </w:r>
      <w:r>
        <w:rPr>
          <w:color w:val="231F20"/>
          <w:spacing w:val="2"/>
          <w:w w:val="105"/>
        </w:rPr>
        <w:t>al</w:t>
      </w:r>
      <w:r>
        <w:rPr>
          <w:color w:val="231F20"/>
          <w:spacing w:val="-10"/>
          <w:w w:val="105"/>
        </w:rPr>
        <w:t> </w:t>
      </w:r>
      <w:r>
        <w:rPr>
          <w:color w:val="231F20"/>
          <w:w w:val="105"/>
        </w:rPr>
        <w:t>gobierno</w:t>
      </w:r>
      <w:r>
        <w:rPr>
          <w:color w:val="231F20"/>
          <w:spacing w:val="-10"/>
          <w:w w:val="105"/>
        </w:rPr>
        <w:t> </w:t>
      </w:r>
      <w:r>
        <w:rPr>
          <w:color w:val="231F20"/>
          <w:w w:val="105"/>
        </w:rPr>
        <w:t>panista</w:t>
      </w:r>
      <w:r>
        <w:rPr>
          <w:color w:val="231F20"/>
          <w:spacing w:val="-10"/>
          <w:w w:val="105"/>
        </w:rPr>
        <w:t> </w:t>
      </w:r>
      <w:r>
        <w:rPr>
          <w:color w:val="231F20"/>
          <w:w w:val="105"/>
        </w:rPr>
        <w:t>de</w:t>
      </w:r>
      <w:r>
        <w:rPr>
          <w:color w:val="231F20"/>
          <w:spacing w:val="-10"/>
          <w:w w:val="105"/>
        </w:rPr>
        <w:t> </w:t>
      </w:r>
      <w:r>
        <w:rPr>
          <w:color w:val="231F20"/>
          <w:w w:val="105"/>
        </w:rPr>
        <w:t>Felipe</w:t>
      </w:r>
      <w:r>
        <w:rPr>
          <w:color w:val="231F20"/>
          <w:spacing w:val="-10"/>
          <w:w w:val="105"/>
        </w:rPr>
        <w:t> </w:t>
      </w:r>
      <w:r>
        <w:rPr>
          <w:color w:val="231F20"/>
          <w:w w:val="105"/>
        </w:rPr>
        <w:t>Calderón, en</w:t>
      </w:r>
      <w:r>
        <w:rPr>
          <w:color w:val="231F20"/>
          <w:spacing w:val="-15"/>
          <w:w w:val="105"/>
        </w:rPr>
        <w:t> </w:t>
      </w:r>
      <w:r>
        <w:rPr>
          <w:color w:val="231F20"/>
          <w:w w:val="105"/>
        </w:rPr>
        <w:t>el</w:t>
      </w:r>
      <w:r>
        <w:rPr>
          <w:color w:val="231F20"/>
          <w:spacing w:val="-15"/>
          <w:w w:val="105"/>
        </w:rPr>
        <w:t> </w:t>
      </w:r>
      <w:r>
        <w:rPr>
          <w:color w:val="231F20"/>
          <w:w w:val="105"/>
        </w:rPr>
        <w:t>Plan</w:t>
      </w:r>
      <w:r>
        <w:rPr>
          <w:color w:val="231F20"/>
          <w:spacing w:val="-15"/>
          <w:w w:val="105"/>
        </w:rPr>
        <w:t> </w:t>
      </w:r>
      <w:r>
        <w:rPr>
          <w:color w:val="231F20"/>
          <w:w w:val="105"/>
        </w:rPr>
        <w:t>Municipal</w:t>
      </w:r>
      <w:r>
        <w:rPr>
          <w:color w:val="231F20"/>
          <w:spacing w:val="-15"/>
          <w:w w:val="105"/>
        </w:rPr>
        <w:t> </w:t>
      </w:r>
      <w:r>
        <w:rPr>
          <w:color w:val="231F20"/>
          <w:w w:val="105"/>
        </w:rPr>
        <w:t>también</w:t>
      </w:r>
      <w:r>
        <w:rPr>
          <w:color w:val="231F20"/>
          <w:spacing w:val="-15"/>
          <w:w w:val="105"/>
        </w:rPr>
        <w:t> </w:t>
      </w:r>
      <w:r>
        <w:rPr>
          <w:color w:val="231F20"/>
          <w:w w:val="105"/>
        </w:rPr>
        <w:t>fue</w:t>
      </w:r>
      <w:r>
        <w:rPr>
          <w:color w:val="231F20"/>
          <w:spacing w:val="-15"/>
          <w:w w:val="105"/>
        </w:rPr>
        <w:t> </w:t>
      </w:r>
      <w:r>
        <w:rPr>
          <w:color w:val="231F20"/>
          <w:w w:val="105"/>
        </w:rPr>
        <w:t>contemplado</w:t>
      </w:r>
      <w:r>
        <w:rPr>
          <w:color w:val="231F20"/>
          <w:spacing w:val="-15"/>
          <w:w w:val="105"/>
        </w:rPr>
        <w:t> </w:t>
      </w:r>
      <w:r>
        <w:rPr>
          <w:color w:val="231F20"/>
          <w:w w:val="105"/>
        </w:rPr>
        <w:t>este</w:t>
      </w:r>
      <w:r>
        <w:rPr>
          <w:color w:val="231F20"/>
          <w:spacing w:val="-15"/>
          <w:w w:val="105"/>
        </w:rPr>
        <w:t> </w:t>
      </w:r>
      <w:r>
        <w:rPr>
          <w:color w:val="231F20"/>
          <w:w w:val="105"/>
        </w:rPr>
        <w:t>rubro,</w:t>
      </w:r>
      <w:r>
        <w:rPr>
          <w:color w:val="231F20"/>
          <w:spacing w:val="-15"/>
          <w:w w:val="105"/>
        </w:rPr>
        <w:t> </w:t>
      </w:r>
      <w:r>
        <w:rPr>
          <w:color w:val="231F20"/>
          <w:w w:val="105"/>
        </w:rPr>
        <w:t>percatándose</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personal y</w:t>
      </w:r>
      <w:r>
        <w:rPr>
          <w:color w:val="231F20"/>
          <w:spacing w:val="-12"/>
          <w:w w:val="105"/>
        </w:rPr>
        <w:t> </w:t>
      </w:r>
      <w:r>
        <w:rPr>
          <w:color w:val="231F20"/>
          <w:w w:val="105"/>
        </w:rPr>
        <w:t>equipo</w:t>
      </w:r>
      <w:r>
        <w:rPr>
          <w:color w:val="231F20"/>
          <w:spacing w:val="-12"/>
          <w:w w:val="105"/>
        </w:rPr>
        <w:t> </w:t>
      </w:r>
      <w:r>
        <w:rPr>
          <w:color w:val="231F20"/>
          <w:w w:val="105"/>
        </w:rPr>
        <w:t>no</w:t>
      </w:r>
      <w:r>
        <w:rPr>
          <w:color w:val="231F20"/>
          <w:spacing w:val="-12"/>
          <w:w w:val="105"/>
        </w:rPr>
        <w:t> </w:t>
      </w:r>
      <w:r>
        <w:rPr>
          <w:color w:val="231F20"/>
          <w:w w:val="105"/>
        </w:rPr>
        <w:t>eran</w:t>
      </w:r>
      <w:r>
        <w:rPr>
          <w:color w:val="231F20"/>
          <w:spacing w:val="-12"/>
          <w:w w:val="105"/>
        </w:rPr>
        <w:t> </w:t>
      </w:r>
      <w:r>
        <w:rPr>
          <w:color w:val="231F20"/>
          <w:w w:val="105"/>
        </w:rPr>
        <w:t>suficientes</w:t>
      </w:r>
      <w:r>
        <w:rPr>
          <w:color w:val="231F20"/>
          <w:spacing w:val="-12"/>
          <w:w w:val="105"/>
        </w:rPr>
        <w:t> </w:t>
      </w:r>
      <w:r>
        <w:rPr>
          <w:color w:val="231F20"/>
          <w:w w:val="105"/>
        </w:rPr>
        <w:t>para</w:t>
      </w:r>
      <w:r>
        <w:rPr>
          <w:color w:val="231F20"/>
          <w:spacing w:val="-12"/>
          <w:w w:val="105"/>
        </w:rPr>
        <w:t> </w:t>
      </w:r>
      <w:r>
        <w:rPr>
          <w:color w:val="231F20"/>
          <w:w w:val="105"/>
        </w:rPr>
        <w:t>prevenir</w:t>
      </w:r>
      <w:r>
        <w:rPr>
          <w:color w:val="231F20"/>
          <w:spacing w:val="-12"/>
          <w:w w:val="105"/>
        </w:rPr>
        <w:t> </w:t>
      </w:r>
      <w:r>
        <w:rPr>
          <w:color w:val="231F20"/>
          <w:w w:val="105"/>
        </w:rPr>
        <w:t>y</w:t>
      </w:r>
      <w:r>
        <w:rPr>
          <w:color w:val="231F20"/>
          <w:spacing w:val="-12"/>
          <w:w w:val="105"/>
        </w:rPr>
        <w:t> </w:t>
      </w:r>
      <w:r>
        <w:rPr>
          <w:color w:val="231F20"/>
          <w:w w:val="105"/>
        </w:rPr>
        <w:t>erradicar</w:t>
      </w:r>
      <w:r>
        <w:rPr>
          <w:color w:val="231F20"/>
          <w:spacing w:val="-12"/>
          <w:w w:val="105"/>
        </w:rPr>
        <w:t> </w:t>
      </w:r>
      <w:r>
        <w:rPr>
          <w:color w:val="231F20"/>
          <w:w w:val="105"/>
        </w:rPr>
        <w:t>la</w:t>
      </w:r>
      <w:r>
        <w:rPr>
          <w:color w:val="231F20"/>
          <w:spacing w:val="-12"/>
          <w:w w:val="105"/>
        </w:rPr>
        <w:t> </w:t>
      </w:r>
      <w:r>
        <w:rPr>
          <w:color w:val="231F20"/>
          <w:w w:val="105"/>
        </w:rPr>
        <w:t>delincuencia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municipio.</w:t>
      </w:r>
    </w:p>
    <w:p>
      <w:pPr>
        <w:pStyle w:val="BodyText"/>
        <w:spacing w:before="1"/>
        <w:rPr>
          <w:sz w:val="26"/>
        </w:rPr>
      </w:pPr>
    </w:p>
    <w:p>
      <w:pPr>
        <w:pStyle w:val="BodyText"/>
        <w:spacing w:line="285" w:lineRule="auto"/>
        <w:ind w:left="110" w:right="128"/>
        <w:jc w:val="both"/>
      </w:pPr>
      <w:r>
        <w:rPr>
          <w:color w:val="231F20"/>
          <w:w w:val="105"/>
        </w:rPr>
        <w:t>La estrategia fue gestionar ante la instancia estatal recursos para capacitar y contratar más</w:t>
      </w:r>
      <w:r>
        <w:rPr>
          <w:color w:val="231F20"/>
          <w:spacing w:val="-18"/>
          <w:w w:val="105"/>
        </w:rPr>
        <w:t> </w:t>
      </w:r>
      <w:r>
        <w:rPr>
          <w:color w:val="231F20"/>
          <w:w w:val="105"/>
        </w:rPr>
        <w:t>personal;</w:t>
      </w:r>
      <w:r>
        <w:rPr>
          <w:color w:val="231F20"/>
          <w:spacing w:val="-18"/>
          <w:w w:val="105"/>
        </w:rPr>
        <w:t> </w:t>
      </w:r>
      <w:r>
        <w:rPr>
          <w:color w:val="231F20"/>
          <w:w w:val="105"/>
        </w:rPr>
        <w:t>igualmente,</w:t>
      </w:r>
      <w:r>
        <w:rPr>
          <w:color w:val="231F20"/>
          <w:spacing w:val="-18"/>
          <w:w w:val="105"/>
        </w:rPr>
        <w:t> </w:t>
      </w:r>
      <w:r>
        <w:rPr>
          <w:color w:val="231F20"/>
          <w:w w:val="105"/>
        </w:rPr>
        <w:t>se</w:t>
      </w:r>
      <w:r>
        <w:rPr>
          <w:color w:val="231F20"/>
          <w:spacing w:val="-18"/>
          <w:w w:val="105"/>
        </w:rPr>
        <w:t> </w:t>
      </w:r>
      <w:r>
        <w:rPr>
          <w:color w:val="231F20"/>
          <w:w w:val="105"/>
        </w:rPr>
        <w:t>propuso</w:t>
      </w:r>
      <w:r>
        <w:rPr>
          <w:color w:val="231F20"/>
          <w:spacing w:val="-18"/>
          <w:w w:val="105"/>
        </w:rPr>
        <w:t> </w:t>
      </w:r>
      <w:r>
        <w:rPr>
          <w:color w:val="231F20"/>
          <w:w w:val="105"/>
        </w:rPr>
        <w:t>atraer</w:t>
      </w:r>
      <w:r>
        <w:rPr>
          <w:color w:val="231F20"/>
          <w:spacing w:val="-18"/>
          <w:w w:val="105"/>
        </w:rPr>
        <w:t> </w:t>
      </w:r>
      <w:r>
        <w:rPr>
          <w:color w:val="231F20"/>
          <w:w w:val="105"/>
        </w:rPr>
        <w:t>recursos</w:t>
      </w:r>
      <w:r>
        <w:rPr>
          <w:color w:val="231F20"/>
          <w:spacing w:val="-18"/>
          <w:w w:val="105"/>
        </w:rPr>
        <w:t> </w:t>
      </w:r>
      <w:r>
        <w:rPr>
          <w:color w:val="231F20"/>
          <w:w w:val="105"/>
        </w:rPr>
        <w:t>estatales</w:t>
      </w:r>
      <w:r>
        <w:rPr>
          <w:color w:val="231F20"/>
          <w:spacing w:val="-18"/>
          <w:w w:val="105"/>
        </w:rPr>
        <w:t> </w:t>
      </w:r>
      <w:r>
        <w:rPr>
          <w:color w:val="231F20"/>
          <w:w w:val="105"/>
        </w:rPr>
        <w:t>y</w:t>
      </w:r>
      <w:r>
        <w:rPr>
          <w:color w:val="231F20"/>
          <w:spacing w:val="-18"/>
          <w:w w:val="105"/>
        </w:rPr>
        <w:t> </w:t>
      </w:r>
      <w:r>
        <w:rPr>
          <w:color w:val="231F20"/>
          <w:w w:val="105"/>
        </w:rPr>
        <w:t>federales</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adqui- sición</w:t>
      </w:r>
      <w:r>
        <w:rPr>
          <w:color w:val="231F20"/>
          <w:spacing w:val="-18"/>
          <w:w w:val="105"/>
        </w:rPr>
        <w:t> </w:t>
      </w:r>
      <w:r>
        <w:rPr>
          <w:color w:val="231F20"/>
          <w:w w:val="105"/>
        </w:rPr>
        <w:t>de</w:t>
      </w:r>
      <w:r>
        <w:rPr>
          <w:color w:val="231F20"/>
          <w:spacing w:val="-18"/>
          <w:w w:val="105"/>
        </w:rPr>
        <w:t> </w:t>
      </w:r>
      <w:r>
        <w:rPr>
          <w:color w:val="231F20"/>
          <w:w w:val="105"/>
        </w:rPr>
        <w:t>unidades</w:t>
      </w:r>
      <w:r>
        <w:rPr>
          <w:color w:val="231F20"/>
          <w:spacing w:val="-18"/>
          <w:w w:val="105"/>
        </w:rPr>
        <w:t> </w:t>
      </w:r>
      <w:r>
        <w:rPr>
          <w:color w:val="231F20"/>
          <w:w w:val="105"/>
        </w:rPr>
        <w:t>móviles</w:t>
      </w:r>
      <w:r>
        <w:rPr>
          <w:color w:val="231F20"/>
          <w:spacing w:val="-18"/>
          <w:w w:val="105"/>
        </w:rPr>
        <w:t> </w:t>
      </w:r>
      <w:r>
        <w:rPr>
          <w:color w:val="231F20"/>
          <w:w w:val="105"/>
        </w:rPr>
        <w:t>y</w:t>
      </w:r>
      <w:r>
        <w:rPr>
          <w:color w:val="231F20"/>
          <w:spacing w:val="-18"/>
          <w:w w:val="105"/>
        </w:rPr>
        <w:t> </w:t>
      </w:r>
      <w:r>
        <w:rPr>
          <w:color w:val="231F20"/>
          <w:w w:val="105"/>
        </w:rPr>
        <w:t>armas.</w:t>
      </w:r>
    </w:p>
    <w:p>
      <w:pPr>
        <w:pStyle w:val="BodyText"/>
        <w:spacing w:before="1"/>
        <w:rPr>
          <w:sz w:val="26"/>
        </w:rPr>
      </w:pPr>
    </w:p>
    <w:p>
      <w:pPr>
        <w:pStyle w:val="Heading5"/>
        <w:spacing w:line="285" w:lineRule="auto"/>
        <w:ind w:left="1363" w:right="809" w:hanging="569"/>
      </w:pPr>
      <w:r>
        <w:rPr>
          <w:color w:val="231F20"/>
          <w:w w:val="105"/>
        </w:rPr>
        <w:t>Cuadro</w:t>
      </w:r>
      <w:r>
        <w:rPr>
          <w:color w:val="231F20"/>
          <w:spacing w:val="-24"/>
          <w:w w:val="105"/>
        </w:rPr>
        <w:t> </w:t>
      </w:r>
      <w:r>
        <w:rPr>
          <w:color w:val="231F20"/>
          <w:w w:val="105"/>
        </w:rPr>
        <w:t>13.</w:t>
      </w:r>
      <w:r>
        <w:rPr>
          <w:color w:val="231F20"/>
          <w:spacing w:val="-24"/>
          <w:w w:val="105"/>
        </w:rPr>
        <w:t> </w:t>
      </w:r>
      <w:r>
        <w:rPr>
          <w:color w:val="231F20"/>
          <w:w w:val="105"/>
        </w:rPr>
        <w:t>Seguridad</w:t>
      </w:r>
      <w:r>
        <w:rPr>
          <w:color w:val="231F20"/>
          <w:spacing w:val="-24"/>
          <w:w w:val="105"/>
        </w:rPr>
        <w:t> </w:t>
      </w:r>
      <w:r>
        <w:rPr>
          <w:color w:val="231F20"/>
          <w:w w:val="105"/>
        </w:rPr>
        <w:t>Pública:</w:t>
      </w:r>
      <w:r>
        <w:rPr>
          <w:color w:val="231F20"/>
          <w:spacing w:val="-24"/>
          <w:w w:val="105"/>
        </w:rPr>
        <w:t> </w:t>
      </w:r>
      <w:r>
        <w:rPr>
          <w:color w:val="231F20"/>
          <w:w w:val="105"/>
        </w:rPr>
        <w:t>Deficiencias,</w:t>
      </w:r>
      <w:r>
        <w:rPr>
          <w:color w:val="231F20"/>
          <w:spacing w:val="-24"/>
          <w:w w:val="105"/>
        </w:rPr>
        <w:t> </w:t>
      </w:r>
      <w:r>
        <w:rPr>
          <w:color w:val="231F20"/>
          <w:w w:val="105"/>
        </w:rPr>
        <w:t>estrategias</w:t>
      </w:r>
      <w:r>
        <w:rPr>
          <w:color w:val="231F20"/>
          <w:spacing w:val="-24"/>
          <w:w w:val="105"/>
        </w:rPr>
        <w:t> </w:t>
      </w:r>
      <w:r>
        <w:rPr>
          <w:color w:val="231F20"/>
          <w:w w:val="105"/>
        </w:rPr>
        <w:t>y</w:t>
      </w:r>
      <w:r>
        <w:rPr>
          <w:color w:val="231F20"/>
          <w:spacing w:val="-24"/>
          <w:w w:val="105"/>
        </w:rPr>
        <w:t> </w:t>
      </w:r>
      <w:r>
        <w:rPr>
          <w:color w:val="231F20"/>
          <w:w w:val="105"/>
        </w:rPr>
        <w:t>resultados del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w w:val="105"/>
        </w:rPr>
        <w:t>Ixtapan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w:t>
      </w:r>
      <w:r>
        <w:rPr>
          <w:color w:val="231F20"/>
          <w:spacing w:val="-12"/>
          <w:w w:val="105"/>
        </w:rPr>
        <w:t> </w:t>
      </w:r>
      <w:r>
        <w:rPr>
          <w:color w:val="231F20"/>
          <w:w w:val="105"/>
        </w:rPr>
        <w:t>(2006-2008)</w:t>
      </w:r>
    </w:p>
    <w:p>
      <w:pPr>
        <w:pStyle w:val="BodyText"/>
        <w:spacing w:before="3"/>
        <w:rPr>
          <w:b/>
          <w:sz w:val="1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24"/>
        <w:gridCol w:w="986"/>
        <w:gridCol w:w="1645"/>
        <w:gridCol w:w="2593"/>
        <w:gridCol w:w="2379"/>
      </w:tblGrid>
      <w:tr>
        <w:trPr>
          <w:trHeight w:val="395" w:hRule="exact"/>
        </w:trPr>
        <w:tc>
          <w:tcPr>
            <w:tcW w:w="324" w:type="dxa"/>
            <w:shd w:val="clear" w:color="auto" w:fill="E6E6E6"/>
            <w:textDirection w:val="btLr"/>
          </w:tcPr>
          <w:p>
            <w:pPr>
              <w:pStyle w:val="TableParagraph"/>
              <w:spacing w:before="74"/>
              <w:ind w:left="91"/>
              <w:rPr>
                <w:sz w:val="14"/>
              </w:rPr>
            </w:pPr>
            <w:r>
              <w:rPr>
                <w:color w:val="231F20"/>
                <w:spacing w:val="1"/>
                <w:w w:val="77"/>
                <w:sz w:val="14"/>
              </w:rPr>
              <w:t>P</w:t>
            </w:r>
            <w:r>
              <w:rPr>
                <w:color w:val="231F20"/>
                <w:spacing w:val="2"/>
                <w:w w:val="80"/>
                <w:sz w:val="14"/>
              </w:rPr>
              <w:t>i</w:t>
            </w:r>
            <w:r>
              <w:rPr>
                <w:color w:val="231F20"/>
                <w:spacing w:val="1"/>
                <w:w w:val="83"/>
                <w:sz w:val="14"/>
              </w:rPr>
              <w:t>l</w:t>
            </w:r>
            <w:r>
              <w:rPr>
                <w:color w:val="231F20"/>
                <w:spacing w:val="1"/>
                <w:w w:val="75"/>
                <w:sz w:val="14"/>
              </w:rPr>
              <w:t>a</w:t>
            </w:r>
            <w:r>
              <w:rPr>
                <w:color w:val="231F20"/>
                <w:w w:val="71"/>
                <w:sz w:val="14"/>
              </w:rPr>
              <w:t>r</w:t>
            </w:r>
          </w:p>
        </w:tc>
        <w:tc>
          <w:tcPr>
            <w:tcW w:w="986" w:type="dxa"/>
            <w:shd w:val="clear" w:color="auto" w:fill="E6E6E6"/>
          </w:tcPr>
          <w:p>
            <w:pPr>
              <w:pStyle w:val="TableParagraph"/>
              <w:spacing w:line="143" w:lineRule="exact"/>
              <w:ind w:left="210" w:right="100"/>
              <w:rPr>
                <w:b/>
                <w:sz w:val="14"/>
              </w:rPr>
            </w:pPr>
            <w:r>
              <w:rPr>
                <w:b/>
                <w:color w:val="231F20"/>
                <w:w w:val="95"/>
                <w:sz w:val="14"/>
              </w:rPr>
              <w:t>Deficiencia</w:t>
            </w:r>
          </w:p>
        </w:tc>
        <w:tc>
          <w:tcPr>
            <w:tcW w:w="1645" w:type="dxa"/>
            <w:shd w:val="clear" w:color="auto" w:fill="E6E6E6"/>
          </w:tcPr>
          <w:p>
            <w:pPr>
              <w:pStyle w:val="TableParagraph"/>
              <w:spacing w:line="196" w:lineRule="auto"/>
              <w:ind w:left="124" w:right="122" w:hanging="1"/>
              <w:jc w:val="center"/>
              <w:rPr>
                <w:b/>
                <w:sz w:val="14"/>
              </w:rPr>
            </w:pPr>
            <w:r>
              <w:rPr>
                <w:b/>
                <w:color w:val="231F20"/>
                <w:w w:val="90"/>
                <w:sz w:val="14"/>
              </w:rPr>
              <w:t>Diagnóstico</w:t>
            </w:r>
            <w:r>
              <w:rPr>
                <w:b/>
                <w:color w:val="231F20"/>
                <w:spacing w:val="-16"/>
                <w:w w:val="90"/>
                <w:sz w:val="14"/>
              </w:rPr>
              <w:t> </w:t>
            </w:r>
            <w:r>
              <w:rPr>
                <w:b/>
                <w:color w:val="231F20"/>
                <w:w w:val="90"/>
                <w:sz w:val="14"/>
              </w:rPr>
              <w:t>de</w:t>
            </w:r>
            <w:r>
              <w:rPr>
                <w:b/>
                <w:color w:val="231F20"/>
                <w:spacing w:val="-16"/>
                <w:w w:val="90"/>
                <w:sz w:val="14"/>
              </w:rPr>
              <w:t> </w:t>
            </w:r>
            <w:r>
              <w:rPr>
                <w:b/>
                <w:color w:val="231F20"/>
                <w:w w:val="90"/>
                <w:sz w:val="14"/>
              </w:rPr>
              <w:t>acuerdo</w:t>
            </w:r>
            <w:r>
              <w:rPr>
                <w:b/>
                <w:color w:val="231F20"/>
                <w:spacing w:val="-16"/>
                <w:w w:val="90"/>
                <w:sz w:val="14"/>
              </w:rPr>
              <w:t> </w:t>
            </w:r>
            <w:r>
              <w:rPr>
                <w:b/>
                <w:color w:val="231F20"/>
                <w:w w:val="90"/>
                <w:sz w:val="14"/>
              </w:rPr>
              <w:t>a </w:t>
            </w:r>
            <w:r>
              <w:rPr>
                <w:b/>
                <w:color w:val="231F20"/>
                <w:w w:val="85"/>
                <w:sz w:val="14"/>
              </w:rPr>
              <w:t>PDM</w:t>
            </w:r>
            <w:r>
              <w:rPr>
                <w:b/>
                <w:color w:val="231F20"/>
                <w:spacing w:val="-15"/>
                <w:w w:val="85"/>
                <w:sz w:val="14"/>
              </w:rPr>
              <w:t> </w:t>
            </w:r>
            <w:r>
              <w:rPr>
                <w:b/>
                <w:color w:val="231F20"/>
                <w:w w:val="85"/>
                <w:sz w:val="14"/>
              </w:rPr>
              <w:t>e</w:t>
            </w:r>
            <w:r>
              <w:rPr>
                <w:b/>
                <w:color w:val="231F20"/>
                <w:spacing w:val="-15"/>
                <w:w w:val="85"/>
                <w:sz w:val="14"/>
              </w:rPr>
              <w:t> </w:t>
            </w:r>
            <w:r>
              <w:rPr>
                <w:b/>
                <w:color w:val="231F20"/>
                <w:spacing w:val="2"/>
                <w:w w:val="85"/>
                <w:sz w:val="14"/>
              </w:rPr>
              <w:t>indicadores</w:t>
            </w:r>
            <w:r>
              <w:rPr>
                <w:b/>
                <w:color w:val="231F20"/>
                <w:spacing w:val="-15"/>
                <w:w w:val="85"/>
                <w:sz w:val="14"/>
              </w:rPr>
              <w:t> </w:t>
            </w:r>
            <w:r>
              <w:rPr>
                <w:b/>
                <w:color w:val="231F20"/>
                <w:w w:val="85"/>
                <w:sz w:val="14"/>
              </w:rPr>
              <w:t>de</w:t>
            </w:r>
            <w:r>
              <w:rPr>
                <w:b/>
                <w:color w:val="231F20"/>
                <w:spacing w:val="-15"/>
                <w:w w:val="85"/>
                <w:sz w:val="14"/>
              </w:rPr>
              <w:t> </w:t>
            </w:r>
            <w:r>
              <w:rPr>
                <w:b/>
                <w:color w:val="231F20"/>
                <w:w w:val="85"/>
                <w:sz w:val="14"/>
              </w:rPr>
              <w:t>INEGI, </w:t>
            </w:r>
            <w:r>
              <w:rPr>
                <w:b/>
                <w:color w:val="231F20"/>
                <w:w w:val="80"/>
                <w:sz w:val="14"/>
              </w:rPr>
              <w:t>CONAPO</w:t>
            </w:r>
            <w:r>
              <w:rPr>
                <w:b/>
                <w:color w:val="231F20"/>
                <w:spacing w:val="-11"/>
                <w:w w:val="80"/>
                <w:sz w:val="14"/>
              </w:rPr>
              <w:t> </w:t>
            </w:r>
            <w:r>
              <w:rPr>
                <w:b/>
                <w:color w:val="231F20"/>
                <w:w w:val="80"/>
                <w:sz w:val="14"/>
              </w:rPr>
              <w:t>y</w:t>
            </w:r>
            <w:r>
              <w:rPr>
                <w:b/>
                <w:color w:val="231F20"/>
                <w:spacing w:val="-11"/>
                <w:w w:val="80"/>
                <w:sz w:val="14"/>
              </w:rPr>
              <w:t> </w:t>
            </w:r>
            <w:r>
              <w:rPr>
                <w:b/>
                <w:color w:val="231F20"/>
                <w:w w:val="80"/>
                <w:sz w:val="14"/>
              </w:rPr>
              <w:t>PNUD.</w:t>
            </w:r>
          </w:p>
        </w:tc>
        <w:tc>
          <w:tcPr>
            <w:tcW w:w="2593" w:type="dxa"/>
            <w:shd w:val="clear" w:color="auto" w:fill="E6E6E6"/>
          </w:tcPr>
          <w:p>
            <w:pPr>
              <w:pStyle w:val="TableParagraph"/>
              <w:spacing w:line="127" w:lineRule="exact"/>
              <w:ind w:left="112" w:right="112"/>
              <w:jc w:val="center"/>
              <w:rPr>
                <w:b/>
                <w:sz w:val="14"/>
              </w:rPr>
            </w:pPr>
            <w:r>
              <w:rPr>
                <w:b/>
                <w:color w:val="231F20"/>
                <w:w w:val="95"/>
                <w:sz w:val="14"/>
              </w:rPr>
              <w:t>Estrategia</w:t>
            </w:r>
          </w:p>
          <w:p>
            <w:pPr>
              <w:pStyle w:val="TableParagraph"/>
              <w:spacing w:line="155" w:lineRule="exact"/>
              <w:ind w:left="112" w:right="112"/>
              <w:jc w:val="center"/>
              <w:rPr>
                <w:b/>
                <w:sz w:val="14"/>
              </w:rPr>
            </w:pPr>
            <w:r>
              <w:rPr>
                <w:b/>
                <w:color w:val="231F20"/>
                <w:w w:val="85"/>
                <w:sz w:val="14"/>
              </w:rPr>
              <w:t>Plan de Desarrollo Municipal (2006-2009)</w:t>
            </w:r>
          </w:p>
        </w:tc>
        <w:tc>
          <w:tcPr>
            <w:tcW w:w="2379" w:type="dxa"/>
            <w:shd w:val="clear" w:color="auto" w:fill="E6E6E6"/>
          </w:tcPr>
          <w:p>
            <w:pPr>
              <w:pStyle w:val="TableParagraph"/>
              <w:spacing w:line="127" w:lineRule="exact"/>
              <w:ind w:left="247" w:right="247"/>
              <w:jc w:val="center"/>
              <w:rPr>
                <w:b/>
                <w:sz w:val="14"/>
              </w:rPr>
            </w:pPr>
            <w:r>
              <w:rPr>
                <w:b/>
                <w:color w:val="231F20"/>
                <w:w w:val="95"/>
                <w:sz w:val="14"/>
              </w:rPr>
              <w:t>Resultado:</w:t>
            </w:r>
          </w:p>
          <w:p>
            <w:pPr>
              <w:pStyle w:val="TableParagraph"/>
              <w:spacing w:line="155" w:lineRule="exact"/>
              <w:ind w:left="247" w:right="247"/>
              <w:jc w:val="center"/>
              <w:rPr>
                <w:b/>
                <w:sz w:val="14"/>
              </w:rPr>
            </w:pPr>
            <w:r>
              <w:rPr>
                <w:b/>
                <w:color w:val="231F20"/>
                <w:w w:val="85"/>
                <w:sz w:val="14"/>
              </w:rPr>
              <w:t>Segundo Informe de Gobierno (2008)</w:t>
            </w:r>
          </w:p>
        </w:tc>
      </w:tr>
      <w:tr>
        <w:trPr>
          <w:trHeight w:val="315" w:hRule="exact"/>
        </w:trPr>
        <w:tc>
          <w:tcPr>
            <w:tcW w:w="324" w:type="dxa"/>
            <w:vMerge w:val="restart"/>
            <w:textDirection w:val="btLr"/>
          </w:tcPr>
          <w:p>
            <w:pPr>
              <w:pStyle w:val="TableParagraph"/>
              <w:spacing w:before="74"/>
              <w:ind w:left="551"/>
              <w:rPr>
                <w:sz w:val="14"/>
              </w:rPr>
            </w:pPr>
            <w:r>
              <w:rPr>
                <w:color w:val="231F20"/>
                <w:spacing w:val="2"/>
                <w:w w:val="78"/>
                <w:sz w:val="14"/>
              </w:rPr>
              <w:t>S</w:t>
            </w:r>
            <w:r>
              <w:rPr>
                <w:color w:val="231F20"/>
                <w:spacing w:val="2"/>
                <w:w w:val="72"/>
                <w:sz w:val="14"/>
              </w:rPr>
              <w:t>e</w:t>
            </w:r>
            <w:r>
              <w:rPr>
                <w:color w:val="231F20"/>
                <w:spacing w:val="2"/>
                <w:w w:val="84"/>
                <w:sz w:val="14"/>
              </w:rPr>
              <w:t>g</w:t>
            </w:r>
            <w:r>
              <w:rPr>
                <w:color w:val="231F20"/>
                <w:spacing w:val="2"/>
                <w:w w:val="73"/>
                <w:sz w:val="14"/>
              </w:rPr>
              <w:t>ur</w:t>
            </w:r>
            <w:r>
              <w:rPr>
                <w:color w:val="231F20"/>
                <w:spacing w:val="2"/>
                <w:w w:val="80"/>
                <w:sz w:val="14"/>
              </w:rPr>
              <w:t>i</w:t>
            </w:r>
            <w:r>
              <w:rPr>
                <w:color w:val="231F20"/>
                <w:spacing w:val="1"/>
                <w:w w:val="75"/>
                <w:sz w:val="14"/>
              </w:rPr>
              <w:t>d</w:t>
            </w:r>
            <w:r>
              <w:rPr>
                <w:color w:val="231F20"/>
                <w:spacing w:val="2"/>
                <w:w w:val="75"/>
                <w:sz w:val="14"/>
              </w:rPr>
              <w:t>a</w:t>
            </w:r>
            <w:r>
              <w:rPr>
                <w:color w:val="231F20"/>
                <w:w w:val="75"/>
                <w:sz w:val="14"/>
              </w:rPr>
              <w:t>d</w:t>
            </w:r>
            <w:r>
              <w:rPr>
                <w:color w:val="231F20"/>
                <w:spacing w:val="-10"/>
                <w:sz w:val="14"/>
              </w:rPr>
              <w:t> </w:t>
            </w:r>
            <w:r>
              <w:rPr>
                <w:color w:val="231F20"/>
                <w:spacing w:val="1"/>
                <w:w w:val="77"/>
                <w:sz w:val="14"/>
              </w:rPr>
              <w:t>P</w:t>
            </w:r>
            <w:r>
              <w:rPr>
                <w:color w:val="231F20"/>
                <w:spacing w:val="2"/>
                <w:w w:val="75"/>
                <w:sz w:val="14"/>
              </w:rPr>
              <w:t>úb</w:t>
            </w:r>
            <w:r>
              <w:rPr>
                <w:color w:val="231F20"/>
                <w:spacing w:val="1"/>
                <w:w w:val="83"/>
                <w:sz w:val="14"/>
              </w:rPr>
              <w:t>l</w:t>
            </w:r>
            <w:r>
              <w:rPr>
                <w:color w:val="231F20"/>
                <w:spacing w:val="1"/>
                <w:w w:val="80"/>
                <w:sz w:val="14"/>
              </w:rPr>
              <w:t>i</w:t>
            </w:r>
            <w:r>
              <w:rPr>
                <w:color w:val="231F20"/>
                <w:spacing w:val="3"/>
                <w:w w:val="71"/>
                <w:sz w:val="14"/>
              </w:rPr>
              <w:t>c</w:t>
            </w:r>
            <w:r>
              <w:rPr>
                <w:color w:val="231F20"/>
                <w:w w:val="75"/>
                <w:sz w:val="14"/>
              </w:rPr>
              <w:t>a</w:t>
            </w:r>
          </w:p>
        </w:tc>
        <w:tc>
          <w:tcPr>
            <w:tcW w:w="986" w:type="dxa"/>
            <w:vMerge w:val="restart"/>
          </w:tcPr>
          <w:p>
            <w:pPr>
              <w:pStyle w:val="TableParagraph"/>
              <w:spacing w:line="196" w:lineRule="auto"/>
              <w:ind w:left="218" w:right="100" w:hanging="105"/>
              <w:rPr>
                <w:sz w:val="14"/>
              </w:rPr>
            </w:pPr>
            <w:r>
              <w:rPr>
                <w:color w:val="231F20"/>
                <w:w w:val="80"/>
                <w:sz w:val="14"/>
              </w:rPr>
              <w:t>Seguridad públi- ca y transito</w:t>
            </w:r>
          </w:p>
        </w:tc>
        <w:tc>
          <w:tcPr>
            <w:tcW w:w="1645" w:type="dxa"/>
            <w:vMerge w:val="restart"/>
          </w:tcPr>
          <w:p>
            <w:pPr>
              <w:pStyle w:val="TableParagraph"/>
              <w:spacing w:line="143" w:lineRule="exact"/>
              <w:ind w:left="438"/>
              <w:rPr>
                <w:sz w:val="14"/>
              </w:rPr>
            </w:pPr>
            <w:r>
              <w:rPr>
                <w:color w:val="231F20"/>
                <w:w w:val="80"/>
                <w:sz w:val="14"/>
              </w:rPr>
              <w:t>Falta de personal</w:t>
            </w:r>
          </w:p>
        </w:tc>
        <w:tc>
          <w:tcPr>
            <w:tcW w:w="2593" w:type="dxa"/>
          </w:tcPr>
          <w:p>
            <w:pPr>
              <w:pStyle w:val="TableParagraph"/>
              <w:spacing w:line="143" w:lineRule="exact"/>
              <w:ind w:left="112" w:right="112"/>
              <w:jc w:val="center"/>
              <w:rPr>
                <w:sz w:val="14"/>
              </w:rPr>
            </w:pPr>
            <w:r>
              <w:rPr>
                <w:color w:val="231F20"/>
                <w:w w:val="75"/>
                <w:sz w:val="14"/>
              </w:rPr>
              <w:t>Gestionar incremento a 200 cuerpos  policiacos.</w:t>
            </w:r>
          </w:p>
        </w:tc>
        <w:tc>
          <w:tcPr>
            <w:tcW w:w="2379" w:type="dxa"/>
          </w:tcPr>
          <w:p>
            <w:pPr>
              <w:pStyle w:val="TableParagraph"/>
              <w:spacing w:line="196" w:lineRule="auto"/>
              <w:ind w:left="934" w:right="147" w:hanging="700"/>
              <w:rPr>
                <w:sz w:val="14"/>
              </w:rPr>
            </w:pPr>
            <w:r>
              <w:rPr>
                <w:color w:val="231F20"/>
                <w:w w:val="80"/>
                <w:sz w:val="14"/>
              </w:rPr>
              <w:t>39 nuevos policías, sumando un total de 78 </w:t>
            </w:r>
            <w:r>
              <w:rPr>
                <w:color w:val="231F20"/>
                <w:w w:val="85"/>
                <w:sz w:val="14"/>
              </w:rPr>
              <w:t>elementos.</w:t>
            </w:r>
          </w:p>
        </w:tc>
      </w:tr>
      <w:tr>
        <w:trPr>
          <w:trHeight w:val="182" w:hRule="exact"/>
        </w:trPr>
        <w:tc>
          <w:tcPr>
            <w:tcW w:w="324" w:type="dxa"/>
            <w:vMerge/>
            <w:textDirection w:val="btLr"/>
          </w:tcPr>
          <w:p>
            <w:pPr/>
          </w:p>
        </w:tc>
        <w:tc>
          <w:tcPr>
            <w:tcW w:w="986" w:type="dxa"/>
            <w:vMerge/>
          </w:tcPr>
          <w:p>
            <w:pPr/>
          </w:p>
        </w:tc>
        <w:tc>
          <w:tcPr>
            <w:tcW w:w="1645" w:type="dxa"/>
            <w:vMerge/>
          </w:tcPr>
          <w:p>
            <w:pPr/>
          </w:p>
        </w:tc>
        <w:tc>
          <w:tcPr>
            <w:tcW w:w="2593" w:type="dxa"/>
          </w:tcPr>
          <w:p>
            <w:pPr>
              <w:pStyle w:val="TableParagraph"/>
              <w:spacing w:line="143" w:lineRule="exact"/>
              <w:ind w:left="113" w:right="112"/>
              <w:jc w:val="center"/>
              <w:rPr>
                <w:sz w:val="14"/>
              </w:rPr>
            </w:pPr>
            <w:r>
              <w:rPr>
                <w:color w:val="231F20"/>
                <w:w w:val="80"/>
                <w:sz w:val="14"/>
              </w:rPr>
              <w:t>Contratación de 4 paramédicos y 8 bomberos.</w:t>
            </w:r>
          </w:p>
        </w:tc>
        <w:tc>
          <w:tcPr>
            <w:tcW w:w="2379" w:type="dxa"/>
          </w:tcPr>
          <w:p>
            <w:pPr>
              <w:pStyle w:val="TableParagraph"/>
              <w:spacing w:line="143" w:lineRule="exact"/>
              <w:ind w:left="247" w:right="247"/>
              <w:jc w:val="center"/>
              <w:rPr>
                <w:sz w:val="14"/>
              </w:rPr>
            </w:pPr>
            <w:r>
              <w:rPr>
                <w:color w:val="231F20"/>
                <w:w w:val="75"/>
                <w:sz w:val="14"/>
              </w:rPr>
              <w:t>No reporta</w:t>
            </w:r>
          </w:p>
        </w:tc>
      </w:tr>
      <w:tr>
        <w:trPr>
          <w:trHeight w:val="232" w:hRule="exact"/>
        </w:trPr>
        <w:tc>
          <w:tcPr>
            <w:tcW w:w="324" w:type="dxa"/>
            <w:vMerge/>
            <w:textDirection w:val="btLr"/>
          </w:tcPr>
          <w:p>
            <w:pPr/>
          </w:p>
        </w:tc>
        <w:tc>
          <w:tcPr>
            <w:tcW w:w="986" w:type="dxa"/>
            <w:vMerge/>
          </w:tcPr>
          <w:p>
            <w:pPr/>
          </w:p>
        </w:tc>
        <w:tc>
          <w:tcPr>
            <w:tcW w:w="1645" w:type="dxa"/>
            <w:vMerge w:val="restart"/>
          </w:tcPr>
          <w:p>
            <w:pPr>
              <w:pStyle w:val="TableParagraph"/>
              <w:spacing w:line="143" w:lineRule="exact"/>
              <w:ind w:left="477"/>
              <w:rPr>
                <w:sz w:val="14"/>
              </w:rPr>
            </w:pPr>
            <w:r>
              <w:rPr>
                <w:color w:val="231F20"/>
                <w:w w:val="80"/>
                <w:sz w:val="14"/>
              </w:rPr>
              <w:t>Falta de equipo</w:t>
            </w:r>
          </w:p>
        </w:tc>
        <w:tc>
          <w:tcPr>
            <w:tcW w:w="2593" w:type="dxa"/>
          </w:tcPr>
          <w:p>
            <w:pPr>
              <w:pStyle w:val="TableParagraph"/>
              <w:spacing w:line="143" w:lineRule="exact"/>
              <w:ind w:left="112" w:right="112"/>
              <w:jc w:val="center"/>
              <w:rPr>
                <w:sz w:val="14"/>
              </w:rPr>
            </w:pPr>
            <w:r>
              <w:rPr>
                <w:color w:val="231F20"/>
                <w:w w:val="80"/>
                <w:sz w:val="14"/>
              </w:rPr>
              <w:t>5 equipos para bomberos.</w:t>
            </w:r>
          </w:p>
        </w:tc>
        <w:tc>
          <w:tcPr>
            <w:tcW w:w="2379" w:type="dxa"/>
          </w:tcPr>
          <w:p>
            <w:pPr>
              <w:pStyle w:val="TableParagraph"/>
              <w:spacing w:line="143" w:lineRule="exact"/>
              <w:ind w:left="247" w:right="247"/>
              <w:jc w:val="center"/>
              <w:rPr>
                <w:sz w:val="14"/>
              </w:rPr>
            </w:pPr>
            <w:r>
              <w:rPr>
                <w:color w:val="231F20"/>
                <w:w w:val="75"/>
                <w:sz w:val="14"/>
              </w:rPr>
              <w:t>No reporta.</w:t>
            </w:r>
          </w:p>
        </w:tc>
      </w:tr>
      <w:tr>
        <w:trPr>
          <w:trHeight w:val="255" w:hRule="exact"/>
        </w:trPr>
        <w:tc>
          <w:tcPr>
            <w:tcW w:w="324" w:type="dxa"/>
            <w:vMerge/>
            <w:textDirection w:val="btLr"/>
          </w:tcPr>
          <w:p>
            <w:pPr/>
          </w:p>
        </w:tc>
        <w:tc>
          <w:tcPr>
            <w:tcW w:w="986" w:type="dxa"/>
            <w:vMerge/>
          </w:tcPr>
          <w:p>
            <w:pPr/>
          </w:p>
        </w:tc>
        <w:tc>
          <w:tcPr>
            <w:tcW w:w="1645" w:type="dxa"/>
            <w:vMerge/>
          </w:tcPr>
          <w:p>
            <w:pPr/>
          </w:p>
        </w:tc>
        <w:tc>
          <w:tcPr>
            <w:tcW w:w="2593" w:type="dxa"/>
          </w:tcPr>
          <w:p>
            <w:pPr>
              <w:pStyle w:val="TableParagraph"/>
              <w:spacing w:line="143" w:lineRule="exact"/>
              <w:ind w:left="112" w:right="112"/>
              <w:jc w:val="center"/>
              <w:rPr>
                <w:sz w:val="14"/>
              </w:rPr>
            </w:pPr>
            <w:r>
              <w:rPr>
                <w:color w:val="231F20"/>
                <w:w w:val="80"/>
                <w:sz w:val="14"/>
              </w:rPr>
              <w:t>Para policía no se reporta.</w:t>
            </w:r>
          </w:p>
        </w:tc>
        <w:tc>
          <w:tcPr>
            <w:tcW w:w="2379" w:type="dxa"/>
          </w:tcPr>
          <w:p>
            <w:pPr>
              <w:pStyle w:val="TableParagraph"/>
              <w:spacing w:line="196" w:lineRule="auto"/>
              <w:ind w:left="754" w:right="182" w:hanging="480"/>
              <w:rPr>
                <w:sz w:val="14"/>
              </w:rPr>
            </w:pPr>
            <w:r>
              <w:rPr>
                <w:color w:val="231F20"/>
                <w:w w:val="80"/>
                <w:sz w:val="14"/>
              </w:rPr>
              <w:t>Donación de dos patrullas Compra de dos patrullas turísticas.</w:t>
            </w:r>
          </w:p>
        </w:tc>
      </w:tr>
      <w:tr>
        <w:trPr>
          <w:trHeight w:val="535" w:hRule="exact"/>
        </w:trPr>
        <w:tc>
          <w:tcPr>
            <w:tcW w:w="324" w:type="dxa"/>
            <w:vMerge/>
            <w:textDirection w:val="btLr"/>
          </w:tcPr>
          <w:p>
            <w:pPr/>
          </w:p>
        </w:tc>
        <w:tc>
          <w:tcPr>
            <w:tcW w:w="986" w:type="dxa"/>
          </w:tcPr>
          <w:p>
            <w:pPr>
              <w:pStyle w:val="TableParagraph"/>
              <w:spacing w:line="196" w:lineRule="auto"/>
              <w:ind w:left="276" w:right="272" w:firstLine="6"/>
              <w:rPr>
                <w:sz w:val="14"/>
              </w:rPr>
            </w:pPr>
            <w:r>
              <w:rPr>
                <w:color w:val="231F20"/>
                <w:w w:val="75"/>
                <w:sz w:val="14"/>
              </w:rPr>
              <w:t>Derechos Humanos</w:t>
            </w:r>
          </w:p>
        </w:tc>
        <w:tc>
          <w:tcPr>
            <w:tcW w:w="1645" w:type="dxa"/>
          </w:tcPr>
          <w:p>
            <w:pPr>
              <w:pStyle w:val="TableParagraph"/>
              <w:spacing w:line="143" w:lineRule="exact"/>
              <w:ind w:left="0" w:right="401"/>
              <w:jc w:val="right"/>
              <w:rPr>
                <w:sz w:val="14"/>
              </w:rPr>
            </w:pPr>
            <w:r>
              <w:rPr>
                <w:color w:val="231F20"/>
                <w:w w:val="80"/>
                <w:sz w:val="14"/>
              </w:rPr>
              <w:t>Falta de denuncias</w:t>
            </w:r>
          </w:p>
        </w:tc>
        <w:tc>
          <w:tcPr>
            <w:tcW w:w="2593" w:type="dxa"/>
          </w:tcPr>
          <w:p>
            <w:pPr>
              <w:pStyle w:val="TableParagraph"/>
              <w:spacing w:line="196" w:lineRule="auto"/>
              <w:ind w:left="113" w:right="112"/>
              <w:jc w:val="center"/>
              <w:rPr>
                <w:sz w:val="14"/>
              </w:rPr>
            </w:pPr>
            <w:r>
              <w:rPr>
                <w:color w:val="231F20"/>
                <w:w w:val="80"/>
                <w:sz w:val="14"/>
              </w:rPr>
              <w:t>Hacer trámites eficientes para la denuncia. Prevenir Delitos. Promover cultura de denuncia con 100 </w:t>
            </w:r>
            <w:r>
              <w:rPr>
                <w:color w:val="231F20"/>
                <w:w w:val="85"/>
                <w:sz w:val="14"/>
              </w:rPr>
              <w:t>conferencias.</w:t>
            </w:r>
          </w:p>
        </w:tc>
        <w:tc>
          <w:tcPr>
            <w:tcW w:w="2379" w:type="dxa"/>
          </w:tcPr>
          <w:p>
            <w:pPr>
              <w:pStyle w:val="TableParagraph"/>
              <w:spacing w:line="196" w:lineRule="auto"/>
              <w:ind w:left="745" w:right="742" w:hanging="1"/>
              <w:jc w:val="center"/>
              <w:rPr>
                <w:sz w:val="14"/>
              </w:rPr>
            </w:pPr>
            <w:r>
              <w:rPr>
                <w:color w:val="231F20"/>
                <w:w w:val="75"/>
                <w:sz w:val="14"/>
              </w:rPr>
              <w:t>Asesorías gratuitas </w:t>
            </w:r>
            <w:r>
              <w:rPr>
                <w:color w:val="231F20"/>
                <w:w w:val="85"/>
                <w:sz w:val="14"/>
              </w:rPr>
              <w:t>Apoyo legal </w:t>
            </w:r>
            <w:r>
              <w:rPr>
                <w:color w:val="231F20"/>
                <w:w w:val="75"/>
                <w:sz w:val="14"/>
              </w:rPr>
              <w:t>Defensoría de oficio</w:t>
            </w:r>
          </w:p>
          <w:p>
            <w:pPr>
              <w:pStyle w:val="TableParagraph"/>
              <w:spacing w:line="147" w:lineRule="exact"/>
              <w:ind w:left="247" w:right="246"/>
              <w:jc w:val="center"/>
              <w:rPr>
                <w:sz w:val="14"/>
              </w:rPr>
            </w:pPr>
            <w:r>
              <w:rPr>
                <w:color w:val="231F20"/>
                <w:w w:val="75"/>
                <w:sz w:val="14"/>
              </w:rPr>
              <w:t>Conferencias  temáticas</w:t>
            </w:r>
          </w:p>
        </w:tc>
      </w:tr>
      <w:tr>
        <w:trPr>
          <w:trHeight w:val="255" w:hRule="exact"/>
        </w:trPr>
        <w:tc>
          <w:tcPr>
            <w:tcW w:w="324" w:type="dxa"/>
            <w:vMerge/>
            <w:textDirection w:val="btLr"/>
          </w:tcPr>
          <w:p>
            <w:pPr/>
          </w:p>
        </w:tc>
        <w:tc>
          <w:tcPr>
            <w:tcW w:w="986" w:type="dxa"/>
            <w:vMerge w:val="restart"/>
          </w:tcPr>
          <w:p>
            <w:pPr>
              <w:pStyle w:val="TableParagraph"/>
              <w:spacing w:line="196" w:lineRule="auto"/>
              <w:ind w:left="263" w:hanging="147"/>
              <w:rPr>
                <w:sz w:val="14"/>
              </w:rPr>
            </w:pPr>
            <w:r>
              <w:rPr>
                <w:color w:val="231F20"/>
                <w:w w:val="80"/>
                <w:sz w:val="14"/>
              </w:rPr>
              <w:t>Protección civil y </w:t>
            </w:r>
            <w:r>
              <w:rPr>
                <w:color w:val="231F20"/>
                <w:w w:val="85"/>
                <w:sz w:val="14"/>
              </w:rPr>
              <w:t>bomberos</w:t>
            </w:r>
          </w:p>
        </w:tc>
        <w:tc>
          <w:tcPr>
            <w:tcW w:w="1645" w:type="dxa"/>
          </w:tcPr>
          <w:p>
            <w:pPr>
              <w:pStyle w:val="TableParagraph"/>
              <w:spacing w:line="143" w:lineRule="exact"/>
              <w:ind w:left="0" w:right="475"/>
              <w:jc w:val="right"/>
              <w:rPr>
                <w:sz w:val="14"/>
              </w:rPr>
            </w:pPr>
            <w:r>
              <w:rPr>
                <w:color w:val="231F20"/>
                <w:w w:val="80"/>
                <w:sz w:val="14"/>
              </w:rPr>
              <w:t>Falta de equipo</w:t>
            </w:r>
          </w:p>
        </w:tc>
        <w:tc>
          <w:tcPr>
            <w:tcW w:w="2593" w:type="dxa"/>
            <w:vMerge w:val="restart"/>
          </w:tcPr>
          <w:p>
            <w:pPr>
              <w:pStyle w:val="TableParagraph"/>
              <w:spacing w:line="196" w:lineRule="auto"/>
              <w:ind w:left="167" w:right="163" w:hanging="3"/>
              <w:jc w:val="center"/>
              <w:rPr>
                <w:sz w:val="14"/>
              </w:rPr>
            </w:pPr>
            <w:r>
              <w:rPr>
                <w:color w:val="231F20"/>
                <w:w w:val="80"/>
                <w:sz w:val="14"/>
              </w:rPr>
              <w:t>Gestionar la adquisición de material necesario. Adquisición</w:t>
            </w:r>
            <w:r>
              <w:rPr>
                <w:color w:val="231F20"/>
                <w:spacing w:val="-15"/>
                <w:w w:val="80"/>
                <w:sz w:val="14"/>
              </w:rPr>
              <w:t> </w:t>
            </w:r>
            <w:r>
              <w:rPr>
                <w:color w:val="231F20"/>
                <w:w w:val="80"/>
                <w:sz w:val="14"/>
              </w:rPr>
              <w:t>de</w:t>
            </w:r>
            <w:r>
              <w:rPr>
                <w:color w:val="231F20"/>
                <w:spacing w:val="-15"/>
                <w:w w:val="80"/>
                <w:sz w:val="14"/>
              </w:rPr>
              <w:t> </w:t>
            </w:r>
            <w:r>
              <w:rPr>
                <w:color w:val="231F20"/>
                <w:w w:val="80"/>
                <w:sz w:val="14"/>
              </w:rPr>
              <w:t>dos</w:t>
            </w:r>
            <w:r>
              <w:rPr>
                <w:color w:val="231F20"/>
                <w:spacing w:val="-15"/>
                <w:w w:val="80"/>
                <w:sz w:val="14"/>
              </w:rPr>
              <w:t> </w:t>
            </w:r>
            <w:r>
              <w:rPr>
                <w:color w:val="231F20"/>
                <w:w w:val="80"/>
                <w:sz w:val="14"/>
              </w:rPr>
              <w:t>unidades</w:t>
            </w:r>
            <w:r>
              <w:rPr>
                <w:color w:val="231F20"/>
                <w:spacing w:val="-15"/>
                <w:w w:val="80"/>
                <w:sz w:val="14"/>
              </w:rPr>
              <w:t> </w:t>
            </w:r>
            <w:r>
              <w:rPr>
                <w:color w:val="231F20"/>
                <w:w w:val="80"/>
                <w:sz w:val="14"/>
              </w:rPr>
              <w:t>móviles</w:t>
            </w:r>
            <w:r>
              <w:rPr>
                <w:color w:val="231F20"/>
                <w:spacing w:val="-15"/>
                <w:w w:val="80"/>
                <w:sz w:val="14"/>
              </w:rPr>
              <w:t> </w:t>
            </w:r>
            <w:r>
              <w:rPr>
                <w:color w:val="231F20"/>
                <w:w w:val="80"/>
                <w:sz w:val="14"/>
              </w:rPr>
              <w:t>de</w:t>
            </w:r>
            <w:r>
              <w:rPr>
                <w:color w:val="231F20"/>
                <w:spacing w:val="-15"/>
                <w:w w:val="80"/>
                <w:sz w:val="14"/>
              </w:rPr>
              <w:t> </w:t>
            </w:r>
            <w:r>
              <w:rPr>
                <w:color w:val="231F20"/>
                <w:w w:val="80"/>
                <w:sz w:val="14"/>
              </w:rPr>
              <w:t>protección </w:t>
            </w:r>
            <w:r>
              <w:rPr>
                <w:color w:val="231F20"/>
                <w:w w:val="85"/>
                <w:sz w:val="14"/>
              </w:rPr>
              <w:t>civil</w:t>
            </w:r>
          </w:p>
        </w:tc>
        <w:tc>
          <w:tcPr>
            <w:tcW w:w="2379" w:type="dxa"/>
            <w:vMerge w:val="restart"/>
          </w:tcPr>
          <w:p>
            <w:pPr>
              <w:pStyle w:val="TableParagraph"/>
              <w:spacing w:line="143" w:lineRule="exact"/>
              <w:ind w:left="247" w:right="247"/>
              <w:jc w:val="center"/>
              <w:rPr>
                <w:sz w:val="14"/>
              </w:rPr>
            </w:pPr>
            <w:r>
              <w:rPr>
                <w:color w:val="231F20"/>
                <w:w w:val="75"/>
                <w:sz w:val="14"/>
              </w:rPr>
              <w:t>No reporta</w:t>
            </w:r>
          </w:p>
        </w:tc>
      </w:tr>
      <w:tr>
        <w:trPr>
          <w:trHeight w:val="143" w:hRule="exact"/>
        </w:trPr>
        <w:tc>
          <w:tcPr>
            <w:tcW w:w="324" w:type="dxa"/>
            <w:vMerge/>
            <w:textDirection w:val="btLr"/>
          </w:tcPr>
          <w:p>
            <w:pPr/>
          </w:p>
        </w:tc>
        <w:tc>
          <w:tcPr>
            <w:tcW w:w="986" w:type="dxa"/>
            <w:vMerge/>
          </w:tcPr>
          <w:p>
            <w:pPr/>
          </w:p>
        </w:tc>
        <w:tc>
          <w:tcPr>
            <w:tcW w:w="1645" w:type="dxa"/>
          </w:tcPr>
          <w:p>
            <w:pPr>
              <w:pStyle w:val="TableParagraph"/>
              <w:spacing w:line="143" w:lineRule="exact"/>
              <w:ind w:left="0" w:right="440"/>
              <w:jc w:val="right"/>
              <w:rPr>
                <w:sz w:val="14"/>
              </w:rPr>
            </w:pPr>
            <w:r>
              <w:rPr>
                <w:color w:val="231F20"/>
                <w:w w:val="80"/>
                <w:sz w:val="14"/>
              </w:rPr>
              <w:t>Falta de material</w:t>
            </w:r>
          </w:p>
        </w:tc>
        <w:tc>
          <w:tcPr>
            <w:tcW w:w="2593" w:type="dxa"/>
            <w:vMerge/>
          </w:tcPr>
          <w:p>
            <w:pPr/>
          </w:p>
        </w:tc>
        <w:tc>
          <w:tcPr>
            <w:tcW w:w="2379" w:type="dxa"/>
            <w:vMerge/>
          </w:tcPr>
          <w:p>
            <w:pPr/>
          </w:p>
        </w:tc>
      </w:tr>
      <w:tr>
        <w:trPr>
          <w:trHeight w:val="199" w:hRule="exact"/>
        </w:trPr>
        <w:tc>
          <w:tcPr>
            <w:tcW w:w="7927" w:type="dxa"/>
            <w:gridSpan w:val="5"/>
          </w:tcPr>
          <w:p>
            <w:pPr>
              <w:pStyle w:val="TableParagraph"/>
              <w:spacing w:line="142" w:lineRule="exact"/>
              <w:ind w:left="3301" w:right="3301"/>
              <w:jc w:val="center"/>
              <w:rPr>
                <w:sz w:val="14"/>
              </w:rPr>
            </w:pPr>
            <w:r>
              <w:rPr>
                <w:color w:val="231F20"/>
                <w:w w:val="80"/>
                <w:sz w:val="14"/>
              </w:rPr>
              <w:t>No contemplados en el plan</w:t>
            </w:r>
          </w:p>
        </w:tc>
      </w:tr>
      <w:tr>
        <w:trPr>
          <w:trHeight w:val="312" w:hRule="exact"/>
        </w:trPr>
        <w:tc>
          <w:tcPr>
            <w:tcW w:w="324" w:type="dxa"/>
          </w:tcPr>
          <w:p>
            <w:pPr/>
          </w:p>
        </w:tc>
        <w:tc>
          <w:tcPr>
            <w:tcW w:w="986" w:type="dxa"/>
          </w:tcPr>
          <w:p>
            <w:pPr/>
          </w:p>
        </w:tc>
        <w:tc>
          <w:tcPr>
            <w:tcW w:w="1645" w:type="dxa"/>
          </w:tcPr>
          <w:p>
            <w:pPr/>
          </w:p>
        </w:tc>
        <w:tc>
          <w:tcPr>
            <w:tcW w:w="2593" w:type="dxa"/>
            <w:vMerge w:val="restart"/>
          </w:tcPr>
          <w:p>
            <w:pPr>
              <w:pStyle w:val="TableParagraph"/>
              <w:spacing w:line="142" w:lineRule="exact"/>
              <w:ind w:left="112" w:right="112"/>
              <w:jc w:val="center"/>
              <w:rPr>
                <w:sz w:val="14"/>
              </w:rPr>
            </w:pPr>
            <w:r>
              <w:rPr>
                <w:color w:val="231F20"/>
                <w:w w:val="85"/>
                <w:sz w:val="14"/>
              </w:rPr>
              <w:t>Delincuencia</w:t>
            </w:r>
          </w:p>
        </w:tc>
        <w:tc>
          <w:tcPr>
            <w:tcW w:w="2379" w:type="dxa"/>
          </w:tcPr>
          <w:p>
            <w:pPr>
              <w:pStyle w:val="TableParagraph"/>
              <w:spacing w:line="196" w:lineRule="auto"/>
              <w:ind w:left="974" w:right="84" w:hanging="788"/>
              <w:rPr>
                <w:sz w:val="14"/>
              </w:rPr>
            </w:pPr>
            <w:r>
              <w:rPr>
                <w:color w:val="231F20"/>
                <w:w w:val="80"/>
                <w:sz w:val="14"/>
              </w:rPr>
              <w:t>Creación de Consejo Municipal de prevención del delito</w:t>
            </w:r>
          </w:p>
        </w:tc>
      </w:tr>
      <w:tr>
        <w:trPr>
          <w:trHeight w:val="294" w:hRule="exact"/>
        </w:trPr>
        <w:tc>
          <w:tcPr>
            <w:tcW w:w="324" w:type="dxa"/>
          </w:tcPr>
          <w:p>
            <w:pPr/>
          </w:p>
        </w:tc>
        <w:tc>
          <w:tcPr>
            <w:tcW w:w="986" w:type="dxa"/>
          </w:tcPr>
          <w:p>
            <w:pPr/>
          </w:p>
        </w:tc>
        <w:tc>
          <w:tcPr>
            <w:tcW w:w="1645" w:type="dxa"/>
          </w:tcPr>
          <w:p>
            <w:pPr/>
          </w:p>
        </w:tc>
        <w:tc>
          <w:tcPr>
            <w:tcW w:w="2593" w:type="dxa"/>
            <w:vMerge/>
          </w:tcPr>
          <w:p>
            <w:pPr/>
          </w:p>
        </w:tc>
        <w:tc>
          <w:tcPr>
            <w:tcW w:w="2379" w:type="dxa"/>
          </w:tcPr>
          <w:p>
            <w:pPr>
              <w:pStyle w:val="TableParagraph"/>
              <w:spacing w:line="196" w:lineRule="auto"/>
              <w:ind w:left="916" w:right="209" w:hanging="631"/>
              <w:rPr>
                <w:sz w:val="14"/>
              </w:rPr>
            </w:pPr>
            <w:r>
              <w:rPr>
                <w:color w:val="231F20"/>
                <w:w w:val="80"/>
                <w:sz w:val="14"/>
              </w:rPr>
              <w:t>Aumento de patrullajes en las zonas más </w:t>
            </w:r>
            <w:r>
              <w:rPr>
                <w:color w:val="231F20"/>
                <w:w w:val="85"/>
                <w:sz w:val="14"/>
              </w:rPr>
              <w:t>conflictivas.</w:t>
            </w:r>
          </w:p>
        </w:tc>
      </w:tr>
    </w:tbl>
    <w:p>
      <w:pPr>
        <w:pStyle w:val="BodyText"/>
        <w:spacing w:before="1"/>
        <w:rPr>
          <w:b/>
          <w:sz w:val="29"/>
        </w:rPr>
      </w:pPr>
    </w:p>
    <w:p>
      <w:pPr>
        <w:spacing w:before="74"/>
        <w:ind w:left="1220" w:right="-3"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spacing w:after="0"/>
        <w:jc w:val="left"/>
        <w:rPr>
          <w:rFonts w:ascii="Calibri" w:hAnsi="Calibri"/>
          <w:sz w:val="16"/>
        </w:rPr>
        <w:sectPr>
          <w:pgSz w:w="9640" w:h="12190"/>
          <w:pgMar w:header="0" w:footer="743" w:top="1120" w:bottom="940" w:left="740" w:right="720"/>
        </w:sectPr>
      </w:pPr>
    </w:p>
    <w:p>
      <w:pPr>
        <w:pStyle w:val="BodyText"/>
        <w:spacing w:before="8"/>
        <w:rPr>
          <w:rFonts w:ascii="Calibri"/>
          <w:sz w:val="10"/>
        </w:rPr>
      </w:pPr>
    </w:p>
    <w:p>
      <w:pPr>
        <w:pStyle w:val="BodyText"/>
        <w:spacing w:line="285" w:lineRule="auto" w:before="35"/>
        <w:ind w:left="110" w:right="108"/>
        <w:jc w:val="both"/>
      </w:pPr>
      <w:r>
        <w:rPr>
          <w:color w:val="231F20"/>
          <w:w w:val="105"/>
        </w:rPr>
        <w:t>Para</w:t>
      </w:r>
      <w:r>
        <w:rPr>
          <w:color w:val="231F20"/>
          <w:spacing w:val="-20"/>
          <w:w w:val="105"/>
        </w:rPr>
        <w:t> </w:t>
      </w:r>
      <w:r>
        <w:rPr>
          <w:color w:val="231F20"/>
          <w:spacing w:val="3"/>
          <w:w w:val="105"/>
        </w:rPr>
        <w:t>2006</w:t>
      </w:r>
      <w:r>
        <w:rPr>
          <w:color w:val="231F20"/>
          <w:spacing w:val="-20"/>
          <w:w w:val="105"/>
        </w:rPr>
        <w:t> </w:t>
      </w:r>
      <w:r>
        <w:rPr>
          <w:color w:val="231F20"/>
          <w:w w:val="105"/>
        </w:rPr>
        <w:t>los</w:t>
      </w:r>
      <w:r>
        <w:rPr>
          <w:color w:val="231F20"/>
          <w:spacing w:val="-20"/>
          <w:w w:val="105"/>
        </w:rPr>
        <w:t> </w:t>
      </w:r>
      <w:r>
        <w:rPr>
          <w:color w:val="231F20"/>
          <w:w w:val="105"/>
        </w:rPr>
        <w:t>resultados</w:t>
      </w:r>
      <w:r>
        <w:rPr>
          <w:color w:val="231F20"/>
          <w:spacing w:val="-20"/>
          <w:w w:val="105"/>
        </w:rPr>
        <w:t> </w:t>
      </w:r>
      <w:r>
        <w:rPr>
          <w:color w:val="231F20"/>
          <w:w w:val="105"/>
        </w:rPr>
        <w:t>fueron</w:t>
      </w:r>
      <w:r>
        <w:rPr>
          <w:color w:val="231F20"/>
          <w:spacing w:val="-20"/>
          <w:w w:val="105"/>
        </w:rPr>
        <w:t> </w:t>
      </w:r>
      <w:r>
        <w:rPr>
          <w:color w:val="231F20"/>
          <w:w w:val="105"/>
        </w:rPr>
        <w:t>la</w:t>
      </w:r>
      <w:r>
        <w:rPr>
          <w:color w:val="231F20"/>
          <w:spacing w:val="-20"/>
          <w:w w:val="105"/>
        </w:rPr>
        <w:t> </w:t>
      </w:r>
      <w:r>
        <w:rPr>
          <w:color w:val="231F20"/>
          <w:w w:val="105"/>
        </w:rPr>
        <w:t>contratación</w:t>
      </w:r>
      <w:r>
        <w:rPr>
          <w:color w:val="231F20"/>
          <w:spacing w:val="-20"/>
          <w:w w:val="105"/>
        </w:rPr>
        <w:t> </w:t>
      </w:r>
      <w:r>
        <w:rPr>
          <w:color w:val="231F20"/>
          <w:w w:val="105"/>
        </w:rPr>
        <w:t>de</w:t>
      </w:r>
      <w:r>
        <w:rPr>
          <w:color w:val="231F20"/>
          <w:spacing w:val="-20"/>
          <w:w w:val="105"/>
        </w:rPr>
        <w:t> </w:t>
      </w:r>
      <w:r>
        <w:rPr>
          <w:color w:val="231F20"/>
          <w:w w:val="105"/>
        </w:rPr>
        <w:t>39</w:t>
      </w:r>
      <w:r>
        <w:rPr>
          <w:color w:val="231F20"/>
          <w:spacing w:val="-20"/>
          <w:w w:val="105"/>
        </w:rPr>
        <w:t> </w:t>
      </w:r>
      <w:r>
        <w:rPr>
          <w:color w:val="231F20"/>
          <w:w w:val="105"/>
        </w:rPr>
        <w:t>elementos</w:t>
      </w:r>
      <w:r>
        <w:rPr>
          <w:color w:val="231F20"/>
          <w:spacing w:val="-20"/>
          <w:w w:val="105"/>
        </w:rPr>
        <w:t> </w:t>
      </w:r>
      <w:r>
        <w:rPr>
          <w:color w:val="231F20"/>
          <w:w w:val="105"/>
        </w:rPr>
        <w:t>más,</w:t>
      </w:r>
      <w:r>
        <w:rPr>
          <w:color w:val="231F20"/>
          <w:spacing w:val="-20"/>
          <w:w w:val="105"/>
        </w:rPr>
        <w:t> </w:t>
      </w:r>
      <w:r>
        <w:rPr>
          <w:color w:val="231F20"/>
          <w:w w:val="105"/>
        </w:rPr>
        <w:t>la</w:t>
      </w:r>
      <w:r>
        <w:rPr>
          <w:color w:val="231F20"/>
          <w:spacing w:val="-20"/>
          <w:w w:val="105"/>
        </w:rPr>
        <w:t> </w:t>
      </w:r>
      <w:r>
        <w:rPr>
          <w:color w:val="231F20"/>
          <w:w w:val="105"/>
        </w:rPr>
        <w:t>donación</w:t>
      </w:r>
      <w:r>
        <w:rPr>
          <w:color w:val="231F20"/>
          <w:spacing w:val="-20"/>
          <w:w w:val="105"/>
        </w:rPr>
        <w:t> </w:t>
      </w:r>
      <w:r>
        <w:rPr>
          <w:color w:val="231F20"/>
          <w:w w:val="105"/>
        </w:rPr>
        <w:t>de</w:t>
      </w:r>
      <w:r>
        <w:rPr>
          <w:color w:val="231F20"/>
          <w:spacing w:val="-20"/>
          <w:w w:val="105"/>
        </w:rPr>
        <w:t> </w:t>
      </w:r>
      <w:r>
        <w:rPr>
          <w:color w:val="231F20"/>
          <w:w w:val="105"/>
        </w:rPr>
        <w:t>dos patrullas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Agencia</w:t>
      </w:r>
      <w:r>
        <w:rPr>
          <w:color w:val="231F20"/>
          <w:spacing w:val="-15"/>
          <w:w w:val="105"/>
        </w:rPr>
        <w:t> </w:t>
      </w:r>
      <w:r>
        <w:rPr>
          <w:color w:val="231F20"/>
          <w:w w:val="105"/>
        </w:rPr>
        <w:t>de</w:t>
      </w:r>
      <w:r>
        <w:rPr>
          <w:color w:val="231F20"/>
          <w:spacing w:val="-15"/>
          <w:w w:val="105"/>
        </w:rPr>
        <w:t> </w:t>
      </w:r>
      <w:r>
        <w:rPr>
          <w:color w:val="231F20"/>
          <w:w w:val="105"/>
        </w:rPr>
        <w:t>Seguridad</w:t>
      </w:r>
      <w:r>
        <w:rPr>
          <w:color w:val="231F20"/>
          <w:spacing w:val="-15"/>
          <w:w w:val="105"/>
        </w:rPr>
        <w:t> </w:t>
      </w:r>
      <w:r>
        <w:rPr>
          <w:color w:val="231F20"/>
          <w:w w:val="105"/>
        </w:rPr>
        <w:t>Estatal</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compra</w:t>
      </w:r>
      <w:r>
        <w:rPr>
          <w:color w:val="231F20"/>
          <w:spacing w:val="-15"/>
          <w:w w:val="105"/>
        </w:rPr>
        <w:t> </w:t>
      </w:r>
      <w:r>
        <w:rPr>
          <w:color w:val="231F20"/>
          <w:w w:val="105"/>
        </w:rPr>
        <w:t>de</w:t>
      </w:r>
      <w:r>
        <w:rPr>
          <w:color w:val="231F20"/>
          <w:spacing w:val="-15"/>
          <w:w w:val="105"/>
        </w:rPr>
        <w:t> </w:t>
      </w:r>
      <w:r>
        <w:rPr>
          <w:color w:val="231F20"/>
          <w:w w:val="105"/>
        </w:rPr>
        <w:t>dos</w:t>
      </w:r>
      <w:r>
        <w:rPr>
          <w:color w:val="231F20"/>
          <w:spacing w:val="-15"/>
          <w:w w:val="105"/>
        </w:rPr>
        <w:t> </w:t>
      </w:r>
      <w:r>
        <w:rPr>
          <w:color w:val="231F20"/>
          <w:w w:val="105"/>
        </w:rPr>
        <w:t>patrullas</w:t>
      </w:r>
      <w:r>
        <w:rPr>
          <w:color w:val="231F20"/>
          <w:spacing w:val="-15"/>
          <w:w w:val="105"/>
        </w:rPr>
        <w:t> </w:t>
      </w:r>
      <w:r>
        <w:rPr>
          <w:color w:val="231F20"/>
          <w:w w:val="105"/>
        </w:rPr>
        <w:t>turísticas</w:t>
      </w:r>
      <w:r>
        <w:rPr>
          <w:color w:val="231F20"/>
          <w:spacing w:val="-15"/>
          <w:w w:val="105"/>
        </w:rPr>
        <w:t> </w:t>
      </w:r>
      <w:r>
        <w:rPr>
          <w:color w:val="231F20"/>
          <w:w w:val="105"/>
        </w:rPr>
        <w:t>con recursos propios; los patrullajes fueron incrementados particularmente en la cabecera municipal</w:t>
      </w:r>
      <w:r>
        <w:rPr>
          <w:color w:val="231F20"/>
          <w:spacing w:val="-16"/>
          <w:w w:val="105"/>
        </w:rPr>
        <w:t> </w:t>
      </w:r>
      <w:r>
        <w:rPr>
          <w:color w:val="231F20"/>
          <w:w w:val="105"/>
        </w:rPr>
        <w:t>y</w:t>
      </w:r>
      <w:r>
        <w:rPr>
          <w:color w:val="231F20"/>
          <w:spacing w:val="-16"/>
          <w:w w:val="105"/>
        </w:rPr>
        <w:t> </w:t>
      </w:r>
      <w:r>
        <w:rPr>
          <w:color w:val="231F20"/>
          <w:w w:val="105"/>
        </w:rPr>
        <w:t>se</w:t>
      </w:r>
      <w:r>
        <w:rPr>
          <w:color w:val="231F20"/>
          <w:spacing w:val="-16"/>
          <w:w w:val="105"/>
        </w:rPr>
        <w:t> </w:t>
      </w:r>
      <w:r>
        <w:rPr>
          <w:color w:val="231F20"/>
          <w:w w:val="105"/>
        </w:rPr>
        <w:t>agilizó</w:t>
      </w:r>
      <w:r>
        <w:rPr>
          <w:color w:val="231F20"/>
          <w:spacing w:val="-16"/>
          <w:w w:val="105"/>
        </w:rPr>
        <w:t> </w:t>
      </w:r>
      <w:r>
        <w:rPr>
          <w:color w:val="231F20"/>
          <w:w w:val="105"/>
        </w:rPr>
        <w:t>la</w:t>
      </w:r>
      <w:r>
        <w:rPr>
          <w:color w:val="231F20"/>
          <w:spacing w:val="-16"/>
          <w:w w:val="105"/>
        </w:rPr>
        <w:t> </w:t>
      </w:r>
      <w:r>
        <w:rPr>
          <w:color w:val="231F20"/>
          <w:w w:val="105"/>
        </w:rPr>
        <w:t>repuesta</w:t>
      </w:r>
      <w:r>
        <w:rPr>
          <w:color w:val="231F20"/>
          <w:spacing w:val="-16"/>
          <w:w w:val="105"/>
        </w:rPr>
        <w:t> </w:t>
      </w:r>
      <w:r>
        <w:rPr>
          <w:color w:val="231F20"/>
          <w:w w:val="105"/>
        </w:rPr>
        <w:t>de</w:t>
      </w:r>
      <w:r>
        <w:rPr>
          <w:color w:val="231F20"/>
          <w:spacing w:val="-16"/>
          <w:w w:val="105"/>
        </w:rPr>
        <w:t> </w:t>
      </w:r>
      <w:r>
        <w:rPr>
          <w:color w:val="231F20"/>
          <w:w w:val="105"/>
        </w:rPr>
        <w:t>auxilio</w:t>
      </w:r>
      <w:r>
        <w:rPr>
          <w:color w:val="231F20"/>
          <w:spacing w:val="-16"/>
          <w:w w:val="105"/>
        </w:rPr>
        <w:t> </w:t>
      </w:r>
      <w:r>
        <w:rPr>
          <w:color w:val="231F20"/>
          <w:w w:val="105"/>
        </w:rPr>
        <w:t>en</w:t>
      </w:r>
      <w:r>
        <w:rPr>
          <w:color w:val="231F20"/>
          <w:spacing w:val="-16"/>
          <w:w w:val="105"/>
        </w:rPr>
        <w:t> </w:t>
      </w:r>
      <w:r>
        <w:rPr>
          <w:color w:val="231F20"/>
          <w:w w:val="105"/>
        </w:rPr>
        <w:t>casos</w:t>
      </w:r>
      <w:r>
        <w:rPr>
          <w:color w:val="231F20"/>
          <w:spacing w:val="-16"/>
          <w:w w:val="105"/>
        </w:rPr>
        <w:t> </w:t>
      </w:r>
      <w:r>
        <w:rPr>
          <w:color w:val="231F20"/>
          <w:w w:val="105"/>
        </w:rPr>
        <w:t>de</w:t>
      </w:r>
      <w:r>
        <w:rPr>
          <w:color w:val="231F20"/>
          <w:spacing w:val="-16"/>
          <w:w w:val="105"/>
        </w:rPr>
        <w:t> </w:t>
      </w:r>
      <w:r>
        <w:rPr>
          <w:color w:val="231F20"/>
          <w:w w:val="105"/>
        </w:rPr>
        <w:t>emergencia</w:t>
      </w:r>
      <w:r>
        <w:rPr>
          <w:color w:val="231F20"/>
          <w:spacing w:val="-16"/>
          <w:w w:val="105"/>
        </w:rPr>
        <w:t> </w:t>
      </w:r>
      <w:r>
        <w:rPr>
          <w:color w:val="231F20"/>
          <w:spacing w:val="-5"/>
          <w:w w:val="105"/>
        </w:rPr>
        <w:t>(Ver</w:t>
      </w:r>
      <w:r>
        <w:rPr>
          <w:color w:val="231F20"/>
          <w:spacing w:val="-16"/>
          <w:w w:val="105"/>
        </w:rPr>
        <w:t> </w:t>
      </w:r>
      <w:r>
        <w:rPr>
          <w:color w:val="231F20"/>
          <w:w w:val="105"/>
        </w:rPr>
        <w:t>cuadro</w:t>
      </w:r>
      <w:r>
        <w:rPr>
          <w:color w:val="231F20"/>
          <w:spacing w:val="-16"/>
          <w:w w:val="105"/>
        </w:rPr>
        <w:t> </w:t>
      </w:r>
      <w:r>
        <w:rPr>
          <w:color w:val="231F20"/>
          <w:spacing w:val="-4"/>
          <w:w w:val="105"/>
        </w:rPr>
        <w:t>13).</w:t>
      </w:r>
    </w:p>
    <w:p>
      <w:pPr>
        <w:pStyle w:val="BodyText"/>
        <w:spacing w:line="285" w:lineRule="auto" w:before="1"/>
        <w:ind w:left="110" w:right="107"/>
        <w:jc w:val="both"/>
      </w:pPr>
      <w:r>
        <w:rPr>
          <w:color w:val="231F20"/>
          <w:w w:val="105"/>
        </w:rPr>
        <w:t>En</w:t>
      </w:r>
      <w:r>
        <w:rPr>
          <w:color w:val="231F20"/>
          <w:spacing w:val="-20"/>
          <w:w w:val="105"/>
        </w:rPr>
        <w:t> </w:t>
      </w:r>
      <w:r>
        <w:rPr>
          <w:color w:val="231F20"/>
          <w:w w:val="105"/>
        </w:rPr>
        <w:t>colaboración</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w w:val="105"/>
        </w:rPr>
        <w:t>gobierno</w:t>
      </w:r>
      <w:r>
        <w:rPr>
          <w:color w:val="231F20"/>
          <w:spacing w:val="-20"/>
          <w:w w:val="105"/>
        </w:rPr>
        <w:t> </w:t>
      </w:r>
      <w:r>
        <w:rPr>
          <w:color w:val="231F20"/>
          <w:w w:val="105"/>
        </w:rPr>
        <w:t>estatal</w:t>
      </w:r>
      <w:r>
        <w:rPr>
          <w:color w:val="231F20"/>
          <w:spacing w:val="-20"/>
          <w:w w:val="105"/>
        </w:rPr>
        <w:t> </w:t>
      </w:r>
      <w:r>
        <w:rPr>
          <w:color w:val="231F20"/>
          <w:w w:val="105"/>
        </w:rPr>
        <w:t>y</w:t>
      </w:r>
      <w:r>
        <w:rPr>
          <w:color w:val="231F20"/>
          <w:spacing w:val="-20"/>
          <w:w w:val="105"/>
        </w:rPr>
        <w:t> </w:t>
      </w:r>
      <w:r>
        <w:rPr>
          <w:color w:val="231F20"/>
          <w:w w:val="105"/>
        </w:rPr>
        <w:t>federal</w:t>
      </w:r>
      <w:r>
        <w:rPr>
          <w:color w:val="231F20"/>
          <w:spacing w:val="-20"/>
          <w:w w:val="105"/>
        </w:rPr>
        <w:t> </w:t>
      </w:r>
      <w:r>
        <w:rPr>
          <w:color w:val="231F20"/>
          <w:w w:val="105"/>
        </w:rPr>
        <w:t>(ASE,</w:t>
      </w:r>
      <w:r>
        <w:rPr>
          <w:color w:val="231F20"/>
          <w:spacing w:val="-20"/>
          <w:w w:val="105"/>
        </w:rPr>
        <w:t> </w:t>
      </w:r>
      <w:r>
        <w:rPr>
          <w:color w:val="231F20"/>
          <w:w w:val="105"/>
        </w:rPr>
        <w:t>PFP</w:t>
      </w:r>
      <w:r>
        <w:rPr>
          <w:color w:val="231F20"/>
          <w:spacing w:val="-20"/>
          <w:w w:val="105"/>
        </w:rPr>
        <w:t> </w:t>
      </w:r>
      <w:r>
        <w:rPr>
          <w:color w:val="231F20"/>
          <w:w w:val="105"/>
        </w:rPr>
        <w:t>y</w:t>
      </w:r>
      <w:r>
        <w:rPr>
          <w:color w:val="231F20"/>
          <w:spacing w:val="-20"/>
          <w:w w:val="105"/>
        </w:rPr>
        <w:t> </w:t>
      </w:r>
      <w:r>
        <w:rPr>
          <w:color w:val="231F20"/>
          <w:w w:val="105"/>
        </w:rPr>
        <w:t>AFI)</w:t>
      </w:r>
      <w:r>
        <w:rPr>
          <w:color w:val="231F20"/>
          <w:spacing w:val="-20"/>
          <w:w w:val="105"/>
        </w:rPr>
        <w:t> </w:t>
      </w:r>
      <w:r>
        <w:rPr>
          <w:color w:val="231F20"/>
          <w:w w:val="105"/>
        </w:rPr>
        <w:t>se</w:t>
      </w:r>
      <w:r>
        <w:rPr>
          <w:color w:val="231F20"/>
          <w:spacing w:val="-20"/>
          <w:w w:val="105"/>
        </w:rPr>
        <w:t> </w:t>
      </w:r>
      <w:r>
        <w:rPr>
          <w:color w:val="231F20"/>
          <w:w w:val="105"/>
        </w:rPr>
        <w:t>realizaron</w:t>
      </w:r>
      <w:r>
        <w:rPr>
          <w:color w:val="231F20"/>
          <w:spacing w:val="-20"/>
          <w:w w:val="105"/>
        </w:rPr>
        <w:t> </w:t>
      </w:r>
      <w:r>
        <w:rPr>
          <w:color w:val="231F20"/>
          <w:w w:val="105"/>
        </w:rPr>
        <w:t>impor- tantes operativos para la detención de narcomenudistas, lo que trajo como resultado</w:t>
      </w:r>
      <w:r>
        <w:rPr>
          <w:color w:val="231F20"/>
          <w:spacing w:val="-39"/>
          <w:w w:val="105"/>
        </w:rPr>
        <w:t> </w:t>
      </w:r>
      <w:r>
        <w:rPr>
          <w:color w:val="231F20"/>
          <w:w w:val="105"/>
        </w:rPr>
        <w:t>la captura de 4 elementos pertenecientes a La </w:t>
      </w:r>
      <w:r>
        <w:rPr>
          <w:color w:val="231F20"/>
          <w:spacing w:val="2"/>
          <w:w w:val="105"/>
        </w:rPr>
        <w:t>familia. </w:t>
      </w:r>
      <w:r>
        <w:rPr>
          <w:color w:val="231F20"/>
          <w:w w:val="105"/>
        </w:rPr>
        <w:t>Lamentablemente, esta estrategia costó</w:t>
      </w:r>
      <w:r>
        <w:rPr>
          <w:color w:val="231F20"/>
          <w:spacing w:val="-23"/>
          <w:w w:val="105"/>
        </w:rPr>
        <w:t> </w:t>
      </w:r>
      <w:r>
        <w:rPr>
          <w:color w:val="231F20"/>
          <w:w w:val="105"/>
        </w:rPr>
        <w:t>la</w:t>
      </w:r>
      <w:r>
        <w:rPr>
          <w:color w:val="231F20"/>
          <w:spacing w:val="-23"/>
          <w:w w:val="105"/>
        </w:rPr>
        <w:t> </w:t>
      </w:r>
      <w:r>
        <w:rPr>
          <w:color w:val="231F20"/>
          <w:w w:val="105"/>
        </w:rPr>
        <w:t>vida</w:t>
      </w:r>
      <w:r>
        <w:rPr>
          <w:color w:val="231F20"/>
          <w:spacing w:val="-23"/>
          <w:w w:val="105"/>
        </w:rPr>
        <w:t> </w:t>
      </w:r>
      <w:r>
        <w:rPr>
          <w:color w:val="231F20"/>
          <w:w w:val="105"/>
        </w:rPr>
        <w:t>del</w:t>
      </w:r>
      <w:r>
        <w:rPr>
          <w:color w:val="231F20"/>
          <w:spacing w:val="-23"/>
          <w:w w:val="105"/>
        </w:rPr>
        <w:t> </w:t>
      </w:r>
      <w:r>
        <w:rPr>
          <w:color w:val="231F20"/>
          <w:w w:val="105"/>
        </w:rPr>
        <w:t>presidente</w:t>
      </w:r>
      <w:r>
        <w:rPr>
          <w:color w:val="231F20"/>
          <w:spacing w:val="-23"/>
          <w:w w:val="105"/>
        </w:rPr>
        <w:t> </w:t>
      </w:r>
      <w:r>
        <w:rPr>
          <w:color w:val="231F20"/>
          <w:w w:val="105"/>
        </w:rPr>
        <w:t>municipal</w:t>
      </w:r>
      <w:r>
        <w:rPr>
          <w:color w:val="231F20"/>
          <w:spacing w:val="-23"/>
          <w:w w:val="105"/>
        </w:rPr>
        <w:t> </w:t>
      </w:r>
      <w:r>
        <w:rPr>
          <w:color w:val="231F20"/>
          <w:w w:val="105"/>
        </w:rPr>
        <w:t>Salvador</w:t>
      </w:r>
      <w:r>
        <w:rPr>
          <w:color w:val="231F20"/>
          <w:spacing w:val="-23"/>
          <w:w w:val="105"/>
        </w:rPr>
        <w:t> </w:t>
      </w:r>
      <w:r>
        <w:rPr>
          <w:color w:val="231F20"/>
          <w:spacing w:val="-3"/>
          <w:w w:val="105"/>
        </w:rPr>
        <w:t>Vergara,</w:t>
      </w:r>
      <w:r>
        <w:rPr>
          <w:color w:val="231F20"/>
          <w:spacing w:val="-23"/>
          <w:w w:val="105"/>
        </w:rPr>
        <w:t> </w:t>
      </w:r>
      <w:r>
        <w:rPr>
          <w:color w:val="231F20"/>
          <w:w w:val="105"/>
        </w:rPr>
        <w:t>quien,</w:t>
      </w:r>
      <w:r>
        <w:rPr>
          <w:color w:val="231F20"/>
          <w:spacing w:val="-23"/>
          <w:w w:val="105"/>
        </w:rPr>
        <w:t> </w:t>
      </w:r>
      <w:r>
        <w:rPr>
          <w:color w:val="231F20"/>
          <w:w w:val="105"/>
        </w:rPr>
        <w:t>según</w:t>
      </w:r>
      <w:r>
        <w:rPr>
          <w:color w:val="231F20"/>
          <w:spacing w:val="-23"/>
          <w:w w:val="105"/>
        </w:rPr>
        <w:t> </w:t>
      </w:r>
      <w:r>
        <w:rPr>
          <w:color w:val="231F20"/>
          <w:w w:val="105"/>
        </w:rPr>
        <w:t>averiguaciones</w:t>
      </w:r>
      <w:r>
        <w:rPr>
          <w:color w:val="231F20"/>
          <w:spacing w:val="-23"/>
          <w:w w:val="105"/>
        </w:rPr>
        <w:t> </w:t>
      </w:r>
      <w:r>
        <w:rPr>
          <w:color w:val="231F20"/>
          <w:w w:val="105"/>
        </w:rPr>
        <w:t>de la</w:t>
      </w:r>
      <w:r>
        <w:rPr>
          <w:color w:val="231F20"/>
          <w:spacing w:val="-15"/>
          <w:w w:val="105"/>
        </w:rPr>
        <w:t> </w:t>
      </w:r>
      <w:r>
        <w:rPr>
          <w:color w:val="231F20"/>
          <w:w w:val="105"/>
        </w:rPr>
        <w:t>ASE,</w:t>
      </w:r>
      <w:r>
        <w:rPr>
          <w:color w:val="231F20"/>
          <w:spacing w:val="-15"/>
          <w:w w:val="105"/>
        </w:rPr>
        <w:t> </w:t>
      </w:r>
      <w:r>
        <w:rPr>
          <w:color w:val="231F20"/>
          <w:w w:val="105"/>
        </w:rPr>
        <w:t>fue</w:t>
      </w:r>
      <w:r>
        <w:rPr>
          <w:color w:val="231F20"/>
          <w:spacing w:val="-15"/>
          <w:w w:val="105"/>
        </w:rPr>
        <w:t> </w:t>
      </w:r>
      <w:r>
        <w:rPr>
          <w:color w:val="231F20"/>
          <w:w w:val="105"/>
        </w:rPr>
        <w:t>ejecutado</w:t>
      </w:r>
      <w:r>
        <w:rPr>
          <w:color w:val="231F20"/>
          <w:spacing w:val="-15"/>
          <w:w w:val="105"/>
        </w:rPr>
        <w:t> </w:t>
      </w:r>
      <w:r>
        <w:rPr>
          <w:color w:val="231F20"/>
          <w:w w:val="105"/>
        </w:rPr>
        <w:t>por</w:t>
      </w:r>
      <w:r>
        <w:rPr>
          <w:color w:val="231F20"/>
          <w:spacing w:val="-15"/>
          <w:w w:val="105"/>
        </w:rPr>
        <w:t> </w:t>
      </w:r>
      <w:r>
        <w:rPr>
          <w:color w:val="231F20"/>
          <w:w w:val="105"/>
        </w:rPr>
        <w:t>integrantes</w:t>
      </w:r>
      <w:r>
        <w:rPr>
          <w:color w:val="231F20"/>
          <w:spacing w:val="-15"/>
          <w:w w:val="105"/>
        </w:rPr>
        <w:t> </w:t>
      </w:r>
      <w:r>
        <w:rPr>
          <w:color w:val="231F20"/>
          <w:w w:val="105"/>
        </w:rPr>
        <w:t>de</w:t>
      </w:r>
      <w:r>
        <w:rPr>
          <w:color w:val="231F20"/>
          <w:spacing w:val="-15"/>
          <w:w w:val="105"/>
        </w:rPr>
        <w:t> </w:t>
      </w:r>
      <w:r>
        <w:rPr>
          <w:color w:val="231F20"/>
          <w:w w:val="105"/>
        </w:rPr>
        <w:t>ese</w:t>
      </w:r>
      <w:r>
        <w:rPr>
          <w:color w:val="231F20"/>
          <w:spacing w:val="-15"/>
          <w:w w:val="105"/>
        </w:rPr>
        <w:t> </w:t>
      </w:r>
      <w:r>
        <w:rPr>
          <w:color w:val="231F20"/>
          <w:w w:val="105"/>
        </w:rPr>
        <w:t>grupo.</w:t>
      </w:r>
    </w:p>
    <w:p>
      <w:pPr>
        <w:pStyle w:val="BodyText"/>
        <w:spacing w:before="1"/>
        <w:rPr>
          <w:sz w:val="26"/>
        </w:rPr>
      </w:pPr>
    </w:p>
    <w:p>
      <w:pPr>
        <w:pStyle w:val="BodyText"/>
        <w:spacing w:line="285" w:lineRule="auto"/>
        <w:ind w:left="110" w:right="108"/>
        <w:jc w:val="both"/>
      </w:pPr>
      <w:r>
        <w:rPr>
          <w:color w:val="231F20"/>
          <w:w w:val="105"/>
        </w:rPr>
        <w:t>Igual</w:t>
      </w:r>
      <w:r>
        <w:rPr>
          <w:color w:val="231F20"/>
          <w:spacing w:val="-23"/>
          <w:w w:val="105"/>
        </w:rPr>
        <w:t> </w:t>
      </w:r>
      <w:r>
        <w:rPr>
          <w:color w:val="231F20"/>
          <w:w w:val="105"/>
        </w:rPr>
        <w:t>importancia</w:t>
      </w:r>
      <w:r>
        <w:rPr>
          <w:color w:val="231F20"/>
          <w:spacing w:val="-23"/>
          <w:w w:val="105"/>
        </w:rPr>
        <w:t> </w:t>
      </w:r>
      <w:r>
        <w:rPr>
          <w:color w:val="231F20"/>
          <w:w w:val="105"/>
        </w:rPr>
        <w:t>tuvo</w:t>
      </w:r>
      <w:r>
        <w:rPr>
          <w:color w:val="231F20"/>
          <w:spacing w:val="-23"/>
          <w:w w:val="105"/>
        </w:rPr>
        <w:t> </w:t>
      </w:r>
      <w:r>
        <w:rPr>
          <w:color w:val="231F20"/>
          <w:w w:val="105"/>
        </w:rPr>
        <w:t>la</w:t>
      </w:r>
      <w:r>
        <w:rPr>
          <w:color w:val="231F20"/>
          <w:spacing w:val="-23"/>
          <w:w w:val="105"/>
        </w:rPr>
        <w:t> </w:t>
      </w:r>
      <w:r>
        <w:rPr>
          <w:color w:val="231F20"/>
          <w:w w:val="105"/>
        </w:rPr>
        <w:t>creación</w:t>
      </w:r>
      <w:r>
        <w:rPr>
          <w:color w:val="231F20"/>
          <w:spacing w:val="-23"/>
          <w:w w:val="105"/>
        </w:rPr>
        <w:t> </w:t>
      </w:r>
      <w:r>
        <w:rPr>
          <w:color w:val="231F20"/>
          <w:w w:val="105"/>
        </w:rPr>
        <w:t>del</w:t>
      </w:r>
      <w:r>
        <w:rPr>
          <w:color w:val="231F20"/>
          <w:spacing w:val="-23"/>
          <w:w w:val="105"/>
        </w:rPr>
        <w:t> </w:t>
      </w:r>
      <w:r>
        <w:rPr>
          <w:color w:val="231F20"/>
          <w:w w:val="105"/>
        </w:rPr>
        <w:t>Consejo</w:t>
      </w:r>
      <w:r>
        <w:rPr>
          <w:color w:val="231F20"/>
          <w:spacing w:val="-23"/>
          <w:w w:val="105"/>
        </w:rPr>
        <w:t> </w:t>
      </w:r>
      <w:r>
        <w:rPr>
          <w:color w:val="231F20"/>
          <w:w w:val="105"/>
        </w:rPr>
        <w:t>Municipal</w:t>
      </w:r>
      <w:r>
        <w:rPr>
          <w:color w:val="231F20"/>
          <w:spacing w:val="-23"/>
          <w:w w:val="105"/>
        </w:rPr>
        <w:t> </w:t>
      </w:r>
      <w:r>
        <w:rPr>
          <w:color w:val="231F20"/>
          <w:w w:val="105"/>
        </w:rPr>
        <w:t>de</w:t>
      </w:r>
      <w:r>
        <w:rPr>
          <w:color w:val="231F20"/>
          <w:spacing w:val="-23"/>
          <w:w w:val="105"/>
        </w:rPr>
        <w:t> </w:t>
      </w:r>
      <w:r>
        <w:rPr>
          <w:color w:val="231F20"/>
          <w:w w:val="105"/>
        </w:rPr>
        <w:t>prevención</w:t>
      </w:r>
      <w:r>
        <w:rPr>
          <w:color w:val="231F20"/>
          <w:spacing w:val="-23"/>
          <w:w w:val="105"/>
        </w:rPr>
        <w:t> </w:t>
      </w:r>
      <w:r>
        <w:rPr>
          <w:color w:val="231F20"/>
          <w:w w:val="105"/>
        </w:rPr>
        <w:t>del</w:t>
      </w:r>
      <w:r>
        <w:rPr>
          <w:color w:val="231F20"/>
          <w:spacing w:val="-23"/>
          <w:w w:val="105"/>
        </w:rPr>
        <w:t> </w:t>
      </w:r>
      <w:r>
        <w:rPr>
          <w:color w:val="231F20"/>
          <w:w w:val="105"/>
        </w:rPr>
        <w:t>delito</w:t>
      </w:r>
      <w:r>
        <w:rPr>
          <w:color w:val="231F20"/>
          <w:spacing w:val="-23"/>
          <w:w w:val="105"/>
        </w:rPr>
        <w:t> </w:t>
      </w:r>
      <w:r>
        <w:rPr>
          <w:color w:val="231F20"/>
          <w:w w:val="105"/>
        </w:rPr>
        <w:t>a</w:t>
      </w:r>
      <w:r>
        <w:rPr>
          <w:color w:val="231F20"/>
          <w:spacing w:val="-23"/>
          <w:w w:val="105"/>
        </w:rPr>
        <w:t> </w:t>
      </w:r>
      <w:r>
        <w:rPr>
          <w:color w:val="231F20"/>
          <w:w w:val="105"/>
        </w:rPr>
        <w:t>car- go</w:t>
      </w:r>
      <w:r>
        <w:rPr>
          <w:color w:val="231F20"/>
          <w:spacing w:val="-18"/>
          <w:w w:val="105"/>
        </w:rPr>
        <w:t> </w:t>
      </w:r>
      <w:r>
        <w:rPr>
          <w:color w:val="231F20"/>
          <w:w w:val="105"/>
        </w:rPr>
        <w:t>de</w:t>
      </w:r>
      <w:r>
        <w:rPr>
          <w:color w:val="231F20"/>
          <w:spacing w:val="-18"/>
          <w:w w:val="105"/>
        </w:rPr>
        <w:t> </w:t>
      </w:r>
      <w:r>
        <w:rPr>
          <w:color w:val="231F20"/>
          <w:w w:val="105"/>
        </w:rPr>
        <w:t>Fernando</w:t>
      </w:r>
      <w:r>
        <w:rPr>
          <w:color w:val="231F20"/>
          <w:spacing w:val="-18"/>
          <w:w w:val="105"/>
        </w:rPr>
        <w:t> </w:t>
      </w:r>
      <w:r>
        <w:rPr>
          <w:color w:val="231F20"/>
          <w:w w:val="105"/>
        </w:rPr>
        <w:t>Ordorica,</w:t>
      </w:r>
      <w:r>
        <w:rPr>
          <w:color w:val="231F20"/>
          <w:spacing w:val="-18"/>
          <w:w w:val="105"/>
        </w:rPr>
        <w:t> </w:t>
      </w:r>
      <w:r>
        <w:rPr>
          <w:color w:val="231F20"/>
          <w:w w:val="105"/>
        </w:rPr>
        <w:t>cuyo</w:t>
      </w:r>
      <w:r>
        <w:rPr>
          <w:color w:val="231F20"/>
          <w:spacing w:val="-18"/>
          <w:w w:val="105"/>
        </w:rPr>
        <w:t> </w:t>
      </w:r>
      <w:r>
        <w:rPr>
          <w:color w:val="231F20"/>
          <w:w w:val="105"/>
        </w:rPr>
        <w:t>objetivo</w:t>
      </w:r>
      <w:r>
        <w:rPr>
          <w:color w:val="231F20"/>
          <w:spacing w:val="-18"/>
          <w:w w:val="105"/>
        </w:rPr>
        <w:t> </w:t>
      </w:r>
      <w:r>
        <w:rPr>
          <w:color w:val="231F20"/>
          <w:w w:val="105"/>
        </w:rPr>
        <w:t>es</w:t>
      </w:r>
      <w:r>
        <w:rPr>
          <w:color w:val="231F20"/>
          <w:spacing w:val="-18"/>
          <w:w w:val="105"/>
        </w:rPr>
        <w:t> </w:t>
      </w:r>
      <w:r>
        <w:rPr>
          <w:color w:val="231F20"/>
          <w:w w:val="105"/>
        </w:rPr>
        <w:t>orientar</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delegados</w:t>
      </w:r>
      <w:r>
        <w:rPr>
          <w:color w:val="231F20"/>
          <w:spacing w:val="-18"/>
          <w:w w:val="105"/>
        </w:rPr>
        <w:t> </w:t>
      </w:r>
      <w:r>
        <w:rPr>
          <w:color w:val="231F20"/>
          <w:spacing w:val="-3"/>
          <w:w w:val="105"/>
        </w:rPr>
        <w:t>(autoridades</w:t>
      </w:r>
      <w:r>
        <w:rPr>
          <w:color w:val="231F20"/>
          <w:spacing w:val="-18"/>
          <w:w w:val="105"/>
        </w:rPr>
        <w:t> </w:t>
      </w:r>
      <w:r>
        <w:rPr>
          <w:color w:val="231F20"/>
          <w:w w:val="105"/>
        </w:rPr>
        <w:t>auxilia- res</w:t>
      </w:r>
      <w:r>
        <w:rPr>
          <w:color w:val="231F20"/>
          <w:spacing w:val="-21"/>
          <w:w w:val="105"/>
        </w:rPr>
        <w:t> </w:t>
      </w:r>
      <w:r>
        <w:rPr>
          <w:color w:val="231F20"/>
          <w:w w:val="105"/>
        </w:rPr>
        <w:t>en</w:t>
      </w:r>
      <w:r>
        <w:rPr>
          <w:color w:val="231F20"/>
          <w:spacing w:val="-21"/>
          <w:w w:val="105"/>
        </w:rPr>
        <w:t> </w:t>
      </w:r>
      <w:r>
        <w:rPr>
          <w:color w:val="231F20"/>
          <w:w w:val="105"/>
        </w:rPr>
        <w:t>cada</w:t>
      </w:r>
      <w:r>
        <w:rPr>
          <w:color w:val="231F20"/>
          <w:spacing w:val="-21"/>
          <w:w w:val="105"/>
        </w:rPr>
        <w:t> </w:t>
      </w:r>
      <w:r>
        <w:rPr>
          <w:color w:val="231F20"/>
          <w:w w:val="105"/>
        </w:rPr>
        <w:t>localidad)</w:t>
      </w:r>
      <w:r>
        <w:rPr>
          <w:color w:val="231F20"/>
          <w:spacing w:val="-21"/>
          <w:w w:val="105"/>
        </w:rPr>
        <w:t> </w:t>
      </w:r>
      <w:r>
        <w:rPr>
          <w:color w:val="231F20"/>
          <w:w w:val="105"/>
        </w:rPr>
        <w:t>para</w:t>
      </w:r>
      <w:r>
        <w:rPr>
          <w:color w:val="231F20"/>
          <w:spacing w:val="-21"/>
          <w:w w:val="105"/>
        </w:rPr>
        <w:t> </w:t>
      </w:r>
      <w:r>
        <w:rPr>
          <w:color w:val="231F20"/>
          <w:w w:val="105"/>
        </w:rPr>
        <w:t>prevenir</w:t>
      </w:r>
      <w:r>
        <w:rPr>
          <w:color w:val="231F20"/>
          <w:spacing w:val="-21"/>
          <w:w w:val="105"/>
        </w:rPr>
        <w:t> </w:t>
      </w:r>
      <w:r>
        <w:rPr>
          <w:color w:val="231F20"/>
          <w:w w:val="105"/>
        </w:rPr>
        <w:t>desde</w:t>
      </w:r>
      <w:r>
        <w:rPr>
          <w:color w:val="231F20"/>
          <w:spacing w:val="-21"/>
          <w:w w:val="105"/>
        </w:rPr>
        <w:t> </w:t>
      </w:r>
      <w:r>
        <w:rPr>
          <w:color w:val="231F20"/>
          <w:w w:val="105"/>
        </w:rPr>
        <w:t>las</w:t>
      </w:r>
      <w:r>
        <w:rPr>
          <w:color w:val="231F20"/>
          <w:spacing w:val="-21"/>
          <w:w w:val="105"/>
        </w:rPr>
        <w:t> </w:t>
      </w:r>
      <w:r>
        <w:rPr>
          <w:color w:val="231F20"/>
          <w:spacing w:val="2"/>
          <w:w w:val="105"/>
        </w:rPr>
        <w:t>familias</w:t>
      </w:r>
      <w:r>
        <w:rPr>
          <w:color w:val="231F20"/>
          <w:spacing w:val="-21"/>
          <w:w w:val="105"/>
        </w:rPr>
        <w:t> </w:t>
      </w:r>
      <w:r>
        <w:rPr>
          <w:color w:val="231F20"/>
          <w:w w:val="105"/>
        </w:rPr>
        <w:t>la</w:t>
      </w:r>
      <w:r>
        <w:rPr>
          <w:color w:val="231F20"/>
          <w:spacing w:val="-21"/>
          <w:w w:val="105"/>
        </w:rPr>
        <w:t> </w:t>
      </w:r>
      <w:r>
        <w:rPr>
          <w:color w:val="231F20"/>
          <w:w w:val="105"/>
        </w:rPr>
        <w:t>delincuencia</w:t>
      </w:r>
      <w:r>
        <w:rPr>
          <w:color w:val="231F20"/>
          <w:spacing w:val="-21"/>
          <w:w w:val="105"/>
        </w:rPr>
        <w:t> </w:t>
      </w:r>
      <w:r>
        <w:rPr>
          <w:color w:val="231F20"/>
          <w:w w:val="105"/>
        </w:rPr>
        <w:t>juvenil,</w:t>
      </w:r>
      <w:r>
        <w:rPr>
          <w:color w:val="231F20"/>
          <w:spacing w:val="-21"/>
          <w:w w:val="105"/>
        </w:rPr>
        <w:t> </w:t>
      </w:r>
      <w:r>
        <w:rPr>
          <w:color w:val="231F20"/>
          <w:w w:val="105"/>
        </w:rPr>
        <w:t>y</w:t>
      </w:r>
      <w:r>
        <w:rPr>
          <w:color w:val="231F20"/>
          <w:spacing w:val="-21"/>
          <w:w w:val="105"/>
        </w:rPr>
        <w:t> </w:t>
      </w:r>
      <w:r>
        <w:rPr>
          <w:color w:val="231F20"/>
          <w:w w:val="105"/>
        </w:rPr>
        <w:t>conocer propuestas</w:t>
      </w:r>
      <w:r>
        <w:rPr>
          <w:color w:val="231F20"/>
          <w:spacing w:val="-12"/>
          <w:w w:val="105"/>
        </w:rPr>
        <w:t> </w:t>
      </w:r>
      <w:r>
        <w:rPr>
          <w:color w:val="231F20"/>
          <w:w w:val="105"/>
        </w:rPr>
        <w:t>y</w:t>
      </w:r>
      <w:r>
        <w:rPr>
          <w:color w:val="231F20"/>
          <w:spacing w:val="-12"/>
          <w:w w:val="105"/>
        </w:rPr>
        <w:t> </w:t>
      </w:r>
      <w:r>
        <w:rPr>
          <w:color w:val="231F20"/>
          <w:w w:val="105"/>
        </w:rPr>
        <w:t>proyectos</w:t>
      </w:r>
      <w:r>
        <w:rPr>
          <w:color w:val="231F20"/>
          <w:spacing w:val="-12"/>
          <w:w w:val="105"/>
        </w:rPr>
        <w:t> </w:t>
      </w:r>
      <w:r>
        <w:rPr>
          <w:color w:val="231F20"/>
          <w:w w:val="105"/>
        </w:rPr>
        <w:t>ciudadanos</w:t>
      </w:r>
      <w:r>
        <w:rPr>
          <w:color w:val="231F20"/>
          <w:spacing w:val="-12"/>
          <w:w w:val="105"/>
        </w:rPr>
        <w:t> </w:t>
      </w:r>
      <w:r>
        <w:rPr>
          <w:color w:val="231F20"/>
          <w:w w:val="105"/>
        </w:rPr>
        <w:t>para</w:t>
      </w:r>
      <w:r>
        <w:rPr>
          <w:color w:val="231F20"/>
          <w:spacing w:val="-12"/>
          <w:w w:val="105"/>
        </w:rPr>
        <w:t> </w:t>
      </w:r>
      <w:r>
        <w:rPr>
          <w:color w:val="231F20"/>
          <w:w w:val="105"/>
        </w:rPr>
        <w:t>combatir</w:t>
      </w:r>
      <w:r>
        <w:rPr>
          <w:color w:val="231F20"/>
          <w:spacing w:val="-12"/>
          <w:w w:val="105"/>
        </w:rPr>
        <w:t> </w:t>
      </w:r>
      <w:r>
        <w:rPr>
          <w:color w:val="231F20"/>
          <w:w w:val="105"/>
        </w:rPr>
        <w:t>este</w:t>
      </w:r>
      <w:r>
        <w:rPr>
          <w:color w:val="231F20"/>
          <w:spacing w:val="-12"/>
          <w:w w:val="105"/>
        </w:rPr>
        <w:t> </w:t>
      </w:r>
      <w:r>
        <w:rPr>
          <w:color w:val="231F20"/>
          <w:w w:val="105"/>
        </w:rPr>
        <w:t>problema.</w:t>
      </w:r>
    </w:p>
    <w:p>
      <w:pPr>
        <w:pStyle w:val="BodyText"/>
        <w:spacing w:before="1"/>
        <w:rPr>
          <w:sz w:val="26"/>
        </w:rPr>
      </w:pPr>
    </w:p>
    <w:p>
      <w:pPr>
        <w:pStyle w:val="BodyText"/>
        <w:spacing w:line="285" w:lineRule="auto"/>
        <w:ind w:left="110" w:right="108"/>
        <w:jc w:val="both"/>
      </w:pPr>
      <w:r>
        <w:rPr>
          <w:color w:val="231F20"/>
          <w:w w:val="105"/>
        </w:rPr>
        <w:t>El área menos atendida por el gobierno municipal es la correspondiente a bomberos, pues</w:t>
      </w:r>
      <w:r>
        <w:rPr>
          <w:color w:val="231F20"/>
          <w:spacing w:val="-13"/>
          <w:w w:val="105"/>
        </w:rPr>
        <w:t> </w:t>
      </w:r>
      <w:r>
        <w:rPr>
          <w:color w:val="231F20"/>
          <w:w w:val="105"/>
        </w:rPr>
        <w:t>aunque</w:t>
      </w:r>
      <w:r>
        <w:rPr>
          <w:color w:val="231F20"/>
          <w:spacing w:val="-13"/>
          <w:w w:val="105"/>
        </w:rPr>
        <w:t> </w:t>
      </w:r>
      <w:r>
        <w:rPr>
          <w:color w:val="231F20"/>
          <w:w w:val="105"/>
        </w:rPr>
        <w:t>el</w:t>
      </w:r>
      <w:r>
        <w:rPr>
          <w:color w:val="231F20"/>
          <w:spacing w:val="-13"/>
          <w:w w:val="105"/>
        </w:rPr>
        <w:t> </w:t>
      </w:r>
      <w:r>
        <w:rPr>
          <w:color w:val="231F20"/>
          <w:w w:val="105"/>
        </w:rPr>
        <w:t>diagnóstico</w:t>
      </w:r>
      <w:r>
        <w:rPr>
          <w:color w:val="231F20"/>
          <w:spacing w:val="-13"/>
          <w:w w:val="105"/>
        </w:rPr>
        <w:t> </w:t>
      </w:r>
      <w:r>
        <w:rPr>
          <w:color w:val="231F20"/>
          <w:w w:val="105"/>
        </w:rPr>
        <w:t>reveló</w:t>
      </w:r>
      <w:r>
        <w:rPr>
          <w:color w:val="231F20"/>
          <w:spacing w:val="-13"/>
          <w:w w:val="105"/>
        </w:rPr>
        <w:t> </w:t>
      </w:r>
      <w:r>
        <w:rPr>
          <w:color w:val="231F20"/>
          <w:w w:val="105"/>
        </w:rPr>
        <w:t>deficiencias</w:t>
      </w:r>
      <w:r>
        <w:rPr>
          <w:color w:val="231F20"/>
          <w:spacing w:val="-13"/>
          <w:w w:val="105"/>
        </w:rPr>
        <w:t> </w:t>
      </w:r>
      <w:r>
        <w:rPr>
          <w:color w:val="231F20"/>
          <w:w w:val="105"/>
        </w:rPr>
        <w:t>en</w:t>
      </w:r>
      <w:r>
        <w:rPr>
          <w:color w:val="231F20"/>
          <w:spacing w:val="-13"/>
          <w:w w:val="105"/>
        </w:rPr>
        <w:t> </w:t>
      </w:r>
      <w:r>
        <w:rPr>
          <w:color w:val="231F20"/>
          <w:w w:val="105"/>
        </w:rPr>
        <w:t>personal,</w:t>
      </w:r>
      <w:r>
        <w:rPr>
          <w:color w:val="231F20"/>
          <w:spacing w:val="-13"/>
          <w:w w:val="105"/>
        </w:rPr>
        <w:t> </w:t>
      </w:r>
      <w:r>
        <w:rPr>
          <w:color w:val="231F20"/>
          <w:w w:val="105"/>
        </w:rPr>
        <w:t>equipo</w:t>
      </w:r>
      <w:r>
        <w:rPr>
          <w:color w:val="231F20"/>
          <w:spacing w:val="-13"/>
          <w:w w:val="105"/>
        </w:rPr>
        <w:t> </w:t>
      </w:r>
      <w:r>
        <w:rPr>
          <w:color w:val="231F20"/>
          <w:w w:val="105"/>
        </w:rPr>
        <w:t>y</w:t>
      </w:r>
      <w:r>
        <w:rPr>
          <w:color w:val="231F20"/>
          <w:spacing w:val="-13"/>
          <w:w w:val="105"/>
        </w:rPr>
        <w:t> </w:t>
      </w:r>
      <w:r>
        <w:rPr>
          <w:color w:val="231F20"/>
          <w:w w:val="105"/>
        </w:rPr>
        <w:t>unidades,</w:t>
      </w:r>
      <w:r>
        <w:rPr>
          <w:color w:val="231F20"/>
          <w:spacing w:val="-13"/>
          <w:w w:val="105"/>
        </w:rPr>
        <w:t> </w:t>
      </w:r>
      <w:r>
        <w:rPr>
          <w:color w:val="231F20"/>
          <w:w w:val="105"/>
        </w:rPr>
        <w:t>en</w:t>
      </w:r>
      <w:r>
        <w:rPr>
          <w:color w:val="231F20"/>
          <w:spacing w:val="-13"/>
          <w:w w:val="105"/>
        </w:rPr>
        <w:t> </w:t>
      </w:r>
      <w:r>
        <w:rPr>
          <w:color w:val="231F20"/>
          <w:spacing w:val="3"/>
          <w:w w:val="105"/>
        </w:rPr>
        <w:t>2008 </w:t>
      </w:r>
      <w:r>
        <w:rPr>
          <w:color w:val="231F20"/>
          <w:w w:val="105"/>
        </w:rPr>
        <w:t>no</w:t>
      </w:r>
      <w:r>
        <w:rPr>
          <w:color w:val="231F20"/>
          <w:spacing w:val="-12"/>
          <w:w w:val="105"/>
        </w:rPr>
        <w:t> </w:t>
      </w:r>
      <w:r>
        <w:rPr>
          <w:color w:val="231F20"/>
          <w:w w:val="105"/>
        </w:rPr>
        <w:t>se</w:t>
      </w:r>
      <w:r>
        <w:rPr>
          <w:color w:val="231F20"/>
          <w:spacing w:val="-12"/>
          <w:w w:val="105"/>
        </w:rPr>
        <w:t> </w:t>
      </w:r>
      <w:r>
        <w:rPr>
          <w:color w:val="231F20"/>
          <w:w w:val="105"/>
        </w:rPr>
        <w:t>reportó</w:t>
      </w:r>
      <w:r>
        <w:rPr>
          <w:color w:val="231F20"/>
          <w:spacing w:val="-12"/>
          <w:w w:val="105"/>
        </w:rPr>
        <w:t> </w:t>
      </w:r>
      <w:r>
        <w:rPr>
          <w:color w:val="231F20"/>
          <w:w w:val="105"/>
        </w:rPr>
        <w:t>acción</w:t>
      </w:r>
      <w:r>
        <w:rPr>
          <w:color w:val="231F20"/>
          <w:spacing w:val="-12"/>
          <w:w w:val="105"/>
        </w:rPr>
        <w:t> </w:t>
      </w:r>
      <w:r>
        <w:rPr>
          <w:color w:val="231F20"/>
          <w:w w:val="105"/>
        </w:rPr>
        <w:t>que</w:t>
      </w:r>
      <w:r>
        <w:rPr>
          <w:color w:val="231F20"/>
          <w:spacing w:val="-12"/>
          <w:w w:val="105"/>
        </w:rPr>
        <w:t> </w:t>
      </w:r>
      <w:r>
        <w:rPr>
          <w:color w:val="231F20"/>
          <w:w w:val="105"/>
        </w:rPr>
        <w:t>solucionara</w:t>
      </w:r>
      <w:r>
        <w:rPr>
          <w:color w:val="231F20"/>
          <w:spacing w:val="-12"/>
          <w:w w:val="105"/>
        </w:rPr>
        <w:t> </w:t>
      </w:r>
      <w:r>
        <w:rPr>
          <w:color w:val="231F20"/>
          <w:w w:val="105"/>
        </w:rPr>
        <w:t>estos</w:t>
      </w:r>
      <w:r>
        <w:rPr>
          <w:color w:val="231F20"/>
          <w:spacing w:val="-12"/>
          <w:w w:val="105"/>
        </w:rPr>
        <w:t> </w:t>
      </w:r>
      <w:r>
        <w:rPr>
          <w:color w:val="231F20"/>
          <w:w w:val="105"/>
        </w:rPr>
        <w:t>problemas.</w:t>
      </w:r>
    </w:p>
    <w:p>
      <w:pPr>
        <w:pStyle w:val="BodyText"/>
        <w:spacing w:before="1"/>
        <w:rPr>
          <w:sz w:val="26"/>
        </w:rPr>
      </w:pPr>
    </w:p>
    <w:p>
      <w:pPr>
        <w:pStyle w:val="BodyText"/>
        <w:spacing w:line="285" w:lineRule="auto"/>
        <w:ind w:left="110" w:right="107"/>
        <w:jc w:val="both"/>
      </w:pPr>
      <w:r>
        <w:rPr>
          <w:color w:val="231F20"/>
          <w:spacing w:val="-3"/>
          <w:w w:val="105"/>
        </w:rPr>
        <w:t>Derechos </w:t>
      </w:r>
      <w:r>
        <w:rPr>
          <w:color w:val="231F20"/>
          <w:w w:val="105"/>
        </w:rPr>
        <w:t>humanos es una </w:t>
      </w:r>
      <w:r>
        <w:rPr>
          <w:color w:val="231F20"/>
          <w:spacing w:val="-4"/>
          <w:w w:val="105"/>
        </w:rPr>
        <w:t>dependencia </w:t>
      </w:r>
      <w:r>
        <w:rPr>
          <w:color w:val="231F20"/>
          <w:spacing w:val="-5"/>
          <w:w w:val="105"/>
        </w:rPr>
        <w:t>autónoma </w:t>
      </w:r>
      <w:r>
        <w:rPr>
          <w:color w:val="231F20"/>
          <w:w w:val="105"/>
        </w:rPr>
        <w:t>de </w:t>
      </w:r>
      <w:r>
        <w:rPr>
          <w:color w:val="231F20"/>
          <w:spacing w:val="-4"/>
          <w:w w:val="105"/>
        </w:rPr>
        <w:t>reciente creación </w:t>
      </w:r>
      <w:r>
        <w:rPr>
          <w:color w:val="231F20"/>
          <w:spacing w:val="-3"/>
          <w:w w:val="105"/>
        </w:rPr>
        <w:t>que </w:t>
      </w:r>
      <w:r>
        <w:rPr>
          <w:color w:val="231F20"/>
          <w:w w:val="105"/>
        </w:rPr>
        <w:t>se </w:t>
      </w:r>
      <w:r>
        <w:rPr>
          <w:color w:val="231F20"/>
          <w:spacing w:val="-3"/>
          <w:w w:val="105"/>
        </w:rPr>
        <w:t>encuentra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estructura</w:t>
      </w:r>
      <w:r>
        <w:rPr>
          <w:color w:val="231F20"/>
          <w:spacing w:val="-13"/>
          <w:w w:val="105"/>
        </w:rPr>
        <w:t> </w:t>
      </w:r>
      <w:r>
        <w:rPr>
          <w:color w:val="231F20"/>
          <w:spacing w:val="-3"/>
          <w:w w:val="105"/>
        </w:rPr>
        <w:t>del</w:t>
      </w:r>
      <w:r>
        <w:rPr>
          <w:color w:val="231F20"/>
          <w:spacing w:val="-13"/>
          <w:w w:val="105"/>
        </w:rPr>
        <w:t> </w:t>
      </w:r>
      <w:r>
        <w:rPr>
          <w:color w:val="231F20"/>
          <w:spacing w:val="-4"/>
          <w:w w:val="105"/>
        </w:rPr>
        <w:t>gobierno</w:t>
      </w:r>
      <w:r>
        <w:rPr>
          <w:color w:val="231F20"/>
          <w:spacing w:val="-13"/>
          <w:w w:val="105"/>
        </w:rPr>
        <w:t> </w:t>
      </w:r>
      <w:r>
        <w:rPr>
          <w:color w:val="231F20"/>
          <w:w w:val="105"/>
        </w:rPr>
        <w:t>municipal</w:t>
      </w:r>
      <w:r>
        <w:rPr>
          <w:color w:val="231F20"/>
          <w:spacing w:val="-13"/>
          <w:w w:val="105"/>
        </w:rPr>
        <w:t> </w:t>
      </w:r>
      <w:r>
        <w:rPr>
          <w:color w:val="231F20"/>
          <w:w w:val="105"/>
        </w:rPr>
        <w:t>de</w:t>
      </w:r>
      <w:r>
        <w:rPr>
          <w:color w:val="231F20"/>
          <w:spacing w:val="-13"/>
          <w:w w:val="105"/>
        </w:rPr>
        <w:t> </w:t>
      </w:r>
      <w:r>
        <w:rPr>
          <w:color w:val="231F20"/>
          <w:w w:val="105"/>
        </w:rPr>
        <w:t>Ixtapan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Sal,</w:t>
      </w:r>
      <w:r>
        <w:rPr>
          <w:color w:val="231F20"/>
          <w:spacing w:val="-13"/>
          <w:w w:val="105"/>
        </w:rPr>
        <w:t> </w:t>
      </w:r>
      <w:r>
        <w:rPr>
          <w:color w:val="231F20"/>
          <w:w w:val="105"/>
        </w:rPr>
        <w:t>la</w:t>
      </w:r>
      <w:r>
        <w:rPr>
          <w:color w:val="231F20"/>
          <w:spacing w:val="-13"/>
          <w:w w:val="105"/>
        </w:rPr>
        <w:t> </w:t>
      </w:r>
      <w:r>
        <w:rPr>
          <w:color w:val="231F20"/>
          <w:w w:val="105"/>
        </w:rPr>
        <w:t>cual</w:t>
      </w:r>
      <w:r>
        <w:rPr>
          <w:color w:val="231F20"/>
          <w:spacing w:val="-13"/>
          <w:w w:val="105"/>
        </w:rPr>
        <w:t> </w:t>
      </w:r>
      <w:r>
        <w:rPr>
          <w:color w:val="231F20"/>
          <w:w w:val="105"/>
        </w:rPr>
        <w:t>se</w:t>
      </w:r>
      <w:r>
        <w:rPr>
          <w:color w:val="231F20"/>
          <w:spacing w:val="-13"/>
          <w:w w:val="105"/>
        </w:rPr>
        <w:t> </w:t>
      </w:r>
      <w:r>
        <w:rPr>
          <w:color w:val="231F20"/>
          <w:spacing w:val="-3"/>
          <w:w w:val="105"/>
        </w:rPr>
        <w:t>percató</w:t>
      </w:r>
      <w:r>
        <w:rPr>
          <w:color w:val="231F20"/>
          <w:spacing w:val="-13"/>
          <w:w w:val="105"/>
        </w:rPr>
        <w:t> </w:t>
      </w:r>
      <w:r>
        <w:rPr>
          <w:color w:val="231F20"/>
          <w:w w:val="105"/>
        </w:rPr>
        <w:t>de</w:t>
      </w:r>
      <w:r>
        <w:rPr>
          <w:color w:val="231F20"/>
          <w:spacing w:val="-13"/>
          <w:w w:val="105"/>
        </w:rPr>
        <w:t> </w:t>
      </w:r>
      <w:r>
        <w:rPr>
          <w:color w:val="231F20"/>
          <w:spacing w:val="-3"/>
          <w:w w:val="105"/>
        </w:rPr>
        <w:t>que</w:t>
      </w:r>
      <w:r>
        <w:rPr>
          <w:color w:val="231F20"/>
          <w:spacing w:val="-13"/>
          <w:w w:val="105"/>
        </w:rPr>
        <w:t> </w:t>
      </w:r>
      <w:r>
        <w:rPr>
          <w:color w:val="231F20"/>
          <w:spacing w:val="-4"/>
          <w:w w:val="105"/>
        </w:rPr>
        <w:t>los </w:t>
      </w:r>
      <w:r>
        <w:rPr>
          <w:color w:val="231F20"/>
          <w:w w:val="105"/>
        </w:rPr>
        <w:t>trámites</w:t>
      </w:r>
      <w:r>
        <w:rPr>
          <w:color w:val="231F20"/>
          <w:spacing w:val="-22"/>
          <w:w w:val="105"/>
        </w:rPr>
        <w:t> </w:t>
      </w:r>
      <w:r>
        <w:rPr>
          <w:color w:val="231F20"/>
          <w:w w:val="105"/>
        </w:rPr>
        <w:t>para</w:t>
      </w:r>
      <w:r>
        <w:rPr>
          <w:color w:val="231F20"/>
          <w:spacing w:val="-22"/>
          <w:w w:val="105"/>
        </w:rPr>
        <w:t> </w:t>
      </w:r>
      <w:r>
        <w:rPr>
          <w:color w:val="231F20"/>
          <w:spacing w:val="-3"/>
          <w:w w:val="105"/>
        </w:rPr>
        <w:t>denuncia</w:t>
      </w:r>
      <w:r>
        <w:rPr>
          <w:color w:val="231F20"/>
          <w:spacing w:val="-22"/>
          <w:w w:val="105"/>
        </w:rPr>
        <w:t> </w:t>
      </w:r>
      <w:r>
        <w:rPr>
          <w:color w:val="231F20"/>
          <w:w w:val="105"/>
        </w:rPr>
        <w:t>eran</w:t>
      </w:r>
      <w:r>
        <w:rPr>
          <w:color w:val="231F20"/>
          <w:spacing w:val="-22"/>
          <w:w w:val="105"/>
        </w:rPr>
        <w:t> </w:t>
      </w:r>
      <w:r>
        <w:rPr>
          <w:color w:val="231F20"/>
          <w:spacing w:val="-3"/>
          <w:w w:val="105"/>
        </w:rPr>
        <w:t>ineficientes</w:t>
      </w:r>
      <w:r>
        <w:rPr>
          <w:color w:val="231F20"/>
          <w:spacing w:val="-22"/>
          <w:w w:val="105"/>
        </w:rPr>
        <w:t> </w:t>
      </w:r>
      <w:r>
        <w:rPr>
          <w:color w:val="231F20"/>
          <w:w w:val="105"/>
        </w:rPr>
        <w:t>y</w:t>
      </w:r>
      <w:r>
        <w:rPr>
          <w:color w:val="231F20"/>
          <w:spacing w:val="-22"/>
          <w:w w:val="105"/>
        </w:rPr>
        <w:t> </w:t>
      </w:r>
      <w:r>
        <w:rPr>
          <w:color w:val="231F20"/>
          <w:spacing w:val="-3"/>
          <w:w w:val="105"/>
        </w:rPr>
        <w:t>además</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spacing w:val="-3"/>
          <w:w w:val="105"/>
        </w:rPr>
        <w:t>comunidades</w:t>
      </w:r>
      <w:r>
        <w:rPr>
          <w:color w:val="231F20"/>
          <w:spacing w:val="-22"/>
          <w:w w:val="105"/>
        </w:rPr>
        <w:t> </w:t>
      </w:r>
      <w:r>
        <w:rPr>
          <w:color w:val="231F20"/>
          <w:w w:val="105"/>
        </w:rPr>
        <w:t>se</w:t>
      </w:r>
      <w:r>
        <w:rPr>
          <w:color w:val="231F20"/>
          <w:spacing w:val="-22"/>
          <w:w w:val="105"/>
        </w:rPr>
        <w:t> </w:t>
      </w:r>
      <w:r>
        <w:rPr>
          <w:color w:val="231F20"/>
          <w:w w:val="105"/>
        </w:rPr>
        <w:t>carecía</w:t>
      </w:r>
      <w:r>
        <w:rPr>
          <w:color w:val="231F20"/>
          <w:spacing w:val="-22"/>
          <w:w w:val="105"/>
        </w:rPr>
        <w:t> </w:t>
      </w:r>
      <w:r>
        <w:rPr>
          <w:color w:val="231F20"/>
          <w:w w:val="105"/>
        </w:rPr>
        <w:t>de</w:t>
      </w:r>
      <w:r>
        <w:rPr>
          <w:color w:val="231F20"/>
          <w:spacing w:val="-22"/>
          <w:w w:val="105"/>
        </w:rPr>
        <w:t> </w:t>
      </w:r>
      <w:r>
        <w:rPr>
          <w:color w:val="231F20"/>
          <w:w w:val="105"/>
        </w:rPr>
        <w:t>cultu- ra</w:t>
      </w:r>
      <w:r>
        <w:rPr>
          <w:color w:val="231F20"/>
          <w:spacing w:val="-11"/>
          <w:w w:val="105"/>
        </w:rPr>
        <w:t> </w:t>
      </w:r>
      <w:r>
        <w:rPr>
          <w:color w:val="231F20"/>
          <w:w w:val="105"/>
        </w:rPr>
        <w:t>de</w:t>
      </w:r>
      <w:r>
        <w:rPr>
          <w:color w:val="231F20"/>
          <w:spacing w:val="-11"/>
          <w:w w:val="105"/>
        </w:rPr>
        <w:t> </w:t>
      </w:r>
      <w:r>
        <w:rPr>
          <w:color w:val="231F20"/>
          <w:spacing w:val="-3"/>
          <w:w w:val="105"/>
        </w:rPr>
        <w:t>denuncia.</w:t>
      </w:r>
      <w:r>
        <w:rPr>
          <w:color w:val="231F20"/>
          <w:spacing w:val="-11"/>
          <w:w w:val="105"/>
        </w:rPr>
        <w:t> </w:t>
      </w:r>
      <w:r>
        <w:rPr>
          <w:color w:val="231F20"/>
          <w:spacing w:val="-5"/>
          <w:w w:val="105"/>
        </w:rPr>
        <w:t>Por</w:t>
      </w:r>
      <w:r>
        <w:rPr>
          <w:color w:val="231F20"/>
          <w:spacing w:val="-11"/>
          <w:w w:val="105"/>
        </w:rPr>
        <w:t> </w:t>
      </w:r>
      <w:r>
        <w:rPr>
          <w:color w:val="231F20"/>
          <w:spacing w:val="-3"/>
          <w:w w:val="105"/>
        </w:rPr>
        <w:t>lo</w:t>
      </w:r>
      <w:r>
        <w:rPr>
          <w:color w:val="231F20"/>
          <w:spacing w:val="-11"/>
          <w:w w:val="105"/>
        </w:rPr>
        <w:t> </w:t>
      </w:r>
      <w:r>
        <w:rPr>
          <w:color w:val="231F20"/>
          <w:w w:val="105"/>
        </w:rPr>
        <w:t>tanto,</w:t>
      </w:r>
      <w:r>
        <w:rPr>
          <w:color w:val="231F20"/>
          <w:spacing w:val="-11"/>
          <w:w w:val="105"/>
        </w:rPr>
        <w:t> </w:t>
      </w:r>
      <w:r>
        <w:rPr>
          <w:color w:val="231F20"/>
          <w:w w:val="105"/>
        </w:rPr>
        <w:t>se</w:t>
      </w:r>
      <w:r>
        <w:rPr>
          <w:color w:val="231F20"/>
          <w:spacing w:val="-11"/>
          <w:w w:val="105"/>
        </w:rPr>
        <w:t> </w:t>
      </w:r>
      <w:r>
        <w:rPr>
          <w:color w:val="231F20"/>
          <w:spacing w:val="-3"/>
          <w:w w:val="105"/>
        </w:rPr>
        <w:t>establecieron</w:t>
      </w:r>
      <w:r>
        <w:rPr>
          <w:color w:val="231F20"/>
          <w:spacing w:val="-11"/>
          <w:w w:val="105"/>
        </w:rPr>
        <w:t> </w:t>
      </w:r>
      <w:r>
        <w:rPr>
          <w:color w:val="231F20"/>
          <w:spacing w:val="-4"/>
          <w:w w:val="105"/>
        </w:rPr>
        <w:t>como</w:t>
      </w:r>
      <w:r>
        <w:rPr>
          <w:color w:val="231F20"/>
          <w:spacing w:val="-11"/>
          <w:w w:val="105"/>
        </w:rPr>
        <w:t> </w:t>
      </w:r>
      <w:r>
        <w:rPr>
          <w:color w:val="231F20"/>
          <w:spacing w:val="-3"/>
          <w:w w:val="105"/>
        </w:rPr>
        <w:t>objetivos</w:t>
      </w:r>
      <w:r>
        <w:rPr>
          <w:color w:val="231F20"/>
          <w:spacing w:val="-11"/>
          <w:w w:val="105"/>
        </w:rPr>
        <w:t> </w:t>
      </w:r>
      <w:r>
        <w:rPr>
          <w:color w:val="231F20"/>
          <w:spacing w:val="-3"/>
          <w:w w:val="105"/>
        </w:rPr>
        <w:t>hacer</w:t>
      </w:r>
      <w:r>
        <w:rPr>
          <w:color w:val="231F20"/>
          <w:spacing w:val="-11"/>
          <w:w w:val="105"/>
        </w:rPr>
        <w:t> </w:t>
      </w:r>
      <w:r>
        <w:rPr>
          <w:color w:val="231F20"/>
          <w:spacing w:val="-3"/>
          <w:w w:val="105"/>
        </w:rPr>
        <w:t>eficientes</w:t>
      </w:r>
      <w:r>
        <w:rPr>
          <w:color w:val="231F20"/>
          <w:spacing w:val="-11"/>
          <w:w w:val="105"/>
        </w:rPr>
        <w:t> </w:t>
      </w:r>
      <w:r>
        <w:rPr>
          <w:color w:val="231F20"/>
          <w:spacing w:val="-3"/>
          <w:w w:val="105"/>
        </w:rPr>
        <w:t>los</w:t>
      </w:r>
      <w:r>
        <w:rPr>
          <w:color w:val="231F20"/>
          <w:spacing w:val="-11"/>
          <w:w w:val="105"/>
        </w:rPr>
        <w:t> </w:t>
      </w:r>
      <w:r>
        <w:rPr>
          <w:color w:val="231F20"/>
          <w:w w:val="105"/>
        </w:rPr>
        <w:t>trámites </w:t>
      </w:r>
      <w:r>
        <w:rPr>
          <w:color w:val="231F20"/>
          <w:spacing w:val="-8"/>
          <w:w w:val="105"/>
        </w:rPr>
        <w:t>y,</w:t>
      </w:r>
      <w:r>
        <w:rPr>
          <w:color w:val="231F20"/>
          <w:spacing w:val="-23"/>
          <w:w w:val="105"/>
        </w:rPr>
        <w:t> </w:t>
      </w:r>
      <w:r>
        <w:rPr>
          <w:color w:val="231F20"/>
          <w:w w:val="105"/>
        </w:rPr>
        <w:t>a</w:t>
      </w:r>
      <w:r>
        <w:rPr>
          <w:color w:val="231F20"/>
          <w:spacing w:val="-23"/>
          <w:w w:val="105"/>
        </w:rPr>
        <w:t> </w:t>
      </w:r>
      <w:r>
        <w:rPr>
          <w:color w:val="231F20"/>
          <w:spacing w:val="-3"/>
          <w:w w:val="105"/>
        </w:rPr>
        <w:t>través</w:t>
      </w:r>
      <w:r>
        <w:rPr>
          <w:color w:val="231F20"/>
          <w:spacing w:val="-23"/>
          <w:w w:val="105"/>
        </w:rPr>
        <w:t> </w:t>
      </w:r>
      <w:r>
        <w:rPr>
          <w:color w:val="231F20"/>
          <w:w w:val="105"/>
        </w:rPr>
        <w:t>de</w:t>
      </w:r>
      <w:r>
        <w:rPr>
          <w:color w:val="231F20"/>
          <w:spacing w:val="-23"/>
          <w:w w:val="105"/>
        </w:rPr>
        <w:t> </w:t>
      </w:r>
      <w:r>
        <w:rPr>
          <w:color w:val="231F20"/>
          <w:spacing w:val="-3"/>
          <w:w w:val="105"/>
        </w:rPr>
        <w:t>conferencias,</w:t>
      </w:r>
      <w:r>
        <w:rPr>
          <w:color w:val="231F20"/>
          <w:spacing w:val="-23"/>
          <w:w w:val="105"/>
        </w:rPr>
        <w:t> </w:t>
      </w:r>
      <w:r>
        <w:rPr>
          <w:color w:val="231F20"/>
          <w:spacing w:val="-5"/>
          <w:w w:val="105"/>
        </w:rPr>
        <w:t>promover</w:t>
      </w:r>
      <w:r>
        <w:rPr>
          <w:color w:val="231F20"/>
          <w:spacing w:val="-23"/>
          <w:w w:val="105"/>
        </w:rPr>
        <w:t> </w:t>
      </w:r>
      <w:r>
        <w:rPr>
          <w:color w:val="231F20"/>
          <w:w w:val="105"/>
        </w:rPr>
        <w:t>la</w:t>
      </w:r>
      <w:r>
        <w:rPr>
          <w:color w:val="231F20"/>
          <w:spacing w:val="-23"/>
          <w:w w:val="105"/>
        </w:rPr>
        <w:t> </w:t>
      </w:r>
      <w:r>
        <w:rPr>
          <w:color w:val="231F20"/>
          <w:w w:val="105"/>
        </w:rPr>
        <w:t>importancia</w:t>
      </w:r>
      <w:r>
        <w:rPr>
          <w:color w:val="231F20"/>
          <w:spacing w:val="-23"/>
          <w:w w:val="105"/>
        </w:rPr>
        <w:t> </w:t>
      </w:r>
      <w:r>
        <w:rPr>
          <w:color w:val="231F20"/>
          <w:w w:val="105"/>
        </w:rPr>
        <w:t>de</w:t>
      </w:r>
      <w:r>
        <w:rPr>
          <w:color w:val="231F20"/>
          <w:spacing w:val="-23"/>
          <w:w w:val="105"/>
        </w:rPr>
        <w:t> </w:t>
      </w:r>
      <w:r>
        <w:rPr>
          <w:color w:val="231F20"/>
          <w:spacing w:val="-3"/>
          <w:w w:val="105"/>
        </w:rPr>
        <w:t>denunciar</w:t>
      </w:r>
      <w:r>
        <w:rPr>
          <w:color w:val="231F20"/>
          <w:spacing w:val="-23"/>
          <w:w w:val="105"/>
        </w:rPr>
        <w:t> </w:t>
      </w:r>
      <w:r>
        <w:rPr>
          <w:color w:val="231F20"/>
          <w:spacing w:val="-3"/>
          <w:w w:val="105"/>
        </w:rPr>
        <w:t>los</w:t>
      </w:r>
      <w:r>
        <w:rPr>
          <w:color w:val="231F20"/>
          <w:spacing w:val="-23"/>
          <w:w w:val="105"/>
        </w:rPr>
        <w:t> </w:t>
      </w:r>
      <w:r>
        <w:rPr>
          <w:color w:val="231F20"/>
          <w:spacing w:val="-3"/>
          <w:w w:val="105"/>
        </w:rPr>
        <w:t>delitos</w:t>
      </w:r>
      <w:r>
        <w:rPr>
          <w:color w:val="231F20"/>
          <w:spacing w:val="-23"/>
          <w:w w:val="105"/>
        </w:rPr>
        <w:t> </w:t>
      </w:r>
      <w:r>
        <w:rPr>
          <w:color w:val="231F20"/>
          <w:w w:val="105"/>
        </w:rPr>
        <w:t>de</w:t>
      </w:r>
      <w:r>
        <w:rPr>
          <w:color w:val="231F20"/>
          <w:spacing w:val="-23"/>
          <w:w w:val="105"/>
        </w:rPr>
        <w:t> </w:t>
      </w:r>
      <w:r>
        <w:rPr>
          <w:color w:val="231F20"/>
          <w:spacing w:val="-3"/>
          <w:w w:val="105"/>
        </w:rPr>
        <w:t>que</w:t>
      </w:r>
      <w:r>
        <w:rPr>
          <w:color w:val="231F20"/>
          <w:spacing w:val="-23"/>
          <w:w w:val="105"/>
        </w:rPr>
        <w:t> </w:t>
      </w:r>
      <w:r>
        <w:rPr>
          <w:color w:val="231F20"/>
          <w:spacing w:val="-3"/>
          <w:w w:val="105"/>
        </w:rPr>
        <w:t>fueron </w:t>
      </w:r>
      <w:r>
        <w:rPr>
          <w:color w:val="231F20"/>
          <w:w w:val="105"/>
        </w:rPr>
        <w:t>víctimas.</w:t>
      </w:r>
      <w:r>
        <w:rPr>
          <w:color w:val="231F20"/>
          <w:spacing w:val="-27"/>
          <w:w w:val="105"/>
        </w:rPr>
        <w:t> </w:t>
      </w:r>
      <w:r>
        <w:rPr>
          <w:color w:val="231F20"/>
          <w:w w:val="105"/>
        </w:rPr>
        <w:t>Lo</w:t>
      </w:r>
      <w:r>
        <w:rPr>
          <w:color w:val="231F20"/>
          <w:spacing w:val="-27"/>
          <w:w w:val="105"/>
        </w:rPr>
        <w:t> </w:t>
      </w:r>
      <w:r>
        <w:rPr>
          <w:color w:val="231F20"/>
          <w:spacing w:val="-3"/>
          <w:w w:val="105"/>
        </w:rPr>
        <w:t>que</w:t>
      </w:r>
      <w:r>
        <w:rPr>
          <w:color w:val="231F20"/>
          <w:spacing w:val="-27"/>
          <w:w w:val="105"/>
        </w:rPr>
        <w:t> </w:t>
      </w:r>
      <w:r>
        <w:rPr>
          <w:color w:val="231F20"/>
          <w:w w:val="105"/>
        </w:rPr>
        <w:t>se</w:t>
      </w:r>
      <w:r>
        <w:rPr>
          <w:color w:val="231F20"/>
          <w:spacing w:val="-27"/>
          <w:w w:val="105"/>
        </w:rPr>
        <w:t> </w:t>
      </w:r>
      <w:r>
        <w:rPr>
          <w:color w:val="231F20"/>
          <w:spacing w:val="-3"/>
          <w:w w:val="105"/>
        </w:rPr>
        <w:t>logró</w:t>
      </w:r>
      <w:r>
        <w:rPr>
          <w:color w:val="231F20"/>
          <w:spacing w:val="-27"/>
          <w:w w:val="105"/>
        </w:rPr>
        <w:t> </w:t>
      </w:r>
      <w:r>
        <w:rPr>
          <w:color w:val="231F20"/>
          <w:w w:val="105"/>
        </w:rPr>
        <w:t>para</w:t>
      </w:r>
      <w:r>
        <w:rPr>
          <w:color w:val="231F20"/>
          <w:spacing w:val="-27"/>
          <w:w w:val="105"/>
        </w:rPr>
        <w:t> </w:t>
      </w:r>
      <w:r>
        <w:rPr>
          <w:color w:val="231F20"/>
          <w:w w:val="105"/>
        </w:rPr>
        <w:t>2008</w:t>
      </w:r>
      <w:r>
        <w:rPr>
          <w:color w:val="231F20"/>
          <w:spacing w:val="-27"/>
          <w:w w:val="105"/>
        </w:rPr>
        <w:t> </w:t>
      </w:r>
      <w:r>
        <w:rPr>
          <w:color w:val="231F20"/>
          <w:w w:val="105"/>
        </w:rPr>
        <w:t>fue</w:t>
      </w:r>
      <w:r>
        <w:rPr>
          <w:color w:val="231F20"/>
          <w:spacing w:val="-27"/>
          <w:w w:val="105"/>
        </w:rPr>
        <w:t> </w:t>
      </w:r>
      <w:r>
        <w:rPr>
          <w:color w:val="231F20"/>
          <w:w w:val="105"/>
        </w:rPr>
        <w:t>el</w:t>
      </w:r>
      <w:r>
        <w:rPr>
          <w:color w:val="231F20"/>
          <w:spacing w:val="-27"/>
          <w:w w:val="105"/>
        </w:rPr>
        <w:t> </w:t>
      </w:r>
      <w:r>
        <w:rPr>
          <w:color w:val="231F20"/>
          <w:spacing w:val="-4"/>
          <w:w w:val="105"/>
        </w:rPr>
        <w:t>aumento</w:t>
      </w:r>
      <w:r>
        <w:rPr>
          <w:color w:val="231F20"/>
          <w:spacing w:val="-27"/>
          <w:w w:val="105"/>
        </w:rPr>
        <w:t> </w:t>
      </w:r>
      <w:r>
        <w:rPr>
          <w:color w:val="231F20"/>
          <w:w w:val="105"/>
        </w:rPr>
        <w:t>de</w:t>
      </w:r>
      <w:r>
        <w:rPr>
          <w:color w:val="231F20"/>
          <w:spacing w:val="-27"/>
          <w:w w:val="105"/>
        </w:rPr>
        <w:t> </w:t>
      </w:r>
      <w:r>
        <w:rPr>
          <w:color w:val="231F20"/>
          <w:w w:val="105"/>
        </w:rPr>
        <w:t>asesorías</w:t>
      </w:r>
      <w:r>
        <w:rPr>
          <w:color w:val="231F20"/>
          <w:spacing w:val="-27"/>
          <w:w w:val="105"/>
        </w:rPr>
        <w:t> </w:t>
      </w:r>
      <w:r>
        <w:rPr>
          <w:color w:val="231F20"/>
          <w:spacing w:val="-3"/>
          <w:w w:val="105"/>
        </w:rPr>
        <w:t>legales</w:t>
      </w:r>
      <w:r>
        <w:rPr>
          <w:color w:val="231F20"/>
          <w:spacing w:val="-27"/>
          <w:w w:val="105"/>
        </w:rPr>
        <w:t> </w:t>
      </w:r>
      <w:r>
        <w:rPr>
          <w:color w:val="231F20"/>
          <w:w w:val="105"/>
        </w:rPr>
        <w:t>gratuitas,</w:t>
      </w:r>
      <w:r>
        <w:rPr>
          <w:color w:val="231F20"/>
          <w:spacing w:val="-27"/>
          <w:w w:val="105"/>
        </w:rPr>
        <w:t> </w:t>
      </w:r>
      <w:r>
        <w:rPr>
          <w:color w:val="231F20"/>
          <w:spacing w:val="-3"/>
          <w:w w:val="105"/>
        </w:rPr>
        <w:t>defenso- </w:t>
      </w:r>
      <w:r>
        <w:rPr>
          <w:color w:val="231F20"/>
          <w:w w:val="105"/>
        </w:rPr>
        <w:t>ría</w:t>
      </w:r>
      <w:r>
        <w:rPr>
          <w:color w:val="231F20"/>
          <w:spacing w:val="-21"/>
          <w:w w:val="105"/>
        </w:rPr>
        <w:t> </w:t>
      </w:r>
      <w:r>
        <w:rPr>
          <w:color w:val="231F20"/>
          <w:w w:val="105"/>
        </w:rPr>
        <w:t>de</w:t>
      </w:r>
      <w:r>
        <w:rPr>
          <w:color w:val="231F20"/>
          <w:spacing w:val="-21"/>
          <w:w w:val="105"/>
        </w:rPr>
        <w:t> </w:t>
      </w:r>
      <w:r>
        <w:rPr>
          <w:color w:val="231F20"/>
          <w:spacing w:val="-3"/>
          <w:w w:val="105"/>
        </w:rPr>
        <w:t>oficio</w:t>
      </w:r>
      <w:r>
        <w:rPr>
          <w:color w:val="231F20"/>
          <w:spacing w:val="-21"/>
          <w:w w:val="105"/>
        </w:rPr>
        <w:t> </w:t>
      </w:r>
      <w:r>
        <w:rPr>
          <w:color w:val="231F20"/>
          <w:w w:val="105"/>
        </w:rPr>
        <w:t>y</w:t>
      </w:r>
      <w:r>
        <w:rPr>
          <w:color w:val="231F20"/>
          <w:spacing w:val="-21"/>
          <w:w w:val="105"/>
        </w:rPr>
        <w:t> </w:t>
      </w:r>
      <w:r>
        <w:rPr>
          <w:color w:val="231F20"/>
          <w:spacing w:val="-3"/>
          <w:w w:val="105"/>
        </w:rPr>
        <w:t>conferencias</w:t>
      </w:r>
      <w:r>
        <w:rPr>
          <w:color w:val="231F20"/>
          <w:spacing w:val="-21"/>
          <w:w w:val="105"/>
        </w:rPr>
        <w:t> </w:t>
      </w:r>
      <w:r>
        <w:rPr>
          <w:color w:val="231F20"/>
          <w:w w:val="105"/>
        </w:rPr>
        <w:t>para</w:t>
      </w:r>
      <w:r>
        <w:rPr>
          <w:color w:val="231F20"/>
          <w:spacing w:val="-21"/>
          <w:w w:val="105"/>
        </w:rPr>
        <w:t> </w:t>
      </w:r>
      <w:r>
        <w:rPr>
          <w:color w:val="231F20"/>
          <w:w w:val="105"/>
        </w:rPr>
        <w:t>la</w:t>
      </w:r>
      <w:r>
        <w:rPr>
          <w:color w:val="231F20"/>
          <w:spacing w:val="-21"/>
          <w:w w:val="105"/>
        </w:rPr>
        <w:t> </w:t>
      </w:r>
      <w:r>
        <w:rPr>
          <w:color w:val="231F20"/>
          <w:spacing w:val="-4"/>
          <w:w w:val="105"/>
        </w:rPr>
        <w:t>prevención</w:t>
      </w:r>
      <w:r>
        <w:rPr>
          <w:color w:val="231F20"/>
          <w:spacing w:val="-21"/>
          <w:w w:val="105"/>
        </w:rPr>
        <w:t> </w:t>
      </w:r>
      <w:r>
        <w:rPr>
          <w:color w:val="231F20"/>
          <w:w w:val="105"/>
        </w:rPr>
        <w:t>de</w:t>
      </w:r>
      <w:r>
        <w:rPr>
          <w:color w:val="231F20"/>
          <w:spacing w:val="-21"/>
          <w:w w:val="105"/>
        </w:rPr>
        <w:t> </w:t>
      </w:r>
      <w:r>
        <w:rPr>
          <w:color w:val="231F20"/>
          <w:spacing w:val="-3"/>
          <w:w w:val="105"/>
        </w:rPr>
        <w:t>delitos</w:t>
      </w:r>
      <w:r>
        <w:rPr>
          <w:color w:val="231F20"/>
          <w:spacing w:val="-21"/>
          <w:w w:val="105"/>
        </w:rPr>
        <w:t> </w:t>
      </w:r>
      <w:r>
        <w:rPr>
          <w:color w:val="231F20"/>
          <w:w w:val="105"/>
        </w:rPr>
        <w:t>impartidas</w:t>
      </w:r>
      <w:r>
        <w:rPr>
          <w:color w:val="231F20"/>
          <w:spacing w:val="-21"/>
          <w:w w:val="105"/>
        </w:rPr>
        <w:t> </w:t>
      </w:r>
      <w:r>
        <w:rPr>
          <w:color w:val="231F20"/>
          <w:w w:val="105"/>
        </w:rPr>
        <w:t>en</w:t>
      </w:r>
      <w:r>
        <w:rPr>
          <w:color w:val="231F20"/>
          <w:spacing w:val="-21"/>
          <w:w w:val="105"/>
        </w:rPr>
        <w:t> </w:t>
      </w:r>
      <w:r>
        <w:rPr>
          <w:color w:val="231F20"/>
          <w:w w:val="105"/>
        </w:rPr>
        <w:t>escuelas.</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5"/>
          <w:w w:val="105"/>
        </w:rPr>
        <w:t> </w:t>
      </w:r>
      <w:r>
        <w:rPr>
          <w:color w:val="231F20"/>
          <w:w w:val="105"/>
        </w:rPr>
        <w:t>esta</w:t>
      </w:r>
      <w:r>
        <w:rPr>
          <w:color w:val="231F20"/>
          <w:spacing w:val="-15"/>
          <w:w w:val="105"/>
        </w:rPr>
        <w:t> </w:t>
      </w:r>
      <w:r>
        <w:rPr>
          <w:color w:val="231F20"/>
          <w:w w:val="105"/>
        </w:rPr>
        <w:t>forma</w:t>
      </w:r>
      <w:r>
        <w:rPr>
          <w:color w:val="231F20"/>
          <w:spacing w:val="-15"/>
          <w:w w:val="105"/>
        </w:rPr>
        <w:t> </w:t>
      </w:r>
      <w:r>
        <w:rPr>
          <w:color w:val="231F20"/>
          <w:w w:val="105"/>
        </w:rPr>
        <w:t>se</w:t>
      </w:r>
      <w:r>
        <w:rPr>
          <w:color w:val="231F20"/>
          <w:spacing w:val="-15"/>
          <w:w w:val="105"/>
        </w:rPr>
        <w:t> </w:t>
      </w:r>
      <w:r>
        <w:rPr>
          <w:color w:val="231F20"/>
          <w:w w:val="105"/>
        </w:rPr>
        <w:t>encuentra</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el</w:t>
      </w:r>
      <w:r>
        <w:rPr>
          <w:color w:val="231F20"/>
          <w:spacing w:val="-15"/>
          <w:w w:val="105"/>
        </w:rPr>
        <w:t> </w:t>
      </w:r>
      <w:r>
        <w:rPr>
          <w:color w:val="231F20"/>
          <w:w w:val="105"/>
        </w:rPr>
        <w:t>combate</w:t>
      </w:r>
      <w:r>
        <w:rPr>
          <w:color w:val="231F20"/>
          <w:spacing w:val="-15"/>
          <w:w w:val="105"/>
        </w:rPr>
        <w:t> </w:t>
      </w:r>
      <w:r>
        <w:rPr>
          <w:color w:val="231F20"/>
          <w:w w:val="105"/>
        </w:rPr>
        <w:t>a</w:t>
      </w:r>
      <w:r>
        <w:rPr>
          <w:color w:val="231F20"/>
          <w:spacing w:val="-15"/>
          <w:w w:val="105"/>
        </w:rPr>
        <w:t> </w:t>
      </w:r>
      <w:r>
        <w:rPr>
          <w:color w:val="231F20"/>
          <w:w w:val="105"/>
        </w:rPr>
        <w:t>delincuencia,</w:t>
      </w:r>
      <w:r>
        <w:rPr>
          <w:color w:val="231F20"/>
          <w:spacing w:val="-15"/>
          <w:w w:val="105"/>
        </w:rPr>
        <w:t> </w:t>
      </w:r>
      <w:r>
        <w:rPr>
          <w:color w:val="231F20"/>
          <w:w w:val="105"/>
        </w:rPr>
        <w:t>Seguridad</w:t>
      </w:r>
      <w:r>
        <w:rPr>
          <w:color w:val="231F20"/>
          <w:spacing w:val="-15"/>
          <w:w w:val="105"/>
        </w:rPr>
        <w:t> </w:t>
      </w:r>
      <w:r>
        <w:rPr>
          <w:color w:val="231F20"/>
          <w:w w:val="105"/>
        </w:rPr>
        <w:t>Pública fue una de las principales prioridades que refleja lo orquestado por el gobierno muni- cipal hasta este </w:t>
      </w:r>
      <w:r>
        <w:rPr>
          <w:color w:val="231F20"/>
          <w:spacing w:val="-3"/>
          <w:w w:val="105"/>
        </w:rPr>
        <w:t>momento, </w:t>
      </w:r>
      <w:r>
        <w:rPr>
          <w:color w:val="231F20"/>
          <w:w w:val="105"/>
        </w:rPr>
        <w:t>aunque como ha sucedido en los dos pilares anteriores, las acciones</w:t>
      </w:r>
      <w:r>
        <w:rPr>
          <w:color w:val="231F20"/>
          <w:spacing w:val="-13"/>
          <w:w w:val="105"/>
        </w:rPr>
        <w:t> </w:t>
      </w:r>
      <w:r>
        <w:rPr>
          <w:color w:val="231F20"/>
          <w:w w:val="105"/>
        </w:rPr>
        <w:t>no</w:t>
      </w:r>
      <w:r>
        <w:rPr>
          <w:color w:val="231F20"/>
          <w:spacing w:val="-13"/>
          <w:w w:val="105"/>
        </w:rPr>
        <w:t> </w:t>
      </w:r>
      <w:r>
        <w:rPr>
          <w:color w:val="231F20"/>
          <w:w w:val="105"/>
        </w:rPr>
        <w:t>han</w:t>
      </w:r>
      <w:r>
        <w:rPr>
          <w:color w:val="231F20"/>
          <w:spacing w:val="-13"/>
          <w:w w:val="105"/>
        </w:rPr>
        <w:t> </w:t>
      </w:r>
      <w:r>
        <w:rPr>
          <w:color w:val="231F20"/>
          <w:w w:val="105"/>
        </w:rPr>
        <w:t>sido</w:t>
      </w:r>
      <w:r>
        <w:rPr>
          <w:color w:val="231F20"/>
          <w:spacing w:val="-13"/>
          <w:w w:val="105"/>
        </w:rPr>
        <w:t> </w:t>
      </w:r>
      <w:r>
        <w:rPr>
          <w:color w:val="231F20"/>
          <w:w w:val="105"/>
        </w:rPr>
        <w:t>suficientes</w:t>
      </w:r>
      <w:r>
        <w:rPr>
          <w:color w:val="231F20"/>
          <w:spacing w:val="-13"/>
          <w:w w:val="105"/>
        </w:rPr>
        <w:t> </w:t>
      </w:r>
      <w:r>
        <w:rPr>
          <w:color w:val="231F20"/>
          <w:w w:val="105"/>
        </w:rPr>
        <w:t>para</w:t>
      </w:r>
      <w:r>
        <w:rPr>
          <w:color w:val="231F20"/>
          <w:spacing w:val="-13"/>
          <w:w w:val="105"/>
        </w:rPr>
        <w:t> </w:t>
      </w:r>
      <w:r>
        <w:rPr>
          <w:color w:val="231F20"/>
          <w:w w:val="105"/>
        </w:rPr>
        <w:t>erradicar</w:t>
      </w:r>
      <w:r>
        <w:rPr>
          <w:color w:val="231F20"/>
          <w:spacing w:val="-13"/>
          <w:w w:val="105"/>
        </w:rPr>
        <w:t> </w:t>
      </w:r>
      <w:r>
        <w:rPr>
          <w:color w:val="231F20"/>
          <w:w w:val="105"/>
        </w:rPr>
        <w:t>el</w:t>
      </w:r>
      <w:r>
        <w:rPr>
          <w:color w:val="231F20"/>
          <w:spacing w:val="-13"/>
          <w:w w:val="105"/>
        </w:rPr>
        <w:t> </w:t>
      </w:r>
      <w:r>
        <w:rPr>
          <w:color w:val="231F20"/>
          <w:w w:val="105"/>
        </w:rPr>
        <w:t>problema.</w:t>
      </w:r>
    </w:p>
    <w:p>
      <w:pPr>
        <w:spacing w:after="0" w:line="285" w:lineRule="auto"/>
        <w:jc w:val="both"/>
        <w:sectPr>
          <w:pgSz w:w="9640" w:h="12190"/>
          <w:pgMar w:header="0" w:footer="743" w:top="1120" w:bottom="940" w:left="740" w:right="740"/>
        </w:sectPr>
      </w:pPr>
    </w:p>
    <w:p>
      <w:pPr>
        <w:pStyle w:val="BodyText"/>
        <w:rPr>
          <w:sz w:val="9"/>
        </w:rPr>
      </w:pPr>
    </w:p>
    <w:p>
      <w:pPr>
        <w:pStyle w:val="Heading4"/>
        <w:spacing w:line="345" w:lineRule="exact"/>
        <w:rPr>
          <w:i/>
        </w:rPr>
      </w:pPr>
      <w:r>
        <w:rPr>
          <w:i/>
          <w:color w:val="231F20"/>
        </w:rPr>
        <w:t>Seguridad integral</w:t>
      </w:r>
    </w:p>
    <w:p>
      <w:pPr>
        <w:pStyle w:val="BodyText"/>
        <w:spacing w:line="285" w:lineRule="auto" w:before="17"/>
        <w:ind w:left="110" w:right="108"/>
        <w:jc w:val="both"/>
      </w:pPr>
      <w:r>
        <w:rPr>
          <w:color w:val="231F20"/>
          <w:w w:val="105"/>
        </w:rPr>
        <w:t>Modernización administrativa en cada área dentro del ayuntamiento es el objetivo del pilar de seguridad integral, que atiende aspectos como la reglamentación y organiza- ción;</w:t>
      </w:r>
      <w:r>
        <w:rPr>
          <w:color w:val="231F20"/>
          <w:spacing w:val="-18"/>
          <w:w w:val="105"/>
        </w:rPr>
        <w:t> </w:t>
      </w:r>
      <w:r>
        <w:rPr>
          <w:color w:val="231F20"/>
          <w:w w:val="105"/>
        </w:rPr>
        <w:t>funcionarios</w:t>
      </w:r>
      <w:r>
        <w:rPr>
          <w:color w:val="231F20"/>
          <w:spacing w:val="-18"/>
          <w:w w:val="105"/>
        </w:rPr>
        <w:t> </w:t>
      </w:r>
      <w:r>
        <w:rPr>
          <w:color w:val="231F20"/>
          <w:w w:val="105"/>
        </w:rPr>
        <w:t>y</w:t>
      </w:r>
      <w:r>
        <w:rPr>
          <w:color w:val="231F20"/>
          <w:spacing w:val="-18"/>
          <w:w w:val="105"/>
        </w:rPr>
        <w:t> </w:t>
      </w:r>
      <w:r>
        <w:rPr>
          <w:color w:val="231F20"/>
          <w:w w:val="105"/>
        </w:rPr>
        <w:t>servidores</w:t>
      </w:r>
      <w:r>
        <w:rPr>
          <w:color w:val="231F20"/>
          <w:spacing w:val="-18"/>
          <w:w w:val="105"/>
        </w:rPr>
        <w:t> </w:t>
      </w:r>
      <w:r>
        <w:rPr>
          <w:color w:val="231F20"/>
          <w:w w:val="105"/>
        </w:rPr>
        <w:t>públicos,</w:t>
      </w:r>
      <w:r>
        <w:rPr>
          <w:color w:val="231F20"/>
          <w:spacing w:val="-18"/>
          <w:w w:val="105"/>
        </w:rPr>
        <w:t> </w:t>
      </w:r>
      <w:r>
        <w:rPr>
          <w:color w:val="231F20"/>
          <w:spacing w:val="-3"/>
          <w:w w:val="105"/>
        </w:rPr>
        <w:t>fomento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participación</w:t>
      </w:r>
      <w:r>
        <w:rPr>
          <w:color w:val="231F20"/>
          <w:spacing w:val="-18"/>
          <w:w w:val="105"/>
        </w:rPr>
        <w:t> </w:t>
      </w:r>
      <w:r>
        <w:rPr>
          <w:color w:val="231F20"/>
          <w:w w:val="105"/>
        </w:rPr>
        <w:t>ciudadana</w:t>
      </w:r>
      <w:r>
        <w:rPr>
          <w:color w:val="231F20"/>
          <w:spacing w:val="-18"/>
          <w:w w:val="105"/>
        </w:rPr>
        <w:t> </w:t>
      </w:r>
      <w:r>
        <w:rPr>
          <w:color w:val="231F20"/>
          <w:w w:val="105"/>
        </w:rPr>
        <w:t>y</w:t>
      </w:r>
      <w:r>
        <w:rPr>
          <w:color w:val="231F20"/>
          <w:spacing w:val="-18"/>
          <w:w w:val="105"/>
        </w:rPr>
        <w:t> </w:t>
      </w:r>
      <w:r>
        <w:rPr>
          <w:color w:val="231F20"/>
          <w:w w:val="105"/>
        </w:rPr>
        <w:t>finan- zas</w:t>
      </w:r>
      <w:r>
        <w:rPr>
          <w:color w:val="231F20"/>
          <w:spacing w:val="-38"/>
          <w:w w:val="105"/>
        </w:rPr>
        <w:t> </w:t>
      </w:r>
      <w:r>
        <w:rPr>
          <w:color w:val="231F20"/>
          <w:w w:val="105"/>
        </w:rPr>
        <w:t>públicas.</w:t>
      </w:r>
    </w:p>
    <w:p>
      <w:pPr>
        <w:pStyle w:val="BodyText"/>
        <w:spacing w:before="1"/>
        <w:rPr>
          <w:sz w:val="26"/>
        </w:rPr>
      </w:pPr>
    </w:p>
    <w:p>
      <w:pPr>
        <w:pStyle w:val="BodyText"/>
        <w:spacing w:line="285" w:lineRule="auto"/>
        <w:ind w:left="110" w:right="107"/>
        <w:jc w:val="both"/>
      </w:pPr>
      <w:r>
        <w:rPr>
          <w:color w:val="231F20"/>
          <w:w w:val="105"/>
        </w:rPr>
        <w:t>Pese a que en </w:t>
      </w:r>
      <w:r>
        <w:rPr>
          <w:color w:val="231F20"/>
          <w:spacing w:val="3"/>
          <w:w w:val="105"/>
        </w:rPr>
        <w:t>2006 </w:t>
      </w:r>
      <w:r>
        <w:rPr>
          <w:color w:val="231F20"/>
          <w:w w:val="105"/>
        </w:rPr>
        <w:t>se constató la inexistencia de manuales de operación y falta de re- glamentación,</w:t>
      </w:r>
      <w:r>
        <w:rPr>
          <w:color w:val="231F20"/>
          <w:spacing w:val="-6"/>
          <w:w w:val="105"/>
        </w:rPr>
        <w:t> </w:t>
      </w:r>
      <w:r>
        <w:rPr>
          <w:color w:val="231F20"/>
          <w:w w:val="105"/>
        </w:rPr>
        <w:t>en</w:t>
      </w:r>
      <w:r>
        <w:rPr>
          <w:color w:val="231F20"/>
          <w:spacing w:val="-6"/>
          <w:w w:val="105"/>
        </w:rPr>
        <w:t> </w:t>
      </w:r>
      <w:r>
        <w:rPr>
          <w:color w:val="231F20"/>
          <w:spacing w:val="3"/>
          <w:w w:val="105"/>
        </w:rPr>
        <w:t>2008</w:t>
      </w:r>
      <w:r>
        <w:rPr>
          <w:color w:val="231F20"/>
          <w:spacing w:val="-6"/>
          <w:w w:val="105"/>
        </w:rPr>
        <w:t> </w:t>
      </w:r>
      <w:r>
        <w:rPr>
          <w:color w:val="231F20"/>
          <w:w w:val="105"/>
        </w:rPr>
        <w:t>lo</w:t>
      </w:r>
      <w:r>
        <w:rPr>
          <w:color w:val="231F20"/>
          <w:spacing w:val="-6"/>
          <w:w w:val="105"/>
        </w:rPr>
        <w:t> </w:t>
      </w:r>
      <w:r>
        <w:rPr>
          <w:color w:val="231F20"/>
          <w:w w:val="105"/>
        </w:rPr>
        <w:t>único</w:t>
      </w:r>
      <w:r>
        <w:rPr>
          <w:color w:val="231F20"/>
          <w:spacing w:val="-6"/>
          <w:w w:val="105"/>
        </w:rPr>
        <w:t> </w:t>
      </w:r>
      <w:r>
        <w:rPr>
          <w:color w:val="231F20"/>
          <w:w w:val="105"/>
        </w:rPr>
        <w:t>expedido</w:t>
      </w:r>
      <w:r>
        <w:rPr>
          <w:color w:val="231F20"/>
          <w:spacing w:val="-6"/>
          <w:w w:val="105"/>
        </w:rPr>
        <w:t> </w:t>
      </w:r>
      <w:r>
        <w:rPr>
          <w:color w:val="231F20"/>
          <w:w w:val="105"/>
        </w:rPr>
        <w:t>fue</w:t>
      </w:r>
      <w:r>
        <w:rPr>
          <w:color w:val="231F20"/>
          <w:spacing w:val="-6"/>
          <w:w w:val="105"/>
        </w:rPr>
        <w:t> </w:t>
      </w:r>
      <w:r>
        <w:rPr>
          <w:color w:val="231F20"/>
          <w:w w:val="105"/>
        </w:rPr>
        <w:t>el</w:t>
      </w:r>
      <w:r>
        <w:rPr>
          <w:color w:val="231F20"/>
          <w:spacing w:val="-6"/>
          <w:w w:val="105"/>
        </w:rPr>
        <w:t> </w:t>
      </w:r>
      <w:r>
        <w:rPr>
          <w:color w:val="231F20"/>
          <w:w w:val="105"/>
        </w:rPr>
        <w:t>Manual</w:t>
      </w:r>
      <w:r>
        <w:rPr>
          <w:color w:val="231F20"/>
          <w:spacing w:val="-6"/>
          <w:w w:val="105"/>
        </w:rPr>
        <w:t> </w:t>
      </w:r>
      <w:r>
        <w:rPr>
          <w:color w:val="231F20"/>
          <w:w w:val="105"/>
        </w:rPr>
        <w:t>de</w:t>
      </w:r>
      <w:r>
        <w:rPr>
          <w:color w:val="231F20"/>
          <w:spacing w:val="-6"/>
          <w:w w:val="105"/>
        </w:rPr>
        <w:t> </w:t>
      </w:r>
      <w:r>
        <w:rPr>
          <w:color w:val="231F20"/>
          <w:w w:val="105"/>
        </w:rPr>
        <w:t>procedimientos</w:t>
      </w:r>
      <w:r>
        <w:rPr>
          <w:color w:val="231F20"/>
          <w:spacing w:val="-6"/>
          <w:w w:val="105"/>
        </w:rPr>
        <w:t> </w:t>
      </w:r>
      <w:r>
        <w:rPr>
          <w:color w:val="231F20"/>
          <w:w w:val="105"/>
        </w:rPr>
        <w:t>del</w:t>
      </w:r>
      <w:r>
        <w:rPr>
          <w:color w:val="231F20"/>
          <w:spacing w:val="-6"/>
          <w:w w:val="105"/>
        </w:rPr>
        <w:t> </w:t>
      </w:r>
      <w:r>
        <w:rPr>
          <w:color w:val="231F20"/>
          <w:w w:val="105"/>
        </w:rPr>
        <w:t>control interno del Patrimonio Municipal </w:t>
      </w:r>
      <w:r>
        <w:rPr>
          <w:color w:val="231F20"/>
          <w:spacing w:val="-7"/>
          <w:w w:val="105"/>
        </w:rPr>
        <w:t>y, </w:t>
      </w:r>
      <w:r>
        <w:rPr>
          <w:color w:val="231F20"/>
          <w:w w:val="105"/>
        </w:rPr>
        <w:t>como se observó en Normatividad, no contribuye en</w:t>
      </w:r>
      <w:r>
        <w:rPr>
          <w:color w:val="231F20"/>
          <w:spacing w:val="-9"/>
          <w:w w:val="105"/>
        </w:rPr>
        <w:t> </w:t>
      </w:r>
      <w:r>
        <w:rPr>
          <w:color w:val="231F20"/>
          <w:spacing w:val="-3"/>
          <w:w w:val="105"/>
        </w:rPr>
        <w:t>mucho</w:t>
      </w:r>
      <w:r>
        <w:rPr>
          <w:color w:val="231F20"/>
          <w:spacing w:val="-9"/>
          <w:w w:val="105"/>
        </w:rPr>
        <w:t> </w:t>
      </w:r>
      <w:r>
        <w:rPr>
          <w:color w:val="231F20"/>
          <w:w w:val="105"/>
        </w:rPr>
        <w:t>pues</w:t>
      </w:r>
      <w:r>
        <w:rPr>
          <w:color w:val="231F20"/>
          <w:spacing w:val="-9"/>
          <w:w w:val="105"/>
        </w:rPr>
        <w:t> </w:t>
      </w:r>
      <w:r>
        <w:rPr>
          <w:color w:val="231F20"/>
          <w:w w:val="105"/>
        </w:rPr>
        <w:t>demasiadas</w:t>
      </w:r>
      <w:r>
        <w:rPr>
          <w:color w:val="231F20"/>
          <w:spacing w:val="-9"/>
          <w:w w:val="105"/>
        </w:rPr>
        <w:t> </w:t>
      </w:r>
      <w:r>
        <w:rPr>
          <w:color w:val="231F20"/>
          <w:w w:val="105"/>
        </w:rPr>
        <w:t>áreas</w:t>
      </w:r>
      <w:r>
        <w:rPr>
          <w:color w:val="231F20"/>
          <w:spacing w:val="-9"/>
          <w:w w:val="105"/>
        </w:rPr>
        <w:t> </w:t>
      </w:r>
      <w:r>
        <w:rPr>
          <w:color w:val="231F20"/>
          <w:w w:val="105"/>
        </w:rPr>
        <w:t>están</w:t>
      </w:r>
      <w:r>
        <w:rPr>
          <w:color w:val="231F20"/>
          <w:spacing w:val="-9"/>
          <w:w w:val="105"/>
        </w:rPr>
        <w:t> </w:t>
      </w:r>
      <w:r>
        <w:rPr>
          <w:color w:val="231F20"/>
          <w:w w:val="105"/>
        </w:rPr>
        <w:t>desatendidas</w:t>
      </w:r>
      <w:r>
        <w:rPr>
          <w:color w:val="231F20"/>
          <w:spacing w:val="-9"/>
          <w:w w:val="105"/>
        </w:rPr>
        <w:t> </w:t>
      </w:r>
      <w:r>
        <w:rPr>
          <w:color w:val="231F20"/>
          <w:spacing w:val="-5"/>
          <w:w w:val="105"/>
        </w:rPr>
        <w:t>(Ver</w:t>
      </w:r>
      <w:r>
        <w:rPr>
          <w:color w:val="231F20"/>
          <w:spacing w:val="-9"/>
          <w:w w:val="105"/>
        </w:rPr>
        <w:t> </w:t>
      </w:r>
      <w:r>
        <w:rPr>
          <w:color w:val="231F20"/>
          <w:w w:val="105"/>
        </w:rPr>
        <w:t>Cuadro</w:t>
      </w:r>
      <w:r>
        <w:rPr>
          <w:color w:val="231F20"/>
          <w:spacing w:val="-9"/>
          <w:w w:val="105"/>
        </w:rPr>
        <w:t> </w:t>
      </w:r>
      <w:r>
        <w:rPr>
          <w:color w:val="231F20"/>
          <w:spacing w:val="-7"/>
          <w:w w:val="105"/>
        </w:rPr>
        <w:t>14).</w:t>
      </w:r>
    </w:p>
    <w:p>
      <w:pPr>
        <w:pStyle w:val="BodyText"/>
        <w:spacing w:before="1"/>
        <w:rPr>
          <w:sz w:val="26"/>
        </w:rPr>
      </w:pPr>
    </w:p>
    <w:p>
      <w:pPr>
        <w:pStyle w:val="Heading5"/>
        <w:spacing w:line="285" w:lineRule="auto"/>
        <w:ind w:left="1363" w:hanging="583"/>
      </w:pPr>
      <w:r>
        <w:rPr>
          <w:color w:val="231F20"/>
          <w:w w:val="105"/>
        </w:rPr>
        <w:t>Cuadro</w:t>
      </w:r>
      <w:r>
        <w:rPr>
          <w:color w:val="231F20"/>
          <w:spacing w:val="-24"/>
          <w:w w:val="105"/>
        </w:rPr>
        <w:t> </w:t>
      </w:r>
      <w:r>
        <w:rPr>
          <w:color w:val="231F20"/>
          <w:spacing w:val="-4"/>
          <w:w w:val="105"/>
        </w:rPr>
        <w:t>14:</w:t>
      </w:r>
      <w:r>
        <w:rPr>
          <w:color w:val="231F20"/>
          <w:spacing w:val="-24"/>
          <w:w w:val="105"/>
        </w:rPr>
        <w:t> </w:t>
      </w:r>
      <w:r>
        <w:rPr>
          <w:color w:val="231F20"/>
          <w:w w:val="105"/>
        </w:rPr>
        <w:t>Seguridad</w:t>
      </w:r>
      <w:r>
        <w:rPr>
          <w:color w:val="231F20"/>
          <w:spacing w:val="-24"/>
          <w:w w:val="105"/>
        </w:rPr>
        <w:t> </w:t>
      </w:r>
      <w:r>
        <w:rPr>
          <w:color w:val="231F20"/>
          <w:w w:val="105"/>
        </w:rPr>
        <w:t>integral:</w:t>
      </w:r>
      <w:r>
        <w:rPr>
          <w:color w:val="231F20"/>
          <w:spacing w:val="-24"/>
          <w:w w:val="105"/>
        </w:rPr>
        <w:t> </w:t>
      </w:r>
      <w:r>
        <w:rPr>
          <w:color w:val="231F20"/>
          <w:w w:val="105"/>
        </w:rPr>
        <w:t>Deficiencias,</w:t>
      </w:r>
      <w:r>
        <w:rPr>
          <w:color w:val="231F20"/>
          <w:spacing w:val="-24"/>
          <w:w w:val="105"/>
        </w:rPr>
        <w:t> </w:t>
      </w:r>
      <w:r>
        <w:rPr>
          <w:color w:val="231F20"/>
          <w:w w:val="105"/>
        </w:rPr>
        <w:t>estrategias</w:t>
      </w:r>
      <w:r>
        <w:rPr>
          <w:color w:val="231F20"/>
          <w:spacing w:val="-24"/>
          <w:w w:val="105"/>
        </w:rPr>
        <w:t> </w:t>
      </w:r>
      <w:r>
        <w:rPr>
          <w:color w:val="231F20"/>
          <w:w w:val="105"/>
        </w:rPr>
        <w:t>y</w:t>
      </w:r>
      <w:r>
        <w:rPr>
          <w:color w:val="231F20"/>
          <w:spacing w:val="-24"/>
          <w:w w:val="105"/>
        </w:rPr>
        <w:t> </w:t>
      </w:r>
      <w:r>
        <w:rPr>
          <w:color w:val="231F20"/>
          <w:w w:val="105"/>
        </w:rPr>
        <w:t>resultados del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w w:val="105"/>
        </w:rPr>
        <w:t>Ixtapan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w:t>
      </w:r>
      <w:r>
        <w:rPr>
          <w:color w:val="231F20"/>
          <w:spacing w:val="-12"/>
          <w:w w:val="105"/>
        </w:rPr>
        <w:t> </w:t>
      </w:r>
      <w:r>
        <w:rPr>
          <w:color w:val="231F20"/>
          <w:w w:val="105"/>
        </w:rPr>
        <w:t>(2006-2008)</w:t>
      </w:r>
    </w:p>
    <w:p>
      <w:pPr>
        <w:pStyle w:val="BodyText"/>
        <w:spacing w:before="7"/>
        <w:rPr>
          <w:b/>
          <w:sz w:val="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6"/>
        <w:gridCol w:w="1330"/>
        <w:gridCol w:w="1994"/>
        <w:gridCol w:w="2166"/>
        <w:gridCol w:w="2091"/>
      </w:tblGrid>
      <w:tr>
        <w:trPr>
          <w:trHeight w:val="451" w:hRule="exact"/>
        </w:trPr>
        <w:tc>
          <w:tcPr>
            <w:tcW w:w="346" w:type="dxa"/>
            <w:shd w:val="clear" w:color="auto" w:fill="E6E6E6"/>
            <w:textDirection w:val="btLr"/>
          </w:tcPr>
          <w:p>
            <w:pPr>
              <w:pStyle w:val="TableParagraph"/>
              <w:spacing w:before="89"/>
              <w:ind w:left="102"/>
              <w:rPr>
                <w:b/>
                <w:sz w:val="14"/>
              </w:rPr>
            </w:pPr>
            <w:r>
              <w:rPr>
                <w:b/>
                <w:color w:val="231F20"/>
                <w:spacing w:val="1"/>
                <w:w w:val="85"/>
                <w:sz w:val="14"/>
              </w:rPr>
              <w:t>P</w:t>
            </w:r>
            <w:r>
              <w:rPr>
                <w:b/>
                <w:color w:val="231F20"/>
                <w:spacing w:val="2"/>
                <w:w w:val="91"/>
                <w:sz w:val="14"/>
              </w:rPr>
              <w:t>il</w:t>
            </w:r>
            <w:r>
              <w:rPr>
                <w:b/>
                <w:color w:val="231F20"/>
                <w:spacing w:val="2"/>
                <w:w w:val="85"/>
                <w:sz w:val="14"/>
              </w:rPr>
              <w:t>a</w:t>
            </w:r>
            <w:r>
              <w:rPr>
                <w:b/>
                <w:color w:val="231F20"/>
                <w:w w:val="82"/>
                <w:sz w:val="14"/>
              </w:rPr>
              <w:t>r</w:t>
            </w:r>
          </w:p>
        </w:tc>
        <w:tc>
          <w:tcPr>
            <w:tcW w:w="1330" w:type="dxa"/>
            <w:shd w:val="clear" w:color="auto" w:fill="E6E6E6"/>
          </w:tcPr>
          <w:p>
            <w:pPr>
              <w:pStyle w:val="TableParagraph"/>
              <w:spacing w:line="143" w:lineRule="exact"/>
              <w:ind w:left="118" w:right="118"/>
              <w:jc w:val="center"/>
              <w:rPr>
                <w:b/>
                <w:sz w:val="14"/>
              </w:rPr>
            </w:pPr>
            <w:r>
              <w:rPr>
                <w:b/>
                <w:color w:val="231F20"/>
                <w:w w:val="95"/>
                <w:sz w:val="14"/>
              </w:rPr>
              <w:t>Deficiencia</w:t>
            </w:r>
          </w:p>
        </w:tc>
        <w:tc>
          <w:tcPr>
            <w:tcW w:w="1994" w:type="dxa"/>
            <w:shd w:val="clear" w:color="auto" w:fill="E6E6E6"/>
          </w:tcPr>
          <w:p>
            <w:pPr>
              <w:pStyle w:val="TableParagraph"/>
              <w:spacing w:line="141" w:lineRule="exact"/>
              <w:ind w:left="213" w:hanging="13"/>
              <w:rPr>
                <w:b/>
                <w:sz w:val="14"/>
              </w:rPr>
            </w:pPr>
            <w:r>
              <w:rPr>
                <w:b/>
                <w:color w:val="231F20"/>
                <w:w w:val="85"/>
                <w:sz w:val="14"/>
              </w:rPr>
              <w:t>Diagnóstico de acuerdo a PDM e</w:t>
            </w:r>
          </w:p>
          <w:p>
            <w:pPr>
              <w:pStyle w:val="TableParagraph"/>
              <w:spacing w:line="235" w:lineRule="auto" w:before="1"/>
              <w:ind w:left="837" w:right="146" w:hanging="624"/>
              <w:rPr>
                <w:b/>
                <w:sz w:val="14"/>
              </w:rPr>
            </w:pPr>
            <w:r>
              <w:rPr>
                <w:b/>
                <w:color w:val="231F20"/>
                <w:w w:val="85"/>
                <w:sz w:val="14"/>
              </w:rPr>
              <w:t>indicadores de INEGI, CONAPO y </w:t>
            </w:r>
            <w:r>
              <w:rPr>
                <w:b/>
                <w:color w:val="231F20"/>
                <w:w w:val="95"/>
                <w:sz w:val="14"/>
              </w:rPr>
              <w:t>PNUD.</w:t>
            </w:r>
          </w:p>
        </w:tc>
        <w:tc>
          <w:tcPr>
            <w:tcW w:w="2166" w:type="dxa"/>
            <w:shd w:val="clear" w:color="auto" w:fill="E6E6E6"/>
          </w:tcPr>
          <w:p>
            <w:pPr>
              <w:pStyle w:val="TableParagraph"/>
              <w:spacing w:line="141" w:lineRule="exact"/>
              <w:ind w:left="138" w:right="138"/>
              <w:jc w:val="center"/>
              <w:rPr>
                <w:b/>
                <w:sz w:val="14"/>
              </w:rPr>
            </w:pPr>
            <w:r>
              <w:rPr>
                <w:b/>
                <w:color w:val="231F20"/>
                <w:w w:val="95"/>
                <w:sz w:val="14"/>
              </w:rPr>
              <w:t>Estrategia</w:t>
            </w:r>
          </w:p>
          <w:p>
            <w:pPr>
              <w:pStyle w:val="TableParagraph"/>
              <w:spacing w:line="235" w:lineRule="auto" w:before="1"/>
              <w:ind w:left="138" w:right="138"/>
              <w:jc w:val="center"/>
              <w:rPr>
                <w:b/>
                <w:sz w:val="14"/>
              </w:rPr>
            </w:pPr>
            <w:r>
              <w:rPr>
                <w:b/>
                <w:color w:val="231F20"/>
                <w:w w:val="85"/>
                <w:sz w:val="14"/>
              </w:rPr>
              <w:t>Plan de Desarrollo Municipal (2006- </w:t>
            </w:r>
            <w:r>
              <w:rPr>
                <w:b/>
                <w:color w:val="231F20"/>
                <w:w w:val="95"/>
                <w:sz w:val="14"/>
              </w:rPr>
              <w:t>2009)</w:t>
            </w:r>
          </w:p>
        </w:tc>
        <w:tc>
          <w:tcPr>
            <w:tcW w:w="2091" w:type="dxa"/>
            <w:shd w:val="clear" w:color="auto" w:fill="E6E6E6"/>
          </w:tcPr>
          <w:p>
            <w:pPr>
              <w:pStyle w:val="TableParagraph"/>
              <w:spacing w:line="141" w:lineRule="exact"/>
              <w:ind w:right="103"/>
              <w:jc w:val="center"/>
              <w:rPr>
                <w:b/>
                <w:sz w:val="14"/>
              </w:rPr>
            </w:pPr>
            <w:r>
              <w:rPr>
                <w:b/>
                <w:color w:val="231F20"/>
                <w:w w:val="95"/>
                <w:sz w:val="14"/>
              </w:rPr>
              <w:t>Resultado:</w:t>
            </w:r>
          </w:p>
          <w:p>
            <w:pPr>
              <w:pStyle w:val="TableParagraph"/>
              <w:spacing w:line="169" w:lineRule="exact"/>
              <w:ind w:right="103"/>
              <w:jc w:val="center"/>
              <w:rPr>
                <w:b/>
                <w:sz w:val="14"/>
              </w:rPr>
            </w:pPr>
            <w:r>
              <w:rPr>
                <w:b/>
                <w:color w:val="231F20"/>
                <w:w w:val="85"/>
                <w:sz w:val="14"/>
              </w:rPr>
              <w:t>Segundo Informe de Gobierno (2008)</w:t>
            </w:r>
          </w:p>
        </w:tc>
      </w:tr>
      <w:tr>
        <w:trPr>
          <w:trHeight w:val="208" w:hRule="exact"/>
        </w:trPr>
        <w:tc>
          <w:tcPr>
            <w:tcW w:w="346" w:type="dxa"/>
            <w:vMerge w:val="restart"/>
            <w:textDirection w:val="btLr"/>
          </w:tcPr>
          <w:p>
            <w:pPr>
              <w:pStyle w:val="TableParagraph"/>
              <w:spacing w:before="74"/>
              <w:ind w:left="610"/>
              <w:rPr>
                <w:b/>
                <w:sz w:val="14"/>
              </w:rPr>
            </w:pPr>
            <w:r>
              <w:rPr>
                <w:b/>
                <w:color w:val="231F20"/>
                <w:spacing w:val="2"/>
                <w:w w:val="83"/>
                <w:sz w:val="14"/>
              </w:rPr>
              <w:t>S</w:t>
            </w:r>
            <w:r>
              <w:rPr>
                <w:b/>
                <w:color w:val="231F20"/>
                <w:spacing w:val="2"/>
                <w:w w:val="88"/>
                <w:sz w:val="14"/>
              </w:rPr>
              <w:t>eg</w:t>
            </w:r>
            <w:r>
              <w:rPr>
                <w:b/>
                <w:color w:val="231F20"/>
                <w:spacing w:val="2"/>
                <w:w w:val="84"/>
                <w:sz w:val="14"/>
              </w:rPr>
              <w:t>u</w:t>
            </w:r>
            <w:r>
              <w:rPr>
                <w:b/>
                <w:color w:val="231F20"/>
                <w:spacing w:val="3"/>
                <w:w w:val="82"/>
                <w:sz w:val="14"/>
              </w:rPr>
              <w:t>r</w:t>
            </w:r>
            <w:r>
              <w:rPr>
                <w:b/>
                <w:color w:val="231F20"/>
                <w:spacing w:val="2"/>
                <w:w w:val="90"/>
                <w:sz w:val="14"/>
              </w:rPr>
              <w:t>i</w:t>
            </w:r>
            <w:r>
              <w:rPr>
                <w:b/>
                <w:color w:val="231F20"/>
                <w:spacing w:val="2"/>
                <w:w w:val="84"/>
                <w:sz w:val="14"/>
              </w:rPr>
              <w:t>da</w:t>
            </w:r>
            <w:r>
              <w:rPr>
                <w:b/>
                <w:color w:val="231F20"/>
                <w:w w:val="83"/>
                <w:sz w:val="14"/>
              </w:rPr>
              <w:t>d</w:t>
            </w:r>
            <w:r>
              <w:rPr>
                <w:b/>
                <w:color w:val="231F20"/>
                <w:spacing w:val="-10"/>
                <w:sz w:val="14"/>
              </w:rPr>
              <w:t> </w:t>
            </w:r>
            <w:r>
              <w:rPr>
                <w:b/>
                <w:color w:val="231F20"/>
                <w:spacing w:val="2"/>
                <w:w w:val="90"/>
                <w:sz w:val="14"/>
              </w:rPr>
              <w:t>i</w:t>
            </w:r>
            <w:r>
              <w:rPr>
                <w:b/>
                <w:color w:val="231F20"/>
                <w:spacing w:val="2"/>
                <w:w w:val="85"/>
                <w:sz w:val="14"/>
              </w:rPr>
              <w:t>n</w:t>
            </w:r>
            <w:r>
              <w:rPr>
                <w:b/>
                <w:color w:val="231F20"/>
                <w:spacing w:val="1"/>
                <w:w w:val="89"/>
                <w:sz w:val="14"/>
              </w:rPr>
              <w:t>t</w:t>
            </w:r>
            <w:r>
              <w:rPr>
                <w:b/>
                <w:color w:val="231F20"/>
                <w:spacing w:val="2"/>
                <w:w w:val="88"/>
                <w:sz w:val="14"/>
              </w:rPr>
              <w:t>e</w:t>
            </w:r>
            <w:r>
              <w:rPr>
                <w:b/>
                <w:color w:val="231F20"/>
                <w:spacing w:val="3"/>
                <w:w w:val="88"/>
                <w:sz w:val="14"/>
              </w:rPr>
              <w:t>g</w:t>
            </w:r>
            <w:r>
              <w:rPr>
                <w:b/>
                <w:color w:val="231F20"/>
                <w:spacing w:val="2"/>
                <w:w w:val="82"/>
                <w:sz w:val="14"/>
              </w:rPr>
              <w:t>r</w:t>
            </w:r>
            <w:r>
              <w:rPr>
                <w:b/>
                <w:color w:val="231F20"/>
                <w:spacing w:val="2"/>
                <w:w w:val="85"/>
                <w:sz w:val="14"/>
              </w:rPr>
              <w:t>a</w:t>
            </w:r>
            <w:r>
              <w:rPr>
                <w:b/>
                <w:color w:val="231F20"/>
                <w:w w:val="91"/>
                <w:sz w:val="14"/>
              </w:rPr>
              <w:t>l</w:t>
            </w:r>
          </w:p>
        </w:tc>
        <w:tc>
          <w:tcPr>
            <w:tcW w:w="1330" w:type="dxa"/>
            <w:vMerge w:val="restart"/>
          </w:tcPr>
          <w:p>
            <w:pPr>
              <w:pStyle w:val="TableParagraph"/>
              <w:spacing w:line="143" w:lineRule="exact"/>
              <w:ind w:left="144" w:right="16"/>
              <w:rPr>
                <w:sz w:val="14"/>
              </w:rPr>
            </w:pPr>
            <w:r>
              <w:rPr>
                <w:color w:val="231F20"/>
                <w:w w:val="75"/>
                <w:sz w:val="14"/>
              </w:rPr>
              <w:t>Administración  Pública</w:t>
            </w:r>
          </w:p>
        </w:tc>
        <w:tc>
          <w:tcPr>
            <w:tcW w:w="1994" w:type="dxa"/>
          </w:tcPr>
          <w:p>
            <w:pPr>
              <w:pStyle w:val="TableParagraph"/>
              <w:spacing w:line="143" w:lineRule="exact"/>
              <w:ind w:left="115" w:right="114"/>
              <w:jc w:val="center"/>
              <w:rPr>
                <w:sz w:val="14"/>
              </w:rPr>
            </w:pPr>
            <w:r>
              <w:rPr>
                <w:color w:val="231F20"/>
                <w:w w:val="80"/>
                <w:sz w:val="14"/>
              </w:rPr>
              <w:t>Falta de reglamentación</w:t>
            </w:r>
          </w:p>
        </w:tc>
        <w:tc>
          <w:tcPr>
            <w:tcW w:w="2166" w:type="dxa"/>
            <w:vMerge w:val="restart"/>
          </w:tcPr>
          <w:p>
            <w:pPr>
              <w:pStyle w:val="TableParagraph"/>
              <w:spacing w:line="196" w:lineRule="auto"/>
              <w:ind w:left="162" w:right="78" w:firstLine="17"/>
              <w:rPr>
                <w:sz w:val="14"/>
              </w:rPr>
            </w:pPr>
            <w:r>
              <w:rPr>
                <w:color w:val="231F20"/>
                <w:w w:val="80"/>
                <w:sz w:val="14"/>
              </w:rPr>
              <w:t>Elaboración de reglamentos y manuales, para comenzar el proceso de certificación</w:t>
            </w:r>
          </w:p>
        </w:tc>
        <w:tc>
          <w:tcPr>
            <w:tcW w:w="2091" w:type="dxa"/>
            <w:vMerge w:val="restart"/>
          </w:tcPr>
          <w:p>
            <w:pPr>
              <w:pStyle w:val="TableParagraph"/>
              <w:spacing w:line="196" w:lineRule="auto"/>
              <w:ind w:right="101"/>
              <w:jc w:val="center"/>
              <w:rPr>
                <w:sz w:val="14"/>
              </w:rPr>
            </w:pPr>
            <w:r>
              <w:rPr>
                <w:color w:val="231F20"/>
                <w:w w:val="80"/>
                <w:sz w:val="14"/>
              </w:rPr>
              <w:t>Elaboración de manual de procedimien- tos de control interno del patrimonio </w:t>
            </w:r>
            <w:r>
              <w:rPr>
                <w:color w:val="231F20"/>
                <w:w w:val="85"/>
                <w:sz w:val="14"/>
              </w:rPr>
              <w:t>municipal</w:t>
            </w:r>
          </w:p>
        </w:tc>
      </w:tr>
      <w:tr>
        <w:trPr>
          <w:trHeight w:val="393" w:hRule="exact"/>
        </w:trPr>
        <w:tc>
          <w:tcPr>
            <w:tcW w:w="346" w:type="dxa"/>
            <w:vMerge/>
            <w:textDirection w:val="btLr"/>
          </w:tcPr>
          <w:p>
            <w:pPr/>
          </w:p>
        </w:tc>
        <w:tc>
          <w:tcPr>
            <w:tcW w:w="1330" w:type="dxa"/>
            <w:vMerge/>
          </w:tcPr>
          <w:p>
            <w:pPr/>
          </w:p>
        </w:tc>
        <w:tc>
          <w:tcPr>
            <w:tcW w:w="1994" w:type="dxa"/>
          </w:tcPr>
          <w:p>
            <w:pPr>
              <w:pStyle w:val="TableParagraph"/>
              <w:spacing w:line="143" w:lineRule="exact"/>
              <w:ind w:left="115" w:right="115"/>
              <w:jc w:val="center"/>
              <w:rPr>
                <w:sz w:val="14"/>
              </w:rPr>
            </w:pPr>
            <w:r>
              <w:rPr>
                <w:color w:val="231F20"/>
                <w:w w:val="80"/>
                <w:sz w:val="14"/>
              </w:rPr>
              <w:t>Falta de manuales</w:t>
            </w:r>
          </w:p>
        </w:tc>
        <w:tc>
          <w:tcPr>
            <w:tcW w:w="2166" w:type="dxa"/>
            <w:vMerge/>
          </w:tcPr>
          <w:p>
            <w:pPr/>
          </w:p>
        </w:tc>
        <w:tc>
          <w:tcPr>
            <w:tcW w:w="2091" w:type="dxa"/>
            <w:vMerge/>
          </w:tcPr>
          <w:p>
            <w:pPr/>
          </w:p>
        </w:tc>
      </w:tr>
      <w:tr>
        <w:trPr>
          <w:trHeight w:val="255" w:hRule="exact"/>
        </w:trPr>
        <w:tc>
          <w:tcPr>
            <w:tcW w:w="346" w:type="dxa"/>
            <w:vMerge/>
            <w:textDirection w:val="btLr"/>
          </w:tcPr>
          <w:p>
            <w:pPr/>
          </w:p>
        </w:tc>
        <w:tc>
          <w:tcPr>
            <w:tcW w:w="1330" w:type="dxa"/>
            <w:vMerge/>
          </w:tcPr>
          <w:p>
            <w:pPr/>
          </w:p>
        </w:tc>
        <w:tc>
          <w:tcPr>
            <w:tcW w:w="1994" w:type="dxa"/>
          </w:tcPr>
          <w:p>
            <w:pPr>
              <w:pStyle w:val="TableParagraph"/>
              <w:spacing w:line="143" w:lineRule="exact"/>
              <w:ind w:left="115" w:right="115"/>
              <w:jc w:val="center"/>
              <w:rPr>
                <w:sz w:val="14"/>
              </w:rPr>
            </w:pPr>
            <w:r>
              <w:rPr>
                <w:color w:val="231F20"/>
                <w:w w:val="80"/>
                <w:sz w:val="14"/>
              </w:rPr>
              <w:t>Actualización de gobierno electrónico</w:t>
            </w:r>
          </w:p>
        </w:tc>
        <w:tc>
          <w:tcPr>
            <w:tcW w:w="2166" w:type="dxa"/>
          </w:tcPr>
          <w:p>
            <w:pPr>
              <w:pStyle w:val="TableParagraph"/>
              <w:spacing w:line="143" w:lineRule="exact"/>
              <w:ind w:left="138" w:right="138"/>
              <w:jc w:val="center"/>
              <w:rPr>
                <w:sz w:val="14"/>
              </w:rPr>
            </w:pPr>
            <w:r>
              <w:rPr>
                <w:color w:val="231F20"/>
                <w:w w:val="80"/>
                <w:sz w:val="14"/>
              </w:rPr>
              <w:t>Creación de nueva página web</w:t>
            </w:r>
          </w:p>
        </w:tc>
        <w:tc>
          <w:tcPr>
            <w:tcW w:w="2091" w:type="dxa"/>
          </w:tcPr>
          <w:p>
            <w:pPr>
              <w:pStyle w:val="TableParagraph"/>
              <w:spacing w:line="196" w:lineRule="auto"/>
              <w:ind w:left="486" w:right="122" w:hanging="289"/>
              <w:rPr>
                <w:sz w:val="14"/>
              </w:rPr>
            </w:pPr>
            <w:r>
              <w:rPr>
                <w:color w:val="231F20"/>
                <w:w w:val="80"/>
                <w:sz w:val="14"/>
              </w:rPr>
              <w:t>Creación de página web, que funcionó sólo el primer año (2007)</w:t>
            </w:r>
          </w:p>
        </w:tc>
      </w:tr>
      <w:tr>
        <w:trPr>
          <w:trHeight w:val="395" w:hRule="exact"/>
        </w:trPr>
        <w:tc>
          <w:tcPr>
            <w:tcW w:w="346" w:type="dxa"/>
            <w:vMerge/>
            <w:textDirection w:val="btLr"/>
          </w:tcPr>
          <w:p>
            <w:pPr/>
          </w:p>
        </w:tc>
        <w:tc>
          <w:tcPr>
            <w:tcW w:w="1330" w:type="dxa"/>
            <w:vMerge w:val="restart"/>
          </w:tcPr>
          <w:p>
            <w:pPr>
              <w:pStyle w:val="TableParagraph"/>
              <w:spacing w:line="196" w:lineRule="auto"/>
              <w:ind w:left="398" w:right="16" w:hanging="254"/>
              <w:rPr>
                <w:sz w:val="14"/>
              </w:rPr>
            </w:pPr>
            <w:r>
              <w:rPr>
                <w:color w:val="231F20"/>
                <w:w w:val="80"/>
                <w:sz w:val="14"/>
              </w:rPr>
              <w:t>Funcionarios y servido- </w:t>
            </w:r>
            <w:r>
              <w:rPr>
                <w:color w:val="231F20"/>
                <w:w w:val="75"/>
                <w:sz w:val="14"/>
              </w:rPr>
              <w:t>res públicos</w:t>
            </w:r>
          </w:p>
        </w:tc>
        <w:tc>
          <w:tcPr>
            <w:tcW w:w="1994" w:type="dxa"/>
          </w:tcPr>
          <w:p>
            <w:pPr>
              <w:pStyle w:val="TableParagraph"/>
              <w:spacing w:line="143" w:lineRule="exact"/>
              <w:ind w:left="115" w:right="113"/>
              <w:jc w:val="center"/>
              <w:rPr>
                <w:sz w:val="14"/>
              </w:rPr>
            </w:pPr>
            <w:r>
              <w:rPr>
                <w:color w:val="231F20"/>
                <w:w w:val="75"/>
                <w:sz w:val="14"/>
              </w:rPr>
              <w:t>Necesidad de capacitación</w:t>
            </w:r>
          </w:p>
        </w:tc>
        <w:tc>
          <w:tcPr>
            <w:tcW w:w="2166" w:type="dxa"/>
          </w:tcPr>
          <w:p>
            <w:pPr>
              <w:pStyle w:val="TableParagraph"/>
              <w:spacing w:line="196" w:lineRule="auto"/>
              <w:ind w:left="140" w:right="138"/>
              <w:jc w:val="center"/>
              <w:rPr>
                <w:sz w:val="14"/>
              </w:rPr>
            </w:pPr>
            <w:r>
              <w:rPr>
                <w:color w:val="231F20"/>
                <w:w w:val="80"/>
                <w:sz w:val="14"/>
              </w:rPr>
              <w:t>Gestionar</w:t>
            </w:r>
            <w:r>
              <w:rPr>
                <w:color w:val="231F20"/>
                <w:spacing w:val="-14"/>
                <w:w w:val="80"/>
                <w:sz w:val="14"/>
              </w:rPr>
              <w:t> </w:t>
            </w:r>
            <w:r>
              <w:rPr>
                <w:color w:val="231F20"/>
                <w:w w:val="80"/>
                <w:sz w:val="14"/>
              </w:rPr>
              <w:t>capacitación</w:t>
            </w:r>
            <w:r>
              <w:rPr>
                <w:color w:val="231F20"/>
                <w:spacing w:val="-14"/>
                <w:w w:val="80"/>
                <w:sz w:val="14"/>
              </w:rPr>
              <w:t> </w:t>
            </w:r>
            <w:r>
              <w:rPr>
                <w:color w:val="231F20"/>
                <w:w w:val="80"/>
                <w:sz w:val="14"/>
              </w:rPr>
              <w:t>ante</w:t>
            </w:r>
            <w:r>
              <w:rPr>
                <w:color w:val="231F20"/>
                <w:spacing w:val="-14"/>
                <w:w w:val="80"/>
                <w:sz w:val="14"/>
              </w:rPr>
              <w:t> </w:t>
            </w:r>
            <w:r>
              <w:rPr>
                <w:color w:val="231F20"/>
                <w:w w:val="80"/>
                <w:sz w:val="14"/>
              </w:rPr>
              <w:t>el</w:t>
            </w:r>
            <w:r>
              <w:rPr>
                <w:color w:val="231F20"/>
                <w:spacing w:val="-14"/>
                <w:w w:val="80"/>
                <w:sz w:val="14"/>
              </w:rPr>
              <w:t> </w:t>
            </w:r>
            <w:r>
              <w:rPr>
                <w:color w:val="231F20"/>
                <w:w w:val="80"/>
                <w:sz w:val="14"/>
              </w:rPr>
              <w:t>Instituto</w:t>
            </w:r>
            <w:r>
              <w:rPr>
                <w:color w:val="231F20"/>
                <w:spacing w:val="-14"/>
                <w:w w:val="80"/>
                <w:sz w:val="14"/>
              </w:rPr>
              <w:t> </w:t>
            </w:r>
            <w:r>
              <w:rPr>
                <w:color w:val="231F20"/>
                <w:w w:val="80"/>
                <w:sz w:val="14"/>
              </w:rPr>
              <w:t>de </w:t>
            </w:r>
            <w:r>
              <w:rPr>
                <w:color w:val="231F20"/>
                <w:w w:val="75"/>
                <w:sz w:val="14"/>
              </w:rPr>
              <w:t>Profesionalización de </w:t>
            </w:r>
            <w:r>
              <w:rPr>
                <w:color w:val="231F20"/>
                <w:spacing w:val="2"/>
                <w:w w:val="75"/>
                <w:sz w:val="14"/>
              </w:rPr>
              <w:t>Servidores </w:t>
            </w:r>
            <w:r>
              <w:rPr>
                <w:color w:val="231F20"/>
                <w:w w:val="75"/>
                <w:sz w:val="14"/>
              </w:rPr>
              <w:t>Públicos del </w:t>
            </w:r>
            <w:r>
              <w:rPr>
                <w:color w:val="231F20"/>
                <w:spacing w:val="2"/>
                <w:w w:val="75"/>
                <w:sz w:val="14"/>
              </w:rPr>
              <w:t>Estado </w:t>
            </w:r>
            <w:r>
              <w:rPr>
                <w:color w:val="231F20"/>
                <w:w w:val="75"/>
                <w:sz w:val="14"/>
              </w:rPr>
              <w:t>de</w:t>
            </w:r>
            <w:r>
              <w:rPr>
                <w:color w:val="231F20"/>
                <w:spacing w:val="-1"/>
                <w:w w:val="75"/>
                <w:sz w:val="14"/>
              </w:rPr>
              <w:t> </w:t>
            </w:r>
            <w:r>
              <w:rPr>
                <w:color w:val="231F20"/>
                <w:w w:val="75"/>
                <w:sz w:val="14"/>
              </w:rPr>
              <w:t>México.</w:t>
            </w:r>
          </w:p>
        </w:tc>
        <w:tc>
          <w:tcPr>
            <w:tcW w:w="2091" w:type="dxa"/>
          </w:tcPr>
          <w:p>
            <w:pPr>
              <w:pStyle w:val="TableParagraph"/>
              <w:spacing w:line="143" w:lineRule="exact"/>
              <w:ind w:right="103"/>
              <w:jc w:val="center"/>
              <w:rPr>
                <w:sz w:val="14"/>
              </w:rPr>
            </w:pPr>
            <w:r>
              <w:rPr>
                <w:color w:val="231F20"/>
                <w:w w:val="75"/>
                <w:sz w:val="14"/>
              </w:rPr>
              <w:t>No reporta</w:t>
            </w:r>
          </w:p>
        </w:tc>
      </w:tr>
      <w:tr>
        <w:trPr>
          <w:trHeight w:val="421" w:hRule="exact"/>
        </w:trPr>
        <w:tc>
          <w:tcPr>
            <w:tcW w:w="346" w:type="dxa"/>
            <w:vMerge/>
            <w:textDirection w:val="btLr"/>
          </w:tcPr>
          <w:p>
            <w:pPr/>
          </w:p>
        </w:tc>
        <w:tc>
          <w:tcPr>
            <w:tcW w:w="1330" w:type="dxa"/>
            <w:vMerge/>
          </w:tcPr>
          <w:p>
            <w:pPr/>
          </w:p>
        </w:tc>
        <w:tc>
          <w:tcPr>
            <w:tcW w:w="1994" w:type="dxa"/>
          </w:tcPr>
          <w:p>
            <w:pPr>
              <w:pStyle w:val="TableParagraph"/>
              <w:spacing w:line="142" w:lineRule="exact"/>
              <w:ind w:left="115" w:right="115"/>
              <w:jc w:val="center"/>
              <w:rPr>
                <w:sz w:val="14"/>
              </w:rPr>
            </w:pPr>
            <w:r>
              <w:rPr>
                <w:color w:val="231F20"/>
                <w:w w:val="75"/>
                <w:sz w:val="14"/>
              </w:rPr>
              <w:t>Profesionalización de  funcionarios</w:t>
            </w:r>
          </w:p>
        </w:tc>
        <w:tc>
          <w:tcPr>
            <w:tcW w:w="2166" w:type="dxa"/>
          </w:tcPr>
          <w:p>
            <w:pPr>
              <w:pStyle w:val="TableParagraph"/>
              <w:spacing w:line="142" w:lineRule="exact"/>
              <w:ind w:left="138" w:right="138"/>
              <w:jc w:val="center"/>
              <w:rPr>
                <w:sz w:val="14"/>
              </w:rPr>
            </w:pPr>
            <w:r>
              <w:rPr>
                <w:color w:val="231F20"/>
                <w:w w:val="80"/>
                <w:sz w:val="14"/>
              </w:rPr>
              <w:t>Implementar Servicio Civil de Carrera</w:t>
            </w:r>
          </w:p>
        </w:tc>
        <w:tc>
          <w:tcPr>
            <w:tcW w:w="2091" w:type="dxa"/>
          </w:tcPr>
          <w:p>
            <w:pPr>
              <w:pStyle w:val="TableParagraph"/>
              <w:spacing w:line="142" w:lineRule="exact"/>
              <w:ind w:right="103"/>
              <w:jc w:val="center"/>
              <w:rPr>
                <w:sz w:val="14"/>
              </w:rPr>
            </w:pPr>
            <w:r>
              <w:rPr>
                <w:color w:val="231F20"/>
                <w:w w:val="75"/>
                <w:sz w:val="14"/>
              </w:rPr>
              <w:t>No reporta</w:t>
            </w:r>
          </w:p>
        </w:tc>
      </w:tr>
      <w:tr>
        <w:trPr>
          <w:trHeight w:val="255" w:hRule="exact"/>
        </w:trPr>
        <w:tc>
          <w:tcPr>
            <w:tcW w:w="346" w:type="dxa"/>
            <w:vMerge/>
            <w:textDirection w:val="btLr"/>
          </w:tcPr>
          <w:p>
            <w:pPr/>
          </w:p>
        </w:tc>
        <w:tc>
          <w:tcPr>
            <w:tcW w:w="1330" w:type="dxa"/>
          </w:tcPr>
          <w:p>
            <w:pPr>
              <w:pStyle w:val="TableParagraph"/>
              <w:spacing w:line="142" w:lineRule="exact"/>
              <w:ind w:left="120" w:right="118"/>
              <w:jc w:val="center"/>
              <w:rPr>
                <w:sz w:val="14"/>
              </w:rPr>
            </w:pPr>
            <w:r>
              <w:rPr>
                <w:color w:val="231F20"/>
                <w:w w:val="75"/>
                <w:sz w:val="14"/>
              </w:rPr>
              <w:t>Participación  ciudadana</w:t>
            </w:r>
          </w:p>
        </w:tc>
        <w:tc>
          <w:tcPr>
            <w:tcW w:w="1994" w:type="dxa"/>
          </w:tcPr>
          <w:p>
            <w:pPr>
              <w:pStyle w:val="TableParagraph"/>
              <w:spacing w:line="196" w:lineRule="auto"/>
              <w:ind w:left="657" w:hanging="487"/>
              <w:rPr>
                <w:sz w:val="14"/>
              </w:rPr>
            </w:pPr>
            <w:r>
              <w:rPr>
                <w:color w:val="231F20"/>
                <w:w w:val="80"/>
                <w:sz w:val="14"/>
              </w:rPr>
              <w:t>Falta de promoción para la participa- </w:t>
            </w:r>
            <w:r>
              <w:rPr>
                <w:color w:val="231F20"/>
                <w:w w:val="75"/>
                <w:sz w:val="14"/>
              </w:rPr>
              <w:t>ción ciudadana</w:t>
            </w:r>
          </w:p>
        </w:tc>
        <w:tc>
          <w:tcPr>
            <w:tcW w:w="2166" w:type="dxa"/>
          </w:tcPr>
          <w:p>
            <w:pPr>
              <w:pStyle w:val="TableParagraph"/>
              <w:spacing w:line="196" w:lineRule="auto"/>
              <w:ind w:left="245" w:right="124" w:hanging="33"/>
              <w:rPr>
                <w:sz w:val="14"/>
              </w:rPr>
            </w:pPr>
            <w:r>
              <w:rPr>
                <w:color w:val="231F20"/>
                <w:w w:val="80"/>
                <w:sz w:val="14"/>
              </w:rPr>
              <w:t>Crear consejos de participación en obra pública y demás actividades públicas.</w:t>
            </w:r>
          </w:p>
        </w:tc>
        <w:tc>
          <w:tcPr>
            <w:tcW w:w="2091" w:type="dxa"/>
          </w:tcPr>
          <w:p>
            <w:pPr>
              <w:pStyle w:val="TableParagraph"/>
              <w:spacing w:line="142" w:lineRule="exact"/>
              <w:ind w:left="0" w:right="503"/>
              <w:jc w:val="right"/>
              <w:rPr>
                <w:sz w:val="14"/>
              </w:rPr>
            </w:pPr>
            <w:r>
              <w:rPr>
                <w:color w:val="231F20"/>
                <w:w w:val="75"/>
                <w:sz w:val="14"/>
              </w:rPr>
              <w:t>Creación de 76 COCICOVI</w:t>
            </w:r>
          </w:p>
        </w:tc>
      </w:tr>
      <w:tr>
        <w:trPr>
          <w:trHeight w:val="255" w:hRule="exact"/>
        </w:trPr>
        <w:tc>
          <w:tcPr>
            <w:tcW w:w="346" w:type="dxa"/>
            <w:vMerge/>
            <w:textDirection w:val="btLr"/>
          </w:tcPr>
          <w:p>
            <w:pPr/>
          </w:p>
        </w:tc>
        <w:tc>
          <w:tcPr>
            <w:tcW w:w="1330" w:type="dxa"/>
          </w:tcPr>
          <w:p>
            <w:pPr>
              <w:pStyle w:val="TableParagraph"/>
              <w:spacing w:line="142" w:lineRule="exact"/>
              <w:ind w:left="120" w:right="117"/>
              <w:jc w:val="center"/>
              <w:rPr>
                <w:sz w:val="14"/>
              </w:rPr>
            </w:pPr>
            <w:r>
              <w:rPr>
                <w:color w:val="231F20"/>
                <w:w w:val="80"/>
                <w:sz w:val="14"/>
              </w:rPr>
              <w:t>Finanzas públicas</w:t>
            </w:r>
          </w:p>
        </w:tc>
        <w:tc>
          <w:tcPr>
            <w:tcW w:w="1994" w:type="dxa"/>
          </w:tcPr>
          <w:p>
            <w:pPr>
              <w:pStyle w:val="TableParagraph"/>
              <w:spacing w:line="196" w:lineRule="auto"/>
              <w:ind w:left="628" w:right="116" w:hanging="438"/>
              <w:rPr>
                <w:sz w:val="14"/>
              </w:rPr>
            </w:pPr>
            <w:r>
              <w:rPr>
                <w:color w:val="231F20"/>
                <w:w w:val="80"/>
                <w:sz w:val="14"/>
              </w:rPr>
              <w:t>Falta de capacidad de generación de </w:t>
            </w:r>
            <w:r>
              <w:rPr>
                <w:color w:val="231F20"/>
                <w:w w:val="75"/>
                <w:sz w:val="14"/>
              </w:rPr>
              <w:t>recursos propios</w:t>
            </w:r>
          </w:p>
        </w:tc>
        <w:tc>
          <w:tcPr>
            <w:tcW w:w="2166" w:type="dxa"/>
          </w:tcPr>
          <w:p>
            <w:pPr>
              <w:pStyle w:val="TableParagraph"/>
              <w:spacing w:line="196" w:lineRule="auto"/>
              <w:ind w:left="712" w:right="78" w:hanging="459"/>
              <w:rPr>
                <w:sz w:val="14"/>
              </w:rPr>
            </w:pPr>
            <w:r>
              <w:rPr>
                <w:color w:val="231F20"/>
                <w:w w:val="80"/>
                <w:sz w:val="14"/>
              </w:rPr>
              <w:t>Incrementar a 40% la recaudación de </w:t>
            </w:r>
            <w:r>
              <w:rPr>
                <w:color w:val="231F20"/>
                <w:w w:val="75"/>
                <w:sz w:val="14"/>
              </w:rPr>
              <w:t>ingresos  propios</w:t>
            </w:r>
          </w:p>
        </w:tc>
        <w:tc>
          <w:tcPr>
            <w:tcW w:w="2091" w:type="dxa"/>
          </w:tcPr>
          <w:p>
            <w:pPr>
              <w:pStyle w:val="TableParagraph"/>
              <w:spacing w:line="142" w:lineRule="exact"/>
              <w:ind w:left="0" w:right="456"/>
              <w:jc w:val="right"/>
              <w:rPr>
                <w:i/>
                <w:sz w:val="14"/>
              </w:rPr>
            </w:pPr>
            <w:r>
              <w:rPr>
                <w:color w:val="231F20"/>
                <w:w w:val="95"/>
                <w:sz w:val="14"/>
              </w:rPr>
              <w:t>Ver F</w:t>
            </w:r>
            <w:r>
              <w:rPr>
                <w:i/>
                <w:color w:val="231F20"/>
                <w:w w:val="95"/>
                <w:sz w:val="14"/>
              </w:rPr>
              <w:t>inanzas públicas</w:t>
            </w:r>
          </w:p>
        </w:tc>
      </w:tr>
      <w:tr>
        <w:trPr>
          <w:trHeight w:val="140" w:hRule="exact"/>
        </w:trPr>
        <w:tc>
          <w:tcPr>
            <w:tcW w:w="7927" w:type="dxa"/>
            <w:gridSpan w:val="5"/>
          </w:tcPr>
          <w:p>
            <w:pPr>
              <w:pStyle w:val="TableParagraph"/>
              <w:spacing w:line="142" w:lineRule="exact"/>
              <w:ind w:left="3301" w:right="3301"/>
              <w:jc w:val="center"/>
              <w:rPr>
                <w:sz w:val="14"/>
              </w:rPr>
            </w:pPr>
            <w:r>
              <w:rPr>
                <w:color w:val="231F20"/>
                <w:w w:val="80"/>
                <w:sz w:val="14"/>
              </w:rPr>
              <w:t>No contemplados en el plan</w:t>
            </w:r>
          </w:p>
        </w:tc>
      </w:tr>
      <w:tr>
        <w:trPr>
          <w:trHeight w:val="255" w:hRule="exact"/>
        </w:trPr>
        <w:tc>
          <w:tcPr>
            <w:tcW w:w="346" w:type="dxa"/>
          </w:tcPr>
          <w:p>
            <w:pPr/>
          </w:p>
        </w:tc>
        <w:tc>
          <w:tcPr>
            <w:tcW w:w="1330" w:type="dxa"/>
          </w:tcPr>
          <w:p>
            <w:pPr/>
          </w:p>
        </w:tc>
        <w:tc>
          <w:tcPr>
            <w:tcW w:w="1994" w:type="dxa"/>
          </w:tcPr>
          <w:p>
            <w:pPr/>
          </w:p>
        </w:tc>
        <w:tc>
          <w:tcPr>
            <w:tcW w:w="2166" w:type="dxa"/>
          </w:tcPr>
          <w:p>
            <w:pPr>
              <w:pStyle w:val="TableParagraph"/>
              <w:spacing w:line="142" w:lineRule="exact"/>
              <w:ind w:left="140" w:right="137"/>
              <w:jc w:val="center"/>
              <w:rPr>
                <w:sz w:val="14"/>
              </w:rPr>
            </w:pPr>
            <w:r>
              <w:rPr>
                <w:color w:val="231F20"/>
                <w:w w:val="75"/>
                <w:sz w:val="14"/>
              </w:rPr>
              <w:t>Transparencia y rendición de  cuentas</w:t>
            </w:r>
          </w:p>
        </w:tc>
        <w:tc>
          <w:tcPr>
            <w:tcW w:w="2091" w:type="dxa"/>
          </w:tcPr>
          <w:p>
            <w:pPr>
              <w:pStyle w:val="TableParagraph"/>
              <w:spacing w:line="196" w:lineRule="auto"/>
              <w:ind w:left="336" w:right="63" w:hanging="189"/>
              <w:rPr>
                <w:sz w:val="14"/>
              </w:rPr>
            </w:pPr>
            <w:r>
              <w:rPr>
                <w:color w:val="231F20"/>
                <w:w w:val="80"/>
                <w:sz w:val="14"/>
              </w:rPr>
              <w:t>Creación de la unidad de transparencia y acceso a la información pública.</w:t>
            </w:r>
          </w:p>
        </w:tc>
      </w:tr>
    </w:tbl>
    <w:p>
      <w:pPr>
        <w:pStyle w:val="BodyText"/>
        <w:spacing w:before="4"/>
        <w:rPr>
          <w:b/>
          <w:sz w:val="12"/>
        </w:rPr>
      </w:pPr>
    </w:p>
    <w:p>
      <w:pPr>
        <w:spacing w:before="74"/>
        <w:ind w:left="1206" w:right="-2"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El</w:t>
      </w:r>
      <w:r>
        <w:rPr>
          <w:color w:val="231F20"/>
          <w:spacing w:val="-21"/>
          <w:w w:val="105"/>
        </w:rPr>
        <w:t> </w:t>
      </w:r>
      <w:r>
        <w:rPr>
          <w:color w:val="231F20"/>
          <w:w w:val="105"/>
        </w:rPr>
        <w:t>portal</w:t>
      </w:r>
      <w:r>
        <w:rPr>
          <w:color w:val="231F20"/>
          <w:spacing w:val="-21"/>
          <w:w w:val="105"/>
        </w:rPr>
        <w:t> </w:t>
      </w:r>
      <w:r>
        <w:rPr>
          <w:color w:val="231F20"/>
          <w:w w:val="105"/>
        </w:rPr>
        <w:t>electrónico</w:t>
      </w:r>
      <w:r>
        <w:rPr>
          <w:color w:val="231F20"/>
          <w:spacing w:val="-21"/>
          <w:w w:val="105"/>
        </w:rPr>
        <w:t> </w:t>
      </w:r>
      <w:r>
        <w:rPr>
          <w:color w:val="231F20"/>
          <w:w w:val="105"/>
        </w:rPr>
        <w:t>de</w:t>
      </w:r>
      <w:r>
        <w:rPr>
          <w:color w:val="231F20"/>
          <w:spacing w:val="-21"/>
          <w:w w:val="105"/>
        </w:rPr>
        <w:t> </w:t>
      </w:r>
      <w:hyperlink r:id="rId286">
        <w:r>
          <w:rPr>
            <w:color w:val="231F20"/>
            <w:w w:val="105"/>
          </w:rPr>
          <w:t>www.ixtapan.com.mx</w:t>
        </w:r>
      </w:hyperlink>
      <w:r>
        <w:rPr>
          <w:color w:val="231F20"/>
          <w:spacing w:val="-21"/>
          <w:w w:val="105"/>
        </w:rPr>
        <w:t> </w:t>
      </w:r>
      <w:r>
        <w:rPr>
          <w:color w:val="231F20"/>
          <w:w w:val="105"/>
        </w:rPr>
        <w:t>pese</w:t>
      </w:r>
      <w:r>
        <w:rPr>
          <w:color w:val="231F20"/>
          <w:spacing w:val="-21"/>
          <w:w w:val="105"/>
        </w:rPr>
        <w:t> </w:t>
      </w:r>
      <w:r>
        <w:rPr>
          <w:color w:val="231F20"/>
          <w:w w:val="105"/>
        </w:rPr>
        <w:t>haberse</w:t>
      </w:r>
      <w:r>
        <w:rPr>
          <w:color w:val="231F20"/>
          <w:spacing w:val="-21"/>
          <w:w w:val="105"/>
        </w:rPr>
        <w:t> </w:t>
      </w:r>
      <w:r>
        <w:rPr>
          <w:color w:val="231F20"/>
          <w:w w:val="105"/>
        </w:rPr>
        <w:t>creado</w:t>
      </w:r>
      <w:r>
        <w:rPr>
          <w:color w:val="231F20"/>
          <w:spacing w:val="-21"/>
          <w:w w:val="105"/>
        </w:rPr>
        <w:t> </w:t>
      </w:r>
      <w:r>
        <w:rPr>
          <w:color w:val="231F20"/>
          <w:w w:val="105"/>
        </w:rPr>
        <w:t>en</w:t>
      </w:r>
      <w:r>
        <w:rPr>
          <w:color w:val="231F20"/>
          <w:spacing w:val="-21"/>
          <w:w w:val="105"/>
        </w:rPr>
        <w:t> </w:t>
      </w:r>
      <w:r>
        <w:rPr>
          <w:color w:val="231F20"/>
          <w:spacing w:val="2"/>
          <w:w w:val="105"/>
        </w:rPr>
        <w:t>2007</w:t>
      </w:r>
      <w:r>
        <w:rPr>
          <w:color w:val="231F20"/>
          <w:spacing w:val="-21"/>
          <w:w w:val="105"/>
        </w:rPr>
        <w:t> </w:t>
      </w:r>
      <w:r>
        <w:rPr>
          <w:color w:val="231F20"/>
          <w:w w:val="105"/>
        </w:rPr>
        <w:t>dejó</w:t>
      </w:r>
      <w:r>
        <w:rPr>
          <w:color w:val="231F20"/>
          <w:spacing w:val="-21"/>
          <w:w w:val="105"/>
        </w:rPr>
        <w:t> </w:t>
      </w:r>
      <w:r>
        <w:rPr>
          <w:color w:val="231F20"/>
          <w:w w:val="105"/>
        </w:rPr>
        <w:t>de</w:t>
      </w:r>
      <w:r>
        <w:rPr>
          <w:color w:val="231F20"/>
          <w:spacing w:val="-21"/>
          <w:w w:val="105"/>
        </w:rPr>
        <w:t> </w:t>
      </w:r>
      <w:r>
        <w:rPr>
          <w:color w:val="231F20"/>
          <w:w w:val="105"/>
        </w:rPr>
        <w:t>fun- cionar en </w:t>
      </w:r>
      <w:r>
        <w:rPr>
          <w:color w:val="231F20"/>
          <w:spacing w:val="3"/>
          <w:w w:val="105"/>
        </w:rPr>
        <w:t>2008, </w:t>
      </w:r>
      <w:r>
        <w:rPr>
          <w:color w:val="231F20"/>
          <w:w w:val="105"/>
        </w:rPr>
        <w:t>aunque se creó un sitio anexado </w:t>
      </w:r>
      <w:r>
        <w:rPr>
          <w:color w:val="231F20"/>
          <w:spacing w:val="2"/>
          <w:w w:val="105"/>
        </w:rPr>
        <w:t>al </w:t>
      </w:r>
      <w:r>
        <w:rPr>
          <w:color w:val="231F20"/>
          <w:w w:val="105"/>
        </w:rPr>
        <w:t>del gobierno estatal (</w:t>
      </w:r>
      <w:hyperlink r:id="rId287">
        <w:r>
          <w:rPr>
            <w:color w:val="231F20"/>
            <w:w w:val="105"/>
          </w:rPr>
          <w:t>http://www.</w:t>
        </w:r>
      </w:hyperlink>
      <w:r>
        <w:rPr>
          <w:color w:val="231F20"/>
          <w:w w:val="105"/>
        </w:rPr>
        <w:t> edomexico.gob.mx/ixtapandelasal/).</w:t>
      </w:r>
      <w:r>
        <w:rPr>
          <w:color w:val="231F20"/>
          <w:spacing w:val="-9"/>
          <w:w w:val="105"/>
        </w:rPr>
        <w:t> </w:t>
      </w:r>
      <w:r>
        <w:rPr>
          <w:color w:val="231F20"/>
          <w:w w:val="105"/>
        </w:rPr>
        <w:t>Con</w:t>
      </w:r>
      <w:r>
        <w:rPr>
          <w:color w:val="231F20"/>
          <w:spacing w:val="-9"/>
          <w:w w:val="105"/>
        </w:rPr>
        <w:t> </w:t>
      </w:r>
      <w:r>
        <w:rPr>
          <w:color w:val="231F20"/>
          <w:w w:val="105"/>
        </w:rPr>
        <w:t>relación</w:t>
      </w:r>
      <w:r>
        <w:rPr>
          <w:color w:val="231F20"/>
          <w:spacing w:val="-9"/>
          <w:w w:val="105"/>
        </w:rPr>
        <w:t> </w:t>
      </w:r>
      <w:r>
        <w:rPr>
          <w:color w:val="231F20"/>
          <w:spacing w:val="2"/>
          <w:w w:val="105"/>
        </w:rPr>
        <w:t>al</w:t>
      </w:r>
      <w:r>
        <w:rPr>
          <w:color w:val="231F20"/>
          <w:spacing w:val="-9"/>
          <w:w w:val="105"/>
        </w:rPr>
        <w:t> </w:t>
      </w:r>
      <w:r>
        <w:rPr>
          <w:color w:val="231F20"/>
          <w:w w:val="105"/>
        </w:rPr>
        <w:t>acceso</w:t>
      </w:r>
      <w:r>
        <w:rPr>
          <w:color w:val="231F20"/>
          <w:spacing w:val="-9"/>
          <w:w w:val="105"/>
        </w:rPr>
        <w:t> </w:t>
      </w:r>
      <w:r>
        <w:rPr>
          <w:color w:val="231F20"/>
          <w:w w:val="105"/>
        </w:rPr>
        <w:t>de</w:t>
      </w:r>
      <w:r>
        <w:rPr>
          <w:color w:val="231F20"/>
          <w:spacing w:val="-9"/>
          <w:w w:val="105"/>
        </w:rPr>
        <w:t> </w:t>
      </w:r>
      <w:r>
        <w:rPr>
          <w:color w:val="231F20"/>
          <w:w w:val="105"/>
        </w:rPr>
        <w:t>información</w:t>
      </w:r>
      <w:r>
        <w:rPr>
          <w:color w:val="231F20"/>
          <w:spacing w:val="-9"/>
          <w:w w:val="105"/>
        </w:rPr>
        <w:t> </w:t>
      </w:r>
      <w:r>
        <w:rPr>
          <w:color w:val="231F20"/>
          <w:w w:val="105"/>
        </w:rPr>
        <w:t>pública</w:t>
      </w:r>
      <w:r>
        <w:rPr>
          <w:color w:val="231F20"/>
          <w:spacing w:val="-9"/>
          <w:w w:val="105"/>
        </w:rPr>
        <w:t> </w:t>
      </w:r>
      <w:r>
        <w:rPr>
          <w:color w:val="231F20"/>
          <w:w w:val="105"/>
        </w:rPr>
        <w:t>de oficio,</w:t>
      </w:r>
      <w:r>
        <w:rPr>
          <w:color w:val="231F20"/>
          <w:spacing w:val="-12"/>
          <w:w w:val="105"/>
        </w:rPr>
        <w:t> </w:t>
      </w:r>
      <w:r>
        <w:rPr>
          <w:color w:val="231F20"/>
          <w:w w:val="105"/>
        </w:rPr>
        <w:t>simplemente</w:t>
      </w:r>
      <w:r>
        <w:rPr>
          <w:color w:val="231F20"/>
          <w:spacing w:val="-12"/>
          <w:w w:val="105"/>
        </w:rPr>
        <w:t> </w:t>
      </w:r>
      <w:r>
        <w:rPr>
          <w:color w:val="231F20"/>
          <w:w w:val="105"/>
        </w:rPr>
        <w:t>no</w:t>
      </w:r>
      <w:r>
        <w:rPr>
          <w:color w:val="231F20"/>
          <w:spacing w:val="-12"/>
          <w:w w:val="105"/>
        </w:rPr>
        <w:t> </w:t>
      </w:r>
      <w:r>
        <w:rPr>
          <w:color w:val="231F20"/>
          <w:w w:val="105"/>
        </w:rPr>
        <w:t>existe</w:t>
      </w:r>
      <w:r>
        <w:rPr>
          <w:color w:val="231F20"/>
          <w:spacing w:val="-12"/>
          <w:w w:val="105"/>
        </w:rPr>
        <w:t> </w:t>
      </w:r>
      <w:r>
        <w:rPr>
          <w:color w:val="231F20"/>
          <w:w w:val="105"/>
        </w:rPr>
        <w:t>la</w:t>
      </w:r>
      <w:r>
        <w:rPr>
          <w:color w:val="231F20"/>
          <w:spacing w:val="-12"/>
          <w:w w:val="105"/>
        </w:rPr>
        <w:t> </w:t>
      </w:r>
      <w:r>
        <w:rPr>
          <w:color w:val="231F20"/>
          <w:w w:val="105"/>
        </w:rPr>
        <w:t>información</w:t>
      </w:r>
      <w:r>
        <w:rPr>
          <w:color w:val="231F20"/>
          <w:spacing w:val="-12"/>
          <w:w w:val="105"/>
        </w:rPr>
        <w:t> </w:t>
      </w:r>
      <w:r>
        <w:rPr>
          <w:color w:val="231F20"/>
          <w:w w:val="105"/>
        </w:rPr>
        <w:t>ofrecida,</w:t>
      </w:r>
      <w:r>
        <w:rPr>
          <w:color w:val="231F20"/>
          <w:spacing w:val="-12"/>
          <w:w w:val="105"/>
        </w:rPr>
        <w:t> </w:t>
      </w:r>
      <w:r>
        <w:rPr>
          <w:color w:val="231F20"/>
          <w:w w:val="105"/>
        </w:rPr>
        <w:t>como</w:t>
      </w:r>
      <w:r>
        <w:rPr>
          <w:color w:val="231F20"/>
          <w:spacing w:val="-12"/>
          <w:w w:val="105"/>
        </w:rPr>
        <w:t> </w:t>
      </w:r>
      <w:r>
        <w:rPr>
          <w:color w:val="231F20"/>
          <w:w w:val="105"/>
        </w:rPr>
        <w:t>son</w:t>
      </w:r>
      <w:r>
        <w:rPr>
          <w:color w:val="231F20"/>
          <w:spacing w:val="-12"/>
          <w:w w:val="105"/>
        </w:rPr>
        <w:t> </w:t>
      </w:r>
      <w:r>
        <w:rPr>
          <w:color w:val="231F20"/>
          <w:w w:val="105"/>
        </w:rPr>
        <w:t>la</w:t>
      </w:r>
      <w:r>
        <w:rPr>
          <w:color w:val="231F20"/>
          <w:spacing w:val="-12"/>
          <w:w w:val="105"/>
        </w:rPr>
        <w:t> </w:t>
      </w:r>
      <w:r>
        <w:rPr>
          <w:color w:val="231F20"/>
          <w:w w:val="105"/>
        </w:rPr>
        <w:t>cuenta</w:t>
      </w:r>
      <w:r>
        <w:rPr>
          <w:color w:val="231F20"/>
          <w:spacing w:val="-12"/>
          <w:w w:val="105"/>
        </w:rPr>
        <w:t> </w:t>
      </w:r>
      <w:r>
        <w:rPr>
          <w:color w:val="231F20"/>
          <w:w w:val="105"/>
        </w:rPr>
        <w:t>pública</w:t>
      </w:r>
      <w:r>
        <w:rPr>
          <w:color w:val="231F20"/>
          <w:spacing w:val="-12"/>
          <w:w w:val="105"/>
        </w:rPr>
        <w:t> </w:t>
      </w:r>
      <w:r>
        <w:rPr>
          <w:color w:val="231F20"/>
          <w:w w:val="105"/>
        </w:rPr>
        <w:t>y</w:t>
      </w:r>
      <w:r>
        <w:rPr>
          <w:color w:val="231F20"/>
          <w:spacing w:val="-12"/>
          <w:w w:val="105"/>
        </w:rPr>
        <w:t> </w:t>
      </w:r>
      <w:r>
        <w:rPr>
          <w:color w:val="231F20"/>
          <w:w w:val="105"/>
        </w:rPr>
        <w:t>las actas</w:t>
      </w:r>
      <w:r>
        <w:rPr>
          <w:color w:val="231F20"/>
          <w:spacing w:val="-13"/>
          <w:w w:val="105"/>
        </w:rPr>
        <w:t> </w:t>
      </w:r>
      <w:r>
        <w:rPr>
          <w:color w:val="231F20"/>
          <w:w w:val="105"/>
        </w:rPr>
        <w:t>de</w:t>
      </w:r>
      <w:r>
        <w:rPr>
          <w:color w:val="231F20"/>
          <w:spacing w:val="-13"/>
          <w:w w:val="105"/>
        </w:rPr>
        <w:t> </w:t>
      </w:r>
      <w:r>
        <w:rPr>
          <w:color w:val="231F20"/>
          <w:w w:val="105"/>
        </w:rPr>
        <w:t>cabildo</w:t>
      </w:r>
      <w:r>
        <w:rPr>
          <w:color w:val="231F20"/>
          <w:spacing w:val="-13"/>
          <w:w w:val="105"/>
        </w:rPr>
        <w:t> </w:t>
      </w:r>
      <w:r>
        <w:rPr>
          <w:color w:val="231F20"/>
          <w:w w:val="105"/>
        </w:rPr>
        <w:t>por</w:t>
      </w:r>
      <w:r>
        <w:rPr>
          <w:color w:val="231F20"/>
          <w:spacing w:val="-13"/>
          <w:w w:val="105"/>
        </w:rPr>
        <w:t> </w:t>
      </w:r>
      <w:r>
        <w:rPr>
          <w:color w:val="231F20"/>
          <w:spacing w:val="-3"/>
          <w:w w:val="105"/>
        </w:rPr>
        <w:t>ejemplo.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spacing w:val="-3"/>
          <w:w w:val="105"/>
        </w:rPr>
        <w:t>Como </w:t>
      </w:r>
      <w:r>
        <w:rPr>
          <w:color w:val="231F20"/>
          <w:w w:val="105"/>
        </w:rPr>
        <w:t>fue </w:t>
      </w:r>
      <w:r>
        <w:rPr>
          <w:color w:val="231F20"/>
          <w:spacing w:val="-3"/>
          <w:w w:val="105"/>
        </w:rPr>
        <w:t>advertido </w:t>
      </w:r>
      <w:r>
        <w:rPr>
          <w:color w:val="231F20"/>
          <w:w w:val="105"/>
        </w:rPr>
        <w:t>en el apartado de </w:t>
      </w:r>
      <w:r>
        <w:rPr>
          <w:color w:val="231F20"/>
          <w:spacing w:val="-3"/>
          <w:w w:val="105"/>
        </w:rPr>
        <w:t>Organización interna, </w:t>
      </w:r>
      <w:r>
        <w:rPr>
          <w:color w:val="231F20"/>
          <w:w w:val="105"/>
        </w:rPr>
        <w:t>funcionarios y servidores </w:t>
      </w:r>
      <w:r>
        <w:rPr>
          <w:color w:val="231F20"/>
          <w:spacing w:val="-3"/>
          <w:w w:val="105"/>
        </w:rPr>
        <w:t>públicos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actual</w:t>
      </w:r>
      <w:r>
        <w:rPr>
          <w:color w:val="231F20"/>
          <w:spacing w:val="-15"/>
          <w:w w:val="105"/>
        </w:rPr>
        <w:t> </w:t>
      </w:r>
      <w:r>
        <w:rPr>
          <w:color w:val="231F20"/>
          <w:w w:val="105"/>
        </w:rPr>
        <w:t>administración</w:t>
      </w:r>
      <w:r>
        <w:rPr>
          <w:color w:val="231F20"/>
          <w:spacing w:val="-15"/>
          <w:w w:val="105"/>
        </w:rPr>
        <w:t> </w:t>
      </w:r>
      <w:r>
        <w:rPr>
          <w:color w:val="231F20"/>
          <w:w w:val="105"/>
        </w:rPr>
        <w:t>se</w:t>
      </w:r>
      <w:r>
        <w:rPr>
          <w:color w:val="231F20"/>
          <w:spacing w:val="-15"/>
          <w:w w:val="105"/>
        </w:rPr>
        <w:t> </w:t>
      </w:r>
      <w:r>
        <w:rPr>
          <w:color w:val="231F20"/>
          <w:w w:val="105"/>
        </w:rPr>
        <w:t>caracterizan</w:t>
      </w:r>
      <w:r>
        <w:rPr>
          <w:color w:val="231F20"/>
          <w:spacing w:val="-15"/>
          <w:w w:val="105"/>
        </w:rPr>
        <w:t> </w:t>
      </w:r>
      <w:r>
        <w:rPr>
          <w:color w:val="231F20"/>
          <w:spacing w:val="-3"/>
          <w:w w:val="105"/>
        </w:rPr>
        <w:t>por</w:t>
      </w:r>
      <w:r>
        <w:rPr>
          <w:color w:val="231F20"/>
          <w:spacing w:val="-15"/>
          <w:w w:val="105"/>
        </w:rPr>
        <w:t> </w:t>
      </w:r>
      <w:r>
        <w:rPr>
          <w:color w:val="231F20"/>
          <w:w w:val="105"/>
        </w:rPr>
        <w:t>una</w:t>
      </w:r>
      <w:r>
        <w:rPr>
          <w:color w:val="231F20"/>
          <w:spacing w:val="-15"/>
          <w:w w:val="105"/>
        </w:rPr>
        <w:t> </w:t>
      </w:r>
      <w:r>
        <w:rPr>
          <w:color w:val="231F20"/>
          <w:spacing w:val="-3"/>
          <w:w w:val="105"/>
        </w:rPr>
        <w:t>deficiencia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4"/>
          <w:w w:val="105"/>
        </w:rPr>
        <w:t>profesiona- </w:t>
      </w:r>
      <w:r>
        <w:rPr>
          <w:color w:val="231F20"/>
          <w:spacing w:val="-3"/>
          <w:w w:val="105"/>
        </w:rPr>
        <w:t>lización</w:t>
      </w:r>
      <w:r>
        <w:rPr>
          <w:color w:val="231F20"/>
          <w:spacing w:val="-17"/>
          <w:w w:val="105"/>
        </w:rPr>
        <w:t> </w:t>
      </w:r>
      <w:r>
        <w:rPr>
          <w:color w:val="231F20"/>
          <w:spacing w:val="-3"/>
          <w:w w:val="105"/>
        </w:rPr>
        <w:t>del</w:t>
      </w:r>
      <w:r>
        <w:rPr>
          <w:color w:val="231F20"/>
          <w:spacing w:val="-17"/>
          <w:w w:val="105"/>
        </w:rPr>
        <w:t> </w:t>
      </w:r>
      <w:r>
        <w:rPr>
          <w:color w:val="231F20"/>
          <w:w w:val="105"/>
        </w:rPr>
        <w:t>servicio</w:t>
      </w:r>
      <w:r>
        <w:rPr>
          <w:color w:val="231F20"/>
          <w:spacing w:val="-16"/>
          <w:w w:val="105"/>
        </w:rPr>
        <w:t> </w:t>
      </w:r>
      <w:r>
        <w:rPr>
          <w:color w:val="231F20"/>
          <w:spacing w:val="-4"/>
          <w:w w:val="105"/>
        </w:rPr>
        <w:t>público,</w:t>
      </w:r>
      <w:r>
        <w:rPr>
          <w:color w:val="231F20"/>
          <w:spacing w:val="-17"/>
          <w:w w:val="105"/>
        </w:rPr>
        <w:t> </w:t>
      </w:r>
      <w:r>
        <w:rPr>
          <w:color w:val="231F20"/>
          <w:w w:val="105"/>
        </w:rPr>
        <w:t>ante</w:t>
      </w:r>
      <w:r>
        <w:rPr>
          <w:color w:val="231F20"/>
          <w:spacing w:val="-17"/>
          <w:w w:val="105"/>
        </w:rPr>
        <w:t> </w:t>
      </w:r>
      <w:r>
        <w:rPr>
          <w:color w:val="231F20"/>
          <w:spacing w:val="-3"/>
          <w:w w:val="105"/>
        </w:rPr>
        <w:t>lo</w:t>
      </w:r>
      <w:r>
        <w:rPr>
          <w:color w:val="231F20"/>
          <w:spacing w:val="-17"/>
          <w:w w:val="105"/>
        </w:rPr>
        <w:t> </w:t>
      </w:r>
      <w:r>
        <w:rPr>
          <w:color w:val="231F20"/>
          <w:w w:val="105"/>
        </w:rPr>
        <w:t>cual</w:t>
      </w:r>
      <w:r>
        <w:rPr>
          <w:color w:val="231F20"/>
          <w:spacing w:val="-17"/>
          <w:w w:val="105"/>
        </w:rPr>
        <w:t> </w:t>
      </w:r>
      <w:r>
        <w:rPr>
          <w:color w:val="231F20"/>
          <w:w w:val="105"/>
        </w:rPr>
        <w:t>el</w:t>
      </w:r>
      <w:r>
        <w:rPr>
          <w:color w:val="231F20"/>
          <w:spacing w:val="-17"/>
          <w:w w:val="105"/>
        </w:rPr>
        <w:t> </w:t>
      </w:r>
      <w:r>
        <w:rPr>
          <w:color w:val="231F20"/>
          <w:spacing w:val="-4"/>
          <w:w w:val="105"/>
        </w:rPr>
        <w:t>gobierno</w:t>
      </w:r>
      <w:r>
        <w:rPr>
          <w:color w:val="231F20"/>
          <w:spacing w:val="-16"/>
          <w:w w:val="105"/>
        </w:rPr>
        <w:t> </w:t>
      </w:r>
      <w:r>
        <w:rPr>
          <w:color w:val="231F20"/>
          <w:w w:val="105"/>
        </w:rPr>
        <w:t>municipal</w:t>
      </w:r>
      <w:r>
        <w:rPr>
          <w:color w:val="231F20"/>
          <w:spacing w:val="-17"/>
          <w:w w:val="105"/>
        </w:rPr>
        <w:t> </w:t>
      </w:r>
      <w:r>
        <w:rPr>
          <w:color w:val="231F20"/>
          <w:w w:val="105"/>
        </w:rPr>
        <w:t>vio</w:t>
      </w:r>
      <w:r>
        <w:rPr>
          <w:color w:val="231F20"/>
          <w:spacing w:val="-17"/>
          <w:w w:val="105"/>
        </w:rPr>
        <w:t> </w:t>
      </w:r>
      <w:r>
        <w:rPr>
          <w:color w:val="231F20"/>
          <w:spacing w:val="-4"/>
          <w:w w:val="105"/>
        </w:rPr>
        <w:t>bien</w:t>
      </w:r>
      <w:r>
        <w:rPr>
          <w:color w:val="231F20"/>
          <w:spacing w:val="-17"/>
          <w:w w:val="105"/>
        </w:rPr>
        <w:t> </w:t>
      </w:r>
      <w:r>
        <w:rPr>
          <w:color w:val="231F20"/>
          <w:w w:val="105"/>
        </w:rPr>
        <w:t>plantearse</w:t>
      </w:r>
      <w:r>
        <w:rPr>
          <w:color w:val="231F20"/>
          <w:spacing w:val="-17"/>
          <w:w w:val="105"/>
        </w:rPr>
        <w:t> </w:t>
      </w:r>
      <w:r>
        <w:rPr>
          <w:color w:val="231F20"/>
          <w:spacing w:val="-4"/>
          <w:w w:val="105"/>
        </w:rPr>
        <w:t>como </w:t>
      </w:r>
      <w:r>
        <w:rPr>
          <w:color w:val="231F20"/>
          <w:spacing w:val="-3"/>
          <w:w w:val="105"/>
        </w:rPr>
        <w:t>objetivo</w:t>
      </w:r>
      <w:r>
        <w:rPr>
          <w:color w:val="231F20"/>
          <w:spacing w:val="-14"/>
          <w:w w:val="105"/>
        </w:rPr>
        <w:t> </w:t>
      </w:r>
      <w:r>
        <w:rPr>
          <w:color w:val="231F20"/>
          <w:w w:val="105"/>
        </w:rPr>
        <w:t>la</w:t>
      </w:r>
      <w:r>
        <w:rPr>
          <w:color w:val="231F20"/>
          <w:spacing w:val="-14"/>
          <w:w w:val="105"/>
        </w:rPr>
        <w:t> </w:t>
      </w:r>
      <w:r>
        <w:rPr>
          <w:color w:val="231F20"/>
          <w:spacing w:val="-4"/>
          <w:w w:val="105"/>
        </w:rPr>
        <w:t>capacitación</w:t>
      </w:r>
      <w:r>
        <w:rPr>
          <w:color w:val="231F20"/>
          <w:spacing w:val="-14"/>
          <w:w w:val="105"/>
        </w:rPr>
        <w:t> </w:t>
      </w:r>
      <w:r>
        <w:rPr>
          <w:color w:val="231F20"/>
          <w:spacing w:val="-3"/>
          <w:w w:val="105"/>
        </w:rPr>
        <w:t>continuas</w:t>
      </w:r>
      <w:r>
        <w:rPr>
          <w:color w:val="231F20"/>
          <w:spacing w:val="-14"/>
          <w:w w:val="105"/>
        </w:rPr>
        <w:t> </w:t>
      </w:r>
      <w:r>
        <w:rPr>
          <w:color w:val="231F20"/>
          <w:spacing w:val="-3"/>
          <w:w w:val="105"/>
        </w:rPr>
        <w:t>del</w:t>
      </w:r>
      <w:r>
        <w:rPr>
          <w:color w:val="231F20"/>
          <w:spacing w:val="-14"/>
          <w:w w:val="105"/>
        </w:rPr>
        <w:t> </w:t>
      </w:r>
      <w:r>
        <w:rPr>
          <w:color w:val="231F20"/>
          <w:w w:val="105"/>
        </w:rPr>
        <w:t>personal</w:t>
      </w:r>
      <w:r>
        <w:rPr>
          <w:color w:val="231F20"/>
          <w:spacing w:val="-14"/>
          <w:w w:val="105"/>
        </w:rPr>
        <w:t> </w:t>
      </w:r>
      <w:r>
        <w:rPr>
          <w:color w:val="231F20"/>
          <w:w w:val="105"/>
        </w:rPr>
        <w:t>e</w:t>
      </w:r>
      <w:r>
        <w:rPr>
          <w:color w:val="231F20"/>
          <w:spacing w:val="-14"/>
          <w:w w:val="105"/>
        </w:rPr>
        <w:t> </w:t>
      </w:r>
      <w:r>
        <w:rPr>
          <w:color w:val="231F20"/>
          <w:spacing w:val="-3"/>
          <w:w w:val="105"/>
        </w:rPr>
        <w:t>implementar</w:t>
      </w:r>
      <w:r>
        <w:rPr>
          <w:color w:val="231F20"/>
          <w:spacing w:val="-14"/>
          <w:w w:val="105"/>
        </w:rPr>
        <w:t> </w:t>
      </w:r>
      <w:r>
        <w:rPr>
          <w:color w:val="231F20"/>
          <w:w w:val="105"/>
        </w:rPr>
        <w:t>el</w:t>
      </w:r>
      <w:r>
        <w:rPr>
          <w:color w:val="231F20"/>
          <w:spacing w:val="-14"/>
          <w:w w:val="105"/>
        </w:rPr>
        <w:t> </w:t>
      </w:r>
      <w:r>
        <w:rPr>
          <w:color w:val="231F20"/>
          <w:w w:val="105"/>
        </w:rPr>
        <w:t>servicio</w:t>
      </w:r>
      <w:r>
        <w:rPr>
          <w:color w:val="231F20"/>
          <w:spacing w:val="-14"/>
          <w:w w:val="105"/>
        </w:rPr>
        <w:t> </w:t>
      </w:r>
      <w:r>
        <w:rPr>
          <w:color w:val="231F20"/>
          <w:w w:val="105"/>
        </w:rPr>
        <w:t>civil</w:t>
      </w:r>
      <w:r>
        <w:rPr>
          <w:color w:val="231F20"/>
          <w:spacing w:val="-14"/>
          <w:w w:val="105"/>
        </w:rPr>
        <w:t> </w:t>
      </w:r>
      <w:r>
        <w:rPr>
          <w:color w:val="231F20"/>
          <w:w w:val="105"/>
        </w:rPr>
        <w:t>de</w:t>
      </w:r>
      <w:r>
        <w:rPr>
          <w:color w:val="231F20"/>
          <w:spacing w:val="-14"/>
          <w:w w:val="105"/>
        </w:rPr>
        <w:t> </w:t>
      </w:r>
      <w:r>
        <w:rPr>
          <w:color w:val="231F20"/>
          <w:w w:val="105"/>
        </w:rPr>
        <w:t>carrera. Sin</w:t>
      </w:r>
      <w:r>
        <w:rPr>
          <w:color w:val="231F20"/>
          <w:spacing w:val="-15"/>
          <w:w w:val="105"/>
        </w:rPr>
        <w:t> </w:t>
      </w:r>
      <w:r>
        <w:rPr>
          <w:color w:val="231F20"/>
          <w:spacing w:val="-3"/>
          <w:w w:val="105"/>
        </w:rPr>
        <w:t>embargo,</w:t>
      </w:r>
      <w:r>
        <w:rPr>
          <w:color w:val="231F20"/>
          <w:spacing w:val="-15"/>
          <w:w w:val="105"/>
        </w:rPr>
        <w:t> </w:t>
      </w:r>
      <w:r>
        <w:rPr>
          <w:color w:val="231F20"/>
          <w:w w:val="105"/>
        </w:rPr>
        <w:t>en</w:t>
      </w:r>
      <w:r>
        <w:rPr>
          <w:color w:val="231F20"/>
          <w:spacing w:val="-15"/>
          <w:w w:val="105"/>
        </w:rPr>
        <w:t> </w:t>
      </w:r>
      <w:r>
        <w:rPr>
          <w:color w:val="231F20"/>
          <w:w w:val="105"/>
        </w:rPr>
        <w:t>2008</w:t>
      </w:r>
      <w:r>
        <w:rPr>
          <w:color w:val="231F20"/>
          <w:spacing w:val="-15"/>
          <w:w w:val="105"/>
        </w:rPr>
        <w:t> </w:t>
      </w:r>
      <w:r>
        <w:rPr>
          <w:color w:val="231F20"/>
          <w:w w:val="105"/>
        </w:rPr>
        <w:t>el</w:t>
      </w:r>
      <w:r>
        <w:rPr>
          <w:color w:val="231F20"/>
          <w:spacing w:val="-15"/>
          <w:w w:val="105"/>
        </w:rPr>
        <w:t> </w:t>
      </w:r>
      <w:r>
        <w:rPr>
          <w:color w:val="231F20"/>
          <w:w w:val="105"/>
        </w:rPr>
        <w:t>informe</w:t>
      </w:r>
      <w:r>
        <w:rPr>
          <w:color w:val="231F20"/>
          <w:spacing w:val="-15"/>
          <w:w w:val="105"/>
        </w:rPr>
        <w:t> </w:t>
      </w:r>
      <w:r>
        <w:rPr>
          <w:color w:val="231F20"/>
          <w:spacing w:val="-3"/>
          <w:w w:val="105"/>
        </w:rPr>
        <w:t>no</w:t>
      </w:r>
      <w:r>
        <w:rPr>
          <w:color w:val="231F20"/>
          <w:spacing w:val="-15"/>
          <w:w w:val="105"/>
        </w:rPr>
        <w:t> </w:t>
      </w:r>
      <w:r>
        <w:rPr>
          <w:color w:val="231F20"/>
          <w:w w:val="105"/>
        </w:rPr>
        <w:t>reporta</w:t>
      </w:r>
      <w:r>
        <w:rPr>
          <w:color w:val="231F20"/>
          <w:spacing w:val="-15"/>
          <w:w w:val="105"/>
        </w:rPr>
        <w:t> </w:t>
      </w:r>
      <w:r>
        <w:rPr>
          <w:color w:val="231F20"/>
          <w:spacing w:val="-3"/>
          <w:w w:val="105"/>
        </w:rPr>
        <w:t>nada</w:t>
      </w:r>
      <w:r>
        <w:rPr>
          <w:color w:val="231F20"/>
          <w:spacing w:val="-15"/>
          <w:w w:val="105"/>
        </w:rPr>
        <w:t> </w:t>
      </w:r>
      <w:r>
        <w:rPr>
          <w:color w:val="231F20"/>
          <w:spacing w:val="-4"/>
          <w:w w:val="105"/>
        </w:rPr>
        <w:t>relacionado</w:t>
      </w:r>
      <w:r>
        <w:rPr>
          <w:color w:val="231F20"/>
          <w:spacing w:val="-15"/>
          <w:w w:val="105"/>
        </w:rPr>
        <w:t> </w:t>
      </w:r>
      <w:r>
        <w:rPr>
          <w:color w:val="231F20"/>
          <w:spacing w:val="-3"/>
          <w:w w:val="105"/>
        </w:rPr>
        <w:t>con</w:t>
      </w:r>
      <w:r>
        <w:rPr>
          <w:color w:val="231F20"/>
          <w:spacing w:val="-15"/>
          <w:w w:val="105"/>
        </w:rPr>
        <w:t> </w:t>
      </w:r>
      <w:r>
        <w:rPr>
          <w:color w:val="231F20"/>
          <w:w w:val="105"/>
        </w:rPr>
        <w:t>estos</w:t>
      </w:r>
      <w:r>
        <w:rPr>
          <w:color w:val="231F20"/>
          <w:spacing w:val="-15"/>
          <w:w w:val="105"/>
        </w:rPr>
        <w:t> </w:t>
      </w:r>
      <w:r>
        <w:rPr>
          <w:color w:val="231F20"/>
          <w:spacing w:val="-4"/>
          <w:w w:val="105"/>
        </w:rPr>
        <w:t>conceptos.</w:t>
      </w:r>
    </w:p>
    <w:p>
      <w:pPr>
        <w:pStyle w:val="BodyText"/>
        <w:spacing w:before="1"/>
        <w:rPr>
          <w:sz w:val="26"/>
        </w:rPr>
      </w:pPr>
    </w:p>
    <w:p>
      <w:pPr>
        <w:pStyle w:val="BodyText"/>
        <w:spacing w:line="285" w:lineRule="auto"/>
        <w:ind w:left="110" w:right="107"/>
        <w:jc w:val="both"/>
      </w:pPr>
      <w:r>
        <w:rPr>
          <w:color w:val="231F20"/>
          <w:w w:val="105"/>
        </w:rPr>
        <w:t>El impulso de la participación ciudadana fue otro aspecto considerado en el Plan </w:t>
      </w:r>
      <w:r>
        <w:rPr>
          <w:color w:val="231F20"/>
          <w:spacing w:val="-3"/>
          <w:w w:val="105"/>
        </w:rPr>
        <w:t>Mu- </w:t>
      </w:r>
      <w:r>
        <w:rPr>
          <w:color w:val="231F20"/>
          <w:w w:val="105"/>
        </w:rPr>
        <w:t>nicipal</w:t>
      </w:r>
      <w:r>
        <w:rPr>
          <w:color w:val="231F20"/>
          <w:spacing w:val="-5"/>
          <w:w w:val="105"/>
        </w:rPr>
        <w:t> </w:t>
      </w:r>
      <w:r>
        <w:rPr>
          <w:color w:val="231F20"/>
          <w:spacing w:val="2"/>
          <w:w w:val="105"/>
        </w:rPr>
        <w:t>al</w:t>
      </w:r>
      <w:r>
        <w:rPr>
          <w:color w:val="231F20"/>
          <w:spacing w:val="-5"/>
          <w:w w:val="105"/>
        </w:rPr>
        <w:t> </w:t>
      </w:r>
      <w:r>
        <w:rPr>
          <w:color w:val="231F20"/>
          <w:w w:val="105"/>
        </w:rPr>
        <w:t>observar</w:t>
      </w:r>
      <w:r>
        <w:rPr>
          <w:color w:val="231F20"/>
          <w:spacing w:val="-5"/>
          <w:w w:val="105"/>
        </w:rPr>
        <w:t> </w:t>
      </w:r>
      <w:r>
        <w:rPr>
          <w:color w:val="231F20"/>
          <w:w w:val="105"/>
        </w:rPr>
        <w:t>la</w:t>
      </w:r>
      <w:r>
        <w:rPr>
          <w:color w:val="231F20"/>
          <w:spacing w:val="-5"/>
          <w:w w:val="105"/>
        </w:rPr>
        <w:t> </w:t>
      </w:r>
      <w:r>
        <w:rPr>
          <w:color w:val="231F20"/>
          <w:w w:val="105"/>
        </w:rPr>
        <w:t>falta</w:t>
      </w:r>
      <w:r>
        <w:rPr>
          <w:color w:val="231F20"/>
          <w:spacing w:val="-5"/>
          <w:w w:val="105"/>
        </w:rPr>
        <w:t> </w:t>
      </w:r>
      <w:r>
        <w:rPr>
          <w:color w:val="231F20"/>
          <w:w w:val="105"/>
        </w:rPr>
        <w:t>de</w:t>
      </w:r>
      <w:r>
        <w:rPr>
          <w:color w:val="231F20"/>
          <w:spacing w:val="-5"/>
          <w:w w:val="105"/>
        </w:rPr>
        <w:t> </w:t>
      </w:r>
      <w:r>
        <w:rPr>
          <w:color w:val="231F20"/>
          <w:w w:val="105"/>
        </w:rPr>
        <w:t>interés</w:t>
      </w:r>
      <w:r>
        <w:rPr>
          <w:color w:val="231F20"/>
          <w:spacing w:val="-5"/>
          <w:w w:val="105"/>
        </w:rPr>
        <w:t> </w:t>
      </w:r>
      <w:r>
        <w:rPr>
          <w:color w:val="231F20"/>
          <w:w w:val="105"/>
        </w:rPr>
        <w:t>social</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participación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asuntos</w:t>
      </w:r>
      <w:r>
        <w:rPr>
          <w:color w:val="231F20"/>
          <w:spacing w:val="-5"/>
          <w:w w:val="105"/>
        </w:rPr>
        <w:t> </w:t>
      </w:r>
      <w:r>
        <w:rPr>
          <w:color w:val="231F20"/>
          <w:w w:val="105"/>
        </w:rPr>
        <w:t>públicos, aunque</w:t>
      </w:r>
      <w:r>
        <w:rPr>
          <w:color w:val="231F20"/>
          <w:spacing w:val="-7"/>
          <w:w w:val="105"/>
        </w:rPr>
        <w:t> </w:t>
      </w:r>
      <w:r>
        <w:rPr>
          <w:color w:val="231F20"/>
          <w:w w:val="105"/>
        </w:rPr>
        <w:t>más</w:t>
      </w:r>
      <w:r>
        <w:rPr>
          <w:color w:val="231F20"/>
          <w:spacing w:val="-7"/>
          <w:w w:val="105"/>
        </w:rPr>
        <w:t> </w:t>
      </w:r>
      <w:r>
        <w:rPr>
          <w:color w:val="231F20"/>
          <w:w w:val="105"/>
        </w:rPr>
        <w:t>bien</w:t>
      </w:r>
      <w:r>
        <w:rPr>
          <w:color w:val="231F20"/>
          <w:spacing w:val="-7"/>
          <w:w w:val="105"/>
        </w:rPr>
        <w:t> </w:t>
      </w:r>
      <w:r>
        <w:rPr>
          <w:color w:val="231F20"/>
          <w:w w:val="105"/>
        </w:rPr>
        <w:t>debe</w:t>
      </w:r>
      <w:r>
        <w:rPr>
          <w:color w:val="231F20"/>
          <w:spacing w:val="-7"/>
          <w:w w:val="105"/>
        </w:rPr>
        <w:t> </w:t>
      </w:r>
      <w:r>
        <w:rPr>
          <w:color w:val="231F20"/>
          <w:w w:val="105"/>
        </w:rPr>
        <w:t>observarse</w:t>
      </w:r>
      <w:r>
        <w:rPr>
          <w:color w:val="231F20"/>
          <w:spacing w:val="-7"/>
          <w:w w:val="105"/>
        </w:rPr>
        <w:t> </w:t>
      </w:r>
      <w:r>
        <w:rPr>
          <w:color w:val="231F20"/>
          <w:w w:val="105"/>
        </w:rPr>
        <w:t>como</w:t>
      </w:r>
      <w:r>
        <w:rPr>
          <w:color w:val="231F20"/>
          <w:spacing w:val="-7"/>
          <w:w w:val="105"/>
        </w:rPr>
        <w:t> </w:t>
      </w:r>
      <w:r>
        <w:rPr>
          <w:color w:val="231F20"/>
          <w:w w:val="105"/>
        </w:rPr>
        <w:t>una</w:t>
      </w:r>
      <w:r>
        <w:rPr>
          <w:color w:val="231F20"/>
          <w:spacing w:val="-7"/>
          <w:w w:val="105"/>
        </w:rPr>
        <w:t> </w:t>
      </w:r>
      <w:r>
        <w:rPr>
          <w:color w:val="231F20"/>
          <w:w w:val="105"/>
        </w:rPr>
        <w:t>disposición</w:t>
      </w:r>
      <w:r>
        <w:rPr>
          <w:color w:val="231F20"/>
          <w:spacing w:val="-7"/>
          <w:w w:val="105"/>
        </w:rPr>
        <w:t> </w:t>
      </w:r>
      <w:r>
        <w:rPr>
          <w:color w:val="231F20"/>
          <w:w w:val="105"/>
        </w:rPr>
        <w:t>impuesta</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otros</w:t>
      </w:r>
      <w:r>
        <w:rPr>
          <w:color w:val="231F20"/>
          <w:spacing w:val="-7"/>
          <w:w w:val="105"/>
        </w:rPr>
        <w:t> </w:t>
      </w:r>
      <w:r>
        <w:rPr>
          <w:color w:val="231F20"/>
          <w:w w:val="105"/>
        </w:rPr>
        <w:t>niveles de</w:t>
      </w:r>
      <w:r>
        <w:rPr>
          <w:color w:val="231F20"/>
          <w:spacing w:val="-16"/>
          <w:w w:val="105"/>
        </w:rPr>
        <w:t> </w:t>
      </w:r>
      <w:r>
        <w:rPr>
          <w:color w:val="231F20"/>
          <w:w w:val="105"/>
        </w:rPr>
        <w:t>gobierno</w:t>
      </w:r>
      <w:r>
        <w:rPr>
          <w:color w:val="231F20"/>
          <w:spacing w:val="-16"/>
          <w:w w:val="105"/>
        </w:rPr>
        <w:t> </w:t>
      </w:r>
      <w:r>
        <w:rPr>
          <w:color w:val="231F20"/>
          <w:w w:val="105"/>
        </w:rPr>
        <w:t>para</w:t>
      </w:r>
      <w:r>
        <w:rPr>
          <w:color w:val="231F20"/>
          <w:spacing w:val="-16"/>
          <w:w w:val="105"/>
        </w:rPr>
        <w:t> </w:t>
      </w:r>
      <w:r>
        <w:rPr>
          <w:color w:val="231F20"/>
          <w:w w:val="105"/>
        </w:rPr>
        <w:t>cumplir</w:t>
      </w:r>
      <w:r>
        <w:rPr>
          <w:color w:val="231F20"/>
          <w:spacing w:val="-16"/>
          <w:w w:val="105"/>
        </w:rPr>
        <w:t> </w:t>
      </w:r>
      <w:r>
        <w:rPr>
          <w:color w:val="231F20"/>
          <w:w w:val="105"/>
        </w:rPr>
        <w:t>con</w:t>
      </w:r>
      <w:r>
        <w:rPr>
          <w:color w:val="231F20"/>
          <w:spacing w:val="-16"/>
          <w:w w:val="105"/>
        </w:rPr>
        <w:t> </w:t>
      </w:r>
      <w:r>
        <w:rPr>
          <w:color w:val="231F20"/>
          <w:w w:val="105"/>
        </w:rPr>
        <w:t>estándares</w:t>
      </w:r>
      <w:r>
        <w:rPr>
          <w:color w:val="231F20"/>
          <w:spacing w:val="-16"/>
          <w:w w:val="105"/>
        </w:rPr>
        <w:t> </w:t>
      </w:r>
      <w:r>
        <w:rPr>
          <w:color w:val="231F20"/>
          <w:w w:val="105"/>
        </w:rPr>
        <w:t>internacionales;</w:t>
      </w:r>
      <w:r>
        <w:rPr>
          <w:color w:val="231F20"/>
          <w:spacing w:val="-16"/>
          <w:w w:val="105"/>
        </w:rPr>
        <w:t> </w:t>
      </w:r>
      <w:r>
        <w:rPr>
          <w:color w:val="231F20"/>
          <w:w w:val="105"/>
        </w:rPr>
        <w:t>sea</w:t>
      </w:r>
      <w:r>
        <w:rPr>
          <w:color w:val="231F20"/>
          <w:spacing w:val="-16"/>
          <w:w w:val="105"/>
        </w:rPr>
        <w:t> </w:t>
      </w:r>
      <w:r>
        <w:rPr>
          <w:color w:val="231F20"/>
          <w:w w:val="105"/>
        </w:rPr>
        <w:t>cual</w:t>
      </w:r>
      <w:r>
        <w:rPr>
          <w:color w:val="231F20"/>
          <w:spacing w:val="-16"/>
          <w:w w:val="105"/>
        </w:rPr>
        <w:t> </w:t>
      </w:r>
      <w:r>
        <w:rPr>
          <w:color w:val="231F20"/>
          <w:w w:val="105"/>
        </w:rPr>
        <w:t>fuere</w:t>
      </w:r>
      <w:r>
        <w:rPr>
          <w:color w:val="231F20"/>
          <w:spacing w:val="-16"/>
          <w:w w:val="105"/>
        </w:rPr>
        <w:t> </w:t>
      </w:r>
      <w:r>
        <w:rPr>
          <w:color w:val="231F20"/>
          <w:w w:val="105"/>
        </w:rPr>
        <w:t>la</w:t>
      </w:r>
      <w:r>
        <w:rPr>
          <w:color w:val="231F20"/>
          <w:spacing w:val="-16"/>
          <w:w w:val="105"/>
        </w:rPr>
        <w:t> </w:t>
      </w:r>
      <w:r>
        <w:rPr>
          <w:color w:val="231F20"/>
          <w:w w:val="105"/>
        </w:rPr>
        <w:t>justificación, en el plan quedó establecido que el objetivo de la administración de Salvador </w:t>
      </w:r>
      <w:r>
        <w:rPr>
          <w:color w:val="231F20"/>
          <w:spacing w:val="-3"/>
          <w:w w:val="105"/>
        </w:rPr>
        <w:t>Vergara </w:t>
      </w:r>
      <w:r>
        <w:rPr>
          <w:color w:val="231F20"/>
          <w:w w:val="105"/>
        </w:rPr>
        <w:t>consideraría</w:t>
      </w:r>
      <w:r>
        <w:rPr>
          <w:color w:val="231F20"/>
          <w:spacing w:val="-9"/>
          <w:w w:val="105"/>
        </w:rPr>
        <w:t> </w:t>
      </w:r>
      <w:r>
        <w:rPr>
          <w:color w:val="231F20"/>
          <w:w w:val="105"/>
        </w:rPr>
        <w:t>la</w:t>
      </w:r>
      <w:r>
        <w:rPr>
          <w:color w:val="231F20"/>
          <w:spacing w:val="-9"/>
          <w:w w:val="105"/>
        </w:rPr>
        <w:t> </w:t>
      </w:r>
      <w:r>
        <w:rPr>
          <w:color w:val="231F20"/>
          <w:w w:val="105"/>
        </w:rPr>
        <w:t>creación</w:t>
      </w:r>
      <w:r>
        <w:rPr>
          <w:color w:val="231F20"/>
          <w:spacing w:val="-9"/>
          <w:w w:val="105"/>
        </w:rPr>
        <w:t> </w:t>
      </w:r>
      <w:r>
        <w:rPr>
          <w:color w:val="231F20"/>
          <w:w w:val="105"/>
        </w:rPr>
        <w:t>de</w:t>
      </w:r>
      <w:r>
        <w:rPr>
          <w:color w:val="231F20"/>
          <w:spacing w:val="-9"/>
          <w:w w:val="105"/>
        </w:rPr>
        <w:t> </w:t>
      </w:r>
      <w:r>
        <w:rPr>
          <w:color w:val="231F20"/>
          <w:w w:val="105"/>
        </w:rPr>
        <w:t>consejos</w:t>
      </w:r>
      <w:r>
        <w:rPr>
          <w:color w:val="231F20"/>
          <w:spacing w:val="-9"/>
          <w:w w:val="105"/>
        </w:rPr>
        <w:t> </w:t>
      </w:r>
      <w:r>
        <w:rPr>
          <w:color w:val="231F20"/>
          <w:w w:val="105"/>
        </w:rPr>
        <w:t>de</w:t>
      </w:r>
      <w:r>
        <w:rPr>
          <w:color w:val="231F20"/>
          <w:spacing w:val="-9"/>
          <w:w w:val="105"/>
        </w:rPr>
        <w:t> </w:t>
      </w:r>
      <w:r>
        <w:rPr>
          <w:color w:val="231F20"/>
          <w:w w:val="105"/>
        </w:rPr>
        <w:t>participación</w:t>
      </w:r>
      <w:r>
        <w:rPr>
          <w:color w:val="231F20"/>
          <w:spacing w:val="-9"/>
          <w:w w:val="105"/>
        </w:rPr>
        <w:t> </w:t>
      </w:r>
      <w:r>
        <w:rPr>
          <w:color w:val="231F20"/>
          <w:w w:val="105"/>
        </w:rPr>
        <w:t>ciudadana</w:t>
      </w:r>
      <w:r>
        <w:rPr>
          <w:color w:val="231F20"/>
          <w:spacing w:val="-9"/>
          <w:w w:val="105"/>
        </w:rPr>
        <w:t> </w:t>
      </w:r>
      <w:r>
        <w:rPr>
          <w:color w:val="231F20"/>
          <w:w w:val="105"/>
        </w:rPr>
        <w:t>para</w:t>
      </w:r>
      <w:r>
        <w:rPr>
          <w:color w:val="231F20"/>
          <w:spacing w:val="-9"/>
          <w:w w:val="105"/>
        </w:rPr>
        <w:t> </w:t>
      </w:r>
      <w:r>
        <w:rPr>
          <w:color w:val="231F20"/>
          <w:w w:val="105"/>
        </w:rPr>
        <w:t>la</w:t>
      </w:r>
      <w:r>
        <w:rPr>
          <w:color w:val="231F20"/>
          <w:spacing w:val="-9"/>
          <w:w w:val="105"/>
        </w:rPr>
        <w:t> </w:t>
      </w:r>
      <w:r>
        <w:rPr>
          <w:color w:val="231F20"/>
          <w:w w:val="105"/>
        </w:rPr>
        <w:t>vigilancia</w:t>
      </w:r>
      <w:r>
        <w:rPr>
          <w:color w:val="231F20"/>
          <w:spacing w:val="-9"/>
          <w:w w:val="105"/>
        </w:rPr>
        <w:t> </w:t>
      </w:r>
      <w:r>
        <w:rPr>
          <w:color w:val="231F20"/>
          <w:w w:val="105"/>
        </w:rPr>
        <w:t>de</w:t>
      </w:r>
      <w:r>
        <w:rPr>
          <w:color w:val="231F20"/>
          <w:spacing w:val="-9"/>
          <w:w w:val="105"/>
        </w:rPr>
        <w:t> </w:t>
      </w:r>
      <w:r>
        <w:rPr>
          <w:color w:val="231F20"/>
          <w:w w:val="105"/>
        </w:rPr>
        <w:t>la aplicación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obra</w:t>
      </w:r>
      <w:r>
        <w:rPr>
          <w:color w:val="231F20"/>
          <w:spacing w:val="-20"/>
          <w:w w:val="105"/>
        </w:rPr>
        <w:t> </w:t>
      </w:r>
      <w:r>
        <w:rPr>
          <w:color w:val="231F20"/>
          <w:w w:val="105"/>
        </w:rPr>
        <w:t>pública,</w:t>
      </w:r>
      <w:r>
        <w:rPr>
          <w:color w:val="231F20"/>
          <w:spacing w:val="-20"/>
          <w:w w:val="105"/>
        </w:rPr>
        <w:t> </w:t>
      </w:r>
      <w:r>
        <w:rPr>
          <w:color w:val="231F20"/>
          <w:w w:val="105"/>
        </w:rPr>
        <w:t>principalmente.</w:t>
      </w:r>
    </w:p>
    <w:p>
      <w:pPr>
        <w:pStyle w:val="BodyText"/>
        <w:spacing w:before="1"/>
        <w:rPr>
          <w:sz w:val="26"/>
        </w:rPr>
      </w:pPr>
    </w:p>
    <w:p>
      <w:pPr>
        <w:pStyle w:val="BodyText"/>
        <w:spacing w:line="285" w:lineRule="auto"/>
        <w:ind w:left="110" w:right="107"/>
        <w:jc w:val="both"/>
      </w:pPr>
      <w:r>
        <w:rPr>
          <w:color w:val="231F20"/>
          <w:w w:val="105"/>
        </w:rPr>
        <w:t>El resultado fue alentador pues además de los </w:t>
      </w:r>
      <w:r>
        <w:rPr>
          <w:color w:val="231F20"/>
          <w:spacing w:val="-5"/>
          <w:w w:val="105"/>
        </w:rPr>
        <w:t>76 </w:t>
      </w:r>
      <w:r>
        <w:rPr>
          <w:color w:val="231F20"/>
          <w:w w:val="105"/>
        </w:rPr>
        <w:t>Comités Ciudadanos de Control y Vigilancia </w:t>
      </w:r>
      <w:r>
        <w:rPr>
          <w:color w:val="231F20"/>
          <w:spacing w:val="-3"/>
          <w:w w:val="105"/>
        </w:rPr>
        <w:t>(COCICOVI) </w:t>
      </w:r>
      <w:r>
        <w:rPr>
          <w:color w:val="231F20"/>
          <w:w w:val="105"/>
        </w:rPr>
        <w:t>creados, para la elaboración del Plan Municipal se insistió la participación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sociedad</w:t>
      </w:r>
      <w:r>
        <w:rPr>
          <w:color w:val="231F20"/>
          <w:spacing w:val="-14"/>
          <w:w w:val="105"/>
        </w:rPr>
        <w:t> </w:t>
      </w:r>
      <w:r>
        <w:rPr>
          <w:color w:val="231F20"/>
          <w:w w:val="105"/>
        </w:rPr>
        <w:t>civil</w:t>
      </w:r>
      <w:r>
        <w:rPr>
          <w:color w:val="231F20"/>
          <w:spacing w:val="-14"/>
          <w:w w:val="105"/>
        </w:rPr>
        <w:t> </w:t>
      </w:r>
      <w:r>
        <w:rPr>
          <w:color w:val="231F20"/>
          <w:w w:val="105"/>
        </w:rPr>
        <w:t>organizada</w:t>
      </w:r>
      <w:r>
        <w:rPr>
          <w:color w:val="231F20"/>
          <w:spacing w:val="-14"/>
          <w:w w:val="105"/>
        </w:rPr>
        <w:t> </w:t>
      </w:r>
      <w:r>
        <w:rPr>
          <w:color w:val="231F20"/>
          <w:w w:val="105"/>
        </w:rPr>
        <w:t>a</w:t>
      </w:r>
      <w:r>
        <w:rPr>
          <w:color w:val="231F20"/>
          <w:spacing w:val="-14"/>
          <w:w w:val="105"/>
        </w:rPr>
        <w:t> </w:t>
      </w:r>
      <w:r>
        <w:rPr>
          <w:color w:val="231F20"/>
          <w:w w:val="105"/>
        </w:rPr>
        <w:t>través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organizaciones</w:t>
      </w:r>
      <w:r>
        <w:rPr>
          <w:color w:val="231F20"/>
          <w:spacing w:val="-14"/>
          <w:w w:val="105"/>
        </w:rPr>
        <w:t> </w:t>
      </w:r>
      <w:r>
        <w:rPr>
          <w:color w:val="231F20"/>
          <w:w w:val="105"/>
        </w:rPr>
        <w:t>civiles</w:t>
      </w:r>
      <w:r>
        <w:rPr>
          <w:color w:val="231F20"/>
          <w:spacing w:val="-14"/>
          <w:w w:val="105"/>
        </w:rPr>
        <w:t> </w:t>
      </w:r>
      <w:r>
        <w:rPr>
          <w:color w:val="231F20"/>
          <w:w w:val="105"/>
        </w:rPr>
        <w:t>y</w:t>
      </w:r>
      <w:r>
        <w:rPr>
          <w:color w:val="231F20"/>
          <w:spacing w:val="-14"/>
          <w:w w:val="105"/>
        </w:rPr>
        <w:t> </w:t>
      </w:r>
      <w:r>
        <w:rPr>
          <w:color w:val="231F20"/>
          <w:w w:val="105"/>
        </w:rPr>
        <w:t>so- ciales</w:t>
      </w:r>
      <w:r>
        <w:rPr>
          <w:color w:val="231F20"/>
          <w:spacing w:val="-12"/>
          <w:w w:val="105"/>
        </w:rPr>
        <w:t> </w:t>
      </w:r>
      <w:r>
        <w:rPr>
          <w:color w:val="231F20"/>
          <w:spacing w:val="-4"/>
          <w:w w:val="105"/>
        </w:rPr>
        <w:t>(OCS),</w:t>
      </w:r>
      <w:r>
        <w:rPr>
          <w:color w:val="231F20"/>
          <w:spacing w:val="-12"/>
          <w:w w:val="105"/>
        </w:rPr>
        <w:t> </w:t>
      </w:r>
      <w:r>
        <w:rPr>
          <w:color w:val="231F20"/>
          <w:w w:val="105"/>
        </w:rPr>
        <w:t>instituciones</w:t>
      </w:r>
      <w:r>
        <w:rPr>
          <w:color w:val="231F20"/>
          <w:spacing w:val="-12"/>
          <w:w w:val="105"/>
        </w:rPr>
        <w:t> </w:t>
      </w:r>
      <w:r>
        <w:rPr>
          <w:color w:val="231F20"/>
          <w:w w:val="105"/>
        </w:rPr>
        <w:t>públicas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sectores</w:t>
      </w:r>
      <w:r>
        <w:rPr>
          <w:color w:val="231F20"/>
          <w:spacing w:val="-12"/>
          <w:w w:val="105"/>
        </w:rPr>
        <w:t> </w:t>
      </w:r>
      <w:r>
        <w:rPr>
          <w:color w:val="231F20"/>
          <w:w w:val="105"/>
        </w:rPr>
        <w:t>público</w:t>
      </w:r>
      <w:r>
        <w:rPr>
          <w:color w:val="231F20"/>
          <w:spacing w:val="-12"/>
          <w:w w:val="105"/>
        </w:rPr>
        <w:t> </w:t>
      </w:r>
      <w:r>
        <w:rPr>
          <w:color w:val="231F20"/>
          <w:w w:val="105"/>
        </w:rPr>
        <w:t>y</w:t>
      </w:r>
      <w:r>
        <w:rPr>
          <w:color w:val="231F20"/>
          <w:spacing w:val="-12"/>
          <w:w w:val="105"/>
        </w:rPr>
        <w:t> </w:t>
      </w:r>
      <w:r>
        <w:rPr>
          <w:color w:val="231F20"/>
          <w:w w:val="105"/>
        </w:rPr>
        <w:t>privado,</w:t>
      </w:r>
      <w:r>
        <w:rPr>
          <w:color w:val="231F20"/>
          <w:spacing w:val="-12"/>
          <w:w w:val="105"/>
        </w:rPr>
        <w:t> </w:t>
      </w:r>
      <w:r>
        <w:rPr>
          <w:color w:val="231F20"/>
          <w:w w:val="105"/>
        </w:rPr>
        <w:t>quienes</w:t>
      </w:r>
      <w:r>
        <w:rPr>
          <w:color w:val="231F20"/>
          <w:spacing w:val="-12"/>
          <w:w w:val="105"/>
        </w:rPr>
        <w:t> </w:t>
      </w:r>
      <w:r>
        <w:rPr>
          <w:color w:val="231F20"/>
          <w:spacing w:val="-4"/>
          <w:w w:val="105"/>
        </w:rPr>
        <w:t>“orien- </w:t>
      </w:r>
      <w:r>
        <w:rPr>
          <w:color w:val="231F20"/>
          <w:w w:val="105"/>
        </w:rPr>
        <w:t>taron con sus propuestas y opiniones la definición de las metas, planes, programas y estrategias</w:t>
      </w:r>
      <w:r>
        <w:rPr>
          <w:color w:val="231F20"/>
          <w:spacing w:val="-7"/>
          <w:w w:val="105"/>
        </w:rPr>
        <w:t> </w:t>
      </w:r>
      <w:r>
        <w:rPr>
          <w:color w:val="231F20"/>
          <w:w w:val="105"/>
        </w:rPr>
        <w:t>del</w:t>
      </w:r>
      <w:r>
        <w:rPr>
          <w:color w:val="231F20"/>
          <w:spacing w:val="-7"/>
          <w:w w:val="105"/>
        </w:rPr>
        <w:t> </w:t>
      </w:r>
      <w:r>
        <w:rPr>
          <w:color w:val="231F20"/>
          <w:w w:val="105"/>
        </w:rPr>
        <w:t>Plan</w:t>
      </w:r>
      <w:r>
        <w:rPr>
          <w:color w:val="231F20"/>
          <w:spacing w:val="-7"/>
          <w:w w:val="105"/>
        </w:rPr>
        <w:t> </w:t>
      </w:r>
      <w:r>
        <w:rPr>
          <w:color w:val="231F20"/>
          <w:w w:val="105"/>
        </w:rPr>
        <w:t>Municipal,</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permitió</w:t>
      </w:r>
      <w:r>
        <w:rPr>
          <w:color w:val="231F20"/>
          <w:spacing w:val="-7"/>
          <w:w w:val="105"/>
        </w:rPr>
        <w:t> </w:t>
      </w:r>
      <w:r>
        <w:rPr>
          <w:color w:val="231F20"/>
          <w:w w:val="105"/>
        </w:rPr>
        <w:t>obtener</w:t>
      </w:r>
      <w:r>
        <w:rPr>
          <w:color w:val="231F20"/>
          <w:spacing w:val="-7"/>
          <w:w w:val="105"/>
        </w:rPr>
        <w:t> </w:t>
      </w:r>
      <w:r>
        <w:rPr>
          <w:color w:val="231F20"/>
          <w:w w:val="105"/>
        </w:rPr>
        <w:t>un</w:t>
      </w:r>
      <w:r>
        <w:rPr>
          <w:color w:val="231F20"/>
          <w:spacing w:val="-7"/>
          <w:w w:val="105"/>
        </w:rPr>
        <w:t> </w:t>
      </w:r>
      <w:r>
        <w:rPr>
          <w:color w:val="231F20"/>
          <w:w w:val="105"/>
        </w:rPr>
        <w:t>documento</w:t>
      </w:r>
      <w:r>
        <w:rPr>
          <w:color w:val="231F20"/>
          <w:spacing w:val="-7"/>
          <w:w w:val="105"/>
        </w:rPr>
        <w:t> </w:t>
      </w:r>
      <w:r>
        <w:rPr>
          <w:color w:val="231F20"/>
          <w:w w:val="105"/>
        </w:rPr>
        <w:t>íntegro</w:t>
      </w:r>
      <w:r>
        <w:rPr>
          <w:color w:val="231F20"/>
          <w:spacing w:val="-7"/>
          <w:w w:val="105"/>
        </w:rPr>
        <w:t> </w:t>
      </w:r>
      <w:r>
        <w:rPr>
          <w:color w:val="231F20"/>
          <w:spacing w:val="-5"/>
          <w:w w:val="105"/>
        </w:rPr>
        <w:t>(sic)</w:t>
      </w:r>
      <w:r>
        <w:rPr>
          <w:color w:val="231F20"/>
          <w:spacing w:val="-7"/>
          <w:w w:val="105"/>
        </w:rPr>
        <w:t> </w:t>
      </w:r>
      <w:r>
        <w:rPr>
          <w:color w:val="231F20"/>
          <w:w w:val="105"/>
        </w:rPr>
        <w:t>que contenía</w:t>
      </w:r>
      <w:r>
        <w:rPr>
          <w:color w:val="231F20"/>
          <w:spacing w:val="-24"/>
          <w:w w:val="105"/>
        </w:rPr>
        <w:t> </w:t>
      </w:r>
      <w:r>
        <w:rPr>
          <w:color w:val="231F20"/>
          <w:w w:val="105"/>
        </w:rPr>
        <w:t>las</w:t>
      </w:r>
      <w:r>
        <w:rPr>
          <w:color w:val="231F20"/>
          <w:spacing w:val="-24"/>
          <w:w w:val="105"/>
        </w:rPr>
        <w:t> </w:t>
      </w:r>
      <w:r>
        <w:rPr>
          <w:color w:val="231F20"/>
          <w:w w:val="105"/>
        </w:rPr>
        <w:t>aspiraciones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ciudadanía”</w:t>
      </w:r>
      <w:r>
        <w:rPr>
          <w:color w:val="231F20"/>
          <w:spacing w:val="-24"/>
          <w:w w:val="105"/>
        </w:rPr>
        <w:t> </w:t>
      </w:r>
      <w:r>
        <w:rPr>
          <w:color w:val="231F20"/>
          <w:w w:val="105"/>
        </w:rPr>
        <w:t>(Plan</w:t>
      </w:r>
      <w:r>
        <w:rPr>
          <w:color w:val="231F20"/>
          <w:spacing w:val="-24"/>
          <w:w w:val="105"/>
        </w:rPr>
        <w:t> </w:t>
      </w:r>
      <w:r>
        <w:rPr>
          <w:color w:val="231F20"/>
          <w:w w:val="105"/>
        </w:rPr>
        <w:t>Municipal,</w:t>
      </w:r>
      <w:r>
        <w:rPr>
          <w:color w:val="231F20"/>
          <w:spacing w:val="-24"/>
          <w:w w:val="105"/>
        </w:rPr>
        <w:t> </w:t>
      </w:r>
      <w:r>
        <w:rPr>
          <w:color w:val="231F20"/>
          <w:w w:val="105"/>
        </w:rPr>
        <w:t>2006).</w:t>
      </w:r>
    </w:p>
    <w:p>
      <w:pPr>
        <w:spacing w:after="0" w:line="285" w:lineRule="auto"/>
        <w:jc w:val="both"/>
        <w:sectPr>
          <w:pgSz w:w="9640" w:h="12190"/>
          <w:pgMar w:header="0" w:footer="743" w:top="1120" w:bottom="940" w:left="740" w:right="740"/>
        </w:sectPr>
      </w:pPr>
    </w:p>
    <w:p>
      <w:pPr>
        <w:pStyle w:val="Heading5"/>
        <w:spacing w:before="27"/>
        <w:ind w:left="537" w:right="-2"/>
      </w:pPr>
      <w:r>
        <w:rPr>
          <w:color w:val="231F20"/>
          <w:w w:val="105"/>
        </w:rPr>
        <w:t>Gráfico 8. Participación ciudadana en la formulación del Plan Municipal.</w:t>
      </w:r>
    </w:p>
    <w:p>
      <w:pPr>
        <w:pStyle w:val="BodyText"/>
        <w:spacing w:before="5"/>
        <w:rPr>
          <w:b/>
          <w:sz w:val="12"/>
        </w:rPr>
      </w:pPr>
      <w:r>
        <w:rPr/>
        <w:pict>
          <v:group style="position:absolute;margin-left:82.606293pt;margin-top:9.143316pt;width:317.4pt;height:171.2pt;mso-position-horizontal-relative:page;mso-position-vertical-relative:paragraph;z-index:7888;mso-wrap-distance-left:0;mso-wrap-distance-right:0" coordorigin="1652,183" coordsize="6348,3424">
            <v:shape style="position:absolute;left:2408;top:1305;width:205;height:1086" coordorigin="2408,1305" coordsize="205,1086" path="m2488,1305l2432,1414,2408,1513,2413,1659,2443,1908,2447,1977,2460,2048,2480,2120,2506,2191,2538,2260,2574,2327,2613,2391,2544,1856,2449,1677,2411,1560,2426,1453,2488,1305xe" filled="true" fillcolor="#5e91a8" stroked="false">
              <v:path arrowok="t"/>
              <v:fill type="solid"/>
            </v:shape>
            <v:shape style="position:absolute;left:2613;top:1960;width:340;height:781" coordorigin="2613,1960" coordsize="340,781" path="m2613,1960l2661,2458,2710,2518,2763,2575,2822,2632,2885,2687,2952,2740,2894,2225,2828,2174,2767,2123,2710,2070,2659,2015,2613,1960xe" filled="true" fillcolor="#cc7b16" stroked="false">
              <v:path arrowok="t"/>
              <v:fill type="solid"/>
            </v:shape>
            <v:shape style="position:absolute;left:2719;top:1067;width:2172;height:469" coordorigin="2719,1067" coordsize="2172,469" path="m4880,1067l2719,1067,2741,1305,4792,1305,4792,1536,4891,1491,4880,1067xe" filled="true" fillcolor="#716b5b" stroked="false">
              <v:path arrowok="t"/>
              <v:fill type="solid"/>
            </v:shape>
            <v:shape style="position:absolute;left:3041;top:2321;width:1063;height:919" coordorigin="3041,2321" coordsize="1063,919" path="m3041,2321l3093,2837,3152,2873,3214,2908,3278,2942,3343,2975,3411,3007,3481,3038,3553,3068,3626,3096,3702,3123,3779,3149,3858,3174,3938,3197,4020,3219,4104,3239,4064,2702,3978,2682,3895,2661,3813,2639,3732,2616,3654,2591,3577,2566,3503,2539,3430,2511,3360,2482,3292,2452,3226,2420,3162,2388,3100,2355,3041,2321xe" filled="true" fillcolor="#13827e" stroked="false">
              <v:path arrowok="t"/>
              <v:fill type="solid"/>
            </v:shape>
            <v:shape style="position:absolute;left:4381;top:2761;width:1350;height:607" coordorigin="4381,2761" coordsize="1350,607" path="m4381,2761l4408,3300,4481,3311,4555,3322,4629,3331,4704,3340,4780,3347,4857,3353,4934,3358,5012,3362,5090,3365,5169,3367,5248,3368,5330,3367,5412,3365,5493,3362,5573,3358,5652,3353,5731,3347,5731,2827,5271,2827,5187,2827,5103,2825,5020,2822,4937,2818,4855,2813,4774,2807,4694,2800,4614,2792,4536,2782,4458,2772,4381,2761xm5731,2810l5656,2815,5580,2819,5504,2823,5427,2825,5350,2827,5271,2827,5731,2827,5731,2810xe" filled="true" fillcolor="#4d176e" stroked="false">
              <v:path arrowok="t"/>
              <v:fill type="solid"/>
            </v:shape>
            <v:shape style="position:absolute;left:5991;top:2666;width:628;height:653" coordorigin="5991,2666" coordsize="628,653" path="m6619,2666l6545,2684,6470,2702,6393,2718,6315,2734,6236,2748,6156,2761,6074,2773,5991,2784,5991,3319,6070,3307,6148,3295,6225,3281,6301,3266,6375,3251,6449,3234,6521,3216,6592,3197,6619,2666xe" filled="true" fillcolor="#66952d" stroked="false">
              <v:path arrowok="t"/>
              <v:fill type="solid"/>
            </v:shape>
            <v:shape style="position:absolute;left:6873;top:1762;width:1127;height:1346" coordorigin="6873,1762" coordsize="1127,1346" path="m8000,1762l7975,1817,7946,1871,7913,1925,7874,1978,7831,2029,7784,2080,7732,2129,7677,2177,7617,2224,7553,2269,7485,2313,7413,2356,7338,2397,7259,2437,7177,2475,7091,2511,7002,2546,6910,2579,6873,3107,6961,3073,7046,3038,7128,3001,7207,2962,7283,2921,7356,2879,7425,2834,7491,2789,7553,2741,7612,2693,7667,2642,7718,2590,7766,2537,7809,2482,7848,2426,7883,2369,7913,2310,7939,2250,8000,1762xe" filled="true" fillcolor="#6a0007" stroked="false">
              <v:path arrowok="t"/>
              <v:fill type="solid"/>
            </v:shape>
            <v:shape style="position:absolute;left:5687;top:1092;width:2217;height:649" coordorigin="5687,1092" coordsize="2217,649" path="m5709,1092l5687,1413,7863,1741,7871,1697,7878,1649,7887,1564,7904,1413,5709,1092xe" filled="true" fillcolor="#0d586e" stroked="false">
              <v:path arrowok="t"/>
              <v:fill type="solid"/>
            </v:shape>
            <v:shape style="position:absolute;left:5435;top:1502;width:556;height:1817" coordorigin="5435,1502" coordsize="556,1817" path="m5435,1502l5435,1970,5991,3319,5991,2784,5435,1502xe" filled="true" fillcolor="#4c7520" stroked="false">
              <v:path arrowok="t"/>
              <v:fill type="solid"/>
            </v:shape>
            <v:shape style="position:absolute;left:5687;top:1413;width:1224;height:1694" coordorigin="5687,1413" coordsize="1224,1694" path="m5704,1413l5687,1749,6619,2666,6611,2827,6873,3107,6910,2579,5704,1413xe" filled="true" fillcolor="#470000" stroked="false">
              <v:path arrowok="t"/>
              <v:fill type="solid"/>
            </v:shape>
            <v:shape style="position:absolute;left:4064;top:1463;width:891;height:1768" coordorigin="4064,1463" coordsize="891,1768" path="m4955,1463l4064,2702,4103,3230,4381,2797,4381,2761,4955,1909,4955,1463xe" filled="true" fillcolor="#016966" stroked="false">
              <v:path arrowok="t"/>
              <v:fill type="solid"/>
            </v:shape>
            <v:shape style="position:absolute;left:2894;top:1392;width:1898;height:1348" coordorigin="2894,1392" coordsize="1898,1348" path="m4792,1392l2894,2225,2952,2740,3076,2666,3041,2321,4792,1536,4792,1392xe" filled="true" fillcolor="#a36109" stroked="false">
              <v:path arrowok="t"/>
              <v:fill type="solid"/>
            </v:shape>
            <v:shape style="position:absolute;left:2544;top:1305;width:2248;height:1086" coordorigin="2544,1305" coordsize="2248,1086" path="m4792,1305l2544,1856,2613,2391,2654,2381,2613,1960,4792,1392,4792,1305xe" filled="true" fillcolor="#466f82" stroked="false">
              <v:path arrowok="t"/>
              <v:fill type="solid"/>
            </v:shape>
            <v:line style="position:absolute" from="5675,217" to="5675,1413" stroked="true" strokeweight="3.418pt" strokecolor="#004659"/>
            <v:line style="position:absolute" from="4907,215" to="4907,1491" stroked="true" strokeweight="2.756pt" strokecolor="#403c32"/>
            <v:shape style="position:absolute;left:2450;top:1305;width:2342;height:552" coordorigin="2450,1305" coordsize="2342,552" path="m4792,1305l2488,1305,2471,1358,2459,1411,2452,1466,2450,1520,2456,1607,2474,1692,2503,1775,2544,1856,4792,1305xe" filled="true" fillcolor="#76b4cf" stroked="false">
              <v:path arrowok="t"/>
              <v:fill type="solid"/>
            </v:shape>
            <v:shape style="position:absolute;left:2613;top:1392;width:2179;height:833" coordorigin="2613,1392" coordsize="2179,833" path="m4792,1392l2613,1960,2655,2015,2704,2067,2759,2118,2822,2170,2894,2225,4792,1392xe" filled="true" fillcolor="#f7941d" stroked="false">
              <v:path arrowok="t"/>
              <v:fill type="solid"/>
            </v:shape>
            <v:shape style="position:absolute;left:3041;top:1463;width:1914;height:1240" coordorigin="3041,1463" coordsize="1914,1240" path="m4955,1463l3041,2321,3101,2357,3162,2391,3226,2424,3291,2455,3359,2485,3429,2514,3501,2542,3575,2568,3651,2593,3729,2617,3809,2640,3892,2661,3977,2682,4064,2702,4955,1463xe" filled="true" fillcolor="#1a9b97" stroked="false">
              <v:path arrowok="t"/>
              <v:fill type="solid"/>
            </v:shape>
            <v:shape style="position:absolute;left:4381;top:1502;width:1350;height:1325" coordorigin="4381,1502" coordsize="1350,1325" path="m5228,1502l4381,2761,4461,2774,4540,2786,4620,2796,4699,2804,4779,2811,4860,2816,4940,2821,5022,2824,5104,2826,5271,2827,5425,2827,5500,2825,5576,2822,5653,2817,5731,2810,5228,1502xe" filled="true" fillcolor="#662d91" stroked="false">
              <v:path arrowok="t"/>
              <v:fill type="solid"/>
            </v:shape>
            <v:shape style="position:absolute;left:5435;top:1502;width:1184;height:1282" coordorigin="5435,1502" coordsize="1184,1282" path="m5435,1502l5991,2784,6077,2775,6160,2764,6240,2751,6318,2737,6395,2722,6470,2705,6545,2686,6619,2666,5435,1502xe" filled="true" fillcolor="#8dc63f" stroked="false">
              <v:path arrowok="t"/>
              <v:fill type="solid"/>
            </v:shape>
            <v:shape style="position:absolute;left:5704;top:1413;width:2296;height:1166" coordorigin="5704,1413" coordsize="2296,1166" path="m5704,1413l6910,2579,7004,2546,7095,2512,7182,2475,7265,2438,7345,2398,7420,2357,7492,2315,7560,2271,7624,2225,7683,2179,7738,2131,7789,2082,7836,2031,7878,1979,7915,1927,7948,1873,7976,1818,8000,1762,5704,1413xe" filled="true" fillcolor="#9c1421" stroked="false">
              <v:path arrowok="t"/>
              <v:fill type="solid"/>
            </v:shape>
            <v:shape style="position:absolute;left:2719;top:215;width:2206;height:853" coordorigin="2719,215" coordsize="2206,853" path="m4924,215l4811,221,4700,228,4591,237,4485,248,4381,260,4280,274,4182,289,4086,305,3993,323,3903,342,3815,363,3731,385,3649,408,3570,432,3495,457,3422,484,3353,511,3287,540,3224,569,3164,600,3108,631,3056,664,2961,731,2880,801,2815,874,2764,950,2730,1028,2719,1067,4880,1067,4924,215xe" filled="true" fillcolor="#c2b59b" stroked="false">
              <v:path arrowok="t"/>
              <v:fill type="solid"/>
            </v:shape>
            <v:shape style="position:absolute;left:5655;top:217;width:2255;height:1196" coordorigin="5655,217" coordsize="2255,1196" path="m5655,217l5709,1092,7904,1413,7906,1398,7908,1383,7909,1368,7909,1352,7907,1296,7891,1189,7860,1087,7814,991,7754,902,7680,818,7593,739,7545,702,7494,667,7440,632,7383,599,7324,568,7261,538,7196,509,7128,482,7058,456,6986,431,6911,408,6833,386,6754,365,6672,346,6589,328,6503,311,6415,295,6326,281,6235,268,6142,257,6048,246,5952,237,5854,229,5755,223,5655,217xe" filled="true" fillcolor="#237793" stroked="false">
              <v:path arrowok="t"/>
              <v:fill type="solid"/>
            </v:shape>
            <v:shape style="position:absolute;left:1652;top:899;width:421;height:156" type="#_x0000_t75" stroked="false">
              <v:imagedata r:id="rId288" o:title=""/>
            </v:shape>
            <v:shape style="position:absolute;left:2097;top:890;width:438;height:170" type="#_x0000_t75" stroked="false">
              <v:imagedata r:id="rId289" o:title=""/>
            </v:shape>
            <v:shape style="position:absolute;left:1942;top:1157;width:291;height:153" type="#_x0000_t75" stroked="false">
              <v:imagedata r:id="rId290" o:title=""/>
            </v:shape>
            <v:shape style="position:absolute;left:1840;top:2677;width:517;height:170" type="#_x0000_t75" stroked="false">
              <v:imagedata r:id="rId291" o:title=""/>
            </v:shape>
            <v:shape style="position:absolute;left:2435;top:2690;width:293;height:152" type="#_x0000_t75" stroked="false">
              <v:imagedata r:id="rId292" o:title=""/>
            </v:shape>
            <v:line style="position:absolute" from="2245,3163" to="2245,3297" stroked="true" strokeweight="1.039pt" strokecolor="#231f20"/>
            <v:line style="position:absolute" from="2184,3154" to="2307,3154" stroked="true" strokeweight=".904pt" strokecolor="#231f20"/>
            <v:shape style="position:absolute;left:2316;top:3184;width:54;height:114" coordorigin="2316,3184" coordsize="54,114" path="m2334,3186l2316,3186,2316,3297,2334,3297,2334,3225,2337,3219,2347,3206,2350,3205,2334,3205,2334,3186xm2356,3184l2350,3187,2339,3197,2335,3202,2334,3205,2350,3205,2354,3203,2370,3203,2370,3184,2368,3184,2356,3184xm2370,3203l2354,3203,2367,3204,2369,3204,2370,3204,2370,3203xe" filled="true" fillcolor="#231f20" stroked="false">
              <v:path arrowok="t"/>
              <v:fill type="solid"/>
            </v:shape>
            <v:shape style="position:absolute;left:2381;top:3184;width:105;height:118" coordorigin="2381,3184" coordsize="105,118" path="m2471,3199l2437,3199,2444,3201,2453,3206,2455,3211,2455,3221,2455,3223,2452,3228,2449,3229,2405,3235,2397,3239,2384,3250,2381,3258,2381,3277,2384,3285,2397,3298,2405,3301,2424,3301,2432,3299,2446,3292,2452,3287,2453,3285,2415,3285,2410,3283,2402,3277,2400,3273,2400,3261,2403,3255,2412,3250,2417,3249,2439,3246,2442,3245,2449,3243,2452,3242,2454,3241,2473,3241,2473,3204,2471,3199xm2474,3282l2455,3282,2456,3287,2457,3290,2461,3297,2466,3299,2477,3299,2480,3299,2482,3298,2485,3298,2485,3284,2477,3284,2475,3284,2474,3282xm2473,3241l2454,3241,2454,3267,2449,3275,2439,3280,2433,3283,2426,3285,2453,3285,2455,3282,2474,3282,2473,3281,2473,3280,2473,3241xm2485,3284l2483,3284,2477,3284,2485,3284,2485,3284xm2442,3184l2418,3184,2408,3186,2391,3197,2387,3207,2386,3220,2404,3220,2405,3214,2406,3210,2412,3202,2419,3199,2471,3199,2469,3196,2453,3186,2442,3184xe" filled="true" fillcolor="#231f20" stroked="false">
              <v:path arrowok="t"/>
              <v:fill type="solid"/>
            </v:shape>
            <v:shape style="position:absolute;left:2504;top:3184;width:91;height:114" coordorigin="2504,3184" coordsize="91,114" path="m2521,3186l2504,3186,2504,3297,2522,3297,2522,3232,2523,3226,2524,3218,2526,3215,2533,3206,2538,3203,2543,3202,2521,3202,2521,3186xm2589,3201l2563,3201,2569,3204,2574,3215,2575,3220,2575,3297,2594,3297,2594,3215,2592,3206,2589,3201xm2573,3184l2550,3184,2544,3185,2532,3191,2526,3196,2521,3202,2543,3202,2546,3201,2549,3201,2589,3201,2584,3189,2573,3184xe" filled="true" fillcolor="#231f20" stroked="false">
              <v:path arrowok="t"/>
              <v:fill type="solid"/>
            </v:shape>
            <v:shape style="position:absolute;left:2614;top:3183;width:93;height:118" coordorigin="2614,3183" coordsize="93,118" path="m2632,3262l2614,3262,2615,3273,2619,3283,2633,3297,2644,3301,2676,3301,2688,3298,2701,3286,2650,3286,2642,3283,2634,3273,2633,3268,2632,3262xm2677,3183l2647,3183,2637,3187,2621,3200,2618,3208,2618,3227,2622,3234,2630,3239,2634,3242,2641,3245,2674,3253,2679,3255,2682,3256,2686,3259,2688,3262,2689,3273,2686,3278,2675,3284,2669,3286,2701,3286,2703,3283,2707,3275,2707,3255,2703,3247,2691,3239,2682,3236,2651,3229,2647,3227,2644,3226,2639,3223,2636,3219,2636,3210,2638,3206,2646,3201,2651,3199,2697,3199,2689,3188,2677,3183xm2697,3199l2669,3199,2677,3202,2681,3207,2684,3210,2685,3214,2686,3218,2703,3218,2703,3211,2701,3204,2697,3199xe" filled="true" fillcolor="#231f20" stroked="false">
              <v:path arrowok="t"/>
              <v:fill type="solid"/>
            </v:shape>
            <v:shape style="position:absolute;left:2726;top:3184;width:98;height:158" coordorigin="2726,3184" coordsize="98,158" path="m2744,3187l2726,3187,2726,3341,2744,3341,2744,3285,2810,3285,2810,3284,2761,3284,2752,3279,2745,3261,2743,3254,2743,3235,2745,3226,2752,3206,2759,3202,2744,3202,2744,3187xm2810,3285l2744,3285,2748,3290,2752,3293,2755,3295,2761,3299,2768,3301,2787,3301,2796,3297,2804,3291,2810,3285xm2812,3200l2787,3200,2795,3206,2796,3206,2800,3218,2803,3225,2804,3232,2804,3256,2801,3266,2790,3281,2783,3284,2810,3284,2813,3282,2819,3270,2822,3256,2823,3239,2823,3227,2820,3216,2816,3206,2812,3200xm2791,3184l2770,3184,2762,3186,2756,3190,2752,3193,2747,3196,2744,3202,2759,3202,2761,3200,2812,3200,2810,3198,2801,3188,2791,3184xe" filled="true" fillcolor="#231f20" stroked="false">
              <v:path arrowok="t"/>
              <v:fill type="solid"/>
            </v:shape>
            <v:shape style="position:absolute;left:2837;top:3183;width:103;height:118" coordorigin="2837,3183" coordsize="103,118" path="m2903,3183l2889,3183,2878,3184,2868,3187,2859,3192,2851,3200,2845,3209,2841,3219,2838,3231,2837,3244,2838,3256,2841,3267,2845,3277,2851,3285,2860,3296,2872,3301,2887,3301,2899,3300,2910,3297,2919,3291,2925,3285,2877,3285,2869,3281,2859,3265,2856,3255,2857,3231,2859,3221,2869,3204,2877,3199,2927,3199,2925,3197,2915,3188,2903,3183xm2927,3199l2901,3199,2910,3204,2919,3221,2920,3229,2920,3252,2918,3262,2909,3280,2901,3285,2925,3285,2927,3283,2932,3274,2936,3264,2939,3252,2940,3239,2939,3226,2936,3215,2931,3205,2927,3199xe" filled="true" fillcolor="#231f20" stroked="false">
              <v:path arrowok="t"/>
              <v:fill type="solid"/>
            </v:shape>
            <v:shape style="position:absolute;left:2963;top:3184;width:54;height:114" coordorigin="2963,3184" coordsize="54,114" path="m2981,3186l2963,3186,2963,3297,2982,3297,2982,3225,2984,3219,2994,3206,2997,3205,2981,3205,2981,3186xm3004,3184l2997,3187,2986,3197,2982,3202,2981,3205,2997,3205,3001,3203,3017,3203,3017,3184,3015,3184,3004,3184xm3017,3203l3001,3203,3014,3204,3016,3204,3017,3204,3017,3203xe" filled="true" fillcolor="#231f20" stroked="false">
              <v:path arrowok="t"/>
              <v:fill type="solid"/>
            </v:shape>
            <v:shape style="position:absolute;left:3022;top:3155;width:52;height:144" coordorigin="3022,3155" coordsize="52,144" path="m3056,3202l3037,3202,3037,3282,3038,3288,3045,3297,3050,3299,3064,3299,3069,3298,3071,3298,3073,3297,3073,3283,3063,3283,3061,3282,3059,3281,3057,3280,3056,3278,3056,3202xm3073,3282l3072,3282,3063,3283,3073,3283,3073,3282xm3073,3186l3022,3186,3022,3202,3073,3202,3073,3186xm3056,3155l3037,3155,3037,3186,3056,3186,3056,3155xe" filled="true" fillcolor="#231f20" stroked="false">
              <v:path arrowok="t"/>
              <v:fill type="solid"/>
            </v:shape>
            <v:shape style="position:absolute;left:3086;top:3184;width:101;height:118" coordorigin="3086,3184" coordsize="101,118" path="m3145,3184l3137,3184,3126,3185,3116,3188,3108,3193,3100,3200,3094,3209,3089,3220,3086,3231,3086,3244,3086,3257,3089,3268,3094,3278,3100,3286,3109,3296,3121,3301,3140,3301,3145,3300,3150,3299,3158,3297,3165,3294,3171,3288,3174,3285,3126,3285,3118,3282,3108,3268,3106,3259,3105,3248,3186,3248,3186,3236,3186,3233,3106,3233,3106,3223,3109,3215,3121,3203,3128,3200,3175,3200,3173,3198,3168,3193,3153,3186,3145,3184xm3184,3262l3166,3262,3165,3267,3163,3272,3159,3275,3154,3282,3146,3285,3174,3285,3177,3281,3182,3271,3184,3266,3184,3262xm3175,3200l3148,3200,3157,3205,3164,3218,3166,3225,3167,3233,3186,3233,3185,3228,3184,3223,3183,3216,3181,3209,3175,3200xe" filled="true" fillcolor="#231f20" stroked="false">
              <v:path arrowok="t"/>
              <v:fill type="solid"/>
            </v:shape>
            <v:shape style="position:absolute;left:3262;top:3149;width:291;height:153" type="#_x0000_t75" stroked="false">
              <v:imagedata r:id="rId293" o:title=""/>
            </v:shape>
            <v:shape style="position:absolute;left:4708;top:3445;width:357;height:156" type="#_x0000_t75" stroked="false">
              <v:imagedata r:id="rId294" o:title=""/>
            </v:shape>
            <v:shape style="position:absolute;left:5095;top:3436;width:309;height:170" type="#_x0000_t75" stroked="false">
              <v:imagedata r:id="rId295" o:title=""/>
            </v:shape>
            <v:shape style="position:absolute;left:6597;top:3345;width:124;height:152" coordorigin="6597,3345" coordsize="124,152" path="m6658,3345l6597,3345,6597,3497,6658,3497,6675,3495,6690,3488,6701,3479,6618,3479,6618,3363,6701,3363,6696,3358,6685,3351,6672,3346,6658,3345xm6701,3363l6670,3363,6682,3368,6689,3378,6694,3387,6697,3397,6699,3409,6700,3419,6700,3427,6699,3432,6698,3438,6697,3448,6694,3456,6685,3469,6678,3474,6671,3477,6666,3479,6661,3479,6701,3479,6703,3477,6712,3462,6716,3452,6719,3442,6720,3430,6721,3419,6720,3404,6717,3390,6712,3378,6706,3367,6701,3363xe" filled="true" fillcolor="#231f20" stroked="false">
              <v:path arrowok="t"/>
              <v:fill type="solid"/>
            </v:shape>
            <v:shape style="position:absolute;left:6740;top:3384;width:101;height:118" coordorigin="6740,3384" coordsize="101,118" path="m6800,3384l6792,3384,6781,3385,6771,3388,6762,3393,6755,3400,6748,3409,6744,3420,6741,3431,6740,3444,6741,3456,6744,3468,6748,3478,6755,3486,6764,3496,6776,3501,6795,3501,6800,3500,6804,3499,6813,3497,6820,3494,6825,3488,6829,3485,6781,3485,6773,3481,6763,3468,6761,3459,6760,3448,6841,3448,6841,3436,6840,3433,6761,3433,6761,3423,6764,3415,6775,3403,6783,3400,6829,3400,6828,3398,6822,3393,6808,3386,6800,3384xm6839,3462l6821,3462,6820,3467,6817,3471,6814,3475,6808,3482,6801,3485,6829,3485,6832,3481,6837,3471,6839,3466,6839,3462xm6829,3400l6803,3400,6811,3404,6819,3418,6821,3425,6822,3433,6840,3433,6840,3428,6839,3423,6838,3416,6835,3409,6829,3400xe" filled="true" fillcolor="#231f20" stroked="false">
              <v:path arrowok="t"/>
              <v:fill type="solid"/>
            </v:shape>
            <v:shape style="position:absolute;left:6863;top:3384;width:98;height:158" coordorigin="6863,3384" coordsize="98,158" path="m6881,3387l6863,3387,6863,3541,6881,3541,6881,3484,6947,3484,6947,3484,6898,3484,6889,3479,6882,3461,6881,3454,6881,3435,6882,3426,6889,3406,6896,3401,6881,3401,6881,3387xm6947,3484l6881,3484,6885,3490,6889,3493,6892,3495,6898,3499,6905,3501,6924,3501,6933,3497,6942,3491,6947,3484xm6949,3400l6924,3400,6933,3406,6933,3406,6938,3418,6940,3424,6941,3432,6941,3456,6938,3466,6927,3481,6920,3484,6947,3484,6950,3482,6956,3470,6959,3456,6960,3439,6960,3427,6957,3415,6953,3406,6949,3400xm6928,3384l6907,3384,6899,3386,6893,3390,6889,3392,6885,3396,6881,3401,6896,3401,6898,3400,6949,3400,6947,3398,6939,3388,6928,3384xe" filled="true" fillcolor="#231f20" stroked="false">
              <v:path arrowok="t"/>
              <v:fill type="solid"/>
            </v:shape>
            <v:shape style="position:absolute;left:6974;top:3383;width:103;height:118" coordorigin="6974,3383" coordsize="103,118" path="m7040,3383l7026,3383,7015,3384,7005,3387,6996,3392,6989,3400,6982,3409,6978,3419,6975,3431,6974,3444,6975,3456,6978,3467,6982,3477,6988,3485,6997,3496,7009,3501,7024,3501,7037,3500,7047,3496,7057,3491,7063,3485,7014,3485,7006,3481,6996,3465,6994,3455,6994,3431,6996,3421,7006,3404,7015,3399,7064,3399,7062,3397,7052,3388,7040,3383xm7064,3399l7038,3399,7047,3404,7056,3421,7057,3429,7057,3452,7055,3462,7046,3480,7038,3485,7063,3485,7064,3483,7070,3474,7074,3464,7076,3452,7077,3439,7076,3426,7073,3415,7069,3405,7064,3399xe" filled="true" fillcolor="#231f20" stroked="false">
              <v:path arrowok="t"/>
              <v:fill type="solid"/>
            </v:shape>
            <v:shape style="position:absolute;left:7100;top:3384;width:54;height:114" coordorigin="7100,3384" coordsize="54,114" path="m7118,3386l7100,3386,7100,3497,7119,3497,7119,3425,7121,3418,7131,3406,7134,3405,7118,3405,7118,3386xm7141,3384l7134,3386,7123,3397,7119,3402,7118,3405,7134,3405,7139,3403,7154,3403,7154,3384,7152,3384,7141,3384xm7154,3403l7139,3403,7151,3403,7153,3404,7154,3404,7154,3403xe" filled="true" fillcolor="#231f20" stroked="false">
              <v:path arrowok="t"/>
              <v:fill type="solid"/>
            </v:shape>
            <v:shape style="position:absolute;left:7159;top:3355;width:52;height:144" coordorigin="7159,3355" coordsize="52,144" path="m7193,3401l7174,3401,7174,3482,7175,3488,7182,3496,7188,3499,7201,3499,7206,3498,7208,3498,7210,3497,7210,3483,7201,3483,7198,3482,7197,3481,7194,3480,7193,3478,7193,3401xm7210,3482l7209,3482,7201,3483,7210,3483,7210,3482xm7210,3386l7159,3386,7159,3401,7210,3401,7210,3386xm7193,3355l7174,3355,7174,3386,7193,3386,7193,3355xe" filled="true" fillcolor="#231f20" stroked="false">
              <v:path arrowok="t"/>
              <v:fill type="solid"/>
            </v:shape>
            <v:line style="position:absolute" from="7229,3356" to="7248,3356" stroked="true" strokeweight="1.054pt" strokecolor="#231f20"/>
            <v:line style="position:absolute" from="7238,3387" to="7238,3497" stroked="true" strokeweight=".946pt" strokecolor="#231f20"/>
            <v:shape style="position:absolute;left:7264;top:3386;width:103;height:111" coordorigin="7264,3386" coordsize="103,111" path="m7285,3386l7264,3386,7304,3497,7324,3497,7332,3476,7315,3476,7285,3386xm7366,3386l7346,3386,7315,3476,7332,3476,7366,3386xe" filled="true" fillcolor="#231f20" stroked="false">
              <v:path arrowok="t"/>
              <v:fill type="solid"/>
            </v:shape>
            <v:shape style="position:absolute;left:7374;top:3383;width:103;height:118" coordorigin="7374,3383" coordsize="103,118" path="m7440,3383l7426,3383,7415,3384,7405,3387,7396,3392,7388,3400,7382,3409,7378,3419,7375,3431,7374,3444,7375,3456,7378,3467,7382,3477,7388,3485,7397,3496,7409,3501,7424,3501,7436,3500,7447,3496,7456,3491,7462,3485,7414,3485,7406,3481,7396,3465,7393,3455,7394,3431,7396,3421,7406,3404,7414,3399,7464,3399,7462,3397,7452,3388,7440,3383xm7464,3399l7438,3399,7447,3404,7456,3421,7457,3429,7457,3452,7455,3462,7446,3480,7438,3485,7462,3485,7464,3483,7469,3474,7473,3464,7476,3452,7477,3439,7476,3426,7473,3415,7468,3405,7464,3399xe" filled="true" fillcolor="#231f20" stroked="false">
              <v:path arrowok="t"/>
              <v:fill type="solid"/>
            </v:shape>
            <v:shape style="position:absolute;left:7493;top:3383;width:93;height:118" coordorigin="7493,3383" coordsize="93,118" path="m7511,3462l7493,3462,7493,3473,7497,3482,7511,3497,7523,3501,7555,3501,7566,3498,7579,3485,7528,3485,7520,3482,7513,3473,7511,3468,7511,3462xm7555,3383l7525,3383,7515,3387,7500,3400,7496,3408,7496,3427,7500,3434,7508,3439,7513,3442,7520,3445,7552,3453,7558,3455,7560,3456,7565,3459,7567,3462,7567,3473,7564,3478,7553,3484,7547,3485,7579,3485,7581,3483,7585,3475,7585,3455,7582,3447,7570,3439,7561,3436,7529,3429,7525,3427,7522,3425,7517,3423,7515,3419,7515,3410,7517,3406,7524,3401,7529,3399,7576,3399,7567,3388,7555,3383xm7576,3399l7547,3399,7555,3402,7559,3407,7562,3410,7564,3414,7564,3418,7582,3418,7582,3411,7579,3404,7576,3399xe" filled="true" fillcolor="#231f20" stroked="false">
              <v:path arrowok="t"/>
              <v:fill type="solid"/>
            </v:shape>
            <v:shape style="position:absolute;left:7656;top:3348;width:293;height:152" type="#_x0000_t75" stroked="false">
              <v:imagedata r:id="rId296" o:title=""/>
            </v:shape>
            <v:shape style="position:absolute;left:6472;top:1816;width:1239;height:406" type="#_x0000_t75" stroked="false">
              <v:imagedata r:id="rId297" o:title=""/>
            </v:shape>
            <v:shape style="position:absolute;left:7038;top:2074;width:293;height:152" type="#_x0000_t75" stroked="false">
              <v:imagedata r:id="rId298" o:title=""/>
            </v:shape>
            <v:shape style="position:absolute;left:3784;top:460;width:503;height:336" type="#_x0000_t75" stroked="false">
              <v:imagedata r:id="rId299" o:title=""/>
            </v:shape>
            <v:shape style="position:absolute;left:6025;top:613;width:1290;height:336" type="#_x0000_t75" stroked="false">
              <v:imagedata r:id="rId300" o:title=""/>
            </v:shape>
            <v:shape style="position:absolute;left:2253;top:1293;width:247;height:770" coordorigin="2253,1293" coordsize="247,770" path="m2253,1293l2353,1293,2500,2063e" filled="false" stroked="true" strokeweight="1.0pt" strokecolor="#231f20">
              <v:path arrowok="t"/>
            </v:shape>
            <v:shape style="position:absolute;left:6263;top:3202;width:247;height:294" coordorigin="6263,3202" coordsize="247,294" path="m6263,3202l6439,3496,6510,3496e" filled="false" stroked="true" strokeweight="1pt" strokecolor="#231f20">
              <v:path arrowok="t"/>
            </v:shape>
            <w10:wrap type="topAndBottom"/>
          </v:group>
        </w:pict>
      </w:r>
    </w:p>
    <w:p>
      <w:pPr>
        <w:pStyle w:val="BodyText"/>
        <w:spacing w:before="9"/>
        <w:rPr>
          <w:b/>
          <w:sz w:val="5"/>
        </w:rPr>
      </w:pPr>
    </w:p>
    <w:p>
      <w:pPr>
        <w:spacing w:line="195" w:lineRule="exact"/>
        <w:ind w:left="3743" w:right="0" w:firstLine="0"/>
        <w:rPr>
          <w:sz w:val="15"/>
        </w:rPr>
      </w:pPr>
      <w:r>
        <w:rPr>
          <w:position w:val="-3"/>
          <w:sz w:val="16"/>
        </w:rPr>
        <w:drawing>
          <wp:inline distT="0" distB="0" distL="0" distR="0">
            <wp:extent cx="506963" cy="102012"/>
            <wp:effectExtent l="0" t="0" r="0" b="0"/>
            <wp:docPr id="187" name="image261.png" descr=""/>
            <wp:cNvGraphicFramePr>
              <a:graphicFrameLocks noChangeAspect="1"/>
            </wp:cNvGraphicFramePr>
            <a:graphic>
              <a:graphicData uri="http://schemas.openxmlformats.org/drawingml/2006/picture">
                <pic:pic>
                  <pic:nvPicPr>
                    <pic:cNvPr id="188" name="image261.png"/>
                    <pic:cNvPicPr/>
                  </pic:nvPicPr>
                  <pic:blipFill>
                    <a:blip r:embed="rId301" cstate="print"/>
                    <a:stretch>
                      <a:fillRect/>
                    </a:stretch>
                  </pic:blipFill>
                  <pic:spPr>
                    <a:xfrm>
                      <a:off x="0" y="0"/>
                      <a:ext cx="506963" cy="102012"/>
                    </a:xfrm>
                    <a:prstGeom prst="rect">
                      <a:avLst/>
                    </a:prstGeom>
                  </pic:spPr>
                </pic:pic>
              </a:graphicData>
            </a:graphic>
          </wp:inline>
        </w:drawing>
      </w:r>
      <w:r>
        <w:rPr>
          <w:position w:val="-3"/>
          <w:sz w:val="16"/>
        </w:rPr>
      </w:r>
      <w:r>
        <w:rPr>
          <w:spacing w:val="27"/>
          <w:position w:val="-3"/>
          <w:sz w:val="15"/>
        </w:rPr>
        <w:t> </w:t>
      </w:r>
      <w:r>
        <w:rPr>
          <w:spacing w:val="27"/>
          <w:sz w:val="15"/>
        </w:rPr>
        <w:drawing>
          <wp:inline distT="0" distB="0" distL="0" distR="0">
            <wp:extent cx="183128" cy="96012"/>
            <wp:effectExtent l="0" t="0" r="0" b="0"/>
            <wp:docPr id="189" name="image262.png" descr=""/>
            <wp:cNvGraphicFramePr>
              <a:graphicFrameLocks noChangeAspect="1"/>
            </wp:cNvGraphicFramePr>
            <a:graphic>
              <a:graphicData uri="http://schemas.openxmlformats.org/drawingml/2006/picture">
                <pic:pic>
                  <pic:nvPicPr>
                    <pic:cNvPr id="190" name="image262.png"/>
                    <pic:cNvPicPr/>
                  </pic:nvPicPr>
                  <pic:blipFill>
                    <a:blip r:embed="rId302" cstate="print"/>
                    <a:stretch>
                      <a:fillRect/>
                    </a:stretch>
                  </pic:blipFill>
                  <pic:spPr>
                    <a:xfrm>
                      <a:off x="0" y="0"/>
                      <a:ext cx="183128" cy="96012"/>
                    </a:xfrm>
                    <a:prstGeom prst="rect">
                      <a:avLst/>
                    </a:prstGeom>
                  </pic:spPr>
                </pic:pic>
              </a:graphicData>
            </a:graphic>
          </wp:inline>
        </w:drawing>
      </w:r>
      <w:r>
        <w:rPr>
          <w:spacing w:val="27"/>
          <w:sz w:val="15"/>
        </w:rPr>
      </w:r>
    </w:p>
    <w:p>
      <w:pPr>
        <w:pStyle w:val="BodyText"/>
        <w:rPr>
          <w:b/>
          <w:sz w:val="21"/>
        </w:rPr>
      </w:pPr>
    </w:p>
    <w:p>
      <w:pPr>
        <w:spacing w:before="0"/>
        <w:ind w:left="2709" w:right="-2" w:firstLine="0"/>
        <w:jc w:val="left"/>
        <w:rPr>
          <w:rFonts w:ascii="Calibri" w:hAnsi="Calibri"/>
          <w:sz w:val="16"/>
        </w:rPr>
      </w:pPr>
      <w:r>
        <w:rPr>
          <w:rFonts w:ascii="Calibri" w:hAnsi="Calibri"/>
          <w:color w:val="231F20"/>
          <w:sz w:val="16"/>
        </w:rPr>
        <w:t>Fuente: Elaboración propia con información del Plan Municipal de Ixtapan de la Sal.</w:t>
      </w:r>
    </w:p>
    <w:p>
      <w:pPr>
        <w:pStyle w:val="BodyText"/>
        <w:rPr>
          <w:rFonts w:ascii="Calibri"/>
          <w:sz w:val="16"/>
        </w:rPr>
      </w:pPr>
    </w:p>
    <w:p>
      <w:pPr>
        <w:pStyle w:val="BodyText"/>
        <w:spacing w:before="9"/>
        <w:rPr>
          <w:rFonts w:ascii="Calibri"/>
          <w:sz w:val="12"/>
        </w:rPr>
      </w:pPr>
    </w:p>
    <w:p>
      <w:pPr>
        <w:pStyle w:val="BodyText"/>
        <w:spacing w:line="285" w:lineRule="auto" w:before="1"/>
        <w:ind w:left="110" w:right="106"/>
        <w:jc w:val="both"/>
      </w:pPr>
      <w:r>
        <w:rPr>
          <w:color w:val="231F20"/>
          <w:w w:val="105"/>
        </w:rPr>
        <w:t>Según</w:t>
      </w:r>
      <w:r>
        <w:rPr>
          <w:color w:val="231F20"/>
          <w:spacing w:val="-19"/>
          <w:w w:val="105"/>
        </w:rPr>
        <w:t> </w:t>
      </w:r>
      <w:r>
        <w:rPr>
          <w:color w:val="231F20"/>
          <w:spacing w:val="-4"/>
          <w:w w:val="105"/>
        </w:rPr>
        <w:t>datos</w:t>
      </w:r>
      <w:r>
        <w:rPr>
          <w:color w:val="231F20"/>
          <w:spacing w:val="-19"/>
          <w:w w:val="105"/>
        </w:rPr>
        <w:t> </w:t>
      </w:r>
      <w:r>
        <w:rPr>
          <w:color w:val="231F20"/>
          <w:spacing w:val="-4"/>
          <w:w w:val="105"/>
        </w:rPr>
        <w:t>del</w:t>
      </w:r>
      <w:r>
        <w:rPr>
          <w:color w:val="231F20"/>
          <w:spacing w:val="-19"/>
          <w:w w:val="105"/>
        </w:rPr>
        <w:t> </w:t>
      </w:r>
      <w:r>
        <w:rPr>
          <w:color w:val="231F20"/>
          <w:spacing w:val="-3"/>
          <w:w w:val="105"/>
        </w:rPr>
        <w:t>Plan</w:t>
      </w:r>
      <w:r>
        <w:rPr>
          <w:color w:val="231F20"/>
          <w:spacing w:val="-19"/>
          <w:w w:val="105"/>
        </w:rPr>
        <w:t> </w:t>
      </w:r>
      <w:r>
        <w:rPr>
          <w:color w:val="231F20"/>
          <w:spacing w:val="-3"/>
          <w:w w:val="105"/>
        </w:rPr>
        <w:t>Municipal,</w:t>
      </w:r>
      <w:r>
        <w:rPr>
          <w:color w:val="231F20"/>
          <w:spacing w:val="-19"/>
          <w:w w:val="105"/>
        </w:rPr>
        <w:t> </w:t>
      </w:r>
      <w:r>
        <w:rPr>
          <w:color w:val="231F20"/>
          <w:w w:val="105"/>
        </w:rPr>
        <w:t>24</w:t>
      </w:r>
      <w:r>
        <w:rPr>
          <w:color w:val="231F20"/>
          <w:spacing w:val="-19"/>
          <w:w w:val="105"/>
        </w:rPr>
        <w:t> </w:t>
      </w:r>
      <w:r>
        <w:rPr>
          <w:color w:val="231F20"/>
          <w:spacing w:val="-4"/>
          <w:w w:val="105"/>
        </w:rPr>
        <w:t>organizaciones</w:t>
      </w:r>
      <w:r>
        <w:rPr>
          <w:color w:val="231F20"/>
          <w:spacing w:val="-19"/>
          <w:w w:val="105"/>
        </w:rPr>
        <w:t> </w:t>
      </w:r>
      <w:r>
        <w:rPr>
          <w:color w:val="231F20"/>
          <w:spacing w:val="-3"/>
          <w:w w:val="105"/>
        </w:rPr>
        <w:t>sociales</w:t>
      </w:r>
      <w:r>
        <w:rPr>
          <w:color w:val="231F20"/>
          <w:spacing w:val="-19"/>
          <w:w w:val="105"/>
        </w:rPr>
        <w:t> </w:t>
      </w:r>
      <w:r>
        <w:rPr>
          <w:color w:val="231F20"/>
          <w:w w:val="105"/>
        </w:rPr>
        <w:t>y</w:t>
      </w:r>
      <w:r>
        <w:rPr>
          <w:color w:val="231F20"/>
          <w:spacing w:val="-19"/>
          <w:w w:val="105"/>
        </w:rPr>
        <w:t> </w:t>
      </w:r>
      <w:r>
        <w:rPr>
          <w:color w:val="231F20"/>
          <w:w w:val="105"/>
        </w:rPr>
        <w:t>civiles</w:t>
      </w:r>
      <w:r>
        <w:rPr>
          <w:color w:val="231F20"/>
          <w:spacing w:val="-19"/>
          <w:w w:val="105"/>
        </w:rPr>
        <w:t> </w:t>
      </w:r>
      <w:r>
        <w:rPr>
          <w:color w:val="231F20"/>
          <w:spacing w:val="-5"/>
          <w:w w:val="105"/>
        </w:rPr>
        <w:t>acudieron</w:t>
      </w:r>
      <w:r>
        <w:rPr>
          <w:color w:val="231F20"/>
          <w:spacing w:val="-19"/>
          <w:w w:val="105"/>
        </w:rPr>
        <w:t> </w:t>
      </w:r>
      <w:r>
        <w:rPr>
          <w:color w:val="231F20"/>
          <w:w w:val="105"/>
        </w:rPr>
        <w:t>al</w:t>
      </w:r>
      <w:r>
        <w:rPr>
          <w:color w:val="231F20"/>
          <w:spacing w:val="-19"/>
          <w:w w:val="105"/>
        </w:rPr>
        <w:t> </w:t>
      </w:r>
      <w:r>
        <w:rPr>
          <w:color w:val="231F20"/>
          <w:spacing w:val="-3"/>
          <w:w w:val="105"/>
        </w:rPr>
        <w:t>llamado de</w:t>
      </w:r>
      <w:r>
        <w:rPr>
          <w:color w:val="231F20"/>
          <w:spacing w:val="-27"/>
          <w:w w:val="105"/>
        </w:rPr>
        <w:t> </w:t>
      </w:r>
      <w:r>
        <w:rPr>
          <w:color w:val="231F20"/>
          <w:w w:val="105"/>
        </w:rPr>
        <w:t>las</w:t>
      </w:r>
      <w:r>
        <w:rPr>
          <w:color w:val="231F20"/>
          <w:spacing w:val="-27"/>
          <w:w w:val="105"/>
        </w:rPr>
        <w:t> </w:t>
      </w:r>
      <w:r>
        <w:rPr>
          <w:color w:val="231F20"/>
          <w:w w:val="105"/>
        </w:rPr>
        <w:t>cuales</w:t>
      </w:r>
      <w:r>
        <w:rPr>
          <w:color w:val="231F20"/>
          <w:spacing w:val="-27"/>
          <w:w w:val="105"/>
        </w:rPr>
        <w:t> </w:t>
      </w:r>
      <w:r>
        <w:rPr>
          <w:color w:val="231F20"/>
          <w:w w:val="105"/>
        </w:rPr>
        <w:t>30%</w:t>
      </w:r>
      <w:r>
        <w:rPr>
          <w:color w:val="231F20"/>
          <w:spacing w:val="-27"/>
          <w:w w:val="105"/>
        </w:rPr>
        <w:t> </w:t>
      </w:r>
      <w:r>
        <w:rPr>
          <w:color w:val="231F20"/>
          <w:w w:val="105"/>
        </w:rPr>
        <w:t>eran</w:t>
      </w:r>
      <w:r>
        <w:rPr>
          <w:color w:val="231F20"/>
          <w:spacing w:val="-27"/>
          <w:w w:val="105"/>
        </w:rPr>
        <w:t> </w:t>
      </w:r>
      <w:r>
        <w:rPr>
          <w:color w:val="231F20"/>
          <w:spacing w:val="-3"/>
          <w:w w:val="105"/>
        </w:rPr>
        <w:t>de</w:t>
      </w:r>
      <w:r>
        <w:rPr>
          <w:color w:val="231F20"/>
          <w:spacing w:val="-27"/>
          <w:w w:val="105"/>
        </w:rPr>
        <w:t> </w:t>
      </w:r>
      <w:r>
        <w:rPr>
          <w:color w:val="231F20"/>
          <w:spacing w:val="-4"/>
          <w:w w:val="105"/>
        </w:rPr>
        <w:t>comerciantes</w:t>
      </w:r>
      <w:r>
        <w:rPr>
          <w:color w:val="231F20"/>
          <w:spacing w:val="-27"/>
          <w:w w:val="105"/>
        </w:rPr>
        <w:t> </w:t>
      </w:r>
      <w:r>
        <w:rPr>
          <w:color w:val="231F20"/>
          <w:spacing w:val="-5"/>
          <w:w w:val="105"/>
        </w:rPr>
        <w:t>(y</w:t>
      </w:r>
      <w:r>
        <w:rPr>
          <w:color w:val="231F20"/>
          <w:spacing w:val="-27"/>
          <w:w w:val="105"/>
        </w:rPr>
        <w:t> </w:t>
      </w:r>
      <w:r>
        <w:rPr>
          <w:color w:val="231F20"/>
          <w:spacing w:val="-4"/>
          <w:w w:val="105"/>
        </w:rPr>
        <w:t>que</w:t>
      </w:r>
      <w:r>
        <w:rPr>
          <w:color w:val="231F20"/>
          <w:spacing w:val="-27"/>
          <w:w w:val="105"/>
        </w:rPr>
        <w:t> </w:t>
      </w:r>
      <w:r>
        <w:rPr>
          <w:color w:val="231F20"/>
          <w:spacing w:val="-5"/>
          <w:w w:val="105"/>
        </w:rPr>
        <w:t>corresponde</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spacing w:val="-3"/>
          <w:w w:val="105"/>
        </w:rPr>
        <w:t>actividad</w:t>
      </w:r>
      <w:r>
        <w:rPr>
          <w:color w:val="231F20"/>
          <w:spacing w:val="-27"/>
          <w:w w:val="105"/>
        </w:rPr>
        <w:t> </w:t>
      </w:r>
      <w:r>
        <w:rPr>
          <w:color w:val="231F20"/>
          <w:spacing w:val="-3"/>
          <w:w w:val="105"/>
        </w:rPr>
        <w:t>básica</w:t>
      </w:r>
      <w:r>
        <w:rPr>
          <w:color w:val="231F20"/>
          <w:spacing w:val="-27"/>
          <w:w w:val="105"/>
        </w:rPr>
        <w:t> </w:t>
      </w:r>
      <w:r>
        <w:rPr>
          <w:color w:val="231F20"/>
          <w:spacing w:val="-4"/>
          <w:w w:val="105"/>
        </w:rPr>
        <w:t>del</w:t>
      </w:r>
      <w:r>
        <w:rPr>
          <w:color w:val="231F20"/>
          <w:spacing w:val="-27"/>
          <w:w w:val="105"/>
        </w:rPr>
        <w:t> </w:t>
      </w:r>
      <w:r>
        <w:rPr>
          <w:color w:val="231F20"/>
          <w:spacing w:val="-4"/>
          <w:w w:val="105"/>
        </w:rPr>
        <w:t>munici- </w:t>
      </w:r>
      <w:r>
        <w:rPr>
          <w:color w:val="231F20"/>
          <w:spacing w:val="-8"/>
          <w:w w:val="105"/>
        </w:rPr>
        <w:t>pio),</w:t>
      </w:r>
      <w:r>
        <w:rPr>
          <w:color w:val="231F20"/>
          <w:spacing w:val="-26"/>
          <w:w w:val="105"/>
        </w:rPr>
        <w:t> </w:t>
      </w:r>
      <w:r>
        <w:rPr>
          <w:color w:val="231F20"/>
          <w:spacing w:val="-3"/>
          <w:w w:val="105"/>
        </w:rPr>
        <w:t>seguidos</w:t>
      </w:r>
      <w:r>
        <w:rPr>
          <w:color w:val="231F20"/>
          <w:spacing w:val="-26"/>
          <w:w w:val="105"/>
        </w:rPr>
        <w:t> </w:t>
      </w:r>
      <w:r>
        <w:rPr>
          <w:color w:val="231F20"/>
          <w:spacing w:val="-3"/>
          <w:w w:val="105"/>
        </w:rPr>
        <w:t>por</w:t>
      </w:r>
      <w:r>
        <w:rPr>
          <w:color w:val="231F20"/>
          <w:spacing w:val="-26"/>
          <w:w w:val="105"/>
        </w:rPr>
        <w:t> </w:t>
      </w:r>
      <w:r>
        <w:rPr>
          <w:color w:val="231F20"/>
          <w:w w:val="105"/>
        </w:rPr>
        <w:t>las</w:t>
      </w:r>
      <w:r>
        <w:rPr>
          <w:color w:val="231F20"/>
          <w:spacing w:val="-26"/>
          <w:w w:val="105"/>
        </w:rPr>
        <w:t> </w:t>
      </w:r>
      <w:r>
        <w:rPr>
          <w:color w:val="231F20"/>
          <w:spacing w:val="-4"/>
          <w:w w:val="105"/>
        </w:rPr>
        <w:t>asociaciones</w:t>
      </w:r>
      <w:r>
        <w:rPr>
          <w:color w:val="231F20"/>
          <w:spacing w:val="-26"/>
          <w:w w:val="105"/>
        </w:rPr>
        <w:t> </w:t>
      </w:r>
      <w:r>
        <w:rPr>
          <w:color w:val="231F20"/>
          <w:spacing w:val="-3"/>
          <w:w w:val="105"/>
        </w:rPr>
        <w:t>de</w:t>
      </w:r>
      <w:r>
        <w:rPr>
          <w:color w:val="231F20"/>
          <w:spacing w:val="-26"/>
          <w:w w:val="105"/>
        </w:rPr>
        <w:t> </w:t>
      </w:r>
      <w:r>
        <w:rPr>
          <w:color w:val="231F20"/>
          <w:spacing w:val="-5"/>
          <w:w w:val="105"/>
        </w:rPr>
        <w:t>trabajadores</w:t>
      </w:r>
      <w:r>
        <w:rPr>
          <w:color w:val="231F20"/>
          <w:spacing w:val="-26"/>
          <w:w w:val="105"/>
        </w:rPr>
        <w:t> </w:t>
      </w:r>
      <w:r>
        <w:rPr>
          <w:color w:val="231F20"/>
          <w:spacing w:val="-9"/>
          <w:w w:val="105"/>
        </w:rPr>
        <w:t>(13%)</w:t>
      </w:r>
      <w:r>
        <w:rPr>
          <w:color w:val="231F20"/>
          <w:spacing w:val="-26"/>
          <w:w w:val="105"/>
        </w:rPr>
        <w:t> </w:t>
      </w:r>
      <w:r>
        <w:rPr>
          <w:color w:val="231F20"/>
          <w:w w:val="105"/>
        </w:rPr>
        <w:t>y</w:t>
      </w:r>
      <w:r>
        <w:rPr>
          <w:color w:val="231F20"/>
          <w:spacing w:val="-26"/>
          <w:w w:val="105"/>
        </w:rPr>
        <w:t> </w:t>
      </w:r>
      <w:r>
        <w:rPr>
          <w:color w:val="231F20"/>
          <w:spacing w:val="-3"/>
          <w:w w:val="105"/>
        </w:rPr>
        <w:t>de</w:t>
      </w:r>
      <w:r>
        <w:rPr>
          <w:color w:val="231F20"/>
          <w:spacing w:val="-26"/>
          <w:w w:val="105"/>
        </w:rPr>
        <w:t> </w:t>
      </w:r>
      <w:r>
        <w:rPr>
          <w:color w:val="231F20"/>
          <w:spacing w:val="-4"/>
          <w:w w:val="105"/>
        </w:rPr>
        <w:t>hotelería</w:t>
      </w:r>
      <w:r>
        <w:rPr>
          <w:color w:val="231F20"/>
          <w:spacing w:val="-26"/>
          <w:w w:val="105"/>
        </w:rPr>
        <w:t> </w:t>
      </w:r>
      <w:r>
        <w:rPr>
          <w:color w:val="231F20"/>
          <w:spacing w:val="-8"/>
          <w:w w:val="105"/>
        </w:rPr>
        <w:t>(8%)</w:t>
      </w:r>
      <w:r>
        <w:rPr>
          <w:color w:val="231F20"/>
          <w:spacing w:val="-26"/>
          <w:w w:val="105"/>
        </w:rPr>
        <w:t> </w:t>
      </w:r>
      <w:r>
        <w:rPr>
          <w:color w:val="231F20"/>
          <w:spacing w:val="-4"/>
          <w:w w:val="105"/>
        </w:rPr>
        <w:t>principalmente </w:t>
      </w:r>
      <w:r>
        <w:rPr>
          <w:color w:val="231F20"/>
          <w:spacing w:val="-7"/>
          <w:w w:val="105"/>
        </w:rPr>
        <w:t>(Ver</w:t>
      </w:r>
      <w:r>
        <w:rPr>
          <w:color w:val="231F20"/>
          <w:spacing w:val="-21"/>
          <w:w w:val="105"/>
        </w:rPr>
        <w:t> </w:t>
      </w:r>
      <w:r>
        <w:rPr>
          <w:color w:val="231F20"/>
          <w:w w:val="105"/>
        </w:rPr>
        <w:t>Gráfico</w:t>
      </w:r>
      <w:r>
        <w:rPr>
          <w:color w:val="231F20"/>
          <w:spacing w:val="-21"/>
          <w:w w:val="105"/>
        </w:rPr>
        <w:t> </w:t>
      </w:r>
      <w:r>
        <w:rPr>
          <w:color w:val="231F20"/>
          <w:spacing w:val="-6"/>
          <w:w w:val="105"/>
        </w:rPr>
        <w:t>6);</w:t>
      </w:r>
      <w:r>
        <w:rPr>
          <w:color w:val="231F20"/>
          <w:spacing w:val="-21"/>
          <w:w w:val="105"/>
        </w:rPr>
        <w:t> </w:t>
      </w:r>
      <w:r>
        <w:rPr>
          <w:color w:val="231F20"/>
          <w:spacing w:val="-3"/>
          <w:w w:val="105"/>
        </w:rPr>
        <w:t>el</w:t>
      </w:r>
      <w:r>
        <w:rPr>
          <w:color w:val="231F20"/>
          <w:spacing w:val="-21"/>
          <w:w w:val="105"/>
        </w:rPr>
        <w:t> </w:t>
      </w:r>
      <w:r>
        <w:rPr>
          <w:color w:val="231F20"/>
          <w:w w:val="105"/>
        </w:rPr>
        <w:t>aspecto</w:t>
      </w:r>
      <w:r>
        <w:rPr>
          <w:color w:val="231F20"/>
          <w:spacing w:val="-21"/>
          <w:w w:val="105"/>
        </w:rPr>
        <w:t> </w:t>
      </w:r>
      <w:r>
        <w:rPr>
          <w:color w:val="231F20"/>
          <w:spacing w:val="-5"/>
          <w:w w:val="105"/>
        </w:rPr>
        <w:t>negativo</w:t>
      </w:r>
      <w:r>
        <w:rPr>
          <w:color w:val="231F20"/>
          <w:spacing w:val="-21"/>
          <w:w w:val="105"/>
        </w:rPr>
        <w:t> </w:t>
      </w:r>
      <w:r>
        <w:rPr>
          <w:color w:val="231F20"/>
          <w:w w:val="105"/>
        </w:rPr>
        <w:t>fue</w:t>
      </w:r>
      <w:r>
        <w:rPr>
          <w:color w:val="231F20"/>
          <w:spacing w:val="-21"/>
          <w:w w:val="105"/>
        </w:rPr>
        <w:t> </w:t>
      </w:r>
      <w:r>
        <w:rPr>
          <w:color w:val="231F20"/>
          <w:spacing w:val="-4"/>
          <w:w w:val="105"/>
        </w:rPr>
        <w:t>que</w:t>
      </w:r>
      <w:r>
        <w:rPr>
          <w:color w:val="231F20"/>
          <w:spacing w:val="-21"/>
          <w:w w:val="105"/>
        </w:rPr>
        <w:t> </w:t>
      </w:r>
      <w:r>
        <w:rPr>
          <w:color w:val="231F20"/>
          <w:spacing w:val="-3"/>
          <w:w w:val="105"/>
        </w:rPr>
        <w:t>no</w:t>
      </w:r>
      <w:r>
        <w:rPr>
          <w:color w:val="231F20"/>
          <w:spacing w:val="-21"/>
          <w:w w:val="105"/>
        </w:rPr>
        <w:t> </w:t>
      </w:r>
      <w:r>
        <w:rPr>
          <w:color w:val="231F20"/>
          <w:w w:val="105"/>
        </w:rPr>
        <w:t>se</w:t>
      </w:r>
      <w:r>
        <w:rPr>
          <w:color w:val="231F20"/>
          <w:spacing w:val="-21"/>
          <w:w w:val="105"/>
        </w:rPr>
        <w:t> </w:t>
      </w:r>
      <w:r>
        <w:rPr>
          <w:color w:val="231F20"/>
          <w:spacing w:val="-3"/>
          <w:w w:val="105"/>
        </w:rPr>
        <w:t>mantuvo</w:t>
      </w:r>
      <w:r>
        <w:rPr>
          <w:color w:val="231F20"/>
          <w:spacing w:val="-21"/>
          <w:w w:val="105"/>
        </w:rPr>
        <w:t> </w:t>
      </w:r>
      <w:r>
        <w:rPr>
          <w:color w:val="231F20"/>
          <w:w w:val="105"/>
        </w:rPr>
        <w:t>ni</w:t>
      </w:r>
      <w:r>
        <w:rPr>
          <w:color w:val="231F20"/>
          <w:spacing w:val="-21"/>
          <w:w w:val="105"/>
        </w:rPr>
        <w:t> </w:t>
      </w:r>
      <w:r>
        <w:rPr>
          <w:color w:val="231F20"/>
          <w:spacing w:val="-3"/>
          <w:w w:val="105"/>
        </w:rPr>
        <w:t>el</w:t>
      </w:r>
      <w:r>
        <w:rPr>
          <w:color w:val="231F20"/>
          <w:spacing w:val="-21"/>
          <w:w w:val="105"/>
        </w:rPr>
        <w:t> </w:t>
      </w:r>
      <w:r>
        <w:rPr>
          <w:color w:val="231F20"/>
          <w:spacing w:val="-6"/>
          <w:w w:val="105"/>
        </w:rPr>
        <w:t>fomento</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spacing w:val="-4"/>
          <w:w w:val="105"/>
        </w:rPr>
        <w:t>participación, </w:t>
      </w:r>
      <w:r>
        <w:rPr>
          <w:color w:val="231F20"/>
          <w:w w:val="105"/>
        </w:rPr>
        <w:t>ni</w:t>
      </w:r>
      <w:r>
        <w:rPr>
          <w:color w:val="231F20"/>
          <w:spacing w:val="-15"/>
          <w:w w:val="105"/>
        </w:rPr>
        <w:t> </w:t>
      </w:r>
      <w:r>
        <w:rPr>
          <w:color w:val="231F20"/>
          <w:w w:val="105"/>
        </w:rPr>
        <w:t>la</w:t>
      </w:r>
      <w:r>
        <w:rPr>
          <w:color w:val="231F20"/>
          <w:spacing w:val="-15"/>
          <w:w w:val="105"/>
        </w:rPr>
        <w:t> </w:t>
      </w:r>
      <w:r>
        <w:rPr>
          <w:color w:val="231F20"/>
          <w:spacing w:val="-4"/>
          <w:w w:val="105"/>
        </w:rPr>
        <w:t>participación</w:t>
      </w:r>
      <w:r>
        <w:rPr>
          <w:color w:val="231F20"/>
          <w:spacing w:val="-15"/>
          <w:w w:val="105"/>
        </w:rPr>
        <w:t> </w:t>
      </w:r>
      <w:r>
        <w:rPr>
          <w:color w:val="231F20"/>
          <w:spacing w:val="-3"/>
          <w:w w:val="105"/>
        </w:rPr>
        <w:t>en</w:t>
      </w:r>
      <w:r>
        <w:rPr>
          <w:color w:val="231F20"/>
          <w:spacing w:val="-15"/>
          <w:w w:val="105"/>
        </w:rPr>
        <w:t> </w:t>
      </w:r>
      <w:r>
        <w:rPr>
          <w:color w:val="231F20"/>
          <w:spacing w:val="-4"/>
          <w:w w:val="105"/>
        </w:rPr>
        <w:t>sí,</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spacing w:val="-4"/>
          <w:w w:val="105"/>
        </w:rPr>
        <w:t>toma</w:t>
      </w:r>
      <w:r>
        <w:rPr>
          <w:color w:val="231F20"/>
          <w:spacing w:val="-15"/>
          <w:w w:val="105"/>
        </w:rPr>
        <w:t> </w:t>
      </w:r>
      <w:r>
        <w:rPr>
          <w:color w:val="231F20"/>
          <w:spacing w:val="-4"/>
          <w:w w:val="105"/>
        </w:rPr>
        <w:t>decisiones</w:t>
      </w:r>
      <w:r>
        <w:rPr>
          <w:color w:val="231F20"/>
          <w:spacing w:val="-15"/>
          <w:w w:val="105"/>
        </w:rPr>
        <w:t> </w:t>
      </w:r>
      <w:r>
        <w:rPr>
          <w:color w:val="231F20"/>
          <w:spacing w:val="-4"/>
          <w:w w:val="105"/>
        </w:rPr>
        <w:t>que</w:t>
      </w:r>
      <w:r>
        <w:rPr>
          <w:color w:val="231F20"/>
          <w:spacing w:val="-15"/>
          <w:w w:val="105"/>
        </w:rPr>
        <w:t> </w:t>
      </w:r>
      <w:r>
        <w:rPr>
          <w:color w:val="231F20"/>
          <w:spacing w:val="-3"/>
          <w:w w:val="105"/>
        </w:rPr>
        <w:t>el</w:t>
      </w:r>
      <w:r>
        <w:rPr>
          <w:color w:val="231F20"/>
          <w:spacing w:val="-15"/>
          <w:w w:val="105"/>
        </w:rPr>
        <w:t> </w:t>
      </w:r>
      <w:r>
        <w:rPr>
          <w:color w:val="231F20"/>
          <w:spacing w:val="-3"/>
          <w:w w:val="105"/>
        </w:rPr>
        <w:t>ayuntamiento</w:t>
      </w:r>
      <w:r>
        <w:rPr>
          <w:color w:val="231F20"/>
          <w:spacing w:val="-15"/>
          <w:w w:val="105"/>
        </w:rPr>
        <w:t> </w:t>
      </w:r>
      <w:r>
        <w:rPr>
          <w:color w:val="231F20"/>
          <w:spacing w:val="-4"/>
          <w:w w:val="105"/>
        </w:rPr>
        <w:t>tomó</w:t>
      </w:r>
      <w:r>
        <w:rPr>
          <w:color w:val="231F20"/>
          <w:spacing w:val="-15"/>
          <w:w w:val="105"/>
        </w:rPr>
        <w:t> </w:t>
      </w:r>
      <w:r>
        <w:rPr>
          <w:color w:val="231F20"/>
          <w:spacing w:val="-3"/>
          <w:w w:val="105"/>
        </w:rPr>
        <w:t>en</w:t>
      </w:r>
      <w:r>
        <w:rPr>
          <w:color w:val="231F20"/>
          <w:spacing w:val="-15"/>
          <w:w w:val="105"/>
        </w:rPr>
        <w:t> </w:t>
      </w:r>
      <w:r>
        <w:rPr>
          <w:color w:val="231F20"/>
          <w:spacing w:val="-3"/>
          <w:w w:val="105"/>
        </w:rPr>
        <w:t>lo</w:t>
      </w:r>
      <w:r>
        <w:rPr>
          <w:color w:val="231F20"/>
          <w:spacing w:val="-15"/>
          <w:w w:val="105"/>
        </w:rPr>
        <w:t> </w:t>
      </w:r>
      <w:r>
        <w:rPr>
          <w:color w:val="231F20"/>
          <w:spacing w:val="-5"/>
          <w:w w:val="105"/>
        </w:rPr>
        <w:t>sucesivo.</w:t>
      </w:r>
    </w:p>
    <w:p>
      <w:pPr>
        <w:pStyle w:val="BodyText"/>
        <w:spacing w:before="1"/>
        <w:rPr>
          <w:sz w:val="26"/>
        </w:rPr>
      </w:pPr>
    </w:p>
    <w:p>
      <w:pPr>
        <w:pStyle w:val="BodyText"/>
        <w:spacing w:line="285" w:lineRule="auto"/>
        <w:ind w:left="110" w:right="108"/>
        <w:jc w:val="both"/>
      </w:pPr>
      <w:r>
        <w:rPr>
          <w:color w:val="231F20"/>
          <w:w w:val="105"/>
        </w:rPr>
        <w:t>Debe de atenderse también la falta de cultura de participación entre la sociedad, pues como se observó en Elecciones, la participación electoral ha disminuido significativa- mente en los últimos años. Aunado a que la participación ciudadana es más bien ins- titucionalizada que espontánea (surgida directamente de la sociedad), todo esto puede indicar la incredulidad de los ixtapenses en la política del municipio.</w:t>
      </w:r>
    </w:p>
    <w:p>
      <w:pPr>
        <w:pStyle w:val="BodyText"/>
        <w:spacing w:before="1"/>
        <w:rPr>
          <w:sz w:val="26"/>
        </w:rPr>
      </w:pPr>
    </w:p>
    <w:p>
      <w:pPr>
        <w:pStyle w:val="BodyText"/>
        <w:spacing w:line="285" w:lineRule="auto"/>
        <w:ind w:left="110" w:right="108"/>
        <w:jc w:val="both"/>
      </w:pP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sí</w:t>
      </w:r>
      <w:r>
        <w:rPr>
          <w:color w:val="231F20"/>
          <w:spacing w:val="-15"/>
          <w:w w:val="105"/>
        </w:rPr>
        <w:t> </w:t>
      </w:r>
      <w:r>
        <w:rPr>
          <w:color w:val="231F20"/>
          <w:w w:val="105"/>
        </w:rPr>
        <w:t>es</w:t>
      </w:r>
      <w:r>
        <w:rPr>
          <w:color w:val="231F20"/>
          <w:spacing w:val="-15"/>
          <w:w w:val="105"/>
        </w:rPr>
        <w:t> </w:t>
      </w:r>
      <w:r>
        <w:rPr>
          <w:color w:val="231F20"/>
          <w:w w:val="105"/>
        </w:rPr>
        <w:t>cierto</w:t>
      </w:r>
      <w:r>
        <w:rPr>
          <w:color w:val="231F20"/>
          <w:spacing w:val="-15"/>
          <w:w w:val="105"/>
        </w:rPr>
        <w:t> </w:t>
      </w:r>
      <w:r>
        <w:rPr>
          <w:color w:val="231F20"/>
          <w:w w:val="105"/>
        </w:rPr>
        <w:t>es</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priísta</w:t>
      </w:r>
      <w:r>
        <w:rPr>
          <w:color w:val="231F20"/>
          <w:spacing w:val="-15"/>
          <w:w w:val="105"/>
        </w:rPr>
        <w:t> </w:t>
      </w:r>
      <w:r>
        <w:rPr>
          <w:color w:val="231F20"/>
          <w:spacing w:val="2"/>
          <w:w w:val="105"/>
        </w:rPr>
        <w:t>2006-2009</w:t>
      </w:r>
      <w:r>
        <w:rPr>
          <w:color w:val="231F20"/>
          <w:spacing w:val="-15"/>
          <w:w w:val="105"/>
        </w:rPr>
        <w:t> </w:t>
      </w:r>
      <w:r>
        <w:rPr>
          <w:color w:val="231F20"/>
          <w:w w:val="105"/>
        </w:rPr>
        <w:t>se</w:t>
      </w:r>
      <w:r>
        <w:rPr>
          <w:color w:val="231F20"/>
          <w:spacing w:val="-15"/>
          <w:w w:val="105"/>
        </w:rPr>
        <w:t> </w:t>
      </w:r>
      <w:r>
        <w:rPr>
          <w:color w:val="231F20"/>
          <w:w w:val="105"/>
        </w:rPr>
        <w:t>abanderó</w:t>
      </w:r>
      <w:r>
        <w:rPr>
          <w:color w:val="231F20"/>
          <w:spacing w:val="-15"/>
          <w:w w:val="105"/>
        </w:rPr>
        <w:t> </w:t>
      </w:r>
      <w:r>
        <w:rPr>
          <w:color w:val="231F20"/>
          <w:w w:val="105"/>
        </w:rPr>
        <w:t>de</w:t>
      </w:r>
      <w:r>
        <w:rPr>
          <w:color w:val="231F20"/>
          <w:spacing w:val="-15"/>
          <w:w w:val="105"/>
        </w:rPr>
        <w:t> </w:t>
      </w:r>
      <w:r>
        <w:rPr>
          <w:color w:val="231F20"/>
          <w:w w:val="105"/>
        </w:rPr>
        <w:t>esta</w:t>
      </w:r>
      <w:r>
        <w:rPr>
          <w:color w:val="231F20"/>
          <w:spacing w:val="-15"/>
          <w:w w:val="105"/>
        </w:rPr>
        <w:t> </w:t>
      </w:r>
      <w:r>
        <w:rPr>
          <w:color w:val="231F20"/>
          <w:w w:val="105"/>
        </w:rPr>
        <w:t>idea</w:t>
      </w:r>
      <w:r>
        <w:rPr>
          <w:color w:val="231F20"/>
          <w:spacing w:val="-15"/>
          <w:w w:val="105"/>
        </w:rPr>
        <w:t> </w:t>
      </w:r>
      <w:r>
        <w:rPr>
          <w:color w:val="231F20"/>
          <w:w w:val="105"/>
        </w:rPr>
        <w:t>de</w:t>
      </w:r>
      <w:r>
        <w:rPr>
          <w:color w:val="231F20"/>
          <w:spacing w:val="-15"/>
          <w:w w:val="105"/>
        </w:rPr>
        <w:t> </w:t>
      </w:r>
      <w:r>
        <w:rPr>
          <w:color w:val="231F20"/>
          <w:w w:val="105"/>
        </w:rPr>
        <w:t>par- ticipación ciudadana, incluso es parte del lema institucional: </w:t>
      </w:r>
      <w:r>
        <w:rPr>
          <w:color w:val="231F20"/>
          <w:spacing w:val="-4"/>
          <w:w w:val="105"/>
        </w:rPr>
        <w:t>Tú </w:t>
      </w:r>
      <w:r>
        <w:rPr>
          <w:color w:val="231F20"/>
          <w:w w:val="105"/>
        </w:rPr>
        <w:t>tienes </w:t>
      </w:r>
      <w:r>
        <w:rPr>
          <w:color w:val="231F20"/>
          <w:spacing w:val="-3"/>
          <w:w w:val="105"/>
        </w:rPr>
        <w:t>mucho </w:t>
      </w:r>
      <w:r>
        <w:rPr>
          <w:color w:val="231F20"/>
          <w:w w:val="105"/>
        </w:rPr>
        <w:t>que </w:t>
      </w:r>
      <w:r>
        <w:rPr>
          <w:color w:val="231F20"/>
          <w:spacing w:val="-5"/>
          <w:w w:val="105"/>
        </w:rPr>
        <w:t>ver, </w:t>
      </w:r>
      <w:r>
        <w:rPr>
          <w:color w:val="231F20"/>
          <w:w w:val="105"/>
        </w:rPr>
        <w:t>y</w:t>
      </w:r>
      <w:r>
        <w:rPr>
          <w:color w:val="231F20"/>
          <w:spacing w:val="-26"/>
          <w:w w:val="105"/>
        </w:rPr>
        <w:t> </w:t>
      </w:r>
      <w:r>
        <w:rPr>
          <w:color w:val="231F20"/>
          <w:w w:val="105"/>
        </w:rPr>
        <w:t>del</w:t>
      </w:r>
      <w:r>
        <w:rPr>
          <w:color w:val="231F20"/>
          <w:spacing w:val="-26"/>
          <w:w w:val="105"/>
        </w:rPr>
        <w:t> </w:t>
      </w:r>
      <w:r>
        <w:rPr>
          <w:color w:val="231F20"/>
          <w:w w:val="105"/>
        </w:rPr>
        <w:t>discurso</w:t>
      </w:r>
      <w:r>
        <w:rPr>
          <w:color w:val="231F20"/>
          <w:spacing w:val="-26"/>
          <w:w w:val="105"/>
        </w:rPr>
        <w:t> </w:t>
      </w:r>
      <w:r>
        <w:rPr>
          <w:color w:val="231F20"/>
          <w:w w:val="105"/>
        </w:rPr>
        <w:t>oficial: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507" w:right="108"/>
        <w:jc w:val="both"/>
      </w:pPr>
      <w:r>
        <w:rPr>
          <w:color w:val="231F20"/>
          <w:w w:val="105"/>
        </w:rPr>
        <w:t>“Somos</w:t>
      </w:r>
      <w:r>
        <w:rPr>
          <w:color w:val="231F20"/>
          <w:spacing w:val="-16"/>
          <w:w w:val="105"/>
        </w:rPr>
        <w:t> </w:t>
      </w:r>
      <w:r>
        <w:rPr>
          <w:color w:val="231F20"/>
          <w:w w:val="105"/>
        </w:rPr>
        <w:t>un</w:t>
      </w:r>
      <w:r>
        <w:rPr>
          <w:color w:val="231F20"/>
          <w:spacing w:val="-16"/>
          <w:w w:val="105"/>
        </w:rPr>
        <w:t> </w:t>
      </w:r>
      <w:r>
        <w:rPr>
          <w:color w:val="231F20"/>
          <w:w w:val="105"/>
        </w:rPr>
        <w:t>gobierno</w:t>
      </w:r>
      <w:r>
        <w:rPr>
          <w:color w:val="231F20"/>
          <w:spacing w:val="-16"/>
          <w:w w:val="105"/>
        </w:rPr>
        <w:t> </w:t>
      </w:r>
      <w:r>
        <w:rPr>
          <w:color w:val="231F20"/>
          <w:w w:val="105"/>
        </w:rPr>
        <w:t>de</w:t>
      </w:r>
      <w:r>
        <w:rPr>
          <w:color w:val="231F20"/>
          <w:spacing w:val="-16"/>
          <w:w w:val="105"/>
        </w:rPr>
        <w:t> </w:t>
      </w:r>
      <w:r>
        <w:rPr>
          <w:color w:val="231F20"/>
          <w:w w:val="105"/>
        </w:rPr>
        <w:t>confianza</w:t>
      </w:r>
      <w:r>
        <w:rPr>
          <w:color w:val="231F20"/>
          <w:spacing w:val="-16"/>
          <w:w w:val="105"/>
        </w:rPr>
        <w:t> </w:t>
      </w:r>
      <w:r>
        <w:rPr>
          <w:color w:val="231F20"/>
          <w:w w:val="105"/>
        </w:rPr>
        <w:t>y</w:t>
      </w:r>
      <w:r>
        <w:rPr>
          <w:color w:val="231F20"/>
          <w:spacing w:val="-15"/>
          <w:w w:val="105"/>
        </w:rPr>
        <w:t> </w:t>
      </w:r>
      <w:r>
        <w:rPr>
          <w:color w:val="231F20"/>
          <w:w w:val="105"/>
        </w:rPr>
        <w:t>en</w:t>
      </w:r>
      <w:r>
        <w:rPr>
          <w:color w:val="231F20"/>
          <w:spacing w:val="-16"/>
          <w:w w:val="105"/>
        </w:rPr>
        <w:t> </w:t>
      </w:r>
      <w:r>
        <w:rPr>
          <w:color w:val="231F20"/>
          <w:w w:val="105"/>
        </w:rPr>
        <w:t>confianza,</w:t>
      </w:r>
      <w:r>
        <w:rPr>
          <w:color w:val="231F20"/>
          <w:spacing w:val="-16"/>
          <w:w w:val="105"/>
        </w:rPr>
        <w:t> </w:t>
      </w:r>
      <w:r>
        <w:rPr>
          <w:color w:val="231F20"/>
          <w:w w:val="105"/>
        </w:rPr>
        <w:t>la</w:t>
      </w:r>
      <w:r>
        <w:rPr>
          <w:color w:val="231F20"/>
          <w:spacing w:val="-16"/>
          <w:w w:val="105"/>
        </w:rPr>
        <w:t> </w:t>
      </w:r>
      <w:r>
        <w:rPr>
          <w:color w:val="231F20"/>
          <w:w w:val="105"/>
        </w:rPr>
        <w:t>confianza</w:t>
      </w:r>
      <w:r>
        <w:rPr>
          <w:color w:val="231F20"/>
          <w:spacing w:val="-16"/>
          <w:w w:val="105"/>
        </w:rPr>
        <w:t> </w:t>
      </w:r>
      <w:r>
        <w:rPr>
          <w:color w:val="231F20"/>
          <w:w w:val="105"/>
        </w:rPr>
        <w:t>de</w:t>
      </w:r>
      <w:r>
        <w:rPr>
          <w:color w:val="231F20"/>
          <w:spacing w:val="-16"/>
          <w:w w:val="105"/>
        </w:rPr>
        <w:t> </w:t>
      </w:r>
      <w:r>
        <w:rPr>
          <w:color w:val="231F20"/>
          <w:w w:val="105"/>
        </w:rPr>
        <w:t>saber</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hace el</w:t>
      </w:r>
      <w:r>
        <w:rPr>
          <w:color w:val="231F20"/>
          <w:spacing w:val="-18"/>
          <w:w w:val="105"/>
        </w:rPr>
        <w:t> </w:t>
      </w:r>
      <w:r>
        <w:rPr>
          <w:color w:val="231F20"/>
          <w:w w:val="105"/>
        </w:rPr>
        <w:t>mejor</w:t>
      </w:r>
      <w:r>
        <w:rPr>
          <w:color w:val="231F20"/>
          <w:spacing w:val="-18"/>
          <w:w w:val="105"/>
        </w:rPr>
        <w:t> </w:t>
      </w:r>
      <w:r>
        <w:rPr>
          <w:color w:val="231F20"/>
          <w:w w:val="105"/>
        </w:rPr>
        <w:t>y</w:t>
      </w:r>
      <w:r>
        <w:rPr>
          <w:color w:val="231F20"/>
          <w:spacing w:val="-18"/>
          <w:w w:val="105"/>
        </w:rPr>
        <w:t> </w:t>
      </w:r>
      <w:r>
        <w:rPr>
          <w:color w:val="231F20"/>
          <w:w w:val="105"/>
        </w:rPr>
        <w:t>mayor</w:t>
      </w:r>
      <w:r>
        <w:rPr>
          <w:color w:val="231F20"/>
          <w:spacing w:val="-18"/>
          <w:w w:val="105"/>
        </w:rPr>
        <w:t> </w:t>
      </w:r>
      <w:r>
        <w:rPr>
          <w:color w:val="231F20"/>
          <w:w w:val="105"/>
        </w:rPr>
        <w:t>esfuerzo</w:t>
      </w:r>
      <w:r>
        <w:rPr>
          <w:color w:val="231F20"/>
          <w:spacing w:val="-18"/>
          <w:w w:val="105"/>
        </w:rPr>
        <w:t> </w:t>
      </w:r>
      <w:r>
        <w:rPr>
          <w:color w:val="231F20"/>
          <w:w w:val="105"/>
        </w:rPr>
        <w:t>por</w:t>
      </w:r>
      <w:r>
        <w:rPr>
          <w:color w:val="231F20"/>
          <w:spacing w:val="-18"/>
          <w:w w:val="105"/>
        </w:rPr>
        <w:t> </w:t>
      </w:r>
      <w:r>
        <w:rPr>
          <w:color w:val="231F20"/>
          <w:w w:val="105"/>
        </w:rPr>
        <w:t>cumplir</w:t>
      </w:r>
      <w:r>
        <w:rPr>
          <w:color w:val="231F20"/>
          <w:spacing w:val="-18"/>
          <w:w w:val="105"/>
        </w:rPr>
        <w:t> </w:t>
      </w:r>
      <w:r>
        <w:rPr>
          <w:color w:val="231F20"/>
          <w:w w:val="105"/>
        </w:rPr>
        <w:t>los</w:t>
      </w:r>
      <w:r>
        <w:rPr>
          <w:color w:val="231F20"/>
          <w:spacing w:val="-18"/>
          <w:w w:val="105"/>
        </w:rPr>
        <w:t> </w:t>
      </w:r>
      <w:r>
        <w:rPr>
          <w:color w:val="231F20"/>
          <w:w w:val="105"/>
        </w:rPr>
        <w:t>compromisos</w:t>
      </w:r>
      <w:r>
        <w:rPr>
          <w:color w:val="231F20"/>
          <w:spacing w:val="-18"/>
          <w:w w:val="105"/>
        </w:rPr>
        <w:t> </w:t>
      </w:r>
      <w:r>
        <w:rPr>
          <w:color w:val="231F20"/>
          <w:w w:val="105"/>
        </w:rPr>
        <w:t>de</w:t>
      </w:r>
      <w:r>
        <w:rPr>
          <w:color w:val="231F20"/>
          <w:spacing w:val="-18"/>
          <w:w w:val="105"/>
        </w:rPr>
        <w:t> </w:t>
      </w:r>
      <w:r>
        <w:rPr>
          <w:color w:val="231F20"/>
          <w:w w:val="105"/>
        </w:rPr>
        <w:t>campaña,</w:t>
      </w:r>
      <w:r>
        <w:rPr>
          <w:color w:val="231F20"/>
          <w:spacing w:val="-18"/>
          <w:w w:val="105"/>
        </w:rPr>
        <w:t> </w:t>
      </w:r>
      <w:r>
        <w:rPr>
          <w:color w:val="231F20"/>
          <w:w w:val="105"/>
        </w:rPr>
        <w:t>confianza</w:t>
      </w:r>
      <w:r>
        <w:rPr>
          <w:color w:val="231F20"/>
          <w:spacing w:val="-18"/>
          <w:w w:val="105"/>
        </w:rPr>
        <w:t> </w:t>
      </w:r>
      <w:r>
        <w:rPr>
          <w:color w:val="231F20"/>
          <w:w w:val="105"/>
        </w:rPr>
        <w:t>por ser parte de una nueva generación de servidores públicos. Rendimos informe </w:t>
      </w:r>
      <w:r>
        <w:rPr>
          <w:color w:val="231F20"/>
          <w:spacing w:val="-3"/>
          <w:w w:val="105"/>
        </w:rPr>
        <w:t>por- </w:t>
      </w:r>
      <w:r>
        <w:rPr>
          <w:color w:val="231F20"/>
          <w:w w:val="105"/>
        </w:rPr>
        <w:t>que sabemos que contamos con el apoyo de los ixtapenses. Una de las</w:t>
      </w:r>
      <w:r>
        <w:rPr>
          <w:color w:val="231F20"/>
          <w:spacing w:val="-31"/>
          <w:w w:val="105"/>
        </w:rPr>
        <w:t> </w:t>
      </w:r>
      <w:r>
        <w:rPr>
          <w:color w:val="231F20"/>
          <w:w w:val="105"/>
        </w:rPr>
        <w:t>principales demandas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ciudadanos</w:t>
      </w:r>
      <w:r>
        <w:rPr>
          <w:color w:val="231F20"/>
          <w:spacing w:val="-14"/>
          <w:w w:val="105"/>
        </w:rPr>
        <w:t> </w:t>
      </w:r>
      <w:r>
        <w:rPr>
          <w:color w:val="231F20"/>
          <w:w w:val="105"/>
        </w:rPr>
        <w:t>fue</w:t>
      </w:r>
      <w:r>
        <w:rPr>
          <w:color w:val="231F20"/>
          <w:spacing w:val="-14"/>
          <w:w w:val="105"/>
        </w:rPr>
        <w:t> </w:t>
      </w:r>
      <w:r>
        <w:rPr>
          <w:color w:val="231F20"/>
          <w:w w:val="105"/>
        </w:rPr>
        <w:t>la</w:t>
      </w:r>
      <w:r>
        <w:rPr>
          <w:color w:val="231F20"/>
          <w:spacing w:val="-14"/>
          <w:w w:val="105"/>
        </w:rPr>
        <w:t> </w:t>
      </w:r>
      <w:r>
        <w:rPr>
          <w:color w:val="231F20"/>
          <w:w w:val="105"/>
        </w:rPr>
        <w:t>de</w:t>
      </w:r>
      <w:r>
        <w:rPr>
          <w:color w:val="231F20"/>
          <w:spacing w:val="-14"/>
          <w:w w:val="105"/>
        </w:rPr>
        <w:t> </w:t>
      </w:r>
      <w:r>
        <w:rPr>
          <w:color w:val="231F20"/>
          <w:w w:val="105"/>
        </w:rPr>
        <w:t>tener</w:t>
      </w:r>
      <w:r>
        <w:rPr>
          <w:color w:val="231F20"/>
          <w:spacing w:val="-14"/>
          <w:w w:val="105"/>
        </w:rPr>
        <w:t> </w:t>
      </w:r>
      <w:r>
        <w:rPr>
          <w:color w:val="231F20"/>
          <w:w w:val="105"/>
        </w:rPr>
        <w:t>contacto</w:t>
      </w:r>
      <w:r>
        <w:rPr>
          <w:color w:val="231F20"/>
          <w:spacing w:val="-14"/>
          <w:w w:val="105"/>
        </w:rPr>
        <w:t> </w:t>
      </w:r>
      <w:r>
        <w:rPr>
          <w:color w:val="231F20"/>
          <w:w w:val="105"/>
        </w:rPr>
        <w:t>permanente</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titular</w:t>
      </w:r>
      <w:r>
        <w:rPr>
          <w:color w:val="231F20"/>
          <w:spacing w:val="-14"/>
          <w:w w:val="105"/>
        </w:rPr>
        <w:t> </w:t>
      </w:r>
      <w:r>
        <w:rPr>
          <w:color w:val="231F20"/>
          <w:w w:val="105"/>
        </w:rPr>
        <w:t>y</w:t>
      </w:r>
      <w:r>
        <w:rPr>
          <w:color w:val="231F20"/>
          <w:spacing w:val="-14"/>
          <w:w w:val="105"/>
        </w:rPr>
        <w:t> </w:t>
      </w:r>
      <w:r>
        <w:rPr>
          <w:color w:val="231F20"/>
          <w:w w:val="105"/>
        </w:rPr>
        <w:t>los miembros</w:t>
      </w:r>
      <w:r>
        <w:rPr>
          <w:color w:val="231F20"/>
          <w:spacing w:val="-35"/>
          <w:w w:val="105"/>
        </w:rPr>
        <w:t> </w:t>
      </w:r>
      <w:r>
        <w:rPr>
          <w:color w:val="231F20"/>
          <w:w w:val="105"/>
        </w:rPr>
        <w:t>del</w:t>
      </w:r>
      <w:r>
        <w:rPr>
          <w:color w:val="231F20"/>
          <w:spacing w:val="-35"/>
          <w:w w:val="105"/>
        </w:rPr>
        <w:t> </w:t>
      </w:r>
      <w:r>
        <w:rPr>
          <w:color w:val="231F20"/>
          <w:w w:val="105"/>
        </w:rPr>
        <w:t>gobierno</w:t>
      </w:r>
      <w:r>
        <w:rPr>
          <w:color w:val="231F20"/>
          <w:spacing w:val="-35"/>
          <w:w w:val="105"/>
        </w:rPr>
        <w:t> </w:t>
      </w:r>
      <w:r>
        <w:rPr>
          <w:color w:val="231F20"/>
          <w:w w:val="105"/>
        </w:rPr>
        <w:t>local”</w:t>
      </w:r>
      <w:r>
        <w:rPr>
          <w:color w:val="231F20"/>
          <w:spacing w:val="-35"/>
          <w:w w:val="105"/>
        </w:rPr>
        <w:t> </w:t>
      </w:r>
      <w:r>
        <w:rPr>
          <w:color w:val="231F20"/>
          <w:w w:val="105"/>
        </w:rPr>
        <w:t>(Vergara,</w:t>
      </w:r>
      <w:r>
        <w:rPr>
          <w:color w:val="231F20"/>
          <w:spacing w:val="-35"/>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w w:val="105"/>
        </w:rPr>
        <w:t>Las</w:t>
      </w:r>
      <w:r>
        <w:rPr>
          <w:color w:val="231F20"/>
          <w:spacing w:val="-8"/>
          <w:w w:val="105"/>
        </w:rPr>
        <w:t> </w:t>
      </w:r>
      <w:r>
        <w:rPr>
          <w:color w:val="231F20"/>
          <w:spacing w:val="2"/>
          <w:w w:val="105"/>
        </w:rPr>
        <w:t>finanzas</w:t>
      </w:r>
      <w:r>
        <w:rPr>
          <w:color w:val="231F20"/>
          <w:spacing w:val="-8"/>
          <w:w w:val="105"/>
        </w:rPr>
        <w:t> </w:t>
      </w:r>
      <w:r>
        <w:rPr>
          <w:color w:val="231F20"/>
          <w:w w:val="105"/>
        </w:rPr>
        <w:t>públicas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Plan</w:t>
      </w:r>
      <w:r>
        <w:rPr>
          <w:color w:val="231F20"/>
          <w:spacing w:val="-8"/>
          <w:w w:val="105"/>
        </w:rPr>
        <w:t> </w:t>
      </w:r>
      <w:r>
        <w:rPr>
          <w:color w:val="231F20"/>
          <w:w w:val="105"/>
        </w:rPr>
        <w:t>Municipal</w:t>
      </w:r>
      <w:r>
        <w:rPr>
          <w:color w:val="231F20"/>
          <w:spacing w:val="-8"/>
          <w:w w:val="105"/>
        </w:rPr>
        <w:t> </w:t>
      </w:r>
      <w:r>
        <w:rPr>
          <w:color w:val="231F20"/>
          <w:w w:val="105"/>
        </w:rPr>
        <w:t>también</w:t>
      </w:r>
      <w:r>
        <w:rPr>
          <w:color w:val="231F20"/>
          <w:spacing w:val="-8"/>
          <w:w w:val="105"/>
        </w:rPr>
        <w:t> </w:t>
      </w:r>
      <w:r>
        <w:rPr>
          <w:color w:val="231F20"/>
          <w:w w:val="105"/>
        </w:rPr>
        <w:t>fueron</w:t>
      </w:r>
      <w:r>
        <w:rPr>
          <w:color w:val="231F20"/>
          <w:spacing w:val="-8"/>
          <w:w w:val="105"/>
        </w:rPr>
        <w:t> </w:t>
      </w:r>
      <w:r>
        <w:rPr>
          <w:color w:val="231F20"/>
          <w:w w:val="105"/>
        </w:rPr>
        <w:t>contempladas</w:t>
      </w:r>
      <w:r>
        <w:rPr>
          <w:color w:val="231F20"/>
          <w:spacing w:val="-8"/>
          <w:w w:val="105"/>
        </w:rPr>
        <w:t> </w:t>
      </w:r>
      <w:r>
        <w:rPr>
          <w:color w:val="231F20"/>
          <w:w w:val="105"/>
        </w:rPr>
        <w:t>como</w:t>
      </w:r>
      <w:r>
        <w:rPr>
          <w:color w:val="231F20"/>
          <w:spacing w:val="-8"/>
          <w:w w:val="105"/>
        </w:rPr>
        <w:t> </w:t>
      </w:r>
      <w:r>
        <w:rPr>
          <w:color w:val="231F20"/>
          <w:w w:val="105"/>
        </w:rPr>
        <w:t>priori- dad del gobierno entrante en </w:t>
      </w:r>
      <w:r>
        <w:rPr>
          <w:color w:val="231F20"/>
          <w:spacing w:val="3"/>
          <w:w w:val="105"/>
        </w:rPr>
        <w:t>2006, </w:t>
      </w:r>
      <w:r>
        <w:rPr>
          <w:color w:val="231F20"/>
          <w:w w:val="105"/>
        </w:rPr>
        <w:t>pues </w:t>
      </w:r>
      <w:r>
        <w:rPr>
          <w:color w:val="231F20"/>
          <w:spacing w:val="2"/>
          <w:w w:val="105"/>
        </w:rPr>
        <w:t>al </w:t>
      </w:r>
      <w:r>
        <w:rPr>
          <w:color w:val="231F20"/>
          <w:w w:val="105"/>
        </w:rPr>
        <w:t>igual como se advirtió en líneas anteriores con respecto a la dependencia financiera, la administración se propuso incrementar</w:t>
      </w:r>
      <w:r>
        <w:rPr>
          <w:color w:val="231F20"/>
          <w:spacing w:val="-40"/>
          <w:w w:val="105"/>
        </w:rPr>
        <w:t> </w:t>
      </w:r>
      <w:r>
        <w:rPr>
          <w:color w:val="231F20"/>
          <w:w w:val="105"/>
        </w:rPr>
        <w:t>en un</w:t>
      </w:r>
      <w:r>
        <w:rPr>
          <w:color w:val="231F20"/>
          <w:spacing w:val="-6"/>
          <w:w w:val="105"/>
        </w:rPr>
        <w:t> </w:t>
      </w:r>
      <w:r>
        <w:rPr>
          <w:color w:val="231F20"/>
          <w:w w:val="105"/>
        </w:rPr>
        <w:t>40%</w:t>
      </w:r>
      <w:r>
        <w:rPr>
          <w:color w:val="231F20"/>
          <w:spacing w:val="-6"/>
          <w:w w:val="105"/>
        </w:rPr>
        <w:t> </w:t>
      </w:r>
      <w:r>
        <w:rPr>
          <w:color w:val="231F20"/>
          <w:w w:val="105"/>
        </w:rPr>
        <w:t>la</w:t>
      </w:r>
      <w:r>
        <w:rPr>
          <w:color w:val="231F20"/>
          <w:spacing w:val="-6"/>
          <w:w w:val="105"/>
        </w:rPr>
        <w:t> </w:t>
      </w:r>
      <w:r>
        <w:rPr>
          <w:color w:val="231F20"/>
          <w:w w:val="105"/>
        </w:rPr>
        <w:t>recaudación</w:t>
      </w:r>
      <w:r>
        <w:rPr>
          <w:color w:val="231F20"/>
          <w:spacing w:val="-6"/>
          <w:w w:val="105"/>
        </w:rPr>
        <w:t> </w:t>
      </w:r>
      <w:r>
        <w:rPr>
          <w:color w:val="231F20"/>
          <w:w w:val="105"/>
        </w:rPr>
        <w:t>de</w:t>
      </w:r>
      <w:r>
        <w:rPr>
          <w:color w:val="231F20"/>
          <w:spacing w:val="-6"/>
          <w:w w:val="105"/>
        </w:rPr>
        <w:t> </w:t>
      </w:r>
      <w:r>
        <w:rPr>
          <w:color w:val="231F20"/>
          <w:w w:val="105"/>
        </w:rPr>
        <w:t>recursos</w:t>
      </w:r>
      <w:r>
        <w:rPr>
          <w:color w:val="231F20"/>
          <w:spacing w:val="-6"/>
          <w:w w:val="105"/>
        </w:rPr>
        <w:t> </w:t>
      </w:r>
      <w:r>
        <w:rPr>
          <w:color w:val="231F20"/>
          <w:w w:val="105"/>
        </w:rPr>
        <w:t>propios,</w:t>
      </w:r>
      <w:r>
        <w:rPr>
          <w:color w:val="231F20"/>
          <w:spacing w:val="-6"/>
          <w:w w:val="105"/>
        </w:rPr>
        <w:t> </w:t>
      </w:r>
      <w:r>
        <w:rPr>
          <w:color w:val="231F20"/>
          <w:w w:val="105"/>
        </w:rPr>
        <w:t>situación</w:t>
      </w:r>
      <w:r>
        <w:rPr>
          <w:color w:val="231F20"/>
          <w:spacing w:val="-6"/>
          <w:w w:val="105"/>
        </w:rPr>
        <w:t> </w:t>
      </w:r>
      <w:r>
        <w:rPr>
          <w:color w:val="231F20"/>
          <w:w w:val="105"/>
        </w:rPr>
        <w:t>que</w:t>
      </w:r>
      <w:r>
        <w:rPr>
          <w:color w:val="231F20"/>
          <w:spacing w:val="-6"/>
          <w:w w:val="105"/>
        </w:rPr>
        <w:t> </w:t>
      </w:r>
      <w:r>
        <w:rPr>
          <w:color w:val="231F20"/>
          <w:w w:val="105"/>
        </w:rPr>
        <w:t>fue</w:t>
      </w:r>
      <w:r>
        <w:rPr>
          <w:color w:val="231F20"/>
          <w:spacing w:val="-6"/>
          <w:w w:val="105"/>
        </w:rPr>
        <w:t> </w:t>
      </w:r>
      <w:r>
        <w:rPr>
          <w:color w:val="231F20"/>
          <w:w w:val="105"/>
        </w:rPr>
        <w:t>contraria</w:t>
      </w:r>
      <w:r>
        <w:rPr>
          <w:color w:val="231F20"/>
          <w:spacing w:val="-6"/>
          <w:w w:val="105"/>
        </w:rPr>
        <w:t> </w:t>
      </w:r>
      <w:r>
        <w:rPr>
          <w:color w:val="231F20"/>
          <w:w w:val="105"/>
        </w:rPr>
        <w:t>pues</w:t>
      </w:r>
      <w:r>
        <w:rPr>
          <w:color w:val="231F20"/>
          <w:spacing w:val="-6"/>
          <w:w w:val="105"/>
        </w:rPr>
        <w:t> </w:t>
      </w:r>
      <w:r>
        <w:rPr>
          <w:color w:val="231F20"/>
          <w:w w:val="105"/>
        </w:rPr>
        <w:t>de</w:t>
      </w:r>
      <w:r>
        <w:rPr>
          <w:color w:val="231F20"/>
          <w:spacing w:val="-6"/>
          <w:w w:val="105"/>
        </w:rPr>
        <w:t> </w:t>
      </w:r>
      <w:r>
        <w:rPr>
          <w:color w:val="231F20"/>
          <w:spacing w:val="3"/>
          <w:w w:val="105"/>
        </w:rPr>
        <w:t>2006</w:t>
      </w:r>
      <w:r>
        <w:rPr>
          <w:color w:val="231F20"/>
          <w:spacing w:val="-6"/>
          <w:w w:val="105"/>
        </w:rPr>
        <w:t> </w:t>
      </w:r>
      <w:r>
        <w:rPr>
          <w:color w:val="231F20"/>
          <w:w w:val="105"/>
        </w:rPr>
        <w:t>a </w:t>
      </w:r>
      <w:r>
        <w:rPr>
          <w:color w:val="231F20"/>
          <w:spacing w:val="3"/>
          <w:w w:val="105"/>
        </w:rPr>
        <w:t>2008</w:t>
      </w:r>
      <w:r>
        <w:rPr>
          <w:color w:val="231F20"/>
          <w:spacing w:val="-15"/>
          <w:w w:val="105"/>
        </w:rPr>
        <w:t> </w:t>
      </w:r>
      <w:r>
        <w:rPr>
          <w:color w:val="231F20"/>
          <w:w w:val="105"/>
        </w:rPr>
        <w:t>la</w:t>
      </w:r>
      <w:r>
        <w:rPr>
          <w:color w:val="231F20"/>
          <w:spacing w:val="-15"/>
          <w:w w:val="105"/>
        </w:rPr>
        <w:t> </w:t>
      </w:r>
      <w:r>
        <w:rPr>
          <w:color w:val="231F20"/>
          <w:w w:val="105"/>
        </w:rPr>
        <w:t>tendencia</w:t>
      </w:r>
      <w:r>
        <w:rPr>
          <w:color w:val="231F20"/>
          <w:spacing w:val="-15"/>
          <w:w w:val="105"/>
        </w:rPr>
        <w:t> </w:t>
      </w:r>
      <w:r>
        <w:rPr>
          <w:color w:val="231F20"/>
          <w:w w:val="105"/>
        </w:rPr>
        <w:t>de</w:t>
      </w:r>
      <w:r>
        <w:rPr>
          <w:color w:val="231F20"/>
          <w:spacing w:val="-15"/>
          <w:w w:val="105"/>
        </w:rPr>
        <w:t> </w:t>
      </w:r>
      <w:r>
        <w:rPr>
          <w:color w:val="231F20"/>
          <w:w w:val="105"/>
        </w:rPr>
        <w:t>dependencia</w:t>
      </w:r>
      <w:r>
        <w:rPr>
          <w:color w:val="231F20"/>
          <w:spacing w:val="-15"/>
          <w:w w:val="105"/>
        </w:rPr>
        <w:t> </w:t>
      </w:r>
      <w:r>
        <w:rPr>
          <w:color w:val="231F20"/>
          <w:w w:val="105"/>
        </w:rPr>
        <w:t>financiera</w:t>
      </w:r>
      <w:r>
        <w:rPr>
          <w:color w:val="231F20"/>
          <w:spacing w:val="-15"/>
          <w:w w:val="105"/>
        </w:rPr>
        <w:t> </w:t>
      </w:r>
      <w:r>
        <w:rPr>
          <w:color w:val="231F20"/>
          <w:w w:val="105"/>
        </w:rPr>
        <w:t>fue</w:t>
      </w:r>
      <w:r>
        <w:rPr>
          <w:color w:val="231F20"/>
          <w:spacing w:val="-15"/>
          <w:w w:val="105"/>
        </w:rPr>
        <w:t> </w:t>
      </w:r>
      <w:r>
        <w:rPr>
          <w:color w:val="231F20"/>
          <w:w w:val="105"/>
        </w:rPr>
        <w:t>en</w:t>
      </w:r>
      <w:r>
        <w:rPr>
          <w:color w:val="231F20"/>
          <w:spacing w:val="-15"/>
          <w:w w:val="105"/>
        </w:rPr>
        <w:t> </w:t>
      </w:r>
      <w:r>
        <w:rPr>
          <w:color w:val="231F20"/>
          <w:w w:val="105"/>
        </w:rPr>
        <w:t>aumento</w:t>
      </w:r>
      <w:r>
        <w:rPr>
          <w:color w:val="231F20"/>
          <w:spacing w:val="-15"/>
          <w:w w:val="105"/>
        </w:rPr>
        <w:t> </w:t>
      </w:r>
      <w:r>
        <w:rPr>
          <w:color w:val="231F20"/>
          <w:spacing w:val="-5"/>
          <w:w w:val="105"/>
        </w:rPr>
        <w:t>(Ver</w:t>
      </w:r>
      <w:r>
        <w:rPr>
          <w:color w:val="231F20"/>
          <w:spacing w:val="-15"/>
          <w:w w:val="105"/>
        </w:rPr>
        <w:t> </w:t>
      </w:r>
      <w:r>
        <w:rPr>
          <w:color w:val="231F20"/>
          <w:w w:val="105"/>
        </w:rPr>
        <w:t>Finanzas</w:t>
      </w:r>
      <w:r>
        <w:rPr>
          <w:color w:val="231F20"/>
          <w:spacing w:val="-15"/>
          <w:w w:val="105"/>
        </w:rPr>
        <w:t> </w:t>
      </w:r>
      <w:r>
        <w:rPr>
          <w:color w:val="231F20"/>
          <w:spacing w:val="-3"/>
          <w:w w:val="105"/>
        </w:rPr>
        <w:t>Públicas).</w:t>
      </w:r>
    </w:p>
    <w:p>
      <w:pPr>
        <w:pStyle w:val="BodyText"/>
        <w:spacing w:before="1"/>
        <w:rPr>
          <w:sz w:val="26"/>
        </w:rPr>
      </w:pPr>
    </w:p>
    <w:p>
      <w:pPr>
        <w:pStyle w:val="BodyText"/>
        <w:spacing w:line="285" w:lineRule="auto"/>
        <w:ind w:left="110" w:right="108"/>
        <w:jc w:val="both"/>
      </w:pPr>
      <w:r>
        <w:rPr>
          <w:color w:val="231F20"/>
          <w:spacing w:val="-3"/>
          <w:w w:val="105"/>
        </w:rPr>
        <w:t>Por </w:t>
      </w:r>
      <w:r>
        <w:rPr>
          <w:color w:val="231F20"/>
          <w:w w:val="105"/>
        </w:rPr>
        <w:t>último, con relación a la transparencia y rendición de cuentas, igualmente fue im- plantada</w:t>
      </w:r>
      <w:r>
        <w:rPr>
          <w:color w:val="231F20"/>
          <w:spacing w:val="-8"/>
          <w:w w:val="105"/>
        </w:rPr>
        <w:t> </w:t>
      </w:r>
      <w:r>
        <w:rPr>
          <w:color w:val="231F20"/>
          <w:w w:val="105"/>
        </w:rPr>
        <w:t>más</w:t>
      </w:r>
      <w:r>
        <w:rPr>
          <w:color w:val="231F20"/>
          <w:spacing w:val="-8"/>
          <w:w w:val="105"/>
        </w:rPr>
        <w:t> </w:t>
      </w:r>
      <w:r>
        <w:rPr>
          <w:color w:val="231F20"/>
          <w:w w:val="105"/>
        </w:rPr>
        <w:t>por</w:t>
      </w:r>
      <w:r>
        <w:rPr>
          <w:color w:val="231F20"/>
          <w:spacing w:val="-8"/>
          <w:w w:val="105"/>
        </w:rPr>
        <w:t> </w:t>
      </w:r>
      <w:r>
        <w:rPr>
          <w:color w:val="231F20"/>
          <w:w w:val="105"/>
        </w:rPr>
        <w:t>requerimientos</w:t>
      </w:r>
      <w:r>
        <w:rPr>
          <w:color w:val="231F20"/>
          <w:spacing w:val="-8"/>
          <w:w w:val="105"/>
        </w:rPr>
        <w:t> </w:t>
      </w:r>
      <w:r>
        <w:rPr>
          <w:color w:val="231F20"/>
          <w:w w:val="105"/>
        </w:rPr>
        <w:t>del</w:t>
      </w:r>
      <w:r>
        <w:rPr>
          <w:color w:val="231F20"/>
          <w:spacing w:val="-8"/>
          <w:w w:val="105"/>
        </w:rPr>
        <w:t> </w:t>
      </w:r>
      <w:r>
        <w:rPr>
          <w:color w:val="231F20"/>
          <w:w w:val="105"/>
        </w:rPr>
        <w:t>gobierno</w:t>
      </w:r>
      <w:r>
        <w:rPr>
          <w:color w:val="231F20"/>
          <w:spacing w:val="-8"/>
          <w:w w:val="105"/>
        </w:rPr>
        <w:t> </w:t>
      </w:r>
      <w:r>
        <w:rPr>
          <w:color w:val="231F20"/>
          <w:w w:val="105"/>
        </w:rPr>
        <w:t>federal</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legislatura</w:t>
      </w:r>
      <w:r>
        <w:rPr>
          <w:color w:val="231F20"/>
          <w:spacing w:val="-8"/>
          <w:w w:val="105"/>
        </w:rPr>
        <w:t> </w:t>
      </w:r>
      <w:r>
        <w:rPr>
          <w:color w:val="231F20"/>
          <w:w w:val="105"/>
        </w:rPr>
        <w:t>local</w:t>
      </w:r>
      <w:r>
        <w:rPr>
          <w:color w:val="231F20"/>
          <w:spacing w:val="-8"/>
          <w:w w:val="105"/>
        </w:rPr>
        <w:t> </w:t>
      </w:r>
      <w:r>
        <w:rPr>
          <w:color w:val="231F20"/>
          <w:w w:val="105"/>
        </w:rPr>
        <w:t>que</w:t>
      </w:r>
      <w:r>
        <w:rPr>
          <w:color w:val="231F20"/>
          <w:spacing w:val="-8"/>
          <w:w w:val="105"/>
        </w:rPr>
        <w:t> </w:t>
      </w:r>
      <w:r>
        <w:rPr>
          <w:color w:val="231F20"/>
          <w:w w:val="105"/>
        </w:rPr>
        <w:t>por</w:t>
      </w:r>
      <w:r>
        <w:rPr>
          <w:color w:val="231F20"/>
          <w:spacing w:val="-8"/>
          <w:w w:val="105"/>
        </w:rPr>
        <w:t> </w:t>
      </w:r>
      <w:r>
        <w:rPr>
          <w:color w:val="231F20"/>
          <w:w w:val="105"/>
        </w:rPr>
        <w:t>ini- ciativa</w:t>
      </w:r>
      <w:r>
        <w:rPr>
          <w:color w:val="231F20"/>
          <w:spacing w:val="-3"/>
          <w:w w:val="105"/>
        </w:rPr>
        <w:t> </w:t>
      </w:r>
      <w:r>
        <w:rPr>
          <w:color w:val="231F20"/>
          <w:w w:val="105"/>
        </w:rPr>
        <w:t>propia,</w:t>
      </w:r>
      <w:r>
        <w:rPr>
          <w:color w:val="231F20"/>
          <w:spacing w:val="-3"/>
          <w:w w:val="105"/>
        </w:rPr>
        <w:t> </w:t>
      </w:r>
      <w:r>
        <w:rPr>
          <w:color w:val="231F20"/>
          <w:w w:val="105"/>
        </w:rPr>
        <w:t>pues</w:t>
      </w:r>
      <w:r>
        <w:rPr>
          <w:color w:val="231F20"/>
          <w:spacing w:val="-3"/>
          <w:w w:val="105"/>
        </w:rPr>
        <w:t> </w:t>
      </w:r>
      <w:r>
        <w:rPr>
          <w:color w:val="231F20"/>
          <w:w w:val="105"/>
        </w:rPr>
        <w:t>además</w:t>
      </w:r>
      <w:r>
        <w:rPr>
          <w:color w:val="231F20"/>
          <w:spacing w:val="-3"/>
          <w:w w:val="105"/>
        </w:rPr>
        <w:t> </w:t>
      </w:r>
      <w:r>
        <w:rPr>
          <w:color w:val="231F20"/>
          <w:w w:val="105"/>
        </w:rPr>
        <w:t>de</w:t>
      </w:r>
      <w:r>
        <w:rPr>
          <w:color w:val="231F20"/>
          <w:spacing w:val="-3"/>
          <w:w w:val="105"/>
        </w:rPr>
        <w:t> </w:t>
      </w:r>
      <w:r>
        <w:rPr>
          <w:color w:val="231F20"/>
          <w:w w:val="105"/>
        </w:rPr>
        <w:t>que</w:t>
      </w:r>
      <w:r>
        <w:rPr>
          <w:color w:val="231F20"/>
          <w:spacing w:val="-3"/>
          <w:w w:val="105"/>
        </w:rPr>
        <w:t> </w:t>
      </w:r>
      <w:r>
        <w:rPr>
          <w:color w:val="231F20"/>
          <w:w w:val="105"/>
        </w:rPr>
        <w:t>no</w:t>
      </w:r>
      <w:r>
        <w:rPr>
          <w:color w:val="231F20"/>
          <w:spacing w:val="-3"/>
          <w:w w:val="105"/>
        </w:rPr>
        <w:t> </w:t>
      </w:r>
      <w:r>
        <w:rPr>
          <w:color w:val="231F20"/>
          <w:w w:val="105"/>
        </w:rPr>
        <w:t>tiene</w:t>
      </w:r>
      <w:r>
        <w:rPr>
          <w:color w:val="231F20"/>
          <w:spacing w:val="-3"/>
          <w:w w:val="105"/>
        </w:rPr>
        <w:t> </w:t>
      </w:r>
      <w:r>
        <w:rPr>
          <w:color w:val="231F20"/>
          <w:w w:val="105"/>
        </w:rPr>
        <w:t>mención</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Plan</w:t>
      </w:r>
      <w:r>
        <w:rPr>
          <w:color w:val="231F20"/>
          <w:spacing w:val="-3"/>
          <w:w w:val="105"/>
        </w:rPr>
        <w:t> </w:t>
      </w:r>
      <w:r>
        <w:rPr>
          <w:color w:val="231F20"/>
          <w:w w:val="105"/>
        </w:rPr>
        <w:t>Municipal,</w:t>
      </w:r>
      <w:r>
        <w:rPr>
          <w:color w:val="231F20"/>
          <w:spacing w:val="-3"/>
          <w:w w:val="105"/>
        </w:rPr>
        <w:t> </w:t>
      </w:r>
      <w:r>
        <w:rPr>
          <w:color w:val="231F20"/>
          <w:w w:val="105"/>
        </w:rPr>
        <w:t>fue</w:t>
      </w:r>
      <w:r>
        <w:rPr>
          <w:color w:val="231F20"/>
          <w:spacing w:val="-3"/>
          <w:w w:val="105"/>
        </w:rPr>
        <w:t> </w:t>
      </w:r>
      <w:r>
        <w:rPr>
          <w:color w:val="231F20"/>
          <w:w w:val="105"/>
        </w:rPr>
        <w:t>apenas en</w:t>
      </w:r>
      <w:r>
        <w:rPr>
          <w:color w:val="231F20"/>
          <w:spacing w:val="-13"/>
          <w:w w:val="105"/>
        </w:rPr>
        <w:t> </w:t>
      </w:r>
      <w:r>
        <w:rPr>
          <w:color w:val="231F20"/>
          <w:spacing w:val="3"/>
          <w:w w:val="105"/>
        </w:rPr>
        <w:t>2008</w:t>
      </w:r>
      <w:r>
        <w:rPr>
          <w:color w:val="231F20"/>
          <w:spacing w:val="-13"/>
          <w:w w:val="105"/>
        </w:rPr>
        <w:t> </w:t>
      </w:r>
      <w:r>
        <w:rPr>
          <w:color w:val="231F20"/>
          <w:w w:val="105"/>
        </w:rPr>
        <w:t>cuando</w:t>
      </w:r>
      <w:r>
        <w:rPr>
          <w:color w:val="231F20"/>
          <w:spacing w:val="-13"/>
          <w:w w:val="105"/>
        </w:rPr>
        <w:t> </w:t>
      </w:r>
      <w:r>
        <w:rPr>
          <w:color w:val="231F20"/>
          <w:w w:val="105"/>
        </w:rPr>
        <w:t>se</w:t>
      </w:r>
      <w:r>
        <w:rPr>
          <w:color w:val="231F20"/>
          <w:spacing w:val="-13"/>
          <w:w w:val="105"/>
        </w:rPr>
        <w:t> </w:t>
      </w:r>
      <w:r>
        <w:rPr>
          <w:color w:val="231F20"/>
          <w:w w:val="105"/>
        </w:rPr>
        <w:t>creó</w:t>
      </w:r>
      <w:r>
        <w:rPr>
          <w:color w:val="231F20"/>
          <w:spacing w:val="-13"/>
          <w:w w:val="105"/>
        </w:rPr>
        <w:t> </w:t>
      </w:r>
      <w:r>
        <w:rPr>
          <w:color w:val="231F20"/>
          <w:w w:val="105"/>
        </w:rPr>
        <w:t>la</w:t>
      </w:r>
      <w:r>
        <w:rPr>
          <w:color w:val="231F20"/>
          <w:spacing w:val="-13"/>
          <w:w w:val="105"/>
        </w:rPr>
        <w:t> </w:t>
      </w:r>
      <w:r>
        <w:rPr>
          <w:color w:val="231F20"/>
          <w:w w:val="105"/>
        </w:rPr>
        <w:t>Unidad</w:t>
      </w:r>
      <w:r>
        <w:rPr>
          <w:color w:val="231F20"/>
          <w:spacing w:val="-13"/>
          <w:w w:val="105"/>
        </w:rPr>
        <w:t> </w:t>
      </w:r>
      <w:r>
        <w:rPr>
          <w:color w:val="231F20"/>
          <w:w w:val="105"/>
        </w:rPr>
        <w:t>de</w:t>
      </w:r>
      <w:r>
        <w:rPr>
          <w:color w:val="231F20"/>
          <w:spacing w:val="-13"/>
          <w:w w:val="105"/>
        </w:rPr>
        <w:t> </w:t>
      </w:r>
      <w:r>
        <w:rPr>
          <w:color w:val="231F20"/>
          <w:w w:val="105"/>
        </w:rPr>
        <w:t>Transparencia</w:t>
      </w:r>
      <w:r>
        <w:rPr>
          <w:color w:val="231F20"/>
          <w:spacing w:val="-13"/>
          <w:w w:val="105"/>
        </w:rPr>
        <w:t> </w:t>
      </w:r>
      <w:r>
        <w:rPr>
          <w:color w:val="231F20"/>
          <w:w w:val="105"/>
        </w:rPr>
        <w:t>y</w:t>
      </w:r>
      <w:r>
        <w:rPr>
          <w:color w:val="231F20"/>
          <w:spacing w:val="-13"/>
          <w:w w:val="105"/>
        </w:rPr>
        <w:t> </w:t>
      </w:r>
      <w:r>
        <w:rPr>
          <w:color w:val="231F20"/>
          <w:w w:val="105"/>
        </w:rPr>
        <w:t>Acceso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Información</w:t>
      </w:r>
      <w:r>
        <w:rPr>
          <w:color w:val="231F20"/>
          <w:spacing w:val="-13"/>
          <w:w w:val="105"/>
        </w:rPr>
        <w:t> </w:t>
      </w:r>
      <w:r>
        <w:rPr>
          <w:color w:val="231F20"/>
          <w:w w:val="105"/>
        </w:rPr>
        <w:t>Pública. A</w:t>
      </w:r>
      <w:r>
        <w:rPr>
          <w:color w:val="231F20"/>
          <w:spacing w:val="-10"/>
          <w:w w:val="105"/>
        </w:rPr>
        <w:t> </w:t>
      </w:r>
      <w:r>
        <w:rPr>
          <w:color w:val="231F20"/>
          <w:w w:val="105"/>
        </w:rPr>
        <w:t>pocos</w:t>
      </w:r>
      <w:r>
        <w:rPr>
          <w:color w:val="231F20"/>
          <w:spacing w:val="-10"/>
          <w:w w:val="105"/>
        </w:rPr>
        <w:t> </w:t>
      </w:r>
      <w:r>
        <w:rPr>
          <w:color w:val="231F20"/>
          <w:w w:val="105"/>
        </w:rPr>
        <w:t>meses</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creación</w:t>
      </w:r>
      <w:r>
        <w:rPr>
          <w:color w:val="231F20"/>
          <w:spacing w:val="-10"/>
          <w:w w:val="105"/>
        </w:rPr>
        <w:t> </w:t>
      </w:r>
      <w:r>
        <w:rPr>
          <w:color w:val="231F20"/>
          <w:w w:val="105"/>
        </w:rPr>
        <w:t>se</w:t>
      </w:r>
      <w:r>
        <w:rPr>
          <w:color w:val="231F20"/>
          <w:spacing w:val="-10"/>
          <w:w w:val="105"/>
        </w:rPr>
        <w:t> </w:t>
      </w:r>
      <w:r>
        <w:rPr>
          <w:color w:val="231F20"/>
          <w:w w:val="105"/>
        </w:rPr>
        <w:t>quedó</w:t>
      </w:r>
      <w:r>
        <w:rPr>
          <w:color w:val="231F20"/>
          <w:spacing w:val="-10"/>
          <w:w w:val="105"/>
        </w:rPr>
        <w:t> </w:t>
      </w:r>
      <w:r>
        <w:rPr>
          <w:color w:val="231F20"/>
          <w:w w:val="105"/>
        </w:rPr>
        <w:t>sin</w:t>
      </w:r>
      <w:r>
        <w:rPr>
          <w:color w:val="231F20"/>
          <w:spacing w:val="-10"/>
          <w:w w:val="105"/>
        </w:rPr>
        <w:t> </w:t>
      </w:r>
      <w:r>
        <w:rPr>
          <w:color w:val="231F20"/>
          <w:w w:val="105"/>
        </w:rPr>
        <w:t>titular</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lapso</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mes.</w:t>
      </w:r>
    </w:p>
    <w:p>
      <w:pPr>
        <w:pStyle w:val="BodyText"/>
        <w:spacing w:before="1"/>
        <w:rPr>
          <w:sz w:val="26"/>
        </w:rPr>
      </w:pPr>
    </w:p>
    <w:p>
      <w:pPr>
        <w:pStyle w:val="BodyText"/>
        <w:spacing w:line="285" w:lineRule="auto"/>
        <w:ind w:left="110" w:right="107"/>
        <w:jc w:val="both"/>
      </w:pPr>
      <w:r>
        <w:rPr>
          <w:color w:val="231F20"/>
        </w:rPr>
        <w:t>La solicitud de información pública puede llevarse a cabo mediante tres vías: solicitud directa a la dependencia, escrita o por el portal del Instituto de Transparencia y Acceso     a la Información Pública del Estado de México (www.itaipem.org.mx). Se puede aseve- rar que las tres tienen déficit en los resultados, ya que </w:t>
      </w:r>
      <w:r>
        <w:rPr>
          <w:color w:val="231F20"/>
          <w:spacing w:val="2"/>
        </w:rPr>
        <w:t>al </w:t>
      </w:r>
      <w:r>
        <w:rPr>
          <w:color w:val="231F20"/>
        </w:rPr>
        <w:t>intentar conseguir información para la elaboración de este trabajo, la solicitud directa en oficinas resultó improductiva pues justificaban la negación de la información por la inexistencia de los documentos       o por tratarse de información restringida cuando la ley la marca como pública. La de- ficiencia de la vía escrita es que no se cumple en el tiempo establecido. </w:t>
      </w:r>
      <w:r>
        <w:rPr>
          <w:color w:val="231F20"/>
          <w:spacing w:val="-3"/>
        </w:rPr>
        <w:t>Por </w:t>
      </w:r>
      <w:r>
        <w:rPr>
          <w:color w:val="231F20"/>
        </w:rPr>
        <w:t>medio del portal  electrónico  jamás  hubo</w:t>
      </w:r>
      <w:r>
        <w:rPr>
          <w:color w:val="231F20"/>
          <w:spacing w:val="-4"/>
        </w:rPr>
        <w:t> </w:t>
      </w:r>
      <w:r>
        <w:rPr>
          <w:color w:val="231F20"/>
        </w:rPr>
        <w:t>respuesta.</w:t>
      </w:r>
    </w:p>
    <w:p>
      <w:pPr>
        <w:pStyle w:val="BodyText"/>
        <w:spacing w:before="1"/>
        <w:rPr>
          <w:sz w:val="20"/>
        </w:rPr>
      </w:pPr>
    </w:p>
    <w:p>
      <w:pPr>
        <w:pStyle w:val="Heading4"/>
        <w:rPr>
          <w:i/>
        </w:rPr>
      </w:pPr>
      <w:r>
        <w:rPr>
          <w:i/>
          <w:color w:val="231F20"/>
          <w:w w:val="105"/>
        </w:rPr>
        <w:t>Obras públicas e infraestructura social</w:t>
      </w:r>
    </w:p>
    <w:p>
      <w:pPr>
        <w:pStyle w:val="BodyText"/>
        <w:spacing w:before="17"/>
        <w:ind w:left="110"/>
        <w:jc w:val="both"/>
      </w:pP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obra</w:t>
      </w:r>
      <w:r>
        <w:rPr>
          <w:color w:val="231F20"/>
          <w:spacing w:val="-16"/>
          <w:w w:val="105"/>
        </w:rPr>
        <w:t> </w:t>
      </w:r>
      <w:r>
        <w:rPr>
          <w:color w:val="231F20"/>
          <w:w w:val="105"/>
        </w:rPr>
        <w:t>pública</w:t>
      </w:r>
      <w:r>
        <w:rPr>
          <w:color w:val="231F20"/>
          <w:spacing w:val="-16"/>
          <w:w w:val="105"/>
        </w:rPr>
        <w:t> </w:t>
      </w:r>
      <w:r>
        <w:rPr>
          <w:color w:val="231F20"/>
          <w:w w:val="105"/>
        </w:rPr>
        <w:t>una</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principales</w:t>
      </w:r>
      <w:r>
        <w:rPr>
          <w:color w:val="231F20"/>
          <w:spacing w:val="-16"/>
          <w:w w:val="105"/>
        </w:rPr>
        <w:t> </w:t>
      </w:r>
      <w:r>
        <w:rPr>
          <w:color w:val="231F20"/>
          <w:w w:val="105"/>
        </w:rPr>
        <w:t>tareas</w:t>
      </w:r>
      <w:r>
        <w:rPr>
          <w:color w:val="231F20"/>
          <w:spacing w:val="-16"/>
          <w:w w:val="105"/>
        </w:rPr>
        <w:t> </w:t>
      </w:r>
      <w:r>
        <w:rPr>
          <w:color w:val="231F20"/>
          <w:w w:val="105"/>
        </w:rPr>
        <w:t>del</w:t>
      </w:r>
      <w:r>
        <w:rPr>
          <w:color w:val="231F20"/>
          <w:spacing w:val="-16"/>
          <w:w w:val="105"/>
        </w:rPr>
        <w:t> </w:t>
      </w:r>
      <w:r>
        <w:rPr>
          <w:color w:val="231F20"/>
          <w:w w:val="105"/>
        </w:rPr>
        <w:t>gobierno</w:t>
      </w:r>
      <w:r>
        <w:rPr>
          <w:color w:val="231F20"/>
          <w:spacing w:val="-16"/>
          <w:w w:val="105"/>
        </w:rPr>
        <w:t> </w:t>
      </w:r>
      <w:r>
        <w:rPr>
          <w:color w:val="231F20"/>
          <w:w w:val="105"/>
        </w:rPr>
        <w:t>municipal</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encuentra</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contemplada en la Constitución Mexicana, en leyes federales y en las constituciones locales,</w:t>
      </w:r>
      <w:r>
        <w:rPr>
          <w:color w:val="231F20"/>
          <w:spacing w:val="-21"/>
          <w:w w:val="105"/>
        </w:rPr>
        <w:t> </w:t>
      </w:r>
      <w:r>
        <w:rPr>
          <w:color w:val="231F20"/>
          <w:w w:val="105"/>
        </w:rPr>
        <w:t>y</w:t>
      </w:r>
      <w:r>
        <w:rPr>
          <w:color w:val="231F20"/>
          <w:spacing w:val="-21"/>
          <w:w w:val="105"/>
        </w:rPr>
        <w:t> </w:t>
      </w:r>
      <w:r>
        <w:rPr>
          <w:color w:val="231F20"/>
          <w:w w:val="105"/>
        </w:rPr>
        <w:t>que</w:t>
      </w:r>
      <w:r>
        <w:rPr>
          <w:color w:val="231F20"/>
          <w:spacing w:val="-21"/>
          <w:w w:val="105"/>
        </w:rPr>
        <w:t> </w:t>
      </w:r>
      <w:r>
        <w:rPr>
          <w:color w:val="231F20"/>
          <w:w w:val="105"/>
        </w:rPr>
        <w:t>contiene</w:t>
      </w:r>
      <w:r>
        <w:rPr>
          <w:color w:val="231F20"/>
          <w:spacing w:val="-21"/>
          <w:w w:val="105"/>
        </w:rPr>
        <w:t> </w:t>
      </w:r>
      <w:r>
        <w:rPr>
          <w:color w:val="231F20"/>
          <w:w w:val="105"/>
        </w:rPr>
        <w:t>de</w:t>
      </w:r>
      <w:r>
        <w:rPr>
          <w:color w:val="231F20"/>
          <w:spacing w:val="-21"/>
          <w:w w:val="105"/>
        </w:rPr>
        <w:t> </w:t>
      </w:r>
      <w:r>
        <w:rPr>
          <w:color w:val="231F20"/>
          <w:spacing w:val="-3"/>
          <w:w w:val="105"/>
        </w:rPr>
        <w:t>fondo</w:t>
      </w:r>
      <w:r>
        <w:rPr>
          <w:color w:val="231F20"/>
          <w:spacing w:val="-21"/>
          <w:w w:val="105"/>
        </w:rPr>
        <w:t> </w:t>
      </w:r>
      <w:r>
        <w:rPr>
          <w:color w:val="231F20"/>
          <w:w w:val="105"/>
        </w:rPr>
        <w:t>el</w:t>
      </w:r>
      <w:r>
        <w:rPr>
          <w:color w:val="231F20"/>
          <w:spacing w:val="-21"/>
          <w:w w:val="105"/>
        </w:rPr>
        <w:t> </w:t>
      </w:r>
      <w:r>
        <w:rPr>
          <w:color w:val="231F20"/>
          <w:w w:val="105"/>
        </w:rPr>
        <w:t>objetivo</w:t>
      </w:r>
      <w:r>
        <w:rPr>
          <w:color w:val="231F20"/>
          <w:spacing w:val="-21"/>
          <w:w w:val="105"/>
        </w:rPr>
        <w:t> </w:t>
      </w:r>
      <w:r>
        <w:rPr>
          <w:color w:val="231F20"/>
          <w:w w:val="105"/>
        </w:rPr>
        <w:t>de</w:t>
      </w:r>
      <w:r>
        <w:rPr>
          <w:color w:val="231F20"/>
          <w:spacing w:val="-21"/>
          <w:w w:val="105"/>
        </w:rPr>
        <w:t> </w:t>
      </w:r>
      <w:r>
        <w:rPr>
          <w:color w:val="231F20"/>
          <w:w w:val="105"/>
        </w:rPr>
        <w:t>mejorar</w:t>
      </w:r>
      <w:r>
        <w:rPr>
          <w:color w:val="231F20"/>
          <w:spacing w:val="-21"/>
          <w:w w:val="105"/>
        </w:rPr>
        <w:t> </w:t>
      </w:r>
      <w:r>
        <w:rPr>
          <w:color w:val="231F20"/>
          <w:w w:val="105"/>
        </w:rPr>
        <w:t>las</w:t>
      </w:r>
      <w:r>
        <w:rPr>
          <w:color w:val="231F20"/>
          <w:spacing w:val="-21"/>
          <w:w w:val="105"/>
        </w:rPr>
        <w:t> </w:t>
      </w:r>
      <w:r>
        <w:rPr>
          <w:color w:val="231F20"/>
          <w:w w:val="105"/>
        </w:rPr>
        <w:t>condiciones</w:t>
      </w:r>
      <w:r>
        <w:rPr>
          <w:color w:val="231F20"/>
          <w:spacing w:val="-21"/>
          <w:w w:val="105"/>
        </w:rPr>
        <w:t> </w:t>
      </w:r>
      <w:r>
        <w:rPr>
          <w:color w:val="231F20"/>
          <w:w w:val="105"/>
        </w:rPr>
        <w:t>para</w:t>
      </w:r>
      <w:r>
        <w:rPr>
          <w:color w:val="231F20"/>
          <w:spacing w:val="-21"/>
          <w:w w:val="105"/>
        </w:rPr>
        <w:t> </w:t>
      </w:r>
      <w:r>
        <w:rPr>
          <w:color w:val="231F20"/>
          <w:w w:val="105"/>
        </w:rPr>
        <w:t>el</w:t>
      </w:r>
      <w:r>
        <w:rPr>
          <w:color w:val="231F20"/>
          <w:spacing w:val="-21"/>
          <w:w w:val="105"/>
        </w:rPr>
        <w:t> </w:t>
      </w:r>
      <w:r>
        <w:rPr>
          <w:color w:val="231F20"/>
          <w:w w:val="105"/>
        </w:rPr>
        <w:t>desarrollo social (para la provisión de servicios públicos como abasto de alimentos, educación y salud),</w:t>
      </w:r>
      <w:r>
        <w:rPr>
          <w:color w:val="231F20"/>
          <w:spacing w:val="-6"/>
          <w:w w:val="105"/>
        </w:rPr>
        <w:t> </w:t>
      </w:r>
      <w:r>
        <w:rPr>
          <w:color w:val="231F20"/>
          <w:w w:val="105"/>
        </w:rPr>
        <w:t>económico</w:t>
      </w:r>
      <w:r>
        <w:rPr>
          <w:color w:val="231F20"/>
          <w:spacing w:val="-6"/>
          <w:w w:val="105"/>
        </w:rPr>
        <w:t> </w:t>
      </w:r>
      <w:r>
        <w:rPr>
          <w:color w:val="231F20"/>
          <w:w w:val="105"/>
        </w:rPr>
        <w:t>(la</w:t>
      </w:r>
      <w:r>
        <w:rPr>
          <w:color w:val="231F20"/>
          <w:spacing w:val="-6"/>
          <w:w w:val="105"/>
        </w:rPr>
        <w:t> </w:t>
      </w:r>
      <w:r>
        <w:rPr>
          <w:color w:val="231F20"/>
          <w:w w:val="105"/>
        </w:rPr>
        <w:t>construcción</w:t>
      </w:r>
      <w:r>
        <w:rPr>
          <w:color w:val="231F20"/>
          <w:spacing w:val="-6"/>
          <w:w w:val="105"/>
        </w:rPr>
        <w:t> </w:t>
      </w:r>
      <w:r>
        <w:rPr>
          <w:color w:val="231F20"/>
          <w:w w:val="105"/>
        </w:rPr>
        <w:t>de</w:t>
      </w:r>
      <w:r>
        <w:rPr>
          <w:color w:val="231F20"/>
          <w:spacing w:val="-6"/>
          <w:w w:val="105"/>
        </w:rPr>
        <w:t> </w:t>
      </w:r>
      <w:r>
        <w:rPr>
          <w:color w:val="231F20"/>
          <w:w w:val="105"/>
        </w:rPr>
        <w:t>carreteras</w:t>
      </w:r>
      <w:r>
        <w:rPr>
          <w:color w:val="231F20"/>
          <w:spacing w:val="-6"/>
          <w:w w:val="105"/>
        </w:rPr>
        <w:t> </w:t>
      </w:r>
      <w:r>
        <w:rPr>
          <w:color w:val="231F20"/>
          <w:w w:val="105"/>
        </w:rPr>
        <w:t>caminos</w:t>
      </w:r>
      <w:r>
        <w:rPr>
          <w:color w:val="231F20"/>
          <w:spacing w:val="-6"/>
          <w:w w:val="105"/>
        </w:rPr>
        <w:t> </w:t>
      </w:r>
      <w:r>
        <w:rPr>
          <w:color w:val="231F20"/>
          <w:w w:val="105"/>
        </w:rPr>
        <w:t>y</w:t>
      </w:r>
      <w:r>
        <w:rPr>
          <w:color w:val="231F20"/>
          <w:spacing w:val="-6"/>
          <w:w w:val="105"/>
        </w:rPr>
        <w:t> </w:t>
      </w:r>
      <w:r>
        <w:rPr>
          <w:color w:val="231F20"/>
          <w:w w:val="105"/>
        </w:rPr>
        <w:t>puentes</w:t>
      </w:r>
      <w:r>
        <w:rPr>
          <w:color w:val="231F20"/>
          <w:spacing w:val="-6"/>
          <w:w w:val="105"/>
        </w:rPr>
        <w:t> </w:t>
      </w:r>
      <w:r>
        <w:rPr>
          <w:color w:val="231F20"/>
          <w:w w:val="105"/>
        </w:rPr>
        <w:t>que</w:t>
      </w:r>
      <w:r>
        <w:rPr>
          <w:color w:val="231F20"/>
          <w:spacing w:val="-6"/>
          <w:w w:val="105"/>
        </w:rPr>
        <w:t> </w:t>
      </w:r>
      <w:r>
        <w:rPr>
          <w:color w:val="231F20"/>
          <w:w w:val="105"/>
        </w:rPr>
        <w:t>conecten</w:t>
      </w:r>
      <w:r>
        <w:rPr>
          <w:color w:val="231F20"/>
          <w:spacing w:val="-6"/>
          <w:w w:val="105"/>
        </w:rPr>
        <w:t> </w:t>
      </w:r>
      <w:r>
        <w:rPr>
          <w:color w:val="231F20"/>
          <w:w w:val="105"/>
        </w:rPr>
        <w:t>a</w:t>
      </w:r>
      <w:r>
        <w:rPr>
          <w:color w:val="231F20"/>
          <w:spacing w:val="-6"/>
          <w:w w:val="105"/>
        </w:rPr>
        <w:t> </w:t>
      </w:r>
      <w:r>
        <w:rPr>
          <w:color w:val="231F20"/>
          <w:w w:val="105"/>
        </w:rPr>
        <w:t>las regiones</w:t>
      </w:r>
      <w:r>
        <w:rPr>
          <w:color w:val="231F20"/>
          <w:spacing w:val="-7"/>
          <w:w w:val="105"/>
        </w:rPr>
        <w:t> </w:t>
      </w:r>
      <w:r>
        <w:rPr>
          <w:color w:val="231F20"/>
          <w:w w:val="105"/>
        </w:rPr>
        <w:t>para</w:t>
      </w:r>
      <w:r>
        <w:rPr>
          <w:color w:val="231F20"/>
          <w:spacing w:val="-7"/>
          <w:w w:val="105"/>
        </w:rPr>
        <w:t> </w:t>
      </w:r>
      <w:r>
        <w:rPr>
          <w:color w:val="231F20"/>
          <w:w w:val="105"/>
        </w:rPr>
        <w:t>aumentar</w:t>
      </w:r>
      <w:r>
        <w:rPr>
          <w:color w:val="231F20"/>
          <w:spacing w:val="-7"/>
          <w:w w:val="105"/>
        </w:rPr>
        <w:t> </w:t>
      </w:r>
      <w:r>
        <w:rPr>
          <w:color w:val="231F20"/>
          <w:w w:val="105"/>
        </w:rPr>
        <w:t>el</w:t>
      </w:r>
      <w:r>
        <w:rPr>
          <w:color w:val="231F20"/>
          <w:spacing w:val="-7"/>
          <w:w w:val="105"/>
        </w:rPr>
        <w:t> </w:t>
      </w:r>
      <w:r>
        <w:rPr>
          <w:color w:val="231F20"/>
          <w:w w:val="105"/>
        </w:rPr>
        <w:t>intercambio</w:t>
      </w:r>
      <w:r>
        <w:rPr>
          <w:color w:val="231F20"/>
          <w:spacing w:val="-7"/>
          <w:w w:val="105"/>
        </w:rPr>
        <w:t> </w:t>
      </w:r>
      <w:r>
        <w:rPr>
          <w:color w:val="231F20"/>
          <w:w w:val="105"/>
        </w:rPr>
        <w:t>comercial</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inversión</w:t>
      </w:r>
      <w:r>
        <w:rPr>
          <w:color w:val="231F20"/>
          <w:spacing w:val="-7"/>
          <w:w w:val="105"/>
        </w:rPr>
        <w:t> </w:t>
      </w:r>
      <w:r>
        <w:rPr>
          <w:color w:val="231F20"/>
          <w:w w:val="105"/>
        </w:rPr>
        <w:t>privada,</w:t>
      </w:r>
      <w:r>
        <w:rPr>
          <w:color w:val="231F20"/>
          <w:spacing w:val="-7"/>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vez </w:t>
      </w:r>
      <w:r>
        <w:rPr>
          <w:color w:val="231F20"/>
          <w:spacing w:val="-3"/>
          <w:w w:val="105"/>
        </w:rPr>
        <w:t>genere </w:t>
      </w:r>
      <w:r>
        <w:rPr>
          <w:color w:val="231F20"/>
          <w:w w:val="105"/>
        </w:rPr>
        <w:t>empleo y capacidad de adquisición de bienes y </w:t>
      </w:r>
      <w:r>
        <w:rPr>
          <w:color w:val="231F20"/>
          <w:spacing w:val="-3"/>
          <w:w w:val="105"/>
        </w:rPr>
        <w:t>productos) </w:t>
      </w:r>
      <w:r>
        <w:rPr>
          <w:color w:val="231F20"/>
          <w:w w:val="105"/>
        </w:rPr>
        <w:t>y deportivo-cultural </w:t>
      </w:r>
      <w:r>
        <w:rPr>
          <w:color w:val="231F20"/>
          <w:spacing w:val="-6"/>
          <w:w w:val="105"/>
        </w:rPr>
        <w:t>(a </w:t>
      </w:r>
      <w:r>
        <w:rPr>
          <w:color w:val="231F20"/>
          <w:w w:val="105"/>
        </w:rPr>
        <w:t>través de la construcción de espacios públicos de recreación y de </w:t>
      </w:r>
      <w:r>
        <w:rPr>
          <w:color w:val="231F20"/>
          <w:spacing w:val="-3"/>
          <w:w w:val="105"/>
        </w:rPr>
        <w:t>fomento </w:t>
      </w:r>
      <w:r>
        <w:rPr>
          <w:color w:val="231F20"/>
          <w:w w:val="105"/>
        </w:rPr>
        <w:t>cultural, como</w:t>
      </w:r>
      <w:r>
        <w:rPr>
          <w:color w:val="231F20"/>
          <w:spacing w:val="-13"/>
          <w:w w:val="105"/>
        </w:rPr>
        <w:t> </w:t>
      </w:r>
      <w:r>
        <w:rPr>
          <w:color w:val="231F20"/>
          <w:w w:val="105"/>
        </w:rPr>
        <w:t>canchas</w:t>
      </w:r>
      <w:r>
        <w:rPr>
          <w:color w:val="231F20"/>
          <w:spacing w:val="-13"/>
          <w:w w:val="105"/>
        </w:rPr>
        <w:t> </w:t>
      </w:r>
      <w:r>
        <w:rPr>
          <w:color w:val="231F20"/>
          <w:w w:val="105"/>
        </w:rPr>
        <w:t>deportivas,</w:t>
      </w:r>
      <w:r>
        <w:rPr>
          <w:color w:val="231F20"/>
          <w:spacing w:val="-13"/>
          <w:w w:val="105"/>
        </w:rPr>
        <w:t> </w:t>
      </w:r>
      <w:r>
        <w:rPr>
          <w:color w:val="231F20"/>
          <w:w w:val="105"/>
        </w:rPr>
        <w:t>parques,</w:t>
      </w:r>
      <w:r>
        <w:rPr>
          <w:color w:val="231F20"/>
          <w:spacing w:val="-13"/>
          <w:w w:val="105"/>
        </w:rPr>
        <w:t> </w:t>
      </w:r>
      <w:r>
        <w:rPr>
          <w:color w:val="231F20"/>
          <w:w w:val="105"/>
        </w:rPr>
        <w:t>jardines,</w:t>
      </w:r>
      <w:r>
        <w:rPr>
          <w:color w:val="231F20"/>
          <w:spacing w:val="-13"/>
          <w:w w:val="105"/>
        </w:rPr>
        <w:t> </w:t>
      </w:r>
      <w:r>
        <w:rPr>
          <w:color w:val="231F20"/>
          <w:w w:val="105"/>
        </w:rPr>
        <w:t>teatros,</w:t>
      </w:r>
      <w:r>
        <w:rPr>
          <w:color w:val="231F20"/>
          <w:spacing w:val="-13"/>
          <w:w w:val="105"/>
        </w:rPr>
        <w:t> </w:t>
      </w:r>
      <w:r>
        <w:rPr>
          <w:color w:val="231F20"/>
          <w:w w:val="105"/>
        </w:rPr>
        <w:t>etcétera).</w:t>
      </w:r>
    </w:p>
    <w:p>
      <w:pPr>
        <w:pStyle w:val="BodyText"/>
        <w:spacing w:before="1"/>
        <w:rPr>
          <w:sz w:val="26"/>
        </w:rPr>
      </w:pPr>
    </w:p>
    <w:p>
      <w:pPr>
        <w:pStyle w:val="BodyText"/>
        <w:spacing w:line="285" w:lineRule="auto"/>
        <w:ind w:left="110" w:right="108"/>
        <w:jc w:val="both"/>
      </w:pPr>
      <w:r>
        <w:rPr>
          <w:color w:val="231F20"/>
        </w:rPr>
        <w:t>El recurso destinado a este rubro en el gobierno de </w:t>
      </w:r>
      <w:r>
        <w:rPr>
          <w:color w:val="231F20"/>
          <w:spacing w:val="-3"/>
        </w:rPr>
        <w:t>Vergara </w:t>
      </w:r>
      <w:r>
        <w:rPr>
          <w:color w:val="231F20"/>
        </w:rPr>
        <w:t>Cruz estuvo subsidiado en    su mayoría con recursos estatales a través del Programa de Apoyo ala Gasto de </w:t>
      </w:r>
      <w:r>
        <w:rPr>
          <w:color w:val="231F20"/>
          <w:spacing w:val="-3"/>
        </w:rPr>
        <w:t>Inver-  </w:t>
      </w:r>
      <w:r>
        <w:rPr>
          <w:color w:val="231F20"/>
        </w:rPr>
        <w:t>sión de los Municipios </w:t>
      </w:r>
      <w:r>
        <w:rPr>
          <w:color w:val="231F20"/>
          <w:spacing w:val="-5"/>
        </w:rPr>
        <w:t>(PAGIM) </w:t>
      </w:r>
      <w:r>
        <w:rPr>
          <w:color w:val="231F20"/>
        </w:rPr>
        <w:t>y Gasto de Inversión Sectorial </w:t>
      </w:r>
      <w:r>
        <w:rPr>
          <w:color w:val="231F20"/>
          <w:spacing w:val="-4"/>
        </w:rPr>
        <w:t>(GIS), </w:t>
      </w:r>
      <w:r>
        <w:rPr>
          <w:color w:val="231F20"/>
        </w:rPr>
        <w:t>y federal a través del Programa para la Fiscalización del Gasto Federalizado (FORTAMUN), </w:t>
      </w:r>
      <w:r>
        <w:rPr>
          <w:color w:val="231F20"/>
          <w:spacing w:val="-3"/>
        </w:rPr>
        <w:t>Fondo  </w:t>
      </w:r>
      <w:r>
        <w:rPr>
          <w:color w:val="231F20"/>
        </w:rPr>
        <w:t>para   la Infraestructura Social Municipal FISM y Hábitat, este último atraído por primera vez  </w:t>
      </w:r>
      <w:r>
        <w:rPr>
          <w:color w:val="231F20"/>
          <w:spacing w:val="2"/>
        </w:rPr>
        <w:t>al </w:t>
      </w:r>
      <w:r>
        <w:rPr>
          <w:color w:val="231F20"/>
        </w:rPr>
        <w:t>municipio y a la</w:t>
      </w:r>
      <w:r>
        <w:rPr>
          <w:color w:val="231F20"/>
          <w:spacing w:val="20"/>
        </w:rPr>
        <w:t> </w:t>
      </w:r>
      <w:r>
        <w:rPr>
          <w:color w:val="231F20"/>
        </w:rPr>
        <w:t>región.</w:t>
      </w:r>
    </w:p>
    <w:p>
      <w:pPr>
        <w:pStyle w:val="BodyText"/>
        <w:spacing w:before="1"/>
        <w:rPr>
          <w:sz w:val="26"/>
        </w:rPr>
      </w:pPr>
    </w:p>
    <w:p>
      <w:pPr>
        <w:pStyle w:val="BodyText"/>
        <w:spacing w:line="285" w:lineRule="auto"/>
        <w:ind w:left="110" w:right="108"/>
        <w:jc w:val="both"/>
      </w:pPr>
      <w:r>
        <w:rPr>
          <w:color w:val="231F20"/>
          <w:w w:val="105"/>
        </w:rPr>
        <w:t>Como</w:t>
      </w:r>
      <w:r>
        <w:rPr>
          <w:color w:val="231F20"/>
          <w:spacing w:val="-23"/>
          <w:w w:val="105"/>
        </w:rPr>
        <w:t> </w:t>
      </w:r>
      <w:r>
        <w:rPr>
          <w:color w:val="231F20"/>
          <w:w w:val="105"/>
        </w:rPr>
        <w:t>se</w:t>
      </w:r>
      <w:r>
        <w:rPr>
          <w:color w:val="231F20"/>
          <w:spacing w:val="-23"/>
          <w:w w:val="105"/>
        </w:rPr>
        <w:t> </w:t>
      </w:r>
      <w:r>
        <w:rPr>
          <w:color w:val="231F20"/>
          <w:w w:val="105"/>
        </w:rPr>
        <w:t>ha</w:t>
      </w:r>
      <w:r>
        <w:rPr>
          <w:color w:val="231F20"/>
          <w:spacing w:val="-23"/>
          <w:w w:val="105"/>
        </w:rPr>
        <w:t> </w:t>
      </w:r>
      <w:r>
        <w:rPr>
          <w:color w:val="231F20"/>
          <w:w w:val="105"/>
        </w:rPr>
        <w:t>sostenido,</w:t>
      </w:r>
      <w:r>
        <w:rPr>
          <w:color w:val="231F20"/>
          <w:spacing w:val="-23"/>
          <w:w w:val="105"/>
        </w:rPr>
        <w:t> </w:t>
      </w:r>
      <w:r>
        <w:rPr>
          <w:color w:val="231F20"/>
          <w:w w:val="105"/>
        </w:rPr>
        <w:t>el</w:t>
      </w:r>
      <w:r>
        <w:rPr>
          <w:color w:val="231F20"/>
          <w:spacing w:val="-23"/>
          <w:w w:val="105"/>
        </w:rPr>
        <w:t> </w:t>
      </w:r>
      <w:r>
        <w:rPr>
          <w:color w:val="231F20"/>
          <w:w w:val="105"/>
        </w:rPr>
        <w:t>isomorfismo</w:t>
      </w:r>
      <w:r>
        <w:rPr>
          <w:color w:val="231F20"/>
          <w:spacing w:val="-23"/>
          <w:w w:val="105"/>
        </w:rPr>
        <w:t> </w:t>
      </w:r>
      <w:r>
        <w:rPr>
          <w:color w:val="231F20"/>
          <w:w w:val="105"/>
        </w:rPr>
        <w:t>institucional</w:t>
      </w:r>
      <w:r>
        <w:rPr>
          <w:color w:val="231F20"/>
          <w:spacing w:val="-23"/>
          <w:w w:val="105"/>
        </w:rPr>
        <w:t> </w:t>
      </w:r>
      <w:r>
        <w:rPr>
          <w:color w:val="231F20"/>
          <w:spacing w:val="-3"/>
          <w:w w:val="105"/>
        </w:rPr>
        <w:t>homologa</w:t>
      </w:r>
      <w:r>
        <w:rPr>
          <w:color w:val="231F20"/>
          <w:spacing w:val="-23"/>
          <w:w w:val="105"/>
        </w:rPr>
        <w:t> </w:t>
      </w:r>
      <w:r>
        <w:rPr>
          <w:color w:val="231F20"/>
          <w:w w:val="105"/>
        </w:rPr>
        <w:t>acciones</w:t>
      </w:r>
      <w:r>
        <w:rPr>
          <w:color w:val="231F20"/>
          <w:spacing w:val="-23"/>
          <w:w w:val="105"/>
        </w:rPr>
        <w:t> </w:t>
      </w:r>
      <w:r>
        <w:rPr>
          <w:color w:val="231F20"/>
          <w:w w:val="105"/>
        </w:rPr>
        <w:t>y</w:t>
      </w:r>
      <w:r>
        <w:rPr>
          <w:color w:val="231F20"/>
          <w:spacing w:val="-23"/>
          <w:w w:val="105"/>
        </w:rPr>
        <w:t> </w:t>
      </w:r>
      <w:r>
        <w:rPr>
          <w:color w:val="231F20"/>
          <w:w w:val="105"/>
        </w:rPr>
        <w:t>establece</w:t>
      </w:r>
      <w:r>
        <w:rPr>
          <w:color w:val="231F20"/>
          <w:spacing w:val="-23"/>
          <w:w w:val="105"/>
        </w:rPr>
        <w:t> </w:t>
      </w:r>
      <w:r>
        <w:rPr>
          <w:color w:val="231F20"/>
          <w:w w:val="105"/>
        </w:rPr>
        <w:t>crite- rios</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presentación,</w:t>
      </w:r>
      <w:r>
        <w:rPr>
          <w:color w:val="231F20"/>
          <w:spacing w:val="-15"/>
          <w:w w:val="105"/>
        </w:rPr>
        <w:t> </w:t>
      </w:r>
      <w:r>
        <w:rPr>
          <w:color w:val="231F20"/>
          <w:w w:val="105"/>
        </w:rPr>
        <w:t>no</w:t>
      </w:r>
      <w:r>
        <w:rPr>
          <w:color w:val="231F20"/>
          <w:spacing w:val="-15"/>
          <w:w w:val="105"/>
        </w:rPr>
        <w:t> </w:t>
      </w:r>
      <w:r>
        <w:rPr>
          <w:color w:val="231F20"/>
          <w:w w:val="105"/>
        </w:rPr>
        <w:t>solo</w:t>
      </w:r>
      <w:r>
        <w:rPr>
          <w:color w:val="231F20"/>
          <w:spacing w:val="-15"/>
          <w:w w:val="105"/>
        </w:rPr>
        <w:t> </w:t>
      </w:r>
      <w:r>
        <w:rPr>
          <w:color w:val="231F20"/>
          <w:w w:val="105"/>
        </w:rPr>
        <w:t>de</w:t>
      </w:r>
      <w:r>
        <w:rPr>
          <w:color w:val="231F20"/>
          <w:spacing w:val="-15"/>
          <w:w w:val="105"/>
        </w:rPr>
        <w:t> </w:t>
      </w:r>
      <w:r>
        <w:rPr>
          <w:color w:val="231F20"/>
          <w:w w:val="105"/>
        </w:rPr>
        <w:t>documentos</w:t>
      </w:r>
      <w:r>
        <w:rPr>
          <w:color w:val="231F20"/>
          <w:spacing w:val="-15"/>
          <w:w w:val="105"/>
        </w:rPr>
        <w:t> </w:t>
      </w:r>
      <w:r>
        <w:rPr>
          <w:color w:val="231F20"/>
          <w:w w:val="105"/>
        </w:rPr>
        <w:t>como</w:t>
      </w:r>
      <w:r>
        <w:rPr>
          <w:color w:val="231F20"/>
          <w:spacing w:val="-15"/>
          <w:w w:val="105"/>
        </w:rPr>
        <w:t> </w:t>
      </w:r>
      <w:r>
        <w:rPr>
          <w:color w:val="231F20"/>
          <w:w w:val="105"/>
        </w:rPr>
        <w:t>el</w:t>
      </w:r>
      <w:r>
        <w:rPr>
          <w:color w:val="231F20"/>
          <w:spacing w:val="-15"/>
          <w:w w:val="105"/>
        </w:rPr>
        <w:t> </w:t>
      </w:r>
      <w:r>
        <w:rPr>
          <w:color w:val="231F20"/>
          <w:w w:val="105"/>
        </w:rPr>
        <w:t>Plan</w:t>
      </w:r>
      <w:r>
        <w:rPr>
          <w:color w:val="231F20"/>
          <w:spacing w:val="-15"/>
          <w:w w:val="105"/>
        </w:rPr>
        <w:t> </w:t>
      </w:r>
      <w:r>
        <w:rPr>
          <w:color w:val="231F20"/>
          <w:w w:val="105"/>
        </w:rPr>
        <w:t>Municipal</w:t>
      </w:r>
      <w:r>
        <w:rPr>
          <w:color w:val="231F20"/>
          <w:spacing w:val="-15"/>
          <w:w w:val="105"/>
        </w:rPr>
        <w:t> </w:t>
      </w:r>
      <w:r>
        <w:rPr>
          <w:color w:val="231F20"/>
          <w:w w:val="105"/>
        </w:rPr>
        <w:t>o</w:t>
      </w:r>
      <w:r>
        <w:rPr>
          <w:color w:val="231F20"/>
          <w:spacing w:val="-15"/>
          <w:w w:val="105"/>
        </w:rPr>
        <w:t> </w:t>
      </w:r>
      <w:r>
        <w:rPr>
          <w:color w:val="231F20"/>
          <w:w w:val="105"/>
        </w:rPr>
        <w:t>Bando,</w:t>
      </w:r>
      <w:r>
        <w:rPr>
          <w:color w:val="231F20"/>
          <w:spacing w:val="-15"/>
          <w:w w:val="105"/>
        </w:rPr>
        <w:t> </w:t>
      </w:r>
      <w:r>
        <w:rPr>
          <w:color w:val="231F20"/>
          <w:w w:val="105"/>
        </w:rPr>
        <w:t>sino también</w:t>
      </w:r>
      <w:r>
        <w:rPr>
          <w:color w:val="231F20"/>
          <w:spacing w:val="-21"/>
          <w:w w:val="105"/>
        </w:rPr>
        <w:t> </w:t>
      </w:r>
      <w:r>
        <w:rPr>
          <w:color w:val="231F20"/>
          <w:w w:val="105"/>
        </w:rPr>
        <w:t>fija</w:t>
      </w:r>
      <w:r>
        <w:rPr>
          <w:color w:val="231F20"/>
          <w:spacing w:val="-21"/>
          <w:w w:val="105"/>
        </w:rPr>
        <w:t> </w:t>
      </w:r>
      <w:r>
        <w:rPr>
          <w:color w:val="231F20"/>
          <w:w w:val="105"/>
        </w:rPr>
        <w:t>parámetros</w:t>
      </w:r>
      <w:r>
        <w:rPr>
          <w:color w:val="231F20"/>
          <w:spacing w:val="-21"/>
          <w:w w:val="105"/>
        </w:rPr>
        <w:t> </w:t>
      </w:r>
      <w:r>
        <w:rPr>
          <w:color w:val="231F20"/>
          <w:w w:val="105"/>
        </w:rPr>
        <w:t>deseables</w:t>
      </w:r>
      <w:r>
        <w:rPr>
          <w:color w:val="231F20"/>
          <w:spacing w:val="-21"/>
          <w:w w:val="105"/>
        </w:rPr>
        <w:t> </w:t>
      </w:r>
      <w:r>
        <w:rPr>
          <w:color w:val="231F20"/>
          <w:w w:val="105"/>
        </w:rPr>
        <w:t>para</w:t>
      </w:r>
      <w:r>
        <w:rPr>
          <w:color w:val="231F20"/>
          <w:spacing w:val="-21"/>
          <w:w w:val="105"/>
        </w:rPr>
        <w:t> </w:t>
      </w:r>
      <w:r>
        <w:rPr>
          <w:color w:val="231F20"/>
          <w:w w:val="105"/>
        </w:rPr>
        <w:t>el</w:t>
      </w:r>
      <w:r>
        <w:rPr>
          <w:color w:val="231F20"/>
          <w:spacing w:val="-21"/>
          <w:w w:val="105"/>
        </w:rPr>
        <w:t> </w:t>
      </w:r>
      <w:r>
        <w:rPr>
          <w:color w:val="231F20"/>
          <w:w w:val="105"/>
        </w:rPr>
        <w:t>ejercicio</w:t>
      </w:r>
      <w:r>
        <w:rPr>
          <w:color w:val="231F20"/>
          <w:spacing w:val="-21"/>
          <w:w w:val="105"/>
        </w:rPr>
        <w:t> </w:t>
      </w:r>
      <w:r>
        <w:rPr>
          <w:color w:val="231F20"/>
          <w:w w:val="105"/>
        </w:rPr>
        <w:t>público.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caso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obra</w:t>
      </w:r>
      <w:r>
        <w:rPr>
          <w:color w:val="231F20"/>
          <w:spacing w:val="-21"/>
          <w:w w:val="105"/>
        </w:rPr>
        <w:t> </w:t>
      </w:r>
      <w:r>
        <w:rPr>
          <w:color w:val="231F20"/>
          <w:w w:val="105"/>
        </w:rPr>
        <w:t>pública es SEDESOL la que determina la norma oficial a la que deben de comprometerse los </w:t>
      </w:r>
      <w:r>
        <w:rPr>
          <w:color w:val="231F20"/>
        </w:rPr>
        <w:t>gobiernos</w:t>
      </w:r>
      <w:r>
        <w:rPr>
          <w:color w:val="231F20"/>
          <w:spacing w:val="54"/>
        </w:rPr>
        <w:t> </w:t>
      </w:r>
      <w:r>
        <w:rPr>
          <w:color w:val="231F20"/>
        </w:rPr>
        <w:t>municipales.</w:t>
      </w:r>
    </w:p>
    <w:p>
      <w:pPr>
        <w:spacing w:after="0" w:line="285" w:lineRule="auto"/>
        <w:jc w:val="both"/>
        <w:sectPr>
          <w:pgSz w:w="9640" w:h="12190"/>
          <w:pgMar w:header="0" w:footer="743" w:top="1120" w:bottom="940" w:left="740" w:right="740"/>
        </w:sectPr>
      </w:pPr>
    </w:p>
    <w:p>
      <w:pPr>
        <w:pStyle w:val="Heading5"/>
        <w:spacing w:line="285" w:lineRule="auto" w:before="27"/>
        <w:ind w:left="934" w:right="-2" w:hanging="733"/>
      </w:pPr>
      <w:r>
        <w:rPr>
          <w:color w:val="231F20"/>
          <w:w w:val="105"/>
        </w:rPr>
        <w:t>Cuadro</w:t>
      </w:r>
      <w:r>
        <w:rPr>
          <w:color w:val="231F20"/>
          <w:spacing w:val="-18"/>
          <w:w w:val="105"/>
        </w:rPr>
        <w:t> </w:t>
      </w:r>
      <w:r>
        <w:rPr>
          <w:color w:val="231F20"/>
          <w:w w:val="105"/>
        </w:rPr>
        <w:t>15.</w:t>
      </w:r>
      <w:r>
        <w:rPr>
          <w:color w:val="231F20"/>
          <w:spacing w:val="-18"/>
          <w:w w:val="105"/>
        </w:rPr>
        <w:t> </w:t>
      </w:r>
      <w:r>
        <w:rPr>
          <w:color w:val="231F20"/>
          <w:w w:val="105"/>
        </w:rPr>
        <w:t>Infraestructura</w:t>
      </w:r>
      <w:r>
        <w:rPr>
          <w:color w:val="231F20"/>
          <w:spacing w:val="-18"/>
          <w:w w:val="105"/>
        </w:rPr>
        <w:t> </w:t>
      </w:r>
      <w:r>
        <w:rPr>
          <w:color w:val="231F20"/>
          <w:w w:val="105"/>
        </w:rPr>
        <w:t>y</w:t>
      </w:r>
      <w:r>
        <w:rPr>
          <w:color w:val="231F20"/>
          <w:spacing w:val="-18"/>
          <w:w w:val="105"/>
        </w:rPr>
        <w:t> </w:t>
      </w:r>
      <w:r>
        <w:rPr>
          <w:color w:val="231F20"/>
          <w:w w:val="105"/>
        </w:rPr>
        <w:t>equipamiento</w:t>
      </w:r>
      <w:r>
        <w:rPr>
          <w:color w:val="231F20"/>
          <w:spacing w:val="-18"/>
          <w:w w:val="105"/>
        </w:rPr>
        <w:t> </w:t>
      </w:r>
      <w:r>
        <w:rPr>
          <w:color w:val="231F20"/>
          <w:w w:val="105"/>
        </w:rPr>
        <w:t>social:</w:t>
      </w:r>
      <w:r>
        <w:rPr>
          <w:color w:val="231F20"/>
          <w:spacing w:val="-18"/>
          <w:w w:val="105"/>
        </w:rPr>
        <w:t> </w:t>
      </w:r>
      <w:r>
        <w:rPr>
          <w:color w:val="231F20"/>
          <w:w w:val="105"/>
        </w:rPr>
        <w:t>Deficiencias,</w:t>
      </w:r>
      <w:r>
        <w:rPr>
          <w:color w:val="231F20"/>
          <w:spacing w:val="-18"/>
          <w:w w:val="105"/>
        </w:rPr>
        <w:t> </w:t>
      </w:r>
      <w:r>
        <w:rPr>
          <w:color w:val="231F20"/>
          <w:w w:val="105"/>
        </w:rPr>
        <w:t>estrategias</w:t>
      </w:r>
      <w:r>
        <w:rPr>
          <w:color w:val="231F20"/>
          <w:spacing w:val="-18"/>
          <w:w w:val="105"/>
        </w:rPr>
        <w:t> </w:t>
      </w:r>
      <w:r>
        <w:rPr>
          <w:color w:val="231F20"/>
          <w:w w:val="105"/>
        </w:rPr>
        <w:t>y</w:t>
      </w:r>
      <w:r>
        <w:rPr>
          <w:color w:val="231F20"/>
          <w:spacing w:val="-18"/>
          <w:w w:val="105"/>
        </w:rPr>
        <w:t> </w:t>
      </w:r>
      <w:r>
        <w:rPr>
          <w:color w:val="231F20"/>
          <w:w w:val="105"/>
        </w:rPr>
        <w:t>re- sultados</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w w:val="105"/>
        </w:rPr>
        <w:t>Ixtapan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w:t>
      </w:r>
      <w:r>
        <w:rPr>
          <w:color w:val="231F20"/>
          <w:spacing w:val="-12"/>
          <w:w w:val="105"/>
        </w:rPr>
        <w:t> </w:t>
      </w:r>
      <w:r>
        <w:rPr>
          <w:color w:val="231F20"/>
          <w:w w:val="105"/>
        </w:rPr>
        <w:t>(2006-2008)</w:t>
      </w:r>
    </w:p>
    <w:p>
      <w:pPr>
        <w:pStyle w:val="BodyText"/>
        <w:spacing w:before="10"/>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54"/>
        <w:gridCol w:w="1817"/>
        <w:gridCol w:w="1115"/>
        <w:gridCol w:w="1338"/>
        <w:gridCol w:w="994"/>
        <w:gridCol w:w="2309"/>
      </w:tblGrid>
      <w:tr>
        <w:trPr>
          <w:trHeight w:val="603" w:hRule="exact"/>
        </w:trPr>
        <w:tc>
          <w:tcPr>
            <w:tcW w:w="354" w:type="dxa"/>
            <w:shd w:val="clear" w:color="auto" w:fill="E6E6E6"/>
            <w:textDirection w:val="btLr"/>
          </w:tcPr>
          <w:p>
            <w:pPr>
              <w:pStyle w:val="TableParagraph"/>
              <w:spacing w:before="74"/>
              <w:ind w:left="55"/>
              <w:rPr>
                <w:b/>
                <w:sz w:val="14"/>
              </w:rPr>
            </w:pPr>
            <w:r>
              <w:rPr>
                <w:b/>
                <w:color w:val="231F20"/>
                <w:spacing w:val="1"/>
                <w:w w:val="93"/>
                <w:sz w:val="14"/>
              </w:rPr>
              <w:t>I</w:t>
            </w:r>
            <w:r>
              <w:rPr>
                <w:b/>
                <w:color w:val="231F20"/>
                <w:spacing w:val="2"/>
                <w:w w:val="85"/>
                <w:sz w:val="14"/>
              </w:rPr>
              <w:t>ndi</w:t>
            </w:r>
            <w:r>
              <w:rPr>
                <w:b/>
                <w:color w:val="231F20"/>
                <w:spacing w:val="4"/>
                <w:w w:val="77"/>
                <w:sz w:val="14"/>
              </w:rPr>
              <w:t>c</w:t>
            </w:r>
            <w:r>
              <w:rPr>
                <w:b/>
                <w:color w:val="231F20"/>
                <w:spacing w:val="2"/>
                <w:w w:val="85"/>
                <w:sz w:val="14"/>
              </w:rPr>
              <w:t>a</w:t>
            </w:r>
            <w:r>
              <w:rPr>
                <w:b/>
                <w:color w:val="231F20"/>
                <w:spacing w:val="2"/>
                <w:w w:val="83"/>
                <w:sz w:val="14"/>
              </w:rPr>
              <w:t>d</w:t>
            </w:r>
            <w:r>
              <w:rPr>
                <w:b/>
                <w:color w:val="231F20"/>
                <w:spacing w:val="2"/>
                <w:w w:val="81"/>
                <w:sz w:val="14"/>
              </w:rPr>
              <w:t>or</w:t>
            </w:r>
          </w:p>
        </w:tc>
        <w:tc>
          <w:tcPr>
            <w:tcW w:w="1817" w:type="dxa"/>
            <w:shd w:val="clear" w:color="auto" w:fill="E6E6E6"/>
          </w:tcPr>
          <w:p>
            <w:pPr>
              <w:pStyle w:val="TableParagraph"/>
              <w:spacing w:line="143" w:lineRule="exact"/>
              <w:ind w:left="350" w:right="350"/>
              <w:jc w:val="center"/>
              <w:rPr>
                <w:b/>
                <w:sz w:val="14"/>
              </w:rPr>
            </w:pPr>
            <w:r>
              <w:rPr>
                <w:b/>
                <w:color w:val="231F20"/>
                <w:w w:val="90"/>
                <w:sz w:val="14"/>
              </w:rPr>
              <w:t>Concepto</w:t>
            </w:r>
          </w:p>
        </w:tc>
        <w:tc>
          <w:tcPr>
            <w:tcW w:w="1115" w:type="dxa"/>
            <w:shd w:val="clear" w:color="auto" w:fill="E6E6E6"/>
          </w:tcPr>
          <w:p>
            <w:pPr>
              <w:pStyle w:val="TableParagraph"/>
              <w:spacing w:line="196" w:lineRule="auto"/>
              <w:ind w:left="178" w:hanging="51"/>
              <w:rPr>
                <w:b/>
                <w:sz w:val="14"/>
              </w:rPr>
            </w:pPr>
            <w:r>
              <w:rPr>
                <w:b/>
                <w:color w:val="231F20"/>
                <w:w w:val="85"/>
                <w:sz w:val="14"/>
              </w:rPr>
              <w:t>Disposición legal según SEDESOL</w:t>
            </w:r>
          </w:p>
        </w:tc>
        <w:tc>
          <w:tcPr>
            <w:tcW w:w="1338" w:type="dxa"/>
            <w:shd w:val="clear" w:color="auto" w:fill="E6E6E6"/>
          </w:tcPr>
          <w:p>
            <w:pPr>
              <w:pStyle w:val="TableParagraph"/>
              <w:spacing w:line="196" w:lineRule="auto"/>
              <w:ind w:left="414" w:hanging="121"/>
              <w:rPr>
                <w:b/>
                <w:sz w:val="14"/>
              </w:rPr>
            </w:pPr>
            <w:r>
              <w:rPr>
                <w:b/>
                <w:color w:val="231F20"/>
                <w:w w:val="90"/>
                <w:sz w:val="14"/>
              </w:rPr>
              <w:t>Existente en el </w:t>
            </w:r>
            <w:r>
              <w:rPr>
                <w:b/>
                <w:color w:val="231F20"/>
                <w:w w:val="95"/>
                <w:sz w:val="14"/>
              </w:rPr>
              <w:t>Municipio</w:t>
            </w:r>
          </w:p>
        </w:tc>
        <w:tc>
          <w:tcPr>
            <w:tcW w:w="994" w:type="dxa"/>
            <w:shd w:val="clear" w:color="auto" w:fill="E6E6E6"/>
          </w:tcPr>
          <w:p>
            <w:pPr>
              <w:pStyle w:val="TableParagraph"/>
              <w:spacing w:line="196" w:lineRule="auto"/>
              <w:ind w:left="384" w:right="20" w:hanging="191"/>
              <w:rPr>
                <w:b/>
                <w:sz w:val="14"/>
              </w:rPr>
            </w:pPr>
            <w:r>
              <w:rPr>
                <w:b/>
                <w:color w:val="231F20"/>
                <w:w w:val="80"/>
                <w:sz w:val="14"/>
              </w:rPr>
              <w:t>Diagnóstico </w:t>
            </w:r>
            <w:r>
              <w:rPr>
                <w:b/>
                <w:color w:val="231F20"/>
                <w:w w:val="95"/>
                <w:sz w:val="14"/>
              </w:rPr>
              <w:t>(%)*</w:t>
            </w:r>
          </w:p>
        </w:tc>
        <w:tc>
          <w:tcPr>
            <w:tcW w:w="2309" w:type="dxa"/>
            <w:shd w:val="clear" w:color="auto" w:fill="E6E6E6"/>
          </w:tcPr>
          <w:p>
            <w:pPr>
              <w:pStyle w:val="TableParagraph"/>
              <w:spacing w:line="143" w:lineRule="exact"/>
              <w:ind w:left="257" w:right="197"/>
              <w:rPr>
                <w:b/>
                <w:sz w:val="14"/>
              </w:rPr>
            </w:pPr>
            <w:r>
              <w:rPr>
                <w:b/>
                <w:color w:val="231F20"/>
                <w:w w:val="85"/>
                <w:sz w:val="14"/>
              </w:rPr>
              <w:t>Resultados según Segundo Informe</w:t>
            </w:r>
          </w:p>
        </w:tc>
      </w:tr>
      <w:tr>
        <w:trPr>
          <w:trHeight w:val="115" w:hRule="exact"/>
        </w:trPr>
        <w:tc>
          <w:tcPr>
            <w:tcW w:w="354" w:type="dxa"/>
            <w:vMerge w:val="restart"/>
            <w:textDirection w:val="btLr"/>
          </w:tcPr>
          <w:p>
            <w:pPr>
              <w:pStyle w:val="TableParagraph"/>
              <w:spacing w:before="74"/>
              <w:ind w:left="190"/>
              <w:rPr>
                <w:sz w:val="14"/>
              </w:rPr>
            </w:pPr>
            <w:r>
              <w:rPr>
                <w:color w:val="231F20"/>
                <w:spacing w:val="1"/>
                <w:w w:val="69"/>
                <w:sz w:val="14"/>
              </w:rPr>
              <w:t>C</w:t>
            </w:r>
            <w:r>
              <w:rPr>
                <w:color w:val="231F20"/>
                <w:spacing w:val="2"/>
                <w:w w:val="75"/>
                <w:sz w:val="14"/>
              </w:rPr>
              <w:t>u</w:t>
            </w:r>
            <w:r>
              <w:rPr>
                <w:color w:val="231F20"/>
                <w:spacing w:val="2"/>
                <w:w w:val="79"/>
                <w:sz w:val="14"/>
              </w:rPr>
              <w:t>lt</w:t>
            </w:r>
            <w:r>
              <w:rPr>
                <w:color w:val="231F20"/>
                <w:spacing w:val="2"/>
                <w:w w:val="73"/>
                <w:sz w:val="14"/>
              </w:rPr>
              <w:t>ur</w:t>
            </w:r>
            <w:r>
              <w:rPr>
                <w:color w:val="231F20"/>
                <w:w w:val="75"/>
                <w:sz w:val="14"/>
              </w:rPr>
              <w:t>a</w:t>
            </w:r>
          </w:p>
        </w:tc>
        <w:tc>
          <w:tcPr>
            <w:tcW w:w="1817" w:type="dxa"/>
          </w:tcPr>
          <w:p>
            <w:pPr>
              <w:pStyle w:val="TableParagraph"/>
              <w:spacing w:line="143" w:lineRule="exact"/>
              <w:ind w:left="350" w:right="350"/>
              <w:jc w:val="center"/>
              <w:rPr>
                <w:sz w:val="14"/>
              </w:rPr>
            </w:pPr>
            <w:r>
              <w:rPr>
                <w:color w:val="231F20"/>
                <w:w w:val="85"/>
                <w:sz w:val="14"/>
              </w:rPr>
              <w:t>Bibliotecas</w:t>
            </w:r>
          </w:p>
        </w:tc>
        <w:tc>
          <w:tcPr>
            <w:tcW w:w="1115" w:type="dxa"/>
          </w:tcPr>
          <w:p>
            <w:pPr>
              <w:pStyle w:val="TableParagraph"/>
              <w:spacing w:line="143" w:lineRule="exact"/>
              <w:ind w:left="238" w:right="237"/>
              <w:jc w:val="center"/>
              <w:rPr>
                <w:sz w:val="14"/>
              </w:rPr>
            </w:pPr>
            <w:r>
              <w:rPr>
                <w:color w:val="231F20"/>
                <w:w w:val="75"/>
                <w:sz w:val="14"/>
              </w:rPr>
              <w:t>No disponible</w:t>
            </w:r>
          </w:p>
        </w:tc>
        <w:tc>
          <w:tcPr>
            <w:tcW w:w="1338" w:type="dxa"/>
          </w:tcPr>
          <w:p>
            <w:pPr>
              <w:pStyle w:val="TableParagraph"/>
              <w:spacing w:line="143" w:lineRule="exact"/>
              <w:ind w:left="349" w:right="349"/>
              <w:jc w:val="center"/>
              <w:rPr>
                <w:sz w:val="14"/>
              </w:rPr>
            </w:pPr>
            <w:r>
              <w:rPr>
                <w:color w:val="231F20"/>
                <w:w w:val="85"/>
                <w:sz w:val="14"/>
              </w:rPr>
              <w:t>13</w:t>
            </w:r>
          </w:p>
        </w:tc>
        <w:tc>
          <w:tcPr>
            <w:tcW w:w="994" w:type="dxa"/>
          </w:tcPr>
          <w:p>
            <w:pPr>
              <w:pStyle w:val="TableParagraph"/>
              <w:spacing w:line="143" w:lineRule="exact"/>
              <w:ind w:left="0"/>
              <w:jc w:val="center"/>
              <w:rPr>
                <w:sz w:val="14"/>
              </w:rPr>
            </w:pPr>
            <w:r>
              <w:rPr>
                <w:color w:val="231F20"/>
                <w:w w:val="91"/>
                <w:sz w:val="14"/>
              </w:rPr>
              <w:t>-</w:t>
            </w:r>
          </w:p>
        </w:tc>
        <w:tc>
          <w:tcPr>
            <w:tcW w:w="2309" w:type="dxa"/>
          </w:tcPr>
          <w:p>
            <w:pPr>
              <w:pStyle w:val="TableParagraph"/>
              <w:spacing w:line="143" w:lineRule="exact"/>
              <w:ind w:left="783" w:right="783"/>
              <w:jc w:val="center"/>
              <w:rPr>
                <w:sz w:val="14"/>
              </w:rPr>
            </w:pPr>
            <w:r>
              <w:rPr>
                <w:color w:val="231F20"/>
                <w:w w:val="75"/>
                <w:sz w:val="14"/>
              </w:rPr>
              <w:t>No reporta</w:t>
            </w:r>
          </w:p>
        </w:tc>
      </w:tr>
      <w:tr>
        <w:trPr>
          <w:trHeight w:val="115" w:hRule="exact"/>
        </w:trPr>
        <w:tc>
          <w:tcPr>
            <w:tcW w:w="354" w:type="dxa"/>
            <w:vMerge/>
            <w:textDirection w:val="btLr"/>
          </w:tcPr>
          <w:p>
            <w:pPr/>
          </w:p>
        </w:tc>
        <w:tc>
          <w:tcPr>
            <w:tcW w:w="1817" w:type="dxa"/>
          </w:tcPr>
          <w:p>
            <w:pPr>
              <w:pStyle w:val="TableParagraph"/>
              <w:spacing w:line="143" w:lineRule="exact"/>
              <w:ind w:left="350" w:right="350"/>
              <w:jc w:val="center"/>
              <w:rPr>
                <w:sz w:val="14"/>
              </w:rPr>
            </w:pPr>
            <w:r>
              <w:rPr>
                <w:color w:val="231F20"/>
                <w:w w:val="80"/>
                <w:sz w:val="14"/>
              </w:rPr>
              <w:t>Casa de Cultura</w:t>
            </w:r>
          </w:p>
        </w:tc>
        <w:tc>
          <w:tcPr>
            <w:tcW w:w="1115" w:type="dxa"/>
          </w:tcPr>
          <w:p>
            <w:pPr>
              <w:pStyle w:val="TableParagraph"/>
              <w:spacing w:line="143" w:lineRule="exact"/>
              <w:ind w:left="237" w:right="237"/>
              <w:jc w:val="center"/>
              <w:rPr>
                <w:sz w:val="14"/>
              </w:rPr>
            </w:pPr>
            <w:r>
              <w:rPr>
                <w:color w:val="231F20"/>
                <w:w w:val="80"/>
                <w:sz w:val="14"/>
              </w:rPr>
              <w:t>1 casa</w:t>
            </w:r>
          </w:p>
        </w:tc>
        <w:tc>
          <w:tcPr>
            <w:tcW w:w="1338" w:type="dxa"/>
          </w:tcPr>
          <w:p>
            <w:pPr>
              <w:pStyle w:val="TableParagraph"/>
              <w:spacing w:line="143" w:lineRule="exact"/>
              <w:ind w:left="0"/>
              <w:jc w:val="center"/>
              <w:rPr>
                <w:sz w:val="14"/>
              </w:rPr>
            </w:pPr>
            <w:r>
              <w:rPr>
                <w:color w:val="231F20"/>
                <w:w w:val="75"/>
                <w:sz w:val="14"/>
              </w:rPr>
              <w:t>1</w:t>
            </w:r>
          </w:p>
        </w:tc>
        <w:tc>
          <w:tcPr>
            <w:tcW w:w="994" w:type="dxa"/>
          </w:tcPr>
          <w:p>
            <w:pPr>
              <w:pStyle w:val="TableParagraph"/>
              <w:spacing w:line="143" w:lineRule="exact"/>
              <w:ind w:left="0"/>
              <w:jc w:val="center"/>
              <w:rPr>
                <w:sz w:val="14"/>
              </w:rPr>
            </w:pPr>
            <w:r>
              <w:rPr>
                <w:color w:val="231F20"/>
                <w:w w:val="75"/>
                <w:sz w:val="14"/>
              </w:rPr>
              <w:t>0</w:t>
            </w:r>
          </w:p>
        </w:tc>
        <w:tc>
          <w:tcPr>
            <w:tcW w:w="2309" w:type="dxa"/>
          </w:tcPr>
          <w:p>
            <w:pPr>
              <w:pStyle w:val="TableParagraph"/>
              <w:spacing w:line="143" w:lineRule="exact"/>
              <w:ind w:left="429" w:right="197"/>
              <w:rPr>
                <w:sz w:val="14"/>
              </w:rPr>
            </w:pPr>
            <w:r>
              <w:rPr>
                <w:color w:val="231F20"/>
                <w:w w:val="75"/>
                <w:sz w:val="14"/>
              </w:rPr>
              <w:t>Remodelación de centro  cultural</w:t>
            </w:r>
          </w:p>
        </w:tc>
      </w:tr>
      <w:tr>
        <w:trPr>
          <w:trHeight w:val="115" w:hRule="exact"/>
        </w:trPr>
        <w:tc>
          <w:tcPr>
            <w:tcW w:w="354" w:type="dxa"/>
            <w:vMerge/>
            <w:textDirection w:val="btLr"/>
          </w:tcPr>
          <w:p>
            <w:pPr/>
          </w:p>
        </w:tc>
        <w:tc>
          <w:tcPr>
            <w:tcW w:w="1817" w:type="dxa"/>
          </w:tcPr>
          <w:p>
            <w:pPr>
              <w:pStyle w:val="TableParagraph"/>
              <w:spacing w:line="142" w:lineRule="exact"/>
              <w:ind w:left="350" w:right="350"/>
              <w:jc w:val="center"/>
              <w:rPr>
                <w:sz w:val="14"/>
              </w:rPr>
            </w:pPr>
            <w:r>
              <w:rPr>
                <w:color w:val="231F20"/>
                <w:w w:val="80"/>
                <w:sz w:val="14"/>
              </w:rPr>
              <w:t>Escuela de Bellas Artes</w:t>
            </w:r>
          </w:p>
        </w:tc>
        <w:tc>
          <w:tcPr>
            <w:tcW w:w="1115" w:type="dxa"/>
          </w:tcPr>
          <w:p>
            <w:pPr>
              <w:pStyle w:val="TableParagraph"/>
              <w:spacing w:line="142" w:lineRule="exact"/>
              <w:ind w:left="238" w:right="236"/>
              <w:jc w:val="center"/>
              <w:rPr>
                <w:sz w:val="14"/>
              </w:rPr>
            </w:pPr>
            <w:r>
              <w:rPr>
                <w:color w:val="231F20"/>
                <w:w w:val="80"/>
                <w:sz w:val="14"/>
              </w:rPr>
              <w:t>3 aulas</w:t>
            </w:r>
          </w:p>
        </w:tc>
        <w:tc>
          <w:tcPr>
            <w:tcW w:w="1338" w:type="dxa"/>
          </w:tcPr>
          <w:p>
            <w:pPr>
              <w:pStyle w:val="TableParagraph"/>
              <w:spacing w:line="142" w:lineRule="exact"/>
              <w:ind w:left="350" w:right="348"/>
              <w:jc w:val="center"/>
              <w:rPr>
                <w:sz w:val="14"/>
              </w:rPr>
            </w:pPr>
            <w:r>
              <w:rPr>
                <w:color w:val="231F20"/>
                <w:w w:val="80"/>
                <w:sz w:val="14"/>
              </w:rPr>
              <w:t>3 aulas</w:t>
            </w:r>
          </w:p>
        </w:tc>
        <w:tc>
          <w:tcPr>
            <w:tcW w:w="994" w:type="dxa"/>
          </w:tcPr>
          <w:p>
            <w:pPr>
              <w:pStyle w:val="TableParagraph"/>
              <w:spacing w:line="142" w:lineRule="exact"/>
              <w:ind w:left="0"/>
              <w:jc w:val="center"/>
              <w:rPr>
                <w:sz w:val="14"/>
              </w:rPr>
            </w:pPr>
            <w:r>
              <w:rPr>
                <w:color w:val="231F20"/>
                <w:w w:val="75"/>
                <w:sz w:val="14"/>
              </w:rPr>
              <w:t>0</w:t>
            </w:r>
          </w:p>
        </w:tc>
        <w:tc>
          <w:tcPr>
            <w:tcW w:w="2309" w:type="dxa"/>
          </w:tcPr>
          <w:p>
            <w:pPr>
              <w:pStyle w:val="TableParagraph"/>
              <w:spacing w:line="142" w:lineRule="exact"/>
              <w:ind w:left="783" w:right="783"/>
              <w:jc w:val="center"/>
              <w:rPr>
                <w:sz w:val="14"/>
              </w:rPr>
            </w:pPr>
            <w:r>
              <w:rPr>
                <w:color w:val="231F20"/>
                <w:w w:val="75"/>
                <w:sz w:val="14"/>
              </w:rPr>
              <w:t>No reporta</w:t>
            </w:r>
          </w:p>
        </w:tc>
      </w:tr>
      <w:tr>
        <w:trPr>
          <w:trHeight w:val="255" w:hRule="exact"/>
        </w:trPr>
        <w:tc>
          <w:tcPr>
            <w:tcW w:w="354" w:type="dxa"/>
            <w:vMerge/>
            <w:textDirection w:val="btLr"/>
          </w:tcPr>
          <w:p>
            <w:pPr/>
          </w:p>
        </w:tc>
        <w:tc>
          <w:tcPr>
            <w:tcW w:w="1817" w:type="dxa"/>
          </w:tcPr>
          <w:p>
            <w:pPr>
              <w:pStyle w:val="TableParagraph"/>
              <w:spacing w:line="142" w:lineRule="exact"/>
              <w:ind w:left="350" w:right="349"/>
              <w:jc w:val="center"/>
              <w:rPr>
                <w:sz w:val="14"/>
              </w:rPr>
            </w:pPr>
            <w:r>
              <w:rPr>
                <w:color w:val="231F20"/>
                <w:w w:val="75"/>
                <w:sz w:val="14"/>
              </w:rPr>
              <w:t>Auditorio  municipal</w:t>
            </w:r>
          </w:p>
        </w:tc>
        <w:tc>
          <w:tcPr>
            <w:tcW w:w="1115" w:type="dxa"/>
          </w:tcPr>
          <w:p>
            <w:pPr>
              <w:pStyle w:val="TableParagraph"/>
              <w:spacing w:line="196" w:lineRule="auto"/>
              <w:ind w:left="378" w:hanging="137"/>
              <w:rPr>
                <w:sz w:val="14"/>
              </w:rPr>
            </w:pPr>
            <w:r>
              <w:rPr>
                <w:color w:val="231F20"/>
                <w:w w:val="80"/>
                <w:sz w:val="14"/>
              </w:rPr>
              <w:t>Entre 71 y 357 </w:t>
            </w:r>
            <w:r>
              <w:rPr>
                <w:color w:val="231F20"/>
                <w:w w:val="85"/>
                <w:sz w:val="14"/>
              </w:rPr>
              <w:t>butacas</w:t>
            </w:r>
          </w:p>
        </w:tc>
        <w:tc>
          <w:tcPr>
            <w:tcW w:w="1338" w:type="dxa"/>
          </w:tcPr>
          <w:p>
            <w:pPr>
              <w:pStyle w:val="TableParagraph"/>
              <w:spacing w:line="142" w:lineRule="exact"/>
              <w:ind w:left="350" w:right="349"/>
              <w:jc w:val="center"/>
              <w:rPr>
                <w:sz w:val="14"/>
              </w:rPr>
            </w:pPr>
            <w:r>
              <w:rPr>
                <w:color w:val="231F20"/>
                <w:w w:val="75"/>
                <w:sz w:val="14"/>
              </w:rPr>
              <w:t>No disponible</w:t>
            </w:r>
          </w:p>
        </w:tc>
        <w:tc>
          <w:tcPr>
            <w:tcW w:w="994" w:type="dxa"/>
          </w:tcPr>
          <w:p>
            <w:pPr>
              <w:pStyle w:val="TableParagraph"/>
              <w:spacing w:line="142" w:lineRule="exact"/>
              <w:ind w:left="0"/>
              <w:jc w:val="center"/>
              <w:rPr>
                <w:sz w:val="14"/>
              </w:rPr>
            </w:pPr>
            <w:r>
              <w:rPr>
                <w:color w:val="231F20"/>
                <w:w w:val="91"/>
                <w:sz w:val="14"/>
              </w:rPr>
              <w:t>-</w:t>
            </w:r>
          </w:p>
        </w:tc>
        <w:tc>
          <w:tcPr>
            <w:tcW w:w="2309" w:type="dxa"/>
          </w:tcPr>
          <w:p>
            <w:pPr>
              <w:pStyle w:val="TableParagraph"/>
              <w:spacing w:line="142" w:lineRule="exact"/>
              <w:ind w:left="783" w:right="783"/>
              <w:jc w:val="center"/>
              <w:rPr>
                <w:sz w:val="14"/>
              </w:rPr>
            </w:pPr>
            <w:r>
              <w:rPr>
                <w:color w:val="231F20"/>
                <w:w w:val="75"/>
                <w:sz w:val="14"/>
              </w:rPr>
              <w:t>No reporta</w:t>
            </w:r>
          </w:p>
        </w:tc>
      </w:tr>
      <w:tr>
        <w:trPr>
          <w:trHeight w:val="115" w:hRule="exact"/>
        </w:trPr>
        <w:tc>
          <w:tcPr>
            <w:tcW w:w="354" w:type="dxa"/>
            <w:vMerge/>
            <w:textDirection w:val="btLr"/>
          </w:tcPr>
          <w:p>
            <w:pPr/>
          </w:p>
        </w:tc>
        <w:tc>
          <w:tcPr>
            <w:tcW w:w="1817" w:type="dxa"/>
          </w:tcPr>
          <w:p>
            <w:pPr>
              <w:pStyle w:val="TableParagraph"/>
              <w:spacing w:line="142" w:lineRule="exact"/>
              <w:ind w:left="350" w:right="350"/>
              <w:jc w:val="center"/>
              <w:rPr>
                <w:sz w:val="14"/>
              </w:rPr>
            </w:pPr>
            <w:r>
              <w:rPr>
                <w:color w:val="231F20"/>
                <w:w w:val="80"/>
                <w:sz w:val="14"/>
              </w:rPr>
              <w:t>Salón de usos múltiples</w:t>
            </w:r>
          </w:p>
        </w:tc>
        <w:tc>
          <w:tcPr>
            <w:tcW w:w="1115" w:type="dxa"/>
          </w:tcPr>
          <w:p>
            <w:pPr>
              <w:pStyle w:val="TableParagraph"/>
              <w:spacing w:line="142" w:lineRule="exact"/>
              <w:ind w:left="237" w:right="237"/>
              <w:jc w:val="center"/>
              <w:rPr>
                <w:sz w:val="8"/>
              </w:rPr>
            </w:pPr>
            <w:r>
              <w:rPr>
                <w:color w:val="231F20"/>
                <w:w w:val="75"/>
                <w:sz w:val="14"/>
              </w:rPr>
              <w:t>315 m</w:t>
            </w:r>
            <w:r>
              <w:rPr>
                <w:color w:val="231F20"/>
                <w:w w:val="75"/>
                <w:position w:val="5"/>
                <w:sz w:val="8"/>
              </w:rPr>
              <w:t>2</w:t>
            </w:r>
          </w:p>
        </w:tc>
        <w:tc>
          <w:tcPr>
            <w:tcW w:w="1338" w:type="dxa"/>
          </w:tcPr>
          <w:p>
            <w:pPr>
              <w:pStyle w:val="TableParagraph"/>
              <w:spacing w:line="143" w:lineRule="exact"/>
              <w:ind w:left="349" w:right="349"/>
              <w:jc w:val="center"/>
              <w:rPr>
                <w:sz w:val="8"/>
              </w:rPr>
            </w:pPr>
            <w:r>
              <w:rPr>
                <w:color w:val="231F20"/>
                <w:w w:val="80"/>
                <w:sz w:val="14"/>
              </w:rPr>
              <w:t>430 m</w:t>
            </w:r>
            <w:r>
              <w:rPr>
                <w:color w:val="231F20"/>
                <w:w w:val="80"/>
                <w:position w:val="5"/>
                <w:sz w:val="8"/>
              </w:rPr>
              <w:t>2</w:t>
            </w:r>
          </w:p>
        </w:tc>
        <w:tc>
          <w:tcPr>
            <w:tcW w:w="994" w:type="dxa"/>
          </w:tcPr>
          <w:p>
            <w:pPr>
              <w:pStyle w:val="TableParagraph"/>
              <w:spacing w:line="143" w:lineRule="exact"/>
              <w:ind w:left="164" w:right="164"/>
              <w:jc w:val="center"/>
              <w:rPr>
                <w:sz w:val="14"/>
              </w:rPr>
            </w:pPr>
            <w:r>
              <w:rPr>
                <w:color w:val="231F20"/>
                <w:w w:val="85"/>
                <w:sz w:val="14"/>
              </w:rPr>
              <w:t>26</w:t>
            </w:r>
          </w:p>
        </w:tc>
        <w:tc>
          <w:tcPr>
            <w:tcW w:w="2309" w:type="dxa"/>
          </w:tcPr>
          <w:p>
            <w:pPr>
              <w:pStyle w:val="TableParagraph"/>
              <w:spacing w:line="143" w:lineRule="exact"/>
              <w:ind w:left="783" w:right="783"/>
              <w:jc w:val="center"/>
              <w:rPr>
                <w:sz w:val="14"/>
              </w:rPr>
            </w:pPr>
            <w:r>
              <w:rPr>
                <w:color w:val="231F20"/>
                <w:w w:val="75"/>
                <w:sz w:val="14"/>
              </w:rPr>
              <w:t>No reporta</w:t>
            </w:r>
          </w:p>
        </w:tc>
      </w:tr>
      <w:tr>
        <w:trPr>
          <w:trHeight w:val="315" w:hRule="exact"/>
        </w:trPr>
        <w:tc>
          <w:tcPr>
            <w:tcW w:w="354" w:type="dxa"/>
            <w:vMerge w:val="restart"/>
            <w:textDirection w:val="btLr"/>
          </w:tcPr>
          <w:p>
            <w:pPr>
              <w:pStyle w:val="TableParagraph"/>
              <w:spacing w:before="74"/>
              <w:ind w:left="573" w:right="573"/>
              <w:jc w:val="center"/>
              <w:rPr>
                <w:sz w:val="14"/>
              </w:rPr>
            </w:pPr>
            <w:r>
              <w:rPr>
                <w:color w:val="231F20"/>
                <w:spacing w:val="1"/>
                <w:w w:val="74"/>
                <w:sz w:val="14"/>
              </w:rPr>
              <w:t>R</w:t>
            </w:r>
            <w:r>
              <w:rPr>
                <w:color w:val="231F20"/>
                <w:spacing w:val="2"/>
                <w:w w:val="74"/>
                <w:sz w:val="14"/>
              </w:rPr>
              <w:t>e</w:t>
            </w:r>
            <w:r>
              <w:rPr>
                <w:color w:val="231F20"/>
                <w:spacing w:val="3"/>
                <w:w w:val="71"/>
                <w:sz w:val="14"/>
              </w:rPr>
              <w:t>c</w:t>
            </w:r>
            <w:r>
              <w:rPr>
                <w:color w:val="231F20"/>
                <w:spacing w:val="2"/>
                <w:w w:val="71"/>
                <w:sz w:val="14"/>
              </w:rPr>
              <w:t>r</w:t>
            </w:r>
            <w:r>
              <w:rPr>
                <w:color w:val="231F20"/>
                <w:spacing w:val="1"/>
                <w:w w:val="74"/>
                <w:sz w:val="14"/>
              </w:rPr>
              <w:t>ea</w:t>
            </w:r>
            <w:r>
              <w:rPr>
                <w:color w:val="231F20"/>
                <w:spacing w:val="2"/>
                <w:w w:val="71"/>
                <w:sz w:val="14"/>
              </w:rPr>
              <w:t>c</w:t>
            </w:r>
            <w:r>
              <w:rPr>
                <w:color w:val="231F20"/>
                <w:spacing w:val="2"/>
                <w:w w:val="80"/>
                <w:sz w:val="14"/>
              </w:rPr>
              <w:t>i</w:t>
            </w:r>
            <w:r>
              <w:rPr>
                <w:color w:val="231F20"/>
                <w:spacing w:val="2"/>
                <w:w w:val="72"/>
                <w:sz w:val="14"/>
              </w:rPr>
              <w:t>ó</w:t>
            </w:r>
            <w:r>
              <w:rPr>
                <w:color w:val="231F20"/>
                <w:w w:val="77"/>
                <w:sz w:val="14"/>
              </w:rPr>
              <w:t>n</w:t>
            </w:r>
          </w:p>
        </w:tc>
        <w:tc>
          <w:tcPr>
            <w:tcW w:w="1817" w:type="dxa"/>
          </w:tcPr>
          <w:p>
            <w:pPr>
              <w:pStyle w:val="TableParagraph"/>
              <w:spacing w:line="143" w:lineRule="exact"/>
              <w:ind w:left="350" w:right="350"/>
              <w:jc w:val="center"/>
              <w:rPr>
                <w:sz w:val="14"/>
              </w:rPr>
            </w:pPr>
            <w:r>
              <w:rPr>
                <w:color w:val="231F20"/>
                <w:w w:val="80"/>
                <w:sz w:val="14"/>
              </w:rPr>
              <w:t>Plaza cívica</w:t>
            </w:r>
          </w:p>
        </w:tc>
        <w:tc>
          <w:tcPr>
            <w:tcW w:w="1115" w:type="dxa"/>
          </w:tcPr>
          <w:p>
            <w:pPr>
              <w:pStyle w:val="TableParagraph"/>
              <w:spacing w:line="143" w:lineRule="exact"/>
              <w:ind w:left="237" w:right="237"/>
              <w:jc w:val="center"/>
              <w:rPr>
                <w:sz w:val="8"/>
              </w:rPr>
            </w:pPr>
            <w:r>
              <w:rPr>
                <w:color w:val="231F20"/>
                <w:w w:val="80"/>
                <w:sz w:val="14"/>
              </w:rPr>
              <w:t>4,480 m</w:t>
            </w:r>
            <w:r>
              <w:rPr>
                <w:color w:val="231F20"/>
                <w:w w:val="80"/>
                <w:position w:val="5"/>
                <w:sz w:val="8"/>
              </w:rPr>
              <w:t>2</w:t>
            </w:r>
          </w:p>
        </w:tc>
        <w:tc>
          <w:tcPr>
            <w:tcW w:w="1338" w:type="dxa"/>
          </w:tcPr>
          <w:p>
            <w:pPr>
              <w:pStyle w:val="TableParagraph"/>
              <w:spacing w:line="143" w:lineRule="exact"/>
              <w:ind w:left="349" w:right="349"/>
              <w:jc w:val="center"/>
              <w:rPr>
                <w:sz w:val="8"/>
              </w:rPr>
            </w:pPr>
            <w:r>
              <w:rPr>
                <w:color w:val="231F20"/>
                <w:w w:val="80"/>
                <w:sz w:val="14"/>
              </w:rPr>
              <w:t>1,200 m</w:t>
            </w:r>
            <w:r>
              <w:rPr>
                <w:color w:val="231F20"/>
                <w:w w:val="80"/>
                <w:position w:val="5"/>
                <w:sz w:val="8"/>
              </w:rPr>
              <w:t>2</w:t>
            </w:r>
          </w:p>
        </w:tc>
        <w:tc>
          <w:tcPr>
            <w:tcW w:w="994" w:type="dxa"/>
          </w:tcPr>
          <w:p>
            <w:pPr>
              <w:pStyle w:val="TableParagraph"/>
              <w:spacing w:line="143" w:lineRule="exact"/>
              <w:ind w:left="164" w:right="164"/>
              <w:jc w:val="center"/>
              <w:rPr>
                <w:sz w:val="14"/>
              </w:rPr>
            </w:pPr>
            <w:r>
              <w:rPr>
                <w:color w:val="231F20"/>
                <w:w w:val="90"/>
                <w:sz w:val="14"/>
              </w:rPr>
              <w:t>-26</w:t>
            </w:r>
          </w:p>
        </w:tc>
        <w:tc>
          <w:tcPr>
            <w:tcW w:w="2309" w:type="dxa"/>
          </w:tcPr>
          <w:p>
            <w:pPr>
              <w:pStyle w:val="TableParagraph"/>
              <w:spacing w:line="143" w:lineRule="exact"/>
              <w:ind w:left="784" w:right="783"/>
              <w:jc w:val="center"/>
              <w:rPr>
                <w:sz w:val="14"/>
              </w:rPr>
            </w:pPr>
            <w:r>
              <w:rPr>
                <w:color w:val="231F20"/>
                <w:w w:val="85"/>
                <w:sz w:val="14"/>
              </w:rPr>
              <w:t>Remodelación</w:t>
            </w:r>
          </w:p>
        </w:tc>
      </w:tr>
      <w:tr>
        <w:trPr>
          <w:trHeight w:val="174" w:hRule="exact"/>
        </w:trPr>
        <w:tc>
          <w:tcPr>
            <w:tcW w:w="354" w:type="dxa"/>
            <w:vMerge/>
            <w:textDirection w:val="btLr"/>
          </w:tcPr>
          <w:p>
            <w:pPr/>
          </w:p>
        </w:tc>
        <w:tc>
          <w:tcPr>
            <w:tcW w:w="1817" w:type="dxa"/>
          </w:tcPr>
          <w:p>
            <w:pPr>
              <w:pStyle w:val="TableParagraph"/>
              <w:spacing w:line="143" w:lineRule="exact"/>
              <w:ind w:left="350" w:right="350"/>
              <w:jc w:val="center"/>
              <w:rPr>
                <w:sz w:val="14"/>
              </w:rPr>
            </w:pPr>
            <w:r>
              <w:rPr>
                <w:color w:val="231F20"/>
                <w:w w:val="85"/>
                <w:sz w:val="14"/>
              </w:rPr>
              <w:t>Parques</w:t>
            </w:r>
          </w:p>
        </w:tc>
        <w:tc>
          <w:tcPr>
            <w:tcW w:w="1115" w:type="dxa"/>
          </w:tcPr>
          <w:p>
            <w:pPr>
              <w:pStyle w:val="TableParagraph"/>
              <w:spacing w:line="143" w:lineRule="exact"/>
              <w:ind w:left="237" w:right="237"/>
              <w:jc w:val="center"/>
              <w:rPr>
                <w:sz w:val="8"/>
              </w:rPr>
            </w:pPr>
            <w:r>
              <w:rPr>
                <w:color w:val="231F20"/>
                <w:w w:val="85"/>
                <w:sz w:val="14"/>
              </w:rPr>
              <w:t>10,000m</w:t>
            </w:r>
            <w:r>
              <w:rPr>
                <w:color w:val="231F20"/>
                <w:w w:val="85"/>
                <w:position w:val="5"/>
                <w:sz w:val="8"/>
              </w:rPr>
              <w:t>2</w:t>
            </w:r>
          </w:p>
        </w:tc>
        <w:tc>
          <w:tcPr>
            <w:tcW w:w="1338" w:type="dxa"/>
          </w:tcPr>
          <w:p>
            <w:pPr>
              <w:pStyle w:val="TableParagraph"/>
              <w:spacing w:line="143" w:lineRule="exact"/>
              <w:ind w:left="349" w:right="349"/>
              <w:jc w:val="center"/>
              <w:rPr>
                <w:sz w:val="8"/>
              </w:rPr>
            </w:pPr>
            <w:r>
              <w:rPr>
                <w:color w:val="231F20"/>
                <w:w w:val="80"/>
                <w:sz w:val="14"/>
              </w:rPr>
              <w:t>1,280 m</w:t>
            </w:r>
            <w:r>
              <w:rPr>
                <w:color w:val="231F20"/>
                <w:w w:val="80"/>
                <w:position w:val="5"/>
                <w:sz w:val="8"/>
              </w:rPr>
              <w:t>2</w:t>
            </w:r>
          </w:p>
        </w:tc>
        <w:tc>
          <w:tcPr>
            <w:tcW w:w="994" w:type="dxa"/>
          </w:tcPr>
          <w:p>
            <w:pPr>
              <w:pStyle w:val="TableParagraph"/>
              <w:spacing w:line="143" w:lineRule="exact"/>
              <w:ind w:left="164" w:right="164"/>
              <w:jc w:val="center"/>
              <w:rPr>
                <w:sz w:val="14"/>
              </w:rPr>
            </w:pPr>
            <w:r>
              <w:rPr>
                <w:color w:val="231F20"/>
                <w:w w:val="90"/>
                <w:sz w:val="14"/>
              </w:rPr>
              <w:t>-87</w:t>
            </w:r>
          </w:p>
        </w:tc>
        <w:tc>
          <w:tcPr>
            <w:tcW w:w="2309" w:type="dxa"/>
          </w:tcPr>
          <w:p>
            <w:pPr>
              <w:pStyle w:val="TableParagraph"/>
              <w:spacing w:line="143" w:lineRule="exact"/>
              <w:ind w:left="0" w:right="146"/>
              <w:jc w:val="right"/>
              <w:rPr>
                <w:sz w:val="14"/>
              </w:rPr>
            </w:pPr>
            <w:r>
              <w:rPr>
                <w:color w:val="231F20"/>
                <w:w w:val="80"/>
                <w:sz w:val="14"/>
              </w:rPr>
              <w:t>Construcción de parque La presita, Angelitos,</w:t>
            </w:r>
          </w:p>
        </w:tc>
      </w:tr>
      <w:tr>
        <w:trPr>
          <w:trHeight w:val="295" w:hRule="exact"/>
        </w:trPr>
        <w:tc>
          <w:tcPr>
            <w:tcW w:w="354" w:type="dxa"/>
            <w:vMerge/>
            <w:textDirection w:val="btLr"/>
          </w:tcPr>
          <w:p>
            <w:pPr/>
          </w:p>
        </w:tc>
        <w:tc>
          <w:tcPr>
            <w:tcW w:w="1817" w:type="dxa"/>
          </w:tcPr>
          <w:p>
            <w:pPr>
              <w:pStyle w:val="TableParagraph"/>
              <w:spacing w:line="143" w:lineRule="exact"/>
              <w:ind w:left="350" w:right="350"/>
              <w:jc w:val="center"/>
              <w:rPr>
                <w:sz w:val="14"/>
              </w:rPr>
            </w:pPr>
            <w:r>
              <w:rPr>
                <w:color w:val="231F20"/>
                <w:w w:val="80"/>
                <w:sz w:val="14"/>
              </w:rPr>
              <w:t>Sala de Cine</w:t>
            </w:r>
          </w:p>
        </w:tc>
        <w:tc>
          <w:tcPr>
            <w:tcW w:w="1115" w:type="dxa"/>
          </w:tcPr>
          <w:p>
            <w:pPr>
              <w:pStyle w:val="TableParagraph"/>
              <w:spacing w:line="143" w:lineRule="exact"/>
              <w:ind w:left="237" w:right="237"/>
              <w:jc w:val="center"/>
              <w:rPr>
                <w:sz w:val="14"/>
              </w:rPr>
            </w:pPr>
            <w:r>
              <w:rPr>
                <w:color w:val="231F20"/>
                <w:w w:val="80"/>
                <w:sz w:val="14"/>
              </w:rPr>
              <w:t>280 butacas</w:t>
            </w:r>
          </w:p>
        </w:tc>
        <w:tc>
          <w:tcPr>
            <w:tcW w:w="1338" w:type="dxa"/>
          </w:tcPr>
          <w:p>
            <w:pPr>
              <w:pStyle w:val="TableParagraph"/>
              <w:spacing w:line="143" w:lineRule="exact"/>
              <w:ind w:left="349" w:right="349"/>
              <w:jc w:val="center"/>
              <w:rPr>
                <w:sz w:val="14"/>
              </w:rPr>
            </w:pPr>
            <w:r>
              <w:rPr>
                <w:color w:val="231F20"/>
                <w:w w:val="75"/>
                <w:sz w:val="14"/>
              </w:rPr>
              <w:t>135 butacas</w:t>
            </w:r>
          </w:p>
        </w:tc>
        <w:tc>
          <w:tcPr>
            <w:tcW w:w="994" w:type="dxa"/>
          </w:tcPr>
          <w:p>
            <w:pPr>
              <w:pStyle w:val="TableParagraph"/>
              <w:spacing w:line="143" w:lineRule="exact"/>
              <w:ind w:left="164" w:right="164"/>
              <w:jc w:val="center"/>
              <w:rPr>
                <w:sz w:val="14"/>
              </w:rPr>
            </w:pPr>
            <w:r>
              <w:rPr>
                <w:color w:val="231F20"/>
                <w:w w:val="90"/>
                <w:sz w:val="14"/>
              </w:rPr>
              <w:t>-51</w:t>
            </w:r>
          </w:p>
        </w:tc>
        <w:tc>
          <w:tcPr>
            <w:tcW w:w="2309" w:type="dxa"/>
          </w:tcPr>
          <w:p>
            <w:pPr>
              <w:pStyle w:val="TableParagraph"/>
              <w:spacing w:line="143" w:lineRule="exact"/>
              <w:ind w:left="784" w:right="782"/>
              <w:jc w:val="center"/>
              <w:rPr>
                <w:sz w:val="14"/>
              </w:rPr>
            </w:pPr>
            <w:r>
              <w:rPr>
                <w:color w:val="231F20"/>
                <w:w w:val="85"/>
                <w:sz w:val="14"/>
              </w:rPr>
              <w:t>Iluminación</w:t>
            </w:r>
          </w:p>
        </w:tc>
      </w:tr>
      <w:tr>
        <w:trPr>
          <w:trHeight w:val="527" w:hRule="exact"/>
        </w:trPr>
        <w:tc>
          <w:tcPr>
            <w:tcW w:w="354" w:type="dxa"/>
            <w:vMerge/>
            <w:textDirection w:val="btLr"/>
          </w:tcPr>
          <w:p>
            <w:pPr/>
          </w:p>
        </w:tc>
        <w:tc>
          <w:tcPr>
            <w:tcW w:w="1817" w:type="dxa"/>
          </w:tcPr>
          <w:p>
            <w:pPr>
              <w:pStyle w:val="TableParagraph"/>
              <w:spacing w:line="143" w:lineRule="exact"/>
              <w:ind w:left="350" w:right="349"/>
              <w:jc w:val="center"/>
              <w:rPr>
                <w:sz w:val="14"/>
              </w:rPr>
            </w:pPr>
            <w:r>
              <w:rPr>
                <w:color w:val="231F20"/>
                <w:w w:val="75"/>
                <w:sz w:val="14"/>
              </w:rPr>
              <w:t>Balneario  municipal</w:t>
            </w:r>
          </w:p>
        </w:tc>
        <w:tc>
          <w:tcPr>
            <w:tcW w:w="1115" w:type="dxa"/>
          </w:tcPr>
          <w:p>
            <w:pPr>
              <w:pStyle w:val="TableParagraph"/>
              <w:spacing w:line="143" w:lineRule="exact"/>
              <w:ind w:left="238" w:right="237"/>
              <w:jc w:val="center"/>
              <w:rPr>
                <w:sz w:val="14"/>
              </w:rPr>
            </w:pPr>
            <w:r>
              <w:rPr>
                <w:color w:val="231F20"/>
                <w:w w:val="75"/>
                <w:sz w:val="14"/>
              </w:rPr>
              <w:t>No disponible</w:t>
            </w:r>
          </w:p>
        </w:tc>
        <w:tc>
          <w:tcPr>
            <w:tcW w:w="1338" w:type="dxa"/>
          </w:tcPr>
          <w:p>
            <w:pPr>
              <w:pStyle w:val="TableParagraph"/>
              <w:spacing w:line="196" w:lineRule="auto"/>
              <w:ind w:left="566" w:hanging="461"/>
              <w:rPr>
                <w:sz w:val="14"/>
              </w:rPr>
            </w:pPr>
            <w:r>
              <w:rPr>
                <w:color w:val="231F20"/>
                <w:w w:val="75"/>
                <w:sz w:val="14"/>
              </w:rPr>
              <w:t>Albercas, chapoteaderos, </w:t>
            </w:r>
            <w:r>
              <w:rPr>
                <w:color w:val="231F20"/>
                <w:w w:val="85"/>
                <w:sz w:val="14"/>
              </w:rPr>
              <w:t>SPA.</w:t>
            </w:r>
          </w:p>
        </w:tc>
        <w:tc>
          <w:tcPr>
            <w:tcW w:w="994" w:type="dxa"/>
          </w:tcPr>
          <w:p>
            <w:pPr>
              <w:pStyle w:val="TableParagraph"/>
              <w:spacing w:line="143" w:lineRule="exact"/>
              <w:ind w:left="0"/>
              <w:jc w:val="center"/>
              <w:rPr>
                <w:sz w:val="14"/>
              </w:rPr>
            </w:pPr>
            <w:r>
              <w:rPr>
                <w:color w:val="231F20"/>
                <w:w w:val="91"/>
                <w:sz w:val="14"/>
              </w:rPr>
              <w:t>-</w:t>
            </w:r>
          </w:p>
        </w:tc>
        <w:tc>
          <w:tcPr>
            <w:tcW w:w="2309" w:type="dxa"/>
          </w:tcPr>
          <w:p>
            <w:pPr>
              <w:pStyle w:val="TableParagraph"/>
              <w:spacing w:line="143" w:lineRule="exact"/>
              <w:ind w:left="672" w:right="197"/>
              <w:rPr>
                <w:sz w:val="14"/>
              </w:rPr>
            </w:pPr>
            <w:r>
              <w:rPr>
                <w:color w:val="231F20"/>
                <w:w w:val="75"/>
                <w:sz w:val="14"/>
              </w:rPr>
              <w:t>Remodelación de SPA</w:t>
            </w:r>
          </w:p>
        </w:tc>
      </w:tr>
      <w:tr>
        <w:trPr>
          <w:trHeight w:val="367" w:hRule="exact"/>
        </w:trPr>
        <w:tc>
          <w:tcPr>
            <w:tcW w:w="354" w:type="dxa"/>
            <w:vMerge/>
            <w:textDirection w:val="btLr"/>
          </w:tcPr>
          <w:p>
            <w:pPr/>
          </w:p>
        </w:tc>
        <w:tc>
          <w:tcPr>
            <w:tcW w:w="1817" w:type="dxa"/>
          </w:tcPr>
          <w:p>
            <w:pPr>
              <w:pStyle w:val="TableParagraph"/>
              <w:spacing w:line="143" w:lineRule="exact"/>
              <w:ind w:left="350" w:right="350"/>
              <w:jc w:val="center"/>
              <w:rPr>
                <w:sz w:val="14"/>
              </w:rPr>
            </w:pPr>
            <w:r>
              <w:rPr>
                <w:color w:val="231F20"/>
                <w:w w:val="80"/>
                <w:sz w:val="14"/>
              </w:rPr>
              <w:t>Juegos infantiles</w:t>
            </w:r>
          </w:p>
        </w:tc>
        <w:tc>
          <w:tcPr>
            <w:tcW w:w="1115" w:type="dxa"/>
          </w:tcPr>
          <w:p>
            <w:pPr>
              <w:pStyle w:val="TableParagraph"/>
              <w:spacing w:line="143" w:lineRule="exact"/>
              <w:ind w:left="237" w:right="237"/>
              <w:jc w:val="center"/>
              <w:rPr>
                <w:sz w:val="8"/>
              </w:rPr>
            </w:pPr>
            <w:r>
              <w:rPr>
                <w:color w:val="231F20"/>
                <w:w w:val="75"/>
                <w:sz w:val="14"/>
              </w:rPr>
              <w:t>2,750 m</w:t>
            </w:r>
            <w:r>
              <w:rPr>
                <w:color w:val="231F20"/>
                <w:w w:val="75"/>
                <w:position w:val="5"/>
                <w:sz w:val="8"/>
              </w:rPr>
              <w:t>2</w:t>
            </w:r>
          </w:p>
        </w:tc>
        <w:tc>
          <w:tcPr>
            <w:tcW w:w="1338" w:type="dxa"/>
          </w:tcPr>
          <w:p>
            <w:pPr>
              <w:pStyle w:val="TableParagraph"/>
              <w:spacing w:line="143" w:lineRule="exact"/>
              <w:ind w:left="349" w:right="349"/>
              <w:jc w:val="center"/>
              <w:rPr>
                <w:sz w:val="8"/>
              </w:rPr>
            </w:pPr>
            <w:r>
              <w:rPr>
                <w:color w:val="231F20"/>
                <w:w w:val="80"/>
                <w:sz w:val="14"/>
              </w:rPr>
              <w:t>750 m</w:t>
            </w:r>
            <w:r>
              <w:rPr>
                <w:color w:val="231F20"/>
                <w:w w:val="80"/>
                <w:position w:val="5"/>
                <w:sz w:val="8"/>
              </w:rPr>
              <w:t>2</w:t>
            </w:r>
          </w:p>
        </w:tc>
        <w:tc>
          <w:tcPr>
            <w:tcW w:w="994" w:type="dxa"/>
          </w:tcPr>
          <w:p>
            <w:pPr>
              <w:pStyle w:val="TableParagraph"/>
              <w:spacing w:line="143" w:lineRule="exact"/>
              <w:ind w:left="164" w:right="164"/>
              <w:jc w:val="center"/>
              <w:rPr>
                <w:sz w:val="14"/>
              </w:rPr>
            </w:pPr>
            <w:r>
              <w:rPr>
                <w:color w:val="231F20"/>
                <w:w w:val="90"/>
                <w:sz w:val="14"/>
              </w:rPr>
              <w:t>-73</w:t>
            </w:r>
          </w:p>
        </w:tc>
        <w:tc>
          <w:tcPr>
            <w:tcW w:w="2309" w:type="dxa"/>
          </w:tcPr>
          <w:p>
            <w:pPr>
              <w:pStyle w:val="TableParagraph"/>
              <w:spacing w:line="143" w:lineRule="exact"/>
              <w:ind w:left="783" w:right="783"/>
              <w:jc w:val="center"/>
              <w:rPr>
                <w:sz w:val="14"/>
              </w:rPr>
            </w:pPr>
            <w:r>
              <w:rPr>
                <w:color w:val="231F20"/>
                <w:w w:val="75"/>
                <w:sz w:val="14"/>
              </w:rPr>
              <w:t>No reporta</w:t>
            </w:r>
          </w:p>
        </w:tc>
      </w:tr>
      <w:tr>
        <w:trPr>
          <w:trHeight w:val="367" w:hRule="exact"/>
        </w:trPr>
        <w:tc>
          <w:tcPr>
            <w:tcW w:w="354" w:type="dxa"/>
            <w:vMerge w:val="restart"/>
            <w:textDirection w:val="btLr"/>
          </w:tcPr>
          <w:p>
            <w:pPr>
              <w:pStyle w:val="TableParagraph"/>
              <w:spacing w:before="74"/>
              <w:ind w:left="485" w:right="485"/>
              <w:jc w:val="center"/>
              <w:rPr>
                <w:sz w:val="14"/>
              </w:rPr>
            </w:pPr>
            <w:r>
              <w:rPr>
                <w:color w:val="231F20"/>
                <w:spacing w:val="1"/>
                <w:w w:val="72"/>
                <w:sz w:val="14"/>
              </w:rPr>
              <w:t>E</w:t>
            </w:r>
            <w:r>
              <w:rPr>
                <w:color w:val="231F20"/>
                <w:spacing w:val="2"/>
                <w:w w:val="75"/>
                <w:sz w:val="14"/>
              </w:rPr>
              <w:t>d</w:t>
            </w:r>
            <w:r>
              <w:rPr>
                <w:color w:val="231F20"/>
                <w:spacing w:val="1"/>
                <w:w w:val="75"/>
                <w:sz w:val="14"/>
              </w:rPr>
              <w:t>u</w:t>
            </w:r>
            <w:r>
              <w:rPr>
                <w:color w:val="231F20"/>
                <w:spacing w:val="3"/>
                <w:w w:val="71"/>
                <w:sz w:val="14"/>
              </w:rPr>
              <w:t>c</w:t>
            </w:r>
            <w:r>
              <w:rPr>
                <w:color w:val="231F20"/>
                <w:spacing w:val="1"/>
                <w:w w:val="75"/>
                <w:sz w:val="14"/>
              </w:rPr>
              <w:t>a</w:t>
            </w:r>
            <w:r>
              <w:rPr>
                <w:color w:val="231F20"/>
                <w:spacing w:val="2"/>
                <w:w w:val="71"/>
                <w:sz w:val="14"/>
              </w:rPr>
              <w:t>c</w:t>
            </w:r>
            <w:r>
              <w:rPr>
                <w:color w:val="231F20"/>
                <w:spacing w:val="2"/>
                <w:w w:val="74"/>
                <w:sz w:val="14"/>
              </w:rPr>
              <w:t>ió</w:t>
            </w:r>
            <w:r>
              <w:rPr>
                <w:color w:val="231F20"/>
                <w:w w:val="77"/>
                <w:sz w:val="14"/>
              </w:rPr>
              <w:t>n</w:t>
            </w:r>
          </w:p>
        </w:tc>
        <w:tc>
          <w:tcPr>
            <w:tcW w:w="1817" w:type="dxa"/>
          </w:tcPr>
          <w:p>
            <w:pPr>
              <w:pStyle w:val="TableParagraph"/>
              <w:spacing w:line="143" w:lineRule="exact"/>
              <w:ind w:left="350" w:right="350"/>
              <w:jc w:val="center"/>
              <w:rPr>
                <w:sz w:val="14"/>
              </w:rPr>
            </w:pPr>
            <w:r>
              <w:rPr>
                <w:color w:val="231F20"/>
                <w:w w:val="75"/>
                <w:sz w:val="14"/>
              </w:rPr>
              <w:t>Educación  primaria</w:t>
            </w:r>
          </w:p>
        </w:tc>
        <w:tc>
          <w:tcPr>
            <w:tcW w:w="1115" w:type="dxa"/>
          </w:tcPr>
          <w:p>
            <w:pPr>
              <w:pStyle w:val="TableParagraph"/>
              <w:spacing w:line="143" w:lineRule="exact"/>
              <w:ind w:left="238" w:right="237"/>
              <w:jc w:val="center"/>
              <w:rPr>
                <w:sz w:val="14"/>
              </w:rPr>
            </w:pPr>
            <w:r>
              <w:rPr>
                <w:color w:val="231F20"/>
                <w:w w:val="80"/>
                <w:sz w:val="14"/>
              </w:rPr>
              <w:t>119 aulas</w:t>
            </w:r>
          </w:p>
        </w:tc>
        <w:tc>
          <w:tcPr>
            <w:tcW w:w="1338" w:type="dxa"/>
          </w:tcPr>
          <w:p>
            <w:pPr>
              <w:pStyle w:val="TableParagraph"/>
              <w:spacing w:line="143" w:lineRule="exact"/>
              <w:ind w:left="350" w:right="348"/>
              <w:jc w:val="center"/>
              <w:rPr>
                <w:sz w:val="14"/>
              </w:rPr>
            </w:pPr>
            <w:r>
              <w:rPr>
                <w:color w:val="231F20"/>
                <w:w w:val="75"/>
                <w:sz w:val="14"/>
              </w:rPr>
              <w:t>215 aulas</w:t>
            </w:r>
          </w:p>
        </w:tc>
        <w:tc>
          <w:tcPr>
            <w:tcW w:w="994" w:type="dxa"/>
          </w:tcPr>
          <w:p>
            <w:pPr>
              <w:pStyle w:val="TableParagraph"/>
              <w:spacing w:line="143" w:lineRule="exact"/>
              <w:ind w:left="164" w:right="164"/>
              <w:jc w:val="center"/>
              <w:rPr>
                <w:sz w:val="14"/>
              </w:rPr>
            </w:pPr>
            <w:r>
              <w:rPr>
                <w:color w:val="231F20"/>
                <w:w w:val="85"/>
                <w:sz w:val="14"/>
              </w:rPr>
              <w:t>55</w:t>
            </w:r>
          </w:p>
        </w:tc>
        <w:tc>
          <w:tcPr>
            <w:tcW w:w="2309" w:type="dxa"/>
          </w:tcPr>
          <w:p>
            <w:pPr>
              <w:pStyle w:val="TableParagraph"/>
              <w:spacing w:line="196" w:lineRule="auto"/>
              <w:ind w:left="930" w:right="197" w:hanging="650"/>
              <w:rPr>
                <w:sz w:val="14"/>
              </w:rPr>
            </w:pPr>
            <w:r>
              <w:rPr>
                <w:color w:val="231F20"/>
                <w:w w:val="80"/>
                <w:sz w:val="14"/>
              </w:rPr>
              <w:t>Construcción y remodelación de aulas y </w:t>
            </w:r>
            <w:r>
              <w:rPr>
                <w:color w:val="231F20"/>
                <w:w w:val="85"/>
                <w:sz w:val="14"/>
              </w:rPr>
              <w:t>sanitarios</w:t>
            </w:r>
          </w:p>
        </w:tc>
      </w:tr>
      <w:tr>
        <w:trPr>
          <w:trHeight w:val="367" w:hRule="exact"/>
        </w:trPr>
        <w:tc>
          <w:tcPr>
            <w:tcW w:w="354" w:type="dxa"/>
            <w:vMerge/>
            <w:textDirection w:val="btLr"/>
          </w:tcPr>
          <w:p>
            <w:pPr/>
          </w:p>
        </w:tc>
        <w:tc>
          <w:tcPr>
            <w:tcW w:w="1817" w:type="dxa"/>
          </w:tcPr>
          <w:p>
            <w:pPr>
              <w:pStyle w:val="TableParagraph"/>
              <w:spacing w:line="143" w:lineRule="exact"/>
              <w:ind w:left="350" w:right="350"/>
              <w:jc w:val="center"/>
              <w:rPr>
                <w:sz w:val="14"/>
              </w:rPr>
            </w:pPr>
            <w:r>
              <w:rPr>
                <w:color w:val="231F20"/>
                <w:w w:val="75"/>
                <w:sz w:val="14"/>
              </w:rPr>
              <w:t>Educación  Secundaria</w:t>
            </w:r>
          </w:p>
        </w:tc>
        <w:tc>
          <w:tcPr>
            <w:tcW w:w="1115" w:type="dxa"/>
          </w:tcPr>
          <w:p>
            <w:pPr>
              <w:pStyle w:val="TableParagraph"/>
              <w:spacing w:line="143" w:lineRule="exact"/>
              <w:ind w:left="237" w:right="237"/>
              <w:jc w:val="center"/>
              <w:rPr>
                <w:sz w:val="14"/>
              </w:rPr>
            </w:pPr>
            <w:r>
              <w:rPr>
                <w:color w:val="231F20"/>
                <w:w w:val="80"/>
                <w:sz w:val="14"/>
              </w:rPr>
              <w:t>14 aulas</w:t>
            </w:r>
          </w:p>
        </w:tc>
        <w:tc>
          <w:tcPr>
            <w:tcW w:w="1338" w:type="dxa"/>
          </w:tcPr>
          <w:p>
            <w:pPr>
              <w:pStyle w:val="TableParagraph"/>
              <w:spacing w:line="143" w:lineRule="exact"/>
              <w:ind w:left="350" w:right="348"/>
              <w:jc w:val="center"/>
              <w:rPr>
                <w:sz w:val="14"/>
              </w:rPr>
            </w:pPr>
            <w:r>
              <w:rPr>
                <w:color w:val="231F20"/>
                <w:w w:val="80"/>
                <w:sz w:val="14"/>
              </w:rPr>
              <w:t>68 aulas</w:t>
            </w:r>
          </w:p>
        </w:tc>
        <w:tc>
          <w:tcPr>
            <w:tcW w:w="994" w:type="dxa"/>
          </w:tcPr>
          <w:p>
            <w:pPr>
              <w:pStyle w:val="TableParagraph"/>
              <w:spacing w:line="143" w:lineRule="exact"/>
              <w:ind w:left="164" w:right="162"/>
              <w:jc w:val="center"/>
              <w:rPr>
                <w:sz w:val="14"/>
              </w:rPr>
            </w:pPr>
            <w:r>
              <w:rPr>
                <w:color w:val="231F20"/>
                <w:w w:val="85"/>
                <w:sz w:val="14"/>
              </w:rPr>
              <w:t>80</w:t>
            </w:r>
          </w:p>
        </w:tc>
        <w:tc>
          <w:tcPr>
            <w:tcW w:w="2309" w:type="dxa"/>
          </w:tcPr>
          <w:p>
            <w:pPr>
              <w:pStyle w:val="TableParagraph"/>
              <w:spacing w:line="196" w:lineRule="auto"/>
              <w:ind w:left="930" w:right="197" w:hanging="650"/>
              <w:rPr>
                <w:sz w:val="14"/>
              </w:rPr>
            </w:pPr>
            <w:r>
              <w:rPr>
                <w:color w:val="231F20"/>
                <w:w w:val="80"/>
                <w:sz w:val="14"/>
              </w:rPr>
              <w:t>Construcción y remodelación de aulas y </w:t>
            </w:r>
            <w:r>
              <w:rPr>
                <w:color w:val="231F20"/>
                <w:w w:val="85"/>
                <w:sz w:val="14"/>
              </w:rPr>
              <w:t>sanitarios</w:t>
            </w:r>
          </w:p>
        </w:tc>
      </w:tr>
      <w:tr>
        <w:trPr>
          <w:trHeight w:val="367" w:hRule="exact"/>
        </w:trPr>
        <w:tc>
          <w:tcPr>
            <w:tcW w:w="354" w:type="dxa"/>
            <w:vMerge/>
            <w:textDirection w:val="btLr"/>
          </w:tcPr>
          <w:p>
            <w:pPr/>
          </w:p>
        </w:tc>
        <w:tc>
          <w:tcPr>
            <w:tcW w:w="1817" w:type="dxa"/>
          </w:tcPr>
          <w:p>
            <w:pPr>
              <w:pStyle w:val="TableParagraph"/>
              <w:spacing w:line="142" w:lineRule="exact"/>
              <w:ind w:left="350" w:right="350"/>
              <w:jc w:val="center"/>
              <w:rPr>
                <w:sz w:val="14"/>
              </w:rPr>
            </w:pPr>
            <w:r>
              <w:rPr>
                <w:color w:val="231F20"/>
                <w:w w:val="75"/>
                <w:sz w:val="14"/>
              </w:rPr>
              <w:t>Educación  Preparatoria</w:t>
            </w:r>
          </w:p>
        </w:tc>
        <w:tc>
          <w:tcPr>
            <w:tcW w:w="1115" w:type="dxa"/>
          </w:tcPr>
          <w:p>
            <w:pPr>
              <w:pStyle w:val="TableParagraph"/>
              <w:spacing w:line="142" w:lineRule="exact"/>
              <w:ind w:left="238" w:right="236"/>
              <w:jc w:val="center"/>
              <w:rPr>
                <w:sz w:val="14"/>
              </w:rPr>
            </w:pPr>
            <w:r>
              <w:rPr>
                <w:color w:val="231F20"/>
                <w:w w:val="80"/>
                <w:sz w:val="14"/>
              </w:rPr>
              <w:t>6 aulas</w:t>
            </w:r>
          </w:p>
        </w:tc>
        <w:tc>
          <w:tcPr>
            <w:tcW w:w="1338" w:type="dxa"/>
          </w:tcPr>
          <w:p>
            <w:pPr>
              <w:pStyle w:val="TableParagraph"/>
              <w:spacing w:line="142" w:lineRule="exact"/>
              <w:ind w:left="350" w:right="348"/>
              <w:jc w:val="center"/>
              <w:rPr>
                <w:sz w:val="14"/>
              </w:rPr>
            </w:pPr>
            <w:r>
              <w:rPr>
                <w:color w:val="231F20"/>
                <w:w w:val="80"/>
                <w:sz w:val="14"/>
              </w:rPr>
              <w:t>11 aulas</w:t>
            </w:r>
          </w:p>
        </w:tc>
        <w:tc>
          <w:tcPr>
            <w:tcW w:w="994" w:type="dxa"/>
          </w:tcPr>
          <w:p>
            <w:pPr>
              <w:pStyle w:val="TableParagraph"/>
              <w:spacing w:line="142" w:lineRule="exact"/>
              <w:ind w:left="164" w:right="164"/>
              <w:jc w:val="center"/>
              <w:rPr>
                <w:sz w:val="14"/>
              </w:rPr>
            </w:pPr>
            <w:r>
              <w:rPr>
                <w:color w:val="231F20"/>
                <w:w w:val="85"/>
                <w:sz w:val="14"/>
              </w:rPr>
              <w:t>45</w:t>
            </w:r>
          </w:p>
        </w:tc>
        <w:tc>
          <w:tcPr>
            <w:tcW w:w="2309" w:type="dxa"/>
          </w:tcPr>
          <w:p>
            <w:pPr>
              <w:pStyle w:val="TableParagraph"/>
              <w:spacing w:line="142" w:lineRule="exact"/>
              <w:ind w:left="579" w:right="197"/>
              <w:rPr>
                <w:sz w:val="14"/>
              </w:rPr>
            </w:pPr>
            <w:r>
              <w:rPr>
                <w:color w:val="231F20"/>
                <w:w w:val="75"/>
                <w:sz w:val="14"/>
              </w:rPr>
              <w:t>Construcción de CECYTEM</w:t>
            </w:r>
          </w:p>
        </w:tc>
      </w:tr>
      <w:tr>
        <w:trPr>
          <w:trHeight w:val="367" w:hRule="exact"/>
        </w:trPr>
        <w:tc>
          <w:tcPr>
            <w:tcW w:w="354" w:type="dxa"/>
            <w:vMerge/>
            <w:textDirection w:val="btLr"/>
          </w:tcPr>
          <w:p>
            <w:pPr/>
          </w:p>
        </w:tc>
        <w:tc>
          <w:tcPr>
            <w:tcW w:w="1817" w:type="dxa"/>
          </w:tcPr>
          <w:p>
            <w:pPr>
              <w:pStyle w:val="TableParagraph"/>
              <w:spacing w:line="142" w:lineRule="exact"/>
              <w:ind w:left="350" w:right="350"/>
              <w:jc w:val="center"/>
              <w:rPr>
                <w:sz w:val="14"/>
              </w:rPr>
            </w:pPr>
            <w:r>
              <w:rPr>
                <w:color w:val="231F20"/>
                <w:w w:val="75"/>
                <w:sz w:val="14"/>
              </w:rPr>
              <w:t>Normal Superior</w:t>
            </w:r>
          </w:p>
        </w:tc>
        <w:tc>
          <w:tcPr>
            <w:tcW w:w="1115" w:type="dxa"/>
          </w:tcPr>
          <w:p>
            <w:pPr>
              <w:pStyle w:val="TableParagraph"/>
              <w:spacing w:line="142" w:lineRule="exact"/>
              <w:ind w:left="238" w:right="236"/>
              <w:jc w:val="center"/>
              <w:rPr>
                <w:sz w:val="14"/>
              </w:rPr>
            </w:pPr>
            <w:r>
              <w:rPr>
                <w:color w:val="231F20"/>
                <w:w w:val="80"/>
                <w:sz w:val="14"/>
              </w:rPr>
              <w:t>4 aulas</w:t>
            </w:r>
          </w:p>
        </w:tc>
        <w:tc>
          <w:tcPr>
            <w:tcW w:w="1338" w:type="dxa"/>
          </w:tcPr>
          <w:p>
            <w:pPr>
              <w:pStyle w:val="TableParagraph"/>
              <w:spacing w:line="142" w:lineRule="exact"/>
              <w:ind w:left="350" w:right="349"/>
              <w:jc w:val="center"/>
              <w:rPr>
                <w:sz w:val="14"/>
              </w:rPr>
            </w:pPr>
            <w:r>
              <w:rPr>
                <w:color w:val="231F20"/>
                <w:w w:val="80"/>
                <w:sz w:val="14"/>
              </w:rPr>
              <w:t>2 aulas</w:t>
            </w:r>
          </w:p>
        </w:tc>
        <w:tc>
          <w:tcPr>
            <w:tcW w:w="994" w:type="dxa"/>
          </w:tcPr>
          <w:p>
            <w:pPr>
              <w:pStyle w:val="TableParagraph"/>
              <w:spacing w:line="142" w:lineRule="exact"/>
              <w:ind w:left="164" w:right="164"/>
              <w:jc w:val="center"/>
              <w:rPr>
                <w:sz w:val="14"/>
              </w:rPr>
            </w:pPr>
            <w:r>
              <w:rPr>
                <w:color w:val="231F20"/>
                <w:w w:val="90"/>
                <w:sz w:val="14"/>
              </w:rPr>
              <w:t>-50</w:t>
            </w:r>
          </w:p>
        </w:tc>
        <w:tc>
          <w:tcPr>
            <w:tcW w:w="2309" w:type="dxa"/>
          </w:tcPr>
          <w:p>
            <w:pPr>
              <w:pStyle w:val="TableParagraph"/>
              <w:spacing w:line="142" w:lineRule="exact"/>
              <w:ind w:left="783" w:right="783"/>
              <w:jc w:val="center"/>
              <w:rPr>
                <w:sz w:val="14"/>
              </w:rPr>
            </w:pPr>
            <w:r>
              <w:rPr>
                <w:color w:val="231F20"/>
                <w:w w:val="75"/>
                <w:sz w:val="14"/>
              </w:rPr>
              <w:t>No reporta</w:t>
            </w:r>
          </w:p>
        </w:tc>
      </w:tr>
      <w:tr>
        <w:trPr>
          <w:trHeight w:val="612" w:hRule="exact"/>
        </w:trPr>
        <w:tc>
          <w:tcPr>
            <w:tcW w:w="354" w:type="dxa"/>
            <w:vMerge w:val="restart"/>
            <w:textDirection w:val="btLr"/>
          </w:tcPr>
          <w:p>
            <w:pPr>
              <w:pStyle w:val="TableParagraph"/>
              <w:spacing w:before="74"/>
              <w:ind w:left="276"/>
              <w:rPr>
                <w:sz w:val="14"/>
              </w:rPr>
            </w:pPr>
            <w:r>
              <w:rPr>
                <w:color w:val="231F20"/>
                <w:spacing w:val="2"/>
                <w:w w:val="72"/>
                <w:sz w:val="14"/>
              </w:rPr>
              <w:t>De</w:t>
            </w:r>
            <w:r>
              <w:rPr>
                <w:color w:val="231F20"/>
                <w:spacing w:val="2"/>
                <w:w w:val="74"/>
                <w:sz w:val="14"/>
              </w:rPr>
              <w:t>po</w:t>
            </w:r>
            <w:r>
              <w:rPr>
                <w:color w:val="231F20"/>
                <w:spacing w:val="5"/>
                <w:w w:val="71"/>
                <w:sz w:val="14"/>
              </w:rPr>
              <w:t>r</w:t>
            </w:r>
            <w:r>
              <w:rPr>
                <w:color w:val="231F20"/>
                <w:spacing w:val="1"/>
                <w:w w:val="76"/>
                <w:sz w:val="14"/>
              </w:rPr>
              <w:t>t</w:t>
            </w:r>
            <w:r>
              <w:rPr>
                <w:color w:val="231F20"/>
                <w:spacing w:val="2"/>
                <w:w w:val="72"/>
                <w:sz w:val="14"/>
              </w:rPr>
              <w:t>e</w:t>
            </w:r>
            <w:r>
              <w:rPr>
                <w:color w:val="231F20"/>
                <w:w w:val="73"/>
                <w:sz w:val="14"/>
              </w:rPr>
              <w:t>s</w:t>
            </w:r>
          </w:p>
        </w:tc>
        <w:tc>
          <w:tcPr>
            <w:tcW w:w="1817" w:type="dxa"/>
          </w:tcPr>
          <w:p>
            <w:pPr>
              <w:pStyle w:val="TableParagraph"/>
              <w:spacing w:line="143" w:lineRule="exact"/>
              <w:ind w:left="350" w:right="350"/>
              <w:jc w:val="center"/>
              <w:rPr>
                <w:sz w:val="14"/>
              </w:rPr>
            </w:pPr>
            <w:r>
              <w:rPr>
                <w:color w:val="231F20"/>
                <w:w w:val="75"/>
                <w:sz w:val="14"/>
              </w:rPr>
              <w:t>Unidad Deportiva</w:t>
            </w:r>
          </w:p>
        </w:tc>
        <w:tc>
          <w:tcPr>
            <w:tcW w:w="1115" w:type="dxa"/>
          </w:tcPr>
          <w:p>
            <w:pPr>
              <w:pStyle w:val="TableParagraph"/>
              <w:spacing w:line="143" w:lineRule="exact"/>
              <w:ind w:left="238" w:right="237"/>
              <w:jc w:val="center"/>
              <w:rPr>
                <w:sz w:val="14"/>
              </w:rPr>
            </w:pPr>
            <w:r>
              <w:rPr>
                <w:color w:val="231F20"/>
                <w:w w:val="75"/>
                <w:sz w:val="14"/>
              </w:rPr>
              <w:t>No disponible</w:t>
            </w:r>
          </w:p>
        </w:tc>
        <w:tc>
          <w:tcPr>
            <w:tcW w:w="1338" w:type="dxa"/>
          </w:tcPr>
          <w:p>
            <w:pPr>
              <w:pStyle w:val="TableParagraph"/>
              <w:spacing w:line="143" w:lineRule="exact"/>
              <w:ind w:left="349" w:right="349"/>
              <w:jc w:val="center"/>
              <w:rPr>
                <w:sz w:val="8"/>
              </w:rPr>
            </w:pPr>
            <w:r>
              <w:rPr>
                <w:color w:val="231F20"/>
                <w:w w:val="80"/>
                <w:sz w:val="14"/>
              </w:rPr>
              <w:t>3,200 m</w:t>
            </w:r>
            <w:r>
              <w:rPr>
                <w:color w:val="231F20"/>
                <w:w w:val="80"/>
                <w:position w:val="5"/>
                <w:sz w:val="8"/>
              </w:rPr>
              <w:t>2</w:t>
            </w:r>
          </w:p>
        </w:tc>
        <w:tc>
          <w:tcPr>
            <w:tcW w:w="994" w:type="dxa"/>
          </w:tcPr>
          <w:p>
            <w:pPr>
              <w:pStyle w:val="TableParagraph"/>
              <w:spacing w:line="143" w:lineRule="exact"/>
              <w:ind w:left="164" w:right="164"/>
              <w:jc w:val="center"/>
              <w:rPr>
                <w:sz w:val="14"/>
              </w:rPr>
            </w:pPr>
            <w:r>
              <w:rPr>
                <w:color w:val="231F20"/>
                <w:w w:val="75"/>
                <w:sz w:val="14"/>
              </w:rPr>
              <w:t>No disponible.</w:t>
            </w:r>
          </w:p>
        </w:tc>
        <w:tc>
          <w:tcPr>
            <w:tcW w:w="2309" w:type="dxa"/>
          </w:tcPr>
          <w:p>
            <w:pPr>
              <w:pStyle w:val="TableParagraph"/>
              <w:spacing w:line="143" w:lineRule="exact"/>
              <w:ind w:left="783" w:right="783"/>
              <w:jc w:val="center"/>
              <w:rPr>
                <w:sz w:val="14"/>
              </w:rPr>
            </w:pPr>
            <w:r>
              <w:rPr>
                <w:color w:val="231F20"/>
                <w:w w:val="75"/>
                <w:sz w:val="14"/>
              </w:rPr>
              <w:t>No reporta</w:t>
            </w:r>
          </w:p>
        </w:tc>
      </w:tr>
      <w:tr>
        <w:trPr>
          <w:trHeight w:val="356" w:hRule="exact"/>
        </w:trPr>
        <w:tc>
          <w:tcPr>
            <w:tcW w:w="354" w:type="dxa"/>
            <w:vMerge/>
            <w:textDirection w:val="btLr"/>
          </w:tcPr>
          <w:p>
            <w:pPr/>
          </w:p>
        </w:tc>
        <w:tc>
          <w:tcPr>
            <w:tcW w:w="1817" w:type="dxa"/>
          </w:tcPr>
          <w:p>
            <w:pPr>
              <w:pStyle w:val="TableParagraph"/>
              <w:spacing w:line="143" w:lineRule="exact"/>
              <w:ind w:left="350" w:right="348"/>
              <w:jc w:val="center"/>
              <w:rPr>
                <w:sz w:val="14"/>
              </w:rPr>
            </w:pPr>
            <w:r>
              <w:rPr>
                <w:color w:val="231F20"/>
                <w:w w:val="75"/>
                <w:sz w:val="14"/>
              </w:rPr>
              <w:t>Campos deportivos</w:t>
            </w:r>
          </w:p>
        </w:tc>
        <w:tc>
          <w:tcPr>
            <w:tcW w:w="1115" w:type="dxa"/>
          </w:tcPr>
          <w:p>
            <w:pPr>
              <w:pStyle w:val="TableParagraph"/>
              <w:spacing w:line="143" w:lineRule="exact"/>
              <w:ind w:left="237" w:right="237"/>
              <w:jc w:val="center"/>
              <w:rPr>
                <w:sz w:val="8"/>
              </w:rPr>
            </w:pPr>
            <w:r>
              <w:rPr>
                <w:color w:val="231F20"/>
                <w:w w:val="75"/>
                <w:sz w:val="14"/>
              </w:rPr>
              <w:t>14,286 m</w:t>
            </w:r>
            <w:r>
              <w:rPr>
                <w:color w:val="231F20"/>
                <w:w w:val="75"/>
                <w:position w:val="5"/>
                <w:sz w:val="8"/>
              </w:rPr>
              <w:t>2</w:t>
            </w:r>
          </w:p>
        </w:tc>
        <w:tc>
          <w:tcPr>
            <w:tcW w:w="1338" w:type="dxa"/>
          </w:tcPr>
          <w:p>
            <w:pPr>
              <w:pStyle w:val="TableParagraph"/>
              <w:spacing w:line="143" w:lineRule="exact"/>
              <w:ind w:left="349" w:right="349"/>
              <w:jc w:val="center"/>
              <w:rPr>
                <w:sz w:val="8"/>
              </w:rPr>
            </w:pPr>
            <w:r>
              <w:rPr>
                <w:color w:val="231F20"/>
                <w:w w:val="80"/>
                <w:sz w:val="14"/>
              </w:rPr>
              <w:t>5,286 m</w:t>
            </w:r>
            <w:r>
              <w:rPr>
                <w:color w:val="231F20"/>
                <w:w w:val="80"/>
                <w:position w:val="5"/>
                <w:sz w:val="8"/>
              </w:rPr>
              <w:t>2</w:t>
            </w:r>
          </w:p>
        </w:tc>
        <w:tc>
          <w:tcPr>
            <w:tcW w:w="994" w:type="dxa"/>
          </w:tcPr>
          <w:p>
            <w:pPr>
              <w:pStyle w:val="TableParagraph"/>
              <w:spacing w:line="143" w:lineRule="exact"/>
              <w:ind w:left="164" w:right="163"/>
              <w:jc w:val="center"/>
              <w:rPr>
                <w:sz w:val="14"/>
              </w:rPr>
            </w:pPr>
            <w:r>
              <w:rPr>
                <w:color w:val="231F20"/>
                <w:w w:val="90"/>
                <w:sz w:val="14"/>
              </w:rPr>
              <w:t>-63</w:t>
            </w:r>
          </w:p>
        </w:tc>
        <w:tc>
          <w:tcPr>
            <w:tcW w:w="2309" w:type="dxa"/>
          </w:tcPr>
          <w:p>
            <w:pPr>
              <w:pStyle w:val="TableParagraph"/>
              <w:spacing w:line="143" w:lineRule="exact"/>
              <w:ind w:left="0" w:right="212"/>
              <w:jc w:val="right"/>
              <w:rPr>
                <w:sz w:val="14"/>
              </w:rPr>
            </w:pPr>
            <w:r>
              <w:rPr>
                <w:color w:val="231F20"/>
                <w:w w:val="80"/>
                <w:sz w:val="14"/>
              </w:rPr>
              <w:t>Construcción de cancha de usos múltiples.</w:t>
            </w:r>
          </w:p>
        </w:tc>
      </w:tr>
      <w:tr>
        <w:trPr>
          <w:trHeight w:val="367" w:hRule="exact"/>
        </w:trPr>
        <w:tc>
          <w:tcPr>
            <w:tcW w:w="354" w:type="dxa"/>
            <w:vMerge w:val="restart"/>
            <w:textDirection w:val="btLr"/>
          </w:tcPr>
          <w:p>
            <w:pPr>
              <w:pStyle w:val="TableParagraph"/>
              <w:spacing w:before="74"/>
              <w:ind w:left="402" w:right="402"/>
              <w:jc w:val="center"/>
              <w:rPr>
                <w:sz w:val="14"/>
              </w:rPr>
            </w:pPr>
            <w:r>
              <w:rPr>
                <w:color w:val="231F20"/>
                <w:spacing w:val="3"/>
                <w:w w:val="78"/>
                <w:sz w:val="14"/>
              </w:rPr>
              <w:t>S</w:t>
            </w:r>
            <w:r>
              <w:rPr>
                <w:color w:val="231F20"/>
                <w:spacing w:val="1"/>
                <w:w w:val="75"/>
                <w:sz w:val="14"/>
              </w:rPr>
              <w:t>a</w:t>
            </w:r>
            <w:r>
              <w:rPr>
                <w:color w:val="231F20"/>
                <w:spacing w:val="1"/>
                <w:w w:val="78"/>
                <w:sz w:val="14"/>
              </w:rPr>
              <w:t>l</w:t>
            </w:r>
            <w:r>
              <w:rPr>
                <w:color w:val="231F20"/>
                <w:spacing w:val="2"/>
                <w:w w:val="78"/>
                <w:sz w:val="14"/>
              </w:rPr>
              <w:t>u</w:t>
            </w:r>
            <w:r>
              <w:rPr>
                <w:color w:val="231F20"/>
                <w:w w:val="75"/>
                <w:sz w:val="14"/>
              </w:rPr>
              <w:t>d</w:t>
            </w:r>
          </w:p>
        </w:tc>
        <w:tc>
          <w:tcPr>
            <w:tcW w:w="1817" w:type="dxa"/>
          </w:tcPr>
          <w:p>
            <w:pPr>
              <w:pStyle w:val="TableParagraph"/>
              <w:spacing w:line="143" w:lineRule="exact"/>
              <w:ind w:left="350" w:right="350"/>
              <w:jc w:val="center"/>
              <w:rPr>
                <w:sz w:val="14"/>
              </w:rPr>
            </w:pPr>
            <w:r>
              <w:rPr>
                <w:color w:val="231F20"/>
                <w:w w:val="80"/>
                <w:sz w:val="14"/>
              </w:rPr>
              <w:t>Centros de Salud</w:t>
            </w:r>
          </w:p>
        </w:tc>
        <w:tc>
          <w:tcPr>
            <w:tcW w:w="1115" w:type="dxa"/>
          </w:tcPr>
          <w:p>
            <w:pPr>
              <w:pStyle w:val="TableParagraph"/>
              <w:spacing w:line="143" w:lineRule="exact"/>
              <w:ind w:left="238" w:right="237"/>
              <w:jc w:val="center"/>
              <w:rPr>
                <w:sz w:val="14"/>
              </w:rPr>
            </w:pPr>
            <w:r>
              <w:rPr>
                <w:color w:val="231F20"/>
                <w:w w:val="75"/>
                <w:sz w:val="14"/>
              </w:rPr>
              <w:t>No disponible</w:t>
            </w:r>
          </w:p>
        </w:tc>
        <w:tc>
          <w:tcPr>
            <w:tcW w:w="1338" w:type="dxa"/>
          </w:tcPr>
          <w:p>
            <w:pPr>
              <w:pStyle w:val="TableParagraph"/>
              <w:spacing w:line="143" w:lineRule="exact"/>
              <w:ind w:left="349" w:right="349"/>
              <w:jc w:val="center"/>
              <w:rPr>
                <w:sz w:val="14"/>
              </w:rPr>
            </w:pPr>
            <w:r>
              <w:rPr>
                <w:color w:val="231F20"/>
                <w:w w:val="85"/>
                <w:sz w:val="14"/>
              </w:rPr>
              <w:t>14</w:t>
            </w:r>
          </w:p>
        </w:tc>
        <w:tc>
          <w:tcPr>
            <w:tcW w:w="994" w:type="dxa"/>
          </w:tcPr>
          <w:p>
            <w:pPr>
              <w:pStyle w:val="TableParagraph"/>
              <w:spacing w:line="143" w:lineRule="exact"/>
              <w:ind w:left="164" w:right="163"/>
              <w:jc w:val="center"/>
              <w:rPr>
                <w:sz w:val="14"/>
              </w:rPr>
            </w:pPr>
            <w:r>
              <w:rPr>
                <w:color w:val="231F20"/>
                <w:w w:val="75"/>
                <w:sz w:val="14"/>
              </w:rPr>
              <w:t>No disponible</w:t>
            </w:r>
          </w:p>
        </w:tc>
        <w:tc>
          <w:tcPr>
            <w:tcW w:w="2309" w:type="dxa"/>
          </w:tcPr>
          <w:p>
            <w:pPr>
              <w:pStyle w:val="TableParagraph"/>
              <w:spacing w:line="143" w:lineRule="exact"/>
              <w:ind w:left="380" w:right="197"/>
              <w:rPr>
                <w:sz w:val="14"/>
              </w:rPr>
            </w:pPr>
            <w:r>
              <w:rPr>
                <w:color w:val="231F20"/>
                <w:w w:val="80"/>
                <w:sz w:val="14"/>
              </w:rPr>
              <w:t>Remodelación de centros de salud.</w:t>
            </w:r>
          </w:p>
        </w:tc>
      </w:tr>
      <w:tr>
        <w:trPr>
          <w:trHeight w:val="367" w:hRule="exact"/>
        </w:trPr>
        <w:tc>
          <w:tcPr>
            <w:tcW w:w="354" w:type="dxa"/>
            <w:vMerge/>
            <w:textDirection w:val="btLr"/>
          </w:tcPr>
          <w:p>
            <w:pPr/>
          </w:p>
        </w:tc>
        <w:tc>
          <w:tcPr>
            <w:tcW w:w="1817" w:type="dxa"/>
          </w:tcPr>
          <w:p>
            <w:pPr>
              <w:pStyle w:val="TableParagraph"/>
              <w:spacing w:line="143" w:lineRule="exact"/>
              <w:ind w:left="350" w:right="350"/>
              <w:jc w:val="center"/>
              <w:rPr>
                <w:sz w:val="14"/>
              </w:rPr>
            </w:pPr>
            <w:r>
              <w:rPr>
                <w:color w:val="231F20"/>
                <w:w w:val="85"/>
                <w:sz w:val="14"/>
              </w:rPr>
              <w:t>Clínicas</w:t>
            </w:r>
          </w:p>
        </w:tc>
        <w:tc>
          <w:tcPr>
            <w:tcW w:w="1115" w:type="dxa"/>
          </w:tcPr>
          <w:p>
            <w:pPr>
              <w:pStyle w:val="TableParagraph"/>
              <w:spacing w:line="143" w:lineRule="exact"/>
              <w:ind w:left="238" w:right="237"/>
              <w:jc w:val="center"/>
              <w:rPr>
                <w:sz w:val="14"/>
              </w:rPr>
            </w:pPr>
            <w:r>
              <w:rPr>
                <w:color w:val="231F20"/>
                <w:w w:val="75"/>
                <w:sz w:val="14"/>
              </w:rPr>
              <w:t>No disponible</w:t>
            </w:r>
          </w:p>
        </w:tc>
        <w:tc>
          <w:tcPr>
            <w:tcW w:w="1338" w:type="dxa"/>
          </w:tcPr>
          <w:p>
            <w:pPr>
              <w:pStyle w:val="TableParagraph"/>
              <w:spacing w:line="143" w:lineRule="exact"/>
              <w:ind w:left="0"/>
              <w:jc w:val="center"/>
              <w:rPr>
                <w:sz w:val="14"/>
              </w:rPr>
            </w:pPr>
            <w:r>
              <w:rPr>
                <w:color w:val="231F20"/>
                <w:w w:val="75"/>
                <w:sz w:val="14"/>
              </w:rPr>
              <w:t>1</w:t>
            </w:r>
          </w:p>
        </w:tc>
        <w:tc>
          <w:tcPr>
            <w:tcW w:w="994" w:type="dxa"/>
          </w:tcPr>
          <w:p>
            <w:pPr>
              <w:pStyle w:val="TableParagraph"/>
              <w:spacing w:line="143" w:lineRule="exact"/>
              <w:ind w:left="164" w:right="163"/>
              <w:jc w:val="center"/>
              <w:rPr>
                <w:sz w:val="14"/>
              </w:rPr>
            </w:pPr>
            <w:r>
              <w:rPr>
                <w:color w:val="231F20"/>
                <w:w w:val="75"/>
                <w:sz w:val="14"/>
              </w:rPr>
              <w:t>No disponible</w:t>
            </w:r>
          </w:p>
        </w:tc>
        <w:tc>
          <w:tcPr>
            <w:tcW w:w="2309" w:type="dxa"/>
          </w:tcPr>
          <w:p>
            <w:pPr>
              <w:pStyle w:val="TableParagraph"/>
              <w:spacing w:line="143" w:lineRule="exact"/>
              <w:ind w:left="783" w:right="783"/>
              <w:jc w:val="center"/>
              <w:rPr>
                <w:sz w:val="14"/>
              </w:rPr>
            </w:pPr>
            <w:r>
              <w:rPr>
                <w:color w:val="231F20"/>
                <w:w w:val="75"/>
                <w:sz w:val="14"/>
              </w:rPr>
              <w:t>No reporta</w:t>
            </w:r>
          </w:p>
        </w:tc>
      </w:tr>
      <w:tr>
        <w:trPr>
          <w:trHeight w:val="367" w:hRule="exact"/>
        </w:trPr>
        <w:tc>
          <w:tcPr>
            <w:tcW w:w="354" w:type="dxa"/>
            <w:vMerge/>
            <w:textDirection w:val="btLr"/>
          </w:tcPr>
          <w:p>
            <w:pPr/>
          </w:p>
        </w:tc>
        <w:tc>
          <w:tcPr>
            <w:tcW w:w="1817" w:type="dxa"/>
          </w:tcPr>
          <w:p>
            <w:pPr>
              <w:pStyle w:val="TableParagraph"/>
              <w:spacing w:line="196" w:lineRule="auto"/>
              <w:ind w:left="743" w:hanging="505"/>
              <w:rPr>
                <w:sz w:val="14"/>
              </w:rPr>
            </w:pPr>
            <w:r>
              <w:rPr>
                <w:color w:val="231F20"/>
                <w:w w:val="80"/>
                <w:sz w:val="14"/>
              </w:rPr>
              <w:t>Hospital general y de Especia- </w:t>
            </w:r>
            <w:r>
              <w:rPr>
                <w:color w:val="231F20"/>
                <w:w w:val="85"/>
                <w:sz w:val="14"/>
              </w:rPr>
              <w:t>lidades</w:t>
            </w:r>
          </w:p>
        </w:tc>
        <w:tc>
          <w:tcPr>
            <w:tcW w:w="1115" w:type="dxa"/>
          </w:tcPr>
          <w:p>
            <w:pPr>
              <w:pStyle w:val="TableParagraph"/>
              <w:spacing w:line="142" w:lineRule="exact"/>
              <w:ind w:left="238" w:right="236"/>
              <w:jc w:val="center"/>
              <w:rPr>
                <w:sz w:val="14"/>
              </w:rPr>
            </w:pPr>
            <w:r>
              <w:rPr>
                <w:color w:val="231F20"/>
                <w:w w:val="75"/>
                <w:sz w:val="14"/>
              </w:rPr>
              <w:t>No disponible</w:t>
            </w:r>
          </w:p>
        </w:tc>
        <w:tc>
          <w:tcPr>
            <w:tcW w:w="1338" w:type="dxa"/>
          </w:tcPr>
          <w:p>
            <w:pPr>
              <w:pStyle w:val="TableParagraph"/>
              <w:spacing w:line="142" w:lineRule="exact"/>
              <w:ind w:left="0"/>
              <w:jc w:val="center"/>
              <w:rPr>
                <w:sz w:val="14"/>
              </w:rPr>
            </w:pPr>
            <w:r>
              <w:rPr>
                <w:color w:val="231F20"/>
                <w:w w:val="75"/>
                <w:sz w:val="14"/>
              </w:rPr>
              <w:t>1</w:t>
            </w:r>
          </w:p>
        </w:tc>
        <w:tc>
          <w:tcPr>
            <w:tcW w:w="994" w:type="dxa"/>
          </w:tcPr>
          <w:p>
            <w:pPr>
              <w:pStyle w:val="TableParagraph"/>
              <w:spacing w:line="142" w:lineRule="exact"/>
              <w:ind w:left="164" w:right="162"/>
              <w:jc w:val="center"/>
              <w:rPr>
                <w:sz w:val="14"/>
              </w:rPr>
            </w:pPr>
            <w:r>
              <w:rPr>
                <w:color w:val="231F20"/>
                <w:w w:val="75"/>
                <w:sz w:val="14"/>
              </w:rPr>
              <w:t>No disponible</w:t>
            </w:r>
          </w:p>
        </w:tc>
        <w:tc>
          <w:tcPr>
            <w:tcW w:w="2309" w:type="dxa"/>
          </w:tcPr>
          <w:p>
            <w:pPr>
              <w:pStyle w:val="TableParagraph"/>
              <w:spacing w:line="142" w:lineRule="exact"/>
              <w:ind w:left="783" w:right="783"/>
              <w:jc w:val="center"/>
              <w:rPr>
                <w:sz w:val="14"/>
              </w:rPr>
            </w:pPr>
            <w:r>
              <w:rPr>
                <w:color w:val="231F20"/>
                <w:w w:val="75"/>
                <w:sz w:val="14"/>
              </w:rPr>
              <w:t>No reporta</w:t>
            </w:r>
          </w:p>
        </w:tc>
      </w:tr>
      <w:tr>
        <w:trPr>
          <w:trHeight w:val="367" w:hRule="exact"/>
        </w:trPr>
        <w:tc>
          <w:tcPr>
            <w:tcW w:w="354" w:type="dxa"/>
            <w:vMerge w:val="restart"/>
            <w:textDirection w:val="btLr"/>
          </w:tcPr>
          <w:p>
            <w:pPr>
              <w:pStyle w:val="TableParagraph"/>
              <w:spacing w:before="74"/>
              <w:ind w:left="328" w:right="328"/>
              <w:jc w:val="center"/>
              <w:rPr>
                <w:sz w:val="14"/>
              </w:rPr>
            </w:pPr>
            <w:r>
              <w:rPr>
                <w:color w:val="231F20"/>
                <w:spacing w:val="2"/>
                <w:w w:val="75"/>
                <w:sz w:val="14"/>
              </w:rPr>
              <w:t>Ab</w:t>
            </w:r>
            <w:r>
              <w:rPr>
                <w:color w:val="231F20"/>
                <w:spacing w:val="2"/>
                <w:w w:val="75"/>
                <w:sz w:val="14"/>
              </w:rPr>
              <w:t>a</w:t>
            </w:r>
            <w:r>
              <w:rPr>
                <w:color w:val="231F20"/>
                <w:spacing w:val="3"/>
                <w:w w:val="75"/>
                <w:sz w:val="14"/>
              </w:rPr>
              <w:t>s</w:t>
            </w:r>
            <w:r>
              <w:rPr>
                <w:color w:val="231F20"/>
                <w:spacing w:val="1"/>
                <w:w w:val="76"/>
                <w:sz w:val="14"/>
              </w:rPr>
              <w:t>t</w:t>
            </w:r>
            <w:r>
              <w:rPr>
                <w:color w:val="231F20"/>
                <w:w w:val="72"/>
                <w:sz w:val="14"/>
              </w:rPr>
              <w:t>o</w:t>
            </w:r>
          </w:p>
        </w:tc>
        <w:tc>
          <w:tcPr>
            <w:tcW w:w="1817" w:type="dxa"/>
          </w:tcPr>
          <w:p>
            <w:pPr>
              <w:pStyle w:val="TableParagraph"/>
              <w:spacing w:line="143" w:lineRule="exact"/>
              <w:ind w:left="350" w:right="350"/>
              <w:jc w:val="center"/>
              <w:rPr>
                <w:sz w:val="14"/>
              </w:rPr>
            </w:pPr>
            <w:r>
              <w:rPr>
                <w:color w:val="231F20"/>
                <w:w w:val="85"/>
                <w:sz w:val="14"/>
              </w:rPr>
              <w:t>Rastro</w:t>
            </w:r>
          </w:p>
        </w:tc>
        <w:tc>
          <w:tcPr>
            <w:tcW w:w="1115" w:type="dxa"/>
          </w:tcPr>
          <w:p>
            <w:pPr>
              <w:pStyle w:val="TableParagraph"/>
              <w:spacing w:line="143" w:lineRule="exact"/>
              <w:ind w:left="237" w:right="237"/>
              <w:jc w:val="center"/>
              <w:rPr>
                <w:sz w:val="8"/>
              </w:rPr>
            </w:pPr>
            <w:r>
              <w:rPr>
                <w:color w:val="231F20"/>
                <w:w w:val="80"/>
                <w:sz w:val="14"/>
              </w:rPr>
              <w:t>230 m</w:t>
            </w:r>
            <w:r>
              <w:rPr>
                <w:color w:val="231F20"/>
                <w:w w:val="80"/>
                <w:position w:val="5"/>
                <w:sz w:val="8"/>
              </w:rPr>
              <w:t>2</w:t>
            </w:r>
          </w:p>
        </w:tc>
        <w:tc>
          <w:tcPr>
            <w:tcW w:w="1338" w:type="dxa"/>
          </w:tcPr>
          <w:p>
            <w:pPr>
              <w:pStyle w:val="TableParagraph"/>
              <w:spacing w:line="143" w:lineRule="exact"/>
              <w:ind w:left="349" w:right="349"/>
              <w:jc w:val="center"/>
              <w:rPr>
                <w:sz w:val="8"/>
              </w:rPr>
            </w:pPr>
            <w:r>
              <w:rPr>
                <w:color w:val="231F20"/>
                <w:w w:val="80"/>
                <w:sz w:val="14"/>
              </w:rPr>
              <w:t>370 m</w:t>
            </w:r>
            <w:r>
              <w:rPr>
                <w:color w:val="231F20"/>
                <w:w w:val="80"/>
                <w:position w:val="5"/>
                <w:sz w:val="8"/>
              </w:rPr>
              <w:t>2</w:t>
            </w:r>
          </w:p>
        </w:tc>
        <w:tc>
          <w:tcPr>
            <w:tcW w:w="994" w:type="dxa"/>
          </w:tcPr>
          <w:p>
            <w:pPr>
              <w:pStyle w:val="TableParagraph"/>
              <w:spacing w:line="143" w:lineRule="exact"/>
              <w:ind w:left="164" w:right="164"/>
              <w:jc w:val="center"/>
              <w:rPr>
                <w:sz w:val="14"/>
              </w:rPr>
            </w:pPr>
            <w:r>
              <w:rPr>
                <w:color w:val="231F20"/>
                <w:w w:val="85"/>
                <w:sz w:val="14"/>
              </w:rPr>
              <w:t>62</w:t>
            </w:r>
          </w:p>
        </w:tc>
        <w:tc>
          <w:tcPr>
            <w:tcW w:w="2309" w:type="dxa"/>
          </w:tcPr>
          <w:p>
            <w:pPr>
              <w:pStyle w:val="TableParagraph"/>
              <w:spacing w:line="143" w:lineRule="exact"/>
              <w:ind w:left="783" w:right="783"/>
              <w:jc w:val="center"/>
              <w:rPr>
                <w:sz w:val="14"/>
              </w:rPr>
            </w:pPr>
            <w:r>
              <w:rPr>
                <w:color w:val="231F20"/>
                <w:w w:val="75"/>
                <w:sz w:val="14"/>
              </w:rPr>
              <w:t>No reporta</w:t>
            </w:r>
          </w:p>
        </w:tc>
      </w:tr>
      <w:tr>
        <w:trPr>
          <w:trHeight w:val="459" w:hRule="exact"/>
        </w:trPr>
        <w:tc>
          <w:tcPr>
            <w:tcW w:w="354" w:type="dxa"/>
            <w:vMerge/>
            <w:textDirection w:val="btLr"/>
          </w:tcPr>
          <w:p>
            <w:pPr/>
          </w:p>
        </w:tc>
        <w:tc>
          <w:tcPr>
            <w:tcW w:w="1817" w:type="dxa"/>
            <w:vMerge w:val="restart"/>
          </w:tcPr>
          <w:p>
            <w:pPr>
              <w:pStyle w:val="TableParagraph"/>
              <w:spacing w:line="143" w:lineRule="exact"/>
              <w:ind w:left="350" w:right="350"/>
              <w:jc w:val="center"/>
              <w:rPr>
                <w:sz w:val="14"/>
              </w:rPr>
            </w:pPr>
            <w:r>
              <w:rPr>
                <w:color w:val="231F20"/>
                <w:w w:val="85"/>
                <w:sz w:val="14"/>
              </w:rPr>
              <w:t>Mercado</w:t>
            </w:r>
          </w:p>
        </w:tc>
        <w:tc>
          <w:tcPr>
            <w:tcW w:w="1115" w:type="dxa"/>
            <w:vMerge w:val="restart"/>
          </w:tcPr>
          <w:p>
            <w:pPr>
              <w:pStyle w:val="TableParagraph"/>
              <w:spacing w:line="143" w:lineRule="exact"/>
              <w:ind w:left="247"/>
              <w:rPr>
                <w:sz w:val="14"/>
              </w:rPr>
            </w:pPr>
            <w:r>
              <w:rPr>
                <w:color w:val="231F20"/>
                <w:w w:val="75"/>
                <w:sz w:val="14"/>
              </w:rPr>
              <w:t>No disponible</w:t>
            </w:r>
          </w:p>
        </w:tc>
        <w:tc>
          <w:tcPr>
            <w:tcW w:w="1338" w:type="dxa"/>
            <w:vMerge w:val="restart"/>
          </w:tcPr>
          <w:p>
            <w:pPr>
              <w:pStyle w:val="TableParagraph"/>
              <w:spacing w:line="143" w:lineRule="exact"/>
              <w:ind w:left="359"/>
              <w:rPr>
                <w:sz w:val="14"/>
              </w:rPr>
            </w:pPr>
            <w:r>
              <w:rPr>
                <w:color w:val="231F20"/>
                <w:w w:val="75"/>
                <w:sz w:val="14"/>
              </w:rPr>
              <w:t>No disponible</w:t>
            </w:r>
          </w:p>
        </w:tc>
        <w:tc>
          <w:tcPr>
            <w:tcW w:w="994" w:type="dxa"/>
            <w:vMerge w:val="restart"/>
          </w:tcPr>
          <w:p>
            <w:pPr>
              <w:pStyle w:val="TableParagraph"/>
              <w:spacing w:line="143" w:lineRule="exact"/>
              <w:ind w:left="0"/>
              <w:jc w:val="center"/>
              <w:rPr>
                <w:sz w:val="14"/>
              </w:rPr>
            </w:pPr>
            <w:r>
              <w:rPr>
                <w:color w:val="231F20"/>
                <w:w w:val="91"/>
                <w:sz w:val="14"/>
              </w:rPr>
              <w:t>-</w:t>
            </w:r>
          </w:p>
        </w:tc>
        <w:tc>
          <w:tcPr>
            <w:tcW w:w="2309" w:type="dxa"/>
          </w:tcPr>
          <w:p>
            <w:pPr>
              <w:pStyle w:val="TableParagraph"/>
              <w:spacing w:line="143" w:lineRule="exact"/>
              <w:ind w:left="560" w:right="197"/>
              <w:rPr>
                <w:sz w:val="14"/>
              </w:rPr>
            </w:pPr>
            <w:r>
              <w:rPr>
                <w:color w:val="231F20"/>
                <w:w w:val="75"/>
                <w:sz w:val="14"/>
              </w:rPr>
              <w:t>Remodelación de mercado</w:t>
            </w:r>
          </w:p>
        </w:tc>
      </w:tr>
      <w:tr>
        <w:trPr>
          <w:trHeight w:val="189" w:hRule="exact"/>
        </w:trPr>
        <w:tc>
          <w:tcPr>
            <w:tcW w:w="354" w:type="dxa"/>
            <w:vMerge/>
            <w:textDirection w:val="btLr"/>
          </w:tcPr>
          <w:p>
            <w:pPr/>
          </w:p>
        </w:tc>
        <w:tc>
          <w:tcPr>
            <w:tcW w:w="1817" w:type="dxa"/>
            <w:vMerge/>
          </w:tcPr>
          <w:p>
            <w:pPr/>
          </w:p>
        </w:tc>
        <w:tc>
          <w:tcPr>
            <w:tcW w:w="1115" w:type="dxa"/>
            <w:vMerge/>
          </w:tcPr>
          <w:p>
            <w:pPr/>
          </w:p>
        </w:tc>
        <w:tc>
          <w:tcPr>
            <w:tcW w:w="1338" w:type="dxa"/>
            <w:vMerge/>
          </w:tcPr>
          <w:p>
            <w:pPr/>
          </w:p>
        </w:tc>
        <w:tc>
          <w:tcPr>
            <w:tcW w:w="994" w:type="dxa"/>
            <w:vMerge/>
          </w:tcPr>
          <w:p>
            <w:pPr/>
          </w:p>
        </w:tc>
        <w:tc>
          <w:tcPr>
            <w:tcW w:w="2309" w:type="dxa"/>
          </w:tcPr>
          <w:p>
            <w:pPr>
              <w:pStyle w:val="TableParagraph"/>
              <w:spacing w:line="143" w:lineRule="exact"/>
              <w:ind w:left="536" w:right="197"/>
              <w:rPr>
                <w:sz w:val="14"/>
              </w:rPr>
            </w:pPr>
            <w:r>
              <w:rPr>
                <w:color w:val="231F20"/>
                <w:w w:val="75"/>
                <w:sz w:val="14"/>
              </w:rPr>
              <w:t>Remodelación de sanitarios</w:t>
            </w:r>
          </w:p>
        </w:tc>
      </w:tr>
    </w:tbl>
    <w:p>
      <w:pPr>
        <w:pStyle w:val="BodyText"/>
        <w:spacing w:before="94"/>
        <w:ind w:left="110" w:right="574"/>
      </w:pPr>
      <w:r>
        <w:rPr>
          <w:color w:val="231F20"/>
          <w:w w:val="105"/>
        </w:rPr>
        <w:t>*Porcentajes negativos indican déficit, porcentajes positivos superávit.</w:t>
      </w:r>
    </w:p>
    <w:p>
      <w:pPr>
        <w:pStyle w:val="BodyText"/>
      </w:pPr>
    </w:p>
    <w:p>
      <w:pPr>
        <w:spacing w:before="147"/>
        <w:ind w:left="1173" w:right="-3"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spacing w:after="0"/>
        <w:jc w:val="left"/>
        <w:rPr>
          <w:rFonts w:ascii="Calibri" w:hAnsi="Calibri"/>
          <w:sz w:val="16"/>
        </w:rPr>
        <w:sectPr>
          <w:footerReference w:type="default" r:id="rId303"/>
          <w:pgSz w:w="9640" w:h="12190"/>
          <w:pgMar w:footer="743" w:header="0" w:top="1120" w:bottom="940" w:left="740" w:right="740"/>
          <w:pgNumType w:start="120"/>
        </w:sectPr>
      </w:pPr>
    </w:p>
    <w:p>
      <w:pPr>
        <w:pStyle w:val="BodyText"/>
        <w:spacing w:before="8"/>
        <w:rPr>
          <w:rFonts w:ascii="Calibri"/>
          <w:sz w:val="10"/>
        </w:rPr>
      </w:pPr>
    </w:p>
    <w:p>
      <w:pPr>
        <w:pStyle w:val="BodyText"/>
        <w:spacing w:line="285" w:lineRule="auto" w:before="35"/>
        <w:ind w:left="110" w:right="108"/>
        <w:jc w:val="both"/>
      </w:pP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Cuadro</w:t>
      </w:r>
      <w:r>
        <w:rPr>
          <w:color w:val="231F20"/>
          <w:spacing w:val="-18"/>
          <w:w w:val="105"/>
        </w:rPr>
        <w:t> </w:t>
      </w:r>
      <w:r>
        <w:rPr>
          <w:color w:val="231F20"/>
          <w:spacing w:val="-3"/>
          <w:w w:val="105"/>
        </w:rPr>
        <w:t>15</w:t>
      </w:r>
      <w:r>
        <w:rPr>
          <w:color w:val="231F20"/>
          <w:spacing w:val="-18"/>
          <w:w w:val="105"/>
        </w:rPr>
        <w:t> </w:t>
      </w:r>
      <w:r>
        <w:rPr>
          <w:color w:val="231F20"/>
          <w:w w:val="105"/>
        </w:rPr>
        <w:t>se</w:t>
      </w:r>
      <w:r>
        <w:rPr>
          <w:color w:val="231F20"/>
          <w:spacing w:val="-18"/>
          <w:w w:val="105"/>
        </w:rPr>
        <w:t> </w:t>
      </w:r>
      <w:r>
        <w:rPr>
          <w:color w:val="231F20"/>
          <w:spacing w:val="-3"/>
          <w:w w:val="105"/>
        </w:rPr>
        <w:t>establece</w:t>
      </w:r>
      <w:r>
        <w:rPr>
          <w:color w:val="231F20"/>
          <w:spacing w:val="-18"/>
          <w:w w:val="105"/>
        </w:rPr>
        <w:t> </w:t>
      </w:r>
      <w:r>
        <w:rPr>
          <w:color w:val="231F20"/>
          <w:w w:val="105"/>
        </w:rPr>
        <w:t>la</w:t>
      </w:r>
      <w:r>
        <w:rPr>
          <w:color w:val="231F20"/>
          <w:spacing w:val="-18"/>
          <w:w w:val="105"/>
        </w:rPr>
        <w:t> </w:t>
      </w:r>
      <w:r>
        <w:rPr>
          <w:color w:val="231F20"/>
          <w:spacing w:val="-3"/>
          <w:w w:val="105"/>
        </w:rPr>
        <w:t>norma</w:t>
      </w:r>
      <w:r>
        <w:rPr>
          <w:color w:val="231F20"/>
          <w:spacing w:val="-18"/>
          <w:w w:val="105"/>
        </w:rPr>
        <w:t> </w:t>
      </w:r>
      <w:r>
        <w:rPr>
          <w:color w:val="231F20"/>
          <w:spacing w:val="-3"/>
          <w:w w:val="105"/>
        </w:rPr>
        <w:t>sugerida</w:t>
      </w:r>
      <w:r>
        <w:rPr>
          <w:color w:val="231F20"/>
          <w:spacing w:val="-18"/>
          <w:w w:val="105"/>
        </w:rPr>
        <w:t> </w:t>
      </w:r>
      <w:r>
        <w:rPr>
          <w:color w:val="231F20"/>
          <w:spacing w:val="-3"/>
          <w:w w:val="105"/>
        </w:rPr>
        <w:t>por</w:t>
      </w:r>
      <w:r>
        <w:rPr>
          <w:color w:val="231F20"/>
          <w:spacing w:val="-18"/>
          <w:w w:val="105"/>
        </w:rPr>
        <w:t> </w:t>
      </w:r>
      <w:r>
        <w:rPr>
          <w:color w:val="231F20"/>
          <w:spacing w:val="-4"/>
          <w:w w:val="105"/>
        </w:rPr>
        <w:t>SEDESOL</w:t>
      </w:r>
      <w:r>
        <w:rPr>
          <w:color w:val="231F20"/>
          <w:spacing w:val="-18"/>
          <w:w w:val="105"/>
        </w:rPr>
        <w:t> </w:t>
      </w:r>
      <w:r>
        <w:rPr>
          <w:color w:val="231F20"/>
          <w:spacing w:val="-3"/>
          <w:w w:val="105"/>
        </w:rPr>
        <w:t>por</w:t>
      </w:r>
      <w:r>
        <w:rPr>
          <w:color w:val="231F20"/>
          <w:spacing w:val="-18"/>
          <w:w w:val="105"/>
        </w:rPr>
        <w:t> </w:t>
      </w:r>
      <w:r>
        <w:rPr>
          <w:color w:val="231F20"/>
          <w:spacing w:val="-3"/>
          <w:w w:val="105"/>
        </w:rPr>
        <w:t>cada</w:t>
      </w:r>
      <w:r>
        <w:rPr>
          <w:color w:val="231F20"/>
          <w:spacing w:val="-18"/>
          <w:w w:val="105"/>
        </w:rPr>
        <w:t> </w:t>
      </w:r>
      <w:r>
        <w:rPr>
          <w:color w:val="231F20"/>
          <w:spacing w:val="-4"/>
          <w:w w:val="105"/>
        </w:rPr>
        <w:t>concepto,</w:t>
      </w:r>
      <w:r>
        <w:rPr>
          <w:color w:val="231F20"/>
          <w:spacing w:val="-18"/>
          <w:w w:val="105"/>
        </w:rPr>
        <w:t> </w:t>
      </w:r>
      <w:r>
        <w:rPr>
          <w:color w:val="231F20"/>
          <w:w w:val="105"/>
        </w:rPr>
        <w:t>asimis- </w:t>
      </w:r>
      <w:r>
        <w:rPr>
          <w:color w:val="231F20"/>
          <w:spacing w:val="-3"/>
          <w:w w:val="105"/>
        </w:rPr>
        <w:t>mo</w:t>
      </w:r>
      <w:r>
        <w:rPr>
          <w:color w:val="231F20"/>
          <w:spacing w:val="-15"/>
          <w:w w:val="105"/>
        </w:rPr>
        <w:t> </w:t>
      </w:r>
      <w:r>
        <w:rPr>
          <w:color w:val="231F20"/>
          <w:w w:val="105"/>
        </w:rPr>
        <w:t>se</w:t>
      </w:r>
      <w:r>
        <w:rPr>
          <w:color w:val="231F20"/>
          <w:spacing w:val="-15"/>
          <w:w w:val="105"/>
        </w:rPr>
        <w:t> </w:t>
      </w:r>
      <w:r>
        <w:rPr>
          <w:color w:val="231F20"/>
          <w:spacing w:val="-3"/>
          <w:w w:val="105"/>
        </w:rPr>
        <w:t>presenta</w:t>
      </w:r>
      <w:r>
        <w:rPr>
          <w:color w:val="231F20"/>
          <w:spacing w:val="-15"/>
          <w:w w:val="105"/>
        </w:rPr>
        <w:t> </w:t>
      </w:r>
      <w:r>
        <w:rPr>
          <w:color w:val="231F20"/>
          <w:spacing w:val="-3"/>
          <w:w w:val="105"/>
        </w:rPr>
        <w:t>lo</w:t>
      </w:r>
      <w:r>
        <w:rPr>
          <w:color w:val="231F20"/>
          <w:spacing w:val="-15"/>
          <w:w w:val="105"/>
        </w:rPr>
        <w:t> </w:t>
      </w:r>
      <w:r>
        <w:rPr>
          <w:color w:val="231F20"/>
          <w:w w:val="105"/>
        </w:rPr>
        <w:t>existente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municipio</w:t>
      </w:r>
      <w:r>
        <w:rPr>
          <w:color w:val="231F20"/>
          <w:spacing w:val="-15"/>
          <w:w w:val="105"/>
        </w:rPr>
        <w:t> </w:t>
      </w:r>
      <w:r>
        <w:rPr>
          <w:color w:val="231F20"/>
          <w:w w:val="105"/>
        </w:rPr>
        <w:t>y</w:t>
      </w:r>
      <w:r>
        <w:rPr>
          <w:color w:val="231F20"/>
          <w:spacing w:val="-15"/>
          <w:w w:val="105"/>
        </w:rPr>
        <w:t> </w:t>
      </w:r>
      <w:r>
        <w:rPr>
          <w:color w:val="231F20"/>
          <w:spacing w:val="-3"/>
          <w:w w:val="105"/>
        </w:rPr>
        <w:t>lo</w:t>
      </w:r>
      <w:r>
        <w:rPr>
          <w:color w:val="231F20"/>
          <w:spacing w:val="-15"/>
          <w:w w:val="105"/>
        </w:rPr>
        <w:t> </w:t>
      </w:r>
      <w:r>
        <w:rPr>
          <w:color w:val="231F20"/>
          <w:spacing w:val="-3"/>
          <w:w w:val="105"/>
        </w:rPr>
        <w:t>que</w:t>
      </w:r>
      <w:r>
        <w:rPr>
          <w:color w:val="231F20"/>
          <w:spacing w:val="-15"/>
          <w:w w:val="105"/>
        </w:rPr>
        <w:t> </w:t>
      </w:r>
      <w:r>
        <w:rPr>
          <w:color w:val="231F20"/>
          <w:w w:val="105"/>
        </w:rPr>
        <w:t>según</w:t>
      </w:r>
      <w:r>
        <w:rPr>
          <w:color w:val="231F20"/>
          <w:spacing w:val="-15"/>
          <w:w w:val="105"/>
        </w:rPr>
        <w:t> </w:t>
      </w:r>
      <w:r>
        <w:rPr>
          <w:color w:val="231F20"/>
          <w:w w:val="105"/>
        </w:rPr>
        <w:t>el</w:t>
      </w:r>
      <w:r>
        <w:rPr>
          <w:color w:val="231F20"/>
          <w:spacing w:val="-15"/>
          <w:w w:val="105"/>
        </w:rPr>
        <w:t> </w:t>
      </w:r>
      <w:r>
        <w:rPr>
          <w:color w:val="231F20"/>
          <w:w w:val="105"/>
        </w:rPr>
        <w:t>Segundo</w:t>
      </w:r>
      <w:r>
        <w:rPr>
          <w:color w:val="231F20"/>
          <w:spacing w:val="-15"/>
          <w:w w:val="105"/>
        </w:rPr>
        <w:t> </w:t>
      </w:r>
      <w:r>
        <w:rPr>
          <w:color w:val="231F20"/>
          <w:w w:val="105"/>
        </w:rPr>
        <w:t>Informe</w:t>
      </w:r>
      <w:r>
        <w:rPr>
          <w:color w:val="231F20"/>
          <w:spacing w:val="-15"/>
          <w:w w:val="105"/>
        </w:rPr>
        <w:t> </w:t>
      </w:r>
      <w:r>
        <w:rPr>
          <w:color w:val="231F20"/>
          <w:w w:val="105"/>
        </w:rPr>
        <w:t>se</w:t>
      </w:r>
      <w:r>
        <w:rPr>
          <w:color w:val="231F20"/>
          <w:spacing w:val="-15"/>
          <w:w w:val="105"/>
        </w:rPr>
        <w:t> </w:t>
      </w:r>
      <w:r>
        <w:rPr>
          <w:color w:val="231F20"/>
          <w:w w:val="105"/>
        </w:rPr>
        <w:t>realizó en</w:t>
      </w:r>
      <w:r>
        <w:rPr>
          <w:color w:val="231F20"/>
          <w:spacing w:val="-24"/>
          <w:w w:val="105"/>
        </w:rPr>
        <w:t> </w:t>
      </w:r>
      <w:r>
        <w:rPr>
          <w:color w:val="231F20"/>
          <w:w w:val="105"/>
        </w:rPr>
        <w:t>2008.</w:t>
      </w:r>
      <w:r>
        <w:rPr>
          <w:color w:val="231F20"/>
          <w:spacing w:val="-24"/>
          <w:w w:val="105"/>
        </w:rPr>
        <w:t> </w:t>
      </w:r>
      <w:r>
        <w:rPr>
          <w:color w:val="231F20"/>
          <w:w w:val="105"/>
        </w:rPr>
        <w:t>En</w:t>
      </w:r>
      <w:r>
        <w:rPr>
          <w:color w:val="231F20"/>
          <w:spacing w:val="-24"/>
          <w:w w:val="105"/>
        </w:rPr>
        <w:t> </w:t>
      </w:r>
      <w:r>
        <w:rPr>
          <w:color w:val="231F20"/>
          <w:w w:val="105"/>
        </w:rPr>
        <w:t>términos</w:t>
      </w:r>
      <w:r>
        <w:rPr>
          <w:color w:val="231F20"/>
          <w:spacing w:val="-24"/>
          <w:w w:val="105"/>
        </w:rPr>
        <w:t> </w:t>
      </w:r>
      <w:r>
        <w:rPr>
          <w:color w:val="231F20"/>
          <w:spacing w:val="-3"/>
          <w:w w:val="105"/>
        </w:rPr>
        <w:t>generales,</w:t>
      </w:r>
      <w:r>
        <w:rPr>
          <w:color w:val="231F20"/>
          <w:spacing w:val="-24"/>
          <w:w w:val="105"/>
        </w:rPr>
        <w:t> </w:t>
      </w:r>
      <w:r>
        <w:rPr>
          <w:color w:val="231F20"/>
          <w:w w:val="105"/>
        </w:rPr>
        <w:t>en</w:t>
      </w:r>
      <w:r>
        <w:rPr>
          <w:color w:val="231F20"/>
          <w:spacing w:val="-24"/>
          <w:w w:val="105"/>
        </w:rPr>
        <w:t> </w:t>
      </w:r>
      <w:r>
        <w:rPr>
          <w:color w:val="231F20"/>
          <w:w w:val="105"/>
        </w:rPr>
        <w:t>cultura</w:t>
      </w:r>
      <w:r>
        <w:rPr>
          <w:color w:val="231F20"/>
          <w:spacing w:val="-24"/>
          <w:w w:val="105"/>
        </w:rPr>
        <w:t> </w:t>
      </w:r>
      <w:r>
        <w:rPr>
          <w:color w:val="231F20"/>
          <w:w w:val="105"/>
        </w:rPr>
        <w:t>existe</w:t>
      </w:r>
      <w:r>
        <w:rPr>
          <w:color w:val="231F20"/>
          <w:spacing w:val="-24"/>
          <w:w w:val="105"/>
        </w:rPr>
        <w:t> </w:t>
      </w:r>
      <w:r>
        <w:rPr>
          <w:color w:val="231F20"/>
          <w:spacing w:val="-3"/>
          <w:w w:val="105"/>
        </w:rPr>
        <w:t>superávit</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spacing w:val="-3"/>
          <w:w w:val="105"/>
        </w:rPr>
        <w:t>número</w:t>
      </w:r>
      <w:r>
        <w:rPr>
          <w:color w:val="231F20"/>
          <w:spacing w:val="-24"/>
          <w:w w:val="105"/>
        </w:rPr>
        <w:t> </w:t>
      </w:r>
      <w:r>
        <w:rPr>
          <w:color w:val="231F20"/>
          <w:w w:val="105"/>
        </w:rPr>
        <w:t>mínimo</w:t>
      </w:r>
      <w:r>
        <w:rPr>
          <w:color w:val="231F20"/>
          <w:spacing w:val="-24"/>
          <w:w w:val="105"/>
        </w:rPr>
        <w:t> </w:t>
      </w:r>
      <w:r>
        <w:rPr>
          <w:color w:val="231F20"/>
          <w:w w:val="105"/>
        </w:rPr>
        <w:t>de</w:t>
      </w:r>
      <w:r>
        <w:rPr>
          <w:color w:val="231F20"/>
          <w:spacing w:val="-24"/>
          <w:w w:val="105"/>
        </w:rPr>
        <w:t> </w:t>
      </w:r>
      <w:r>
        <w:rPr>
          <w:color w:val="231F20"/>
          <w:w w:val="105"/>
        </w:rPr>
        <w:t>obras </w:t>
      </w:r>
      <w:r>
        <w:rPr>
          <w:color w:val="231F20"/>
          <w:spacing w:val="-3"/>
          <w:w w:val="105"/>
        </w:rPr>
        <w:t>públicas</w:t>
      </w:r>
      <w:r>
        <w:rPr>
          <w:color w:val="231F20"/>
          <w:spacing w:val="-18"/>
          <w:w w:val="105"/>
        </w:rPr>
        <w:t> </w:t>
      </w:r>
      <w:r>
        <w:rPr>
          <w:color w:val="231F20"/>
          <w:w w:val="105"/>
        </w:rPr>
        <w:t>existentes,</w:t>
      </w:r>
      <w:r>
        <w:rPr>
          <w:color w:val="231F20"/>
          <w:spacing w:val="-18"/>
          <w:w w:val="105"/>
        </w:rPr>
        <w:t> </w:t>
      </w:r>
      <w:r>
        <w:rPr>
          <w:color w:val="231F20"/>
          <w:spacing w:val="-3"/>
          <w:w w:val="105"/>
        </w:rPr>
        <w:t>aunque</w:t>
      </w:r>
      <w:r>
        <w:rPr>
          <w:color w:val="231F20"/>
          <w:spacing w:val="-18"/>
          <w:w w:val="105"/>
        </w:rPr>
        <w:t> </w:t>
      </w:r>
      <w:r>
        <w:rPr>
          <w:color w:val="231F20"/>
          <w:w w:val="105"/>
        </w:rPr>
        <w:t>en</w:t>
      </w:r>
      <w:r>
        <w:rPr>
          <w:color w:val="231F20"/>
          <w:spacing w:val="-18"/>
          <w:w w:val="105"/>
        </w:rPr>
        <w:t> </w:t>
      </w:r>
      <w:r>
        <w:rPr>
          <w:color w:val="231F20"/>
          <w:w w:val="105"/>
        </w:rPr>
        <w:t>2008</w:t>
      </w:r>
      <w:r>
        <w:rPr>
          <w:color w:val="231F20"/>
          <w:spacing w:val="-18"/>
          <w:w w:val="105"/>
        </w:rPr>
        <w:t> </w:t>
      </w:r>
      <w:r>
        <w:rPr>
          <w:color w:val="231F20"/>
          <w:spacing w:val="-3"/>
          <w:w w:val="105"/>
        </w:rPr>
        <w:t>sólo</w:t>
      </w:r>
      <w:r>
        <w:rPr>
          <w:color w:val="231F20"/>
          <w:spacing w:val="-18"/>
          <w:w w:val="105"/>
        </w:rPr>
        <w:t> </w:t>
      </w:r>
      <w:r>
        <w:rPr>
          <w:color w:val="231F20"/>
          <w:w w:val="105"/>
        </w:rPr>
        <w:t>se</w:t>
      </w:r>
      <w:r>
        <w:rPr>
          <w:color w:val="231F20"/>
          <w:spacing w:val="-18"/>
          <w:w w:val="105"/>
        </w:rPr>
        <w:t> </w:t>
      </w:r>
      <w:r>
        <w:rPr>
          <w:color w:val="231F20"/>
          <w:w w:val="105"/>
        </w:rPr>
        <w:t>llevó</w:t>
      </w:r>
      <w:r>
        <w:rPr>
          <w:color w:val="231F20"/>
          <w:spacing w:val="-18"/>
          <w:w w:val="105"/>
        </w:rPr>
        <w:t> </w:t>
      </w:r>
      <w:r>
        <w:rPr>
          <w:color w:val="231F20"/>
          <w:w w:val="105"/>
        </w:rPr>
        <w:t>a</w:t>
      </w:r>
      <w:r>
        <w:rPr>
          <w:color w:val="231F20"/>
          <w:spacing w:val="-18"/>
          <w:w w:val="105"/>
        </w:rPr>
        <w:t> </w:t>
      </w:r>
      <w:r>
        <w:rPr>
          <w:color w:val="231F20"/>
          <w:w w:val="105"/>
        </w:rPr>
        <w:t>cabo</w:t>
      </w:r>
      <w:r>
        <w:rPr>
          <w:color w:val="231F20"/>
          <w:spacing w:val="-18"/>
          <w:w w:val="105"/>
        </w:rPr>
        <w:t> </w:t>
      </w:r>
      <w:r>
        <w:rPr>
          <w:color w:val="231F20"/>
          <w:w w:val="105"/>
        </w:rPr>
        <w:t>la</w:t>
      </w:r>
      <w:r>
        <w:rPr>
          <w:color w:val="231F20"/>
          <w:spacing w:val="-18"/>
          <w:w w:val="105"/>
        </w:rPr>
        <w:t> </w:t>
      </w:r>
      <w:r>
        <w:rPr>
          <w:color w:val="231F20"/>
          <w:spacing w:val="-4"/>
          <w:w w:val="105"/>
        </w:rPr>
        <w:t>remodelación</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spacing w:val="-4"/>
          <w:w w:val="105"/>
        </w:rPr>
        <w:t>centro.</w:t>
      </w:r>
    </w:p>
    <w:p>
      <w:pPr>
        <w:pStyle w:val="BodyText"/>
        <w:spacing w:before="1"/>
        <w:rPr>
          <w:sz w:val="26"/>
        </w:rPr>
      </w:pPr>
    </w:p>
    <w:p>
      <w:pPr>
        <w:pStyle w:val="BodyText"/>
        <w:spacing w:line="285" w:lineRule="auto"/>
        <w:ind w:left="110" w:right="108"/>
        <w:jc w:val="both"/>
      </w:pPr>
      <w:r>
        <w:rPr>
          <w:color w:val="231F20"/>
          <w:w w:val="105"/>
        </w:rPr>
        <w:t>Recreación presentó en </w:t>
      </w:r>
      <w:r>
        <w:rPr>
          <w:color w:val="231F20"/>
          <w:spacing w:val="3"/>
          <w:w w:val="105"/>
        </w:rPr>
        <w:t>2006 </w:t>
      </w:r>
      <w:r>
        <w:rPr>
          <w:color w:val="231F20"/>
          <w:w w:val="105"/>
        </w:rPr>
        <w:t>un déficit en promedio, por la falta de instalaciones de esparcimiento</w:t>
      </w:r>
      <w:r>
        <w:rPr>
          <w:color w:val="231F20"/>
          <w:spacing w:val="-8"/>
          <w:w w:val="105"/>
        </w:rPr>
        <w:t> </w:t>
      </w:r>
      <w:r>
        <w:rPr>
          <w:color w:val="231F20"/>
          <w:w w:val="105"/>
        </w:rPr>
        <w:t>como</w:t>
      </w:r>
      <w:r>
        <w:rPr>
          <w:color w:val="231F20"/>
          <w:spacing w:val="-8"/>
          <w:w w:val="105"/>
        </w:rPr>
        <w:t> </w:t>
      </w:r>
      <w:r>
        <w:rPr>
          <w:color w:val="231F20"/>
          <w:w w:val="105"/>
        </w:rPr>
        <w:t>parques</w:t>
      </w:r>
      <w:r>
        <w:rPr>
          <w:color w:val="231F20"/>
          <w:spacing w:val="-8"/>
          <w:w w:val="105"/>
        </w:rPr>
        <w:t> </w:t>
      </w:r>
      <w:r>
        <w:rPr>
          <w:color w:val="231F20"/>
          <w:w w:val="105"/>
        </w:rPr>
        <w:t>y</w:t>
      </w:r>
      <w:r>
        <w:rPr>
          <w:color w:val="231F20"/>
          <w:spacing w:val="-8"/>
          <w:w w:val="105"/>
        </w:rPr>
        <w:t> </w:t>
      </w:r>
      <w:r>
        <w:rPr>
          <w:color w:val="231F20"/>
          <w:w w:val="105"/>
        </w:rPr>
        <w:t>plazas</w:t>
      </w:r>
      <w:r>
        <w:rPr>
          <w:color w:val="231F20"/>
          <w:spacing w:val="-8"/>
          <w:w w:val="105"/>
        </w:rPr>
        <w:t> </w:t>
      </w:r>
      <w:r>
        <w:rPr>
          <w:color w:val="231F20"/>
          <w:w w:val="105"/>
        </w:rPr>
        <w:t>cívicas</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cual</w:t>
      </w:r>
      <w:r>
        <w:rPr>
          <w:color w:val="231F20"/>
          <w:spacing w:val="-8"/>
          <w:w w:val="105"/>
        </w:rPr>
        <w:t> </w:t>
      </w:r>
      <w:r>
        <w:rPr>
          <w:color w:val="231F20"/>
          <w:w w:val="105"/>
        </w:rPr>
        <w:t>en</w:t>
      </w:r>
      <w:r>
        <w:rPr>
          <w:color w:val="231F20"/>
          <w:spacing w:val="-8"/>
          <w:w w:val="105"/>
        </w:rPr>
        <w:t> </w:t>
      </w:r>
      <w:r>
        <w:rPr>
          <w:color w:val="231F20"/>
          <w:spacing w:val="3"/>
          <w:w w:val="105"/>
        </w:rPr>
        <w:t>2008</w:t>
      </w:r>
      <w:r>
        <w:rPr>
          <w:color w:val="231F20"/>
          <w:spacing w:val="-8"/>
          <w:w w:val="105"/>
        </w:rPr>
        <w:t> </w:t>
      </w:r>
      <w:r>
        <w:rPr>
          <w:color w:val="231F20"/>
          <w:w w:val="105"/>
        </w:rPr>
        <w:t>se</w:t>
      </w:r>
      <w:r>
        <w:rPr>
          <w:color w:val="231F20"/>
          <w:spacing w:val="-8"/>
          <w:w w:val="105"/>
        </w:rPr>
        <w:t> </w:t>
      </w:r>
      <w:r>
        <w:rPr>
          <w:color w:val="231F20"/>
          <w:w w:val="105"/>
        </w:rPr>
        <w:t>decidió</w:t>
      </w:r>
      <w:r>
        <w:rPr>
          <w:color w:val="231F20"/>
          <w:spacing w:val="-8"/>
          <w:w w:val="105"/>
        </w:rPr>
        <w:t> </w:t>
      </w:r>
      <w:r>
        <w:rPr>
          <w:color w:val="231F20"/>
          <w:w w:val="105"/>
        </w:rPr>
        <w:t>invertir</w:t>
      </w:r>
      <w:r>
        <w:rPr>
          <w:color w:val="231F20"/>
          <w:spacing w:val="-8"/>
          <w:w w:val="105"/>
        </w:rPr>
        <w:t> </w:t>
      </w:r>
      <w:r>
        <w:rPr>
          <w:color w:val="231F20"/>
          <w:w w:val="105"/>
        </w:rPr>
        <w:t>en la</w:t>
      </w:r>
      <w:r>
        <w:rPr>
          <w:color w:val="231F20"/>
          <w:spacing w:val="-18"/>
          <w:w w:val="105"/>
        </w:rPr>
        <w:t> </w:t>
      </w:r>
      <w:r>
        <w:rPr>
          <w:color w:val="231F20"/>
          <w:w w:val="105"/>
        </w:rPr>
        <w:t>construcción</w:t>
      </w:r>
      <w:r>
        <w:rPr>
          <w:color w:val="231F20"/>
          <w:spacing w:val="-18"/>
          <w:w w:val="105"/>
        </w:rPr>
        <w:t> </w:t>
      </w:r>
      <w:r>
        <w:rPr>
          <w:color w:val="231F20"/>
          <w:w w:val="105"/>
        </w:rPr>
        <w:t>de</w:t>
      </w:r>
      <w:r>
        <w:rPr>
          <w:color w:val="231F20"/>
          <w:spacing w:val="-18"/>
          <w:w w:val="105"/>
        </w:rPr>
        <w:t> </w:t>
      </w:r>
      <w:r>
        <w:rPr>
          <w:color w:val="231F20"/>
          <w:w w:val="105"/>
        </w:rPr>
        <w:t>parques</w:t>
      </w:r>
      <w:r>
        <w:rPr>
          <w:color w:val="231F20"/>
          <w:spacing w:val="-18"/>
          <w:w w:val="105"/>
        </w:rPr>
        <w:t> </w:t>
      </w:r>
      <w:r>
        <w:rPr>
          <w:color w:val="231F20"/>
          <w:w w:val="105"/>
        </w:rPr>
        <w:t>infantiles</w:t>
      </w:r>
      <w:r>
        <w:rPr>
          <w:color w:val="231F20"/>
          <w:spacing w:val="-18"/>
          <w:w w:val="105"/>
        </w:rPr>
        <w:t> </w:t>
      </w:r>
      <w:r>
        <w:rPr>
          <w:color w:val="231F20"/>
          <w:w w:val="105"/>
        </w:rPr>
        <w:t>en</w:t>
      </w:r>
      <w:r>
        <w:rPr>
          <w:color w:val="231F20"/>
          <w:spacing w:val="-18"/>
          <w:w w:val="105"/>
        </w:rPr>
        <w:t> </w:t>
      </w:r>
      <w:r>
        <w:rPr>
          <w:color w:val="231F20"/>
          <w:w w:val="105"/>
        </w:rPr>
        <w:t>dos</w:t>
      </w:r>
      <w:r>
        <w:rPr>
          <w:color w:val="231F20"/>
          <w:spacing w:val="-18"/>
          <w:w w:val="105"/>
        </w:rPr>
        <w:t> </w:t>
      </w:r>
      <w:r>
        <w:rPr>
          <w:color w:val="231F20"/>
          <w:w w:val="105"/>
        </w:rPr>
        <w:t>localidades,</w:t>
      </w:r>
      <w:r>
        <w:rPr>
          <w:color w:val="231F20"/>
          <w:spacing w:val="-18"/>
          <w:w w:val="105"/>
        </w:rPr>
        <w:t> </w:t>
      </w:r>
      <w:r>
        <w:rPr>
          <w:color w:val="231F20"/>
          <w:w w:val="105"/>
        </w:rPr>
        <w:t>iluminación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sala</w:t>
      </w:r>
      <w:r>
        <w:rPr>
          <w:color w:val="231F20"/>
          <w:spacing w:val="-18"/>
          <w:w w:val="105"/>
        </w:rPr>
        <w:t> </w:t>
      </w:r>
      <w:r>
        <w:rPr>
          <w:color w:val="231F20"/>
          <w:w w:val="105"/>
        </w:rPr>
        <w:t>de</w:t>
      </w:r>
      <w:r>
        <w:rPr>
          <w:color w:val="231F20"/>
          <w:spacing w:val="-18"/>
          <w:w w:val="105"/>
        </w:rPr>
        <w:t> </w:t>
      </w:r>
      <w:r>
        <w:rPr>
          <w:color w:val="231F20"/>
          <w:w w:val="105"/>
        </w:rPr>
        <w:t>cine</w:t>
      </w:r>
      <w:r>
        <w:rPr>
          <w:color w:val="231F20"/>
          <w:spacing w:val="-18"/>
          <w:w w:val="105"/>
        </w:rPr>
        <w:t> </w:t>
      </w:r>
      <w:r>
        <w:rPr>
          <w:color w:val="231F20"/>
          <w:w w:val="105"/>
        </w:rPr>
        <w:t>y remodelación del balneario municipal; éste último perteneciente </w:t>
      </w:r>
      <w:r>
        <w:rPr>
          <w:color w:val="231F20"/>
          <w:spacing w:val="2"/>
          <w:w w:val="105"/>
        </w:rPr>
        <w:t>al </w:t>
      </w:r>
      <w:r>
        <w:rPr>
          <w:color w:val="231F20"/>
          <w:w w:val="105"/>
        </w:rPr>
        <w:t>ayuntamiento, que aparte de contribuir </w:t>
      </w:r>
      <w:r>
        <w:rPr>
          <w:color w:val="231F20"/>
          <w:spacing w:val="2"/>
          <w:w w:val="105"/>
        </w:rPr>
        <w:t>al </w:t>
      </w:r>
      <w:r>
        <w:rPr>
          <w:color w:val="231F20"/>
          <w:w w:val="105"/>
        </w:rPr>
        <w:t>ingreso público, también representa la opción económicamente viable</w:t>
      </w:r>
      <w:r>
        <w:rPr>
          <w:color w:val="231F20"/>
          <w:spacing w:val="-18"/>
          <w:w w:val="105"/>
        </w:rPr>
        <w:t> </w:t>
      </w:r>
      <w:r>
        <w:rPr>
          <w:color w:val="231F20"/>
          <w:w w:val="105"/>
        </w:rPr>
        <w:t>para</w:t>
      </w:r>
      <w:r>
        <w:rPr>
          <w:color w:val="231F20"/>
          <w:spacing w:val="-18"/>
          <w:w w:val="105"/>
        </w:rPr>
        <w:t> </w:t>
      </w:r>
      <w:r>
        <w:rPr>
          <w:color w:val="231F20"/>
          <w:w w:val="105"/>
        </w:rPr>
        <w:t>las</w:t>
      </w:r>
      <w:r>
        <w:rPr>
          <w:color w:val="231F20"/>
          <w:spacing w:val="-18"/>
          <w:w w:val="105"/>
        </w:rPr>
        <w:t> </w:t>
      </w:r>
      <w:r>
        <w:rPr>
          <w:color w:val="231F20"/>
          <w:spacing w:val="2"/>
          <w:w w:val="105"/>
        </w:rPr>
        <w:t>familias</w:t>
      </w:r>
      <w:r>
        <w:rPr>
          <w:color w:val="231F20"/>
          <w:spacing w:val="-18"/>
          <w:w w:val="105"/>
        </w:rPr>
        <w:t> </w:t>
      </w:r>
      <w:r>
        <w:rPr>
          <w:color w:val="231F20"/>
          <w:w w:val="105"/>
        </w:rPr>
        <w:t>tanto</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como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región</w:t>
      </w:r>
      <w:r>
        <w:rPr>
          <w:color w:val="231F20"/>
          <w:spacing w:val="-18"/>
          <w:w w:val="105"/>
        </w:rPr>
        <w:t> </w:t>
      </w:r>
      <w:r>
        <w:rPr>
          <w:color w:val="231F20"/>
          <w:spacing w:val="2"/>
          <w:w w:val="105"/>
        </w:rPr>
        <w:t>al</w:t>
      </w:r>
      <w:r>
        <w:rPr>
          <w:color w:val="231F20"/>
          <w:spacing w:val="-18"/>
          <w:w w:val="105"/>
        </w:rPr>
        <w:t> </w:t>
      </w:r>
      <w:r>
        <w:rPr>
          <w:color w:val="231F20"/>
          <w:w w:val="105"/>
        </w:rPr>
        <w:t>fijar</w:t>
      </w:r>
      <w:r>
        <w:rPr>
          <w:color w:val="231F20"/>
          <w:spacing w:val="-18"/>
          <w:w w:val="105"/>
        </w:rPr>
        <w:t> </w:t>
      </w:r>
      <w:r>
        <w:rPr>
          <w:color w:val="231F20"/>
          <w:w w:val="105"/>
        </w:rPr>
        <w:t>costos</w:t>
      </w:r>
      <w:r>
        <w:rPr>
          <w:color w:val="231F20"/>
          <w:spacing w:val="-18"/>
          <w:w w:val="105"/>
        </w:rPr>
        <w:t> </w:t>
      </w:r>
      <w:r>
        <w:rPr>
          <w:color w:val="231F20"/>
          <w:w w:val="105"/>
        </w:rPr>
        <w:t>mínimos</w:t>
      </w:r>
      <w:r>
        <w:rPr>
          <w:color w:val="231F20"/>
          <w:spacing w:val="-18"/>
          <w:w w:val="105"/>
        </w:rPr>
        <w:t> </w:t>
      </w:r>
      <w:r>
        <w:rPr>
          <w:color w:val="231F20"/>
          <w:w w:val="105"/>
        </w:rPr>
        <w:t>de acceso</w:t>
      </w:r>
      <w:r>
        <w:rPr>
          <w:color w:val="231F20"/>
          <w:spacing w:val="-16"/>
          <w:w w:val="105"/>
        </w:rPr>
        <w:t> </w:t>
      </w:r>
      <w:r>
        <w:rPr>
          <w:color w:val="231F20"/>
          <w:w w:val="105"/>
        </w:rPr>
        <w:t>en</w:t>
      </w:r>
      <w:r>
        <w:rPr>
          <w:color w:val="231F20"/>
          <w:spacing w:val="-16"/>
          <w:w w:val="105"/>
        </w:rPr>
        <w:t> </w:t>
      </w:r>
      <w:r>
        <w:rPr>
          <w:color w:val="231F20"/>
          <w:w w:val="105"/>
        </w:rPr>
        <w:t>comparación</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grandes</w:t>
      </w:r>
      <w:r>
        <w:rPr>
          <w:color w:val="231F20"/>
          <w:spacing w:val="-16"/>
          <w:w w:val="105"/>
        </w:rPr>
        <w:t> </w:t>
      </w:r>
      <w:r>
        <w:rPr>
          <w:color w:val="231F20"/>
          <w:w w:val="105"/>
        </w:rPr>
        <w:t>balnearios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iniciativa</w:t>
      </w:r>
      <w:r>
        <w:rPr>
          <w:color w:val="231F20"/>
          <w:spacing w:val="-16"/>
          <w:w w:val="105"/>
        </w:rPr>
        <w:t> </w:t>
      </w:r>
      <w:r>
        <w:rPr>
          <w:color w:val="231F20"/>
          <w:w w:val="105"/>
        </w:rPr>
        <w:t>privada.</w:t>
      </w:r>
    </w:p>
    <w:p>
      <w:pPr>
        <w:pStyle w:val="BodyText"/>
        <w:spacing w:before="1"/>
        <w:rPr>
          <w:sz w:val="26"/>
        </w:rPr>
      </w:pPr>
    </w:p>
    <w:p>
      <w:pPr>
        <w:pStyle w:val="BodyText"/>
        <w:spacing w:line="285" w:lineRule="auto"/>
        <w:ind w:left="110" w:right="108"/>
        <w:jc w:val="both"/>
      </w:pPr>
      <w:r>
        <w:rPr>
          <w:color w:val="231F20"/>
          <w:w w:val="105"/>
        </w:rPr>
        <w:t>Existe</w:t>
      </w:r>
      <w:r>
        <w:rPr>
          <w:color w:val="231F20"/>
          <w:spacing w:val="-9"/>
          <w:w w:val="105"/>
        </w:rPr>
        <w:t> </w:t>
      </w:r>
      <w:r>
        <w:rPr>
          <w:color w:val="231F20"/>
          <w:spacing w:val="-3"/>
          <w:w w:val="105"/>
        </w:rPr>
        <w:t>superávit</w:t>
      </w:r>
      <w:r>
        <w:rPr>
          <w:color w:val="231F20"/>
          <w:spacing w:val="-9"/>
          <w:w w:val="105"/>
        </w:rPr>
        <w:t> </w:t>
      </w:r>
      <w:r>
        <w:rPr>
          <w:color w:val="231F20"/>
          <w:w w:val="105"/>
        </w:rPr>
        <w:t>en</w:t>
      </w:r>
      <w:r>
        <w:rPr>
          <w:color w:val="231F20"/>
          <w:spacing w:val="-9"/>
          <w:w w:val="105"/>
        </w:rPr>
        <w:t> </w:t>
      </w:r>
      <w:r>
        <w:rPr>
          <w:color w:val="231F20"/>
          <w:spacing w:val="-4"/>
          <w:w w:val="105"/>
        </w:rPr>
        <w:t>educación</w:t>
      </w:r>
      <w:r>
        <w:rPr>
          <w:color w:val="231F20"/>
          <w:spacing w:val="-9"/>
          <w:w w:val="105"/>
        </w:rPr>
        <w:t> </w:t>
      </w:r>
      <w:r>
        <w:rPr>
          <w:color w:val="231F20"/>
          <w:spacing w:val="-3"/>
          <w:w w:val="105"/>
        </w:rPr>
        <w:t>pues</w:t>
      </w:r>
      <w:r>
        <w:rPr>
          <w:color w:val="231F20"/>
          <w:spacing w:val="-9"/>
          <w:w w:val="105"/>
        </w:rPr>
        <w:t> </w:t>
      </w:r>
      <w:r>
        <w:rPr>
          <w:color w:val="231F20"/>
          <w:spacing w:val="-3"/>
          <w:w w:val="105"/>
        </w:rPr>
        <w:t>los</w:t>
      </w:r>
      <w:r>
        <w:rPr>
          <w:color w:val="231F20"/>
          <w:spacing w:val="-9"/>
          <w:w w:val="105"/>
        </w:rPr>
        <w:t> </w:t>
      </w:r>
      <w:r>
        <w:rPr>
          <w:color w:val="231F20"/>
          <w:w w:val="105"/>
        </w:rPr>
        <w:t>parámetros</w:t>
      </w:r>
      <w:r>
        <w:rPr>
          <w:color w:val="231F20"/>
          <w:spacing w:val="-9"/>
          <w:w w:val="105"/>
        </w:rPr>
        <w:t> </w:t>
      </w:r>
      <w:r>
        <w:rPr>
          <w:color w:val="231F20"/>
          <w:spacing w:val="-3"/>
          <w:w w:val="105"/>
        </w:rPr>
        <w:t>establecidos</w:t>
      </w:r>
      <w:r>
        <w:rPr>
          <w:color w:val="231F20"/>
          <w:spacing w:val="-9"/>
          <w:w w:val="105"/>
        </w:rPr>
        <w:t> </w:t>
      </w:r>
      <w:r>
        <w:rPr>
          <w:color w:val="231F20"/>
          <w:spacing w:val="-3"/>
          <w:w w:val="105"/>
        </w:rPr>
        <w:t>por</w:t>
      </w:r>
      <w:r>
        <w:rPr>
          <w:color w:val="231F20"/>
          <w:spacing w:val="-9"/>
          <w:w w:val="105"/>
        </w:rPr>
        <w:t> </w:t>
      </w:r>
      <w:r>
        <w:rPr>
          <w:color w:val="231F20"/>
          <w:w w:val="105"/>
        </w:rPr>
        <w:t>la</w:t>
      </w:r>
      <w:r>
        <w:rPr>
          <w:color w:val="231F20"/>
          <w:spacing w:val="-9"/>
          <w:w w:val="105"/>
        </w:rPr>
        <w:t> </w:t>
      </w:r>
      <w:r>
        <w:rPr>
          <w:color w:val="231F20"/>
          <w:spacing w:val="-3"/>
          <w:w w:val="105"/>
        </w:rPr>
        <w:t>norma</w:t>
      </w:r>
      <w:r>
        <w:rPr>
          <w:color w:val="231F20"/>
          <w:spacing w:val="-9"/>
          <w:w w:val="105"/>
        </w:rPr>
        <w:t> </w:t>
      </w:r>
      <w:r>
        <w:rPr>
          <w:color w:val="231F20"/>
          <w:spacing w:val="-3"/>
          <w:w w:val="105"/>
        </w:rPr>
        <w:t>son</w:t>
      </w:r>
      <w:r>
        <w:rPr>
          <w:color w:val="231F20"/>
          <w:spacing w:val="-9"/>
          <w:w w:val="105"/>
        </w:rPr>
        <w:t> </w:t>
      </w:r>
      <w:r>
        <w:rPr>
          <w:color w:val="231F20"/>
          <w:spacing w:val="-3"/>
          <w:w w:val="105"/>
        </w:rPr>
        <w:t>supera- dos</w:t>
      </w:r>
      <w:r>
        <w:rPr>
          <w:color w:val="231F20"/>
          <w:spacing w:val="-14"/>
          <w:w w:val="105"/>
        </w:rPr>
        <w:t> </w:t>
      </w:r>
      <w:r>
        <w:rPr>
          <w:color w:val="231F20"/>
          <w:w w:val="105"/>
        </w:rPr>
        <w:t>en</w:t>
      </w:r>
      <w:r>
        <w:rPr>
          <w:color w:val="231F20"/>
          <w:spacing w:val="-14"/>
          <w:w w:val="105"/>
        </w:rPr>
        <w:t> </w:t>
      </w:r>
      <w:r>
        <w:rPr>
          <w:color w:val="231F20"/>
          <w:w w:val="105"/>
        </w:rPr>
        <w:t>más</w:t>
      </w:r>
      <w:r>
        <w:rPr>
          <w:color w:val="231F20"/>
          <w:spacing w:val="-14"/>
          <w:w w:val="105"/>
        </w:rPr>
        <w:t> </w:t>
      </w:r>
      <w:r>
        <w:rPr>
          <w:color w:val="231F20"/>
          <w:spacing w:val="-3"/>
          <w:w w:val="105"/>
        </w:rPr>
        <w:t>del</w:t>
      </w:r>
      <w:r>
        <w:rPr>
          <w:color w:val="231F20"/>
          <w:spacing w:val="-14"/>
          <w:w w:val="105"/>
        </w:rPr>
        <w:t> </w:t>
      </w:r>
      <w:r>
        <w:rPr>
          <w:color w:val="231F20"/>
          <w:w w:val="105"/>
        </w:rPr>
        <w:t>40%,</w:t>
      </w:r>
      <w:r>
        <w:rPr>
          <w:color w:val="231F20"/>
          <w:spacing w:val="-14"/>
          <w:w w:val="105"/>
        </w:rPr>
        <w:t> </w:t>
      </w:r>
      <w:r>
        <w:rPr>
          <w:color w:val="231F20"/>
          <w:spacing w:val="-3"/>
          <w:w w:val="105"/>
        </w:rPr>
        <w:t>aunque</w:t>
      </w:r>
      <w:r>
        <w:rPr>
          <w:color w:val="231F20"/>
          <w:spacing w:val="-14"/>
          <w:w w:val="105"/>
        </w:rPr>
        <w:t> </w:t>
      </w:r>
      <w:r>
        <w:rPr>
          <w:color w:val="231F20"/>
          <w:w w:val="105"/>
        </w:rPr>
        <w:t>la</w:t>
      </w:r>
      <w:r>
        <w:rPr>
          <w:color w:val="231F20"/>
          <w:spacing w:val="-14"/>
          <w:w w:val="105"/>
        </w:rPr>
        <w:t> </w:t>
      </w:r>
      <w:r>
        <w:rPr>
          <w:color w:val="231F20"/>
          <w:spacing w:val="-4"/>
          <w:w w:val="105"/>
        </w:rPr>
        <w:t>educación</w:t>
      </w:r>
      <w:r>
        <w:rPr>
          <w:color w:val="231F20"/>
          <w:spacing w:val="-14"/>
          <w:w w:val="105"/>
        </w:rPr>
        <w:t> </w:t>
      </w:r>
      <w:r>
        <w:rPr>
          <w:color w:val="231F20"/>
          <w:spacing w:val="-3"/>
          <w:w w:val="105"/>
        </w:rPr>
        <w:t>superior</w:t>
      </w:r>
      <w:r>
        <w:rPr>
          <w:color w:val="231F20"/>
          <w:spacing w:val="-14"/>
          <w:w w:val="105"/>
        </w:rPr>
        <w:t> </w:t>
      </w:r>
      <w:r>
        <w:rPr>
          <w:color w:val="231F20"/>
          <w:w w:val="105"/>
        </w:rPr>
        <w:t>sí</w:t>
      </w:r>
      <w:r>
        <w:rPr>
          <w:color w:val="231F20"/>
          <w:spacing w:val="-14"/>
          <w:w w:val="105"/>
        </w:rPr>
        <w:t> </w:t>
      </w:r>
      <w:r>
        <w:rPr>
          <w:color w:val="231F20"/>
          <w:spacing w:val="-3"/>
          <w:w w:val="105"/>
        </w:rPr>
        <w:t>presenta</w:t>
      </w:r>
      <w:r>
        <w:rPr>
          <w:color w:val="231F20"/>
          <w:spacing w:val="-14"/>
          <w:w w:val="105"/>
        </w:rPr>
        <w:t> </w:t>
      </w:r>
      <w:r>
        <w:rPr>
          <w:color w:val="231F20"/>
          <w:w w:val="105"/>
        </w:rPr>
        <w:t>carencias</w:t>
      </w:r>
      <w:r>
        <w:rPr>
          <w:color w:val="231F20"/>
          <w:spacing w:val="-14"/>
          <w:w w:val="105"/>
        </w:rPr>
        <w:t> </w:t>
      </w:r>
      <w:r>
        <w:rPr>
          <w:color w:val="231F20"/>
          <w:w w:val="105"/>
        </w:rPr>
        <w:t>en</w:t>
      </w:r>
      <w:r>
        <w:rPr>
          <w:color w:val="231F20"/>
          <w:spacing w:val="-14"/>
          <w:w w:val="105"/>
        </w:rPr>
        <w:t> </w:t>
      </w:r>
      <w:r>
        <w:rPr>
          <w:color w:val="231F20"/>
          <w:w w:val="105"/>
        </w:rPr>
        <w:t>infraestructu- ra.</w:t>
      </w:r>
      <w:r>
        <w:rPr>
          <w:color w:val="231F20"/>
          <w:spacing w:val="-19"/>
          <w:w w:val="105"/>
        </w:rPr>
        <w:t> </w:t>
      </w:r>
      <w:r>
        <w:rPr>
          <w:color w:val="231F20"/>
          <w:spacing w:val="-3"/>
          <w:w w:val="105"/>
        </w:rPr>
        <w:t>Como</w:t>
      </w:r>
      <w:r>
        <w:rPr>
          <w:color w:val="231F20"/>
          <w:spacing w:val="-19"/>
          <w:w w:val="105"/>
        </w:rPr>
        <w:t> </w:t>
      </w:r>
      <w:r>
        <w:rPr>
          <w:color w:val="231F20"/>
          <w:w w:val="105"/>
        </w:rPr>
        <w:t>se</w:t>
      </w:r>
      <w:r>
        <w:rPr>
          <w:color w:val="231F20"/>
          <w:spacing w:val="-19"/>
          <w:w w:val="105"/>
        </w:rPr>
        <w:t> </w:t>
      </w:r>
      <w:r>
        <w:rPr>
          <w:color w:val="231F20"/>
          <w:spacing w:val="-3"/>
          <w:w w:val="105"/>
        </w:rPr>
        <w:t>constató</w:t>
      </w:r>
      <w:r>
        <w:rPr>
          <w:color w:val="231F20"/>
          <w:spacing w:val="-19"/>
          <w:w w:val="105"/>
        </w:rPr>
        <w:t> </w:t>
      </w:r>
      <w:r>
        <w:rPr>
          <w:color w:val="231F20"/>
          <w:w w:val="105"/>
        </w:rPr>
        <w:t>en</w:t>
      </w:r>
      <w:r>
        <w:rPr>
          <w:color w:val="231F20"/>
          <w:spacing w:val="-19"/>
          <w:w w:val="105"/>
        </w:rPr>
        <w:t> </w:t>
      </w:r>
      <w:r>
        <w:rPr>
          <w:color w:val="231F20"/>
          <w:w w:val="105"/>
        </w:rPr>
        <w:t>líneas</w:t>
      </w:r>
      <w:r>
        <w:rPr>
          <w:color w:val="231F20"/>
          <w:spacing w:val="-19"/>
          <w:w w:val="105"/>
        </w:rPr>
        <w:t> </w:t>
      </w:r>
      <w:r>
        <w:rPr>
          <w:color w:val="231F20"/>
          <w:spacing w:val="-3"/>
          <w:w w:val="105"/>
        </w:rPr>
        <w:t>anteriores,</w:t>
      </w:r>
      <w:r>
        <w:rPr>
          <w:color w:val="231F20"/>
          <w:spacing w:val="-19"/>
          <w:w w:val="105"/>
        </w:rPr>
        <w:t> </w:t>
      </w:r>
      <w:r>
        <w:rPr>
          <w:color w:val="231F20"/>
          <w:w w:val="105"/>
        </w:rPr>
        <w:t>la</w:t>
      </w:r>
      <w:r>
        <w:rPr>
          <w:color w:val="231F20"/>
          <w:spacing w:val="-19"/>
          <w:w w:val="105"/>
        </w:rPr>
        <w:t> </w:t>
      </w:r>
      <w:r>
        <w:rPr>
          <w:color w:val="231F20"/>
          <w:spacing w:val="-4"/>
          <w:w w:val="105"/>
        </w:rPr>
        <w:t>educación</w:t>
      </w:r>
      <w:r>
        <w:rPr>
          <w:color w:val="231F20"/>
          <w:spacing w:val="-19"/>
          <w:w w:val="105"/>
        </w:rPr>
        <w:t> </w:t>
      </w:r>
      <w:r>
        <w:rPr>
          <w:color w:val="231F20"/>
          <w:w w:val="105"/>
        </w:rPr>
        <w:t>es</w:t>
      </w:r>
      <w:r>
        <w:rPr>
          <w:color w:val="231F20"/>
          <w:spacing w:val="-19"/>
          <w:w w:val="105"/>
        </w:rPr>
        <w:t> </w:t>
      </w:r>
      <w:r>
        <w:rPr>
          <w:color w:val="231F20"/>
          <w:w w:val="105"/>
        </w:rPr>
        <w:t>una</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áreas</w:t>
      </w:r>
      <w:r>
        <w:rPr>
          <w:color w:val="231F20"/>
          <w:spacing w:val="-19"/>
          <w:w w:val="105"/>
        </w:rPr>
        <w:t> </w:t>
      </w:r>
      <w:r>
        <w:rPr>
          <w:color w:val="231F20"/>
          <w:spacing w:val="-4"/>
          <w:w w:val="105"/>
        </w:rPr>
        <w:t>mejor</w:t>
      </w:r>
      <w:r>
        <w:rPr>
          <w:color w:val="231F20"/>
          <w:spacing w:val="-19"/>
          <w:w w:val="105"/>
        </w:rPr>
        <w:t> </w:t>
      </w:r>
      <w:r>
        <w:rPr>
          <w:color w:val="231F20"/>
          <w:spacing w:val="-3"/>
          <w:w w:val="105"/>
        </w:rPr>
        <w:t>atendidas por </w:t>
      </w:r>
      <w:r>
        <w:rPr>
          <w:color w:val="231F20"/>
          <w:w w:val="105"/>
        </w:rPr>
        <w:t>el </w:t>
      </w:r>
      <w:r>
        <w:rPr>
          <w:color w:val="231F20"/>
          <w:spacing w:val="-4"/>
          <w:w w:val="105"/>
        </w:rPr>
        <w:t>gobierno </w:t>
      </w:r>
      <w:r>
        <w:rPr>
          <w:color w:val="231F20"/>
          <w:w w:val="105"/>
        </w:rPr>
        <w:t>ixtapense, y </w:t>
      </w:r>
      <w:r>
        <w:rPr>
          <w:color w:val="231F20"/>
          <w:spacing w:val="-3"/>
          <w:w w:val="105"/>
        </w:rPr>
        <w:t>que </w:t>
      </w:r>
      <w:r>
        <w:rPr>
          <w:color w:val="231F20"/>
          <w:w w:val="105"/>
        </w:rPr>
        <w:t>se reafirma al observar </w:t>
      </w:r>
      <w:r>
        <w:rPr>
          <w:color w:val="231F20"/>
          <w:spacing w:val="-3"/>
          <w:w w:val="105"/>
        </w:rPr>
        <w:t>que </w:t>
      </w:r>
      <w:r>
        <w:rPr>
          <w:color w:val="231F20"/>
          <w:w w:val="105"/>
        </w:rPr>
        <w:t>de las </w:t>
      </w:r>
      <w:r>
        <w:rPr>
          <w:color w:val="231F20"/>
          <w:spacing w:val="-2"/>
          <w:w w:val="105"/>
        </w:rPr>
        <w:t>125 </w:t>
      </w:r>
      <w:r>
        <w:rPr>
          <w:color w:val="231F20"/>
          <w:w w:val="105"/>
        </w:rPr>
        <w:t>obras </w:t>
      </w:r>
      <w:r>
        <w:rPr>
          <w:color w:val="231F20"/>
          <w:spacing w:val="-3"/>
          <w:w w:val="105"/>
        </w:rPr>
        <w:t>públicas </w:t>
      </w:r>
      <w:r>
        <w:rPr>
          <w:color w:val="231F20"/>
          <w:w w:val="105"/>
        </w:rPr>
        <w:t>realizadas en 2008, el 28% </w:t>
      </w:r>
      <w:r>
        <w:rPr>
          <w:color w:val="231F20"/>
          <w:spacing w:val="-3"/>
          <w:w w:val="105"/>
        </w:rPr>
        <w:t>correspondió </w:t>
      </w:r>
      <w:r>
        <w:rPr>
          <w:color w:val="231F20"/>
          <w:w w:val="105"/>
        </w:rPr>
        <w:t>a la </w:t>
      </w:r>
      <w:r>
        <w:rPr>
          <w:color w:val="231F20"/>
          <w:spacing w:val="-3"/>
          <w:w w:val="105"/>
        </w:rPr>
        <w:t>construcción </w:t>
      </w:r>
      <w:r>
        <w:rPr>
          <w:color w:val="231F20"/>
          <w:w w:val="105"/>
        </w:rPr>
        <w:t>y </w:t>
      </w:r>
      <w:r>
        <w:rPr>
          <w:color w:val="231F20"/>
          <w:spacing w:val="-4"/>
          <w:w w:val="105"/>
        </w:rPr>
        <w:t>remodelación </w:t>
      </w:r>
      <w:r>
        <w:rPr>
          <w:color w:val="231F20"/>
          <w:w w:val="105"/>
        </w:rPr>
        <w:t>de aulas, al mantenimiento</w:t>
      </w:r>
      <w:r>
        <w:rPr>
          <w:color w:val="231F20"/>
          <w:spacing w:val="-13"/>
          <w:w w:val="105"/>
        </w:rPr>
        <w:t> </w:t>
      </w:r>
      <w:r>
        <w:rPr>
          <w:color w:val="231F20"/>
          <w:w w:val="105"/>
        </w:rPr>
        <w:t>de</w:t>
      </w:r>
      <w:r>
        <w:rPr>
          <w:color w:val="231F20"/>
          <w:spacing w:val="-13"/>
          <w:w w:val="105"/>
        </w:rPr>
        <w:t> </w:t>
      </w:r>
      <w:r>
        <w:rPr>
          <w:color w:val="231F20"/>
          <w:w w:val="105"/>
        </w:rPr>
        <w:t>sanitarios,</w:t>
      </w:r>
      <w:r>
        <w:rPr>
          <w:color w:val="231F20"/>
          <w:spacing w:val="-13"/>
          <w:w w:val="105"/>
        </w:rPr>
        <w:t> </w:t>
      </w:r>
      <w:r>
        <w:rPr>
          <w:color w:val="231F20"/>
          <w:w w:val="105"/>
        </w:rPr>
        <w:t>al</w:t>
      </w:r>
      <w:r>
        <w:rPr>
          <w:color w:val="231F20"/>
          <w:spacing w:val="-13"/>
          <w:w w:val="105"/>
        </w:rPr>
        <w:t> </w:t>
      </w:r>
      <w:r>
        <w:rPr>
          <w:color w:val="231F20"/>
          <w:w w:val="105"/>
        </w:rPr>
        <w:t>igual</w:t>
      </w:r>
      <w:r>
        <w:rPr>
          <w:color w:val="231F20"/>
          <w:spacing w:val="-13"/>
          <w:w w:val="105"/>
        </w:rPr>
        <w:t> </w:t>
      </w:r>
      <w:r>
        <w:rPr>
          <w:color w:val="231F20"/>
          <w:spacing w:val="-3"/>
          <w:w w:val="105"/>
        </w:rPr>
        <w:t>que</w:t>
      </w:r>
      <w:r>
        <w:rPr>
          <w:color w:val="231F20"/>
          <w:spacing w:val="-13"/>
          <w:w w:val="105"/>
        </w:rPr>
        <w:t> </w:t>
      </w:r>
      <w:r>
        <w:rPr>
          <w:color w:val="231F20"/>
          <w:w w:val="105"/>
        </w:rPr>
        <w:t>la</w:t>
      </w:r>
      <w:r>
        <w:rPr>
          <w:color w:val="231F20"/>
          <w:spacing w:val="-13"/>
          <w:w w:val="105"/>
        </w:rPr>
        <w:t> </w:t>
      </w:r>
      <w:r>
        <w:rPr>
          <w:color w:val="231F20"/>
          <w:spacing w:val="-3"/>
          <w:w w:val="105"/>
        </w:rPr>
        <w:t>construcción</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spacing w:val="-4"/>
          <w:w w:val="105"/>
        </w:rPr>
        <w:t>nuevo</w:t>
      </w:r>
      <w:r>
        <w:rPr>
          <w:color w:val="231F20"/>
          <w:spacing w:val="-13"/>
          <w:w w:val="105"/>
        </w:rPr>
        <w:t> </w:t>
      </w:r>
      <w:r>
        <w:rPr>
          <w:color w:val="231F20"/>
          <w:spacing w:val="-3"/>
          <w:w w:val="105"/>
        </w:rPr>
        <w:t>plantel</w:t>
      </w:r>
      <w:r>
        <w:rPr>
          <w:color w:val="231F20"/>
          <w:spacing w:val="-13"/>
          <w:w w:val="105"/>
        </w:rPr>
        <w:t> </w:t>
      </w:r>
      <w:r>
        <w:rPr>
          <w:color w:val="231F20"/>
          <w:spacing w:val="-4"/>
          <w:w w:val="105"/>
        </w:rPr>
        <w:t>educativo.</w:t>
      </w:r>
    </w:p>
    <w:p>
      <w:pPr>
        <w:pStyle w:val="BodyText"/>
        <w:spacing w:before="1"/>
        <w:rPr>
          <w:sz w:val="26"/>
        </w:rPr>
      </w:pPr>
    </w:p>
    <w:p>
      <w:pPr>
        <w:pStyle w:val="BodyText"/>
        <w:spacing w:line="285" w:lineRule="auto"/>
        <w:ind w:left="110" w:right="106"/>
        <w:jc w:val="both"/>
      </w:pPr>
      <w:r>
        <w:rPr>
          <w:color w:val="231F20"/>
          <w:w w:val="105"/>
        </w:rPr>
        <w:t>En deportes, existía un déficit en campos deportivos por lo que en </w:t>
      </w:r>
      <w:r>
        <w:rPr>
          <w:color w:val="231F20"/>
          <w:spacing w:val="3"/>
          <w:w w:val="105"/>
        </w:rPr>
        <w:t>2008 </w:t>
      </w:r>
      <w:r>
        <w:rPr>
          <w:color w:val="231F20"/>
          <w:w w:val="105"/>
        </w:rPr>
        <w:t>se construyó una</w:t>
      </w:r>
      <w:r>
        <w:rPr>
          <w:color w:val="231F20"/>
          <w:spacing w:val="-14"/>
          <w:w w:val="105"/>
        </w:rPr>
        <w:t> </w:t>
      </w:r>
      <w:r>
        <w:rPr>
          <w:color w:val="231F20"/>
          <w:w w:val="105"/>
        </w:rPr>
        <w:t>cancha</w:t>
      </w:r>
      <w:r>
        <w:rPr>
          <w:color w:val="231F20"/>
          <w:spacing w:val="-14"/>
          <w:w w:val="105"/>
        </w:rPr>
        <w:t> </w:t>
      </w:r>
      <w:r>
        <w:rPr>
          <w:color w:val="231F20"/>
          <w:w w:val="105"/>
        </w:rPr>
        <w:t>de</w:t>
      </w:r>
      <w:r>
        <w:rPr>
          <w:color w:val="231F20"/>
          <w:spacing w:val="-14"/>
          <w:w w:val="105"/>
        </w:rPr>
        <w:t> </w:t>
      </w:r>
      <w:r>
        <w:rPr>
          <w:color w:val="231F20"/>
          <w:w w:val="105"/>
        </w:rPr>
        <w:t>usos</w:t>
      </w:r>
      <w:r>
        <w:rPr>
          <w:color w:val="231F20"/>
          <w:spacing w:val="-14"/>
          <w:w w:val="105"/>
        </w:rPr>
        <w:t> </w:t>
      </w:r>
      <w:r>
        <w:rPr>
          <w:color w:val="231F20"/>
          <w:w w:val="105"/>
        </w:rPr>
        <w:t>múltiples;</w:t>
      </w:r>
      <w:r>
        <w:rPr>
          <w:color w:val="231F20"/>
          <w:spacing w:val="-14"/>
          <w:w w:val="105"/>
        </w:rPr>
        <w:t> </w:t>
      </w:r>
      <w:r>
        <w:rPr>
          <w:color w:val="231F20"/>
          <w:w w:val="105"/>
        </w:rPr>
        <w:t>en</w:t>
      </w:r>
      <w:r>
        <w:rPr>
          <w:color w:val="231F20"/>
          <w:spacing w:val="-14"/>
          <w:w w:val="105"/>
        </w:rPr>
        <w:t> </w:t>
      </w:r>
      <w:r>
        <w:rPr>
          <w:color w:val="231F20"/>
          <w:w w:val="105"/>
        </w:rPr>
        <w:t>salud,</w:t>
      </w:r>
      <w:r>
        <w:rPr>
          <w:color w:val="231F20"/>
          <w:spacing w:val="-14"/>
          <w:w w:val="105"/>
        </w:rPr>
        <w:t> </w:t>
      </w:r>
      <w:r>
        <w:rPr>
          <w:color w:val="231F20"/>
          <w:w w:val="105"/>
        </w:rPr>
        <w:t>la</w:t>
      </w:r>
      <w:r>
        <w:rPr>
          <w:color w:val="231F20"/>
          <w:spacing w:val="-14"/>
          <w:w w:val="105"/>
        </w:rPr>
        <w:t> </w:t>
      </w:r>
      <w:r>
        <w:rPr>
          <w:color w:val="231F20"/>
          <w:w w:val="105"/>
        </w:rPr>
        <w:t>norma</w:t>
      </w:r>
      <w:r>
        <w:rPr>
          <w:color w:val="231F20"/>
          <w:spacing w:val="-14"/>
          <w:w w:val="105"/>
        </w:rPr>
        <w:t> </w:t>
      </w:r>
      <w:r>
        <w:rPr>
          <w:color w:val="231F20"/>
          <w:w w:val="105"/>
        </w:rPr>
        <w:t>no</w:t>
      </w:r>
      <w:r>
        <w:rPr>
          <w:color w:val="231F20"/>
          <w:spacing w:val="-14"/>
          <w:w w:val="105"/>
        </w:rPr>
        <w:t> </w:t>
      </w:r>
      <w:r>
        <w:rPr>
          <w:color w:val="231F20"/>
          <w:w w:val="105"/>
        </w:rPr>
        <w:t>fija</w:t>
      </w:r>
      <w:r>
        <w:rPr>
          <w:color w:val="231F20"/>
          <w:spacing w:val="-14"/>
          <w:w w:val="105"/>
        </w:rPr>
        <w:t> </w:t>
      </w:r>
      <w:r>
        <w:rPr>
          <w:color w:val="231F20"/>
          <w:w w:val="105"/>
        </w:rPr>
        <w:t>mínimos</w:t>
      </w:r>
      <w:r>
        <w:rPr>
          <w:color w:val="231F20"/>
          <w:spacing w:val="-14"/>
          <w:w w:val="105"/>
        </w:rPr>
        <w:t> </w:t>
      </w:r>
      <w:r>
        <w:rPr>
          <w:color w:val="231F20"/>
          <w:w w:val="105"/>
        </w:rPr>
        <w:t>en</w:t>
      </w:r>
      <w:r>
        <w:rPr>
          <w:color w:val="231F20"/>
          <w:spacing w:val="-14"/>
          <w:w w:val="105"/>
        </w:rPr>
        <w:t> </w:t>
      </w:r>
      <w:r>
        <w:rPr>
          <w:color w:val="231F20"/>
          <w:w w:val="105"/>
        </w:rPr>
        <w:t>obras</w:t>
      </w:r>
      <w:r>
        <w:rPr>
          <w:color w:val="231F20"/>
          <w:spacing w:val="-14"/>
          <w:w w:val="105"/>
        </w:rPr>
        <w:t> </w:t>
      </w:r>
      <w:r>
        <w:rPr>
          <w:color w:val="231F20"/>
          <w:w w:val="105"/>
        </w:rPr>
        <w:t>aunque</w:t>
      </w:r>
      <w:r>
        <w:rPr>
          <w:color w:val="231F20"/>
          <w:spacing w:val="-14"/>
          <w:w w:val="105"/>
        </w:rPr>
        <w:t> </w:t>
      </w:r>
      <w:r>
        <w:rPr>
          <w:color w:val="231F20"/>
          <w:w w:val="105"/>
        </w:rPr>
        <w:t>ya</w:t>
      </w:r>
      <w:r>
        <w:rPr>
          <w:color w:val="231F20"/>
          <w:spacing w:val="-14"/>
          <w:w w:val="105"/>
        </w:rPr>
        <w:t> </w:t>
      </w:r>
      <w:r>
        <w:rPr>
          <w:color w:val="231F20"/>
          <w:w w:val="105"/>
        </w:rPr>
        <w:t>se observó</w:t>
      </w:r>
      <w:r>
        <w:rPr>
          <w:color w:val="231F20"/>
          <w:spacing w:val="-15"/>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es</w:t>
      </w:r>
      <w:r>
        <w:rPr>
          <w:color w:val="231F20"/>
          <w:spacing w:val="-15"/>
          <w:w w:val="105"/>
        </w:rPr>
        <w:t> </w:t>
      </w:r>
      <w:r>
        <w:rPr>
          <w:color w:val="231F20"/>
          <w:w w:val="105"/>
        </w:rPr>
        <w:t>suficiente</w:t>
      </w:r>
      <w:r>
        <w:rPr>
          <w:color w:val="231F20"/>
          <w:spacing w:val="-15"/>
          <w:w w:val="105"/>
        </w:rPr>
        <w:t> </w:t>
      </w:r>
      <w:r>
        <w:rPr>
          <w:color w:val="231F20"/>
          <w:w w:val="105"/>
        </w:rPr>
        <w:t>la</w:t>
      </w:r>
      <w:r>
        <w:rPr>
          <w:color w:val="231F20"/>
          <w:spacing w:val="-15"/>
          <w:w w:val="105"/>
        </w:rPr>
        <w:t> </w:t>
      </w:r>
      <w:r>
        <w:rPr>
          <w:color w:val="231F20"/>
          <w:w w:val="105"/>
        </w:rPr>
        <w:t>infraestructura</w:t>
      </w:r>
      <w:r>
        <w:rPr>
          <w:color w:val="231F20"/>
          <w:spacing w:val="-15"/>
          <w:w w:val="105"/>
        </w:rPr>
        <w:t> </w:t>
      </w:r>
      <w:r>
        <w:rPr>
          <w:color w:val="231F20"/>
          <w:w w:val="105"/>
        </w:rPr>
        <w:t>existente,</w:t>
      </w:r>
      <w:r>
        <w:rPr>
          <w:color w:val="231F20"/>
          <w:spacing w:val="-15"/>
          <w:w w:val="105"/>
        </w:rPr>
        <w:t> </w:t>
      </w:r>
      <w:r>
        <w:rPr>
          <w:color w:val="231F20"/>
          <w:w w:val="105"/>
        </w:rPr>
        <w:t>y</w:t>
      </w:r>
      <w:r>
        <w:rPr>
          <w:color w:val="231F20"/>
          <w:spacing w:val="-15"/>
          <w:w w:val="105"/>
        </w:rPr>
        <w:t> </w:t>
      </w:r>
      <w:r>
        <w:rPr>
          <w:color w:val="231F20"/>
          <w:w w:val="105"/>
        </w:rPr>
        <w:t>que</w:t>
      </w:r>
      <w:r>
        <w:rPr>
          <w:color w:val="231F20"/>
          <w:spacing w:val="-15"/>
          <w:w w:val="105"/>
        </w:rPr>
        <w:t> </w:t>
      </w:r>
      <w:r>
        <w:rPr>
          <w:color w:val="231F20"/>
          <w:w w:val="105"/>
        </w:rPr>
        <w:t>a</w:t>
      </w:r>
      <w:r>
        <w:rPr>
          <w:color w:val="231F20"/>
          <w:spacing w:val="-15"/>
          <w:w w:val="105"/>
        </w:rPr>
        <w:t> </w:t>
      </w:r>
      <w:r>
        <w:rPr>
          <w:color w:val="231F20"/>
          <w:w w:val="105"/>
        </w:rPr>
        <w:t>pesar</w:t>
      </w:r>
      <w:r>
        <w:rPr>
          <w:color w:val="231F20"/>
          <w:spacing w:val="-15"/>
          <w:w w:val="105"/>
        </w:rPr>
        <w:t> </w:t>
      </w:r>
      <w:r>
        <w:rPr>
          <w:color w:val="231F20"/>
          <w:w w:val="105"/>
        </w:rPr>
        <w:t>de</w:t>
      </w:r>
      <w:r>
        <w:rPr>
          <w:color w:val="231F20"/>
          <w:spacing w:val="-15"/>
          <w:w w:val="105"/>
        </w:rPr>
        <w:t> </w:t>
      </w:r>
      <w:r>
        <w:rPr>
          <w:color w:val="231F20"/>
          <w:w w:val="105"/>
        </w:rPr>
        <w:t>ello</w:t>
      </w:r>
      <w:r>
        <w:rPr>
          <w:color w:val="231F20"/>
          <w:spacing w:val="-15"/>
          <w:w w:val="105"/>
        </w:rPr>
        <w:t> </w:t>
      </w:r>
      <w:r>
        <w:rPr>
          <w:color w:val="231F20"/>
          <w:w w:val="105"/>
        </w:rPr>
        <w:t>sólo</w:t>
      </w:r>
      <w:r>
        <w:rPr>
          <w:color w:val="231F20"/>
          <w:spacing w:val="-15"/>
          <w:w w:val="105"/>
        </w:rPr>
        <w:t> </w:t>
      </w:r>
      <w:r>
        <w:rPr>
          <w:color w:val="231F20"/>
          <w:w w:val="105"/>
        </w:rPr>
        <w:t>se</w:t>
      </w:r>
      <w:r>
        <w:rPr>
          <w:color w:val="231F20"/>
          <w:spacing w:val="-15"/>
          <w:w w:val="105"/>
        </w:rPr>
        <w:t> </w:t>
      </w:r>
      <w:r>
        <w:rPr>
          <w:color w:val="231F20"/>
          <w:w w:val="105"/>
        </w:rPr>
        <w:t>re- modelaron</w:t>
      </w:r>
      <w:r>
        <w:rPr>
          <w:color w:val="231F20"/>
          <w:spacing w:val="-20"/>
          <w:w w:val="105"/>
        </w:rPr>
        <w:t> </w:t>
      </w:r>
      <w:r>
        <w:rPr>
          <w:color w:val="231F20"/>
          <w:w w:val="105"/>
        </w:rPr>
        <w:t>centros</w:t>
      </w:r>
      <w:r>
        <w:rPr>
          <w:color w:val="231F20"/>
          <w:spacing w:val="-20"/>
          <w:w w:val="105"/>
        </w:rPr>
        <w:t> </w:t>
      </w:r>
      <w:r>
        <w:rPr>
          <w:color w:val="231F20"/>
          <w:w w:val="105"/>
        </w:rPr>
        <w:t>de</w:t>
      </w:r>
      <w:r>
        <w:rPr>
          <w:color w:val="231F20"/>
          <w:spacing w:val="-20"/>
          <w:w w:val="105"/>
        </w:rPr>
        <w:t> </w:t>
      </w:r>
      <w:r>
        <w:rPr>
          <w:color w:val="231F20"/>
          <w:w w:val="105"/>
        </w:rPr>
        <w:t>salud</w:t>
      </w:r>
      <w:r>
        <w:rPr>
          <w:color w:val="231F20"/>
          <w:spacing w:val="-20"/>
          <w:w w:val="105"/>
        </w:rPr>
        <w:t> </w:t>
      </w:r>
      <w:r>
        <w:rPr>
          <w:color w:val="231F20"/>
          <w:w w:val="105"/>
        </w:rPr>
        <w:t>y</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del</w:t>
      </w:r>
      <w:r>
        <w:rPr>
          <w:color w:val="231F20"/>
          <w:spacing w:val="-20"/>
          <w:w w:val="105"/>
        </w:rPr>
        <w:t> </w:t>
      </w:r>
      <w:r>
        <w:rPr>
          <w:color w:val="231F20"/>
          <w:w w:val="105"/>
        </w:rPr>
        <w:t>Ixtatón</w:t>
      </w:r>
      <w:r>
        <w:rPr>
          <w:color w:val="231F20"/>
          <w:spacing w:val="-20"/>
          <w:w w:val="105"/>
        </w:rPr>
        <w:t> </w:t>
      </w:r>
      <w:r>
        <w:rPr>
          <w:color w:val="231F20"/>
          <w:w w:val="105"/>
        </w:rPr>
        <w:t>se</w:t>
      </w:r>
      <w:r>
        <w:rPr>
          <w:color w:val="231F20"/>
          <w:spacing w:val="-20"/>
          <w:w w:val="105"/>
        </w:rPr>
        <w:t> </w:t>
      </w:r>
      <w:r>
        <w:rPr>
          <w:color w:val="231F20"/>
          <w:spacing w:val="-3"/>
          <w:w w:val="105"/>
        </w:rPr>
        <w:t>proveyó</w:t>
      </w:r>
      <w:r>
        <w:rPr>
          <w:color w:val="231F20"/>
          <w:spacing w:val="-20"/>
          <w:w w:val="105"/>
        </w:rPr>
        <w:t> </w:t>
      </w:r>
      <w:r>
        <w:rPr>
          <w:color w:val="231F20"/>
          <w:w w:val="105"/>
        </w:rPr>
        <w:t>de</w:t>
      </w:r>
      <w:r>
        <w:rPr>
          <w:color w:val="231F20"/>
          <w:spacing w:val="-20"/>
          <w:w w:val="105"/>
        </w:rPr>
        <w:t> </w:t>
      </w:r>
      <w:r>
        <w:rPr>
          <w:color w:val="231F20"/>
          <w:w w:val="105"/>
        </w:rPr>
        <w:t>equipamiento</w:t>
      </w:r>
      <w:r>
        <w:rPr>
          <w:color w:val="231F20"/>
          <w:spacing w:val="-20"/>
          <w:w w:val="105"/>
        </w:rPr>
        <w:t> </w:t>
      </w:r>
      <w:r>
        <w:rPr>
          <w:color w:val="231F20"/>
          <w:w w:val="105"/>
        </w:rPr>
        <w:t>necesario. En</w:t>
      </w:r>
      <w:r>
        <w:rPr>
          <w:color w:val="231F20"/>
          <w:spacing w:val="-20"/>
          <w:w w:val="105"/>
        </w:rPr>
        <w:t> </w:t>
      </w:r>
      <w:r>
        <w:rPr>
          <w:color w:val="231F20"/>
          <w:w w:val="105"/>
        </w:rPr>
        <w:t>abasto</w:t>
      </w:r>
      <w:r>
        <w:rPr>
          <w:color w:val="231F20"/>
          <w:spacing w:val="-20"/>
          <w:w w:val="105"/>
        </w:rPr>
        <w:t> </w:t>
      </w:r>
      <w:r>
        <w:rPr>
          <w:color w:val="231F20"/>
          <w:w w:val="105"/>
        </w:rPr>
        <w:t>el</w:t>
      </w:r>
      <w:r>
        <w:rPr>
          <w:color w:val="231F20"/>
          <w:spacing w:val="-20"/>
          <w:w w:val="105"/>
        </w:rPr>
        <w:t> </w:t>
      </w:r>
      <w:r>
        <w:rPr>
          <w:color w:val="231F20"/>
          <w:w w:val="105"/>
        </w:rPr>
        <w:t>informe</w:t>
      </w:r>
      <w:r>
        <w:rPr>
          <w:color w:val="231F20"/>
          <w:spacing w:val="-20"/>
          <w:w w:val="105"/>
        </w:rPr>
        <w:t> </w:t>
      </w:r>
      <w:r>
        <w:rPr>
          <w:color w:val="231F20"/>
          <w:w w:val="105"/>
        </w:rPr>
        <w:t>no</w:t>
      </w:r>
      <w:r>
        <w:rPr>
          <w:color w:val="231F20"/>
          <w:spacing w:val="-20"/>
          <w:w w:val="105"/>
        </w:rPr>
        <w:t> </w:t>
      </w:r>
      <w:r>
        <w:rPr>
          <w:color w:val="231F20"/>
          <w:w w:val="105"/>
        </w:rPr>
        <w:t>reporta</w:t>
      </w:r>
      <w:r>
        <w:rPr>
          <w:color w:val="231F20"/>
          <w:spacing w:val="-20"/>
          <w:w w:val="105"/>
        </w:rPr>
        <w:t> </w:t>
      </w:r>
      <w:r>
        <w:rPr>
          <w:color w:val="231F20"/>
          <w:w w:val="105"/>
        </w:rPr>
        <w:t>mejoras</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instalaciones</w:t>
      </w:r>
      <w:r>
        <w:rPr>
          <w:color w:val="231F20"/>
          <w:spacing w:val="-20"/>
          <w:w w:val="105"/>
        </w:rPr>
        <w:t> </w:t>
      </w:r>
      <w:r>
        <w:rPr>
          <w:color w:val="231F20"/>
          <w:w w:val="105"/>
        </w:rPr>
        <w:t>del</w:t>
      </w:r>
      <w:r>
        <w:rPr>
          <w:color w:val="231F20"/>
          <w:spacing w:val="-20"/>
          <w:w w:val="105"/>
        </w:rPr>
        <w:t> </w:t>
      </w:r>
      <w:r>
        <w:rPr>
          <w:color w:val="231F20"/>
          <w:w w:val="105"/>
        </w:rPr>
        <w:t>rastro,</w:t>
      </w:r>
      <w:r>
        <w:rPr>
          <w:color w:val="231F20"/>
          <w:spacing w:val="-20"/>
          <w:w w:val="105"/>
        </w:rPr>
        <w:t> </w:t>
      </w:r>
      <w:r>
        <w:rPr>
          <w:color w:val="231F20"/>
          <w:w w:val="105"/>
        </w:rPr>
        <w:t>pero</w:t>
      </w:r>
      <w:r>
        <w:rPr>
          <w:color w:val="231F20"/>
          <w:spacing w:val="-20"/>
          <w:w w:val="105"/>
        </w:rPr>
        <w:t> </w:t>
      </w:r>
      <w:r>
        <w:rPr>
          <w:color w:val="231F20"/>
          <w:w w:val="105"/>
        </w:rPr>
        <w:t>sí</w:t>
      </w:r>
      <w:r>
        <w:rPr>
          <w:color w:val="231F20"/>
          <w:spacing w:val="-19"/>
          <w:w w:val="105"/>
        </w:rPr>
        <w:t> </w:t>
      </w:r>
      <w:r>
        <w:rPr>
          <w:color w:val="231F20"/>
          <w:w w:val="105"/>
        </w:rPr>
        <w:t>menciona los</w:t>
      </w:r>
      <w:r>
        <w:rPr>
          <w:color w:val="231F20"/>
          <w:spacing w:val="-19"/>
          <w:w w:val="105"/>
        </w:rPr>
        <w:t> </w:t>
      </w:r>
      <w:r>
        <w:rPr>
          <w:color w:val="231F20"/>
          <w:w w:val="105"/>
        </w:rPr>
        <w:t>avances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remodelación</w:t>
      </w:r>
      <w:r>
        <w:rPr>
          <w:color w:val="231F20"/>
          <w:spacing w:val="-19"/>
          <w:w w:val="105"/>
        </w:rPr>
        <w:t> </w:t>
      </w:r>
      <w:r>
        <w:rPr>
          <w:color w:val="231F20"/>
          <w:w w:val="105"/>
        </w:rPr>
        <w:t>del</w:t>
      </w:r>
      <w:r>
        <w:rPr>
          <w:color w:val="231F20"/>
          <w:spacing w:val="-19"/>
          <w:w w:val="105"/>
        </w:rPr>
        <w:t> </w:t>
      </w:r>
      <w:r>
        <w:rPr>
          <w:color w:val="231F20"/>
          <w:w w:val="105"/>
        </w:rPr>
        <w:t>mercado</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encontraba</w:t>
      </w:r>
      <w:r>
        <w:rPr>
          <w:color w:val="231F20"/>
          <w:spacing w:val="-19"/>
          <w:w w:val="105"/>
        </w:rPr>
        <w:t> </w:t>
      </w:r>
      <w:r>
        <w:rPr>
          <w:color w:val="231F20"/>
          <w:w w:val="105"/>
        </w:rPr>
        <w:t>inoperativo,</w:t>
      </w:r>
      <w:r>
        <w:rPr>
          <w:color w:val="231F20"/>
          <w:spacing w:val="-19"/>
          <w:w w:val="105"/>
        </w:rPr>
        <w:t> </w:t>
      </w:r>
      <w:r>
        <w:rPr>
          <w:color w:val="231F20"/>
          <w:w w:val="105"/>
        </w:rPr>
        <w:t>y</w:t>
      </w:r>
      <w:r>
        <w:rPr>
          <w:color w:val="231F20"/>
          <w:spacing w:val="-19"/>
          <w:w w:val="105"/>
        </w:rPr>
        <w:t> </w:t>
      </w:r>
      <w:r>
        <w:rPr>
          <w:color w:val="231F20"/>
          <w:w w:val="105"/>
        </w:rPr>
        <w:t>con</w:t>
      </w:r>
      <w:r>
        <w:rPr>
          <w:color w:val="231F20"/>
          <w:spacing w:val="-19"/>
          <w:w w:val="105"/>
        </w:rPr>
        <w:t> </w:t>
      </w:r>
      <w:r>
        <w:rPr>
          <w:color w:val="231F20"/>
          <w:w w:val="105"/>
        </w:rPr>
        <w:t>esto</w:t>
      </w:r>
      <w:r>
        <w:rPr>
          <w:color w:val="231F20"/>
          <w:spacing w:val="-19"/>
          <w:w w:val="105"/>
        </w:rPr>
        <w:t> </w:t>
      </w:r>
      <w:r>
        <w:rPr>
          <w:color w:val="231F20"/>
          <w:w w:val="105"/>
        </w:rPr>
        <w:t>el mantenimiento de</w:t>
      </w:r>
      <w:r>
        <w:rPr>
          <w:color w:val="231F20"/>
          <w:spacing w:val="19"/>
          <w:w w:val="105"/>
        </w:rPr>
        <w:t> </w:t>
      </w:r>
      <w:r>
        <w:rPr>
          <w:color w:val="231F20"/>
          <w:w w:val="105"/>
        </w:rPr>
        <w:t>sanitarios.</w:t>
      </w:r>
    </w:p>
    <w:p>
      <w:pPr>
        <w:spacing w:after="0" w:line="285" w:lineRule="auto"/>
        <w:jc w:val="both"/>
        <w:sectPr>
          <w:pgSz w:w="9640" w:h="12190"/>
          <w:pgMar w:header="0" w:footer="743" w:top="1120" w:bottom="940" w:left="740" w:right="740"/>
        </w:sectPr>
      </w:pPr>
    </w:p>
    <w:p>
      <w:pPr>
        <w:pStyle w:val="Heading5"/>
        <w:spacing w:line="285" w:lineRule="auto" w:before="27"/>
        <w:ind w:left="104" w:right="102"/>
        <w:jc w:val="center"/>
      </w:pPr>
      <w:r>
        <w:rPr/>
        <w:pict>
          <v:group style="position:absolute;margin-left:118.693199pt;margin-top:36.569447pt;width:246.15pt;height:248.65pt;mso-position-horizontal-relative:page;mso-position-vertical-relative:paragraph;z-index:7912;mso-wrap-distance-left:0;mso-wrap-distance-right:0" coordorigin="2374,731" coordsize="4923,4973">
            <v:shape style="position:absolute;left:2374;top:731;width:4923;height:4973" coordorigin="2374,731" coordsize="4923,4973" path="m2648,2395l2602,2425,2625,2604,2558,2661,2480,2673,2542,2757,2527,2816,2550,2885,2413,2955,2374,3030,2414,3107,2586,3246,2601,3337,2900,3711,2900,3806,2995,3963,3265,4115,3300,4209,3345,4219,3447,4345,3527,4357,3560,4400,3629,4400,3723,4610,3834,4655,3885,4863,3862,5093,3943,5206,3946,5233,3949,5260,3952,5283,3953,5295,3957,5305,3968,5310,3987,5314,4012,5316,4027,5317,4030,5317,4049,5329,4086,5355,4132,5391,4183,5430,4190,5537,4362,5704,4448,5435,4357,5231,4268,5118,4496,4838,4381,4699,4250,4655,4197,4542,4187,4488,4140,4391,4145,4285,4090,4212,4080,4074,3950,3924,3957,3830,4746,3593,5595,3593,5697,3392,5839,3377,5988,3139,5969,3070,5972,3068,6877,3068,6786,2968,3293,2968,2965,2626,2967,2596,2789,2596,2741,2554,2751,2481,2648,2395xm6877,3068l5972,3068,6075,3220,6215,3374,6220,3513,6300,3695,6321,3841,6439,3911,6653,3855,6925,3709,7273,3709,7176,3496,6999,3376,6907,3102,6877,3068xm7273,3709l6925,3709,7234,3889,7296,3760,7273,3709xm5584,3639l5240,3639,5245,3803,5561,3808,5584,3639xm5595,3593l4746,3593,5102,3655,5240,3639,5584,3639,5589,3606,5595,3593xm3862,767l3871,894,3998,972,3840,1016,3754,1065,3537,1086,3501,1227,3353,1358,3412,1468,3383,1546,3323,1554,3095,2107,3156,2343,3288,2469,3285,2570,3358,2632,3515,2871,3293,2968,6786,2968,6771,2953,6851,2712,6600,2232,6571,2110,6461,2074,6341,1902,6140,1749,6045,1571,5983,1571,5926,1400,5944,1347,5769,1198,5700,1198,5620,1111,4974,1111,4901,1066,4864,906,4734,850,4276,850,4191,780,4088,780,3862,767xm2912,2525l2789,2596,2967,2596,2968,2584,2912,2525xm6032,1547l5983,1571,6045,1571,6032,1547xm5005,756l4947,859,4987,994,4974,1111,5620,1111,5363,829,5005,756xm4598,792l4500,833,4276,850,4734,850,4598,792xm4132,731l4088,780,4191,780,4132,731xe" filled="true" fillcolor="#231f20" stroked="false">
              <v:path arrowok="t"/>
              <v:fill type="solid"/>
            </v:shape>
            <v:shape style="position:absolute;left:4968;top:779;width:1616;height:1748" coordorigin="4968,779" coordsize="1616,1748" path="m5904,2483l5796,2483,5797,2485,5810,2500,5823,2513,5834,2523,5840,2526,5848,2524,5862,2518,5878,2511,5893,2503,5904,2483xm5907,2477l5671,2477,5746,2512,5796,2483,5904,2483,5907,2477xm5500,2169l5495,2253,5598,2286,5598,2288,5570,2461,5662,2483,5671,2477,5907,2477,5922,2449,6052,2449,6081,2428,6170,2426,6271,2426,6274,2405,6431,2405,6583,2243,6584,2243,6580,2237,6579,2231,5603,2231,5500,2169xm6052,2449l5922,2449,6036,2461,6052,2449xm6271,2426l6170,2426,6268,2447,6271,2426xm6431,2405l6274,2405,6417,2420,6431,2405xm6584,2243l6583,2243,6584,2244,6584,2243xm5921,1354l5358,1354,5538,1497,5526,1534,5648,1637,5648,2199,5603,2231,6579,2231,6554,2125,6449,2091,6325,1915,6124,1760,6037,1599,5972,1599,5905,1400,5921,1354xm6023,1573l5972,1599,6037,1599,6023,1573xm5015,779l4968,861,5008,992,4992,1132,5320,1389,5358,1354,5921,1354,5921,1353,5761,1218,5691,1218,5352,847,5015,779xe" filled="true" fillcolor="#f7941d" stroked="false">
              <v:path arrowok="t"/>
              <v:fill type="solid"/>
            </v:shape>
            <v:shape style="position:absolute;left:4968;top:779;width:1616;height:1748" coordorigin="4968,779" coordsize="1616,1748" path="m4968,861l5015,779,5352,847,5691,1218,5761,1218,5921,1353,5905,1400,5972,1599,6023,1573,6124,1760,6325,1915,6449,2091,6554,2125,6580,2237,6584,2244,6583,2243,6417,2420,6274,2405,6268,2447,6170,2426,6081,2428,6036,2461,5924,2449,5922,2449,5893,2503,5878,2511,5862,2518,5848,2524,5840,2526,5834,2523,5823,2513,5810,2500,5797,2485,5796,2483,5746,2512,5671,2477,5662,2483,5570,2461,5598,2288,5598,2286,5495,2253,5500,2169,5601,2230,5603,2231,5648,2199,5648,1637,5526,1534,5538,1497,5358,1354,5320,1389,4992,1132,5008,992,4968,861xe" filled="false" stroked="true" strokeweight=".25pt" strokecolor="#231f20">
              <v:path arrowok="t"/>
            </v:shape>
            <v:shape style="position:absolute;left:5238;top:2445;width:710;height:738" coordorigin="5238,2445" coordsize="710,738" path="m5315,2445l5295,2445,5295,2508,5255,2508,5238,2575,5280,2665,5243,2728,5248,2762,5252,2778,5335,2778,5335,2828,5301,2828,5335,2849,5335,2924,5360,2954,5360,3183,5390,3183,5948,2968,5948,2924,5902,2873,5846,2873,5803,2811,5723,2811,5688,2764,5688,2647,5720,2609,5721,2597,5721,2583,5721,2570,5720,2563,5689,2563,5681,2543,5368,2543,5368,2479,5348,2479,5337,2479,5329,2476,5320,2470,5316,2452,5315,2445xm5789,2791l5723,2811,5803,2811,5789,2791xm5714,2557l5699,2560,5689,2563,5720,2563,5720,2561,5720,2560,5720,2560,5714,2557xm5515,2473l5515,2509,5461,2543,5681,2543,5661,2487,5643,2483,5570,2483,5515,2473xm5570,2466l5570,2483,5643,2483,5570,2466xm5368,2477l5359,2478,5348,2479,5368,2479,5368,2477xe" filled="true" fillcolor="#fff200" stroked="false">
              <v:path arrowok="t"/>
              <v:fill type="solid"/>
            </v:shape>
            <v:shape style="position:absolute;left:5238;top:2445;width:710;height:738" coordorigin="5238,2445" coordsize="710,738" path="m5723,2811l5789,2791,5846,2872,5846,2873,5902,2873,5948,2924,5948,2968,5390,3183,5360,3183,5360,2954,5335,2924,5335,2849,5301,2828,5335,2828,5335,2778,5252,2778,5248,2762,5243,2728,5280,2666,5280,2665,5238,2575,5255,2508,5295,2508,5295,2445,5315,2445,5316,2452,5320,2470,5329,2476,5337,2479,5348,2479,5359,2478,5368,2477,5368,2543,5461,2543,5515,2509,5515,2473,5570,2483,5570,2466,5661,2487,5689,2563,5691,2563,5699,2560,5714,2557,5719,2559,5721,2583,5721,2597,5720,2609,5688,2646,5688,2647,5688,2764,5723,2811xe" filled="false" stroked="true" strokeweight=".25pt" strokecolor="#231f20">
              <v:path arrowok="t"/>
            </v:shape>
            <v:shape style="position:absolute;left:4824;top:2875;width:278;height:263" type="#_x0000_t75" stroked="false">
              <v:imagedata r:id="rId304" o:title=""/>
            </v:shape>
            <v:shape style="position:absolute;left:4826;top:2481;width:449;height:280" coordorigin="4826,2481" coordsize="449,280" path="m5241,2752l5127,2752,5242,2760,5241,2752xm5265,2645l4985,2645,5011,2745,5066,2745,5081,2753,5127,2753,5127,2752,5241,2752,5238,2727,5275,2665,5265,2645xm5008,2481l4905,2481,4905,2524,4885,2541,4885,2574,4826,2636,4855,2657,4905,2609,5248,2609,5232,2575,5249,2508,5011,2495,5008,2481xm5248,2609l4905,2609,4925,2636,4925,2650,4985,2645,5265,2645,5248,2609xe" filled="true" fillcolor="#be1e2d" stroked="false">
              <v:path arrowok="t"/>
              <v:fill type="solid"/>
            </v:shape>
            <v:shape style="position:absolute;left:4826;top:2481;width:449;height:280" coordorigin="4826,2481" coordsize="449,280" path="m5242,2760l5127,2752,5127,2753,5081,2753,5066,2745,5011,2745,4985,2645,4925,2650,4925,2636,4905,2609,4855,2657,4826,2636,4885,2574,4885,2541,4905,2524,4905,2481,5008,2481,5011,2495,5249,2508,5232,2575,5275,2665,5238,2726,5238,2727,5242,2760xe" filled="false" stroked="true" strokeweight=".25pt" strokecolor="#231f20">
              <v:path arrowok="t"/>
            </v:shape>
            <v:shape style="position:absolute;left:4800;top:2614;width:558;height:568" type="#_x0000_t75" stroked="false">
              <v:imagedata r:id="rId305" o:title=""/>
            </v:shape>
            <v:shape style="position:absolute;left:2394;top:757;width:4883;height:4913" type="#_x0000_t75" stroked="false">
              <v:imagedata r:id="rId306" o:title=""/>
            </v:shape>
            <w10:wrap type="topAndBottom"/>
          </v:group>
        </w:pict>
      </w:r>
      <w:r>
        <w:rPr>
          <w:color w:val="231F20"/>
          <w:w w:val="105"/>
        </w:rPr>
        <w:t>Mapa</w:t>
      </w:r>
      <w:r>
        <w:rPr>
          <w:color w:val="231F20"/>
          <w:spacing w:val="-17"/>
          <w:w w:val="105"/>
        </w:rPr>
        <w:t> </w:t>
      </w:r>
      <w:r>
        <w:rPr>
          <w:color w:val="231F20"/>
          <w:spacing w:val="-3"/>
          <w:w w:val="105"/>
        </w:rPr>
        <w:t>1.</w:t>
      </w:r>
      <w:r>
        <w:rPr>
          <w:color w:val="231F20"/>
          <w:spacing w:val="-17"/>
          <w:w w:val="105"/>
        </w:rPr>
        <w:t> </w:t>
      </w:r>
      <w:r>
        <w:rPr>
          <w:color w:val="231F20"/>
          <w:w w:val="105"/>
        </w:rPr>
        <w:t>Distribución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obra</w:t>
      </w:r>
      <w:r>
        <w:rPr>
          <w:color w:val="231F20"/>
          <w:spacing w:val="-17"/>
          <w:w w:val="105"/>
        </w:rPr>
        <w:t> </w:t>
      </w:r>
      <w:r>
        <w:rPr>
          <w:color w:val="231F20"/>
          <w:w w:val="105"/>
        </w:rPr>
        <w:t>pública</w:t>
      </w:r>
      <w:r>
        <w:rPr>
          <w:color w:val="231F20"/>
          <w:spacing w:val="-17"/>
          <w:w w:val="105"/>
        </w:rPr>
        <w:t> </w:t>
      </w:r>
      <w:r>
        <w:rPr>
          <w:color w:val="231F20"/>
          <w:w w:val="105"/>
        </w:rPr>
        <w:t>del</w:t>
      </w:r>
      <w:r>
        <w:rPr>
          <w:color w:val="231F20"/>
          <w:spacing w:val="-17"/>
          <w:w w:val="105"/>
        </w:rPr>
        <w:t> </w:t>
      </w:r>
      <w:r>
        <w:rPr>
          <w:color w:val="231F20"/>
          <w:w w:val="105"/>
        </w:rPr>
        <w:t>municipio,</w:t>
      </w:r>
      <w:r>
        <w:rPr>
          <w:color w:val="231F20"/>
          <w:spacing w:val="-17"/>
          <w:w w:val="105"/>
        </w:rPr>
        <w:t> </w:t>
      </w:r>
      <w:r>
        <w:rPr>
          <w:color w:val="231F20"/>
          <w:w w:val="105"/>
        </w:rPr>
        <w:t>por</w:t>
      </w:r>
      <w:r>
        <w:rPr>
          <w:color w:val="231F20"/>
          <w:spacing w:val="-17"/>
          <w:w w:val="105"/>
        </w:rPr>
        <w:t> </w:t>
      </w:r>
      <w:r>
        <w:rPr>
          <w:color w:val="231F20"/>
          <w:w w:val="105"/>
        </w:rPr>
        <w:t>sección</w:t>
      </w:r>
      <w:r>
        <w:rPr>
          <w:color w:val="231F20"/>
          <w:spacing w:val="-17"/>
          <w:w w:val="105"/>
        </w:rPr>
        <w:t> </w:t>
      </w:r>
      <w:r>
        <w:rPr>
          <w:color w:val="231F20"/>
          <w:w w:val="105"/>
        </w:rPr>
        <w:t>electoral. (Ejercicio</w:t>
      </w:r>
      <w:r>
        <w:rPr>
          <w:color w:val="231F20"/>
          <w:spacing w:val="-42"/>
          <w:w w:val="105"/>
        </w:rPr>
        <w:t> </w:t>
      </w:r>
      <w:r>
        <w:rPr>
          <w:color w:val="231F20"/>
          <w:w w:val="105"/>
        </w:rPr>
        <w:t>2008)</w:t>
      </w:r>
    </w:p>
    <w:p>
      <w:pPr>
        <w:spacing w:before="185"/>
        <w:ind w:left="1206" w:right="-2" w:firstLine="0"/>
        <w:jc w:val="left"/>
        <w:rPr>
          <w:rFonts w:ascii="Calibri" w:hAnsi="Calibri"/>
          <w:sz w:val="16"/>
        </w:rPr>
      </w:pPr>
      <w:r>
        <w:rPr>
          <w:rFonts w:ascii="Calibri" w:hAnsi="Calibri"/>
          <w:color w:val="231F20"/>
          <w:sz w:val="16"/>
        </w:rPr>
        <w:t>Fuente: Elaboración propia con información de Unidad de Transparencia del Municipio de Ixtapan de la Sal</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Una</w:t>
      </w:r>
      <w:r>
        <w:rPr>
          <w:color w:val="231F20"/>
          <w:spacing w:val="-16"/>
          <w:w w:val="105"/>
        </w:rPr>
        <w:t> </w:t>
      </w:r>
      <w:r>
        <w:rPr>
          <w:color w:val="231F20"/>
          <w:w w:val="105"/>
        </w:rPr>
        <w:t>característica</w:t>
      </w:r>
      <w:r>
        <w:rPr>
          <w:color w:val="231F20"/>
          <w:spacing w:val="-16"/>
          <w:w w:val="105"/>
        </w:rPr>
        <w:t> </w:t>
      </w:r>
      <w:r>
        <w:rPr>
          <w:color w:val="231F20"/>
          <w:w w:val="105"/>
        </w:rPr>
        <w:t>peculiar</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municipios</w:t>
      </w:r>
      <w:r>
        <w:rPr>
          <w:color w:val="231F20"/>
          <w:spacing w:val="-16"/>
          <w:w w:val="105"/>
        </w:rPr>
        <w:t> </w:t>
      </w:r>
      <w:r>
        <w:rPr>
          <w:color w:val="231F20"/>
          <w:w w:val="105"/>
        </w:rPr>
        <w:t>en</w:t>
      </w:r>
      <w:r>
        <w:rPr>
          <w:color w:val="231F20"/>
          <w:spacing w:val="-16"/>
          <w:w w:val="105"/>
        </w:rPr>
        <w:t> </w:t>
      </w:r>
      <w:r>
        <w:rPr>
          <w:color w:val="231F20"/>
          <w:w w:val="105"/>
        </w:rPr>
        <w:t>relación</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obra</w:t>
      </w:r>
      <w:r>
        <w:rPr>
          <w:color w:val="231F20"/>
          <w:spacing w:val="-16"/>
          <w:w w:val="105"/>
        </w:rPr>
        <w:t> </w:t>
      </w:r>
      <w:r>
        <w:rPr>
          <w:color w:val="231F20"/>
          <w:w w:val="105"/>
        </w:rPr>
        <w:t>pública</w:t>
      </w:r>
      <w:r>
        <w:rPr>
          <w:color w:val="231F20"/>
          <w:spacing w:val="-16"/>
          <w:w w:val="105"/>
        </w:rPr>
        <w:t> </w:t>
      </w:r>
      <w:r>
        <w:rPr>
          <w:color w:val="231F20"/>
          <w:w w:val="105"/>
        </w:rPr>
        <w:t>es</w:t>
      </w:r>
      <w:r>
        <w:rPr>
          <w:color w:val="231F20"/>
          <w:spacing w:val="-16"/>
          <w:w w:val="105"/>
        </w:rPr>
        <w:t> </w:t>
      </w:r>
      <w:r>
        <w:rPr>
          <w:color w:val="231F20"/>
          <w:w w:val="105"/>
        </w:rPr>
        <w:t>su</w:t>
      </w:r>
      <w:r>
        <w:rPr>
          <w:color w:val="231F20"/>
          <w:spacing w:val="-16"/>
          <w:w w:val="105"/>
        </w:rPr>
        <w:t> </w:t>
      </w:r>
      <w:r>
        <w:rPr>
          <w:color w:val="231F20"/>
          <w:w w:val="105"/>
        </w:rPr>
        <w:t>concen- tración en la cabecera municipal, descuidando las localidades y rancherías alejadas de la urbe. En este caso, </w:t>
      </w:r>
      <w:r>
        <w:rPr>
          <w:color w:val="231F20"/>
          <w:spacing w:val="2"/>
          <w:w w:val="105"/>
        </w:rPr>
        <w:t>al analizar </w:t>
      </w:r>
      <w:r>
        <w:rPr>
          <w:color w:val="231F20"/>
          <w:w w:val="105"/>
        </w:rPr>
        <w:t>la distribución por sección electoral </w:t>
      </w:r>
      <w:r>
        <w:rPr>
          <w:color w:val="231F20"/>
          <w:spacing w:val="-5"/>
          <w:w w:val="105"/>
        </w:rPr>
        <w:t>(Ver </w:t>
      </w:r>
      <w:r>
        <w:rPr>
          <w:color w:val="231F20"/>
          <w:w w:val="105"/>
        </w:rPr>
        <w:t>Mapa </w:t>
      </w:r>
      <w:r>
        <w:rPr>
          <w:color w:val="231F20"/>
          <w:spacing w:val="-7"/>
          <w:w w:val="105"/>
        </w:rPr>
        <w:t>1) </w:t>
      </w:r>
      <w:r>
        <w:rPr>
          <w:color w:val="231F20"/>
          <w:w w:val="105"/>
        </w:rPr>
        <w:t>se encuentra</w:t>
      </w:r>
      <w:r>
        <w:rPr>
          <w:color w:val="231F20"/>
          <w:spacing w:val="-17"/>
          <w:w w:val="105"/>
        </w:rPr>
        <w:t> </w:t>
      </w:r>
      <w:r>
        <w:rPr>
          <w:color w:val="231F20"/>
          <w:w w:val="105"/>
        </w:rPr>
        <w:t>pese</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inversión</w:t>
      </w:r>
      <w:r>
        <w:rPr>
          <w:color w:val="231F20"/>
          <w:spacing w:val="-17"/>
          <w:w w:val="105"/>
        </w:rPr>
        <w:t> </w:t>
      </w:r>
      <w:r>
        <w:rPr>
          <w:color w:val="231F20"/>
          <w:w w:val="105"/>
        </w:rPr>
        <w:t>es</w:t>
      </w:r>
      <w:r>
        <w:rPr>
          <w:color w:val="231F20"/>
          <w:spacing w:val="-17"/>
          <w:w w:val="105"/>
        </w:rPr>
        <w:t> </w:t>
      </w:r>
      <w:r>
        <w:rPr>
          <w:color w:val="231F20"/>
          <w:w w:val="105"/>
        </w:rPr>
        <w:t>continua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cabecera</w:t>
      </w:r>
      <w:r>
        <w:rPr>
          <w:color w:val="231F20"/>
          <w:spacing w:val="-17"/>
          <w:w w:val="105"/>
        </w:rPr>
        <w:t> </w:t>
      </w:r>
      <w:r>
        <w:rPr>
          <w:color w:val="231F20"/>
          <w:w w:val="105"/>
        </w:rPr>
        <w:t>municipal,</w:t>
      </w:r>
      <w:r>
        <w:rPr>
          <w:color w:val="231F20"/>
          <w:spacing w:val="-17"/>
          <w:w w:val="105"/>
        </w:rPr>
        <w:t> </w:t>
      </w:r>
      <w:r>
        <w:rPr>
          <w:color w:val="231F20"/>
          <w:w w:val="105"/>
        </w:rPr>
        <w:t>el</w:t>
      </w:r>
      <w:r>
        <w:rPr>
          <w:color w:val="231F20"/>
          <w:spacing w:val="-17"/>
          <w:w w:val="105"/>
        </w:rPr>
        <w:t> </w:t>
      </w:r>
      <w:r>
        <w:rPr>
          <w:color w:val="231F20"/>
          <w:w w:val="105"/>
        </w:rPr>
        <w:t>actual</w:t>
      </w:r>
      <w:r>
        <w:rPr>
          <w:color w:val="231F20"/>
          <w:spacing w:val="-17"/>
          <w:w w:val="105"/>
        </w:rPr>
        <w:t> </w:t>
      </w:r>
      <w:r>
        <w:rPr>
          <w:color w:val="231F20"/>
          <w:w w:val="105"/>
        </w:rPr>
        <w:t>gobierno municipal también dirigió proyectos a las localidades de la periferia, particularmente en</w:t>
      </w:r>
      <w:r>
        <w:rPr>
          <w:color w:val="231F20"/>
          <w:spacing w:val="-8"/>
          <w:w w:val="105"/>
        </w:rPr>
        <w:t> </w:t>
      </w:r>
      <w:r>
        <w:rPr>
          <w:color w:val="231F20"/>
          <w:w w:val="105"/>
        </w:rPr>
        <w:t>infraestructura</w:t>
      </w:r>
      <w:r>
        <w:rPr>
          <w:color w:val="231F20"/>
          <w:spacing w:val="-8"/>
          <w:w w:val="105"/>
        </w:rPr>
        <w:t> </w:t>
      </w:r>
      <w:r>
        <w:rPr>
          <w:color w:val="231F20"/>
          <w:w w:val="105"/>
        </w:rPr>
        <w:t>educativa</w:t>
      </w:r>
      <w:r>
        <w:rPr>
          <w:color w:val="231F20"/>
          <w:spacing w:val="-8"/>
          <w:w w:val="105"/>
        </w:rPr>
        <w:t> </w:t>
      </w:r>
      <w:r>
        <w:rPr>
          <w:color w:val="231F20"/>
          <w:w w:val="105"/>
        </w:rPr>
        <w:t>(construcción</w:t>
      </w:r>
      <w:r>
        <w:rPr>
          <w:color w:val="231F20"/>
          <w:spacing w:val="-8"/>
          <w:w w:val="105"/>
        </w:rPr>
        <w:t> </w:t>
      </w:r>
      <w:r>
        <w:rPr>
          <w:color w:val="231F20"/>
          <w:w w:val="105"/>
        </w:rPr>
        <w:t>de</w:t>
      </w:r>
      <w:r>
        <w:rPr>
          <w:color w:val="231F20"/>
          <w:spacing w:val="-8"/>
          <w:w w:val="105"/>
        </w:rPr>
        <w:t> </w:t>
      </w:r>
      <w:r>
        <w:rPr>
          <w:color w:val="231F20"/>
          <w:w w:val="105"/>
        </w:rPr>
        <w:t>aulas</w:t>
      </w:r>
      <w:r>
        <w:rPr>
          <w:color w:val="231F20"/>
          <w:spacing w:val="-8"/>
          <w:w w:val="105"/>
        </w:rPr>
        <w:t> </w:t>
      </w:r>
      <w:r>
        <w:rPr>
          <w:color w:val="231F20"/>
          <w:w w:val="105"/>
        </w:rPr>
        <w:t>y</w:t>
      </w:r>
      <w:r>
        <w:rPr>
          <w:color w:val="231F20"/>
          <w:spacing w:val="-8"/>
          <w:w w:val="105"/>
        </w:rPr>
        <w:t> </w:t>
      </w:r>
      <w:r>
        <w:rPr>
          <w:color w:val="231F20"/>
          <w:w w:val="105"/>
        </w:rPr>
        <w:t>mantenimiento)</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vialidades</w:t>
      </w:r>
      <w:r>
        <w:rPr>
          <w:color w:val="231F20"/>
          <w:spacing w:val="-8"/>
          <w:w w:val="105"/>
        </w:rPr>
        <w:t> </w:t>
      </w:r>
      <w:r>
        <w:rPr>
          <w:color w:val="231F20"/>
          <w:w w:val="105"/>
        </w:rPr>
        <w:t>e infraestructura</w:t>
      </w:r>
      <w:r>
        <w:rPr>
          <w:color w:val="231F20"/>
          <w:spacing w:val="-13"/>
          <w:w w:val="105"/>
        </w:rPr>
        <w:t> </w:t>
      </w:r>
      <w:r>
        <w:rPr>
          <w:color w:val="231F20"/>
          <w:w w:val="105"/>
        </w:rPr>
        <w:t>básica</w:t>
      </w:r>
      <w:r>
        <w:rPr>
          <w:color w:val="231F20"/>
          <w:spacing w:val="-13"/>
          <w:w w:val="105"/>
        </w:rPr>
        <w:t> </w:t>
      </w:r>
      <w:r>
        <w:rPr>
          <w:color w:val="231F20"/>
          <w:w w:val="105"/>
        </w:rPr>
        <w:t>(Pavimentación</w:t>
      </w:r>
      <w:r>
        <w:rPr>
          <w:color w:val="231F20"/>
          <w:spacing w:val="-13"/>
          <w:w w:val="105"/>
        </w:rPr>
        <w:t> </w:t>
      </w:r>
      <w:r>
        <w:rPr>
          <w:color w:val="231F20"/>
          <w:w w:val="105"/>
        </w:rPr>
        <w:t>y</w:t>
      </w:r>
      <w:r>
        <w:rPr>
          <w:color w:val="231F20"/>
          <w:spacing w:val="-13"/>
          <w:w w:val="105"/>
        </w:rPr>
        <w:t> </w:t>
      </w:r>
      <w:r>
        <w:rPr>
          <w:color w:val="231F20"/>
          <w:w w:val="105"/>
        </w:rPr>
        <w:t>agua</w:t>
      </w:r>
      <w:r>
        <w:rPr>
          <w:color w:val="231F20"/>
          <w:spacing w:val="-13"/>
          <w:w w:val="105"/>
        </w:rPr>
        <w:t> </w:t>
      </w:r>
      <w:r>
        <w:rPr>
          <w:color w:val="231F20"/>
          <w:spacing w:val="-3"/>
          <w:w w:val="105"/>
        </w:rPr>
        <w:t>potable).</w:t>
      </w:r>
    </w:p>
    <w:p>
      <w:pPr>
        <w:pStyle w:val="BodyText"/>
        <w:spacing w:before="2"/>
        <w:rPr>
          <w:sz w:val="20"/>
        </w:rPr>
      </w:pPr>
    </w:p>
    <w:p>
      <w:pPr>
        <w:pStyle w:val="Heading4"/>
        <w:rPr>
          <w:i/>
        </w:rPr>
      </w:pPr>
      <w:r>
        <w:rPr>
          <w:i/>
          <w:color w:val="231F20"/>
          <w:w w:val="105"/>
        </w:rPr>
        <w:t>Desempeño del PRI como gobierno en Ixtapan de la Sal (2006-2008)</w:t>
      </w:r>
    </w:p>
    <w:p>
      <w:pPr>
        <w:pStyle w:val="BodyText"/>
        <w:spacing w:before="16"/>
        <w:ind w:left="110"/>
        <w:jc w:val="both"/>
      </w:pPr>
      <w:r>
        <w:rPr>
          <w:color w:val="231F20"/>
          <w:w w:val="105"/>
        </w:rPr>
        <w:t>Atendiendo hasta este momento lo vertido en cuanto a condiciones sociales,  políticas</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y</w:t>
      </w:r>
      <w:r>
        <w:rPr>
          <w:color w:val="231F20"/>
          <w:spacing w:val="-10"/>
          <w:w w:val="105"/>
        </w:rPr>
        <w:t> </w:t>
      </w:r>
      <w:r>
        <w:rPr>
          <w:color w:val="231F20"/>
          <w:w w:val="105"/>
        </w:rPr>
        <w:t>económicas,</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igual</w:t>
      </w:r>
      <w:r>
        <w:rPr>
          <w:color w:val="231F20"/>
          <w:spacing w:val="-10"/>
          <w:w w:val="105"/>
        </w:rPr>
        <w:t> </w:t>
      </w:r>
      <w:r>
        <w:rPr>
          <w:color w:val="231F20"/>
          <w:w w:val="105"/>
        </w:rPr>
        <w:t>forma</w:t>
      </w:r>
      <w:r>
        <w:rPr>
          <w:color w:val="231F20"/>
          <w:spacing w:val="-10"/>
          <w:w w:val="105"/>
        </w:rPr>
        <w:t> </w:t>
      </w:r>
      <w:r>
        <w:rPr>
          <w:color w:val="231F20"/>
          <w:w w:val="105"/>
        </w:rPr>
        <w:t>los</w:t>
      </w:r>
      <w:r>
        <w:rPr>
          <w:color w:val="231F20"/>
          <w:spacing w:val="-10"/>
          <w:w w:val="105"/>
        </w:rPr>
        <w:t> </w:t>
      </w:r>
      <w:r>
        <w:rPr>
          <w:color w:val="231F20"/>
          <w:w w:val="105"/>
        </w:rPr>
        <w:t>fines</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actual</w:t>
      </w:r>
      <w:r>
        <w:rPr>
          <w:color w:val="231F20"/>
          <w:spacing w:val="-10"/>
          <w:w w:val="105"/>
        </w:rPr>
        <w:t> </w:t>
      </w:r>
      <w:r>
        <w:rPr>
          <w:color w:val="231F20"/>
          <w:w w:val="105"/>
        </w:rPr>
        <w:t>administración</w:t>
      </w:r>
      <w:r>
        <w:rPr>
          <w:color w:val="231F20"/>
          <w:spacing w:val="-10"/>
          <w:w w:val="105"/>
        </w:rPr>
        <w:t> </w:t>
      </w:r>
      <w:r>
        <w:rPr>
          <w:color w:val="231F20"/>
          <w:w w:val="105"/>
        </w:rPr>
        <w:t>priísta</w:t>
      </w:r>
      <w:r>
        <w:rPr>
          <w:color w:val="231F20"/>
          <w:spacing w:val="-10"/>
          <w:w w:val="105"/>
        </w:rPr>
        <w:t> </w:t>
      </w:r>
      <w:r>
        <w:rPr>
          <w:color w:val="231F20"/>
          <w:w w:val="105"/>
        </w:rPr>
        <w:t>persigue</w:t>
      </w:r>
      <w:r>
        <w:rPr>
          <w:color w:val="231F20"/>
          <w:spacing w:val="-10"/>
          <w:w w:val="105"/>
        </w:rPr>
        <w:t> </w:t>
      </w:r>
      <w:r>
        <w:rPr>
          <w:color w:val="231F20"/>
          <w:w w:val="105"/>
        </w:rPr>
        <w:t>y consiguió,</w:t>
      </w:r>
      <w:r>
        <w:rPr>
          <w:color w:val="231F20"/>
          <w:spacing w:val="-9"/>
          <w:w w:val="105"/>
        </w:rPr>
        <w:t> </w:t>
      </w:r>
      <w:r>
        <w:rPr>
          <w:color w:val="231F20"/>
          <w:w w:val="105"/>
        </w:rPr>
        <w:t>ahora</w:t>
      </w:r>
      <w:r>
        <w:rPr>
          <w:color w:val="231F20"/>
          <w:spacing w:val="-9"/>
          <w:w w:val="105"/>
        </w:rPr>
        <w:t> </w:t>
      </w:r>
      <w:r>
        <w:rPr>
          <w:color w:val="231F20"/>
          <w:w w:val="105"/>
        </w:rPr>
        <w:t>es</w:t>
      </w:r>
      <w:r>
        <w:rPr>
          <w:color w:val="231F20"/>
          <w:spacing w:val="-9"/>
          <w:w w:val="105"/>
        </w:rPr>
        <w:t> </w:t>
      </w:r>
      <w:r>
        <w:rPr>
          <w:color w:val="231F20"/>
          <w:w w:val="105"/>
        </w:rPr>
        <w:t>necesario</w:t>
      </w:r>
      <w:r>
        <w:rPr>
          <w:color w:val="231F20"/>
          <w:spacing w:val="-9"/>
          <w:w w:val="105"/>
        </w:rPr>
        <w:t> </w:t>
      </w:r>
      <w:r>
        <w:rPr>
          <w:color w:val="231F20"/>
          <w:w w:val="105"/>
        </w:rPr>
        <w:t>analizarlos</w:t>
      </w:r>
      <w:r>
        <w:rPr>
          <w:color w:val="231F20"/>
          <w:spacing w:val="-9"/>
          <w:w w:val="105"/>
        </w:rPr>
        <w:t> </w:t>
      </w:r>
      <w:r>
        <w:rPr>
          <w:color w:val="231F20"/>
          <w:w w:val="105"/>
        </w:rPr>
        <w:t>en</w:t>
      </w:r>
      <w:r>
        <w:rPr>
          <w:color w:val="231F20"/>
          <w:spacing w:val="-9"/>
          <w:w w:val="105"/>
        </w:rPr>
        <w:t> </w:t>
      </w:r>
      <w:r>
        <w:rPr>
          <w:color w:val="231F20"/>
          <w:w w:val="105"/>
        </w:rPr>
        <w:t>relación</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ideología</w:t>
      </w:r>
      <w:r>
        <w:rPr>
          <w:color w:val="231F20"/>
          <w:spacing w:val="-9"/>
          <w:w w:val="105"/>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prácticas</w:t>
      </w:r>
      <w:r>
        <w:rPr>
          <w:color w:val="231F20"/>
          <w:spacing w:val="-9"/>
          <w:w w:val="105"/>
        </w:rPr>
        <w:t> </w:t>
      </w:r>
      <w:r>
        <w:rPr>
          <w:color w:val="231F20"/>
          <w:w w:val="105"/>
        </w:rPr>
        <w:t>de gobierno para descubrir si realmente existen características específicas que definan </w:t>
      </w:r>
      <w:r>
        <w:rPr>
          <w:color w:val="231F20"/>
          <w:spacing w:val="2"/>
          <w:w w:val="105"/>
        </w:rPr>
        <w:t>al </w:t>
      </w:r>
      <w:r>
        <w:rPr>
          <w:color w:val="231F20"/>
          <w:w w:val="105"/>
        </w:rPr>
        <w:t>PRI</w:t>
      </w:r>
      <w:r>
        <w:rPr>
          <w:color w:val="231F20"/>
          <w:spacing w:val="-10"/>
          <w:w w:val="105"/>
        </w:rPr>
        <w:t> </w:t>
      </w:r>
      <w:r>
        <w:rPr>
          <w:color w:val="231F20"/>
          <w:w w:val="105"/>
        </w:rPr>
        <w:t>como</w:t>
      </w:r>
      <w:r>
        <w:rPr>
          <w:color w:val="231F20"/>
          <w:spacing w:val="-10"/>
          <w:w w:val="105"/>
        </w:rPr>
        <w:t> </w:t>
      </w:r>
      <w:r>
        <w:rPr>
          <w:color w:val="231F20"/>
          <w:w w:val="105"/>
        </w:rPr>
        <w:t>partido</w:t>
      </w:r>
      <w:r>
        <w:rPr>
          <w:color w:val="231F20"/>
          <w:spacing w:val="-10"/>
          <w:w w:val="105"/>
        </w:rPr>
        <w:t> </w:t>
      </w:r>
      <w:r>
        <w:rPr>
          <w:color w:val="231F20"/>
          <w:w w:val="105"/>
        </w:rPr>
        <w:t>gobernante</w:t>
      </w:r>
      <w:r>
        <w:rPr>
          <w:color w:val="231F20"/>
          <w:spacing w:val="-10"/>
          <w:w w:val="105"/>
        </w:rPr>
        <w:t> </w:t>
      </w:r>
      <w:r>
        <w:rPr>
          <w:color w:val="231F20"/>
          <w:w w:val="105"/>
        </w:rPr>
        <w:t>en</w:t>
      </w:r>
      <w:r>
        <w:rPr>
          <w:color w:val="231F20"/>
          <w:spacing w:val="-10"/>
          <w:w w:val="105"/>
        </w:rPr>
        <w:t> </w:t>
      </w:r>
      <w:r>
        <w:rPr>
          <w:color w:val="231F20"/>
          <w:w w:val="105"/>
        </w:rPr>
        <w:t>Ixtapan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Sal.</w:t>
      </w:r>
    </w:p>
    <w:p>
      <w:pPr>
        <w:pStyle w:val="BodyText"/>
        <w:spacing w:before="1"/>
        <w:rPr>
          <w:sz w:val="26"/>
        </w:rPr>
      </w:pPr>
    </w:p>
    <w:p>
      <w:pPr>
        <w:pStyle w:val="BodyText"/>
        <w:spacing w:line="285" w:lineRule="auto"/>
        <w:ind w:left="110" w:right="108"/>
        <w:jc w:val="both"/>
      </w:pPr>
      <w:r>
        <w:rPr>
          <w:color w:val="231F20"/>
          <w:w w:val="105"/>
        </w:rPr>
        <w:t>Antes de comenzar el </w:t>
      </w:r>
      <w:r>
        <w:rPr>
          <w:color w:val="231F20"/>
          <w:spacing w:val="2"/>
          <w:w w:val="105"/>
        </w:rPr>
        <w:t>análisis </w:t>
      </w:r>
      <w:r>
        <w:rPr>
          <w:color w:val="231F20"/>
          <w:w w:val="105"/>
        </w:rPr>
        <w:t>es pertinente hacer un recorrido histórico para definir las</w:t>
      </w:r>
      <w:r>
        <w:rPr>
          <w:color w:val="231F20"/>
          <w:spacing w:val="-7"/>
          <w:w w:val="105"/>
        </w:rPr>
        <w:t> </w:t>
      </w:r>
      <w:r>
        <w:rPr>
          <w:color w:val="231F20"/>
          <w:w w:val="105"/>
        </w:rPr>
        <w:t>diferencias</w:t>
      </w:r>
      <w:r>
        <w:rPr>
          <w:color w:val="231F20"/>
          <w:spacing w:val="-7"/>
          <w:w w:val="105"/>
        </w:rPr>
        <w:t> </w:t>
      </w:r>
      <w:r>
        <w:rPr>
          <w:color w:val="231F20"/>
          <w:w w:val="105"/>
        </w:rPr>
        <w:t>ideológicas</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prácticas</w:t>
      </w:r>
      <w:r>
        <w:rPr>
          <w:color w:val="231F20"/>
          <w:spacing w:val="-7"/>
          <w:w w:val="105"/>
        </w:rPr>
        <w:t> </w:t>
      </w:r>
      <w:r>
        <w:rPr>
          <w:color w:val="231F20"/>
          <w:w w:val="105"/>
        </w:rPr>
        <w:t>que</w:t>
      </w:r>
      <w:r>
        <w:rPr>
          <w:color w:val="231F20"/>
          <w:spacing w:val="-7"/>
          <w:w w:val="105"/>
        </w:rPr>
        <w:t> </w:t>
      </w:r>
      <w:r>
        <w:rPr>
          <w:color w:val="231F20"/>
          <w:w w:val="105"/>
        </w:rPr>
        <w:t>durante</w:t>
      </w:r>
      <w:r>
        <w:rPr>
          <w:color w:val="231F20"/>
          <w:spacing w:val="-7"/>
          <w:w w:val="105"/>
        </w:rPr>
        <w:t> </w:t>
      </w:r>
      <w:r>
        <w:rPr>
          <w:color w:val="231F20"/>
          <w:w w:val="105"/>
        </w:rPr>
        <w:t>su</w:t>
      </w:r>
      <w:r>
        <w:rPr>
          <w:color w:val="231F20"/>
          <w:spacing w:val="-7"/>
          <w:w w:val="105"/>
        </w:rPr>
        <w:t> </w:t>
      </w:r>
      <w:r>
        <w:rPr>
          <w:color w:val="231F20"/>
          <w:spacing w:val="-3"/>
          <w:w w:val="105"/>
        </w:rPr>
        <w:t>auge</w:t>
      </w:r>
      <w:r>
        <w:rPr>
          <w:color w:val="231F20"/>
          <w:spacing w:val="-7"/>
          <w:w w:val="105"/>
        </w:rPr>
        <w:t> </w:t>
      </w:r>
      <w:r>
        <w:rPr>
          <w:color w:val="231F20"/>
          <w:w w:val="105"/>
        </w:rPr>
        <w:t>como</w:t>
      </w:r>
      <w:r>
        <w:rPr>
          <w:color w:val="231F20"/>
          <w:spacing w:val="-7"/>
          <w:w w:val="105"/>
        </w:rPr>
        <w:t> </w:t>
      </w:r>
      <w:r>
        <w:rPr>
          <w:color w:val="231F20"/>
          <w:w w:val="105"/>
        </w:rPr>
        <w:t>partido</w:t>
      </w:r>
      <w:r>
        <w:rPr>
          <w:color w:val="231F20"/>
          <w:spacing w:val="-7"/>
          <w:w w:val="105"/>
        </w:rPr>
        <w:t> </w:t>
      </w:r>
      <w:r>
        <w:rPr>
          <w:color w:val="231F20"/>
          <w:w w:val="105"/>
        </w:rPr>
        <w:t>hegemóni- co definió </w:t>
      </w:r>
      <w:r>
        <w:rPr>
          <w:color w:val="231F20"/>
          <w:spacing w:val="2"/>
          <w:w w:val="105"/>
        </w:rPr>
        <w:t>al </w:t>
      </w:r>
      <w:r>
        <w:rPr>
          <w:color w:val="231F20"/>
          <w:w w:val="105"/>
        </w:rPr>
        <w:t>PRI, de lo que actualmente se abandera en la declaración de principios y Estatutos.</w:t>
      </w:r>
    </w:p>
    <w:p>
      <w:pPr>
        <w:pStyle w:val="BodyText"/>
        <w:spacing w:before="2"/>
        <w:rPr>
          <w:sz w:val="20"/>
        </w:rPr>
      </w:pPr>
    </w:p>
    <w:p>
      <w:pPr>
        <w:pStyle w:val="Heading4"/>
        <w:rPr>
          <w:i/>
        </w:rPr>
      </w:pPr>
      <w:r>
        <w:rPr>
          <w:i/>
          <w:color w:val="231F20"/>
        </w:rPr>
        <w:t>El PRI antes y después de la Reforma interna de</w:t>
      </w:r>
      <w:r>
        <w:rPr>
          <w:i/>
          <w:color w:val="231F20"/>
          <w:spacing w:val="53"/>
        </w:rPr>
        <w:t> </w:t>
      </w:r>
      <w:r>
        <w:rPr>
          <w:i/>
          <w:color w:val="231F20"/>
        </w:rPr>
        <w:t>2001</w:t>
      </w:r>
    </w:p>
    <w:p>
      <w:pPr>
        <w:pStyle w:val="BodyText"/>
        <w:spacing w:line="285" w:lineRule="auto" w:before="16"/>
        <w:ind w:left="110" w:right="107"/>
        <w:jc w:val="both"/>
      </w:pPr>
      <w:r>
        <w:rPr>
          <w:color w:val="231F20"/>
        </w:rPr>
        <w:t>Cuando </w:t>
      </w:r>
      <w:r>
        <w:rPr>
          <w:color w:val="231F20"/>
          <w:spacing w:val="2"/>
        </w:rPr>
        <w:t>finalizó </w:t>
      </w:r>
      <w:r>
        <w:rPr>
          <w:color w:val="231F20"/>
        </w:rPr>
        <w:t>el movimiento armado de </w:t>
      </w:r>
      <w:r>
        <w:rPr>
          <w:color w:val="231F20"/>
          <w:spacing w:val="-5"/>
        </w:rPr>
        <w:t>1910, </w:t>
      </w:r>
      <w:r>
        <w:rPr>
          <w:color w:val="231F20"/>
        </w:rPr>
        <w:t>el saldo arrojado fue un caos social y político que supo encausar Plutarco Elías Calles con la fundación del Partido Nacio-      nal Revolucionario </w:t>
      </w:r>
      <w:r>
        <w:rPr>
          <w:color w:val="231F20"/>
          <w:spacing w:val="-3"/>
        </w:rPr>
        <w:t>(y </w:t>
      </w:r>
      <w:r>
        <w:rPr>
          <w:color w:val="231F20"/>
        </w:rPr>
        <w:t>que años más tarde se transformaría en Partido Revolucionario Institucional), el cual se convirtió en el regulador de conflictos, aglutinador de los líde-  res políticos y sociales, representante de las organizaciones y corporaciones, pero </w:t>
      </w:r>
      <w:r>
        <w:rPr>
          <w:color w:val="231F20"/>
          <w:spacing w:val="-3"/>
        </w:rPr>
        <w:t>sobre </w:t>
      </w:r>
      <w:r>
        <w:rPr>
          <w:color w:val="231F20"/>
        </w:rPr>
        <w:t>todo fue el medio utilizado por el gobierno federal para lograr el orden y control social, político y económico de todos los espacios del </w:t>
      </w:r>
      <w:r>
        <w:rPr>
          <w:color w:val="231F20"/>
          <w:spacing w:val="12"/>
        </w:rPr>
        <w:t> </w:t>
      </w:r>
      <w:r>
        <w:rPr>
          <w:color w:val="231F20"/>
        </w:rPr>
        <w:t>país:</w:t>
      </w:r>
    </w:p>
    <w:p>
      <w:pPr>
        <w:pStyle w:val="BodyText"/>
        <w:spacing w:line="285" w:lineRule="auto" w:before="1"/>
        <w:ind w:left="393" w:right="108"/>
        <w:jc w:val="both"/>
      </w:pPr>
      <w:r>
        <w:rPr>
          <w:color w:val="231F20"/>
          <w:spacing w:val="-5"/>
          <w:w w:val="105"/>
        </w:rPr>
        <w:t>“[El</w:t>
      </w:r>
      <w:r>
        <w:rPr>
          <w:color w:val="231F20"/>
          <w:spacing w:val="-15"/>
          <w:w w:val="105"/>
        </w:rPr>
        <w:t> </w:t>
      </w:r>
      <w:r>
        <w:rPr>
          <w:color w:val="231F20"/>
          <w:spacing w:val="-5"/>
          <w:w w:val="105"/>
        </w:rPr>
        <w:t>PRI]</w:t>
      </w:r>
      <w:r>
        <w:rPr>
          <w:color w:val="231F20"/>
          <w:spacing w:val="-15"/>
          <w:w w:val="105"/>
        </w:rPr>
        <w:t> </w:t>
      </w:r>
      <w:r>
        <w:rPr>
          <w:color w:val="231F20"/>
          <w:w w:val="105"/>
        </w:rPr>
        <w:t>se</w:t>
      </w:r>
      <w:r>
        <w:rPr>
          <w:color w:val="231F20"/>
          <w:spacing w:val="-15"/>
          <w:w w:val="105"/>
        </w:rPr>
        <w:t> </w:t>
      </w:r>
      <w:r>
        <w:rPr>
          <w:color w:val="231F20"/>
          <w:w w:val="105"/>
        </w:rPr>
        <w:t>definió</w:t>
      </w:r>
      <w:r>
        <w:rPr>
          <w:color w:val="231F20"/>
          <w:spacing w:val="-15"/>
          <w:w w:val="105"/>
        </w:rPr>
        <w:t> </w:t>
      </w:r>
      <w:r>
        <w:rPr>
          <w:color w:val="231F20"/>
          <w:spacing w:val="-4"/>
          <w:w w:val="105"/>
        </w:rPr>
        <w:t>como</w:t>
      </w:r>
      <w:r>
        <w:rPr>
          <w:color w:val="231F20"/>
          <w:spacing w:val="-15"/>
          <w:w w:val="105"/>
        </w:rPr>
        <w:t> </w:t>
      </w:r>
      <w:r>
        <w:rPr>
          <w:color w:val="231F20"/>
          <w:w w:val="105"/>
        </w:rPr>
        <w:t>institución</w:t>
      </w:r>
      <w:r>
        <w:rPr>
          <w:color w:val="231F20"/>
          <w:spacing w:val="-15"/>
          <w:w w:val="105"/>
        </w:rPr>
        <w:t> </w:t>
      </w:r>
      <w:r>
        <w:rPr>
          <w:color w:val="231F20"/>
          <w:spacing w:val="-3"/>
          <w:w w:val="105"/>
        </w:rPr>
        <w:t>revolucionaria,</w:t>
      </w:r>
      <w:r>
        <w:rPr>
          <w:color w:val="231F20"/>
          <w:spacing w:val="-15"/>
          <w:w w:val="105"/>
        </w:rPr>
        <w:t> </w:t>
      </w:r>
      <w:r>
        <w:rPr>
          <w:color w:val="231F20"/>
          <w:spacing w:val="-4"/>
          <w:w w:val="105"/>
        </w:rPr>
        <w:t>como</w:t>
      </w:r>
      <w:r>
        <w:rPr>
          <w:color w:val="231F20"/>
          <w:spacing w:val="-15"/>
          <w:w w:val="105"/>
        </w:rPr>
        <w:t> </w:t>
      </w:r>
      <w:r>
        <w:rPr>
          <w:color w:val="231F20"/>
          <w:w w:val="105"/>
        </w:rPr>
        <w:t>instrumento</w:t>
      </w:r>
      <w:r>
        <w:rPr>
          <w:color w:val="231F20"/>
          <w:spacing w:val="-15"/>
          <w:w w:val="105"/>
        </w:rPr>
        <w:t> </w:t>
      </w:r>
      <w:r>
        <w:rPr>
          <w:color w:val="231F20"/>
          <w:w w:val="105"/>
        </w:rPr>
        <w:t>de</w:t>
      </w:r>
      <w:r>
        <w:rPr>
          <w:color w:val="231F20"/>
          <w:spacing w:val="-15"/>
          <w:w w:val="105"/>
        </w:rPr>
        <w:t> </w:t>
      </w:r>
      <w:r>
        <w:rPr>
          <w:color w:val="231F20"/>
          <w:spacing w:val="-3"/>
          <w:w w:val="105"/>
        </w:rPr>
        <w:t>los</w:t>
      </w:r>
      <w:r>
        <w:rPr>
          <w:color w:val="231F20"/>
          <w:spacing w:val="-15"/>
          <w:w w:val="105"/>
        </w:rPr>
        <w:t> </w:t>
      </w:r>
      <w:r>
        <w:rPr>
          <w:color w:val="231F20"/>
          <w:spacing w:val="-5"/>
          <w:w w:val="105"/>
        </w:rPr>
        <w:t>gobier- </w:t>
      </w:r>
      <w:r>
        <w:rPr>
          <w:color w:val="231F20"/>
          <w:spacing w:val="-3"/>
          <w:w w:val="105"/>
        </w:rPr>
        <w:t>nos </w:t>
      </w:r>
      <w:r>
        <w:rPr>
          <w:color w:val="231F20"/>
          <w:w w:val="105"/>
        </w:rPr>
        <w:t>surgidos de ese </w:t>
      </w:r>
      <w:r>
        <w:rPr>
          <w:color w:val="231F20"/>
          <w:spacing w:val="-3"/>
          <w:w w:val="105"/>
        </w:rPr>
        <w:t>movimiento, </w:t>
      </w:r>
      <w:r>
        <w:rPr>
          <w:color w:val="231F20"/>
          <w:w w:val="105"/>
        </w:rPr>
        <w:t>aglutinó a las </w:t>
      </w:r>
      <w:r>
        <w:rPr>
          <w:color w:val="231F20"/>
          <w:spacing w:val="-3"/>
          <w:w w:val="105"/>
        </w:rPr>
        <w:t>organizaciones </w:t>
      </w:r>
      <w:r>
        <w:rPr>
          <w:color w:val="231F20"/>
          <w:w w:val="105"/>
        </w:rPr>
        <w:t>y las </w:t>
      </w:r>
      <w:r>
        <w:rPr>
          <w:color w:val="231F20"/>
          <w:spacing w:val="-4"/>
          <w:w w:val="105"/>
        </w:rPr>
        <w:t>condujo </w:t>
      </w:r>
      <w:r>
        <w:rPr>
          <w:color w:val="231F20"/>
          <w:w w:val="105"/>
        </w:rPr>
        <w:t>de tal </w:t>
      </w:r>
      <w:r>
        <w:rPr>
          <w:color w:val="231F20"/>
          <w:spacing w:val="-3"/>
          <w:w w:val="105"/>
        </w:rPr>
        <w:t>forma</w:t>
      </w:r>
      <w:r>
        <w:rPr>
          <w:color w:val="231F20"/>
          <w:spacing w:val="-27"/>
          <w:w w:val="105"/>
        </w:rPr>
        <w:t> </w:t>
      </w:r>
      <w:r>
        <w:rPr>
          <w:color w:val="231F20"/>
          <w:spacing w:val="-3"/>
          <w:w w:val="105"/>
        </w:rPr>
        <w:t>que</w:t>
      </w:r>
      <w:r>
        <w:rPr>
          <w:color w:val="231F20"/>
          <w:spacing w:val="-27"/>
          <w:w w:val="105"/>
        </w:rPr>
        <w:t> </w:t>
      </w:r>
      <w:r>
        <w:rPr>
          <w:color w:val="231F20"/>
          <w:w w:val="105"/>
        </w:rPr>
        <w:t>sirvieran</w:t>
      </w:r>
      <w:r>
        <w:rPr>
          <w:color w:val="231F20"/>
          <w:spacing w:val="-27"/>
          <w:w w:val="105"/>
        </w:rPr>
        <w:t> </w:t>
      </w:r>
      <w:r>
        <w:rPr>
          <w:color w:val="231F20"/>
          <w:w w:val="105"/>
        </w:rPr>
        <w:t>y</w:t>
      </w:r>
      <w:r>
        <w:rPr>
          <w:color w:val="231F20"/>
          <w:spacing w:val="-27"/>
          <w:w w:val="105"/>
        </w:rPr>
        <w:t> </w:t>
      </w:r>
      <w:r>
        <w:rPr>
          <w:color w:val="231F20"/>
          <w:w w:val="105"/>
        </w:rPr>
        <w:t>apoyaran</w:t>
      </w:r>
      <w:r>
        <w:rPr>
          <w:color w:val="231F20"/>
          <w:spacing w:val="-27"/>
          <w:w w:val="105"/>
        </w:rPr>
        <w:t> </w:t>
      </w:r>
      <w:r>
        <w:rPr>
          <w:color w:val="231F20"/>
          <w:spacing w:val="-3"/>
          <w:w w:val="105"/>
        </w:rPr>
        <w:t>los</w:t>
      </w:r>
      <w:r>
        <w:rPr>
          <w:color w:val="231F20"/>
          <w:spacing w:val="-27"/>
          <w:w w:val="105"/>
        </w:rPr>
        <w:t> </w:t>
      </w:r>
      <w:r>
        <w:rPr>
          <w:color w:val="231F20"/>
          <w:spacing w:val="-3"/>
          <w:w w:val="105"/>
        </w:rPr>
        <w:t>proyectos</w:t>
      </w:r>
      <w:r>
        <w:rPr>
          <w:color w:val="231F20"/>
          <w:spacing w:val="-27"/>
          <w:w w:val="105"/>
        </w:rPr>
        <w:t> </w:t>
      </w:r>
      <w:r>
        <w:rPr>
          <w:color w:val="231F20"/>
          <w:w w:val="105"/>
        </w:rPr>
        <w:t>gubernamentales</w:t>
      </w:r>
      <w:r>
        <w:rPr>
          <w:color w:val="231F20"/>
          <w:spacing w:val="-27"/>
          <w:w w:val="105"/>
        </w:rPr>
        <w:t> </w:t>
      </w:r>
      <w:r>
        <w:rPr>
          <w:color w:val="231F20"/>
          <w:spacing w:val="-10"/>
          <w:w w:val="105"/>
        </w:rPr>
        <w:t>(…)</w:t>
      </w:r>
      <w:r>
        <w:rPr>
          <w:color w:val="231F20"/>
          <w:spacing w:val="-27"/>
          <w:w w:val="105"/>
        </w:rPr>
        <w:t> </w:t>
      </w:r>
      <w:r>
        <w:rPr>
          <w:color w:val="231F20"/>
          <w:w w:val="105"/>
        </w:rPr>
        <w:t>Éste</w:t>
      </w:r>
      <w:r>
        <w:rPr>
          <w:color w:val="231F20"/>
          <w:spacing w:val="-27"/>
          <w:w w:val="105"/>
        </w:rPr>
        <w:t> </w:t>
      </w:r>
      <w:r>
        <w:rPr>
          <w:color w:val="231F20"/>
          <w:w w:val="105"/>
        </w:rPr>
        <w:t>sería</w:t>
      </w:r>
      <w:r>
        <w:rPr>
          <w:color w:val="231F20"/>
          <w:spacing w:val="-27"/>
          <w:w w:val="105"/>
        </w:rPr>
        <w:t> </w:t>
      </w:r>
      <w:r>
        <w:rPr>
          <w:color w:val="231F20"/>
          <w:w w:val="105"/>
        </w:rPr>
        <w:t>el</w:t>
      </w:r>
      <w:r>
        <w:rPr>
          <w:color w:val="231F20"/>
          <w:spacing w:val="-27"/>
          <w:w w:val="105"/>
        </w:rPr>
        <w:t> </w:t>
      </w:r>
      <w:r>
        <w:rPr>
          <w:color w:val="231F20"/>
          <w:spacing w:val="-3"/>
          <w:w w:val="105"/>
        </w:rPr>
        <w:t>origen </w:t>
      </w:r>
      <w:r>
        <w:rPr>
          <w:color w:val="231F20"/>
          <w:w w:val="105"/>
        </w:rPr>
        <w:t>de la centralización </w:t>
      </w:r>
      <w:r>
        <w:rPr>
          <w:color w:val="231F20"/>
          <w:spacing w:val="-3"/>
          <w:w w:val="105"/>
        </w:rPr>
        <w:t>del poder </w:t>
      </w:r>
      <w:r>
        <w:rPr>
          <w:color w:val="231F20"/>
          <w:w w:val="105"/>
        </w:rPr>
        <w:t>en el </w:t>
      </w:r>
      <w:r>
        <w:rPr>
          <w:color w:val="231F20"/>
          <w:spacing w:val="-4"/>
          <w:w w:val="105"/>
        </w:rPr>
        <w:t>presidente </w:t>
      </w:r>
      <w:r>
        <w:rPr>
          <w:color w:val="231F20"/>
          <w:w w:val="105"/>
        </w:rPr>
        <w:t>y </w:t>
      </w:r>
      <w:r>
        <w:rPr>
          <w:color w:val="231F20"/>
          <w:spacing w:val="-3"/>
          <w:w w:val="105"/>
        </w:rPr>
        <w:t>del </w:t>
      </w:r>
      <w:r>
        <w:rPr>
          <w:color w:val="231F20"/>
          <w:w w:val="105"/>
        </w:rPr>
        <w:t>fortalecimiento de la estructura directiva</w:t>
      </w:r>
      <w:r>
        <w:rPr>
          <w:color w:val="231F20"/>
          <w:spacing w:val="-5"/>
          <w:w w:val="105"/>
        </w:rPr>
        <w:t> </w:t>
      </w:r>
      <w:r>
        <w:rPr>
          <w:color w:val="231F20"/>
          <w:spacing w:val="-4"/>
          <w:w w:val="105"/>
        </w:rPr>
        <w:t>como</w:t>
      </w:r>
      <w:r>
        <w:rPr>
          <w:color w:val="231F20"/>
          <w:spacing w:val="-5"/>
          <w:w w:val="105"/>
        </w:rPr>
        <w:t> </w:t>
      </w:r>
      <w:r>
        <w:rPr>
          <w:color w:val="231F20"/>
          <w:w w:val="105"/>
        </w:rPr>
        <w:t>su</w:t>
      </w:r>
      <w:r>
        <w:rPr>
          <w:color w:val="231F20"/>
          <w:spacing w:val="-5"/>
          <w:w w:val="105"/>
        </w:rPr>
        <w:t> </w:t>
      </w:r>
      <w:r>
        <w:rPr>
          <w:color w:val="231F20"/>
          <w:w w:val="105"/>
        </w:rPr>
        <w:t>principal</w:t>
      </w:r>
      <w:r>
        <w:rPr>
          <w:color w:val="231F20"/>
          <w:spacing w:val="-5"/>
          <w:w w:val="105"/>
        </w:rPr>
        <w:t> </w:t>
      </w:r>
      <w:r>
        <w:rPr>
          <w:color w:val="231F20"/>
          <w:w w:val="105"/>
        </w:rPr>
        <w:t>instrumento</w:t>
      </w:r>
      <w:r>
        <w:rPr>
          <w:color w:val="231F20"/>
          <w:spacing w:val="-5"/>
          <w:w w:val="105"/>
        </w:rPr>
        <w:t> </w:t>
      </w:r>
      <w:r>
        <w:rPr>
          <w:color w:val="231F20"/>
          <w:w w:val="105"/>
        </w:rPr>
        <w:t>para</w:t>
      </w:r>
      <w:r>
        <w:rPr>
          <w:color w:val="231F20"/>
          <w:spacing w:val="-5"/>
          <w:w w:val="105"/>
        </w:rPr>
        <w:t> </w:t>
      </w:r>
      <w:r>
        <w:rPr>
          <w:color w:val="231F20"/>
          <w:spacing w:val="-4"/>
          <w:w w:val="105"/>
        </w:rPr>
        <w:t>conducir</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w w:val="105"/>
        </w:rPr>
        <w:t>en</w:t>
      </w:r>
      <w:r>
        <w:rPr>
          <w:color w:val="231F20"/>
          <w:spacing w:val="-5"/>
          <w:w w:val="105"/>
        </w:rPr>
        <w:t> </w:t>
      </w:r>
      <w:r>
        <w:rPr>
          <w:color w:val="231F20"/>
          <w:spacing w:val="-3"/>
          <w:w w:val="105"/>
        </w:rPr>
        <w:t>todo</w:t>
      </w:r>
      <w:r>
        <w:rPr>
          <w:color w:val="231F20"/>
          <w:spacing w:val="-5"/>
          <w:w w:val="105"/>
        </w:rPr>
        <w:t> </w:t>
      </w:r>
      <w:r>
        <w:rPr>
          <w:color w:val="231F20"/>
          <w:w w:val="105"/>
        </w:rPr>
        <w:t>el</w:t>
      </w:r>
      <w:r>
        <w:rPr>
          <w:color w:val="231F20"/>
          <w:spacing w:val="-5"/>
          <w:w w:val="105"/>
        </w:rPr>
        <w:t> </w:t>
      </w:r>
      <w:r>
        <w:rPr>
          <w:color w:val="231F20"/>
          <w:w w:val="105"/>
        </w:rPr>
        <w:t>país</w:t>
      </w:r>
      <w:r>
        <w:rPr>
          <w:color w:val="231F20"/>
          <w:spacing w:val="-5"/>
          <w:w w:val="105"/>
        </w:rPr>
        <w:t> </w:t>
      </w:r>
      <w:r>
        <w:rPr>
          <w:color w:val="231F20"/>
          <w:spacing w:val="-10"/>
          <w:w w:val="105"/>
        </w:rPr>
        <w:t>(…) </w:t>
      </w:r>
      <w:r>
        <w:rPr>
          <w:color w:val="231F20"/>
          <w:w w:val="105"/>
        </w:rPr>
        <w:t>La</w:t>
      </w:r>
      <w:r>
        <w:rPr>
          <w:color w:val="231F20"/>
          <w:spacing w:val="-7"/>
          <w:w w:val="105"/>
        </w:rPr>
        <w:t> </w:t>
      </w:r>
      <w:r>
        <w:rPr>
          <w:color w:val="231F20"/>
          <w:spacing w:val="-4"/>
          <w:w w:val="105"/>
        </w:rPr>
        <w:t>relación</w:t>
      </w:r>
      <w:r>
        <w:rPr>
          <w:color w:val="231F20"/>
          <w:spacing w:val="-7"/>
          <w:w w:val="105"/>
        </w:rPr>
        <w:t> </w:t>
      </w:r>
      <w:r>
        <w:rPr>
          <w:color w:val="231F20"/>
          <w:w w:val="105"/>
        </w:rPr>
        <w:t>directa</w:t>
      </w:r>
      <w:r>
        <w:rPr>
          <w:color w:val="231F20"/>
          <w:spacing w:val="-7"/>
          <w:w w:val="105"/>
        </w:rPr>
        <w:t> </w:t>
      </w:r>
      <w:r>
        <w:rPr>
          <w:color w:val="231F20"/>
          <w:spacing w:val="-8"/>
          <w:w w:val="105"/>
        </w:rPr>
        <w:t>y,</w:t>
      </w:r>
      <w:r>
        <w:rPr>
          <w:color w:val="231F20"/>
          <w:spacing w:val="-7"/>
          <w:w w:val="105"/>
        </w:rPr>
        <w:t> </w:t>
      </w:r>
      <w:r>
        <w:rPr>
          <w:color w:val="231F20"/>
          <w:w w:val="105"/>
        </w:rPr>
        <w:t>sin</w:t>
      </w:r>
      <w:r>
        <w:rPr>
          <w:color w:val="231F20"/>
          <w:spacing w:val="-7"/>
          <w:w w:val="105"/>
        </w:rPr>
        <w:t> </w:t>
      </w:r>
      <w:r>
        <w:rPr>
          <w:color w:val="231F20"/>
          <w:spacing w:val="-4"/>
          <w:w w:val="105"/>
        </w:rPr>
        <w:t>duda,</w:t>
      </w:r>
      <w:r>
        <w:rPr>
          <w:color w:val="231F20"/>
          <w:spacing w:val="-7"/>
          <w:w w:val="105"/>
        </w:rPr>
        <w:t> </w:t>
      </w:r>
      <w:r>
        <w:rPr>
          <w:color w:val="231F20"/>
          <w:spacing w:val="-3"/>
          <w:w w:val="105"/>
        </w:rPr>
        <w:t>subordinada</w:t>
      </w:r>
      <w:r>
        <w:rPr>
          <w:color w:val="231F20"/>
          <w:spacing w:val="-7"/>
          <w:w w:val="105"/>
        </w:rPr>
        <w:t> </w:t>
      </w:r>
      <w:r>
        <w:rPr>
          <w:color w:val="231F20"/>
          <w:w w:val="105"/>
        </w:rPr>
        <w:t>de</w:t>
      </w:r>
      <w:r>
        <w:rPr>
          <w:color w:val="231F20"/>
          <w:spacing w:val="-7"/>
          <w:w w:val="105"/>
        </w:rPr>
        <w:t> </w:t>
      </w:r>
      <w:r>
        <w:rPr>
          <w:color w:val="231F20"/>
          <w:spacing w:val="-3"/>
          <w:w w:val="105"/>
        </w:rPr>
        <w:t>los</w:t>
      </w:r>
      <w:r>
        <w:rPr>
          <w:color w:val="231F20"/>
          <w:spacing w:val="-7"/>
          <w:w w:val="105"/>
        </w:rPr>
        <w:t> </w:t>
      </w:r>
      <w:r>
        <w:rPr>
          <w:color w:val="231F20"/>
          <w:spacing w:val="-4"/>
          <w:w w:val="105"/>
        </w:rPr>
        <w:t>gobernadores</w:t>
      </w:r>
      <w:r>
        <w:rPr>
          <w:color w:val="231F20"/>
          <w:spacing w:val="-7"/>
          <w:w w:val="105"/>
        </w:rPr>
        <w:t> </w:t>
      </w:r>
      <w:r>
        <w:rPr>
          <w:color w:val="231F20"/>
          <w:spacing w:val="-3"/>
          <w:w w:val="105"/>
        </w:rPr>
        <w:t>con</w:t>
      </w:r>
      <w:r>
        <w:rPr>
          <w:color w:val="231F20"/>
          <w:spacing w:val="-7"/>
          <w:w w:val="105"/>
        </w:rPr>
        <w:t> </w:t>
      </w:r>
      <w:r>
        <w:rPr>
          <w:color w:val="231F20"/>
          <w:w w:val="105"/>
        </w:rPr>
        <w:t>el</w:t>
      </w:r>
      <w:r>
        <w:rPr>
          <w:color w:val="231F20"/>
          <w:spacing w:val="-7"/>
          <w:w w:val="105"/>
        </w:rPr>
        <w:t> </w:t>
      </w:r>
      <w:r>
        <w:rPr>
          <w:color w:val="231F20"/>
          <w:spacing w:val="-4"/>
          <w:w w:val="105"/>
        </w:rPr>
        <w:t>presidente</w:t>
      </w:r>
      <w:r>
        <w:rPr>
          <w:color w:val="231F20"/>
          <w:spacing w:val="-7"/>
          <w:w w:val="105"/>
        </w:rPr>
        <w:t> </w:t>
      </w:r>
      <w:r>
        <w:rPr>
          <w:color w:val="231F20"/>
          <w:spacing w:val="-4"/>
          <w:w w:val="105"/>
        </w:rPr>
        <w:t>ga- </w:t>
      </w:r>
      <w:r>
        <w:rPr>
          <w:color w:val="231F20"/>
          <w:w w:val="105"/>
        </w:rPr>
        <w:t>rantizó</w:t>
      </w:r>
      <w:r>
        <w:rPr>
          <w:color w:val="231F20"/>
          <w:spacing w:val="-17"/>
          <w:w w:val="105"/>
        </w:rPr>
        <w:t> </w:t>
      </w:r>
      <w:r>
        <w:rPr>
          <w:color w:val="231F20"/>
          <w:w w:val="105"/>
        </w:rPr>
        <w:t>el</w:t>
      </w:r>
      <w:r>
        <w:rPr>
          <w:color w:val="231F20"/>
          <w:spacing w:val="-17"/>
          <w:w w:val="105"/>
        </w:rPr>
        <w:t> </w:t>
      </w:r>
      <w:r>
        <w:rPr>
          <w:color w:val="231F20"/>
          <w:spacing w:val="-3"/>
          <w:w w:val="105"/>
        </w:rPr>
        <w:t>funcionamiento</w:t>
      </w:r>
      <w:r>
        <w:rPr>
          <w:color w:val="231F20"/>
          <w:spacing w:val="-17"/>
          <w:w w:val="105"/>
        </w:rPr>
        <w:t> </w:t>
      </w:r>
      <w:r>
        <w:rPr>
          <w:color w:val="231F20"/>
          <w:w w:val="105"/>
        </w:rPr>
        <w:t>instrumental</w:t>
      </w:r>
      <w:r>
        <w:rPr>
          <w:color w:val="231F20"/>
          <w:spacing w:val="-17"/>
          <w:w w:val="105"/>
        </w:rPr>
        <w:t> </w:t>
      </w:r>
      <w:r>
        <w:rPr>
          <w:color w:val="231F20"/>
          <w:spacing w:val="-3"/>
          <w:w w:val="105"/>
        </w:rPr>
        <w:t>del</w:t>
      </w:r>
      <w:r>
        <w:rPr>
          <w:color w:val="231F20"/>
          <w:spacing w:val="-17"/>
          <w:w w:val="105"/>
        </w:rPr>
        <w:t> </w:t>
      </w:r>
      <w:r>
        <w:rPr>
          <w:color w:val="231F20"/>
          <w:w w:val="105"/>
        </w:rPr>
        <w:t>partido”</w:t>
      </w:r>
      <w:r>
        <w:rPr>
          <w:color w:val="231F20"/>
          <w:spacing w:val="-17"/>
          <w:w w:val="105"/>
        </w:rPr>
        <w:t> </w:t>
      </w:r>
      <w:r>
        <w:rPr>
          <w:color w:val="231F20"/>
          <w:spacing w:val="-3"/>
          <w:w w:val="105"/>
        </w:rPr>
        <w:t>(Hernández,</w:t>
      </w:r>
      <w:r>
        <w:rPr>
          <w:color w:val="231F20"/>
          <w:spacing w:val="-17"/>
          <w:w w:val="105"/>
        </w:rPr>
        <w:t> </w:t>
      </w:r>
      <w:r>
        <w:rPr>
          <w:color w:val="231F20"/>
          <w:spacing w:val="2"/>
          <w:w w:val="105"/>
        </w:rPr>
        <w:t>2000:</w:t>
      </w:r>
      <w:r>
        <w:rPr>
          <w:color w:val="231F20"/>
          <w:spacing w:val="-17"/>
          <w:w w:val="105"/>
        </w:rPr>
        <w:t> </w:t>
      </w:r>
      <w:r>
        <w:rPr>
          <w:color w:val="231F20"/>
          <w:spacing w:val="-3"/>
          <w:w w:val="105"/>
        </w:rPr>
        <w:t>280).</w:t>
      </w:r>
    </w:p>
    <w:p>
      <w:pPr>
        <w:pStyle w:val="BodyText"/>
        <w:spacing w:before="1"/>
        <w:rPr>
          <w:sz w:val="26"/>
        </w:rPr>
      </w:pPr>
    </w:p>
    <w:p>
      <w:pPr>
        <w:pStyle w:val="BodyText"/>
        <w:spacing w:line="285" w:lineRule="auto"/>
        <w:ind w:left="110" w:right="108"/>
        <w:jc w:val="both"/>
      </w:pPr>
      <w:r>
        <w:rPr>
          <w:color w:val="231F20"/>
          <w:w w:val="105"/>
        </w:rPr>
        <w:t>En su declaración de estatutos de </w:t>
      </w:r>
      <w:r>
        <w:rPr>
          <w:color w:val="231F20"/>
          <w:spacing w:val="-3"/>
          <w:w w:val="105"/>
        </w:rPr>
        <w:t>1929 </w:t>
      </w:r>
      <w:r>
        <w:rPr>
          <w:color w:val="231F20"/>
          <w:w w:val="105"/>
        </w:rPr>
        <w:t>se estipuló que los fines del partido y los go- biernos</w:t>
      </w:r>
      <w:r>
        <w:rPr>
          <w:color w:val="231F20"/>
          <w:spacing w:val="-5"/>
          <w:w w:val="105"/>
        </w:rPr>
        <w:t> </w:t>
      </w:r>
      <w:r>
        <w:rPr>
          <w:color w:val="231F20"/>
          <w:w w:val="105"/>
        </w:rPr>
        <w:t>emanados</w:t>
      </w:r>
      <w:r>
        <w:rPr>
          <w:color w:val="231F20"/>
          <w:spacing w:val="-5"/>
          <w:w w:val="105"/>
        </w:rPr>
        <w:t> </w:t>
      </w:r>
      <w:r>
        <w:rPr>
          <w:color w:val="231F20"/>
          <w:w w:val="105"/>
        </w:rPr>
        <w:t>de</w:t>
      </w:r>
      <w:r>
        <w:rPr>
          <w:color w:val="231F20"/>
          <w:spacing w:val="-5"/>
          <w:w w:val="105"/>
        </w:rPr>
        <w:t> </w:t>
      </w:r>
      <w:r>
        <w:rPr>
          <w:color w:val="231F20"/>
          <w:w w:val="105"/>
        </w:rPr>
        <w:t>él</w:t>
      </w:r>
      <w:r>
        <w:rPr>
          <w:color w:val="231F20"/>
          <w:spacing w:val="-5"/>
          <w:w w:val="105"/>
        </w:rPr>
        <w:t> </w:t>
      </w:r>
      <w:r>
        <w:rPr>
          <w:color w:val="231F20"/>
          <w:w w:val="105"/>
        </w:rPr>
        <w:t>serían</w:t>
      </w:r>
      <w:r>
        <w:rPr>
          <w:color w:val="231F20"/>
          <w:spacing w:val="-5"/>
          <w:w w:val="105"/>
        </w:rPr>
        <w:t> </w:t>
      </w:r>
      <w:r>
        <w:rPr>
          <w:color w:val="231F20"/>
          <w:w w:val="105"/>
        </w:rPr>
        <w:t>los</w:t>
      </w:r>
      <w:r>
        <w:rPr>
          <w:color w:val="231F20"/>
          <w:spacing w:val="-5"/>
          <w:w w:val="105"/>
        </w:rPr>
        <w:t> </w:t>
      </w:r>
      <w:r>
        <w:rPr>
          <w:color w:val="231F20"/>
          <w:w w:val="105"/>
        </w:rPr>
        <w:t>intereses</w:t>
      </w:r>
      <w:r>
        <w:rPr>
          <w:color w:val="231F20"/>
          <w:spacing w:val="-5"/>
          <w:w w:val="105"/>
        </w:rPr>
        <w:t> </w:t>
      </w:r>
      <w:r>
        <w:rPr>
          <w:color w:val="231F20"/>
          <w:w w:val="105"/>
        </w:rPr>
        <w:t>sociales</w:t>
      </w:r>
      <w:r>
        <w:rPr>
          <w:color w:val="231F20"/>
          <w:spacing w:val="-5"/>
          <w:w w:val="105"/>
        </w:rPr>
        <w:t> </w:t>
      </w:r>
      <w:r>
        <w:rPr>
          <w:color w:val="231F20"/>
          <w:w w:val="105"/>
        </w:rPr>
        <w:t>surgidos</w:t>
      </w:r>
      <w:r>
        <w:rPr>
          <w:color w:val="231F20"/>
          <w:spacing w:val="-5"/>
          <w:w w:val="105"/>
        </w:rPr>
        <w:t> </w:t>
      </w:r>
      <w:r>
        <w:rPr>
          <w:color w:val="231F20"/>
          <w:w w:val="105"/>
        </w:rPr>
        <w:t>del</w:t>
      </w:r>
      <w:r>
        <w:rPr>
          <w:color w:val="231F20"/>
          <w:spacing w:val="-5"/>
          <w:w w:val="105"/>
        </w:rPr>
        <w:t> </w:t>
      </w:r>
      <w:r>
        <w:rPr>
          <w:color w:val="231F20"/>
          <w:w w:val="105"/>
        </w:rPr>
        <w:t>movimiento,</w:t>
      </w:r>
      <w:r>
        <w:rPr>
          <w:color w:val="231F20"/>
          <w:spacing w:val="-5"/>
          <w:w w:val="105"/>
        </w:rPr>
        <w:t> </w:t>
      </w:r>
      <w:r>
        <w:rPr>
          <w:color w:val="231F20"/>
          <w:w w:val="105"/>
        </w:rPr>
        <w:t>como</w:t>
      </w:r>
      <w:r>
        <w:rPr>
          <w:color w:val="231F20"/>
          <w:spacing w:val="-5"/>
          <w:w w:val="105"/>
        </w:rPr>
        <w:t> </w:t>
      </w:r>
      <w:r>
        <w:rPr>
          <w:color w:val="231F20"/>
          <w:w w:val="105"/>
        </w:rPr>
        <w:t>la </w:t>
      </w:r>
      <w:r>
        <w:rPr>
          <w:color w:val="231F20"/>
          <w:spacing w:val="-3"/>
          <w:w w:val="105"/>
        </w:rPr>
        <w:t>devolución </w:t>
      </w:r>
      <w:r>
        <w:rPr>
          <w:color w:val="231F20"/>
          <w:w w:val="105"/>
        </w:rPr>
        <w:t>de tierras a los campesinos, seguridad social y educación pública gratuita, </w:t>
      </w:r>
      <w:r>
        <w:rPr>
          <w:color w:val="231F20"/>
          <w:spacing w:val="-3"/>
          <w:w w:val="105"/>
        </w:rPr>
        <w:t>fomento </w:t>
      </w:r>
      <w:r>
        <w:rPr>
          <w:color w:val="231F20"/>
          <w:spacing w:val="2"/>
          <w:w w:val="105"/>
        </w:rPr>
        <w:t>al </w:t>
      </w:r>
      <w:r>
        <w:rPr>
          <w:color w:val="231F20"/>
          <w:w w:val="105"/>
        </w:rPr>
        <w:t>desarrollo industrial y gobiernos estables, principalmente; para su cumpli- miento</w:t>
      </w:r>
      <w:r>
        <w:rPr>
          <w:color w:val="231F20"/>
          <w:spacing w:val="-24"/>
          <w:w w:val="105"/>
        </w:rPr>
        <w:t> </w:t>
      </w:r>
      <w:r>
        <w:rPr>
          <w:color w:val="231F20"/>
          <w:w w:val="105"/>
        </w:rPr>
        <w:t>era</w:t>
      </w:r>
      <w:r>
        <w:rPr>
          <w:color w:val="231F20"/>
          <w:spacing w:val="-24"/>
          <w:w w:val="105"/>
        </w:rPr>
        <w:t> </w:t>
      </w:r>
      <w:r>
        <w:rPr>
          <w:color w:val="231F20"/>
          <w:w w:val="105"/>
        </w:rPr>
        <w:t>necesario</w:t>
      </w:r>
      <w:r>
        <w:rPr>
          <w:color w:val="231F20"/>
          <w:spacing w:val="-24"/>
          <w:w w:val="105"/>
        </w:rPr>
        <w:t> </w:t>
      </w:r>
      <w:r>
        <w:rPr>
          <w:color w:val="231F20"/>
          <w:spacing w:val="2"/>
          <w:w w:val="105"/>
        </w:rPr>
        <w:t>unificar</w:t>
      </w:r>
      <w:r>
        <w:rPr>
          <w:color w:val="231F20"/>
          <w:spacing w:val="-24"/>
          <w:w w:val="105"/>
        </w:rPr>
        <w:t> </w:t>
      </w:r>
      <w:r>
        <w:rPr>
          <w:color w:val="231F20"/>
          <w:w w:val="105"/>
        </w:rPr>
        <w:t>las</w:t>
      </w:r>
      <w:r>
        <w:rPr>
          <w:color w:val="231F20"/>
          <w:spacing w:val="-24"/>
          <w:w w:val="105"/>
        </w:rPr>
        <w:t> </w:t>
      </w:r>
      <w:r>
        <w:rPr>
          <w:color w:val="231F20"/>
          <w:w w:val="105"/>
        </w:rPr>
        <w:t>diferentes</w:t>
      </w:r>
      <w:r>
        <w:rPr>
          <w:color w:val="231F20"/>
          <w:spacing w:val="-24"/>
          <w:w w:val="105"/>
        </w:rPr>
        <w:t> </w:t>
      </w:r>
      <w:r>
        <w:rPr>
          <w:color w:val="231F20"/>
          <w:w w:val="105"/>
        </w:rPr>
        <w:t>fuerzas</w:t>
      </w:r>
      <w:r>
        <w:rPr>
          <w:color w:val="231F20"/>
          <w:spacing w:val="-24"/>
          <w:w w:val="105"/>
        </w:rPr>
        <w:t> </w:t>
      </w:r>
      <w:r>
        <w:rPr>
          <w:color w:val="231F20"/>
          <w:w w:val="105"/>
        </w:rPr>
        <w:t>políticas</w:t>
      </w:r>
      <w:r>
        <w:rPr>
          <w:color w:val="231F20"/>
          <w:spacing w:val="-24"/>
          <w:w w:val="105"/>
        </w:rPr>
        <w:t> </w:t>
      </w:r>
      <w:r>
        <w:rPr>
          <w:color w:val="231F20"/>
          <w:w w:val="105"/>
        </w:rPr>
        <w:t>y</w:t>
      </w:r>
      <w:r>
        <w:rPr>
          <w:color w:val="231F20"/>
          <w:spacing w:val="-24"/>
          <w:w w:val="105"/>
        </w:rPr>
        <w:t> </w:t>
      </w:r>
      <w:r>
        <w:rPr>
          <w:color w:val="231F20"/>
          <w:w w:val="105"/>
        </w:rPr>
        <w:t>sociales</w:t>
      </w:r>
      <w:r>
        <w:rPr>
          <w:color w:val="231F20"/>
          <w:spacing w:val="-24"/>
          <w:w w:val="105"/>
        </w:rPr>
        <w:t> </w:t>
      </w:r>
      <w:r>
        <w:rPr>
          <w:color w:val="231F20"/>
          <w:w w:val="105"/>
        </w:rPr>
        <w:t>del</w:t>
      </w:r>
      <w:r>
        <w:rPr>
          <w:color w:val="231F20"/>
          <w:spacing w:val="-24"/>
          <w:w w:val="105"/>
        </w:rPr>
        <w:t> </w:t>
      </w:r>
      <w:r>
        <w:rPr>
          <w:color w:val="231F20"/>
          <w:w w:val="105"/>
        </w:rPr>
        <w:t>país</w:t>
      </w:r>
      <w:r>
        <w:rPr>
          <w:color w:val="231F20"/>
          <w:spacing w:val="-24"/>
          <w:w w:val="105"/>
        </w:rPr>
        <w:t> </w:t>
      </w:r>
      <w:r>
        <w:rPr>
          <w:color w:val="231F20"/>
          <w:w w:val="105"/>
        </w:rPr>
        <w:t>y</w:t>
      </w:r>
      <w:r>
        <w:rPr>
          <w:color w:val="231F20"/>
          <w:spacing w:val="-24"/>
          <w:w w:val="105"/>
        </w:rPr>
        <w:t> </w:t>
      </w:r>
      <w:r>
        <w:rPr>
          <w:color w:val="231F20"/>
          <w:w w:val="105"/>
        </w:rPr>
        <w:t>a</w:t>
      </w:r>
      <w:r>
        <w:rPr>
          <w:color w:val="231F20"/>
          <w:spacing w:val="-24"/>
          <w:w w:val="105"/>
        </w:rPr>
        <w:t> </w:t>
      </w:r>
      <w:r>
        <w:rPr>
          <w:color w:val="231F20"/>
          <w:w w:val="105"/>
        </w:rPr>
        <w:t>través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de</w:t>
      </w:r>
      <w:r>
        <w:rPr>
          <w:color w:val="231F20"/>
          <w:spacing w:val="-16"/>
          <w:w w:val="105"/>
        </w:rPr>
        <w:t> </w:t>
      </w:r>
      <w:r>
        <w:rPr>
          <w:color w:val="231F20"/>
          <w:w w:val="105"/>
        </w:rPr>
        <w:t>gobernantes</w:t>
      </w:r>
      <w:r>
        <w:rPr>
          <w:color w:val="231F20"/>
          <w:spacing w:val="-16"/>
          <w:w w:val="105"/>
        </w:rPr>
        <w:t> </w:t>
      </w:r>
      <w:r>
        <w:rPr>
          <w:color w:val="231F20"/>
          <w:w w:val="105"/>
        </w:rPr>
        <w:t>comprometidos</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ideología</w:t>
      </w:r>
      <w:r>
        <w:rPr>
          <w:color w:val="231F20"/>
          <w:spacing w:val="-16"/>
          <w:w w:val="105"/>
        </w:rPr>
        <w:t> </w:t>
      </w:r>
      <w:r>
        <w:rPr>
          <w:color w:val="231F20"/>
          <w:w w:val="105"/>
        </w:rPr>
        <w:t>revolucionaria,</w:t>
      </w:r>
      <w:r>
        <w:rPr>
          <w:color w:val="231F20"/>
          <w:spacing w:val="-16"/>
          <w:w w:val="105"/>
        </w:rPr>
        <w:t> </w:t>
      </w:r>
      <w:r>
        <w:rPr>
          <w:color w:val="231F20"/>
          <w:w w:val="105"/>
        </w:rPr>
        <w:t>el</w:t>
      </w:r>
      <w:r>
        <w:rPr>
          <w:color w:val="231F20"/>
          <w:spacing w:val="-16"/>
          <w:w w:val="105"/>
        </w:rPr>
        <w:t> </w:t>
      </w:r>
      <w:r>
        <w:rPr>
          <w:color w:val="231F20"/>
          <w:w w:val="105"/>
        </w:rPr>
        <w:t>proyecto</w:t>
      </w:r>
      <w:r>
        <w:rPr>
          <w:color w:val="231F20"/>
          <w:spacing w:val="-16"/>
          <w:w w:val="105"/>
        </w:rPr>
        <w:t> </w:t>
      </w:r>
      <w:r>
        <w:rPr>
          <w:color w:val="231F20"/>
          <w:w w:val="105"/>
        </w:rPr>
        <w:t>buscaría</w:t>
      </w:r>
      <w:r>
        <w:rPr>
          <w:color w:val="231F20"/>
          <w:spacing w:val="-16"/>
          <w:w w:val="105"/>
        </w:rPr>
        <w:t> </w:t>
      </w:r>
      <w:r>
        <w:rPr>
          <w:color w:val="231F20"/>
          <w:w w:val="105"/>
        </w:rPr>
        <w:t>en el</w:t>
      </w:r>
      <w:r>
        <w:rPr>
          <w:color w:val="231F20"/>
          <w:spacing w:val="-15"/>
          <w:w w:val="105"/>
        </w:rPr>
        <w:t> </w:t>
      </w:r>
      <w:r>
        <w:rPr>
          <w:color w:val="231F20"/>
          <w:w w:val="105"/>
        </w:rPr>
        <w:t>ejercicio</w:t>
      </w:r>
      <w:r>
        <w:rPr>
          <w:color w:val="231F20"/>
          <w:spacing w:val="-15"/>
          <w:w w:val="105"/>
        </w:rPr>
        <w:t> </w:t>
      </w:r>
      <w:r>
        <w:rPr>
          <w:color w:val="231F20"/>
          <w:w w:val="105"/>
        </w:rPr>
        <w:t>público</w:t>
      </w:r>
      <w:r>
        <w:rPr>
          <w:color w:val="231F20"/>
          <w:spacing w:val="-15"/>
          <w:w w:val="105"/>
        </w:rPr>
        <w:t> </w:t>
      </w:r>
      <w:r>
        <w:rPr>
          <w:color w:val="231F20"/>
          <w:w w:val="105"/>
        </w:rPr>
        <w:t>el</w:t>
      </w:r>
      <w:r>
        <w:rPr>
          <w:color w:val="231F20"/>
          <w:spacing w:val="-15"/>
          <w:w w:val="105"/>
        </w:rPr>
        <w:t> </w:t>
      </w:r>
      <w:r>
        <w:rPr>
          <w:color w:val="231F20"/>
          <w:w w:val="105"/>
        </w:rPr>
        <w:t>mejoramiento</w:t>
      </w:r>
      <w:r>
        <w:rPr>
          <w:color w:val="231F20"/>
          <w:spacing w:val="-15"/>
          <w:w w:val="105"/>
        </w:rPr>
        <w:t> </w:t>
      </w:r>
      <w:r>
        <w:rPr>
          <w:color w:val="231F20"/>
          <w:w w:val="105"/>
        </w:rPr>
        <w:t>integral</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condiciones</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masas</w:t>
      </w:r>
      <w:r>
        <w:rPr>
          <w:color w:val="231F20"/>
          <w:spacing w:val="-15"/>
          <w:w w:val="105"/>
        </w:rPr>
        <w:t> </w:t>
      </w:r>
      <w:r>
        <w:rPr>
          <w:color w:val="231F20"/>
          <w:w w:val="105"/>
        </w:rPr>
        <w:t>populares, promoviendo</w:t>
      </w:r>
      <w:r>
        <w:rPr>
          <w:color w:val="231F20"/>
          <w:spacing w:val="-16"/>
          <w:w w:val="105"/>
        </w:rPr>
        <w:t> </w:t>
      </w:r>
      <w:r>
        <w:rPr>
          <w:color w:val="231F20"/>
          <w:w w:val="105"/>
        </w:rPr>
        <w:t>la</w:t>
      </w:r>
      <w:r>
        <w:rPr>
          <w:color w:val="231F20"/>
          <w:spacing w:val="-16"/>
          <w:w w:val="105"/>
        </w:rPr>
        <w:t> </w:t>
      </w:r>
      <w:r>
        <w:rPr>
          <w:color w:val="231F20"/>
          <w:w w:val="105"/>
        </w:rPr>
        <w:t>colectividad</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nacionalismo</w:t>
      </w:r>
      <w:r>
        <w:rPr>
          <w:color w:val="231F20"/>
          <w:spacing w:val="-16"/>
          <w:w w:val="105"/>
        </w:rPr>
        <w:t> </w:t>
      </w:r>
      <w:r>
        <w:rPr>
          <w:color w:val="231F20"/>
          <w:spacing w:val="-5"/>
          <w:w w:val="105"/>
        </w:rPr>
        <w:t>(Ver</w:t>
      </w:r>
      <w:r>
        <w:rPr>
          <w:color w:val="231F20"/>
          <w:spacing w:val="-16"/>
          <w:w w:val="105"/>
        </w:rPr>
        <w:t> </w:t>
      </w:r>
      <w:r>
        <w:rPr>
          <w:color w:val="231F20"/>
          <w:w w:val="105"/>
        </w:rPr>
        <w:t>en</w:t>
      </w:r>
      <w:r>
        <w:rPr>
          <w:color w:val="231F20"/>
          <w:spacing w:val="-16"/>
          <w:w w:val="105"/>
        </w:rPr>
        <w:t> </w:t>
      </w:r>
      <w:r>
        <w:rPr>
          <w:color w:val="231F20"/>
          <w:w w:val="105"/>
        </w:rPr>
        <w:t>anexos:</w:t>
      </w:r>
      <w:r>
        <w:rPr>
          <w:color w:val="231F20"/>
          <w:spacing w:val="-16"/>
          <w:w w:val="105"/>
        </w:rPr>
        <w:t> </w:t>
      </w:r>
      <w:r>
        <w:rPr>
          <w:color w:val="231F20"/>
          <w:w w:val="105"/>
        </w:rPr>
        <w:t>Estatutos</w:t>
      </w:r>
      <w:r>
        <w:rPr>
          <w:color w:val="231F20"/>
          <w:spacing w:val="-16"/>
          <w:w w:val="105"/>
        </w:rPr>
        <w:t> </w:t>
      </w:r>
      <w:r>
        <w:rPr>
          <w:color w:val="231F20"/>
          <w:w w:val="105"/>
        </w:rPr>
        <w:t>y</w:t>
      </w:r>
      <w:r>
        <w:rPr>
          <w:color w:val="231F20"/>
          <w:spacing w:val="-16"/>
          <w:w w:val="105"/>
        </w:rPr>
        <w:t> </w:t>
      </w:r>
      <w:r>
        <w:rPr>
          <w:color w:val="231F20"/>
          <w:w w:val="105"/>
        </w:rPr>
        <w:t>Declaración de </w:t>
      </w:r>
      <w:r>
        <w:rPr>
          <w:color w:val="231F20"/>
          <w:spacing w:val="-3"/>
          <w:w w:val="105"/>
        </w:rPr>
        <w:t>principios). </w:t>
      </w:r>
      <w:r>
        <w:rPr>
          <w:color w:val="231F20"/>
          <w:w w:val="105"/>
        </w:rPr>
        <w:t>Este fue el discurso oficial, tanto del partido como del </w:t>
      </w:r>
      <w:r>
        <w:rPr>
          <w:color w:val="231F20"/>
          <w:spacing w:val="-3"/>
          <w:w w:val="105"/>
        </w:rPr>
        <w:t>gobierno. </w:t>
      </w:r>
      <w:r>
        <w:rPr>
          <w:color w:val="231F20"/>
          <w:w w:val="105"/>
        </w:rPr>
        <w:t>En los espacios</w:t>
      </w:r>
      <w:r>
        <w:rPr>
          <w:color w:val="231F20"/>
          <w:spacing w:val="-13"/>
          <w:w w:val="105"/>
        </w:rPr>
        <w:t> </w:t>
      </w:r>
      <w:r>
        <w:rPr>
          <w:color w:val="231F20"/>
          <w:w w:val="105"/>
        </w:rPr>
        <w:t>locales</w:t>
      </w:r>
      <w:r>
        <w:rPr>
          <w:color w:val="231F20"/>
          <w:spacing w:val="-13"/>
          <w:w w:val="105"/>
        </w:rPr>
        <w:t> </w:t>
      </w:r>
      <w:r>
        <w:rPr>
          <w:color w:val="231F20"/>
          <w:w w:val="105"/>
        </w:rPr>
        <w:t>se</w:t>
      </w:r>
      <w:r>
        <w:rPr>
          <w:color w:val="231F20"/>
          <w:spacing w:val="-13"/>
          <w:w w:val="105"/>
        </w:rPr>
        <w:t> </w:t>
      </w:r>
      <w:r>
        <w:rPr>
          <w:color w:val="231F20"/>
          <w:spacing w:val="-3"/>
          <w:w w:val="105"/>
        </w:rPr>
        <w:t>reprodujeron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misma</w:t>
      </w:r>
      <w:r>
        <w:rPr>
          <w:color w:val="231F20"/>
          <w:spacing w:val="-13"/>
          <w:w w:val="105"/>
        </w:rPr>
        <w:t> </w:t>
      </w:r>
      <w:r>
        <w:rPr>
          <w:color w:val="231F20"/>
          <w:w w:val="105"/>
        </w:rPr>
        <w:t>forma.</w:t>
      </w:r>
    </w:p>
    <w:p>
      <w:pPr>
        <w:pStyle w:val="BodyText"/>
        <w:spacing w:before="1"/>
        <w:rPr>
          <w:sz w:val="26"/>
        </w:rPr>
      </w:pPr>
    </w:p>
    <w:p>
      <w:pPr>
        <w:pStyle w:val="BodyText"/>
        <w:spacing w:line="285" w:lineRule="auto"/>
        <w:ind w:left="110" w:right="108"/>
        <w:jc w:val="both"/>
      </w:pPr>
      <w:r>
        <w:rPr>
          <w:color w:val="231F20"/>
          <w:spacing w:val="-3"/>
          <w:w w:val="105"/>
        </w:rPr>
        <w:t>Particularmente</w:t>
      </w:r>
      <w:r>
        <w:rPr>
          <w:color w:val="231F20"/>
          <w:spacing w:val="-17"/>
          <w:w w:val="105"/>
        </w:rPr>
        <w:t> </w:t>
      </w:r>
      <w:r>
        <w:rPr>
          <w:color w:val="231F20"/>
          <w:spacing w:val="-3"/>
          <w:w w:val="105"/>
        </w:rPr>
        <w:t>en</w:t>
      </w:r>
      <w:r>
        <w:rPr>
          <w:color w:val="231F20"/>
          <w:spacing w:val="-17"/>
          <w:w w:val="105"/>
        </w:rPr>
        <w:t> </w:t>
      </w:r>
      <w:r>
        <w:rPr>
          <w:color w:val="231F20"/>
          <w:spacing w:val="-4"/>
          <w:w w:val="105"/>
        </w:rPr>
        <w:t>los</w:t>
      </w:r>
      <w:r>
        <w:rPr>
          <w:color w:val="231F20"/>
          <w:spacing w:val="-17"/>
          <w:w w:val="105"/>
        </w:rPr>
        <w:t> </w:t>
      </w:r>
      <w:r>
        <w:rPr>
          <w:color w:val="231F20"/>
          <w:spacing w:val="-4"/>
          <w:w w:val="105"/>
        </w:rPr>
        <w:t>municipios,</w:t>
      </w:r>
      <w:r>
        <w:rPr>
          <w:color w:val="231F20"/>
          <w:spacing w:val="-17"/>
          <w:w w:val="105"/>
        </w:rPr>
        <w:t> </w:t>
      </w:r>
      <w:r>
        <w:rPr>
          <w:color w:val="231F20"/>
          <w:spacing w:val="-4"/>
          <w:w w:val="105"/>
        </w:rPr>
        <w:t>fueron</w:t>
      </w:r>
      <w:r>
        <w:rPr>
          <w:color w:val="231F20"/>
          <w:spacing w:val="-17"/>
          <w:w w:val="105"/>
        </w:rPr>
        <w:t> </w:t>
      </w:r>
      <w:r>
        <w:rPr>
          <w:color w:val="231F20"/>
          <w:spacing w:val="-2"/>
          <w:w w:val="105"/>
        </w:rPr>
        <w:t>varios</w:t>
      </w:r>
      <w:r>
        <w:rPr>
          <w:color w:val="231F20"/>
          <w:spacing w:val="-17"/>
          <w:w w:val="105"/>
        </w:rPr>
        <w:t> </w:t>
      </w:r>
      <w:r>
        <w:rPr>
          <w:color w:val="231F20"/>
          <w:spacing w:val="-4"/>
          <w:w w:val="105"/>
        </w:rPr>
        <w:t>los</w:t>
      </w:r>
      <w:r>
        <w:rPr>
          <w:color w:val="231F20"/>
          <w:spacing w:val="-17"/>
          <w:w w:val="105"/>
        </w:rPr>
        <w:t> </w:t>
      </w:r>
      <w:r>
        <w:rPr>
          <w:color w:val="231F20"/>
          <w:spacing w:val="-3"/>
          <w:w w:val="105"/>
        </w:rPr>
        <w:t>mecanismos</w:t>
      </w:r>
      <w:r>
        <w:rPr>
          <w:color w:val="231F20"/>
          <w:spacing w:val="-17"/>
          <w:w w:val="105"/>
        </w:rPr>
        <w:t> </w:t>
      </w:r>
      <w:r>
        <w:rPr>
          <w:color w:val="231F20"/>
          <w:spacing w:val="-4"/>
          <w:w w:val="105"/>
        </w:rPr>
        <w:t>que</w:t>
      </w:r>
      <w:r>
        <w:rPr>
          <w:color w:val="231F20"/>
          <w:spacing w:val="-17"/>
          <w:w w:val="105"/>
        </w:rPr>
        <w:t> </w:t>
      </w:r>
      <w:r>
        <w:rPr>
          <w:color w:val="231F20"/>
          <w:w w:val="105"/>
        </w:rPr>
        <w:t>aseguraron</w:t>
      </w:r>
      <w:r>
        <w:rPr>
          <w:color w:val="231F20"/>
          <w:spacing w:val="-17"/>
          <w:w w:val="105"/>
        </w:rPr>
        <w:t> </w:t>
      </w:r>
      <w:r>
        <w:rPr>
          <w:color w:val="231F20"/>
          <w:spacing w:val="-3"/>
          <w:w w:val="105"/>
        </w:rPr>
        <w:t>el</w:t>
      </w:r>
      <w:r>
        <w:rPr>
          <w:color w:val="231F20"/>
          <w:spacing w:val="-17"/>
          <w:w w:val="105"/>
        </w:rPr>
        <w:t> </w:t>
      </w:r>
      <w:r>
        <w:rPr>
          <w:color w:val="231F20"/>
          <w:spacing w:val="-4"/>
          <w:w w:val="105"/>
        </w:rPr>
        <w:t>domi- </w:t>
      </w:r>
      <w:r>
        <w:rPr>
          <w:color w:val="231F20"/>
          <w:w w:val="105"/>
        </w:rPr>
        <w:t>nio</w:t>
      </w:r>
      <w:r>
        <w:rPr>
          <w:color w:val="231F20"/>
          <w:spacing w:val="-22"/>
          <w:w w:val="105"/>
        </w:rPr>
        <w:t> </w:t>
      </w:r>
      <w:r>
        <w:rPr>
          <w:color w:val="231F20"/>
          <w:spacing w:val="-4"/>
          <w:w w:val="105"/>
        </w:rPr>
        <w:t>del</w:t>
      </w:r>
      <w:r>
        <w:rPr>
          <w:color w:val="231F20"/>
          <w:spacing w:val="-22"/>
          <w:w w:val="105"/>
        </w:rPr>
        <w:t> </w:t>
      </w:r>
      <w:r>
        <w:rPr>
          <w:color w:val="231F20"/>
          <w:spacing w:val="-3"/>
          <w:w w:val="105"/>
        </w:rPr>
        <w:t>partido,</w:t>
      </w:r>
      <w:r>
        <w:rPr>
          <w:color w:val="231F20"/>
          <w:spacing w:val="-22"/>
          <w:w w:val="105"/>
        </w:rPr>
        <w:t> </w:t>
      </w:r>
      <w:r>
        <w:rPr>
          <w:color w:val="231F20"/>
          <w:spacing w:val="-4"/>
          <w:w w:val="105"/>
        </w:rPr>
        <w:t>entre</w:t>
      </w:r>
      <w:r>
        <w:rPr>
          <w:color w:val="231F20"/>
          <w:spacing w:val="-22"/>
          <w:w w:val="105"/>
        </w:rPr>
        <w:t> </w:t>
      </w:r>
      <w:r>
        <w:rPr>
          <w:color w:val="231F20"/>
          <w:spacing w:val="-4"/>
          <w:w w:val="105"/>
        </w:rPr>
        <w:t>los</w:t>
      </w:r>
      <w:r>
        <w:rPr>
          <w:color w:val="231F20"/>
          <w:spacing w:val="-22"/>
          <w:w w:val="105"/>
        </w:rPr>
        <w:t> </w:t>
      </w:r>
      <w:r>
        <w:rPr>
          <w:color w:val="231F20"/>
          <w:spacing w:val="-4"/>
          <w:w w:val="105"/>
        </w:rPr>
        <w:t>que</w:t>
      </w:r>
      <w:r>
        <w:rPr>
          <w:color w:val="231F20"/>
          <w:spacing w:val="-22"/>
          <w:w w:val="105"/>
        </w:rPr>
        <w:t> </w:t>
      </w:r>
      <w:r>
        <w:rPr>
          <w:color w:val="231F20"/>
          <w:spacing w:val="-5"/>
          <w:w w:val="105"/>
        </w:rPr>
        <w:t>pueden</w:t>
      </w:r>
      <w:r>
        <w:rPr>
          <w:color w:val="231F20"/>
          <w:spacing w:val="-22"/>
          <w:w w:val="105"/>
        </w:rPr>
        <w:t> </w:t>
      </w:r>
      <w:r>
        <w:rPr>
          <w:color w:val="231F20"/>
          <w:spacing w:val="-4"/>
          <w:w w:val="105"/>
        </w:rPr>
        <w:t>mencionarse</w:t>
      </w:r>
      <w:r>
        <w:rPr>
          <w:color w:val="231F20"/>
          <w:spacing w:val="-22"/>
          <w:w w:val="105"/>
        </w:rPr>
        <w:t> </w:t>
      </w:r>
      <w:r>
        <w:rPr>
          <w:color w:val="231F20"/>
          <w:w w:val="105"/>
        </w:rPr>
        <w:t>están</w:t>
      </w:r>
      <w:r>
        <w:rPr>
          <w:color w:val="231F20"/>
          <w:spacing w:val="-22"/>
          <w:w w:val="105"/>
        </w:rPr>
        <w:t> </w:t>
      </w:r>
      <w:r>
        <w:rPr>
          <w:color w:val="231F20"/>
          <w:w w:val="105"/>
        </w:rPr>
        <w:t>la</w:t>
      </w:r>
      <w:r>
        <w:rPr>
          <w:color w:val="231F20"/>
          <w:spacing w:val="-22"/>
          <w:w w:val="105"/>
        </w:rPr>
        <w:t> </w:t>
      </w:r>
      <w:r>
        <w:rPr>
          <w:color w:val="231F20"/>
          <w:w w:val="105"/>
        </w:rPr>
        <w:t>figura</w:t>
      </w:r>
      <w:r>
        <w:rPr>
          <w:color w:val="231F20"/>
          <w:spacing w:val="-22"/>
          <w:w w:val="105"/>
        </w:rPr>
        <w:t> </w:t>
      </w:r>
      <w:r>
        <w:rPr>
          <w:color w:val="231F20"/>
          <w:spacing w:val="-4"/>
          <w:w w:val="105"/>
        </w:rPr>
        <w:t>del</w:t>
      </w:r>
      <w:r>
        <w:rPr>
          <w:color w:val="231F20"/>
          <w:spacing w:val="-22"/>
          <w:w w:val="105"/>
        </w:rPr>
        <w:t> </w:t>
      </w:r>
      <w:r>
        <w:rPr>
          <w:color w:val="231F20"/>
          <w:spacing w:val="-3"/>
          <w:w w:val="105"/>
        </w:rPr>
        <w:t>alcalde,</w:t>
      </w:r>
      <w:r>
        <w:rPr>
          <w:color w:val="231F20"/>
          <w:spacing w:val="-22"/>
          <w:w w:val="105"/>
        </w:rPr>
        <w:t> </w:t>
      </w:r>
      <w:r>
        <w:rPr>
          <w:color w:val="231F20"/>
          <w:w w:val="105"/>
        </w:rPr>
        <w:t>la</w:t>
      </w:r>
      <w:r>
        <w:rPr>
          <w:color w:val="231F20"/>
          <w:spacing w:val="-22"/>
          <w:w w:val="105"/>
        </w:rPr>
        <w:t> </w:t>
      </w:r>
      <w:r>
        <w:rPr>
          <w:color w:val="231F20"/>
          <w:w w:val="105"/>
        </w:rPr>
        <w:t>falta</w:t>
      </w:r>
      <w:r>
        <w:rPr>
          <w:color w:val="231F20"/>
          <w:spacing w:val="-22"/>
          <w:w w:val="105"/>
        </w:rPr>
        <w:t> </w:t>
      </w:r>
      <w:r>
        <w:rPr>
          <w:color w:val="231F20"/>
          <w:spacing w:val="-3"/>
          <w:w w:val="105"/>
        </w:rPr>
        <w:t>de</w:t>
      </w:r>
      <w:r>
        <w:rPr>
          <w:color w:val="231F20"/>
          <w:spacing w:val="-22"/>
          <w:w w:val="105"/>
        </w:rPr>
        <w:t> </w:t>
      </w:r>
      <w:r>
        <w:rPr>
          <w:color w:val="231F20"/>
          <w:spacing w:val="-5"/>
          <w:w w:val="105"/>
        </w:rPr>
        <w:t>plu- </w:t>
      </w:r>
      <w:r>
        <w:rPr>
          <w:color w:val="231F20"/>
          <w:spacing w:val="-3"/>
          <w:w w:val="105"/>
        </w:rPr>
        <w:t>ralidad</w:t>
      </w:r>
      <w:r>
        <w:rPr>
          <w:color w:val="231F20"/>
          <w:spacing w:val="-22"/>
          <w:w w:val="105"/>
        </w:rPr>
        <w:t> </w:t>
      </w:r>
      <w:r>
        <w:rPr>
          <w:color w:val="231F20"/>
          <w:spacing w:val="-3"/>
          <w:w w:val="105"/>
        </w:rPr>
        <w:t>política,</w:t>
      </w:r>
      <w:r>
        <w:rPr>
          <w:color w:val="231F20"/>
          <w:spacing w:val="-22"/>
          <w:w w:val="105"/>
        </w:rPr>
        <w:t> </w:t>
      </w:r>
      <w:r>
        <w:rPr>
          <w:color w:val="231F20"/>
          <w:w w:val="105"/>
        </w:rPr>
        <w:t>las</w:t>
      </w:r>
      <w:r>
        <w:rPr>
          <w:color w:val="231F20"/>
          <w:spacing w:val="-22"/>
          <w:w w:val="105"/>
        </w:rPr>
        <w:t> </w:t>
      </w:r>
      <w:r>
        <w:rPr>
          <w:color w:val="231F20"/>
          <w:spacing w:val="-4"/>
          <w:w w:val="105"/>
        </w:rPr>
        <w:t>redes</w:t>
      </w:r>
      <w:r>
        <w:rPr>
          <w:color w:val="231F20"/>
          <w:spacing w:val="-22"/>
          <w:w w:val="105"/>
        </w:rPr>
        <w:t> </w:t>
      </w:r>
      <w:r>
        <w:rPr>
          <w:color w:val="231F20"/>
          <w:spacing w:val="-4"/>
          <w:w w:val="105"/>
        </w:rPr>
        <w:t>clientelares</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fuerte</w:t>
      </w:r>
      <w:r>
        <w:rPr>
          <w:color w:val="231F20"/>
          <w:spacing w:val="-22"/>
          <w:w w:val="105"/>
        </w:rPr>
        <w:t> </w:t>
      </w:r>
      <w:r>
        <w:rPr>
          <w:color w:val="231F20"/>
          <w:spacing w:val="-5"/>
          <w:w w:val="105"/>
        </w:rPr>
        <w:t>relación</w:t>
      </w:r>
      <w:r>
        <w:rPr>
          <w:color w:val="231F20"/>
          <w:spacing w:val="-22"/>
          <w:w w:val="105"/>
        </w:rPr>
        <w:t> </w:t>
      </w:r>
      <w:r>
        <w:rPr>
          <w:color w:val="231F20"/>
          <w:spacing w:val="-4"/>
          <w:w w:val="105"/>
        </w:rPr>
        <w:t>con</w:t>
      </w:r>
      <w:r>
        <w:rPr>
          <w:color w:val="231F20"/>
          <w:spacing w:val="-22"/>
          <w:w w:val="105"/>
        </w:rPr>
        <w:t> </w:t>
      </w:r>
      <w:r>
        <w:rPr>
          <w:color w:val="231F20"/>
          <w:spacing w:val="-4"/>
          <w:w w:val="105"/>
        </w:rPr>
        <w:t>los</w:t>
      </w:r>
      <w:r>
        <w:rPr>
          <w:color w:val="231F20"/>
          <w:spacing w:val="-22"/>
          <w:w w:val="105"/>
        </w:rPr>
        <w:t> </w:t>
      </w:r>
      <w:r>
        <w:rPr>
          <w:color w:val="231F20"/>
          <w:spacing w:val="-4"/>
          <w:w w:val="105"/>
        </w:rPr>
        <w:t>poderes</w:t>
      </w:r>
      <w:r>
        <w:rPr>
          <w:color w:val="231F20"/>
          <w:spacing w:val="-22"/>
          <w:w w:val="105"/>
        </w:rPr>
        <w:t> </w:t>
      </w:r>
      <w:r>
        <w:rPr>
          <w:color w:val="231F20"/>
          <w:w w:val="105"/>
        </w:rPr>
        <w:t>estatal</w:t>
      </w:r>
      <w:r>
        <w:rPr>
          <w:color w:val="231F20"/>
          <w:spacing w:val="-22"/>
          <w:w w:val="105"/>
        </w:rPr>
        <w:t> </w:t>
      </w:r>
      <w:r>
        <w:rPr>
          <w:color w:val="231F20"/>
          <w:w w:val="105"/>
        </w:rPr>
        <w:t>y</w:t>
      </w:r>
      <w:r>
        <w:rPr>
          <w:color w:val="231F20"/>
          <w:spacing w:val="-22"/>
          <w:w w:val="105"/>
        </w:rPr>
        <w:t> </w:t>
      </w:r>
      <w:r>
        <w:rPr>
          <w:color w:val="231F20"/>
          <w:spacing w:val="-3"/>
          <w:w w:val="105"/>
        </w:rPr>
        <w:t>federal.</w:t>
      </w:r>
    </w:p>
    <w:p>
      <w:pPr>
        <w:pStyle w:val="BodyText"/>
        <w:spacing w:before="1"/>
        <w:rPr>
          <w:sz w:val="26"/>
        </w:rPr>
      </w:pPr>
    </w:p>
    <w:p>
      <w:pPr>
        <w:pStyle w:val="BodyText"/>
        <w:spacing w:line="285" w:lineRule="auto"/>
        <w:ind w:left="110" w:right="108"/>
        <w:jc w:val="both"/>
      </w:pPr>
      <w:r>
        <w:rPr>
          <w:color w:val="231F20"/>
          <w:w w:val="105"/>
        </w:rPr>
        <w:t>Los alcaldes, la mayoría líderes de corporaciones y organizaciones, se convirtieron en </w:t>
      </w:r>
      <w:r>
        <w:rPr>
          <w:color w:val="231F20"/>
          <w:spacing w:val="2"/>
          <w:w w:val="105"/>
        </w:rPr>
        <w:t>figuras</w:t>
      </w:r>
      <w:r>
        <w:rPr>
          <w:color w:val="231F20"/>
          <w:spacing w:val="-19"/>
          <w:w w:val="105"/>
        </w:rPr>
        <w:t> </w:t>
      </w:r>
      <w:r>
        <w:rPr>
          <w:color w:val="231F20"/>
          <w:w w:val="105"/>
        </w:rPr>
        <w:t>temidas</w:t>
      </w:r>
      <w:r>
        <w:rPr>
          <w:color w:val="231F20"/>
          <w:spacing w:val="-19"/>
          <w:w w:val="105"/>
        </w:rPr>
        <w:t> </w:t>
      </w:r>
      <w:r>
        <w:rPr>
          <w:color w:val="231F20"/>
          <w:w w:val="105"/>
        </w:rPr>
        <w:t>encargadas</w:t>
      </w:r>
      <w:r>
        <w:rPr>
          <w:color w:val="231F20"/>
          <w:spacing w:val="-19"/>
          <w:w w:val="105"/>
        </w:rPr>
        <w:t> </w:t>
      </w:r>
      <w:r>
        <w:rPr>
          <w:color w:val="231F20"/>
          <w:w w:val="105"/>
        </w:rPr>
        <w:t>de</w:t>
      </w:r>
      <w:r>
        <w:rPr>
          <w:color w:val="231F20"/>
          <w:spacing w:val="-19"/>
          <w:w w:val="105"/>
        </w:rPr>
        <w:t> </w:t>
      </w:r>
      <w:r>
        <w:rPr>
          <w:color w:val="231F20"/>
          <w:w w:val="105"/>
        </w:rPr>
        <w:t>controlar</w:t>
      </w:r>
      <w:r>
        <w:rPr>
          <w:color w:val="231F20"/>
          <w:spacing w:val="-19"/>
          <w:w w:val="105"/>
        </w:rPr>
        <w:t> </w:t>
      </w:r>
      <w:r>
        <w:rPr>
          <w:color w:val="231F20"/>
          <w:w w:val="105"/>
        </w:rPr>
        <w:t>las</w:t>
      </w:r>
      <w:r>
        <w:rPr>
          <w:color w:val="231F20"/>
          <w:spacing w:val="-19"/>
          <w:w w:val="105"/>
        </w:rPr>
        <w:t> </w:t>
      </w:r>
      <w:r>
        <w:rPr>
          <w:color w:val="231F20"/>
          <w:w w:val="105"/>
        </w:rPr>
        <w:t>demandas</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w w:val="105"/>
        </w:rPr>
        <w:t>movilizar</w:t>
      </w:r>
      <w:r>
        <w:rPr>
          <w:color w:val="231F20"/>
          <w:spacing w:val="-19"/>
          <w:w w:val="105"/>
        </w:rPr>
        <w:t> </w:t>
      </w:r>
      <w:r>
        <w:rPr>
          <w:color w:val="231F20"/>
          <w:w w:val="105"/>
        </w:rPr>
        <w:t>o</w:t>
      </w:r>
      <w:r>
        <w:rPr>
          <w:color w:val="231F20"/>
          <w:spacing w:val="-19"/>
          <w:w w:val="105"/>
        </w:rPr>
        <w:t> </w:t>
      </w:r>
      <w:r>
        <w:rPr>
          <w:color w:val="231F20"/>
          <w:w w:val="105"/>
        </w:rPr>
        <w:t>inmovilizar</w:t>
      </w:r>
      <w:r>
        <w:rPr>
          <w:color w:val="231F20"/>
          <w:spacing w:val="-19"/>
          <w:w w:val="105"/>
        </w:rPr>
        <w:t> </w:t>
      </w:r>
      <w:r>
        <w:rPr>
          <w:color w:val="231F20"/>
          <w:w w:val="105"/>
        </w:rPr>
        <w:t>a</w:t>
      </w:r>
      <w:r>
        <w:rPr>
          <w:color w:val="231F20"/>
          <w:spacing w:val="-19"/>
          <w:w w:val="105"/>
        </w:rPr>
        <w:t> </w:t>
      </w:r>
      <w:r>
        <w:rPr>
          <w:color w:val="231F20"/>
          <w:w w:val="105"/>
        </w:rPr>
        <w:t>las masas</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spacing w:val="2"/>
          <w:w w:val="105"/>
        </w:rPr>
        <w:t>fungían</w:t>
      </w:r>
      <w:r>
        <w:rPr>
          <w:color w:val="231F20"/>
          <w:spacing w:val="-7"/>
          <w:w w:val="105"/>
        </w:rPr>
        <w:t> </w:t>
      </w:r>
      <w:r>
        <w:rPr>
          <w:color w:val="231F20"/>
          <w:w w:val="105"/>
        </w:rPr>
        <w:t>como</w:t>
      </w:r>
      <w:r>
        <w:rPr>
          <w:color w:val="231F20"/>
          <w:spacing w:val="-7"/>
          <w:w w:val="105"/>
        </w:rPr>
        <w:t> </w:t>
      </w:r>
      <w:r>
        <w:rPr>
          <w:color w:val="231F20"/>
          <w:w w:val="105"/>
        </w:rPr>
        <w:t>operadores</w:t>
      </w:r>
      <w:r>
        <w:rPr>
          <w:color w:val="231F20"/>
          <w:spacing w:val="-7"/>
          <w:w w:val="105"/>
        </w:rPr>
        <w:t> </w:t>
      </w:r>
      <w:r>
        <w:rPr>
          <w:color w:val="231F20"/>
          <w:w w:val="105"/>
        </w:rPr>
        <w:t>electorales,</w:t>
      </w:r>
      <w:r>
        <w:rPr>
          <w:color w:val="231F20"/>
          <w:spacing w:val="-7"/>
          <w:w w:val="105"/>
        </w:rPr>
        <w:t> </w:t>
      </w:r>
      <w:r>
        <w:rPr>
          <w:color w:val="231F20"/>
          <w:w w:val="105"/>
        </w:rPr>
        <w:t>administradores</w:t>
      </w:r>
      <w:r>
        <w:rPr>
          <w:color w:val="231F20"/>
          <w:spacing w:val="-7"/>
          <w:w w:val="105"/>
        </w:rPr>
        <w:t> </w:t>
      </w:r>
      <w:r>
        <w:rPr>
          <w:color w:val="231F20"/>
          <w:w w:val="105"/>
        </w:rPr>
        <w:t>de</w:t>
      </w:r>
      <w:r>
        <w:rPr>
          <w:color w:val="231F20"/>
          <w:spacing w:val="-7"/>
          <w:w w:val="105"/>
        </w:rPr>
        <w:t> </w:t>
      </w:r>
      <w:r>
        <w:rPr>
          <w:color w:val="231F20"/>
          <w:w w:val="105"/>
        </w:rPr>
        <w:t>los cargos</w:t>
      </w:r>
      <w:r>
        <w:rPr>
          <w:color w:val="231F20"/>
          <w:spacing w:val="-18"/>
          <w:w w:val="105"/>
        </w:rPr>
        <w:t> </w:t>
      </w:r>
      <w:r>
        <w:rPr>
          <w:color w:val="231F20"/>
          <w:w w:val="105"/>
        </w:rPr>
        <w:t>públicos</w:t>
      </w:r>
      <w:r>
        <w:rPr>
          <w:color w:val="231F20"/>
          <w:spacing w:val="-18"/>
          <w:w w:val="105"/>
        </w:rPr>
        <w:t> </w:t>
      </w:r>
      <w:r>
        <w:rPr>
          <w:color w:val="231F20"/>
          <w:spacing w:val="2"/>
          <w:w w:val="105"/>
        </w:rPr>
        <w:t>al</w:t>
      </w:r>
      <w:r>
        <w:rPr>
          <w:color w:val="231F20"/>
          <w:spacing w:val="-18"/>
          <w:w w:val="105"/>
        </w:rPr>
        <w:t> </w:t>
      </w:r>
      <w:r>
        <w:rPr>
          <w:color w:val="231F20"/>
          <w:w w:val="105"/>
        </w:rPr>
        <w:t>interior</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ayuntamientos</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vínculo</w:t>
      </w:r>
      <w:r>
        <w:rPr>
          <w:color w:val="231F20"/>
          <w:spacing w:val="-18"/>
          <w:w w:val="105"/>
        </w:rPr>
        <w:t> </w:t>
      </w:r>
      <w:r>
        <w:rPr>
          <w:color w:val="231F20"/>
          <w:w w:val="105"/>
        </w:rPr>
        <w:t>entre</w:t>
      </w:r>
      <w:r>
        <w:rPr>
          <w:color w:val="231F20"/>
          <w:spacing w:val="-18"/>
          <w:w w:val="105"/>
        </w:rPr>
        <w:t> </w:t>
      </w:r>
      <w:r>
        <w:rPr>
          <w:color w:val="231F20"/>
          <w:w w:val="105"/>
        </w:rPr>
        <w:t>las</w:t>
      </w:r>
      <w:r>
        <w:rPr>
          <w:color w:val="231F20"/>
          <w:spacing w:val="-18"/>
          <w:w w:val="105"/>
        </w:rPr>
        <w:t> </w:t>
      </w:r>
      <w:r>
        <w:rPr>
          <w:color w:val="231F20"/>
          <w:w w:val="105"/>
        </w:rPr>
        <w:t>otras</w:t>
      </w:r>
      <w:r>
        <w:rPr>
          <w:color w:val="231F20"/>
          <w:spacing w:val="-18"/>
          <w:w w:val="105"/>
        </w:rPr>
        <w:t> </w:t>
      </w:r>
      <w:r>
        <w:rPr>
          <w:color w:val="231F20"/>
          <w:w w:val="105"/>
        </w:rPr>
        <w:t>instancias</w:t>
      </w:r>
      <w:r>
        <w:rPr>
          <w:color w:val="231F20"/>
          <w:spacing w:val="-18"/>
          <w:w w:val="105"/>
        </w:rPr>
        <w:t> </w:t>
      </w:r>
      <w:r>
        <w:rPr>
          <w:color w:val="231F20"/>
          <w:w w:val="105"/>
        </w:rPr>
        <w:t>de gobierno</w:t>
      </w:r>
      <w:r>
        <w:rPr>
          <w:color w:val="231F20"/>
          <w:spacing w:val="-16"/>
          <w:w w:val="105"/>
        </w:rPr>
        <w:t> </w:t>
      </w:r>
      <w:r>
        <w:rPr>
          <w:color w:val="231F20"/>
          <w:w w:val="105"/>
        </w:rPr>
        <w:t>y</w:t>
      </w:r>
      <w:r>
        <w:rPr>
          <w:color w:val="231F20"/>
          <w:spacing w:val="-16"/>
          <w:w w:val="105"/>
        </w:rPr>
        <w:t> </w:t>
      </w:r>
      <w:r>
        <w:rPr>
          <w:color w:val="231F20"/>
          <w:w w:val="105"/>
        </w:rPr>
        <w:t>del</w:t>
      </w:r>
      <w:r>
        <w:rPr>
          <w:color w:val="231F20"/>
          <w:spacing w:val="-16"/>
          <w:w w:val="105"/>
        </w:rPr>
        <w:t> </w:t>
      </w:r>
      <w:r>
        <w:rPr>
          <w:color w:val="231F20"/>
          <w:w w:val="105"/>
        </w:rPr>
        <w:t>partido</w:t>
      </w:r>
      <w:r>
        <w:rPr>
          <w:color w:val="231F20"/>
          <w:spacing w:val="-16"/>
          <w:w w:val="105"/>
        </w:rPr>
        <w:t> </w:t>
      </w:r>
      <w:r>
        <w:rPr>
          <w:color w:val="231F20"/>
          <w:w w:val="105"/>
        </w:rPr>
        <w:t>a</w:t>
      </w:r>
      <w:r>
        <w:rPr>
          <w:color w:val="231F20"/>
          <w:spacing w:val="-16"/>
          <w:w w:val="105"/>
        </w:rPr>
        <w:t> </w:t>
      </w:r>
      <w:r>
        <w:rPr>
          <w:color w:val="231F20"/>
          <w:w w:val="105"/>
        </w:rPr>
        <w:t>nivel</w:t>
      </w:r>
      <w:r>
        <w:rPr>
          <w:color w:val="231F20"/>
          <w:spacing w:val="-16"/>
          <w:w w:val="105"/>
        </w:rPr>
        <w:t> </w:t>
      </w:r>
      <w:r>
        <w:rPr>
          <w:color w:val="231F20"/>
          <w:w w:val="105"/>
        </w:rPr>
        <w:t>estatal</w:t>
      </w:r>
      <w:r>
        <w:rPr>
          <w:color w:val="231F20"/>
          <w:spacing w:val="-16"/>
          <w:w w:val="105"/>
        </w:rPr>
        <w:t> </w:t>
      </w:r>
      <w:r>
        <w:rPr>
          <w:color w:val="231F20"/>
          <w:w w:val="105"/>
        </w:rPr>
        <w:t>y</w:t>
      </w:r>
      <w:r>
        <w:rPr>
          <w:color w:val="231F20"/>
          <w:spacing w:val="-16"/>
          <w:w w:val="105"/>
        </w:rPr>
        <w:t> </w:t>
      </w:r>
      <w:r>
        <w:rPr>
          <w:color w:val="231F20"/>
          <w:w w:val="105"/>
        </w:rPr>
        <w:t>nacional.</w:t>
      </w:r>
    </w:p>
    <w:p>
      <w:pPr>
        <w:pStyle w:val="BodyText"/>
        <w:spacing w:before="1"/>
        <w:rPr>
          <w:sz w:val="26"/>
        </w:rPr>
      </w:pPr>
    </w:p>
    <w:p>
      <w:pPr>
        <w:pStyle w:val="BodyText"/>
        <w:spacing w:line="285" w:lineRule="auto"/>
        <w:ind w:left="110" w:right="107"/>
        <w:jc w:val="both"/>
      </w:pPr>
      <w:r>
        <w:rPr>
          <w:color w:val="231F20"/>
          <w:w w:val="105"/>
        </w:rPr>
        <w:t>El sistema electoral implantado por el poder central tuvo efectos contrastables </w:t>
      </w:r>
      <w:r>
        <w:rPr>
          <w:color w:val="231F20"/>
          <w:spacing w:val="2"/>
          <w:w w:val="105"/>
        </w:rPr>
        <w:t>al </w:t>
      </w:r>
      <w:r>
        <w:rPr>
          <w:color w:val="231F20"/>
          <w:w w:val="105"/>
        </w:rPr>
        <w:t>in- terior de los ayuntamientos, pues el sistema mayoritario dominante permitió que la pluralidad política fuera escasa e incluso inexistente, por lo que la toma de decisiones era unilateral y </w:t>
      </w:r>
      <w:r>
        <w:rPr>
          <w:color w:val="231F20"/>
          <w:spacing w:val="-3"/>
          <w:w w:val="105"/>
        </w:rPr>
        <w:t>siempre </w:t>
      </w:r>
      <w:r>
        <w:rPr>
          <w:color w:val="231F20"/>
          <w:w w:val="105"/>
        </w:rPr>
        <w:t>obedeciendo a los intereses que el poder central requería. La oposición</w:t>
      </w:r>
      <w:r>
        <w:rPr>
          <w:color w:val="231F20"/>
          <w:spacing w:val="-8"/>
          <w:w w:val="105"/>
        </w:rPr>
        <w:t> </w:t>
      </w:r>
      <w:r>
        <w:rPr>
          <w:color w:val="231F20"/>
          <w:w w:val="105"/>
        </w:rPr>
        <w:t>no</w:t>
      </w:r>
      <w:r>
        <w:rPr>
          <w:color w:val="231F20"/>
          <w:spacing w:val="-8"/>
          <w:w w:val="105"/>
        </w:rPr>
        <w:t> </w:t>
      </w:r>
      <w:r>
        <w:rPr>
          <w:color w:val="231F20"/>
          <w:w w:val="105"/>
        </w:rPr>
        <w:t>figuraba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integración</w:t>
      </w:r>
      <w:r>
        <w:rPr>
          <w:color w:val="231F20"/>
          <w:spacing w:val="-8"/>
          <w:w w:val="105"/>
        </w:rPr>
        <w:t> </w:t>
      </w:r>
      <w:r>
        <w:rPr>
          <w:color w:val="231F20"/>
          <w:w w:val="105"/>
        </w:rPr>
        <w:t>del</w:t>
      </w:r>
      <w:r>
        <w:rPr>
          <w:color w:val="231F20"/>
          <w:spacing w:val="-8"/>
          <w:w w:val="105"/>
        </w:rPr>
        <w:t> </w:t>
      </w:r>
      <w:r>
        <w:rPr>
          <w:color w:val="231F20"/>
          <w:w w:val="105"/>
        </w:rPr>
        <w:t>ayuntamiento,</w:t>
      </w:r>
      <w:r>
        <w:rPr>
          <w:color w:val="231F20"/>
          <w:spacing w:val="-8"/>
          <w:w w:val="105"/>
        </w:rPr>
        <w:t> </w:t>
      </w:r>
      <w:r>
        <w:rPr>
          <w:color w:val="231F20"/>
          <w:w w:val="105"/>
        </w:rPr>
        <w:t>muchas</w:t>
      </w:r>
      <w:r>
        <w:rPr>
          <w:color w:val="231F20"/>
          <w:spacing w:val="-8"/>
          <w:w w:val="105"/>
        </w:rPr>
        <w:t> </w:t>
      </w:r>
      <w:r>
        <w:rPr>
          <w:color w:val="231F20"/>
          <w:w w:val="105"/>
        </w:rPr>
        <w:t>veces</w:t>
      </w:r>
      <w:r>
        <w:rPr>
          <w:color w:val="231F20"/>
          <w:spacing w:val="-8"/>
          <w:w w:val="105"/>
        </w:rPr>
        <w:t> </w:t>
      </w:r>
      <w:r>
        <w:rPr>
          <w:color w:val="231F20"/>
          <w:w w:val="105"/>
        </w:rPr>
        <w:t>porque</w:t>
      </w:r>
      <w:r>
        <w:rPr>
          <w:color w:val="231F20"/>
          <w:spacing w:val="-8"/>
          <w:w w:val="105"/>
        </w:rPr>
        <w:t> </w:t>
      </w:r>
      <w:r>
        <w:rPr>
          <w:color w:val="231F20"/>
          <w:w w:val="105"/>
        </w:rPr>
        <w:t>los</w:t>
      </w:r>
      <w:r>
        <w:rPr>
          <w:color w:val="231F20"/>
          <w:spacing w:val="-8"/>
          <w:w w:val="105"/>
        </w:rPr>
        <w:t> </w:t>
      </w:r>
      <w:r>
        <w:rPr>
          <w:color w:val="231F20"/>
          <w:w w:val="105"/>
        </w:rPr>
        <w:t>re- sultados</w:t>
      </w:r>
      <w:r>
        <w:rPr>
          <w:color w:val="231F20"/>
          <w:spacing w:val="-12"/>
          <w:w w:val="105"/>
        </w:rPr>
        <w:t> </w:t>
      </w:r>
      <w:r>
        <w:rPr>
          <w:color w:val="231F20"/>
          <w:w w:val="105"/>
        </w:rPr>
        <w:t>electorales</w:t>
      </w:r>
      <w:r>
        <w:rPr>
          <w:color w:val="231F20"/>
          <w:spacing w:val="-12"/>
          <w:w w:val="105"/>
        </w:rPr>
        <w:t> </w:t>
      </w:r>
      <w:r>
        <w:rPr>
          <w:color w:val="231F20"/>
          <w:w w:val="105"/>
        </w:rPr>
        <w:t>eran</w:t>
      </w:r>
      <w:r>
        <w:rPr>
          <w:color w:val="231F20"/>
          <w:spacing w:val="-12"/>
          <w:w w:val="105"/>
        </w:rPr>
        <w:t> </w:t>
      </w:r>
      <w:r>
        <w:rPr>
          <w:color w:val="231F20"/>
          <w:w w:val="105"/>
        </w:rPr>
        <w:t>manipulados</w:t>
      </w:r>
      <w:r>
        <w:rPr>
          <w:color w:val="231F20"/>
          <w:spacing w:val="-12"/>
          <w:w w:val="105"/>
        </w:rPr>
        <w:t> </w:t>
      </w:r>
      <w:r>
        <w:rPr>
          <w:color w:val="231F20"/>
          <w:w w:val="105"/>
        </w:rPr>
        <w:t>o</w:t>
      </w:r>
      <w:r>
        <w:rPr>
          <w:color w:val="231F20"/>
          <w:spacing w:val="-12"/>
          <w:w w:val="105"/>
        </w:rPr>
        <w:t> </w:t>
      </w:r>
      <w:r>
        <w:rPr>
          <w:color w:val="231F20"/>
          <w:w w:val="105"/>
        </w:rPr>
        <w:t>simplemente</w:t>
      </w:r>
      <w:r>
        <w:rPr>
          <w:color w:val="231F20"/>
          <w:spacing w:val="-12"/>
          <w:w w:val="105"/>
        </w:rPr>
        <w:t> </w:t>
      </w:r>
      <w:r>
        <w:rPr>
          <w:color w:val="231F20"/>
          <w:w w:val="105"/>
        </w:rPr>
        <w:t>no</w:t>
      </w:r>
      <w:r>
        <w:rPr>
          <w:color w:val="231F20"/>
          <w:spacing w:val="-12"/>
          <w:w w:val="105"/>
        </w:rPr>
        <w:t> </w:t>
      </w:r>
      <w:r>
        <w:rPr>
          <w:color w:val="231F20"/>
          <w:w w:val="105"/>
        </w:rPr>
        <w:t>reconocidos.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6"/>
          <w:w w:val="105"/>
        </w:rPr>
        <w:t> </w:t>
      </w:r>
      <w:r>
        <w:rPr>
          <w:color w:val="231F20"/>
          <w:w w:val="105"/>
        </w:rPr>
        <w:t>participación</w:t>
      </w:r>
      <w:r>
        <w:rPr>
          <w:color w:val="231F20"/>
          <w:spacing w:val="-6"/>
          <w:w w:val="105"/>
        </w:rPr>
        <w:t> </w:t>
      </w:r>
      <w:r>
        <w:rPr>
          <w:color w:val="231F20"/>
          <w:w w:val="105"/>
        </w:rPr>
        <w:t>electoral</w:t>
      </w:r>
      <w:r>
        <w:rPr>
          <w:color w:val="231F20"/>
          <w:spacing w:val="-6"/>
          <w:w w:val="105"/>
        </w:rPr>
        <w:t> </w:t>
      </w:r>
      <w:r>
        <w:rPr>
          <w:color w:val="231F20"/>
          <w:w w:val="105"/>
        </w:rPr>
        <w:t>estuvo</w:t>
      </w:r>
      <w:r>
        <w:rPr>
          <w:color w:val="231F20"/>
          <w:spacing w:val="-6"/>
          <w:w w:val="105"/>
        </w:rPr>
        <w:t> </w:t>
      </w:r>
      <w:r>
        <w:rPr>
          <w:color w:val="231F20"/>
          <w:w w:val="105"/>
        </w:rPr>
        <w:t>limitada</w:t>
      </w:r>
      <w:r>
        <w:rPr>
          <w:color w:val="231F20"/>
          <w:spacing w:val="-6"/>
          <w:w w:val="105"/>
        </w:rPr>
        <w:t> </w:t>
      </w:r>
      <w:r>
        <w:rPr>
          <w:color w:val="231F20"/>
          <w:w w:val="105"/>
        </w:rPr>
        <w:t>e</w:t>
      </w:r>
      <w:r>
        <w:rPr>
          <w:color w:val="231F20"/>
          <w:spacing w:val="-6"/>
          <w:w w:val="105"/>
        </w:rPr>
        <w:t> </w:t>
      </w:r>
      <w:r>
        <w:rPr>
          <w:color w:val="231F20"/>
          <w:w w:val="105"/>
        </w:rPr>
        <w:t>incluso</w:t>
      </w:r>
      <w:r>
        <w:rPr>
          <w:color w:val="231F20"/>
          <w:spacing w:val="-6"/>
          <w:w w:val="105"/>
        </w:rPr>
        <w:t> </w:t>
      </w:r>
      <w:r>
        <w:rPr>
          <w:color w:val="231F20"/>
          <w:w w:val="105"/>
        </w:rPr>
        <w:t>no</w:t>
      </w:r>
      <w:r>
        <w:rPr>
          <w:color w:val="231F20"/>
          <w:spacing w:val="-6"/>
          <w:w w:val="105"/>
        </w:rPr>
        <w:t> </w:t>
      </w:r>
      <w:r>
        <w:rPr>
          <w:color w:val="231F20"/>
          <w:w w:val="105"/>
        </w:rPr>
        <w:t>era</w:t>
      </w:r>
      <w:r>
        <w:rPr>
          <w:color w:val="231F20"/>
          <w:spacing w:val="-6"/>
          <w:w w:val="105"/>
        </w:rPr>
        <w:t> </w:t>
      </w:r>
      <w:r>
        <w:rPr>
          <w:color w:val="231F20"/>
          <w:w w:val="105"/>
        </w:rPr>
        <w:t>bien</w:t>
      </w:r>
      <w:r>
        <w:rPr>
          <w:color w:val="231F20"/>
          <w:spacing w:val="-6"/>
          <w:w w:val="105"/>
        </w:rPr>
        <w:t> </w:t>
      </w:r>
      <w:r>
        <w:rPr>
          <w:color w:val="231F20"/>
          <w:spacing w:val="2"/>
          <w:w w:val="105"/>
        </w:rPr>
        <w:t>vista</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PRI,</w:t>
      </w:r>
      <w:r>
        <w:rPr>
          <w:color w:val="231F20"/>
          <w:spacing w:val="-6"/>
          <w:w w:val="105"/>
        </w:rPr>
        <w:t> </w:t>
      </w:r>
      <w:r>
        <w:rPr>
          <w:color w:val="231F20"/>
          <w:w w:val="105"/>
        </w:rPr>
        <w:t>por</w:t>
      </w:r>
      <w:r>
        <w:rPr>
          <w:color w:val="231F20"/>
          <w:spacing w:val="-6"/>
          <w:w w:val="105"/>
        </w:rPr>
        <w:t> </w:t>
      </w:r>
      <w:r>
        <w:rPr>
          <w:color w:val="231F20"/>
          <w:w w:val="105"/>
        </w:rPr>
        <w:t>lo que</w:t>
      </w:r>
      <w:r>
        <w:rPr>
          <w:color w:val="231F20"/>
          <w:spacing w:val="-10"/>
          <w:w w:val="105"/>
        </w:rPr>
        <w:t> </w:t>
      </w:r>
      <w:r>
        <w:rPr>
          <w:color w:val="231F20"/>
          <w:w w:val="105"/>
        </w:rPr>
        <w:t>cualquier</w:t>
      </w:r>
      <w:r>
        <w:rPr>
          <w:color w:val="231F20"/>
          <w:spacing w:val="-10"/>
          <w:w w:val="105"/>
        </w:rPr>
        <w:t> </w:t>
      </w:r>
      <w:r>
        <w:rPr>
          <w:color w:val="231F20"/>
          <w:w w:val="105"/>
        </w:rPr>
        <w:t>expresión</w:t>
      </w:r>
      <w:r>
        <w:rPr>
          <w:color w:val="231F20"/>
          <w:spacing w:val="-10"/>
          <w:w w:val="105"/>
        </w:rPr>
        <w:t> </w:t>
      </w:r>
      <w:r>
        <w:rPr>
          <w:color w:val="231F20"/>
          <w:w w:val="105"/>
        </w:rPr>
        <w:t>política</w:t>
      </w:r>
      <w:r>
        <w:rPr>
          <w:color w:val="231F20"/>
          <w:spacing w:val="-10"/>
          <w:w w:val="105"/>
        </w:rPr>
        <w:t> </w:t>
      </w:r>
      <w:r>
        <w:rPr>
          <w:color w:val="231F20"/>
          <w:w w:val="105"/>
        </w:rPr>
        <w:t>opuesta</w:t>
      </w:r>
      <w:r>
        <w:rPr>
          <w:color w:val="231F20"/>
          <w:spacing w:val="-10"/>
          <w:w w:val="105"/>
        </w:rPr>
        <w:t> </w:t>
      </w:r>
      <w:r>
        <w:rPr>
          <w:color w:val="231F20"/>
          <w:spacing w:val="2"/>
          <w:w w:val="105"/>
        </w:rPr>
        <w:t>al</w:t>
      </w:r>
      <w:r>
        <w:rPr>
          <w:color w:val="231F20"/>
          <w:spacing w:val="-10"/>
          <w:w w:val="105"/>
        </w:rPr>
        <w:t> </w:t>
      </w:r>
      <w:r>
        <w:rPr>
          <w:color w:val="231F20"/>
          <w:w w:val="105"/>
        </w:rPr>
        <w:t>PRI</w:t>
      </w:r>
      <w:r>
        <w:rPr>
          <w:color w:val="231F20"/>
          <w:spacing w:val="-10"/>
          <w:w w:val="105"/>
        </w:rPr>
        <w:t> </w:t>
      </w:r>
      <w:r>
        <w:rPr>
          <w:color w:val="231F20"/>
          <w:w w:val="105"/>
        </w:rPr>
        <w:t>lo</w:t>
      </w:r>
      <w:r>
        <w:rPr>
          <w:color w:val="231F20"/>
          <w:spacing w:val="-10"/>
          <w:w w:val="105"/>
        </w:rPr>
        <w:t> </w:t>
      </w:r>
      <w:r>
        <w:rPr>
          <w:color w:val="231F20"/>
          <w:w w:val="105"/>
        </w:rPr>
        <w:t>más</w:t>
      </w:r>
      <w:r>
        <w:rPr>
          <w:color w:val="231F20"/>
          <w:spacing w:val="-10"/>
          <w:w w:val="105"/>
        </w:rPr>
        <w:t> </w:t>
      </w:r>
      <w:r>
        <w:rPr>
          <w:color w:val="231F20"/>
          <w:spacing w:val="-3"/>
          <w:w w:val="105"/>
        </w:rPr>
        <w:t>pronto</w:t>
      </w:r>
      <w:r>
        <w:rPr>
          <w:color w:val="231F20"/>
          <w:spacing w:val="-10"/>
          <w:w w:val="105"/>
        </w:rPr>
        <w:t> </w:t>
      </w:r>
      <w:r>
        <w:rPr>
          <w:color w:val="231F20"/>
          <w:w w:val="105"/>
        </w:rPr>
        <w:t>posible</w:t>
      </w:r>
      <w:r>
        <w:rPr>
          <w:color w:val="231F20"/>
          <w:spacing w:val="-10"/>
          <w:w w:val="105"/>
        </w:rPr>
        <w:t> </w:t>
      </w:r>
      <w:r>
        <w:rPr>
          <w:color w:val="231F20"/>
          <w:w w:val="105"/>
        </w:rPr>
        <w:t>era</w:t>
      </w:r>
      <w:r>
        <w:rPr>
          <w:color w:val="231F20"/>
          <w:spacing w:val="-10"/>
          <w:w w:val="105"/>
        </w:rPr>
        <w:t> </w:t>
      </w:r>
      <w:r>
        <w:rPr>
          <w:color w:val="231F20"/>
          <w:w w:val="105"/>
        </w:rPr>
        <w:t>inhibida</w:t>
      </w:r>
      <w:r>
        <w:rPr>
          <w:color w:val="231F20"/>
          <w:spacing w:val="-10"/>
          <w:w w:val="105"/>
        </w:rPr>
        <w:t> </w:t>
      </w:r>
      <w:r>
        <w:rPr>
          <w:color w:val="231F20"/>
          <w:w w:val="105"/>
        </w:rPr>
        <w:t>e</w:t>
      </w:r>
      <w:r>
        <w:rPr>
          <w:color w:val="231F20"/>
          <w:spacing w:val="-10"/>
          <w:w w:val="105"/>
        </w:rPr>
        <w:t> </w:t>
      </w:r>
      <w:r>
        <w:rPr>
          <w:color w:val="231F20"/>
          <w:w w:val="105"/>
        </w:rPr>
        <w:t>in- cluso</w:t>
      </w:r>
      <w:r>
        <w:rPr>
          <w:color w:val="231F20"/>
          <w:spacing w:val="-8"/>
          <w:w w:val="105"/>
        </w:rPr>
        <w:t> </w:t>
      </w:r>
      <w:r>
        <w:rPr>
          <w:color w:val="231F20"/>
          <w:w w:val="105"/>
        </w:rPr>
        <w:t>reprimida</w:t>
      </w:r>
      <w:r>
        <w:rPr>
          <w:color w:val="231F20"/>
          <w:spacing w:val="-8"/>
          <w:w w:val="105"/>
        </w:rPr>
        <w:t> </w:t>
      </w:r>
      <w:r>
        <w:rPr>
          <w:color w:val="231F20"/>
          <w:w w:val="105"/>
        </w:rPr>
        <w:t>y</w:t>
      </w:r>
      <w:r>
        <w:rPr>
          <w:color w:val="231F20"/>
          <w:spacing w:val="-8"/>
          <w:w w:val="105"/>
        </w:rPr>
        <w:t> </w:t>
      </w:r>
      <w:r>
        <w:rPr>
          <w:color w:val="231F20"/>
          <w:w w:val="105"/>
        </w:rPr>
        <w:t>desaparecida</w:t>
      </w:r>
      <w:r>
        <w:rPr>
          <w:color w:val="231F20"/>
          <w:spacing w:val="-8"/>
          <w:w w:val="105"/>
        </w:rPr>
        <w:t> </w:t>
      </w:r>
      <w:r>
        <w:rPr>
          <w:color w:val="231F20"/>
          <w:w w:val="105"/>
        </w:rPr>
        <w:t>por</w:t>
      </w:r>
      <w:r>
        <w:rPr>
          <w:color w:val="231F20"/>
          <w:spacing w:val="-8"/>
          <w:w w:val="105"/>
        </w:rPr>
        <w:t> </w:t>
      </w:r>
      <w:r>
        <w:rPr>
          <w:color w:val="231F20"/>
          <w:w w:val="105"/>
        </w:rPr>
        <w:t>los</w:t>
      </w:r>
      <w:r>
        <w:rPr>
          <w:color w:val="231F20"/>
          <w:spacing w:val="-8"/>
          <w:w w:val="105"/>
        </w:rPr>
        <w:t> </w:t>
      </w:r>
      <w:r>
        <w:rPr>
          <w:color w:val="231F20"/>
          <w:w w:val="105"/>
        </w:rPr>
        <w:t>aparatos</w:t>
      </w:r>
      <w:r>
        <w:rPr>
          <w:color w:val="231F20"/>
          <w:spacing w:val="-8"/>
          <w:w w:val="105"/>
        </w:rPr>
        <w:t> </w:t>
      </w:r>
      <w:r>
        <w:rPr>
          <w:color w:val="231F20"/>
          <w:w w:val="105"/>
        </w:rPr>
        <w:t>policíacos,</w:t>
      </w:r>
      <w:r>
        <w:rPr>
          <w:color w:val="231F20"/>
          <w:spacing w:val="-8"/>
          <w:w w:val="105"/>
        </w:rPr>
        <w:t> </w:t>
      </w:r>
      <w:r>
        <w:rPr>
          <w:color w:val="231F20"/>
          <w:w w:val="105"/>
        </w:rPr>
        <w:t>los</w:t>
      </w:r>
      <w:r>
        <w:rPr>
          <w:color w:val="231F20"/>
          <w:spacing w:val="-8"/>
          <w:w w:val="105"/>
        </w:rPr>
        <w:t> </w:t>
      </w:r>
      <w:r>
        <w:rPr>
          <w:color w:val="231F20"/>
          <w:w w:val="105"/>
        </w:rPr>
        <w:t>cuales</w:t>
      </w:r>
      <w:r>
        <w:rPr>
          <w:color w:val="231F20"/>
          <w:spacing w:val="-8"/>
          <w:w w:val="105"/>
        </w:rPr>
        <w:t> </w:t>
      </w:r>
      <w:r>
        <w:rPr>
          <w:color w:val="231F20"/>
          <w:w w:val="105"/>
        </w:rPr>
        <w:t>eran</w:t>
      </w:r>
      <w:r>
        <w:rPr>
          <w:color w:val="231F20"/>
          <w:spacing w:val="-8"/>
          <w:w w:val="105"/>
        </w:rPr>
        <w:t> </w:t>
      </w:r>
      <w:r>
        <w:rPr>
          <w:color w:val="231F20"/>
          <w:w w:val="105"/>
        </w:rPr>
        <w:t>controlados a</w:t>
      </w:r>
      <w:r>
        <w:rPr>
          <w:color w:val="231F20"/>
          <w:spacing w:val="-14"/>
          <w:w w:val="105"/>
        </w:rPr>
        <w:t> </w:t>
      </w:r>
      <w:r>
        <w:rPr>
          <w:color w:val="231F20"/>
          <w:w w:val="105"/>
        </w:rPr>
        <w:t>través</w:t>
      </w:r>
      <w:r>
        <w:rPr>
          <w:color w:val="231F20"/>
          <w:spacing w:val="-14"/>
          <w:w w:val="105"/>
        </w:rPr>
        <w:t> </w:t>
      </w:r>
      <w:r>
        <w:rPr>
          <w:color w:val="231F20"/>
          <w:w w:val="105"/>
        </w:rPr>
        <w:t>del</w:t>
      </w:r>
      <w:r>
        <w:rPr>
          <w:color w:val="231F20"/>
          <w:spacing w:val="-14"/>
          <w:w w:val="105"/>
        </w:rPr>
        <w:t> </w:t>
      </w:r>
      <w:r>
        <w:rPr>
          <w:color w:val="231F20"/>
          <w:w w:val="105"/>
        </w:rPr>
        <w:t>gobierno;</w:t>
      </w:r>
      <w:r>
        <w:rPr>
          <w:color w:val="231F20"/>
          <w:spacing w:val="-14"/>
          <w:w w:val="105"/>
        </w:rPr>
        <w:t> </w:t>
      </w:r>
      <w:r>
        <w:rPr>
          <w:color w:val="231F20"/>
          <w:w w:val="105"/>
        </w:rPr>
        <w:t>también</w:t>
      </w:r>
      <w:r>
        <w:rPr>
          <w:color w:val="231F20"/>
          <w:spacing w:val="-14"/>
          <w:w w:val="105"/>
        </w:rPr>
        <w:t> </w:t>
      </w:r>
      <w:r>
        <w:rPr>
          <w:color w:val="231F20"/>
          <w:w w:val="105"/>
        </w:rPr>
        <w:t>los</w:t>
      </w:r>
      <w:r>
        <w:rPr>
          <w:color w:val="231F20"/>
          <w:spacing w:val="-14"/>
          <w:w w:val="105"/>
        </w:rPr>
        <w:t> </w:t>
      </w:r>
      <w:r>
        <w:rPr>
          <w:color w:val="231F20"/>
          <w:w w:val="105"/>
        </w:rPr>
        <w:t>movimientos</w:t>
      </w:r>
      <w:r>
        <w:rPr>
          <w:color w:val="231F20"/>
          <w:spacing w:val="-14"/>
          <w:w w:val="105"/>
        </w:rPr>
        <w:t> </w:t>
      </w:r>
      <w:r>
        <w:rPr>
          <w:color w:val="231F20"/>
          <w:w w:val="105"/>
        </w:rPr>
        <w:t>sociales</w:t>
      </w:r>
      <w:r>
        <w:rPr>
          <w:color w:val="231F20"/>
          <w:spacing w:val="-14"/>
          <w:w w:val="105"/>
        </w:rPr>
        <w:t> </w:t>
      </w:r>
      <w:r>
        <w:rPr>
          <w:color w:val="231F20"/>
          <w:w w:val="105"/>
        </w:rPr>
        <w:t>fueron</w:t>
      </w:r>
      <w:r>
        <w:rPr>
          <w:color w:val="231F20"/>
          <w:spacing w:val="-14"/>
          <w:w w:val="105"/>
        </w:rPr>
        <w:t> </w:t>
      </w:r>
      <w:r>
        <w:rPr>
          <w:color w:val="231F20"/>
          <w:w w:val="105"/>
        </w:rPr>
        <w:t>silenciados</w:t>
      </w:r>
      <w:r>
        <w:rPr>
          <w:color w:val="231F20"/>
          <w:spacing w:val="-14"/>
          <w:w w:val="105"/>
        </w:rPr>
        <w:t> </w:t>
      </w:r>
      <w:r>
        <w:rPr>
          <w:color w:val="231F20"/>
          <w:w w:val="105"/>
        </w:rPr>
        <w:t>mediante</w:t>
      </w:r>
      <w:r>
        <w:rPr>
          <w:color w:val="231F20"/>
          <w:spacing w:val="-14"/>
          <w:w w:val="105"/>
        </w:rPr>
        <w:t> </w:t>
      </w:r>
      <w:r>
        <w:rPr>
          <w:color w:val="231F20"/>
          <w:w w:val="105"/>
        </w:rPr>
        <w:t>la coerción</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coaptación.</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5"/>
          <w:w w:val="105"/>
        </w:rPr>
        <w:t> </w:t>
      </w:r>
      <w:r>
        <w:rPr>
          <w:color w:val="231F20"/>
          <w:w w:val="105"/>
        </w:rPr>
        <w:t>federalismo</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ese</w:t>
      </w:r>
      <w:r>
        <w:rPr>
          <w:color w:val="231F20"/>
          <w:spacing w:val="-15"/>
          <w:w w:val="105"/>
        </w:rPr>
        <w:t> </w:t>
      </w:r>
      <w:r>
        <w:rPr>
          <w:color w:val="231F20"/>
          <w:w w:val="105"/>
        </w:rPr>
        <w:t>entonces</w:t>
      </w:r>
      <w:r>
        <w:rPr>
          <w:color w:val="231F20"/>
          <w:spacing w:val="-15"/>
          <w:w w:val="105"/>
        </w:rPr>
        <w:t> </w:t>
      </w:r>
      <w:r>
        <w:rPr>
          <w:color w:val="231F20"/>
          <w:w w:val="105"/>
        </w:rPr>
        <w:t>ya</w:t>
      </w:r>
      <w:r>
        <w:rPr>
          <w:color w:val="231F20"/>
          <w:spacing w:val="-15"/>
          <w:w w:val="105"/>
        </w:rPr>
        <w:t> </w:t>
      </w:r>
      <w:r>
        <w:rPr>
          <w:color w:val="231F20"/>
          <w:w w:val="105"/>
        </w:rPr>
        <w:t>estaba</w:t>
      </w:r>
      <w:r>
        <w:rPr>
          <w:color w:val="231F20"/>
          <w:spacing w:val="-15"/>
          <w:w w:val="105"/>
        </w:rPr>
        <w:t> </w:t>
      </w:r>
      <w:r>
        <w:rPr>
          <w:color w:val="231F20"/>
          <w:w w:val="105"/>
        </w:rPr>
        <w:t>contemplado</w:t>
      </w:r>
      <w:r>
        <w:rPr>
          <w:color w:val="231F20"/>
          <w:spacing w:val="-15"/>
          <w:w w:val="105"/>
        </w:rPr>
        <w:t> </w:t>
      </w:r>
      <w:r>
        <w:rPr>
          <w:color w:val="231F20"/>
          <w:w w:val="105"/>
        </w:rPr>
        <w:t>constitucionalmente,</w:t>
      </w:r>
      <w:r>
        <w:rPr>
          <w:color w:val="231F20"/>
          <w:spacing w:val="-15"/>
          <w:w w:val="105"/>
        </w:rPr>
        <w:t> </w:t>
      </w:r>
      <w:r>
        <w:rPr>
          <w:color w:val="231F20"/>
          <w:w w:val="105"/>
        </w:rPr>
        <w:t>permi- tió</w:t>
      </w:r>
      <w:r>
        <w:rPr>
          <w:color w:val="231F20"/>
          <w:spacing w:val="-19"/>
          <w:w w:val="105"/>
        </w:rPr>
        <w:t> </w:t>
      </w:r>
      <w:r>
        <w:rPr>
          <w:color w:val="231F20"/>
          <w:w w:val="105"/>
        </w:rPr>
        <w:t>el</w:t>
      </w:r>
      <w:r>
        <w:rPr>
          <w:color w:val="231F20"/>
          <w:spacing w:val="-19"/>
          <w:w w:val="105"/>
        </w:rPr>
        <w:t> </w:t>
      </w:r>
      <w:r>
        <w:rPr>
          <w:color w:val="231F20"/>
          <w:w w:val="105"/>
        </w:rPr>
        <w:t>centralismo</w:t>
      </w:r>
      <w:r>
        <w:rPr>
          <w:color w:val="231F20"/>
          <w:spacing w:val="-19"/>
          <w:w w:val="105"/>
        </w:rPr>
        <w:t> </w:t>
      </w:r>
      <w:r>
        <w:rPr>
          <w:color w:val="231F20"/>
          <w:w w:val="105"/>
        </w:rPr>
        <w:t>de</w:t>
      </w:r>
      <w:r>
        <w:rPr>
          <w:color w:val="231F20"/>
          <w:spacing w:val="-19"/>
          <w:w w:val="105"/>
        </w:rPr>
        <w:t> </w:t>
      </w:r>
      <w:r>
        <w:rPr>
          <w:color w:val="231F20"/>
          <w:w w:val="105"/>
        </w:rPr>
        <w:t>manera</w:t>
      </w:r>
      <w:r>
        <w:rPr>
          <w:color w:val="231F20"/>
          <w:spacing w:val="-19"/>
          <w:w w:val="105"/>
        </w:rPr>
        <w:t> </w:t>
      </w:r>
      <w:r>
        <w:rPr>
          <w:color w:val="231F20"/>
          <w:w w:val="105"/>
        </w:rPr>
        <w:t>vertical</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municipios</w:t>
      </w:r>
      <w:r>
        <w:rPr>
          <w:color w:val="231F20"/>
          <w:spacing w:val="-19"/>
          <w:w w:val="105"/>
        </w:rPr>
        <w:t> </w:t>
      </w:r>
      <w:r>
        <w:rPr>
          <w:color w:val="231F20"/>
          <w:w w:val="105"/>
        </w:rPr>
        <w:t>pues</w:t>
      </w:r>
      <w:r>
        <w:rPr>
          <w:color w:val="231F20"/>
          <w:spacing w:val="-19"/>
          <w:w w:val="105"/>
        </w:rPr>
        <w:t> </w:t>
      </w:r>
      <w:r>
        <w:rPr>
          <w:color w:val="231F20"/>
          <w:w w:val="105"/>
        </w:rPr>
        <w:t>los</w:t>
      </w:r>
      <w:r>
        <w:rPr>
          <w:color w:val="231F20"/>
          <w:spacing w:val="-19"/>
          <w:w w:val="105"/>
        </w:rPr>
        <w:t> </w:t>
      </w:r>
      <w:r>
        <w:rPr>
          <w:color w:val="231F20"/>
          <w:w w:val="105"/>
        </w:rPr>
        <w:t>presidentes</w:t>
      </w:r>
      <w:r>
        <w:rPr>
          <w:color w:val="231F20"/>
          <w:spacing w:val="-19"/>
          <w:w w:val="105"/>
        </w:rPr>
        <w:t> </w:t>
      </w:r>
      <w:r>
        <w:rPr>
          <w:color w:val="231F20"/>
          <w:w w:val="105"/>
        </w:rPr>
        <w:t>municipales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fueron sometidos a las decisiones del gobernador o presidente nacional; por lo que el trabajo gubernamental carecía de planeación e instrumentación técnica y cada acción, obra</w:t>
      </w:r>
      <w:r>
        <w:rPr>
          <w:color w:val="231F20"/>
          <w:spacing w:val="-19"/>
          <w:w w:val="105"/>
        </w:rPr>
        <w:t> </w:t>
      </w:r>
      <w:r>
        <w:rPr>
          <w:color w:val="231F20"/>
          <w:w w:val="105"/>
        </w:rPr>
        <w:t>pública</w:t>
      </w:r>
      <w:r>
        <w:rPr>
          <w:color w:val="231F20"/>
          <w:spacing w:val="-19"/>
          <w:w w:val="105"/>
        </w:rPr>
        <w:t> </w:t>
      </w:r>
      <w:r>
        <w:rPr>
          <w:color w:val="231F20"/>
          <w:w w:val="105"/>
        </w:rPr>
        <w:t>o</w:t>
      </w:r>
      <w:r>
        <w:rPr>
          <w:color w:val="231F20"/>
          <w:spacing w:val="-19"/>
          <w:w w:val="105"/>
        </w:rPr>
        <w:t> </w:t>
      </w:r>
      <w:r>
        <w:rPr>
          <w:color w:val="231F20"/>
          <w:w w:val="105"/>
        </w:rPr>
        <w:t>programa</w:t>
      </w:r>
      <w:r>
        <w:rPr>
          <w:color w:val="231F20"/>
          <w:spacing w:val="-19"/>
          <w:w w:val="105"/>
        </w:rPr>
        <w:t> </w:t>
      </w:r>
      <w:r>
        <w:rPr>
          <w:color w:val="231F20"/>
          <w:w w:val="105"/>
        </w:rPr>
        <w:t>social</w:t>
      </w:r>
      <w:r>
        <w:rPr>
          <w:color w:val="231F20"/>
          <w:spacing w:val="-19"/>
          <w:w w:val="105"/>
        </w:rPr>
        <w:t> </w:t>
      </w:r>
      <w:r>
        <w:rPr>
          <w:color w:val="231F20"/>
          <w:w w:val="105"/>
        </w:rPr>
        <w:t>tenía</w:t>
      </w:r>
      <w:r>
        <w:rPr>
          <w:color w:val="231F20"/>
          <w:spacing w:val="-19"/>
          <w:w w:val="105"/>
        </w:rPr>
        <w:t> </w:t>
      </w:r>
      <w:r>
        <w:rPr>
          <w:color w:val="231F20"/>
          <w:w w:val="105"/>
        </w:rPr>
        <w:t>el</w:t>
      </w:r>
      <w:r>
        <w:rPr>
          <w:color w:val="231F20"/>
          <w:spacing w:val="-19"/>
          <w:w w:val="105"/>
        </w:rPr>
        <w:t> </w:t>
      </w:r>
      <w:r>
        <w:rPr>
          <w:color w:val="231F20"/>
          <w:w w:val="105"/>
        </w:rPr>
        <w:t>objetivo</w:t>
      </w:r>
      <w:r>
        <w:rPr>
          <w:color w:val="231F20"/>
          <w:spacing w:val="-19"/>
          <w:w w:val="105"/>
        </w:rPr>
        <w:t> </w:t>
      </w:r>
      <w:r>
        <w:rPr>
          <w:color w:val="231F20"/>
          <w:w w:val="105"/>
        </w:rPr>
        <w:t>de</w:t>
      </w:r>
      <w:r>
        <w:rPr>
          <w:color w:val="231F20"/>
          <w:spacing w:val="-19"/>
          <w:w w:val="105"/>
        </w:rPr>
        <w:t> </w:t>
      </w:r>
      <w:r>
        <w:rPr>
          <w:color w:val="231F20"/>
          <w:w w:val="105"/>
        </w:rPr>
        <w:t>legitimar</w:t>
      </w:r>
      <w:r>
        <w:rPr>
          <w:color w:val="231F20"/>
          <w:spacing w:val="-19"/>
          <w:w w:val="105"/>
        </w:rPr>
        <w:t> </w:t>
      </w:r>
      <w:r>
        <w:rPr>
          <w:color w:val="231F20"/>
          <w:w w:val="105"/>
        </w:rPr>
        <w:t>la</w:t>
      </w:r>
      <w:r>
        <w:rPr>
          <w:color w:val="231F20"/>
          <w:spacing w:val="-19"/>
          <w:w w:val="105"/>
        </w:rPr>
        <w:t> </w:t>
      </w:r>
      <w:r>
        <w:rPr>
          <w:color w:val="231F20"/>
          <w:w w:val="105"/>
        </w:rPr>
        <w:t>acción</w:t>
      </w:r>
      <w:r>
        <w:rPr>
          <w:color w:val="231F20"/>
          <w:spacing w:val="-19"/>
          <w:w w:val="105"/>
        </w:rPr>
        <w:t> </w:t>
      </w:r>
      <w:r>
        <w:rPr>
          <w:color w:val="231F20"/>
          <w:w w:val="105"/>
        </w:rPr>
        <w:t>del</w:t>
      </w:r>
      <w:r>
        <w:rPr>
          <w:color w:val="231F20"/>
          <w:spacing w:val="-19"/>
          <w:w w:val="105"/>
        </w:rPr>
        <w:t> </w:t>
      </w:r>
      <w:r>
        <w:rPr>
          <w:color w:val="231F20"/>
          <w:w w:val="105"/>
        </w:rPr>
        <w:t>gobierno,</w:t>
      </w:r>
      <w:r>
        <w:rPr>
          <w:color w:val="231F20"/>
          <w:spacing w:val="-19"/>
          <w:w w:val="105"/>
        </w:rPr>
        <w:t> </w:t>
      </w:r>
      <w:r>
        <w:rPr>
          <w:color w:val="231F20"/>
          <w:w w:val="105"/>
        </w:rPr>
        <w:t>más que</w:t>
      </w:r>
      <w:r>
        <w:rPr>
          <w:color w:val="231F20"/>
          <w:spacing w:val="-19"/>
          <w:w w:val="105"/>
        </w:rPr>
        <w:t> </w:t>
      </w:r>
      <w:r>
        <w:rPr>
          <w:color w:val="231F20"/>
          <w:w w:val="105"/>
        </w:rPr>
        <w:t>propiciar</w:t>
      </w:r>
      <w:r>
        <w:rPr>
          <w:color w:val="231F20"/>
          <w:spacing w:val="-19"/>
          <w:w w:val="105"/>
        </w:rPr>
        <w:t> </w:t>
      </w:r>
      <w:r>
        <w:rPr>
          <w:color w:val="231F20"/>
          <w:w w:val="105"/>
        </w:rPr>
        <w:t>desarrollo</w:t>
      </w:r>
      <w:r>
        <w:rPr>
          <w:color w:val="231F20"/>
          <w:spacing w:val="-19"/>
          <w:w w:val="105"/>
        </w:rPr>
        <w:t> </w:t>
      </w:r>
      <w:r>
        <w:rPr>
          <w:color w:val="231F20"/>
          <w:w w:val="105"/>
        </w:rPr>
        <w:t>social.</w:t>
      </w:r>
    </w:p>
    <w:p>
      <w:pPr>
        <w:pStyle w:val="BodyText"/>
        <w:spacing w:before="1"/>
        <w:rPr>
          <w:sz w:val="26"/>
        </w:rPr>
      </w:pPr>
    </w:p>
    <w:p>
      <w:pPr>
        <w:pStyle w:val="BodyText"/>
        <w:spacing w:line="285" w:lineRule="auto"/>
        <w:ind w:left="110" w:right="107"/>
        <w:jc w:val="both"/>
      </w:pPr>
      <w:r>
        <w:rPr>
          <w:color w:val="231F20"/>
          <w:w w:val="105"/>
        </w:rPr>
        <w:t>El</w:t>
      </w:r>
      <w:r>
        <w:rPr>
          <w:color w:val="231F20"/>
          <w:spacing w:val="-21"/>
          <w:w w:val="105"/>
        </w:rPr>
        <w:t> </w:t>
      </w:r>
      <w:r>
        <w:rPr>
          <w:color w:val="231F20"/>
          <w:w w:val="105"/>
        </w:rPr>
        <w:t>corporativismo</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clientelismo</w:t>
      </w:r>
      <w:r>
        <w:rPr>
          <w:color w:val="231F20"/>
          <w:spacing w:val="-21"/>
          <w:w w:val="105"/>
        </w:rPr>
        <w:t> </w:t>
      </w:r>
      <w:r>
        <w:rPr>
          <w:color w:val="231F20"/>
          <w:w w:val="105"/>
        </w:rPr>
        <w:t>aseguraron</w:t>
      </w:r>
      <w:r>
        <w:rPr>
          <w:color w:val="231F20"/>
          <w:spacing w:val="-21"/>
          <w:w w:val="105"/>
        </w:rPr>
        <w:t> </w:t>
      </w:r>
      <w:r>
        <w:rPr>
          <w:color w:val="231F20"/>
          <w:w w:val="105"/>
        </w:rPr>
        <w:t>el</w:t>
      </w:r>
      <w:r>
        <w:rPr>
          <w:color w:val="231F20"/>
          <w:spacing w:val="-21"/>
          <w:w w:val="105"/>
        </w:rPr>
        <w:t> </w:t>
      </w:r>
      <w:r>
        <w:rPr>
          <w:color w:val="231F20"/>
          <w:w w:val="105"/>
        </w:rPr>
        <w:t>control</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masas;</w:t>
      </w:r>
      <w:r>
        <w:rPr>
          <w:color w:val="231F20"/>
          <w:spacing w:val="-21"/>
          <w:w w:val="105"/>
        </w:rPr>
        <w:t> </w:t>
      </w:r>
      <w:r>
        <w:rPr>
          <w:color w:val="231F20"/>
          <w:w w:val="105"/>
        </w:rPr>
        <w:t>el</w:t>
      </w:r>
      <w:r>
        <w:rPr>
          <w:color w:val="231F20"/>
          <w:spacing w:val="-21"/>
          <w:w w:val="105"/>
        </w:rPr>
        <w:t> </w:t>
      </w:r>
      <w:r>
        <w:rPr>
          <w:color w:val="231F20"/>
          <w:w w:val="105"/>
        </w:rPr>
        <w:t>partido</w:t>
      </w:r>
      <w:r>
        <w:rPr>
          <w:color w:val="231F20"/>
          <w:spacing w:val="-21"/>
          <w:w w:val="105"/>
        </w:rPr>
        <w:t> </w:t>
      </w:r>
      <w:r>
        <w:rPr>
          <w:color w:val="231F20"/>
          <w:w w:val="105"/>
        </w:rPr>
        <w:t>se</w:t>
      </w:r>
      <w:r>
        <w:rPr>
          <w:color w:val="231F20"/>
          <w:spacing w:val="-21"/>
          <w:w w:val="105"/>
        </w:rPr>
        <w:t> </w:t>
      </w:r>
      <w:r>
        <w:rPr>
          <w:color w:val="231F20"/>
          <w:w w:val="105"/>
        </w:rPr>
        <w:t>con- </w:t>
      </w:r>
      <w:r>
        <w:rPr>
          <w:color w:val="231F20"/>
          <w:spacing w:val="2"/>
          <w:w w:val="105"/>
        </w:rPr>
        <w:t>virtió </w:t>
      </w:r>
      <w:r>
        <w:rPr>
          <w:color w:val="231F20"/>
          <w:w w:val="105"/>
        </w:rPr>
        <w:t>en el gestor de recursos y servicios ante las instancias de gobierno, dando desde permisos</w:t>
      </w:r>
      <w:r>
        <w:rPr>
          <w:color w:val="231F20"/>
          <w:spacing w:val="-7"/>
          <w:w w:val="105"/>
        </w:rPr>
        <w:t> </w:t>
      </w:r>
      <w:r>
        <w:rPr>
          <w:color w:val="231F20"/>
          <w:w w:val="105"/>
        </w:rPr>
        <w:t>y</w:t>
      </w:r>
      <w:r>
        <w:rPr>
          <w:color w:val="231F20"/>
          <w:spacing w:val="-7"/>
          <w:w w:val="105"/>
        </w:rPr>
        <w:t> </w:t>
      </w:r>
      <w:r>
        <w:rPr>
          <w:color w:val="231F20"/>
          <w:w w:val="105"/>
        </w:rPr>
        <w:t>algún</w:t>
      </w:r>
      <w:r>
        <w:rPr>
          <w:color w:val="231F20"/>
          <w:spacing w:val="-7"/>
          <w:w w:val="105"/>
        </w:rPr>
        <w:t> </w:t>
      </w:r>
      <w:r>
        <w:rPr>
          <w:color w:val="231F20"/>
          <w:w w:val="105"/>
        </w:rPr>
        <w:t>servicio</w:t>
      </w:r>
      <w:r>
        <w:rPr>
          <w:color w:val="231F20"/>
          <w:spacing w:val="-7"/>
          <w:w w:val="105"/>
        </w:rPr>
        <w:t> </w:t>
      </w:r>
      <w:r>
        <w:rPr>
          <w:color w:val="231F20"/>
          <w:w w:val="105"/>
        </w:rPr>
        <w:t>público,</w:t>
      </w:r>
      <w:r>
        <w:rPr>
          <w:color w:val="231F20"/>
          <w:spacing w:val="-7"/>
          <w:w w:val="105"/>
        </w:rPr>
        <w:t> </w:t>
      </w:r>
      <w:r>
        <w:rPr>
          <w:color w:val="231F20"/>
          <w:w w:val="105"/>
        </w:rPr>
        <w:t>hasta</w:t>
      </w:r>
      <w:r>
        <w:rPr>
          <w:color w:val="231F20"/>
          <w:spacing w:val="-7"/>
          <w:w w:val="105"/>
        </w:rPr>
        <w:t> </w:t>
      </w:r>
      <w:r>
        <w:rPr>
          <w:color w:val="231F20"/>
          <w:w w:val="105"/>
        </w:rPr>
        <w:t>empleos,</w:t>
      </w:r>
      <w:r>
        <w:rPr>
          <w:color w:val="231F20"/>
          <w:spacing w:val="-7"/>
          <w:w w:val="105"/>
        </w:rPr>
        <w:t> </w:t>
      </w:r>
      <w:r>
        <w:rPr>
          <w:color w:val="231F20"/>
          <w:w w:val="105"/>
        </w:rPr>
        <w:t>títulos</w:t>
      </w:r>
      <w:r>
        <w:rPr>
          <w:color w:val="231F20"/>
          <w:spacing w:val="-7"/>
          <w:w w:val="105"/>
        </w:rPr>
        <w:t> </w:t>
      </w:r>
      <w:r>
        <w:rPr>
          <w:color w:val="231F20"/>
          <w:w w:val="105"/>
        </w:rPr>
        <w:t>de</w:t>
      </w:r>
      <w:r>
        <w:rPr>
          <w:color w:val="231F20"/>
          <w:spacing w:val="-7"/>
          <w:w w:val="105"/>
        </w:rPr>
        <w:t> </w:t>
      </w:r>
      <w:r>
        <w:rPr>
          <w:color w:val="231F20"/>
          <w:w w:val="105"/>
        </w:rPr>
        <w:t>propiedad</w:t>
      </w:r>
      <w:r>
        <w:rPr>
          <w:color w:val="231F20"/>
          <w:spacing w:val="-7"/>
          <w:w w:val="105"/>
        </w:rPr>
        <w:t> </w:t>
      </w:r>
      <w:r>
        <w:rPr>
          <w:color w:val="231F20"/>
          <w:w w:val="105"/>
        </w:rPr>
        <w:t>y</w:t>
      </w:r>
      <w:r>
        <w:rPr>
          <w:color w:val="231F20"/>
          <w:spacing w:val="-7"/>
          <w:w w:val="105"/>
        </w:rPr>
        <w:t> </w:t>
      </w:r>
      <w:r>
        <w:rPr>
          <w:color w:val="231F20"/>
          <w:w w:val="105"/>
        </w:rPr>
        <w:t>bienes</w:t>
      </w:r>
      <w:r>
        <w:rPr>
          <w:color w:val="231F20"/>
          <w:spacing w:val="-7"/>
          <w:w w:val="105"/>
        </w:rPr>
        <w:t> </w:t>
      </w:r>
      <w:r>
        <w:rPr>
          <w:color w:val="231F20"/>
          <w:w w:val="105"/>
        </w:rPr>
        <w:t>de</w:t>
      </w:r>
      <w:r>
        <w:rPr>
          <w:color w:val="231F20"/>
          <w:spacing w:val="-7"/>
          <w:w w:val="105"/>
        </w:rPr>
        <w:t> </w:t>
      </w:r>
      <w:r>
        <w:rPr>
          <w:color w:val="231F20"/>
          <w:w w:val="105"/>
        </w:rPr>
        <w:t>alto valor</w:t>
      </w:r>
      <w:r>
        <w:rPr>
          <w:color w:val="231F20"/>
          <w:spacing w:val="-10"/>
          <w:w w:val="105"/>
        </w:rPr>
        <w:t> </w:t>
      </w:r>
      <w:r>
        <w:rPr>
          <w:color w:val="231F20"/>
          <w:w w:val="105"/>
        </w:rPr>
        <w:t>económico.</w:t>
      </w:r>
      <w:r>
        <w:rPr>
          <w:color w:val="231F20"/>
          <w:spacing w:val="-10"/>
          <w:w w:val="105"/>
        </w:rPr>
        <w:t> </w:t>
      </w:r>
      <w:r>
        <w:rPr>
          <w:color w:val="231F20"/>
          <w:w w:val="105"/>
        </w:rPr>
        <w:t>Este</w:t>
      </w:r>
      <w:r>
        <w:rPr>
          <w:color w:val="231F20"/>
          <w:spacing w:val="-10"/>
          <w:w w:val="105"/>
        </w:rPr>
        <w:t> </w:t>
      </w:r>
      <w:r>
        <w:rPr>
          <w:color w:val="231F20"/>
          <w:w w:val="105"/>
        </w:rPr>
        <w:t>clientelismo</w:t>
      </w:r>
      <w:r>
        <w:rPr>
          <w:color w:val="231F20"/>
          <w:spacing w:val="-10"/>
          <w:w w:val="105"/>
        </w:rPr>
        <w:t> </w:t>
      </w:r>
      <w:r>
        <w:rPr>
          <w:color w:val="231F20"/>
          <w:w w:val="105"/>
        </w:rPr>
        <w:t>le</w:t>
      </w:r>
      <w:r>
        <w:rPr>
          <w:color w:val="231F20"/>
          <w:spacing w:val="-10"/>
          <w:w w:val="105"/>
        </w:rPr>
        <w:t> </w:t>
      </w:r>
      <w:r>
        <w:rPr>
          <w:color w:val="231F20"/>
          <w:w w:val="105"/>
        </w:rPr>
        <w:t>aseguró</w:t>
      </w:r>
      <w:r>
        <w:rPr>
          <w:color w:val="231F20"/>
          <w:spacing w:val="-10"/>
          <w:w w:val="105"/>
        </w:rPr>
        <w:t> </w:t>
      </w:r>
      <w:r>
        <w:rPr>
          <w:color w:val="231F20"/>
          <w:w w:val="105"/>
        </w:rPr>
        <w:t>el</w:t>
      </w:r>
      <w:r>
        <w:rPr>
          <w:color w:val="231F20"/>
          <w:spacing w:val="-10"/>
          <w:w w:val="105"/>
        </w:rPr>
        <w:t> </w:t>
      </w:r>
      <w:r>
        <w:rPr>
          <w:color w:val="231F20"/>
          <w:w w:val="105"/>
        </w:rPr>
        <w:t>número</w:t>
      </w:r>
      <w:r>
        <w:rPr>
          <w:color w:val="231F20"/>
          <w:spacing w:val="-10"/>
          <w:w w:val="105"/>
        </w:rPr>
        <w:t> </w:t>
      </w:r>
      <w:r>
        <w:rPr>
          <w:color w:val="231F20"/>
          <w:w w:val="105"/>
        </w:rPr>
        <w:t>necesario</w:t>
      </w:r>
      <w:r>
        <w:rPr>
          <w:color w:val="231F20"/>
          <w:spacing w:val="-10"/>
          <w:w w:val="105"/>
        </w:rPr>
        <w:t> </w:t>
      </w:r>
      <w:r>
        <w:rPr>
          <w:color w:val="231F20"/>
          <w:w w:val="105"/>
        </w:rPr>
        <w:t>de</w:t>
      </w:r>
      <w:r>
        <w:rPr>
          <w:color w:val="231F20"/>
          <w:spacing w:val="-10"/>
          <w:w w:val="105"/>
        </w:rPr>
        <w:t> </w:t>
      </w:r>
      <w:r>
        <w:rPr>
          <w:color w:val="231F20"/>
          <w:w w:val="105"/>
        </w:rPr>
        <w:t>votos</w:t>
      </w:r>
      <w:r>
        <w:rPr>
          <w:color w:val="231F20"/>
          <w:spacing w:val="-10"/>
          <w:w w:val="105"/>
        </w:rPr>
        <w:t> </w:t>
      </w:r>
      <w:r>
        <w:rPr>
          <w:color w:val="231F20"/>
          <w:w w:val="105"/>
        </w:rPr>
        <w:t>como</w:t>
      </w:r>
      <w:r>
        <w:rPr>
          <w:color w:val="231F20"/>
          <w:spacing w:val="-10"/>
          <w:w w:val="105"/>
        </w:rPr>
        <w:t> </w:t>
      </w:r>
      <w:r>
        <w:rPr>
          <w:color w:val="231F20"/>
          <w:w w:val="105"/>
        </w:rPr>
        <w:t>para legitimar</w:t>
      </w:r>
      <w:r>
        <w:rPr>
          <w:color w:val="231F20"/>
          <w:spacing w:val="-12"/>
          <w:w w:val="105"/>
        </w:rPr>
        <w:t> </w:t>
      </w:r>
      <w:r>
        <w:rPr>
          <w:color w:val="231F20"/>
          <w:w w:val="105"/>
        </w:rPr>
        <w:t>su</w:t>
      </w:r>
      <w:r>
        <w:rPr>
          <w:color w:val="231F20"/>
          <w:spacing w:val="-12"/>
          <w:w w:val="105"/>
        </w:rPr>
        <w:t> </w:t>
      </w:r>
      <w:r>
        <w:rPr>
          <w:color w:val="231F20"/>
          <w:w w:val="105"/>
        </w:rPr>
        <w:t>presencia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2"/>
          <w:w w:val="105"/>
        </w:rPr>
        <w:t>poder.</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4"/>
          <w:w w:val="105"/>
        </w:rPr>
        <w:t> </w:t>
      </w:r>
      <w:r>
        <w:rPr>
          <w:color w:val="231F20"/>
          <w:spacing w:val="2"/>
          <w:w w:val="105"/>
        </w:rPr>
        <w:t>ahí</w:t>
      </w:r>
      <w:r>
        <w:rPr>
          <w:color w:val="231F20"/>
          <w:spacing w:val="-14"/>
          <w:w w:val="105"/>
        </w:rPr>
        <w:t> </w:t>
      </w:r>
      <w:r>
        <w:rPr>
          <w:color w:val="231F20"/>
          <w:w w:val="105"/>
        </w:rPr>
        <w:t>la</w:t>
      </w:r>
      <w:r>
        <w:rPr>
          <w:color w:val="231F20"/>
          <w:spacing w:val="-14"/>
          <w:w w:val="105"/>
        </w:rPr>
        <w:t> </w:t>
      </w:r>
      <w:r>
        <w:rPr>
          <w:color w:val="231F20"/>
          <w:w w:val="105"/>
        </w:rPr>
        <w:t>importancia</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w w:val="105"/>
        </w:rPr>
        <w:t>mantuviera</w:t>
      </w:r>
      <w:r>
        <w:rPr>
          <w:color w:val="231F20"/>
          <w:spacing w:val="-14"/>
          <w:w w:val="105"/>
        </w:rPr>
        <w:t> </w:t>
      </w:r>
      <w:r>
        <w:rPr>
          <w:color w:val="231F20"/>
          <w:w w:val="105"/>
        </w:rPr>
        <w:t>buenas</w:t>
      </w:r>
      <w:r>
        <w:rPr>
          <w:color w:val="231F20"/>
          <w:spacing w:val="-14"/>
          <w:w w:val="105"/>
        </w:rPr>
        <w:t> </w:t>
      </w:r>
      <w:r>
        <w:rPr>
          <w:color w:val="231F20"/>
          <w:w w:val="105"/>
        </w:rPr>
        <w:t>relaciones</w:t>
      </w:r>
      <w:r>
        <w:rPr>
          <w:color w:val="231F20"/>
          <w:spacing w:val="-14"/>
          <w:w w:val="105"/>
        </w:rPr>
        <w:t> </w:t>
      </w:r>
      <w:r>
        <w:rPr>
          <w:color w:val="231F20"/>
          <w:w w:val="105"/>
        </w:rPr>
        <w:t>con el</w:t>
      </w:r>
      <w:r>
        <w:rPr>
          <w:color w:val="231F20"/>
          <w:spacing w:val="-20"/>
          <w:w w:val="105"/>
        </w:rPr>
        <w:t> </w:t>
      </w:r>
      <w:r>
        <w:rPr>
          <w:color w:val="231F20"/>
          <w:w w:val="105"/>
        </w:rPr>
        <w:t>gobernador</w:t>
      </w:r>
      <w:r>
        <w:rPr>
          <w:color w:val="231F20"/>
          <w:spacing w:val="-20"/>
          <w:w w:val="105"/>
        </w:rPr>
        <w:t> </w:t>
      </w:r>
      <w:r>
        <w:rPr>
          <w:color w:val="231F20"/>
          <w:w w:val="105"/>
        </w:rPr>
        <w:t>y</w:t>
      </w:r>
      <w:r>
        <w:rPr>
          <w:color w:val="231F20"/>
          <w:spacing w:val="-20"/>
          <w:w w:val="105"/>
        </w:rPr>
        <w:t> </w:t>
      </w:r>
      <w:r>
        <w:rPr>
          <w:color w:val="231F20"/>
          <w:w w:val="105"/>
        </w:rPr>
        <w:t>sus</w:t>
      </w:r>
      <w:r>
        <w:rPr>
          <w:color w:val="231F20"/>
          <w:spacing w:val="-20"/>
          <w:w w:val="105"/>
        </w:rPr>
        <w:t> </w:t>
      </w:r>
      <w:r>
        <w:rPr>
          <w:color w:val="231F20"/>
          <w:w w:val="105"/>
        </w:rPr>
        <w:t>colaboradores,</w:t>
      </w:r>
      <w:r>
        <w:rPr>
          <w:color w:val="231F20"/>
          <w:spacing w:val="-20"/>
          <w:w w:val="105"/>
        </w:rPr>
        <w:t> </w:t>
      </w:r>
      <w:r>
        <w:rPr>
          <w:color w:val="231F20"/>
          <w:w w:val="105"/>
        </w:rPr>
        <w:t>si</w:t>
      </w:r>
      <w:r>
        <w:rPr>
          <w:color w:val="231F20"/>
          <w:spacing w:val="-20"/>
          <w:w w:val="105"/>
        </w:rPr>
        <w:t> </w:t>
      </w:r>
      <w:r>
        <w:rPr>
          <w:color w:val="231F20"/>
          <w:w w:val="105"/>
        </w:rPr>
        <w:t>quería</w:t>
      </w:r>
      <w:r>
        <w:rPr>
          <w:color w:val="231F20"/>
          <w:spacing w:val="-20"/>
          <w:w w:val="105"/>
        </w:rPr>
        <w:t> </w:t>
      </w:r>
      <w:r>
        <w:rPr>
          <w:color w:val="231F20"/>
          <w:w w:val="105"/>
        </w:rPr>
        <w:t>acceder</w:t>
      </w:r>
      <w:r>
        <w:rPr>
          <w:color w:val="231F20"/>
          <w:spacing w:val="-20"/>
          <w:w w:val="105"/>
        </w:rPr>
        <w:t> </w:t>
      </w:r>
      <w:r>
        <w:rPr>
          <w:color w:val="231F20"/>
          <w:w w:val="105"/>
        </w:rPr>
        <w:t>a</w:t>
      </w:r>
      <w:r>
        <w:rPr>
          <w:color w:val="231F20"/>
          <w:spacing w:val="-20"/>
          <w:w w:val="105"/>
        </w:rPr>
        <w:t> </w:t>
      </w:r>
      <w:r>
        <w:rPr>
          <w:color w:val="231F20"/>
          <w:w w:val="105"/>
        </w:rPr>
        <w:t>un</w:t>
      </w:r>
      <w:r>
        <w:rPr>
          <w:color w:val="231F20"/>
          <w:spacing w:val="-20"/>
          <w:w w:val="105"/>
        </w:rPr>
        <w:t> </w:t>
      </w:r>
      <w:r>
        <w:rPr>
          <w:color w:val="231F20"/>
          <w:w w:val="105"/>
        </w:rPr>
        <w:t>status</w:t>
      </w:r>
      <w:r>
        <w:rPr>
          <w:color w:val="231F20"/>
          <w:spacing w:val="-20"/>
          <w:w w:val="105"/>
        </w:rPr>
        <w:t> </w:t>
      </w:r>
      <w:r>
        <w:rPr>
          <w:color w:val="231F20"/>
          <w:w w:val="105"/>
        </w:rPr>
        <w:t>político</w:t>
      </w:r>
      <w:r>
        <w:rPr>
          <w:color w:val="231F20"/>
          <w:spacing w:val="-20"/>
          <w:w w:val="105"/>
        </w:rPr>
        <w:t> </w:t>
      </w:r>
      <w:r>
        <w:rPr>
          <w:color w:val="231F20"/>
          <w:w w:val="105"/>
        </w:rPr>
        <w:t>más</w:t>
      </w:r>
      <w:r>
        <w:rPr>
          <w:color w:val="231F20"/>
          <w:spacing w:val="-20"/>
          <w:w w:val="105"/>
        </w:rPr>
        <w:t> </w:t>
      </w:r>
      <w:r>
        <w:rPr>
          <w:color w:val="231F20"/>
          <w:w w:val="105"/>
        </w:rPr>
        <w:t>alto,</w:t>
      </w:r>
      <w:r>
        <w:rPr>
          <w:color w:val="231F20"/>
          <w:spacing w:val="-20"/>
          <w:w w:val="105"/>
        </w:rPr>
        <w:t> </w:t>
      </w:r>
      <w:r>
        <w:rPr>
          <w:color w:val="231F20"/>
          <w:w w:val="105"/>
        </w:rPr>
        <w:t>recibir la</w:t>
      </w:r>
      <w:r>
        <w:rPr>
          <w:color w:val="231F20"/>
          <w:spacing w:val="-14"/>
          <w:w w:val="105"/>
        </w:rPr>
        <w:t> </w:t>
      </w:r>
      <w:r>
        <w:rPr>
          <w:color w:val="231F20"/>
          <w:w w:val="105"/>
        </w:rPr>
        <w:t>candidatura</w:t>
      </w:r>
      <w:r>
        <w:rPr>
          <w:color w:val="231F20"/>
          <w:spacing w:val="-14"/>
          <w:w w:val="105"/>
        </w:rPr>
        <w:t> </w:t>
      </w:r>
      <w:r>
        <w:rPr>
          <w:color w:val="231F20"/>
          <w:w w:val="105"/>
        </w:rPr>
        <w:t>de</w:t>
      </w:r>
      <w:r>
        <w:rPr>
          <w:color w:val="231F20"/>
          <w:spacing w:val="-14"/>
          <w:w w:val="105"/>
        </w:rPr>
        <w:t> </w:t>
      </w:r>
      <w:r>
        <w:rPr>
          <w:color w:val="231F20"/>
          <w:w w:val="105"/>
        </w:rPr>
        <w:t>algún</w:t>
      </w:r>
      <w:r>
        <w:rPr>
          <w:color w:val="231F20"/>
          <w:spacing w:val="-14"/>
          <w:w w:val="105"/>
        </w:rPr>
        <w:t> </w:t>
      </w:r>
      <w:r>
        <w:rPr>
          <w:color w:val="231F20"/>
          <w:w w:val="105"/>
        </w:rPr>
        <w:t>puesto</w:t>
      </w:r>
      <w:r>
        <w:rPr>
          <w:color w:val="231F20"/>
          <w:spacing w:val="-14"/>
          <w:w w:val="105"/>
        </w:rPr>
        <w:t> </w:t>
      </w:r>
      <w:r>
        <w:rPr>
          <w:color w:val="231F20"/>
          <w:w w:val="105"/>
        </w:rPr>
        <w:t>político</w:t>
      </w:r>
      <w:r>
        <w:rPr>
          <w:color w:val="231F20"/>
          <w:spacing w:val="-14"/>
          <w:w w:val="105"/>
        </w:rPr>
        <w:t> </w:t>
      </w:r>
      <w:r>
        <w:rPr>
          <w:color w:val="231F20"/>
          <w:w w:val="105"/>
        </w:rPr>
        <w:t>o</w:t>
      </w:r>
      <w:r>
        <w:rPr>
          <w:color w:val="231F20"/>
          <w:spacing w:val="-14"/>
          <w:w w:val="105"/>
        </w:rPr>
        <w:t> </w:t>
      </w:r>
      <w:r>
        <w:rPr>
          <w:color w:val="231F20"/>
          <w:w w:val="105"/>
        </w:rPr>
        <w:t>simplemente</w:t>
      </w:r>
      <w:r>
        <w:rPr>
          <w:color w:val="231F20"/>
          <w:spacing w:val="-14"/>
          <w:w w:val="105"/>
        </w:rPr>
        <w:t> </w:t>
      </w:r>
      <w:r>
        <w:rPr>
          <w:color w:val="231F20"/>
          <w:w w:val="105"/>
        </w:rPr>
        <w:t>allegarse</w:t>
      </w:r>
      <w:r>
        <w:rPr>
          <w:color w:val="231F20"/>
          <w:spacing w:val="-14"/>
          <w:w w:val="105"/>
        </w:rPr>
        <w:t> </w:t>
      </w:r>
      <w:r>
        <w:rPr>
          <w:color w:val="231F20"/>
          <w:w w:val="105"/>
        </w:rPr>
        <w:t>más</w:t>
      </w:r>
      <w:r>
        <w:rPr>
          <w:color w:val="231F20"/>
          <w:spacing w:val="-14"/>
          <w:w w:val="105"/>
        </w:rPr>
        <w:t> </w:t>
      </w:r>
      <w:r>
        <w:rPr>
          <w:color w:val="231F20"/>
          <w:w w:val="105"/>
        </w:rPr>
        <w:t>recursos</w:t>
      </w:r>
      <w:r>
        <w:rPr>
          <w:color w:val="231F20"/>
          <w:spacing w:val="-14"/>
          <w:w w:val="105"/>
        </w:rPr>
        <w:t> </w:t>
      </w:r>
      <w:r>
        <w:rPr>
          <w:color w:val="231F20"/>
          <w:w w:val="105"/>
        </w:rPr>
        <w:t>económi- cos</w:t>
      </w:r>
      <w:r>
        <w:rPr>
          <w:color w:val="231F20"/>
          <w:spacing w:val="-14"/>
          <w:w w:val="105"/>
        </w:rPr>
        <w:t> </w:t>
      </w:r>
      <w:r>
        <w:rPr>
          <w:color w:val="231F20"/>
          <w:w w:val="105"/>
        </w:rPr>
        <w:t>y</w:t>
      </w:r>
      <w:r>
        <w:rPr>
          <w:color w:val="231F20"/>
          <w:spacing w:val="-14"/>
          <w:w w:val="105"/>
        </w:rPr>
        <w:t> </w:t>
      </w:r>
      <w:r>
        <w:rPr>
          <w:color w:val="231F20"/>
          <w:w w:val="105"/>
        </w:rPr>
        <w:t>materiales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lealtad</w:t>
      </w:r>
      <w:r>
        <w:rPr>
          <w:color w:val="231F20"/>
          <w:spacing w:val="-14"/>
          <w:w w:val="105"/>
        </w:rPr>
        <w:t> </w:t>
      </w:r>
      <w:r>
        <w:rPr>
          <w:color w:val="231F20"/>
          <w:spacing w:val="2"/>
          <w:w w:val="105"/>
        </w:rPr>
        <w:t>al</w:t>
      </w:r>
      <w:r>
        <w:rPr>
          <w:color w:val="231F20"/>
          <w:spacing w:val="-14"/>
          <w:w w:val="105"/>
        </w:rPr>
        <w:t> </w:t>
      </w:r>
      <w:r>
        <w:rPr>
          <w:color w:val="231F20"/>
          <w:w w:val="105"/>
        </w:rPr>
        <w:t>partido</w:t>
      </w:r>
      <w:r>
        <w:rPr>
          <w:color w:val="231F20"/>
          <w:spacing w:val="-14"/>
          <w:w w:val="105"/>
        </w:rPr>
        <w:t> </w:t>
      </w:r>
      <w:r>
        <w:rPr>
          <w:color w:val="231F20"/>
          <w:w w:val="105"/>
        </w:rPr>
        <w:t>y</w:t>
      </w:r>
      <w:r>
        <w:rPr>
          <w:color w:val="231F20"/>
          <w:spacing w:val="-14"/>
          <w:w w:val="105"/>
        </w:rPr>
        <w:t> </w:t>
      </w:r>
      <w:r>
        <w:rPr>
          <w:color w:val="231F20"/>
          <w:spacing w:val="2"/>
          <w:w w:val="105"/>
        </w:rPr>
        <w:t>al</w:t>
      </w:r>
      <w:r>
        <w:rPr>
          <w:color w:val="231F20"/>
          <w:spacing w:val="-14"/>
          <w:w w:val="105"/>
        </w:rPr>
        <w:t> </w:t>
      </w:r>
      <w:r>
        <w:rPr>
          <w:color w:val="231F20"/>
          <w:w w:val="105"/>
        </w:rPr>
        <w:t>presidente.</w:t>
      </w:r>
    </w:p>
    <w:p>
      <w:pPr>
        <w:pStyle w:val="BodyText"/>
        <w:spacing w:before="1"/>
        <w:rPr>
          <w:sz w:val="26"/>
        </w:rPr>
      </w:pPr>
    </w:p>
    <w:p>
      <w:pPr>
        <w:pStyle w:val="BodyText"/>
        <w:spacing w:line="285" w:lineRule="auto"/>
        <w:ind w:left="110" w:right="108"/>
        <w:jc w:val="both"/>
      </w:pPr>
      <w:r>
        <w:rPr>
          <w:color w:val="231F20"/>
        </w:rPr>
        <w:t>Hasta finales de la década de los 60, el modelo económico adoptado estimuló y permi-  tió sin dificultades estas prácticas pero antes de que </w:t>
      </w:r>
      <w:r>
        <w:rPr>
          <w:color w:val="231F20"/>
          <w:spacing w:val="2"/>
        </w:rPr>
        <w:t>finalizaran </w:t>
      </w:r>
      <w:r>
        <w:rPr>
          <w:color w:val="231F20"/>
        </w:rPr>
        <w:t>los años 70, el aparato burocrático y la crisis financiera surtieron efectos negativos </w:t>
      </w:r>
      <w:r>
        <w:rPr>
          <w:color w:val="231F20"/>
          <w:spacing w:val="2"/>
        </w:rPr>
        <w:t>al </w:t>
      </w:r>
      <w:r>
        <w:rPr>
          <w:color w:val="231F20"/>
        </w:rPr>
        <w:t>interior del Estado, y la  red clientelar </w:t>
      </w:r>
      <w:r>
        <w:rPr>
          <w:color w:val="231F20"/>
          <w:spacing w:val="-3"/>
        </w:rPr>
        <w:t>pronto </w:t>
      </w:r>
      <w:r>
        <w:rPr>
          <w:color w:val="231F20"/>
        </w:rPr>
        <w:t>comenzó a evidenciar </w:t>
      </w:r>
      <w:r>
        <w:rPr>
          <w:color w:val="231F20"/>
          <w:spacing w:val="2"/>
        </w:rPr>
        <w:t>fallas al </w:t>
      </w:r>
      <w:r>
        <w:rPr>
          <w:color w:val="231F20"/>
        </w:rPr>
        <w:t>darse los primeros triunfos de los partidos  de</w:t>
      </w:r>
      <w:r>
        <w:rPr>
          <w:color w:val="231F20"/>
          <w:spacing w:val="14"/>
        </w:rPr>
        <w:t> </w:t>
      </w:r>
      <w:r>
        <w:rPr>
          <w:color w:val="231F20"/>
        </w:rPr>
        <w:t>oposición.</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9"/>
          <w:w w:val="105"/>
        </w:rPr>
        <w:t> </w:t>
      </w:r>
      <w:r>
        <w:rPr>
          <w:color w:val="231F20"/>
          <w:w w:val="105"/>
        </w:rPr>
        <w:t>desarrollo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alternancia</w:t>
      </w:r>
      <w:r>
        <w:rPr>
          <w:color w:val="231F20"/>
          <w:spacing w:val="-19"/>
          <w:w w:val="105"/>
        </w:rPr>
        <w:t> </w:t>
      </w:r>
      <w:r>
        <w:rPr>
          <w:color w:val="231F20"/>
          <w:w w:val="105"/>
        </w:rPr>
        <w:t>electoral</w:t>
      </w:r>
      <w:r>
        <w:rPr>
          <w:color w:val="231F20"/>
          <w:spacing w:val="-19"/>
          <w:w w:val="105"/>
        </w:rPr>
        <w:t> </w:t>
      </w:r>
      <w:r>
        <w:rPr>
          <w:color w:val="231F20"/>
          <w:w w:val="105"/>
        </w:rPr>
        <w:t>se</w:t>
      </w:r>
      <w:r>
        <w:rPr>
          <w:color w:val="231F20"/>
          <w:spacing w:val="-19"/>
          <w:w w:val="105"/>
        </w:rPr>
        <w:t> </w:t>
      </w:r>
      <w:r>
        <w:rPr>
          <w:color w:val="231F20"/>
          <w:w w:val="105"/>
        </w:rPr>
        <w:t>aceleró</w:t>
      </w:r>
      <w:r>
        <w:rPr>
          <w:color w:val="231F20"/>
          <w:spacing w:val="-19"/>
          <w:w w:val="105"/>
        </w:rPr>
        <w:t> </w:t>
      </w:r>
      <w:r>
        <w:rPr>
          <w:color w:val="231F20"/>
          <w:w w:val="105"/>
        </w:rPr>
        <w:t>a</w:t>
      </w:r>
      <w:r>
        <w:rPr>
          <w:color w:val="231F20"/>
          <w:spacing w:val="-19"/>
          <w:w w:val="105"/>
        </w:rPr>
        <w:t> </w:t>
      </w:r>
      <w:r>
        <w:rPr>
          <w:color w:val="231F20"/>
          <w:w w:val="105"/>
        </w:rPr>
        <w:t>finales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ochenta</w:t>
      </w:r>
      <w:r>
        <w:rPr>
          <w:color w:val="231F20"/>
          <w:spacing w:val="-19"/>
          <w:w w:val="105"/>
        </w:rPr>
        <w:t> </w:t>
      </w:r>
      <w:r>
        <w:rPr>
          <w:color w:val="231F20"/>
          <w:spacing w:val="-7"/>
          <w:w w:val="105"/>
        </w:rPr>
        <w:t>y,</w:t>
      </w:r>
      <w:r>
        <w:rPr>
          <w:color w:val="231F20"/>
          <w:spacing w:val="-19"/>
          <w:w w:val="105"/>
        </w:rPr>
        <w:t> </w:t>
      </w:r>
      <w:r>
        <w:rPr>
          <w:color w:val="231F20"/>
          <w:w w:val="105"/>
        </w:rPr>
        <w:t>aunado</w:t>
      </w:r>
      <w:r>
        <w:rPr>
          <w:color w:val="231F20"/>
          <w:spacing w:val="-19"/>
          <w:w w:val="105"/>
        </w:rPr>
        <w:t> </w:t>
      </w:r>
      <w:r>
        <w:rPr>
          <w:color w:val="231F20"/>
          <w:w w:val="105"/>
        </w:rPr>
        <w:t>a</w:t>
      </w:r>
      <w:r>
        <w:rPr>
          <w:color w:val="231F20"/>
          <w:spacing w:val="-19"/>
          <w:w w:val="105"/>
        </w:rPr>
        <w:t> </w:t>
      </w:r>
      <w:r>
        <w:rPr>
          <w:color w:val="231F20"/>
          <w:w w:val="105"/>
        </w:rPr>
        <w:t>las pugnas en el interior del PRI, llevaron </w:t>
      </w:r>
      <w:r>
        <w:rPr>
          <w:color w:val="231F20"/>
          <w:spacing w:val="2"/>
          <w:w w:val="105"/>
        </w:rPr>
        <w:t>al </w:t>
      </w:r>
      <w:r>
        <w:rPr>
          <w:color w:val="231F20"/>
          <w:w w:val="105"/>
        </w:rPr>
        <w:t>partido debilitarse política y electoralmente, lo</w:t>
      </w:r>
      <w:r>
        <w:rPr>
          <w:color w:val="231F20"/>
          <w:spacing w:val="-11"/>
          <w:w w:val="105"/>
        </w:rPr>
        <w:t> </w:t>
      </w:r>
      <w:r>
        <w:rPr>
          <w:color w:val="231F20"/>
          <w:w w:val="105"/>
        </w:rPr>
        <w:t>que</w:t>
      </w:r>
      <w:r>
        <w:rPr>
          <w:color w:val="231F20"/>
          <w:spacing w:val="-11"/>
          <w:w w:val="105"/>
        </w:rPr>
        <w:t> </w:t>
      </w:r>
      <w:r>
        <w:rPr>
          <w:color w:val="231F20"/>
          <w:w w:val="105"/>
        </w:rPr>
        <w:t>significó</w:t>
      </w:r>
      <w:r>
        <w:rPr>
          <w:color w:val="231F20"/>
          <w:spacing w:val="-11"/>
          <w:w w:val="105"/>
        </w:rPr>
        <w:t> </w:t>
      </w:r>
      <w:r>
        <w:rPr>
          <w:color w:val="231F20"/>
          <w:w w:val="105"/>
        </w:rPr>
        <w:t>la</w:t>
      </w:r>
      <w:r>
        <w:rPr>
          <w:color w:val="231F20"/>
          <w:spacing w:val="-11"/>
          <w:w w:val="105"/>
        </w:rPr>
        <w:t> </w:t>
      </w:r>
      <w:r>
        <w:rPr>
          <w:color w:val="231F20"/>
          <w:w w:val="105"/>
        </w:rPr>
        <w:t>pérdida</w:t>
      </w:r>
      <w:r>
        <w:rPr>
          <w:color w:val="231F20"/>
          <w:spacing w:val="-11"/>
          <w:w w:val="105"/>
        </w:rPr>
        <w:t> </w:t>
      </w:r>
      <w:r>
        <w:rPr>
          <w:color w:val="231F20"/>
          <w:w w:val="105"/>
        </w:rPr>
        <w:t>gradual</w:t>
      </w:r>
      <w:r>
        <w:rPr>
          <w:color w:val="231F20"/>
          <w:spacing w:val="-11"/>
          <w:w w:val="105"/>
        </w:rPr>
        <w:t> </w:t>
      </w:r>
      <w:r>
        <w:rPr>
          <w:color w:val="231F20"/>
          <w:w w:val="105"/>
        </w:rPr>
        <w:t>de</w:t>
      </w:r>
      <w:r>
        <w:rPr>
          <w:color w:val="231F20"/>
          <w:spacing w:val="-11"/>
          <w:w w:val="105"/>
        </w:rPr>
        <w:t> </w:t>
      </w:r>
      <w:r>
        <w:rPr>
          <w:color w:val="231F20"/>
          <w:w w:val="105"/>
        </w:rPr>
        <w:t>espacios</w:t>
      </w:r>
      <w:r>
        <w:rPr>
          <w:color w:val="231F20"/>
          <w:spacing w:val="-11"/>
          <w:w w:val="105"/>
        </w:rPr>
        <w:t> </w:t>
      </w:r>
      <w:r>
        <w:rPr>
          <w:color w:val="231F20"/>
          <w:w w:val="105"/>
        </w:rPr>
        <w:t>gobernados.</w:t>
      </w:r>
      <w:r>
        <w:rPr>
          <w:color w:val="231F20"/>
          <w:spacing w:val="-11"/>
          <w:w w:val="105"/>
        </w:rPr>
        <w:t> </w:t>
      </w:r>
      <w:r>
        <w:rPr>
          <w:color w:val="231F20"/>
          <w:w w:val="105"/>
        </w:rPr>
        <w:t>Para</w:t>
      </w:r>
      <w:r>
        <w:rPr>
          <w:color w:val="231F20"/>
          <w:spacing w:val="-11"/>
          <w:w w:val="105"/>
        </w:rPr>
        <w:t> </w:t>
      </w:r>
      <w:r>
        <w:rPr>
          <w:color w:val="231F20"/>
          <w:spacing w:val="4"/>
          <w:w w:val="105"/>
        </w:rPr>
        <w:t>2000</w:t>
      </w:r>
      <w:r>
        <w:rPr>
          <w:color w:val="231F20"/>
          <w:spacing w:val="-11"/>
          <w:w w:val="105"/>
        </w:rPr>
        <w:t> </w:t>
      </w:r>
      <w:r>
        <w:rPr>
          <w:color w:val="231F20"/>
          <w:w w:val="105"/>
        </w:rPr>
        <w:t>el</w:t>
      </w:r>
      <w:r>
        <w:rPr>
          <w:color w:val="231F20"/>
          <w:spacing w:val="-11"/>
          <w:w w:val="105"/>
        </w:rPr>
        <w:t> </w:t>
      </w:r>
      <w:r>
        <w:rPr>
          <w:color w:val="231F20"/>
          <w:w w:val="105"/>
        </w:rPr>
        <w:t>partido</w:t>
      </w:r>
      <w:r>
        <w:rPr>
          <w:color w:val="231F20"/>
          <w:spacing w:val="-11"/>
          <w:w w:val="105"/>
        </w:rPr>
        <w:t> </w:t>
      </w:r>
      <w:r>
        <w:rPr>
          <w:color w:val="231F20"/>
          <w:w w:val="105"/>
        </w:rPr>
        <w:t>oficial y</w:t>
      </w:r>
      <w:r>
        <w:rPr>
          <w:color w:val="231F20"/>
          <w:spacing w:val="-3"/>
          <w:w w:val="105"/>
        </w:rPr>
        <w:t> </w:t>
      </w:r>
      <w:r>
        <w:rPr>
          <w:color w:val="231F20"/>
          <w:w w:val="105"/>
        </w:rPr>
        <w:t>hegemónico</w:t>
      </w:r>
      <w:r>
        <w:rPr>
          <w:color w:val="231F20"/>
          <w:spacing w:val="-3"/>
          <w:w w:val="105"/>
        </w:rPr>
        <w:t> </w:t>
      </w:r>
      <w:r>
        <w:rPr>
          <w:color w:val="231F20"/>
          <w:w w:val="105"/>
        </w:rPr>
        <w:t>dejó</w:t>
      </w:r>
      <w:r>
        <w:rPr>
          <w:color w:val="231F20"/>
          <w:spacing w:val="-3"/>
          <w:w w:val="105"/>
        </w:rPr>
        <w:t> </w:t>
      </w:r>
      <w:r>
        <w:rPr>
          <w:color w:val="231F20"/>
          <w:w w:val="105"/>
        </w:rPr>
        <w:t>de</w:t>
      </w:r>
      <w:r>
        <w:rPr>
          <w:color w:val="231F20"/>
          <w:spacing w:val="-3"/>
          <w:w w:val="105"/>
        </w:rPr>
        <w:t> </w:t>
      </w:r>
      <w:r>
        <w:rPr>
          <w:color w:val="231F20"/>
          <w:w w:val="105"/>
        </w:rPr>
        <w:t>serlo,</w:t>
      </w:r>
      <w:r>
        <w:rPr>
          <w:color w:val="231F20"/>
          <w:spacing w:val="-3"/>
          <w:w w:val="105"/>
        </w:rPr>
        <w:t> </w:t>
      </w:r>
      <w:r>
        <w:rPr>
          <w:color w:val="231F20"/>
          <w:w w:val="105"/>
        </w:rPr>
        <w:t>pues</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2,427</w:t>
      </w:r>
      <w:r>
        <w:rPr>
          <w:color w:val="231F20"/>
          <w:spacing w:val="-3"/>
          <w:w w:val="105"/>
        </w:rPr>
        <w:t> </w:t>
      </w:r>
      <w:r>
        <w:rPr>
          <w:color w:val="231F20"/>
          <w:w w:val="105"/>
        </w:rPr>
        <w:t>municipios</w:t>
      </w:r>
      <w:r>
        <w:rPr>
          <w:color w:val="231F20"/>
          <w:spacing w:val="-3"/>
          <w:w w:val="105"/>
        </w:rPr>
        <w:t> </w:t>
      </w:r>
      <w:r>
        <w:rPr>
          <w:color w:val="231F20"/>
          <w:w w:val="105"/>
        </w:rPr>
        <w:t>solamente</w:t>
      </w:r>
      <w:r>
        <w:rPr>
          <w:color w:val="231F20"/>
          <w:spacing w:val="-3"/>
          <w:w w:val="105"/>
        </w:rPr>
        <w:t> </w:t>
      </w:r>
      <w:r>
        <w:rPr>
          <w:color w:val="231F20"/>
          <w:w w:val="105"/>
        </w:rPr>
        <w:t>se</w:t>
      </w:r>
      <w:r>
        <w:rPr>
          <w:color w:val="231F20"/>
          <w:spacing w:val="-3"/>
          <w:w w:val="105"/>
        </w:rPr>
        <w:t> </w:t>
      </w:r>
      <w:r>
        <w:rPr>
          <w:color w:val="231F20"/>
          <w:w w:val="105"/>
        </w:rPr>
        <w:t>mantuvo</w:t>
      </w:r>
      <w:r>
        <w:rPr>
          <w:color w:val="231F20"/>
          <w:spacing w:val="-3"/>
          <w:w w:val="105"/>
        </w:rPr>
        <w:t> </w:t>
      </w:r>
      <w:r>
        <w:rPr>
          <w:color w:val="231F20"/>
          <w:w w:val="105"/>
        </w:rPr>
        <w:t>en</w:t>
      </w:r>
      <w:r>
        <w:rPr>
          <w:color w:val="231F20"/>
          <w:spacing w:val="-3"/>
          <w:w w:val="105"/>
        </w:rPr>
        <w:t> </w:t>
      </w:r>
      <w:r>
        <w:rPr>
          <w:color w:val="231F20"/>
          <w:w w:val="105"/>
        </w:rPr>
        <w:t>el poder</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44%</w:t>
      </w:r>
      <w:r>
        <w:rPr>
          <w:color w:val="231F20"/>
          <w:spacing w:val="-29"/>
          <w:w w:val="105"/>
        </w:rPr>
        <w:t> </w:t>
      </w:r>
      <w:r>
        <w:rPr>
          <w:color w:val="231F20"/>
          <w:spacing w:val="-5"/>
          <w:w w:val="105"/>
        </w:rPr>
        <w:t>(1,070).</w:t>
      </w:r>
    </w:p>
    <w:p>
      <w:pPr>
        <w:pStyle w:val="BodyText"/>
        <w:spacing w:before="1"/>
        <w:rPr>
          <w:sz w:val="26"/>
        </w:rPr>
      </w:pPr>
    </w:p>
    <w:p>
      <w:pPr>
        <w:pStyle w:val="BodyText"/>
        <w:spacing w:line="285" w:lineRule="auto"/>
        <w:ind w:left="110" w:right="108"/>
        <w:jc w:val="both"/>
      </w:pPr>
      <w:r>
        <w:rPr>
          <w:color w:val="231F20"/>
          <w:w w:val="105"/>
        </w:rPr>
        <w:t>Entonces, </w:t>
      </w:r>
      <w:r>
        <w:rPr>
          <w:color w:val="231F20"/>
          <w:spacing w:val="2"/>
          <w:w w:val="105"/>
        </w:rPr>
        <w:t>tal </w:t>
      </w:r>
      <w:r>
        <w:rPr>
          <w:color w:val="231F20"/>
          <w:w w:val="105"/>
        </w:rPr>
        <w:t>vez reconociendo los errores y excesos, el PRI vio necesario reformar- se para continuar en la contienda electoral y en el escenario nacional, así en la </w:t>
      </w:r>
      <w:r>
        <w:rPr>
          <w:color w:val="231F20"/>
          <w:spacing w:val="2"/>
          <w:w w:val="105"/>
        </w:rPr>
        <w:t>XVIII </w:t>
      </w:r>
      <w:r>
        <w:rPr>
          <w:color w:val="231F20"/>
          <w:w w:val="105"/>
        </w:rPr>
        <w:t>Asamblea</w:t>
      </w:r>
      <w:r>
        <w:rPr>
          <w:color w:val="231F20"/>
          <w:spacing w:val="-9"/>
          <w:w w:val="105"/>
        </w:rPr>
        <w:t> </w:t>
      </w:r>
      <w:r>
        <w:rPr>
          <w:color w:val="231F20"/>
          <w:w w:val="105"/>
        </w:rPr>
        <w:t>Nacional</w:t>
      </w:r>
      <w:r>
        <w:rPr>
          <w:color w:val="231F20"/>
          <w:spacing w:val="-9"/>
          <w:w w:val="105"/>
        </w:rPr>
        <w:t> </w:t>
      </w:r>
      <w:r>
        <w:rPr>
          <w:color w:val="231F20"/>
          <w:w w:val="105"/>
        </w:rPr>
        <w:t>priísta</w:t>
      </w:r>
      <w:r>
        <w:rPr>
          <w:color w:val="231F20"/>
          <w:spacing w:val="-9"/>
          <w:w w:val="105"/>
        </w:rPr>
        <w:t> </w:t>
      </w:r>
      <w:r>
        <w:rPr>
          <w:color w:val="231F20"/>
          <w:w w:val="105"/>
        </w:rPr>
        <w:t>celebrada</w:t>
      </w:r>
      <w:r>
        <w:rPr>
          <w:color w:val="231F20"/>
          <w:spacing w:val="-9"/>
          <w:w w:val="105"/>
        </w:rPr>
        <w:t> </w:t>
      </w:r>
      <w:r>
        <w:rPr>
          <w:color w:val="231F20"/>
          <w:w w:val="105"/>
        </w:rPr>
        <w:t>en</w:t>
      </w:r>
      <w:r>
        <w:rPr>
          <w:color w:val="231F20"/>
          <w:spacing w:val="-9"/>
          <w:w w:val="105"/>
        </w:rPr>
        <w:t> </w:t>
      </w:r>
      <w:r>
        <w:rPr>
          <w:color w:val="231F20"/>
          <w:w w:val="105"/>
        </w:rPr>
        <w:t>2001,</w:t>
      </w:r>
      <w:r>
        <w:rPr>
          <w:color w:val="231F20"/>
          <w:spacing w:val="-9"/>
          <w:w w:val="105"/>
        </w:rPr>
        <w:t> </w:t>
      </w:r>
      <w:r>
        <w:rPr>
          <w:color w:val="231F20"/>
          <w:w w:val="105"/>
        </w:rPr>
        <w:t>los</w:t>
      </w:r>
      <w:r>
        <w:rPr>
          <w:color w:val="231F20"/>
          <w:spacing w:val="-9"/>
          <w:w w:val="105"/>
        </w:rPr>
        <w:t> </w:t>
      </w:r>
      <w:r>
        <w:rPr>
          <w:color w:val="231F20"/>
          <w:w w:val="105"/>
        </w:rPr>
        <w:t>intereses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líderes</w:t>
      </w:r>
      <w:r>
        <w:rPr>
          <w:color w:val="231F20"/>
          <w:spacing w:val="-9"/>
          <w:w w:val="105"/>
        </w:rPr>
        <w:t> </w:t>
      </w:r>
      <w:r>
        <w:rPr>
          <w:color w:val="231F20"/>
          <w:w w:val="105"/>
        </w:rPr>
        <w:t>convergieron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en torno a un cambio interno profundo porque ya no se encontraban frente a un país en conflicto, sino en uno que ya se encontraba en un desarrollo económico visible y además</w:t>
      </w:r>
      <w:r>
        <w:rPr>
          <w:color w:val="231F20"/>
          <w:spacing w:val="-7"/>
          <w:w w:val="105"/>
        </w:rPr>
        <w:t> </w:t>
      </w:r>
      <w:r>
        <w:rPr>
          <w:color w:val="231F20"/>
          <w:w w:val="105"/>
        </w:rPr>
        <w:t>porque</w:t>
      </w:r>
      <w:r>
        <w:rPr>
          <w:color w:val="231F20"/>
          <w:spacing w:val="-7"/>
          <w:w w:val="105"/>
        </w:rPr>
        <w:t> </w:t>
      </w:r>
      <w:r>
        <w:rPr>
          <w:color w:val="231F20"/>
          <w:w w:val="105"/>
        </w:rPr>
        <w:t>la</w:t>
      </w:r>
      <w:r>
        <w:rPr>
          <w:color w:val="231F20"/>
          <w:spacing w:val="-7"/>
          <w:w w:val="105"/>
        </w:rPr>
        <w:t> </w:t>
      </w:r>
      <w:r>
        <w:rPr>
          <w:color w:val="231F20"/>
          <w:w w:val="105"/>
        </w:rPr>
        <w:t>pérdida</w:t>
      </w:r>
      <w:r>
        <w:rPr>
          <w:color w:val="231F20"/>
          <w:spacing w:val="-7"/>
          <w:w w:val="105"/>
        </w:rPr>
        <w:t> </w:t>
      </w:r>
      <w:r>
        <w:rPr>
          <w:color w:val="231F20"/>
          <w:w w:val="105"/>
        </w:rPr>
        <w:t>de</w:t>
      </w:r>
      <w:r>
        <w:rPr>
          <w:color w:val="231F20"/>
          <w:spacing w:val="-7"/>
          <w:w w:val="105"/>
        </w:rPr>
        <w:t> </w:t>
      </w:r>
      <w:r>
        <w:rPr>
          <w:color w:val="231F20"/>
          <w:w w:val="105"/>
        </w:rPr>
        <w:t>legitimidad</w:t>
      </w:r>
      <w:r>
        <w:rPr>
          <w:color w:val="231F20"/>
          <w:spacing w:val="-7"/>
          <w:w w:val="105"/>
        </w:rPr>
        <w:t> </w:t>
      </w:r>
      <w:r>
        <w:rPr>
          <w:color w:val="231F20"/>
          <w:w w:val="105"/>
        </w:rPr>
        <w:t>social</w:t>
      </w:r>
      <w:r>
        <w:rPr>
          <w:color w:val="231F20"/>
          <w:spacing w:val="-7"/>
          <w:w w:val="105"/>
        </w:rPr>
        <w:t> </w:t>
      </w:r>
      <w:r>
        <w:rPr>
          <w:color w:val="231F20"/>
          <w:w w:val="105"/>
        </w:rPr>
        <w:t>evidenciaba</w:t>
      </w:r>
      <w:r>
        <w:rPr>
          <w:color w:val="231F20"/>
          <w:spacing w:val="-7"/>
          <w:w w:val="105"/>
        </w:rPr>
        <w:t> </w:t>
      </w:r>
      <w:r>
        <w:rPr>
          <w:color w:val="231F20"/>
          <w:spacing w:val="2"/>
          <w:w w:val="105"/>
        </w:rPr>
        <w:t>fallas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estructura</w:t>
      </w:r>
      <w:r>
        <w:rPr>
          <w:color w:val="231F20"/>
          <w:spacing w:val="-7"/>
          <w:w w:val="105"/>
        </w:rPr>
        <w:t> </w:t>
      </w:r>
      <w:r>
        <w:rPr>
          <w:color w:val="231F20"/>
          <w:w w:val="105"/>
        </w:rPr>
        <w:t>y</w:t>
      </w:r>
      <w:r>
        <w:rPr>
          <w:color w:val="231F20"/>
          <w:spacing w:val="-7"/>
          <w:w w:val="105"/>
        </w:rPr>
        <w:t> </w:t>
      </w:r>
      <w:r>
        <w:rPr>
          <w:color w:val="231F20"/>
          <w:w w:val="105"/>
        </w:rPr>
        <w:t>en la</w:t>
      </w:r>
      <w:r>
        <w:rPr>
          <w:color w:val="231F20"/>
          <w:spacing w:val="-34"/>
          <w:w w:val="105"/>
        </w:rPr>
        <w:t> </w:t>
      </w:r>
      <w:r>
        <w:rPr>
          <w:color w:val="231F20"/>
          <w:w w:val="105"/>
        </w:rPr>
        <w:t>consolidación</w:t>
      </w:r>
      <w:r>
        <w:rPr>
          <w:color w:val="231F20"/>
          <w:spacing w:val="-34"/>
          <w:w w:val="105"/>
        </w:rPr>
        <w:t> </w:t>
      </w:r>
      <w:r>
        <w:rPr>
          <w:color w:val="231F20"/>
          <w:w w:val="105"/>
        </w:rPr>
        <w:t>de</w:t>
      </w:r>
      <w:r>
        <w:rPr>
          <w:color w:val="231F20"/>
          <w:spacing w:val="-34"/>
          <w:w w:val="105"/>
        </w:rPr>
        <w:t> </w:t>
      </w:r>
      <w:r>
        <w:rPr>
          <w:color w:val="231F20"/>
          <w:w w:val="105"/>
        </w:rPr>
        <w:t>ideología.</w:t>
      </w:r>
    </w:p>
    <w:p>
      <w:pPr>
        <w:pStyle w:val="BodyText"/>
        <w:spacing w:before="1"/>
        <w:rPr>
          <w:sz w:val="26"/>
        </w:rPr>
      </w:pPr>
    </w:p>
    <w:p>
      <w:pPr>
        <w:pStyle w:val="BodyText"/>
        <w:spacing w:line="285" w:lineRule="auto"/>
        <w:ind w:left="110" w:right="108"/>
        <w:jc w:val="both"/>
      </w:pPr>
      <w:r>
        <w:rPr>
          <w:color w:val="231F20"/>
          <w:w w:val="105"/>
        </w:rPr>
        <w:t>Entre</w:t>
      </w:r>
      <w:r>
        <w:rPr>
          <w:color w:val="231F20"/>
          <w:spacing w:val="-5"/>
          <w:w w:val="105"/>
        </w:rPr>
        <w:t> </w:t>
      </w:r>
      <w:r>
        <w:rPr>
          <w:color w:val="231F20"/>
          <w:w w:val="105"/>
        </w:rPr>
        <w:t>los</w:t>
      </w:r>
      <w:r>
        <w:rPr>
          <w:color w:val="231F20"/>
          <w:spacing w:val="-5"/>
          <w:w w:val="105"/>
        </w:rPr>
        <w:t> </w:t>
      </w:r>
      <w:r>
        <w:rPr>
          <w:color w:val="231F20"/>
          <w:w w:val="105"/>
        </w:rPr>
        <w:t>problemas</w:t>
      </w:r>
      <w:r>
        <w:rPr>
          <w:color w:val="231F20"/>
          <w:spacing w:val="-5"/>
          <w:w w:val="105"/>
        </w:rPr>
        <w:t> </w:t>
      </w:r>
      <w:r>
        <w:rPr>
          <w:color w:val="231F20"/>
          <w:w w:val="105"/>
        </w:rPr>
        <w:t>internos</w:t>
      </w:r>
      <w:r>
        <w:rPr>
          <w:color w:val="231F20"/>
          <w:spacing w:val="-5"/>
          <w:w w:val="105"/>
        </w:rPr>
        <w:t> </w:t>
      </w:r>
      <w:r>
        <w:rPr>
          <w:color w:val="231F20"/>
          <w:w w:val="105"/>
        </w:rPr>
        <w:t>que</w:t>
      </w:r>
      <w:r>
        <w:rPr>
          <w:color w:val="231F20"/>
          <w:spacing w:val="-5"/>
          <w:w w:val="105"/>
        </w:rPr>
        <w:t> </w:t>
      </w:r>
      <w:r>
        <w:rPr>
          <w:color w:val="231F20"/>
          <w:w w:val="105"/>
        </w:rPr>
        <w:t>tenía</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w w:val="105"/>
        </w:rPr>
        <w:t>fue</w:t>
      </w:r>
      <w:r>
        <w:rPr>
          <w:color w:val="231F20"/>
          <w:spacing w:val="-5"/>
          <w:w w:val="105"/>
        </w:rPr>
        <w:t> </w:t>
      </w:r>
      <w:r>
        <w:rPr>
          <w:color w:val="231F20"/>
          <w:w w:val="105"/>
        </w:rPr>
        <w:t>el</w:t>
      </w:r>
      <w:r>
        <w:rPr>
          <w:color w:val="231F20"/>
          <w:spacing w:val="-5"/>
          <w:w w:val="105"/>
        </w:rPr>
        <w:t> </w:t>
      </w:r>
      <w:r>
        <w:rPr>
          <w:color w:val="231F20"/>
          <w:w w:val="105"/>
        </w:rPr>
        <w:t>proceso</w:t>
      </w:r>
      <w:r>
        <w:rPr>
          <w:color w:val="231F20"/>
          <w:spacing w:val="-5"/>
          <w:w w:val="105"/>
        </w:rPr>
        <w:t> </w:t>
      </w:r>
      <w:r>
        <w:rPr>
          <w:color w:val="231F20"/>
          <w:w w:val="105"/>
        </w:rPr>
        <w:t>de</w:t>
      </w:r>
      <w:r>
        <w:rPr>
          <w:color w:val="231F20"/>
          <w:spacing w:val="-5"/>
          <w:w w:val="105"/>
        </w:rPr>
        <w:t> </w:t>
      </w:r>
      <w:r>
        <w:rPr>
          <w:color w:val="231F20"/>
          <w:w w:val="105"/>
        </w:rPr>
        <w:t>selección</w:t>
      </w:r>
      <w:r>
        <w:rPr>
          <w:color w:val="231F20"/>
          <w:spacing w:val="-5"/>
          <w:w w:val="105"/>
        </w:rPr>
        <w:t> </w:t>
      </w:r>
      <w:r>
        <w:rPr>
          <w:color w:val="231F20"/>
          <w:w w:val="105"/>
        </w:rPr>
        <w:t>de</w:t>
      </w:r>
      <w:r>
        <w:rPr>
          <w:color w:val="231F20"/>
          <w:spacing w:val="-5"/>
          <w:w w:val="105"/>
        </w:rPr>
        <w:t> </w:t>
      </w:r>
      <w:r>
        <w:rPr>
          <w:color w:val="231F20"/>
          <w:w w:val="105"/>
        </w:rPr>
        <w:t>cargos y</w:t>
      </w:r>
      <w:r>
        <w:rPr>
          <w:color w:val="231F20"/>
          <w:spacing w:val="-6"/>
          <w:w w:val="105"/>
        </w:rPr>
        <w:t> </w:t>
      </w:r>
      <w:r>
        <w:rPr>
          <w:color w:val="231F20"/>
          <w:w w:val="105"/>
        </w:rPr>
        <w:t>candidatos,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caracterizó</w:t>
      </w:r>
      <w:r>
        <w:rPr>
          <w:color w:val="231F20"/>
          <w:spacing w:val="-6"/>
          <w:w w:val="105"/>
        </w:rPr>
        <w:t> </w:t>
      </w:r>
      <w:r>
        <w:rPr>
          <w:color w:val="231F20"/>
          <w:w w:val="105"/>
        </w:rPr>
        <w:t>por</w:t>
      </w:r>
      <w:r>
        <w:rPr>
          <w:color w:val="231F20"/>
          <w:spacing w:val="-6"/>
          <w:w w:val="105"/>
        </w:rPr>
        <w:t> </w:t>
      </w:r>
      <w:r>
        <w:rPr>
          <w:color w:val="231F20"/>
          <w:w w:val="105"/>
        </w:rPr>
        <w:t>rasgos</w:t>
      </w:r>
      <w:r>
        <w:rPr>
          <w:color w:val="231F20"/>
          <w:spacing w:val="-6"/>
          <w:w w:val="105"/>
        </w:rPr>
        <w:t> </w:t>
      </w:r>
      <w:r>
        <w:rPr>
          <w:color w:val="231F20"/>
          <w:w w:val="105"/>
        </w:rPr>
        <w:t>netamente</w:t>
      </w:r>
      <w:r>
        <w:rPr>
          <w:color w:val="231F20"/>
          <w:spacing w:val="-6"/>
          <w:w w:val="105"/>
        </w:rPr>
        <w:t> </w:t>
      </w:r>
      <w:r>
        <w:rPr>
          <w:color w:val="231F20"/>
          <w:w w:val="105"/>
        </w:rPr>
        <w:t>antidemocráticos</w:t>
      </w:r>
      <w:r>
        <w:rPr>
          <w:color w:val="231F20"/>
          <w:spacing w:val="-6"/>
          <w:w w:val="105"/>
        </w:rPr>
        <w:t> </w:t>
      </w:r>
      <w:r>
        <w:rPr>
          <w:color w:val="231F20"/>
          <w:w w:val="105"/>
        </w:rPr>
        <w:t>y</w:t>
      </w:r>
      <w:r>
        <w:rPr>
          <w:color w:val="231F20"/>
          <w:spacing w:val="-6"/>
          <w:w w:val="105"/>
        </w:rPr>
        <w:t> </w:t>
      </w:r>
      <w:r>
        <w:rPr>
          <w:color w:val="231F20"/>
          <w:w w:val="105"/>
        </w:rPr>
        <w:t>que</w:t>
      </w:r>
      <w:r>
        <w:rPr>
          <w:color w:val="231F20"/>
          <w:spacing w:val="-6"/>
          <w:w w:val="105"/>
        </w:rPr>
        <w:t> </w:t>
      </w:r>
      <w:r>
        <w:rPr>
          <w:color w:val="231F20"/>
          <w:w w:val="105"/>
        </w:rPr>
        <w:t>llevaron </w:t>
      </w:r>
      <w:r>
        <w:rPr>
          <w:color w:val="231F20"/>
          <w:spacing w:val="2"/>
          <w:w w:val="105"/>
        </w:rPr>
        <w:t>al </w:t>
      </w:r>
      <w:r>
        <w:rPr>
          <w:color w:val="231F20"/>
          <w:w w:val="105"/>
        </w:rPr>
        <w:t>enfrentamiento entre los diferentes grupos. En cuanto </w:t>
      </w:r>
      <w:r>
        <w:rPr>
          <w:color w:val="231F20"/>
          <w:spacing w:val="2"/>
          <w:w w:val="105"/>
        </w:rPr>
        <w:t>al </w:t>
      </w:r>
      <w:r>
        <w:rPr>
          <w:color w:val="231F20"/>
          <w:w w:val="105"/>
        </w:rPr>
        <w:t>ejercicio público, también reflexionaron</w:t>
      </w:r>
      <w:r>
        <w:rPr>
          <w:color w:val="231F20"/>
          <w:spacing w:val="-19"/>
          <w:w w:val="105"/>
        </w:rPr>
        <w:t> </w:t>
      </w:r>
      <w:r>
        <w:rPr>
          <w:color w:val="231F20"/>
          <w:w w:val="105"/>
        </w:rPr>
        <w:t>sobre</w:t>
      </w:r>
      <w:r>
        <w:rPr>
          <w:color w:val="231F20"/>
          <w:spacing w:val="-19"/>
          <w:w w:val="105"/>
        </w:rPr>
        <w:t> </w:t>
      </w:r>
      <w:r>
        <w:rPr>
          <w:color w:val="231F20"/>
          <w:w w:val="105"/>
        </w:rPr>
        <w:t>las</w:t>
      </w:r>
      <w:r>
        <w:rPr>
          <w:color w:val="231F20"/>
          <w:spacing w:val="-19"/>
          <w:w w:val="105"/>
        </w:rPr>
        <w:t> </w:t>
      </w:r>
      <w:r>
        <w:rPr>
          <w:color w:val="231F20"/>
          <w:spacing w:val="2"/>
          <w:w w:val="105"/>
        </w:rPr>
        <w:t>fallas</w:t>
      </w:r>
      <w:r>
        <w:rPr>
          <w:color w:val="231F20"/>
          <w:spacing w:val="-19"/>
          <w:w w:val="105"/>
        </w:rPr>
        <w:t> </w:t>
      </w:r>
      <w:r>
        <w:rPr>
          <w:color w:val="231F20"/>
          <w:w w:val="105"/>
        </w:rPr>
        <w:t>que</w:t>
      </w:r>
      <w:r>
        <w:rPr>
          <w:color w:val="231F20"/>
          <w:spacing w:val="-19"/>
          <w:w w:val="105"/>
        </w:rPr>
        <w:t> </w:t>
      </w:r>
      <w:r>
        <w:rPr>
          <w:color w:val="231F20"/>
          <w:w w:val="105"/>
        </w:rPr>
        <w:t>como</w:t>
      </w:r>
      <w:r>
        <w:rPr>
          <w:color w:val="231F20"/>
          <w:spacing w:val="-19"/>
          <w:w w:val="105"/>
        </w:rPr>
        <w:t> </w:t>
      </w:r>
      <w:r>
        <w:rPr>
          <w:color w:val="231F20"/>
          <w:w w:val="105"/>
        </w:rPr>
        <w:t>gobiernos</w:t>
      </w:r>
      <w:r>
        <w:rPr>
          <w:color w:val="231F20"/>
          <w:spacing w:val="-19"/>
          <w:w w:val="105"/>
        </w:rPr>
        <w:t> </w:t>
      </w:r>
      <w:r>
        <w:rPr>
          <w:color w:val="231F20"/>
          <w:w w:val="105"/>
        </w:rPr>
        <w:t>tuvieron</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llevaron</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pérdida</w:t>
      </w:r>
      <w:r>
        <w:rPr>
          <w:color w:val="231F20"/>
          <w:spacing w:val="-19"/>
          <w:w w:val="105"/>
        </w:rPr>
        <w:t> </w:t>
      </w:r>
      <w:r>
        <w:rPr>
          <w:color w:val="231F20"/>
          <w:w w:val="105"/>
        </w:rPr>
        <w:t>de </w:t>
      </w:r>
      <w:r>
        <w:rPr>
          <w:color w:val="231F20"/>
        </w:rPr>
        <w:t>legitimidad</w:t>
      </w:r>
      <w:r>
        <w:rPr>
          <w:color w:val="231F20"/>
          <w:spacing w:val="35"/>
        </w:rPr>
        <w:t> </w:t>
      </w:r>
      <w:r>
        <w:rPr>
          <w:color w:val="231F20"/>
        </w:rPr>
        <w:t>social.</w:t>
      </w:r>
    </w:p>
    <w:p>
      <w:pPr>
        <w:pStyle w:val="BodyText"/>
        <w:spacing w:before="1"/>
        <w:rPr>
          <w:sz w:val="26"/>
        </w:rPr>
      </w:pPr>
    </w:p>
    <w:p>
      <w:pPr>
        <w:pStyle w:val="BodyText"/>
        <w:spacing w:line="285" w:lineRule="auto"/>
        <w:ind w:left="110" w:right="108"/>
        <w:jc w:val="both"/>
      </w:pPr>
      <w:r>
        <w:rPr>
          <w:color w:val="231F20"/>
          <w:w w:val="105"/>
        </w:rPr>
        <w:t>Mientras</w:t>
      </w:r>
      <w:r>
        <w:rPr>
          <w:color w:val="231F20"/>
          <w:spacing w:val="-10"/>
          <w:w w:val="105"/>
        </w:rPr>
        <w:t> </w:t>
      </w:r>
      <w:r>
        <w:rPr>
          <w:color w:val="231F20"/>
          <w:w w:val="105"/>
        </w:rPr>
        <w:t>en</w:t>
      </w:r>
      <w:r>
        <w:rPr>
          <w:color w:val="231F20"/>
          <w:spacing w:val="-10"/>
          <w:w w:val="105"/>
        </w:rPr>
        <w:t> </w:t>
      </w:r>
      <w:r>
        <w:rPr>
          <w:color w:val="231F20"/>
          <w:spacing w:val="-3"/>
          <w:w w:val="105"/>
        </w:rPr>
        <w:t>1929</w:t>
      </w:r>
      <w:r>
        <w:rPr>
          <w:color w:val="231F20"/>
          <w:spacing w:val="-10"/>
          <w:w w:val="105"/>
        </w:rPr>
        <w:t> </w:t>
      </w:r>
      <w:r>
        <w:rPr>
          <w:color w:val="231F20"/>
          <w:w w:val="105"/>
        </w:rPr>
        <w:t>la</w:t>
      </w:r>
      <w:r>
        <w:rPr>
          <w:color w:val="231F20"/>
          <w:spacing w:val="-10"/>
          <w:w w:val="105"/>
        </w:rPr>
        <w:t> </w:t>
      </w:r>
      <w:r>
        <w:rPr>
          <w:color w:val="231F20"/>
          <w:w w:val="105"/>
        </w:rPr>
        <w:t>preocupación</w:t>
      </w:r>
      <w:r>
        <w:rPr>
          <w:color w:val="231F20"/>
          <w:spacing w:val="-10"/>
          <w:w w:val="105"/>
        </w:rPr>
        <w:t> </w:t>
      </w:r>
      <w:r>
        <w:rPr>
          <w:color w:val="231F20"/>
          <w:w w:val="105"/>
        </w:rPr>
        <w:t>fue</w:t>
      </w:r>
      <w:r>
        <w:rPr>
          <w:color w:val="231F20"/>
          <w:spacing w:val="-10"/>
          <w:w w:val="105"/>
        </w:rPr>
        <w:t> </w:t>
      </w:r>
      <w:r>
        <w:rPr>
          <w:color w:val="231F20"/>
          <w:w w:val="105"/>
        </w:rPr>
        <w:t>darle</w:t>
      </w:r>
      <w:r>
        <w:rPr>
          <w:color w:val="231F20"/>
          <w:spacing w:val="-10"/>
          <w:w w:val="105"/>
        </w:rPr>
        <w:t> </w:t>
      </w:r>
      <w:r>
        <w:rPr>
          <w:color w:val="231F20"/>
          <w:w w:val="105"/>
        </w:rPr>
        <w:t>orden</w:t>
      </w:r>
      <w:r>
        <w:rPr>
          <w:color w:val="231F20"/>
          <w:spacing w:val="-10"/>
          <w:w w:val="105"/>
        </w:rPr>
        <w:t> </w:t>
      </w:r>
      <w:r>
        <w:rPr>
          <w:color w:val="231F20"/>
          <w:w w:val="105"/>
        </w:rPr>
        <w:t>y</w:t>
      </w:r>
      <w:r>
        <w:rPr>
          <w:color w:val="231F20"/>
          <w:spacing w:val="-10"/>
          <w:w w:val="105"/>
        </w:rPr>
        <w:t> </w:t>
      </w:r>
      <w:r>
        <w:rPr>
          <w:color w:val="231F20"/>
          <w:w w:val="105"/>
        </w:rPr>
        <w:t>seguridad</w:t>
      </w:r>
      <w:r>
        <w:rPr>
          <w:color w:val="231F20"/>
          <w:spacing w:val="-10"/>
          <w:w w:val="105"/>
        </w:rPr>
        <w:t> </w:t>
      </w:r>
      <w:r>
        <w:rPr>
          <w:color w:val="231F20"/>
          <w:spacing w:val="2"/>
          <w:w w:val="105"/>
        </w:rPr>
        <w:t>al</w:t>
      </w:r>
      <w:r>
        <w:rPr>
          <w:color w:val="231F20"/>
          <w:spacing w:val="-10"/>
          <w:w w:val="105"/>
        </w:rPr>
        <w:t> </w:t>
      </w:r>
      <w:r>
        <w:rPr>
          <w:color w:val="231F20"/>
          <w:w w:val="105"/>
        </w:rPr>
        <w:t>país,</w:t>
      </w:r>
      <w:r>
        <w:rPr>
          <w:color w:val="231F20"/>
          <w:spacing w:val="-10"/>
          <w:w w:val="105"/>
        </w:rPr>
        <w:t> </w:t>
      </w:r>
      <w:r>
        <w:rPr>
          <w:color w:val="231F20"/>
          <w:w w:val="105"/>
        </w:rPr>
        <w:t>en</w:t>
      </w:r>
      <w:r>
        <w:rPr>
          <w:color w:val="231F20"/>
          <w:spacing w:val="-10"/>
          <w:w w:val="105"/>
        </w:rPr>
        <w:t> </w:t>
      </w:r>
      <w:r>
        <w:rPr>
          <w:color w:val="231F20"/>
          <w:w w:val="105"/>
        </w:rPr>
        <w:t>2001</w:t>
      </w:r>
      <w:r>
        <w:rPr>
          <w:color w:val="231F20"/>
          <w:spacing w:val="-10"/>
          <w:w w:val="105"/>
        </w:rPr>
        <w:t> </w:t>
      </w:r>
      <w:r>
        <w:rPr>
          <w:color w:val="231F20"/>
          <w:w w:val="105"/>
        </w:rPr>
        <w:t>otros</w:t>
      </w:r>
      <w:r>
        <w:rPr>
          <w:color w:val="231F20"/>
          <w:spacing w:val="-10"/>
          <w:w w:val="105"/>
        </w:rPr>
        <w:t> </w:t>
      </w:r>
      <w:r>
        <w:rPr>
          <w:color w:val="231F20"/>
          <w:w w:val="105"/>
        </w:rPr>
        <w:t>te- mas</w:t>
      </w:r>
      <w:r>
        <w:rPr>
          <w:color w:val="231F20"/>
          <w:spacing w:val="-6"/>
          <w:w w:val="105"/>
        </w:rPr>
        <w:t> </w:t>
      </w:r>
      <w:r>
        <w:rPr>
          <w:color w:val="231F20"/>
          <w:w w:val="105"/>
        </w:rPr>
        <w:t>tenían</w:t>
      </w:r>
      <w:r>
        <w:rPr>
          <w:color w:val="231F20"/>
          <w:spacing w:val="-6"/>
          <w:w w:val="105"/>
        </w:rPr>
        <w:t> </w:t>
      </w:r>
      <w:r>
        <w:rPr>
          <w:color w:val="231F20"/>
          <w:w w:val="105"/>
        </w:rPr>
        <w:t>que</w:t>
      </w:r>
      <w:r>
        <w:rPr>
          <w:color w:val="231F20"/>
          <w:spacing w:val="-6"/>
          <w:w w:val="105"/>
        </w:rPr>
        <w:t> </w:t>
      </w:r>
      <w:r>
        <w:rPr>
          <w:color w:val="231F20"/>
          <w:w w:val="105"/>
        </w:rPr>
        <w:t>ser</w:t>
      </w:r>
      <w:r>
        <w:rPr>
          <w:color w:val="231F20"/>
          <w:spacing w:val="-6"/>
          <w:w w:val="105"/>
        </w:rPr>
        <w:t> </w:t>
      </w:r>
      <w:r>
        <w:rPr>
          <w:color w:val="231F20"/>
          <w:w w:val="105"/>
        </w:rPr>
        <w:t>la</w:t>
      </w:r>
      <w:r>
        <w:rPr>
          <w:color w:val="231F20"/>
          <w:spacing w:val="-6"/>
          <w:w w:val="105"/>
        </w:rPr>
        <w:t> </w:t>
      </w:r>
      <w:r>
        <w:rPr>
          <w:color w:val="231F20"/>
          <w:w w:val="105"/>
        </w:rPr>
        <w:t>prioridad</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gobiernos</w:t>
      </w:r>
      <w:r>
        <w:rPr>
          <w:color w:val="231F20"/>
          <w:spacing w:val="-6"/>
          <w:w w:val="105"/>
        </w:rPr>
        <w:t> </w:t>
      </w:r>
      <w:r>
        <w:rPr>
          <w:color w:val="231F20"/>
          <w:w w:val="105"/>
        </w:rPr>
        <w:t>priístas.</w:t>
      </w:r>
      <w:r>
        <w:rPr>
          <w:color w:val="231F20"/>
          <w:spacing w:val="-6"/>
          <w:w w:val="105"/>
        </w:rPr>
        <w:t> </w:t>
      </w:r>
      <w:r>
        <w:rPr>
          <w:color w:val="231F20"/>
          <w:w w:val="105"/>
        </w:rPr>
        <w:t>Educación</w:t>
      </w:r>
      <w:r>
        <w:rPr>
          <w:color w:val="231F20"/>
          <w:spacing w:val="-6"/>
          <w:w w:val="105"/>
        </w:rPr>
        <w:t> </w:t>
      </w:r>
      <w:r>
        <w:rPr>
          <w:color w:val="231F20"/>
          <w:w w:val="105"/>
        </w:rPr>
        <w:t>Pública,</w:t>
      </w:r>
      <w:r>
        <w:rPr>
          <w:color w:val="231F20"/>
          <w:spacing w:val="-6"/>
          <w:w w:val="105"/>
        </w:rPr>
        <w:t> </w:t>
      </w:r>
      <w:r>
        <w:rPr>
          <w:color w:val="231F20"/>
          <w:w w:val="105"/>
        </w:rPr>
        <w:t>Industria, Agricultura, Comunicaciones y Hacienda fueron las prioridades hace más de </w:t>
      </w:r>
      <w:r>
        <w:rPr>
          <w:color w:val="231F20"/>
          <w:spacing w:val="-3"/>
          <w:w w:val="105"/>
        </w:rPr>
        <w:t>70 </w:t>
      </w:r>
      <w:r>
        <w:rPr>
          <w:color w:val="231F20"/>
          <w:w w:val="105"/>
        </w:rPr>
        <w:t>años, pero</w:t>
      </w:r>
      <w:r>
        <w:rPr>
          <w:color w:val="231F20"/>
          <w:spacing w:val="-24"/>
          <w:w w:val="105"/>
        </w:rPr>
        <w:t> </w:t>
      </w:r>
      <w:r>
        <w:rPr>
          <w:color w:val="231F20"/>
          <w:w w:val="105"/>
        </w:rPr>
        <w:t>la</w:t>
      </w:r>
      <w:r>
        <w:rPr>
          <w:color w:val="231F20"/>
          <w:spacing w:val="-24"/>
          <w:w w:val="105"/>
        </w:rPr>
        <w:t> </w:t>
      </w:r>
      <w:r>
        <w:rPr>
          <w:color w:val="231F20"/>
          <w:w w:val="105"/>
        </w:rPr>
        <w:t>Reforma</w:t>
      </w:r>
      <w:r>
        <w:rPr>
          <w:color w:val="231F20"/>
          <w:spacing w:val="-24"/>
          <w:w w:val="105"/>
        </w:rPr>
        <w:t> </w:t>
      </w:r>
      <w:r>
        <w:rPr>
          <w:color w:val="231F20"/>
          <w:w w:val="105"/>
        </w:rPr>
        <w:t>de</w:t>
      </w:r>
      <w:r>
        <w:rPr>
          <w:color w:val="231F20"/>
          <w:spacing w:val="-24"/>
          <w:w w:val="105"/>
        </w:rPr>
        <w:t> </w:t>
      </w:r>
      <w:r>
        <w:rPr>
          <w:color w:val="231F20"/>
          <w:w w:val="105"/>
        </w:rPr>
        <w:t>Estado,</w:t>
      </w:r>
      <w:r>
        <w:rPr>
          <w:color w:val="231F20"/>
          <w:spacing w:val="-24"/>
          <w:w w:val="105"/>
        </w:rPr>
        <w:t> </w:t>
      </w:r>
      <w:r>
        <w:rPr>
          <w:color w:val="231F20"/>
          <w:w w:val="105"/>
        </w:rPr>
        <w:t>Federalismo,</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Derecho,</w:t>
      </w:r>
      <w:r>
        <w:rPr>
          <w:color w:val="231F20"/>
          <w:spacing w:val="-24"/>
          <w:w w:val="105"/>
        </w:rPr>
        <w:t> </w:t>
      </w:r>
      <w:r>
        <w:rPr>
          <w:color w:val="231F20"/>
          <w:w w:val="105"/>
        </w:rPr>
        <w:t>Equilibrio</w:t>
      </w:r>
      <w:r>
        <w:rPr>
          <w:color w:val="231F20"/>
          <w:spacing w:val="-24"/>
          <w:w w:val="105"/>
        </w:rPr>
        <w:t> </w:t>
      </w:r>
      <w:r>
        <w:rPr>
          <w:color w:val="231F20"/>
          <w:w w:val="105"/>
        </w:rPr>
        <w:t>de</w:t>
      </w:r>
      <w:r>
        <w:rPr>
          <w:color w:val="231F20"/>
          <w:spacing w:val="-24"/>
          <w:w w:val="105"/>
        </w:rPr>
        <w:t> </w:t>
      </w:r>
      <w:r>
        <w:rPr>
          <w:color w:val="231F20"/>
          <w:w w:val="105"/>
        </w:rPr>
        <w:t>Poderes,</w:t>
      </w:r>
      <w:r>
        <w:rPr>
          <w:color w:val="231F20"/>
          <w:spacing w:val="-24"/>
          <w:w w:val="105"/>
        </w:rPr>
        <w:t> </w:t>
      </w:r>
      <w:r>
        <w:rPr>
          <w:color w:val="231F20"/>
          <w:w w:val="105"/>
        </w:rPr>
        <w:t>Par- ticipación</w:t>
      </w:r>
      <w:r>
        <w:rPr>
          <w:color w:val="231F20"/>
          <w:spacing w:val="-33"/>
          <w:w w:val="105"/>
        </w:rPr>
        <w:t> </w:t>
      </w:r>
      <w:r>
        <w:rPr>
          <w:color w:val="231F20"/>
          <w:w w:val="105"/>
        </w:rPr>
        <w:t>ciudadana,</w:t>
      </w:r>
      <w:r>
        <w:rPr>
          <w:color w:val="231F20"/>
          <w:spacing w:val="-33"/>
          <w:w w:val="105"/>
        </w:rPr>
        <w:t> </w:t>
      </w:r>
      <w:r>
        <w:rPr>
          <w:color w:val="231F20"/>
          <w:w w:val="105"/>
        </w:rPr>
        <w:t>Seguridad</w:t>
      </w:r>
      <w:r>
        <w:rPr>
          <w:color w:val="231F20"/>
          <w:spacing w:val="-33"/>
          <w:w w:val="105"/>
        </w:rPr>
        <w:t> </w:t>
      </w:r>
      <w:r>
        <w:rPr>
          <w:color w:val="231F20"/>
          <w:w w:val="105"/>
        </w:rPr>
        <w:t>pública,</w:t>
      </w:r>
      <w:r>
        <w:rPr>
          <w:color w:val="231F20"/>
          <w:spacing w:val="-33"/>
          <w:w w:val="105"/>
        </w:rPr>
        <w:t> </w:t>
      </w:r>
      <w:r>
        <w:rPr>
          <w:color w:val="231F20"/>
          <w:w w:val="105"/>
        </w:rPr>
        <w:t>Desarrollo</w:t>
      </w:r>
      <w:r>
        <w:rPr>
          <w:color w:val="231F20"/>
          <w:spacing w:val="-33"/>
          <w:w w:val="105"/>
        </w:rPr>
        <w:t> </w:t>
      </w:r>
      <w:r>
        <w:rPr>
          <w:color w:val="231F20"/>
          <w:w w:val="105"/>
        </w:rPr>
        <w:t>regional,</w:t>
      </w:r>
      <w:r>
        <w:rPr>
          <w:color w:val="231F20"/>
          <w:spacing w:val="-33"/>
          <w:w w:val="105"/>
        </w:rPr>
        <w:t> </w:t>
      </w:r>
      <w:r>
        <w:rPr>
          <w:color w:val="231F20"/>
          <w:w w:val="105"/>
        </w:rPr>
        <w:t>Vivienda</w:t>
      </w:r>
      <w:r>
        <w:rPr>
          <w:color w:val="231F20"/>
          <w:spacing w:val="-33"/>
          <w:w w:val="105"/>
        </w:rPr>
        <w:t> </w:t>
      </w:r>
      <w:r>
        <w:rPr>
          <w:color w:val="231F20"/>
          <w:w w:val="105"/>
        </w:rPr>
        <w:t>digna,</w:t>
      </w:r>
      <w:r>
        <w:rPr>
          <w:color w:val="231F20"/>
          <w:spacing w:val="-33"/>
          <w:w w:val="105"/>
        </w:rPr>
        <w:t> </w:t>
      </w:r>
      <w:r>
        <w:rPr>
          <w:color w:val="231F20"/>
          <w:w w:val="105"/>
        </w:rPr>
        <w:t>Soberanía alimentaria, entre otros temas, se convirtieron en problemas que debían de ser atendi- dos</w:t>
      </w:r>
      <w:r>
        <w:rPr>
          <w:color w:val="231F20"/>
          <w:spacing w:val="-17"/>
          <w:w w:val="105"/>
        </w:rPr>
        <w:t> </w:t>
      </w:r>
      <w:r>
        <w:rPr>
          <w:color w:val="231F20"/>
          <w:w w:val="105"/>
        </w:rPr>
        <w:t>con</w:t>
      </w:r>
      <w:r>
        <w:rPr>
          <w:color w:val="231F20"/>
          <w:spacing w:val="-17"/>
          <w:w w:val="105"/>
        </w:rPr>
        <w:t> </w:t>
      </w:r>
      <w:r>
        <w:rPr>
          <w:color w:val="231F20"/>
          <w:w w:val="105"/>
        </w:rPr>
        <w:t>urgencia</w:t>
      </w:r>
      <w:r>
        <w:rPr>
          <w:color w:val="231F20"/>
          <w:spacing w:val="-17"/>
          <w:w w:val="105"/>
        </w:rPr>
        <w:t> </w:t>
      </w:r>
      <w:r>
        <w:rPr>
          <w:color w:val="231F20"/>
          <w:spacing w:val="-5"/>
          <w:w w:val="105"/>
        </w:rPr>
        <w:t>(Ver</w:t>
      </w:r>
      <w:r>
        <w:rPr>
          <w:color w:val="231F20"/>
          <w:spacing w:val="-17"/>
          <w:w w:val="105"/>
        </w:rPr>
        <w:t> </w:t>
      </w:r>
      <w:r>
        <w:rPr>
          <w:color w:val="231F20"/>
          <w:w w:val="105"/>
        </w:rPr>
        <w:t>Cuadro</w:t>
      </w:r>
      <w:r>
        <w:rPr>
          <w:color w:val="231F20"/>
          <w:spacing w:val="-17"/>
          <w:w w:val="105"/>
        </w:rPr>
        <w:t> </w:t>
      </w:r>
      <w:r>
        <w:rPr>
          <w:color w:val="231F20"/>
          <w:spacing w:val="-6"/>
          <w:w w:val="105"/>
        </w:rPr>
        <w:t>16).</w:t>
      </w:r>
    </w:p>
    <w:p>
      <w:pPr>
        <w:spacing w:after="0" w:line="285" w:lineRule="auto"/>
        <w:jc w:val="both"/>
        <w:sectPr>
          <w:pgSz w:w="9640" w:h="12190"/>
          <w:pgMar w:header="0" w:footer="743" w:top="1120" w:bottom="940" w:left="740" w:right="740"/>
        </w:sectPr>
      </w:pPr>
    </w:p>
    <w:p>
      <w:pPr>
        <w:pStyle w:val="Heading5"/>
        <w:spacing w:before="27"/>
        <w:ind w:left="1476"/>
      </w:pPr>
      <w:r>
        <w:rPr>
          <w:color w:val="231F20"/>
        </w:rPr>
        <w:t>Cuadro 16. Programas de acción del PRI: 1929 y  2001.</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29"/>
        <w:gridCol w:w="3296"/>
        <w:gridCol w:w="515"/>
        <w:gridCol w:w="3587"/>
      </w:tblGrid>
      <w:tr>
        <w:trPr>
          <w:trHeight w:val="301" w:hRule="exact"/>
        </w:trPr>
        <w:tc>
          <w:tcPr>
            <w:tcW w:w="529" w:type="dxa"/>
            <w:shd w:val="clear" w:color="auto" w:fill="F3F3F3"/>
          </w:tcPr>
          <w:p>
            <w:pPr/>
          </w:p>
        </w:tc>
        <w:tc>
          <w:tcPr>
            <w:tcW w:w="3296" w:type="dxa"/>
            <w:shd w:val="clear" w:color="auto" w:fill="F3F3F3"/>
          </w:tcPr>
          <w:p>
            <w:pPr>
              <w:pStyle w:val="TableParagraph"/>
              <w:spacing w:line="143" w:lineRule="exact"/>
              <w:ind w:left="152" w:right="152"/>
              <w:jc w:val="center"/>
              <w:rPr>
                <w:b/>
                <w:sz w:val="14"/>
              </w:rPr>
            </w:pPr>
            <w:r>
              <w:rPr>
                <w:b/>
                <w:color w:val="231F20"/>
                <w:w w:val="95"/>
                <w:sz w:val="14"/>
              </w:rPr>
              <w:t>1929</w:t>
            </w:r>
          </w:p>
        </w:tc>
        <w:tc>
          <w:tcPr>
            <w:tcW w:w="4102" w:type="dxa"/>
            <w:gridSpan w:val="2"/>
            <w:shd w:val="clear" w:color="auto" w:fill="F3F3F3"/>
          </w:tcPr>
          <w:p>
            <w:pPr>
              <w:pStyle w:val="TableParagraph"/>
              <w:spacing w:line="143" w:lineRule="exact"/>
              <w:ind w:left="1891" w:right="1891"/>
              <w:jc w:val="center"/>
              <w:rPr>
                <w:b/>
                <w:sz w:val="14"/>
              </w:rPr>
            </w:pPr>
            <w:r>
              <w:rPr>
                <w:b/>
                <w:color w:val="231F20"/>
                <w:w w:val="95"/>
                <w:sz w:val="14"/>
              </w:rPr>
              <w:t>2001</w:t>
            </w:r>
          </w:p>
        </w:tc>
      </w:tr>
      <w:tr>
        <w:trPr>
          <w:trHeight w:val="1185" w:hRule="exact"/>
        </w:trPr>
        <w:tc>
          <w:tcPr>
            <w:tcW w:w="529" w:type="dxa"/>
            <w:vMerge w:val="restart"/>
            <w:textDirection w:val="btLr"/>
          </w:tcPr>
          <w:p>
            <w:pPr>
              <w:pStyle w:val="TableParagraph"/>
              <w:spacing w:before="74"/>
              <w:ind w:left="553"/>
              <w:rPr>
                <w:b/>
                <w:sz w:val="14"/>
              </w:rPr>
            </w:pPr>
            <w:r>
              <w:rPr>
                <w:b/>
                <w:color w:val="231F20"/>
                <w:spacing w:val="1"/>
                <w:w w:val="80"/>
                <w:sz w:val="14"/>
              </w:rPr>
              <w:t>E</w:t>
            </w:r>
            <w:r>
              <w:rPr>
                <w:b/>
                <w:color w:val="231F20"/>
                <w:spacing w:val="2"/>
                <w:w w:val="83"/>
                <w:sz w:val="14"/>
              </w:rPr>
              <w:t>d</w:t>
            </w:r>
            <w:r>
              <w:rPr>
                <w:b/>
                <w:color w:val="231F20"/>
                <w:spacing w:val="2"/>
                <w:w w:val="84"/>
                <w:sz w:val="14"/>
              </w:rPr>
              <w:t>u</w:t>
            </w:r>
            <w:r>
              <w:rPr>
                <w:b/>
                <w:color w:val="231F20"/>
                <w:spacing w:val="4"/>
                <w:w w:val="77"/>
                <w:sz w:val="14"/>
              </w:rPr>
              <w:t>c</w:t>
            </w:r>
            <w:r>
              <w:rPr>
                <w:b/>
                <w:color w:val="231F20"/>
                <w:spacing w:val="1"/>
                <w:w w:val="85"/>
                <w:sz w:val="14"/>
              </w:rPr>
              <w:t>a</w:t>
            </w:r>
            <w:r>
              <w:rPr>
                <w:b/>
                <w:color w:val="231F20"/>
                <w:spacing w:val="3"/>
                <w:w w:val="77"/>
                <w:sz w:val="14"/>
              </w:rPr>
              <w:t>c</w:t>
            </w:r>
            <w:r>
              <w:rPr>
                <w:b/>
                <w:color w:val="231F20"/>
                <w:spacing w:val="2"/>
                <w:w w:val="90"/>
                <w:sz w:val="14"/>
              </w:rPr>
              <w:t>i</w:t>
            </w:r>
            <w:r>
              <w:rPr>
                <w:b/>
                <w:color w:val="231F20"/>
                <w:spacing w:val="2"/>
                <w:w w:val="82"/>
                <w:sz w:val="14"/>
              </w:rPr>
              <w:t>ó</w:t>
            </w:r>
            <w:r>
              <w:rPr>
                <w:b/>
                <w:color w:val="231F20"/>
                <w:w w:val="82"/>
                <w:sz w:val="14"/>
              </w:rPr>
              <w:t>n</w:t>
            </w:r>
            <w:r>
              <w:rPr>
                <w:b/>
                <w:color w:val="231F20"/>
                <w:spacing w:val="-10"/>
                <w:sz w:val="14"/>
              </w:rPr>
              <w:t> </w:t>
            </w:r>
            <w:r>
              <w:rPr>
                <w:b/>
                <w:color w:val="231F20"/>
                <w:spacing w:val="2"/>
                <w:w w:val="85"/>
                <w:sz w:val="14"/>
              </w:rPr>
              <w:t>P</w:t>
            </w:r>
            <w:r>
              <w:rPr>
                <w:b/>
                <w:color w:val="231F20"/>
                <w:spacing w:val="2"/>
                <w:w w:val="84"/>
                <w:sz w:val="14"/>
              </w:rPr>
              <w:t>ú</w:t>
            </w:r>
            <w:r>
              <w:rPr>
                <w:b/>
                <w:color w:val="231F20"/>
                <w:spacing w:val="2"/>
                <w:w w:val="83"/>
                <w:sz w:val="14"/>
              </w:rPr>
              <w:t>b</w:t>
            </w:r>
            <w:r>
              <w:rPr>
                <w:b/>
                <w:color w:val="231F20"/>
                <w:spacing w:val="2"/>
                <w:w w:val="91"/>
                <w:sz w:val="14"/>
              </w:rPr>
              <w:t>l</w:t>
            </w:r>
            <w:r>
              <w:rPr>
                <w:b/>
                <w:color w:val="231F20"/>
                <w:spacing w:val="2"/>
                <w:w w:val="90"/>
                <w:sz w:val="14"/>
              </w:rPr>
              <w:t>i</w:t>
            </w:r>
            <w:r>
              <w:rPr>
                <w:b/>
                <w:color w:val="231F20"/>
                <w:spacing w:val="4"/>
                <w:w w:val="77"/>
                <w:sz w:val="14"/>
              </w:rPr>
              <w:t>c</w:t>
            </w:r>
            <w:r>
              <w:rPr>
                <w:b/>
                <w:color w:val="231F20"/>
                <w:w w:val="85"/>
                <w:sz w:val="14"/>
              </w:rPr>
              <w:t>a</w:t>
            </w:r>
          </w:p>
        </w:tc>
        <w:tc>
          <w:tcPr>
            <w:tcW w:w="3296" w:type="dxa"/>
            <w:vMerge w:val="restart"/>
          </w:tcPr>
          <w:p>
            <w:pPr>
              <w:pStyle w:val="TableParagraph"/>
              <w:spacing w:line="196" w:lineRule="auto"/>
              <w:ind w:right="99" w:hanging="3"/>
              <w:jc w:val="center"/>
              <w:rPr>
                <w:sz w:val="14"/>
              </w:rPr>
            </w:pPr>
            <w:r>
              <w:rPr>
                <w:color w:val="231F20"/>
                <w:w w:val="85"/>
                <w:sz w:val="14"/>
              </w:rPr>
              <w:t>Elevar</w:t>
            </w:r>
            <w:r>
              <w:rPr>
                <w:color w:val="231F20"/>
                <w:spacing w:val="-18"/>
                <w:w w:val="85"/>
                <w:sz w:val="14"/>
              </w:rPr>
              <w:t> </w:t>
            </w:r>
            <w:r>
              <w:rPr>
                <w:color w:val="231F20"/>
                <w:w w:val="85"/>
                <w:sz w:val="14"/>
              </w:rPr>
              <w:t>el</w:t>
            </w:r>
            <w:r>
              <w:rPr>
                <w:color w:val="231F20"/>
                <w:spacing w:val="-18"/>
                <w:w w:val="85"/>
                <w:sz w:val="14"/>
              </w:rPr>
              <w:t> </w:t>
            </w:r>
            <w:r>
              <w:rPr>
                <w:color w:val="231F20"/>
                <w:w w:val="85"/>
                <w:sz w:val="14"/>
              </w:rPr>
              <w:t>nivel</w:t>
            </w:r>
            <w:r>
              <w:rPr>
                <w:color w:val="231F20"/>
                <w:spacing w:val="-18"/>
                <w:w w:val="85"/>
                <w:sz w:val="14"/>
              </w:rPr>
              <w:t> </w:t>
            </w:r>
            <w:r>
              <w:rPr>
                <w:color w:val="231F20"/>
                <w:w w:val="85"/>
                <w:sz w:val="14"/>
              </w:rPr>
              <w:t>cultural</w:t>
            </w:r>
            <w:r>
              <w:rPr>
                <w:color w:val="231F20"/>
                <w:spacing w:val="-18"/>
                <w:w w:val="85"/>
                <w:sz w:val="14"/>
              </w:rPr>
              <w:t> </w:t>
            </w:r>
            <w:r>
              <w:rPr>
                <w:color w:val="231F20"/>
                <w:w w:val="85"/>
                <w:sz w:val="14"/>
              </w:rPr>
              <w:t>del</w:t>
            </w:r>
            <w:r>
              <w:rPr>
                <w:color w:val="231F20"/>
                <w:spacing w:val="-18"/>
                <w:w w:val="85"/>
                <w:sz w:val="14"/>
              </w:rPr>
              <w:t> </w:t>
            </w:r>
            <w:r>
              <w:rPr>
                <w:color w:val="231F20"/>
                <w:w w:val="85"/>
                <w:sz w:val="14"/>
              </w:rPr>
              <w:t>pueblo.</w:t>
            </w:r>
            <w:r>
              <w:rPr>
                <w:color w:val="231F20"/>
                <w:spacing w:val="-18"/>
                <w:w w:val="85"/>
                <w:sz w:val="14"/>
              </w:rPr>
              <w:t> </w:t>
            </w:r>
            <w:r>
              <w:rPr>
                <w:color w:val="231F20"/>
                <w:w w:val="85"/>
                <w:sz w:val="14"/>
              </w:rPr>
              <w:t>Vigorizar</w:t>
            </w:r>
            <w:r>
              <w:rPr>
                <w:color w:val="231F20"/>
                <w:spacing w:val="-18"/>
                <w:w w:val="85"/>
                <w:sz w:val="14"/>
              </w:rPr>
              <w:t> </w:t>
            </w:r>
            <w:r>
              <w:rPr>
                <w:color w:val="231F20"/>
                <w:w w:val="85"/>
                <w:sz w:val="14"/>
              </w:rPr>
              <w:t>el</w:t>
            </w:r>
            <w:r>
              <w:rPr>
                <w:color w:val="231F20"/>
                <w:spacing w:val="-18"/>
                <w:w w:val="85"/>
                <w:sz w:val="14"/>
              </w:rPr>
              <w:t> </w:t>
            </w:r>
            <w:r>
              <w:rPr>
                <w:color w:val="231F20"/>
                <w:w w:val="85"/>
                <w:sz w:val="14"/>
              </w:rPr>
              <w:t>nacionalismo</w:t>
            </w:r>
            <w:r>
              <w:rPr>
                <w:color w:val="231F20"/>
                <w:spacing w:val="-18"/>
                <w:w w:val="85"/>
                <w:sz w:val="14"/>
              </w:rPr>
              <w:t> </w:t>
            </w:r>
            <w:r>
              <w:rPr>
                <w:color w:val="231F20"/>
                <w:w w:val="85"/>
                <w:sz w:val="14"/>
              </w:rPr>
              <w:t>y </w:t>
            </w:r>
            <w:r>
              <w:rPr>
                <w:color w:val="231F20"/>
                <w:w w:val="80"/>
                <w:sz w:val="14"/>
              </w:rPr>
              <w:t>colectividad.</w:t>
            </w:r>
            <w:r>
              <w:rPr>
                <w:color w:val="231F20"/>
                <w:spacing w:val="-15"/>
                <w:w w:val="80"/>
                <w:sz w:val="14"/>
              </w:rPr>
              <w:t> </w:t>
            </w:r>
            <w:r>
              <w:rPr>
                <w:color w:val="231F20"/>
                <w:w w:val="80"/>
                <w:sz w:val="14"/>
              </w:rPr>
              <w:t>Fomento</w:t>
            </w:r>
            <w:r>
              <w:rPr>
                <w:color w:val="231F20"/>
                <w:spacing w:val="-15"/>
                <w:w w:val="80"/>
                <w:sz w:val="14"/>
              </w:rPr>
              <w:t> </w:t>
            </w:r>
            <w:r>
              <w:rPr>
                <w:color w:val="231F20"/>
                <w:w w:val="80"/>
                <w:sz w:val="14"/>
              </w:rPr>
              <w:t>de</w:t>
            </w:r>
            <w:r>
              <w:rPr>
                <w:color w:val="231F20"/>
                <w:spacing w:val="-15"/>
                <w:w w:val="80"/>
                <w:sz w:val="14"/>
              </w:rPr>
              <w:t> </w:t>
            </w:r>
            <w:r>
              <w:rPr>
                <w:color w:val="231F20"/>
                <w:w w:val="80"/>
                <w:sz w:val="14"/>
              </w:rPr>
              <w:t>deportes.</w:t>
            </w:r>
            <w:r>
              <w:rPr>
                <w:color w:val="231F20"/>
                <w:spacing w:val="-15"/>
                <w:w w:val="80"/>
                <w:sz w:val="14"/>
              </w:rPr>
              <w:t> </w:t>
            </w:r>
            <w:r>
              <w:rPr>
                <w:color w:val="231F20"/>
                <w:w w:val="80"/>
                <w:sz w:val="14"/>
              </w:rPr>
              <w:t>Coordinación</w:t>
            </w:r>
            <w:r>
              <w:rPr>
                <w:color w:val="231F20"/>
                <w:spacing w:val="-15"/>
                <w:w w:val="80"/>
                <w:sz w:val="14"/>
              </w:rPr>
              <w:t> </w:t>
            </w:r>
            <w:r>
              <w:rPr>
                <w:color w:val="231F20"/>
                <w:w w:val="80"/>
                <w:sz w:val="14"/>
              </w:rPr>
              <w:t>entre</w:t>
            </w:r>
            <w:r>
              <w:rPr>
                <w:color w:val="231F20"/>
                <w:spacing w:val="-15"/>
                <w:w w:val="80"/>
                <w:sz w:val="14"/>
              </w:rPr>
              <w:t> </w:t>
            </w:r>
            <w:r>
              <w:rPr>
                <w:color w:val="231F20"/>
                <w:w w:val="80"/>
                <w:sz w:val="14"/>
              </w:rPr>
              <w:t>las</w:t>
            </w:r>
            <w:r>
              <w:rPr>
                <w:color w:val="231F20"/>
                <w:spacing w:val="-15"/>
                <w:w w:val="80"/>
                <w:sz w:val="14"/>
              </w:rPr>
              <w:t> </w:t>
            </w:r>
            <w:r>
              <w:rPr>
                <w:color w:val="231F20"/>
                <w:w w:val="80"/>
                <w:sz w:val="14"/>
              </w:rPr>
              <w:t>instancias federal</w:t>
            </w:r>
            <w:r>
              <w:rPr>
                <w:color w:val="231F20"/>
                <w:spacing w:val="-9"/>
                <w:w w:val="80"/>
                <w:sz w:val="14"/>
              </w:rPr>
              <w:t> </w:t>
            </w:r>
            <w:r>
              <w:rPr>
                <w:color w:val="231F20"/>
                <w:w w:val="80"/>
                <w:sz w:val="14"/>
              </w:rPr>
              <w:t>y</w:t>
            </w:r>
            <w:r>
              <w:rPr>
                <w:color w:val="231F20"/>
                <w:spacing w:val="-9"/>
                <w:w w:val="80"/>
                <w:sz w:val="14"/>
              </w:rPr>
              <w:t> </w:t>
            </w:r>
            <w:r>
              <w:rPr>
                <w:color w:val="231F20"/>
                <w:w w:val="80"/>
                <w:sz w:val="14"/>
              </w:rPr>
              <w:t>locales.</w:t>
            </w:r>
            <w:r>
              <w:rPr>
                <w:color w:val="231F20"/>
                <w:spacing w:val="-9"/>
                <w:w w:val="80"/>
                <w:sz w:val="14"/>
              </w:rPr>
              <w:t> </w:t>
            </w:r>
            <w:r>
              <w:rPr>
                <w:color w:val="231F20"/>
                <w:w w:val="80"/>
                <w:sz w:val="14"/>
              </w:rPr>
              <w:t>Educación</w:t>
            </w:r>
            <w:r>
              <w:rPr>
                <w:color w:val="231F20"/>
                <w:spacing w:val="-9"/>
                <w:w w:val="80"/>
                <w:sz w:val="14"/>
              </w:rPr>
              <w:t> </w:t>
            </w:r>
            <w:r>
              <w:rPr>
                <w:color w:val="231F20"/>
                <w:w w:val="80"/>
                <w:sz w:val="14"/>
              </w:rPr>
              <w:t>utilitarista.</w:t>
            </w:r>
            <w:r>
              <w:rPr>
                <w:color w:val="231F20"/>
                <w:spacing w:val="-9"/>
                <w:w w:val="80"/>
                <w:sz w:val="14"/>
              </w:rPr>
              <w:t> </w:t>
            </w:r>
            <w:r>
              <w:rPr>
                <w:color w:val="231F20"/>
                <w:w w:val="80"/>
                <w:sz w:val="14"/>
              </w:rPr>
              <w:t>Vigorizar</w:t>
            </w:r>
            <w:r>
              <w:rPr>
                <w:color w:val="231F20"/>
                <w:spacing w:val="-9"/>
                <w:w w:val="80"/>
                <w:sz w:val="14"/>
              </w:rPr>
              <w:t> </w:t>
            </w:r>
            <w:r>
              <w:rPr>
                <w:color w:val="231F20"/>
                <w:w w:val="80"/>
                <w:sz w:val="14"/>
              </w:rPr>
              <w:t>la</w:t>
            </w:r>
            <w:r>
              <w:rPr>
                <w:color w:val="231F20"/>
                <w:spacing w:val="-9"/>
                <w:w w:val="80"/>
                <w:sz w:val="14"/>
              </w:rPr>
              <w:t> </w:t>
            </w:r>
            <w:r>
              <w:rPr>
                <w:color w:val="231F20"/>
                <w:w w:val="80"/>
                <w:sz w:val="14"/>
              </w:rPr>
              <w:t>cultura</w:t>
            </w:r>
            <w:r>
              <w:rPr>
                <w:color w:val="231F20"/>
                <w:spacing w:val="-9"/>
                <w:w w:val="80"/>
                <w:sz w:val="14"/>
              </w:rPr>
              <w:t> </w:t>
            </w:r>
            <w:r>
              <w:rPr>
                <w:color w:val="231F20"/>
                <w:w w:val="80"/>
                <w:sz w:val="14"/>
              </w:rPr>
              <w:t>indígena. Alfabetización</w:t>
            </w:r>
            <w:r>
              <w:rPr>
                <w:color w:val="231F20"/>
                <w:spacing w:val="-9"/>
                <w:w w:val="80"/>
                <w:sz w:val="14"/>
              </w:rPr>
              <w:t> </w:t>
            </w:r>
            <w:r>
              <w:rPr>
                <w:color w:val="231F20"/>
                <w:w w:val="80"/>
                <w:sz w:val="14"/>
              </w:rPr>
              <w:t>de</w:t>
            </w:r>
            <w:r>
              <w:rPr>
                <w:color w:val="231F20"/>
                <w:spacing w:val="-9"/>
                <w:w w:val="80"/>
                <w:sz w:val="14"/>
              </w:rPr>
              <w:t> </w:t>
            </w:r>
            <w:r>
              <w:rPr>
                <w:color w:val="231F20"/>
                <w:w w:val="80"/>
                <w:sz w:val="14"/>
              </w:rPr>
              <w:t>masas.</w:t>
            </w:r>
            <w:r>
              <w:rPr>
                <w:color w:val="231F20"/>
                <w:spacing w:val="-9"/>
                <w:w w:val="80"/>
                <w:sz w:val="14"/>
              </w:rPr>
              <w:t> </w:t>
            </w:r>
            <w:r>
              <w:rPr>
                <w:color w:val="231F20"/>
                <w:w w:val="80"/>
                <w:sz w:val="14"/>
              </w:rPr>
              <w:t>Fomento</w:t>
            </w:r>
            <w:r>
              <w:rPr>
                <w:color w:val="231F20"/>
                <w:spacing w:val="-9"/>
                <w:w w:val="80"/>
                <w:sz w:val="14"/>
              </w:rPr>
              <w:t> </w:t>
            </w:r>
            <w:r>
              <w:rPr>
                <w:color w:val="231F20"/>
                <w:w w:val="80"/>
                <w:sz w:val="14"/>
              </w:rPr>
              <w:t>de</w:t>
            </w:r>
            <w:r>
              <w:rPr>
                <w:color w:val="231F20"/>
                <w:spacing w:val="-9"/>
                <w:w w:val="80"/>
                <w:sz w:val="14"/>
              </w:rPr>
              <w:t> </w:t>
            </w:r>
            <w:r>
              <w:rPr>
                <w:color w:val="231F20"/>
                <w:w w:val="80"/>
                <w:sz w:val="14"/>
              </w:rPr>
              <w:t>la</w:t>
            </w:r>
            <w:r>
              <w:rPr>
                <w:color w:val="231F20"/>
                <w:spacing w:val="-9"/>
                <w:w w:val="80"/>
                <w:sz w:val="14"/>
              </w:rPr>
              <w:t> </w:t>
            </w:r>
            <w:r>
              <w:rPr>
                <w:color w:val="231F20"/>
                <w:w w:val="80"/>
                <w:sz w:val="14"/>
              </w:rPr>
              <w:t>iniciativa</w:t>
            </w:r>
            <w:r>
              <w:rPr>
                <w:color w:val="231F20"/>
                <w:spacing w:val="-9"/>
                <w:w w:val="80"/>
                <w:sz w:val="14"/>
              </w:rPr>
              <w:t> </w:t>
            </w:r>
            <w:r>
              <w:rPr>
                <w:color w:val="231F20"/>
                <w:w w:val="80"/>
                <w:sz w:val="14"/>
              </w:rPr>
              <w:t>privada</w:t>
            </w:r>
            <w:r>
              <w:rPr>
                <w:color w:val="231F20"/>
                <w:spacing w:val="-9"/>
                <w:w w:val="80"/>
                <w:sz w:val="14"/>
              </w:rPr>
              <w:t> </w:t>
            </w:r>
            <w:r>
              <w:rPr>
                <w:color w:val="231F20"/>
                <w:w w:val="80"/>
                <w:sz w:val="14"/>
              </w:rPr>
              <w:t>para</w:t>
            </w:r>
            <w:r>
              <w:rPr>
                <w:color w:val="231F20"/>
                <w:spacing w:val="-9"/>
                <w:w w:val="80"/>
                <w:sz w:val="14"/>
              </w:rPr>
              <w:t> </w:t>
            </w:r>
            <w:r>
              <w:rPr>
                <w:color w:val="231F20"/>
                <w:w w:val="80"/>
                <w:sz w:val="14"/>
              </w:rPr>
              <w:t>la</w:t>
            </w:r>
            <w:r>
              <w:rPr>
                <w:color w:val="231F20"/>
                <w:spacing w:val="-9"/>
                <w:w w:val="80"/>
                <w:sz w:val="14"/>
              </w:rPr>
              <w:t> </w:t>
            </w:r>
            <w:r>
              <w:rPr>
                <w:color w:val="231F20"/>
                <w:w w:val="80"/>
                <w:sz w:val="14"/>
              </w:rPr>
              <w:t>en- señanza.</w:t>
            </w:r>
            <w:r>
              <w:rPr>
                <w:color w:val="231F20"/>
                <w:spacing w:val="-18"/>
                <w:w w:val="80"/>
                <w:sz w:val="14"/>
              </w:rPr>
              <w:t> </w:t>
            </w:r>
            <w:r>
              <w:rPr>
                <w:color w:val="231F20"/>
                <w:w w:val="80"/>
                <w:sz w:val="14"/>
              </w:rPr>
              <w:t>Construcción</w:t>
            </w:r>
            <w:r>
              <w:rPr>
                <w:color w:val="231F20"/>
                <w:spacing w:val="-18"/>
                <w:w w:val="80"/>
                <w:sz w:val="14"/>
              </w:rPr>
              <w:t> </w:t>
            </w:r>
            <w:r>
              <w:rPr>
                <w:color w:val="231F20"/>
                <w:w w:val="80"/>
                <w:sz w:val="14"/>
              </w:rPr>
              <w:t>de</w:t>
            </w:r>
            <w:r>
              <w:rPr>
                <w:color w:val="231F20"/>
                <w:spacing w:val="-18"/>
                <w:w w:val="80"/>
                <w:sz w:val="14"/>
              </w:rPr>
              <w:t> </w:t>
            </w:r>
            <w:r>
              <w:rPr>
                <w:color w:val="231F20"/>
                <w:w w:val="80"/>
                <w:sz w:val="14"/>
              </w:rPr>
              <w:t>escuelas</w:t>
            </w:r>
            <w:r>
              <w:rPr>
                <w:color w:val="231F20"/>
                <w:spacing w:val="-18"/>
                <w:w w:val="80"/>
                <w:sz w:val="14"/>
              </w:rPr>
              <w:t> </w:t>
            </w:r>
            <w:r>
              <w:rPr>
                <w:color w:val="231F20"/>
                <w:w w:val="80"/>
                <w:sz w:val="14"/>
              </w:rPr>
              <w:t>rurales.</w:t>
            </w:r>
            <w:r>
              <w:rPr>
                <w:color w:val="231F20"/>
                <w:spacing w:val="-18"/>
                <w:w w:val="80"/>
                <w:sz w:val="14"/>
              </w:rPr>
              <w:t> </w:t>
            </w:r>
            <w:r>
              <w:rPr>
                <w:color w:val="231F20"/>
                <w:w w:val="80"/>
                <w:sz w:val="14"/>
              </w:rPr>
              <w:t>Organización</w:t>
            </w:r>
            <w:r>
              <w:rPr>
                <w:color w:val="231F20"/>
                <w:spacing w:val="-18"/>
                <w:w w:val="80"/>
                <w:sz w:val="14"/>
              </w:rPr>
              <w:t> </w:t>
            </w:r>
            <w:r>
              <w:rPr>
                <w:color w:val="231F20"/>
                <w:w w:val="80"/>
                <w:sz w:val="14"/>
              </w:rPr>
              <w:t>de</w:t>
            </w:r>
            <w:r>
              <w:rPr>
                <w:color w:val="231F20"/>
                <w:spacing w:val="-18"/>
                <w:w w:val="80"/>
                <w:sz w:val="14"/>
              </w:rPr>
              <w:t> </w:t>
            </w:r>
            <w:r>
              <w:rPr>
                <w:color w:val="231F20"/>
                <w:w w:val="80"/>
                <w:sz w:val="14"/>
              </w:rPr>
              <w:t>maestros.</w:t>
            </w:r>
          </w:p>
        </w:tc>
        <w:tc>
          <w:tcPr>
            <w:tcW w:w="515" w:type="dxa"/>
            <w:textDirection w:val="btLr"/>
          </w:tcPr>
          <w:p>
            <w:pPr>
              <w:pStyle w:val="TableParagraph"/>
              <w:spacing w:before="74"/>
              <w:ind w:left="113"/>
              <w:rPr>
                <w:b/>
                <w:sz w:val="14"/>
              </w:rPr>
            </w:pPr>
            <w:r>
              <w:rPr>
                <w:b/>
                <w:color w:val="231F20"/>
                <w:spacing w:val="1"/>
                <w:w w:val="83"/>
                <w:sz w:val="14"/>
              </w:rPr>
              <w:t>R</w:t>
            </w:r>
            <w:r>
              <w:rPr>
                <w:b/>
                <w:color w:val="231F20"/>
                <w:spacing w:val="3"/>
                <w:w w:val="85"/>
                <w:sz w:val="14"/>
              </w:rPr>
              <w:t>e</w:t>
            </w:r>
            <w:r>
              <w:rPr>
                <w:b/>
                <w:color w:val="231F20"/>
                <w:spacing w:val="2"/>
                <w:w w:val="85"/>
                <w:sz w:val="14"/>
              </w:rPr>
              <w:t>f</w:t>
            </w:r>
            <w:r>
              <w:rPr>
                <w:b/>
                <w:color w:val="231F20"/>
                <w:spacing w:val="2"/>
                <w:w w:val="80"/>
                <w:sz w:val="14"/>
              </w:rPr>
              <w:t>o</w:t>
            </w:r>
            <w:r>
              <w:rPr>
                <w:b/>
                <w:color w:val="231F20"/>
                <w:spacing w:val="3"/>
                <w:w w:val="83"/>
                <w:sz w:val="14"/>
              </w:rPr>
              <w:t>r</w:t>
            </w:r>
            <w:r>
              <w:rPr>
                <w:b/>
                <w:color w:val="231F20"/>
                <w:spacing w:val="2"/>
                <w:w w:val="83"/>
                <w:sz w:val="14"/>
              </w:rPr>
              <w:t>m</w:t>
            </w:r>
            <w:r>
              <w:rPr>
                <w:b/>
                <w:color w:val="231F20"/>
                <w:w w:val="85"/>
                <w:sz w:val="14"/>
              </w:rPr>
              <w:t>a</w:t>
            </w:r>
            <w:r>
              <w:rPr>
                <w:b/>
                <w:color w:val="231F20"/>
                <w:spacing w:val="-10"/>
                <w:sz w:val="14"/>
              </w:rPr>
              <w:t> </w:t>
            </w:r>
            <w:r>
              <w:rPr>
                <w:b/>
                <w:color w:val="231F20"/>
                <w:spacing w:val="2"/>
                <w:w w:val="83"/>
                <w:sz w:val="14"/>
              </w:rPr>
              <w:t>d</w:t>
            </w:r>
            <w:r>
              <w:rPr>
                <w:b/>
                <w:color w:val="231F20"/>
                <w:w w:val="83"/>
                <w:sz w:val="14"/>
              </w:rPr>
              <w:t>e</w:t>
            </w:r>
            <w:r>
              <w:rPr>
                <w:b/>
                <w:color w:val="231F20"/>
                <w:spacing w:val="-10"/>
                <w:sz w:val="14"/>
              </w:rPr>
              <w:t> </w:t>
            </w:r>
            <w:r>
              <w:rPr>
                <w:b/>
                <w:color w:val="231F20"/>
                <w:spacing w:val="2"/>
                <w:w w:val="83"/>
                <w:sz w:val="14"/>
              </w:rPr>
              <w:t>e</w:t>
            </w:r>
            <w:r>
              <w:rPr>
                <w:b/>
                <w:color w:val="231F20"/>
                <w:spacing w:val="3"/>
                <w:w w:val="81"/>
                <w:sz w:val="14"/>
              </w:rPr>
              <w:t>s</w:t>
            </w:r>
            <w:r>
              <w:rPr>
                <w:b/>
                <w:color w:val="231F20"/>
                <w:spacing w:val="3"/>
                <w:w w:val="87"/>
                <w:sz w:val="14"/>
              </w:rPr>
              <w:t>t</w:t>
            </w:r>
            <w:r>
              <w:rPr>
                <w:b/>
                <w:color w:val="231F20"/>
                <w:spacing w:val="2"/>
                <w:w w:val="87"/>
                <w:sz w:val="14"/>
              </w:rPr>
              <w:t>a</w:t>
            </w:r>
            <w:r>
              <w:rPr>
                <w:b/>
                <w:color w:val="231F20"/>
                <w:spacing w:val="2"/>
                <w:w w:val="83"/>
                <w:sz w:val="14"/>
              </w:rPr>
              <w:t>d</w:t>
            </w:r>
            <w:r>
              <w:rPr>
                <w:b/>
                <w:color w:val="231F20"/>
                <w:w w:val="80"/>
                <w:sz w:val="14"/>
              </w:rPr>
              <w:t>o</w:t>
            </w:r>
          </w:p>
        </w:tc>
        <w:tc>
          <w:tcPr>
            <w:tcW w:w="3587" w:type="dxa"/>
          </w:tcPr>
          <w:p>
            <w:pPr>
              <w:pStyle w:val="TableParagraph"/>
              <w:spacing w:line="127" w:lineRule="exact"/>
              <w:ind w:left="89" w:right="89"/>
              <w:jc w:val="center"/>
              <w:rPr>
                <w:sz w:val="14"/>
              </w:rPr>
            </w:pPr>
            <w:r>
              <w:rPr>
                <w:color w:val="231F20"/>
                <w:w w:val="80"/>
                <w:sz w:val="14"/>
              </w:rPr>
              <w:t>Limitar ejercicio unilateral del poder. Balance entre ejecutivo y legislativo.</w:t>
            </w:r>
          </w:p>
          <w:p>
            <w:pPr>
              <w:pStyle w:val="TableParagraph"/>
              <w:spacing w:line="155" w:lineRule="exact"/>
              <w:ind w:left="89" w:right="88"/>
              <w:jc w:val="center"/>
              <w:rPr>
                <w:sz w:val="14"/>
              </w:rPr>
            </w:pPr>
            <w:r>
              <w:rPr>
                <w:color w:val="231F20"/>
                <w:w w:val="75"/>
                <w:sz w:val="14"/>
              </w:rPr>
              <w:t>Participación  ciudadana.</w:t>
            </w:r>
          </w:p>
        </w:tc>
      </w:tr>
      <w:tr>
        <w:trPr>
          <w:trHeight w:val="836" w:hRule="exact"/>
        </w:trPr>
        <w:tc>
          <w:tcPr>
            <w:tcW w:w="529" w:type="dxa"/>
            <w:vMerge/>
            <w:textDirection w:val="btLr"/>
          </w:tcPr>
          <w:p>
            <w:pPr/>
          </w:p>
        </w:tc>
        <w:tc>
          <w:tcPr>
            <w:tcW w:w="3296" w:type="dxa"/>
            <w:vMerge/>
          </w:tcPr>
          <w:p>
            <w:pPr/>
          </w:p>
        </w:tc>
        <w:tc>
          <w:tcPr>
            <w:tcW w:w="515" w:type="dxa"/>
            <w:textDirection w:val="btLr"/>
          </w:tcPr>
          <w:p>
            <w:pPr>
              <w:pStyle w:val="TableParagraph"/>
              <w:spacing w:before="74"/>
              <w:ind w:left="101"/>
              <w:rPr>
                <w:b/>
                <w:sz w:val="14"/>
              </w:rPr>
            </w:pPr>
            <w:r>
              <w:rPr>
                <w:b/>
                <w:color w:val="231F20"/>
                <w:w w:val="85"/>
                <w:sz w:val="14"/>
              </w:rPr>
              <w:t>F</w:t>
            </w:r>
            <w:r>
              <w:rPr>
                <w:b/>
                <w:color w:val="231F20"/>
                <w:spacing w:val="2"/>
                <w:w w:val="83"/>
                <w:sz w:val="14"/>
              </w:rPr>
              <w:t>e</w:t>
            </w:r>
            <w:r>
              <w:rPr>
                <w:b/>
                <w:color w:val="231F20"/>
                <w:spacing w:val="2"/>
                <w:w w:val="83"/>
                <w:sz w:val="14"/>
              </w:rPr>
              <w:t>d</w:t>
            </w:r>
            <w:r>
              <w:rPr>
                <w:b/>
                <w:color w:val="231F20"/>
                <w:spacing w:val="2"/>
                <w:w w:val="83"/>
                <w:sz w:val="14"/>
              </w:rPr>
              <w:t>e</w:t>
            </w:r>
            <w:r>
              <w:rPr>
                <w:b/>
                <w:color w:val="231F20"/>
                <w:spacing w:val="2"/>
                <w:w w:val="82"/>
                <w:sz w:val="14"/>
              </w:rPr>
              <w:t>r</w:t>
            </w:r>
            <w:r>
              <w:rPr>
                <w:b/>
                <w:color w:val="231F20"/>
                <w:spacing w:val="2"/>
                <w:w w:val="88"/>
                <w:sz w:val="14"/>
              </w:rPr>
              <w:t>ali</w:t>
            </w:r>
            <w:r>
              <w:rPr>
                <w:b/>
                <w:color w:val="231F20"/>
                <w:spacing w:val="2"/>
                <w:w w:val="82"/>
                <w:sz w:val="14"/>
              </w:rPr>
              <w:t>sm</w:t>
            </w:r>
            <w:r>
              <w:rPr>
                <w:b/>
                <w:color w:val="231F20"/>
                <w:w w:val="80"/>
                <w:sz w:val="14"/>
              </w:rPr>
              <w:t>o</w:t>
            </w:r>
          </w:p>
        </w:tc>
        <w:tc>
          <w:tcPr>
            <w:tcW w:w="3587" w:type="dxa"/>
          </w:tcPr>
          <w:p>
            <w:pPr>
              <w:pStyle w:val="TableParagraph"/>
              <w:spacing w:line="196" w:lineRule="auto"/>
              <w:ind w:left="140" w:right="138" w:hanging="1"/>
              <w:jc w:val="center"/>
              <w:rPr>
                <w:sz w:val="14"/>
              </w:rPr>
            </w:pPr>
            <w:r>
              <w:rPr>
                <w:color w:val="231F20"/>
                <w:w w:val="80"/>
                <w:sz w:val="14"/>
              </w:rPr>
              <w:t>Redistribuir</w:t>
            </w:r>
            <w:r>
              <w:rPr>
                <w:color w:val="231F20"/>
                <w:spacing w:val="-11"/>
                <w:w w:val="80"/>
                <w:sz w:val="14"/>
              </w:rPr>
              <w:t> </w:t>
            </w:r>
            <w:r>
              <w:rPr>
                <w:color w:val="231F20"/>
                <w:w w:val="80"/>
                <w:sz w:val="14"/>
              </w:rPr>
              <w:t>el</w:t>
            </w:r>
            <w:r>
              <w:rPr>
                <w:color w:val="231F20"/>
                <w:spacing w:val="-11"/>
                <w:w w:val="80"/>
                <w:sz w:val="14"/>
              </w:rPr>
              <w:t> </w:t>
            </w:r>
            <w:r>
              <w:rPr>
                <w:color w:val="231F20"/>
                <w:w w:val="80"/>
                <w:sz w:val="14"/>
              </w:rPr>
              <w:t>poder</w:t>
            </w:r>
            <w:r>
              <w:rPr>
                <w:color w:val="231F20"/>
                <w:spacing w:val="-11"/>
                <w:w w:val="80"/>
                <w:sz w:val="14"/>
              </w:rPr>
              <w:t> </w:t>
            </w:r>
            <w:r>
              <w:rPr>
                <w:color w:val="231F20"/>
                <w:w w:val="80"/>
                <w:sz w:val="14"/>
              </w:rPr>
              <w:t>entre</w:t>
            </w:r>
            <w:r>
              <w:rPr>
                <w:color w:val="231F20"/>
                <w:spacing w:val="-11"/>
                <w:w w:val="80"/>
                <w:sz w:val="14"/>
              </w:rPr>
              <w:t> </w:t>
            </w:r>
            <w:r>
              <w:rPr>
                <w:color w:val="231F20"/>
                <w:w w:val="80"/>
                <w:sz w:val="14"/>
              </w:rPr>
              <w:t>las</w:t>
            </w:r>
            <w:r>
              <w:rPr>
                <w:color w:val="231F20"/>
                <w:spacing w:val="-11"/>
                <w:w w:val="80"/>
                <w:sz w:val="14"/>
              </w:rPr>
              <w:t> </w:t>
            </w:r>
            <w:r>
              <w:rPr>
                <w:color w:val="231F20"/>
                <w:w w:val="80"/>
                <w:sz w:val="14"/>
              </w:rPr>
              <w:t>tres</w:t>
            </w:r>
            <w:r>
              <w:rPr>
                <w:color w:val="231F20"/>
                <w:spacing w:val="-11"/>
                <w:w w:val="80"/>
                <w:sz w:val="14"/>
              </w:rPr>
              <w:t> </w:t>
            </w:r>
            <w:r>
              <w:rPr>
                <w:color w:val="231F20"/>
                <w:w w:val="80"/>
                <w:sz w:val="14"/>
              </w:rPr>
              <w:t>instancias.</w:t>
            </w:r>
            <w:r>
              <w:rPr>
                <w:color w:val="231F20"/>
                <w:spacing w:val="-11"/>
                <w:w w:val="80"/>
                <w:sz w:val="14"/>
              </w:rPr>
              <w:t> </w:t>
            </w:r>
            <w:r>
              <w:rPr>
                <w:color w:val="231F20"/>
                <w:w w:val="80"/>
                <w:sz w:val="14"/>
              </w:rPr>
              <w:t>Federalismo</w:t>
            </w:r>
            <w:r>
              <w:rPr>
                <w:color w:val="231F20"/>
                <w:spacing w:val="-11"/>
                <w:w w:val="80"/>
                <w:sz w:val="14"/>
              </w:rPr>
              <w:t> </w:t>
            </w:r>
            <w:r>
              <w:rPr>
                <w:color w:val="231F20"/>
                <w:w w:val="80"/>
                <w:sz w:val="14"/>
              </w:rPr>
              <w:t>hacendario. Desarrollo</w:t>
            </w:r>
            <w:r>
              <w:rPr>
                <w:color w:val="231F20"/>
                <w:spacing w:val="-15"/>
                <w:w w:val="80"/>
                <w:sz w:val="14"/>
              </w:rPr>
              <w:t> </w:t>
            </w:r>
            <w:r>
              <w:rPr>
                <w:color w:val="231F20"/>
                <w:w w:val="80"/>
                <w:sz w:val="14"/>
              </w:rPr>
              <w:t>regional.</w:t>
            </w:r>
            <w:r>
              <w:rPr>
                <w:color w:val="231F20"/>
                <w:spacing w:val="-15"/>
                <w:w w:val="80"/>
                <w:sz w:val="14"/>
              </w:rPr>
              <w:t> </w:t>
            </w:r>
            <w:r>
              <w:rPr>
                <w:color w:val="231F20"/>
                <w:w w:val="80"/>
                <w:sz w:val="14"/>
              </w:rPr>
              <w:t>Reconocimiento</w:t>
            </w:r>
            <w:r>
              <w:rPr>
                <w:color w:val="231F20"/>
                <w:spacing w:val="-15"/>
                <w:w w:val="80"/>
                <w:sz w:val="14"/>
              </w:rPr>
              <w:t> </w:t>
            </w:r>
            <w:r>
              <w:rPr>
                <w:color w:val="231F20"/>
                <w:w w:val="80"/>
                <w:sz w:val="14"/>
              </w:rPr>
              <w:t>de</w:t>
            </w:r>
            <w:r>
              <w:rPr>
                <w:color w:val="231F20"/>
                <w:spacing w:val="-15"/>
                <w:w w:val="80"/>
                <w:sz w:val="14"/>
              </w:rPr>
              <w:t> </w:t>
            </w:r>
            <w:r>
              <w:rPr>
                <w:color w:val="231F20"/>
                <w:w w:val="80"/>
                <w:sz w:val="14"/>
              </w:rPr>
              <w:t>capacidad</w:t>
            </w:r>
            <w:r>
              <w:rPr>
                <w:color w:val="231F20"/>
                <w:spacing w:val="-15"/>
                <w:w w:val="80"/>
                <w:sz w:val="14"/>
              </w:rPr>
              <w:t> </w:t>
            </w:r>
            <w:r>
              <w:rPr>
                <w:color w:val="231F20"/>
                <w:w w:val="80"/>
                <w:sz w:val="14"/>
              </w:rPr>
              <w:t>de</w:t>
            </w:r>
            <w:r>
              <w:rPr>
                <w:color w:val="231F20"/>
                <w:spacing w:val="-15"/>
                <w:w w:val="80"/>
                <w:sz w:val="14"/>
              </w:rPr>
              <w:t> </w:t>
            </w:r>
            <w:r>
              <w:rPr>
                <w:color w:val="231F20"/>
                <w:w w:val="80"/>
                <w:sz w:val="14"/>
              </w:rPr>
              <w:t>los</w:t>
            </w:r>
            <w:r>
              <w:rPr>
                <w:color w:val="231F20"/>
                <w:spacing w:val="-15"/>
                <w:w w:val="80"/>
                <w:sz w:val="14"/>
              </w:rPr>
              <w:t> </w:t>
            </w:r>
            <w:r>
              <w:rPr>
                <w:color w:val="231F20"/>
                <w:w w:val="80"/>
                <w:sz w:val="14"/>
              </w:rPr>
              <w:t>estados,</w:t>
            </w:r>
            <w:r>
              <w:rPr>
                <w:color w:val="231F20"/>
                <w:spacing w:val="-15"/>
                <w:w w:val="80"/>
                <w:sz w:val="14"/>
              </w:rPr>
              <w:t> </w:t>
            </w:r>
            <w:r>
              <w:rPr>
                <w:color w:val="231F20"/>
                <w:w w:val="80"/>
                <w:sz w:val="14"/>
              </w:rPr>
              <w:t>D.F.</w:t>
            </w:r>
            <w:r>
              <w:rPr>
                <w:color w:val="231F20"/>
                <w:spacing w:val="-15"/>
                <w:w w:val="80"/>
                <w:sz w:val="14"/>
              </w:rPr>
              <w:t> </w:t>
            </w:r>
            <w:r>
              <w:rPr>
                <w:color w:val="231F20"/>
                <w:w w:val="80"/>
                <w:sz w:val="14"/>
              </w:rPr>
              <w:t>y</w:t>
            </w:r>
            <w:r>
              <w:rPr>
                <w:color w:val="231F20"/>
                <w:spacing w:val="-15"/>
                <w:w w:val="80"/>
                <w:sz w:val="14"/>
              </w:rPr>
              <w:t> </w:t>
            </w:r>
            <w:r>
              <w:rPr>
                <w:color w:val="231F20"/>
                <w:w w:val="80"/>
                <w:sz w:val="14"/>
              </w:rPr>
              <w:t>los municipios.</w:t>
            </w:r>
            <w:r>
              <w:rPr>
                <w:color w:val="231F20"/>
                <w:spacing w:val="-13"/>
                <w:w w:val="80"/>
                <w:sz w:val="14"/>
              </w:rPr>
              <w:t> </w:t>
            </w:r>
            <w:r>
              <w:rPr>
                <w:color w:val="231F20"/>
                <w:w w:val="80"/>
                <w:sz w:val="14"/>
              </w:rPr>
              <w:t>Participación</w:t>
            </w:r>
            <w:r>
              <w:rPr>
                <w:color w:val="231F20"/>
                <w:spacing w:val="-13"/>
                <w:w w:val="80"/>
                <w:sz w:val="14"/>
              </w:rPr>
              <w:t> </w:t>
            </w:r>
            <w:r>
              <w:rPr>
                <w:color w:val="231F20"/>
                <w:w w:val="80"/>
                <w:sz w:val="14"/>
              </w:rPr>
              <w:t>en</w:t>
            </w:r>
            <w:r>
              <w:rPr>
                <w:color w:val="231F20"/>
                <w:spacing w:val="-13"/>
                <w:w w:val="80"/>
                <w:sz w:val="14"/>
              </w:rPr>
              <w:t> </w:t>
            </w:r>
            <w:r>
              <w:rPr>
                <w:color w:val="231F20"/>
                <w:w w:val="80"/>
                <w:sz w:val="14"/>
              </w:rPr>
              <w:t>el</w:t>
            </w:r>
            <w:r>
              <w:rPr>
                <w:color w:val="231F20"/>
                <w:spacing w:val="-13"/>
                <w:w w:val="80"/>
                <w:sz w:val="14"/>
              </w:rPr>
              <w:t> </w:t>
            </w:r>
            <w:r>
              <w:rPr>
                <w:color w:val="231F20"/>
                <w:w w:val="80"/>
                <w:sz w:val="14"/>
              </w:rPr>
              <w:t>plan</w:t>
            </w:r>
            <w:r>
              <w:rPr>
                <w:color w:val="231F20"/>
                <w:spacing w:val="-13"/>
                <w:w w:val="80"/>
                <w:sz w:val="14"/>
              </w:rPr>
              <w:t> </w:t>
            </w:r>
            <w:r>
              <w:rPr>
                <w:color w:val="231F20"/>
                <w:w w:val="80"/>
                <w:sz w:val="14"/>
              </w:rPr>
              <w:t>nacional</w:t>
            </w:r>
            <w:r>
              <w:rPr>
                <w:color w:val="231F20"/>
                <w:spacing w:val="-13"/>
                <w:w w:val="80"/>
                <w:sz w:val="14"/>
              </w:rPr>
              <w:t> </w:t>
            </w:r>
            <w:r>
              <w:rPr>
                <w:color w:val="231F20"/>
                <w:w w:val="80"/>
                <w:sz w:val="14"/>
              </w:rPr>
              <w:t>de</w:t>
            </w:r>
            <w:r>
              <w:rPr>
                <w:color w:val="231F20"/>
                <w:spacing w:val="-13"/>
                <w:w w:val="80"/>
                <w:sz w:val="14"/>
              </w:rPr>
              <w:t> </w:t>
            </w:r>
            <w:r>
              <w:rPr>
                <w:color w:val="231F20"/>
                <w:w w:val="80"/>
                <w:sz w:val="14"/>
              </w:rPr>
              <w:t>desarrollo.</w:t>
            </w:r>
          </w:p>
        </w:tc>
      </w:tr>
      <w:tr>
        <w:trPr>
          <w:trHeight w:val="795" w:hRule="exact"/>
        </w:trPr>
        <w:tc>
          <w:tcPr>
            <w:tcW w:w="529" w:type="dxa"/>
            <w:textDirection w:val="btLr"/>
          </w:tcPr>
          <w:p>
            <w:pPr>
              <w:pStyle w:val="TableParagraph"/>
              <w:spacing w:before="74"/>
              <w:ind w:left="158" w:right="59"/>
              <w:rPr>
                <w:b/>
                <w:sz w:val="14"/>
              </w:rPr>
            </w:pPr>
            <w:r>
              <w:rPr>
                <w:b/>
                <w:color w:val="231F20"/>
                <w:spacing w:val="1"/>
                <w:w w:val="93"/>
                <w:sz w:val="14"/>
              </w:rPr>
              <w:t>I</w:t>
            </w:r>
            <w:r>
              <w:rPr>
                <w:b/>
                <w:color w:val="231F20"/>
                <w:spacing w:val="2"/>
                <w:w w:val="83"/>
                <w:sz w:val="14"/>
              </w:rPr>
              <w:t>ndu</w:t>
            </w:r>
            <w:r>
              <w:rPr>
                <w:b/>
                <w:color w:val="231F20"/>
                <w:spacing w:val="3"/>
                <w:w w:val="83"/>
                <w:sz w:val="14"/>
              </w:rPr>
              <w:t>s</w:t>
            </w:r>
            <w:r>
              <w:rPr>
                <w:b/>
                <w:color w:val="231F20"/>
                <w:spacing w:val="2"/>
                <w:w w:val="86"/>
                <w:sz w:val="14"/>
              </w:rPr>
              <w:t>t</w:t>
            </w:r>
            <w:r>
              <w:rPr>
                <w:b/>
                <w:color w:val="231F20"/>
                <w:spacing w:val="3"/>
                <w:w w:val="86"/>
                <w:sz w:val="14"/>
              </w:rPr>
              <w:t>r</w:t>
            </w:r>
            <w:r>
              <w:rPr>
                <w:b/>
                <w:color w:val="231F20"/>
                <w:spacing w:val="2"/>
                <w:w w:val="90"/>
                <w:sz w:val="14"/>
              </w:rPr>
              <w:t>i</w:t>
            </w:r>
            <w:r>
              <w:rPr>
                <w:b/>
                <w:color w:val="231F20"/>
                <w:w w:val="85"/>
                <w:sz w:val="14"/>
              </w:rPr>
              <w:t>a</w:t>
            </w:r>
          </w:p>
        </w:tc>
        <w:tc>
          <w:tcPr>
            <w:tcW w:w="3296" w:type="dxa"/>
          </w:tcPr>
          <w:p>
            <w:pPr>
              <w:pStyle w:val="TableParagraph"/>
              <w:spacing w:line="196" w:lineRule="auto"/>
              <w:ind w:left="158" w:right="157"/>
              <w:jc w:val="center"/>
              <w:rPr>
                <w:sz w:val="14"/>
              </w:rPr>
            </w:pPr>
            <w:r>
              <w:rPr>
                <w:color w:val="231F20"/>
                <w:w w:val="80"/>
                <w:sz w:val="14"/>
              </w:rPr>
              <w:t>Fomentar</w:t>
            </w:r>
            <w:r>
              <w:rPr>
                <w:color w:val="231F20"/>
                <w:spacing w:val="-10"/>
                <w:w w:val="80"/>
                <w:sz w:val="14"/>
              </w:rPr>
              <w:t> </w:t>
            </w:r>
            <w:r>
              <w:rPr>
                <w:color w:val="231F20"/>
                <w:w w:val="80"/>
                <w:sz w:val="14"/>
              </w:rPr>
              <w:t>a</w:t>
            </w:r>
            <w:r>
              <w:rPr>
                <w:color w:val="231F20"/>
                <w:spacing w:val="-10"/>
                <w:w w:val="80"/>
                <w:sz w:val="14"/>
              </w:rPr>
              <w:t> </w:t>
            </w:r>
            <w:r>
              <w:rPr>
                <w:color w:val="231F20"/>
                <w:w w:val="80"/>
                <w:sz w:val="14"/>
              </w:rPr>
              <w:t>la</w:t>
            </w:r>
            <w:r>
              <w:rPr>
                <w:color w:val="231F20"/>
                <w:spacing w:val="-10"/>
                <w:w w:val="80"/>
                <w:sz w:val="14"/>
              </w:rPr>
              <w:t> </w:t>
            </w:r>
            <w:r>
              <w:rPr>
                <w:color w:val="231F20"/>
                <w:w w:val="80"/>
                <w:sz w:val="14"/>
              </w:rPr>
              <w:t>industria.</w:t>
            </w:r>
            <w:r>
              <w:rPr>
                <w:color w:val="231F20"/>
                <w:spacing w:val="-10"/>
                <w:w w:val="80"/>
                <w:sz w:val="14"/>
              </w:rPr>
              <w:t> </w:t>
            </w:r>
            <w:r>
              <w:rPr>
                <w:color w:val="231F20"/>
                <w:w w:val="80"/>
                <w:sz w:val="14"/>
              </w:rPr>
              <w:t>Proteger</w:t>
            </w:r>
            <w:r>
              <w:rPr>
                <w:color w:val="231F20"/>
                <w:spacing w:val="-10"/>
                <w:w w:val="80"/>
                <w:sz w:val="14"/>
              </w:rPr>
              <w:t> </w:t>
            </w:r>
            <w:r>
              <w:rPr>
                <w:color w:val="231F20"/>
                <w:w w:val="80"/>
                <w:sz w:val="14"/>
              </w:rPr>
              <w:t>grandes</w:t>
            </w:r>
            <w:r>
              <w:rPr>
                <w:color w:val="231F20"/>
                <w:spacing w:val="-10"/>
                <w:w w:val="80"/>
                <w:sz w:val="14"/>
              </w:rPr>
              <w:t> </w:t>
            </w:r>
            <w:r>
              <w:rPr>
                <w:color w:val="231F20"/>
                <w:w w:val="80"/>
                <w:sz w:val="14"/>
              </w:rPr>
              <w:t>industrias.</w:t>
            </w:r>
            <w:r>
              <w:rPr>
                <w:color w:val="231F20"/>
                <w:spacing w:val="-10"/>
                <w:w w:val="80"/>
                <w:sz w:val="14"/>
              </w:rPr>
              <w:t> </w:t>
            </w:r>
            <w:r>
              <w:rPr>
                <w:color w:val="231F20"/>
                <w:w w:val="80"/>
                <w:sz w:val="14"/>
              </w:rPr>
              <w:t>Fomento</w:t>
            </w:r>
            <w:r>
              <w:rPr>
                <w:color w:val="231F20"/>
                <w:spacing w:val="-10"/>
                <w:w w:val="80"/>
                <w:sz w:val="14"/>
              </w:rPr>
              <w:t> </w:t>
            </w:r>
            <w:r>
              <w:rPr>
                <w:color w:val="231F20"/>
                <w:w w:val="80"/>
                <w:sz w:val="14"/>
              </w:rPr>
              <w:t>de la</w:t>
            </w:r>
            <w:r>
              <w:rPr>
                <w:color w:val="231F20"/>
                <w:spacing w:val="-14"/>
                <w:w w:val="80"/>
                <w:sz w:val="14"/>
              </w:rPr>
              <w:t> </w:t>
            </w:r>
            <w:r>
              <w:rPr>
                <w:color w:val="231F20"/>
                <w:w w:val="80"/>
                <w:sz w:val="14"/>
              </w:rPr>
              <w:t>pequeña</w:t>
            </w:r>
            <w:r>
              <w:rPr>
                <w:color w:val="231F20"/>
                <w:spacing w:val="-14"/>
                <w:w w:val="80"/>
                <w:sz w:val="14"/>
              </w:rPr>
              <w:t> </w:t>
            </w:r>
            <w:r>
              <w:rPr>
                <w:color w:val="231F20"/>
                <w:w w:val="80"/>
                <w:sz w:val="14"/>
              </w:rPr>
              <w:t>industria.</w:t>
            </w:r>
            <w:r>
              <w:rPr>
                <w:color w:val="231F20"/>
                <w:spacing w:val="-14"/>
                <w:w w:val="80"/>
                <w:sz w:val="14"/>
              </w:rPr>
              <w:t> </w:t>
            </w:r>
            <w:r>
              <w:rPr>
                <w:color w:val="231F20"/>
                <w:w w:val="80"/>
                <w:sz w:val="14"/>
              </w:rPr>
              <w:t>Promover</w:t>
            </w:r>
            <w:r>
              <w:rPr>
                <w:color w:val="231F20"/>
                <w:spacing w:val="-14"/>
                <w:w w:val="80"/>
                <w:sz w:val="14"/>
              </w:rPr>
              <w:t> </w:t>
            </w:r>
            <w:r>
              <w:rPr>
                <w:color w:val="231F20"/>
                <w:w w:val="80"/>
                <w:sz w:val="14"/>
              </w:rPr>
              <w:t>el</w:t>
            </w:r>
            <w:r>
              <w:rPr>
                <w:color w:val="231F20"/>
                <w:spacing w:val="-14"/>
                <w:w w:val="80"/>
                <w:sz w:val="14"/>
              </w:rPr>
              <w:t> </w:t>
            </w:r>
            <w:r>
              <w:rPr>
                <w:color w:val="231F20"/>
                <w:w w:val="80"/>
                <w:sz w:val="14"/>
              </w:rPr>
              <w:t>nacionalismo</w:t>
            </w:r>
            <w:r>
              <w:rPr>
                <w:color w:val="231F20"/>
                <w:spacing w:val="-14"/>
                <w:w w:val="80"/>
                <w:sz w:val="14"/>
              </w:rPr>
              <w:t> </w:t>
            </w:r>
            <w:r>
              <w:rPr>
                <w:color w:val="231F20"/>
                <w:w w:val="80"/>
                <w:sz w:val="14"/>
              </w:rPr>
              <w:t>hacia</w:t>
            </w:r>
            <w:r>
              <w:rPr>
                <w:color w:val="231F20"/>
                <w:spacing w:val="-14"/>
                <w:w w:val="80"/>
                <w:sz w:val="14"/>
              </w:rPr>
              <w:t> </w:t>
            </w:r>
            <w:r>
              <w:rPr>
                <w:color w:val="231F20"/>
                <w:w w:val="80"/>
                <w:sz w:val="14"/>
              </w:rPr>
              <w:t>los</w:t>
            </w:r>
            <w:r>
              <w:rPr>
                <w:color w:val="231F20"/>
                <w:spacing w:val="-14"/>
                <w:w w:val="80"/>
                <w:sz w:val="14"/>
              </w:rPr>
              <w:t> </w:t>
            </w:r>
            <w:r>
              <w:rPr>
                <w:color w:val="231F20"/>
                <w:w w:val="80"/>
                <w:sz w:val="14"/>
              </w:rPr>
              <w:t>productos del</w:t>
            </w:r>
            <w:r>
              <w:rPr>
                <w:color w:val="231F20"/>
                <w:spacing w:val="-11"/>
                <w:w w:val="80"/>
                <w:sz w:val="14"/>
              </w:rPr>
              <w:t> </w:t>
            </w:r>
            <w:r>
              <w:rPr>
                <w:color w:val="231F20"/>
                <w:w w:val="80"/>
                <w:sz w:val="14"/>
              </w:rPr>
              <w:t>país.</w:t>
            </w:r>
          </w:p>
        </w:tc>
        <w:tc>
          <w:tcPr>
            <w:tcW w:w="515" w:type="dxa"/>
            <w:textDirection w:val="btLr"/>
          </w:tcPr>
          <w:p>
            <w:pPr>
              <w:pStyle w:val="TableParagraph"/>
              <w:spacing w:line="140" w:lineRule="exact" w:before="96"/>
              <w:ind w:left="189" w:right="59" w:hanging="117"/>
              <w:rPr>
                <w:b/>
                <w:sz w:val="14"/>
              </w:rPr>
            </w:pPr>
            <w:r>
              <w:rPr>
                <w:b/>
                <w:color w:val="231F20"/>
                <w:spacing w:val="1"/>
                <w:w w:val="80"/>
                <w:sz w:val="14"/>
              </w:rPr>
              <w:t>E</w:t>
            </w:r>
            <w:r>
              <w:rPr>
                <w:b/>
                <w:color w:val="231F20"/>
                <w:spacing w:val="2"/>
                <w:w w:val="83"/>
                <w:sz w:val="14"/>
              </w:rPr>
              <w:t>q</w:t>
            </w:r>
            <w:r>
              <w:rPr>
                <w:b/>
                <w:color w:val="231F20"/>
                <w:spacing w:val="2"/>
                <w:w w:val="87"/>
                <w:sz w:val="14"/>
              </w:rPr>
              <w:t>uil</w:t>
            </w:r>
            <w:r>
              <w:rPr>
                <w:b/>
                <w:color w:val="231F20"/>
                <w:spacing w:val="2"/>
                <w:w w:val="90"/>
                <w:sz w:val="14"/>
              </w:rPr>
              <w:t>i</w:t>
            </w:r>
            <w:r>
              <w:rPr>
                <w:b/>
                <w:color w:val="231F20"/>
                <w:spacing w:val="2"/>
                <w:w w:val="83"/>
                <w:sz w:val="14"/>
              </w:rPr>
              <w:t>b</w:t>
            </w:r>
            <w:r>
              <w:rPr>
                <w:b/>
                <w:color w:val="231F20"/>
                <w:spacing w:val="3"/>
                <w:w w:val="82"/>
                <w:sz w:val="14"/>
              </w:rPr>
              <w:t>r</w:t>
            </w:r>
            <w:r>
              <w:rPr>
                <w:b/>
                <w:color w:val="231F20"/>
                <w:spacing w:val="2"/>
                <w:w w:val="90"/>
                <w:sz w:val="14"/>
              </w:rPr>
              <w:t>i</w:t>
            </w:r>
            <w:r>
              <w:rPr>
                <w:b/>
                <w:color w:val="231F20"/>
                <w:w w:val="80"/>
                <w:sz w:val="14"/>
              </w:rPr>
              <w:t>o</w:t>
            </w:r>
            <w:r>
              <w:rPr>
                <w:b/>
                <w:color w:val="231F20"/>
                <w:spacing w:val="-10"/>
                <w:sz w:val="14"/>
              </w:rPr>
              <w:t> </w:t>
            </w:r>
            <w:r>
              <w:rPr>
                <w:b/>
                <w:color w:val="231F20"/>
                <w:spacing w:val="2"/>
                <w:w w:val="83"/>
                <w:sz w:val="14"/>
              </w:rPr>
              <w:t>d</w:t>
            </w:r>
            <w:r>
              <w:rPr>
                <w:b/>
                <w:color w:val="231F20"/>
                <w:w w:val="83"/>
                <w:sz w:val="14"/>
              </w:rPr>
              <w:t>e </w:t>
            </w:r>
            <w:r>
              <w:rPr>
                <w:b/>
                <w:color w:val="231F20"/>
                <w:spacing w:val="2"/>
                <w:w w:val="81"/>
                <w:sz w:val="14"/>
              </w:rPr>
              <w:t>po</w:t>
            </w:r>
            <w:r>
              <w:rPr>
                <w:b/>
                <w:color w:val="231F20"/>
                <w:spacing w:val="2"/>
                <w:w w:val="83"/>
                <w:sz w:val="14"/>
              </w:rPr>
              <w:t>d</w:t>
            </w:r>
            <w:r>
              <w:rPr>
                <w:b/>
                <w:color w:val="231F20"/>
                <w:spacing w:val="2"/>
                <w:w w:val="83"/>
                <w:sz w:val="14"/>
              </w:rPr>
              <w:t>e</w:t>
            </w:r>
            <w:r>
              <w:rPr>
                <w:b/>
                <w:color w:val="231F20"/>
                <w:spacing w:val="3"/>
                <w:w w:val="83"/>
                <w:sz w:val="14"/>
              </w:rPr>
              <w:t>r</w:t>
            </w:r>
            <w:r>
              <w:rPr>
                <w:b/>
                <w:color w:val="231F20"/>
                <w:spacing w:val="2"/>
                <w:w w:val="83"/>
                <w:sz w:val="14"/>
              </w:rPr>
              <w:t>e</w:t>
            </w:r>
            <w:r>
              <w:rPr>
                <w:b/>
                <w:color w:val="231F20"/>
                <w:w w:val="81"/>
                <w:sz w:val="14"/>
              </w:rPr>
              <w:t>s</w:t>
            </w:r>
          </w:p>
        </w:tc>
        <w:tc>
          <w:tcPr>
            <w:tcW w:w="3587" w:type="dxa"/>
          </w:tcPr>
          <w:p>
            <w:pPr>
              <w:pStyle w:val="TableParagraph"/>
              <w:spacing w:line="196" w:lineRule="auto"/>
              <w:ind w:left="89" w:right="89"/>
              <w:jc w:val="center"/>
              <w:rPr>
                <w:sz w:val="14"/>
              </w:rPr>
            </w:pPr>
            <w:r>
              <w:rPr>
                <w:color w:val="231F20"/>
                <w:w w:val="80"/>
                <w:sz w:val="14"/>
              </w:rPr>
              <w:t>Plantear</w:t>
            </w:r>
            <w:r>
              <w:rPr>
                <w:color w:val="231F20"/>
                <w:spacing w:val="-11"/>
                <w:w w:val="80"/>
                <w:sz w:val="14"/>
              </w:rPr>
              <w:t> </w:t>
            </w:r>
            <w:r>
              <w:rPr>
                <w:color w:val="231F20"/>
                <w:w w:val="80"/>
                <w:sz w:val="14"/>
              </w:rPr>
              <w:t>equilibrio</w:t>
            </w:r>
            <w:r>
              <w:rPr>
                <w:color w:val="231F20"/>
                <w:spacing w:val="-11"/>
                <w:w w:val="80"/>
                <w:sz w:val="14"/>
              </w:rPr>
              <w:t> </w:t>
            </w:r>
            <w:r>
              <w:rPr>
                <w:color w:val="231F20"/>
                <w:w w:val="80"/>
                <w:sz w:val="14"/>
              </w:rPr>
              <w:t>entre</w:t>
            </w:r>
            <w:r>
              <w:rPr>
                <w:color w:val="231F20"/>
                <w:spacing w:val="-11"/>
                <w:w w:val="80"/>
                <w:sz w:val="14"/>
              </w:rPr>
              <w:t> </w:t>
            </w:r>
            <w:r>
              <w:rPr>
                <w:color w:val="231F20"/>
                <w:w w:val="80"/>
                <w:sz w:val="14"/>
              </w:rPr>
              <w:t>el</w:t>
            </w:r>
            <w:r>
              <w:rPr>
                <w:color w:val="231F20"/>
                <w:spacing w:val="-11"/>
                <w:w w:val="80"/>
                <w:sz w:val="14"/>
              </w:rPr>
              <w:t> </w:t>
            </w:r>
            <w:r>
              <w:rPr>
                <w:color w:val="231F20"/>
                <w:w w:val="80"/>
                <w:sz w:val="14"/>
              </w:rPr>
              <w:t>ejecutivo</w:t>
            </w:r>
            <w:r>
              <w:rPr>
                <w:color w:val="231F20"/>
                <w:spacing w:val="-11"/>
                <w:w w:val="80"/>
                <w:sz w:val="14"/>
              </w:rPr>
              <w:t> </w:t>
            </w:r>
            <w:r>
              <w:rPr>
                <w:color w:val="231F20"/>
                <w:w w:val="80"/>
                <w:sz w:val="14"/>
              </w:rPr>
              <w:t>y</w:t>
            </w:r>
            <w:r>
              <w:rPr>
                <w:color w:val="231F20"/>
                <w:spacing w:val="-11"/>
                <w:w w:val="80"/>
                <w:sz w:val="14"/>
              </w:rPr>
              <w:t> </w:t>
            </w:r>
            <w:r>
              <w:rPr>
                <w:color w:val="231F20"/>
                <w:w w:val="80"/>
                <w:sz w:val="14"/>
              </w:rPr>
              <w:t>legislativo.</w:t>
            </w:r>
            <w:r>
              <w:rPr>
                <w:color w:val="231F20"/>
                <w:spacing w:val="-11"/>
                <w:w w:val="80"/>
                <w:sz w:val="14"/>
              </w:rPr>
              <w:t> </w:t>
            </w:r>
            <w:r>
              <w:rPr>
                <w:color w:val="231F20"/>
                <w:w w:val="80"/>
                <w:sz w:val="14"/>
              </w:rPr>
              <w:t>Ajustar</w:t>
            </w:r>
            <w:r>
              <w:rPr>
                <w:color w:val="231F20"/>
                <w:spacing w:val="-11"/>
                <w:w w:val="80"/>
                <w:sz w:val="14"/>
              </w:rPr>
              <w:t> </w:t>
            </w:r>
            <w:r>
              <w:rPr>
                <w:color w:val="231F20"/>
                <w:w w:val="80"/>
                <w:sz w:val="14"/>
              </w:rPr>
              <w:t>el</w:t>
            </w:r>
            <w:r>
              <w:rPr>
                <w:color w:val="231F20"/>
                <w:spacing w:val="-11"/>
                <w:w w:val="80"/>
                <w:sz w:val="14"/>
              </w:rPr>
              <w:t> </w:t>
            </w:r>
            <w:r>
              <w:rPr>
                <w:color w:val="231F20"/>
                <w:w w:val="80"/>
                <w:sz w:val="14"/>
              </w:rPr>
              <w:t>marco</w:t>
            </w:r>
            <w:r>
              <w:rPr>
                <w:color w:val="231F20"/>
                <w:spacing w:val="-11"/>
                <w:w w:val="80"/>
                <w:sz w:val="14"/>
              </w:rPr>
              <w:t> </w:t>
            </w:r>
            <w:r>
              <w:rPr>
                <w:color w:val="231F20"/>
                <w:w w:val="80"/>
                <w:sz w:val="14"/>
              </w:rPr>
              <w:t>de</w:t>
            </w:r>
            <w:r>
              <w:rPr>
                <w:color w:val="231F20"/>
                <w:spacing w:val="-11"/>
                <w:w w:val="80"/>
                <w:sz w:val="14"/>
              </w:rPr>
              <w:t> </w:t>
            </w:r>
            <w:r>
              <w:rPr>
                <w:color w:val="231F20"/>
                <w:w w:val="80"/>
                <w:sz w:val="14"/>
              </w:rPr>
              <w:t>las atribuciones</w:t>
            </w:r>
            <w:r>
              <w:rPr>
                <w:color w:val="231F20"/>
                <w:spacing w:val="-15"/>
                <w:w w:val="80"/>
                <w:sz w:val="14"/>
              </w:rPr>
              <w:t> </w:t>
            </w:r>
            <w:r>
              <w:rPr>
                <w:color w:val="231F20"/>
                <w:w w:val="80"/>
                <w:sz w:val="14"/>
              </w:rPr>
              <w:t>del</w:t>
            </w:r>
            <w:r>
              <w:rPr>
                <w:color w:val="231F20"/>
                <w:spacing w:val="-15"/>
                <w:w w:val="80"/>
                <w:sz w:val="14"/>
              </w:rPr>
              <w:t> </w:t>
            </w:r>
            <w:r>
              <w:rPr>
                <w:color w:val="231F20"/>
                <w:w w:val="80"/>
                <w:sz w:val="14"/>
              </w:rPr>
              <w:t>presidente</w:t>
            </w:r>
            <w:r>
              <w:rPr>
                <w:color w:val="231F20"/>
                <w:spacing w:val="-15"/>
                <w:w w:val="80"/>
                <w:sz w:val="14"/>
              </w:rPr>
              <w:t> </w:t>
            </w:r>
            <w:r>
              <w:rPr>
                <w:color w:val="231F20"/>
                <w:w w:val="80"/>
                <w:sz w:val="14"/>
              </w:rPr>
              <w:t>nacional.</w:t>
            </w:r>
            <w:r>
              <w:rPr>
                <w:color w:val="231F20"/>
                <w:spacing w:val="-15"/>
                <w:w w:val="80"/>
                <w:sz w:val="14"/>
              </w:rPr>
              <w:t> </w:t>
            </w:r>
            <w:r>
              <w:rPr>
                <w:color w:val="231F20"/>
                <w:w w:val="80"/>
                <w:sz w:val="14"/>
              </w:rPr>
              <w:t>Acercar</w:t>
            </w:r>
            <w:r>
              <w:rPr>
                <w:color w:val="231F20"/>
                <w:spacing w:val="-15"/>
                <w:w w:val="80"/>
                <w:sz w:val="14"/>
              </w:rPr>
              <w:t> </w:t>
            </w:r>
            <w:r>
              <w:rPr>
                <w:color w:val="231F20"/>
                <w:w w:val="80"/>
                <w:sz w:val="14"/>
              </w:rPr>
              <w:t>poder</w:t>
            </w:r>
            <w:r>
              <w:rPr>
                <w:color w:val="231F20"/>
                <w:spacing w:val="-15"/>
                <w:w w:val="80"/>
                <w:sz w:val="14"/>
              </w:rPr>
              <w:t> </w:t>
            </w:r>
            <w:r>
              <w:rPr>
                <w:color w:val="231F20"/>
                <w:w w:val="80"/>
                <w:sz w:val="14"/>
              </w:rPr>
              <w:t>legislativo</w:t>
            </w:r>
            <w:r>
              <w:rPr>
                <w:color w:val="231F20"/>
                <w:spacing w:val="-15"/>
                <w:w w:val="80"/>
                <w:sz w:val="14"/>
              </w:rPr>
              <w:t> </w:t>
            </w:r>
            <w:r>
              <w:rPr>
                <w:color w:val="231F20"/>
                <w:w w:val="80"/>
                <w:sz w:val="14"/>
              </w:rPr>
              <w:t>y</w:t>
            </w:r>
            <w:r>
              <w:rPr>
                <w:color w:val="231F20"/>
                <w:spacing w:val="-15"/>
                <w:w w:val="80"/>
                <w:sz w:val="14"/>
              </w:rPr>
              <w:t> </w:t>
            </w:r>
            <w:r>
              <w:rPr>
                <w:color w:val="231F20"/>
                <w:w w:val="80"/>
                <w:sz w:val="14"/>
              </w:rPr>
              <w:t>judicial.</w:t>
            </w:r>
          </w:p>
          <w:p>
            <w:pPr>
              <w:pStyle w:val="TableParagraph"/>
              <w:spacing w:line="147" w:lineRule="exact"/>
              <w:ind w:left="89" w:right="89"/>
              <w:jc w:val="center"/>
              <w:rPr>
                <w:sz w:val="14"/>
              </w:rPr>
            </w:pPr>
            <w:r>
              <w:rPr>
                <w:color w:val="231F20"/>
                <w:w w:val="80"/>
                <w:sz w:val="14"/>
              </w:rPr>
              <w:t>Fortalecer el poder legislativo.</w:t>
            </w:r>
          </w:p>
        </w:tc>
      </w:tr>
      <w:tr>
        <w:trPr>
          <w:trHeight w:val="943" w:hRule="exact"/>
        </w:trPr>
        <w:tc>
          <w:tcPr>
            <w:tcW w:w="529" w:type="dxa"/>
            <w:textDirection w:val="btLr"/>
          </w:tcPr>
          <w:p>
            <w:pPr>
              <w:pStyle w:val="TableParagraph"/>
              <w:spacing w:before="74"/>
              <w:ind w:left="179" w:right="-1"/>
              <w:rPr>
                <w:b/>
                <w:sz w:val="14"/>
              </w:rPr>
            </w:pPr>
            <w:r>
              <w:rPr>
                <w:b/>
                <w:color w:val="231F20"/>
                <w:spacing w:val="1"/>
                <w:w w:val="75"/>
                <w:sz w:val="14"/>
              </w:rPr>
              <w:t>A</w:t>
            </w:r>
            <w:r>
              <w:rPr>
                <w:b/>
                <w:color w:val="231F20"/>
                <w:spacing w:val="3"/>
                <w:w w:val="94"/>
                <w:sz w:val="14"/>
              </w:rPr>
              <w:t>g</w:t>
            </w:r>
            <w:r>
              <w:rPr>
                <w:b/>
                <w:color w:val="231F20"/>
                <w:spacing w:val="3"/>
                <w:w w:val="82"/>
                <w:sz w:val="14"/>
              </w:rPr>
              <w:t>r</w:t>
            </w:r>
            <w:r>
              <w:rPr>
                <w:b/>
                <w:color w:val="231F20"/>
                <w:spacing w:val="2"/>
                <w:w w:val="90"/>
                <w:sz w:val="14"/>
              </w:rPr>
              <w:t>i</w:t>
            </w:r>
            <w:r>
              <w:rPr>
                <w:b/>
                <w:color w:val="231F20"/>
                <w:spacing w:val="3"/>
                <w:w w:val="77"/>
                <w:sz w:val="14"/>
              </w:rPr>
              <w:t>c</w:t>
            </w:r>
            <w:r>
              <w:rPr>
                <w:b/>
                <w:color w:val="231F20"/>
                <w:spacing w:val="2"/>
                <w:w w:val="86"/>
                <w:sz w:val="14"/>
              </w:rPr>
              <w:t>ul</w:t>
            </w:r>
            <w:r>
              <w:rPr>
                <w:b/>
                <w:color w:val="231F20"/>
                <w:spacing w:val="2"/>
                <w:w w:val="86"/>
                <w:sz w:val="14"/>
              </w:rPr>
              <w:t>tu</w:t>
            </w:r>
            <w:r>
              <w:rPr>
                <w:b/>
                <w:color w:val="231F20"/>
                <w:spacing w:val="2"/>
                <w:w w:val="82"/>
                <w:sz w:val="14"/>
              </w:rPr>
              <w:t>r</w:t>
            </w:r>
            <w:r>
              <w:rPr>
                <w:b/>
                <w:color w:val="231F20"/>
                <w:w w:val="85"/>
                <w:sz w:val="14"/>
              </w:rPr>
              <w:t>a</w:t>
            </w:r>
          </w:p>
        </w:tc>
        <w:tc>
          <w:tcPr>
            <w:tcW w:w="3296" w:type="dxa"/>
          </w:tcPr>
          <w:p>
            <w:pPr>
              <w:pStyle w:val="TableParagraph"/>
              <w:spacing w:line="196" w:lineRule="auto"/>
              <w:ind w:left="603" w:right="6" w:hanging="497"/>
              <w:rPr>
                <w:sz w:val="14"/>
              </w:rPr>
            </w:pPr>
            <w:r>
              <w:rPr>
                <w:color w:val="231F20"/>
                <w:w w:val="80"/>
                <w:sz w:val="14"/>
              </w:rPr>
              <w:t>Distribución de la tierra. Organizar a los campesinos. Intervención del Estado en la explotación de recursos naturales.</w:t>
            </w:r>
          </w:p>
        </w:tc>
        <w:tc>
          <w:tcPr>
            <w:tcW w:w="515" w:type="dxa"/>
            <w:textDirection w:val="btLr"/>
          </w:tcPr>
          <w:p>
            <w:pPr>
              <w:pStyle w:val="TableParagraph"/>
              <w:spacing w:before="74"/>
              <w:ind w:left="9" w:right="-1"/>
              <w:rPr>
                <w:b/>
                <w:sz w:val="14"/>
              </w:rPr>
            </w:pPr>
            <w:r>
              <w:rPr>
                <w:b/>
                <w:color w:val="231F20"/>
                <w:spacing w:val="1"/>
                <w:w w:val="83"/>
                <w:sz w:val="14"/>
              </w:rPr>
              <w:t>R</w:t>
            </w:r>
            <w:r>
              <w:rPr>
                <w:b/>
                <w:color w:val="231F20"/>
                <w:spacing w:val="3"/>
                <w:w w:val="83"/>
                <w:sz w:val="14"/>
              </w:rPr>
              <w:t>e</w:t>
            </w:r>
            <w:r>
              <w:rPr>
                <w:b/>
                <w:color w:val="231F20"/>
                <w:spacing w:val="2"/>
                <w:w w:val="90"/>
                <w:sz w:val="14"/>
              </w:rPr>
              <w:t>f</w:t>
            </w:r>
            <w:r>
              <w:rPr>
                <w:b/>
                <w:color w:val="231F20"/>
                <w:spacing w:val="2"/>
                <w:w w:val="81"/>
                <w:sz w:val="14"/>
              </w:rPr>
              <w:t>o</w:t>
            </w:r>
            <w:r>
              <w:rPr>
                <w:b/>
                <w:color w:val="231F20"/>
                <w:spacing w:val="3"/>
                <w:w w:val="81"/>
                <w:sz w:val="14"/>
              </w:rPr>
              <w:t>r</w:t>
            </w:r>
            <w:r>
              <w:rPr>
                <w:b/>
                <w:color w:val="231F20"/>
                <w:spacing w:val="2"/>
                <w:w w:val="84"/>
                <w:sz w:val="14"/>
              </w:rPr>
              <w:t>m</w:t>
            </w:r>
            <w:r>
              <w:rPr>
                <w:b/>
                <w:color w:val="231F20"/>
                <w:w w:val="84"/>
                <w:sz w:val="14"/>
              </w:rPr>
              <w:t>a</w:t>
            </w:r>
            <w:r>
              <w:rPr>
                <w:b/>
                <w:color w:val="231F20"/>
                <w:spacing w:val="-10"/>
                <w:sz w:val="14"/>
              </w:rPr>
              <w:t> </w:t>
            </w:r>
            <w:r>
              <w:rPr>
                <w:b/>
                <w:color w:val="231F20"/>
                <w:spacing w:val="3"/>
                <w:w w:val="83"/>
                <w:sz w:val="14"/>
              </w:rPr>
              <w:t>e</w:t>
            </w:r>
            <w:r>
              <w:rPr>
                <w:b/>
                <w:color w:val="231F20"/>
                <w:spacing w:val="2"/>
                <w:w w:val="91"/>
                <w:sz w:val="14"/>
              </w:rPr>
              <w:t>l</w:t>
            </w:r>
            <w:r>
              <w:rPr>
                <w:b/>
                <w:color w:val="231F20"/>
                <w:spacing w:val="2"/>
                <w:w w:val="83"/>
                <w:sz w:val="14"/>
              </w:rPr>
              <w:t>e</w:t>
            </w:r>
            <w:r>
              <w:rPr>
                <w:b/>
                <w:color w:val="231F20"/>
                <w:spacing w:val="5"/>
                <w:w w:val="77"/>
                <w:sz w:val="14"/>
              </w:rPr>
              <w:t>c</w:t>
            </w:r>
            <w:r>
              <w:rPr>
                <w:b/>
                <w:color w:val="231F20"/>
                <w:spacing w:val="2"/>
                <w:w w:val="89"/>
                <w:sz w:val="14"/>
              </w:rPr>
              <w:t>t</w:t>
            </w:r>
            <w:r>
              <w:rPr>
                <w:b/>
                <w:color w:val="231F20"/>
                <w:spacing w:val="2"/>
                <w:w w:val="82"/>
                <w:sz w:val="14"/>
              </w:rPr>
              <w:t>ora</w:t>
            </w:r>
            <w:r>
              <w:rPr>
                <w:b/>
                <w:color w:val="231F20"/>
                <w:w w:val="91"/>
                <w:sz w:val="14"/>
              </w:rPr>
              <w:t>l</w:t>
            </w:r>
          </w:p>
        </w:tc>
        <w:tc>
          <w:tcPr>
            <w:tcW w:w="3587" w:type="dxa"/>
          </w:tcPr>
          <w:p>
            <w:pPr>
              <w:pStyle w:val="TableParagraph"/>
              <w:spacing w:line="143" w:lineRule="exact"/>
              <w:ind w:left="402" w:right="158"/>
              <w:rPr>
                <w:sz w:val="14"/>
              </w:rPr>
            </w:pPr>
            <w:r>
              <w:rPr>
                <w:color w:val="231F20"/>
                <w:w w:val="80"/>
                <w:sz w:val="14"/>
              </w:rPr>
              <w:t>Reforma electoral. Vigilar la aplicación de la reforma electoral.</w:t>
            </w:r>
          </w:p>
        </w:tc>
      </w:tr>
      <w:tr>
        <w:trPr>
          <w:trHeight w:val="969" w:hRule="exact"/>
        </w:trPr>
        <w:tc>
          <w:tcPr>
            <w:tcW w:w="529" w:type="dxa"/>
            <w:textDirection w:val="btLr"/>
          </w:tcPr>
          <w:p>
            <w:pPr>
              <w:pStyle w:val="TableParagraph"/>
              <w:spacing w:line="140" w:lineRule="exact" w:before="96"/>
              <w:ind w:left="320" w:right="217" w:hanging="87"/>
              <w:rPr>
                <w:b/>
                <w:sz w:val="14"/>
              </w:rPr>
            </w:pPr>
            <w:r>
              <w:rPr>
                <w:b/>
                <w:color w:val="231F20"/>
                <w:spacing w:val="1"/>
                <w:w w:val="74"/>
                <w:sz w:val="14"/>
              </w:rPr>
              <w:t>C</w:t>
            </w:r>
            <w:r>
              <w:rPr>
                <w:b/>
                <w:color w:val="231F20"/>
                <w:spacing w:val="2"/>
                <w:w w:val="82"/>
                <w:sz w:val="14"/>
              </w:rPr>
              <w:t>om</w:t>
            </w:r>
            <w:r>
              <w:rPr>
                <w:b/>
                <w:color w:val="231F20"/>
                <w:spacing w:val="2"/>
                <w:w w:val="84"/>
                <w:sz w:val="14"/>
              </w:rPr>
              <w:t>un</w:t>
            </w:r>
            <w:r>
              <w:rPr>
                <w:b/>
                <w:color w:val="231F20"/>
                <w:spacing w:val="2"/>
                <w:w w:val="90"/>
                <w:sz w:val="14"/>
              </w:rPr>
              <w:t>i</w:t>
            </w:r>
            <w:r>
              <w:rPr>
                <w:b/>
                <w:color w:val="231F20"/>
                <w:spacing w:val="4"/>
                <w:w w:val="77"/>
                <w:sz w:val="14"/>
              </w:rPr>
              <w:t>c</w:t>
            </w:r>
            <w:r>
              <w:rPr>
                <w:b/>
                <w:color w:val="231F20"/>
                <w:w w:val="85"/>
                <w:sz w:val="14"/>
              </w:rPr>
              <w:t>a </w:t>
            </w:r>
            <w:r>
              <w:rPr>
                <w:b/>
                <w:color w:val="231F20"/>
                <w:spacing w:val="3"/>
                <w:w w:val="77"/>
                <w:sz w:val="14"/>
              </w:rPr>
              <w:t>c</w:t>
            </w:r>
            <w:r>
              <w:rPr>
                <w:b/>
                <w:color w:val="231F20"/>
                <w:spacing w:val="2"/>
                <w:w w:val="90"/>
                <w:sz w:val="14"/>
              </w:rPr>
              <w:t>i</w:t>
            </w:r>
            <w:r>
              <w:rPr>
                <w:b/>
                <w:color w:val="231F20"/>
                <w:spacing w:val="2"/>
                <w:w w:val="82"/>
                <w:sz w:val="14"/>
              </w:rPr>
              <w:t>on</w:t>
            </w:r>
            <w:r>
              <w:rPr>
                <w:b/>
                <w:color w:val="231F20"/>
                <w:spacing w:val="2"/>
                <w:w w:val="82"/>
                <w:sz w:val="14"/>
              </w:rPr>
              <w:t>es</w:t>
            </w:r>
          </w:p>
        </w:tc>
        <w:tc>
          <w:tcPr>
            <w:tcW w:w="3296" w:type="dxa"/>
          </w:tcPr>
          <w:p>
            <w:pPr>
              <w:pStyle w:val="TableParagraph"/>
              <w:spacing w:line="196" w:lineRule="auto"/>
              <w:ind w:left="217" w:right="216" w:hanging="1"/>
              <w:jc w:val="center"/>
              <w:rPr>
                <w:sz w:val="14"/>
              </w:rPr>
            </w:pPr>
            <w:r>
              <w:rPr>
                <w:color w:val="231F20"/>
                <w:w w:val="80"/>
                <w:sz w:val="14"/>
              </w:rPr>
              <w:t>Construir</w:t>
            </w:r>
            <w:r>
              <w:rPr>
                <w:color w:val="231F20"/>
                <w:spacing w:val="-15"/>
                <w:w w:val="80"/>
                <w:sz w:val="14"/>
              </w:rPr>
              <w:t> </w:t>
            </w:r>
            <w:r>
              <w:rPr>
                <w:color w:val="231F20"/>
                <w:w w:val="80"/>
                <w:sz w:val="14"/>
              </w:rPr>
              <w:t>las</w:t>
            </w:r>
            <w:r>
              <w:rPr>
                <w:color w:val="231F20"/>
                <w:spacing w:val="-15"/>
                <w:w w:val="80"/>
                <w:sz w:val="14"/>
              </w:rPr>
              <w:t> </w:t>
            </w:r>
            <w:r>
              <w:rPr>
                <w:color w:val="231F20"/>
                <w:w w:val="80"/>
                <w:sz w:val="14"/>
              </w:rPr>
              <w:t>vías</w:t>
            </w:r>
            <w:r>
              <w:rPr>
                <w:color w:val="231F20"/>
                <w:spacing w:val="-15"/>
                <w:w w:val="80"/>
                <w:sz w:val="14"/>
              </w:rPr>
              <w:t> </w:t>
            </w:r>
            <w:r>
              <w:rPr>
                <w:color w:val="231F20"/>
                <w:w w:val="80"/>
                <w:sz w:val="14"/>
              </w:rPr>
              <w:t>necesarias</w:t>
            </w:r>
            <w:r>
              <w:rPr>
                <w:color w:val="231F20"/>
                <w:spacing w:val="-15"/>
                <w:w w:val="80"/>
                <w:sz w:val="14"/>
              </w:rPr>
              <w:t> </w:t>
            </w:r>
            <w:r>
              <w:rPr>
                <w:color w:val="231F20"/>
                <w:w w:val="80"/>
                <w:sz w:val="14"/>
              </w:rPr>
              <w:t>para</w:t>
            </w:r>
            <w:r>
              <w:rPr>
                <w:color w:val="231F20"/>
                <w:spacing w:val="-15"/>
                <w:w w:val="80"/>
                <w:sz w:val="14"/>
              </w:rPr>
              <w:t> </w:t>
            </w:r>
            <w:r>
              <w:rPr>
                <w:color w:val="231F20"/>
                <w:w w:val="80"/>
                <w:sz w:val="14"/>
              </w:rPr>
              <w:t>comunicar</w:t>
            </w:r>
            <w:r>
              <w:rPr>
                <w:color w:val="231F20"/>
                <w:spacing w:val="-15"/>
                <w:w w:val="80"/>
                <w:sz w:val="14"/>
              </w:rPr>
              <w:t> </w:t>
            </w:r>
            <w:r>
              <w:rPr>
                <w:color w:val="231F20"/>
                <w:w w:val="80"/>
                <w:sz w:val="14"/>
              </w:rPr>
              <w:t>habitantes,</w:t>
            </w:r>
            <w:r>
              <w:rPr>
                <w:color w:val="231F20"/>
                <w:spacing w:val="-15"/>
                <w:w w:val="80"/>
                <w:sz w:val="14"/>
              </w:rPr>
              <w:t> </w:t>
            </w:r>
            <w:r>
              <w:rPr>
                <w:color w:val="231F20"/>
                <w:w w:val="80"/>
                <w:sz w:val="14"/>
              </w:rPr>
              <w:t>centros de</w:t>
            </w:r>
            <w:r>
              <w:rPr>
                <w:color w:val="231F20"/>
                <w:spacing w:val="-18"/>
                <w:w w:val="80"/>
                <w:sz w:val="14"/>
              </w:rPr>
              <w:t> </w:t>
            </w:r>
            <w:r>
              <w:rPr>
                <w:color w:val="231F20"/>
                <w:w w:val="80"/>
                <w:sz w:val="14"/>
              </w:rPr>
              <w:t>consumo</w:t>
            </w:r>
            <w:r>
              <w:rPr>
                <w:color w:val="231F20"/>
                <w:spacing w:val="-18"/>
                <w:w w:val="80"/>
                <w:sz w:val="14"/>
              </w:rPr>
              <w:t> </w:t>
            </w:r>
            <w:r>
              <w:rPr>
                <w:color w:val="231F20"/>
                <w:w w:val="80"/>
                <w:sz w:val="14"/>
              </w:rPr>
              <w:t>y</w:t>
            </w:r>
            <w:r>
              <w:rPr>
                <w:color w:val="231F20"/>
                <w:spacing w:val="-18"/>
                <w:w w:val="80"/>
                <w:sz w:val="14"/>
              </w:rPr>
              <w:t> </w:t>
            </w:r>
            <w:r>
              <w:rPr>
                <w:color w:val="231F20"/>
                <w:w w:val="80"/>
                <w:sz w:val="14"/>
              </w:rPr>
              <w:t>producción.</w:t>
            </w:r>
            <w:r>
              <w:rPr>
                <w:color w:val="231F20"/>
                <w:spacing w:val="-18"/>
                <w:w w:val="80"/>
                <w:sz w:val="14"/>
              </w:rPr>
              <w:t> </w:t>
            </w:r>
            <w:r>
              <w:rPr>
                <w:color w:val="231F20"/>
                <w:w w:val="80"/>
                <w:sz w:val="14"/>
              </w:rPr>
              <w:t>Mejoramiento</w:t>
            </w:r>
            <w:r>
              <w:rPr>
                <w:color w:val="231F20"/>
                <w:spacing w:val="-18"/>
                <w:w w:val="80"/>
                <w:sz w:val="14"/>
              </w:rPr>
              <w:t> </w:t>
            </w:r>
            <w:r>
              <w:rPr>
                <w:color w:val="231F20"/>
                <w:w w:val="80"/>
                <w:sz w:val="14"/>
              </w:rPr>
              <w:t>de</w:t>
            </w:r>
            <w:r>
              <w:rPr>
                <w:color w:val="231F20"/>
                <w:spacing w:val="-18"/>
                <w:w w:val="80"/>
                <w:sz w:val="14"/>
              </w:rPr>
              <w:t> </w:t>
            </w:r>
            <w:r>
              <w:rPr>
                <w:color w:val="231F20"/>
                <w:w w:val="80"/>
                <w:sz w:val="14"/>
              </w:rPr>
              <w:t>servicios</w:t>
            </w:r>
            <w:r>
              <w:rPr>
                <w:color w:val="231F20"/>
                <w:spacing w:val="-18"/>
                <w:w w:val="80"/>
                <w:sz w:val="14"/>
              </w:rPr>
              <w:t> </w:t>
            </w:r>
            <w:r>
              <w:rPr>
                <w:color w:val="231F20"/>
                <w:w w:val="80"/>
                <w:sz w:val="14"/>
              </w:rPr>
              <w:t>de</w:t>
            </w:r>
            <w:r>
              <w:rPr>
                <w:color w:val="231F20"/>
                <w:spacing w:val="-18"/>
                <w:w w:val="80"/>
                <w:sz w:val="14"/>
              </w:rPr>
              <w:t> </w:t>
            </w:r>
            <w:r>
              <w:rPr>
                <w:color w:val="231F20"/>
                <w:w w:val="80"/>
                <w:sz w:val="14"/>
              </w:rPr>
              <w:t>correos, telégrafos</w:t>
            </w:r>
            <w:r>
              <w:rPr>
                <w:color w:val="231F20"/>
                <w:spacing w:val="-14"/>
                <w:w w:val="80"/>
                <w:sz w:val="14"/>
              </w:rPr>
              <w:t> </w:t>
            </w:r>
            <w:r>
              <w:rPr>
                <w:color w:val="231F20"/>
                <w:w w:val="80"/>
                <w:sz w:val="14"/>
              </w:rPr>
              <w:t>y</w:t>
            </w:r>
            <w:r>
              <w:rPr>
                <w:color w:val="231F20"/>
                <w:spacing w:val="-14"/>
                <w:w w:val="80"/>
                <w:sz w:val="14"/>
              </w:rPr>
              <w:t> </w:t>
            </w:r>
            <w:r>
              <w:rPr>
                <w:color w:val="231F20"/>
                <w:w w:val="80"/>
                <w:sz w:val="14"/>
              </w:rPr>
              <w:t>teléfonos.</w:t>
            </w:r>
            <w:r>
              <w:rPr>
                <w:color w:val="231F20"/>
                <w:spacing w:val="-14"/>
                <w:w w:val="80"/>
                <w:sz w:val="14"/>
              </w:rPr>
              <w:t> </w:t>
            </w:r>
            <w:r>
              <w:rPr>
                <w:color w:val="231F20"/>
                <w:w w:val="80"/>
                <w:sz w:val="14"/>
              </w:rPr>
              <w:t>Estimular</w:t>
            </w:r>
            <w:r>
              <w:rPr>
                <w:color w:val="231F20"/>
                <w:spacing w:val="-14"/>
                <w:w w:val="80"/>
                <w:sz w:val="14"/>
              </w:rPr>
              <w:t> </w:t>
            </w:r>
            <w:r>
              <w:rPr>
                <w:color w:val="231F20"/>
                <w:w w:val="80"/>
                <w:sz w:val="14"/>
              </w:rPr>
              <w:t>inversión</w:t>
            </w:r>
            <w:r>
              <w:rPr>
                <w:color w:val="231F20"/>
                <w:spacing w:val="-14"/>
                <w:w w:val="80"/>
                <w:sz w:val="14"/>
              </w:rPr>
              <w:t> </w:t>
            </w:r>
            <w:r>
              <w:rPr>
                <w:color w:val="231F20"/>
                <w:w w:val="80"/>
                <w:sz w:val="14"/>
              </w:rPr>
              <w:t>privada.</w:t>
            </w:r>
          </w:p>
        </w:tc>
        <w:tc>
          <w:tcPr>
            <w:tcW w:w="515" w:type="dxa"/>
            <w:textDirection w:val="btLr"/>
          </w:tcPr>
          <w:p>
            <w:pPr>
              <w:pStyle w:val="TableParagraph"/>
              <w:spacing w:line="140" w:lineRule="exact" w:before="96"/>
              <w:ind w:left="215" w:right="130" w:hanging="73"/>
              <w:rPr>
                <w:b/>
                <w:sz w:val="14"/>
              </w:rPr>
            </w:pPr>
            <w:r>
              <w:rPr>
                <w:b/>
                <w:color w:val="231F20"/>
                <w:spacing w:val="1"/>
                <w:w w:val="85"/>
                <w:sz w:val="14"/>
              </w:rPr>
              <w:t>P</w:t>
            </w:r>
            <w:r>
              <w:rPr>
                <w:b/>
                <w:color w:val="231F20"/>
                <w:spacing w:val="2"/>
                <w:w w:val="85"/>
                <w:sz w:val="14"/>
              </w:rPr>
              <w:t>a</w:t>
            </w:r>
            <w:r>
              <w:rPr>
                <w:b/>
                <w:color w:val="231F20"/>
                <w:spacing w:val="5"/>
                <w:w w:val="82"/>
                <w:sz w:val="14"/>
              </w:rPr>
              <w:t>r</w:t>
            </w:r>
            <w:r>
              <w:rPr>
                <w:b/>
                <w:color w:val="231F20"/>
                <w:spacing w:val="2"/>
                <w:w w:val="89"/>
                <w:sz w:val="14"/>
              </w:rPr>
              <w:t>t</w:t>
            </w:r>
            <w:r>
              <w:rPr>
                <w:b/>
                <w:color w:val="231F20"/>
                <w:spacing w:val="2"/>
                <w:w w:val="90"/>
                <w:sz w:val="14"/>
              </w:rPr>
              <w:t>i</w:t>
            </w:r>
            <w:r>
              <w:rPr>
                <w:b/>
                <w:color w:val="231F20"/>
                <w:spacing w:val="3"/>
                <w:w w:val="77"/>
                <w:sz w:val="14"/>
              </w:rPr>
              <w:t>c</w:t>
            </w:r>
            <w:r>
              <w:rPr>
                <w:b/>
                <w:color w:val="231F20"/>
                <w:spacing w:val="2"/>
                <w:w w:val="90"/>
                <w:sz w:val="14"/>
              </w:rPr>
              <w:t>i</w:t>
            </w:r>
            <w:r>
              <w:rPr>
                <w:b/>
                <w:color w:val="231F20"/>
                <w:spacing w:val="2"/>
                <w:w w:val="83"/>
                <w:sz w:val="14"/>
              </w:rPr>
              <w:t>p</w:t>
            </w:r>
            <w:r>
              <w:rPr>
                <w:b/>
                <w:color w:val="231F20"/>
                <w:spacing w:val="1"/>
                <w:w w:val="85"/>
                <w:sz w:val="14"/>
              </w:rPr>
              <w:t>a</w:t>
            </w:r>
            <w:r>
              <w:rPr>
                <w:b/>
                <w:color w:val="231F20"/>
                <w:spacing w:val="3"/>
                <w:w w:val="77"/>
                <w:sz w:val="14"/>
              </w:rPr>
              <w:t>c</w:t>
            </w:r>
            <w:r>
              <w:rPr>
                <w:b/>
                <w:color w:val="231F20"/>
                <w:spacing w:val="2"/>
                <w:w w:val="90"/>
                <w:sz w:val="14"/>
              </w:rPr>
              <w:t>i</w:t>
            </w:r>
            <w:r>
              <w:rPr>
                <w:b/>
                <w:color w:val="231F20"/>
                <w:spacing w:val="2"/>
                <w:w w:val="82"/>
                <w:sz w:val="14"/>
              </w:rPr>
              <w:t>ón </w:t>
            </w:r>
            <w:r>
              <w:rPr>
                <w:b/>
                <w:color w:val="231F20"/>
                <w:spacing w:val="3"/>
                <w:w w:val="77"/>
                <w:sz w:val="14"/>
              </w:rPr>
              <w:t>c</w:t>
            </w:r>
            <w:r>
              <w:rPr>
                <w:b/>
                <w:color w:val="231F20"/>
                <w:spacing w:val="2"/>
                <w:w w:val="90"/>
                <w:sz w:val="14"/>
              </w:rPr>
              <w:t>i</w:t>
            </w:r>
            <w:r>
              <w:rPr>
                <w:b/>
                <w:color w:val="231F20"/>
                <w:spacing w:val="2"/>
                <w:w w:val="84"/>
                <w:sz w:val="14"/>
              </w:rPr>
              <w:t>u</w:t>
            </w:r>
            <w:r>
              <w:rPr>
                <w:b/>
                <w:color w:val="231F20"/>
                <w:spacing w:val="2"/>
                <w:w w:val="84"/>
                <w:sz w:val="14"/>
              </w:rPr>
              <w:t>dada</w:t>
            </w:r>
            <w:r>
              <w:rPr>
                <w:b/>
                <w:color w:val="231F20"/>
                <w:spacing w:val="2"/>
                <w:w w:val="85"/>
                <w:sz w:val="14"/>
              </w:rPr>
              <w:t>na</w:t>
            </w:r>
          </w:p>
        </w:tc>
        <w:tc>
          <w:tcPr>
            <w:tcW w:w="3587" w:type="dxa"/>
          </w:tcPr>
          <w:p>
            <w:pPr>
              <w:pStyle w:val="TableParagraph"/>
              <w:spacing w:line="196" w:lineRule="auto"/>
              <w:ind w:left="89" w:right="87"/>
              <w:jc w:val="center"/>
              <w:rPr>
                <w:sz w:val="14"/>
              </w:rPr>
            </w:pPr>
            <w:r>
              <w:rPr>
                <w:color w:val="231F20"/>
                <w:w w:val="80"/>
                <w:sz w:val="14"/>
              </w:rPr>
              <w:t>Democracia</w:t>
            </w:r>
            <w:r>
              <w:rPr>
                <w:color w:val="231F20"/>
                <w:spacing w:val="-18"/>
                <w:w w:val="80"/>
                <w:sz w:val="14"/>
              </w:rPr>
              <w:t> </w:t>
            </w:r>
            <w:r>
              <w:rPr>
                <w:color w:val="231F20"/>
                <w:w w:val="80"/>
                <w:sz w:val="14"/>
              </w:rPr>
              <w:t>participativa.</w:t>
            </w:r>
            <w:r>
              <w:rPr>
                <w:color w:val="231F20"/>
                <w:spacing w:val="-18"/>
                <w:w w:val="80"/>
                <w:sz w:val="14"/>
              </w:rPr>
              <w:t> </w:t>
            </w:r>
            <w:r>
              <w:rPr>
                <w:color w:val="231F20"/>
                <w:w w:val="80"/>
                <w:sz w:val="14"/>
              </w:rPr>
              <w:t>Gobierno</w:t>
            </w:r>
            <w:r>
              <w:rPr>
                <w:color w:val="231F20"/>
                <w:spacing w:val="-18"/>
                <w:w w:val="80"/>
                <w:sz w:val="14"/>
              </w:rPr>
              <w:t> </w:t>
            </w:r>
            <w:r>
              <w:rPr>
                <w:color w:val="231F20"/>
                <w:w w:val="80"/>
                <w:sz w:val="14"/>
              </w:rPr>
              <w:t>incluyente.</w:t>
            </w:r>
            <w:r>
              <w:rPr>
                <w:color w:val="231F20"/>
                <w:spacing w:val="-18"/>
                <w:w w:val="80"/>
                <w:sz w:val="14"/>
              </w:rPr>
              <w:t> </w:t>
            </w:r>
            <w:r>
              <w:rPr>
                <w:color w:val="231F20"/>
                <w:w w:val="80"/>
                <w:sz w:val="14"/>
              </w:rPr>
              <w:t>Cultura</w:t>
            </w:r>
            <w:r>
              <w:rPr>
                <w:color w:val="231F20"/>
                <w:spacing w:val="-18"/>
                <w:w w:val="80"/>
                <w:sz w:val="14"/>
              </w:rPr>
              <w:t> </w:t>
            </w:r>
            <w:r>
              <w:rPr>
                <w:color w:val="231F20"/>
                <w:w w:val="80"/>
                <w:sz w:val="14"/>
              </w:rPr>
              <w:t>de</w:t>
            </w:r>
            <w:r>
              <w:rPr>
                <w:color w:val="231F20"/>
                <w:spacing w:val="-18"/>
                <w:w w:val="80"/>
                <w:sz w:val="14"/>
              </w:rPr>
              <w:t> </w:t>
            </w:r>
            <w:r>
              <w:rPr>
                <w:color w:val="231F20"/>
                <w:w w:val="80"/>
                <w:sz w:val="14"/>
              </w:rPr>
              <w:t>transparencia, rendición</w:t>
            </w:r>
            <w:r>
              <w:rPr>
                <w:color w:val="231F20"/>
                <w:spacing w:val="-15"/>
                <w:w w:val="80"/>
                <w:sz w:val="14"/>
              </w:rPr>
              <w:t> </w:t>
            </w:r>
            <w:r>
              <w:rPr>
                <w:color w:val="231F20"/>
                <w:w w:val="80"/>
                <w:sz w:val="14"/>
              </w:rPr>
              <w:t>de</w:t>
            </w:r>
            <w:r>
              <w:rPr>
                <w:color w:val="231F20"/>
                <w:spacing w:val="-15"/>
                <w:w w:val="80"/>
                <w:sz w:val="14"/>
              </w:rPr>
              <w:t> </w:t>
            </w:r>
            <w:r>
              <w:rPr>
                <w:color w:val="231F20"/>
                <w:w w:val="80"/>
                <w:sz w:val="14"/>
              </w:rPr>
              <w:t>cuentas</w:t>
            </w:r>
            <w:r>
              <w:rPr>
                <w:color w:val="231F20"/>
                <w:spacing w:val="-15"/>
                <w:w w:val="80"/>
                <w:sz w:val="14"/>
              </w:rPr>
              <w:t> </w:t>
            </w:r>
            <w:r>
              <w:rPr>
                <w:color w:val="231F20"/>
                <w:w w:val="80"/>
                <w:sz w:val="14"/>
              </w:rPr>
              <w:t>y</w:t>
            </w:r>
            <w:r>
              <w:rPr>
                <w:color w:val="231F20"/>
                <w:spacing w:val="-15"/>
                <w:w w:val="80"/>
                <w:sz w:val="14"/>
              </w:rPr>
              <w:t> </w:t>
            </w:r>
            <w:r>
              <w:rPr>
                <w:color w:val="231F20"/>
                <w:w w:val="80"/>
                <w:sz w:val="14"/>
              </w:rPr>
              <w:t>acceso</w:t>
            </w:r>
            <w:r>
              <w:rPr>
                <w:color w:val="231F20"/>
                <w:spacing w:val="-15"/>
                <w:w w:val="80"/>
                <w:sz w:val="14"/>
              </w:rPr>
              <w:t> </w:t>
            </w:r>
            <w:r>
              <w:rPr>
                <w:color w:val="231F20"/>
                <w:w w:val="80"/>
                <w:sz w:val="14"/>
              </w:rPr>
              <w:t>a</w:t>
            </w:r>
            <w:r>
              <w:rPr>
                <w:color w:val="231F20"/>
                <w:spacing w:val="-15"/>
                <w:w w:val="80"/>
                <w:sz w:val="14"/>
              </w:rPr>
              <w:t> </w:t>
            </w:r>
            <w:r>
              <w:rPr>
                <w:color w:val="231F20"/>
                <w:w w:val="80"/>
                <w:sz w:val="14"/>
              </w:rPr>
              <w:t>la</w:t>
            </w:r>
            <w:r>
              <w:rPr>
                <w:color w:val="231F20"/>
                <w:spacing w:val="-15"/>
                <w:w w:val="80"/>
                <w:sz w:val="14"/>
              </w:rPr>
              <w:t> </w:t>
            </w:r>
            <w:r>
              <w:rPr>
                <w:color w:val="231F20"/>
                <w:w w:val="80"/>
                <w:sz w:val="14"/>
              </w:rPr>
              <w:t>información,</w:t>
            </w:r>
            <w:r>
              <w:rPr>
                <w:color w:val="231F20"/>
                <w:spacing w:val="-15"/>
                <w:w w:val="80"/>
                <w:sz w:val="14"/>
              </w:rPr>
              <w:t> </w:t>
            </w:r>
            <w:r>
              <w:rPr>
                <w:color w:val="231F20"/>
                <w:w w:val="80"/>
                <w:sz w:val="14"/>
              </w:rPr>
              <w:t>Contralorías</w:t>
            </w:r>
            <w:r>
              <w:rPr>
                <w:color w:val="231F20"/>
                <w:spacing w:val="-15"/>
                <w:w w:val="80"/>
                <w:sz w:val="14"/>
              </w:rPr>
              <w:t> </w:t>
            </w:r>
            <w:r>
              <w:rPr>
                <w:color w:val="231F20"/>
                <w:w w:val="80"/>
                <w:sz w:val="14"/>
              </w:rPr>
              <w:t>ciudadanas.</w:t>
            </w:r>
          </w:p>
          <w:p>
            <w:pPr>
              <w:pStyle w:val="TableParagraph"/>
              <w:spacing w:line="147" w:lineRule="exact"/>
              <w:ind w:left="89" w:right="89"/>
              <w:jc w:val="center"/>
              <w:rPr>
                <w:sz w:val="14"/>
              </w:rPr>
            </w:pPr>
            <w:r>
              <w:rPr>
                <w:color w:val="231F20"/>
                <w:w w:val="80"/>
                <w:sz w:val="14"/>
              </w:rPr>
              <w:t>Participación comunitaria. Igualdad.</w:t>
            </w:r>
          </w:p>
        </w:tc>
      </w:tr>
      <w:tr>
        <w:trPr>
          <w:trHeight w:val="586" w:hRule="exact"/>
        </w:trPr>
        <w:tc>
          <w:tcPr>
            <w:tcW w:w="529" w:type="dxa"/>
            <w:vMerge w:val="restart"/>
            <w:textDirection w:val="btLr"/>
          </w:tcPr>
          <w:p>
            <w:pPr>
              <w:pStyle w:val="TableParagraph"/>
              <w:spacing w:before="74"/>
              <w:ind w:left="233"/>
              <w:rPr>
                <w:b/>
                <w:sz w:val="14"/>
              </w:rPr>
            </w:pPr>
            <w:r>
              <w:rPr>
                <w:b/>
                <w:color w:val="231F20"/>
                <w:spacing w:val="2"/>
                <w:w w:val="81"/>
                <w:sz w:val="14"/>
              </w:rPr>
              <w:t>H</w:t>
            </w:r>
            <w:r>
              <w:rPr>
                <w:b/>
                <w:color w:val="231F20"/>
                <w:spacing w:val="1"/>
                <w:w w:val="85"/>
                <w:sz w:val="14"/>
              </w:rPr>
              <w:t>a</w:t>
            </w:r>
            <w:r>
              <w:rPr>
                <w:b/>
                <w:color w:val="231F20"/>
                <w:spacing w:val="3"/>
                <w:w w:val="77"/>
                <w:sz w:val="14"/>
              </w:rPr>
              <w:t>c</w:t>
            </w:r>
            <w:r>
              <w:rPr>
                <w:b/>
                <w:color w:val="231F20"/>
                <w:spacing w:val="2"/>
                <w:w w:val="90"/>
                <w:sz w:val="14"/>
              </w:rPr>
              <w:t>i</w:t>
            </w:r>
            <w:r>
              <w:rPr>
                <w:b/>
                <w:color w:val="231F20"/>
                <w:spacing w:val="2"/>
                <w:w w:val="84"/>
                <w:sz w:val="14"/>
              </w:rPr>
              <w:t>en</w:t>
            </w:r>
            <w:r>
              <w:rPr>
                <w:b/>
                <w:color w:val="231F20"/>
                <w:spacing w:val="2"/>
                <w:w w:val="84"/>
                <w:sz w:val="14"/>
              </w:rPr>
              <w:t>d</w:t>
            </w:r>
            <w:r>
              <w:rPr>
                <w:b/>
                <w:color w:val="231F20"/>
                <w:w w:val="84"/>
                <w:sz w:val="14"/>
              </w:rPr>
              <w:t>a</w:t>
            </w:r>
            <w:r>
              <w:rPr>
                <w:b/>
                <w:color w:val="231F20"/>
                <w:spacing w:val="-10"/>
                <w:sz w:val="14"/>
              </w:rPr>
              <w:t> </w:t>
            </w:r>
            <w:r>
              <w:rPr>
                <w:b/>
                <w:color w:val="231F20"/>
                <w:w w:val="82"/>
                <w:sz w:val="14"/>
              </w:rPr>
              <w:t>y</w:t>
            </w:r>
            <w:r>
              <w:rPr>
                <w:b/>
                <w:color w:val="231F20"/>
                <w:spacing w:val="-10"/>
                <w:sz w:val="14"/>
              </w:rPr>
              <w:t> </w:t>
            </w:r>
            <w:r>
              <w:rPr>
                <w:b/>
                <w:color w:val="231F20"/>
                <w:spacing w:val="3"/>
                <w:w w:val="77"/>
                <w:sz w:val="14"/>
              </w:rPr>
              <w:t>c</w:t>
            </w:r>
            <w:r>
              <w:rPr>
                <w:b/>
                <w:color w:val="231F20"/>
                <w:spacing w:val="3"/>
                <w:w w:val="82"/>
                <w:sz w:val="14"/>
              </w:rPr>
              <w:t>r</w:t>
            </w:r>
            <w:r>
              <w:rPr>
                <w:b/>
                <w:color w:val="231F20"/>
                <w:spacing w:val="2"/>
                <w:w w:val="83"/>
                <w:sz w:val="14"/>
              </w:rPr>
              <w:t>é</w:t>
            </w:r>
            <w:r>
              <w:rPr>
                <w:b/>
                <w:color w:val="231F20"/>
                <w:spacing w:val="2"/>
                <w:w w:val="83"/>
                <w:sz w:val="14"/>
              </w:rPr>
              <w:t>d</w:t>
            </w:r>
            <w:r>
              <w:rPr>
                <w:b/>
                <w:color w:val="231F20"/>
                <w:spacing w:val="2"/>
                <w:w w:val="90"/>
                <w:sz w:val="14"/>
              </w:rPr>
              <w:t>it</w:t>
            </w:r>
            <w:r>
              <w:rPr>
                <w:b/>
                <w:color w:val="231F20"/>
                <w:w w:val="80"/>
                <w:sz w:val="14"/>
              </w:rPr>
              <w:t>o</w:t>
            </w:r>
          </w:p>
        </w:tc>
        <w:tc>
          <w:tcPr>
            <w:tcW w:w="3296" w:type="dxa"/>
            <w:vMerge w:val="restart"/>
          </w:tcPr>
          <w:p>
            <w:pPr>
              <w:pStyle w:val="TableParagraph"/>
              <w:spacing w:line="196" w:lineRule="auto"/>
              <w:ind w:left="154" w:right="152"/>
              <w:jc w:val="center"/>
              <w:rPr>
                <w:sz w:val="14"/>
              </w:rPr>
            </w:pPr>
            <w:r>
              <w:rPr>
                <w:color w:val="231F20"/>
                <w:w w:val="80"/>
                <w:sz w:val="14"/>
              </w:rPr>
              <w:t>La</w:t>
            </w:r>
            <w:r>
              <w:rPr>
                <w:color w:val="231F20"/>
                <w:spacing w:val="-11"/>
                <w:w w:val="80"/>
                <w:sz w:val="14"/>
              </w:rPr>
              <w:t> </w:t>
            </w:r>
            <w:r>
              <w:rPr>
                <w:color w:val="231F20"/>
                <w:w w:val="80"/>
                <w:sz w:val="14"/>
              </w:rPr>
              <w:t>administración</w:t>
            </w:r>
            <w:r>
              <w:rPr>
                <w:color w:val="231F20"/>
                <w:spacing w:val="-11"/>
                <w:w w:val="80"/>
                <w:sz w:val="14"/>
              </w:rPr>
              <w:t> </w:t>
            </w:r>
            <w:r>
              <w:rPr>
                <w:color w:val="231F20"/>
                <w:w w:val="80"/>
                <w:sz w:val="14"/>
              </w:rPr>
              <w:t>de</w:t>
            </w:r>
            <w:r>
              <w:rPr>
                <w:color w:val="231F20"/>
                <w:spacing w:val="-11"/>
                <w:w w:val="80"/>
                <w:sz w:val="14"/>
              </w:rPr>
              <w:t> </w:t>
            </w:r>
            <w:r>
              <w:rPr>
                <w:color w:val="231F20"/>
                <w:w w:val="80"/>
                <w:sz w:val="14"/>
              </w:rPr>
              <w:t>los</w:t>
            </w:r>
            <w:r>
              <w:rPr>
                <w:color w:val="231F20"/>
                <w:spacing w:val="-11"/>
                <w:w w:val="80"/>
                <w:sz w:val="14"/>
              </w:rPr>
              <w:t> </w:t>
            </w:r>
            <w:r>
              <w:rPr>
                <w:color w:val="231F20"/>
                <w:w w:val="80"/>
                <w:sz w:val="14"/>
              </w:rPr>
              <w:t>fondos</w:t>
            </w:r>
            <w:r>
              <w:rPr>
                <w:color w:val="231F20"/>
                <w:spacing w:val="-11"/>
                <w:w w:val="80"/>
                <w:sz w:val="14"/>
              </w:rPr>
              <w:t> </w:t>
            </w:r>
            <w:r>
              <w:rPr>
                <w:color w:val="231F20"/>
                <w:w w:val="80"/>
                <w:sz w:val="14"/>
              </w:rPr>
              <w:t>públicos</w:t>
            </w:r>
            <w:r>
              <w:rPr>
                <w:color w:val="231F20"/>
                <w:spacing w:val="-11"/>
                <w:w w:val="80"/>
                <w:sz w:val="14"/>
              </w:rPr>
              <w:t> </w:t>
            </w:r>
            <w:r>
              <w:rPr>
                <w:color w:val="231F20"/>
                <w:w w:val="80"/>
                <w:sz w:val="14"/>
              </w:rPr>
              <w:t>debe</w:t>
            </w:r>
            <w:r>
              <w:rPr>
                <w:color w:val="231F20"/>
                <w:spacing w:val="-11"/>
                <w:w w:val="80"/>
                <w:sz w:val="14"/>
              </w:rPr>
              <w:t> </w:t>
            </w:r>
            <w:r>
              <w:rPr>
                <w:color w:val="231F20"/>
                <w:w w:val="80"/>
                <w:sz w:val="14"/>
              </w:rPr>
              <w:t>ser</w:t>
            </w:r>
            <w:r>
              <w:rPr>
                <w:color w:val="231F20"/>
                <w:spacing w:val="-11"/>
                <w:w w:val="80"/>
                <w:sz w:val="14"/>
              </w:rPr>
              <w:t> </w:t>
            </w:r>
            <w:r>
              <w:rPr>
                <w:color w:val="231F20"/>
                <w:w w:val="80"/>
                <w:sz w:val="14"/>
              </w:rPr>
              <w:t>con</w:t>
            </w:r>
            <w:r>
              <w:rPr>
                <w:color w:val="231F20"/>
                <w:spacing w:val="-11"/>
                <w:w w:val="80"/>
                <w:sz w:val="14"/>
              </w:rPr>
              <w:t> </w:t>
            </w:r>
            <w:r>
              <w:rPr>
                <w:color w:val="231F20"/>
                <w:w w:val="80"/>
                <w:sz w:val="14"/>
              </w:rPr>
              <w:t>probidad</w:t>
            </w:r>
            <w:r>
              <w:rPr>
                <w:color w:val="231F20"/>
                <w:spacing w:val="-11"/>
                <w:w w:val="80"/>
                <w:sz w:val="14"/>
              </w:rPr>
              <w:t> </w:t>
            </w:r>
            <w:r>
              <w:rPr>
                <w:color w:val="231F20"/>
                <w:w w:val="80"/>
                <w:sz w:val="14"/>
              </w:rPr>
              <w:t>y eficiencia.</w:t>
            </w:r>
            <w:r>
              <w:rPr>
                <w:color w:val="231F20"/>
                <w:spacing w:val="-10"/>
                <w:w w:val="80"/>
                <w:sz w:val="14"/>
              </w:rPr>
              <w:t> </w:t>
            </w:r>
            <w:r>
              <w:rPr>
                <w:color w:val="231F20"/>
                <w:w w:val="80"/>
                <w:sz w:val="14"/>
              </w:rPr>
              <w:t>Regular</w:t>
            </w:r>
            <w:r>
              <w:rPr>
                <w:color w:val="231F20"/>
                <w:spacing w:val="-10"/>
                <w:w w:val="80"/>
                <w:sz w:val="14"/>
              </w:rPr>
              <w:t> </w:t>
            </w:r>
            <w:r>
              <w:rPr>
                <w:color w:val="231F20"/>
                <w:w w:val="80"/>
                <w:sz w:val="14"/>
              </w:rPr>
              <w:t>la</w:t>
            </w:r>
            <w:r>
              <w:rPr>
                <w:color w:val="231F20"/>
                <w:spacing w:val="-10"/>
                <w:w w:val="80"/>
                <w:sz w:val="14"/>
              </w:rPr>
              <w:t> </w:t>
            </w:r>
            <w:r>
              <w:rPr>
                <w:color w:val="231F20"/>
                <w:w w:val="80"/>
                <w:sz w:val="14"/>
              </w:rPr>
              <w:t>riqueza</w:t>
            </w:r>
            <w:r>
              <w:rPr>
                <w:color w:val="231F20"/>
                <w:spacing w:val="-10"/>
                <w:w w:val="80"/>
                <w:sz w:val="14"/>
              </w:rPr>
              <w:t> </w:t>
            </w:r>
            <w:r>
              <w:rPr>
                <w:color w:val="231F20"/>
                <w:w w:val="80"/>
                <w:sz w:val="14"/>
              </w:rPr>
              <w:t>en</w:t>
            </w:r>
            <w:r>
              <w:rPr>
                <w:color w:val="231F20"/>
                <w:spacing w:val="-10"/>
                <w:w w:val="80"/>
                <w:sz w:val="14"/>
              </w:rPr>
              <w:t> </w:t>
            </w:r>
            <w:r>
              <w:rPr>
                <w:color w:val="231F20"/>
                <w:w w:val="80"/>
                <w:sz w:val="14"/>
              </w:rPr>
              <w:t>el</w:t>
            </w:r>
            <w:r>
              <w:rPr>
                <w:color w:val="231F20"/>
                <w:spacing w:val="-10"/>
                <w:w w:val="80"/>
                <w:sz w:val="14"/>
              </w:rPr>
              <w:t> </w:t>
            </w:r>
            <w:r>
              <w:rPr>
                <w:color w:val="231F20"/>
                <w:w w:val="80"/>
                <w:sz w:val="14"/>
              </w:rPr>
              <w:t>país.</w:t>
            </w:r>
            <w:r>
              <w:rPr>
                <w:color w:val="231F20"/>
                <w:spacing w:val="-10"/>
                <w:w w:val="80"/>
                <w:sz w:val="14"/>
              </w:rPr>
              <w:t> </w:t>
            </w:r>
            <w:r>
              <w:rPr>
                <w:color w:val="231F20"/>
                <w:w w:val="80"/>
                <w:sz w:val="14"/>
              </w:rPr>
              <w:t>Equilibrar</w:t>
            </w:r>
            <w:r>
              <w:rPr>
                <w:color w:val="231F20"/>
                <w:spacing w:val="-10"/>
                <w:w w:val="80"/>
                <w:sz w:val="14"/>
              </w:rPr>
              <w:t> </w:t>
            </w:r>
            <w:r>
              <w:rPr>
                <w:color w:val="231F20"/>
                <w:w w:val="80"/>
                <w:sz w:val="14"/>
              </w:rPr>
              <w:t>inversión</w:t>
            </w:r>
            <w:r>
              <w:rPr>
                <w:color w:val="231F20"/>
                <w:spacing w:val="-10"/>
                <w:w w:val="80"/>
                <w:sz w:val="14"/>
              </w:rPr>
              <w:t> </w:t>
            </w:r>
            <w:r>
              <w:rPr>
                <w:color w:val="231F20"/>
                <w:w w:val="80"/>
                <w:sz w:val="14"/>
              </w:rPr>
              <w:t>pública y</w:t>
            </w:r>
            <w:r>
              <w:rPr>
                <w:color w:val="231F20"/>
                <w:spacing w:val="-13"/>
                <w:w w:val="80"/>
                <w:sz w:val="14"/>
              </w:rPr>
              <w:t> </w:t>
            </w:r>
            <w:r>
              <w:rPr>
                <w:color w:val="231F20"/>
                <w:w w:val="80"/>
                <w:sz w:val="14"/>
              </w:rPr>
              <w:t>privada.</w:t>
            </w:r>
          </w:p>
        </w:tc>
        <w:tc>
          <w:tcPr>
            <w:tcW w:w="515" w:type="dxa"/>
            <w:textDirection w:val="btLr"/>
          </w:tcPr>
          <w:p>
            <w:pPr>
              <w:pStyle w:val="TableParagraph"/>
              <w:spacing w:before="74"/>
              <w:ind w:left="54"/>
              <w:rPr>
                <w:b/>
                <w:sz w:val="14"/>
              </w:rPr>
            </w:pPr>
            <w:r>
              <w:rPr>
                <w:b/>
                <w:color w:val="231F20"/>
                <w:spacing w:val="2"/>
                <w:w w:val="83"/>
                <w:sz w:val="14"/>
              </w:rPr>
              <w:t>S</w:t>
            </w:r>
            <w:r>
              <w:rPr>
                <w:b/>
                <w:color w:val="231F20"/>
                <w:spacing w:val="2"/>
                <w:w w:val="83"/>
                <w:sz w:val="14"/>
              </w:rPr>
              <w:t>e</w:t>
            </w:r>
            <w:r>
              <w:rPr>
                <w:b/>
                <w:color w:val="231F20"/>
                <w:spacing w:val="1"/>
                <w:w w:val="94"/>
                <w:sz w:val="14"/>
              </w:rPr>
              <w:t>g</w:t>
            </w:r>
            <w:r>
              <w:rPr>
                <w:b/>
                <w:color w:val="231F20"/>
                <w:w w:val="87"/>
                <w:sz w:val="14"/>
              </w:rPr>
              <w:t>.</w:t>
            </w:r>
            <w:r>
              <w:rPr>
                <w:b/>
                <w:color w:val="231F20"/>
                <w:spacing w:val="-10"/>
                <w:sz w:val="14"/>
              </w:rPr>
              <w:t> </w:t>
            </w:r>
            <w:r>
              <w:rPr>
                <w:b/>
                <w:color w:val="231F20"/>
                <w:spacing w:val="2"/>
                <w:w w:val="85"/>
                <w:sz w:val="14"/>
              </w:rPr>
              <w:t>P</w:t>
            </w:r>
            <w:r>
              <w:rPr>
                <w:b/>
                <w:color w:val="231F20"/>
                <w:spacing w:val="2"/>
                <w:w w:val="84"/>
                <w:sz w:val="14"/>
              </w:rPr>
              <w:t>u</w:t>
            </w:r>
            <w:r>
              <w:rPr>
                <w:b/>
                <w:color w:val="231F20"/>
                <w:w w:val="83"/>
                <w:sz w:val="14"/>
              </w:rPr>
              <w:t>b</w:t>
            </w:r>
            <w:r>
              <w:rPr>
                <w:b/>
                <w:color w:val="231F20"/>
                <w:w w:val="87"/>
                <w:sz w:val="14"/>
              </w:rPr>
              <w:t>.</w:t>
            </w:r>
          </w:p>
        </w:tc>
        <w:tc>
          <w:tcPr>
            <w:tcW w:w="3587" w:type="dxa"/>
          </w:tcPr>
          <w:p>
            <w:pPr>
              <w:pStyle w:val="TableParagraph"/>
              <w:spacing w:line="196" w:lineRule="auto"/>
              <w:ind w:left="1507" w:right="158" w:hanging="1345"/>
              <w:rPr>
                <w:sz w:val="14"/>
              </w:rPr>
            </w:pPr>
            <w:r>
              <w:rPr>
                <w:color w:val="231F20"/>
                <w:w w:val="80"/>
                <w:sz w:val="14"/>
              </w:rPr>
              <w:t>Mejorar</w:t>
            </w:r>
            <w:r>
              <w:rPr>
                <w:color w:val="231F20"/>
                <w:spacing w:val="-14"/>
                <w:w w:val="80"/>
                <w:sz w:val="14"/>
              </w:rPr>
              <w:t> </w:t>
            </w:r>
            <w:r>
              <w:rPr>
                <w:color w:val="231F20"/>
                <w:w w:val="80"/>
                <w:sz w:val="14"/>
              </w:rPr>
              <w:t>normas,</w:t>
            </w:r>
            <w:r>
              <w:rPr>
                <w:color w:val="231F20"/>
                <w:spacing w:val="-14"/>
                <w:w w:val="80"/>
                <w:sz w:val="14"/>
              </w:rPr>
              <w:t> </w:t>
            </w:r>
            <w:r>
              <w:rPr>
                <w:color w:val="231F20"/>
                <w:w w:val="80"/>
                <w:sz w:val="14"/>
              </w:rPr>
              <w:t>órganos</w:t>
            </w:r>
            <w:r>
              <w:rPr>
                <w:color w:val="231F20"/>
                <w:spacing w:val="-14"/>
                <w:w w:val="80"/>
                <w:sz w:val="14"/>
              </w:rPr>
              <w:t> </w:t>
            </w:r>
            <w:r>
              <w:rPr>
                <w:color w:val="231F20"/>
                <w:w w:val="80"/>
                <w:sz w:val="14"/>
              </w:rPr>
              <w:t>y</w:t>
            </w:r>
            <w:r>
              <w:rPr>
                <w:color w:val="231F20"/>
                <w:spacing w:val="-14"/>
                <w:w w:val="80"/>
                <w:sz w:val="14"/>
              </w:rPr>
              <w:t> </w:t>
            </w:r>
            <w:r>
              <w:rPr>
                <w:color w:val="231F20"/>
                <w:w w:val="80"/>
                <w:sz w:val="14"/>
              </w:rPr>
              <w:t>mecanismos.</w:t>
            </w:r>
            <w:r>
              <w:rPr>
                <w:color w:val="231F20"/>
                <w:spacing w:val="-14"/>
                <w:w w:val="80"/>
                <w:sz w:val="14"/>
              </w:rPr>
              <w:t> </w:t>
            </w:r>
            <w:r>
              <w:rPr>
                <w:color w:val="231F20"/>
                <w:w w:val="80"/>
                <w:sz w:val="14"/>
              </w:rPr>
              <w:t>Participación</w:t>
            </w:r>
            <w:r>
              <w:rPr>
                <w:color w:val="231F20"/>
                <w:spacing w:val="-14"/>
                <w:w w:val="80"/>
                <w:sz w:val="14"/>
              </w:rPr>
              <w:t> </w:t>
            </w:r>
            <w:r>
              <w:rPr>
                <w:color w:val="231F20"/>
                <w:w w:val="80"/>
                <w:sz w:val="14"/>
              </w:rPr>
              <w:t>de</w:t>
            </w:r>
            <w:r>
              <w:rPr>
                <w:color w:val="231F20"/>
                <w:spacing w:val="-14"/>
                <w:w w:val="80"/>
                <w:sz w:val="14"/>
              </w:rPr>
              <w:t> </w:t>
            </w:r>
            <w:r>
              <w:rPr>
                <w:color w:val="231F20"/>
                <w:w w:val="80"/>
                <w:sz w:val="14"/>
              </w:rPr>
              <w:t>los</w:t>
            </w:r>
            <w:r>
              <w:rPr>
                <w:color w:val="231F20"/>
                <w:spacing w:val="-14"/>
                <w:w w:val="80"/>
                <w:sz w:val="14"/>
              </w:rPr>
              <w:t> </w:t>
            </w:r>
            <w:r>
              <w:rPr>
                <w:color w:val="231F20"/>
                <w:w w:val="80"/>
                <w:sz w:val="14"/>
              </w:rPr>
              <w:t>tres</w:t>
            </w:r>
            <w:r>
              <w:rPr>
                <w:color w:val="231F20"/>
                <w:spacing w:val="-14"/>
                <w:w w:val="80"/>
                <w:sz w:val="14"/>
              </w:rPr>
              <w:t> </w:t>
            </w:r>
            <w:r>
              <w:rPr>
                <w:color w:val="231F20"/>
                <w:w w:val="80"/>
                <w:sz w:val="14"/>
              </w:rPr>
              <w:t>órdenes de</w:t>
            </w:r>
            <w:r>
              <w:rPr>
                <w:color w:val="231F20"/>
                <w:spacing w:val="-18"/>
                <w:w w:val="80"/>
                <w:sz w:val="14"/>
              </w:rPr>
              <w:t> </w:t>
            </w:r>
            <w:r>
              <w:rPr>
                <w:color w:val="231F20"/>
                <w:w w:val="80"/>
                <w:sz w:val="14"/>
              </w:rPr>
              <w:t>gobierno.</w:t>
            </w:r>
          </w:p>
        </w:tc>
      </w:tr>
      <w:tr>
        <w:trPr>
          <w:trHeight w:val="822" w:hRule="exact"/>
        </w:trPr>
        <w:tc>
          <w:tcPr>
            <w:tcW w:w="529" w:type="dxa"/>
            <w:vMerge/>
            <w:textDirection w:val="btLr"/>
          </w:tcPr>
          <w:p>
            <w:pPr/>
          </w:p>
        </w:tc>
        <w:tc>
          <w:tcPr>
            <w:tcW w:w="3296" w:type="dxa"/>
            <w:vMerge/>
          </w:tcPr>
          <w:p>
            <w:pPr/>
          </w:p>
        </w:tc>
        <w:tc>
          <w:tcPr>
            <w:tcW w:w="515" w:type="dxa"/>
            <w:textDirection w:val="btLr"/>
          </w:tcPr>
          <w:p>
            <w:pPr>
              <w:pStyle w:val="TableParagraph"/>
              <w:spacing w:before="74"/>
              <w:rPr>
                <w:b/>
                <w:sz w:val="14"/>
              </w:rPr>
            </w:pPr>
            <w:r>
              <w:rPr>
                <w:b/>
                <w:color w:val="231F20"/>
                <w:spacing w:val="3"/>
                <w:w w:val="71"/>
                <w:sz w:val="14"/>
              </w:rPr>
              <w:t>O</w:t>
            </w:r>
            <w:r>
              <w:rPr>
                <w:b/>
                <w:color w:val="231F20"/>
                <w:spacing w:val="2"/>
                <w:w w:val="89"/>
                <w:sz w:val="14"/>
              </w:rPr>
              <w:t>t</w:t>
            </w:r>
            <w:r>
              <w:rPr>
                <w:b/>
                <w:color w:val="231F20"/>
                <w:spacing w:val="3"/>
                <w:w w:val="82"/>
                <w:sz w:val="14"/>
              </w:rPr>
              <w:t>r</w:t>
            </w:r>
            <w:r>
              <w:rPr>
                <w:b/>
                <w:color w:val="231F20"/>
                <w:spacing w:val="2"/>
                <w:w w:val="80"/>
                <w:sz w:val="14"/>
              </w:rPr>
              <w:t>o</w:t>
            </w:r>
            <w:r>
              <w:rPr>
                <w:b/>
                <w:color w:val="231F20"/>
                <w:w w:val="81"/>
                <w:sz w:val="14"/>
              </w:rPr>
              <w:t>s</w:t>
            </w:r>
            <w:r>
              <w:rPr>
                <w:b/>
                <w:color w:val="231F20"/>
                <w:spacing w:val="-10"/>
                <w:sz w:val="14"/>
              </w:rPr>
              <w:t> </w:t>
            </w:r>
            <w:r>
              <w:rPr>
                <w:b/>
                <w:color w:val="231F20"/>
                <w:spacing w:val="1"/>
                <w:w w:val="89"/>
                <w:sz w:val="14"/>
              </w:rPr>
              <w:t>t</w:t>
            </w:r>
            <w:r>
              <w:rPr>
                <w:b/>
                <w:color w:val="231F20"/>
                <w:spacing w:val="2"/>
                <w:w w:val="83"/>
                <w:sz w:val="14"/>
              </w:rPr>
              <w:t>e</w:t>
            </w:r>
            <w:r>
              <w:rPr>
                <w:b/>
                <w:color w:val="231F20"/>
                <w:spacing w:val="2"/>
                <w:w w:val="83"/>
                <w:sz w:val="14"/>
              </w:rPr>
              <w:t>m</w:t>
            </w:r>
            <w:r>
              <w:rPr>
                <w:b/>
                <w:color w:val="231F20"/>
                <w:spacing w:val="2"/>
                <w:w w:val="85"/>
                <w:sz w:val="14"/>
              </w:rPr>
              <w:t>a</w:t>
            </w:r>
            <w:r>
              <w:rPr>
                <w:b/>
                <w:color w:val="231F20"/>
                <w:w w:val="81"/>
                <w:sz w:val="14"/>
              </w:rPr>
              <w:t>s</w:t>
            </w:r>
          </w:p>
        </w:tc>
        <w:tc>
          <w:tcPr>
            <w:tcW w:w="3587" w:type="dxa"/>
          </w:tcPr>
          <w:p>
            <w:pPr>
              <w:pStyle w:val="TableParagraph"/>
              <w:spacing w:line="196" w:lineRule="auto"/>
              <w:ind w:left="89" w:right="87"/>
              <w:jc w:val="center"/>
              <w:rPr>
                <w:sz w:val="14"/>
              </w:rPr>
            </w:pPr>
            <w:r>
              <w:rPr>
                <w:color w:val="231F20"/>
                <w:w w:val="80"/>
                <w:sz w:val="14"/>
              </w:rPr>
              <w:t>Educación. Cultura. Salud. Deporte y recreación. Desarrollo regional y urbano. Vivienda digna. Justicia para campesinos. Soberanía alimentaria. Pueblos indígenas. Equidad de género. Jóvenes. Niñez. Adultos mayores.</w:t>
            </w:r>
          </w:p>
          <w:p>
            <w:pPr>
              <w:pStyle w:val="TableParagraph"/>
              <w:spacing w:line="147" w:lineRule="exact"/>
              <w:ind w:left="89" w:right="89"/>
              <w:jc w:val="center"/>
              <w:rPr>
                <w:sz w:val="14"/>
              </w:rPr>
            </w:pPr>
            <w:r>
              <w:rPr>
                <w:color w:val="231F20"/>
                <w:w w:val="75"/>
                <w:sz w:val="14"/>
              </w:rPr>
              <w:t>Discapacitados. Medio ambiente. Calentamiento global.</w:t>
            </w:r>
          </w:p>
        </w:tc>
      </w:tr>
    </w:tbl>
    <w:p>
      <w:pPr>
        <w:pStyle w:val="BodyText"/>
        <w:spacing w:before="8"/>
        <w:rPr>
          <w:b/>
          <w:sz w:val="12"/>
        </w:rPr>
      </w:pPr>
    </w:p>
    <w:p>
      <w:pPr>
        <w:spacing w:before="74"/>
        <w:ind w:left="3349" w:right="-7" w:firstLine="0"/>
        <w:jc w:val="left"/>
        <w:rPr>
          <w:rFonts w:ascii="Calibri" w:hAnsi="Calibri"/>
          <w:sz w:val="16"/>
        </w:rPr>
      </w:pPr>
      <w:r>
        <w:rPr>
          <w:rFonts w:ascii="Calibri" w:hAnsi="Calibri"/>
          <w:color w:val="231F20"/>
          <w:sz w:val="16"/>
        </w:rPr>
        <w:t>Fuente: Programas de acción 1929 y 2001 consultado en </w:t>
      </w:r>
      <w:hyperlink r:id="rId307">
        <w:r>
          <w:rPr>
            <w:rFonts w:ascii="Calibri" w:hAnsi="Calibri"/>
            <w:color w:val="231F20"/>
            <w:sz w:val="16"/>
          </w:rPr>
          <w:t>www.pri.org.mx.</w:t>
        </w:r>
      </w:hyperlink>
    </w:p>
    <w:p>
      <w:pPr>
        <w:pStyle w:val="BodyText"/>
        <w:rPr>
          <w:rFonts w:ascii="Calibri"/>
          <w:sz w:val="16"/>
        </w:rPr>
      </w:pPr>
    </w:p>
    <w:p>
      <w:pPr>
        <w:pStyle w:val="BodyText"/>
        <w:spacing w:before="9"/>
        <w:rPr>
          <w:rFonts w:ascii="Calibri"/>
          <w:sz w:val="12"/>
        </w:rPr>
      </w:pPr>
    </w:p>
    <w:p>
      <w:pPr>
        <w:pStyle w:val="BodyText"/>
        <w:spacing w:line="285" w:lineRule="auto"/>
        <w:ind w:left="110" w:right="108"/>
        <w:jc w:val="both"/>
      </w:pPr>
      <w:r>
        <w:rPr>
          <w:color w:val="231F20"/>
          <w:spacing w:val="-3"/>
          <w:w w:val="105"/>
        </w:rPr>
        <w:t>Uno</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temas</w:t>
      </w:r>
      <w:r>
        <w:rPr>
          <w:color w:val="231F20"/>
          <w:spacing w:val="-18"/>
          <w:w w:val="105"/>
        </w:rPr>
        <w:t> </w:t>
      </w:r>
      <w:r>
        <w:rPr>
          <w:color w:val="231F20"/>
          <w:w w:val="105"/>
        </w:rPr>
        <w:t>de</w:t>
      </w:r>
      <w:r>
        <w:rPr>
          <w:color w:val="231F20"/>
          <w:spacing w:val="-18"/>
          <w:w w:val="105"/>
        </w:rPr>
        <w:t> </w:t>
      </w:r>
      <w:r>
        <w:rPr>
          <w:color w:val="231F20"/>
          <w:w w:val="105"/>
        </w:rPr>
        <w:t>mayor</w:t>
      </w:r>
      <w:r>
        <w:rPr>
          <w:color w:val="231F20"/>
          <w:spacing w:val="-18"/>
          <w:w w:val="105"/>
        </w:rPr>
        <w:t> </w:t>
      </w:r>
      <w:r>
        <w:rPr>
          <w:color w:val="231F20"/>
          <w:w w:val="105"/>
        </w:rPr>
        <w:t>impulso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agenda</w:t>
      </w:r>
      <w:r>
        <w:rPr>
          <w:color w:val="231F20"/>
          <w:spacing w:val="-18"/>
          <w:w w:val="105"/>
        </w:rPr>
        <w:t> </w:t>
      </w:r>
      <w:r>
        <w:rPr>
          <w:color w:val="231F20"/>
          <w:w w:val="105"/>
        </w:rPr>
        <w:t>priísta</w:t>
      </w:r>
      <w:r>
        <w:rPr>
          <w:color w:val="231F20"/>
          <w:spacing w:val="-18"/>
          <w:w w:val="105"/>
        </w:rPr>
        <w:t> </w:t>
      </w:r>
      <w:r>
        <w:rPr>
          <w:color w:val="231F20"/>
          <w:w w:val="105"/>
        </w:rPr>
        <w:t>fue</w:t>
      </w:r>
      <w:r>
        <w:rPr>
          <w:color w:val="231F20"/>
          <w:spacing w:val="-18"/>
          <w:w w:val="105"/>
        </w:rPr>
        <w:t> </w:t>
      </w:r>
      <w:r>
        <w:rPr>
          <w:color w:val="231F20"/>
          <w:w w:val="105"/>
        </w:rPr>
        <w:t>precisamente</w:t>
      </w:r>
      <w:r>
        <w:rPr>
          <w:color w:val="231F20"/>
          <w:spacing w:val="-18"/>
          <w:w w:val="105"/>
        </w:rPr>
        <w:t> </w:t>
      </w:r>
      <w:r>
        <w:rPr>
          <w:color w:val="231F20"/>
          <w:w w:val="105"/>
        </w:rPr>
        <w:t>el</w:t>
      </w:r>
      <w:r>
        <w:rPr>
          <w:color w:val="231F20"/>
          <w:spacing w:val="-18"/>
          <w:w w:val="105"/>
        </w:rPr>
        <w:t> </w:t>
      </w:r>
      <w:r>
        <w:rPr>
          <w:color w:val="231F20"/>
          <w:w w:val="105"/>
        </w:rPr>
        <w:t>relacionado con los ciudadanos, pues consideró que era necesario trabajar para recuperar la con- </w:t>
      </w:r>
      <w:r>
        <w:rPr>
          <w:color w:val="231F20"/>
          <w:spacing w:val="2"/>
          <w:w w:val="105"/>
        </w:rPr>
        <w:t>fianza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sociedad</w:t>
      </w:r>
      <w:r>
        <w:rPr>
          <w:color w:val="231F20"/>
          <w:spacing w:val="-14"/>
          <w:w w:val="105"/>
        </w:rPr>
        <w:t> </w:t>
      </w:r>
      <w:r>
        <w:rPr>
          <w:color w:val="231F20"/>
          <w:w w:val="105"/>
        </w:rPr>
        <w:t>en</w:t>
      </w:r>
      <w:r>
        <w:rPr>
          <w:color w:val="231F20"/>
          <w:spacing w:val="-14"/>
          <w:w w:val="105"/>
        </w:rPr>
        <w:t> </w:t>
      </w:r>
      <w:r>
        <w:rPr>
          <w:color w:val="231F20"/>
          <w:w w:val="105"/>
        </w:rPr>
        <w:t>sus</w:t>
      </w:r>
      <w:r>
        <w:rPr>
          <w:color w:val="231F20"/>
          <w:spacing w:val="-14"/>
          <w:w w:val="105"/>
        </w:rPr>
        <w:t> </w:t>
      </w:r>
      <w:r>
        <w:rPr>
          <w:color w:val="231F20"/>
          <w:w w:val="105"/>
        </w:rPr>
        <w:t>instituciones</w:t>
      </w:r>
      <w:r>
        <w:rPr>
          <w:color w:val="231F20"/>
          <w:spacing w:val="-14"/>
          <w:w w:val="105"/>
        </w:rPr>
        <w:t> </w:t>
      </w:r>
      <w:r>
        <w:rPr>
          <w:color w:val="231F20"/>
          <w:w w:val="105"/>
        </w:rPr>
        <w:t>y</w:t>
      </w:r>
      <w:r>
        <w:rPr>
          <w:color w:val="231F20"/>
          <w:spacing w:val="-14"/>
          <w:w w:val="105"/>
        </w:rPr>
        <w:t> </w:t>
      </w:r>
      <w:r>
        <w:rPr>
          <w:color w:val="231F20"/>
          <w:w w:val="105"/>
        </w:rPr>
        <w:t>del</w:t>
      </w:r>
      <w:r>
        <w:rPr>
          <w:color w:val="231F20"/>
          <w:spacing w:val="-14"/>
          <w:w w:val="105"/>
        </w:rPr>
        <w:t> </w:t>
      </w:r>
      <w:r>
        <w:rPr>
          <w:color w:val="231F20"/>
          <w:w w:val="105"/>
        </w:rPr>
        <w:t>partido</w:t>
      </w:r>
      <w:r>
        <w:rPr>
          <w:color w:val="231F20"/>
          <w:spacing w:val="-14"/>
          <w:w w:val="105"/>
        </w:rPr>
        <w:t> </w:t>
      </w:r>
      <w:r>
        <w:rPr>
          <w:color w:val="231F20"/>
          <w:w w:val="105"/>
        </w:rPr>
        <w:t>que</w:t>
      </w:r>
      <w:r>
        <w:rPr>
          <w:color w:val="231F20"/>
          <w:spacing w:val="-14"/>
          <w:w w:val="105"/>
        </w:rPr>
        <w:t> </w:t>
      </w:r>
      <w:r>
        <w:rPr>
          <w:color w:val="231F20"/>
          <w:w w:val="105"/>
        </w:rPr>
        <w:t>por</w:t>
      </w:r>
      <w:r>
        <w:rPr>
          <w:color w:val="231F20"/>
          <w:spacing w:val="-14"/>
          <w:w w:val="105"/>
        </w:rPr>
        <w:t> </w:t>
      </w:r>
      <w:r>
        <w:rPr>
          <w:color w:val="231F20"/>
          <w:w w:val="105"/>
        </w:rPr>
        <w:t>muchos</w:t>
      </w:r>
      <w:r>
        <w:rPr>
          <w:color w:val="231F20"/>
          <w:spacing w:val="-14"/>
          <w:w w:val="105"/>
        </w:rPr>
        <w:t> </w:t>
      </w:r>
      <w:r>
        <w:rPr>
          <w:color w:val="231F20"/>
          <w:w w:val="105"/>
        </w:rPr>
        <w:t>años</w:t>
      </w:r>
      <w:r>
        <w:rPr>
          <w:color w:val="231F20"/>
          <w:spacing w:val="-14"/>
          <w:w w:val="105"/>
        </w:rPr>
        <w:t> </w:t>
      </w:r>
      <w:r>
        <w:rPr>
          <w:color w:val="231F20"/>
          <w:w w:val="105"/>
        </w:rPr>
        <w:t>contribuyó a su</w:t>
      </w:r>
      <w:r>
        <w:rPr>
          <w:color w:val="231F20"/>
          <w:spacing w:val="-40"/>
          <w:w w:val="105"/>
        </w:rPr>
        <w:t> </w:t>
      </w:r>
      <w:r>
        <w:rPr>
          <w:color w:val="231F20"/>
          <w:w w:val="105"/>
        </w:rPr>
        <w:t>fortalecimiento: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507" w:right="108"/>
        <w:jc w:val="both"/>
      </w:pPr>
      <w:r>
        <w:rPr>
          <w:color w:val="231F20"/>
          <w:w w:val="105"/>
        </w:rPr>
        <w:t>“La</w:t>
      </w:r>
      <w:r>
        <w:rPr>
          <w:color w:val="231F20"/>
          <w:spacing w:val="-5"/>
          <w:w w:val="105"/>
        </w:rPr>
        <w:t> </w:t>
      </w:r>
      <w:r>
        <w:rPr>
          <w:color w:val="231F20"/>
          <w:w w:val="105"/>
        </w:rPr>
        <w:t>democracia</w:t>
      </w:r>
      <w:r>
        <w:rPr>
          <w:color w:val="231F20"/>
          <w:spacing w:val="-5"/>
          <w:w w:val="105"/>
        </w:rPr>
        <w:t> </w:t>
      </w:r>
      <w:r>
        <w:rPr>
          <w:color w:val="231F20"/>
          <w:w w:val="105"/>
        </w:rPr>
        <w:t>participativa</w:t>
      </w:r>
      <w:r>
        <w:rPr>
          <w:color w:val="231F20"/>
          <w:spacing w:val="-5"/>
          <w:w w:val="105"/>
        </w:rPr>
        <w:t> </w:t>
      </w:r>
      <w:r>
        <w:rPr>
          <w:color w:val="231F20"/>
          <w:w w:val="105"/>
        </w:rPr>
        <w:t>debe</w:t>
      </w:r>
      <w:r>
        <w:rPr>
          <w:color w:val="231F20"/>
          <w:spacing w:val="-5"/>
          <w:w w:val="105"/>
        </w:rPr>
        <w:t> </w:t>
      </w:r>
      <w:r>
        <w:rPr>
          <w:color w:val="231F20"/>
          <w:w w:val="105"/>
        </w:rPr>
        <w:t>de</w:t>
      </w:r>
      <w:r>
        <w:rPr>
          <w:color w:val="231F20"/>
          <w:spacing w:val="-5"/>
          <w:w w:val="105"/>
        </w:rPr>
        <w:t> </w:t>
      </w:r>
      <w:r>
        <w:rPr>
          <w:color w:val="231F20"/>
          <w:w w:val="105"/>
        </w:rPr>
        <w:t>asegurar</w:t>
      </w:r>
      <w:r>
        <w:rPr>
          <w:color w:val="231F20"/>
          <w:spacing w:val="-5"/>
          <w:w w:val="105"/>
        </w:rPr>
        <w:t> </w:t>
      </w:r>
      <w:r>
        <w:rPr>
          <w:color w:val="231F20"/>
          <w:w w:val="105"/>
        </w:rPr>
        <w:t>la</w:t>
      </w:r>
      <w:r>
        <w:rPr>
          <w:color w:val="231F20"/>
          <w:spacing w:val="-5"/>
          <w:w w:val="105"/>
        </w:rPr>
        <w:t> </w:t>
      </w:r>
      <w:r>
        <w:rPr>
          <w:color w:val="231F20"/>
          <w:w w:val="105"/>
        </w:rPr>
        <w:t>incorporación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ciudadanos a las decisiones de </w:t>
      </w:r>
      <w:r>
        <w:rPr>
          <w:color w:val="231F20"/>
          <w:spacing w:val="-3"/>
          <w:w w:val="105"/>
        </w:rPr>
        <w:t>gobierno. </w:t>
      </w:r>
      <w:r>
        <w:rPr>
          <w:color w:val="231F20"/>
          <w:w w:val="105"/>
        </w:rPr>
        <w:t>Sin una democracia participativa y un gobierno res- ponsable</w:t>
      </w:r>
      <w:r>
        <w:rPr>
          <w:color w:val="231F20"/>
          <w:spacing w:val="-19"/>
          <w:w w:val="105"/>
        </w:rPr>
        <w:t> </w:t>
      </w:r>
      <w:r>
        <w:rPr>
          <w:color w:val="231F20"/>
          <w:w w:val="105"/>
        </w:rPr>
        <w:t>y</w:t>
      </w:r>
      <w:r>
        <w:rPr>
          <w:color w:val="231F20"/>
          <w:spacing w:val="-19"/>
          <w:w w:val="105"/>
        </w:rPr>
        <w:t> </w:t>
      </w:r>
      <w:r>
        <w:rPr>
          <w:color w:val="231F20"/>
          <w:w w:val="105"/>
        </w:rPr>
        <w:t>abierto,</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mexicano</w:t>
      </w:r>
      <w:r>
        <w:rPr>
          <w:color w:val="231F20"/>
          <w:spacing w:val="-19"/>
          <w:w w:val="105"/>
        </w:rPr>
        <w:t> </w:t>
      </w:r>
      <w:r>
        <w:rPr>
          <w:color w:val="231F20"/>
          <w:w w:val="105"/>
        </w:rPr>
        <w:t>ve</w:t>
      </w:r>
      <w:r>
        <w:rPr>
          <w:color w:val="231F20"/>
          <w:spacing w:val="-19"/>
          <w:w w:val="105"/>
        </w:rPr>
        <w:t> </w:t>
      </w:r>
      <w:r>
        <w:rPr>
          <w:color w:val="231F20"/>
          <w:w w:val="105"/>
        </w:rPr>
        <w:t>debilitada</w:t>
      </w:r>
      <w:r>
        <w:rPr>
          <w:color w:val="231F20"/>
          <w:spacing w:val="-19"/>
          <w:w w:val="105"/>
        </w:rPr>
        <w:t> </w:t>
      </w:r>
      <w:r>
        <w:rPr>
          <w:color w:val="231F20"/>
          <w:w w:val="105"/>
        </w:rPr>
        <w:t>su</w:t>
      </w:r>
      <w:r>
        <w:rPr>
          <w:color w:val="231F20"/>
          <w:spacing w:val="-19"/>
          <w:w w:val="105"/>
        </w:rPr>
        <w:t> </w:t>
      </w:r>
      <w:r>
        <w:rPr>
          <w:color w:val="231F20"/>
          <w:w w:val="105"/>
        </w:rPr>
        <w:t>capacidad</w:t>
      </w:r>
      <w:r>
        <w:rPr>
          <w:color w:val="231F20"/>
          <w:spacing w:val="-19"/>
          <w:w w:val="105"/>
        </w:rPr>
        <w:t> </w:t>
      </w:r>
      <w:r>
        <w:rPr>
          <w:color w:val="231F20"/>
          <w:w w:val="105"/>
        </w:rPr>
        <w:t>de</w:t>
      </w:r>
      <w:r>
        <w:rPr>
          <w:color w:val="231F20"/>
          <w:spacing w:val="-19"/>
          <w:w w:val="105"/>
        </w:rPr>
        <w:t> </w:t>
      </w:r>
      <w:r>
        <w:rPr>
          <w:color w:val="231F20"/>
          <w:w w:val="105"/>
        </w:rPr>
        <w:t>responder</w:t>
      </w:r>
      <w:r>
        <w:rPr>
          <w:color w:val="231F20"/>
          <w:spacing w:val="-19"/>
          <w:w w:val="105"/>
        </w:rPr>
        <w:t> </w:t>
      </w:r>
      <w:r>
        <w:rPr>
          <w:color w:val="231F20"/>
          <w:w w:val="105"/>
        </w:rPr>
        <w:t>con efectividad</w:t>
      </w:r>
      <w:r>
        <w:rPr>
          <w:color w:val="231F20"/>
          <w:spacing w:val="-37"/>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sociedad”</w:t>
      </w:r>
      <w:r>
        <w:rPr>
          <w:color w:val="231F20"/>
          <w:spacing w:val="-37"/>
          <w:w w:val="105"/>
        </w:rPr>
        <w:t> </w:t>
      </w:r>
      <w:r>
        <w:rPr>
          <w:color w:val="231F20"/>
          <w:w w:val="105"/>
        </w:rPr>
        <w:t>(PRI,</w:t>
      </w:r>
      <w:r>
        <w:rPr>
          <w:color w:val="231F20"/>
          <w:spacing w:val="-37"/>
          <w:w w:val="105"/>
        </w:rPr>
        <w:t> </w:t>
      </w:r>
      <w:r>
        <w:rPr>
          <w:color w:val="231F20"/>
          <w:w w:val="105"/>
        </w:rPr>
        <w:t>2008).</w:t>
      </w:r>
    </w:p>
    <w:p>
      <w:pPr>
        <w:pStyle w:val="BodyText"/>
        <w:spacing w:before="1"/>
        <w:rPr>
          <w:sz w:val="26"/>
        </w:rPr>
      </w:pPr>
    </w:p>
    <w:p>
      <w:pPr>
        <w:pStyle w:val="BodyText"/>
        <w:spacing w:line="285" w:lineRule="auto"/>
        <w:ind w:left="110" w:right="107"/>
        <w:jc w:val="both"/>
      </w:pPr>
      <w:r>
        <w:rPr>
          <w:color w:val="231F20"/>
          <w:w w:val="105"/>
        </w:rPr>
        <w:t>Gobiernos</w:t>
      </w:r>
      <w:r>
        <w:rPr>
          <w:color w:val="231F20"/>
          <w:spacing w:val="-11"/>
          <w:w w:val="105"/>
        </w:rPr>
        <w:t> </w:t>
      </w:r>
      <w:r>
        <w:rPr>
          <w:color w:val="231F20"/>
          <w:w w:val="105"/>
        </w:rPr>
        <w:t>incluyentes</w:t>
      </w:r>
      <w:r>
        <w:rPr>
          <w:color w:val="231F20"/>
          <w:spacing w:val="-11"/>
          <w:w w:val="105"/>
        </w:rPr>
        <w:t> </w:t>
      </w:r>
      <w:r>
        <w:rPr>
          <w:color w:val="231F20"/>
          <w:w w:val="105"/>
        </w:rPr>
        <w:t>fue</w:t>
      </w:r>
      <w:r>
        <w:rPr>
          <w:color w:val="231F20"/>
          <w:spacing w:val="-11"/>
          <w:w w:val="105"/>
        </w:rPr>
        <w:t> </w:t>
      </w:r>
      <w:r>
        <w:rPr>
          <w:color w:val="231F20"/>
          <w:w w:val="105"/>
        </w:rPr>
        <w:t>el</w:t>
      </w:r>
      <w:r>
        <w:rPr>
          <w:color w:val="231F20"/>
          <w:spacing w:val="-11"/>
          <w:w w:val="105"/>
        </w:rPr>
        <w:t> </w:t>
      </w:r>
      <w:r>
        <w:rPr>
          <w:color w:val="231F20"/>
          <w:w w:val="105"/>
        </w:rPr>
        <w:t>compromiso</w:t>
      </w:r>
      <w:r>
        <w:rPr>
          <w:color w:val="231F20"/>
          <w:spacing w:val="-11"/>
          <w:w w:val="105"/>
        </w:rPr>
        <w:t> </w:t>
      </w:r>
      <w:r>
        <w:rPr>
          <w:color w:val="231F20"/>
          <w:w w:val="105"/>
        </w:rPr>
        <w:t>que</w:t>
      </w:r>
      <w:r>
        <w:rPr>
          <w:color w:val="231F20"/>
          <w:spacing w:val="-11"/>
          <w:w w:val="105"/>
        </w:rPr>
        <w:t> </w:t>
      </w:r>
      <w:r>
        <w:rPr>
          <w:color w:val="231F20"/>
          <w:w w:val="105"/>
        </w:rPr>
        <w:t>asumió</w:t>
      </w:r>
      <w:r>
        <w:rPr>
          <w:color w:val="231F20"/>
          <w:spacing w:val="-11"/>
          <w:w w:val="105"/>
        </w:rPr>
        <w:t> </w:t>
      </w:r>
      <w:r>
        <w:rPr>
          <w:color w:val="231F20"/>
          <w:w w:val="105"/>
        </w:rPr>
        <w:t>el</w:t>
      </w:r>
      <w:r>
        <w:rPr>
          <w:color w:val="231F20"/>
          <w:spacing w:val="-11"/>
          <w:w w:val="105"/>
        </w:rPr>
        <w:t> </w:t>
      </w:r>
      <w:r>
        <w:rPr>
          <w:color w:val="231F20"/>
          <w:w w:val="105"/>
        </w:rPr>
        <w:t>partido;</w:t>
      </w:r>
      <w:r>
        <w:rPr>
          <w:color w:val="231F20"/>
          <w:spacing w:val="-11"/>
          <w:w w:val="105"/>
        </w:rPr>
        <w:t> </w:t>
      </w:r>
      <w:r>
        <w:rPr>
          <w:color w:val="231F20"/>
          <w:w w:val="105"/>
        </w:rPr>
        <w:t>los</w:t>
      </w:r>
      <w:r>
        <w:rPr>
          <w:color w:val="231F20"/>
          <w:spacing w:val="-11"/>
          <w:w w:val="105"/>
        </w:rPr>
        <w:t> </w:t>
      </w:r>
      <w:r>
        <w:rPr>
          <w:color w:val="231F20"/>
          <w:w w:val="105"/>
        </w:rPr>
        <w:t>ciudadanos</w:t>
      </w:r>
      <w:r>
        <w:rPr>
          <w:color w:val="231F20"/>
          <w:spacing w:val="-11"/>
          <w:w w:val="105"/>
        </w:rPr>
        <w:t> </w:t>
      </w:r>
      <w:r>
        <w:rPr>
          <w:color w:val="231F20"/>
          <w:w w:val="105"/>
        </w:rPr>
        <w:t>tenían que</w:t>
      </w:r>
      <w:r>
        <w:rPr>
          <w:color w:val="231F20"/>
          <w:spacing w:val="-5"/>
          <w:w w:val="105"/>
        </w:rPr>
        <w:t> </w:t>
      </w:r>
      <w:r>
        <w:rPr>
          <w:color w:val="231F20"/>
          <w:w w:val="105"/>
        </w:rPr>
        <w:t>participar</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decisiones,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formulación</w:t>
      </w:r>
      <w:r>
        <w:rPr>
          <w:color w:val="231F20"/>
          <w:spacing w:val="-5"/>
          <w:w w:val="105"/>
        </w:rPr>
        <w:t> </w:t>
      </w:r>
      <w:r>
        <w:rPr>
          <w:color w:val="231F20"/>
          <w:w w:val="105"/>
        </w:rPr>
        <w:t>de</w:t>
      </w:r>
      <w:r>
        <w:rPr>
          <w:color w:val="231F20"/>
          <w:spacing w:val="-5"/>
          <w:w w:val="105"/>
        </w:rPr>
        <w:t> </w:t>
      </w:r>
      <w:r>
        <w:rPr>
          <w:color w:val="231F20"/>
          <w:w w:val="105"/>
        </w:rPr>
        <w:t>proyectos</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evalua- ción de los mismos, como forma de desarrollar un verdadero trabajo gubernamental con</w:t>
      </w:r>
      <w:r>
        <w:rPr>
          <w:color w:val="231F20"/>
          <w:spacing w:val="-16"/>
          <w:w w:val="105"/>
        </w:rPr>
        <w:t> </w:t>
      </w:r>
      <w:r>
        <w:rPr>
          <w:color w:val="231F20"/>
          <w:w w:val="105"/>
        </w:rPr>
        <w:t>impacto</w:t>
      </w:r>
      <w:r>
        <w:rPr>
          <w:color w:val="231F20"/>
          <w:spacing w:val="-16"/>
          <w:w w:val="105"/>
        </w:rPr>
        <w:t> </w:t>
      </w:r>
      <w:r>
        <w:rPr>
          <w:color w:val="231F20"/>
          <w:w w:val="105"/>
        </w:rPr>
        <w:t>real</w:t>
      </w:r>
      <w:r>
        <w:rPr>
          <w:color w:val="231F20"/>
          <w:spacing w:val="-16"/>
          <w:w w:val="105"/>
        </w:rPr>
        <w:t> </w:t>
      </w:r>
      <w:r>
        <w:rPr>
          <w:color w:val="231F20"/>
          <w:w w:val="105"/>
        </w:rPr>
        <w:t>en</w:t>
      </w:r>
      <w:r>
        <w:rPr>
          <w:color w:val="231F20"/>
          <w:spacing w:val="-16"/>
          <w:w w:val="105"/>
        </w:rPr>
        <w:t> </w:t>
      </w:r>
      <w:r>
        <w:rPr>
          <w:color w:val="231F20"/>
          <w:w w:val="105"/>
        </w:rPr>
        <w:t>beneficio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sociedad.</w:t>
      </w:r>
    </w:p>
    <w:p>
      <w:pPr>
        <w:pStyle w:val="BodyText"/>
        <w:spacing w:before="1"/>
        <w:rPr>
          <w:sz w:val="26"/>
        </w:rPr>
      </w:pPr>
    </w:p>
    <w:p>
      <w:pPr>
        <w:pStyle w:val="BodyText"/>
        <w:spacing w:line="285" w:lineRule="auto"/>
        <w:ind w:left="110" w:right="108"/>
        <w:jc w:val="both"/>
      </w:pPr>
      <w:r>
        <w:rPr>
          <w:color w:val="231F20"/>
          <w:w w:val="105"/>
        </w:rPr>
        <w:t>Esto que el PRI ha definido como democracia participativa, es lo que en la literatura especializada se denomina democracia social y que atiende precisamente </w:t>
      </w:r>
      <w:r>
        <w:rPr>
          <w:color w:val="231F20"/>
          <w:spacing w:val="-4"/>
          <w:w w:val="105"/>
        </w:rPr>
        <w:t>“cómo</w:t>
      </w:r>
      <w:r>
        <w:rPr>
          <w:color w:val="231F20"/>
          <w:spacing w:val="-39"/>
          <w:w w:val="105"/>
        </w:rPr>
        <w:t> </w:t>
      </w:r>
      <w:r>
        <w:rPr>
          <w:color w:val="231F20"/>
          <w:w w:val="105"/>
        </w:rPr>
        <w:t>hacer política</w:t>
      </w:r>
      <w:r>
        <w:rPr>
          <w:color w:val="231F20"/>
          <w:spacing w:val="-5"/>
          <w:w w:val="105"/>
        </w:rPr>
        <w:t> </w:t>
      </w:r>
      <w:r>
        <w:rPr>
          <w:color w:val="231F20"/>
          <w:w w:val="105"/>
        </w:rPr>
        <w:t>frente</w:t>
      </w:r>
      <w:r>
        <w:rPr>
          <w:color w:val="231F20"/>
          <w:spacing w:val="-5"/>
          <w:w w:val="105"/>
        </w:rPr>
        <w:t> </w:t>
      </w:r>
      <w:r>
        <w:rPr>
          <w:color w:val="231F20"/>
          <w:spacing w:val="2"/>
          <w:w w:val="105"/>
        </w:rPr>
        <w:t>al</w:t>
      </w:r>
      <w:r>
        <w:rPr>
          <w:color w:val="231F20"/>
          <w:spacing w:val="-5"/>
          <w:w w:val="105"/>
        </w:rPr>
        <w:t> </w:t>
      </w:r>
      <w:r>
        <w:rPr>
          <w:color w:val="231F20"/>
          <w:w w:val="105"/>
        </w:rPr>
        <w:t>ciudadano</w:t>
      </w:r>
      <w:r>
        <w:rPr>
          <w:color w:val="231F20"/>
          <w:spacing w:val="-5"/>
          <w:w w:val="105"/>
        </w:rPr>
        <w:t> </w:t>
      </w:r>
      <w:r>
        <w:rPr>
          <w:color w:val="231F20"/>
          <w:w w:val="105"/>
        </w:rPr>
        <w:t>que</w:t>
      </w:r>
      <w:r>
        <w:rPr>
          <w:color w:val="231F20"/>
          <w:spacing w:val="-5"/>
          <w:w w:val="105"/>
        </w:rPr>
        <w:t> </w:t>
      </w:r>
      <w:r>
        <w:rPr>
          <w:color w:val="231F20"/>
          <w:w w:val="105"/>
        </w:rPr>
        <w:t>le</w:t>
      </w:r>
      <w:r>
        <w:rPr>
          <w:color w:val="231F20"/>
          <w:spacing w:val="-5"/>
          <w:w w:val="105"/>
        </w:rPr>
        <w:t> </w:t>
      </w:r>
      <w:r>
        <w:rPr>
          <w:color w:val="231F20"/>
          <w:w w:val="105"/>
        </w:rPr>
        <w:t>ofreció</w:t>
      </w:r>
      <w:r>
        <w:rPr>
          <w:color w:val="231F20"/>
          <w:spacing w:val="-5"/>
          <w:w w:val="105"/>
        </w:rPr>
        <w:t> </w:t>
      </w:r>
      <w:r>
        <w:rPr>
          <w:color w:val="231F20"/>
          <w:w w:val="105"/>
        </w:rPr>
        <w:t>su</w:t>
      </w:r>
      <w:r>
        <w:rPr>
          <w:color w:val="231F20"/>
          <w:spacing w:val="-5"/>
          <w:w w:val="105"/>
        </w:rPr>
        <w:t> </w:t>
      </w:r>
      <w:r>
        <w:rPr>
          <w:color w:val="231F20"/>
          <w:w w:val="105"/>
        </w:rPr>
        <w:t>voto</w:t>
      </w:r>
      <w:r>
        <w:rPr>
          <w:color w:val="231F20"/>
          <w:spacing w:val="-5"/>
          <w:w w:val="105"/>
        </w:rPr>
        <w:t> </w:t>
      </w:r>
      <w:r>
        <w:rPr>
          <w:color w:val="231F20"/>
          <w:w w:val="105"/>
        </w:rPr>
        <w:t>y</w:t>
      </w:r>
      <w:r>
        <w:rPr>
          <w:color w:val="231F20"/>
          <w:spacing w:val="-5"/>
          <w:w w:val="105"/>
        </w:rPr>
        <w:t> </w:t>
      </w:r>
      <w:r>
        <w:rPr>
          <w:color w:val="231F20"/>
          <w:w w:val="105"/>
        </w:rPr>
        <w:t>confió</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programa</w:t>
      </w:r>
      <w:r>
        <w:rPr>
          <w:color w:val="231F20"/>
          <w:spacing w:val="-5"/>
          <w:w w:val="105"/>
        </w:rPr>
        <w:t> </w:t>
      </w:r>
      <w:r>
        <w:rPr>
          <w:color w:val="231F20"/>
          <w:w w:val="105"/>
        </w:rPr>
        <w:t>de</w:t>
      </w:r>
      <w:r>
        <w:rPr>
          <w:color w:val="231F20"/>
          <w:spacing w:val="-5"/>
          <w:w w:val="105"/>
        </w:rPr>
        <w:t> </w:t>
      </w:r>
      <w:r>
        <w:rPr>
          <w:color w:val="231F20"/>
          <w:w w:val="105"/>
        </w:rPr>
        <w:t>trabajo” (Sánchez,</w:t>
      </w:r>
      <w:r>
        <w:rPr>
          <w:color w:val="231F20"/>
          <w:spacing w:val="-12"/>
          <w:w w:val="105"/>
        </w:rPr>
        <w:t> </w:t>
      </w:r>
      <w:r>
        <w:rPr>
          <w:color w:val="231F20"/>
          <w:spacing w:val="2"/>
          <w:w w:val="105"/>
        </w:rPr>
        <w:t>2008:</w:t>
      </w:r>
      <w:r>
        <w:rPr>
          <w:color w:val="231F20"/>
          <w:spacing w:val="-12"/>
          <w:w w:val="105"/>
        </w:rPr>
        <w:t> </w:t>
      </w:r>
      <w:r>
        <w:rPr>
          <w:color w:val="231F20"/>
          <w:spacing w:val="-4"/>
          <w:w w:val="105"/>
        </w:rPr>
        <w:t>23),</w:t>
      </w:r>
      <w:r>
        <w:rPr>
          <w:color w:val="231F20"/>
          <w:spacing w:val="-12"/>
          <w:w w:val="105"/>
        </w:rPr>
        <w:t> </w:t>
      </w:r>
      <w:r>
        <w:rPr>
          <w:color w:val="231F20"/>
          <w:w w:val="105"/>
        </w:rPr>
        <w:t>es</w:t>
      </w:r>
      <w:r>
        <w:rPr>
          <w:color w:val="231F20"/>
          <w:spacing w:val="-12"/>
          <w:w w:val="105"/>
        </w:rPr>
        <w:t> </w:t>
      </w:r>
      <w:r>
        <w:rPr>
          <w:color w:val="231F20"/>
          <w:w w:val="105"/>
        </w:rPr>
        <w:t>decir,</w:t>
      </w:r>
      <w:r>
        <w:rPr>
          <w:color w:val="231F20"/>
          <w:spacing w:val="-12"/>
          <w:w w:val="105"/>
        </w:rPr>
        <w:t> </w:t>
      </w:r>
      <w:r>
        <w:rPr>
          <w:color w:val="231F20"/>
          <w:w w:val="105"/>
        </w:rPr>
        <w:t>las</w:t>
      </w:r>
      <w:r>
        <w:rPr>
          <w:color w:val="231F20"/>
          <w:spacing w:val="-12"/>
          <w:w w:val="105"/>
        </w:rPr>
        <w:t> </w:t>
      </w:r>
      <w:r>
        <w:rPr>
          <w:color w:val="231F20"/>
          <w:w w:val="105"/>
        </w:rPr>
        <w:t>acciones</w:t>
      </w:r>
      <w:r>
        <w:rPr>
          <w:color w:val="231F20"/>
          <w:spacing w:val="-12"/>
          <w:w w:val="105"/>
        </w:rPr>
        <w:t> </w:t>
      </w:r>
      <w:r>
        <w:rPr>
          <w:color w:val="231F20"/>
          <w:w w:val="105"/>
        </w:rPr>
        <w:t>de</w:t>
      </w:r>
      <w:r>
        <w:rPr>
          <w:color w:val="231F20"/>
          <w:spacing w:val="-12"/>
          <w:w w:val="105"/>
        </w:rPr>
        <w:t> </w:t>
      </w:r>
      <w:r>
        <w:rPr>
          <w:color w:val="231F20"/>
          <w:w w:val="105"/>
        </w:rPr>
        <w:t>gobierno</w:t>
      </w:r>
      <w:r>
        <w:rPr>
          <w:color w:val="231F20"/>
          <w:spacing w:val="-12"/>
          <w:w w:val="105"/>
        </w:rPr>
        <w:t> </w:t>
      </w:r>
      <w:r>
        <w:rPr>
          <w:color w:val="231F20"/>
          <w:w w:val="105"/>
        </w:rPr>
        <w:t>encaminadas</w:t>
      </w:r>
      <w:r>
        <w:rPr>
          <w:color w:val="231F20"/>
          <w:spacing w:val="-12"/>
          <w:w w:val="105"/>
        </w:rPr>
        <w:t> </w:t>
      </w:r>
      <w:r>
        <w:rPr>
          <w:color w:val="231F20"/>
          <w:w w:val="105"/>
        </w:rPr>
        <w:t>a</w:t>
      </w:r>
      <w:r>
        <w:rPr>
          <w:color w:val="231F20"/>
          <w:spacing w:val="-12"/>
          <w:w w:val="105"/>
        </w:rPr>
        <w:t> </w:t>
      </w:r>
      <w:r>
        <w:rPr>
          <w:color w:val="231F20"/>
          <w:w w:val="105"/>
        </w:rPr>
        <w:t>satisfacer</w:t>
      </w:r>
      <w:r>
        <w:rPr>
          <w:color w:val="231F20"/>
          <w:spacing w:val="-12"/>
          <w:w w:val="105"/>
        </w:rPr>
        <w:t> </w:t>
      </w:r>
      <w:r>
        <w:rPr>
          <w:color w:val="231F20"/>
          <w:w w:val="105"/>
        </w:rPr>
        <w:t>las</w:t>
      </w:r>
      <w:r>
        <w:rPr>
          <w:color w:val="231F20"/>
          <w:spacing w:val="-12"/>
          <w:w w:val="105"/>
        </w:rPr>
        <w:t> </w:t>
      </w:r>
      <w:r>
        <w:rPr>
          <w:color w:val="231F20"/>
          <w:w w:val="105"/>
        </w:rPr>
        <w:t>de- mandas</w:t>
      </w:r>
      <w:r>
        <w:rPr>
          <w:color w:val="231F20"/>
          <w:spacing w:val="-16"/>
          <w:w w:val="105"/>
        </w:rPr>
        <w:t> </w:t>
      </w:r>
      <w:r>
        <w:rPr>
          <w:color w:val="231F20"/>
          <w:w w:val="105"/>
        </w:rPr>
        <w:t>ciudadanas,</w:t>
      </w:r>
      <w:r>
        <w:rPr>
          <w:color w:val="231F20"/>
          <w:spacing w:val="-16"/>
          <w:w w:val="105"/>
        </w:rPr>
        <w:t> </w:t>
      </w:r>
      <w:r>
        <w:rPr>
          <w:color w:val="231F20"/>
          <w:w w:val="105"/>
        </w:rPr>
        <w:t>desde</w:t>
      </w:r>
      <w:r>
        <w:rPr>
          <w:color w:val="231F20"/>
          <w:spacing w:val="-16"/>
          <w:w w:val="105"/>
        </w:rPr>
        <w:t> </w:t>
      </w:r>
      <w:r>
        <w:rPr>
          <w:color w:val="231F20"/>
          <w:w w:val="105"/>
        </w:rPr>
        <w:t>el</w:t>
      </w:r>
      <w:r>
        <w:rPr>
          <w:color w:val="231F20"/>
          <w:spacing w:val="-16"/>
          <w:w w:val="105"/>
        </w:rPr>
        <w:t> </w:t>
      </w:r>
      <w:r>
        <w:rPr>
          <w:color w:val="231F20"/>
          <w:w w:val="105"/>
        </w:rPr>
        <w:t>bienestar</w:t>
      </w:r>
      <w:r>
        <w:rPr>
          <w:color w:val="231F20"/>
          <w:spacing w:val="-16"/>
          <w:w w:val="105"/>
        </w:rPr>
        <w:t> </w:t>
      </w:r>
      <w:r>
        <w:rPr>
          <w:color w:val="231F20"/>
          <w:w w:val="105"/>
        </w:rPr>
        <w:t>social</w:t>
      </w:r>
      <w:r>
        <w:rPr>
          <w:color w:val="231F20"/>
          <w:spacing w:val="-16"/>
          <w:w w:val="105"/>
        </w:rPr>
        <w:t> </w:t>
      </w:r>
      <w:r>
        <w:rPr>
          <w:color w:val="231F20"/>
          <w:w w:val="105"/>
        </w:rPr>
        <w:t>hasta</w:t>
      </w:r>
      <w:r>
        <w:rPr>
          <w:color w:val="231F20"/>
          <w:spacing w:val="-16"/>
          <w:w w:val="105"/>
        </w:rPr>
        <w:t> </w:t>
      </w:r>
      <w:r>
        <w:rPr>
          <w:color w:val="231F20"/>
          <w:w w:val="105"/>
        </w:rPr>
        <w:t>la</w:t>
      </w:r>
      <w:r>
        <w:rPr>
          <w:color w:val="231F20"/>
          <w:spacing w:val="-16"/>
          <w:w w:val="105"/>
        </w:rPr>
        <w:t> </w:t>
      </w:r>
      <w:r>
        <w:rPr>
          <w:color w:val="231F20"/>
          <w:w w:val="105"/>
        </w:rPr>
        <w:t>satisfacción</w:t>
      </w:r>
      <w:r>
        <w:rPr>
          <w:color w:val="231F20"/>
          <w:spacing w:val="-16"/>
          <w:w w:val="105"/>
        </w:rPr>
        <w:t> </w:t>
      </w:r>
      <w:r>
        <w:rPr>
          <w:color w:val="231F20"/>
          <w:w w:val="105"/>
        </w:rPr>
        <w:t>política.</w:t>
      </w:r>
    </w:p>
    <w:p>
      <w:pPr>
        <w:pStyle w:val="BodyText"/>
        <w:spacing w:before="1"/>
        <w:rPr>
          <w:sz w:val="26"/>
        </w:rPr>
      </w:pPr>
    </w:p>
    <w:p>
      <w:pPr>
        <w:pStyle w:val="BodyText"/>
        <w:spacing w:line="285" w:lineRule="auto"/>
        <w:ind w:left="110" w:right="108"/>
        <w:jc w:val="both"/>
      </w:pPr>
      <w:r>
        <w:rPr>
          <w:color w:val="231F20"/>
          <w:w w:val="105"/>
        </w:rPr>
        <w:t>Este concepto viene a contraponer todas las viejas prácticas del partido durante su he- gemonía política; la democracia social advierte apertura de la esfera pública, la trans- parencia</w:t>
      </w:r>
      <w:r>
        <w:rPr>
          <w:color w:val="231F20"/>
          <w:spacing w:val="-5"/>
          <w:w w:val="105"/>
        </w:rPr>
        <w:t> </w:t>
      </w:r>
      <w:r>
        <w:rPr>
          <w:color w:val="231F20"/>
          <w:w w:val="105"/>
        </w:rPr>
        <w:t>y</w:t>
      </w:r>
      <w:r>
        <w:rPr>
          <w:color w:val="231F20"/>
          <w:spacing w:val="-5"/>
          <w:w w:val="105"/>
        </w:rPr>
        <w:t> </w:t>
      </w:r>
      <w:r>
        <w:rPr>
          <w:color w:val="231F20"/>
          <w:w w:val="105"/>
        </w:rPr>
        <w:t>rendiciones</w:t>
      </w:r>
      <w:r>
        <w:rPr>
          <w:color w:val="231F20"/>
          <w:spacing w:val="-5"/>
          <w:w w:val="105"/>
        </w:rPr>
        <w:t> </w:t>
      </w:r>
      <w:r>
        <w:rPr>
          <w:color w:val="231F20"/>
          <w:w w:val="105"/>
        </w:rPr>
        <w:t>de</w:t>
      </w:r>
      <w:r>
        <w:rPr>
          <w:color w:val="231F20"/>
          <w:spacing w:val="-5"/>
          <w:w w:val="105"/>
        </w:rPr>
        <w:t> </w:t>
      </w:r>
      <w:r>
        <w:rPr>
          <w:color w:val="231F20"/>
          <w:w w:val="105"/>
        </w:rPr>
        <w:t>cuentas,</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participación</w:t>
      </w:r>
      <w:r>
        <w:rPr>
          <w:color w:val="231F20"/>
          <w:spacing w:val="-5"/>
          <w:w w:val="105"/>
        </w:rPr>
        <w:t> </w:t>
      </w:r>
      <w:r>
        <w:rPr>
          <w:color w:val="231F20"/>
          <w:w w:val="105"/>
        </w:rPr>
        <w:t>ciudadana</w:t>
      </w:r>
      <w:r>
        <w:rPr>
          <w:color w:val="231F20"/>
          <w:spacing w:val="-5"/>
          <w:w w:val="105"/>
        </w:rPr>
        <w:t> </w:t>
      </w:r>
      <w:r>
        <w:rPr>
          <w:color w:val="231F20"/>
          <w:w w:val="105"/>
        </w:rPr>
        <w:t>como</w:t>
      </w:r>
      <w:r>
        <w:rPr>
          <w:color w:val="231F20"/>
          <w:spacing w:val="-5"/>
          <w:w w:val="105"/>
        </w:rPr>
        <w:t> </w:t>
      </w:r>
      <w:r>
        <w:rPr>
          <w:color w:val="231F20"/>
          <w:w w:val="105"/>
        </w:rPr>
        <w:t>mecanismo</w:t>
      </w:r>
      <w:r>
        <w:rPr>
          <w:color w:val="231F20"/>
          <w:spacing w:val="-5"/>
          <w:w w:val="105"/>
        </w:rPr>
        <w:t> </w:t>
      </w:r>
      <w:r>
        <w:rPr>
          <w:color w:val="231F20"/>
          <w:w w:val="105"/>
        </w:rPr>
        <w:t>para desarrollar buenas políticas públicas. La tradición autoritaria constituye lo contrario: centralismo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toma</w:t>
      </w:r>
      <w:r>
        <w:rPr>
          <w:color w:val="231F20"/>
          <w:spacing w:val="-8"/>
          <w:w w:val="105"/>
        </w:rPr>
        <w:t> </w:t>
      </w:r>
      <w:r>
        <w:rPr>
          <w:color w:val="231F20"/>
          <w:w w:val="105"/>
        </w:rPr>
        <w:t>de</w:t>
      </w:r>
      <w:r>
        <w:rPr>
          <w:color w:val="231F20"/>
          <w:spacing w:val="-8"/>
          <w:w w:val="105"/>
        </w:rPr>
        <w:t> </w:t>
      </w:r>
      <w:r>
        <w:rPr>
          <w:color w:val="231F20"/>
          <w:w w:val="105"/>
        </w:rPr>
        <w:t>decisiones,</w:t>
      </w:r>
      <w:r>
        <w:rPr>
          <w:color w:val="231F20"/>
          <w:spacing w:val="-8"/>
          <w:w w:val="105"/>
        </w:rPr>
        <w:t> </w:t>
      </w:r>
      <w:r>
        <w:rPr>
          <w:color w:val="231F20"/>
          <w:w w:val="105"/>
        </w:rPr>
        <w:t>control</w:t>
      </w:r>
      <w:r>
        <w:rPr>
          <w:color w:val="231F20"/>
          <w:spacing w:val="-8"/>
          <w:w w:val="105"/>
        </w:rPr>
        <w:t> </w:t>
      </w:r>
      <w:r>
        <w:rPr>
          <w:color w:val="231F20"/>
          <w:w w:val="105"/>
        </w:rPr>
        <w:t>social</w:t>
      </w:r>
      <w:r>
        <w:rPr>
          <w:color w:val="231F20"/>
          <w:spacing w:val="-8"/>
          <w:w w:val="105"/>
        </w:rPr>
        <w:t> </w:t>
      </w:r>
      <w:r>
        <w:rPr>
          <w:color w:val="231F20"/>
          <w:w w:val="105"/>
        </w:rPr>
        <w:t>y</w:t>
      </w:r>
      <w:r>
        <w:rPr>
          <w:color w:val="231F20"/>
          <w:spacing w:val="-8"/>
          <w:w w:val="105"/>
        </w:rPr>
        <w:t> </w:t>
      </w:r>
      <w:r>
        <w:rPr>
          <w:color w:val="231F20"/>
          <w:w w:val="105"/>
        </w:rPr>
        <w:t>falta</w:t>
      </w:r>
      <w:r>
        <w:rPr>
          <w:color w:val="231F20"/>
          <w:spacing w:val="-8"/>
          <w:w w:val="105"/>
        </w:rPr>
        <w:t> </w:t>
      </w:r>
      <w:r>
        <w:rPr>
          <w:color w:val="231F20"/>
          <w:w w:val="105"/>
        </w:rPr>
        <w:t>de</w:t>
      </w:r>
      <w:r>
        <w:rPr>
          <w:color w:val="231F20"/>
          <w:spacing w:val="-8"/>
          <w:w w:val="105"/>
        </w:rPr>
        <w:t> </w:t>
      </w:r>
      <w:r>
        <w:rPr>
          <w:color w:val="231F20"/>
          <w:w w:val="105"/>
        </w:rPr>
        <w:t>pluralidad</w:t>
      </w:r>
      <w:r>
        <w:rPr>
          <w:color w:val="231F20"/>
          <w:spacing w:val="-8"/>
          <w:w w:val="105"/>
        </w:rPr>
        <w:t> </w:t>
      </w:r>
      <w:r>
        <w:rPr>
          <w:color w:val="231F20"/>
          <w:w w:val="105"/>
        </w:rPr>
        <w:t>y</w:t>
      </w:r>
      <w:r>
        <w:rPr>
          <w:color w:val="231F20"/>
          <w:spacing w:val="-8"/>
          <w:w w:val="105"/>
        </w:rPr>
        <w:t> </w:t>
      </w:r>
      <w:r>
        <w:rPr>
          <w:color w:val="231F20"/>
          <w:w w:val="105"/>
        </w:rPr>
        <w:t>negación</w:t>
      </w:r>
      <w:r>
        <w:rPr>
          <w:color w:val="231F20"/>
          <w:spacing w:val="-8"/>
          <w:w w:val="105"/>
        </w:rPr>
        <w:t> </w:t>
      </w:r>
      <w:r>
        <w:rPr>
          <w:color w:val="231F20"/>
          <w:w w:val="105"/>
        </w:rPr>
        <w:t>de la</w:t>
      </w:r>
      <w:r>
        <w:rPr>
          <w:color w:val="231F20"/>
          <w:spacing w:val="-24"/>
          <w:w w:val="105"/>
        </w:rPr>
        <w:t> </w:t>
      </w:r>
      <w:r>
        <w:rPr>
          <w:color w:val="231F20"/>
          <w:w w:val="105"/>
        </w:rPr>
        <w:t>participación</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ejercicio</w:t>
      </w:r>
      <w:r>
        <w:rPr>
          <w:color w:val="231F20"/>
          <w:spacing w:val="-24"/>
          <w:w w:val="105"/>
        </w:rPr>
        <w:t> </w:t>
      </w:r>
      <w:r>
        <w:rPr>
          <w:color w:val="231F20"/>
          <w:w w:val="105"/>
        </w:rPr>
        <w:t>público.</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3"/>
          <w:w w:val="105"/>
        </w:rPr>
        <w:t> </w:t>
      </w:r>
      <w:r>
        <w:rPr>
          <w:color w:val="231F20"/>
          <w:spacing w:val="-5"/>
          <w:w w:val="105"/>
        </w:rPr>
        <w:t>democracia</w:t>
      </w:r>
      <w:r>
        <w:rPr>
          <w:color w:val="231F20"/>
          <w:spacing w:val="-13"/>
          <w:w w:val="105"/>
        </w:rPr>
        <w:t> </w:t>
      </w:r>
      <w:r>
        <w:rPr>
          <w:color w:val="231F20"/>
          <w:spacing w:val="-3"/>
          <w:w w:val="105"/>
        </w:rPr>
        <w:t>social</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spacing w:val="-4"/>
          <w:w w:val="105"/>
        </w:rPr>
        <w:t>de</w:t>
      </w:r>
      <w:r>
        <w:rPr>
          <w:color w:val="231F20"/>
          <w:spacing w:val="-13"/>
          <w:w w:val="105"/>
        </w:rPr>
        <w:t> </w:t>
      </w:r>
      <w:r>
        <w:rPr>
          <w:color w:val="231F20"/>
          <w:w w:val="105"/>
        </w:rPr>
        <w:t>las</w:t>
      </w:r>
      <w:r>
        <w:rPr>
          <w:color w:val="231F20"/>
          <w:spacing w:val="-13"/>
          <w:w w:val="105"/>
        </w:rPr>
        <w:t> </w:t>
      </w:r>
      <w:r>
        <w:rPr>
          <w:color w:val="231F20"/>
          <w:spacing w:val="-4"/>
          <w:w w:val="105"/>
        </w:rPr>
        <w:t>banderas</w:t>
      </w:r>
      <w:r>
        <w:rPr>
          <w:color w:val="231F20"/>
          <w:spacing w:val="-13"/>
          <w:w w:val="105"/>
        </w:rPr>
        <w:t> </w:t>
      </w:r>
      <w:r>
        <w:rPr>
          <w:color w:val="231F20"/>
          <w:spacing w:val="-5"/>
          <w:w w:val="105"/>
        </w:rPr>
        <w:t>ideológicas</w:t>
      </w:r>
      <w:r>
        <w:rPr>
          <w:color w:val="231F20"/>
          <w:spacing w:val="-13"/>
          <w:w w:val="105"/>
        </w:rPr>
        <w:t> </w:t>
      </w:r>
      <w:r>
        <w:rPr>
          <w:color w:val="231F20"/>
          <w:spacing w:val="-5"/>
          <w:w w:val="105"/>
        </w:rPr>
        <w:t>del</w:t>
      </w:r>
      <w:r>
        <w:rPr>
          <w:color w:val="231F20"/>
          <w:spacing w:val="-13"/>
          <w:w w:val="105"/>
        </w:rPr>
        <w:t> </w:t>
      </w:r>
      <w:r>
        <w:rPr>
          <w:color w:val="231F20"/>
          <w:spacing w:val="-3"/>
          <w:w w:val="105"/>
        </w:rPr>
        <w:t>partido</w:t>
      </w:r>
      <w:r>
        <w:rPr>
          <w:color w:val="231F20"/>
          <w:spacing w:val="-13"/>
          <w:w w:val="105"/>
        </w:rPr>
        <w:t> </w:t>
      </w:r>
      <w:r>
        <w:rPr>
          <w:color w:val="231F20"/>
          <w:spacing w:val="-4"/>
          <w:w w:val="105"/>
        </w:rPr>
        <w:t>en</w:t>
      </w:r>
      <w:r>
        <w:rPr>
          <w:color w:val="231F20"/>
          <w:spacing w:val="-13"/>
          <w:w w:val="105"/>
        </w:rPr>
        <w:t> </w:t>
      </w:r>
      <w:r>
        <w:rPr>
          <w:color w:val="231F20"/>
          <w:spacing w:val="-5"/>
          <w:w w:val="105"/>
        </w:rPr>
        <w:t>recientes</w:t>
      </w:r>
      <w:r>
        <w:rPr>
          <w:color w:val="231F20"/>
          <w:spacing w:val="-13"/>
          <w:w w:val="105"/>
        </w:rPr>
        <w:t> </w:t>
      </w:r>
      <w:r>
        <w:rPr>
          <w:color w:val="231F20"/>
          <w:spacing w:val="-4"/>
          <w:w w:val="105"/>
        </w:rPr>
        <w:t>fechas;</w:t>
      </w:r>
      <w:r>
        <w:rPr>
          <w:color w:val="231F20"/>
          <w:spacing w:val="-13"/>
          <w:w w:val="105"/>
        </w:rPr>
        <w:t> </w:t>
      </w:r>
      <w:r>
        <w:rPr>
          <w:color w:val="231F20"/>
          <w:spacing w:val="-3"/>
          <w:w w:val="105"/>
        </w:rPr>
        <w:t>su discurso</w:t>
      </w:r>
      <w:r>
        <w:rPr>
          <w:color w:val="231F20"/>
          <w:spacing w:val="-29"/>
          <w:w w:val="105"/>
        </w:rPr>
        <w:t> </w:t>
      </w:r>
      <w:r>
        <w:rPr>
          <w:color w:val="231F20"/>
          <w:spacing w:val="-3"/>
          <w:w w:val="105"/>
        </w:rPr>
        <w:t>oficial</w:t>
      </w:r>
      <w:r>
        <w:rPr>
          <w:color w:val="231F20"/>
          <w:spacing w:val="-29"/>
          <w:w w:val="105"/>
        </w:rPr>
        <w:t> </w:t>
      </w:r>
      <w:r>
        <w:rPr>
          <w:color w:val="231F20"/>
          <w:w w:val="105"/>
        </w:rPr>
        <w:t>se</w:t>
      </w:r>
      <w:r>
        <w:rPr>
          <w:color w:val="231F20"/>
          <w:spacing w:val="-29"/>
          <w:w w:val="105"/>
        </w:rPr>
        <w:t> </w:t>
      </w:r>
      <w:r>
        <w:rPr>
          <w:color w:val="231F20"/>
          <w:spacing w:val="-3"/>
          <w:w w:val="105"/>
        </w:rPr>
        <w:t>dirige</w:t>
      </w:r>
      <w:r>
        <w:rPr>
          <w:color w:val="231F20"/>
          <w:spacing w:val="-29"/>
          <w:w w:val="105"/>
        </w:rPr>
        <w:t> </w:t>
      </w:r>
      <w:r>
        <w:rPr>
          <w:color w:val="231F20"/>
          <w:spacing w:val="-5"/>
          <w:w w:val="105"/>
        </w:rPr>
        <w:t>precisamente</w:t>
      </w:r>
      <w:r>
        <w:rPr>
          <w:color w:val="231F20"/>
          <w:spacing w:val="-29"/>
          <w:w w:val="105"/>
        </w:rPr>
        <w:t> </w:t>
      </w:r>
      <w:r>
        <w:rPr>
          <w:color w:val="231F20"/>
          <w:spacing w:val="-4"/>
          <w:w w:val="105"/>
        </w:rPr>
        <w:t>recuperar</w:t>
      </w:r>
      <w:r>
        <w:rPr>
          <w:color w:val="231F20"/>
          <w:spacing w:val="-29"/>
          <w:w w:val="105"/>
        </w:rPr>
        <w:t> </w:t>
      </w:r>
      <w:r>
        <w:rPr>
          <w:color w:val="231F20"/>
          <w:w w:val="105"/>
        </w:rPr>
        <w:t>la</w:t>
      </w:r>
      <w:r>
        <w:rPr>
          <w:color w:val="231F20"/>
          <w:spacing w:val="-29"/>
          <w:w w:val="105"/>
        </w:rPr>
        <w:t> </w:t>
      </w:r>
      <w:r>
        <w:rPr>
          <w:color w:val="231F20"/>
          <w:spacing w:val="-3"/>
          <w:w w:val="105"/>
        </w:rPr>
        <w:t>confianza</w:t>
      </w:r>
      <w:r>
        <w:rPr>
          <w:color w:val="231F20"/>
          <w:spacing w:val="-29"/>
          <w:w w:val="105"/>
        </w:rPr>
        <w:t> </w:t>
      </w:r>
      <w:r>
        <w:rPr>
          <w:color w:val="231F20"/>
          <w:spacing w:val="-3"/>
          <w:w w:val="105"/>
        </w:rPr>
        <w:t>social</w:t>
      </w:r>
      <w:r>
        <w:rPr>
          <w:color w:val="231F20"/>
          <w:spacing w:val="-29"/>
          <w:w w:val="105"/>
        </w:rPr>
        <w:t> </w:t>
      </w:r>
      <w:r>
        <w:rPr>
          <w:color w:val="231F20"/>
          <w:w w:val="105"/>
        </w:rPr>
        <w:t>y</w:t>
      </w:r>
      <w:r>
        <w:rPr>
          <w:color w:val="231F20"/>
          <w:spacing w:val="-29"/>
          <w:w w:val="105"/>
        </w:rPr>
        <w:t> </w:t>
      </w:r>
      <w:r>
        <w:rPr>
          <w:color w:val="231F20"/>
          <w:spacing w:val="-4"/>
          <w:w w:val="105"/>
        </w:rPr>
        <w:t>desarrollar</w:t>
      </w:r>
      <w:r>
        <w:rPr>
          <w:color w:val="231F20"/>
          <w:spacing w:val="-29"/>
          <w:w w:val="105"/>
        </w:rPr>
        <w:t> </w:t>
      </w:r>
      <w:r>
        <w:rPr>
          <w:color w:val="231F20"/>
          <w:w w:val="105"/>
        </w:rPr>
        <w:t>la</w:t>
      </w:r>
      <w:r>
        <w:rPr>
          <w:color w:val="231F20"/>
          <w:spacing w:val="-29"/>
          <w:w w:val="105"/>
        </w:rPr>
        <w:t> </w:t>
      </w:r>
      <w:r>
        <w:rPr>
          <w:color w:val="231F20"/>
          <w:spacing w:val="-6"/>
          <w:w w:val="105"/>
        </w:rPr>
        <w:t>ciudada- </w:t>
      </w:r>
      <w:r>
        <w:rPr>
          <w:color w:val="231F20"/>
          <w:w w:val="105"/>
        </w:rPr>
        <w:t>nía.</w:t>
      </w:r>
      <w:r>
        <w:rPr>
          <w:color w:val="231F20"/>
          <w:spacing w:val="-23"/>
          <w:w w:val="105"/>
        </w:rPr>
        <w:t> </w:t>
      </w:r>
      <w:r>
        <w:rPr>
          <w:color w:val="231F20"/>
          <w:spacing w:val="-3"/>
          <w:w w:val="105"/>
        </w:rPr>
        <w:t>En</w:t>
      </w:r>
      <w:r>
        <w:rPr>
          <w:color w:val="231F20"/>
          <w:spacing w:val="-23"/>
          <w:w w:val="105"/>
        </w:rPr>
        <w:t> </w:t>
      </w:r>
      <w:r>
        <w:rPr>
          <w:color w:val="231F20"/>
          <w:w w:val="105"/>
        </w:rPr>
        <w:t>la</w:t>
      </w:r>
      <w:r>
        <w:rPr>
          <w:color w:val="231F20"/>
          <w:spacing w:val="-23"/>
          <w:w w:val="105"/>
        </w:rPr>
        <w:t> </w:t>
      </w:r>
      <w:r>
        <w:rPr>
          <w:color w:val="231F20"/>
          <w:spacing w:val="-5"/>
          <w:w w:val="105"/>
        </w:rPr>
        <w:t>siguiente</w:t>
      </w:r>
      <w:r>
        <w:rPr>
          <w:color w:val="231F20"/>
          <w:spacing w:val="-23"/>
          <w:w w:val="105"/>
        </w:rPr>
        <w:t> </w:t>
      </w:r>
      <w:r>
        <w:rPr>
          <w:color w:val="231F20"/>
          <w:w w:val="105"/>
        </w:rPr>
        <w:t>parte</w:t>
      </w:r>
      <w:r>
        <w:rPr>
          <w:color w:val="231F20"/>
          <w:spacing w:val="-23"/>
          <w:w w:val="105"/>
        </w:rPr>
        <w:t> </w:t>
      </w:r>
      <w:r>
        <w:rPr>
          <w:color w:val="231F20"/>
          <w:spacing w:val="-4"/>
          <w:w w:val="105"/>
        </w:rPr>
        <w:t>de</w:t>
      </w:r>
      <w:r>
        <w:rPr>
          <w:color w:val="231F20"/>
          <w:spacing w:val="-23"/>
          <w:w w:val="105"/>
        </w:rPr>
        <w:t> </w:t>
      </w:r>
      <w:r>
        <w:rPr>
          <w:color w:val="231F20"/>
          <w:spacing w:val="-3"/>
          <w:w w:val="105"/>
        </w:rPr>
        <w:t>este</w:t>
      </w:r>
      <w:r>
        <w:rPr>
          <w:color w:val="231F20"/>
          <w:spacing w:val="-23"/>
          <w:w w:val="105"/>
        </w:rPr>
        <w:t> </w:t>
      </w:r>
      <w:r>
        <w:rPr>
          <w:color w:val="231F20"/>
          <w:spacing w:val="-4"/>
          <w:w w:val="105"/>
        </w:rPr>
        <w:t>apartado</w:t>
      </w:r>
      <w:r>
        <w:rPr>
          <w:color w:val="231F20"/>
          <w:spacing w:val="-23"/>
          <w:w w:val="105"/>
        </w:rPr>
        <w:t> </w:t>
      </w:r>
      <w:r>
        <w:rPr>
          <w:color w:val="231F20"/>
          <w:w w:val="105"/>
        </w:rPr>
        <w:t>se</w:t>
      </w:r>
      <w:r>
        <w:rPr>
          <w:color w:val="231F20"/>
          <w:spacing w:val="-23"/>
          <w:w w:val="105"/>
        </w:rPr>
        <w:t> </w:t>
      </w:r>
      <w:r>
        <w:rPr>
          <w:color w:val="231F20"/>
          <w:w w:val="105"/>
        </w:rPr>
        <w:t>analizará</w:t>
      </w:r>
      <w:r>
        <w:rPr>
          <w:color w:val="231F20"/>
          <w:spacing w:val="-23"/>
          <w:w w:val="105"/>
        </w:rPr>
        <w:t> </w:t>
      </w:r>
      <w:r>
        <w:rPr>
          <w:color w:val="231F20"/>
          <w:spacing w:val="-3"/>
          <w:w w:val="105"/>
        </w:rPr>
        <w:t>si</w:t>
      </w:r>
      <w:r>
        <w:rPr>
          <w:color w:val="231F20"/>
          <w:spacing w:val="-23"/>
          <w:w w:val="105"/>
        </w:rPr>
        <w:t> </w:t>
      </w:r>
      <w:r>
        <w:rPr>
          <w:color w:val="231F20"/>
          <w:w w:val="105"/>
        </w:rPr>
        <w:t>Ixtapan</w:t>
      </w:r>
      <w:r>
        <w:rPr>
          <w:color w:val="231F20"/>
          <w:spacing w:val="-23"/>
          <w:w w:val="105"/>
        </w:rPr>
        <w:t> </w:t>
      </w:r>
      <w:r>
        <w:rPr>
          <w:color w:val="231F20"/>
          <w:spacing w:val="-4"/>
          <w:w w:val="105"/>
        </w:rPr>
        <w:t>de</w:t>
      </w:r>
      <w:r>
        <w:rPr>
          <w:color w:val="231F20"/>
          <w:spacing w:val="-23"/>
          <w:w w:val="105"/>
        </w:rPr>
        <w:t> </w:t>
      </w:r>
      <w:r>
        <w:rPr>
          <w:color w:val="231F20"/>
          <w:w w:val="105"/>
        </w:rPr>
        <w:t>la</w:t>
      </w:r>
      <w:r>
        <w:rPr>
          <w:color w:val="231F20"/>
          <w:spacing w:val="-23"/>
          <w:w w:val="105"/>
        </w:rPr>
        <w:t> </w:t>
      </w:r>
      <w:r>
        <w:rPr>
          <w:color w:val="231F20"/>
          <w:spacing w:val="-3"/>
          <w:w w:val="105"/>
        </w:rPr>
        <w:t>Sal,</w:t>
      </w:r>
      <w:r>
        <w:rPr>
          <w:color w:val="231F20"/>
          <w:spacing w:val="-23"/>
          <w:w w:val="105"/>
        </w:rPr>
        <w:t> </w:t>
      </w:r>
      <w:r>
        <w:rPr>
          <w:color w:val="231F20"/>
          <w:w w:val="105"/>
        </w:rPr>
        <w:t>un</w:t>
      </w:r>
      <w:r>
        <w:rPr>
          <w:color w:val="231F20"/>
          <w:spacing w:val="-23"/>
          <w:w w:val="105"/>
        </w:rPr>
        <w:t> </w:t>
      </w:r>
      <w:r>
        <w:rPr>
          <w:color w:val="231F20"/>
          <w:spacing w:val="-5"/>
          <w:w w:val="105"/>
        </w:rPr>
        <w:t>municipio</w:t>
      </w:r>
      <w:r>
        <w:rPr>
          <w:color w:val="231F20"/>
          <w:spacing w:val="-23"/>
          <w:w w:val="105"/>
        </w:rPr>
        <w:t> </w:t>
      </w:r>
      <w:r>
        <w:rPr>
          <w:color w:val="231F20"/>
          <w:spacing w:val="-5"/>
          <w:w w:val="105"/>
        </w:rPr>
        <w:t>ne- tamente</w:t>
      </w:r>
      <w:r>
        <w:rPr>
          <w:color w:val="231F20"/>
          <w:spacing w:val="-15"/>
          <w:w w:val="105"/>
        </w:rPr>
        <w:t> </w:t>
      </w:r>
      <w:r>
        <w:rPr>
          <w:color w:val="231F20"/>
          <w:spacing w:val="-3"/>
          <w:w w:val="105"/>
        </w:rPr>
        <w:t>priísta,</w:t>
      </w:r>
      <w:r>
        <w:rPr>
          <w:color w:val="231F20"/>
          <w:spacing w:val="-15"/>
          <w:w w:val="105"/>
        </w:rPr>
        <w:t> </w:t>
      </w:r>
      <w:r>
        <w:rPr>
          <w:color w:val="231F20"/>
          <w:spacing w:val="-6"/>
          <w:w w:val="105"/>
        </w:rPr>
        <w:t>atiende</w:t>
      </w:r>
      <w:r>
        <w:rPr>
          <w:color w:val="231F20"/>
          <w:spacing w:val="-15"/>
          <w:w w:val="105"/>
        </w:rPr>
        <w:t> </w:t>
      </w:r>
      <w:r>
        <w:rPr>
          <w:color w:val="231F20"/>
          <w:spacing w:val="-3"/>
          <w:w w:val="105"/>
        </w:rPr>
        <w:t>este</w:t>
      </w:r>
      <w:r>
        <w:rPr>
          <w:color w:val="231F20"/>
          <w:spacing w:val="-15"/>
          <w:w w:val="105"/>
        </w:rPr>
        <w:t> </w:t>
      </w:r>
      <w:r>
        <w:rPr>
          <w:color w:val="231F20"/>
          <w:spacing w:val="-6"/>
          <w:w w:val="105"/>
        </w:rPr>
        <w:t>nuevo</w:t>
      </w:r>
      <w:r>
        <w:rPr>
          <w:color w:val="231F20"/>
          <w:spacing w:val="-15"/>
          <w:w w:val="105"/>
        </w:rPr>
        <w:t> </w:t>
      </w:r>
      <w:r>
        <w:rPr>
          <w:color w:val="231F20"/>
          <w:spacing w:val="-5"/>
          <w:w w:val="105"/>
        </w:rPr>
        <w:t>principio</w:t>
      </w:r>
      <w:r>
        <w:rPr>
          <w:color w:val="231F20"/>
          <w:spacing w:val="-15"/>
          <w:w w:val="105"/>
        </w:rPr>
        <w:t> </w:t>
      </w:r>
      <w:r>
        <w:rPr>
          <w:color w:val="231F20"/>
          <w:w w:val="105"/>
        </w:rPr>
        <w:t>o</w:t>
      </w:r>
      <w:r>
        <w:rPr>
          <w:color w:val="231F20"/>
          <w:spacing w:val="-15"/>
          <w:w w:val="105"/>
        </w:rPr>
        <w:t> </w:t>
      </w:r>
      <w:r>
        <w:rPr>
          <w:color w:val="231F20"/>
          <w:spacing w:val="-4"/>
          <w:w w:val="105"/>
        </w:rPr>
        <w:t>sigue</w:t>
      </w:r>
      <w:r>
        <w:rPr>
          <w:color w:val="231F20"/>
          <w:spacing w:val="-15"/>
          <w:w w:val="105"/>
        </w:rPr>
        <w:t> </w:t>
      </w:r>
      <w:r>
        <w:rPr>
          <w:color w:val="231F20"/>
          <w:spacing w:val="-5"/>
          <w:w w:val="105"/>
        </w:rPr>
        <w:t>rigiéndose</w:t>
      </w:r>
      <w:r>
        <w:rPr>
          <w:color w:val="231F20"/>
          <w:spacing w:val="-15"/>
          <w:w w:val="105"/>
        </w:rPr>
        <w:t> </w:t>
      </w:r>
      <w:r>
        <w:rPr>
          <w:color w:val="231F20"/>
          <w:spacing w:val="-5"/>
          <w:w w:val="105"/>
        </w:rPr>
        <w:t>con</w:t>
      </w:r>
      <w:r>
        <w:rPr>
          <w:color w:val="231F20"/>
          <w:spacing w:val="-15"/>
          <w:w w:val="105"/>
        </w:rPr>
        <w:t> </w:t>
      </w:r>
      <w:r>
        <w:rPr>
          <w:color w:val="231F20"/>
          <w:w w:val="105"/>
        </w:rPr>
        <w:t>las</w:t>
      </w:r>
      <w:r>
        <w:rPr>
          <w:color w:val="231F20"/>
          <w:spacing w:val="-15"/>
          <w:w w:val="105"/>
        </w:rPr>
        <w:t> </w:t>
      </w:r>
      <w:r>
        <w:rPr>
          <w:color w:val="231F20"/>
          <w:spacing w:val="-4"/>
          <w:w w:val="105"/>
        </w:rPr>
        <w:t>prácticas</w:t>
      </w:r>
      <w:r>
        <w:rPr>
          <w:color w:val="231F20"/>
          <w:spacing w:val="-15"/>
          <w:w w:val="105"/>
        </w:rPr>
        <w:t> </w:t>
      </w:r>
      <w:r>
        <w:rPr>
          <w:color w:val="231F20"/>
          <w:spacing w:val="-4"/>
          <w:w w:val="105"/>
        </w:rPr>
        <w:t>de</w:t>
      </w:r>
      <w:r>
        <w:rPr>
          <w:color w:val="231F20"/>
          <w:spacing w:val="-15"/>
          <w:w w:val="105"/>
        </w:rPr>
        <w:t> </w:t>
      </w:r>
      <w:r>
        <w:rPr>
          <w:color w:val="231F20"/>
          <w:spacing w:val="-4"/>
          <w:w w:val="105"/>
        </w:rPr>
        <w:t>antaño.</w:t>
      </w:r>
    </w:p>
    <w:p>
      <w:pPr>
        <w:pStyle w:val="BodyText"/>
        <w:spacing w:before="2"/>
        <w:rPr>
          <w:sz w:val="20"/>
        </w:rPr>
      </w:pPr>
    </w:p>
    <w:p>
      <w:pPr>
        <w:pStyle w:val="Heading4"/>
        <w:rPr>
          <w:i/>
        </w:rPr>
      </w:pPr>
      <w:r>
        <w:rPr>
          <w:i/>
          <w:color w:val="231F20"/>
        </w:rPr>
        <w:t>El PRI como gobierno: ¿Tradición autoritaria o democracia   social?</w:t>
      </w:r>
    </w:p>
    <w:p>
      <w:pPr>
        <w:pStyle w:val="BodyText"/>
        <w:spacing w:line="285" w:lineRule="auto" w:before="16"/>
        <w:ind w:left="110" w:right="107"/>
        <w:jc w:val="both"/>
      </w:pPr>
      <w:r>
        <w:rPr>
          <w:color w:val="231F20"/>
          <w:w w:val="105"/>
        </w:rPr>
        <w:t>La</w:t>
      </w:r>
      <w:r>
        <w:rPr>
          <w:color w:val="231F20"/>
          <w:spacing w:val="-20"/>
          <w:w w:val="105"/>
        </w:rPr>
        <w:t> </w:t>
      </w:r>
      <w:r>
        <w:rPr>
          <w:color w:val="231F20"/>
          <w:w w:val="105"/>
        </w:rPr>
        <w:t>democracia</w:t>
      </w:r>
      <w:r>
        <w:rPr>
          <w:color w:val="231F20"/>
          <w:spacing w:val="-20"/>
          <w:w w:val="105"/>
        </w:rPr>
        <w:t> </w:t>
      </w:r>
      <w:r>
        <w:rPr>
          <w:color w:val="231F20"/>
          <w:w w:val="105"/>
        </w:rPr>
        <w:t>social</w:t>
      </w:r>
      <w:r>
        <w:rPr>
          <w:color w:val="231F20"/>
          <w:spacing w:val="-20"/>
          <w:w w:val="105"/>
        </w:rPr>
        <w:t> </w:t>
      </w:r>
      <w:r>
        <w:rPr>
          <w:color w:val="231F20"/>
          <w:w w:val="105"/>
        </w:rPr>
        <w:t>implica</w:t>
      </w:r>
      <w:r>
        <w:rPr>
          <w:color w:val="231F20"/>
          <w:spacing w:val="-20"/>
          <w:w w:val="105"/>
        </w:rPr>
        <w:t> </w:t>
      </w:r>
      <w:r>
        <w:rPr>
          <w:color w:val="231F20"/>
          <w:w w:val="105"/>
        </w:rPr>
        <w:t>dos</w:t>
      </w:r>
      <w:r>
        <w:rPr>
          <w:color w:val="231F20"/>
          <w:spacing w:val="-20"/>
          <w:w w:val="105"/>
        </w:rPr>
        <w:t> </w:t>
      </w:r>
      <w:r>
        <w:rPr>
          <w:color w:val="231F20"/>
          <w:w w:val="105"/>
        </w:rPr>
        <w:t>características</w:t>
      </w:r>
      <w:r>
        <w:rPr>
          <w:color w:val="231F20"/>
          <w:spacing w:val="-20"/>
          <w:w w:val="105"/>
        </w:rPr>
        <w:t> </w:t>
      </w:r>
      <w:r>
        <w:rPr>
          <w:color w:val="231F20"/>
          <w:w w:val="105"/>
        </w:rPr>
        <w:t>esenciales:</w:t>
      </w:r>
      <w:r>
        <w:rPr>
          <w:color w:val="231F20"/>
          <w:spacing w:val="-20"/>
          <w:w w:val="105"/>
        </w:rPr>
        <w:t> </w:t>
      </w:r>
      <w:r>
        <w:rPr>
          <w:color w:val="231F20"/>
          <w:w w:val="105"/>
        </w:rPr>
        <w:t>gestión</w:t>
      </w:r>
      <w:r>
        <w:rPr>
          <w:color w:val="231F20"/>
          <w:spacing w:val="-20"/>
          <w:w w:val="105"/>
        </w:rPr>
        <w:t> </w:t>
      </w:r>
      <w:r>
        <w:rPr>
          <w:color w:val="231F20"/>
          <w:w w:val="105"/>
        </w:rPr>
        <w:t>pública</w:t>
      </w:r>
      <w:r>
        <w:rPr>
          <w:color w:val="231F20"/>
          <w:spacing w:val="-20"/>
          <w:w w:val="105"/>
        </w:rPr>
        <w:t> </w:t>
      </w:r>
      <w:r>
        <w:rPr>
          <w:color w:val="231F20"/>
          <w:w w:val="105"/>
        </w:rPr>
        <w:t>y</w:t>
      </w:r>
      <w:r>
        <w:rPr>
          <w:color w:val="231F20"/>
          <w:spacing w:val="-20"/>
          <w:w w:val="105"/>
        </w:rPr>
        <w:t> </w:t>
      </w:r>
      <w:r>
        <w:rPr>
          <w:color w:val="231F20"/>
          <w:w w:val="105"/>
        </w:rPr>
        <w:t>participa- ción</w:t>
      </w:r>
      <w:r>
        <w:rPr>
          <w:color w:val="231F20"/>
          <w:spacing w:val="-10"/>
          <w:w w:val="105"/>
        </w:rPr>
        <w:t> </w:t>
      </w:r>
      <w:r>
        <w:rPr>
          <w:color w:val="231F20"/>
          <w:w w:val="105"/>
        </w:rPr>
        <w:t>ciudadana</w:t>
      </w:r>
      <w:r>
        <w:rPr>
          <w:color w:val="231F20"/>
          <w:spacing w:val="-10"/>
          <w:w w:val="105"/>
        </w:rPr>
        <w:t> </w:t>
      </w:r>
      <w:r>
        <w:rPr>
          <w:color w:val="231F20"/>
          <w:w w:val="105"/>
        </w:rPr>
        <w:t>(Sánchez,</w:t>
      </w:r>
      <w:r>
        <w:rPr>
          <w:color w:val="231F20"/>
          <w:spacing w:val="-10"/>
          <w:w w:val="105"/>
        </w:rPr>
        <w:t> </w:t>
      </w:r>
      <w:r>
        <w:rPr>
          <w:color w:val="231F20"/>
          <w:spacing w:val="2"/>
          <w:w w:val="105"/>
        </w:rPr>
        <w:t>2008:</w:t>
      </w:r>
      <w:r>
        <w:rPr>
          <w:color w:val="231F20"/>
          <w:spacing w:val="-10"/>
          <w:w w:val="105"/>
        </w:rPr>
        <w:t> </w:t>
      </w:r>
      <w:r>
        <w:rPr>
          <w:color w:val="231F20"/>
          <w:spacing w:val="-4"/>
          <w:w w:val="105"/>
        </w:rPr>
        <w:t>89);</w:t>
      </w:r>
      <w:r>
        <w:rPr>
          <w:color w:val="231F20"/>
          <w:spacing w:val="-10"/>
          <w:w w:val="105"/>
        </w:rPr>
        <w:t> </w:t>
      </w:r>
      <w:r>
        <w:rPr>
          <w:color w:val="231F20"/>
          <w:w w:val="105"/>
        </w:rPr>
        <w:t>el</w:t>
      </w:r>
      <w:r>
        <w:rPr>
          <w:color w:val="231F20"/>
          <w:spacing w:val="-10"/>
          <w:w w:val="105"/>
        </w:rPr>
        <w:t> </w:t>
      </w:r>
      <w:r>
        <w:rPr>
          <w:color w:val="231F20"/>
          <w:w w:val="105"/>
        </w:rPr>
        <w:t>primer</w:t>
      </w:r>
      <w:r>
        <w:rPr>
          <w:color w:val="231F20"/>
          <w:spacing w:val="-10"/>
          <w:w w:val="105"/>
        </w:rPr>
        <w:t> </w:t>
      </w:r>
      <w:r>
        <w:rPr>
          <w:color w:val="231F20"/>
          <w:w w:val="105"/>
        </w:rPr>
        <w:t>término</w:t>
      </w:r>
      <w:r>
        <w:rPr>
          <w:color w:val="231F20"/>
          <w:spacing w:val="-10"/>
          <w:w w:val="105"/>
        </w:rPr>
        <w:t> </w:t>
      </w:r>
      <w:r>
        <w:rPr>
          <w:color w:val="231F20"/>
          <w:w w:val="105"/>
        </w:rPr>
        <w:t>alude</w:t>
      </w:r>
      <w:r>
        <w:rPr>
          <w:color w:val="231F20"/>
          <w:spacing w:val="-10"/>
          <w:w w:val="105"/>
        </w:rPr>
        <w:t> </w:t>
      </w:r>
      <w:r>
        <w:rPr>
          <w:color w:val="231F20"/>
          <w:w w:val="105"/>
        </w:rPr>
        <w:t>la</w:t>
      </w:r>
      <w:r>
        <w:rPr>
          <w:color w:val="231F20"/>
          <w:spacing w:val="-10"/>
          <w:w w:val="105"/>
        </w:rPr>
        <w:t> </w:t>
      </w:r>
      <w:r>
        <w:rPr>
          <w:color w:val="231F20"/>
          <w:w w:val="105"/>
        </w:rPr>
        <w:t>capacidad</w:t>
      </w:r>
      <w:r>
        <w:rPr>
          <w:color w:val="231F20"/>
          <w:spacing w:val="-10"/>
          <w:w w:val="105"/>
        </w:rPr>
        <w:t> </w:t>
      </w:r>
      <w:r>
        <w:rPr>
          <w:color w:val="231F20"/>
          <w:w w:val="105"/>
        </w:rPr>
        <w:t>de</w:t>
      </w:r>
      <w:r>
        <w:rPr>
          <w:color w:val="231F20"/>
          <w:spacing w:val="-10"/>
          <w:w w:val="105"/>
        </w:rPr>
        <w:t> </w:t>
      </w:r>
      <w:r>
        <w:rPr>
          <w:color w:val="231F20"/>
          <w:w w:val="105"/>
        </w:rPr>
        <w:t>gobernar,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32"/>
      </w:pPr>
      <w:r>
        <w:rPr>
          <w:color w:val="231F20"/>
          <w:w w:val="105"/>
        </w:rPr>
        <w:t>de abrir el trabajo gubernamental para producir estabilidad, eficacia, eficiencia, hones- tidad y rendición de cuentas.</w:t>
      </w:r>
    </w:p>
    <w:p>
      <w:pPr>
        <w:pStyle w:val="BodyText"/>
        <w:spacing w:before="1"/>
        <w:rPr>
          <w:sz w:val="26"/>
        </w:rPr>
      </w:pPr>
    </w:p>
    <w:p>
      <w:pPr>
        <w:pStyle w:val="BodyText"/>
        <w:ind w:left="110" w:right="574"/>
      </w:pPr>
      <w:r>
        <w:rPr>
          <w:color w:val="231F20"/>
        </w:rPr>
        <w:t>La gestión pública debe de atender lo  siguiente:</w:t>
      </w:r>
    </w:p>
    <w:p>
      <w:pPr>
        <w:pStyle w:val="BodyText"/>
        <w:spacing w:line="285" w:lineRule="auto" w:before="47"/>
        <w:ind w:left="507" w:right="-2"/>
      </w:pPr>
      <w:r>
        <w:rPr>
          <w:color w:val="231F20"/>
          <w:w w:val="105"/>
        </w:rPr>
        <w:t>Demandas</w:t>
      </w:r>
      <w:r>
        <w:rPr>
          <w:color w:val="231F20"/>
          <w:spacing w:val="-13"/>
          <w:w w:val="105"/>
        </w:rPr>
        <w:t> </w:t>
      </w:r>
      <w:r>
        <w:rPr>
          <w:color w:val="231F20"/>
          <w:w w:val="105"/>
        </w:rPr>
        <w:t>por</w:t>
      </w:r>
      <w:r>
        <w:rPr>
          <w:color w:val="231F20"/>
          <w:spacing w:val="-13"/>
          <w:w w:val="105"/>
        </w:rPr>
        <w:t> </w:t>
      </w:r>
      <w:r>
        <w:rPr>
          <w:color w:val="231F20"/>
          <w:w w:val="105"/>
        </w:rPr>
        <w:t>formas</w:t>
      </w:r>
      <w:r>
        <w:rPr>
          <w:color w:val="231F20"/>
          <w:spacing w:val="-13"/>
          <w:w w:val="105"/>
        </w:rPr>
        <w:t> </w:t>
      </w:r>
      <w:r>
        <w:rPr>
          <w:color w:val="231F20"/>
          <w:w w:val="105"/>
        </w:rPr>
        <w:t>más</w:t>
      </w:r>
      <w:r>
        <w:rPr>
          <w:color w:val="231F20"/>
          <w:spacing w:val="-13"/>
          <w:w w:val="105"/>
        </w:rPr>
        <w:t> </w:t>
      </w:r>
      <w:r>
        <w:rPr>
          <w:color w:val="231F20"/>
          <w:w w:val="105"/>
        </w:rPr>
        <w:t>democráticas</w:t>
      </w:r>
      <w:r>
        <w:rPr>
          <w:color w:val="231F20"/>
          <w:spacing w:val="-13"/>
          <w:w w:val="105"/>
        </w:rPr>
        <w:t> </w:t>
      </w:r>
      <w:r>
        <w:rPr>
          <w:color w:val="231F20"/>
          <w:w w:val="105"/>
        </w:rPr>
        <w:t>y</w:t>
      </w:r>
      <w:r>
        <w:rPr>
          <w:color w:val="231F20"/>
          <w:spacing w:val="-13"/>
          <w:w w:val="105"/>
        </w:rPr>
        <w:t> </w:t>
      </w:r>
      <w:r>
        <w:rPr>
          <w:color w:val="231F20"/>
          <w:w w:val="105"/>
        </w:rPr>
        <w:t>participativas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gestión</w:t>
      </w:r>
      <w:r>
        <w:rPr>
          <w:color w:val="231F20"/>
          <w:spacing w:val="-13"/>
          <w:w w:val="105"/>
        </w:rPr>
        <w:t> </w:t>
      </w:r>
      <w:r>
        <w:rPr>
          <w:color w:val="231F20"/>
          <w:w w:val="105"/>
        </w:rPr>
        <w:t>pública. Desempeño</w:t>
      </w:r>
      <w:r>
        <w:rPr>
          <w:color w:val="231F20"/>
          <w:spacing w:val="-16"/>
          <w:w w:val="105"/>
        </w:rPr>
        <w:t> </w:t>
      </w:r>
      <w:r>
        <w:rPr>
          <w:color w:val="231F20"/>
          <w:w w:val="105"/>
        </w:rPr>
        <w:t>más</w:t>
      </w:r>
      <w:r>
        <w:rPr>
          <w:color w:val="231F20"/>
          <w:spacing w:val="-16"/>
          <w:w w:val="105"/>
        </w:rPr>
        <w:t> </w:t>
      </w:r>
      <w:r>
        <w:rPr>
          <w:color w:val="231F20"/>
          <w:w w:val="105"/>
        </w:rPr>
        <w:t>eficiente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Pública.</w:t>
      </w:r>
    </w:p>
    <w:p>
      <w:pPr>
        <w:pStyle w:val="BodyText"/>
        <w:spacing w:line="285" w:lineRule="auto" w:before="1"/>
        <w:ind w:left="507" w:right="4568"/>
      </w:pPr>
      <w:r>
        <w:rPr>
          <w:color w:val="231F20"/>
          <w:w w:val="105"/>
        </w:rPr>
        <w:t>Más y mejores servicios. Reforma administrativa integral.</w:t>
      </w:r>
    </w:p>
    <w:p>
      <w:pPr>
        <w:pStyle w:val="BodyText"/>
        <w:spacing w:line="285" w:lineRule="auto" w:before="1"/>
        <w:ind w:left="507" w:right="1991"/>
      </w:pPr>
      <w:r>
        <w:rPr>
          <w:color w:val="231F20"/>
          <w:w w:val="105"/>
        </w:rPr>
        <w:t>Descentralización de la acción administrativa. Despolitización</w:t>
      </w:r>
      <w:r>
        <w:rPr>
          <w:color w:val="231F20"/>
          <w:spacing w:val="-23"/>
          <w:w w:val="105"/>
        </w:rPr>
        <w:t> </w:t>
      </w:r>
      <w:r>
        <w:rPr>
          <w:color w:val="231F20"/>
          <w:w w:val="105"/>
        </w:rPr>
        <w:t>de</w:t>
      </w:r>
      <w:r>
        <w:rPr>
          <w:color w:val="231F20"/>
          <w:spacing w:val="-23"/>
          <w:w w:val="105"/>
        </w:rPr>
        <w:t> </w:t>
      </w:r>
      <w:r>
        <w:rPr>
          <w:color w:val="231F20"/>
          <w:w w:val="105"/>
        </w:rPr>
        <w:t>funcionarios</w:t>
      </w:r>
      <w:r>
        <w:rPr>
          <w:color w:val="231F20"/>
          <w:spacing w:val="-23"/>
          <w:w w:val="105"/>
        </w:rPr>
        <w:t> </w:t>
      </w:r>
      <w:r>
        <w:rPr>
          <w:color w:val="231F20"/>
          <w:w w:val="105"/>
        </w:rPr>
        <w:t>y</w:t>
      </w:r>
      <w:r>
        <w:rPr>
          <w:color w:val="231F20"/>
          <w:spacing w:val="-23"/>
          <w:w w:val="105"/>
        </w:rPr>
        <w:t> </w:t>
      </w:r>
      <w:r>
        <w:rPr>
          <w:color w:val="231F20"/>
          <w:w w:val="105"/>
        </w:rPr>
        <w:t>servidores</w:t>
      </w:r>
      <w:r>
        <w:rPr>
          <w:color w:val="231F20"/>
          <w:spacing w:val="-23"/>
          <w:w w:val="105"/>
        </w:rPr>
        <w:t> </w:t>
      </w:r>
      <w:r>
        <w:rPr>
          <w:color w:val="231F20"/>
          <w:w w:val="105"/>
        </w:rPr>
        <w:t>públicos. Reconstrucción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ética.</w:t>
      </w:r>
    </w:p>
    <w:p>
      <w:pPr>
        <w:pStyle w:val="BodyText"/>
        <w:spacing w:before="1"/>
        <w:ind w:left="507" w:right="574"/>
      </w:pPr>
      <w:r>
        <w:rPr>
          <w:color w:val="231F20"/>
          <w:w w:val="105"/>
        </w:rPr>
        <w:t>Transparencia y responsabilidad pública.</w:t>
      </w:r>
    </w:p>
    <w:p>
      <w:pPr>
        <w:spacing w:before="99"/>
        <w:ind w:left="0" w:right="108" w:firstLine="0"/>
        <w:jc w:val="right"/>
        <w:rPr>
          <w:rFonts w:ascii="Calibri" w:hAnsi="Calibri"/>
          <w:sz w:val="16"/>
        </w:rPr>
      </w:pPr>
      <w:r>
        <w:rPr>
          <w:rFonts w:ascii="Calibri" w:hAnsi="Calibri"/>
          <w:color w:val="231F20"/>
          <w:w w:val="95"/>
          <w:sz w:val="16"/>
        </w:rPr>
        <w:t>Fuente: Sánchez, 2008: 93.</w:t>
      </w:r>
    </w:p>
    <w:p>
      <w:pPr>
        <w:pStyle w:val="BodyText"/>
        <w:rPr>
          <w:rFonts w:ascii="Calibri"/>
          <w:sz w:val="16"/>
        </w:rPr>
      </w:pPr>
    </w:p>
    <w:p>
      <w:pPr>
        <w:pStyle w:val="BodyText"/>
        <w:spacing w:before="9"/>
        <w:rPr>
          <w:rFonts w:ascii="Calibri"/>
          <w:sz w:val="12"/>
        </w:rPr>
      </w:pPr>
    </w:p>
    <w:p>
      <w:pPr>
        <w:pStyle w:val="BodyText"/>
        <w:spacing w:line="285" w:lineRule="auto"/>
        <w:ind w:left="110" w:right="108"/>
        <w:jc w:val="both"/>
      </w:pPr>
      <w:r>
        <w:rPr>
          <w:color w:val="231F20"/>
          <w:w w:val="105"/>
        </w:rPr>
        <w:t>El</w:t>
      </w:r>
      <w:r>
        <w:rPr>
          <w:color w:val="231F20"/>
          <w:spacing w:val="-13"/>
          <w:w w:val="105"/>
        </w:rPr>
        <w:t> </w:t>
      </w:r>
      <w:r>
        <w:rPr>
          <w:color w:val="231F20"/>
          <w:w w:val="105"/>
        </w:rPr>
        <w:t>diseño</w:t>
      </w:r>
      <w:r>
        <w:rPr>
          <w:color w:val="231F20"/>
          <w:spacing w:val="-13"/>
          <w:w w:val="105"/>
        </w:rPr>
        <w:t> </w:t>
      </w:r>
      <w:r>
        <w:rPr>
          <w:color w:val="231F20"/>
          <w:w w:val="105"/>
        </w:rPr>
        <w:t>institucional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gobiernos</w:t>
      </w:r>
      <w:r>
        <w:rPr>
          <w:color w:val="231F20"/>
          <w:spacing w:val="-13"/>
          <w:w w:val="105"/>
        </w:rPr>
        <w:t> </w:t>
      </w:r>
      <w:r>
        <w:rPr>
          <w:color w:val="231F20"/>
          <w:w w:val="105"/>
        </w:rPr>
        <w:t>locales</w:t>
      </w:r>
      <w:r>
        <w:rPr>
          <w:color w:val="231F20"/>
          <w:spacing w:val="-13"/>
          <w:w w:val="105"/>
        </w:rPr>
        <w:t> </w:t>
      </w:r>
      <w:r>
        <w:rPr>
          <w:color w:val="231F20"/>
          <w:w w:val="105"/>
        </w:rPr>
        <w:t>define</w:t>
      </w:r>
      <w:r>
        <w:rPr>
          <w:color w:val="231F20"/>
          <w:spacing w:val="-13"/>
          <w:w w:val="105"/>
        </w:rPr>
        <w:t> </w:t>
      </w:r>
      <w:r>
        <w:rPr>
          <w:color w:val="231F20"/>
          <w:w w:val="105"/>
        </w:rPr>
        <w:t>varias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características</w:t>
      </w:r>
      <w:r>
        <w:rPr>
          <w:color w:val="231F20"/>
          <w:spacing w:val="-13"/>
          <w:w w:val="105"/>
        </w:rPr>
        <w:t> </w:t>
      </w:r>
      <w:r>
        <w:rPr>
          <w:color w:val="231F20"/>
          <w:w w:val="105"/>
        </w:rPr>
        <w:t>ante- riores.</w:t>
      </w:r>
      <w:r>
        <w:rPr>
          <w:color w:val="231F20"/>
          <w:spacing w:val="-18"/>
          <w:w w:val="105"/>
        </w:rPr>
        <w:t> </w:t>
      </w:r>
      <w:r>
        <w:rPr>
          <w:color w:val="231F20"/>
          <w:w w:val="105"/>
        </w:rPr>
        <w:t>Como</w:t>
      </w:r>
      <w:r>
        <w:rPr>
          <w:color w:val="231F20"/>
          <w:spacing w:val="-18"/>
          <w:w w:val="105"/>
        </w:rPr>
        <w:t> </w:t>
      </w:r>
      <w:r>
        <w:rPr>
          <w:color w:val="231F20"/>
          <w:spacing w:val="2"/>
          <w:w w:val="105"/>
        </w:rPr>
        <w:t>afirma</w:t>
      </w:r>
      <w:r>
        <w:rPr>
          <w:color w:val="231F20"/>
          <w:spacing w:val="-18"/>
          <w:w w:val="105"/>
        </w:rPr>
        <w:t> </w:t>
      </w:r>
      <w:r>
        <w:rPr>
          <w:color w:val="231F20"/>
          <w:w w:val="105"/>
        </w:rPr>
        <w:t>Sánchez</w:t>
      </w:r>
      <w:r>
        <w:rPr>
          <w:color w:val="231F20"/>
          <w:spacing w:val="-18"/>
          <w:w w:val="105"/>
        </w:rPr>
        <w:t> </w:t>
      </w:r>
      <w:r>
        <w:rPr>
          <w:color w:val="231F20"/>
          <w:w w:val="105"/>
        </w:rPr>
        <w:t>(2008:</w:t>
      </w:r>
      <w:r>
        <w:rPr>
          <w:color w:val="231F20"/>
          <w:spacing w:val="-18"/>
          <w:w w:val="105"/>
        </w:rPr>
        <w:t> </w:t>
      </w:r>
      <w:r>
        <w:rPr>
          <w:color w:val="231F20"/>
          <w:spacing w:val="-3"/>
          <w:w w:val="105"/>
        </w:rPr>
        <w:t>95),</w:t>
      </w:r>
      <w:r>
        <w:rPr>
          <w:color w:val="231F20"/>
          <w:spacing w:val="-18"/>
          <w:w w:val="105"/>
        </w:rPr>
        <w:t> </w:t>
      </w:r>
      <w:r>
        <w:rPr>
          <w:color w:val="231F20"/>
          <w:w w:val="105"/>
        </w:rPr>
        <w:t>la</w:t>
      </w:r>
      <w:r>
        <w:rPr>
          <w:color w:val="231F20"/>
          <w:spacing w:val="-18"/>
          <w:w w:val="105"/>
        </w:rPr>
        <w:t> </w:t>
      </w:r>
      <w:r>
        <w:rPr>
          <w:color w:val="231F20"/>
          <w:w w:val="105"/>
        </w:rPr>
        <w:t>eficiencia</w:t>
      </w:r>
      <w:r>
        <w:rPr>
          <w:color w:val="231F20"/>
          <w:spacing w:val="-18"/>
          <w:w w:val="105"/>
        </w:rPr>
        <w:t> </w:t>
      </w:r>
      <w:r>
        <w:rPr>
          <w:color w:val="231F20"/>
          <w:w w:val="105"/>
        </w:rPr>
        <w:t>del</w:t>
      </w:r>
      <w:r>
        <w:rPr>
          <w:color w:val="231F20"/>
          <w:spacing w:val="-18"/>
          <w:w w:val="105"/>
        </w:rPr>
        <w:t> </w:t>
      </w:r>
      <w:r>
        <w:rPr>
          <w:color w:val="231F20"/>
          <w:w w:val="105"/>
        </w:rPr>
        <w:t>trabajo</w:t>
      </w:r>
      <w:r>
        <w:rPr>
          <w:color w:val="231F20"/>
          <w:spacing w:val="-18"/>
          <w:w w:val="105"/>
        </w:rPr>
        <w:t> </w:t>
      </w:r>
      <w:r>
        <w:rPr>
          <w:color w:val="231F20"/>
          <w:w w:val="105"/>
        </w:rPr>
        <w:t>gubernamental</w:t>
      </w:r>
      <w:r>
        <w:rPr>
          <w:color w:val="231F20"/>
          <w:spacing w:val="-18"/>
          <w:w w:val="105"/>
        </w:rPr>
        <w:t> </w:t>
      </w:r>
      <w:r>
        <w:rPr>
          <w:color w:val="231F20"/>
          <w:w w:val="105"/>
        </w:rPr>
        <w:t>está</w:t>
      </w:r>
      <w:r>
        <w:rPr>
          <w:color w:val="231F20"/>
          <w:spacing w:val="-18"/>
          <w:w w:val="105"/>
        </w:rPr>
        <w:t> </w:t>
      </w:r>
      <w:r>
        <w:rPr>
          <w:color w:val="231F20"/>
          <w:w w:val="105"/>
        </w:rPr>
        <w:t>en función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libertad</w:t>
      </w:r>
      <w:r>
        <w:rPr>
          <w:color w:val="231F20"/>
          <w:spacing w:val="-17"/>
          <w:w w:val="105"/>
        </w:rPr>
        <w:t> </w:t>
      </w:r>
      <w:r>
        <w:rPr>
          <w:color w:val="231F20"/>
          <w:w w:val="105"/>
        </w:rPr>
        <w:t>para</w:t>
      </w:r>
      <w:r>
        <w:rPr>
          <w:color w:val="231F20"/>
          <w:spacing w:val="-17"/>
          <w:w w:val="105"/>
        </w:rPr>
        <w:t> </w:t>
      </w:r>
      <w:r>
        <w:rPr>
          <w:color w:val="231F20"/>
          <w:w w:val="105"/>
        </w:rPr>
        <w:t>deliberar,</w:t>
      </w:r>
      <w:r>
        <w:rPr>
          <w:color w:val="231F20"/>
          <w:spacing w:val="-17"/>
          <w:w w:val="105"/>
        </w:rPr>
        <w:t> </w:t>
      </w:r>
      <w:r>
        <w:rPr>
          <w:color w:val="231F20"/>
          <w:w w:val="105"/>
        </w:rPr>
        <w:t>la</w:t>
      </w:r>
      <w:r>
        <w:rPr>
          <w:color w:val="231F20"/>
          <w:spacing w:val="-17"/>
          <w:w w:val="105"/>
        </w:rPr>
        <w:t> </w:t>
      </w:r>
      <w:r>
        <w:rPr>
          <w:color w:val="231F20"/>
          <w:w w:val="105"/>
        </w:rPr>
        <w:t>normatividad</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que</w:t>
      </w:r>
      <w:r>
        <w:rPr>
          <w:color w:val="231F20"/>
          <w:spacing w:val="-17"/>
          <w:w w:val="105"/>
        </w:rPr>
        <w:t> </w:t>
      </w:r>
      <w:r>
        <w:rPr>
          <w:color w:val="231F20"/>
          <w:w w:val="105"/>
        </w:rPr>
        <w:t>opera,</w:t>
      </w:r>
      <w:r>
        <w:rPr>
          <w:color w:val="231F20"/>
          <w:spacing w:val="-17"/>
          <w:w w:val="105"/>
        </w:rPr>
        <w:t> </w:t>
      </w:r>
      <w:r>
        <w:rPr>
          <w:color w:val="231F20"/>
          <w:w w:val="105"/>
        </w:rPr>
        <w:t>la</w:t>
      </w:r>
      <w:r>
        <w:rPr>
          <w:color w:val="231F20"/>
          <w:spacing w:val="-17"/>
          <w:w w:val="105"/>
        </w:rPr>
        <w:t> </w:t>
      </w:r>
      <w:r>
        <w:rPr>
          <w:color w:val="231F20"/>
          <w:w w:val="105"/>
        </w:rPr>
        <w:t>planeación</w:t>
      </w:r>
      <w:r>
        <w:rPr>
          <w:color w:val="231F20"/>
          <w:spacing w:val="-17"/>
          <w:w w:val="105"/>
        </w:rPr>
        <w:t> </w:t>
      </w:r>
      <w:r>
        <w:rPr>
          <w:color w:val="231F20"/>
          <w:w w:val="105"/>
        </w:rPr>
        <w:t>del trabajo gubernamental, las formas de administrar la hacienda municipal y el impacto de</w:t>
      </w:r>
      <w:r>
        <w:rPr>
          <w:color w:val="231F20"/>
          <w:spacing w:val="-30"/>
          <w:w w:val="105"/>
        </w:rPr>
        <w:t> </w:t>
      </w:r>
      <w:r>
        <w:rPr>
          <w:color w:val="231F20"/>
          <w:w w:val="105"/>
        </w:rPr>
        <w:t>los</w:t>
      </w:r>
      <w:r>
        <w:rPr>
          <w:color w:val="231F20"/>
          <w:spacing w:val="-30"/>
          <w:w w:val="105"/>
        </w:rPr>
        <w:t> </w:t>
      </w:r>
      <w:r>
        <w:rPr>
          <w:color w:val="231F20"/>
          <w:w w:val="105"/>
        </w:rPr>
        <w:t>servicios</w:t>
      </w:r>
      <w:r>
        <w:rPr>
          <w:color w:val="231F20"/>
          <w:spacing w:val="-30"/>
          <w:w w:val="105"/>
        </w:rPr>
        <w:t> </w:t>
      </w:r>
      <w:r>
        <w:rPr>
          <w:color w:val="231F20"/>
          <w:w w:val="105"/>
        </w:rPr>
        <w:t>públicos.</w:t>
      </w:r>
    </w:p>
    <w:p>
      <w:pPr>
        <w:pStyle w:val="BodyText"/>
        <w:spacing w:before="1"/>
        <w:rPr>
          <w:sz w:val="26"/>
        </w:rPr>
      </w:pPr>
    </w:p>
    <w:p>
      <w:pPr>
        <w:pStyle w:val="BodyText"/>
        <w:spacing w:line="285" w:lineRule="auto"/>
        <w:ind w:left="110" w:right="108"/>
        <w:jc w:val="both"/>
      </w:pPr>
      <w:r>
        <w:rPr>
          <w:color w:val="231F20"/>
          <w:w w:val="105"/>
        </w:rPr>
        <w:t>Habiendo</w:t>
      </w:r>
      <w:r>
        <w:rPr>
          <w:color w:val="231F20"/>
          <w:spacing w:val="-21"/>
          <w:w w:val="105"/>
        </w:rPr>
        <w:t> </w:t>
      </w:r>
      <w:r>
        <w:rPr>
          <w:color w:val="231F20"/>
          <w:w w:val="105"/>
        </w:rPr>
        <w:t>observado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apartado</w:t>
      </w:r>
      <w:r>
        <w:rPr>
          <w:color w:val="231F20"/>
          <w:spacing w:val="-21"/>
          <w:w w:val="105"/>
        </w:rPr>
        <w:t> </w:t>
      </w:r>
      <w:r>
        <w:rPr>
          <w:color w:val="231F20"/>
          <w:w w:val="105"/>
        </w:rPr>
        <w:t>anterior</w:t>
      </w:r>
      <w:r>
        <w:rPr>
          <w:color w:val="231F20"/>
          <w:spacing w:val="-21"/>
          <w:w w:val="105"/>
        </w:rPr>
        <w:t> </w:t>
      </w:r>
      <w:r>
        <w:rPr>
          <w:color w:val="231F20"/>
          <w:w w:val="105"/>
        </w:rPr>
        <w:t>las</w:t>
      </w:r>
      <w:r>
        <w:rPr>
          <w:color w:val="231F20"/>
          <w:spacing w:val="-21"/>
          <w:w w:val="105"/>
        </w:rPr>
        <w:t> </w:t>
      </w:r>
      <w:r>
        <w:rPr>
          <w:color w:val="231F20"/>
          <w:w w:val="105"/>
        </w:rPr>
        <w:t>características</w:t>
      </w:r>
      <w:r>
        <w:rPr>
          <w:color w:val="231F20"/>
          <w:spacing w:val="-21"/>
          <w:w w:val="105"/>
        </w:rPr>
        <w:t> </w:t>
      </w:r>
      <w:r>
        <w:rPr>
          <w:color w:val="231F20"/>
          <w:w w:val="105"/>
        </w:rPr>
        <w:t>del</w:t>
      </w:r>
      <w:r>
        <w:rPr>
          <w:color w:val="231F20"/>
          <w:spacing w:val="-21"/>
          <w:w w:val="105"/>
        </w:rPr>
        <w:t> </w:t>
      </w:r>
      <w:r>
        <w:rPr>
          <w:color w:val="231F20"/>
          <w:w w:val="105"/>
        </w:rPr>
        <w:t>gobierno,</w:t>
      </w:r>
      <w:r>
        <w:rPr>
          <w:color w:val="231F20"/>
          <w:spacing w:val="-21"/>
          <w:w w:val="105"/>
        </w:rPr>
        <w:t> </w:t>
      </w:r>
      <w:r>
        <w:rPr>
          <w:color w:val="231F20"/>
          <w:w w:val="105"/>
        </w:rPr>
        <w:t>se</w:t>
      </w:r>
      <w:r>
        <w:rPr>
          <w:color w:val="231F20"/>
          <w:spacing w:val="-21"/>
          <w:w w:val="105"/>
        </w:rPr>
        <w:t> </w:t>
      </w:r>
      <w:r>
        <w:rPr>
          <w:color w:val="231F20"/>
          <w:w w:val="105"/>
        </w:rPr>
        <w:t>concluye que la gestión del gobierno de Ixtapan de la Sal es baja, pues el dominio del PRI en el cabildo</w:t>
      </w:r>
      <w:r>
        <w:rPr>
          <w:color w:val="231F20"/>
          <w:spacing w:val="-4"/>
          <w:w w:val="105"/>
        </w:rPr>
        <w:t> </w:t>
      </w:r>
      <w:r>
        <w:rPr>
          <w:color w:val="231F20"/>
          <w:w w:val="105"/>
        </w:rPr>
        <w:t>no</w:t>
      </w:r>
      <w:r>
        <w:rPr>
          <w:color w:val="231F20"/>
          <w:spacing w:val="-4"/>
          <w:w w:val="105"/>
        </w:rPr>
        <w:t> </w:t>
      </w:r>
      <w:r>
        <w:rPr>
          <w:color w:val="231F20"/>
          <w:w w:val="105"/>
        </w:rPr>
        <w:t>desarrolla</w:t>
      </w:r>
      <w:r>
        <w:rPr>
          <w:color w:val="231F20"/>
          <w:spacing w:val="-4"/>
          <w:w w:val="105"/>
        </w:rPr>
        <w:t> </w:t>
      </w:r>
      <w:r>
        <w:rPr>
          <w:color w:val="231F20"/>
          <w:w w:val="105"/>
        </w:rPr>
        <w:t>la</w:t>
      </w:r>
      <w:r>
        <w:rPr>
          <w:color w:val="231F20"/>
          <w:spacing w:val="-4"/>
          <w:w w:val="105"/>
        </w:rPr>
        <w:t> </w:t>
      </w:r>
      <w:r>
        <w:rPr>
          <w:color w:val="231F20"/>
          <w:w w:val="105"/>
        </w:rPr>
        <w:t>capacidad</w:t>
      </w:r>
      <w:r>
        <w:rPr>
          <w:color w:val="231F20"/>
          <w:spacing w:val="-4"/>
          <w:w w:val="105"/>
        </w:rPr>
        <w:t> </w:t>
      </w:r>
      <w:r>
        <w:rPr>
          <w:color w:val="231F20"/>
          <w:w w:val="105"/>
        </w:rPr>
        <w:t>de</w:t>
      </w:r>
      <w:r>
        <w:rPr>
          <w:color w:val="231F20"/>
          <w:spacing w:val="-4"/>
          <w:w w:val="105"/>
        </w:rPr>
        <w:t> </w:t>
      </w:r>
      <w:r>
        <w:rPr>
          <w:color w:val="231F20"/>
          <w:w w:val="105"/>
        </w:rPr>
        <w:t>consensar</w:t>
      </w:r>
      <w:r>
        <w:rPr>
          <w:color w:val="231F20"/>
          <w:spacing w:val="-4"/>
          <w:w w:val="105"/>
        </w:rPr>
        <w:t> </w:t>
      </w:r>
      <w:r>
        <w:rPr>
          <w:color w:val="231F20"/>
          <w:w w:val="105"/>
        </w:rPr>
        <w:t>ya</w:t>
      </w:r>
      <w:r>
        <w:rPr>
          <w:color w:val="231F20"/>
          <w:spacing w:val="-4"/>
          <w:w w:val="105"/>
        </w:rPr>
        <w:t> </w:t>
      </w:r>
      <w:r>
        <w:rPr>
          <w:color w:val="231F20"/>
          <w:w w:val="105"/>
        </w:rPr>
        <w:t>que</w:t>
      </w:r>
      <w:r>
        <w:rPr>
          <w:color w:val="231F20"/>
          <w:spacing w:val="-4"/>
          <w:w w:val="105"/>
        </w:rPr>
        <w:t> </w:t>
      </w:r>
      <w:r>
        <w:rPr>
          <w:color w:val="231F20"/>
          <w:spacing w:val="2"/>
          <w:w w:val="105"/>
        </w:rPr>
        <w:t>al</w:t>
      </w:r>
      <w:r>
        <w:rPr>
          <w:color w:val="231F20"/>
          <w:spacing w:val="-4"/>
          <w:w w:val="105"/>
        </w:rPr>
        <w:t> </w:t>
      </w:r>
      <w:r>
        <w:rPr>
          <w:color w:val="231F20"/>
          <w:w w:val="105"/>
        </w:rPr>
        <w:t>tener</w:t>
      </w:r>
      <w:r>
        <w:rPr>
          <w:color w:val="231F20"/>
          <w:spacing w:val="-4"/>
          <w:w w:val="105"/>
        </w:rPr>
        <w:t> </w:t>
      </w:r>
      <w:r>
        <w:rPr>
          <w:color w:val="231F20"/>
          <w:w w:val="105"/>
        </w:rPr>
        <w:t>la</w:t>
      </w:r>
      <w:r>
        <w:rPr>
          <w:color w:val="231F20"/>
          <w:spacing w:val="-4"/>
          <w:w w:val="105"/>
        </w:rPr>
        <w:t> </w:t>
      </w:r>
      <w:r>
        <w:rPr>
          <w:color w:val="231F20"/>
          <w:w w:val="105"/>
        </w:rPr>
        <w:t>mayoría</w:t>
      </w:r>
      <w:r>
        <w:rPr>
          <w:color w:val="231F20"/>
          <w:spacing w:val="-4"/>
          <w:w w:val="105"/>
        </w:rPr>
        <w:t> </w:t>
      </w:r>
      <w:r>
        <w:rPr>
          <w:color w:val="231F20"/>
          <w:w w:val="105"/>
        </w:rPr>
        <w:t>absoluta</w:t>
      </w:r>
      <w:r>
        <w:rPr>
          <w:color w:val="231F20"/>
          <w:spacing w:val="-4"/>
          <w:w w:val="105"/>
        </w:rPr>
        <w:t> </w:t>
      </w:r>
      <w:r>
        <w:rPr>
          <w:color w:val="231F20"/>
          <w:w w:val="105"/>
        </w:rPr>
        <w:t>no requiere</w:t>
      </w:r>
      <w:r>
        <w:rPr>
          <w:color w:val="231F20"/>
          <w:spacing w:val="-15"/>
          <w:w w:val="105"/>
        </w:rPr>
        <w:t> </w:t>
      </w:r>
      <w:r>
        <w:rPr>
          <w:color w:val="231F20"/>
          <w:w w:val="105"/>
        </w:rPr>
        <w:t>negociar</w:t>
      </w:r>
      <w:r>
        <w:rPr>
          <w:color w:val="231F20"/>
          <w:spacing w:val="-15"/>
          <w:w w:val="105"/>
        </w:rPr>
        <w:t> </w:t>
      </w:r>
      <w:r>
        <w:rPr>
          <w:color w:val="231F20"/>
          <w:w w:val="105"/>
        </w:rPr>
        <w:t>con</w:t>
      </w:r>
      <w:r>
        <w:rPr>
          <w:color w:val="231F20"/>
          <w:spacing w:val="-15"/>
          <w:w w:val="105"/>
        </w:rPr>
        <w:t> </w:t>
      </w:r>
      <w:r>
        <w:rPr>
          <w:color w:val="231F20"/>
          <w:w w:val="105"/>
        </w:rPr>
        <w:t>los</w:t>
      </w:r>
      <w:r>
        <w:rPr>
          <w:color w:val="231F20"/>
          <w:spacing w:val="-15"/>
          <w:w w:val="105"/>
        </w:rPr>
        <w:t> </w:t>
      </w:r>
      <w:r>
        <w:rPr>
          <w:color w:val="231F20"/>
          <w:w w:val="105"/>
        </w:rPr>
        <w:t>partidos</w:t>
      </w:r>
      <w:r>
        <w:rPr>
          <w:color w:val="231F20"/>
          <w:spacing w:val="-15"/>
          <w:w w:val="105"/>
        </w:rPr>
        <w:t> </w:t>
      </w:r>
      <w:r>
        <w:rPr>
          <w:color w:val="231F20"/>
          <w:w w:val="105"/>
        </w:rPr>
        <w:t>de</w:t>
      </w:r>
      <w:r>
        <w:rPr>
          <w:color w:val="231F20"/>
          <w:spacing w:val="-15"/>
          <w:w w:val="105"/>
        </w:rPr>
        <w:t> </w:t>
      </w:r>
      <w:r>
        <w:rPr>
          <w:color w:val="231F20"/>
          <w:w w:val="105"/>
        </w:rPr>
        <w:t>oposición,</w:t>
      </w:r>
      <w:r>
        <w:rPr>
          <w:color w:val="231F20"/>
          <w:spacing w:val="-15"/>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las</w:t>
      </w:r>
      <w:r>
        <w:rPr>
          <w:color w:val="231F20"/>
          <w:spacing w:val="-15"/>
          <w:w w:val="105"/>
        </w:rPr>
        <w:t> </w:t>
      </w:r>
      <w:r>
        <w:rPr>
          <w:color w:val="231F20"/>
          <w:w w:val="105"/>
        </w:rPr>
        <w:t>deliberaciones</w:t>
      </w:r>
      <w:r>
        <w:rPr>
          <w:color w:val="231F20"/>
          <w:spacing w:val="-15"/>
          <w:w w:val="105"/>
        </w:rPr>
        <w:t> </w:t>
      </w:r>
      <w:r>
        <w:rPr>
          <w:color w:val="231F20"/>
          <w:w w:val="105"/>
        </w:rPr>
        <w:t>son</w:t>
      </w:r>
      <w:r>
        <w:rPr>
          <w:color w:val="231F20"/>
          <w:spacing w:val="-15"/>
          <w:w w:val="105"/>
        </w:rPr>
        <w:t> </w:t>
      </w:r>
      <w:r>
        <w:rPr>
          <w:color w:val="231F20"/>
          <w:w w:val="105"/>
        </w:rPr>
        <w:t>unila- terales por tratarse una sola posición</w:t>
      </w:r>
      <w:r>
        <w:rPr>
          <w:color w:val="231F20"/>
          <w:spacing w:val="-7"/>
          <w:w w:val="105"/>
        </w:rPr>
        <w:t> </w:t>
      </w:r>
      <w:r>
        <w:rPr>
          <w:color w:val="231F20"/>
          <w:w w:val="105"/>
        </w:rPr>
        <w:t>partidista.</w:t>
      </w:r>
    </w:p>
    <w:p>
      <w:pPr>
        <w:pStyle w:val="BodyText"/>
        <w:spacing w:before="1"/>
        <w:rPr>
          <w:sz w:val="26"/>
        </w:rPr>
      </w:pPr>
    </w:p>
    <w:p>
      <w:pPr>
        <w:pStyle w:val="BodyText"/>
        <w:spacing w:line="285" w:lineRule="auto"/>
        <w:ind w:left="110" w:right="108"/>
        <w:jc w:val="both"/>
      </w:pPr>
      <w:r>
        <w:rPr>
          <w:color w:val="231F20"/>
          <w:w w:val="105"/>
        </w:rPr>
        <w:t>Es</w:t>
      </w:r>
      <w:r>
        <w:rPr>
          <w:color w:val="231F20"/>
          <w:spacing w:val="-6"/>
          <w:w w:val="105"/>
        </w:rPr>
        <w:t> </w:t>
      </w:r>
      <w:r>
        <w:rPr>
          <w:color w:val="231F20"/>
          <w:w w:val="105"/>
        </w:rPr>
        <w:t>baja</w:t>
      </w:r>
      <w:r>
        <w:rPr>
          <w:color w:val="231F20"/>
          <w:spacing w:val="-6"/>
          <w:w w:val="105"/>
        </w:rPr>
        <w:t> </w:t>
      </w:r>
      <w:r>
        <w:rPr>
          <w:color w:val="231F20"/>
          <w:w w:val="105"/>
        </w:rPr>
        <w:t>también</w:t>
      </w:r>
      <w:r>
        <w:rPr>
          <w:color w:val="231F20"/>
          <w:spacing w:val="-6"/>
          <w:w w:val="105"/>
        </w:rPr>
        <w:t> </w:t>
      </w:r>
      <w:r>
        <w:rPr>
          <w:color w:val="231F20"/>
          <w:w w:val="105"/>
        </w:rPr>
        <w:t>porque</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refleja</w:t>
      </w:r>
      <w:r>
        <w:rPr>
          <w:color w:val="231F20"/>
          <w:spacing w:val="-6"/>
          <w:w w:val="105"/>
        </w:rPr>
        <w:t> </w:t>
      </w:r>
      <w:r>
        <w:rPr>
          <w:color w:val="231F20"/>
          <w:w w:val="105"/>
        </w:rPr>
        <w:t>preocupación</w:t>
      </w:r>
      <w:r>
        <w:rPr>
          <w:color w:val="231F20"/>
          <w:spacing w:val="-6"/>
          <w:w w:val="105"/>
        </w:rPr>
        <w:t> </w:t>
      </w:r>
      <w:r>
        <w:rPr>
          <w:color w:val="231F20"/>
          <w:w w:val="105"/>
        </w:rPr>
        <w:t>alguna</w:t>
      </w:r>
      <w:r>
        <w:rPr>
          <w:color w:val="231F20"/>
          <w:spacing w:val="-6"/>
          <w:w w:val="105"/>
        </w:rPr>
        <w:t> </w:t>
      </w:r>
      <w:r>
        <w:rPr>
          <w:color w:val="231F20"/>
          <w:w w:val="105"/>
        </w:rPr>
        <w:t>de</w:t>
      </w:r>
      <w:r>
        <w:rPr>
          <w:color w:val="231F20"/>
          <w:spacing w:val="-6"/>
          <w:w w:val="105"/>
        </w:rPr>
        <w:t> </w:t>
      </w:r>
      <w:r>
        <w:rPr>
          <w:color w:val="231F20"/>
          <w:w w:val="105"/>
        </w:rPr>
        <w:t>parte</w:t>
      </w:r>
      <w:r>
        <w:rPr>
          <w:color w:val="231F20"/>
          <w:spacing w:val="-6"/>
          <w:w w:val="105"/>
        </w:rPr>
        <w:t> </w:t>
      </w:r>
      <w:r>
        <w:rPr>
          <w:color w:val="231F20"/>
          <w:w w:val="105"/>
        </w:rPr>
        <w:t>del</w:t>
      </w:r>
      <w:r>
        <w:rPr>
          <w:color w:val="231F20"/>
          <w:spacing w:val="-6"/>
          <w:w w:val="105"/>
        </w:rPr>
        <w:t> </w:t>
      </w:r>
      <w:r>
        <w:rPr>
          <w:color w:val="231F20"/>
          <w:w w:val="105"/>
        </w:rPr>
        <w:t>gobierno</w:t>
      </w:r>
      <w:r>
        <w:rPr>
          <w:color w:val="231F20"/>
          <w:spacing w:val="-6"/>
          <w:w w:val="105"/>
        </w:rPr>
        <w:t> </w:t>
      </w:r>
      <w:r>
        <w:rPr>
          <w:color w:val="231F20"/>
          <w:w w:val="105"/>
        </w:rPr>
        <w:t>priísta por expedir ordenamientos y de esta forma organizar a la administración pública </w:t>
      </w:r>
      <w:r>
        <w:rPr>
          <w:color w:val="231F20"/>
          <w:spacing w:val="-3"/>
          <w:w w:val="105"/>
        </w:rPr>
        <w:t>mu- </w:t>
      </w:r>
      <w:r>
        <w:rPr>
          <w:color w:val="231F20"/>
          <w:w w:val="105"/>
        </w:rPr>
        <w:t>nicipal. De hecho, recordemos que la mitad de las áreas que le competen </w:t>
      </w:r>
      <w:r>
        <w:rPr>
          <w:color w:val="231F20"/>
          <w:spacing w:val="2"/>
          <w:w w:val="105"/>
        </w:rPr>
        <w:t>al </w:t>
      </w:r>
      <w:r>
        <w:rPr>
          <w:color w:val="231F20"/>
          <w:w w:val="105"/>
        </w:rPr>
        <w:t>gobierno municipal no se encuentran reglamentadas en lo</w:t>
      </w:r>
      <w:r>
        <w:rPr>
          <w:color w:val="231F20"/>
          <w:spacing w:val="-21"/>
          <w:w w:val="105"/>
        </w:rPr>
        <w:t> </w:t>
      </w:r>
      <w:r>
        <w:rPr>
          <w:color w:val="231F20"/>
          <w:w w:val="105"/>
        </w:rPr>
        <w:t>particular.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La planeación de las acciones si es un criterio cumplido por el gobierno, pues el Plan Municipal da un diagnóstico </w:t>
      </w:r>
      <w:r>
        <w:rPr>
          <w:color w:val="231F20"/>
          <w:spacing w:val="-3"/>
          <w:w w:val="105"/>
        </w:rPr>
        <w:t>“certero” </w:t>
      </w:r>
      <w:r>
        <w:rPr>
          <w:color w:val="231F20"/>
          <w:w w:val="105"/>
        </w:rPr>
        <w:t>sobre la situación del municipio </w:t>
      </w:r>
      <w:r>
        <w:rPr>
          <w:color w:val="231F20"/>
          <w:spacing w:val="-3"/>
          <w:w w:val="105"/>
        </w:rPr>
        <w:t>(“certero” </w:t>
      </w:r>
      <w:r>
        <w:rPr>
          <w:color w:val="231F20"/>
          <w:w w:val="105"/>
        </w:rPr>
        <w:t>re- lativamente porque no existe información estadística municipal, sólo se basa en datos realizados por dependencias federales cada cinco </w:t>
      </w:r>
      <w:r>
        <w:rPr>
          <w:color w:val="231F20"/>
          <w:spacing w:val="-3"/>
          <w:w w:val="105"/>
        </w:rPr>
        <w:t>años), </w:t>
      </w:r>
      <w:r>
        <w:rPr>
          <w:color w:val="231F20"/>
          <w:w w:val="105"/>
        </w:rPr>
        <w:t>y la instrumentación de estra- tegias</w:t>
      </w:r>
      <w:r>
        <w:rPr>
          <w:color w:val="231F20"/>
          <w:spacing w:val="-11"/>
          <w:w w:val="105"/>
        </w:rPr>
        <w:t> </w:t>
      </w:r>
      <w:r>
        <w:rPr>
          <w:color w:val="231F20"/>
          <w:w w:val="105"/>
        </w:rPr>
        <w:t>y</w:t>
      </w:r>
      <w:r>
        <w:rPr>
          <w:color w:val="231F20"/>
          <w:spacing w:val="-11"/>
          <w:w w:val="105"/>
        </w:rPr>
        <w:t> </w:t>
      </w:r>
      <w:r>
        <w:rPr>
          <w:color w:val="231F20"/>
          <w:w w:val="105"/>
        </w:rPr>
        <w:t>proyectos</w:t>
      </w:r>
      <w:r>
        <w:rPr>
          <w:color w:val="231F20"/>
          <w:spacing w:val="-11"/>
          <w:w w:val="105"/>
        </w:rPr>
        <w:t> </w:t>
      </w:r>
      <w:r>
        <w:rPr>
          <w:color w:val="231F20"/>
          <w:w w:val="105"/>
        </w:rPr>
        <w:t>están</w:t>
      </w:r>
      <w:r>
        <w:rPr>
          <w:color w:val="231F20"/>
          <w:spacing w:val="-11"/>
          <w:w w:val="105"/>
        </w:rPr>
        <w:t> </w:t>
      </w:r>
      <w:r>
        <w:rPr>
          <w:color w:val="231F20"/>
          <w:w w:val="105"/>
        </w:rPr>
        <w:t>contemplados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documento.</w:t>
      </w:r>
      <w:r>
        <w:rPr>
          <w:color w:val="231F20"/>
          <w:spacing w:val="-11"/>
          <w:w w:val="105"/>
        </w:rPr>
        <w:t> </w:t>
      </w:r>
      <w:r>
        <w:rPr>
          <w:color w:val="231F20"/>
          <w:w w:val="105"/>
        </w:rPr>
        <w:t>Lo</w:t>
      </w:r>
      <w:r>
        <w:rPr>
          <w:color w:val="231F20"/>
          <w:spacing w:val="-11"/>
          <w:w w:val="105"/>
        </w:rPr>
        <w:t> </w:t>
      </w:r>
      <w:r>
        <w:rPr>
          <w:color w:val="231F20"/>
          <w:w w:val="105"/>
        </w:rPr>
        <w:t>negativo</w:t>
      </w:r>
      <w:r>
        <w:rPr>
          <w:color w:val="231F20"/>
          <w:spacing w:val="-11"/>
          <w:w w:val="105"/>
        </w:rPr>
        <w:t> </w:t>
      </w:r>
      <w:r>
        <w:rPr>
          <w:color w:val="231F20"/>
          <w:w w:val="105"/>
        </w:rPr>
        <w:t>de</w:t>
      </w:r>
      <w:r>
        <w:rPr>
          <w:color w:val="231F20"/>
          <w:spacing w:val="-11"/>
          <w:w w:val="105"/>
        </w:rPr>
        <w:t> </w:t>
      </w:r>
      <w:r>
        <w:rPr>
          <w:color w:val="231F20"/>
          <w:w w:val="105"/>
        </w:rPr>
        <w:t>este</w:t>
      </w:r>
      <w:r>
        <w:rPr>
          <w:color w:val="231F20"/>
          <w:spacing w:val="-11"/>
          <w:w w:val="105"/>
        </w:rPr>
        <w:t> </w:t>
      </w:r>
      <w:r>
        <w:rPr>
          <w:color w:val="231F20"/>
          <w:w w:val="105"/>
        </w:rPr>
        <w:t>aspecto</w:t>
      </w:r>
      <w:r>
        <w:rPr>
          <w:color w:val="231F20"/>
          <w:spacing w:val="-11"/>
          <w:w w:val="105"/>
        </w:rPr>
        <w:t> </w:t>
      </w:r>
      <w:r>
        <w:rPr>
          <w:color w:val="231F20"/>
          <w:w w:val="105"/>
        </w:rPr>
        <w:t>es que</w:t>
      </w:r>
      <w:r>
        <w:rPr>
          <w:color w:val="231F20"/>
          <w:spacing w:val="-15"/>
          <w:w w:val="105"/>
        </w:rPr>
        <w:t> </w:t>
      </w:r>
      <w:r>
        <w:rPr>
          <w:color w:val="231F20"/>
          <w:w w:val="105"/>
        </w:rPr>
        <w:t>las</w:t>
      </w:r>
      <w:r>
        <w:rPr>
          <w:color w:val="231F20"/>
          <w:spacing w:val="-15"/>
          <w:w w:val="105"/>
        </w:rPr>
        <w:t> </w:t>
      </w:r>
      <w:r>
        <w:rPr>
          <w:color w:val="231F20"/>
          <w:w w:val="105"/>
        </w:rPr>
        <w:t>metas</w:t>
      </w:r>
      <w:r>
        <w:rPr>
          <w:color w:val="231F20"/>
          <w:spacing w:val="-15"/>
          <w:w w:val="105"/>
        </w:rPr>
        <w:t> </w:t>
      </w:r>
      <w:r>
        <w:rPr>
          <w:color w:val="231F20"/>
          <w:w w:val="105"/>
        </w:rPr>
        <w:t>propuestas</w:t>
      </w:r>
      <w:r>
        <w:rPr>
          <w:color w:val="231F20"/>
          <w:spacing w:val="-15"/>
          <w:w w:val="105"/>
        </w:rPr>
        <w:t> </w:t>
      </w:r>
      <w:r>
        <w:rPr>
          <w:color w:val="231F20"/>
          <w:w w:val="105"/>
        </w:rPr>
        <w:t>no</w:t>
      </w:r>
      <w:r>
        <w:rPr>
          <w:color w:val="231F20"/>
          <w:spacing w:val="-15"/>
          <w:w w:val="105"/>
        </w:rPr>
        <w:t> </w:t>
      </w:r>
      <w:r>
        <w:rPr>
          <w:color w:val="231F20"/>
          <w:w w:val="105"/>
        </w:rPr>
        <w:t>son</w:t>
      </w:r>
      <w:r>
        <w:rPr>
          <w:color w:val="231F20"/>
          <w:spacing w:val="-15"/>
          <w:w w:val="105"/>
        </w:rPr>
        <w:t> </w:t>
      </w:r>
      <w:r>
        <w:rPr>
          <w:color w:val="231F20"/>
          <w:w w:val="105"/>
        </w:rPr>
        <w:t>cumplidas</w:t>
      </w:r>
      <w:r>
        <w:rPr>
          <w:color w:val="231F20"/>
          <w:spacing w:val="-15"/>
          <w:w w:val="105"/>
        </w:rPr>
        <w:t> </w:t>
      </w:r>
      <w:r>
        <w:rPr>
          <w:color w:val="231F20"/>
          <w:spacing w:val="2"/>
          <w:w w:val="105"/>
        </w:rPr>
        <w:t>al</w:t>
      </w:r>
      <w:r>
        <w:rPr>
          <w:color w:val="231F20"/>
          <w:spacing w:val="-15"/>
          <w:w w:val="105"/>
        </w:rPr>
        <w:t> </w:t>
      </w:r>
      <w:r>
        <w:rPr>
          <w:color w:val="231F20"/>
          <w:w w:val="105"/>
        </w:rPr>
        <w:t>100%,</w:t>
      </w:r>
      <w:r>
        <w:rPr>
          <w:color w:val="231F20"/>
          <w:spacing w:val="-15"/>
          <w:w w:val="105"/>
        </w:rPr>
        <w:t> </w:t>
      </w:r>
      <w:r>
        <w:rPr>
          <w:color w:val="231F20"/>
          <w:w w:val="105"/>
        </w:rPr>
        <w:t>como</w:t>
      </w:r>
      <w:r>
        <w:rPr>
          <w:color w:val="231F20"/>
          <w:spacing w:val="-15"/>
          <w:w w:val="105"/>
        </w:rPr>
        <w:t> </w:t>
      </w:r>
      <w:r>
        <w:rPr>
          <w:color w:val="231F20"/>
          <w:w w:val="105"/>
        </w:rPr>
        <w:t>fue</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caso</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spacing w:val="3"/>
          <w:w w:val="105"/>
        </w:rPr>
        <w:t>2008 </w:t>
      </w:r>
      <w:r>
        <w:rPr>
          <w:color w:val="231F20"/>
          <w:w w:val="105"/>
        </w:rPr>
        <w:t>quedaron</w:t>
      </w:r>
      <w:r>
        <w:rPr>
          <w:color w:val="231F20"/>
          <w:spacing w:val="-10"/>
          <w:w w:val="105"/>
        </w:rPr>
        <w:t> </w:t>
      </w:r>
      <w:r>
        <w:rPr>
          <w:color w:val="231F20"/>
          <w:w w:val="105"/>
        </w:rPr>
        <w:t>varias</w:t>
      </w:r>
      <w:r>
        <w:rPr>
          <w:color w:val="231F20"/>
          <w:spacing w:val="-10"/>
          <w:w w:val="105"/>
        </w:rPr>
        <w:t> </w:t>
      </w:r>
      <w:r>
        <w:rPr>
          <w:color w:val="231F20"/>
          <w:w w:val="105"/>
        </w:rPr>
        <w:t>áreas</w:t>
      </w:r>
      <w:r>
        <w:rPr>
          <w:color w:val="231F20"/>
          <w:spacing w:val="-10"/>
          <w:w w:val="105"/>
        </w:rPr>
        <w:t> </w:t>
      </w:r>
      <w:r>
        <w:rPr>
          <w:color w:val="231F20"/>
          <w:w w:val="105"/>
        </w:rPr>
        <w:t>sin</w:t>
      </w:r>
      <w:r>
        <w:rPr>
          <w:color w:val="231F20"/>
          <w:spacing w:val="-10"/>
          <w:w w:val="105"/>
        </w:rPr>
        <w:t> </w:t>
      </w:r>
      <w:r>
        <w:rPr>
          <w:color w:val="231F20"/>
          <w:w w:val="105"/>
        </w:rPr>
        <w:t>recibir</w:t>
      </w:r>
      <w:r>
        <w:rPr>
          <w:color w:val="231F20"/>
          <w:spacing w:val="-10"/>
          <w:w w:val="105"/>
        </w:rPr>
        <w:t> </w:t>
      </w:r>
      <w:r>
        <w:rPr>
          <w:color w:val="231F20"/>
          <w:w w:val="105"/>
        </w:rPr>
        <w:t>acción</w:t>
      </w:r>
      <w:r>
        <w:rPr>
          <w:color w:val="231F20"/>
          <w:spacing w:val="-10"/>
          <w:w w:val="105"/>
        </w:rPr>
        <w:t> </w:t>
      </w:r>
      <w:r>
        <w:rPr>
          <w:color w:val="231F20"/>
          <w:w w:val="105"/>
        </w:rPr>
        <w:t>alguna</w:t>
      </w:r>
      <w:r>
        <w:rPr>
          <w:color w:val="231F20"/>
          <w:spacing w:val="-10"/>
          <w:w w:val="105"/>
        </w:rPr>
        <w:t> </w:t>
      </w:r>
      <w:r>
        <w:rPr>
          <w:color w:val="231F20"/>
          <w:w w:val="105"/>
        </w:rPr>
        <w:t>de</w:t>
      </w:r>
      <w:r>
        <w:rPr>
          <w:color w:val="231F20"/>
          <w:spacing w:val="-10"/>
          <w:w w:val="105"/>
        </w:rPr>
        <w:t> </w:t>
      </w:r>
      <w:r>
        <w:rPr>
          <w:color w:val="231F20"/>
          <w:w w:val="105"/>
        </w:rPr>
        <w:t>repuesta.</w:t>
      </w:r>
    </w:p>
    <w:p>
      <w:pPr>
        <w:pStyle w:val="BodyText"/>
        <w:spacing w:before="1"/>
        <w:rPr>
          <w:sz w:val="26"/>
        </w:rPr>
      </w:pPr>
    </w:p>
    <w:p>
      <w:pPr>
        <w:pStyle w:val="BodyText"/>
        <w:spacing w:line="285" w:lineRule="auto"/>
        <w:ind w:left="110" w:right="107"/>
        <w:jc w:val="both"/>
      </w:pPr>
      <w:r>
        <w:rPr>
          <w:color w:val="231F20"/>
          <w:w w:val="105"/>
        </w:rPr>
        <w:t>La dependencia financiera de la Hacienda municipal refleja una desatención de la ad- ministración actual por la generación de recurso que pueda ejercer libremente, por el contrario,</w:t>
      </w:r>
      <w:r>
        <w:rPr>
          <w:color w:val="231F20"/>
          <w:spacing w:val="-7"/>
          <w:w w:val="105"/>
        </w:rPr>
        <w:t> </w:t>
      </w:r>
      <w:r>
        <w:rPr>
          <w:color w:val="231F20"/>
          <w:w w:val="105"/>
        </w:rPr>
        <w:t>está</w:t>
      </w:r>
      <w:r>
        <w:rPr>
          <w:color w:val="231F20"/>
          <w:spacing w:val="-7"/>
          <w:w w:val="105"/>
        </w:rPr>
        <w:t> </w:t>
      </w:r>
      <w:r>
        <w:rPr>
          <w:color w:val="231F20"/>
          <w:w w:val="105"/>
        </w:rPr>
        <w:t>sujeto</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recursos</w:t>
      </w:r>
      <w:r>
        <w:rPr>
          <w:color w:val="231F20"/>
          <w:spacing w:val="-7"/>
          <w:w w:val="105"/>
        </w:rPr>
        <w:t> </w:t>
      </w:r>
      <w:r>
        <w:rPr>
          <w:color w:val="231F20"/>
          <w:w w:val="105"/>
        </w:rPr>
        <w:t>federales</w:t>
      </w:r>
      <w:r>
        <w:rPr>
          <w:color w:val="231F20"/>
          <w:spacing w:val="-7"/>
          <w:w w:val="105"/>
        </w:rPr>
        <w:t> </w:t>
      </w:r>
      <w:r>
        <w:rPr>
          <w:color w:val="231F20"/>
          <w:w w:val="105"/>
        </w:rPr>
        <w:t>que</w:t>
      </w:r>
      <w:r>
        <w:rPr>
          <w:color w:val="231F20"/>
          <w:spacing w:val="-7"/>
          <w:w w:val="105"/>
        </w:rPr>
        <w:t> </w:t>
      </w:r>
      <w:r>
        <w:rPr>
          <w:color w:val="231F20"/>
          <w:w w:val="105"/>
        </w:rPr>
        <w:t>ya</w:t>
      </w:r>
      <w:r>
        <w:rPr>
          <w:color w:val="231F20"/>
          <w:spacing w:val="-7"/>
          <w:w w:val="105"/>
        </w:rPr>
        <w:t> </w:t>
      </w:r>
      <w:r>
        <w:rPr>
          <w:color w:val="231F20"/>
          <w:w w:val="105"/>
        </w:rPr>
        <w:t>vienen</w:t>
      </w:r>
      <w:r>
        <w:rPr>
          <w:color w:val="231F20"/>
          <w:spacing w:val="-7"/>
          <w:w w:val="105"/>
        </w:rPr>
        <w:t> </w:t>
      </w:r>
      <w:r>
        <w:rPr>
          <w:color w:val="231F20"/>
          <w:w w:val="105"/>
        </w:rPr>
        <w:t>dirigidos</w:t>
      </w:r>
      <w:r>
        <w:rPr>
          <w:color w:val="231F20"/>
          <w:spacing w:val="-7"/>
          <w:w w:val="105"/>
        </w:rPr>
        <w:t> </w:t>
      </w:r>
      <w:r>
        <w:rPr>
          <w:color w:val="231F20"/>
          <w:w w:val="105"/>
        </w:rPr>
        <w:t>para</w:t>
      </w:r>
      <w:r>
        <w:rPr>
          <w:color w:val="231F20"/>
          <w:spacing w:val="-7"/>
          <w:w w:val="105"/>
        </w:rPr>
        <w:t> </w:t>
      </w:r>
      <w:r>
        <w:rPr>
          <w:color w:val="231F20"/>
          <w:w w:val="105"/>
        </w:rPr>
        <w:t>ciertas</w:t>
      </w:r>
      <w:r>
        <w:rPr>
          <w:color w:val="231F20"/>
          <w:spacing w:val="-7"/>
          <w:w w:val="105"/>
        </w:rPr>
        <w:t> </w:t>
      </w:r>
      <w:r>
        <w:rPr>
          <w:color w:val="231F20"/>
          <w:w w:val="105"/>
        </w:rPr>
        <w:t>áreas y</w:t>
      </w:r>
      <w:r>
        <w:rPr>
          <w:color w:val="231F20"/>
          <w:spacing w:val="-4"/>
          <w:w w:val="105"/>
        </w:rPr>
        <w:t> </w:t>
      </w:r>
      <w:r>
        <w:rPr>
          <w:color w:val="231F20"/>
          <w:w w:val="105"/>
        </w:rPr>
        <w:t>proyectos.</w:t>
      </w:r>
      <w:r>
        <w:rPr>
          <w:color w:val="231F20"/>
          <w:spacing w:val="-4"/>
          <w:w w:val="105"/>
        </w:rPr>
        <w:t> </w:t>
      </w:r>
      <w:r>
        <w:rPr>
          <w:color w:val="231F20"/>
          <w:w w:val="105"/>
        </w:rPr>
        <w:t>Debido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relación</w:t>
      </w:r>
      <w:r>
        <w:rPr>
          <w:color w:val="231F20"/>
          <w:spacing w:val="-4"/>
          <w:w w:val="105"/>
        </w:rPr>
        <w:t> </w:t>
      </w:r>
      <w:r>
        <w:rPr>
          <w:color w:val="231F20"/>
          <w:w w:val="105"/>
        </w:rPr>
        <w:t>cercana</w:t>
      </w:r>
      <w:r>
        <w:rPr>
          <w:color w:val="231F20"/>
          <w:spacing w:val="-4"/>
          <w:w w:val="105"/>
        </w:rPr>
        <w:t> </w:t>
      </w:r>
      <w:r>
        <w:rPr>
          <w:color w:val="231F20"/>
          <w:w w:val="105"/>
        </w:rPr>
        <w:t>de</w:t>
      </w:r>
      <w:r>
        <w:rPr>
          <w:color w:val="231F20"/>
          <w:spacing w:val="-4"/>
          <w:w w:val="105"/>
        </w:rPr>
        <w:t> </w:t>
      </w:r>
      <w:r>
        <w:rPr>
          <w:color w:val="231F20"/>
          <w:w w:val="105"/>
        </w:rPr>
        <w:t>varios</w:t>
      </w:r>
      <w:r>
        <w:rPr>
          <w:color w:val="231F20"/>
          <w:spacing w:val="-4"/>
          <w:w w:val="105"/>
        </w:rPr>
        <w:t> </w:t>
      </w:r>
      <w:r>
        <w:rPr>
          <w:color w:val="231F20"/>
          <w:w w:val="105"/>
        </w:rPr>
        <w:t>priístas</w:t>
      </w:r>
      <w:r>
        <w:rPr>
          <w:color w:val="231F20"/>
          <w:spacing w:val="-4"/>
          <w:w w:val="105"/>
        </w:rPr>
        <w:t> </w:t>
      </w:r>
      <w:r>
        <w:rPr>
          <w:color w:val="231F20"/>
          <w:w w:val="105"/>
        </w:rPr>
        <w:t>ixtapenses</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gobierno estatal, se han atraído </w:t>
      </w:r>
      <w:r>
        <w:rPr>
          <w:color w:val="231F20"/>
          <w:spacing w:val="2"/>
          <w:w w:val="105"/>
        </w:rPr>
        <w:t>al </w:t>
      </w:r>
      <w:r>
        <w:rPr>
          <w:color w:val="231F20"/>
          <w:w w:val="105"/>
        </w:rPr>
        <w:t>municipio varias partidas presupuestales que aunque tienen importante</w:t>
      </w:r>
      <w:r>
        <w:rPr>
          <w:color w:val="231F20"/>
          <w:spacing w:val="-16"/>
          <w:w w:val="105"/>
        </w:rPr>
        <w:t> </w:t>
      </w:r>
      <w:r>
        <w:rPr>
          <w:color w:val="231F20"/>
          <w:w w:val="105"/>
        </w:rPr>
        <w:t>impacto</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rubros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aplican,</w:t>
      </w:r>
      <w:r>
        <w:rPr>
          <w:color w:val="231F20"/>
          <w:spacing w:val="-16"/>
          <w:w w:val="105"/>
        </w:rPr>
        <w:t> </w:t>
      </w:r>
      <w:r>
        <w:rPr>
          <w:color w:val="231F20"/>
          <w:w w:val="105"/>
        </w:rPr>
        <w:t>genera</w:t>
      </w:r>
      <w:r>
        <w:rPr>
          <w:color w:val="231F20"/>
          <w:spacing w:val="-16"/>
          <w:w w:val="105"/>
        </w:rPr>
        <w:t> </w:t>
      </w:r>
      <w:r>
        <w:rPr>
          <w:color w:val="231F20"/>
          <w:w w:val="105"/>
        </w:rPr>
        <w:t>el</w:t>
      </w:r>
      <w:r>
        <w:rPr>
          <w:color w:val="231F20"/>
          <w:spacing w:val="-16"/>
          <w:w w:val="105"/>
        </w:rPr>
        <w:t> </w:t>
      </w:r>
      <w:r>
        <w:rPr>
          <w:color w:val="231F20"/>
          <w:w w:val="105"/>
        </w:rPr>
        <w:t>desempeño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4"/>
          <w:w w:val="105"/>
        </w:rPr>
        <w:t>Teso- </w:t>
      </w:r>
      <w:r>
        <w:rPr>
          <w:color w:val="231F20"/>
          <w:w w:val="105"/>
        </w:rPr>
        <w:t>rería</w:t>
      </w:r>
      <w:r>
        <w:rPr>
          <w:color w:val="231F20"/>
          <w:spacing w:val="-16"/>
          <w:w w:val="105"/>
        </w:rPr>
        <w:t> </w:t>
      </w:r>
      <w:r>
        <w:rPr>
          <w:color w:val="231F20"/>
          <w:w w:val="105"/>
        </w:rPr>
        <w:t>por</w:t>
      </w:r>
      <w:r>
        <w:rPr>
          <w:color w:val="231F20"/>
          <w:spacing w:val="-16"/>
          <w:w w:val="105"/>
        </w:rPr>
        <w:t> </w:t>
      </w:r>
      <w:r>
        <w:rPr>
          <w:color w:val="231F20"/>
          <w:w w:val="105"/>
        </w:rPr>
        <w:t>buscar</w:t>
      </w:r>
      <w:r>
        <w:rPr>
          <w:color w:val="231F20"/>
          <w:spacing w:val="-16"/>
          <w:w w:val="105"/>
        </w:rPr>
        <w:t> </w:t>
      </w:r>
      <w:r>
        <w:rPr>
          <w:color w:val="231F20"/>
          <w:w w:val="105"/>
        </w:rPr>
        <w:t>alternativas</w:t>
      </w:r>
      <w:r>
        <w:rPr>
          <w:color w:val="231F20"/>
          <w:spacing w:val="-16"/>
          <w:w w:val="105"/>
        </w:rPr>
        <w:t> </w:t>
      </w:r>
      <w:r>
        <w:rPr>
          <w:color w:val="231F20"/>
          <w:w w:val="105"/>
        </w:rPr>
        <w:t>de</w:t>
      </w:r>
      <w:r>
        <w:rPr>
          <w:color w:val="231F20"/>
          <w:spacing w:val="-16"/>
          <w:w w:val="105"/>
        </w:rPr>
        <w:t> </w:t>
      </w:r>
      <w:r>
        <w:rPr>
          <w:color w:val="231F20"/>
          <w:w w:val="105"/>
        </w:rPr>
        <w:t>incremento</w:t>
      </w:r>
      <w:r>
        <w:rPr>
          <w:color w:val="231F20"/>
          <w:spacing w:val="-16"/>
          <w:w w:val="105"/>
        </w:rPr>
        <w:t> </w:t>
      </w:r>
      <w:r>
        <w:rPr>
          <w:color w:val="231F20"/>
          <w:w w:val="105"/>
        </w:rPr>
        <w:t>de</w:t>
      </w:r>
      <w:r>
        <w:rPr>
          <w:color w:val="231F20"/>
          <w:spacing w:val="-16"/>
          <w:w w:val="105"/>
        </w:rPr>
        <w:t> </w:t>
      </w:r>
      <w:r>
        <w:rPr>
          <w:color w:val="231F20"/>
          <w:w w:val="105"/>
        </w:rPr>
        <w:t>recaudación,</w:t>
      </w:r>
      <w:r>
        <w:rPr>
          <w:color w:val="231F20"/>
          <w:spacing w:val="-16"/>
          <w:w w:val="105"/>
        </w:rPr>
        <w:t> </w:t>
      </w:r>
      <w:r>
        <w:rPr>
          <w:color w:val="231F20"/>
          <w:w w:val="105"/>
        </w:rPr>
        <w:t>recordando</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actividad turística</w:t>
      </w:r>
      <w:r>
        <w:rPr>
          <w:color w:val="231F20"/>
          <w:spacing w:val="-14"/>
          <w:w w:val="105"/>
        </w:rPr>
        <w:t> </w:t>
      </w:r>
      <w:r>
        <w:rPr>
          <w:color w:val="231F20"/>
          <w:w w:val="105"/>
        </w:rPr>
        <w:t>genera</w:t>
      </w:r>
      <w:r>
        <w:rPr>
          <w:color w:val="231F20"/>
          <w:spacing w:val="-14"/>
          <w:w w:val="105"/>
        </w:rPr>
        <w:t> </w:t>
      </w:r>
      <w:r>
        <w:rPr>
          <w:color w:val="231F20"/>
          <w:w w:val="105"/>
        </w:rPr>
        <w:t>altos</w:t>
      </w:r>
      <w:r>
        <w:rPr>
          <w:color w:val="231F20"/>
          <w:spacing w:val="-14"/>
          <w:w w:val="105"/>
        </w:rPr>
        <w:t> </w:t>
      </w:r>
      <w:r>
        <w:rPr>
          <w:color w:val="231F20"/>
          <w:w w:val="105"/>
        </w:rPr>
        <w:t>ingresos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iniciativa</w:t>
      </w:r>
      <w:r>
        <w:rPr>
          <w:color w:val="231F20"/>
          <w:spacing w:val="-14"/>
          <w:w w:val="105"/>
        </w:rPr>
        <w:t> </w:t>
      </w:r>
      <w:r>
        <w:rPr>
          <w:color w:val="231F20"/>
          <w:w w:val="105"/>
        </w:rPr>
        <w:t>privada.</w:t>
      </w:r>
    </w:p>
    <w:p>
      <w:pPr>
        <w:pStyle w:val="BodyText"/>
        <w:spacing w:before="1"/>
        <w:rPr>
          <w:sz w:val="26"/>
        </w:rPr>
      </w:pPr>
    </w:p>
    <w:p>
      <w:pPr>
        <w:pStyle w:val="BodyText"/>
        <w:spacing w:line="285" w:lineRule="auto"/>
        <w:ind w:left="110" w:right="108"/>
        <w:jc w:val="both"/>
      </w:pPr>
      <w:r>
        <w:rPr>
          <w:color w:val="231F20"/>
          <w:spacing w:val="-3"/>
          <w:w w:val="105"/>
        </w:rPr>
        <w:t>Por </w:t>
      </w:r>
      <w:r>
        <w:rPr>
          <w:color w:val="231F20"/>
          <w:w w:val="105"/>
        </w:rPr>
        <w:t>último, haciendo un recuento de las condiciones socioeconómicas de la población de</w:t>
      </w:r>
      <w:r>
        <w:rPr>
          <w:color w:val="231F20"/>
          <w:spacing w:val="-8"/>
          <w:w w:val="105"/>
        </w:rPr>
        <w:t> </w:t>
      </w:r>
      <w:r>
        <w:rPr>
          <w:color w:val="231F20"/>
          <w:w w:val="105"/>
        </w:rPr>
        <w:t>Ixtapan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Sal,</w:t>
      </w:r>
      <w:r>
        <w:rPr>
          <w:color w:val="231F20"/>
          <w:spacing w:val="-8"/>
          <w:w w:val="105"/>
        </w:rPr>
        <w:t> </w:t>
      </w:r>
      <w:r>
        <w:rPr>
          <w:color w:val="231F20"/>
          <w:w w:val="105"/>
        </w:rPr>
        <w:t>en</w:t>
      </w:r>
      <w:r>
        <w:rPr>
          <w:color w:val="231F20"/>
          <w:spacing w:val="-8"/>
          <w:w w:val="105"/>
        </w:rPr>
        <w:t> </w:t>
      </w:r>
      <w:r>
        <w:rPr>
          <w:color w:val="231F20"/>
          <w:w w:val="105"/>
        </w:rPr>
        <w:t>relación</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7"/>
          <w:w w:val="105"/>
        </w:rPr>
        <w:t> </w:t>
      </w:r>
      <w:r>
        <w:rPr>
          <w:color w:val="231F20"/>
          <w:w w:val="105"/>
        </w:rPr>
        <w:t>impacto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servicios</w:t>
      </w:r>
      <w:r>
        <w:rPr>
          <w:color w:val="231F20"/>
          <w:spacing w:val="-7"/>
          <w:w w:val="105"/>
        </w:rPr>
        <w:t> </w:t>
      </w:r>
      <w:r>
        <w:rPr>
          <w:color w:val="231F20"/>
          <w:w w:val="105"/>
        </w:rPr>
        <w:t>públicos</w:t>
      </w:r>
      <w:r>
        <w:rPr>
          <w:color w:val="231F20"/>
          <w:spacing w:val="-8"/>
          <w:w w:val="105"/>
        </w:rPr>
        <w:t> </w:t>
      </w:r>
      <w:r>
        <w:rPr>
          <w:color w:val="231F20"/>
          <w:w w:val="105"/>
        </w:rPr>
        <w:t>se</w:t>
      </w:r>
      <w:r>
        <w:rPr>
          <w:color w:val="231F20"/>
          <w:spacing w:val="-8"/>
          <w:w w:val="105"/>
        </w:rPr>
        <w:t> </w:t>
      </w:r>
      <w:r>
        <w:rPr>
          <w:color w:val="231F20"/>
          <w:w w:val="105"/>
        </w:rPr>
        <w:t>puede</w:t>
      </w:r>
      <w:r>
        <w:rPr>
          <w:color w:val="231F20"/>
          <w:spacing w:val="-8"/>
          <w:w w:val="105"/>
        </w:rPr>
        <w:t> </w:t>
      </w:r>
      <w:r>
        <w:rPr>
          <w:color w:val="231F20"/>
          <w:w w:val="105"/>
        </w:rPr>
        <w:t>con- cluir que en más de diez años el gobierno priísta ha mantenido a la población en las mismas condiciones marginales, pues la acción gubernamental refleja falta de </w:t>
      </w:r>
      <w:r>
        <w:rPr>
          <w:color w:val="231F20"/>
          <w:spacing w:val="-3"/>
          <w:w w:val="105"/>
        </w:rPr>
        <w:t>proyec- </w:t>
      </w:r>
      <w:r>
        <w:rPr>
          <w:color w:val="231F20"/>
          <w:w w:val="105"/>
        </w:rPr>
        <w:t>ción</w:t>
      </w:r>
      <w:r>
        <w:rPr>
          <w:color w:val="231F20"/>
          <w:spacing w:val="-4"/>
          <w:w w:val="105"/>
        </w:rPr>
        <w:t> </w:t>
      </w:r>
      <w:r>
        <w:rPr>
          <w:color w:val="231F20"/>
          <w:w w:val="105"/>
        </w:rPr>
        <w:t>en</w:t>
      </w:r>
      <w:r>
        <w:rPr>
          <w:color w:val="231F20"/>
          <w:spacing w:val="-4"/>
          <w:w w:val="105"/>
        </w:rPr>
        <w:t> </w:t>
      </w:r>
      <w:r>
        <w:rPr>
          <w:color w:val="231F20"/>
          <w:w w:val="105"/>
        </w:rPr>
        <w:t>sus</w:t>
      </w:r>
      <w:r>
        <w:rPr>
          <w:color w:val="231F20"/>
          <w:spacing w:val="-4"/>
          <w:w w:val="105"/>
        </w:rPr>
        <w:t> </w:t>
      </w:r>
      <w:r>
        <w:rPr>
          <w:color w:val="231F20"/>
          <w:w w:val="105"/>
        </w:rPr>
        <w:t>acciones</w:t>
      </w:r>
      <w:r>
        <w:rPr>
          <w:color w:val="231F20"/>
          <w:spacing w:val="-4"/>
          <w:w w:val="105"/>
        </w:rPr>
        <w:t> </w:t>
      </w:r>
      <w:r>
        <w:rPr>
          <w:color w:val="231F20"/>
          <w:w w:val="105"/>
        </w:rPr>
        <w:t>que</w:t>
      </w:r>
      <w:r>
        <w:rPr>
          <w:color w:val="231F20"/>
          <w:spacing w:val="-4"/>
          <w:w w:val="105"/>
        </w:rPr>
        <w:t> </w:t>
      </w:r>
      <w:r>
        <w:rPr>
          <w:color w:val="231F20"/>
          <w:w w:val="105"/>
        </w:rPr>
        <w:t>ayuden</w:t>
      </w:r>
      <w:r>
        <w:rPr>
          <w:color w:val="231F20"/>
          <w:spacing w:val="-4"/>
          <w:w w:val="105"/>
        </w:rPr>
        <w:t> </w:t>
      </w:r>
      <w:r>
        <w:rPr>
          <w:color w:val="231F20"/>
          <w:w w:val="105"/>
        </w:rPr>
        <w:t>a</w:t>
      </w:r>
      <w:r>
        <w:rPr>
          <w:color w:val="231F20"/>
          <w:spacing w:val="-4"/>
          <w:w w:val="105"/>
        </w:rPr>
        <w:t> </w:t>
      </w:r>
      <w:r>
        <w:rPr>
          <w:color w:val="231F20"/>
          <w:w w:val="105"/>
        </w:rPr>
        <w:t>prevenir</w:t>
      </w:r>
      <w:r>
        <w:rPr>
          <w:color w:val="231F20"/>
          <w:spacing w:val="-4"/>
          <w:w w:val="105"/>
        </w:rPr>
        <w:t> </w:t>
      </w:r>
      <w:r>
        <w:rPr>
          <w:color w:val="231F20"/>
          <w:w w:val="105"/>
        </w:rPr>
        <w:t>futuros</w:t>
      </w:r>
      <w:r>
        <w:rPr>
          <w:color w:val="231F20"/>
          <w:spacing w:val="-4"/>
          <w:w w:val="105"/>
        </w:rPr>
        <w:t> </w:t>
      </w:r>
      <w:r>
        <w:rPr>
          <w:color w:val="231F20"/>
          <w:w w:val="105"/>
        </w:rPr>
        <w:t>problemas</w:t>
      </w:r>
      <w:r>
        <w:rPr>
          <w:color w:val="231F20"/>
          <w:spacing w:val="-4"/>
          <w:w w:val="105"/>
        </w:rPr>
        <w:t> </w:t>
      </w:r>
      <w:r>
        <w:rPr>
          <w:color w:val="231F20"/>
          <w:w w:val="105"/>
        </w:rPr>
        <w:t>derivados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mancha urbana.</w:t>
      </w:r>
      <w:r>
        <w:rPr>
          <w:color w:val="231F20"/>
          <w:spacing w:val="-14"/>
          <w:w w:val="105"/>
        </w:rPr>
        <w:t> </w:t>
      </w:r>
      <w:r>
        <w:rPr>
          <w:color w:val="231F20"/>
          <w:w w:val="105"/>
        </w:rPr>
        <w:t>Aunque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spacing w:val="3"/>
          <w:w w:val="105"/>
        </w:rPr>
        <w:t>2008</w:t>
      </w:r>
      <w:r>
        <w:rPr>
          <w:color w:val="231F20"/>
          <w:spacing w:val="-14"/>
          <w:w w:val="105"/>
        </w:rPr>
        <w:t> </w:t>
      </w:r>
      <w:r>
        <w:rPr>
          <w:color w:val="231F20"/>
          <w:w w:val="105"/>
        </w:rPr>
        <w:t>del</w:t>
      </w:r>
      <w:r>
        <w:rPr>
          <w:color w:val="231F20"/>
          <w:spacing w:val="-14"/>
          <w:w w:val="105"/>
        </w:rPr>
        <w:t> </w:t>
      </w:r>
      <w:r>
        <w:rPr>
          <w:color w:val="231F20"/>
          <w:w w:val="105"/>
        </w:rPr>
        <w:t>gobierno</w:t>
      </w:r>
      <w:r>
        <w:rPr>
          <w:color w:val="231F20"/>
          <w:spacing w:val="-14"/>
          <w:w w:val="105"/>
        </w:rPr>
        <w:t> </w:t>
      </w:r>
      <w:r>
        <w:rPr>
          <w:color w:val="231F20"/>
          <w:w w:val="105"/>
        </w:rPr>
        <w:t>de</w:t>
      </w:r>
      <w:r>
        <w:rPr>
          <w:color w:val="231F20"/>
          <w:spacing w:val="-14"/>
          <w:w w:val="105"/>
        </w:rPr>
        <w:t> </w:t>
      </w:r>
      <w:r>
        <w:rPr>
          <w:color w:val="231F20"/>
          <w:w w:val="105"/>
        </w:rPr>
        <w:t>Salvador</w:t>
      </w:r>
      <w:r>
        <w:rPr>
          <w:color w:val="231F20"/>
          <w:spacing w:val="-14"/>
          <w:w w:val="105"/>
        </w:rPr>
        <w:t> </w:t>
      </w:r>
      <w:r>
        <w:rPr>
          <w:color w:val="231F20"/>
          <w:spacing w:val="-3"/>
          <w:w w:val="105"/>
        </w:rPr>
        <w:t>Vergara</w:t>
      </w:r>
      <w:r>
        <w:rPr>
          <w:color w:val="231F20"/>
          <w:spacing w:val="-14"/>
          <w:w w:val="105"/>
        </w:rPr>
        <w:t> </w:t>
      </w:r>
      <w:r>
        <w:rPr>
          <w:color w:val="231F20"/>
          <w:w w:val="105"/>
        </w:rPr>
        <w:t>se</w:t>
      </w:r>
      <w:r>
        <w:rPr>
          <w:color w:val="231F20"/>
          <w:spacing w:val="-14"/>
          <w:w w:val="105"/>
        </w:rPr>
        <w:t> </w:t>
      </w:r>
      <w:r>
        <w:rPr>
          <w:color w:val="231F20"/>
          <w:w w:val="105"/>
        </w:rPr>
        <w:t>puede</w:t>
      </w:r>
      <w:r>
        <w:rPr>
          <w:color w:val="231F20"/>
          <w:spacing w:val="-14"/>
          <w:w w:val="105"/>
        </w:rPr>
        <w:t> </w:t>
      </w:r>
      <w:r>
        <w:rPr>
          <w:color w:val="231F20"/>
          <w:w w:val="105"/>
        </w:rPr>
        <w:t>apreciar ligeramente</w:t>
      </w:r>
      <w:r>
        <w:rPr>
          <w:color w:val="231F20"/>
          <w:spacing w:val="-22"/>
          <w:w w:val="105"/>
        </w:rPr>
        <w:t> </w:t>
      </w:r>
      <w:r>
        <w:rPr>
          <w:color w:val="231F20"/>
          <w:w w:val="105"/>
        </w:rPr>
        <w:t>una</w:t>
      </w:r>
      <w:r>
        <w:rPr>
          <w:color w:val="231F20"/>
          <w:spacing w:val="-22"/>
          <w:w w:val="105"/>
        </w:rPr>
        <w:t> </w:t>
      </w:r>
      <w:r>
        <w:rPr>
          <w:color w:val="231F20"/>
          <w:w w:val="105"/>
        </w:rPr>
        <w:t>preocupación</w:t>
      </w:r>
      <w:r>
        <w:rPr>
          <w:color w:val="231F20"/>
          <w:spacing w:val="-22"/>
          <w:w w:val="105"/>
        </w:rPr>
        <w:t> </w:t>
      </w:r>
      <w:r>
        <w:rPr>
          <w:color w:val="231F20"/>
          <w:w w:val="105"/>
        </w:rPr>
        <w:t>por</w:t>
      </w:r>
      <w:r>
        <w:rPr>
          <w:color w:val="231F20"/>
          <w:spacing w:val="-22"/>
          <w:w w:val="105"/>
        </w:rPr>
        <w:t> </w:t>
      </w:r>
      <w:r>
        <w:rPr>
          <w:color w:val="231F20"/>
          <w:w w:val="105"/>
        </w:rPr>
        <w:t>resolver</w:t>
      </w:r>
      <w:r>
        <w:rPr>
          <w:color w:val="231F20"/>
          <w:spacing w:val="-22"/>
          <w:w w:val="105"/>
        </w:rPr>
        <w:t> </w:t>
      </w:r>
      <w:r>
        <w:rPr>
          <w:color w:val="231F20"/>
          <w:w w:val="105"/>
        </w:rPr>
        <w:t>carencias</w:t>
      </w:r>
      <w:r>
        <w:rPr>
          <w:color w:val="231F20"/>
          <w:spacing w:val="-22"/>
          <w:w w:val="105"/>
        </w:rPr>
        <w:t> </w:t>
      </w:r>
      <w:r>
        <w:rPr>
          <w:color w:val="231F20"/>
          <w:w w:val="105"/>
        </w:rPr>
        <w:t>sociales</w:t>
      </w:r>
      <w:r>
        <w:rPr>
          <w:color w:val="231F20"/>
          <w:spacing w:val="-22"/>
          <w:w w:val="105"/>
        </w:rPr>
        <w:t> </w:t>
      </w:r>
      <w:r>
        <w:rPr>
          <w:color w:val="231F20"/>
          <w:w w:val="105"/>
        </w:rPr>
        <w:t>relacionadas</w:t>
      </w:r>
      <w:r>
        <w:rPr>
          <w:color w:val="231F20"/>
          <w:spacing w:val="-22"/>
          <w:w w:val="105"/>
        </w:rPr>
        <w:t> </w:t>
      </w:r>
      <w:r>
        <w:rPr>
          <w:color w:val="231F20"/>
          <w:w w:val="105"/>
        </w:rPr>
        <w:t>con</w:t>
      </w:r>
      <w:r>
        <w:rPr>
          <w:color w:val="231F20"/>
          <w:spacing w:val="-22"/>
          <w:w w:val="105"/>
        </w:rPr>
        <w:t> </w:t>
      </w:r>
      <w:r>
        <w:rPr>
          <w:color w:val="231F20"/>
          <w:w w:val="105"/>
        </w:rPr>
        <w:t>agua</w:t>
      </w:r>
      <w:r>
        <w:rPr>
          <w:color w:val="231F20"/>
          <w:spacing w:val="-22"/>
          <w:w w:val="105"/>
        </w:rPr>
        <w:t> </w:t>
      </w:r>
      <w:r>
        <w:rPr>
          <w:color w:val="231F20"/>
          <w:w w:val="105"/>
        </w:rPr>
        <w:t>po- table,</w:t>
      </w:r>
      <w:r>
        <w:rPr>
          <w:color w:val="231F20"/>
          <w:spacing w:val="-28"/>
          <w:w w:val="105"/>
        </w:rPr>
        <w:t> </w:t>
      </w:r>
      <w:r>
        <w:rPr>
          <w:color w:val="231F20"/>
          <w:w w:val="105"/>
        </w:rPr>
        <w:t>drenaje</w:t>
      </w:r>
      <w:r>
        <w:rPr>
          <w:color w:val="231F20"/>
          <w:spacing w:val="-28"/>
          <w:w w:val="105"/>
        </w:rPr>
        <w:t> </w:t>
      </w:r>
      <w:r>
        <w:rPr>
          <w:color w:val="231F20"/>
          <w:w w:val="105"/>
        </w:rPr>
        <w:t>y</w:t>
      </w:r>
      <w:r>
        <w:rPr>
          <w:color w:val="231F20"/>
          <w:spacing w:val="-28"/>
          <w:w w:val="105"/>
        </w:rPr>
        <w:t> </w:t>
      </w:r>
      <w:r>
        <w:rPr>
          <w:color w:val="231F20"/>
          <w:w w:val="105"/>
        </w:rPr>
        <w:t>electrificación.</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0"/>
          <w:w w:val="105"/>
        </w:rPr>
        <w:t> </w:t>
      </w:r>
      <w:r>
        <w:rPr>
          <w:color w:val="231F20"/>
          <w:w w:val="105"/>
        </w:rPr>
        <w:t>criterio</w:t>
      </w:r>
      <w:r>
        <w:rPr>
          <w:color w:val="231F20"/>
          <w:spacing w:val="-10"/>
          <w:w w:val="105"/>
        </w:rPr>
        <w:t> </w:t>
      </w:r>
      <w:r>
        <w:rPr>
          <w:color w:val="231F20"/>
          <w:w w:val="105"/>
        </w:rPr>
        <w:t>de</w:t>
      </w:r>
      <w:r>
        <w:rPr>
          <w:color w:val="231F20"/>
          <w:spacing w:val="-10"/>
          <w:w w:val="105"/>
        </w:rPr>
        <w:t> </w:t>
      </w:r>
      <w:r>
        <w:rPr>
          <w:color w:val="231F20"/>
          <w:w w:val="105"/>
        </w:rPr>
        <w:t>ciudadanía</w:t>
      </w:r>
      <w:r>
        <w:rPr>
          <w:color w:val="231F20"/>
          <w:spacing w:val="-10"/>
          <w:w w:val="105"/>
        </w:rPr>
        <w:t> </w:t>
      </w:r>
      <w:r>
        <w:rPr>
          <w:color w:val="231F20"/>
          <w:w w:val="105"/>
        </w:rPr>
        <w:t>y</w:t>
      </w:r>
      <w:r>
        <w:rPr>
          <w:color w:val="231F20"/>
          <w:spacing w:val="-10"/>
          <w:w w:val="105"/>
        </w:rPr>
        <w:t> </w:t>
      </w:r>
      <w:r>
        <w:rPr>
          <w:color w:val="231F20"/>
          <w:w w:val="105"/>
        </w:rPr>
        <w:t>participación</w:t>
      </w:r>
      <w:r>
        <w:rPr>
          <w:color w:val="231F20"/>
          <w:spacing w:val="-10"/>
          <w:w w:val="105"/>
        </w:rPr>
        <w:t> </w:t>
      </w:r>
      <w:r>
        <w:rPr>
          <w:color w:val="231F20"/>
          <w:w w:val="105"/>
        </w:rPr>
        <w:t>ciudadana</w:t>
      </w:r>
      <w:r>
        <w:rPr>
          <w:color w:val="231F20"/>
          <w:spacing w:val="-10"/>
          <w:w w:val="105"/>
        </w:rPr>
        <w:t> </w:t>
      </w:r>
      <w:r>
        <w:rPr>
          <w:color w:val="231F20"/>
          <w:w w:val="105"/>
        </w:rPr>
        <w:t>considera</w:t>
      </w:r>
      <w:r>
        <w:rPr>
          <w:color w:val="231F20"/>
          <w:spacing w:val="-10"/>
          <w:w w:val="105"/>
        </w:rPr>
        <w:t> </w:t>
      </w:r>
      <w:r>
        <w:rPr>
          <w:color w:val="231F20"/>
          <w:w w:val="105"/>
        </w:rPr>
        <w:t>el</w:t>
      </w:r>
      <w:r>
        <w:rPr>
          <w:color w:val="231F20"/>
          <w:spacing w:val="-10"/>
          <w:w w:val="105"/>
        </w:rPr>
        <w:t> </w:t>
      </w:r>
      <w:r>
        <w:rPr>
          <w:color w:val="231F20"/>
          <w:w w:val="105"/>
        </w:rPr>
        <w:t>vínculo</w:t>
      </w:r>
      <w:r>
        <w:rPr>
          <w:color w:val="231F20"/>
          <w:spacing w:val="-10"/>
          <w:w w:val="105"/>
        </w:rPr>
        <w:t> </w:t>
      </w:r>
      <w:r>
        <w:rPr>
          <w:color w:val="231F20"/>
          <w:w w:val="105"/>
        </w:rPr>
        <w:t>existente</w:t>
      </w:r>
      <w:r>
        <w:rPr>
          <w:color w:val="231F20"/>
          <w:spacing w:val="-10"/>
          <w:w w:val="105"/>
        </w:rPr>
        <w:t> </w:t>
      </w:r>
      <w:r>
        <w:rPr>
          <w:color w:val="231F20"/>
          <w:w w:val="105"/>
        </w:rPr>
        <w:t>entre la</w:t>
      </w:r>
      <w:r>
        <w:rPr>
          <w:color w:val="231F20"/>
          <w:spacing w:val="-15"/>
          <w:w w:val="105"/>
        </w:rPr>
        <w:t> </w:t>
      </w:r>
      <w:r>
        <w:rPr>
          <w:color w:val="231F20"/>
          <w:w w:val="105"/>
        </w:rPr>
        <w:t>comunidad</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autoridad,</w:t>
      </w:r>
      <w:r>
        <w:rPr>
          <w:color w:val="231F20"/>
          <w:spacing w:val="-15"/>
          <w:w w:val="105"/>
        </w:rPr>
        <w:t> </w:t>
      </w:r>
      <w:r>
        <w:rPr>
          <w:color w:val="231F20"/>
          <w:w w:val="105"/>
        </w:rPr>
        <w:t>a</w:t>
      </w:r>
      <w:r>
        <w:rPr>
          <w:color w:val="231F20"/>
          <w:spacing w:val="-15"/>
          <w:w w:val="105"/>
        </w:rPr>
        <w:t> </w:t>
      </w:r>
      <w:r>
        <w:rPr>
          <w:color w:val="231F20"/>
          <w:w w:val="105"/>
        </w:rPr>
        <w:t>través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apertura</w:t>
      </w:r>
      <w:r>
        <w:rPr>
          <w:color w:val="231F20"/>
          <w:spacing w:val="-15"/>
          <w:w w:val="105"/>
        </w:rPr>
        <w:t> </w:t>
      </w:r>
      <w:r>
        <w:rPr>
          <w:color w:val="231F20"/>
          <w:w w:val="105"/>
        </w:rPr>
        <w:t>de</w:t>
      </w:r>
      <w:r>
        <w:rPr>
          <w:color w:val="231F20"/>
          <w:spacing w:val="-15"/>
          <w:w w:val="105"/>
        </w:rPr>
        <w:t> </w:t>
      </w:r>
      <w:r>
        <w:rPr>
          <w:color w:val="231F20"/>
          <w:w w:val="105"/>
        </w:rPr>
        <w:t>canales</w:t>
      </w:r>
      <w:r>
        <w:rPr>
          <w:color w:val="231F20"/>
          <w:spacing w:val="-15"/>
          <w:w w:val="105"/>
        </w:rPr>
        <w:t> </w:t>
      </w:r>
      <w:r>
        <w:rPr>
          <w:color w:val="231F20"/>
          <w:w w:val="105"/>
        </w:rPr>
        <w:t>de</w:t>
      </w:r>
      <w:r>
        <w:rPr>
          <w:color w:val="231F20"/>
          <w:spacing w:val="-15"/>
          <w:w w:val="105"/>
        </w:rPr>
        <w:t> </w:t>
      </w:r>
      <w:r>
        <w:rPr>
          <w:color w:val="231F20"/>
          <w:w w:val="105"/>
        </w:rPr>
        <w:t>atención</w:t>
      </w:r>
      <w:r>
        <w:rPr>
          <w:color w:val="231F20"/>
          <w:spacing w:val="-15"/>
          <w:w w:val="105"/>
        </w:rPr>
        <w:t> </w:t>
      </w:r>
      <w:r>
        <w:rPr>
          <w:color w:val="231F20"/>
          <w:w w:val="105"/>
        </w:rPr>
        <w:t>que</w:t>
      </w:r>
      <w:r>
        <w:rPr>
          <w:color w:val="231F20"/>
          <w:spacing w:val="-15"/>
          <w:w w:val="105"/>
        </w:rPr>
        <w:t> </w:t>
      </w:r>
      <w:r>
        <w:rPr>
          <w:color w:val="231F20"/>
          <w:w w:val="105"/>
        </w:rPr>
        <w:t>permitan el involucramiento del ciudadano en la toma de decisiones del gobierno, lo que impli- ca tres características: la participación institucionalizada </w:t>
      </w:r>
      <w:r>
        <w:rPr>
          <w:color w:val="231F20"/>
          <w:spacing w:val="-3"/>
          <w:w w:val="105"/>
        </w:rPr>
        <w:t>(fomento </w:t>
      </w:r>
      <w:r>
        <w:rPr>
          <w:color w:val="231F20"/>
          <w:w w:val="105"/>
        </w:rPr>
        <w:t>del </w:t>
      </w:r>
      <w:r>
        <w:rPr>
          <w:color w:val="231F20"/>
          <w:spacing w:val="-3"/>
          <w:w w:val="105"/>
        </w:rPr>
        <w:t>propio </w:t>
      </w:r>
      <w:r>
        <w:rPr>
          <w:color w:val="231F20"/>
          <w:w w:val="105"/>
        </w:rPr>
        <w:t>gobierno para</w:t>
      </w:r>
      <w:r>
        <w:rPr>
          <w:color w:val="231F20"/>
          <w:spacing w:val="-25"/>
          <w:w w:val="105"/>
        </w:rPr>
        <w:t> </w:t>
      </w:r>
      <w:r>
        <w:rPr>
          <w:color w:val="231F20"/>
          <w:w w:val="105"/>
        </w:rPr>
        <w:t>la</w:t>
      </w:r>
      <w:r>
        <w:rPr>
          <w:color w:val="231F20"/>
          <w:spacing w:val="-25"/>
          <w:w w:val="105"/>
        </w:rPr>
        <w:t> </w:t>
      </w:r>
      <w:r>
        <w:rPr>
          <w:color w:val="231F20"/>
          <w:w w:val="105"/>
        </w:rPr>
        <w:t>creación</w:t>
      </w:r>
      <w:r>
        <w:rPr>
          <w:color w:val="231F20"/>
          <w:spacing w:val="-25"/>
          <w:w w:val="105"/>
        </w:rPr>
        <w:t> </w:t>
      </w:r>
      <w:r>
        <w:rPr>
          <w:color w:val="231F20"/>
          <w:w w:val="105"/>
        </w:rPr>
        <w:t>de</w:t>
      </w:r>
      <w:r>
        <w:rPr>
          <w:color w:val="231F20"/>
          <w:spacing w:val="-25"/>
          <w:w w:val="105"/>
        </w:rPr>
        <w:t> </w:t>
      </w:r>
      <w:r>
        <w:rPr>
          <w:color w:val="231F20"/>
          <w:w w:val="105"/>
        </w:rPr>
        <w:t>participación),</w:t>
      </w:r>
      <w:r>
        <w:rPr>
          <w:color w:val="231F20"/>
          <w:spacing w:val="-25"/>
          <w:w w:val="105"/>
        </w:rPr>
        <w:t> </w:t>
      </w:r>
      <w:r>
        <w:rPr>
          <w:color w:val="231F20"/>
          <w:w w:val="105"/>
        </w:rPr>
        <w:t>la</w:t>
      </w:r>
      <w:r>
        <w:rPr>
          <w:color w:val="231F20"/>
          <w:spacing w:val="-25"/>
          <w:w w:val="105"/>
        </w:rPr>
        <w:t> </w:t>
      </w:r>
      <w:r>
        <w:rPr>
          <w:color w:val="231F20"/>
          <w:w w:val="105"/>
        </w:rPr>
        <w:t>atención</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participación</w:t>
      </w:r>
      <w:r>
        <w:rPr>
          <w:color w:val="231F20"/>
          <w:spacing w:val="-25"/>
          <w:w w:val="105"/>
        </w:rPr>
        <w:t> </w:t>
      </w:r>
      <w:r>
        <w:rPr>
          <w:color w:val="231F20"/>
          <w:w w:val="105"/>
        </w:rPr>
        <w:t>voluntaria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sociedad</w:t>
      </w:r>
    </w:p>
    <w:p>
      <w:pPr>
        <w:spacing w:after="0" w:line="285" w:lineRule="auto"/>
        <w:jc w:val="both"/>
        <w:sectPr>
          <w:footerReference w:type="default" r:id="rId308"/>
          <w:pgSz w:w="9640" w:h="12190"/>
          <w:pgMar w:footer="743" w:header="0" w:top="1120" w:bottom="940" w:left="740" w:right="740"/>
          <w:pgNumType w:start="130"/>
        </w:sectPr>
      </w:pPr>
    </w:p>
    <w:p>
      <w:pPr>
        <w:pStyle w:val="BodyText"/>
        <w:spacing w:before="3"/>
        <w:rPr>
          <w:sz w:val="11"/>
        </w:rPr>
      </w:pPr>
    </w:p>
    <w:p>
      <w:pPr>
        <w:pStyle w:val="BodyText"/>
        <w:spacing w:line="285" w:lineRule="auto" w:before="36"/>
        <w:ind w:left="110" w:right="108"/>
        <w:jc w:val="both"/>
      </w:pPr>
      <w:r>
        <w:rPr>
          <w:color w:val="231F20"/>
          <w:w w:val="105"/>
        </w:rPr>
        <w:t>y la información disponible para el ciudadano sobre el ejercicio público con el fin de crear conciencia social sobre las acciones emprendidas por su gobierno.</w:t>
      </w:r>
    </w:p>
    <w:p>
      <w:pPr>
        <w:pStyle w:val="BodyText"/>
        <w:spacing w:before="1"/>
        <w:rPr>
          <w:sz w:val="26"/>
        </w:rPr>
      </w:pPr>
    </w:p>
    <w:p>
      <w:pPr>
        <w:pStyle w:val="BodyText"/>
        <w:spacing w:line="285" w:lineRule="auto"/>
        <w:ind w:left="110" w:right="106"/>
        <w:jc w:val="both"/>
      </w:pPr>
      <w:r>
        <w:rPr>
          <w:color w:val="231F20"/>
          <w:w w:val="105"/>
        </w:rPr>
        <w:t>Ixtapan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Sal</w:t>
      </w:r>
      <w:r>
        <w:rPr>
          <w:color w:val="231F20"/>
          <w:spacing w:val="-9"/>
          <w:w w:val="105"/>
        </w:rPr>
        <w:t> </w:t>
      </w:r>
      <w:r>
        <w:rPr>
          <w:color w:val="231F20"/>
          <w:w w:val="105"/>
        </w:rPr>
        <w:t>se</w:t>
      </w:r>
      <w:r>
        <w:rPr>
          <w:color w:val="231F20"/>
          <w:spacing w:val="-9"/>
          <w:w w:val="105"/>
        </w:rPr>
        <w:t> </w:t>
      </w:r>
      <w:r>
        <w:rPr>
          <w:color w:val="231F20"/>
          <w:w w:val="105"/>
        </w:rPr>
        <w:t>clasifica</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w w:val="105"/>
        </w:rPr>
        <w:t>nivel</w:t>
      </w:r>
      <w:r>
        <w:rPr>
          <w:color w:val="231F20"/>
          <w:spacing w:val="-9"/>
          <w:w w:val="105"/>
        </w:rPr>
        <w:t> </w:t>
      </w:r>
      <w:r>
        <w:rPr>
          <w:color w:val="231F20"/>
          <w:w w:val="105"/>
        </w:rPr>
        <w:t>medio</w:t>
      </w:r>
      <w:r>
        <w:rPr>
          <w:color w:val="231F20"/>
          <w:spacing w:val="-9"/>
          <w:w w:val="105"/>
        </w:rPr>
        <w:t> </w:t>
      </w:r>
      <w:r>
        <w:rPr>
          <w:color w:val="231F20"/>
          <w:w w:val="105"/>
        </w:rPr>
        <w:t>pues</w:t>
      </w:r>
      <w:r>
        <w:rPr>
          <w:color w:val="231F20"/>
          <w:spacing w:val="-9"/>
          <w:w w:val="105"/>
        </w:rPr>
        <w:t> </w:t>
      </w:r>
      <w:r>
        <w:rPr>
          <w:color w:val="231F20"/>
          <w:w w:val="105"/>
        </w:rPr>
        <w:t>ha</w:t>
      </w:r>
      <w:r>
        <w:rPr>
          <w:color w:val="231F20"/>
          <w:spacing w:val="-9"/>
          <w:w w:val="105"/>
        </w:rPr>
        <w:t> </w:t>
      </w:r>
      <w:r>
        <w:rPr>
          <w:color w:val="231F20"/>
          <w:w w:val="105"/>
        </w:rPr>
        <w:t>cumplido</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disposiciones estatales</w:t>
      </w:r>
      <w:r>
        <w:rPr>
          <w:color w:val="231F20"/>
          <w:spacing w:val="-15"/>
          <w:w w:val="105"/>
        </w:rPr>
        <w:t> </w:t>
      </w:r>
      <w:r>
        <w:rPr>
          <w:color w:val="231F20"/>
          <w:w w:val="105"/>
        </w:rPr>
        <w:t>de</w:t>
      </w:r>
      <w:r>
        <w:rPr>
          <w:color w:val="231F20"/>
          <w:spacing w:val="-15"/>
          <w:w w:val="105"/>
        </w:rPr>
        <w:t> </w:t>
      </w:r>
      <w:r>
        <w:rPr>
          <w:color w:val="231F20"/>
          <w:w w:val="105"/>
        </w:rPr>
        <w:t>crear</w:t>
      </w:r>
      <w:r>
        <w:rPr>
          <w:color w:val="231F20"/>
          <w:spacing w:val="-15"/>
          <w:w w:val="105"/>
        </w:rPr>
        <w:t> </w:t>
      </w:r>
      <w:r>
        <w:rPr>
          <w:color w:val="231F20"/>
          <w:w w:val="105"/>
        </w:rPr>
        <w:t>comités</w:t>
      </w:r>
      <w:r>
        <w:rPr>
          <w:color w:val="231F20"/>
          <w:spacing w:val="-15"/>
          <w:w w:val="105"/>
        </w:rPr>
        <w:t> </w:t>
      </w:r>
      <w:r>
        <w:rPr>
          <w:color w:val="231F20"/>
          <w:w w:val="105"/>
        </w:rPr>
        <w:t>de</w:t>
      </w:r>
      <w:r>
        <w:rPr>
          <w:color w:val="231F20"/>
          <w:spacing w:val="-15"/>
          <w:w w:val="105"/>
        </w:rPr>
        <w:t> </w:t>
      </w:r>
      <w:r>
        <w:rPr>
          <w:color w:val="231F20"/>
          <w:w w:val="105"/>
        </w:rPr>
        <w:t>participación</w:t>
      </w:r>
      <w:r>
        <w:rPr>
          <w:color w:val="231F20"/>
          <w:spacing w:val="-15"/>
          <w:w w:val="105"/>
        </w:rPr>
        <w:t> </w:t>
      </w:r>
      <w:r>
        <w:rPr>
          <w:color w:val="231F20"/>
          <w:spacing w:val="-4"/>
          <w:w w:val="105"/>
        </w:rPr>
        <w:t>(como</w:t>
      </w:r>
      <w:r>
        <w:rPr>
          <w:color w:val="231F20"/>
          <w:spacing w:val="-15"/>
          <w:w w:val="105"/>
        </w:rPr>
        <w:t> </w:t>
      </w:r>
      <w:r>
        <w:rPr>
          <w:color w:val="231F20"/>
          <w:w w:val="105"/>
        </w:rPr>
        <w:t>los</w:t>
      </w:r>
      <w:r>
        <w:rPr>
          <w:color w:val="231F20"/>
          <w:spacing w:val="-15"/>
          <w:w w:val="105"/>
        </w:rPr>
        <w:t> </w:t>
      </w:r>
      <w:r>
        <w:rPr>
          <w:color w:val="231F20"/>
          <w:w w:val="105"/>
        </w:rPr>
        <w:t>COCICOVI)</w:t>
      </w:r>
      <w:r>
        <w:rPr>
          <w:color w:val="231F20"/>
          <w:spacing w:val="-15"/>
          <w:w w:val="105"/>
        </w:rPr>
        <w:t> </w:t>
      </w:r>
      <w:r>
        <w:rPr>
          <w:color w:val="231F20"/>
          <w:w w:val="105"/>
        </w:rPr>
        <w:t>y</w:t>
      </w:r>
      <w:r>
        <w:rPr>
          <w:color w:val="231F20"/>
          <w:spacing w:val="-15"/>
          <w:w w:val="105"/>
        </w:rPr>
        <w:t> </w:t>
      </w:r>
      <w:r>
        <w:rPr>
          <w:color w:val="231F20"/>
          <w:w w:val="105"/>
        </w:rPr>
        <w:t>ha</w:t>
      </w:r>
      <w:r>
        <w:rPr>
          <w:color w:val="231F20"/>
          <w:spacing w:val="-15"/>
          <w:w w:val="105"/>
        </w:rPr>
        <w:t> </w:t>
      </w:r>
      <w:r>
        <w:rPr>
          <w:color w:val="231F20"/>
          <w:w w:val="105"/>
        </w:rPr>
        <w:t>involucrado</w:t>
      </w:r>
      <w:r>
        <w:rPr>
          <w:color w:val="231F20"/>
          <w:spacing w:val="-15"/>
          <w:w w:val="105"/>
        </w:rPr>
        <w:t> </w:t>
      </w:r>
      <w:r>
        <w:rPr>
          <w:color w:val="231F20"/>
          <w:w w:val="105"/>
        </w:rPr>
        <w:t>a</w:t>
      </w:r>
      <w:r>
        <w:rPr>
          <w:color w:val="231F20"/>
          <w:spacing w:val="-15"/>
          <w:w w:val="105"/>
        </w:rPr>
        <w:t> </w:t>
      </w:r>
      <w:r>
        <w:rPr>
          <w:color w:val="231F20"/>
          <w:w w:val="105"/>
        </w:rPr>
        <w:t>la sociedad</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elaboración</w:t>
      </w:r>
      <w:r>
        <w:rPr>
          <w:color w:val="231F20"/>
          <w:spacing w:val="-10"/>
          <w:w w:val="105"/>
        </w:rPr>
        <w:t> </w:t>
      </w:r>
      <w:r>
        <w:rPr>
          <w:color w:val="231F20"/>
          <w:w w:val="105"/>
        </w:rPr>
        <w:t>del</w:t>
      </w:r>
      <w:r>
        <w:rPr>
          <w:color w:val="231F20"/>
          <w:spacing w:val="-10"/>
          <w:w w:val="105"/>
        </w:rPr>
        <w:t> </w:t>
      </w:r>
      <w:r>
        <w:rPr>
          <w:color w:val="231F20"/>
          <w:w w:val="105"/>
        </w:rPr>
        <w:t>Plan</w:t>
      </w:r>
      <w:r>
        <w:rPr>
          <w:color w:val="231F20"/>
          <w:spacing w:val="-10"/>
          <w:w w:val="105"/>
        </w:rPr>
        <w:t> </w:t>
      </w:r>
      <w:r>
        <w:rPr>
          <w:color w:val="231F20"/>
          <w:w w:val="105"/>
        </w:rPr>
        <w:t>de</w:t>
      </w:r>
      <w:r>
        <w:rPr>
          <w:color w:val="231F20"/>
          <w:spacing w:val="-10"/>
          <w:w w:val="105"/>
        </w:rPr>
        <w:t> </w:t>
      </w:r>
      <w:r>
        <w:rPr>
          <w:color w:val="231F20"/>
          <w:spacing w:val="-3"/>
          <w:w w:val="105"/>
        </w:rPr>
        <w:t>Trabajo,</w:t>
      </w:r>
      <w:r>
        <w:rPr>
          <w:color w:val="231F20"/>
          <w:spacing w:val="-10"/>
          <w:w w:val="105"/>
        </w:rPr>
        <w:t> </w:t>
      </w: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participación limitada</w:t>
      </w:r>
      <w:r>
        <w:rPr>
          <w:color w:val="231F20"/>
          <w:spacing w:val="-17"/>
          <w:w w:val="105"/>
        </w:rPr>
        <w:t> </w:t>
      </w:r>
      <w:r>
        <w:rPr>
          <w:color w:val="231F20"/>
          <w:w w:val="105"/>
        </w:rPr>
        <w:t>ya</w:t>
      </w:r>
      <w:r>
        <w:rPr>
          <w:color w:val="231F20"/>
          <w:spacing w:val="-17"/>
          <w:w w:val="105"/>
        </w:rPr>
        <w:t> </w:t>
      </w:r>
      <w:r>
        <w:rPr>
          <w:color w:val="231F20"/>
          <w:w w:val="105"/>
        </w:rPr>
        <w:t>que</w:t>
      </w:r>
      <w:r>
        <w:rPr>
          <w:color w:val="231F20"/>
          <w:spacing w:val="-17"/>
          <w:w w:val="105"/>
        </w:rPr>
        <w:t> </w:t>
      </w:r>
      <w:r>
        <w:rPr>
          <w:color w:val="231F20"/>
          <w:w w:val="105"/>
        </w:rPr>
        <w:t>cuando</w:t>
      </w:r>
      <w:r>
        <w:rPr>
          <w:color w:val="231F20"/>
          <w:spacing w:val="-17"/>
          <w:w w:val="105"/>
        </w:rPr>
        <w:t> </w:t>
      </w:r>
      <w:r>
        <w:rPr>
          <w:color w:val="231F20"/>
          <w:w w:val="105"/>
        </w:rPr>
        <w:t>se</w:t>
      </w:r>
      <w:r>
        <w:rPr>
          <w:color w:val="231F20"/>
          <w:spacing w:val="-17"/>
          <w:w w:val="105"/>
        </w:rPr>
        <w:t> </w:t>
      </w:r>
      <w:r>
        <w:rPr>
          <w:color w:val="231F20"/>
          <w:w w:val="105"/>
        </w:rPr>
        <w:t>tratan</w:t>
      </w:r>
      <w:r>
        <w:rPr>
          <w:color w:val="231F20"/>
          <w:spacing w:val="-17"/>
          <w:w w:val="105"/>
        </w:rPr>
        <w:t> </w:t>
      </w:r>
      <w:r>
        <w:rPr>
          <w:color w:val="231F20"/>
          <w:w w:val="105"/>
        </w:rPr>
        <w:t>de</w:t>
      </w:r>
      <w:r>
        <w:rPr>
          <w:color w:val="231F20"/>
          <w:spacing w:val="-17"/>
          <w:w w:val="105"/>
        </w:rPr>
        <w:t> </w:t>
      </w:r>
      <w:r>
        <w:rPr>
          <w:color w:val="231F20"/>
          <w:w w:val="105"/>
        </w:rPr>
        <w:t>temas</w:t>
      </w:r>
      <w:r>
        <w:rPr>
          <w:color w:val="231F20"/>
          <w:spacing w:val="-17"/>
          <w:w w:val="105"/>
        </w:rPr>
        <w:t> </w:t>
      </w:r>
      <w:r>
        <w:rPr>
          <w:color w:val="231F20"/>
          <w:w w:val="105"/>
        </w:rPr>
        <w:t>involucrados</w:t>
      </w:r>
      <w:r>
        <w:rPr>
          <w:color w:val="231F20"/>
          <w:spacing w:val="-17"/>
          <w:w w:val="105"/>
        </w:rPr>
        <w:t> </w:t>
      </w:r>
      <w:r>
        <w:rPr>
          <w:color w:val="231F20"/>
          <w:w w:val="105"/>
        </w:rPr>
        <w:t>con</w:t>
      </w:r>
      <w:r>
        <w:rPr>
          <w:color w:val="231F20"/>
          <w:spacing w:val="-17"/>
          <w:w w:val="105"/>
        </w:rPr>
        <w:t> </w:t>
      </w:r>
      <w:r>
        <w:rPr>
          <w:color w:val="231F20"/>
          <w:w w:val="105"/>
        </w:rPr>
        <w:t>términos</w:t>
      </w:r>
      <w:r>
        <w:rPr>
          <w:color w:val="231F20"/>
          <w:spacing w:val="-17"/>
          <w:w w:val="105"/>
        </w:rPr>
        <w:t> </w:t>
      </w:r>
      <w:r>
        <w:rPr>
          <w:color w:val="231F20"/>
          <w:w w:val="105"/>
        </w:rPr>
        <w:t>económicos</w:t>
      </w:r>
      <w:r>
        <w:rPr>
          <w:color w:val="231F20"/>
          <w:spacing w:val="-17"/>
          <w:w w:val="105"/>
        </w:rPr>
        <w:t> </w:t>
      </w:r>
      <w:r>
        <w:rPr>
          <w:color w:val="231F20"/>
          <w:w w:val="105"/>
        </w:rPr>
        <w:t>como el turismo, se limita exclusivamente a los grandes empresarios de la región, dejando fuera</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pequeños</w:t>
      </w:r>
      <w:r>
        <w:rPr>
          <w:color w:val="231F20"/>
          <w:spacing w:val="-16"/>
          <w:w w:val="105"/>
        </w:rPr>
        <w:t> </w:t>
      </w:r>
      <w:r>
        <w:rPr>
          <w:color w:val="231F20"/>
          <w:w w:val="105"/>
        </w:rPr>
        <w:t>inversionistas</w:t>
      </w:r>
      <w:r>
        <w:rPr>
          <w:color w:val="231F20"/>
          <w:spacing w:val="-16"/>
          <w:w w:val="105"/>
        </w:rPr>
        <w:t> </w:t>
      </w:r>
      <w:r>
        <w:rPr>
          <w:color w:val="231F20"/>
          <w:w w:val="105"/>
        </w:rPr>
        <w:t>y</w:t>
      </w:r>
      <w:r>
        <w:rPr>
          <w:color w:val="231F20"/>
          <w:spacing w:val="-16"/>
          <w:w w:val="105"/>
        </w:rPr>
        <w:t> </w:t>
      </w:r>
      <w:r>
        <w:rPr>
          <w:color w:val="231F20"/>
          <w:w w:val="105"/>
        </w:rPr>
        <w:t>artesanos</w:t>
      </w:r>
      <w:r>
        <w:rPr>
          <w:color w:val="231F20"/>
          <w:spacing w:val="-16"/>
          <w:w w:val="105"/>
        </w:rPr>
        <w:t> </w:t>
      </w:r>
      <w:r>
        <w:rPr>
          <w:color w:val="231F20"/>
          <w:w w:val="105"/>
        </w:rPr>
        <w:t>locales.</w:t>
      </w:r>
    </w:p>
    <w:p>
      <w:pPr>
        <w:pStyle w:val="BodyText"/>
        <w:spacing w:before="1"/>
        <w:rPr>
          <w:sz w:val="26"/>
        </w:rPr>
      </w:pPr>
    </w:p>
    <w:p>
      <w:pPr>
        <w:pStyle w:val="BodyText"/>
        <w:spacing w:line="285" w:lineRule="auto"/>
        <w:ind w:left="110" w:right="107"/>
        <w:jc w:val="both"/>
      </w:pPr>
      <w:r>
        <w:rPr>
          <w:color w:val="231F20"/>
          <w:w w:val="105"/>
        </w:rPr>
        <w:t>Otro</w:t>
      </w:r>
      <w:r>
        <w:rPr>
          <w:color w:val="231F20"/>
          <w:spacing w:val="-4"/>
          <w:w w:val="105"/>
        </w:rPr>
        <w:t> </w:t>
      </w:r>
      <w:r>
        <w:rPr>
          <w:color w:val="231F20"/>
          <w:w w:val="105"/>
        </w:rPr>
        <w:t>tipo</w:t>
      </w:r>
      <w:r>
        <w:rPr>
          <w:color w:val="231F20"/>
          <w:spacing w:val="-4"/>
          <w:w w:val="105"/>
        </w:rPr>
        <w:t> </w:t>
      </w:r>
      <w:r>
        <w:rPr>
          <w:color w:val="231F20"/>
          <w:w w:val="105"/>
        </w:rPr>
        <w:t>de</w:t>
      </w:r>
      <w:r>
        <w:rPr>
          <w:color w:val="231F20"/>
          <w:spacing w:val="-4"/>
          <w:w w:val="105"/>
        </w:rPr>
        <w:t> </w:t>
      </w:r>
      <w:r>
        <w:rPr>
          <w:color w:val="231F20"/>
          <w:w w:val="105"/>
        </w:rPr>
        <w:t>participación</w:t>
      </w:r>
      <w:r>
        <w:rPr>
          <w:color w:val="231F20"/>
          <w:spacing w:val="-4"/>
          <w:w w:val="105"/>
        </w:rPr>
        <w:t> </w:t>
      </w:r>
      <w:r>
        <w:rPr>
          <w:color w:val="231F20"/>
          <w:w w:val="105"/>
        </w:rPr>
        <w:t>observada</w:t>
      </w:r>
      <w:r>
        <w:rPr>
          <w:color w:val="231F20"/>
          <w:spacing w:val="-4"/>
          <w:w w:val="105"/>
        </w:rPr>
        <w:t> </w:t>
      </w:r>
      <w:r>
        <w:rPr>
          <w:color w:val="231F20"/>
          <w:w w:val="105"/>
        </w:rPr>
        <w:t>es</w:t>
      </w:r>
      <w:r>
        <w:rPr>
          <w:color w:val="231F20"/>
          <w:spacing w:val="-4"/>
          <w:w w:val="105"/>
        </w:rPr>
        <w:t> </w:t>
      </w:r>
      <w:r>
        <w:rPr>
          <w:color w:val="231F20"/>
          <w:w w:val="105"/>
        </w:rPr>
        <w:t>la</w:t>
      </w:r>
      <w:r>
        <w:rPr>
          <w:color w:val="231F20"/>
          <w:spacing w:val="-4"/>
          <w:w w:val="105"/>
        </w:rPr>
        <w:t> </w:t>
      </w:r>
      <w:r>
        <w:rPr>
          <w:color w:val="231F20"/>
          <w:w w:val="105"/>
        </w:rPr>
        <w:t>voluntaria</w:t>
      </w:r>
      <w:r>
        <w:rPr>
          <w:color w:val="231F20"/>
          <w:spacing w:val="-4"/>
          <w:w w:val="105"/>
        </w:rPr>
        <w:t> </w:t>
      </w:r>
      <w:r>
        <w:rPr>
          <w:color w:val="231F20"/>
          <w:w w:val="105"/>
        </w:rPr>
        <w:t>pues</w:t>
      </w:r>
      <w:r>
        <w:rPr>
          <w:color w:val="231F20"/>
          <w:spacing w:val="-4"/>
          <w:w w:val="105"/>
        </w:rPr>
        <w:t> </w:t>
      </w:r>
      <w:r>
        <w:rPr>
          <w:color w:val="231F20"/>
          <w:w w:val="105"/>
        </w:rPr>
        <w:t>en</w:t>
      </w:r>
      <w:r>
        <w:rPr>
          <w:color w:val="231F20"/>
          <w:spacing w:val="-4"/>
          <w:w w:val="105"/>
        </w:rPr>
        <w:t> </w:t>
      </w:r>
      <w:r>
        <w:rPr>
          <w:color w:val="231F20"/>
          <w:w w:val="105"/>
        </w:rPr>
        <w:t>varias</w:t>
      </w:r>
      <w:r>
        <w:rPr>
          <w:color w:val="231F20"/>
          <w:spacing w:val="-4"/>
          <w:w w:val="105"/>
        </w:rPr>
        <w:t> </w:t>
      </w:r>
      <w:r>
        <w:rPr>
          <w:color w:val="231F20"/>
          <w:w w:val="105"/>
        </w:rPr>
        <w:t>localidades</w:t>
      </w:r>
      <w:r>
        <w:rPr>
          <w:color w:val="231F20"/>
          <w:spacing w:val="-4"/>
          <w:w w:val="105"/>
        </w:rPr>
        <w:t> </w:t>
      </w:r>
      <w:r>
        <w:rPr>
          <w:color w:val="231F20"/>
          <w:w w:val="105"/>
        </w:rPr>
        <w:t>se</w:t>
      </w:r>
      <w:r>
        <w:rPr>
          <w:color w:val="231F20"/>
          <w:spacing w:val="-4"/>
          <w:w w:val="105"/>
        </w:rPr>
        <w:t> </w:t>
      </w:r>
      <w:r>
        <w:rPr>
          <w:color w:val="231F20"/>
          <w:w w:val="105"/>
        </w:rPr>
        <w:t>han organizado grupos de ciudadanos que acuden directamente </w:t>
      </w:r>
      <w:r>
        <w:rPr>
          <w:color w:val="231F20"/>
          <w:spacing w:val="2"/>
          <w:w w:val="105"/>
        </w:rPr>
        <w:t>al </w:t>
      </w:r>
      <w:r>
        <w:rPr>
          <w:color w:val="231F20"/>
          <w:w w:val="105"/>
        </w:rPr>
        <w:t>municipio a gestionar apoyos para la elaboración de proyectos comunales. Aunque la participación de estos grupos</w:t>
      </w:r>
      <w:r>
        <w:rPr>
          <w:color w:val="231F20"/>
          <w:spacing w:val="-17"/>
          <w:w w:val="105"/>
        </w:rPr>
        <w:t> </w:t>
      </w:r>
      <w:r>
        <w:rPr>
          <w:color w:val="231F20"/>
          <w:w w:val="105"/>
        </w:rPr>
        <w:t>responde</w:t>
      </w:r>
      <w:r>
        <w:rPr>
          <w:color w:val="231F20"/>
          <w:spacing w:val="-17"/>
          <w:w w:val="105"/>
        </w:rPr>
        <w:t> </w:t>
      </w:r>
      <w:r>
        <w:rPr>
          <w:color w:val="231F20"/>
          <w:w w:val="105"/>
        </w:rPr>
        <w:t>a</w:t>
      </w:r>
      <w:r>
        <w:rPr>
          <w:color w:val="231F20"/>
          <w:spacing w:val="-17"/>
          <w:w w:val="105"/>
        </w:rPr>
        <w:t> </w:t>
      </w:r>
      <w:r>
        <w:rPr>
          <w:color w:val="231F20"/>
          <w:w w:val="105"/>
        </w:rPr>
        <w:t>una</w:t>
      </w:r>
      <w:r>
        <w:rPr>
          <w:color w:val="231F20"/>
          <w:spacing w:val="-17"/>
          <w:w w:val="105"/>
        </w:rPr>
        <w:t> </w:t>
      </w:r>
      <w:r>
        <w:rPr>
          <w:color w:val="231F20"/>
          <w:w w:val="105"/>
        </w:rPr>
        <w:t>necesidad</w:t>
      </w:r>
      <w:r>
        <w:rPr>
          <w:color w:val="231F20"/>
          <w:spacing w:val="-17"/>
          <w:w w:val="105"/>
        </w:rPr>
        <w:t> </w:t>
      </w:r>
      <w:r>
        <w:rPr>
          <w:color w:val="231F20"/>
          <w:w w:val="105"/>
        </w:rPr>
        <w:t>común,</w:t>
      </w:r>
      <w:r>
        <w:rPr>
          <w:color w:val="231F20"/>
          <w:spacing w:val="-17"/>
          <w:w w:val="105"/>
        </w:rPr>
        <w:t> </w:t>
      </w:r>
      <w:r>
        <w:rPr>
          <w:color w:val="231F20"/>
          <w:w w:val="105"/>
        </w:rPr>
        <w:t>la</w:t>
      </w:r>
      <w:r>
        <w:rPr>
          <w:color w:val="231F20"/>
          <w:spacing w:val="-17"/>
          <w:w w:val="105"/>
        </w:rPr>
        <w:t> </w:t>
      </w:r>
      <w:r>
        <w:rPr>
          <w:color w:val="231F20"/>
          <w:w w:val="105"/>
        </w:rPr>
        <w:t>organización</w:t>
      </w:r>
      <w:r>
        <w:rPr>
          <w:color w:val="231F20"/>
          <w:spacing w:val="-17"/>
          <w:w w:val="105"/>
        </w:rPr>
        <w:t> </w:t>
      </w:r>
      <w:r>
        <w:rPr>
          <w:color w:val="231F20"/>
          <w:w w:val="105"/>
        </w:rPr>
        <w:t>vecinal</w:t>
      </w:r>
      <w:r>
        <w:rPr>
          <w:color w:val="231F20"/>
          <w:spacing w:val="-18"/>
          <w:w w:val="105"/>
        </w:rPr>
        <w:t> </w:t>
      </w:r>
      <w:r>
        <w:rPr>
          <w:color w:val="231F20"/>
          <w:w w:val="105"/>
        </w:rPr>
        <w:t>refleja</w:t>
      </w:r>
      <w:r>
        <w:rPr>
          <w:color w:val="231F20"/>
          <w:spacing w:val="-17"/>
          <w:w w:val="105"/>
        </w:rPr>
        <w:t> </w:t>
      </w:r>
      <w:r>
        <w:rPr>
          <w:color w:val="231F20"/>
          <w:w w:val="105"/>
        </w:rPr>
        <w:t>capacidad</w:t>
      </w:r>
      <w:r>
        <w:rPr>
          <w:color w:val="231F20"/>
          <w:spacing w:val="-17"/>
          <w:w w:val="105"/>
        </w:rPr>
        <w:t> </w:t>
      </w:r>
      <w:r>
        <w:rPr>
          <w:color w:val="231F20"/>
          <w:w w:val="105"/>
        </w:rPr>
        <w:t>de</w:t>
      </w:r>
      <w:r>
        <w:rPr>
          <w:color w:val="231F20"/>
          <w:spacing w:val="-17"/>
          <w:w w:val="105"/>
        </w:rPr>
        <w:t> </w:t>
      </w:r>
      <w:r>
        <w:rPr>
          <w:color w:val="231F20"/>
          <w:w w:val="105"/>
        </w:rPr>
        <w:t>la sociedad</w:t>
      </w:r>
      <w:r>
        <w:rPr>
          <w:color w:val="231F20"/>
          <w:spacing w:val="-27"/>
          <w:w w:val="105"/>
        </w:rPr>
        <w:t> </w:t>
      </w:r>
      <w:r>
        <w:rPr>
          <w:color w:val="231F20"/>
          <w:w w:val="105"/>
        </w:rPr>
        <w:t>para</w:t>
      </w:r>
      <w:r>
        <w:rPr>
          <w:color w:val="231F20"/>
          <w:spacing w:val="-27"/>
          <w:w w:val="105"/>
        </w:rPr>
        <w:t> </w:t>
      </w:r>
      <w:r>
        <w:rPr>
          <w:color w:val="231F20"/>
          <w:w w:val="105"/>
        </w:rPr>
        <w:t>involucrarse.</w:t>
      </w:r>
    </w:p>
    <w:p>
      <w:pPr>
        <w:pStyle w:val="BodyText"/>
        <w:spacing w:before="1"/>
        <w:rPr>
          <w:sz w:val="26"/>
        </w:rPr>
      </w:pPr>
    </w:p>
    <w:p>
      <w:pPr>
        <w:pStyle w:val="BodyText"/>
        <w:spacing w:line="285" w:lineRule="auto"/>
        <w:ind w:left="110" w:right="108"/>
        <w:jc w:val="both"/>
      </w:pP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sí</w:t>
      </w:r>
      <w:r>
        <w:rPr>
          <w:color w:val="231F20"/>
          <w:spacing w:val="-15"/>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deficiencia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actual</w:t>
      </w:r>
      <w:r>
        <w:rPr>
          <w:color w:val="231F20"/>
          <w:spacing w:val="-15"/>
          <w:w w:val="105"/>
        </w:rPr>
        <w:t> </w:t>
      </w:r>
      <w:r>
        <w:rPr>
          <w:color w:val="231F20"/>
          <w:w w:val="105"/>
        </w:rPr>
        <w:t>administración</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falta</w:t>
      </w:r>
      <w:r>
        <w:rPr>
          <w:color w:val="231F20"/>
          <w:spacing w:val="-15"/>
          <w:w w:val="105"/>
        </w:rPr>
        <w:t> </w:t>
      </w:r>
      <w:r>
        <w:rPr>
          <w:color w:val="231F20"/>
          <w:w w:val="105"/>
        </w:rPr>
        <w:t>de</w:t>
      </w:r>
      <w:r>
        <w:rPr>
          <w:color w:val="231F20"/>
          <w:spacing w:val="-15"/>
          <w:w w:val="105"/>
        </w:rPr>
        <w:t> </w:t>
      </w:r>
      <w:r>
        <w:rPr>
          <w:color w:val="231F20"/>
          <w:w w:val="105"/>
        </w:rPr>
        <w:t>difusión</w:t>
      </w:r>
      <w:r>
        <w:rPr>
          <w:color w:val="231F20"/>
          <w:spacing w:val="-15"/>
          <w:w w:val="105"/>
        </w:rPr>
        <w:t> </w:t>
      </w:r>
      <w:r>
        <w:rPr>
          <w:color w:val="231F20"/>
          <w:w w:val="105"/>
        </w:rPr>
        <w:t>del</w:t>
      </w:r>
      <w:r>
        <w:rPr>
          <w:color w:val="231F20"/>
          <w:spacing w:val="-15"/>
          <w:w w:val="105"/>
        </w:rPr>
        <w:t> </w:t>
      </w:r>
      <w:r>
        <w:rPr>
          <w:color w:val="231F20"/>
          <w:w w:val="105"/>
        </w:rPr>
        <w:t>ejerci- cio</w:t>
      </w:r>
      <w:r>
        <w:rPr>
          <w:color w:val="231F20"/>
          <w:spacing w:val="-9"/>
          <w:w w:val="105"/>
        </w:rPr>
        <w:t> </w:t>
      </w:r>
      <w:r>
        <w:rPr>
          <w:color w:val="231F20"/>
          <w:w w:val="105"/>
        </w:rPr>
        <w:t>público,</w:t>
      </w:r>
      <w:r>
        <w:rPr>
          <w:color w:val="231F20"/>
          <w:spacing w:val="-9"/>
          <w:w w:val="105"/>
        </w:rPr>
        <w:t> </w:t>
      </w:r>
      <w:r>
        <w:rPr>
          <w:color w:val="231F20"/>
          <w:w w:val="105"/>
        </w:rPr>
        <w:t>pues</w:t>
      </w:r>
      <w:r>
        <w:rPr>
          <w:color w:val="231F20"/>
          <w:spacing w:val="-9"/>
          <w:w w:val="105"/>
        </w:rPr>
        <w:t> </w:t>
      </w:r>
      <w:r>
        <w:rPr>
          <w:color w:val="231F20"/>
          <w:w w:val="105"/>
        </w:rPr>
        <w:t>exclusivamente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Ceremonia</w:t>
      </w:r>
      <w:r>
        <w:rPr>
          <w:color w:val="231F20"/>
          <w:spacing w:val="-9"/>
          <w:w w:val="105"/>
        </w:rPr>
        <w:t> </w:t>
      </w:r>
      <w:r>
        <w:rPr>
          <w:color w:val="231F20"/>
          <w:w w:val="105"/>
        </w:rPr>
        <w:t>de</w:t>
      </w:r>
      <w:r>
        <w:rPr>
          <w:color w:val="231F20"/>
          <w:spacing w:val="-9"/>
          <w:w w:val="105"/>
        </w:rPr>
        <w:t> </w:t>
      </w:r>
      <w:r>
        <w:rPr>
          <w:color w:val="231F20"/>
          <w:w w:val="105"/>
        </w:rPr>
        <w:t>Informe</w:t>
      </w:r>
      <w:r>
        <w:rPr>
          <w:color w:val="231F20"/>
          <w:spacing w:val="-9"/>
          <w:w w:val="105"/>
        </w:rPr>
        <w:t> </w:t>
      </w:r>
      <w:r>
        <w:rPr>
          <w:color w:val="231F20"/>
          <w:w w:val="105"/>
        </w:rPr>
        <w:t>de</w:t>
      </w:r>
      <w:r>
        <w:rPr>
          <w:color w:val="231F20"/>
          <w:spacing w:val="-9"/>
          <w:w w:val="105"/>
        </w:rPr>
        <w:t> </w:t>
      </w:r>
      <w:r>
        <w:rPr>
          <w:color w:val="231F20"/>
          <w:w w:val="105"/>
        </w:rPr>
        <w:t>Gobierno</w:t>
      </w:r>
      <w:r>
        <w:rPr>
          <w:color w:val="231F20"/>
          <w:spacing w:val="-9"/>
          <w:w w:val="105"/>
        </w:rPr>
        <w:t> </w:t>
      </w:r>
      <w:r>
        <w:rPr>
          <w:color w:val="231F20"/>
          <w:w w:val="105"/>
        </w:rPr>
        <w:t>la</w:t>
      </w:r>
      <w:r>
        <w:rPr>
          <w:color w:val="231F20"/>
          <w:spacing w:val="-9"/>
          <w:w w:val="105"/>
        </w:rPr>
        <w:t> </w:t>
      </w:r>
      <w:r>
        <w:rPr>
          <w:color w:val="231F20"/>
          <w:w w:val="105"/>
        </w:rPr>
        <w:t>adminis- tración</w:t>
      </w:r>
      <w:r>
        <w:rPr>
          <w:color w:val="231F20"/>
          <w:spacing w:val="-19"/>
          <w:w w:val="105"/>
        </w:rPr>
        <w:t> </w:t>
      </w:r>
      <w:r>
        <w:rPr>
          <w:color w:val="231F20"/>
          <w:w w:val="105"/>
        </w:rPr>
        <w:t>se</w:t>
      </w:r>
      <w:r>
        <w:rPr>
          <w:color w:val="231F20"/>
          <w:spacing w:val="-19"/>
          <w:w w:val="105"/>
        </w:rPr>
        <w:t> </w:t>
      </w:r>
      <w:r>
        <w:rPr>
          <w:color w:val="231F20"/>
          <w:w w:val="105"/>
        </w:rPr>
        <w:t>siente</w:t>
      </w:r>
      <w:r>
        <w:rPr>
          <w:color w:val="231F20"/>
          <w:spacing w:val="-19"/>
          <w:w w:val="105"/>
        </w:rPr>
        <w:t> </w:t>
      </w:r>
      <w:r>
        <w:rPr>
          <w:color w:val="231F20"/>
          <w:w w:val="105"/>
        </w:rPr>
        <w:t>comprometida</w:t>
      </w:r>
      <w:r>
        <w:rPr>
          <w:color w:val="231F20"/>
          <w:spacing w:val="-19"/>
          <w:w w:val="105"/>
        </w:rPr>
        <w:t> </w:t>
      </w:r>
      <w:r>
        <w:rPr>
          <w:color w:val="231F20"/>
          <w:w w:val="105"/>
        </w:rPr>
        <w:t>a</w:t>
      </w:r>
      <w:r>
        <w:rPr>
          <w:color w:val="231F20"/>
          <w:spacing w:val="-19"/>
          <w:w w:val="105"/>
        </w:rPr>
        <w:t> </w:t>
      </w:r>
      <w:r>
        <w:rPr>
          <w:color w:val="231F20"/>
          <w:w w:val="105"/>
        </w:rPr>
        <w:t>comunicarlo</w:t>
      </w:r>
      <w:r>
        <w:rPr>
          <w:color w:val="231F20"/>
          <w:spacing w:val="-19"/>
          <w:w w:val="105"/>
        </w:rPr>
        <w:t> </w:t>
      </w:r>
      <w:r>
        <w:rPr>
          <w:color w:val="231F20"/>
          <w:w w:val="105"/>
        </w:rPr>
        <w:t>Las</w:t>
      </w:r>
      <w:r>
        <w:rPr>
          <w:color w:val="231F20"/>
          <w:spacing w:val="-19"/>
          <w:w w:val="105"/>
        </w:rPr>
        <w:t> </w:t>
      </w:r>
      <w:r>
        <w:rPr>
          <w:color w:val="231F20"/>
          <w:w w:val="105"/>
        </w:rPr>
        <w:t>gacetas</w:t>
      </w:r>
      <w:r>
        <w:rPr>
          <w:color w:val="231F20"/>
          <w:spacing w:val="-19"/>
          <w:w w:val="105"/>
        </w:rPr>
        <w:t> </w:t>
      </w:r>
      <w:r>
        <w:rPr>
          <w:color w:val="231F20"/>
          <w:w w:val="105"/>
        </w:rPr>
        <w:t>municipales,</w:t>
      </w:r>
      <w:r>
        <w:rPr>
          <w:color w:val="231F20"/>
          <w:spacing w:val="-19"/>
          <w:w w:val="105"/>
        </w:rPr>
        <w:t> </w:t>
      </w:r>
      <w:r>
        <w:rPr>
          <w:color w:val="231F20"/>
          <w:w w:val="105"/>
        </w:rPr>
        <w:t>por</w:t>
      </w:r>
      <w:r>
        <w:rPr>
          <w:color w:val="231F20"/>
          <w:spacing w:val="-19"/>
          <w:w w:val="105"/>
        </w:rPr>
        <w:t> </w:t>
      </w:r>
      <w:r>
        <w:rPr>
          <w:color w:val="231F20"/>
          <w:spacing w:val="-3"/>
          <w:w w:val="105"/>
        </w:rPr>
        <w:t>ejemplo,</w:t>
      </w:r>
      <w:r>
        <w:rPr>
          <w:color w:val="231F20"/>
          <w:spacing w:val="-19"/>
          <w:w w:val="105"/>
        </w:rPr>
        <w:t> </w:t>
      </w:r>
      <w:r>
        <w:rPr>
          <w:color w:val="231F20"/>
          <w:w w:val="105"/>
        </w:rPr>
        <w:t>no están</w:t>
      </w:r>
      <w:r>
        <w:rPr>
          <w:color w:val="231F20"/>
          <w:spacing w:val="-12"/>
          <w:w w:val="105"/>
        </w:rPr>
        <w:t> </w:t>
      </w:r>
      <w:r>
        <w:rPr>
          <w:color w:val="231F20"/>
          <w:spacing w:val="2"/>
          <w:w w:val="105"/>
        </w:rPr>
        <w:t>al</w:t>
      </w:r>
      <w:r>
        <w:rPr>
          <w:color w:val="231F20"/>
          <w:spacing w:val="-12"/>
          <w:w w:val="105"/>
        </w:rPr>
        <w:t> </w:t>
      </w:r>
      <w:r>
        <w:rPr>
          <w:color w:val="231F20"/>
          <w:w w:val="105"/>
        </w:rPr>
        <w:t>alcance</w:t>
      </w:r>
      <w:r>
        <w:rPr>
          <w:color w:val="231F20"/>
          <w:spacing w:val="-12"/>
          <w:w w:val="105"/>
        </w:rPr>
        <w:t> </w:t>
      </w:r>
      <w:r>
        <w:rPr>
          <w:color w:val="231F20"/>
          <w:w w:val="105"/>
        </w:rPr>
        <w:t>de</w:t>
      </w:r>
      <w:r>
        <w:rPr>
          <w:color w:val="231F20"/>
          <w:spacing w:val="-12"/>
          <w:w w:val="105"/>
        </w:rPr>
        <w:t> </w:t>
      </w:r>
      <w:r>
        <w:rPr>
          <w:color w:val="231F20"/>
          <w:w w:val="105"/>
        </w:rPr>
        <w:t>cualquier</w:t>
      </w:r>
      <w:r>
        <w:rPr>
          <w:color w:val="231F20"/>
          <w:spacing w:val="-12"/>
          <w:w w:val="105"/>
        </w:rPr>
        <w:t> </w:t>
      </w:r>
      <w:r>
        <w:rPr>
          <w:color w:val="231F20"/>
          <w:w w:val="105"/>
        </w:rPr>
        <w:t>ciudadano</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información</w:t>
      </w:r>
      <w:r>
        <w:rPr>
          <w:color w:val="231F20"/>
          <w:spacing w:val="-12"/>
          <w:w w:val="105"/>
        </w:rPr>
        <w:t> </w:t>
      </w:r>
      <w:r>
        <w:rPr>
          <w:color w:val="231F20"/>
          <w:w w:val="105"/>
        </w:rPr>
        <w:t>pública</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tema aún</w:t>
      </w:r>
      <w:r>
        <w:rPr>
          <w:color w:val="231F20"/>
          <w:spacing w:val="-8"/>
          <w:w w:val="105"/>
        </w:rPr>
        <w:t> </w:t>
      </w:r>
      <w:r>
        <w:rPr>
          <w:color w:val="231F20"/>
          <w:w w:val="105"/>
        </w:rPr>
        <w:t>no</w:t>
      </w:r>
      <w:r>
        <w:rPr>
          <w:color w:val="231F20"/>
          <w:spacing w:val="-8"/>
          <w:w w:val="105"/>
        </w:rPr>
        <w:t> </w:t>
      </w:r>
      <w:r>
        <w:rPr>
          <w:color w:val="231F20"/>
          <w:w w:val="105"/>
        </w:rPr>
        <w:t>terminado</w:t>
      </w:r>
      <w:r>
        <w:rPr>
          <w:color w:val="231F20"/>
          <w:spacing w:val="-8"/>
          <w:w w:val="105"/>
        </w:rPr>
        <w:t> </w:t>
      </w:r>
      <w:r>
        <w:rPr>
          <w:color w:val="231F20"/>
          <w:w w:val="105"/>
        </w:rPr>
        <w:t>de</w:t>
      </w:r>
      <w:r>
        <w:rPr>
          <w:color w:val="231F20"/>
          <w:spacing w:val="-8"/>
          <w:w w:val="105"/>
        </w:rPr>
        <w:t> </w:t>
      </w:r>
      <w:r>
        <w:rPr>
          <w:color w:val="231F20"/>
          <w:w w:val="105"/>
        </w:rPr>
        <w:t>aplicar</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En términos generales, la democracia social es una característica que no acaba por adoptarse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gobierno</w:t>
      </w:r>
      <w:r>
        <w:rPr>
          <w:color w:val="231F20"/>
          <w:spacing w:val="-10"/>
          <w:w w:val="105"/>
        </w:rPr>
        <w:t> </w:t>
      </w:r>
      <w:r>
        <w:rPr>
          <w:color w:val="231F20"/>
          <w:w w:val="105"/>
        </w:rPr>
        <w:t>priísta</w:t>
      </w:r>
      <w:r>
        <w:rPr>
          <w:color w:val="231F20"/>
          <w:spacing w:val="-10"/>
          <w:w w:val="105"/>
        </w:rPr>
        <w:t> </w:t>
      </w:r>
      <w:r>
        <w:rPr>
          <w:color w:val="231F20"/>
          <w:w w:val="105"/>
        </w:rPr>
        <w:t>de</w:t>
      </w:r>
      <w:r>
        <w:rPr>
          <w:color w:val="231F20"/>
          <w:spacing w:val="-10"/>
          <w:w w:val="105"/>
        </w:rPr>
        <w:t> </w:t>
      </w:r>
      <w:r>
        <w:rPr>
          <w:color w:val="231F20"/>
          <w:w w:val="105"/>
        </w:rPr>
        <w:t>Ixtapan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Sal,</w:t>
      </w:r>
      <w:r>
        <w:rPr>
          <w:color w:val="231F20"/>
          <w:spacing w:val="-10"/>
          <w:w w:val="105"/>
        </w:rPr>
        <w:t> </w:t>
      </w:r>
      <w:r>
        <w:rPr>
          <w:color w:val="231F20"/>
          <w:w w:val="105"/>
        </w:rPr>
        <w:t>por</w:t>
      </w:r>
      <w:r>
        <w:rPr>
          <w:color w:val="231F20"/>
          <w:spacing w:val="-10"/>
          <w:w w:val="105"/>
        </w:rPr>
        <w:t> </w:t>
      </w:r>
      <w:r>
        <w:rPr>
          <w:color w:val="231F20"/>
          <w:w w:val="105"/>
        </w:rPr>
        <w:t>lo</w:t>
      </w:r>
      <w:r>
        <w:rPr>
          <w:color w:val="231F20"/>
          <w:spacing w:val="-10"/>
          <w:w w:val="105"/>
        </w:rPr>
        <w:t> </w:t>
      </w:r>
      <w:r>
        <w:rPr>
          <w:color w:val="231F20"/>
          <w:w w:val="105"/>
        </w:rPr>
        <w:t>tanto,</w:t>
      </w:r>
      <w:r>
        <w:rPr>
          <w:color w:val="231F20"/>
          <w:spacing w:val="-10"/>
          <w:w w:val="105"/>
        </w:rPr>
        <w:t> </w:t>
      </w:r>
      <w:r>
        <w:rPr>
          <w:color w:val="231F20"/>
          <w:w w:val="105"/>
        </w:rPr>
        <w:t>los</w:t>
      </w:r>
      <w:r>
        <w:rPr>
          <w:color w:val="231F20"/>
          <w:spacing w:val="-10"/>
          <w:w w:val="105"/>
        </w:rPr>
        <w:t> </w:t>
      </w:r>
      <w:r>
        <w:rPr>
          <w:color w:val="231F20"/>
          <w:w w:val="105"/>
        </w:rPr>
        <w:t>nuevos</w:t>
      </w:r>
      <w:r>
        <w:rPr>
          <w:color w:val="231F20"/>
          <w:spacing w:val="-10"/>
          <w:w w:val="105"/>
        </w:rPr>
        <w:t> </w:t>
      </w:r>
      <w:r>
        <w:rPr>
          <w:color w:val="231F20"/>
          <w:w w:val="105"/>
        </w:rPr>
        <w:t>principios ideológicos que el Partido Revolucionario Institucional incorporó en sus documentos básicos,</w:t>
      </w:r>
      <w:r>
        <w:rPr>
          <w:color w:val="231F20"/>
          <w:spacing w:val="-14"/>
          <w:w w:val="105"/>
        </w:rPr>
        <w:t> </w:t>
      </w:r>
      <w:r>
        <w:rPr>
          <w:color w:val="231F20"/>
          <w:w w:val="105"/>
        </w:rPr>
        <w:t>no</w:t>
      </w:r>
      <w:r>
        <w:rPr>
          <w:color w:val="231F20"/>
          <w:spacing w:val="-14"/>
          <w:w w:val="105"/>
        </w:rPr>
        <w:t> </w:t>
      </w:r>
      <w:r>
        <w:rPr>
          <w:color w:val="231F20"/>
          <w:w w:val="105"/>
        </w:rPr>
        <w:t>son</w:t>
      </w:r>
      <w:r>
        <w:rPr>
          <w:color w:val="231F20"/>
          <w:spacing w:val="-14"/>
          <w:w w:val="105"/>
        </w:rPr>
        <w:t> </w:t>
      </w:r>
      <w:r>
        <w:rPr>
          <w:color w:val="231F20"/>
          <w:w w:val="105"/>
        </w:rPr>
        <w:t>atendidos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w w:val="105"/>
        </w:rPr>
        <w:t>2000-2009.</w:t>
      </w:r>
    </w:p>
    <w:p>
      <w:pPr>
        <w:pStyle w:val="BodyText"/>
        <w:spacing w:before="1"/>
        <w:rPr>
          <w:sz w:val="26"/>
        </w:rPr>
      </w:pPr>
    </w:p>
    <w:p>
      <w:pPr>
        <w:pStyle w:val="BodyText"/>
        <w:spacing w:line="285" w:lineRule="auto"/>
        <w:ind w:left="110" w:right="107"/>
        <w:jc w:val="both"/>
      </w:pPr>
      <w:r>
        <w:rPr>
          <w:color w:val="231F20"/>
          <w:spacing w:val="3"/>
          <w:w w:val="105"/>
        </w:rPr>
        <w:t>Al </w:t>
      </w:r>
      <w:r>
        <w:rPr>
          <w:color w:val="231F20"/>
          <w:w w:val="105"/>
        </w:rPr>
        <w:t>contrario, aún puede observarse un centralismo en la toma de decisiones </w:t>
      </w:r>
      <w:r>
        <w:rPr>
          <w:color w:val="231F20"/>
          <w:spacing w:val="2"/>
          <w:w w:val="105"/>
        </w:rPr>
        <w:t>al </w:t>
      </w:r>
      <w:r>
        <w:rPr>
          <w:color w:val="231F20"/>
          <w:w w:val="105"/>
        </w:rPr>
        <w:t>ser el PRI</w:t>
      </w:r>
      <w:r>
        <w:rPr>
          <w:color w:val="231F20"/>
          <w:spacing w:val="-18"/>
          <w:w w:val="105"/>
        </w:rPr>
        <w:t> </w:t>
      </w:r>
      <w:r>
        <w:rPr>
          <w:color w:val="231F20"/>
          <w:w w:val="105"/>
        </w:rPr>
        <w:t>el</w:t>
      </w:r>
      <w:r>
        <w:rPr>
          <w:color w:val="231F20"/>
          <w:spacing w:val="-18"/>
          <w:w w:val="105"/>
        </w:rPr>
        <w:t> </w:t>
      </w:r>
      <w:r>
        <w:rPr>
          <w:color w:val="231F20"/>
          <w:w w:val="105"/>
        </w:rPr>
        <w:t>que</w:t>
      </w:r>
      <w:r>
        <w:rPr>
          <w:color w:val="231F20"/>
          <w:spacing w:val="-18"/>
          <w:w w:val="105"/>
        </w:rPr>
        <w:t> </w:t>
      </w:r>
      <w:r>
        <w:rPr>
          <w:color w:val="231F20"/>
          <w:w w:val="105"/>
        </w:rPr>
        <w:t>por</w:t>
      </w:r>
      <w:r>
        <w:rPr>
          <w:color w:val="231F20"/>
          <w:spacing w:val="-18"/>
          <w:w w:val="105"/>
        </w:rPr>
        <w:t> </w:t>
      </w:r>
      <w:r>
        <w:rPr>
          <w:color w:val="231F20"/>
          <w:w w:val="105"/>
        </w:rPr>
        <w:t>mayoría</w:t>
      </w:r>
      <w:r>
        <w:rPr>
          <w:color w:val="231F20"/>
          <w:spacing w:val="-18"/>
          <w:w w:val="105"/>
        </w:rPr>
        <w:t> </w:t>
      </w:r>
      <w:r>
        <w:rPr>
          <w:color w:val="231F20"/>
          <w:w w:val="105"/>
        </w:rPr>
        <w:t>dominante</w:t>
      </w:r>
      <w:r>
        <w:rPr>
          <w:color w:val="231F20"/>
          <w:spacing w:val="-18"/>
          <w:w w:val="105"/>
        </w:rPr>
        <w:t> </w:t>
      </w:r>
      <w:r>
        <w:rPr>
          <w:color w:val="231F20"/>
          <w:w w:val="105"/>
        </w:rPr>
        <w:t>decide</w:t>
      </w:r>
      <w:r>
        <w:rPr>
          <w:color w:val="231F20"/>
          <w:spacing w:val="-18"/>
          <w:w w:val="105"/>
        </w:rPr>
        <w:t> </w:t>
      </w:r>
      <w:r>
        <w:rPr>
          <w:color w:val="231F20"/>
          <w:w w:val="105"/>
        </w:rPr>
        <w:t>si</w:t>
      </w:r>
      <w:r>
        <w:rPr>
          <w:color w:val="231F20"/>
          <w:spacing w:val="-18"/>
          <w:w w:val="105"/>
        </w:rPr>
        <w:t> </w:t>
      </w:r>
      <w:r>
        <w:rPr>
          <w:color w:val="231F20"/>
          <w:w w:val="105"/>
        </w:rPr>
        <w:t>se</w:t>
      </w:r>
      <w:r>
        <w:rPr>
          <w:color w:val="231F20"/>
          <w:spacing w:val="-18"/>
          <w:w w:val="105"/>
        </w:rPr>
        <w:t> </w:t>
      </w:r>
      <w:r>
        <w:rPr>
          <w:color w:val="231F20"/>
          <w:w w:val="105"/>
        </w:rPr>
        <w:t>aprueban</w:t>
      </w:r>
      <w:r>
        <w:rPr>
          <w:color w:val="231F20"/>
          <w:spacing w:val="-18"/>
          <w:w w:val="105"/>
        </w:rPr>
        <w:t> </w:t>
      </w:r>
      <w:r>
        <w:rPr>
          <w:color w:val="231F20"/>
          <w:w w:val="105"/>
        </w:rPr>
        <w:t>o</w:t>
      </w:r>
      <w:r>
        <w:rPr>
          <w:color w:val="231F20"/>
          <w:spacing w:val="-18"/>
          <w:w w:val="105"/>
        </w:rPr>
        <w:t> </w:t>
      </w:r>
      <w:r>
        <w:rPr>
          <w:color w:val="231F20"/>
          <w:w w:val="105"/>
        </w:rPr>
        <w:t>no</w:t>
      </w:r>
      <w:r>
        <w:rPr>
          <w:color w:val="231F20"/>
          <w:spacing w:val="-18"/>
          <w:w w:val="105"/>
        </w:rPr>
        <w:t> </w:t>
      </w:r>
      <w:r>
        <w:rPr>
          <w:color w:val="231F20"/>
          <w:w w:val="105"/>
        </w:rPr>
        <w:t>los</w:t>
      </w:r>
      <w:r>
        <w:rPr>
          <w:color w:val="231F20"/>
          <w:spacing w:val="-18"/>
          <w:w w:val="105"/>
        </w:rPr>
        <w:t> </w:t>
      </w:r>
      <w:r>
        <w:rPr>
          <w:color w:val="231F20"/>
          <w:w w:val="105"/>
        </w:rPr>
        <w:t>proyectos</w:t>
      </w:r>
      <w:r>
        <w:rPr>
          <w:color w:val="231F20"/>
          <w:spacing w:val="-18"/>
          <w:w w:val="105"/>
        </w:rPr>
        <w:t> </w:t>
      </w:r>
      <w:r>
        <w:rPr>
          <w:color w:val="231F20"/>
          <w:w w:val="105"/>
        </w:rPr>
        <w:t>y</w:t>
      </w:r>
      <w:r>
        <w:rPr>
          <w:color w:val="231F20"/>
          <w:spacing w:val="-18"/>
          <w:w w:val="105"/>
        </w:rPr>
        <w:t> </w:t>
      </w:r>
      <w:r>
        <w:rPr>
          <w:color w:val="231F20"/>
          <w:w w:val="105"/>
        </w:rPr>
        <w:t>propuestas discutidas en el cabildo. Pese a todo, se observa una disminución en el poder ejercido por</w:t>
      </w:r>
      <w:r>
        <w:rPr>
          <w:color w:val="231F20"/>
          <w:spacing w:val="-7"/>
          <w:w w:val="105"/>
        </w:rPr>
        <w:t> </w:t>
      </w:r>
      <w:r>
        <w:rPr>
          <w:color w:val="231F20"/>
          <w:w w:val="105"/>
        </w:rPr>
        <w:t>el</w:t>
      </w:r>
      <w:r>
        <w:rPr>
          <w:color w:val="231F20"/>
          <w:spacing w:val="-7"/>
          <w:w w:val="105"/>
        </w:rPr>
        <w:t> </w:t>
      </w:r>
      <w:r>
        <w:rPr>
          <w:color w:val="231F20"/>
          <w:w w:val="105"/>
        </w:rPr>
        <w:t>presidente</w:t>
      </w:r>
      <w:r>
        <w:rPr>
          <w:color w:val="231F20"/>
          <w:spacing w:val="-7"/>
          <w:w w:val="105"/>
        </w:rPr>
        <w:t> </w:t>
      </w:r>
      <w:r>
        <w:rPr>
          <w:color w:val="231F20"/>
          <w:w w:val="105"/>
        </w:rPr>
        <w:t>municipal</w:t>
      </w:r>
      <w:r>
        <w:rPr>
          <w:color w:val="231F20"/>
          <w:spacing w:val="-7"/>
          <w:w w:val="105"/>
        </w:rPr>
        <w:t> </w:t>
      </w:r>
      <w:r>
        <w:rPr>
          <w:color w:val="231F20"/>
          <w:w w:val="105"/>
        </w:rPr>
        <w:t>pues</w:t>
      </w:r>
      <w:r>
        <w:rPr>
          <w:color w:val="231F20"/>
          <w:spacing w:val="-7"/>
          <w:w w:val="105"/>
        </w:rPr>
        <w:t> </w:t>
      </w:r>
      <w:r>
        <w:rPr>
          <w:color w:val="231F20"/>
          <w:w w:val="105"/>
        </w:rPr>
        <w:t>como</w:t>
      </w:r>
      <w:r>
        <w:rPr>
          <w:color w:val="231F20"/>
          <w:spacing w:val="-7"/>
          <w:w w:val="105"/>
        </w:rPr>
        <w:t> </w:t>
      </w:r>
      <w:r>
        <w:rPr>
          <w:color w:val="231F20"/>
          <w:w w:val="105"/>
        </w:rPr>
        <w:t>primera</w:t>
      </w:r>
      <w:r>
        <w:rPr>
          <w:color w:val="231F20"/>
          <w:spacing w:val="-7"/>
          <w:w w:val="105"/>
        </w:rPr>
        <w:t> </w:t>
      </w:r>
      <w:r>
        <w:rPr>
          <w:color w:val="231F20"/>
          <w:w w:val="105"/>
        </w:rPr>
        <w:t>característica,</w:t>
      </w:r>
      <w:r>
        <w:rPr>
          <w:color w:val="231F20"/>
          <w:spacing w:val="-7"/>
          <w:w w:val="105"/>
        </w:rPr>
        <w:t> </w:t>
      </w:r>
      <w:r>
        <w:rPr>
          <w:color w:val="231F20"/>
          <w:w w:val="105"/>
        </w:rPr>
        <w:t>Salvador</w:t>
      </w:r>
      <w:r>
        <w:rPr>
          <w:color w:val="231F20"/>
          <w:spacing w:val="-7"/>
          <w:w w:val="105"/>
        </w:rPr>
        <w:t> </w:t>
      </w:r>
      <w:r>
        <w:rPr>
          <w:color w:val="231F20"/>
          <w:spacing w:val="-3"/>
          <w:w w:val="105"/>
        </w:rPr>
        <w:t>Vergara</w:t>
      </w:r>
      <w:r>
        <w:rPr>
          <w:color w:val="231F20"/>
          <w:spacing w:val="-7"/>
          <w:w w:val="105"/>
        </w:rPr>
        <w:t> </w:t>
      </w:r>
      <w:r>
        <w:rPr>
          <w:color w:val="231F20"/>
          <w:w w:val="105"/>
        </w:rPr>
        <w:t>no</w:t>
      </w:r>
      <w:r>
        <w:rPr>
          <w:color w:val="231F20"/>
          <w:spacing w:val="-7"/>
          <w:w w:val="105"/>
        </w:rPr>
        <w:t> </w:t>
      </w:r>
      <w:r>
        <w:rPr>
          <w:color w:val="231F20"/>
          <w:w w:val="105"/>
        </w:rPr>
        <w:t>era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el líder del partido en el municipio y por lo tanto algunos regidores priístas provenían de otros grupos internos. De esta manera, el presidente municipal ya no es tampoco el administrador de los cargos públicos porque tuvo que involucrar en la designación de funcionarios a los pertenecientes de otras corrientes internas del partido. Además, en las</w:t>
      </w:r>
      <w:r>
        <w:rPr>
          <w:color w:val="231F20"/>
          <w:spacing w:val="-15"/>
          <w:w w:val="105"/>
        </w:rPr>
        <w:t> </w:t>
      </w:r>
      <w:r>
        <w:rPr>
          <w:color w:val="231F20"/>
          <w:w w:val="105"/>
        </w:rPr>
        <w:t>dependencias</w:t>
      </w:r>
      <w:r>
        <w:rPr>
          <w:color w:val="231F20"/>
          <w:spacing w:val="-15"/>
          <w:w w:val="105"/>
        </w:rPr>
        <w:t> </w:t>
      </w:r>
      <w:r>
        <w:rPr>
          <w:color w:val="231F20"/>
          <w:w w:val="105"/>
        </w:rPr>
        <w:t>que</w:t>
      </w:r>
      <w:r>
        <w:rPr>
          <w:color w:val="231F20"/>
          <w:spacing w:val="-15"/>
          <w:w w:val="105"/>
        </w:rPr>
        <w:t> </w:t>
      </w:r>
      <w:r>
        <w:rPr>
          <w:color w:val="231F20"/>
          <w:w w:val="105"/>
        </w:rPr>
        <w:t>están</w:t>
      </w:r>
      <w:r>
        <w:rPr>
          <w:color w:val="231F20"/>
          <w:spacing w:val="-15"/>
          <w:w w:val="105"/>
        </w:rPr>
        <w:t> </w:t>
      </w:r>
      <w:r>
        <w:rPr>
          <w:color w:val="231F20"/>
          <w:w w:val="105"/>
        </w:rPr>
        <w:t>bajo</w:t>
      </w:r>
      <w:r>
        <w:rPr>
          <w:color w:val="231F20"/>
          <w:spacing w:val="-15"/>
          <w:w w:val="105"/>
        </w:rPr>
        <w:t> </w:t>
      </w:r>
      <w:r>
        <w:rPr>
          <w:color w:val="231F20"/>
          <w:w w:val="105"/>
        </w:rPr>
        <w:t>responsabilidad</w:t>
      </w:r>
      <w:r>
        <w:rPr>
          <w:color w:val="231F20"/>
          <w:spacing w:val="-15"/>
          <w:w w:val="105"/>
        </w:rPr>
        <w:t> </w:t>
      </w:r>
      <w:r>
        <w:rPr>
          <w:color w:val="231F20"/>
          <w:w w:val="105"/>
        </w:rPr>
        <w:t>de</w:t>
      </w:r>
      <w:r>
        <w:rPr>
          <w:color w:val="231F20"/>
          <w:spacing w:val="-15"/>
          <w:w w:val="105"/>
        </w:rPr>
        <w:t> </w:t>
      </w:r>
      <w:r>
        <w:rPr>
          <w:color w:val="231F20"/>
          <w:w w:val="105"/>
        </w:rPr>
        <w:t>otros</w:t>
      </w:r>
      <w:r>
        <w:rPr>
          <w:color w:val="231F20"/>
          <w:spacing w:val="-15"/>
          <w:w w:val="105"/>
        </w:rPr>
        <w:t> </w:t>
      </w:r>
      <w:r>
        <w:rPr>
          <w:color w:val="231F20"/>
          <w:w w:val="105"/>
        </w:rPr>
        <w:t>partidos</w:t>
      </w:r>
      <w:r>
        <w:rPr>
          <w:color w:val="231F20"/>
          <w:spacing w:val="-15"/>
          <w:w w:val="105"/>
        </w:rPr>
        <w:t> </w:t>
      </w:r>
      <w:r>
        <w:rPr>
          <w:color w:val="231F20"/>
          <w:w w:val="105"/>
        </w:rPr>
        <w:t>como</w:t>
      </w:r>
      <w:r>
        <w:rPr>
          <w:color w:val="231F20"/>
          <w:spacing w:val="-15"/>
          <w:w w:val="105"/>
        </w:rPr>
        <w:t> </w:t>
      </w:r>
      <w:r>
        <w:rPr>
          <w:color w:val="231F20"/>
          <w:w w:val="105"/>
        </w:rPr>
        <w:t>PRD</w:t>
      </w:r>
      <w:r>
        <w:rPr>
          <w:color w:val="231F20"/>
          <w:spacing w:val="-15"/>
          <w:w w:val="105"/>
        </w:rPr>
        <w:t> </w:t>
      </w:r>
      <w:r>
        <w:rPr>
          <w:color w:val="231F20"/>
          <w:w w:val="105"/>
        </w:rPr>
        <w:t>o</w:t>
      </w:r>
      <w:r>
        <w:rPr>
          <w:color w:val="231F20"/>
          <w:spacing w:val="-15"/>
          <w:w w:val="105"/>
        </w:rPr>
        <w:t> </w:t>
      </w:r>
      <w:r>
        <w:rPr>
          <w:color w:val="231F20"/>
          <w:spacing w:val="-4"/>
          <w:w w:val="105"/>
        </w:rPr>
        <w:t>PAN,</w:t>
      </w:r>
      <w:r>
        <w:rPr>
          <w:color w:val="231F20"/>
          <w:spacing w:val="-15"/>
          <w:w w:val="105"/>
        </w:rPr>
        <w:t> </w:t>
      </w:r>
      <w:r>
        <w:rPr>
          <w:color w:val="231F20"/>
          <w:w w:val="105"/>
        </w:rPr>
        <w:t>ni el</w:t>
      </w:r>
      <w:r>
        <w:rPr>
          <w:color w:val="231F20"/>
          <w:spacing w:val="-9"/>
          <w:w w:val="105"/>
        </w:rPr>
        <w:t> </w:t>
      </w:r>
      <w:r>
        <w:rPr>
          <w:color w:val="231F20"/>
          <w:w w:val="105"/>
        </w:rPr>
        <w:t>partido</w:t>
      </w:r>
      <w:r>
        <w:rPr>
          <w:color w:val="231F20"/>
          <w:spacing w:val="-9"/>
          <w:w w:val="105"/>
        </w:rPr>
        <w:t> </w:t>
      </w:r>
      <w:r>
        <w:rPr>
          <w:color w:val="231F20"/>
          <w:w w:val="105"/>
        </w:rPr>
        <w:t>ni</w:t>
      </w:r>
      <w:r>
        <w:rPr>
          <w:color w:val="231F20"/>
          <w:spacing w:val="-9"/>
          <w:w w:val="105"/>
        </w:rPr>
        <w:t> </w:t>
      </w:r>
      <w:r>
        <w:rPr>
          <w:color w:val="231F20"/>
          <w:w w:val="105"/>
        </w:rPr>
        <w:t>el</w:t>
      </w:r>
      <w:r>
        <w:rPr>
          <w:color w:val="231F20"/>
          <w:spacing w:val="-9"/>
          <w:w w:val="105"/>
        </w:rPr>
        <w:t> </w:t>
      </w:r>
      <w:r>
        <w:rPr>
          <w:color w:val="231F20"/>
          <w:w w:val="105"/>
        </w:rPr>
        <w:t>alcalde</w:t>
      </w:r>
      <w:r>
        <w:rPr>
          <w:color w:val="231F20"/>
          <w:spacing w:val="-9"/>
          <w:w w:val="105"/>
        </w:rPr>
        <w:t> </w:t>
      </w:r>
      <w:r>
        <w:rPr>
          <w:color w:val="231F20"/>
          <w:w w:val="105"/>
        </w:rPr>
        <w:t>tuvieron</w:t>
      </w:r>
      <w:r>
        <w:rPr>
          <w:color w:val="231F20"/>
          <w:spacing w:val="-9"/>
          <w:w w:val="105"/>
        </w:rPr>
        <w:t> </w:t>
      </w:r>
      <w:r>
        <w:rPr>
          <w:color w:val="231F20"/>
          <w:w w:val="105"/>
        </w:rPr>
        <w:t>el</w:t>
      </w:r>
      <w:r>
        <w:rPr>
          <w:color w:val="231F20"/>
          <w:spacing w:val="-9"/>
          <w:w w:val="105"/>
        </w:rPr>
        <w:t> </w:t>
      </w:r>
      <w:r>
        <w:rPr>
          <w:color w:val="231F20"/>
          <w:w w:val="105"/>
        </w:rPr>
        <w:t>control</w:t>
      </w:r>
      <w:r>
        <w:rPr>
          <w:color w:val="231F20"/>
          <w:spacing w:val="-9"/>
          <w:w w:val="105"/>
        </w:rPr>
        <w:t> </w:t>
      </w:r>
      <w:r>
        <w:rPr>
          <w:color w:val="231F20"/>
          <w:w w:val="105"/>
        </w:rPr>
        <w:t>total</w:t>
      </w:r>
      <w:r>
        <w:rPr>
          <w:color w:val="231F20"/>
          <w:spacing w:val="-9"/>
          <w:w w:val="105"/>
        </w:rPr>
        <w:t> </w:t>
      </w:r>
      <w:r>
        <w:rPr>
          <w:color w:val="231F20"/>
          <w:w w:val="105"/>
        </w:rPr>
        <w:t>del</w:t>
      </w:r>
      <w:r>
        <w:rPr>
          <w:color w:val="231F20"/>
          <w:spacing w:val="-9"/>
          <w:w w:val="105"/>
        </w:rPr>
        <w:t> </w:t>
      </w:r>
      <w:r>
        <w:rPr>
          <w:color w:val="231F20"/>
          <w:w w:val="105"/>
        </w:rPr>
        <w:t>nombramiento</w:t>
      </w:r>
      <w:r>
        <w:rPr>
          <w:color w:val="231F20"/>
          <w:spacing w:val="-9"/>
          <w:w w:val="105"/>
        </w:rPr>
        <w:t> </w:t>
      </w:r>
      <w:r>
        <w:rPr>
          <w:color w:val="231F20"/>
          <w:w w:val="105"/>
        </w:rPr>
        <w:t>de</w:t>
      </w:r>
      <w:r>
        <w:rPr>
          <w:color w:val="231F20"/>
          <w:spacing w:val="-9"/>
          <w:w w:val="105"/>
        </w:rPr>
        <w:t> </w:t>
      </w:r>
      <w:r>
        <w:rPr>
          <w:color w:val="231F20"/>
          <w:w w:val="105"/>
        </w:rPr>
        <w:t>sus</w:t>
      </w:r>
      <w:r>
        <w:rPr>
          <w:color w:val="231F20"/>
          <w:spacing w:val="-9"/>
          <w:w w:val="105"/>
        </w:rPr>
        <w:t> </w:t>
      </w:r>
      <w:r>
        <w:rPr>
          <w:color w:val="231F20"/>
          <w:w w:val="105"/>
        </w:rPr>
        <w:t>responsables.</w:t>
      </w:r>
    </w:p>
    <w:p>
      <w:pPr>
        <w:pStyle w:val="BodyText"/>
        <w:spacing w:before="1"/>
        <w:rPr>
          <w:sz w:val="26"/>
        </w:rPr>
      </w:pPr>
    </w:p>
    <w:p>
      <w:pPr>
        <w:pStyle w:val="BodyText"/>
        <w:spacing w:line="285" w:lineRule="auto"/>
        <w:ind w:left="110" w:right="108"/>
        <w:jc w:val="both"/>
      </w:pPr>
      <w:r>
        <w:rPr>
          <w:color w:val="231F20"/>
          <w:spacing w:val="-3"/>
          <w:w w:val="105"/>
        </w:rPr>
        <w:t>Ciertamente </w:t>
      </w:r>
      <w:r>
        <w:rPr>
          <w:color w:val="231F20"/>
          <w:w w:val="105"/>
        </w:rPr>
        <w:t>el alcalde es el vínculo más </w:t>
      </w:r>
      <w:r>
        <w:rPr>
          <w:color w:val="231F20"/>
          <w:spacing w:val="-3"/>
          <w:w w:val="105"/>
        </w:rPr>
        <w:t>cercano con </w:t>
      </w:r>
      <w:r>
        <w:rPr>
          <w:color w:val="231F20"/>
          <w:w w:val="105"/>
        </w:rPr>
        <w:t>otras instancias de </w:t>
      </w:r>
      <w:r>
        <w:rPr>
          <w:color w:val="231F20"/>
          <w:spacing w:val="-4"/>
          <w:w w:val="105"/>
        </w:rPr>
        <w:t>gobierno, </w:t>
      </w:r>
      <w:r>
        <w:rPr>
          <w:color w:val="231F20"/>
          <w:w w:val="105"/>
        </w:rPr>
        <w:t>Sal- </w:t>
      </w:r>
      <w:r>
        <w:rPr>
          <w:color w:val="231F20"/>
          <w:spacing w:val="-4"/>
          <w:w w:val="105"/>
        </w:rPr>
        <w:t>vador</w:t>
      </w:r>
      <w:r>
        <w:rPr>
          <w:color w:val="231F20"/>
          <w:spacing w:val="-10"/>
          <w:w w:val="105"/>
        </w:rPr>
        <w:t> </w:t>
      </w:r>
      <w:r>
        <w:rPr>
          <w:color w:val="231F20"/>
          <w:spacing w:val="-5"/>
          <w:w w:val="105"/>
        </w:rPr>
        <w:t>Vergara</w:t>
      </w:r>
      <w:r>
        <w:rPr>
          <w:color w:val="231F20"/>
          <w:spacing w:val="-10"/>
          <w:w w:val="105"/>
        </w:rPr>
        <w:t> </w:t>
      </w:r>
      <w:r>
        <w:rPr>
          <w:color w:val="231F20"/>
          <w:w w:val="105"/>
        </w:rPr>
        <w:t>fue</w:t>
      </w:r>
      <w:r>
        <w:rPr>
          <w:color w:val="231F20"/>
          <w:spacing w:val="-10"/>
          <w:w w:val="105"/>
        </w:rPr>
        <w:t> </w:t>
      </w:r>
      <w:r>
        <w:rPr>
          <w:color w:val="231F20"/>
          <w:w w:val="105"/>
        </w:rPr>
        <w:t>un</w:t>
      </w:r>
      <w:r>
        <w:rPr>
          <w:color w:val="231F20"/>
          <w:spacing w:val="-10"/>
          <w:w w:val="105"/>
        </w:rPr>
        <w:t> </w:t>
      </w:r>
      <w:r>
        <w:rPr>
          <w:color w:val="231F20"/>
          <w:spacing w:val="-3"/>
          <w:w w:val="105"/>
        </w:rPr>
        <w:t>líder</w:t>
      </w:r>
      <w:r>
        <w:rPr>
          <w:color w:val="231F20"/>
          <w:spacing w:val="-10"/>
          <w:w w:val="105"/>
        </w:rPr>
        <w:t> </w:t>
      </w:r>
      <w:r>
        <w:rPr>
          <w:color w:val="231F20"/>
          <w:spacing w:val="-3"/>
          <w:w w:val="105"/>
        </w:rPr>
        <w:t>nato</w:t>
      </w:r>
      <w:r>
        <w:rPr>
          <w:color w:val="231F20"/>
          <w:spacing w:val="-10"/>
          <w:w w:val="105"/>
        </w:rPr>
        <w:t> </w:t>
      </w:r>
      <w:r>
        <w:rPr>
          <w:color w:val="231F20"/>
          <w:spacing w:val="-3"/>
          <w:w w:val="105"/>
        </w:rPr>
        <w:t>que</w:t>
      </w:r>
      <w:r>
        <w:rPr>
          <w:color w:val="231F20"/>
          <w:spacing w:val="-10"/>
          <w:w w:val="105"/>
        </w:rPr>
        <w:t> </w:t>
      </w:r>
      <w:r>
        <w:rPr>
          <w:color w:val="231F20"/>
          <w:w w:val="105"/>
        </w:rPr>
        <w:t>mantenía</w:t>
      </w:r>
      <w:r>
        <w:rPr>
          <w:color w:val="231F20"/>
          <w:spacing w:val="-10"/>
          <w:w w:val="105"/>
        </w:rPr>
        <w:t> </w:t>
      </w:r>
      <w:r>
        <w:rPr>
          <w:color w:val="231F20"/>
          <w:w w:val="105"/>
        </w:rPr>
        <w:t>fuertes</w:t>
      </w:r>
      <w:r>
        <w:rPr>
          <w:color w:val="231F20"/>
          <w:spacing w:val="-10"/>
          <w:w w:val="105"/>
        </w:rPr>
        <w:t> </w:t>
      </w:r>
      <w:r>
        <w:rPr>
          <w:color w:val="231F20"/>
          <w:spacing w:val="-4"/>
          <w:w w:val="105"/>
        </w:rPr>
        <w:t>nexos</w:t>
      </w:r>
      <w:r>
        <w:rPr>
          <w:color w:val="231F20"/>
          <w:spacing w:val="-10"/>
          <w:w w:val="105"/>
        </w:rPr>
        <w:t> </w:t>
      </w:r>
      <w:r>
        <w:rPr>
          <w:color w:val="231F20"/>
          <w:spacing w:val="-3"/>
          <w:w w:val="105"/>
        </w:rPr>
        <w:t>con</w:t>
      </w:r>
      <w:r>
        <w:rPr>
          <w:color w:val="231F20"/>
          <w:spacing w:val="-10"/>
          <w:w w:val="105"/>
        </w:rPr>
        <w:t> </w:t>
      </w:r>
      <w:r>
        <w:rPr>
          <w:color w:val="231F20"/>
          <w:spacing w:val="-3"/>
          <w:w w:val="105"/>
        </w:rPr>
        <w:t>dependencias</w:t>
      </w:r>
      <w:r>
        <w:rPr>
          <w:color w:val="231F20"/>
          <w:spacing w:val="-10"/>
          <w:w w:val="105"/>
        </w:rPr>
        <w:t> </w:t>
      </w:r>
      <w:r>
        <w:rPr>
          <w:color w:val="231F20"/>
          <w:w w:val="105"/>
        </w:rPr>
        <w:t>estatales</w:t>
      </w:r>
      <w:r>
        <w:rPr>
          <w:color w:val="231F20"/>
          <w:spacing w:val="-10"/>
          <w:w w:val="105"/>
        </w:rPr>
        <w:t> </w:t>
      </w:r>
      <w:r>
        <w:rPr>
          <w:color w:val="231F20"/>
          <w:w w:val="105"/>
        </w:rPr>
        <w:t>y </w:t>
      </w:r>
      <w:r>
        <w:rPr>
          <w:color w:val="231F20"/>
          <w:spacing w:val="-3"/>
          <w:w w:val="105"/>
        </w:rPr>
        <w:t>con</w:t>
      </w:r>
      <w:r>
        <w:rPr>
          <w:color w:val="231F20"/>
          <w:spacing w:val="-27"/>
          <w:w w:val="105"/>
        </w:rPr>
        <w:t> </w:t>
      </w:r>
      <w:r>
        <w:rPr>
          <w:color w:val="231F20"/>
          <w:w w:val="105"/>
        </w:rPr>
        <w:t>el</w:t>
      </w:r>
      <w:r>
        <w:rPr>
          <w:color w:val="231F20"/>
          <w:spacing w:val="-27"/>
          <w:w w:val="105"/>
        </w:rPr>
        <w:t> </w:t>
      </w:r>
      <w:r>
        <w:rPr>
          <w:color w:val="231F20"/>
          <w:spacing w:val="-5"/>
          <w:w w:val="105"/>
        </w:rPr>
        <w:t>propio</w:t>
      </w:r>
      <w:r>
        <w:rPr>
          <w:color w:val="231F20"/>
          <w:spacing w:val="-27"/>
          <w:w w:val="105"/>
        </w:rPr>
        <w:t> </w:t>
      </w:r>
      <w:r>
        <w:rPr>
          <w:color w:val="231F20"/>
          <w:spacing w:val="-4"/>
          <w:w w:val="105"/>
        </w:rPr>
        <w:t>gobernador</w:t>
      </w:r>
      <w:r>
        <w:rPr>
          <w:color w:val="231F20"/>
          <w:spacing w:val="-27"/>
          <w:w w:val="105"/>
        </w:rPr>
        <w:t> </w:t>
      </w:r>
      <w:r>
        <w:rPr>
          <w:color w:val="231F20"/>
          <w:w w:val="105"/>
        </w:rPr>
        <w:t>Enrique</w:t>
      </w:r>
      <w:r>
        <w:rPr>
          <w:color w:val="231F20"/>
          <w:spacing w:val="-27"/>
          <w:w w:val="105"/>
        </w:rPr>
        <w:t> </w:t>
      </w:r>
      <w:r>
        <w:rPr>
          <w:color w:val="231F20"/>
          <w:spacing w:val="-3"/>
          <w:w w:val="105"/>
        </w:rPr>
        <w:t>Peña.</w:t>
      </w:r>
      <w:r>
        <w:rPr>
          <w:color w:val="231F20"/>
          <w:spacing w:val="-27"/>
          <w:w w:val="105"/>
        </w:rPr>
        <w:t> </w:t>
      </w:r>
      <w:r>
        <w:rPr>
          <w:color w:val="231F20"/>
          <w:w w:val="105"/>
        </w:rPr>
        <w:t>De</w:t>
      </w:r>
      <w:r>
        <w:rPr>
          <w:color w:val="231F20"/>
          <w:spacing w:val="-27"/>
          <w:w w:val="105"/>
        </w:rPr>
        <w:t> </w:t>
      </w:r>
      <w:r>
        <w:rPr>
          <w:color w:val="231F20"/>
          <w:w w:val="105"/>
        </w:rPr>
        <w:t>esos</w:t>
      </w:r>
      <w:r>
        <w:rPr>
          <w:color w:val="231F20"/>
          <w:spacing w:val="-27"/>
          <w:w w:val="105"/>
        </w:rPr>
        <w:t> </w:t>
      </w:r>
      <w:r>
        <w:rPr>
          <w:color w:val="231F20"/>
          <w:w w:val="105"/>
        </w:rPr>
        <w:t>vínculos</w:t>
      </w:r>
      <w:r>
        <w:rPr>
          <w:color w:val="231F20"/>
          <w:spacing w:val="-27"/>
          <w:w w:val="105"/>
        </w:rPr>
        <w:t> </w:t>
      </w:r>
      <w:r>
        <w:rPr>
          <w:color w:val="231F20"/>
          <w:w w:val="105"/>
        </w:rPr>
        <w:t>se</w:t>
      </w:r>
      <w:r>
        <w:rPr>
          <w:color w:val="231F20"/>
          <w:spacing w:val="-27"/>
          <w:w w:val="105"/>
        </w:rPr>
        <w:t> </w:t>
      </w:r>
      <w:r>
        <w:rPr>
          <w:color w:val="231F20"/>
          <w:spacing w:val="-3"/>
          <w:w w:val="105"/>
        </w:rPr>
        <w:t>derivaron</w:t>
      </w:r>
      <w:r>
        <w:rPr>
          <w:color w:val="231F20"/>
          <w:spacing w:val="-27"/>
          <w:w w:val="105"/>
        </w:rPr>
        <w:t> </w:t>
      </w:r>
      <w:r>
        <w:rPr>
          <w:color w:val="231F20"/>
          <w:spacing w:val="-3"/>
          <w:w w:val="105"/>
        </w:rPr>
        <w:t>los</w:t>
      </w:r>
      <w:r>
        <w:rPr>
          <w:color w:val="231F20"/>
          <w:spacing w:val="-27"/>
          <w:w w:val="105"/>
        </w:rPr>
        <w:t> </w:t>
      </w:r>
      <w:r>
        <w:rPr>
          <w:color w:val="231F20"/>
          <w:spacing w:val="-4"/>
          <w:w w:val="105"/>
        </w:rPr>
        <w:t>apoyos</w:t>
      </w:r>
      <w:r>
        <w:rPr>
          <w:color w:val="231F20"/>
          <w:spacing w:val="-27"/>
          <w:w w:val="105"/>
        </w:rPr>
        <w:t> </w:t>
      </w:r>
      <w:r>
        <w:rPr>
          <w:color w:val="231F20"/>
          <w:spacing w:val="-4"/>
          <w:w w:val="105"/>
        </w:rPr>
        <w:t>recibidos </w:t>
      </w:r>
      <w:r>
        <w:rPr>
          <w:color w:val="231F20"/>
          <w:spacing w:val="-3"/>
          <w:w w:val="105"/>
        </w:rPr>
        <w:t>por</w:t>
      </w:r>
      <w:r>
        <w:rPr>
          <w:color w:val="231F20"/>
          <w:spacing w:val="-10"/>
          <w:w w:val="105"/>
        </w:rPr>
        <w:t> </w:t>
      </w:r>
      <w:r>
        <w:rPr>
          <w:color w:val="231F20"/>
          <w:w w:val="105"/>
        </w:rPr>
        <w:t>el</w:t>
      </w:r>
      <w:r>
        <w:rPr>
          <w:color w:val="231F20"/>
          <w:spacing w:val="-10"/>
          <w:w w:val="105"/>
        </w:rPr>
        <w:t> </w:t>
      </w:r>
      <w:r>
        <w:rPr>
          <w:color w:val="231F20"/>
          <w:spacing w:val="-3"/>
          <w:w w:val="105"/>
        </w:rPr>
        <w:t>municipio</w:t>
      </w:r>
      <w:r>
        <w:rPr>
          <w:color w:val="231F20"/>
          <w:spacing w:val="-10"/>
          <w:w w:val="105"/>
        </w:rPr>
        <w:t> </w:t>
      </w:r>
      <w:r>
        <w:rPr>
          <w:color w:val="231F20"/>
          <w:w w:val="105"/>
        </w:rPr>
        <w:t>de</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Secretaría</w:t>
      </w:r>
      <w:r>
        <w:rPr>
          <w:color w:val="231F20"/>
          <w:spacing w:val="-10"/>
          <w:w w:val="105"/>
        </w:rPr>
        <w:t> </w:t>
      </w:r>
      <w:r>
        <w:rPr>
          <w:color w:val="231F20"/>
          <w:w w:val="105"/>
        </w:rPr>
        <w:t>de</w:t>
      </w:r>
      <w:r>
        <w:rPr>
          <w:color w:val="231F20"/>
          <w:spacing w:val="-10"/>
          <w:w w:val="105"/>
        </w:rPr>
        <w:t> </w:t>
      </w:r>
      <w:r>
        <w:rPr>
          <w:color w:val="231F20"/>
          <w:spacing w:val="-5"/>
          <w:w w:val="105"/>
        </w:rPr>
        <w:t>Trabajo</w:t>
      </w:r>
      <w:r>
        <w:rPr>
          <w:color w:val="231F20"/>
          <w:spacing w:val="-10"/>
          <w:w w:val="105"/>
        </w:rPr>
        <w:t> </w:t>
      </w:r>
      <w:r>
        <w:rPr>
          <w:color w:val="231F20"/>
          <w:w w:val="105"/>
        </w:rPr>
        <w:t>dirigida</w:t>
      </w:r>
      <w:r>
        <w:rPr>
          <w:color w:val="231F20"/>
          <w:spacing w:val="-10"/>
          <w:w w:val="105"/>
        </w:rPr>
        <w:t> </w:t>
      </w:r>
      <w:r>
        <w:rPr>
          <w:color w:val="231F20"/>
          <w:spacing w:val="-3"/>
          <w:w w:val="105"/>
        </w:rPr>
        <w:t>por</w:t>
      </w:r>
      <w:r>
        <w:rPr>
          <w:color w:val="231F20"/>
          <w:spacing w:val="-10"/>
          <w:w w:val="105"/>
        </w:rPr>
        <w:t> </w:t>
      </w:r>
      <w:r>
        <w:rPr>
          <w:color w:val="231F20"/>
          <w:spacing w:val="-3"/>
          <w:w w:val="105"/>
        </w:rPr>
        <w:t>Ignacio</w:t>
      </w:r>
      <w:r>
        <w:rPr>
          <w:color w:val="231F20"/>
          <w:spacing w:val="-10"/>
          <w:w w:val="105"/>
        </w:rPr>
        <w:t> </w:t>
      </w:r>
      <w:r>
        <w:rPr>
          <w:color w:val="231F20"/>
          <w:spacing w:val="-5"/>
          <w:w w:val="105"/>
        </w:rPr>
        <w:t>Rubí,</w:t>
      </w:r>
      <w:r>
        <w:rPr>
          <w:color w:val="231F20"/>
          <w:spacing w:val="-10"/>
          <w:w w:val="105"/>
        </w:rPr>
        <w:t> </w:t>
      </w:r>
      <w:r>
        <w:rPr>
          <w:color w:val="231F20"/>
          <w:w w:val="105"/>
        </w:rPr>
        <w:t>así</w:t>
      </w:r>
      <w:r>
        <w:rPr>
          <w:color w:val="231F20"/>
          <w:spacing w:val="-10"/>
          <w:w w:val="105"/>
        </w:rPr>
        <w:t> </w:t>
      </w:r>
      <w:r>
        <w:rPr>
          <w:color w:val="231F20"/>
          <w:spacing w:val="-4"/>
          <w:w w:val="105"/>
        </w:rPr>
        <w:t>como </w:t>
      </w:r>
      <w:r>
        <w:rPr>
          <w:color w:val="231F20"/>
          <w:spacing w:val="-3"/>
          <w:w w:val="105"/>
        </w:rPr>
        <w:t>los</w:t>
      </w:r>
      <w:r>
        <w:rPr>
          <w:color w:val="231F20"/>
          <w:spacing w:val="-10"/>
          <w:w w:val="105"/>
        </w:rPr>
        <w:t> </w:t>
      </w:r>
      <w:r>
        <w:rPr>
          <w:color w:val="231F20"/>
          <w:w w:val="105"/>
        </w:rPr>
        <w:t>cuantiosos</w:t>
      </w:r>
      <w:r>
        <w:rPr>
          <w:color w:val="231F20"/>
          <w:spacing w:val="-10"/>
          <w:w w:val="105"/>
        </w:rPr>
        <w:t> </w:t>
      </w:r>
      <w:r>
        <w:rPr>
          <w:color w:val="231F20"/>
          <w:w w:val="105"/>
        </w:rPr>
        <w:t>recursos</w:t>
      </w:r>
      <w:r>
        <w:rPr>
          <w:color w:val="231F20"/>
          <w:spacing w:val="-10"/>
          <w:w w:val="105"/>
        </w:rPr>
        <w:t> </w:t>
      </w:r>
      <w:r>
        <w:rPr>
          <w:color w:val="231F20"/>
          <w:spacing w:val="-4"/>
          <w:w w:val="105"/>
        </w:rPr>
        <w:t>recibidos</w:t>
      </w:r>
      <w:r>
        <w:rPr>
          <w:color w:val="231F20"/>
          <w:spacing w:val="-10"/>
          <w:w w:val="105"/>
        </w:rPr>
        <w:t> </w:t>
      </w:r>
      <w:r>
        <w:rPr>
          <w:color w:val="231F20"/>
          <w:w w:val="105"/>
        </w:rPr>
        <w:t>para</w:t>
      </w:r>
      <w:r>
        <w:rPr>
          <w:color w:val="231F20"/>
          <w:spacing w:val="-10"/>
          <w:w w:val="105"/>
        </w:rPr>
        <w:t> </w:t>
      </w:r>
      <w:r>
        <w:rPr>
          <w:color w:val="231F20"/>
          <w:w w:val="105"/>
        </w:rPr>
        <w:t>varios</w:t>
      </w:r>
      <w:r>
        <w:rPr>
          <w:color w:val="231F20"/>
          <w:spacing w:val="-10"/>
          <w:w w:val="105"/>
        </w:rPr>
        <w:t> </w:t>
      </w:r>
      <w:r>
        <w:rPr>
          <w:color w:val="231F20"/>
          <w:w w:val="105"/>
        </w:rPr>
        <w:t>programas</w:t>
      </w:r>
      <w:r>
        <w:rPr>
          <w:color w:val="231F20"/>
          <w:spacing w:val="-10"/>
          <w:w w:val="105"/>
        </w:rPr>
        <w:t> </w:t>
      </w:r>
      <w:r>
        <w:rPr>
          <w:color w:val="231F20"/>
          <w:w w:val="105"/>
        </w:rPr>
        <w:t>estatales</w:t>
      </w:r>
      <w:r>
        <w:rPr>
          <w:color w:val="231F20"/>
          <w:spacing w:val="-10"/>
          <w:w w:val="105"/>
        </w:rPr>
        <w:t> </w:t>
      </w:r>
      <w:r>
        <w:rPr>
          <w:color w:val="231F20"/>
          <w:spacing w:val="-4"/>
          <w:w w:val="105"/>
        </w:rPr>
        <w:t>como</w:t>
      </w:r>
      <w:r>
        <w:rPr>
          <w:color w:val="231F20"/>
          <w:spacing w:val="-10"/>
          <w:w w:val="105"/>
        </w:rPr>
        <w:t> </w:t>
      </w:r>
      <w:r>
        <w:rPr>
          <w:color w:val="231F20"/>
          <w:w w:val="105"/>
        </w:rPr>
        <w:t>“Mil</w:t>
      </w:r>
      <w:r>
        <w:rPr>
          <w:color w:val="231F20"/>
          <w:spacing w:val="-10"/>
          <w:w w:val="105"/>
        </w:rPr>
        <w:t> </w:t>
      </w:r>
      <w:r>
        <w:rPr>
          <w:color w:val="231F20"/>
          <w:w w:val="105"/>
        </w:rPr>
        <w:t>Aulas,</w:t>
      </w:r>
      <w:r>
        <w:rPr>
          <w:color w:val="231F20"/>
          <w:spacing w:val="-10"/>
          <w:w w:val="105"/>
        </w:rPr>
        <w:t> </w:t>
      </w:r>
      <w:r>
        <w:rPr>
          <w:color w:val="231F20"/>
          <w:w w:val="105"/>
        </w:rPr>
        <w:t>mil </w:t>
      </w:r>
      <w:r>
        <w:rPr>
          <w:color w:val="231F20"/>
          <w:spacing w:val="-4"/>
          <w:w w:val="105"/>
        </w:rPr>
        <w:t>esfuerzos”.</w:t>
      </w:r>
      <w:r>
        <w:rPr>
          <w:color w:val="231F20"/>
          <w:spacing w:val="-13"/>
          <w:w w:val="105"/>
        </w:rPr>
        <w:t> </w:t>
      </w:r>
      <w:r>
        <w:rPr>
          <w:color w:val="231F20"/>
          <w:w w:val="105"/>
        </w:rPr>
        <w:t>Era</w:t>
      </w:r>
      <w:r>
        <w:rPr>
          <w:color w:val="231F20"/>
          <w:spacing w:val="-13"/>
          <w:w w:val="105"/>
        </w:rPr>
        <w:t> </w:t>
      </w:r>
      <w:r>
        <w:rPr>
          <w:color w:val="231F20"/>
          <w:w w:val="105"/>
        </w:rPr>
        <w:t>tan</w:t>
      </w:r>
      <w:r>
        <w:rPr>
          <w:color w:val="231F20"/>
          <w:spacing w:val="-13"/>
          <w:w w:val="105"/>
        </w:rPr>
        <w:t> </w:t>
      </w:r>
      <w:r>
        <w:rPr>
          <w:color w:val="231F20"/>
          <w:w w:val="105"/>
        </w:rPr>
        <w:t>fuerte</w:t>
      </w:r>
      <w:r>
        <w:rPr>
          <w:color w:val="231F20"/>
          <w:spacing w:val="-13"/>
          <w:w w:val="105"/>
        </w:rPr>
        <w:t> </w:t>
      </w:r>
      <w:r>
        <w:rPr>
          <w:color w:val="231F20"/>
          <w:w w:val="105"/>
        </w:rPr>
        <w:t>la</w:t>
      </w:r>
      <w:r>
        <w:rPr>
          <w:color w:val="231F20"/>
          <w:spacing w:val="-13"/>
          <w:w w:val="105"/>
        </w:rPr>
        <w:t> </w:t>
      </w:r>
      <w:r>
        <w:rPr>
          <w:color w:val="231F20"/>
          <w:spacing w:val="-4"/>
          <w:w w:val="105"/>
        </w:rPr>
        <w:t>relación</w:t>
      </w:r>
      <w:r>
        <w:rPr>
          <w:color w:val="231F20"/>
          <w:spacing w:val="-13"/>
          <w:w w:val="105"/>
        </w:rPr>
        <w:t> </w:t>
      </w:r>
      <w:r>
        <w:rPr>
          <w:color w:val="231F20"/>
          <w:spacing w:val="-3"/>
          <w:w w:val="105"/>
        </w:rPr>
        <w:t>que</w:t>
      </w:r>
      <w:r>
        <w:rPr>
          <w:color w:val="231F20"/>
          <w:spacing w:val="-13"/>
          <w:w w:val="105"/>
        </w:rPr>
        <w:t> </w:t>
      </w:r>
      <w:r>
        <w:rPr>
          <w:color w:val="231F20"/>
          <w:w w:val="105"/>
        </w:rPr>
        <w:t>Ixtapan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Sal</w:t>
      </w:r>
      <w:r>
        <w:rPr>
          <w:color w:val="231F20"/>
          <w:spacing w:val="-13"/>
          <w:w w:val="105"/>
        </w:rPr>
        <w:t> </w:t>
      </w:r>
      <w:r>
        <w:rPr>
          <w:color w:val="231F20"/>
          <w:w w:val="105"/>
        </w:rPr>
        <w:t>se</w:t>
      </w:r>
      <w:r>
        <w:rPr>
          <w:color w:val="231F20"/>
          <w:spacing w:val="-13"/>
          <w:w w:val="105"/>
        </w:rPr>
        <w:t> </w:t>
      </w:r>
      <w:r>
        <w:rPr>
          <w:color w:val="231F20"/>
          <w:w w:val="105"/>
        </w:rPr>
        <w:t>convirtió</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3"/>
          <w:w w:val="105"/>
        </w:rPr>
        <w:t>centro</w:t>
      </w:r>
      <w:r>
        <w:rPr>
          <w:color w:val="231F20"/>
          <w:spacing w:val="-13"/>
          <w:w w:val="105"/>
        </w:rPr>
        <w:t> </w:t>
      </w:r>
      <w:r>
        <w:rPr>
          <w:color w:val="231F20"/>
          <w:w w:val="105"/>
        </w:rPr>
        <w:t>de</w:t>
      </w:r>
      <w:r>
        <w:rPr>
          <w:color w:val="231F20"/>
          <w:spacing w:val="-13"/>
          <w:w w:val="105"/>
        </w:rPr>
        <w:t> </w:t>
      </w:r>
      <w:r>
        <w:rPr>
          <w:color w:val="231F20"/>
          <w:spacing w:val="-3"/>
          <w:w w:val="105"/>
        </w:rPr>
        <w:t>re- </w:t>
      </w:r>
      <w:r>
        <w:rPr>
          <w:color w:val="231F20"/>
          <w:w w:val="105"/>
        </w:rPr>
        <w:t>uniones</w:t>
      </w:r>
      <w:r>
        <w:rPr>
          <w:color w:val="231F20"/>
          <w:spacing w:val="-17"/>
          <w:w w:val="105"/>
        </w:rPr>
        <w:t> </w:t>
      </w:r>
      <w:r>
        <w:rPr>
          <w:color w:val="231F20"/>
          <w:w w:val="105"/>
        </w:rPr>
        <w:t>de</w:t>
      </w:r>
      <w:r>
        <w:rPr>
          <w:color w:val="231F20"/>
          <w:spacing w:val="-17"/>
          <w:w w:val="105"/>
        </w:rPr>
        <w:t> </w:t>
      </w:r>
      <w:r>
        <w:rPr>
          <w:color w:val="231F20"/>
          <w:spacing w:val="-3"/>
          <w:w w:val="105"/>
        </w:rPr>
        <w:t>trabajo</w:t>
      </w:r>
      <w:r>
        <w:rPr>
          <w:color w:val="231F20"/>
          <w:spacing w:val="-17"/>
          <w:w w:val="105"/>
        </w:rPr>
        <w:t> </w:t>
      </w:r>
      <w:r>
        <w:rPr>
          <w:color w:val="231F20"/>
          <w:w w:val="105"/>
        </w:rPr>
        <w:t>tanto</w:t>
      </w:r>
      <w:r>
        <w:rPr>
          <w:color w:val="231F20"/>
          <w:spacing w:val="-17"/>
          <w:w w:val="105"/>
        </w:rPr>
        <w:t> </w:t>
      </w:r>
      <w:r>
        <w:rPr>
          <w:color w:val="231F20"/>
          <w:spacing w:val="-3"/>
          <w:w w:val="105"/>
        </w:rPr>
        <w:t>del</w:t>
      </w:r>
      <w:r>
        <w:rPr>
          <w:color w:val="231F20"/>
          <w:spacing w:val="-17"/>
          <w:w w:val="105"/>
        </w:rPr>
        <w:t> </w:t>
      </w:r>
      <w:r>
        <w:rPr>
          <w:color w:val="231F20"/>
          <w:spacing w:val="-4"/>
          <w:w w:val="105"/>
        </w:rPr>
        <w:t>gobierno</w:t>
      </w:r>
      <w:r>
        <w:rPr>
          <w:color w:val="231F20"/>
          <w:spacing w:val="-17"/>
          <w:w w:val="105"/>
        </w:rPr>
        <w:t> </w:t>
      </w:r>
      <w:r>
        <w:rPr>
          <w:color w:val="231F20"/>
          <w:w w:val="105"/>
        </w:rPr>
        <w:t>estatal</w:t>
      </w:r>
      <w:r>
        <w:rPr>
          <w:color w:val="231F20"/>
          <w:spacing w:val="-17"/>
          <w:w w:val="105"/>
        </w:rPr>
        <w:t> </w:t>
      </w:r>
      <w:r>
        <w:rPr>
          <w:color w:val="231F20"/>
          <w:spacing w:val="-4"/>
          <w:w w:val="105"/>
        </w:rPr>
        <w:t>como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dirigencia</w:t>
      </w:r>
      <w:r>
        <w:rPr>
          <w:color w:val="231F20"/>
          <w:spacing w:val="-17"/>
          <w:w w:val="105"/>
        </w:rPr>
        <w:t> </w:t>
      </w:r>
      <w:r>
        <w:rPr>
          <w:color w:val="231F20"/>
          <w:spacing w:val="-3"/>
          <w:w w:val="105"/>
        </w:rPr>
        <w:t>del</w:t>
      </w:r>
      <w:r>
        <w:rPr>
          <w:color w:val="231F20"/>
          <w:spacing w:val="-17"/>
          <w:w w:val="105"/>
        </w:rPr>
        <w:t> </w:t>
      </w:r>
      <w:r>
        <w:rPr>
          <w:color w:val="231F20"/>
          <w:spacing w:val="-2"/>
          <w:w w:val="105"/>
        </w:rPr>
        <w:t>PRI</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spacing w:val="-3"/>
          <w:w w:val="105"/>
        </w:rPr>
        <w:t>entidad.</w:t>
      </w:r>
    </w:p>
    <w:p>
      <w:pPr>
        <w:pStyle w:val="BodyText"/>
        <w:spacing w:before="2"/>
        <w:rPr>
          <w:sz w:val="20"/>
        </w:rPr>
      </w:pPr>
    </w:p>
    <w:p>
      <w:pPr>
        <w:pStyle w:val="Heading4"/>
        <w:rPr>
          <w:i/>
        </w:rPr>
      </w:pPr>
      <w:r>
        <w:rPr>
          <w:i/>
          <w:color w:val="231F20"/>
        </w:rPr>
        <w:t>Conclusiones</w:t>
      </w:r>
    </w:p>
    <w:p>
      <w:pPr>
        <w:pStyle w:val="BodyText"/>
        <w:spacing w:line="285" w:lineRule="auto" w:before="16"/>
        <w:ind w:left="110" w:right="108"/>
        <w:jc w:val="both"/>
      </w:pPr>
      <w:r>
        <w:rPr>
          <w:color w:val="231F20"/>
          <w:w w:val="105"/>
        </w:rPr>
        <w:t>El</w:t>
      </w:r>
      <w:r>
        <w:rPr>
          <w:color w:val="231F20"/>
          <w:spacing w:val="-19"/>
          <w:w w:val="105"/>
        </w:rPr>
        <w:t> </w:t>
      </w:r>
      <w:r>
        <w:rPr>
          <w:color w:val="231F20"/>
          <w:w w:val="105"/>
        </w:rPr>
        <w:t>municipio</w:t>
      </w:r>
      <w:r>
        <w:rPr>
          <w:color w:val="231F20"/>
          <w:spacing w:val="-19"/>
          <w:w w:val="105"/>
        </w:rPr>
        <w:t> </w:t>
      </w:r>
      <w:r>
        <w:rPr>
          <w:color w:val="231F20"/>
          <w:w w:val="105"/>
        </w:rPr>
        <w:t>es</w:t>
      </w:r>
      <w:r>
        <w:rPr>
          <w:color w:val="231F20"/>
          <w:spacing w:val="-19"/>
          <w:w w:val="105"/>
        </w:rPr>
        <w:t> </w:t>
      </w:r>
      <w:r>
        <w:rPr>
          <w:color w:val="231F20"/>
          <w:w w:val="105"/>
        </w:rPr>
        <w:t>la</w:t>
      </w:r>
      <w:r>
        <w:rPr>
          <w:color w:val="231F20"/>
          <w:spacing w:val="-19"/>
          <w:w w:val="105"/>
        </w:rPr>
        <w:t> </w:t>
      </w:r>
      <w:r>
        <w:rPr>
          <w:color w:val="231F20"/>
          <w:w w:val="105"/>
        </w:rPr>
        <w:t>célula</w:t>
      </w:r>
      <w:r>
        <w:rPr>
          <w:color w:val="231F20"/>
          <w:spacing w:val="-19"/>
          <w:w w:val="105"/>
        </w:rPr>
        <w:t> </w:t>
      </w:r>
      <w:r>
        <w:rPr>
          <w:color w:val="231F20"/>
          <w:w w:val="105"/>
        </w:rPr>
        <w:t>básica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organización</w:t>
      </w:r>
      <w:r>
        <w:rPr>
          <w:color w:val="231F20"/>
          <w:spacing w:val="-19"/>
          <w:w w:val="105"/>
        </w:rPr>
        <w:t> </w:t>
      </w:r>
      <w:r>
        <w:rPr>
          <w:color w:val="231F20"/>
          <w:w w:val="105"/>
        </w:rPr>
        <w:t>económica</w:t>
      </w:r>
      <w:r>
        <w:rPr>
          <w:color w:val="231F20"/>
          <w:spacing w:val="-19"/>
          <w:w w:val="105"/>
        </w:rPr>
        <w:t> </w:t>
      </w:r>
      <w:r>
        <w:rPr>
          <w:color w:val="231F20"/>
          <w:w w:val="105"/>
        </w:rPr>
        <w:t>y</w:t>
      </w:r>
      <w:r>
        <w:rPr>
          <w:color w:val="231F20"/>
          <w:spacing w:val="-19"/>
          <w:w w:val="105"/>
        </w:rPr>
        <w:t> </w:t>
      </w:r>
      <w:r>
        <w:rPr>
          <w:color w:val="231F20"/>
          <w:w w:val="105"/>
        </w:rPr>
        <w:t>administrativa</w:t>
      </w:r>
      <w:r>
        <w:rPr>
          <w:color w:val="231F20"/>
          <w:spacing w:val="-19"/>
          <w:w w:val="105"/>
        </w:rPr>
        <w:t> </w:t>
      </w:r>
      <w:r>
        <w:rPr>
          <w:color w:val="231F20"/>
          <w:w w:val="105"/>
        </w:rPr>
        <w:t>del</w:t>
      </w:r>
      <w:r>
        <w:rPr>
          <w:color w:val="231F20"/>
          <w:spacing w:val="-19"/>
          <w:w w:val="105"/>
        </w:rPr>
        <w:t> </w:t>
      </w:r>
      <w:r>
        <w:rPr>
          <w:color w:val="231F20"/>
          <w:w w:val="105"/>
        </w:rPr>
        <w:t>Esta- do</w:t>
      </w:r>
      <w:r>
        <w:rPr>
          <w:color w:val="231F20"/>
          <w:spacing w:val="-18"/>
          <w:w w:val="105"/>
        </w:rPr>
        <w:t> </w:t>
      </w:r>
      <w:r>
        <w:rPr>
          <w:color w:val="231F20"/>
          <w:w w:val="105"/>
        </w:rPr>
        <w:t>Mexicano;</w:t>
      </w:r>
      <w:r>
        <w:rPr>
          <w:color w:val="231F20"/>
          <w:spacing w:val="-18"/>
          <w:w w:val="105"/>
        </w:rPr>
        <w:t> </w:t>
      </w:r>
      <w:r>
        <w:rPr>
          <w:color w:val="231F20"/>
          <w:w w:val="105"/>
        </w:rPr>
        <w:t>políticamente</w:t>
      </w:r>
      <w:r>
        <w:rPr>
          <w:color w:val="231F20"/>
          <w:spacing w:val="-18"/>
          <w:w w:val="105"/>
        </w:rPr>
        <w:t> </w:t>
      </w:r>
      <w:r>
        <w:rPr>
          <w:color w:val="231F20"/>
          <w:w w:val="105"/>
        </w:rPr>
        <w:t>ha</w:t>
      </w:r>
      <w:r>
        <w:rPr>
          <w:color w:val="231F20"/>
          <w:spacing w:val="-18"/>
          <w:w w:val="105"/>
        </w:rPr>
        <w:t> </w:t>
      </w:r>
      <w:r>
        <w:rPr>
          <w:color w:val="231F20"/>
          <w:w w:val="105"/>
        </w:rPr>
        <w:t>sido</w:t>
      </w:r>
      <w:r>
        <w:rPr>
          <w:color w:val="231F20"/>
          <w:spacing w:val="-18"/>
          <w:w w:val="105"/>
        </w:rPr>
        <w:t> </w:t>
      </w:r>
      <w:r>
        <w:rPr>
          <w:color w:val="231F20"/>
          <w:w w:val="105"/>
        </w:rPr>
        <w:t>el</w:t>
      </w:r>
      <w:r>
        <w:rPr>
          <w:color w:val="231F20"/>
          <w:spacing w:val="-18"/>
          <w:w w:val="105"/>
        </w:rPr>
        <w:t> </w:t>
      </w:r>
      <w:r>
        <w:rPr>
          <w:color w:val="231F20"/>
          <w:w w:val="105"/>
        </w:rPr>
        <w:t>incubador</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democracia</w:t>
      </w:r>
      <w:r>
        <w:rPr>
          <w:color w:val="231F20"/>
          <w:spacing w:val="-18"/>
          <w:w w:val="105"/>
        </w:rPr>
        <w:t> </w:t>
      </w:r>
      <w:r>
        <w:rPr>
          <w:color w:val="231F20"/>
          <w:w w:val="105"/>
        </w:rPr>
        <w:t>electoral.</w:t>
      </w:r>
      <w:r>
        <w:rPr>
          <w:color w:val="231F20"/>
          <w:spacing w:val="-18"/>
          <w:w w:val="105"/>
        </w:rPr>
        <w:t> </w:t>
      </w:r>
      <w:r>
        <w:rPr>
          <w:color w:val="231F20"/>
          <w:w w:val="105"/>
        </w:rPr>
        <w:t>Es</w:t>
      </w:r>
      <w:r>
        <w:rPr>
          <w:color w:val="231F20"/>
          <w:spacing w:val="-18"/>
          <w:w w:val="105"/>
        </w:rPr>
        <w:t> </w:t>
      </w:r>
      <w:r>
        <w:rPr>
          <w:color w:val="231F20"/>
          <w:w w:val="105"/>
        </w:rPr>
        <w:t>por</w:t>
      </w:r>
      <w:r>
        <w:rPr>
          <w:color w:val="231F20"/>
          <w:spacing w:val="-18"/>
          <w:w w:val="105"/>
        </w:rPr>
        <w:t> </w:t>
      </w:r>
      <w:r>
        <w:rPr>
          <w:color w:val="231F20"/>
          <w:w w:val="105"/>
        </w:rPr>
        <w:t>esto que</w:t>
      </w:r>
      <w:r>
        <w:rPr>
          <w:color w:val="231F20"/>
          <w:spacing w:val="-11"/>
          <w:w w:val="105"/>
        </w:rPr>
        <w:t> </w:t>
      </w:r>
      <w:r>
        <w:rPr>
          <w:color w:val="231F20"/>
          <w:w w:val="105"/>
        </w:rPr>
        <w:t>los</w:t>
      </w:r>
      <w:r>
        <w:rPr>
          <w:color w:val="231F20"/>
          <w:spacing w:val="-11"/>
          <w:w w:val="105"/>
        </w:rPr>
        <w:t> </w:t>
      </w:r>
      <w:r>
        <w:rPr>
          <w:color w:val="231F20"/>
          <w:w w:val="105"/>
        </w:rPr>
        <w:t>gobiernos</w:t>
      </w:r>
      <w:r>
        <w:rPr>
          <w:color w:val="231F20"/>
          <w:spacing w:val="-11"/>
          <w:w w:val="105"/>
        </w:rPr>
        <w:t> </w:t>
      </w:r>
      <w:r>
        <w:rPr>
          <w:color w:val="231F20"/>
          <w:w w:val="105"/>
        </w:rPr>
        <w:t>locales</w:t>
      </w:r>
      <w:r>
        <w:rPr>
          <w:color w:val="231F20"/>
          <w:spacing w:val="-11"/>
          <w:w w:val="105"/>
        </w:rPr>
        <w:t> </w:t>
      </w:r>
      <w:r>
        <w:rPr>
          <w:color w:val="231F20"/>
          <w:w w:val="105"/>
        </w:rPr>
        <w:t>cumplen</w:t>
      </w:r>
      <w:r>
        <w:rPr>
          <w:color w:val="231F20"/>
          <w:spacing w:val="-11"/>
          <w:w w:val="105"/>
        </w:rPr>
        <w:t> </w:t>
      </w:r>
      <w:r>
        <w:rPr>
          <w:color w:val="231F20"/>
          <w:w w:val="105"/>
        </w:rPr>
        <w:t>dos</w:t>
      </w:r>
      <w:r>
        <w:rPr>
          <w:color w:val="231F20"/>
          <w:spacing w:val="-11"/>
          <w:w w:val="105"/>
        </w:rPr>
        <w:t> </w:t>
      </w:r>
      <w:r>
        <w:rPr>
          <w:color w:val="231F20"/>
          <w:w w:val="105"/>
        </w:rPr>
        <w:t>funciones</w:t>
      </w:r>
      <w:r>
        <w:rPr>
          <w:color w:val="231F20"/>
          <w:spacing w:val="-11"/>
          <w:w w:val="105"/>
        </w:rPr>
        <w:t> </w:t>
      </w:r>
      <w:r>
        <w:rPr>
          <w:color w:val="231F20"/>
          <w:w w:val="105"/>
        </w:rPr>
        <w:t>en</w:t>
      </w:r>
      <w:r>
        <w:rPr>
          <w:color w:val="231F20"/>
          <w:spacing w:val="-11"/>
          <w:w w:val="105"/>
        </w:rPr>
        <w:t> </w:t>
      </w:r>
      <w:r>
        <w:rPr>
          <w:color w:val="231F20"/>
          <w:w w:val="105"/>
        </w:rPr>
        <w:t>particular:</w:t>
      </w:r>
      <w:r>
        <w:rPr>
          <w:color w:val="231F20"/>
          <w:spacing w:val="-11"/>
          <w:w w:val="105"/>
        </w:rPr>
        <w:t> </w:t>
      </w:r>
      <w:r>
        <w:rPr>
          <w:color w:val="231F20"/>
          <w:w w:val="105"/>
        </w:rPr>
        <w:t>primera,</w:t>
      </w:r>
      <w:r>
        <w:rPr>
          <w:color w:val="231F20"/>
          <w:spacing w:val="-11"/>
          <w:w w:val="105"/>
        </w:rPr>
        <w:t> </w:t>
      </w:r>
      <w:r>
        <w:rPr>
          <w:color w:val="231F20"/>
          <w:w w:val="105"/>
        </w:rPr>
        <w:t>ser</w:t>
      </w:r>
      <w:r>
        <w:rPr>
          <w:color w:val="231F20"/>
          <w:spacing w:val="-11"/>
          <w:w w:val="105"/>
        </w:rPr>
        <w:t> </w:t>
      </w:r>
      <w:r>
        <w:rPr>
          <w:color w:val="231F20"/>
          <w:w w:val="105"/>
        </w:rPr>
        <w:t>los</w:t>
      </w:r>
      <w:r>
        <w:rPr>
          <w:color w:val="231F20"/>
          <w:spacing w:val="-11"/>
          <w:w w:val="105"/>
        </w:rPr>
        <w:t> </w:t>
      </w:r>
      <w:r>
        <w:rPr>
          <w:color w:val="231F20"/>
          <w:w w:val="105"/>
        </w:rPr>
        <w:t>promo- tores</w:t>
      </w:r>
      <w:r>
        <w:rPr>
          <w:color w:val="231F20"/>
          <w:spacing w:val="-13"/>
          <w:w w:val="105"/>
        </w:rPr>
        <w:t> </w:t>
      </w:r>
      <w:r>
        <w:rPr>
          <w:color w:val="231F20"/>
          <w:w w:val="105"/>
        </w:rPr>
        <w:t>del</w:t>
      </w:r>
      <w:r>
        <w:rPr>
          <w:color w:val="231F20"/>
          <w:spacing w:val="-13"/>
          <w:w w:val="105"/>
        </w:rPr>
        <w:t> </w:t>
      </w:r>
      <w:r>
        <w:rPr>
          <w:color w:val="231F20"/>
          <w:w w:val="105"/>
        </w:rPr>
        <w:t>desarrollo</w:t>
      </w:r>
      <w:r>
        <w:rPr>
          <w:color w:val="231F20"/>
          <w:spacing w:val="-13"/>
          <w:w w:val="105"/>
        </w:rPr>
        <w:t> </w:t>
      </w:r>
      <w:r>
        <w:rPr>
          <w:color w:val="231F20"/>
          <w:w w:val="105"/>
        </w:rPr>
        <w:t>social</w:t>
      </w:r>
      <w:r>
        <w:rPr>
          <w:color w:val="231F20"/>
          <w:spacing w:val="-13"/>
          <w:w w:val="105"/>
        </w:rPr>
        <w:t> </w:t>
      </w:r>
      <w:r>
        <w:rPr>
          <w:color w:val="231F20"/>
          <w:w w:val="105"/>
        </w:rPr>
        <w:t>y</w:t>
      </w:r>
      <w:r>
        <w:rPr>
          <w:color w:val="231F20"/>
          <w:spacing w:val="-13"/>
          <w:w w:val="105"/>
        </w:rPr>
        <w:t> </w:t>
      </w:r>
      <w:r>
        <w:rPr>
          <w:color w:val="231F20"/>
          <w:w w:val="105"/>
        </w:rPr>
        <w:t>económico</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regiones;</w:t>
      </w:r>
      <w:r>
        <w:rPr>
          <w:color w:val="231F20"/>
          <w:spacing w:val="-13"/>
          <w:w w:val="105"/>
        </w:rPr>
        <w:t> </w:t>
      </w:r>
      <w:r>
        <w:rPr>
          <w:color w:val="231F20"/>
          <w:w w:val="105"/>
        </w:rPr>
        <w:t>segunda,</w:t>
      </w:r>
      <w:r>
        <w:rPr>
          <w:color w:val="231F20"/>
          <w:spacing w:val="-13"/>
          <w:w w:val="105"/>
        </w:rPr>
        <w:t> </w:t>
      </w:r>
      <w:r>
        <w:rPr>
          <w:color w:val="231F20"/>
          <w:w w:val="105"/>
        </w:rPr>
        <w:t>fomentar</w:t>
      </w:r>
      <w:r>
        <w:rPr>
          <w:color w:val="231F20"/>
          <w:spacing w:val="-13"/>
          <w:w w:val="105"/>
        </w:rPr>
        <w:t> </w:t>
      </w:r>
      <w:r>
        <w:rPr>
          <w:color w:val="231F20"/>
          <w:w w:val="105"/>
        </w:rPr>
        <w:t>la</w:t>
      </w:r>
      <w:r>
        <w:rPr>
          <w:color w:val="231F20"/>
          <w:spacing w:val="-13"/>
          <w:w w:val="105"/>
        </w:rPr>
        <w:t> </w:t>
      </w:r>
      <w:r>
        <w:rPr>
          <w:color w:val="231F20"/>
          <w:w w:val="105"/>
        </w:rPr>
        <w:t>expresión democrática</w:t>
      </w:r>
      <w:r>
        <w:rPr>
          <w:color w:val="231F20"/>
          <w:spacing w:val="-18"/>
          <w:w w:val="105"/>
        </w:rPr>
        <w:t> </w:t>
      </w:r>
      <w:r>
        <w:rPr>
          <w:color w:val="231F20"/>
          <w:w w:val="105"/>
        </w:rPr>
        <w:t>en</w:t>
      </w:r>
      <w:r>
        <w:rPr>
          <w:color w:val="231F20"/>
          <w:spacing w:val="-18"/>
          <w:w w:val="105"/>
        </w:rPr>
        <w:t> </w:t>
      </w:r>
      <w:r>
        <w:rPr>
          <w:color w:val="231F20"/>
          <w:w w:val="105"/>
        </w:rPr>
        <w:t>sus</w:t>
      </w:r>
      <w:r>
        <w:rPr>
          <w:color w:val="231F20"/>
          <w:spacing w:val="-18"/>
          <w:w w:val="105"/>
        </w:rPr>
        <w:t> </w:t>
      </w:r>
      <w:r>
        <w:rPr>
          <w:color w:val="231F20"/>
          <w:w w:val="105"/>
        </w:rPr>
        <w:t>espacios</w:t>
      </w:r>
      <w:r>
        <w:rPr>
          <w:color w:val="231F20"/>
          <w:spacing w:val="-18"/>
          <w:w w:val="105"/>
        </w:rPr>
        <w:t> </w:t>
      </w:r>
      <w:r>
        <w:rPr>
          <w:color w:val="231F20"/>
          <w:w w:val="105"/>
        </w:rPr>
        <w:t>y</w:t>
      </w:r>
      <w:r>
        <w:rPr>
          <w:color w:val="231F20"/>
          <w:spacing w:val="-18"/>
          <w:w w:val="105"/>
        </w:rPr>
        <w:t> </w:t>
      </w:r>
      <w:r>
        <w:rPr>
          <w:color w:val="231F20"/>
          <w:w w:val="105"/>
        </w:rPr>
        <w:t>comunidades.</w:t>
      </w:r>
    </w:p>
    <w:p>
      <w:pPr>
        <w:pStyle w:val="BodyText"/>
        <w:spacing w:before="1"/>
        <w:rPr>
          <w:sz w:val="26"/>
        </w:rPr>
      </w:pPr>
    </w:p>
    <w:p>
      <w:pPr>
        <w:pStyle w:val="BodyText"/>
        <w:spacing w:line="285" w:lineRule="auto"/>
        <w:ind w:left="110" w:right="106"/>
        <w:jc w:val="both"/>
      </w:pPr>
      <w:r>
        <w:rPr>
          <w:color w:val="231F20"/>
          <w:w w:val="105"/>
        </w:rPr>
        <w:t>Respecto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primera,</w:t>
      </w:r>
      <w:r>
        <w:rPr>
          <w:color w:val="231F20"/>
          <w:spacing w:val="-5"/>
          <w:w w:val="105"/>
        </w:rPr>
        <w:t> </w:t>
      </w:r>
      <w:r>
        <w:rPr>
          <w:color w:val="231F20"/>
          <w:w w:val="105"/>
        </w:rPr>
        <w:t>constitucionalmente</w:t>
      </w:r>
      <w:r>
        <w:rPr>
          <w:color w:val="231F20"/>
          <w:spacing w:val="-5"/>
          <w:w w:val="105"/>
        </w:rPr>
        <w:t> </w:t>
      </w:r>
      <w:r>
        <w:rPr>
          <w:color w:val="231F20"/>
          <w:spacing w:val="2"/>
          <w:w w:val="105"/>
        </w:rPr>
        <w:t>al</w:t>
      </w:r>
      <w:r>
        <w:rPr>
          <w:color w:val="231F20"/>
          <w:spacing w:val="-5"/>
          <w:w w:val="105"/>
        </w:rPr>
        <w:t> </w:t>
      </w:r>
      <w:r>
        <w:rPr>
          <w:color w:val="231F20"/>
          <w:w w:val="105"/>
        </w:rPr>
        <w:t>gobierno</w:t>
      </w:r>
      <w:r>
        <w:rPr>
          <w:color w:val="231F20"/>
          <w:spacing w:val="-5"/>
          <w:w w:val="105"/>
        </w:rPr>
        <w:t> </w:t>
      </w:r>
      <w:r>
        <w:rPr>
          <w:color w:val="231F20"/>
          <w:w w:val="105"/>
        </w:rPr>
        <w:t>se</w:t>
      </w:r>
      <w:r>
        <w:rPr>
          <w:color w:val="231F20"/>
          <w:spacing w:val="-5"/>
          <w:w w:val="105"/>
        </w:rPr>
        <w:t> </w:t>
      </w:r>
      <w:r>
        <w:rPr>
          <w:color w:val="231F20"/>
          <w:w w:val="105"/>
        </w:rPr>
        <w:t>le</w:t>
      </w:r>
      <w:r>
        <w:rPr>
          <w:color w:val="231F20"/>
          <w:spacing w:val="-5"/>
          <w:w w:val="105"/>
        </w:rPr>
        <w:t> </w:t>
      </w:r>
      <w:r>
        <w:rPr>
          <w:color w:val="231F20"/>
          <w:w w:val="105"/>
        </w:rPr>
        <w:t>ha</w:t>
      </w:r>
      <w:r>
        <w:rPr>
          <w:color w:val="231F20"/>
          <w:spacing w:val="-5"/>
          <w:w w:val="105"/>
        </w:rPr>
        <w:t> </w:t>
      </w:r>
      <w:r>
        <w:rPr>
          <w:color w:val="231F20"/>
          <w:w w:val="105"/>
        </w:rPr>
        <w:t>dotado</w:t>
      </w:r>
      <w:r>
        <w:rPr>
          <w:color w:val="231F20"/>
          <w:spacing w:val="-5"/>
          <w:w w:val="105"/>
        </w:rPr>
        <w:t> </w:t>
      </w:r>
      <w:r>
        <w:rPr>
          <w:color w:val="231F20"/>
          <w:w w:val="105"/>
        </w:rPr>
        <w:t>de</w:t>
      </w:r>
      <w:r>
        <w:rPr>
          <w:color w:val="231F20"/>
          <w:spacing w:val="-5"/>
          <w:w w:val="105"/>
        </w:rPr>
        <w:t> </w:t>
      </w:r>
      <w:r>
        <w:rPr>
          <w:color w:val="231F20"/>
          <w:w w:val="105"/>
        </w:rPr>
        <w:t>una</w:t>
      </w:r>
      <w:r>
        <w:rPr>
          <w:color w:val="231F20"/>
          <w:spacing w:val="-5"/>
          <w:w w:val="105"/>
        </w:rPr>
        <w:t> </w:t>
      </w:r>
      <w:r>
        <w:rPr>
          <w:color w:val="231F20"/>
          <w:w w:val="105"/>
        </w:rPr>
        <w:t>serie</w:t>
      </w:r>
      <w:r>
        <w:rPr>
          <w:color w:val="231F20"/>
          <w:spacing w:val="-5"/>
          <w:w w:val="105"/>
        </w:rPr>
        <w:t> </w:t>
      </w:r>
      <w:r>
        <w:rPr>
          <w:color w:val="231F20"/>
          <w:w w:val="105"/>
        </w:rPr>
        <w:t>de atribuciones</w:t>
      </w:r>
      <w:r>
        <w:rPr>
          <w:color w:val="231F20"/>
          <w:spacing w:val="-18"/>
          <w:w w:val="105"/>
        </w:rPr>
        <w:t> </w:t>
      </w:r>
      <w:r>
        <w:rPr>
          <w:color w:val="231F20"/>
          <w:w w:val="105"/>
        </w:rPr>
        <w:t>jurídicas</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objetivo</w:t>
      </w:r>
      <w:r>
        <w:rPr>
          <w:color w:val="231F20"/>
          <w:spacing w:val="-18"/>
          <w:w w:val="105"/>
        </w:rPr>
        <w:t> </w:t>
      </w:r>
      <w:r>
        <w:rPr>
          <w:color w:val="231F20"/>
          <w:w w:val="105"/>
        </w:rPr>
        <w:t>de</w:t>
      </w:r>
      <w:r>
        <w:rPr>
          <w:color w:val="231F20"/>
          <w:spacing w:val="-18"/>
          <w:w w:val="105"/>
        </w:rPr>
        <w:t> </w:t>
      </w:r>
      <w:r>
        <w:rPr>
          <w:color w:val="231F20"/>
          <w:w w:val="105"/>
        </w:rPr>
        <w:t>fomentar</w:t>
      </w:r>
      <w:r>
        <w:rPr>
          <w:color w:val="231F20"/>
          <w:spacing w:val="-18"/>
          <w:w w:val="105"/>
        </w:rPr>
        <w:t> </w:t>
      </w:r>
      <w:r>
        <w:rPr>
          <w:color w:val="231F20"/>
          <w:w w:val="105"/>
        </w:rPr>
        <w:t>el</w:t>
      </w:r>
      <w:r>
        <w:rPr>
          <w:color w:val="231F20"/>
          <w:spacing w:val="-18"/>
          <w:w w:val="105"/>
        </w:rPr>
        <w:t> </w:t>
      </w:r>
      <w:r>
        <w:rPr>
          <w:color w:val="231F20"/>
          <w:w w:val="105"/>
        </w:rPr>
        <w:t>desarrollo</w:t>
      </w:r>
      <w:r>
        <w:rPr>
          <w:color w:val="231F20"/>
          <w:spacing w:val="-18"/>
          <w:w w:val="105"/>
        </w:rPr>
        <w:t> </w:t>
      </w:r>
      <w:r>
        <w:rPr>
          <w:color w:val="231F20"/>
          <w:w w:val="105"/>
        </w:rPr>
        <w:t>productivo</w:t>
      </w:r>
      <w:r>
        <w:rPr>
          <w:color w:val="231F20"/>
          <w:spacing w:val="-18"/>
          <w:w w:val="105"/>
        </w:rPr>
        <w:t> </w:t>
      </w:r>
      <w:r>
        <w:rPr>
          <w:color w:val="231F20"/>
          <w:w w:val="105"/>
        </w:rPr>
        <w:t>de</w:t>
      </w:r>
      <w:r>
        <w:rPr>
          <w:color w:val="231F20"/>
          <w:spacing w:val="-18"/>
          <w:w w:val="105"/>
        </w:rPr>
        <w:t> </w:t>
      </w:r>
      <w:r>
        <w:rPr>
          <w:color w:val="231F20"/>
          <w:w w:val="105"/>
        </w:rPr>
        <w:t>sus</w:t>
      </w:r>
      <w:r>
        <w:rPr>
          <w:color w:val="231F20"/>
          <w:spacing w:val="-18"/>
          <w:w w:val="105"/>
        </w:rPr>
        <w:t> </w:t>
      </w:r>
      <w:r>
        <w:rPr>
          <w:color w:val="231F20"/>
          <w:spacing w:val="-3"/>
          <w:w w:val="105"/>
        </w:rPr>
        <w:t>comu- </w:t>
      </w:r>
      <w:r>
        <w:rPr>
          <w:color w:val="231F20"/>
          <w:w w:val="105"/>
        </w:rPr>
        <w:t>nidades</w:t>
      </w:r>
      <w:r>
        <w:rPr>
          <w:color w:val="231F20"/>
          <w:spacing w:val="-11"/>
          <w:w w:val="105"/>
        </w:rPr>
        <w:t> </w:t>
      </w:r>
      <w:r>
        <w:rPr>
          <w:color w:val="231F20"/>
          <w:w w:val="105"/>
        </w:rPr>
        <w:t>e</w:t>
      </w:r>
      <w:r>
        <w:rPr>
          <w:color w:val="231F20"/>
          <w:spacing w:val="-11"/>
          <w:w w:val="105"/>
        </w:rPr>
        <w:t> </w:t>
      </w:r>
      <w:r>
        <w:rPr>
          <w:color w:val="231F20"/>
          <w:w w:val="105"/>
        </w:rPr>
        <w:t>incidir</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mejoramiento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condiciones</w:t>
      </w:r>
      <w:r>
        <w:rPr>
          <w:color w:val="231F20"/>
          <w:spacing w:val="-11"/>
          <w:w w:val="105"/>
        </w:rPr>
        <w:t> </w:t>
      </w:r>
      <w:r>
        <w:rPr>
          <w:color w:val="231F20"/>
          <w:w w:val="105"/>
        </w:rPr>
        <w:t>de</w:t>
      </w:r>
      <w:r>
        <w:rPr>
          <w:color w:val="231F20"/>
          <w:spacing w:val="-11"/>
          <w:w w:val="105"/>
        </w:rPr>
        <w:t> </w:t>
      </w:r>
      <w:r>
        <w:rPr>
          <w:color w:val="231F20"/>
          <w:w w:val="105"/>
        </w:rPr>
        <w:t>vida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pobladores.</w:t>
      </w:r>
      <w:r>
        <w:rPr>
          <w:color w:val="231F20"/>
          <w:spacing w:val="-11"/>
          <w:w w:val="105"/>
        </w:rPr>
        <w:t> </w:t>
      </w:r>
      <w:r>
        <w:rPr>
          <w:color w:val="231F20"/>
          <w:w w:val="105"/>
        </w:rPr>
        <w:t>Para ello</w:t>
      </w:r>
      <w:r>
        <w:rPr>
          <w:color w:val="231F20"/>
          <w:spacing w:val="-13"/>
          <w:w w:val="105"/>
        </w:rPr>
        <w:t> </w:t>
      </w:r>
      <w:r>
        <w:rPr>
          <w:color w:val="231F20"/>
          <w:w w:val="105"/>
        </w:rPr>
        <w:t>se</w:t>
      </w:r>
      <w:r>
        <w:rPr>
          <w:color w:val="231F20"/>
          <w:spacing w:val="-13"/>
          <w:w w:val="105"/>
        </w:rPr>
        <w:t> </w:t>
      </w:r>
      <w:r>
        <w:rPr>
          <w:color w:val="231F20"/>
          <w:w w:val="105"/>
        </w:rPr>
        <w:t>le</w:t>
      </w:r>
      <w:r>
        <w:rPr>
          <w:color w:val="231F20"/>
          <w:spacing w:val="-13"/>
          <w:w w:val="105"/>
        </w:rPr>
        <w:t> </w:t>
      </w:r>
      <w:r>
        <w:rPr>
          <w:color w:val="231F20"/>
          <w:w w:val="105"/>
        </w:rPr>
        <w:t>ha</w:t>
      </w:r>
      <w:r>
        <w:rPr>
          <w:color w:val="231F20"/>
          <w:spacing w:val="-13"/>
          <w:w w:val="105"/>
        </w:rPr>
        <w:t> </w:t>
      </w:r>
      <w:r>
        <w:rPr>
          <w:color w:val="231F20"/>
          <w:w w:val="105"/>
        </w:rPr>
        <w:t>facultado</w:t>
      </w:r>
      <w:r>
        <w:rPr>
          <w:color w:val="231F20"/>
          <w:spacing w:val="-13"/>
          <w:w w:val="105"/>
        </w:rPr>
        <w:t> </w:t>
      </w:r>
      <w:r>
        <w:rPr>
          <w:color w:val="231F20"/>
          <w:w w:val="105"/>
        </w:rPr>
        <w:t>también</w:t>
      </w:r>
      <w:r>
        <w:rPr>
          <w:color w:val="231F20"/>
          <w:spacing w:val="-13"/>
          <w:w w:val="105"/>
        </w:rPr>
        <w:t> </w:t>
      </w:r>
      <w:r>
        <w:rPr>
          <w:color w:val="231F20"/>
          <w:w w:val="105"/>
        </w:rPr>
        <w:t>con</w:t>
      </w:r>
      <w:r>
        <w:rPr>
          <w:color w:val="231F20"/>
          <w:spacing w:val="-13"/>
          <w:w w:val="105"/>
        </w:rPr>
        <w:t> </w:t>
      </w:r>
      <w:r>
        <w:rPr>
          <w:color w:val="231F20"/>
          <w:w w:val="105"/>
        </w:rPr>
        <w:t>instrumentos</w:t>
      </w:r>
      <w:r>
        <w:rPr>
          <w:color w:val="231F20"/>
          <w:spacing w:val="-13"/>
          <w:w w:val="105"/>
        </w:rPr>
        <w:t> </w:t>
      </w:r>
      <w:r>
        <w:rPr>
          <w:color w:val="231F20"/>
          <w:w w:val="105"/>
        </w:rPr>
        <w:t>financieros</w:t>
      </w:r>
      <w:r>
        <w:rPr>
          <w:color w:val="231F20"/>
          <w:spacing w:val="-13"/>
          <w:w w:val="105"/>
        </w:rPr>
        <w:t> </w:t>
      </w:r>
      <w:r>
        <w:rPr>
          <w:color w:val="231F20"/>
          <w:w w:val="105"/>
        </w:rPr>
        <w:t>que</w:t>
      </w:r>
      <w:r>
        <w:rPr>
          <w:color w:val="231F20"/>
          <w:spacing w:val="-13"/>
          <w:w w:val="105"/>
        </w:rPr>
        <w:t> </w:t>
      </w:r>
      <w:r>
        <w:rPr>
          <w:color w:val="231F20"/>
          <w:w w:val="105"/>
        </w:rPr>
        <w:t>le</w:t>
      </w:r>
      <w:r>
        <w:rPr>
          <w:color w:val="231F20"/>
          <w:spacing w:val="-13"/>
          <w:w w:val="105"/>
        </w:rPr>
        <w:t> </w:t>
      </w:r>
      <w:r>
        <w:rPr>
          <w:color w:val="231F20"/>
          <w:w w:val="105"/>
        </w:rPr>
        <w:t>permitan</w:t>
      </w:r>
      <w:r>
        <w:rPr>
          <w:color w:val="231F20"/>
          <w:spacing w:val="-13"/>
          <w:w w:val="105"/>
        </w:rPr>
        <w:t> </w:t>
      </w:r>
      <w:r>
        <w:rPr>
          <w:color w:val="231F20"/>
          <w:w w:val="105"/>
        </w:rPr>
        <w:t>contar</w:t>
      </w:r>
      <w:r>
        <w:rPr>
          <w:color w:val="231F20"/>
          <w:spacing w:val="-13"/>
          <w:w w:val="105"/>
        </w:rPr>
        <w:t> </w:t>
      </w:r>
      <w:r>
        <w:rPr>
          <w:color w:val="231F20"/>
          <w:w w:val="105"/>
        </w:rPr>
        <w:t>con los</w:t>
      </w:r>
      <w:r>
        <w:rPr>
          <w:color w:val="231F20"/>
          <w:spacing w:val="-19"/>
          <w:w w:val="105"/>
        </w:rPr>
        <w:t> </w:t>
      </w:r>
      <w:r>
        <w:rPr>
          <w:color w:val="231F20"/>
          <w:w w:val="105"/>
        </w:rPr>
        <w:t>recursos</w:t>
      </w:r>
      <w:r>
        <w:rPr>
          <w:color w:val="231F20"/>
          <w:spacing w:val="-19"/>
          <w:w w:val="105"/>
        </w:rPr>
        <w:t> </w:t>
      </w:r>
      <w:r>
        <w:rPr>
          <w:color w:val="231F20"/>
          <w:w w:val="105"/>
        </w:rPr>
        <w:t>suficientes</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desarrollo</w:t>
      </w:r>
      <w:r>
        <w:rPr>
          <w:color w:val="231F20"/>
          <w:spacing w:val="-19"/>
          <w:w w:val="105"/>
        </w:rPr>
        <w:t> </w:t>
      </w:r>
      <w:r>
        <w:rPr>
          <w:color w:val="231F20"/>
          <w:w w:val="105"/>
        </w:rPr>
        <w:t>del</w:t>
      </w:r>
      <w:r>
        <w:rPr>
          <w:color w:val="231F20"/>
          <w:spacing w:val="-19"/>
          <w:w w:val="105"/>
        </w:rPr>
        <w:t> </w:t>
      </w:r>
      <w:r>
        <w:rPr>
          <w:color w:val="231F20"/>
          <w:w w:val="105"/>
        </w:rPr>
        <w:t>ejercicio</w:t>
      </w:r>
      <w:r>
        <w:rPr>
          <w:color w:val="231F20"/>
          <w:spacing w:val="-19"/>
          <w:w w:val="105"/>
        </w:rPr>
        <w:t> </w:t>
      </w:r>
      <w:r>
        <w:rPr>
          <w:color w:val="231F20"/>
          <w:w w:val="105"/>
        </w:rPr>
        <w:t>gubernamental</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combate</w:t>
      </w:r>
      <w:r>
        <w:rPr>
          <w:color w:val="231F20"/>
          <w:spacing w:val="-19"/>
          <w:w w:val="105"/>
        </w:rPr>
        <w:t> </w:t>
      </w:r>
      <w:r>
        <w:rPr>
          <w:color w:val="231F20"/>
          <w:w w:val="105"/>
        </w:rPr>
        <w:t>a</w:t>
      </w:r>
      <w:r>
        <w:rPr>
          <w:color w:val="231F20"/>
          <w:spacing w:val="-19"/>
          <w:w w:val="105"/>
        </w:rPr>
        <w:t> </w:t>
      </w:r>
      <w:r>
        <w:rPr>
          <w:color w:val="231F20"/>
          <w:w w:val="105"/>
        </w:rPr>
        <w:t>las carencias</w:t>
      </w:r>
      <w:r>
        <w:rPr>
          <w:color w:val="231F20"/>
          <w:spacing w:val="-30"/>
          <w:w w:val="105"/>
        </w:rPr>
        <w:t> </w:t>
      </w:r>
      <w:r>
        <w:rPr>
          <w:color w:val="231F20"/>
          <w:w w:val="105"/>
        </w:rPr>
        <w:t>y</w:t>
      </w:r>
      <w:r>
        <w:rPr>
          <w:color w:val="231F20"/>
          <w:spacing w:val="-30"/>
          <w:w w:val="105"/>
        </w:rPr>
        <w:t> </w:t>
      </w:r>
      <w:r>
        <w:rPr>
          <w:color w:val="231F20"/>
          <w:w w:val="105"/>
        </w:rPr>
        <w:t>problemas</w:t>
      </w:r>
      <w:r>
        <w:rPr>
          <w:color w:val="231F20"/>
          <w:spacing w:val="-30"/>
          <w:w w:val="105"/>
        </w:rPr>
        <w:t> </w:t>
      </w:r>
      <w:r>
        <w:rPr>
          <w:color w:val="231F20"/>
          <w:w w:val="105"/>
        </w:rPr>
        <w:t>sociales.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0"/>
          <w:w w:val="105"/>
        </w:rPr>
        <w:t> </w:t>
      </w:r>
      <w:r>
        <w:rPr>
          <w:color w:val="231F20"/>
          <w:w w:val="105"/>
        </w:rPr>
        <w:t>cuanto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segunda</w:t>
      </w:r>
      <w:r>
        <w:rPr>
          <w:color w:val="231F20"/>
          <w:spacing w:val="-10"/>
          <w:w w:val="105"/>
        </w:rPr>
        <w:t> </w:t>
      </w:r>
      <w:r>
        <w:rPr>
          <w:color w:val="231F20"/>
          <w:w w:val="105"/>
        </w:rPr>
        <w:t>función,</w:t>
      </w:r>
      <w:r>
        <w:rPr>
          <w:color w:val="231F20"/>
          <w:spacing w:val="-10"/>
          <w:w w:val="105"/>
        </w:rPr>
        <w:t> </w:t>
      </w:r>
      <w:r>
        <w:rPr>
          <w:color w:val="231F20"/>
          <w:w w:val="105"/>
        </w:rPr>
        <w:t>usualmente</w:t>
      </w:r>
      <w:r>
        <w:rPr>
          <w:color w:val="231F20"/>
          <w:spacing w:val="-10"/>
          <w:w w:val="105"/>
        </w:rPr>
        <w:t> </w:t>
      </w:r>
      <w:r>
        <w:rPr>
          <w:color w:val="231F20"/>
          <w:w w:val="105"/>
        </w:rPr>
        <w:t>la</w:t>
      </w:r>
      <w:r>
        <w:rPr>
          <w:color w:val="231F20"/>
          <w:spacing w:val="-10"/>
          <w:w w:val="105"/>
        </w:rPr>
        <w:t> </w:t>
      </w:r>
      <w:r>
        <w:rPr>
          <w:color w:val="231F20"/>
          <w:w w:val="105"/>
        </w:rPr>
        <w:t>democracia</w:t>
      </w:r>
      <w:r>
        <w:rPr>
          <w:color w:val="231F20"/>
          <w:spacing w:val="-10"/>
          <w:w w:val="105"/>
        </w:rPr>
        <w:t> </w:t>
      </w:r>
      <w:r>
        <w:rPr>
          <w:color w:val="231F20"/>
          <w:w w:val="105"/>
        </w:rPr>
        <w:t>ha</w:t>
      </w:r>
      <w:r>
        <w:rPr>
          <w:color w:val="231F20"/>
          <w:spacing w:val="-10"/>
          <w:w w:val="105"/>
        </w:rPr>
        <w:t> </w:t>
      </w:r>
      <w:r>
        <w:rPr>
          <w:color w:val="231F20"/>
          <w:w w:val="105"/>
        </w:rPr>
        <w:t>sido</w:t>
      </w:r>
      <w:r>
        <w:rPr>
          <w:color w:val="231F20"/>
          <w:spacing w:val="-10"/>
          <w:w w:val="105"/>
        </w:rPr>
        <w:t> </w:t>
      </w:r>
      <w:r>
        <w:rPr>
          <w:color w:val="231F20"/>
          <w:w w:val="105"/>
        </w:rPr>
        <w:t>asociada</w:t>
      </w:r>
      <w:r>
        <w:rPr>
          <w:color w:val="231F20"/>
          <w:spacing w:val="-10"/>
          <w:w w:val="105"/>
        </w:rPr>
        <w:t> </w:t>
      </w:r>
      <w:r>
        <w:rPr>
          <w:color w:val="231F20"/>
          <w:spacing w:val="2"/>
          <w:w w:val="105"/>
        </w:rPr>
        <w:t>al</w:t>
      </w:r>
      <w:r>
        <w:rPr>
          <w:color w:val="231F20"/>
          <w:spacing w:val="-10"/>
          <w:w w:val="105"/>
        </w:rPr>
        <w:t> </w:t>
      </w:r>
      <w:r>
        <w:rPr>
          <w:color w:val="231F20"/>
          <w:w w:val="105"/>
        </w:rPr>
        <w:t>desarro- llo</w:t>
      </w:r>
      <w:r>
        <w:rPr>
          <w:color w:val="231F20"/>
          <w:spacing w:val="-4"/>
          <w:w w:val="105"/>
        </w:rPr>
        <w:t> </w:t>
      </w:r>
      <w:r>
        <w:rPr>
          <w:color w:val="231F20"/>
          <w:w w:val="105"/>
        </w:rPr>
        <w:t>del</w:t>
      </w:r>
      <w:r>
        <w:rPr>
          <w:color w:val="231F20"/>
          <w:spacing w:val="-4"/>
          <w:w w:val="105"/>
        </w:rPr>
        <w:t> </w:t>
      </w:r>
      <w:r>
        <w:rPr>
          <w:color w:val="231F20"/>
          <w:w w:val="105"/>
        </w:rPr>
        <w:t>sistema</w:t>
      </w:r>
      <w:r>
        <w:rPr>
          <w:color w:val="231F20"/>
          <w:spacing w:val="-4"/>
          <w:w w:val="105"/>
        </w:rPr>
        <w:t> </w:t>
      </w:r>
      <w:r>
        <w:rPr>
          <w:color w:val="231F20"/>
          <w:w w:val="105"/>
        </w:rPr>
        <w:t>político</w:t>
      </w:r>
      <w:r>
        <w:rPr>
          <w:color w:val="231F20"/>
          <w:spacing w:val="-4"/>
          <w:w w:val="105"/>
        </w:rPr>
        <w:t> </w:t>
      </w:r>
      <w:r>
        <w:rPr>
          <w:color w:val="231F20"/>
          <w:w w:val="105"/>
        </w:rPr>
        <w:t>y</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partidos,</w:t>
      </w:r>
      <w:r>
        <w:rPr>
          <w:color w:val="231F20"/>
          <w:spacing w:val="-4"/>
          <w:w w:val="105"/>
        </w:rPr>
        <w:t> </w:t>
      </w:r>
      <w:r>
        <w:rPr>
          <w:color w:val="231F20"/>
          <w:w w:val="105"/>
        </w:rPr>
        <w:t>pero</w:t>
      </w:r>
      <w:r>
        <w:rPr>
          <w:color w:val="231F20"/>
          <w:spacing w:val="-4"/>
          <w:w w:val="105"/>
        </w:rPr>
        <w:t> </w:t>
      </w:r>
      <w:r>
        <w:rPr>
          <w:color w:val="231F20"/>
          <w:w w:val="105"/>
        </w:rPr>
        <w:t>muy</w:t>
      </w:r>
      <w:r>
        <w:rPr>
          <w:color w:val="231F20"/>
          <w:spacing w:val="-4"/>
          <w:w w:val="105"/>
        </w:rPr>
        <w:t> </w:t>
      </w:r>
      <w:r>
        <w:rPr>
          <w:color w:val="231F20"/>
          <w:w w:val="105"/>
        </w:rPr>
        <w:t>pocas</w:t>
      </w:r>
      <w:r>
        <w:rPr>
          <w:color w:val="231F20"/>
          <w:spacing w:val="-4"/>
          <w:w w:val="105"/>
        </w:rPr>
        <w:t> </w:t>
      </w:r>
      <w:r>
        <w:rPr>
          <w:color w:val="231F20"/>
          <w:w w:val="105"/>
        </w:rPr>
        <w:t>veces</w:t>
      </w:r>
      <w:r>
        <w:rPr>
          <w:color w:val="231F20"/>
          <w:spacing w:val="-4"/>
          <w:w w:val="105"/>
        </w:rPr>
        <w:t> </w:t>
      </w:r>
      <w:r>
        <w:rPr>
          <w:color w:val="231F20"/>
          <w:w w:val="105"/>
        </w:rPr>
        <w:t>se</w:t>
      </w:r>
      <w:r>
        <w:rPr>
          <w:color w:val="231F20"/>
          <w:spacing w:val="-4"/>
          <w:w w:val="105"/>
        </w:rPr>
        <w:t> </w:t>
      </w:r>
      <w:r>
        <w:rPr>
          <w:color w:val="231F20"/>
          <w:w w:val="105"/>
        </w:rPr>
        <w:t>ha</w:t>
      </w:r>
      <w:r>
        <w:rPr>
          <w:color w:val="231F20"/>
          <w:spacing w:val="-4"/>
          <w:w w:val="105"/>
        </w:rPr>
        <w:t> </w:t>
      </w:r>
      <w:r>
        <w:rPr>
          <w:color w:val="231F20"/>
          <w:w w:val="105"/>
        </w:rPr>
        <w:t>considerado</w:t>
      </w:r>
      <w:r>
        <w:rPr>
          <w:color w:val="231F20"/>
          <w:spacing w:val="-4"/>
          <w:w w:val="105"/>
        </w:rPr>
        <w:t> </w:t>
      </w:r>
      <w:r>
        <w:rPr>
          <w:color w:val="231F20"/>
          <w:w w:val="105"/>
        </w:rPr>
        <w:t>otro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aspecto que el proceso democratizador lleva consigo y que es precisamente una tarea que</w:t>
      </w:r>
      <w:r>
        <w:rPr>
          <w:color w:val="231F20"/>
          <w:spacing w:val="-9"/>
          <w:w w:val="105"/>
        </w:rPr>
        <w:t> </w:t>
      </w:r>
      <w:r>
        <w:rPr>
          <w:color w:val="231F20"/>
          <w:w w:val="105"/>
        </w:rPr>
        <w:t>los</w:t>
      </w:r>
      <w:r>
        <w:rPr>
          <w:color w:val="231F20"/>
          <w:spacing w:val="-9"/>
          <w:w w:val="105"/>
        </w:rPr>
        <w:t> </w:t>
      </w:r>
      <w:r>
        <w:rPr>
          <w:color w:val="231F20"/>
          <w:w w:val="105"/>
        </w:rPr>
        <w:t>gobiernos</w:t>
      </w:r>
      <w:r>
        <w:rPr>
          <w:color w:val="231F20"/>
          <w:spacing w:val="-9"/>
          <w:w w:val="105"/>
        </w:rPr>
        <w:t> </w:t>
      </w:r>
      <w:r>
        <w:rPr>
          <w:color w:val="231F20"/>
          <w:w w:val="105"/>
        </w:rPr>
        <w:t>locales</w:t>
      </w:r>
      <w:r>
        <w:rPr>
          <w:color w:val="231F20"/>
          <w:spacing w:val="-9"/>
          <w:w w:val="105"/>
        </w:rPr>
        <w:t> </w:t>
      </w:r>
      <w:r>
        <w:rPr>
          <w:color w:val="231F20"/>
          <w:w w:val="105"/>
        </w:rPr>
        <w:t>son</w:t>
      </w:r>
      <w:r>
        <w:rPr>
          <w:color w:val="231F20"/>
          <w:spacing w:val="-9"/>
          <w:w w:val="105"/>
        </w:rPr>
        <w:t> </w:t>
      </w:r>
      <w:r>
        <w:rPr>
          <w:color w:val="231F20"/>
          <w:w w:val="105"/>
        </w:rPr>
        <w:t>corresponsables</w:t>
      </w:r>
      <w:r>
        <w:rPr>
          <w:color w:val="231F20"/>
          <w:spacing w:val="-9"/>
          <w:w w:val="105"/>
        </w:rPr>
        <w:t> </w:t>
      </w:r>
      <w:r>
        <w:rPr>
          <w:color w:val="231F20"/>
          <w:w w:val="105"/>
        </w:rPr>
        <w:t>en</w:t>
      </w:r>
      <w:r>
        <w:rPr>
          <w:color w:val="231F20"/>
          <w:spacing w:val="-9"/>
          <w:w w:val="105"/>
        </w:rPr>
        <w:t> </w:t>
      </w:r>
      <w:r>
        <w:rPr>
          <w:color w:val="231F20"/>
          <w:w w:val="105"/>
        </w:rPr>
        <w:t>realizar:</w:t>
      </w:r>
      <w:r>
        <w:rPr>
          <w:color w:val="231F20"/>
          <w:spacing w:val="-9"/>
          <w:w w:val="105"/>
        </w:rPr>
        <w:t> </w:t>
      </w:r>
      <w:r>
        <w:rPr>
          <w:color w:val="231F20"/>
          <w:w w:val="105"/>
        </w:rPr>
        <w:t>el</w:t>
      </w:r>
      <w:r>
        <w:rPr>
          <w:color w:val="231F20"/>
          <w:spacing w:val="-9"/>
          <w:w w:val="105"/>
        </w:rPr>
        <w:t> </w:t>
      </w:r>
      <w:r>
        <w:rPr>
          <w:color w:val="231F20"/>
          <w:spacing w:val="-3"/>
          <w:w w:val="105"/>
        </w:rPr>
        <w:t>fomento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participación de</w:t>
      </w:r>
      <w:r>
        <w:rPr>
          <w:color w:val="231F20"/>
          <w:spacing w:val="-13"/>
          <w:w w:val="105"/>
        </w:rPr>
        <w:t> </w:t>
      </w:r>
      <w:r>
        <w:rPr>
          <w:color w:val="231F20"/>
          <w:w w:val="105"/>
        </w:rPr>
        <w:t>todos</w:t>
      </w:r>
      <w:r>
        <w:rPr>
          <w:color w:val="231F20"/>
          <w:spacing w:val="-13"/>
          <w:w w:val="105"/>
        </w:rPr>
        <w:t> </w:t>
      </w:r>
      <w:r>
        <w:rPr>
          <w:color w:val="231F20"/>
          <w:w w:val="105"/>
        </w:rPr>
        <w:t>los</w:t>
      </w:r>
      <w:r>
        <w:rPr>
          <w:color w:val="231F20"/>
          <w:spacing w:val="-13"/>
          <w:w w:val="105"/>
        </w:rPr>
        <w:t> </w:t>
      </w:r>
      <w:r>
        <w:rPr>
          <w:color w:val="231F20"/>
          <w:w w:val="105"/>
        </w:rPr>
        <w:t>actores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spacing w:val="-3"/>
          <w:w w:val="105"/>
        </w:rPr>
        <w:t>conducción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vida</w:t>
      </w:r>
      <w:r>
        <w:rPr>
          <w:color w:val="231F20"/>
          <w:spacing w:val="-13"/>
          <w:w w:val="105"/>
        </w:rPr>
        <w:t> </w:t>
      </w:r>
      <w:r>
        <w:rPr>
          <w:color w:val="231F20"/>
          <w:w w:val="105"/>
        </w:rPr>
        <w:t>pública.</w:t>
      </w:r>
    </w:p>
    <w:p>
      <w:pPr>
        <w:pStyle w:val="BodyText"/>
        <w:spacing w:before="1"/>
        <w:rPr>
          <w:sz w:val="26"/>
        </w:rPr>
      </w:pPr>
    </w:p>
    <w:p>
      <w:pPr>
        <w:pStyle w:val="BodyText"/>
        <w:spacing w:line="285" w:lineRule="auto"/>
        <w:ind w:left="110" w:right="108"/>
        <w:jc w:val="both"/>
      </w:pPr>
      <w:r>
        <w:rPr>
          <w:color w:val="231F20"/>
          <w:spacing w:val="-3"/>
          <w:w w:val="105"/>
        </w:rPr>
        <w:t>Por </w:t>
      </w:r>
      <w:r>
        <w:rPr>
          <w:color w:val="231F20"/>
          <w:w w:val="105"/>
        </w:rPr>
        <w:t>esto, considerar y tomar en cuenta las diferentes posiciones ideológicas </w:t>
      </w:r>
      <w:r>
        <w:rPr>
          <w:color w:val="231F20"/>
          <w:spacing w:val="2"/>
          <w:w w:val="105"/>
        </w:rPr>
        <w:t>al </w:t>
      </w:r>
      <w:r>
        <w:rPr>
          <w:color w:val="231F20"/>
          <w:w w:val="105"/>
        </w:rPr>
        <w:t>interior de</w:t>
      </w:r>
      <w:r>
        <w:rPr>
          <w:color w:val="231F20"/>
          <w:spacing w:val="-12"/>
          <w:w w:val="105"/>
        </w:rPr>
        <w:t> </w:t>
      </w:r>
      <w:r>
        <w:rPr>
          <w:color w:val="231F20"/>
          <w:w w:val="105"/>
        </w:rPr>
        <w:t>los</w:t>
      </w:r>
      <w:r>
        <w:rPr>
          <w:color w:val="231F20"/>
          <w:spacing w:val="-12"/>
          <w:w w:val="105"/>
        </w:rPr>
        <w:t> </w:t>
      </w:r>
      <w:r>
        <w:rPr>
          <w:color w:val="231F20"/>
          <w:w w:val="105"/>
        </w:rPr>
        <w:t>cabildos,</w:t>
      </w:r>
      <w:r>
        <w:rPr>
          <w:color w:val="231F20"/>
          <w:spacing w:val="-12"/>
          <w:w w:val="105"/>
        </w:rPr>
        <w:t> </w:t>
      </w:r>
      <w:r>
        <w:rPr>
          <w:color w:val="231F20"/>
          <w:w w:val="105"/>
        </w:rPr>
        <w:t>involucrar</w:t>
      </w:r>
      <w:r>
        <w:rPr>
          <w:color w:val="231F20"/>
          <w:spacing w:val="-12"/>
          <w:w w:val="105"/>
        </w:rPr>
        <w:t> </w:t>
      </w:r>
      <w:r>
        <w:rPr>
          <w:color w:val="231F20"/>
          <w:spacing w:val="2"/>
          <w:w w:val="105"/>
        </w:rPr>
        <w:t>al</w:t>
      </w:r>
      <w:r>
        <w:rPr>
          <w:color w:val="231F20"/>
          <w:spacing w:val="-12"/>
          <w:w w:val="105"/>
        </w:rPr>
        <w:t> </w:t>
      </w:r>
      <w:r>
        <w:rPr>
          <w:color w:val="231F20"/>
          <w:w w:val="105"/>
        </w:rPr>
        <w:t>ciudadano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desempeño</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transparentar</w:t>
      </w:r>
      <w:r>
        <w:rPr>
          <w:color w:val="231F20"/>
          <w:spacing w:val="-12"/>
          <w:w w:val="105"/>
        </w:rPr>
        <w:t> </w:t>
      </w:r>
      <w:r>
        <w:rPr>
          <w:color w:val="231F20"/>
          <w:w w:val="105"/>
        </w:rPr>
        <w:t>el ejercicio público, y sobre todo evitar cualquier práctica que atente contra la libertad e igualdad,</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democracia</w:t>
      </w:r>
      <w:r>
        <w:rPr>
          <w:color w:val="231F20"/>
          <w:spacing w:val="-11"/>
          <w:w w:val="105"/>
        </w:rPr>
        <w:t> </w:t>
      </w:r>
      <w:r>
        <w:rPr>
          <w:color w:val="231F20"/>
          <w:w w:val="105"/>
        </w:rPr>
        <w:t>social</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ha</w:t>
      </w:r>
      <w:r>
        <w:rPr>
          <w:color w:val="231F20"/>
          <w:spacing w:val="-11"/>
          <w:w w:val="105"/>
        </w:rPr>
        <w:t> </w:t>
      </w:r>
      <w:r>
        <w:rPr>
          <w:color w:val="231F20"/>
          <w:w w:val="105"/>
        </w:rPr>
        <w:t>convertido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estandarte</w:t>
      </w:r>
      <w:r>
        <w:rPr>
          <w:color w:val="231F20"/>
          <w:spacing w:val="-11"/>
          <w:w w:val="105"/>
        </w:rPr>
        <w:t> </w:t>
      </w:r>
      <w:r>
        <w:rPr>
          <w:color w:val="231F20"/>
          <w:w w:val="105"/>
        </w:rPr>
        <w:t>político</w:t>
      </w:r>
      <w:r>
        <w:rPr>
          <w:color w:val="231F20"/>
          <w:spacing w:val="-11"/>
          <w:w w:val="105"/>
        </w:rPr>
        <w:t> </w:t>
      </w:r>
      <w:r>
        <w:rPr>
          <w:color w:val="231F20"/>
          <w:w w:val="105"/>
        </w:rPr>
        <w:t>del</w:t>
      </w:r>
      <w:r>
        <w:rPr>
          <w:color w:val="231F20"/>
          <w:spacing w:val="-11"/>
          <w:w w:val="105"/>
        </w:rPr>
        <w:t> </w:t>
      </w:r>
      <w:r>
        <w:rPr>
          <w:color w:val="231F20"/>
          <w:w w:val="105"/>
        </w:rPr>
        <w:t>Par- tido</w:t>
      </w:r>
      <w:r>
        <w:rPr>
          <w:color w:val="231F20"/>
          <w:spacing w:val="-31"/>
          <w:w w:val="105"/>
        </w:rPr>
        <w:t> </w:t>
      </w:r>
      <w:r>
        <w:rPr>
          <w:color w:val="231F20"/>
          <w:w w:val="105"/>
        </w:rPr>
        <w:t>Revolucionario</w:t>
      </w:r>
      <w:r>
        <w:rPr>
          <w:color w:val="231F20"/>
          <w:spacing w:val="-31"/>
          <w:w w:val="105"/>
        </w:rPr>
        <w:t> </w:t>
      </w:r>
      <w:r>
        <w:rPr>
          <w:color w:val="231F20"/>
          <w:w w:val="105"/>
        </w:rPr>
        <w:t>Institucional.</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caso</w:t>
      </w:r>
      <w:r>
        <w:rPr>
          <w:color w:val="231F20"/>
          <w:spacing w:val="-12"/>
          <w:w w:val="105"/>
        </w:rPr>
        <w:t> </w:t>
      </w:r>
      <w:r>
        <w:rPr>
          <w:color w:val="231F20"/>
          <w:w w:val="105"/>
        </w:rPr>
        <w:t>de</w:t>
      </w:r>
      <w:r>
        <w:rPr>
          <w:color w:val="231F20"/>
          <w:spacing w:val="-12"/>
          <w:w w:val="105"/>
        </w:rPr>
        <w:t> </w:t>
      </w:r>
      <w:r>
        <w:rPr>
          <w:color w:val="231F20"/>
          <w:w w:val="105"/>
        </w:rPr>
        <w:t>Ixtapan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w:t>
      </w:r>
      <w:r>
        <w:rPr>
          <w:color w:val="231F20"/>
          <w:spacing w:val="-12"/>
          <w:w w:val="105"/>
        </w:rPr>
        <w:t> </w:t>
      </w:r>
      <w:r>
        <w:rPr>
          <w:color w:val="231F20"/>
          <w:w w:val="105"/>
        </w:rPr>
        <w:t>este</w:t>
      </w:r>
      <w:r>
        <w:rPr>
          <w:color w:val="231F20"/>
          <w:spacing w:val="-12"/>
          <w:w w:val="105"/>
        </w:rPr>
        <w:t> </w:t>
      </w:r>
      <w:r>
        <w:rPr>
          <w:color w:val="231F20"/>
          <w:w w:val="105"/>
        </w:rPr>
        <w:t>objetivo</w:t>
      </w:r>
      <w:r>
        <w:rPr>
          <w:color w:val="231F20"/>
          <w:spacing w:val="-12"/>
          <w:w w:val="105"/>
        </w:rPr>
        <w:t> </w:t>
      </w:r>
      <w:r>
        <w:rPr>
          <w:color w:val="231F20"/>
          <w:w w:val="105"/>
        </w:rPr>
        <w:t>no</w:t>
      </w:r>
      <w:r>
        <w:rPr>
          <w:color w:val="231F20"/>
          <w:spacing w:val="-12"/>
          <w:w w:val="105"/>
        </w:rPr>
        <w:t> </w:t>
      </w:r>
      <w:r>
        <w:rPr>
          <w:color w:val="231F20"/>
          <w:w w:val="105"/>
        </w:rPr>
        <w:t>ha</w:t>
      </w:r>
      <w:r>
        <w:rPr>
          <w:color w:val="231F20"/>
          <w:spacing w:val="-12"/>
          <w:w w:val="105"/>
        </w:rPr>
        <w:t> </w:t>
      </w:r>
      <w:r>
        <w:rPr>
          <w:color w:val="231F20"/>
          <w:w w:val="105"/>
        </w:rPr>
        <w:t>logrado</w:t>
      </w:r>
      <w:r>
        <w:rPr>
          <w:color w:val="231F20"/>
          <w:spacing w:val="-12"/>
          <w:w w:val="105"/>
        </w:rPr>
        <w:t> </w:t>
      </w:r>
      <w:r>
        <w:rPr>
          <w:color w:val="231F20"/>
          <w:w w:val="105"/>
        </w:rPr>
        <w:t>consolidarse,</w:t>
      </w:r>
      <w:r>
        <w:rPr>
          <w:color w:val="231F20"/>
          <w:spacing w:val="-12"/>
          <w:w w:val="105"/>
        </w:rPr>
        <w:t> </w:t>
      </w:r>
      <w:r>
        <w:rPr>
          <w:color w:val="231F20"/>
          <w:w w:val="105"/>
        </w:rPr>
        <w:t>pues</w:t>
      </w:r>
      <w:r>
        <w:rPr>
          <w:color w:val="231F20"/>
          <w:spacing w:val="-12"/>
          <w:w w:val="105"/>
        </w:rPr>
        <w:t> </w:t>
      </w:r>
      <w:r>
        <w:rPr>
          <w:color w:val="231F20"/>
          <w:w w:val="105"/>
        </w:rPr>
        <w:t>aunque</w:t>
      </w:r>
      <w:r>
        <w:rPr>
          <w:color w:val="231F20"/>
          <w:spacing w:val="-12"/>
          <w:w w:val="105"/>
        </w:rPr>
        <w:t> </w:t>
      </w:r>
      <w:r>
        <w:rPr>
          <w:color w:val="231F20"/>
          <w:w w:val="105"/>
        </w:rPr>
        <w:t>el municipio</w:t>
      </w:r>
      <w:r>
        <w:rPr>
          <w:color w:val="231F20"/>
          <w:spacing w:val="-9"/>
          <w:w w:val="105"/>
        </w:rPr>
        <w:t> </w:t>
      </w:r>
      <w:r>
        <w:rPr>
          <w:color w:val="231F20"/>
          <w:w w:val="105"/>
        </w:rPr>
        <w:t>se</w:t>
      </w:r>
      <w:r>
        <w:rPr>
          <w:color w:val="231F20"/>
          <w:spacing w:val="-9"/>
          <w:w w:val="105"/>
        </w:rPr>
        <w:t> </w:t>
      </w:r>
      <w:r>
        <w:rPr>
          <w:color w:val="231F20"/>
          <w:w w:val="105"/>
        </w:rPr>
        <w:t>caracteriza</w:t>
      </w:r>
      <w:r>
        <w:rPr>
          <w:color w:val="231F20"/>
          <w:spacing w:val="-9"/>
          <w:w w:val="105"/>
        </w:rPr>
        <w:t> </w:t>
      </w:r>
      <w:r>
        <w:rPr>
          <w:color w:val="231F20"/>
          <w:w w:val="105"/>
        </w:rPr>
        <w:t>por</w:t>
      </w:r>
      <w:r>
        <w:rPr>
          <w:color w:val="231F20"/>
          <w:spacing w:val="-9"/>
          <w:w w:val="105"/>
        </w:rPr>
        <w:t> </w:t>
      </w:r>
      <w:r>
        <w:rPr>
          <w:color w:val="231F20"/>
          <w:w w:val="105"/>
        </w:rPr>
        <w:t>un</w:t>
      </w:r>
      <w:r>
        <w:rPr>
          <w:color w:val="231F20"/>
          <w:spacing w:val="-9"/>
          <w:w w:val="105"/>
        </w:rPr>
        <w:t> </w:t>
      </w:r>
      <w:r>
        <w:rPr>
          <w:color w:val="231F20"/>
          <w:w w:val="105"/>
        </w:rPr>
        <w:t>dominio</w:t>
      </w:r>
      <w:r>
        <w:rPr>
          <w:color w:val="231F20"/>
          <w:spacing w:val="-9"/>
          <w:w w:val="105"/>
        </w:rPr>
        <w:t> </w:t>
      </w:r>
      <w:r>
        <w:rPr>
          <w:color w:val="231F20"/>
          <w:w w:val="105"/>
        </w:rPr>
        <w:t>electoral</w:t>
      </w:r>
      <w:r>
        <w:rPr>
          <w:color w:val="231F20"/>
          <w:spacing w:val="-9"/>
          <w:w w:val="105"/>
        </w:rPr>
        <w:t> </w:t>
      </w:r>
      <w:r>
        <w:rPr>
          <w:color w:val="231F20"/>
          <w:w w:val="105"/>
        </w:rPr>
        <w:t>del</w:t>
      </w:r>
      <w:r>
        <w:rPr>
          <w:color w:val="231F20"/>
          <w:spacing w:val="-9"/>
          <w:w w:val="105"/>
        </w:rPr>
        <w:t> </w:t>
      </w:r>
      <w:r>
        <w:rPr>
          <w:color w:val="231F20"/>
          <w:w w:val="105"/>
        </w:rPr>
        <w:t>PRI</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comunidades</w:t>
      </w:r>
      <w:r>
        <w:rPr>
          <w:color w:val="231F20"/>
          <w:spacing w:val="-9"/>
          <w:w w:val="105"/>
        </w:rPr>
        <w:t> </w:t>
      </w:r>
      <w:r>
        <w:rPr>
          <w:color w:val="231F20"/>
          <w:spacing w:val="-7"/>
          <w:w w:val="105"/>
        </w:rPr>
        <w:t>y,</w:t>
      </w:r>
      <w:r>
        <w:rPr>
          <w:color w:val="231F20"/>
          <w:spacing w:val="-9"/>
          <w:w w:val="105"/>
        </w:rPr>
        <w:t> </w:t>
      </w:r>
      <w:r>
        <w:rPr>
          <w:color w:val="231F20"/>
          <w:w w:val="105"/>
        </w:rPr>
        <w:t>por</w:t>
      </w:r>
      <w:r>
        <w:rPr>
          <w:color w:val="231F20"/>
          <w:spacing w:val="-9"/>
          <w:w w:val="105"/>
        </w:rPr>
        <w:t> </w:t>
      </w:r>
      <w:r>
        <w:rPr>
          <w:color w:val="231F20"/>
          <w:w w:val="105"/>
        </w:rPr>
        <w:t>lo tanto,</w:t>
      </w:r>
      <w:r>
        <w:rPr>
          <w:color w:val="231F20"/>
          <w:spacing w:val="-10"/>
          <w:w w:val="105"/>
        </w:rPr>
        <w:t> </w:t>
      </w:r>
      <w:r>
        <w:rPr>
          <w:color w:val="231F20"/>
          <w:w w:val="105"/>
        </w:rPr>
        <w:t>ser</w:t>
      </w:r>
      <w:r>
        <w:rPr>
          <w:color w:val="231F20"/>
          <w:spacing w:val="-10"/>
          <w:w w:val="105"/>
        </w:rPr>
        <w:t> </w:t>
      </w:r>
      <w:r>
        <w:rPr>
          <w:color w:val="231F20"/>
          <w:w w:val="105"/>
        </w:rPr>
        <w:t>uno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principales</w:t>
      </w:r>
      <w:r>
        <w:rPr>
          <w:color w:val="231F20"/>
          <w:spacing w:val="-10"/>
          <w:w w:val="105"/>
        </w:rPr>
        <w:t> </w:t>
      </w:r>
      <w:r>
        <w:rPr>
          <w:color w:val="231F20"/>
          <w:w w:val="105"/>
        </w:rPr>
        <w:t>bastiones</w:t>
      </w:r>
      <w:r>
        <w:rPr>
          <w:color w:val="231F20"/>
          <w:spacing w:val="-10"/>
          <w:w w:val="105"/>
        </w:rPr>
        <w:t> </w:t>
      </w:r>
      <w:r>
        <w:rPr>
          <w:color w:val="231F20"/>
          <w:w w:val="105"/>
        </w:rPr>
        <w:t>del</w:t>
      </w:r>
      <w:r>
        <w:rPr>
          <w:color w:val="231F20"/>
          <w:spacing w:val="-10"/>
          <w:w w:val="105"/>
        </w:rPr>
        <w:t> </w:t>
      </w:r>
      <w:r>
        <w:rPr>
          <w:color w:val="231F20"/>
          <w:w w:val="105"/>
        </w:rPr>
        <w:t>partido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región,</w:t>
      </w:r>
      <w:r>
        <w:rPr>
          <w:color w:val="231F20"/>
          <w:spacing w:val="-10"/>
          <w:w w:val="105"/>
        </w:rPr>
        <w:t> </w:t>
      </w:r>
      <w:r>
        <w:rPr>
          <w:color w:val="231F20"/>
          <w:w w:val="105"/>
        </w:rPr>
        <w:t>la</w:t>
      </w:r>
      <w:r>
        <w:rPr>
          <w:color w:val="231F20"/>
          <w:spacing w:val="-10"/>
          <w:w w:val="105"/>
        </w:rPr>
        <w:t> </w:t>
      </w:r>
      <w:r>
        <w:rPr>
          <w:color w:val="231F20"/>
          <w:w w:val="105"/>
        </w:rPr>
        <w:t>democracia</w:t>
      </w:r>
      <w:r>
        <w:rPr>
          <w:color w:val="231F20"/>
          <w:spacing w:val="-10"/>
          <w:w w:val="105"/>
        </w:rPr>
        <w:t> </w:t>
      </w:r>
      <w:r>
        <w:rPr>
          <w:color w:val="231F20"/>
          <w:w w:val="105"/>
        </w:rPr>
        <w:t>social en</w:t>
      </w:r>
      <w:r>
        <w:rPr>
          <w:color w:val="231F20"/>
          <w:spacing w:val="-21"/>
          <w:w w:val="105"/>
        </w:rPr>
        <w:t> </w:t>
      </w:r>
      <w:r>
        <w:rPr>
          <w:color w:val="231F20"/>
          <w:w w:val="105"/>
        </w:rPr>
        <w:t>las</w:t>
      </w:r>
      <w:r>
        <w:rPr>
          <w:color w:val="231F20"/>
          <w:spacing w:val="-21"/>
          <w:w w:val="105"/>
        </w:rPr>
        <w:t> </w:t>
      </w:r>
      <w:r>
        <w:rPr>
          <w:color w:val="231F20"/>
          <w:w w:val="105"/>
        </w:rPr>
        <w:t>acciones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actual</w:t>
      </w:r>
      <w:r>
        <w:rPr>
          <w:color w:val="231F20"/>
          <w:spacing w:val="-21"/>
          <w:w w:val="105"/>
        </w:rPr>
        <w:t> </w:t>
      </w:r>
      <w:r>
        <w:rPr>
          <w:color w:val="231F20"/>
          <w:w w:val="105"/>
        </w:rPr>
        <w:t>administración</w:t>
      </w:r>
      <w:r>
        <w:rPr>
          <w:color w:val="231F20"/>
          <w:spacing w:val="-21"/>
          <w:w w:val="105"/>
        </w:rPr>
        <w:t> </w:t>
      </w:r>
      <w:r>
        <w:rPr>
          <w:color w:val="231F20"/>
          <w:w w:val="105"/>
        </w:rPr>
        <w:t>se</w:t>
      </w:r>
      <w:r>
        <w:rPr>
          <w:color w:val="231F20"/>
          <w:spacing w:val="-21"/>
          <w:w w:val="105"/>
        </w:rPr>
        <w:t> </w:t>
      </w:r>
      <w:r>
        <w:rPr>
          <w:color w:val="231F20"/>
          <w:w w:val="105"/>
        </w:rPr>
        <w:t>perciben</w:t>
      </w:r>
      <w:r>
        <w:rPr>
          <w:color w:val="231F20"/>
          <w:spacing w:val="-21"/>
          <w:w w:val="105"/>
        </w:rPr>
        <w:t> </w:t>
      </w:r>
      <w:r>
        <w:rPr>
          <w:color w:val="231F20"/>
          <w:w w:val="105"/>
        </w:rPr>
        <w:t>débiles.</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observa</w:t>
      </w:r>
      <w:r>
        <w:rPr>
          <w:color w:val="231F20"/>
          <w:spacing w:val="-21"/>
          <w:w w:val="105"/>
        </w:rPr>
        <w:t> </w:t>
      </w:r>
      <w:r>
        <w:rPr>
          <w:color w:val="231F20"/>
          <w:w w:val="105"/>
        </w:rPr>
        <w:t>más</w:t>
      </w:r>
      <w:r>
        <w:rPr>
          <w:color w:val="231F20"/>
          <w:spacing w:val="-21"/>
          <w:w w:val="105"/>
        </w:rPr>
        <w:t> </w:t>
      </w:r>
      <w:r>
        <w:rPr>
          <w:color w:val="231F20"/>
          <w:w w:val="105"/>
        </w:rPr>
        <w:t>es la</w:t>
      </w:r>
      <w:r>
        <w:rPr>
          <w:color w:val="231F20"/>
          <w:spacing w:val="-18"/>
          <w:w w:val="105"/>
        </w:rPr>
        <w:t> </w:t>
      </w:r>
      <w:r>
        <w:rPr>
          <w:color w:val="231F20"/>
          <w:w w:val="105"/>
        </w:rPr>
        <w:t>existencia</w:t>
      </w:r>
      <w:r>
        <w:rPr>
          <w:color w:val="231F20"/>
          <w:spacing w:val="-18"/>
          <w:w w:val="105"/>
        </w:rPr>
        <w:t> </w:t>
      </w:r>
      <w:r>
        <w:rPr>
          <w:color w:val="231F20"/>
          <w:w w:val="105"/>
        </w:rPr>
        <w:t>de</w:t>
      </w:r>
      <w:r>
        <w:rPr>
          <w:color w:val="231F20"/>
          <w:spacing w:val="-18"/>
          <w:w w:val="105"/>
        </w:rPr>
        <w:t> </w:t>
      </w:r>
      <w:r>
        <w:rPr>
          <w:color w:val="231F20"/>
          <w:w w:val="105"/>
        </w:rPr>
        <w:t>viejas</w:t>
      </w:r>
      <w:r>
        <w:rPr>
          <w:color w:val="231F20"/>
          <w:spacing w:val="-18"/>
          <w:w w:val="105"/>
        </w:rPr>
        <w:t> </w:t>
      </w:r>
      <w:r>
        <w:rPr>
          <w:color w:val="231F20"/>
          <w:w w:val="105"/>
        </w:rPr>
        <w:t>prácticas</w:t>
      </w:r>
      <w:r>
        <w:rPr>
          <w:color w:val="231F20"/>
          <w:spacing w:val="-18"/>
          <w:w w:val="105"/>
        </w:rPr>
        <w:t> </w:t>
      </w:r>
      <w:r>
        <w:rPr>
          <w:color w:val="231F20"/>
          <w:w w:val="105"/>
        </w:rPr>
        <w:t>arraigadas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ejercicio</w:t>
      </w:r>
      <w:r>
        <w:rPr>
          <w:color w:val="231F20"/>
          <w:spacing w:val="-18"/>
          <w:w w:val="105"/>
        </w:rPr>
        <w:t> </w:t>
      </w:r>
      <w:r>
        <w:rPr>
          <w:color w:val="231F20"/>
          <w:w w:val="105"/>
        </w:rPr>
        <w:t>gubernamental.</w:t>
      </w:r>
    </w:p>
    <w:p>
      <w:pPr>
        <w:pStyle w:val="BodyText"/>
        <w:spacing w:before="1"/>
        <w:rPr>
          <w:sz w:val="26"/>
        </w:rPr>
      </w:pPr>
    </w:p>
    <w:p>
      <w:pPr>
        <w:pStyle w:val="BodyText"/>
        <w:spacing w:line="285" w:lineRule="auto"/>
        <w:ind w:left="110" w:right="107"/>
        <w:jc w:val="both"/>
      </w:pPr>
      <w:r>
        <w:rPr>
          <w:color w:val="231F20"/>
          <w:w w:val="105"/>
        </w:rPr>
        <w:t>Esto</w:t>
      </w:r>
      <w:r>
        <w:rPr>
          <w:color w:val="231F20"/>
          <w:spacing w:val="-21"/>
          <w:w w:val="105"/>
        </w:rPr>
        <w:t> </w:t>
      </w:r>
      <w:r>
        <w:rPr>
          <w:color w:val="231F20"/>
          <w:w w:val="105"/>
        </w:rPr>
        <w:t>lleva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conclusión</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w w:val="105"/>
        </w:rPr>
        <w:t>existe</w:t>
      </w:r>
      <w:r>
        <w:rPr>
          <w:color w:val="231F20"/>
          <w:spacing w:val="-21"/>
          <w:w w:val="105"/>
        </w:rPr>
        <w:t> </w:t>
      </w:r>
      <w:r>
        <w:rPr>
          <w:color w:val="231F20"/>
          <w:w w:val="105"/>
        </w:rPr>
        <w:t>una</w:t>
      </w:r>
      <w:r>
        <w:rPr>
          <w:color w:val="231F20"/>
          <w:spacing w:val="-21"/>
          <w:w w:val="105"/>
        </w:rPr>
        <w:t> </w:t>
      </w:r>
      <w:r>
        <w:rPr>
          <w:color w:val="231F20"/>
          <w:w w:val="105"/>
        </w:rPr>
        <w:t>fuerte</w:t>
      </w:r>
      <w:r>
        <w:rPr>
          <w:color w:val="231F20"/>
          <w:spacing w:val="-21"/>
          <w:w w:val="105"/>
        </w:rPr>
        <w:t> </w:t>
      </w:r>
      <w:r>
        <w:rPr>
          <w:color w:val="231F20"/>
          <w:w w:val="105"/>
        </w:rPr>
        <w:t>relación</w:t>
      </w:r>
      <w:r>
        <w:rPr>
          <w:color w:val="231F20"/>
          <w:spacing w:val="-21"/>
          <w:w w:val="105"/>
        </w:rPr>
        <w:t> </w:t>
      </w:r>
      <w:r>
        <w:rPr>
          <w:color w:val="231F20"/>
          <w:w w:val="105"/>
        </w:rPr>
        <w:t>entre</w:t>
      </w:r>
      <w:r>
        <w:rPr>
          <w:color w:val="231F20"/>
          <w:spacing w:val="-21"/>
          <w:w w:val="105"/>
        </w:rPr>
        <w:t> </w:t>
      </w:r>
      <w:r>
        <w:rPr>
          <w:color w:val="231F20"/>
          <w:w w:val="105"/>
        </w:rPr>
        <w:t>partido</w:t>
      </w:r>
      <w:r>
        <w:rPr>
          <w:color w:val="231F20"/>
          <w:spacing w:val="-21"/>
          <w:w w:val="105"/>
        </w:rPr>
        <w:t> </w:t>
      </w:r>
      <w:r>
        <w:rPr>
          <w:color w:val="231F20"/>
          <w:w w:val="105"/>
        </w:rPr>
        <w:t>y</w:t>
      </w:r>
      <w:r>
        <w:rPr>
          <w:color w:val="231F20"/>
          <w:spacing w:val="-21"/>
          <w:w w:val="105"/>
        </w:rPr>
        <w:t> </w:t>
      </w:r>
      <w:r>
        <w:rPr>
          <w:color w:val="231F20"/>
          <w:w w:val="105"/>
        </w:rPr>
        <w:t>gobierno,</w:t>
      </w:r>
      <w:r>
        <w:rPr>
          <w:color w:val="231F20"/>
          <w:spacing w:val="-21"/>
          <w:w w:val="105"/>
        </w:rPr>
        <w:t> </w:t>
      </w:r>
      <w:r>
        <w:rPr>
          <w:color w:val="231F20"/>
          <w:w w:val="105"/>
        </w:rPr>
        <w:t>pero está más fincada en factores de poder entre los actores políticos que en los principios ideológicos</w:t>
      </w:r>
      <w:r>
        <w:rPr>
          <w:color w:val="231F20"/>
          <w:spacing w:val="-8"/>
          <w:w w:val="105"/>
        </w:rPr>
        <w:t> </w:t>
      </w:r>
      <w:r>
        <w:rPr>
          <w:color w:val="231F20"/>
          <w:w w:val="105"/>
        </w:rPr>
        <w:t>que</w:t>
      </w:r>
      <w:r>
        <w:rPr>
          <w:color w:val="231F20"/>
          <w:spacing w:val="-8"/>
          <w:w w:val="105"/>
        </w:rPr>
        <w:t> </w:t>
      </w:r>
      <w:r>
        <w:rPr>
          <w:color w:val="231F20"/>
          <w:w w:val="105"/>
        </w:rPr>
        <w:t>definen</w:t>
      </w:r>
      <w:r>
        <w:rPr>
          <w:color w:val="231F20"/>
          <w:spacing w:val="-8"/>
          <w:w w:val="105"/>
        </w:rPr>
        <w:t> </w:t>
      </w:r>
      <w:r>
        <w:rPr>
          <w:color w:val="231F20"/>
          <w:spacing w:val="2"/>
          <w:w w:val="105"/>
        </w:rPr>
        <w:t>al</w:t>
      </w:r>
      <w:r>
        <w:rPr>
          <w:color w:val="231F20"/>
          <w:spacing w:val="-8"/>
          <w:w w:val="105"/>
        </w:rPr>
        <w:t> </w:t>
      </w:r>
      <w:r>
        <w:rPr>
          <w:color w:val="231F20"/>
          <w:w w:val="105"/>
        </w:rPr>
        <w:t>partido.</w:t>
      </w:r>
      <w:r>
        <w:rPr>
          <w:color w:val="231F20"/>
          <w:spacing w:val="-8"/>
          <w:w w:val="105"/>
        </w:rPr>
        <w:t> </w:t>
      </w:r>
      <w:r>
        <w:rPr>
          <w:color w:val="231F20"/>
          <w:w w:val="105"/>
        </w:rPr>
        <w:t>Asuntos</w:t>
      </w:r>
      <w:r>
        <w:rPr>
          <w:color w:val="231F20"/>
          <w:spacing w:val="-8"/>
          <w:w w:val="105"/>
        </w:rPr>
        <w:t> </w:t>
      </w:r>
      <w:r>
        <w:rPr>
          <w:color w:val="231F20"/>
          <w:w w:val="105"/>
        </w:rPr>
        <w:t>como</w:t>
      </w:r>
      <w:r>
        <w:rPr>
          <w:color w:val="231F20"/>
          <w:spacing w:val="-8"/>
          <w:w w:val="105"/>
        </w:rPr>
        <w:t> </w:t>
      </w:r>
      <w:r>
        <w:rPr>
          <w:color w:val="231F20"/>
          <w:w w:val="105"/>
        </w:rPr>
        <w:t>planeación</w:t>
      </w:r>
      <w:r>
        <w:rPr>
          <w:color w:val="231F20"/>
          <w:spacing w:val="-8"/>
          <w:w w:val="105"/>
        </w:rPr>
        <w:t> </w:t>
      </w:r>
      <w:r>
        <w:rPr>
          <w:color w:val="231F20"/>
          <w:w w:val="105"/>
        </w:rPr>
        <w:t>y</w:t>
      </w:r>
      <w:r>
        <w:rPr>
          <w:color w:val="231F20"/>
          <w:spacing w:val="-8"/>
          <w:w w:val="105"/>
        </w:rPr>
        <w:t> </w:t>
      </w:r>
      <w:r>
        <w:rPr>
          <w:color w:val="231F20"/>
          <w:w w:val="105"/>
        </w:rPr>
        <w:t>normatividad,</w:t>
      </w:r>
      <w:r>
        <w:rPr>
          <w:color w:val="231F20"/>
          <w:spacing w:val="-8"/>
          <w:w w:val="105"/>
        </w:rPr>
        <w:t> </w:t>
      </w:r>
      <w:r>
        <w:rPr>
          <w:color w:val="231F20"/>
          <w:spacing w:val="-3"/>
          <w:w w:val="105"/>
        </w:rPr>
        <w:t>fomento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participación</w:t>
      </w:r>
      <w:r>
        <w:rPr>
          <w:color w:val="231F20"/>
          <w:spacing w:val="-5"/>
          <w:w w:val="105"/>
        </w:rPr>
        <w:t> </w:t>
      </w:r>
      <w:r>
        <w:rPr>
          <w:color w:val="231F20"/>
          <w:w w:val="105"/>
        </w:rPr>
        <w:t>ciudadana</w:t>
      </w:r>
      <w:r>
        <w:rPr>
          <w:color w:val="231F20"/>
          <w:spacing w:val="-5"/>
          <w:w w:val="105"/>
        </w:rPr>
        <w:t> </w:t>
      </w:r>
      <w:r>
        <w:rPr>
          <w:color w:val="231F20"/>
          <w:w w:val="105"/>
        </w:rPr>
        <w:t>y</w:t>
      </w:r>
      <w:r>
        <w:rPr>
          <w:color w:val="231F20"/>
          <w:spacing w:val="-5"/>
          <w:w w:val="105"/>
        </w:rPr>
        <w:t> </w:t>
      </w:r>
      <w:r>
        <w:rPr>
          <w:color w:val="231F20"/>
          <w:w w:val="105"/>
        </w:rPr>
        <w:t>acceso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información</w:t>
      </w:r>
      <w:r>
        <w:rPr>
          <w:color w:val="231F20"/>
          <w:spacing w:val="-5"/>
          <w:w w:val="105"/>
        </w:rPr>
        <w:t> </w:t>
      </w:r>
      <w:r>
        <w:rPr>
          <w:color w:val="231F20"/>
          <w:w w:val="105"/>
        </w:rPr>
        <w:t>pública,</w:t>
      </w:r>
      <w:r>
        <w:rPr>
          <w:color w:val="231F20"/>
          <w:spacing w:val="-5"/>
          <w:w w:val="105"/>
        </w:rPr>
        <w:t> </w:t>
      </w:r>
      <w:r>
        <w:rPr>
          <w:color w:val="231F20"/>
          <w:w w:val="105"/>
        </w:rPr>
        <w:t>son</w:t>
      </w:r>
      <w:r>
        <w:rPr>
          <w:color w:val="231F20"/>
          <w:spacing w:val="-5"/>
          <w:w w:val="105"/>
        </w:rPr>
        <w:t> </w:t>
      </w:r>
      <w:r>
        <w:rPr>
          <w:color w:val="231F20"/>
          <w:w w:val="105"/>
        </w:rPr>
        <w:t>más</w:t>
      </w:r>
      <w:r>
        <w:rPr>
          <w:color w:val="231F20"/>
          <w:spacing w:val="-5"/>
          <w:w w:val="105"/>
        </w:rPr>
        <w:t> </w:t>
      </w:r>
      <w:r>
        <w:rPr>
          <w:color w:val="231F20"/>
          <w:w w:val="105"/>
        </w:rPr>
        <w:t>bien</w:t>
      </w:r>
      <w:r>
        <w:rPr>
          <w:color w:val="231F20"/>
          <w:spacing w:val="-5"/>
          <w:w w:val="105"/>
        </w:rPr>
        <w:t> </w:t>
      </w:r>
      <w:r>
        <w:rPr>
          <w:color w:val="231F20"/>
          <w:w w:val="105"/>
        </w:rPr>
        <w:t>disposi- ciones</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gobierno</w:t>
      </w:r>
      <w:r>
        <w:rPr>
          <w:color w:val="231F20"/>
          <w:spacing w:val="-25"/>
          <w:w w:val="105"/>
        </w:rPr>
        <w:t> </w:t>
      </w:r>
      <w:r>
        <w:rPr>
          <w:color w:val="231F20"/>
          <w:w w:val="105"/>
        </w:rPr>
        <w:t>estatal</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congreso</w:t>
      </w:r>
      <w:r>
        <w:rPr>
          <w:color w:val="231F20"/>
          <w:spacing w:val="-25"/>
          <w:w w:val="105"/>
        </w:rPr>
        <w:t> </w:t>
      </w:r>
      <w:r>
        <w:rPr>
          <w:color w:val="231F20"/>
          <w:w w:val="105"/>
        </w:rPr>
        <w:t>local</w:t>
      </w:r>
      <w:r>
        <w:rPr>
          <w:color w:val="231F20"/>
          <w:spacing w:val="-25"/>
          <w:w w:val="105"/>
        </w:rPr>
        <w:t> </w:t>
      </w:r>
      <w:r>
        <w:rPr>
          <w:color w:val="231F20"/>
          <w:w w:val="105"/>
        </w:rPr>
        <w:t>solicitan</w:t>
      </w:r>
      <w:r>
        <w:rPr>
          <w:color w:val="231F20"/>
          <w:spacing w:val="-25"/>
          <w:w w:val="105"/>
        </w:rPr>
        <w:t> </w:t>
      </w:r>
      <w:r>
        <w:rPr>
          <w:color w:val="231F20"/>
          <w:w w:val="105"/>
        </w:rPr>
        <w:t>como</w:t>
      </w:r>
      <w:r>
        <w:rPr>
          <w:color w:val="231F20"/>
          <w:spacing w:val="-25"/>
          <w:w w:val="105"/>
        </w:rPr>
        <w:t> </w:t>
      </w:r>
      <w:r>
        <w:rPr>
          <w:color w:val="231F20"/>
          <w:w w:val="105"/>
        </w:rPr>
        <w:t>requisitos</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w w:val="105"/>
        </w:rPr>
        <w:t>acceso a ciertos beneficios, que como instrumentos para el cumplimiento de los fines que el partido quisiera implementar en el</w:t>
      </w:r>
      <w:r>
        <w:rPr>
          <w:color w:val="231F20"/>
          <w:spacing w:val="-40"/>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Lo</w:t>
      </w:r>
      <w:r>
        <w:rPr>
          <w:color w:val="231F20"/>
          <w:spacing w:val="-14"/>
          <w:w w:val="105"/>
        </w:rPr>
        <w:t> </w:t>
      </w:r>
      <w:r>
        <w:rPr>
          <w:color w:val="231F20"/>
          <w:w w:val="105"/>
        </w:rPr>
        <w:t>cierto</w:t>
      </w:r>
      <w:r>
        <w:rPr>
          <w:color w:val="231F20"/>
          <w:spacing w:val="-14"/>
          <w:w w:val="105"/>
        </w:rPr>
        <w:t> </w:t>
      </w:r>
      <w:r>
        <w:rPr>
          <w:color w:val="231F20"/>
          <w:w w:val="105"/>
        </w:rPr>
        <w:t>es</w:t>
      </w:r>
      <w:r>
        <w:rPr>
          <w:color w:val="231F20"/>
          <w:spacing w:val="-14"/>
          <w:w w:val="105"/>
        </w:rPr>
        <w:t> </w:t>
      </w:r>
      <w:r>
        <w:rPr>
          <w:color w:val="231F20"/>
          <w:w w:val="105"/>
        </w:rPr>
        <w:t>que</w:t>
      </w:r>
      <w:r>
        <w:rPr>
          <w:color w:val="231F20"/>
          <w:spacing w:val="-14"/>
          <w:w w:val="105"/>
        </w:rPr>
        <w:t> </w:t>
      </w:r>
      <w:r>
        <w:rPr>
          <w:color w:val="231F20"/>
          <w:w w:val="105"/>
        </w:rPr>
        <w:t>precisamente</w:t>
      </w:r>
      <w:r>
        <w:rPr>
          <w:color w:val="231F20"/>
          <w:spacing w:val="-14"/>
          <w:w w:val="105"/>
        </w:rPr>
        <w:t> </w:t>
      </w:r>
      <w:r>
        <w:rPr>
          <w:color w:val="231F20"/>
          <w:w w:val="105"/>
        </w:rPr>
        <w:t>son</w:t>
      </w:r>
      <w:r>
        <w:rPr>
          <w:color w:val="231F20"/>
          <w:spacing w:val="-14"/>
          <w:w w:val="105"/>
        </w:rPr>
        <w:t> </w:t>
      </w:r>
      <w:r>
        <w:rPr>
          <w:color w:val="231F20"/>
          <w:w w:val="105"/>
        </w:rPr>
        <w:t>los</w:t>
      </w:r>
      <w:r>
        <w:rPr>
          <w:color w:val="231F20"/>
          <w:spacing w:val="-14"/>
          <w:w w:val="105"/>
        </w:rPr>
        <w:t> </w:t>
      </w:r>
      <w:r>
        <w:rPr>
          <w:color w:val="231F20"/>
          <w:w w:val="105"/>
        </w:rPr>
        <w:t>juegos</w:t>
      </w:r>
      <w:r>
        <w:rPr>
          <w:color w:val="231F20"/>
          <w:spacing w:val="-14"/>
          <w:w w:val="105"/>
        </w:rPr>
        <w:t> </w:t>
      </w:r>
      <w:r>
        <w:rPr>
          <w:color w:val="231F20"/>
          <w:w w:val="105"/>
        </w:rPr>
        <w:t>de</w:t>
      </w:r>
      <w:r>
        <w:rPr>
          <w:color w:val="231F20"/>
          <w:spacing w:val="-14"/>
          <w:w w:val="105"/>
        </w:rPr>
        <w:t> </w:t>
      </w:r>
      <w:r>
        <w:rPr>
          <w:color w:val="231F20"/>
          <w:w w:val="105"/>
        </w:rPr>
        <w:t>poder</w:t>
      </w:r>
      <w:r>
        <w:rPr>
          <w:color w:val="231F20"/>
          <w:spacing w:val="-14"/>
          <w:w w:val="105"/>
        </w:rPr>
        <w:t> </w:t>
      </w:r>
      <w:r>
        <w:rPr>
          <w:color w:val="231F20"/>
          <w:spacing w:val="2"/>
          <w:w w:val="105"/>
        </w:rPr>
        <w:t>al</w:t>
      </w:r>
      <w:r>
        <w:rPr>
          <w:color w:val="231F20"/>
          <w:spacing w:val="-14"/>
          <w:w w:val="105"/>
        </w:rPr>
        <w:t> </w:t>
      </w:r>
      <w:r>
        <w:rPr>
          <w:color w:val="231F20"/>
          <w:w w:val="105"/>
        </w:rPr>
        <w:t>interior</w:t>
      </w:r>
      <w:r>
        <w:rPr>
          <w:color w:val="231F20"/>
          <w:spacing w:val="-14"/>
          <w:w w:val="105"/>
        </w:rPr>
        <w:t> </w:t>
      </w:r>
      <w:r>
        <w:rPr>
          <w:color w:val="231F20"/>
          <w:w w:val="105"/>
        </w:rPr>
        <w:t>del</w:t>
      </w:r>
      <w:r>
        <w:rPr>
          <w:color w:val="231F20"/>
          <w:spacing w:val="-14"/>
          <w:w w:val="105"/>
        </w:rPr>
        <w:t> </w:t>
      </w:r>
      <w:r>
        <w:rPr>
          <w:color w:val="231F20"/>
          <w:w w:val="105"/>
        </w:rPr>
        <w:t>partido</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defi- ne</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candidatos</w:t>
      </w:r>
      <w:r>
        <w:rPr>
          <w:color w:val="231F20"/>
          <w:spacing w:val="-18"/>
          <w:w w:val="105"/>
        </w:rPr>
        <w:t> </w:t>
      </w:r>
      <w:r>
        <w:rPr>
          <w:color w:val="231F20"/>
          <w:w w:val="105"/>
        </w:rPr>
        <w:t>a</w:t>
      </w:r>
      <w:r>
        <w:rPr>
          <w:color w:val="231F20"/>
          <w:spacing w:val="-18"/>
          <w:w w:val="105"/>
        </w:rPr>
        <w:t> </w:t>
      </w:r>
      <w:r>
        <w:rPr>
          <w:color w:val="231F20"/>
          <w:w w:val="105"/>
        </w:rPr>
        <w:t>ocupar</w:t>
      </w:r>
      <w:r>
        <w:rPr>
          <w:color w:val="231F20"/>
          <w:spacing w:val="-18"/>
          <w:w w:val="105"/>
        </w:rPr>
        <w:t> </w:t>
      </w:r>
      <w:r>
        <w:rPr>
          <w:color w:val="231F20"/>
          <w:w w:val="105"/>
        </w:rPr>
        <w:t>los</w:t>
      </w:r>
      <w:r>
        <w:rPr>
          <w:color w:val="231F20"/>
          <w:spacing w:val="-18"/>
          <w:w w:val="105"/>
        </w:rPr>
        <w:t> </w:t>
      </w:r>
      <w:r>
        <w:rPr>
          <w:color w:val="231F20"/>
          <w:w w:val="105"/>
        </w:rPr>
        <w:t>cargos.</w:t>
      </w:r>
      <w:r>
        <w:rPr>
          <w:color w:val="231F20"/>
          <w:spacing w:val="-18"/>
          <w:w w:val="105"/>
        </w:rPr>
        <w:t> </w:t>
      </w:r>
      <w:r>
        <w:rPr>
          <w:color w:val="231F20"/>
          <w:spacing w:val="-7"/>
          <w:w w:val="105"/>
        </w:rPr>
        <w:t>Ya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gobierno,</w:t>
      </w:r>
      <w:r>
        <w:rPr>
          <w:color w:val="231F20"/>
          <w:spacing w:val="-18"/>
          <w:w w:val="105"/>
        </w:rPr>
        <w:t> </w:t>
      </w:r>
      <w:r>
        <w:rPr>
          <w:color w:val="231F20"/>
          <w:w w:val="105"/>
        </w:rPr>
        <w:t>la</w:t>
      </w:r>
      <w:r>
        <w:rPr>
          <w:color w:val="231F20"/>
          <w:spacing w:val="-18"/>
          <w:w w:val="105"/>
        </w:rPr>
        <w:t> </w:t>
      </w:r>
      <w:r>
        <w:rPr>
          <w:color w:val="231F20"/>
          <w:w w:val="105"/>
        </w:rPr>
        <w:t>participación</w:t>
      </w:r>
      <w:r>
        <w:rPr>
          <w:color w:val="231F20"/>
          <w:spacing w:val="-18"/>
          <w:w w:val="105"/>
        </w:rPr>
        <w:t> </w:t>
      </w:r>
      <w:r>
        <w:rPr>
          <w:color w:val="231F20"/>
          <w:w w:val="105"/>
        </w:rPr>
        <w:t>del</w:t>
      </w:r>
      <w:r>
        <w:rPr>
          <w:color w:val="231F20"/>
          <w:spacing w:val="-18"/>
          <w:w w:val="105"/>
        </w:rPr>
        <w:t> </w:t>
      </w:r>
      <w:r>
        <w:rPr>
          <w:color w:val="231F20"/>
          <w:w w:val="105"/>
        </w:rPr>
        <w:t>partido</w:t>
      </w:r>
      <w:r>
        <w:rPr>
          <w:color w:val="231F20"/>
          <w:spacing w:val="-18"/>
          <w:w w:val="105"/>
        </w:rPr>
        <w:t> </w:t>
      </w:r>
      <w:r>
        <w:rPr>
          <w:color w:val="231F20"/>
          <w:w w:val="105"/>
        </w:rPr>
        <w:t>se concentra en el reparto de las diferentes dependencias de la estructura organizacional del</w:t>
      </w:r>
      <w:r>
        <w:rPr>
          <w:color w:val="231F20"/>
          <w:spacing w:val="-25"/>
          <w:w w:val="105"/>
        </w:rPr>
        <w:t> </w:t>
      </w:r>
      <w:r>
        <w:rPr>
          <w:color w:val="231F20"/>
          <w:w w:val="105"/>
        </w:rPr>
        <w:t>municipio;</w:t>
      </w:r>
      <w:r>
        <w:rPr>
          <w:color w:val="231F20"/>
          <w:spacing w:val="-25"/>
          <w:w w:val="105"/>
        </w:rPr>
        <w:t> </w:t>
      </w:r>
      <w:r>
        <w:rPr>
          <w:color w:val="231F20"/>
          <w:w w:val="105"/>
        </w:rPr>
        <w:t>durante</w:t>
      </w:r>
      <w:r>
        <w:rPr>
          <w:color w:val="231F20"/>
          <w:spacing w:val="-25"/>
          <w:w w:val="105"/>
        </w:rPr>
        <w:t> </w:t>
      </w:r>
      <w:r>
        <w:rPr>
          <w:color w:val="231F20"/>
          <w:w w:val="105"/>
        </w:rPr>
        <w:t>el</w:t>
      </w:r>
      <w:r>
        <w:rPr>
          <w:color w:val="231F20"/>
          <w:spacing w:val="-25"/>
          <w:w w:val="105"/>
        </w:rPr>
        <w:t> </w:t>
      </w:r>
      <w:r>
        <w:rPr>
          <w:color w:val="231F20"/>
          <w:w w:val="105"/>
        </w:rPr>
        <w:t>desarrollo</w:t>
      </w:r>
      <w:r>
        <w:rPr>
          <w:color w:val="231F20"/>
          <w:spacing w:val="-25"/>
          <w:w w:val="105"/>
        </w:rPr>
        <w:t> </w:t>
      </w:r>
      <w:r>
        <w:rPr>
          <w:color w:val="231F20"/>
          <w:w w:val="105"/>
        </w:rPr>
        <w:t>del</w:t>
      </w:r>
      <w:r>
        <w:rPr>
          <w:color w:val="231F20"/>
          <w:spacing w:val="-25"/>
          <w:w w:val="105"/>
        </w:rPr>
        <w:t> </w:t>
      </w:r>
      <w:r>
        <w:rPr>
          <w:color w:val="231F20"/>
          <w:w w:val="105"/>
        </w:rPr>
        <w:t>trienio,</w:t>
      </w:r>
      <w:r>
        <w:rPr>
          <w:color w:val="231F20"/>
          <w:spacing w:val="-25"/>
          <w:w w:val="105"/>
        </w:rPr>
        <w:t> </w:t>
      </w:r>
      <w:r>
        <w:rPr>
          <w:color w:val="231F20"/>
          <w:w w:val="105"/>
        </w:rPr>
        <w:t>aquellos</w:t>
      </w:r>
      <w:r>
        <w:rPr>
          <w:color w:val="231F20"/>
          <w:spacing w:val="-25"/>
          <w:w w:val="105"/>
        </w:rPr>
        <w:t> </w:t>
      </w:r>
      <w:r>
        <w:rPr>
          <w:color w:val="231F20"/>
          <w:w w:val="105"/>
        </w:rPr>
        <w:t>cargos</w:t>
      </w:r>
      <w:r>
        <w:rPr>
          <w:color w:val="231F20"/>
          <w:spacing w:val="-25"/>
          <w:w w:val="105"/>
        </w:rPr>
        <w:t> </w:t>
      </w:r>
      <w:r>
        <w:rPr>
          <w:color w:val="231F20"/>
          <w:w w:val="105"/>
        </w:rPr>
        <w:t>que</w:t>
      </w:r>
      <w:r>
        <w:rPr>
          <w:color w:val="231F20"/>
          <w:spacing w:val="-25"/>
          <w:w w:val="105"/>
        </w:rPr>
        <w:t> </w:t>
      </w:r>
      <w:r>
        <w:rPr>
          <w:color w:val="231F20"/>
          <w:w w:val="105"/>
        </w:rPr>
        <w:t>signifiquen</w:t>
      </w:r>
      <w:r>
        <w:rPr>
          <w:color w:val="231F20"/>
          <w:spacing w:val="-25"/>
          <w:w w:val="105"/>
        </w:rPr>
        <w:t> </w:t>
      </w:r>
      <w:r>
        <w:rPr>
          <w:color w:val="231F20"/>
          <w:w w:val="105"/>
        </w:rPr>
        <w:t>mayores beneficios</w:t>
      </w:r>
      <w:r>
        <w:rPr>
          <w:color w:val="231F20"/>
          <w:spacing w:val="-8"/>
          <w:w w:val="105"/>
        </w:rPr>
        <w:t> </w:t>
      </w:r>
      <w:r>
        <w:rPr>
          <w:color w:val="231F20"/>
          <w:w w:val="105"/>
        </w:rPr>
        <w:t>electorales</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partido</w:t>
      </w:r>
      <w:r>
        <w:rPr>
          <w:color w:val="231F20"/>
          <w:spacing w:val="-8"/>
          <w:w w:val="105"/>
        </w:rPr>
        <w:t> </w:t>
      </w:r>
      <w:r>
        <w:rPr>
          <w:color w:val="231F20"/>
          <w:w w:val="105"/>
        </w:rPr>
        <w:t>son</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reciben</w:t>
      </w:r>
      <w:r>
        <w:rPr>
          <w:color w:val="231F20"/>
          <w:spacing w:val="-8"/>
          <w:w w:val="105"/>
        </w:rPr>
        <w:t> </w:t>
      </w:r>
      <w:r>
        <w:rPr>
          <w:color w:val="231F20"/>
          <w:w w:val="105"/>
        </w:rPr>
        <w:t>los</w:t>
      </w:r>
      <w:r>
        <w:rPr>
          <w:color w:val="231F20"/>
          <w:spacing w:val="-8"/>
          <w:w w:val="105"/>
        </w:rPr>
        <w:t> </w:t>
      </w:r>
      <w:r>
        <w:rPr>
          <w:color w:val="231F20"/>
          <w:w w:val="105"/>
        </w:rPr>
        <w:t>apoyos</w:t>
      </w:r>
      <w:r>
        <w:rPr>
          <w:color w:val="231F20"/>
          <w:spacing w:val="-8"/>
          <w:w w:val="105"/>
        </w:rPr>
        <w:t> </w:t>
      </w:r>
      <w:r>
        <w:rPr>
          <w:color w:val="231F20"/>
          <w:w w:val="105"/>
        </w:rPr>
        <w:t>provenientes</w:t>
      </w:r>
      <w:r>
        <w:rPr>
          <w:color w:val="231F20"/>
          <w:spacing w:val="-8"/>
          <w:w w:val="105"/>
        </w:rPr>
        <w:t> </w:t>
      </w:r>
      <w:r>
        <w:rPr>
          <w:color w:val="231F20"/>
          <w:w w:val="105"/>
        </w:rPr>
        <w:t>de</w:t>
      </w:r>
      <w:r>
        <w:rPr>
          <w:color w:val="231F20"/>
          <w:spacing w:val="-8"/>
          <w:w w:val="105"/>
        </w:rPr>
        <w:t> </w:t>
      </w:r>
      <w:r>
        <w:rPr>
          <w:color w:val="231F20"/>
          <w:w w:val="105"/>
        </w:rPr>
        <w:t>la gestión de</w:t>
      </w:r>
      <w:r>
        <w:rPr>
          <w:color w:val="231F20"/>
          <w:spacing w:val="-39"/>
          <w:w w:val="105"/>
        </w:rPr>
        <w:t> </w:t>
      </w:r>
      <w:r>
        <w:rPr>
          <w:color w:val="231F20"/>
          <w:spacing w:val="-2"/>
          <w:w w:val="105"/>
        </w:rPr>
        <w:t>gobierno.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Esto</w:t>
      </w:r>
      <w:r>
        <w:rPr>
          <w:color w:val="231F20"/>
          <w:spacing w:val="-7"/>
          <w:w w:val="105"/>
        </w:rPr>
        <w:t> </w:t>
      </w:r>
      <w:r>
        <w:rPr>
          <w:color w:val="231F20"/>
          <w:w w:val="105"/>
        </w:rPr>
        <w:t>se</w:t>
      </w:r>
      <w:r>
        <w:rPr>
          <w:color w:val="231F20"/>
          <w:spacing w:val="-7"/>
          <w:w w:val="105"/>
        </w:rPr>
        <w:t> </w:t>
      </w:r>
      <w:r>
        <w:rPr>
          <w:color w:val="231F20"/>
          <w:w w:val="105"/>
        </w:rPr>
        <w:t>refuerza</w:t>
      </w:r>
      <w:r>
        <w:rPr>
          <w:color w:val="231F20"/>
          <w:spacing w:val="-7"/>
          <w:w w:val="105"/>
        </w:rPr>
        <w:t> </w:t>
      </w:r>
      <w:r>
        <w:rPr>
          <w:color w:val="231F20"/>
          <w:w w:val="105"/>
        </w:rPr>
        <w:t>cuando</w:t>
      </w:r>
      <w:r>
        <w:rPr>
          <w:color w:val="231F20"/>
          <w:spacing w:val="-7"/>
          <w:w w:val="105"/>
        </w:rPr>
        <w:t> </w:t>
      </w:r>
      <w:r>
        <w:rPr>
          <w:color w:val="231F20"/>
          <w:w w:val="105"/>
        </w:rPr>
        <w:t>el</w:t>
      </w:r>
      <w:r>
        <w:rPr>
          <w:color w:val="231F20"/>
          <w:spacing w:val="-7"/>
          <w:w w:val="105"/>
        </w:rPr>
        <w:t> </w:t>
      </w:r>
      <w:r>
        <w:rPr>
          <w:color w:val="231F20"/>
          <w:w w:val="105"/>
        </w:rPr>
        <w:t>reparto</w:t>
      </w:r>
      <w:r>
        <w:rPr>
          <w:color w:val="231F20"/>
          <w:spacing w:val="-7"/>
          <w:w w:val="105"/>
        </w:rPr>
        <w:t> </w:t>
      </w:r>
      <w:r>
        <w:rPr>
          <w:color w:val="231F20"/>
          <w:w w:val="105"/>
        </w:rPr>
        <w:t>del</w:t>
      </w:r>
      <w:r>
        <w:rPr>
          <w:color w:val="231F20"/>
          <w:spacing w:val="-7"/>
          <w:w w:val="105"/>
        </w:rPr>
        <w:t> </w:t>
      </w:r>
      <w:r>
        <w:rPr>
          <w:color w:val="231F20"/>
          <w:w w:val="105"/>
        </w:rPr>
        <w:t>poder</w:t>
      </w:r>
      <w:r>
        <w:rPr>
          <w:color w:val="231F20"/>
          <w:spacing w:val="-7"/>
          <w:w w:val="105"/>
        </w:rPr>
        <w:t> </w:t>
      </w:r>
      <w:r>
        <w:rPr>
          <w:color w:val="231F20"/>
          <w:w w:val="105"/>
        </w:rPr>
        <w:t>es</w:t>
      </w:r>
      <w:r>
        <w:rPr>
          <w:color w:val="231F20"/>
          <w:spacing w:val="-7"/>
          <w:w w:val="105"/>
        </w:rPr>
        <w:t> </w:t>
      </w:r>
      <w:r>
        <w:rPr>
          <w:color w:val="231F20"/>
          <w:w w:val="105"/>
        </w:rPr>
        <w:t>desproporcional,</w:t>
      </w:r>
      <w:r>
        <w:rPr>
          <w:color w:val="231F20"/>
          <w:spacing w:val="-7"/>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partido</w:t>
      </w:r>
      <w:r>
        <w:rPr>
          <w:color w:val="231F20"/>
          <w:spacing w:val="-7"/>
          <w:w w:val="105"/>
        </w:rPr>
        <w:t> </w:t>
      </w:r>
      <w:r>
        <w:rPr>
          <w:color w:val="231F20"/>
          <w:w w:val="105"/>
        </w:rPr>
        <w:t>el que tiene el dominio en la toma de decisiones, atendiendo los intereses que le son de mayor</w:t>
      </w:r>
      <w:r>
        <w:rPr>
          <w:color w:val="231F20"/>
          <w:spacing w:val="-37"/>
          <w:w w:val="105"/>
        </w:rPr>
        <w:t> </w:t>
      </w:r>
      <w:r>
        <w:rPr>
          <w:color w:val="231F20"/>
          <w:w w:val="105"/>
        </w:rPr>
        <w:t>relevancia</w:t>
      </w:r>
      <w:r>
        <w:rPr>
          <w:color w:val="231F20"/>
          <w:spacing w:val="-37"/>
          <w:w w:val="105"/>
        </w:rPr>
        <w:t> </w:t>
      </w:r>
      <w:r>
        <w:rPr>
          <w:color w:val="231F20"/>
          <w:w w:val="105"/>
        </w:rPr>
        <w:t>política.</w:t>
      </w:r>
    </w:p>
    <w:p>
      <w:pPr>
        <w:pStyle w:val="BodyText"/>
        <w:spacing w:before="1"/>
        <w:rPr>
          <w:sz w:val="26"/>
        </w:rPr>
      </w:pPr>
    </w:p>
    <w:p>
      <w:pPr>
        <w:pStyle w:val="BodyText"/>
        <w:spacing w:line="285" w:lineRule="auto"/>
        <w:ind w:left="110" w:right="108"/>
        <w:jc w:val="both"/>
      </w:pPr>
      <w:r>
        <w:rPr>
          <w:color w:val="231F20"/>
          <w:w w:val="105"/>
        </w:rPr>
        <w:t>Estas características no deben de atribuírsele exclusivamente </w:t>
      </w:r>
      <w:r>
        <w:rPr>
          <w:color w:val="231F20"/>
          <w:spacing w:val="2"/>
          <w:w w:val="105"/>
        </w:rPr>
        <w:t>al </w:t>
      </w:r>
      <w:r>
        <w:rPr>
          <w:color w:val="231F20"/>
          <w:w w:val="105"/>
        </w:rPr>
        <w:t>PRI, pues las mismas situaciones</w:t>
      </w:r>
      <w:r>
        <w:rPr>
          <w:color w:val="231F20"/>
          <w:spacing w:val="-12"/>
          <w:w w:val="105"/>
        </w:rPr>
        <w:t> </w:t>
      </w:r>
      <w:r>
        <w:rPr>
          <w:color w:val="231F20"/>
          <w:w w:val="105"/>
        </w:rPr>
        <w:t>son</w:t>
      </w:r>
      <w:r>
        <w:rPr>
          <w:color w:val="231F20"/>
          <w:spacing w:val="-12"/>
          <w:w w:val="105"/>
        </w:rPr>
        <w:t> </w:t>
      </w:r>
      <w:r>
        <w:rPr>
          <w:color w:val="231F20"/>
          <w:w w:val="105"/>
        </w:rPr>
        <w:t>generadas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mayor</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gobiernos</w:t>
      </w:r>
      <w:r>
        <w:rPr>
          <w:color w:val="231F20"/>
          <w:spacing w:val="-12"/>
          <w:w w:val="105"/>
        </w:rPr>
        <w:t> </w:t>
      </w:r>
      <w:r>
        <w:rPr>
          <w:color w:val="231F20"/>
          <w:w w:val="105"/>
        </w:rPr>
        <w:t>municipales,</w:t>
      </w:r>
      <w:r>
        <w:rPr>
          <w:color w:val="231F20"/>
          <w:spacing w:val="-12"/>
          <w:w w:val="105"/>
        </w:rPr>
        <w:t> </w:t>
      </w:r>
      <w:r>
        <w:rPr>
          <w:color w:val="231F20"/>
          <w:w w:val="105"/>
        </w:rPr>
        <w:t>sin</w:t>
      </w:r>
      <w:r>
        <w:rPr>
          <w:color w:val="231F20"/>
          <w:spacing w:val="-12"/>
          <w:w w:val="105"/>
        </w:rPr>
        <w:t> </w:t>
      </w:r>
      <w:r>
        <w:rPr>
          <w:color w:val="231F20"/>
          <w:w w:val="105"/>
        </w:rPr>
        <w:t>importar la</w:t>
      </w:r>
      <w:r>
        <w:rPr>
          <w:color w:val="231F20"/>
          <w:spacing w:val="-4"/>
          <w:w w:val="105"/>
        </w:rPr>
        <w:t> </w:t>
      </w:r>
      <w:r>
        <w:rPr>
          <w:color w:val="231F20"/>
          <w:w w:val="105"/>
        </w:rPr>
        <w:t>bandera</w:t>
      </w:r>
      <w:r>
        <w:rPr>
          <w:color w:val="231F20"/>
          <w:spacing w:val="-4"/>
          <w:w w:val="105"/>
        </w:rPr>
        <w:t> </w:t>
      </w:r>
      <w:r>
        <w:rPr>
          <w:color w:val="231F20"/>
          <w:w w:val="105"/>
        </w:rPr>
        <w:t>partidista.</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sí</w:t>
      </w:r>
      <w:r>
        <w:rPr>
          <w:color w:val="231F20"/>
          <w:spacing w:val="-4"/>
          <w:w w:val="105"/>
        </w:rPr>
        <w:t> </w:t>
      </w:r>
      <w:r>
        <w:rPr>
          <w:color w:val="231F20"/>
          <w:w w:val="105"/>
        </w:rPr>
        <w:t>debe</w:t>
      </w:r>
      <w:r>
        <w:rPr>
          <w:color w:val="231F20"/>
          <w:spacing w:val="-4"/>
          <w:w w:val="105"/>
        </w:rPr>
        <w:t> </w:t>
      </w:r>
      <w:r>
        <w:rPr>
          <w:color w:val="231F20"/>
          <w:w w:val="105"/>
        </w:rPr>
        <w:t>ser</w:t>
      </w:r>
      <w:r>
        <w:rPr>
          <w:color w:val="231F20"/>
          <w:spacing w:val="-4"/>
          <w:w w:val="105"/>
        </w:rPr>
        <w:t> </w:t>
      </w:r>
      <w:r>
        <w:rPr>
          <w:color w:val="231F20"/>
          <w:w w:val="105"/>
        </w:rPr>
        <w:t>la</w:t>
      </w:r>
      <w:r>
        <w:rPr>
          <w:color w:val="231F20"/>
          <w:spacing w:val="-4"/>
          <w:w w:val="105"/>
        </w:rPr>
        <w:t> </w:t>
      </w:r>
      <w:r>
        <w:rPr>
          <w:color w:val="231F20"/>
          <w:w w:val="105"/>
        </w:rPr>
        <w:t>prioridad</w:t>
      </w:r>
      <w:r>
        <w:rPr>
          <w:color w:val="231F20"/>
          <w:spacing w:val="-4"/>
          <w:w w:val="105"/>
        </w:rPr>
        <w:t> </w:t>
      </w:r>
      <w:r>
        <w:rPr>
          <w:color w:val="231F20"/>
          <w:w w:val="105"/>
        </w:rPr>
        <w:t>de</w:t>
      </w:r>
      <w:r>
        <w:rPr>
          <w:color w:val="231F20"/>
          <w:spacing w:val="-4"/>
          <w:w w:val="105"/>
        </w:rPr>
        <w:t> </w:t>
      </w:r>
      <w:r>
        <w:rPr>
          <w:color w:val="231F20"/>
          <w:w w:val="105"/>
        </w:rPr>
        <w:t>toda</w:t>
      </w:r>
      <w:r>
        <w:rPr>
          <w:color w:val="231F20"/>
          <w:spacing w:val="-4"/>
          <w:w w:val="105"/>
        </w:rPr>
        <w:t> </w:t>
      </w:r>
      <w:r>
        <w:rPr>
          <w:color w:val="231F20"/>
          <w:w w:val="105"/>
        </w:rPr>
        <w:t>administración</w:t>
      </w:r>
      <w:r>
        <w:rPr>
          <w:color w:val="231F20"/>
          <w:spacing w:val="-4"/>
          <w:w w:val="105"/>
        </w:rPr>
        <w:t> </w:t>
      </w:r>
      <w:r>
        <w:rPr>
          <w:color w:val="231F20"/>
          <w:w w:val="105"/>
        </w:rPr>
        <w:t>pública</w:t>
      </w:r>
      <w:r>
        <w:rPr>
          <w:color w:val="231F20"/>
          <w:spacing w:val="-4"/>
          <w:w w:val="105"/>
        </w:rPr>
        <w:t> </w:t>
      </w:r>
      <w:r>
        <w:rPr>
          <w:color w:val="231F20"/>
          <w:w w:val="105"/>
        </w:rPr>
        <w:t>es el</w:t>
      </w:r>
      <w:r>
        <w:rPr>
          <w:color w:val="231F20"/>
          <w:spacing w:val="-21"/>
          <w:w w:val="105"/>
        </w:rPr>
        <w:t> </w:t>
      </w:r>
      <w:r>
        <w:rPr>
          <w:color w:val="231F20"/>
          <w:w w:val="105"/>
        </w:rPr>
        <w:t>desarrollo</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trabajo</w:t>
      </w:r>
      <w:r>
        <w:rPr>
          <w:color w:val="231F20"/>
          <w:spacing w:val="-21"/>
          <w:w w:val="105"/>
        </w:rPr>
        <w:t> </w:t>
      </w:r>
      <w:r>
        <w:rPr>
          <w:color w:val="231F20"/>
          <w:w w:val="105"/>
        </w:rPr>
        <w:t>de</w:t>
      </w:r>
      <w:r>
        <w:rPr>
          <w:color w:val="231F20"/>
          <w:spacing w:val="-21"/>
          <w:w w:val="105"/>
        </w:rPr>
        <w:t> </w:t>
      </w:r>
      <w:r>
        <w:rPr>
          <w:color w:val="231F20"/>
          <w:w w:val="105"/>
        </w:rPr>
        <w:t>calidad,</w:t>
      </w:r>
      <w:r>
        <w:rPr>
          <w:color w:val="231F20"/>
          <w:spacing w:val="-21"/>
          <w:w w:val="105"/>
        </w:rPr>
        <w:t> </w:t>
      </w:r>
      <w:r>
        <w:rPr>
          <w:color w:val="231F20"/>
          <w:w w:val="105"/>
        </w:rPr>
        <w:t>pues</w:t>
      </w:r>
      <w:r>
        <w:rPr>
          <w:color w:val="231F20"/>
          <w:spacing w:val="-21"/>
          <w:w w:val="105"/>
        </w:rPr>
        <w:t> </w:t>
      </w:r>
      <w:r>
        <w:rPr>
          <w:color w:val="231F20"/>
          <w:w w:val="105"/>
        </w:rPr>
        <w:t>es</w:t>
      </w:r>
      <w:r>
        <w:rPr>
          <w:color w:val="231F20"/>
          <w:spacing w:val="-21"/>
          <w:w w:val="105"/>
        </w:rPr>
        <w:t> </w:t>
      </w:r>
      <w:r>
        <w:rPr>
          <w:color w:val="231F20"/>
          <w:w w:val="105"/>
        </w:rPr>
        <w:t>desde</w:t>
      </w:r>
      <w:r>
        <w:rPr>
          <w:color w:val="231F20"/>
          <w:spacing w:val="-21"/>
          <w:w w:val="105"/>
        </w:rPr>
        <w:t> </w:t>
      </w:r>
      <w:r>
        <w:rPr>
          <w:color w:val="231F20"/>
          <w:w w:val="105"/>
        </w:rPr>
        <w:t>los</w:t>
      </w:r>
      <w:r>
        <w:rPr>
          <w:color w:val="231F20"/>
          <w:spacing w:val="-21"/>
          <w:w w:val="105"/>
        </w:rPr>
        <w:t> </w:t>
      </w:r>
      <w:r>
        <w:rPr>
          <w:color w:val="231F20"/>
          <w:w w:val="105"/>
        </w:rPr>
        <w:t>espacios</w:t>
      </w:r>
      <w:r>
        <w:rPr>
          <w:color w:val="231F20"/>
          <w:spacing w:val="-21"/>
          <w:w w:val="105"/>
        </w:rPr>
        <w:t> </w:t>
      </w:r>
      <w:r>
        <w:rPr>
          <w:color w:val="231F20"/>
          <w:w w:val="105"/>
        </w:rPr>
        <w:t>locales</w:t>
      </w:r>
      <w:r>
        <w:rPr>
          <w:color w:val="231F20"/>
          <w:spacing w:val="-21"/>
          <w:w w:val="105"/>
        </w:rPr>
        <w:t> </w:t>
      </w:r>
      <w:r>
        <w:rPr>
          <w:color w:val="231F20"/>
          <w:w w:val="105"/>
        </w:rPr>
        <w:t>que</w:t>
      </w:r>
      <w:r>
        <w:rPr>
          <w:color w:val="231F20"/>
          <w:spacing w:val="-21"/>
          <w:w w:val="105"/>
        </w:rPr>
        <w:t> </w:t>
      </w:r>
      <w:r>
        <w:rPr>
          <w:color w:val="231F20"/>
          <w:w w:val="105"/>
        </w:rPr>
        <w:t>debe</w:t>
      </w:r>
      <w:r>
        <w:rPr>
          <w:color w:val="231F20"/>
          <w:spacing w:val="-21"/>
          <w:w w:val="105"/>
        </w:rPr>
        <w:t> </w:t>
      </w:r>
      <w:r>
        <w:rPr>
          <w:color w:val="231F20"/>
          <w:w w:val="105"/>
        </w:rPr>
        <w:t>impul- sarse</w:t>
      </w:r>
      <w:r>
        <w:rPr>
          <w:color w:val="231F20"/>
          <w:spacing w:val="-21"/>
          <w:w w:val="105"/>
        </w:rPr>
        <w:t> </w:t>
      </w:r>
      <w:r>
        <w:rPr>
          <w:color w:val="231F20"/>
          <w:w w:val="105"/>
        </w:rPr>
        <w:t>el</w:t>
      </w:r>
      <w:r>
        <w:rPr>
          <w:color w:val="231F20"/>
          <w:spacing w:val="-21"/>
          <w:w w:val="105"/>
        </w:rPr>
        <w:t> </w:t>
      </w:r>
      <w:r>
        <w:rPr>
          <w:color w:val="231F20"/>
          <w:w w:val="105"/>
        </w:rPr>
        <w:t>desarrollo</w:t>
      </w:r>
      <w:r>
        <w:rPr>
          <w:color w:val="231F20"/>
          <w:spacing w:val="-21"/>
          <w:w w:val="105"/>
        </w:rPr>
        <w:t> </w:t>
      </w:r>
      <w:r>
        <w:rPr>
          <w:color w:val="231F20"/>
          <w:w w:val="105"/>
        </w:rPr>
        <w:t>social.</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12"/>
          <w:w w:val="105"/>
        </w:rPr>
        <w:t> </w:t>
      </w:r>
      <w:r>
        <w:rPr>
          <w:color w:val="231F20"/>
          <w:w w:val="105"/>
        </w:rPr>
        <w:t>municipios</w:t>
      </w:r>
      <w:r>
        <w:rPr>
          <w:color w:val="231F20"/>
          <w:spacing w:val="-12"/>
          <w:w w:val="105"/>
        </w:rPr>
        <w:t> </w:t>
      </w:r>
      <w:r>
        <w:rPr>
          <w:color w:val="231F20"/>
          <w:w w:val="105"/>
        </w:rPr>
        <w:t>mexicanos</w:t>
      </w:r>
      <w:r>
        <w:rPr>
          <w:color w:val="231F20"/>
          <w:spacing w:val="-12"/>
          <w:w w:val="105"/>
        </w:rPr>
        <w:t> </w:t>
      </w:r>
      <w:r>
        <w:rPr>
          <w:color w:val="231F20"/>
          <w:w w:val="105"/>
        </w:rPr>
        <w:t>deben</w:t>
      </w:r>
      <w:r>
        <w:rPr>
          <w:color w:val="231F20"/>
          <w:spacing w:val="-12"/>
          <w:w w:val="105"/>
        </w:rPr>
        <w:t> </w:t>
      </w:r>
      <w:r>
        <w:rPr>
          <w:color w:val="231F20"/>
          <w:w w:val="105"/>
        </w:rPr>
        <w:t>ser</w:t>
      </w:r>
      <w:r>
        <w:rPr>
          <w:color w:val="231F20"/>
          <w:spacing w:val="-12"/>
          <w:w w:val="105"/>
        </w:rPr>
        <w:t> </w:t>
      </w:r>
      <w:r>
        <w:rPr>
          <w:color w:val="231F20"/>
          <w:w w:val="105"/>
        </w:rPr>
        <w:t>conscientes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revalorización</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le</w:t>
      </w:r>
      <w:r>
        <w:rPr>
          <w:color w:val="231F20"/>
          <w:spacing w:val="-12"/>
          <w:w w:val="105"/>
        </w:rPr>
        <w:t> </w:t>
      </w:r>
      <w:r>
        <w:rPr>
          <w:color w:val="231F20"/>
          <w:w w:val="105"/>
        </w:rPr>
        <w:t>ha</w:t>
      </w:r>
      <w:r>
        <w:rPr>
          <w:color w:val="231F20"/>
          <w:spacing w:val="-12"/>
          <w:w w:val="105"/>
        </w:rPr>
        <w:t> </w:t>
      </w:r>
      <w:r>
        <w:rPr>
          <w:color w:val="231F20"/>
          <w:w w:val="105"/>
        </w:rPr>
        <w:t>dado a</w:t>
      </w:r>
      <w:r>
        <w:rPr>
          <w:color w:val="231F20"/>
          <w:spacing w:val="-9"/>
          <w:w w:val="105"/>
        </w:rPr>
        <w:t> </w:t>
      </w:r>
      <w:r>
        <w:rPr>
          <w:color w:val="231F20"/>
          <w:w w:val="105"/>
        </w:rPr>
        <w:t>lo</w:t>
      </w:r>
      <w:r>
        <w:rPr>
          <w:color w:val="231F20"/>
          <w:spacing w:val="-9"/>
          <w:w w:val="105"/>
        </w:rPr>
        <w:t> </w:t>
      </w:r>
      <w:r>
        <w:rPr>
          <w:color w:val="231F20"/>
          <w:w w:val="105"/>
        </w:rPr>
        <w:t>local</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último</w:t>
      </w:r>
      <w:r>
        <w:rPr>
          <w:color w:val="231F20"/>
          <w:spacing w:val="-9"/>
          <w:w w:val="105"/>
        </w:rPr>
        <w:t> </w:t>
      </w:r>
      <w:r>
        <w:rPr>
          <w:color w:val="231F20"/>
          <w:w w:val="105"/>
        </w:rPr>
        <w:t>cuarto</w:t>
      </w:r>
      <w:r>
        <w:rPr>
          <w:color w:val="231F20"/>
          <w:spacing w:val="-9"/>
          <w:w w:val="105"/>
        </w:rPr>
        <w:t> </w:t>
      </w:r>
      <w:r>
        <w:rPr>
          <w:color w:val="231F20"/>
          <w:w w:val="105"/>
        </w:rPr>
        <w:t>de</w:t>
      </w:r>
      <w:r>
        <w:rPr>
          <w:color w:val="231F20"/>
          <w:spacing w:val="-9"/>
          <w:w w:val="105"/>
        </w:rPr>
        <w:t> </w:t>
      </w:r>
      <w:r>
        <w:rPr>
          <w:color w:val="231F20"/>
          <w:w w:val="105"/>
        </w:rPr>
        <w:t>siglo</w:t>
      </w:r>
      <w:r>
        <w:rPr>
          <w:color w:val="231F20"/>
          <w:spacing w:val="-9"/>
          <w:w w:val="105"/>
        </w:rPr>
        <w:t> </w:t>
      </w:r>
      <w:r>
        <w:rPr>
          <w:color w:val="231F20"/>
          <w:w w:val="105"/>
        </w:rPr>
        <w:t>pasado</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primera</w:t>
      </w:r>
      <w:r>
        <w:rPr>
          <w:color w:val="231F20"/>
          <w:spacing w:val="-9"/>
          <w:w w:val="105"/>
        </w:rPr>
        <w:t> </w:t>
      </w:r>
      <w:r>
        <w:rPr>
          <w:color w:val="231F20"/>
          <w:w w:val="105"/>
        </w:rPr>
        <w:t>década</w:t>
      </w:r>
      <w:r>
        <w:rPr>
          <w:color w:val="231F20"/>
          <w:spacing w:val="-9"/>
          <w:w w:val="105"/>
        </w:rPr>
        <w:t> </w:t>
      </w:r>
      <w:r>
        <w:rPr>
          <w:color w:val="231F20"/>
          <w:w w:val="105"/>
        </w:rPr>
        <w:t>del</w:t>
      </w:r>
      <w:r>
        <w:rPr>
          <w:color w:val="231F20"/>
          <w:spacing w:val="-9"/>
          <w:w w:val="105"/>
        </w:rPr>
        <w:t> </w:t>
      </w:r>
      <w:r>
        <w:rPr>
          <w:color w:val="231F20"/>
          <w:w w:val="105"/>
        </w:rPr>
        <w:t>presente,</w:t>
      </w:r>
      <w:r>
        <w:rPr>
          <w:color w:val="231F20"/>
          <w:spacing w:val="-9"/>
          <w:w w:val="105"/>
        </w:rPr>
        <w:t> </w:t>
      </w:r>
      <w:r>
        <w:rPr>
          <w:color w:val="231F20"/>
          <w:w w:val="105"/>
        </w:rPr>
        <w:t>pues</w:t>
      </w:r>
      <w:r>
        <w:rPr>
          <w:color w:val="231F20"/>
          <w:spacing w:val="-9"/>
          <w:w w:val="105"/>
        </w:rPr>
        <w:t> </w:t>
      </w:r>
      <w:r>
        <w:rPr>
          <w:color w:val="231F20"/>
          <w:w w:val="105"/>
        </w:rPr>
        <w:t>ac- tualmente las estrategias para el desarrollo se están definiendo precisamente desde lo local.</w:t>
      </w:r>
      <w:r>
        <w:rPr>
          <w:color w:val="231F20"/>
          <w:spacing w:val="-26"/>
          <w:w w:val="105"/>
        </w:rPr>
        <w:t> </w:t>
      </w:r>
      <w:r>
        <w:rPr>
          <w:color w:val="231F20"/>
          <w:w w:val="105"/>
        </w:rPr>
        <w:t>La</w:t>
      </w:r>
      <w:r>
        <w:rPr>
          <w:color w:val="231F20"/>
          <w:spacing w:val="-26"/>
          <w:w w:val="105"/>
        </w:rPr>
        <w:t> </w:t>
      </w:r>
      <w:r>
        <w:rPr>
          <w:color w:val="231F20"/>
          <w:w w:val="105"/>
        </w:rPr>
        <w:t>atención</w:t>
      </w:r>
      <w:r>
        <w:rPr>
          <w:color w:val="231F20"/>
          <w:spacing w:val="-26"/>
          <w:w w:val="105"/>
        </w:rPr>
        <w:t> </w:t>
      </w:r>
      <w:r>
        <w:rPr>
          <w:color w:val="231F20"/>
          <w:w w:val="105"/>
        </w:rPr>
        <w:t>adecuada</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carencias</w:t>
      </w:r>
      <w:r>
        <w:rPr>
          <w:color w:val="231F20"/>
          <w:spacing w:val="-26"/>
          <w:w w:val="105"/>
        </w:rPr>
        <w:t> </w:t>
      </w:r>
      <w:r>
        <w:rPr>
          <w:color w:val="231F20"/>
          <w:w w:val="105"/>
        </w:rPr>
        <w:t>y</w:t>
      </w:r>
      <w:r>
        <w:rPr>
          <w:color w:val="231F20"/>
          <w:spacing w:val="-26"/>
          <w:w w:val="105"/>
        </w:rPr>
        <w:t> </w:t>
      </w:r>
      <w:r>
        <w:rPr>
          <w:color w:val="231F20"/>
          <w:w w:val="105"/>
        </w:rPr>
        <w:t>problemas</w:t>
      </w:r>
      <w:r>
        <w:rPr>
          <w:color w:val="231F20"/>
          <w:spacing w:val="-26"/>
          <w:w w:val="105"/>
        </w:rPr>
        <w:t> </w:t>
      </w:r>
      <w:r>
        <w:rPr>
          <w:color w:val="231F20"/>
          <w:w w:val="105"/>
        </w:rPr>
        <w:t>sociales</w:t>
      </w:r>
      <w:r>
        <w:rPr>
          <w:color w:val="231F20"/>
          <w:spacing w:val="-26"/>
          <w:w w:val="105"/>
        </w:rPr>
        <w:t> </w:t>
      </w:r>
      <w:r>
        <w:rPr>
          <w:color w:val="231F20"/>
          <w:w w:val="105"/>
        </w:rPr>
        <w:t>se</w:t>
      </w:r>
      <w:r>
        <w:rPr>
          <w:color w:val="231F20"/>
          <w:spacing w:val="-26"/>
          <w:w w:val="105"/>
        </w:rPr>
        <w:t> </w:t>
      </w:r>
      <w:r>
        <w:rPr>
          <w:color w:val="231F20"/>
          <w:w w:val="105"/>
        </w:rPr>
        <w:t>halla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trabajo</w:t>
      </w:r>
      <w:r>
        <w:rPr>
          <w:color w:val="231F20"/>
          <w:spacing w:val="-26"/>
          <w:w w:val="105"/>
        </w:rPr>
        <w:t> </w:t>
      </w:r>
      <w:r>
        <w:rPr>
          <w:color w:val="231F20"/>
          <w:w w:val="105"/>
        </w:rPr>
        <w:t>que realicen</w:t>
      </w:r>
      <w:r>
        <w:rPr>
          <w:color w:val="231F20"/>
          <w:spacing w:val="-33"/>
          <w:w w:val="105"/>
        </w:rPr>
        <w:t> </w:t>
      </w:r>
      <w:r>
        <w:rPr>
          <w:color w:val="231F20"/>
          <w:w w:val="105"/>
        </w:rPr>
        <w:t>los</w:t>
      </w:r>
      <w:r>
        <w:rPr>
          <w:color w:val="231F20"/>
          <w:spacing w:val="-33"/>
          <w:w w:val="105"/>
        </w:rPr>
        <w:t> </w:t>
      </w:r>
      <w:r>
        <w:rPr>
          <w:color w:val="231F20"/>
          <w:w w:val="105"/>
        </w:rPr>
        <w:t>gobiernos</w:t>
      </w:r>
      <w:r>
        <w:rPr>
          <w:color w:val="231F20"/>
          <w:spacing w:val="-33"/>
          <w:w w:val="105"/>
        </w:rPr>
        <w:t> </w:t>
      </w:r>
      <w:r>
        <w:rPr>
          <w:color w:val="231F20"/>
          <w:w w:val="105"/>
        </w:rPr>
        <w:t>locales.</w:t>
      </w:r>
    </w:p>
    <w:p>
      <w:pPr>
        <w:pStyle w:val="BodyText"/>
        <w:spacing w:before="9"/>
      </w:pPr>
    </w:p>
    <w:p>
      <w:pPr>
        <w:pStyle w:val="Heading3"/>
        <w:spacing w:line="284" w:lineRule="exact"/>
      </w:pPr>
      <w:r>
        <w:rPr>
          <w:color w:val="231F20"/>
          <w:w w:val="105"/>
        </w:rPr>
        <w:t>Fuentes de consulta</w:t>
      </w:r>
    </w:p>
    <w:p>
      <w:pPr>
        <w:pStyle w:val="Heading4"/>
        <w:spacing w:line="336" w:lineRule="exact"/>
        <w:rPr>
          <w:i/>
        </w:rPr>
      </w:pPr>
      <w:r>
        <w:rPr>
          <w:i/>
          <w:color w:val="231F20"/>
          <w:w w:val="105"/>
        </w:rPr>
        <w:t>Bibliografía</w:t>
      </w:r>
    </w:p>
    <w:p>
      <w:pPr>
        <w:spacing w:line="348" w:lineRule="auto" w:before="54"/>
        <w:ind w:left="393" w:right="378" w:hanging="284"/>
        <w:jc w:val="left"/>
        <w:rPr>
          <w:sz w:val="18"/>
        </w:rPr>
      </w:pPr>
      <w:r>
        <w:rPr>
          <w:color w:val="231F20"/>
          <w:sz w:val="18"/>
        </w:rPr>
        <w:t>BAEZ, Carlos (2002), “El Partido Revolucionario Institucional, algunas notas sobre su pasado inmediato para su comprensión en un momento de orientación: los años recientes”,</w:t>
      </w:r>
    </w:p>
    <w:p>
      <w:pPr>
        <w:spacing w:line="348" w:lineRule="auto" w:before="3"/>
        <w:ind w:left="393" w:right="-2" w:firstLine="0"/>
        <w:jc w:val="left"/>
        <w:rPr>
          <w:sz w:val="18"/>
        </w:rPr>
      </w:pPr>
      <w:r>
        <w:rPr>
          <w:color w:val="231F20"/>
          <w:w w:val="105"/>
          <w:sz w:val="18"/>
        </w:rPr>
        <w:t>Convergencia,</w:t>
      </w:r>
      <w:r>
        <w:rPr>
          <w:color w:val="231F20"/>
          <w:spacing w:val="-14"/>
          <w:w w:val="105"/>
          <w:sz w:val="18"/>
        </w:rPr>
        <w:t> </w:t>
      </w:r>
      <w:r>
        <w:rPr>
          <w:color w:val="231F20"/>
          <w:w w:val="105"/>
          <w:sz w:val="18"/>
        </w:rPr>
        <w:t>Enero-Abril,</w:t>
      </w:r>
      <w:r>
        <w:rPr>
          <w:color w:val="231F20"/>
          <w:spacing w:val="-14"/>
          <w:w w:val="105"/>
          <w:sz w:val="18"/>
        </w:rPr>
        <w:t> </w:t>
      </w:r>
      <w:r>
        <w:rPr>
          <w:color w:val="231F20"/>
          <w:w w:val="105"/>
          <w:sz w:val="18"/>
        </w:rPr>
        <w:t>Volumen</w:t>
      </w:r>
      <w:r>
        <w:rPr>
          <w:color w:val="231F20"/>
          <w:spacing w:val="-14"/>
          <w:w w:val="105"/>
          <w:sz w:val="18"/>
        </w:rPr>
        <w:t> </w:t>
      </w:r>
      <w:r>
        <w:rPr>
          <w:color w:val="231F20"/>
          <w:spacing w:val="-3"/>
          <w:w w:val="105"/>
          <w:sz w:val="18"/>
        </w:rPr>
        <w:t>9,</w:t>
      </w:r>
      <w:r>
        <w:rPr>
          <w:color w:val="231F20"/>
          <w:spacing w:val="-14"/>
          <w:w w:val="105"/>
          <w:sz w:val="18"/>
        </w:rPr>
        <w:t> </w:t>
      </w:r>
      <w:r>
        <w:rPr>
          <w:color w:val="231F20"/>
          <w:w w:val="105"/>
          <w:sz w:val="18"/>
        </w:rPr>
        <w:t>Número</w:t>
      </w:r>
      <w:r>
        <w:rPr>
          <w:color w:val="231F20"/>
          <w:spacing w:val="-14"/>
          <w:w w:val="105"/>
          <w:sz w:val="18"/>
        </w:rPr>
        <w:t> </w:t>
      </w:r>
      <w:r>
        <w:rPr>
          <w:color w:val="231F20"/>
          <w:spacing w:val="-6"/>
          <w:w w:val="105"/>
          <w:sz w:val="18"/>
        </w:rPr>
        <w:t>27,</w:t>
      </w:r>
      <w:r>
        <w:rPr>
          <w:color w:val="231F20"/>
          <w:spacing w:val="-14"/>
          <w:w w:val="105"/>
          <w:sz w:val="18"/>
        </w:rPr>
        <w:t> </w:t>
      </w:r>
      <w:r>
        <w:rPr>
          <w:color w:val="231F20"/>
          <w:w w:val="105"/>
          <w:sz w:val="18"/>
        </w:rPr>
        <w:t>Universidad</w:t>
      </w:r>
      <w:r>
        <w:rPr>
          <w:color w:val="231F20"/>
          <w:spacing w:val="-14"/>
          <w:w w:val="105"/>
          <w:sz w:val="18"/>
        </w:rPr>
        <w:t> </w:t>
      </w:r>
      <w:r>
        <w:rPr>
          <w:color w:val="231F20"/>
          <w:w w:val="105"/>
          <w:sz w:val="18"/>
        </w:rPr>
        <w:t>Autónoma</w:t>
      </w:r>
      <w:r>
        <w:rPr>
          <w:color w:val="231F20"/>
          <w:spacing w:val="-14"/>
          <w:w w:val="105"/>
          <w:sz w:val="18"/>
        </w:rPr>
        <w:t> </w:t>
      </w:r>
      <w:r>
        <w:rPr>
          <w:color w:val="231F20"/>
          <w:w w:val="105"/>
          <w:sz w:val="18"/>
        </w:rPr>
        <w:t>del</w:t>
      </w:r>
      <w:r>
        <w:rPr>
          <w:color w:val="231F20"/>
          <w:spacing w:val="-14"/>
          <w:w w:val="105"/>
          <w:sz w:val="18"/>
        </w:rPr>
        <w:t> </w:t>
      </w:r>
      <w:r>
        <w:rPr>
          <w:color w:val="231F20"/>
          <w:w w:val="105"/>
          <w:sz w:val="18"/>
        </w:rPr>
        <w:t>Estado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México, Estado de</w:t>
      </w:r>
      <w:r>
        <w:rPr>
          <w:color w:val="231F20"/>
          <w:spacing w:val="-34"/>
          <w:w w:val="105"/>
          <w:sz w:val="18"/>
        </w:rPr>
        <w:t> </w:t>
      </w:r>
      <w:r>
        <w:rPr>
          <w:color w:val="231F20"/>
          <w:w w:val="105"/>
          <w:sz w:val="18"/>
        </w:rPr>
        <w:t>México.</w:t>
      </w:r>
    </w:p>
    <w:p>
      <w:pPr>
        <w:spacing w:line="348" w:lineRule="auto" w:before="3"/>
        <w:ind w:left="393" w:right="614" w:hanging="284"/>
        <w:jc w:val="left"/>
        <w:rPr>
          <w:sz w:val="18"/>
        </w:rPr>
      </w:pPr>
      <w:r>
        <w:rPr>
          <w:color w:val="231F20"/>
          <w:w w:val="105"/>
          <w:sz w:val="18"/>
        </w:rPr>
        <w:t>Bando de Policía y Buen Gobierno, Ayuntamiento Constitucional de Ixtapan de la Sal 2006-2009, Estado de México.</w:t>
      </w:r>
    </w:p>
    <w:p>
      <w:pPr>
        <w:spacing w:line="348" w:lineRule="auto" w:before="3"/>
        <w:ind w:left="393" w:right="-2" w:hanging="284"/>
        <w:jc w:val="left"/>
        <w:rPr>
          <w:sz w:val="18"/>
        </w:rPr>
      </w:pPr>
      <w:r>
        <w:rPr>
          <w:color w:val="231F20"/>
          <w:sz w:val="18"/>
        </w:rPr>
        <w:t>CADENA, Celia y CRUZ, Graciela (2006), Políticas públicas municipales, relación de actores y desarrollo turístico en dos localidades del Estado de México, Documentos de investigación,</w:t>
      </w:r>
    </w:p>
    <w:p>
      <w:pPr>
        <w:spacing w:before="3"/>
        <w:ind w:left="393" w:right="574" w:firstLine="0"/>
        <w:jc w:val="left"/>
        <w:rPr>
          <w:sz w:val="18"/>
        </w:rPr>
      </w:pPr>
      <w:r>
        <w:rPr>
          <w:color w:val="231F20"/>
          <w:sz w:val="18"/>
        </w:rPr>
        <w:t>El Colegio Mexiquense A. C., Estado de  México.</w:t>
      </w:r>
    </w:p>
    <w:p>
      <w:pPr>
        <w:spacing w:line="348" w:lineRule="auto" w:before="93"/>
        <w:ind w:left="393" w:right="819" w:hanging="284"/>
        <w:jc w:val="left"/>
        <w:rPr>
          <w:sz w:val="18"/>
        </w:rPr>
      </w:pPr>
      <w:r>
        <w:rPr>
          <w:color w:val="231F20"/>
          <w:w w:val="105"/>
          <w:sz w:val="18"/>
        </w:rPr>
        <w:t>GUILLÉN, Tonatiuh (1995), Ayuntamientos y pluralidad política en los municipios fronterizos del Norte de México, Frontera Norte, Enero-Junio, Volumen 7, Número 13,</w:t>
      </w:r>
    </w:p>
    <w:p>
      <w:pPr>
        <w:spacing w:before="3"/>
        <w:ind w:left="393" w:right="574" w:firstLine="0"/>
        <w:jc w:val="left"/>
        <w:rPr>
          <w:sz w:val="18"/>
        </w:rPr>
      </w:pPr>
      <w:r>
        <w:rPr>
          <w:color w:val="231F20"/>
          <w:sz w:val="18"/>
        </w:rPr>
        <w:t>El Colegio de la Frontera Norte, Estado de Baja   California.</w:t>
      </w:r>
    </w:p>
    <w:p>
      <w:pPr>
        <w:spacing w:after="0"/>
        <w:jc w:val="left"/>
        <w:rPr>
          <w:sz w:val="18"/>
        </w:rPr>
        <w:sectPr>
          <w:pgSz w:w="9640" w:h="12190"/>
          <w:pgMar w:header="0" w:footer="743" w:top="1120" w:bottom="940" w:left="740" w:right="740"/>
        </w:sectPr>
      </w:pPr>
    </w:p>
    <w:p>
      <w:pPr>
        <w:pStyle w:val="BodyText"/>
        <w:spacing w:before="6"/>
        <w:rPr>
          <w:sz w:val="13"/>
        </w:rPr>
      </w:pPr>
    </w:p>
    <w:p>
      <w:pPr>
        <w:spacing w:before="47"/>
        <w:ind w:left="110" w:right="283" w:firstLine="0"/>
        <w:jc w:val="left"/>
        <w:rPr>
          <w:sz w:val="18"/>
        </w:rPr>
      </w:pPr>
      <w:r>
        <w:rPr>
          <w:color w:val="231F20"/>
          <w:sz w:val="18"/>
        </w:rPr>
        <w:t>HERNÁNDEZ, Rogelio (2002), “La historia moderna del PRI, entre la autonomía y el sometimiento”,</w:t>
      </w:r>
    </w:p>
    <w:p>
      <w:pPr>
        <w:spacing w:line="348" w:lineRule="auto" w:before="93"/>
        <w:ind w:left="393" w:right="608" w:hanging="284"/>
        <w:jc w:val="left"/>
        <w:rPr>
          <w:sz w:val="18"/>
        </w:rPr>
      </w:pPr>
      <w:r>
        <w:rPr>
          <w:color w:val="231F20"/>
          <w:w w:val="105"/>
          <w:sz w:val="18"/>
        </w:rPr>
        <w:t>Foro Internacional, Abril-Junio, Volumen XL, Número 160, Centro de Estudios Internacionales del Colegio de México, Distrito Federal.</w:t>
      </w:r>
    </w:p>
    <w:p>
      <w:pPr>
        <w:spacing w:before="3"/>
        <w:ind w:left="110" w:right="1201" w:firstLine="0"/>
        <w:jc w:val="left"/>
        <w:rPr>
          <w:sz w:val="18"/>
        </w:rPr>
      </w:pPr>
      <w:r>
        <w:rPr>
          <w:color w:val="231F20"/>
          <w:w w:val="105"/>
          <w:sz w:val="18"/>
        </w:rPr>
        <w:t>MOCH, Rith (2002), La paradoja de la democratización nacional y local en México,</w:t>
      </w:r>
    </w:p>
    <w:p>
      <w:pPr>
        <w:spacing w:before="93"/>
        <w:ind w:left="393" w:right="283" w:firstLine="0"/>
        <w:jc w:val="left"/>
        <w:rPr>
          <w:sz w:val="18"/>
        </w:rPr>
      </w:pPr>
      <w:r>
        <w:rPr>
          <w:color w:val="231F20"/>
          <w:w w:val="105"/>
          <w:sz w:val="18"/>
        </w:rPr>
        <w:t>Reflexión política, Diciembre, Número 8, Universidad Autónoma de Bucaramanga, Colombia.</w:t>
      </w:r>
    </w:p>
    <w:p>
      <w:pPr>
        <w:spacing w:line="348" w:lineRule="auto" w:before="93"/>
        <w:ind w:left="393" w:right="1920" w:hanging="284"/>
        <w:jc w:val="left"/>
        <w:rPr>
          <w:sz w:val="18"/>
        </w:rPr>
      </w:pPr>
      <w:r>
        <w:rPr>
          <w:color w:val="231F20"/>
          <w:sz w:val="18"/>
        </w:rPr>
        <w:t>MORALES, Martagloria (2005), “Los gobiernos locales y los partidos políticos”, Gestión y Política Pública, Segundo Semestre, Número   XIV,</w:t>
      </w:r>
    </w:p>
    <w:p>
      <w:pPr>
        <w:spacing w:before="3"/>
        <w:ind w:left="393" w:right="1201" w:firstLine="0"/>
        <w:jc w:val="left"/>
        <w:rPr>
          <w:sz w:val="18"/>
        </w:rPr>
      </w:pPr>
      <w:r>
        <w:rPr>
          <w:color w:val="231F20"/>
          <w:w w:val="105"/>
          <w:sz w:val="18"/>
        </w:rPr>
        <w:t>Centro de Investigación y Docencia Económicas, México.</w:t>
      </w:r>
    </w:p>
    <w:p>
      <w:pPr>
        <w:spacing w:line="348" w:lineRule="auto" w:before="93"/>
        <w:ind w:left="393" w:right="943" w:hanging="284"/>
        <w:jc w:val="left"/>
        <w:rPr>
          <w:sz w:val="18"/>
        </w:rPr>
      </w:pPr>
      <w:r>
        <w:rPr>
          <w:color w:val="231F20"/>
          <w:w w:val="105"/>
          <w:sz w:val="18"/>
        </w:rPr>
        <w:t>Plan de Desarrollo Municipal, Ayuntamiento Constitucional de Ixtapan de la Sal 2006-2009, Estado de México.</w:t>
      </w:r>
    </w:p>
    <w:p>
      <w:pPr>
        <w:spacing w:before="3"/>
        <w:ind w:left="110" w:right="1201" w:firstLine="0"/>
        <w:jc w:val="left"/>
        <w:rPr>
          <w:sz w:val="18"/>
        </w:rPr>
      </w:pPr>
      <w:r>
        <w:rPr>
          <w:color w:val="231F20"/>
          <w:sz w:val="18"/>
        </w:rPr>
        <w:t>RAMIREZ, Rigoberto (2003), “Pluralidad en los gobiernos municipales de   Guanajuato”,</w:t>
      </w:r>
    </w:p>
    <w:p>
      <w:pPr>
        <w:spacing w:line="348" w:lineRule="auto" w:before="93"/>
        <w:ind w:left="393" w:right="283" w:firstLine="0"/>
        <w:jc w:val="left"/>
        <w:rPr>
          <w:sz w:val="18"/>
        </w:rPr>
      </w:pPr>
      <w:r>
        <w:rPr>
          <w:color w:val="231F20"/>
          <w:sz w:val="18"/>
        </w:rPr>
        <w:t>Política y Cultura, Primavera, Número 019, Universidad Autónoma Metropolitana Xochimilco, Distrito  Federal.</w:t>
      </w:r>
    </w:p>
    <w:p>
      <w:pPr>
        <w:spacing w:before="3"/>
        <w:ind w:left="110" w:right="283" w:firstLine="0"/>
        <w:jc w:val="left"/>
        <w:rPr>
          <w:sz w:val="18"/>
        </w:rPr>
      </w:pPr>
      <w:r>
        <w:rPr>
          <w:color w:val="231F20"/>
          <w:w w:val="105"/>
          <w:sz w:val="18"/>
        </w:rPr>
        <w:t>SÁNCHEZ, Miguel Ángel (2008) La democratización en el ámbito municipal en México,</w:t>
      </w:r>
    </w:p>
    <w:p>
      <w:pPr>
        <w:spacing w:line="348" w:lineRule="auto" w:before="93"/>
        <w:ind w:left="110" w:right="283" w:firstLine="283"/>
        <w:jc w:val="left"/>
        <w:rPr>
          <w:sz w:val="18"/>
        </w:rPr>
      </w:pPr>
      <w:r>
        <w:rPr>
          <w:color w:val="231F20"/>
          <w:w w:val="105"/>
          <w:sz w:val="18"/>
        </w:rPr>
        <w:t>Centro de Formación Electoral del Instituto Electoral del Estado de México, Estado de México. Segundo informe de gobierno (2008), Ayuntamiento Constitucional de Ixtapan de la Sal 2006-2009,</w:t>
      </w:r>
    </w:p>
    <w:p>
      <w:pPr>
        <w:spacing w:before="3"/>
        <w:ind w:left="393" w:right="1201" w:firstLine="0"/>
        <w:jc w:val="left"/>
        <w:rPr>
          <w:sz w:val="18"/>
        </w:rPr>
      </w:pPr>
      <w:r>
        <w:rPr>
          <w:color w:val="231F20"/>
          <w:w w:val="105"/>
          <w:sz w:val="18"/>
        </w:rPr>
        <w:t>Estado de México.</w:t>
      </w:r>
    </w:p>
    <w:p>
      <w:pPr>
        <w:spacing w:line="348" w:lineRule="auto" w:before="93"/>
        <w:ind w:left="393" w:right="434" w:hanging="284"/>
        <w:jc w:val="left"/>
        <w:rPr>
          <w:sz w:val="18"/>
        </w:rPr>
      </w:pPr>
      <w:r>
        <w:rPr>
          <w:color w:val="231F20"/>
          <w:sz w:val="18"/>
        </w:rPr>
        <w:t>SOUR, Laura (2008), “Un repaso de los conceptos sobre capacidad y esfuerzo </w:t>
      </w:r>
      <w:r>
        <w:rPr>
          <w:color w:val="231F20"/>
          <w:spacing w:val="2"/>
          <w:sz w:val="18"/>
        </w:rPr>
        <w:t>fiscal </w:t>
      </w:r>
      <w:r>
        <w:rPr>
          <w:color w:val="231F20"/>
          <w:sz w:val="18"/>
        </w:rPr>
        <w:t>y su aplicaciones en los gobiernos locales mexicanos”, Estudios Demográficos y  </w:t>
      </w:r>
      <w:r>
        <w:rPr>
          <w:color w:val="231F20"/>
          <w:spacing w:val="39"/>
          <w:sz w:val="18"/>
        </w:rPr>
        <w:t> </w:t>
      </w:r>
      <w:r>
        <w:rPr>
          <w:color w:val="231F20"/>
          <w:sz w:val="18"/>
        </w:rPr>
        <w:t>Urbanos,</w:t>
      </w:r>
    </w:p>
    <w:p>
      <w:pPr>
        <w:spacing w:before="3"/>
        <w:ind w:left="393" w:right="1201" w:firstLine="0"/>
        <w:jc w:val="left"/>
        <w:rPr>
          <w:sz w:val="18"/>
        </w:rPr>
      </w:pPr>
      <w:r>
        <w:rPr>
          <w:color w:val="231F20"/>
          <w:sz w:val="18"/>
        </w:rPr>
        <w:t>Mayo-Agosto, Volumen 23, El Colegio de México, Distrito   Federal.</w:t>
      </w:r>
    </w:p>
    <w:p>
      <w:pPr>
        <w:spacing w:before="93"/>
        <w:ind w:left="110" w:right="1201" w:firstLine="0"/>
        <w:jc w:val="left"/>
        <w:rPr>
          <w:sz w:val="18"/>
        </w:rPr>
      </w:pPr>
      <w:r>
        <w:rPr>
          <w:color w:val="231F20"/>
          <w:sz w:val="18"/>
        </w:rPr>
        <w:t>† VERGARA, Salvador (2008), Discurso en el segundo informe de  gobierno,</w:t>
      </w:r>
    </w:p>
    <w:p>
      <w:pPr>
        <w:spacing w:before="93"/>
        <w:ind w:left="393" w:right="283" w:firstLine="0"/>
        <w:jc w:val="left"/>
        <w:rPr>
          <w:sz w:val="18"/>
        </w:rPr>
      </w:pPr>
      <w:r>
        <w:rPr>
          <w:color w:val="231F20"/>
          <w:w w:val="105"/>
          <w:sz w:val="18"/>
        </w:rPr>
        <w:t>presidente constitucional del Municipio de Ixtapan de la Sal 2006-2008 Estado de México.</w:t>
      </w:r>
    </w:p>
    <w:p>
      <w:pPr>
        <w:pStyle w:val="BodyText"/>
        <w:rPr>
          <w:sz w:val="25"/>
        </w:rPr>
      </w:pPr>
    </w:p>
    <w:p>
      <w:pPr>
        <w:pStyle w:val="Heading4"/>
        <w:ind w:right="1201"/>
        <w:jc w:val="left"/>
        <w:rPr>
          <w:i/>
        </w:rPr>
      </w:pPr>
      <w:r>
        <w:rPr>
          <w:i/>
          <w:color w:val="231F20"/>
        </w:rPr>
        <w:t>Entrevistas</w:t>
      </w:r>
    </w:p>
    <w:p>
      <w:pPr>
        <w:spacing w:line="348" w:lineRule="auto" w:before="54"/>
        <w:ind w:left="393" w:right="283" w:hanging="284"/>
        <w:jc w:val="left"/>
        <w:rPr>
          <w:sz w:val="18"/>
        </w:rPr>
      </w:pPr>
      <w:r>
        <w:rPr>
          <w:color w:val="231F20"/>
          <w:w w:val="105"/>
          <w:sz w:val="18"/>
        </w:rPr>
        <w:t>RODRÍGUEZ,</w:t>
      </w:r>
      <w:r>
        <w:rPr>
          <w:color w:val="231F20"/>
          <w:spacing w:val="-12"/>
          <w:w w:val="105"/>
          <w:sz w:val="18"/>
        </w:rPr>
        <w:t> </w:t>
      </w:r>
      <w:r>
        <w:rPr>
          <w:color w:val="231F20"/>
          <w:w w:val="105"/>
          <w:sz w:val="18"/>
        </w:rPr>
        <w:t>Gloria</w:t>
      </w:r>
      <w:r>
        <w:rPr>
          <w:color w:val="231F20"/>
          <w:spacing w:val="-12"/>
          <w:w w:val="105"/>
          <w:sz w:val="18"/>
        </w:rPr>
        <w:t> </w:t>
      </w:r>
      <w:r>
        <w:rPr>
          <w:color w:val="231F20"/>
          <w:w w:val="105"/>
          <w:sz w:val="18"/>
        </w:rPr>
        <w:t>(2008),</w:t>
      </w:r>
      <w:r>
        <w:rPr>
          <w:color w:val="231F20"/>
          <w:spacing w:val="-12"/>
          <w:w w:val="105"/>
          <w:sz w:val="18"/>
        </w:rPr>
        <w:t> </w:t>
      </w:r>
      <w:r>
        <w:rPr>
          <w:color w:val="231F20"/>
          <w:w w:val="105"/>
          <w:sz w:val="18"/>
        </w:rPr>
        <w:t>Entrevista</w:t>
      </w:r>
      <w:r>
        <w:rPr>
          <w:color w:val="231F20"/>
          <w:spacing w:val="-12"/>
          <w:w w:val="105"/>
          <w:sz w:val="18"/>
        </w:rPr>
        <w:t> </w:t>
      </w:r>
      <w:r>
        <w:rPr>
          <w:color w:val="231F20"/>
          <w:w w:val="105"/>
          <w:sz w:val="18"/>
        </w:rPr>
        <w:t>con</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novena</w:t>
      </w:r>
      <w:r>
        <w:rPr>
          <w:color w:val="231F20"/>
          <w:spacing w:val="-12"/>
          <w:w w:val="105"/>
          <w:sz w:val="18"/>
        </w:rPr>
        <w:t> </w:t>
      </w:r>
      <w:r>
        <w:rPr>
          <w:color w:val="231F20"/>
          <w:w w:val="105"/>
          <w:sz w:val="18"/>
        </w:rPr>
        <w:t>regidora</w:t>
      </w:r>
      <w:r>
        <w:rPr>
          <w:color w:val="231F20"/>
          <w:spacing w:val="-12"/>
          <w:w w:val="105"/>
          <w:sz w:val="18"/>
        </w:rPr>
        <w:t> </w:t>
      </w:r>
      <w:r>
        <w:rPr>
          <w:color w:val="231F20"/>
          <w:w w:val="105"/>
          <w:sz w:val="18"/>
        </w:rPr>
        <w:t>por</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Partido</w:t>
      </w:r>
      <w:r>
        <w:rPr>
          <w:color w:val="231F20"/>
          <w:spacing w:val="-12"/>
          <w:w w:val="105"/>
          <w:sz w:val="18"/>
        </w:rPr>
        <w:t> </w:t>
      </w:r>
      <w:r>
        <w:rPr>
          <w:color w:val="231F20"/>
          <w:w w:val="105"/>
          <w:sz w:val="18"/>
        </w:rPr>
        <w:t>Acción</w:t>
      </w:r>
      <w:r>
        <w:rPr>
          <w:color w:val="231F20"/>
          <w:spacing w:val="-12"/>
          <w:w w:val="105"/>
          <w:sz w:val="18"/>
        </w:rPr>
        <w:t> </w:t>
      </w:r>
      <w:r>
        <w:rPr>
          <w:color w:val="231F20"/>
          <w:w w:val="105"/>
          <w:sz w:val="18"/>
        </w:rPr>
        <w:t>Nacional, Ayuntamiento</w:t>
      </w:r>
      <w:r>
        <w:rPr>
          <w:color w:val="231F20"/>
          <w:spacing w:val="-11"/>
          <w:w w:val="105"/>
          <w:sz w:val="18"/>
        </w:rPr>
        <w:t> </w:t>
      </w:r>
      <w:r>
        <w:rPr>
          <w:color w:val="231F20"/>
          <w:w w:val="105"/>
          <w:sz w:val="18"/>
        </w:rPr>
        <w:t>de</w:t>
      </w:r>
      <w:r>
        <w:rPr>
          <w:color w:val="231F20"/>
          <w:spacing w:val="-11"/>
          <w:w w:val="105"/>
          <w:sz w:val="18"/>
        </w:rPr>
        <w:t> </w:t>
      </w:r>
      <w:r>
        <w:rPr>
          <w:color w:val="231F20"/>
          <w:spacing w:val="2"/>
          <w:w w:val="105"/>
          <w:sz w:val="18"/>
        </w:rPr>
        <w:t>Ixtapan</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Sal</w:t>
      </w:r>
      <w:r>
        <w:rPr>
          <w:color w:val="231F20"/>
          <w:spacing w:val="-11"/>
          <w:w w:val="105"/>
          <w:sz w:val="18"/>
        </w:rPr>
        <w:t> </w:t>
      </w:r>
      <w:r>
        <w:rPr>
          <w:color w:val="231F20"/>
          <w:w w:val="105"/>
          <w:sz w:val="18"/>
        </w:rPr>
        <w:t>2008-2009,</w:t>
      </w:r>
      <w:r>
        <w:rPr>
          <w:color w:val="231F20"/>
          <w:spacing w:val="-11"/>
          <w:w w:val="105"/>
          <w:sz w:val="18"/>
        </w:rPr>
        <w:t> </w:t>
      </w:r>
      <w:r>
        <w:rPr>
          <w:color w:val="231F20"/>
          <w:w w:val="105"/>
          <w:sz w:val="18"/>
        </w:rPr>
        <w:t>Estado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México.</w:t>
      </w:r>
    </w:p>
    <w:p>
      <w:pPr>
        <w:spacing w:line="348" w:lineRule="auto" w:before="3"/>
        <w:ind w:left="393" w:right="0" w:hanging="284"/>
        <w:jc w:val="left"/>
        <w:rPr>
          <w:sz w:val="18"/>
        </w:rPr>
      </w:pPr>
      <w:r>
        <w:rPr>
          <w:color w:val="231F20"/>
          <w:w w:val="105"/>
          <w:sz w:val="18"/>
        </w:rPr>
        <w:t>PEDRAZA,</w:t>
      </w:r>
      <w:r>
        <w:rPr>
          <w:color w:val="231F20"/>
          <w:spacing w:val="-13"/>
          <w:w w:val="105"/>
          <w:sz w:val="18"/>
        </w:rPr>
        <w:t> </w:t>
      </w:r>
      <w:r>
        <w:rPr>
          <w:color w:val="231F20"/>
          <w:w w:val="105"/>
          <w:sz w:val="18"/>
        </w:rPr>
        <w:t>Jorge</w:t>
      </w:r>
      <w:r>
        <w:rPr>
          <w:color w:val="231F20"/>
          <w:spacing w:val="-13"/>
          <w:w w:val="105"/>
          <w:sz w:val="18"/>
        </w:rPr>
        <w:t> </w:t>
      </w:r>
      <w:r>
        <w:rPr>
          <w:color w:val="231F20"/>
          <w:w w:val="105"/>
          <w:sz w:val="18"/>
        </w:rPr>
        <w:t>(2008),</w:t>
      </w:r>
      <w:r>
        <w:rPr>
          <w:color w:val="231F20"/>
          <w:spacing w:val="-13"/>
          <w:w w:val="105"/>
          <w:sz w:val="18"/>
        </w:rPr>
        <w:t> </w:t>
      </w:r>
      <w:r>
        <w:rPr>
          <w:color w:val="231F20"/>
          <w:w w:val="105"/>
          <w:sz w:val="18"/>
        </w:rPr>
        <w:t>Entrevista</w:t>
      </w:r>
      <w:r>
        <w:rPr>
          <w:color w:val="231F20"/>
          <w:spacing w:val="-13"/>
          <w:w w:val="105"/>
          <w:sz w:val="18"/>
        </w:rPr>
        <w:t> </w:t>
      </w:r>
      <w:r>
        <w:rPr>
          <w:color w:val="231F20"/>
          <w:w w:val="105"/>
          <w:sz w:val="18"/>
        </w:rPr>
        <w:t>con</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séptimo</w:t>
      </w:r>
      <w:r>
        <w:rPr>
          <w:color w:val="231F20"/>
          <w:spacing w:val="-13"/>
          <w:w w:val="105"/>
          <w:sz w:val="18"/>
        </w:rPr>
        <w:t> </w:t>
      </w:r>
      <w:r>
        <w:rPr>
          <w:color w:val="231F20"/>
          <w:w w:val="105"/>
          <w:sz w:val="18"/>
        </w:rPr>
        <w:t>regidor</w:t>
      </w:r>
      <w:r>
        <w:rPr>
          <w:color w:val="231F20"/>
          <w:spacing w:val="-13"/>
          <w:w w:val="105"/>
          <w:sz w:val="18"/>
        </w:rPr>
        <w:t> </w:t>
      </w:r>
      <w:r>
        <w:rPr>
          <w:color w:val="231F20"/>
          <w:w w:val="105"/>
          <w:sz w:val="18"/>
        </w:rPr>
        <w:t>por</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Partido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Revolución</w:t>
      </w:r>
      <w:r>
        <w:rPr>
          <w:color w:val="231F20"/>
          <w:spacing w:val="-13"/>
          <w:w w:val="105"/>
          <w:sz w:val="18"/>
        </w:rPr>
        <w:t> </w:t>
      </w:r>
      <w:r>
        <w:rPr>
          <w:color w:val="231F20"/>
          <w:w w:val="105"/>
          <w:sz w:val="18"/>
        </w:rPr>
        <w:t>Democrática, Ayuntamiento</w:t>
      </w:r>
      <w:r>
        <w:rPr>
          <w:color w:val="231F20"/>
          <w:spacing w:val="-11"/>
          <w:w w:val="105"/>
          <w:sz w:val="18"/>
        </w:rPr>
        <w:t> </w:t>
      </w:r>
      <w:r>
        <w:rPr>
          <w:color w:val="231F20"/>
          <w:w w:val="105"/>
          <w:sz w:val="18"/>
        </w:rPr>
        <w:t>de</w:t>
      </w:r>
      <w:r>
        <w:rPr>
          <w:color w:val="231F20"/>
          <w:spacing w:val="-11"/>
          <w:w w:val="105"/>
          <w:sz w:val="18"/>
        </w:rPr>
        <w:t> </w:t>
      </w:r>
      <w:r>
        <w:rPr>
          <w:color w:val="231F20"/>
          <w:spacing w:val="2"/>
          <w:w w:val="105"/>
          <w:sz w:val="18"/>
        </w:rPr>
        <w:t>Ixtapan</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Sal</w:t>
      </w:r>
      <w:r>
        <w:rPr>
          <w:color w:val="231F20"/>
          <w:spacing w:val="-11"/>
          <w:w w:val="105"/>
          <w:sz w:val="18"/>
        </w:rPr>
        <w:t> </w:t>
      </w:r>
      <w:r>
        <w:rPr>
          <w:color w:val="231F20"/>
          <w:w w:val="105"/>
          <w:sz w:val="18"/>
        </w:rPr>
        <w:t>2008-2009,</w:t>
      </w:r>
      <w:r>
        <w:rPr>
          <w:color w:val="231F20"/>
          <w:spacing w:val="-11"/>
          <w:w w:val="105"/>
          <w:sz w:val="18"/>
        </w:rPr>
        <w:t> </w:t>
      </w:r>
      <w:r>
        <w:rPr>
          <w:color w:val="231F20"/>
          <w:w w:val="105"/>
          <w:sz w:val="18"/>
        </w:rPr>
        <w:t>Estado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México.</w:t>
      </w:r>
    </w:p>
    <w:p>
      <w:pPr>
        <w:spacing w:line="348" w:lineRule="auto" w:before="3"/>
        <w:ind w:left="393" w:right="696" w:hanging="284"/>
        <w:jc w:val="left"/>
        <w:rPr>
          <w:sz w:val="18"/>
        </w:rPr>
      </w:pPr>
      <w:r>
        <w:rPr>
          <w:color w:val="231F20"/>
          <w:w w:val="105"/>
          <w:sz w:val="18"/>
        </w:rPr>
        <w:t>TOVAR, Oscar (2008), Entrevista con el presidente sustituto del Municipio de Ixtapan de la Sal 2008-2009, Estado de México.</w:t>
      </w:r>
    </w:p>
    <w:p>
      <w:pPr>
        <w:spacing w:after="0" w:line="348" w:lineRule="auto"/>
        <w:jc w:val="left"/>
        <w:rPr>
          <w:sz w:val="18"/>
        </w:rPr>
        <w:sectPr>
          <w:pgSz w:w="9640" w:h="12190"/>
          <w:pgMar w:header="0" w:footer="743" w:top="1120" w:bottom="940" w:left="740" w:right="820"/>
        </w:sectPr>
      </w:pPr>
    </w:p>
    <w:p>
      <w:pPr>
        <w:pStyle w:val="BodyText"/>
        <w:rPr>
          <w:sz w:val="9"/>
        </w:rPr>
      </w:pPr>
    </w:p>
    <w:p>
      <w:pPr>
        <w:pStyle w:val="Heading4"/>
        <w:spacing w:line="345" w:lineRule="exact"/>
        <w:jc w:val="left"/>
        <w:rPr>
          <w:i/>
        </w:rPr>
      </w:pPr>
      <w:r>
        <w:rPr>
          <w:i/>
          <w:color w:val="231F20"/>
        </w:rPr>
        <w:t>Sitios electrónicos</w:t>
      </w:r>
    </w:p>
    <w:p>
      <w:pPr>
        <w:spacing w:line="348" w:lineRule="auto" w:before="54"/>
        <w:ind w:left="110" w:right="3091" w:firstLine="0"/>
        <w:jc w:val="left"/>
        <w:rPr>
          <w:sz w:val="18"/>
        </w:rPr>
      </w:pPr>
      <w:hyperlink r:id="rId309">
        <w:r>
          <w:rPr>
            <w:color w:val="231F20"/>
            <w:sz w:val="18"/>
          </w:rPr>
          <w:t>www.conapo.org.mx</w:t>
        </w:r>
      </w:hyperlink>
      <w:r>
        <w:rPr>
          <w:color w:val="231F20"/>
          <w:sz w:val="18"/>
        </w:rPr>
        <w:t> </w:t>
      </w:r>
      <w:hyperlink r:id="rId310">
        <w:r>
          <w:rPr>
            <w:color w:val="231F20"/>
            <w:sz w:val="18"/>
          </w:rPr>
          <w:t>www.estadodemexico.org/ixtapandelasal.com</w:t>
        </w:r>
      </w:hyperlink>
      <w:r>
        <w:rPr>
          <w:color w:val="231F20"/>
          <w:sz w:val="18"/>
        </w:rPr>
        <w:t> </w:t>
      </w:r>
      <w:hyperlink r:id="rId311">
        <w:r>
          <w:rPr>
            <w:color w:val="231F20"/>
            <w:sz w:val="18"/>
          </w:rPr>
          <w:t>www.inafed.org.mx</w:t>
        </w:r>
      </w:hyperlink>
    </w:p>
    <w:p>
      <w:pPr>
        <w:spacing w:line="348" w:lineRule="auto" w:before="3"/>
        <w:ind w:left="110" w:right="5675" w:firstLine="0"/>
        <w:jc w:val="left"/>
        <w:rPr>
          <w:sz w:val="18"/>
        </w:rPr>
      </w:pPr>
      <w:hyperlink r:id="rId136">
        <w:r>
          <w:rPr>
            <w:color w:val="231F20"/>
            <w:sz w:val="18"/>
          </w:rPr>
          <w:t>www.ieem.org.mx</w:t>
        </w:r>
      </w:hyperlink>
      <w:r>
        <w:rPr>
          <w:color w:val="231F20"/>
          <w:sz w:val="18"/>
        </w:rPr>
        <w:t> </w:t>
      </w:r>
      <w:hyperlink r:id="rId312">
        <w:r>
          <w:rPr>
            <w:color w:val="231F20"/>
            <w:sz w:val="18"/>
          </w:rPr>
          <w:t>www.inegi.org.mx</w:t>
        </w:r>
      </w:hyperlink>
      <w:r>
        <w:rPr>
          <w:color w:val="231F20"/>
          <w:sz w:val="18"/>
        </w:rPr>
        <w:t> </w:t>
      </w:r>
      <w:hyperlink r:id="rId313">
        <w:r>
          <w:rPr>
            <w:color w:val="231F20"/>
            <w:sz w:val="18"/>
          </w:rPr>
          <w:t>www.pan.org.mx</w:t>
        </w:r>
      </w:hyperlink>
      <w:r>
        <w:rPr>
          <w:color w:val="231F20"/>
          <w:sz w:val="18"/>
        </w:rPr>
        <w:t> </w:t>
      </w:r>
      <w:hyperlink r:id="rId314">
        <w:r>
          <w:rPr>
            <w:color w:val="231F20"/>
            <w:sz w:val="18"/>
          </w:rPr>
          <w:t>www.pri.org</w:t>
        </w:r>
      </w:hyperlink>
    </w:p>
    <w:p>
      <w:pPr>
        <w:spacing w:before="3"/>
        <w:ind w:left="110" w:right="0" w:firstLine="0"/>
        <w:jc w:val="left"/>
        <w:rPr>
          <w:sz w:val="18"/>
        </w:rPr>
      </w:pPr>
      <w:r>
        <w:rPr>
          <w:color w:val="231F20"/>
          <w:spacing w:val="4"/>
          <w:w w:val="105"/>
          <w:sz w:val="18"/>
        </w:rPr>
        <w:t>RAMIREZ,</w:t>
      </w:r>
      <w:r>
        <w:rPr>
          <w:color w:val="231F20"/>
          <w:spacing w:val="-17"/>
          <w:w w:val="105"/>
          <w:sz w:val="18"/>
        </w:rPr>
        <w:t> </w:t>
      </w:r>
      <w:r>
        <w:rPr>
          <w:color w:val="231F20"/>
          <w:w w:val="105"/>
          <w:sz w:val="18"/>
        </w:rPr>
        <w:t>Jesús</w:t>
      </w:r>
      <w:r>
        <w:rPr>
          <w:color w:val="231F20"/>
          <w:spacing w:val="-17"/>
          <w:w w:val="105"/>
          <w:sz w:val="18"/>
        </w:rPr>
        <w:t> </w:t>
      </w:r>
      <w:r>
        <w:rPr>
          <w:color w:val="231F20"/>
          <w:w w:val="105"/>
          <w:sz w:val="18"/>
        </w:rPr>
        <w:t>(2006),</w:t>
      </w:r>
      <w:r>
        <w:rPr>
          <w:color w:val="231F20"/>
          <w:spacing w:val="-17"/>
          <w:w w:val="105"/>
          <w:sz w:val="18"/>
        </w:rPr>
        <w:t> </w:t>
      </w:r>
      <w:r>
        <w:rPr>
          <w:color w:val="231F20"/>
          <w:w w:val="105"/>
          <w:sz w:val="18"/>
        </w:rPr>
        <w:t>“Del</w:t>
      </w:r>
      <w:r>
        <w:rPr>
          <w:color w:val="231F20"/>
          <w:spacing w:val="-17"/>
          <w:w w:val="105"/>
          <w:sz w:val="18"/>
        </w:rPr>
        <w:t> </w:t>
      </w:r>
      <w:r>
        <w:rPr>
          <w:color w:val="231F20"/>
          <w:w w:val="105"/>
          <w:sz w:val="18"/>
        </w:rPr>
        <w:t>clientelismo</w:t>
      </w:r>
      <w:r>
        <w:rPr>
          <w:color w:val="231F20"/>
          <w:spacing w:val="-17"/>
          <w:w w:val="105"/>
          <w:sz w:val="18"/>
        </w:rPr>
        <w:t> </w:t>
      </w:r>
      <w:r>
        <w:rPr>
          <w:color w:val="231F20"/>
          <w:w w:val="105"/>
          <w:sz w:val="18"/>
        </w:rPr>
        <w:t>autoritario</w:t>
      </w:r>
      <w:r>
        <w:rPr>
          <w:color w:val="231F20"/>
          <w:spacing w:val="-17"/>
          <w:w w:val="105"/>
          <w:sz w:val="18"/>
        </w:rPr>
        <w:t> </w:t>
      </w:r>
      <w:r>
        <w:rPr>
          <w:color w:val="231F20"/>
          <w:spacing w:val="2"/>
          <w:w w:val="105"/>
          <w:sz w:val="18"/>
        </w:rPr>
        <w:t>al</w:t>
      </w:r>
      <w:r>
        <w:rPr>
          <w:color w:val="231F20"/>
          <w:spacing w:val="-17"/>
          <w:w w:val="105"/>
          <w:sz w:val="18"/>
        </w:rPr>
        <w:t> </w:t>
      </w:r>
      <w:r>
        <w:rPr>
          <w:color w:val="231F20"/>
          <w:w w:val="105"/>
          <w:sz w:val="18"/>
        </w:rPr>
        <w:t>clientelismo</w:t>
      </w:r>
      <w:r>
        <w:rPr>
          <w:color w:val="231F20"/>
          <w:spacing w:val="-17"/>
          <w:w w:val="105"/>
          <w:sz w:val="18"/>
        </w:rPr>
        <w:t> </w:t>
      </w:r>
      <w:r>
        <w:rPr>
          <w:color w:val="231F20"/>
          <w:w w:val="105"/>
          <w:sz w:val="18"/>
        </w:rPr>
        <w:t>democrático:</w:t>
      </w:r>
      <w:r>
        <w:rPr>
          <w:color w:val="231F20"/>
          <w:spacing w:val="-17"/>
          <w:w w:val="105"/>
          <w:sz w:val="18"/>
        </w:rPr>
        <w:t> </w:t>
      </w:r>
      <w:r>
        <w:rPr>
          <w:color w:val="231F20"/>
          <w:w w:val="105"/>
          <w:sz w:val="18"/>
        </w:rPr>
        <w:t>el</w:t>
      </w:r>
      <w:r>
        <w:rPr>
          <w:color w:val="231F20"/>
          <w:spacing w:val="-17"/>
          <w:w w:val="105"/>
          <w:sz w:val="18"/>
        </w:rPr>
        <w:t> </w:t>
      </w:r>
      <w:r>
        <w:rPr>
          <w:color w:val="231F20"/>
          <w:w w:val="105"/>
          <w:sz w:val="18"/>
        </w:rPr>
        <w:t>voto</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hambre”</w:t>
      </w:r>
    </w:p>
    <w:p>
      <w:pPr>
        <w:spacing w:line="348" w:lineRule="auto" w:before="93"/>
        <w:ind w:left="393" w:right="710" w:firstLine="0"/>
        <w:jc w:val="left"/>
        <w:rPr>
          <w:sz w:val="18"/>
        </w:rPr>
      </w:pPr>
      <w:r>
        <w:rPr>
          <w:color w:val="231F20"/>
          <w:w w:val="105"/>
          <w:sz w:val="18"/>
        </w:rPr>
        <w:t>Consultado en línea el 15 de enero de 2008. En </w:t>
      </w:r>
      <w:hyperlink r:id="rId315">
        <w:r>
          <w:rPr>
            <w:color w:val="231F20"/>
            <w:w w:val="105"/>
            <w:sz w:val="18"/>
          </w:rPr>
          <w:t>http://www.jornada.unam.mx/2006/02/12/</w:t>
        </w:r>
      </w:hyperlink>
      <w:r>
        <w:rPr>
          <w:color w:val="231F20"/>
          <w:w w:val="105"/>
          <w:sz w:val="18"/>
        </w:rPr>
        <w:t> mas-jesus.html.</w:t>
      </w:r>
    </w:p>
    <w:p>
      <w:pPr>
        <w:spacing w:after="0" w:line="348" w:lineRule="auto"/>
        <w:jc w:val="left"/>
        <w:rPr>
          <w:sz w:val="18"/>
        </w:rPr>
        <w:sectPr>
          <w:pgSz w:w="9640" w:h="12190"/>
          <w:pgMar w:header="0" w:footer="743" w:top="1120" w:bottom="940" w:left="740" w:right="960"/>
        </w:sectPr>
      </w:pPr>
    </w:p>
    <w:p>
      <w:pPr>
        <w:pStyle w:val="BodyText"/>
        <w:spacing w:before="3"/>
        <w:rPr>
          <w:sz w:val="9"/>
        </w:rPr>
      </w:pPr>
    </w:p>
    <w:p>
      <w:pPr>
        <w:spacing w:after="0"/>
        <w:rPr>
          <w:sz w:val="9"/>
        </w:rPr>
        <w:sectPr>
          <w:pgSz w:w="9640" w:h="12190"/>
          <w:pgMar w:header="0" w:footer="743" w:top="1120" w:bottom="940" w:left="740" w:right="740"/>
        </w:sectPr>
      </w:pPr>
    </w:p>
    <w:p>
      <w:pPr>
        <w:pStyle w:val="Heading3"/>
        <w:spacing w:before="21"/>
        <w:ind w:right="-11"/>
        <w:jc w:val="left"/>
      </w:pPr>
      <w:r>
        <w:rPr>
          <w:color w:val="231F20"/>
          <w:spacing w:val="-2"/>
          <w:w w:val="105"/>
        </w:rPr>
        <w:t>Anexos</w:t>
      </w:r>
    </w:p>
    <w:p>
      <w:pPr>
        <w:pStyle w:val="BodyText"/>
        <w:spacing w:before="2"/>
        <w:rPr>
          <w:b/>
          <w:sz w:val="31"/>
        </w:rPr>
      </w:pPr>
      <w:r>
        <w:rPr/>
        <w:br w:type="column"/>
      </w:r>
      <w:r>
        <w:rPr>
          <w:b/>
          <w:sz w:val="31"/>
        </w:rPr>
      </w:r>
    </w:p>
    <w:p>
      <w:pPr>
        <w:pStyle w:val="Heading5"/>
        <w:ind w:left="110" w:right="0"/>
      </w:pPr>
      <w:r>
        <w:rPr>
          <w:color w:val="231F20"/>
          <w:w w:val="105"/>
        </w:rPr>
        <w:t>Cuadro 17. Estatutos del PRI: 1929 y 2001.</w:t>
      </w:r>
    </w:p>
    <w:p>
      <w:pPr>
        <w:spacing w:after="0"/>
        <w:sectPr>
          <w:type w:val="continuous"/>
          <w:pgSz w:w="9640" w:h="12190"/>
          <w:pgMar w:top="0" w:bottom="0" w:left="740" w:right="740"/>
          <w:cols w:num="2" w:equalWidth="0">
            <w:col w:w="957" w:space="977"/>
            <w:col w:w="6226"/>
          </w:cols>
        </w:sectPr>
      </w:pP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52"/>
        <w:gridCol w:w="3762"/>
        <w:gridCol w:w="3812"/>
      </w:tblGrid>
      <w:tr>
        <w:trPr>
          <w:trHeight w:val="220" w:hRule="exact"/>
        </w:trPr>
        <w:tc>
          <w:tcPr>
            <w:tcW w:w="352" w:type="dxa"/>
            <w:shd w:val="clear" w:color="auto" w:fill="F3F3F3"/>
          </w:tcPr>
          <w:p>
            <w:pPr/>
          </w:p>
        </w:tc>
        <w:tc>
          <w:tcPr>
            <w:tcW w:w="3762" w:type="dxa"/>
            <w:shd w:val="clear" w:color="auto" w:fill="F3F3F3"/>
          </w:tcPr>
          <w:p>
            <w:pPr>
              <w:pStyle w:val="TableParagraph"/>
              <w:spacing w:line="143" w:lineRule="exact"/>
              <w:ind w:right="103"/>
              <w:jc w:val="center"/>
              <w:rPr>
                <w:b/>
                <w:sz w:val="14"/>
              </w:rPr>
            </w:pPr>
            <w:r>
              <w:rPr>
                <w:b/>
                <w:color w:val="231F20"/>
                <w:w w:val="95"/>
                <w:sz w:val="14"/>
              </w:rPr>
              <w:t>1929</w:t>
            </w:r>
          </w:p>
        </w:tc>
        <w:tc>
          <w:tcPr>
            <w:tcW w:w="3812" w:type="dxa"/>
            <w:shd w:val="clear" w:color="auto" w:fill="F3F3F3"/>
          </w:tcPr>
          <w:p>
            <w:pPr>
              <w:pStyle w:val="TableParagraph"/>
              <w:spacing w:line="143" w:lineRule="exact"/>
              <w:ind w:left="114" w:right="114"/>
              <w:jc w:val="center"/>
              <w:rPr>
                <w:b/>
                <w:sz w:val="14"/>
              </w:rPr>
            </w:pPr>
            <w:r>
              <w:rPr>
                <w:b/>
                <w:color w:val="231F20"/>
                <w:w w:val="95"/>
                <w:sz w:val="14"/>
              </w:rPr>
              <w:t>2001</w:t>
            </w:r>
          </w:p>
        </w:tc>
      </w:tr>
      <w:tr>
        <w:trPr>
          <w:trHeight w:val="1795" w:hRule="exact"/>
        </w:trPr>
        <w:tc>
          <w:tcPr>
            <w:tcW w:w="352" w:type="dxa"/>
            <w:textDirection w:val="btLr"/>
          </w:tcPr>
          <w:p>
            <w:pPr>
              <w:pStyle w:val="TableParagraph"/>
              <w:spacing w:before="74"/>
              <w:ind w:left="387"/>
              <w:rPr>
                <w:b/>
                <w:sz w:val="14"/>
              </w:rPr>
            </w:pPr>
            <w:r>
              <w:rPr>
                <w:b/>
                <w:color w:val="231F20"/>
                <w:spacing w:val="3"/>
                <w:w w:val="71"/>
                <w:sz w:val="14"/>
              </w:rPr>
              <w:t>O</w:t>
            </w:r>
            <w:r>
              <w:rPr>
                <w:b/>
                <w:color w:val="231F20"/>
                <w:spacing w:val="2"/>
                <w:w w:val="84"/>
                <w:sz w:val="14"/>
              </w:rPr>
              <w:t>bj</w:t>
            </w:r>
            <w:r>
              <w:rPr>
                <w:b/>
                <w:color w:val="231F20"/>
                <w:spacing w:val="2"/>
                <w:w w:val="83"/>
                <w:sz w:val="14"/>
              </w:rPr>
              <w:t>e</w:t>
            </w:r>
            <w:r>
              <w:rPr>
                <w:b/>
                <w:color w:val="231F20"/>
                <w:spacing w:val="2"/>
                <w:w w:val="90"/>
                <w:sz w:val="14"/>
              </w:rPr>
              <w:t>ti</w:t>
            </w:r>
            <w:r>
              <w:rPr>
                <w:b/>
                <w:color w:val="231F20"/>
                <w:spacing w:val="1"/>
                <w:w w:val="83"/>
                <w:sz w:val="14"/>
              </w:rPr>
              <w:t>v</w:t>
            </w:r>
            <w:r>
              <w:rPr>
                <w:b/>
                <w:color w:val="231F20"/>
                <w:w w:val="80"/>
                <w:sz w:val="14"/>
              </w:rPr>
              <w:t>o</w:t>
            </w:r>
            <w:r>
              <w:rPr>
                <w:b/>
                <w:color w:val="231F20"/>
                <w:spacing w:val="-10"/>
                <w:sz w:val="14"/>
              </w:rPr>
              <w:t> </w:t>
            </w:r>
            <w:r>
              <w:rPr>
                <w:b/>
                <w:color w:val="231F20"/>
                <w:spacing w:val="2"/>
                <w:w w:val="83"/>
                <w:sz w:val="14"/>
              </w:rPr>
              <w:t>d</w:t>
            </w:r>
            <w:r>
              <w:rPr>
                <w:b/>
                <w:color w:val="231F20"/>
                <w:spacing w:val="3"/>
                <w:w w:val="83"/>
                <w:sz w:val="14"/>
              </w:rPr>
              <w:t>e</w:t>
            </w:r>
            <w:r>
              <w:rPr>
                <w:b/>
                <w:color w:val="231F20"/>
                <w:w w:val="91"/>
                <w:sz w:val="14"/>
              </w:rPr>
              <w:t>l</w:t>
            </w:r>
            <w:r>
              <w:rPr>
                <w:b/>
                <w:color w:val="231F20"/>
                <w:spacing w:val="-10"/>
                <w:sz w:val="14"/>
              </w:rPr>
              <w:t> </w:t>
            </w:r>
            <w:r>
              <w:rPr>
                <w:b/>
                <w:color w:val="231F20"/>
                <w:spacing w:val="2"/>
                <w:w w:val="83"/>
                <w:sz w:val="14"/>
              </w:rPr>
              <w:t>p</w:t>
            </w:r>
            <w:r>
              <w:rPr>
                <w:b/>
                <w:color w:val="231F20"/>
                <w:spacing w:val="2"/>
                <w:w w:val="85"/>
                <w:sz w:val="14"/>
              </w:rPr>
              <w:t>a</w:t>
            </w:r>
            <w:r>
              <w:rPr>
                <w:b/>
                <w:color w:val="231F20"/>
                <w:spacing w:val="5"/>
                <w:w w:val="82"/>
                <w:sz w:val="14"/>
              </w:rPr>
              <w:t>r</w:t>
            </w:r>
            <w:r>
              <w:rPr>
                <w:b/>
                <w:color w:val="231F20"/>
                <w:spacing w:val="2"/>
                <w:w w:val="90"/>
                <w:sz w:val="14"/>
              </w:rPr>
              <w:t>ti</w:t>
            </w:r>
            <w:r>
              <w:rPr>
                <w:b/>
                <w:color w:val="231F20"/>
                <w:spacing w:val="2"/>
                <w:w w:val="83"/>
                <w:sz w:val="14"/>
              </w:rPr>
              <w:t>d</w:t>
            </w:r>
            <w:r>
              <w:rPr>
                <w:b/>
                <w:color w:val="231F20"/>
                <w:w w:val="80"/>
                <w:sz w:val="14"/>
              </w:rPr>
              <w:t>o</w:t>
            </w:r>
          </w:p>
        </w:tc>
        <w:tc>
          <w:tcPr>
            <w:tcW w:w="3762" w:type="dxa"/>
          </w:tcPr>
          <w:p>
            <w:pPr>
              <w:pStyle w:val="TableParagraph"/>
              <w:spacing w:line="196" w:lineRule="auto"/>
              <w:ind w:left="238" w:right="120" w:hanging="101"/>
              <w:rPr>
                <w:sz w:val="14"/>
              </w:rPr>
            </w:pPr>
            <w:r>
              <w:rPr>
                <w:color w:val="231F20"/>
                <w:w w:val="80"/>
                <w:sz w:val="14"/>
              </w:rPr>
              <w:t>Mantener</w:t>
            </w:r>
            <w:r>
              <w:rPr>
                <w:color w:val="231F20"/>
                <w:spacing w:val="-13"/>
                <w:w w:val="80"/>
                <w:sz w:val="14"/>
              </w:rPr>
              <w:t> </w:t>
            </w:r>
            <w:r>
              <w:rPr>
                <w:color w:val="231F20"/>
                <w:w w:val="80"/>
                <w:sz w:val="14"/>
              </w:rPr>
              <w:t>de</w:t>
            </w:r>
            <w:r>
              <w:rPr>
                <w:color w:val="231F20"/>
                <w:spacing w:val="-13"/>
                <w:w w:val="80"/>
                <w:sz w:val="14"/>
              </w:rPr>
              <w:t> </w:t>
            </w:r>
            <w:r>
              <w:rPr>
                <w:color w:val="231F20"/>
                <w:w w:val="80"/>
                <w:sz w:val="14"/>
              </w:rPr>
              <w:t>modo</w:t>
            </w:r>
            <w:r>
              <w:rPr>
                <w:color w:val="231F20"/>
                <w:spacing w:val="-13"/>
                <w:w w:val="80"/>
                <w:sz w:val="14"/>
              </w:rPr>
              <w:t> </w:t>
            </w:r>
            <w:r>
              <w:rPr>
                <w:color w:val="231F20"/>
                <w:w w:val="80"/>
                <w:sz w:val="14"/>
              </w:rPr>
              <w:t>permanente</w:t>
            </w:r>
            <w:r>
              <w:rPr>
                <w:color w:val="231F20"/>
                <w:spacing w:val="-13"/>
                <w:w w:val="80"/>
                <w:sz w:val="14"/>
              </w:rPr>
              <w:t> </w:t>
            </w:r>
            <w:r>
              <w:rPr>
                <w:color w:val="231F20"/>
                <w:w w:val="80"/>
                <w:sz w:val="14"/>
              </w:rPr>
              <w:t>y</w:t>
            </w:r>
            <w:r>
              <w:rPr>
                <w:color w:val="231F20"/>
                <w:spacing w:val="-13"/>
                <w:w w:val="80"/>
                <w:sz w:val="14"/>
              </w:rPr>
              <w:t> </w:t>
            </w:r>
            <w:r>
              <w:rPr>
                <w:color w:val="231F20"/>
                <w:w w:val="80"/>
                <w:sz w:val="14"/>
              </w:rPr>
              <w:t>por</w:t>
            </w:r>
            <w:r>
              <w:rPr>
                <w:color w:val="231F20"/>
                <w:spacing w:val="-13"/>
                <w:w w:val="80"/>
                <w:sz w:val="14"/>
              </w:rPr>
              <w:t> </w:t>
            </w:r>
            <w:r>
              <w:rPr>
                <w:color w:val="231F20"/>
                <w:w w:val="80"/>
                <w:sz w:val="14"/>
              </w:rPr>
              <w:t>medio</w:t>
            </w:r>
            <w:r>
              <w:rPr>
                <w:color w:val="231F20"/>
                <w:spacing w:val="-13"/>
                <w:w w:val="80"/>
                <w:sz w:val="14"/>
              </w:rPr>
              <w:t> </w:t>
            </w:r>
            <w:r>
              <w:rPr>
                <w:color w:val="231F20"/>
                <w:w w:val="80"/>
                <w:sz w:val="14"/>
              </w:rPr>
              <w:t>de</w:t>
            </w:r>
            <w:r>
              <w:rPr>
                <w:color w:val="231F20"/>
                <w:spacing w:val="-13"/>
                <w:w w:val="80"/>
                <w:sz w:val="14"/>
              </w:rPr>
              <w:t> </w:t>
            </w:r>
            <w:r>
              <w:rPr>
                <w:color w:val="231F20"/>
                <w:w w:val="80"/>
                <w:sz w:val="14"/>
              </w:rPr>
              <w:t>la</w:t>
            </w:r>
            <w:r>
              <w:rPr>
                <w:color w:val="231F20"/>
                <w:spacing w:val="-13"/>
                <w:w w:val="80"/>
                <w:sz w:val="14"/>
              </w:rPr>
              <w:t> </w:t>
            </w:r>
            <w:r>
              <w:rPr>
                <w:color w:val="231F20"/>
                <w:w w:val="80"/>
                <w:sz w:val="14"/>
              </w:rPr>
              <w:t>unificación</w:t>
            </w:r>
            <w:r>
              <w:rPr>
                <w:color w:val="231F20"/>
                <w:spacing w:val="-13"/>
                <w:w w:val="80"/>
                <w:sz w:val="14"/>
              </w:rPr>
              <w:t> </w:t>
            </w:r>
            <w:r>
              <w:rPr>
                <w:color w:val="231F20"/>
                <w:w w:val="80"/>
                <w:sz w:val="14"/>
              </w:rPr>
              <w:t>de</w:t>
            </w:r>
            <w:r>
              <w:rPr>
                <w:color w:val="231F20"/>
                <w:spacing w:val="-13"/>
                <w:w w:val="80"/>
                <w:sz w:val="14"/>
              </w:rPr>
              <w:t> </w:t>
            </w:r>
            <w:r>
              <w:rPr>
                <w:color w:val="231F20"/>
                <w:w w:val="80"/>
                <w:sz w:val="14"/>
              </w:rPr>
              <w:t>los</w:t>
            </w:r>
            <w:r>
              <w:rPr>
                <w:color w:val="231F20"/>
                <w:spacing w:val="-13"/>
                <w:w w:val="80"/>
                <w:sz w:val="14"/>
              </w:rPr>
              <w:t> </w:t>
            </w:r>
            <w:r>
              <w:rPr>
                <w:color w:val="231F20"/>
                <w:w w:val="80"/>
                <w:sz w:val="14"/>
              </w:rPr>
              <w:t>elementos revolucionarios del país, una disciplina de sostén al orden legal creado por el</w:t>
            </w:r>
            <w:r>
              <w:rPr>
                <w:color w:val="231F20"/>
                <w:spacing w:val="-11"/>
                <w:w w:val="80"/>
                <w:sz w:val="14"/>
              </w:rPr>
              <w:t> </w:t>
            </w:r>
            <w:r>
              <w:rPr>
                <w:color w:val="231F20"/>
                <w:w w:val="80"/>
                <w:sz w:val="14"/>
              </w:rPr>
              <w:t>triunfo</w:t>
            </w:r>
            <w:r>
              <w:rPr>
                <w:color w:val="231F20"/>
                <w:spacing w:val="-11"/>
                <w:w w:val="80"/>
                <w:sz w:val="14"/>
              </w:rPr>
              <w:t> </w:t>
            </w:r>
            <w:r>
              <w:rPr>
                <w:color w:val="231F20"/>
                <w:w w:val="80"/>
                <w:sz w:val="14"/>
              </w:rPr>
              <w:t>de</w:t>
            </w:r>
            <w:r>
              <w:rPr>
                <w:color w:val="231F20"/>
                <w:spacing w:val="-11"/>
                <w:w w:val="80"/>
                <w:sz w:val="14"/>
              </w:rPr>
              <w:t> </w:t>
            </w:r>
            <w:r>
              <w:rPr>
                <w:color w:val="231F20"/>
                <w:w w:val="80"/>
                <w:sz w:val="14"/>
              </w:rPr>
              <w:t>la</w:t>
            </w:r>
            <w:r>
              <w:rPr>
                <w:color w:val="231F20"/>
                <w:spacing w:val="-11"/>
                <w:w w:val="80"/>
                <w:sz w:val="14"/>
              </w:rPr>
              <w:t> </w:t>
            </w:r>
            <w:r>
              <w:rPr>
                <w:color w:val="231F20"/>
                <w:w w:val="80"/>
                <w:sz w:val="14"/>
              </w:rPr>
              <w:t>Revolución</w:t>
            </w:r>
            <w:r>
              <w:rPr>
                <w:color w:val="231F20"/>
                <w:spacing w:val="-11"/>
                <w:w w:val="80"/>
                <w:sz w:val="14"/>
              </w:rPr>
              <w:t> </w:t>
            </w:r>
            <w:r>
              <w:rPr>
                <w:color w:val="231F20"/>
                <w:w w:val="80"/>
                <w:sz w:val="14"/>
              </w:rPr>
              <w:t>Mexicana,</w:t>
            </w:r>
            <w:r>
              <w:rPr>
                <w:color w:val="231F20"/>
                <w:spacing w:val="-11"/>
                <w:w w:val="80"/>
                <w:sz w:val="14"/>
              </w:rPr>
              <w:t> </w:t>
            </w:r>
            <w:r>
              <w:rPr>
                <w:color w:val="231F20"/>
                <w:w w:val="80"/>
                <w:sz w:val="14"/>
              </w:rPr>
              <w:t>y</w:t>
            </w:r>
            <w:r>
              <w:rPr>
                <w:color w:val="231F20"/>
                <w:spacing w:val="-11"/>
                <w:w w:val="80"/>
                <w:sz w:val="14"/>
              </w:rPr>
              <w:t> </w:t>
            </w:r>
            <w:r>
              <w:rPr>
                <w:color w:val="231F20"/>
                <w:w w:val="80"/>
                <w:sz w:val="14"/>
              </w:rPr>
              <w:t>definir</w:t>
            </w:r>
            <w:r>
              <w:rPr>
                <w:color w:val="231F20"/>
                <w:spacing w:val="-11"/>
                <w:w w:val="80"/>
                <w:sz w:val="14"/>
              </w:rPr>
              <w:t> </w:t>
            </w:r>
            <w:r>
              <w:rPr>
                <w:color w:val="231F20"/>
                <w:w w:val="80"/>
                <w:sz w:val="14"/>
              </w:rPr>
              <w:t>y</w:t>
            </w:r>
            <w:r>
              <w:rPr>
                <w:color w:val="231F20"/>
                <w:spacing w:val="-11"/>
                <w:w w:val="80"/>
                <w:sz w:val="14"/>
              </w:rPr>
              <w:t> </w:t>
            </w:r>
            <w:r>
              <w:rPr>
                <w:color w:val="231F20"/>
                <w:w w:val="80"/>
                <w:sz w:val="14"/>
              </w:rPr>
              <w:t>consolidar</w:t>
            </w:r>
            <w:r>
              <w:rPr>
                <w:color w:val="231F20"/>
                <w:spacing w:val="-11"/>
                <w:w w:val="80"/>
                <w:sz w:val="14"/>
              </w:rPr>
              <w:t> </w:t>
            </w:r>
            <w:r>
              <w:rPr>
                <w:color w:val="231F20"/>
                <w:w w:val="80"/>
                <w:sz w:val="14"/>
              </w:rPr>
              <w:t>cada</w:t>
            </w:r>
            <w:r>
              <w:rPr>
                <w:color w:val="231F20"/>
                <w:spacing w:val="-11"/>
                <w:w w:val="80"/>
                <w:sz w:val="14"/>
              </w:rPr>
              <w:t> </w:t>
            </w:r>
            <w:r>
              <w:rPr>
                <w:color w:val="231F20"/>
                <w:w w:val="80"/>
                <w:sz w:val="14"/>
              </w:rPr>
              <w:t>día</w:t>
            </w:r>
            <w:r>
              <w:rPr>
                <w:color w:val="231F20"/>
                <w:spacing w:val="-11"/>
                <w:w w:val="80"/>
                <w:sz w:val="14"/>
              </w:rPr>
              <w:t> </w:t>
            </w:r>
            <w:r>
              <w:rPr>
                <w:color w:val="231F20"/>
                <w:w w:val="80"/>
                <w:sz w:val="14"/>
              </w:rPr>
              <w:t>más</w:t>
            </w:r>
            <w:r>
              <w:rPr>
                <w:color w:val="231F20"/>
                <w:spacing w:val="-11"/>
                <w:w w:val="80"/>
                <w:sz w:val="14"/>
              </w:rPr>
              <w:t> </w:t>
            </w:r>
            <w:r>
              <w:rPr>
                <w:color w:val="231F20"/>
                <w:w w:val="80"/>
                <w:sz w:val="14"/>
              </w:rPr>
              <w:t>la</w:t>
            </w:r>
          </w:p>
          <w:p>
            <w:pPr>
              <w:pStyle w:val="TableParagraph"/>
              <w:spacing w:line="196" w:lineRule="auto"/>
              <w:ind w:left="105" w:right="103"/>
              <w:jc w:val="center"/>
              <w:rPr>
                <w:sz w:val="14"/>
              </w:rPr>
            </w:pPr>
            <w:r>
              <w:rPr>
                <w:color w:val="231F20"/>
                <w:w w:val="80"/>
                <w:sz w:val="14"/>
              </w:rPr>
              <w:t>doctrina</w:t>
            </w:r>
            <w:r>
              <w:rPr>
                <w:color w:val="231F20"/>
                <w:spacing w:val="-10"/>
                <w:w w:val="80"/>
                <w:sz w:val="14"/>
              </w:rPr>
              <w:t> </w:t>
            </w:r>
            <w:r>
              <w:rPr>
                <w:color w:val="231F20"/>
                <w:w w:val="80"/>
                <w:sz w:val="14"/>
              </w:rPr>
              <w:t>y</w:t>
            </w:r>
            <w:r>
              <w:rPr>
                <w:color w:val="231F20"/>
                <w:spacing w:val="-10"/>
                <w:w w:val="80"/>
                <w:sz w:val="14"/>
              </w:rPr>
              <w:t> </w:t>
            </w:r>
            <w:r>
              <w:rPr>
                <w:color w:val="231F20"/>
                <w:w w:val="80"/>
                <w:sz w:val="14"/>
              </w:rPr>
              <w:t>las</w:t>
            </w:r>
            <w:r>
              <w:rPr>
                <w:color w:val="231F20"/>
                <w:spacing w:val="-10"/>
                <w:w w:val="80"/>
                <w:sz w:val="14"/>
              </w:rPr>
              <w:t> </w:t>
            </w:r>
            <w:r>
              <w:rPr>
                <w:color w:val="231F20"/>
                <w:w w:val="80"/>
                <w:sz w:val="14"/>
              </w:rPr>
              <w:t>conquistas</w:t>
            </w:r>
            <w:r>
              <w:rPr>
                <w:color w:val="231F20"/>
                <w:spacing w:val="-10"/>
                <w:w w:val="80"/>
                <w:sz w:val="14"/>
              </w:rPr>
              <w:t> </w:t>
            </w:r>
            <w:r>
              <w:rPr>
                <w:color w:val="231F20"/>
                <w:w w:val="80"/>
                <w:sz w:val="14"/>
              </w:rPr>
              <w:t>de</w:t>
            </w:r>
            <w:r>
              <w:rPr>
                <w:color w:val="231F20"/>
                <w:spacing w:val="-10"/>
                <w:w w:val="80"/>
                <w:sz w:val="14"/>
              </w:rPr>
              <w:t> </w:t>
            </w:r>
            <w:r>
              <w:rPr>
                <w:color w:val="231F20"/>
                <w:w w:val="80"/>
                <w:sz w:val="14"/>
              </w:rPr>
              <w:t>la</w:t>
            </w:r>
            <w:r>
              <w:rPr>
                <w:color w:val="231F20"/>
                <w:spacing w:val="-10"/>
                <w:w w:val="80"/>
                <w:sz w:val="14"/>
              </w:rPr>
              <w:t> </w:t>
            </w:r>
            <w:r>
              <w:rPr>
                <w:color w:val="231F20"/>
                <w:w w:val="80"/>
                <w:sz w:val="14"/>
              </w:rPr>
              <w:t>Revolución</w:t>
            </w:r>
            <w:r>
              <w:rPr>
                <w:color w:val="231F20"/>
                <w:spacing w:val="-10"/>
                <w:w w:val="80"/>
                <w:sz w:val="14"/>
              </w:rPr>
              <w:t> </w:t>
            </w:r>
            <w:r>
              <w:rPr>
                <w:color w:val="231F20"/>
                <w:w w:val="80"/>
                <w:sz w:val="14"/>
              </w:rPr>
              <w:t>llevando</w:t>
            </w:r>
            <w:r>
              <w:rPr>
                <w:color w:val="231F20"/>
                <w:spacing w:val="-10"/>
                <w:w w:val="80"/>
                <w:sz w:val="14"/>
              </w:rPr>
              <w:t> </w:t>
            </w:r>
            <w:r>
              <w:rPr>
                <w:color w:val="231F20"/>
                <w:w w:val="80"/>
                <w:sz w:val="14"/>
              </w:rPr>
              <w:t>a</w:t>
            </w:r>
            <w:r>
              <w:rPr>
                <w:color w:val="231F20"/>
                <w:spacing w:val="-10"/>
                <w:w w:val="80"/>
                <w:sz w:val="14"/>
              </w:rPr>
              <w:t> </w:t>
            </w:r>
            <w:r>
              <w:rPr>
                <w:color w:val="231F20"/>
                <w:w w:val="80"/>
                <w:sz w:val="14"/>
              </w:rPr>
              <w:t>los</w:t>
            </w:r>
            <w:r>
              <w:rPr>
                <w:color w:val="231F20"/>
                <w:spacing w:val="-10"/>
                <w:w w:val="80"/>
                <w:sz w:val="14"/>
              </w:rPr>
              <w:t> </w:t>
            </w:r>
            <w:r>
              <w:rPr>
                <w:color w:val="231F20"/>
                <w:w w:val="80"/>
                <w:sz w:val="14"/>
              </w:rPr>
              <w:t>puestos</w:t>
            </w:r>
            <w:r>
              <w:rPr>
                <w:color w:val="231F20"/>
                <w:spacing w:val="-10"/>
                <w:w w:val="80"/>
                <w:sz w:val="14"/>
              </w:rPr>
              <w:t> </w:t>
            </w:r>
            <w:r>
              <w:rPr>
                <w:color w:val="231F20"/>
                <w:w w:val="80"/>
                <w:sz w:val="14"/>
              </w:rPr>
              <w:t>representa- tivos</w:t>
            </w:r>
            <w:r>
              <w:rPr>
                <w:color w:val="231F20"/>
                <w:spacing w:val="-10"/>
                <w:w w:val="80"/>
                <w:sz w:val="14"/>
              </w:rPr>
              <w:t> </w:t>
            </w:r>
            <w:r>
              <w:rPr>
                <w:color w:val="231F20"/>
                <w:w w:val="80"/>
                <w:sz w:val="14"/>
              </w:rPr>
              <w:t>a</w:t>
            </w:r>
            <w:r>
              <w:rPr>
                <w:color w:val="231F20"/>
                <w:spacing w:val="-10"/>
                <w:w w:val="80"/>
                <w:sz w:val="14"/>
              </w:rPr>
              <w:t> </w:t>
            </w:r>
            <w:r>
              <w:rPr>
                <w:color w:val="231F20"/>
                <w:w w:val="80"/>
                <w:sz w:val="14"/>
              </w:rPr>
              <w:t>elementos</w:t>
            </w:r>
            <w:r>
              <w:rPr>
                <w:color w:val="231F20"/>
                <w:spacing w:val="-10"/>
                <w:w w:val="80"/>
                <w:sz w:val="14"/>
              </w:rPr>
              <w:t> </w:t>
            </w:r>
            <w:r>
              <w:rPr>
                <w:color w:val="231F20"/>
                <w:w w:val="80"/>
                <w:sz w:val="14"/>
              </w:rPr>
              <w:t>que</w:t>
            </w:r>
            <w:r>
              <w:rPr>
                <w:color w:val="231F20"/>
                <w:spacing w:val="-10"/>
                <w:w w:val="80"/>
                <w:sz w:val="14"/>
              </w:rPr>
              <w:t> </w:t>
            </w:r>
            <w:r>
              <w:rPr>
                <w:color w:val="231F20"/>
                <w:w w:val="80"/>
                <w:sz w:val="14"/>
              </w:rPr>
              <w:t>por</w:t>
            </w:r>
            <w:r>
              <w:rPr>
                <w:color w:val="231F20"/>
                <w:spacing w:val="-10"/>
                <w:w w:val="80"/>
                <w:sz w:val="14"/>
              </w:rPr>
              <w:t> </w:t>
            </w:r>
            <w:r>
              <w:rPr>
                <w:color w:val="231F20"/>
                <w:w w:val="80"/>
                <w:sz w:val="14"/>
              </w:rPr>
              <w:t>su</w:t>
            </w:r>
            <w:r>
              <w:rPr>
                <w:color w:val="231F20"/>
                <w:spacing w:val="-10"/>
                <w:w w:val="80"/>
                <w:sz w:val="14"/>
              </w:rPr>
              <w:t> </w:t>
            </w:r>
            <w:r>
              <w:rPr>
                <w:color w:val="231F20"/>
                <w:w w:val="80"/>
                <w:sz w:val="14"/>
              </w:rPr>
              <w:t>filiación,</w:t>
            </w:r>
            <w:r>
              <w:rPr>
                <w:color w:val="231F20"/>
                <w:spacing w:val="-10"/>
                <w:w w:val="80"/>
                <w:sz w:val="14"/>
              </w:rPr>
              <w:t> </w:t>
            </w:r>
            <w:r>
              <w:rPr>
                <w:color w:val="231F20"/>
                <w:w w:val="80"/>
                <w:sz w:val="14"/>
              </w:rPr>
              <w:t>idoneidad</w:t>
            </w:r>
            <w:r>
              <w:rPr>
                <w:color w:val="231F20"/>
                <w:spacing w:val="-10"/>
                <w:w w:val="80"/>
                <w:sz w:val="14"/>
              </w:rPr>
              <w:t> </w:t>
            </w:r>
            <w:r>
              <w:rPr>
                <w:color w:val="231F20"/>
                <w:w w:val="80"/>
                <w:sz w:val="14"/>
              </w:rPr>
              <w:t>y</w:t>
            </w:r>
            <w:r>
              <w:rPr>
                <w:color w:val="231F20"/>
                <w:spacing w:val="-10"/>
                <w:w w:val="80"/>
                <w:sz w:val="14"/>
              </w:rPr>
              <w:t> </w:t>
            </w:r>
            <w:r>
              <w:rPr>
                <w:color w:val="231F20"/>
                <w:w w:val="80"/>
                <w:sz w:val="14"/>
              </w:rPr>
              <w:t>moralidad,</w:t>
            </w:r>
            <w:r>
              <w:rPr>
                <w:color w:val="231F20"/>
                <w:spacing w:val="-10"/>
                <w:w w:val="80"/>
                <w:sz w:val="14"/>
              </w:rPr>
              <w:t> </w:t>
            </w:r>
            <w:r>
              <w:rPr>
                <w:color w:val="231F20"/>
                <w:w w:val="80"/>
                <w:sz w:val="14"/>
              </w:rPr>
              <w:t>garanticen</w:t>
            </w:r>
            <w:r>
              <w:rPr>
                <w:color w:val="231F20"/>
                <w:spacing w:val="-10"/>
                <w:w w:val="80"/>
                <w:sz w:val="14"/>
              </w:rPr>
              <w:t> </w:t>
            </w:r>
            <w:r>
              <w:rPr>
                <w:color w:val="231F20"/>
                <w:w w:val="80"/>
                <w:sz w:val="14"/>
              </w:rPr>
              <w:t>los postulados</w:t>
            </w:r>
            <w:r>
              <w:rPr>
                <w:color w:val="231F20"/>
                <w:spacing w:val="-11"/>
                <w:w w:val="80"/>
                <w:sz w:val="14"/>
              </w:rPr>
              <w:t> </w:t>
            </w:r>
            <w:r>
              <w:rPr>
                <w:color w:val="231F20"/>
                <w:w w:val="80"/>
                <w:sz w:val="14"/>
              </w:rPr>
              <w:t>de</w:t>
            </w:r>
            <w:r>
              <w:rPr>
                <w:color w:val="231F20"/>
                <w:spacing w:val="-11"/>
                <w:w w:val="80"/>
                <w:sz w:val="14"/>
              </w:rPr>
              <w:t> </w:t>
            </w:r>
            <w:r>
              <w:rPr>
                <w:color w:val="231F20"/>
                <w:w w:val="80"/>
                <w:sz w:val="14"/>
              </w:rPr>
              <w:t>la</w:t>
            </w:r>
            <w:r>
              <w:rPr>
                <w:color w:val="231F20"/>
                <w:spacing w:val="-11"/>
                <w:w w:val="80"/>
                <w:sz w:val="14"/>
              </w:rPr>
              <w:t> </w:t>
            </w:r>
            <w:r>
              <w:rPr>
                <w:color w:val="231F20"/>
                <w:w w:val="80"/>
                <w:sz w:val="14"/>
              </w:rPr>
              <w:t>misma</w:t>
            </w:r>
            <w:r>
              <w:rPr>
                <w:color w:val="231F20"/>
                <w:spacing w:val="-11"/>
                <w:w w:val="80"/>
                <w:sz w:val="14"/>
              </w:rPr>
              <w:t> </w:t>
            </w:r>
            <w:r>
              <w:rPr>
                <w:color w:val="231F20"/>
                <w:w w:val="80"/>
                <w:sz w:val="14"/>
              </w:rPr>
              <w:t>y</w:t>
            </w:r>
            <w:r>
              <w:rPr>
                <w:color w:val="231F20"/>
                <w:spacing w:val="-11"/>
                <w:w w:val="80"/>
                <w:sz w:val="14"/>
              </w:rPr>
              <w:t> </w:t>
            </w:r>
            <w:r>
              <w:rPr>
                <w:color w:val="231F20"/>
                <w:w w:val="80"/>
                <w:sz w:val="14"/>
              </w:rPr>
              <w:t>las</w:t>
            </w:r>
            <w:r>
              <w:rPr>
                <w:color w:val="231F20"/>
                <w:spacing w:val="-11"/>
                <w:w w:val="80"/>
                <w:sz w:val="14"/>
              </w:rPr>
              <w:t> </w:t>
            </w:r>
            <w:r>
              <w:rPr>
                <w:color w:val="231F20"/>
                <w:w w:val="80"/>
                <w:sz w:val="14"/>
              </w:rPr>
              <w:t>aspiraciones</w:t>
            </w:r>
            <w:r>
              <w:rPr>
                <w:color w:val="231F20"/>
                <w:spacing w:val="-11"/>
                <w:w w:val="80"/>
                <w:sz w:val="14"/>
              </w:rPr>
              <w:t> </w:t>
            </w:r>
            <w:r>
              <w:rPr>
                <w:color w:val="231F20"/>
                <w:w w:val="80"/>
                <w:sz w:val="14"/>
              </w:rPr>
              <w:t>generales</w:t>
            </w:r>
            <w:r>
              <w:rPr>
                <w:color w:val="231F20"/>
                <w:spacing w:val="-11"/>
                <w:w w:val="80"/>
                <w:sz w:val="14"/>
              </w:rPr>
              <w:t> </w:t>
            </w:r>
            <w:r>
              <w:rPr>
                <w:color w:val="231F20"/>
                <w:w w:val="80"/>
                <w:sz w:val="14"/>
              </w:rPr>
              <w:t>del</w:t>
            </w:r>
            <w:r>
              <w:rPr>
                <w:color w:val="231F20"/>
                <w:spacing w:val="-11"/>
                <w:w w:val="80"/>
                <w:sz w:val="14"/>
              </w:rPr>
              <w:t> </w:t>
            </w:r>
            <w:r>
              <w:rPr>
                <w:color w:val="231F20"/>
                <w:w w:val="80"/>
                <w:sz w:val="14"/>
              </w:rPr>
              <w:t>país.</w:t>
            </w:r>
            <w:r>
              <w:rPr>
                <w:color w:val="231F20"/>
                <w:spacing w:val="-11"/>
                <w:w w:val="80"/>
                <w:sz w:val="14"/>
              </w:rPr>
              <w:t> </w:t>
            </w:r>
            <w:r>
              <w:rPr>
                <w:color w:val="231F20"/>
                <w:w w:val="80"/>
                <w:sz w:val="14"/>
              </w:rPr>
              <w:t>El</w:t>
            </w:r>
            <w:r>
              <w:rPr>
                <w:color w:val="231F20"/>
                <w:spacing w:val="-11"/>
                <w:w w:val="80"/>
                <w:sz w:val="14"/>
              </w:rPr>
              <w:t> </w:t>
            </w:r>
            <w:r>
              <w:rPr>
                <w:color w:val="231F20"/>
                <w:w w:val="80"/>
                <w:sz w:val="14"/>
              </w:rPr>
              <w:t>Partido</w:t>
            </w:r>
            <w:r>
              <w:rPr>
                <w:color w:val="231F20"/>
                <w:spacing w:val="-11"/>
                <w:w w:val="80"/>
                <w:sz w:val="14"/>
              </w:rPr>
              <w:t> </w:t>
            </w:r>
            <w:r>
              <w:rPr>
                <w:color w:val="231F20"/>
                <w:w w:val="80"/>
                <w:sz w:val="14"/>
              </w:rPr>
              <w:t>Nacional Revolucionario</w:t>
            </w:r>
            <w:r>
              <w:rPr>
                <w:color w:val="231F20"/>
                <w:spacing w:val="-13"/>
                <w:w w:val="80"/>
                <w:sz w:val="14"/>
              </w:rPr>
              <w:t> </w:t>
            </w:r>
            <w:r>
              <w:rPr>
                <w:color w:val="231F20"/>
                <w:w w:val="80"/>
                <w:sz w:val="14"/>
              </w:rPr>
              <w:t>reconoce</w:t>
            </w:r>
            <w:r>
              <w:rPr>
                <w:color w:val="231F20"/>
                <w:spacing w:val="-13"/>
                <w:w w:val="80"/>
                <w:sz w:val="14"/>
              </w:rPr>
              <w:t> </w:t>
            </w:r>
            <w:r>
              <w:rPr>
                <w:color w:val="231F20"/>
                <w:w w:val="80"/>
                <w:sz w:val="14"/>
              </w:rPr>
              <w:t>de</w:t>
            </w:r>
            <w:r>
              <w:rPr>
                <w:color w:val="231F20"/>
                <w:spacing w:val="-13"/>
                <w:w w:val="80"/>
                <w:sz w:val="14"/>
              </w:rPr>
              <w:t> </w:t>
            </w:r>
            <w:r>
              <w:rPr>
                <w:color w:val="231F20"/>
                <w:w w:val="80"/>
                <w:sz w:val="14"/>
              </w:rPr>
              <w:t>una</w:t>
            </w:r>
            <w:r>
              <w:rPr>
                <w:color w:val="231F20"/>
                <w:spacing w:val="-13"/>
                <w:w w:val="80"/>
                <w:sz w:val="14"/>
              </w:rPr>
              <w:t> </w:t>
            </w:r>
            <w:r>
              <w:rPr>
                <w:color w:val="231F20"/>
                <w:w w:val="80"/>
                <w:sz w:val="14"/>
              </w:rPr>
              <w:t>manera</w:t>
            </w:r>
            <w:r>
              <w:rPr>
                <w:color w:val="231F20"/>
                <w:spacing w:val="-13"/>
                <w:w w:val="80"/>
                <w:sz w:val="14"/>
              </w:rPr>
              <w:t> </w:t>
            </w:r>
            <w:r>
              <w:rPr>
                <w:color w:val="231F20"/>
                <w:w w:val="80"/>
                <w:sz w:val="14"/>
              </w:rPr>
              <w:t>absoluta</w:t>
            </w:r>
            <w:r>
              <w:rPr>
                <w:color w:val="231F20"/>
                <w:spacing w:val="-13"/>
                <w:w w:val="80"/>
                <w:sz w:val="14"/>
              </w:rPr>
              <w:t> </w:t>
            </w:r>
            <w:r>
              <w:rPr>
                <w:color w:val="231F20"/>
                <w:w w:val="80"/>
                <w:sz w:val="14"/>
              </w:rPr>
              <w:t>la</w:t>
            </w:r>
            <w:r>
              <w:rPr>
                <w:color w:val="231F20"/>
                <w:spacing w:val="-13"/>
                <w:w w:val="80"/>
                <w:sz w:val="14"/>
              </w:rPr>
              <w:t> </w:t>
            </w:r>
            <w:r>
              <w:rPr>
                <w:color w:val="231F20"/>
                <w:w w:val="80"/>
                <w:sz w:val="14"/>
              </w:rPr>
              <w:t>autonomía</w:t>
            </w:r>
            <w:r>
              <w:rPr>
                <w:color w:val="231F20"/>
                <w:spacing w:val="-13"/>
                <w:w w:val="80"/>
                <w:sz w:val="14"/>
              </w:rPr>
              <w:t> </w:t>
            </w:r>
            <w:r>
              <w:rPr>
                <w:color w:val="231F20"/>
                <w:w w:val="80"/>
                <w:sz w:val="14"/>
              </w:rPr>
              <w:t>de</w:t>
            </w:r>
            <w:r>
              <w:rPr>
                <w:color w:val="231F20"/>
                <w:spacing w:val="-13"/>
                <w:w w:val="80"/>
                <w:sz w:val="14"/>
              </w:rPr>
              <w:t> </w:t>
            </w:r>
            <w:r>
              <w:rPr>
                <w:color w:val="231F20"/>
                <w:w w:val="80"/>
                <w:sz w:val="14"/>
              </w:rPr>
              <w:t>los</w:t>
            </w:r>
            <w:r>
              <w:rPr>
                <w:color w:val="231F20"/>
                <w:spacing w:val="-13"/>
                <w:w w:val="80"/>
                <w:sz w:val="14"/>
              </w:rPr>
              <w:t> </w:t>
            </w:r>
            <w:r>
              <w:rPr>
                <w:color w:val="231F20"/>
                <w:w w:val="80"/>
                <w:sz w:val="14"/>
              </w:rPr>
              <w:t>partidos de</w:t>
            </w:r>
            <w:r>
              <w:rPr>
                <w:color w:val="231F20"/>
                <w:spacing w:val="-10"/>
                <w:w w:val="80"/>
                <w:sz w:val="14"/>
              </w:rPr>
              <w:t> </w:t>
            </w:r>
            <w:r>
              <w:rPr>
                <w:color w:val="231F20"/>
                <w:w w:val="80"/>
                <w:sz w:val="14"/>
              </w:rPr>
              <w:t>las</w:t>
            </w:r>
            <w:r>
              <w:rPr>
                <w:color w:val="231F20"/>
                <w:spacing w:val="-10"/>
                <w:w w:val="80"/>
                <w:sz w:val="14"/>
              </w:rPr>
              <w:t> </w:t>
            </w:r>
            <w:r>
              <w:rPr>
                <w:color w:val="231F20"/>
                <w:w w:val="80"/>
                <w:sz w:val="14"/>
              </w:rPr>
              <w:t>entidades</w:t>
            </w:r>
            <w:r>
              <w:rPr>
                <w:color w:val="231F20"/>
                <w:spacing w:val="-10"/>
                <w:w w:val="80"/>
                <w:sz w:val="14"/>
              </w:rPr>
              <w:t> </w:t>
            </w:r>
            <w:r>
              <w:rPr>
                <w:color w:val="231F20"/>
                <w:w w:val="80"/>
                <w:sz w:val="14"/>
              </w:rPr>
              <w:t>federativas</w:t>
            </w:r>
            <w:r>
              <w:rPr>
                <w:color w:val="231F20"/>
                <w:spacing w:val="-10"/>
                <w:w w:val="80"/>
                <w:sz w:val="14"/>
              </w:rPr>
              <w:t> </w:t>
            </w:r>
            <w:r>
              <w:rPr>
                <w:color w:val="231F20"/>
                <w:w w:val="80"/>
                <w:sz w:val="14"/>
              </w:rPr>
              <w:t>en</w:t>
            </w:r>
            <w:r>
              <w:rPr>
                <w:color w:val="231F20"/>
                <w:spacing w:val="-10"/>
                <w:w w:val="80"/>
                <w:sz w:val="14"/>
              </w:rPr>
              <w:t> </w:t>
            </w:r>
            <w:r>
              <w:rPr>
                <w:color w:val="231F20"/>
                <w:w w:val="80"/>
                <w:sz w:val="14"/>
              </w:rPr>
              <w:t>todo</w:t>
            </w:r>
            <w:r>
              <w:rPr>
                <w:color w:val="231F20"/>
                <w:spacing w:val="-10"/>
                <w:w w:val="80"/>
                <w:sz w:val="14"/>
              </w:rPr>
              <w:t> </w:t>
            </w:r>
            <w:r>
              <w:rPr>
                <w:color w:val="231F20"/>
                <w:w w:val="80"/>
                <w:sz w:val="14"/>
              </w:rPr>
              <w:t>aquello</w:t>
            </w:r>
            <w:r>
              <w:rPr>
                <w:color w:val="231F20"/>
                <w:spacing w:val="-10"/>
                <w:w w:val="80"/>
                <w:sz w:val="14"/>
              </w:rPr>
              <w:t> </w:t>
            </w:r>
            <w:r>
              <w:rPr>
                <w:color w:val="231F20"/>
                <w:w w:val="80"/>
                <w:sz w:val="14"/>
              </w:rPr>
              <w:t>que</w:t>
            </w:r>
            <w:r>
              <w:rPr>
                <w:color w:val="231F20"/>
                <w:spacing w:val="-10"/>
                <w:w w:val="80"/>
                <w:sz w:val="14"/>
              </w:rPr>
              <w:t> </w:t>
            </w:r>
            <w:r>
              <w:rPr>
                <w:color w:val="231F20"/>
                <w:w w:val="80"/>
                <w:sz w:val="14"/>
              </w:rPr>
              <w:t>se</w:t>
            </w:r>
            <w:r>
              <w:rPr>
                <w:color w:val="231F20"/>
                <w:spacing w:val="-10"/>
                <w:w w:val="80"/>
                <w:sz w:val="14"/>
              </w:rPr>
              <w:t> </w:t>
            </w:r>
            <w:r>
              <w:rPr>
                <w:color w:val="231F20"/>
                <w:w w:val="80"/>
                <w:sz w:val="14"/>
              </w:rPr>
              <w:t>refiere</w:t>
            </w:r>
            <w:r>
              <w:rPr>
                <w:color w:val="231F20"/>
                <w:spacing w:val="-10"/>
                <w:w w:val="80"/>
                <w:sz w:val="14"/>
              </w:rPr>
              <w:t> </w:t>
            </w:r>
            <w:r>
              <w:rPr>
                <w:color w:val="231F20"/>
                <w:w w:val="80"/>
                <w:sz w:val="14"/>
              </w:rPr>
              <w:t>a</w:t>
            </w:r>
            <w:r>
              <w:rPr>
                <w:color w:val="231F20"/>
                <w:spacing w:val="-10"/>
                <w:w w:val="80"/>
                <w:sz w:val="14"/>
              </w:rPr>
              <w:t> </w:t>
            </w:r>
            <w:r>
              <w:rPr>
                <w:color w:val="231F20"/>
                <w:w w:val="80"/>
                <w:sz w:val="14"/>
              </w:rPr>
              <w:t>las</w:t>
            </w:r>
            <w:r>
              <w:rPr>
                <w:color w:val="231F20"/>
                <w:spacing w:val="-10"/>
                <w:w w:val="80"/>
                <w:sz w:val="14"/>
              </w:rPr>
              <w:t> </w:t>
            </w:r>
            <w:r>
              <w:rPr>
                <w:color w:val="231F20"/>
                <w:w w:val="80"/>
                <w:sz w:val="14"/>
              </w:rPr>
              <w:t>cuestiones </w:t>
            </w:r>
            <w:r>
              <w:rPr>
                <w:color w:val="231F20"/>
                <w:w w:val="85"/>
                <w:sz w:val="14"/>
              </w:rPr>
              <w:t>locales.</w:t>
            </w:r>
          </w:p>
        </w:tc>
        <w:tc>
          <w:tcPr>
            <w:tcW w:w="3812" w:type="dxa"/>
          </w:tcPr>
          <w:p>
            <w:pPr>
              <w:pStyle w:val="TableParagraph"/>
              <w:spacing w:line="196" w:lineRule="auto"/>
              <w:ind w:left="115" w:right="114"/>
              <w:jc w:val="center"/>
              <w:rPr>
                <w:b/>
                <w:sz w:val="14"/>
              </w:rPr>
            </w:pPr>
            <w:r>
              <w:rPr>
                <w:color w:val="231F20"/>
                <w:w w:val="80"/>
                <w:sz w:val="14"/>
              </w:rPr>
              <w:t>Es</w:t>
            </w:r>
            <w:r>
              <w:rPr>
                <w:color w:val="231F20"/>
                <w:spacing w:val="-14"/>
                <w:w w:val="80"/>
                <w:sz w:val="14"/>
              </w:rPr>
              <w:t> </w:t>
            </w:r>
            <w:r>
              <w:rPr>
                <w:color w:val="231F20"/>
                <w:w w:val="80"/>
                <w:sz w:val="14"/>
              </w:rPr>
              <w:t>un</w:t>
            </w:r>
            <w:r>
              <w:rPr>
                <w:color w:val="231F20"/>
                <w:spacing w:val="-14"/>
                <w:w w:val="80"/>
                <w:sz w:val="14"/>
              </w:rPr>
              <w:t> </w:t>
            </w:r>
            <w:r>
              <w:rPr>
                <w:color w:val="231F20"/>
                <w:w w:val="80"/>
                <w:sz w:val="14"/>
              </w:rPr>
              <w:t>partido</w:t>
            </w:r>
            <w:r>
              <w:rPr>
                <w:color w:val="231F20"/>
                <w:spacing w:val="-14"/>
                <w:w w:val="80"/>
                <w:sz w:val="14"/>
              </w:rPr>
              <w:t> </w:t>
            </w:r>
            <w:r>
              <w:rPr>
                <w:color w:val="231F20"/>
                <w:w w:val="80"/>
                <w:sz w:val="14"/>
              </w:rPr>
              <w:t>político</w:t>
            </w:r>
            <w:r>
              <w:rPr>
                <w:color w:val="231F20"/>
                <w:spacing w:val="-14"/>
                <w:w w:val="80"/>
                <w:sz w:val="14"/>
              </w:rPr>
              <w:t> </w:t>
            </w:r>
            <w:r>
              <w:rPr>
                <w:color w:val="231F20"/>
                <w:w w:val="80"/>
                <w:sz w:val="14"/>
              </w:rPr>
              <w:t>nacional,</w:t>
            </w:r>
            <w:r>
              <w:rPr>
                <w:color w:val="231F20"/>
                <w:spacing w:val="-14"/>
                <w:w w:val="80"/>
                <w:sz w:val="14"/>
              </w:rPr>
              <w:t> </w:t>
            </w:r>
            <w:r>
              <w:rPr>
                <w:color w:val="231F20"/>
                <w:w w:val="80"/>
                <w:sz w:val="14"/>
              </w:rPr>
              <w:t>popular,</w:t>
            </w:r>
            <w:r>
              <w:rPr>
                <w:color w:val="231F20"/>
                <w:spacing w:val="-14"/>
                <w:w w:val="80"/>
                <w:sz w:val="14"/>
              </w:rPr>
              <w:t> </w:t>
            </w:r>
            <w:r>
              <w:rPr>
                <w:color w:val="231F20"/>
                <w:w w:val="80"/>
                <w:sz w:val="14"/>
              </w:rPr>
              <w:t>democrático,</w:t>
            </w:r>
            <w:r>
              <w:rPr>
                <w:color w:val="231F20"/>
                <w:spacing w:val="-14"/>
                <w:w w:val="80"/>
                <w:sz w:val="14"/>
              </w:rPr>
              <w:t> </w:t>
            </w:r>
            <w:r>
              <w:rPr>
                <w:color w:val="231F20"/>
                <w:w w:val="80"/>
                <w:sz w:val="14"/>
              </w:rPr>
              <w:t>progresista</w:t>
            </w:r>
            <w:r>
              <w:rPr>
                <w:color w:val="231F20"/>
                <w:spacing w:val="-14"/>
                <w:w w:val="80"/>
                <w:sz w:val="14"/>
              </w:rPr>
              <w:t> </w:t>
            </w:r>
            <w:r>
              <w:rPr>
                <w:color w:val="231F20"/>
                <w:w w:val="80"/>
                <w:sz w:val="14"/>
              </w:rPr>
              <w:t>e</w:t>
            </w:r>
            <w:r>
              <w:rPr>
                <w:color w:val="231F20"/>
                <w:spacing w:val="-14"/>
                <w:w w:val="80"/>
                <w:sz w:val="14"/>
              </w:rPr>
              <w:t> </w:t>
            </w:r>
            <w:r>
              <w:rPr>
                <w:color w:val="231F20"/>
                <w:w w:val="80"/>
                <w:sz w:val="14"/>
              </w:rPr>
              <w:t>incluyente, comprometido</w:t>
            </w:r>
            <w:r>
              <w:rPr>
                <w:color w:val="231F20"/>
                <w:spacing w:val="-11"/>
                <w:w w:val="80"/>
                <w:sz w:val="14"/>
              </w:rPr>
              <w:t> </w:t>
            </w:r>
            <w:r>
              <w:rPr>
                <w:color w:val="231F20"/>
                <w:w w:val="80"/>
                <w:sz w:val="14"/>
              </w:rPr>
              <w:t>con</w:t>
            </w:r>
            <w:r>
              <w:rPr>
                <w:color w:val="231F20"/>
                <w:spacing w:val="-11"/>
                <w:w w:val="80"/>
                <w:sz w:val="14"/>
              </w:rPr>
              <w:t> </w:t>
            </w:r>
            <w:r>
              <w:rPr>
                <w:color w:val="231F20"/>
                <w:w w:val="80"/>
                <w:sz w:val="14"/>
              </w:rPr>
              <w:t>las</w:t>
            </w:r>
            <w:r>
              <w:rPr>
                <w:color w:val="231F20"/>
                <w:spacing w:val="-11"/>
                <w:w w:val="80"/>
                <w:sz w:val="14"/>
              </w:rPr>
              <w:t> </w:t>
            </w:r>
            <w:r>
              <w:rPr>
                <w:color w:val="231F20"/>
                <w:w w:val="80"/>
                <w:sz w:val="14"/>
              </w:rPr>
              <w:t>causas</w:t>
            </w:r>
            <w:r>
              <w:rPr>
                <w:color w:val="231F20"/>
                <w:spacing w:val="-11"/>
                <w:w w:val="80"/>
                <w:sz w:val="14"/>
              </w:rPr>
              <w:t> </w:t>
            </w:r>
            <w:r>
              <w:rPr>
                <w:color w:val="231F20"/>
                <w:w w:val="80"/>
                <w:sz w:val="14"/>
              </w:rPr>
              <w:t>de</w:t>
            </w:r>
            <w:r>
              <w:rPr>
                <w:color w:val="231F20"/>
                <w:spacing w:val="-11"/>
                <w:w w:val="80"/>
                <w:sz w:val="14"/>
              </w:rPr>
              <w:t> </w:t>
            </w:r>
            <w:r>
              <w:rPr>
                <w:color w:val="231F20"/>
                <w:w w:val="80"/>
                <w:sz w:val="14"/>
              </w:rPr>
              <w:t>la</w:t>
            </w:r>
            <w:r>
              <w:rPr>
                <w:color w:val="231F20"/>
                <w:spacing w:val="-11"/>
                <w:w w:val="80"/>
                <w:sz w:val="14"/>
              </w:rPr>
              <w:t> </w:t>
            </w:r>
            <w:r>
              <w:rPr>
                <w:color w:val="231F20"/>
                <w:w w:val="80"/>
                <w:sz w:val="14"/>
              </w:rPr>
              <w:t>sociedad;</w:t>
            </w:r>
            <w:r>
              <w:rPr>
                <w:color w:val="231F20"/>
                <w:spacing w:val="-11"/>
                <w:w w:val="80"/>
                <w:sz w:val="14"/>
              </w:rPr>
              <w:t> </w:t>
            </w:r>
            <w:r>
              <w:rPr>
                <w:color w:val="231F20"/>
                <w:w w:val="80"/>
                <w:sz w:val="14"/>
              </w:rPr>
              <w:t>los</w:t>
            </w:r>
            <w:r>
              <w:rPr>
                <w:color w:val="231F20"/>
                <w:spacing w:val="-11"/>
                <w:w w:val="80"/>
                <w:sz w:val="14"/>
              </w:rPr>
              <w:t> </w:t>
            </w:r>
            <w:r>
              <w:rPr>
                <w:color w:val="231F20"/>
                <w:w w:val="80"/>
                <w:sz w:val="14"/>
              </w:rPr>
              <w:t>superiores</w:t>
            </w:r>
            <w:r>
              <w:rPr>
                <w:color w:val="231F20"/>
                <w:spacing w:val="-11"/>
                <w:w w:val="80"/>
                <w:sz w:val="14"/>
              </w:rPr>
              <w:t> </w:t>
            </w:r>
            <w:r>
              <w:rPr>
                <w:color w:val="231F20"/>
                <w:w w:val="80"/>
                <w:sz w:val="14"/>
              </w:rPr>
              <w:t>intereses</w:t>
            </w:r>
            <w:r>
              <w:rPr>
                <w:color w:val="231F20"/>
                <w:spacing w:val="-11"/>
                <w:w w:val="80"/>
                <w:sz w:val="14"/>
              </w:rPr>
              <w:t> </w:t>
            </w:r>
            <w:r>
              <w:rPr>
                <w:color w:val="231F20"/>
                <w:w w:val="80"/>
                <w:sz w:val="14"/>
              </w:rPr>
              <w:t>de</w:t>
            </w:r>
            <w:r>
              <w:rPr>
                <w:color w:val="231F20"/>
                <w:spacing w:val="-11"/>
                <w:w w:val="80"/>
                <w:sz w:val="14"/>
              </w:rPr>
              <w:t> </w:t>
            </w:r>
            <w:r>
              <w:rPr>
                <w:color w:val="231F20"/>
                <w:w w:val="80"/>
                <w:sz w:val="14"/>
              </w:rPr>
              <w:t>la Nación;</w:t>
            </w:r>
            <w:r>
              <w:rPr>
                <w:color w:val="231F20"/>
                <w:spacing w:val="-13"/>
                <w:w w:val="80"/>
                <w:sz w:val="14"/>
              </w:rPr>
              <w:t> </w:t>
            </w:r>
            <w:r>
              <w:rPr>
                <w:color w:val="231F20"/>
                <w:w w:val="80"/>
                <w:sz w:val="14"/>
              </w:rPr>
              <w:t>los</w:t>
            </w:r>
            <w:r>
              <w:rPr>
                <w:color w:val="231F20"/>
                <w:spacing w:val="-13"/>
                <w:w w:val="80"/>
                <w:sz w:val="14"/>
              </w:rPr>
              <w:t> </w:t>
            </w:r>
            <w:r>
              <w:rPr>
                <w:color w:val="231F20"/>
                <w:w w:val="80"/>
                <w:sz w:val="14"/>
              </w:rPr>
              <w:t>principios</w:t>
            </w:r>
            <w:r>
              <w:rPr>
                <w:color w:val="231F20"/>
                <w:spacing w:val="-13"/>
                <w:w w:val="80"/>
                <w:sz w:val="14"/>
              </w:rPr>
              <w:t> </w:t>
            </w:r>
            <w:r>
              <w:rPr>
                <w:color w:val="231F20"/>
                <w:w w:val="80"/>
                <w:sz w:val="14"/>
              </w:rPr>
              <w:t>de</w:t>
            </w:r>
            <w:r>
              <w:rPr>
                <w:color w:val="231F20"/>
                <w:spacing w:val="-13"/>
                <w:w w:val="80"/>
                <w:sz w:val="14"/>
              </w:rPr>
              <w:t> </w:t>
            </w:r>
            <w:r>
              <w:rPr>
                <w:color w:val="231F20"/>
                <w:w w:val="80"/>
                <w:sz w:val="14"/>
              </w:rPr>
              <w:t>la</w:t>
            </w:r>
            <w:r>
              <w:rPr>
                <w:color w:val="231F20"/>
                <w:spacing w:val="-13"/>
                <w:w w:val="80"/>
                <w:sz w:val="14"/>
              </w:rPr>
              <w:t> </w:t>
            </w:r>
            <w:r>
              <w:rPr>
                <w:color w:val="231F20"/>
                <w:w w:val="80"/>
                <w:sz w:val="14"/>
              </w:rPr>
              <w:t>Revolución</w:t>
            </w:r>
            <w:r>
              <w:rPr>
                <w:color w:val="231F20"/>
                <w:spacing w:val="-13"/>
                <w:w w:val="80"/>
                <w:sz w:val="14"/>
              </w:rPr>
              <w:t> </w:t>
            </w:r>
            <w:r>
              <w:rPr>
                <w:color w:val="231F20"/>
                <w:w w:val="80"/>
                <w:sz w:val="14"/>
              </w:rPr>
              <w:t>Mexicana</w:t>
            </w:r>
            <w:r>
              <w:rPr>
                <w:color w:val="231F20"/>
                <w:spacing w:val="-13"/>
                <w:w w:val="80"/>
                <w:sz w:val="14"/>
              </w:rPr>
              <w:t> </w:t>
            </w:r>
            <w:r>
              <w:rPr>
                <w:color w:val="231F20"/>
                <w:w w:val="80"/>
                <w:sz w:val="14"/>
              </w:rPr>
              <w:t>y</w:t>
            </w:r>
            <w:r>
              <w:rPr>
                <w:color w:val="231F20"/>
                <w:spacing w:val="-13"/>
                <w:w w:val="80"/>
                <w:sz w:val="14"/>
              </w:rPr>
              <w:t> </w:t>
            </w:r>
            <w:r>
              <w:rPr>
                <w:color w:val="231F20"/>
                <w:w w:val="80"/>
                <w:sz w:val="14"/>
              </w:rPr>
              <w:t>sus</w:t>
            </w:r>
            <w:r>
              <w:rPr>
                <w:color w:val="231F20"/>
                <w:spacing w:val="-13"/>
                <w:w w:val="80"/>
                <w:sz w:val="14"/>
              </w:rPr>
              <w:t> </w:t>
            </w:r>
            <w:r>
              <w:rPr>
                <w:color w:val="231F20"/>
                <w:w w:val="80"/>
                <w:sz w:val="14"/>
              </w:rPr>
              <w:t>contenidos</w:t>
            </w:r>
            <w:r>
              <w:rPr>
                <w:color w:val="231F20"/>
                <w:spacing w:val="-13"/>
                <w:w w:val="80"/>
                <w:sz w:val="14"/>
              </w:rPr>
              <w:t> </w:t>
            </w:r>
            <w:r>
              <w:rPr>
                <w:color w:val="231F20"/>
                <w:w w:val="80"/>
                <w:sz w:val="14"/>
              </w:rPr>
              <w:t>ideológicos plasmados</w:t>
            </w:r>
            <w:r>
              <w:rPr>
                <w:color w:val="231F20"/>
                <w:spacing w:val="-14"/>
                <w:w w:val="80"/>
                <w:sz w:val="14"/>
              </w:rPr>
              <w:t> </w:t>
            </w:r>
            <w:r>
              <w:rPr>
                <w:color w:val="231F20"/>
                <w:w w:val="80"/>
                <w:sz w:val="14"/>
              </w:rPr>
              <w:t>en</w:t>
            </w:r>
            <w:r>
              <w:rPr>
                <w:color w:val="231F20"/>
                <w:spacing w:val="-14"/>
                <w:w w:val="80"/>
                <w:sz w:val="14"/>
              </w:rPr>
              <w:t> </w:t>
            </w:r>
            <w:r>
              <w:rPr>
                <w:color w:val="231F20"/>
                <w:w w:val="80"/>
                <w:sz w:val="14"/>
              </w:rPr>
              <w:t>la</w:t>
            </w:r>
            <w:r>
              <w:rPr>
                <w:color w:val="231F20"/>
                <w:spacing w:val="-14"/>
                <w:w w:val="80"/>
                <w:sz w:val="14"/>
              </w:rPr>
              <w:t> </w:t>
            </w:r>
            <w:r>
              <w:rPr>
                <w:color w:val="231F20"/>
                <w:w w:val="80"/>
                <w:sz w:val="14"/>
              </w:rPr>
              <w:t>Constitución</w:t>
            </w:r>
            <w:r>
              <w:rPr>
                <w:color w:val="231F20"/>
                <w:spacing w:val="-14"/>
                <w:w w:val="80"/>
                <w:sz w:val="14"/>
              </w:rPr>
              <w:t> </w:t>
            </w:r>
            <w:r>
              <w:rPr>
                <w:color w:val="231F20"/>
                <w:w w:val="80"/>
                <w:sz w:val="14"/>
              </w:rPr>
              <w:t>Política</w:t>
            </w:r>
            <w:r>
              <w:rPr>
                <w:color w:val="231F20"/>
                <w:spacing w:val="-14"/>
                <w:w w:val="80"/>
                <w:sz w:val="14"/>
              </w:rPr>
              <w:t> </w:t>
            </w:r>
            <w:r>
              <w:rPr>
                <w:color w:val="231F20"/>
                <w:w w:val="80"/>
                <w:sz w:val="14"/>
              </w:rPr>
              <w:t>de</w:t>
            </w:r>
            <w:r>
              <w:rPr>
                <w:color w:val="231F20"/>
                <w:spacing w:val="-14"/>
                <w:w w:val="80"/>
                <w:sz w:val="14"/>
              </w:rPr>
              <w:t> </w:t>
            </w:r>
            <w:r>
              <w:rPr>
                <w:color w:val="231F20"/>
                <w:w w:val="80"/>
                <w:sz w:val="14"/>
              </w:rPr>
              <w:t>los</w:t>
            </w:r>
            <w:r>
              <w:rPr>
                <w:color w:val="231F20"/>
                <w:spacing w:val="-14"/>
                <w:w w:val="80"/>
                <w:sz w:val="14"/>
              </w:rPr>
              <w:t> </w:t>
            </w:r>
            <w:r>
              <w:rPr>
                <w:color w:val="231F20"/>
                <w:spacing w:val="2"/>
                <w:w w:val="80"/>
                <w:sz w:val="14"/>
              </w:rPr>
              <w:t>Estados</w:t>
            </w:r>
            <w:r>
              <w:rPr>
                <w:color w:val="231F20"/>
                <w:spacing w:val="-14"/>
                <w:w w:val="80"/>
                <w:sz w:val="14"/>
              </w:rPr>
              <w:t> </w:t>
            </w:r>
            <w:r>
              <w:rPr>
                <w:color w:val="231F20"/>
                <w:w w:val="80"/>
                <w:sz w:val="14"/>
              </w:rPr>
              <w:t>Unidos</w:t>
            </w:r>
            <w:r>
              <w:rPr>
                <w:color w:val="231F20"/>
                <w:spacing w:val="-14"/>
                <w:w w:val="80"/>
                <w:sz w:val="14"/>
              </w:rPr>
              <w:t> </w:t>
            </w:r>
            <w:r>
              <w:rPr>
                <w:color w:val="231F20"/>
                <w:w w:val="80"/>
                <w:sz w:val="14"/>
              </w:rPr>
              <w:t>Mexicanos,</w:t>
            </w:r>
            <w:r>
              <w:rPr>
                <w:color w:val="231F20"/>
                <w:spacing w:val="-14"/>
                <w:w w:val="80"/>
                <w:sz w:val="14"/>
              </w:rPr>
              <w:t> </w:t>
            </w:r>
            <w:r>
              <w:rPr>
                <w:color w:val="231F20"/>
                <w:w w:val="80"/>
                <w:sz w:val="14"/>
              </w:rPr>
              <w:t>que</w:t>
            </w:r>
            <w:r>
              <w:rPr>
                <w:color w:val="231F20"/>
                <w:spacing w:val="-14"/>
                <w:w w:val="80"/>
                <w:sz w:val="14"/>
              </w:rPr>
              <w:t> </w:t>
            </w:r>
            <w:r>
              <w:rPr>
                <w:color w:val="231F20"/>
                <w:w w:val="80"/>
                <w:sz w:val="14"/>
              </w:rPr>
              <w:t>se inscribe</w:t>
            </w:r>
            <w:r>
              <w:rPr>
                <w:color w:val="231F20"/>
                <w:spacing w:val="-13"/>
                <w:w w:val="80"/>
                <w:sz w:val="14"/>
              </w:rPr>
              <w:t> </w:t>
            </w:r>
            <w:r>
              <w:rPr>
                <w:color w:val="231F20"/>
                <w:w w:val="80"/>
                <w:sz w:val="14"/>
              </w:rPr>
              <w:t>en</w:t>
            </w:r>
            <w:r>
              <w:rPr>
                <w:color w:val="231F20"/>
                <w:spacing w:val="-13"/>
                <w:w w:val="80"/>
                <w:sz w:val="14"/>
              </w:rPr>
              <w:t> </w:t>
            </w:r>
            <w:r>
              <w:rPr>
                <w:color w:val="231F20"/>
                <w:w w:val="80"/>
                <w:sz w:val="14"/>
              </w:rPr>
              <w:t>la</w:t>
            </w:r>
            <w:r>
              <w:rPr>
                <w:color w:val="231F20"/>
                <w:spacing w:val="-13"/>
                <w:w w:val="80"/>
                <w:sz w:val="14"/>
              </w:rPr>
              <w:t> </w:t>
            </w:r>
            <w:r>
              <w:rPr>
                <w:color w:val="231F20"/>
                <w:w w:val="80"/>
                <w:sz w:val="14"/>
              </w:rPr>
              <w:t>corriente</w:t>
            </w:r>
            <w:r>
              <w:rPr>
                <w:color w:val="231F20"/>
                <w:spacing w:val="-13"/>
                <w:w w:val="80"/>
                <w:sz w:val="14"/>
              </w:rPr>
              <w:t> </w:t>
            </w:r>
            <w:r>
              <w:rPr>
                <w:color w:val="231F20"/>
                <w:w w:val="80"/>
                <w:sz w:val="14"/>
              </w:rPr>
              <w:t>socialdemócrata</w:t>
            </w:r>
            <w:r>
              <w:rPr>
                <w:color w:val="231F20"/>
                <w:spacing w:val="-13"/>
                <w:w w:val="80"/>
                <w:sz w:val="14"/>
              </w:rPr>
              <w:t> </w:t>
            </w:r>
            <w:r>
              <w:rPr>
                <w:color w:val="231F20"/>
                <w:w w:val="80"/>
                <w:sz w:val="14"/>
              </w:rPr>
              <w:t>de</w:t>
            </w:r>
            <w:r>
              <w:rPr>
                <w:color w:val="231F20"/>
                <w:spacing w:val="-13"/>
                <w:w w:val="80"/>
                <w:sz w:val="14"/>
              </w:rPr>
              <w:t> </w:t>
            </w:r>
            <w:r>
              <w:rPr>
                <w:color w:val="231F20"/>
                <w:w w:val="80"/>
                <w:sz w:val="14"/>
              </w:rPr>
              <w:t>los</w:t>
            </w:r>
            <w:r>
              <w:rPr>
                <w:color w:val="231F20"/>
                <w:spacing w:val="-13"/>
                <w:w w:val="80"/>
                <w:sz w:val="14"/>
              </w:rPr>
              <w:t> </w:t>
            </w:r>
            <w:r>
              <w:rPr>
                <w:color w:val="231F20"/>
                <w:w w:val="80"/>
                <w:sz w:val="14"/>
              </w:rPr>
              <w:t>partidos</w:t>
            </w:r>
            <w:r>
              <w:rPr>
                <w:color w:val="231F20"/>
                <w:spacing w:val="-13"/>
                <w:w w:val="80"/>
                <w:sz w:val="14"/>
              </w:rPr>
              <w:t> </w:t>
            </w:r>
            <w:r>
              <w:rPr>
                <w:color w:val="231F20"/>
                <w:w w:val="80"/>
                <w:sz w:val="14"/>
              </w:rPr>
              <w:t>políticos</w:t>
            </w:r>
            <w:r>
              <w:rPr>
                <w:color w:val="231F20"/>
                <w:spacing w:val="-13"/>
                <w:w w:val="80"/>
                <w:sz w:val="14"/>
              </w:rPr>
              <w:t> </w:t>
            </w:r>
            <w:r>
              <w:rPr>
                <w:color w:val="231F20"/>
                <w:w w:val="80"/>
                <w:sz w:val="14"/>
              </w:rPr>
              <w:t>contemporá- </w:t>
            </w:r>
            <w:r>
              <w:rPr>
                <w:color w:val="231F20"/>
                <w:w w:val="85"/>
                <w:sz w:val="14"/>
              </w:rPr>
              <w:t>neos</w:t>
            </w:r>
            <w:r>
              <w:rPr>
                <w:b/>
                <w:color w:val="231F20"/>
                <w:w w:val="85"/>
                <w:sz w:val="14"/>
              </w:rPr>
              <w:t>.</w:t>
            </w:r>
          </w:p>
          <w:p>
            <w:pPr>
              <w:pStyle w:val="TableParagraph"/>
              <w:spacing w:line="196" w:lineRule="auto"/>
              <w:ind w:left="181" w:right="177" w:firstLine="108"/>
              <w:rPr>
                <w:sz w:val="14"/>
              </w:rPr>
            </w:pPr>
            <w:r>
              <w:rPr>
                <w:color w:val="231F20"/>
                <w:w w:val="80"/>
                <w:sz w:val="14"/>
              </w:rPr>
              <w:t>Impulsa la participación ciudadana que se </w:t>
            </w:r>
            <w:r>
              <w:rPr>
                <w:color w:val="231F20"/>
                <w:spacing w:val="2"/>
                <w:w w:val="80"/>
                <w:sz w:val="14"/>
              </w:rPr>
              <w:t>expresa </w:t>
            </w:r>
            <w:r>
              <w:rPr>
                <w:color w:val="231F20"/>
                <w:w w:val="80"/>
                <w:sz w:val="14"/>
              </w:rPr>
              <w:t>en la diversidad social </w:t>
            </w:r>
            <w:r>
              <w:rPr>
                <w:color w:val="231F20"/>
                <w:w w:val="85"/>
                <w:sz w:val="14"/>
              </w:rPr>
              <w:t>de</w:t>
            </w:r>
            <w:r>
              <w:rPr>
                <w:color w:val="231F20"/>
                <w:spacing w:val="-20"/>
                <w:w w:val="85"/>
                <w:sz w:val="14"/>
              </w:rPr>
              <w:t> </w:t>
            </w:r>
            <w:r>
              <w:rPr>
                <w:color w:val="231F20"/>
                <w:w w:val="85"/>
                <w:sz w:val="14"/>
              </w:rPr>
              <w:t>la</w:t>
            </w:r>
            <w:r>
              <w:rPr>
                <w:color w:val="231F20"/>
                <w:spacing w:val="-20"/>
                <w:w w:val="85"/>
                <w:sz w:val="14"/>
              </w:rPr>
              <w:t> </w:t>
            </w:r>
            <w:r>
              <w:rPr>
                <w:color w:val="231F20"/>
                <w:w w:val="85"/>
                <w:sz w:val="14"/>
              </w:rPr>
              <w:t>nación</w:t>
            </w:r>
            <w:r>
              <w:rPr>
                <w:color w:val="231F20"/>
                <w:spacing w:val="-20"/>
                <w:w w:val="85"/>
                <w:sz w:val="14"/>
              </w:rPr>
              <w:t> </w:t>
            </w:r>
            <w:r>
              <w:rPr>
                <w:color w:val="231F20"/>
                <w:w w:val="85"/>
                <w:sz w:val="14"/>
              </w:rPr>
              <w:t>mexicana</w:t>
            </w:r>
            <w:r>
              <w:rPr>
                <w:color w:val="231F20"/>
                <w:spacing w:val="-20"/>
                <w:w w:val="85"/>
                <w:sz w:val="14"/>
              </w:rPr>
              <w:t> </w:t>
            </w:r>
            <w:r>
              <w:rPr>
                <w:color w:val="231F20"/>
                <w:w w:val="85"/>
                <w:sz w:val="14"/>
              </w:rPr>
              <w:t>con</w:t>
            </w:r>
            <w:r>
              <w:rPr>
                <w:color w:val="231F20"/>
                <w:spacing w:val="-20"/>
                <w:w w:val="85"/>
                <w:sz w:val="14"/>
              </w:rPr>
              <w:t> </w:t>
            </w:r>
            <w:r>
              <w:rPr>
                <w:color w:val="231F20"/>
                <w:w w:val="85"/>
                <w:sz w:val="14"/>
              </w:rPr>
              <w:t>la</w:t>
            </w:r>
            <w:r>
              <w:rPr>
                <w:color w:val="231F20"/>
                <w:spacing w:val="-20"/>
                <w:w w:val="85"/>
                <w:sz w:val="14"/>
              </w:rPr>
              <w:t> </w:t>
            </w:r>
            <w:r>
              <w:rPr>
                <w:color w:val="231F20"/>
                <w:w w:val="85"/>
                <w:sz w:val="14"/>
              </w:rPr>
              <w:t>presencia</w:t>
            </w:r>
            <w:r>
              <w:rPr>
                <w:color w:val="231F20"/>
                <w:spacing w:val="-20"/>
                <w:w w:val="85"/>
                <w:sz w:val="14"/>
              </w:rPr>
              <w:t> </w:t>
            </w:r>
            <w:r>
              <w:rPr>
                <w:color w:val="231F20"/>
                <w:w w:val="85"/>
                <w:sz w:val="14"/>
              </w:rPr>
              <w:t>predominante</w:t>
            </w:r>
            <w:r>
              <w:rPr>
                <w:color w:val="231F20"/>
                <w:spacing w:val="-20"/>
                <w:w w:val="85"/>
                <w:sz w:val="14"/>
              </w:rPr>
              <w:t> </w:t>
            </w:r>
            <w:r>
              <w:rPr>
                <w:color w:val="231F20"/>
                <w:w w:val="85"/>
                <w:sz w:val="14"/>
              </w:rPr>
              <w:t>y</w:t>
            </w:r>
            <w:r>
              <w:rPr>
                <w:color w:val="231F20"/>
                <w:spacing w:val="-20"/>
                <w:w w:val="85"/>
                <w:sz w:val="14"/>
              </w:rPr>
              <w:t> </w:t>
            </w:r>
            <w:r>
              <w:rPr>
                <w:color w:val="231F20"/>
                <w:w w:val="85"/>
                <w:sz w:val="14"/>
              </w:rPr>
              <w:t>activa</w:t>
            </w:r>
            <w:r>
              <w:rPr>
                <w:color w:val="231F20"/>
                <w:spacing w:val="-20"/>
                <w:w w:val="85"/>
                <w:sz w:val="14"/>
              </w:rPr>
              <w:t> </w:t>
            </w:r>
            <w:r>
              <w:rPr>
                <w:color w:val="231F20"/>
                <w:w w:val="85"/>
                <w:sz w:val="14"/>
              </w:rPr>
              <w:t>de</w:t>
            </w:r>
            <w:r>
              <w:rPr>
                <w:color w:val="231F20"/>
                <w:spacing w:val="-20"/>
                <w:w w:val="85"/>
                <w:sz w:val="14"/>
              </w:rPr>
              <w:t> </w:t>
            </w:r>
            <w:r>
              <w:rPr>
                <w:color w:val="231F20"/>
                <w:w w:val="85"/>
                <w:sz w:val="14"/>
              </w:rPr>
              <w:t>las</w:t>
            </w:r>
            <w:r>
              <w:rPr>
                <w:color w:val="231F20"/>
                <w:spacing w:val="-20"/>
                <w:w w:val="85"/>
                <w:sz w:val="14"/>
              </w:rPr>
              <w:t> </w:t>
            </w:r>
            <w:r>
              <w:rPr>
                <w:color w:val="231F20"/>
                <w:w w:val="85"/>
                <w:sz w:val="14"/>
              </w:rPr>
              <w:t>clases </w:t>
            </w:r>
            <w:r>
              <w:rPr>
                <w:color w:val="231F20"/>
                <w:w w:val="80"/>
                <w:sz w:val="14"/>
              </w:rPr>
              <w:t>mayoritarias,</w:t>
            </w:r>
            <w:r>
              <w:rPr>
                <w:color w:val="231F20"/>
                <w:spacing w:val="-11"/>
                <w:w w:val="80"/>
                <w:sz w:val="14"/>
              </w:rPr>
              <w:t> </w:t>
            </w:r>
            <w:r>
              <w:rPr>
                <w:color w:val="231F20"/>
                <w:w w:val="80"/>
                <w:sz w:val="14"/>
              </w:rPr>
              <w:t>urbanas</w:t>
            </w:r>
            <w:r>
              <w:rPr>
                <w:color w:val="231F20"/>
                <w:spacing w:val="-11"/>
                <w:w w:val="80"/>
                <w:sz w:val="14"/>
              </w:rPr>
              <w:t> </w:t>
            </w:r>
            <w:r>
              <w:rPr>
                <w:color w:val="231F20"/>
                <w:w w:val="80"/>
                <w:sz w:val="14"/>
              </w:rPr>
              <w:t>y</w:t>
            </w:r>
            <w:r>
              <w:rPr>
                <w:color w:val="231F20"/>
                <w:spacing w:val="-11"/>
                <w:w w:val="80"/>
                <w:sz w:val="14"/>
              </w:rPr>
              <w:t> </w:t>
            </w:r>
            <w:r>
              <w:rPr>
                <w:color w:val="231F20"/>
                <w:w w:val="80"/>
                <w:sz w:val="14"/>
              </w:rPr>
              <w:t>rurales,</w:t>
            </w:r>
            <w:r>
              <w:rPr>
                <w:color w:val="231F20"/>
                <w:spacing w:val="-11"/>
                <w:w w:val="80"/>
                <w:sz w:val="14"/>
              </w:rPr>
              <w:t> </w:t>
            </w:r>
            <w:r>
              <w:rPr>
                <w:color w:val="231F20"/>
                <w:w w:val="80"/>
                <w:sz w:val="14"/>
              </w:rPr>
              <w:t>que</w:t>
            </w:r>
            <w:r>
              <w:rPr>
                <w:color w:val="231F20"/>
                <w:spacing w:val="-11"/>
                <w:w w:val="80"/>
                <w:sz w:val="14"/>
              </w:rPr>
              <w:t> </w:t>
            </w:r>
            <w:r>
              <w:rPr>
                <w:color w:val="231F20"/>
                <w:w w:val="80"/>
                <w:sz w:val="14"/>
              </w:rPr>
              <w:t>viven</w:t>
            </w:r>
            <w:r>
              <w:rPr>
                <w:color w:val="231F20"/>
                <w:spacing w:val="-11"/>
                <w:w w:val="80"/>
                <w:sz w:val="14"/>
              </w:rPr>
              <w:t> </w:t>
            </w:r>
            <w:r>
              <w:rPr>
                <w:color w:val="231F20"/>
                <w:w w:val="80"/>
                <w:sz w:val="14"/>
              </w:rPr>
              <w:t>de</w:t>
            </w:r>
            <w:r>
              <w:rPr>
                <w:color w:val="231F20"/>
                <w:spacing w:val="-11"/>
                <w:w w:val="80"/>
                <w:sz w:val="14"/>
              </w:rPr>
              <w:t> </w:t>
            </w:r>
            <w:r>
              <w:rPr>
                <w:color w:val="231F20"/>
                <w:w w:val="80"/>
                <w:sz w:val="14"/>
              </w:rPr>
              <w:t>su</w:t>
            </w:r>
            <w:r>
              <w:rPr>
                <w:color w:val="231F20"/>
                <w:spacing w:val="-11"/>
                <w:w w:val="80"/>
                <w:sz w:val="14"/>
              </w:rPr>
              <w:t> </w:t>
            </w:r>
            <w:r>
              <w:rPr>
                <w:color w:val="231F20"/>
                <w:w w:val="80"/>
                <w:sz w:val="14"/>
              </w:rPr>
              <w:t>trabajo,</w:t>
            </w:r>
            <w:r>
              <w:rPr>
                <w:color w:val="231F20"/>
                <w:spacing w:val="-11"/>
                <w:w w:val="80"/>
                <w:sz w:val="14"/>
              </w:rPr>
              <w:t> </w:t>
            </w:r>
            <w:r>
              <w:rPr>
                <w:color w:val="231F20"/>
                <w:w w:val="80"/>
                <w:sz w:val="14"/>
              </w:rPr>
              <w:t>manual</w:t>
            </w:r>
            <w:r>
              <w:rPr>
                <w:color w:val="231F20"/>
                <w:spacing w:val="-11"/>
                <w:w w:val="80"/>
                <w:sz w:val="14"/>
              </w:rPr>
              <w:t> </w:t>
            </w:r>
            <w:r>
              <w:rPr>
                <w:color w:val="231F20"/>
                <w:w w:val="80"/>
                <w:sz w:val="14"/>
              </w:rPr>
              <w:t>e</w:t>
            </w:r>
            <w:r>
              <w:rPr>
                <w:color w:val="231F20"/>
                <w:spacing w:val="-11"/>
                <w:w w:val="80"/>
                <w:sz w:val="14"/>
              </w:rPr>
              <w:t> </w:t>
            </w:r>
            <w:r>
              <w:rPr>
                <w:color w:val="231F20"/>
                <w:w w:val="80"/>
                <w:sz w:val="14"/>
              </w:rPr>
              <w:t>intelectual, y</w:t>
            </w:r>
            <w:r>
              <w:rPr>
                <w:color w:val="231F20"/>
                <w:spacing w:val="-14"/>
                <w:w w:val="80"/>
                <w:sz w:val="14"/>
              </w:rPr>
              <w:t> </w:t>
            </w:r>
            <w:r>
              <w:rPr>
                <w:color w:val="231F20"/>
                <w:w w:val="80"/>
                <w:sz w:val="14"/>
              </w:rPr>
              <w:t>de</w:t>
            </w:r>
            <w:r>
              <w:rPr>
                <w:color w:val="231F20"/>
                <w:spacing w:val="-14"/>
                <w:w w:val="80"/>
                <w:sz w:val="14"/>
              </w:rPr>
              <w:t> </w:t>
            </w:r>
            <w:r>
              <w:rPr>
                <w:color w:val="231F20"/>
                <w:w w:val="80"/>
                <w:sz w:val="14"/>
              </w:rPr>
              <w:t>los</w:t>
            </w:r>
            <w:r>
              <w:rPr>
                <w:color w:val="231F20"/>
                <w:spacing w:val="-14"/>
                <w:w w:val="80"/>
                <w:sz w:val="14"/>
              </w:rPr>
              <w:t> </w:t>
            </w:r>
            <w:r>
              <w:rPr>
                <w:color w:val="231F20"/>
                <w:w w:val="80"/>
                <w:sz w:val="14"/>
              </w:rPr>
              <w:t>grupos</w:t>
            </w:r>
            <w:r>
              <w:rPr>
                <w:color w:val="231F20"/>
                <w:spacing w:val="-14"/>
                <w:w w:val="80"/>
                <w:sz w:val="14"/>
              </w:rPr>
              <w:t> </w:t>
            </w:r>
            <w:r>
              <w:rPr>
                <w:color w:val="231F20"/>
                <w:w w:val="80"/>
                <w:sz w:val="14"/>
              </w:rPr>
              <w:t>y</w:t>
            </w:r>
            <w:r>
              <w:rPr>
                <w:color w:val="231F20"/>
                <w:spacing w:val="-14"/>
                <w:w w:val="80"/>
                <w:sz w:val="14"/>
              </w:rPr>
              <w:t> </w:t>
            </w:r>
            <w:r>
              <w:rPr>
                <w:color w:val="231F20"/>
                <w:w w:val="80"/>
                <w:sz w:val="14"/>
              </w:rPr>
              <w:t>organizaciones</w:t>
            </w:r>
            <w:r>
              <w:rPr>
                <w:color w:val="231F20"/>
                <w:spacing w:val="-14"/>
                <w:w w:val="80"/>
                <w:sz w:val="14"/>
              </w:rPr>
              <w:t> </w:t>
            </w:r>
            <w:r>
              <w:rPr>
                <w:color w:val="231F20"/>
                <w:w w:val="80"/>
                <w:sz w:val="14"/>
              </w:rPr>
              <w:t>constituidos</w:t>
            </w:r>
            <w:r>
              <w:rPr>
                <w:color w:val="231F20"/>
                <w:spacing w:val="-14"/>
                <w:w w:val="80"/>
                <w:sz w:val="14"/>
              </w:rPr>
              <w:t> </w:t>
            </w:r>
            <w:r>
              <w:rPr>
                <w:color w:val="231F20"/>
                <w:w w:val="80"/>
                <w:sz w:val="14"/>
              </w:rPr>
              <w:t>por</w:t>
            </w:r>
            <w:r>
              <w:rPr>
                <w:color w:val="231F20"/>
                <w:spacing w:val="-14"/>
                <w:w w:val="80"/>
                <w:sz w:val="14"/>
              </w:rPr>
              <w:t> </w:t>
            </w:r>
            <w:r>
              <w:rPr>
                <w:color w:val="231F20"/>
                <w:w w:val="80"/>
                <w:sz w:val="14"/>
              </w:rPr>
              <w:t>jóvenes,</w:t>
            </w:r>
            <w:r>
              <w:rPr>
                <w:color w:val="231F20"/>
                <w:spacing w:val="-14"/>
                <w:w w:val="80"/>
                <w:sz w:val="14"/>
              </w:rPr>
              <w:t> </w:t>
            </w:r>
            <w:r>
              <w:rPr>
                <w:color w:val="231F20"/>
                <w:w w:val="80"/>
                <w:sz w:val="14"/>
              </w:rPr>
              <w:t>hombres,</w:t>
            </w:r>
            <w:r>
              <w:rPr>
                <w:color w:val="231F20"/>
                <w:spacing w:val="-14"/>
                <w:w w:val="80"/>
                <w:sz w:val="14"/>
              </w:rPr>
              <w:t> </w:t>
            </w:r>
            <w:r>
              <w:rPr>
                <w:color w:val="231F20"/>
                <w:w w:val="80"/>
                <w:sz w:val="14"/>
              </w:rPr>
              <w:t>mujeres,</w:t>
            </w:r>
          </w:p>
          <w:p>
            <w:pPr>
              <w:pStyle w:val="TableParagraph"/>
              <w:spacing w:line="196" w:lineRule="auto"/>
              <w:ind w:left="118" w:right="114"/>
              <w:jc w:val="center"/>
              <w:rPr>
                <w:sz w:val="14"/>
              </w:rPr>
            </w:pPr>
            <w:r>
              <w:rPr>
                <w:color w:val="231F20"/>
                <w:w w:val="80"/>
                <w:sz w:val="14"/>
              </w:rPr>
              <w:t>adultos</w:t>
            </w:r>
            <w:r>
              <w:rPr>
                <w:color w:val="231F20"/>
                <w:spacing w:val="-13"/>
                <w:w w:val="80"/>
                <w:sz w:val="14"/>
              </w:rPr>
              <w:t> </w:t>
            </w:r>
            <w:r>
              <w:rPr>
                <w:color w:val="231F20"/>
                <w:w w:val="80"/>
                <w:sz w:val="14"/>
              </w:rPr>
              <w:t>mayores</w:t>
            </w:r>
            <w:r>
              <w:rPr>
                <w:b/>
                <w:color w:val="231F20"/>
                <w:w w:val="80"/>
                <w:sz w:val="14"/>
              </w:rPr>
              <w:t>,</w:t>
            </w:r>
            <w:r>
              <w:rPr>
                <w:b/>
                <w:color w:val="231F20"/>
                <w:spacing w:val="-13"/>
                <w:w w:val="80"/>
                <w:sz w:val="14"/>
              </w:rPr>
              <w:t> </w:t>
            </w:r>
            <w:r>
              <w:rPr>
                <w:color w:val="231F20"/>
                <w:w w:val="80"/>
                <w:sz w:val="14"/>
              </w:rPr>
              <w:t>personas</w:t>
            </w:r>
            <w:r>
              <w:rPr>
                <w:color w:val="231F20"/>
                <w:spacing w:val="-13"/>
                <w:w w:val="80"/>
                <w:sz w:val="14"/>
              </w:rPr>
              <w:t> </w:t>
            </w:r>
            <w:r>
              <w:rPr>
                <w:color w:val="231F20"/>
                <w:w w:val="80"/>
                <w:sz w:val="14"/>
              </w:rPr>
              <w:t>con</w:t>
            </w:r>
            <w:r>
              <w:rPr>
                <w:color w:val="231F20"/>
                <w:spacing w:val="-13"/>
                <w:w w:val="80"/>
                <w:sz w:val="14"/>
              </w:rPr>
              <w:t> </w:t>
            </w:r>
            <w:r>
              <w:rPr>
                <w:color w:val="231F20"/>
                <w:w w:val="80"/>
                <w:sz w:val="14"/>
              </w:rPr>
              <w:t>discapacidad</w:t>
            </w:r>
            <w:r>
              <w:rPr>
                <w:color w:val="231F20"/>
                <w:spacing w:val="-13"/>
                <w:w w:val="80"/>
                <w:sz w:val="14"/>
              </w:rPr>
              <w:t> </w:t>
            </w:r>
            <w:r>
              <w:rPr>
                <w:color w:val="231F20"/>
                <w:w w:val="80"/>
                <w:sz w:val="14"/>
              </w:rPr>
              <w:t>y</w:t>
            </w:r>
            <w:r>
              <w:rPr>
                <w:color w:val="231F20"/>
                <w:spacing w:val="-13"/>
                <w:w w:val="80"/>
                <w:sz w:val="14"/>
              </w:rPr>
              <w:t> </w:t>
            </w:r>
            <w:r>
              <w:rPr>
                <w:color w:val="231F20"/>
                <w:w w:val="80"/>
                <w:sz w:val="14"/>
              </w:rPr>
              <w:t>pueblos</w:t>
            </w:r>
            <w:r>
              <w:rPr>
                <w:color w:val="231F20"/>
                <w:spacing w:val="-13"/>
                <w:w w:val="80"/>
                <w:sz w:val="14"/>
              </w:rPr>
              <w:t> </w:t>
            </w:r>
            <w:r>
              <w:rPr>
                <w:color w:val="231F20"/>
                <w:w w:val="80"/>
                <w:sz w:val="14"/>
              </w:rPr>
              <w:t>y</w:t>
            </w:r>
            <w:r>
              <w:rPr>
                <w:color w:val="231F20"/>
                <w:spacing w:val="-13"/>
                <w:w w:val="80"/>
                <w:sz w:val="14"/>
              </w:rPr>
              <w:t> </w:t>
            </w:r>
            <w:r>
              <w:rPr>
                <w:color w:val="231F20"/>
                <w:w w:val="80"/>
                <w:sz w:val="14"/>
              </w:rPr>
              <w:t>comunidades</w:t>
            </w:r>
            <w:r>
              <w:rPr>
                <w:color w:val="231F20"/>
                <w:spacing w:val="-13"/>
                <w:w w:val="80"/>
                <w:sz w:val="14"/>
              </w:rPr>
              <w:t> </w:t>
            </w:r>
            <w:r>
              <w:rPr>
                <w:color w:val="231F20"/>
                <w:w w:val="80"/>
                <w:sz w:val="14"/>
              </w:rPr>
              <w:t>indígenas cuya</w:t>
            </w:r>
            <w:r>
              <w:rPr>
                <w:color w:val="231F20"/>
                <w:spacing w:val="-13"/>
                <w:w w:val="80"/>
                <w:sz w:val="14"/>
              </w:rPr>
              <w:t> </w:t>
            </w:r>
            <w:r>
              <w:rPr>
                <w:color w:val="231F20"/>
                <w:w w:val="80"/>
                <w:sz w:val="14"/>
              </w:rPr>
              <w:t>acción</w:t>
            </w:r>
            <w:r>
              <w:rPr>
                <w:color w:val="231F20"/>
                <w:spacing w:val="-13"/>
                <w:w w:val="80"/>
                <w:sz w:val="14"/>
              </w:rPr>
              <w:t> </w:t>
            </w:r>
            <w:r>
              <w:rPr>
                <w:color w:val="231F20"/>
                <w:w w:val="80"/>
                <w:sz w:val="14"/>
              </w:rPr>
              <w:t>política</w:t>
            </w:r>
            <w:r>
              <w:rPr>
                <w:color w:val="231F20"/>
                <w:spacing w:val="-13"/>
                <w:w w:val="80"/>
                <w:sz w:val="14"/>
              </w:rPr>
              <w:t> </w:t>
            </w:r>
            <w:r>
              <w:rPr>
                <w:color w:val="231F20"/>
                <w:w w:val="80"/>
                <w:sz w:val="14"/>
              </w:rPr>
              <w:t>y</w:t>
            </w:r>
            <w:r>
              <w:rPr>
                <w:color w:val="231F20"/>
                <w:spacing w:val="-13"/>
                <w:w w:val="80"/>
                <w:sz w:val="14"/>
              </w:rPr>
              <w:t> </w:t>
            </w:r>
            <w:r>
              <w:rPr>
                <w:color w:val="231F20"/>
                <w:w w:val="80"/>
                <w:sz w:val="14"/>
              </w:rPr>
              <w:t>social</w:t>
            </w:r>
            <w:r>
              <w:rPr>
                <w:color w:val="231F20"/>
                <w:spacing w:val="-13"/>
                <w:w w:val="80"/>
                <w:sz w:val="14"/>
              </w:rPr>
              <w:t> </w:t>
            </w:r>
            <w:r>
              <w:rPr>
                <w:color w:val="231F20"/>
                <w:w w:val="80"/>
                <w:sz w:val="14"/>
              </w:rPr>
              <w:t>permanente,</w:t>
            </w:r>
            <w:r>
              <w:rPr>
                <w:color w:val="231F20"/>
                <w:spacing w:val="-13"/>
                <w:w w:val="80"/>
                <w:sz w:val="14"/>
              </w:rPr>
              <w:t> </w:t>
            </w:r>
            <w:r>
              <w:rPr>
                <w:color w:val="231F20"/>
                <w:w w:val="80"/>
                <w:sz w:val="14"/>
              </w:rPr>
              <w:t>fortalece</w:t>
            </w:r>
            <w:r>
              <w:rPr>
                <w:color w:val="231F20"/>
                <w:spacing w:val="-13"/>
                <w:w w:val="80"/>
                <w:sz w:val="14"/>
              </w:rPr>
              <w:t> </w:t>
            </w:r>
            <w:r>
              <w:rPr>
                <w:color w:val="231F20"/>
                <w:w w:val="80"/>
                <w:sz w:val="14"/>
              </w:rPr>
              <w:t>las</w:t>
            </w:r>
            <w:r>
              <w:rPr>
                <w:color w:val="231F20"/>
                <w:spacing w:val="-13"/>
                <w:w w:val="80"/>
                <w:sz w:val="14"/>
              </w:rPr>
              <w:t> </w:t>
            </w:r>
            <w:r>
              <w:rPr>
                <w:color w:val="231F20"/>
                <w:w w:val="80"/>
                <w:sz w:val="14"/>
              </w:rPr>
              <w:t>bases</w:t>
            </w:r>
            <w:r>
              <w:rPr>
                <w:color w:val="231F20"/>
                <w:spacing w:val="-13"/>
                <w:w w:val="80"/>
                <w:sz w:val="14"/>
              </w:rPr>
              <w:t> </w:t>
            </w:r>
            <w:r>
              <w:rPr>
                <w:color w:val="231F20"/>
                <w:w w:val="80"/>
                <w:sz w:val="14"/>
              </w:rPr>
              <w:t>sociales</w:t>
            </w:r>
            <w:r>
              <w:rPr>
                <w:color w:val="231F20"/>
                <w:spacing w:val="-13"/>
                <w:w w:val="80"/>
                <w:sz w:val="14"/>
              </w:rPr>
              <w:t> </w:t>
            </w:r>
            <w:r>
              <w:rPr>
                <w:color w:val="231F20"/>
                <w:w w:val="80"/>
                <w:sz w:val="14"/>
              </w:rPr>
              <w:t>del</w:t>
            </w:r>
            <w:r>
              <w:rPr>
                <w:color w:val="231F20"/>
                <w:spacing w:val="-13"/>
                <w:w w:val="80"/>
                <w:sz w:val="14"/>
              </w:rPr>
              <w:t> </w:t>
            </w:r>
            <w:r>
              <w:rPr>
                <w:color w:val="231F20"/>
                <w:spacing w:val="2"/>
                <w:w w:val="80"/>
                <w:sz w:val="14"/>
              </w:rPr>
              <w:t>Estado </w:t>
            </w:r>
            <w:r>
              <w:rPr>
                <w:color w:val="231F20"/>
                <w:w w:val="85"/>
                <w:sz w:val="14"/>
              </w:rPr>
              <w:t>Mexicano.</w:t>
            </w:r>
          </w:p>
        </w:tc>
      </w:tr>
    </w:tbl>
    <w:p>
      <w:pPr>
        <w:spacing w:before="142"/>
        <w:ind w:left="3639" w:right="-18" w:firstLine="0"/>
        <w:jc w:val="left"/>
        <w:rPr>
          <w:rFonts w:ascii="Calibri"/>
          <w:sz w:val="16"/>
        </w:rPr>
      </w:pPr>
      <w:r>
        <w:rPr>
          <w:rFonts w:ascii="Calibri"/>
          <w:color w:val="231F20"/>
          <w:sz w:val="16"/>
        </w:rPr>
        <w:t>Fuente: Estatutos del PRI, </w:t>
      </w:r>
      <w:r>
        <w:rPr>
          <w:rFonts w:ascii="Calibri"/>
          <w:color w:val="231F20"/>
          <w:spacing w:val="-4"/>
          <w:sz w:val="16"/>
        </w:rPr>
        <w:t>1929 </w:t>
      </w:r>
      <w:r>
        <w:rPr>
          <w:rFonts w:ascii="Calibri"/>
          <w:color w:val="231F20"/>
          <w:sz w:val="16"/>
        </w:rPr>
        <w:t>y 2001 consultado en </w:t>
      </w:r>
      <w:hyperlink r:id="rId307">
        <w:r>
          <w:rPr>
            <w:rFonts w:ascii="Calibri"/>
            <w:color w:val="231F20"/>
            <w:sz w:val="16"/>
          </w:rPr>
          <w:t>www.pri.org.mx</w:t>
        </w:r>
      </w:hyperlink>
    </w:p>
    <w:p>
      <w:pPr>
        <w:spacing w:after="0"/>
        <w:jc w:val="left"/>
        <w:rPr>
          <w:rFonts w:ascii="Calibri"/>
          <w:sz w:val="16"/>
        </w:rPr>
        <w:sectPr>
          <w:type w:val="continuous"/>
          <w:pgSz w:w="9640" w:h="12190"/>
          <w:pgMar w:top="0" w:bottom="0" w:left="740" w:right="740"/>
        </w:sectPr>
      </w:pPr>
    </w:p>
    <w:p>
      <w:pPr>
        <w:pStyle w:val="Heading5"/>
        <w:spacing w:before="27"/>
        <w:ind w:left="1242" w:right="0"/>
      </w:pPr>
      <w:r>
        <w:rPr>
          <w:color w:val="231F20"/>
          <w:w w:val="105"/>
        </w:rPr>
        <w:t>Cuadro 18. Declaración de principios del PRI: 1929 y 2001.</w:t>
      </w:r>
    </w:p>
    <w:p>
      <w:pPr>
        <w:tabs>
          <w:tab w:pos="5638" w:val="left" w:leader="none"/>
        </w:tabs>
        <w:spacing w:before="126"/>
        <w:ind w:left="1667" w:right="0" w:firstLine="0"/>
        <w:jc w:val="left"/>
        <w:rPr>
          <w:rFonts w:ascii="Calibri"/>
          <w:b/>
          <w:sz w:val="14"/>
        </w:rPr>
      </w:pPr>
      <w:r>
        <w:rPr/>
        <w:pict>
          <v:shape style="position:absolute;margin-left:42.519699pt;margin-top:7.215024pt;width:403.95pt;height:258.6500pt;mso-position-horizontal-relative:page;mso-position-vertical-relative:paragraph;z-index:793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25"/>
                    <w:gridCol w:w="3014"/>
                    <w:gridCol w:w="333"/>
                    <w:gridCol w:w="4276"/>
                  </w:tblGrid>
                  <w:tr>
                    <w:trPr>
                      <w:trHeight w:val="35" w:hRule="exact"/>
                    </w:trPr>
                    <w:tc>
                      <w:tcPr>
                        <w:tcW w:w="325" w:type="dxa"/>
                        <w:vMerge w:val="restart"/>
                        <w:tcBorders>
                          <w:top w:val="single" w:sz="50" w:space="0" w:color="F3F3F3"/>
                        </w:tcBorders>
                        <w:textDirection w:val="btLr"/>
                      </w:tcPr>
                      <w:p>
                        <w:pPr>
                          <w:pStyle w:val="TableParagraph"/>
                          <w:spacing w:before="74"/>
                          <w:ind w:left="155"/>
                          <w:rPr>
                            <w:b/>
                            <w:sz w:val="14"/>
                          </w:rPr>
                        </w:pPr>
                        <w:r>
                          <w:rPr>
                            <w:b/>
                            <w:color w:val="231F20"/>
                            <w:spacing w:val="2"/>
                            <w:w w:val="77"/>
                            <w:sz w:val="14"/>
                          </w:rPr>
                          <w:t>D</w:t>
                        </w:r>
                        <w:r>
                          <w:rPr>
                            <w:b/>
                            <w:color w:val="231F20"/>
                            <w:spacing w:val="2"/>
                            <w:w w:val="81"/>
                            <w:sz w:val="14"/>
                          </w:rPr>
                          <w:t>emo</w:t>
                        </w:r>
                        <w:r>
                          <w:rPr>
                            <w:b/>
                            <w:color w:val="231F20"/>
                            <w:spacing w:val="3"/>
                            <w:w w:val="81"/>
                            <w:sz w:val="14"/>
                          </w:rPr>
                          <w:t>c</w:t>
                        </w:r>
                        <w:r>
                          <w:rPr>
                            <w:b/>
                            <w:color w:val="231F20"/>
                            <w:spacing w:val="2"/>
                            <w:w w:val="82"/>
                            <w:sz w:val="14"/>
                          </w:rPr>
                          <w:t>r</w:t>
                        </w:r>
                        <w:r>
                          <w:rPr>
                            <w:b/>
                            <w:color w:val="231F20"/>
                            <w:spacing w:val="1"/>
                            <w:w w:val="85"/>
                            <w:sz w:val="14"/>
                          </w:rPr>
                          <w:t>a</w:t>
                        </w:r>
                        <w:r>
                          <w:rPr>
                            <w:b/>
                            <w:color w:val="231F20"/>
                            <w:spacing w:val="3"/>
                            <w:w w:val="77"/>
                            <w:sz w:val="14"/>
                          </w:rPr>
                          <w:t>c</w:t>
                        </w:r>
                        <w:r>
                          <w:rPr>
                            <w:b/>
                            <w:color w:val="231F20"/>
                            <w:spacing w:val="2"/>
                            <w:w w:val="87"/>
                            <w:sz w:val="14"/>
                          </w:rPr>
                          <w:t>ia</w:t>
                        </w:r>
                      </w:p>
                    </w:tc>
                    <w:tc>
                      <w:tcPr>
                        <w:tcW w:w="3014" w:type="dxa"/>
                        <w:tcBorders>
                          <w:top w:val="double" w:sz="17" w:space="0" w:color="231F20"/>
                          <w:left w:val="nil"/>
                          <w:bottom w:val="nil"/>
                          <w:right w:val="nil"/>
                        </w:tcBorders>
                        <w:shd w:val="clear" w:color="auto" w:fill="F3F3F3"/>
                      </w:tcPr>
                      <w:p>
                        <w:pPr/>
                      </w:p>
                    </w:tc>
                    <w:tc>
                      <w:tcPr>
                        <w:tcW w:w="333" w:type="dxa"/>
                        <w:vMerge w:val="restart"/>
                        <w:tcBorders>
                          <w:top w:val="single" w:sz="50" w:space="0" w:color="F3F3F3"/>
                        </w:tcBorders>
                        <w:textDirection w:val="btLr"/>
                      </w:tcPr>
                      <w:p>
                        <w:pPr>
                          <w:pStyle w:val="TableParagraph"/>
                          <w:spacing w:before="74"/>
                          <w:ind w:left="234"/>
                          <w:rPr>
                            <w:sz w:val="14"/>
                          </w:rPr>
                        </w:pPr>
                        <w:r>
                          <w:rPr>
                            <w:color w:val="231F20"/>
                            <w:spacing w:val="1"/>
                            <w:w w:val="72"/>
                            <w:sz w:val="14"/>
                          </w:rPr>
                          <w:t>E</w:t>
                        </w:r>
                        <w:r>
                          <w:rPr>
                            <w:color w:val="231F20"/>
                            <w:w w:val="83"/>
                            <w:sz w:val="14"/>
                          </w:rPr>
                          <w:t>l</w:t>
                        </w:r>
                        <w:r>
                          <w:rPr>
                            <w:color w:val="231F20"/>
                            <w:spacing w:val="-10"/>
                            <w:sz w:val="14"/>
                          </w:rPr>
                          <w:t> </w:t>
                        </w:r>
                        <w:r>
                          <w:rPr>
                            <w:color w:val="231F20"/>
                            <w:spacing w:val="2"/>
                            <w:w w:val="75"/>
                            <w:sz w:val="14"/>
                          </w:rPr>
                          <w:t>p</w:t>
                        </w:r>
                        <w:r>
                          <w:rPr>
                            <w:color w:val="231F20"/>
                            <w:spacing w:val="1"/>
                            <w:w w:val="75"/>
                            <w:sz w:val="14"/>
                          </w:rPr>
                          <w:t>a</w:t>
                        </w:r>
                        <w:r>
                          <w:rPr>
                            <w:color w:val="231F20"/>
                            <w:spacing w:val="5"/>
                            <w:w w:val="71"/>
                            <w:sz w:val="14"/>
                          </w:rPr>
                          <w:t>r</w:t>
                        </w:r>
                        <w:r>
                          <w:rPr>
                            <w:color w:val="231F20"/>
                            <w:spacing w:val="2"/>
                            <w:w w:val="76"/>
                            <w:sz w:val="14"/>
                          </w:rPr>
                          <w:t>t</w:t>
                        </w:r>
                        <w:r>
                          <w:rPr>
                            <w:color w:val="231F20"/>
                            <w:spacing w:val="2"/>
                            <w:w w:val="80"/>
                            <w:sz w:val="14"/>
                          </w:rPr>
                          <w:t>i</w:t>
                        </w:r>
                        <w:r>
                          <w:rPr>
                            <w:color w:val="231F20"/>
                            <w:spacing w:val="2"/>
                            <w:w w:val="74"/>
                            <w:sz w:val="14"/>
                          </w:rPr>
                          <w:t>do</w:t>
                        </w:r>
                      </w:p>
                    </w:tc>
                    <w:tc>
                      <w:tcPr>
                        <w:tcW w:w="4276" w:type="dxa"/>
                        <w:tcBorders>
                          <w:top w:val="double" w:sz="17" w:space="0" w:color="231F20"/>
                          <w:left w:val="nil"/>
                          <w:bottom w:val="nil"/>
                          <w:right w:val="nil"/>
                        </w:tcBorders>
                        <w:shd w:val="clear" w:color="auto" w:fill="F3F3F3"/>
                      </w:tcPr>
                      <w:p>
                        <w:pPr/>
                      </w:p>
                    </w:tc>
                  </w:tr>
                  <w:tr>
                    <w:trPr>
                      <w:trHeight w:val="933" w:hRule="exact"/>
                    </w:trPr>
                    <w:tc>
                      <w:tcPr>
                        <w:tcW w:w="325" w:type="dxa"/>
                        <w:vMerge/>
                        <w:textDirection w:val="btLr"/>
                      </w:tcPr>
                      <w:p>
                        <w:pPr/>
                      </w:p>
                    </w:tc>
                    <w:tc>
                      <w:tcPr>
                        <w:tcW w:w="3014" w:type="dxa"/>
                        <w:tcBorders>
                          <w:top w:val="nil"/>
                        </w:tcBorders>
                      </w:tcPr>
                      <w:p>
                        <w:pPr>
                          <w:pStyle w:val="TableParagraph"/>
                          <w:spacing w:line="140" w:lineRule="exact" w:before="21"/>
                          <w:ind w:left="168" w:right="113" w:hanging="35"/>
                          <w:rPr>
                            <w:sz w:val="14"/>
                          </w:rPr>
                        </w:pPr>
                        <w:r>
                          <w:rPr>
                            <w:color w:val="231F20"/>
                            <w:w w:val="80"/>
                            <w:sz w:val="14"/>
                          </w:rPr>
                          <w:t>Promueve</w:t>
                        </w:r>
                        <w:r>
                          <w:rPr>
                            <w:color w:val="231F20"/>
                            <w:spacing w:val="-12"/>
                            <w:w w:val="80"/>
                            <w:sz w:val="14"/>
                          </w:rPr>
                          <w:t> </w:t>
                        </w:r>
                        <w:r>
                          <w:rPr>
                            <w:color w:val="231F20"/>
                            <w:w w:val="80"/>
                            <w:sz w:val="14"/>
                          </w:rPr>
                          <w:t>la</w:t>
                        </w:r>
                        <w:r>
                          <w:rPr>
                            <w:color w:val="231F20"/>
                            <w:spacing w:val="-12"/>
                            <w:w w:val="80"/>
                            <w:sz w:val="14"/>
                          </w:rPr>
                          <w:t> </w:t>
                        </w:r>
                        <w:r>
                          <w:rPr>
                            <w:color w:val="231F20"/>
                            <w:spacing w:val="2"/>
                            <w:w w:val="80"/>
                            <w:sz w:val="14"/>
                          </w:rPr>
                          <w:t>libertad</w:t>
                        </w:r>
                        <w:r>
                          <w:rPr>
                            <w:color w:val="231F20"/>
                            <w:spacing w:val="-12"/>
                            <w:w w:val="80"/>
                            <w:sz w:val="14"/>
                          </w:rPr>
                          <w:t> </w:t>
                        </w:r>
                        <w:r>
                          <w:rPr>
                            <w:color w:val="231F20"/>
                            <w:w w:val="80"/>
                            <w:sz w:val="14"/>
                          </w:rPr>
                          <w:t>del</w:t>
                        </w:r>
                        <w:r>
                          <w:rPr>
                            <w:color w:val="231F20"/>
                            <w:spacing w:val="-12"/>
                            <w:w w:val="80"/>
                            <w:sz w:val="14"/>
                          </w:rPr>
                          <w:t> </w:t>
                        </w:r>
                        <w:r>
                          <w:rPr>
                            <w:color w:val="231F20"/>
                            <w:w w:val="80"/>
                            <w:sz w:val="14"/>
                          </w:rPr>
                          <w:t>sufragio,</w:t>
                        </w:r>
                        <w:r>
                          <w:rPr>
                            <w:color w:val="231F20"/>
                            <w:spacing w:val="-12"/>
                            <w:w w:val="80"/>
                            <w:sz w:val="14"/>
                          </w:rPr>
                          <w:t> </w:t>
                        </w:r>
                        <w:r>
                          <w:rPr>
                            <w:color w:val="231F20"/>
                            <w:w w:val="80"/>
                            <w:sz w:val="14"/>
                          </w:rPr>
                          <w:t>respeto</w:t>
                        </w:r>
                        <w:r>
                          <w:rPr>
                            <w:color w:val="231F20"/>
                            <w:spacing w:val="-12"/>
                            <w:w w:val="80"/>
                            <w:sz w:val="14"/>
                          </w:rPr>
                          <w:t> </w:t>
                        </w:r>
                        <w:r>
                          <w:rPr>
                            <w:color w:val="231F20"/>
                            <w:w w:val="80"/>
                            <w:sz w:val="14"/>
                          </w:rPr>
                          <w:t>de</w:t>
                        </w:r>
                        <w:r>
                          <w:rPr>
                            <w:color w:val="231F20"/>
                            <w:spacing w:val="-12"/>
                            <w:w w:val="80"/>
                            <w:sz w:val="14"/>
                          </w:rPr>
                          <w:t> </w:t>
                        </w:r>
                        <w:r>
                          <w:rPr>
                            <w:color w:val="231F20"/>
                            <w:w w:val="80"/>
                            <w:sz w:val="14"/>
                          </w:rPr>
                          <w:t>las</w:t>
                        </w:r>
                        <w:r>
                          <w:rPr>
                            <w:color w:val="231F20"/>
                            <w:spacing w:val="-12"/>
                            <w:w w:val="80"/>
                            <w:sz w:val="14"/>
                          </w:rPr>
                          <w:t> </w:t>
                        </w:r>
                        <w:r>
                          <w:rPr>
                            <w:color w:val="231F20"/>
                            <w:w w:val="80"/>
                            <w:sz w:val="14"/>
                          </w:rPr>
                          <w:t>mayorías</w:t>
                        </w:r>
                        <w:r>
                          <w:rPr>
                            <w:color w:val="231F20"/>
                            <w:spacing w:val="-12"/>
                            <w:w w:val="80"/>
                            <w:sz w:val="14"/>
                          </w:rPr>
                          <w:t> </w:t>
                        </w:r>
                        <w:r>
                          <w:rPr>
                            <w:color w:val="231F20"/>
                            <w:w w:val="80"/>
                            <w:sz w:val="14"/>
                          </w:rPr>
                          <w:t>y</w:t>
                        </w:r>
                        <w:r>
                          <w:rPr>
                            <w:color w:val="231F20"/>
                            <w:spacing w:val="-12"/>
                            <w:w w:val="80"/>
                            <w:sz w:val="14"/>
                          </w:rPr>
                          <w:t> </w:t>
                        </w:r>
                        <w:r>
                          <w:rPr>
                            <w:color w:val="231F20"/>
                            <w:w w:val="80"/>
                            <w:sz w:val="14"/>
                          </w:rPr>
                          <w:t>la estabilidad</w:t>
                        </w:r>
                        <w:r>
                          <w:rPr>
                            <w:color w:val="231F20"/>
                            <w:spacing w:val="-13"/>
                            <w:w w:val="80"/>
                            <w:sz w:val="14"/>
                          </w:rPr>
                          <w:t> </w:t>
                        </w:r>
                        <w:r>
                          <w:rPr>
                            <w:color w:val="231F20"/>
                            <w:w w:val="80"/>
                            <w:sz w:val="14"/>
                          </w:rPr>
                          <w:t>de</w:t>
                        </w:r>
                        <w:r>
                          <w:rPr>
                            <w:color w:val="231F20"/>
                            <w:spacing w:val="-13"/>
                            <w:w w:val="80"/>
                            <w:sz w:val="14"/>
                          </w:rPr>
                          <w:t> </w:t>
                        </w:r>
                        <w:r>
                          <w:rPr>
                            <w:color w:val="231F20"/>
                            <w:w w:val="80"/>
                            <w:sz w:val="14"/>
                          </w:rPr>
                          <w:t>los</w:t>
                        </w:r>
                        <w:r>
                          <w:rPr>
                            <w:color w:val="231F20"/>
                            <w:spacing w:val="-13"/>
                            <w:w w:val="80"/>
                            <w:sz w:val="14"/>
                          </w:rPr>
                          <w:t> </w:t>
                        </w:r>
                        <w:r>
                          <w:rPr>
                            <w:color w:val="231F20"/>
                            <w:w w:val="80"/>
                            <w:sz w:val="14"/>
                          </w:rPr>
                          <w:t>gobiernos</w:t>
                        </w:r>
                        <w:r>
                          <w:rPr>
                            <w:color w:val="231F20"/>
                            <w:spacing w:val="-13"/>
                            <w:w w:val="80"/>
                            <w:sz w:val="14"/>
                          </w:rPr>
                          <w:t> </w:t>
                        </w:r>
                        <w:r>
                          <w:rPr>
                            <w:color w:val="231F20"/>
                            <w:w w:val="80"/>
                            <w:sz w:val="14"/>
                          </w:rPr>
                          <w:t>emanados</w:t>
                        </w:r>
                        <w:r>
                          <w:rPr>
                            <w:color w:val="231F20"/>
                            <w:spacing w:val="-13"/>
                            <w:w w:val="80"/>
                            <w:sz w:val="14"/>
                          </w:rPr>
                          <w:t> </w:t>
                        </w:r>
                        <w:r>
                          <w:rPr>
                            <w:color w:val="231F20"/>
                            <w:w w:val="80"/>
                            <w:sz w:val="14"/>
                          </w:rPr>
                          <w:t>de</w:t>
                        </w:r>
                        <w:r>
                          <w:rPr>
                            <w:color w:val="231F20"/>
                            <w:spacing w:val="-13"/>
                            <w:w w:val="80"/>
                            <w:sz w:val="14"/>
                          </w:rPr>
                          <w:t> </w:t>
                        </w:r>
                        <w:r>
                          <w:rPr>
                            <w:color w:val="231F20"/>
                            <w:w w:val="80"/>
                            <w:sz w:val="14"/>
                          </w:rPr>
                          <w:t>su</w:t>
                        </w:r>
                        <w:r>
                          <w:rPr>
                            <w:color w:val="231F20"/>
                            <w:spacing w:val="-13"/>
                            <w:w w:val="80"/>
                            <w:sz w:val="14"/>
                          </w:rPr>
                          <w:t> </w:t>
                        </w:r>
                        <w:r>
                          <w:rPr>
                            <w:color w:val="231F20"/>
                            <w:w w:val="80"/>
                            <w:sz w:val="14"/>
                          </w:rPr>
                          <w:t>acción</w:t>
                        </w:r>
                        <w:r>
                          <w:rPr>
                            <w:color w:val="231F20"/>
                            <w:spacing w:val="-13"/>
                            <w:w w:val="80"/>
                            <w:sz w:val="14"/>
                          </w:rPr>
                          <w:t> </w:t>
                        </w:r>
                        <w:r>
                          <w:rPr>
                            <w:color w:val="231F20"/>
                            <w:w w:val="80"/>
                            <w:sz w:val="14"/>
                          </w:rPr>
                          <w:t>política.</w:t>
                        </w:r>
                      </w:p>
                    </w:tc>
                    <w:tc>
                      <w:tcPr>
                        <w:tcW w:w="333" w:type="dxa"/>
                        <w:vMerge/>
                        <w:textDirection w:val="btLr"/>
                      </w:tcPr>
                      <w:p>
                        <w:pPr/>
                      </w:p>
                    </w:tc>
                    <w:tc>
                      <w:tcPr>
                        <w:tcW w:w="4276" w:type="dxa"/>
                        <w:tcBorders>
                          <w:top w:val="nil"/>
                        </w:tcBorders>
                      </w:tcPr>
                      <w:p>
                        <w:pPr>
                          <w:pStyle w:val="TableParagraph"/>
                          <w:spacing w:line="140" w:lineRule="exact" w:before="21"/>
                          <w:ind w:left="186" w:right="184"/>
                          <w:jc w:val="center"/>
                          <w:rPr>
                            <w:sz w:val="14"/>
                          </w:rPr>
                        </w:pPr>
                        <w:r>
                          <w:rPr>
                            <w:color w:val="231F20"/>
                            <w:w w:val="80"/>
                            <w:sz w:val="14"/>
                          </w:rPr>
                          <w:t>Partido</w:t>
                        </w:r>
                        <w:r>
                          <w:rPr>
                            <w:color w:val="231F20"/>
                            <w:spacing w:val="-12"/>
                            <w:w w:val="80"/>
                            <w:sz w:val="14"/>
                          </w:rPr>
                          <w:t> </w:t>
                        </w:r>
                        <w:r>
                          <w:rPr>
                            <w:color w:val="231F20"/>
                            <w:w w:val="80"/>
                            <w:sz w:val="14"/>
                          </w:rPr>
                          <w:t>federal.</w:t>
                        </w:r>
                        <w:r>
                          <w:rPr>
                            <w:color w:val="231F20"/>
                            <w:spacing w:val="-12"/>
                            <w:w w:val="80"/>
                            <w:sz w:val="14"/>
                          </w:rPr>
                          <w:t> </w:t>
                        </w:r>
                        <w:r>
                          <w:rPr>
                            <w:color w:val="231F20"/>
                            <w:w w:val="80"/>
                            <w:sz w:val="14"/>
                          </w:rPr>
                          <w:t>Integración</w:t>
                        </w:r>
                        <w:r>
                          <w:rPr>
                            <w:color w:val="231F20"/>
                            <w:spacing w:val="-12"/>
                            <w:w w:val="80"/>
                            <w:sz w:val="14"/>
                          </w:rPr>
                          <w:t> </w:t>
                        </w:r>
                        <w:r>
                          <w:rPr>
                            <w:color w:val="231F20"/>
                            <w:w w:val="80"/>
                            <w:sz w:val="14"/>
                          </w:rPr>
                          <w:t>de</w:t>
                        </w:r>
                        <w:r>
                          <w:rPr>
                            <w:color w:val="231F20"/>
                            <w:spacing w:val="-12"/>
                            <w:w w:val="80"/>
                            <w:sz w:val="14"/>
                          </w:rPr>
                          <w:t> </w:t>
                        </w:r>
                        <w:r>
                          <w:rPr>
                            <w:color w:val="231F20"/>
                            <w:w w:val="80"/>
                            <w:sz w:val="14"/>
                          </w:rPr>
                          <w:t>mujeres</w:t>
                        </w:r>
                        <w:r>
                          <w:rPr>
                            <w:color w:val="231F20"/>
                            <w:spacing w:val="-12"/>
                            <w:w w:val="80"/>
                            <w:sz w:val="14"/>
                          </w:rPr>
                          <w:t> </w:t>
                        </w:r>
                        <w:r>
                          <w:rPr>
                            <w:color w:val="231F20"/>
                            <w:w w:val="80"/>
                            <w:sz w:val="14"/>
                          </w:rPr>
                          <w:t>y</w:t>
                        </w:r>
                        <w:r>
                          <w:rPr>
                            <w:color w:val="231F20"/>
                            <w:spacing w:val="-12"/>
                            <w:w w:val="80"/>
                            <w:sz w:val="14"/>
                          </w:rPr>
                          <w:t> </w:t>
                        </w:r>
                        <w:r>
                          <w:rPr>
                            <w:color w:val="231F20"/>
                            <w:w w:val="80"/>
                            <w:sz w:val="14"/>
                          </w:rPr>
                          <w:t>hombres,</w:t>
                        </w:r>
                        <w:r>
                          <w:rPr>
                            <w:color w:val="231F20"/>
                            <w:spacing w:val="-12"/>
                            <w:w w:val="80"/>
                            <w:sz w:val="14"/>
                          </w:rPr>
                          <w:t> </w:t>
                        </w:r>
                        <w:r>
                          <w:rPr>
                            <w:color w:val="231F20"/>
                            <w:w w:val="80"/>
                            <w:sz w:val="14"/>
                          </w:rPr>
                          <w:t>y</w:t>
                        </w:r>
                        <w:r>
                          <w:rPr>
                            <w:color w:val="231F20"/>
                            <w:spacing w:val="-12"/>
                            <w:w w:val="80"/>
                            <w:sz w:val="14"/>
                          </w:rPr>
                          <w:t> </w:t>
                        </w:r>
                        <w:r>
                          <w:rPr>
                            <w:color w:val="231F20"/>
                            <w:w w:val="80"/>
                            <w:sz w:val="14"/>
                          </w:rPr>
                          <w:t>de</w:t>
                        </w:r>
                        <w:r>
                          <w:rPr>
                            <w:color w:val="231F20"/>
                            <w:spacing w:val="-12"/>
                            <w:w w:val="80"/>
                            <w:sz w:val="14"/>
                          </w:rPr>
                          <w:t> </w:t>
                        </w:r>
                        <w:r>
                          <w:rPr>
                            <w:color w:val="231F20"/>
                            <w:w w:val="80"/>
                            <w:sz w:val="14"/>
                          </w:rPr>
                          <w:t>organizaciones</w:t>
                        </w:r>
                        <w:r>
                          <w:rPr>
                            <w:color w:val="231F20"/>
                            <w:spacing w:val="-12"/>
                            <w:w w:val="80"/>
                            <w:sz w:val="14"/>
                          </w:rPr>
                          <w:t> </w:t>
                        </w:r>
                        <w:r>
                          <w:rPr>
                            <w:color w:val="231F20"/>
                            <w:w w:val="80"/>
                            <w:sz w:val="14"/>
                          </w:rPr>
                          <w:t>y</w:t>
                        </w:r>
                        <w:r>
                          <w:rPr>
                            <w:color w:val="231F20"/>
                            <w:spacing w:val="-12"/>
                            <w:w w:val="80"/>
                            <w:sz w:val="14"/>
                          </w:rPr>
                          <w:t> </w:t>
                        </w:r>
                        <w:r>
                          <w:rPr>
                            <w:color w:val="231F20"/>
                            <w:w w:val="80"/>
                            <w:sz w:val="14"/>
                          </w:rPr>
                          <w:t>de</w:t>
                        </w:r>
                        <w:r>
                          <w:rPr>
                            <w:color w:val="231F20"/>
                            <w:spacing w:val="-12"/>
                            <w:w w:val="80"/>
                            <w:sz w:val="14"/>
                          </w:rPr>
                          <w:t> </w:t>
                        </w:r>
                        <w:r>
                          <w:rPr>
                            <w:color w:val="231F20"/>
                            <w:w w:val="80"/>
                            <w:sz w:val="14"/>
                          </w:rPr>
                          <w:t>los</w:t>
                        </w:r>
                        <w:r>
                          <w:rPr>
                            <w:color w:val="231F20"/>
                            <w:spacing w:val="-12"/>
                            <w:w w:val="80"/>
                            <w:sz w:val="14"/>
                          </w:rPr>
                          <w:t> </w:t>
                        </w:r>
                        <w:r>
                          <w:rPr>
                            <w:color w:val="231F20"/>
                            <w:w w:val="80"/>
                            <w:sz w:val="14"/>
                          </w:rPr>
                          <w:t>sectores agrario,</w:t>
                        </w:r>
                        <w:r>
                          <w:rPr>
                            <w:color w:val="231F20"/>
                            <w:spacing w:val="-15"/>
                            <w:w w:val="80"/>
                            <w:sz w:val="14"/>
                          </w:rPr>
                          <w:t> </w:t>
                        </w:r>
                        <w:r>
                          <w:rPr>
                            <w:color w:val="231F20"/>
                            <w:w w:val="80"/>
                            <w:sz w:val="14"/>
                          </w:rPr>
                          <w:t>obrero</w:t>
                        </w:r>
                        <w:r>
                          <w:rPr>
                            <w:color w:val="231F20"/>
                            <w:spacing w:val="-15"/>
                            <w:w w:val="80"/>
                            <w:sz w:val="14"/>
                          </w:rPr>
                          <w:t> </w:t>
                        </w:r>
                        <w:r>
                          <w:rPr>
                            <w:color w:val="231F20"/>
                            <w:w w:val="80"/>
                            <w:sz w:val="14"/>
                          </w:rPr>
                          <w:t>y</w:t>
                        </w:r>
                        <w:r>
                          <w:rPr>
                            <w:color w:val="231F20"/>
                            <w:spacing w:val="-15"/>
                            <w:w w:val="80"/>
                            <w:sz w:val="14"/>
                          </w:rPr>
                          <w:t> </w:t>
                        </w:r>
                        <w:r>
                          <w:rPr>
                            <w:color w:val="231F20"/>
                            <w:w w:val="80"/>
                            <w:sz w:val="14"/>
                          </w:rPr>
                          <w:t>popular.</w:t>
                        </w:r>
                        <w:r>
                          <w:rPr>
                            <w:color w:val="231F20"/>
                            <w:spacing w:val="-15"/>
                            <w:w w:val="80"/>
                            <w:sz w:val="14"/>
                          </w:rPr>
                          <w:t> </w:t>
                        </w:r>
                        <w:r>
                          <w:rPr>
                            <w:color w:val="231F20"/>
                            <w:w w:val="80"/>
                            <w:sz w:val="14"/>
                          </w:rPr>
                          <w:t>Integrador</w:t>
                        </w:r>
                        <w:r>
                          <w:rPr>
                            <w:color w:val="231F20"/>
                            <w:spacing w:val="-15"/>
                            <w:w w:val="80"/>
                            <w:sz w:val="14"/>
                          </w:rPr>
                          <w:t> </w:t>
                        </w:r>
                        <w:r>
                          <w:rPr>
                            <w:color w:val="231F20"/>
                            <w:w w:val="80"/>
                            <w:sz w:val="14"/>
                          </w:rPr>
                          <w:t>entre</w:t>
                        </w:r>
                        <w:r>
                          <w:rPr>
                            <w:color w:val="231F20"/>
                            <w:spacing w:val="-15"/>
                            <w:w w:val="80"/>
                            <w:sz w:val="14"/>
                          </w:rPr>
                          <w:t> </w:t>
                        </w:r>
                        <w:r>
                          <w:rPr>
                            <w:color w:val="231F20"/>
                            <w:w w:val="80"/>
                            <w:sz w:val="14"/>
                          </w:rPr>
                          <w:t>estados</w:t>
                        </w:r>
                        <w:r>
                          <w:rPr>
                            <w:color w:val="231F20"/>
                            <w:spacing w:val="-15"/>
                            <w:w w:val="80"/>
                            <w:sz w:val="14"/>
                          </w:rPr>
                          <w:t> </w:t>
                        </w:r>
                        <w:r>
                          <w:rPr>
                            <w:color w:val="231F20"/>
                            <w:w w:val="80"/>
                            <w:sz w:val="14"/>
                          </w:rPr>
                          <w:t>y</w:t>
                        </w:r>
                        <w:r>
                          <w:rPr>
                            <w:color w:val="231F20"/>
                            <w:spacing w:val="-15"/>
                            <w:w w:val="80"/>
                            <w:sz w:val="14"/>
                          </w:rPr>
                          <w:t> </w:t>
                        </w:r>
                        <w:r>
                          <w:rPr>
                            <w:color w:val="231F20"/>
                            <w:w w:val="80"/>
                            <w:sz w:val="14"/>
                          </w:rPr>
                          <w:t>municipios.</w:t>
                        </w:r>
                      </w:p>
                      <w:p>
                        <w:pPr>
                          <w:pStyle w:val="TableParagraph"/>
                          <w:spacing w:line="140" w:lineRule="exact"/>
                          <w:ind w:left="185" w:right="184"/>
                          <w:jc w:val="center"/>
                          <w:rPr>
                            <w:sz w:val="14"/>
                          </w:rPr>
                        </w:pPr>
                        <w:r>
                          <w:rPr>
                            <w:color w:val="231F20"/>
                            <w:w w:val="80"/>
                            <w:sz w:val="14"/>
                          </w:rPr>
                          <w:t>Promueve:</w:t>
                        </w:r>
                        <w:r>
                          <w:rPr>
                            <w:color w:val="231F20"/>
                            <w:spacing w:val="-17"/>
                            <w:w w:val="80"/>
                            <w:sz w:val="14"/>
                          </w:rPr>
                          <w:t> </w:t>
                        </w:r>
                        <w:r>
                          <w:rPr>
                            <w:color w:val="231F20"/>
                            <w:w w:val="80"/>
                            <w:sz w:val="14"/>
                          </w:rPr>
                          <w:t>democracia,</w:t>
                        </w:r>
                        <w:r>
                          <w:rPr>
                            <w:color w:val="231F20"/>
                            <w:spacing w:val="-17"/>
                            <w:w w:val="80"/>
                            <w:sz w:val="14"/>
                          </w:rPr>
                          <w:t> </w:t>
                        </w:r>
                        <w:r>
                          <w:rPr>
                            <w:color w:val="231F20"/>
                            <w:w w:val="80"/>
                            <w:sz w:val="14"/>
                          </w:rPr>
                          <w:t>respeto</w:t>
                        </w:r>
                        <w:r>
                          <w:rPr>
                            <w:color w:val="231F20"/>
                            <w:spacing w:val="-17"/>
                            <w:w w:val="80"/>
                            <w:sz w:val="14"/>
                          </w:rPr>
                          <w:t> </w:t>
                        </w:r>
                        <w:r>
                          <w:rPr>
                            <w:color w:val="231F20"/>
                            <w:w w:val="80"/>
                            <w:sz w:val="14"/>
                          </w:rPr>
                          <w:t>de</w:t>
                        </w:r>
                        <w:r>
                          <w:rPr>
                            <w:color w:val="231F20"/>
                            <w:spacing w:val="-17"/>
                            <w:w w:val="80"/>
                            <w:sz w:val="14"/>
                          </w:rPr>
                          <w:t> </w:t>
                        </w:r>
                        <w:r>
                          <w:rPr>
                            <w:color w:val="231F20"/>
                            <w:w w:val="80"/>
                            <w:sz w:val="14"/>
                          </w:rPr>
                          <w:t>los</w:t>
                        </w:r>
                        <w:r>
                          <w:rPr>
                            <w:color w:val="231F20"/>
                            <w:spacing w:val="-17"/>
                            <w:w w:val="80"/>
                            <w:sz w:val="14"/>
                          </w:rPr>
                          <w:t> </w:t>
                        </w:r>
                        <w:r>
                          <w:rPr>
                            <w:color w:val="231F20"/>
                            <w:w w:val="80"/>
                            <w:sz w:val="14"/>
                          </w:rPr>
                          <w:t>derechos</w:t>
                        </w:r>
                        <w:r>
                          <w:rPr>
                            <w:color w:val="231F20"/>
                            <w:spacing w:val="-17"/>
                            <w:w w:val="80"/>
                            <w:sz w:val="14"/>
                          </w:rPr>
                          <w:t> </w:t>
                        </w:r>
                        <w:r>
                          <w:rPr>
                            <w:color w:val="231F20"/>
                            <w:w w:val="80"/>
                            <w:sz w:val="14"/>
                          </w:rPr>
                          <w:t>humanos,</w:t>
                        </w:r>
                        <w:r>
                          <w:rPr>
                            <w:color w:val="231F20"/>
                            <w:spacing w:val="-17"/>
                            <w:w w:val="80"/>
                            <w:sz w:val="14"/>
                          </w:rPr>
                          <w:t> </w:t>
                        </w:r>
                        <w:r>
                          <w:rPr>
                            <w:color w:val="231F20"/>
                            <w:w w:val="80"/>
                            <w:sz w:val="14"/>
                          </w:rPr>
                          <w:t>participación</w:t>
                        </w:r>
                        <w:r>
                          <w:rPr>
                            <w:color w:val="231F20"/>
                            <w:spacing w:val="-17"/>
                            <w:w w:val="80"/>
                            <w:sz w:val="14"/>
                          </w:rPr>
                          <w:t> </w:t>
                        </w:r>
                        <w:r>
                          <w:rPr>
                            <w:color w:val="231F20"/>
                            <w:w w:val="80"/>
                            <w:sz w:val="14"/>
                          </w:rPr>
                          <w:t>ciudadana,</w:t>
                        </w:r>
                        <w:r>
                          <w:rPr>
                            <w:color w:val="231F20"/>
                            <w:spacing w:val="-17"/>
                            <w:w w:val="80"/>
                            <w:sz w:val="14"/>
                          </w:rPr>
                          <w:t> </w:t>
                        </w:r>
                        <w:r>
                          <w:rPr>
                            <w:color w:val="231F20"/>
                            <w:w w:val="80"/>
                            <w:sz w:val="14"/>
                          </w:rPr>
                          <w:t>y </w:t>
                        </w:r>
                        <w:r>
                          <w:rPr>
                            <w:color w:val="231F20"/>
                            <w:spacing w:val="2"/>
                            <w:w w:val="75"/>
                            <w:sz w:val="14"/>
                          </w:rPr>
                          <w:t>Estado </w:t>
                        </w:r>
                        <w:r>
                          <w:rPr>
                            <w:color w:val="231F20"/>
                            <w:w w:val="75"/>
                            <w:sz w:val="14"/>
                          </w:rPr>
                          <w:t>de</w:t>
                        </w:r>
                        <w:r>
                          <w:rPr>
                            <w:color w:val="231F20"/>
                            <w:spacing w:val="-3"/>
                            <w:w w:val="75"/>
                            <w:sz w:val="14"/>
                          </w:rPr>
                          <w:t> </w:t>
                        </w:r>
                        <w:r>
                          <w:rPr>
                            <w:color w:val="231F20"/>
                            <w:w w:val="75"/>
                            <w:sz w:val="14"/>
                          </w:rPr>
                          <w:t>Derecho.</w:t>
                        </w:r>
                      </w:p>
                    </w:tc>
                  </w:tr>
                  <w:tr>
                    <w:trPr>
                      <w:trHeight w:val="1231" w:hRule="exact"/>
                    </w:trPr>
                    <w:tc>
                      <w:tcPr>
                        <w:tcW w:w="325" w:type="dxa"/>
                        <w:textDirection w:val="btLr"/>
                      </w:tcPr>
                      <w:p>
                        <w:pPr>
                          <w:pStyle w:val="TableParagraph"/>
                          <w:spacing w:before="74"/>
                          <w:ind w:left="221"/>
                          <w:rPr>
                            <w:b/>
                            <w:sz w:val="14"/>
                          </w:rPr>
                        </w:pPr>
                        <w:r>
                          <w:rPr>
                            <w:b/>
                            <w:color w:val="231F20"/>
                            <w:spacing w:val="1"/>
                            <w:w w:val="74"/>
                            <w:sz w:val="14"/>
                          </w:rPr>
                          <w:t>C</w:t>
                        </w:r>
                        <w:r>
                          <w:rPr>
                            <w:b/>
                            <w:color w:val="231F20"/>
                            <w:spacing w:val="2"/>
                            <w:w w:val="81"/>
                            <w:sz w:val="14"/>
                          </w:rPr>
                          <w:t>o</w:t>
                        </w:r>
                        <w:r>
                          <w:rPr>
                            <w:b/>
                            <w:color w:val="231F20"/>
                            <w:spacing w:val="3"/>
                            <w:w w:val="81"/>
                            <w:sz w:val="14"/>
                          </w:rPr>
                          <w:t>r</w:t>
                        </w:r>
                        <w:r>
                          <w:rPr>
                            <w:b/>
                            <w:color w:val="231F20"/>
                            <w:spacing w:val="2"/>
                            <w:w w:val="82"/>
                            <w:sz w:val="14"/>
                          </w:rPr>
                          <w:t>pora</w:t>
                        </w:r>
                        <w:r>
                          <w:rPr>
                            <w:b/>
                            <w:color w:val="231F20"/>
                            <w:spacing w:val="2"/>
                            <w:w w:val="89"/>
                            <w:sz w:val="14"/>
                          </w:rPr>
                          <w:t>t</w:t>
                        </w:r>
                        <w:r>
                          <w:rPr>
                            <w:b/>
                            <w:color w:val="231F20"/>
                            <w:spacing w:val="2"/>
                            <w:w w:val="90"/>
                            <w:sz w:val="14"/>
                          </w:rPr>
                          <w:t>i</w:t>
                        </w:r>
                        <w:r>
                          <w:rPr>
                            <w:b/>
                            <w:color w:val="231F20"/>
                            <w:spacing w:val="3"/>
                            <w:w w:val="83"/>
                            <w:sz w:val="14"/>
                          </w:rPr>
                          <w:t>v</w:t>
                        </w:r>
                        <w:r>
                          <w:rPr>
                            <w:b/>
                            <w:color w:val="231F20"/>
                            <w:spacing w:val="2"/>
                            <w:w w:val="90"/>
                            <w:sz w:val="14"/>
                          </w:rPr>
                          <w:t>i</w:t>
                        </w:r>
                        <w:r>
                          <w:rPr>
                            <w:b/>
                            <w:color w:val="231F20"/>
                            <w:spacing w:val="2"/>
                            <w:w w:val="81"/>
                            <w:sz w:val="14"/>
                          </w:rPr>
                          <w:t>s</w:t>
                        </w:r>
                        <w:r>
                          <w:rPr>
                            <w:b/>
                            <w:color w:val="231F20"/>
                            <w:spacing w:val="2"/>
                            <w:w w:val="83"/>
                            <w:sz w:val="14"/>
                          </w:rPr>
                          <w:t>m</w:t>
                        </w:r>
                        <w:r>
                          <w:rPr>
                            <w:b/>
                            <w:color w:val="231F20"/>
                            <w:w w:val="80"/>
                            <w:sz w:val="14"/>
                          </w:rPr>
                          <w:t>o</w:t>
                        </w:r>
                      </w:p>
                    </w:tc>
                    <w:tc>
                      <w:tcPr>
                        <w:tcW w:w="3014" w:type="dxa"/>
                      </w:tcPr>
                      <w:p>
                        <w:pPr>
                          <w:pStyle w:val="TableParagraph"/>
                          <w:spacing w:line="196" w:lineRule="auto"/>
                          <w:ind w:right="101"/>
                          <w:jc w:val="center"/>
                          <w:rPr>
                            <w:sz w:val="14"/>
                          </w:rPr>
                        </w:pPr>
                        <w:r>
                          <w:rPr>
                            <w:color w:val="231F20"/>
                            <w:w w:val="80"/>
                            <w:sz w:val="14"/>
                          </w:rPr>
                          <w:t>Mejoramiento</w:t>
                        </w:r>
                        <w:r>
                          <w:rPr>
                            <w:color w:val="231F20"/>
                            <w:spacing w:val="-16"/>
                            <w:w w:val="80"/>
                            <w:sz w:val="14"/>
                          </w:rPr>
                          <w:t> </w:t>
                        </w:r>
                        <w:r>
                          <w:rPr>
                            <w:color w:val="231F20"/>
                            <w:w w:val="80"/>
                            <w:sz w:val="14"/>
                          </w:rPr>
                          <w:t>del</w:t>
                        </w:r>
                        <w:r>
                          <w:rPr>
                            <w:color w:val="231F20"/>
                            <w:spacing w:val="-16"/>
                            <w:w w:val="80"/>
                            <w:sz w:val="14"/>
                          </w:rPr>
                          <w:t> </w:t>
                        </w:r>
                        <w:r>
                          <w:rPr>
                            <w:color w:val="231F20"/>
                            <w:w w:val="80"/>
                            <w:sz w:val="14"/>
                          </w:rPr>
                          <w:t>medio</w:t>
                        </w:r>
                        <w:r>
                          <w:rPr>
                            <w:color w:val="231F20"/>
                            <w:spacing w:val="-16"/>
                            <w:w w:val="80"/>
                            <w:sz w:val="14"/>
                          </w:rPr>
                          <w:t> </w:t>
                        </w:r>
                        <w:r>
                          <w:rPr>
                            <w:color w:val="231F20"/>
                            <w:w w:val="80"/>
                            <w:sz w:val="14"/>
                          </w:rPr>
                          <w:t>social.</w:t>
                        </w:r>
                        <w:r>
                          <w:rPr>
                            <w:color w:val="231F20"/>
                            <w:spacing w:val="-16"/>
                            <w:w w:val="80"/>
                            <w:sz w:val="14"/>
                          </w:rPr>
                          <w:t> </w:t>
                        </w:r>
                        <w:r>
                          <w:rPr>
                            <w:color w:val="231F20"/>
                            <w:w w:val="80"/>
                            <w:sz w:val="14"/>
                          </w:rPr>
                          <w:t>Fomento</w:t>
                        </w:r>
                        <w:r>
                          <w:rPr>
                            <w:color w:val="231F20"/>
                            <w:spacing w:val="-16"/>
                            <w:w w:val="80"/>
                            <w:sz w:val="14"/>
                          </w:rPr>
                          <w:t> </w:t>
                        </w:r>
                        <w:r>
                          <w:rPr>
                            <w:color w:val="231F20"/>
                            <w:w w:val="80"/>
                            <w:sz w:val="14"/>
                          </w:rPr>
                          <w:t>del</w:t>
                        </w:r>
                        <w:r>
                          <w:rPr>
                            <w:color w:val="231F20"/>
                            <w:spacing w:val="-16"/>
                            <w:w w:val="80"/>
                            <w:sz w:val="14"/>
                          </w:rPr>
                          <w:t> </w:t>
                        </w:r>
                        <w:r>
                          <w:rPr>
                            <w:color w:val="231F20"/>
                            <w:w w:val="80"/>
                            <w:sz w:val="14"/>
                          </w:rPr>
                          <w:t>progreso</w:t>
                        </w:r>
                        <w:r>
                          <w:rPr>
                            <w:color w:val="231F20"/>
                            <w:spacing w:val="-16"/>
                            <w:w w:val="80"/>
                            <w:sz w:val="14"/>
                          </w:rPr>
                          <w:t> </w:t>
                        </w:r>
                        <w:r>
                          <w:rPr>
                            <w:color w:val="231F20"/>
                            <w:w w:val="80"/>
                            <w:sz w:val="14"/>
                          </w:rPr>
                          <w:t>material y</w:t>
                        </w:r>
                        <w:r>
                          <w:rPr>
                            <w:color w:val="231F20"/>
                            <w:spacing w:val="-9"/>
                            <w:w w:val="80"/>
                            <w:sz w:val="14"/>
                          </w:rPr>
                          <w:t> </w:t>
                        </w:r>
                        <w:r>
                          <w:rPr>
                            <w:color w:val="231F20"/>
                            <w:w w:val="80"/>
                            <w:sz w:val="14"/>
                          </w:rPr>
                          <w:t>cultural</w:t>
                        </w:r>
                        <w:r>
                          <w:rPr>
                            <w:color w:val="231F20"/>
                            <w:spacing w:val="-9"/>
                            <w:w w:val="80"/>
                            <w:sz w:val="14"/>
                          </w:rPr>
                          <w:t> </w:t>
                        </w:r>
                        <w:r>
                          <w:rPr>
                            <w:color w:val="231F20"/>
                            <w:w w:val="80"/>
                            <w:sz w:val="14"/>
                          </w:rPr>
                          <w:t>de</w:t>
                        </w:r>
                        <w:r>
                          <w:rPr>
                            <w:color w:val="231F20"/>
                            <w:spacing w:val="-9"/>
                            <w:w w:val="80"/>
                            <w:sz w:val="14"/>
                          </w:rPr>
                          <w:t> </w:t>
                        </w:r>
                        <w:r>
                          <w:rPr>
                            <w:color w:val="231F20"/>
                            <w:w w:val="80"/>
                            <w:sz w:val="14"/>
                          </w:rPr>
                          <w:t>las</w:t>
                        </w:r>
                        <w:r>
                          <w:rPr>
                            <w:color w:val="231F20"/>
                            <w:spacing w:val="-9"/>
                            <w:w w:val="80"/>
                            <w:sz w:val="14"/>
                          </w:rPr>
                          <w:t> </w:t>
                        </w:r>
                        <w:r>
                          <w:rPr>
                            <w:color w:val="231F20"/>
                            <w:w w:val="80"/>
                            <w:sz w:val="14"/>
                          </w:rPr>
                          <w:t>masas.</w:t>
                        </w:r>
                        <w:r>
                          <w:rPr>
                            <w:color w:val="231F20"/>
                            <w:spacing w:val="-9"/>
                            <w:w w:val="80"/>
                            <w:sz w:val="14"/>
                          </w:rPr>
                          <w:t> </w:t>
                        </w:r>
                        <w:r>
                          <w:rPr>
                            <w:color w:val="231F20"/>
                            <w:w w:val="80"/>
                            <w:sz w:val="14"/>
                          </w:rPr>
                          <w:t>Mejoramiento</w:t>
                        </w:r>
                        <w:r>
                          <w:rPr>
                            <w:color w:val="231F20"/>
                            <w:spacing w:val="-9"/>
                            <w:w w:val="80"/>
                            <w:sz w:val="14"/>
                          </w:rPr>
                          <w:t> </w:t>
                        </w:r>
                        <w:r>
                          <w:rPr>
                            <w:color w:val="231F20"/>
                            <w:w w:val="80"/>
                            <w:sz w:val="14"/>
                          </w:rPr>
                          <w:t>integral</w:t>
                        </w:r>
                        <w:r>
                          <w:rPr>
                            <w:color w:val="231F20"/>
                            <w:spacing w:val="-9"/>
                            <w:w w:val="80"/>
                            <w:sz w:val="14"/>
                          </w:rPr>
                          <w:t> </w:t>
                        </w:r>
                        <w:r>
                          <w:rPr>
                            <w:color w:val="231F20"/>
                            <w:w w:val="80"/>
                            <w:sz w:val="14"/>
                          </w:rPr>
                          <w:t>de</w:t>
                        </w:r>
                        <w:r>
                          <w:rPr>
                            <w:color w:val="231F20"/>
                            <w:spacing w:val="-9"/>
                            <w:w w:val="80"/>
                            <w:sz w:val="14"/>
                          </w:rPr>
                          <w:t> </w:t>
                        </w:r>
                        <w:r>
                          <w:rPr>
                            <w:color w:val="231F20"/>
                            <w:w w:val="80"/>
                            <w:sz w:val="14"/>
                          </w:rPr>
                          <w:t>las</w:t>
                        </w:r>
                        <w:r>
                          <w:rPr>
                            <w:color w:val="231F20"/>
                            <w:spacing w:val="-9"/>
                            <w:w w:val="80"/>
                            <w:sz w:val="14"/>
                          </w:rPr>
                          <w:t> </w:t>
                        </w:r>
                        <w:r>
                          <w:rPr>
                            <w:color w:val="231F20"/>
                            <w:w w:val="80"/>
                            <w:sz w:val="14"/>
                          </w:rPr>
                          <w:t>masas populares.</w:t>
                        </w:r>
                        <w:r>
                          <w:rPr>
                            <w:color w:val="231F20"/>
                            <w:spacing w:val="-17"/>
                            <w:w w:val="80"/>
                            <w:sz w:val="14"/>
                          </w:rPr>
                          <w:t> </w:t>
                        </w:r>
                        <w:r>
                          <w:rPr>
                            <w:color w:val="231F20"/>
                            <w:w w:val="80"/>
                            <w:sz w:val="14"/>
                          </w:rPr>
                          <w:t>Reconocimiento</w:t>
                        </w:r>
                        <w:r>
                          <w:rPr>
                            <w:color w:val="231F20"/>
                            <w:spacing w:val="-17"/>
                            <w:w w:val="80"/>
                            <w:sz w:val="14"/>
                          </w:rPr>
                          <w:t> </w:t>
                        </w:r>
                        <w:r>
                          <w:rPr>
                            <w:color w:val="231F20"/>
                            <w:w w:val="80"/>
                            <w:sz w:val="14"/>
                          </w:rPr>
                          <w:t>de</w:t>
                        </w:r>
                        <w:r>
                          <w:rPr>
                            <w:color w:val="231F20"/>
                            <w:spacing w:val="-17"/>
                            <w:w w:val="80"/>
                            <w:sz w:val="14"/>
                          </w:rPr>
                          <w:t> </w:t>
                        </w:r>
                        <w:r>
                          <w:rPr>
                            <w:color w:val="231F20"/>
                            <w:w w:val="80"/>
                            <w:sz w:val="14"/>
                          </w:rPr>
                          <w:t>las</w:t>
                        </w:r>
                        <w:r>
                          <w:rPr>
                            <w:color w:val="231F20"/>
                            <w:spacing w:val="-17"/>
                            <w:w w:val="80"/>
                            <w:sz w:val="14"/>
                          </w:rPr>
                          <w:t> </w:t>
                        </w:r>
                        <w:r>
                          <w:rPr>
                            <w:color w:val="231F20"/>
                            <w:w w:val="80"/>
                            <w:sz w:val="14"/>
                          </w:rPr>
                          <w:t>clases</w:t>
                        </w:r>
                        <w:r>
                          <w:rPr>
                            <w:color w:val="231F20"/>
                            <w:spacing w:val="-17"/>
                            <w:w w:val="80"/>
                            <w:sz w:val="14"/>
                          </w:rPr>
                          <w:t> </w:t>
                        </w:r>
                        <w:r>
                          <w:rPr>
                            <w:color w:val="231F20"/>
                            <w:w w:val="80"/>
                            <w:sz w:val="14"/>
                          </w:rPr>
                          <w:t>obreras</w:t>
                        </w:r>
                        <w:r>
                          <w:rPr>
                            <w:color w:val="231F20"/>
                            <w:spacing w:val="-17"/>
                            <w:w w:val="80"/>
                            <w:sz w:val="14"/>
                          </w:rPr>
                          <w:t> </w:t>
                        </w:r>
                        <w:r>
                          <w:rPr>
                            <w:color w:val="231F20"/>
                            <w:w w:val="80"/>
                            <w:sz w:val="14"/>
                          </w:rPr>
                          <w:t>y</w:t>
                        </w:r>
                        <w:r>
                          <w:rPr>
                            <w:color w:val="231F20"/>
                            <w:spacing w:val="-17"/>
                            <w:w w:val="80"/>
                            <w:sz w:val="14"/>
                          </w:rPr>
                          <w:t> </w:t>
                        </w:r>
                        <w:r>
                          <w:rPr>
                            <w:color w:val="231F20"/>
                            <w:w w:val="80"/>
                            <w:sz w:val="14"/>
                          </w:rPr>
                          <w:t>campesinas.</w:t>
                        </w:r>
                      </w:p>
                      <w:p>
                        <w:pPr>
                          <w:pStyle w:val="TableParagraph"/>
                          <w:spacing w:line="147" w:lineRule="exact"/>
                          <w:ind w:left="101" w:right="101"/>
                          <w:jc w:val="center"/>
                          <w:rPr>
                            <w:sz w:val="14"/>
                          </w:rPr>
                        </w:pPr>
                        <w:r>
                          <w:rPr>
                            <w:color w:val="231F20"/>
                            <w:w w:val="75"/>
                            <w:sz w:val="14"/>
                          </w:rPr>
                          <w:t>Promueve la colectividad.</w:t>
                        </w:r>
                      </w:p>
                    </w:tc>
                    <w:tc>
                      <w:tcPr>
                        <w:tcW w:w="333" w:type="dxa"/>
                        <w:textDirection w:val="btLr"/>
                      </w:tcPr>
                      <w:p>
                        <w:pPr>
                          <w:pStyle w:val="TableParagraph"/>
                          <w:spacing w:before="74"/>
                          <w:ind w:left="441" w:right="441"/>
                          <w:jc w:val="center"/>
                          <w:rPr>
                            <w:sz w:val="14"/>
                          </w:rPr>
                        </w:pPr>
                        <w:r>
                          <w:rPr>
                            <w:color w:val="231F20"/>
                            <w:spacing w:val="3"/>
                            <w:w w:val="72"/>
                            <w:sz w:val="14"/>
                          </w:rPr>
                          <w:t>E</w:t>
                        </w:r>
                        <w:r>
                          <w:rPr>
                            <w:color w:val="231F20"/>
                            <w:spacing w:val="3"/>
                            <w:w w:val="73"/>
                            <w:sz w:val="14"/>
                          </w:rPr>
                          <w:t>s</w:t>
                        </w:r>
                        <w:r>
                          <w:rPr>
                            <w:color w:val="231F20"/>
                            <w:spacing w:val="3"/>
                            <w:w w:val="76"/>
                            <w:sz w:val="14"/>
                          </w:rPr>
                          <w:t>t</w:t>
                        </w:r>
                        <w:r>
                          <w:rPr>
                            <w:color w:val="231F20"/>
                            <w:spacing w:val="2"/>
                            <w:w w:val="75"/>
                            <w:sz w:val="14"/>
                          </w:rPr>
                          <w:t>ad</w:t>
                        </w:r>
                        <w:r>
                          <w:rPr>
                            <w:color w:val="231F20"/>
                            <w:w w:val="72"/>
                            <w:sz w:val="14"/>
                          </w:rPr>
                          <w:t>o</w:t>
                        </w:r>
                      </w:p>
                    </w:tc>
                    <w:tc>
                      <w:tcPr>
                        <w:tcW w:w="4276" w:type="dxa"/>
                      </w:tcPr>
                      <w:p>
                        <w:pPr>
                          <w:pStyle w:val="TableParagraph"/>
                          <w:spacing w:line="127" w:lineRule="exact"/>
                          <w:ind w:left="184" w:right="184"/>
                          <w:jc w:val="center"/>
                          <w:rPr>
                            <w:sz w:val="14"/>
                          </w:rPr>
                        </w:pPr>
                        <w:r>
                          <w:rPr>
                            <w:color w:val="231F20"/>
                            <w:w w:val="80"/>
                            <w:sz w:val="14"/>
                          </w:rPr>
                          <w:t>Estado social de derecho. Estado Laico. Estado generador de Democracia integral</w:t>
                        </w:r>
                      </w:p>
                      <w:p>
                        <w:pPr>
                          <w:pStyle w:val="TableParagraph"/>
                          <w:spacing w:line="140" w:lineRule="exact" w:before="6"/>
                          <w:ind w:left="136" w:right="134"/>
                          <w:jc w:val="center"/>
                          <w:rPr>
                            <w:sz w:val="14"/>
                          </w:rPr>
                        </w:pPr>
                        <w:r>
                          <w:rPr>
                            <w:color w:val="231F20"/>
                            <w:w w:val="80"/>
                            <w:sz w:val="14"/>
                          </w:rPr>
                          <w:t>(participación</w:t>
                        </w:r>
                        <w:r>
                          <w:rPr>
                            <w:color w:val="231F20"/>
                            <w:spacing w:val="-15"/>
                            <w:w w:val="80"/>
                            <w:sz w:val="14"/>
                          </w:rPr>
                          <w:t> </w:t>
                        </w:r>
                        <w:r>
                          <w:rPr>
                            <w:color w:val="231F20"/>
                            <w:w w:val="80"/>
                            <w:sz w:val="14"/>
                          </w:rPr>
                          <w:t>ciudadana).</w:t>
                        </w:r>
                        <w:r>
                          <w:rPr>
                            <w:color w:val="231F20"/>
                            <w:spacing w:val="-15"/>
                            <w:w w:val="80"/>
                            <w:sz w:val="14"/>
                          </w:rPr>
                          <w:t> </w:t>
                        </w:r>
                        <w:r>
                          <w:rPr>
                            <w:color w:val="231F20"/>
                            <w:w w:val="80"/>
                            <w:sz w:val="14"/>
                          </w:rPr>
                          <w:t>Respeto</w:t>
                        </w:r>
                        <w:r>
                          <w:rPr>
                            <w:color w:val="231F20"/>
                            <w:spacing w:val="-15"/>
                            <w:w w:val="80"/>
                            <w:sz w:val="14"/>
                          </w:rPr>
                          <w:t> </w:t>
                        </w:r>
                        <w:r>
                          <w:rPr>
                            <w:color w:val="231F20"/>
                            <w:w w:val="80"/>
                            <w:sz w:val="14"/>
                          </w:rPr>
                          <w:t>del</w:t>
                        </w:r>
                        <w:r>
                          <w:rPr>
                            <w:color w:val="231F20"/>
                            <w:spacing w:val="-15"/>
                            <w:w w:val="80"/>
                            <w:sz w:val="14"/>
                          </w:rPr>
                          <w:t> </w:t>
                        </w:r>
                        <w:r>
                          <w:rPr>
                            <w:color w:val="231F20"/>
                            <w:w w:val="80"/>
                            <w:sz w:val="14"/>
                          </w:rPr>
                          <w:t>federalismo.</w:t>
                        </w:r>
                        <w:r>
                          <w:rPr>
                            <w:color w:val="231F20"/>
                            <w:spacing w:val="-15"/>
                            <w:w w:val="80"/>
                            <w:sz w:val="14"/>
                          </w:rPr>
                          <w:t> </w:t>
                        </w:r>
                        <w:r>
                          <w:rPr>
                            <w:color w:val="231F20"/>
                            <w:spacing w:val="2"/>
                            <w:w w:val="80"/>
                            <w:sz w:val="14"/>
                          </w:rPr>
                          <w:t>Estado</w:t>
                        </w:r>
                        <w:r>
                          <w:rPr>
                            <w:color w:val="231F20"/>
                            <w:spacing w:val="-15"/>
                            <w:w w:val="80"/>
                            <w:sz w:val="14"/>
                          </w:rPr>
                          <w:t> </w:t>
                        </w:r>
                        <w:r>
                          <w:rPr>
                            <w:color w:val="231F20"/>
                            <w:w w:val="80"/>
                            <w:sz w:val="14"/>
                          </w:rPr>
                          <w:t>que</w:t>
                        </w:r>
                        <w:r>
                          <w:rPr>
                            <w:color w:val="231F20"/>
                            <w:spacing w:val="-15"/>
                            <w:w w:val="80"/>
                            <w:sz w:val="14"/>
                          </w:rPr>
                          <w:t> </w:t>
                        </w:r>
                        <w:r>
                          <w:rPr>
                            <w:color w:val="231F20"/>
                            <w:w w:val="80"/>
                            <w:sz w:val="14"/>
                          </w:rPr>
                          <w:t>aliente</w:t>
                        </w:r>
                        <w:r>
                          <w:rPr>
                            <w:color w:val="231F20"/>
                            <w:spacing w:val="-15"/>
                            <w:w w:val="80"/>
                            <w:sz w:val="14"/>
                          </w:rPr>
                          <w:t> </w:t>
                        </w:r>
                        <w:r>
                          <w:rPr>
                            <w:color w:val="231F20"/>
                            <w:w w:val="80"/>
                            <w:sz w:val="14"/>
                          </w:rPr>
                          <w:t>la</w:t>
                        </w:r>
                        <w:r>
                          <w:rPr>
                            <w:color w:val="231F20"/>
                            <w:spacing w:val="-15"/>
                            <w:w w:val="80"/>
                            <w:sz w:val="14"/>
                          </w:rPr>
                          <w:t> </w:t>
                        </w:r>
                        <w:r>
                          <w:rPr>
                            <w:color w:val="231F20"/>
                            <w:w w:val="80"/>
                            <w:sz w:val="14"/>
                          </w:rPr>
                          <w:t>economía</w:t>
                        </w:r>
                        <w:r>
                          <w:rPr>
                            <w:color w:val="231F20"/>
                            <w:spacing w:val="-15"/>
                            <w:w w:val="80"/>
                            <w:sz w:val="14"/>
                          </w:rPr>
                          <w:t> </w:t>
                        </w:r>
                        <w:r>
                          <w:rPr>
                            <w:color w:val="231F20"/>
                            <w:w w:val="80"/>
                            <w:sz w:val="14"/>
                          </w:rPr>
                          <w:t>social. Garantice</w:t>
                        </w:r>
                        <w:r>
                          <w:rPr>
                            <w:color w:val="231F20"/>
                            <w:spacing w:val="-13"/>
                            <w:w w:val="80"/>
                            <w:sz w:val="14"/>
                          </w:rPr>
                          <w:t> </w:t>
                        </w:r>
                        <w:r>
                          <w:rPr>
                            <w:color w:val="231F20"/>
                            <w:w w:val="80"/>
                            <w:sz w:val="14"/>
                          </w:rPr>
                          <w:t>Seguridad</w:t>
                        </w:r>
                        <w:r>
                          <w:rPr>
                            <w:color w:val="231F20"/>
                            <w:spacing w:val="-13"/>
                            <w:w w:val="80"/>
                            <w:sz w:val="14"/>
                          </w:rPr>
                          <w:t> </w:t>
                        </w:r>
                        <w:r>
                          <w:rPr>
                            <w:color w:val="231F20"/>
                            <w:w w:val="80"/>
                            <w:sz w:val="14"/>
                          </w:rPr>
                          <w:t>Alimentaria.</w:t>
                        </w:r>
                        <w:r>
                          <w:rPr>
                            <w:color w:val="231F20"/>
                            <w:spacing w:val="-13"/>
                            <w:w w:val="80"/>
                            <w:sz w:val="14"/>
                          </w:rPr>
                          <w:t> </w:t>
                        </w:r>
                        <w:r>
                          <w:rPr>
                            <w:color w:val="231F20"/>
                            <w:w w:val="80"/>
                            <w:sz w:val="14"/>
                          </w:rPr>
                          <w:t>Combate</w:t>
                        </w:r>
                        <w:r>
                          <w:rPr>
                            <w:color w:val="231F20"/>
                            <w:spacing w:val="-13"/>
                            <w:w w:val="80"/>
                            <w:sz w:val="14"/>
                          </w:rPr>
                          <w:t> </w:t>
                        </w:r>
                        <w:r>
                          <w:rPr>
                            <w:color w:val="231F20"/>
                            <w:w w:val="80"/>
                            <w:sz w:val="14"/>
                          </w:rPr>
                          <w:t>a</w:t>
                        </w:r>
                        <w:r>
                          <w:rPr>
                            <w:color w:val="231F20"/>
                            <w:spacing w:val="-13"/>
                            <w:w w:val="80"/>
                            <w:sz w:val="14"/>
                          </w:rPr>
                          <w:t> </w:t>
                        </w:r>
                        <w:r>
                          <w:rPr>
                            <w:color w:val="231F20"/>
                            <w:w w:val="80"/>
                            <w:sz w:val="14"/>
                          </w:rPr>
                          <w:t>la</w:t>
                        </w:r>
                        <w:r>
                          <w:rPr>
                            <w:color w:val="231F20"/>
                            <w:spacing w:val="-13"/>
                            <w:w w:val="80"/>
                            <w:sz w:val="14"/>
                          </w:rPr>
                          <w:t> </w:t>
                        </w:r>
                        <w:r>
                          <w:rPr>
                            <w:color w:val="231F20"/>
                            <w:w w:val="80"/>
                            <w:sz w:val="14"/>
                          </w:rPr>
                          <w:t>pobreza.</w:t>
                        </w:r>
                        <w:r>
                          <w:rPr>
                            <w:color w:val="231F20"/>
                            <w:spacing w:val="-13"/>
                            <w:w w:val="80"/>
                            <w:sz w:val="14"/>
                          </w:rPr>
                          <w:t> </w:t>
                        </w:r>
                        <w:r>
                          <w:rPr>
                            <w:color w:val="231F20"/>
                            <w:w w:val="80"/>
                            <w:sz w:val="14"/>
                          </w:rPr>
                          <w:t>Equilibrios</w:t>
                        </w:r>
                        <w:r>
                          <w:rPr>
                            <w:color w:val="231F20"/>
                            <w:spacing w:val="-13"/>
                            <w:w w:val="80"/>
                            <w:sz w:val="14"/>
                          </w:rPr>
                          <w:t> </w:t>
                        </w:r>
                        <w:r>
                          <w:rPr>
                            <w:color w:val="231F20"/>
                            <w:w w:val="80"/>
                            <w:sz w:val="14"/>
                          </w:rPr>
                          <w:t>sociales.</w:t>
                        </w:r>
                        <w:r>
                          <w:rPr>
                            <w:color w:val="231F20"/>
                            <w:spacing w:val="-13"/>
                            <w:w w:val="80"/>
                            <w:sz w:val="14"/>
                          </w:rPr>
                          <w:t> </w:t>
                        </w:r>
                        <w:r>
                          <w:rPr>
                            <w:color w:val="231F20"/>
                            <w:w w:val="80"/>
                            <w:sz w:val="14"/>
                          </w:rPr>
                          <w:t>Respeto</w:t>
                        </w:r>
                        <w:r>
                          <w:rPr>
                            <w:color w:val="231F20"/>
                            <w:spacing w:val="-13"/>
                            <w:w w:val="80"/>
                            <w:sz w:val="14"/>
                          </w:rPr>
                          <w:t> </w:t>
                        </w:r>
                        <w:r>
                          <w:rPr>
                            <w:color w:val="231F20"/>
                            <w:w w:val="80"/>
                            <w:sz w:val="14"/>
                          </w:rPr>
                          <w:t>a</w:t>
                        </w:r>
                        <w:r>
                          <w:rPr>
                            <w:color w:val="231F20"/>
                            <w:spacing w:val="-13"/>
                            <w:w w:val="80"/>
                            <w:sz w:val="14"/>
                          </w:rPr>
                          <w:t> </w:t>
                        </w:r>
                        <w:r>
                          <w:rPr>
                            <w:color w:val="231F20"/>
                            <w:w w:val="80"/>
                            <w:sz w:val="14"/>
                          </w:rPr>
                          <w:t>los </w:t>
                        </w:r>
                        <w:r>
                          <w:rPr>
                            <w:color w:val="231F20"/>
                            <w:w w:val="75"/>
                            <w:sz w:val="14"/>
                          </w:rPr>
                          <w:t>derechos</w:t>
                        </w:r>
                        <w:r>
                          <w:rPr>
                            <w:color w:val="231F20"/>
                            <w:spacing w:val="23"/>
                            <w:w w:val="75"/>
                            <w:sz w:val="14"/>
                          </w:rPr>
                          <w:t> </w:t>
                        </w:r>
                        <w:r>
                          <w:rPr>
                            <w:color w:val="231F20"/>
                            <w:w w:val="75"/>
                            <w:sz w:val="14"/>
                          </w:rPr>
                          <w:t>humanos.</w:t>
                        </w:r>
                      </w:p>
                    </w:tc>
                  </w:tr>
                  <w:tr>
                    <w:trPr>
                      <w:trHeight w:val="805" w:hRule="exact"/>
                    </w:trPr>
                    <w:tc>
                      <w:tcPr>
                        <w:tcW w:w="325" w:type="dxa"/>
                        <w:textDirection w:val="btLr"/>
                      </w:tcPr>
                      <w:p>
                        <w:pPr>
                          <w:pStyle w:val="TableParagraph"/>
                          <w:spacing w:before="74"/>
                          <w:ind w:left="165"/>
                          <w:rPr>
                            <w:b/>
                            <w:sz w:val="14"/>
                          </w:rPr>
                        </w:pPr>
                        <w:r>
                          <w:rPr>
                            <w:b/>
                            <w:color w:val="231F20"/>
                            <w:spacing w:val="2"/>
                            <w:w w:val="80"/>
                            <w:sz w:val="14"/>
                          </w:rPr>
                          <w:t>Gobi</w:t>
                        </w:r>
                        <w:r>
                          <w:rPr>
                            <w:b/>
                            <w:color w:val="231F20"/>
                            <w:spacing w:val="2"/>
                            <w:w w:val="83"/>
                            <w:sz w:val="14"/>
                          </w:rPr>
                          <w:t>e</w:t>
                        </w:r>
                        <w:r>
                          <w:rPr>
                            <w:b/>
                            <w:color w:val="231F20"/>
                            <w:spacing w:val="3"/>
                            <w:w w:val="83"/>
                            <w:sz w:val="14"/>
                          </w:rPr>
                          <w:t>r</w:t>
                        </w:r>
                        <w:r>
                          <w:rPr>
                            <w:b/>
                            <w:color w:val="231F20"/>
                            <w:spacing w:val="2"/>
                            <w:w w:val="85"/>
                            <w:sz w:val="14"/>
                          </w:rPr>
                          <w:t>n</w:t>
                        </w:r>
                        <w:r>
                          <w:rPr>
                            <w:b/>
                            <w:color w:val="231F20"/>
                            <w:w w:val="80"/>
                            <w:sz w:val="14"/>
                          </w:rPr>
                          <w:t>o</w:t>
                        </w:r>
                      </w:p>
                    </w:tc>
                    <w:tc>
                      <w:tcPr>
                        <w:tcW w:w="3014" w:type="dxa"/>
                      </w:tcPr>
                      <w:p>
                        <w:pPr>
                          <w:pStyle w:val="TableParagraph"/>
                          <w:spacing w:line="196" w:lineRule="auto"/>
                          <w:ind w:right="100"/>
                          <w:jc w:val="center"/>
                          <w:rPr>
                            <w:sz w:val="14"/>
                          </w:rPr>
                        </w:pPr>
                        <w:r>
                          <w:rPr>
                            <w:color w:val="231F20"/>
                            <w:w w:val="80"/>
                            <w:sz w:val="14"/>
                          </w:rPr>
                          <w:t>Arraigo de ideología social de principios revolucionarios. </w:t>
                        </w:r>
                        <w:r>
                          <w:rPr>
                            <w:color w:val="231F20"/>
                            <w:w w:val="75"/>
                            <w:sz w:val="14"/>
                          </w:rPr>
                          <w:t>Reconstrucción nacional. Organización económica del    país.</w:t>
                        </w:r>
                      </w:p>
                      <w:p>
                        <w:pPr>
                          <w:pStyle w:val="TableParagraph"/>
                          <w:spacing w:line="147" w:lineRule="exact"/>
                          <w:ind w:left="102" w:right="101"/>
                          <w:jc w:val="center"/>
                          <w:rPr>
                            <w:sz w:val="14"/>
                          </w:rPr>
                        </w:pPr>
                        <w:r>
                          <w:rPr>
                            <w:color w:val="231F20"/>
                            <w:w w:val="80"/>
                            <w:sz w:val="14"/>
                          </w:rPr>
                          <w:t>Saneamiento de finanzas públicas.</w:t>
                        </w:r>
                      </w:p>
                    </w:tc>
                    <w:tc>
                      <w:tcPr>
                        <w:tcW w:w="333" w:type="dxa"/>
                        <w:vMerge w:val="restart"/>
                        <w:textDirection w:val="btLr"/>
                      </w:tcPr>
                      <w:p>
                        <w:pPr>
                          <w:pStyle w:val="TableParagraph"/>
                          <w:spacing w:before="74"/>
                          <w:ind w:left="130"/>
                          <w:rPr>
                            <w:sz w:val="14"/>
                          </w:rPr>
                        </w:pPr>
                        <w:r>
                          <w:rPr>
                            <w:color w:val="231F20"/>
                            <w:spacing w:val="1"/>
                            <w:w w:val="72"/>
                            <w:sz w:val="14"/>
                          </w:rPr>
                          <w:t>E</w:t>
                        </w:r>
                        <w:r>
                          <w:rPr>
                            <w:color w:val="231F20"/>
                            <w:spacing w:val="1"/>
                            <w:w w:val="76"/>
                            <w:sz w:val="14"/>
                          </w:rPr>
                          <w:t>nt</w:t>
                        </w:r>
                        <w:r>
                          <w:rPr>
                            <w:color w:val="231F20"/>
                            <w:spacing w:val="2"/>
                            <w:w w:val="72"/>
                            <w:sz w:val="14"/>
                          </w:rPr>
                          <w:t>o</w:t>
                        </w:r>
                        <w:r>
                          <w:rPr>
                            <w:color w:val="231F20"/>
                            <w:spacing w:val="3"/>
                            <w:w w:val="71"/>
                            <w:sz w:val="14"/>
                          </w:rPr>
                          <w:t>r</w:t>
                        </w:r>
                        <w:r>
                          <w:rPr>
                            <w:color w:val="231F20"/>
                            <w:spacing w:val="2"/>
                            <w:w w:val="77"/>
                            <w:sz w:val="14"/>
                          </w:rPr>
                          <w:t>n</w:t>
                        </w:r>
                        <w:r>
                          <w:rPr>
                            <w:color w:val="231F20"/>
                            <w:w w:val="72"/>
                            <w:sz w:val="14"/>
                          </w:rPr>
                          <w:t>o</w:t>
                        </w:r>
                        <w:r>
                          <w:rPr>
                            <w:color w:val="231F20"/>
                            <w:spacing w:val="-10"/>
                            <w:sz w:val="14"/>
                          </w:rPr>
                          <w:t> </w:t>
                        </w:r>
                        <w:r>
                          <w:rPr>
                            <w:color w:val="231F20"/>
                            <w:spacing w:val="1"/>
                            <w:w w:val="76"/>
                            <w:sz w:val="14"/>
                          </w:rPr>
                          <w:t>m</w:t>
                        </w:r>
                        <w:r>
                          <w:rPr>
                            <w:color w:val="231F20"/>
                            <w:spacing w:val="2"/>
                            <w:w w:val="76"/>
                            <w:sz w:val="14"/>
                          </w:rPr>
                          <w:t>u</w:t>
                        </w:r>
                        <w:r>
                          <w:rPr>
                            <w:color w:val="231F20"/>
                            <w:spacing w:val="2"/>
                            <w:w w:val="77"/>
                            <w:sz w:val="14"/>
                          </w:rPr>
                          <w:t>n</w:t>
                        </w:r>
                        <w:r>
                          <w:rPr>
                            <w:color w:val="231F20"/>
                            <w:spacing w:val="2"/>
                            <w:w w:val="75"/>
                            <w:sz w:val="14"/>
                          </w:rPr>
                          <w:t>d</w:t>
                        </w:r>
                        <w:r>
                          <w:rPr>
                            <w:color w:val="231F20"/>
                            <w:spacing w:val="1"/>
                            <w:w w:val="80"/>
                            <w:sz w:val="14"/>
                          </w:rPr>
                          <w:t>i</w:t>
                        </w:r>
                        <w:r>
                          <w:rPr>
                            <w:color w:val="231F20"/>
                            <w:spacing w:val="1"/>
                            <w:w w:val="78"/>
                            <w:sz w:val="14"/>
                          </w:rPr>
                          <w:t>al</w:t>
                        </w:r>
                      </w:p>
                    </w:tc>
                    <w:tc>
                      <w:tcPr>
                        <w:tcW w:w="4276" w:type="dxa"/>
                        <w:vMerge w:val="restart"/>
                      </w:tcPr>
                      <w:p>
                        <w:pPr>
                          <w:pStyle w:val="TableParagraph"/>
                          <w:spacing w:line="196" w:lineRule="auto"/>
                          <w:ind w:left="1938" w:hanging="1732"/>
                          <w:rPr>
                            <w:sz w:val="14"/>
                          </w:rPr>
                        </w:pPr>
                        <w:r>
                          <w:rPr>
                            <w:color w:val="231F20"/>
                            <w:w w:val="80"/>
                            <w:sz w:val="14"/>
                          </w:rPr>
                          <w:t>Renovado</w:t>
                        </w:r>
                        <w:r>
                          <w:rPr>
                            <w:color w:val="231F20"/>
                            <w:spacing w:val="-14"/>
                            <w:w w:val="80"/>
                            <w:sz w:val="14"/>
                          </w:rPr>
                          <w:t> </w:t>
                        </w:r>
                        <w:r>
                          <w:rPr>
                            <w:color w:val="231F20"/>
                            <w:w w:val="80"/>
                            <w:sz w:val="14"/>
                          </w:rPr>
                          <w:t>nacionalismo.</w:t>
                        </w:r>
                        <w:r>
                          <w:rPr>
                            <w:color w:val="231F20"/>
                            <w:spacing w:val="-14"/>
                            <w:w w:val="80"/>
                            <w:sz w:val="14"/>
                          </w:rPr>
                          <w:t> </w:t>
                        </w:r>
                        <w:r>
                          <w:rPr>
                            <w:color w:val="231F20"/>
                            <w:w w:val="80"/>
                            <w:sz w:val="14"/>
                          </w:rPr>
                          <w:t>Paz.</w:t>
                        </w:r>
                        <w:r>
                          <w:rPr>
                            <w:color w:val="231F20"/>
                            <w:spacing w:val="-14"/>
                            <w:w w:val="80"/>
                            <w:sz w:val="14"/>
                          </w:rPr>
                          <w:t> </w:t>
                        </w:r>
                        <w:r>
                          <w:rPr>
                            <w:color w:val="231F20"/>
                            <w:w w:val="80"/>
                            <w:sz w:val="14"/>
                          </w:rPr>
                          <w:t>Defensa</w:t>
                        </w:r>
                        <w:r>
                          <w:rPr>
                            <w:color w:val="231F20"/>
                            <w:spacing w:val="-14"/>
                            <w:w w:val="80"/>
                            <w:sz w:val="14"/>
                          </w:rPr>
                          <w:t> </w:t>
                        </w:r>
                        <w:r>
                          <w:rPr>
                            <w:color w:val="231F20"/>
                            <w:w w:val="80"/>
                            <w:sz w:val="14"/>
                          </w:rPr>
                          <w:t>de</w:t>
                        </w:r>
                        <w:r>
                          <w:rPr>
                            <w:color w:val="231F20"/>
                            <w:spacing w:val="-14"/>
                            <w:w w:val="80"/>
                            <w:sz w:val="14"/>
                          </w:rPr>
                          <w:t> </w:t>
                        </w:r>
                        <w:r>
                          <w:rPr>
                            <w:color w:val="231F20"/>
                            <w:w w:val="80"/>
                            <w:sz w:val="14"/>
                          </w:rPr>
                          <w:t>los</w:t>
                        </w:r>
                        <w:r>
                          <w:rPr>
                            <w:color w:val="231F20"/>
                            <w:spacing w:val="-14"/>
                            <w:w w:val="80"/>
                            <w:sz w:val="14"/>
                          </w:rPr>
                          <w:t> </w:t>
                        </w:r>
                        <w:r>
                          <w:rPr>
                            <w:color w:val="231F20"/>
                            <w:w w:val="80"/>
                            <w:sz w:val="14"/>
                          </w:rPr>
                          <w:t>derechos</w:t>
                        </w:r>
                        <w:r>
                          <w:rPr>
                            <w:color w:val="231F20"/>
                            <w:spacing w:val="-14"/>
                            <w:w w:val="80"/>
                            <w:sz w:val="14"/>
                          </w:rPr>
                          <w:t> </w:t>
                        </w:r>
                        <w:r>
                          <w:rPr>
                            <w:color w:val="231F20"/>
                            <w:w w:val="80"/>
                            <w:sz w:val="14"/>
                          </w:rPr>
                          <w:t>humanos</w:t>
                        </w:r>
                        <w:r>
                          <w:rPr>
                            <w:color w:val="231F20"/>
                            <w:spacing w:val="-14"/>
                            <w:w w:val="80"/>
                            <w:sz w:val="14"/>
                          </w:rPr>
                          <w:t> </w:t>
                        </w:r>
                        <w:r>
                          <w:rPr>
                            <w:color w:val="231F20"/>
                            <w:w w:val="80"/>
                            <w:sz w:val="14"/>
                          </w:rPr>
                          <w:t>y</w:t>
                        </w:r>
                        <w:r>
                          <w:rPr>
                            <w:color w:val="231F20"/>
                            <w:spacing w:val="-14"/>
                            <w:w w:val="80"/>
                            <w:sz w:val="14"/>
                          </w:rPr>
                          <w:t> </w:t>
                        </w:r>
                        <w:r>
                          <w:rPr>
                            <w:color w:val="231F20"/>
                            <w:w w:val="80"/>
                            <w:sz w:val="14"/>
                          </w:rPr>
                          <w:t>laborales.</w:t>
                        </w:r>
                        <w:r>
                          <w:rPr>
                            <w:color w:val="231F20"/>
                            <w:spacing w:val="-14"/>
                            <w:w w:val="80"/>
                            <w:sz w:val="14"/>
                          </w:rPr>
                          <w:t> </w:t>
                        </w:r>
                        <w:r>
                          <w:rPr>
                            <w:color w:val="231F20"/>
                            <w:w w:val="80"/>
                            <w:sz w:val="14"/>
                          </w:rPr>
                          <w:t>Respeto</w:t>
                        </w:r>
                        <w:r>
                          <w:rPr>
                            <w:color w:val="231F20"/>
                            <w:spacing w:val="-14"/>
                            <w:w w:val="80"/>
                            <w:sz w:val="14"/>
                          </w:rPr>
                          <w:t> </w:t>
                        </w:r>
                        <w:r>
                          <w:rPr>
                            <w:color w:val="231F20"/>
                            <w:w w:val="80"/>
                            <w:sz w:val="14"/>
                          </w:rPr>
                          <w:t>de </w:t>
                        </w:r>
                        <w:r>
                          <w:rPr>
                            <w:color w:val="231F20"/>
                            <w:spacing w:val="2"/>
                            <w:w w:val="85"/>
                            <w:sz w:val="14"/>
                          </w:rPr>
                          <w:t>culturas.</w:t>
                        </w:r>
                      </w:p>
                    </w:tc>
                  </w:tr>
                  <w:tr>
                    <w:trPr>
                      <w:trHeight w:val="213" w:hRule="exact"/>
                    </w:trPr>
                    <w:tc>
                      <w:tcPr>
                        <w:tcW w:w="325" w:type="dxa"/>
                        <w:vMerge w:val="restart"/>
                        <w:textDirection w:val="btLr"/>
                      </w:tcPr>
                      <w:p>
                        <w:pPr>
                          <w:pStyle w:val="TableParagraph"/>
                          <w:spacing w:before="74"/>
                          <w:ind w:left="203"/>
                          <w:rPr>
                            <w:b/>
                            <w:sz w:val="14"/>
                          </w:rPr>
                        </w:pPr>
                        <w:r>
                          <w:rPr>
                            <w:b/>
                            <w:color w:val="231F20"/>
                            <w:spacing w:val="2"/>
                            <w:w w:val="74"/>
                            <w:sz w:val="14"/>
                          </w:rPr>
                          <w:t>G</w:t>
                        </w:r>
                        <w:r>
                          <w:rPr>
                            <w:b/>
                            <w:color w:val="231F20"/>
                            <w:spacing w:val="2"/>
                            <w:w w:val="80"/>
                            <w:sz w:val="14"/>
                          </w:rPr>
                          <w:t>o</w:t>
                        </w:r>
                        <w:r>
                          <w:rPr>
                            <w:b/>
                            <w:color w:val="231F20"/>
                            <w:spacing w:val="2"/>
                            <w:w w:val="83"/>
                            <w:sz w:val="14"/>
                          </w:rPr>
                          <w:t>be</w:t>
                        </w:r>
                        <w:r>
                          <w:rPr>
                            <w:b/>
                            <w:color w:val="231F20"/>
                            <w:spacing w:val="3"/>
                            <w:w w:val="82"/>
                            <w:sz w:val="14"/>
                          </w:rPr>
                          <w:t>r</w:t>
                        </w:r>
                        <w:r>
                          <w:rPr>
                            <w:b/>
                            <w:color w:val="231F20"/>
                            <w:spacing w:val="2"/>
                            <w:w w:val="85"/>
                            <w:sz w:val="14"/>
                          </w:rPr>
                          <w:t>na</w:t>
                        </w:r>
                        <w:r>
                          <w:rPr>
                            <w:b/>
                            <w:color w:val="231F20"/>
                            <w:spacing w:val="2"/>
                            <w:w w:val="85"/>
                            <w:sz w:val="14"/>
                          </w:rPr>
                          <w:t>n</w:t>
                        </w:r>
                        <w:r>
                          <w:rPr>
                            <w:b/>
                            <w:color w:val="231F20"/>
                            <w:spacing w:val="1"/>
                            <w:w w:val="89"/>
                            <w:sz w:val="14"/>
                          </w:rPr>
                          <w:t>t</w:t>
                        </w:r>
                        <w:r>
                          <w:rPr>
                            <w:b/>
                            <w:color w:val="231F20"/>
                            <w:spacing w:val="2"/>
                            <w:w w:val="82"/>
                            <w:sz w:val="14"/>
                          </w:rPr>
                          <w:t>es</w:t>
                        </w:r>
                      </w:p>
                    </w:tc>
                    <w:tc>
                      <w:tcPr>
                        <w:tcW w:w="3014" w:type="dxa"/>
                        <w:vMerge w:val="restart"/>
                      </w:tcPr>
                      <w:p>
                        <w:pPr>
                          <w:pStyle w:val="TableParagraph"/>
                          <w:spacing w:line="196" w:lineRule="auto"/>
                          <w:ind w:left="147" w:right="145"/>
                          <w:jc w:val="center"/>
                          <w:rPr>
                            <w:sz w:val="14"/>
                          </w:rPr>
                        </w:pPr>
                        <w:r>
                          <w:rPr>
                            <w:color w:val="231F20"/>
                            <w:w w:val="80"/>
                            <w:sz w:val="14"/>
                          </w:rPr>
                          <w:t>La integración de los gobiernos con hombres de ideología revolucionaria,</w:t>
                        </w:r>
                        <w:r>
                          <w:rPr>
                            <w:color w:val="231F20"/>
                            <w:spacing w:val="-15"/>
                            <w:w w:val="80"/>
                            <w:sz w:val="14"/>
                          </w:rPr>
                          <w:t> </w:t>
                        </w:r>
                        <w:r>
                          <w:rPr>
                            <w:color w:val="231F20"/>
                            <w:w w:val="80"/>
                            <w:sz w:val="14"/>
                          </w:rPr>
                          <w:t>cualquiera</w:t>
                        </w:r>
                        <w:r>
                          <w:rPr>
                            <w:color w:val="231F20"/>
                            <w:spacing w:val="-15"/>
                            <w:w w:val="80"/>
                            <w:sz w:val="14"/>
                          </w:rPr>
                          <w:t> </w:t>
                        </w:r>
                        <w:r>
                          <w:rPr>
                            <w:color w:val="231F20"/>
                            <w:w w:val="80"/>
                            <w:sz w:val="14"/>
                          </w:rPr>
                          <w:t>que</w:t>
                        </w:r>
                        <w:r>
                          <w:rPr>
                            <w:color w:val="231F20"/>
                            <w:spacing w:val="-15"/>
                            <w:w w:val="80"/>
                            <w:sz w:val="14"/>
                          </w:rPr>
                          <w:t> </w:t>
                        </w:r>
                        <w:r>
                          <w:rPr>
                            <w:color w:val="231F20"/>
                            <w:w w:val="80"/>
                            <w:sz w:val="14"/>
                          </w:rPr>
                          <w:t>sea</w:t>
                        </w:r>
                        <w:r>
                          <w:rPr>
                            <w:color w:val="231F20"/>
                            <w:spacing w:val="-15"/>
                            <w:w w:val="80"/>
                            <w:sz w:val="14"/>
                          </w:rPr>
                          <w:t> </w:t>
                        </w:r>
                        <w:r>
                          <w:rPr>
                            <w:color w:val="231F20"/>
                            <w:w w:val="80"/>
                            <w:sz w:val="14"/>
                          </w:rPr>
                          <w:t>su</w:t>
                        </w:r>
                        <w:r>
                          <w:rPr>
                            <w:color w:val="231F20"/>
                            <w:spacing w:val="-15"/>
                            <w:w w:val="80"/>
                            <w:sz w:val="14"/>
                          </w:rPr>
                          <w:t> </w:t>
                        </w:r>
                        <w:r>
                          <w:rPr>
                            <w:color w:val="231F20"/>
                            <w:w w:val="80"/>
                            <w:sz w:val="14"/>
                          </w:rPr>
                          <w:t>posición</w:t>
                        </w:r>
                        <w:r>
                          <w:rPr>
                            <w:color w:val="231F20"/>
                            <w:spacing w:val="-15"/>
                            <w:w w:val="80"/>
                            <w:sz w:val="14"/>
                          </w:rPr>
                          <w:t> </w:t>
                        </w:r>
                        <w:r>
                          <w:rPr>
                            <w:color w:val="231F20"/>
                            <w:w w:val="80"/>
                            <w:sz w:val="14"/>
                          </w:rPr>
                          <w:t>social,</w:t>
                        </w:r>
                        <w:r>
                          <w:rPr>
                            <w:color w:val="231F20"/>
                            <w:spacing w:val="-15"/>
                            <w:w w:val="80"/>
                            <w:sz w:val="14"/>
                          </w:rPr>
                          <w:t> </w:t>
                        </w:r>
                        <w:r>
                          <w:rPr>
                            <w:color w:val="231F20"/>
                            <w:w w:val="80"/>
                            <w:sz w:val="14"/>
                          </w:rPr>
                          <w:t>siempre que</w:t>
                        </w:r>
                        <w:r>
                          <w:rPr>
                            <w:color w:val="231F20"/>
                            <w:spacing w:val="-13"/>
                            <w:w w:val="80"/>
                            <w:sz w:val="14"/>
                          </w:rPr>
                          <w:t> </w:t>
                        </w:r>
                        <w:r>
                          <w:rPr>
                            <w:color w:val="231F20"/>
                            <w:w w:val="80"/>
                            <w:sz w:val="14"/>
                          </w:rPr>
                          <w:t>estén</w:t>
                        </w:r>
                        <w:r>
                          <w:rPr>
                            <w:color w:val="231F20"/>
                            <w:spacing w:val="-13"/>
                            <w:w w:val="80"/>
                            <w:sz w:val="14"/>
                          </w:rPr>
                          <w:t> </w:t>
                        </w:r>
                        <w:r>
                          <w:rPr>
                            <w:color w:val="231F20"/>
                            <w:w w:val="80"/>
                            <w:sz w:val="14"/>
                          </w:rPr>
                          <w:t>moral</w:t>
                        </w:r>
                        <w:r>
                          <w:rPr>
                            <w:color w:val="231F20"/>
                            <w:spacing w:val="-13"/>
                            <w:w w:val="80"/>
                            <w:sz w:val="14"/>
                          </w:rPr>
                          <w:t> </w:t>
                        </w:r>
                        <w:r>
                          <w:rPr>
                            <w:color w:val="231F20"/>
                            <w:w w:val="80"/>
                            <w:sz w:val="14"/>
                          </w:rPr>
                          <w:t>e</w:t>
                        </w:r>
                        <w:r>
                          <w:rPr>
                            <w:color w:val="231F20"/>
                            <w:spacing w:val="-13"/>
                            <w:w w:val="80"/>
                            <w:sz w:val="14"/>
                          </w:rPr>
                          <w:t> </w:t>
                        </w:r>
                        <w:r>
                          <w:rPr>
                            <w:color w:val="231F20"/>
                            <w:w w:val="80"/>
                            <w:sz w:val="14"/>
                          </w:rPr>
                          <w:t>intelectualmente</w:t>
                        </w:r>
                        <w:r>
                          <w:rPr>
                            <w:color w:val="231F20"/>
                            <w:spacing w:val="-13"/>
                            <w:w w:val="80"/>
                            <w:sz w:val="14"/>
                          </w:rPr>
                          <w:t> </w:t>
                        </w:r>
                        <w:r>
                          <w:rPr>
                            <w:color w:val="231F20"/>
                            <w:w w:val="80"/>
                            <w:sz w:val="14"/>
                          </w:rPr>
                          <w:t>capacitados</w:t>
                        </w:r>
                        <w:r>
                          <w:rPr>
                            <w:color w:val="231F20"/>
                            <w:spacing w:val="-13"/>
                            <w:w w:val="80"/>
                            <w:sz w:val="14"/>
                          </w:rPr>
                          <w:t> </w:t>
                        </w:r>
                        <w:r>
                          <w:rPr>
                            <w:color w:val="231F20"/>
                            <w:w w:val="80"/>
                            <w:sz w:val="14"/>
                          </w:rPr>
                          <w:t>para</w:t>
                        </w:r>
                        <w:r>
                          <w:rPr>
                            <w:color w:val="231F20"/>
                            <w:spacing w:val="-13"/>
                            <w:w w:val="80"/>
                            <w:sz w:val="14"/>
                          </w:rPr>
                          <w:t> </w:t>
                        </w:r>
                        <w:r>
                          <w:rPr>
                            <w:color w:val="231F20"/>
                            <w:w w:val="80"/>
                            <w:sz w:val="14"/>
                          </w:rPr>
                          <w:t>llevar</w:t>
                        </w:r>
                        <w:r>
                          <w:rPr>
                            <w:color w:val="231F20"/>
                            <w:spacing w:val="-13"/>
                            <w:w w:val="80"/>
                            <w:sz w:val="14"/>
                          </w:rPr>
                          <w:t> </w:t>
                        </w:r>
                        <w:r>
                          <w:rPr>
                            <w:color w:val="231F20"/>
                            <w:w w:val="80"/>
                            <w:sz w:val="14"/>
                          </w:rPr>
                          <w:t>a cabo</w:t>
                        </w:r>
                        <w:r>
                          <w:rPr>
                            <w:color w:val="231F20"/>
                            <w:spacing w:val="-12"/>
                            <w:w w:val="80"/>
                            <w:sz w:val="14"/>
                          </w:rPr>
                          <w:t> </w:t>
                        </w:r>
                        <w:r>
                          <w:rPr>
                            <w:color w:val="231F20"/>
                            <w:w w:val="80"/>
                            <w:sz w:val="14"/>
                          </w:rPr>
                          <w:t>la</w:t>
                        </w:r>
                        <w:r>
                          <w:rPr>
                            <w:color w:val="231F20"/>
                            <w:spacing w:val="-12"/>
                            <w:w w:val="80"/>
                            <w:sz w:val="14"/>
                          </w:rPr>
                          <w:t> </w:t>
                        </w:r>
                        <w:r>
                          <w:rPr>
                            <w:color w:val="231F20"/>
                            <w:w w:val="80"/>
                            <w:sz w:val="14"/>
                          </w:rPr>
                          <w:t>realización</w:t>
                        </w:r>
                        <w:r>
                          <w:rPr>
                            <w:color w:val="231F20"/>
                            <w:spacing w:val="-12"/>
                            <w:w w:val="80"/>
                            <w:sz w:val="14"/>
                          </w:rPr>
                          <w:t> </w:t>
                        </w:r>
                        <w:r>
                          <w:rPr>
                            <w:color w:val="231F20"/>
                            <w:w w:val="80"/>
                            <w:sz w:val="14"/>
                          </w:rPr>
                          <w:t>del</w:t>
                        </w:r>
                        <w:r>
                          <w:rPr>
                            <w:color w:val="231F20"/>
                            <w:spacing w:val="-12"/>
                            <w:w w:val="80"/>
                            <w:sz w:val="14"/>
                          </w:rPr>
                          <w:t> </w:t>
                        </w:r>
                        <w:r>
                          <w:rPr>
                            <w:color w:val="231F20"/>
                            <w:w w:val="80"/>
                            <w:sz w:val="14"/>
                          </w:rPr>
                          <w:t>programa</w:t>
                        </w:r>
                        <w:r>
                          <w:rPr>
                            <w:color w:val="231F20"/>
                            <w:spacing w:val="-12"/>
                            <w:w w:val="80"/>
                            <w:sz w:val="14"/>
                          </w:rPr>
                          <w:t> </w:t>
                        </w:r>
                        <w:r>
                          <w:rPr>
                            <w:color w:val="231F20"/>
                            <w:w w:val="80"/>
                            <w:sz w:val="14"/>
                          </w:rPr>
                          <w:t>eminentemente</w:t>
                        </w:r>
                        <w:r>
                          <w:rPr>
                            <w:color w:val="231F20"/>
                            <w:spacing w:val="-12"/>
                            <w:w w:val="80"/>
                            <w:sz w:val="14"/>
                          </w:rPr>
                          <w:t> </w:t>
                        </w:r>
                        <w:r>
                          <w:rPr>
                            <w:color w:val="231F20"/>
                            <w:w w:val="80"/>
                            <w:sz w:val="14"/>
                          </w:rPr>
                          <w:t>patriótico de</w:t>
                        </w:r>
                        <w:r>
                          <w:rPr>
                            <w:color w:val="231F20"/>
                            <w:spacing w:val="-16"/>
                            <w:w w:val="80"/>
                            <w:sz w:val="14"/>
                          </w:rPr>
                          <w:t> </w:t>
                        </w:r>
                        <w:r>
                          <w:rPr>
                            <w:color w:val="231F20"/>
                            <w:w w:val="80"/>
                            <w:sz w:val="14"/>
                          </w:rPr>
                          <w:t>la</w:t>
                        </w:r>
                        <w:r>
                          <w:rPr>
                            <w:color w:val="231F20"/>
                            <w:spacing w:val="-16"/>
                            <w:w w:val="80"/>
                            <w:sz w:val="14"/>
                          </w:rPr>
                          <w:t> </w:t>
                        </w:r>
                        <w:r>
                          <w:rPr>
                            <w:color w:val="231F20"/>
                            <w:w w:val="80"/>
                            <w:sz w:val="14"/>
                          </w:rPr>
                          <w:t>Revolución.</w:t>
                        </w:r>
                      </w:p>
                    </w:tc>
                    <w:tc>
                      <w:tcPr>
                        <w:tcW w:w="333" w:type="dxa"/>
                        <w:vMerge/>
                        <w:textDirection w:val="btLr"/>
                      </w:tcPr>
                      <w:p>
                        <w:pPr/>
                      </w:p>
                    </w:tc>
                    <w:tc>
                      <w:tcPr>
                        <w:tcW w:w="4276" w:type="dxa"/>
                        <w:vMerge/>
                      </w:tcPr>
                      <w:p>
                        <w:pPr/>
                      </w:p>
                    </w:tc>
                  </w:tr>
                  <w:tr>
                    <w:trPr>
                      <w:trHeight w:val="854" w:hRule="exact"/>
                    </w:trPr>
                    <w:tc>
                      <w:tcPr>
                        <w:tcW w:w="325" w:type="dxa"/>
                        <w:vMerge/>
                        <w:textDirection w:val="btLr"/>
                      </w:tcPr>
                      <w:p>
                        <w:pPr/>
                      </w:p>
                    </w:tc>
                    <w:tc>
                      <w:tcPr>
                        <w:tcW w:w="3014" w:type="dxa"/>
                        <w:vMerge/>
                      </w:tcPr>
                      <w:p>
                        <w:pPr/>
                      </w:p>
                    </w:tc>
                    <w:tc>
                      <w:tcPr>
                        <w:tcW w:w="333" w:type="dxa"/>
                        <w:vMerge w:val="restart"/>
                        <w:textDirection w:val="btLr"/>
                      </w:tcPr>
                      <w:p>
                        <w:pPr>
                          <w:pStyle w:val="TableParagraph"/>
                          <w:spacing w:before="74"/>
                          <w:ind w:left="719" w:right="719"/>
                          <w:jc w:val="center"/>
                          <w:rPr>
                            <w:sz w:val="14"/>
                          </w:rPr>
                        </w:pPr>
                        <w:r>
                          <w:rPr>
                            <w:color w:val="231F20"/>
                            <w:spacing w:val="2"/>
                            <w:w w:val="75"/>
                            <w:sz w:val="14"/>
                          </w:rPr>
                          <w:t>Soci</w:t>
                        </w:r>
                        <w:r>
                          <w:rPr>
                            <w:color w:val="231F20"/>
                            <w:spacing w:val="2"/>
                            <w:w w:val="72"/>
                            <w:sz w:val="14"/>
                          </w:rPr>
                          <w:t>e</w:t>
                        </w:r>
                        <w:r>
                          <w:rPr>
                            <w:color w:val="231F20"/>
                            <w:spacing w:val="1"/>
                            <w:w w:val="75"/>
                            <w:sz w:val="14"/>
                          </w:rPr>
                          <w:t>d</w:t>
                        </w:r>
                        <w:r>
                          <w:rPr>
                            <w:color w:val="231F20"/>
                            <w:spacing w:val="2"/>
                            <w:w w:val="75"/>
                            <w:sz w:val="14"/>
                          </w:rPr>
                          <w:t>a</w:t>
                        </w:r>
                        <w:r>
                          <w:rPr>
                            <w:color w:val="231F20"/>
                            <w:w w:val="75"/>
                            <w:sz w:val="14"/>
                          </w:rPr>
                          <w:t>d</w:t>
                        </w:r>
                      </w:p>
                    </w:tc>
                    <w:tc>
                      <w:tcPr>
                        <w:tcW w:w="4276" w:type="dxa"/>
                        <w:vMerge w:val="restart"/>
                      </w:tcPr>
                      <w:p>
                        <w:pPr>
                          <w:pStyle w:val="TableParagraph"/>
                          <w:spacing w:line="196" w:lineRule="auto"/>
                          <w:ind w:left="109" w:right="108" w:hanging="1"/>
                          <w:jc w:val="center"/>
                          <w:rPr>
                            <w:sz w:val="14"/>
                          </w:rPr>
                        </w:pPr>
                        <w:r>
                          <w:rPr>
                            <w:color w:val="231F20"/>
                            <w:w w:val="80"/>
                            <w:sz w:val="14"/>
                          </w:rPr>
                          <w:t>Ciudadanía integral. Equidad económica. Justicia social. Tolerancia y fraternidad. Reconocimiento de adultos mayores, personas en discapacidad y grupos vulnerables. Equidad</w:t>
                        </w:r>
                        <w:r>
                          <w:rPr>
                            <w:color w:val="231F20"/>
                            <w:spacing w:val="-14"/>
                            <w:w w:val="80"/>
                            <w:sz w:val="14"/>
                          </w:rPr>
                          <w:t> </w:t>
                        </w:r>
                        <w:r>
                          <w:rPr>
                            <w:color w:val="231F20"/>
                            <w:w w:val="80"/>
                            <w:sz w:val="14"/>
                          </w:rPr>
                          <w:t>de</w:t>
                        </w:r>
                        <w:r>
                          <w:rPr>
                            <w:color w:val="231F20"/>
                            <w:spacing w:val="-14"/>
                            <w:w w:val="80"/>
                            <w:sz w:val="14"/>
                          </w:rPr>
                          <w:t> </w:t>
                        </w:r>
                        <w:r>
                          <w:rPr>
                            <w:color w:val="231F20"/>
                            <w:w w:val="80"/>
                            <w:sz w:val="14"/>
                          </w:rPr>
                          <w:t>género.</w:t>
                        </w:r>
                        <w:r>
                          <w:rPr>
                            <w:color w:val="231F20"/>
                            <w:spacing w:val="-14"/>
                            <w:w w:val="80"/>
                            <w:sz w:val="14"/>
                          </w:rPr>
                          <w:t> </w:t>
                        </w:r>
                        <w:r>
                          <w:rPr>
                            <w:color w:val="231F20"/>
                            <w:w w:val="80"/>
                            <w:sz w:val="14"/>
                          </w:rPr>
                          <w:t>Importancia</w:t>
                        </w:r>
                        <w:r>
                          <w:rPr>
                            <w:color w:val="231F20"/>
                            <w:spacing w:val="-14"/>
                            <w:w w:val="80"/>
                            <w:sz w:val="14"/>
                          </w:rPr>
                          <w:t> </w:t>
                        </w:r>
                        <w:r>
                          <w:rPr>
                            <w:color w:val="231F20"/>
                            <w:w w:val="80"/>
                            <w:sz w:val="14"/>
                          </w:rPr>
                          <w:t>de</w:t>
                        </w:r>
                        <w:r>
                          <w:rPr>
                            <w:color w:val="231F20"/>
                            <w:spacing w:val="-14"/>
                            <w:w w:val="80"/>
                            <w:sz w:val="14"/>
                          </w:rPr>
                          <w:t> </w:t>
                        </w:r>
                        <w:r>
                          <w:rPr>
                            <w:color w:val="231F20"/>
                            <w:w w:val="80"/>
                            <w:sz w:val="14"/>
                          </w:rPr>
                          <w:t>los</w:t>
                        </w:r>
                        <w:r>
                          <w:rPr>
                            <w:color w:val="231F20"/>
                            <w:spacing w:val="-14"/>
                            <w:w w:val="80"/>
                            <w:sz w:val="14"/>
                          </w:rPr>
                          <w:t> </w:t>
                        </w:r>
                        <w:r>
                          <w:rPr>
                            <w:color w:val="231F20"/>
                            <w:w w:val="80"/>
                            <w:sz w:val="14"/>
                          </w:rPr>
                          <w:t>jóvenes.</w:t>
                        </w:r>
                        <w:r>
                          <w:rPr>
                            <w:color w:val="231F20"/>
                            <w:spacing w:val="-14"/>
                            <w:w w:val="80"/>
                            <w:sz w:val="14"/>
                          </w:rPr>
                          <w:t> </w:t>
                        </w:r>
                        <w:r>
                          <w:rPr>
                            <w:color w:val="231F20"/>
                            <w:w w:val="80"/>
                            <w:sz w:val="14"/>
                          </w:rPr>
                          <w:t>Referéndum,</w:t>
                        </w:r>
                        <w:r>
                          <w:rPr>
                            <w:color w:val="231F20"/>
                            <w:spacing w:val="-14"/>
                            <w:w w:val="80"/>
                            <w:sz w:val="14"/>
                          </w:rPr>
                          <w:t> </w:t>
                        </w:r>
                        <w:r>
                          <w:rPr>
                            <w:color w:val="231F20"/>
                            <w:w w:val="80"/>
                            <w:sz w:val="14"/>
                          </w:rPr>
                          <w:t>plebiscitos,</w:t>
                        </w:r>
                        <w:r>
                          <w:rPr>
                            <w:color w:val="231F20"/>
                            <w:spacing w:val="-14"/>
                            <w:w w:val="80"/>
                            <w:sz w:val="14"/>
                          </w:rPr>
                          <w:t> </w:t>
                        </w:r>
                        <w:r>
                          <w:rPr>
                            <w:color w:val="231F20"/>
                            <w:w w:val="80"/>
                            <w:sz w:val="14"/>
                          </w:rPr>
                          <w:t>iniciativa</w:t>
                        </w:r>
                        <w:r>
                          <w:rPr>
                            <w:color w:val="231F20"/>
                            <w:spacing w:val="-14"/>
                            <w:w w:val="80"/>
                            <w:sz w:val="14"/>
                          </w:rPr>
                          <w:t> </w:t>
                        </w:r>
                        <w:r>
                          <w:rPr>
                            <w:color w:val="231F20"/>
                            <w:w w:val="80"/>
                            <w:sz w:val="14"/>
                          </w:rPr>
                          <w:t>popular, transparencia,</w:t>
                        </w:r>
                        <w:r>
                          <w:rPr>
                            <w:color w:val="231F20"/>
                            <w:spacing w:val="-15"/>
                            <w:w w:val="80"/>
                            <w:sz w:val="14"/>
                          </w:rPr>
                          <w:t> </w:t>
                        </w:r>
                        <w:r>
                          <w:rPr>
                            <w:color w:val="231F20"/>
                            <w:w w:val="80"/>
                            <w:sz w:val="14"/>
                          </w:rPr>
                          <w:t>rendición</w:t>
                        </w:r>
                        <w:r>
                          <w:rPr>
                            <w:color w:val="231F20"/>
                            <w:spacing w:val="-15"/>
                            <w:w w:val="80"/>
                            <w:sz w:val="14"/>
                          </w:rPr>
                          <w:t> </w:t>
                        </w:r>
                        <w:r>
                          <w:rPr>
                            <w:color w:val="231F20"/>
                            <w:w w:val="80"/>
                            <w:sz w:val="14"/>
                          </w:rPr>
                          <w:t>de</w:t>
                        </w:r>
                        <w:r>
                          <w:rPr>
                            <w:color w:val="231F20"/>
                            <w:spacing w:val="-15"/>
                            <w:w w:val="80"/>
                            <w:sz w:val="14"/>
                          </w:rPr>
                          <w:t> </w:t>
                        </w:r>
                        <w:r>
                          <w:rPr>
                            <w:color w:val="231F20"/>
                            <w:w w:val="80"/>
                            <w:sz w:val="14"/>
                          </w:rPr>
                          <w:t>cuentas</w:t>
                        </w:r>
                        <w:r>
                          <w:rPr>
                            <w:color w:val="231F20"/>
                            <w:spacing w:val="-15"/>
                            <w:w w:val="80"/>
                            <w:sz w:val="14"/>
                          </w:rPr>
                          <w:t> </w:t>
                        </w:r>
                        <w:r>
                          <w:rPr>
                            <w:color w:val="231F20"/>
                            <w:w w:val="80"/>
                            <w:sz w:val="14"/>
                          </w:rPr>
                          <w:t>y</w:t>
                        </w:r>
                        <w:r>
                          <w:rPr>
                            <w:color w:val="231F20"/>
                            <w:spacing w:val="-15"/>
                            <w:w w:val="80"/>
                            <w:sz w:val="14"/>
                          </w:rPr>
                          <w:t> </w:t>
                        </w:r>
                        <w:r>
                          <w:rPr>
                            <w:color w:val="231F20"/>
                            <w:w w:val="80"/>
                            <w:sz w:val="14"/>
                          </w:rPr>
                          <w:t>acceso</w:t>
                        </w:r>
                        <w:r>
                          <w:rPr>
                            <w:color w:val="231F20"/>
                            <w:spacing w:val="-15"/>
                            <w:w w:val="80"/>
                            <w:sz w:val="14"/>
                          </w:rPr>
                          <w:t> </w:t>
                        </w:r>
                        <w:r>
                          <w:rPr>
                            <w:color w:val="231F20"/>
                            <w:w w:val="80"/>
                            <w:sz w:val="14"/>
                          </w:rPr>
                          <w:t>a</w:t>
                        </w:r>
                        <w:r>
                          <w:rPr>
                            <w:color w:val="231F20"/>
                            <w:spacing w:val="-15"/>
                            <w:w w:val="80"/>
                            <w:sz w:val="14"/>
                          </w:rPr>
                          <w:t> </w:t>
                        </w:r>
                        <w:r>
                          <w:rPr>
                            <w:color w:val="231F20"/>
                            <w:w w:val="80"/>
                            <w:sz w:val="14"/>
                          </w:rPr>
                          <w:t>la</w:t>
                        </w:r>
                        <w:r>
                          <w:rPr>
                            <w:color w:val="231F20"/>
                            <w:spacing w:val="-15"/>
                            <w:w w:val="80"/>
                            <w:sz w:val="14"/>
                          </w:rPr>
                          <w:t> </w:t>
                        </w:r>
                        <w:r>
                          <w:rPr>
                            <w:color w:val="231F20"/>
                            <w:w w:val="80"/>
                            <w:sz w:val="14"/>
                          </w:rPr>
                          <w:t>información</w:t>
                        </w:r>
                        <w:r>
                          <w:rPr>
                            <w:color w:val="231F20"/>
                            <w:spacing w:val="-15"/>
                            <w:w w:val="80"/>
                            <w:sz w:val="14"/>
                          </w:rPr>
                          <w:t> </w:t>
                        </w:r>
                        <w:r>
                          <w:rPr>
                            <w:color w:val="231F20"/>
                            <w:w w:val="80"/>
                            <w:sz w:val="14"/>
                          </w:rPr>
                          <w:t>pública.</w:t>
                        </w:r>
                      </w:p>
                    </w:tc>
                  </w:tr>
                  <w:tr>
                    <w:trPr>
                      <w:trHeight w:val="1035" w:hRule="exact"/>
                    </w:trPr>
                    <w:tc>
                      <w:tcPr>
                        <w:tcW w:w="325" w:type="dxa"/>
                        <w:textDirection w:val="btLr"/>
                      </w:tcPr>
                      <w:p>
                        <w:pPr>
                          <w:pStyle w:val="TableParagraph"/>
                          <w:spacing w:before="74"/>
                          <w:ind w:left="28"/>
                          <w:rPr>
                            <w:b/>
                            <w:sz w:val="14"/>
                          </w:rPr>
                        </w:pPr>
                        <w:r>
                          <w:rPr>
                            <w:b/>
                            <w:color w:val="231F20"/>
                            <w:spacing w:val="2"/>
                            <w:w w:val="83"/>
                            <w:sz w:val="14"/>
                          </w:rPr>
                          <w:t>S</w:t>
                        </w:r>
                        <w:r>
                          <w:rPr>
                            <w:b/>
                            <w:color w:val="231F20"/>
                            <w:spacing w:val="2"/>
                            <w:w w:val="80"/>
                            <w:sz w:val="14"/>
                          </w:rPr>
                          <w:t>o</w:t>
                        </w:r>
                        <w:r>
                          <w:rPr>
                            <w:b/>
                            <w:color w:val="231F20"/>
                            <w:spacing w:val="2"/>
                            <w:w w:val="83"/>
                            <w:sz w:val="14"/>
                          </w:rPr>
                          <w:t>be</w:t>
                        </w:r>
                        <w:r>
                          <w:rPr>
                            <w:b/>
                            <w:color w:val="231F20"/>
                            <w:spacing w:val="2"/>
                            <w:w w:val="82"/>
                            <w:sz w:val="14"/>
                          </w:rPr>
                          <w:t>r</w:t>
                        </w:r>
                        <w:r>
                          <w:rPr>
                            <w:b/>
                            <w:color w:val="231F20"/>
                            <w:spacing w:val="2"/>
                            <w:w w:val="85"/>
                            <w:sz w:val="14"/>
                          </w:rPr>
                          <w:t>a</w:t>
                        </w:r>
                        <w:r>
                          <w:rPr>
                            <w:b/>
                            <w:color w:val="231F20"/>
                            <w:spacing w:val="2"/>
                            <w:w w:val="87"/>
                            <w:sz w:val="14"/>
                          </w:rPr>
                          <w:t>ní</w:t>
                        </w:r>
                        <w:r>
                          <w:rPr>
                            <w:b/>
                            <w:color w:val="231F20"/>
                            <w:w w:val="85"/>
                            <w:sz w:val="14"/>
                          </w:rPr>
                          <w:t>a</w:t>
                        </w:r>
                        <w:r>
                          <w:rPr>
                            <w:b/>
                            <w:color w:val="231F20"/>
                            <w:spacing w:val="-10"/>
                            <w:sz w:val="14"/>
                          </w:rPr>
                          <w:t> </w:t>
                        </w:r>
                        <w:r>
                          <w:rPr>
                            <w:b/>
                            <w:color w:val="231F20"/>
                            <w:spacing w:val="2"/>
                            <w:w w:val="85"/>
                            <w:sz w:val="14"/>
                          </w:rPr>
                          <w:t>n</w:t>
                        </w:r>
                        <w:r>
                          <w:rPr>
                            <w:b/>
                            <w:color w:val="231F20"/>
                            <w:spacing w:val="1"/>
                            <w:w w:val="85"/>
                            <w:sz w:val="14"/>
                          </w:rPr>
                          <w:t>a</w:t>
                        </w:r>
                        <w:r>
                          <w:rPr>
                            <w:b/>
                            <w:color w:val="231F20"/>
                            <w:spacing w:val="3"/>
                            <w:w w:val="77"/>
                            <w:sz w:val="14"/>
                          </w:rPr>
                          <w:t>c</w:t>
                        </w:r>
                        <w:r>
                          <w:rPr>
                            <w:b/>
                            <w:color w:val="231F20"/>
                            <w:spacing w:val="2"/>
                            <w:w w:val="90"/>
                            <w:sz w:val="14"/>
                          </w:rPr>
                          <w:t>i</w:t>
                        </w:r>
                        <w:r>
                          <w:rPr>
                            <w:b/>
                            <w:color w:val="231F20"/>
                            <w:spacing w:val="2"/>
                            <w:w w:val="83"/>
                            <w:sz w:val="14"/>
                          </w:rPr>
                          <w:t>ona</w:t>
                        </w:r>
                        <w:r>
                          <w:rPr>
                            <w:b/>
                            <w:color w:val="231F20"/>
                            <w:w w:val="91"/>
                            <w:sz w:val="14"/>
                          </w:rPr>
                          <w:t>l</w:t>
                        </w:r>
                      </w:p>
                    </w:tc>
                    <w:tc>
                      <w:tcPr>
                        <w:tcW w:w="3014" w:type="dxa"/>
                      </w:tcPr>
                      <w:p>
                        <w:pPr>
                          <w:pStyle w:val="TableParagraph"/>
                          <w:spacing w:line="196" w:lineRule="auto"/>
                          <w:ind w:left="1370" w:right="113" w:hanging="1171"/>
                          <w:rPr>
                            <w:sz w:val="14"/>
                          </w:rPr>
                        </w:pPr>
                        <w:r>
                          <w:rPr>
                            <w:color w:val="231F20"/>
                            <w:w w:val="80"/>
                            <w:sz w:val="14"/>
                          </w:rPr>
                          <w:t>Soberanía nacional como pilar de las relaciones internacio- </w:t>
                        </w:r>
                        <w:r>
                          <w:rPr>
                            <w:color w:val="231F20"/>
                            <w:w w:val="85"/>
                            <w:sz w:val="14"/>
                          </w:rPr>
                          <w:t>nales.</w:t>
                        </w:r>
                      </w:p>
                    </w:tc>
                    <w:tc>
                      <w:tcPr>
                        <w:tcW w:w="333" w:type="dxa"/>
                        <w:vMerge/>
                        <w:textDirection w:val="btLr"/>
                      </w:tcPr>
                      <w:p>
                        <w:pPr/>
                      </w:p>
                    </w:tc>
                    <w:tc>
                      <w:tcPr>
                        <w:tcW w:w="4276" w:type="dxa"/>
                        <w:vMerge/>
                      </w:tcPr>
                      <w:p>
                        <w:pPr/>
                      </w:p>
                    </w:tc>
                  </w:tr>
                </w:tbl>
                <w:p>
                  <w:pPr>
                    <w:pStyle w:val="BodyText"/>
                  </w:pPr>
                </w:p>
              </w:txbxContent>
            </v:textbox>
            <w10:wrap type="none"/>
          </v:shape>
        </w:pict>
      </w:r>
      <w:r>
        <w:rPr>
          <w:rFonts w:ascii="Calibri"/>
          <w:b/>
          <w:color w:val="231F20"/>
          <w:w w:val="95"/>
          <w:sz w:val="14"/>
        </w:rPr>
        <w:t>1929</w:t>
        <w:tab/>
        <w:t>2001</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
        <w:rPr>
          <w:rFonts w:ascii="Calibri"/>
          <w:b/>
          <w:sz w:val="28"/>
        </w:rPr>
      </w:pPr>
    </w:p>
    <w:p>
      <w:pPr>
        <w:spacing w:before="74"/>
        <w:ind w:left="110" w:right="0" w:firstLine="2899"/>
        <w:jc w:val="left"/>
        <w:rPr>
          <w:rFonts w:ascii="Calibri" w:hAnsi="Calibri"/>
          <w:sz w:val="16"/>
        </w:rPr>
      </w:pPr>
      <w:r>
        <w:rPr>
          <w:rFonts w:ascii="Calibri" w:hAnsi="Calibri"/>
          <w:color w:val="231F20"/>
          <w:sz w:val="16"/>
        </w:rPr>
        <w:t>Fuente: Declaración de principios 1929 y 2001, consultados en </w:t>
      </w:r>
      <w:hyperlink r:id="rId307">
        <w:r>
          <w:rPr>
            <w:rFonts w:ascii="Calibri" w:hAnsi="Calibri"/>
            <w:color w:val="231F20"/>
            <w:sz w:val="16"/>
          </w:rPr>
          <w:t>www.pri.org.mx</w:t>
        </w:r>
      </w:hyperlink>
    </w:p>
    <w:p>
      <w:pPr>
        <w:pStyle w:val="BodyText"/>
        <w:rPr>
          <w:rFonts w:ascii="Calibri"/>
          <w:sz w:val="16"/>
        </w:rPr>
      </w:pPr>
    </w:p>
    <w:p>
      <w:pPr>
        <w:spacing w:line="244" w:lineRule="auto" w:before="109"/>
        <w:ind w:left="110" w:right="248" w:firstLine="0"/>
        <w:jc w:val="both"/>
        <w:rPr>
          <w:rFonts w:ascii="Calibri" w:hAnsi="Calibri"/>
          <w:sz w:val="16"/>
        </w:rPr>
      </w:pPr>
      <w:r>
        <w:rPr>
          <w:rFonts w:ascii="Calibri" w:hAnsi="Calibri"/>
          <w:color w:val="231F20"/>
          <w:sz w:val="16"/>
        </w:rPr>
        <w:t>1</w:t>
      </w:r>
      <w:r>
        <w:rPr>
          <w:rFonts w:ascii="Calibri" w:hAnsi="Calibri"/>
          <w:color w:val="231F20"/>
          <w:spacing w:val="14"/>
          <w:sz w:val="16"/>
        </w:rPr>
        <w:t> </w:t>
      </w:r>
      <w:r>
        <w:rPr>
          <w:rFonts w:ascii="Calibri" w:hAnsi="Calibri"/>
          <w:color w:val="231F20"/>
          <w:sz w:val="16"/>
        </w:rPr>
        <w:t>Lamentablemente</w:t>
      </w:r>
      <w:r>
        <w:rPr>
          <w:rFonts w:ascii="Calibri" w:hAnsi="Calibri"/>
          <w:color w:val="231F20"/>
          <w:spacing w:val="-12"/>
          <w:sz w:val="16"/>
        </w:rPr>
        <w:t> </w:t>
      </w:r>
      <w:r>
        <w:rPr>
          <w:rFonts w:ascii="Calibri" w:hAnsi="Calibri"/>
          <w:color w:val="231F20"/>
          <w:sz w:val="16"/>
        </w:rPr>
        <w:t>el</w:t>
      </w:r>
      <w:r>
        <w:rPr>
          <w:rFonts w:ascii="Calibri" w:hAnsi="Calibri"/>
          <w:color w:val="231F20"/>
          <w:spacing w:val="-12"/>
          <w:sz w:val="16"/>
        </w:rPr>
        <w:t> </w:t>
      </w:r>
      <w:r>
        <w:rPr>
          <w:rFonts w:ascii="Calibri" w:hAnsi="Calibri"/>
          <w:color w:val="231F20"/>
          <w:sz w:val="16"/>
        </w:rPr>
        <w:t>presidente</w:t>
      </w:r>
      <w:r>
        <w:rPr>
          <w:rFonts w:ascii="Calibri" w:hAnsi="Calibri"/>
          <w:color w:val="231F20"/>
          <w:spacing w:val="-12"/>
          <w:sz w:val="16"/>
        </w:rPr>
        <w:t> </w:t>
      </w:r>
      <w:r>
        <w:rPr>
          <w:rFonts w:ascii="Calibri" w:hAnsi="Calibri"/>
          <w:color w:val="231F20"/>
          <w:sz w:val="16"/>
        </w:rPr>
        <w:t>municipal</w:t>
      </w:r>
      <w:r>
        <w:rPr>
          <w:rFonts w:ascii="Calibri" w:hAnsi="Calibri"/>
          <w:color w:val="231F20"/>
          <w:spacing w:val="-12"/>
          <w:sz w:val="16"/>
        </w:rPr>
        <w:t> </w:t>
      </w:r>
      <w:r>
        <w:rPr>
          <w:rFonts w:ascii="Calibri" w:hAnsi="Calibri"/>
          <w:color w:val="231F20"/>
          <w:sz w:val="16"/>
        </w:rPr>
        <w:t>Salvador</w:t>
      </w:r>
      <w:r>
        <w:rPr>
          <w:rFonts w:ascii="Calibri" w:hAnsi="Calibri"/>
          <w:color w:val="231F20"/>
          <w:spacing w:val="-12"/>
          <w:sz w:val="16"/>
        </w:rPr>
        <w:t> </w:t>
      </w:r>
      <w:r>
        <w:rPr>
          <w:rFonts w:ascii="Calibri" w:hAnsi="Calibri"/>
          <w:color w:val="231F20"/>
          <w:sz w:val="16"/>
        </w:rPr>
        <w:t>Vergara</w:t>
      </w:r>
      <w:r>
        <w:rPr>
          <w:rFonts w:ascii="Calibri" w:hAnsi="Calibri"/>
          <w:color w:val="231F20"/>
          <w:spacing w:val="-12"/>
          <w:sz w:val="16"/>
        </w:rPr>
        <w:t> </w:t>
      </w:r>
      <w:r>
        <w:rPr>
          <w:rFonts w:ascii="Calibri" w:hAnsi="Calibri"/>
          <w:color w:val="231F20"/>
          <w:sz w:val="16"/>
        </w:rPr>
        <w:t>Cruz</w:t>
      </w:r>
      <w:r>
        <w:rPr>
          <w:rFonts w:ascii="Calibri" w:hAnsi="Calibri"/>
          <w:color w:val="231F20"/>
          <w:spacing w:val="-12"/>
          <w:sz w:val="16"/>
        </w:rPr>
        <w:t> </w:t>
      </w:r>
      <w:r>
        <w:rPr>
          <w:rFonts w:ascii="Calibri" w:hAnsi="Calibri"/>
          <w:color w:val="231F20"/>
          <w:sz w:val="16"/>
        </w:rPr>
        <w:t>fue</w:t>
      </w:r>
      <w:r>
        <w:rPr>
          <w:rFonts w:ascii="Calibri" w:hAnsi="Calibri"/>
          <w:color w:val="231F20"/>
          <w:spacing w:val="-12"/>
          <w:sz w:val="16"/>
        </w:rPr>
        <w:t> </w:t>
      </w:r>
      <w:r>
        <w:rPr>
          <w:rFonts w:ascii="Calibri" w:hAnsi="Calibri"/>
          <w:color w:val="231F20"/>
          <w:sz w:val="16"/>
        </w:rPr>
        <w:t>asesinado</w:t>
      </w:r>
      <w:r>
        <w:rPr>
          <w:rFonts w:ascii="Calibri" w:hAnsi="Calibri"/>
          <w:color w:val="231F20"/>
          <w:spacing w:val="-12"/>
          <w:sz w:val="16"/>
        </w:rPr>
        <w:t> </w:t>
      </w:r>
      <w:r>
        <w:rPr>
          <w:rFonts w:ascii="Calibri" w:hAnsi="Calibri"/>
          <w:color w:val="231F20"/>
          <w:sz w:val="16"/>
        </w:rPr>
        <w:t>el</w:t>
      </w:r>
      <w:r>
        <w:rPr>
          <w:rFonts w:ascii="Calibri" w:hAnsi="Calibri"/>
          <w:color w:val="231F20"/>
          <w:spacing w:val="-12"/>
          <w:sz w:val="16"/>
        </w:rPr>
        <w:t> </w:t>
      </w:r>
      <w:r>
        <w:rPr>
          <w:rFonts w:ascii="Calibri" w:hAnsi="Calibri"/>
          <w:color w:val="231F20"/>
          <w:sz w:val="16"/>
        </w:rPr>
        <w:t>día</w:t>
      </w:r>
      <w:r>
        <w:rPr>
          <w:rFonts w:ascii="Calibri" w:hAnsi="Calibri"/>
          <w:color w:val="231F20"/>
          <w:spacing w:val="-12"/>
          <w:sz w:val="16"/>
        </w:rPr>
        <w:t> </w:t>
      </w:r>
      <w:r>
        <w:rPr>
          <w:rFonts w:ascii="Calibri" w:hAnsi="Calibri"/>
          <w:color w:val="231F20"/>
          <w:spacing w:val="-6"/>
          <w:sz w:val="16"/>
        </w:rPr>
        <w:t>13</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septiembre</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2008</w:t>
      </w:r>
      <w:r>
        <w:rPr>
          <w:rFonts w:ascii="Calibri" w:hAnsi="Calibri"/>
          <w:color w:val="231F20"/>
          <w:spacing w:val="-12"/>
          <w:sz w:val="16"/>
        </w:rPr>
        <w:t> </w:t>
      </w:r>
      <w:r>
        <w:rPr>
          <w:rFonts w:ascii="Calibri" w:hAnsi="Calibri"/>
          <w:color w:val="231F20"/>
          <w:sz w:val="16"/>
        </w:rPr>
        <w:t>por</w:t>
      </w:r>
      <w:r>
        <w:rPr>
          <w:rFonts w:ascii="Calibri" w:hAnsi="Calibri"/>
          <w:color w:val="231F20"/>
          <w:spacing w:val="-12"/>
          <w:sz w:val="16"/>
        </w:rPr>
        <w:t> </w:t>
      </w:r>
      <w:r>
        <w:rPr>
          <w:rFonts w:ascii="Calibri" w:hAnsi="Calibri"/>
          <w:color w:val="231F20"/>
          <w:sz w:val="16"/>
        </w:rPr>
        <w:t>lo</w:t>
      </w:r>
      <w:r>
        <w:rPr>
          <w:rFonts w:ascii="Calibri" w:hAnsi="Calibri"/>
          <w:color w:val="231F20"/>
          <w:spacing w:val="-12"/>
          <w:sz w:val="16"/>
        </w:rPr>
        <w:t> </w:t>
      </w:r>
      <w:r>
        <w:rPr>
          <w:rFonts w:ascii="Calibri" w:hAnsi="Calibri"/>
          <w:color w:val="231F20"/>
          <w:sz w:val="16"/>
        </w:rPr>
        <w:t>que la</w:t>
      </w:r>
      <w:r>
        <w:rPr>
          <w:rFonts w:ascii="Calibri" w:hAnsi="Calibri"/>
          <w:color w:val="231F20"/>
          <w:spacing w:val="-12"/>
          <w:sz w:val="16"/>
        </w:rPr>
        <w:t> </w:t>
      </w:r>
      <w:r>
        <w:rPr>
          <w:rFonts w:ascii="Calibri" w:hAnsi="Calibri"/>
          <w:color w:val="231F20"/>
          <w:sz w:val="16"/>
        </w:rPr>
        <w:t>legislatura</w:t>
      </w:r>
      <w:r>
        <w:rPr>
          <w:rFonts w:ascii="Calibri" w:hAnsi="Calibri"/>
          <w:color w:val="231F20"/>
          <w:spacing w:val="-12"/>
          <w:sz w:val="16"/>
        </w:rPr>
        <w:t> </w:t>
      </w:r>
      <w:r>
        <w:rPr>
          <w:rFonts w:ascii="Calibri" w:hAnsi="Calibri"/>
          <w:color w:val="231F20"/>
          <w:sz w:val="16"/>
        </w:rPr>
        <w:t>declaró</w:t>
      </w:r>
      <w:r>
        <w:rPr>
          <w:rFonts w:ascii="Calibri" w:hAnsi="Calibri"/>
          <w:color w:val="231F20"/>
          <w:spacing w:val="-12"/>
          <w:sz w:val="16"/>
        </w:rPr>
        <w:t> </w:t>
      </w:r>
      <w:r>
        <w:rPr>
          <w:rFonts w:ascii="Calibri" w:hAnsi="Calibri"/>
          <w:color w:val="231F20"/>
          <w:sz w:val="16"/>
        </w:rPr>
        <w:t>como</w:t>
      </w:r>
      <w:r>
        <w:rPr>
          <w:rFonts w:ascii="Calibri" w:hAnsi="Calibri"/>
          <w:color w:val="231F20"/>
          <w:spacing w:val="-12"/>
          <w:sz w:val="16"/>
        </w:rPr>
        <w:t> </w:t>
      </w:r>
      <w:r>
        <w:rPr>
          <w:rFonts w:ascii="Calibri" w:hAnsi="Calibri"/>
          <w:color w:val="231F20"/>
          <w:sz w:val="16"/>
        </w:rPr>
        <w:t>alcalde</w:t>
      </w:r>
      <w:r>
        <w:rPr>
          <w:rFonts w:ascii="Calibri" w:hAnsi="Calibri"/>
          <w:color w:val="231F20"/>
          <w:spacing w:val="-12"/>
          <w:sz w:val="16"/>
        </w:rPr>
        <w:t> </w:t>
      </w:r>
      <w:r>
        <w:rPr>
          <w:rFonts w:ascii="Calibri" w:hAnsi="Calibri"/>
          <w:color w:val="231F20"/>
          <w:sz w:val="16"/>
        </w:rPr>
        <w:t>sustituto</w:t>
      </w:r>
      <w:r>
        <w:rPr>
          <w:rFonts w:ascii="Calibri" w:hAnsi="Calibri"/>
          <w:color w:val="231F20"/>
          <w:spacing w:val="-12"/>
          <w:sz w:val="16"/>
        </w:rPr>
        <w:t> </w:t>
      </w:r>
      <w:r>
        <w:rPr>
          <w:rFonts w:ascii="Calibri" w:hAnsi="Calibri"/>
          <w:color w:val="231F20"/>
          <w:sz w:val="16"/>
        </w:rPr>
        <w:t>a</w:t>
      </w:r>
      <w:r>
        <w:rPr>
          <w:rFonts w:ascii="Calibri" w:hAnsi="Calibri"/>
          <w:color w:val="231F20"/>
          <w:spacing w:val="-12"/>
          <w:sz w:val="16"/>
        </w:rPr>
        <w:t> </w:t>
      </w:r>
      <w:r>
        <w:rPr>
          <w:rFonts w:ascii="Calibri" w:hAnsi="Calibri"/>
          <w:color w:val="231F20"/>
          <w:sz w:val="16"/>
        </w:rPr>
        <w:t>Oscar</w:t>
      </w:r>
      <w:r>
        <w:rPr>
          <w:rFonts w:ascii="Calibri" w:hAnsi="Calibri"/>
          <w:color w:val="231F20"/>
          <w:spacing w:val="-12"/>
          <w:sz w:val="16"/>
        </w:rPr>
        <w:t> </w:t>
      </w:r>
      <w:r>
        <w:rPr>
          <w:rFonts w:ascii="Calibri" w:hAnsi="Calibri"/>
          <w:color w:val="231F20"/>
          <w:sz w:val="16"/>
        </w:rPr>
        <w:t>Salvador</w:t>
      </w:r>
      <w:r>
        <w:rPr>
          <w:rFonts w:ascii="Calibri" w:hAnsi="Calibri"/>
          <w:color w:val="231F20"/>
          <w:spacing w:val="-12"/>
          <w:sz w:val="16"/>
        </w:rPr>
        <w:t> </w:t>
      </w:r>
      <w:r>
        <w:rPr>
          <w:rFonts w:ascii="Calibri" w:hAnsi="Calibri"/>
          <w:color w:val="231F20"/>
          <w:sz w:val="16"/>
        </w:rPr>
        <w:t>Tovar</w:t>
      </w:r>
      <w:r>
        <w:rPr>
          <w:rFonts w:ascii="Calibri" w:hAnsi="Calibri"/>
          <w:color w:val="231F20"/>
          <w:spacing w:val="-12"/>
          <w:sz w:val="16"/>
        </w:rPr>
        <w:t> </w:t>
      </w:r>
      <w:r>
        <w:rPr>
          <w:rFonts w:ascii="Calibri" w:hAnsi="Calibri"/>
          <w:color w:val="231F20"/>
          <w:sz w:val="16"/>
        </w:rPr>
        <w:t>Arizmendi,</w:t>
      </w:r>
      <w:r>
        <w:rPr>
          <w:rFonts w:ascii="Calibri" w:hAnsi="Calibri"/>
          <w:color w:val="231F20"/>
          <w:spacing w:val="-12"/>
          <w:sz w:val="16"/>
        </w:rPr>
        <w:t> </w:t>
      </w:r>
      <w:r>
        <w:rPr>
          <w:rFonts w:ascii="Calibri" w:hAnsi="Calibri"/>
          <w:color w:val="231F20"/>
          <w:sz w:val="16"/>
        </w:rPr>
        <w:t>Director</w:t>
      </w:r>
      <w:r>
        <w:rPr>
          <w:rFonts w:ascii="Calibri" w:hAnsi="Calibri"/>
          <w:color w:val="231F20"/>
          <w:spacing w:val="-12"/>
          <w:sz w:val="16"/>
        </w:rPr>
        <w:t> </w:t>
      </w:r>
      <w:r>
        <w:rPr>
          <w:rFonts w:ascii="Calibri" w:hAnsi="Calibri"/>
          <w:color w:val="231F20"/>
          <w:sz w:val="16"/>
        </w:rPr>
        <w:t>Municipal</w:t>
      </w:r>
      <w:r>
        <w:rPr>
          <w:rFonts w:ascii="Calibri" w:hAnsi="Calibri"/>
          <w:color w:val="231F20"/>
          <w:spacing w:val="-12"/>
          <w:sz w:val="16"/>
        </w:rPr>
        <w:t> </w:t>
      </w:r>
      <w:r>
        <w:rPr>
          <w:rFonts w:ascii="Calibri" w:hAnsi="Calibri"/>
          <w:color w:val="231F20"/>
          <w:sz w:val="16"/>
        </w:rPr>
        <w:t>del</w:t>
      </w:r>
      <w:r>
        <w:rPr>
          <w:rFonts w:ascii="Calibri" w:hAnsi="Calibri"/>
          <w:color w:val="231F20"/>
          <w:spacing w:val="-12"/>
          <w:sz w:val="16"/>
        </w:rPr>
        <w:t> </w:t>
      </w:r>
      <w:r>
        <w:rPr>
          <w:rFonts w:ascii="Calibri" w:hAnsi="Calibri"/>
          <w:color w:val="231F20"/>
          <w:sz w:val="16"/>
        </w:rPr>
        <w:t>Organismo</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Agua</w:t>
      </w:r>
      <w:r>
        <w:rPr>
          <w:rFonts w:ascii="Calibri" w:hAnsi="Calibri"/>
          <w:color w:val="231F20"/>
          <w:spacing w:val="-12"/>
          <w:sz w:val="16"/>
        </w:rPr>
        <w:t> </w:t>
      </w:r>
      <w:r>
        <w:rPr>
          <w:rFonts w:ascii="Calibri" w:hAnsi="Calibri"/>
          <w:color w:val="231F20"/>
          <w:sz w:val="16"/>
        </w:rPr>
        <w:t>de 2006</w:t>
      </w:r>
      <w:r>
        <w:rPr>
          <w:rFonts w:ascii="Calibri" w:hAnsi="Calibri"/>
          <w:color w:val="231F20"/>
          <w:spacing w:val="-11"/>
          <w:sz w:val="16"/>
        </w:rPr>
        <w:t> </w:t>
      </w:r>
      <w:r>
        <w:rPr>
          <w:rFonts w:ascii="Calibri" w:hAnsi="Calibri"/>
          <w:color w:val="231F20"/>
          <w:sz w:val="16"/>
        </w:rPr>
        <w:t>a</w:t>
      </w:r>
      <w:r>
        <w:rPr>
          <w:rFonts w:ascii="Calibri" w:hAnsi="Calibri"/>
          <w:color w:val="231F20"/>
          <w:spacing w:val="-11"/>
          <w:sz w:val="16"/>
        </w:rPr>
        <w:t> </w:t>
      </w:r>
      <w:r>
        <w:rPr>
          <w:rFonts w:ascii="Calibri" w:hAnsi="Calibri"/>
          <w:color w:val="231F20"/>
          <w:sz w:val="16"/>
        </w:rPr>
        <w:t>2008,</w:t>
      </w:r>
      <w:r>
        <w:rPr>
          <w:rFonts w:ascii="Calibri" w:hAnsi="Calibri"/>
          <w:color w:val="231F20"/>
          <w:spacing w:val="-11"/>
          <w:sz w:val="16"/>
        </w:rPr>
        <w:t> </w:t>
      </w:r>
      <w:r>
        <w:rPr>
          <w:rFonts w:ascii="Calibri" w:hAnsi="Calibri"/>
          <w:color w:val="231F20"/>
          <w:sz w:val="16"/>
        </w:rPr>
        <w:t>y</w:t>
      </w:r>
      <w:r>
        <w:rPr>
          <w:rFonts w:ascii="Calibri" w:hAnsi="Calibri"/>
          <w:color w:val="231F20"/>
          <w:spacing w:val="-11"/>
          <w:sz w:val="16"/>
        </w:rPr>
        <w:t> </w:t>
      </w:r>
      <w:r>
        <w:rPr>
          <w:rFonts w:ascii="Calibri" w:hAnsi="Calibri"/>
          <w:color w:val="231F20"/>
          <w:sz w:val="16"/>
        </w:rPr>
        <w:t>además</w:t>
      </w:r>
      <w:r>
        <w:rPr>
          <w:rFonts w:ascii="Calibri" w:hAnsi="Calibri"/>
          <w:color w:val="231F20"/>
          <w:spacing w:val="-11"/>
          <w:sz w:val="16"/>
        </w:rPr>
        <w:t> </w:t>
      </w:r>
      <w:r>
        <w:rPr>
          <w:rFonts w:ascii="Calibri" w:hAnsi="Calibri"/>
          <w:color w:val="231F20"/>
          <w:sz w:val="16"/>
        </w:rPr>
        <w:t>hermano</w:t>
      </w:r>
      <w:r>
        <w:rPr>
          <w:rFonts w:ascii="Calibri" w:hAnsi="Calibri"/>
          <w:color w:val="231F20"/>
          <w:spacing w:val="-11"/>
          <w:sz w:val="16"/>
        </w:rPr>
        <w:t> </w:t>
      </w:r>
      <w:r>
        <w:rPr>
          <w:rFonts w:ascii="Calibri" w:hAnsi="Calibri"/>
          <w:color w:val="231F20"/>
          <w:sz w:val="16"/>
        </w:rPr>
        <w:t>del</w:t>
      </w:r>
      <w:r>
        <w:rPr>
          <w:rFonts w:ascii="Calibri" w:hAnsi="Calibri"/>
          <w:color w:val="231F20"/>
          <w:spacing w:val="-11"/>
          <w:sz w:val="16"/>
        </w:rPr>
        <w:t> </w:t>
      </w:r>
      <w:r>
        <w:rPr>
          <w:rFonts w:ascii="Calibri" w:hAnsi="Calibri"/>
          <w:color w:val="231F20"/>
          <w:sz w:val="16"/>
        </w:rPr>
        <w:t>ex</w:t>
      </w:r>
      <w:r>
        <w:rPr>
          <w:rFonts w:ascii="Calibri" w:hAnsi="Calibri"/>
          <w:color w:val="231F20"/>
          <w:spacing w:val="-11"/>
          <w:sz w:val="16"/>
        </w:rPr>
        <w:t> </w:t>
      </w:r>
      <w:r>
        <w:rPr>
          <w:rFonts w:ascii="Calibri" w:hAnsi="Calibri"/>
          <w:color w:val="231F20"/>
          <w:sz w:val="16"/>
        </w:rPr>
        <w:t>presidente</w:t>
      </w:r>
      <w:r>
        <w:rPr>
          <w:rFonts w:ascii="Calibri" w:hAnsi="Calibri"/>
          <w:color w:val="231F20"/>
          <w:spacing w:val="-11"/>
          <w:sz w:val="16"/>
        </w:rPr>
        <w:t> </w:t>
      </w:r>
      <w:r>
        <w:rPr>
          <w:rFonts w:ascii="Calibri" w:hAnsi="Calibri"/>
          <w:color w:val="231F20"/>
          <w:sz w:val="16"/>
        </w:rPr>
        <w:t>municipal</w:t>
      </w:r>
      <w:r>
        <w:rPr>
          <w:rFonts w:ascii="Calibri" w:hAnsi="Calibri"/>
          <w:color w:val="231F20"/>
          <w:spacing w:val="-11"/>
          <w:sz w:val="16"/>
        </w:rPr>
        <w:t> </w:t>
      </w:r>
      <w:r>
        <w:rPr>
          <w:rFonts w:ascii="Calibri" w:hAnsi="Calibri"/>
          <w:color w:val="231F20"/>
          <w:sz w:val="16"/>
        </w:rPr>
        <w:t>José</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Jesús</w:t>
      </w:r>
      <w:r>
        <w:rPr>
          <w:rFonts w:ascii="Calibri" w:hAnsi="Calibri"/>
          <w:color w:val="231F20"/>
          <w:spacing w:val="-11"/>
          <w:sz w:val="16"/>
        </w:rPr>
        <w:t> </w:t>
      </w:r>
      <w:r>
        <w:rPr>
          <w:rFonts w:ascii="Calibri" w:hAnsi="Calibri"/>
          <w:color w:val="231F20"/>
          <w:sz w:val="16"/>
        </w:rPr>
        <w:t>Tovar</w:t>
      </w:r>
      <w:r>
        <w:rPr>
          <w:rFonts w:ascii="Calibri" w:hAnsi="Calibri"/>
          <w:color w:val="231F20"/>
          <w:spacing w:val="-11"/>
          <w:sz w:val="16"/>
        </w:rPr>
        <w:t> </w:t>
      </w:r>
      <w:r>
        <w:rPr>
          <w:rFonts w:ascii="Calibri" w:hAnsi="Calibri"/>
          <w:color w:val="231F20"/>
          <w:sz w:val="16"/>
        </w:rPr>
        <w:t>Arizmendi</w:t>
      </w:r>
      <w:r>
        <w:rPr>
          <w:rFonts w:ascii="Calibri" w:hAnsi="Calibri"/>
          <w:color w:val="231F20"/>
          <w:spacing w:val="-11"/>
          <w:sz w:val="16"/>
        </w:rPr>
        <w:t> </w:t>
      </w:r>
      <w:r>
        <w:rPr>
          <w:rFonts w:ascii="Calibri" w:hAnsi="Calibri"/>
          <w:color w:val="231F20"/>
          <w:spacing w:val="-6"/>
          <w:sz w:val="16"/>
        </w:rPr>
        <w:t>(1991-1993).</w:t>
      </w:r>
    </w:p>
    <w:p>
      <w:pPr>
        <w:spacing w:after="0" w:line="244" w:lineRule="auto"/>
        <w:jc w:val="both"/>
        <w:rPr>
          <w:rFonts w:ascii="Calibri" w:hAnsi="Calibri"/>
          <w:sz w:val="16"/>
        </w:rPr>
        <w:sectPr>
          <w:pgSz w:w="9640" w:h="12190"/>
          <w:pgMar w:header="0" w:footer="743" w:top="1120" w:bottom="940" w:left="740" w:right="6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Heading2"/>
        <w:spacing w:line="240" w:lineRule="auto" w:before="144"/>
        <w:ind w:left="101"/>
      </w:pPr>
      <w:r>
        <w:rPr>
          <w:color w:val="231F20"/>
          <w:w w:val="105"/>
        </w:rPr>
        <w:t>La experiencia de un gobierno priísta: Tejupilco</w:t>
      </w:r>
    </w:p>
    <w:p>
      <w:pPr>
        <w:spacing w:before="39"/>
        <w:ind w:left="0" w:right="108" w:firstLine="0"/>
        <w:jc w:val="right"/>
        <w:rPr>
          <w:i/>
          <w:sz w:val="20"/>
        </w:rPr>
      </w:pPr>
      <w:r>
        <w:rPr>
          <w:i/>
          <w:color w:val="231F20"/>
          <w:sz w:val="20"/>
        </w:rPr>
        <w:t>María del Pilar Silva Rivera</w:t>
      </w:r>
    </w:p>
    <w:p>
      <w:pPr>
        <w:pStyle w:val="BodyText"/>
        <w:spacing w:before="3"/>
        <w:rPr>
          <w:i/>
          <w:sz w:val="27"/>
        </w:rPr>
      </w:pPr>
    </w:p>
    <w:p>
      <w:pPr>
        <w:pStyle w:val="Heading3"/>
      </w:pPr>
      <w:r>
        <w:rPr>
          <w:color w:val="231F20"/>
          <w:w w:val="105"/>
        </w:rPr>
        <w:t>Introducción</w:t>
      </w:r>
    </w:p>
    <w:p>
      <w:pPr>
        <w:pStyle w:val="BodyText"/>
        <w:spacing w:line="285" w:lineRule="auto" w:before="38"/>
        <w:ind w:left="110" w:right="107"/>
        <w:jc w:val="both"/>
      </w:pPr>
      <w:r>
        <w:rPr>
          <w:color w:val="231F20"/>
          <w:spacing w:val="-2"/>
          <w:w w:val="92"/>
        </w:rPr>
        <w:t>E</w:t>
      </w:r>
      <w:r>
        <w:rPr>
          <w:color w:val="231F20"/>
          <w:w w:val="175"/>
        </w:rPr>
        <w:t>l</w:t>
      </w:r>
      <w:r>
        <w:rPr>
          <w:color w:val="231F20"/>
          <w:spacing w:val="24"/>
        </w:rPr>
        <w:t> </w:t>
      </w:r>
      <w:r>
        <w:rPr>
          <w:color w:val="231F20"/>
          <w:w w:val="92"/>
        </w:rPr>
        <w:t>E</w:t>
      </w:r>
      <w:r>
        <w:rPr>
          <w:color w:val="231F20"/>
          <w:spacing w:val="-5"/>
          <w:w w:val="118"/>
        </w:rPr>
        <w:t>s</w:t>
      </w:r>
      <w:r>
        <w:rPr>
          <w:color w:val="231F20"/>
          <w:spacing w:val="-9"/>
          <w:w w:val="203"/>
        </w:rPr>
        <w:t>t</w:t>
      </w:r>
      <w:r>
        <w:rPr>
          <w:color w:val="231F20"/>
          <w:spacing w:val="2"/>
          <w:w w:val="133"/>
        </w:rPr>
        <w:t>a</w:t>
      </w:r>
      <w:r>
        <w:rPr>
          <w:color w:val="231F20"/>
          <w:spacing w:val="-1"/>
          <w:w w:val="123"/>
        </w:rPr>
        <w:t>d</w:t>
      </w:r>
      <w:r>
        <w:rPr>
          <w:color w:val="231F20"/>
          <w:w w:val="127"/>
        </w:rPr>
        <w:t>o</w:t>
      </w:r>
      <w:r>
        <w:rPr>
          <w:color w:val="231F20"/>
          <w:spacing w:val="24"/>
        </w:rPr>
        <w:t> </w:t>
      </w:r>
      <w:r>
        <w:rPr>
          <w:color w:val="231F20"/>
          <w:spacing w:val="-7"/>
          <w:w w:val="123"/>
        </w:rPr>
        <w:t>d</w:t>
      </w:r>
      <w:r>
        <w:rPr>
          <w:color w:val="231F20"/>
          <w:w w:val="112"/>
        </w:rPr>
        <w:t>e</w:t>
      </w:r>
      <w:r>
        <w:rPr>
          <w:color w:val="231F20"/>
          <w:spacing w:val="24"/>
        </w:rPr>
        <w:t> </w:t>
      </w:r>
      <w:r>
        <w:rPr>
          <w:color w:val="231F20"/>
          <w:spacing w:val="2"/>
          <w:w w:val="104"/>
        </w:rPr>
        <w:t>M</w:t>
      </w:r>
      <w:r>
        <w:rPr>
          <w:color w:val="231F20"/>
          <w:spacing w:val="-1"/>
          <w:w w:val="112"/>
        </w:rPr>
        <w:t>é</w:t>
      </w:r>
      <w:r>
        <w:rPr>
          <w:color w:val="231F20"/>
          <w:spacing w:val="1"/>
          <w:w w:val="117"/>
        </w:rPr>
        <w:t>x</w:t>
      </w:r>
      <w:r>
        <w:rPr>
          <w:color w:val="231F20"/>
          <w:spacing w:val="-6"/>
          <w:w w:val="116"/>
        </w:rPr>
        <w:t>i</w:t>
      </w:r>
      <w:r>
        <w:rPr>
          <w:color w:val="231F20"/>
          <w:spacing w:val="-2"/>
          <w:w w:val="127"/>
        </w:rPr>
        <w:t>c</w:t>
      </w:r>
      <w:r>
        <w:rPr>
          <w:color w:val="231F20"/>
          <w:w w:val="127"/>
        </w:rPr>
        <w:t>o</w:t>
      </w:r>
      <w:r>
        <w:rPr>
          <w:color w:val="231F20"/>
          <w:spacing w:val="24"/>
        </w:rPr>
        <w:t> </w:t>
      </w:r>
      <w:r>
        <w:rPr>
          <w:color w:val="231F20"/>
          <w:spacing w:val="-2"/>
          <w:w w:val="112"/>
        </w:rPr>
        <w:t>e</w:t>
      </w:r>
      <w:r>
        <w:rPr>
          <w:color w:val="231F20"/>
          <w:w w:val="118"/>
        </w:rPr>
        <w:t>s</w:t>
      </w:r>
      <w:r>
        <w:rPr>
          <w:color w:val="231F20"/>
          <w:spacing w:val="24"/>
        </w:rPr>
        <w:t> </w:t>
      </w:r>
      <w:r>
        <w:rPr>
          <w:color w:val="231F20"/>
          <w:spacing w:val="2"/>
          <w:w w:val="124"/>
        </w:rPr>
        <w:t>u</w:t>
      </w:r>
      <w:r>
        <w:rPr>
          <w:color w:val="231F20"/>
          <w:spacing w:val="-6"/>
          <w:w w:val="129"/>
        </w:rPr>
        <w:t>n</w:t>
      </w:r>
      <w:r>
        <w:rPr>
          <w:color w:val="231F20"/>
          <w:w w:val="133"/>
        </w:rPr>
        <w:t>a</w:t>
      </w:r>
      <w:r>
        <w:rPr>
          <w:color w:val="231F20"/>
          <w:spacing w:val="24"/>
        </w:rPr>
        <w:t> </w:t>
      </w:r>
      <w:r>
        <w:rPr>
          <w:color w:val="231F20"/>
          <w:spacing w:val="-2"/>
          <w:w w:val="112"/>
        </w:rPr>
        <w:t>e</w:t>
      </w:r>
      <w:r>
        <w:rPr>
          <w:color w:val="231F20"/>
          <w:spacing w:val="1"/>
          <w:w w:val="129"/>
        </w:rPr>
        <w:t>n</w:t>
      </w:r>
      <w:r>
        <w:rPr>
          <w:color w:val="231F20"/>
          <w:spacing w:val="-1"/>
          <w:w w:val="203"/>
        </w:rPr>
        <w:t>t</w:t>
      </w:r>
      <w:r>
        <w:rPr>
          <w:color w:val="231F20"/>
          <w:w w:val="121"/>
        </w:rPr>
        <w:t>i</w:t>
      </w:r>
      <w:r>
        <w:rPr>
          <w:color w:val="231F20"/>
          <w:spacing w:val="-10"/>
          <w:w w:val="121"/>
        </w:rPr>
        <w:t>d</w:t>
      </w:r>
      <w:r>
        <w:rPr>
          <w:color w:val="231F20"/>
          <w:spacing w:val="2"/>
          <w:w w:val="133"/>
        </w:rPr>
        <w:t>a</w:t>
      </w:r>
      <w:r>
        <w:rPr>
          <w:color w:val="231F20"/>
          <w:w w:val="123"/>
        </w:rPr>
        <w:t>d</w:t>
      </w:r>
      <w:r>
        <w:rPr>
          <w:color w:val="231F20"/>
          <w:spacing w:val="24"/>
        </w:rPr>
        <w:t> </w:t>
      </w:r>
      <w:r>
        <w:rPr>
          <w:color w:val="231F20"/>
          <w:spacing w:val="-7"/>
          <w:w w:val="127"/>
        </w:rPr>
        <w:t>q</w:t>
      </w:r>
      <w:r>
        <w:rPr>
          <w:color w:val="231F20"/>
          <w:spacing w:val="1"/>
          <w:w w:val="124"/>
        </w:rPr>
        <w:t>u</w:t>
      </w:r>
      <w:r>
        <w:rPr>
          <w:color w:val="231F20"/>
          <w:w w:val="112"/>
        </w:rPr>
        <w:t>e</w:t>
      </w:r>
      <w:r>
        <w:rPr>
          <w:color w:val="231F20"/>
          <w:spacing w:val="24"/>
        </w:rPr>
        <w:t> </w:t>
      </w:r>
      <w:r>
        <w:rPr>
          <w:color w:val="231F20"/>
          <w:spacing w:val="-6"/>
          <w:w w:val="129"/>
        </w:rPr>
        <w:t>n</w:t>
      </w:r>
      <w:r>
        <w:rPr>
          <w:color w:val="231F20"/>
          <w:spacing w:val="-4"/>
          <w:w w:val="127"/>
        </w:rPr>
        <w:t>o</w:t>
      </w:r>
      <w:r>
        <w:rPr>
          <w:color w:val="231F20"/>
          <w:w w:val="118"/>
        </w:rPr>
        <w:t>s</w:t>
      </w:r>
      <w:r>
        <w:rPr>
          <w:color w:val="231F20"/>
          <w:spacing w:val="24"/>
        </w:rPr>
        <w:t> </w:t>
      </w:r>
      <w:r>
        <w:rPr>
          <w:color w:val="231F20"/>
          <w:spacing w:val="-6"/>
          <w:w w:val="101"/>
        </w:rPr>
        <w:t>p</w:t>
      </w:r>
      <w:r>
        <w:rPr>
          <w:color w:val="231F20"/>
          <w:spacing w:val="-2"/>
          <w:w w:val="112"/>
        </w:rPr>
        <w:t>e</w:t>
      </w:r>
      <w:r>
        <w:rPr>
          <w:color w:val="231F20"/>
          <w:spacing w:val="2"/>
          <w:w w:val="165"/>
        </w:rPr>
        <w:t>r</w:t>
      </w:r>
      <w:r>
        <w:rPr>
          <w:color w:val="231F20"/>
          <w:spacing w:val="1"/>
          <w:w w:val="98"/>
        </w:rPr>
        <w:t>m</w:t>
      </w:r>
      <w:r>
        <w:rPr>
          <w:color w:val="231F20"/>
          <w:spacing w:val="-3"/>
          <w:w w:val="116"/>
        </w:rPr>
        <w:t>i</w:t>
      </w:r>
      <w:r>
        <w:rPr>
          <w:color w:val="231F20"/>
          <w:w w:val="203"/>
        </w:rPr>
        <w:t>t</w:t>
      </w:r>
      <w:r>
        <w:rPr>
          <w:color w:val="231F20"/>
          <w:w w:val="112"/>
        </w:rPr>
        <w:t>e</w:t>
      </w:r>
      <w:r>
        <w:rPr>
          <w:color w:val="231F20"/>
          <w:spacing w:val="24"/>
        </w:rPr>
        <w:t> </w:t>
      </w:r>
      <w:r>
        <w:rPr>
          <w:color w:val="231F20"/>
          <w:spacing w:val="2"/>
          <w:w w:val="133"/>
        </w:rPr>
        <w:t>a</w:t>
      </w:r>
      <w:r>
        <w:rPr>
          <w:color w:val="231F20"/>
          <w:spacing w:val="-6"/>
          <w:w w:val="129"/>
        </w:rPr>
        <w:t>n</w:t>
      </w:r>
      <w:r>
        <w:rPr>
          <w:color w:val="231F20"/>
          <w:spacing w:val="2"/>
          <w:w w:val="133"/>
        </w:rPr>
        <w:t>a</w:t>
      </w:r>
      <w:r>
        <w:rPr>
          <w:color w:val="231F20"/>
          <w:spacing w:val="-1"/>
          <w:w w:val="175"/>
        </w:rPr>
        <w:t>l</w:t>
      </w:r>
      <w:r>
        <w:rPr>
          <w:color w:val="231F20"/>
          <w:w w:val="116"/>
        </w:rPr>
        <w:t>i</w:t>
      </w:r>
      <w:r>
        <w:rPr>
          <w:color w:val="231F20"/>
          <w:spacing w:val="2"/>
          <w:w w:val="118"/>
        </w:rPr>
        <w:t>z</w:t>
      </w:r>
      <w:r>
        <w:rPr>
          <w:color w:val="231F20"/>
          <w:spacing w:val="2"/>
          <w:w w:val="133"/>
        </w:rPr>
        <w:t>a</w:t>
      </w:r>
      <w:r>
        <w:rPr>
          <w:color w:val="231F20"/>
          <w:w w:val="165"/>
        </w:rPr>
        <w:t>r</w:t>
      </w:r>
      <w:r>
        <w:rPr>
          <w:color w:val="231F20"/>
          <w:spacing w:val="25"/>
        </w:rPr>
        <w:t> </w:t>
      </w:r>
      <w:r>
        <w:rPr>
          <w:color w:val="231F20"/>
          <w:spacing w:val="4"/>
          <w:w w:val="107"/>
        </w:rPr>
        <w:t>d</w:t>
      </w:r>
      <w:r>
        <w:rPr>
          <w:color w:val="231F20"/>
          <w:spacing w:val="3"/>
          <w:w w:val="96"/>
        </w:rPr>
        <w:t>i</w:t>
      </w:r>
      <w:r>
        <w:rPr>
          <w:color w:val="231F20"/>
          <w:w w:val="99"/>
        </w:rPr>
        <w:t>s</w:t>
      </w:r>
      <w:r>
        <w:rPr>
          <w:color w:val="231F20"/>
          <w:spacing w:val="3"/>
          <w:w w:val="109"/>
        </w:rPr>
        <w:t>ti</w:t>
      </w:r>
      <w:r>
        <w:rPr>
          <w:color w:val="231F20"/>
          <w:spacing w:val="-4"/>
          <w:w w:val="109"/>
        </w:rPr>
        <w:t>n</w:t>
      </w:r>
      <w:r>
        <w:rPr>
          <w:color w:val="231F20"/>
          <w:spacing w:val="-1"/>
          <w:w w:val="119"/>
        </w:rPr>
        <w:t>t</w:t>
      </w:r>
      <w:r>
        <w:rPr>
          <w:color w:val="231F20"/>
          <w:w w:val="105"/>
        </w:rPr>
        <w:t>o</w:t>
      </w:r>
      <w:r>
        <w:rPr>
          <w:color w:val="231F20"/>
          <w:w w:val="99"/>
        </w:rPr>
        <w:t>s</w:t>
      </w:r>
      <w:r>
        <w:rPr>
          <w:color w:val="231F20"/>
          <w:spacing w:val="24"/>
        </w:rPr>
        <w:t> </w:t>
      </w:r>
      <w:r>
        <w:rPr>
          <w:color w:val="231F20"/>
          <w:spacing w:val="3"/>
          <w:w w:val="107"/>
        </w:rPr>
        <w:t>t</w:t>
      </w:r>
      <w:r>
        <w:rPr>
          <w:color w:val="231F20"/>
          <w:spacing w:val="-4"/>
          <w:w w:val="107"/>
        </w:rPr>
        <w:t>i</w:t>
      </w:r>
      <w:r>
        <w:rPr>
          <w:color w:val="231F20"/>
          <w:w w:val="110"/>
        </w:rPr>
        <w:t>- </w:t>
      </w:r>
      <w:r>
        <w:rPr>
          <w:color w:val="231F20"/>
          <w:w w:val="110"/>
        </w:rPr>
        <w:t>pos</w:t>
      </w:r>
      <w:r>
        <w:rPr>
          <w:color w:val="231F20"/>
          <w:spacing w:val="-34"/>
          <w:w w:val="110"/>
        </w:rPr>
        <w:t> </w:t>
      </w:r>
      <w:r>
        <w:rPr>
          <w:color w:val="231F20"/>
          <w:w w:val="110"/>
        </w:rPr>
        <w:t>de</w:t>
      </w:r>
      <w:r>
        <w:rPr>
          <w:color w:val="231F20"/>
          <w:spacing w:val="-34"/>
          <w:w w:val="110"/>
        </w:rPr>
        <w:t> </w:t>
      </w:r>
      <w:r>
        <w:rPr>
          <w:color w:val="231F20"/>
          <w:w w:val="110"/>
        </w:rPr>
        <w:t>municipios,</w:t>
      </w:r>
      <w:r>
        <w:rPr>
          <w:color w:val="231F20"/>
          <w:spacing w:val="-34"/>
          <w:w w:val="110"/>
        </w:rPr>
        <w:t> </w:t>
      </w:r>
      <w:r>
        <w:rPr>
          <w:color w:val="231F20"/>
          <w:w w:val="110"/>
        </w:rPr>
        <w:t>dentro</w:t>
      </w:r>
      <w:r>
        <w:rPr>
          <w:color w:val="231F20"/>
          <w:spacing w:val="-34"/>
          <w:w w:val="110"/>
        </w:rPr>
        <w:t> </w:t>
      </w:r>
      <w:r>
        <w:rPr>
          <w:color w:val="231F20"/>
          <w:w w:val="110"/>
        </w:rPr>
        <w:t>del</w:t>
      </w:r>
      <w:r>
        <w:rPr>
          <w:color w:val="231F20"/>
          <w:spacing w:val="-34"/>
          <w:w w:val="110"/>
        </w:rPr>
        <w:t> </w:t>
      </w:r>
      <w:r>
        <w:rPr>
          <w:color w:val="231F20"/>
          <w:w w:val="110"/>
        </w:rPr>
        <w:t>territorio</w:t>
      </w:r>
      <w:r>
        <w:rPr>
          <w:color w:val="231F20"/>
          <w:spacing w:val="-34"/>
          <w:w w:val="110"/>
        </w:rPr>
        <w:t> </w:t>
      </w:r>
      <w:r>
        <w:rPr>
          <w:color w:val="231F20"/>
          <w:w w:val="110"/>
        </w:rPr>
        <w:t>mexiquense</w:t>
      </w:r>
      <w:r>
        <w:rPr>
          <w:color w:val="231F20"/>
          <w:spacing w:val="-34"/>
          <w:w w:val="110"/>
        </w:rPr>
        <w:t> </w:t>
      </w:r>
      <w:r>
        <w:rPr>
          <w:color w:val="231F20"/>
          <w:w w:val="110"/>
        </w:rPr>
        <w:t>encontramos</w:t>
      </w:r>
      <w:r>
        <w:rPr>
          <w:color w:val="231F20"/>
          <w:spacing w:val="-34"/>
          <w:w w:val="110"/>
        </w:rPr>
        <w:t> </w:t>
      </w:r>
      <w:r>
        <w:rPr>
          <w:color w:val="231F20"/>
          <w:w w:val="110"/>
        </w:rPr>
        <w:t>tanto</w:t>
      </w:r>
      <w:r>
        <w:rPr>
          <w:color w:val="231F20"/>
          <w:spacing w:val="-34"/>
          <w:w w:val="110"/>
        </w:rPr>
        <w:t> </w:t>
      </w:r>
      <w:r>
        <w:rPr>
          <w:color w:val="231F20"/>
          <w:w w:val="110"/>
        </w:rPr>
        <w:t>urbanos</w:t>
      </w:r>
      <w:r>
        <w:rPr>
          <w:color w:val="231F20"/>
          <w:spacing w:val="-34"/>
          <w:w w:val="110"/>
        </w:rPr>
        <w:t> </w:t>
      </w:r>
      <w:r>
        <w:rPr>
          <w:color w:val="231F20"/>
          <w:w w:val="110"/>
        </w:rPr>
        <w:t>como rurales,</w:t>
      </w:r>
      <w:r>
        <w:rPr>
          <w:color w:val="231F20"/>
          <w:spacing w:val="-40"/>
          <w:w w:val="110"/>
        </w:rPr>
        <w:t> </w:t>
      </w:r>
      <w:r>
        <w:rPr>
          <w:color w:val="231F20"/>
          <w:w w:val="110"/>
        </w:rPr>
        <w:t>algunos</w:t>
      </w:r>
      <w:r>
        <w:rPr>
          <w:color w:val="231F20"/>
          <w:spacing w:val="-40"/>
          <w:w w:val="110"/>
        </w:rPr>
        <w:t> </w:t>
      </w:r>
      <w:r>
        <w:rPr>
          <w:color w:val="231F20"/>
          <w:w w:val="110"/>
        </w:rPr>
        <w:t>más</w:t>
      </w:r>
      <w:r>
        <w:rPr>
          <w:color w:val="231F20"/>
          <w:spacing w:val="-40"/>
          <w:w w:val="110"/>
        </w:rPr>
        <w:t> </w:t>
      </w:r>
      <w:r>
        <w:rPr>
          <w:color w:val="231F20"/>
          <w:w w:val="110"/>
        </w:rPr>
        <w:t>densamente</w:t>
      </w:r>
      <w:r>
        <w:rPr>
          <w:color w:val="231F20"/>
          <w:spacing w:val="-40"/>
          <w:w w:val="110"/>
        </w:rPr>
        <w:t> </w:t>
      </w:r>
      <w:r>
        <w:rPr>
          <w:color w:val="231F20"/>
          <w:w w:val="110"/>
        </w:rPr>
        <w:t>poblados</w:t>
      </w:r>
      <w:r>
        <w:rPr>
          <w:color w:val="231F20"/>
          <w:spacing w:val="-40"/>
          <w:w w:val="110"/>
        </w:rPr>
        <w:t> </w:t>
      </w:r>
      <w:r>
        <w:rPr>
          <w:color w:val="231F20"/>
          <w:w w:val="110"/>
        </w:rPr>
        <w:t>y</w:t>
      </w:r>
      <w:r>
        <w:rPr>
          <w:color w:val="231F20"/>
          <w:spacing w:val="-40"/>
          <w:w w:val="110"/>
        </w:rPr>
        <w:t> </w:t>
      </w:r>
      <w:r>
        <w:rPr>
          <w:color w:val="231F20"/>
          <w:w w:val="110"/>
        </w:rPr>
        <w:t>aquellos</w:t>
      </w:r>
      <w:r>
        <w:rPr>
          <w:color w:val="231F20"/>
          <w:spacing w:val="-40"/>
          <w:w w:val="110"/>
        </w:rPr>
        <w:t> </w:t>
      </w:r>
      <w:r>
        <w:rPr>
          <w:color w:val="231F20"/>
          <w:w w:val="110"/>
        </w:rPr>
        <w:t>con</w:t>
      </w:r>
      <w:r>
        <w:rPr>
          <w:color w:val="231F20"/>
          <w:spacing w:val="-40"/>
          <w:w w:val="110"/>
        </w:rPr>
        <w:t> </w:t>
      </w:r>
      <w:r>
        <w:rPr>
          <w:color w:val="231F20"/>
          <w:w w:val="110"/>
        </w:rPr>
        <w:t>actividades</w:t>
      </w:r>
      <w:r>
        <w:rPr>
          <w:color w:val="231F20"/>
          <w:spacing w:val="-40"/>
          <w:w w:val="110"/>
        </w:rPr>
        <w:t> </w:t>
      </w:r>
      <w:r>
        <w:rPr>
          <w:color w:val="231F20"/>
          <w:w w:val="110"/>
        </w:rPr>
        <w:t>económicas</w:t>
      </w:r>
      <w:r>
        <w:rPr>
          <w:color w:val="231F20"/>
          <w:spacing w:val="-40"/>
          <w:w w:val="110"/>
        </w:rPr>
        <w:t> </w:t>
      </w:r>
      <w:r>
        <w:rPr>
          <w:color w:val="231F20"/>
          <w:w w:val="110"/>
        </w:rPr>
        <w:t>im- portantes.</w:t>
      </w:r>
      <w:r>
        <w:rPr>
          <w:color w:val="231F20"/>
          <w:spacing w:val="-20"/>
          <w:w w:val="110"/>
        </w:rPr>
        <w:t> </w:t>
      </w:r>
      <w:r>
        <w:rPr>
          <w:color w:val="231F20"/>
          <w:spacing w:val="-3"/>
          <w:w w:val="110"/>
        </w:rPr>
        <w:t>Por</w:t>
      </w:r>
      <w:r>
        <w:rPr>
          <w:color w:val="231F20"/>
          <w:spacing w:val="-20"/>
          <w:w w:val="110"/>
        </w:rPr>
        <w:t> </w:t>
      </w:r>
      <w:r>
        <w:rPr>
          <w:color w:val="231F20"/>
          <w:w w:val="110"/>
        </w:rPr>
        <w:t>lo</w:t>
      </w:r>
      <w:r>
        <w:rPr>
          <w:color w:val="231F20"/>
          <w:spacing w:val="-20"/>
          <w:w w:val="110"/>
        </w:rPr>
        <w:t> </w:t>
      </w:r>
      <w:r>
        <w:rPr>
          <w:color w:val="231F20"/>
          <w:w w:val="110"/>
        </w:rPr>
        <w:t>tanto</w:t>
      </w:r>
      <w:r>
        <w:rPr>
          <w:color w:val="231F20"/>
          <w:spacing w:val="-20"/>
          <w:w w:val="110"/>
        </w:rPr>
        <w:t> </w:t>
      </w:r>
      <w:r>
        <w:rPr>
          <w:color w:val="231F20"/>
          <w:w w:val="110"/>
        </w:rPr>
        <w:t>también</w:t>
      </w:r>
      <w:r>
        <w:rPr>
          <w:color w:val="231F20"/>
          <w:spacing w:val="-20"/>
          <w:w w:val="110"/>
        </w:rPr>
        <w:t> </w:t>
      </w:r>
      <w:r>
        <w:rPr>
          <w:color w:val="231F20"/>
          <w:w w:val="110"/>
        </w:rPr>
        <w:t>hay</w:t>
      </w:r>
      <w:r>
        <w:rPr>
          <w:color w:val="231F20"/>
          <w:spacing w:val="-20"/>
          <w:w w:val="110"/>
        </w:rPr>
        <w:t> </w:t>
      </w:r>
      <w:r>
        <w:rPr>
          <w:color w:val="231F20"/>
          <w:w w:val="110"/>
        </w:rPr>
        <w:t>diferentes</w:t>
      </w:r>
      <w:r>
        <w:rPr>
          <w:color w:val="231F20"/>
          <w:spacing w:val="-20"/>
          <w:w w:val="110"/>
        </w:rPr>
        <w:t> </w:t>
      </w:r>
      <w:r>
        <w:rPr>
          <w:color w:val="231F20"/>
          <w:w w:val="110"/>
        </w:rPr>
        <w:t>formas</w:t>
      </w:r>
      <w:r>
        <w:rPr>
          <w:color w:val="231F20"/>
          <w:spacing w:val="-20"/>
          <w:w w:val="110"/>
        </w:rPr>
        <w:t> </w:t>
      </w:r>
      <w:r>
        <w:rPr>
          <w:color w:val="231F20"/>
          <w:w w:val="110"/>
        </w:rPr>
        <w:t>de</w:t>
      </w:r>
      <w:r>
        <w:rPr>
          <w:color w:val="231F20"/>
          <w:spacing w:val="-20"/>
          <w:w w:val="110"/>
        </w:rPr>
        <w:t> </w:t>
      </w:r>
      <w:r>
        <w:rPr>
          <w:color w:val="231F20"/>
          <w:w w:val="110"/>
        </w:rPr>
        <w:t>gobernar.</w:t>
      </w:r>
      <w:r>
        <w:rPr>
          <w:color w:val="231F20"/>
          <w:spacing w:val="-20"/>
          <w:w w:val="110"/>
        </w:rPr>
        <w:t> </w:t>
      </w:r>
      <w:r>
        <w:rPr>
          <w:color w:val="231F20"/>
          <w:w w:val="110"/>
        </w:rPr>
        <w:t>Si</w:t>
      </w:r>
      <w:r>
        <w:rPr>
          <w:color w:val="231F20"/>
          <w:spacing w:val="-20"/>
          <w:w w:val="110"/>
        </w:rPr>
        <w:t> </w:t>
      </w:r>
      <w:r>
        <w:rPr>
          <w:color w:val="231F20"/>
          <w:w w:val="110"/>
        </w:rPr>
        <w:t>hablamos</w:t>
      </w:r>
      <w:r>
        <w:rPr>
          <w:color w:val="231F20"/>
          <w:spacing w:val="-20"/>
          <w:w w:val="110"/>
        </w:rPr>
        <w:t> </w:t>
      </w:r>
      <w:r>
        <w:rPr>
          <w:color w:val="231F20"/>
          <w:w w:val="110"/>
        </w:rPr>
        <w:t>de</w:t>
      </w:r>
      <w:r>
        <w:rPr>
          <w:color w:val="231F20"/>
          <w:spacing w:val="-20"/>
          <w:w w:val="110"/>
        </w:rPr>
        <w:t> </w:t>
      </w:r>
      <w:r>
        <w:rPr>
          <w:color w:val="231F20"/>
          <w:w w:val="110"/>
        </w:rPr>
        <w:t>la dimensión</w:t>
      </w:r>
      <w:r>
        <w:rPr>
          <w:color w:val="231F20"/>
          <w:spacing w:val="-26"/>
          <w:w w:val="110"/>
        </w:rPr>
        <w:t> </w:t>
      </w:r>
      <w:r>
        <w:rPr>
          <w:color w:val="231F20"/>
          <w:w w:val="110"/>
        </w:rPr>
        <w:t>política,</w:t>
      </w:r>
      <w:r>
        <w:rPr>
          <w:color w:val="231F20"/>
          <w:spacing w:val="-26"/>
          <w:w w:val="110"/>
        </w:rPr>
        <w:t> </w:t>
      </w:r>
      <w:r>
        <w:rPr>
          <w:color w:val="231F20"/>
          <w:spacing w:val="2"/>
          <w:w w:val="110"/>
        </w:rPr>
        <w:t>al</w:t>
      </w:r>
      <w:r>
        <w:rPr>
          <w:color w:val="231F20"/>
          <w:spacing w:val="-26"/>
          <w:w w:val="110"/>
        </w:rPr>
        <w:t> </w:t>
      </w:r>
      <w:r>
        <w:rPr>
          <w:color w:val="231F20"/>
          <w:w w:val="110"/>
        </w:rPr>
        <w:t>frente</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gobiernos</w:t>
      </w:r>
      <w:r>
        <w:rPr>
          <w:color w:val="231F20"/>
          <w:spacing w:val="-26"/>
          <w:w w:val="110"/>
        </w:rPr>
        <w:t> </w:t>
      </w:r>
      <w:r>
        <w:rPr>
          <w:color w:val="231F20"/>
          <w:w w:val="110"/>
        </w:rPr>
        <w:t>municipales</w:t>
      </w:r>
      <w:r>
        <w:rPr>
          <w:color w:val="231F20"/>
          <w:spacing w:val="-26"/>
          <w:w w:val="110"/>
        </w:rPr>
        <w:t> </w:t>
      </w:r>
      <w:r>
        <w:rPr>
          <w:color w:val="231F20"/>
          <w:w w:val="110"/>
        </w:rPr>
        <w:t>se</w:t>
      </w:r>
      <w:r>
        <w:rPr>
          <w:color w:val="231F20"/>
          <w:spacing w:val="-26"/>
          <w:w w:val="110"/>
        </w:rPr>
        <w:t> </w:t>
      </w:r>
      <w:r>
        <w:rPr>
          <w:color w:val="231F20"/>
          <w:w w:val="110"/>
        </w:rPr>
        <w:t>han</w:t>
      </w:r>
      <w:r>
        <w:rPr>
          <w:color w:val="231F20"/>
          <w:spacing w:val="-26"/>
          <w:w w:val="110"/>
        </w:rPr>
        <w:t> </w:t>
      </w:r>
      <w:r>
        <w:rPr>
          <w:color w:val="231F20"/>
          <w:w w:val="110"/>
        </w:rPr>
        <w:t>colocado</w:t>
      </w:r>
      <w:r>
        <w:rPr>
          <w:color w:val="231F20"/>
          <w:spacing w:val="-26"/>
          <w:w w:val="110"/>
        </w:rPr>
        <w:t> </w:t>
      </w:r>
      <w:r>
        <w:rPr>
          <w:color w:val="231F20"/>
          <w:w w:val="110"/>
        </w:rPr>
        <w:t>principal- mente</w:t>
      </w:r>
      <w:r>
        <w:rPr>
          <w:color w:val="231F20"/>
          <w:spacing w:val="-26"/>
          <w:w w:val="110"/>
        </w:rPr>
        <w:t> </w:t>
      </w:r>
      <w:r>
        <w:rPr>
          <w:color w:val="231F20"/>
          <w:w w:val="110"/>
        </w:rPr>
        <w:t>tres</w:t>
      </w:r>
      <w:r>
        <w:rPr>
          <w:color w:val="231F20"/>
          <w:spacing w:val="-26"/>
          <w:w w:val="110"/>
        </w:rPr>
        <w:t> </w:t>
      </w:r>
      <w:r>
        <w:rPr>
          <w:color w:val="231F20"/>
          <w:w w:val="110"/>
        </w:rPr>
        <w:t>fuerzas</w:t>
      </w:r>
      <w:r>
        <w:rPr>
          <w:color w:val="231F20"/>
          <w:spacing w:val="-26"/>
          <w:w w:val="110"/>
        </w:rPr>
        <w:t> </w:t>
      </w:r>
      <w:r>
        <w:rPr>
          <w:color w:val="231F20"/>
          <w:w w:val="110"/>
        </w:rPr>
        <w:t>políticas</w:t>
      </w:r>
      <w:r>
        <w:rPr>
          <w:color w:val="231F20"/>
          <w:spacing w:val="-26"/>
          <w:w w:val="110"/>
        </w:rPr>
        <w:t> </w:t>
      </w:r>
      <w:r>
        <w:rPr>
          <w:color w:val="231F20"/>
          <w:w w:val="110"/>
        </w:rPr>
        <w:t>nacionales,</w:t>
      </w:r>
      <w:r>
        <w:rPr>
          <w:color w:val="231F20"/>
          <w:spacing w:val="-26"/>
          <w:w w:val="110"/>
        </w:rPr>
        <w:t> </w:t>
      </w:r>
      <w:r>
        <w:rPr>
          <w:color w:val="231F20"/>
          <w:w w:val="110"/>
        </w:rPr>
        <w:t>el</w:t>
      </w:r>
      <w:r>
        <w:rPr>
          <w:color w:val="231F20"/>
          <w:spacing w:val="-26"/>
          <w:w w:val="110"/>
        </w:rPr>
        <w:t> </w:t>
      </w:r>
      <w:r>
        <w:rPr>
          <w:color w:val="231F20"/>
          <w:w w:val="110"/>
        </w:rPr>
        <w:t>Partido</w:t>
      </w:r>
      <w:r>
        <w:rPr>
          <w:color w:val="231F20"/>
          <w:spacing w:val="-26"/>
          <w:w w:val="110"/>
        </w:rPr>
        <w:t> </w:t>
      </w:r>
      <w:r>
        <w:rPr>
          <w:color w:val="231F20"/>
          <w:w w:val="110"/>
        </w:rPr>
        <w:t>Acción</w:t>
      </w:r>
      <w:r>
        <w:rPr>
          <w:color w:val="231F20"/>
          <w:spacing w:val="-26"/>
          <w:w w:val="110"/>
        </w:rPr>
        <w:t> </w:t>
      </w:r>
      <w:r>
        <w:rPr>
          <w:color w:val="231F20"/>
          <w:w w:val="110"/>
        </w:rPr>
        <w:t>Nacional</w:t>
      </w:r>
      <w:r>
        <w:rPr>
          <w:color w:val="231F20"/>
          <w:spacing w:val="-26"/>
          <w:w w:val="110"/>
        </w:rPr>
        <w:t> </w:t>
      </w:r>
      <w:r>
        <w:rPr>
          <w:color w:val="231F20"/>
          <w:spacing w:val="-4"/>
          <w:w w:val="110"/>
        </w:rPr>
        <w:t>(PAN),</w:t>
      </w:r>
      <w:r>
        <w:rPr>
          <w:color w:val="231F20"/>
          <w:spacing w:val="-26"/>
          <w:w w:val="110"/>
        </w:rPr>
        <w:t> </w:t>
      </w:r>
      <w:r>
        <w:rPr>
          <w:color w:val="231F20"/>
          <w:w w:val="110"/>
        </w:rPr>
        <w:t>el</w:t>
      </w:r>
      <w:r>
        <w:rPr>
          <w:color w:val="231F20"/>
          <w:spacing w:val="-26"/>
          <w:w w:val="110"/>
        </w:rPr>
        <w:t> </w:t>
      </w:r>
      <w:r>
        <w:rPr>
          <w:color w:val="231F20"/>
          <w:w w:val="110"/>
        </w:rPr>
        <w:t>Partido </w:t>
      </w:r>
      <w:r>
        <w:rPr>
          <w:color w:val="231F20"/>
          <w:w w:val="105"/>
        </w:rPr>
        <w:t>Revolucionario</w:t>
      </w:r>
      <w:r>
        <w:rPr>
          <w:color w:val="231F20"/>
          <w:spacing w:val="-26"/>
          <w:w w:val="105"/>
        </w:rPr>
        <w:t> </w:t>
      </w:r>
      <w:r>
        <w:rPr>
          <w:color w:val="231F20"/>
          <w:w w:val="105"/>
        </w:rPr>
        <w:t>Institucional</w:t>
      </w:r>
      <w:r>
        <w:rPr>
          <w:color w:val="231F20"/>
          <w:spacing w:val="-26"/>
          <w:w w:val="105"/>
        </w:rPr>
        <w:t> </w:t>
      </w:r>
      <w:r>
        <w:rPr>
          <w:color w:val="231F20"/>
          <w:w w:val="105"/>
        </w:rPr>
        <w:t>(PRI)</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Partido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3"/>
          <w:w w:val="105"/>
        </w:rPr>
        <w:t>Revolución</w:t>
      </w:r>
      <w:r>
        <w:rPr>
          <w:color w:val="231F20"/>
          <w:spacing w:val="-26"/>
          <w:w w:val="105"/>
        </w:rPr>
        <w:t> </w:t>
      </w:r>
      <w:r>
        <w:rPr>
          <w:color w:val="231F20"/>
          <w:w w:val="105"/>
        </w:rPr>
        <w:t>Democrática</w:t>
      </w:r>
      <w:r>
        <w:rPr>
          <w:color w:val="231F20"/>
          <w:spacing w:val="-26"/>
          <w:w w:val="105"/>
        </w:rPr>
        <w:t> </w:t>
      </w:r>
      <w:r>
        <w:rPr>
          <w:color w:val="231F20"/>
          <w:spacing w:val="-4"/>
          <w:w w:val="105"/>
        </w:rPr>
        <w:t>(PRD).</w:t>
      </w:r>
    </w:p>
    <w:p>
      <w:pPr>
        <w:pStyle w:val="BodyText"/>
        <w:spacing w:before="1"/>
        <w:rPr>
          <w:sz w:val="26"/>
        </w:rPr>
      </w:pPr>
    </w:p>
    <w:p>
      <w:pPr>
        <w:pStyle w:val="BodyText"/>
        <w:spacing w:line="285" w:lineRule="auto"/>
        <w:ind w:left="110" w:right="108"/>
        <w:jc w:val="both"/>
      </w:pPr>
      <w:r>
        <w:rPr>
          <w:color w:val="231F20"/>
          <w:w w:val="105"/>
        </w:rPr>
        <w:t>El</w:t>
      </w:r>
      <w:r>
        <w:rPr>
          <w:color w:val="231F20"/>
          <w:spacing w:val="-7"/>
          <w:w w:val="105"/>
        </w:rPr>
        <w:t> </w:t>
      </w:r>
      <w:r>
        <w:rPr>
          <w:color w:val="231F20"/>
          <w:w w:val="105"/>
        </w:rPr>
        <w:t>estudio</w:t>
      </w:r>
      <w:r>
        <w:rPr>
          <w:color w:val="231F20"/>
          <w:spacing w:val="-7"/>
          <w:w w:val="105"/>
        </w:rPr>
        <w:t> </w:t>
      </w:r>
      <w:r>
        <w:rPr>
          <w:color w:val="231F20"/>
          <w:w w:val="105"/>
        </w:rPr>
        <w:t>del</w:t>
      </w:r>
      <w:r>
        <w:rPr>
          <w:color w:val="231F20"/>
          <w:spacing w:val="-7"/>
          <w:w w:val="105"/>
        </w:rPr>
        <w:t> </w:t>
      </w:r>
      <w:r>
        <w:rPr>
          <w:color w:val="231F20"/>
          <w:w w:val="105"/>
        </w:rPr>
        <w:t>municipio</w:t>
      </w:r>
      <w:r>
        <w:rPr>
          <w:color w:val="231F20"/>
          <w:spacing w:val="-7"/>
          <w:w w:val="105"/>
        </w:rPr>
        <w:t> </w:t>
      </w:r>
      <w:r>
        <w:rPr>
          <w:color w:val="231F20"/>
          <w:w w:val="105"/>
        </w:rPr>
        <w:t>se</w:t>
      </w:r>
      <w:r>
        <w:rPr>
          <w:color w:val="231F20"/>
          <w:spacing w:val="-7"/>
          <w:w w:val="105"/>
        </w:rPr>
        <w:t> </w:t>
      </w:r>
      <w:r>
        <w:rPr>
          <w:color w:val="231F20"/>
          <w:w w:val="105"/>
        </w:rPr>
        <w:t>vuelve</w:t>
      </w:r>
      <w:r>
        <w:rPr>
          <w:color w:val="231F20"/>
          <w:spacing w:val="-7"/>
          <w:w w:val="105"/>
        </w:rPr>
        <w:t> </w:t>
      </w:r>
      <w:r>
        <w:rPr>
          <w:color w:val="231F20"/>
          <w:w w:val="105"/>
        </w:rPr>
        <w:t>obligatorio</w:t>
      </w:r>
      <w:r>
        <w:rPr>
          <w:color w:val="231F20"/>
          <w:spacing w:val="-7"/>
          <w:w w:val="105"/>
        </w:rPr>
        <w:t> </w:t>
      </w:r>
      <w:r>
        <w:rPr>
          <w:color w:val="231F20"/>
          <w:spacing w:val="2"/>
          <w:w w:val="105"/>
        </w:rPr>
        <w:t>al</w:t>
      </w:r>
      <w:r>
        <w:rPr>
          <w:color w:val="231F20"/>
          <w:spacing w:val="-7"/>
          <w:w w:val="105"/>
        </w:rPr>
        <w:t> </w:t>
      </w:r>
      <w:r>
        <w:rPr>
          <w:color w:val="231F20"/>
          <w:w w:val="105"/>
        </w:rPr>
        <w:t>ser</w:t>
      </w:r>
      <w:r>
        <w:rPr>
          <w:color w:val="231F20"/>
          <w:spacing w:val="-7"/>
          <w:w w:val="105"/>
        </w:rPr>
        <w:t> </w:t>
      </w:r>
      <w:r>
        <w:rPr>
          <w:color w:val="231F20"/>
          <w:w w:val="105"/>
        </w:rPr>
        <w:t>una</w:t>
      </w:r>
      <w:r>
        <w:rPr>
          <w:color w:val="231F20"/>
          <w:spacing w:val="-7"/>
          <w:w w:val="105"/>
        </w:rPr>
        <w:t> </w:t>
      </w:r>
      <w:r>
        <w:rPr>
          <w:color w:val="231F20"/>
          <w:w w:val="105"/>
        </w:rPr>
        <w:t>unidad</w:t>
      </w:r>
      <w:r>
        <w:rPr>
          <w:color w:val="231F20"/>
          <w:spacing w:val="-7"/>
          <w:w w:val="105"/>
        </w:rPr>
        <w:t> </w:t>
      </w:r>
      <w:r>
        <w:rPr>
          <w:color w:val="231F20"/>
          <w:w w:val="105"/>
        </w:rPr>
        <w:t>política</w:t>
      </w:r>
      <w:r>
        <w:rPr>
          <w:color w:val="231F20"/>
          <w:spacing w:val="-7"/>
          <w:w w:val="105"/>
        </w:rPr>
        <w:t> </w:t>
      </w:r>
      <w:r>
        <w:rPr>
          <w:color w:val="231F20"/>
          <w:w w:val="105"/>
        </w:rPr>
        <w:t>dentro</w:t>
      </w:r>
      <w:r>
        <w:rPr>
          <w:color w:val="231F20"/>
          <w:spacing w:val="-7"/>
          <w:w w:val="105"/>
        </w:rPr>
        <w:t> </w:t>
      </w:r>
      <w:r>
        <w:rPr>
          <w:color w:val="231F20"/>
          <w:w w:val="105"/>
        </w:rPr>
        <w:t>del</w:t>
      </w:r>
      <w:r>
        <w:rPr>
          <w:color w:val="231F20"/>
          <w:spacing w:val="-7"/>
          <w:w w:val="105"/>
        </w:rPr>
        <w:t> </w:t>
      </w:r>
      <w:r>
        <w:rPr>
          <w:color w:val="231F20"/>
          <w:w w:val="105"/>
        </w:rPr>
        <w:t>Es- tado,</w:t>
      </w:r>
      <w:r>
        <w:rPr>
          <w:color w:val="231F20"/>
          <w:spacing w:val="-12"/>
          <w:w w:val="105"/>
        </w:rPr>
        <w:t> </w:t>
      </w:r>
      <w:r>
        <w:rPr>
          <w:color w:val="231F20"/>
          <w:w w:val="105"/>
        </w:rPr>
        <w:t>una</w:t>
      </w:r>
      <w:r>
        <w:rPr>
          <w:color w:val="231F20"/>
          <w:spacing w:val="-12"/>
          <w:w w:val="105"/>
        </w:rPr>
        <w:t> </w:t>
      </w:r>
      <w:r>
        <w:rPr>
          <w:color w:val="231F20"/>
          <w:w w:val="105"/>
        </w:rPr>
        <w:t>comunidad</w:t>
      </w:r>
      <w:r>
        <w:rPr>
          <w:color w:val="231F20"/>
          <w:spacing w:val="-12"/>
          <w:w w:val="105"/>
        </w:rPr>
        <w:t> </w:t>
      </w:r>
      <w:r>
        <w:rPr>
          <w:color w:val="231F20"/>
          <w:w w:val="105"/>
        </w:rPr>
        <w:t>geográficamente</w:t>
      </w:r>
      <w:r>
        <w:rPr>
          <w:color w:val="231F20"/>
          <w:spacing w:val="-12"/>
          <w:w w:val="105"/>
        </w:rPr>
        <w:t> </w:t>
      </w:r>
      <w:r>
        <w:rPr>
          <w:color w:val="231F20"/>
          <w:w w:val="105"/>
        </w:rPr>
        <w:t>localizada</w:t>
      </w:r>
      <w:r>
        <w:rPr>
          <w:color w:val="231F20"/>
          <w:spacing w:val="-12"/>
          <w:w w:val="105"/>
        </w:rPr>
        <w:t> </w:t>
      </w:r>
      <w:r>
        <w:rPr>
          <w:color w:val="231F20"/>
          <w:w w:val="105"/>
        </w:rPr>
        <w:t>y</w:t>
      </w:r>
      <w:r>
        <w:rPr>
          <w:color w:val="231F20"/>
          <w:spacing w:val="-12"/>
          <w:w w:val="105"/>
        </w:rPr>
        <w:t> </w:t>
      </w:r>
      <w:r>
        <w:rPr>
          <w:color w:val="231F20"/>
          <w:w w:val="105"/>
        </w:rPr>
        <w:t>que</w:t>
      </w:r>
      <w:r>
        <w:rPr>
          <w:color w:val="231F20"/>
          <w:spacing w:val="-12"/>
          <w:w w:val="105"/>
        </w:rPr>
        <w:t> </w:t>
      </w:r>
      <w:r>
        <w:rPr>
          <w:color w:val="231F20"/>
          <w:spacing w:val="-3"/>
          <w:w w:val="105"/>
        </w:rPr>
        <w:t>“reconoce</w:t>
      </w:r>
      <w:r>
        <w:rPr>
          <w:color w:val="231F20"/>
          <w:spacing w:val="-12"/>
          <w:w w:val="105"/>
        </w:rPr>
        <w:t> </w:t>
      </w:r>
      <w:r>
        <w:rPr>
          <w:color w:val="231F20"/>
          <w:w w:val="105"/>
        </w:rPr>
        <w:t>una</w:t>
      </w:r>
      <w:r>
        <w:rPr>
          <w:color w:val="231F20"/>
          <w:spacing w:val="-12"/>
          <w:w w:val="105"/>
        </w:rPr>
        <w:t> </w:t>
      </w:r>
      <w:r>
        <w:rPr>
          <w:color w:val="231F20"/>
          <w:w w:val="105"/>
        </w:rPr>
        <w:t>autoridad</w:t>
      </w:r>
      <w:r>
        <w:rPr>
          <w:color w:val="231F20"/>
          <w:spacing w:val="-12"/>
          <w:w w:val="105"/>
        </w:rPr>
        <w:t> </w:t>
      </w:r>
      <w:r>
        <w:rPr>
          <w:color w:val="231F20"/>
          <w:w w:val="105"/>
        </w:rPr>
        <w:t>propia para</w:t>
      </w:r>
      <w:r>
        <w:rPr>
          <w:color w:val="231F20"/>
          <w:spacing w:val="-9"/>
          <w:w w:val="105"/>
        </w:rPr>
        <w:t> </w:t>
      </w:r>
      <w:r>
        <w:rPr>
          <w:color w:val="231F20"/>
          <w:w w:val="105"/>
        </w:rPr>
        <w:t>la</w:t>
      </w:r>
      <w:r>
        <w:rPr>
          <w:color w:val="231F20"/>
          <w:spacing w:val="-9"/>
          <w:w w:val="105"/>
        </w:rPr>
        <w:t> </w:t>
      </w:r>
      <w:r>
        <w:rPr>
          <w:color w:val="231F20"/>
          <w:w w:val="105"/>
        </w:rPr>
        <w:t>gestión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intereses</w:t>
      </w:r>
      <w:r>
        <w:rPr>
          <w:color w:val="231F20"/>
          <w:spacing w:val="-9"/>
          <w:w w:val="105"/>
        </w:rPr>
        <w:t> </w:t>
      </w:r>
      <w:r>
        <w:rPr>
          <w:color w:val="231F20"/>
          <w:w w:val="105"/>
        </w:rPr>
        <w:t>puramente</w:t>
      </w:r>
      <w:r>
        <w:rPr>
          <w:color w:val="231F20"/>
          <w:spacing w:val="-9"/>
          <w:w w:val="105"/>
        </w:rPr>
        <w:t> </w:t>
      </w:r>
      <w:r>
        <w:rPr>
          <w:color w:val="231F20"/>
          <w:w w:val="105"/>
        </w:rPr>
        <w:t>locales,</w:t>
      </w:r>
      <w:r>
        <w:rPr>
          <w:color w:val="231F20"/>
          <w:spacing w:val="-9"/>
          <w:w w:val="105"/>
        </w:rPr>
        <w:t> </w:t>
      </w:r>
      <w:r>
        <w:rPr>
          <w:color w:val="231F20"/>
          <w:spacing w:val="-10"/>
          <w:w w:val="105"/>
        </w:rPr>
        <w:t>[…]</w:t>
      </w:r>
      <w:r>
        <w:rPr>
          <w:color w:val="231F20"/>
          <w:spacing w:val="-9"/>
          <w:w w:val="105"/>
        </w:rPr>
        <w:t> </w:t>
      </w:r>
      <w:r>
        <w:rPr>
          <w:color w:val="231F20"/>
          <w:w w:val="105"/>
        </w:rPr>
        <w:t>dispone</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esfera</w:t>
      </w:r>
      <w:r>
        <w:rPr>
          <w:color w:val="231F20"/>
          <w:spacing w:val="-9"/>
          <w:w w:val="105"/>
        </w:rPr>
        <w:t> </w:t>
      </w:r>
      <w:r>
        <w:rPr>
          <w:color w:val="231F20"/>
          <w:w w:val="105"/>
        </w:rPr>
        <w:t>particular de</w:t>
      </w:r>
      <w:r>
        <w:rPr>
          <w:color w:val="231F20"/>
          <w:spacing w:val="-13"/>
          <w:w w:val="105"/>
        </w:rPr>
        <w:t> </w:t>
      </w:r>
      <w:r>
        <w:rPr>
          <w:color w:val="231F20"/>
          <w:w w:val="105"/>
        </w:rPr>
        <w:t>competencias</w:t>
      </w:r>
      <w:r>
        <w:rPr>
          <w:color w:val="231F20"/>
          <w:spacing w:val="-13"/>
          <w:w w:val="105"/>
        </w:rPr>
        <w:t> </w:t>
      </w:r>
      <w:r>
        <w:rPr>
          <w:color w:val="231F20"/>
          <w:spacing w:val="-9"/>
          <w:w w:val="105"/>
        </w:rPr>
        <w:t>(…)</w:t>
      </w:r>
      <w:r>
        <w:rPr>
          <w:color w:val="231F20"/>
          <w:spacing w:val="-13"/>
          <w:w w:val="105"/>
        </w:rPr>
        <w:t> </w:t>
      </w:r>
      <w:r>
        <w:rPr>
          <w:color w:val="231F20"/>
          <w:w w:val="105"/>
        </w:rPr>
        <w:t>el</w:t>
      </w:r>
      <w:r>
        <w:rPr>
          <w:color w:val="231F20"/>
          <w:spacing w:val="-13"/>
          <w:w w:val="105"/>
        </w:rPr>
        <w:t> </w:t>
      </w:r>
      <w:r>
        <w:rPr>
          <w:color w:val="231F20"/>
          <w:w w:val="105"/>
        </w:rPr>
        <w:t>municipio</w:t>
      </w:r>
      <w:r>
        <w:rPr>
          <w:color w:val="231F20"/>
          <w:spacing w:val="-13"/>
          <w:w w:val="105"/>
        </w:rPr>
        <w:t> </w:t>
      </w:r>
      <w:r>
        <w:rPr>
          <w:color w:val="231F20"/>
          <w:w w:val="105"/>
        </w:rPr>
        <w:t>no</w:t>
      </w:r>
      <w:r>
        <w:rPr>
          <w:color w:val="231F20"/>
          <w:spacing w:val="-13"/>
          <w:w w:val="105"/>
        </w:rPr>
        <w:t> </w:t>
      </w:r>
      <w:r>
        <w:rPr>
          <w:color w:val="231F20"/>
          <w:w w:val="105"/>
        </w:rPr>
        <w:t>está</w:t>
      </w:r>
      <w:r>
        <w:rPr>
          <w:color w:val="231F20"/>
          <w:spacing w:val="-13"/>
          <w:w w:val="105"/>
        </w:rPr>
        <w:t> </w:t>
      </w:r>
      <w:r>
        <w:rPr>
          <w:color w:val="231F20"/>
          <w:w w:val="105"/>
        </w:rPr>
        <w:t>separado</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sino</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contrario</w:t>
      </w:r>
      <w:r>
        <w:rPr>
          <w:color w:val="231F20"/>
          <w:spacing w:val="-13"/>
          <w:w w:val="105"/>
        </w:rPr>
        <w:t> </w:t>
      </w:r>
      <w:r>
        <w:rPr>
          <w:color w:val="231F20"/>
          <w:w w:val="105"/>
        </w:rPr>
        <w:t>in- tegrado</w:t>
      </w:r>
      <w:r>
        <w:rPr>
          <w:color w:val="231F20"/>
          <w:spacing w:val="-22"/>
          <w:w w:val="105"/>
        </w:rPr>
        <w:t> </w:t>
      </w:r>
      <w:r>
        <w:rPr>
          <w:color w:val="231F20"/>
          <w:w w:val="105"/>
        </w:rPr>
        <w:t>a</w:t>
      </w:r>
      <w:r>
        <w:rPr>
          <w:color w:val="231F20"/>
          <w:spacing w:val="-22"/>
          <w:w w:val="105"/>
        </w:rPr>
        <w:t> </w:t>
      </w:r>
      <w:r>
        <w:rPr>
          <w:color w:val="231F20"/>
          <w:w w:val="105"/>
        </w:rPr>
        <w:t>su</w:t>
      </w:r>
      <w:r>
        <w:rPr>
          <w:color w:val="231F20"/>
          <w:spacing w:val="-22"/>
          <w:w w:val="105"/>
        </w:rPr>
        <w:t> </w:t>
      </w:r>
      <w:r>
        <w:rPr>
          <w:color w:val="231F20"/>
          <w:w w:val="105"/>
        </w:rPr>
        <w:t>estructura”</w:t>
      </w:r>
      <w:r>
        <w:rPr>
          <w:color w:val="231F20"/>
          <w:spacing w:val="-22"/>
          <w:w w:val="105"/>
        </w:rPr>
        <w:t> </w:t>
      </w:r>
      <w:r>
        <w:rPr>
          <w:color w:val="231F20"/>
          <w:w w:val="105"/>
        </w:rPr>
        <w:t>(Robles,</w:t>
      </w:r>
      <w:r>
        <w:rPr>
          <w:color w:val="231F20"/>
          <w:spacing w:val="-22"/>
          <w:w w:val="105"/>
        </w:rPr>
        <w:t> </w:t>
      </w:r>
      <w:r>
        <w:rPr>
          <w:color w:val="231F20"/>
          <w:spacing w:val="-4"/>
          <w:w w:val="105"/>
        </w:rPr>
        <w:t>1987:</w:t>
      </w:r>
      <w:r>
        <w:rPr>
          <w:color w:val="231F20"/>
          <w:spacing w:val="-22"/>
          <w:w w:val="105"/>
        </w:rPr>
        <w:t> </w:t>
      </w:r>
      <w:r>
        <w:rPr>
          <w:color w:val="231F20"/>
          <w:spacing w:val="-4"/>
          <w:w w:val="105"/>
        </w:rPr>
        <w:t>68).</w:t>
      </w:r>
      <w:r>
        <w:rPr>
          <w:color w:val="231F20"/>
          <w:spacing w:val="-22"/>
          <w:w w:val="105"/>
        </w:rPr>
        <w:t> </w:t>
      </w:r>
      <w:r>
        <w:rPr>
          <w:color w:val="231F20"/>
          <w:w w:val="105"/>
        </w:rPr>
        <w:t>Es</w:t>
      </w:r>
      <w:r>
        <w:rPr>
          <w:color w:val="231F20"/>
          <w:spacing w:val="-22"/>
          <w:w w:val="105"/>
        </w:rPr>
        <w:t> </w:t>
      </w:r>
      <w:r>
        <w:rPr>
          <w:color w:val="231F20"/>
          <w:w w:val="105"/>
        </w:rPr>
        <w:t>la</w:t>
      </w:r>
      <w:r>
        <w:rPr>
          <w:color w:val="231F20"/>
          <w:spacing w:val="-22"/>
          <w:w w:val="105"/>
        </w:rPr>
        <w:t> </w:t>
      </w:r>
      <w:r>
        <w:rPr>
          <w:color w:val="231F20"/>
          <w:w w:val="105"/>
        </w:rPr>
        <w:t>forma</w:t>
      </w:r>
      <w:r>
        <w:rPr>
          <w:color w:val="231F20"/>
          <w:spacing w:val="-22"/>
          <w:w w:val="105"/>
        </w:rPr>
        <w:t> </w:t>
      </w:r>
      <w:r>
        <w:rPr>
          <w:color w:val="231F20"/>
          <w:w w:val="105"/>
        </w:rPr>
        <w:t>de</w:t>
      </w:r>
      <w:r>
        <w:rPr>
          <w:color w:val="231F20"/>
          <w:spacing w:val="-22"/>
          <w:w w:val="105"/>
        </w:rPr>
        <w:t> </w:t>
      </w:r>
      <w:r>
        <w:rPr>
          <w:color w:val="231F20"/>
          <w:w w:val="105"/>
        </w:rPr>
        <w:t>gobierno</w:t>
      </w:r>
      <w:r>
        <w:rPr>
          <w:color w:val="231F20"/>
          <w:spacing w:val="-22"/>
          <w:w w:val="105"/>
        </w:rPr>
        <w:t> </w:t>
      </w:r>
      <w:r>
        <w:rPr>
          <w:color w:val="231F20"/>
          <w:w w:val="105"/>
        </w:rPr>
        <w:t>más</w:t>
      </w:r>
      <w:r>
        <w:rPr>
          <w:color w:val="231F20"/>
          <w:spacing w:val="-22"/>
          <w:w w:val="105"/>
        </w:rPr>
        <w:t> </w:t>
      </w:r>
      <w:r>
        <w:rPr>
          <w:color w:val="231F20"/>
          <w:w w:val="105"/>
        </w:rPr>
        <w:t>cercana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spacing w:val="-3"/>
          <w:w w:val="105"/>
        </w:rPr>
        <w:t>ciu- </w:t>
      </w:r>
      <w:r>
        <w:rPr>
          <w:color w:val="231F20"/>
          <w:w w:val="105"/>
        </w:rPr>
        <w:t>dadanía,</w:t>
      </w:r>
      <w:r>
        <w:rPr>
          <w:color w:val="231F20"/>
          <w:spacing w:val="-16"/>
          <w:w w:val="105"/>
        </w:rPr>
        <w:t> </w:t>
      </w:r>
      <w:r>
        <w:rPr>
          <w:color w:val="231F20"/>
          <w:w w:val="105"/>
        </w:rPr>
        <w:t>que</w:t>
      </w:r>
      <w:r>
        <w:rPr>
          <w:color w:val="231F20"/>
          <w:spacing w:val="-16"/>
          <w:w w:val="105"/>
        </w:rPr>
        <w:t> </w:t>
      </w:r>
      <w:r>
        <w:rPr>
          <w:color w:val="231F20"/>
          <w:w w:val="105"/>
        </w:rPr>
        <w:t>permite</w:t>
      </w:r>
      <w:r>
        <w:rPr>
          <w:color w:val="231F20"/>
          <w:spacing w:val="-16"/>
          <w:w w:val="105"/>
        </w:rPr>
        <w:t> </w:t>
      </w:r>
      <w:r>
        <w:rPr>
          <w:color w:val="231F20"/>
          <w:w w:val="105"/>
        </w:rPr>
        <w:t>satisfacer</w:t>
      </w:r>
      <w:r>
        <w:rPr>
          <w:color w:val="231F20"/>
          <w:spacing w:val="-16"/>
          <w:w w:val="105"/>
        </w:rPr>
        <w:t> </w:t>
      </w:r>
      <w:r>
        <w:rPr>
          <w:color w:val="231F20"/>
          <w:w w:val="105"/>
        </w:rPr>
        <w:t>las</w:t>
      </w:r>
      <w:r>
        <w:rPr>
          <w:color w:val="231F20"/>
          <w:spacing w:val="-16"/>
          <w:w w:val="105"/>
        </w:rPr>
        <w:t> </w:t>
      </w:r>
      <w:r>
        <w:rPr>
          <w:color w:val="231F20"/>
          <w:w w:val="105"/>
        </w:rPr>
        <w:t>necesidades</w:t>
      </w:r>
      <w:r>
        <w:rPr>
          <w:color w:val="231F20"/>
          <w:spacing w:val="-16"/>
          <w:w w:val="105"/>
        </w:rPr>
        <w:t> </w:t>
      </w:r>
      <w:r>
        <w:rPr>
          <w:color w:val="231F20"/>
          <w:w w:val="105"/>
        </w:rPr>
        <w:t>primordiales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habitantes</w:t>
      </w:r>
      <w:r>
        <w:rPr>
          <w:color w:val="231F20"/>
          <w:spacing w:val="-16"/>
          <w:w w:val="105"/>
        </w:rPr>
        <w:t> </w:t>
      </w:r>
      <w:r>
        <w:rPr>
          <w:color w:val="231F20"/>
          <w:w w:val="105"/>
        </w:rPr>
        <w:t>mediante la</w:t>
      </w:r>
      <w:r>
        <w:rPr>
          <w:color w:val="231F20"/>
          <w:spacing w:val="-19"/>
          <w:w w:val="105"/>
        </w:rPr>
        <w:t> </w:t>
      </w:r>
      <w:r>
        <w:rPr>
          <w:color w:val="231F20"/>
          <w:w w:val="105"/>
        </w:rPr>
        <w:t>implementación</w:t>
      </w:r>
      <w:r>
        <w:rPr>
          <w:color w:val="231F20"/>
          <w:spacing w:val="-19"/>
          <w:w w:val="105"/>
        </w:rPr>
        <w:t> </w:t>
      </w:r>
      <w:r>
        <w:rPr>
          <w:color w:val="231F20"/>
          <w:w w:val="105"/>
        </w:rPr>
        <w:t>de</w:t>
      </w:r>
      <w:r>
        <w:rPr>
          <w:color w:val="231F20"/>
          <w:spacing w:val="-19"/>
          <w:w w:val="105"/>
        </w:rPr>
        <w:t> </w:t>
      </w:r>
      <w:r>
        <w:rPr>
          <w:color w:val="231F20"/>
          <w:w w:val="105"/>
        </w:rPr>
        <w:t>servicios</w:t>
      </w:r>
      <w:r>
        <w:rPr>
          <w:color w:val="231F20"/>
          <w:spacing w:val="-19"/>
          <w:w w:val="105"/>
        </w:rPr>
        <w:t> </w:t>
      </w:r>
      <w:r>
        <w:rPr>
          <w:color w:val="231F20"/>
          <w:w w:val="105"/>
        </w:rPr>
        <w:t>públicos</w:t>
      </w:r>
      <w:r>
        <w:rPr>
          <w:color w:val="231F20"/>
          <w:spacing w:val="-19"/>
          <w:w w:val="105"/>
        </w:rPr>
        <w:t> </w:t>
      </w:r>
      <w:r>
        <w:rPr>
          <w:color w:val="231F20"/>
          <w:w w:val="105"/>
        </w:rPr>
        <w:t>municipales.</w:t>
      </w:r>
      <w:r>
        <w:rPr>
          <w:color w:val="231F20"/>
          <w:spacing w:val="-19"/>
          <w:w w:val="105"/>
        </w:rPr>
        <w:t> </w:t>
      </w:r>
      <w:r>
        <w:rPr>
          <w:color w:val="231F20"/>
          <w:w w:val="105"/>
        </w:rPr>
        <w:t>La</w:t>
      </w:r>
      <w:r>
        <w:rPr>
          <w:color w:val="231F20"/>
          <w:spacing w:val="-19"/>
          <w:w w:val="105"/>
        </w:rPr>
        <w:t> </w:t>
      </w:r>
      <w:r>
        <w:rPr>
          <w:color w:val="231F20"/>
          <w:w w:val="105"/>
        </w:rPr>
        <w:t>respuesta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administración municipal</w:t>
      </w:r>
      <w:r>
        <w:rPr>
          <w:color w:val="231F20"/>
          <w:spacing w:val="-5"/>
          <w:w w:val="105"/>
        </w:rPr>
        <w:t> </w:t>
      </w:r>
      <w:r>
        <w:rPr>
          <w:color w:val="231F20"/>
          <w:w w:val="105"/>
        </w:rPr>
        <w:t>hacia</w:t>
      </w:r>
      <w:r>
        <w:rPr>
          <w:color w:val="231F20"/>
          <w:spacing w:val="-5"/>
          <w:w w:val="105"/>
        </w:rPr>
        <w:t> </w:t>
      </w:r>
      <w:r>
        <w:rPr>
          <w:color w:val="231F20"/>
          <w:w w:val="105"/>
        </w:rPr>
        <w:t>las</w:t>
      </w:r>
      <w:r>
        <w:rPr>
          <w:color w:val="231F20"/>
          <w:spacing w:val="-5"/>
          <w:w w:val="105"/>
        </w:rPr>
        <w:t> </w:t>
      </w:r>
      <w:r>
        <w:rPr>
          <w:color w:val="231F20"/>
          <w:w w:val="105"/>
        </w:rPr>
        <w:t>demandas</w:t>
      </w:r>
      <w:r>
        <w:rPr>
          <w:color w:val="231F20"/>
          <w:spacing w:val="-5"/>
          <w:w w:val="105"/>
        </w:rPr>
        <w:t> </w:t>
      </w:r>
      <w:r>
        <w:rPr>
          <w:color w:val="231F20"/>
          <w:w w:val="105"/>
        </w:rPr>
        <w:t>ciudadanas</w:t>
      </w:r>
      <w:r>
        <w:rPr>
          <w:color w:val="231F20"/>
          <w:spacing w:val="-5"/>
          <w:w w:val="105"/>
        </w:rPr>
        <w:t> </w:t>
      </w:r>
      <w:r>
        <w:rPr>
          <w:color w:val="231F20"/>
          <w:w w:val="105"/>
        </w:rPr>
        <w:t>se</w:t>
      </w:r>
      <w:r>
        <w:rPr>
          <w:color w:val="231F20"/>
          <w:spacing w:val="-5"/>
          <w:w w:val="105"/>
        </w:rPr>
        <w:t> </w:t>
      </w:r>
      <w:r>
        <w:rPr>
          <w:color w:val="231F20"/>
          <w:w w:val="105"/>
        </w:rPr>
        <w:t>logra</w:t>
      </w:r>
      <w:r>
        <w:rPr>
          <w:color w:val="231F20"/>
          <w:spacing w:val="-5"/>
          <w:w w:val="105"/>
        </w:rPr>
        <w:t> </w:t>
      </w:r>
      <w:r>
        <w:rPr>
          <w:color w:val="231F20"/>
          <w:w w:val="105"/>
        </w:rPr>
        <w:t>de</w:t>
      </w:r>
      <w:r>
        <w:rPr>
          <w:color w:val="231F20"/>
          <w:spacing w:val="-5"/>
          <w:w w:val="105"/>
        </w:rPr>
        <w:t> </w:t>
      </w:r>
      <w:r>
        <w:rPr>
          <w:color w:val="231F20"/>
          <w:w w:val="105"/>
        </w:rPr>
        <w:t>mejor</w:t>
      </w:r>
      <w:r>
        <w:rPr>
          <w:color w:val="231F20"/>
          <w:spacing w:val="-5"/>
          <w:w w:val="105"/>
        </w:rPr>
        <w:t> </w:t>
      </w:r>
      <w:r>
        <w:rPr>
          <w:color w:val="231F20"/>
          <w:w w:val="105"/>
        </w:rPr>
        <w:t>manera</w:t>
      </w:r>
      <w:r>
        <w:rPr>
          <w:color w:val="231F20"/>
          <w:spacing w:val="-5"/>
          <w:w w:val="105"/>
        </w:rPr>
        <w:t> </w:t>
      </w:r>
      <w:r>
        <w:rPr>
          <w:color w:val="231F20"/>
          <w:w w:val="105"/>
        </w:rPr>
        <w:t>cuando</w:t>
      </w:r>
      <w:r>
        <w:rPr>
          <w:color w:val="231F20"/>
          <w:spacing w:val="-5"/>
          <w:w w:val="105"/>
        </w:rPr>
        <w:t> </w:t>
      </w:r>
      <w:r>
        <w:rPr>
          <w:color w:val="231F20"/>
          <w:w w:val="105"/>
        </w:rPr>
        <w:t>existe</w:t>
      </w:r>
      <w:r>
        <w:rPr>
          <w:color w:val="231F20"/>
          <w:spacing w:val="-5"/>
          <w:w w:val="105"/>
        </w:rPr>
        <w:t> </w:t>
      </w:r>
      <w:r>
        <w:rPr>
          <w:color w:val="231F20"/>
          <w:w w:val="105"/>
        </w:rPr>
        <w:t>una participación de los</w:t>
      </w:r>
      <w:r>
        <w:rPr>
          <w:color w:val="231F20"/>
          <w:spacing w:val="-35"/>
          <w:w w:val="105"/>
        </w:rPr>
        <w:t> </w:t>
      </w:r>
      <w:r>
        <w:rPr>
          <w:color w:val="231F20"/>
          <w:w w:val="105"/>
        </w:rPr>
        <w:t>habitantes.</w:t>
      </w:r>
    </w:p>
    <w:p>
      <w:pPr>
        <w:pStyle w:val="BodyText"/>
        <w:spacing w:before="1"/>
        <w:rPr>
          <w:sz w:val="26"/>
        </w:rPr>
      </w:pPr>
    </w:p>
    <w:p>
      <w:pPr>
        <w:pStyle w:val="BodyText"/>
        <w:spacing w:line="285" w:lineRule="auto"/>
        <w:ind w:left="110" w:right="108"/>
        <w:jc w:val="both"/>
      </w:pPr>
      <w:r>
        <w:rPr>
          <w:color w:val="231F20"/>
          <w:w w:val="105"/>
        </w:rPr>
        <w:t>Esta</w:t>
      </w:r>
      <w:r>
        <w:rPr>
          <w:color w:val="231F20"/>
          <w:spacing w:val="-21"/>
          <w:w w:val="105"/>
        </w:rPr>
        <w:t> </w:t>
      </w:r>
      <w:r>
        <w:rPr>
          <w:color w:val="231F20"/>
          <w:spacing w:val="-3"/>
          <w:w w:val="105"/>
        </w:rPr>
        <w:t>investigación</w:t>
      </w:r>
      <w:r>
        <w:rPr>
          <w:color w:val="231F20"/>
          <w:spacing w:val="-21"/>
          <w:w w:val="105"/>
        </w:rPr>
        <w:t> </w:t>
      </w:r>
      <w:r>
        <w:rPr>
          <w:color w:val="231F20"/>
          <w:w w:val="105"/>
        </w:rPr>
        <w:t>se</w:t>
      </w:r>
      <w:r>
        <w:rPr>
          <w:color w:val="231F20"/>
          <w:spacing w:val="-21"/>
          <w:w w:val="105"/>
        </w:rPr>
        <w:t> </w:t>
      </w:r>
      <w:r>
        <w:rPr>
          <w:color w:val="231F20"/>
          <w:w w:val="105"/>
        </w:rPr>
        <w:t>enfoca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4"/>
          <w:w w:val="105"/>
        </w:rPr>
        <w:t>desempeño</w:t>
      </w:r>
      <w:r>
        <w:rPr>
          <w:color w:val="231F20"/>
          <w:spacing w:val="-21"/>
          <w:w w:val="105"/>
        </w:rPr>
        <w:t> </w:t>
      </w:r>
      <w:r>
        <w:rPr>
          <w:color w:val="231F20"/>
          <w:w w:val="105"/>
        </w:rPr>
        <w:t>de</w:t>
      </w:r>
      <w:r>
        <w:rPr>
          <w:color w:val="231F20"/>
          <w:spacing w:val="-21"/>
          <w:w w:val="105"/>
        </w:rPr>
        <w:t> </w:t>
      </w:r>
      <w:r>
        <w:rPr>
          <w:color w:val="231F20"/>
          <w:spacing w:val="-4"/>
          <w:w w:val="105"/>
        </w:rPr>
        <w:t>gobierno</w:t>
      </w:r>
      <w:r>
        <w:rPr>
          <w:color w:val="231F20"/>
          <w:spacing w:val="-21"/>
          <w:w w:val="105"/>
        </w:rPr>
        <w:t> </w:t>
      </w:r>
      <w:r>
        <w:rPr>
          <w:color w:val="231F20"/>
          <w:spacing w:val="-3"/>
          <w:w w:val="105"/>
        </w:rPr>
        <w:t>del</w:t>
      </w:r>
      <w:r>
        <w:rPr>
          <w:color w:val="231F20"/>
          <w:spacing w:val="-21"/>
          <w:w w:val="105"/>
        </w:rPr>
        <w:t> </w:t>
      </w:r>
      <w:r>
        <w:rPr>
          <w:color w:val="231F20"/>
          <w:w w:val="105"/>
        </w:rPr>
        <w:t>Partido</w:t>
      </w:r>
      <w:r>
        <w:rPr>
          <w:color w:val="231F20"/>
          <w:spacing w:val="-21"/>
          <w:w w:val="105"/>
        </w:rPr>
        <w:t> </w:t>
      </w:r>
      <w:r>
        <w:rPr>
          <w:color w:val="231F20"/>
          <w:spacing w:val="-4"/>
          <w:w w:val="105"/>
        </w:rPr>
        <w:t>Revolucionario</w:t>
      </w:r>
      <w:r>
        <w:rPr>
          <w:color w:val="231F20"/>
          <w:spacing w:val="-21"/>
          <w:w w:val="105"/>
        </w:rPr>
        <w:t> </w:t>
      </w:r>
      <w:r>
        <w:rPr>
          <w:color w:val="231F20"/>
          <w:w w:val="105"/>
        </w:rPr>
        <w:t>Ins- titucional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municipio</w:t>
      </w:r>
      <w:r>
        <w:rPr>
          <w:color w:val="231F20"/>
          <w:spacing w:val="-16"/>
          <w:w w:val="105"/>
        </w:rPr>
        <w:t> </w:t>
      </w:r>
      <w:r>
        <w:rPr>
          <w:color w:val="231F20"/>
          <w:w w:val="105"/>
        </w:rPr>
        <w:t>de</w:t>
      </w:r>
      <w:r>
        <w:rPr>
          <w:color w:val="231F20"/>
          <w:spacing w:val="-16"/>
          <w:w w:val="105"/>
        </w:rPr>
        <w:t> </w:t>
      </w:r>
      <w:r>
        <w:rPr>
          <w:color w:val="231F20"/>
          <w:spacing w:val="-6"/>
          <w:w w:val="105"/>
        </w:rPr>
        <w:t>Tejupilco</w:t>
      </w:r>
      <w:r>
        <w:rPr>
          <w:color w:val="231F20"/>
          <w:spacing w:val="-16"/>
          <w:w w:val="105"/>
        </w:rPr>
        <w:t> </w:t>
      </w:r>
      <w:r>
        <w:rPr>
          <w:color w:val="231F20"/>
          <w:w w:val="105"/>
        </w:rPr>
        <w:t>durante</w:t>
      </w:r>
      <w:r>
        <w:rPr>
          <w:color w:val="231F20"/>
          <w:spacing w:val="-16"/>
          <w:w w:val="105"/>
        </w:rPr>
        <w:t> </w:t>
      </w:r>
      <w:r>
        <w:rPr>
          <w:color w:val="231F20"/>
          <w:w w:val="105"/>
        </w:rPr>
        <w:t>el</w:t>
      </w:r>
      <w:r>
        <w:rPr>
          <w:color w:val="231F20"/>
          <w:spacing w:val="-16"/>
          <w:w w:val="105"/>
        </w:rPr>
        <w:t> </w:t>
      </w:r>
      <w:r>
        <w:rPr>
          <w:color w:val="231F20"/>
          <w:spacing w:val="-3"/>
          <w:w w:val="105"/>
        </w:rPr>
        <w:t>periodo</w:t>
      </w:r>
      <w:r>
        <w:rPr>
          <w:color w:val="231F20"/>
          <w:spacing w:val="-16"/>
          <w:w w:val="105"/>
        </w:rPr>
        <w:t> </w:t>
      </w:r>
      <w:r>
        <w:rPr>
          <w:color w:val="231F20"/>
          <w:spacing w:val="-4"/>
          <w:w w:val="105"/>
        </w:rPr>
        <w:t>comprendido</w:t>
      </w:r>
      <w:r>
        <w:rPr>
          <w:color w:val="231F20"/>
          <w:spacing w:val="-16"/>
          <w:w w:val="105"/>
        </w:rPr>
        <w:t> </w:t>
      </w:r>
      <w:r>
        <w:rPr>
          <w:color w:val="231F20"/>
          <w:w w:val="105"/>
        </w:rPr>
        <w:t>de</w:t>
      </w:r>
      <w:r>
        <w:rPr>
          <w:color w:val="231F20"/>
          <w:spacing w:val="-16"/>
          <w:w w:val="105"/>
        </w:rPr>
        <w:t> </w:t>
      </w:r>
      <w:r>
        <w:rPr>
          <w:color w:val="231F20"/>
          <w:w w:val="105"/>
        </w:rPr>
        <w:t>2006</w:t>
      </w:r>
      <w:r>
        <w:rPr>
          <w:color w:val="231F20"/>
          <w:spacing w:val="-16"/>
          <w:w w:val="105"/>
        </w:rPr>
        <w:t> </w:t>
      </w:r>
      <w:r>
        <w:rPr>
          <w:color w:val="231F20"/>
          <w:w w:val="105"/>
        </w:rPr>
        <w:t>a</w:t>
      </w:r>
      <w:r>
        <w:rPr>
          <w:color w:val="231F20"/>
          <w:spacing w:val="-16"/>
          <w:w w:val="105"/>
        </w:rPr>
        <w:t> </w:t>
      </w:r>
      <w:r>
        <w:rPr>
          <w:color w:val="231F20"/>
          <w:w w:val="105"/>
        </w:rPr>
        <w:t>2009.</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hanging="1"/>
        <w:jc w:val="both"/>
      </w:pPr>
      <w:r>
        <w:rPr>
          <w:color w:val="231F20"/>
          <w:w w:val="105"/>
        </w:rPr>
        <w:t>La</w:t>
      </w:r>
      <w:r>
        <w:rPr>
          <w:color w:val="231F20"/>
          <w:spacing w:val="-17"/>
          <w:w w:val="105"/>
        </w:rPr>
        <w:t> </w:t>
      </w:r>
      <w:r>
        <w:rPr>
          <w:color w:val="231F20"/>
          <w:w w:val="105"/>
        </w:rPr>
        <w:t>división</w:t>
      </w:r>
      <w:r>
        <w:rPr>
          <w:color w:val="231F20"/>
          <w:spacing w:val="-17"/>
          <w:w w:val="105"/>
        </w:rPr>
        <w:t> </w:t>
      </w:r>
      <w:r>
        <w:rPr>
          <w:color w:val="231F20"/>
          <w:spacing w:val="-3"/>
          <w:w w:val="105"/>
        </w:rPr>
        <w:t>del</w:t>
      </w:r>
      <w:r>
        <w:rPr>
          <w:color w:val="231F20"/>
          <w:spacing w:val="-17"/>
          <w:w w:val="105"/>
        </w:rPr>
        <w:t> </w:t>
      </w:r>
      <w:r>
        <w:rPr>
          <w:color w:val="231F20"/>
          <w:w w:val="105"/>
        </w:rPr>
        <w:t>artículo</w:t>
      </w:r>
      <w:r>
        <w:rPr>
          <w:color w:val="231F20"/>
          <w:spacing w:val="-17"/>
          <w:w w:val="105"/>
        </w:rPr>
        <w:t> </w:t>
      </w:r>
      <w:r>
        <w:rPr>
          <w:color w:val="231F20"/>
          <w:w w:val="105"/>
        </w:rPr>
        <w:t>es</w:t>
      </w:r>
      <w:r>
        <w:rPr>
          <w:color w:val="231F20"/>
          <w:spacing w:val="-17"/>
          <w:w w:val="105"/>
        </w:rPr>
        <w:t> </w:t>
      </w:r>
      <w:r>
        <w:rPr>
          <w:color w:val="231F20"/>
          <w:w w:val="105"/>
        </w:rPr>
        <w:t>de</w:t>
      </w:r>
      <w:r>
        <w:rPr>
          <w:color w:val="231F20"/>
          <w:spacing w:val="-17"/>
          <w:w w:val="105"/>
        </w:rPr>
        <w:t> </w:t>
      </w:r>
      <w:r>
        <w:rPr>
          <w:color w:val="231F20"/>
          <w:w w:val="105"/>
        </w:rPr>
        <w:t>cinco</w:t>
      </w:r>
      <w:r>
        <w:rPr>
          <w:color w:val="231F20"/>
          <w:spacing w:val="-17"/>
          <w:w w:val="105"/>
        </w:rPr>
        <w:t> </w:t>
      </w:r>
      <w:r>
        <w:rPr>
          <w:color w:val="231F20"/>
          <w:w w:val="105"/>
        </w:rPr>
        <w:t>apartados</w:t>
      </w:r>
      <w:r>
        <w:rPr>
          <w:color w:val="231F20"/>
          <w:spacing w:val="-17"/>
          <w:w w:val="105"/>
        </w:rPr>
        <w:t> </w:t>
      </w:r>
      <w:r>
        <w:rPr>
          <w:color w:val="231F20"/>
          <w:w w:val="105"/>
        </w:rPr>
        <w:t>en</w:t>
      </w:r>
      <w:r>
        <w:rPr>
          <w:color w:val="231F20"/>
          <w:spacing w:val="-17"/>
          <w:w w:val="105"/>
        </w:rPr>
        <w:t> </w:t>
      </w:r>
      <w:r>
        <w:rPr>
          <w:color w:val="231F20"/>
          <w:spacing w:val="-4"/>
          <w:w w:val="105"/>
        </w:rPr>
        <w:t>donde</w:t>
      </w:r>
      <w:r>
        <w:rPr>
          <w:color w:val="231F20"/>
          <w:spacing w:val="-17"/>
          <w:w w:val="105"/>
        </w:rPr>
        <w:t> </w:t>
      </w:r>
      <w:r>
        <w:rPr>
          <w:color w:val="231F20"/>
          <w:w w:val="105"/>
        </w:rPr>
        <w:t>se</w:t>
      </w:r>
      <w:r>
        <w:rPr>
          <w:color w:val="231F20"/>
          <w:spacing w:val="-17"/>
          <w:w w:val="105"/>
        </w:rPr>
        <w:t> </w:t>
      </w:r>
      <w:r>
        <w:rPr>
          <w:color w:val="231F20"/>
          <w:w w:val="105"/>
        </w:rPr>
        <w:t>da</w:t>
      </w:r>
      <w:r>
        <w:rPr>
          <w:color w:val="231F20"/>
          <w:spacing w:val="-17"/>
          <w:w w:val="105"/>
        </w:rPr>
        <w:t> </w:t>
      </w:r>
      <w:r>
        <w:rPr>
          <w:color w:val="231F20"/>
          <w:spacing w:val="-3"/>
          <w:w w:val="105"/>
        </w:rPr>
        <w:t>cuenta</w:t>
      </w:r>
      <w:r>
        <w:rPr>
          <w:color w:val="231F20"/>
          <w:spacing w:val="-17"/>
          <w:w w:val="105"/>
        </w:rPr>
        <w:t> </w:t>
      </w:r>
      <w:r>
        <w:rPr>
          <w:color w:val="231F20"/>
          <w:spacing w:val="-3"/>
          <w:w w:val="105"/>
        </w:rPr>
        <w:t>del</w:t>
      </w:r>
      <w:r>
        <w:rPr>
          <w:color w:val="231F20"/>
          <w:spacing w:val="-17"/>
          <w:w w:val="105"/>
        </w:rPr>
        <w:t> </w:t>
      </w:r>
      <w:r>
        <w:rPr>
          <w:color w:val="231F20"/>
          <w:spacing w:val="-4"/>
          <w:w w:val="105"/>
        </w:rPr>
        <w:t>desempeño</w:t>
      </w:r>
      <w:r>
        <w:rPr>
          <w:color w:val="231F20"/>
          <w:spacing w:val="-17"/>
          <w:w w:val="105"/>
        </w:rPr>
        <w:t> </w:t>
      </w:r>
      <w:r>
        <w:rPr>
          <w:color w:val="231F20"/>
          <w:w w:val="105"/>
        </w:rPr>
        <w:t>priís- ta en la administración municipal. El </w:t>
      </w:r>
      <w:r>
        <w:rPr>
          <w:color w:val="231F20"/>
          <w:spacing w:val="-3"/>
          <w:w w:val="105"/>
        </w:rPr>
        <w:t>primero </w:t>
      </w:r>
      <w:r>
        <w:rPr>
          <w:color w:val="231F20"/>
          <w:w w:val="105"/>
        </w:rPr>
        <w:t>de estos </w:t>
      </w:r>
      <w:r>
        <w:rPr>
          <w:color w:val="231F20"/>
          <w:spacing w:val="-3"/>
          <w:w w:val="105"/>
        </w:rPr>
        <w:t>nos </w:t>
      </w:r>
      <w:r>
        <w:rPr>
          <w:color w:val="231F20"/>
          <w:w w:val="105"/>
        </w:rPr>
        <w:t>permite </w:t>
      </w:r>
      <w:r>
        <w:rPr>
          <w:color w:val="231F20"/>
          <w:spacing w:val="-4"/>
          <w:w w:val="105"/>
        </w:rPr>
        <w:t>conocer </w:t>
      </w:r>
      <w:r>
        <w:rPr>
          <w:color w:val="231F20"/>
          <w:w w:val="105"/>
        </w:rPr>
        <w:t>el </w:t>
      </w:r>
      <w:r>
        <w:rPr>
          <w:color w:val="231F20"/>
          <w:spacing w:val="-3"/>
          <w:w w:val="105"/>
        </w:rPr>
        <w:t>contexto general</w:t>
      </w:r>
      <w:r>
        <w:rPr>
          <w:color w:val="231F20"/>
          <w:spacing w:val="-23"/>
          <w:w w:val="105"/>
        </w:rPr>
        <w:t> </w:t>
      </w:r>
      <w:r>
        <w:rPr>
          <w:color w:val="231F20"/>
          <w:spacing w:val="-3"/>
          <w:w w:val="105"/>
        </w:rPr>
        <w:t>que</w:t>
      </w:r>
      <w:r>
        <w:rPr>
          <w:color w:val="231F20"/>
          <w:spacing w:val="-23"/>
          <w:w w:val="105"/>
        </w:rPr>
        <w:t> </w:t>
      </w:r>
      <w:r>
        <w:rPr>
          <w:color w:val="231F20"/>
          <w:w w:val="105"/>
        </w:rPr>
        <w:t>vive</w:t>
      </w:r>
      <w:r>
        <w:rPr>
          <w:color w:val="231F20"/>
          <w:spacing w:val="-23"/>
          <w:w w:val="105"/>
        </w:rPr>
        <w:t> </w:t>
      </w:r>
      <w:r>
        <w:rPr>
          <w:color w:val="231F20"/>
          <w:w w:val="105"/>
        </w:rPr>
        <w:t>el</w:t>
      </w:r>
      <w:r>
        <w:rPr>
          <w:color w:val="231F20"/>
          <w:spacing w:val="-23"/>
          <w:w w:val="105"/>
        </w:rPr>
        <w:t> </w:t>
      </w:r>
      <w:r>
        <w:rPr>
          <w:color w:val="231F20"/>
          <w:spacing w:val="-4"/>
          <w:w w:val="105"/>
        </w:rPr>
        <w:t>municipio,</w:t>
      </w:r>
      <w:r>
        <w:rPr>
          <w:color w:val="231F20"/>
          <w:spacing w:val="-23"/>
          <w:w w:val="105"/>
        </w:rPr>
        <w:t> </w:t>
      </w:r>
      <w:r>
        <w:rPr>
          <w:color w:val="231F20"/>
          <w:w w:val="105"/>
        </w:rPr>
        <w:t>así</w:t>
      </w:r>
      <w:r>
        <w:rPr>
          <w:color w:val="231F20"/>
          <w:spacing w:val="-23"/>
          <w:w w:val="105"/>
        </w:rPr>
        <w:t> </w:t>
      </w:r>
      <w:r>
        <w:rPr>
          <w:color w:val="231F20"/>
          <w:spacing w:val="-4"/>
          <w:w w:val="105"/>
        </w:rPr>
        <w:t>como</w:t>
      </w:r>
      <w:r>
        <w:rPr>
          <w:color w:val="231F20"/>
          <w:spacing w:val="-23"/>
          <w:w w:val="105"/>
        </w:rPr>
        <w:t> </w:t>
      </w:r>
      <w:r>
        <w:rPr>
          <w:color w:val="231F20"/>
          <w:w w:val="105"/>
        </w:rPr>
        <w:t>las</w:t>
      </w:r>
      <w:r>
        <w:rPr>
          <w:color w:val="231F20"/>
          <w:spacing w:val="-23"/>
          <w:w w:val="105"/>
        </w:rPr>
        <w:t> </w:t>
      </w:r>
      <w:r>
        <w:rPr>
          <w:color w:val="231F20"/>
          <w:spacing w:val="-4"/>
          <w:w w:val="105"/>
        </w:rPr>
        <w:t>posiciones</w:t>
      </w:r>
      <w:r>
        <w:rPr>
          <w:color w:val="231F20"/>
          <w:spacing w:val="-23"/>
          <w:w w:val="105"/>
        </w:rPr>
        <w:t> </w:t>
      </w:r>
      <w:r>
        <w:rPr>
          <w:color w:val="231F20"/>
          <w:spacing w:val="-3"/>
          <w:w w:val="105"/>
        </w:rPr>
        <w:t>ideológicas</w:t>
      </w:r>
      <w:r>
        <w:rPr>
          <w:color w:val="231F20"/>
          <w:spacing w:val="-23"/>
          <w:w w:val="105"/>
        </w:rPr>
        <w:t> </w:t>
      </w:r>
      <w:r>
        <w:rPr>
          <w:color w:val="231F20"/>
          <w:spacing w:val="-3"/>
          <w:w w:val="105"/>
        </w:rPr>
        <w:t>del</w:t>
      </w:r>
      <w:r>
        <w:rPr>
          <w:color w:val="231F20"/>
          <w:spacing w:val="-23"/>
          <w:w w:val="105"/>
        </w:rPr>
        <w:t> </w:t>
      </w:r>
      <w:r>
        <w:rPr>
          <w:color w:val="231F20"/>
          <w:spacing w:val="-2"/>
          <w:w w:val="105"/>
        </w:rPr>
        <w:t>PRI</w:t>
      </w:r>
      <w:r>
        <w:rPr>
          <w:color w:val="231F20"/>
          <w:spacing w:val="-23"/>
          <w:w w:val="105"/>
        </w:rPr>
        <w:t> </w:t>
      </w:r>
      <w:r>
        <w:rPr>
          <w:color w:val="231F20"/>
          <w:w w:val="105"/>
        </w:rPr>
        <w:t>y</w:t>
      </w:r>
      <w:r>
        <w:rPr>
          <w:color w:val="231F20"/>
          <w:spacing w:val="-23"/>
          <w:w w:val="105"/>
        </w:rPr>
        <w:t> </w:t>
      </w:r>
      <w:r>
        <w:rPr>
          <w:color w:val="231F20"/>
          <w:w w:val="105"/>
        </w:rPr>
        <w:t>las</w:t>
      </w:r>
      <w:r>
        <w:rPr>
          <w:color w:val="231F20"/>
          <w:spacing w:val="-23"/>
          <w:w w:val="105"/>
        </w:rPr>
        <w:t> </w:t>
      </w:r>
      <w:r>
        <w:rPr>
          <w:color w:val="231F20"/>
          <w:spacing w:val="-3"/>
          <w:w w:val="105"/>
        </w:rPr>
        <w:t>tendencias </w:t>
      </w:r>
      <w:r>
        <w:rPr>
          <w:color w:val="231F20"/>
          <w:w w:val="105"/>
        </w:rPr>
        <w:t>electorales</w:t>
      </w:r>
      <w:r>
        <w:rPr>
          <w:color w:val="231F20"/>
          <w:spacing w:val="-22"/>
          <w:w w:val="105"/>
        </w:rPr>
        <w:t> </w:t>
      </w:r>
      <w:r>
        <w:rPr>
          <w:color w:val="231F20"/>
          <w:spacing w:val="-3"/>
          <w:w w:val="105"/>
        </w:rPr>
        <w:t>del</w:t>
      </w:r>
      <w:r>
        <w:rPr>
          <w:color w:val="231F20"/>
          <w:spacing w:val="-22"/>
          <w:w w:val="105"/>
        </w:rPr>
        <w:t> </w:t>
      </w:r>
      <w:r>
        <w:rPr>
          <w:color w:val="231F20"/>
          <w:spacing w:val="-4"/>
          <w:w w:val="105"/>
        </w:rPr>
        <w:t>municipio;</w:t>
      </w:r>
      <w:r>
        <w:rPr>
          <w:color w:val="231F20"/>
          <w:spacing w:val="-22"/>
          <w:w w:val="105"/>
        </w:rPr>
        <w:t> </w:t>
      </w:r>
      <w:r>
        <w:rPr>
          <w:color w:val="231F20"/>
          <w:w w:val="105"/>
        </w:rPr>
        <w:t>el</w:t>
      </w:r>
      <w:r>
        <w:rPr>
          <w:color w:val="231F20"/>
          <w:spacing w:val="-22"/>
          <w:w w:val="105"/>
        </w:rPr>
        <w:t> </w:t>
      </w:r>
      <w:r>
        <w:rPr>
          <w:color w:val="231F20"/>
          <w:w w:val="105"/>
        </w:rPr>
        <w:t>segundo</w:t>
      </w:r>
      <w:r>
        <w:rPr>
          <w:color w:val="231F20"/>
          <w:spacing w:val="-22"/>
          <w:w w:val="105"/>
        </w:rPr>
        <w:t> </w:t>
      </w:r>
      <w:r>
        <w:rPr>
          <w:color w:val="231F20"/>
          <w:spacing w:val="-3"/>
          <w:w w:val="105"/>
        </w:rPr>
        <w:t>hace</w:t>
      </w:r>
      <w:r>
        <w:rPr>
          <w:color w:val="231F20"/>
          <w:spacing w:val="-22"/>
          <w:w w:val="105"/>
        </w:rPr>
        <w:t> </w:t>
      </w:r>
      <w:r>
        <w:rPr>
          <w:color w:val="231F20"/>
          <w:spacing w:val="-4"/>
          <w:w w:val="105"/>
        </w:rPr>
        <w:t>referencia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spacing w:val="-3"/>
          <w:w w:val="105"/>
        </w:rPr>
        <w:t>forma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cual</w:t>
      </w:r>
      <w:r>
        <w:rPr>
          <w:color w:val="231F20"/>
          <w:spacing w:val="-22"/>
          <w:w w:val="105"/>
        </w:rPr>
        <w:t> </w:t>
      </w:r>
      <w:r>
        <w:rPr>
          <w:color w:val="231F20"/>
          <w:w w:val="105"/>
        </w:rPr>
        <w:t>está</w:t>
      </w:r>
      <w:r>
        <w:rPr>
          <w:color w:val="231F20"/>
          <w:spacing w:val="-22"/>
          <w:w w:val="105"/>
        </w:rPr>
        <w:t> </w:t>
      </w:r>
      <w:r>
        <w:rPr>
          <w:color w:val="231F20"/>
          <w:w w:val="105"/>
        </w:rPr>
        <w:t>organizada la</w:t>
      </w:r>
      <w:r>
        <w:rPr>
          <w:color w:val="231F20"/>
          <w:spacing w:val="-12"/>
          <w:w w:val="105"/>
        </w:rPr>
        <w:t> </w:t>
      </w:r>
      <w:r>
        <w:rPr>
          <w:color w:val="231F20"/>
          <w:w w:val="105"/>
        </w:rPr>
        <w:t>administración</w:t>
      </w:r>
      <w:r>
        <w:rPr>
          <w:color w:val="231F20"/>
          <w:spacing w:val="-12"/>
          <w:w w:val="105"/>
        </w:rPr>
        <w:t> </w:t>
      </w:r>
      <w:r>
        <w:rPr>
          <w:color w:val="231F20"/>
          <w:spacing w:val="-3"/>
          <w:w w:val="105"/>
        </w:rPr>
        <w:t>pública</w:t>
      </w:r>
      <w:r>
        <w:rPr>
          <w:color w:val="231F20"/>
          <w:spacing w:val="-12"/>
          <w:w w:val="105"/>
        </w:rPr>
        <w:t> </w:t>
      </w:r>
      <w:r>
        <w:rPr>
          <w:color w:val="231F20"/>
          <w:w w:val="105"/>
        </w:rPr>
        <w:t>local;</w:t>
      </w:r>
      <w:r>
        <w:rPr>
          <w:color w:val="231F20"/>
          <w:spacing w:val="-12"/>
          <w:w w:val="105"/>
        </w:rPr>
        <w:t> </w:t>
      </w:r>
      <w:r>
        <w:rPr>
          <w:color w:val="231F20"/>
          <w:w w:val="105"/>
        </w:rPr>
        <w:t>la</w:t>
      </w:r>
      <w:r>
        <w:rPr>
          <w:color w:val="231F20"/>
          <w:spacing w:val="-12"/>
          <w:w w:val="105"/>
        </w:rPr>
        <w:t> </w:t>
      </w:r>
      <w:r>
        <w:rPr>
          <w:color w:val="231F20"/>
          <w:spacing w:val="-4"/>
          <w:w w:val="105"/>
        </w:rPr>
        <w:t>planeación</w:t>
      </w:r>
      <w:r>
        <w:rPr>
          <w:color w:val="231F20"/>
          <w:spacing w:val="-12"/>
          <w:w w:val="105"/>
        </w:rPr>
        <w:t> </w:t>
      </w:r>
      <w:r>
        <w:rPr>
          <w:color w:val="231F20"/>
          <w:w w:val="105"/>
        </w:rPr>
        <w:t>y</w:t>
      </w:r>
      <w:r>
        <w:rPr>
          <w:color w:val="231F20"/>
          <w:spacing w:val="-12"/>
          <w:w w:val="105"/>
        </w:rPr>
        <w:t> </w:t>
      </w:r>
      <w:r>
        <w:rPr>
          <w:color w:val="231F20"/>
          <w:spacing w:val="-3"/>
          <w:w w:val="105"/>
        </w:rPr>
        <w:t>reglamentación</w:t>
      </w:r>
      <w:r>
        <w:rPr>
          <w:color w:val="231F20"/>
          <w:spacing w:val="-12"/>
          <w:w w:val="105"/>
        </w:rPr>
        <w:t> </w:t>
      </w:r>
      <w:r>
        <w:rPr>
          <w:color w:val="231F20"/>
          <w:w w:val="105"/>
        </w:rPr>
        <w:t>es</w:t>
      </w:r>
      <w:r>
        <w:rPr>
          <w:color w:val="231F20"/>
          <w:spacing w:val="-12"/>
          <w:w w:val="105"/>
        </w:rPr>
        <w:t> </w:t>
      </w:r>
      <w:r>
        <w:rPr>
          <w:color w:val="231F20"/>
          <w:spacing w:val="-4"/>
          <w:w w:val="105"/>
        </w:rPr>
        <w:t>contemplada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5"/>
          <w:w w:val="105"/>
        </w:rPr>
        <w:t>ter- </w:t>
      </w:r>
      <w:r>
        <w:rPr>
          <w:color w:val="231F20"/>
          <w:spacing w:val="-3"/>
          <w:w w:val="105"/>
        </w:rPr>
        <w:t>cer</w:t>
      </w:r>
      <w:r>
        <w:rPr>
          <w:color w:val="231F20"/>
          <w:spacing w:val="-7"/>
          <w:w w:val="105"/>
        </w:rPr>
        <w:t> </w:t>
      </w:r>
      <w:r>
        <w:rPr>
          <w:color w:val="231F20"/>
          <w:spacing w:val="-3"/>
          <w:w w:val="105"/>
        </w:rPr>
        <w:t>apartado,</w:t>
      </w:r>
      <w:r>
        <w:rPr>
          <w:color w:val="231F20"/>
          <w:spacing w:val="-7"/>
          <w:w w:val="105"/>
        </w:rPr>
        <w:t> </w:t>
      </w:r>
      <w:r>
        <w:rPr>
          <w:color w:val="231F20"/>
          <w:spacing w:val="-4"/>
          <w:w w:val="105"/>
        </w:rPr>
        <w:t>donde</w:t>
      </w:r>
      <w:r>
        <w:rPr>
          <w:color w:val="231F20"/>
          <w:spacing w:val="-7"/>
          <w:w w:val="105"/>
        </w:rPr>
        <w:t> </w:t>
      </w:r>
      <w:r>
        <w:rPr>
          <w:color w:val="231F20"/>
          <w:spacing w:val="-3"/>
          <w:w w:val="105"/>
        </w:rPr>
        <w:t>también</w:t>
      </w:r>
      <w:r>
        <w:rPr>
          <w:color w:val="231F20"/>
          <w:spacing w:val="-7"/>
          <w:w w:val="105"/>
        </w:rPr>
        <w:t> </w:t>
      </w:r>
      <w:r>
        <w:rPr>
          <w:color w:val="231F20"/>
          <w:w w:val="105"/>
        </w:rPr>
        <w:t>se</w:t>
      </w:r>
      <w:r>
        <w:rPr>
          <w:color w:val="231F20"/>
          <w:spacing w:val="-7"/>
          <w:w w:val="105"/>
        </w:rPr>
        <w:t> </w:t>
      </w:r>
      <w:r>
        <w:rPr>
          <w:color w:val="231F20"/>
          <w:w w:val="105"/>
        </w:rPr>
        <w:t>confrontan</w:t>
      </w:r>
      <w:r>
        <w:rPr>
          <w:color w:val="231F20"/>
          <w:spacing w:val="-7"/>
          <w:w w:val="105"/>
        </w:rPr>
        <w:t> </w:t>
      </w:r>
      <w:r>
        <w:rPr>
          <w:color w:val="231F20"/>
          <w:w w:val="105"/>
        </w:rPr>
        <w:t>las</w:t>
      </w:r>
      <w:r>
        <w:rPr>
          <w:color w:val="231F20"/>
          <w:spacing w:val="-7"/>
          <w:w w:val="105"/>
        </w:rPr>
        <w:t> </w:t>
      </w:r>
      <w:r>
        <w:rPr>
          <w:color w:val="231F20"/>
          <w:spacing w:val="-3"/>
          <w:w w:val="105"/>
        </w:rPr>
        <w:t>propuestas</w:t>
      </w:r>
      <w:r>
        <w:rPr>
          <w:color w:val="231F20"/>
          <w:spacing w:val="-7"/>
          <w:w w:val="105"/>
        </w:rPr>
        <w:t> </w:t>
      </w:r>
      <w:r>
        <w:rPr>
          <w:color w:val="231F20"/>
          <w:spacing w:val="-3"/>
          <w:w w:val="105"/>
        </w:rPr>
        <w:t>del</w:t>
      </w:r>
      <w:r>
        <w:rPr>
          <w:color w:val="231F20"/>
          <w:spacing w:val="-7"/>
          <w:w w:val="105"/>
        </w:rPr>
        <w:t> </w:t>
      </w:r>
      <w:r>
        <w:rPr>
          <w:color w:val="231F20"/>
          <w:w w:val="105"/>
        </w:rPr>
        <w:t>plan</w:t>
      </w:r>
      <w:r>
        <w:rPr>
          <w:color w:val="231F20"/>
          <w:spacing w:val="-7"/>
          <w:w w:val="105"/>
        </w:rPr>
        <w:t> </w:t>
      </w:r>
      <w:r>
        <w:rPr>
          <w:color w:val="231F20"/>
          <w:w w:val="105"/>
        </w:rPr>
        <w:t>de</w:t>
      </w:r>
      <w:r>
        <w:rPr>
          <w:color w:val="231F20"/>
          <w:spacing w:val="-7"/>
          <w:w w:val="105"/>
        </w:rPr>
        <w:t> </w:t>
      </w:r>
      <w:r>
        <w:rPr>
          <w:color w:val="231F20"/>
          <w:w w:val="105"/>
        </w:rPr>
        <w:t>desarrollo</w:t>
      </w:r>
      <w:r>
        <w:rPr>
          <w:color w:val="231F20"/>
          <w:spacing w:val="-7"/>
          <w:w w:val="105"/>
        </w:rPr>
        <w:t> </w:t>
      </w:r>
      <w:r>
        <w:rPr>
          <w:color w:val="231F20"/>
          <w:spacing w:val="-3"/>
          <w:w w:val="105"/>
        </w:rPr>
        <w:t>munici- </w:t>
      </w:r>
      <w:r>
        <w:rPr>
          <w:color w:val="231F20"/>
          <w:w w:val="105"/>
        </w:rPr>
        <w:t>pal</w:t>
      </w:r>
      <w:r>
        <w:rPr>
          <w:color w:val="231F20"/>
          <w:spacing w:val="-20"/>
          <w:w w:val="105"/>
        </w:rPr>
        <w:t> </w:t>
      </w:r>
      <w:r>
        <w:rPr>
          <w:color w:val="231F20"/>
          <w:spacing w:val="-3"/>
          <w:w w:val="105"/>
        </w:rPr>
        <w:t>con</w:t>
      </w:r>
      <w:r>
        <w:rPr>
          <w:color w:val="231F20"/>
          <w:spacing w:val="-20"/>
          <w:w w:val="105"/>
        </w:rPr>
        <w:t> </w:t>
      </w:r>
      <w:r>
        <w:rPr>
          <w:color w:val="231F20"/>
          <w:w w:val="105"/>
        </w:rPr>
        <w:t>las</w:t>
      </w:r>
      <w:r>
        <w:rPr>
          <w:color w:val="231F20"/>
          <w:spacing w:val="-20"/>
          <w:w w:val="105"/>
        </w:rPr>
        <w:t> </w:t>
      </w:r>
      <w:r>
        <w:rPr>
          <w:color w:val="231F20"/>
          <w:spacing w:val="-4"/>
          <w:w w:val="105"/>
        </w:rPr>
        <w:t>acciones</w:t>
      </w:r>
      <w:r>
        <w:rPr>
          <w:color w:val="231F20"/>
          <w:spacing w:val="-20"/>
          <w:w w:val="105"/>
        </w:rPr>
        <w:t> </w:t>
      </w:r>
      <w:r>
        <w:rPr>
          <w:color w:val="231F20"/>
          <w:w w:val="105"/>
        </w:rPr>
        <w:t>llevadas</w:t>
      </w:r>
      <w:r>
        <w:rPr>
          <w:color w:val="231F20"/>
          <w:spacing w:val="-20"/>
          <w:w w:val="105"/>
        </w:rPr>
        <w:t> </w:t>
      </w:r>
      <w:r>
        <w:rPr>
          <w:color w:val="231F20"/>
          <w:w w:val="105"/>
        </w:rPr>
        <w:t>a</w:t>
      </w:r>
      <w:r>
        <w:rPr>
          <w:color w:val="231F20"/>
          <w:spacing w:val="-20"/>
          <w:w w:val="105"/>
        </w:rPr>
        <w:t> </w:t>
      </w:r>
      <w:r>
        <w:rPr>
          <w:color w:val="231F20"/>
          <w:spacing w:val="-3"/>
          <w:w w:val="105"/>
        </w:rPr>
        <w:t>cabo;</w:t>
      </w:r>
      <w:r>
        <w:rPr>
          <w:color w:val="231F20"/>
          <w:spacing w:val="-20"/>
          <w:w w:val="105"/>
        </w:rPr>
        <w:t> </w:t>
      </w:r>
      <w:r>
        <w:rPr>
          <w:color w:val="231F20"/>
          <w:w w:val="105"/>
        </w:rPr>
        <w:t>para</w:t>
      </w:r>
      <w:r>
        <w:rPr>
          <w:color w:val="231F20"/>
          <w:spacing w:val="-20"/>
          <w:w w:val="105"/>
        </w:rPr>
        <w:t> </w:t>
      </w:r>
      <w:r>
        <w:rPr>
          <w:color w:val="231F20"/>
          <w:w w:val="105"/>
        </w:rPr>
        <w:t>finalizar</w:t>
      </w:r>
      <w:r>
        <w:rPr>
          <w:color w:val="231F20"/>
          <w:spacing w:val="-20"/>
          <w:w w:val="105"/>
        </w:rPr>
        <w:t> </w:t>
      </w:r>
      <w:r>
        <w:rPr>
          <w:color w:val="231F20"/>
          <w:w w:val="105"/>
        </w:rPr>
        <w:t>se</w:t>
      </w:r>
      <w:r>
        <w:rPr>
          <w:color w:val="231F20"/>
          <w:spacing w:val="-20"/>
          <w:w w:val="105"/>
        </w:rPr>
        <w:t> </w:t>
      </w:r>
      <w:r>
        <w:rPr>
          <w:color w:val="231F20"/>
          <w:spacing w:val="-3"/>
          <w:w w:val="105"/>
        </w:rPr>
        <w:t>presentan</w:t>
      </w:r>
      <w:r>
        <w:rPr>
          <w:color w:val="231F20"/>
          <w:spacing w:val="-20"/>
          <w:w w:val="105"/>
        </w:rPr>
        <w:t> </w:t>
      </w:r>
      <w:r>
        <w:rPr>
          <w:color w:val="231F20"/>
          <w:w w:val="105"/>
        </w:rPr>
        <w:t>las</w:t>
      </w:r>
      <w:r>
        <w:rPr>
          <w:color w:val="231F20"/>
          <w:spacing w:val="-20"/>
          <w:w w:val="105"/>
        </w:rPr>
        <w:t> </w:t>
      </w:r>
      <w:r>
        <w:rPr>
          <w:color w:val="231F20"/>
          <w:spacing w:val="-4"/>
          <w:w w:val="105"/>
        </w:rPr>
        <w:t>conclusiones.</w:t>
      </w:r>
    </w:p>
    <w:p>
      <w:pPr>
        <w:pStyle w:val="BodyText"/>
        <w:spacing w:before="2"/>
        <w:rPr>
          <w:sz w:val="20"/>
        </w:rPr>
      </w:pPr>
    </w:p>
    <w:p>
      <w:pPr>
        <w:pStyle w:val="Heading4"/>
        <w:rPr>
          <w:i/>
        </w:rPr>
      </w:pPr>
      <w:r>
        <w:rPr>
          <w:i/>
          <w:color w:val="231F20"/>
        </w:rPr>
        <w:t>Contexto municipal</w:t>
      </w:r>
    </w:p>
    <w:p>
      <w:pPr>
        <w:pStyle w:val="BodyText"/>
        <w:spacing w:line="285" w:lineRule="auto" w:before="16"/>
        <w:ind w:left="110" w:right="108"/>
        <w:jc w:val="both"/>
      </w:pPr>
      <w:r>
        <w:rPr>
          <w:color w:val="231F20"/>
          <w:w w:val="105"/>
        </w:rPr>
        <w:t>Antes de analizar propiamente al gobierno priísta es importante conocer el contexto tanto geográfico como político y demográfico del municipio en cuestión.</w:t>
      </w:r>
    </w:p>
    <w:p>
      <w:pPr>
        <w:pStyle w:val="BodyText"/>
        <w:spacing w:before="1"/>
        <w:rPr>
          <w:sz w:val="26"/>
        </w:rPr>
      </w:pPr>
    </w:p>
    <w:p>
      <w:pPr>
        <w:pStyle w:val="BodyText"/>
        <w:spacing w:line="285" w:lineRule="auto"/>
        <w:ind w:left="110" w:right="108"/>
        <w:jc w:val="both"/>
      </w:pPr>
      <w:r>
        <w:rPr>
          <w:color w:val="231F20"/>
          <w:spacing w:val="-6"/>
          <w:w w:val="105"/>
        </w:rPr>
        <w:t>Tejupilco </w:t>
      </w:r>
      <w:r>
        <w:rPr>
          <w:color w:val="231F20"/>
          <w:w w:val="105"/>
        </w:rPr>
        <w:t>se </w:t>
      </w:r>
      <w:r>
        <w:rPr>
          <w:color w:val="231F20"/>
          <w:spacing w:val="-3"/>
          <w:w w:val="105"/>
        </w:rPr>
        <w:t>encuentra </w:t>
      </w:r>
      <w:r>
        <w:rPr>
          <w:color w:val="231F20"/>
          <w:spacing w:val="-4"/>
          <w:w w:val="105"/>
        </w:rPr>
        <w:t>ubicado </w:t>
      </w:r>
      <w:r>
        <w:rPr>
          <w:color w:val="231F20"/>
          <w:w w:val="105"/>
        </w:rPr>
        <w:t>en la </w:t>
      </w:r>
      <w:r>
        <w:rPr>
          <w:color w:val="231F20"/>
          <w:spacing w:val="-3"/>
          <w:w w:val="105"/>
        </w:rPr>
        <w:t>zona </w:t>
      </w:r>
      <w:r>
        <w:rPr>
          <w:color w:val="231F20"/>
          <w:w w:val="105"/>
        </w:rPr>
        <w:t>sur oeste </w:t>
      </w:r>
      <w:r>
        <w:rPr>
          <w:color w:val="231F20"/>
          <w:spacing w:val="-3"/>
          <w:w w:val="105"/>
        </w:rPr>
        <w:t>del Estado </w:t>
      </w:r>
      <w:r>
        <w:rPr>
          <w:color w:val="231F20"/>
          <w:w w:val="105"/>
        </w:rPr>
        <w:t>de </w:t>
      </w:r>
      <w:r>
        <w:rPr>
          <w:color w:val="231F20"/>
          <w:spacing w:val="-3"/>
          <w:w w:val="105"/>
        </w:rPr>
        <w:t>México, </w:t>
      </w:r>
      <w:r>
        <w:rPr>
          <w:color w:val="231F20"/>
          <w:w w:val="105"/>
        </w:rPr>
        <w:t>colinda </w:t>
      </w:r>
      <w:r>
        <w:rPr>
          <w:color w:val="231F20"/>
          <w:spacing w:val="-3"/>
          <w:w w:val="105"/>
        </w:rPr>
        <w:t>con los</w:t>
      </w:r>
      <w:r>
        <w:rPr>
          <w:color w:val="231F20"/>
          <w:spacing w:val="-14"/>
          <w:w w:val="105"/>
        </w:rPr>
        <w:t> </w:t>
      </w:r>
      <w:r>
        <w:rPr>
          <w:color w:val="231F20"/>
          <w:spacing w:val="-3"/>
          <w:w w:val="105"/>
        </w:rPr>
        <w:t>municipios</w:t>
      </w:r>
      <w:r>
        <w:rPr>
          <w:color w:val="231F20"/>
          <w:spacing w:val="-14"/>
          <w:w w:val="105"/>
        </w:rPr>
        <w:t> </w:t>
      </w:r>
      <w:r>
        <w:rPr>
          <w:color w:val="231F20"/>
          <w:w w:val="105"/>
        </w:rPr>
        <w:t>de</w:t>
      </w:r>
      <w:r>
        <w:rPr>
          <w:color w:val="231F20"/>
          <w:spacing w:val="-14"/>
          <w:w w:val="105"/>
        </w:rPr>
        <w:t> </w:t>
      </w:r>
      <w:r>
        <w:rPr>
          <w:color w:val="231F20"/>
          <w:w w:val="105"/>
        </w:rPr>
        <w:t>Zacazonapan</w:t>
      </w:r>
      <w:r>
        <w:rPr>
          <w:color w:val="231F20"/>
          <w:spacing w:val="-14"/>
          <w:w w:val="105"/>
        </w:rPr>
        <w:t> </w:t>
      </w:r>
      <w:r>
        <w:rPr>
          <w:color w:val="231F20"/>
          <w:w w:val="105"/>
        </w:rPr>
        <w:t>y</w:t>
      </w:r>
      <w:r>
        <w:rPr>
          <w:color w:val="231F20"/>
          <w:spacing w:val="-14"/>
          <w:w w:val="105"/>
        </w:rPr>
        <w:t> </w:t>
      </w:r>
      <w:r>
        <w:rPr>
          <w:color w:val="231F20"/>
          <w:spacing w:val="-4"/>
          <w:w w:val="105"/>
        </w:rPr>
        <w:t>Temascaltepec</w:t>
      </w:r>
      <w:r>
        <w:rPr>
          <w:color w:val="231F20"/>
          <w:spacing w:val="-14"/>
          <w:w w:val="105"/>
        </w:rPr>
        <w:t> </w:t>
      </w:r>
      <w:r>
        <w:rPr>
          <w:color w:val="231F20"/>
          <w:spacing w:val="-6"/>
          <w:w w:val="105"/>
        </w:rPr>
        <w:t>(norte),</w:t>
      </w:r>
      <w:r>
        <w:rPr>
          <w:color w:val="231F20"/>
          <w:spacing w:val="-14"/>
          <w:w w:val="105"/>
        </w:rPr>
        <w:t> </w:t>
      </w:r>
      <w:r>
        <w:rPr>
          <w:color w:val="231F20"/>
          <w:w w:val="105"/>
        </w:rPr>
        <w:t>Amatepec</w:t>
      </w:r>
      <w:r>
        <w:rPr>
          <w:color w:val="231F20"/>
          <w:spacing w:val="-14"/>
          <w:w w:val="105"/>
        </w:rPr>
        <w:t> </w:t>
      </w:r>
      <w:r>
        <w:rPr>
          <w:color w:val="231F20"/>
          <w:w w:val="105"/>
        </w:rPr>
        <w:t>y</w:t>
      </w:r>
      <w:r>
        <w:rPr>
          <w:color w:val="231F20"/>
          <w:spacing w:val="-14"/>
          <w:w w:val="105"/>
        </w:rPr>
        <w:t> </w:t>
      </w:r>
      <w:r>
        <w:rPr>
          <w:color w:val="231F20"/>
          <w:w w:val="105"/>
        </w:rPr>
        <w:t>Sultepec</w:t>
      </w:r>
      <w:r>
        <w:rPr>
          <w:color w:val="231F20"/>
          <w:spacing w:val="-14"/>
          <w:w w:val="105"/>
        </w:rPr>
        <w:t> </w:t>
      </w:r>
      <w:r>
        <w:rPr>
          <w:color w:val="231F20"/>
          <w:spacing w:val="-6"/>
          <w:w w:val="105"/>
        </w:rPr>
        <w:t>(sur),</w:t>
      </w:r>
      <w:r>
        <w:rPr>
          <w:color w:val="231F20"/>
          <w:spacing w:val="-14"/>
          <w:w w:val="105"/>
        </w:rPr>
        <w:t> </w:t>
      </w:r>
      <w:r>
        <w:rPr>
          <w:color w:val="231F20"/>
          <w:w w:val="105"/>
        </w:rPr>
        <w:t>San </w:t>
      </w:r>
      <w:r>
        <w:rPr>
          <w:color w:val="231F20"/>
          <w:spacing w:val="-3"/>
          <w:w w:val="105"/>
        </w:rPr>
        <w:t>Simón</w:t>
      </w:r>
      <w:r>
        <w:rPr>
          <w:color w:val="231F20"/>
          <w:spacing w:val="-12"/>
          <w:w w:val="105"/>
        </w:rPr>
        <w:t> </w:t>
      </w:r>
      <w:r>
        <w:rPr>
          <w:color w:val="231F20"/>
          <w:w w:val="105"/>
        </w:rPr>
        <w:t>de</w:t>
      </w:r>
      <w:r>
        <w:rPr>
          <w:color w:val="231F20"/>
          <w:spacing w:val="-12"/>
          <w:w w:val="105"/>
        </w:rPr>
        <w:t> </w:t>
      </w:r>
      <w:r>
        <w:rPr>
          <w:color w:val="231F20"/>
          <w:spacing w:val="-4"/>
          <w:w w:val="105"/>
        </w:rPr>
        <w:t>Guerrero,</w:t>
      </w:r>
      <w:r>
        <w:rPr>
          <w:color w:val="231F20"/>
          <w:spacing w:val="-12"/>
          <w:w w:val="105"/>
        </w:rPr>
        <w:t> </w:t>
      </w:r>
      <w:r>
        <w:rPr>
          <w:color w:val="231F20"/>
          <w:spacing w:val="-4"/>
          <w:w w:val="105"/>
        </w:rPr>
        <w:t>Texcaltitlán</w:t>
      </w:r>
      <w:r>
        <w:rPr>
          <w:color w:val="231F20"/>
          <w:spacing w:val="-12"/>
          <w:w w:val="105"/>
        </w:rPr>
        <w:t> </w:t>
      </w:r>
      <w:r>
        <w:rPr>
          <w:color w:val="231F20"/>
          <w:w w:val="105"/>
        </w:rPr>
        <w:t>y</w:t>
      </w:r>
      <w:r>
        <w:rPr>
          <w:color w:val="231F20"/>
          <w:spacing w:val="-12"/>
          <w:w w:val="105"/>
        </w:rPr>
        <w:t> </w:t>
      </w:r>
      <w:r>
        <w:rPr>
          <w:color w:val="231F20"/>
          <w:w w:val="105"/>
        </w:rPr>
        <w:t>Sultepec</w:t>
      </w:r>
      <w:r>
        <w:rPr>
          <w:color w:val="231F20"/>
          <w:spacing w:val="-12"/>
          <w:w w:val="105"/>
        </w:rPr>
        <w:t> </w:t>
      </w:r>
      <w:r>
        <w:rPr>
          <w:color w:val="231F20"/>
          <w:spacing w:val="-6"/>
          <w:w w:val="105"/>
        </w:rPr>
        <w:t>(este),</w:t>
      </w:r>
      <w:r>
        <w:rPr>
          <w:color w:val="231F20"/>
          <w:spacing w:val="-12"/>
          <w:w w:val="105"/>
        </w:rPr>
        <w:t> </w:t>
      </w:r>
      <w:r>
        <w:rPr>
          <w:color w:val="231F20"/>
          <w:w w:val="105"/>
        </w:rPr>
        <w:t>Luvianos</w:t>
      </w:r>
      <w:r>
        <w:rPr>
          <w:color w:val="231F20"/>
          <w:spacing w:val="-12"/>
          <w:w w:val="105"/>
        </w:rPr>
        <w:t> </w:t>
      </w:r>
      <w:r>
        <w:rPr>
          <w:color w:val="231F20"/>
          <w:spacing w:val="-5"/>
          <w:w w:val="105"/>
        </w:rPr>
        <w:t>(oeste)</w:t>
      </w:r>
      <w:r>
        <w:rPr>
          <w:color w:val="231F20"/>
          <w:spacing w:val="-12"/>
          <w:w w:val="105"/>
        </w:rPr>
        <w:t> </w:t>
      </w:r>
      <w:r>
        <w:rPr>
          <w:color w:val="231F20"/>
          <w:spacing w:val="-3"/>
          <w:w w:val="105"/>
        </w:rPr>
        <w:t>además</w:t>
      </w:r>
      <w:r>
        <w:rPr>
          <w:color w:val="231F20"/>
          <w:spacing w:val="-12"/>
          <w:w w:val="105"/>
        </w:rPr>
        <w:t> </w:t>
      </w:r>
      <w:r>
        <w:rPr>
          <w:color w:val="231F20"/>
          <w:w w:val="105"/>
        </w:rPr>
        <w:t>de</w:t>
      </w:r>
      <w:r>
        <w:rPr>
          <w:color w:val="231F20"/>
          <w:spacing w:val="-12"/>
          <w:w w:val="105"/>
        </w:rPr>
        <w:t> </w:t>
      </w:r>
      <w:r>
        <w:rPr>
          <w:color w:val="231F20"/>
          <w:w w:val="105"/>
        </w:rPr>
        <w:t>compartir límites</w:t>
      </w:r>
      <w:r>
        <w:rPr>
          <w:color w:val="231F20"/>
          <w:spacing w:val="-16"/>
          <w:w w:val="105"/>
        </w:rPr>
        <w:t> </w:t>
      </w:r>
      <w:r>
        <w:rPr>
          <w:color w:val="231F20"/>
          <w:w w:val="105"/>
        </w:rPr>
        <w:t>al</w:t>
      </w:r>
      <w:r>
        <w:rPr>
          <w:color w:val="231F20"/>
          <w:spacing w:val="-16"/>
          <w:w w:val="105"/>
        </w:rPr>
        <w:t> </w:t>
      </w:r>
      <w:r>
        <w:rPr>
          <w:color w:val="231F20"/>
          <w:w w:val="105"/>
        </w:rPr>
        <w:t>oeste</w:t>
      </w:r>
      <w:r>
        <w:rPr>
          <w:color w:val="231F20"/>
          <w:spacing w:val="-16"/>
          <w:w w:val="105"/>
        </w:rPr>
        <w:t> </w:t>
      </w:r>
      <w:r>
        <w:rPr>
          <w:color w:val="231F20"/>
          <w:spacing w:val="-3"/>
          <w:w w:val="105"/>
        </w:rPr>
        <w:t>con</w:t>
      </w:r>
      <w:r>
        <w:rPr>
          <w:color w:val="231F20"/>
          <w:spacing w:val="-16"/>
          <w:w w:val="105"/>
        </w:rPr>
        <w:t> </w:t>
      </w:r>
      <w:r>
        <w:rPr>
          <w:color w:val="231F20"/>
          <w:spacing w:val="-3"/>
          <w:w w:val="105"/>
        </w:rPr>
        <w:t>los</w:t>
      </w:r>
      <w:r>
        <w:rPr>
          <w:color w:val="231F20"/>
          <w:spacing w:val="-16"/>
          <w:w w:val="105"/>
        </w:rPr>
        <w:t> </w:t>
      </w:r>
      <w:r>
        <w:rPr>
          <w:color w:val="231F20"/>
          <w:spacing w:val="-3"/>
          <w:w w:val="105"/>
        </w:rPr>
        <w:t>Estados</w:t>
      </w:r>
      <w:r>
        <w:rPr>
          <w:color w:val="231F20"/>
          <w:spacing w:val="-16"/>
          <w:w w:val="105"/>
        </w:rPr>
        <w:t> </w:t>
      </w:r>
      <w:r>
        <w:rPr>
          <w:color w:val="231F20"/>
          <w:w w:val="105"/>
        </w:rPr>
        <w:t>de</w:t>
      </w:r>
      <w:r>
        <w:rPr>
          <w:color w:val="231F20"/>
          <w:spacing w:val="-16"/>
          <w:w w:val="105"/>
        </w:rPr>
        <w:t> </w:t>
      </w:r>
      <w:r>
        <w:rPr>
          <w:color w:val="231F20"/>
          <w:spacing w:val="-3"/>
          <w:w w:val="105"/>
        </w:rPr>
        <w:t>Michoacán</w:t>
      </w:r>
      <w:r>
        <w:rPr>
          <w:color w:val="231F20"/>
          <w:spacing w:val="-16"/>
          <w:w w:val="105"/>
        </w:rPr>
        <w:t> </w:t>
      </w:r>
      <w:r>
        <w:rPr>
          <w:color w:val="231F20"/>
          <w:w w:val="105"/>
        </w:rPr>
        <w:t>y</w:t>
      </w:r>
      <w:r>
        <w:rPr>
          <w:color w:val="231F20"/>
          <w:spacing w:val="-16"/>
          <w:w w:val="105"/>
        </w:rPr>
        <w:t> </w:t>
      </w:r>
      <w:r>
        <w:rPr>
          <w:color w:val="231F20"/>
          <w:spacing w:val="-4"/>
          <w:w w:val="105"/>
        </w:rPr>
        <w:t>Guerrero,</w:t>
      </w:r>
      <w:r>
        <w:rPr>
          <w:color w:val="231F20"/>
          <w:spacing w:val="-16"/>
          <w:w w:val="105"/>
        </w:rPr>
        <w:t> </w:t>
      </w:r>
      <w:r>
        <w:rPr>
          <w:color w:val="231F20"/>
          <w:spacing w:val="-4"/>
          <w:w w:val="105"/>
        </w:rPr>
        <w:t>como</w:t>
      </w:r>
      <w:r>
        <w:rPr>
          <w:color w:val="231F20"/>
          <w:spacing w:val="-16"/>
          <w:w w:val="105"/>
        </w:rPr>
        <w:t> </w:t>
      </w:r>
      <w:r>
        <w:rPr>
          <w:color w:val="231F20"/>
          <w:w w:val="105"/>
        </w:rPr>
        <w:t>se</w:t>
      </w:r>
      <w:r>
        <w:rPr>
          <w:color w:val="231F20"/>
          <w:spacing w:val="-16"/>
          <w:w w:val="105"/>
        </w:rPr>
        <w:t> </w:t>
      </w:r>
      <w:r>
        <w:rPr>
          <w:color w:val="231F20"/>
          <w:spacing w:val="-3"/>
          <w:w w:val="105"/>
        </w:rPr>
        <w:t>aprecia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mapa</w:t>
      </w:r>
      <w:r>
        <w:rPr>
          <w:color w:val="231F20"/>
          <w:spacing w:val="-16"/>
          <w:w w:val="105"/>
        </w:rPr>
        <w:t> </w:t>
      </w:r>
      <w:r>
        <w:rPr>
          <w:color w:val="231F20"/>
          <w:spacing w:val="-4"/>
          <w:w w:val="105"/>
        </w:rPr>
        <w:t>1.</w:t>
      </w:r>
    </w:p>
    <w:p>
      <w:pPr>
        <w:pStyle w:val="BodyText"/>
        <w:spacing w:before="1"/>
        <w:rPr>
          <w:sz w:val="26"/>
        </w:rPr>
      </w:pPr>
    </w:p>
    <w:p>
      <w:pPr>
        <w:pStyle w:val="Heading5"/>
        <w:ind w:left="1189"/>
      </w:pPr>
      <w:r>
        <w:rPr>
          <w:color w:val="231F20"/>
          <w:w w:val="105"/>
        </w:rPr>
        <w:t>Mapa 1. Ubicación geográftca de Tejupilco, Estado de México</w:t>
      </w:r>
    </w:p>
    <w:p>
      <w:pPr>
        <w:spacing w:before="100"/>
        <w:ind w:left="0" w:right="108" w:firstLine="0"/>
        <w:jc w:val="right"/>
        <w:rPr>
          <w:rFonts w:ascii="Calibri"/>
          <w:sz w:val="16"/>
        </w:rPr>
      </w:pPr>
      <w:r>
        <w:rPr/>
        <w:pict>
          <v:group style="position:absolute;margin-left:121.134003pt;margin-top:21.617474pt;width:238.1pt;height:167pt;mso-position-horizontal-relative:page;mso-position-vertical-relative:paragraph;z-index:7960;mso-wrap-distance-left:0;mso-wrap-distance-right:0" coordorigin="2423,432" coordsize="4762,3340">
            <v:shape style="position:absolute;left:2423;top:432;width:4224;height:3340" type="#_x0000_t75" stroked="false">
              <v:imagedata r:id="rId317" o:title=""/>
            </v:shape>
            <v:shape style="position:absolute;left:2627;top:905;width:730;height:120" type="#_x0000_t75" stroked="false">
              <v:imagedata r:id="rId318" o:title=""/>
            </v:shape>
            <v:shape style="position:absolute;left:3655;top:888;width:83;height:92" coordorigin="3655,888" coordsize="83,92" path="m3709,888l3684,888,3675,892,3668,898,3660,906,3655,918,3655,950,3660,961,3668,970,3675,976,3684,980,3709,980,3718,976,3725,970,3730,964,3690,964,3684,962,3675,951,3673,944,3673,924,3675,917,3684,906,3690,904,3731,904,3725,898,3718,892,3709,888xm3731,904l3704,904,3709,906,3710,906,3718,917,3720,924,3720,944,3718,951,3709,962,3704,964,3730,964,3734,961,3738,950,3738,918,3734,906,3731,904xe" filled="true" fillcolor="#231f20" stroked="false">
              <v:path arrowok="t"/>
              <v:fill type="solid"/>
            </v:shape>
            <v:shape style="position:absolute;left:3745;top:891;width:70;height:87" coordorigin="3745,891" coordsize="70,87" path="m3789,906l3771,906,3771,977,3789,977,3789,906xm3815,891l3745,891,3745,906,3815,906,3815,891xe" filled="true" fillcolor="#231f20" stroked="false">
              <v:path arrowok="t"/>
              <v:fill type="solid"/>
            </v:shape>
            <v:shape style="position:absolute;left:3819;top:891;width:67;height:87" coordorigin="3819,891" coordsize="67,87" path="m3886,891l3820,891,3820,906,3863,906,3819,962,3819,977,3886,977,3886,962,3841,962,3886,905,3886,891xe" filled="true" fillcolor="#231f20" stroked="false">
              <v:path arrowok="t"/>
              <v:fill type="solid"/>
            </v:shape>
            <v:shape style="position:absolute;left:3895;top:888;width:83;height:92" coordorigin="3895,888" coordsize="83,92" path="m3949,888l3924,888,3915,892,3908,898,3900,906,3895,918,3895,950,3900,961,3908,970,3915,976,3924,980,3949,980,3958,976,3965,970,3970,964,3929,964,3924,962,3915,951,3913,944,3913,924,3915,917,3924,906,3929,904,3971,904,3965,898,3958,892,3949,888xm3971,904l3944,904,3949,906,3949,906,3958,917,3960,924,3960,944,3958,951,3949,962,3944,964,3970,964,3974,961,3978,950,3978,918,3974,906,3971,904xe" filled="true" fillcolor="#231f20" stroked="false">
              <v:path arrowok="t"/>
              <v:fill type="solid"/>
            </v:shape>
            <v:shape style="position:absolute;left:3992;top:891;width:62;height:87" coordorigin="3992,891" coordsize="62,87" path="m4010,891l3992,891,3992,977,4053,977,4053,962,4010,962,4010,891xe" filled="true" fillcolor="#231f20" stroked="false">
              <v:path arrowok="t"/>
              <v:fill type="solid"/>
            </v:shape>
            <v:shape style="position:absolute;left:4062;top:888;width:83;height:92" coordorigin="4062,888" coordsize="83,92" path="m4116,888l4091,888,4081,892,4075,898,4066,906,4062,918,4062,950,4066,961,4075,970,4081,976,4091,980,4116,980,4125,976,4132,970,4137,964,4096,964,4090,962,4082,951,4080,944,4080,924,4082,917,4090,906,4096,904,4137,904,4132,898,4125,892,4116,888xm4137,904l4110,904,4116,906,4116,906,4124,917,4127,924,4127,944,4124,951,4116,962,4110,964,4137,964,4140,961,4145,950,4145,918,4140,906,4137,904xe" filled="true" fillcolor="#231f20" stroked="false">
              <v:path arrowok="t"/>
              <v:fill type="solid"/>
            </v:shape>
            <v:shape style="position:absolute;left:4152;top:891;width:82;height:87" coordorigin="4152,891" coordsize="82,87" path="m4203,891l4183,891,4152,977,4171,977,4177,960,4228,960,4223,945,4182,945,4193,911,4210,911,4203,891xm4228,960l4209,960,4214,977,4234,977,4228,960xm4210,911l4193,911,4204,945,4223,945,4210,911xe" filled="true" fillcolor="#231f20" stroked="false">
              <v:path arrowok="t"/>
              <v:fill type="solid"/>
            </v:shape>
            <v:shape style="position:absolute;left:4245;top:891;width:66;height:87" coordorigin="4245,891" coordsize="66,87" path="m4291,891l4245,891,4245,977,4263,977,4263,946,4291,946,4298,944,4308,936,4310,931,4263,931,4263,906,4309,906,4308,902,4298,893,4291,891xm4309,906l4284,906,4287,907,4292,911,4293,914,4293,923,4292,926,4287,930,4284,931,4310,931,4311,929,4311,909,4309,906xe" filled="true" fillcolor="#231f20" stroked="false">
              <v:path arrowok="t"/>
              <v:fill type="solid"/>
            </v:shape>
            <v:shape style="position:absolute;left:4310;top:891;width:82;height:87" coordorigin="4310,891" coordsize="82,87" path="m4361,891l4341,891,4310,977,4329,977,4335,960,4386,960,4380,945,4340,945,4351,911,4368,911,4361,891xm4386,960l4367,960,4372,977,4392,977,4386,960xm4368,911l4351,911,4362,945,4380,945,4368,911xe" filled="true" fillcolor="#231f20" stroked="false">
              <v:path arrowok="t"/>
              <v:fill type="solid"/>
            </v:shape>
            <v:shape style="position:absolute;left:4403;top:891;width:71;height:87" coordorigin="4403,891" coordsize="71,87" path="m4422,891l4403,891,4403,977,4419,977,4419,916,4436,916,4422,891xm4436,916l4419,916,4455,977,4473,977,4473,951,4456,951,4436,916xm4473,891l4456,891,4456,951,4473,951,4473,891xe" filled="true" fillcolor="#231f20" stroked="false">
              <v:path arrowok="t"/>
              <v:fill type="solid"/>
            </v:shape>
            <v:shape style="position:absolute;left:4175;top:1175;width:67;height:87" coordorigin="4175,1175" coordsize="67,87" path="m4241,1175l4176,1175,4176,1190,4219,1190,4175,1246,4175,1262,4242,1262,4242,1246,4197,1246,4241,1190,4241,1175xe" filled="true" fillcolor="#231f20" stroked="false">
              <v:path arrowok="t"/>
              <v:fill type="solid"/>
            </v:shape>
            <v:shape style="position:absolute;left:4248;top:1175;width:82;height:87" coordorigin="4248,1175" coordsize="82,87" path="m4299,1175l4279,1175,4248,1262,4267,1262,4273,1244,4324,1244,4318,1229,4278,1229,4289,1195,4306,1195,4299,1175xm4324,1244l4305,1244,4310,1262,4330,1262,4324,1244xm4306,1195l4289,1195,4300,1229,4318,1229,4306,1195xe" filled="true" fillcolor="#231f20" stroked="false">
              <v:path arrowok="t"/>
              <v:fill type="solid"/>
            </v:shape>
            <v:shape style="position:absolute;left:4337;top:1174;width:76;height:91" coordorigin="4337,1174" coordsize="76,91" path="m4390,1174l4365,1174,4356,1177,4341,1192,4337,1204,4337,1233,4341,1244,4348,1252,4355,1260,4364,1264,4387,1264,4395,1261,4407,1249,4408,1248,4370,1248,4365,1246,4358,1236,4356,1229,4356,1210,4357,1202,4365,1192,4370,1189,4408,1189,4401,1178,4390,1174xm4413,1232l4395,1232,4394,1237,4392,1240,4391,1242,4387,1246,4383,1248,4408,1248,4411,1242,4413,1232xm4408,1189l4383,1189,4387,1191,4393,1197,4394,1200,4395,1204,4413,1204,4413,1199,4411,1193,4408,1189xe" filled="true" fillcolor="#231f20" stroked="false">
              <v:path arrowok="t"/>
              <v:fill type="solid"/>
            </v:shape>
            <v:shape style="position:absolute;left:4421;top:1175;width:82;height:87" coordorigin="4421,1175" coordsize="82,87" path="m4473,1175l4452,1175,4421,1262,4440,1262,4446,1244,4497,1244,4492,1229,4451,1229,4462,1195,4480,1195,4473,1175xm4497,1244l4478,1244,4484,1262,4503,1262,4497,1244xm4480,1195l4462,1195,4473,1229,4492,1229,4480,1195xe" filled="true" fillcolor="#231f20" stroked="false">
              <v:path arrowok="t"/>
              <v:fill type="solid"/>
            </v:shape>
            <v:shape style="position:absolute;left:4508;top:1175;width:67;height:87" coordorigin="4508,1175" coordsize="67,87" path="m4575,1175l4509,1175,4509,1190,4552,1190,4508,1246,4508,1262,4575,1262,4575,1246,4530,1246,4575,1190,4575,1175xe" filled="true" fillcolor="#231f20" stroked="false">
              <v:path arrowok="t"/>
              <v:fill type="solid"/>
            </v:shape>
            <v:shape style="position:absolute;left:4584;top:1173;width:83;height:92" coordorigin="4584,1173" coordsize="83,92" path="m4638,1173l4613,1173,4604,1176,4597,1183,4589,1191,4584,1202,4584,1234,4589,1246,4597,1254,4604,1261,4613,1264,4638,1264,4648,1261,4654,1254,4660,1249,4619,1249,4613,1246,4604,1235,4602,1228,4602,1208,4604,1201,4613,1190,4619,1188,4660,1188,4654,1183,4648,1176,4638,1173xm4660,1188l4633,1188,4639,1190,4639,1191,4647,1201,4649,1208,4649,1228,4647,1235,4639,1246,4633,1249,4660,1249,4663,1246,4667,1234,4667,1202,4663,1191,4660,1188xe" filled="true" fillcolor="#231f20" stroked="false">
              <v:path arrowok="t"/>
              <v:fill type="solid"/>
            </v:shape>
            <v:shape style="position:absolute;left:4681;top:1175;width:71;height:87" coordorigin="4681,1175" coordsize="71,87" path="m4700,1175l4681,1175,4681,1262,4697,1262,4697,1200,4714,1200,4700,1175xm4714,1200l4697,1200,4733,1262,4751,1262,4751,1235,4734,1235,4714,1200xm4751,1175l4734,1175,4734,1235,4751,1235,4751,1175xe" filled="true" fillcolor="#231f20" stroked="false">
              <v:path arrowok="t"/>
              <v:fill type="solid"/>
            </v:shape>
            <v:shape style="position:absolute;left:4761;top:1175;width:82;height:87" coordorigin="4761,1175" coordsize="82,87" path="m4813,1175l4792,1175,4761,1262,4780,1262,4786,1244,4837,1244,4832,1229,4791,1229,4802,1195,4820,1195,4813,1175xm4837,1244l4818,1244,4824,1262,4843,1262,4837,1244xm4820,1195l4802,1195,4813,1229,4832,1229,4820,1195xe" filled="true" fillcolor="#231f20" stroked="false">
              <v:path arrowok="t"/>
              <v:fill type="solid"/>
            </v:shape>
            <v:shape style="position:absolute;left:4855;top:1175;width:66;height:87" coordorigin="4855,1175" coordsize="66,87" path="m4900,1175l4855,1175,4855,1262,4873,1262,4873,1230,4900,1230,4907,1228,4917,1220,4919,1216,4873,1216,4873,1190,4919,1190,4917,1186,4907,1177,4900,1175xm4919,1190l4893,1190,4896,1191,4901,1195,4902,1198,4902,1207,4901,1210,4896,1215,4893,1216,4919,1216,4920,1213,4920,1193,4919,1190xe" filled="true" fillcolor="#231f20" stroked="false">
              <v:path arrowok="t"/>
              <v:fill type="solid"/>
            </v:shape>
            <v:shape style="position:absolute;left:4919;top:1175;width:82;height:87" coordorigin="4919,1175" coordsize="82,87" path="m4971,1175l4950,1175,4919,1262,4938,1262,4944,1244,4995,1244,4990,1229,4949,1229,4960,1195,4977,1195,4971,1175xm4995,1244l4976,1244,4981,1262,5001,1262,4995,1244xm4977,1195l4960,1195,4971,1229,4990,1229,4977,1195xe" filled="true" fillcolor="#231f20" stroked="false">
              <v:path arrowok="t"/>
              <v:fill type="solid"/>
            </v:shape>
            <v:shape style="position:absolute;left:5012;top:1175;width:71;height:87" coordorigin="5012,1175" coordsize="71,87" path="m5031,1175l5012,1175,5012,1262,5029,1262,5029,1200,5045,1200,5031,1175xm5045,1200l5029,1200,5064,1262,5082,1262,5082,1235,5065,1235,5045,1200xm5082,1175l5065,1175,5065,1235,5082,1235,5082,1175xe" filled="true" fillcolor="#231f20" stroked="false">
              <v:path arrowok="t"/>
              <v:fill type="solid"/>
            </v:shape>
            <v:shape style="position:absolute;left:5300;top:1223;width:70;height:87" coordorigin="5300,1223" coordsize="70,87" path="m5345,1238l5326,1238,5326,1309,5345,1309,5345,1238xm5370,1223l5300,1223,5300,1238,5370,1238,5370,1223xe" filled="true" fillcolor="#231f20" stroked="false">
              <v:path arrowok="t"/>
              <v:fill type="solid"/>
            </v:shape>
            <v:shape style="position:absolute;left:5381;top:1223;width:66;height:87" coordorigin="5381,1223" coordsize="66,87" path="m5445,1223l5381,1223,5381,1309,5447,1309,5447,1293,5399,1293,5399,1271,5441,1271,5441,1256,5399,1256,5399,1238,5445,1238,5445,1223xe" filled="true" fillcolor="#231f20" stroked="false">
              <v:path arrowok="t"/>
              <v:fill type="solid"/>
            </v:shape>
            <v:shape style="position:absolute;left:5461;top:1223;width:84;height:87" coordorigin="5461,1223" coordsize="84,87" path="m5487,1223l5461,1223,5461,1309,5477,1309,5477,1237,5490,1237,5487,1223xm5490,1237l5477,1237,5494,1309,5511,1309,5515,1291,5503,1291,5490,1237xm5544,1237l5528,1237,5527,1309,5544,1309,5544,1237xm5544,1223l5518,1223,5503,1291,5515,1291,5528,1237,5544,1237,5544,1223xe" filled="true" fillcolor="#231f20" stroked="false">
              <v:path arrowok="t"/>
              <v:fill type="solid"/>
            </v:shape>
            <v:shape style="position:absolute;left:5555;top:1223;width:82;height:87" coordorigin="5555,1223" coordsize="82,87" path="m5606,1223l5586,1223,5555,1309,5574,1309,5580,1291,5630,1291,5625,1276,5584,1276,5596,1242,5613,1242,5606,1223xm5630,1291l5611,1291,5617,1309,5637,1309,5630,1291xm5613,1242l5596,1242,5607,1276,5625,1276,5613,1242xe" filled="true" fillcolor="#231f20" stroked="false">
              <v:path arrowok="t"/>
              <v:fill type="solid"/>
            </v:shape>
            <v:shape style="position:absolute;left:5643;top:1220;width:72;height:92" coordorigin="5643,1220" coordsize="72,92" path="m5661,1282l5643,1282,5644,1292,5647,1298,5660,1309,5669,1311,5691,1311,5700,1309,5712,1298,5713,1297,5672,1297,5667,1295,5662,1289,5661,1286,5661,1282xm5688,1220l5667,1220,5659,1223,5648,1233,5645,1239,5645,1256,5648,1262,5654,1266,5657,1268,5663,1270,5687,1276,5691,1277,5694,1278,5696,1280,5698,1282,5698,1290,5695,1293,5687,1296,5684,1297,5713,1297,5715,1292,5715,1276,5712,1270,5704,1264,5699,1261,5671,1255,5667,1254,5663,1251,5661,1249,5661,1242,5663,1240,5669,1236,5672,1235,5710,1235,5708,1232,5695,1223,5688,1220xm5710,1235l5681,1235,5685,1236,5692,1239,5695,1243,5695,1248,5712,1248,5712,1239,5710,1235xe" filled="true" fillcolor="#231f20" stroked="false">
              <v:path arrowok="t"/>
              <v:fill type="solid"/>
            </v:shape>
            <v:shape style="position:absolute;left:5724;top:1221;width:76;height:91" coordorigin="5724,1221" coordsize="76,91" path="m5777,1221l5752,1221,5743,1225,5728,1240,5724,1251,5724,1280,5727,1291,5741,1307,5751,1311,5773,1311,5781,1308,5794,1297,5795,1296,5757,1296,5752,1293,5744,1284,5742,1277,5742,1257,5744,1250,5752,1239,5757,1236,5795,1236,5787,1226,5777,1221xm5800,1280l5782,1280,5781,1284,5779,1287,5777,1290,5774,1294,5769,1296,5795,1296,5798,1289,5800,1280xm5795,1236l5769,1236,5774,1238,5779,1244,5781,1247,5782,1251,5800,1251,5800,1246,5798,1241,5795,1236xe" filled="true" fillcolor="#231f20" stroked="false">
              <v:path arrowok="t"/>
              <v:fill type="solid"/>
            </v:shape>
            <v:shape style="position:absolute;left:5808;top:1223;width:82;height:87" coordorigin="5808,1223" coordsize="82,87" path="m5859,1223l5839,1223,5808,1309,5827,1309,5833,1291,5884,1291,5878,1276,5838,1276,5849,1242,5866,1242,5859,1223xm5884,1291l5865,1291,5870,1309,5890,1309,5884,1291xm5866,1242l5849,1242,5860,1276,5878,1276,5866,1242xe" filled="true" fillcolor="#231f20" stroked="false">
              <v:path arrowok="t"/>
              <v:fill type="solid"/>
            </v:shape>
            <v:shape style="position:absolute;left:5901;top:1223;width:62;height:87" coordorigin="5901,1223" coordsize="62,87" path="m5919,1223l5901,1223,5901,1309,5962,1309,5962,1293,5919,1293,5919,1223xe" filled="true" fillcolor="#231f20" stroked="false">
              <v:path arrowok="t"/>
              <v:fill type="solid"/>
            </v:shape>
            <v:shape style="position:absolute;left:5958;top:1223;width:70;height:87" coordorigin="5958,1223" coordsize="70,87" path="m6002,1238l5984,1238,5984,1309,6002,1309,6002,1238xm6028,1223l5958,1223,5958,1238,6028,1238,6028,1223xe" filled="true" fillcolor="#231f20" stroked="false">
              <v:path arrowok="t"/>
              <v:fill type="solid"/>
            </v:shape>
            <v:shape style="position:absolute;left:6039;top:1223;width:66;height:87" coordorigin="6039,1223" coordsize="66,87" path="m6103,1223l6039,1223,6039,1309,6105,1309,6105,1293,6057,1293,6057,1271,6099,1271,6099,1256,6057,1256,6057,1238,6103,1238,6103,1223xe" filled="true" fillcolor="#231f20" stroked="false">
              <v:path arrowok="t"/>
              <v:fill type="solid"/>
            </v:shape>
            <v:shape style="position:absolute;left:6119;top:1223;width:66;height:87" coordorigin="6119,1223" coordsize="66,87" path="m6165,1223l6119,1223,6119,1309,6137,1309,6137,1278,6164,1278,6172,1276,6182,1267,6183,1263,6137,1263,6137,1238,6183,1238,6182,1234,6172,1225,6165,1223xm6183,1238l6157,1238,6161,1239,6165,1242,6166,1246,6166,1255,6165,1258,6161,1262,6157,1263,6183,1263,6184,1260,6184,1241,6183,1238xe" filled="true" fillcolor="#231f20" stroked="false">
              <v:path arrowok="t"/>
              <v:fill type="solid"/>
            </v:shape>
            <v:shape style="position:absolute;left:6199;top:1223;width:66;height:87" coordorigin="6199,1223" coordsize="66,87" path="m6263,1223l6199,1223,6199,1309,6265,1309,6265,1293,6217,1293,6217,1271,6259,1271,6259,1256,6217,1256,6217,1238,6263,1238,6263,1223xe" filled="true" fillcolor="#231f20" stroked="false">
              <v:path arrowok="t"/>
              <v:fill type="solid"/>
            </v:shape>
            <v:shape style="position:absolute;left:6275;top:1221;width:76;height:91" coordorigin="6275,1221" coordsize="76,91" path="m6328,1221l6303,1221,6294,1225,6279,1240,6275,1251,6275,1280,6279,1291,6293,1307,6302,1311,6325,1311,6333,1308,6345,1297,6346,1296,6308,1296,6303,1293,6295,1284,6294,1277,6294,1257,6295,1250,6303,1239,6308,1236,6346,1236,6339,1226,6328,1221xm6351,1280l6333,1280,6332,1284,6330,1287,6328,1290,6325,1294,6321,1296,6346,1296,6349,1289,6351,1280xm6346,1236l6321,1236,6325,1238,6330,1244,6332,1247,6333,1251,6351,1251,6351,1246,6349,1241,6346,1236xe" filled="true" fillcolor="#231f20" stroked="false">
              <v:path arrowok="t"/>
              <v:fill type="solid"/>
            </v:shape>
            <v:shape style="position:absolute;left:5226;top:1546;width:72;height:92" coordorigin="5226,1546" coordsize="72,92" path="m5243,1608l5226,1608,5226,1617,5229,1624,5242,1635,5251,1637,5274,1637,5282,1634,5294,1624,5295,1622,5255,1622,5249,1621,5245,1615,5244,1612,5243,1608xm5270,1546l5250,1546,5242,1549,5230,1559,5227,1565,5227,1581,5230,1588,5236,1592,5239,1594,5246,1596,5270,1601,5274,1603,5279,1606,5280,1608,5280,1616,5278,1619,5270,1622,5266,1622,5295,1622,5298,1617,5298,1602,5295,1596,5286,1589,5281,1587,5254,1581,5250,1580,5245,1577,5244,1575,5244,1568,5245,1566,5251,1562,5255,1561,5292,1561,5291,1558,5278,1548,5270,1546xm5292,1561l5264,1561,5268,1562,5275,1565,5277,1569,5277,1574,5295,1574,5294,1565,5292,1561xe" filled="true" fillcolor="#231f20" stroked="false">
              <v:path arrowok="t"/>
              <v:fill type="solid"/>
            </v:shape>
            <v:shape style="position:absolute;left:5304;top:1548;width:82;height:87" coordorigin="5304,1548" coordsize="82,87" path="m5355,1548l5335,1548,5304,1635,5323,1635,5329,1617,5380,1617,5374,1602,5334,1602,5345,1568,5362,1568,5355,1548xm5380,1617l5361,1617,5366,1635,5386,1635,5380,1617xm5362,1568l5345,1568,5356,1602,5374,1602,5362,1568xe" filled="true" fillcolor="#231f20" stroked="false">
              <v:path arrowok="t"/>
              <v:fill type="solid"/>
            </v:shape>
            <v:shape style="position:absolute;left:5397;top:1548;width:70;height:87" coordorigin="5397,1548" coordsize="70,87" path="m5415,1548l5397,1548,5397,1635,5413,1635,5413,1574,5430,1574,5415,1548xm5430,1574l5413,1574,5449,1635,5467,1635,5467,1609,5450,1609,5430,1574xm5467,1548l5450,1548,5450,1609,5467,1609,5467,1548xe" filled="true" fillcolor="#231f20" stroked="false">
              <v:path arrowok="t"/>
              <v:fill type="solid"/>
            </v:shape>
            <v:shape style="position:absolute;left:5513;top:1521;width:381;height:122" type="#_x0000_t75" stroked="false">
              <v:imagedata r:id="rId319" o:title=""/>
            </v:shape>
            <v:shape style="position:absolute;left:5230;top:1692;width:74;height:87" coordorigin="5230,1692" coordsize="74,87" path="m5230,1692l5230,1779,5280,1779,5290,1773,5296,1764,5248,1764,5248,1707,5297,1707,5292,1700,5287,1696,5277,1693,5273,1693,5230,1692xm5297,1707l5273,1707,5278,1710,5284,1719,5285,1726,5285,1741,5284,1747,5279,1760,5273,1764,5296,1764,5301,1755,5303,1745,5303,1729,5303,1724,5301,1714,5298,1710,5297,1707xe" filled="true" fillcolor="#231f20" stroked="false">
              <v:path arrowok="t"/>
              <v:fill type="solid"/>
            </v:shape>
            <v:shape style="position:absolute;left:5317;top:1692;width:66;height:87" coordorigin="5317,1692" coordsize="66,87" path="m5381,1692l5317,1692,5317,1779,5383,1779,5383,1763,5335,1763,5335,1741,5377,1741,5377,1726,5335,1726,5335,1708,5381,1708,5381,1692xe" filled="true" fillcolor="#231f20" stroked="false">
              <v:path arrowok="t"/>
              <v:fill type="solid"/>
            </v:shape>
            <v:shape style="position:absolute;left:5426;top:1690;width:81;height:91" coordorigin="5426,1690" coordsize="81,91" path="m5479,1690l5455,1690,5445,1694,5430,1711,5426,1723,5426,1750,5430,1761,5437,1769,5445,1777,5454,1781,5473,1781,5478,1780,5483,1777,5486,1775,5489,1772,5493,1768,5506,1768,5506,1766,5462,1766,5457,1764,5447,1755,5444,1747,5444,1726,5447,1718,5456,1708,5461,1705,5502,1705,5501,1704,5488,1693,5479,1690xm5506,1768l5493,1768,5494,1779,5506,1779,5506,1768xm5506,1732l5470,1732,5470,1747,5490,1747,5489,1753,5487,1757,5479,1764,5474,1766,5506,1766,5506,1732xm5502,1705l5472,1705,5475,1706,5484,1709,5487,1714,5488,1719,5506,1719,5505,1711,5502,1705xe" filled="true" fillcolor="#231f20" stroked="false">
              <v:path arrowok="t"/>
              <v:fill type="solid"/>
            </v:shape>
            <v:shape style="position:absolute;left:5524;top:1692;width:71;height:87" coordorigin="5524,1692" coordsize="71,87" path="m5524,1692l5524,1779,5542,1779,5542,1745,5588,1745,5586,1741,5583,1739,5580,1738,5584,1736,5588,1733,5589,1731,5542,1731,5542,1707,5591,1707,5590,1705,5589,1703,5587,1701,5585,1698,5582,1696,5576,1693,5571,1693,5524,1692xm5588,1745l5564,1745,5568,1746,5571,1750,5572,1753,5572,1769,5573,1772,5573,1776,5574,1777,5574,1779,5594,1779,5594,1777,5593,1776,5591,1774,5591,1770,5590,1752,5590,1747,5588,1745xm5591,1707l5565,1707,5568,1708,5573,1711,5575,1714,5575,1724,5573,1728,5568,1730,5565,1731,5589,1731,5592,1725,5593,1721,5593,1714,5592,1711,5591,1707xe" filled="true" fillcolor="#231f20" stroked="false">
              <v:path arrowok="t"/>
              <v:fill type="solid"/>
            </v:shape>
            <v:shape style="position:absolute;left:5607;top:1690;width:83;height:92" coordorigin="5607,1690" coordsize="83,92" path="m5661,1690l5636,1690,5627,1693,5620,1700,5611,1708,5607,1720,5607,1751,5611,1763,5620,1771,5627,1778,5636,1781,5661,1781,5670,1778,5677,1771,5682,1766,5641,1766,5636,1763,5627,1753,5625,1745,5625,1726,5627,1718,5636,1708,5641,1705,5682,1705,5677,1700,5670,1693,5661,1690xm5682,1705l5656,1705,5661,1708,5661,1708,5670,1718,5672,1726,5672,1745,5670,1753,5661,1763,5656,1766,5682,1766,5685,1763,5690,1751,5690,1720,5685,1708,5682,1705xe" filled="true" fillcolor="#231f20" stroked="false">
              <v:path arrowok="t"/>
              <v:fill type="solid"/>
            </v:shape>
            <v:shape style="position:absolute;left:5693;top:1833;width:70;height:87" coordorigin="5693,1833" coordsize="70,87" path="m5737,1849l5719,1849,5719,1920,5737,1920,5737,1849xm5763,1833l5693,1833,5693,1849,5763,1849,5763,1833xe" filled="true" fillcolor="#231f20" stroked="false">
              <v:path arrowok="t"/>
              <v:fill type="solid"/>
            </v:shape>
            <v:shape style="position:absolute;left:5774;top:1833;width:66;height:87" coordorigin="5774,1833" coordsize="66,87" path="m5837,1833l5774,1833,5774,1920,5839,1920,5839,1904,5792,1904,5792,1882,5834,1882,5834,1867,5792,1867,5792,1849,5837,1849,5837,1833xe" filled="true" fillcolor="#231f20" stroked="false">
              <v:path arrowok="t"/>
              <v:fill type="solid"/>
            </v:shape>
            <v:shape style="position:absolute;left:5846;top:1833;width:77;height:87" coordorigin="5846,1833" coordsize="77,87" path="m5869,1833l5848,1833,5874,1876,5846,1920,5867,1920,5885,1890,5904,1890,5895,1875,5903,1862,5885,1862,5869,1833xm5904,1890l5885,1890,5901,1920,5923,1920,5904,1890xm5921,1833l5900,1833,5885,1862,5903,1862,5921,1833xe" filled="true" fillcolor="#231f20" stroked="false">
              <v:path arrowok="t"/>
              <v:fill type="solid"/>
            </v:shape>
            <v:shape style="position:absolute;left:5930;top:1832;width:76;height:91" coordorigin="5930,1832" coordsize="76,91" path="m5983,1832l5958,1832,5949,1835,5934,1851,5930,1862,5930,1891,5933,1902,5947,1918,5957,1922,5979,1922,5987,1919,6000,1908,6001,1907,5963,1907,5958,1904,5950,1895,5948,1887,5948,1868,5950,1860,5957,1850,5963,1847,6001,1847,5993,1837,5983,1832xm6006,1890l5988,1890,5986,1895,5985,1898,5983,1900,5980,1905,5975,1907,6001,1907,6004,1900,6006,1890xm6001,1847l5975,1847,5980,1849,5985,1855,5987,1858,5988,1862,6006,1862,6005,1857,6004,1851,6001,1847xe" filled="true" fillcolor="#231f20" stroked="false">
              <v:path arrowok="t"/>
              <v:fill type="solid"/>
            </v:shape>
            <v:shape style="position:absolute;left:6014;top:1833;width:82;height:87" coordorigin="6014,1833" coordsize="82,87" path="m6065,1833l6045,1833,6014,1920,6033,1920,6039,1902,6090,1902,6084,1887,6044,1887,6055,1853,6072,1853,6065,1833xm6090,1902l6071,1902,6076,1920,6096,1920,6090,1902xm6072,1853l6055,1853,6066,1887,6084,1887,6072,1853xe" filled="true" fillcolor="#231f20" stroked="false">
              <v:path arrowok="t"/>
              <v:fill type="solid"/>
            </v:shape>
            <v:shape style="position:absolute;left:6107;top:1833;width:62;height:87" coordorigin="6107,1833" coordsize="62,87" path="m6125,1833l6107,1833,6107,1920,6168,1920,6168,1904,6125,1904,6125,1833xe" filled="true" fillcolor="#231f20" stroked="false">
              <v:path arrowok="t"/>
              <v:fill type="solid"/>
            </v:shape>
            <v:shape style="position:absolute;left:6164;top:1833;width:70;height:87" coordorigin="6164,1833" coordsize="70,87" path="m6208,1849l6190,1849,6190,1920,6208,1920,6208,1849xm6234,1833l6164,1833,6164,1849,6234,1849,6234,1833xe" filled="true" fillcolor="#231f20" stroked="false">
              <v:path arrowok="t"/>
              <v:fill type="solid"/>
            </v:shape>
            <v:line style="position:absolute" from="6252,1833" to="6252,1920" stroked="true" strokeweight=".896pt" strokecolor="#231f20"/>
            <v:shape style="position:absolute;left:6271;top:1833;width:70;height:87" coordorigin="6271,1833" coordsize="70,87" path="m6315,1849l6297,1849,6297,1920,6315,1920,6315,1849xm6341,1833l6271,1833,6271,1849,6341,1849,6341,1833xe" filled="true" fillcolor="#231f20" stroked="false">
              <v:path arrowok="t"/>
              <v:fill type="solid"/>
            </v:shape>
            <v:shape style="position:absolute;left:6351;top:1833;width:62;height:87" coordorigin="6351,1833" coordsize="62,87" path="m6369,1833l6351,1833,6351,1920,6412,1920,6412,1904,6369,1904,6369,1833xe" filled="true" fillcolor="#231f20" stroked="false">
              <v:path arrowok="t"/>
              <v:fill type="solid"/>
            </v:shape>
            <v:shape style="position:absolute;left:6418;top:1809;width:82;height:111" coordorigin="6418,1809" coordsize="82,111" path="m6470,1833l6449,1833,6418,1920,6437,1920,6443,1902,6494,1902,6489,1887,6448,1887,6459,1853,6477,1853,6470,1833xm6494,1902l6475,1902,6481,1920,6500,1920,6494,1902xm6477,1853l6459,1853,6470,1887,6489,1887,6477,1853xm6479,1809l6461,1809,6449,1827,6461,1827,6479,1809xe" filled="true" fillcolor="#231f20" stroked="false">
              <v:path arrowok="t"/>
              <v:fill type="solid"/>
            </v:shape>
            <v:shape style="position:absolute;left:6511;top:1833;width:70;height:87" coordorigin="6511,1833" coordsize="70,87" path="m6530,1833l6511,1833,6511,1920,6528,1920,6528,1859,6544,1859,6530,1833xm6544,1859l6528,1859,6563,1920,6581,1920,6581,1894,6564,1894,6544,1859xm6581,1833l6564,1833,6564,1894,6581,1894,6581,1833xe" filled="true" fillcolor="#231f20" stroked="false">
              <v:path arrowok="t"/>
              <v:fill type="solid"/>
            </v:shape>
            <v:shape style="position:absolute;left:5386;top:2745;width:72;height:92" coordorigin="5386,2745" coordsize="72,92" path="m5403,2807l5386,2807,5386,2817,5389,2823,5402,2834,5411,2836,5434,2836,5442,2834,5454,2823,5455,2822,5415,2822,5409,2820,5405,2814,5404,2811,5403,2807xm5430,2745l5410,2745,5402,2748,5390,2758,5387,2764,5387,2781,5390,2787,5396,2791,5399,2793,5406,2795,5430,2801,5434,2802,5439,2805,5440,2807,5440,2815,5438,2818,5430,2821,5426,2822,5455,2822,5458,2817,5458,2801,5455,2795,5446,2789,5441,2786,5414,2780,5410,2779,5405,2776,5404,2774,5404,2767,5405,2765,5411,2761,5415,2760,5452,2760,5451,2757,5438,2748,5430,2745xm5452,2760l5424,2760,5428,2761,5435,2764,5437,2768,5437,2773,5455,2773,5454,2764,5452,2760xe" filled="true" fillcolor="#231f20" stroked="false">
              <v:path arrowok="t"/>
              <v:fill type="solid"/>
            </v:shape>
            <v:shape style="position:absolute;left:5470;top:2748;width:70;height:89" coordorigin="5470,2748" coordsize="70,89" path="m5489,2748l5470,2748,5470,2810,5472,2817,5474,2822,5480,2832,5490,2836,5520,2836,5530,2832,5536,2821,5498,2821,5493,2819,5491,2814,5489,2811,5489,2807,5489,2748xm5539,2748l5521,2748,5521,2807,5520,2811,5519,2814,5517,2819,5512,2821,5536,2821,5538,2817,5539,2810,5539,2748xe" filled="true" fillcolor="#231f20" stroked="false">
              <v:path arrowok="t"/>
              <v:fill type="solid"/>
            </v:shape>
            <v:shape style="position:absolute;left:5557;top:2748;width:62;height:87" coordorigin="5557,2748" coordsize="62,87" path="m5575,2748l5557,2748,5557,2834,5618,2834,5618,2818,5575,2818,5575,2748xe" filled="true" fillcolor="#231f20" stroked="false">
              <v:path arrowok="t"/>
              <v:fill type="solid"/>
            </v:shape>
            <v:shape style="position:absolute;left:5614;top:2748;width:70;height:87" coordorigin="5614,2748" coordsize="70,87" path="m5658,2763l5640,2763,5640,2834,5658,2834,5658,2763xm5684,2748l5614,2748,5614,2763,5684,2763,5684,2748xe" filled="true" fillcolor="#231f20" stroked="false">
              <v:path arrowok="t"/>
              <v:fill type="solid"/>
            </v:shape>
            <v:shape style="position:absolute;left:5695;top:2748;width:66;height:87" coordorigin="5695,2748" coordsize="66,87" path="m5758,2748l5695,2748,5695,2834,5761,2834,5761,2818,5713,2818,5713,2796,5755,2796,5755,2781,5713,2781,5713,2763,5758,2763,5758,2748xe" filled="true" fillcolor="#231f20" stroked="false">
              <v:path arrowok="t"/>
              <v:fill type="solid"/>
            </v:shape>
            <v:shape style="position:absolute;left:5775;top:2748;width:66;height:87" coordorigin="5775,2748" coordsize="66,87" path="m5821,2748l5775,2748,5775,2834,5793,2834,5793,2803,5820,2803,5828,2801,5838,2792,5839,2788,5793,2788,5793,2763,5839,2763,5838,2759,5827,2750,5821,2748xm5839,2763l5813,2763,5817,2764,5819,2766,5821,2767,5822,2771,5822,2780,5821,2783,5819,2785,5817,2787,5813,2788,5839,2788,5840,2785,5840,2766,5839,2763xe" filled="true" fillcolor="#231f20" stroked="false">
              <v:path arrowok="t"/>
              <v:fill type="solid"/>
            </v:shape>
            <v:shape style="position:absolute;left:5855;top:2748;width:66;height:87" coordorigin="5855,2748" coordsize="66,87" path="m5919,2748l5855,2748,5855,2834,5921,2834,5921,2818,5873,2818,5873,2796,5915,2796,5915,2781,5873,2781,5873,2763,5919,2763,5919,2748xe" filled="true" fillcolor="#231f20" stroked="false">
              <v:path arrowok="t"/>
              <v:fill type="solid"/>
            </v:shape>
            <v:shape style="position:absolute;left:5931;top:2746;width:76;height:91" coordorigin="5931,2746" coordsize="76,91" path="m5984,2746l5959,2746,5950,2750,5935,2765,5931,2776,5931,2805,5934,2816,5949,2832,5958,2836,5980,2836,5989,2833,6001,2822,6002,2821,5964,2821,5959,2818,5951,2809,5949,2802,5949,2782,5951,2775,5955,2769,5959,2764,5964,2761,6002,2761,5994,2751,5984,2746xm6007,2805l5989,2805,5988,2809,5986,2812,5984,2815,5981,2819,5976,2821,6002,2821,6005,2814,6007,2805xm6002,2761l5976,2761,5981,2763,5986,2769,5988,2772,5989,2776,6007,2776,6007,2771,6005,2766,6002,2761xe" filled="true" fillcolor="#231f20" stroked="false">
              <v:path arrowok="t"/>
              <v:fill type="solid"/>
            </v:shape>
            <v:shape style="position:absolute;left:3906;top:2848;width:82;height:87" coordorigin="3906,2848" coordsize="82,87" path="m3958,2848l3937,2848,3906,2934,3925,2934,3931,2916,3982,2916,3977,2901,3936,2901,3947,2867,3965,2867,3958,2848xm3982,2916l3963,2916,3969,2934,3988,2934,3982,2916xm3965,2867l3947,2867,3958,2901,3977,2901,3965,2867xe" filled="true" fillcolor="#231f20" stroked="false">
              <v:path arrowok="t"/>
              <v:fill type="solid"/>
            </v:shape>
            <v:shape style="position:absolute;left:3999;top:2848;width:84;height:87" coordorigin="3999,2848" coordsize="84,87" path="m4025,2848l3999,2848,3999,2934,4016,2934,4016,2862,4028,2862,4025,2848xm4028,2862l4016,2862,4032,2934,4049,2934,4054,2916,4041,2916,4028,2862xm4083,2862l4066,2862,4066,2934,4083,2934,4083,2862xm4083,2848l4057,2848,4041,2916,4054,2916,4066,2862,4083,2862,4083,2848xe" filled="true" fillcolor="#231f20" stroked="false">
              <v:path arrowok="t"/>
              <v:fill type="solid"/>
            </v:shape>
            <v:shape style="position:absolute;left:4093;top:2848;width:82;height:87" coordorigin="4093,2848" coordsize="82,87" path="m4144,2848l4124,2848,4093,2934,4112,2934,4118,2916,4169,2916,4163,2901,4123,2901,4134,2867,4151,2867,4144,2848xm4169,2916l4150,2916,4155,2934,4175,2934,4169,2916xm4151,2867l4134,2867,4145,2901,4163,2901,4151,2867xe" filled="true" fillcolor="#231f20" stroked="false">
              <v:path arrowok="t"/>
              <v:fill type="solid"/>
            </v:shape>
            <v:shape style="position:absolute;left:4170;top:2848;width:70;height:87" coordorigin="4170,2848" coordsize="70,87" path="m4214,2863l4196,2863,4196,2934,4214,2934,4214,2863xm4240,2848l4170,2848,4170,2863,4240,2863,4240,2848xe" filled="true" fillcolor="#231f20" stroked="false">
              <v:path arrowok="t"/>
              <v:fill type="solid"/>
            </v:shape>
            <v:shape style="position:absolute;left:4251;top:2848;width:66;height:87" coordorigin="4251,2848" coordsize="66,87" path="m4314,2848l4251,2848,4251,2934,4316,2934,4316,2918,4269,2918,4269,2896,4310,2896,4310,2881,4269,2881,4269,2863,4314,2863,4314,2848xe" filled="true" fillcolor="#231f20" stroked="false">
              <v:path arrowok="t"/>
              <v:fill type="solid"/>
            </v:shape>
            <v:shape style="position:absolute;left:4331;top:2848;width:66;height:87" coordorigin="4331,2848" coordsize="66,87" path="m4376,2848l4331,2848,4331,2934,4349,2934,4349,2903,4376,2903,4383,2901,4393,2892,4395,2888,4349,2888,4349,2863,4395,2863,4393,2859,4383,2850,4376,2848xm4395,2863l4369,2863,4372,2864,4377,2867,4378,2871,4378,2880,4377,2883,4372,2887,4369,2888,4395,2888,4396,2885,4396,2866,4395,2863xe" filled="true" fillcolor="#231f20" stroked="false">
              <v:path arrowok="t"/>
              <v:fill type="solid"/>
            </v:shape>
            <v:shape style="position:absolute;left:4411;top:2848;width:66;height:87" coordorigin="4411,2848" coordsize="66,87" path="m4474,2848l4411,2848,4411,2934,4476,2934,4476,2918,4429,2918,4429,2896,4471,2896,4471,2881,4429,2881,4429,2863,4474,2863,4474,2848xe" filled="true" fillcolor="#231f20" stroked="false">
              <v:path arrowok="t"/>
              <v:fill type="solid"/>
            </v:shape>
            <v:shape style="position:absolute;left:4487;top:2846;width:76;height:91" coordorigin="4487,2846" coordsize="76,91" path="m4540,2846l4515,2846,4506,2850,4491,2865,4487,2876,4487,2905,4490,2916,4497,2924,4504,2932,4514,2936,4536,2936,4544,2933,4557,2922,4557,2921,4520,2921,4515,2918,4507,2909,4505,2902,4505,2882,4507,2875,4514,2864,4520,2861,4558,2861,4550,2851,4540,2846xm4563,2905l4545,2905,4543,2909,4542,2912,4540,2915,4537,2919,4532,2921,4557,2921,4561,2914,4563,2905xm4558,2861l4532,2861,4537,2863,4542,2869,4544,2872,4545,2876,4563,2876,4562,2871,4560,2866,4558,2861xe" filled="true" fillcolor="#231f20" stroked="false">
              <v:path arrowok="t"/>
              <v:fill type="solid"/>
            </v:shape>
            <v:shape style="position:absolute;left:3783;top:1914;width:667;height:104" type="#_x0000_t75" stroked="false">
              <v:imagedata r:id="rId320" o:title=""/>
            </v:shape>
            <v:shape style="position:absolute;left:3743;top:3583;width:1404;height:91" type="#_x0000_t75" stroked="false">
              <v:imagedata r:id="rId321" o:title=""/>
            </v:shape>
            <v:shape style="position:absolute;left:6711;top:480;width:473;height:486" type="#_x0000_t75" stroked="false">
              <v:imagedata r:id="rId322" o:title=""/>
            </v:shape>
            <w10:wrap type="topAndBottom"/>
          </v:group>
        </w:pict>
      </w:r>
      <w:r>
        <w:rPr>
          <w:rFonts w:ascii="Calibri"/>
          <w:color w:val="231F20"/>
          <w:w w:val="95"/>
          <w:sz w:val="16"/>
        </w:rPr>
        <w:t>FUENTE: Tejupilco (2008: 1)</w:t>
      </w:r>
    </w:p>
    <w:p>
      <w:pPr>
        <w:spacing w:after="0"/>
        <w:jc w:val="right"/>
        <w:rPr>
          <w:rFonts w:ascii="Calibri"/>
          <w:sz w:val="16"/>
        </w:rPr>
        <w:sectPr>
          <w:footerReference w:type="default" r:id="rId316"/>
          <w:pgSz w:w="9640" w:h="12190"/>
          <w:pgMar w:footer="743" w:header="0" w:top="1120" w:bottom="940" w:left="740" w:right="740"/>
          <w:pgNumType w:start="140"/>
        </w:sectPr>
      </w:pPr>
    </w:p>
    <w:p>
      <w:pPr>
        <w:pStyle w:val="BodyText"/>
        <w:spacing w:before="8"/>
        <w:rPr>
          <w:rFonts w:ascii="Calibri"/>
          <w:sz w:val="10"/>
        </w:rPr>
      </w:pPr>
    </w:p>
    <w:p>
      <w:pPr>
        <w:pStyle w:val="BodyText"/>
        <w:spacing w:line="285" w:lineRule="auto" w:before="35"/>
        <w:ind w:left="110" w:right="107"/>
        <w:jc w:val="both"/>
      </w:pPr>
      <w:r>
        <w:rPr>
          <w:color w:val="231F20"/>
          <w:w w:val="105"/>
        </w:rPr>
        <w:t>Su</w:t>
      </w:r>
      <w:r>
        <w:rPr>
          <w:color w:val="231F20"/>
          <w:spacing w:val="-12"/>
          <w:w w:val="105"/>
        </w:rPr>
        <w:t> </w:t>
      </w:r>
      <w:r>
        <w:rPr>
          <w:color w:val="231F20"/>
          <w:w w:val="105"/>
        </w:rPr>
        <w:t>espacio</w:t>
      </w:r>
      <w:r>
        <w:rPr>
          <w:color w:val="231F20"/>
          <w:spacing w:val="-12"/>
          <w:w w:val="105"/>
        </w:rPr>
        <w:t> </w:t>
      </w:r>
      <w:r>
        <w:rPr>
          <w:color w:val="231F20"/>
          <w:w w:val="105"/>
        </w:rPr>
        <w:t>territorial</w:t>
      </w:r>
      <w:r>
        <w:rPr>
          <w:color w:val="231F20"/>
          <w:spacing w:val="-12"/>
          <w:w w:val="105"/>
        </w:rPr>
        <w:t> </w:t>
      </w:r>
      <w:r>
        <w:rPr>
          <w:color w:val="231F20"/>
          <w:w w:val="105"/>
        </w:rPr>
        <w:t>asciende</w:t>
      </w:r>
      <w:r>
        <w:rPr>
          <w:color w:val="231F20"/>
          <w:spacing w:val="-12"/>
          <w:w w:val="105"/>
        </w:rPr>
        <w:t> </w:t>
      </w:r>
      <w:r>
        <w:rPr>
          <w:color w:val="231F20"/>
          <w:w w:val="105"/>
        </w:rPr>
        <w:t>a</w:t>
      </w:r>
      <w:r>
        <w:rPr>
          <w:color w:val="231F20"/>
          <w:spacing w:val="-12"/>
          <w:w w:val="105"/>
        </w:rPr>
        <w:t> </w:t>
      </w:r>
      <w:r>
        <w:rPr>
          <w:color w:val="231F20"/>
          <w:spacing w:val="-5"/>
          <w:w w:val="105"/>
        </w:rPr>
        <w:t>651,431</w:t>
      </w:r>
      <w:r>
        <w:rPr>
          <w:color w:val="231F20"/>
          <w:spacing w:val="-12"/>
          <w:w w:val="105"/>
        </w:rPr>
        <w:t> </w:t>
      </w:r>
      <w:r>
        <w:rPr>
          <w:color w:val="231F20"/>
          <w:spacing w:val="3"/>
          <w:w w:val="105"/>
        </w:rPr>
        <w:t>km2,</w:t>
      </w:r>
      <w:r>
        <w:rPr>
          <w:color w:val="231F20"/>
          <w:spacing w:val="-12"/>
          <w:w w:val="105"/>
        </w:rPr>
        <w:t> </w:t>
      </w:r>
      <w:r>
        <w:rPr>
          <w:color w:val="231F20"/>
          <w:w w:val="105"/>
        </w:rPr>
        <w:t>en</w:t>
      </w:r>
      <w:r>
        <w:rPr>
          <w:color w:val="231F20"/>
          <w:spacing w:val="-12"/>
          <w:w w:val="105"/>
        </w:rPr>
        <w:t> </w:t>
      </w:r>
      <w:r>
        <w:rPr>
          <w:color w:val="231F20"/>
          <w:spacing w:val="-3"/>
          <w:w w:val="105"/>
        </w:rPr>
        <w:t>donde</w:t>
      </w:r>
      <w:r>
        <w:rPr>
          <w:color w:val="231F20"/>
          <w:spacing w:val="-12"/>
          <w:w w:val="105"/>
        </w:rPr>
        <w:t> </w:t>
      </w:r>
      <w:r>
        <w:rPr>
          <w:color w:val="231F20"/>
          <w:w w:val="105"/>
        </w:rPr>
        <w:t>se</w:t>
      </w:r>
      <w:r>
        <w:rPr>
          <w:color w:val="231F20"/>
          <w:spacing w:val="-12"/>
          <w:w w:val="105"/>
        </w:rPr>
        <w:t> </w:t>
      </w:r>
      <w:r>
        <w:rPr>
          <w:color w:val="231F20"/>
          <w:w w:val="105"/>
        </w:rPr>
        <w:t>contabilizan</w:t>
      </w:r>
      <w:r>
        <w:rPr>
          <w:color w:val="231F20"/>
          <w:spacing w:val="-12"/>
          <w:w w:val="105"/>
        </w:rPr>
        <w:t> </w:t>
      </w:r>
      <w:r>
        <w:rPr>
          <w:color w:val="231F20"/>
          <w:w w:val="105"/>
        </w:rPr>
        <w:t>según</w:t>
      </w:r>
      <w:r>
        <w:rPr>
          <w:color w:val="231F20"/>
          <w:spacing w:val="-12"/>
          <w:w w:val="105"/>
        </w:rPr>
        <w:t> </w:t>
      </w:r>
      <w:r>
        <w:rPr>
          <w:color w:val="231F20"/>
          <w:w w:val="105"/>
        </w:rPr>
        <w:t>el</w:t>
      </w:r>
      <w:r>
        <w:rPr>
          <w:color w:val="231F20"/>
          <w:spacing w:val="-12"/>
          <w:w w:val="105"/>
        </w:rPr>
        <w:t> </w:t>
      </w:r>
      <w:r>
        <w:rPr>
          <w:color w:val="231F20"/>
          <w:w w:val="105"/>
        </w:rPr>
        <w:t>II</w:t>
      </w:r>
      <w:r>
        <w:rPr>
          <w:color w:val="231F20"/>
          <w:spacing w:val="-12"/>
          <w:w w:val="105"/>
        </w:rPr>
        <w:t> </w:t>
      </w:r>
      <w:r>
        <w:rPr>
          <w:color w:val="231F20"/>
          <w:w w:val="105"/>
        </w:rPr>
        <w:t>con- teo</w:t>
      </w:r>
      <w:r>
        <w:rPr>
          <w:color w:val="231F20"/>
          <w:spacing w:val="-22"/>
          <w:w w:val="105"/>
        </w:rPr>
        <w:t> </w:t>
      </w:r>
      <w:r>
        <w:rPr>
          <w:color w:val="231F20"/>
          <w:w w:val="105"/>
        </w:rPr>
        <w:t>de</w:t>
      </w:r>
      <w:r>
        <w:rPr>
          <w:color w:val="231F20"/>
          <w:spacing w:val="-22"/>
          <w:w w:val="105"/>
        </w:rPr>
        <w:t> </w:t>
      </w:r>
      <w:r>
        <w:rPr>
          <w:color w:val="231F20"/>
          <w:w w:val="105"/>
        </w:rPr>
        <w:t>población</w:t>
      </w:r>
      <w:r>
        <w:rPr>
          <w:color w:val="231F20"/>
          <w:spacing w:val="-22"/>
          <w:w w:val="105"/>
        </w:rPr>
        <w:t> </w:t>
      </w:r>
      <w:r>
        <w:rPr>
          <w:color w:val="231F20"/>
          <w:w w:val="105"/>
        </w:rPr>
        <w:t>y</w:t>
      </w:r>
      <w:r>
        <w:rPr>
          <w:color w:val="231F20"/>
          <w:spacing w:val="-22"/>
          <w:w w:val="105"/>
        </w:rPr>
        <w:t> </w:t>
      </w:r>
      <w:r>
        <w:rPr>
          <w:color w:val="231F20"/>
          <w:w w:val="105"/>
        </w:rPr>
        <w:t>vivienda</w:t>
      </w:r>
      <w:r>
        <w:rPr>
          <w:color w:val="231F20"/>
          <w:spacing w:val="-22"/>
          <w:w w:val="105"/>
        </w:rPr>
        <w:t> </w:t>
      </w:r>
      <w:r>
        <w:rPr>
          <w:color w:val="231F20"/>
          <w:spacing w:val="3"/>
          <w:w w:val="105"/>
        </w:rPr>
        <w:t>2005</w:t>
      </w:r>
      <w:r>
        <w:rPr>
          <w:color w:val="231F20"/>
          <w:spacing w:val="-22"/>
          <w:w w:val="105"/>
        </w:rPr>
        <w:t> </w:t>
      </w:r>
      <w:r>
        <w:rPr>
          <w:color w:val="231F20"/>
          <w:w w:val="105"/>
        </w:rPr>
        <w:t>a</w:t>
      </w:r>
      <w:r>
        <w:rPr>
          <w:color w:val="231F20"/>
          <w:spacing w:val="-22"/>
          <w:w w:val="105"/>
        </w:rPr>
        <w:t> </w:t>
      </w:r>
      <w:r>
        <w:rPr>
          <w:color w:val="231F20"/>
          <w:w w:val="105"/>
        </w:rPr>
        <w:t>62,</w:t>
      </w:r>
      <w:r>
        <w:rPr>
          <w:color w:val="231F20"/>
          <w:spacing w:val="-22"/>
          <w:w w:val="105"/>
        </w:rPr>
        <w:t> </w:t>
      </w:r>
      <w:r>
        <w:rPr>
          <w:color w:val="231F20"/>
          <w:w w:val="105"/>
        </w:rPr>
        <w:t>547</w:t>
      </w:r>
      <w:r>
        <w:rPr>
          <w:color w:val="231F20"/>
          <w:spacing w:val="-22"/>
          <w:w w:val="105"/>
        </w:rPr>
        <w:t> </w:t>
      </w:r>
      <w:r>
        <w:rPr>
          <w:color w:val="231F20"/>
          <w:w w:val="105"/>
        </w:rPr>
        <w:t>habitantes,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el</w:t>
      </w:r>
      <w:r>
        <w:rPr>
          <w:color w:val="231F20"/>
          <w:spacing w:val="-22"/>
          <w:w w:val="105"/>
        </w:rPr>
        <w:t> </w:t>
      </w:r>
      <w:r>
        <w:rPr>
          <w:color w:val="231F20"/>
          <w:w w:val="105"/>
        </w:rPr>
        <w:t>64.8%</w:t>
      </w:r>
      <w:r>
        <w:rPr>
          <w:color w:val="231F20"/>
          <w:spacing w:val="-22"/>
          <w:w w:val="105"/>
        </w:rPr>
        <w:t> </w:t>
      </w:r>
      <w:r>
        <w:rPr>
          <w:color w:val="231F20"/>
          <w:w w:val="105"/>
        </w:rPr>
        <w:t>(40,506)</w:t>
      </w:r>
      <w:r>
        <w:rPr>
          <w:color w:val="231F20"/>
          <w:spacing w:val="-22"/>
          <w:w w:val="105"/>
        </w:rPr>
        <w:t> </w:t>
      </w:r>
      <w:r>
        <w:rPr>
          <w:color w:val="231F20"/>
          <w:w w:val="105"/>
        </w:rPr>
        <w:t>es considerada</w:t>
      </w:r>
      <w:r>
        <w:rPr>
          <w:color w:val="231F20"/>
          <w:spacing w:val="-17"/>
          <w:w w:val="105"/>
        </w:rPr>
        <w:t> </w:t>
      </w:r>
      <w:r>
        <w:rPr>
          <w:color w:val="231F20"/>
          <w:w w:val="105"/>
        </w:rPr>
        <w:t>como</w:t>
      </w:r>
      <w:r>
        <w:rPr>
          <w:color w:val="231F20"/>
          <w:spacing w:val="-17"/>
          <w:w w:val="105"/>
        </w:rPr>
        <w:t> </w:t>
      </w:r>
      <w:r>
        <w:rPr>
          <w:color w:val="231F20"/>
          <w:w w:val="105"/>
        </w:rPr>
        <w:t>población</w:t>
      </w:r>
      <w:r>
        <w:rPr>
          <w:color w:val="231F20"/>
          <w:spacing w:val="-17"/>
          <w:w w:val="105"/>
        </w:rPr>
        <w:t> </w:t>
      </w:r>
      <w:r>
        <w:rPr>
          <w:color w:val="231F20"/>
          <w:w w:val="105"/>
        </w:rPr>
        <w:t>rural,</w:t>
      </w:r>
      <w:r>
        <w:rPr>
          <w:color w:val="231F20"/>
          <w:spacing w:val="-17"/>
          <w:w w:val="105"/>
        </w:rPr>
        <w:t> </w:t>
      </w:r>
      <w:r>
        <w:rPr>
          <w:color w:val="231F20"/>
          <w:w w:val="105"/>
        </w:rPr>
        <w:t>categoría</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aplica</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en</w:t>
      </w:r>
      <w:r>
        <w:rPr>
          <w:color w:val="231F20"/>
          <w:spacing w:val="-17"/>
          <w:w w:val="105"/>
        </w:rPr>
        <w:t> </w:t>
      </w:r>
      <w:r>
        <w:rPr>
          <w:color w:val="231F20"/>
          <w:w w:val="105"/>
        </w:rPr>
        <w:t>general. Cuenta</w:t>
      </w:r>
      <w:r>
        <w:rPr>
          <w:color w:val="231F20"/>
          <w:spacing w:val="-4"/>
          <w:w w:val="105"/>
        </w:rPr>
        <w:t> </w:t>
      </w:r>
      <w:r>
        <w:rPr>
          <w:color w:val="231F20"/>
          <w:w w:val="105"/>
        </w:rPr>
        <w:t>con</w:t>
      </w:r>
      <w:r>
        <w:rPr>
          <w:color w:val="231F20"/>
          <w:spacing w:val="-4"/>
          <w:w w:val="105"/>
        </w:rPr>
        <w:t> </w:t>
      </w:r>
      <w:r>
        <w:rPr>
          <w:color w:val="231F20"/>
          <w:w w:val="105"/>
        </w:rPr>
        <w:t>un</w:t>
      </w:r>
      <w:r>
        <w:rPr>
          <w:color w:val="231F20"/>
          <w:spacing w:val="-4"/>
          <w:w w:val="105"/>
        </w:rPr>
        <w:t> </w:t>
      </w:r>
      <w:r>
        <w:rPr>
          <w:color w:val="231F20"/>
          <w:w w:val="105"/>
        </w:rPr>
        <w:t>grado</w:t>
      </w:r>
      <w:r>
        <w:rPr>
          <w:color w:val="231F20"/>
          <w:spacing w:val="-4"/>
          <w:w w:val="105"/>
        </w:rPr>
        <w:t> </w:t>
      </w:r>
      <w:r>
        <w:rPr>
          <w:color w:val="231F20"/>
          <w:w w:val="105"/>
        </w:rPr>
        <w:t>de</w:t>
      </w:r>
      <w:r>
        <w:rPr>
          <w:color w:val="231F20"/>
          <w:spacing w:val="-4"/>
          <w:w w:val="105"/>
        </w:rPr>
        <w:t> </w:t>
      </w:r>
      <w:r>
        <w:rPr>
          <w:color w:val="231F20"/>
          <w:w w:val="105"/>
        </w:rPr>
        <w:t>marginación</w:t>
      </w:r>
      <w:r>
        <w:rPr>
          <w:color w:val="231F20"/>
          <w:spacing w:val="-4"/>
          <w:w w:val="105"/>
        </w:rPr>
        <w:t> </w:t>
      </w:r>
      <w:r>
        <w:rPr>
          <w:color w:val="231F20"/>
          <w:w w:val="105"/>
        </w:rPr>
        <w:t>alto</w:t>
      </w:r>
      <w:r>
        <w:rPr>
          <w:color w:val="231F20"/>
          <w:spacing w:val="-4"/>
          <w:w w:val="105"/>
        </w:rPr>
        <w:t> </w:t>
      </w:r>
      <w:r>
        <w:rPr>
          <w:color w:val="231F20"/>
          <w:w w:val="105"/>
        </w:rPr>
        <w:t>y</w:t>
      </w:r>
      <w:r>
        <w:rPr>
          <w:color w:val="231F20"/>
          <w:spacing w:val="-4"/>
          <w:w w:val="105"/>
        </w:rPr>
        <w:t> </w:t>
      </w:r>
      <w:r>
        <w:rPr>
          <w:color w:val="231F20"/>
          <w:w w:val="105"/>
        </w:rPr>
        <w:t>se</w:t>
      </w:r>
      <w:r>
        <w:rPr>
          <w:color w:val="231F20"/>
          <w:spacing w:val="-4"/>
          <w:w w:val="105"/>
        </w:rPr>
        <w:t> </w:t>
      </w:r>
      <w:r>
        <w:rPr>
          <w:color w:val="231F20"/>
          <w:w w:val="105"/>
        </w:rPr>
        <w:t>encuentra</w:t>
      </w:r>
      <w:r>
        <w:rPr>
          <w:color w:val="231F20"/>
          <w:spacing w:val="-4"/>
          <w:w w:val="105"/>
        </w:rPr>
        <w:t> </w:t>
      </w:r>
      <w:r>
        <w:rPr>
          <w:color w:val="231F20"/>
          <w:w w:val="105"/>
        </w:rPr>
        <w:t>organizado</w:t>
      </w:r>
      <w:r>
        <w:rPr>
          <w:color w:val="231F20"/>
          <w:spacing w:val="-4"/>
          <w:w w:val="105"/>
        </w:rPr>
        <w:t> </w:t>
      </w:r>
      <w:r>
        <w:rPr>
          <w:color w:val="231F20"/>
          <w:w w:val="105"/>
        </w:rPr>
        <w:t>en</w:t>
      </w:r>
      <w:r>
        <w:rPr>
          <w:color w:val="231F20"/>
          <w:spacing w:val="-4"/>
          <w:w w:val="105"/>
        </w:rPr>
        <w:t> </w:t>
      </w:r>
      <w:r>
        <w:rPr>
          <w:color w:val="231F20"/>
          <w:w w:val="105"/>
        </w:rPr>
        <w:t>una</w:t>
      </w:r>
      <w:r>
        <w:rPr>
          <w:color w:val="231F20"/>
          <w:spacing w:val="-4"/>
          <w:w w:val="105"/>
        </w:rPr>
        <w:t> </w:t>
      </w:r>
      <w:r>
        <w:rPr>
          <w:color w:val="231F20"/>
          <w:w w:val="105"/>
        </w:rPr>
        <w:t>ciudad,</w:t>
      </w:r>
      <w:r>
        <w:rPr>
          <w:color w:val="231F20"/>
          <w:spacing w:val="-4"/>
          <w:w w:val="105"/>
        </w:rPr>
        <w:t> </w:t>
      </w:r>
      <w:r>
        <w:rPr>
          <w:color w:val="231F20"/>
          <w:w w:val="105"/>
        </w:rPr>
        <w:t>12 pueblos,</w:t>
      </w:r>
      <w:r>
        <w:rPr>
          <w:color w:val="231F20"/>
          <w:spacing w:val="-21"/>
          <w:w w:val="105"/>
        </w:rPr>
        <w:t> </w:t>
      </w:r>
      <w:r>
        <w:rPr>
          <w:color w:val="231F20"/>
          <w:w w:val="105"/>
        </w:rPr>
        <w:t>20</w:t>
      </w:r>
      <w:r>
        <w:rPr>
          <w:color w:val="231F20"/>
          <w:spacing w:val="-21"/>
          <w:w w:val="105"/>
        </w:rPr>
        <w:t> </w:t>
      </w:r>
      <w:r>
        <w:rPr>
          <w:color w:val="231F20"/>
          <w:w w:val="105"/>
        </w:rPr>
        <w:t>colonias</w:t>
      </w:r>
      <w:r>
        <w:rPr>
          <w:color w:val="231F20"/>
          <w:spacing w:val="-21"/>
          <w:w w:val="105"/>
        </w:rPr>
        <w:t> </w:t>
      </w:r>
      <w:r>
        <w:rPr>
          <w:color w:val="231F20"/>
          <w:spacing w:val="-6"/>
          <w:w w:val="105"/>
        </w:rPr>
        <w:t>17</w:t>
      </w:r>
      <w:r>
        <w:rPr>
          <w:color w:val="231F20"/>
          <w:spacing w:val="-21"/>
          <w:w w:val="105"/>
        </w:rPr>
        <w:t> </w:t>
      </w:r>
      <w:r>
        <w:rPr>
          <w:color w:val="231F20"/>
          <w:w w:val="105"/>
        </w:rPr>
        <w:t>rancherías</w:t>
      </w:r>
      <w:r>
        <w:rPr>
          <w:color w:val="231F20"/>
          <w:spacing w:val="-21"/>
          <w:w w:val="105"/>
        </w:rPr>
        <w:t> </w:t>
      </w:r>
      <w:r>
        <w:rPr>
          <w:color w:val="231F20"/>
          <w:w w:val="105"/>
        </w:rPr>
        <w:t>y</w:t>
      </w:r>
      <w:r>
        <w:rPr>
          <w:color w:val="231F20"/>
          <w:spacing w:val="-21"/>
          <w:w w:val="105"/>
        </w:rPr>
        <w:t> </w:t>
      </w:r>
      <w:r>
        <w:rPr>
          <w:color w:val="231F20"/>
          <w:w w:val="105"/>
        </w:rPr>
        <w:t>57</w:t>
      </w:r>
      <w:r>
        <w:rPr>
          <w:color w:val="231F20"/>
          <w:spacing w:val="-21"/>
          <w:w w:val="105"/>
        </w:rPr>
        <w:t> </w:t>
      </w:r>
      <w:r>
        <w:rPr>
          <w:color w:val="231F20"/>
          <w:w w:val="105"/>
        </w:rPr>
        <w:t>caseríos.</w:t>
      </w:r>
    </w:p>
    <w:p>
      <w:pPr>
        <w:pStyle w:val="BodyText"/>
        <w:spacing w:before="1"/>
        <w:rPr>
          <w:sz w:val="26"/>
        </w:rPr>
      </w:pPr>
    </w:p>
    <w:p>
      <w:pPr>
        <w:pStyle w:val="BodyText"/>
        <w:spacing w:line="285" w:lineRule="auto"/>
        <w:ind w:left="110" w:right="109"/>
        <w:jc w:val="both"/>
      </w:pPr>
      <w:r>
        <w:rPr>
          <w:color w:val="231F20"/>
        </w:rPr>
        <w:t>Con los municipios de Amatepec, Tlatlaya y Luvianos conforma el Distrito IX local y el Distrito XXXVI federal.</w:t>
      </w:r>
    </w:p>
    <w:p>
      <w:pPr>
        <w:pStyle w:val="BodyText"/>
        <w:spacing w:before="1"/>
        <w:rPr>
          <w:sz w:val="26"/>
        </w:rPr>
      </w:pPr>
    </w:p>
    <w:p>
      <w:pPr>
        <w:pStyle w:val="BodyText"/>
        <w:spacing w:line="285" w:lineRule="auto"/>
        <w:ind w:left="110" w:right="106"/>
        <w:jc w:val="both"/>
      </w:pPr>
      <w:r>
        <w:rPr>
          <w:color w:val="231F20"/>
          <w:w w:val="105"/>
        </w:rPr>
        <w:t>Es</w:t>
      </w:r>
      <w:r>
        <w:rPr>
          <w:color w:val="231F20"/>
          <w:spacing w:val="-16"/>
          <w:w w:val="105"/>
        </w:rPr>
        <w:t> </w:t>
      </w:r>
      <w:r>
        <w:rPr>
          <w:color w:val="231F20"/>
          <w:w w:val="105"/>
        </w:rPr>
        <w:t>cabecera</w:t>
      </w:r>
      <w:r>
        <w:rPr>
          <w:color w:val="231F20"/>
          <w:spacing w:val="-16"/>
          <w:w w:val="105"/>
        </w:rPr>
        <w:t> </w:t>
      </w:r>
      <w:r>
        <w:rPr>
          <w:color w:val="231F20"/>
          <w:w w:val="105"/>
        </w:rPr>
        <w:t>y</w:t>
      </w:r>
      <w:r>
        <w:rPr>
          <w:color w:val="231F20"/>
          <w:spacing w:val="-16"/>
          <w:w w:val="105"/>
        </w:rPr>
        <w:t> </w:t>
      </w:r>
      <w:r>
        <w:rPr>
          <w:color w:val="231F20"/>
          <w:w w:val="105"/>
        </w:rPr>
        <w:t>da</w:t>
      </w:r>
      <w:r>
        <w:rPr>
          <w:color w:val="231F20"/>
          <w:spacing w:val="-16"/>
          <w:w w:val="105"/>
        </w:rPr>
        <w:t> </w:t>
      </w:r>
      <w:r>
        <w:rPr>
          <w:color w:val="231F20"/>
          <w:spacing w:val="-3"/>
          <w:w w:val="105"/>
        </w:rPr>
        <w:t>nombre</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región</w:t>
      </w:r>
      <w:r>
        <w:rPr>
          <w:color w:val="231F20"/>
          <w:spacing w:val="-16"/>
          <w:w w:val="105"/>
        </w:rPr>
        <w:t> </w:t>
      </w:r>
      <w:r>
        <w:rPr>
          <w:color w:val="231F20"/>
          <w:w w:val="105"/>
        </w:rPr>
        <w:t>X</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entidad.</w:t>
      </w:r>
      <w:r>
        <w:rPr>
          <w:color w:val="231F20"/>
          <w:spacing w:val="-16"/>
          <w:w w:val="105"/>
        </w:rPr>
        <w:t> </w:t>
      </w:r>
      <w:r>
        <w:rPr>
          <w:color w:val="231F20"/>
          <w:w w:val="105"/>
        </w:rPr>
        <w:t>Se</w:t>
      </w:r>
      <w:r>
        <w:rPr>
          <w:color w:val="231F20"/>
          <w:spacing w:val="-16"/>
          <w:w w:val="105"/>
        </w:rPr>
        <w:t> </w:t>
      </w:r>
      <w:r>
        <w:rPr>
          <w:color w:val="231F20"/>
          <w:w w:val="105"/>
        </w:rPr>
        <w:t>le</w:t>
      </w:r>
      <w:r>
        <w:rPr>
          <w:color w:val="231F20"/>
          <w:spacing w:val="-16"/>
          <w:w w:val="105"/>
        </w:rPr>
        <w:t> </w:t>
      </w:r>
      <w:r>
        <w:rPr>
          <w:color w:val="231F20"/>
          <w:w w:val="105"/>
        </w:rPr>
        <w:t>considera</w:t>
      </w:r>
      <w:r>
        <w:rPr>
          <w:color w:val="231F20"/>
          <w:spacing w:val="-16"/>
          <w:w w:val="105"/>
        </w:rPr>
        <w:t> </w:t>
      </w:r>
      <w:r>
        <w:rPr>
          <w:color w:val="231F20"/>
          <w:w w:val="105"/>
        </w:rPr>
        <w:t>como</w:t>
      </w:r>
      <w:r>
        <w:rPr>
          <w:color w:val="231F20"/>
          <w:spacing w:val="-16"/>
          <w:w w:val="105"/>
        </w:rPr>
        <w:t> </w:t>
      </w:r>
      <w:r>
        <w:rPr>
          <w:color w:val="231F20"/>
          <w:w w:val="105"/>
        </w:rPr>
        <w:t>una</w:t>
      </w:r>
      <w:r>
        <w:rPr>
          <w:color w:val="231F20"/>
          <w:spacing w:val="-16"/>
          <w:w w:val="105"/>
        </w:rPr>
        <w:t> </w:t>
      </w:r>
      <w:r>
        <w:rPr>
          <w:color w:val="231F20"/>
          <w:w w:val="105"/>
        </w:rPr>
        <w:t>puerta</w:t>
      </w:r>
      <w:r>
        <w:rPr>
          <w:color w:val="231F20"/>
          <w:spacing w:val="-16"/>
          <w:w w:val="105"/>
        </w:rPr>
        <w:t> </w:t>
      </w:r>
      <w:r>
        <w:rPr>
          <w:color w:val="231F20"/>
          <w:w w:val="105"/>
        </w:rPr>
        <w:t>de entrada</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entidades</w:t>
      </w:r>
      <w:r>
        <w:rPr>
          <w:color w:val="231F20"/>
          <w:spacing w:val="-19"/>
          <w:w w:val="105"/>
        </w:rPr>
        <w:t> </w:t>
      </w:r>
      <w:r>
        <w:rPr>
          <w:color w:val="231F20"/>
          <w:w w:val="105"/>
        </w:rPr>
        <w:t>del</w:t>
      </w:r>
      <w:r>
        <w:rPr>
          <w:color w:val="231F20"/>
          <w:spacing w:val="-19"/>
          <w:w w:val="105"/>
        </w:rPr>
        <w:t> </w:t>
      </w:r>
      <w:r>
        <w:rPr>
          <w:color w:val="231F20"/>
          <w:w w:val="105"/>
        </w:rPr>
        <w:t>sur</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república</w:t>
      </w:r>
      <w:r>
        <w:rPr>
          <w:color w:val="231F20"/>
          <w:spacing w:val="-19"/>
          <w:w w:val="105"/>
        </w:rPr>
        <w:t> </w:t>
      </w:r>
      <w:r>
        <w:rPr>
          <w:color w:val="231F20"/>
          <w:w w:val="105"/>
        </w:rPr>
        <w:t>mexicana</w:t>
      </w:r>
      <w:r>
        <w:rPr>
          <w:color w:val="231F20"/>
          <w:spacing w:val="-19"/>
          <w:w w:val="105"/>
        </w:rPr>
        <w:t> </w:t>
      </w:r>
      <w:r>
        <w:rPr>
          <w:color w:val="231F20"/>
          <w:w w:val="105"/>
        </w:rPr>
        <w:t>por</w:t>
      </w:r>
      <w:r>
        <w:rPr>
          <w:color w:val="231F20"/>
          <w:spacing w:val="-19"/>
          <w:w w:val="105"/>
        </w:rPr>
        <w:t> </w:t>
      </w:r>
      <w:r>
        <w:rPr>
          <w:color w:val="231F20"/>
          <w:w w:val="105"/>
        </w:rPr>
        <w:t>conectar</w:t>
      </w:r>
      <w:r>
        <w:rPr>
          <w:color w:val="231F20"/>
          <w:spacing w:val="-19"/>
          <w:w w:val="105"/>
        </w:rPr>
        <w:t> </w:t>
      </w:r>
      <w:r>
        <w:rPr>
          <w:color w:val="231F20"/>
          <w:w w:val="105"/>
        </w:rPr>
        <w:t>con</w:t>
      </w:r>
      <w:r>
        <w:rPr>
          <w:color w:val="231F20"/>
          <w:spacing w:val="-19"/>
          <w:w w:val="105"/>
        </w:rPr>
        <w:t> </w:t>
      </w:r>
      <w:r>
        <w:rPr>
          <w:color w:val="231F20"/>
          <w:w w:val="105"/>
        </w:rPr>
        <w:t>ciudades</w:t>
      </w:r>
      <w:r>
        <w:rPr>
          <w:color w:val="231F20"/>
          <w:spacing w:val="-19"/>
          <w:w w:val="105"/>
        </w:rPr>
        <w:t> </w:t>
      </w:r>
      <w:r>
        <w:rPr>
          <w:color w:val="231F20"/>
          <w:w w:val="105"/>
        </w:rPr>
        <w:t>como Argelia,</w:t>
      </w:r>
      <w:r>
        <w:rPr>
          <w:color w:val="231F20"/>
          <w:spacing w:val="-17"/>
          <w:w w:val="105"/>
        </w:rPr>
        <w:t> </w:t>
      </w:r>
      <w:r>
        <w:rPr>
          <w:color w:val="231F20"/>
          <w:w w:val="105"/>
        </w:rPr>
        <w:t>Guerrero</w:t>
      </w:r>
      <w:r>
        <w:rPr>
          <w:color w:val="231F20"/>
          <w:spacing w:val="-17"/>
          <w:w w:val="105"/>
        </w:rPr>
        <w:t> </w:t>
      </w:r>
      <w:r>
        <w:rPr>
          <w:color w:val="231F20"/>
          <w:w w:val="105"/>
        </w:rPr>
        <w:t>y</w:t>
      </w:r>
      <w:r>
        <w:rPr>
          <w:color w:val="231F20"/>
          <w:spacing w:val="-17"/>
          <w:w w:val="105"/>
        </w:rPr>
        <w:t> </w:t>
      </w:r>
      <w:r>
        <w:rPr>
          <w:color w:val="231F20"/>
          <w:spacing w:val="-3"/>
          <w:w w:val="105"/>
        </w:rPr>
        <w:t>Ciudad</w:t>
      </w:r>
      <w:r>
        <w:rPr>
          <w:color w:val="231F20"/>
          <w:spacing w:val="-17"/>
          <w:w w:val="105"/>
        </w:rPr>
        <w:t> </w:t>
      </w:r>
      <w:r>
        <w:rPr>
          <w:color w:val="231F20"/>
          <w:w w:val="105"/>
        </w:rPr>
        <w:t>Altamirano,</w:t>
      </w:r>
      <w:r>
        <w:rPr>
          <w:color w:val="231F20"/>
          <w:spacing w:val="-17"/>
          <w:w w:val="105"/>
        </w:rPr>
        <w:t> </w:t>
      </w:r>
      <w:r>
        <w:rPr>
          <w:color w:val="231F20"/>
          <w:w w:val="105"/>
        </w:rPr>
        <w:t>Michoacán.</w:t>
      </w:r>
    </w:p>
    <w:p>
      <w:pPr>
        <w:pStyle w:val="BodyText"/>
        <w:spacing w:before="1"/>
        <w:rPr>
          <w:sz w:val="26"/>
        </w:rPr>
      </w:pPr>
    </w:p>
    <w:p>
      <w:pPr>
        <w:pStyle w:val="BodyText"/>
        <w:spacing w:line="285" w:lineRule="auto"/>
        <w:ind w:left="110" w:right="109"/>
        <w:jc w:val="both"/>
      </w:pPr>
      <w:r>
        <w:rPr>
          <w:color w:val="231F20"/>
          <w:w w:val="105"/>
        </w:rPr>
        <w:t>La forma en la cual se distribuye la población hace que el 35.2% de los habitantes se concentren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cabecera</w:t>
      </w:r>
      <w:r>
        <w:rPr>
          <w:color w:val="231F20"/>
          <w:spacing w:val="-12"/>
          <w:w w:val="105"/>
        </w:rPr>
        <w:t> </w:t>
      </w:r>
      <w:r>
        <w:rPr>
          <w:color w:val="231F20"/>
          <w:w w:val="105"/>
        </w:rPr>
        <w:t>municipal</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spacing w:val="-4"/>
          <w:w w:val="105"/>
        </w:rPr>
        <w:t>51.4%</w:t>
      </w:r>
      <w:r>
        <w:rPr>
          <w:color w:val="231F20"/>
          <w:spacing w:val="-12"/>
          <w:w w:val="105"/>
        </w:rPr>
        <w:t> </w:t>
      </w:r>
      <w:r>
        <w:rPr>
          <w:color w:val="231F20"/>
          <w:w w:val="105"/>
        </w:rPr>
        <w:t>en</w:t>
      </w:r>
      <w:r>
        <w:rPr>
          <w:color w:val="231F20"/>
          <w:spacing w:val="-12"/>
          <w:w w:val="105"/>
        </w:rPr>
        <w:t> </w:t>
      </w:r>
      <w:r>
        <w:rPr>
          <w:color w:val="231F20"/>
          <w:w w:val="105"/>
        </w:rPr>
        <w:t>siete</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comunidades</w:t>
      </w:r>
      <w:r>
        <w:rPr>
          <w:color w:val="231F20"/>
          <w:spacing w:val="-12"/>
          <w:w w:val="105"/>
        </w:rPr>
        <w:t> </w:t>
      </w:r>
      <w:r>
        <w:rPr>
          <w:color w:val="231F20"/>
          <w:w w:val="105"/>
        </w:rPr>
        <w:t>grandes,</w:t>
      </w:r>
      <w:r>
        <w:rPr>
          <w:color w:val="231F20"/>
          <w:spacing w:val="-12"/>
          <w:w w:val="105"/>
        </w:rPr>
        <w:t> </w:t>
      </w:r>
      <w:r>
        <w:rPr>
          <w:color w:val="231F20"/>
          <w:w w:val="105"/>
        </w:rPr>
        <w:t>el resto</w:t>
      </w:r>
      <w:r>
        <w:rPr>
          <w:color w:val="231F20"/>
          <w:spacing w:val="-12"/>
          <w:w w:val="105"/>
        </w:rPr>
        <w:t> </w:t>
      </w:r>
      <w:r>
        <w:rPr>
          <w:color w:val="231F20"/>
          <w:w w:val="105"/>
        </w:rPr>
        <w:t>se</w:t>
      </w:r>
      <w:r>
        <w:rPr>
          <w:color w:val="231F20"/>
          <w:spacing w:val="-12"/>
          <w:w w:val="105"/>
        </w:rPr>
        <w:t> </w:t>
      </w:r>
      <w:r>
        <w:rPr>
          <w:color w:val="231F20"/>
          <w:w w:val="105"/>
        </w:rPr>
        <w:t>ubica</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pequeñas.</w:t>
      </w:r>
    </w:p>
    <w:p>
      <w:pPr>
        <w:pStyle w:val="BodyText"/>
        <w:spacing w:before="1"/>
        <w:rPr>
          <w:sz w:val="26"/>
        </w:rPr>
      </w:pPr>
    </w:p>
    <w:p>
      <w:pPr>
        <w:pStyle w:val="BodyText"/>
        <w:spacing w:line="285" w:lineRule="auto"/>
        <w:ind w:left="110" w:right="107"/>
        <w:jc w:val="both"/>
      </w:pPr>
      <w:r>
        <w:rPr>
          <w:color w:val="231F20"/>
          <w:w w:val="105"/>
        </w:rPr>
        <w:t>En cuanto a los servicios públicos que ofrece, sólo el 44% de la población cuenta con cobertura</w:t>
      </w:r>
      <w:r>
        <w:rPr>
          <w:color w:val="231F20"/>
          <w:spacing w:val="-18"/>
          <w:w w:val="105"/>
        </w:rPr>
        <w:t> </w:t>
      </w:r>
      <w:r>
        <w:rPr>
          <w:color w:val="231F20"/>
          <w:w w:val="105"/>
        </w:rPr>
        <w:t>de</w:t>
      </w:r>
      <w:r>
        <w:rPr>
          <w:color w:val="231F20"/>
          <w:spacing w:val="-18"/>
          <w:w w:val="105"/>
        </w:rPr>
        <w:t> </w:t>
      </w:r>
      <w:r>
        <w:rPr>
          <w:color w:val="231F20"/>
          <w:w w:val="105"/>
        </w:rPr>
        <w:t>drenaje,</w:t>
      </w:r>
      <w:r>
        <w:rPr>
          <w:color w:val="231F20"/>
          <w:spacing w:val="-18"/>
          <w:w w:val="105"/>
        </w:rPr>
        <w:t> </w:t>
      </w:r>
      <w:r>
        <w:rPr>
          <w:color w:val="231F20"/>
          <w:w w:val="105"/>
        </w:rPr>
        <w:t>el</w:t>
      </w:r>
      <w:r>
        <w:rPr>
          <w:color w:val="231F20"/>
          <w:spacing w:val="-18"/>
          <w:w w:val="105"/>
        </w:rPr>
        <w:t> </w:t>
      </w:r>
      <w:r>
        <w:rPr>
          <w:color w:val="231F20"/>
          <w:w w:val="105"/>
        </w:rPr>
        <w:t>68%</w:t>
      </w:r>
      <w:r>
        <w:rPr>
          <w:color w:val="231F20"/>
          <w:spacing w:val="-18"/>
          <w:w w:val="105"/>
        </w:rPr>
        <w:t> </w:t>
      </w:r>
      <w:r>
        <w:rPr>
          <w:color w:val="231F20"/>
          <w:w w:val="105"/>
        </w:rPr>
        <w:t>tiene</w:t>
      </w:r>
      <w:r>
        <w:rPr>
          <w:color w:val="231F20"/>
          <w:spacing w:val="-18"/>
          <w:w w:val="105"/>
        </w:rPr>
        <w:t> </w:t>
      </w:r>
      <w:r>
        <w:rPr>
          <w:color w:val="231F20"/>
          <w:w w:val="105"/>
        </w:rPr>
        <w:t>agua</w:t>
      </w:r>
      <w:r>
        <w:rPr>
          <w:color w:val="231F20"/>
          <w:spacing w:val="-18"/>
          <w:w w:val="105"/>
        </w:rPr>
        <w:t> </w:t>
      </w:r>
      <w:r>
        <w:rPr>
          <w:color w:val="231F20"/>
          <w:w w:val="105"/>
        </w:rPr>
        <w:t>potable,</w:t>
      </w:r>
      <w:r>
        <w:rPr>
          <w:color w:val="231F20"/>
          <w:spacing w:val="-18"/>
          <w:w w:val="105"/>
        </w:rPr>
        <w:t> </w:t>
      </w:r>
      <w:r>
        <w:rPr>
          <w:color w:val="231F20"/>
          <w:w w:val="105"/>
        </w:rPr>
        <w:t>mientras</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96.3%</w:t>
      </w:r>
      <w:r>
        <w:rPr>
          <w:color w:val="231F20"/>
          <w:spacing w:val="-18"/>
          <w:w w:val="105"/>
        </w:rPr>
        <w:t> </w:t>
      </w:r>
      <w:r>
        <w:rPr>
          <w:color w:val="231F20"/>
          <w:w w:val="105"/>
        </w:rPr>
        <w:t>de</w:t>
      </w:r>
      <w:r>
        <w:rPr>
          <w:color w:val="231F20"/>
          <w:spacing w:val="-18"/>
          <w:w w:val="105"/>
        </w:rPr>
        <w:t> </w:t>
      </w:r>
      <w:r>
        <w:rPr>
          <w:color w:val="231F20"/>
          <w:w w:val="105"/>
        </w:rPr>
        <w:t>cobertura</w:t>
      </w:r>
      <w:r>
        <w:rPr>
          <w:color w:val="231F20"/>
          <w:spacing w:val="-18"/>
          <w:w w:val="105"/>
        </w:rPr>
        <w:t> </w:t>
      </w:r>
      <w:r>
        <w:rPr>
          <w:color w:val="231F20"/>
          <w:w w:val="105"/>
        </w:rPr>
        <w:t>con energía</w:t>
      </w:r>
      <w:r>
        <w:rPr>
          <w:color w:val="231F20"/>
          <w:spacing w:val="-8"/>
          <w:w w:val="105"/>
        </w:rPr>
        <w:t> </w:t>
      </w:r>
      <w:r>
        <w:rPr>
          <w:color w:val="231F20"/>
          <w:w w:val="105"/>
        </w:rPr>
        <w:t>eléctrica;</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último</w:t>
      </w:r>
      <w:r>
        <w:rPr>
          <w:color w:val="231F20"/>
          <w:spacing w:val="-8"/>
          <w:w w:val="105"/>
        </w:rPr>
        <w:t> </w:t>
      </w:r>
      <w:r>
        <w:rPr>
          <w:color w:val="231F20"/>
          <w:w w:val="105"/>
        </w:rPr>
        <w:t>rubro</w:t>
      </w:r>
      <w:r>
        <w:rPr>
          <w:color w:val="231F20"/>
          <w:spacing w:val="-8"/>
          <w:w w:val="105"/>
        </w:rPr>
        <w:t> </w:t>
      </w:r>
      <w:r>
        <w:rPr>
          <w:color w:val="231F20"/>
          <w:w w:val="105"/>
        </w:rPr>
        <w:t>es</w:t>
      </w:r>
      <w:r>
        <w:rPr>
          <w:color w:val="231F20"/>
          <w:spacing w:val="-8"/>
          <w:w w:val="105"/>
        </w:rPr>
        <w:t> </w:t>
      </w:r>
      <w:r>
        <w:rPr>
          <w:color w:val="231F20"/>
          <w:w w:val="105"/>
        </w:rPr>
        <w:t>importante</w:t>
      </w:r>
      <w:r>
        <w:rPr>
          <w:color w:val="231F20"/>
          <w:spacing w:val="-8"/>
          <w:w w:val="105"/>
        </w:rPr>
        <w:t> </w:t>
      </w:r>
      <w:r>
        <w:rPr>
          <w:color w:val="231F20"/>
          <w:w w:val="105"/>
        </w:rPr>
        <w:t>mencionar</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80%</w:t>
      </w:r>
      <w:r>
        <w:rPr>
          <w:color w:val="231F20"/>
          <w:spacing w:val="-8"/>
          <w:w w:val="105"/>
        </w:rPr>
        <w:t> </w:t>
      </w:r>
      <w:r>
        <w:rPr>
          <w:color w:val="231F20"/>
          <w:w w:val="105"/>
        </w:rPr>
        <w:t>se</w:t>
      </w:r>
      <w:r>
        <w:rPr>
          <w:color w:val="231F20"/>
          <w:spacing w:val="-8"/>
          <w:w w:val="105"/>
        </w:rPr>
        <w:t> </w:t>
      </w:r>
      <w:r>
        <w:rPr>
          <w:color w:val="231F20"/>
          <w:w w:val="105"/>
        </w:rPr>
        <w:t>ubica</w:t>
      </w:r>
      <w:r>
        <w:rPr>
          <w:color w:val="231F20"/>
          <w:spacing w:val="-8"/>
          <w:w w:val="105"/>
        </w:rPr>
        <w:t> </w:t>
      </w:r>
      <w:r>
        <w:rPr>
          <w:color w:val="231F20"/>
          <w:w w:val="105"/>
        </w:rPr>
        <w:t>en la</w:t>
      </w:r>
      <w:r>
        <w:rPr>
          <w:color w:val="231F20"/>
          <w:spacing w:val="-10"/>
          <w:w w:val="105"/>
        </w:rPr>
        <w:t> </w:t>
      </w:r>
      <w:r>
        <w:rPr>
          <w:color w:val="231F20"/>
          <w:w w:val="105"/>
        </w:rPr>
        <w:t>cabecera,</w:t>
      </w:r>
      <w:r>
        <w:rPr>
          <w:color w:val="231F20"/>
          <w:spacing w:val="-10"/>
          <w:w w:val="105"/>
        </w:rPr>
        <w:t> </w:t>
      </w:r>
      <w:r>
        <w:rPr>
          <w:color w:val="231F20"/>
          <w:w w:val="105"/>
        </w:rPr>
        <w:t>mientras</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comunidades</w:t>
      </w:r>
      <w:r>
        <w:rPr>
          <w:color w:val="231F20"/>
          <w:spacing w:val="-10"/>
          <w:w w:val="105"/>
        </w:rPr>
        <w:t> </w:t>
      </w:r>
      <w:r>
        <w:rPr>
          <w:color w:val="231F20"/>
          <w:w w:val="105"/>
        </w:rPr>
        <w:t>el</w:t>
      </w:r>
      <w:r>
        <w:rPr>
          <w:color w:val="231F20"/>
          <w:spacing w:val="-10"/>
          <w:w w:val="105"/>
        </w:rPr>
        <w:t> </w:t>
      </w:r>
      <w:r>
        <w:rPr>
          <w:color w:val="231F20"/>
          <w:w w:val="105"/>
        </w:rPr>
        <w:t>objetivo</w:t>
      </w:r>
      <w:r>
        <w:rPr>
          <w:color w:val="231F20"/>
          <w:spacing w:val="-10"/>
          <w:w w:val="105"/>
        </w:rPr>
        <w:t> </w:t>
      </w:r>
      <w:r>
        <w:rPr>
          <w:color w:val="231F20"/>
          <w:w w:val="105"/>
        </w:rPr>
        <w:t>es</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cubra</w:t>
      </w:r>
      <w:r>
        <w:rPr>
          <w:color w:val="231F20"/>
          <w:spacing w:val="-10"/>
          <w:w w:val="105"/>
        </w:rPr>
        <w:t> </w:t>
      </w:r>
      <w:r>
        <w:rPr>
          <w:color w:val="231F20"/>
          <w:w w:val="105"/>
        </w:rPr>
        <w:t>un</w:t>
      </w:r>
      <w:r>
        <w:rPr>
          <w:color w:val="231F20"/>
          <w:spacing w:val="-10"/>
          <w:w w:val="105"/>
        </w:rPr>
        <w:t> </w:t>
      </w:r>
      <w:r>
        <w:rPr>
          <w:color w:val="231F20"/>
          <w:w w:val="105"/>
        </w:rPr>
        <w:t>mínimo</w:t>
      </w:r>
      <w:r>
        <w:rPr>
          <w:color w:val="231F20"/>
          <w:spacing w:val="-10"/>
          <w:w w:val="105"/>
        </w:rPr>
        <w:t> </w:t>
      </w:r>
      <w:r>
        <w:rPr>
          <w:color w:val="231F20"/>
          <w:w w:val="105"/>
        </w:rPr>
        <w:t>de 70%</w:t>
      </w:r>
      <w:r>
        <w:rPr>
          <w:color w:val="231F20"/>
          <w:spacing w:val="-31"/>
          <w:w w:val="105"/>
        </w:rPr>
        <w:t> </w:t>
      </w:r>
      <w:r>
        <w:rPr>
          <w:color w:val="231F20"/>
          <w:w w:val="105"/>
        </w:rPr>
        <w:t>por</w:t>
      </w:r>
      <w:r>
        <w:rPr>
          <w:color w:val="231F20"/>
          <w:spacing w:val="-31"/>
          <w:w w:val="105"/>
        </w:rPr>
        <w:t> </w:t>
      </w:r>
      <w:r>
        <w:rPr>
          <w:color w:val="231F20"/>
          <w:w w:val="105"/>
        </w:rPr>
        <w:t>comunidad.</w:t>
      </w:r>
      <w:r>
        <w:rPr>
          <w:color w:val="231F20"/>
          <w:spacing w:val="-31"/>
          <w:w w:val="105"/>
        </w:rPr>
        <w:t> </w:t>
      </w:r>
      <w:r>
        <w:rPr>
          <w:color w:val="231F20"/>
          <w:w w:val="105"/>
        </w:rPr>
        <w:t>El</w:t>
      </w:r>
      <w:r>
        <w:rPr>
          <w:color w:val="231F20"/>
          <w:spacing w:val="-31"/>
          <w:w w:val="105"/>
        </w:rPr>
        <w:t> </w:t>
      </w:r>
      <w:r>
        <w:rPr>
          <w:color w:val="231F20"/>
          <w:w w:val="105"/>
        </w:rPr>
        <w:t>analfabetismo</w:t>
      </w:r>
      <w:r>
        <w:rPr>
          <w:color w:val="231F20"/>
          <w:spacing w:val="-31"/>
          <w:w w:val="105"/>
        </w:rPr>
        <w:t> </w:t>
      </w:r>
      <w:r>
        <w:rPr>
          <w:color w:val="231F20"/>
          <w:w w:val="105"/>
        </w:rPr>
        <w:t>es</w:t>
      </w:r>
      <w:r>
        <w:rPr>
          <w:color w:val="231F20"/>
          <w:spacing w:val="-31"/>
          <w:w w:val="105"/>
        </w:rPr>
        <w:t> </w:t>
      </w:r>
      <w:r>
        <w:rPr>
          <w:color w:val="231F20"/>
          <w:w w:val="105"/>
        </w:rPr>
        <w:t>de</w:t>
      </w:r>
      <w:r>
        <w:rPr>
          <w:color w:val="231F20"/>
          <w:spacing w:val="-31"/>
          <w:w w:val="105"/>
        </w:rPr>
        <w:t> </w:t>
      </w:r>
      <w:r>
        <w:rPr>
          <w:color w:val="231F20"/>
          <w:spacing w:val="-3"/>
          <w:w w:val="105"/>
        </w:rPr>
        <w:t>19.8%</w:t>
      </w:r>
      <w:r>
        <w:rPr>
          <w:color w:val="231F20"/>
          <w:spacing w:val="-31"/>
          <w:w w:val="105"/>
        </w:rPr>
        <w:t> </w:t>
      </w:r>
      <w:r>
        <w:rPr>
          <w:color w:val="231F20"/>
          <w:w w:val="105"/>
        </w:rPr>
        <w:t>y</w:t>
      </w:r>
      <w:r>
        <w:rPr>
          <w:color w:val="231F20"/>
          <w:spacing w:val="-31"/>
          <w:w w:val="105"/>
        </w:rPr>
        <w:t> </w:t>
      </w:r>
      <w:r>
        <w:rPr>
          <w:color w:val="231F20"/>
          <w:w w:val="105"/>
        </w:rPr>
        <w:t>el</w:t>
      </w:r>
      <w:r>
        <w:rPr>
          <w:color w:val="231F20"/>
          <w:spacing w:val="-31"/>
          <w:w w:val="105"/>
        </w:rPr>
        <w:t> </w:t>
      </w:r>
      <w:r>
        <w:rPr>
          <w:color w:val="231F20"/>
          <w:w w:val="105"/>
        </w:rPr>
        <w:t>porcentaje</w:t>
      </w:r>
      <w:r>
        <w:rPr>
          <w:color w:val="231F20"/>
          <w:spacing w:val="-31"/>
          <w:w w:val="105"/>
        </w:rPr>
        <w:t> </w:t>
      </w:r>
      <w:r>
        <w:rPr>
          <w:color w:val="231F20"/>
          <w:w w:val="105"/>
        </w:rPr>
        <w:t>de</w:t>
      </w:r>
      <w:r>
        <w:rPr>
          <w:color w:val="231F20"/>
          <w:spacing w:val="-31"/>
          <w:w w:val="105"/>
        </w:rPr>
        <w:t> </w:t>
      </w:r>
      <w:r>
        <w:rPr>
          <w:color w:val="231F20"/>
          <w:w w:val="105"/>
        </w:rPr>
        <w:t>población</w:t>
      </w:r>
      <w:r>
        <w:rPr>
          <w:color w:val="231F20"/>
          <w:spacing w:val="-31"/>
          <w:w w:val="105"/>
        </w:rPr>
        <w:t> </w:t>
      </w:r>
      <w:r>
        <w:rPr>
          <w:color w:val="231F20"/>
          <w:w w:val="105"/>
        </w:rPr>
        <w:t>que</w:t>
      </w:r>
      <w:r>
        <w:rPr>
          <w:color w:val="231F20"/>
          <w:spacing w:val="-31"/>
          <w:w w:val="105"/>
        </w:rPr>
        <w:t> </w:t>
      </w:r>
      <w:r>
        <w:rPr>
          <w:color w:val="231F20"/>
          <w:w w:val="105"/>
        </w:rPr>
        <w:t>asiste a</w:t>
      </w:r>
      <w:r>
        <w:rPr>
          <w:color w:val="231F20"/>
          <w:spacing w:val="-21"/>
          <w:w w:val="105"/>
        </w:rPr>
        <w:t> </w:t>
      </w:r>
      <w:r>
        <w:rPr>
          <w:color w:val="231F20"/>
          <w:w w:val="105"/>
        </w:rPr>
        <w:t>la</w:t>
      </w:r>
      <w:r>
        <w:rPr>
          <w:color w:val="231F20"/>
          <w:spacing w:val="-21"/>
          <w:w w:val="105"/>
        </w:rPr>
        <w:t> </w:t>
      </w:r>
      <w:r>
        <w:rPr>
          <w:color w:val="231F20"/>
          <w:w w:val="105"/>
        </w:rPr>
        <w:t>escuela</w:t>
      </w:r>
      <w:r>
        <w:rPr>
          <w:color w:val="231F20"/>
          <w:spacing w:val="-21"/>
          <w:w w:val="105"/>
        </w:rPr>
        <w:t> </w:t>
      </w:r>
      <w:r>
        <w:rPr>
          <w:color w:val="231F20"/>
          <w:w w:val="105"/>
        </w:rPr>
        <w:t>de</w:t>
      </w:r>
      <w:r>
        <w:rPr>
          <w:color w:val="231F20"/>
          <w:spacing w:val="-21"/>
          <w:w w:val="105"/>
        </w:rPr>
        <w:t> </w:t>
      </w:r>
      <w:r>
        <w:rPr>
          <w:color w:val="231F20"/>
          <w:w w:val="105"/>
        </w:rPr>
        <w:t>forma</w:t>
      </w:r>
      <w:r>
        <w:rPr>
          <w:color w:val="231F20"/>
          <w:spacing w:val="-21"/>
          <w:w w:val="105"/>
        </w:rPr>
        <w:t> </w:t>
      </w:r>
      <w:r>
        <w:rPr>
          <w:color w:val="231F20"/>
          <w:w w:val="105"/>
        </w:rPr>
        <w:t>regular</w:t>
      </w:r>
      <w:r>
        <w:rPr>
          <w:color w:val="231F20"/>
          <w:spacing w:val="-21"/>
          <w:w w:val="105"/>
        </w:rPr>
        <w:t> </w:t>
      </w:r>
      <w:r>
        <w:rPr>
          <w:color w:val="231F20"/>
          <w:w w:val="105"/>
        </w:rPr>
        <w:t>asciende</w:t>
      </w:r>
      <w:r>
        <w:rPr>
          <w:color w:val="231F20"/>
          <w:spacing w:val="-21"/>
          <w:w w:val="105"/>
        </w:rPr>
        <w:t> </w:t>
      </w:r>
      <w:r>
        <w:rPr>
          <w:color w:val="231F20"/>
          <w:w w:val="105"/>
        </w:rPr>
        <w:t>a</w:t>
      </w:r>
      <w:r>
        <w:rPr>
          <w:color w:val="231F20"/>
          <w:spacing w:val="-21"/>
          <w:w w:val="105"/>
        </w:rPr>
        <w:t> </w:t>
      </w:r>
      <w:r>
        <w:rPr>
          <w:color w:val="231F20"/>
          <w:w w:val="105"/>
        </w:rPr>
        <w:t>35.8%</w:t>
      </w:r>
    </w:p>
    <w:p>
      <w:pPr>
        <w:pStyle w:val="BodyText"/>
        <w:spacing w:before="1"/>
        <w:rPr>
          <w:sz w:val="26"/>
        </w:rPr>
      </w:pPr>
    </w:p>
    <w:p>
      <w:pPr>
        <w:pStyle w:val="BodyText"/>
        <w:spacing w:line="285" w:lineRule="auto"/>
        <w:ind w:left="110" w:right="108"/>
        <w:jc w:val="both"/>
      </w:pPr>
      <w:r>
        <w:rPr>
          <w:color w:val="231F20"/>
          <w:spacing w:val="-3"/>
          <w:w w:val="105"/>
        </w:rPr>
        <w:t>Respecto</w:t>
      </w:r>
      <w:r>
        <w:rPr>
          <w:color w:val="231F20"/>
          <w:spacing w:val="-29"/>
          <w:w w:val="105"/>
        </w:rPr>
        <w:t> </w:t>
      </w:r>
      <w:r>
        <w:rPr>
          <w:color w:val="231F20"/>
          <w:w w:val="105"/>
        </w:rPr>
        <w:t>a</w:t>
      </w:r>
      <w:r>
        <w:rPr>
          <w:color w:val="231F20"/>
          <w:spacing w:val="-29"/>
          <w:w w:val="105"/>
        </w:rPr>
        <w:t> </w:t>
      </w:r>
      <w:r>
        <w:rPr>
          <w:color w:val="231F20"/>
          <w:w w:val="105"/>
        </w:rPr>
        <w:t>salud,</w:t>
      </w:r>
      <w:r>
        <w:rPr>
          <w:color w:val="231F20"/>
          <w:spacing w:val="-29"/>
          <w:w w:val="105"/>
        </w:rPr>
        <w:t> </w:t>
      </w:r>
      <w:r>
        <w:rPr>
          <w:color w:val="231F20"/>
          <w:w w:val="105"/>
        </w:rPr>
        <w:t>únicamente</w:t>
      </w:r>
      <w:r>
        <w:rPr>
          <w:color w:val="231F20"/>
          <w:spacing w:val="-29"/>
          <w:w w:val="105"/>
        </w:rPr>
        <w:t> </w:t>
      </w:r>
      <w:r>
        <w:rPr>
          <w:color w:val="231F20"/>
          <w:spacing w:val="-3"/>
          <w:w w:val="105"/>
        </w:rPr>
        <w:t>son</w:t>
      </w:r>
      <w:r>
        <w:rPr>
          <w:color w:val="231F20"/>
          <w:spacing w:val="-29"/>
          <w:w w:val="105"/>
        </w:rPr>
        <w:t> </w:t>
      </w:r>
      <w:r>
        <w:rPr>
          <w:color w:val="231F20"/>
          <w:spacing w:val="-4"/>
          <w:w w:val="105"/>
        </w:rPr>
        <w:t>derechohabientes</w:t>
      </w:r>
      <w:r>
        <w:rPr>
          <w:color w:val="231F20"/>
          <w:spacing w:val="-29"/>
          <w:w w:val="105"/>
        </w:rPr>
        <w:t> </w:t>
      </w:r>
      <w:r>
        <w:rPr>
          <w:color w:val="231F20"/>
          <w:w w:val="105"/>
        </w:rPr>
        <w:t>el</w:t>
      </w:r>
      <w:r>
        <w:rPr>
          <w:color w:val="231F20"/>
          <w:spacing w:val="-29"/>
          <w:w w:val="105"/>
        </w:rPr>
        <w:t> </w:t>
      </w:r>
      <w:r>
        <w:rPr>
          <w:color w:val="231F20"/>
          <w:w w:val="105"/>
        </w:rPr>
        <w:t>20.2%</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4"/>
          <w:w w:val="105"/>
        </w:rPr>
        <w:t>población,</w:t>
      </w:r>
      <w:r>
        <w:rPr>
          <w:color w:val="231F20"/>
          <w:spacing w:val="-29"/>
          <w:w w:val="105"/>
        </w:rPr>
        <w:t> </w:t>
      </w:r>
      <w:r>
        <w:rPr>
          <w:color w:val="231F20"/>
          <w:w w:val="105"/>
        </w:rPr>
        <w:t>el</w:t>
      </w:r>
      <w:r>
        <w:rPr>
          <w:color w:val="231F20"/>
          <w:spacing w:val="-29"/>
          <w:w w:val="105"/>
        </w:rPr>
        <w:t> </w:t>
      </w:r>
      <w:r>
        <w:rPr>
          <w:color w:val="231F20"/>
          <w:spacing w:val="-3"/>
          <w:w w:val="105"/>
        </w:rPr>
        <w:t>resto</w:t>
      </w:r>
      <w:r>
        <w:rPr>
          <w:color w:val="231F20"/>
          <w:spacing w:val="-29"/>
          <w:w w:val="105"/>
        </w:rPr>
        <w:t> </w:t>
      </w:r>
      <w:r>
        <w:rPr>
          <w:color w:val="231F20"/>
          <w:w w:val="105"/>
        </w:rPr>
        <w:t>care- ce</w:t>
      </w:r>
      <w:r>
        <w:rPr>
          <w:color w:val="231F20"/>
          <w:spacing w:val="-17"/>
          <w:w w:val="105"/>
        </w:rPr>
        <w:t> </w:t>
      </w:r>
      <w:r>
        <w:rPr>
          <w:color w:val="231F20"/>
          <w:w w:val="105"/>
        </w:rPr>
        <w:t>de</w:t>
      </w:r>
      <w:r>
        <w:rPr>
          <w:color w:val="231F20"/>
          <w:spacing w:val="-17"/>
          <w:w w:val="105"/>
        </w:rPr>
        <w:t> </w:t>
      </w:r>
      <w:r>
        <w:rPr>
          <w:color w:val="231F20"/>
          <w:w w:val="105"/>
        </w:rPr>
        <w:t>este</w:t>
      </w:r>
      <w:r>
        <w:rPr>
          <w:color w:val="231F20"/>
          <w:spacing w:val="-17"/>
          <w:w w:val="105"/>
        </w:rPr>
        <w:t> </w:t>
      </w:r>
      <w:r>
        <w:rPr>
          <w:color w:val="231F20"/>
          <w:w w:val="105"/>
        </w:rPr>
        <w:t>tipo</w:t>
      </w:r>
      <w:r>
        <w:rPr>
          <w:color w:val="231F20"/>
          <w:spacing w:val="-17"/>
          <w:w w:val="105"/>
        </w:rPr>
        <w:t> </w:t>
      </w:r>
      <w:r>
        <w:rPr>
          <w:color w:val="231F20"/>
          <w:w w:val="105"/>
        </w:rPr>
        <w:t>de</w:t>
      </w:r>
      <w:r>
        <w:rPr>
          <w:color w:val="231F20"/>
          <w:spacing w:val="-17"/>
          <w:w w:val="105"/>
        </w:rPr>
        <w:t> </w:t>
      </w:r>
      <w:r>
        <w:rPr>
          <w:color w:val="231F20"/>
          <w:w w:val="105"/>
        </w:rPr>
        <w:t>servicio.</w:t>
      </w:r>
      <w:r>
        <w:rPr>
          <w:color w:val="231F20"/>
          <w:spacing w:val="-17"/>
          <w:w w:val="105"/>
        </w:rPr>
        <w:t> </w:t>
      </w:r>
      <w:r>
        <w:rPr>
          <w:color w:val="231F20"/>
          <w:w w:val="105"/>
        </w:rPr>
        <w:t>En</w:t>
      </w:r>
      <w:r>
        <w:rPr>
          <w:color w:val="231F20"/>
          <w:spacing w:val="-17"/>
          <w:w w:val="105"/>
        </w:rPr>
        <w:t> </w:t>
      </w:r>
      <w:r>
        <w:rPr>
          <w:color w:val="231F20"/>
          <w:spacing w:val="-6"/>
          <w:w w:val="105"/>
        </w:rPr>
        <w:t>Tejupilco</w:t>
      </w:r>
      <w:r>
        <w:rPr>
          <w:color w:val="231F20"/>
          <w:spacing w:val="-17"/>
          <w:w w:val="105"/>
        </w:rPr>
        <w:t> </w:t>
      </w:r>
      <w:r>
        <w:rPr>
          <w:color w:val="231F20"/>
          <w:w w:val="105"/>
        </w:rPr>
        <w:t>se</w:t>
      </w:r>
      <w:r>
        <w:rPr>
          <w:color w:val="231F20"/>
          <w:spacing w:val="-17"/>
          <w:w w:val="105"/>
        </w:rPr>
        <w:t> </w:t>
      </w:r>
      <w:r>
        <w:rPr>
          <w:color w:val="231F20"/>
          <w:spacing w:val="-3"/>
          <w:w w:val="105"/>
        </w:rPr>
        <w:t>tiene</w:t>
      </w:r>
      <w:r>
        <w:rPr>
          <w:color w:val="231F20"/>
          <w:spacing w:val="-17"/>
          <w:w w:val="105"/>
        </w:rPr>
        <w:t> </w:t>
      </w:r>
      <w:r>
        <w:rPr>
          <w:color w:val="231F20"/>
          <w:w w:val="105"/>
        </w:rPr>
        <w:t>a</w:t>
      </w:r>
      <w:r>
        <w:rPr>
          <w:color w:val="231F20"/>
          <w:spacing w:val="-17"/>
          <w:w w:val="105"/>
        </w:rPr>
        <w:t> </w:t>
      </w:r>
      <w:r>
        <w:rPr>
          <w:color w:val="231F20"/>
          <w:w w:val="105"/>
        </w:rPr>
        <w:t>un</w:t>
      </w:r>
      <w:r>
        <w:rPr>
          <w:color w:val="231F20"/>
          <w:spacing w:val="-17"/>
          <w:w w:val="105"/>
        </w:rPr>
        <w:t> </w:t>
      </w:r>
      <w:r>
        <w:rPr>
          <w:color w:val="231F20"/>
          <w:spacing w:val="-2"/>
          <w:w w:val="105"/>
        </w:rPr>
        <w:t>médico</w:t>
      </w:r>
      <w:r>
        <w:rPr>
          <w:color w:val="231F20"/>
          <w:spacing w:val="-17"/>
          <w:w w:val="105"/>
        </w:rPr>
        <w:t> </w:t>
      </w:r>
      <w:r>
        <w:rPr>
          <w:color w:val="231F20"/>
          <w:spacing w:val="-3"/>
          <w:w w:val="105"/>
        </w:rPr>
        <w:t>por</w:t>
      </w:r>
      <w:r>
        <w:rPr>
          <w:color w:val="231F20"/>
          <w:spacing w:val="-17"/>
          <w:w w:val="105"/>
        </w:rPr>
        <w:t> </w:t>
      </w:r>
      <w:r>
        <w:rPr>
          <w:color w:val="231F20"/>
          <w:spacing w:val="-3"/>
          <w:w w:val="105"/>
        </w:rPr>
        <w:t>cada</w:t>
      </w:r>
      <w:r>
        <w:rPr>
          <w:color w:val="231F20"/>
          <w:spacing w:val="-17"/>
          <w:w w:val="105"/>
        </w:rPr>
        <w:t> </w:t>
      </w:r>
      <w:r>
        <w:rPr>
          <w:color w:val="231F20"/>
          <w:w w:val="105"/>
        </w:rPr>
        <w:t>962.2</w:t>
      </w:r>
      <w:r>
        <w:rPr>
          <w:color w:val="231F20"/>
          <w:spacing w:val="-17"/>
          <w:w w:val="105"/>
        </w:rPr>
        <w:t> </w:t>
      </w:r>
      <w:r>
        <w:rPr>
          <w:color w:val="231F20"/>
          <w:spacing w:val="-3"/>
          <w:w w:val="105"/>
        </w:rPr>
        <w:t>habitantes.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5"/>
          <w:w w:val="105"/>
        </w:rPr>
        <w:t> </w:t>
      </w:r>
      <w:r>
        <w:rPr>
          <w:color w:val="231F20"/>
          <w:w w:val="105"/>
        </w:rPr>
        <w:t>actividad</w:t>
      </w:r>
      <w:r>
        <w:rPr>
          <w:color w:val="231F20"/>
          <w:spacing w:val="-5"/>
          <w:w w:val="105"/>
        </w:rPr>
        <w:t> </w:t>
      </w:r>
      <w:r>
        <w:rPr>
          <w:color w:val="231F20"/>
          <w:w w:val="105"/>
        </w:rPr>
        <w:t>económica</w:t>
      </w:r>
      <w:r>
        <w:rPr>
          <w:color w:val="231F20"/>
          <w:spacing w:val="-5"/>
          <w:w w:val="105"/>
        </w:rPr>
        <w:t> </w:t>
      </w:r>
      <w:r>
        <w:rPr>
          <w:color w:val="231F20"/>
          <w:w w:val="105"/>
        </w:rPr>
        <w:t>más</w:t>
      </w:r>
      <w:r>
        <w:rPr>
          <w:color w:val="231F20"/>
          <w:spacing w:val="-5"/>
          <w:w w:val="105"/>
        </w:rPr>
        <w:t> </w:t>
      </w:r>
      <w:r>
        <w:rPr>
          <w:color w:val="231F20"/>
          <w:w w:val="105"/>
        </w:rPr>
        <w:t>recurrente</w:t>
      </w:r>
      <w:r>
        <w:rPr>
          <w:color w:val="231F20"/>
          <w:spacing w:val="-5"/>
          <w:w w:val="105"/>
        </w:rPr>
        <w:t> </w:t>
      </w:r>
      <w:r>
        <w:rPr>
          <w:color w:val="231F20"/>
          <w:w w:val="105"/>
        </w:rPr>
        <w:t>es</w:t>
      </w:r>
      <w:r>
        <w:rPr>
          <w:color w:val="231F20"/>
          <w:spacing w:val="-5"/>
          <w:w w:val="105"/>
        </w:rPr>
        <w:t> </w:t>
      </w:r>
      <w:r>
        <w:rPr>
          <w:color w:val="231F20"/>
          <w:w w:val="105"/>
        </w:rPr>
        <w:t>la</w:t>
      </w:r>
      <w:r>
        <w:rPr>
          <w:color w:val="231F20"/>
          <w:spacing w:val="-5"/>
          <w:w w:val="105"/>
        </w:rPr>
        <w:t> </w:t>
      </w:r>
      <w:r>
        <w:rPr>
          <w:color w:val="231F20"/>
          <w:w w:val="105"/>
        </w:rPr>
        <w:t>pecuaria</w:t>
      </w:r>
      <w:r>
        <w:rPr>
          <w:color w:val="231F20"/>
          <w:spacing w:val="-5"/>
          <w:w w:val="105"/>
        </w:rPr>
        <w:t> </w:t>
      </w:r>
      <w:r>
        <w:rPr>
          <w:color w:val="231F20"/>
          <w:w w:val="105"/>
        </w:rPr>
        <w:t>con</w:t>
      </w:r>
      <w:r>
        <w:rPr>
          <w:color w:val="231F20"/>
          <w:spacing w:val="-5"/>
          <w:w w:val="105"/>
        </w:rPr>
        <w:t> </w:t>
      </w:r>
      <w:r>
        <w:rPr>
          <w:color w:val="231F20"/>
          <w:w w:val="105"/>
        </w:rPr>
        <w:t>un</w:t>
      </w:r>
      <w:r>
        <w:rPr>
          <w:color w:val="231F20"/>
          <w:spacing w:val="-5"/>
          <w:w w:val="105"/>
        </w:rPr>
        <w:t> </w:t>
      </w:r>
      <w:r>
        <w:rPr>
          <w:color w:val="231F20"/>
          <w:w w:val="105"/>
        </w:rPr>
        <w:t>78.3%</w:t>
      </w:r>
      <w:r>
        <w:rPr>
          <w:color w:val="231F20"/>
          <w:spacing w:val="-5"/>
          <w:w w:val="105"/>
        </w:rPr>
        <w:t> </w:t>
      </w:r>
      <w:r>
        <w:rPr>
          <w:color w:val="231F20"/>
          <w:w w:val="105"/>
        </w:rPr>
        <w:t>de</w:t>
      </w:r>
      <w:r>
        <w:rPr>
          <w:color w:val="231F20"/>
          <w:spacing w:val="-5"/>
          <w:w w:val="105"/>
        </w:rPr>
        <w:t> </w:t>
      </w:r>
      <w:r>
        <w:rPr>
          <w:color w:val="231F20"/>
          <w:w w:val="105"/>
        </w:rPr>
        <w:t>territorio</w:t>
      </w:r>
      <w:r>
        <w:rPr>
          <w:color w:val="231F20"/>
          <w:spacing w:val="-5"/>
          <w:w w:val="105"/>
        </w:rPr>
        <w:t> </w:t>
      </w:r>
      <w:r>
        <w:rPr>
          <w:color w:val="231F20"/>
          <w:w w:val="105"/>
        </w:rPr>
        <w:t>dedi- cado</w:t>
      </w:r>
      <w:r>
        <w:rPr>
          <w:color w:val="231F20"/>
          <w:spacing w:val="-16"/>
          <w:w w:val="105"/>
        </w:rPr>
        <w:t> </w:t>
      </w:r>
      <w:r>
        <w:rPr>
          <w:color w:val="231F20"/>
          <w:w w:val="105"/>
        </w:rPr>
        <w:t>a</w:t>
      </w:r>
      <w:r>
        <w:rPr>
          <w:color w:val="231F20"/>
          <w:spacing w:val="-16"/>
          <w:w w:val="105"/>
        </w:rPr>
        <w:t> </w:t>
      </w:r>
      <w:r>
        <w:rPr>
          <w:color w:val="231F20"/>
          <w:w w:val="105"/>
        </w:rPr>
        <w:t>esa</w:t>
      </w:r>
      <w:r>
        <w:rPr>
          <w:color w:val="231F20"/>
          <w:spacing w:val="-16"/>
          <w:w w:val="105"/>
        </w:rPr>
        <w:t> </w:t>
      </w:r>
      <w:r>
        <w:rPr>
          <w:color w:val="231F20"/>
          <w:w w:val="105"/>
        </w:rPr>
        <w:t>actividad.</w:t>
      </w:r>
      <w:r>
        <w:rPr>
          <w:color w:val="231F20"/>
          <w:spacing w:val="-16"/>
          <w:w w:val="105"/>
        </w:rPr>
        <w:t> </w:t>
      </w:r>
      <w:r>
        <w:rPr>
          <w:color w:val="231F20"/>
          <w:w w:val="105"/>
        </w:rPr>
        <w:t>De</w:t>
      </w:r>
      <w:r>
        <w:rPr>
          <w:color w:val="231F20"/>
          <w:spacing w:val="-15"/>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económicamente</w:t>
      </w:r>
      <w:r>
        <w:rPr>
          <w:color w:val="231F20"/>
          <w:spacing w:val="-16"/>
          <w:w w:val="105"/>
        </w:rPr>
        <w:t> </w:t>
      </w:r>
      <w:r>
        <w:rPr>
          <w:color w:val="231F20"/>
          <w:w w:val="105"/>
        </w:rPr>
        <w:t>activa</w:t>
      </w:r>
      <w:r>
        <w:rPr>
          <w:color w:val="231F20"/>
          <w:spacing w:val="-16"/>
          <w:w w:val="105"/>
        </w:rPr>
        <w:t> </w:t>
      </w:r>
      <w:r>
        <w:rPr>
          <w:color w:val="231F20"/>
          <w:spacing w:val="-3"/>
          <w:w w:val="105"/>
        </w:rPr>
        <w:t>(PEA)</w:t>
      </w:r>
      <w:r>
        <w:rPr>
          <w:color w:val="231F20"/>
          <w:spacing w:val="-16"/>
          <w:w w:val="105"/>
        </w:rPr>
        <w:t> </w:t>
      </w:r>
      <w:r>
        <w:rPr>
          <w:color w:val="231F20"/>
          <w:w w:val="105"/>
        </w:rPr>
        <w:t>el</w:t>
      </w:r>
      <w:r>
        <w:rPr>
          <w:color w:val="231F20"/>
          <w:spacing w:val="-16"/>
          <w:w w:val="105"/>
        </w:rPr>
        <w:t> </w:t>
      </w:r>
      <w:r>
        <w:rPr>
          <w:color w:val="231F20"/>
          <w:w w:val="105"/>
        </w:rPr>
        <w:t>58.5%</w:t>
      </w:r>
      <w:r>
        <w:rPr>
          <w:color w:val="231F20"/>
          <w:spacing w:val="-16"/>
          <w:w w:val="105"/>
        </w:rPr>
        <w:t> </w:t>
      </w:r>
      <w:r>
        <w:rPr>
          <w:color w:val="231F20"/>
          <w:w w:val="105"/>
        </w:rPr>
        <w:t>no</w:t>
      </w:r>
      <w:r>
        <w:rPr>
          <w:color w:val="231F20"/>
          <w:spacing w:val="-16"/>
          <w:w w:val="105"/>
        </w:rPr>
        <w:t> </w:t>
      </w:r>
      <w:r>
        <w:rPr>
          <w:color w:val="231F20"/>
          <w:w w:val="105"/>
        </w:rPr>
        <w:t>rebasa los</w:t>
      </w:r>
      <w:r>
        <w:rPr>
          <w:color w:val="231F20"/>
          <w:spacing w:val="-21"/>
          <w:w w:val="105"/>
        </w:rPr>
        <w:t> </w:t>
      </w:r>
      <w:r>
        <w:rPr>
          <w:color w:val="231F20"/>
          <w:w w:val="105"/>
        </w:rPr>
        <w:t>dos</w:t>
      </w:r>
      <w:r>
        <w:rPr>
          <w:color w:val="231F20"/>
          <w:spacing w:val="-21"/>
          <w:w w:val="105"/>
        </w:rPr>
        <w:t> </w:t>
      </w:r>
      <w:r>
        <w:rPr>
          <w:color w:val="231F20"/>
          <w:w w:val="105"/>
        </w:rPr>
        <w:t>salarios</w:t>
      </w:r>
      <w:r>
        <w:rPr>
          <w:color w:val="231F20"/>
          <w:spacing w:val="-21"/>
          <w:w w:val="105"/>
        </w:rPr>
        <w:t> </w:t>
      </w:r>
      <w:r>
        <w:rPr>
          <w:color w:val="231F20"/>
          <w:w w:val="105"/>
        </w:rPr>
        <w:t>mínimos</w:t>
      </w:r>
      <w:r>
        <w:rPr>
          <w:color w:val="231F20"/>
          <w:spacing w:val="-21"/>
          <w:w w:val="105"/>
        </w:rPr>
        <w:t> </w:t>
      </w:r>
      <w:r>
        <w:rPr>
          <w:color w:val="231F20"/>
          <w:w w:val="105"/>
        </w:rPr>
        <w:t>($330.00)</w:t>
      </w:r>
      <w:r>
        <w:rPr>
          <w:color w:val="231F20"/>
          <w:spacing w:val="-21"/>
          <w:w w:val="105"/>
        </w:rPr>
        <w:t> </w:t>
      </w:r>
      <w:r>
        <w:rPr>
          <w:color w:val="231F20"/>
          <w:w w:val="105"/>
        </w:rPr>
        <w:t>semanales,</w:t>
      </w:r>
      <w:r>
        <w:rPr>
          <w:color w:val="231F20"/>
          <w:spacing w:val="-21"/>
          <w:w w:val="105"/>
        </w:rPr>
        <w:t> </w:t>
      </w:r>
      <w:r>
        <w:rPr>
          <w:color w:val="231F20"/>
          <w:w w:val="105"/>
        </w:rPr>
        <w:t>esta</w:t>
      </w:r>
      <w:r>
        <w:rPr>
          <w:color w:val="231F20"/>
          <w:spacing w:val="-21"/>
          <w:w w:val="105"/>
        </w:rPr>
        <w:t> </w:t>
      </w:r>
      <w:r>
        <w:rPr>
          <w:color w:val="231F20"/>
          <w:w w:val="105"/>
        </w:rPr>
        <w:t>situación</w:t>
      </w:r>
      <w:r>
        <w:rPr>
          <w:color w:val="231F20"/>
          <w:spacing w:val="-21"/>
          <w:w w:val="105"/>
        </w:rPr>
        <w:t> </w:t>
      </w:r>
      <w:r>
        <w:rPr>
          <w:color w:val="231F20"/>
          <w:w w:val="105"/>
        </w:rPr>
        <w:t>ejemplifica</w:t>
      </w:r>
      <w:r>
        <w:rPr>
          <w:color w:val="231F20"/>
          <w:spacing w:val="-21"/>
          <w:w w:val="105"/>
        </w:rPr>
        <w:t> </w:t>
      </w:r>
      <w:r>
        <w:rPr>
          <w:color w:val="231F20"/>
          <w:w w:val="105"/>
        </w:rPr>
        <w:t>el</w:t>
      </w:r>
      <w:r>
        <w:rPr>
          <w:color w:val="231F20"/>
          <w:spacing w:val="-21"/>
          <w:w w:val="105"/>
        </w:rPr>
        <w:t> </w:t>
      </w:r>
      <w:r>
        <w:rPr>
          <w:color w:val="231F20"/>
          <w:w w:val="105"/>
        </w:rPr>
        <w:t>bajo</w:t>
      </w:r>
      <w:r>
        <w:rPr>
          <w:color w:val="231F20"/>
          <w:spacing w:val="-21"/>
          <w:w w:val="105"/>
        </w:rPr>
        <w:t> </w:t>
      </w:r>
      <w:r>
        <w:rPr>
          <w:color w:val="231F20"/>
          <w:w w:val="105"/>
        </w:rPr>
        <w:t>ingreso per</w:t>
      </w:r>
      <w:r>
        <w:rPr>
          <w:color w:val="231F20"/>
          <w:spacing w:val="-13"/>
          <w:w w:val="105"/>
        </w:rPr>
        <w:t> </w:t>
      </w:r>
      <w:r>
        <w:rPr>
          <w:color w:val="231F20"/>
          <w:w w:val="105"/>
        </w:rPr>
        <w:t>cápita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habitantes</w:t>
      </w:r>
      <w:r>
        <w:rPr>
          <w:color w:val="231F20"/>
          <w:spacing w:val="-13"/>
          <w:w w:val="105"/>
        </w:rPr>
        <w:t> </w:t>
      </w:r>
      <w:r>
        <w:rPr>
          <w:color w:val="231F20"/>
          <w:w w:val="105"/>
        </w:rPr>
        <w:t>del</w:t>
      </w:r>
      <w:r>
        <w:rPr>
          <w:color w:val="231F20"/>
          <w:spacing w:val="-13"/>
          <w:w w:val="105"/>
        </w:rPr>
        <w:t> </w:t>
      </w:r>
      <w:r>
        <w:rPr>
          <w:color w:val="231F20"/>
          <w:w w:val="105"/>
        </w:rPr>
        <w:t>municipio.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La zona sureste de la entidad tiene una mayor importancia para el priísmo mexiquen- se, por lo que el municipio no ha sido la excepción, </w:t>
      </w:r>
      <w:r>
        <w:rPr>
          <w:color w:val="231F20"/>
          <w:spacing w:val="-4"/>
          <w:w w:val="105"/>
        </w:rPr>
        <w:t>Tejupilco </w:t>
      </w:r>
      <w:r>
        <w:rPr>
          <w:color w:val="231F20"/>
          <w:w w:val="105"/>
        </w:rPr>
        <w:t>ha tenido una tradición política mayormente priísta, aunque no se ha limitado la presencia de la oposición en esa</w:t>
      </w:r>
      <w:r>
        <w:rPr>
          <w:color w:val="231F20"/>
          <w:spacing w:val="-9"/>
          <w:w w:val="105"/>
        </w:rPr>
        <w:t> </w:t>
      </w:r>
      <w:r>
        <w:rPr>
          <w:color w:val="231F20"/>
          <w:w w:val="105"/>
        </w:rPr>
        <w:t>región</w:t>
      </w:r>
      <w:r>
        <w:rPr>
          <w:color w:val="231F20"/>
          <w:spacing w:val="-9"/>
          <w:w w:val="105"/>
        </w:rPr>
        <w:t> </w:t>
      </w:r>
      <w:r>
        <w:rPr>
          <w:color w:val="231F20"/>
          <w:w w:val="105"/>
        </w:rPr>
        <w:t>mexiquense,</w:t>
      </w:r>
      <w:r>
        <w:rPr>
          <w:color w:val="231F20"/>
          <w:spacing w:val="-9"/>
          <w:w w:val="105"/>
        </w:rPr>
        <w:t> </w:t>
      </w:r>
      <w:r>
        <w:rPr>
          <w:color w:val="231F20"/>
          <w:w w:val="105"/>
        </w:rPr>
        <w:t>principalmente</w:t>
      </w:r>
      <w:r>
        <w:rPr>
          <w:color w:val="231F20"/>
          <w:spacing w:val="-9"/>
          <w:w w:val="105"/>
        </w:rPr>
        <w:t> </w:t>
      </w:r>
      <w:r>
        <w:rPr>
          <w:color w:val="231F20"/>
          <w:w w:val="105"/>
        </w:rPr>
        <w:t>del</w:t>
      </w:r>
      <w:r>
        <w:rPr>
          <w:color w:val="231F20"/>
          <w:spacing w:val="-9"/>
          <w:w w:val="105"/>
        </w:rPr>
        <w:t> </w:t>
      </w:r>
      <w:r>
        <w:rPr>
          <w:color w:val="231F20"/>
          <w:w w:val="105"/>
        </w:rPr>
        <w:t>partido</w:t>
      </w:r>
      <w:r>
        <w:rPr>
          <w:color w:val="231F20"/>
          <w:spacing w:val="-9"/>
          <w:w w:val="105"/>
        </w:rPr>
        <w:t> </w:t>
      </w:r>
      <w:r>
        <w:rPr>
          <w:color w:val="231F20"/>
          <w:w w:val="105"/>
        </w:rPr>
        <w:t>del</w:t>
      </w:r>
      <w:r>
        <w:rPr>
          <w:color w:val="231F20"/>
          <w:spacing w:val="-9"/>
          <w:w w:val="105"/>
        </w:rPr>
        <w:t> </w:t>
      </w:r>
      <w:r>
        <w:rPr>
          <w:color w:val="231F20"/>
          <w:w w:val="105"/>
        </w:rPr>
        <w:t>sol</w:t>
      </w:r>
      <w:r>
        <w:rPr>
          <w:color w:val="231F20"/>
          <w:spacing w:val="-9"/>
          <w:w w:val="105"/>
        </w:rPr>
        <w:t> </w:t>
      </w:r>
      <w:r>
        <w:rPr>
          <w:color w:val="231F20"/>
          <w:w w:val="105"/>
        </w:rPr>
        <w:t>azteca,</w:t>
      </w:r>
      <w:r>
        <w:rPr>
          <w:color w:val="231F20"/>
          <w:spacing w:val="-9"/>
          <w:w w:val="105"/>
        </w:rPr>
        <w:t> </w:t>
      </w:r>
      <w:r>
        <w:rPr>
          <w:color w:val="231F20"/>
          <w:w w:val="105"/>
        </w:rPr>
        <w:t>el</w:t>
      </w:r>
      <w:r>
        <w:rPr>
          <w:color w:val="231F20"/>
          <w:spacing w:val="-9"/>
          <w:w w:val="105"/>
        </w:rPr>
        <w:t> </w:t>
      </w:r>
      <w:r>
        <w:rPr>
          <w:color w:val="231F20"/>
          <w:spacing w:val="-3"/>
          <w:w w:val="105"/>
        </w:rPr>
        <w:t>PRD,</w:t>
      </w:r>
      <w:r>
        <w:rPr>
          <w:color w:val="231F20"/>
          <w:spacing w:val="-9"/>
          <w:w w:val="105"/>
        </w:rPr>
        <w:t> </w:t>
      </w:r>
      <w:r>
        <w:rPr>
          <w:color w:val="231F20"/>
          <w:w w:val="105"/>
        </w:rPr>
        <w:t>el</w:t>
      </w:r>
      <w:r>
        <w:rPr>
          <w:color w:val="231F20"/>
          <w:spacing w:val="-9"/>
          <w:w w:val="105"/>
        </w:rPr>
        <w:t> </w:t>
      </w:r>
      <w:r>
        <w:rPr>
          <w:color w:val="231F20"/>
          <w:w w:val="105"/>
        </w:rPr>
        <w:t>cual</w:t>
      </w:r>
      <w:r>
        <w:rPr>
          <w:color w:val="231F20"/>
          <w:spacing w:val="-9"/>
          <w:w w:val="105"/>
        </w:rPr>
        <w:t> </w:t>
      </w:r>
      <w:r>
        <w:rPr>
          <w:color w:val="231F20"/>
          <w:w w:val="105"/>
        </w:rPr>
        <w:t>logró ganar</w:t>
      </w:r>
      <w:r>
        <w:rPr>
          <w:color w:val="231F20"/>
          <w:spacing w:val="-15"/>
          <w:w w:val="105"/>
        </w:rPr>
        <w:t> </w:t>
      </w:r>
      <w:r>
        <w:rPr>
          <w:color w:val="231F20"/>
          <w:w w:val="105"/>
        </w:rPr>
        <w:t>la</w:t>
      </w:r>
      <w:r>
        <w:rPr>
          <w:color w:val="231F20"/>
          <w:spacing w:val="-15"/>
          <w:w w:val="105"/>
        </w:rPr>
        <w:t> </w:t>
      </w:r>
      <w:r>
        <w:rPr>
          <w:color w:val="231F20"/>
          <w:w w:val="105"/>
        </w:rPr>
        <w:t>presidencia</w:t>
      </w:r>
      <w:r>
        <w:rPr>
          <w:color w:val="231F20"/>
          <w:spacing w:val="-15"/>
          <w:w w:val="105"/>
        </w:rPr>
        <w:t> </w:t>
      </w:r>
      <w:r>
        <w:rPr>
          <w:color w:val="231F20"/>
          <w:w w:val="105"/>
        </w:rPr>
        <w:t>municipal</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trienio</w:t>
      </w:r>
      <w:r>
        <w:rPr>
          <w:color w:val="231F20"/>
          <w:spacing w:val="-15"/>
          <w:w w:val="105"/>
        </w:rPr>
        <w:t> </w:t>
      </w:r>
      <w:r>
        <w:rPr>
          <w:color w:val="231F20"/>
          <w:w w:val="105"/>
        </w:rPr>
        <w:t>2003-2006</w:t>
      </w:r>
      <w:r>
        <w:rPr>
          <w:color w:val="231F20"/>
          <w:spacing w:val="-15"/>
          <w:w w:val="105"/>
        </w:rPr>
        <w:t> </w:t>
      </w:r>
      <w:r>
        <w:rPr>
          <w:color w:val="231F20"/>
          <w:spacing w:val="-4"/>
          <w:w w:val="105"/>
        </w:rPr>
        <w:t>(ver</w:t>
      </w:r>
      <w:r>
        <w:rPr>
          <w:color w:val="231F20"/>
          <w:spacing w:val="-15"/>
          <w:w w:val="105"/>
        </w:rPr>
        <w:t> </w:t>
      </w:r>
      <w:r>
        <w:rPr>
          <w:color w:val="231F20"/>
          <w:w w:val="105"/>
        </w:rPr>
        <w:t>gráfica</w:t>
      </w:r>
      <w:r>
        <w:rPr>
          <w:color w:val="231F20"/>
          <w:spacing w:val="-15"/>
          <w:w w:val="105"/>
        </w:rPr>
        <w:t> </w:t>
      </w:r>
      <w:r>
        <w:rPr>
          <w:color w:val="231F20"/>
          <w:spacing w:val="-7"/>
          <w:w w:val="105"/>
        </w:rPr>
        <w:t>1).</w:t>
      </w:r>
    </w:p>
    <w:p>
      <w:pPr>
        <w:pStyle w:val="BodyText"/>
        <w:spacing w:before="1"/>
        <w:rPr>
          <w:sz w:val="23"/>
        </w:rPr>
      </w:pPr>
    </w:p>
    <w:p>
      <w:pPr>
        <w:pStyle w:val="Heading4"/>
        <w:spacing w:line="300" w:lineRule="exact"/>
        <w:ind w:right="242"/>
        <w:jc w:val="left"/>
      </w:pPr>
      <w:r>
        <w:rPr>
          <w:i/>
          <w:color w:val="231F20"/>
        </w:rPr>
        <w:t>El Partido Revolucionario Institucional (PRI) y las tendencias electorales </w:t>
      </w:r>
      <w:r>
        <w:rPr>
          <w:color w:val="231F20"/>
        </w:rPr>
        <w:t>en el municipio</w:t>
      </w:r>
    </w:p>
    <w:p>
      <w:pPr>
        <w:pStyle w:val="BodyText"/>
        <w:spacing w:line="285" w:lineRule="auto" w:before="34"/>
        <w:ind w:left="110" w:right="107"/>
        <w:jc w:val="both"/>
      </w:pPr>
      <w:r>
        <w:rPr>
          <w:color w:val="231F20"/>
          <w:w w:val="105"/>
        </w:rPr>
        <w:t>El PRI se considera a sí mismo como un partido político que ha sabido identificar las necesidades</w:t>
      </w:r>
      <w:r>
        <w:rPr>
          <w:color w:val="231F20"/>
          <w:spacing w:val="-17"/>
          <w:w w:val="105"/>
        </w:rPr>
        <w:t> </w:t>
      </w:r>
      <w:r>
        <w:rPr>
          <w:color w:val="231F20"/>
          <w:w w:val="105"/>
        </w:rPr>
        <w:t>y</w:t>
      </w:r>
      <w:r>
        <w:rPr>
          <w:color w:val="231F20"/>
          <w:spacing w:val="-17"/>
          <w:w w:val="105"/>
        </w:rPr>
        <w:t> </w:t>
      </w:r>
      <w:r>
        <w:rPr>
          <w:color w:val="231F20"/>
          <w:w w:val="105"/>
        </w:rPr>
        <w:t>aspiraciones</w:t>
      </w:r>
      <w:r>
        <w:rPr>
          <w:color w:val="231F20"/>
          <w:spacing w:val="-17"/>
          <w:w w:val="105"/>
        </w:rPr>
        <w:t> </w:t>
      </w:r>
      <w:r>
        <w:rPr>
          <w:color w:val="231F20"/>
          <w:w w:val="105"/>
        </w:rPr>
        <w:t>de</w:t>
      </w:r>
      <w:r>
        <w:rPr>
          <w:color w:val="231F20"/>
          <w:spacing w:val="-17"/>
          <w:w w:val="105"/>
        </w:rPr>
        <w:t> </w:t>
      </w:r>
      <w:r>
        <w:rPr>
          <w:color w:val="231F20"/>
          <w:w w:val="105"/>
        </w:rPr>
        <w:t>nuestro</w:t>
      </w:r>
      <w:r>
        <w:rPr>
          <w:color w:val="231F20"/>
          <w:spacing w:val="-17"/>
          <w:w w:val="105"/>
        </w:rPr>
        <w:t> </w:t>
      </w:r>
      <w:r>
        <w:rPr>
          <w:color w:val="231F20"/>
          <w:w w:val="105"/>
        </w:rPr>
        <w:t>pueblo</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w w:val="105"/>
        </w:rPr>
        <w:t>han</w:t>
      </w:r>
      <w:r>
        <w:rPr>
          <w:color w:val="231F20"/>
          <w:spacing w:val="-17"/>
          <w:w w:val="105"/>
        </w:rPr>
        <w:t> </w:t>
      </w:r>
      <w:r>
        <w:rPr>
          <w:color w:val="231F20"/>
          <w:w w:val="105"/>
        </w:rPr>
        <w:t>construido</w:t>
      </w:r>
      <w:r>
        <w:rPr>
          <w:color w:val="231F20"/>
          <w:spacing w:val="-17"/>
          <w:w w:val="105"/>
        </w:rPr>
        <w:t> </w:t>
      </w:r>
      <w:r>
        <w:rPr>
          <w:color w:val="231F20"/>
          <w:w w:val="105"/>
        </w:rPr>
        <w:t>las</w:t>
      </w:r>
      <w:r>
        <w:rPr>
          <w:color w:val="231F20"/>
          <w:spacing w:val="-17"/>
          <w:w w:val="105"/>
        </w:rPr>
        <w:t> </w:t>
      </w:r>
      <w:r>
        <w:rPr>
          <w:color w:val="231F20"/>
          <w:w w:val="105"/>
        </w:rPr>
        <w:t>instituciones</w:t>
      </w:r>
      <w:r>
        <w:rPr>
          <w:color w:val="231F20"/>
          <w:spacing w:val="-17"/>
          <w:w w:val="105"/>
        </w:rPr>
        <w:t> </w:t>
      </w:r>
      <w:r>
        <w:rPr>
          <w:color w:val="231F20"/>
          <w:w w:val="105"/>
        </w:rPr>
        <w:t>que han</w:t>
      </w:r>
      <w:r>
        <w:rPr>
          <w:color w:val="231F20"/>
          <w:spacing w:val="-11"/>
          <w:w w:val="105"/>
        </w:rPr>
        <w:t> </w:t>
      </w:r>
      <w:r>
        <w:rPr>
          <w:color w:val="231F20"/>
          <w:w w:val="105"/>
        </w:rPr>
        <w:t>encauzado</w:t>
      </w:r>
      <w:r>
        <w:rPr>
          <w:color w:val="231F20"/>
          <w:spacing w:val="-11"/>
          <w:w w:val="105"/>
        </w:rPr>
        <w:t> </w:t>
      </w:r>
      <w:r>
        <w:rPr>
          <w:color w:val="231F20"/>
          <w:w w:val="105"/>
        </w:rPr>
        <w:t>el</w:t>
      </w:r>
      <w:r>
        <w:rPr>
          <w:color w:val="231F20"/>
          <w:spacing w:val="-11"/>
          <w:w w:val="105"/>
        </w:rPr>
        <w:t> </w:t>
      </w:r>
      <w:r>
        <w:rPr>
          <w:color w:val="231F20"/>
          <w:w w:val="105"/>
        </w:rPr>
        <w:t>desarrollo</w:t>
      </w:r>
      <w:r>
        <w:rPr>
          <w:color w:val="231F20"/>
          <w:spacing w:val="-11"/>
          <w:w w:val="105"/>
        </w:rPr>
        <w:t> </w:t>
      </w:r>
      <w:r>
        <w:rPr>
          <w:color w:val="231F20"/>
          <w:w w:val="105"/>
        </w:rPr>
        <w:t>económico</w:t>
      </w:r>
      <w:r>
        <w:rPr>
          <w:color w:val="231F20"/>
          <w:spacing w:val="-11"/>
          <w:w w:val="105"/>
        </w:rPr>
        <w:t> </w:t>
      </w:r>
      <w:r>
        <w:rPr>
          <w:color w:val="231F20"/>
          <w:w w:val="105"/>
        </w:rPr>
        <w:t>y</w:t>
      </w:r>
      <w:r>
        <w:rPr>
          <w:color w:val="231F20"/>
          <w:spacing w:val="-11"/>
          <w:w w:val="105"/>
        </w:rPr>
        <w:t> </w:t>
      </w:r>
      <w:r>
        <w:rPr>
          <w:color w:val="231F20"/>
          <w:w w:val="105"/>
        </w:rPr>
        <w:t>social</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Nación,</w:t>
      </w:r>
      <w:r>
        <w:rPr>
          <w:color w:val="231F20"/>
          <w:spacing w:val="-11"/>
          <w:w w:val="105"/>
        </w:rPr>
        <w:t> </w:t>
      </w:r>
      <w:r>
        <w:rPr>
          <w:color w:val="231F20"/>
          <w:w w:val="105"/>
        </w:rPr>
        <w:t>dándole</w:t>
      </w:r>
      <w:r>
        <w:rPr>
          <w:color w:val="231F20"/>
          <w:spacing w:val="-11"/>
          <w:w w:val="105"/>
        </w:rPr>
        <w:t> </w:t>
      </w:r>
      <w:r>
        <w:rPr>
          <w:color w:val="231F20"/>
          <w:w w:val="105"/>
        </w:rPr>
        <w:t>estabilidad</w:t>
      </w:r>
      <w:r>
        <w:rPr>
          <w:color w:val="231F20"/>
          <w:spacing w:val="-11"/>
          <w:w w:val="105"/>
        </w:rPr>
        <w:t> </w:t>
      </w:r>
      <w:r>
        <w:rPr>
          <w:color w:val="231F20"/>
          <w:w w:val="105"/>
        </w:rPr>
        <w:t>polí- tica</w:t>
      </w:r>
      <w:r>
        <w:rPr>
          <w:color w:val="231F20"/>
          <w:spacing w:val="-10"/>
          <w:w w:val="105"/>
        </w:rPr>
        <w:t> </w:t>
      </w:r>
      <w:r>
        <w:rPr>
          <w:color w:val="231F20"/>
          <w:w w:val="105"/>
        </w:rPr>
        <w:t>y</w:t>
      </w:r>
      <w:r>
        <w:rPr>
          <w:color w:val="231F20"/>
          <w:spacing w:val="-10"/>
          <w:w w:val="105"/>
        </w:rPr>
        <w:t> </w:t>
      </w:r>
      <w:r>
        <w:rPr>
          <w:color w:val="231F20"/>
          <w:w w:val="105"/>
        </w:rPr>
        <w:t>paz</w:t>
      </w:r>
      <w:r>
        <w:rPr>
          <w:color w:val="231F20"/>
          <w:spacing w:val="-10"/>
          <w:w w:val="105"/>
        </w:rPr>
        <w:t> </w:t>
      </w:r>
      <w:r>
        <w:rPr>
          <w:color w:val="231F20"/>
          <w:w w:val="105"/>
        </w:rPr>
        <w:t>institucional</w:t>
      </w:r>
      <w:r>
        <w:rPr>
          <w:color w:val="231F20"/>
          <w:spacing w:val="-10"/>
          <w:w w:val="105"/>
        </w:rPr>
        <w:t> </w:t>
      </w:r>
      <w:r>
        <w:rPr>
          <w:color w:val="231F20"/>
          <w:w w:val="105"/>
        </w:rPr>
        <w:t>(PRI,</w:t>
      </w:r>
      <w:r>
        <w:rPr>
          <w:color w:val="231F20"/>
          <w:spacing w:val="-10"/>
          <w:w w:val="105"/>
        </w:rPr>
        <w:t> </w:t>
      </w:r>
      <w:r>
        <w:rPr>
          <w:color w:val="231F20"/>
          <w:w w:val="105"/>
        </w:rPr>
        <w:t>2009:1).</w:t>
      </w:r>
      <w:r>
        <w:rPr>
          <w:color w:val="231F20"/>
          <w:spacing w:val="-10"/>
          <w:w w:val="105"/>
        </w:rPr>
        <w:t> </w:t>
      </w:r>
      <w:r>
        <w:rPr>
          <w:color w:val="231F20"/>
          <w:w w:val="105"/>
        </w:rPr>
        <w:t>Si</w:t>
      </w:r>
      <w:r>
        <w:rPr>
          <w:color w:val="231F20"/>
          <w:spacing w:val="-10"/>
          <w:w w:val="105"/>
        </w:rPr>
        <w:t> </w:t>
      </w:r>
      <w:r>
        <w:rPr>
          <w:color w:val="231F20"/>
          <w:w w:val="105"/>
        </w:rPr>
        <w:t>bien</w:t>
      </w:r>
      <w:r>
        <w:rPr>
          <w:color w:val="231F20"/>
          <w:spacing w:val="-10"/>
          <w:w w:val="105"/>
        </w:rPr>
        <w:t> </w:t>
      </w:r>
      <w:r>
        <w:rPr>
          <w:color w:val="231F20"/>
          <w:w w:val="105"/>
        </w:rPr>
        <w:t>esta</w:t>
      </w:r>
      <w:r>
        <w:rPr>
          <w:color w:val="231F20"/>
          <w:spacing w:val="-10"/>
          <w:w w:val="105"/>
        </w:rPr>
        <w:t> </w:t>
      </w:r>
      <w:r>
        <w:rPr>
          <w:color w:val="231F20"/>
          <w:w w:val="105"/>
        </w:rPr>
        <w:t>afirmación</w:t>
      </w:r>
      <w:r>
        <w:rPr>
          <w:color w:val="231F20"/>
          <w:spacing w:val="-10"/>
          <w:w w:val="105"/>
        </w:rPr>
        <w:t> </w:t>
      </w:r>
      <w:r>
        <w:rPr>
          <w:color w:val="231F20"/>
          <w:w w:val="105"/>
        </w:rPr>
        <w:t>pudiera</w:t>
      </w:r>
      <w:r>
        <w:rPr>
          <w:color w:val="231F20"/>
          <w:spacing w:val="-10"/>
          <w:w w:val="105"/>
        </w:rPr>
        <w:t> </w:t>
      </w:r>
      <w:r>
        <w:rPr>
          <w:color w:val="231F20"/>
          <w:w w:val="105"/>
        </w:rPr>
        <w:t>sonar</w:t>
      </w:r>
      <w:r>
        <w:rPr>
          <w:color w:val="231F20"/>
          <w:spacing w:val="-10"/>
          <w:w w:val="105"/>
        </w:rPr>
        <w:t> </w:t>
      </w:r>
      <w:r>
        <w:rPr>
          <w:color w:val="231F20"/>
          <w:w w:val="105"/>
        </w:rPr>
        <w:t>exagerada, lo</w:t>
      </w:r>
      <w:r>
        <w:rPr>
          <w:color w:val="231F20"/>
          <w:spacing w:val="-6"/>
          <w:w w:val="105"/>
        </w:rPr>
        <w:t> </w:t>
      </w:r>
      <w:r>
        <w:rPr>
          <w:color w:val="231F20"/>
          <w:w w:val="105"/>
        </w:rPr>
        <w:t>cierto</w:t>
      </w:r>
      <w:r>
        <w:rPr>
          <w:color w:val="231F20"/>
          <w:spacing w:val="-6"/>
          <w:w w:val="105"/>
        </w:rPr>
        <w:t> </w:t>
      </w:r>
      <w:r>
        <w:rPr>
          <w:color w:val="231F20"/>
          <w:w w:val="105"/>
        </w:rPr>
        <w:t>es</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PRI</w:t>
      </w:r>
      <w:r>
        <w:rPr>
          <w:color w:val="231F20"/>
          <w:spacing w:val="-6"/>
          <w:w w:val="105"/>
        </w:rPr>
        <w:t> </w:t>
      </w:r>
      <w:r>
        <w:rPr>
          <w:color w:val="231F20"/>
          <w:w w:val="105"/>
        </w:rPr>
        <w:t>ha</w:t>
      </w:r>
      <w:r>
        <w:rPr>
          <w:color w:val="231F20"/>
          <w:spacing w:val="-6"/>
          <w:w w:val="105"/>
        </w:rPr>
        <w:t> </w:t>
      </w:r>
      <w:r>
        <w:rPr>
          <w:color w:val="231F20"/>
          <w:w w:val="105"/>
        </w:rPr>
        <w:t>sido</w:t>
      </w:r>
      <w:r>
        <w:rPr>
          <w:color w:val="231F20"/>
          <w:spacing w:val="-6"/>
          <w:w w:val="105"/>
        </w:rPr>
        <w:t> </w:t>
      </w:r>
      <w:r>
        <w:rPr>
          <w:color w:val="231F20"/>
          <w:w w:val="105"/>
        </w:rPr>
        <w:t>un</w:t>
      </w:r>
      <w:r>
        <w:rPr>
          <w:color w:val="231F20"/>
          <w:spacing w:val="-6"/>
          <w:w w:val="105"/>
        </w:rPr>
        <w:t> </w:t>
      </w:r>
      <w:r>
        <w:rPr>
          <w:color w:val="231F20"/>
          <w:w w:val="105"/>
        </w:rPr>
        <w:t>partido</w:t>
      </w:r>
      <w:r>
        <w:rPr>
          <w:color w:val="231F20"/>
          <w:spacing w:val="-6"/>
          <w:w w:val="105"/>
        </w:rPr>
        <w:t> </w:t>
      </w:r>
      <w:r>
        <w:rPr>
          <w:color w:val="231F20"/>
          <w:w w:val="105"/>
        </w:rPr>
        <w:t>fundamental</w:t>
      </w:r>
      <w:r>
        <w:rPr>
          <w:color w:val="231F20"/>
          <w:spacing w:val="-6"/>
          <w:w w:val="105"/>
        </w:rPr>
        <w:t> </w:t>
      </w:r>
      <w:r>
        <w:rPr>
          <w:color w:val="231F20"/>
          <w:w w:val="105"/>
        </w:rPr>
        <w:t>para</w:t>
      </w:r>
      <w:r>
        <w:rPr>
          <w:color w:val="231F20"/>
          <w:spacing w:val="-6"/>
          <w:w w:val="105"/>
        </w:rPr>
        <w:t> </w:t>
      </w:r>
      <w:r>
        <w:rPr>
          <w:color w:val="231F20"/>
          <w:w w:val="105"/>
        </w:rPr>
        <w:t>el</w:t>
      </w:r>
      <w:r>
        <w:rPr>
          <w:color w:val="231F20"/>
          <w:spacing w:val="-6"/>
          <w:w w:val="105"/>
        </w:rPr>
        <w:t> </w:t>
      </w:r>
      <w:r>
        <w:rPr>
          <w:color w:val="231F20"/>
          <w:w w:val="105"/>
        </w:rPr>
        <w:t>desarrollo</w:t>
      </w:r>
      <w:r>
        <w:rPr>
          <w:color w:val="231F20"/>
          <w:spacing w:val="-6"/>
          <w:w w:val="105"/>
        </w:rPr>
        <w:t> </w:t>
      </w:r>
      <w:r>
        <w:rPr>
          <w:color w:val="231F20"/>
          <w:w w:val="105"/>
        </w:rPr>
        <w:t>en</w:t>
      </w:r>
      <w:r>
        <w:rPr>
          <w:color w:val="231F20"/>
          <w:spacing w:val="-6"/>
          <w:w w:val="105"/>
        </w:rPr>
        <w:t> </w:t>
      </w:r>
      <w:r>
        <w:rPr>
          <w:color w:val="231F20"/>
          <w:w w:val="105"/>
        </w:rPr>
        <w:t>general</w:t>
      </w:r>
      <w:r>
        <w:rPr>
          <w:color w:val="231F20"/>
          <w:spacing w:val="-6"/>
          <w:w w:val="105"/>
        </w:rPr>
        <w:t> </w:t>
      </w:r>
      <w:r>
        <w:rPr>
          <w:color w:val="231F20"/>
          <w:w w:val="105"/>
        </w:rPr>
        <w:t>del país y del Estado de México, en </w:t>
      </w:r>
      <w:r>
        <w:rPr>
          <w:color w:val="231F20"/>
          <w:spacing w:val="-3"/>
          <w:w w:val="105"/>
        </w:rPr>
        <w:t>donde </w:t>
      </w:r>
      <w:r>
        <w:rPr>
          <w:color w:val="231F20"/>
          <w:w w:val="105"/>
        </w:rPr>
        <w:t>a pesar de tener una disminución de su fuerza electoral</w:t>
      </w:r>
      <w:r>
        <w:rPr>
          <w:color w:val="231F20"/>
          <w:spacing w:val="-8"/>
          <w:w w:val="105"/>
        </w:rPr>
        <w:t> </w:t>
      </w:r>
      <w:r>
        <w:rPr>
          <w:color w:val="231F20"/>
          <w:w w:val="105"/>
        </w:rPr>
        <w:t>mantiene</w:t>
      </w:r>
      <w:r>
        <w:rPr>
          <w:color w:val="231F20"/>
          <w:spacing w:val="-8"/>
          <w:w w:val="105"/>
        </w:rPr>
        <w:t> </w:t>
      </w:r>
      <w:r>
        <w:rPr>
          <w:color w:val="231F20"/>
          <w:w w:val="105"/>
        </w:rPr>
        <w:t>una</w:t>
      </w:r>
      <w:r>
        <w:rPr>
          <w:color w:val="231F20"/>
          <w:spacing w:val="-8"/>
          <w:w w:val="105"/>
        </w:rPr>
        <w:t> </w:t>
      </w:r>
      <w:r>
        <w:rPr>
          <w:color w:val="231F20"/>
          <w:w w:val="105"/>
        </w:rPr>
        <w:t>gran</w:t>
      </w:r>
      <w:r>
        <w:rPr>
          <w:color w:val="231F20"/>
          <w:spacing w:val="-8"/>
          <w:w w:val="105"/>
        </w:rPr>
        <w:t> </w:t>
      </w:r>
      <w:r>
        <w:rPr>
          <w:color w:val="231F20"/>
          <w:w w:val="105"/>
        </w:rPr>
        <w:t>fuerza</w:t>
      </w:r>
      <w:r>
        <w:rPr>
          <w:color w:val="231F20"/>
          <w:spacing w:val="-8"/>
          <w:w w:val="105"/>
        </w:rPr>
        <w:t> </w:t>
      </w:r>
      <w:r>
        <w:rPr>
          <w:color w:val="231F20"/>
          <w:w w:val="105"/>
        </w:rPr>
        <w:t>política</w:t>
      </w:r>
      <w:r>
        <w:rPr>
          <w:color w:val="231F20"/>
          <w:spacing w:val="-8"/>
          <w:w w:val="105"/>
        </w:rPr>
        <w:t> </w:t>
      </w:r>
      <w:r>
        <w:rPr>
          <w:color w:val="231F20"/>
          <w:w w:val="105"/>
        </w:rPr>
        <w:t>que</w:t>
      </w:r>
      <w:r>
        <w:rPr>
          <w:color w:val="231F20"/>
          <w:spacing w:val="-8"/>
          <w:w w:val="105"/>
        </w:rPr>
        <w:t> </w:t>
      </w:r>
      <w:r>
        <w:rPr>
          <w:color w:val="231F20"/>
          <w:w w:val="105"/>
        </w:rPr>
        <w:t>le</w:t>
      </w:r>
      <w:r>
        <w:rPr>
          <w:color w:val="231F20"/>
          <w:spacing w:val="-8"/>
          <w:w w:val="105"/>
        </w:rPr>
        <w:t> </w:t>
      </w:r>
      <w:r>
        <w:rPr>
          <w:color w:val="231F20"/>
          <w:w w:val="105"/>
        </w:rPr>
        <w:t>han</w:t>
      </w:r>
      <w:r>
        <w:rPr>
          <w:color w:val="231F20"/>
          <w:spacing w:val="-8"/>
          <w:w w:val="105"/>
        </w:rPr>
        <w:t> </w:t>
      </w:r>
      <w:r>
        <w:rPr>
          <w:color w:val="231F20"/>
          <w:w w:val="105"/>
        </w:rPr>
        <w:t>permitido</w:t>
      </w:r>
      <w:r>
        <w:rPr>
          <w:color w:val="231F20"/>
          <w:spacing w:val="-8"/>
          <w:w w:val="105"/>
        </w:rPr>
        <w:t> </w:t>
      </w:r>
      <w:r>
        <w:rPr>
          <w:color w:val="231F20"/>
          <w:w w:val="105"/>
        </w:rPr>
        <w:t>mantener</w:t>
      </w:r>
      <w:r>
        <w:rPr>
          <w:color w:val="231F20"/>
          <w:spacing w:val="-8"/>
          <w:w w:val="105"/>
        </w:rPr>
        <w:t> </w:t>
      </w:r>
      <w:r>
        <w:rPr>
          <w:color w:val="231F20"/>
          <w:w w:val="105"/>
        </w:rPr>
        <w:t>el</w:t>
      </w:r>
      <w:r>
        <w:rPr>
          <w:color w:val="231F20"/>
          <w:spacing w:val="-8"/>
          <w:w w:val="105"/>
        </w:rPr>
        <w:t> </w:t>
      </w:r>
      <w:r>
        <w:rPr>
          <w:color w:val="231F20"/>
          <w:w w:val="105"/>
        </w:rPr>
        <w:t>Ejecutivo local</w:t>
      </w:r>
      <w:r>
        <w:rPr>
          <w:color w:val="231F20"/>
          <w:spacing w:val="-20"/>
          <w:w w:val="105"/>
        </w:rPr>
        <w:t> </w:t>
      </w:r>
      <w:r>
        <w:rPr>
          <w:color w:val="231F20"/>
          <w:w w:val="105"/>
        </w:rPr>
        <w:t>y</w:t>
      </w:r>
      <w:r>
        <w:rPr>
          <w:color w:val="231F20"/>
          <w:spacing w:val="-20"/>
          <w:w w:val="105"/>
        </w:rPr>
        <w:t> </w:t>
      </w:r>
      <w:r>
        <w:rPr>
          <w:color w:val="231F20"/>
          <w:w w:val="105"/>
        </w:rPr>
        <w:t>conservar</w:t>
      </w:r>
      <w:r>
        <w:rPr>
          <w:color w:val="231F20"/>
          <w:spacing w:val="-20"/>
          <w:w w:val="105"/>
        </w:rPr>
        <w:t> </w:t>
      </w:r>
      <w:r>
        <w:rPr>
          <w:color w:val="231F20"/>
          <w:w w:val="105"/>
        </w:rPr>
        <w:t>el</w:t>
      </w:r>
      <w:r>
        <w:rPr>
          <w:color w:val="231F20"/>
          <w:spacing w:val="-20"/>
          <w:w w:val="105"/>
        </w:rPr>
        <w:t> </w:t>
      </w:r>
      <w:r>
        <w:rPr>
          <w:color w:val="231F20"/>
          <w:w w:val="105"/>
        </w:rPr>
        <w:t>control</w:t>
      </w:r>
      <w:r>
        <w:rPr>
          <w:color w:val="231F20"/>
          <w:spacing w:val="-20"/>
          <w:w w:val="105"/>
        </w:rPr>
        <w:t> </w:t>
      </w:r>
      <w:r>
        <w:rPr>
          <w:color w:val="231F20"/>
          <w:w w:val="105"/>
        </w:rPr>
        <w:t>en</w:t>
      </w:r>
      <w:r>
        <w:rPr>
          <w:color w:val="231F20"/>
          <w:spacing w:val="-20"/>
          <w:w w:val="105"/>
        </w:rPr>
        <w:t> </w:t>
      </w:r>
      <w:r>
        <w:rPr>
          <w:color w:val="231F20"/>
          <w:w w:val="105"/>
        </w:rPr>
        <w:t>zonas</w:t>
      </w:r>
      <w:r>
        <w:rPr>
          <w:color w:val="231F20"/>
          <w:spacing w:val="-20"/>
          <w:w w:val="105"/>
        </w:rPr>
        <w:t> </w:t>
      </w:r>
      <w:r>
        <w:rPr>
          <w:color w:val="231F20"/>
          <w:w w:val="105"/>
        </w:rPr>
        <w:t>geográficas</w:t>
      </w:r>
      <w:r>
        <w:rPr>
          <w:color w:val="231F20"/>
          <w:spacing w:val="-20"/>
          <w:w w:val="105"/>
        </w:rPr>
        <w:t> </w:t>
      </w:r>
      <w:r>
        <w:rPr>
          <w:color w:val="231F20"/>
          <w:w w:val="105"/>
        </w:rPr>
        <w:t>específicas.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4"/>
          <w:w w:val="105"/>
        </w:rPr>
        <w:t> </w:t>
      </w:r>
      <w:r>
        <w:rPr>
          <w:color w:val="231F20"/>
          <w:w w:val="105"/>
        </w:rPr>
        <w:t>corriente</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cual</w:t>
      </w:r>
      <w:r>
        <w:rPr>
          <w:color w:val="231F20"/>
          <w:spacing w:val="-4"/>
          <w:w w:val="105"/>
        </w:rPr>
        <w:t> </w:t>
      </w:r>
      <w:r>
        <w:rPr>
          <w:color w:val="231F20"/>
          <w:w w:val="105"/>
        </w:rPr>
        <w:t>dice</w:t>
      </w:r>
      <w:r>
        <w:rPr>
          <w:color w:val="231F20"/>
          <w:spacing w:val="-4"/>
          <w:w w:val="105"/>
        </w:rPr>
        <w:t> </w:t>
      </w:r>
      <w:r>
        <w:rPr>
          <w:color w:val="231F20"/>
          <w:w w:val="105"/>
        </w:rPr>
        <w:t>pertenecer</w:t>
      </w:r>
      <w:r>
        <w:rPr>
          <w:color w:val="231F20"/>
          <w:spacing w:val="-4"/>
          <w:w w:val="105"/>
        </w:rPr>
        <w:t> </w:t>
      </w:r>
      <w:r>
        <w:rPr>
          <w:color w:val="231F20"/>
          <w:w w:val="105"/>
        </w:rPr>
        <w:t>es</w:t>
      </w:r>
      <w:r>
        <w:rPr>
          <w:color w:val="231F20"/>
          <w:spacing w:val="-4"/>
          <w:w w:val="105"/>
        </w:rPr>
        <w:t> </w:t>
      </w:r>
      <w:r>
        <w:rPr>
          <w:color w:val="231F20"/>
          <w:w w:val="105"/>
        </w:rPr>
        <w:t>la</w:t>
      </w:r>
      <w:r>
        <w:rPr>
          <w:color w:val="231F20"/>
          <w:spacing w:val="-4"/>
          <w:w w:val="105"/>
        </w:rPr>
        <w:t> </w:t>
      </w:r>
      <w:r>
        <w:rPr>
          <w:color w:val="231F20"/>
          <w:w w:val="105"/>
        </w:rPr>
        <w:t>socialdemócrata,</w:t>
      </w:r>
      <w:r>
        <w:rPr>
          <w:color w:val="231F20"/>
          <w:spacing w:val="-4"/>
          <w:w w:val="105"/>
        </w:rPr>
        <w:t> </w:t>
      </w:r>
      <w:r>
        <w:rPr>
          <w:color w:val="231F20"/>
          <w:w w:val="105"/>
        </w:rPr>
        <w:t>además</w:t>
      </w:r>
      <w:r>
        <w:rPr>
          <w:color w:val="231F20"/>
          <w:spacing w:val="-4"/>
          <w:w w:val="105"/>
        </w:rPr>
        <w:t> </w:t>
      </w:r>
      <w:r>
        <w:rPr>
          <w:color w:val="231F20"/>
          <w:w w:val="105"/>
        </w:rPr>
        <w:t>de</w:t>
      </w:r>
      <w:r>
        <w:rPr>
          <w:color w:val="231F20"/>
          <w:spacing w:val="-4"/>
          <w:w w:val="105"/>
        </w:rPr>
        <w:t> </w:t>
      </w:r>
      <w:r>
        <w:rPr>
          <w:color w:val="231F20"/>
          <w:w w:val="105"/>
        </w:rPr>
        <w:t>estar</w:t>
      </w:r>
      <w:r>
        <w:rPr>
          <w:color w:val="231F20"/>
          <w:spacing w:val="-4"/>
          <w:w w:val="105"/>
        </w:rPr>
        <w:t> </w:t>
      </w:r>
      <w:r>
        <w:rPr>
          <w:color w:val="231F20"/>
          <w:w w:val="105"/>
        </w:rPr>
        <w:t>integrado por tres sectores: agrario, </w:t>
      </w:r>
      <w:r>
        <w:rPr>
          <w:color w:val="231F20"/>
          <w:spacing w:val="-3"/>
          <w:w w:val="105"/>
        </w:rPr>
        <w:t>obrero </w:t>
      </w:r>
      <w:r>
        <w:rPr>
          <w:color w:val="231F20"/>
          <w:w w:val="105"/>
        </w:rPr>
        <w:t>y popular. Sus principios están divididos en 4 aparta- dos que versan sobre el partido, el Estado, la Sociedad y el Entorno Mundial. En cada uno de ellos refrenda su carácter de partido político comprometido con los principios revolucionarios</w:t>
      </w:r>
      <w:r>
        <w:rPr>
          <w:color w:val="231F20"/>
          <w:spacing w:val="-26"/>
          <w:w w:val="105"/>
        </w:rPr>
        <w:t> </w:t>
      </w:r>
      <w:r>
        <w:rPr>
          <w:color w:val="231F20"/>
          <w:w w:val="105"/>
        </w:rPr>
        <w:t>y</w:t>
      </w:r>
      <w:r>
        <w:rPr>
          <w:color w:val="231F20"/>
          <w:spacing w:val="-26"/>
          <w:w w:val="105"/>
        </w:rPr>
        <w:t> </w:t>
      </w:r>
      <w:r>
        <w:rPr>
          <w:color w:val="231F20"/>
          <w:w w:val="105"/>
        </w:rPr>
        <w:t>de</w:t>
      </w:r>
      <w:r>
        <w:rPr>
          <w:color w:val="231F20"/>
          <w:spacing w:val="-26"/>
          <w:w w:val="105"/>
        </w:rPr>
        <w:t> </w:t>
      </w:r>
      <w:r>
        <w:rPr>
          <w:color w:val="231F20"/>
          <w:w w:val="105"/>
        </w:rPr>
        <w:t>servicio</w:t>
      </w:r>
      <w:r>
        <w:rPr>
          <w:color w:val="231F20"/>
          <w:spacing w:val="-26"/>
          <w:w w:val="105"/>
        </w:rPr>
        <w:t> </w:t>
      </w:r>
      <w:r>
        <w:rPr>
          <w:color w:val="231F20"/>
          <w:spacing w:val="2"/>
          <w:w w:val="105"/>
        </w:rPr>
        <w:t>al</w:t>
      </w:r>
      <w:r>
        <w:rPr>
          <w:color w:val="231F20"/>
          <w:spacing w:val="-26"/>
          <w:w w:val="105"/>
        </w:rPr>
        <w:t> </w:t>
      </w:r>
      <w:r>
        <w:rPr>
          <w:color w:val="231F20"/>
          <w:w w:val="105"/>
        </w:rPr>
        <w:t>país.</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11"/>
          <w:w w:val="105"/>
        </w:rPr>
        <w:t> </w:t>
      </w:r>
      <w:r>
        <w:rPr>
          <w:color w:val="231F20"/>
          <w:w w:val="105"/>
        </w:rPr>
        <w:t>ideales</w:t>
      </w:r>
      <w:r>
        <w:rPr>
          <w:color w:val="231F20"/>
          <w:spacing w:val="-11"/>
          <w:w w:val="105"/>
        </w:rPr>
        <w:t> </w:t>
      </w:r>
      <w:r>
        <w:rPr>
          <w:color w:val="231F20"/>
          <w:w w:val="105"/>
        </w:rPr>
        <w:t>proclamados</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PRI</w:t>
      </w:r>
      <w:r>
        <w:rPr>
          <w:color w:val="231F20"/>
          <w:spacing w:val="-11"/>
          <w:w w:val="105"/>
        </w:rPr>
        <w:t> </w:t>
      </w:r>
      <w:r>
        <w:rPr>
          <w:color w:val="231F20"/>
          <w:w w:val="105"/>
        </w:rPr>
        <w:t>se</w:t>
      </w:r>
      <w:r>
        <w:rPr>
          <w:color w:val="231F20"/>
          <w:spacing w:val="-11"/>
          <w:w w:val="105"/>
        </w:rPr>
        <w:t> </w:t>
      </w:r>
      <w:r>
        <w:rPr>
          <w:color w:val="231F20"/>
          <w:w w:val="105"/>
        </w:rPr>
        <w:t>resumen</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búsqueda</w:t>
      </w:r>
      <w:r>
        <w:rPr>
          <w:color w:val="231F20"/>
          <w:spacing w:val="-11"/>
          <w:w w:val="105"/>
        </w:rPr>
        <w:t> </w:t>
      </w:r>
      <w:r>
        <w:rPr>
          <w:color w:val="231F20"/>
          <w:w w:val="105"/>
        </w:rPr>
        <w:t>del</w:t>
      </w:r>
      <w:r>
        <w:rPr>
          <w:color w:val="231F20"/>
          <w:spacing w:val="-11"/>
          <w:w w:val="105"/>
        </w:rPr>
        <w:t> </w:t>
      </w:r>
      <w:r>
        <w:rPr>
          <w:color w:val="231F20"/>
          <w:w w:val="105"/>
        </w:rPr>
        <w:t>ejercicio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liber- tad,</w:t>
      </w:r>
      <w:r>
        <w:rPr>
          <w:color w:val="231F20"/>
          <w:spacing w:val="-14"/>
          <w:w w:val="105"/>
        </w:rPr>
        <w:t> </w:t>
      </w:r>
      <w:r>
        <w:rPr>
          <w:color w:val="231F20"/>
          <w:w w:val="105"/>
        </w:rPr>
        <w:t>la</w:t>
      </w:r>
      <w:r>
        <w:rPr>
          <w:color w:val="231F20"/>
          <w:spacing w:val="-14"/>
          <w:w w:val="105"/>
        </w:rPr>
        <w:t> </w:t>
      </w:r>
      <w:r>
        <w:rPr>
          <w:color w:val="231F20"/>
          <w:w w:val="105"/>
        </w:rPr>
        <w:t>democracia,</w:t>
      </w:r>
      <w:r>
        <w:rPr>
          <w:color w:val="231F20"/>
          <w:spacing w:val="-14"/>
          <w:w w:val="105"/>
        </w:rPr>
        <w:t> </w:t>
      </w:r>
      <w:r>
        <w:rPr>
          <w:color w:val="231F20"/>
          <w:w w:val="105"/>
        </w:rPr>
        <w:t>la</w:t>
      </w:r>
      <w:r>
        <w:rPr>
          <w:color w:val="231F20"/>
          <w:spacing w:val="-14"/>
          <w:w w:val="105"/>
        </w:rPr>
        <w:t> </w:t>
      </w:r>
      <w:r>
        <w:rPr>
          <w:color w:val="231F20"/>
          <w:w w:val="105"/>
        </w:rPr>
        <w:t>justicia</w:t>
      </w:r>
      <w:r>
        <w:rPr>
          <w:color w:val="231F20"/>
          <w:spacing w:val="-14"/>
          <w:w w:val="105"/>
        </w:rPr>
        <w:t> </w:t>
      </w:r>
      <w:r>
        <w:rPr>
          <w:color w:val="231F20"/>
          <w:w w:val="105"/>
        </w:rPr>
        <w:t>social</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tolerancia</w:t>
      </w:r>
      <w:r>
        <w:rPr>
          <w:color w:val="231F20"/>
          <w:spacing w:val="-14"/>
          <w:w w:val="105"/>
        </w:rPr>
        <w:t> </w:t>
      </w:r>
      <w:r>
        <w:rPr>
          <w:color w:val="231F20"/>
          <w:w w:val="105"/>
        </w:rPr>
        <w:t>(PRI,</w:t>
      </w:r>
      <w:r>
        <w:rPr>
          <w:color w:val="231F20"/>
          <w:spacing w:val="-14"/>
          <w:w w:val="105"/>
        </w:rPr>
        <w:t> </w:t>
      </w:r>
      <w:r>
        <w:rPr>
          <w:color w:val="231F20"/>
          <w:spacing w:val="2"/>
          <w:w w:val="105"/>
        </w:rPr>
        <w:t>2009:</w:t>
      </w:r>
      <w:r>
        <w:rPr>
          <w:color w:val="231F20"/>
          <w:spacing w:val="-14"/>
          <w:w w:val="105"/>
        </w:rPr>
        <w:t> </w:t>
      </w:r>
      <w:r>
        <w:rPr>
          <w:color w:val="231F20"/>
          <w:spacing w:val="-5"/>
          <w:w w:val="105"/>
        </w:rPr>
        <w:t>1).Como</w:t>
      </w:r>
      <w:r>
        <w:rPr>
          <w:color w:val="231F20"/>
          <w:spacing w:val="-14"/>
          <w:w w:val="105"/>
        </w:rPr>
        <w:t> </w:t>
      </w:r>
      <w:r>
        <w:rPr>
          <w:color w:val="231F20"/>
          <w:w w:val="105"/>
        </w:rPr>
        <w:t>fuentes</w:t>
      </w:r>
      <w:r>
        <w:rPr>
          <w:color w:val="231F20"/>
          <w:spacing w:val="-14"/>
          <w:w w:val="105"/>
        </w:rPr>
        <w:t> </w:t>
      </w:r>
      <w:r>
        <w:rPr>
          <w:color w:val="231F20"/>
          <w:w w:val="105"/>
        </w:rPr>
        <w:t>del</w:t>
      </w:r>
      <w:r>
        <w:rPr>
          <w:color w:val="231F20"/>
          <w:spacing w:val="-14"/>
          <w:w w:val="105"/>
        </w:rPr>
        <w:t> </w:t>
      </w:r>
      <w:r>
        <w:rPr>
          <w:color w:val="231F20"/>
          <w:spacing w:val="-3"/>
          <w:w w:val="105"/>
        </w:rPr>
        <w:t>Na- </w:t>
      </w:r>
      <w:r>
        <w:rPr>
          <w:color w:val="231F20"/>
          <w:w w:val="105"/>
        </w:rPr>
        <w:t>cionalismo</w:t>
      </w:r>
      <w:r>
        <w:rPr>
          <w:color w:val="231F20"/>
          <w:spacing w:val="-11"/>
          <w:w w:val="105"/>
        </w:rPr>
        <w:t> </w:t>
      </w:r>
      <w:r>
        <w:rPr>
          <w:color w:val="231F20"/>
          <w:w w:val="105"/>
        </w:rPr>
        <w:t>priísta</w:t>
      </w:r>
      <w:r>
        <w:rPr>
          <w:color w:val="231F20"/>
          <w:spacing w:val="-11"/>
          <w:w w:val="105"/>
        </w:rPr>
        <w:t> </w:t>
      </w:r>
      <w:r>
        <w:rPr>
          <w:color w:val="231F20"/>
          <w:w w:val="105"/>
        </w:rPr>
        <w:t>se</w:t>
      </w:r>
      <w:r>
        <w:rPr>
          <w:color w:val="231F20"/>
          <w:spacing w:val="-11"/>
          <w:w w:val="105"/>
        </w:rPr>
        <w:t> </w:t>
      </w:r>
      <w:r>
        <w:rPr>
          <w:color w:val="231F20"/>
          <w:w w:val="105"/>
        </w:rPr>
        <w:t>proclaman</w:t>
      </w:r>
      <w:r>
        <w:rPr>
          <w:color w:val="231F20"/>
          <w:spacing w:val="-11"/>
          <w:w w:val="105"/>
        </w:rPr>
        <w:t> </w:t>
      </w:r>
      <w:r>
        <w:rPr>
          <w:color w:val="231F20"/>
          <w:w w:val="105"/>
        </w:rPr>
        <w:t>hechos</w:t>
      </w:r>
      <w:r>
        <w:rPr>
          <w:color w:val="231F20"/>
          <w:spacing w:val="-10"/>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Independencia</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la</w:t>
      </w:r>
      <w:r>
        <w:rPr>
          <w:color w:val="231F20"/>
          <w:spacing w:val="-11"/>
          <w:w w:val="105"/>
        </w:rPr>
        <w:t> </w:t>
      </w:r>
      <w:r>
        <w:rPr>
          <w:color w:val="231F20"/>
          <w:w w:val="105"/>
        </w:rPr>
        <w:t>Reforma y</w:t>
      </w:r>
      <w:r>
        <w:rPr>
          <w:color w:val="231F20"/>
          <w:spacing w:val="-20"/>
          <w:w w:val="105"/>
        </w:rPr>
        <w:t> </w:t>
      </w:r>
      <w:r>
        <w:rPr>
          <w:color w:val="231F20"/>
          <w:w w:val="105"/>
        </w:rPr>
        <w:t>por</w:t>
      </w:r>
      <w:r>
        <w:rPr>
          <w:color w:val="231F20"/>
          <w:spacing w:val="-20"/>
          <w:w w:val="105"/>
        </w:rPr>
        <w:t> </w:t>
      </w:r>
      <w:r>
        <w:rPr>
          <w:color w:val="231F20"/>
          <w:w w:val="105"/>
        </w:rPr>
        <w:t>supuesto</w:t>
      </w:r>
      <w:r>
        <w:rPr>
          <w:color w:val="231F20"/>
          <w:spacing w:val="-20"/>
          <w:w w:val="105"/>
        </w:rPr>
        <w:t> </w:t>
      </w:r>
      <w:r>
        <w:rPr>
          <w:color w:val="231F20"/>
          <w:w w:val="105"/>
        </w:rPr>
        <w:t>la</w:t>
      </w:r>
      <w:r>
        <w:rPr>
          <w:color w:val="231F20"/>
          <w:spacing w:val="-20"/>
          <w:w w:val="105"/>
        </w:rPr>
        <w:t> </w:t>
      </w:r>
      <w:r>
        <w:rPr>
          <w:color w:val="231F20"/>
          <w:spacing w:val="-3"/>
          <w:w w:val="105"/>
        </w:rPr>
        <w:t>Revolución</w:t>
      </w:r>
      <w:r>
        <w:rPr>
          <w:color w:val="231F20"/>
          <w:spacing w:val="-20"/>
          <w:w w:val="105"/>
        </w:rPr>
        <w:t> </w:t>
      </w:r>
      <w:r>
        <w:rPr>
          <w:color w:val="231F20"/>
          <w:w w:val="105"/>
        </w:rPr>
        <w:t>Mexicana.</w:t>
      </w:r>
    </w:p>
    <w:p>
      <w:pPr>
        <w:pStyle w:val="BodyText"/>
        <w:spacing w:before="1"/>
        <w:rPr>
          <w:sz w:val="26"/>
        </w:rPr>
      </w:pPr>
    </w:p>
    <w:p>
      <w:pPr>
        <w:pStyle w:val="BodyText"/>
        <w:spacing w:line="285" w:lineRule="auto"/>
        <w:ind w:left="110" w:right="108"/>
        <w:jc w:val="both"/>
      </w:pPr>
      <w:r>
        <w:rPr>
          <w:color w:val="231F20"/>
          <w:w w:val="105"/>
        </w:rPr>
        <w:t>Este</w:t>
      </w:r>
      <w:r>
        <w:rPr>
          <w:color w:val="231F20"/>
          <w:spacing w:val="-5"/>
          <w:w w:val="105"/>
        </w:rPr>
        <w:t> </w:t>
      </w:r>
      <w:r>
        <w:rPr>
          <w:color w:val="231F20"/>
          <w:w w:val="105"/>
        </w:rPr>
        <w:t>Nacionalismo</w:t>
      </w:r>
      <w:r>
        <w:rPr>
          <w:color w:val="231F20"/>
          <w:spacing w:val="-5"/>
          <w:w w:val="105"/>
        </w:rPr>
        <w:t> </w:t>
      </w:r>
      <w:r>
        <w:rPr>
          <w:color w:val="231F20"/>
          <w:w w:val="105"/>
        </w:rPr>
        <w:t>Revolucionario</w:t>
      </w:r>
      <w:r>
        <w:rPr>
          <w:color w:val="231F20"/>
          <w:spacing w:val="-5"/>
          <w:w w:val="105"/>
        </w:rPr>
        <w:t> </w:t>
      </w:r>
      <w:r>
        <w:rPr>
          <w:color w:val="231F20"/>
          <w:w w:val="105"/>
        </w:rPr>
        <w:t>incluye</w:t>
      </w:r>
      <w:r>
        <w:rPr>
          <w:color w:val="231F20"/>
          <w:spacing w:val="-5"/>
          <w:w w:val="105"/>
        </w:rPr>
        <w:t> </w:t>
      </w:r>
      <w:r>
        <w:rPr>
          <w:color w:val="231F20"/>
          <w:w w:val="105"/>
        </w:rPr>
        <w:t>la</w:t>
      </w:r>
      <w:r>
        <w:rPr>
          <w:color w:val="231F20"/>
          <w:spacing w:val="-5"/>
          <w:w w:val="105"/>
        </w:rPr>
        <w:t> </w:t>
      </w:r>
      <w:r>
        <w:rPr>
          <w:color w:val="231F20"/>
          <w:w w:val="105"/>
        </w:rPr>
        <w:t>integración</w:t>
      </w:r>
      <w:r>
        <w:rPr>
          <w:color w:val="231F20"/>
          <w:spacing w:val="-5"/>
          <w:w w:val="105"/>
        </w:rPr>
        <w:t> </w:t>
      </w:r>
      <w:r>
        <w:rPr>
          <w:color w:val="231F20"/>
          <w:w w:val="105"/>
        </w:rPr>
        <w:t>del</w:t>
      </w:r>
      <w:r>
        <w:rPr>
          <w:color w:val="231F20"/>
          <w:spacing w:val="-5"/>
          <w:w w:val="105"/>
        </w:rPr>
        <w:t> </w:t>
      </w:r>
      <w:r>
        <w:rPr>
          <w:color w:val="231F20"/>
          <w:w w:val="105"/>
        </w:rPr>
        <w:t>país</w:t>
      </w:r>
      <w:r>
        <w:rPr>
          <w:color w:val="231F20"/>
          <w:spacing w:val="-5"/>
          <w:w w:val="105"/>
        </w:rPr>
        <w:t> </w:t>
      </w:r>
      <w:r>
        <w:rPr>
          <w:color w:val="231F20"/>
          <w:spacing w:val="2"/>
          <w:w w:val="105"/>
        </w:rPr>
        <w:t>al</w:t>
      </w:r>
      <w:r>
        <w:rPr>
          <w:color w:val="231F20"/>
          <w:spacing w:val="-5"/>
          <w:w w:val="105"/>
        </w:rPr>
        <w:t> </w:t>
      </w:r>
      <w:r>
        <w:rPr>
          <w:color w:val="231F20"/>
          <w:w w:val="105"/>
        </w:rPr>
        <w:t>desarrollo</w:t>
      </w:r>
      <w:r>
        <w:rPr>
          <w:color w:val="231F20"/>
          <w:spacing w:val="-5"/>
          <w:w w:val="105"/>
        </w:rPr>
        <w:t> </w:t>
      </w:r>
      <w:r>
        <w:rPr>
          <w:color w:val="231F20"/>
          <w:w w:val="105"/>
        </w:rPr>
        <w:t>capita- lista,</w:t>
      </w:r>
      <w:r>
        <w:rPr>
          <w:color w:val="231F20"/>
          <w:spacing w:val="-10"/>
          <w:w w:val="105"/>
        </w:rPr>
        <w:t> </w:t>
      </w:r>
      <w:r>
        <w:rPr>
          <w:color w:val="231F20"/>
          <w:w w:val="105"/>
        </w:rPr>
        <w:t>colocar</w:t>
      </w:r>
      <w:r>
        <w:rPr>
          <w:color w:val="231F20"/>
          <w:spacing w:val="-10"/>
          <w:w w:val="105"/>
        </w:rPr>
        <w:t> </w:t>
      </w:r>
      <w:r>
        <w:rPr>
          <w:color w:val="231F20"/>
          <w:spacing w:val="2"/>
          <w:w w:val="105"/>
        </w:rPr>
        <w:t>al</w:t>
      </w:r>
      <w:r>
        <w:rPr>
          <w:color w:val="231F20"/>
          <w:spacing w:val="-10"/>
          <w:w w:val="105"/>
        </w:rPr>
        <w:t> </w:t>
      </w:r>
      <w:r>
        <w:rPr>
          <w:color w:val="231F20"/>
          <w:w w:val="105"/>
        </w:rPr>
        <w:t>Estado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centro</w:t>
      </w:r>
      <w:r>
        <w:rPr>
          <w:color w:val="231F20"/>
          <w:spacing w:val="-10"/>
          <w:w w:val="105"/>
        </w:rPr>
        <w:t> </w:t>
      </w:r>
      <w:r>
        <w:rPr>
          <w:color w:val="231F20"/>
          <w:w w:val="105"/>
        </w:rPr>
        <w:t>de</w:t>
      </w:r>
      <w:r>
        <w:rPr>
          <w:color w:val="231F20"/>
          <w:spacing w:val="-10"/>
          <w:w w:val="105"/>
        </w:rPr>
        <w:t> </w:t>
      </w:r>
      <w:r>
        <w:rPr>
          <w:color w:val="231F20"/>
          <w:w w:val="105"/>
        </w:rPr>
        <w:t>ese</w:t>
      </w:r>
      <w:r>
        <w:rPr>
          <w:color w:val="231F20"/>
          <w:spacing w:val="-10"/>
          <w:w w:val="105"/>
        </w:rPr>
        <w:t> </w:t>
      </w:r>
      <w:r>
        <w:rPr>
          <w:color w:val="231F20"/>
          <w:w w:val="105"/>
        </w:rPr>
        <w:t>desarrollo,</w:t>
      </w:r>
      <w:r>
        <w:rPr>
          <w:color w:val="231F20"/>
          <w:spacing w:val="-10"/>
          <w:w w:val="105"/>
        </w:rPr>
        <w:t> </w:t>
      </w:r>
      <w:r>
        <w:rPr>
          <w:color w:val="231F20"/>
          <w:w w:val="105"/>
        </w:rPr>
        <w:t>constituir</w:t>
      </w:r>
      <w:r>
        <w:rPr>
          <w:color w:val="231F20"/>
          <w:spacing w:val="-10"/>
          <w:w w:val="105"/>
        </w:rPr>
        <w:t> </w:t>
      </w:r>
      <w:r>
        <w:rPr>
          <w:color w:val="231F20"/>
          <w:w w:val="105"/>
        </w:rPr>
        <w:t>y</w:t>
      </w:r>
      <w:r>
        <w:rPr>
          <w:color w:val="231F20"/>
          <w:spacing w:val="-10"/>
          <w:w w:val="105"/>
        </w:rPr>
        <w:t> </w:t>
      </w:r>
      <w:r>
        <w:rPr>
          <w:color w:val="231F20"/>
          <w:w w:val="105"/>
        </w:rPr>
        <w:t>proteger</w:t>
      </w:r>
      <w:r>
        <w:rPr>
          <w:color w:val="231F20"/>
          <w:spacing w:val="-10"/>
          <w:w w:val="105"/>
        </w:rPr>
        <w:t> </w:t>
      </w:r>
      <w:r>
        <w:rPr>
          <w:color w:val="231F20"/>
          <w:w w:val="105"/>
        </w:rPr>
        <w:t>la</w:t>
      </w:r>
      <w:r>
        <w:rPr>
          <w:color w:val="231F20"/>
          <w:spacing w:val="-10"/>
          <w:w w:val="105"/>
        </w:rPr>
        <w:t> </w:t>
      </w:r>
      <w:r>
        <w:rPr>
          <w:color w:val="231F20"/>
          <w:w w:val="105"/>
        </w:rPr>
        <w:t>propiedad nacional,</w:t>
      </w:r>
      <w:r>
        <w:rPr>
          <w:color w:val="231F20"/>
          <w:spacing w:val="-12"/>
          <w:w w:val="105"/>
        </w:rPr>
        <w:t> </w:t>
      </w:r>
      <w:r>
        <w:rPr>
          <w:color w:val="231F20"/>
          <w:w w:val="105"/>
        </w:rPr>
        <w:t>dar</w:t>
      </w:r>
      <w:r>
        <w:rPr>
          <w:color w:val="231F20"/>
          <w:spacing w:val="-12"/>
          <w:w w:val="105"/>
        </w:rPr>
        <w:t> </w:t>
      </w:r>
      <w:r>
        <w:rPr>
          <w:color w:val="231F20"/>
          <w:w w:val="105"/>
        </w:rPr>
        <w:t>prioridad</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nacionales</w:t>
      </w:r>
      <w:r>
        <w:rPr>
          <w:color w:val="231F20"/>
          <w:spacing w:val="-12"/>
          <w:w w:val="105"/>
        </w:rPr>
        <w:t> </w:t>
      </w:r>
      <w:r>
        <w:rPr>
          <w:color w:val="231F20"/>
          <w:w w:val="105"/>
        </w:rPr>
        <w:t>sobre</w:t>
      </w:r>
      <w:r>
        <w:rPr>
          <w:color w:val="231F20"/>
          <w:spacing w:val="-12"/>
          <w:w w:val="105"/>
        </w:rPr>
        <w:t> </w:t>
      </w:r>
      <w:r>
        <w:rPr>
          <w:color w:val="231F20"/>
          <w:w w:val="105"/>
        </w:rPr>
        <w:t>los</w:t>
      </w:r>
      <w:r>
        <w:rPr>
          <w:color w:val="231F20"/>
          <w:spacing w:val="-12"/>
          <w:w w:val="105"/>
        </w:rPr>
        <w:t> </w:t>
      </w:r>
      <w:r>
        <w:rPr>
          <w:color w:val="231F20"/>
          <w:w w:val="105"/>
        </w:rPr>
        <w:t>extranjeros</w:t>
      </w:r>
      <w:r>
        <w:rPr>
          <w:color w:val="231F20"/>
          <w:spacing w:val="-12"/>
          <w:w w:val="105"/>
        </w:rPr>
        <w:t> </w:t>
      </w:r>
      <w:r>
        <w:rPr>
          <w:color w:val="231F20"/>
          <w:w w:val="105"/>
        </w:rPr>
        <w:t>y</w:t>
      </w:r>
      <w:r>
        <w:rPr>
          <w:color w:val="231F20"/>
          <w:spacing w:val="-12"/>
          <w:w w:val="105"/>
        </w:rPr>
        <w:t> </w:t>
      </w:r>
      <w:r>
        <w:rPr>
          <w:color w:val="231F20"/>
          <w:w w:val="105"/>
        </w:rPr>
        <w:t>otorgar</w:t>
      </w:r>
      <w:r>
        <w:rPr>
          <w:color w:val="231F20"/>
          <w:spacing w:val="-12"/>
          <w:w w:val="105"/>
        </w:rPr>
        <w:t> </w:t>
      </w:r>
      <w:r>
        <w:rPr>
          <w:color w:val="231F20"/>
          <w:w w:val="105"/>
        </w:rPr>
        <w:t>una</w:t>
      </w:r>
      <w:r>
        <w:rPr>
          <w:color w:val="231F20"/>
          <w:spacing w:val="-12"/>
          <w:w w:val="105"/>
        </w:rPr>
        <w:t> </w:t>
      </w:r>
      <w:r>
        <w:rPr>
          <w:color w:val="231F20"/>
          <w:w w:val="105"/>
        </w:rPr>
        <w:t>posición</w:t>
      </w:r>
      <w:r>
        <w:rPr>
          <w:color w:val="231F20"/>
          <w:spacing w:val="-12"/>
          <w:w w:val="105"/>
        </w:rPr>
        <w:t> </w:t>
      </w:r>
      <w:r>
        <w:rPr>
          <w:color w:val="231F20"/>
          <w:w w:val="105"/>
        </w:rPr>
        <w:t>del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spacing w:val="-3"/>
          <w:w w:val="105"/>
        </w:rPr>
        <w:t>Estado</w:t>
      </w:r>
      <w:r>
        <w:rPr>
          <w:color w:val="231F20"/>
          <w:spacing w:val="-26"/>
          <w:w w:val="105"/>
        </w:rPr>
        <w:t> </w:t>
      </w:r>
      <w:r>
        <w:rPr>
          <w:color w:val="231F20"/>
          <w:spacing w:val="-4"/>
          <w:w w:val="105"/>
        </w:rPr>
        <w:t>como</w:t>
      </w:r>
      <w:r>
        <w:rPr>
          <w:color w:val="231F20"/>
          <w:spacing w:val="-26"/>
          <w:w w:val="105"/>
        </w:rPr>
        <w:t> </w:t>
      </w:r>
      <w:r>
        <w:rPr>
          <w:color w:val="231F20"/>
          <w:spacing w:val="-3"/>
          <w:w w:val="105"/>
        </w:rPr>
        <w:t>árbitro</w:t>
      </w:r>
      <w:r>
        <w:rPr>
          <w:color w:val="231F20"/>
          <w:spacing w:val="-26"/>
          <w:w w:val="105"/>
        </w:rPr>
        <w:t> </w:t>
      </w:r>
      <w:r>
        <w:rPr>
          <w:color w:val="231F20"/>
          <w:spacing w:val="-3"/>
          <w:w w:val="105"/>
        </w:rPr>
        <w:t>frente</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clases</w:t>
      </w:r>
      <w:r>
        <w:rPr>
          <w:color w:val="231F20"/>
          <w:spacing w:val="-26"/>
          <w:w w:val="105"/>
        </w:rPr>
        <w:t> </w:t>
      </w:r>
      <w:r>
        <w:rPr>
          <w:color w:val="231F20"/>
          <w:w w:val="105"/>
        </w:rPr>
        <w:t>sociales</w:t>
      </w:r>
      <w:r>
        <w:rPr>
          <w:color w:val="231F20"/>
          <w:spacing w:val="-26"/>
          <w:w w:val="105"/>
        </w:rPr>
        <w:t> </w:t>
      </w:r>
      <w:r>
        <w:rPr>
          <w:color w:val="231F20"/>
          <w:spacing w:val="-4"/>
          <w:w w:val="105"/>
        </w:rPr>
        <w:t>(Solórzano,</w:t>
      </w:r>
      <w:r>
        <w:rPr>
          <w:color w:val="231F20"/>
          <w:spacing w:val="-26"/>
          <w:w w:val="105"/>
        </w:rPr>
        <w:t> </w:t>
      </w:r>
      <w:r>
        <w:rPr>
          <w:color w:val="231F20"/>
          <w:w w:val="105"/>
        </w:rPr>
        <w:t>2003:</w:t>
      </w:r>
      <w:r>
        <w:rPr>
          <w:color w:val="231F20"/>
          <w:spacing w:val="-26"/>
          <w:w w:val="105"/>
        </w:rPr>
        <w:t> </w:t>
      </w:r>
      <w:r>
        <w:rPr>
          <w:color w:val="231F20"/>
          <w:spacing w:val="-5"/>
          <w:w w:val="105"/>
        </w:rPr>
        <w:t>297).</w:t>
      </w:r>
      <w:r>
        <w:rPr>
          <w:color w:val="231F20"/>
          <w:spacing w:val="-26"/>
          <w:w w:val="105"/>
        </w:rPr>
        <w:t> </w:t>
      </w:r>
      <w:r>
        <w:rPr>
          <w:color w:val="231F20"/>
          <w:w w:val="105"/>
        </w:rPr>
        <w:t>Estos</w:t>
      </w:r>
      <w:r>
        <w:rPr>
          <w:color w:val="231F20"/>
          <w:spacing w:val="-26"/>
          <w:w w:val="105"/>
        </w:rPr>
        <w:t> </w:t>
      </w:r>
      <w:r>
        <w:rPr>
          <w:color w:val="231F20"/>
          <w:spacing w:val="-3"/>
          <w:w w:val="105"/>
        </w:rPr>
        <w:t>principios,</w:t>
      </w:r>
      <w:r>
        <w:rPr>
          <w:color w:val="231F20"/>
          <w:spacing w:val="-26"/>
          <w:w w:val="105"/>
        </w:rPr>
        <w:t> </w:t>
      </w:r>
      <w:r>
        <w:rPr>
          <w:color w:val="231F20"/>
          <w:w w:val="105"/>
        </w:rPr>
        <w:t>al </w:t>
      </w:r>
      <w:r>
        <w:rPr>
          <w:color w:val="231F20"/>
          <w:spacing w:val="-4"/>
          <w:w w:val="105"/>
        </w:rPr>
        <w:t>menos</w:t>
      </w:r>
      <w:r>
        <w:rPr>
          <w:color w:val="231F20"/>
          <w:spacing w:val="-11"/>
          <w:w w:val="105"/>
        </w:rPr>
        <w:t> </w:t>
      </w:r>
      <w:r>
        <w:rPr>
          <w:color w:val="231F20"/>
          <w:w w:val="105"/>
        </w:rPr>
        <w:t>en</w:t>
      </w:r>
      <w:r>
        <w:rPr>
          <w:color w:val="231F20"/>
          <w:spacing w:val="-11"/>
          <w:w w:val="105"/>
        </w:rPr>
        <w:t> </w:t>
      </w:r>
      <w:r>
        <w:rPr>
          <w:color w:val="231F20"/>
          <w:spacing w:val="-6"/>
          <w:w w:val="105"/>
        </w:rPr>
        <w:t>Tejupilco,</w:t>
      </w:r>
      <w:r>
        <w:rPr>
          <w:color w:val="231F20"/>
          <w:spacing w:val="-11"/>
          <w:w w:val="105"/>
        </w:rPr>
        <w:t> </w:t>
      </w:r>
      <w:r>
        <w:rPr>
          <w:color w:val="231F20"/>
          <w:spacing w:val="-3"/>
          <w:w w:val="105"/>
        </w:rPr>
        <w:t>no</w:t>
      </w:r>
      <w:r>
        <w:rPr>
          <w:color w:val="231F20"/>
          <w:spacing w:val="-11"/>
          <w:w w:val="105"/>
        </w:rPr>
        <w:t> </w:t>
      </w:r>
      <w:r>
        <w:rPr>
          <w:color w:val="231F20"/>
          <w:w w:val="105"/>
        </w:rPr>
        <w:t>se</w:t>
      </w:r>
      <w:r>
        <w:rPr>
          <w:color w:val="231F20"/>
          <w:spacing w:val="-11"/>
          <w:w w:val="105"/>
        </w:rPr>
        <w:t> </w:t>
      </w:r>
      <w:r>
        <w:rPr>
          <w:color w:val="231F20"/>
          <w:w w:val="105"/>
        </w:rPr>
        <w:t>han</w:t>
      </w:r>
      <w:r>
        <w:rPr>
          <w:color w:val="231F20"/>
          <w:spacing w:val="-11"/>
          <w:w w:val="105"/>
        </w:rPr>
        <w:t> </w:t>
      </w:r>
      <w:r>
        <w:rPr>
          <w:color w:val="231F20"/>
          <w:spacing w:val="-3"/>
          <w:w w:val="105"/>
        </w:rPr>
        <w:t>logrado</w:t>
      </w:r>
      <w:r>
        <w:rPr>
          <w:color w:val="231F20"/>
          <w:spacing w:val="-11"/>
          <w:w w:val="105"/>
        </w:rPr>
        <w:t> </w:t>
      </w:r>
      <w:r>
        <w:rPr>
          <w:color w:val="231F20"/>
          <w:spacing w:val="-3"/>
          <w:w w:val="105"/>
        </w:rPr>
        <w:t>implementar</w:t>
      </w:r>
      <w:r>
        <w:rPr>
          <w:color w:val="231F20"/>
          <w:spacing w:val="-11"/>
          <w:w w:val="105"/>
        </w:rPr>
        <w:t> </w:t>
      </w:r>
      <w:r>
        <w:rPr>
          <w:color w:val="231F20"/>
          <w:spacing w:val="-4"/>
          <w:w w:val="105"/>
        </w:rPr>
        <w:t>debido</w:t>
      </w:r>
      <w:r>
        <w:rPr>
          <w:color w:val="231F20"/>
          <w:spacing w:val="-11"/>
          <w:w w:val="105"/>
        </w:rPr>
        <w:t> </w:t>
      </w:r>
      <w:r>
        <w:rPr>
          <w:color w:val="231F20"/>
          <w:w w:val="105"/>
        </w:rPr>
        <w:t>a</w:t>
      </w:r>
      <w:r>
        <w:rPr>
          <w:color w:val="231F20"/>
          <w:spacing w:val="-11"/>
          <w:w w:val="105"/>
        </w:rPr>
        <w:t> </w:t>
      </w:r>
      <w:r>
        <w:rPr>
          <w:color w:val="231F20"/>
          <w:spacing w:val="-3"/>
          <w:w w:val="105"/>
        </w:rPr>
        <w:t>que</w:t>
      </w:r>
      <w:r>
        <w:rPr>
          <w:color w:val="231F20"/>
          <w:spacing w:val="-11"/>
          <w:w w:val="105"/>
        </w:rPr>
        <w:t> </w:t>
      </w:r>
      <w:r>
        <w:rPr>
          <w:color w:val="231F20"/>
          <w:w w:val="105"/>
        </w:rPr>
        <w:t>las</w:t>
      </w:r>
      <w:r>
        <w:rPr>
          <w:color w:val="231F20"/>
          <w:spacing w:val="-11"/>
          <w:w w:val="105"/>
        </w:rPr>
        <w:t> </w:t>
      </w:r>
      <w:r>
        <w:rPr>
          <w:color w:val="231F20"/>
          <w:w w:val="105"/>
        </w:rPr>
        <w:t>características</w:t>
      </w:r>
      <w:r>
        <w:rPr>
          <w:color w:val="231F20"/>
          <w:spacing w:val="-11"/>
          <w:w w:val="105"/>
        </w:rPr>
        <w:t> </w:t>
      </w:r>
      <w:r>
        <w:rPr>
          <w:color w:val="231F20"/>
          <w:w w:val="105"/>
        </w:rPr>
        <w:t>rura- </w:t>
      </w:r>
      <w:r>
        <w:rPr>
          <w:color w:val="231F20"/>
          <w:spacing w:val="-3"/>
          <w:w w:val="105"/>
        </w:rPr>
        <w:t>les</w:t>
      </w:r>
      <w:r>
        <w:rPr>
          <w:color w:val="231F20"/>
          <w:spacing w:val="-7"/>
          <w:w w:val="105"/>
        </w:rPr>
        <w:t> </w:t>
      </w:r>
      <w:r>
        <w:rPr>
          <w:color w:val="231F20"/>
          <w:spacing w:val="-3"/>
          <w:w w:val="105"/>
        </w:rPr>
        <w:t>del</w:t>
      </w:r>
      <w:r>
        <w:rPr>
          <w:color w:val="231F20"/>
          <w:spacing w:val="-7"/>
          <w:w w:val="105"/>
        </w:rPr>
        <w:t> </w:t>
      </w:r>
      <w:r>
        <w:rPr>
          <w:color w:val="231F20"/>
          <w:spacing w:val="-3"/>
          <w:w w:val="105"/>
        </w:rPr>
        <w:t>municipio</w:t>
      </w:r>
      <w:r>
        <w:rPr>
          <w:color w:val="231F20"/>
          <w:spacing w:val="-7"/>
          <w:w w:val="105"/>
        </w:rPr>
        <w:t> </w:t>
      </w:r>
      <w:r>
        <w:rPr>
          <w:color w:val="231F20"/>
          <w:spacing w:val="-3"/>
          <w:w w:val="105"/>
        </w:rPr>
        <w:t>no</w:t>
      </w:r>
      <w:r>
        <w:rPr>
          <w:color w:val="231F20"/>
          <w:spacing w:val="-7"/>
          <w:w w:val="105"/>
        </w:rPr>
        <w:t> </w:t>
      </w:r>
      <w:r>
        <w:rPr>
          <w:color w:val="231F20"/>
          <w:spacing w:val="-3"/>
          <w:w w:val="105"/>
        </w:rPr>
        <w:t>lo</w:t>
      </w:r>
      <w:r>
        <w:rPr>
          <w:color w:val="231F20"/>
          <w:spacing w:val="-7"/>
          <w:w w:val="105"/>
        </w:rPr>
        <w:t> </w:t>
      </w:r>
      <w:r>
        <w:rPr>
          <w:color w:val="231F20"/>
          <w:w w:val="105"/>
        </w:rPr>
        <w:t>han</w:t>
      </w:r>
      <w:r>
        <w:rPr>
          <w:color w:val="231F20"/>
          <w:spacing w:val="-7"/>
          <w:w w:val="105"/>
        </w:rPr>
        <w:t> </w:t>
      </w:r>
      <w:r>
        <w:rPr>
          <w:color w:val="231F20"/>
          <w:spacing w:val="-3"/>
          <w:w w:val="105"/>
        </w:rPr>
        <w:t>permitido.</w:t>
      </w:r>
      <w:r>
        <w:rPr>
          <w:color w:val="231F20"/>
          <w:spacing w:val="-7"/>
          <w:w w:val="105"/>
        </w:rPr>
        <w:t> </w:t>
      </w:r>
      <w:r>
        <w:rPr>
          <w:color w:val="231F20"/>
          <w:spacing w:val="-5"/>
          <w:w w:val="105"/>
        </w:rPr>
        <w:t>Por</w:t>
      </w:r>
      <w:r>
        <w:rPr>
          <w:color w:val="231F20"/>
          <w:spacing w:val="-7"/>
          <w:w w:val="105"/>
        </w:rPr>
        <w:t> </w:t>
      </w:r>
      <w:r>
        <w:rPr>
          <w:color w:val="231F20"/>
          <w:spacing w:val="-4"/>
          <w:w w:val="105"/>
        </w:rPr>
        <w:t>ejemplo</w:t>
      </w:r>
      <w:r>
        <w:rPr>
          <w:color w:val="231F20"/>
          <w:spacing w:val="-7"/>
          <w:w w:val="105"/>
        </w:rPr>
        <w:t> </w:t>
      </w:r>
      <w:r>
        <w:rPr>
          <w:color w:val="231F20"/>
          <w:w w:val="105"/>
        </w:rPr>
        <w:t>la</w:t>
      </w:r>
      <w:r>
        <w:rPr>
          <w:color w:val="231F20"/>
          <w:spacing w:val="-7"/>
          <w:w w:val="105"/>
        </w:rPr>
        <w:t> </w:t>
      </w:r>
      <w:r>
        <w:rPr>
          <w:color w:val="231F20"/>
          <w:w w:val="105"/>
        </w:rPr>
        <w:t>característica</w:t>
      </w:r>
      <w:r>
        <w:rPr>
          <w:color w:val="231F20"/>
          <w:spacing w:val="-7"/>
          <w:w w:val="105"/>
        </w:rPr>
        <w:t> </w:t>
      </w:r>
      <w:r>
        <w:rPr>
          <w:color w:val="231F20"/>
          <w:w w:val="105"/>
        </w:rPr>
        <w:t>rural</w:t>
      </w:r>
      <w:r>
        <w:rPr>
          <w:color w:val="231F20"/>
          <w:spacing w:val="-7"/>
          <w:w w:val="105"/>
        </w:rPr>
        <w:t> </w:t>
      </w:r>
      <w:r>
        <w:rPr>
          <w:color w:val="231F20"/>
          <w:w w:val="105"/>
        </w:rPr>
        <w:t>ha</w:t>
      </w:r>
      <w:r>
        <w:rPr>
          <w:color w:val="231F20"/>
          <w:spacing w:val="-7"/>
          <w:w w:val="105"/>
        </w:rPr>
        <w:t> </w:t>
      </w:r>
      <w:r>
        <w:rPr>
          <w:color w:val="231F20"/>
          <w:w w:val="105"/>
        </w:rPr>
        <w:t>impedido</w:t>
      </w:r>
      <w:r>
        <w:rPr>
          <w:color w:val="231F20"/>
          <w:spacing w:val="-7"/>
          <w:w w:val="105"/>
        </w:rPr>
        <w:t> </w:t>
      </w:r>
      <w:r>
        <w:rPr>
          <w:color w:val="231F20"/>
          <w:w w:val="105"/>
        </w:rPr>
        <w:t>el </w:t>
      </w:r>
      <w:r>
        <w:rPr>
          <w:color w:val="231F20"/>
          <w:spacing w:val="-3"/>
          <w:w w:val="105"/>
        </w:rPr>
        <w:t>establecimiento</w:t>
      </w:r>
      <w:r>
        <w:rPr>
          <w:color w:val="231F20"/>
          <w:spacing w:val="-7"/>
          <w:w w:val="105"/>
        </w:rPr>
        <w:t> </w:t>
      </w:r>
      <w:r>
        <w:rPr>
          <w:color w:val="231F20"/>
          <w:w w:val="105"/>
        </w:rPr>
        <w:t>de</w:t>
      </w:r>
      <w:r>
        <w:rPr>
          <w:color w:val="231F20"/>
          <w:spacing w:val="-7"/>
          <w:w w:val="105"/>
        </w:rPr>
        <w:t> </w:t>
      </w:r>
      <w:r>
        <w:rPr>
          <w:color w:val="231F20"/>
          <w:spacing w:val="-3"/>
          <w:w w:val="105"/>
        </w:rPr>
        <w:t>empresas</w:t>
      </w:r>
      <w:r>
        <w:rPr>
          <w:color w:val="231F20"/>
          <w:spacing w:val="-7"/>
          <w:w w:val="105"/>
        </w:rPr>
        <w:t> </w:t>
      </w:r>
      <w:r>
        <w:rPr>
          <w:color w:val="231F20"/>
          <w:w w:val="105"/>
        </w:rPr>
        <w:t>o</w:t>
      </w:r>
      <w:r>
        <w:rPr>
          <w:color w:val="231F20"/>
          <w:spacing w:val="-7"/>
          <w:w w:val="105"/>
        </w:rPr>
        <w:t> </w:t>
      </w:r>
      <w:r>
        <w:rPr>
          <w:color w:val="231F20"/>
          <w:spacing w:val="-4"/>
          <w:w w:val="105"/>
        </w:rPr>
        <w:t>comercios</w:t>
      </w:r>
      <w:r>
        <w:rPr>
          <w:color w:val="231F20"/>
          <w:spacing w:val="-7"/>
          <w:w w:val="105"/>
        </w:rPr>
        <w:t> </w:t>
      </w:r>
      <w:r>
        <w:rPr>
          <w:color w:val="231F20"/>
          <w:w w:val="105"/>
        </w:rPr>
        <w:t>más</w:t>
      </w:r>
      <w:r>
        <w:rPr>
          <w:color w:val="231F20"/>
          <w:spacing w:val="-7"/>
          <w:w w:val="105"/>
        </w:rPr>
        <w:t> </w:t>
      </w:r>
      <w:r>
        <w:rPr>
          <w:color w:val="231F20"/>
          <w:w w:val="105"/>
        </w:rPr>
        <w:t>grandes</w:t>
      </w:r>
      <w:r>
        <w:rPr>
          <w:color w:val="231F20"/>
          <w:spacing w:val="-7"/>
          <w:w w:val="105"/>
        </w:rPr>
        <w:t> </w:t>
      </w:r>
      <w:r>
        <w:rPr>
          <w:color w:val="231F20"/>
          <w:spacing w:val="-3"/>
          <w:w w:val="105"/>
        </w:rPr>
        <w:t>que</w:t>
      </w:r>
      <w:r>
        <w:rPr>
          <w:color w:val="231F20"/>
          <w:spacing w:val="-7"/>
          <w:w w:val="105"/>
        </w:rPr>
        <w:t> </w:t>
      </w:r>
      <w:r>
        <w:rPr>
          <w:color w:val="231F20"/>
          <w:w w:val="105"/>
        </w:rPr>
        <w:t>permitan</w:t>
      </w:r>
      <w:r>
        <w:rPr>
          <w:color w:val="231F20"/>
          <w:spacing w:val="-7"/>
          <w:w w:val="105"/>
        </w:rPr>
        <w:t> </w:t>
      </w:r>
      <w:r>
        <w:rPr>
          <w:color w:val="231F20"/>
          <w:w w:val="105"/>
        </w:rPr>
        <w:t>la</w:t>
      </w:r>
      <w:r>
        <w:rPr>
          <w:color w:val="231F20"/>
          <w:spacing w:val="-7"/>
          <w:w w:val="105"/>
        </w:rPr>
        <w:t> </w:t>
      </w:r>
      <w:r>
        <w:rPr>
          <w:color w:val="231F20"/>
          <w:spacing w:val="-4"/>
          <w:w w:val="105"/>
        </w:rPr>
        <w:t>creación</w:t>
      </w:r>
      <w:r>
        <w:rPr>
          <w:color w:val="231F20"/>
          <w:spacing w:val="-7"/>
          <w:w w:val="105"/>
        </w:rPr>
        <w:t> </w:t>
      </w:r>
      <w:r>
        <w:rPr>
          <w:color w:val="231F20"/>
          <w:w w:val="105"/>
        </w:rPr>
        <w:t>de</w:t>
      </w:r>
      <w:r>
        <w:rPr>
          <w:color w:val="231F20"/>
          <w:spacing w:val="-7"/>
          <w:w w:val="105"/>
        </w:rPr>
        <w:t> </w:t>
      </w:r>
      <w:r>
        <w:rPr>
          <w:color w:val="231F20"/>
          <w:w w:val="105"/>
        </w:rPr>
        <w:t>dife- </w:t>
      </w:r>
      <w:r>
        <w:rPr>
          <w:color w:val="231F20"/>
          <w:spacing w:val="-4"/>
          <w:w w:val="105"/>
        </w:rPr>
        <w:t>rentes</w:t>
      </w:r>
      <w:r>
        <w:rPr>
          <w:color w:val="231F20"/>
          <w:spacing w:val="-13"/>
          <w:w w:val="105"/>
        </w:rPr>
        <w:t> </w:t>
      </w:r>
      <w:r>
        <w:rPr>
          <w:color w:val="231F20"/>
          <w:w w:val="105"/>
        </w:rPr>
        <w:t>fuentes</w:t>
      </w:r>
      <w:r>
        <w:rPr>
          <w:color w:val="231F20"/>
          <w:spacing w:val="-13"/>
          <w:w w:val="105"/>
        </w:rPr>
        <w:t> </w:t>
      </w:r>
      <w:r>
        <w:rPr>
          <w:color w:val="231F20"/>
          <w:w w:val="105"/>
        </w:rPr>
        <w:t>de</w:t>
      </w:r>
      <w:r>
        <w:rPr>
          <w:color w:val="231F20"/>
          <w:spacing w:val="-13"/>
          <w:w w:val="105"/>
        </w:rPr>
        <w:t> </w:t>
      </w:r>
      <w:r>
        <w:rPr>
          <w:color w:val="231F20"/>
          <w:spacing w:val="-4"/>
          <w:w w:val="105"/>
        </w:rPr>
        <w:t>empleo.</w:t>
      </w:r>
      <w:r>
        <w:rPr>
          <w:color w:val="231F20"/>
          <w:spacing w:val="-13"/>
          <w:w w:val="105"/>
        </w:rPr>
        <w:t> </w:t>
      </w:r>
      <w:r>
        <w:rPr>
          <w:color w:val="231F20"/>
          <w:spacing w:val="-3"/>
          <w:w w:val="105"/>
        </w:rPr>
        <w:t>Respecto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4"/>
          <w:w w:val="105"/>
        </w:rPr>
        <w:t>posición</w:t>
      </w:r>
      <w:r>
        <w:rPr>
          <w:color w:val="231F20"/>
          <w:spacing w:val="-13"/>
          <w:w w:val="105"/>
        </w:rPr>
        <w:t> </w:t>
      </w:r>
      <w:r>
        <w:rPr>
          <w:color w:val="231F20"/>
          <w:spacing w:val="-4"/>
          <w:w w:val="105"/>
        </w:rPr>
        <w:t>como</w:t>
      </w:r>
      <w:r>
        <w:rPr>
          <w:color w:val="231F20"/>
          <w:spacing w:val="-13"/>
          <w:w w:val="105"/>
        </w:rPr>
        <w:t> </w:t>
      </w:r>
      <w:r>
        <w:rPr>
          <w:color w:val="231F20"/>
          <w:spacing w:val="-3"/>
          <w:w w:val="105"/>
        </w:rPr>
        <w:t>árbitro</w:t>
      </w:r>
      <w:r>
        <w:rPr>
          <w:color w:val="231F20"/>
          <w:spacing w:val="-13"/>
          <w:w w:val="105"/>
        </w:rPr>
        <w:t> </w:t>
      </w:r>
      <w:r>
        <w:rPr>
          <w:color w:val="231F20"/>
          <w:spacing w:val="-3"/>
          <w:w w:val="105"/>
        </w:rPr>
        <w:t>frente</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clases</w:t>
      </w:r>
      <w:r>
        <w:rPr>
          <w:color w:val="231F20"/>
          <w:spacing w:val="-13"/>
          <w:w w:val="105"/>
        </w:rPr>
        <w:t> </w:t>
      </w:r>
      <w:r>
        <w:rPr>
          <w:color w:val="231F20"/>
          <w:w w:val="105"/>
        </w:rPr>
        <w:t>sociales, se ha </w:t>
      </w:r>
      <w:r>
        <w:rPr>
          <w:color w:val="231F20"/>
          <w:spacing w:val="-3"/>
          <w:w w:val="105"/>
        </w:rPr>
        <w:t>logrado que </w:t>
      </w:r>
      <w:r>
        <w:rPr>
          <w:color w:val="231F20"/>
          <w:w w:val="105"/>
        </w:rPr>
        <w:t>al </w:t>
      </w:r>
      <w:r>
        <w:rPr>
          <w:color w:val="231F20"/>
          <w:spacing w:val="-4"/>
          <w:w w:val="105"/>
        </w:rPr>
        <w:t>menos </w:t>
      </w:r>
      <w:r>
        <w:rPr>
          <w:color w:val="231F20"/>
          <w:w w:val="105"/>
        </w:rPr>
        <w:t>en </w:t>
      </w:r>
      <w:r>
        <w:rPr>
          <w:color w:val="231F20"/>
          <w:spacing w:val="-3"/>
          <w:w w:val="105"/>
        </w:rPr>
        <w:t>comunidades con </w:t>
      </w:r>
      <w:r>
        <w:rPr>
          <w:color w:val="231F20"/>
          <w:spacing w:val="-4"/>
          <w:w w:val="105"/>
        </w:rPr>
        <w:t>mayores </w:t>
      </w:r>
      <w:r>
        <w:rPr>
          <w:color w:val="231F20"/>
          <w:w w:val="105"/>
        </w:rPr>
        <w:t>carencias se </w:t>
      </w:r>
      <w:r>
        <w:rPr>
          <w:color w:val="231F20"/>
          <w:spacing w:val="-4"/>
          <w:w w:val="105"/>
        </w:rPr>
        <w:t>proporcionen los </w:t>
      </w:r>
      <w:r>
        <w:rPr>
          <w:color w:val="231F20"/>
          <w:w w:val="105"/>
        </w:rPr>
        <w:t>servicios</w:t>
      </w:r>
      <w:r>
        <w:rPr>
          <w:color w:val="231F20"/>
          <w:spacing w:val="-14"/>
          <w:w w:val="105"/>
        </w:rPr>
        <w:t> </w:t>
      </w:r>
      <w:r>
        <w:rPr>
          <w:color w:val="231F20"/>
          <w:spacing w:val="-3"/>
          <w:w w:val="105"/>
        </w:rPr>
        <w:t>básicos,</w:t>
      </w:r>
      <w:r>
        <w:rPr>
          <w:color w:val="231F20"/>
          <w:spacing w:val="-14"/>
          <w:w w:val="105"/>
        </w:rPr>
        <w:t> </w:t>
      </w:r>
      <w:r>
        <w:rPr>
          <w:color w:val="231F20"/>
          <w:spacing w:val="-3"/>
          <w:w w:val="105"/>
        </w:rPr>
        <w:t>aunque</w:t>
      </w:r>
      <w:r>
        <w:rPr>
          <w:color w:val="231F20"/>
          <w:spacing w:val="-14"/>
          <w:w w:val="105"/>
        </w:rPr>
        <w:t> </w:t>
      </w:r>
      <w:r>
        <w:rPr>
          <w:color w:val="231F20"/>
          <w:spacing w:val="-3"/>
          <w:w w:val="105"/>
        </w:rPr>
        <w:t>no</w:t>
      </w:r>
      <w:r>
        <w:rPr>
          <w:color w:val="231F20"/>
          <w:spacing w:val="-14"/>
          <w:w w:val="105"/>
        </w:rPr>
        <w:t> </w:t>
      </w:r>
      <w:r>
        <w:rPr>
          <w:color w:val="231F20"/>
          <w:w w:val="105"/>
        </w:rPr>
        <w:t>haya</w:t>
      </w:r>
      <w:r>
        <w:rPr>
          <w:color w:val="231F20"/>
          <w:spacing w:val="-14"/>
          <w:w w:val="105"/>
        </w:rPr>
        <w:t> </w:t>
      </w:r>
      <w:r>
        <w:rPr>
          <w:color w:val="231F20"/>
          <w:w w:val="105"/>
        </w:rPr>
        <w:t>una</w:t>
      </w:r>
      <w:r>
        <w:rPr>
          <w:color w:val="231F20"/>
          <w:spacing w:val="-14"/>
          <w:w w:val="105"/>
        </w:rPr>
        <w:t> </w:t>
      </w:r>
      <w:r>
        <w:rPr>
          <w:color w:val="231F20"/>
          <w:w w:val="105"/>
        </w:rPr>
        <w:t>cobertura</w:t>
      </w:r>
      <w:r>
        <w:rPr>
          <w:color w:val="231F20"/>
          <w:spacing w:val="-14"/>
          <w:w w:val="105"/>
        </w:rPr>
        <w:t> </w:t>
      </w:r>
      <w:r>
        <w:rPr>
          <w:color w:val="231F20"/>
          <w:w w:val="105"/>
        </w:rPr>
        <w:t>total</w:t>
      </w:r>
      <w:r>
        <w:rPr>
          <w:color w:val="231F20"/>
          <w:spacing w:val="-14"/>
          <w:w w:val="105"/>
        </w:rPr>
        <w:t> </w:t>
      </w:r>
      <w:r>
        <w:rPr>
          <w:color w:val="231F20"/>
          <w:spacing w:val="-3"/>
          <w:w w:val="105"/>
        </w:rPr>
        <w:t>dentro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comunidad.</w:t>
      </w:r>
    </w:p>
    <w:p>
      <w:pPr>
        <w:pStyle w:val="BodyText"/>
        <w:spacing w:before="1"/>
        <w:rPr>
          <w:sz w:val="26"/>
        </w:rPr>
      </w:pPr>
    </w:p>
    <w:p>
      <w:pPr>
        <w:pStyle w:val="BodyText"/>
        <w:spacing w:line="285" w:lineRule="auto"/>
        <w:ind w:left="110" w:right="107"/>
        <w:jc w:val="both"/>
      </w:pPr>
      <w:r>
        <w:rPr>
          <w:color w:val="231F20"/>
          <w:w w:val="105"/>
        </w:rPr>
        <w:t>Dos elementos fueron indispensables para el desarrollo político y electoral del PRI: el primero de ellos fue la instauración de un presidencialismo fuerte en </w:t>
      </w:r>
      <w:r>
        <w:rPr>
          <w:color w:val="231F20"/>
          <w:spacing w:val="-3"/>
          <w:w w:val="105"/>
        </w:rPr>
        <w:t>donde </w:t>
      </w:r>
      <w:r>
        <w:rPr>
          <w:color w:val="231F20"/>
          <w:w w:val="105"/>
        </w:rPr>
        <w:t>el jefe del Ejecutivo federal tenía la capacidad de designar tanto a los candidatos a los distintos puestos de elección popular en todos los niveles del gobierno del país, como de quie- nes ocupaban los puestos de funcionario público (Solórzano, 2003: 297); el segundo elemento fue que gracias a la hegemonía priísta, el partido se convirtió en la única vía para</w:t>
      </w:r>
      <w:r>
        <w:rPr>
          <w:color w:val="231F20"/>
          <w:spacing w:val="-9"/>
          <w:w w:val="105"/>
        </w:rPr>
        <w:t> </w:t>
      </w:r>
      <w:r>
        <w:rPr>
          <w:color w:val="231F20"/>
          <w:w w:val="105"/>
        </w:rPr>
        <w:t>acceder</w:t>
      </w:r>
      <w:r>
        <w:rPr>
          <w:color w:val="231F20"/>
          <w:spacing w:val="-9"/>
          <w:w w:val="105"/>
        </w:rPr>
        <w:t> </w:t>
      </w:r>
      <w:r>
        <w:rPr>
          <w:color w:val="231F20"/>
          <w:spacing w:val="2"/>
          <w:w w:val="105"/>
        </w:rPr>
        <w:t>al</w:t>
      </w:r>
      <w:r>
        <w:rPr>
          <w:color w:val="231F20"/>
          <w:spacing w:val="-9"/>
          <w:w w:val="105"/>
        </w:rPr>
        <w:t> </w:t>
      </w:r>
      <w:r>
        <w:rPr>
          <w:color w:val="231F20"/>
          <w:w w:val="105"/>
        </w:rPr>
        <w:t>poder</w:t>
      </w:r>
      <w:r>
        <w:rPr>
          <w:color w:val="231F20"/>
          <w:spacing w:val="-9"/>
          <w:w w:val="105"/>
        </w:rPr>
        <w:t> </w:t>
      </w:r>
      <w:r>
        <w:rPr>
          <w:color w:val="231F20"/>
          <w:w w:val="105"/>
        </w:rPr>
        <w:t>gubernamental.</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paso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años</w:t>
      </w:r>
      <w:r>
        <w:rPr>
          <w:color w:val="231F20"/>
          <w:spacing w:val="-9"/>
          <w:w w:val="105"/>
        </w:rPr>
        <w:t> </w:t>
      </w:r>
      <w:r>
        <w:rPr>
          <w:color w:val="231F20"/>
          <w:w w:val="105"/>
        </w:rPr>
        <w:t>esta</w:t>
      </w:r>
      <w:r>
        <w:rPr>
          <w:color w:val="231F20"/>
          <w:spacing w:val="-9"/>
          <w:w w:val="105"/>
        </w:rPr>
        <w:t> </w:t>
      </w:r>
      <w:r>
        <w:rPr>
          <w:color w:val="231F20"/>
          <w:w w:val="105"/>
        </w:rPr>
        <w:t>situación</w:t>
      </w:r>
      <w:r>
        <w:rPr>
          <w:color w:val="231F20"/>
          <w:spacing w:val="-9"/>
          <w:w w:val="105"/>
        </w:rPr>
        <w:t> </w:t>
      </w:r>
      <w:r>
        <w:rPr>
          <w:color w:val="231F20"/>
          <w:w w:val="105"/>
        </w:rPr>
        <w:t>cambió,</w:t>
      </w:r>
      <w:r>
        <w:rPr>
          <w:color w:val="231F20"/>
          <w:spacing w:val="-9"/>
          <w:w w:val="105"/>
        </w:rPr>
        <w:t> </w:t>
      </w:r>
      <w:r>
        <w:rPr>
          <w:color w:val="231F20"/>
          <w:spacing w:val="2"/>
          <w:w w:val="105"/>
        </w:rPr>
        <w:t>al </w:t>
      </w:r>
      <w:r>
        <w:rPr>
          <w:color w:val="231F20"/>
          <w:w w:val="105"/>
        </w:rPr>
        <w:t>menos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plano</w:t>
      </w:r>
      <w:r>
        <w:rPr>
          <w:color w:val="231F20"/>
          <w:spacing w:val="-16"/>
          <w:w w:val="105"/>
        </w:rPr>
        <w:t> </w:t>
      </w:r>
      <w:r>
        <w:rPr>
          <w:color w:val="231F20"/>
          <w:w w:val="105"/>
        </w:rPr>
        <w:t>federal.</w:t>
      </w:r>
    </w:p>
    <w:p>
      <w:pPr>
        <w:pStyle w:val="BodyText"/>
        <w:spacing w:before="1"/>
        <w:rPr>
          <w:sz w:val="26"/>
        </w:rPr>
      </w:pPr>
    </w:p>
    <w:p>
      <w:pPr>
        <w:pStyle w:val="BodyText"/>
        <w:spacing w:line="285" w:lineRule="auto"/>
        <w:ind w:left="110" w:right="107"/>
        <w:jc w:val="both"/>
      </w:pP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9"/>
          <w:w w:val="105"/>
        </w:rPr>
        <w:t> </w:t>
      </w:r>
      <w:r>
        <w:rPr>
          <w:color w:val="231F20"/>
          <w:w w:val="105"/>
        </w:rPr>
        <w:t>sucede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PRI,</w:t>
      </w:r>
      <w:r>
        <w:rPr>
          <w:color w:val="231F20"/>
          <w:spacing w:val="-9"/>
          <w:w w:val="105"/>
        </w:rPr>
        <w:t> </w:t>
      </w:r>
      <w:r>
        <w:rPr>
          <w:color w:val="231F20"/>
          <w:w w:val="105"/>
        </w:rPr>
        <w:t>a</w:t>
      </w:r>
      <w:r>
        <w:rPr>
          <w:color w:val="231F20"/>
          <w:spacing w:val="-9"/>
          <w:w w:val="105"/>
        </w:rPr>
        <w:t> </w:t>
      </w:r>
      <w:r>
        <w:rPr>
          <w:color w:val="231F20"/>
          <w:w w:val="105"/>
        </w:rPr>
        <w:t>pesar</w:t>
      </w:r>
      <w:r>
        <w:rPr>
          <w:color w:val="231F20"/>
          <w:spacing w:val="-9"/>
          <w:w w:val="105"/>
        </w:rPr>
        <w:t> </w:t>
      </w:r>
      <w:r>
        <w:rPr>
          <w:color w:val="231F20"/>
          <w:w w:val="105"/>
        </w:rPr>
        <w:t>de</w:t>
      </w:r>
      <w:r>
        <w:rPr>
          <w:color w:val="231F20"/>
          <w:spacing w:val="-9"/>
          <w:w w:val="105"/>
        </w:rPr>
        <w:t> </w:t>
      </w:r>
      <w:r>
        <w:rPr>
          <w:color w:val="231F20"/>
          <w:w w:val="105"/>
        </w:rPr>
        <w:t>tener</w:t>
      </w:r>
      <w:r>
        <w:rPr>
          <w:color w:val="231F20"/>
          <w:spacing w:val="-9"/>
          <w:w w:val="105"/>
        </w:rPr>
        <w:t> </w:t>
      </w:r>
      <w:r>
        <w:rPr>
          <w:color w:val="231F20"/>
          <w:w w:val="105"/>
        </w:rPr>
        <w:t>derrotas</w:t>
      </w:r>
      <w:r>
        <w:rPr>
          <w:color w:val="231F20"/>
          <w:spacing w:val="-9"/>
          <w:w w:val="105"/>
        </w:rPr>
        <w:t> </w:t>
      </w:r>
      <w:r>
        <w:rPr>
          <w:color w:val="231F20"/>
          <w:w w:val="105"/>
        </w:rPr>
        <w:t>en</w:t>
      </w:r>
      <w:r>
        <w:rPr>
          <w:color w:val="231F20"/>
          <w:spacing w:val="-9"/>
          <w:w w:val="105"/>
        </w:rPr>
        <w:t> </w:t>
      </w:r>
      <w:r>
        <w:rPr>
          <w:color w:val="231F20"/>
          <w:w w:val="105"/>
        </w:rPr>
        <w:t>algunos</w:t>
      </w:r>
      <w:r>
        <w:rPr>
          <w:color w:val="231F20"/>
          <w:spacing w:val="-9"/>
          <w:w w:val="105"/>
        </w:rPr>
        <w:t> </w:t>
      </w:r>
      <w:r>
        <w:rPr>
          <w:color w:val="231F20"/>
          <w:spacing w:val="-3"/>
          <w:w w:val="105"/>
        </w:rPr>
        <w:t>gobier- </w:t>
      </w:r>
      <w:r>
        <w:rPr>
          <w:color w:val="231F20"/>
          <w:w w:val="105"/>
        </w:rPr>
        <w:t>nos municipales y de ver disminuida su participación en la Legislatura local a </w:t>
      </w:r>
      <w:r>
        <w:rPr>
          <w:color w:val="231F20"/>
          <w:spacing w:val="2"/>
          <w:w w:val="105"/>
        </w:rPr>
        <w:t>partir </w:t>
      </w:r>
      <w:r>
        <w:rPr>
          <w:color w:val="231F20"/>
          <w:w w:val="105"/>
        </w:rPr>
        <w:t>de 1996, en el plano del Ejecutivo estatal se ha mantenido como la primera fuerza, si- tuación</w:t>
      </w:r>
      <w:r>
        <w:rPr>
          <w:color w:val="231F20"/>
          <w:spacing w:val="-9"/>
          <w:w w:val="105"/>
        </w:rPr>
        <w:t> </w:t>
      </w:r>
      <w:r>
        <w:rPr>
          <w:color w:val="231F20"/>
          <w:w w:val="105"/>
        </w:rPr>
        <w:t>que</w:t>
      </w:r>
      <w:r>
        <w:rPr>
          <w:color w:val="231F20"/>
          <w:spacing w:val="-9"/>
          <w:w w:val="105"/>
        </w:rPr>
        <w:t> </w:t>
      </w:r>
      <w:r>
        <w:rPr>
          <w:color w:val="231F20"/>
          <w:w w:val="105"/>
        </w:rPr>
        <w:t>permite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gobernador</w:t>
      </w:r>
      <w:r>
        <w:rPr>
          <w:color w:val="231F20"/>
          <w:spacing w:val="-9"/>
          <w:w w:val="105"/>
        </w:rPr>
        <w:t> </w:t>
      </w:r>
      <w:r>
        <w:rPr>
          <w:color w:val="231F20"/>
          <w:w w:val="105"/>
        </w:rPr>
        <w:t>sea</w:t>
      </w:r>
      <w:r>
        <w:rPr>
          <w:color w:val="231F20"/>
          <w:spacing w:val="-9"/>
          <w:w w:val="105"/>
        </w:rPr>
        <w:t> </w:t>
      </w:r>
      <w:r>
        <w:rPr>
          <w:color w:val="231F20"/>
          <w:w w:val="105"/>
        </w:rPr>
        <w:t>el</w:t>
      </w:r>
      <w:r>
        <w:rPr>
          <w:color w:val="231F20"/>
          <w:spacing w:val="-9"/>
          <w:w w:val="105"/>
        </w:rPr>
        <w:t> </w:t>
      </w:r>
      <w:r>
        <w:rPr>
          <w:color w:val="231F20"/>
          <w:w w:val="105"/>
        </w:rPr>
        <w:t>líder</w:t>
      </w:r>
      <w:r>
        <w:rPr>
          <w:color w:val="231F20"/>
          <w:spacing w:val="-9"/>
          <w:w w:val="105"/>
        </w:rPr>
        <w:t> </w:t>
      </w:r>
      <w:r>
        <w:rPr>
          <w:color w:val="231F20"/>
          <w:w w:val="105"/>
        </w:rPr>
        <w:t>del</w:t>
      </w:r>
      <w:r>
        <w:rPr>
          <w:color w:val="231F20"/>
          <w:spacing w:val="-9"/>
          <w:w w:val="105"/>
        </w:rPr>
        <w:t> </w:t>
      </w:r>
      <w:r>
        <w:rPr>
          <w:color w:val="231F20"/>
          <w:w w:val="105"/>
        </w:rPr>
        <w:t>priísmo</w:t>
      </w:r>
      <w:r>
        <w:rPr>
          <w:color w:val="231F20"/>
          <w:spacing w:val="-9"/>
          <w:w w:val="105"/>
        </w:rPr>
        <w:t> </w:t>
      </w:r>
      <w:r>
        <w:rPr>
          <w:color w:val="231F20"/>
          <w:w w:val="105"/>
        </w:rPr>
        <w:t>mexiquense.</w:t>
      </w:r>
      <w:r>
        <w:rPr>
          <w:color w:val="231F20"/>
          <w:spacing w:val="-9"/>
          <w:w w:val="105"/>
        </w:rPr>
        <w:t> </w:t>
      </w:r>
      <w:r>
        <w:rPr>
          <w:color w:val="231F20"/>
          <w:w w:val="105"/>
        </w:rPr>
        <w:t>Y</w:t>
      </w:r>
      <w:r>
        <w:rPr>
          <w:color w:val="231F20"/>
          <w:spacing w:val="-9"/>
          <w:w w:val="105"/>
        </w:rPr>
        <w:t> </w:t>
      </w:r>
      <w:r>
        <w:rPr>
          <w:color w:val="231F20"/>
          <w:spacing w:val="2"/>
          <w:w w:val="105"/>
        </w:rPr>
        <w:t>tal</w:t>
      </w:r>
      <w:r>
        <w:rPr>
          <w:color w:val="231F20"/>
          <w:spacing w:val="-9"/>
          <w:w w:val="105"/>
        </w:rPr>
        <w:t> </w:t>
      </w:r>
      <w:r>
        <w:rPr>
          <w:color w:val="231F20"/>
          <w:w w:val="105"/>
        </w:rPr>
        <w:t>como sucediera</w:t>
      </w:r>
      <w:r>
        <w:rPr>
          <w:color w:val="231F20"/>
          <w:spacing w:val="-7"/>
          <w:w w:val="105"/>
        </w:rPr>
        <w:t> </w:t>
      </w:r>
      <w:r>
        <w:rPr>
          <w:color w:val="231F20"/>
          <w:w w:val="105"/>
        </w:rPr>
        <w:t>a</w:t>
      </w:r>
      <w:r>
        <w:rPr>
          <w:color w:val="231F20"/>
          <w:spacing w:val="-7"/>
          <w:w w:val="105"/>
        </w:rPr>
        <w:t> </w:t>
      </w:r>
      <w:r>
        <w:rPr>
          <w:color w:val="231F20"/>
          <w:w w:val="105"/>
        </w:rPr>
        <w:t>nivel</w:t>
      </w:r>
      <w:r>
        <w:rPr>
          <w:color w:val="231F20"/>
          <w:spacing w:val="-7"/>
          <w:w w:val="105"/>
        </w:rPr>
        <w:t> </w:t>
      </w:r>
      <w:r>
        <w:rPr>
          <w:color w:val="231F20"/>
          <w:w w:val="105"/>
        </w:rPr>
        <w:t>federal</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años</w:t>
      </w:r>
      <w:r>
        <w:rPr>
          <w:color w:val="231F20"/>
          <w:spacing w:val="-7"/>
          <w:w w:val="105"/>
        </w:rPr>
        <w:t> </w:t>
      </w:r>
      <w:r>
        <w:rPr>
          <w:color w:val="231F20"/>
          <w:w w:val="105"/>
        </w:rPr>
        <w:t>de</w:t>
      </w:r>
      <w:r>
        <w:rPr>
          <w:color w:val="231F20"/>
          <w:spacing w:val="-7"/>
          <w:w w:val="105"/>
        </w:rPr>
        <w:t> </w:t>
      </w:r>
      <w:r>
        <w:rPr>
          <w:color w:val="231F20"/>
          <w:w w:val="105"/>
        </w:rPr>
        <w:t>hegemonía</w:t>
      </w:r>
      <w:r>
        <w:rPr>
          <w:color w:val="231F20"/>
          <w:spacing w:val="-7"/>
          <w:w w:val="105"/>
        </w:rPr>
        <w:t> </w:t>
      </w:r>
      <w:r>
        <w:rPr>
          <w:color w:val="231F20"/>
          <w:w w:val="105"/>
        </w:rPr>
        <w:t>priísta,</w:t>
      </w:r>
      <w:r>
        <w:rPr>
          <w:color w:val="231F20"/>
          <w:spacing w:val="-7"/>
          <w:w w:val="105"/>
        </w:rPr>
        <w:t> </w:t>
      </w:r>
      <w:r>
        <w:rPr>
          <w:color w:val="231F20"/>
          <w:w w:val="105"/>
        </w:rPr>
        <w:t>el</w:t>
      </w:r>
      <w:r>
        <w:rPr>
          <w:color w:val="231F20"/>
          <w:spacing w:val="-7"/>
          <w:w w:val="105"/>
        </w:rPr>
        <w:t> </w:t>
      </w:r>
      <w:r>
        <w:rPr>
          <w:color w:val="231F20"/>
          <w:w w:val="105"/>
        </w:rPr>
        <w:t>gobernador</w:t>
      </w:r>
      <w:r>
        <w:rPr>
          <w:color w:val="231F20"/>
          <w:spacing w:val="-7"/>
          <w:w w:val="105"/>
        </w:rPr>
        <w:t> </w:t>
      </w:r>
      <w:r>
        <w:rPr>
          <w:color w:val="231F20"/>
          <w:w w:val="105"/>
        </w:rPr>
        <w:t>conserva</w:t>
      </w:r>
      <w:r>
        <w:rPr>
          <w:color w:val="231F20"/>
          <w:spacing w:val="-7"/>
          <w:w w:val="105"/>
        </w:rPr>
        <w:t> </w:t>
      </w:r>
      <w:r>
        <w:rPr>
          <w:color w:val="231F20"/>
          <w:w w:val="105"/>
        </w:rPr>
        <w:t>una gran</w:t>
      </w:r>
      <w:r>
        <w:rPr>
          <w:color w:val="231F20"/>
          <w:spacing w:val="-17"/>
          <w:w w:val="105"/>
        </w:rPr>
        <w:t> </w:t>
      </w:r>
      <w:r>
        <w:rPr>
          <w:color w:val="231F20"/>
          <w:w w:val="105"/>
        </w:rPr>
        <w:t>influencia</w:t>
      </w:r>
      <w:r>
        <w:rPr>
          <w:color w:val="231F20"/>
          <w:spacing w:val="-17"/>
          <w:w w:val="105"/>
        </w:rPr>
        <w:t> </w:t>
      </w:r>
      <w:r>
        <w:rPr>
          <w:color w:val="231F20"/>
          <w:w w:val="105"/>
        </w:rPr>
        <w:t>sobre</w:t>
      </w:r>
      <w:r>
        <w:rPr>
          <w:color w:val="231F20"/>
          <w:spacing w:val="-17"/>
          <w:w w:val="105"/>
        </w:rPr>
        <w:t> </w:t>
      </w:r>
      <w:r>
        <w:rPr>
          <w:color w:val="231F20"/>
          <w:w w:val="105"/>
        </w:rPr>
        <w:t>todo</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poder</w:t>
      </w:r>
      <w:r>
        <w:rPr>
          <w:color w:val="231F20"/>
          <w:spacing w:val="-17"/>
          <w:w w:val="105"/>
        </w:rPr>
        <w:t> </w:t>
      </w:r>
      <w:r>
        <w:rPr>
          <w:color w:val="231F20"/>
          <w:w w:val="105"/>
        </w:rPr>
        <w:t>de</w:t>
      </w:r>
      <w:r>
        <w:rPr>
          <w:color w:val="231F20"/>
          <w:spacing w:val="-17"/>
          <w:w w:val="105"/>
        </w:rPr>
        <w:t> </w:t>
      </w:r>
      <w:r>
        <w:rPr>
          <w:color w:val="231F20"/>
          <w:w w:val="105"/>
        </w:rPr>
        <w:t>designación.</w:t>
      </w:r>
      <w:r>
        <w:rPr>
          <w:color w:val="231F20"/>
          <w:spacing w:val="-17"/>
          <w:w w:val="105"/>
        </w:rPr>
        <w:t> </w:t>
      </w:r>
      <w:r>
        <w:rPr>
          <w:color w:val="231F20"/>
          <w:w w:val="105"/>
        </w:rPr>
        <w:t>La</w:t>
      </w:r>
      <w:r>
        <w:rPr>
          <w:color w:val="231F20"/>
          <w:spacing w:val="-17"/>
          <w:w w:val="105"/>
        </w:rPr>
        <w:t> </w:t>
      </w:r>
      <w:r>
        <w:rPr>
          <w:color w:val="231F20"/>
          <w:w w:val="105"/>
        </w:rPr>
        <w:t>región</w:t>
      </w:r>
      <w:r>
        <w:rPr>
          <w:color w:val="231F20"/>
          <w:spacing w:val="-17"/>
          <w:w w:val="105"/>
        </w:rPr>
        <w:t> </w:t>
      </w:r>
      <w:r>
        <w:rPr>
          <w:color w:val="231F20"/>
          <w:w w:val="105"/>
        </w:rPr>
        <w:t>de</w:t>
      </w:r>
      <w:r>
        <w:rPr>
          <w:color w:val="231F20"/>
          <w:spacing w:val="-17"/>
          <w:w w:val="105"/>
        </w:rPr>
        <w:t> </w:t>
      </w:r>
      <w:r>
        <w:rPr>
          <w:color w:val="231F20"/>
          <w:spacing w:val="-4"/>
          <w:w w:val="105"/>
        </w:rPr>
        <w:t>Tejupilco</w:t>
      </w:r>
      <w:r>
        <w:rPr>
          <w:color w:val="231F20"/>
          <w:spacing w:val="-17"/>
          <w:w w:val="105"/>
        </w:rPr>
        <w:t> </w:t>
      </w:r>
      <w:r>
        <w:rPr>
          <w:color w:val="231F20"/>
          <w:w w:val="105"/>
        </w:rPr>
        <w:t>es</w:t>
      </w:r>
      <w:r>
        <w:rPr>
          <w:color w:val="231F20"/>
          <w:spacing w:val="-17"/>
          <w:w w:val="105"/>
        </w:rPr>
        <w:t> </w:t>
      </w:r>
      <w:r>
        <w:rPr>
          <w:color w:val="231F20"/>
          <w:w w:val="105"/>
        </w:rPr>
        <w:t>una</w:t>
      </w:r>
      <w:r>
        <w:rPr>
          <w:color w:val="231F20"/>
          <w:spacing w:val="-17"/>
          <w:w w:val="105"/>
        </w:rPr>
        <w:t> </w:t>
      </w:r>
      <w:r>
        <w:rPr>
          <w:color w:val="231F20"/>
          <w:w w:val="105"/>
        </w:rPr>
        <w:t>de las</w:t>
      </w:r>
      <w:r>
        <w:rPr>
          <w:color w:val="231F20"/>
          <w:spacing w:val="-12"/>
          <w:w w:val="105"/>
        </w:rPr>
        <w:t> </w:t>
      </w:r>
      <w:r>
        <w:rPr>
          <w:color w:val="231F20"/>
          <w:w w:val="105"/>
        </w:rPr>
        <w:t>zonas</w:t>
      </w:r>
      <w:r>
        <w:rPr>
          <w:color w:val="231F20"/>
          <w:spacing w:val="-12"/>
          <w:w w:val="105"/>
        </w:rPr>
        <w:t> </w:t>
      </w:r>
      <w:r>
        <w:rPr>
          <w:color w:val="231F20"/>
          <w:w w:val="105"/>
        </w:rPr>
        <w:t>en</w:t>
      </w:r>
      <w:r>
        <w:rPr>
          <w:color w:val="231F20"/>
          <w:spacing w:val="-12"/>
          <w:w w:val="105"/>
        </w:rPr>
        <w:t> </w:t>
      </w:r>
      <w:r>
        <w:rPr>
          <w:color w:val="231F20"/>
          <w:spacing w:val="-3"/>
          <w:w w:val="105"/>
        </w:rPr>
        <w:t>donde</w:t>
      </w:r>
      <w:r>
        <w:rPr>
          <w:color w:val="231F20"/>
          <w:spacing w:val="-12"/>
          <w:w w:val="105"/>
        </w:rPr>
        <w:t> </w:t>
      </w:r>
      <w:r>
        <w:rPr>
          <w:color w:val="231F20"/>
          <w:w w:val="105"/>
        </w:rPr>
        <w:t>la</w:t>
      </w:r>
      <w:r>
        <w:rPr>
          <w:color w:val="231F20"/>
          <w:spacing w:val="-12"/>
          <w:w w:val="105"/>
        </w:rPr>
        <w:t> </w:t>
      </w:r>
      <w:r>
        <w:rPr>
          <w:color w:val="231F20"/>
          <w:w w:val="105"/>
        </w:rPr>
        <w:t>presencia</w:t>
      </w:r>
      <w:r>
        <w:rPr>
          <w:color w:val="231F20"/>
          <w:spacing w:val="-12"/>
          <w:w w:val="105"/>
        </w:rPr>
        <w:t> </w:t>
      </w:r>
      <w:r>
        <w:rPr>
          <w:color w:val="231F20"/>
          <w:w w:val="105"/>
        </w:rPr>
        <w:t>priísta</w:t>
      </w:r>
      <w:r>
        <w:rPr>
          <w:color w:val="231F20"/>
          <w:spacing w:val="-12"/>
          <w:w w:val="105"/>
        </w:rPr>
        <w:t> </w:t>
      </w:r>
      <w:r>
        <w:rPr>
          <w:color w:val="231F20"/>
          <w:w w:val="105"/>
        </w:rPr>
        <w:t>se</w:t>
      </w:r>
      <w:r>
        <w:rPr>
          <w:color w:val="231F20"/>
          <w:spacing w:val="-12"/>
          <w:w w:val="105"/>
        </w:rPr>
        <w:t> </w:t>
      </w:r>
      <w:r>
        <w:rPr>
          <w:color w:val="231F20"/>
          <w:w w:val="105"/>
        </w:rPr>
        <w:t>aprecia</w:t>
      </w:r>
      <w:r>
        <w:rPr>
          <w:color w:val="231F20"/>
          <w:spacing w:val="-12"/>
          <w:w w:val="105"/>
        </w:rPr>
        <w:t> </w:t>
      </w:r>
      <w:r>
        <w:rPr>
          <w:color w:val="231F20"/>
          <w:w w:val="105"/>
        </w:rPr>
        <w:t>de</w:t>
      </w:r>
      <w:r>
        <w:rPr>
          <w:color w:val="231F20"/>
          <w:spacing w:val="-12"/>
          <w:w w:val="105"/>
        </w:rPr>
        <w:t> </w:t>
      </w:r>
      <w:r>
        <w:rPr>
          <w:color w:val="231F20"/>
          <w:w w:val="105"/>
        </w:rPr>
        <w:t>mejor</w:t>
      </w:r>
      <w:r>
        <w:rPr>
          <w:color w:val="231F20"/>
          <w:spacing w:val="-12"/>
          <w:w w:val="105"/>
        </w:rPr>
        <w:t> </w:t>
      </w:r>
      <w:r>
        <w:rPr>
          <w:color w:val="231F20"/>
          <w:w w:val="105"/>
        </w:rPr>
        <w:t>forma.</w:t>
      </w:r>
    </w:p>
    <w:p>
      <w:pPr>
        <w:pStyle w:val="BodyText"/>
        <w:spacing w:before="1"/>
        <w:rPr>
          <w:sz w:val="26"/>
        </w:rPr>
      </w:pPr>
    </w:p>
    <w:p>
      <w:pPr>
        <w:pStyle w:val="BodyText"/>
        <w:spacing w:line="285" w:lineRule="auto"/>
        <w:ind w:left="110" w:right="107"/>
        <w:jc w:val="both"/>
      </w:pPr>
      <w:r>
        <w:rPr>
          <w:color w:val="231F20"/>
          <w:w w:val="105"/>
        </w:rPr>
        <w:t>Ese</w:t>
      </w:r>
      <w:r>
        <w:rPr>
          <w:color w:val="231F20"/>
          <w:spacing w:val="-14"/>
          <w:w w:val="105"/>
        </w:rPr>
        <w:t> </w:t>
      </w:r>
      <w:r>
        <w:rPr>
          <w:color w:val="231F20"/>
          <w:spacing w:val="-3"/>
          <w:w w:val="105"/>
        </w:rPr>
        <w:t>poder</w:t>
      </w:r>
      <w:r>
        <w:rPr>
          <w:color w:val="231F20"/>
          <w:spacing w:val="-14"/>
          <w:w w:val="105"/>
        </w:rPr>
        <w:t> </w:t>
      </w:r>
      <w:r>
        <w:rPr>
          <w:color w:val="231F20"/>
          <w:w w:val="105"/>
        </w:rPr>
        <w:t>de</w:t>
      </w:r>
      <w:r>
        <w:rPr>
          <w:color w:val="231F20"/>
          <w:spacing w:val="-14"/>
          <w:w w:val="105"/>
        </w:rPr>
        <w:t> </w:t>
      </w:r>
      <w:r>
        <w:rPr>
          <w:color w:val="231F20"/>
          <w:spacing w:val="-3"/>
          <w:w w:val="105"/>
        </w:rPr>
        <w:t>designación</w:t>
      </w:r>
      <w:r>
        <w:rPr>
          <w:color w:val="231F20"/>
          <w:spacing w:val="-14"/>
          <w:w w:val="105"/>
        </w:rPr>
        <w:t> </w:t>
      </w:r>
      <w:r>
        <w:rPr>
          <w:color w:val="231F20"/>
          <w:spacing w:val="-3"/>
          <w:w w:val="105"/>
        </w:rPr>
        <w:t>también</w:t>
      </w:r>
      <w:r>
        <w:rPr>
          <w:color w:val="231F20"/>
          <w:spacing w:val="-14"/>
          <w:w w:val="105"/>
        </w:rPr>
        <w:t> </w:t>
      </w:r>
      <w:r>
        <w:rPr>
          <w:color w:val="231F20"/>
          <w:w w:val="105"/>
        </w:rPr>
        <w:t>se</w:t>
      </w:r>
      <w:r>
        <w:rPr>
          <w:color w:val="231F20"/>
          <w:spacing w:val="-14"/>
          <w:w w:val="105"/>
        </w:rPr>
        <w:t> </w:t>
      </w:r>
      <w:r>
        <w:rPr>
          <w:color w:val="231F20"/>
          <w:spacing w:val="-4"/>
          <w:w w:val="105"/>
        </w:rPr>
        <w:t>reproduce</w:t>
      </w:r>
      <w:r>
        <w:rPr>
          <w:color w:val="231F20"/>
          <w:spacing w:val="-14"/>
          <w:w w:val="105"/>
        </w:rPr>
        <w:t> </w:t>
      </w:r>
      <w:r>
        <w:rPr>
          <w:color w:val="231F20"/>
          <w:w w:val="105"/>
        </w:rPr>
        <w:t>a</w:t>
      </w:r>
      <w:r>
        <w:rPr>
          <w:color w:val="231F20"/>
          <w:spacing w:val="-14"/>
          <w:w w:val="105"/>
        </w:rPr>
        <w:t> </w:t>
      </w:r>
      <w:r>
        <w:rPr>
          <w:color w:val="231F20"/>
          <w:spacing w:val="-3"/>
          <w:w w:val="105"/>
        </w:rPr>
        <w:t>nivel</w:t>
      </w:r>
      <w:r>
        <w:rPr>
          <w:color w:val="231F20"/>
          <w:spacing w:val="-14"/>
          <w:w w:val="105"/>
        </w:rPr>
        <w:t> </w:t>
      </w:r>
      <w:r>
        <w:rPr>
          <w:color w:val="231F20"/>
          <w:w w:val="105"/>
        </w:rPr>
        <w:t>municipal</w:t>
      </w:r>
      <w:r>
        <w:rPr>
          <w:color w:val="231F20"/>
          <w:spacing w:val="-14"/>
          <w:w w:val="105"/>
        </w:rPr>
        <w:t> </w:t>
      </w:r>
      <w:r>
        <w:rPr>
          <w:color w:val="231F20"/>
          <w:spacing w:val="-4"/>
          <w:w w:val="105"/>
        </w:rPr>
        <w:t>debido</w:t>
      </w:r>
      <w:r>
        <w:rPr>
          <w:color w:val="231F20"/>
          <w:spacing w:val="-14"/>
          <w:w w:val="105"/>
        </w:rPr>
        <w:t> </w:t>
      </w:r>
      <w:r>
        <w:rPr>
          <w:color w:val="231F20"/>
          <w:w w:val="105"/>
        </w:rPr>
        <w:t>a</w:t>
      </w:r>
      <w:r>
        <w:rPr>
          <w:color w:val="231F20"/>
          <w:spacing w:val="-14"/>
          <w:w w:val="105"/>
        </w:rPr>
        <w:t> </w:t>
      </w:r>
      <w:r>
        <w:rPr>
          <w:color w:val="231F20"/>
          <w:spacing w:val="-3"/>
          <w:w w:val="105"/>
        </w:rPr>
        <w:t>que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caso de</w:t>
      </w:r>
      <w:r>
        <w:rPr>
          <w:color w:val="231F20"/>
          <w:spacing w:val="-19"/>
          <w:w w:val="105"/>
        </w:rPr>
        <w:t> </w:t>
      </w:r>
      <w:r>
        <w:rPr>
          <w:color w:val="231F20"/>
          <w:spacing w:val="-6"/>
          <w:w w:val="105"/>
        </w:rPr>
        <w:t>Tejupilco</w:t>
      </w:r>
      <w:r>
        <w:rPr>
          <w:color w:val="231F20"/>
          <w:spacing w:val="-19"/>
          <w:w w:val="105"/>
        </w:rPr>
        <w:t> </w:t>
      </w:r>
      <w:r>
        <w:rPr>
          <w:color w:val="231F20"/>
          <w:w w:val="105"/>
        </w:rPr>
        <w:t>existe</w:t>
      </w:r>
      <w:r>
        <w:rPr>
          <w:color w:val="231F20"/>
          <w:spacing w:val="-19"/>
          <w:w w:val="105"/>
        </w:rPr>
        <w:t> </w:t>
      </w:r>
      <w:r>
        <w:rPr>
          <w:color w:val="231F20"/>
          <w:w w:val="105"/>
        </w:rPr>
        <w:t>un</w:t>
      </w:r>
      <w:r>
        <w:rPr>
          <w:color w:val="231F20"/>
          <w:spacing w:val="-19"/>
          <w:w w:val="105"/>
        </w:rPr>
        <w:t> </w:t>
      </w:r>
      <w:r>
        <w:rPr>
          <w:color w:val="231F20"/>
          <w:w w:val="105"/>
        </w:rPr>
        <w:t>grupo</w:t>
      </w:r>
      <w:r>
        <w:rPr>
          <w:color w:val="231F20"/>
          <w:spacing w:val="-19"/>
          <w:w w:val="105"/>
        </w:rPr>
        <w:t> </w:t>
      </w:r>
      <w:r>
        <w:rPr>
          <w:color w:val="231F20"/>
          <w:spacing w:val="-4"/>
          <w:w w:val="105"/>
        </w:rPr>
        <w:t>favorecido</w:t>
      </w:r>
      <w:r>
        <w:rPr>
          <w:color w:val="231F20"/>
          <w:spacing w:val="-19"/>
          <w:w w:val="105"/>
        </w:rPr>
        <w:t> </w:t>
      </w: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administración</w:t>
      </w:r>
      <w:r>
        <w:rPr>
          <w:color w:val="231F20"/>
          <w:spacing w:val="-19"/>
          <w:w w:val="105"/>
        </w:rPr>
        <w:t> </w:t>
      </w:r>
      <w:r>
        <w:rPr>
          <w:color w:val="231F20"/>
          <w:w w:val="105"/>
        </w:rPr>
        <w:t>y</w:t>
      </w:r>
      <w:r>
        <w:rPr>
          <w:color w:val="231F20"/>
          <w:spacing w:val="-19"/>
          <w:w w:val="105"/>
        </w:rPr>
        <w:t> </w:t>
      </w:r>
      <w:r>
        <w:rPr>
          <w:color w:val="231F20"/>
          <w:w w:val="105"/>
        </w:rPr>
        <w:t>es</w:t>
      </w:r>
      <w:r>
        <w:rPr>
          <w:color w:val="231F20"/>
          <w:spacing w:val="-19"/>
          <w:w w:val="105"/>
        </w:rPr>
        <w:t> </w:t>
      </w:r>
      <w:r>
        <w:rPr>
          <w:color w:val="231F20"/>
          <w:w w:val="105"/>
        </w:rPr>
        <w:t>el</w:t>
      </w:r>
      <w:r>
        <w:rPr>
          <w:color w:val="231F20"/>
          <w:spacing w:val="-19"/>
          <w:w w:val="105"/>
        </w:rPr>
        <w:t> </w:t>
      </w:r>
      <w:r>
        <w:rPr>
          <w:color w:val="231F20"/>
          <w:w w:val="105"/>
        </w:rPr>
        <w:t>de</w:t>
      </w:r>
      <w:r>
        <w:rPr>
          <w:color w:val="231F20"/>
          <w:spacing w:val="-19"/>
          <w:w w:val="105"/>
        </w:rPr>
        <w:t> </w:t>
      </w:r>
      <w:r>
        <w:rPr>
          <w:color w:val="231F20"/>
          <w:spacing w:val="-3"/>
          <w:w w:val="105"/>
        </w:rPr>
        <w:t>los</w:t>
      </w:r>
      <w:r>
        <w:rPr>
          <w:color w:val="231F20"/>
          <w:spacing w:val="-19"/>
          <w:w w:val="105"/>
        </w:rPr>
        <w:t> </w:t>
      </w:r>
      <w:r>
        <w:rPr>
          <w:color w:val="231F20"/>
          <w:spacing w:val="-4"/>
          <w:w w:val="105"/>
        </w:rPr>
        <w:t>profesores.</w:t>
      </w:r>
    </w:p>
    <w:p>
      <w:pPr>
        <w:pStyle w:val="BodyText"/>
        <w:spacing w:before="1"/>
        <w:rPr>
          <w:sz w:val="26"/>
        </w:rPr>
      </w:pPr>
    </w:p>
    <w:p>
      <w:pPr>
        <w:pStyle w:val="BodyText"/>
        <w:spacing w:line="285" w:lineRule="auto"/>
        <w:ind w:left="110" w:right="107"/>
        <w:jc w:val="both"/>
      </w:pPr>
      <w:r>
        <w:rPr>
          <w:color w:val="231F20"/>
          <w:spacing w:val="3"/>
        </w:rPr>
        <w:t>Al </w:t>
      </w:r>
      <w:r>
        <w:rPr>
          <w:color w:val="231F20"/>
        </w:rPr>
        <w:t>Revolucionario Institucional se le ha cuestionado sobre el abuso de la manipulación,   la movilización y el control de las demandas sociales, pero los partidos de oposición también</w:t>
      </w:r>
      <w:r>
        <w:rPr>
          <w:color w:val="231F20"/>
          <w:spacing w:val="19"/>
        </w:rPr>
        <w:t> </w:t>
      </w:r>
      <w:r>
        <w:rPr>
          <w:color w:val="231F20"/>
        </w:rPr>
        <w:t>han</w:t>
      </w:r>
      <w:r>
        <w:rPr>
          <w:color w:val="231F20"/>
          <w:spacing w:val="19"/>
        </w:rPr>
        <w:t> </w:t>
      </w:r>
      <w:r>
        <w:rPr>
          <w:color w:val="231F20"/>
        </w:rPr>
        <w:t>utilizado</w:t>
      </w:r>
      <w:r>
        <w:rPr>
          <w:color w:val="231F20"/>
          <w:spacing w:val="19"/>
        </w:rPr>
        <w:t> </w:t>
      </w:r>
      <w:r>
        <w:rPr>
          <w:color w:val="231F20"/>
        </w:rPr>
        <w:t>este</w:t>
      </w:r>
      <w:r>
        <w:rPr>
          <w:color w:val="231F20"/>
          <w:spacing w:val="19"/>
        </w:rPr>
        <w:t> </w:t>
      </w:r>
      <w:r>
        <w:rPr>
          <w:color w:val="231F20"/>
        </w:rPr>
        <w:t>tipo</w:t>
      </w:r>
      <w:r>
        <w:rPr>
          <w:color w:val="231F20"/>
          <w:spacing w:val="19"/>
        </w:rPr>
        <w:t> </w:t>
      </w:r>
      <w:r>
        <w:rPr>
          <w:color w:val="231F20"/>
        </w:rPr>
        <w:t>de</w:t>
      </w:r>
      <w:r>
        <w:rPr>
          <w:color w:val="231F20"/>
          <w:spacing w:val="19"/>
        </w:rPr>
        <w:t> </w:t>
      </w:r>
      <w:r>
        <w:rPr>
          <w:color w:val="231F20"/>
        </w:rPr>
        <w:t>recursos</w:t>
      </w:r>
      <w:r>
        <w:rPr>
          <w:color w:val="231F20"/>
          <w:spacing w:val="19"/>
        </w:rPr>
        <w:t> </w:t>
      </w:r>
      <w:r>
        <w:rPr>
          <w:color w:val="231F20"/>
        </w:rPr>
        <w:t>para</w:t>
      </w:r>
      <w:r>
        <w:rPr>
          <w:color w:val="231F20"/>
          <w:spacing w:val="19"/>
        </w:rPr>
        <w:t> </w:t>
      </w:r>
      <w:r>
        <w:rPr>
          <w:color w:val="231F20"/>
        </w:rPr>
        <w:t>llegar</w:t>
      </w:r>
      <w:r>
        <w:rPr>
          <w:color w:val="231F20"/>
          <w:spacing w:val="19"/>
        </w:rPr>
        <w:t> </w:t>
      </w:r>
      <w:r>
        <w:rPr>
          <w:color w:val="231F20"/>
        </w:rPr>
        <w:t>o</w:t>
      </w:r>
      <w:r>
        <w:rPr>
          <w:color w:val="231F20"/>
          <w:spacing w:val="19"/>
        </w:rPr>
        <w:t> </w:t>
      </w:r>
      <w:r>
        <w:rPr>
          <w:color w:val="231F20"/>
        </w:rPr>
        <w:t>mantenerse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poder,</w:t>
      </w:r>
      <w:r>
        <w:rPr>
          <w:color w:val="231F20"/>
          <w:spacing w:val="19"/>
        </w:rPr>
        <w:t> </w:t>
      </w:r>
      <w:r>
        <w:rPr>
          <w:color w:val="231F20"/>
        </w:rPr>
        <w:t>por</w:t>
      </w:r>
      <w:r>
        <w:rPr>
          <w:color w:val="231F20"/>
          <w:spacing w:val="19"/>
        </w:rPr>
        <w:t> </w:t>
      </w:r>
      <w:r>
        <w:rPr>
          <w:color w:val="231F20"/>
        </w:rPr>
        <w:t>lo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6"/>
        <w:jc w:val="both"/>
      </w:pPr>
      <w:r>
        <w:rPr>
          <w:color w:val="231F20"/>
          <w:w w:val="105"/>
        </w:rPr>
        <w:t>que</w:t>
      </w:r>
      <w:r>
        <w:rPr>
          <w:color w:val="231F20"/>
          <w:spacing w:val="-14"/>
          <w:w w:val="105"/>
        </w:rPr>
        <w:t> </w:t>
      </w:r>
      <w:r>
        <w:rPr>
          <w:color w:val="231F20"/>
          <w:w w:val="105"/>
        </w:rPr>
        <w:t>esta</w:t>
      </w:r>
      <w:r>
        <w:rPr>
          <w:color w:val="231F20"/>
          <w:spacing w:val="-14"/>
          <w:w w:val="105"/>
        </w:rPr>
        <w:t> </w:t>
      </w:r>
      <w:r>
        <w:rPr>
          <w:color w:val="231F20"/>
          <w:w w:val="105"/>
        </w:rPr>
        <w:t>situación</w:t>
      </w:r>
      <w:r>
        <w:rPr>
          <w:color w:val="231F20"/>
          <w:spacing w:val="-14"/>
          <w:w w:val="105"/>
        </w:rPr>
        <w:t> </w:t>
      </w:r>
      <w:r>
        <w:rPr>
          <w:color w:val="231F20"/>
          <w:w w:val="105"/>
        </w:rPr>
        <w:t>ya</w:t>
      </w:r>
      <w:r>
        <w:rPr>
          <w:color w:val="231F20"/>
          <w:spacing w:val="-14"/>
          <w:w w:val="105"/>
        </w:rPr>
        <w:t> </w:t>
      </w:r>
      <w:r>
        <w:rPr>
          <w:color w:val="231F20"/>
          <w:w w:val="105"/>
        </w:rPr>
        <w:t>no</w:t>
      </w:r>
      <w:r>
        <w:rPr>
          <w:color w:val="231F20"/>
          <w:spacing w:val="-14"/>
          <w:w w:val="105"/>
        </w:rPr>
        <w:t> </w:t>
      </w:r>
      <w:r>
        <w:rPr>
          <w:color w:val="231F20"/>
          <w:w w:val="105"/>
        </w:rPr>
        <w:t>sería</w:t>
      </w:r>
      <w:r>
        <w:rPr>
          <w:color w:val="231F20"/>
          <w:spacing w:val="-14"/>
          <w:w w:val="105"/>
        </w:rPr>
        <w:t> </w:t>
      </w:r>
      <w:r>
        <w:rPr>
          <w:color w:val="231F20"/>
          <w:w w:val="105"/>
        </w:rPr>
        <w:t>exclusiva</w:t>
      </w:r>
      <w:r>
        <w:rPr>
          <w:color w:val="231F20"/>
          <w:spacing w:val="-14"/>
          <w:w w:val="105"/>
        </w:rPr>
        <w:t> </w:t>
      </w:r>
      <w:r>
        <w:rPr>
          <w:color w:val="231F20"/>
          <w:w w:val="105"/>
        </w:rPr>
        <w:t>de</w:t>
      </w:r>
      <w:r>
        <w:rPr>
          <w:color w:val="231F20"/>
          <w:spacing w:val="-14"/>
          <w:w w:val="105"/>
        </w:rPr>
        <w:t> </w:t>
      </w:r>
      <w:r>
        <w:rPr>
          <w:color w:val="231F20"/>
          <w:w w:val="105"/>
        </w:rPr>
        <w:t>este</w:t>
      </w:r>
      <w:r>
        <w:rPr>
          <w:color w:val="231F20"/>
          <w:spacing w:val="-14"/>
          <w:w w:val="105"/>
        </w:rPr>
        <w:t> </w:t>
      </w:r>
      <w:r>
        <w:rPr>
          <w:color w:val="231F20"/>
          <w:w w:val="105"/>
        </w:rPr>
        <w:t>partido</w:t>
      </w:r>
      <w:r>
        <w:rPr>
          <w:color w:val="231F20"/>
          <w:spacing w:val="-14"/>
          <w:w w:val="105"/>
        </w:rPr>
        <w:t> </w:t>
      </w:r>
      <w:r>
        <w:rPr>
          <w:color w:val="231F20"/>
          <w:w w:val="105"/>
        </w:rPr>
        <w:t>político.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w:t>
      </w:r>
      <w:r>
        <w:rPr>
          <w:color w:val="231F20"/>
          <w:spacing w:val="-14"/>
          <w:w w:val="105"/>
        </w:rPr>
        <w:t> </w:t>
      </w:r>
      <w:r>
        <w:rPr>
          <w:color w:val="231F20"/>
          <w:spacing w:val="-4"/>
          <w:w w:val="105"/>
        </w:rPr>
        <w:t>Tejupilco, </w:t>
      </w:r>
      <w:r>
        <w:rPr>
          <w:color w:val="231F20"/>
          <w:w w:val="105"/>
        </w:rPr>
        <w:t>el</w:t>
      </w:r>
      <w:r>
        <w:rPr>
          <w:color w:val="231F20"/>
          <w:spacing w:val="-6"/>
          <w:w w:val="105"/>
        </w:rPr>
        <w:t> </w:t>
      </w:r>
      <w:r>
        <w:rPr>
          <w:color w:val="231F20"/>
          <w:w w:val="105"/>
        </w:rPr>
        <w:t>PRI</w:t>
      </w:r>
      <w:r>
        <w:rPr>
          <w:color w:val="231F20"/>
          <w:spacing w:val="-6"/>
          <w:w w:val="105"/>
        </w:rPr>
        <w:t> </w:t>
      </w:r>
      <w:r>
        <w:rPr>
          <w:color w:val="231F20"/>
          <w:w w:val="105"/>
        </w:rPr>
        <w:t>se</w:t>
      </w:r>
      <w:r>
        <w:rPr>
          <w:color w:val="231F20"/>
          <w:spacing w:val="-6"/>
          <w:w w:val="105"/>
        </w:rPr>
        <w:t> </w:t>
      </w:r>
      <w:r>
        <w:rPr>
          <w:color w:val="231F20"/>
          <w:w w:val="105"/>
        </w:rPr>
        <w:t>considera</w:t>
      </w:r>
      <w:r>
        <w:rPr>
          <w:color w:val="231F20"/>
          <w:spacing w:val="-6"/>
          <w:w w:val="105"/>
        </w:rPr>
        <w:t> </w:t>
      </w:r>
      <w:r>
        <w:rPr>
          <w:color w:val="231F20"/>
          <w:w w:val="105"/>
        </w:rPr>
        <w:t>como</w:t>
      </w:r>
      <w:r>
        <w:rPr>
          <w:color w:val="231F20"/>
          <w:spacing w:val="-6"/>
          <w:w w:val="105"/>
        </w:rPr>
        <w:t> </w:t>
      </w:r>
      <w:r>
        <w:rPr>
          <w:color w:val="231F20"/>
          <w:w w:val="105"/>
        </w:rPr>
        <w:t>una</w:t>
      </w:r>
      <w:r>
        <w:rPr>
          <w:color w:val="231F20"/>
          <w:spacing w:val="-6"/>
          <w:w w:val="105"/>
        </w:rPr>
        <w:t> </w:t>
      </w:r>
      <w:r>
        <w:rPr>
          <w:color w:val="231F20"/>
          <w:w w:val="105"/>
        </w:rPr>
        <w:t>opción</w:t>
      </w:r>
      <w:r>
        <w:rPr>
          <w:color w:val="231F20"/>
          <w:spacing w:val="-6"/>
          <w:w w:val="105"/>
        </w:rPr>
        <w:t> </w:t>
      </w:r>
      <w:r>
        <w:rPr>
          <w:color w:val="231F20"/>
          <w:w w:val="105"/>
        </w:rPr>
        <w:t>viable</w:t>
      </w:r>
      <w:r>
        <w:rPr>
          <w:color w:val="231F20"/>
          <w:spacing w:val="-6"/>
          <w:w w:val="105"/>
        </w:rPr>
        <w:t> </w:t>
      </w:r>
      <w:r>
        <w:rPr>
          <w:color w:val="231F20"/>
          <w:w w:val="105"/>
        </w:rPr>
        <w:t>y</w:t>
      </w:r>
      <w:r>
        <w:rPr>
          <w:color w:val="231F20"/>
          <w:spacing w:val="-6"/>
          <w:w w:val="105"/>
        </w:rPr>
        <w:t> </w:t>
      </w:r>
      <w:r>
        <w:rPr>
          <w:color w:val="231F20"/>
          <w:w w:val="105"/>
        </w:rPr>
        <w:t>fuerte</w:t>
      </w:r>
      <w:r>
        <w:rPr>
          <w:color w:val="231F20"/>
          <w:spacing w:val="-6"/>
          <w:w w:val="105"/>
        </w:rPr>
        <w:t> </w:t>
      </w:r>
      <w:r>
        <w:rPr>
          <w:color w:val="231F20"/>
          <w:w w:val="105"/>
        </w:rPr>
        <w:t>debido</w:t>
      </w:r>
      <w:r>
        <w:rPr>
          <w:color w:val="231F20"/>
          <w:spacing w:val="-6"/>
          <w:w w:val="105"/>
        </w:rPr>
        <w:t> </w:t>
      </w:r>
      <w:r>
        <w:rPr>
          <w:color w:val="231F20"/>
          <w:w w:val="105"/>
        </w:rPr>
        <w:t>a</w:t>
      </w:r>
      <w:r>
        <w:rPr>
          <w:color w:val="231F20"/>
          <w:spacing w:val="-6"/>
          <w:w w:val="105"/>
        </w:rPr>
        <w:t> </w:t>
      </w:r>
      <w:r>
        <w:rPr>
          <w:color w:val="231F20"/>
          <w:w w:val="105"/>
        </w:rPr>
        <w:t>que</w:t>
      </w:r>
      <w:r>
        <w:rPr>
          <w:color w:val="231F20"/>
          <w:spacing w:val="-6"/>
          <w:w w:val="105"/>
        </w:rPr>
        <w:t> </w:t>
      </w:r>
      <w:r>
        <w:rPr>
          <w:color w:val="231F20"/>
          <w:w w:val="105"/>
        </w:rPr>
        <w:t>tuvo</w:t>
      </w:r>
      <w:r>
        <w:rPr>
          <w:color w:val="231F20"/>
          <w:spacing w:val="-6"/>
          <w:w w:val="105"/>
        </w:rPr>
        <w:t> </w:t>
      </w:r>
      <w:r>
        <w:rPr>
          <w:color w:val="231F20"/>
          <w:w w:val="105"/>
        </w:rPr>
        <w:t>la</w:t>
      </w:r>
      <w:r>
        <w:rPr>
          <w:color w:val="231F20"/>
          <w:spacing w:val="-6"/>
          <w:w w:val="105"/>
        </w:rPr>
        <w:t> </w:t>
      </w:r>
      <w:r>
        <w:rPr>
          <w:color w:val="231F20"/>
          <w:w w:val="105"/>
        </w:rPr>
        <w:t>capacidad</w:t>
      </w:r>
      <w:r>
        <w:rPr>
          <w:color w:val="231F20"/>
          <w:spacing w:val="-6"/>
          <w:w w:val="105"/>
        </w:rPr>
        <w:t> </w:t>
      </w:r>
      <w:r>
        <w:rPr>
          <w:color w:val="231F20"/>
          <w:w w:val="105"/>
        </w:rPr>
        <w:t>de recuperar el</w:t>
      </w:r>
      <w:r>
        <w:rPr>
          <w:color w:val="231F20"/>
          <w:spacing w:val="-10"/>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w w:val="105"/>
        </w:rPr>
        <w:t>Aunque</w:t>
      </w:r>
      <w:r>
        <w:rPr>
          <w:color w:val="231F20"/>
          <w:spacing w:val="-6"/>
          <w:w w:val="105"/>
        </w:rPr>
        <w:t> </w:t>
      </w:r>
      <w:r>
        <w:rPr>
          <w:color w:val="231F20"/>
          <w:w w:val="105"/>
        </w:rPr>
        <w:t>el</w:t>
      </w:r>
      <w:r>
        <w:rPr>
          <w:color w:val="231F20"/>
          <w:spacing w:val="-6"/>
          <w:w w:val="105"/>
        </w:rPr>
        <w:t> </w:t>
      </w:r>
      <w:r>
        <w:rPr>
          <w:color w:val="231F20"/>
          <w:w w:val="105"/>
        </w:rPr>
        <w:t>partido</w:t>
      </w:r>
      <w:r>
        <w:rPr>
          <w:color w:val="231F20"/>
          <w:spacing w:val="-6"/>
          <w:w w:val="105"/>
        </w:rPr>
        <w:t> </w:t>
      </w:r>
      <w:r>
        <w:rPr>
          <w:color w:val="231F20"/>
          <w:w w:val="105"/>
        </w:rPr>
        <w:t>estipula</w:t>
      </w:r>
      <w:r>
        <w:rPr>
          <w:color w:val="231F20"/>
          <w:spacing w:val="-6"/>
          <w:w w:val="105"/>
        </w:rPr>
        <w:t> </w:t>
      </w:r>
      <w:r>
        <w:rPr>
          <w:color w:val="231F20"/>
          <w:w w:val="105"/>
        </w:rPr>
        <w:t>en</w:t>
      </w:r>
      <w:r>
        <w:rPr>
          <w:color w:val="231F20"/>
          <w:spacing w:val="-6"/>
          <w:w w:val="105"/>
        </w:rPr>
        <w:t> </w:t>
      </w:r>
      <w:r>
        <w:rPr>
          <w:color w:val="231F20"/>
          <w:w w:val="105"/>
        </w:rPr>
        <w:t>sus</w:t>
      </w:r>
      <w:r>
        <w:rPr>
          <w:color w:val="231F20"/>
          <w:spacing w:val="-6"/>
          <w:w w:val="105"/>
        </w:rPr>
        <w:t> </w:t>
      </w:r>
      <w:r>
        <w:rPr>
          <w:color w:val="231F20"/>
          <w:w w:val="105"/>
        </w:rPr>
        <w:t>principios</w:t>
      </w:r>
      <w:r>
        <w:rPr>
          <w:color w:val="231F20"/>
          <w:spacing w:val="-6"/>
          <w:w w:val="105"/>
        </w:rPr>
        <w:t> </w:t>
      </w:r>
      <w:r>
        <w:rPr>
          <w:color w:val="231F20"/>
          <w:w w:val="105"/>
        </w:rPr>
        <w:t>que</w:t>
      </w:r>
      <w:r>
        <w:rPr>
          <w:color w:val="231F20"/>
          <w:spacing w:val="-6"/>
          <w:w w:val="105"/>
        </w:rPr>
        <w:t> </w:t>
      </w:r>
      <w:r>
        <w:rPr>
          <w:color w:val="231F20"/>
          <w:w w:val="105"/>
        </w:rPr>
        <w:t>busca</w:t>
      </w:r>
      <w:r>
        <w:rPr>
          <w:color w:val="231F20"/>
          <w:spacing w:val="-6"/>
          <w:w w:val="105"/>
        </w:rPr>
        <w:t> </w:t>
      </w:r>
      <w:r>
        <w:rPr>
          <w:color w:val="231F20"/>
          <w:w w:val="105"/>
        </w:rPr>
        <w:t>un</w:t>
      </w:r>
      <w:r>
        <w:rPr>
          <w:color w:val="231F20"/>
          <w:spacing w:val="-6"/>
          <w:w w:val="105"/>
        </w:rPr>
        <w:t> </w:t>
      </w:r>
      <w:r>
        <w:rPr>
          <w:color w:val="231F20"/>
          <w:w w:val="105"/>
        </w:rPr>
        <w:t>Estado</w:t>
      </w:r>
      <w:r>
        <w:rPr>
          <w:color w:val="231F20"/>
          <w:spacing w:val="-6"/>
          <w:w w:val="105"/>
        </w:rPr>
        <w:t> </w:t>
      </w:r>
      <w:r>
        <w:rPr>
          <w:color w:val="231F20"/>
          <w:w w:val="105"/>
        </w:rPr>
        <w:t>que</w:t>
      </w:r>
      <w:r>
        <w:rPr>
          <w:color w:val="231F20"/>
          <w:spacing w:val="-6"/>
          <w:w w:val="105"/>
        </w:rPr>
        <w:t> </w:t>
      </w:r>
      <w:r>
        <w:rPr>
          <w:color w:val="231F20"/>
          <w:w w:val="105"/>
        </w:rPr>
        <w:t>garantice</w:t>
      </w:r>
      <w:r>
        <w:rPr>
          <w:color w:val="231F20"/>
          <w:spacing w:val="-6"/>
          <w:w w:val="105"/>
        </w:rPr>
        <w:t> </w:t>
      </w:r>
      <w:r>
        <w:rPr>
          <w:color w:val="231F20"/>
          <w:w w:val="105"/>
        </w:rPr>
        <w:t>el</w:t>
      </w:r>
      <w:r>
        <w:rPr>
          <w:color w:val="231F20"/>
          <w:spacing w:val="-6"/>
          <w:w w:val="105"/>
        </w:rPr>
        <w:t> </w:t>
      </w:r>
      <w:r>
        <w:rPr>
          <w:color w:val="231F20"/>
          <w:w w:val="105"/>
        </w:rPr>
        <w:t>pac- to federal a través del fortalecimiento de las entidades federativas y el municipio libre (PRI,</w:t>
      </w:r>
      <w:r>
        <w:rPr>
          <w:color w:val="231F20"/>
          <w:spacing w:val="-5"/>
          <w:w w:val="105"/>
        </w:rPr>
        <w:t> </w:t>
      </w:r>
      <w:r>
        <w:rPr>
          <w:color w:val="231F20"/>
          <w:spacing w:val="2"/>
          <w:w w:val="105"/>
        </w:rPr>
        <w:t>2008:</w:t>
      </w:r>
      <w:r>
        <w:rPr>
          <w:color w:val="231F20"/>
          <w:spacing w:val="-5"/>
          <w:w w:val="105"/>
        </w:rPr>
        <w:t> </w:t>
      </w:r>
      <w:r>
        <w:rPr>
          <w:color w:val="231F20"/>
          <w:spacing w:val="-7"/>
          <w:w w:val="105"/>
        </w:rPr>
        <w:t>1),</w:t>
      </w:r>
      <w:r>
        <w:rPr>
          <w:color w:val="231F20"/>
          <w:spacing w:val="-5"/>
          <w:w w:val="105"/>
        </w:rPr>
        <w:t> </w:t>
      </w:r>
      <w:r>
        <w:rPr>
          <w:color w:val="231F20"/>
          <w:w w:val="105"/>
        </w:rPr>
        <w:t>apreciamos</w:t>
      </w:r>
      <w:r>
        <w:rPr>
          <w:color w:val="231F20"/>
          <w:spacing w:val="-5"/>
          <w:w w:val="105"/>
        </w:rPr>
        <w:t> </w:t>
      </w:r>
      <w:r>
        <w:rPr>
          <w:color w:val="231F20"/>
          <w:w w:val="105"/>
        </w:rPr>
        <w:t>que</w:t>
      </w:r>
      <w:r>
        <w:rPr>
          <w:color w:val="231F20"/>
          <w:spacing w:val="-5"/>
          <w:w w:val="105"/>
        </w:rPr>
        <w:t> </w:t>
      </w:r>
      <w:r>
        <w:rPr>
          <w:color w:val="231F20"/>
          <w:w w:val="105"/>
        </w:rPr>
        <w:t>en</w:t>
      </w:r>
      <w:r>
        <w:rPr>
          <w:color w:val="231F20"/>
          <w:spacing w:val="-5"/>
          <w:w w:val="105"/>
        </w:rPr>
        <w:t> </w:t>
      </w:r>
      <w:r>
        <w:rPr>
          <w:color w:val="231F20"/>
          <w:spacing w:val="-4"/>
          <w:w w:val="105"/>
        </w:rPr>
        <w:t>Tejupilco</w:t>
      </w:r>
      <w:r>
        <w:rPr>
          <w:color w:val="231F20"/>
          <w:spacing w:val="-5"/>
          <w:w w:val="105"/>
        </w:rPr>
        <w:t> </w:t>
      </w:r>
      <w:r>
        <w:rPr>
          <w:color w:val="231F20"/>
          <w:w w:val="105"/>
        </w:rPr>
        <w:t>se</w:t>
      </w:r>
      <w:r>
        <w:rPr>
          <w:color w:val="231F20"/>
          <w:spacing w:val="-5"/>
          <w:w w:val="105"/>
        </w:rPr>
        <w:t> </w:t>
      </w:r>
      <w:r>
        <w:rPr>
          <w:color w:val="231F20"/>
          <w:w w:val="105"/>
        </w:rPr>
        <w:t>carece</w:t>
      </w:r>
      <w:r>
        <w:rPr>
          <w:color w:val="231F20"/>
          <w:spacing w:val="-5"/>
          <w:w w:val="105"/>
        </w:rPr>
        <w:t> </w:t>
      </w:r>
      <w:r>
        <w:rPr>
          <w:color w:val="231F20"/>
          <w:w w:val="105"/>
        </w:rPr>
        <w:t>de</w:t>
      </w:r>
      <w:r>
        <w:rPr>
          <w:color w:val="231F20"/>
          <w:spacing w:val="-5"/>
          <w:w w:val="105"/>
        </w:rPr>
        <w:t> </w:t>
      </w:r>
      <w:r>
        <w:rPr>
          <w:color w:val="231F20"/>
          <w:w w:val="105"/>
        </w:rPr>
        <w:t>dicho</w:t>
      </w:r>
      <w:r>
        <w:rPr>
          <w:color w:val="231F20"/>
          <w:spacing w:val="-5"/>
          <w:w w:val="105"/>
        </w:rPr>
        <w:t> </w:t>
      </w:r>
      <w:r>
        <w:rPr>
          <w:color w:val="231F20"/>
          <w:w w:val="105"/>
        </w:rPr>
        <w:t>fortalecimiento</w:t>
      </w:r>
      <w:r>
        <w:rPr>
          <w:color w:val="231F20"/>
          <w:spacing w:val="-5"/>
          <w:w w:val="105"/>
        </w:rPr>
        <w:t> </w:t>
      </w:r>
      <w:r>
        <w:rPr>
          <w:color w:val="231F20"/>
          <w:w w:val="105"/>
        </w:rPr>
        <w:t>debido a que aún existe la </w:t>
      </w:r>
      <w:r>
        <w:rPr>
          <w:color w:val="231F20"/>
          <w:spacing w:val="-3"/>
          <w:w w:val="105"/>
        </w:rPr>
        <w:t>reproducción </w:t>
      </w:r>
      <w:r>
        <w:rPr>
          <w:color w:val="231F20"/>
          <w:w w:val="105"/>
        </w:rPr>
        <w:t>de las viejas prácticas en </w:t>
      </w:r>
      <w:r>
        <w:rPr>
          <w:color w:val="231F20"/>
          <w:spacing w:val="-3"/>
          <w:w w:val="105"/>
        </w:rPr>
        <w:t>donde </w:t>
      </w:r>
      <w:r>
        <w:rPr>
          <w:color w:val="231F20"/>
          <w:w w:val="105"/>
        </w:rPr>
        <w:t>se muestra una clara tendencia</w:t>
      </w:r>
      <w:r>
        <w:rPr>
          <w:color w:val="231F20"/>
          <w:spacing w:val="-17"/>
          <w:w w:val="105"/>
        </w:rPr>
        <w:t> </w:t>
      </w:r>
      <w:r>
        <w:rPr>
          <w:color w:val="231F20"/>
          <w:w w:val="105"/>
        </w:rPr>
        <w:t>de</w:t>
      </w:r>
      <w:r>
        <w:rPr>
          <w:color w:val="231F20"/>
          <w:spacing w:val="-17"/>
          <w:w w:val="105"/>
        </w:rPr>
        <w:t> </w:t>
      </w:r>
      <w:r>
        <w:rPr>
          <w:color w:val="231F20"/>
          <w:w w:val="105"/>
        </w:rPr>
        <w:t>favoritismo</w:t>
      </w:r>
      <w:r>
        <w:rPr>
          <w:color w:val="231F20"/>
          <w:spacing w:val="-18"/>
          <w:w w:val="105"/>
        </w:rPr>
        <w:t> </w:t>
      </w:r>
      <w:r>
        <w:rPr>
          <w:color w:val="231F20"/>
          <w:w w:val="105"/>
        </w:rPr>
        <w:t>por</w:t>
      </w:r>
      <w:r>
        <w:rPr>
          <w:color w:val="231F20"/>
          <w:spacing w:val="-17"/>
          <w:w w:val="105"/>
        </w:rPr>
        <w:t> </w:t>
      </w:r>
      <w:r>
        <w:rPr>
          <w:color w:val="231F20"/>
          <w:w w:val="105"/>
        </w:rPr>
        <w:t>parte</w:t>
      </w:r>
      <w:r>
        <w:rPr>
          <w:color w:val="231F20"/>
          <w:spacing w:val="-17"/>
          <w:w w:val="105"/>
        </w:rPr>
        <w:t> </w:t>
      </w:r>
      <w:r>
        <w:rPr>
          <w:color w:val="231F20"/>
          <w:w w:val="105"/>
        </w:rPr>
        <w:t>de</w:t>
      </w:r>
      <w:r>
        <w:rPr>
          <w:color w:val="231F20"/>
          <w:spacing w:val="-18"/>
          <w:w w:val="105"/>
        </w:rPr>
        <w:t> </w:t>
      </w:r>
      <w:r>
        <w:rPr>
          <w:color w:val="231F20"/>
          <w:w w:val="105"/>
        </w:rPr>
        <w:t>Ejecutivo</w:t>
      </w:r>
      <w:r>
        <w:rPr>
          <w:color w:val="231F20"/>
          <w:spacing w:val="-18"/>
          <w:w w:val="105"/>
        </w:rPr>
        <w:t> </w:t>
      </w:r>
      <w:r>
        <w:rPr>
          <w:color w:val="231F20"/>
          <w:w w:val="105"/>
        </w:rPr>
        <w:t>local</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designación</w:t>
      </w:r>
      <w:r>
        <w:rPr>
          <w:color w:val="231F20"/>
          <w:spacing w:val="-17"/>
          <w:w w:val="105"/>
        </w:rPr>
        <w:t> </w:t>
      </w:r>
      <w:r>
        <w:rPr>
          <w:color w:val="231F20"/>
          <w:w w:val="105"/>
        </w:rPr>
        <w:t>de</w:t>
      </w:r>
      <w:r>
        <w:rPr>
          <w:color w:val="231F20"/>
          <w:spacing w:val="-18"/>
          <w:w w:val="105"/>
        </w:rPr>
        <w:t> </w:t>
      </w:r>
      <w:r>
        <w:rPr>
          <w:color w:val="231F20"/>
          <w:w w:val="105"/>
        </w:rPr>
        <w:t>candidatos, además</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se</w:t>
      </w:r>
      <w:r>
        <w:rPr>
          <w:color w:val="231F20"/>
          <w:spacing w:val="-14"/>
          <w:w w:val="105"/>
        </w:rPr>
        <w:t> </w:t>
      </w:r>
      <w:r>
        <w:rPr>
          <w:color w:val="231F20"/>
          <w:w w:val="105"/>
        </w:rPr>
        <w:t>ve</w:t>
      </w:r>
      <w:r>
        <w:rPr>
          <w:color w:val="231F20"/>
          <w:spacing w:val="-14"/>
          <w:w w:val="105"/>
        </w:rPr>
        <w:t> </w:t>
      </w:r>
      <w:r>
        <w:rPr>
          <w:color w:val="231F20"/>
          <w:w w:val="105"/>
        </w:rPr>
        <w:t>limitado</w:t>
      </w:r>
      <w:r>
        <w:rPr>
          <w:color w:val="231F20"/>
          <w:spacing w:val="-14"/>
          <w:w w:val="105"/>
        </w:rPr>
        <w:t> </w:t>
      </w:r>
      <w:r>
        <w:rPr>
          <w:color w:val="231F20"/>
          <w:w w:val="105"/>
        </w:rPr>
        <w:t>financieramente</w:t>
      </w:r>
      <w:r>
        <w:rPr>
          <w:color w:val="231F20"/>
          <w:spacing w:val="-14"/>
          <w:w w:val="105"/>
        </w:rPr>
        <w:t> </w:t>
      </w:r>
      <w:r>
        <w:rPr>
          <w:color w:val="231F20"/>
          <w:w w:val="105"/>
        </w:rPr>
        <w:t>en</w:t>
      </w:r>
      <w:r>
        <w:rPr>
          <w:color w:val="231F20"/>
          <w:spacing w:val="-14"/>
          <w:w w:val="105"/>
        </w:rPr>
        <w:t> </w:t>
      </w:r>
      <w:r>
        <w:rPr>
          <w:color w:val="231F20"/>
          <w:w w:val="105"/>
        </w:rPr>
        <w:t>cuanto</w:t>
      </w:r>
      <w:r>
        <w:rPr>
          <w:color w:val="231F20"/>
          <w:spacing w:val="-14"/>
          <w:w w:val="105"/>
        </w:rPr>
        <w:t> </w:t>
      </w:r>
      <w:r>
        <w:rPr>
          <w:color w:val="231F20"/>
          <w:w w:val="105"/>
        </w:rPr>
        <w:t>la</w:t>
      </w:r>
      <w:r>
        <w:rPr>
          <w:color w:val="231F20"/>
          <w:spacing w:val="-14"/>
          <w:w w:val="105"/>
        </w:rPr>
        <w:t> </w:t>
      </w:r>
      <w:r>
        <w:rPr>
          <w:color w:val="231F20"/>
          <w:w w:val="105"/>
        </w:rPr>
        <w:t>mayor</w:t>
      </w:r>
      <w:r>
        <w:rPr>
          <w:color w:val="231F20"/>
          <w:spacing w:val="-14"/>
          <w:w w:val="105"/>
        </w:rPr>
        <w:t> </w:t>
      </w:r>
      <w:r>
        <w:rPr>
          <w:color w:val="231F20"/>
          <w:w w:val="105"/>
        </w:rPr>
        <w:t>parte</w:t>
      </w:r>
      <w:r>
        <w:rPr>
          <w:color w:val="231F20"/>
          <w:spacing w:val="-14"/>
          <w:w w:val="105"/>
        </w:rPr>
        <w:t> </w:t>
      </w:r>
      <w:r>
        <w:rPr>
          <w:color w:val="231F20"/>
          <w:w w:val="105"/>
        </w:rPr>
        <w:t>de sus</w:t>
      </w:r>
      <w:r>
        <w:rPr>
          <w:color w:val="231F20"/>
          <w:spacing w:val="-20"/>
          <w:w w:val="105"/>
        </w:rPr>
        <w:t> </w:t>
      </w:r>
      <w:r>
        <w:rPr>
          <w:color w:val="231F20"/>
          <w:w w:val="105"/>
        </w:rPr>
        <w:t>ingresos</w:t>
      </w:r>
      <w:r>
        <w:rPr>
          <w:color w:val="231F20"/>
          <w:spacing w:val="-20"/>
          <w:w w:val="105"/>
        </w:rPr>
        <w:t> </w:t>
      </w:r>
      <w:r>
        <w:rPr>
          <w:color w:val="231F20"/>
          <w:w w:val="105"/>
        </w:rPr>
        <w:t>son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Ejecutivos</w:t>
      </w:r>
      <w:r>
        <w:rPr>
          <w:color w:val="231F20"/>
          <w:spacing w:val="-20"/>
          <w:w w:val="105"/>
        </w:rPr>
        <w:t> </w:t>
      </w:r>
      <w:r>
        <w:rPr>
          <w:color w:val="231F20"/>
          <w:w w:val="105"/>
        </w:rPr>
        <w:t>federal</w:t>
      </w:r>
      <w:r>
        <w:rPr>
          <w:color w:val="231F20"/>
          <w:spacing w:val="-20"/>
          <w:w w:val="105"/>
        </w:rPr>
        <w:t> </w:t>
      </w:r>
      <w:r>
        <w:rPr>
          <w:color w:val="231F20"/>
          <w:w w:val="105"/>
        </w:rPr>
        <w:t>y</w:t>
      </w:r>
      <w:r>
        <w:rPr>
          <w:color w:val="231F20"/>
          <w:spacing w:val="-20"/>
          <w:w w:val="105"/>
        </w:rPr>
        <w:t> </w:t>
      </w:r>
      <w:r>
        <w:rPr>
          <w:color w:val="231F20"/>
          <w:w w:val="105"/>
        </w:rPr>
        <w:t>estatal.</w:t>
      </w:r>
    </w:p>
    <w:p>
      <w:pPr>
        <w:pStyle w:val="BodyText"/>
        <w:spacing w:before="1"/>
        <w:rPr>
          <w:sz w:val="26"/>
        </w:rPr>
      </w:pPr>
    </w:p>
    <w:p>
      <w:pPr>
        <w:pStyle w:val="BodyText"/>
        <w:spacing w:line="285" w:lineRule="auto"/>
        <w:ind w:left="110" w:right="107"/>
        <w:jc w:val="both"/>
      </w:pPr>
      <w:r>
        <w:rPr>
          <w:color w:val="231F20"/>
          <w:spacing w:val="-4"/>
          <w:w w:val="105"/>
        </w:rPr>
        <w:t>Como </w:t>
      </w:r>
      <w:r>
        <w:rPr>
          <w:color w:val="231F20"/>
          <w:spacing w:val="-5"/>
          <w:w w:val="105"/>
        </w:rPr>
        <w:t>veremos </w:t>
      </w:r>
      <w:r>
        <w:rPr>
          <w:color w:val="231F20"/>
          <w:spacing w:val="-3"/>
          <w:w w:val="105"/>
        </w:rPr>
        <w:t>en los siguientes apartados, </w:t>
      </w:r>
      <w:r>
        <w:rPr>
          <w:color w:val="231F20"/>
          <w:w w:val="105"/>
        </w:rPr>
        <w:t>es </w:t>
      </w:r>
      <w:r>
        <w:rPr>
          <w:color w:val="231F20"/>
          <w:spacing w:val="-4"/>
          <w:w w:val="105"/>
        </w:rPr>
        <w:t>muy </w:t>
      </w:r>
      <w:r>
        <w:rPr>
          <w:color w:val="231F20"/>
          <w:w w:val="105"/>
        </w:rPr>
        <w:t>difícil </w:t>
      </w:r>
      <w:r>
        <w:rPr>
          <w:color w:val="231F20"/>
          <w:spacing w:val="-3"/>
          <w:w w:val="105"/>
        </w:rPr>
        <w:t>que </w:t>
      </w:r>
      <w:r>
        <w:rPr>
          <w:color w:val="231F20"/>
          <w:w w:val="105"/>
        </w:rPr>
        <w:t>el partido </w:t>
      </w:r>
      <w:r>
        <w:rPr>
          <w:color w:val="231F20"/>
          <w:spacing w:val="-3"/>
          <w:w w:val="105"/>
        </w:rPr>
        <w:t>cumpla con </w:t>
      </w:r>
      <w:r>
        <w:rPr>
          <w:color w:val="231F20"/>
          <w:w w:val="105"/>
        </w:rPr>
        <w:t>las </w:t>
      </w:r>
      <w:r>
        <w:rPr>
          <w:color w:val="231F20"/>
          <w:spacing w:val="-3"/>
          <w:w w:val="105"/>
        </w:rPr>
        <w:t>cuestiones</w:t>
      </w:r>
      <w:r>
        <w:rPr>
          <w:color w:val="231F20"/>
          <w:spacing w:val="-28"/>
          <w:w w:val="105"/>
        </w:rPr>
        <w:t> </w:t>
      </w:r>
      <w:r>
        <w:rPr>
          <w:color w:val="231F20"/>
          <w:spacing w:val="-3"/>
          <w:w w:val="105"/>
        </w:rPr>
        <w:t>ideológicas</w:t>
      </w:r>
      <w:r>
        <w:rPr>
          <w:color w:val="231F20"/>
          <w:spacing w:val="-28"/>
          <w:w w:val="105"/>
        </w:rPr>
        <w:t> </w:t>
      </w:r>
      <w:r>
        <w:rPr>
          <w:color w:val="231F20"/>
          <w:spacing w:val="-3"/>
          <w:w w:val="105"/>
        </w:rPr>
        <w:t>establecidas,</w:t>
      </w:r>
      <w:r>
        <w:rPr>
          <w:color w:val="231F20"/>
          <w:spacing w:val="-28"/>
          <w:w w:val="105"/>
        </w:rPr>
        <w:t> </w:t>
      </w:r>
      <w:r>
        <w:rPr>
          <w:color w:val="231F20"/>
          <w:spacing w:val="-3"/>
          <w:w w:val="105"/>
        </w:rPr>
        <w:t>en</w:t>
      </w:r>
      <w:r>
        <w:rPr>
          <w:color w:val="231F20"/>
          <w:spacing w:val="-28"/>
          <w:w w:val="105"/>
        </w:rPr>
        <w:t> </w:t>
      </w:r>
      <w:r>
        <w:rPr>
          <w:color w:val="231F20"/>
          <w:w w:val="105"/>
        </w:rPr>
        <w:t>parte</w:t>
      </w:r>
      <w:r>
        <w:rPr>
          <w:color w:val="231F20"/>
          <w:spacing w:val="-28"/>
          <w:w w:val="105"/>
        </w:rPr>
        <w:t> </w:t>
      </w:r>
      <w:r>
        <w:rPr>
          <w:color w:val="231F20"/>
          <w:w w:val="105"/>
        </w:rPr>
        <w:t>quizás</w:t>
      </w:r>
      <w:r>
        <w:rPr>
          <w:color w:val="231F20"/>
          <w:spacing w:val="-28"/>
          <w:w w:val="105"/>
        </w:rPr>
        <w:t> </w:t>
      </w:r>
      <w:r>
        <w:rPr>
          <w:color w:val="231F20"/>
          <w:spacing w:val="-3"/>
          <w:w w:val="105"/>
        </w:rPr>
        <w:t>por</w:t>
      </w:r>
      <w:r>
        <w:rPr>
          <w:color w:val="231F20"/>
          <w:spacing w:val="-28"/>
          <w:w w:val="105"/>
        </w:rPr>
        <w:t> </w:t>
      </w:r>
      <w:r>
        <w:rPr>
          <w:color w:val="231F20"/>
          <w:spacing w:val="-4"/>
          <w:w w:val="105"/>
        </w:rPr>
        <w:t>desconocimiento</w:t>
      </w:r>
      <w:r>
        <w:rPr>
          <w:color w:val="231F20"/>
          <w:spacing w:val="-28"/>
          <w:w w:val="105"/>
        </w:rPr>
        <w:t> </w:t>
      </w:r>
      <w:r>
        <w:rPr>
          <w:color w:val="231F20"/>
          <w:spacing w:val="-3"/>
          <w:w w:val="105"/>
        </w:rPr>
        <w:t>de</w:t>
      </w:r>
      <w:r>
        <w:rPr>
          <w:color w:val="231F20"/>
          <w:spacing w:val="-28"/>
          <w:w w:val="105"/>
        </w:rPr>
        <w:t> </w:t>
      </w:r>
      <w:r>
        <w:rPr>
          <w:color w:val="231F20"/>
          <w:w w:val="105"/>
        </w:rPr>
        <w:t>sus</w:t>
      </w:r>
      <w:r>
        <w:rPr>
          <w:color w:val="231F20"/>
          <w:spacing w:val="-28"/>
          <w:w w:val="105"/>
        </w:rPr>
        <w:t> </w:t>
      </w:r>
      <w:r>
        <w:rPr>
          <w:color w:val="231F20"/>
          <w:spacing w:val="-4"/>
          <w:w w:val="105"/>
        </w:rPr>
        <w:t>miembros, pero</w:t>
      </w:r>
      <w:r>
        <w:rPr>
          <w:color w:val="231F20"/>
          <w:spacing w:val="-10"/>
          <w:w w:val="105"/>
        </w:rPr>
        <w:t> </w:t>
      </w:r>
      <w:r>
        <w:rPr>
          <w:color w:val="231F20"/>
          <w:spacing w:val="-3"/>
          <w:w w:val="105"/>
        </w:rPr>
        <w:t>también</w:t>
      </w:r>
      <w:r>
        <w:rPr>
          <w:color w:val="231F20"/>
          <w:spacing w:val="-10"/>
          <w:w w:val="105"/>
        </w:rPr>
        <w:t> </w:t>
      </w:r>
      <w:r>
        <w:rPr>
          <w:color w:val="231F20"/>
          <w:spacing w:val="-4"/>
          <w:w w:val="105"/>
        </w:rPr>
        <w:t>porque</w:t>
      </w:r>
      <w:r>
        <w:rPr>
          <w:color w:val="231F20"/>
          <w:spacing w:val="-10"/>
          <w:w w:val="105"/>
        </w:rPr>
        <w:t> </w:t>
      </w:r>
      <w:r>
        <w:rPr>
          <w:color w:val="231F20"/>
          <w:spacing w:val="-4"/>
          <w:w w:val="105"/>
        </w:rPr>
        <w:t>simplemente</w:t>
      </w:r>
      <w:r>
        <w:rPr>
          <w:color w:val="231F20"/>
          <w:spacing w:val="-10"/>
          <w:w w:val="105"/>
        </w:rPr>
        <w:t> </w:t>
      </w:r>
      <w:r>
        <w:rPr>
          <w:color w:val="231F20"/>
          <w:w w:val="105"/>
        </w:rPr>
        <w:t>es</w:t>
      </w:r>
      <w:r>
        <w:rPr>
          <w:color w:val="231F20"/>
          <w:spacing w:val="-10"/>
          <w:w w:val="105"/>
        </w:rPr>
        <w:t> </w:t>
      </w:r>
      <w:r>
        <w:rPr>
          <w:color w:val="231F20"/>
          <w:w w:val="105"/>
        </w:rPr>
        <w:t>difícil</w:t>
      </w:r>
      <w:r>
        <w:rPr>
          <w:color w:val="231F20"/>
          <w:spacing w:val="-10"/>
          <w:w w:val="105"/>
        </w:rPr>
        <w:t> </w:t>
      </w:r>
      <w:r>
        <w:rPr>
          <w:color w:val="231F20"/>
          <w:w w:val="105"/>
        </w:rPr>
        <w:t>cambiar</w:t>
      </w:r>
      <w:r>
        <w:rPr>
          <w:color w:val="231F20"/>
          <w:spacing w:val="-10"/>
          <w:w w:val="105"/>
        </w:rPr>
        <w:t> </w:t>
      </w:r>
      <w:r>
        <w:rPr>
          <w:color w:val="231F20"/>
          <w:spacing w:val="-3"/>
          <w:w w:val="105"/>
        </w:rPr>
        <w:t>los</w:t>
      </w:r>
      <w:r>
        <w:rPr>
          <w:color w:val="231F20"/>
          <w:spacing w:val="-10"/>
          <w:w w:val="105"/>
        </w:rPr>
        <w:t> </w:t>
      </w:r>
      <w:r>
        <w:rPr>
          <w:color w:val="231F20"/>
          <w:spacing w:val="-4"/>
          <w:w w:val="105"/>
        </w:rPr>
        <w:t>patrones</w:t>
      </w:r>
      <w:r>
        <w:rPr>
          <w:color w:val="231F20"/>
          <w:spacing w:val="-10"/>
          <w:w w:val="105"/>
        </w:rPr>
        <w:t> </w:t>
      </w:r>
      <w:r>
        <w:rPr>
          <w:color w:val="231F20"/>
          <w:spacing w:val="-3"/>
          <w:w w:val="105"/>
        </w:rPr>
        <w:t>de</w:t>
      </w:r>
      <w:r>
        <w:rPr>
          <w:color w:val="231F20"/>
          <w:spacing w:val="-10"/>
          <w:w w:val="105"/>
        </w:rPr>
        <w:t> </w:t>
      </w:r>
      <w:r>
        <w:rPr>
          <w:color w:val="231F20"/>
          <w:spacing w:val="-3"/>
          <w:w w:val="105"/>
        </w:rPr>
        <w:t>comportamiento</w:t>
      </w:r>
      <w:r>
        <w:rPr>
          <w:color w:val="231F20"/>
          <w:spacing w:val="-10"/>
          <w:w w:val="105"/>
        </w:rPr>
        <w:t> </w:t>
      </w:r>
      <w:r>
        <w:rPr>
          <w:color w:val="231F20"/>
          <w:spacing w:val="-3"/>
          <w:w w:val="105"/>
        </w:rPr>
        <w:t>que </w:t>
      </w:r>
      <w:r>
        <w:rPr>
          <w:color w:val="231F20"/>
          <w:w w:val="105"/>
        </w:rPr>
        <w:t>se</w:t>
      </w:r>
      <w:r>
        <w:rPr>
          <w:color w:val="231F20"/>
          <w:spacing w:val="-13"/>
          <w:w w:val="105"/>
        </w:rPr>
        <w:t> </w:t>
      </w:r>
      <w:r>
        <w:rPr>
          <w:color w:val="231F20"/>
          <w:spacing w:val="-5"/>
          <w:w w:val="105"/>
        </w:rPr>
        <w:t>reproducen</w:t>
      </w:r>
      <w:r>
        <w:rPr>
          <w:color w:val="231F20"/>
          <w:spacing w:val="-13"/>
          <w:w w:val="105"/>
        </w:rPr>
        <w:t> </w:t>
      </w:r>
      <w:r>
        <w:rPr>
          <w:color w:val="231F20"/>
          <w:spacing w:val="-4"/>
          <w:w w:val="105"/>
        </w:rPr>
        <w:t>dentro</w:t>
      </w:r>
      <w:r>
        <w:rPr>
          <w:color w:val="231F20"/>
          <w:spacing w:val="-13"/>
          <w:w w:val="105"/>
        </w:rPr>
        <w:t> </w:t>
      </w:r>
      <w:r>
        <w:rPr>
          <w:color w:val="231F20"/>
          <w:spacing w:val="-3"/>
          <w:w w:val="105"/>
        </w:rPr>
        <w:t>de</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spacing w:val="-3"/>
          <w:w w:val="105"/>
        </w:rPr>
        <w:t>pública</w:t>
      </w:r>
      <w:r>
        <w:rPr>
          <w:color w:val="231F20"/>
          <w:spacing w:val="-13"/>
          <w:w w:val="105"/>
        </w:rPr>
        <w:t> </w:t>
      </w:r>
      <w:r>
        <w:rPr>
          <w:color w:val="231F20"/>
          <w:spacing w:val="-3"/>
          <w:w w:val="105"/>
        </w:rPr>
        <w:t>municipal</w:t>
      </w:r>
      <w:r>
        <w:rPr>
          <w:color w:val="231F20"/>
          <w:spacing w:val="-13"/>
          <w:w w:val="105"/>
        </w:rPr>
        <w:t> </w:t>
      </w:r>
      <w:r>
        <w:rPr>
          <w:color w:val="231F20"/>
          <w:w w:val="105"/>
        </w:rPr>
        <w:t>y</w:t>
      </w:r>
      <w:r>
        <w:rPr>
          <w:color w:val="231F20"/>
          <w:spacing w:val="-13"/>
          <w:w w:val="105"/>
        </w:rPr>
        <w:t> </w:t>
      </w:r>
      <w:r>
        <w:rPr>
          <w:color w:val="231F20"/>
          <w:w w:val="105"/>
        </w:rPr>
        <w:t>es</w:t>
      </w:r>
      <w:r>
        <w:rPr>
          <w:color w:val="231F20"/>
          <w:spacing w:val="-13"/>
          <w:w w:val="105"/>
        </w:rPr>
        <w:t> </w:t>
      </w:r>
      <w:r>
        <w:rPr>
          <w:color w:val="231F20"/>
          <w:w w:val="105"/>
        </w:rPr>
        <w:t>más</w:t>
      </w:r>
      <w:r>
        <w:rPr>
          <w:color w:val="231F20"/>
          <w:spacing w:val="-13"/>
          <w:w w:val="105"/>
        </w:rPr>
        <w:t> </w:t>
      </w:r>
      <w:r>
        <w:rPr>
          <w:color w:val="231F20"/>
          <w:w w:val="105"/>
        </w:rPr>
        <w:t>fácil</w:t>
      </w:r>
      <w:r>
        <w:rPr>
          <w:color w:val="231F20"/>
          <w:spacing w:val="-13"/>
          <w:w w:val="105"/>
        </w:rPr>
        <w:t> </w:t>
      </w:r>
      <w:r>
        <w:rPr>
          <w:color w:val="231F20"/>
          <w:spacing w:val="-3"/>
          <w:w w:val="105"/>
        </w:rPr>
        <w:t>continuar</w:t>
      </w:r>
      <w:r>
        <w:rPr>
          <w:color w:val="231F20"/>
          <w:spacing w:val="-13"/>
          <w:w w:val="105"/>
        </w:rPr>
        <w:t> </w:t>
      </w:r>
      <w:r>
        <w:rPr>
          <w:color w:val="231F20"/>
          <w:spacing w:val="-3"/>
          <w:w w:val="105"/>
        </w:rPr>
        <w:t>con </w:t>
      </w:r>
      <w:r>
        <w:rPr>
          <w:color w:val="231F20"/>
          <w:w w:val="105"/>
        </w:rPr>
        <w:t>la</w:t>
      </w:r>
      <w:r>
        <w:rPr>
          <w:color w:val="231F20"/>
          <w:spacing w:val="-12"/>
          <w:w w:val="105"/>
        </w:rPr>
        <w:t> </w:t>
      </w:r>
      <w:r>
        <w:rPr>
          <w:color w:val="231F20"/>
          <w:w w:val="105"/>
        </w:rPr>
        <w:t>línea</w:t>
      </w:r>
      <w:r>
        <w:rPr>
          <w:color w:val="231F20"/>
          <w:spacing w:val="-12"/>
          <w:w w:val="105"/>
        </w:rPr>
        <w:t> </w:t>
      </w:r>
      <w:r>
        <w:rPr>
          <w:color w:val="231F20"/>
          <w:w w:val="105"/>
        </w:rPr>
        <w:t>trazada.</w:t>
      </w:r>
      <w:r>
        <w:rPr>
          <w:color w:val="231F20"/>
          <w:spacing w:val="-12"/>
          <w:w w:val="105"/>
        </w:rPr>
        <w:t> </w:t>
      </w:r>
      <w:r>
        <w:rPr>
          <w:color w:val="231F20"/>
          <w:w w:val="105"/>
        </w:rPr>
        <w:t>Otro</w:t>
      </w:r>
      <w:r>
        <w:rPr>
          <w:color w:val="231F20"/>
          <w:spacing w:val="-12"/>
          <w:w w:val="105"/>
        </w:rPr>
        <w:t> </w:t>
      </w:r>
      <w:r>
        <w:rPr>
          <w:color w:val="231F20"/>
          <w:w w:val="105"/>
        </w:rPr>
        <w:t>aspecto</w:t>
      </w:r>
      <w:r>
        <w:rPr>
          <w:color w:val="231F20"/>
          <w:spacing w:val="-12"/>
          <w:w w:val="105"/>
        </w:rPr>
        <w:t> </w:t>
      </w:r>
      <w:r>
        <w:rPr>
          <w:color w:val="231F20"/>
          <w:w w:val="105"/>
        </w:rPr>
        <w:t>a</w:t>
      </w:r>
      <w:r>
        <w:rPr>
          <w:color w:val="231F20"/>
          <w:spacing w:val="-12"/>
          <w:w w:val="105"/>
        </w:rPr>
        <w:t> </w:t>
      </w:r>
      <w:r>
        <w:rPr>
          <w:color w:val="231F20"/>
          <w:w w:val="105"/>
        </w:rPr>
        <w:t>resaltar</w:t>
      </w:r>
      <w:r>
        <w:rPr>
          <w:color w:val="231F20"/>
          <w:spacing w:val="-12"/>
          <w:w w:val="105"/>
        </w:rPr>
        <w:t> </w:t>
      </w:r>
      <w:r>
        <w:rPr>
          <w:color w:val="231F20"/>
          <w:w w:val="105"/>
        </w:rPr>
        <w:t>es</w:t>
      </w:r>
      <w:r>
        <w:rPr>
          <w:color w:val="231F20"/>
          <w:spacing w:val="-12"/>
          <w:w w:val="105"/>
        </w:rPr>
        <w:t> </w:t>
      </w:r>
      <w:r>
        <w:rPr>
          <w:color w:val="231F20"/>
          <w:spacing w:val="-3"/>
          <w:w w:val="105"/>
        </w:rPr>
        <w:t>que</w:t>
      </w:r>
      <w:r>
        <w:rPr>
          <w:color w:val="231F20"/>
          <w:spacing w:val="-12"/>
          <w:w w:val="105"/>
        </w:rPr>
        <w:t> </w:t>
      </w:r>
      <w:r>
        <w:rPr>
          <w:color w:val="231F20"/>
          <w:w w:val="105"/>
        </w:rPr>
        <w:t>a</w:t>
      </w:r>
      <w:r>
        <w:rPr>
          <w:color w:val="231F20"/>
          <w:spacing w:val="-12"/>
          <w:w w:val="105"/>
        </w:rPr>
        <w:t> </w:t>
      </w:r>
      <w:r>
        <w:rPr>
          <w:color w:val="231F20"/>
          <w:spacing w:val="-3"/>
          <w:w w:val="105"/>
        </w:rPr>
        <w:t>nivel</w:t>
      </w:r>
      <w:r>
        <w:rPr>
          <w:color w:val="231F20"/>
          <w:spacing w:val="-12"/>
          <w:w w:val="105"/>
        </w:rPr>
        <w:t> </w:t>
      </w:r>
      <w:r>
        <w:rPr>
          <w:color w:val="231F20"/>
          <w:w w:val="105"/>
        </w:rPr>
        <w:t>local</w:t>
      </w:r>
      <w:r>
        <w:rPr>
          <w:color w:val="231F20"/>
          <w:spacing w:val="-12"/>
          <w:w w:val="105"/>
        </w:rPr>
        <w:t> </w:t>
      </w:r>
      <w:r>
        <w:rPr>
          <w:color w:val="231F20"/>
          <w:w w:val="105"/>
        </w:rPr>
        <w:t>se</w:t>
      </w:r>
      <w:r>
        <w:rPr>
          <w:color w:val="231F20"/>
          <w:spacing w:val="-12"/>
          <w:w w:val="105"/>
        </w:rPr>
        <w:t> </w:t>
      </w:r>
      <w:r>
        <w:rPr>
          <w:color w:val="231F20"/>
          <w:spacing w:val="-5"/>
          <w:w w:val="105"/>
        </w:rPr>
        <w:t>reproduce</w:t>
      </w:r>
      <w:r>
        <w:rPr>
          <w:color w:val="231F20"/>
          <w:spacing w:val="-12"/>
          <w:w w:val="105"/>
        </w:rPr>
        <w:t> </w:t>
      </w:r>
      <w:r>
        <w:rPr>
          <w:color w:val="231F20"/>
          <w:spacing w:val="-3"/>
          <w:w w:val="105"/>
        </w:rPr>
        <w:t>lo</w:t>
      </w:r>
      <w:r>
        <w:rPr>
          <w:color w:val="231F20"/>
          <w:spacing w:val="-12"/>
          <w:w w:val="105"/>
        </w:rPr>
        <w:t> </w:t>
      </w:r>
      <w:r>
        <w:rPr>
          <w:color w:val="231F20"/>
          <w:spacing w:val="-3"/>
          <w:w w:val="105"/>
        </w:rPr>
        <w:t>que</w:t>
      </w:r>
      <w:r>
        <w:rPr>
          <w:color w:val="231F20"/>
          <w:spacing w:val="-12"/>
          <w:w w:val="105"/>
        </w:rPr>
        <w:t> </w:t>
      </w:r>
      <w:r>
        <w:rPr>
          <w:color w:val="231F20"/>
          <w:spacing w:val="-3"/>
          <w:w w:val="105"/>
        </w:rPr>
        <w:t>histórica- </w:t>
      </w:r>
      <w:r>
        <w:rPr>
          <w:color w:val="231F20"/>
          <w:spacing w:val="-4"/>
          <w:w w:val="105"/>
        </w:rPr>
        <w:t>mente</w:t>
      </w:r>
      <w:r>
        <w:rPr>
          <w:color w:val="231F20"/>
          <w:spacing w:val="-13"/>
          <w:w w:val="105"/>
        </w:rPr>
        <w:t> </w:t>
      </w:r>
      <w:r>
        <w:rPr>
          <w:color w:val="231F20"/>
          <w:w w:val="105"/>
        </w:rPr>
        <w:t>el</w:t>
      </w:r>
      <w:r>
        <w:rPr>
          <w:color w:val="231F20"/>
          <w:spacing w:val="-13"/>
          <w:w w:val="105"/>
        </w:rPr>
        <w:t> </w:t>
      </w:r>
      <w:r>
        <w:rPr>
          <w:color w:val="231F20"/>
          <w:spacing w:val="-2"/>
          <w:w w:val="105"/>
        </w:rPr>
        <w:t>PRI</w:t>
      </w:r>
      <w:r>
        <w:rPr>
          <w:color w:val="231F20"/>
          <w:spacing w:val="-13"/>
          <w:w w:val="105"/>
        </w:rPr>
        <w:t> </w:t>
      </w:r>
      <w:r>
        <w:rPr>
          <w:color w:val="231F20"/>
          <w:w w:val="105"/>
        </w:rPr>
        <w:t>hizo</w:t>
      </w:r>
      <w:r>
        <w:rPr>
          <w:color w:val="231F20"/>
          <w:spacing w:val="-13"/>
          <w:w w:val="105"/>
        </w:rPr>
        <w:t> </w:t>
      </w:r>
      <w:r>
        <w:rPr>
          <w:color w:val="231F20"/>
          <w:w w:val="105"/>
        </w:rPr>
        <w:t>a</w:t>
      </w:r>
      <w:r>
        <w:rPr>
          <w:color w:val="231F20"/>
          <w:spacing w:val="-13"/>
          <w:w w:val="105"/>
        </w:rPr>
        <w:t> </w:t>
      </w:r>
      <w:r>
        <w:rPr>
          <w:color w:val="231F20"/>
          <w:spacing w:val="-3"/>
          <w:w w:val="105"/>
        </w:rPr>
        <w:t>nivel</w:t>
      </w:r>
      <w:r>
        <w:rPr>
          <w:color w:val="231F20"/>
          <w:spacing w:val="-13"/>
          <w:w w:val="105"/>
        </w:rPr>
        <w:t> </w:t>
      </w:r>
      <w:r>
        <w:rPr>
          <w:color w:val="231F20"/>
          <w:spacing w:val="-3"/>
          <w:w w:val="105"/>
        </w:rPr>
        <w:t>nacional,</w:t>
      </w:r>
      <w:r>
        <w:rPr>
          <w:color w:val="231F20"/>
          <w:spacing w:val="-13"/>
          <w:w w:val="105"/>
        </w:rPr>
        <w:t> </w:t>
      </w:r>
      <w:r>
        <w:rPr>
          <w:color w:val="231F20"/>
          <w:w w:val="105"/>
        </w:rPr>
        <w:t>es</w:t>
      </w:r>
      <w:r>
        <w:rPr>
          <w:color w:val="231F20"/>
          <w:spacing w:val="-13"/>
          <w:w w:val="105"/>
        </w:rPr>
        <w:t> </w:t>
      </w:r>
      <w:r>
        <w:rPr>
          <w:color w:val="231F20"/>
          <w:w w:val="105"/>
        </w:rPr>
        <w:t>decir</w:t>
      </w:r>
      <w:r>
        <w:rPr>
          <w:color w:val="231F20"/>
          <w:spacing w:val="-13"/>
          <w:w w:val="105"/>
        </w:rPr>
        <w:t> </w:t>
      </w:r>
      <w:r>
        <w:rPr>
          <w:color w:val="231F20"/>
          <w:spacing w:val="-3"/>
          <w:w w:val="105"/>
        </w:rPr>
        <w:t>que</w:t>
      </w:r>
      <w:r>
        <w:rPr>
          <w:color w:val="231F20"/>
          <w:spacing w:val="-13"/>
          <w:w w:val="105"/>
        </w:rPr>
        <w:t> </w:t>
      </w:r>
      <w:r>
        <w:rPr>
          <w:color w:val="231F20"/>
          <w:w w:val="105"/>
        </w:rPr>
        <w:t>la</w:t>
      </w:r>
      <w:r>
        <w:rPr>
          <w:color w:val="231F20"/>
          <w:spacing w:val="-13"/>
          <w:w w:val="105"/>
        </w:rPr>
        <w:t> </w:t>
      </w:r>
      <w:r>
        <w:rPr>
          <w:color w:val="231F20"/>
          <w:spacing w:val="-3"/>
          <w:w w:val="105"/>
        </w:rPr>
        <w:t>designación</w:t>
      </w:r>
      <w:r>
        <w:rPr>
          <w:color w:val="231F20"/>
          <w:spacing w:val="-13"/>
          <w:w w:val="105"/>
        </w:rPr>
        <w:t> </w:t>
      </w:r>
      <w:r>
        <w:rPr>
          <w:color w:val="231F20"/>
          <w:spacing w:val="-3"/>
          <w:w w:val="105"/>
        </w:rPr>
        <w:t>de</w:t>
      </w:r>
      <w:r>
        <w:rPr>
          <w:color w:val="231F20"/>
          <w:spacing w:val="-13"/>
          <w:w w:val="105"/>
        </w:rPr>
        <w:t> </w:t>
      </w:r>
      <w:r>
        <w:rPr>
          <w:color w:val="231F20"/>
          <w:spacing w:val="-3"/>
          <w:w w:val="105"/>
        </w:rPr>
        <w:t>los</w:t>
      </w:r>
      <w:r>
        <w:rPr>
          <w:color w:val="231F20"/>
          <w:spacing w:val="-13"/>
          <w:w w:val="105"/>
        </w:rPr>
        <w:t> </w:t>
      </w:r>
      <w:r>
        <w:rPr>
          <w:color w:val="231F20"/>
          <w:spacing w:val="-4"/>
          <w:w w:val="105"/>
        </w:rPr>
        <w:t>miembros</w:t>
      </w:r>
      <w:r>
        <w:rPr>
          <w:color w:val="231F20"/>
          <w:spacing w:val="-13"/>
          <w:w w:val="105"/>
        </w:rPr>
        <w:t> </w:t>
      </w:r>
      <w:r>
        <w:rPr>
          <w:color w:val="231F20"/>
          <w:spacing w:val="-3"/>
          <w:w w:val="105"/>
        </w:rPr>
        <w:t>con</w:t>
      </w:r>
      <w:r>
        <w:rPr>
          <w:color w:val="231F20"/>
          <w:spacing w:val="-13"/>
          <w:w w:val="105"/>
        </w:rPr>
        <w:t> </w:t>
      </w:r>
      <w:r>
        <w:rPr>
          <w:color w:val="231F20"/>
          <w:spacing w:val="-3"/>
          <w:w w:val="105"/>
        </w:rPr>
        <w:t>posi- bilidades</w:t>
      </w:r>
      <w:r>
        <w:rPr>
          <w:color w:val="231F20"/>
          <w:spacing w:val="-20"/>
          <w:w w:val="105"/>
        </w:rPr>
        <w:t> </w:t>
      </w:r>
      <w:r>
        <w:rPr>
          <w:color w:val="231F20"/>
          <w:spacing w:val="-3"/>
          <w:w w:val="105"/>
        </w:rPr>
        <w:t>de</w:t>
      </w:r>
      <w:r>
        <w:rPr>
          <w:color w:val="231F20"/>
          <w:spacing w:val="-20"/>
          <w:w w:val="105"/>
        </w:rPr>
        <w:t> </w:t>
      </w:r>
      <w:r>
        <w:rPr>
          <w:color w:val="231F20"/>
          <w:spacing w:val="-4"/>
          <w:w w:val="105"/>
        </w:rPr>
        <w:t>acceder</w:t>
      </w:r>
      <w:r>
        <w:rPr>
          <w:color w:val="231F20"/>
          <w:spacing w:val="-20"/>
          <w:w w:val="105"/>
        </w:rPr>
        <w:t> </w:t>
      </w:r>
      <w:r>
        <w:rPr>
          <w:color w:val="231F20"/>
          <w:w w:val="105"/>
        </w:rPr>
        <w:t>a</w:t>
      </w:r>
      <w:r>
        <w:rPr>
          <w:color w:val="231F20"/>
          <w:spacing w:val="-20"/>
          <w:w w:val="105"/>
        </w:rPr>
        <w:t> </w:t>
      </w:r>
      <w:r>
        <w:rPr>
          <w:color w:val="231F20"/>
          <w:spacing w:val="-3"/>
          <w:w w:val="105"/>
        </w:rPr>
        <w:t>cargos</w:t>
      </w:r>
      <w:r>
        <w:rPr>
          <w:color w:val="231F20"/>
          <w:spacing w:val="-20"/>
          <w:w w:val="105"/>
        </w:rPr>
        <w:t> </w:t>
      </w:r>
      <w:r>
        <w:rPr>
          <w:color w:val="231F20"/>
          <w:spacing w:val="-4"/>
          <w:w w:val="105"/>
        </w:rPr>
        <w:t>públicos</w:t>
      </w:r>
      <w:r>
        <w:rPr>
          <w:color w:val="231F20"/>
          <w:spacing w:val="-20"/>
          <w:w w:val="105"/>
        </w:rPr>
        <w:t> </w:t>
      </w:r>
      <w:r>
        <w:rPr>
          <w:color w:val="231F20"/>
          <w:w w:val="105"/>
        </w:rPr>
        <w:t>se</w:t>
      </w:r>
      <w:r>
        <w:rPr>
          <w:color w:val="231F20"/>
          <w:spacing w:val="-20"/>
          <w:w w:val="105"/>
        </w:rPr>
        <w:t> </w:t>
      </w:r>
      <w:r>
        <w:rPr>
          <w:color w:val="231F20"/>
          <w:spacing w:val="-3"/>
          <w:w w:val="105"/>
        </w:rPr>
        <w:t>hace</w:t>
      </w:r>
      <w:r>
        <w:rPr>
          <w:color w:val="231F20"/>
          <w:spacing w:val="-20"/>
          <w:w w:val="105"/>
        </w:rPr>
        <w:t> </w:t>
      </w:r>
      <w:r>
        <w:rPr>
          <w:color w:val="231F20"/>
          <w:w w:val="105"/>
        </w:rPr>
        <w:t>mediante</w:t>
      </w:r>
      <w:r>
        <w:rPr>
          <w:color w:val="231F20"/>
          <w:spacing w:val="-20"/>
          <w:w w:val="105"/>
        </w:rPr>
        <w:t> </w:t>
      </w:r>
      <w:r>
        <w:rPr>
          <w:color w:val="231F20"/>
          <w:w w:val="105"/>
        </w:rPr>
        <w:t>el</w:t>
      </w:r>
      <w:r>
        <w:rPr>
          <w:color w:val="231F20"/>
          <w:spacing w:val="-20"/>
          <w:w w:val="105"/>
        </w:rPr>
        <w:t> </w:t>
      </w:r>
      <w:r>
        <w:rPr>
          <w:color w:val="231F20"/>
          <w:w w:val="105"/>
        </w:rPr>
        <w:t>visto</w:t>
      </w:r>
      <w:r>
        <w:rPr>
          <w:color w:val="231F20"/>
          <w:spacing w:val="-20"/>
          <w:w w:val="105"/>
        </w:rPr>
        <w:t> </w:t>
      </w:r>
      <w:r>
        <w:rPr>
          <w:color w:val="231F20"/>
          <w:spacing w:val="-5"/>
          <w:w w:val="105"/>
        </w:rPr>
        <w:t>bueno</w:t>
      </w:r>
      <w:r>
        <w:rPr>
          <w:color w:val="231F20"/>
          <w:spacing w:val="-20"/>
          <w:w w:val="105"/>
        </w:rPr>
        <w:t> </w:t>
      </w:r>
      <w:r>
        <w:rPr>
          <w:color w:val="231F20"/>
          <w:spacing w:val="-3"/>
          <w:w w:val="105"/>
        </w:rPr>
        <w:t>del</w:t>
      </w:r>
      <w:r>
        <w:rPr>
          <w:color w:val="231F20"/>
          <w:spacing w:val="-20"/>
          <w:w w:val="105"/>
        </w:rPr>
        <w:t> </w:t>
      </w:r>
      <w:r>
        <w:rPr>
          <w:color w:val="231F20"/>
          <w:spacing w:val="-4"/>
          <w:w w:val="105"/>
        </w:rPr>
        <w:t>gobernador</w:t>
      </w:r>
      <w:r>
        <w:rPr>
          <w:color w:val="231F20"/>
          <w:spacing w:val="-20"/>
          <w:w w:val="105"/>
        </w:rPr>
        <w:t> </w:t>
      </w:r>
      <w:r>
        <w:rPr>
          <w:color w:val="231F20"/>
          <w:w w:val="105"/>
        </w:rPr>
        <w:t>y</w:t>
      </w:r>
      <w:r>
        <w:rPr>
          <w:color w:val="231F20"/>
          <w:spacing w:val="-20"/>
          <w:w w:val="105"/>
        </w:rPr>
        <w:t> </w:t>
      </w:r>
      <w:r>
        <w:rPr>
          <w:color w:val="231F20"/>
          <w:w w:val="105"/>
        </w:rPr>
        <w:t>se </w:t>
      </w:r>
      <w:r>
        <w:rPr>
          <w:color w:val="231F20"/>
          <w:spacing w:val="-3"/>
          <w:w w:val="105"/>
        </w:rPr>
        <w:t>necesita</w:t>
      </w:r>
      <w:r>
        <w:rPr>
          <w:color w:val="231F20"/>
          <w:spacing w:val="-13"/>
          <w:w w:val="105"/>
        </w:rPr>
        <w:t> </w:t>
      </w:r>
      <w:r>
        <w:rPr>
          <w:color w:val="231F20"/>
          <w:spacing w:val="-3"/>
          <w:w w:val="105"/>
        </w:rPr>
        <w:t>ser</w:t>
      </w:r>
      <w:r>
        <w:rPr>
          <w:color w:val="231F20"/>
          <w:spacing w:val="-13"/>
          <w:w w:val="105"/>
        </w:rPr>
        <w:t> </w:t>
      </w:r>
      <w:r>
        <w:rPr>
          <w:color w:val="231F20"/>
          <w:spacing w:val="-4"/>
          <w:w w:val="105"/>
        </w:rPr>
        <w:t>miembro</w:t>
      </w:r>
      <w:r>
        <w:rPr>
          <w:color w:val="231F20"/>
          <w:spacing w:val="-13"/>
          <w:w w:val="105"/>
        </w:rPr>
        <w:t> </w:t>
      </w:r>
      <w:r>
        <w:rPr>
          <w:color w:val="231F20"/>
          <w:spacing w:val="-3"/>
          <w:w w:val="105"/>
        </w:rPr>
        <w:t>del</w:t>
      </w:r>
      <w:r>
        <w:rPr>
          <w:color w:val="231F20"/>
          <w:spacing w:val="-13"/>
          <w:w w:val="105"/>
        </w:rPr>
        <w:t> </w:t>
      </w:r>
      <w:r>
        <w:rPr>
          <w:color w:val="231F20"/>
          <w:spacing w:val="-2"/>
          <w:w w:val="105"/>
        </w:rPr>
        <w:t>PRI</w:t>
      </w:r>
      <w:r>
        <w:rPr>
          <w:color w:val="231F20"/>
          <w:spacing w:val="-13"/>
          <w:w w:val="105"/>
        </w:rPr>
        <w:t> </w:t>
      </w:r>
      <w:r>
        <w:rPr>
          <w:color w:val="231F20"/>
          <w:w w:val="105"/>
        </w:rPr>
        <w:t>para</w:t>
      </w:r>
      <w:r>
        <w:rPr>
          <w:color w:val="231F20"/>
          <w:spacing w:val="-13"/>
          <w:w w:val="105"/>
        </w:rPr>
        <w:t> </w:t>
      </w:r>
      <w:r>
        <w:rPr>
          <w:color w:val="231F20"/>
          <w:spacing w:val="-4"/>
          <w:w w:val="105"/>
        </w:rPr>
        <w:t>tener</w:t>
      </w:r>
      <w:r>
        <w:rPr>
          <w:color w:val="231F20"/>
          <w:spacing w:val="-13"/>
          <w:w w:val="105"/>
        </w:rPr>
        <w:t> </w:t>
      </w:r>
      <w:r>
        <w:rPr>
          <w:color w:val="231F20"/>
          <w:w w:val="105"/>
        </w:rPr>
        <w:t>una</w:t>
      </w:r>
      <w:r>
        <w:rPr>
          <w:color w:val="231F20"/>
          <w:spacing w:val="-13"/>
          <w:w w:val="105"/>
        </w:rPr>
        <w:t> </w:t>
      </w:r>
      <w:r>
        <w:rPr>
          <w:color w:val="231F20"/>
          <w:spacing w:val="-3"/>
          <w:w w:val="105"/>
        </w:rPr>
        <w:t>posibilidad</w:t>
      </w:r>
      <w:r>
        <w:rPr>
          <w:color w:val="231F20"/>
          <w:spacing w:val="-13"/>
          <w:w w:val="105"/>
        </w:rPr>
        <w:t> </w:t>
      </w:r>
      <w:r>
        <w:rPr>
          <w:color w:val="231F20"/>
          <w:spacing w:val="-4"/>
          <w:w w:val="105"/>
        </w:rPr>
        <w:t>mayor</w:t>
      </w:r>
      <w:r>
        <w:rPr>
          <w:color w:val="231F20"/>
          <w:spacing w:val="-13"/>
          <w:w w:val="105"/>
        </w:rPr>
        <w:t> </w:t>
      </w:r>
      <w:r>
        <w:rPr>
          <w:color w:val="231F20"/>
          <w:spacing w:val="-3"/>
          <w:w w:val="105"/>
        </w:rPr>
        <w:t>de</w:t>
      </w:r>
      <w:r>
        <w:rPr>
          <w:color w:val="231F20"/>
          <w:spacing w:val="-13"/>
          <w:w w:val="105"/>
        </w:rPr>
        <w:t> </w:t>
      </w:r>
      <w:r>
        <w:rPr>
          <w:color w:val="231F20"/>
          <w:spacing w:val="-4"/>
          <w:w w:val="105"/>
        </w:rPr>
        <w:t>acceder</w:t>
      </w:r>
      <w:r>
        <w:rPr>
          <w:color w:val="231F20"/>
          <w:spacing w:val="-13"/>
          <w:w w:val="105"/>
        </w:rPr>
        <w:t> </w:t>
      </w:r>
      <w:r>
        <w:rPr>
          <w:color w:val="231F20"/>
          <w:w w:val="105"/>
        </w:rPr>
        <w:t>al</w:t>
      </w:r>
      <w:r>
        <w:rPr>
          <w:color w:val="231F20"/>
          <w:spacing w:val="-13"/>
          <w:w w:val="105"/>
        </w:rPr>
        <w:t> </w:t>
      </w:r>
      <w:r>
        <w:rPr>
          <w:color w:val="231F20"/>
          <w:spacing w:val="-5"/>
          <w:w w:val="105"/>
        </w:rPr>
        <w:t>poder.</w:t>
      </w:r>
    </w:p>
    <w:p>
      <w:pPr>
        <w:pStyle w:val="BodyText"/>
        <w:spacing w:before="1"/>
        <w:rPr>
          <w:sz w:val="26"/>
        </w:rPr>
      </w:pPr>
    </w:p>
    <w:p>
      <w:pPr>
        <w:pStyle w:val="BodyText"/>
        <w:spacing w:line="285" w:lineRule="auto"/>
        <w:ind w:left="110" w:right="108"/>
        <w:jc w:val="both"/>
      </w:pPr>
      <w:r>
        <w:rPr>
          <w:color w:val="231F20"/>
          <w:w w:val="105"/>
        </w:rPr>
        <w:t>Aunque a través de los 13 años que se aprecian en la gráfica 1 el porcentaje electoral disminuye</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PRI</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incrementa</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spacing w:val="-3"/>
          <w:w w:val="105"/>
        </w:rPr>
        <w:t>PRD,</w:t>
      </w:r>
      <w:r>
        <w:rPr>
          <w:color w:val="231F20"/>
          <w:spacing w:val="-11"/>
          <w:w w:val="105"/>
        </w:rPr>
        <w:t> </w:t>
      </w:r>
      <w:r>
        <w:rPr>
          <w:color w:val="231F20"/>
          <w:w w:val="105"/>
        </w:rPr>
        <w:t>el</w:t>
      </w:r>
      <w:r>
        <w:rPr>
          <w:color w:val="231F20"/>
          <w:spacing w:val="-11"/>
          <w:w w:val="105"/>
        </w:rPr>
        <w:t> </w:t>
      </w:r>
      <w:r>
        <w:rPr>
          <w:color w:val="231F20"/>
          <w:w w:val="105"/>
        </w:rPr>
        <w:t>desarrollo</w:t>
      </w:r>
      <w:r>
        <w:rPr>
          <w:color w:val="231F20"/>
          <w:spacing w:val="-11"/>
          <w:w w:val="105"/>
        </w:rPr>
        <w:t> </w:t>
      </w:r>
      <w:r>
        <w:rPr>
          <w:color w:val="231F20"/>
          <w:w w:val="105"/>
        </w:rPr>
        <w:t>electoral</w:t>
      </w:r>
      <w:r>
        <w:rPr>
          <w:color w:val="231F20"/>
          <w:spacing w:val="-11"/>
          <w:w w:val="105"/>
        </w:rPr>
        <w:t> </w:t>
      </w:r>
      <w:r>
        <w:rPr>
          <w:color w:val="231F20"/>
          <w:w w:val="105"/>
        </w:rPr>
        <w:t>en</w:t>
      </w:r>
      <w:r>
        <w:rPr>
          <w:color w:val="231F20"/>
          <w:spacing w:val="-11"/>
          <w:w w:val="105"/>
        </w:rPr>
        <w:t> </w:t>
      </w:r>
      <w:r>
        <w:rPr>
          <w:color w:val="231F20"/>
          <w:spacing w:val="-4"/>
          <w:w w:val="105"/>
        </w:rPr>
        <w:t>Tejupilco </w:t>
      </w:r>
      <w:r>
        <w:rPr>
          <w:color w:val="231F20"/>
          <w:w w:val="105"/>
        </w:rPr>
        <w:t>ha</w:t>
      </w:r>
      <w:r>
        <w:rPr>
          <w:color w:val="231F20"/>
          <w:spacing w:val="-14"/>
          <w:w w:val="105"/>
        </w:rPr>
        <w:t> </w:t>
      </w:r>
      <w:r>
        <w:rPr>
          <w:color w:val="231F20"/>
          <w:w w:val="105"/>
        </w:rPr>
        <w:t>mostrado</w:t>
      </w:r>
      <w:r>
        <w:rPr>
          <w:color w:val="231F20"/>
          <w:spacing w:val="-14"/>
          <w:w w:val="105"/>
        </w:rPr>
        <w:t> </w:t>
      </w:r>
      <w:r>
        <w:rPr>
          <w:color w:val="231F20"/>
          <w:w w:val="105"/>
        </w:rPr>
        <w:t>un</w:t>
      </w:r>
      <w:r>
        <w:rPr>
          <w:color w:val="231F20"/>
          <w:spacing w:val="-14"/>
          <w:w w:val="105"/>
        </w:rPr>
        <w:t> </w:t>
      </w:r>
      <w:r>
        <w:rPr>
          <w:color w:val="231F20"/>
          <w:w w:val="105"/>
        </w:rPr>
        <w:t>mayor</w:t>
      </w:r>
      <w:r>
        <w:rPr>
          <w:color w:val="231F20"/>
          <w:spacing w:val="-14"/>
          <w:w w:val="105"/>
        </w:rPr>
        <w:t> </w:t>
      </w:r>
      <w:r>
        <w:rPr>
          <w:color w:val="231F20"/>
          <w:w w:val="105"/>
        </w:rPr>
        <w:t>apoyo</w:t>
      </w:r>
      <w:r>
        <w:rPr>
          <w:color w:val="231F20"/>
          <w:spacing w:val="-14"/>
          <w:w w:val="105"/>
        </w:rPr>
        <w:t> </w:t>
      </w:r>
      <w:r>
        <w:rPr>
          <w:color w:val="231F20"/>
          <w:w w:val="105"/>
        </w:rPr>
        <w:t>electoral</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PRI</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municipio.</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7"/>
          <w:w w:val="105"/>
        </w:rPr>
        <w:t> </w:t>
      </w:r>
      <w:r>
        <w:rPr>
          <w:color w:val="231F20"/>
          <w:w w:val="105"/>
        </w:rPr>
        <w:t>competencia</w:t>
      </w:r>
      <w:r>
        <w:rPr>
          <w:color w:val="231F20"/>
          <w:spacing w:val="-17"/>
          <w:w w:val="105"/>
        </w:rPr>
        <w:t> </w:t>
      </w:r>
      <w:r>
        <w:rPr>
          <w:color w:val="231F20"/>
          <w:w w:val="105"/>
        </w:rPr>
        <w:t>electoral</w:t>
      </w:r>
      <w:r>
        <w:rPr>
          <w:color w:val="231F20"/>
          <w:spacing w:val="-17"/>
          <w:w w:val="105"/>
        </w:rPr>
        <w:t> </w:t>
      </w:r>
      <w:r>
        <w:rPr>
          <w:color w:val="231F20"/>
          <w:w w:val="105"/>
        </w:rPr>
        <w:t>se</w:t>
      </w:r>
      <w:r>
        <w:rPr>
          <w:color w:val="231F20"/>
          <w:spacing w:val="-17"/>
          <w:w w:val="105"/>
        </w:rPr>
        <w:t> </w:t>
      </w:r>
      <w:r>
        <w:rPr>
          <w:color w:val="231F20"/>
          <w:w w:val="105"/>
        </w:rPr>
        <w:t>genera</w:t>
      </w:r>
      <w:r>
        <w:rPr>
          <w:color w:val="231F20"/>
          <w:spacing w:val="-17"/>
          <w:w w:val="105"/>
        </w:rPr>
        <w:t> </w:t>
      </w:r>
      <w:r>
        <w:rPr>
          <w:color w:val="231F20"/>
          <w:w w:val="105"/>
        </w:rPr>
        <w:t>entre</w:t>
      </w:r>
      <w:r>
        <w:rPr>
          <w:color w:val="231F20"/>
          <w:spacing w:val="-17"/>
          <w:w w:val="105"/>
        </w:rPr>
        <w:t> </w:t>
      </w:r>
      <w:r>
        <w:rPr>
          <w:color w:val="231F20"/>
          <w:w w:val="105"/>
        </w:rPr>
        <w:t>el</w:t>
      </w:r>
      <w:r>
        <w:rPr>
          <w:color w:val="231F20"/>
          <w:spacing w:val="-17"/>
          <w:w w:val="105"/>
        </w:rPr>
        <w:t> </w:t>
      </w:r>
      <w:r>
        <w:rPr>
          <w:color w:val="231F20"/>
          <w:w w:val="105"/>
        </w:rPr>
        <w:t>PRI</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spacing w:val="-3"/>
          <w:w w:val="105"/>
        </w:rPr>
        <w:t>PRD,</w:t>
      </w:r>
      <w:r>
        <w:rPr>
          <w:color w:val="231F20"/>
          <w:spacing w:val="-17"/>
          <w:w w:val="105"/>
        </w:rPr>
        <w:t> </w:t>
      </w:r>
      <w:r>
        <w:rPr>
          <w:color w:val="231F20"/>
          <w:w w:val="105"/>
        </w:rPr>
        <w:t>así</w:t>
      </w:r>
      <w:r>
        <w:rPr>
          <w:color w:val="231F20"/>
          <w:spacing w:val="-17"/>
          <w:w w:val="105"/>
        </w:rPr>
        <w:t> </w:t>
      </w:r>
      <w:r>
        <w:rPr>
          <w:color w:val="231F20"/>
          <w:w w:val="105"/>
        </w:rPr>
        <w:t>vemos</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porcentajes de</w:t>
      </w:r>
      <w:r>
        <w:rPr>
          <w:color w:val="231F20"/>
          <w:spacing w:val="-20"/>
          <w:w w:val="105"/>
        </w:rPr>
        <w:t> </w:t>
      </w:r>
      <w:r>
        <w:rPr>
          <w:color w:val="231F20"/>
          <w:w w:val="105"/>
        </w:rPr>
        <w:t>votación</w:t>
      </w:r>
      <w:r>
        <w:rPr>
          <w:color w:val="231F20"/>
          <w:spacing w:val="-20"/>
          <w:w w:val="105"/>
        </w:rPr>
        <w:t> </w:t>
      </w:r>
      <w:r>
        <w:rPr>
          <w:color w:val="231F20"/>
          <w:w w:val="105"/>
        </w:rPr>
        <w:t>se</w:t>
      </w:r>
      <w:r>
        <w:rPr>
          <w:color w:val="231F20"/>
          <w:spacing w:val="-20"/>
          <w:w w:val="105"/>
        </w:rPr>
        <w:t> </w:t>
      </w:r>
      <w:r>
        <w:rPr>
          <w:color w:val="231F20"/>
          <w:w w:val="105"/>
        </w:rPr>
        <w:t>acercan</w:t>
      </w:r>
      <w:r>
        <w:rPr>
          <w:color w:val="231F20"/>
          <w:spacing w:val="-20"/>
          <w:w w:val="105"/>
        </w:rPr>
        <w:t> </w:t>
      </w:r>
      <w:r>
        <w:rPr>
          <w:color w:val="231F20"/>
          <w:w w:val="105"/>
        </w:rPr>
        <w:t>cada</w:t>
      </w:r>
      <w:r>
        <w:rPr>
          <w:color w:val="231F20"/>
          <w:spacing w:val="-20"/>
          <w:w w:val="105"/>
        </w:rPr>
        <w:t> </w:t>
      </w:r>
      <w:r>
        <w:rPr>
          <w:color w:val="231F20"/>
          <w:w w:val="105"/>
        </w:rPr>
        <w:t>vez</w:t>
      </w:r>
      <w:r>
        <w:rPr>
          <w:color w:val="231F20"/>
          <w:spacing w:val="-20"/>
          <w:w w:val="105"/>
        </w:rPr>
        <w:t> </w:t>
      </w:r>
      <w:r>
        <w:rPr>
          <w:color w:val="231F20"/>
          <w:w w:val="105"/>
        </w:rPr>
        <w:t>más</w:t>
      </w:r>
      <w:r>
        <w:rPr>
          <w:color w:val="231F20"/>
          <w:spacing w:val="-20"/>
          <w:w w:val="105"/>
        </w:rPr>
        <w:t> </w:t>
      </w:r>
      <w:r>
        <w:rPr>
          <w:color w:val="231F20"/>
          <w:spacing w:val="-4"/>
          <w:w w:val="105"/>
        </w:rPr>
        <w:t>(ver</w:t>
      </w:r>
      <w:r>
        <w:rPr>
          <w:color w:val="231F20"/>
          <w:spacing w:val="-20"/>
          <w:w w:val="105"/>
        </w:rPr>
        <w:t> </w:t>
      </w:r>
      <w:r>
        <w:rPr>
          <w:color w:val="231F20"/>
          <w:w w:val="105"/>
        </w:rPr>
        <w:t>gráfica</w:t>
      </w:r>
      <w:r>
        <w:rPr>
          <w:color w:val="231F20"/>
          <w:spacing w:val="-20"/>
          <w:w w:val="105"/>
        </w:rPr>
        <w:t> </w:t>
      </w:r>
      <w:r>
        <w:rPr>
          <w:color w:val="231F20"/>
          <w:spacing w:val="-7"/>
          <w:w w:val="105"/>
        </w:rPr>
        <w:t>1)</w:t>
      </w:r>
      <w:r>
        <w:rPr>
          <w:color w:val="231F20"/>
          <w:spacing w:val="-20"/>
          <w:w w:val="105"/>
        </w:rPr>
        <w:t> </w:t>
      </w:r>
      <w:r>
        <w:rPr>
          <w:color w:val="231F20"/>
          <w:w w:val="105"/>
        </w:rPr>
        <w:t>a</w:t>
      </w:r>
      <w:r>
        <w:rPr>
          <w:color w:val="231F20"/>
          <w:spacing w:val="-20"/>
          <w:w w:val="105"/>
        </w:rPr>
        <w:t> </w:t>
      </w:r>
      <w:r>
        <w:rPr>
          <w:color w:val="231F20"/>
          <w:w w:val="105"/>
        </w:rPr>
        <w:t>excepción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años</w:t>
      </w:r>
      <w:r>
        <w:rPr>
          <w:color w:val="231F20"/>
          <w:spacing w:val="-20"/>
          <w:w w:val="105"/>
        </w:rPr>
        <w:t> </w:t>
      </w:r>
      <w:r>
        <w:rPr>
          <w:color w:val="231F20"/>
          <w:w w:val="105"/>
        </w:rPr>
        <w:t>1993</w:t>
      </w:r>
      <w:r>
        <w:rPr>
          <w:color w:val="231F20"/>
          <w:spacing w:val="-20"/>
          <w:w w:val="105"/>
        </w:rPr>
        <w:t> </w:t>
      </w:r>
      <w:r>
        <w:rPr>
          <w:color w:val="231F20"/>
          <w:w w:val="105"/>
        </w:rPr>
        <w:t>y</w:t>
      </w:r>
      <w:r>
        <w:rPr>
          <w:color w:val="231F20"/>
          <w:spacing w:val="-20"/>
          <w:w w:val="105"/>
        </w:rPr>
        <w:t> </w:t>
      </w:r>
      <w:r>
        <w:rPr>
          <w:color w:val="231F20"/>
          <w:spacing w:val="3"/>
          <w:w w:val="105"/>
        </w:rPr>
        <w:t>2000. </w:t>
      </w:r>
      <w:r>
        <w:rPr>
          <w:color w:val="231F20"/>
          <w:w w:val="105"/>
        </w:rPr>
        <w:t>A </w:t>
      </w:r>
      <w:r>
        <w:rPr>
          <w:color w:val="231F20"/>
          <w:spacing w:val="2"/>
          <w:w w:val="105"/>
        </w:rPr>
        <w:t>partir </w:t>
      </w:r>
      <w:r>
        <w:rPr>
          <w:color w:val="231F20"/>
          <w:w w:val="105"/>
        </w:rPr>
        <w:t>del año 1996 el PRI presenta una disminución de su porcentaje electoral que equivale</w:t>
      </w:r>
      <w:r>
        <w:rPr>
          <w:color w:val="231F20"/>
          <w:spacing w:val="-3"/>
          <w:w w:val="105"/>
        </w:rPr>
        <w:t> </w:t>
      </w:r>
      <w:r>
        <w:rPr>
          <w:color w:val="231F20"/>
          <w:w w:val="105"/>
        </w:rPr>
        <w:t>a</w:t>
      </w:r>
      <w:r>
        <w:rPr>
          <w:color w:val="231F20"/>
          <w:spacing w:val="-3"/>
          <w:w w:val="105"/>
        </w:rPr>
        <w:t> </w:t>
      </w:r>
      <w:r>
        <w:rPr>
          <w:color w:val="231F20"/>
          <w:w w:val="105"/>
        </w:rPr>
        <w:t>3,401</w:t>
      </w:r>
      <w:r>
        <w:rPr>
          <w:color w:val="231F20"/>
          <w:spacing w:val="-3"/>
          <w:w w:val="105"/>
        </w:rPr>
        <w:t> </w:t>
      </w:r>
      <w:r>
        <w:rPr>
          <w:color w:val="231F20"/>
          <w:w w:val="105"/>
        </w:rPr>
        <w:t>sufragios,</w:t>
      </w:r>
      <w:r>
        <w:rPr>
          <w:color w:val="231F20"/>
          <w:spacing w:val="-3"/>
          <w:w w:val="105"/>
        </w:rPr>
        <w:t> </w:t>
      </w:r>
      <w:r>
        <w:rPr>
          <w:color w:val="231F20"/>
          <w:w w:val="105"/>
        </w:rPr>
        <w:t>es</w:t>
      </w:r>
      <w:r>
        <w:rPr>
          <w:color w:val="231F20"/>
          <w:spacing w:val="-3"/>
          <w:w w:val="105"/>
        </w:rPr>
        <w:t> </w:t>
      </w:r>
      <w:r>
        <w:rPr>
          <w:color w:val="231F20"/>
          <w:w w:val="105"/>
        </w:rPr>
        <w:t>decir</w:t>
      </w:r>
      <w:r>
        <w:rPr>
          <w:color w:val="231F20"/>
          <w:spacing w:val="-3"/>
          <w:w w:val="105"/>
        </w:rPr>
        <w:t> </w:t>
      </w:r>
      <w:r>
        <w:rPr>
          <w:color w:val="231F20"/>
          <w:w w:val="105"/>
        </w:rPr>
        <w:t>un</w:t>
      </w:r>
      <w:r>
        <w:rPr>
          <w:color w:val="231F20"/>
          <w:spacing w:val="-3"/>
          <w:w w:val="105"/>
        </w:rPr>
        <w:t> </w:t>
      </w:r>
      <w:r>
        <w:rPr>
          <w:color w:val="231F20"/>
          <w:spacing w:val="-5"/>
          <w:w w:val="105"/>
        </w:rPr>
        <w:t>16.41%</w:t>
      </w:r>
      <w:r>
        <w:rPr>
          <w:color w:val="231F20"/>
          <w:spacing w:val="-3"/>
          <w:w w:val="105"/>
        </w:rPr>
        <w:t> </w:t>
      </w:r>
      <w:r>
        <w:rPr>
          <w:color w:val="231F20"/>
          <w:w w:val="105"/>
        </w:rPr>
        <w:t>menos.</w:t>
      </w:r>
      <w:r>
        <w:rPr>
          <w:color w:val="231F20"/>
          <w:spacing w:val="-3"/>
          <w:w w:val="105"/>
        </w:rPr>
        <w:t> </w:t>
      </w:r>
      <w:r>
        <w:rPr>
          <w:color w:val="231F20"/>
          <w:w w:val="105"/>
        </w:rPr>
        <w:t>Para</w:t>
      </w:r>
      <w:r>
        <w:rPr>
          <w:color w:val="231F20"/>
          <w:spacing w:val="-3"/>
          <w:w w:val="105"/>
        </w:rPr>
        <w:t> </w:t>
      </w:r>
      <w:r>
        <w:rPr>
          <w:color w:val="231F20"/>
          <w:w w:val="105"/>
        </w:rPr>
        <w:t>el</w:t>
      </w:r>
      <w:r>
        <w:rPr>
          <w:color w:val="231F20"/>
          <w:spacing w:val="-3"/>
          <w:w w:val="105"/>
        </w:rPr>
        <w:t> </w:t>
      </w:r>
      <w:r>
        <w:rPr>
          <w:color w:val="231F20"/>
          <w:w w:val="105"/>
        </w:rPr>
        <w:t>año</w:t>
      </w:r>
      <w:r>
        <w:rPr>
          <w:color w:val="231F20"/>
          <w:spacing w:val="-3"/>
          <w:w w:val="105"/>
        </w:rPr>
        <w:t> </w:t>
      </w:r>
      <w:r>
        <w:rPr>
          <w:color w:val="231F20"/>
          <w:spacing w:val="4"/>
          <w:w w:val="105"/>
        </w:rPr>
        <w:t>2000</w:t>
      </w:r>
      <w:r>
        <w:rPr>
          <w:color w:val="231F20"/>
          <w:spacing w:val="-3"/>
          <w:w w:val="105"/>
        </w:rPr>
        <w:t> </w:t>
      </w:r>
      <w:r>
        <w:rPr>
          <w:color w:val="231F20"/>
          <w:w w:val="105"/>
        </w:rPr>
        <w:t>se</w:t>
      </w:r>
      <w:r>
        <w:rPr>
          <w:color w:val="231F20"/>
          <w:spacing w:val="-3"/>
          <w:w w:val="105"/>
        </w:rPr>
        <w:t> </w:t>
      </w:r>
      <w:r>
        <w:rPr>
          <w:color w:val="231F20"/>
          <w:w w:val="105"/>
        </w:rPr>
        <w:t>recupera</w:t>
      </w:r>
      <w:r>
        <w:rPr>
          <w:color w:val="231F20"/>
          <w:spacing w:val="-3"/>
          <w:w w:val="105"/>
        </w:rPr>
        <w:t> </w:t>
      </w:r>
      <w:r>
        <w:rPr>
          <w:color w:val="231F20"/>
          <w:spacing w:val="2"/>
          <w:w w:val="105"/>
        </w:rPr>
        <w:t>al </w:t>
      </w:r>
      <w:r>
        <w:rPr>
          <w:color w:val="231F20"/>
          <w:w w:val="105"/>
        </w:rPr>
        <w:t>lograr</w:t>
      </w:r>
      <w:r>
        <w:rPr>
          <w:color w:val="231F20"/>
          <w:spacing w:val="-21"/>
          <w:w w:val="105"/>
        </w:rPr>
        <w:t> </w:t>
      </w:r>
      <w:r>
        <w:rPr>
          <w:color w:val="231F20"/>
          <w:w w:val="105"/>
        </w:rPr>
        <w:t>más</w:t>
      </w:r>
      <w:r>
        <w:rPr>
          <w:color w:val="231F20"/>
          <w:spacing w:val="-21"/>
          <w:w w:val="105"/>
        </w:rPr>
        <w:t> </w:t>
      </w:r>
      <w:r>
        <w:rPr>
          <w:color w:val="231F20"/>
          <w:w w:val="105"/>
        </w:rPr>
        <w:t>del</w:t>
      </w:r>
      <w:r>
        <w:rPr>
          <w:color w:val="231F20"/>
          <w:spacing w:val="-21"/>
          <w:w w:val="105"/>
        </w:rPr>
        <w:t> </w:t>
      </w:r>
      <w:r>
        <w:rPr>
          <w:color w:val="231F20"/>
          <w:w w:val="105"/>
        </w:rPr>
        <w:t>50%</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votos</w:t>
      </w:r>
      <w:r>
        <w:rPr>
          <w:color w:val="231F20"/>
          <w:spacing w:val="-21"/>
          <w:w w:val="105"/>
        </w:rPr>
        <w:t> </w:t>
      </w:r>
      <w:r>
        <w:rPr>
          <w:color w:val="231F20"/>
          <w:spacing w:val="-3"/>
          <w:w w:val="105"/>
        </w:rPr>
        <w:t>(13,696</w:t>
      </w:r>
      <w:r>
        <w:rPr>
          <w:color w:val="231F20"/>
          <w:spacing w:val="-21"/>
          <w:w w:val="105"/>
        </w:rPr>
        <w:t> </w:t>
      </w:r>
      <w:r>
        <w:rPr>
          <w:color w:val="231F20"/>
          <w:w w:val="105"/>
        </w:rPr>
        <w:t>votos</w:t>
      </w:r>
      <w:r>
        <w:rPr>
          <w:color w:val="231F20"/>
          <w:spacing w:val="-21"/>
          <w:w w:val="105"/>
        </w:rPr>
        <w:t> </w:t>
      </w:r>
      <w:r>
        <w:rPr>
          <w:color w:val="231F20"/>
          <w:w w:val="105"/>
        </w:rPr>
        <w:t>en</w:t>
      </w:r>
      <w:r>
        <w:rPr>
          <w:color w:val="231F20"/>
          <w:spacing w:val="-21"/>
          <w:w w:val="105"/>
        </w:rPr>
        <w:t> </w:t>
      </w:r>
      <w:r>
        <w:rPr>
          <w:color w:val="231F20"/>
          <w:w w:val="105"/>
        </w:rPr>
        <w:t>total),</w:t>
      </w:r>
      <w:r>
        <w:rPr>
          <w:color w:val="231F20"/>
          <w:spacing w:val="-21"/>
          <w:w w:val="105"/>
        </w:rPr>
        <w:t> </w:t>
      </w:r>
      <w:r>
        <w:rPr>
          <w:color w:val="231F20"/>
          <w:w w:val="105"/>
        </w:rPr>
        <w:t>nuevamente</w:t>
      </w:r>
      <w:r>
        <w:rPr>
          <w:color w:val="231F20"/>
          <w:spacing w:val="-21"/>
          <w:w w:val="105"/>
        </w:rPr>
        <w:t> </w:t>
      </w:r>
      <w:r>
        <w:rPr>
          <w:color w:val="231F20"/>
          <w:w w:val="105"/>
        </w:rPr>
        <w:t>disminuye</w:t>
      </w:r>
      <w:r>
        <w:rPr>
          <w:color w:val="231F20"/>
          <w:spacing w:val="-21"/>
          <w:w w:val="105"/>
        </w:rPr>
        <w:t> </w:t>
      </w:r>
      <w:r>
        <w:rPr>
          <w:color w:val="231F20"/>
          <w:w w:val="105"/>
        </w:rPr>
        <w:t>en</w:t>
      </w:r>
      <w:r>
        <w:rPr>
          <w:color w:val="231F20"/>
          <w:spacing w:val="-21"/>
          <w:w w:val="105"/>
        </w:rPr>
        <w:t> </w:t>
      </w:r>
      <w:r>
        <w:rPr>
          <w:color w:val="231F20"/>
          <w:spacing w:val="2"/>
          <w:w w:val="105"/>
        </w:rPr>
        <w:t>2003, </w:t>
      </w:r>
      <w:r>
        <w:rPr>
          <w:color w:val="231F20"/>
          <w:w w:val="105"/>
        </w:rPr>
        <w:t>año</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spacing w:val="-3"/>
          <w:w w:val="105"/>
        </w:rPr>
        <w:t>pierde</w:t>
      </w:r>
      <w:r>
        <w:rPr>
          <w:color w:val="231F20"/>
          <w:spacing w:val="-17"/>
          <w:w w:val="105"/>
        </w:rPr>
        <w:t> </w:t>
      </w:r>
      <w:r>
        <w:rPr>
          <w:color w:val="231F20"/>
          <w:w w:val="105"/>
        </w:rPr>
        <w:t>la</w:t>
      </w:r>
      <w:r>
        <w:rPr>
          <w:color w:val="231F20"/>
          <w:spacing w:val="-17"/>
          <w:w w:val="105"/>
        </w:rPr>
        <w:t> </w:t>
      </w:r>
      <w:r>
        <w:rPr>
          <w:color w:val="231F20"/>
          <w:w w:val="105"/>
        </w:rPr>
        <w:t>presidencia</w:t>
      </w:r>
      <w:r>
        <w:rPr>
          <w:color w:val="231F20"/>
          <w:spacing w:val="-17"/>
          <w:w w:val="105"/>
        </w:rPr>
        <w:t> </w:t>
      </w:r>
      <w:r>
        <w:rPr>
          <w:color w:val="231F20"/>
          <w:w w:val="105"/>
        </w:rPr>
        <w:t>municipal</w:t>
      </w:r>
      <w:r>
        <w:rPr>
          <w:color w:val="231F20"/>
          <w:spacing w:val="-17"/>
          <w:w w:val="105"/>
        </w:rPr>
        <w:t> </w:t>
      </w:r>
      <w:r>
        <w:rPr>
          <w:color w:val="231F20"/>
          <w:w w:val="105"/>
        </w:rPr>
        <w:t>frente</w:t>
      </w:r>
      <w:r>
        <w:rPr>
          <w:color w:val="231F20"/>
          <w:spacing w:val="-17"/>
          <w:w w:val="105"/>
        </w:rPr>
        <w:t> </w:t>
      </w:r>
      <w:r>
        <w:rPr>
          <w:color w:val="231F20"/>
          <w:spacing w:val="2"/>
          <w:w w:val="105"/>
        </w:rPr>
        <w:t>al</w:t>
      </w:r>
      <w:r>
        <w:rPr>
          <w:color w:val="231F20"/>
          <w:spacing w:val="-17"/>
          <w:w w:val="105"/>
        </w:rPr>
        <w:t> </w:t>
      </w:r>
      <w:r>
        <w:rPr>
          <w:color w:val="231F20"/>
          <w:w w:val="105"/>
        </w:rPr>
        <w:t>PRD</w:t>
      </w:r>
      <w:r>
        <w:rPr>
          <w:color w:val="231F20"/>
          <w:spacing w:val="-17"/>
          <w:w w:val="105"/>
        </w:rPr>
        <w:t> </w:t>
      </w:r>
      <w:r>
        <w:rPr>
          <w:color w:val="231F20"/>
          <w:spacing w:val="2"/>
          <w:w w:val="105"/>
        </w:rPr>
        <w:t>al</w:t>
      </w:r>
      <w:r>
        <w:rPr>
          <w:color w:val="231F20"/>
          <w:spacing w:val="-17"/>
          <w:w w:val="105"/>
        </w:rPr>
        <w:t> </w:t>
      </w:r>
      <w:r>
        <w:rPr>
          <w:color w:val="231F20"/>
          <w:w w:val="105"/>
        </w:rPr>
        <w:t>bajar</w:t>
      </w:r>
      <w:r>
        <w:rPr>
          <w:color w:val="231F20"/>
          <w:spacing w:val="-17"/>
          <w:w w:val="105"/>
        </w:rPr>
        <w:t> </w:t>
      </w:r>
      <w:r>
        <w:rPr>
          <w:color w:val="231F20"/>
          <w:w w:val="105"/>
        </w:rPr>
        <w:t>en</w:t>
      </w:r>
      <w:r>
        <w:rPr>
          <w:color w:val="231F20"/>
          <w:spacing w:val="-17"/>
          <w:w w:val="105"/>
        </w:rPr>
        <w:t> </w:t>
      </w:r>
      <w:r>
        <w:rPr>
          <w:color w:val="231F20"/>
          <w:spacing w:val="-5"/>
          <w:w w:val="105"/>
        </w:rPr>
        <w:t>11.75%</w:t>
      </w:r>
      <w:r>
        <w:rPr>
          <w:color w:val="231F20"/>
          <w:spacing w:val="-17"/>
          <w:w w:val="105"/>
        </w:rPr>
        <w:t> </w:t>
      </w:r>
      <w:r>
        <w:rPr>
          <w:color w:val="231F20"/>
          <w:w w:val="105"/>
        </w:rPr>
        <w:t>su</w:t>
      </w:r>
      <w:r>
        <w:rPr>
          <w:color w:val="231F20"/>
          <w:spacing w:val="-17"/>
          <w:w w:val="105"/>
        </w:rPr>
        <w:t> </w:t>
      </w:r>
      <w:r>
        <w:rPr>
          <w:color w:val="231F20"/>
          <w:w w:val="105"/>
        </w:rPr>
        <w:t>votación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hanging="1"/>
        <w:jc w:val="both"/>
      </w:pPr>
      <w:r>
        <w:rPr>
          <w:color w:val="231F20"/>
          <w:w w:val="105"/>
        </w:rPr>
        <w:t>con</w:t>
      </w:r>
      <w:r>
        <w:rPr>
          <w:color w:val="231F20"/>
          <w:spacing w:val="-8"/>
          <w:w w:val="105"/>
        </w:rPr>
        <w:t> </w:t>
      </w:r>
      <w:r>
        <w:rPr>
          <w:color w:val="231F20"/>
          <w:w w:val="105"/>
        </w:rPr>
        <w:t>8,958</w:t>
      </w:r>
      <w:r>
        <w:rPr>
          <w:color w:val="231F20"/>
          <w:spacing w:val="-8"/>
          <w:w w:val="105"/>
        </w:rPr>
        <w:t> </w:t>
      </w:r>
      <w:r>
        <w:rPr>
          <w:color w:val="231F20"/>
          <w:w w:val="105"/>
        </w:rPr>
        <w:t>votos.</w:t>
      </w:r>
      <w:r>
        <w:rPr>
          <w:color w:val="231F20"/>
          <w:spacing w:val="-8"/>
          <w:w w:val="105"/>
        </w:rPr>
        <w:t> </w:t>
      </w:r>
      <w:r>
        <w:rPr>
          <w:color w:val="231F20"/>
          <w:w w:val="105"/>
        </w:rPr>
        <w:t>Finalmente</w:t>
      </w:r>
      <w:r>
        <w:rPr>
          <w:color w:val="231F20"/>
          <w:spacing w:val="-8"/>
          <w:w w:val="105"/>
        </w:rPr>
        <w:t> </w:t>
      </w:r>
      <w:r>
        <w:rPr>
          <w:color w:val="231F20"/>
          <w:w w:val="105"/>
        </w:rPr>
        <w:t>en</w:t>
      </w:r>
      <w:r>
        <w:rPr>
          <w:color w:val="231F20"/>
          <w:spacing w:val="-8"/>
          <w:w w:val="105"/>
        </w:rPr>
        <w:t> </w:t>
      </w:r>
      <w:r>
        <w:rPr>
          <w:color w:val="231F20"/>
          <w:spacing w:val="3"/>
          <w:w w:val="105"/>
        </w:rPr>
        <w:t>2006</w:t>
      </w:r>
      <w:r>
        <w:rPr>
          <w:color w:val="231F20"/>
          <w:spacing w:val="-8"/>
          <w:w w:val="105"/>
        </w:rPr>
        <w:t> </w:t>
      </w:r>
      <w:r>
        <w:rPr>
          <w:color w:val="231F20"/>
          <w:w w:val="105"/>
        </w:rPr>
        <w:t>recupera</w:t>
      </w:r>
      <w:r>
        <w:rPr>
          <w:color w:val="231F20"/>
          <w:spacing w:val="-8"/>
          <w:w w:val="105"/>
        </w:rPr>
        <w:t> </w:t>
      </w:r>
      <w:r>
        <w:rPr>
          <w:color w:val="231F20"/>
          <w:w w:val="105"/>
        </w:rPr>
        <w:t>la</w:t>
      </w:r>
      <w:r>
        <w:rPr>
          <w:color w:val="231F20"/>
          <w:spacing w:val="-8"/>
          <w:w w:val="105"/>
        </w:rPr>
        <w:t> </w:t>
      </w:r>
      <w:r>
        <w:rPr>
          <w:color w:val="231F20"/>
          <w:w w:val="105"/>
        </w:rPr>
        <w:t>presidencia</w:t>
      </w:r>
      <w:r>
        <w:rPr>
          <w:color w:val="231F20"/>
          <w:spacing w:val="-8"/>
          <w:w w:val="105"/>
        </w:rPr>
        <w:t> </w:t>
      </w:r>
      <w:r>
        <w:rPr>
          <w:color w:val="231F20"/>
          <w:w w:val="105"/>
        </w:rPr>
        <w:t>municipal</w:t>
      </w:r>
      <w:r>
        <w:rPr>
          <w:color w:val="231F20"/>
          <w:spacing w:val="-8"/>
          <w:w w:val="105"/>
        </w:rPr>
        <w:t> </w:t>
      </w:r>
      <w:r>
        <w:rPr>
          <w:color w:val="231F20"/>
          <w:w w:val="105"/>
        </w:rPr>
        <w:t>con</w:t>
      </w:r>
      <w:r>
        <w:rPr>
          <w:color w:val="231F20"/>
          <w:spacing w:val="-8"/>
          <w:w w:val="105"/>
        </w:rPr>
        <w:t> </w:t>
      </w:r>
      <w:r>
        <w:rPr>
          <w:color w:val="231F20"/>
          <w:spacing w:val="-5"/>
          <w:w w:val="105"/>
        </w:rPr>
        <w:t>11,121</w:t>
      </w:r>
      <w:r>
        <w:rPr>
          <w:color w:val="231F20"/>
          <w:spacing w:val="-8"/>
          <w:w w:val="105"/>
        </w:rPr>
        <w:t> </w:t>
      </w:r>
      <w:r>
        <w:rPr>
          <w:color w:val="231F20"/>
          <w:w w:val="105"/>
        </w:rPr>
        <w:t>su- fragios</w:t>
      </w:r>
      <w:r>
        <w:rPr>
          <w:color w:val="231F20"/>
          <w:spacing w:val="-16"/>
          <w:w w:val="105"/>
        </w:rPr>
        <w:t> </w:t>
      </w:r>
      <w:r>
        <w:rPr>
          <w:color w:val="231F20"/>
          <w:w w:val="105"/>
        </w:rPr>
        <w:t>que</w:t>
      </w:r>
      <w:r>
        <w:rPr>
          <w:color w:val="231F20"/>
          <w:spacing w:val="-16"/>
          <w:w w:val="105"/>
        </w:rPr>
        <w:t> </w:t>
      </w:r>
      <w:r>
        <w:rPr>
          <w:color w:val="231F20"/>
          <w:w w:val="105"/>
        </w:rPr>
        <w:t>equivalen</w:t>
      </w:r>
      <w:r>
        <w:rPr>
          <w:color w:val="231F20"/>
          <w:spacing w:val="-16"/>
          <w:w w:val="105"/>
        </w:rPr>
        <w:t> </w:t>
      </w:r>
      <w:r>
        <w:rPr>
          <w:color w:val="231F20"/>
          <w:spacing w:val="2"/>
          <w:w w:val="105"/>
        </w:rPr>
        <w:t>al</w:t>
      </w:r>
      <w:r>
        <w:rPr>
          <w:color w:val="231F20"/>
          <w:spacing w:val="-16"/>
          <w:w w:val="105"/>
        </w:rPr>
        <w:t> </w:t>
      </w:r>
      <w:r>
        <w:rPr>
          <w:color w:val="231F20"/>
          <w:w w:val="105"/>
        </w:rPr>
        <w:t>46.25%,</w:t>
      </w:r>
      <w:r>
        <w:rPr>
          <w:color w:val="231F20"/>
          <w:spacing w:val="-16"/>
          <w:w w:val="105"/>
        </w:rPr>
        <w:t> </w:t>
      </w:r>
      <w:r>
        <w:rPr>
          <w:color w:val="231F20"/>
          <w:w w:val="105"/>
        </w:rPr>
        <w:t>tuvo</w:t>
      </w:r>
      <w:r>
        <w:rPr>
          <w:color w:val="231F20"/>
          <w:spacing w:val="-16"/>
          <w:w w:val="105"/>
        </w:rPr>
        <w:t> </w:t>
      </w:r>
      <w:r>
        <w:rPr>
          <w:color w:val="231F20"/>
          <w:w w:val="105"/>
        </w:rPr>
        <w:t>un</w:t>
      </w:r>
      <w:r>
        <w:rPr>
          <w:color w:val="231F20"/>
          <w:spacing w:val="-16"/>
          <w:w w:val="105"/>
        </w:rPr>
        <w:t> </w:t>
      </w:r>
      <w:r>
        <w:rPr>
          <w:color w:val="231F20"/>
          <w:w w:val="105"/>
        </w:rPr>
        <w:t>incremento</w:t>
      </w:r>
      <w:r>
        <w:rPr>
          <w:color w:val="231F20"/>
          <w:spacing w:val="-16"/>
          <w:w w:val="105"/>
        </w:rPr>
        <w:t> </w:t>
      </w:r>
      <w:r>
        <w:rPr>
          <w:color w:val="231F20"/>
          <w:w w:val="105"/>
        </w:rPr>
        <w:t>de</w:t>
      </w:r>
      <w:r>
        <w:rPr>
          <w:color w:val="231F20"/>
          <w:spacing w:val="-16"/>
          <w:w w:val="105"/>
        </w:rPr>
        <w:t> </w:t>
      </w:r>
      <w:r>
        <w:rPr>
          <w:color w:val="231F20"/>
          <w:spacing w:val="-4"/>
          <w:w w:val="105"/>
        </w:rPr>
        <w:t>4.61%</w:t>
      </w:r>
      <w:r>
        <w:rPr>
          <w:color w:val="231F20"/>
          <w:spacing w:val="-16"/>
          <w:w w:val="105"/>
        </w:rPr>
        <w:t> </w:t>
      </w:r>
      <w:r>
        <w:rPr>
          <w:color w:val="231F20"/>
          <w:w w:val="105"/>
        </w:rPr>
        <w:t>respecto</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resultados del trienio inmediato</w:t>
      </w:r>
      <w:r>
        <w:rPr>
          <w:color w:val="231F20"/>
          <w:spacing w:val="-9"/>
          <w:w w:val="105"/>
        </w:rPr>
        <w:t> </w:t>
      </w:r>
      <w:r>
        <w:rPr>
          <w:color w:val="231F20"/>
          <w:w w:val="105"/>
        </w:rPr>
        <w:t>anterior.</w:t>
      </w:r>
    </w:p>
    <w:p>
      <w:pPr>
        <w:pStyle w:val="BodyText"/>
        <w:spacing w:before="1"/>
        <w:rPr>
          <w:sz w:val="26"/>
        </w:rPr>
      </w:pPr>
    </w:p>
    <w:p>
      <w:pPr>
        <w:pStyle w:val="BodyText"/>
        <w:spacing w:line="285" w:lineRule="auto"/>
        <w:ind w:left="110" w:right="107"/>
        <w:jc w:val="both"/>
      </w:pPr>
      <w:r>
        <w:rPr/>
        <w:pict>
          <v:group style="position:absolute;margin-left:113.0672pt;margin-top:63.423523pt;width:200.1pt;height:33.1pt;mso-position-horizontal-relative:page;mso-position-vertical-relative:paragraph;z-index:7984;mso-wrap-distance-left:0;mso-wrap-distance-right:0" coordorigin="2261,1268" coordsize="4002,662">
            <v:shape style="position:absolute;left:4300;top:1268;width:666;height:162" type="#_x0000_t75" stroked="false">
              <v:imagedata r:id="rId323" o:title=""/>
            </v:shape>
            <v:shape style="position:absolute;left:2261;top:1511;width:453;height:146" type="#_x0000_t75" stroked="false">
              <v:imagedata r:id="rId324" o:title=""/>
            </v:shape>
            <v:shape style="position:absolute;left:2741;top:1497;width:560;height:169" type="#_x0000_t75" stroked="false">
              <v:imagedata r:id="rId325" o:title=""/>
            </v:shape>
            <v:shape style="position:absolute;left:3368;top:1497;width:747;height:169" type="#_x0000_t75" stroked="false">
              <v:imagedata r:id="rId326" o:title=""/>
            </v:shape>
            <v:shape style="position:absolute;left:4134;top:1497;width:253;height:169" type="#_x0000_t75" stroked="false">
              <v:imagedata r:id="rId327" o:title=""/>
            </v:shape>
            <v:shape style="position:absolute;left:4461;top:1546;width:399;height:149" type="#_x0000_t75" stroked="false">
              <v:imagedata r:id="rId328" o:title=""/>
            </v:shape>
            <v:shape style="position:absolute;left:4919;top:1510;width:1344;height:185" type="#_x0000_t75" stroked="false">
              <v:imagedata r:id="rId329" o:title=""/>
            </v:shape>
            <v:shape style="position:absolute;left:3359;top:1748;width:635;height:146" type="#_x0000_t75" stroked="false">
              <v:imagedata r:id="rId330" o:title=""/>
            </v:shape>
            <v:shape style="position:absolute;left:4062;top:1748;width:223;height:145" type="#_x0000_t75" stroked="false">
              <v:imagedata r:id="rId331" o:title=""/>
            </v:shape>
            <v:shape style="position:absolute;left:4356;top:1742;width:647;height:162" type="#_x0000_t75" stroked="false">
              <v:imagedata r:id="rId332" o:title=""/>
            </v:shape>
            <v:shape style="position:absolute;left:5073;top:1746;width:132;height:184" type="#_x0000_t75" stroked="false">
              <v:imagedata r:id="rId333" o:title=""/>
            </v:shape>
            <v:shape style="position:absolute;left:5246;top:1746;width:884;height:184" type="#_x0000_t75" stroked="false">
              <v:imagedata r:id="rId334" o:title=""/>
            </v:shape>
            <w10:wrap type="topAndBottom"/>
          </v:group>
        </w:pict>
      </w:r>
      <w:r>
        <w:rPr/>
        <w:pict>
          <v:group style="position:absolute;margin-left:316.06311pt;margin-top:74.814316pt;width:45.15pt;height:10pt;mso-position-horizontal-relative:page;mso-position-vertical-relative:paragraph;z-index:8008;mso-wrap-distance-left:0;mso-wrap-distance-right:0" coordorigin="6321,1496" coordsize="903,200">
            <v:line style="position:absolute" from="6392,1536" to="6392,1653" stroked="true" strokeweight="1.493pt" strokecolor="#231f20"/>
            <v:line style="position:absolute" from="6334,1524" to="6449,1524" stroked="true" strokeweight="1.257pt" strokecolor="#231f20"/>
            <v:shape style="position:absolute;left:6442;top:1545;width:105;height:112" coordorigin="6442,1545" coordsize="105,112" path="m6503,1545l6494,1545,6483,1546,6473,1549,6464,1554,6456,1560,6450,1568,6445,1577,6445,1578,6442,1589,6442,1602,6443,1615,6446,1627,6451,1636,6458,1644,6468,1652,6481,1657,6495,1657,6507,1656,6517,1653,6526,1648,6534,1641,6540,1635,6540,1634,6489,1634,6484,1633,6480,1630,6473,1626,6470,1619,6469,1608,6546,1608,6546,1599,6546,1592,6545,1590,6470,1590,6471,1583,6473,1578,6481,1570,6487,1568,6538,1568,6532,1559,6526,1554,6511,1547,6503,1545xm6544,1622l6516,1622,6515,1625,6513,1628,6507,1633,6502,1634,6540,1634,6544,1629,6544,1622xm6538,1568l6500,1568,6505,1570,6514,1577,6517,1583,6517,1590,6545,1590,6543,1579,6541,1572,6538,1568xe" filled="true" fillcolor="#231f20" stroked="false">
              <v:path arrowok="t"/>
              <v:fill type="solid"/>
            </v:shape>
            <v:shape style="position:absolute;left:6548;top:1510;width:41;height:186" coordorigin="6548,1510" coordsize="41,186" path="m6548,1673l6548,1695,6550,1695,6570,1696,6578,1693,6586,1683,6588,1675,6588,1674,6555,1674,6550,1673,6548,1673xm6588,1549l6561,1549,6561,1668,6560,1670,6557,1673,6555,1674,6588,1674,6588,1549xm6588,1510l6561,1510,6561,1536,6588,1536,6588,1510xe" filled="true" fillcolor="#231f20" stroked="false">
              <v:path arrowok="t"/>
              <v:fill type="solid"/>
            </v:shape>
            <v:shape style="position:absolute;left:6614;top:1548;width:95;height:108" coordorigin="6614,1548" coordsize="95,108" path="m6642,1548l6614,1548,6614,1623,6615,1633,6618,1639,6623,1650,6634,1655,6655,1655,6659,1655,6667,1652,6672,1649,6676,1645,6677,1644,6679,1643,6681,1640,6681,1638,6708,1638,6708,1633,6651,1633,6646,1630,6642,1622,6642,1617,6642,1548xm6708,1638l6681,1638,6681,1653,6708,1653,6708,1638xm6708,1548l6680,1548,6680,1612,6679,1617,6677,1622,6674,1629,6668,1633,6708,1633,6708,1548xe" filled="true" fillcolor="#231f20" stroked="false">
              <v:path arrowok="t"/>
              <v:fill type="solid"/>
            </v:shape>
            <v:shape style="position:absolute;left:6734;top:1546;width:102;height:149" coordorigin="6734,1546" coordsize="102,149" path="m6760,1548l6734,1548,6734,1694,6761,1694,6761,1640,6825,1640,6829,1633,6829,1633,6779,1633,6774,1632,6770,1629,6764,1624,6760,1615,6760,1595,6761,1589,6763,1584,6767,1575,6774,1570,6830,1570,6829,1567,6826,1564,6760,1564,6760,1548xm6825,1640l6761,1640,6764,1644,6767,1648,6776,1654,6783,1656,6804,1656,6815,1651,6823,1642,6825,1640xm6830,1570l6792,1570,6798,1573,6806,1585,6808,1593,6808,1610,6806,1618,6798,1630,6792,1633,6829,1633,6833,1624,6835,1612,6836,1599,6835,1587,6833,1576,6830,1570xm6804,1546l6783,1546,6776,1548,6770,1553,6767,1555,6763,1559,6760,1564,6826,1564,6823,1559,6815,1550,6804,1546xe" filled="true" fillcolor="#231f20" stroked="false">
              <v:path arrowok="t"/>
              <v:fill type="solid"/>
            </v:shape>
            <v:line style="position:absolute" from="6870,1510" to="6870,1653" stroked="true" strokeweight="1.392pt" strokecolor="#231f20"/>
            <v:line style="position:absolute" from="6924,1511" to="6924,1653" stroked="true" strokeweight="1.373pt" strokecolor="#231f20"/>
            <v:shape style="position:absolute;left:6959;top:1546;width:97;height:112" coordorigin="6959,1546" coordsize="97,112" path="m7022,1546l6993,1546,6981,1551,6972,1561,6966,1569,6962,1579,6960,1590,6959,1603,6960,1614,6962,1624,6966,1634,6971,1642,6978,1648,6986,1653,6996,1656,7008,1657,7020,1656,7030,1652,7039,1647,7046,1639,7050,1634,7000,1634,6994,1629,6990,1621,6989,1616,6988,1610,6988,1594,6989,1587,6994,1573,7000,1569,7053,1569,7049,1560,7033,1549,7022,1546xm7056,1615l7028,1615,7027,1621,7025,1625,7020,1632,7015,1634,7050,1634,7052,1631,7055,1623,7056,1615xm7053,1569l7016,1569,7021,1571,7024,1575,7026,1578,7027,1582,7028,1586,7056,1586,7054,1571,7053,1569xe" filled="true" fillcolor="#231f20" stroked="false">
              <v:path arrowok="t"/>
              <v:fill type="solid"/>
            </v:shape>
            <v:shape style="position:absolute;left:7068;top:1545;width:108;height:112" coordorigin="7068,1545" coordsize="108,112" path="m7122,1545l7109,1546,7098,1549,7089,1554,7081,1561,7076,1570,7072,1580,7069,1590,7068,1601,7069,1612,7072,1622,7076,1632,7081,1640,7089,1647,7098,1653,7109,1656,7122,1657,7135,1656,7145,1653,7155,1647,7162,1640,7167,1634,7114,1634,7108,1631,7099,1619,7097,1612,7097,1590,7099,1582,7108,1571,7114,1568,7167,1568,7162,1561,7155,1554,7145,1549,7135,1546,7122,1545xm7167,1568l7130,1568,7136,1571,7145,1582,7147,1590,7147,1612,7145,1619,7136,1631,7130,1634,7167,1634,7168,1632,7172,1622,7175,1612,7175,1601,7175,1590,7172,1580,7168,1570,7167,1568xe" filled="true" fillcolor="#231f20" stroked="false">
              <v:path arrowok="t"/>
              <v:fill type="solid"/>
            </v:shape>
            <v:shape style="position:absolute;left:7194;top:1624;width:30;height:63" coordorigin="7194,1624" coordsize="30,63" path="m7223,1624l7194,1624,7194,1653,7210,1653,7210,1660,7208,1665,7203,1672,7199,1674,7194,1676,7194,1687,7195,1687,7199,1686,7223,1654,7223,1624xe" filled="true" fillcolor="#231f20" stroked="false">
              <v:path arrowok="t"/>
              <v:fill type="solid"/>
            </v:shape>
            <w10:wrap type="topAndBottom"/>
          </v:group>
        </w:pict>
      </w:r>
      <w:r>
        <w:rPr/>
        <w:drawing>
          <wp:anchor distT="0" distB="0" distL="0" distR="0" allowOverlap="1" layoutInCell="1" locked="0" behindDoc="0" simplePos="0" relativeHeight="8032">
            <wp:simplePos x="0" y="0"/>
            <wp:positionH relativeFrom="page">
              <wp:posOffset>547877</wp:posOffset>
            </wp:positionH>
            <wp:positionV relativeFrom="paragraph">
              <wp:posOffset>1562598</wp:posOffset>
            </wp:positionV>
            <wp:extent cx="93363" cy="500062"/>
            <wp:effectExtent l="0" t="0" r="0" b="0"/>
            <wp:wrapTopAndBottom/>
            <wp:docPr id="191" name="image284.png" descr=""/>
            <wp:cNvGraphicFramePr>
              <a:graphicFrameLocks noChangeAspect="1"/>
            </wp:cNvGraphicFramePr>
            <a:graphic>
              <a:graphicData uri="http://schemas.openxmlformats.org/drawingml/2006/picture">
                <pic:pic>
                  <pic:nvPicPr>
                    <pic:cNvPr id="192" name="image284.png"/>
                    <pic:cNvPicPr/>
                  </pic:nvPicPr>
                  <pic:blipFill>
                    <a:blip r:embed="rId335" cstate="print"/>
                    <a:stretch>
                      <a:fillRect/>
                    </a:stretch>
                  </pic:blipFill>
                  <pic:spPr>
                    <a:xfrm>
                      <a:off x="0" y="0"/>
                      <a:ext cx="93363" cy="500062"/>
                    </a:xfrm>
                    <a:prstGeom prst="rect">
                      <a:avLst/>
                    </a:prstGeom>
                  </pic:spPr>
                </pic:pic>
              </a:graphicData>
            </a:graphic>
          </wp:anchor>
        </w:drawing>
      </w:r>
      <w:r>
        <w:rPr/>
        <w:pict>
          <v:group style="position:absolute;margin-left:56.188pt;margin-top:107.140121pt;width:383.1pt;height:111.4pt;mso-position-horizontal-relative:page;mso-position-vertical-relative:paragraph;z-index:8056;mso-wrap-distance-left:0;mso-wrap-distance-right:0" coordorigin="1124,2143" coordsize="7662,2228">
            <v:rect style="position:absolute;left:1970;top:2210;width:6805;height:1330" filled="true" fillcolor="#bcbec0" stroked="false">
              <v:fill type="solid"/>
            </v:rect>
            <v:line style="position:absolute" from="1935,2200" to="8775,2200" stroked="true" strokeweight=".5pt" strokecolor="#231f20"/>
            <v:line style="position:absolute" from="1935,2535" to="8775,2535" stroked="true" strokeweight=".5pt" strokecolor="#231f20"/>
            <v:line style="position:absolute" from="1935,2880" to="8775,2880" stroked="true" strokeweight=".5pt" strokecolor="#231f20"/>
            <v:line style="position:absolute" from="1935,3205" to="8775,3205" stroked="true" strokeweight=".5pt" strokecolor="#231f20"/>
            <v:line style="position:absolute" from="1935,3540" to="8775,3540" stroked="true" strokeweight=".5pt" strokecolor="#231f20"/>
            <v:line style="position:absolute" from="1135,4170" to="8775,4170" stroked="true" strokeweight=".5pt" strokecolor="#231f20"/>
            <v:line style="position:absolute" from="1135,3970" to="8775,3970" stroked="true" strokeweight=".5pt" strokecolor="#231f20"/>
            <v:rect style="position:absolute;left:1135;top:3760;width:7640;height:600" filled="false" stroked="true" strokeweight="1.057pt" strokecolor="#231f20"/>
            <v:line style="position:absolute" from="8775,3760" to="8775,2200" stroked="true" strokeweight="1.057pt" strokecolor="#231f20"/>
            <v:line style="position:absolute" from="1975,2195" to="1975,3765" stroked="true" strokeweight="1.057pt" strokecolor="#231f20"/>
            <v:shape style="position:absolute;left:2650;top:2415;width:5440;height:430" coordorigin="2650,2415" coordsize="5440,430" path="m2650,2415l3985,2700,5370,2645,6725,2845,8090,2770e" filled="false" stroked="true" strokeweight="1pt" strokecolor="#ed1c24">
              <v:path arrowok="t"/>
            </v:shape>
            <v:shape style="position:absolute;left:2665;top:2775;width:5445;height:370" coordorigin="2665,2775" coordsize="5445,370" path="m2665,3145l4030,2870,5395,3040,6750,2775,8110,2900e" filled="false" stroked="true" strokeweight="1pt" strokecolor="#fff200">
              <v:path arrowok="t"/>
            </v:shape>
            <v:shape style="position:absolute;left:2655;top:3375;width:5440;height:125" coordorigin="2655,3375" coordsize="5440,125" path="m2655,3500l4010,3445,5400,3375,6750,3475,8095,3385e" filled="false" stroked="true" strokeweight="1pt" strokecolor="#1b75bc">
              <v:path arrowok="t"/>
            </v:shape>
            <v:line style="position:absolute" from="1185,3870" to="1535,3870" stroked="true" strokeweight="1pt" strokecolor="#1b75bc"/>
            <v:line style="position:absolute" from="1185,4085" to="1535,4085" stroked="true" strokeweight="1pt" strokecolor="#ed1c24"/>
            <v:line style="position:absolute" from="1185,4275" to="1535,4275" stroked="true" strokeweight="1pt" strokecolor="#fff200"/>
            <v:shape style="position:absolute;left:1427;top:2143;width:388;height:115" type="#_x0000_t75" stroked="false">
              <v:imagedata r:id="rId336" o:title=""/>
            </v:shape>
            <v:shape style="position:absolute;left:1428;top:2473;width:388;height:115" type="#_x0000_t75" stroked="false">
              <v:imagedata r:id="rId337" o:title=""/>
            </v:shape>
            <v:shape style="position:absolute;left:1426;top:2803;width:390;height:115" type="#_x0000_t75" stroked="false">
              <v:imagedata r:id="rId338" o:title=""/>
            </v:shape>
            <v:shape style="position:absolute;left:1427;top:3133;width:389;height:115" type="#_x0000_t75" stroked="false">
              <v:imagedata r:id="rId339" o:title=""/>
            </v:shape>
            <v:shape style="position:absolute;left:1516;top:3463;width:300;height:115" type="#_x0000_t75" stroked="false">
              <v:imagedata r:id="rId340" o:title=""/>
            </v:shape>
            <v:shape style="position:absolute;left:2507;top:3566;width:292;height:101" type="#_x0000_t75" stroked="false">
              <v:imagedata r:id="rId341" o:title=""/>
            </v:shape>
            <v:shape style="position:absolute;left:2518;top:3801;width:68;height:99" coordorigin="2518,3801" coordsize="68,99" path="m2580,3813l2559,3813,2563,3814,2570,3821,2572,3825,2572,3836,2570,3840,2564,3847,2560,3850,2532,3866,2526,3871,2520,3884,2518,3891,2518,3900,2585,3900,2585,3888,2532,3888,2533,3883,2536,3879,2543,3872,2546,3870,2568,3858,2574,3854,2583,3845,2586,3838,2586,3823,2583,3816,2580,3813xm2564,3801l2540,3801,2530,3806,2522,3821,2520,3828,2520,3836,2533,3836,2533,3830,2534,3826,2539,3816,2545,3813,2580,3813,2573,3804,2564,3801xe" filled="true" fillcolor="#231f20" stroked="false">
              <v:path arrowok="t"/>
              <v:fill type="solid"/>
            </v:shape>
            <v:line style="position:absolute" from="2603,3892" to="2618,3892" stroked="true" strokeweight=".745pt" strokecolor="#231f20"/>
            <v:shape style="position:absolute;left:2644;top:3802;width:37;height:98" coordorigin="2644,3802" coordsize="37,98" path="m2680,3802l2670,3802,2668,3810,2666,3814,2659,3818,2653,3820,2644,3821,2644,3830,2667,3830,2667,3900,2680,3900,2680,3802xe" filled="true" fillcolor="#231f20" stroked="false">
              <v:path arrowok="t"/>
              <v:fill type="solid"/>
            </v:shape>
            <v:shape style="position:absolute;left:2712;top:3802;width:68;height:101" coordorigin="2712,3802" coordsize="68,101" path="m2759,3802l2732,3802,2722,3809,2714,3832,2712,3841,2712,3867,2715,3878,2725,3897,2734,3902,2759,3902,2768,3896,2771,3891,2738,3891,2732,3886,2727,3871,2726,3864,2726,3840,2727,3830,2734,3816,2739,3813,2771,3813,2768,3807,2759,3802xm2771,3813l2755,3813,2760,3816,2765,3831,2767,3840,2767,3867,2765,3877,2757,3888,2752,3891,2771,3891,2774,3883,2778,3875,2780,3864,2780,3836,2778,3825,2771,3813xe" filled="true" fillcolor="#231f20" stroked="false">
              <v:path arrowok="t"/>
              <v:fill type="solid"/>
            </v:shape>
            <v:shape style="position:absolute;left:1604;top:3799;width:282;height:100" type="#_x0000_t75" stroked="false">
              <v:imagedata r:id="rId342" o:title=""/>
            </v:shape>
            <v:shape style="position:absolute;left:1629;top:4019;width:195;height:100" type="#_x0000_t75" stroked="false">
              <v:imagedata r:id="rId343" o:title=""/>
            </v:shape>
            <v:line style="position:absolute" from="1854,4019" to="1854,4120" stroked="true" strokeweight=".761pt" strokecolor="#231f20"/>
            <v:shape style="position:absolute;left:1594;top:4214;width:305;height:100" type="#_x0000_t75" stroked="false">
              <v:imagedata r:id="rId344" o:title=""/>
            </v:shape>
            <v:shape style="position:absolute;left:2480;top:3991;width:340;height:101" type="#_x0000_t75" stroked="false">
              <v:imagedata r:id="rId345" o:title=""/>
            </v:shape>
            <v:shape style="position:absolute;left:2479;top:4206;width:339;height:101" type="#_x0000_t75" stroked="false">
              <v:imagedata r:id="rId346" o:title=""/>
            </v:shape>
            <v:shape style="position:absolute;left:3838;top:4206;width:241;height:101" type="#_x0000_t75" stroked="false">
              <v:imagedata r:id="rId347" o:title=""/>
            </v:shape>
            <v:shape style="position:absolute;left:4111;top:4207;width:68;height:101" coordorigin="4111,4207" coordsize="68,101" path="m4158,4207l4131,4207,4121,4214,4113,4237,4111,4246,4111,4272,4114,4283,4124,4302,4133,4307,4158,4307,4167,4301,4170,4296,4137,4296,4131,4291,4126,4276,4125,4269,4125,4245,4126,4235,4133,4221,4138,4218,4170,4218,4167,4212,4158,4207xm4170,4218l4154,4218,4159,4221,4164,4236,4166,4245,4166,4272,4164,4282,4156,4293,4151,4296,4170,4296,4173,4288,4177,4280,4179,4269,4179,4241,4177,4230,4170,4218xe" filled="true" fillcolor="#231f20" stroked="false">
              <v:path arrowok="t"/>
              <v:fill type="solid"/>
            </v:shape>
            <v:shape style="position:absolute;left:5208;top:4206;width:341;height:101" type="#_x0000_t75" stroked="false">
              <v:imagedata r:id="rId348" o:title=""/>
            </v:shape>
            <v:shape style="position:absolute;left:6563;top:4206;width:341;height:101" type="#_x0000_t75" stroked="false">
              <v:imagedata r:id="rId349" o:title=""/>
            </v:shape>
            <v:shape style="position:absolute;left:7918;top:4206;width:241;height:101" type="#_x0000_t75" stroked="false">
              <v:imagedata r:id="rId350" o:title=""/>
            </v:shape>
            <v:shape style="position:absolute;left:8192;top:4206;width:68;height:101" coordorigin="8192,4206" coordsize="68,101" path="m8239,4206l8213,4206,8202,4214,8194,4239,8192,4249,8192,4278,8196,4290,8209,4304,8217,4307,8237,4307,8245,4304,8251,4296,8221,4296,8216,4294,8208,4286,8207,4280,8207,4267,8209,4262,8217,4255,8219,4254,8205,4254,8205,4244,8206,4242,8208,4233,8216,4220,8221,4217,8253,4217,8247,4209,8239,4206xm8254,4253l8234,4253,8239,4255,8245,4264,8246,4269,8246,4280,8245,4285,8238,4294,8234,4296,8251,4296,8257,4290,8259,4282,8259,4263,8256,4255,8254,4253xm8237,4242l8224,4242,8220,4243,8216,4245,8211,4247,8208,4250,8205,4254,8219,4254,8221,4253,8254,4253,8244,4244,8237,4242xm8253,4217l8234,4217,8239,4219,8243,4225,8244,4228,8245,4232,8257,4232,8257,4226,8255,4220,8253,4217xe" filled="true" fillcolor="#231f20" stroked="false">
              <v:path arrowok="t"/>
              <v:fill type="solid"/>
            </v:shape>
            <v:shape style="position:absolute;left:3868;top:3991;width:341;height:101" type="#_x0000_t75" stroked="false">
              <v:imagedata r:id="rId351" o:title=""/>
            </v:shape>
            <v:shape style="position:absolute;left:5219;top:3991;width:339;height:101" type="#_x0000_t75" stroked="false">
              <v:imagedata r:id="rId352" o:title=""/>
            </v:shape>
            <v:shape style="position:absolute;left:6553;top:3991;width:70;height:99" coordorigin="6553,3991" coordsize="70,99" path="m6608,4066l6596,4066,6596,4090,6608,4090,6608,4066xm6608,3991l6598,3991,6553,4054,6553,4066,6623,4066,6623,4055,6564,4055,6596,4010,6608,4010,6608,3991xm6608,4010l6596,4010,6596,4055,6608,4055,6608,4010xe" filled="true" fillcolor="#231f20" stroked="false">
              <v:path arrowok="t"/>
              <v:fill type="solid"/>
            </v:shape>
            <v:shape style="position:absolute;left:6641;top:3992;width:37;height:98" coordorigin="6641,3992" coordsize="37,98" path="m6677,3992l6667,3992,6666,4000,6663,4004,6656,4008,6650,4010,6641,4011,6641,4020,6664,4020,6664,4090,6677,4090,6677,3992xe" filled="true" fillcolor="#231f20" stroked="false">
              <v:path arrowok="t"/>
              <v:fill type="solid"/>
            </v:shape>
            <v:shape style="position:absolute;left:6710;top:3991;width:185;height:101" type="#_x0000_t75" stroked="false">
              <v:imagedata r:id="rId353" o:title=""/>
            </v:shape>
            <v:shape style="position:absolute;left:7903;top:3991;width:341;height:101" type="#_x0000_t75" stroked="false">
              <v:imagedata r:id="rId354" o:title=""/>
            </v:shape>
            <v:shape style="position:absolute;left:3868;top:3802;width:261;height:101" type="#_x0000_t75" stroked="false">
              <v:imagedata r:id="rId355" o:title=""/>
            </v:shape>
            <v:shape style="position:absolute;left:5223;top:3802;width:261;height:101" type="#_x0000_t75" stroked="false">
              <v:imagedata r:id="rId356" o:title=""/>
            </v:shape>
            <v:shape style="position:absolute;left:6602;top:3801;width:263;height:101" type="#_x0000_t75" stroked="false">
              <v:imagedata r:id="rId357" o:title=""/>
            </v:shape>
            <v:shape style="position:absolute;left:7963;top:3801;width:263;height:101" type="#_x0000_t75" stroked="false">
              <v:imagedata r:id="rId358" o:title=""/>
            </v:shape>
            <v:shape style="position:absolute;left:3862;top:3566;width:293;height:101" type="#_x0000_t75" stroked="false">
              <v:imagedata r:id="rId359" o:title=""/>
            </v:shape>
            <v:shape style="position:absolute;left:5188;top:3566;width:301;height:101" type="#_x0000_t75" stroked="false">
              <v:imagedata r:id="rId360" o:title=""/>
            </v:shape>
            <v:shape style="position:absolute;left:6578;top:3566;width:301;height:101" type="#_x0000_t75" stroked="false">
              <v:imagedata r:id="rId361" o:title=""/>
            </v:shape>
            <v:shape style="position:absolute;left:7938;top:3566;width:302;height:101" type="#_x0000_t75" stroked="false">
              <v:imagedata r:id="rId362" o:title=""/>
            </v:shape>
            <w10:wrap type="topAndBottom"/>
          </v:group>
        </w:pict>
      </w:r>
      <w:r>
        <w:rPr/>
        <w:pict>
          <v:group style="position:absolute;margin-left:252.006104pt;margin-top:63.838417pt;width:7.65pt;height:7pt;mso-position-horizontal-relative:page;mso-position-vertical-relative:paragraph;z-index:-593728" coordorigin="5040,1277" coordsize="153,140">
            <v:shape style="position:absolute;left:5040;top:1277;width:61;height:140" coordorigin="5040,1277" coordsize="61,140" path="m5101,1277l5078,1277,5078,1278,5078,1280,5040,1301,5040,1320,5073,1320,5073,1416,5101,1416,5101,1277xe" filled="true" fillcolor="#231f20" stroked="false">
              <v:path arrowok="t"/>
              <v:fill type="solid"/>
            </v:shape>
            <v:line style="position:absolute" from="5148,1402" to="5178,1402" stroked="true" strokeweight="1.44pt" strokecolor="#231f20"/>
            <w10:wrap type="none"/>
          </v:group>
        </w:pict>
      </w:r>
      <w:r>
        <w:rPr>
          <w:color w:val="231F20"/>
          <w:spacing w:val="-5"/>
          <w:w w:val="105"/>
        </w:rPr>
        <w:t>Respecto </w:t>
      </w:r>
      <w:r>
        <w:rPr>
          <w:color w:val="231F20"/>
          <w:w w:val="105"/>
        </w:rPr>
        <w:t>al </w:t>
      </w:r>
      <w:r>
        <w:rPr>
          <w:color w:val="231F20"/>
          <w:spacing w:val="-4"/>
          <w:w w:val="105"/>
        </w:rPr>
        <w:t>PRD </w:t>
      </w:r>
      <w:r>
        <w:rPr>
          <w:color w:val="231F20"/>
          <w:spacing w:val="-3"/>
          <w:w w:val="105"/>
        </w:rPr>
        <w:t>su </w:t>
      </w:r>
      <w:r>
        <w:rPr>
          <w:color w:val="231F20"/>
          <w:spacing w:val="-6"/>
          <w:w w:val="105"/>
        </w:rPr>
        <w:t>votación </w:t>
      </w:r>
      <w:r>
        <w:rPr>
          <w:color w:val="231F20"/>
          <w:w w:val="105"/>
        </w:rPr>
        <w:t>ha </w:t>
      </w:r>
      <w:r>
        <w:rPr>
          <w:color w:val="231F20"/>
          <w:spacing w:val="-5"/>
          <w:w w:val="105"/>
        </w:rPr>
        <w:t>ido </w:t>
      </w:r>
      <w:r>
        <w:rPr>
          <w:color w:val="231F20"/>
          <w:spacing w:val="-4"/>
          <w:w w:val="105"/>
        </w:rPr>
        <w:t>en </w:t>
      </w:r>
      <w:r>
        <w:rPr>
          <w:color w:val="231F20"/>
          <w:spacing w:val="-6"/>
          <w:w w:val="105"/>
        </w:rPr>
        <w:t>aumento </w:t>
      </w:r>
      <w:r>
        <w:rPr>
          <w:color w:val="231F20"/>
          <w:w w:val="105"/>
        </w:rPr>
        <w:t>a </w:t>
      </w:r>
      <w:r>
        <w:rPr>
          <w:color w:val="231F20"/>
          <w:spacing w:val="-4"/>
          <w:w w:val="105"/>
        </w:rPr>
        <w:t>través de los años, </w:t>
      </w:r>
      <w:r>
        <w:rPr>
          <w:color w:val="231F20"/>
          <w:spacing w:val="-5"/>
          <w:w w:val="105"/>
        </w:rPr>
        <w:t>aunque </w:t>
      </w:r>
      <w:r>
        <w:rPr>
          <w:color w:val="231F20"/>
          <w:spacing w:val="-4"/>
          <w:w w:val="105"/>
        </w:rPr>
        <w:t>no </w:t>
      </w:r>
      <w:r>
        <w:rPr>
          <w:color w:val="231F20"/>
          <w:w w:val="105"/>
        </w:rPr>
        <w:t>es </w:t>
      </w:r>
      <w:r>
        <w:rPr>
          <w:color w:val="231F20"/>
          <w:spacing w:val="-3"/>
          <w:w w:val="105"/>
        </w:rPr>
        <w:t>así </w:t>
      </w:r>
      <w:r>
        <w:rPr>
          <w:color w:val="231F20"/>
          <w:spacing w:val="-4"/>
          <w:w w:val="105"/>
        </w:rPr>
        <w:t>en cuanto</w:t>
      </w:r>
      <w:r>
        <w:rPr>
          <w:color w:val="231F20"/>
          <w:spacing w:val="-9"/>
          <w:w w:val="105"/>
        </w:rPr>
        <w:t> </w:t>
      </w:r>
      <w:r>
        <w:rPr>
          <w:color w:val="231F20"/>
          <w:w w:val="105"/>
        </w:rPr>
        <w:t>a</w:t>
      </w:r>
      <w:r>
        <w:rPr>
          <w:color w:val="231F20"/>
          <w:spacing w:val="-9"/>
          <w:w w:val="105"/>
        </w:rPr>
        <w:t> </w:t>
      </w:r>
      <w:r>
        <w:rPr>
          <w:color w:val="231F20"/>
          <w:spacing w:val="-6"/>
          <w:w w:val="105"/>
        </w:rPr>
        <w:t>porcentaje.</w:t>
      </w:r>
      <w:r>
        <w:rPr>
          <w:color w:val="231F20"/>
          <w:spacing w:val="-9"/>
          <w:w w:val="105"/>
        </w:rPr>
        <w:t> </w:t>
      </w:r>
      <w:r>
        <w:rPr>
          <w:color w:val="231F20"/>
          <w:spacing w:val="-6"/>
          <w:w w:val="105"/>
        </w:rPr>
        <w:t>Por</w:t>
      </w:r>
      <w:r>
        <w:rPr>
          <w:color w:val="231F20"/>
          <w:spacing w:val="-9"/>
          <w:w w:val="105"/>
        </w:rPr>
        <w:t> </w:t>
      </w:r>
      <w:r>
        <w:rPr>
          <w:color w:val="231F20"/>
          <w:spacing w:val="-6"/>
          <w:w w:val="105"/>
        </w:rPr>
        <w:t>ejemplo</w:t>
      </w:r>
      <w:r>
        <w:rPr>
          <w:color w:val="231F20"/>
          <w:spacing w:val="-9"/>
          <w:w w:val="105"/>
        </w:rPr>
        <w:t> </w:t>
      </w:r>
      <w:r>
        <w:rPr>
          <w:color w:val="231F20"/>
          <w:spacing w:val="-4"/>
          <w:w w:val="105"/>
        </w:rPr>
        <w:t>de</w:t>
      </w:r>
      <w:r>
        <w:rPr>
          <w:color w:val="231F20"/>
          <w:spacing w:val="-9"/>
          <w:w w:val="105"/>
        </w:rPr>
        <w:t> </w:t>
      </w:r>
      <w:r>
        <w:rPr>
          <w:color w:val="231F20"/>
          <w:spacing w:val="-4"/>
          <w:w w:val="105"/>
        </w:rPr>
        <w:t>1996</w:t>
      </w:r>
      <w:r>
        <w:rPr>
          <w:color w:val="231F20"/>
          <w:spacing w:val="-9"/>
          <w:w w:val="105"/>
        </w:rPr>
        <w:t> </w:t>
      </w:r>
      <w:r>
        <w:rPr>
          <w:color w:val="231F20"/>
          <w:w w:val="105"/>
        </w:rPr>
        <w:t>a</w:t>
      </w:r>
      <w:r>
        <w:rPr>
          <w:color w:val="231F20"/>
          <w:spacing w:val="-9"/>
          <w:w w:val="105"/>
        </w:rPr>
        <w:t> </w:t>
      </w:r>
      <w:r>
        <w:rPr>
          <w:color w:val="231F20"/>
          <w:w w:val="105"/>
        </w:rPr>
        <w:t>2000,</w:t>
      </w:r>
      <w:r>
        <w:rPr>
          <w:color w:val="231F20"/>
          <w:spacing w:val="-9"/>
          <w:w w:val="105"/>
        </w:rPr>
        <w:t> </w:t>
      </w:r>
      <w:r>
        <w:rPr>
          <w:color w:val="231F20"/>
          <w:spacing w:val="-5"/>
          <w:w w:val="105"/>
        </w:rPr>
        <w:t>creció</w:t>
      </w:r>
      <w:r>
        <w:rPr>
          <w:color w:val="231F20"/>
          <w:spacing w:val="-9"/>
          <w:w w:val="105"/>
        </w:rPr>
        <w:t> </w:t>
      </w:r>
      <w:r>
        <w:rPr>
          <w:color w:val="231F20"/>
          <w:spacing w:val="-7"/>
          <w:w w:val="105"/>
        </w:rPr>
        <w:t>291</w:t>
      </w:r>
      <w:r>
        <w:rPr>
          <w:color w:val="231F20"/>
          <w:spacing w:val="-9"/>
          <w:w w:val="105"/>
        </w:rPr>
        <w:t> </w:t>
      </w:r>
      <w:r>
        <w:rPr>
          <w:color w:val="231F20"/>
          <w:spacing w:val="-5"/>
          <w:w w:val="105"/>
        </w:rPr>
        <w:t>votos,</w:t>
      </w:r>
      <w:r>
        <w:rPr>
          <w:color w:val="231F20"/>
          <w:spacing w:val="-9"/>
          <w:w w:val="105"/>
        </w:rPr>
        <w:t> </w:t>
      </w:r>
      <w:r>
        <w:rPr>
          <w:color w:val="231F20"/>
          <w:spacing w:val="-5"/>
          <w:w w:val="105"/>
        </w:rPr>
        <w:t>pero</w:t>
      </w:r>
      <w:r>
        <w:rPr>
          <w:color w:val="231F20"/>
          <w:spacing w:val="-9"/>
          <w:w w:val="105"/>
        </w:rPr>
        <w:t> </w:t>
      </w:r>
      <w:r>
        <w:rPr>
          <w:color w:val="231F20"/>
          <w:spacing w:val="-4"/>
          <w:w w:val="105"/>
        </w:rPr>
        <w:t>en</w:t>
      </w:r>
      <w:r>
        <w:rPr>
          <w:color w:val="231F20"/>
          <w:spacing w:val="-9"/>
          <w:w w:val="105"/>
        </w:rPr>
        <w:t> </w:t>
      </w:r>
      <w:r>
        <w:rPr>
          <w:color w:val="231F20"/>
          <w:spacing w:val="-6"/>
          <w:w w:val="105"/>
        </w:rPr>
        <w:t>porcentaje</w:t>
      </w:r>
      <w:r>
        <w:rPr>
          <w:color w:val="231F20"/>
          <w:spacing w:val="-9"/>
          <w:w w:val="105"/>
        </w:rPr>
        <w:t> </w:t>
      </w:r>
      <w:r>
        <w:rPr>
          <w:color w:val="231F20"/>
          <w:w w:val="105"/>
        </w:rPr>
        <w:t>dis- </w:t>
      </w:r>
      <w:r>
        <w:rPr>
          <w:color w:val="231F20"/>
          <w:spacing w:val="-4"/>
          <w:w w:val="105"/>
        </w:rPr>
        <w:t>minuye</w:t>
      </w:r>
      <w:r>
        <w:rPr>
          <w:color w:val="231F20"/>
          <w:spacing w:val="-33"/>
          <w:w w:val="105"/>
        </w:rPr>
        <w:t> </w:t>
      </w:r>
      <w:r>
        <w:rPr>
          <w:color w:val="231F20"/>
          <w:spacing w:val="-3"/>
          <w:w w:val="105"/>
        </w:rPr>
        <w:t>casi</w:t>
      </w:r>
      <w:r>
        <w:rPr>
          <w:color w:val="231F20"/>
          <w:spacing w:val="-33"/>
          <w:w w:val="105"/>
        </w:rPr>
        <w:t> </w:t>
      </w:r>
      <w:r>
        <w:rPr>
          <w:color w:val="231F20"/>
          <w:spacing w:val="-6"/>
          <w:w w:val="105"/>
        </w:rPr>
        <w:t>10%</w:t>
      </w:r>
      <w:r>
        <w:rPr>
          <w:color w:val="231F20"/>
          <w:spacing w:val="-33"/>
          <w:w w:val="105"/>
        </w:rPr>
        <w:t> </w:t>
      </w:r>
      <w:r>
        <w:rPr>
          <w:color w:val="231F20"/>
          <w:spacing w:val="-8"/>
          <w:w w:val="105"/>
        </w:rPr>
        <w:t>(9.87%</w:t>
      </w:r>
      <w:r>
        <w:rPr>
          <w:color w:val="231F20"/>
          <w:spacing w:val="-33"/>
          <w:w w:val="105"/>
        </w:rPr>
        <w:t> </w:t>
      </w:r>
      <w:r>
        <w:rPr>
          <w:color w:val="231F20"/>
          <w:spacing w:val="-6"/>
          <w:w w:val="105"/>
        </w:rPr>
        <w:t>exactamente),</w:t>
      </w:r>
      <w:r>
        <w:rPr>
          <w:color w:val="231F20"/>
          <w:spacing w:val="-33"/>
          <w:w w:val="105"/>
        </w:rPr>
        <w:t> </w:t>
      </w:r>
      <w:r>
        <w:rPr>
          <w:color w:val="231F20"/>
          <w:w w:val="105"/>
        </w:rPr>
        <w:t>para</w:t>
      </w:r>
      <w:r>
        <w:rPr>
          <w:color w:val="231F20"/>
          <w:spacing w:val="-33"/>
          <w:w w:val="105"/>
        </w:rPr>
        <w:t> </w:t>
      </w:r>
      <w:r>
        <w:rPr>
          <w:color w:val="231F20"/>
          <w:w w:val="105"/>
        </w:rPr>
        <w:t>2003</w:t>
      </w:r>
      <w:r>
        <w:rPr>
          <w:color w:val="231F20"/>
          <w:spacing w:val="-33"/>
          <w:w w:val="105"/>
        </w:rPr>
        <w:t> </w:t>
      </w:r>
      <w:r>
        <w:rPr>
          <w:color w:val="231F20"/>
          <w:spacing w:val="-5"/>
          <w:w w:val="105"/>
        </w:rPr>
        <w:t>aumenta</w:t>
      </w:r>
      <w:r>
        <w:rPr>
          <w:color w:val="231F20"/>
          <w:spacing w:val="-33"/>
          <w:w w:val="105"/>
        </w:rPr>
        <w:t> </w:t>
      </w:r>
      <w:r>
        <w:rPr>
          <w:color w:val="231F20"/>
          <w:spacing w:val="-4"/>
          <w:w w:val="105"/>
        </w:rPr>
        <w:t>en</w:t>
      </w:r>
      <w:r>
        <w:rPr>
          <w:color w:val="231F20"/>
          <w:spacing w:val="-33"/>
          <w:w w:val="105"/>
        </w:rPr>
        <w:t> </w:t>
      </w:r>
      <w:r>
        <w:rPr>
          <w:color w:val="231F20"/>
          <w:spacing w:val="-5"/>
          <w:w w:val="105"/>
        </w:rPr>
        <w:t>15.86%</w:t>
      </w:r>
      <w:r>
        <w:rPr>
          <w:color w:val="231F20"/>
          <w:spacing w:val="-33"/>
          <w:w w:val="105"/>
        </w:rPr>
        <w:t> </w:t>
      </w:r>
      <w:r>
        <w:rPr>
          <w:color w:val="231F20"/>
          <w:spacing w:val="-3"/>
          <w:w w:val="105"/>
        </w:rPr>
        <w:t>su</w:t>
      </w:r>
      <w:r>
        <w:rPr>
          <w:color w:val="231F20"/>
          <w:spacing w:val="-33"/>
          <w:w w:val="105"/>
        </w:rPr>
        <w:t> </w:t>
      </w:r>
      <w:r>
        <w:rPr>
          <w:color w:val="231F20"/>
          <w:spacing w:val="-6"/>
          <w:w w:val="105"/>
        </w:rPr>
        <w:t>porcentaje</w:t>
      </w:r>
      <w:r>
        <w:rPr>
          <w:color w:val="231F20"/>
          <w:spacing w:val="-33"/>
          <w:w w:val="105"/>
        </w:rPr>
        <w:t> </w:t>
      </w:r>
      <w:r>
        <w:rPr>
          <w:color w:val="231F20"/>
          <w:spacing w:val="-4"/>
          <w:w w:val="105"/>
        </w:rPr>
        <w:t>electoral equivalentes</w:t>
      </w:r>
      <w:r>
        <w:rPr>
          <w:color w:val="231F20"/>
          <w:spacing w:val="-27"/>
          <w:w w:val="105"/>
        </w:rPr>
        <w:t> </w:t>
      </w:r>
      <w:r>
        <w:rPr>
          <w:color w:val="231F20"/>
          <w:w w:val="105"/>
        </w:rPr>
        <w:t>a</w:t>
      </w:r>
      <w:r>
        <w:rPr>
          <w:color w:val="231F20"/>
          <w:spacing w:val="-27"/>
          <w:w w:val="105"/>
        </w:rPr>
        <w:t> </w:t>
      </w:r>
      <w:r>
        <w:rPr>
          <w:color w:val="231F20"/>
          <w:spacing w:val="-4"/>
          <w:w w:val="105"/>
        </w:rPr>
        <w:t>los</w:t>
      </w:r>
      <w:r>
        <w:rPr>
          <w:color w:val="231F20"/>
          <w:spacing w:val="-27"/>
          <w:w w:val="105"/>
        </w:rPr>
        <w:t> </w:t>
      </w:r>
      <w:r>
        <w:rPr>
          <w:color w:val="231F20"/>
          <w:spacing w:val="-5"/>
          <w:w w:val="105"/>
        </w:rPr>
        <w:t>2,158</w:t>
      </w:r>
      <w:r>
        <w:rPr>
          <w:color w:val="231F20"/>
          <w:spacing w:val="-27"/>
          <w:w w:val="105"/>
        </w:rPr>
        <w:t> </w:t>
      </w:r>
      <w:r>
        <w:rPr>
          <w:color w:val="231F20"/>
          <w:spacing w:val="-5"/>
          <w:w w:val="105"/>
        </w:rPr>
        <w:t>votos</w:t>
      </w:r>
      <w:r>
        <w:rPr>
          <w:color w:val="231F20"/>
          <w:spacing w:val="-27"/>
          <w:w w:val="105"/>
        </w:rPr>
        <w:t> </w:t>
      </w:r>
      <w:r>
        <w:rPr>
          <w:color w:val="231F20"/>
          <w:w w:val="105"/>
        </w:rPr>
        <w:t>más</w:t>
      </w:r>
      <w:r>
        <w:rPr>
          <w:color w:val="231F20"/>
          <w:spacing w:val="-27"/>
          <w:w w:val="105"/>
        </w:rPr>
        <w:t> </w:t>
      </w:r>
      <w:r>
        <w:rPr>
          <w:color w:val="231F20"/>
          <w:spacing w:val="-4"/>
          <w:w w:val="105"/>
        </w:rPr>
        <w:t>que</w:t>
      </w:r>
      <w:r>
        <w:rPr>
          <w:color w:val="231F20"/>
          <w:spacing w:val="-27"/>
          <w:w w:val="105"/>
        </w:rPr>
        <w:t> </w:t>
      </w:r>
      <w:r>
        <w:rPr>
          <w:color w:val="231F20"/>
          <w:spacing w:val="-5"/>
          <w:w w:val="105"/>
        </w:rPr>
        <w:t>ganó.</w:t>
      </w:r>
      <w:r>
        <w:rPr>
          <w:color w:val="231F20"/>
          <w:spacing w:val="-27"/>
          <w:w w:val="105"/>
        </w:rPr>
        <w:t> </w:t>
      </w:r>
      <w:r>
        <w:rPr>
          <w:color w:val="231F20"/>
          <w:spacing w:val="-4"/>
          <w:w w:val="105"/>
        </w:rPr>
        <w:t>Finalmente</w:t>
      </w:r>
      <w:r>
        <w:rPr>
          <w:color w:val="231F20"/>
          <w:spacing w:val="-27"/>
          <w:w w:val="105"/>
        </w:rPr>
        <w:t> </w:t>
      </w:r>
      <w:r>
        <w:rPr>
          <w:color w:val="231F20"/>
          <w:spacing w:val="-4"/>
          <w:w w:val="105"/>
        </w:rPr>
        <w:t>disminuye</w:t>
      </w:r>
      <w:r>
        <w:rPr>
          <w:color w:val="231F20"/>
          <w:spacing w:val="-27"/>
          <w:w w:val="105"/>
        </w:rPr>
        <w:t> </w:t>
      </w:r>
      <w:r>
        <w:rPr>
          <w:color w:val="231F20"/>
          <w:spacing w:val="-3"/>
          <w:w w:val="105"/>
        </w:rPr>
        <w:t>496</w:t>
      </w:r>
      <w:r>
        <w:rPr>
          <w:color w:val="231F20"/>
          <w:spacing w:val="-27"/>
          <w:w w:val="105"/>
        </w:rPr>
        <w:t> </w:t>
      </w:r>
      <w:r>
        <w:rPr>
          <w:color w:val="231F20"/>
          <w:spacing w:val="-5"/>
          <w:w w:val="105"/>
        </w:rPr>
        <w:t>votos</w:t>
      </w:r>
      <w:r>
        <w:rPr>
          <w:color w:val="231F20"/>
          <w:spacing w:val="-27"/>
          <w:w w:val="105"/>
        </w:rPr>
        <w:t> </w:t>
      </w:r>
      <w:r>
        <w:rPr>
          <w:color w:val="231F20"/>
          <w:spacing w:val="-4"/>
          <w:w w:val="105"/>
        </w:rPr>
        <w:t>en</w:t>
      </w:r>
      <w:r>
        <w:rPr>
          <w:color w:val="231F20"/>
          <w:spacing w:val="-27"/>
          <w:w w:val="105"/>
        </w:rPr>
        <w:t> </w:t>
      </w:r>
      <w:r>
        <w:rPr>
          <w:color w:val="231F20"/>
          <w:w w:val="105"/>
        </w:rPr>
        <w:t>2006.</w:t>
      </w:r>
    </w:p>
    <w:p>
      <w:pPr>
        <w:pStyle w:val="BodyText"/>
        <w:spacing w:before="7"/>
        <w:rPr>
          <w:sz w:val="12"/>
        </w:rPr>
      </w:pPr>
    </w:p>
    <w:p>
      <w:pPr>
        <w:pStyle w:val="BodyText"/>
        <w:spacing w:before="8"/>
        <w:rPr>
          <w:sz w:val="3"/>
        </w:rPr>
      </w:pPr>
    </w:p>
    <w:p>
      <w:pPr>
        <w:pStyle w:val="BodyText"/>
        <w:spacing w:line="142" w:lineRule="exact"/>
        <w:ind w:left="4386"/>
        <w:rPr>
          <w:sz w:val="14"/>
        </w:rPr>
      </w:pPr>
      <w:r>
        <w:rPr>
          <w:position w:val="-2"/>
          <w:sz w:val="14"/>
        </w:rPr>
        <w:drawing>
          <wp:inline distT="0" distB="0" distL="0" distR="0">
            <wp:extent cx="291644" cy="90487"/>
            <wp:effectExtent l="0" t="0" r="0" b="0"/>
            <wp:docPr id="193" name="image312.png" descr=""/>
            <wp:cNvGraphicFramePr>
              <a:graphicFrameLocks noChangeAspect="1"/>
            </wp:cNvGraphicFramePr>
            <a:graphic>
              <a:graphicData uri="http://schemas.openxmlformats.org/drawingml/2006/picture">
                <pic:pic>
                  <pic:nvPicPr>
                    <pic:cNvPr id="194" name="image312.png"/>
                    <pic:cNvPicPr/>
                  </pic:nvPicPr>
                  <pic:blipFill>
                    <a:blip r:embed="rId363" cstate="print"/>
                    <a:stretch>
                      <a:fillRect/>
                    </a:stretch>
                  </pic:blipFill>
                  <pic:spPr>
                    <a:xfrm>
                      <a:off x="0" y="0"/>
                      <a:ext cx="291644" cy="90487"/>
                    </a:xfrm>
                    <a:prstGeom prst="rect">
                      <a:avLst/>
                    </a:prstGeom>
                  </pic:spPr>
                </pic:pic>
              </a:graphicData>
            </a:graphic>
          </wp:inline>
        </w:drawing>
      </w:r>
      <w:r>
        <w:rPr>
          <w:position w:val="-2"/>
          <w:sz w:val="14"/>
        </w:rPr>
      </w:r>
    </w:p>
    <w:p>
      <w:pPr>
        <w:pStyle w:val="BodyText"/>
        <w:spacing w:before="4"/>
        <w:rPr>
          <w:sz w:val="23"/>
        </w:rPr>
      </w:pPr>
    </w:p>
    <w:p>
      <w:pPr>
        <w:spacing w:before="0"/>
        <w:ind w:left="4192" w:right="-2" w:firstLine="0"/>
        <w:jc w:val="left"/>
        <w:rPr>
          <w:rFonts w:ascii="Calibri" w:hAnsi="Calibri"/>
          <w:sz w:val="16"/>
        </w:rPr>
      </w:pPr>
      <w:r>
        <w:rPr>
          <w:rFonts w:ascii="Calibri" w:hAnsi="Calibri"/>
          <w:color w:val="231F20"/>
          <w:sz w:val="16"/>
        </w:rPr>
        <w:t>FUENTE: Elaboración propia con información de IEEM (2008)</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Si</w:t>
      </w:r>
      <w:r>
        <w:rPr>
          <w:color w:val="231F20"/>
          <w:spacing w:val="-18"/>
          <w:w w:val="105"/>
        </w:rPr>
        <w:t> </w:t>
      </w:r>
      <w:r>
        <w:rPr>
          <w:color w:val="231F20"/>
          <w:w w:val="105"/>
        </w:rPr>
        <w:t>bien</w:t>
      </w:r>
      <w:r>
        <w:rPr>
          <w:color w:val="231F20"/>
          <w:spacing w:val="-18"/>
          <w:w w:val="105"/>
        </w:rPr>
        <w:t> </w:t>
      </w:r>
      <w:r>
        <w:rPr>
          <w:color w:val="231F20"/>
          <w:w w:val="105"/>
        </w:rPr>
        <w:t>en</w:t>
      </w:r>
      <w:r>
        <w:rPr>
          <w:color w:val="231F20"/>
          <w:spacing w:val="-18"/>
          <w:w w:val="105"/>
        </w:rPr>
        <w:t> </w:t>
      </w:r>
      <w:r>
        <w:rPr>
          <w:color w:val="231F20"/>
          <w:w w:val="105"/>
        </w:rPr>
        <w:t>párrafos</w:t>
      </w:r>
      <w:r>
        <w:rPr>
          <w:color w:val="231F20"/>
          <w:spacing w:val="-18"/>
          <w:w w:val="105"/>
        </w:rPr>
        <w:t> </w:t>
      </w:r>
      <w:r>
        <w:rPr>
          <w:color w:val="231F20"/>
          <w:w w:val="105"/>
        </w:rPr>
        <w:t>anteriores</w:t>
      </w:r>
      <w:r>
        <w:rPr>
          <w:color w:val="231F20"/>
          <w:spacing w:val="-18"/>
          <w:w w:val="105"/>
        </w:rPr>
        <w:t> </w:t>
      </w:r>
      <w:r>
        <w:rPr>
          <w:color w:val="231F20"/>
          <w:w w:val="105"/>
        </w:rPr>
        <w:t>se</w:t>
      </w:r>
      <w:r>
        <w:rPr>
          <w:color w:val="231F20"/>
          <w:spacing w:val="-18"/>
          <w:w w:val="105"/>
        </w:rPr>
        <w:t> </w:t>
      </w:r>
      <w:r>
        <w:rPr>
          <w:color w:val="231F20"/>
          <w:w w:val="105"/>
        </w:rPr>
        <w:t>mencionan</w:t>
      </w:r>
      <w:r>
        <w:rPr>
          <w:color w:val="231F20"/>
          <w:spacing w:val="-18"/>
          <w:w w:val="105"/>
        </w:rPr>
        <w:t> </w:t>
      </w:r>
      <w:r>
        <w:rPr>
          <w:color w:val="231F20"/>
          <w:w w:val="105"/>
        </w:rPr>
        <w:t>cinco</w:t>
      </w:r>
      <w:r>
        <w:rPr>
          <w:color w:val="231F20"/>
          <w:spacing w:val="-18"/>
          <w:w w:val="105"/>
        </w:rPr>
        <w:t> </w:t>
      </w:r>
      <w:r>
        <w:rPr>
          <w:color w:val="231F20"/>
          <w:w w:val="105"/>
        </w:rPr>
        <w:t>años</w:t>
      </w:r>
      <w:r>
        <w:rPr>
          <w:color w:val="231F20"/>
          <w:spacing w:val="-18"/>
          <w:w w:val="105"/>
        </w:rPr>
        <w:t> </w:t>
      </w:r>
      <w:r>
        <w:rPr>
          <w:color w:val="231F20"/>
          <w:w w:val="105"/>
        </w:rPr>
        <w:t>de</w:t>
      </w:r>
      <w:r>
        <w:rPr>
          <w:color w:val="231F20"/>
          <w:spacing w:val="-18"/>
          <w:w w:val="105"/>
        </w:rPr>
        <w:t> </w:t>
      </w:r>
      <w:r>
        <w:rPr>
          <w:color w:val="231F20"/>
          <w:w w:val="105"/>
        </w:rPr>
        <w:t>resultados</w:t>
      </w:r>
      <w:r>
        <w:rPr>
          <w:color w:val="231F20"/>
          <w:spacing w:val="-18"/>
          <w:w w:val="105"/>
        </w:rPr>
        <w:t> </w:t>
      </w:r>
      <w:r>
        <w:rPr>
          <w:color w:val="231F20"/>
          <w:w w:val="105"/>
        </w:rPr>
        <w:t>electorales,</w:t>
      </w:r>
      <w:r>
        <w:rPr>
          <w:color w:val="231F20"/>
          <w:spacing w:val="-18"/>
          <w:w w:val="105"/>
        </w:rPr>
        <w:t> </w:t>
      </w:r>
      <w:r>
        <w:rPr>
          <w:color w:val="231F20"/>
          <w:w w:val="105"/>
        </w:rPr>
        <w:t>el</w:t>
      </w:r>
      <w:r>
        <w:rPr>
          <w:color w:val="231F20"/>
          <w:spacing w:val="-18"/>
          <w:w w:val="105"/>
        </w:rPr>
        <w:t> </w:t>
      </w:r>
      <w:r>
        <w:rPr>
          <w:color w:val="231F20"/>
          <w:w w:val="105"/>
        </w:rPr>
        <w:t>caso que interesa es el del año </w:t>
      </w:r>
      <w:r>
        <w:rPr>
          <w:color w:val="231F20"/>
          <w:spacing w:val="3"/>
          <w:w w:val="105"/>
        </w:rPr>
        <w:t>2006, </w:t>
      </w:r>
      <w:r>
        <w:rPr>
          <w:color w:val="231F20"/>
          <w:w w:val="105"/>
        </w:rPr>
        <w:t>en </w:t>
      </w:r>
      <w:r>
        <w:rPr>
          <w:color w:val="231F20"/>
          <w:spacing w:val="-3"/>
          <w:w w:val="105"/>
        </w:rPr>
        <w:t>donde </w:t>
      </w:r>
      <w:r>
        <w:rPr>
          <w:color w:val="231F20"/>
          <w:w w:val="105"/>
        </w:rPr>
        <w:t>el PRI en una coalición con el Partido</w:t>
      </w:r>
      <w:r>
        <w:rPr>
          <w:color w:val="231F20"/>
          <w:spacing w:val="-37"/>
          <w:w w:val="105"/>
        </w:rPr>
        <w:t> </w:t>
      </w:r>
      <w:r>
        <w:rPr>
          <w:color w:val="231F20"/>
          <w:spacing w:val="-5"/>
          <w:w w:val="105"/>
        </w:rPr>
        <w:t>Verde </w:t>
      </w:r>
      <w:r>
        <w:rPr>
          <w:color w:val="231F20"/>
          <w:w w:val="105"/>
        </w:rPr>
        <w:t>Ecologista</w:t>
      </w:r>
      <w:r>
        <w:rPr>
          <w:color w:val="231F20"/>
          <w:spacing w:val="-10"/>
          <w:w w:val="105"/>
        </w:rPr>
        <w:t> </w:t>
      </w:r>
      <w:r>
        <w:rPr>
          <w:color w:val="231F20"/>
          <w:w w:val="105"/>
        </w:rPr>
        <w:t>de</w:t>
      </w:r>
      <w:r>
        <w:rPr>
          <w:color w:val="231F20"/>
          <w:spacing w:val="-10"/>
          <w:w w:val="105"/>
        </w:rPr>
        <w:t> </w:t>
      </w:r>
      <w:r>
        <w:rPr>
          <w:color w:val="231F20"/>
          <w:w w:val="105"/>
        </w:rPr>
        <w:t>México</w:t>
      </w:r>
      <w:r>
        <w:rPr>
          <w:color w:val="231F20"/>
          <w:spacing w:val="-10"/>
          <w:w w:val="105"/>
        </w:rPr>
        <w:t> </w:t>
      </w:r>
      <w:r>
        <w:rPr>
          <w:color w:val="231F20"/>
          <w:w w:val="105"/>
        </w:rPr>
        <w:t>(PVEM)</w:t>
      </w:r>
      <w:r>
        <w:rPr>
          <w:color w:val="231F20"/>
          <w:spacing w:val="-10"/>
          <w:w w:val="105"/>
        </w:rPr>
        <w:t> </w:t>
      </w:r>
      <w:r>
        <w:rPr>
          <w:color w:val="231F20"/>
          <w:w w:val="105"/>
        </w:rPr>
        <w:t>llamada</w:t>
      </w:r>
      <w:r>
        <w:rPr>
          <w:color w:val="231F20"/>
          <w:spacing w:val="-10"/>
          <w:w w:val="105"/>
        </w:rPr>
        <w:t> </w:t>
      </w:r>
      <w:r>
        <w:rPr>
          <w:color w:val="231F20"/>
          <w:spacing w:val="2"/>
          <w:w w:val="105"/>
        </w:rPr>
        <w:t>Alianza</w:t>
      </w:r>
      <w:r>
        <w:rPr>
          <w:color w:val="231F20"/>
          <w:spacing w:val="-10"/>
          <w:w w:val="105"/>
        </w:rPr>
        <w:t> </w:t>
      </w:r>
      <w:r>
        <w:rPr>
          <w:color w:val="231F20"/>
          <w:w w:val="105"/>
        </w:rPr>
        <w:t>por</w:t>
      </w:r>
      <w:r>
        <w:rPr>
          <w:color w:val="231F20"/>
          <w:spacing w:val="-10"/>
          <w:w w:val="105"/>
        </w:rPr>
        <w:t> </w:t>
      </w:r>
      <w:r>
        <w:rPr>
          <w:color w:val="231F20"/>
          <w:w w:val="105"/>
        </w:rPr>
        <w:t>México</w:t>
      </w:r>
      <w:r>
        <w:rPr>
          <w:color w:val="231F20"/>
          <w:spacing w:val="-10"/>
          <w:w w:val="105"/>
        </w:rPr>
        <w:t> </w:t>
      </w:r>
      <w:r>
        <w:rPr>
          <w:color w:val="231F20"/>
          <w:spacing w:val="-3"/>
          <w:w w:val="105"/>
        </w:rPr>
        <w:t>(APM),</w:t>
      </w:r>
      <w:r>
        <w:rPr>
          <w:color w:val="231F20"/>
          <w:spacing w:val="-10"/>
          <w:w w:val="105"/>
        </w:rPr>
        <w:t> </w:t>
      </w:r>
      <w:r>
        <w:rPr>
          <w:color w:val="231F20"/>
          <w:w w:val="105"/>
        </w:rPr>
        <w:t>logra</w:t>
      </w:r>
      <w:r>
        <w:rPr>
          <w:color w:val="231F20"/>
          <w:spacing w:val="-10"/>
          <w:w w:val="105"/>
        </w:rPr>
        <w:t> </w:t>
      </w:r>
      <w:r>
        <w:rPr>
          <w:color w:val="231F20"/>
          <w:w w:val="105"/>
        </w:rPr>
        <w:t>recuperar</w:t>
      </w:r>
      <w:r>
        <w:rPr>
          <w:color w:val="231F20"/>
          <w:spacing w:val="-10"/>
          <w:w w:val="105"/>
        </w:rPr>
        <w:t> </w:t>
      </w:r>
      <w:r>
        <w:rPr>
          <w:color w:val="231F20"/>
          <w:w w:val="105"/>
        </w:rPr>
        <w:t>el ayuntamiento</w:t>
      </w:r>
      <w:r>
        <w:rPr>
          <w:color w:val="231F20"/>
          <w:spacing w:val="-8"/>
          <w:w w:val="105"/>
        </w:rPr>
        <w:t> </w:t>
      </w:r>
      <w:r>
        <w:rPr>
          <w:color w:val="231F20"/>
          <w:w w:val="105"/>
        </w:rPr>
        <w:t>que</w:t>
      </w:r>
      <w:r>
        <w:rPr>
          <w:color w:val="231F20"/>
          <w:spacing w:val="-8"/>
          <w:w w:val="105"/>
        </w:rPr>
        <w:t> </w:t>
      </w:r>
      <w:r>
        <w:rPr>
          <w:color w:val="231F20"/>
          <w:w w:val="105"/>
        </w:rPr>
        <w:t>había</w:t>
      </w:r>
      <w:r>
        <w:rPr>
          <w:color w:val="231F20"/>
          <w:spacing w:val="-8"/>
          <w:w w:val="105"/>
        </w:rPr>
        <w:t> </w:t>
      </w:r>
      <w:r>
        <w:rPr>
          <w:color w:val="231F20"/>
          <w:w w:val="105"/>
        </w:rPr>
        <w:t>perdido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trienio</w:t>
      </w:r>
      <w:r>
        <w:rPr>
          <w:color w:val="231F20"/>
          <w:spacing w:val="-8"/>
          <w:w w:val="105"/>
        </w:rPr>
        <w:t> </w:t>
      </w:r>
      <w:r>
        <w:rPr>
          <w:color w:val="231F20"/>
          <w:w w:val="105"/>
        </w:rPr>
        <w:t>anterior</w:t>
      </w:r>
      <w:r>
        <w:rPr>
          <w:color w:val="231F20"/>
          <w:spacing w:val="-8"/>
          <w:w w:val="105"/>
        </w:rPr>
        <w:t> </w:t>
      </w:r>
      <w:r>
        <w:rPr>
          <w:color w:val="231F20"/>
          <w:w w:val="105"/>
        </w:rPr>
        <w:t>(2003)</w:t>
      </w:r>
      <w:r>
        <w:rPr>
          <w:color w:val="231F20"/>
          <w:spacing w:val="-8"/>
          <w:w w:val="105"/>
        </w:rPr>
        <w:t> </w:t>
      </w:r>
      <w:r>
        <w:rPr>
          <w:color w:val="231F20"/>
          <w:w w:val="105"/>
        </w:rPr>
        <w:t>frente</w:t>
      </w:r>
      <w:r>
        <w:rPr>
          <w:color w:val="231F20"/>
          <w:spacing w:val="-8"/>
          <w:w w:val="105"/>
        </w:rPr>
        <w:t> </w:t>
      </w:r>
      <w:r>
        <w:rPr>
          <w:color w:val="231F20"/>
          <w:spacing w:val="2"/>
          <w:w w:val="105"/>
        </w:rPr>
        <w:t>al</w:t>
      </w:r>
      <w:r>
        <w:rPr>
          <w:color w:val="231F20"/>
          <w:spacing w:val="-8"/>
          <w:w w:val="105"/>
        </w:rPr>
        <w:t> </w:t>
      </w:r>
      <w:r>
        <w:rPr>
          <w:color w:val="231F20"/>
          <w:w w:val="105"/>
        </w:rPr>
        <w:t>Partido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3"/>
          <w:w w:val="105"/>
        </w:rPr>
        <w:t>Re- volución</w:t>
      </w:r>
      <w:r>
        <w:rPr>
          <w:color w:val="231F20"/>
          <w:spacing w:val="-35"/>
          <w:w w:val="105"/>
        </w:rPr>
        <w:t> </w:t>
      </w:r>
      <w:r>
        <w:rPr>
          <w:color w:val="231F20"/>
          <w:w w:val="105"/>
        </w:rPr>
        <w:t>Democrática.</w:t>
      </w:r>
    </w:p>
    <w:p>
      <w:pPr>
        <w:pStyle w:val="BodyText"/>
        <w:spacing w:before="1"/>
        <w:rPr>
          <w:sz w:val="26"/>
        </w:rPr>
      </w:pPr>
    </w:p>
    <w:p>
      <w:pPr>
        <w:pStyle w:val="BodyText"/>
        <w:spacing w:line="285" w:lineRule="auto"/>
        <w:ind w:left="110" w:right="107"/>
        <w:jc w:val="both"/>
      </w:pPr>
      <w:r>
        <w:rPr>
          <w:color w:val="231F20"/>
          <w:w w:val="105"/>
        </w:rPr>
        <w:t>El número de partidos en </w:t>
      </w:r>
      <w:r>
        <w:rPr>
          <w:color w:val="231F20"/>
          <w:spacing w:val="-4"/>
          <w:w w:val="105"/>
        </w:rPr>
        <w:t>Tejupilco </w:t>
      </w:r>
      <w:r>
        <w:rPr>
          <w:color w:val="231F20"/>
          <w:w w:val="105"/>
        </w:rPr>
        <w:t>es de </w:t>
      </w:r>
      <w:r>
        <w:rPr>
          <w:color w:val="231F20"/>
          <w:spacing w:val="-3"/>
          <w:w w:val="105"/>
        </w:rPr>
        <w:t>2.1, </w:t>
      </w:r>
      <w:r>
        <w:rPr>
          <w:color w:val="231F20"/>
          <w:w w:val="105"/>
        </w:rPr>
        <w:t>el margen de victoria con el que ganó el PRI</w:t>
      </w:r>
      <w:r>
        <w:rPr>
          <w:color w:val="231F20"/>
          <w:spacing w:val="-21"/>
          <w:w w:val="105"/>
        </w:rPr>
        <w:t> </w:t>
      </w:r>
      <w:r>
        <w:rPr>
          <w:color w:val="231F20"/>
          <w:w w:val="105"/>
        </w:rPr>
        <w:t>en</w:t>
      </w:r>
      <w:r>
        <w:rPr>
          <w:color w:val="231F20"/>
          <w:spacing w:val="-21"/>
          <w:w w:val="105"/>
        </w:rPr>
        <w:t> </w:t>
      </w:r>
      <w:r>
        <w:rPr>
          <w:color w:val="231F20"/>
          <w:spacing w:val="3"/>
          <w:w w:val="105"/>
        </w:rPr>
        <w:t>2006</w:t>
      </w:r>
      <w:r>
        <w:rPr>
          <w:color w:val="231F20"/>
          <w:spacing w:val="-21"/>
          <w:w w:val="105"/>
        </w:rPr>
        <w:t> </w:t>
      </w:r>
      <w:r>
        <w:rPr>
          <w:color w:val="231F20"/>
          <w:w w:val="105"/>
        </w:rPr>
        <w:t>fue</w:t>
      </w:r>
      <w:r>
        <w:rPr>
          <w:color w:val="231F20"/>
          <w:spacing w:val="-21"/>
          <w:w w:val="105"/>
        </w:rPr>
        <w:t> </w:t>
      </w:r>
      <w:r>
        <w:rPr>
          <w:color w:val="231F20"/>
          <w:w w:val="105"/>
        </w:rPr>
        <w:t>de</w:t>
      </w:r>
      <w:r>
        <w:rPr>
          <w:color w:val="231F20"/>
          <w:spacing w:val="-21"/>
          <w:w w:val="105"/>
        </w:rPr>
        <w:t> </w:t>
      </w:r>
      <w:r>
        <w:rPr>
          <w:color w:val="231F20"/>
          <w:w w:val="105"/>
        </w:rPr>
        <w:t>7%,</w:t>
      </w:r>
      <w:r>
        <w:rPr>
          <w:color w:val="231F20"/>
          <w:spacing w:val="-21"/>
          <w:w w:val="105"/>
        </w:rPr>
        <w:t> </w:t>
      </w:r>
      <w:r>
        <w:rPr>
          <w:color w:val="231F20"/>
          <w:w w:val="105"/>
        </w:rPr>
        <w:t>un</w:t>
      </w:r>
      <w:r>
        <w:rPr>
          <w:color w:val="231F20"/>
          <w:spacing w:val="-21"/>
          <w:w w:val="105"/>
        </w:rPr>
        <w:t> </w:t>
      </w:r>
      <w:r>
        <w:rPr>
          <w:color w:val="231F20"/>
          <w:w w:val="105"/>
        </w:rPr>
        <w:t>margen</w:t>
      </w:r>
      <w:r>
        <w:rPr>
          <w:color w:val="231F20"/>
          <w:spacing w:val="-21"/>
          <w:w w:val="105"/>
        </w:rPr>
        <w:t> </w:t>
      </w:r>
      <w:r>
        <w:rPr>
          <w:color w:val="231F20"/>
          <w:w w:val="105"/>
        </w:rPr>
        <w:t>alto</w:t>
      </w:r>
      <w:r>
        <w:rPr>
          <w:color w:val="231F20"/>
          <w:spacing w:val="-21"/>
          <w:w w:val="105"/>
        </w:rPr>
        <w:t> </w:t>
      </w:r>
      <w:r>
        <w:rPr>
          <w:color w:val="231F20"/>
          <w:w w:val="105"/>
        </w:rPr>
        <w:t>si</w:t>
      </w:r>
      <w:r>
        <w:rPr>
          <w:color w:val="231F20"/>
          <w:spacing w:val="-21"/>
          <w:w w:val="105"/>
        </w:rPr>
        <w:t> </w:t>
      </w:r>
      <w:r>
        <w:rPr>
          <w:color w:val="231F20"/>
          <w:w w:val="105"/>
        </w:rPr>
        <w:t>consideramos</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PRD</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trienio</w:t>
      </w:r>
      <w:r>
        <w:rPr>
          <w:color w:val="231F20"/>
          <w:spacing w:val="-21"/>
          <w:w w:val="105"/>
        </w:rPr>
        <w:t> </w:t>
      </w:r>
      <w:r>
        <w:rPr>
          <w:color w:val="231F20"/>
          <w:w w:val="105"/>
        </w:rPr>
        <w:t>anterior ganó</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4.62%,</w:t>
      </w:r>
      <w:r>
        <w:rPr>
          <w:color w:val="231F20"/>
          <w:spacing w:val="-11"/>
          <w:w w:val="105"/>
        </w:rPr>
        <w:t> </w:t>
      </w:r>
      <w:r>
        <w:rPr>
          <w:color w:val="231F20"/>
          <w:w w:val="105"/>
        </w:rPr>
        <w:t>es</w:t>
      </w:r>
      <w:r>
        <w:rPr>
          <w:color w:val="231F20"/>
          <w:spacing w:val="-11"/>
          <w:w w:val="105"/>
        </w:rPr>
        <w:t> </w:t>
      </w:r>
      <w:r>
        <w:rPr>
          <w:color w:val="231F20"/>
          <w:w w:val="105"/>
        </w:rPr>
        <w:t>decir</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PRI</w:t>
      </w:r>
      <w:r>
        <w:rPr>
          <w:color w:val="231F20"/>
          <w:spacing w:val="-11"/>
          <w:w w:val="105"/>
        </w:rPr>
        <w:t> </w:t>
      </w:r>
      <w:r>
        <w:rPr>
          <w:color w:val="231F20"/>
          <w:w w:val="105"/>
        </w:rPr>
        <w:t>en</w:t>
      </w:r>
      <w:r>
        <w:rPr>
          <w:color w:val="231F20"/>
          <w:spacing w:val="-11"/>
          <w:w w:val="105"/>
        </w:rPr>
        <w:t> </w:t>
      </w:r>
      <w:r>
        <w:rPr>
          <w:color w:val="231F20"/>
          <w:spacing w:val="3"/>
          <w:w w:val="105"/>
        </w:rPr>
        <w:t>2006</w:t>
      </w:r>
      <w:r>
        <w:rPr>
          <w:color w:val="231F20"/>
          <w:spacing w:val="-11"/>
          <w:w w:val="105"/>
        </w:rPr>
        <w:t> </w:t>
      </w:r>
      <w:r>
        <w:rPr>
          <w:color w:val="231F20"/>
          <w:w w:val="105"/>
        </w:rPr>
        <w:t>logró</w:t>
      </w:r>
      <w:r>
        <w:rPr>
          <w:color w:val="231F20"/>
          <w:spacing w:val="-11"/>
          <w:w w:val="105"/>
        </w:rPr>
        <w:t> </w:t>
      </w:r>
      <w:r>
        <w:rPr>
          <w:color w:val="231F20"/>
          <w:w w:val="105"/>
        </w:rPr>
        <w:t>una</w:t>
      </w:r>
      <w:r>
        <w:rPr>
          <w:color w:val="231F20"/>
          <w:spacing w:val="-11"/>
          <w:w w:val="105"/>
        </w:rPr>
        <w:t> </w:t>
      </w:r>
      <w:r>
        <w:rPr>
          <w:color w:val="231F20"/>
          <w:w w:val="105"/>
        </w:rPr>
        <w:t>diferencia</w:t>
      </w:r>
      <w:r>
        <w:rPr>
          <w:color w:val="231F20"/>
          <w:spacing w:val="-11"/>
          <w:w w:val="105"/>
        </w:rPr>
        <w:t> </w:t>
      </w:r>
      <w:r>
        <w:rPr>
          <w:color w:val="231F20"/>
          <w:w w:val="105"/>
        </w:rPr>
        <w:t>de</w:t>
      </w:r>
      <w:r>
        <w:rPr>
          <w:color w:val="231F20"/>
          <w:spacing w:val="-11"/>
          <w:w w:val="105"/>
        </w:rPr>
        <w:t> </w:t>
      </w:r>
      <w:r>
        <w:rPr>
          <w:color w:val="231F20"/>
          <w:w w:val="105"/>
        </w:rPr>
        <w:t>2.38%</w:t>
      </w:r>
      <w:r>
        <w:rPr>
          <w:color w:val="231F20"/>
          <w:spacing w:val="-11"/>
          <w:w w:val="105"/>
        </w:rPr>
        <w:t> </w:t>
      </w:r>
      <w:r>
        <w:rPr>
          <w:color w:val="231F20"/>
          <w:w w:val="105"/>
        </w:rPr>
        <w:t>respecto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spacing w:val="2"/>
          <w:w w:val="105"/>
        </w:rPr>
        <w:t>al </w:t>
      </w:r>
      <w:r>
        <w:rPr>
          <w:color w:val="231F20"/>
          <w:w w:val="105"/>
        </w:rPr>
        <w:t>margen de victoria obtenido por el </w:t>
      </w:r>
      <w:r>
        <w:rPr>
          <w:color w:val="231F20"/>
          <w:spacing w:val="-3"/>
          <w:w w:val="105"/>
        </w:rPr>
        <w:t>PRD. </w:t>
      </w:r>
      <w:r>
        <w:rPr>
          <w:color w:val="231F20"/>
          <w:w w:val="105"/>
        </w:rPr>
        <w:t>El nivel de competitividad del municipio es alto y el formato de partido es bipartidista. Situación que se aprecia en la gráfica </w:t>
      </w:r>
      <w:r>
        <w:rPr>
          <w:color w:val="231F20"/>
          <w:spacing w:val="-4"/>
          <w:w w:val="105"/>
        </w:rPr>
        <w:t>1, </w:t>
      </w:r>
      <w:r>
        <w:rPr>
          <w:color w:val="231F20"/>
          <w:w w:val="105"/>
        </w:rPr>
        <w:t>ya</w:t>
      </w:r>
      <w:r>
        <w:rPr>
          <w:color w:val="231F20"/>
          <w:spacing w:val="-13"/>
          <w:w w:val="105"/>
        </w:rPr>
        <w:t> </w:t>
      </w:r>
      <w:r>
        <w:rPr>
          <w:color w:val="231F20"/>
          <w:w w:val="105"/>
        </w:rPr>
        <w:t>que</w:t>
      </w:r>
      <w:r>
        <w:rPr>
          <w:color w:val="231F20"/>
          <w:spacing w:val="-13"/>
          <w:w w:val="105"/>
        </w:rPr>
        <w:t> </w:t>
      </w:r>
      <w:r>
        <w:rPr>
          <w:color w:val="231F20"/>
          <w:w w:val="105"/>
        </w:rPr>
        <w:t>Acción</w:t>
      </w:r>
      <w:r>
        <w:rPr>
          <w:color w:val="231F20"/>
          <w:spacing w:val="-13"/>
          <w:w w:val="105"/>
        </w:rPr>
        <w:t> </w:t>
      </w:r>
      <w:r>
        <w:rPr>
          <w:color w:val="231F20"/>
          <w:w w:val="105"/>
        </w:rPr>
        <w:t>Nacional</w:t>
      </w:r>
      <w:r>
        <w:rPr>
          <w:color w:val="231F20"/>
          <w:spacing w:val="-13"/>
          <w:w w:val="105"/>
        </w:rPr>
        <w:t> </w:t>
      </w:r>
      <w:r>
        <w:rPr>
          <w:color w:val="231F20"/>
          <w:w w:val="105"/>
        </w:rPr>
        <w:t>mantiene</w:t>
      </w:r>
      <w:r>
        <w:rPr>
          <w:color w:val="231F20"/>
          <w:spacing w:val="-13"/>
          <w:w w:val="105"/>
        </w:rPr>
        <w:t> </w:t>
      </w:r>
      <w:r>
        <w:rPr>
          <w:color w:val="231F20"/>
          <w:w w:val="105"/>
        </w:rPr>
        <w:t>su</w:t>
      </w:r>
      <w:r>
        <w:rPr>
          <w:color w:val="231F20"/>
          <w:spacing w:val="-13"/>
          <w:w w:val="105"/>
        </w:rPr>
        <w:t> </w:t>
      </w:r>
      <w:r>
        <w:rPr>
          <w:color w:val="231F20"/>
          <w:w w:val="105"/>
        </w:rPr>
        <w:t>votación</w:t>
      </w:r>
      <w:r>
        <w:rPr>
          <w:color w:val="231F20"/>
          <w:spacing w:val="-13"/>
          <w:w w:val="105"/>
        </w:rPr>
        <w:t> </w:t>
      </w:r>
      <w:r>
        <w:rPr>
          <w:color w:val="231F20"/>
          <w:w w:val="105"/>
        </w:rPr>
        <w:t>entre</w:t>
      </w:r>
      <w:r>
        <w:rPr>
          <w:color w:val="231F20"/>
          <w:spacing w:val="-13"/>
          <w:w w:val="105"/>
        </w:rPr>
        <w:t> </w:t>
      </w:r>
      <w:r>
        <w:rPr>
          <w:color w:val="231F20"/>
          <w:w w:val="105"/>
        </w:rPr>
        <w:t>un</w:t>
      </w:r>
      <w:r>
        <w:rPr>
          <w:color w:val="231F20"/>
          <w:spacing w:val="-13"/>
          <w:w w:val="105"/>
        </w:rPr>
        <w:t> </w:t>
      </w:r>
      <w:r>
        <w:rPr>
          <w:color w:val="231F20"/>
          <w:w w:val="105"/>
        </w:rPr>
        <w:t>2.10%</w:t>
      </w:r>
      <w:r>
        <w:rPr>
          <w:color w:val="231F20"/>
          <w:spacing w:val="-13"/>
          <w:w w:val="105"/>
        </w:rPr>
        <w:t> </w:t>
      </w:r>
      <w:r>
        <w:rPr>
          <w:color w:val="231F20"/>
          <w:w w:val="105"/>
        </w:rPr>
        <w:t>y</w:t>
      </w:r>
      <w:r>
        <w:rPr>
          <w:color w:val="231F20"/>
          <w:spacing w:val="-13"/>
          <w:w w:val="105"/>
        </w:rPr>
        <w:t> </w:t>
      </w:r>
      <w:r>
        <w:rPr>
          <w:color w:val="231F20"/>
          <w:w w:val="105"/>
        </w:rPr>
        <w:t>un</w:t>
      </w:r>
      <w:r>
        <w:rPr>
          <w:color w:val="231F20"/>
          <w:spacing w:val="-13"/>
          <w:w w:val="105"/>
        </w:rPr>
        <w:t> </w:t>
      </w:r>
      <w:r>
        <w:rPr>
          <w:color w:val="231F20"/>
          <w:w w:val="105"/>
        </w:rPr>
        <w:t>9.99%,</w:t>
      </w:r>
      <w:r>
        <w:rPr>
          <w:color w:val="231F20"/>
          <w:spacing w:val="-13"/>
          <w:w w:val="105"/>
        </w:rPr>
        <w:t> </w:t>
      </w:r>
      <w:r>
        <w:rPr>
          <w:color w:val="231F20"/>
          <w:w w:val="105"/>
        </w:rPr>
        <w:t>centrando</w:t>
      </w:r>
      <w:r>
        <w:rPr>
          <w:color w:val="231F20"/>
          <w:spacing w:val="-13"/>
          <w:w w:val="105"/>
        </w:rPr>
        <w:t> </w:t>
      </w:r>
      <w:r>
        <w:rPr>
          <w:color w:val="231F20"/>
          <w:w w:val="105"/>
        </w:rPr>
        <w:t>la competencia</w:t>
      </w:r>
      <w:r>
        <w:rPr>
          <w:color w:val="231F20"/>
          <w:spacing w:val="-22"/>
          <w:w w:val="105"/>
        </w:rPr>
        <w:t> </w:t>
      </w:r>
      <w:r>
        <w:rPr>
          <w:color w:val="231F20"/>
          <w:w w:val="105"/>
        </w:rPr>
        <w:t>electoral</w:t>
      </w:r>
      <w:r>
        <w:rPr>
          <w:color w:val="231F20"/>
          <w:spacing w:val="-22"/>
          <w:w w:val="105"/>
        </w:rPr>
        <w:t> </w:t>
      </w:r>
      <w:r>
        <w:rPr>
          <w:color w:val="231F20"/>
          <w:w w:val="105"/>
        </w:rPr>
        <w:t>entre</w:t>
      </w:r>
      <w:r>
        <w:rPr>
          <w:color w:val="231F20"/>
          <w:spacing w:val="-22"/>
          <w:w w:val="105"/>
        </w:rPr>
        <w:t> </w:t>
      </w:r>
      <w:r>
        <w:rPr>
          <w:color w:val="231F20"/>
          <w:w w:val="105"/>
        </w:rPr>
        <w:t>PRI</w:t>
      </w:r>
      <w:r>
        <w:rPr>
          <w:color w:val="231F20"/>
          <w:spacing w:val="-22"/>
          <w:w w:val="105"/>
        </w:rPr>
        <w:t> </w:t>
      </w:r>
      <w:r>
        <w:rPr>
          <w:color w:val="231F20"/>
          <w:w w:val="105"/>
        </w:rPr>
        <w:t>y</w:t>
      </w:r>
      <w:r>
        <w:rPr>
          <w:color w:val="231F20"/>
          <w:spacing w:val="-22"/>
          <w:w w:val="105"/>
        </w:rPr>
        <w:t> </w:t>
      </w:r>
      <w:r>
        <w:rPr>
          <w:color w:val="231F20"/>
          <w:spacing w:val="-3"/>
          <w:w w:val="105"/>
        </w:rPr>
        <w:t>PRD.</w:t>
      </w:r>
    </w:p>
    <w:p>
      <w:pPr>
        <w:pStyle w:val="BodyText"/>
        <w:spacing w:before="1"/>
        <w:rPr>
          <w:sz w:val="26"/>
        </w:rPr>
      </w:pPr>
    </w:p>
    <w:p>
      <w:pPr>
        <w:pStyle w:val="BodyText"/>
        <w:spacing w:line="285" w:lineRule="auto"/>
        <w:ind w:left="110" w:right="108"/>
        <w:jc w:val="both"/>
      </w:pPr>
      <w:r>
        <w:rPr>
          <w:color w:val="231F20"/>
          <w:w w:val="105"/>
        </w:rPr>
        <w:t>El</w:t>
      </w:r>
      <w:r>
        <w:rPr>
          <w:color w:val="231F20"/>
          <w:spacing w:val="-9"/>
          <w:w w:val="105"/>
        </w:rPr>
        <w:t> </w:t>
      </w:r>
      <w:r>
        <w:rPr>
          <w:color w:val="231F20"/>
          <w:w w:val="105"/>
        </w:rPr>
        <w:t>ayuntamiento</w:t>
      </w:r>
      <w:r>
        <w:rPr>
          <w:color w:val="231F20"/>
          <w:spacing w:val="-9"/>
          <w:w w:val="105"/>
        </w:rPr>
        <w:t> </w:t>
      </w:r>
      <w:r>
        <w:rPr>
          <w:color w:val="231F20"/>
          <w:w w:val="105"/>
        </w:rPr>
        <w:t>está</w:t>
      </w:r>
      <w:r>
        <w:rPr>
          <w:color w:val="231F20"/>
          <w:spacing w:val="-9"/>
          <w:w w:val="105"/>
        </w:rPr>
        <w:t> </w:t>
      </w:r>
      <w:r>
        <w:rPr>
          <w:color w:val="231F20"/>
          <w:w w:val="105"/>
        </w:rPr>
        <w:t>integrado</w:t>
      </w:r>
      <w:r>
        <w:rPr>
          <w:color w:val="231F20"/>
          <w:spacing w:val="-9"/>
          <w:w w:val="105"/>
        </w:rPr>
        <w:t> </w:t>
      </w:r>
      <w:r>
        <w:rPr>
          <w:color w:val="231F20"/>
          <w:w w:val="105"/>
        </w:rPr>
        <w:t>por</w:t>
      </w:r>
      <w:r>
        <w:rPr>
          <w:color w:val="231F20"/>
          <w:spacing w:val="-9"/>
          <w:w w:val="105"/>
        </w:rPr>
        <w:t> </w:t>
      </w:r>
      <w:r>
        <w:rPr>
          <w:color w:val="231F20"/>
          <w:w w:val="105"/>
        </w:rPr>
        <w:t>un</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un</w:t>
      </w:r>
      <w:r>
        <w:rPr>
          <w:color w:val="231F20"/>
          <w:spacing w:val="-9"/>
          <w:w w:val="105"/>
        </w:rPr>
        <w:t> </w:t>
      </w:r>
      <w:r>
        <w:rPr>
          <w:color w:val="231F20"/>
          <w:w w:val="105"/>
        </w:rPr>
        <w:t>síndico</w:t>
      </w:r>
      <w:r>
        <w:rPr>
          <w:color w:val="231F20"/>
          <w:spacing w:val="-9"/>
          <w:w w:val="105"/>
        </w:rPr>
        <w:t> </w:t>
      </w:r>
      <w:r>
        <w:rPr>
          <w:color w:val="231F20"/>
          <w:w w:val="105"/>
        </w:rPr>
        <w:t>y</w:t>
      </w:r>
      <w:r>
        <w:rPr>
          <w:color w:val="231F20"/>
          <w:spacing w:val="-9"/>
          <w:w w:val="105"/>
        </w:rPr>
        <w:t> </w:t>
      </w:r>
      <w:r>
        <w:rPr>
          <w:color w:val="231F20"/>
          <w:spacing w:val="-5"/>
          <w:w w:val="105"/>
        </w:rPr>
        <w:t>10</w:t>
      </w:r>
      <w:r>
        <w:rPr>
          <w:color w:val="231F20"/>
          <w:spacing w:val="-9"/>
          <w:w w:val="105"/>
        </w:rPr>
        <w:t> </w:t>
      </w:r>
      <w:r>
        <w:rPr>
          <w:color w:val="231F20"/>
          <w:w w:val="105"/>
        </w:rPr>
        <w:t>regidores, de</w:t>
      </w:r>
      <w:r>
        <w:rPr>
          <w:color w:val="231F20"/>
          <w:spacing w:val="-5"/>
          <w:w w:val="105"/>
        </w:rPr>
        <w:t> </w:t>
      </w:r>
      <w:r>
        <w:rPr>
          <w:color w:val="231F20"/>
          <w:w w:val="105"/>
        </w:rPr>
        <w:t>los</w:t>
      </w:r>
      <w:r>
        <w:rPr>
          <w:color w:val="231F20"/>
          <w:spacing w:val="-5"/>
          <w:w w:val="105"/>
        </w:rPr>
        <w:t> </w:t>
      </w:r>
      <w:r>
        <w:rPr>
          <w:color w:val="231F20"/>
          <w:w w:val="105"/>
        </w:rPr>
        <w:t>cuales</w:t>
      </w:r>
      <w:r>
        <w:rPr>
          <w:color w:val="231F20"/>
          <w:spacing w:val="-5"/>
          <w:w w:val="105"/>
        </w:rPr>
        <w:t> </w:t>
      </w:r>
      <w:r>
        <w:rPr>
          <w:color w:val="231F20"/>
          <w:w w:val="105"/>
        </w:rPr>
        <w:t>seis</w:t>
      </w:r>
      <w:r>
        <w:rPr>
          <w:color w:val="231F20"/>
          <w:spacing w:val="-5"/>
          <w:w w:val="105"/>
        </w:rPr>
        <w:t> </w:t>
      </w:r>
      <w:r>
        <w:rPr>
          <w:color w:val="231F20"/>
          <w:w w:val="105"/>
        </w:rPr>
        <w:t>son</w:t>
      </w:r>
      <w:r>
        <w:rPr>
          <w:color w:val="231F20"/>
          <w:spacing w:val="-5"/>
          <w:w w:val="105"/>
        </w:rPr>
        <w:t> </w:t>
      </w:r>
      <w:r>
        <w:rPr>
          <w:color w:val="231F20"/>
          <w:w w:val="105"/>
        </w:rPr>
        <w:t>de</w:t>
      </w:r>
      <w:r>
        <w:rPr>
          <w:color w:val="231F20"/>
          <w:spacing w:val="-5"/>
          <w:w w:val="105"/>
        </w:rPr>
        <w:t> </w:t>
      </w:r>
      <w:r>
        <w:rPr>
          <w:color w:val="231F20"/>
          <w:w w:val="105"/>
        </w:rPr>
        <w:t>mayoría</w:t>
      </w:r>
      <w:r>
        <w:rPr>
          <w:color w:val="231F20"/>
          <w:spacing w:val="-5"/>
          <w:w w:val="105"/>
        </w:rPr>
        <w:t> </w:t>
      </w:r>
      <w:r>
        <w:rPr>
          <w:color w:val="231F20"/>
          <w:w w:val="105"/>
        </w:rPr>
        <w:t>relativa</w:t>
      </w:r>
      <w:r>
        <w:rPr>
          <w:color w:val="231F20"/>
          <w:spacing w:val="-5"/>
          <w:w w:val="105"/>
        </w:rPr>
        <w:t> </w:t>
      </w:r>
      <w:r>
        <w:rPr>
          <w:color w:val="231F20"/>
          <w:w w:val="105"/>
        </w:rPr>
        <w:t>y</w:t>
      </w:r>
      <w:r>
        <w:rPr>
          <w:color w:val="231F20"/>
          <w:spacing w:val="-5"/>
          <w:w w:val="105"/>
        </w:rPr>
        <w:t> </w:t>
      </w:r>
      <w:r>
        <w:rPr>
          <w:color w:val="231F20"/>
          <w:w w:val="105"/>
        </w:rPr>
        <w:t>4</w:t>
      </w:r>
      <w:r>
        <w:rPr>
          <w:color w:val="231F20"/>
          <w:spacing w:val="-5"/>
          <w:w w:val="105"/>
        </w:rPr>
        <w:t> </w:t>
      </w:r>
      <w:r>
        <w:rPr>
          <w:color w:val="231F20"/>
          <w:w w:val="105"/>
        </w:rPr>
        <w:t>de</w:t>
      </w:r>
      <w:r>
        <w:rPr>
          <w:color w:val="231F20"/>
          <w:spacing w:val="-5"/>
          <w:w w:val="105"/>
        </w:rPr>
        <w:t> </w:t>
      </w:r>
      <w:r>
        <w:rPr>
          <w:color w:val="231F20"/>
          <w:w w:val="105"/>
        </w:rPr>
        <w:t>representación</w:t>
      </w:r>
      <w:r>
        <w:rPr>
          <w:color w:val="231F20"/>
          <w:spacing w:val="-5"/>
          <w:w w:val="105"/>
        </w:rPr>
        <w:t> </w:t>
      </w:r>
      <w:r>
        <w:rPr>
          <w:color w:val="231F20"/>
          <w:w w:val="105"/>
        </w:rPr>
        <w:t>proporcional</w:t>
      </w:r>
      <w:r>
        <w:rPr>
          <w:color w:val="231F20"/>
          <w:spacing w:val="-5"/>
          <w:w w:val="105"/>
        </w:rPr>
        <w:t> </w:t>
      </w:r>
      <w:r>
        <w:rPr>
          <w:color w:val="231F20"/>
          <w:spacing w:val="-6"/>
          <w:w w:val="105"/>
        </w:rPr>
        <w:t>(a</w:t>
      </w:r>
      <w:r>
        <w:rPr>
          <w:color w:val="231F20"/>
          <w:spacing w:val="-5"/>
          <w:w w:val="105"/>
        </w:rPr>
        <w:t> </w:t>
      </w:r>
      <w:r>
        <w:rPr>
          <w:color w:val="231F20"/>
          <w:w w:val="105"/>
        </w:rPr>
        <w:t>excep- ción</w:t>
      </w:r>
      <w:r>
        <w:rPr>
          <w:color w:val="231F20"/>
          <w:spacing w:val="-14"/>
          <w:w w:val="105"/>
        </w:rPr>
        <w:t> </w:t>
      </w:r>
      <w:r>
        <w:rPr>
          <w:color w:val="231F20"/>
          <w:w w:val="105"/>
        </w:rPr>
        <w:t>de</w:t>
      </w:r>
      <w:r>
        <w:rPr>
          <w:color w:val="231F20"/>
          <w:spacing w:val="-14"/>
          <w:w w:val="105"/>
        </w:rPr>
        <w:t> </w:t>
      </w:r>
      <w:r>
        <w:rPr>
          <w:color w:val="231F20"/>
          <w:w w:val="105"/>
        </w:rPr>
        <w:t>1993</w:t>
      </w:r>
      <w:r>
        <w:rPr>
          <w:color w:val="231F20"/>
          <w:spacing w:val="-14"/>
          <w:w w:val="105"/>
        </w:rPr>
        <w:t> </w:t>
      </w:r>
      <w:r>
        <w:rPr>
          <w:color w:val="231F20"/>
          <w:w w:val="105"/>
        </w:rPr>
        <w:t>en</w:t>
      </w:r>
      <w:r>
        <w:rPr>
          <w:color w:val="231F20"/>
          <w:spacing w:val="-14"/>
          <w:w w:val="105"/>
        </w:rPr>
        <w:t> </w:t>
      </w:r>
      <w:r>
        <w:rPr>
          <w:color w:val="231F20"/>
          <w:spacing w:val="-3"/>
          <w:w w:val="105"/>
        </w:rPr>
        <w:t>donde</w:t>
      </w:r>
      <w:r>
        <w:rPr>
          <w:color w:val="231F20"/>
          <w:spacing w:val="-14"/>
          <w:w w:val="105"/>
        </w:rPr>
        <w:t> </w:t>
      </w:r>
      <w:r>
        <w:rPr>
          <w:color w:val="231F20"/>
          <w:w w:val="105"/>
        </w:rPr>
        <w:t>había</w:t>
      </w:r>
      <w:r>
        <w:rPr>
          <w:color w:val="231F20"/>
          <w:spacing w:val="-14"/>
          <w:w w:val="105"/>
        </w:rPr>
        <w:t> </w:t>
      </w:r>
      <w:r>
        <w:rPr>
          <w:color w:val="231F20"/>
          <w:w w:val="105"/>
        </w:rPr>
        <w:t>nada</w:t>
      </w:r>
      <w:r>
        <w:rPr>
          <w:color w:val="231F20"/>
          <w:spacing w:val="-14"/>
          <w:w w:val="105"/>
        </w:rPr>
        <w:t> </w:t>
      </w:r>
      <w:r>
        <w:rPr>
          <w:color w:val="231F20"/>
          <w:w w:val="105"/>
        </w:rPr>
        <w:t>más</w:t>
      </w:r>
      <w:r>
        <w:rPr>
          <w:color w:val="231F20"/>
          <w:spacing w:val="-14"/>
          <w:w w:val="105"/>
        </w:rPr>
        <w:t> </w:t>
      </w:r>
      <w:r>
        <w:rPr>
          <w:color w:val="231F20"/>
          <w:w w:val="105"/>
        </w:rPr>
        <w:t>dos</w:t>
      </w:r>
      <w:r>
        <w:rPr>
          <w:color w:val="231F20"/>
          <w:spacing w:val="-14"/>
          <w:w w:val="105"/>
        </w:rPr>
        <w:t> </w:t>
      </w:r>
      <w:r>
        <w:rPr>
          <w:color w:val="231F20"/>
          <w:w w:val="105"/>
        </w:rPr>
        <w:t>regidores</w:t>
      </w:r>
      <w:r>
        <w:rPr>
          <w:color w:val="231F20"/>
          <w:spacing w:val="-14"/>
          <w:w w:val="105"/>
        </w:rPr>
        <w:t> </w:t>
      </w:r>
      <w:r>
        <w:rPr>
          <w:color w:val="231F20"/>
          <w:w w:val="105"/>
        </w:rPr>
        <w:t>de</w:t>
      </w:r>
      <w:r>
        <w:rPr>
          <w:color w:val="231F20"/>
          <w:spacing w:val="-14"/>
          <w:w w:val="105"/>
        </w:rPr>
        <w:t> </w:t>
      </w:r>
      <w:r>
        <w:rPr>
          <w:color w:val="231F20"/>
          <w:w w:val="105"/>
        </w:rPr>
        <w:t>representación</w:t>
      </w:r>
      <w:r>
        <w:rPr>
          <w:color w:val="231F20"/>
          <w:spacing w:val="-14"/>
          <w:w w:val="105"/>
        </w:rPr>
        <w:t> </w:t>
      </w:r>
      <w:r>
        <w:rPr>
          <w:color w:val="231F20"/>
          <w:w w:val="105"/>
        </w:rPr>
        <w:t>proporcional).</w:t>
      </w:r>
    </w:p>
    <w:p>
      <w:pPr>
        <w:pStyle w:val="BodyText"/>
        <w:spacing w:before="1"/>
        <w:rPr>
          <w:sz w:val="26"/>
        </w:rPr>
      </w:pPr>
    </w:p>
    <w:p>
      <w:pPr>
        <w:pStyle w:val="BodyText"/>
        <w:spacing w:line="285" w:lineRule="auto"/>
        <w:ind w:left="110" w:right="108"/>
        <w:jc w:val="both"/>
      </w:pPr>
      <w:r>
        <w:rPr>
          <w:color w:val="231F20"/>
        </w:rPr>
        <w:t>A través de los años el Revolucionario Institucional y el PRD han ocupado la mayor  parte de los cargos en el Ayuntamiento </w:t>
      </w:r>
      <w:r>
        <w:rPr>
          <w:color w:val="231F20"/>
          <w:spacing w:val="-4"/>
        </w:rPr>
        <w:t>(ver cuadro1). </w:t>
      </w:r>
      <w:r>
        <w:rPr>
          <w:color w:val="231F20"/>
        </w:rPr>
        <w:t>Situación que se entiende </w:t>
      </w:r>
      <w:r>
        <w:rPr>
          <w:color w:val="231F20"/>
          <w:spacing w:val="2"/>
        </w:rPr>
        <w:t>al </w:t>
      </w:r>
      <w:r>
        <w:rPr>
          <w:color w:val="231F20"/>
        </w:rPr>
        <w:t>rela- cionarla con los logros electorales, ya que la votación se traduce en cargos  </w:t>
      </w:r>
      <w:r>
        <w:rPr>
          <w:color w:val="231F20"/>
          <w:spacing w:val="29"/>
        </w:rPr>
        <w:t> </w:t>
      </w:r>
      <w:r>
        <w:rPr>
          <w:color w:val="231F20"/>
        </w:rPr>
        <w:t>públicos.</w:t>
      </w:r>
    </w:p>
    <w:p>
      <w:pPr>
        <w:pStyle w:val="BodyText"/>
        <w:spacing w:before="1"/>
        <w:rPr>
          <w:sz w:val="26"/>
        </w:rPr>
      </w:pPr>
    </w:p>
    <w:p>
      <w:pPr>
        <w:pStyle w:val="Heading5"/>
        <w:ind w:left="816"/>
      </w:pPr>
      <w:r>
        <w:rPr>
          <w:color w:val="231F20"/>
          <w:w w:val="105"/>
        </w:rPr>
        <w:t>Cuadro 1. Composición del Ayuntamiento de Tejupilco (1993-2006)</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622"/>
        <w:gridCol w:w="588"/>
        <w:gridCol w:w="826"/>
        <w:gridCol w:w="465"/>
        <w:gridCol w:w="457"/>
        <w:gridCol w:w="493"/>
        <w:gridCol w:w="571"/>
        <w:gridCol w:w="546"/>
        <w:gridCol w:w="566"/>
        <w:gridCol w:w="550"/>
        <w:gridCol w:w="548"/>
        <w:gridCol w:w="678"/>
        <w:gridCol w:w="1017"/>
      </w:tblGrid>
      <w:tr>
        <w:trPr>
          <w:trHeight w:val="270" w:hRule="exact"/>
        </w:trPr>
        <w:tc>
          <w:tcPr>
            <w:tcW w:w="622" w:type="dxa"/>
            <w:vMerge w:val="restart"/>
          </w:tcPr>
          <w:p>
            <w:pPr>
              <w:pStyle w:val="TableParagraph"/>
              <w:ind w:left="0"/>
              <w:rPr>
                <w:rFonts w:ascii="Times New Roman"/>
                <w:b/>
                <w:sz w:val="16"/>
              </w:rPr>
            </w:pPr>
          </w:p>
          <w:p>
            <w:pPr>
              <w:pStyle w:val="TableParagraph"/>
              <w:spacing w:before="4"/>
              <w:ind w:left="0"/>
              <w:rPr>
                <w:rFonts w:ascii="Times New Roman"/>
                <w:b/>
                <w:sz w:val="13"/>
              </w:rPr>
            </w:pPr>
          </w:p>
          <w:p>
            <w:pPr>
              <w:pStyle w:val="TableParagraph"/>
              <w:ind w:left="65"/>
              <w:rPr>
                <w:sz w:val="16"/>
              </w:rPr>
            </w:pPr>
            <w:r>
              <w:rPr>
                <w:color w:val="231F20"/>
                <w:w w:val="85"/>
                <w:sz w:val="16"/>
              </w:rPr>
              <w:t>Año</w:t>
            </w:r>
          </w:p>
        </w:tc>
        <w:tc>
          <w:tcPr>
            <w:tcW w:w="588" w:type="dxa"/>
            <w:vMerge w:val="restart"/>
          </w:tcPr>
          <w:p>
            <w:pPr>
              <w:pStyle w:val="TableParagraph"/>
              <w:ind w:left="0"/>
              <w:rPr>
                <w:rFonts w:ascii="Times New Roman"/>
                <w:b/>
                <w:sz w:val="16"/>
              </w:rPr>
            </w:pPr>
          </w:p>
          <w:p>
            <w:pPr>
              <w:pStyle w:val="TableParagraph"/>
              <w:spacing w:before="4"/>
              <w:ind w:left="0"/>
              <w:rPr>
                <w:rFonts w:ascii="Times New Roman"/>
                <w:b/>
                <w:sz w:val="13"/>
              </w:rPr>
            </w:pPr>
          </w:p>
          <w:p>
            <w:pPr>
              <w:pStyle w:val="TableParagraph"/>
              <w:ind w:left="64"/>
              <w:rPr>
                <w:sz w:val="16"/>
              </w:rPr>
            </w:pPr>
            <w:r>
              <w:rPr>
                <w:color w:val="231F20"/>
                <w:w w:val="85"/>
                <w:sz w:val="16"/>
              </w:rPr>
              <w:t>PM</w:t>
            </w:r>
          </w:p>
        </w:tc>
        <w:tc>
          <w:tcPr>
            <w:tcW w:w="826" w:type="dxa"/>
            <w:vMerge w:val="restart"/>
          </w:tcPr>
          <w:p>
            <w:pPr>
              <w:pStyle w:val="TableParagraph"/>
              <w:ind w:left="0"/>
              <w:rPr>
                <w:rFonts w:ascii="Times New Roman"/>
                <w:b/>
                <w:sz w:val="16"/>
              </w:rPr>
            </w:pPr>
          </w:p>
          <w:p>
            <w:pPr>
              <w:pStyle w:val="TableParagraph"/>
              <w:spacing w:before="4"/>
              <w:ind w:left="0"/>
              <w:rPr>
                <w:rFonts w:ascii="Times New Roman"/>
                <w:b/>
                <w:sz w:val="13"/>
              </w:rPr>
            </w:pPr>
          </w:p>
          <w:p>
            <w:pPr>
              <w:pStyle w:val="TableParagraph"/>
              <w:ind w:left="64"/>
              <w:rPr>
                <w:sz w:val="16"/>
              </w:rPr>
            </w:pPr>
            <w:r>
              <w:rPr>
                <w:color w:val="231F20"/>
                <w:w w:val="85"/>
                <w:sz w:val="16"/>
              </w:rPr>
              <w:t>Síndico</w:t>
            </w:r>
          </w:p>
        </w:tc>
        <w:tc>
          <w:tcPr>
            <w:tcW w:w="5890" w:type="dxa"/>
            <w:gridSpan w:val="10"/>
          </w:tcPr>
          <w:p>
            <w:pPr>
              <w:pStyle w:val="TableParagraph"/>
              <w:spacing w:line="192" w:lineRule="exact" w:before="107"/>
              <w:ind w:left="64"/>
              <w:rPr>
                <w:sz w:val="16"/>
              </w:rPr>
            </w:pPr>
            <w:r>
              <w:rPr>
                <w:color w:val="231F20"/>
                <w:w w:val="85"/>
                <w:sz w:val="16"/>
              </w:rPr>
              <w:t>Regidores</w:t>
            </w:r>
          </w:p>
        </w:tc>
      </w:tr>
      <w:tr>
        <w:trPr>
          <w:trHeight w:val="330" w:hRule="exact"/>
        </w:trPr>
        <w:tc>
          <w:tcPr>
            <w:tcW w:w="622" w:type="dxa"/>
            <w:vMerge/>
          </w:tcPr>
          <w:p>
            <w:pPr/>
          </w:p>
        </w:tc>
        <w:tc>
          <w:tcPr>
            <w:tcW w:w="588" w:type="dxa"/>
            <w:vMerge/>
          </w:tcPr>
          <w:p>
            <w:pPr/>
          </w:p>
        </w:tc>
        <w:tc>
          <w:tcPr>
            <w:tcW w:w="826" w:type="dxa"/>
            <w:vMerge/>
          </w:tcPr>
          <w:p>
            <w:pPr/>
          </w:p>
        </w:tc>
        <w:tc>
          <w:tcPr>
            <w:tcW w:w="3097" w:type="dxa"/>
            <w:gridSpan w:val="6"/>
          </w:tcPr>
          <w:p>
            <w:pPr>
              <w:pStyle w:val="TableParagraph"/>
              <w:spacing w:before="68"/>
              <w:ind w:left="64"/>
              <w:rPr>
                <w:sz w:val="16"/>
              </w:rPr>
            </w:pPr>
            <w:r>
              <w:rPr>
                <w:color w:val="231F20"/>
                <w:w w:val="75"/>
                <w:sz w:val="16"/>
              </w:rPr>
              <w:t>Mayoría relativa</w:t>
            </w:r>
          </w:p>
        </w:tc>
        <w:tc>
          <w:tcPr>
            <w:tcW w:w="2793" w:type="dxa"/>
            <w:gridSpan w:val="4"/>
          </w:tcPr>
          <w:p>
            <w:pPr>
              <w:pStyle w:val="TableParagraph"/>
              <w:spacing w:before="7"/>
              <w:ind w:left="0"/>
              <w:rPr>
                <w:rFonts w:ascii="Times New Roman"/>
                <w:b/>
                <w:sz w:val="14"/>
              </w:rPr>
            </w:pPr>
          </w:p>
          <w:p>
            <w:pPr>
              <w:pStyle w:val="TableParagraph"/>
              <w:spacing w:line="192" w:lineRule="exact"/>
              <w:ind w:left="64"/>
              <w:rPr>
                <w:sz w:val="16"/>
              </w:rPr>
            </w:pPr>
            <w:r>
              <w:rPr>
                <w:color w:val="231F20"/>
                <w:w w:val="75"/>
                <w:sz w:val="16"/>
              </w:rPr>
              <w:t>Representación proporcional</w:t>
            </w:r>
          </w:p>
        </w:tc>
      </w:tr>
      <w:tr>
        <w:trPr>
          <w:trHeight w:val="270" w:hRule="exact"/>
        </w:trPr>
        <w:tc>
          <w:tcPr>
            <w:tcW w:w="622" w:type="dxa"/>
            <w:vMerge/>
          </w:tcPr>
          <w:p>
            <w:pPr/>
          </w:p>
        </w:tc>
        <w:tc>
          <w:tcPr>
            <w:tcW w:w="588" w:type="dxa"/>
            <w:vMerge/>
          </w:tcPr>
          <w:p>
            <w:pPr/>
          </w:p>
        </w:tc>
        <w:tc>
          <w:tcPr>
            <w:tcW w:w="826" w:type="dxa"/>
            <w:vMerge/>
          </w:tcPr>
          <w:p>
            <w:pPr/>
          </w:p>
        </w:tc>
        <w:tc>
          <w:tcPr>
            <w:tcW w:w="465" w:type="dxa"/>
          </w:tcPr>
          <w:p>
            <w:pPr>
              <w:pStyle w:val="TableParagraph"/>
              <w:spacing w:line="192" w:lineRule="exact" w:before="107"/>
              <w:ind w:left="64"/>
              <w:rPr>
                <w:sz w:val="16"/>
              </w:rPr>
            </w:pPr>
            <w:r>
              <w:rPr>
                <w:color w:val="231F20"/>
                <w:w w:val="75"/>
                <w:sz w:val="16"/>
              </w:rPr>
              <w:t>1</w:t>
            </w:r>
          </w:p>
        </w:tc>
        <w:tc>
          <w:tcPr>
            <w:tcW w:w="457" w:type="dxa"/>
          </w:tcPr>
          <w:p>
            <w:pPr>
              <w:pStyle w:val="TableParagraph"/>
              <w:spacing w:line="192" w:lineRule="exact" w:before="107"/>
              <w:ind w:left="64"/>
              <w:rPr>
                <w:sz w:val="16"/>
              </w:rPr>
            </w:pPr>
            <w:r>
              <w:rPr>
                <w:color w:val="231F20"/>
                <w:w w:val="75"/>
                <w:sz w:val="16"/>
              </w:rPr>
              <w:t>2</w:t>
            </w:r>
          </w:p>
        </w:tc>
        <w:tc>
          <w:tcPr>
            <w:tcW w:w="493" w:type="dxa"/>
          </w:tcPr>
          <w:p>
            <w:pPr>
              <w:pStyle w:val="TableParagraph"/>
              <w:spacing w:line="192" w:lineRule="exact" w:before="107"/>
              <w:ind w:left="64"/>
              <w:rPr>
                <w:sz w:val="16"/>
              </w:rPr>
            </w:pPr>
            <w:r>
              <w:rPr>
                <w:color w:val="231F20"/>
                <w:w w:val="75"/>
                <w:sz w:val="16"/>
              </w:rPr>
              <w:t>3</w:t>
            </w:r>
          </w:p>
        </w:tc>
        <w:tc>
          <w:tcPr>
            <w:tcW w:w="571" w:type="dxa"/>
          </w:tcPr>
          <w:p>
            <w:pPr>
              <w:pStyle w:val="TableParagraph"/>
              <w:spacing w:line="192" w:lineRule="exact" w:before="107"/>
              <w:ind w:left="64"/>
              <w:rPr>
                <w:sz w:val="16"/>
              </w:rPr>
            </w:pPr>
            <w:r>
              <w:rPr>
                <w:color w:val="231F20"/>
                <w:w w:val="75"/>
                <w:sz w:val="16"/>
              </w:rPr>
              <w:t>4</w:t>
            </w:r>
          </w:p>
        </w:tc>
        <w:tc>
          <w:tcPr>
            <w:tcW w:w="546" w:type="dxa"/>
          </w:tcPr>
          <w:p>
            <w:pPr>
              <w:pStyle w:val="TableParagraph"/>
              <w:spacing w:line="192" w:lineRule="exact" w:before="107"/>
              <w:ind w:left="64"/>
              <w:rPr>
                <w:sz w:val="16"/>
              </w:rPr>
            </w:pPr>
            <w:r>
              <w:rPr>
                <w:color w:val="231F20"/>
                <w:w w:val="75"/>
                <w:sz w:val="16"/>
              </w:rPr>
              <w:t>5</w:t>
            </w:r>
          </w:p>
        </w:tc>
        <w:tc>
          <w:tcPr>
            <w:tcW w:w="566" w:type="dxa"/>
          </w:tcPr>
          <w:p>
            <w:pPr>
              <w:pStyle w:val="TableParagraph"/>
              <w:spacing w:line="192" w:lineRule="exact" w:before="107"/>
              <w:ind w:left="65"/>
              <w:rPr>
                <w:sz w:val="16"/>
              </w:rPr>
            </w:pPr>
            <w:r>
              <w:rPr>
                <w:color w:val="231F20"/>
                <w:w w:val="75"/>
                <w:sz w:val="16"/>
              </w:rPr>
              <w:t>6</w:t>
            </w:r>
          </w:p>
        </w:tc>
        <w:tc>
          <w:tcPr>
            <w:tcW w:w="550" w:type="dxa"/>
          </w:tcPr>
          <w:p>
            <w:pPr>
              <w:pStyle w:val="TableParagraph"/>
              <w:spacing w:line="192" w:lineRule="exact" w:before="107"/>
              <w:ind w:left="64"/>
              <w:rPr>
                <w:sz w:val="16"/>
              </w:rPr>
            </w:pPr>
            <w:r>
              <w:rPr>
                <w:color w:val="231F20"/>
                <w:w w:val="75"/>
                <w:sz w:val="16"/>
              </w:rPr>
              <w:t>7</w:t>
            </w:r>
          </w:p>
        </w:tc>
        <w:tc>
          <w:tcPr>
            <w:tcW w:w="548" w:type="dxa"/>
          </w:tcPr>
          <w:p>
            <w:pPr>
              <w:pStyle w:val="TableParagraph"/>
              <w:spacing w:line="192" w:lineRule="exact" w:before="107"/>
              <w:ind w:left="64"/>
              <w:rPr>
                <w:sz w:val="16"/>
              </w:rPr>
            </w:pPr>
            <w:r>
              <w:rPr>
                <w:color w:val="231F20"/>
                <w:w w:val="75"/>
                <w:sz w:val="16"/>
              </w:rPr>
              <w:t>8</w:t>
            </w:r>
          </w:p>
        </w:tc>
        <w:tc>
          <w:tcPr>
            <w:tcW w:w="678" w:type="dxa"/>
          </w:tcPr>
          <w:p>
            <w:pPr>
              <w:pStyle w:val="TableParagraph"/>
              <w:spacing w:line="192" w:lineRule="exact" w:before="107"/>
              <w:ind w:left="65"/>
              <w:rPr>
                <w:sz w:val="16"/>
              </w:rPr>
            </w:pPr>
            <w:r>
              <w:rPr>
                <w:color w:val="231F20"/>
                <w:w w:val="75"/>
                <w:sz w:val="16"/>
              </w:rPr>
              <w:t>9</w:t>
            </w:r>
          </w:p>
        </w:tc>
        <w:tc>
          <w:tcPr>
            <w:tcW w:w="1017" w:type="dxa"/>
          </w:tcPr>
          <w:p>
            <w:pPr>
              <w:pStyle w:val="TableParagraph"/>
              <w:spacing w:line="192" w:lineRule="exact" w:before="107"/>
              <w:ind w:left="65"/>
              <w:rPr>
                <w:sz w:val="16"/>
              </w:rPr>
            </w:pPr>
            <w:r>
              <w:rPr>
                <w:color w:val="231F20"/>
                <w:w w:val="85"/>
                <w:sz w:val="16"/>
              </w:rPr>
              <w:t>10</w:t>
            </w:r>
          </w:p>
        </w:tc>
      </w:tr>
      <w:tr>
        <w:trPr>
          <w:trHeight w:val="270" w:hRule="exact"/>
        </w:trPr>
        <w:tc>
          <w:tcPr>
            <w:tcW w:w="622" w:type="dxa"/>
          </w:tcPr>
          <w:p>
            <w:pPr>
              <w:pStyle w:val="TableParagraph"/>
              <w:spacing w:line="192" w:lineRule="exact" w:before="107"/>
              <w:ind w:left="65"/>
              <w:rPr>
                <w:sz w:val="16"/>
              </w:rPr>
            </w:pPr>
            <w:r>
              <w:rPr>
                <w:color w:val="231F20"/>
                <w:w w:val="85"/>
                <w:sz w:val="16"/>
              </w:rPr>
              <w:t>1993</w:t>
            </w:r>
          </w:p>
        </w:tc>
        <w:tc>
          <w:tcPr>
            <w:tcW w:w="588" w:type="dxa"/>
          </w:tcPr>
          <w:p>
            <w:pPr>
              <w:pStyle w:val="TableParagraph"/>
              <w:spacing w:line="192" w:lineRule="exact" w:before="107"/>
              <w:ind w:left="64"/>
              <w:rPr>
                <w:sz w:val="16"/>
              </w:rPr>
            </w:pPr>
            <w:r>
              <w:rPr>
                <w:color w:val="231F20"/>
                <w:w w:val="85"/>
                <w:sz w:val="16"/>
              </w:rPr>
              <w:t>PRI</w:t>
            </w:r>
          </w:p>
        </w:tc>
        <w:tc>
          <w:tcPr>
            <w:tcW w:w="826" w:type="dxa"/>
          </w:tcPr>
          <w:p>
            <w:pPr>
              <w:pStyle w:val="TableParagraph"/>
              <w:spacing w:line="192" w:lineRule="exact" w:before="107"/>
              <w:ind w:left="64"/>
              <w:rPr>
                <w:sz w:val="16"/>
              </w:rPr>
            </w:pPr>
            <w:r>
              <w:rPr>
                <w:color w:val="231F20"/>
                <w:w w:val="85"/>
                <w:sz w:val="16"/>
              </w:rPr>
              <w:t>PRI</w:t>
            </w:r>
          </w:p>
        </w:tc>
        <w:tc>
          <w:tcPr>
            <w:tcW w:w="465" w:type="dxa"/>
          </w:tcPr>
          <w:p>
            <w:pPr>
              <w:pStyle w:val="TableParagraph"/>
              <w:spacing w:line="192" w:lineRule="exact" w:before="107"/>
              <w:ind w:left="64"/>
              <w:rPr>
                <w:sz w:val="16"/>
              </w:rPr>
            </w:pPr>
            <w:r>
              <w:rPr>
                <w:color w:val="231F20"/>
                <w:w w:val="85"/>
                <w:sz w:val="16"/>
              </w:rPr>
              <w:t>PRI</w:t>
            </w:r>
          </w:p>
        </w:tc>
        <w:tc>
          <w:tcPr>
            <w:tcW w:w="457" w:type="dxa"/>
          </w:tcPr>
          <w:p>
            <w:pPr>
              <w:pStyle w:val="TableParagraph"/>
              <w:spacing w:line="192" w:lineRule="exact" w:before="107"/>
              <w:ind w:left="64"/>
              <w:rPr>
                <w:sz w:val="16"/>
              </w:rPr>
            </w:pPr>
            <w:r>
              <w:rPr>
                <w:color w:val="231F20"/>
                <w:w w:val="85"/>
                <w:sz w:val="16"/>
              </w:rPr>
              <w:t>PRI</w:t>
            </w:r>
          </w:p>
        </w:tc>
        <w:tc>
          <w:tcPr>
            <w:tcW w:w="493" w:type="dxa"/>
          </w:tcPr>
          <w:p>
            <w:pPr>
              <w:pStyle w:val="TableParagraph"/>
              <w:spacing w:line="192" w:lineRule="exact" w:before="107"/>
              <w:ind w:left="64"/>
              <w:rPr>
                <w:sz w:val="16"/>
              </w:rPr>
            </w:pPr>
            <w:r>
              <w:rPr>
                <w:color w:val="231F20"/>
                <w:w w:val="85"/>
                <w:sz w:val="16"/>
              </w:rPr>
              <w:t>PRI</w:t>
            </w:r>
          </w:p>
        </w:tc>
        <w:tc>
          <w:tcPr>
            <w:tcW w:w="571" w:type="dxa"/>
          </w:tcPr>
          <w:p>
            <w:pPr>
              <w:pStyle w:val="TableParagraph"/>
              <w:spacing w:line="192" w:lineRule="exact" w:before="107"/>
              <w:ind w:left="64"/>
              <w:rPr>
                <w:sz w:val="16"/>
              </w:rPr>
            </w:pPr>
            <w:r>
              <w:rPr>
                <w:color w:val="231F20"/>
                <w:w w:val="85"/>
                <w:sz w:val="16"/>
              </w:rPr>
              <w:t>PRI</w:t>
            </w:r>
          </w:p>
        </w:tc>
        <w:tc>
          <w:tcPr>
            <w:tcW w:w="546" w:type="dxa"/>
          </w:tcPr>
          <w:p>
            <w:pPr>
              <w:pStyle w:val="TableParagraph"/>
              <w:spacing w:line="192" w:lineRule="exact" w:before="107"/>
              <w:ind w:left="64"/>
              <w:rPr>
                <w:sz w:val="16"/>
              </w:rPr>
            </w:pPr>
            <w:r>
              <w:rPr>
                <w:color w:val="231F20"/>
                <w:w w:val="85"/>
                <w:sz w:val="16"/>
              </w:rPr>
              <w:t>PRI</w:t>
            </w:r>
          </w:p>
        </w:tc>
        <w:tc>
          <w:tcPr>
            <w:tcW w:w="566" w:type="dxa"/>
          </w:tcPr>
          <w:p>
            <w:pPr>
              <w:pStyle w:val="TableParagraph"/>
              <w:spacing w:line="192" w:lineRule="exact" w:before="107"/>
              <w:ind w:left="65"/>
              <w:rPr>
                <w:sz w:val="16"/>
              </w:rPr>
            </w:pPr>
            <w:r>
              <w:rPr>
                <w:color w:val="231F20"/>
                <w:w w:val="85"/>
                <w:sz w:val="16"/>
              </w:rPr>
              <w:t>PRI</w:t>
            </w:r>
          </w:p>
        </w:tc>
        <w:tc>
          <w:tcPr>
            <w:tcW w:w="550" w:type="dxa"/>
          </w:tcPr>
          <w:p>
            <w:pPr>
              <w:pStyle w:val="TableParagraph"/>
              <w:spacing w:line="192" w:lineRule="exact" w:before="107"/>
              <w:ind w:left="64"/>
              <w:rPr>
                <w:sz w:val="16"/>
              </w:rPr>
            </w:pPr>
            <w:r>
              <w:rPr>
                <w:color w:val="231F20"/>
                <w:w w:val="85"/>
                <w:sz w:val="16"/>
              </w:rPr>
              <w:t>PRD</w:t>
            </w:r>
          </w:p>
        </w:tc>
        <w:tc>
          <w:tcPr>
            <w:tcW w:w="548" w:type="dxa"/>
          </w:tcPr>
          <w:p>
            <w:pPr>
              <w:pStyle w:val="TableParagraph"/>
              <w:spacing w:line="192" w:lineRule="exact" w:before="107"/>
              <w:ind w:left="64"/>
              <w:rPr>
                <w:sz w:val="16"/>
              </w:rPr>
            </w:pPr>
            <w:r>
              <w:rPr>
                <w:color w:val="231F20"/>
                <w:w w:val="85"/>
                <w:sz w:val="16"/>
              </w:rPr>
              <w:t>PRD</w:t>
            </w:r>
          </w:p>
        </w:tc>
        <w:tc>
          <w:tcPr>
            <w:tcW w:w="678" w:type="dxa"/>
          </w:tcPr>
          <w:p>
            <w:pPr/>
          </w:p>
        </w:tc>
        <w:tc>
          <w:tcPr>
            <w:tcW w:w="1017" w:type="dxa"/>
          </w:tcPr>
          <w:p>
            <w:pPr/>
          </w:p>
        </w:tc>
      </w:tr>
      <w:tr>
        <w:trPr>
          <w:trHeight w:val="270" w:hRule="exact"/>
        </w:trPr>
        <w:tc>
          <w:tcPr>
            <w:tcW w:w="622" w:type="dxa"/>
          </w:tcPr>
          <w:p>
            <w:pPr>
              <w:pStyle w:val="TableParagraph"/>
              <w:spacing w:line="193" w:lineRule="exact" w:before="107"/>
              <w:ind w:left="65"/>
              <w:rPr>
                <w:sz w:val="16"/>
              </w:rPr>
            </w:pPr>
            <w:r>
              <w:rPr>
                <w:color w:val="231F20"/>
                <w:w w:val="85"/>
                <w:sz w:val="16"/>
              </w:rPr>
              <w:t>1996</w:t>
            </w:r>
          </w:p>
        </w:tc>
        <w:tc>
          <w:tcPr>
            <w:tcW w:w="588" w:type="dxa"/>
          </w:tcPr>
          <w:p>
            <w:pPr>
              <w:pStyle w:val="TableParagraph"/>
              <w:spacing w:line="193" w:lineRule="exact" w:before="107"/>
              <w:ind w:left="64"/>
              <w:rPr>
                <w:sz w:val="16"/>
              </w:rPr>
            </w:pPr>
            <w:r>
              <w:rPr>
                <w:color w:val="231F20"/>
                <w:w w:val="85"/>
                <w:sz w:val="16"/>
              </w:rPr>
              <w:t>PRI</w:t>
            </w:r>
          </w:p>
        </w:tc>
        <w:tc>
          <w:tcPr>
            <w:tcW w:w="826" w:type="dxa"/>
          </w:tcPr>
          <w:p>
            <w:pPr>
              <w:pStyle w:val="TableParagraph"/>
              <w:spacing w:line="193" w:lineRule="exact" w:before="107"/>
              <w:ind w:left="64"/>
              <w:rPr>
                <w:sz w:val="16"/>
              </w:rPr>
            </w:pPr>
            <w:r>
              <w:rPr>
                <w:color w:val="231F20"/>
                <w:w w:val="85"/>
                <w:sz w:val="16"/>
              </w:rPr>
              <w:t>PRI</w:t>
            </w:r>
          </w:p>
        </w:tc>
        <w:tc>
          <w:tcPr>
            <w:tcW w:w="465" w:type="dxa"/>
          </w:tcPr>
          <w:p>
            <w:pPr>
              <w:pStyle w:val="TableParagraph"/>
              <w:spacing w:line="193" w:lineRule="exact" w:before="107"/>
              <w:ind w:left="64"/>
              <w:rPr>
                <w:sz w:val="16"/>
              </w:rPr>
            </w:pPr>
            <w:r>
              <w:rPr>
                <w:color w:val="231F20"/>
                <w:w w:val="85"/>
                <w:sz w:val="16"/>
              </w:rPr>
              <w:t>PRI</w:t>
            </w:r>
          </w:p>
        </w:tc>
        <w:tc>
          <w:tcPr>
            <w:tcW w:w="457" w:type="dxa"/>
          </w:tcPr>
          <w:p>
            <w:pPr>
              <w:pStyle w:val="TableParagraph"/>
              <w:spacing w:line="193" w:lineRule="exact" w:before="107"/>
              <w:ind w:left="64"/>
              <w:rPr>
                <w:sz w:val="16"/>
              </w:rPr>
            </w:pPr>
            <w:r>
              <w:rPr>
                <w:color w:val="231F20"/>
                <w:w w:val="85"/>
                <w:sz w:val="16"/>
              </w:rPr>
              <w:t>PRI</w:t>
            </w:r>
          </w:p>
        </w:tc>
        <w:tc>
          <w:tcPr>
            <w:tcW w:w="493" w:type="dxa"/>
          </w:tcPr>
          <w:p>
            <w:pPr>
              <w:pStyle w:val="TableParagraph"/>
              <w:spacing w:line="193" w:lineRule="exact" w:before="107"/>
              <w:ind w:left="64"/>
              <w:rPr>
                <w:sz w:val="16"/>
              </w:rPr>
            </w:pPr>
            <w:r>
              <w:rPr>
                <w:color w:val="231F20"/>
                <w:w w:val="85"/>
                <w:sz w:val="16"/>
              </w:rPr>
              <w:t>PRI</w:t>
            </w:r>
          </w:p>
        </w:tc>
        <w:tc>
          <w:tcPr>
            <w:tcW w:w="571" w:type="dxa"/>
          </w:tcPr>
          <w:p>
            <w:pPr>
              <w:pStyle w:val="TableParagraph"/>
              <w:spacing w:line="193" w:lineRule="exact" w:before="107"/>
              <w:ind w:left="64"/>
              <w:rPr>
                <w:sz w:val="16"/>
              </w:rPr>
            </w:pPr>
            <w:r>
              <w:rPr>
                <w:color w:val="231F20"/>
                <w:w w:val="85"/>
                <w:sz w:val="16"/>
              </w:rPr>
              <w:t>PRI</w:t>
            </w:r>
          </w:p>
        </w:tc>
        <w:tc>
          <w:tcPr>
            <w:tcW w:w="546" w:type="dxa"/>
          </w:tcPr>
          <w:p>
            <w:pPr>
              <w:pStyle w:val="TableParagraph"/>
              <w:spacing w:line="193" w:lineRule="exact" w:before="107"/>
              <w:ind w:left="64"/>
              <w:rPr>
                <w:sz w:val="16"/>
              </w:rPr>
            </w:pPr>
            <w:r>
              <w:rPr>
                <w:color w:val="231F20"/>
                <w:w w:val="85"/>
                <w:sz w:val="16"/>
              </w:rPr>
              <w:t>PRI</w:t>
            </w:r>
          </w:p>
        </w:tc>
        <w:tc>
          <w:tcPr>
            <w:tcW w:w="566" w:type="dxa"/>
          </w:tcPr>
          <w:p>
            <w:pPr>
              <w:pStyle w:val="TableParagraph"/>
              <w:spacing w:line="193" w:lineRule="exact" w:before="107"/>
              <w:ind w:left="65"/>
              <w:rPr>
                <w:sz w:val="16"/>
              </w:rPr>
            </w:pPr>
            <w:r>
              <w:rPr>
                <w:color w:val="231F20"/>
                <w:w w:val="85"/>
                <w:sz w:val="16"/>
              </w:rPr>
              <w:t>PRI</w:t>
            </w:r>
          </w:p>
        </w:tc>
        <w:tc>
          <w:tcPr>
            <w:tcW w:w="550" w:type="dxa"/>
          </w:tcPr>
          <w:p>
            <w:pPr>
              <w:pStyle w:val="TableParagraph"/>
              <w:spacing w:line="193" w:lineRule="exact" w:before="107"/>
              <w:ind w:left="64"/>
              <w:rPr>
                <w:sz w:val="16"/>
              </w:rPr>
            </w:pPr>
            <w:r>
              <w:rPr>
                <w:color w:val="231F20"/>
                <w:w w:val="85"/>
                <w:sz w:val="16"/>
              </w:rPr>
              <w:t>PRD</w:t>
            </w:r>
          </w:p>
        </w:tc>
        <w:tc>
          <w:tcPr>
            <w:tcW w:w="548" w:type="dxa"/>
          </w:tcPr>
          <w:p>
            <w:pPr>
              <w:pStyle w:val="TableParagraph"/>
              <w:spacing w:line="193" w:lineRule="exact" w:before="107"/>
              <w:ind w:left="64"/>
              <w:rPr>
                <w:sz w:val="16"/>
              </w:rPr>
            </w:pPr>
            <w:r>
              <w:rPr>
                <w:color w:val="231F20"/>
                <w:w w:val="85"/>
                <w:sz w:val="16"/>
              </w:rPr>
              <w:t>PRD</w:t>
            </w:r>
          </w:p>
        </w:tc>
        <w:tc>
          <w:tcPr>
            <w:tcW w:w="678" w:type="dxa"/>
          </w:tcPr>
          <w:p>
            <w:pPr>
              <w:pStyle w:val="TableParagraph"/>
              <w:spacing w:line="193" w:lineRule="exact" w:before="107"/>
              <w:ind w:left="65"/>
              <w:rPr>
                <w:sz w:val="16"/>
              </w:rPr>
            </w:pPr>
            <w:r>
              <w:rPr>
                <w:color w:val="231F20"/>
                <w:w w:val="85"/>
                <w:sz w:val="16"/>
              </w:rPr>
              <w:t>PRD</w:t>
            </w:r>
          </w:p>
        </w:tc>
        <w:tc>
          <w:tcPr>
            <w:tcW w:w="1017" w:type="dxa"/>
          </w:tcPr>
          <w:p>
            <w:pPr>
              <w:pStyle w:val="TableParagraph"/>
              <w:spacing w:line="193" w:lineRule="exact" w:before="107"/>
              <w:ind w:left="65"/>
              <w:rPr>
                <w:sz w:val="16"/>
              </w:rPr>
            </w:pPr>
            <w:r>
              <w:rPr>
                <w:color w:val="231F20"/>
                <w:w w:val="85"/>
                <w:sz w:val="16"/>
              </w:rPr>
              <w:t>PAN</w:t>
            </w:r>
          </w:p>
        </w:tc>
      </w:tr>
      <w:tr>
        <w:trPr>
          <w:trHeight w:val="270" w:hRule="exact"/>
        </w:trPr>
        <w:tc>
          <w:tcPr>
            <w:tcW w:w="622" w:type="dxa"/>
          </w:tcPr>
          <w:p>
            <w:pPr>
              <w:pStyle w:val="TableParagraph"/>
              <w:spacing w:line="193" w:lineRule="exact" w:before="107"/>
              <w:ind w:left="65"/>
              <w:rPr>
                <w:sz w:val="16"/>
              </w:rPr>
            </w:pPr>
            <w:r>
              <w:rPr>
                <w:color w:val="231F20"/>
                <w:w w:val="85"/>
                <w:sz w:val="16"/>
              </w:rPr>
              <w:t>2000</w:t>
            </w:r>
          </w:p>
        </w:tc>
        <w:tc>
          <w:tcPr>
            <w:tcW w:w="588" w:type="dxa"/>
          </w:tcPr>
          <w:p>
            <w:pPr>
              <w:pStyle w:val="TableParagraph"/>
              <w:spacing w:line="193" w:lineRule="exact" w:before="107"/>
              <w:ind w:left="64"/>
              <w:rPr>
                <w:sz w:val="16"/>
              </w:rPr>
            </w:pPr>
            <w:r>
              <w:rPr>
                <w:color w:val="231F20"/>
                <w:w w:val="85"/>
                <w:sz w:val="16"/>
              </w:rPr>
              <w:t>PRI</w:t>
            </w:r>
          </w:p>
        </w:tc>
        <w:tc>
          <w:tcPr>
            <w:tcW w:w="826" w:type="dxa"/>
          </w:tcPr>
          <w:p>
            <w:pPr>
              <w:pStyle w:val="TableParagraph"/>
              <w:spacing w:line="193" w:lineRule="exact" w:before="107"/>
              <w:ind w:left="64"/>
              <w:rPr>
                <w:sz w:val="16"/>
              </w:rPr>
            </w:pPr>
            <w:r>
              <w:rPr>
                <w:color w:val="231F20"/>
                <w:w w:val="85"/>
                <w:sz w:val="16"/>
              </w:rPr>
              <w:t>PRI</w:t>
            </w:r>
          </w:p>
        </w:tc>
        <w:tc>
          <w:tcPr>
            <w:tcW w:w="465" w:type="dxa"/>
          </w:tcPr>
          <w:p>
            <w:pPr>
              <w:pStyle w:val="TableParagraph"/>
              <w:spacing w:line="193" w:lineRule="exact" w:before="107"/>
              <w:ind w:left="64"/>
              <w:rPr>
                <w:sz w:val="16"/>
              </w:rPr>
            </w:pPr>
            <w:r>
              <w:rPr>
                <w:color w:val="231F20"/>
                <w:w w:val="85"/>
                <w:sz w:val="16"/>
              </w:rPr>
              <w:t>PRI</w:t>
            </w:r>
          </w:p>
        </w:tc>
        <w:tc>
          <w:tcPr>
            <w:tcW w:w="457" w:type="dxa"/>
          </w:tcPr>
          <w:p>
            <w:pPr>
              <w:pStyle w:val="TableParagraph"/>
              <w:spacing w:line="193" w:lineRule="exact" w:before="107"/>
              <w:ind w:left="64"/>
              <w:rPr>
                <w:sz w:val="16"/>
              </w:rPr>
            </w:pPr>
            <w:r>
              <w:rPr>
                <w:color w:val="231F20"/>
                <w:w w:val="85"/>
                <w:sz w:val="16"/>
              </w:rPr>
              <w:t>PRI</w:t>
            </w:r>
          </w:p>
        </w:tc>
        <w:tc>
          <w:tcPr>
            <w:tcW w:w="493" w:type="dxa"/>
          </w:tcPr>
          <w:p>
            <w:pPr>
              <w:pStyle w:val="TableParagraph"/>
              <w:spacing w:line="193" w:lineRule="exact" w:before="107"/>
              <w:ind w:left="64"/>
              <w:rPr>
                <w:sz w:val="16"/>
              </w:rPr>
            </w:pPr>
            <w:r>
              <w:rPr>
                <w:color w:val="231F20"/>
                <w:w w:val="85"/>
                <w:sz w:val="16"/>
              </w:rPr>
              <w:t>PRI</w:t>
            </w:r>
          </w:p>
        </w:tc>
        <w:tc>
          <w:tcPr>
            <w:tcW w:w="571" w:type="dxa"/>
          </w:tcPr>
          <w:p>
            <w:pPr>
              <w:pStyle w:val="TableParagraph"/>
              <w:spacing w:line="193" w:lineRule="exact" w:before="107"/>
              <w:ind w:left="64"/>
              <w:rPr>
                <w:sz w:val="16"/>
              </w:rPr>
            </w:pPr>
            <w:r>
              <w:rPr>
                <w:color w:val="231F20"/>
                <w:w w:val="85"/>
                <w:sz w:val="16"/>
              </w:rPr>
              <w:t>PRI</w:t>
            </w:r>
          </w:p>
        </w:tc>
        <w:tc>
          <w:tcPr>
            <w:tcW w:w="546" w:type="dxa"/>
          </w:tcPr>
          <w:p>
            <w:pPr>
              <w:pStyle w:val="TableParagraph"/>
              <w:spacing w:line="193" w:lineRule="exact" w:before="107"/>
              <w:ind w:left="64"/>
              <w:rPr>
                <w:sz w:val="16"/>
              </w:rPr>
            </w:pPr>
            <w:r>
              <w:rPr>
                <w:color w:val="231F20"/>
                <w:w w:val="85"/>
                <w:sz w:val="16"/>
              </w:rPr>
              <w:t>PRI</w:t>
            </w:r>
          </w:p>
        </w:tc>
        <w:tc>
          <w:tcPr>
            <w:tcW w:w="566" w:type="dxa"/>
          </w:tcPr>
          <w:p>
            <w:pPr>
              <w:pStyle w:val="TableParagraph"/>
              <w:spacing w:line="193" w:lineRule="exact" w:before="107"/>
              <w:ind w:left="65"/>
              <w:rPr>
                <w:sz w:val="16"/>
              </w:rPr>
            </w:pPr>
            <w:r>
              <w:rPr>
                <w:color w:val="231F20"/>
                <w:w w:val="85"/>
                <w:sz w:val="16"/>
              </w:rPr>
              <w:t>PRI</w:t>
            </w:r>
          </w:p>
        </w:tc>
        <w:tc>
          <w:tcPr>
            <w:tcW w:w="550" w:type="dxa"/>
          </w:tcPr>
          <w:p>
            <w:pPr>
              <w:pStyle w:val="TableParagraph"/>
              <w:spacing w:line="193" w:lineRule="exact" w:before="107"/>
              <w:ind w:left="64"/>
              <w:rPr>
                <w:sz w:val="16"/>
              </w:rPr>
            </w:pPr>
            <w:r>
              <w:rPr>
                <w:color w:val="231F20"/>
                <w:w w:val="85"/>
                <w:sz w:val="16"/>
              </w:rPr>
              <w:t>PRD</w:t>
            </w:r>
          </w:p>
        </w:tc>
        <w:tc>
          <w:tcPr>
            <w:tcW w:w="548" w:type="dxa"/>
          </w:tcPr>
          <w:p>
            <w:pPr>
              <w:pStyle w:val="TableParagraph"/>
              <w:spacing w:line="193" w:lineRule="exact" w:before="107"/>
              <w:ind w:left="64"/>
              <w:rPr>
                <w:sz w:val="16"/>
              </w:rPr>
            </w:pPr>
            <w:r>
              <w:rPr>
                <w:color w:val="231F20"/>
                <w:w w:val="85"/>
                <w:sz w:val="16"/>
              </w:rPr>
              <w:t>PRD</w:t>
            </w:r>
          </w:p>
        </w:tc>
        <w:tc>
          <w:tcPr>
            <w:tcW w:w="678" w:type="dxa"/>
          </w:tcPr>
          <w:p>
            <w:pPr>
              <w:pStyle w:val="TableParagraph"/>
              <w:spacing w:line="193" w:lineRule="exact" w:before="107"/>
              <w:ind w:left="65"/>
              <w:rPr>
                <w:sz w:val="16"/>
              </w:rPr>
            </w:pPr>
            <w:r>
              <w:rPr>
                <w:color w:val="231F20"/>
                <w:w w:val="85"/>
                <w:sz w:val="16"/>
              </w:rPr>
              <w:t>PAN</w:t>
            </w:r>
          </w:p>
        </w:tc>
        <w:tc>
          <w:tcPr>
            <w:tcW w:w="1017" w:type="dxa"/>
          </w:tcPr>
          <w:p>
            <w:pPr>
              <w:pStyle w:val="TableParagraph"/>
              <w:spacing w:line="193" w:lineRule="exact" w:before="107"/>
              <w:ind w:left="65"/>
              <w:rPr>
                <w:sz w:val="16"/>
              </w:rPr>
            </w:pPr>
            <w:r>
              <w:rPr>
                <w:color w:val="231F20"/>
                <w:w w:val="85"/>
                <w:sz w:val="16"/>
              </w:rPr>
              <w:t>PRD</w:t>
            </w:r>
          </w:p>
        </w:tc>
      </w:tr>
      <w:tr>
        <w:trPr>
          <w:trHeight w:val="270" w:hRule="exact"/>
        </w:trPr>
        <w:tc>
          <w:tcPr>
            <w:tcW w:w="622" w:type="dxa"/>
          </w:tcPr>
          <w:p>
            <w:pPr>
              <w:pStyle w:val="TableParagraph"/>
              <w:spacing w:line="193" w:lineRule="exact" w:before="107"/>
              <w:ind w:left="65"/>
              <w:rPr>
                <w:sz w:val="16"/>
              </w:rPr>
            </w:pPr>
            <w:r>
              <w:rPr>
                <w:color w:val="231F20"/>
                <w:w w:val="85"/>
                <w:sz w:val="16"/>
              </w:rPr>
              <w:t>2003</w:t>
            </w:r>
          </w:p>
        </w:tc>
        <w:tc>
          <w:tcPr>
            <w:tcW w:w="588" w:type="dxa"/>
          </w:tcPr>
          <w:p>
            <w:pPr>
              <w:pStyle w:val="TableParagraph"/>
              <w:spacing w:line="193" w:lineRule="exact" w:before="107"/>
              <w:ind w:left="64"/>
              <w:rPr>
                <w:sz w:val="16"/>
              </w:rPr>
            </w:pPr>
            <w:r>
              <w:rPr>
                <w:color w:val="231F20"/>
                <w:w w:val="85"/>
                <w:sz w:val="16"/>
              </w:rPr>
              <w:t>PRD</w:t>
            </w:r>
          </w:p>
        </w:tc>
        <w:tc>
          <w:tcPr>
            <w:tcW w:w="826" w:type="dxa"/>
          </w:tcPr>
          <w:p>
            <w:pPr>
              <w:pStyle w:val="TableParagraph"/>
              <w:spacing w:line="193" w:lineRule="exact" w:before="107"/>
              <w:ind w:left="64"/>
              <w:rPr>
                <w:sz w:val="16"/>
              </w:rPr>
            </w:pPr>
            <w:r>
              <w:rPr>
                <w:color w:val="231F20"/>
                <w:w w:val="85"/>
                <w:sz w:val="16"/>
              </w:rPr>
              <w:t>PRD</w:t>
            </w:r>
          </w:p>
        </w:tc>
        <w:tc>
          <w:tcPr>
            <w:tcW w:w="465" w:type="dxa"/>
          </w:tcPr>
          <w:p>
            <w:pPr>
              <w:pStyle w:val="TableParagraph"/>
              <w:spacing w:line="193" w:lineRule="exact" w:before="107"/>
              <w:ind w:left="64"/>
              <w:rPr>
                <w:sz w:val="16"/>
              </w:rPr>
            </w:pPr>
            <w:r>
              <w:rPr>
                <w:color w:val="231F20"/>
                <w:w w:val="85"/>
                <w:sz w:val="16"/>
              </w:rPr>
              <w:t>PRD</w:t>
            </w:r>
          </w:p>
        </w:tc>
        <w:tc>
          <w:tcPr>
            <w:tcW w:w="457" w:type="dxa"/>
          </w:tcPr>
          <w:p>
            <w:pPr>
              <w:pStyle w:val="TableParagraph"/>
              <w:spacing w:line="193" w:lineRule="exact" w:before="107"/>
              <w:ind w:left="64"/>
              <w:rPr>
                <w:sz w:val="16"/>
              </w:rPr>
            </w:pPr>
            <w:r>
              <w:rPr>
                <w:color w:val="231F20"/>
                <w:w w:val="85"/>
                <w:sz w:val="16"/>
              </w:rPr>
              <w:t>PRD</w:t>
            </w:r>
          </w:p>
        </w:tc>
        <w:tc>
          <w:tcPr>
            <w:tcW w:w="493" w:type="dxa"/>
          </w:tcPr>
          <w:p>
            <w:pPr>
              <w:pStyle w:val="TableParagraph"/>
              <w:spacing w:line="193" w:lineRule="exact" w:before="107"/>
              <w:ind w:left="64"/>
              <w:rPr>
                <w:sz w:val="16"/>
              </w:rPr>
            </w:pPr>
            <w:r>
              <w:rPr>
                <w:color w:val="231F20"/>
                <w:w w:val="85"/>
                <w:sz w:val="16"/>
              </w:rPr>
              <w:t>PRD</w:t>
            </w:r>
          </w:p>
        </w:tc>
        <w:tc>
          <w:tcPr>
            <w:tcW w:w="571" w:type="dxa"/>
          </w:tcPr>
          <w:p>
            <w:pPr>
              <w:pStyle w:val="TableParagraph"/>
              <w:spacing w:line="193" w:lineRule="exact" w:before="107"/>
              <w:ind w:left="64"/>
              <w:rPr>
                <w:sz w:val="16"/>
              </w:rPr>
            </w:pPr>
            <w:r>
              <w:rPr>
                <w:color w:val="231F20"/>
                <w:w w:val="85"/>
                <w:sz w:val="16"/>
              </w:rPr>
              <w:t>PRD</w:t>
            </w:r>
          </w:p>
        </w:tc>
        <w:tc>
          <w:tcPr>
            <w:tcW w:w="546" w:type="dxa"/>
          </w:tcPr>
          <w:p>
            <w:pPr>
              <w:pStyle w:val="TableParagraph"/>
              <w:spacing w:line="193" w:lineRule="exact" w:before="107"/>
              <w:ind w:left="64"/>
              <w:rPr>
                <w:sz w:val="16"/>
              </w:rPr>
            </w:pPr>
            <w:r>
              <w:rPr>
                <w:color w:val="231F20"/>
                <w:w w:val="85"/>
                <w:sz w:val="16"/>
              </w:rPr>
              <w:t>PRD</w:t>
            </w:r>
          </w:p>
        </w:tc>
        <w:tc>
          <w:tcPr>
            <w:tcW w:w="566" w:type="dxa"/>
          </w:tcPr>
          <w:p>
            <w:pPr>
              <w:pStyle w:val="TableParagraph"/>
              <w:spacing w:line="193" w:lineRule="exact" w:before="107"/>
              <w:ind w:left="65"/>
              <w:rPr>
                <w:sz w:val="16"/>
              </w:rPr>
            </w:pPr>
            <w:r>
              <w:rPr>
                <w:color w:val="231F20"/>
                <w:w w:val="85"/>
                <w:sz w:val="16"/>
              </w:rPr>
              <w:t>PRD</w:t>
            </w:r>
          </w:p>
        </w:tc>
        <w:tc>
          <w:tcPr>
            <w:tcW w:w="550" w:type="dxa"/>
          </w:tcPr>
          <w:p>
            <w:pPr>
              <w:pStyle w:val="TableParagraph"/>
              <w:spacing w:line="193" w:lineRule="exact" w:before="107"/>
              <w:ind w:left="64"/>
              <w:rPr>
                <w:sz w:val="16"/>
              </w:rPr>
            </w:pPr>
            <w:r>
              <w:rPr>
                <w:color w:val="231F20"/>
                <w:w w:val="85"/>
                <w:sz w:val="16"/>
              </w:rPr>
              <w:t>APT</w:t>
            </w:r>
          </w:p>
        </w:tc>
        <w:tc>
          <w:tcPr>
            <w:tcW w:w="548" w:type="dxa"/>
          </w:tcPr>
          <w:p>
            <w:pPr>
              <w:pStyle w:val="TableParagraph"/>
              <w:spacing w:line="193" w:lineRule="exact" w:before="107"/>
              <w:ind w:left="64"/>
              <w:rPr>
                <w:sz w:val="16"/>
              </w:rPr>
            </w:pPr>
            <w:r>
              <w:rPr>
                <w:color w:val="231F20"/>
                <w:w w:val="85"/>
                <w:sz w:val="16"/>
              </w:rPr>
              <w:t>APT</w:t>
            </w:r>
          </w:p>
        </w:tc>
        <w:tc>
          <w:tcPr>
            <w:tcW w:w="678" w:type="dxa"/>
          </w:tcPr>
          <w:p>
            <w:pPr>
              <w:pStyle w:val="TableParagraph"/>
              <w:spacing w:line="193" w:lineRule="exact" w:before="107"/>
              <w:ind w:left="65"/>
              <w:rPr>
                <w:sz w:val="16"/>
              </w:rPr>
            </w:pPr>
            <w:r>
              <w:rPr>
                <w:color w:val="231F20"/>
                <w:w w:val="85"/>
                <w:sz w:val="16"/>
              </w:rPr>
              <w:t>APT</w:t>
            </w:r>
          </w:p>
        </w:tc>
        <w:tc>
          <w:tcPr>
            <w:tcW w:w="1017" w:type="dxa"/>
          </w:tcPr>
          <w:p>
            <w:pPr>
              <w:pStyle w:val="TableParagraph"/>
              <w:spacing w:line="193" w:lineRule="exact" w:before="107"/>
              <w:ind w:left="65"/>
              <w:rPr>
                <w:sz w:val="16"/>
              </w:rPr>
            </w:pPr>
            <w:r>
              <w:rPr>
                <w:color w:val="231F20"/>
                <w:w w:val="85"/>
                <w:sz w:val="16"/>
              </w:rPr>
              <w:t>APT</w:t>
            </w:r>
          </w:p>
        </w:tc>
      </w:tr>
      <w:tr>
        <w:trPr>
          <w:trHeight w:val="270" w:hRule="exact"/>
        </w:trPr>
        <w:tc>
          <w:tcPr>
            <w:tcW w:w="622" w:type="dxa"/>
          </w:tcPr>
          <w:p>
            <w:pPr>
              <w:pStyle w:val="TableParagraph"/>
              <w:spacing w:line="193" w:lineRule="exact" w:before="107"/>
              <w:ind w:left="65"/>
              <w:rPr>
                <w:sz w:val="16"/>
              </w:rPr>
            </w:pPr>
            <w:r>
              <w:rPr>
                <w:color w:val="231F20"/>
                <w:w w:val="85"/>
                <w:sz w:val="16"/>
              </w:rPr>
              <w:t>2006</w:t>
            </w:r>
          </w:p>
        </w:tc>
        <w:tc>
          <w:tcPr>
            <w:tcW w:w="588" w:type="dxa"/>
          </w:tcPr>
          <w:p>
            <w:pPr>
              <w:pStyle w:val="TableParagraph"/>
              <w:spacing w:line="193" w:lineRule="exact" w:before="107"/>
              <w:ind w:left="64"/>
              <w:rPr>
                <w:sz w:val="16"/>
              </w:rPr>
            </w:pPr>
            <w:r>
              <w:rPr>
                <w:color w:val="231F20"/>
                <w:w w:val="85"/>
                <w:sz w:val="16"/>
              </w:rPr>
              <w:t>APM</w:t>
            </w:r>
          </w:p>
        </w:tc>
        <w:tc>
          <w:tcPr>
            <w:tcW w:w="826" w:type="dxa"/>
          </w:tcPr>
          <w:p>
            <w:pPr>
              <w:pStyle w:val="TableParagraph"/>
              <w:spacing w:line="193" w:lineRule="exact" w:before="107"/>
              <w:ind w:left="64"/>
              <w:rPr>
                <w:sz w:val="16"/>
              </w:rPr>
            </w:pPr>
            <w:r>
              <w:rPr>
                <w:color w:val="231F20"/>
                <w:w w:val="85"/>
                <w:sz w:val="16"/>
              </w:rPr>
              <w:t>APM</w:t>
            </w:r>
          </w:p>
        </w:tc>
        <w:tc>
          <w:tcPr>
            <w:tcW w:w="465" w:type="dxa"/>
          </w:tcPr>
          <w:p>
            <w:pPr>
              <w:pStyle w:val="TableParagraph"/>
              <w:spacing w:line="193" w:lineRule="exact" w:before="107"/>
              <w:ind w:left="64"/>
              <w:rPr>
                <w:sz w:val="16"/>
              </w:rPr>
            </w:pPr>
            <w:r>
              <w:rPr>
                <w:color w:val="231F20"/>
                <w:w w:val="85"/>
                <w:sz w:val="16"/>
              </w:rPr>
              <w:t>APM</w:t>
            </w:r>
          </w:p>
        </w:tc>
        <w:tc>
          <w:tcPr>
            <w:tcW w:w="457" w:type="dxa"/>
          </w:tcPr>
          <w:p>
            <w:pPr>
              <w:pStyle w:val="TableParagraph"/>
              <w:spacing w:line="193" w:lineRule="exact" w:before="107"/>
              <w:ind w:left="64"/>
              <w:rPr>
                <w:sz w:val="16"/>
              </w:rPr>
            </w:pPr>
            <w:r>
              <w:rPr>
                <w:color w:val="231F20"/>
                <w:w w:val="85"/>
                <w:sz w:val="16"/>
              </w:rPr>
              <w:t>APM</w:t>
            </w:r>
          </w:p>
        </w:tc>
        <w:tc>
          <w:tcPr>
            <w:tcW w:w="493" w:type="dxa"/>
          </w:tcPr>
          <w:p>
            <w:pPr>
              <w:pStyle w:val="TableParagraph"/>
              <w:spacing w:line="193" w:lineRule="exact" w:before="107"/>
              <w:ind w:left="64"/>
              <w:rPr>
                <w:sz w:val="16"/>
              </w:rPr>
            </w:pPr>
            <w:r>
              <w:rPr>
                <w:color w:val="231F20"/>
                <w:w w:val="85"/>
                <w:sz w:val="16"/>
              </w:rPr>
              <w:t>APM</w:t>
            </w:r>
          </w:p>
        </w:tc>
        <w:tc>
          <w:tcPr>
            <w:tcW w:w="571" w:type="dxa"/>
          </w:tcPr>
          <w:p>
            <w:pPr>
              <w:pStyle w:val="TableParagraph"/>
              <w:spacing w:line="193" w:lineRule="exact" w:before="107"/>
              <w:ind w:left="64"/>
              <w:rPr>
                <w:sz w:val="16"/>
              </w:rPr>
            </w:pPr>
            <w:r>
              <w:rPr>
                <w:color w:val="231F20"/>
                <w:w w:val="85"/>
                <w:sz w:val="16"/>
              </w:rPr>
              <w:t>APM</w:t>
            </w:r>
          </w:p>
        </w:tc>
        <w:tc>
          <w:tcPr>
            <w:tcW w:w="546" w:type="dxa"/>
          </w:tcPr>
          <w:p>
            <w:pPr>
              <w:pStyle w:val="TableParagraph"/>
              <w:spacing w:line="193" w:lineRule="exact" w:before="107"/>
              <w:ind w:left="64"/>
              <w:rPr>
                <w:sz w:val="16"/>
              </w:rPr>
            </w:pPr>
            <w:r>
              <w:rPr>
                <w:color w:val="231F20"/>
                <w:w w:val="85"/>
                <w:sz w:val="16"/>
              </w:rPr>
              <w:t>APM</w:t>
            </w:r>
          </w:p>
        </w:tc>
        <w:tc>
          <w:tcPr>
            <w:tcW w:w="566" w:type="dxa"/>
          </w:tcPr>
          <w:p>
            <w:pPr>
              <w:pStyle w:val="TableParagraph"/>
              <w:spacing w:line="193" w:lineRule="exact" w:before="107"/>
              <w:ind w:left="65"/>
              <w:rPr>
                <w:sz w:val="16"/>
              </w:rPr>
            </w:pPr>
            <w:r>
              <w:rPr>
                <w:color w:val="231F20"/>
                <w:w w:val="85"/>
                <w:sz w:val="16"/>
              </w:rPr>
              <w:t>APM</w:t>
            </w:r>
          </w:p>
        </w:tc>
        <w:tc>
          <w:tcPr>
            <w:tcW w:w="550" w:type="dxa"/>
          </w:tcPr>
          <w:p>
            <w:pPr>
              <w:pStyle w:val="TableParagraph"/>
              <w:spacing w:line="193" w:lineRule="exact" w:before="107"/>
              <w:ind w:left="64"/>
              <w:rPr>
                <w:sz w:val="16"/>
              </w:rPr>
            </w:pPr>
            <w:r>
              <w:rPr>
                <w:color w:val="231F20"/>
                <w:w w:val="85"/>
                <w:sz w:val="16"/>
              </w:rPr>
              <w:t>PRD</w:t>
            </w:r>
          </w:p>
        </w:tc>
        <w:tc>
          <w:tcPr>
            <w:tcW w:w="548" w:type="dxa"/>
          </w:tcPr>
          <w:p>
            <w:pPr>
              <w:pStyle w:val="TableParagraph"/>
              <w:spacing w:line="193" w:lineRule="exact" w:before="107"/>
              <w:ind w:left="64"/>
              <w:rPr>
                <w:sz w:val="16"/>
              </w:rPr>
            </w:pPr>
            <w:r>
              <w:rPr>
                <w:color w:val="231F20"/>
                <w:w w:val="85"/>
                <w:sz w:val="16"/>
              </w:rPr>
              <w:t>PRD</w:t>
            </w:r>
          </w:p>
        </w:tc>
        <w:tc>
          <w:tcPr>
            <w:tcW w:w="678" w:type="dxa"/>
          </w:tcPr>
          <w:p>
            <w:pPr>
              <w:pStyle w:val="TableParagraph"/>
              <w:spacing w:line="193" w:lineRule="exact" w:before="107"/>
              <w:ind w:left="65"/>
              <w:rPr>
                <w:sz w:val="16"/>
              </w:rPr>
            </w:pPr>
            <w:r>
              <w:rPr>
                <w:color w:val="231F20"/>
                <w:w w:val="85"/>
                <w:sz w:val="16"/>
              </w:rPr>
              <w:t>PRD</w:t>
            </w:r>
          </w:p>
        </w:tc>
        <w:tc>
          <w:tcPr>
            <w:tcW w:w="1017" w:type="dxa"/>
          </w:tcPr>
          <w:p>
            <w:pPr>
              <w:pStyle w:val="TableParagraph"/>
              <w:spacing w:line="193" w:lineRule="exact" w:before="107"/>
              <w:ind w:left="65"/>
              <w:rPr>
                <w:sz w:val="16"/>
              </w:rPr>
            </w:pPr>
            <w:r>
              <w:rPr>
                <w:color w:val="231F20"/>
                <w:w w:val="85"/>
                <w:sz w:val="16"/>
              </w:rPr>
              <w:t>PAN</w:t>
            </w:r>
          </w:p>
        </w:tc>
      </w:tr>
    </w:tbl>
    <w:p>
      <w:pPr>
        <w:pStyle w:val="BodyText"/>
        <w:spacing w:before="1"/>
        <w:rPr>
          <w:b/>
          <w:sz w:val="14"/>
        </w:rPr>
      </w:pPr>
    </w:p>
    <w:p>
      <w:pPr>
        <w:spacing w:before="74"/>
        <w:ind w:left="3531" w:right="-2" w:firstLine="0"/>
        <w:jc w:val="left"/>
        <w:rPr>
          <w:rFonts w:ascii="Calibri" w:hAnsi="Calibri"/>
          <w:sz w:val="16"/>
        </w:rPr>
      </w:pPr>
      <w:r>
        <w:rPr>
          <w:rFonts w:ascii="Calibri" w:hAnsi="Calibri"/>
          <w:color w:val="231F20"/>
          <w:sz w:val="16"/>
        </w:rPr>
        <w:t>FUENTE: Elaboración propia con información de Sánchez y Silva (2008)</w:t>
      </w:r>
    </w:p>
    <w:p>
      <w:pPr>
        <w:pStyle w:val="BodyText"/>
        <w:rPr>
          <w:rFonts w:ascii="Calibri"/>
          <w:sz w:val="16"/>
        </w:rPr>
      </w:pPr>
    </w:p>
    <w:p>
      <w:pPr>
        <w:pStyle w:val="BodyText"/>
        <w:spacing w:before="10"/>
        <w:rPr>
          <w:rFonts w:ascii="Calibri"/>
          <w:sz w:val="12"/>
        </w:rPr>
      </w:pPr>
    </w:p>
    <w:p>
      <w:pPr>
        <w:pStyle w:val="BodyText"/>
        <w:spacing w:line="285" w:lineRule="auto"/>
        <w:ind w:left="110" w:right="106"/>
        <w:jc w:val="both"/>
      </w:pPr>
      <w:r>
        <w:rPr>
          <w:color w:val="231F20"/>
          <w:w w:val="105"/>
        </w:rPr>
        <w:t>Como sucede con los resultados </w:t>
      </w:r>
      <w:r>
        <w:rPr>
          <w:color w:val="231F20"/>
          <w:spacing w:val="2"/>
          <w:w w:val="105"/>
        </w:rPr>
        <w:t>electorales, </w:t>
      </w:r>
      <w:r>
        <w:rPr>
          <w:color w:val="231F20"/>
          <w:w w:val="105"/>
        </w:rPr>
        <w:t>la </w:t>
      </w:r>
      <w:r>
        <w:rPr>
          <w:color w:val="231F20"/>
          <w:spacing w:val="2"/>
          <w:w w:val="105"/>
        </w:rPr>
        <w:t>disputa </w:t>
      </w:r>
      <w:r>
        <w:rPr>
          <w:color w:val="231F20"/>
          <w:w w:val="105"/>
        </w:rPr>
        <w:t>por obtener cargos se centra entre el Revolucionario </w:t>
      </w:r>
      <w:r>
        <w:rPr>
          <w:color w:val="231F20"/>
          <w:spacing w:val="2"/>
          <w:w w:val="105"/>
        </w:rPr>
        <w:t>Institucional </w:t>
      </w:r>
      <w:r>
        <w:rPr>
          <w:color w:val="231F20"/>
          <w:w w:val="105"/>
        </w:rPr>
        <w:t>y el PRD. En </w:t>
      </w:r>
      <w:r>
        <w:rPr>
          <w:color w:val="231F20"/>
          <w:spacing w:val="2"/>
          <w:w w:val="105"/>
        </w:rPr>
        <w:t>las regidurías </w:t>
      </w:r>
      <w:r>
        <w:rPr>
          <w:color w:val="231F20"/>
          <w:w w:val="105"/>
        </w:rPr>
        <w:t>de representación proporcional obtienen mayores espacios el PRD o el PRI que Acción Nacional, quien sólo</w:t>
      </w:r>
      <w:r>
        <w:rPr>
          <w:color w:val="231F20"/>
          <w:spacing w:val="-12"/>
          <w:w w:val="105"/>
        </w:rPr>
        <w:t> </w:t>
      </w:r>
      <w:r>
        <w:rPr>
          <w:color w:val="231F20"/>
          <w:w w:val="105"/>
        </w:rPr>
        <w:t>ha</w:t>
      </w:r>
      <w:r>
        <w:rPr>
          <w:color w:val="231F20"/>
          <w:spacing w:val="-12"/>
          <w:w w:val="105"/>
        </w:rPr>
        <w:t> </w:t>
      </w:r>
      <w:r>
        <w:rPr>
          <w:color w:val="231F20"/>
          <w:w w:val="105"/>
        </w:rPr>
        <w:t>logrado</w:t>
      </w:r>
      <w:r>
        <w:rPr>
          <w:color w:val="231F20"/>
          <w:spacing w:val="-12"/>
          <w:w w:val="105"/>
        </w:rPr>
        <w:t> </w:t>
      </w:r>
      <w:r>
        <w:rPr>
          <w:color w:val="231F20"/>
          <w:spacing w:val="3"/>
          <w:w w:val="105"/>
        </w:rPr>
        <w:t>un</w:t>
      </w:r>
      <w:r>
        <w:rPr>
          <w:color w:val="231F20"/>
          <w:spacing w:val="-12"/>
          <w:w w:val="105"/>
        </w:rPr>
        <w:t> </w:t>
      </w:r>
      <w:r>
        <w:rPr>
          <w:color w:val="231F20"/>
          <w:w w:val="105"/>
        </w:rPr>
        <w:t>cargo</w:t>
      </w:r>
      <w:r>
        <w:rPr>
          <w:color w:val="231F20"/>
          <w:spacing w:val="-12"/>
          <w:w w:val="105"/>
        </w:rPr>
        <w:t> </w:t>
      </w:r>
      <w:r>
        <w:rPr>
          <w:color w:val="231F20"/>
          <w:w w:val="105"/>
        </w:rPr>
        <w:t>en</w:t>
      </w:r>
      <w:r>
        <w:rPr>
          <w:color w:val="231F20"/>
          <w:spacing w:val="-12"/>
          <w:w w:val="105"/>
        </w:rPr>
        <w:t> </w:t>
      </w:r>
      <w:r>
        <w:rPr>
          <w:color w:val="231F20"/>
          <w:w w:val="105"/>
        </w:rPr>
        <w:t>1996,</w:t>
      </w:r>
      <w:r>
        <w:rPr>
          <w:color w:val="231F20"/>
          <w:spacing w:val="-12"/>
          <w:w w:val="105"/>
        </w:rPr>
        <w:t> </w:t>
      </w:r>
      <w:r>
        <w:rPr>
          <w:color w:val="231F20"/>
          <w:spacing w:val="5"/>
          <w:w w:val="105"/>
        </w:rPr>
        <w:t>2000</w:t>
      </w:r>
      <w:r>
        <w:rPr>
          <w:color w:val="231F20"/>
          <w:spacing w:val="-12"/>
          <w:w w:val="105"/>
        </w:rPr>
        <w:t> </w:t>
      </w:r>
      <w:r>
        <w:rPr>
          <w:color w:val="231F20"/>
          <w:w w:val="105"/>
        </w:rPr>
        <w:t>y</w:t>
      </w:r>
      <w:r>
        <w:rPr>
          <w:color w:val="231F20"/>
          <w:spacing w:val="-12"/>
          <w:w w:val="105"/>
        </w:rPr>
        <w:t> </w:t>
      </w:r>
      <w:r>
        <w:rPr>
          <w:color w:val="231F20"/>
          <w:spacing w:val="5"/>
          <w:w w:val="105"/>
        </w:rPr>
        <w:t>2006.</w:t>
      </w:r>
      <w:r>
        <w:rPr>
          <w:color w:val="231F20"/>
          <w:spacing w:val="-12"/>
          <w:w w:val="105"/>
        </w:rPr>
        <w:t> </w:t>
      </w:r>
      <w:r>
        <w:rPr>
          <w:color w:val="231F20"/>
          <w:spacing w:val="2"/>
          <w:w w:val="105"/>
        </w:rPr>
        <w:t>Los</w:t>
      </w:r>
      <w:r>
        <w:rPr>
          <w:color w:val="231F20"/>
          <w:spacing w:val="-12"/>
          <w:w w:val="105"/>
        </w:rPr>
        <w:t> </w:t>
      </w:r>
      <w:r>
        <w:rPr>
          <w:color w:val="231F20"/>
          <w:w w:val="105"/>
        </w:rPr>
        <w:t>tres</w:t>
      </w:r>
      <w:r>
        <w:rPr>
          <w:color w:val="231F20"/>
          <w:spacing w:val="-12"/>
          <w:w w:val="105"/>
        </w:rPr>
        <w:t> </w:t>
      </w:r>
      <w:r>
        <w:rPr>
          <w:color w:val="231F20"/>
          <w:w w:val="105"/>
        </w:rPr>
        <w:t>lugares</w:t>
      </w:r>
      <w:r>
        <w:rPr>
          <w:color w:val="231F20"/>
          <w:spacing w:val="-12"/>
          <w:w w:val="105"/>
        </w:rPr>
        <w:t> </w:t>
      </w:r>
      <w:r>
        <w:rPr>
          <w:color w:val="231F20"/>
          <w:spacing w:val="2"/>
          <w:w w:val="105"/>
        </w:rPr>
        <w:t>restantes</w:t>
      </w:r>
      <w:r>
        <w:rPr>
          <w:color w:val="231F20"/>
          <w:spacing w:val="-12"/>
          <w:w w:val="105"/>
        </w:rPr>
        <w:t> </w:t>
      </w:r>
      <w:r>
        <w:rPr>
          <w:color w:val="231F20"/>
          <w:w w:val="105"/>
        </w:rPr>
        <w:t>en</w:t>
      </w:r>
      <w:r>
        <w:rPr>
          <w:color w:val="231F20"/>
          <w:spacing w:val="-12"/>
          <w:w w:val="105"/>
        </w:rPr>
        <w:t> </w:t>
      </w:r>
      <w:r>
        <w:rPr>
          <w:color w:val="231F20"/>
          <w:w w:val="105"/>
        </w:rPr>
        <w:t>esos</w:t>
      </w:r>
      <w:r>
        <w:rPr>
          <w:color w:val="231F20"/>
          <w:spacing w:val="-12"/>
          <w:w w:val="105"/>
        </w:rPr>
        <w:t> </w:t>
      </w:r>
      <w:r>
        <w:rPr>
          <w:color w:val="231F20"/>
          <w:spacing w:val="2"/>
          <w:w w:val="105"/>
        </w:rPr>
        <w:t>años </w:t>
      </w:r>
      <w:r>
        <w:rPr>
          <w:color w:val="231F20"/>
          <w:spacing w:val="3"/>
          <w:w w:val="105"/>
        </w:rPr>
        <w:t>han</w:t>
      </w:r>
      <w:r>
        <w:rPr>
          <w:color w:val="231F20"/>
          <w:spacing w:val="-5"/>
          <w:w w:val="105"/>
        </w:rPr>
        <w:t> </w:t>
      </w:r>
      <w:r>
        <w:rPr>
          <w:color w:val="231F20"/>
          <w:w w:val="105"/>
        </w:rPr>
        <w:t>sido</w:t>
      </w:r>
      <w:r>
        <w:rPr>
          <w:color w:val="231F20"/>
          <w:spacing w:val="-5"/>
          <w:w w:val="105"/>
        </w:rPr>
        <w:t> </w:t>
      </w:r>
      <w:r>
        <w:rPr>
          <w:color w:val="231F20"/>
          <w:w w:val="105"/>
        </w:rPr>
        <w:t>ocupados</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spacing w:val="2"/>
          <w:w w:val="105"/>
        </w:rPr>
        <w:t>Partido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Revolución</w:t>
      </w:r>
      <w:r>
        <w:rPr>
          <w:color w:val="231F20"/>
          <w:spacing w:val="-5"/>
          <w:w w:val="105"/>
        </w:rPr>
        <w:t> </w:t>
      </w:r>
      <w:r>
        <w:rPr>
          <w:color w:val="231F20"/>
          <w:w w:val="105"/>
        </w:rPr>
        <w:t>Democrática,</w:t>
      </w:r>
      <w:r>
        <w:rPr>
          <w:color w:val="231F20"/>
          <w:spacing w:val="-5"/>
          <w:w w:val="105"/>
        </w:rPr>
        <w:t> </w:t>
      </w:r>
      <w:r>
        <w:rPr>
          <w:color w:val="231F20"/>
          <w:w w:val="105"/>
        </w:rPr>
        <w:t>este</w:t>
      </w:r>
      <w:r>
        <w:rPr>
          <w:color w:val="231F20"/>
          <w:spacing w:val="-5"/>
          <w:w w:val="105"/>
        </w:rPr>
        <w:t> </w:t>
      </w:r>
      <w:r>
        <w:rPr>
          <w:color w:val="231F20"/>
          <w:spacing w:val="2"/>
          <w:w w:val="105"/>
        </w:rPr>
        <w:t>último</w:t>
      </w:r>
      <w:r>
        <w:rPr>
          <w:color w:val="231F20"/>
          <w:spacing w:val="-5"/>
          <w:w w:val="105"/>
        </w:rPr>
        <w:t> </w:t>
      </w:r>
      <w:r>
        <w:rPr>
          <w:color w:val="231F20"/>
          <w:w w:val="105"/>
        </w:rPr>
        <w:t>solamen- te logró </w:t>
      </w:r>
      <w:r>
        <w:rPr>
          <w:color w:val="231F20"/>
          <w:spacing w:val="3"/>
          <w:w w:val="105"/>
        </w:rPr>
        <w:t>ganar </w:t>
      </w:r>
      <w:r>
        <w:rPr>
          <w:color w:val="231F20"/>
          <w:spacing w:val="2"/>
          <w:w w:val="105"/>
        </w:rPr>
        <w:t>las </w:t>
      </w:r>
      <w:r>
        <w:rPr>
          <w:color w:val="231F20"/>
          <w:w w:val="105"/>
        </w:rPr>
        <w:t>dos </w:t>
      </w:r>
      <w:r>
        <w:rPr>
          <w:color w:val="231F20"/>
          <w:spacing w:val="2"/>
          <w:w w:val="105"/>
        </w:rPr>
        <w:t>regidurías </w:t>
      </w:r>
      <w:r>
        <w:rPr>
          <w:color w:val="231F20"/>
          <w:w w:val="105"/>
        </w:rPr>
        <w:t>de representación en 1993. El PRI obtuvo </w:t>
      </w:r>
      <w:r>
        <w:rPr>
          <w:color w:val="231F20"/>
          <w:spacing w:val="2"/>
          <w:w w:val="105"/>
        </w:rPr>
        <w:t>las</w:t>
      </w:r>
      <w:r>
        <w:rPr>
          <w:color w:val="231F20"/>
          <w:spacing w:val="37"/>
          <w:w w:val="105"/>
        </w:rPr>
        <w:t> </w:t>
      </w:r>
      <w:r>
        <w:rPr>
          <w:color w:val="231F20"/>
          <w:w w:val="105"/>
        </w:rPr>
        <w:t>cuatro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30"/>
      </w:pPr>
      <w:r>
        <w:rPr>
          <w:color w:val="231F20"/>
          <w:w w:val="105"/>
        </w:rPr>
        <w:t>de representación en el 2003, en alianza con el PVEM (Alianza para Todos, APT).</w:t>
      </w:r>
    </w:p>
    <w:p>
      <w:pPr>
        <w:pStyle w:val="BodyText"/>
        <w:spacing w:before="2"/>
        <w:rPr>
          <w:sz w:val="30"/>
        </w:rPr>
      </w:pPr>
    </w:p>
    <w:p>
      <w:pPr>
        <w:pStyle w:val="BodyText"/>
        <w:spacing w:line="285" w:lineRule="auto"/>
        <w:ind w:left="130" w:right="121"/>
      </w:pPr>
      <w:r>
        <w:rPr>
          <w:color w:val="231F20"/>
          <w:w w:val="105"/>
        </w:rPr>
        <w:t>Los miembros que integran el Ayuntamiento 2006-2009 se pueden apreciar en el cua- dro 2, al igual que el partido en el cual militan.</w:t>
      </w:r>
    </w:p>
    <w:p>
      <w:pPr>
        <w:pStyle w:val="BodyText"/>
        <w:spacing w:before="1"/>
        <w:rPr>
          <w:sz w:val="26"/>
        </w:rPr>
      </w:pPr>
    </w:p>
    <w:p>
      <w:pPr>
        <w:pStyle w:val="Heading5"/>
        <w:spacing w:line="285" w:lineRule="auto"/>
        <w:ind w:left="3505" w:right="530" w:hanging="2974"/>
      </w:pPr>
      <w:r>
        <w:rPr>
          <w:color w:val="231F20"/>
          <w:w w:val="105"/>
        </w:rPr>
        <w:t>Cuadro</w:t>
      </w:r>
      <w:r>
        <w:rPr>
          <w:color w:val="231F20"/>
          <w:spacing w:val="-18"/>
          <w:w w:val="105"/>
        </w:rPr>
        <w:t> </w:t>
      </w:r>
      <w:r>
        <w:rPr>
          <w:color w:val="231F20"/>
          <w:spacing w:val="2"/>
          <w:w w:val="105"/>
        </w:rPr>
        <w:t>2.</w:t>
      </w:r>
      <w:r>
        <w:rPr>
          <w:color w:val="231F20"/>
          <w:spacing w:val="-18"/>
          <w:w w:val="105"/>
        </w:rPr>
        <w:t> </w:t>
      </w:r>
      <w:r>
        <w:rPr>
          <w:color w:val="231F20"/>
          <w:w w:val="105"/>
        </w:rPr>
        <w:t>Composición</w:t>
      </w:r>
      <w:r>
        <w:rPr>
          <w:color w:val="231F20"/>
          <w:spacing w:val="-18"/>
          <w:w w:val="105"/>
        </w:rPr>
        <w:t> </w:t>
      </w:r>
      <w:r>
        <w:rPr>
          <w:color w:val="231F20"/>
          <w:w w:val="105"/>
        </w:rPr>
        <w:t>del</w:t>
      </w:r>
      <w:r>
        <w:rPr>
          <w:color w:val="231F20"/>
          <w:spacing w:val="-18"/>
          <w:w w:val="105"/>
        </w:rPr>
        <w:t> </w:t>
      </w:r>
      <w:r>
        <w:rPr>
          <w:color w:val="231F20"/>
          <w:w w:val="105"/>
        </w:rPr>
        <w:t>Ayuntamiento</w:t>
      </w:r>
      <w:r>
        <w:rPr>
          <w:color w:val="231F20"/>
          <w:spacing w:val="-18"/>
          <w:w w:val="105"/>
        </w:rPr>
        <w:t> </w:t>
      </w:r>
      <w:r>
        <w:rPr>
          <w:color w:val="231F20"/>
          <w:w w:val="105"/>
        </w:rPr>
        <w:t>de</w:t>
      </w:r>
      <w:r>
        <w:rPr>
          <w:color w:val="231F20"/>
          <w:spacing w:val="-18"/>
          <w:w w:val="105"/>
        </w:rPr>
        <w:t> </w:t>
      </w:r>
      <w:r>
        <w:rPr>
          <w:color w:val="231F20"/>
          <w:spacing w:val="-3"/>
          <w:w w:val="105"/>
        </w:rPr>
        <w:t>Tejupilco,</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 (2006-2009)</w:t>
      </w:r>
    </w:p>
    <w:p>
      <w:pPr>
        <w:pStyle w:val="BodyText"/>
        <w:spacing w:before="8"/>
        <w:rPr>
          <w:b/>
          <w:sz w:val="12"/>
        </w:rPr>
      </w:pPr>
    </w:p>
    <w:tbl>
      <w:tblPr>
        <w:tblW w:w="0" w:type="auto"/>
        <w:jc w:val="left"/>
        <w:tblInd w:w="11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75"/>
        <w:gridCol w:w="484"/>
        <w:gridCol w:w="3597"/>
        <w:gridCol w:w="1809"/>
      </w:tblGrid>
      <w:tr>
        <w:trPr>
          <w:trHeight w:val="166" w:hRule="exact"/>
        </w:trPr>
        <w:tc>
          <w:tcPr>
            <w:tcW w:w="2559" w:type="dxa"/>
            <w:gridSpan w:val="2"/>
          </w:tcPr>
          <w:p>
            <w:pPr>
              <w:pStyle w:val="TableParagraph"/>
              <w:spacing w:line="163" w:lineRule="exact"/>
              <w:ind w:left="1026" w:right="1026"/>
              <w:jc w:val="center"/>
              <w:rPr>
                <w:b/>
                <w:sz w:val="16"/>
              </w:rPr>
            </w:pPr>
            <w:r>
              <w:rPr>
                <w:b/>
                <w:color w:val="231F20"/>
                <w:w w:val="85"/>
                <w:sz w:val="16"/>
              </w:rPr>
              <w:t>CARGO</w:t>
            </w:r>
          </w:p>
        </w:tc>
        <w:tc>
          <w:tcPr>
            <w:tcW w:w="3597" w:type="dxa"/>
          </w:tcPr>
          <w:p>
            <w:pPr>
              <w:pStyle w:val="TableParagraph"/>
              <w:spacing w:line="163" w:lineRule="exact"/>
              <w:ind w:left="1083" w:right="1083"/>
              <w:jc w:val="center"/>
              <w:rPr>
                <w:b/>
                <w:sz w:val="16"/>
              </w:rPr>
            </w:pPr>
            <w:r>
              <w:rPr>
                <w:b/>
                <w:color w:val="231F20"/>
                <w:w w:val="90"/>
                <w:sz w:val="16"/>
              </w:rPr>
              <w:t>NOMBRE</w:t>
            </w:r>
          </w:p>
        </w:tc>
        <w:tc>
          <w:tcPr>
            <w:tcW w:w="1809" w:type="dxa"/>
          </w:tcPr>
          <w:p>
            <w:pPr>
              <w:pStyle w:val="TableParagraph"/>
              <w:spacing w:line="163" w:lineRule="exact"/>
              <w:ind w:left="608" w:right="608"/>
              <w:jc w:val="center"/>
              <w:rPr>
                <w:b/>
                <w:sz w:val="16"/>
              </w:rPr>
            </w:pPr>
            <w:r>
              <w:rPr>
                <w:b/>
                <w:color w:val="231F20"/>
                <w:w w:val="90"/>
                <w:sz w:val="16"/>
              </w:rPr>
              <w:t>PARTIDO</w:t>
            </w:r>
          </w:p>
        </w:tc>
      </w:tr>
      <w:tr>
        <w:trPr>
          <w:trHeight w:val="185" w:hRule="exact"/>
        </w:trPr>
        <w:tc>
          <w:tcPr>
            <w:tcW w:w="2559" w:type="dxa"/>
            <w:gridSpan w:val="2"/>
          </w:tcPr>
          <w:p>
            <w:pPr>
              <w:pStyle w:val="TableParagraph"/>
              <w:spacing w:line="163" w:lineRule="exact"/>
              <w:ind w:left="667"/>
              <w:rPr>
                <w:b/>
                <w:sz w:val="16"/>
              </w:rPr>
            </w:pPr>
            <w:r>
              <w:rPr>
                <w:b/>
                <w:color w:val="231F20"/>
                <w:w w:val="85"/>
                <w:sz w:val="16"/>
              </w:rPr>
              <w:t>Presidente Municipal</w:t>
            </w:r>
          </w:p>
        </w:tc>
        <w:tc>
          <w:tcPr>
            <w:tcW w:w="3597" w:type="dxa"/>
          </w:tcPr>
          <w:p>
            <w:pPr>
              <w:pStyle w:val="TableParagraph"/>
              <w:spacing w:line="163" w:lineRule="exact"/>
              <w:ind w:left="1083" w:right="1083"/>
              <w:jc w:val="center"/>
              <w:rPr>
                <w:sz w:val="16"/>
              </w:rPr>
            </w:pPr>
            <w:r>
              <w:rPr>
                <w:color w:val="231F20"/>
                <w:w w:val="75"/>
                <w:sz w:val="16"/>
              </w:rPr>
              <w:t>Herminio Santín Méndez</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90" w:hRule="exact"/>
        </w:trPr>
        <w:tc>
          <w:tcPr>
            <w:tcW w:w="2559" w:type="dxa"/>
            <w:gridSpan w:val="2"/>
          </w:tcPr>
          <w:p>
            <w:pPr>
              <w:pStyle w:val="TableParagraph"/>
              <w:spacing w:line="163" w:lineRule="exact"/>
              <w:ind w:left="1026" w:right="1026"/>
              <w:jc w:val="center"/>
              <w:rPr>
                <w:b/>
                <w:sz w:val="16"/>
              </w:rPr>
            </w:pPr>
            <w:r>
              <w:rPr>
                <w:b/>
                <w:color w:val="231F20"/>
                <w:w w:val="95"/>
                <w:sz w:val="16"/>
              </w:rPr>
              <w:t>Sindico</w:t>
            </w:r>
          </w:p>
        </w:tc>
        <w:tc>
          <w:tcPr>
            <w:tcW w:w="3597" w:type="dxa"/>
          </w:tcPr>
          <w:p>
            <w:pPr>
              <w:pStyle w:val="TableParagraph"/>
              <w:spacing w:line="163" w:lineRule="exact"/>
              <w:ind w:left="1083" w:right="1082"/>
              <w:jc w:val="center"/>
              <w:rPr>
                <w:sz w:val="16"/>
              </w:rPr>
            </w:pPr>
            <w:r>
              <w:rPr>
                <w:color w:val="231F20"/>
                <w:w w:val="75"/>
                <w:sz w:val="16"/>
              </w:rPr>
              <w:t>Valdemar Albiter Jaramillo</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97" w:hRule="exact"/>
        </w:trPr>
        <w:tc>
          <w:tcPr>
            <w:tcW w:w="2075" w:type="dxa"/>
            <w:vMerge w:val="restart"/>
            <w:textDirection w:val="btLr"/>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8"/>
              <w:ind w:left="0"/>
              <w:rPr>
                <w:rFonts w:ascii="Times New Roman"/>
                <w:b/>
                <w:sz w:val="17"/>
              </w:rPr>
            </w:pPr>
          </w:p>
          <w:p>
            <w:pPr>
              <w:pStyle w:val="TableParagraph"/>
              <w:ind w:left="587" w:right="585"/>
              <w:jc w:val="center"/>
              <w:rPr>
                <w:b/>
                <w:sz w:val="16"/>
              </w:rPr>
            </w:pPr>
            <w:r>
              <w:rPr>
                <w:b/>
                <w:color w:val="231F20"/>
                <w:spacing w:val="1"/>
                <w:w w:val="83"/>
                <w:sz w:val="16"/>
              </w:rPr>
              <w:t>R</w:t>
            </w:r>
            <w:r>
              <w:rPr>
                <w:b/>
                <w:color w:val="231F20"/>
                <w:spacing w:val="2"/>
                <w:w w:val="88"/>
                <w:sz w:val="16"/>
              </w:rPr>
              <w:t>eg</w:t>
            </w:r>
            <w:r>
              <w:rPr>
                <w:b/>
                <w:color w:val="231F20"/>
                <w:spacing w:val="2"/>
                <w:w w:val="90"/>
                <w:sz w:val="16"/>
              </w:rPr>
              <w:t>i</w:t>
            </w:r>
            <w:r>
              <w:rPr>
                <w:b/>
                <w:color w:val="231F20"/>
                <w:spacing w:val="2"/>
                <w:w w:val="81"/>
                <w:sz w:val="16"/>
              </w:rPr>
              <w:t>do</w:t>
            </w:r>
            <w:r>
              <w:rPr>
                <w:b/>
                <w:color w:val="231F20"/>
                <w:spacing w:val="3"/>
                <w:w w:val="82"/>
                <w:sz w:val="16"/>
              </w:rPr>
              <w:t>r</w:t>
            </w:r>
            <w:r>
              <w:rPr>
                <w:b/>
                <w:color w:val="231F20"/>
                <w:spacing w:val="2"/>
                <w:w w:val="82"/>
                <w:sz w:val="16"/>
              </w:rPr>
              <w:t>es</w:t>
            </w:r>
          </w:p>
        </w:tc>
        <w:tc>
          <w:tcPr>
            <w:tcW w:w="484" w:type="dxa"/>
          </w:tcPr>
          <w:p>
            <w:pPr>
              <w:pStyle w:val="TableParagraph"/>
              <w:spacing w:line="163" w:lineRule="exact"/>
              <w:ind w:left="0" w:right="204"/>
              <w:jc w:val="right"/>
              <w:rPr>
                <w:sz w:val="16"/>
              </w:rPr>
            </w:pPr>
            <w:r>
              <w:rPr>
                <w:color w:val="231F20"/>
                <w:w w:val="75"/>
                <w:sz w:val="16"/>
              </w:rPr>
              <w:t>1</w:t>
            </w:r>
          </w:p>
        </w:tc>
        <w:tc>
          <w:tcPr>
            <w:tcW w:w="3597" w:type="dxa"/>
          </w:tcPr>
          <w:p>
            <w:pPr>
              <w:pStyle w:val="TableParagraph"/>
              <w:spacing w:line="163" w:lineRule="exact"/>
              <w:ind w:left="1083" w:right="1083"/>
              <w:jc w:val="center"/>
              <w:rPr>
                <w:sz w:val="16"/>
              </w:rPr>
            </w:pPr>
            <w:r>
              <w:rPr>
                <w:color w:val="231F20"/>
                <w:w w:val="75"/>
                <w:sz w:val="16"/>
              </w:rPr>
              <w:t>Gregorio López Machuca</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65"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2</w:t>
            </w:r>
          </w:p>
        </w:tc>
        <w:tc>
          <w:tcPr>
            <w:tcW w:w="3597" w:type="dxa"/>
          </w:tcPr>
          <w:p>
            <w:pPr>
              <w:pStyle w:val="TableParagraph"/>
              <w:spacing w:line="163" w:lineRule="exact"/>
              <w:ind w:left="1083" w:right="1083"/>
              <w:jc w:val="center"/>
              <w:rPr>
                <w:sz w:val="16"/>
              </w:rPr>
            </w:pPr>
            <w:r>
              <w:rPr>
                <w:color w:val="231F20"/>
                <w:w w:val="75"/>
                <w:sz w:val="16"/>
              </w:rPr>
              <w:t>Benito Olascoaga Solís</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84"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3</w:t>
            </w:r>
          </w:p>
        </w:tc>
        <w:tc>
          <w:tcPr>
            <w:tcW w:w="3597" w:type="dxa"/>
          </w:tcPr>
          <w:p>
            <w:pPr>
              <w:pStyle w:val="TableParagraph"/>
              <w:spacing w:line="163" w:lineRule="exact"/>
              <w:ind w:left="1083" w:right="1083"/>
              <w:jc w:val="center"/>
              <w:rPr>
                <w:sz w:val="16"/>
              </w:rPr>
            </w:pPr>
            <w:r>
              <w:rPr>
                <w:color w:val="231F20"/>
                <w:w w:val="80"/>
                <w:sz w:val="16"/>
              </w:rPr>
              <w:t>Miguel Ángel López López</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55"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4</w:t>
            </w:r>
          </w:p>
        </w:tc>
        <w:tc>
          <w:tcPr>
            <w:tcW w:w="3597" w:type="dxa"/>
          </w:tcPr>
          <w:p>
            <w:pPr>
              <w:pStyle w:val="TableParagraph"/>
              <w:spacing w:line="163" w:lineRule="exact"/>
              <w:ind w:left="1083" w:right="1082"/>
              <w:jc w:val="center"/>
              <w:rPr>
                <w:sz w:val="16"/>
              </w:rPr>
            </w:pPr>
            <w:r>
              <w:rPr>
                <w:color w:val="231F20"/>
                <w:w w:val="75"/>
                <w:sz w:val="16"/>
              </w:rPr>
              <w:t>Mario Jaramillo Gervasio</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76"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5</w:t>
            </w:r>
          </w:p>
        </w:tc>
        <w:tc>
          <w:tcPr>
            <w:tcW w:w="3597" w:type="dxa"/>
          </w:tcPr>
          <w:p>
            <w:pPr>
              <w:pStyle w:val="TableParagraph"/>
              <w:spacing w:line="163" w:lineRule="exact"/>
              <w:ind w:left="1083" w:right="1083"/>
              <w:jc w:val="center"/>
              <w:rPr>
                <w:sz w:val="16"/>
              </w:rPr>
            </w:pPr>
            <w:r>
              <w:rPr>
                <w:color w:val="231F20"/>
                <w:w w:val="75"/>
                <w:sz w:val="16"/>
              </w:rPr>
              <w:t>María Gama Vargas</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87"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6</w:t>
            </w:r>
          </w:p>
        </w:tc>
        <w:tc>
          <w:tcPr>
            <w:tcW w:w="3597" w:type="dxa"/>
          </w:tcPr>
          <w:p>
            <w:pPr>
              <w:pStyle w:val="TableParagraph"/>
              <w:spacing w:line="163" w:lineRule="exact"/>
              <w:ind w:left="1083" w:right="1083"/>
              <w:jc w:val="center"/>
              <w:rPr>
                <w:sz w:val="16"/>
              </w:rPr>
            </w:pPr>
            <w:r>
              <w:rPr>
                <w:color w:val="231F20"/>
                <w:w w:val="80"/>
                <w:sz w:val="16"/>
              </w:rPr>
              <w:t>José Luis Rodríguez Albiter</w:t>
            </w:r>
          </w:p>
        </w:tc>
        <w:tc>
          <w:tcPr>
            <w:tcW w:w="1809" w:type="dxa"/>
          </w:tcPr>
          <w:p>
            <w:pPr>
              <w:pStyle w:val="TableParagraph"/>
              <w:spacing w:line="163" w:lineRule="exact"/>
              <w:ind w:left="608" w:right="608"/>
              <w:jc w:val="center"/>
              <w:rPr>
                <w:sz w:val="16"/>
              </w:rPr>
            </w:pPr>
            <w:r>
              <w:rPr>
                <w:color w:val="231F20"/>
                <w:w w:val="85"/>
                <w:sz w:val="16"/>
              </w:rPr>
              <w:t>APM</w:t>
            </w:r>
          </w:p>
        </w:tc>
      </w:tr>
      <w:tr>
        <w:trPr>
          <w:trHeight w:val="177"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7</w:t>
            </w:r>
          </w:p>
        </w:tc>
        <w:tc>
          <w:tcPr>
            <w:tcW w:w="3597" w:type="dxa"/>
          </w:tcPr>
          <w:p>
            <w:pPr>
              <w:pStyle w:val="TableParagraph"/>
              <w:spacing w:line="163" w:lineRule="exact"/>
              <w:ind w:left="1083" w:right="1083"/>
              <w:jc w:val="center"/>
              <w:rPr>
                <w:sz w:val="16"/>
              </w:rPr>
            </w:pPr>
            <w:r>
              <w:rPr>
                <w:color w:val="231F20"/>
                <w:w w:val="80"/>
                <w:sz w:val="16"/>
              </w:rPr>
              <w:t>Raúl Rodríguez Escamilla</w:t>
            </w:r>
          </w:p>
        </w:tc>
        <w:tc>
          <w:tcPr>
            <w:tcW w:w="1809" w:type="dxa"/>
          </w:tcPr>
          <w:p>
            <w:pPr>
              <w:pStyle w:val="TableParagraph"/>
              <w:spacing w:line="163" w:lineRule="exact"/>
              <w:ind w:left="608" w:right="608"/>
              <w:jc w:val="center"/>
              <w:rPr>
                <w:sz w:val="16"/>
              </w:rPr>
            </w:pPr>
            <w:r>
              <w:rPr>
                <w:color w:val="231F20"/>
                <w:w w:val="85"/>
                <w:sz w:val="16"/>
              </w:rPr>
              <w:t>PRD</w:t>
            </w:r>
          </w:p>
        </w:tc>
      </w:tr>
      <w:tr>
        <w:trPr>
          <w:trHeight w:val="176"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8</w:t>
            </w:r>
          </w:p>
        </w:tc>
        <w:tc>
          <w:tcPr>
            <w:tcW w:w="3597" w:type="dxa"/>
          </w:tcPr>
          <w:p>
            <w:pPr>
              <w:pStyle w:val="TableParagraph"/>
              <w:spacing w:line="163" w:lineRule="exact"/>
              <w:ind w:left="1083" w:right="1081"/>
              <w:jc w:val="center"/>
              <w:rPr>
                <w:sz w:val="16"/>
              </w:rPr>
            </w:pPr>
            <w:r>
              <w:rPr>
                <w:color w:val="231F20"/>
                <w:w w:val="75"/>
                <w:sz w:val="16"/>
              </w:rPr>
              <w:t>Josefina Rodríguez Benítez</w:t>
            </w:r>
          </w:p>
        </w:tc>
        <w:tc>
          <w:tcPr>
            <w:tcW w:w="1809" w:type="dxa"/>
          </w:tcPr>
          <w:p>
            <w:pPr>
              <w:pStyle w:val="TableParagraph"/>
              <w:spacing w:line="163" w:lineRule="exact"/>
              <w:ind w:left="608" w:right="608"/>
              <w:jc w:val="center"/>
              <w:rPr>
                <w:sz w:val="16"/>
              </w:rPr>
            </w:pPr>
            <w:r>
              <w:rPr>
                <w:color w:val="231F20"/>
                <w:w w:val="85"/>
                <w:sz w:val="16"/>
              </w:rPr>
              <w:t>PRD</w:t>
            </w:r>
          </w:p>
        </w:tc>
      </w:tr>
      <w:tr>
        <w:trPr>
          <w:trHeight w:val="205" w:hRule="exact"/>
        </w:trPr>
        <w:tc>
          <w:tcPr>
            <w:tcW w:w="2075" w:type="dxa"/>
            <w:vMerge/>
            <w:textDirection w:val="btLr"/>
          </w:tcPr>
          <w:p>
            <w:pPr/>
          </w:p>
        </w:tc>
        <w:tc>
          <w:tcPr>
            <w:tcW w:w="484" w:type="dxa"/>
          </w:tcPr>
          <w:p>
            <w:pPr>
              <w:pStyle w:val="TableParagraph"/>
              <w:spacing w:line="163" w:lineRule="exact"/>
              <w:ind w:left="0" w:right="204"/>
              <w:jc w:val="right"/>
              <w:rPr>
                <w:sz w:val="16"/>
              </w:rPr>
            </w:pPr>
            <w:r>
              <w:rPr>
                <w:color w:val="231F20"/>
                <w:w w:val="75"/>
                <w:sz w:val="16"/>
              </w:rPr>
              <w:t>9</w:t>
            </w:r>
          </w:p>
        </w:tc>
        <w:tc>
          <w:tcPr>
            <w:tcW w:w="3597" w:type="dxa"/>
          </w:tcPr>
          <w:p>
            <w:pPr>
              <w:pStyle w:val="TableParagraph"/>
              <w:spacing w:line="163" w:lineRule="exact"/>
              <w:ind w:left="1083" w:right="1083"/>
              <w:jc w:val="center"/>
              <w:rPr>
                <w:sz w:val="16"/>
              </w:rPr>
            </w:pPr>
            <w:r>
              <w:rPr>
                <w:color w:val="231F20"/>
                <w:w w:val="75"/>
                <w:sz w:val="16"/>
              </w:rPr>
              <w:t>Celerino Gaspar Puebla</w:t>
            </w:r>
          </w:p>
        </w:tc>
        <w:tc>
          <w:tcPr>
            <w:tcW w:w="1809" w:type="dxa"/>
          </w:tcPr>
          <w:p>
            <w:pPr>
              <w:pStyle w:val="TableParagraph"/>
              <w:spacing w:line="163" w:lineRule="exact"/>
              <w:ind w:left="608" w:right="608"/>
              <w:jc w:val="center"/>
              <w:rPr>
                <w:sz w:val="16"/>
              </w:rPr>
            </w:pPr>
            <w:r>
              <w:rPr>
                <w:color w:val="231F20"/>
                <w:w w:val="85"/>
                <w:sz w:val="16"/>
              </w:rPr>
              <w:t>PRD</w:t>
            </w:r>
          </w:p>
        </w:tc>
      </w:tr>
      <w:tr>
        <w:trPr>
          <w:trHeight w:val="175" w:hRule="exact"/>
        </w:trPr>
        <w:tc>
          <w:tcPr>
            <w:tcW w:w="2075" w:type="dxa"/>
            <w:vMerge/>
            <w:textDirection w:val="btLr"/>
          </w:tcPr>
          <w:p>
            <w:pPr/>
          </w:p>
        </w:tc>
        <w:tc>
          <w:tcPr>
            <w:tcW w:w="484" w:type="dxa"/>
          </w:tcPr>
          <w:p>
            <w:pPr>
              <w:pStyle w:val="TableParagraph"/>
              <w:spacing w:line="163" w:lineRule="exact"/>
              <w:ind w:left="0" w:right="176"/>
              <w:jc w:val="right"/>
              <w:rPr>
                <w:sz w:val="16"/>
              </w:rPr>
            </w:pPr>
            <w:r>
              <w:rPr>
                <w:color w:val="231F20"/>
                <w:w w:val="75"/>
                <w:sz w:val="16"/>
              </w:rPr>
              <w:t>10</w:t>
            </w:r>
          </w:p>
        </w:tc>
        <w:tc>
          <w:tcPr>
            <w:tcW w:w="3597" w:type="dxa"/>
          </w:tcPr>
          <w:p>
            <w:pPr>
              <w:pStyle w:val="TableParagraph"/>
              <w:spacing w:line="163" w:lineRule="exact"/>
              <w:ind w:left="1083" w:right="1083"/>
              <w:jc w:val="center"/>
              <w:rPr>
                <w:sz w:val="16"/>
              </w:rPr>
            </w:pPr>
            <w:r>
              <w:rPr>
                <w:color w:val="231F20"/>
                <w:w w:val="75"/>
                <w:sz w:val="16"/>
              </w:rPr>
              <w:t>Israel García Jaimes</w:t>
            </w:r>
          </w:p>
        </w:tc>
        <w:tc>
          <w:tcPr>
            <w:tcW w:w="1809" w:type="dxa"/>
          </w:tcPr>
          <w:p>
            <w:pPr>
              <w:pStyle w:val="TableParagraph"/>
              <w:spacing w:line="163" w:lineRule="exact"/>
              <w:ind w:left="608" w:right="608"/>
              <w:jc w:val="center"/>
              <w:rPr>
                <w:sz w:val="16"/>
              </w:rPr>
            </w:pPr>
            <w:r>
              <w:rPr>
                <w:color w:val="231F20"/>
                <w:w w:val="85"/>
                <w:sz w:val="16"/>
              </w:rPr>
              <w:t>PAN</w:t>
            </w:r>
          </w:p>
        </w:tc>
      </w:tr>
    </w:tbl>
    <w:p>
      <w:pPr>
        <w:pStyle w:val="BodyText"/>
        <w:spacing w:before="1"/>
        <w:rPr>
          <w:b/>
          <w:sz w:val="16"/>
        </w:rPr>
      </w:pPr>
    </w:p>
    <w:p>
      <w:pPr>
        <w:spacing w:before="75"/>
        <w:ind w:left="3551" w:right="0" w:firstLine="0"/>
        <w:jc w:val="left"/>
        <w:rPr>
          <w:rFonts w:ascii="Calibri" w:hAnsi="Calibri"/>
          <w:sz w:val="16"/>
        </w:rPr>
      </w:pPr>
      <w:r>
        <w:rPr>
          <w:rFonts w:ascii="Calibri" w:hAnsi="Calibri"/>
          <w:color w:val="231F20"/>
          <w:sz w:val="16"/>
        </w:rPr>
        <w:t>FUENTE: Elaboración propia con información de Sánchez y Silva (2008)</w:t>
      </w:r>
    </w:p>
    <w:p>
      <w:pPr>
        <w:pStyle w:val="BodyText"/>
        <w:rPr>
          <w:rFonts w:ascii="Calibri"/>
          <w:sz w:val="16"/>
        </w:rPr>
      </w:pPr>
    </w:p>
    <w:p>
      <w:pPr>
        <w:pStyle w:val="BodyText"/>
        <w:spacing w:before="9"/>
        <w:rPr>
          <w:rFonts w:ascii="Calibri"/>
          <w:sz w:val="12"/>
        </w:rPr>
      </w:pPr>
    </w:p>
    <w:p>
      <w:pPr>
        <w:pStyle w:val="BodyText"/>
        <w:spacing w:line="285" w:lineRule="auto" w:before="1"/>
        <w:ind w:left="130" w:right="127"/>
        <w:jc w:val="both"/>
      </w:pPr>
      <w:r>
        <w:rPr>
          <w:color w:val="231F20"/>
          <w:spacing w:val="3"/>
          <w:w w:val="105"/>
        </w:rPr>
        <w:t>Al </w:t>
      </w:r>
      <w:r>
        <w:rPr>
          <w:color w:val="231F20"/>
          <w:w w:val="105"/>
        </w:rPr>
        <w:t>observar el cuadro </w:t>
      </w:r>
      <w:r>
        <w:rPr>
          <w:color w:val="231F20"/>
          <w:spacing w:val="2"/>
          <w:w w:val="105"/>
        </w:rPr>
        <w:t>2, </w:t>
      </w:r>
      <w:r>
        <w:rPr>
          <w:color w:val="231F20"/>
          <w:w w:val="105"/>
        </w:rPr>
        <w:t>podemos apreciar que la </w:t>
      </w:r>
      <w:r>
        <w:rPr>
          <w:color w:val="231F20"/>
          <w:spacing w:val="2"/>
          <w:w w:val="105"/>
        </w:rPr>
        <w:t>Alianza </w:t>
      </w:r>
      <w:r>
        <w:rPr>
          <w:color w:val="231F20"/>
          <w:spacing w:val="-3"/>
          <w:w w:val="105"/>
        </w:rPr>
        <w:t>Por </w:t>
      </w:r>
      <w:r>
        <w:rPr>
          <w:color w:val="231F20"/>
          <w:w w:val="105"/>
        </w:rPr>
        <w:t>México ocupa ocho de los</w:t>
      </w:r>
      <w:r>
        <w:rPr>
          <w:color w:val="231F20"/>
          <w:spacing w:val="-18"/>
          <w:w w:val="105"/>
        </w:rPr>
        <w:t> </w:t>
      </w:r>
      <w:r>
        <w:rPr>
          <w:color w:val="231F20"/>
          <w:w w:val="105"/>
        </w:rPr>
        <w:t>doce</w:t>
      </w:r>
      <w:r>
        <w:rPr>
          <w:color w:val="231F20"/>
          <w:spacing w:val="-18"/>
          <w:w w:val="105"/>
        </w:rPr>
        <w:t> </w:t>
      </w:r>
      <w:r>
        <w:rPr>
          <w:color w:val="231F20"/>
          <w:w w:val="105"/>
        </w:rPr>
        <w:t>cargos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ayuntamiento</w:t>
      </w:r>
      <w:r>
        <w:rPr>
          <w:color w:val="231F20"/>
          <w:spacing w:val="-18"/>
          <w:w w:val="105"/>
        </w:rPr>
        <w:t> </w:t>
      </w:r>
      <w:r>
        <w:rPr>
          <w:color w:val="231F20"/>
          <w:w w:val="105"/>
        </w:rPr>
        <w:t>de</w:t>
      </w:r>
      <w:r>
        <w:rPr>
          <w:color w:val="231F20"/>
          <w:spacing w:val="-18"/>
          <w:w w:val="105"/>
        </w:rPr>
        <w:t> </w:t>
      </w:r>
      <w:r>
        <w:rPr>
          <w:color w:val="231F20"/>
          <w:spacing w:val="-4"/>
          <w:w w:val="105"/>
        </w:rPr>
        <w:t>Tejupilco,</w:t>
      </w:r>
      <w:r>
        <w:rPr>
          <w:color w:val="231F20"/>
          <w:spacing w:val="-18"/>
          <w:w w:val="105"/>
        </w:rPr>
        <w:t> </w:t>
      </w:r>
      <w:r>
        <w:rPr>
          <w:color w:val="231F20"/>
          <w:w w:val="105"/>
        </w:rPr>
        <w:t>es</w:t>
      </w:r>
      <w:r>
        <w:rPr>
          <w:color w:val="231F20"/>
          <w:spacing w:val="-18"/>
          <w:w w:val="105"/>
        </w:rPr>
        <w:t> </w:t>
      </w:r>
      <w:r>
        <w:rPr>
          <w:color w:val="231F20"/>
          <w:w w:val="105"/>
        </w:rPr>
        <w:t>decir</w:t>
      </w:r>
      <w:r>
        <w:rPr>
          <w:color w:val="231F20"/>
          <w:spacing w:val="-18"/>
          <w:w w:val="105"/>
        </w:rPr>
        <w:t> </w:t>
      </w:r>
      <w:r>
        <w:rPr>
          <w:color w:val="231F20"/>
          <w:w w:val="105"/>
        </w:rPr>
        <w:t>que</w:t>
      </w:r>
      <w:r>
        <w:rPr>
          <w:color w:val="231F20"/>
          <w:spacing w:val="-18"/>
          <w:w w:val="105"/>
        </w:rPr>
        <w:t> </w:t>
      </w:r>
      <w:r>
        <w:rPr>
          <w:color w:val="231F20"/>
          <w:w w:val="105"/>
        </w:rPr>
        <w:t>logra</w:t>
      </w:r>
      <w:r>
        <w:rPr>
          <w:color w:val="231F20"/>
          <w:spacing w:val="-18"/>
          <w:w w:val="105"/>
        </w:rPr>
        <w:t> </w:t>
      </w:r>
      <w:r>
        <w:rPr>
          <w:color w:val="231F20"/>
          <w:w w:val="105"/>
        </w:rPr>
        <w:t>el</w:t>
      </w:r>
      <w:r>
        <w:rPr>
          <w:color w:val="231F20"/>
          <w:spacing w:val="-18"/>
          <w:w w:val="105"/>
        </w:rPr>
        <w:t> </w:t>
      </w:r>
      <w:r>
        <w:rPr>
          <w:color w:val="231F20"/>
          <w:w w:val="105"/>
        </w:rPr>
        <w:t>67%,</w:t>
      </w:r>
      <w:r>
        <w:rPr>
          <w:color w:val="231F20"/>
          <w:spacing w:val="-18"/>
          <w:w w:val="105"/>
        </w:rPr>
        <w:t> </w:t>
      </w:r>
      <w:r>
        <w:rPr>
          <w:color w:val="231F20"/>
          <w:w w:val="105"/>
        </w:rPr>
        <w:t>mientras</w:t>
      </w:r>
      <w:r>
        <w:rPr>
          <w:color w:val="231F20"/>
          <w:spacing w:val="-18"/>
          <w:w w:val="105"/>
        </w:rPr>
        <w:t> </w:t>
      </w:r>
      <w:r>
        <w:rPr>
          <w:color w:val="231F20"/>
          <w:w w:val="105"/>
        </w:rPr>
        <w:t>que el</w:t>
      </w:r>
      <w:r>
        <w:rPr>
          <w:color w:val="231F20"/>
          <w:spacing w:val="-10"/>
          <w:w w:val="105"/>
        </w:rPr>
        <w:t> </w:t>
      </w:r>
      <w:r>
        <w:rPr>
          <w:color w:val="231F20"/>
          <w:w w:val="105"/>
        </w:rPr>
        <w:t>PRD</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spacing w:val="-4"/>
          <w:w w:val="105"/>
        </w:rPr>
        <w:t>PAN</w:t>
      </w:r>
      <w:r>
        <w:rPr>
          <w:color w:val="231F20"/>
          <w:spacing w:val="-10"/>
          <w:w w:val="105"/>
        </w:rPr>
        <w:t> </w:t>
      </w:r>
      <w:r>
        <w:rPr>
          <w:color w:val="231F20"/>
          <w:w w:val="105"/>
        </w:rPr>
        <w:t>obtienen</w:t>
      </w:r>
      <w:r>
        <w:rPr>
          <w:color w:val="231F20"/>
          <w:spacing w:val="-10"/>
          <w:w w:val="105"/>
        </w:rPr>
        <w:t> </w:t>
      </w:r>
      <w:r>
        <w:rPr>
          <w:color w:val="231F20"/>
          <w:w w:val="105"/>
        </w:rPr>
        <w:t>el</w:t>
      </w:r>
      <w:r>
        <w:rPr>
          <w:color w:val="231F20"/>
          <w:spacing w:val="-10"/>
          <w:w w:val="105"/>
        </w:rPr>
        <w:t> </w:t>
      </w:r>
      <w:r>
        <w:rPr>
          <w:color w:val="231F20"/>
          <w:w w:val="105"/>
        </w:rPr>
        <w:t>25%</w:t>
      </w:r>
      <w:r>
        <w:rPr>
          <w:color w:val="231F20"/>
          <w:spacing w:val="-10"/>
          <w:w w:val="105"/>
        </w:rPr>
        <w:t> </w:t>
      </w:r>
      <w:r>
        <w:rPr>
          <w:color w:val="231F20"/>
          <w:w w:val="105"/>
        </w:rPr>
        <w:t>y</w:t>
      </w:r>
      <w:r>
        <w:rPr>
          <w:color w:val="231F20"/>
          <w:spacing w:val="-10"/>
          <w:w w:val="105"/>
        </w:rPr>
        <w:t> </w:t>
      </w:r>
      <w:r>
        <w:rPr>
          <w:color w:val="231F20"/>
          <w:w w:val="105"/>
        </w:rPr>
        <w:t>8%</w:t>
      </w:r>
      <w:r>
        <w:rPr>
          <w:color w:val="231F20"/>
          <w:spacing w:val="-10"/>
          <w:w w:val="105"/>
        </w:rPr>
        <w:t> </w:t>
      </w:r>
      <w:r>
        <w:rPr>
          <w:color w:val="231F20"/>
          <w:w w:val="105"/>
        </w:rPr>
        <w:t>respectivamente,</w:t>
      </w:r>
      <w:r>
        <w:rPr>
          <w:color w:val="231F20"/>
          <w:spacing w:val="-10"/>
          <w:w w:val="105"/>
        </w:rPr>
        <w:t> </w:t>
      </w:r>
      <w:r>
        <w:rPr>
          <w:color w:val="231F20"/>
          <w:w w:val="105"/>
        </w:rPr>
        <w:t>con</w:t>
      </w:r>
      <w:r>
        <w:rPr>
          <w:color w:val="231F20"/>
          <w:spacing w:val="-10"/>
          <w:w w:val="105"/>
        </w:rPr>
        <w:t> </w:t>
      </w:r>
      <w:r>
        <w:rPr>
          <w:color w:val="231F20"/>
          <w:w w:val="105"/>
        </w:rPr>
        <w:t>tres</w:t>
      </w:r>
      <w:r>
        <w:rPr>
          <w:color w:val="231F20"/>
          <w:spacing w:val="-10"/>
          <w:w w:val="105"/>
        </w:rPr>
        <w:t> </w:t>
      </w:r>
      <w:r>
        <w:rPr>
          <w:color w:val="231F20"/>
          <w:w w:val="105"/>
        </w:rPr>
        <w:t>regidurías</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sol azteca</w:t>
      </w:r>
      <w:r>
        <w:rPr>
          <w:color w:val="231F20"/>
          <w:spacing w:val="-15"/>
          <w:w w:val="105"/>
        </w:rPr>
        <w:t> </w:t>
      </w:r>
      <w:r>
        <w:rPr>
          <w:color w:val="231F20"/>
          <w:w w:val="105"/>
        </w:rPr>
        <w:t>y</w:t>
      </w:r>
      <w:r>
        <w:rPr>
          <w:color w:val="231F20"/>
          <w:spacing w:val="-15"/>
          <w:w w:val="105"/>
        </w:rPr>
        <w:t> </w:t>
      </w:r>
      <w:r>
        <w:rPr>
          <w:color w:val="231F20"/>
          <w:w w:val="105"/>
        </w:rPr>
        <w:t>una</w:t>
      </w:r>
      <w:r>
        <w:rPr>
          <w:color w:val="231F20"/>
          <w:spacing w:val="-15"/>
          <w:w w:val="105"/>
        </w:rPr>
        <w:t> </w:t>
      </w:r>
      <w:r>
        <w:rPr>
          <w:color w:val="231F20"/>
          <w:w w:val="105"/>
        </w:rPr>
        <w:t>para</w:t>
      </w:r>
      <w:r>
        <w:rPr>
          <w:color w:val="231F20"/>
          <w:spacing w:val="-15"/>
          <w:w w:val="105"/>
        </w:rPr>
        <w:t> </w:t>
      </w:r>
      <w:r>
        <w:rPr>
          <w:color w:val="231F20"/>
          <w:w w:val="105"/>
        </w:rPr>
        <w:t>Acción</w:t>
      </w:r>
      <w:r>
        <w:rPr>
          <w:color w:val="231F20"/>
          <w:spacing w:val="-15"/>
          <w:w w:val="105"/>
        </w:rPr>
        <w:t> </w:t>
      </w:r>
      <w:r>
        <w:rPr>
          <w:color w:val="231F20"/>
          <w:w w:val="105"/>
        </w:rPr>
        <w:t>Nacional.</w:t>
      </w:r>
    </w:p>
    <w:p>
      <w:pPr>
        <w:pStyle w:val="BodyText"/>
        <w:spacing w:before="10"/>
        <w:rPr>
          <w:sz w:val="23"/>
        </w:rPr>
      </w:pPr>
    </w:p>
    <w:p>
      <w:pPr>
        <w:spacing w:before="0"/>
        <w:ind w:left="130" w:right="0" w:firstLine="0"/>
        <w:jc w:val="both"/>
        <w:rPr>
          <w:rFonts w:ascii="Palatino Linotype" w:hAnsi="Palatino Linotype"/>
          <w:i/>
          <w:sz w:val="22"/>
        </w:rPr>
      </w:pPr>
      <w:r>
        <w:rPr>
          <w:rFonts w:ascii="Palatino Linotype" w:hAnsi="Palatino Linotype"/>
          <w:i/>
          <w:color w:val="231F20"/>
          <w:w w:val="105"/>
          <w:sz w:val="22"/>
        </w:rPr>
        <w:t>Organización de la Administración Pública Municipal</w:t>
      </w:r>
    </w:p>
    <w:p>
      <w:pPr>
        <w:pStyle w:val="BodyText"/>
        <w:spacing w:line="285" w:lineRule="auto" w:before="29"/>
        <w:ind w:left="130" w:right="127"/>
        <w:jc w:val="both"/>
      </w:pPr>
      <w:r>
        <w:rPr>
          <w:color w:val="231F20"/>
          <w:w w:val="105"/>
        </w:rPr>
        <w:t>El</w:t>
      </w:r>
      <w:r>
        <w:rPr>
          <w:color w:val="231F20"/>
          <w:spacing w:val="-8"/>
          <w:w w:val="105"/>
        </w:rPr>
        <w:t> </w:t>
      </w:r>
      <w:r>
        <w:rPr>
          <w:color w:val="231F20"/>
          <w:w w:val="105"/>
        </w:rPr>
        <w:t>buen</w:t>
      </w:r>
      <w:r>
        <w:rPr>
          <w:color w:val="231F20"/>
          <w:spacing w:val="-8"/>
          <w:w w:val="105"/>
        </w:rPr>
        <w:t> </w:t>
      </w:r>
      <w:r>
        <w:rPr>
          <w:color w:val="231F20"/>
          <w:w w:val="105"/>
        </w:rPr>
        <w:t>desempeño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administración</w:t>
      </w:r>
      <w:r>
        <w:rPr>
          <w:color w:val="231F20"/>
          <w:spacing w:val="-8"/>
          <w:w w:val="105"/>
        </w:rPr>
        <w:t> </w:t>
      </w:r>
      <w:r>
        <w:rPr>
          <w:color w:val="231F20"/>
          <w:w w:val="105"/>
        </w:rPr>
        <w:t>municipal</w:t>
      </w:r>
      <w:r>
        <w:rPr>
          <w:color w:val="231F20"/>
          <w:spacing w:val="-8"/>
          <w:w w:val="105"/>
        </w:rPr>
        <w:t> </w:t>
      </w:r>
      <w:r>
        <w:rPr>
          <w:color w:val="231F20"/>
          <w:w w:val="105"/>
        </w:rPr>
        <w:t>está</w:t>
      </w:r>
      <w:r>
        <w:rPr>
          <w:color w:val="231F20"/>
          <w:spacing w:val="-8"/>
          <w:w w:val="105"/>
        </w:rPr>
        <w:t> </w:t>
      </w:r>
      <w:r>
        <w:rPr>
          <w:color w:val="231F20"/>
          <w:w w:val="105"/>
        </w:rPr>
        <w:t>determinado</w:t>
      </w:r>
      <w:r>
        <w:rPr>
          <w:color w:val="231F20"/>
          <w:spacing w:val="-8"/>
          <w:w w:val="105"/>
        </w:rPr>
        <w:t> </w:t>
      </w:r>
      <w:r>
        <w:rPr>
          <w:color w:val="231F20"/>
          <w:w w:val="105"/>
        </w:rPr>
        <w:t>en</w:t>
      </w:r>
      <w:r>
        <w:rPr>
          <w:color w:val="231F20"/>
          <w:spacing w:val="-8"/>
          <w:w w:val="105"/>
        </w:rPr>
        <w:t> </w:t>
      </w:r>
      <w:r>
        <w:rPr>
          <w:color w:val="231F20"/>
          <w:w w:val="105"/>
        </w:rPr>
        <w:t>gran</w:t>
      </w:r>
      <w:r>
        <w:rPr>
          <w:color w:val="231F20"/>
          <w:spacing w:val="-8"/>
          <w:w w:val="105"/>
        </w:rPr>
        <w:t> </w:t>
      </w:r>
      <w:r>
        <w:rPr>
          <w:color w:val="231F20"/>
          <w:w w:val="105"/>
        </w:rPr>
        <w:t>parte</w:t>
      </w:r>
      <w:r>
        <w:rPr>
          <w:color w:val="231F20"/>
          <w:spacing w:val="-8"/>
          <w:w w:val="105"/>
        </w:rPr>
        <w:t> </w:t>
      </w:r>
      <w:r>
        <w:rPr>
          <w:color w:val="231F20"/>
          <w:w w:val="105"/>
        </w:rPr>
        <w:t>por las personas encargadas de las respectivas funciones en las áreas. En el municipio de </w:t>
      </w:r>
      <w:r>
        <w:rPr>
          <w:color w:val="231F20"/>
          <w:spacing w:val="-4"/>
          <w:w w:val="105"/>
        </w:rPr>
        <w:t>Tejupilco, </w:t>
      </w:r>
      <w:r>
        <w:rPr>
          <w:color w:val="231F20"/>
          <w:w w:val="105"/>
        </w:rPr>
        <w:t>se puede apreciar que en la administración municipal de los </w:t>
      </w:r>
      <w:r>
        <w:rPr>
          <w:color w:val="231F20"/>
          <w:spacing w:val="-7"/>
          <w:w w:val="105"/>
        </w:rPr>
        <w:t>74 </w:t>
      </w:r>
      <w:r>
        <w:rPr>
          <w:color w:val="231F20"/>
          <w:w w:val="105"/>
        </w:rPr>
        <w:t>cargos esta- blecidos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organigrama,</w:t>
      </w:r>
      <w:r>
        <w:rPr>
          <w:color w:val="231F20"/>
          <w:spacing w:val="-10"/>
          <w:w w:val="105"/>
        </w:rPr>
        <w:t> </w:t>
      </w:r>
      <w:r>
        <w:rPr>
          <w:color w:val="231F20"/>
          <w:w w:val="105"/>
        </w:rPr>
        <w:t>el</w:t>
      </w:r>
      <w:r>
        <w:rPr>
          <w:color w:val="231F20"/>
          <w:spacing w:val="-10"/>
          <w:w w:val="105"/>
        </w:rPr>
        <w:t> </w:t>
      </w:r>
      <w:r>
        <w:rPr>
          <w:color w:val="231F20"/>
          <w:w w:val="105"/>
        </w:rPr>
        <w:t>45.95%</w:t>
      </w:r>
      <w:r>
        <w:rPr>
          <w:color w:val="231F20"/>
          <w:spacing w:val="-10"/>
          <w:w w:val="105"/>
        </w:rPr>
        <w:t> </w:t>
      </w:r>
      <w:r>
        <w:rPr>
          <w:color w:val="231F20"/>
          <w:w w:val="105"/>
        </w:rPr>
        <w:t>cuentan</w:t>
      </w:r>
      <w:r>
        <w:rPr>
          <w:color w:val="231F20"/>
          <w:spacing w:val="-10"/>
          <w:w w:val="105"/>
        </w:rPr>
        <w:t> </w:t>
      </w:r>
      <w:r>
        <w:rPr>
          <w:color w:val="231F20"/>
          <w:w w:val="105"/>
        </w:rPr>
        <w:t>con</w:t>
      </w:r>
      <w:r>
        <w:rPr>
          <w:color w:val="231F20"/>
          <w:spacing w:val="-10"/>
          <w:w w:val="105"/>
        </w:rPr>
        <w:t> </w:t>
      </w:r>
      <w:r>
        <w:rPr>
          <w:color w:val="231F20"/>
          <w:w w:val="105"/>
        </w:rPr>
        <w:t>educación</w:t>
      </w:r>
      <w:r>
        <w:rPr>
          <w:color w:val="231F20"/>
          <w:spacing w:val="-10"/>
          <w:w w:val="105"/>
        </w:rPr>
        <w:t> </w:t>
      </w:r>
      <w:r>
        <w:rPr>
          <w:color w:val="231F20"/>
          <w:spacing w:val="-3"/>
          <w:w w:val="105"/>
        </w:rPr>
        <w:t>superior,</w:t>
      </w:r>
      <w:r>
        <w:rPr>
          <w:color w:val="231F20"/>
          <w:spacing w:val="-10"/>
          <w:w w:val="105"/>
        </w:rPr>
        <w:t> </w:t>
      </w:r>
      <w:r>
        <w:rPr>
          <w:color w:val="231F20"/>
          <w:w w:val="105"/>
        </w:rPr>
        <w:t>mientras</w:t>
      </w:r>
      <w:r>
        <w:rPr>
          <w:color w:val="231F20"/>
          <w:spacing w:val="-10"/>
          <w:w w:val="105"/>
        </w:rPr>
        <w:t> </w:t>
      </w:r>
      <w:r>
        <w:rPr>
          <w:color w:val="231F20"/>
          <w:w w:val="105"/>
        </w:rPr>
        <w:t>que</w:t>
      </w:r>
      <w:r>
        <w:rPr>
          <w:color w:val="231F20"/>
          <w:spacing w:val="-10"/>
          <w:w w:val="105"/>
        </w:rPr>
        <w:t> </w:t>
      </w:r>
      <w:r>
        <w:rPr>
          <w:color w:val="231F20"/>
          <w:w w:val="105"/>
        </w:rPr>
        <w:t>el 41.89%</w:t>
      </w:r>
      <w:r>
        <w:rPr>
          <w:color w:val="231F20"/>
          <w:spacing w:val="-27"/>
          <w:w w:val="105"/>
        </w:rPr>
        <w:t> </w:t>
      </w:r>
      <w:r>
        <w:rPr>
          <w:color w:val="231F20"/>
          <w:w w:val="105"/>
        </w:rPr>
        <w:t>tiene</w:t>
      </w:r>
      <w:r>
        <w:rPr>
          <w:color w:val="231F20"/>
          <w:spacing w:val="-27"/>
          <w:w w:val="105"/>
        </w:rPr>
        <w:t> </w:t>
      </w:r>
      <w:r>
        <w:rPr>
          <w:color w:val="231F20"/>
          <w:w w:val="105"/>
        </w:rPr>
        <w:t>educación</w:t>
      </w:r>
      <w:r>
        <w:rPr>
          <w:color w:val="231F20"/>
          <w:spacing w:val="-27"/>
          <w:w w:val="105"/>
        </w:rPr>
        <w:t> </w:t>
      </w:r>
      <w:r>
        <w:rPr>
          <w:color w:val="231F20"/>
          <w:w w:val="105"/>
        </w:rPr>
        <w:t>básica,</w:t>
      </w:r>
      <w:r>
        <w:rPr>
          <w:color w:val="231F20"/>
          <w:spacing w:val="-27"/>
          <w:w w:val="105"/>
        </w:rPr>
        <w:t> </w:t>
      </w:r>
      <w:r>
        <w:rPr>
          <w:color w:val="231F20"/>
          <w:w w:val="105"/>
        </w:rPr>
        <w:t>el</w:t>
      </w:r>
      <w:r>
        <w:rPr>
          <w:color w:val="231F20"/>
          <w:spacing w:val="-27"/>
          <w:w w:val="105"/>
        </w:rPr>
        <w:t> </w:t>
      </w:r>
      <w:r>
        <w:rPr>
          <w:color w:val="231F20"/>
          <w:w w:val="105"/>
        </w:rPr>
        <w:t>1.35%</w:t>
      </w:r>
      <w:r>
        <w:rPr>
          <w:color w:val="231F20"/>
          <w:spacing w:val="-27"/>
          <w:w w:val="105"/>
        </w:rPr>
        <w:t> </w:t>
      </w:r>
      <w:r>
        <w:rPr>
          <w:color w:val="231F20"/>
          <w:w w:val="105"/>
        </w:rPr>
        <w:t>posee</w:t>
      </w:r>
      <w:r>
        <w:rPr>
          <w:color w:val="231F20"/>
          <w:spacing w:val="-27"/>
          <w:w w:val="105"/>
        </w:rPr>
        <w:t> </w:t>
      </w:r>
      <w:r>
        <w:rPr>
          <w:color w:val="231F20"/>
          <w:w w:val="105"/>
        </w:rPr>
        <w:t>estudios</w:t>
      </w:r>
      <w:r>
        <w:rPr>
          <w:color w:val="231F20"/>
          <w:spacing w:val="-27"/>
          <w:w w:val="105"/>
        </w:rPr>
        <w:t> </w:t>
      </w:r>
      <w:r>
        <w:rPr>
          <w:color w:val="231F20"/>
          <w:spacing w:val="-3"/>
          <w:w w:val="105"/>
        </w:rPr>
        <w:t>Técnicos</w:t>
      </w:r>
      <w:r>
        <w:rPr>
          <w:color w:val="231F20"/>
          <w:spacing w:val="-27"/>
          <w:w w:val="105"/>
        </w:rPr>
        <w:t> </w:t>
      </w:r>
      <w:r>
        <w:rPr>
          <w:color w:val="231F20"/>
          <w:w w:val="105"/>
        </w:rPr>
        <w:t>Superiores</w:t>
      </w:r>
      <w:r>
        <w:rPr>
          <w:color w:val="231F20"/>
          <w:spacing w:val="-27"/>
          <w:w w:val="105"/>
        </w:rPr>
        <w:t> </w:t>
      </w:r>
      <w:r>
        <w:rPr>
          <w:color w:val="231F20"/>
          <w:w w:val="105"/>
        </w:rPr>
        <w:t>y</w:t>
      </w:r>
      <w:r>
        <w:rPr>
          <w:color w:val="231F20"/>
          <w:spacing w:val="-27"/>
          <w:w w:val="105"/>
        </w:rPr>
        <w:t> </w:t>
      </w:r>
      <w:r>
        <w:rPr>
          <w:color w:val="231F20"/>
          <w:w w:val="105"/>
        </w:rPr>
        <w:t>el</w:t>
      </w:r>
      <w:r>
        <w:rPr>
          <w:color w:val="231F20"/>
          <w:spacing w:val="-27"/>
          <w:w w:val="105"/>
        </w:rPr>
        <w:t> </w:t>
      </w:r>
      <w:r>
        <w:rPr>
          <w:color w:val="231F20"/>
          <w:spacing w:val="-5"/>
          <w:w w:val="105"/>
        </w:rPr>
        <w:t>10.81% </w:t>
      </w:r>
      <w:r>
        <w:rPr>
          <w:color w:val="231F20"/>
          <w:spacing w:val="-4"/>
          <w:w w:val="105"/>
        </w:rPr>
        <w:t>(8 </w:t>
      </w:r>
      <w:r>
        <w:rPr>
          <w:color w:val="231F20"/>
          <w:w w:val="105"/>
        </w:rPr>
        <w:t>cargos) no cuenta en este </w:t>
      </w:r>
      <w:r>
        <w:rPr>
          <w:color w:val="231F20"/>
          <w:spacing w:val="-3"/>
          <w:w w:val="105"/>
        </w:rPr>
        <w:t>momento </w:t>
      </w:r>
      <w:r>
        <w:rPr>
          <w:color w:val="231F20"/>
          <w:w w:val="105"/>
        </w:rPr>
        <w:t>con un titular. Esta información se aprecia en el cuadro</w:t>
      </w:r>
      <w:r>
        <w:rPr>
          <w:color w:val="231F20"/>
          <w:spacing w:val="-13"/>
          <w:w w:val="105"/>
        </w:rPr>
        <w:t> </w:t>
      </w:r>
      <w:r>
        <w:rPr>
          <w:color w:val="231F20"/>
          <w:w w:val="105"/>
        </w:rPr>
        <w:t>3</w:t>
      </w:r>
      <w:r>
        <w:rPr>
          <w:color w:val="231F20"/>
          <w:spacing w:val="-13"/>
          <w:w w:val="105"/>
        </w:rPr>
        <w:t> </w:t>
      </w:r>
      <w:r>
        <w:rPr>
          <w:color w:val="231F20"/>
          <w:spacing w:val="2"/>
          <w:w w:val="105"/>
        </w:rPr>
        <w:t>al</w:t>
      </w:r>
      <w:r>
        <w:rPr>
          <w:color w:val="231F20"/>
          <w:spacing w:val="-13"/>
          <w:w w:val="105"/>
        </w:rPr>
        <w:t> </w:t>
      </w:r>
      <w:r>
        <w:rPr>
          <w:color w:val="231F20"/>
          <w:w w:val="105"/>
        </w:rPr>
        <w:t>igual</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spacing w:val="-2"/>
          <w:w w:val="105"/>
        </w:rPr>
        <w:t>profesión</w:t>
      </w:r>
      <w:r>
        <w:rPr>
          <w:color w:val="231F20"/>
          <w:spacing w:val="-13"/>
          <w:w w:val="105"/>
        </w:rPr>
        <w:t> </w:t>
      </w:r>
      <w:r>
        <w:rPr>
          <w:color w:val="231F20"/>
          <w:w w:val="105"/>
        </w:rPr>
        <w:t>de</w:t>
      </w:r>
      <w:r>
        <w:rPr>
          <w:color w:val="231F20"/>
          <w:spacing w:val="-13"/>
          <w:w w:val="105"/>
        </w:rPr>
        <w:t> </w:t>
      </w:r>
      <w:r>
        <w:rPr>
          <w:color w:val="231F20"/>
          <w:w w:val="105"/>
        </w:rPr>
        <w:t>cada</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ellos.</w:t>
      </w:r>
    </w:p>
    <w:p>
      <w:pPr>
        <w:spacing w:after="0" w:line="285" w:lineRule="auto"/>
        <w:jc w:val="both"/>
        <w:sectPr>
          <w:pgSz w:w="9640" w:h="12190"/>
          <w:pgMar w:header="0" w:footer="743" w:top="1120" w:bottom="940" w:left="720" w:right="720"/>
        </w:sectPr>
      </w:pPr>
    </w:p>
    <w:p>
      <w:pPr>
        <w:pStyle w:val="BodyText"/>
        <w:spacing w:before="5"/>
        <w:rPr>
          <w:sz w:val="11"/>
        </w:rPr>
      </w:pPr>
    </w:p>
    <w:p>
      <w:pPr>
        <w:pStyle w:val="Heading5"/>
        <w:spacing w:before="34"/>
        <w:ind w:left="902"/>
      </w:pPr>
      <w:r>
        <w:rPr>
          <w:color w:val="231F20"/>
          <w:w w:val="105"/>
        </w:rPr>
        <w:t>Cuadro 3. Nivel de estudios de los miembros de la APM, Tejupilco</w:t>
      </w:r>
    </w:p>
    <w:p>
      <w:pPr>
        <w:pStyle w:val="BodyText"/>
        <w:rPr>
          <w:b/>
          <w:sz w:val="18"/>
        </w:rPr>
      </w:pPr>
    </w:p>
    <w:tbl>
      <w:tblPr>
        <w:tblW w:w="0" w:type="auto"/>
        <w:jc w:val="left"/>
        <w:tblInd w:w="100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74"/>
        <w:gridCol w:w="2274"/>
        <w:gridCol w:w="675"/>
        <w:gridCol w:w="916"/>
      </w:tblGrid>
      <w:tr>
        <w:trPr>
          <w:trHeight w:val="130" w:hRule="exact"/>
        </w:trPr>
        <w:tc>
          <w:tcPr>
            <w:tcW w:w="2274" w:type="dxa"/>
            <w:tcBorders>
              <w:right w:val="nil"/>
            </w:tcBorders>
          </w:tcPr>
          <w:p>
            <w:pPr>
              <w:pStyle w:val="TableParagraph"/>
              <w:spacing w:line="160" w:lineRule="exact"/>
              <w:ind w:left="0" w:right="21"/>
              <w:jc w:val="right"/>
              <w:rPr>
                <w:b/>
                <w:sz w:val="16"/>
              </w:rPr>
            </w:pPr>
            <w:r>
              <w:rPr>
                <w:b/>
                <w:color w:val="231F20"/>
                <w:w w:val="80"/>
                <w:sz w:val="16"/>
              </w:rPr>
              <w:t>Educ</w:t>
            </w:r>
          </w:p>
        </w:tc>
        <w:tc>
          <w:tcPr>
            <w:tcW w:w="2274" w:type="dxa"/>
            <w:tcBorders>
              <w:left w:val="nil"/>
            </w:tcBorders>
          </w:tcPr>
          <w:p>
            <w:pPr>
              <w:pStyle w:val="TableParagraph"/>
              <w:spacing w:line="160" w:lineRule="exact"/>
              <w:ind w:left="-20"/>
              <w:rPr>
                <w:b/>
                <w:sz w:val="16"/>
              </w:rPr>
            </w:pPr>
            <w:r>
              <w:rPr>
                <w:b/>
                <w:color w:val="231F20"/>
                <w:w w:val="95"/>
                <w:sz w:val="16"/>
              </w:rPr>
              <w:t>ación</w:t>
            </w:r>
          </w:p>
        </w:tc>
        <w:tc>
          <w:tcPr>
            <w:tcW w:w="675" w:type="dxa"/>
          </w:tcPr>
          <w:p>
            <w:pPr>
              <w:pStyle w:val="TableParagraph"/>
              <w:spacing w:line="160" w:lineRule="exact"/>
              <w:ind w:left="207" w:right="207"/>
              <w:jc w:val="center"/>
              <w:rPr>
                <w:b/>
                <w:sz w:val="16"/>
              </w:rPr>
            </w:pPr>
            <w:r>
              <w:rPr>
                <w:b/>
                <w:color w:val="231F20"/>
                <w:w w:val="90"/>
                <w:sz w:val="16"/>
              </w:rPr>
              <w:t>No.</w:t>
            </w:r>
          </w:p>
        </w:tc>
        <w:tc>
          <w:tcPr>
            <w:tcW w:w="916" w:type="dxa"/>
          </w:tcPr>
          <w:p>
            <w:pPr>
              <w:pStyle w:val="TableParagraph"/>
              <w:spacing w:line="160" w:lineRule="exact"/>
              <w:ind w:left="0" w:right="398"/>
              <w:jc w:val="right"/>
              <w:rPr>
                <w:b/>
                <w:sz w:val="16"/>
              </w:rPr>
            </w:pPr>
            <w:r>
              <w:rPr>
                <w:b/>
                <w:color w:val="231F20"/>
                <w:w w:val="90"/>
                <w:sz w:val="16"/>
              </w:rPr>
              <w:t>%</w:t>
            </w:r>
          </w:p>
        </w:tc>
      </w:tr>
      <w:tr>
        <w:trPr>
          <w:trHeight w:val="130" w:hRule="exact"/>
        </w:trPr>
        <w:tc>
          <w:tcPr>
            <w:tcW w:w="2274" w:type="dxa"/>
            <w:vMerge w:val="restart"/>
          </w:tcPr>
          <w:p>
            <w:pPr>
              <w:pStyle w:val="TableParagraph"/>
              <w:ind w:left="0"/>
              <w:rPr>
                <w:rFonts w:ascii="Times New Roman"/>
                <w:b/>
                <w:sz w:val="16"/>
              </w:rPr>
            </w:pPr>
          </w:p>
          <w:p>
            <w:pPr>
              <w:pStyle w:val="TableParagraph"/>
              <w:spacing w:before="8"/>
              <w:ind w:left="0"/>
              <w:rPr>
                <w:rFonts w:ascii="Times New Roman"/>
                <w:b/>
                <w:sz w:val="20"/>
              </w:rPr>
            </w:pPr>
          </w:p>
          <w:p>
            <w:pPr>
              <w:pStyle w:val="TableParagraph"/>
              <w:ind w:left="816" w:right="814"/>
              <w:jc w:val="center"/>
              <w:rPr>
                <w:b/>
                <w:sz w:val="16"/>
              </w:rPr>
            </w:pPr>
            <w:r>
              <w:rPr>
                <w:b/>
                <w:color w:val="231F20"/>
                <w:w w:val="95"/>
                <w:sz w:val="16"/>
              </w:rPr>
              <w:t>Superior</w:t>
            </w:r>
          </w:p>
        </w:tc>
        <w:tc>
          <w:tcPr>
            <w:tcW w:w="2274" w:type="dxa"/>
          </w:tcPr>
          <w:p>
            <w:pPr>
              <w:pStyle w:val="TableParagraph"/>
              <w:spacing w:line="160" w:lineRule="exact"/>
              <w:ind w:left="816" w:right="816"/>
              <w:jc w:val="center"/>
              <w:rPr>
                <w:sz w:val="16"/>
              </w:rPr>
            </w:pPr>
            <w:r>
              <w:rPr>
                <w:color w:val="231F20"/>
                <w:w w:val="85"/>
                <w:sz w:val="16"/>
              </w:rPr>
              <w:t>Profesores</w:t>
            </w:r>
          </w:p>
        </w:tc>
        <w:tc>
          <w:tcPr>
            <w:tcW w:w="675" w:type="dxa"/>
          </w:tcPr>
          <w:p>
            <w:pPr>
              <w:pStyle w:val="TableParagraph"/>
              <w:spacing w:line="160" w:lineRule="exact"/>
              <w:ind w:left="205" w:right="207"/>
              <w:jc w:val="center"/>
              <w:rPr>
                <w:sz w:val="16"/>
              </w:rPr>
            </w:pPr>
            <w:r>
              <w:rPr>
                <w:color w:val="231F20"/>
                <w:w w:val="85"/>
                <w:sz w:val="16"/>
              </w:rPr>
              <w:t>16</w:t>
            </w:r>
          </w:p>
        </w:tc>
        <w:tc>
          <w:tcPr>
            <w:tcW w:w="916" w:type="dxa"/>
          </w:tcPr>
          <w:p>
            <w:pPr>
              <w:pStyle w:val="TableParagraph"/>
              <w:spacing w:line="160" w:lineRule="exact"/>
              <w:ind w:left="0" w:right="314"/>
              <w:jc w:val="right"/>
              <w:rPr>
                <w:sz w:val="16"/>
              </w:rPr>
            </w:pPr>
            <w:r>
              <w:rPr>
                <w:color w:val="231F20"/>
                <w:w w:val="75"/>
                <w:sz w:val="16"/>
              </w:rPr>
              <w:t>21.62</w:t>
            </w:r>
          </w:p>
        </w:tc>
      </w:tr>
      <w:tr>
        <w:trPr>
          <w:trHeight w:val="130" w:hRule="exact"/>
        </w:trPr>
        <w:tc>
          <w:tcPr>
            <w:tcW w:w="2274" w:type="dxa"/>
            <w:vMerge/>
          </w:tcPr>
          <w:p>
            <w:pPr/>
          </w:p>
        </w:tc>
        <w:tc>
          <w:tcPr>
            <w:tcW w:w="2274" w:type="dxa"/>
          </w:tcPr>
          <w:p>
            <w:pPr>
              <w:pStyle w:val="TableParagraph"/>
              <w:spacing w:line="160" w:lineRule="exact"/>
              <w:ind w:left="816" w:right="816"/>
              <w:jc w:val="center"/>
              <w:rPr>
                <w:sz w:val="16"/>
              </w:rPr>
            </w:pPr>
            <w:r>
              <w:rPr>
                <w:color w:val="231F20"/>
                <w:w w:val="85"/>
                <w:sz w:val="16"/>
              </w:rPr>
              <w:t>Ingenieros</w:t>
            </w:r>
          </w:p>
        </w:tc>
        <w:tc>
          <w:tcPr>
            <w:tcW w:w="675" w:type="dxa"/>
          </w:tcPr>
          <w:p>
            <w:pPr>
              <w:pStyle w:val="TableParagraph"/>
              <w:spacing w:line="160" w:lineRule="exact"/>
              <w:ind w:left="0"/>
              <w:jc w:val="center"/>
              <w:rPr>
                <w:sz w:val="16"/>
              </w:rPr>
            </w:pPr>
            <w:r>
              <w:rPr>
                <w:color w:val="231F20"/>
                <w:w w:val="75"/>
                <w:sz w:val="16"/>
              </w:rPr>
              <w:t>7</w:t>
            </w:r>
          </w:p>
        </w:tc>
        <w:tc>
          <w:tcPr>
            <w:tcW w:w="916" w:type="dxa"/>
          </w:tcPr>
          <w:p>
            <w:pPr>
              <w:pStyle w:val="TableParagraph"/>
              <w:spacing w:line="160" w:lineRule="exact"/>
              <w:ind w:left="0" w:right="344"/>
              <w:jc w:val="right"/>
              <w:rPr>
                <w:sz w:val="16"/>
              </w:rPr>
            </w:pPr>
            <w:r>
              <w:rPr>
                <w:color w:val="231F20"/>
                <w:w w:val="75"/>
                <w:sz w:val="16"/>
              </w:rPr>
              <w:t>9.46</w:t>
            </w:r>
          </w:p>
        </w:tc>
      </w:tr>
      <w:tr>
        <w:trPr>
          <w:trHeight w:val="130" w:hRule="exact"/>
        </w:trPr>
        <w:tc>
          <w:tcPr>
            <w:tcW w:w="2274" w:type="dxa"/>
            <w:vMerge/>
          </w:tcPr>
          <w:p>
            <w:pPr/>
          </w:p>
        </w:tc>
        <w:tc>
          <w:tcPr>
            <w:tcW w:w="2274" w:type="dxa"/>
          </w:tcPr>
          <w:p>
            <w:pPr>
              <w:pStyle w:val="TableParagraph"/>
              <w:spacing w:line="160" w:lineRule="exact"/>
              <w:ind w:left="816" w:right="816"/>
              <w:jc w:val="center"/>
              <w:rPr>
                <w:sz w:val="16"/>
              </w:rPr>
            </w:pPr>
            <w:r>
              <w:rPr>
                <w:color w:val="231F20"/>
                <w:w w:val="85"/>
                <w:sz w:val="16"/>
              </w:rPr>
              <w:t>Abogados</w:t>
            </w:r>
          </w:p>
        </w:tc>
        <w:tc>
          <w:tcPr>
            <w:tcW w:w="675" w:type="dxa"/>
          </w:tcPr>
          <w:p>
            <w:pPr>
              <w:pStyle w:val="TableParagraph"/>
              <w:spacing w:line="160" w:lineRule="exact"/>
              <w:ind w:left="0"/>
              <w:jc w:val="center"/>
              <w:rPr>
                <w:sz w:val="16"/>
              </w:rPr>
            </w:pPr>
            <w:r>
              <w:rPr>
                <w:color w:val="231F20"/>
                <w:w w:val="75"/>
                <w:sz w:val="16"/>
              </w:rPr>
              <w:t>5</w:t>
            </w:r>
          </w:p>
        </w:tc>
        <w:tc>
          <w:tcPr>
            <w:tcW w:w="916" w:type="dxa"/>
          </w:tcPr>
          <w:p>
            <w:pPr>
              <w:pStyle w:val="TableParagraph"/>
              <w:spacing w:line="160" w:lineRule="exact"/>
              <w:ind w:left="0" w:right="348"/>
              <w:jc w:val="right"/>
              <w:rPr>
                <w:sz w:val="16"/>
              </w:rPr>
            </w:pPr>
            <w:r>
              <w:rPr>
                <w:color w:val="231F20"/>
                <w:w w:val="75"/>
                <w:sz w:val="16"/>
              </w:rPr>
              <w:t>6.76</w:t>
            </w:r>
          </w:p>
        </w:tc>
      </w:tr>
      <w:tr>
        <w:trPr>
          <w:trHeight w:val="130" w:hRule="exact"/>
        </w:trPr>
        <w:tc>
          <w:tcPr>
            <w:tcW w:w="2274" w:type="dxa"/>
            <w:vMerge/>
          </w:tcPr>
          <w:p>
            <w:pPr/>
          </w:p>
        </w:tc>
        <w:tc>
          <w:tcPr>
            <w:tcW w:w="2274" w:type="dxa"/>
          </w:tcPr>
          <w:p>
            <w:pPr>
              <w:pStyle w:val="TableParagraph"/>
              <w:spacing w:line="160" w:lineRule="exact"/>
              <w:ind w:left="702"/>
              <w:rPr>
                <w:sz w:val="16"/>
              </w:rPr>
            </w:pPr>
            <w:r>
              <w:rPr>
                <w:color w:val="231F20"/>
                <w:w w:val="75"/>
                <w:sz w:val="16"/>
              </w:rPr>
              <w:t>Contador público</w:t>
            </w:r>
          </w:p>
        </w:tc>
        <w:tc>
          <w:tcPr>
            <w:tcW w:w="675" w:type="dxa"/>
          </w:tcPr>
          <w:p>
            <w:pPr>
              <w:pStyle w:val="TableParagraph"/>
              <w:spacing w:line="160" w:lineRule="exact"/>
              <w:ind w:left="0"/>
              <w:jc w:val="center"/>
              <w:rPr>
                <w:sz w:val="16"/>
              </w:rPr>
            </w:pPr>
            <w:r>
              <w:rPr>
                <w:color w:val="231F20"/>
                <w:w w:val="75"/>
                <w:sz w:val="16"/>
              </w:rPr>
              <w:t>2</w:t>
            </w:r>
          </w:p>
        </w:tc>
        <w:tc>
          <w:tcPr>
            <w:tcW w:w="916" w:type="dxa"/>
          </w:tcPr>
          <w:p>
            <w:pPr>
              <w:pStyle w:val="TableParagraph"/>
              <w:spacing w:line="160" w:lineRule="exact"/>
              <w:ind w:left="0" w:right="344"/>
              <w:jc w:val="right"/>
              <w:rPr>
                <w:sz w:val="16"/>
              </w:rPr>
            </w:pPr>
            <w:r>
              <w:rPr>
                <w:color w:val="231F20"/>
                <w:w w:val="75"/>
                <w:sz w:val="16"/>
              </w:rPr>
              <w:t>2.70</w:t>
            </w:r>
          </w:p>
        </w:tc>
      </w:tr>
      <w:tr>
        <w:trPr>
          <w:trHeight w:val="130" w:hRule="exact"/>
        </w:trPr>
        <w:tc>
          <w:tcPr>
            <w:tcW w:w="2274" w:type="dxa"/>
            <w:vMerge/>
          </w:tcPr>
          <w:p>
            <w:pPr/>
          </w:p>
        </w:tc>
        <w:tc>
          <w:tcPr>
            <w:tcW w:w="2274" w:type="dxa"/>
          </w:tcPr>
          <w:p>
            <w:pPr>
              <w:pStyle w:val="TableParagraph"/>
              <w:spacing w:line="160" w:lineRule="exact"/>
              <w:ind w:left="816" w:right="816"/>
              <w:jc w:val="center"/>
              <w:rPr>
                <w:sz w:val="16"/>
              </w:rPr>
            </w:pPr>
            <w:r>
              <w:rPr>
                <w:color w:val="231F20"/>
                <w:w w:val="85"/>
                <w:sz w:val="16"/>
              </w:rPr>
              <w:t>Doctor</w:t>
            </w:r>
          </w:p>
        </w:tc>
        <w:tc>
          <w:tcPr>
            <w:tcW w:w="675" w:type="dxa"/>
          </w:tcPr>
          <w:p>
            <w:pPr>
              <w:pStyle w:val="TableParagraph"/>
              <w:spacing w:line="160" w:lineRule="exact"/>
              <w:ind w:left="0"/>
              <w:jc w:val="center"/>
              <w:rPr>
                <w:sz w:val="16"/>
              </w:rPr>
            </w:pPr>
            <w:r>
              <w:rPr>
                <w:color w:val="231F20"/>
                <w:w w:val="75"/>
                <w:sz w:val="16"/>
              </w:rPr>
              <w:t>1</w:t>
            </w:r>
          </w:p>
        </w:tc>
        <w:tc>
          <w:tcPr>
            <w:tcW w:w="916" w:type="dxa"/>
          </w:tcPr>
          <w:p>
            <w:pPr>
              <w:pStyle w:val="TableParagraph"/>
              <w:spacing w:line="160" w:lineRule="exact"/>
              <w:ind w:left="0" w:right="344"/>
              <w:jc w:val="right"/>
              <w:rPr>
                <w:sz w:val="16"/>
              </w:rPr>
            </w:pPr>
            <w:r>
              <w:rPr>
                <w:color w:val="231F20"/>
                <w:w w:val="75"/>
                <w:sz w:val="16"/>
              </w:rPr>
              <w:t>1.35</w:t>
            </w:r>
          </w:p>
        </w:tc>
      </w:tr>
      <w:tr>
        <w:trPr>
          <w:trHeight w:val="130" w:hRule="exact"/>
        </w:trPr>
        <w:tc>
          <w:tcPr>
            <w:tcW w:w="2274" w:type="dxa"/>
            <w:vMerge/>
          </w:tcPr>
          <w:p>
            <w:pPr/>
          </w:p>
        </w:tc>
        <w:tc>
          <w:tcPr>
            <w:tcW w:w="2274" w:type="dxa"/>
          </w:tcPr>
          <w:p>
            <w:pPr>
              <w:pStyle w:val="TableParagraph"/>
              <w:spacing w:line="160" w:lineRule="exact"/>
              <w:ind w:left="816" w:right="816"/>
              <w:jc w:val="center"/>
              <w:rPr>
                <w:sz w:val="16"/>
              </w:rPr>
            </w:pPr>
            <w:r>
              <w:rPr>
                <w:color w:val="231F20"/>
                <w:w w:val="85"/>
                <w:sz w:val="16"/>
              </w:rPr>
              <w:t>QFB</w:t>
            </w:r>
          </w:p>
        </w:tc>
        <w:tc>
          <w:tcPr>
            <w:tcW w:w="675" w:type="dxa"/>
          </w:tcPr>
          <w:p>
            <w:pPr>
              <w:pStyle w:val="TableParagraph"/>
              <w:spacing w:line="160" w:lineRule="exact"/>
              <w:ind w:left="0"/>
              <w:jc w:val="center"/>
              <w:rPr>
                <w:sz w:val="16"/>
              </w:rPr>
            </w:pPr>
            <w:r>
              <w:rPr>
                <w:color w:val="231F20"/>
                <w:w w:val="75"/>
                <w:sz w:val="16"/>
              </w:rPr>
              <w:t>1</w:t>
            </w:r>
          </w:p>
        </w:tc>
        <w:tc>
          <w:tcPr>
            <w:tcW w:w="916" w:type="dxa"/>
          </w:tcPr>
          <w:p>
            <w:pPr>
              <w:pStyle w:val="TableParagraph"/>
              <w:spacing w:line="160" w:lineRule="exact"/>
              <w:ind w:left="0" w:right="344"/>
              <w:jc w:val="right"/>
              <w:rPr>
                <w:sz w:val="16"/>
              </w:rPr>
            </w:pPr>
            <w:r>
              <w:rPr>
                <w:color w:val="231F20"/>
                <w:w w:val="75"/>
                <w:sz w:val="16"/>
              </w:rPr>
              <w:t>1.35</w:t>
            </w:r>
          </w:p>
        </w:tc>
      </w:tr>
      <w:tr>
        <w:trPr>
          <w:trHeight w:val="130" w:hRule="exact"/>
        </w:trPr>
        <w:tc>
          <w:tcPr>
            <w:tcW w:w="2274" w:type="dxa"/>
            <w:vMerge/>
          </w:tcPr>
          <w:p>
            <w:pPr/>
          </w:p>
        </w:tc>
        <w:tc>
          <w:tcPr>
            <w:tcW w:w="2274" w:type="dxa"/>
          </w:tcPr>
          <w:p>
            <w:pPr>
              <w:pStyle w:val="TableParagraph"/>
              <w:spacing w:line="160" w:lineRule="exact"/>
              <w:ind w:left="816" w:right="816"/>
              <w:jc w:val="center"/>
              <w:rPr>
                <w:sz w:val="16"/>
              </w:rPr>
            </w:pPr>
            <w:r>
              <w:rPr>
                <w:color w:val="231F20"/>
                <w:w w:val="85"/>
                <w:sz w:val="16"/>
              </w:rPr>
              <w:t>LAE</w:t>
            </w:r>
          </w:p>
        </w:tc>
        <w:tc>
          <w:tcPr>
            <w:tcW w:w="675" w:type="dxa"/>
          </w:tcPr>
          <w:p>
            <w:pPr>
              <w:pStyle w:val="TableParagraph"/>
              <w:spacing w:line="160" w:lineRule="exact"/>
              <w:ind w:left="0"/>
              <w:jc w:val="center"/>
              <w:rPr>
                <w:sz w:val="16"/>
              </w:rPr>
            </w:pPr>
            <w:r>
              <w:rPr>
                <w:color w:val="231F20"/>
                <w:w w:val="75"/>
                <w:sz w:val="16"/>
              </w:rPr>
              <w:t>1</w:t>
            </w:r>
          </w:p>
        </w:tc>
        <w:tc>
          <w:tcPr>
            <w:tcW w:w="916" w:type="dxa"/>
          </w:tcPr>
          <w:p>
            <w:pPr>
              <w:pStyle w:val="TableParagraph"/>
              <w:spacing w:line="160" w:lineRule="exact"/>
              <w:ind w:left="0" w:right="344"/>
              <w:jc w:val="right"/>
              <w:rPr>
                <w:sz w:val="16"/>
              </w:rPr>
            </w:pPr>
            <w:r>
              <w:rPr>
                <w:color w:val="231F20"/>
                <w:w w:val="75"/>
                <w:sz w:val="16"/>
              </w:rPr>
              <w:t>1.35</w:t>
            </w:r>
          </w:p>
        </w:tc>
      </w:tr>
      <w:tr>
        <w:trPr>
          <w:trHeight w:val="130" w:hRule="exact"/>
        </w:trPr>
        <w:tc>
          <w:tcPr>
            <w:tcW w:w="2274" w:type="dxa"/>
            <w:vMerge/>
          </w:tcPr>
          <w:p>
            <w:pPr/>
          </w:p>
        </w:tc>
        <w:tc>
          <w:tcPr>
            <w:tcW w:w="2274" w:type="dxa"/>
          </w:tcPr>
          <w:p>
            <w:pPr>
              <w:pStyle w:val="TableParagraph"/>
              <w:spacing w:line="160" w:lineRule="exact"/>
              <w:ind w:left="816" w:right="816"/>
              <w:jc w:val="center"/>
              <w:rPr>
                <w:sz w:val="16"/>
              </w:rPr>
            </w:pPr>
            <w:r>
              <w:rPr>
                <w:color w:val="231F20"/>
                <w:w w:val="85"/>
                <w:sz w:val="16"/>
              </w:rPr>
              <w:t>Arquitecto</w:t>
            </w:r>
          </w:p>
        </w:tc>
        <w:tc>
          <w:tcPr>
            <w:tcW w:w="675" w:type="dxa"/>
          </w:tcPr>
          <w:p>
            <w:pPr>
              <w:pStyle w:val="TableParagraph"/>
              <w:spacing w:line="160" w:lineRule="exact"/>
              <w:ind w:left="0"/>
              <w:jc w:val="center"/>
              <w:rPr>
                <w:sz w:val="16"/>
              </w:rPr>
            </w:pPr>
            <w:r>
              <w:rPr>
                <w:color w:val="231F20"/>
                <w:w w:val="75"/>
                <w:sz w:val="16"/>
              </w:rPr>
              <w:t>1</w:t>
            </w:r>
          </w:p>
        </w:tc>
        <w:tc>
          <w:tcPr>
            <w:tcW w:w="916" w:type="dxa"/>
          </w:tcPr>
          <w:p>
            <w:pPr>
              <w:pStyle w:val="TableParagraph"/>
              <w:spacing w:line="160" w:lineRule="exact"/>
              <w:ind w:left="0" w:right="344"/>
              <w:jc w:val="right"/>
              <w:rPr>
                <w:sz w:val="16"/>
              </w:rPr>
            </w:pPr>
            <w:r>
              <w:rPr>
                <w:color w:val="231F20"/>
                <w:w w:val="75"/>
                <w:sz w:val="16"/>
              </w:rPr>
              <w:t>1.35</w:t>
            </w:r>
          </w:p>
        </w:tc>
      </w:tr>
      <w:tr>
        <w:trPr>
          <w:trHeight w:val="130" w:hRule="exact"/>
        </w:trPr>
        <w:tc>
          <w:tcPr>
            <w:tcW w:w="2274" w:type="dxa"/>
          </w:tcPr>
          <w:p>
            <w:pPr>
              <w:pStyle w:val="TableParagraph"/>
              <w:spacing w:line="160" w:lineRule="exact"/>
              <w:ind w:left="664"/>
              <w:rPr>
                <w:b/>
                <w:sz w:val="16"/>
              </w:rPr>
            </w:pPr>
            <w:r>
              <w:rPr>
                <w:b/>
                <w:color w:val="231F20"/>
                <w:w w:val="85"/>
                <w:sz w:val="16"/>
              </w:rPr>
              <w:t>Técnica Superior</w:t>
            </w:r>
          </w:p>
        </w:tc>
        <w:tc>
          <w:tcPr>
            <w:tcW w:w="2274" w:type="dxa"/>
          </w:tcPr>
          <w:p>
            <w:pPr/>
          </w:p>
        </w:tc>
        <w:tc>
          <w:tcPr>
            <w:tcW w:w="675" w:type="dxa"/>
          </w:tcPr>
          <w:p>
            <w:pPr>
              <w:pStyle w:val="TableParagraph"/>
              <w:spacing w:line="160" w:lineRule="exact"/>
              <w:ind w:left="0"/>
              <w:jc w:val="center"/>
              <w:rPr>
                <w:sz w:val="16"/>
              </w:rPr>
            </w:pPr>
            <w:r>
              <w:rPr>
                <w:color w:val="231F20"/>
                <w:w w:val="75"/>
                <w:sz w:val="16"/>
              </w:rPr>
              <w:t>1</w:t>
            </w:r>
          </w:p>
        </w:tc>
        <w:tc>
          <w:tcPr>
            <w:tcW w:w="916" w:type="dxa"/>
          </w:tcPr>
          <w:p>
            <w:pPr>
              <w:pStyle w:val="TableParagraph"/>
              <w:spacing w:line="160" w:lineRule="exact"/>
              <w:ind w:left="0" w:right="344"/>
              <w:jc w:val="right"/>
              <w:rPr>
                <w:sz w:val="16"/>
              </w:rPr>
            </w:pPr>
            <w:r>
              <w:rPr>
                <w:color w:val="231F20"/>
                <w:w w:val="75"/>
                <w:sz w:val="16"/>
              </w:rPr>
              <w:t>1.35</w:t>
            </w:r>
          </w:p>
        </w:tc>
      </w:tr>
      <w:tr>
        <w:trPr>
          <w:trHeight w:val="130" w:hRule="exact"/>
        </w:trPr>
        <w:tc>
          <w:tcPr>
            <w:tcW w:w="2274" w:type="dxa"/>
          </w:tcPr>
          <w:p>
            <w:pPr>
              <w:pStyle w:val="TableParagraph"/>
              <w:spacing w:line="160" w:lineRule="exact"/>
              <w:ind w:left="816" w:right="816"/>
              <w:jc w:val="center"/>
              <w:rPr>
                <w:b/>
                <w:sz w:val="16"/>
              </w:rPr>
            </w:pPr>
            <w:r>
              <w:rPr>
                <w:b/>
                <w:color w:val="231F20"/>
                <w:w w:val="95"/>
                <w:sz w:val="16"/>
              </w:rPr>
              <w:t>Básica</w:t>
            </w:r>
          </w:p>
        </w:tc>
        <w:tc>
          <w:tcPr>
            <w:tcW w:w="2274" w:type="dxa"/>
          </w:tcPr>
          <w:p>
            <w:pPr/>
          </w:p>
        </w:tc>
        <w:tc>
          <w:tcPr>
            <w:tcW w:w="675" w:type="dxa"/>
          </w:tcPr>
          <w:p>
            <w:pPr>
              <w:pStyle w:val="TableParagraph"/>
              <w:spacing w:line="160" w:lineRule="exact"/>
              <w:ind w:left="206" w:right="207"/>
              <w:jc w:val="center"/>
              <w:rPr>
                <w:sz w:val="16"/>
              </w:rPr>
            </w:pPr>
            <w:r>
              <w:rPr>
                <w:color w:val="231F20"/>
                <w:w w:val="85"/>
                <w:sz w:val="16"/>
              </w:rPr>
              <w:t>31</w:t>
            </w:r>
          </w:p>
        </w:tc>
        <w:tc>
          <w:tcPr>
            <w:tcW w:w="916" w:type="dxa"/>
          </w:tcPr>
          <w:p>
            <w:pPr>
              <w:pStyle w:val="TableParagraph"/>
              <w:spacing w:line="160" w:lineRule="exact"/>
              <w:ind w:left="0" w:right="313"/>
              <w:jc w:val="right"/>
              <w:rPr>
                <w:sz w:val="16"/>
              </w:rPr>
            </w:pPr>
            <w:r>
              <w:rPr>
                <w:color w:val="231F20"/>
                <w:w w:val="75"/>
                <w:sz w:val="16"/>
              </w:rPr>
              <w:t>41.89</w:t>
            </w:r>
          </w:p>
        </w:tc>
      </w:tr>
    </w:tbl>
    <w:p>
      <w:pPr>
        <w:pStyle w:val="BodyText"/>
        <w:spacing w:before="5"/>
        <w:rPr>
          <w:b/>
          <w:sz w:val="15"/>
        </w:rPr>
      </w:pPr>
    </w:p>
    <w:p>
      <w:pPr>
        <w:spacing w:before="74"/>
        <w:ind w:left="4027" w:right="-2" w:firstLine="0"/>
        <w:jc w:val="left"/>
        <w:rPr>
          <w:rFonts w:ascii="Calibri" w:hAnsi="Calibri"/>
          <w:sz w:val="16"/>
        </w:rPr>
      </w:pPr>
      <w:r>
        <w:rPr>
          <w:rFonts w:ascii="Calibri" w:hAnsi="Calibri"/>
          <w:color w:val="231F20"/>
          <w:sz w:val="16"/>
        </w:rPr>
        <w:t>FUENTE: Elaboración propia con información de Manual (2007)</w:t>
      </w:r>
    </w:p>
    <w:p>
      <w:pPr>
        <w:pStyle w:val="BodyText"/>
        <w:rPr>
          <w:rFonts w:ascii="Calibri"/>
          <w:sz w:val="16"/>
        </w:rPr>
      </w:pPr>
    </w:p>
    <w:p>
      <w:pPr>
        <w:pStyle w:val="BodyText"/>
        <w:spacing w:before="10"/>
        <w:rPr>
          <w:rFonts w:ascii="Calibri"/>
          <w:sz w:val="12"/>
        </w:rPr>
      </w:pPr>
    </w:p>
    <w:p>
      <w:pPr>
        <w:pStyle w:val="BodyText"/>
        <w:spacing w:line="285" w:lineRule="auto"/>
        <w:ind w:left="110" w:right="108"/>
        <w:jc w:val="both"/>
      </w:pP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12</w:t>
      </w:r>
      <w:r>
        <w:rPr>
          <w:color w:val="231F20"/>
          <w:spacing w:val="-11"/>
          <w:w w:val="105"/>
        </w:rPr>
        <w:t> </w:t>
      </w:r>
      <w:r>
        <w:rPr>
          <w:color w:val="231F20"/>
          <w:w w:val="105"/>
        </w:rPr>
        <w:t>miembros</w:t>
      </w:r>
      <w:r>
        <w:rPr>
          <w:color w:val="231F20"/>
          <w:spacing w:val="-11"/>
          <w:w w:val="105"/>
        </w:rPr>
        <w:t> </w:t>
      </w:r>
      <w:r>
        <w:rPr>
          <w:color w:val="231F20"/>
          <w:w w:val="105"/>
        </w:rPr>
        <w:t>del</w:t>
      </w:r>
      <w:r>
        <w:rPr>
          <w:color w:val="231F20"/>
          <w:spacing w:val="-11"/>
          <w:w w:val="105"/>
        </w:rPr>
        <w:t> </w:t>
      </w:r>
      <w:r>
        <w:rPr>
          <w:color w:val="231F20"/>
          <w:w w:val="105"/>
        </w:rPr>
        <w:t>Ayuntamiento,</w:t>
      </w:r>
      <w:r>
        <w:rPr>
          <w:color w:val="231F20"/>
          <w:spacing w:val="-11"/>
          <w:w w:val="105"/>
        </w:rPr>
        <w:t> </w:t>
      </w:r>
      <w:r>
        <w:rPr>
          <w:color w:val="231F20"/>
          <w:w w:val="105"/>
        </w:rPr>
        <w:t>la</w:t>
      </w:r>
      <w:r>
        <w:rPr>
          <w:color w:val="231F20"/>
          <w:spacing w:val="-11"/>
          <w:w w:val="105"/>
        </w:rPr>
        <w:t> </w:t>
      </w:r>
      <w:r>
        <w:rPr>
          <w:color w:val="231F20"/>
          <w:spacing w:val="-2"/>
          <w:w w:val="105"/>
        </w:rPr>
        <w:t>profesión</w:t>
      </w:r>
      <w:r>
        <w:rPr>
          <w:color w:val="231F20"/>
          <w:spacing w:val="-11"/>
          <w:w w:val="105"/>
        </w:rPr>
        <w:t> </w:t>
      </w:r>
      <w:r>
        <w:rPr>
          <w:color w:val="231F20"/>
          <w:w w:val="105"/>
        </w:rPr>
        <w:t>con</w:t>
      </w:r>
      <w:r>
        <w:rPr>
          <w:color w:val="231F20"/>
          <w:spacing w:val="-11"/>
          <w:w w:val="105"/>
        </w:rPr>
        <w:t> </w:t>
      </w:r>
      <w:r>
        <w:rPr>
          <w:color w:val="231F20"/>
          <w:w w:val="105"/>
        </w:rPr>
        <w:t>mayor</w:t>
      </w:r>
      <w:r>
        <w:rPr>
          <w:color w:val="231F20"/>
          <w:spacing w:val="-11"/>
          <w:w w:val="105"/>
        </w:rPr>
        <w:t> </w:t>
      </w:r>
      <w:r>
        <w:rPr>
          <w:color w:val="231F20"/>
          <w:w w:val="105"/>
        </w:rPr>
        <w:t>porcentaje</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de</w:t>
      </w:r>
      <w:r>
        <w:rPr>
          <w:color w:val="231F20"/>
          <w:spacing w:val="-11"/>
          <w:w w:val="105"/>
        </w:rPr>
        <w:t> </w:t>
      </w:r>
      <w:r>
        <w:rPr>
          <w:color w:val="231F20"/>
          <w:w w:val="105"/>
        </w:rPr>
        <w:t>Pro- </w:t>
      </w:r>
      <w:r>
        <w:rPr>
          <w:color w:val="231F20"/>
          <w:spacing w:val="-4"/>
          <w:w w:val="105"/>
        </w:rPr>
        <w:t>fesor, </w:t>
      </w:r>
      <w:r>
        <w:rPr>
          <w:color w:val="231F20"/>
          <w:w w:val="105"/>
        </w:rPr>
        <w:t>puesto que suman ocho, 6 son regidores y el Presidente municipal, los otros 4 regidores</w:t>
      </w:r>
      <w:r>
        <w:rPr>
          <w:color w:val="231F20"/>
          <w:spacing w:val="-20"/>
          <w:w w:val="105"/>
        </w:rPr>
        <w:t> </w:t>
      </w:r>
      <w:r>
        <w:rPr>
          <w:color w:val="231F20"/>
          <w:w w:val="105"/>
        </w:rPr>
        <w:t>tienen</w:t>
      </w:r>
      <w:r>
        <w:rPr>
          <w:color w:val="231F20"/>
          <w:spacing w:val="-20"/>
          <w:w w:val="105"/>
        </w:rPr>
        <w:t> </w:t>
      </w:r>
      <w:r>
        <w:rPr>
          <w:color w:val="231F20"/>
          <w:w w:val="105"/>
        </w:rPr>
        <w:t>la</w:t>
      </w:r>
      <w:r>
        <w:rPr>
          <w:color w:val="231F20"/>
          <w:spacing w:val="-20"/>
          <w:w w:val="105"/>
        </w:rPr>
        <w:t> </w:t>
      </w:r>
      <w:r>
        <w:rPr>
          <w:color w:val="231F20"/>
          <w:w w:val="105"/>
        </w:rPr>
        <w:t>básica</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síndico</w:t>
      </w:r>
      <w:r>
        <w:rPr>
          <w:color w:val="231F20"/>
          <w:spacing w:val="-20"/>
          <w:w w:val="105"/>
        </w:rPr>
        <w:t> </w:t>
      </w:r>
      <w:r>
        <w:rPr>
          <w:color w:val="231F20"/>
          <w:w w:val="105"/>
        </w:rPr>
        <w:t>es</w:t>
      </w:r>
      <w:r>
        <w:rPr>
          <w:color w:val="231F20"/>
          <w:spacing w:val="-20"/>
          <w:w w:val="105"/>
        </w:rPr>
        <w:t> </w:t>
      </w:r>
      <w:r>
        <w:rPr>
          <w:color w:val="231F20"/>
          <w:w w:val="105"/>
        </w:rPr>
        <w:t>ingeniero.</w:t>
      </w:r>
    </w:p>
    <w:p>
      <w:pPr>
        <w:pStyle w:val="BodyText"/>
        <w:spacing w:before="1"/>
        <w:rPr>
          <w:sz w:val="26"/>
        </w:rPr>
      </w:pPr>
    </w:p>
    <w:p>
      <w:pPr>
        <w:pStyle w:val="BodyText"/>
        <w:spacing w:line="285" w:lineRule="auto"/>
        <w:ind w:left="110" w:right="107"/>
        <w:jc w:val="both"/>
      </w:pPr>
      <w:r>
        <w:rPr>
          <w:color w:val="231F20"/>
          <w:w w:val="105"/>
        </w:rPr>
        <w:t>Los profesores también ocupan los cargos de secretario del Ayuntamiento, tesorero municipal, la presidenta del </w:t>
      </w:r>
      <w:r>
        <w:rPr>
          <w:color w:val="231F20"/>
          <w:spacing w:val="-6"/>
          <w:w w:val="105"/>
        </w:rPr>
        <w:t>DIF, </w:t>
      </w:r>
      <w:r>
        <w:rPr>
          <w:color w:val="231F20"/>
          <w:w w:val="105"/>
        </w:rPr>
        <w:t>la secretaría particular, los Departamentos de Agua Potable y el de Parque Vehicular, las Direcciones de Administración y de Educación además</w:t>
      </w:r>
      <w:r>
        <w:rPr>
          <w:color w:val="231F20"/>
          <w:spacing w:val="-4"/>
          <w:w w:val="105"/>
        </w:rPr>
        <w:t> </w:t>
      </w:r>
      <w:r>
        <w:rPr>
          <w:color w:val="231F20"/>
          <w:w w:val="105"/>
        </w:rPr>
        <w:t>del</w:t>
      </w:r>
      <w:r>
        <w:rPr>
          <w:color w:val="231F20"/>
          <w:spacing w:val="-4"/>
          <w:w w:val="105"/>
        </w:rPr>
        <w:t> </w:t>
      </w:r>
      <w:r>
        <w:rPr>
          <w:color w:val="231F20"/>
          <w:w w:val="105"/>
        </w:rPr>
        <w:t>Apoyo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Vivienda.</w:t>
      </w:r>
      <w:r>
        <w:rPr>
          <w:color w:val="231F20"/>
          <w:spacing w:val="-4"/>
          <w:w w:val="105"/>
        </w:rPr>
        <w:t> </w:t>
      </w:r>
      <w:r>
        <w:rPr>
          <w:color w:val="231F20"/>
          <w:w w:val="105"/>
        </w:rPr>
        <w:t>Los</w:t>
      </w:r>
      <w:r>
        <w:rPr>
          <w:color w:val="231F20"/>
          <w:spacing w:val="-4"/>
          <w:w w:val="105"/>
        </w:rPr>
        <w:t> </w:t>
      </w:r>
      <w:r>
        <w:rPr>
          <w:color w:val="231F20"/>
          <w:w w:val="105"/>
        </w:rPr>
        <w:t>ingenieros</w:t>
      </w:r>
      <w:r>
        <w:rPr>
          <w:color w:val="231F20"/>
          <w:spacing w:val="-4"/>
          <w:w w:val="105"/>
        </w:rPr>
        <w:t> </w:t>
      </w:r>
      <w:r>
        <w:rPr>
          <w:color w:val="231F20"/>
          <w:w w:val="105"/>
        </w:rPr>
        <w:t>están</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Unidad</w:t>
      </w:r>
      <w:r>
        <w:rPr>
          <w:color w:val="231F20"/>
          <w:spacing w:val="-4"/>
          <w:w w:val="105"/>
        </w:rPr>
        <w:t> </w:t>
      </w:r>
      <w:r>
        <w:rPr>
          <w:color w:val="231F20"/>
          <w:w w:val="105"/>
        </w:rPr>
        <w:t>de</w:t>
      </w:r>
      <w:r>
        <w:rPr>
          <w:color w:val="231F20"/>
          <w:spacing w:val="-4"/>
          <w:w w:val="105"/>
        </w:rPr>
        <w:t> </w:t>
      </w:r>
      <w:r>
        <w:rPr>
          <w:color w:val="231F20"/>
          <w:w w:val="105"/>
        </w:rPr>
        <w:t>Transparencia, en</w:t>
      </w:r>
      <w:r>
        <w:rPr>
          <w:color w:val="231F20"/>
          <w:spacing w:val="-17"/>
          <w:w w:val="105"/>
        </w:rPr>
        <w:t> </w:t>
      </w:r>
      <w:r>
        <w:rPr>
          <w:color w:val="231F20"/>
          <w:w w:val="105"/>
        </w:rPr>
        <w:t>la</w:t>
      </w:r>
      <w:r>
        <w:rPr>
          <w:color w:val="231F20"/>
          <w:spacing w:val="-17"/>
          <w:w w:val="105"/>
        </w:rPr>
        <w:t> </w:t>
      </w:r>
      <w:r>
        <w:rPr>
          <w:color w:val="231F20"/>
          <w:w w:val="105"/>
        </w:rPr>
        <w:t>Dirección</w:t>
      </w:r>
      <w:r>
        <w:rPr>
          <w:color w:val="231F20"/>
          <w:spacing w:val="-17"/>
          <w:w w:val="105"/>
        </w:rPr>
        <w:t> </w:t>
      </w:r>
      <w:r>
        <w:rPr>
          <w:color w:val="231F20"/>
          <w:w w:val="105"/>
        </w:rPr>
        <w:t>de</w:t>
      </w:r>
      <w:r>
        <w:rPr>
          <w:color w:val="231F20"/>
          <w:spacing w:val="-17"/>
          <w:w w:val="105"/>
        </w:rPr>
        <w:t> </w:t>
      </w:r>
      <w:r>
        <w:rPr>
          <w:color w:val="231F20"/>
          <w:w w:val="105"/>
        </w:rPr>
        <w:t>Obras</w:t>
      </w:r>
      <w:r>
        <w:rPr>
          <w:color w:val="231F20"/>
          <w:spacing w:val="-17"/>
          <w:w w:val="105"/>
        </w:rPr>
        <w:t> </w:t>
      </w:r>
      <w:r>
        <w:rPr>
          <w:color w:val="231F20"/>
          <w:w w:val="105"/>
        </w:rPr>
        <w:t>Públicas,</w:t>
      </w:r>
      <w:r>
        <w:rPr>
          <w:color w:val="231F20"/>
          <w:spacing w:val="-17"/>
          <w:w w:val="105"/>
        </w:rPr>
        <w:t> </w:t>
      </w:r>
      <w:r>
        <w:rPr>
          <w:color w:val="231F20"/>
          <w:w w:val="105"/>
        </w:rPr>
        <w:t>en</w:t>
      </w:r>
      <w:r>
        <w:rPr>
          <w:color w:val="231F20"/>
          <w:spacing w:val="-17"/>
          <w:w w:val="105"/>
        </w:rPr>
        <w:t> </w:t>
      </w:r>
      <w:r>
        <w:rPr>
          <w:color w:val="231F20"/>
          <w:w w:val="105"/>
        </w:rPr>
        <w:t>estudios</w:t>
      </w:r>
      <w:r>
        <w:rPr>
          <w:color w:val="231F20"/>
          <w:spacing w:val="-17"/>
          <w:w w:val="105"/>
        </w:rPr>
        <w:t> </w:t>
      </w:r>
      <w:r>
        <w:rPr>
          <w:color w:val="231F20"/>
          <w:w w:val="105"/>
        </w:rPr>
        <w:t>y</w:t>
      </w:r>
      <w:r>
        <w:rPr>
          <w:color w:val="231F20"/>
          <w:spacing w:val="-17"/>
          <w:w w:val="105"/>
        </w:rPr>
        <w:t> </w:t>
      </w:r>
      <w:r>
        <w:rPr>
          <w:color w:val="231F20"/>
          <w:w w:val="105"/>
        </w:rPr>
        <w:t>proyectos</w:t>
      </w:r>
      <w:r>
        <w:rPr>
          <w:color w:val="231F20"/>
          <w:spacing w:val="-17"/>
          <w:w w:val="105"/>
        </w:rPr>
        <w:t> </w:t>
      </w:r>
      <w:r>
        <w:rPr>
          <w:color w:val="231F20"/>
          <w:w w:val="105"/>
        </w:rPr>
        <w:t>y</w:t>
      </w:r>
      <w:r>
        <w:rPr>
          <w:color w:val="231F20"/>
          <w:spacing w:val="-17"/>
          <w:w w:val="105"/>
        </w:rPr>
        <w:t> </w:t>
      </w:r>
      <w:r>
        <w:rPr>
          <w:color w:val="231F20"/>
          <w:w w:val="105"/>
        </w:rPr>
        <w:t>como</w:t>
      </w:r>
      <w:r>
        <w:rPr>
          <w:color w:val="231F20"/>
          <w:spacing w:val="-17"/>
          <w:w w:val="105"/>
        </w:rPr>
        <w:t> </w:t>
      </w:r>
      <w:r>
        <w:rPr>
          <w:color w:val="231F20"/>
          <w:spacing w:val="2"/>
          <w:w w:val="105"/>
        </w:rPr>
        <w:t>auxiliar</w:t>
      </w:r>
      <w:r>
        <w:rPr>
          <w:color w:val="231F20"/>
          <w:spacing w:val="-17"/>
          <w:w w:val="105"/>
        </w:rPr>
        <w:t> </w:t>
      </w:r>
      <w:r>
        <w:rPr>
          <w:color w:val="231F20"/>
          <w:w w:val="105"/>
        </w:rPr>
        <w:t>técnico</w:t>
      </w:r>
      <w:r>
        <w:rPr>
          <w:color w:val="231F20"/>
          <w:spacing w:val="-17"/>
          <w:w w:val="105"/>
        </w:rPr>
        <w:t> </w:t>
      </w:r>
      <w:r>
        <w:rPr>
          <w:color w:val="231F20"/>
          <w:w w:val="105"/>
        </w:rPr>
        <w:t>de</w:t>
      </w:r>
      <w:r>
        <w:rPr>
          <w:color w:val="231F20"/>
          <w:spacing w:val="-17"/>
          <w:w w:val="105"/>
        </w:rPr>
        <w:t> </w:t>
      </w:r>
      <w:r>
        <w:rPr>
          <w:color w:val="231F20"/>
          <w:w w:val="105"/>
        </w:rPr>
        <w:t>la página </w:t>
      </w:r>
      <w:r>
        <w:rPr>
          <w:color w:val="231F20"/>
          <w:spacing w:val="-3"/>
          <w:w w:val="105"/>
        </w:rPr>
        <w:t>web. </w:t>
      </w:r>
      <w:r>
        <w:rPr>
          <w:color w:val="231F20"/>
          <w:w w:val="105"/>
        </w:rPr>
        <w:t>Los cargos restantes están en manos de quienes no cuenta con educación </w:t>
      </w:r>
      <w:r>
        <w:rPr>
          <w:color w:val="231F20"/>
          <w:spacing w:val="-3"/>
          <w:w w:val="105"/>
        </w:rPr>
        <w:t>superior,</w:t>
      </w:r>
      <w:r>
        <w:rPr>
          <w:color w:val="231F20"/>
          <w:spacing w:val="-12"/>
          <w:w w:val="105"/>
        </w:rPr>
        <w:t> </w:t>
      </w:r>
      <w:r>
        <w:rPr>
          <w:color w:val="231F20"/>
          <w:w w:val="105"/>
        </w:rPr>
        <w:t>entre</w:t>
      </w:r>
      <w:r>
        <w:rPr>
          <w:color w:val="231F20"/>
          <w:spacing w:val="-12"/>
          <w:w w:val="105"/>
        </w:rPr>
        <w:t> </w:t>
      </w:r>
      <w:r>
        <w:rPr>
          <w:color w:val="231F20"/>
          <w:w w:val="105"/>
        </w:rPr>
        <w:t>estos</w:t>
      </w:r>
      <w:r>
        <w:rPr>
          <w:color w:val="231F20"/>
          <w:spacing w:val="-12"/>
          <w:w w:val="105"/>
        </w:rPr>
        <w:t> </w:t>
      </w:r>
      <w:r>
        <w:rPr>
          <w:color w:val="231F20"/>
          <w:w w:val="105"/>
        </w:rPr>
        <w:t>destacan</w:t>
      </w:r>
      <w:r>
        <w:rPr>
          <w:color w:val="231F20"/>
          <w:spacing w:val="-12"/>
          <w:w w:val="105"/>
        </w:rPr>
        <w:t> </w:t>
      </w:r>
      <w:r>
        <w:rPr>
          <w:color w:val="231F20"/>
          <w:w w:val="105"/>
        </w:rPr>
        <w:t>algunas</w:t>
      </w:r>
      <w:r>
        <w:rPr>
          <w:color w:val="231F20"/>
          <w:spacing w:val="-12"/>
          <w:w w:val="105"/>
        </w:rPr>
        <w:t> </w:t>
      </w:r>
      <w:r>
        <w:rPr>
          <w:color w:val="231F20"/>
          <w:w w:val="105"/>
        </w:rPr>
        <w:t>Direcciones</w:t>
      </w:r>
      <w:r>
        <w:rPr>
          <w:color w:val="231F20"/>
          <w:spacing w:val="-12"/>
          <w:w w:val="105"/>
        </w:rPr>
        <w:t> </w:t>
      </w:r>
      <w:r>
        <w:rPr>
          <w:color w:val="231F20"/>
          <w:w w:val="105"/>
        </w:rPr>
        <w:t>como</w:t>
      </w:r>
      <w:r>
        <w:rPr>
          <w:color w:val="231F20"/>
          <w:spacing w:val="-12"/>
          <w:w w:val="105"/>
        </w:rPr>
        <w:t> </w:t>
      </w:r>
      <w:r>
        <w:rPr>
          <w:color w:val="231F20"/>
          <w:w w:val="105"/>
        </w:rPr>
        <w:t>la</w:t>
      </w:r>
      <w:r>
        <w:rPr>
          <w:color w:val="231F20"/>
          <w:spacing w:val="-12"/>
          <w:w w:val="105"/>
        </w:rPr>
        <w:t> </w:t>
      </w:r>
      <w:r>
        <w:rPr>
          <w:color w:val="231F20"/>
          <w:w w:val="105"/>
        </w:rPr>
        <w:t>de</w:t>
      </w:r>
      <w:r>
        <w:rPr>
          <w:color w:val="231F20"/>
          <w:spacing w:val="-12"/>
          <w:w w:val="105"/>
        </w:rPr>
        <w:t> </w:t>
      </w:r>
      <w:r>
        <w:rPr>
          <w:color w:val="231F20"/>
          <w:w w:val="105"/>
        </w:rPr>
        <w:t>Gobernación,</w:t>
      </w:r>
      <w:r>
        <w:rPr>
          <w:color w:val="231F20"/>
          <w:spacing w:val="-12"/>
          <w:w w:val="105"/>
        </w:rPr>
        <w:t> </w:t>
      </w:r>
      <w:r>
        <w:rPr>
          <w:color w:val="231F20"/>
          <w:w w:val="105"/>
        </w:rPr>
        <w:t>Desarrollo Social,</w:t>
      </w:r>
      <w:r>
        <w:rPr>
          <w:color w:val="231F20"/>
          <w:spacing w:val="-24"/>
          <w:w w:val="105"/>
        </w:rPr>
        <w:t> </w:t>
      </w:r>
      <w:r>
        <w:rPr>
          <w:color w:val="231F20"/>
          <w:w w:val="105"/>
        </w:rPr>
        <w:t>Desarrollo</w:t>
      </w:r>
      <w:r>
        <w:rPr>
          <w:color w:val="231F20"/>
          <w:spacing w:val="-24"/>
          <w:w w:val="105"/>
        </w:rPr>
        <w:t> </w:t>
      </w:r>
      <w:r>
        <w:rPr>
          <w:color w:val="231F20"/>
          <w:w w:val="105"/>
        </w:rPr>
        <w:t>Agropecuario,</w:t>
      </w:r>
      <w:r>
        <w:rPr>
          <w:color w:val="231F20"/>
          <w:spacing w:val="-24"/>
          <w:w w:val="105"/>
        </w:rPr>
        <w:t> </w:t>
      </w:r>
      <w:r>
        <w:rPr>
          <w:color w:val="231F20"/>
          <w:w w:val="105"/>
        </w:rPr>
        <w:t>Seguridad</w:t>
      </w:r>
      <w:r>
        <w:rPr>
          <w:color w:val="231F20"/>
          <w:spacing w:val="-24"/>
          <w:w w:val="105"/>
        </w:rPr>
        <w:t> </w:t>
      </w:r>
      <w:r>
        <w:rPr>
          <w:color w:val="231F20"/>
          <w:w w:val="105"/>
        </w:rPr>
        <w:t>pública</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spacing w:val="-3"/>
          <w:w w:val="105"/>
        </w:rPr>
        <w:t>Tesorería</w:t>
      </w:r>
      <w:r>
        <w:rPr>
          <w:color w:val="231F20"/>
          <w:spacing w:val="-24"/>
          <w:w w:val="105"/>
        </w:rPr>
        <w:t> </w:t>
      </w:r>
      <w:r>
        <w:rPr>
          <w:color w:val="231F20"/>
          <w:w w:val="105"/>
        </w:rPr>
        <w:t>del</w:t>
      </w:r>
      <w:r>
        <w:rPr>
          <w:color w:val="231F20"/>
          <w:spacing w:val="-24"/>
          <w:w w:val="105"/>
        </w:rPr>
        <w:t> </w:t>
      </w:r>
      <w:r>
        <w:rPr>
          <w:color w:val="231F20"/>
          <w:spacing w:val="-5"/>
          <w:w w:val="105"/>
        </w:rPr>
        <w:t>DIF.</w:t>
      </w:r>
    </w:p>
    <w:p>
      <w:pPr>
        <w:pStyle w:val="BodyText"/>
        <w:spacing w:before="1"/>
        <w:rPr>
          <w:sz w:val="26"/>
        </w:rPr>
      </w:pPr>
    </w:p>
    <w:p>
      <w:pPr>
        <w:pStyle w:val="BodyText"/>
        <w:spacing w:line="285" w:lineRule="auto"/>
        <w:ind w:left="110" w:right="108"/>
        <w:jc w:val="both"/>
      </w:pPr>
      <w:r>
        <w:rPr>
          <w:color w:val="231F20"/>
          <w:w w:val="105"/>
        </w:rPr>
        <w:t>Los puestos en </w:t>
      </w:r>
      <w:r>
        <w:rPr>
          <w:color w:val="231F20"/>
          <w:spacing w:val="-3"/>
          <w:w w:val="105"/>
        </w:rPr>
        <w:t>donde </w:t>
      </w:r>
      <w:r>
        <w:rPr>
          <w:color w:val="231F20"/>
          <w:w w:val="105"/>
        </w:rPr>
        <w:t>no existe un encargado designado son la Consejería Jurídica, el Departamento </w:t>
      </w:r>
      <w:r>
        <w:rPr>
          <w:color w:val="231F20"/>
          <w:spacing w:val="-3"/>
          <w:w w:val="105"/>
        </w:rPr>
        <w:t>Técnico </w:t>
      </w:r>
      <w:r>
        <w:rPr>
          <w:color w:val="231F20"/>
          <w:w w:val="105"/>
        </w:rPr>
        <w:t>de Desarrollo Urbano, el Servicio Municipal de Panteones, las Oficinas de licencias y de control, estas dos últimas dependencias de la Dirección de Gobernación</w:t>
      </w:r>
      <w:r>
        <w:rPr>
          <w:color w:val="231F20"/>
          <w:spacing w:val="-16"/>
          <w:w w:val="105"/>
        </w:rPr>
        <w:t> </w:t>
      </w:r>
      <w:r>
        <w:rPr>
          <w:color w:val="231F20"/>
          <w:spacing w:val="-4"/>
          <w:w w:val="105"/>
        </w:rPr>
        <w:t>(ver</w:t>
      </w:r>
      <w:r>
        <w:rPr>
          <w:color w:val="231F20"/>
          <w:spacing w:val="-16"/>
          <w:w w:val="105"/>
        </w:rPr>
        <w:t> </w:t>
      </w:r>
      <w:r>
        <w:rPr>
          <w:color w:val="231F20"/>
          <w:w w:val="105"/>
        </w:rPr>
        <w:t>anexo</w:t>
      </w:r>
      <w:r>
        <w:rPr>
          <w:color w:val="231F20"/>
          <w:spacing w:val="-16"/>
          <w:w w:val="105"/>
        </w:rPr>
        <w:t> </w:t>
      </w:r>
      <w:r>
        <w:rPr>
          <w:color w:val="231F20"/>
          <w:spacing w:val="-6"/>
          <w:w w:val="105"/>
        </w:rPr>
        <w:t>1);</w:t>
      </w:r>
      <w:r>
        <w:rPr>
          <w:color w:val="231F20"/>
          <w:spacing w:val="-16"/>
          <w:w w:val="105"/>
        </w:rPr>
        <w:t> </w:t>
      </w:r>
      <w:r>
        <w:rPr>
          <w:color w:val="231F20"/>
          <w:w w:val="105"/>
        </w:rPr>
        <w:t>la</w:t>
      </w:r>
      <w:r>
        <w:rPr>
          <w:color w:val="231F20"/>
          <w:spacing w:val="-16"/>
          <w:w w:val="105"/>
        </w:rPr>
        <w:t> </w:t>
      </w:r>
      <w:r>
        <w:rPr>
          <w:color w:val="231F20"/>
          <w:w w:val="105"/>
        </w:rPr>
        <w:t>Coordinación</w:t>
      </w:r>
      <w:r>
        <w:rPr>
          <w:color w:val="231F20"/>
          <w:spacing w:val="-16"/>
          <w:w w:val="105"/>
        </w:rPr>
        <w:t> </w:t>
      </w:r>
      <w:r>
        <w:rPr>
          <w:color w:val="231F20"/>
          <w:w w:val="105"/>
        </w:rPr>
        <w:t>de</w:t>
      </w:r>
      <w:r>
        <w:rPr>
          <w:color w:val="231F20"/>
          <w:spacing w:val="-16"/>
          <w:w w:val="105"/>
        </w:rPr>
        <w:t> </w:t>
      </w:r>
      <w:r>
        <w:rPr>
          <w:color w:val="231F20"/>
          <w:w w:val="105"/>
        </w:rPr>
        <w:t>micro</w:t>
      </w:r>
      <w:r>
        <w:rPr>
          <w:color w:val="231F20"/>
          <w:spacing w:val="-16"/>
          <w:w w:val="105"/>
        </w:rPr>
        <w:t> </w:t>
      </w:r>
      <w:r>
        <w:rPr>
          <w:color w:val="231F20"/>
          <w:w w:val="105"/>
        </w:rPr>
        <w:t>regiones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Dirección</w:t>
      </w:r>
      <w:r>
        <w:rPr>
          <w:color w:val="231F20"/>
          <w:spacing w:val="-16"/>
          <w:w w:val="105"/>
        </w:rPr>
        <w:t> </w:t>
      </w:r>
      <w:r>
        <w:rPr>
          <w:color w:val="231F20"/>
          <w:w w:val="105"/>
        </w:rPr>
        <w:t>de</w:t>
      </w:r>
      <w:r>
        <w:rPr>
          <w:color w:val="231F20"/>
          <w:spacing w:val="-16"/>
          <w:w w:val="105"/>
        </w:rPr>
        <w:t> </w:t>
      </w:r>
      <w:r>
        <w:rPr>
          <w:color w:val="231F20"/>
          <w:w w:val="105"/>
        </w:rPr>
        <w:t>Desa- rrollo</w:t>
      </w:r>
      <w:r>
        <w:rPr>
          <w:color w:val="231F20"/>
          <w:spacing w:val="-9"/>
          <w:w w:val="105"/>
        </w:rPr>
        <w:t> </w:t>
      </w:r>
      <w:r>
        <w:rPr>
          <w:color w:val="231F20"/>
          <w:w w:val="105"/>
        </w:rPr>
        <w:t>Social</w:t>
      </w:r>
      <w:r>
        <w:rPr>
          <w:color w:val="231F20"/>
          <w:spacing w:val="-9"/>
          <w:w w:val="105"/>
        </w:rPr>
        <w:t> </w:t>
      </w:r>
      <w:r>
        <w:rPr>
          <w:color w:val="231F20"/>
          <w:w w:val="105"/>
        </w:rPr>
        <w:t>y</w:t>
      </w:r>
      <w:r>
        <w:rPr>
          <w:color w:val="231F20"/>
          <w:spacing w:val="-9"/>
          <w:w w:val="105"/>
        </w:rPr>
        <w:t> </w:t>
      </w:r>
      <w:r>
        <w:rPr>
          <w:color w:val="231F20"/>
          <w:w w:val="105"/>
        </w:rPr>
        <w:t>finalmente</w:t>
      </w:r>
      <w:r>
        <w:rPr>
          <w:color w:val="231F20"/>
          <w:spacing w:val="-9"/>
          <w:w w:val="105"/>
        </w:rPr>
        <w:t> </w:t>
      </w:r>
      <w:r>
        <w:rPr>
          <w:color w:val="231F20"/>
          <w:w w:val="105"/>
        </w:rPr>
        <w:t>tenemos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Dirección</w:t>
      </w:r>
      <w:r>
        <w:rPr>
          <w:color w:val="231F20"/>
          <w:spacing w:val="-9"/>
          <w:w w:val="105"/>
        </w:rPr>
        <w:t> </w:t>
      </w:r>
      <w:r>
        <w:rPr>
          <w:color w:val="231F20"/>
          <w:w w:val="105"/>
        </w:rPr>
        <w:t>de</w:t>
      </w:r>
      <w:r>
        <w:rPr>
          <w:color w:val="231F20"/>
          <w:spacing w:val="-9"/>
          <w:w w:val="105"/>
        </w:rPr>
        <w:t> </w:t>
      </w:r>
      <w:r>
        <w:rPr>
          <w:color w:val="231F20"/>
          <w:w w:val="105"/>
        </w:rPr>
        <w:t>Desarrollo</w:t>
      </w:r>
      <w:r>
        <w:rPr>
          <w:color w:val="231F20"/>
          <w:spacing w:val="-9"/>
          <w:w w:val="105"/>
        </w:rPr>
        <w:t> </w:t>
      </w:r>
      <w:r>
        <w:rPr>
          <w:color w:val="231F20"/>
          <w:w w:val="105"/>
        </w:rPr>
        <w:t>Turístico,</w:t>
      </w:r>
      <w:r>
        <w:rPr>
          <w:color w:val="231F20"/>
          <w:spacing w:val="-9"/>
          <w:w w:val="105"/>
        </w:rPr>
        <w:t> </w:t>
      </w:r>
      <w:r>
        <w:rPr>
          <w:color w:val="231F20"/>
          <w:w w:val="105"/>
        </w:rPr>
        <w:t>el</w:t>
      </w:r>
      <w:r>
        <w:rPr>
          <w:color w:val="231F20"/>
          <w:spacing w:val="-9"/>
          <w:w w:val="105"/>
        </w:rPr>
        <w:t> </w:t>
      </w:r>
      <w:r>
        <w:rPr>
          <w:color w:val="231F20"/>
          <w:w w:val="105"/>
        </w:rPr>
        <w:t>Departa- mento</w:t>
      </w:r>
      <w:r>
        <w:rPr>
          <w:color w:val="231F20"/>
          <w:spacing w:val="-12"/>
          <w:w w:val="105"/>
        </w:rPr>
        <w:t> </w:t>
      </w:r>
      <w:r>
        <w:rPr>
          <w:color w:val="231F20"/>
          <w:w w:val="105"/>
        </w:rPr>
        <w:t>de</w:t>
      </w:r>
      <w:r>
        <w:rPr>
          <w:color w:val="231F20"/>
          <w:spacing w:val="-12"/>
          <w:w w:val="105"/>
        </w:rPr>
        <w:t> </w:t>
      </w:r>
      <w:r>
        <w:rPr>
          <w:color w:val="231F20"/>
          <w:spacing w:val="-3"/>
          <w:w w:val="105"/>
        </w:rPr>
        <w:t>Fomento</w:t>
      </w:r>
      <w:r>
        <w:rPr>
          <w:color w:val="231F20"/>
          <w:spacing w:val="-12"/>
          <w:w w:val="105"/>
        </w:rPr>
        <w:t> </w:t>
      </w:r>
      <w:r>
        <w:rPr>
          <w:color w:val="231F20"/>
          <w:w w:val="105"/>
        </w:rPr>
        <w:t>Turístico</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Oficina</w:t>
      </w:r>
      <w:r>
        <w:rPr>
          <w:color w:val="231F20"/>
          <w:spacing w:val="-12"/>
          <w:w w:val="105"/>
        </w:rPr>
        <w:t> </w:t>
      </w:r>
      <w:r>
        <w:rPr>
          <w:color w:val="231F20"/>
          <w:w w:val="105"/>
        </w:rPr>
        <w:t>de</w:t>
      </w:r>
      <w:r>
        <w:rPr>
          <w:color w:val="231F20"/>
          <w:spacing w:val="-12"/>
          <w:w w:val="105"/>
        </w:rPr>
        <w:t> </w:t>
      </w:r>
      <w:r>
        <w:rPr>
          <w:color w:val="231F20"/>
          <w:w w:val="105"/>
        </w:rPr>
        <w:t>Rastro</w:t>
      </w:r>
      <w:r>
        <w:rPr>
          <w:color w:val="231F20"/>
          <w:spacing w:val="-12"/>
          <w:w w:val="105"/>
        </w:rPr>
        <w:t> </w:t>
      </w:r>
      <w:r>
        <w:rPr>
          <w:color w:val="231F20"/>
          <w:w w:val="105"/>
        </w:rPr>
        <w:t>Municipal</w:t>
      </w:r>
      <w:r>
        <w:rPr>
          <w:color w:val="231F20"/>
          <w:w w:val="105"/>
          <w:position w:val="7"/>
          <w:sz w:val="13"/>
        </w:rPr>
        <w:t>1</w:t>
      </w:r>
      <w:r>
        <w:rPr>
          <w:color w:val="231F20"/>
          <w:w w:val="105"/>
        </w:rPr>
        <w:t>.</w:t>
      </w:r>
    </w:p>
    <w:p>
      <w:pPr>
        <w:pStyle w:val="BodyText"/>
        <w:rPr>
          <w:sz w:val="20"/>
        </w:rPr>
      </w:pPr>
    </w:p>
    <w:p>
      <w:pPr>
        <w:pStyle w:val="BodyText"/>
        <w:spacing w:before="4"/>
        <w:rPr>
          <w:sz w:val="28"/>
        </w:rPr>
      </w:pPr>
      <w:r>
        <w:rPr/>
        <w:pict>
          <v:line style="position:absolute;mso-position-horizontal-relative:page;mso-position-vertical-relative:paragraph;z-index:8104;mso-wrap-distance-left:0;mso-wrap-distance-right:0" from="42.519699pt,18.756777pt" to="114.519699pt,18.756777pt" stroked="true" strokeweight="1pt" strokecolor="#231f20">
            <w10:wrap type="topAndBottom"/>
          </v:line>
        </w:pict>
      </w:r>
    </w:p>
    <w:p>
      <w:pPr>
        <w:pStyle w:val="ListParagraph"/>
        <w:numPr>
          <w:ilvl w:val="0"/>
          <w:numId w:val="9"/>
        </w:numPr>
        <w:tabs>
          <w:tab w:pos="224" w:val="left" w:leader="none"/>
        </w:tabs>
        <w:spacing w:line="240" w:lineRule="auto" w:before="8" w:after="0"/>
        <w:ind w:left="110" w:right="0" w:firstLine="0"/>
        <w:jc w:val="left"/>
        <w:rPr>
          <w:sz w:val="16"/>
        </w:rPr>
      </w:pPr>
      <w:r>
        <w:rPr>
          <w:color w:val="231F20"/>
          <w:sz w:val="16"/>
        </w:rPr>
        <w:t>Hasta octubre de</w:t>
      </w:r>
      <w:r>
        <w:rPr>
          <w:color w:val="231F20"/>
          <w:spacing w:val="-22"/>
          <w:sz w:val="16"/>
        </w:rPr>
        <w:t> </w:t>
      </w:r>
      <w:r>
        <w:rPr>
          <w:color w:val="231F20"/>
          <w:sz w:val="16"/>
        </w:rPr>
        <w:t>2008</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Una</w:t>
      </w:r>
      <w:r>
        <w:rPr>
          <w:color w:val="231F20"/>
          <w:spacing w:val="-4"/>
          <w:w w:val="105"/>
        </w:rPr>
        <w:t> </w:t>
      </w:r>
      <w:r>
        <w:rPr>
          <w:color w:val="231F20"/>
          <w:w w:val="105"/>
        </w:rPr>
        <w:t>movilidad</w:t>
      </w:r>
      <w:r>
        <w:rPr>
          <w:color w:val="231F20"/>
          <w:spacing w:val="-4"/>
          <w:w w:val="105"/>
        </w:rPr>
        <w:t> </w:t>
      </w:r>
      <w:r>
        <w:rPr>
          <w:color w:val="231F20"/>
          <w:w w:val="105"/>
        </w:rPr>
        <w:t>continua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miembros</w:t>
      </w:r>
      <w:r>
        <w:rPr>
          <w:color w:val="231F20"/>
          <w:spacing w:val="-4"/>
          <w:w w:val="105"/>
        </w:rPr>
        <w:t> </w:t>
      </w:r>
      <w:r>
        <w:rPr>
          <w:color w:val="231F20"/>
          <w:w w:val="105"/>
        </w:rPr>
        <w:t>indica</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carece</w:t>
      </w:r>
      <w:r>
        <w:rPr>
          <w:color w:val="231F20"/>
          <w:spacing w:val="-4"/>
          <w:w w:val="105"/>
        </w:rPr>
        <w:t> </w:t>
      </w:r>
      <w:r>
        <w:rPr>
          <w:color w:val="231F20"/>
          <w:w w:val="105"/>
        </w:rPr>
        <w:t>de</w:t>
      </w:r>
      <w:r>
        <w:rPr>
          <w:color w:val="231F20"/>
          <w:spacing w:val="-4"/>
          <w:w w:val="105"/>
        </w:rPr>
        <w:t> </w:t>
      </w:r>
      <w:r>
        <w:rPr>
          <w:color w:val="231F20"/>
          <w:w w:val="105"/>
        </w:rPr>
        <w:t>una</w:t>
      </w:r>
      <w:r>
        <w:rPr>
          <w:color w:val="231F20"/>
          <w:spacing w:val="-4"/>
          <w:w w:val="105"/>
        </w:rPr>
        <w:t> </w:t>
      </w:r>
      <w:r>
        <w:rPr>
          <w:color w:val="231F20"/>
          <w:w w:val="105"/>
        </w:rPr>
        <w:t>estabilidad</w:t>
      </w:r>
      <w:r>
        <w:rPr>
          <w:color w:val="231F20"/>
          <w:spacing w:val="-4"/>
          <w:w w:val="105"/>
        </w:rPr>
        <w:t> </w:t>
      </w:r>
      <w:r>
        <w:rPr>
          <w:color w:val="231F20"/>
          <w:w w:val="105"/>
        </w:rPr>
        <w:t>en</w:t>
      </w:r>
      <w:r>
        <w:rPr>
          <w:color w:val="231F20"/>
          <w:spacing w:val="-4"/>
          <w:w w:val="105"/>
        </w:rPr>
        <w:t> </w:t>
      </w:r>
      <w:r>
        <w:rPr>
          <w:color w:val="231F20"/>
          <w:w w:val="105"/>
        </w:rPr>
        <w:t>la estructura administrativa debido a la necesidad de cambio de las personas encargadas de algún puesto dentro de la administración, en el caso de </w:t>
      </w:r>
      <w:r>
        <w:rPr>
          <w:color w:val="231F20"/>
          <w:spacing w:val="-4"/>
          <w:w w:val="105"/>
        </w:rPr>
        <w:t>Tejupilco </w:t>
      </w:r>
      <w:r>
        <w:rPr>
          <w:color w:val="231F20"/>
          <w:w w:val="105"/>
        </w:rPr>
        <w:t>se han dado cam- bios</w:t>
      </w:r>
      <w:r>
        <w:rPr>
          <w:color w:val="231F20"/>
          <w:spacing w:val="-10"/>
          <w:w w:val="105"/>
        </w:rPr>
        <w:t> </w:t>
      </w:r>
      <w:r>
        <w:rPr>
          <w:color w:val="231F20"/>
          <w:w w:val="105"/>
        </w:rPr>
        <w:t>entre</w:t>
      </w:r>
      <w:r>
        <w:rPr>
          <w:color w:val="231F20"/>
          <w:spacing w:val="-10"/>
          <w:w w:val="105"/>
        </w:rPr>
        <w:t> </w:t>
      </w:r>
      <w:r>
        <w:rPr>
          <w:color w:val="231F20"/>
          <w:w w:val="105"/>
        </w:rPr>
        <w:t>los</w:t>
      </w:r>
      <w:r>
        <w:rPr>
          <w:color w:val="231F20"/>
          <w:spacing w:val="-10"/>
          <w:w w:val="105"/>
        </w:rPr>
        <w:t> </w:t>
      </w:r>
      <w:r>
        <w:rPr>
          <w:color w:val="231F20"/>
          <w:w w:val="105"/>
        </w:rPr>
        <w:t>cargos</w:t>
      </w:r>
      <w:r>
        <w:rPr>
          <w:color w:val="231F20"/>
          <w:spacing w:val="-10"/>
          <w:w w:val="105"/>
        </w:rPr>
        <w:t> </w:t>
      </w:r>
      <w:r>
        <w:rPr>
          <w:color w:val="231F20"/>
          <w:w w:val="105"/>
        </w:rPr>
        <w:t>del</w:t>
      </w:r>
      <w:r>
        <w:rPr>
          <w:color w:val="231F20"/>
          <w:spacing w:val="-10"/>
          <w:w w:val="105"/>
        </w:rPr>
        <w:t> </w:t>
      </w:r>
      <w:r>
        <w:rPr>
          <w:color w:val="231F20"/>
          <w:w w:val="105"/>
        </w:rPr>
        <w:t>personal</w:t>
      </w:r>
      <w:r>
        <w:rPr>
          <w:color w:val="231F20"/>
          <w:spacing w:val="-10"/>
          <w:w w:val="105"/>
        </w:rPr>
        <w:t> </w:t>
      </w:r>
      <w:r>
        <w:rPr>
          <w:color w:val="231F20"/>
          <w:w w:val="105"/>
        </w:rPr>
        <w:t>administrativo</w:t>
      </w:r>
      <w:r>
        <w:rPr>
          <w:color w:val="231F20"/>
          <w:spacing w:val="-10"/>
          <w:w w:val="105"/>
        </w:rPr>
        <w:t> </w:t>
      </w:r>
      <w:r>
        <w:rPr>
          <w:color w:val="231F20"/>
          <w:w w:val="105"/>
        </w:rPr>
        <w:t>en</w:t>
      </w:r>
      <w:r>
        <w:rPr>
          <w:color w:val="231F20"/>
          <w:spacing w:val="-10"/>
          <w:w w:val="105"/>
        </w:rPr>
        <w:t> </w:t>
      </w:r>
      <w:r>
        <w:rPr>
          <w:color w:val="231F20"/>
          <w:w w:val="105"/>
        </w:rPr>
        <w:t>áreas</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Secretaría</w:t>
      </w:r>
      <w:r>
        <w:rPr>
          <w:color w:val="231F20"/>
          <w:spacing w:val="-10"/>
          <w:w w:val="105"/>
        </w:rPr>
        <w:t> </w:t>
      </w:r>
      <w:r>
        <w:rPr>
          <w:color w:val="231F20"/>
          <w:w w:val="105"/>
        </w:rPr>
        <w:t>del</w:t>
      </w:r>
      <w:r>
        <w:rPr>
          <w:color w:val="231F20"/>
          <w:spacing w:val="-10"/>
          <w:w w:val="105"/>
        </w:rPr>
        <w:t> </w:t>
      </w:r>
      <w:r>
        <w:rPr>
          <w:color w:val="231F20"/>
          <w:w w:val="105"/>
        </w:rPr>
        <w:t>Ayun- tamiento,</w:t>
      </w:r>
      <w:r>
        <w:rPr>
          <w:color w:val="231F20"/>
          <w:spacing w:val="-10"/>
          <w:w w:val="105"/>
        </w:rPr>
        <w:t> </w:t>
      </w:r>
      <w:r>
        <w:rPr>
          <w:color w:val="231F20"/>
          <w:w w:val="105"/>
        </w:rPr>
        <w:t>la</w:t>
      </w:r>
      <w:r>
        <w:rPr>
          <w:color w:val="231F20"/>
          <w:spacing w:val="-10"/>
          <w:w w:val="105"/>
        </w:rPr>
        <w:t> </w:t>
      </w:r>
      <w:r>
        <w:rPr>
          <w:color w:val="231F20"/>
          <w:w w:val="105"/>
        </w:rPr>
        <w:t>Secretaría</w:t>
      </w:r>
      <w:r>
        <w:rPr>
          <w:color w:val="231F20"/>
          <w:spacing w:val="-10"/>
          <w:w w:val="105"/>
        </w:rPr>
        <w:t> </w:t>
      </w:r>
      <w:r>
        <w:rPr>
          <w:color w:val="231F20"/>
          <w:w w:val="105"/>
        </w:rPr>
        <w:t>Particular,</w:t>
      </w:r>
      <w:r>
        <w:rPr>
          <w:color w:val="231F20"/>
          <w:spacing w:val="-10"/>
          <w:w w:val="105"/>
        </w:rPr>
        <w:t> </w:t>
      </w:r>
      <w:r>
        <w:rPr>
          <w:color w:val="231F20"/>
          <w:w w:val="105"/>
        </w:rPr>
        <w:t>Unidad</w:t>
      </w:r>
      <w:r>
        <w:rPr>
          <w:color w:val="231F20"/>
          <w:spacing w:val="-10"/>
          <w:w w:val="105"/>
        </w:rPr>
        <w:t> </w:t>
      </w:r>
      <w:r>
        <w:rPr>
          <w:color w:val="231F20"/>
          <w:w w:val="105"/>
        </w:rPr>
        <w:t>de</w:t>
      </w:r>
      <w:r>
        <w:rPr>
          <w:color w:val="231F20"/>
          <w:spacing w:val="-10"/>
          <w:w w:val="105"/>
        </w:rPr>
        <w:t> </w:t>
      </w:r>
      <w:r>
        <w:rPr>
          <w:color w:val="231F20"/>
          <w:w w:val="105"/>
        </w:rPr>
        <w:t>Protección</w:t>
      </w:r>
      <w:r>
        <w:rPr>
          <w:color w:val="231F20"/>
          <w:spacing w:val="-10"/>
          <w:w w:val="105"/>
        </w:rPr>
        <w:t> </w:t>
      </w:r>
      <w:r>
        <w:rPr>
          <w:color w:val="231F20"/>
          <w:w w:val="105"/>
        </w:rPr>
        <w:t>Civil,</w:t>
      </w:r>
      <w:r>
        <w:rPr>
          <w:color w:val="231F20"/>
          <w:spacing w:val="-10"/>
          <w:w w:val="105"/>
        </w:rPr>
        <w:t> </w:t>
      </w:r>
      <w:r>
        <w:rPr>
          <w:color w:val="231F20"/>
          <w:w w:val="105"/>
        </w:rPr>
        <w:t>Consejería</w:t>
      </w:r>
      <w:r>
        <w:rPr>
          <w:color w:val="231F20"/>
          <w:spacing w:val="-10"/>
          <w:w w:val="105"/>
        </w:rPr>
        <w:t> </w:t>
      </w:r>
      <w:r>
        <w:rPr>
          <w:color w:val="231F20"/>
          <w:w w:val="105"/>
        </w:rPr>
        <w:t>Jurídica</w:t>
      </w:r>
      <w:r>
        <w:rPr>
          <w:color w:val="231F20"/>
          <w:spacing w:val="-10"/>
          <w:w w:val="105"/>
        </w:rPr>
        <w:t> </w:t>
      </w:r>
      <w:r>
        <w:rPr>
          <w:color w:val="231F20"/>
          <w:w w:val="105"/>
        </w:rPr>
        <w:t>y</w:t>
      </w:r>
      <w:r>
        <w:rPr>
          <w:color w:val="231F20"/>
          <w:spacing w:val="-10"/>
          <w:w w:val="105"/>
        </w:rPr>
        <w:t> </w:t>
      </w:r>
      <w:r>
        <w:rPr>
          <w:color w:val="231F20"/>
          <w:w w:val="105"/>
        </w:rPr>
        <w:t>en la</w:t>
      </w:r>
      <w:r>
        <w:rPr>
          <w:color w:val="231F20"/>
          <w:spacing w:val="-13"/>
          <w:w w:val="105"/>
        </w:rPr>
        <w:t> </w:t>
      </w:r>
      <w:r>
        <w:rPr>
          <w:color w:val="231F20"/>
          <w:w w:val="105"/>
        </w:rPr>
        <w:t>Dirección</w:t>
      </w:r>
      <w:r>
        <w:rPr>
          <w:color w:val="231F20"/>
          <w:spacing w:val="-13"/>
          <w:w w:val="105"/>
        </w:rPr>
        <w:t> </w:t>
      </w:r>
      <w:r>
        <w:rPr>
          <w:color w:val="231F20"/>
          <w:w w:val="105"/>
        </w:rPr>
        <w:t>de</w:t>
      </w:r>
      <w:r>
        <w:rPr>
          <w:color w:val="231F20"/>
          <w:spacing w:val="-13"/>
          <w:w w:val="105"/>
        </w:rPr>
        <w:t> </w:t>
      </w:r>
      <w:r>
        <w:rPr>
          <w:color w:val="231F20"/>
          <w:w w:val="105"/>
        </w:rPr>
        <w:t>Administración</w:t>
      </w:r>
      <w:r>
        <w:rPr>
          <w:color w:val="231F20"/>
          <w:spacing w:val="-13"/>
          <w:w w:val="105"/>
        </w:rPr>
        <w:t> </w:t>
      </w:r>
      <w:r>
        <w:rPr>
          <w:color w:val="231F20"/>
          <w:spacing w:val="-4"/>
          <w:w w:val="105"/>
        </w:rPr>
        <w:t>(ver</w:t>
      </w:r>
      <w:r>
        <w:rPr>
          <w:color w:val="231F20"/>
          <w:spacing w:val="-13"/>
          <w:w w:val="105"/>
        </w:rPr>
        <w:t> </w:t>
      </w:r>
      <w:r>
        <w:rPr>
          <w:color w:val="231F20"/>
          <w:w w:val="105"/>
        </w:rPr>
        <w:t>cuadro</w:t>
      </w:r>
      <w:r>
        <w:rPr>
          <w:color w:val="231F20"/>
          <w:spacing w:val="-13"/>
          <w:w w:val="105"/>
        </w:rPr>
        <w:t> </w:t>
      </w:r>
      <w:r>
        <w:rPr>
          <w:color w:val="231F20"/>
          <w:spacing w:val="-5"/>
          <w:w w:val="105"/>
        </w:rPr>
        <w:t>4).</w:t>
      </w:r>
    </w:p>
    <w:p>
      <w:pPr>
        <w:pStyle w:val="BodyText"/>
        <w:spacing w:before="1"/>
        <w:rPr>
          <w:sz w:val="26"/>
        </w:rPr>
      </w:pPr>
    </w:p>
    <w:p>
      <w:pPr>
        <w:pStyle w:val="Heading5"/>
        <w:ind w:left="1177"/>
      </w:pPr>
      <w:r>
        <w:rPr>
          <w:color w:val="231F20"/>
          <w:w w:val="105"/>
        </w:rPr>
        <w:t>Cuadro 4. Cambios en la Administración Pública Municipal</w:t>
      </w:r>
    </w:p>
    <w:p>
      <w:pPr>
        <w:pStyle w:val="BodyText"/>
        <w:spacing w:before="8"/>
        <w:rPr>
          <w:b/>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01"/>
        <w:gridCol w:w="2322"/>
        <w:gridCol w:w="2604"/>
      </w:tblGrid>
      <w:tr>
        <w:trPr>
          <w:trHeight w:val="175" w:hRule="exact"/>
        </w:trPr>
        <w:tc>
          <w:tcPr>
            <w:tcW w:w="3001" w:type="dxa"/>
          </w:tcPr>
          <w:p>
            <w:pPr>
              <w:pStyle w:val="TableParagraph"/>
              <w:spacing w:line="205" w:lineRule="exact"/>
              <w:rPr>
                <w:sz w:val="22"/>
              </w:rPr>
            </w:pPr>
            <w:r>
              <w:rPr>
                <w:color w:val="231F20"/>
                <w:w w:val="85"/>
                <w:sz w:val="22"/>
              </w:rPr>
              <w:t>Nombre</w:t>
            </w:r>
          </w:p>
        </w:tc>
        <w:tc>
          <w:tcPr>
            <w:tcW w:w="2322" w:type="dxa"/>
          </w:tcPr>
          <w:p>
            <w:pPr>
              <w:pStyle w:val="TableParagraph"/>
              <w:spacing w:line="205" w:lineRule="exact"/>
              <w:rPr>
                <w:sz w:val="22"/>
              </w:rPr>
            </w:pPr>
            <w:r>
              <w:rPr>
                <w:color w:val="231F20"/>
                <w:w w:val="85"/>
                <w:sz w:val="22"/>
              </w:rPr>
              <w:t>Antes</w:t>
            </w:r>
          </w:p>
        </w:tc>
        <w:tc>
          <w:tcPr>
            <w:tcW w:w="2604" w:type="dxa"/>
          </w:tcPr>
          <w:p>
            <w:pPr>
              <w:pStyle w:val="TableParagraph"/>
              <w:spacing w:line="205" w:lineRule="exact"/>
              <w:ind w:left="102"/>
              <w:rPr>
                <w:sz w:val="22"/>
              </w:rPr>
            </w:pPr>
            <w:r>
              <w:rPr>
                <w:color w:val="231F20"/>
                <w:w w:val="85"/>
                <w:sz w:val="22"/>
              </w:rPr>
              <w:t>Ahora</w:t>
            </w:r>
          </w:p>
        </w:tc>
      </w:tr>
      <w:tr>
        <w:trPr>
          <w:trHeight w:val="175" w:hRule="exact"/>
        </w:trPr>
        <w:tc>
          <w:tcPr>
            <w:tcW w:w="3001" w:type="dxa"/>
          </w:tcPr>
          <w:p>
            <w:pPr>
              <w:pStyle w:val="TableParagraph"/>
              <w:spacing w:line="205" w:lineRule="exact"/>
              <w:rPr>
                <w:sz w:val="22"/>
              </w:rPr>
            </w:pPr>
            <w:r>
              <w:rPr>
                <w:color w:val="231F20"/>
                <w:w w:val="75"/>
                <w:sz w:val="22"/>
              </w:rPr>
              <w:t>Eustorgio Hernández Jaimes</w:t>
            </w:r>
          </w:p>
        </w:tc>
        <w:tc>
          <w:tcPr>
            <w:tcW w:w="2322" w:type="dxa"/>
          </w:tcPr>
          <w:p>
            <w:pPr>
              <w:pStyle w:val="TableParagraph"/>
              <w:spacing w:line="205" w:lineRule="exact"/>
              <w:rPr>
                <w:sz w:val="22"/>
              </w:rPr>
            </w:pPr>
            <w:r>
              <w:rPr>
                <w:color w:val="231F20"/>
                <w:w w:val="75"/>
                <w:sz w:val="22"/>
              </w:rPr>
              <w:t>Sec. del Ayuntamiento</w:t>
            </w:r>
          </w:p>
        </w:tc>
        <w:tc>
          <w:tcPr>
            <w:tcW w:w="2604" w:type="dxa"/>
          </w:tcPr>
          <w:p>
            <w:pPr>
              <w:pStyle w:val="TableParagraph"/>
              <w:spacing w:line="205" w:lineRule="exact"/>
              <w:ind w:left="102"/>
              <w:rPr>
                <w:sz w:val="22"/>
              </w:rPr>
            </w:pPr>
            <w:r>
              <w:rPr>
                <w:color w:val="231F20"/>
                <w:w w:val="75"/>
                <w:sz w:val="22"/>
              </w:rPr>
              <w:t>Director de Administración</w:t>
            </w:r>
          </w:p>
        </w:tc>
      </w:tr>
      <w:tr>
        <w:trPr>
          <w:trHeight w:val="175" w:hRule="exact"/>
        </w:trPr>
        <w:tc>
          <w:tcPr>
            <w:tcW w:w="3001" w:type="dxa"/>
          </w:tcPr>
          <w:p>
            <w:pPr>
              <w:pStyle w:val="TableParagraph"/>
              <w:spacing w:line="205" w:lineRule="exact"/>
              <w:rPr>
                <w:sz w:val="22"/>
              </w:rPr>
            </w:pPr>
            <w:r>
              <w:rPr>
                <w:color w:val="231F20"/>
                <w:w w:val="75"/>
                <w:sz w:val="22"/>
              </w:rPr>
              <w:t>Juan Carlos Varela Domínguez</w:t>
            </w:r>
          </w:p>
        </w:tc>
        <w:tc>
          <w:tcPr>
            <w:tcW w:w="2322" w:type="dxa"/>
          </w:tcPr>
          <w:p>
            <w:pPr>
              <w:pStyle w:val="TableParagraph"/>
              <w:spacing w:line="205" w:lineRule="exact"/>
              <w:rPr>
                <w:sz w:val="22"/>
              </w:rPr>
            </w:pPr>
            <w:r>
              <w:rPr>
                <w:color w:val="231F20"/>
                <w:w w:val="75"/>
                <w:sz w:val="22"/>
              </w:rPr>
              <w:t>Secretario particular</w:t>
            </w:r>
          </w:p>
        </w:tc>
        <w:tc>
          <w:tcPr>
            <w:tcW w:w="2604" w:type="dxa"/>
          </w:tcPr>
          <w:p>
            <w:pPr>
              <w:pStyle w:val="TableParagraph"/>
              <w:spacing w:line="205" w:lineRule="exact"/>
              <w:ind w:left="102"/>
              <w:rPr>
                <w:sz w:val="22"/>
              </w:rPr>
            </w:pPr>
            <w:r>
              <w:rPr>
                <w:color w:val="231F20"/>
                <w:w w:val="75"/>
                <w:sz w:val="22"/>
              </w:rPr>
              <w:t>Secretario de Ayuntamiento</w:t>
            </w:r>
          </w:p>
        </w:tc>
      </w:tr>
      <w:tr>
        <w:trPr>
          <w:trHeight w:val="175" w:hRule="exact"/>
        </w:trPr>
        <w:tc>
          <w:tcPr>
            <w:tcW w:w="3001" w:type="dxa"/>
          </w:tcPr>
          <w:p>
            <w:pPr>
              <w:pStyle w:val="TableParagraph"/>
              <w:spacing w:line="205" w:lineRule="exact"/>
              <w:rPr>
                <w:sz w:val="22"/>
              </w:rPr>
            </w:pPr>
            <w:r>
              <w:rPr>
                <w:color w:val="231F20"/>
                <w:w w:val="75"/>
                <w:sz w:val="22"/>
              </w:rPr>
              <w:t>Leonel Santos Arellano</w:t>
            </w:r>
          </w:p>
        </w:tc>
        <w:tc>
          <w:tcPr>
            <w:tcW w:w="2322" w:type="dxa"/>
          </w:tcPr>
          <w:p>
            <w:pPr>
              <w:pStyle w:val="TableParagraph"/>
              <w:spacing w:line="205" w:lineRule="exact"/>
              <w:rPr>
                <w:sz w:val="22"/>
              </w:rPr>
            </w:pPr>
            <w:r>
              <w:rPr>
                <w:color w:val="231F20"/>
                <w:w w:val="75"/>
                <w:sz w:val="22"/>
              </w:rPr>
              <w:t>Unidad de protección civil</w:t>
            </w:r>
          </w:p>
        </w:tc>
        <w:tc>
          <w:tcPr>
            <w:tcW w:w="2604" w:type="dxa"/>
          </w:tcPr>
          <w:p>
            <w:pPr>
              <w:pStyle w:val="TableParagraph"/>
              <w:spacing w:line="205" w:lineRule="exact"/>
              <w:ind w:left="102"/>
              <w:rPr>
                <w:sz w:val="22"/>
              </w:rPr>
            </w:pPr>
            <w:r>
              <w:rPr>
                <w:color w:val="231F20"/>
                <w:w w:val="75"/>
                <w:sz w:val="22"/>
              </w:rPr>
              <w:t>Sin cargo</w:t>
            </w:r>
          </w:p>
        </w:tc>
      </w:tr>
      <w:tr>
        <w:trPr>
          <w:trHeight w:val="175" w:hRule="exact"/>
        </w:trPr>
        <w:tc>
          <w:tcPr>
            <w:tcW w:w="3001" w:type="dxa"/>
          </w:tcPr>
          <w:p>
            <w:pPr>
              <w:pStyle w:val="TableParagraph"/>
              <w:spacing w:line="205" w:lineRule="exact"/>
              <w:rPr>
                <w:sz w:val="22"/>
              </w:rPr>
            </w:pPr>
            <w:r>
              <w:rPr>
                <w:color w:val="231F20"/>
                <w:w w:val="75"/>
                <w:sz w:val="22"/>
              </w:rPr>
              <w:t>Norma Laredo Romero</w:t>
            </w:r>
          </w:p>
        </w:tc>
        <w:tc>
          <w:tcPr>
            <w:tcW w:w="2322" w:type="dxa"/>
          </w:tcPr>
          <w:p>
            <w:pPr>
              <w:pStyle w:val="TableParagraph"/>
              <w:spacing w:line="205" w:lineRule="exact"/>
              <w:rPr>
                <w:sz w:val="22"/>
              </w:rPr>
            </w:pPr>
            <w:r>
              <w:rPr>
                <w:color w:val="231F20"/>
                <w:w w:val="75"/>
                <w:sz w:val="22"/>
              </w:rPr>
              <w:t>Consejería Jurídica</w:t>
            </w:r>
          </w:p>
        </w:tc>
        <w:tc>
          <w:tcPr>
            <w:tcW w:w="2604" w:type="dxa"/>
          </w:tcPr>
          <w:p>
            <w:pPr>
              <w:pStyle w:val="TableParagraph"/>
              <w:spacing w:line="205" w:lineRule="exact"/>
              <w:ind w:left="102"/>
              <w:rPr>
                <w:sz w:val="22"/>
              </w:rPr>
            </w:pPr>
            <w:r>
              <w:rPr>
                <w:color w:val="231F20"/>
                <w:w w:val="75"/>
                <w:sz w:val="22"/>
              </w:rPr>
              <w:t>Sin cargo</w:t>
            </w:r>
          </w:p>
        </w:tc>
      </w:tr>
      <w:tr>
        <w:trPr>
          <w:trHeight w:val="175" w:hRule="exact"/>
        </w:trPr>
        <w:tc>
          <w:tcPr>
            <w:tcW w:w="3001" w:type="dxa"/>
          </w:tcPr>
          <w:p>
            <w:pPr>
              <w:pStyle w:val="TableParagraph"/>
              <w:spacing w:line="205" w:lineRule="exact"/>
              <w:rPr>
                <w:sz w:val="22"/>
              </w:rPr>
            </w:pPr>
            <w:r>
              <w:rPr>
                <w:color w:val="231F20"/>
                <w:w w:val="75"/>
                <w:sz w:val="22"/>
              </w:rPr>
              <w:t>Lino García Gama</w:t>
            </w:r>
          </w:p>
        </w:tc>
        <w:tc>
          <w:tcPr>
            <w:tcW w:w="2322" w:type="dxa"/>
          </w:tcPr>
          <w:p>
            <w:pPr>
              <w:pStyle w:val="TableParagraph"/>
              <w:spacing w:line="205" w:lineRule="exact"/>
              <w:rPr>
                <w:sz w:val="22"/>
              </w:rPr>
            </w:pPr>
            <w:r>
              <w:rPr>
                <w:color w:val="231F20"/>
                <w:w w:val="75"/>
                <w:sz w:val="22"/>
              </w:rPr>
              <w:t>Director de Administración</w:t>
            </w:r>
          </w:p>
        </w:tc>
        <w:tc>
          <w:tcPr>
            <w:tcW w:w="2604" w:type="dxa"/>
          </w:tcPr>
          <w:p>
            <w:pPr>
              <w:pStyle w:val="TableParagraph"/>
              <w:spacing w:line="205" w:lineRule="exact"/>
              <w:ind w:left="102"/>
              <w:rPr>
                <w:sz w:val="22"/>
              </w:rPr>
            </w:pPr>
            <w:r>
              <w:rPr>
                <w:color w:val="231F20"/>
                <w:w w:val="75"/>
                <w:sz w:val="22"/>
              </w:rPr>
              <w:t>Sin cargo</w:t>
            </w:r>
          </w:p>
        </w:tc>
      </w:tr>
      <w:tr>
        <w:trPr>
          <w:trHeight w:val="175" w:hRule="exact"/>
        </w:trPr>
        <w:tc>
          <w:tcPr>
            <w:tcW w:w="3001" w:type="dxa"/>
          </w:tcPr>
          <w:p>
            <w:pPr>
              <w:pStyle w:val="TableParagraph"/>
              <w:spacing w:line="205" w:lineRule="exact"/>
              <w:rPr>
                <w:sz w:val="22"/>
              </w:rPr>
            </w:pPr>
            <w:r>
              <w:rPr>
                <w:color w:val="231F20"/>
                <w:w w:val="75"/>
                <w:sz w:val="22"/>
              </w:rPr>
              <w:t>Cristóbal Benítez Jaimes</w:t>
            </w:r>
          </w:p>
        </w:tc>
        <w:tc>
          <w:tcPr>
            <w:tcW w:w="2322" w:type="dxa"/>
          </w:tcPr>
          <w:p>
            <w:pPr>
              <w:pStyle w:val="TableParagraph"/>
              <w:spacing w:line="205" w:lineRule="exact"/>
              <w:rPr>
                <w:sz w:val="22"/>
              </w:rPr>
            </w:pPr>
            <w:r>
              <w:rPr>
                <w:color w:val="231F20"/>
                <w:w w:val="75"/>
                <w:sz w:val="22"/>
              </w:rPr>
              <w:t>Sin cargo</w:t>
            </w:r>
          </w:p>
        </w:tc>
        <w:tc>
          <w:tcPr>
            <w:tcW w:w="2604" w:type="dxa"/>
          </w:tcPr>
          <w:p>
            <w:pPr>
              <w:pStyle w:val="TableParagraph"/>
              <w:spacing w:line="205" w:lineRule="exact"/>
              <w:ind w:left="102"/>
              <w:rPr>
                <w:sz w:val="22"/>
              </w:rPr>
            </w:pPr>
            <w:r>
              <w:rPr>
                <w:color w:val="231F20"/>
                <w:w w:val="75"/>
                <w:sz w:val="22"/>
              </w:rPr>
              <w:t>Secretario particular</w:t>
            </w:r>
          </w:p>
        </w:tc>
      </w:tr>
      <w:tr>
        <w:trPr>
          <w:trHeight w:val="175" w:hRule="exact"/>
        </w:trPr>
        <w:tc>
          <w:tcPr>
            <w:tcW w:w="3001" w:type="dxa"/>
          </w:tcPr>
          <w:p>
            <w:pPr>
              <w:pStyle w:val="TableParagraph"/>
              <w:spacing w:line="205" w:lineRule="exact"/>
              <w:rPr>
                <w:sz w:val="22"/>
              </w:rPr>
            </w:pPr>
            <w:r>
              <w:rPr>
                <w:color w:val="231F20"/>
                <w:w w:val="75"/>
                <w:sz w:val="22"/>
              </w:rPr>
              <w:t>Marvin Hernández López</w:t>
            </w:r>
          </w:p>
        </w:tc>
        <w:tc>
          <w:tcPr>
            <w:tcW w:w="2322" w:type="dxa"/>
          </w:tcPr>
          <w:p>
            <w:pPr>
              <w:pStyle w:val="TableParagraph"/>
              <w:spacing w:line="205" w:lineRule="exact"/>
              <w:rPr>
                <w:sz w:val="22"/>
              </w:rPr>
            </w:pPr>
            <w:r>
              <w:rPr>
                <w:color w:val="231F20"/>
                <w:w w:val="75"/>
                <w:sz w:val="22"/>
              </w:rPr>
              <w:t>Sin cargo</w:t>
            </w:r>
          </w:p>
        </w:tc>
        <w:tc>
          <w:tcPr>
            <w:tcW w:w="2604" w:type="dxa"/>
          </w:tcPr>
          <w:p>
            <w:pPr>
              <w:pStyle w:val="TableParagraph"/>
              <w:spacing w:line="205" w:lineRule="exact"/>
              <w:ind w:left="102"/>
              <w:rPr>
                <w:sz w:val="22"/>
              </w:rPr>
            </w:pPr>
            <w:r>
              <w:rPr>
                <w:color w:val="231F20"/>
                <w:w w:val="75"/>
                <w:sz w:val="22"/>
              </w:rPr>
              <w:t>Unidad de Protección Civil</w:t>
            </w:r>
          </w:p>
        </w:tc>
      </w:tr>
    </w:tbl>
    <w:p>
      <w:pPr>
        <w:pStyle w:val="BodyText"/>
        <w:spacing w:before="5"/>
        <w:rPr>
          <w:b/>
          <w:sz w:val="19"/>
        </w:rPr>
      </w:pPr>
    </w:p>
    <w:p>
      <w:pPr>
        <w:spacing w:before="74"/>
        <w:ind w:left="2933" w:right="-2" w:firstLine="0"/>
        <w:jc w:val="left"/>
        <w:rPr>
          <w:rFonts w:ascii="Calibri" w:hAnsi="Calibri"/>
          <w:sz w:val="16"/>
        </w:rPr>
      </w:pPr>
      <w:r>
        <w:rPr>
          <w:rFonts w:ascii="Calibri" w:hAnsi="Calibri"/>
          <w:color w:val="231F20"/>
          <w:sz w:val="16"/>
        </w:rPr>
        <w:t>FUENTE: Elaboración propia con información de Manual de Organización (2007)</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Es de hacer notar que hombres cercanos </w:t>
      </w:r>
      <w:r>
        <w:rPr>
          <w:color w:val="231F20"/>
          <w:spacing w:val="2"/>
          <w:w w:val="105"/>
        </w:rPr>
        <w:t>al </w:t>
      </w:r>
      <w:r>
        <w:rPr>
          <w:color w:val="231F20"/>
          <w:w w:val="105"/>
        </w:rPr>
        <w:t>presidente municipal como su secretario particular</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secretario</w:t>
      </w:r>
      <w:r>
        <w:rPr>
          <w:color w:val="231F20"/>
          <w:spacing w:val="-4"/>
          <w:w w:val="105"/>
        </w:rPr>
        <w:t> </w:t>
      </w:r>
      <w:r>
        <w:rPr>
          <w:color w:val="231F20"/>
          <w:w w:val="105"/>
        </w:rPr>
        <w:t>del</w:t>
      </w:r>
      <w:r>
        <w:rPr>
          <w:color w:val="231F20"/>
          <w:spacing w:val="-4"/>
          <w:w w:val="105"/>
        </w:rPr>
        <w:t> </w:t>
      </w:r>
      <w:r>
        <w:rPr>
          <w:color w:val="231F20"/>
          <w:w w:val="105"/>
        </w:rPr>
        <w:t>Ayuntamiento</w:t>
      </w:r>
      <w:r>
        <w:rPr>
          <w:color w:val="231F20"/>
          <w:spacing w:val="-4"/>
          <w:w w:val="105"/>
        </w:rPr>
        <w:t> </w:t>
      </w:r>
      <w:r>
        <w:rPr>
          <w:color w:val="231F20"/>
          <w:w w:val="105"/>
        </w:rPr>
        <w:t>han</w:t>
      </w:r>
      <w:r>
        <w:rPr>
          <w:color w:val="231F20"/>
          <w:spacing w:val="-4"/>
          <w:w w:val="105"/>
        </w:rPr>
        <w:t> </w:t>
      </w:r>
      <w:r>
        <w:rPr>
          <w:color w:val="231F20"/>
          <w:w w:val="105"/>
        </w:rPr>
        <w:t>sido</w:t>
      </w:r>
      <w:r>
        <w:rPr>
          <w:color w:val="231F20"/>
          <w:spacing w:val="-4"/>
          <w:w w:val="105"/>
        </w:rPr>
        <w:t> </w:t>
      </w:r>
      <w:r>
        <w:rPr>
          <w:color w:val="231F20"/>
          <w:w w:val="105"/>
        </w:rPr>
        <w:t>rotados.</w:t>
      </w:r>
      <w:r>
        <w:rPr>
          <w:color w:val="231F20"/>
          <w:spacing w:val="-4"/>
          <w:w w:val="105"/>
        </w:rPr>
        <w:t> </w:t>
      </w:r>
      <w:r>
        <w:rPr>
          <w:color w:val="231F20"/>
          <w:w w:val="105"/>
        </w:rPr>
        <w:t>Apreciamos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cuadro 4</w:t>
      </w:r>
      <w:r>
        <w:rPr>
          <w:color w:val="231F20"/>
          <w:spacing w:val="-18"/>
          <w:w w:val="105"/>
        </w:rPr>
        <w:t> </w:t>
      </w:r>
      <w:r>
        <w:rPr>
          <w:color w:val="231F20"/>
          <w:w w:val="105"/>
        </w:rPr>
        <w:t>que</w:t>
      </w:r>
      <w:r>
        <w:rPr>
          <w:color w:val="231F20"/>
          <w:spacing w:val="-18"/>
          <w:w w:val="105"/>
        </w:rPr>
        <w:t> </w:t>
      </w:r>
      <w:r>
        <w:rPr>
          <w:color w:val="231F20"/>
          <w:spacing w:val="-3"/>
          <w:w w:val="105"/>
        </w:rPr>
        <w:t>Varela</w:t>
      </w:r>
      <w:r>
        <w:rPr>
          <w:color w:val="231F20"/>
          <w:spacing w:val="-18"/>
          <w:w w:val="105"/>
        </w:rPr>
        <w:t> </w:t>
      </w:r>
      <w:r>
        <w:rPr>
          <w:color w:val="231F20"/>
          <w:w w:val="105"/>
        </w:rPr>
        <w:t>Domínguez</w:t>
      </w:r>
      <w:r>
        <w:rPr>
          <w:color w:val="231F20"/>
          <w:spacing w:val="-18"/>
          <w:w w:val="105"/>
        </w:rPr>
        <w:t> </w:t>
      </w:r>
      <w:r>
        <w:rPr>
          <w:color w:val="231F20"/>
          <w:w w:val="105"/>
        </w:rPr>
        <w:t>pasó</w:t>
      </w:r>
      <w:r>
        <w:rPr>
          <w:color w:val="231F20"/>
          <w:spacing w:val="-18"/>
          <w:w w:val="105"/>
        </w:rPr>
        <w:t> </w:t>
      </w:r>
      <w:r>
        <w:rPr>
          <w:color w:val="231F20"/>
          <w:w w:val="105"/>
        </w:rPr>
        <w:t>de</w:t>
      </w:r>
      <w:r>
        <w:rPr>
          <w:color w:val="231F20"/>
          <w:spacing w:val="-18"/>
          <w:w w:val="105"/>
        </w:rPr>
        <w:t> </w:t>
      </w:r>
      <w:r>
        <w:rPr>
          <w:color w:val="231F20"/>
          <w:w w:val="105"/>
        </w:rPr>
        <w:t>ser</w:t>
      </w:r>
      <w:r>
        <w:rPr>
          <w:color w:val="231F20"/>
          <w:spacing w:val="-18"/>
          <w:w w:val="105"/>
        </w:rPr>
        <w:t> </w:t>
      </w:r>
      <w:r>
        <w:rPr>
          <w:color w:val="231F20"/>
          <w:w w:val="105"/>
        </w:rPr>
        <w:t>secretario</w:t>
      </w:r>
      <w:r>
        <w:rPr>
          <w:color w:val="231F20"/>
          <w:spacing w:val="-18"/>
          <w:w w:val="105"/>
        </w:rPr>
        <w:t> </w:t>
      </w:r>
      <w:r>
        <w:rPr>
          <w:color w:val="231F20"/>
          <w:w w:val="105"/>
        </w:rPr>
        <w:t>particular</w:t>
      </w:r>
      <w:r>
        <w:rPr>
          <w:color w:val="231F20"/>
          <w:spacing w:val="-18"/>
          <w:w w:val="105"/>
        </w:rPr>
        <w:t> </w:t>
      </w:r>
      <w:r>
        <w:rPr>
          <w:color w:val="231F20"/>
          <w:w w:val="105"/>
        </w:rPr>
        <w:t>a</w:t>
      </w:r>
      <w:r>
        <w:rPr>
          <w:color w:val="231F20"/>
          <w:spacing w:val="-18"/>
          <w:w w:val="105"/>
        </w:rPr>
        <w:t> </w:t>
      </w:r>
      <w:r>
        <w:rPr>
          <w:color w:val="231F20"/>
          <w:w w:val="105"/>
        </w:rPr>
        <w:t>secretario</w:t>
      </w:r>
      <w:r>
        <w:rPr>
          <w:color w:val="231F20"/>
          <w:spacing w:val="-18"/>
          <w:w w:val="105"/>
        </w:rPr>
        <w:t> </w:t>
      </w:r>
      <w:r>
        <w:rPr>
          <w:color w:val="231F20"/>
          <w:w w:val="105"/>
        </w:rPr>
        <w:t>de</w:t>
      </w:r>
      <w:r>
        <w:rPr>
          <w:color w:val="231F20"/>
          <w:spacing w:val="-18"/>
          <w:w w:val="105"/>
        </w:rPr>
        <w:t> </w:t>
      </w:r>
      <w:r>
        <w:rPr>
          <w:color w:val="231F20"/>
          <w:w w:val="105"/>
        </w:rPr>
        <w:t>Ayuntamiento, supliéndolo</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cargo</w:t>
      </w:r>
      <w:r>
        <w:rPr>
          <w:color w:val="231F20"/>
          <w:spacing w:val="-4"/>
          <w:w w:val="105"/>
        </w:rPr>
        <w:t> </w:t>
      </w:r>
      <w:r>
        <w:rPr>
          <w:color w:val="231F20"/>
          <w:w w:val="105"/>
        </w:rPr>
        <w:t>Benítez</w:t>
      </w:r>
      <w:r>
        <w:rPr>
          <w:color w:val="231F20"/>
          <w:spacing w:val="-4"/>
          <w:w w:val="105"/>
        </w:rPr>
        <w:t> </w:t>
      </w:r>
      <w:r>
        <w:rPr>
          <w:color w:val="231F20"/>
          <w:w w:val="105"/>
        </w:rPr>
        <w:t>Jaimes,</w:t>
      </w:r>
      <w:r>
        <w:rPr>
          <w:color w:val="231F20"/>
          <w:spacing w:val="-4"/>
          <w:w w:val="105"/>
        </w:rPr>
        <w:t> </w:t>
      </w:r>
      <w:r>
        <w:rPr>
          <w:color w:val="231F20"/>
          <w:w w:val="105"/>
        </w:rPr>
        <w:t>quien</w:t>
      </w:r>
      <w:r>
        <w:rPr>
          <w:color w:val="231F20"/>
          <w:spacing w:val="-4"/>
          <w:w w:val="105"/>
        </w:rPr>
        <w:t> </w:t>
      </w:r>
      <w:r>
        <w:rPr>
          <w:color w:val="231F20"/>
          <w:w w:val="105"/>
        </w:rPr>
        <w:t>en</w:t>
      </w:r>
      <w:r>
        <w:rPr>
          <w:color w:val="231F20"/>
          <w:spacing w:val="-4"/>
          <w:w w:val="105"/>
        </w:rPr>
        <w:t> </w:t>
      </w:r>
      <w:r>
        <w:rPr>
          <w:color w:val="231F20"/>
          <w:w w:val="105"/>
        </w:rPr>
        <w:t>un</w:t>
      </w:r>
      <w:r>
        <w:rPr>
          <w:color w:val="231F20"/>
          <w:spacing w:val="-4"/>
          <w:w w:val="105"/>
        </w:rPr>
        <w:t> </w:t>
      </w:r>
      <w:r>
        <w:rPr>
          <w:color w:val="231F20"/>
          <w:w w:val="105"/>
        </w:rPr>
        <w:t>primer</w:t>
      </w:r>
      <w:r>
        <w:rPr>
          <w:color w:val="231F20"/>
          <w:spacing w:val="-4"/>
          <w:w w:val="105"/>
        </w:rPr>
        <w:t> </w:t>
      </w:r>
      <w:r>
        <w:rPr>
          <w:color w:val="231F20"/>
          <w:spacing w:val="-3"/>
          <w:w w:val="105"/>
        </w:rPr>
        <w:t>momento</w:t>
      </w:r>
      <w:r>
        <w:rPr>
          <w:color w:val="231F20"/>
          <w:spacing w:val="-4"/>
          <w:w w:val="105"/>
        </w:rPr>
        <w:t> </w:t>
      </w:r>
      <w:r>
        <w:rPr>
          <w:color w:val="231F20"/>
          <w:w w:val="105"/>
        </w:rPr>
        <w:t>fue</w:t>
      </w:r>
      <w:r>
        <w:rPr>
          <w:color w:val="231F20"/>
          <w:spacing w:val="-4"/>
          <w:w w:val="105"/>
        </w:rPr>
        <w:t> </w:t>
      </w:r>
      <w:r>
        <w:rPr>
          <w:color w:val="231F20"/>
          <w:w w:val="105"/>
        </w:rPr>
        <w:t>el</w:t>
      </w:r>
      <w:r>
        <w:rPr>
          <w:color w:val="231F20"/>
          <w:spacing w:val="-4"/>
          <w:w w:val="105"/>
        </w:rPr>
        <w:t> </w:t>
      </w:r>
      <w:r>
        <w:rPr>
          <w:color w:val="231F20"/>
          <w:w w:val="105"/>
        </w:rPr>
        <w:t>secretario del ayuntamiento, Eustorgio Hernández Jaimes, pasó a ser director de Administración </w:t>
      </w:r>
      <w:r>
        <w:rPr>
          <w:color w:val="231F20"/>
          <w:spacing w:val="2"/>
          <w:w w:val="105"/>
        </w:rPr>
        <w:t>al</w:t>
      </w:r>
      <w:r>
        <w:rPr>
          <w:color w:val="231F20"/>
          <w:spacing w:val="-13"/>
          <w:w w:val="105"/>
        </w:rPr>
        <w:t> </w:t>
      </w:r>
      <w:r>
        <w:rPr>
          <w:color w:val="231F20"/>
          <w:w w:val="105"/>
        </w:rPr>
        <w:t>suplir</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cargo</w:t>
      </w:r>
      <w:r>
        <w:rPr>
          <w:color w:val="231F20"/>
          <w:spacing w:val="-13"/>
          <w:w w:val="105"/>
        </w:rPr>
        <w:t> </w:t>
      </w:r>
      <w:r>
        <w:rPr>
          <w:color w:val="231F20"/>
          <w:w w:val="105"/>
        </w:rPr>
        <w:t>a</w:t>
      </w:r>
      <w:r>
        <w:rPr>
          <w:color w:val="231F20"/>
          <w:spacing w:val="-13"/>
          <w:w w:val="105"/>
        </w:rPr>
        <w:t> </w:t>
      </w:r>
      <w:r>
        <w:rPr>
          <w:color w:val="231F20"/>
          <w:w w:val="105"/>
        </w:rPr>
        <w:t>García</w:t>
      </w:r>
      <w:r>
        <w:rPr>
          <w:color w:val="231F20"/>
          <w:spacing w:val="-13"/>
          <w:w w:val="105"/>
        </w:rPr>
        <w:t> </w:t>
      </w:r>
      <w:r>
        <w:rPr>
          <w:color w:val="231F20"/>
          <w:w w:val="105"/>
        </w:rPr>
        <w:t>Gama.</w:t>
      </w:r>
    </w:p>
    <w:p>
      <w:pPr>
        <w:pStyle w:val="BodyText"/>
        <w:spacing w:before="1"/>
        <w:rPr>
          <w:sz w:val="26"/>
        </w:rPr>
      </w:pPr>
    </w:p>
    <w:p>
      <w:pPr>
        <w:pStyle w:val="BodyText"/>
        <w:spacing w:line="285" w:lineRule="auto"/>
        <w:ind w:left="110" w:right="107"/>
        <w:jc w:val="both"/>
      </w:pPr>
      <w:r>
        <w:rPr>
          <w:color w:val="231F20"/>
          <w:w w:val="105"/>
        </w:rPr>
        <w:t>Por la </w:t>
      </w:r>
      <w:r>
        <w:rPr>
          <w:color w:val="231F20"/>
          <w:spacing w:val="2"/>
          <w:w w:val="105"/>
        </w:rPr>
        <w:t>movilidad </w:t>
      </w:r>
      <w:r>
        <w:rPr>
          <w:color w:val="231F20"/>
          <w:w w:val="105"/>
        </w:rPr>
        <w:t>de estos personajes se dejaron vacantes espacios como la Unidad de Protección </w:t>
      </w:r>
      <w:r>
        <w:rPr>
          <w:color w:val="231F20"/>
          <w:spacing w:val="2"/>
          <w:w w:val="105"/>
        </w:rPr>
        <w:t>Civil, </w:t>
      </w:r>
      <w:r>
        <w:rPr>
          <w:color w:val="231F20"/>
          <w:w w:val="105"/>
        </w:rPr>
        <w:t>la Consejería </w:t>
      </w:r>
      <w:r>
        <w:rPr>
          <w:color w:val="231F20"/>
          <w:spacing w:val="2"/>
          <w:w w:val="105"/>
        </w:rPr>
        <w:t>Jurídica </w:t>
      </w:r>
      <w:r>
        <w:rPr>
          <w:color w:val="231F20"/>
          <w:w w:val="105"/>
        </w:rPr>
        <w:t>y la Dirección de </w:t>
      </w:r>
      <w:r>
        <w:rPr>
          <w:color w:val="231F20"/>
          <w:spacing w:val="2"/>
          <w:w w:val="105"/>
        </w:rPr>
        <w:t>Administración. </w:t>
      </w:r>
      <w:r>
        <w:rPr>
          <w:color w:val="231F20"/>
          <w:w w:val="105"/>
        </w:rPr>
        <w:t>Respecto  a la primera de </w:t>
      </w:r>
      <w:r>
        <w:rPr>
          <w:color w:val="231F20"/>
          <w:spacing w:val="3"/>
          <w:w w:val="105"/>
        </w:rPr>
        <w:t>éstas, </w:t>
      </w:r>
      <w:r>
        <w:rPr>
          <w:color w:val="231F20"/>
          <w:w w:val="105"/>
        </w:rPr>
        <w:t>el mantenimiento de </w:t>
      </w:r>
      <w:r>
        <w:rPr>
          <w:color w:val="231F20"/>
          <w:spacing w:val="3"/>
          <w:w w:val="105"/>
        </w:rPr>
        <w:t>un </w:t>
      </w:r>
      <w:r>
        <w:rPr>
          <w:color w:val="231F20"/>
          <w:w w:val="105"/>
        </w:rPr>
        <w:t>responsable </w:t>
      </w:r>
      <w:r>
        <w:rPr>
          <w:color w:val="231F20"/>
          <w:spacing w:val="3"/>
          <w:w w:val="105"/>
        </w:rPr>
        <w:t>al </w:t>
      </w:r>
      <w:r>
        <w:rPr>
          <w:color w:val="231F20"/>
          <w:w w:val="105"/>
        </w:rPr>
        <w:t>frente de la Unidad es </w:t>
      </w:r>
      <w:r>
        <w:rPr>
          <w:color w:val="231F20"/>
          <w:spacing w:val="2"/>
          <w:w w:val="105"/>
        </w:rPr>
        <w:t>necesario </w:t>
      </w:r>
      <w:r>
        <w:rPr>
          <w:color w:val="231F20"/>
          <w:w w:val="105"/>
        </w:rPr>
        <w:t>debido a que su objetivo es proteger a la persona y a la sociedad ante la eventualidad de </w:t>
      </w:r>
      <w:r>
        <w:rPr>
          <w:color w:val="231F20"/>
          <w:spacing w:val="3"/>
          <w:w w:val="105"/>
        </w:rPr>
        <w:t>un </w:t>
      </w:r>
      <w:r>
        <w:rPr>
          <w:color w:val="231F20"/>
          <w:spacing w:val="2"/>
          <w:w w:val="105"/>
        </w:rPr>
        <w:t>desastre, </w:t>
      </w:r>
      <w:r>
        <w:rPr>
          <w:color w:val="231F20"/>
          <w:w w:val="105"/>
        </w:rPr>
        <w:t>promover la educación </w:t>
      </w:r>
      <w:r>
        <w:rPr>
          <w:color w:val="231F20"/>
          <w:spacing w:val="2"/>
          <w:w w:val="105"/>
        </w:rPr>
        <w:t>para </w:t>
      </w:r>
      <w:r>
        <w:rPr>
          <w:color w:val="231F20"/>
          <w:w w:val="105"/>
        </w:rPr>
        <w:t>la autoprotección, así como la</w:t>
      </w:r>
      <w:r>
        <w:rPr>
          <w:color w:val="231F20"/>
          <w:spacing w:val="-8"/>
          <w:w w:val="105"/>
        </w:rPr>
        <w:t> </w:t>
      </w:r>
      <w:r>
        <w:rPr>
          <w:color w:val="231F20"/>
          <w:w w:val="105"/>
        </w:rPr>
        <w:t>participación</w:t>
      </w:r>
      <w:r>
        <w:rPr>
          <w:color w:val="231F20"/>
          <w:spacing w:val="-8"/>
          <w:w w:val="105"/>
        </w:rPr>
        <w:t> </w:t>
      </w:r>
      <w:r>
        <w:rPr>
          <w:color w:val="231F20"/>
          <w:spacing w:val="2"/>
          <w:w w:val="105"/>
        </w:rPr>
        <w:t>individual</w:t>
      </w:r>
      <w:r>
        <w:rPr>
          <w:color w:val="231F20"/>
          <w:spacing w:val="-8"/>
          <w:w w:val="105"/>
        </w:rPr>
        <w:t> </w:t>
      </w:r>
      <w:r>
        <w:rPr>
          <w:color w:val="231F20"/>
          <w:w w:val="105"/>
        </w:rPr>
        <w:t>y</w:t>
      </w:r>
      <w:r>
        <w:rPr>
          <w:color w:val="231F20"/>
          <w:spacing w:val="-8"/>
          <w:w w:val="105"/>
        </w:rPr>
        <w:t> </w:t>
      </w:r>
      <w:r>
        <w:rPr>
          <w:color w:val="231F20"/>
          <w:spacing w:val="2"/>
          <w:w w:val="105"/>
        </w:rPr>
        <w:t>colectiva</w:t>
      </w:r>
      <w:r>
        <w:rPr>
          <w:color w:val="231F20"/>
          <w:spacing w:val="-8"/>
          <w:w w:val="105"/>
        </w:rPr>
        <w:t> </w:t>
      </w:r>
      <w:r>
        <w:rPr>
          <w:color w:val="231F20"/>
          <w:w w:val="105"/>
        </w:rPr>
        <w:t>(Manual,</w:t>
      </w:r>
      <w:r>
        <w:rPr>
          <w:color w:val="231F20"/>
          <w:spacing w:val="-8"/>
          <w:w w:val="105"/>
        </w:rPr>
        <w:t> </w:t>
      </w:r>
      <w:r>
        <w:rPr>
          <w:color w:val="231F20"/>
          <w:w w:val="105"/>
        </w:rPr>
        <w:t>2007:</w:t>
      </w:r>
      <w:r>
        <w:rPr>
          <w:color w:val="231F20"/>
          <w:spacing w:val="-8"/>
          <w:w w:val="105"/>
        </w:rPr>
        <w:t> </w:t>
      </w:r>
      <w:r>
        <w:rPr>
          <w:color w:val="231F20"/>
          <w:w w:val="105"/>
        </w:rPr>
        <w:t>50)</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ausencia</w:t>
      </w:r>
      <w:r>
        <w:rPr>
          <w:color w:val="231F20"/>
          <w:spacing w:val="-8"/>
          <w:w w:val="105"/>
        </w:rPr>
        <w:t> </w:t>
      </w:r>
      <w:r>
        <w:rPr>
          <w:color w:val="231F20"/>
          <w:w w:val="105"/>
        </w:rPr>
        <w:t>de</w:t>
      </w:r>
      <w:r>
        <w:rPr>
          <w:color w:val="231F20"/>
          <w:spacing w:val="-8"/>
          <w:w w:val="105"/>
        </w:rPr>
        <w:t> </w:t>
      </w:r>
      <w:r>
        <w:rPr>
          <w:color w:val="231F20"/>
          <w:spacing w:val="3"/>
          <w:w w:val="105"/>
        </w:rPr>
        <w:t>un </w:t>
      </w:r>
      <w:r>
        <w:rPr>
          <w:color w:val="231F20"/>
          <w:w w:val="105"/>
        </w:rPr>
        <w:t>representante en </w:t>
      </w:r>
      <w:r>
        <w:rPr>
          <w:color w:val="231F20"/>
          <w:spacing w:val="2"/>
          <w:w w:val="105"/>
        </w:rPr>
        <w:t>esta </w:t>
      </w:r>
      <w:r>
        <w:rPr>
          <w:color w:val="231F20"/>
          <w:w w:val="105"/>
        </w:rPr>
        <w:t>área deja vacío el lugar de quien debe </w:t>
      </w:r>
      <w:r>
        <w:rPr>
          <w:color w:val="231F20"/>
          <w:spacing w:val="3"/>
          <w:w w:val="105"/>
        </w:rPr>
        <w:t>estar </w:t>
      </w:r>
      <w:r>
        <w:rPr>
          <w:color w:val="231F20"/>
          <w:w w:val="105"/>
        </w:rPr>
        <w:t>atento a mantener la </w:t>
      </w:r>
      <w:r>
        <w:rPr>
          <w:color w:val="231F20"/>
          <w:spacing w:val="2"/>
          <w:w w:val="105"/>
        </w:rPr>
        <w:t>seguridad integral </w:t>
      </w:r>
      <w:r>
        <w:rPr>
          <w:color w:val="231F20"/>
          <w:w w:val="105"/>
        </w:rPr>
        <w:t>de la</w:t>
      </w:r>
      <w:r>
        <w:rPr>
          <w:color w:val="231F20"/>
          <w:spacing w:val="-23"/>
          <w:w w:val="105"/>
        </w:rPr>
        <w:t> </w:t>
      </w:r>
      <w:r>
        <w:rPr>
          <w:color w:val="231F20"/>
          <w:w w:val="105"/>
        </w:rPr>
        <w:t>sociedad.</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Un área catalogada como necesaria para la administración municipal es la Conse- jería Jurídica que también se quedó sin responsable, la importancia de ésta radica en que su objetivo es apoyar a las dependencias del Ayuntamiento en los trámites legales, con la finalidad de dar protección jurídica y legal (Manual, 2007: 45), por lo que la ausencia de un Consejero Jurídico hace que la asesoría legal se vea disminuida y que su apoyo en cuestiones como elaboración de contratos, respuesta a demandas y demás no sea oportuno.</w:t>
      </w:r>
    </w:p>
    <w:p>
      <w:pPr>
        <w:pStyle w:val="BodyText"/>
        <w:spacing w:before="1"/>
        <w:rPr>
          <w:sz w:val="26"/>
        </w:rPr>
      </w:pPr>
    </w:p>
    <w:p>
      <w:pPr>
        <w:pStyle w:val="BodyText"/>
        <w:spacing w:line="285" w:lineRule="auto"/>
        <w:ind w:left="110" w:right="107"/>
        <w:jc w:val="both"/>
      </w:pPr>
      <w:r>
        <w:rPr>
          <w:color w:val="231F20"/>
          <w:w w:val="105"/>
        </w:rPr>
        <w:t>Otra área prioritaria para la administración municipal, que tiene como objetivo el ins- trumentar los sistemas de administración de personal y de los recursos materiales, fi- nancieros</w:t>
      </w:r>
      <w:r>
        <w:rPr>
          <w:color w:val="231F20"/>
          <w:spacing w:val="-4"/>
          <w:w w:val="105"/>
        </w:rPr>
        <w:t> </w:t>
      </w:r>
      <w:r>
        <w:rPr>
          <w:color w:val="231F20"/>
          <w:w w:val="105"/>
        </w:rPr>
        <w:t>y</w:t>
      </w:r>
      <w:r>
        <w:rPr>
          <w:color w:val="231F20"/>
          <w:spacing w:val="-4"/>
          <w:w w:val="105"/>
        </w:rPr>
        <w:t> </w:t>
      </w:r>
      <w:r>
        <w:rPr>
          <w:color w:val="231F20"/>
          <w:w w:val="105"/>
        </w:rPr>
        <w:t>técnicos</w:t>
      </w:r>
      <w:r>
        <w:rPr>
          <w:color w:val="231F20"/>
          <w:spacing w:val="-4"/>
          <w:w w:val="105"/>
        </w:rPr>
        <w:t> </w:t>
      </w:r>
      <w:r>
        <w:rPr>
          <w:color w:val="231F20"/>
          <w:w w:val="105"/>
        </w:rPr>
        <w:t>del</w:t>
      </w:r>
      <w:r>
        <w:rPr>
          <w:color w:val="231F20"/>
          <w:spacing w:val="-4"/>
          <w:w w:val="105"/>
        </w:rPr>
        <w:t> </w:t>
      </w:r>
      <w:r>
        <w:rPr>
          <w:color w:val="231F20"/>
          <w:w w:val="105"/>
        </w:rPr>
        <w:t>municipio,</w:t>
      </w:r>
      <w:r>
        <w:rPr>
          <w:color w:val="231F20"/>
          <w:spacing w:val="-4"/>
          <w:w w:val="105"/>
        </w:rPr>
        <w:t> </w:t>
      </w:r>
      <w:r>
        <w:rPr>
          <w:color w:val="231F20"/>
          <w:w w:val="105"/>
        </w:rPr>
        <w:t>así</w:t>
      </w:r>
      <w:r>
        <w:rPr>
          <w:color w:val="231F20"/>
          <w:spacing w:val="-4"/>
          <w:w w:val="105"/>
        </w:rPr>
        <w:t> </w:t>
      </w:r>
      <w:r>
        <w:rPr>
          <w:color w:val="231F20"/>
          <w:w w:val="105"/>
        </w:rPr>
        <w:t>como</w:t>
      </w:r>
      <w:r>
        <w:rPr>
          <w:color w:val="231F20"/>
          <w:spacing w:val="-4"/>
          <w:w w:val="105"/>
        </w:rPr>
        <w:t> </w:t>
      </w:r>
      <w:r>
        <w:rPr>
          <w:color w:val="231F20"/>
          <w:w w:val="105"/>
        </w:rPr>
        <w:t>la</w:t>
      </w:r>
      <w:r>
        <w:rPr>
          <w:color w:val="231F20"/>
          <w:spacing w:val="-4"/>
          <w:w w:val="105"/>
        </w:rPr>
        <w:t> </w:t>
      </w:r>
      <w:r>
        <w:rPr>
          <w:color w:val="231F20"/>
          <w:w w:val="105"/>
        </w:rPr>
        <w:t>prestación</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servicios</w:t>
      </w:r>
      <w:r>
        <w:rPr>
          <w:color w:val="231F20"/>
          <w:spacing w:val="-4"/>
          <w:w w:val="105"/>
        </w:rPr>
        <w:t> </w:t>
      </w:r>
      <w:r>
        <w:rPr>
          <w:color w:val="231F20"/>
          <w:w w:val="105"/>
        </w:rPr>
        <w:t>generales</w:t>
      </w:r>
      <w:r>
        <w:rPr>
          <w:color w:val="231F20"/>
          <w:spacing w:val="-4"/>
          <w:w w:val="105"/>
        </w:rPr>
        <w:t> </w:t>
      </w:r>
      <w:r>
        <w:rPr>
          <w:color w:val="231F20"/>
          <w:w w:val="105"/>
        </w:rPr>
        <w:t>a las</w:t>
      </w:r>
      <w:r>
        <w:rPr>
          <w:color w:val="231F20"/>
          <w:spacing w:val="-7"/>
          <w:w w:val="105"/>
        </w:rPr>
        <w:t> </w:t>
      </w:r>
      <w:r>
        <w:rPr>
          <w:color w:val="231F20"/>
          <w:w w:val="105"/>
        </w:rPr>
        <w:t>diversas</w:t>
      </w:r>
      <w:r>
        <w:rPr>
          <w:color w:val="231F20"/>
          <w:spacing w:val="-7"/>
          <w:w w:val="105"/>
        </w:rPr>
        <w:t> </w:t>
      </w:r>
      <w:r>
        <w:rPr>
          <w:color w:val="231F20"/>
          <w:w w:val="105"/>
        </w:rPr>
        <w:t>áreas</w:t>
      </w:r>
      <w:r>
        <w:rPr>
          <w:color w:val="231F20"/>
          <w:spacing w:val="-7"/>
          <w:w w:val="105"/>
        </w:rPr>
        <w:t> </w:t>
      </w:r>
      <w:r>
        <w:rPr>
          <w:color w:val="231F20"/>
          <w:w w:val="105"/>
        </w:rPr>
        <w:t>que</w:t>
      </w:r>
      <w:r>
        <w:rPr>
          <w:color w:val="231F20"/>
          <w:spacing w:val="-7"/>
          <w:w w:val="105"/>
        </w:rPr>
        <w:t> </w:t>
      </w:r>
      <w:r>
        <w:rPr>
          <w:color w:val="231F20"/>
          <w:w w:val="105"/>
        </w:rPr>
        <w:t>conforman</w:t>
      </w:r>
      <w:r>
        <w:rPr>
          <w:color w:val="231F20"/>
          <w:spacing w:val="-7"/>
          <w:w w:val="105"/>
        </w:rPr>
        <w:t> </w:t>
      </w:r>
      <w:r>
        <w:rPr>
          <w:color w:val="231F20"/>
          <w:spacing w:val="2"/>
          <w:w w:val="105"/>
        </w:rPr>
        <w:t>al</w:t>
      </w:r>
      <w:r>
        <w:rPr>
          <w:color w:val="231F20"/>
          <w:spacing w:val="-7"/>
          <w:w w:val="105"/>
        </w:rPr>
        <w:t> </w:t>
      </w:r>
      <w:r>
        <w:rPr>
          <w:color w:val="231F20"/>
          <w:w w:val="105"/>
        </w:rPr>
        <w:t>Ayuntamiento</w:t>
      </w:r>
      <w:r>
        <w:rPr>
          <w:color w:val="231F20"/>
          <w:spacing w:val="-7"/>
          <w:w w:val="105"/>
        </w:rPr>
        <w:t> </w:t>
      </w:r>
      <w:r>
        <w:rPr>
          <w:color w:val="231F20"/>
          <w:w w:val="105"/>
        </w:rPr>
        <w:t>de</w:t>
      </w:r>
      <w:r>
        <w:rPr>
          <w:color w:val="231F20"/>
          <w:spacing w:val="-7"/>
          <w:w w:val="105"/>
        </w:rPr>
        <w:t> </w:t>
      </w:r>
      <w:r>
        <w:rPr>
          <w:color w:val="231F20"/>
          <w:spacing w:val="-4"/>
          <w:w w:val="105"/>
        </w:rPr>
        <w:t>Tejupilco</w:t>
      </w:r>
      <w:r>
        <w:rPr>
          <w:color w:val="231F20"/>
          <w:spacing w:val="-7"/>
          <w:w w:val="105"/>
        </w:rPr>
        <w:t> </w:t>
      </w:r>
      <w:r>
        <w:rPr>
          <w:color w:val="231F20"/>
          <w:w w:val="105"/>
        </w:rPr>
        <w:t>(Manual,</w:t>
      </w:r>
      <w:r>
        <w:rPr>
          <w:color w:val="231F20"/>
          <w:spacing w:val="-7"/>
          <w:w w:val="105"/>
        </w:rPr>
        <w:t> </w:t>
      </w:r>
      <w:r>
        <w:rPr>
          <w:color w:val="231F20"/>
          <w:w w:val="105"/>
        </w:rPr>
        <w:t>2007:</w:t>
      </w:r>
      <w:r>
        <w:rPr>
          <w:color w:val="231F20"/>
          <w:spacing w:val="-7"/>
          <w:w w:val="105"/>
        </w:rPr>
        <w:t> </w:t>
      </w:r>
      <w:r>
        <w:rPr>
          <w:color w:val="231F20"/>
          <w:spacing w:val="-3"/>
          <w:w w:val="105"/>
        </w:rPr>
        <w:t>67),</w:t>
      </w:r>
      <w:r>
        <w:rPr>
          <w:color w:val="231F20"/>
          <w:spacing w:val="-7"/>
          <w:w w:val="105"/>
        </w:rPr>
        <w:t> </w:t>
      </w:r>
      <w:r>
        <w:rPr>
          <w:color w:val="231F20"/>
          <w:w w:val="105"/>
        </w:rPr>
        <w:t>es la Dirección de Administración, misma que no cuenta con un director por lo que las acciones</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área</w:t>
      </w:r>
      <w:r>
        <w:rPr>
          <w:color w:val="231F20"/>
          <w:spacing w:val="-9"/>
          <w:w w:val="105"/>
        </w:rPr>
        <w:t> </w:t>
      </w:r>
      <w:r>
        <w:rPr>
          <w:color w:val="231F20"/>
          <w:w w:val="105"/>
        </w:rPr>
        <w:t>básica</w:t>
      </w:r>
      <w:r>
        <w:rPr>
          <w:color w:val="231F20"/>
          <w:spacing w:val="-9"/>
          <w:w w:val="105"/>
        </w:rPr>
        <w:t> </w:t>
      </w:r>
      <w:r>
        <w:rPr>
          <w:color w:val="231F20"/>
          <w:w w:val="105"/>
        </w:rPr>
        <w:t>se</w:t>
      </w:r>
      <w:r>
        <w:rPr>
          <w:color w:val="231F20"/>
          <w:spacing w:val="-9"/>
          <w:w w:val="105"/>
        </w:rPr>
        <w:t> </w:t>
      </w:r>
      <w:r>
        <w:rPr>
          <w:color w:val="231F20"/>
          <w:w w:val="105"/>
        </w:rPr>
        <w:t>quedan</w:t>
      </w:r>
      <w:r>
        <w:rPr>
          <w:color w:val="231F20"/>
          <w:spacing w:val="-9"/>
          <w:w w:val="105"/>
        </w:rPr>
        <w:t> </w:t>
      </w:r>
      <w:r>
        <w:rPr>
          <w:color w:val="231F20"/>
          <w:w w:val="105"/>
        </w:rPr>
        <w:t>truncas.</w:t>
      </w:r>
    </w:p>
    <w:p>
      <w:pPr>
        <w:pStyle w:val="BodyText"/>
        <w:spacing w:before="2"/>
        <w:rPr>
          <w:sz w:val="20"/>
        </w:rPr>
      </w:pPr>
    </w:p>
    <w:p>
      <w:pPr>
        <w:pStyle w:val="Heading4"/>
        <w:rPr>
          <w:i/>
        </w:rPr>
      </w:pPr>
      <w:r>
        <w:rPr>
          <w:i/>
          <w:color w:val="231F20"/>
        </w:rPr>
        <w:t>Planeación y</w:t>
      </w:r>
      <w:r>
        <w:rPr>
          <w:i/>
          <w:color w:val="231F20"/>
          <w:spacing w:val="58"/>
        </w:rPr>
        <w:t> </w:t>
      </w:r>
      <w:r>
        <w:rPr>
          <w:i/>
          <w:color w:val="231F20"/>
        </w:rPr>
        <w:t>reglamentación</w:t>
      </w:r>
    </w:p>
    <w:p>
      <w:pPr>
        <w:pStyle w:val="BodyText"/>
        <w:spacing w:line="285" w:lineRule="auto" w:before="16"/>
        <w:ind w:left="110" w:right="107"/>
        <w:jc w:val="both"/>
      </w:pP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se</w:t>
      </w:r>
      <w:r>
        <w:rPr>
          <w:color w:val="231F20"/>
          <w:spacing w:val="-15"/>
          <w:w w:val="105"/>
        </w:rPr>
        <w:t> </w:t>
      </w:r>
      <w:r>
        <w:rPr>
          <w:color w:val="231F20"/>
          <w:w w:val="105"/>
        </w:rPr>
        <w:t>encuentra</w:t>
      </w:r>
      <w:r>
        <w:rPr>
          <w:color w:val="231F20"/>
          <w:spacing w:val="-15"/>
          <w:w w:val="105"/>
        </w:rPr>
        <w:t> </w:t>
      </w:r>
      <w:r>
        <w:rPr>
          <w:color w:val="231F20"/>
          <w:w w:val="105"/>
        </w:rPr>
        <w:t>jurídicamente</w:t>
      </w:r>
      <w:r>
        <w:rPr>
          <w:color w:val="231F20"/>
          <w:spacing w:val="-15"/>
          <w:w w:val="105"/>
        </w:rPr>
        <w:t> </w:t>
      </w:r>
      <w:r>
        <w:rPr>
          <w:color w:val="231F20"/>
          <w:w w:val="105"/>
        </w:rPr>
        <w:t>obligado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expedición</w:t>
      </w:r>
      <w:r>
        <w:rPr>
          <w:color w:val="231F20"/>
          <w:spacing w:val="-15"/>
          <w:w w:val="105"/>
        </w:rPr>
        <w:t> </w:t>
      </w:r>
      <w:r>
        <w:rPr>
          <w:color w:val="231F20"/>
          <w:w w:val="105"/>
        </w:rPr>
        <w:t>del</w:t>
      </w:r>
      <w:r>
        <w:rPr>
          <w:color w:val="231F20"/>
          <w:spacing w:val="-15"/>
          <w:w w:val="105"/>
        </w:rPr>
        <w:t> </w:t>
      </w:r>
      <w:r>
        <w:rPr>
          <w:color w:val="231F20"/>
          <w:w w:val="105"/>
        </w:rPr>
        <w:t>Bando</w:t>
      </w:r>
      <w:r>
        <w:rPr>
          <w:color w:val="231F20"/>
          <w:spacing w:val="-15"/>
          <w:w w:val="105"/>
        </w:rPr>
        <w:t> </w:t>
      </w:r>
      <w:r>
        <w:rPr>
          <w:color w:val="231F20"/>
          <w:w w:val="105"/>
        </w:rPr>
        <w:t>Municipal y a todas las normas necesarias para su organización y funcionamiento (Constitución, </w:t>
      </w:r>
      <w:r>
        <w:rPr>
          <w:color w:val="231F20"/>
          <w:spacing w:val="2"/>
          <w:w w:val="105"/>
        </w:rPr>
        <w:t>2009:</w:t>
      </w:r>
      <w:r>
        <w:rPr>
          <w:color w:val="231F20"/>
          <w:spacing w:val="-20"/>
          <w:w w:val="105"/>
        </w:rPr>
        <w:t> </w:t>
      </w:r>
      <w:r>
        <w:rPr>
          <w:color w:val="231F20"/>
          <w:spacing w:val="-4"/>
          <w:w w:val="105"/>
        </w:rPr>
        <w:t>63).</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0"/>
          <w:w w:val="105"/>
        </w:rPr>
        <w:t> </w:t>
      </w:r>
      <w:r>
        <w:rPr>
          <w:color w:val="231F20"/>
          <w:spacing w:val="-4"/>
          <w:w w:val="105"/>
        </w:rPr>
        <w:t>Tejupilco</w:t>
      </w:r>
      <w:r>
        <w:rPr>
          <w:color w:val="231F20"/>
          <w:spacing w:val="-20"/>
          <w:w w:val="105"/>
        </w:rPr>
        <w:t> </w:t>
      </w:r>
      <w:r>
        <w:rPr>
          <w:color w:val="231F20"/>
          <w:w w:val="105"/>
        </w:rPr>
        <w:t>se</w:t>
      </w:r>
      <w:r>
        <w:rPr>
          <w:color w:val="231F20"/>
          <w:spacing w:val="-20"/>
          <w:w w:val="105"/>
        </w:rPr>
        <w:t> </w:t>
      </w:r>
      <w:r>
        <w:rPr>
          <w:color w:val="231F20"/>
          <w:w w:val="105"/>
        </w:rPr>
        <w:t>tienen</w:t>
      </w:r>
      <w:r>
        <w:rPr>
          <w:color w:val="231F20"/>
          <w:spacing w:val="-20"/>
          <w:w w:val="105"/>
        </w:rPr>
        <w:t> </w:t>
      </w:r>
      <w:r>
        <w:rPr>
          <w:color w:val="231F20"/>
          <w:w w:val="105"/>
        </w:rPr>
        <w:t>como</w:t>
      </w:r>
      <w:r>
        <w:rPr>
          <w:color w:val="231F20"/>
          <w:spacing w:val="-20"/>
          <w:w w:val="105"/>
        </w:rPr>
        <w:t> </w:t>
      </w:r>
      <w:r>
        <w:rPr>
          <w:color w:val="231F20"/>
          <w:w w:val="105"/>
        </w:rPr>
        <w:t>normas</w:t>
      </w:r>
      <w:r>
        <w:rPr>
          <w:color w:val="231F20"/>
          <w:spacing w:val="-20"/>
          <w:w w:val="105"/>
        </w:rPr>
        <w:t> </w:t>
      </w:r>
      <w:r>
        <w:rPr>
          <w:color w:val="231F20"/>
          <w:w w:val="105"/>
        </w:rPr>
        <w:t>municipales</w:t>
      </w:r>
      <w:r>
        <w:rPr>
          <w:color w:val="231F20"/>
          <w:spacing w:val="-20"/>
          <w:w w:val="105"/>
        </w:rPr>
        <w:t> </w:t>
      </w:r>
      <w:r>
        <w:rPr>
          <w:color w:val="231F20"/>
          <w:w w:val="105"/>
        </w:rPr>
        <w:t>únicamente </w:t>
      </w:r>
      <w:r>
        <w:rPr>
          <w:color w:val="231F20"/>
          <w:spacing w:val="2"/>
          <w:w w:val="105"/>
        </w:rPr>
        <w:t>al</w:t>
      </w:r>
      <w:r>
        <w:rPr>
          <w:color w:val="231F20"/>
          <w:spacing w:val="-22"/>
          <w:w w:val="105"/>
        </w:rPr>
        <w:t> </w:t>
      </w:r>
      <w:r>
        <w:rPr>
          <w:color w:val="231F20"/>
          <w:w w:val="105"/>
        </w:rPr>
        <w:t>Bando</w:t>
      </w:r>
      <w:r>
        <w:rPr>
          <w:color w:val="231F20"/>
          <w:spacing w:val="-22"/>
          <w:w w:val="105"/>
        </w:rPr>
        <w:t> </w:t>
      </w:r>
      <w:r>
        <w:rPr>
          <w:color w:val="231F20"/>
          <w:w w:val="105"/>
        </w:rPr>
        <w:t>de</w:t>
      </w:r>
      <w:r>
        <w:rPr>
          <w:color w:val="231F20"/>
          <w:spacing w:val="-22"/>
          <w:w w:val="105"/>
        </w:rPr>
        <w:t> </w:t>
      </w:r>
      <w:r>
        <w:rPr>
          <w:color w:val="231F20"/>
          <w:w w:val="105"/>
        </w:rPr>
        <w:t>Policía</w:t>
      </w:r>
      <w:r>
        <w:rPr>
          <w:color w:val="231F20"/>
          <w:spacing w:val="-22"/>
          <w:w w:val="105"/>
        </w:rPr>
        <w:t> </w:t>
      </w:r>
      <w:r>
        <w:rPr>
          <w:color w:val="231F20"/>
          <w:w w:val="105"/>
        </w:rPr>
        <w:t>y</w:t>
      </w:r>
      <w:r>
        <w:rPr>
          <w:color w:val="231F20"/>
          <w:spacing w:val="-22"/>
          <w:w w:val="105"/>
        </w:rPr>
        <w:t> </w:t>
      </w:r>
      <w:r>
        <w:rPr>
          <w:color w:val="231F20"/>
          <w:w w:val="105"/>
        </w:rPr>
        <w:t>Buen</w:t>
      </w:r>
      <w:r>
        <w:rPr>
          <w:color w:val="231F20"/>
          <w:spacing w:val="-22"/>
          <w:w w:val="105"/>
        </w:rPr>
        <w:t> </w:t>
      </w:r>
      <w:r>
        <w:rPr>
          <w:color w:val="231F20"/>
          <w:w w:val="105"/>
        </w:rPr>
        <w:t>Gobierno</w:t>
      </w:r>
      <w:r>
        <w:rPr>
          <w:color w:val="231F20"/>
          <w:spacing w:val="-22"/>
          <w:w w:val="105"/>
        </w:rPr>
        <w:t> </w:t>
      </w:r>
      <w:r>
        <w:rPr>
          <w:color w:val="231F20"/>
          <w:w w:val="105"/>
        </w:rPr>
        <w:t>de</w:t>
      </w:r>
      <w:r>
        <w:rPr>
          <w:color w:val="231F20"/>
          <w:spacing w:val="-22"/>
          <w:w w:val="105"/>
        </w:rPr>
        <w:t> </w:t>
      </w:r>
      <w:r>
        <w:rPr>
          <w:color w:val="231F20"/>
          <w:spacing w:val="-3"/>
          <w:w w:val="105"/>
        </w:rPr>
        <w:t>2007,</w:t>
      </w:r>
      <w:r>
        <w:rPr>
          <w:color w:val="231F20"/>
          <w:spacing w:val="-22"/>
          <w:w w:val="105"/>
        </w:rPr>
        <w:t> </w:t>
      </w:r>
      <w:r>
        <w:rPr>
          <w:color w:val="231F20"/>
          <w:spacing w:val="3"/>
          <w:w w:val="105"/>
        </w:rPr>
        <w:t>2008</w:t>
      </w:r>
      <w:r>
        <w:rPr>
          <w:color w:val="231F20"/>
          <w:spacing w:val="-22"/>
          <w:w w:val="105"/>
        </w:rPr>
        <w:t> </w:t>
      </w:r>
      <w:r>
        <w:rPr>
          <w:color w:val="231F20"/>
          <w:w w:val="105"/>
        </w:rPr>
        <w:t>y</w:t>
      </w:r>
      <w:r>
        <w:rPr>
          <w:color w:val="231F20"/>
          <w:spacing w:val="-22"/>
          <w:w w:val="105"/>
        </w:rPr>
        <w:t> </w:t>
      </w:r>
      <w:r>
        <w:rPr>
          <w:color w:val="231F20"/>
          <w:spacing w:val="2"/>
          <w:w w:val="105"/>
        </w:rPr>
        <w:t>2009</w:t>
      </w:r>
      <w:r>
        <w:rPr>
          <w:color w:val="231F20"/>
          <w:spacing w:val="-22"/>
          <w:w w:val="105"/>
        </w:rPr>
        <w:t> </w:t>
      </w:r>
      <w:r>
        <w:rPr>
          <w:color w:val="231F20"/>
          <w:w w:val="105"/>
        </w:rPr>
        <w:t>además</w:t>
      </w:r>
      <w:r>
        <w:rPr>
          <w:color w:val="231F20"/>
          <w:spacing w:val="-22"/>
          <w:w w:val="105"/>
        </w:rPr>
        <w:t> </w:t>
      </w:r>
      <w:r>
        <w:rPr>
          <w:color w:val="231F20"/>
          <w:w w:val="105"/>
        </w:rPr>
        <w:t>del</w:t>
      </w:r>
      <w:r>
        <w:rPr>
          <w:color w:val="231F20"/>
          <w:spacing w:val="-22"/>
          <w:w w:val="105"/>
        </w:rPr>
        <w:t> </w:t>
      </w:r>
      <w:r>
        <w:rPr>
          <w:color w:val="231F20"/>
          <w:w w:val="105"/>
        </w:rPr>
        <w:t>Manual</w:t>
      </w:r>
      <w:r>
        <w:rPr>
          <w:color w:val="231F20"/>
          <w:spacing w:val="-22"/>
          <w:w w:val="105"/>
        </w:rPr>
        <w:t> </w:t>
      </w:r>
      <w:r>
        <w:rPr>
          <w:color w:val="231F20"/>
          <w:w w:val="105"/>
        </w:rPr>
        <w:t>de</w:t>
      </w:r>
      <w:r>
        <w:rPr>
          <w:color w:val="231F20"/>
          <w:spacing w:val="-22"/>
          <w:w w:val="105"/>
        </w:rPr>
        <w:t> </w:t>
      </w:r>
      <w:r>
        <w:rPr>
          <w:color w:val="231F20"/>
          <w:w w:val="105"/>
        </w:rPr>
        <w:t>Orga- nización</w:t>
      </w:r>
      <w:r>
        <w:rPr>
          <w:color w:val="231F20"/>
          <w:spacing w:val="-18"/>
          <w:w w:val="105"/>
        </w:rPr>
        <w:t> </w:t>
      </w:r>
      <w:r>
        <w:rPr>
          <w:color w:val="231F20"/>
          <w:w w:val="105"/>
        </w:rPr>
        <w:t>y</w:t>
      </w:r>
      <w:r>
        <w:rPr>
          <w:color w:val="231F20"/>
          <w:spacing w:val="-18"/>
          <w:w w:val="105"/>
        </w:rPr>
        <w:t> </w:t>
      </w:r>
      <w:r>
        <w:rPr>
          <w:color w:val="231F20"/>
          <w:w w:val="105"/>
        </w:rPr>
        <w:t>Operación</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de</w:t>
      </w:r>
      <w:r>
        <w:rPr>
          <w:color w:val="231F20"/>
          <w:spacing w:val="-18"/>
          <w:w w:val="105"/>
        </w:rPr>
        <w:t> </w:t>
      </w:r>
      <w:r>
        <w:rPr>
          <w:color w:val="231F20"/>
          <w:spacing w:val="-4"/>
          <w:w w:val="105"/>
        </w:rPr>
        <w:t>Tejupilco.</w:t>
      </w:r>
    </w:p>
    <w:p>
      <w:pPr>
        <w:pStyle w:val="BodyText"/>
        <w:spacing w:before="1"/>
        <w:rPr>
          <w:sz w:val="26"/>
        </w:rPr>
      </w:pPr>
    </w:p>
    <w:p>
      <w:pPr>
        <w:pStyle w:val="BodyText"/>
        <w:spacing w:line="285" w:lineRule="auto"/>
        <w:ind w:left="110" w:right="107"/>
        <w:jc w:val="both"/>
      </w:pPr>
      <w:r>
        <w:rPr>
          <w:color w:val="231F20"/>
          <w:w w:val="105"/>
        </w:rPr>
        <w:t>Esta situación refleja que el gobierno municipal no hace uso de la facultad concedida para la creación propia de normas que le permitan tener una mayor capacidad de go- bierno. Se queda con normas generales pero no específicas, como sería el caso de la elaboración</w:t>
      </w:r>
      <w:r>
        <w:rPr>
          <w:color w:val="231F20"/>
          <w:spacing w:val="-14"/>
          <w:w w:val="105"/>
        </w:rPr>
        <w:t> </w:t>
      </w:r>
      <w:r>
        <w:rPr>
          <w:color w:val="231F20"/>
          <w:w w:val="105"/>
        </w:rPr>
        <w:t>de</w:t>
      </w:r>
      <w:r>
        <w:rPr>
          <w:color w:val="231F20"/>
          <w:spacing w:val="-14"/>
          <w:w w:val="105"/>
        </w:rPr>
        <w:t> </w:t>
      </w:r>
      <w:r>
        <w:rPr>
          <w:color w:val="231F20"/>
          <w:w w:val="105"/>
        </w:rPr>
        <w:t>otros</w:t>
      </w:r>
      <w:r>
        <w:rPr>
          <w:color w:val="231F20"/>
          <w:spacing w:val="-14"/>
          <w:w w:val="105"/>
        </w:rPr>
        <w:t> </w:t>
      </w:r>
      <w:r>
        <w:rPr>
          <w:color w:val="231F20"/>
          <w:w w:val="105"/>
        </w:rPr>
        <w:t>manuales</w:t>
      </w:r>
      <w:r>
        <w:rPr>
          <w:color w:val="231F20"/>
          <w:spacing w:val="-14"/>
          <w:w w:val="105"/>
        </w:rPr>
        <w:t> </w:t>
      </w:r>
      <w:r>
        <w:rPr>
          <w:color w:val="231F20"/>
          <w:w w:val="105"/>
        </w:rPr>
        <w:t>o</w:t>
      </w:r>
      <w:r>
        <w:rPr>
          <w:color w:val="231F20"/>
          <w:spacing w:val="-14"/>
          <w:w w:val="105"/>
        </w:rPr>
        <w:t> </w:t>
      </w:r>
      <w:r>
        <w:rPr>
          <w:color w:val="231F20"/>
          <w:w w:val="105"/>
        </w:rPr>
        <w:t>de</w:t>
      </w:r>
      <w:r>
        <w:rPr>
          <w:color w:val="231F20"/>
          <w:spacing w:val="-14"/>
          <w:w w:val="105"/>
        </w:rPr>
        <w:t> </w:t>
      </w:r>
      <w:r>
        <w:rPr>
          <w:color w:val="231F20"/>
          <w:w w:val="105"/>
        </w:rPr>
        <w:t>reglamentos</w:t>
      </w:r>
      <w:r>
        <w:rPr>
          <w:color w:val="231F20"/>
          <w:spacing w:val="-14"/>
          <w:w w:val="105"/>
        </w:rPr>
        <w:t> </w:t>
      </w:r>
      <w:r>
        <w:rPr>
          <w:color w:val="231F20"/>
          <w:w w:val="105"/>
        </w:rPr>
        <w:t>que</w:t>
      </w:r>
      <w:r>
        <w:rPr>
          <w:color w:val="231F20"/>
          <w:spacing w:val="-14"/>
          <w:w w:val="105"/>
        </w:rPr>
        <w:t> </w:t>
      </w:r>
      <w:r>
        <w:rPr>
          <w:color w:val="231F20"/>
          <w:w w:val="105"/>
        </w:rPr>
        <w:t>le</w:t>
      </w:r>
      <w:r>
        <w:rPr>
          <w:color w:val="231F20"/>
          <w:spacing w:val="-14"/>
          <w:w w:val="105"/>
        </w:rPr>
        <w:t> </w:t>
      </w:r>
      <w:r>
        <w:rPr>
          <w:color w:val="231F20"/>
          <w:spacing w:val="2"/>
          <w:w w:val="105"/>
        </w:rPr>
        <w:t>sirvan</w:t>
      </w:r>
      <w:r>
        <w:rPr>
          <w:color w:val="231F20"/>
          <w:spacing w:val="-14"/>
          <w:w w:val="105"/>
        </w:rPr>
        <w:t> </w:t>
      </w:r>
      <w:r>
        <w:rPr>
          <w:color w:val="231F20"/>
          <w:w w:val="105"/>
        </w:rPr>
        <w:t>de</w:t>
      </w:r>
      <w:r>
        <w:rPr>
          <w:color w:val="231F20"/>
          <w:spacing w:val="-14"/>
          <w:w w:val="105"/>
        </w:rPr>
        <w:t> </w:t>
      </w:r>
      <w:r>
        <w:rPr>
          <w:color w:val="231F20"/>
          <w:w w:val="105"/>
        </w:rPr>
        <w:t>ayuda</w:t>
      </w:r>
      <w:r>
        <w:rPr>
          <w:color w:val="231F20"/>
          <w:spacing w:val="-14"/>
          <w:w w:val="105"/>
        </w:rPr>
        <w:t> </w:t>
      </w:r>
      <w:r>
        <w:rPr>
          <w:color w:val="231F20"/>
          <w:w w:val="105"/>
        </w:rPr>
        <w:t>para</w:t>
      </w:r>
      <w:r>
        <w:rPr>
          <w:color w:val="231F20"/>
          <w:spacing w:val="-14"/>
          <w:w w:val="105"/>
        </w:rPr>
        <w:t> </w:t>
      </w:r>
      <w:r>
        <w:rPr>
          <w:color w:val="231F20"/>
          <w:w w:val="105"/>
        </w:rPr>
        <w:t>especificar los</w:t>
      </w:r>
      <w:r>
        <w:rPr>
          <w:color w:val="231F20"/>
          <w:spacing w:val="-22"/>
          <w:w w:val="105"/>
        </w:rPr>
        <w:t> </w:t>
      </w:r>
      <w:r>
        <w:rPr>
          <w:color w:val="231F20"/>
          <w:w w:val="105"/>
        </w:rPr>
        <w:t>objetivos,</w:t>
      </w:r>
      <w:r>
        <w:rPr>
          <w:color w:val="231F20"/>
          <w:spacing w:val="-22"/>
          <w:w w:val="105"/>
        </w:rPr>
        <w:t> </w:t>
      </w:r>
      <w:r>
        <w:rPr>
          <w:color w:val="231F20"/>
          <w:w w:val="105"/>
        </w:rPr>
        <w:t>atribuciones,</w:t>
      </w:r>
      <w:r>
        <w:rPr>
          <w:color w:val="231F20"/>
          <w:spacing w:val="-22"/>
          <w:w w:val="105"/>
        </w:rPr>
        <w:t> </w:t>
      </w:r>
      <w:r>
        <w:rPr>
          <w:color w:val="231F20"/>
          <w:w w:val="105"/>
        </w:rPr>
        <w:t>derechos,</w:t>
      </w:r>
      <w:r>
        <w:rPr>
          <w:color w:val="231F20"/>
          <w:spacing w:val="-22"/>
          <w:w w:val="105"/>
        </w:rPr>
        <w:t> </w:t>
      </w:r>
      <w:r>
        <w:rPr>
          <w:color w:val="231F20"/>
          <w:w w:val="105"/>
        </w:rPr>
        <w:t>obligaciones</w:t>
      </w:r>
      <w:r>
        <w:rPr>
          <w:color w:val="231F20"/>
          <w:spacing w:val="-22"/>
          <w:w w:val="105"/>
        </w:rPr>
        <w:t> </w:t>
      </w:r>
      <w:r>
        <w:rPr>
          <w:color w:val="231F20"/>
          <w:w w:val="105"/>
        </w:rPr>
        <w:t>y</w:t>
      </w:r>
      <w:r>
        <w:rPr>
          <w:color w:val="231F20"/>
          <w:spacing w:val="-22"/>
          <w:w w:val="105"/>
        </w:rPr>
        <w:t> </w:t>
      </w:r>
      <w:r>
        <w:rPr>
          <w:color w:val="231F20"/>
          <w:w w:val="105"/>
        </w:rPr>
        <w:t>sanciones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miembros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es- tructura</w:t>
      </w:r>
      <w:r>
        <w:rPr>
          <w:color w:val="231F20"/>
          <w:spacing w:val="-8"/>
          <w:w w:val="105"/>
        </w:rPr>
        <w:t> </w:t>
      </w:r>
      <w:r>
        <w:rPr>
          <w:color w:val="231F20"/>
          <w:w w:val="105"/>
        </w:rPr>
        <w:t>administrativa</w:t>
      </w:r>
      <w:r>
        <w:rPr>
          <w:color w:val="231F20"/>
          <w:spacing w:val="-8"/>
          <w:w w:val="105"/>
        </w:rPr>
        <w:t> </w:t>
      </w:r>
      <w:r>
        <w:rPr>
          <w:color w:val="231F20"/>
          <w:w w:val="105"/>
        </w:rPr>
        <w:t>municipal.</w:t>
      </w:r>
      <w:r>
        <w:rPr>
          <w:color w:val="231F20"/>
          <w:spacing w:val="-8"/>
          <w:w w:val="105"/>
        </w:rPr>
        <w:t> </w:t>
      </w:r>
      <w:r>
        <w:rPr>
          <w:color w:val="231F20"/>
          <w:spacing w:val="-3"/>
          <w:w w:val="105"/>
        </w:rPr>
        <w:t>Un</w:t>
      </w:r>
      <w:r>
        <w:rPr>
          <w:color w:val="231F20"/>
          <w:spacing w:val="-8"/>
          <w:w w:val="105"/>
        </w:rPr>
        <w:t> </w:t>
      </w:r>
      <w:r>
        <w:rPr>
          <w:color w:val="231F20"/>
          <w:w w:val="105"/>
        </w:rPr>
        <w:t>gobierno</w:t>
      </w:r>
      <w:r>
        <w:rPr>
          <w:color w:val="231F20"/>
          <w:spacing w:val="-8"/>
          <w:w w:val="105"/>
        </w:rPr>
        <w:t> </w:t>
      </w:r>
      <w:r>
        <w:rPr>
          <w:color w:val="231F20"/>
          <w:w w:val="105"/>
        </w:rPr>
        <w:t>se</w:t>
      </w:r>
      <w:r>
        <w:rPr>
          <w:color w:val="231F20"/>
          <w:spacing w:val="-8"/>
          <w:w w:val="105"/>
        </w:rPr>
        <w:t> </w:t>
      </w:r>
      <w:r>
        <w:rPr>
          <w:color w:val="231F20"/>
          <w:w w:val="105"/>
        </w:rPr>
        <w:t>identifica</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creación</w:t>
      </w:r>
      <w:r>
        <w:rPr>
          <w:color w:val="231F20"/>
          <w:spacing w:val="-8"/>
          <w:w w:val="105"/>
        </w:rPr>
        <w:t> </w:t>
      </w:r>
      <w:r>
        <w:rPr>
          <w:color w:val="231F20"/>
          <w:w w:val="105"/>
        </w:rPr>
        <w:t>de</w:t>
      </w:r>
      <w:r>
        <w:rPr>
          <w:color w:val="231F20"/>
          <w:spacing w:val="-8"/>
          <w:w w:val="105"/>
        </w:rPr>
        <w:t> </w:t>
      </w:r>
      <w:r>
        <w:rPr>
          <w:color w:val="231F20"/>
          <w:w w:val="105"/>
        </w:rPr>
        <w:t>normas que permiten una mayor armonía social, pero en </w:t>
      </w:r>
      <w:r>
        <w:rPr>
          <w:color w:val="231F20"/>
          <w:spacing w:val="-4"/>
          <w:w w:val="105"/>
        </w:rPr>
        <w:t>Tejupilco </w:t>
      </w:r>
      <w:r>
        <w:rPr>
          <w:color w:val="231F20"/>
          <w:w w:val="105"/>
        </w:rPr>
        <w:t>esta parte se ha olvidado </w:t>
      </w:r>
      <w:r>
        <w:rPr>
          <w:color w:val="231F20"/>
          <w:spacing w:val="2"/>
          <w:w w:val="105"/>
        </w:rPr>
        <w:t>al </w:t>
      </w:r>
      <w:r>
        <w:rPr>
          <w:color w:val="231F20"/>
          <w:w w:val="105"/>
        </w:rPr>
        <w:t>no</w:t>
      </w:r>
      <w:r>
        <w:rPr>
          <w:color w:val="231F20"/>
          <w:spacing w:val="-8"/>
          <w:w w:val="105"/>
        </w:rPr>
        <w:t> </w:t>
      </w:r>
      <w:r>
        <w:rPr>
          <w:color w:val="231F20"/>
          <w:w w:val="105"/>
        </w:rPr>
        <w:t>establecer</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a</w:t>
      </w:r>
      <w:r>
        <w:rPr>
          <w:color w:val="231F20"/>
          <w:spacing w:val="-8"/>
          <w:w w:val="105"/>
        </w:rPr>
        <w:t> </w:t>
      </w:r>
      <w:r>
        <w:rPr>
          <w:color w:val="231F20"/>
          <w:w w:val="105"/>
        </w:rPr>
        <w:t>cada</w:t>
      </w:r>
      <w:r>
        <w:rPr>
          <w:color w:val="231F20"/>
          <w:spacing w:val="-8"/>
          <w:w w:val="105"/>
        </w:rPr>
        <w:t> </w:t>
      </w:r>
      <w:r>
        <w:rPr>
          <w:color w:val="231F20"/>
          <w:w w:val="105"/>
        </w:rPr>
        <w:t>unidad</w:t>
      </w:r>
      <w:r>
        <w:rPr>
          <w:color w:val="231F20"/>
          <w:spacing w:val="-8"/>
          <w:w w:val="105"/>
        </w:rPr>
        <w:t> </w:t>
      </w:r>
      <w:r>
        <w:rPr>
          <w:color w:val="231F20"/>
          <w:w w:val="105"/>
        </w:rPr>
        <w:t>administrativa</w:t>
      </w:r>
      <w:r>
        <w:rPr>
          <w:color w:val="231F20"/>
          <w:spacing w:val="-8"/>
          <w:w w:val="105"/>
        </w:rPr>
        <w:t> </w:t>
      </w:r>
      <w:r>
        <w:rPr>
          <w:color w:val="231F20"/>
          <w:w w:val="105"/>
        </w:rPr>
        <w:t>le</w:t>
      </w:r>
      <w:r>
        <w:rPr>
          <w:color w:val="231F20"/>
          <w:spacing w:val="-8"/>
          <w:w w:val="105"/>
        </w:rPr>
        <w:t> </w:t>
      </w:r>
      <w:r>
        <w:rPr>
          <w:color w:val="231F20"/>
          <w:w w:val="105"/>
        </w:rPr>
        <w:t>corresponde</w:t>
      </w:r>
      <w:r>
        <w:rPr>
          <w:color w:val="231F20"/>
          <w:spacing w:val="-8"/>
          <w:w w:val="105"/>
        </w:rPr>
        <w:t> </w:t>
      </w:r>
      <w:r>
        <w:rPr>
          <w:color w:val="231F20"/>
          <w:spacing w:val="-3"/>
          <w:w w:val="105"/>
        </w:rPr>
        <w:t>hacer.</w:t>
      </w:r>
    </w:p>
    <w:p>
      <w:pPr>
        <w:spacing w:after="0" w:line="285" w:lineRule="auto"/>
        <w:jc w:val="both"/>
        <w:sectPr>
          <w:footerReference w:type="default" r:id="rId364"/>
          <w:pgSz w:w="9640" w:h="12190"/>
          <w:pgMar w:footer="743" w:header="0" w:top="1120" w:bottom="940" w:left="740" w:right="740"/>
          <w:pgNumType w:start="150"/>
        </w:sectPr>
      </w:pPr>
    </w:p>
    <w:p>
      <w:pPr>
        <w:pStyle w:val="BodyText"/>
        <w:spacing w:before="3"/>
        <w:rPr>
          <w:sz w:val="11"/>
        </w:rPr>
      </w:pPr>
    </w:p>
    <w:p>
      <w:pPr>
        <w:pStyle w:val="BodyText"/>
        <w:spacing w:line="285" w:lineRule="auto" w:before="36"/>
        <w:ind w:left="110" w:right="109"/>
        <w:jc w:val="both"/>
      </w:pPr>
      <w:r>
        <w:rPr>
          <w:color w:val="231F20"/>
          <w:w w:val="105"/>
        </w:rPr>
        <w:t>Las</w:t>
      </w:r>
      <w:r>
        <w:rPr>
          <w:color w:val="231F20"/>
          <w:spacing w:val="-6"/>
          <w:w w:val="105"/>
        </w:rPr>
        <w:t> </w:t>
      </w:r>
      <w:r>
        <w:rPr>
          <w:color w:val="231F20"/>
          <w:w w:val="105"/>
        </w:rPr>
        <w:t>normas</w:t>
      </w:r>
      <w:r>
        <w:rPr>
          <w:color w:val="231F20"/>
          <w:spacing w:val="-6"/>
          <w:w w:val="105"/>
        </w:rPr>
        <w:t> </w:t>
      </w:r>
      <w:r>
        <w:rPr>
          <w:color w:val="231F20"/>
          <w:w w:val="105"/>
        </w:rPr>
        <w:t>emitidas</w:t>
      </w:r>
      <w:r>
        <w:rPr>
          <w:color w:val="231F20"/>
          <w:spacing w:val="-6"/>
          <w:w w:val="105"/>
        </w:rPr>
        <w:t> </w:t>
      </w:r>
      <w:r>
        <w:rPr>
          <w:color w:val="231F20"/>
          <w:w w:val="105"/>
        </w:rPr>
        <w:t>son</w:t>
      </w:r>
      <w:r>
        <w:rPr>
          <w:color w:val="231F20"/>
          <w:spacing w:val="-6"/>
          <w:w w:val="105"/>
        </w:rPr>
        <w:t> </w:t>
      </w:r>
      <w:r>
        <w:rPr>
          <w:color w:val="231F20"/>
          <w:w w:val="105"/>
        </w:rPr>
        <w:t>básicas,</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logra</w:t>
      </w:r>
      <w:r>
        <w:rPr>
          <w:color w:val="231F20"/>
          <w:spacing w:val="-6"/>
          <w:w w:val="105"/>
        </w:rPr>
        <w:t> </w:t>
      </w:r>
      <w:r>
        <w:rPr>
          <w:color w:val="231F20"/>
          <w:w w:val="105"/>
        </w:rPr>
        <w:t>apreciar</w:t>
      </w:r>
      <w:r>
        <w:rPr>
          <w:color w:val="231F20"/>
          <w:spacing w:val="-6"/>
          <w:w w:val="105"/>
        </w:rPr>
        <w:t> </w:t>
      </w:r>
      <w:r>
        <w:rPr>
          <w:color w:val="231F20"/>
          <w:w w:val="105"/>
        </w:rPr>
        <w:t>un</w:t>
      </w:r>
      <w:r>
        <w:rPr>
          <w:color w:val="231F20"/>
          <w:spacing w:val="-6"/>
          <w:w w:val="105"/>
        </w:rPr>
        <w:t> </w:t>
      </w:r>
      <w:r>
        <w:rPr>
          <w:color w:val="231F20"/>
          <w:w w:val="105"/>
        </w:rPr>
        <w:t>gobierno</w:t>
      </w:r>
      <w:r>
        <w:rPr>
          <w:color w:val="231F20"/>
          <w:spacing w:val="-6"/>
          <w:w w:val="105"/>
        </w:rPr>
        <w:t> </w:t>
      </w:r>
      <w:r>
        <w:rPr>
          <w:color w:val="231F20"/>
          <w:w w:val="105"/>
        </w:rPr>
        <w:t>municipal</w:t>
      </w:r>
      <w:r>
        <w:rPr>
          <w:color w:val="231F20"/>
          <w:spacing w:val="-6"/>
          <w:w w:val="105"/>
        </w:rPr>
        <w:t> </w:t>
      </w:r>
      <w:r>
        <w:rPr>
          <w:color w:val="231F20"/>
          <w:w w:val="105"/>
        </w:rPr>
        <w:t>regulado de mayor forma. Aún quedan asuntos que no se han atendido </w:t>
      </w:r>
      <w:r>
        <w:rPr>
          <w:color w:val="231F20"/>
          <w:spacing w:val="2"/>
          <w:w w:val="105"/>
        </w:rPr>
        <w:t>al </w:t>
      </w:r>
      <w:r>
        <w:rPr>
          <w:color w:val="231F20"/>
          <w:w w:val="105"/>
        </w:rPr>
        <w:t>evitar la creación de reglamentos o de manuales que permitan un gobierno</w:t>
      </w:r>
      <w:r>
        <w:rPr>
          <w:color w:val="231F20"/>
          <w:spacing w:val="-39"/>
          <w:w w:val="105"/>
        </w:rPr>
        <w:t> </w:t>
      </w:r>
      <w:r>
        <w:rPr>
          <w:color w:val="231F20"/>
          <w:spacing w:val="-3"/>
          <w:w w:val="105"/>
        </w:rPr>
        <w:t>mejor.</w:t>
      </w:r>
    </w:p>
    <w:p>
      <w:pPr>
        <w:pStyle w:val="BodyText"/>
        <w:spacing w:before="1"/>
        <w:rPr>
          <w:sz w:val="26"/>
        </w:rPr>
      </w:pPr>
    </w:p>
    <w:p>
      <w:pPr>
        <w:pStyle w:val="BodyText"/>
        <w:spacing w:line="285" w:lineRule="auto"/>
        <w:ind w:left="110" w:right="107"/>
        <w:jc w:val="both"/>
      </w:pPr>
      <w:r>
        <w:rPr>
          <w:color w:val="231F20"/>
        </w:rPr>
        <w:t>El Bando Municipal es el ordenamiento que regula el actuar de la autoridad municipal,  así como las obligaciones que los habitantes del municipio deben cumplir, regulando      su conducta en sociedad. En él se contemplan además las generalidades del municipio,  las especificaciones sobre el territorio y la población municipal. </w:t>
      </w:r>
      <w:r>
        <w:rPr>
          <w:color w:val="231F20"/>
          <w:spacing w:val="-3"/>
        </w:rPr>
        <w:t>También </w:t>
      </w:r>
      <w:r>
        <w:rPr>
          <w:color w:val="231F20"/>
        </w:rPr>
        <w:t>considera la organización y funcionamiento del gobierno municipal; los servicios públicos; el desa- rrollo urbano y planeación municipal; desarrollo social, económico, promoción turísti-   ca y protección </w:t>
      </w:r>
      <w:r>
        <w:rPr>
          <w:color w:val="231F20"/>
          <w:spacing w:val="2"/>
        </w:rPr>
        <w:t>al </w:t>
      </w:r>
      <w:r>
        <w:rPr>
          <w:color w:val="231F20"/>
        </w:rPr>
        <w:t>medio ambiente; seguridad pública y protección civil; las medidas de seguridad y restricciones; faltas, infracciones, sanciones y recursos administrativos y finalmente sobre la coordinación municipal de derechos    </w:t>
      </w:r>
      <w:r>
        <w:rPr>
          <w:color w:val="231F20"/>
          <w:spacing w:val="9"/>
        </w:rPr>
        <w:t> </w:t>
      </w:r>
      <w:r>
        <w:rPr>
          <w:color w:val="231F20"/>
        </w:rPr>
        <w:t>humanos.</w:t>
      </w:r>
    </w:p>
    <w:p>
      <w:pPr>
        <w:pStyle w:val="BodyText"/>
        <w:spacing w:before="1"/>
        <w:rPr>
          <w:sz w:val="26"/>
        </w:rPr>
      </w:pPr>
    </w:p>
    <w:p>
      <w:pPr>
        <w:pStyle w:val="BodyText"/>
        <w:spacing w:line="285" w:lineRule="auto"/>
        <w:ind w:left="110" w:right="108"/>
        <w:jc w:val="both"/>
      </w:pPr>
      <w:r>
        <w:rPr>
          <w:color w:val="231F20"/>
          <w:w w:val="105"/>
        </w:rPr>
        <w:t>En el bando del año </w:t>
      </w:r>
      <w:r>
        <w:rPr>
          <w:color w:val="231F20"/>
          <w:spacing w:val="3"/>
          <w:w w:val="105"/>
        </w:rPr>
        <w:t>2008, </w:t>
      </w:r>
      <w:r>
        <w:rPr>
          <w:color w:val="231F20"/>
          <w:w w:val="105"/>
        </w:rPr>
        <w:t>expedido por el Ayuntamiento de </w:t>
      </w:r>
      <w:r>
        <w:rPr>
          <w:color w:val="231F20"/>
          <w:spacing w:val="-4"/>
          <w:w w:val="105"/>
        </w:rPr>
        <w:t>Tejupilco, </w:t>
      </w:r>
      <w:r>
        <w:rPr>
          <w:color w:val="231F20"/>
          <w:w w:val="105"/>
        </w:rPr>
        <w:t>en el Título Cuarto</w:t>
      </w:r>
      <w:r>
        <w:rPr>
          <w:color w:val="231F20"/>
          <w:spacing w:val="-16"/>
          <w:w w:val="105"/>
        </w:rPr>
        <w:t> </w:t>
      </w:r>
      <w:r>
        <w:rPr>
          <w:color w:val="231F20"/>
          <w:w w:val="105"/>
        </w:rPr>
        <w:t>Organización</w:t>
      </w:r>
      <w:r>
        <w:rPr>
          <w:color w:val="231F20"/>
          <w:spacing w:val="-16"/>
          <w:w w:val="105"/>
        </w:rPr>
        <w:t> </w:t>
      </w:r>
      <w:r>
        <w:rPr>
          <w:color w:val="231F20"/>
          <w:w w:val="105"/>
        </w:rPr>
        <w:t>y</w:t>
      </w:r>
      <w:r>
        <w:rPr>
          <w:color w:val="231F20"/>
          <w:spacing w:val="-16"/>
          <w:w w:val="105"/>
        </w:rPr>
        <w:t> </w:t>
      </w:r>
      <w:r>
        <w:rPr>
          <w:color w:val="231F20"/>
          <w:w w:val="105"/>
        </w:rPr>
        <w:t>funcionamiento</w:t>
      </w:r>
      <w:r>
        <w:rPr>
          <w:color w:val="231F20"/>
          <w:spacing w:val="-16"/>
          <w:w w:val="105"/>
        </w:rPr>
        <w:t> </w:t>
      </w:r>
      <w:r>
        <w:rPr>
          <w:color w:val="231F20"/>
          <w:w w:val="105"/>
        </w:rPr>
        <w:t>del</w:t>
      </w:r>
      <w:r>
        <w:rPr>
          <w:color w:val="231F20"/>
          <w:spacing w:val="-16"/>
          <w:w w:val="105"/>
        </w:rPr>
        <w:t> </w:t>
      </w:r>
      <w:r>
        <w:rPr>
          <w:color w:val="231F20"/>
          <w:w w:val="105"/>
        </w:rPr>
        <w:t>gobierno</w:t>
      </w:r>
      <w:r>
        <w:rPr>
          <w:color w:val="231F20"/>
          <w:spacing w:val="-16"/>
          <w:w w:val="105"/>
        </w:rPr>
        <w:t> </w:t>
      </w:r>
      <w:r>
        <w:rPr>
          <w:color w:val="231F20"/>
          <w:w w:val="105"/>
        </w:rPr>
        <w:t>municipal</w:t>
      </w:r>
      <w:r>
        <w:rPr>
          <w:color w:val="231F20"/>
          <w:spacing w:val="-16"/>
          <w:w w:val="105"/>
        </w:rPr>
        <w:t> </w:t>
      </w:r>
      <w:r>
        <w:rPr>
          <w:color w:val="231F20"/>
          <w:w w:val="105"/>
        </w:rPr>
        <w:t>se</w:t>
      </w:r>
      <w:r>
        <w:rPr>
          <w:color w:val="231F20"/>
          <w:spacing w:val="-16"/>
          <w:w w:val="105"/>
        </w:rPr>
        <w:t> </w:t>
      </w:r>
      <w:r>
        <w:rPr>
          <w:color w:val="231F20"/>
          <w:w w:val="105"/>
        </w:rPr>
        <w:t>específica</w:t>
      </w:r>
      <w:r>
        <w:rPr>
          <w:color w:val="231F20"/>
          <w:spacing w:val="-16"/>
          <w:w w:val="105"/>
        </w:rPr>
        <w:t> </w:t>
      </w:r>
      <w:r>
        <w:rPr>
          <w:color w:val="231F20"/>
          <w:w w:val="105"/>
        </w:rPr>
        <w:t>la</w:t>
      </w:r>
      <w:r>
        <w:rPr>
          <w:color w:val="231F20"/>
          <w:spacing w:val="-16"/>
          <w:w w:val="105"/>
        </w:rPr>
        <w:t> </w:t>
      </w:r>
      <w:r>
        <w:rPr>
          <w:color w:val="231F20"/>
          <w:w w:val="105"/>
        </w:rPr>
        <w:t>existen- cia</w:t>
      </w:r>
      <w:r>
        <w:rPr>
          <w:color w:val="231F20"/>
          <w:spacing w:val="-15"/>
          <w:w w:val="105"/>
        </w:rPr>
        <w:t> </w:t>
      </w:r>
      <w:r>
        <w:rPr>
          <w:color w:val="231F20"/>
          <w:w w:val="105"/>
        </w:rPr>
        <w:t>de</w:t>
      </w:r>
      <w:r>
        <w:rPr>
          <w:color w:val="231F20"/>
          <w:spacing w:val="-15"/>
          <w:w w:val="105"/>
        </w:rPr>
        <w:t> </w:t>
      </w:r>
      <w:r>
        <w:rPr>
          <w:color w:val="231F20"/>
          <w:w w:val="105"/>
        </w:rPr>
        <w:t>dependencias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Administración</w:t>
      </w:r>
      <w:r>
        <w:rPr>
          <w:color w:val="231F20"/>
          <w:spacing w:val="-15"/>
          <w:w w:val="105"/>
        </w:rPr>
        <w:t> </w:t>
      </w:r>
      <w:r>
        <w:rPr>
          <w:color w:val="231F20"/>
          <w:w w:val="105"/>
        </w:rPr>
        <w:t>Pública</w:t>
      </w:r>
      <w:r>
        <w:rPr>
          <w:color w:val="231F20"/>
          <w:spacing w:val="-15"/>
          <w:w w:val="105"/>
        </w:rPr>
        <w:t> </w:t>
      </w:r>
      <w:r>
        <w:rPr>
          <w:color w:val="231F20"/>
          <w:w w:val="105"/>
        </w:rPr>
        <w:t>Municipal</w:t>
      </w:r>
      <w:r>
        <w:rPr>
          <w:color w:val="231F20"/>
          <w:spacing w:val="-15"/>
          <w:w w:val="105"/>
        </w:rPr>
        <w:t> </w:t>
      </w:r>
      <w:r>
        <w:rPr>
          <w:color w:val="231F20"/>
          <w:w w:val="105"/>
        </w:rPr>
        <w:t>que</w:t>
      </w:r>
      <w:r>
        <w:rPr>
          <w:color w:val="231F20"/>
          <w:spacing w:val="-15"/>
          <w:w w:val="105"/>
        </w:rPr>
        <w:t> </w:t>
      </w:r>
      <w:r>
        <w:rPr>
          <w:color w:val="231F20"/>
          <w:w w:val="105"/>
        </w:rPr>
        <w:t>tienen</w:t>
      </w:r>
      <w:r>
        <w:rPr>
          <w:color w:val="231F20"/>
          <w:spacing w:val="-15"/>
          <w:w w:val="105"/>
        </w:rPr>
        <w:t> </w:t>
      </w:r>
      <w:r>
        <w:rPr>
          <w:color w:val="231F20"/>
          <w:w w:val="105"/>
        </w:rPr>
        <w:t>como</w:t>
      </w:r>
      <w:r>
        <w:rPr>
          <w:color w:val="231F20"/>
          <w:spacing w:val="-15"/>
          <w:w w:val="105"/>
        </w:rPr>
        <w:t> </w:t>
      </w:r>
      <w:r>
        <w:rPr>
          <w:color w:val="231F20"/>
          <w:w w:val="105"/>
        </w:rPr>
        <w:t>finalidad ser</w:t>
      </w:r>
      <w:r>
        <w:rPr>
          <w:color w:val="231F20"/>
          <w:spacing w:val="-22"/>
          <w:w w:val="105"/>
        </w:rPr>
        <w:t> </w:t>
      </w:r>
      <w:r>
        <w:rPr>
          <w:color w:val="231F20"/>
          <w:w w:val="105"/>
        </w:rPr>
        <w:t>auxiliares</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w w:val="105"/>
        </w:rPr>
        <w:t>atribuciones</w:t>
      </w:r>
      <w:r>
        <w:rPr>
          <w:color w:val="231F20"/>
          <w:spacing w:val="-22"/>
          <w:w w:val="105"/>
        </w:rPr>
        <w:t> </w:t>
      </w:r>
      <w:r>
        <w:rPr>
          <w:color w:val="231F20"/>
          <w:w w:val="105"/>
        </w:rPr>
        <w:t>y</w:t>
      </w:r>
      <w:r>
        <w:rPr>
          <w:color w:val="231F20"/>
          <w:spacing w:val="-22"/>
          <w:w w:val="105"/>
        </w:rPr>
        <w:t> </w:t>
      </w:r>
      <w:r>
        <w:rPr>
          <w:color w:val="231F20"/>
          <w:w w:val="105"/>
        </w:rPr>
        <w:t>responsabilidades</w:t>
      </w:r>
      <w:r>
        <w:rPr>
          <w:color w:val="231F20"/>
          <w:spacing w:val="-22"/>
          <w:w w:val="105"/>
        </w:rPr>
        <w:t> </w:t>
      </w:r>
      <w:r>
        <w:rPr>
          <w:color w:val="231F20"/>
          <w:w w:val="105"/>
        </w:rPr>
        <w:t>ejecutivas</w:t>
      </w:r>
      <w:r>
        <w:rPr>
          <w:color w:val="231F20"/>
          <w:spacing w:val="-22"/>
          <w:w w:val="105"/>
        </w:rPr>
        <w:t> </w:t>
      </w:r>
      <w:r>
        <w:rPr>
          <w:color w:val="231F20"/>
          <w:w w:val="105"/>
        </w:rPr>
        <w:t>del</w:t>
      </w:r>
      <w:r>
        <w:rPr>
          <w:color w:val="231F20"/>
          <w:spacing w:val="-22"/>
          <w:w w:val="105"/>
        </w:rPr>
        <w:t> </w:t>
      </w:r>
      <w:r>
        <w:rPr>
          <w:color w:val="231F20"/>
          <w:w w:val="105"/>
        </w:rPr>
        <w:t>Ayuntamiento;</w:t>
      </w:r>
      <w:r>
        <w:rPr>
          <w:color w:val="231F20"/>
          <w:spacing w:val="-22"/>
          <w:w w:val="105"/>
        </w:rPr>
        <w:t> </w:t>
      </w:r>
      <w:r>
        <w:rPr>
          <w:color w:val="231F20"/>
          <w:w w:val="105"/>
        </w:rPr>
        <w:t>tam- bién</w:t>
      </w:r>
      <w:r>
        <w:rPr>
          <w:color w:val="231F20"/>
          <w:spacing w:val="-16"/>
          <w:w w:val="105"/>
        </w:rPr>
        <w:t> </w:t>
      </w:r>
      <w:r>
        <w:rPr>
          <w:color w:val="231F20"/>
          <w:w w:val="105"/>
        </w:rPr>
        <w:t>se</w:t>
      </w:r>
      <w:r>
        <w:rPr>
          <w:color w:val="231F20"/>
          <w:spacing w:val="-16"/>
          <w:w w:val="105"/>
        </w:rPr>
        <w:t> </w:t>
      </w:r>
      <w:r>
        <w:rPr>
          <w:color w:val="231F20"/>
          <w:w w:val="105"/>
        </w:rPr>
        <w:t>específica</w:t>
      </w:r>
      <w:r>
        <w:rPr>
          <w:color w:val="231F20"/>
          <w:spacing w:val="-16"/>
          <w:w w:val="105"/>
        </w:rPr>
        <w:t> </w:t>
      </w:r>
      <w:r>
        <w:rPr>
          <w:color w:val="231F20"/>
          <w:w w:val="105"/>
        </w:rPr>
        <w:t>la</w:t>
      </w:r>
      <w:r>
        <w:rPr>
          <w:color w:val="231F20"/>
          <w:spacing w:val="-16"/>
          <w:w w:val="105"/>
        </w:rPr>
        <w:t> </w:t>
      </w:r>
      <w:r>
        <w:rPr>
          <w:color w:val="231F20"/>
          <w:w w:val="105"/>
        </w:rPr>
        <w:t>subordinación</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mismas</w:t>
      </w:r>
      <w:r>
        <w:rPr>
          <w:color w:val="231F20"/>
          <w:spacing w:val="-16"/>
          <w:w w:val="105"/>
        </w:rPr>
        <w:t> </w:t>
      </w:r>
      <w:r>
        <w:rPr>
          <w:color w:val="231F20"/>
          <w:spacing w:val="2"/>
          <w:w w:val="105"/>
        </w:rPr>
        <w:t>al</w:t>
      </w:r>
      <w:r>
        <w:rPr>
          <w:color w:val="231F20"/>
          <w:spacing w:val="-16"/>
          <w:w w:val="105"/>
        </w:rPr>
        <w:t> </w:t>
      </w:r>
      <w:r>
        <w:rPr>
          <w:color w:val="231F20"/>
          <w:w w:val="105"/>
        </w:rPr>
        <w:t>presidente</w:t>
      </w:r>
      <w:r>
        <w:rPr>
          <w:color w:val="231F20"/>
          <w:spacing w:val="-16"/>
          <w:w w:val="105"/>
        </w:rPr>
        <w:t> </w:t>
      </w:r>
      <w:r>
        <w:rPr>
          <w:color w:val="231F20"/>
          <w:w w:val="105"/>
        </w:rPr>
        <w:t>municipal.</w:t>
      </w:r>
    </w:p>
    <w:p>
      <w:pPr>
        <w:pStyle w:val="BodyText"/>
        <w:spacing w:line="285" w:lineRule="auto" w:before="1"/>
        <w:ind w:left="677" w:right="4488"/>
      </w:pPr>
      <w:r>
        <w:rPr>
          <w:color w:val="231F20"/>
          <w:w w:val="105"/>
        </w:rPr>
        <w:t>I.- Secretaría del Ayuntamiento; II.-Tesorería Municipal;</w:t>
      </w:r>
    </w:p>
    <w:p>
      <w:pPr>
        <w:pStyle w:val="BodyText"/>
        <w:spacing w:before="1"/>
        <w:ind w:left="677" w:right="574"/>
      </w:pPr>
      <w:r>
        <w:rPr>
          <w:color w:val="231F20"/>
          <w:w w:val="105"/>
        </w:rPr>
        <w:t>III.- Contraloría Interna;</w:t>
      </w:r>
    </w:p>
    <w:p>
      <w:pPr>
        <w:pStyle w:val="BodyText"/>
        <w:spacing w:before="47"/>
        <w:ind w:left="677" w:right="574"/>
      </w:pPr>
      <w:r>
        <w:rPr>
          <w:color w:val="231F20"/>
        </w:rPr>
        <w:t>IV.- Oficialía del Registro Civil;</w:t>
      </w:r>
    </w:p>
    <w:p>
      <w:pPr>
        <w:pStyle w:val="BodyText"/>
        <w:spacing w:line="285" w:lineRule="auto" w:before="47"/>
        <w:ind w:left="677" w:right="3730"/>
      </w:pPr>
      <w:r>
        <w:rPr>
          <w:color w:val="231F20"/>
        </w:rPr>
        <w:t>V.- Oficialía Conciliadora y Calificadora, VI.- Dirección de:</w:t>
      </w:r>
    </w:p>
    <w:p>
      <w:pPr>
        <w:pStyle w:val="BodyText"/>
        <w:spacing w:line="285" w:lineRule="auto" w:before="1"/>
        <w:ind w:left="677" w:right="5353"/>
      </w:pPr>
      <w:r>
        <w:rPr>
          <w:color w:val="231F20"/>
          <w:w w:val="105"/>
        </w:rPr>
        <w:t>Gobernación; </w:t>
      </w:r>
      <w:r>
        <w:rPr>
          <w:color w:val="231F20"/>
        </w:rPr>
        <w:t>Seguridad Pública; </w:t>
      </w:r>
      <w:r>
        <w:rPr>
          <w:color w:val="231F20"/>
          <w:w w:val="105"/>
        </w:rPr>
        <w:t>Obras Públicas; Educación; Administración; </w:t>
      </w:r>
      <w:r>
        <w:rPr>
          <w:color w:val="231F20"/>
        </w:rPr>
        <w:t>Desarrollo Social;</w:t>
      </w:r>
    </w:p>
    <w:p>
      <w:pPr>
        <w:spacing w:after="0" w:line="285" w:lineRule="auto"/>
        <w:sectPr>
          <w:pgSz w:w="9640" w:h="12190"/>
          <w:pgMar w:header="0" w:footer="743" w:top="1120" w:bottom="940" w:left="740" w:right="740"/>
        </w:sectPr>
      </w:pPr>
    </w:p>
    <w:p>
      <w:pPr>
        <w:pStyle w:val="BodyText"/>
        <w:spacing w:before="3"/>
        <w:rPr>
          <w:sz w:val="11"/>
        </w:rPr>
      </w:pPr>
    </w:p>
    <w:p>
      <w:pPr>
        <w:pStyle w:val="BodyText"/>
        <w:spacing w:line="285" w:lineRule="auto" w:before="36"/>
        <w:ind w:left="677" w:right="4428"/>
      </w:pPr>
      <w:r>
        <w:rPr>
          <w:color w:val="231F20"/>
          <w:w w:val="105"/>
        </w:rPr>
        <w:t>Desarrollo Económico; Planeación y Desarrollo Urbano; Desarrollo Agropecuario.</w:t>
      </w:r>
    </w:p>
    <w:p>
      <w:pPr>
        <w:pStyle w:val="BodyText"/>
        <w:spacing w:line="285" w:lineRule="auto" w:before="1"/>
        <w:ind w:left="677" w:right="4568"/>
      </w:pPr>
      <w:r>
        <w:rPr>
          <w:color w:val="231F20"/>
        </w:rPr>
        <w:t>VII.- Coordinaciones de: Asesores de la Presidencia; Fiscal;</w:t>
      </w:r>
    </w:p>
    <w:p>
      <w:pPr>
        <w:pStyle w:val="BodyText"/>
        <w:spacing w:line="285" w:lineRule="auto" w:before="1"/>
        <w:ind w:left="677" w:right="4568"/>
      </w:pPr>
      <w:r>
        <w:rPr>
          <w:color w:val="231F20"/>
          <w:w w:val="105"/>
        </w:rPr>
        <w:t>Derechos Humanos, </w:t>
      </w:r>
      <w:r>
        <w:rPr>
          <w:color w:val="231F20"/>
        </w:rPr>
        <w:t>Comunicación Social,</w:t>
      </w:r>
    </w:p>
    <w:p>
      <w:pPr>
        <w:pStyle w:val="BodyText"/>
        <w:spacing w:line="285" w:lineRule="auto" w:before="1"/>
        <w:ind w:left="677" w:right="3205"/>
      </w:pPr>
      <w:r>
        <w:rPr>
          <w:color w:val="231F20"/>
        </w:rPr>
        <w:t>Del Instituto Municipal de Apoyo a la Mujer, VIII.- Organismos:</w:t>
      </w:r>
    </w:p>
    <w:p>
      <w:pPr>
        <w:pStyle w:val="BodyText"/>
        <w:spacing w:line="285" w:lineRule="auto" w:before="1"/>
        <w:ind w:left="677" w:right="1991"/>
      </w:pPr>
      <w:r>
        <w:rPr>
          <w:color w:val="231F20"/>
          <w:w w:val="105"/>
        </w:rPr>
        <w:t>Sistema Municipal para el Desarrollo Integral de la Familia IX.-Departamentos:</w:t>
      </w:r>
    </w:p>
    <w:p>
      <w:pPr>
        <w:pStyle w:val="BodyText"/>
        <w:spacing w:before="1"/>
        <w:ind w:left="677" w:right="574"/>
      </w:pPr>
      <w:r>
        <w:rPr>
          <w:color w:val="231F20"/>
          <w:w w:val="105"/>
        </w:rPr>
        <w:t>De Agua Potable</w:t>
      </w:r>
    </w:p>
    <w:p>
      <w:pPr>
        <w:pStyle w:val="BodyText"/>
        <w:spacing w:line="285" w:lineRule="auto" w:before="47"/>
        <w:ind w:left="677" w:right="5256"/>
      </w:pPr>
      <w:r>
        <w:rPr>
          <w:color w:val="231F20"/>
          <w:w w:val="105"/>
        </w:rPr>
        <w:t>De Catastro y Predial De Alumbrado Público</w:t>
      </w:r>
    </w:p>
    <w:p>
      <w:pPr>
        <w:pStyle w:val="BodyText"/>
        <w:spacing w:line="285" w:lineRule="auto" w:before="1"/>
        <w:ind w:left="677" w:right="4228"/>
      </w:pPr>
      <w:r>
        <w:rPr>
          <w:color w:val="231F20"/>
        </w:rPr>
        <w:t>De Protección al Medio Ambiente De Eventos Especiales</w:t>
      </w:r>
    </w:p>
    <w:p>
      <w:pPr>
        <w:pStyle w:val="BodyText"/>
        <w:spacing w:line="285" w:lineRule="auto" w:before="1"/>
        <w:ind w:left="677" w:right="5353"/>
      </w:pPr>
      <w:r>
        <w:rPr>
          <w:color w:val="231F20"/>
          <w:w w:val="105"/>
        </w:rPr>
        <w:t>De Parque Vehicular X.- Unidades de: </w:t>
      </w:r>
      <w:r>
        <w:rPr>
          <w:color w:val="231F20"/>
        </w:rPr>
        <w:t>Protección Civil</w:t>
      </w:r>
    </w:p>
    <w:p>
      <w:pPr>
        <w:pStyle w:val="BodyText"/>
        <w:spacing w:before="1"/>
        <w:ind w:left="677" w:right="574"/>
      </w:pPr>
      <w:r>
        <w:rPr>
          <w:color w:val="231F20"/>
          <w:w w:val="105"/>
        </w:rPr>
        <w:t>Transparencia y acceso a la Información Pública</w:t>
      </w:r>
    </w:p>
    <w:p>
      <w:pPr>
        <w:pStyle w:val="BodyText"/>
        <w:spacing w:before="2"/>
        <w:rPr>
          <w:sz w:val="30"/>
        </w:rPr>
      </w:pPr>
    </w:p>
    <w:p>
      <w:pPr>
        <w:pStyle w:val="BodyText"/>
        <w:spacing w:line="285" w:lineRule="auto"/>
        <w:ind w:left="110" w:right="107"/>
        <w:jc w:val="both"/>
      </w:pPr>
      <w:r>
        <w:rPr>
          <w:color w:val="231F20"/>
          <w:w w:val="105"/>
        </w:rPr>
        <w:t>Si</w:t>
      </w:r>
      <w:r>
        <w:rPr>
          <w:color w:val="231F20"/>
          <w:spacing w:val="-19"/>
          <w:w w:val="105"/>
        </w:rPr>
        <w:t> </w:t>
      </w:r>
      <w:r>
        <w:rPr>
          <w:color w:val="231F20"/>
          <w:w w:val="105"/>
        </w:rPr>
        <w:t>bien</w:t>
      </w:r>
      <w:r>
        <w:rPr>
          <w:color w:val="231F20"/>
          <w:spacing w:val="-19"/>
          <w:w w:val="105"/>
        </w:rPr>
        <w:t> </w:t>
      </w:r>
      <w:r>
        <w:rPr>
          <w:color w:val="231F20"/>
          <w:w w:val="105"/>
        </w:rPr>
        <w:t>dentro</w:t>
      </w:r>
      <w:r>
        <w:rPr>
          <w:color w:val="231F20"/>
          <w:spacing w:val="-19"/>
          <w:w w:val="105"/>
        </w:rPr>
        <w:t> </w:t>
      </w:r>
      <w:r>
        <w:rPr>
          <w:color w:val="231F20"/>
          <w:w w:val="105"/>
        </w:rPr>
        <w:t>del</w:t>
      </w:r>
      <w:r>
        <w:rPr>
          <w:color w:val="231F20"/>
          <w:spacing w:val="-19"/>
          <w:w w:val="105"/>
        </w:rPr>
        <w:t> </w:t>
      </w:r>
      <w:r>
        <w:rPr>
          <w:color w:val="231F20"/>
          <w:w w:val="105"/>
        </w:rPr>
        <w:t>Bando</w:t>
      </w:r>
      <w:r>
        <w:rPr>
          <w:color w:val="231F20"/>
          <w:spacing w:val="-19"/>
          <w:w w:val="105"/>
        </w:rPr>
        <w:t> </w:t>
      </w:r>
      <w:r>
        <w:rPr>
          <w:color w:val="231F20"/>
          <w:w w:val="105"/>
        </w:rPr>
        <w:t>Municipal</w:t>
      </w:r>
      <w:r>
        <w:rPr>
          <w:color w:val="231F20"/>
          <w:spacing w:val="-19"/>
          <w:w w:val="105"/>
        </w:rPr>
        <w:t> </w:t>
      </w:r>
      <w:r>
        <w:rPr>
          <w:color w:val="231F20"/>
          <w:w w:val="105"/>
        </w:rPr>
        <w:t>no</w:t>
      </w:r>
      <w:r>
        <w:rPr>
          <w:color w:val="231F20"/>
          <w:spacing w:val="-19"/>
          <w:w w:val="105"/>
        </w:rPr>
        <w:t> </w:t>
      </w:r>
      <w:r>
        <w:rPr>
          <w:color w:val="231F20"/>
          <w:w w:val="105"/>
        </w:rPr>
        <w:t>se</w:t>
      </w:r>
      <w:r>
        <w:rPr>
          <w:color w:val="231F20"/>
          <w:spacing w:val="-19"/>
          <w:w w:val="105"/>
        </w:rPr>
        <w:t> </w:t>
      </w:r>
      <w:r>
        <w:rPr>
          <w:color w:val="231F20"/>
          <w:w w:val="105"/>
        </w:rPr>
        <w:t>establecen</w:t>
      </w:r>
      <w:r>
        <w:rPr>
          <w:color w:val="231F20"/>
          <w:spacing w:val="-19"/>
          <w:w w:val="105"/>
        </w:rPr>
        <w:t> </w:t>
      </w:r>
      <w:r>
        <w:rPr>
          <w:color w:val="231F20"/>
          <w:w w:val="105"/>
        </w:rPr>
        <w:t>las</w:t>
      </w:r>
      <w:r>
        <w:rPr>
          <w:color w:val="231F20"/>
          <w:spacing w:val="-19"/>
          <w:w w:val="105"/>
        </w:rPr>
        <w:t> </w:t>
      </w:r>
      <w:r>
        <w:rPr>
          <w:color w:val="231F20"/>
          <w:w w:val="105"/>
        </w:rPr>
        <w:t>atribuciones</w:t>
      </w:r>
      <w:r>
        <w:rPr>
          <w:color w:val="231F20"/>
          <w:spacing w:val="-19"/>
          <w:w w:val="105"/>
        </w:rPr>
        <w:t> </w:t>
      </w:r>
      <w:r>
        <w:rPr>
          <w:color w:val="231F20"/>
          <w:w w:val="105"/>
        </w:rPr>
        <w:t>de</w:t>
      </w:r>
      <w:r>
        <w:rPr>
          <w:color w:val="231F20"/>
          <w:spacing w:val="-19"/>
          <w:w w:val="105"/>
        </w:rPr>
        <w:t> </w:t>
      </w:r>
      <w:r>
        <w:rPr>
          <w:color w:val="231F20"/>
          <w:w w:val="105"/>
        </w:rPr>
        <w:t>cada</w:t>
      </w:r>
      <w:r>
        <w:rPr>
          <w:color w:val="231F20"/>
          <w:spacing w:val="-19"/>
          <w:w w:val="105"/>
        </w:rPr>
        <w:t> </w:t>
      </w:r>
      <w:r>
        <w:rPr>
          <w:color w:val="231F20"/>
          <w:w w:val="105"/>
        </w:rPr>
        <w:t>unidad</w:t>
      </w:r>
      <w:r>
        <w:rPr>
          <w:color w:val="231F20"/>
          <w:spacing w:val="-19"/>
          <w:w w:val="105"/>
        </w:rPr>
        <w:t> </w:t>
      </w:r>
      <w:r>
        <w:rPr>
          <w:color w:val="231F20"/>
          <w:w w:val="105"/>
        </w:rPr>
        <w:t>ad- ministrativa,</w:t>
      </w:r>
      <w:r>
        <w:rPr>
          <w:color w:val="231F20"/>
          <w:spacing w:val="-21"/>
          <w:w w:val="105"/>
        </w:rPr>
        <w:t> </w:t>
      </w:r>
      <w:r>
        <w:rPr>
          <w:color w:val="231F20"/>
          <w:w w:val="105"/>
        </w:rPr>
        <w:t>si</w:t>
      </w:r>
      <w:r>
        <w:rPr>
          <w:color w:val="231F20"/>
          <w:spacing w:val="-21"/>
          <w:w w:val="105"/>
        </w:rPr>
        <w:t> </w:t>
      </w:r>
      <w:r>
        <w:rPr>
          <w:color w:val="231F20"/>
          <w:w w:val="105"/>
        </w:rPr>
        <w:t>se</w:t>
      </w:r>
      <w:r>
        <w:rPr>
          <w:color w:val="231F20"/>
          <w:spacing w:val="-21"/>
          <w:w w:val="105"/>
        </w:rPr>
        <w:t> </w:t>
      </w:r>
      <w:r>
        <w:rPr>
          <w:color w:val="231F20"/>
          <w:w w:val="105"/>
        </w:rPr>
        <w:t>hace</w:t>
      </w:r>
      <w:r>
        <w:rPr>
          <w:color w:val="231F20"/>
          <w:spacing w:val="-21"/>
          <w:w w:val="105"/>
        </w:rPr>
        <w:t> </w:t>
      </w:r>
      <w:r>
        <w:rPr>
          <w:color w:val="231F20"/>
          <w:w w:val="105"/>
        </w:rPr>
        <w:t>dentro</w:t>
      </w:r>
      <w:r>
        <w:rPr>
          <w:color w:val="231F20"/>
          <w:spacing w:val="-21"/>
          <w:w w:val="105"/>
        </w:rPr>
        <w:t> </w:t>
      </w:r>
      <w:r>
        <w:rPr>
          <w:color w:val="231F20"/>
          <w:w w:val="105"/>
        </w:rPr>
        <w:t>del</w:t>
      </w:r>
      <w:r>
        <w:rPr>
          <w:color w:val="231F20"/>
          <w:spacing w:val="-21"/>
          <w:w w:val="105"/>
        </w:rPr>
        <w:t> </w:t>
      </w:r>
      <w:r>
        <w:rPr>
          <w:color w:val="231F20"/>
          <w:w w:val="105"/>
        </w:rPr>
        <w:t>Manual</w:t>
      </w:r>
      <w:r>
        <w:rPr>
          <w:color w:val="231F20"/>
          <w:spacing w:val="-21"/>
          <w:w w:val="105"/>
        </w:rPr>
        <w:t> </w:t>
      </w:r>
      <w:r>
        <w:rPr>
          <w:color w:val="231F20"/>
          <w:w w:val="105"/>
        </w:rPr>
        <w:t>de</w:t>
      </w:r>
      <w:r>
        <w:rPr>
          <w:color w:val="231F20"/>
          <w:spacing w:val="-21"/>
          <w:w w:val="105"/>
        </w:rPr>
        <w:t> </w:t>
      </w:r>
      <w:r>
        <w:rPr>
          <w:color w:val="231F20"/>
          <w:w w:val="105"/>
        </w:rPr>
        <w:t>Organización</w:t>
      </w:r>
      <w:r>
        <w:rPr>
          <w:color w:val="231F20"/>
          <w:spacing w:val="-21"/>
          <w:w w:val="105"/>
        </w:rPr>
        <w:t> </w:t>
      </w:r>
      <w:r>
        <w:rPr>
          <w:color w:val="231F20"/>
          <w:w w:val="105"/>
        </w:rPr>
        <w:t>y</w:t>
      </w:r>
      <w:r>
        <w:rPr>
          <w:color w:val="231F20"/>
          <w:spacing w:val="-21"/>
          <w:w w:val="105"/>
        </w:rPr>
        <w:t> </w:t>
      </w:r>
      <w:r>
        <w:rPr>
          <w:color w:val="231F20"/>
          <w:w w:val="105"/>
        </w:rPr>
        <w:t>Procedimientos</w:t>
      </w:r>
      <w:r>
        <w:rPr>
          <w:color w:val="231F20"/>
          <w:spacing w:val="-21"/>
          <w:w w:val="105"/>
        </w:rPr>
        <w:t> </w:t>
      </w:r>
      <w:r>
        <w:rPr>
          <w:color w:val="231F20"/>
          <w:w w:val="105"/>
        </w:rPr>
        <w:t>de</w:t>
      </w:r>
      <w:r>
        <w:rPr>
          <w:color w:val="231F20"/>
          <w:spacing w:val="-21"/>
          <w:w w:val="105"/>
        </w:rPr>
        <w:t> </w:t>
      </w:r>
      <w:r>
        <w:rPr>
          <w:color w:val="231F20"/>
          <w:spacing w:val="-4"/>
          <w:w w:val="105"/>
        </w:rPr>
        <w:t>Tejupil- </w:t>
      </w:r>
      <w:r>
        <w:rPr>
          <w:color w:val="231F20"/>
          <w:w w:val="105"/>
        </w:rPr>
        <w:t>co</w:t>
      </w:r>
      <w:r>
        <w:rPr>
          <w:color w:val="231F20"/>
          <w:spacing w:val="-15"/>
          <w:w w:val="105"/>
        </w:rPr>
        <w:t> </w:t>
      </w:r>
      <w:r>
        <w:rPr>
          <w:color w:val="231F20"/>
          <w:w w:val="105"/>
        </w:rPr>
        <w:t>(2007),</w:t>
      </w:r>
      <w:r>
        <w:rPr>
          <w:color w:val="231F20"/>
          <w:spacing w:val="-15"/>
          <w:w w:val="105"/>
        </w:rPr>
        <w:t> </w:t>
      </w:r>
      <w:r>
        <w:rPr>
          <w:color w:val="231F20"/>
          <w:w w:val="105"/>
        </w:rPr>
        <w:t>aunque</w:t>
      </w:r>
      <w:r>
        <w:rPr>
          <w:color w:val="231F20"/>
          <w:spacing w:val="-15"/>
          <w:w w:val="105"/>
        </w:rPr>
        <w:t> </w:t>
      </w:r>
      <w:r>
        <w:rPr>
          <w:color w:val="231F20"/>
          <w:w w:val="105"/>
        </w:rPr>
        <w:t>la</w:t>
      </w:r>
      <w:r>
        <w:rPr>
          <w:color w:val="231F20"/>
          <w:spacing w:val="-15"/>
          <w:w w:val="105"/>
        </w:rPr>
        <w:t> </w:t>
      </w:r>
      <w:r>
        <w:rPr>
          <w:color w:val="231F20"/>
          <w:w w:val="105"/>
        </w:rPr>
        <w:t>opción</w:t>
      </w:r>
      <w:r>
        <w:rPr>
          <w:color w:val="231F20"/>
          <w:spacing w:val="-15"/>
          <w:w w:val="105"/>
        </w:rPr>
        <w:t> </w:t>
      </w:r>
      <w:r>
        <w:rPr>
          <w:color w:val="231F20"/>
          <w:w w:val="105"/>
        </w:rPr>
        <w:t>favorable</w:t>
      </w:r>
      <w:r>
        <w:rPr>
          <w:color w:val="231F20"/>
          <w:spacing w:val="-15"/>
          <w:w w:val="105"/>
        </w:rPr>
        <w:t> </w:t>
      </w:r>
      <w:r>
        <w:rPr>
          <w:color w:val="231F20"/>
          <w:w w:val="105"/>
        </w:rPr>
        <w:t>sería</w:t>
      </w:r>
      <w:r>
        <w:rPr>
          <w:color w:val="231F20"/>
          <w:spacing w:val="-15"/>
          <w:w w:val="105"/>
        </w:rPr>
        <w:t> </w:t>
      </w:r>
      <w:r>
        <w:rPr>
          <w:color w:val="231F20"/>
          <w:w w:val="105"/>
        </w:rPr>
        <w:t>que</w:t>
      </w:r>
      <w:r>
        <w:rPr>
          <w:color w:val="231F20"/>
          <w:spacing w:val="-15"/>
          <w:w w:val="105"/>
        </w:rPr>
        <w:t> </w:t>
      </w:r>
      <w:r>
        <w:rPr>
          <w:color w:val="231F20"/>
          <w:w w:val="105"/>
        </w:rPr>
        <w:t>éstas</w:t>
      </w:r>
      <w:r>
        <w:rPr>
          <w:color w:val="231F20"/>
          <w:spacing w:val="-15"/>
          <w:w w:val="105"/>
        </w:rPr>
        <w:t> </w:t>
      </w:r>
      <w:r>
        <w:rPr>
          <w:color w:val="231F20"/>
          <w:w w:val="105"/>
        </w:rPr>
        <w:t>se</w:t>
      </w:r>
      <w:r>
        <w:rPr>
          <w:color w:val="231F20"/>
          <w:spacing w:val="-15"/>
          <w:w w:val="105"/>
        </w:rPr>
        <w:t> </w:t>
      </w:r>
      <w:r>
        <w:rPr>
          <w:color w:val="231F20"/>
          <w:w w:val="105"/>
        </w:rPr>
        <w:t>establecieran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Reglamento de</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w w:val="105"/>
        </w:rPr>
        <w:t>Pública</w:t>
      </w:r>
      <w:r>
        <w:rPr>
          <w:color w:val="231F20"/>
          <w:spacing w:val="-14"/>
          <w:w w:val="105"/>
        </w:rPr>
        <w:t> </w:t>
      </w:r>
      <w:r>
        <w:rPr>
          <w:color w:val="231F20"/>
          <w:w w:val="105"/>
        </w:rPr>
        <w:t>Municipal,</w:t>
      </w:r>
      <w:r>
        <w:rPr>
          <w:color w:val="231F20"/>
          <w:spacing w:val="-14"/>
          <w:w w:val="105"/>
        </w:rPr>
        <w:t> </w:t>
      </w:r>
      <w:r>
        <w:rPr>
          <w:color w:val="231F20"/>
          <w:w w:val="105"/>
        </w:rPr>
        <w:t>pero</w:t>
      </w:r>
      <w:r>
        <w:rPr>
          <w:color w:val="231F20"/>
          <w:spacing w:val="-14"/>
          <w:w w:val="105"/>
        </w:rPr>
        <w:t> </w:t>
      </w:r>
      <w:r>
        <w:rPr>
          <w:color w:val="231F20"/>
          <w:w w:val="105"/>
        </w:rPr>
        <w:t>en</w:t>
      </w:r>
      <w:r>
        <w:rPr>
          <w:color w:val="231F20"/>
          <w:spacing w:val="-14"/>
          <w:w w:val="105"/>
        </w:rPr>
        <w:t> </w:t>
      </w:r>
      <w:r>
        <w:rPr>
          <w:color w:val="231F20"/>
          <w:spacing w:val="-4"/>
          <w:w w:val="105"/>
        </w:rPr>
        <w:t>Tejupilco</w:t>
      </w:r>
      <w:r>
        <w:rPr>
          <w:color w:val="231F20"/>
          <w:spacing w:val="-14"/>
          <w:w w:val="105"/>
        </w:rPr>
        <w:t> </w:t>
      </w:r>
      <w:r>
        <w:rPr>
          <w:color w:val="231F20"/>
          <w:w w:val="105"/>
        </w:rPr>
        <w:t>se</w:t>
      </w:r>
      <w:r>
        <w:rPr>
          <w:color w:val="231F20"/>
          <w:spacing w:val="-14"/>
          <w:w w:val="105"/>
        </w:rPr>
        <w:t> </w:t>
      </w:r>
      <w:r>
        <w:rPr>
          <w:color w:val="231F20"/>
          <w:w w:val="105"/>
        </w:rPr>
        <w:t>carece</w:t>
      </w:r>
      <w:r>
        <w:rPr>
          <w:color w:val="231F20"/>
          <w:spacing w:val="-14"/>
          <w:w w:val="105"/>
        </w:rPr>
        <w:t> </w:t>
      </w:r>
      <w:r>
        <w:rPr>
          <w:color w:val="231F20"/>
          <w:w w:val="105"/>
        </w:rPr>
        <w:t>de</w:t>
      </w:r>
      <w:r>
        <w:rPr>
          <w:color w:val="231F20"/>
          <w:spacing w:val="-14"/>
          <w:w w:val="105"/>
        </w:rPr>
        <w:t> </w:t>
      </w:r>
      <w:r>
        <w:rPr>
          <w:color w:val="231F20"/>
          <w:w w:val="105"/>
        </w:rPr>
        <w:t>él</w:t>
      </w:r>
      <w:r>
        <w:rPr>
          <w:color w:val="231F20"/>
          <w:spacing w:val="-14"/>
          <w:w w:val="105"/>
        </w:rPr>
        <w:t> </w:t>
      </w:r>
      <w:r>
        <w:rPr>
          <w:color w:val="231F20"/>
          <w:w w:val="105"/>
        </w:rPr>
        <w:t>debido</w:t>
      </w:r>
      <w:r>
        <w:rPr>
          <w:color w:val="231F20"/>
          <w:spacing w:val="-14"/>
          <w:w w:val="105"/>
        </w:rPr>
        <w:t> </w:t>
      </w:r>
      <w:r>
        <w:rPr>
          <w:color w:val="231F20"/>
          <w:w w:val="105"/>
        </w:rPr>
        <w:t>a</w:t>
      </w:r>
      <w:r>
        <w:rPr>
          <w:color w:val="231F20"/>
          <w:spacing w:val="-14"/>
          <w:w w:val="105"/>
        </w:rPr>
        <w:t> </w:t>
      </w:r>
      <w:r>
        <w:rPr>
          <w:color w:val="231F20"/>
          <w:w w:val="105"/>
        </w:rPr>
        <w:t>que, como</w:t>
      </w:r>
      <w:r>
        <w:rPr>
          <w:color w:val="231F20"/>
          <w:spacing w:val="-9"/>
          <w:w w:val="105"/>
        </w:rPr>
        <w:t> </w:t>
      </w:r>
      <w:r>
        <w:rPr>
          <w:color w:val="231F20"/>
          <w:w w:val="105"/>
        </w:rPr>
        <w:t>se</w:t>
      </w:r>
      <w:r>
        <w:rPr>
          <w:color w:val="231F20"/>
          <w:spacing w:val="-9"/>
          <w:w w:val="105"/>
        </w:rPr>
        <w:t> </w:t>
      </w:r>
      <w:r>
        <w:rPr>
          <w:color w:val="231F20"/>
          <w:w w:val="105"/>
        </w:rPr>
        <w:t>mencionó</w:t>
      </w:r>
      <w:r>
        <w:rPr>
          <w:color w:val="231F20"/>
          <w:spacing w:val="-9"/>
          <w:w w:val="105"/>
        </w:rPr>
        <w:t> </w:t>
      </w:r>
      <w:r>
        <w:rPr>
          <w:color w:val="231F20"/>
          <w:w w:val="105"/>
        </w:rPr>
        <w:t>en</w:t>
      </w:r>
      <w:r>
        <w:rPr>
          <w:color w:val="231F20"/>
          <w:spacing w:val="-9"/>
          <w:w w:val="105"/>
        </w:rPr>
        <w:t> </w:t>
      </w:r>
      <w:r>
        <w:rPr>
          <w:color w:val="231F20"/>
          <w:w w:val="105"/>
        </w:rPr>
        <w:t>párrafos</w:t>
      </w:r>
      <w:r>
        <w:rPr>
          <w:color w:val="231F20"/>
          <w:spacing w:val="-9"/>
          <w:w w:val="105"/>
        </w:rPr>
        <w:t> </w:t>
      </w:r>
      <w:r>
        <w:rPr>
          <w:color w:val="231F20"/>
          <w:w w:val="105"/>
        </w:rPr>
        <w:t>anteriores,</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han</w:t>
      </w:r>
      <w:r>
        <w:rPr>
          <w:color w:val="231F20"/>
          <w:spacing w:val="-9"/>
          <w:w w:val="105"/>
        </w:rPr>
        <w:t> </w:t>
      </w:r>
      <w:r>
        <w:rPr>
          <w:color w:val="231F20"/>
          <w:w w:val="105"/>
        </w:rPr>
        <w:t>creado</w:t>
      </w:r>
      <w:r>
        <w:rPr>
          <w:color w:val="231F20"/>
          <w:spacing w:val="-9"/>
          <w:w w:val="105"/>
        </w:rPr>
        <w:t> </w:t>
      </w:r>
      <w:r>
        <w:rPr>
          <w:color w:val="231F20"/>
          <w:w w:val="105"/>
        </w:rPr>
        <w:t>más</w:t>
      </w:r>
      <w:r>
        <w:rPr>
          <w:color w:val="231F20"/>
          <w:spacing w:val="-9"/>
          <w:w w:val="105"/>
        </w:rPr>
        <w:t> </w:t>
      </w:r>
      <w:r>
        <w:rPr>
          <w:color w:val="231F20"/>
          <w:w w:val="105"/>
        </w:rPr>
        <w:t>normas</w:t>
      </w:r>
      <w:r>
        <w:rPr>
          <w:color w:val="231F20"/>
          <w:spacing w:val="-9"/>
          <w:w w:val="105"/>
        </w:rPr>
        <w:t> </w:t>
      </w:r>
      <w:r>
        <w:rPr>
          <w:color w:val="231F20"/>
          <w:w w:val="105"/>
        </w:rPr>
        <w:t>municipales.</w:t>
      </w:r>
    </w:p>
    <w:p>
      <w:pPr>
        <w:pStyle w:val="BodyText"/>
        <w:spacing w:before="1"/>
        <w:rPr>
          <w:sz w:val="26"/>
        </w:rPr>
      </w:pPr>
    </w:p>
    <w:p>
      <w:pPr>
        <w:pStyle w:val="BodyText"/>
        <w:spacing w:line="285" w:lineRule="auto"/>
        <w:ind w:left="110" w:right="108"/>
        <w:jc w:val="both"/>
      </w:pPr>
      <w:r>
        <w:rPr>
          <w:color w:val="231F20"/>
          <w:w w:val="105"/>
        </w:rPr>
        <w:t>Respecto</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creación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Unidad</w:t>
      </w:r>
      <w:r>
        <w:rPr>
          <w:color w:val="231F20"/>
          <w:spacing w:val="-25"/>
          <w:w w:val="105"/>
        </w:rPr>
        <w:t> </w:t>
      </w:r>
      <w:r>
        <w:rPr>
          <w:color w:val="231F20"/>
          <w:w w:val="105"/>
        </w:rPr>
        <w:t>de</w:t>
      </w:r>
      <w:r>
        <w:rPr>
          <w:color w:val="231F20"/>
          <w:spacing w:val="-25"/>
          <w:w w:val="105"/>
        </w:rPr>
        <w:t> </w:t>
      </w:r>
      <w:r>
        <w:rPr>
          <w:color w:val="231F20"/>
          <w:w w:val="105"/>
        </w:rPr>
        <w:t>Transparencia</w:t>
      </w:r>
      <w:r>
        <w:rPr>
          <w:color w:val="231F20"/>
          <w:spacing w:val="-25"/>
          <w:w w:val="105"/>
        </w:rPr>
        <w:t> </w:t>
      </w:r>
      <w:r>
        <w:rPr>
          <w:color w:val="231F20"/>
          <w:w w:val="105"/>
        </w:rPr>
        <w:t>y</w:t>
      </w:r>
      <w:r>
        <w:rPr>
          <w:color w:val="231F20"/>
          <w:spacing w:val="-25"/>
          <w:w w:val="105"/>
        </w:rPr>
        <w:t> </w:t>
      </w:r>
      <w:r>
        <w:rPr>
          <w:color w:val="231F20"/>
          <w:w w:val="105"/>
        </w:rPr>
        <w:t>Acceso</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Información</w:t>
      </w:r>
      <w:r>
        <w:rPr>
          <w:color w:val="231F20"/>
          <w:spacing w:val="-25"/>
          <w:w w:val="105"/>
        </w:rPr>
        <w:t> </w:t>
      </w:r>
      <w:r>
        <w:rPr>
          <w:color w:val="231F20"/>
          <w:w w:val="105"/>
        </w:rPr>
        <w:t>Pública, tiene</w:t>
      </w:r>
      <w:r>
        <w:rPr>
          <w:color w:val="231F20"/>
          <w:spacing w:val="-7"/>
          <w:w w:val="105"/>
        </w:rPr>
        <w:t> </w:t>
      </w:r>
      <w:r>
        <w:rPr>
          <w:color w:val="231F20"/>
          <w:w w:val="105"/>
        </w:rPr>
        <w:t>como</w:t>
      </w:r>
      <w:r>
        <w:rPr>
          <w:color w:val="231F20"/>
          <w:spacing w:val="-7"/>
          <w:w w:val="105"/>
        </w:rPr>
        <w:t> </w:t>
      </w:r>
      <w:r>
        <w:rPr>
          <w:color w:val="231F20"/>
          <w:w w:val="105"/>
        </w:rPr>
        <w:t>función</w:t>
      </w:r>
      <w:r>
        <w:rPr>
          <w:color w:val="231F20"/>
          <w:spacing w:val="-7"/>
          <w:w w:val="105"/>
        </w:rPr>
        <w:t> </w:t>
      </w:r>
      <w:r>
        <w:rPr>
          <w:color w:val="231F20"/>
          <w:w w:val="105"/>
        </w:rPr>
        <w:t>ser</w:t>
      </w:r>
      <w:r>
        <w:rPr>
          <w:color w:val="231F20"/>
          <w:spacing w:val="-7"/>
          <w:w w:val="105"/>
        </w:rPr>
        <w:t> </w:t>
      </w:r>
      <w:r>
        <w:rPr>
          <w:color w:val="231F20"/>
          <w:w w:val="105"/>
        </w:rPr>
        <w:t>la</w:t>
      </w:r>
      <w:r>
        <w:rPr>
          <w:color w:val="231F20"/>
          <w:spacing w:val="-7"/>
          <w:w w:val="105"/>
        </w:rPr>
        <w:t> </w:t>
      </w:r>
      <w:r>
        <w:rPr>
          <w:color w:val="231F20"/>
          <w:w w:val="105"/>
        </w:rPr>
        <w:t>ventanilla</w:t>
      </w:r>
      <w:r>
        <w:rPr>
          <w:color w:val="231F20"/>
          <w:spacing w:val="-7"/>
          <w:w w:val="105"/>
        </w:rPr>
        <w:t> </w:t>
      </w:r>
      <w:r>
        <w:rPr>
          <w:color w:val="231F20"/>
          <w:w w:val="105"/>
        </w:rPr>
        <w:t>única</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atención</w:t>
      </w:r>
      <w:r>
        <w:rPr>
          <w:color w:val="231F20"/>
          <w:spacing w:val="-7"/>
          <w:w w:val="105"/>
        </w:rPr>
        <w:t> </w:t>
      </w:r>
      <w:r>
        <w:rPr>
          <w:color w:val="231F20"/>
          <w:w w:val="105"/>
        </w:rPr>
        <w:t>y</w:t>
      </w:r>
      <w:r>
        <w:rPr>
          <w:color w:val="231F20"/>
          <w:spacing w:val="-7"/>
          <w:w w:val="105"/>
        </w:rPr>
        <w:t> </w:t>
      </w:r>
      <w:r>
        <w:rPr>
          <w:color w:val="231F20"/>
          <w:w w:val="105"/>
        </w:rPr>
        <w:t>tramitación</w:t>
      </w:r>
      <w:r>
        <w:rPr>
          <w:color w:val="231F20"/>
          <w:spacing w:val="-7"/>
          <w:w w:val="105"/>
        </w:rPr>
        <w:t> </w:t>
      </w:r>
      <w:r>
        <w:rPr>
          <w:color w:val="231F20"/>
          <w:w w:val="105"/>
        </w:rPr>
        <w:t>de</w:t>
      </w:r>
      <w:r>
        <w:rPr>
          <w:color w:val="231F20"/>
          <w:spacing w:val="-7"/>
          <w:w w:val="105"/>
        </w:rPr>
        <w:t> </w:t>
      </w:r>
      <w:r>
        <w:rPr>
          <w:color w:val="231F20"/>
          <w:w w:val="105"/>
        </w:rPr>
        <w:t>solicitudes de</w:t>
      </w:r>
      <w:r>
        <w:rPr>
          <w:color w:val="231F20"/>
          <w:spacing w:val="-16"/>
          <w:w w:val="105"/>
        </w:rPr>
        <w:t> </w:t>
      </w:r>
      <w:r>
        <w:rPr>
          <w:color w:val="231F20"/>
          <w:w w:val="105"/>
        </w:rPr>
        <w:t>información</w:t>
      </w:r>
      <w:r>
        <w:rPr>
          <w:color w:val="231F20"/>
          <w:spacing w:val="-16"/>
          <w:w w:val="105"/>
        </w:rPr>
        <w:t> </w:t>
      </w:r>
      <w:r>
        <w:rPr>
          <w:color w:val="231F20"/>
          <w:w w:val="105"/>
        </w:rPr>
        <w:t>pública,</w:t>
      </w:r>
      <w:r>
        <w:rPr>
          <w:color w:val="231F20"/>
          <w:spacing w:val="-16"/>
          <w:w w:val="105"/>
        </w:rPr>
        <w:t> </w:t>
      </w:r>
      <w:r>
        <w:rPr>
          <w:color w:val="231F20"/>
          <w:spacing w:val="-3"/>
          <w:w w:val="105"/>
        </w:rPr>
        <w:t>donde</w:t>
      </w:r>
      <w:r>
        <w:rPr>
          <w:color w:val="231F20"/>
          <w:spacing w:val="-16"/>
          <w:w w:val="105"/>
        </w:rPr>
        <w:t> </w:t>
      </w:r>
      <w:r>
        <w:rPr>
          <w:color w:val="231F20"/>
          <w:w w:val="105"/>
        </w:rPr>
        <w:t>la</w:t>
      </w:r>
      <w:r>
        <w:rPr>
          <w:color w:val="231F20"/>
          <w:spacing w:val="-16"/>
          <w:w w:val="105"/>
        </w:rPr>
        <w:t> </w:t>
      </w:r>
      <w:r>
        <w:rPr>
          <w:color w:val="231F20"/>
          <w:w w:val="105"/>
        </w:rPr>
        <w:t>ciudadanía</w:t>
      </w:r>
      <w:r>
        <w:rPr>
          <w:color w:val="231F20"/>
          <w:spacing w:val="-16"/>
          <w:w w:val="105"/>
        </w:rPr>
        <w:t> </w:t>
      </w:r>
      <w:r>
        <w:rPr>
          <w:color w:val="231F20"/>
          <w:w w:val="105"/>
        </w:rPr>
        <w:t>puede</w:t>
      </w:r>
      <w:r>
        <w:rPr>
          <w:color w:val="231F20"/>
          <w:spacing w:val="-16"/>
          <w:w w:val="105"/>
        </w:rPr>
        <w:t> </w:t>
      </w:r>
      <w:r>
        <w:rPr>
          <w:color w:val="231F20"/>
          <w:w w:val="105"/>
        </w:rPr>
        <w:t>acceder</w:t>
      </w:r>
      <w:r>
        <w:rPr>
          <w:color w:val="231F20"/>
          <w:spacing w:val="-16"/>
          <w:w w:val="105"/>
        </w:rPr>
        <w:t> </w:t>
      </w:r>
      <w:r>
        <w:rPr>
          <w:color w:val="231F20"/>
          <w:w w:val="105"/>
        </w:rPr>
        <w:t>de</w:t>
      </w:r>
      <w:r>
        <w:rPr>
          <w:color w:val="231F20"/>
          <w:spacing w:val="-16"/>
          <w:w w:val="105"/>
        </w:rPr>
        <w:t> </w:t>
      </w:r>
      <w:r>
        <w:rPr>
          <w:color w:val="231F20"/>
          <w:w w:val="105"/>
        </w:rPr>
        <w:t>manera</w:t>
      </w:r>
      <w:r>
        <w:rPr>
          <w:color w:val="231F20"/>
          <w:spacing w:val="-16"/>
          <w:w w:val="105"/>
        </w:rPr>
        <w:t> </w:t>
      </w:r>
      <w:r>
        <w:rPr>
          <w:color w:val="231F20"/>
          <w:w w:val="105"/>
        </w:rPr>
        <w:t>directa</w:t>
      </w:r>
      <w:r>
        <w:rPr>
          <w:color w:val="231F20"/>
          <w:spacing w:val="-16"/>
          <w:w w:val="105"/>
        </w:rPr>
        <w:t> </w:t>
      </w:r>
      <w:r>
        <w:rPr>
          <w:color w:val="231F20"/>
          <w:w w:val="105"/>
        </w:rPr>
        <w:t>o</w:t>
      </w:r>
      <w:r>
        <w:rPr>
          <w:color w:val="231F20"/>
          <w:spacing w:val="-16"/>
          <w:w w:val="105"/>
        </w:rPr>
        <w:t> </w:t>
      </w:r>
      <w:r>
        <w:rPr>
          <w:color w:val="231F20"/>
          <w:w w:val="105"/>
        </w:rPr>
        <w:t>a</w:t>
      </w:r>
      <w:r>
        <w:rPr>
          <w:color w:val="231F20"/>
          <w:spacing w:val="-16"/>
          <w:w w:val="105"/>
        </w:rPr>
        <w:t> </w:t>
      </w:r>
      <w:r>
        <w:rPr>
          <w:color w:val="231F20"/>
          <w:w w:val="105"/>
        </w:rPr>
        <w:t>través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rPr>
        <w:t>de internet (Transparencia, </w:t>
      </w:r>
      <w:r>
        <w:rPr>
          <w:color w:val="231F20"/>
          <w:spacing w:val="2"/>
        </w:rPr>
        <w:t>2008: </w:t>
      </w:r>
      <w:r>
        <w:rPr>
          <w:color w:val="231F20"/>
          <w:spacing w:val="-6"/>
        </w:rPr>
        <w:t>1); </w:t>
      </w:r>
      <w:r>
        <w:rPr>
          <w:color w:val="231F20"/>
        </w:rPr>
        <w:t>vía internet se hace la solicitud a través del SICO- SIEM; de forma directa, puede ser escrita o verbal. Respecto a este rubro y por expe- riencia personal el acceso aún es restringido en documentos como las Actas de Cabildo, las cuales se solicitaron y fueron negadas, a pesar de ser información pública de oficio</w:t>
      </w:r>
      <w:r>
        <w:rPr>
          <w:color w:val="231F20"/>
          <w:position w:val="7"/>
          <w:sz w:val="13"/>
        </w:rPr>
        <w:t>2</w:t>
      </w:r>
      <w:r>
        <w:rPr>
          <w:color w:val="231F20"/>
        </w:rPr>
        <w:t>. Otra cuestión es que la página electrónica del municipio, (www.tejupilco.gob.mx) medio por el que se puede acceder a transparencia, no tiene habilitados algunos </w:t>
      </w:r>
      <w:r>
        <w:rPr>
          <w:color w:val="231F20"/>
          <w:spacing w:val="2"/>
        </w:rPr>
        <w:t>links </w:t>
      </w:r>
      <w:r>
        <w:rPr>
          <w:color w:val="231F20"/>
        </w:rPr>
        <w:t>sobre cuestiones financieras o bien los disponibles abarcan un mes y son de años anteriores, además que es casi imposible descargar los documentos. La página del municipio no proporciona información suficiente sobre </w:t>
      </w:r>
      <w:r>
        <w:rPr>
          <w:color w:val="231F20"/>
          <w:spacing w:val="-4"/>
        </w:rPr>
        <w:t>Tejupilco  </w:t>
      </w:r>
      <w:r>
        <w:rPr>
          <w:color w:val="231F20"/>
        </w:rPr>
        <w:t>y no se actualiza   </w:t>
      </w:r>
      <w:r>
        <w:rPr>
          <w:color w:val="231F20"/>
          <w:spacing w:val="54"/>
        </w:rPr>
        <w:t> </w:t>
      </w:r>
      <w:r>
        <w:rPr>
          <w:color w:val="231F20"/>
        </w:rPr>
        <w:t>continuamente.</w:t>
      </w:r>
    </w:p>
    <w:p>
      <w:pPr>
        <w:pStyle w:val="BodyText"/>
        <w:spacing w:before="1"/>
        <w:rPr>
          <w:sz w:val="26"/>
        </w:rPr>
      </w:pPr>
    </w:p>
    <w:p>
      <w:pPr>
        <w:pStyle w:val="BodyText"/>
        <w:ind w:left="110"/>
        <w:jc w:val="both"/>
      </w:pPr>
      <w:r>
        <w:rPr>
          <w:color w:val="231F20"/>
          <w:w w:val="105"/>
        </w:rPr>
        <w:t>En el bando se establece que</w:t>
      </w:r>
    </w:p>
    <w:p>
      <w:pPr>
        <w:pStyle w:val="BodyText"/>
        <w:spacing w:line="285" w:lineRule="auto" w:before="47"/>
        <w:ind w:left="677" w:right="107"/>
        <w:jc w:val="both"/>
      </w:pPr>
      <w:r>
        <w:rPr>
          <w:color w:val="231F20"/>
        </w:rPr>
        <w:t>El Plan de Desarrollo Municipal 2006-2009, es el instrumento rector de la Planea- ción Municipal, en el que están expresadas claramente las prioridades, objetivos, estrategias y líneas generales de acción en materia económica, política y social   para </w:t>
      </w:r>
      <w:r>
        <w:rPr>
          <w:color w:val="231F20"/>
          <w:spacing w:val="-3"/>
        </w:rPr>
        <w:t>promover  </w:t>
      </w:r>
      <w:r>
        <w:rPr>
          <w:color w:val="231F20"/>
        </w:rPr>
        <w:t>y fomentar el desarrollo integral y el mejoramiento en la calidad    de vida de la población y orientar la acción de este orden de gobierno y los gru-   pos sociales del municipio hacia ese </w:t>
      </w:r>
      <w:r>
        <w:rPr>
          <w:color w:val="231F20"/>
          <w:spacing w:val="2"/>
        </w:rPr>
        <w:t>fin. </w:t>
      </w:r>
      <w:r>
        <w:rPr>
          <w:color w:val="231F20"/>
        </w:rPr>
        <w:t>En su elaboración e integración quedan incluidas y valoradas, las propuestas planteadas por los distintos sectores de la sociedad a través de los mecanismos de participación y consulta popular, ins- tituidos por el Comité de Planeación para el Desarrollo Municipal de </w:t>
      </w:r>
      <w:r>
        <w:rPr>
          <w:color w:val="231F20"/>
          <w:spacing w:val="-4"/>
        </w:rPr>
        <w:t>Tejupilco </w:t>
      </w:r>
      <w:r>
        <w:rPr>
          <w:color w:val="231F20"/>
        </w:rPr>
        <w:t>COPLADEMUN. (Bando, </w:t>
      </w:r>
      <w:r>
        <w:rPr>
          <w:color w:val="231F20"/>
          <w:spacing w:val="2"/>
        </w:rPr>
        <w:t>2008:</w:t>
      </w:r>
      <w:r>
        <w:rPr>
          <w:color w:val="231F20"/>
          <w:spacing w:val="-18"/>
        </w:rPr>
        <w:t> </w:t>
      </w:r>
      <w:r>
        <w:rPr>
          <w:color w:val="231F20"/>
        </w:rPr>
        <w:t>30).</w:t>
      </w:r>
    </w:p>
    <w:p>
      <w:pPr>
        <w:pStyle w:val="BodyText"/>
        <w:spacing w:before="1"/>
        <w:rPr>
          <w:sz w:val="26"/>
        </w:rPr>
      </w:pPr>
    </w:p>
    <w:p>
      <w:pPr>
        <w:pStyle w:val="BodyText"/>
        <w:spacing w:line="285" w:lineRule="auto"/>
        <w:ind w:left="110" w:right="110"/>
        <w:jc w:val="both"/>
      </w:pPr>
      <w:r>
        <w:rPr>
          <w:color w:val="231F20"/>
          <w:w w:val="105"/>
        </w:rPr>
        <w:t>Pero además del Bando Municipal, el Plan de Desarrollo Municipal (PDM) tiene un fundamento jurídico más amplio, así tenemos que:</w:t>
      </w:r>
    </w:p>
    <w:p>
      <w:pPr>
        <w:pStyle w:val="BodyText"/>
        <w:spacing w:line="285" w:lineRule="auto" w:before="1"/>
        <w:ind w:left="677" w:right="107"/>
        <w:jc w:val="both"/>
      </w:pPr>
      <w:r>
        <w:rPr/>
        <w:pict>
          <v:line style="position:absolute;mso-position-horizontal-relative:page;mso-position-vertical-relative:paragraph;z-index:8128;mso-wrap-distance-left:0;mso-wrap-distance-right:0" from="42.519699pt,80.257324pt" to="114.519699pt,80.257324pt" stroked="true" strokeweight="1pt" strokecolor="#231f20">
            <w10:wrap type="topAndBottom"/>
          </v:line>
        </w:pict>
      </w:r>
      <w:r>
        <w:rPr>
          <w:color w:val="231F20"/>
          <w:w w:val="105"/>
        </w:rPr>
        <w:t>La Constitución Política del Estado de México, en su artículo </w:t>
      </w:r>
      <w:r>
        <w:rPr>
          <w:color w:val="231F20"/>
          <w:spacing w:val="-7"/>
          <w:w w:val="105"/>
        </w:rPr>
        <w:t>77, </w:t>
      </w:r>
      <w:r>
        <w:rPr>
          <w:color w:val="231F20"/>
          <w:w w:val="105"/>
        </w:rPr>
        <w:t>fracción VI, contempla la obligación del Ejecutivo Estatal de establecer los procedimientos de</w:t>
      </w:r>
      <w:r>
        <w:rPr>
          <w:color w:val="231F20"/>
          <w:spacing w:val="-6"/>
          <w:w w:val="105"/>
        </w:rPr>
        <w:t> </w:t>
      </w:r>
      <w:r>
        <w:rPr>
          <w:color w:val="231F20"/>
          <w:w w:val="105"/>
        </w:rPr>
        <w:t>participación</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consulta</w:t>
      </w:r>
      <w:r>
        <w:rPr>
          <w:color w:val="231F20"/>
          <w:spacing w:val="-6"/>
          <w:w w:val="105"/>
        </w:rPr>
        <w:t> </w:t>
      </w:r>
      <w:r>
        <w:rPr>
          <w:color w:val="231F20"/>
          <w:w w:val="105"/>
        </w:rPr>
        <w:t>popular</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Sistema</w:t>
      </w:r>
      <w:r>
        <w:rPr>
          <w:color w:val="231F20"/>
          <w:spacing w:val="-6"/>
          <w:w w:val="105"/>
        </w:rPr>
        <w:t> </w:t>
      </w:r>
      <w:r>
        <w:rPr>
          <w:color w:val="231F20"/>
          <w:w w:val="105"/>
        </w:rPr>
        <w:t>de</w:t>
      </w:r>
      <w:r>
        <w:rPr>
          <w:color w:val="231F20"/>
          <w:spacing w:val="-6"/>
          <w:w w:val="105"/>
        </w:rPr>
        <w:t> </w:t>
      </w:r>
      <w:r>
        <w:rPr>
          <w:color w:val="231F20"/>
          <w:w w:val="105"/>
        </w:rPr>
        <w:t>Planeación</w:t>
      </w:r>
      <w:r>
        <w:rPr>
          <w:color w:val="231F20"/>
          <w:spacing w:val="-6"/>
          <w:w w:val="105"/>
        </w:rPr>
        <w:t> </w:t>
      </w:r>
      <w:r>
        <w:rPr>
          <w:color w:val="231F20"/>
          <w:w w:val="105"/>
        </w:rPr>
        <w:t>Democrática </w:t>
      </w:r>
      <w:r>
        <w:rPr>
          <w:color w:val="231F20"/>
          <w:spacing w:val="-9"/>
          <w:w w:val="105"/>
        </w:rPr>
        <w:t>(…)</w:t>
      </w:r>
      <w:r>
        <w:rPr>
          <w:color w:val="231F20"/>
          <w:spacing w:val="-7"/>
          <w:w w:val="105"/>
        </w:rPr>
        <w:t> </w:t>
      </w:r>
      <w:r>
        <w:rPr>
          <w:color w:val="231F20"/>
          <w:w w:val="105"/>
        </w:rPr>
        <w:t>La</w:t>
      </w:r>
      <w:r>
        <w:rPr>
          <w:color w:val="231F20"/>
          <w:spacing w:val="-7"/>
          <w:w w:val="105"/>
        </w:rPr>
        <w:t> </w:t>
      </w:r>
      <w:r>
        <w:rPr>
          <w:color w:val="231F20"/>
          <w:w w:val="105"/>
        </w:rPr>
        <w:t>Ley</w:t>
      </w:r>
      <w:r>
        <w:rPr>
          <w:color w:val="231F20"/>
          <w:spacing w:val="-7"/>
          <w:w w:val="105"/>
        </w:rPr>
        <w:t> </w:t>
      </w:r>
      <w:r>
        <w:rPr>
          <w:color w:val="231F20"/>
          <w:w w:val="105"/>
        </w:rPr>
        <w:t>Orgánica</w:t>
      </w:r>
      <w:r>
        <w:rPr>
          <w:color w:val="231F20"/>
          <w:spacing w:val="-7"/>
          <w:w w:val="105"/>
        </w:rPr>
        <w:t> </w:t>
      </w:r>
      <w:r>
        <w:rPr>
          <w:color w:val="231F20"/>
          <w:w w:val="105"/>
        </w:rPr>
        <w:t>Municipal</w:t>
      </w:r>
      <w:r>
        <w:rPr>
          <w:color w:val="231F20"/>
          <w:spacing w:val="-7"/>
          <w:w w:val="105"/>
        </w:rPr>
        <w:t> </w:t>
      </w:r>
      <w:r>
        <w:rPr>
          <w:color w:val="231F20"/>
          <w:w w:val="105"/>
        </w:rPr>
        <w:t>del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w w:val="105"/>
        </w:rPr>
        <w:t>(LOMEM)</w:t>
      </w:r>
      <w:r>
        <w:rPr>
          <w:color w:val="231F20"/>
          <w:spacing w:val="-7"/>
          <w:w w:val="105"/>
        </w:rPr>
        <w:t> </w:t>
      </w:r>
      <w:r>
        <w:rPr>
          <w:color w:val="231F20"/>
          <w:w w:val="105"/>
        </w:rPr>
        <w:t>en</w:t>
      </w:r>
      <w:r>
        <w:rPr>
          <w:color w:val="231F20"/>
          <w:spacing w:val="-7"/>
          <w:w w:val="105"/>
        </w:rPr>
        <w:t> </w:t>
      </w:r>
      <w:r>
        <w:rPr>
          <w:color w:val="231F20"/>
          <w:w w:val="105"/>
        </w:rPr>
        <w:t>su</w:t>
      </w:r>
      <w:r>
        <w:rPr>
          <w:color w:val="231F20"/>
          <w:spacing w:val="-7"/>
          <w:w w:val="105"/>
        </w:rPr>
        <w:t> </w:t>
      </w:r>
      <w:r>
        <w:rPr>
          <w:color w:val="231F20"/>
          <w:w w:val="105"/>
        </w:rPr>
        <w:t>artículo </w:t>
      </w:r>
      <w:r>
        <w:rPr>
          <w:color w:val="231F20"/>
          <w:spacing w:val="-5"/>
          <w:w w:val="105"/>
        </w:rPr>
        <w:t>69,</w:t>
      </w:r>
      <w:r>
        <w:rPr>
          <w:color w:val="231F20"/>
          <w:spacing w:val="-12"/>
          <w:w w:val="105"/>
        </w:rPr>
        <w:t> </w:t>
      </w:r>
      <w:r>
        <w:rPr>
          <w:color w:val="231F20"/>
          <w:w w:val="105"/>
        </w:rPr>
        <w:t>fracción</w:t>
      </w:r>
      <w:r>
        <w:rPr>
          <w:color w:val="231F20"/>
          <w:spacing w:val="-12"/>
          <w:w w:val="105"/>
        </w:rPr>
        <w:t> </w:t>
      </w:r>
      <w:r>
        <w:rPr>
          <w:color w:val="231F20"/>
          <w:w w:val="105"/>
        </w:rPr>
        <w:t>I,</w:t>
      </w:r>
      <w:r>
        <w:rPr>
          <w:color w:val="231F20"/>
          <w:spacing w:val="-12"/>
          <w:w w:val="105"/>
        </w:rPr>
        <w:t> </w:t>
      </w:r>
      <w:r>
        <w:rPr>
          <w:color w:val="231F20"/>
          <w:w w:val="105"/>
        </w:rPr>
        <w:t>inciso</w:t>
      </w:r>
      <w:r>
        <w:rPr>
          <w:color w:val="231F20"/>
          <w:spacing w:val="-12"/>
          <w:w w:val="105"/>
        </w:rPr>
        <w:t> </w:t>
      </w:r>
      <w:r>
        <w:rPr>
          <w:color w:val="231F20"/>
          <w:spacing w:val="-6"/>
          <w:w w:val="105"/>
        </w:rPr>
        <w:t>b),</w:t>
      </w:r>
      <w:r>
        <w:rPr>
          <w:color w:val="231F20"/>
          <w:spacing w:val="-12"/>
          <w:w w:val="105"/>
        </w:rPr>
        <w:t> </w:t>
      </w:r>
      <w:r>
        <w:rPr>
          <w:color w:val="231F20"/>
          <w:w w:val="105"/>
        </w:rPr>
        <w:t>establece</w:t>
      </w:r>
      <w:r>
        <w:rPr>
          <w:color w:val="231F20"/>
          <w:spacing w:val="-12"/>
          <w:w w:val="105"/>
        </w:rPr>
        <w:t> </w:t>
      </w:r>
      <w:r>
        <w:rPr>
          <w:color w:val="231F20"/>
          <w:w w:val="105"/>
        </w:rPr>
        <w:t>la</w:t>
      </w:r>
      <w:r>
        <w:rPr>
          <w:color w:val="231F20"/>
          <w:spacing w:val="-12"/>
          <w:w w:val="105"/>
        </w:rPr>
        <w:t> </w:t>
      </w:r>
      <w:r>
        <w:rPr>
          <w:color w:val="231F20"/>
          <w:w w:val="105"/>
        </w:rPr>
        <w:t>instalación</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Comisión</w:t>
      </w:r>
      <w:r>
        <w:rPr>
          <w:color w:val="231F20"/>
          <w:spacing w:val="-12"/>
          <w:w w:val="105"/>
        </w:rPr>
        <w:t> </w:t>
      </w:r>
      <w:r>
        <w:rPr>
          <w:color w:val="231F20"/>
          <w:w w:val="105"/>
        </w:rPr>
        <w:t>Permanente</w:t>
      </w:r>
      <w:r>
        <w:rPr>
          <w:color w:val="231F20"/>
          <w:spacing w:val="-12"/>
          <w:w w:val="105"/>
        </w:rPr>
        <w:t> </w:t>
      </w:r>
      <w:r>
        <w:rPr>
          <w:color w:val="231F20"/>
          <w:w w:val="105"/>
        </w:rPr>
        <w:t>del</w:t>
      </w:r>
    </w:p>
    <w:p>
      <w:pPr>
        <w:pStyle w:val="ListParagraph"/>
        <w:numPr>
          <w:ilvl w:val="0"/>
          <w:numId w:val="9"/>
        </w:numPr>
        <w:tabs>
          <w:tab w:pos="246" w:val="left" w:leader="none"/>
        </w:tabs>
        <w:spacing w:line="244" w:lineRule="auto" w:before="8" w:after="0"/>
        <w:ind w:left="110" w:right="108" w:firstLine="0"/>
        <w:jc w:val="left"/>
        <w:rPr>
          <w:sz w:val="16"/>
        </w:rPr>
      </w:pPr>
      <w:r>
        <w:rPr>
          <w:color w:val="231F20"/>
          <w:sz w:val="16"/>
        </w:rPr>
        <w:t>Es</w:t>
      </w:r>
      <w:r>
        <w:rPr>
          <w:color w:val="231F20"/>
          <w:spacing w:val="-19"/>
          <w:sz w:val="16"/>
        </w:rPr>
        <w:t> </w:t>
      </w:r>
      <w:r>
        <w:rPr>
          <w:color w:val="231F20"/>
          <w:sz w:val="16"/>
        </w:rPr>
        <w:t>toda</w:t>
      </w:r>
      <w:r>
        <w:rPr>
          <w:color w:val="231F20"/>
          <w:spacing w:val="-19"/>
          <w:sz w:val="16"/>
        </w:rPr>
        <w:t> </w:t>
      </w:r>
      <w:r>
        <w:rPr>
          <w:color w:val="231F20"/>
          <w:sz w:val="16"/>
        </w:rPr>
        <w:t>aquella</w:t>
      </w:r>
      <w:r>
        <w:rPr>
          <w:color w:val="231F20"/>
          <w:spacing w:val="-19"/>
          <w:sz w:val="16"/>
        </w:rPr>
        <w:t> </w:t>
      </w:r>
      <w:r>
        <w:rPr>
          <w:color w:val="231F20"/>
          <w:sz w:val="16"/>
        </w:rPr>
        <w:t>(información)</w:t>
      </w:r>
      <w:r>
        <w:rPr>
          <w:color w:val="231F20"/>
          <w:spacing w:val="-19"/>
          <w:sz w:val="16"/>
        </w:rPr>
        <w:t> </w:t>
      </w:r>
      <w:r>
        <w:rPr>
          <w:color w:val="231F20"/>
          <w:sz w:val="16"/>
        </w:rPr>
        <w:t>que</w:t>
      </w:r>
      <w:r>
        <w:rPr>
          <w:color w:val="231F20"/>
          <w:spacing w:val="-19"/>
          <w:sz w:val="16"/>
        </w:rPr>
        <w:t> </w:t>
      </w:r>
      <w:r>
        <w:rPr>
          <w:color w:val="231F20"/>
          <w:sz w:val="16"/>
        </w:rPr>
        <w:t>esté</w:t>
      </w:r>
      <w:r>
        <w:rPr>
          <w:color w:val="231F20"/>
          <w:spacing w:val="-19"/>
          <w:sz w:val="16"/>
        </w:rPr>
        <w:t> </w:t>
      </w:r>
      <w:r>
        <w:rPr>
          <w:color w:val="231F20"/>
          <w:sz w:val="16"/>
        </w:rPr>
        <w:t>en</w:t>
      </w:r>
      <w:r>
        <w:rPr>
          <w:color w:val="231F20"/>
          <w:spacing w:val="-19"/>
          <w:sz w:val="16"/>
        </w:rPr>
        <w:t> </w:t>
      </w:r>
      <w:r>
        <w:rPr>
          <w:color w:val="231F20"/>
          <w:sz w:val="16"/>
        </w:rPr>
        <w:t>posesión</w:t>
      </w:r>
      <w:r>
        <w:rPr>
          <w:color w:val="231F20"/>
          <w:spacing w:val="-19"/>
          <w:sz w:val="16"/>
        </w:rPr>
        <w:t> </w:t>
      </w:r>
      <w:r>
        <w:rPr>
          <w:color w:val="231F20"/>
          <w:sz w:val="16"/>
        </w:rPr>
        <w:t>de</w:t>
      </w:r>
      <w:r>
        <w:rPr>
          <w:color w:val="231F20"/>
          <w:spacing w:val="-19"/>
          <w:sz w:val="16"/>
        </w:rPr>
        <w:t> </w:t>
      </w:r>
      <w:r>
        <w:rPr>
          <w:color w:val="231F20"/>
          <w:sz w:val="16"/>
        </w:rPr>
        <w:t>los</w:t>
      </w:r>
      <w:r>
        <w:rPr>
          <w:color w:val="231F20"/>
          <w:spacing w:val="-19"/>
          <w:sz w:val="16"/>
        </w:rPr>
        <w:t> </w:t>
      </w:r>
      <w:r>
        <w:rPr>
          <w:color w:val="231F20"/>
          <w:sz w:val="16"/>
        </w:rPr>
        <w:t>sujetos</w:t>
      </w:r>
      <w:r>
        <w:rPr>
          <w:color w:val="231F20"/>
          <w:spacing w:val="-19"/>
          <w:sz w:val="16"/>
        </w:rPr>
        <w:t> </w:t>
      </w:r>
      <w:r>
        <w:rPr>
          <w:color w:val="231F20"/>
          <w:sz w:val="16"/>
        </w:rPr>
        <w:t>obligados</w:t>
      </w:r>
      <w:r>
        <w:rPr>
          <w:color w:val="231F20"/>
          <w:spacing w:val="-19"/>
          <w:sz w:val="16"/>
        </w:rPr>
        <w:t> </w:t>
      </w:r>
      <w:r>
        <w:rPr>
          <w:color w:val="231F20"/>
          <w:sz w:val="16"/>
        </w:rPr>
        <w:t>en</w:t>
      </w:r>
      <w:r>
        <w:rPr>
          <w:color w:val="231F20"/>
          <w:spacing w:val="-19"/>
          <w:sz w:val="16"/>
        </w:rPr>
        <w:t> </w:t>
      </w:r>
      <w:r>
        <w:rPr>
          <w:color w:val="231F20"/>
          <w:sz w:val="16"/>
        </w:rPr>
        <w:t>el</w:t>
      </w:r>
      <w:r>
        <w:rPr>
          <w:color w:val="231F20"/>
          <w:spacing w:val="-19"/>
          <w:sz w:val="16"/>
        </w:rPr>
        <w:t> </w:t>
      </w:r>
      <w:r>
        <w:rPr>
          <w:color w:val="231F20"/>
          <w:sz w:val="16"/>
        </w:rPr>
        <w:t>ejercicio</w:t>
      </w:r>
      <w:r>
        <w:rPr>
          <w:color w:val="231F20"/>
          <w:spacing w:val="-19"/>
          <w:sz w:val="16"/>
        </w:rPr>
        <w:t> </w:t>
      </w:r>
      <w:r>
        <w:rPr>
          <w:color w:val="231F20"/>
          <w:sz w:val="16"/>
        </w:rPr>
        <w:t>de</w:t>
      </w:r>
      <w:r>
        <w:rPr>
          <w:color w:val="231F20"/>
          <w:spacing w:val="-19"/>
          <w:sz w:val="16"/>
        </w:rPr>
        <w:t> </w:t>
      </w:r>
      <w:r>
        <w:rPr>
          <w:color w:val="231F20"/>
          <w:sz w:val="16"/>
        </w:rPr>
        <w:t>sus</w:t>
      </w:r>
      <w:r>
        <w:rPr>
          <w:color w:val="231F20"/>
          <w:spacing w:val="-19"/>
          <w:sz w:val="16"/>
        </w:rPr>
        <w:t> </w:t>
      </w:r>
      <w:r>
        <w:rPr>
          <w:color w:val="231F20"/>
          <w:sz w:val="16"/>
        </w:rPr>
        <w:t>atribuciones</w:t>
      </w:r>
      <w:r>
        <w:rPr>
          <w:color w:val="231F20"/>
          <w:spacing w:val="-19"/>
          <w:sz w:val="16"/>
        </w:rPr>
        <w:t> </w:t>
      </w:r>
      <w:r>
        <w:rPr>
          <w:color w:val="231F20"/>
          <w:sz w:val="16"/>
        </w:rPr>
        <w:t>y</w:t>
      </w:r>
      <w:r>
        <w:rPr>
          <w:color w:val="231F20"/>
          <w:spacing w:val="-19"/>
          <w:sz w:val="16"/>
        </w:rPr>
        <w:t> </w:t>
      </w:r>
      <w:r>
        <w:rPr>
          <w:color w:val="231F20"/>
          <w:sz w:val="16"/>
        </w:rPr>
        <w:t>que</w:t>
      </w:r>
      <w:r>
        <w:rPr>
          <w:color w:val="231F20"/>
          <w:spacing w:val="-19"/>
          <w:sz w:val="16"/>
        </w:rPr>
        <w:t> </w:t>
      </w:r>
      <w:r>
        <w:rPr>
          <w:color w:val="231F20"/>
          <w:sz w:val="16"/>
        </w:rPr>
        <w:t>de</w:t>
      </w:r>
      <w:r>
        <w:rPr>
          <w:color w:val="231F20"/>
          <w:spacing w:val="-19"/>
          <w:sz w:val="16"/>
        </w:rPr>
        <w:t> </w:t>
      </w:r>
      <w:r>
        <w:rPr>
          <w:color w:val="231F20"/>
          <w:sz w:val="16"/>
        </w:rPr>
        <w:t>mane- ra</w:t>
      </w:r>
      <w:r>
        <w:rPr>
          <w:color w:val="231F20"/>
          <w:spacing w:val="-23"/>
          <w:sz w:val="16"/>
        </w:rPr>
        <w:t> </w:t>
      </w:r>
      <w:r>
        <w:rPr>
          <w:color w:val="231F20"/>
          <w:sz w:val="16"/>
        </w:rPr>
        <w:t>obligatoria</w:t>
      </w:r>
      <w:r>
        <w:rPr>
          <w:color w:val="231F20"/>
          <w:spacing w:val="-23"/>
          <w:sz w:val="16"/>
        </w:rPr>
        <w:t> </w:t>
      </w:r>
      <w:r>
        <w:rPr>
          <w:color w:val="231F20"/>
          <w:sz w:val="16"/>
        </w:rPr>
        <w:t>habrán</w:t>
      </w:r>
      <w:r>
        <w:rPr>
          <w:color w:val="231F20"/>
          <w:spacing w:val="-23"/>
          <w:sz w:val="16"/>
        </w:rPr>
        <w:t> </w:t>
      </w:r>
      <w:r>
        <w:rPr>
          <w:color w:val="231F20"/>
          <w:sz w:val="16"/>
        </w:rPr>
        <w:t>de</w:t>
      </w:r>
      <w:r>
        <w:rPr>
          <w:color w:val="231F20"/>
          <w:spacing w:val="-23"/>
          <w:sz w:val="16"/>
        </w:rPr>
        <w:t> </w:t>
      </w:r>
      <w:r>
        <w:rPr>
          <w:color w:val="231F20"/>
          <w:sz w:val="16"/>
        </w:rPr>
        <w:t>tenerla</w:t>
      </w:r>
      <w:r>
        <w:rPr>
          <w:color w:val="231F20"/>
          <w:spacing w:val="-23"/>
          <w:sz w:val="16"/>
        </w:rPr>
        <w:t> </w:t>
      </w:r>
      <w:r>
        <w:rPr>
          <w:color w:val="231F20"/>
          <w:sz w:val="16"/>
        </w:rPr>
        <w:t>disponible</w:t>
      </w:r>
      <w:r>
        <w:rPr>
          <w:color w:val="231F20"/>
          <w:spacing w:val="-23"/>
          <w:sz w:val="16"/>
        </w:rPr>
        <w:t> </w:t>
      </w:r>
      <w:r>
        <w:rPr>
          <w:color w:val="231F20"/>
          <w:sz w:val="16"/>
        </w:rPr>
        <w:t>para</w:t>
      </w:r>
      <w:r>
        <w:rPr>
          <w:color w:val="231F20"/>
          <w:spacing w:val="-23"/>
          <w:sz w:val="16"/>
        </w:rPr>
        <w:t> </w:t>
      </w:r>
      <w:r>
        <w:rPr>
          <w:color w:val="231F20"/>
          <w:sz w:val="16"/>
        </w:rPr>
        <w:t>su</w:t>
      </w:r>
      <w:r>
        <w:rPr>
          <w:color w:val="231F20"/>
          <w:spacing w:val="-23"/>
          <w:sz w:val="16"/>
        </w:rPr>
        <w:t> </w:t>
      </w:r>
      <w:r>
        <w:rPr>
          <w:color w:val="231F20"/>
          <w:sz w:val="16"/>
        </w:rPr>
        <w:t>consulta</w:t>
      </w:r>
      <w:r>
        <w:rPr>
          <w:color w:val="231F20"/>
          <w:spacing w:val="-23"/>
          <w:sz w:val="16"/>
        </w:rPr>
        <w:t> </w:t>
      </w:r>
      <w:r>
        <w:rPr>
          <w:color w:val="231F20"/>
          <w:sz w:val="16"/>
        </w:rPr>
        <w:t>ya</w:t>
      </w:r>
      <w:r>
        <w:rPr>
          <w:color w:val="231F20"/>
          <w:spacing w:val="-23"/>
          <w:sz w:val="16"/>
        </w:rPr>
        <w:t> </w:t>
      </w:r>
      <w:r>
        <w:rPr>
          <w:color w:val="231F20"/>
          <w:sz w:val="16"/>
        </w:rPr>
        <w:t>sea</w:t>
      </w:r>
      <w:r>
        <w:rPr>
          <w:color w:val="231F20"/>
          <w:spacing w:val="-23"/>
          <w:sz w:val="16"/>
        </w:rPr>
        <w:t> </w:t>
      </w:r>
      <w:r>
        <w:rPr>
          <w:color w:val="231F20"/>
          <w:sz w:val="16"/>
        </w:rPr>
        <w:t>en</w:t>
      </w:r>
      <w:r>
        <w:rPr>
          <w:color w:val="231F20"/>
          <w:spacing w:val="-23"/>
          <w:sz w:val="16"/>
        </w:rPr>
        <w:t> </w:t>
      </w:r>
      <w:r>
        <w:rPr>
          <w:color w:val="231F20"/>
          <w:sz w:val="16"/>
        </w:rPr>
        <w:t>medio</w:t>
      </w:r>
      <w:r>
        <w:rPr>
          <w:color w:val="231F20"/>
          <w:spacing w:val="-23"/>
          <w:sz w:val="16"/>
        </w:rPr>
        <w:t> </w:t>
      </w:r>
      <w:r>
        <w:rPr>
          <w:color w:val="231F20"/>
          <w:sz w:val="16"/>
        </w:rPr>
        <w:t>impreso</w:t>
      </w:r>
      <w:r>
        <w:rPr>
          <w:color w:val="231F20"/>
          <w:spacing w:val="-23"/>
          <w:sz w:val="16"/>
        </w:rPr>
        <w:t> </w:t>
      </w:r>
      <w:r>
        <w:rPr>
          <w:color w:val="231F20"/>
          <w:sz w:val="16"/>
        </w:rPr>
        <w:t>o</w:t>
      </w:r>
      <w:r>
        <w:rPr>
          <w:color w:val="231F20"/>
          <w:spacing w:val="-23"/>
          <w:sz w:val="16"/>
        </w:rPr>
        <w:t> </w:t>
      </w:r>
      <w:r>
        <w:rPr>
          <w:color w:val="231F20"/>
          <w:sz w:val="16"/>
        </w:rPr>
        <w:t>en</w:t>
      </w:r>
      <w:r>
        <w:rPr>
          <w:color w:val="231F20"/>
          <w:spacing w:val="-23"/>
          <w:sz w:val="16"/>
        </w:rPr>
        <w:t> </w:t>
      </w:r>
      <w:r>
        <w:rPr>
          <w:color w:val="231F20"/>
          <w:sz w:val="16"/>
        </w:rPr>
        <w:t>Internet</w:t>
      </w:r>
      <w:r>
        <w:rPr>
          <w:color w:val="231F20"/>
          <w:spacing w:val="-23"/>
          <w:sz w:val="16"/>
        </w:rPr>
        <w:t> </w:t>
      </w:r>
      <w:r>
        <w:rPr>
          <w:color w:val="231F20"/>
          <w:sz w:val="16"/>
        </w:rPr>
        <w:t>(Transparencia,</w:t>
      </w:r>
      <w:r>
        <w:rPr>
          <w:color w:val="231F20"/>
          <w:spacing w:val="-23"/>
          <w:sz w:val="16"/>
        </w:rPr>
        <w:t> </w:t>
      </w:r>
      <w:r>
        <w:rPr>
          <w:color w:val="231F20"/>
          <w:sz w:val="16"/>
        </w:rPr>
        <w:t>2008:</w:t>
      </w:r>
      <w:r>
        <w:rPr>
          <w:color w:val="231F20"/>
          <w:spacing w:val="-23"/>
          <w:sz w:val="16"/>
        </w:rPr>
        <w:t> </w:t>
      </w:r>
      <w:r>
        <w:rPr>
          <w:color w:val="231F20"/>
          <w:sz w:val="16"/>
        </w:rPr>
        <w:t>2)</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677" w:right="108"/>
        <w:jc w:val="both"/>
      </w:pPr>
      <w:r>
        <w:rPr>
          <w:color w:val="231F20"/>
          <w:w w:val="105"/>
        </w:rPr>
        <w:t>ayuntamiento</w:t>
      </w:r>
      <w:r>
        <w:rPr>
          <w:color w:val="231F20"/>
          <w:spacing w:val="-18"/>
          <w:w w:val="105"/>
        </w:rPr>
        <w:t> </w:t>
      </w:r>
      <w:r>
        <w:rPr>
          <w:color w:val="231F20"/>
          <w:w w:val="105"/>
        </w:rPr>
        <w:t>denominada</w:t>
      </w:r>
      <w:r>
        <w:rPr>
          <w:color w:val="231F20"/>
          <w:spacing w:val="-18"/>
          <w:w w:val="105"/>
        </w:rPr>
        <w:t> </w:t>
      </w:r>
      <w:r>
        <w:rPr>
          <w:color w:val="231F20"/>
          <w:w w:val="105"/>
        </w:rPr>
        <w:t>“Comisión</w:t>
      </w:r>
      <w:r>
        <w:rPr>
          <w:color w:val="231F20"/>
          <w:spacing w:val="-18"/>
          <w:w w:val="105"/>
        </w:rPr>
        <w:t> </w:t>
      </w:r>
      <w:r>
        <w:rPr>
          <w:color w:val="231F20"/>
          <w:w w:val="105"/>
        </w:rPr>
        <w:t>de</w:t>
      </w:r>
      <w:r>
        <w:rPr>
          <w:color w:val="231F20"/>
          <w:spacing w:val="-18"/>
          <w:w w:val="105"/>
        </w:rPr>
        <w:t> </w:t>
      </w:r>
      <w:r>
        <w:rPr>
          <w:color w:val="231F20"/>
          <w:w w:val="105"/>
        </w:rPr>
        <w:t>Planeación</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Desarrollo”,</w:t>
      </w:r>
      <w:r>
        <w:rPr>
          <w:color w:val="231F20"/>
          <w:spacing w:val="-18"/>
          <w:w w:val="105"/>
        </w:rPr>
        <w:t> </w:t>
      </w:r>
      <w:r>
        <w:rPr>
          <w:color w:val="231F20"/>
          <w:w w:val="105"/>
        </w:rPr>
        <w:t>presidi- da</w:t>
      </w:r>
      <w:r>
        <w:rPr>
          <w:color w:val="231F20"/>
          <w:spacing w:val="-18"/>
          <w:w w:val="105"/>
        </w:rPr>
        <w:t> </w:t>
      </w:r>
      <w:r>
        <w:rPr>
          <w:color w:val="231F20"/>
          <w:w w:val="105"/>
        </w:rPr>
        <w:t>por</w:t>
      </w:r>
      <w:r>
        <w:rPr>
          <w:color w:val="231F20"/>
          <w:spacing w:val="-18"/>
          <w:w w:val="105"/>
        </w:rPr>
        <w:t> </w:t>
      </w:r>
      <w:r>
        <w:rPr>
          <w:color w:val="231F20"/>
          <w:w w:val="105"/>
        </w:rPr>
        <w:t>el</w:t>
      </w:r>
      <w:r>
        <w:rPr>
          <w:color w:val="231F20"/>
          <w:spacing w:val="-18"/>
          <w:w w:val="105"/>
        </w:rPr>
        <w:t> </w:t>
      </w:r>
      <w:r>
        <w:rPr>
          <w:color w:val="231F20"/>
          <w:w w:val="105"/>
        </w:rPr>
        <w:t>Presidente</w:t>
      </w:r>
      <w:r>
        <w:rPr>
          <w:color w:val="231F20"/>
          <w:spacing w:val="-18"/>
          <w:w w:val="105"/>
        </w:rPr>
        <w:t> </w:t>
      </w:r>
      <w:r>
        <w:rPr>
          <w:color w:val="231F20"/>
          <w:w w:val="105"/>
        </w:rPr>
        <w:t>Municipal.</w:t>
      </w:r>
      <w:r>
        <w:rPr>
          <w:color w:val="231F20"/>
          <w:spacing w:val="-18"/>
          <w:w w:val="105"/>
        </w:rPr>
        <w:t> </w:t>
      </w:r>
      <w:r>
        <w:rPr>
          <w:color w:val="231F20"/>
          <w:w w:val="105"/>
        </w:rPr>
        <w:t>El</w:t>
      </w:r>
      <w:r>
        <w:rPr>
          <w:color w:val="231F20"/>
          <w:spacing w:val="-18"/>
          <w:w w:val="105"/>
        </w:rPr>
        <w:t> </w:t>
      </w:r>
      <w:r>
        <w:rPr>
          <w:color w:val="231F20"/>
          <w:w w:val="105"/>
        </w:rPr>
        <w:t>artículo</w:t>
      </w:r>
      <w:r>
        <w:rPr>
          <w:color w:val="231F20"/>
          <w:spacing w:val="-18"/>
          <w:w w:val="105"/>
        </w:rPr>
        <w:t> </w:t>
      </w:r>
      <w:r>
        <w:rPr>
          <w:color w:val="231F20"/>
          <w:spacing w:val="-3"/>
          <w:w w:val="105"/>
        </w:rPr>
        <w:t>70</w:t>
      </w:r>
      <w:r>
        <w:rPr>
          <w:color w:val="231F20"/>
          <w:spacing w:val="-18"/>
          <w:w w:val="105"/>
        </w:rPr>
        <w:t> </w:t>
      </w:r>
      <w:r>
        <w:rPr>
          <w:color w:val="231F20"/>
          <w:w w:val="105"/>
        </w:rPr>
        <w:t>del</w:t>
      </w:r>
      <w:r>
        <w:rPr>
          <w:color w:val="231F20"/>
          <w:spacing w:val="-18"/>
          <w:w w:val="105"/>
        </w:rPr>
        <w:t> </w:t>
      </w:r>
      <w:r>
        <w:rPr>
          <w:color w:val="231F20"/>
          <w:w w:val="105"/>
        </w:rPr>
        <w:t>mismo</w:t>
      </w:r>
      <w:r>
        <w:rPr>
          <w:color w:val="231F20"/>
          <w:spacing w:val="-18"/>
          <w:w w:val="105"/>
        </w:rPr>
        <w:t> </w:t>
      </w:r>
      <w:r>
        <w:rPr>
          <w:color w:val="231F20"/>
          <w:w w:val="105"/>
        </w:rPr>
        <w:t>ordenamiento</w:t>
      </w:r>
      <w:r>
        <w:rPr>
          <w:color w:val="231F20"/>
          <w:spacing w:val="-18"/>
          <w:w w:val="105"/>
        </w:rPr>
        <w:t> </w:t>
      </w:r>
      <w:r>
        <w:rPr>
          <w:color w:val="231F20"/>
          <w:w w:val="105"/>
        </w:rPr>
        <w:t>dice:</w:t>
      </w:r>
      <w:r>
        <w:rPr>
          <w:color w:val="231F20"/>
          <w:spacing w:val="-18"/>
          <w:w w:val="105"/>
        </w:rPr>
        <w:t> </w:t>
      </w:r>
      <w:r>
        <w:rPr>
          <w:color w:val="231F20"/>
          <w:w w:val="105"/>
        </w:rPr>
        <w:t>“Las comisiones del Ayuntamiento coadyuvarán en la elaboración del Plan de Desa- rrollo</w:t>
      </w:r>
      <w:r>
        <w:rPr>
          <w:color w:val="231F20"/>
          <w:spacing w:val="-14"/>
          <w:w w:val="105"/>
        </w:rPr>
        <w:t> </w:t>
      </w:r>
      <w:r>
        <w:rPr>
          <w:color w:val="231F20"/>
          <w:w w:val="105"/>
        </w:rPr>
        <w:t>Municipal</w:t>
      </w:r>
      <w:r>
        <w:rPr>
          <w:color w:val="231F20"/>
          <w:spacing w:val="-14"/>
          <w:w w:val="105"/>
        </w:rPr>
        <w:t> </w:t>
      </w:r>
      <w:r>
        <w:rPr>
          <w:color w:val="231F20"/>
          <w:w w:val="105"/>
        </w:rPr>
        <w:t>y</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evaluación”</w:t>
      </w:r>
      <w:r>
        <w:rPr>
          <w:color w:val="231F20"/>
          <w:spacing w:val="-14"/>
          <w:w w:val="105"/>
        </w:rPr>
        <w:t> </w:t>
      </w:r>
      <w:r>
        <w:rPr>
          <w:color w:val="231F20"/>
          <w:spacing w:val="-9"/>
          <w:w w:val="105"/>
        </w:rPr>
        <w:t>(…)</w:t>
      </w:r>
      <w:r>
        <w:rPr>
          <w:color w:val="231F20"/>
          <w:spacing w:val="-14"/>
          <w:w w:val="105"/>
        </w:rPr>
        <w:t> </w:t>
      </w:r>
      <w:r>
        <w:rPr>
          <w:color w:val="231F20"/>
          <w:spacing w:val="-7"/>
          <w:w w:val="105"/>
        </w:rPr>
        <w:t>Todo</w:t>
      </w:r>
      <w:r>
        <w:rPr>
          <w:color w:val="231F20"/>
          <w:spacing w:val="-14"/>
          <w:w w:val="105"/>
        </w:rPr>
        <w:t> </w:t>
      </w:r>
      <w:r>
        <w:rPr>
          <w:color w:val="231F20"/>
          <w:w w:val="105"/>
        </w:rPr>
        <w:t>esto</w:t>
      </w:r>
      <w:r>
        <w:rPr>
          <w:color w:val="231F20"/>
          <w:spacing w:val="-14"/>
          <w:w w:val="105"/>
        </w:rPr>
        <w:t> </w:t>
      </w:r>
      <w:r>
        <w:rPr>
          <w:color w:val="231F20"/>
          <w:w w:val="105"/>
        </w:rPr>
        <w:t>es</w:t>
      </w:r>
      <w:r>
        <w:rPr>
          <w:color w:val="231F20"/>
          <w:spacing w:val="-14"/>
          <w:w w:val="105"/>
        </w:rPr>
        <w:t> </w:t>
      </w:r>
      <w:r>
        <w:rPr>
          <w:color w:val="231F20"/>
          <w:w w:val="105"/>
        </w:rPr>
        <w:t>evidencia</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reglas para la elaboración del Plan de Desarrollo Municipal se institucionalizan jurídi- camente</w:t>
      </w:r>
      <w:r>
        <w:rPr>
          <w:color w:val="231F20"/>
          <w:spacing w:val="-38"/>
          <w:w w:val="105"/>
        </w:rPr>
        <w:t> </w:t>
      </w:r>
      <w:r>
        <w:rPr>
          <w:color w:val="231F20"/>
          <w:w w:val="105"/>
        </w:rPr>
        <w:t>(Sánchez,</w:t>
      </w:r>
      <w:r>
        <w:rPr>
          <w:color w:val="231F20"/>
          <w:spacing w:val="-38"/>
          <w:w w:val="105"/>
        </w:rPr>
        <w:t> </w:t>
      </w:r>
      <w:r>
        <w:rPr>
          <w:color w:val="231F20"/>
          <w:w w:val="105"/>
        </w:rPr>
        <w:t>2007:</w:t>
      </w:r>
      <w:r>
        <w:rPr>
          <w:color w:val="231F20"/>
          <w:spacing w:val="-38"/>
          <w:w w:val="105"/>
        </w:rPr>
        <w:t> </w:t>
      </w:r>
      <w:r>
        <w:rPr>
          <w:color w:val="231F20"/>
          <w:spacing w:val="-3"/>
          <w:w w:val="105"/>
        </w:rPr>
        <w:t>134).</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Municipal</w:t>
      </w:r>
      <w:r>
        <w:rPr>
          <w:color w:val="231F20"/>
          <w:spacing w:val="-14"/>
          <w:w w:val="105"/>
        </w:rPr>
        <w:t> </w:t>
      </w:r>
      <w:r>
        <w:rPr>
          <w:color w:val="231F20"/>
          <w:spacing w:val="2"/>
          <w:w w:val="105"/>
        </w:rPr>
        <w:t>2006-2009</w:t>
      </w:r>
      <w:r>
        <w:rPr>
          <w:color w:val="231F20"/>
          <w:spacing w:val="-14"/>
          <w:w w:val="105"/>
        </w:rPr>
        <w:t> </w:t>
      </w:r>
      <w:r>
        <w:rPr>
          <w:color w:val="231F20"/>
          <w:w w:val="105"/>
        </w:rPr>
        <w:t>de</w:t>
      </w:r>
      <w:r>
        <w:rPr>
          <w:color w:val="231F20"/>
          <w:spacing w:val="-14"/>
          <w:w w:val="105"/>
        </w:rPr>
        <w:t> </w:t>
      </w:r>
      <w:r>
        <w:rPr>
          <w:color w:val="231F20"/>
          <w:spacing w:val="-4"/>
          <w:w w:val="105"/>
        </w:rPr>
        <w:t>Tejupilco</w:t>
      </w:r>
      <w:r>
        <w:rPr>
          <w:color w:val="231F20"/>
          <w:spacing w:val="-14"/>
          <w:w w:val="105"/>
        </w:rPr>
        <w:t> </w:t>
      </w:r>
      <w:r>
        <w:rPr>
          <w:color w:val="231F20"/>
          <w:w w:val="105"/>
        </w:rPr>
        <w:t>se</w:t>
      </w:r>
      <w:r>
        <w:rPr>
          <w:color w:val="231F20"/>
          <w:spacing w:val="-14"/>
          <w:w w:val="105"/>
        </w:rPr>
        <w:t> </w:t>
      </w:r>
      <w:r>
        <w:rPr>
          <w:color w:val="231F20"/>
          <w:w w:val="105"/>
        </w:rPr>
        <w:t>argumenta</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utiliza la</w:t>
      </w:r>
      <w:r>
        <w:rPr>
          <w:color w:val="231F20"/>
          <w:spacing w:val="-9"/>
          <w:w w:val="105"/>
        </w:rPr>
        <w:t> </w:t>
      </w:r>
      <w:r>
        <w:rPr>
          <w:color w:val="231F20"/>
          <w:w w:val="105"/>
        </w:rPr>
        <w:t>planeación</w:t>
      </w:r>
      <w:r>
        <w:rPr>
          <w:color w:val="231F20"/>
          <w:spacing w:val="-9"/>
          <w:w w:val="105"/>
        </w:rPr>
        <w:t> </w:t>
      </w:r>
      <w:r>
        <w:rPr>
          <w:color w:val="231F20"/>
          <w:w w:val="105"/>
        </w:rPr>
        <w:t>estratégica</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objetivo</w:t>
      </w:r>
      <w:r>
        <w:rPr>
          <w:color w:val="231F20"/>
          <w:spacing w:val="-9"/>
          <w:w w:val="105"/>
        </w:rPr>
        <w:t> </w:t>
      </w:r>
      <w:r>
        <w:rPr>
          <w:color w:val="231F20"/>
          <w:w w:val="105"/>
        </w:rPr>
        <w:t>de</w:t>
      </w:r>
      <w:r>
        <w:rPr>
          <w:color w:val="231F20"/>
          <w:spacing w:val="-9"/>
          <w:w w:val="105"/>
        </w:rPr>
        <w:t> </w:t>
      </w:r>
      <w:r>
        <w:rPr>
          <w:color w:val="231F20"/>
          <w:w w:val="105"/>
        </w:rPr>
        <w:t>ordenar</w:t>
      </w:r>
      <w:r>
        <w:rPr>
          <w:color w:val="231F20"/>
          <w:spacing w:val="-9"/>
          <w:w w:val="105"/>
        </w:rPr>
        <w:t> </w:t>
      </w:r>
      <w:r>
        <w:rPr>
          <w:color w:val="231F20"/>
          <w:w w:val="105"/>
        </w:rPr>
        <w:t>y</w:t>
      </w:r>
      <w:r>
        <w:rPr>
          <w:color w:val="231F20"/>
          <w:spacing w:val="-9"/>
          <w:w w:val="105"/>
        </w:rPr>
        <w:t> </w:t>
      </w:r>
      <w:r>
        <w:rPr>
          <w:color w:val="231F20"/>
          <w:spacing w:val="2"/>
          <w:w w:val="105"/>
        </w:rPr>
        <w:t>guiar</w:t>
      </w:r>
      <w:r>
        <w:rPr>
          <w:color w:val="231F20"/>
          <w:spacing w:val="-9"/>
          <w:w w:val="105"/>
        </w:rPr>
        <w:t> </w:t>
      </w:r>
      <w:r>
        <w:rPr>
          <w:color w:val="231F20"/>
          <w:w w:val="105"/>
        </w:rPr>
        <w:t>los</w:t>
      </w:r>
      <w:r>
        <w:rPr>
          <w:color w:val="231F20"/>
          <w:spacing w:val="-9"/>
          <w:w w:val="105"/>
        </w:rPr>
        <w:t> </w:t>
      </w:r>
      <w:r>
        <w:rPr>
          <w:color w:val="231F20"/>
          <w:w w:val="105"/>
        </w:rPr>
        <w:t>pasos</w:t>
      </w:r>
      <w:r>
        <w:rPr>
          <w:color w:val="231F20"/>
          <w:spacing w:val="-9"/>
          <w:w w:val="105"/>
        </w:rPr>
        <w:t> </w:t>
      </w:r>
      <w:r>
        <w:rPr>
          <w:color w:val="231F20"/>
          <w:spacing w:val="-5"/>
          <w:w w:val="105"/>
        </w:rPr>
        <w:t>(de</w:t>
      </w:r>
      <w:r>
        <w:rPr>
          <w:color w:val="231F20"/>
          <w:spacing w:val="-9"/>
          <w:w w:val="105"/>
        </w:rPr>
        <w:t> </w:t>
      </w:r>
      <w:r>
        <w:rPr>
          <w:color w:val="231F20"/>
          <w:w w:val="105"/>
        </w:rPr>
        <w:t>la</w:t>
      </w:r>
      <w:r>
        <w:rPr>
          <w:color w:val="231F20"/>
          <w:spacing w:val="-9"/>
          <w:w w:val="105"/>
        </w:rPr>
        <w:t> </w:t>
      </w:r>
      <w:r>
        <w:rPr>
          <w:color w:val="231F20"/>
          <w:w w:val="105"/>
        </w:rPr>
        <w:t>administra- ción</w:t>
      </w:r>
      <w:r>
        <w:rPr>
          <w:color w:val="231F20"/>
          <w:spacing w:val="-19"/>
          <w:w w:val="105"/>
        </w:rPr>
        <w:t> </w:t>
      </w:r>
      <w:r>
        <w:rPr>
          <w:color w:val="231F20"/>
          <w:w w:val="105"/>
        </w:rPr>
        <w:t>pública)</w:t>
      </w:r>
      <w:r>
        <w:rPr>
          <w:color w:val="231F20"/>
          <w:spacing w:val="-19"/>
          <w:w w:val="105"/>
        </w:rPr>
        <w:t> </w:t>
      </w:r>
      <w:r>
        <w:rPr>
          <w:color w:val="231F20"/>
          <w:w w:val="105"/>
        </w:rPr>
        <w:t>hacia</w:t>
      </w:r>
      <w:r>
        <w:rPr>
          <w:color w:val="231F20"/>
          <w:spacing w:val="-19"/>
          <w:w w:val="105"/>
        </w:rPr>
        <w:t> </w:t>
      </w:r>
      <w:r>
        <w:rPr>
          <w:color w:val="231F20"/>
          <w:w w:val="105"/>
        </w:rPr>
        <w:t>la</w:t>
      </w:r>
      <w:r>
        <w:rPr>
          <w:color w:val="231F20"/>
          <w:spacing w:val="-19"/>
          <w:w w:val="105"/>
        </w:rPr>
        <w:t> </w:t>
      </w:r>
      <w:r>
        <w:rPr>
          <w:color w:val="231F20"/>
          <w:w w:val="105"/>
        </w:rPr>
        <w:t>eficacia</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uso</w:t>
      </w:r>
      <w:r>
        <w:rPr>
          <w:color w:val="231F20"/>
          <w:spacing w:val="-19"/>
          <w:w w:val="105"/>
        </w:rPr>
        <w:t> </w:t>
      </w:r>
      <w:r>
        <w:rPr>
          <w:color w:val="231F20"/>
          <w:w w:val="105"/>
        </w:rPr>
        <w:t>racional</w:t>
      </w:r>
      <w:r>
        <w:rPr>
          <w:color w:val="231F20"/>
          <w:spacing w:val="-19"/>
          <w:w w:val="105"/>
        </w:rPr>
        <w:t> </w:t>
      </w:r>
      <w:r>
        <w:rPr>
          <w:color w:val="231F20"/>
          <w:w w:val="105"/>
        </w:rPr>
        <w:t>y</w:t>
      </w:r>
      <w:r>
        <w:rPr>
          <w:color w:val="231F20"/>
          <w:spacing w:val="-19"/>
          <w:w w:val="105"/>
        </w:rPr>
        <w:t> </w:t>
      </w:r>
      <w:r>
        <w:rPr>
          <w:color w:val="231F20"/>
          <w:w w:val="105"/>
        </w:rPr>
        <w:t>efectivo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públicos</w:t>
      </w:r>
      <w:r>
        <w:rPr>
          <w:color w:val="231F20"/>
          <w:spacing w:val="-19"/>
          <w:w w:val="105"/>
        </w:rPr>
        <w:t> </w:t>
      </w:r>
      <w:r>
        <w:rPr>
          <w:color w:val="231F20"/>
          <w:w w:val="105"/>
        </w:rPr>
        <w:t>(Plan, 2007:</w:t>
      </w:r>
      <w:r>
        <w:rPr>
          <w:color w:val="231F20"/>
          <w:spacing w:val="-9"/>
          <w:w w:val="105"/>
        </w:rPr>
        <w:t> </w:t>
      </w:r>
      <w:r>
        <w:rPr>
          <w:color w:val="231F20"/>
          <w:spacing w:val="-5"/>
          <w:w w:val="105"/>
        </w:rPr>
        <w:t>4),</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objetivo</w:t>
      </w:r>
      <w:r>
        <w:rPr>
          <w:color w:val="231F20"/>
          <w:spacing w:val="-9"/>
          <w:w w:val="105"/>
        </w:rPr>
        <w:t> </w:t>
      </w:r>
      <w:r>
        <w:rPr>
          <w:color w:val="231F20"/>
          <w:w w:val="105"/>
        </w:rPr>
        <w:t>de</w:t>
      </w:r>
      <w:r>
        <w:rPr>
          <w:color w:val="231F20"/>
          <w:spacing w:val="-9"/>
          <w:w w:val="105"/>
        </w:rPr>
        <w:t> </w:t>
      </w:r>
      <w:r>
        <w:rPr>
          <w:color w:val="231F20"/>
          <w:w w:val="105"/>
        </w:rPr>
        <w:t>buscar</w:t>
      </w:r>
      <w:r>
        <w:rPr>
          <w:color w:val="231F20"/>
          <w:spacing w:val="-9"/>
          <w:w w:val="105"/>
        </w:rPr>
        <w:t> </w:t>
      </w:r>
      <w:r>
        <w:rPr>
          <w:color w:val="231F20"/>
          <w:w w:val="105"/>
        </w:rPr>
        <w:t>la</w:t>
      </w:r>
      <w:r>
        <w:rPr>
          <w:color w:val="231F20"/>
          <w:spacing w:val="-9"/>
          <w:w w:val="105"/>
        </w:rPr>
        <w:t> </w:t>
      </w:r>
      <w:r>
        <w:rPr>
          <w:color w:val="231F20"/>
          <w:w w:val="105"/>
        </w:rPr>
        <w:t>transformación</w:t>
      </w:r>
      <w:r>
        <w:rPr>
          <w:color w:val="231F20"/>
          <w:spacing w:val="-9"/>
          <w:w w:val="105"/>
        </w:rPr>
        <w:t> </w:t>
      </w:r>
      <w:r>
        <w:rPr>
          <w:color w:val="231F20"/>
          <w:w w:val="105"/>
        </w:rPr>
        <w:t>y</w:t>
      </w:r>
      <w:r>
        <w:rPr>
          <w:color w:val="231F20"/>
          <w:spacing w:val="-9"/>
          <w:w w:val="105"/>
        </w:rPr>
        <w:t> </w:t>
      </w:r>
      <w:r>
        <w:rPr>
          <w:color w:val="231F20"/>
          <w:w w:val="105"/>
        </w:rPr>
        <w:t>mejoramiento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realidad</w:t>
      </w:r>
      <w:r>
        <w:rPr>
          <w:color w:val="231F20"/>
          <w:spacing w:val="-9"/>
          <w:w w:val="105"/>
        </w:rPr>
        <w:t> </w:t>
      </w:r>
      <w:r>
        <w:rPr>
          <w:color w:val="231F20"/>
          <w:w w:val="105"/>
        </w:rPr>
        <w:t>so- cial,</w:t>
      </w:r>
      <w:r>
        <w:rPr>
          <w:color w:val="231F20"/>
          <w:spacing w:val="-17"/>
          <w:w w:val="105"/>
        </w:rPr>
        <w:t> </w:t>
      </w:r>
      <w:r>
        <w:rPr>
          <w:color w:val="231F20"/>
          <w:w w:val="105"/>
        </w:rPr>
        <w:t>económica</w:t>
      </w:r>
      <w:r>
        <w:rPr>
          <w:color w:val="231F20"/>
          <w:spacing w:val="-17"/>
          <w:w w:val="105"/>
        </w:rPr>
        <w:t> </w:t>
      </w:r>
      <w:r>
        <w:rPr>
          <w:color w:val="231F20"/>
          <w:w w:val="105"/>
        </w:rPr>
        <w:t>y</w:t>
      </w:r>
      <w:r>
        <w:rPr>
          <w:color w:val="231F20"/>
          <w:spacing w:val="-17"/>
          <w:w w:val="105"/>
        </w:rPr>
        <w:t> </w:t>
      </w:r>
      <w:r>
        <w:rPr>
          <w:color w:val="231F20"/>
          <w:spacing w:val="2"/>
          <w:w w:val="105"/>
        </w:rPr>
        <w:t>cultural</w:t>
      </w:r>
      <w:r>
        <w:rPr>
          <w:color w:val="231F20"/>
          <w:spacing w:val="-17"/>
          <w:w w:val="105"/>
        </w:rPr>
        <w:t> </w:t>
      </w:r>
      <w:r>
        <w:rPr>
          <w:color w:val="231F20"/>
          <w:w w:val="105"/>
        </w:rPr>
        <w:t>del</w:t>
      </w:r>
      <w:r>
        <w:rPr>
          <w:color w:val="231F20"/>
          <w:spacing w:val="-17"/>
          <w:w w:val="105"/>
        </w:rPr>
        <w:t> </w:t>
      </w:r>
      <w:r>
        <w:rPr>
          <w:color w:val="231F20"/>
          <w:w w:val="105"/>
        </w:rPr>
        <w:t>municipio</w:t>
      </w:r>
      <w:r>
        <w:rPr>
          <w:color w:val="231F20"/>
          <w:spacing w:val="-17"/>
          <w:w w:val="105"/>
        </w:rPr>
        <w:t> </w:t>
      </w:r>
      <w:r>
        <w:rPr>
          <w:color w:val="231F20"/>
          <w:w w:val="105"/>
        </w:rPr>
        <w:t>(Plan,</w:t>
      </w:r>
      <w:r>
        <w:rPr>
          <w:color w:val="231F20"/>
          <w:spacing w:val="-17"/>
          <w:w w:val="105"/>
        </w:rPr>
        <w:t> </w:t>
      </w:r>
      <w:r>
        <w:rPr>
          <w:color w:val="231F20"/>
          <w:w w:val="105"/>
        </w:rPr>
        <w:t>2007:</w:t>
      </w:r>
      <w:r>
        <w:rPr>
          <w:color w:val="231F20"/>
          <w:spacing w:val="-17"/>
          <w:w w:val="105"/>
        </w:rPr>
        <w:t> </w:t>
      </w:r>
      <w:r>
        <w:rPr>
          <w:color w:val="231F20"/>
          <w:spacing w:val="-4"/>
          <w:w w:val="105"/>
        </w:rPr>
        <w:t>5),</w:t>
      </w:r>
      <w:r>
        <w:rPr>
          <w:color w:val="231F20"/>
          <w:spacing w:val="-17"/>
          <w:w w:val="105"/>
        </w:rPr>
        <w:t> </w:t>
      </w:r>
      <w:r>
        <w:rPr>
          <w:color w:val="231F20"/>
          <w:w w:val="105"/>
        </w:rPr>
        <w:t>para</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puedan</w:t>
      </w:r>
      <w:r>
        <w:rPr>
          <w:color w:val="231F20"/>
          <w:spacing w:val="-17"/>
          <w:w w:val="105"/>
        </w:rPr>
        <w:t> </w:t>
      </w:r>
      <w:r>
        <w:rPr>
          <w:color w:val="231F20"/>
          <w:w w:val="105"/>
        </w:rPr>
        <w:t>mejorar</w:t>
      </w:r>
      <w:r>
        <w:rPr>
          <w:color w:val="231F20"/>
          <w:spacing w:val="-17"/>
          <w:w w:val="105"/>
        </w:rPr>
        <w:t> </w:t>
      </w:r>
      <w:r>
        <w:rPr>
          <w:color w:val="231F20"/>
          <w:w w:val="105"/>
        </w:rPr>
        <w:t>los niveles</w:t>
      </w:r>
      <w:r>
        <w:rPr>
          <w:color w:val="231F20"/>
          <w:spacing w:val="-18"/>
          <w:w w:val="105"/>
        </w:rPr>
        <w:t> </w:t>
      </w:r>
      <w:r>
        <w:rPr>
          <w:color w:val="231F20"/>
          <w:w w:val="105"/>
        </w:rPr>
        <w:t>de</w:t>
      </w:r>
      <w:r>
        <w:rPr>
          <w:color w:val="231F20"/>
          <w:spacing w:val="-18"/>
          <w:w w:val="105"/>
        </w:rPr>
        <w:t> </w:t>
      </w:r>
      <w:r>
        <w:rPr>
          <w:color w:val="231F20"/>
          <w:w w:val="105"/>
        </w:rPr>
        <w:t>vida</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oportunidades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mayoría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población.</w:t>
      </w:r>
    </w:p>
    <w:p>
      <w:pPr>
        <w:pStyle w:val="BodyText"/>
        <w:spacing w:before="1"/>
        <w:rPr>
          <w:sz w:val="26"/>
        </w:rPr>
      </w:pPr>
    </w:p>
    <w:p>
      <w:pPr>
        <w:pStyle w:val="BodyText"/>
        <w:spacing w:line="285" w:lineRule="auto"/>
        <w:ind w:left="110" w:right="108"/>
        <w:jc w:val="both"/>
      </w:pPr>
      <w:r>
        <w:rPr>
          <w:color w:val="231F20"/>
          <w:w w:val="105"/>
        </w:rPr>
        <w:t>A</w:t>
      </w:r>
      <w:r>
        <w:rPr>
          <w:color w:val="231F20"/>
          <w:spacing w:val="-8"/>
          <w:w w:val="105"/>
        </w:rPr>
        <w:t> </w:t>
      </w:r>
      <w:r>
        <w:rPr>
          <w:color w:val="231F20"/>
          <w:w w:val="105"/>
        </w:rPr>
        <w:t>pesar</w:t>
      </w:r>
      <w:r>
        <w:rPr>
          <w:color w:val="231F20"/>
          <w:spacing w:val="-8"/>
          <w:w w:val="105"/>
        </w:rPr>
        <w:t> </w:t>
      </w:r>
      <w:r>
        <w:rPr>
          <w:color w:val="231F20"/>
          <w:w w:val="105"/>
        </w:rPr>
        <w:t>del</w:t>
      </w:r>
      <w:r>
        <w:rPr>
          <w:color w:val="231F20"/>
          <w:spacing w:val="-8"/>
          <w:w w:val="105"/>
        </w:rPr>
        <w:t> </w:t>
      </w:r>
      <w:r>
        <w:rPr>
          <w:color w:val="231F20"/>
          <w:w w:val="105"/>
        </w:rPr>
        <w:t>limitado</w:t>
      </w:r>
      <w:r>
        <w:rPr>
          <w:color w:val="231F20"/>
          <w:spacing w:val="-8"/>
          <w:w w:val="105"/>
        </w:rPr>
        <w:t> </w:t>
      </w:r>
      <w:r>
        <w:rPr>
          <w:color w:val="231F20"/>
          <w:w w:val="105"/>
        </w:rPr>
        <w:t>tiempo</w:t>
      </w:r>
      <w:r>
        <w:rPr>
          <w:color w:val="231F20"/>
          <w:spacing w:val="-8"/>
          <w:w w:val="105"/>
        </w:rPr>
        <w:t> </w:t>
      </w:r>
      <w:r>
        <w:rPr>
          <w:color w:val="231F20"/>
          <w:w w:val="105"/>
        </w:rPr>
        <w:t>de</w:t>
      </w:r>
      <w:r>
        <w:rPr>
          <w:color w:val="231F20"/>
          <w:spacing w:val="-8"/>
          <w:w w:val="105"/>
        </w:rPr>
        <w:t> </w:t>
      </w:r>
      <w:r>
        <w:rPr>
          <w:color w:val="231F20"/>
          <w:w w:val="105"/>
        </w:rPr>
        <w:t>actuación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administración</w:t>
      </w:r>
      <w:r>
        <w:rPr>
          <w:color w:val="231F20"/>
          <w:spacing w:val="-8"/>
          <w:w w:val="105"/>
        </w:rPr>
        <w:t> </w:t>
      </w:r>
      <w:r>
        <w:rPr>
          <w:color w:val="231F20"/>
          <w:w w:val="105"/>
        </w:rPr>
        <w:t>municipal,</w:t>
      </w:r>
      <w:r>
        <w:rPr>
          <w:color w:val="231F20"/>
          <w:spacing w:val="-8"/>
          <w:w w:val="105"/>
        </w:rPr>
        <w:t> </w:t>
      </w:r>
      <w:r>
        <w:rPr>
          <w:color w:val="231F20"/>
          <w:w w:val="105"/>
        </w:rPr>
        <w:t>los</w:t>
      </w:r>
      <w:r>
        <w:rPr>
          <w:color w:val="231F20"/>
          <w:spacing w:val="-8"/>
          <w:w w:val="105"/>
        </w:rPr>
        <w:t> </w:t>
      </w:r>
      <w:r>
        <w:rPr>
          <w:color w:val="231F20"/>
          <w:w w:val="105"/>
        </w:rPr>
        <w:t>objetivos planteados</w:t>
      </w:r>
      <w:r>
        <w:rPr>
          <w:color w:val="231F20"/>
          <w:spacing w:val="-17"/>
          <w:w w:val="105"/>
        </w:rPr>
        <w:t> </w:t>
      </w:r>
      <w:r>
        <w:rPr>
          <w:color w:val="231F20"/>
          <w:w w:val="105"/>
        </w:rPr>
        <w:t>son</w:t>
      </w:r>
      <w:r>
        <w:rPr>
          <w:color w:val="231F20"/>
          <w:spacing w:val="-17"/>
          <w:w w:val="105"/>
        </w:rPr>
        <w:t> </w:t>
      </w:r>
      <w:r>
        <w:rPr>
          <w:color w:val="231F20"/>
          <w:w w:val="105"/>
        </w:rPr>
        <w:t>visualizados</w:t>
      </w:r>
      <w:r>
        <w:rPr>
          <w:color w:val="231F20"/>
          <w:spacing w:val="-17"/>
          <w:w w:val="105"/>
        </w:rPr>
        <w:t> </w:t>
      </w:r>
      <w:r>
        <w:rPr>
          <w:color w:val="231F20"/>
          <w:w w:val="105"/>
        </w:rPr>
        <w:t>a</w:t>
      </w:r>
      <w:r>
        <w:rPr>
          <w:color w:val="231F20"/>
          <w:spacing w:val="-17"/>
          <w:w w:val="105"/>
        </w:rPr>
        <w:t> </w:t>
      </w:r>
      <w:r>
        <w:rPr>
          <w:color w:val="231F20"/>
          <w:w w:val="105"/>
        </w:rPr>
        <w:t>largo</w:t>
      </w:r>
      <w:r>
        <w:rPr>
          <w:color w:val="231F20"/>
          <w:spacing w:val="-17"/>
          <w:w w:val="105"/>
        </w:rPr>
        <w:t> </w:t>
      </w:r>
      <w:r>
        <w:rPr>
          <w:color w:val="231F20"/>
          <w:w w:val="105"/>
        </w:rPr>
        <w:t>plazo</w:t>
      </w:r>
      <w:r>
        <w:rPr>
          <w:color w:val="231F20"/>
          <w:spacing w:val="-17"/>
          <w:w w:val="105"/>
        </w:rPr>
        <w:t> </w:t>
      </w:r>
      <w:r>
        <w:rPr>
          <w:color w:val="231F20"/>
          <w:w w:val="105"/>
        </w:rPr>
        <w:t>aunque</w:t>
      </w:r>
      <w:r>
        <w:rPr>
          <w:color w:val="231F20"/>
          <w:spacing w:val="-17"/>
          <w:w w:val="105"/>
        </w:rPr>
        <w:t> </w:t>
      </w:r>
      <w:r>
        <w:rPr>
          <w:color w:val="231F20"/>
          <w:w w:val="105"/>
        </w:rPr>
        <w:t>se</w:t>
      </w:r>
      <w:r>
        <w:rPr>
          <w:color w:val="231F20"/>
          <w:spacing w:val="-17"/>
          <w:w w:val="105"/>
        </w:rPr>
        <w:t> </w:t>
      </w:r>
      <w:r>
        <w:rPr>
          <w:color w:val="231F20"/>
          <w:w w:val="105"/>
        </w:rPr>
        <w:t>presume</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resultados</w:t>
      </w:r>
      <w:r>
        <w:rPr>
          <w:color w:val="231F20"/>
          <w:spacing w:val="-17"/>
          <w:w w:val="105"/>
        </w:rPr>
        <w:t> </w:t>
      </w:r>
      <w:r>
        <w:rPr>
          <w:color w:val="231F20"/>
          <w:w w:val="105"/>
        </w:rPr>
        <w:t>se</w:t>
      </w:r>
      <w:r>
        <w:rPr>
          <w:color w:val="231F20"/>
          <w:spacing w:val="-17"/>
          <w:w w:val="105"/>
        </w:rPr>
        <w:t> </w:t>
      </w:r>
      <w:r>
        <w:rPr>
          <w:color w:val="231F20"/>
          <w:w w:val="105"/>
        </w:rPr>
        <w:t>apre- ciarán</w:t>
      </w:r>
      <w:r>
        <w:rPr>
          <w:color w:val="231F20"/>
          <w:spacing w:val="-1"/>
          <w:w w:val="105"/>
        </w:rPr>
        <w:t> </w:t>
      </w:r>
      <w:r>
        <w:rPr>
          <w:color w:val="231F20"/>
          <w:w w:val="105"/>
        </w:rPr>
        <w:t>gradualmente.</w:t>
      </w:r>
    </w:p>
    <w:p>
      <w:pPr>
        <w:pStyle w:val="BodyText"/>
        <w:spacing w:before="1"/>
        <w:rPr>
          <w:sz w:val="26"/>
        </w:rPr>
      </w:pPr>
    </w:p>
    <w:p>
      <w:pPr>
        <w:pStyle w:val="BodyText"/>
        <w:spacing w:line="285" w:lineRule="auto"/>
        <w:ind w:left="110" w:right="107"/>
        <w:jc w:val="both"/>
      </w:pPr>
      <w:r>
        <w:rPr>
          <w:color w:val="231F20"/>
          <w:w w:val="105"/>
        </w:rPr>
        <w:t>El</w:t>
      </w:r>
      <w:r>
        <w:rPr>
          <w:color w:val="231F20"/>
          <w:spacing w:val="-8"/>
          <w:w w:val="105"/>
        </w:rPr>
        <w:t> </w:t>
      </w:r>
      <w:r>
        <w:rPr>
          <w:color w:val="231F20"/>
          <w:w w:val="105"/>
        </w:rPr>
        <w:t>logro</w:t>
      </w:r>
      <w:r>
        <w:rPr>
          <w:color w:val="231F20"/>
          <w:spacing w:val="-8"/>
          <w:w w:val="105"/>
        </w:rPr>
        <w:t> </w:t>
      </w:r>
      <w:r>
        <w:rPr>
          <w:color w:val="231F20"/>
          <w:w w:val="105"/>
        </w:rPr>
        <w:t>de</w:t>
      </w:r>
      <w:r>
        <w:rPr>
          <w:color w:val="231F20"/>
          <w:spacing w:val="-8"/>
          <w:w w:val="105"/>
        </w:rPr>
        <w:t> </w:t>
      </w:r>
      <w:r>
        <w:rPr>
          <w:color w:val="231F20"/>
          <w:w w:val="105"/>
        </w:rPr>
        <w:t>objetivos</w:t>
      </w:r>
      <w:r>
        <w:rPr>
          <w:color w:val="231F20"/>
          <w:spacing w:val="-8"/>
          <w:w w:val="105"/>
        </w:rPr>
        <w:t> </w:t>
      </w:r>
      <w:r>
        <w:rPr>
          <w:color w:val="231F20"/>
          <w:w w:val="105"/>
        </w:rPr>
        <w:t>y</w:t>
      </w:r>
      <w:r>
        <w:rPr>
          <w:color w:val="231F20"/>
          <w:spacing w:val="-8"/>
          <w:w w:val="105"/>
        </w:rPr>
        <w:t> </w:t>
      </w:r>
      <w:r>
        <w:rPr>
          <w:color w:val="231F20"/>
          <w:w w:val="105"/>
        </w:rPr>
        <w:t>promesas</w:t>
      </w:r>
      <w:r>
        <w:rPr>
          <w:color w:val="231F20"/>
          <w:spacing w:val="-8"/>
          <w:w w:val="105"/>
        </w:rPr>
        <w:t> </w:t>
      </w:r>
      <w:r>
        <w:rPr>
          <w:color w:val="231F20"/>
          <w:w w:val="105"/>
        </w:rPr>
        <w:t>de</w:t>
      </w:r>
      <w:r>
        <w:rPr>
          <w:color w:val="231F20"/>
          <w:spacing w:val="-8"/>
          <w:w w:val="105"/>
        </w:rPr>
        <w:t> </w:t>
      </w:r>
      <w:r>
        <w:rPr>
          <w:color w:val="231F20"/>
          <w:w w:val="105"/>
        </w:rPr>
        <w:t>campaña</w:t>
      </w:r>
      <w:r>
        <w:rPr>
          <w:color w:val="231F20"/>
          <w:spacing w:val="-8"/>
          <w:w w:val="105"/>
        </w:rPr>
        <w:t> </w:t>
      </w:r>
      <w:r>
        <w:rPr>
          <w:color w:val="231F20"/>
          <w:w w:val="105"/>
        </w:rPr>
        <w:t>del</w:t>
      </w:r>
      <w:r>
        <w:rPr>
          <w:color w:val="231F20"/>
          <w:spacing w:val="-8"/>
          <w:w w:val="105"/>
        </w:rPr>
        <w:t> </w:t>
      </w:r>
      <w:r>
        <w:rPr>
          <w:color w:val="231F20"/>
          <w:w w:val="105"/>
        </w:rPr>
        <w:t>gobierno</w:t>
      </w:r>
      <w:r>
        <w:rPr>
          <w:color w:val="231F20"/>
          <w:spacing w:val="-8"/>
          <w:w w:val="105"/>
        </w:rPr>
        <w:t> </w:t>
      </w:r>
      <w:r>
        <w:rPr>
          <w:color w:val="231F20"/>
          <w:w w:val="105"/>
        </w:rPr>
        <w:t>municipal</w:t>
      </w:r>
      <w:r>
        <w:rPr>
          <w:color w:val="231F20"/>
          <w:spacing w:val="-8"/>
          <w:w w:val="105"/>
        </w:rPr>
        <w:t> </w:t>
      </w:r>
      <w:r>
        <w:rPr>
          <w:color w:val="231F20"/>
          <w:w w:val="105"/>
        </w:rPr>
        <w:t>se</w:t>
      </w:r>
      <w:r>
        <w:rPr>
          <w:color w:val="231F20"/>
          <w:spacing w:val="-8"/>
          <w:w w:val="105"/>
        </w:rPr>
        <w:t> </w:t>
      </w:r>
      <w:r>
        <w:rPr>
          <w:color w:val="231F20"/>
          <w:w w:val="105"/>
        </w:rPr>
        <w:t>ven</w:t>
      </w:r>
      <w:r>
        <w:rPr>
          <w:color w:val="231F20"/>
          <w:spacing w:val="-8"/>
          <w:w w:val="105"/>
        </w:rPr>
        <w:t> </w:t>
      </w:r>
      <w:r>
        <w:rPr>
          <w:color w:val="231F20"/>
          <w:w w:val="105"/>
        </w:rPr>
        <w:t>limitados, en</w:t>
      </w:r>
      <w:r>
        <w:rPr>
          <w:color w:val="231F20"/>
          <w:spacing w:val="-4"/>
          <w:w w:val="105"/>
        </w:rPr>
        <w:t> </w:t>
      </w:r>
      <w:r>
        <w:rPr>
          <w:color w:val="231F20"/>
          <w:w w:val="105"/>
        </w:rPr>
        <w:t>primera</w:t>
      </w:r>
      <w:r>
        <w:rPr>
          <w:color w:val="231F20"/>
          <w:spacing w:val="-4"/>
          <w:w w:val="105"/>
        </w:rPr>
        <w:t> </w:t>
      </w:r>
      <w:r>
        <w:rPr>
          <w:color w:val="231F20"/>
          <w:w w:val="105"/>
        </w:rPr>
        <w:t>instancia,</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exceso</w:t>
      </w:r>
      <w:r>
        <w:rPr>
          <w:color w:val="231F20"/>
          <w:spacing w:val="-4"/>
          <w:w w:val="105"/>
        </w:rPr>
        <w:t> </w:t>
      </w:r>
      <w:r>
        <w:rPr>
          <w:color w:val="231F20"/>
          <w:w w:val="105"/>
        </w:rPr>
        <w:t>de</w:t>
      </w:r>
      <w:r>
        <w:rPr>
          <w:color w:val="231F20"/>
          <w:spacing w:val="-4"/>
          <w:w w:val="105"/>
        </w:rPr>
        <w:t> </w:t>
      </w:r>
      <w:r>
        <w:rPr>
          <w:color w:val="231F20"/>
          <w:w w:val="105"/>
        </w:rPr>
        <w:t>demandas</w:t>
      </w:r>
      <w:r>
        <w:rPr>
          <w:color w:val="231F20"/>
          <w:spacing w:val="-4"/>
          <w:w w:val="105"/>
        </w:rPr>
        <w:t> </w:t>
      </w:r>
      <w:r>
        <w:rPr>
          <w:color w:val="231F20"/>
          <w:w w:val="105"/>
        </w:rPr>
        <w:t>generadas</w:t>
      </w:r>
      <w:r>
        <w:rPr>
          <w:color w:val="231F20"/>
          <w:spacing w:val="-4"/>
          <w:w w:val="105"/>
        </w:rPr>
        <w:t> </w:t>
      </w:r>
      <w:r>
        <w:rPr>
          <w:color w:val="231F20"/>
          <w:w w:val="105"/>
        </w:rPr>
        <w:t>por</w:t>
      </w:r>
      <w:r>
        <w:rPr>
          <w:color w:val="231F20"/>
          <w:spacing w:val="-4"/>
          <w:w w:val="105"/>
        </w:rPr>
        <w:t> </w:t>
      </w:r>
      <w:r>
        <w:rPr>
          <w:color w:val="231F20"/>
          <w:w w:val="105"/>
        </w:rPr>
        <w:t>la</w:t>
      </w:r>
      <w:r>
        <w:rPr>
          <w:color w:val="231F20"/>
          <w:spacing w:val="-4"/>
          <w:w w:val="105"/>
        </w:rPr>
        <w:t> </w:t>
      </w:r>
      <w:r>
        <w:rPr>
          <w:color w:val="231F20"/>
          <w:w w:val="105"/>
        </w:rPr>
        <w:t>población;</w:t>
      </w:r>
      <w:r>
        <w:rPr>
          <w:color w:val="231F20"/>
          <w:spacing w:val="-4"/>
          <w:w w:val="105"/>
        </w:rPr>
        <w:t> </w:t>
      </w:r>
      <w:r>
        <w:rPr>
          <w:color w:val="231F20"/>
          <w:w w:val="105"/>
        </w:rPr>
        <w:t>segundo, por la incapacidad financiera del Ayuntamiento debido a que depende en gran medida de</w:t>
      </w:r>
      <w:r>
        <w:rPr>
          <w:color w:val="231F20"/>
          <w:spacing w:val="-14"/>
          <w:w w:val="105"/>
        </w:rPr>
        <w:t> </w:t>
      </w:r>
      <w:r>
        <w:rPr>
          <w:color w:val="231F20"/>
          <w:w w:val="105"/>
        </w:rPr>
        <w:t>los</w:t>
      </w:r>
      <w:r>
        <w:rPr>
          <w:color w:val="231F20"/>
          <w:spacing w:val="-14"/>
          <w:w w:val="105"/>
        </w:rPr>
        <w:t> </w:t>
      </w:r>
      <w:r>
        <w:rPr>
          <w:color w:val="231F20"/>
          <w:w w:val="105"/>
        </w:rPr>
        <w:t>recursos</w:t>
      </w:r>
      <w:r>
        <w:rPr>
          <w:color w:val="231F20"/>
          <w:spacing w:val="-14"/>
          <w:w w:val="105"/>
        </w:rPr>
        <w:t> </w:t>
      </w:r>
      <w:r>
        <w:rPr>
          <w:color w:val="231F20"/>
          <w:w w:val="105"/>
        </w:rPr>
        <w:t>económicos</w:t>
      </w:r>
      <w:r>
        <w:rPr>
          <w:color w:val="231F20"/>
          <w:spacing w:val="-14"/>
          <w:w w:val="105"/>
        </w:rPr>
        <w:t> </w:t>
      </w:r>
      <w:r>
        <w:rPr>
          <w:color w:val="231F20"/>
          <w:w w:val="105"/>
        </w:rPr>
        <w:t>tanto</w:t>
      </w:r>
      <w:r>
        <w:rPr>
          <w:color w:val="231F20"/>
          <w:spacing w:val="-14"/>
          <w:w w:val="105"/>
        </w:rPr>
        <w:t> </w:t>
      </w:r>
      <w:r>
        <w:rPr>
          <w:color w:val="231F20"/>
          <w:w w:val="105"/>
        </w:rPr>
        <w:t>federales</w:t>
      </w:r>
      <w:r>
        <w:rPr>
          <w:color w:val="231F20"/>
          <w:spacing w:val="-14"/>
          <w:w w:val="105"/>
        </w:rPr>
        <w:t> </w:t>
      </w:r>
      <w:r>
        <w:rPr>
          <w:color w:val="231F20"/>
          <w:w w:val="105"/>
        </w:rPr>
        <w:t>como</w:t>
      </w:r>
      <w:r>
        <w:rPr>
          <w:color w:val="231F20"/>
          <w:spacing w:val="-14"/>
          <w:w w:val="105"/>
        </w:rPr>
        <w:t> </w:t>
      </w:r>
      <w:r>
        <w:rPr>
          <w:color w:val="231F20"/>
          <w:w w:val="105"/>
        </w:rPr>
        <w:t>estatales</w:t>
      </w:r>
      <w:r>
        <w:rPr>
          <w:color w:val="231F20"/>
          <w:spacing w:val="-14"/>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recaudación</w:t>
      </w:r>
      <w:r>
        <w:rPr>
          <w:color w:val="231F20"/>
          <w:spacing w:val="-14"/>
          <w:w w:val="105"/>
        </w:rPr>
        <w:t> </w:t>
      </w:r>
      <w:r>
        <w:rPr>
          <w:color w:val="231F20"/>
          <w:w w:val="105"/>
        </w:rPr>
        <w:t>propia es</w:t>
      </w:r>
      <w:r>
        <w:rPr>
          <w:color w:val="231F20"/>
          <w:spacing w:val="-6"/>
          <w:w w:val="105"/>
        </w:rPr>
        <w:t> </w:t>
      </w:r>
      <w:r>
        <w:rPr>
          <w:color w:val="231F20"/>
          <w:w w:val="105"/>
        </w:rPr>
        <w:t>mínima;</w:t>
      </w:r>
      <w:r>
        <w:rPr>
          <w:color w:val="231F20"/>
          <w:spacing w:val="-6"/>
          <w:w w:val="105"/>
        </w:rPr>
        <w:t> </w:t>
      </w:r>
      <w:r>
        <w:rPr>
          <w:color w:val="231F20"/>
          <w:w w:val="105"/>
        </w:rPr>
        <w:t>y</w:t>
      </w:r>
      <w:r>
        <w:rPr>
          <w:color w:val="231F20"/>
          <w:spacing w:val="-6"/>
          <w:w w:val="105"/>
        </w:rPr>
        <w:t> </w:t>
      </w:r>
      <w:r>
        <w:rPr>
          <w:color w:val="231F20"/>
          <w:w w:val="105"/>
        </w:rPr>
        <w:t>finalmente,</w:t>
      </w:r>
      <w:r>
        <w:rPr>
          <w:color w:val="231F20"/>
          <w:spacing w:val="-6"/>
          <w:w w:val="105"/>
        </w:rPr>
        <w:t> </w:t>
      </w:r>
      <w:r>
        <w:rPr>
          <w:color w:val="231F20"/>
          <w:w w:val="105"/>
        </w:rPr>
        <w:t>porque</w:t>
      </w:r>
      <w:r>
        <w:rPr>
          <w:color w:val="231F20"/>
          <w:spacing w:val="-6"/>
          <w:w w:val="105"/>
        </w:rPr>
        <w:t> </w:t>
      </w:r>
      <w:r>
        <w:rPr>
          <w:color w:val="231F20"/>
          <w:w w:val="105"/>
        </w:rPr>
        <w:t>se</w:t>
      </w:r>
      <w:r>
        <w:rPr>
          <w:color w:val="231F20"/>
          <w:spacing w:val="-6"/>
          <w:w w:val="105"/>
        </w:rPr>
        <w:t> </w:t>
      </w:r>
      <w:r>
        <w:rPr>
          <w:color w:val="231F20"/>
          <w:w w:val="105"/>
        </w:rPr>
        <w:t>carece</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profesionalización</w:t>
      </w:r>
      <w:r>
        <w:rPr>
          <w:color w:val="231F20"/>
          <w:spacing w:val="-6"/>
          <w:w w:val="105"/>
        </w:rPr>
        <w:t> </w:t>
      </w:r>
      <w:r>
        <w:rPr>
          <w:color w:val="231F20"/>
          <w:w w:val="105"/>
        </w:rPr>
        <w:t>y</w:t>
      </w:r>
      <w:r>
        <w:rPr>
          <w:color w:val="231F20"/>
          <w:spacing w:val="-6"/>
          <w:w w:val="105"/>
        </w:rPr>
        <w:t> </w:t>
      </w:r>
      <w:r>
        <w:rPr>
          <w:color w:val="231F20"/>
          <w:w w:val="105"/>
        </w:rPr>
        <w:t>especialización del</w:t>
      </w:r>
      <w:r>
        <w:rPr>
          <w:color w:val="231F20"/>
          <w:spacing w:val="-8"/>
          <w:w w:val="105"/>
        </w:rPr>
        <w:t> </w:t>
      </w:r>
      <w:r>
        <w:rPr>
          <w:color w:val="231F20"/>
          <w:w w:val="105"/>
        </w:rPr>
        <w:t>personal</w:t>
      </w:r>
      <w:r>
        <w:rPr>
          <w:color w:val="231F20"/>
          <w:spacing w:val="-8"/>
          <w:w w:val="105"/>
        </w:rPr>
        <w:t> </w:t>
      </w:r>
      <w:r>
        <w:rPr>
          <w:color w:val="231F20"/>
          <w:w w:val="105"/>
        </w:rPr>
        <w:t>que</w:t>
      </w:r>
      <w:r>
        <w:rPr>
          <w:color w:val="231F20"/>
          <w:spacing w:val="-8"/>
          <w:w w:val="105"/>
        </w:rPr>
        <w:t> </w:t>
      </w:r>
      <w:r>
        <w:rPr>
          <w:color w:val="231F20"/>
          <w:w w:val="105"/>
        </w:rPr>
        <w:t>trabaja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administración</w:t>
      </w:r>
      <w:r>
        <w:rPr>
          <w:color w:val="231F20"/>
          <w:spacing w:val="-8"/>
          <w:w w:val="105"/>
        </w:rPr>
        <w:t> </w:t>
      </w:r>
      <w:r>
        <w:rPr>
          <w:color w:val="231F20"/>
          <w:w w:val="105"/>
        </w:rPr>
        <w:t>municipal.</w:t>
      </w:r>
    </w:p>
    <w:p>
      <w:pPr>
        <w:pStyle w:val="BodyText"/>
        <w:spacing w:before="1"/>
        <w:rPr>
          <w:sz w:val="26"/>
        </w:rPr>
      </w:pPr>
    </w:p>
    <w:p>
      <w:pPr>
        <w:pStyle w:val="BodyText"/>
        <w:spacing w:line="285" w:lineRule="auto"/>
        <w:ind w:left="110" w:right="108"/>
        <w:jc w:val="both"/>
      </w:pP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caso</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8"/>
          <w:w w:val="105"/>
        </w:rPr>
        <w:t> </w:t>
      </w:r>
      <w:r>
        <w:rPr>
          <w:color w:val="231F20"/>
          <w:w w:val="105"/>
        </w:rPr>
        <w:t>que</w:t>
      </w:r>
      <w:r>
        <w:rPr>
          <w:color w:val="231F20"/>
          <w:spacing w:val="-9"/>
          <w:w w:val="105"/>
        </w:rPr>
        <w:t> </w:t>
      </w:r>
      <w:r>
        <w:rPr>
          <w:color w:val="231F20"/>
          <w:w w:val="105"/>
        </w:rPr>
        <w:t>nos</w:t>
      </w:r>
      <w:r>
        <w:rPr>
          <w:color w:val="231F20"/>
          <w:spacing w:val="-9"/>
          <w:w w:val="105"/>
        </w:rPr>
        <w:t> </w:t>
      </w:r>
      <w:r>
        <w:rPr>
          <w:color w:val="231F20"/>
          <w:w w:val="105"/>
        </w:rPr>
        <w:t>ocupa,</w:t>
      </w:r>
      <w:r>
        <w:rPr>
          <w:color w:val="231F20"/>
          <w:spacing w:val="-9"/>
          <w:w w:val="105"/>
        </w:rPr>
        <w:t> </w:t>
      </w:r>
      <w:r>
        <w:rPr>
          <w:color w:val="231F20"/>
          <w:w w:val="105"/>
        </w:rPr>
        <w:t>el</w:t>
      </w:r>
      <w:r>
        <w:rPr>
          <w:color w:val="231F20"/>
          <w:spacing w:val="-9"/>
          <w:w w:val="105"/>
        </w:rPr>
        <w:t> </w:t>
      </w:r>
      <w:r>
        <w:rPr>
          <w:color w:val="231F20"/>
          <w:w w:val="105"/>
        </w:rPr>
        <w:t>Plan</w:t>
      </w:r>
      <w:r>
        <w:rPr>
          <w:color w:val="231F20"/>
          <w:spacing w:val="-9"/>
          <w:w w:val="105"/>
        </w:rPr>
        <w:t> </w:t>
      </w:r>
      <w:r>
        <w:rPr>
          <w:color w:val="231F20"/>
          <w:w w:val="105"/>
        </w:rPr>
        <w:t>de</w:t>
      </w:r>
      <w:r>
        <w:rPr>
          <w:color w:val="231F20"/>
          <w:spacing w:val="-9"/>
          <w:w w:val="105"/>
        </w:rPr>
        <w:t> </w:t>
      </w:r>
      <w:r>
        <w:rPr>
          <w:color w:val="231F20"/>
          <w:w w:val="105"/>
        </w:rPr>
        <w:t>Desarrollo</w:t>
      </w:r>
      <w:r>
        <w:rPr>
          <w:color w:val="231F20"/>
          <w:spacing w:val="-9"/>
          <w:w w:val="105"/>
        </w:rPr>
        <w:t> </w:t>
      </w:r>
      <w:r>
        <w:rPr>
          <w:color w:val="231F20"/>
          <w:w w:val="105"/>
        </w:rPr>
        <w:t>Municipal,</w:t>
      </w:r>
      <w:r>
        <w:rPr>
          <w:color w:val="231F20"/>
          <w:spacing w:val="-9"/>
          <w:w w:val="105"/>
        </w:rPr>
        <w:t> </w:t>
      </w:r>
      <w:r>
        <w:rPr>
          <w:color w:val="231F20"/>
          <w:w w:val="105"/>
        </w:rPr>
        <w:t>se</w:t>
      </w:r>
      <w:r>
        <w:rPr>
          <w:color w:val="231F20"/>
          <w:spacing w:val="-9"/>
          <w:w w:val="105"/>
        </w:rPr>
        <w:t> </w:t>
      </w:r>
      <w:r>
        <w:rPr>
          <w:color w:val="231F20"/>
          <w:w w:val="105"/>
        </w:rPr>
        <w:t>elaboró</w:t>
      </w:r>
      <w:r>
        <w:rPr>
          <w:color w:val="231F20"/>
          <w:spacing w:val="-9"/>
          <w:w w:val="105"/>
        </w:rPr>
        <w:t> </w:t>
      </w:r>
      <w:r>
        <w:rPr>
          <w:color w:val="231F20"/>
          <w:spacing w:val="2"/>
          <w:w w:val="105"/>
        </w:rPr>
        <w:t>al </w:t>
      </w:r>
      <w:r>
        <w:rPr>
          <w:color w:val="231F20"/>
          <w:w w:val="105"/>
        </w:rPr>
        <w:t>considerar las peticiones recibidas en campaña, y las propuestas emitidas en los Foros de</w:t>
      </w:r>
      <w:r>
        <w:rPr>
          <w:color w:val="231F20"/>
          <w:spacing w:val="-12"/>
          <w:w w:val="105"/>
        </w:rPr>
        <w:t> </w:t>
      </w:r>
      <w:r>
        <w:rPr>
          <w:color w:val="231F20"/>
          <w:w w:val="105"/>
        </w:rPr>
        <w:t>Consulta</w:t>
      </w:r>
      <w:r>
        <w:rPr>
          <w:color w:val="231F20"/>
          <w:spacing w:val="-12"/>
          <w:w w:val="105"/>
        </w:rPr>
        <w:t> </w:t>
      </w:r>
      <w:r>
        <w:rPr>
          <w:color w:val="231F20"/>
          <w:w w:val="105"/>
        </w:rPr>
        <w:t>Ciudadana,</w:t>
      </w:r>
      <w:r>
        <w:rPr>
          <w:color w:val="231F20"/>
          <w:spacing w:val="-12"/>
          <w:w w:val="105"/>
        </w:rPr>
        <w:t> </w:t>
      </w:r>
      <w:r>
        <w:rPr>
          <w:color w:val="231F20"/>
          <w:w w:val="105"/>
        </w:rPr>
        <w:t>que</w:t>
      </w:r>
      <w:r>
        <w:rPr>
          <w:color w:val="231F20"/>
          <w:spacing w:val="-12"/>
          <w:w w:val="105"/>
        </w:rPr>
        <w:t> </w:t>
      </w:r>
      <w:r>
        <w:rPr>
          <w:color w:val="231F20"/>
          <w:w w:val="105"/>
        </w:rPr>
        <w:t>además</w:t>
      </w:r>
      <w:r>
        <w:rPr>
          <w:color w:val="231F20"/>
          <w:spacing w:val="-12"/>
          <w:w w:val="105"/>
        </w:rPr>
        <w:t> </w:t>
      </w:r>
      <w:r>
        <w:rPr>
          <w:color w:val="231F20"/>
          <w:w w:val="105"/>
        </w:rPr>
        <w:t>se</w:t>
      </w:r>
      <w:r>
        <w:rPr>
          <w:color w:val="231F20"/>
          <w:spacing w:val="-12"/>
          <w:w w:val="105"/>
        </w:rPr>
        <w:t> </w:t>
      </w:r>
      <w:r>
        <w:rPr>
          <w:color w:val="231F20"/>
          <w:w w:val="105"/>
        </w:rPr>
        <w:t>contemplaron</w:t>
      </w:r>
      <w:r>
        <w:rPr>
          <w:color w:val="231F20"/>
          <w:spacing w:val="-12"/>
          <w:w w:val="105"/>
        </w:rPr>
        <w:t> </w:t>
      </w:r>
      <w:r>
        <w:rPr>
          <w:color w:val="231F20"/>
          <w:w w:val="105"/>
        </w:rPr>
        <w:t>como</w:t>
      </w:r>
      <w:r>
        <w:rPr>
          <w:color w:val="231F20"/>
          <w:spacing w:val="-12"/>
          <w:w w:val="105"/>
        </w:rPr>
        <w:t> </w:t>
      </w:r>
      <w:r>
        <w:rPr>
          <w:color w:val="231F20"/>
          <w:w w:val="105"/>
        </w:rPr>
        <w:t>una</w:t>
      </w:r>
      <w:r>
        <w:rPr>
          <w:color w:val="231F20"/>
          <w:spacing w:val="-12"/>
          <w:w w:val="105"/>
        </w:rPr>
        <w:t> </w:t>
      </w:r>
      <w:r>
        <w:rPr>
          <w:color w:val="231F20"/>
          <w:w w:val="105"/>
        </w:rPr>
        <w:t>forma</w:t>
      </w:r>
      <w:r>
        <w:rPr>
          <w:color w:val="231F20"/>
          <w:spacing w:val="-12"/>
          <w:w w:val="105"/>
        </w:rPr>
        <w:t> </w:t>
      </w:r>
      <w:r>
        <w:rPr>
          <w:color w:val="231F20"/>
          <w:w w:val="105"/>
        </w:rPr>
        <w:t>de</w:t>
      </w:r>
      <w:r>
        <w:rPr>
          <w:color w:val="231F20"/>
          <w:spacing w:val="-12"/>
          <w:w w:val="105"/>
        </w:rPr>
        <w:t> </w:t>
      </w:r>
      <w:r>
        <w:rPr>
          <w:color w:val="231F20"/>
          <w:w w:val="105"/>
        </w:rPr>
        <w:t>participación ciudadana. El contexto </w:t>
      </w:r>
      <w:r>
        <w:rPr>
          <w:color w:val="231F20"/>
          <w:spacing w:val="-3"/>
          <w:w w:val="105"/>
        </w:rPr>
        <w:t>propio </w:t>
      </w:r>
      <w:r>
        <w:rPr>
          <w:color w:val="231F20"/>
          <w:w w:val="105"/>
        </w:rPr>
        <w:t>del municipio </w:t>
      </w:r>
      <w:r>
        <w:rPr>
          <w:color w:val="231F20"/>
          <w:spacing w:val="-3"/>
          <w:w w:val="105"/>
        </w:rPr>
        <w:t>propició </w:t>
      </w:r>
      <w:r>
        <w:rPr>
          <w:color w:val="231F20"/>
          <w:w w:val="105"/>
        </w:rPr>
        <w:t>que los temas tratados en dicho </w:t>
      </w:r>
      <w:r>
        <w:rPr>
          <w:color w:val="231F20"/>
          <w:spacing w:val="-3"/>
          <w:w w:val="105"/>
        </w:rPr>
        <w:t>Foro</w:t>
      </w:r>
      <w:r>
        <w:rPr>
          <w:color w:val="231F20"/>
          <w:spacing w:val="-27"/>
          <w:w w:val="105"/>
        </w:rPr>
        <w:t> </w:t>
      </w:r>
      <w:r>
        <w:rPr>
          <w:color w:val="231F20"/>
          <w:w w:val="105"/>
        </w:rPr>
        <w:t>fueran</w:t>
      </w:r>
      <w:r>
        <w:rPr>
          <w:color w:val="231F20"/>
          <w:spacing w:val="-27"/>
          <w:w w:val="105"/>
        </w:rPr>
        <w:t> </w:t>
      </w:r>
      <w:r>
        <w:rPr>
          <w:color w:val="231F20"/>
          <w:w w:val="105"/>
        </w:rPr>
        <w:t>sobre</w:t>
      </w:r>
      <w:r>
        <w:rPr>
          <w:color w:val="231F20"/>
          <w:spacing w:val="-27"/>
          <w:w w:val="105"/>
        </w:rPr>
        <w:t> </w:t>
      </w:r>
      <w:r>
        <w:rPr>
          <w:color w:val="231F20"/>
          <w:w w:val="105"/>
        </w:rPr>
        <w:t>Desarrollo</w:t>
      </w:r>
      <w:r>
        <w:rPr>
          <w:color w:val="231F20"/>
          <w:spacing w:val="-27"/>
          <w:w w:val="105"/>
        </w:rPr>
        <w:t> </w:t>
      </w:r>
      <w:r>
        <w:rPr>
          <w:color w:val="231F20"/>
          <w:w w:val="105"/>
        </w:rPr>
        <w:t>Agropecuario</w:t>
      </w:r>
      <w:r>
        <w:rPr>
          <w:color w:val="231F20"/>
          <w:spacing w:val="-27"/>
          <w:w w:val="105"/>
        </w:rPr>
        <w:t> </w:t>
      </w:r>
      <w:r>
        <w:rPr>
          <w:color w:val="231F20"/>
          <w:w w:val="105"/>
        </w:rPr>
        <w:t>y</w:t>
      </w:r>
      <w:r>
        <w:rPr>
          <w:color w:val="231F20"/>
          <w:spacing w:val="-27"/>
          <w:w w:val="105"/>
        </w:rPr>
        <w:t> </w:t>
      </w:r>
      <w:r>
        <w:rPr>
          <w:color w:val="231F20"/>
          <w:w w:val="105"/>
        </w:rPr>
        <w:t>Forestal,</w:t>
      </w:r>
      <w:r>
        <w:rPr>
          <w:color w:val="231F20"/>
          <w:spacing w:val="-27"/>
          <w:w w:val="105"/>
        </w:rPr>
        <w:t> </w:t>
      </w:r>
      <w:r>
        <w:rPr>
          <w:color w:val="231F20"/>
          <w:w w:val="105"/>
        </w:rPr>
        <w:t>Desarrollo</w:t>
      </w:r>
      <w:r>
        <w:rPr>
          <w:color w:val="231F20"/>
          <w:spacing w:val="-27"/>
          <w:w w:val="105"/>
        </w:rPr>
        <w:t> </w:t>
      </w:r>
      <w:r>
        <w:rPr>
          <w:color w:val="231F20"/>
          <w:w w:val="105"/>
        </w:rPr>
        <w:t>Económico</w:t>
      </w:r>
      <w:r>
        <w:rPr>
          <w:color w:val="231F20"/>
          <w:spacing w:val="-27"/>
          <w:w w:val="105"/>
        </w:rPr>
        <w:t> </w:t>
      </w:r>
      <w:r>
        <w:rPr>
          <w:color w:val="231F20"/>
          <w:w w:val="105"/>
        </w:rPr>
        <w:t>y</w:t>
      </w:r>
      <w:r>
        <w:rPr>
          <w:color w:val="231F20"/>
          <w:spacing w:val="-27"/>
          <w:w w:val="105"/>
        </w:rPr>
        <w:t> </w:t>
      </w:r>
      <w:r>
        <w:rPr>
          <w:color w:val="231F20"/>
          <w:w w:val="105"/>
        </w:rPr>
        <w:t>Empleo; Agua y Obra Pública, Salud y Medio Ambiente, Comunicaciones y Transportes;</w:t>
      </w:r>
      <w:r>
        <w:rPr>
          <w:color w:val="231F20"/>
          <w:spacing w:val="-30"/>
          <w:w w:val="105"/>
        </w:rPr>
        <w:t> </w:t>
      </w:r>
      <w:r>
        <w:rPr>
          <w:color w:val="231F20"/>
          <w:w w:val="105"/>
        </w:rPr>
        <w:t>Edu-</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cación;</w:t>
      </w:r>
      <w:r>
        <w:rPr>
          <w:color w:val="231F20"/>
          <w:spacing w:val="-6"/>
          <w:w w:val="105"/>
        </w:rPr>
        <w:t> </w:t>
      </w:r>
      <w:r>
        <w:rPr>
          <w:color w:val="231F20"/>
          <w:w w:val="105"/>
        </w:rPr>
        <w:t>Desarrollo</w:t>
      </w:r>
      <w:r>
        <w:rPr>
          <w:color w:val="231F20"/>
          <w:spacing w:val="-6"/>
          <w:w w:val="105"/>
        </w:rPr>
        <w:t> </w:t>
      </w:r>
      <w:r>
        <w:rPr>
          <w:color w:val="231F20"/>
          <w:w w:val="105"/>
        </w:rPr>
        <w:t>Urbano,</w:t>
      </w:r>
      <w:r>
        <w:rPr>
          <w:color w:val="231F20"/>
          <w:spacing w:val="-6"/>
          <w:w w:val="105"/>
        </w:rPr>
        <w:t> </w:t>
      </w:r>
      <w:r>
        <w:rPr>
          <w:color w:val="231F20"/>
          <w:w w:val="105"/>
        </w:rPr>
        <w:t>Vivienda,</w:t>
      </w:r>
      <w:r>
        <w:rPr>
          <w:color w:val="231F20"/>
          <w:spacing w:val="-6"/>
          <w:w w:val="105"/>
        </w:rPr>
        <w:t> </w:t>
      </w:r>
      <w:r>
        <w:rPr>
          <w:color w:val="231F20"/>
          <w:spacing w:val="-3"/>
          <w:w w:val="105"/>
        </w:rPr>
        <w:t>Turismo</w:t>
      </w:r>
      <w:r>
        <w:rPr>
          <w:color w:val="231F20"/>
          <w:spacing w:val="-6"/>
          <w:w w:val="105"/>
        </w:rPr>
        <w:t> </w:t>
      </w:r>
      <w:r>
        <w:rPr>
          <w:color w:val="231F20"/>
          <w:w w:val="105"/>
        </w:rPr>
        <w:t>y</w:t>
      </w:r>
      <w:r>
        <w:rPr>
          <w:color w:val="231F20"/>
          <w:spacing w:val="-6"/>
          <w:w w:val="105"/>
        </w:rPr>
        <w:t> </w:t>
      </w:r>
      <w:r>
        <w:rPr>
          <w:color w:val="231F20"/>
          <w:w w:val="105"/>
        </w:rPr>
        <w:t>Medio</w:t>
      </w:r>
      <w:r>
        <w:rPr>
          <w:color w:val="231F20"/>
          <w:spacing w:val="-6"/>
          <w:w w:val="105"/>
        </w:rPr>
        <w:t> </w:t>
      </w:r>
      <w:r>
        <w:rPr>
          <w:color w:val="231F20"/>
          <w:w w:val="105"/>
        </w:rPr>
        <w:t>Ambiente;</w:t>
      </w:r>
      <w:r>
        <w:rPr>
          <w:color w:val="231F20"/>
          <w:spacing w:val="-6"/>
          <w:w w:val="105"/>
        </w:rPr>
        <w:t> </w:t>
      </w:r>
      <w:r>
        <w:rPr>
          <w:color w:val="231F20"/>
          <w:w w:val="105"/>
        </w:rPr>
        <w:t>Seguridad</w:t>
      </w:r>
      <w:r>
        <w:rPr>
          <w:color w:val="231F20"/>
          <w:spacing w:val="-6"/>
          <w:w w:val="105"/>
        </w:rPr>
        <w:t> </w:t>
      </w:r>
      <w:r>
        <w:rPr>
          <w:color w:val="231F20"/>
          <w:w w:val="105"/>
        </w:rPr>
        <w:t>Pública, Procuración</w:t>
      </w:r>
      <w:r>
        <w:rPr>
          <w:color w:val="231F20"/>
          <w:spacing w:val="-17"/>
          <w:w w:val="105"/>
        </w:rPr>
        <w:t> </w:t>
      </w:r>
      <w:r>
        <w:rPr>
          <w:color w:val="231F20"/>
          <w:w w:val="105"/>
        </w:rPr>
        <w:t>y</w:t>
      </w:r>
      <w:r>
        <w:rPr>
          <w:color w:val="231F20"/>
          <w:spacing w:val="-17"/>
          <w:w w:val="105"/>
        </w:rPr>
        <w:t> </w:t>
      </w:r>
      <w:r>
        <w:rPr>
          <w:color w:val="231F20"/>
          <w:w w:val="105"/>
        </w:rPr>
        <w:t>Administración</w:t>
      </w:r>
      <w:r>
        <w:rPr>
          <w:color w:val="231F20"/>
          <w:spacing w:val="-17"/>
          <w:w w:val="105"/>
        </w:rPr>
        <w:t> </w:t>
      </w:r>
      <w:r>
        <w:rPr>
          <w:color w:val="231F20"/>
          <w:w w:val="105"/>
        </w:rPr>
        <w:t>de</w:t>
      </w:r>
      <w:r>
        <w:rPr>
          <w:color w:val="231F20"/>
          <w:spacing w:val="-17"/>
          <w:w w:val="105"/>
        </w:rPr>
        <w:t> </w:t>
      </w:r>
      <w:r>
        <w:rPr>
          <w:color w:val="231F20"/>
          <w:w w:val="105"/>
        </w:rPr>
        <w:t>Justicia.</w:t>
      </w:r>
    </w:p>
    <w:p>
      <w:pPr>
        <w:pStyle w:val="BodyText"/>
        <w:spacing w:before="1"/>
        <w:rPr>
          <w:sz w:val="26"/>
        </w:rPr>
      </w:pPr>
    </w:p>
    <w:p>
      <w:pPr>
        <w:pStyle w:val="BodyText"/>
        <w:spacing w:line="285" w:lineRule="auto"/>
        <w:ind w:left="110" w:right="109"/>
        <w:jc w:val="both"/>
      </w:pPr>
      <w:r>
        <w:rPr>
          <w:color w:val="231F20"/>
          <w:w w:val="105"/>
        </w:rPr>
        <w:t>En</w:t>
      </w:r>
      <w:r>
        <w:rPr>
          <w:color w:val="231F20"/>
          <w:spacing w:val="-7"/>
          <w:w w:val="105"/>
        </w:rPr>
        <w:t> </w:t>
      </w:r>
      <w:r>
        <w:rPr>
          <w:color w:val="231F20"/>
          <w:w w:val="105"/>
        </w:rPr>
        <w:t>estos</w:t>
      </w:r>
      <w:r>
        <w:rPr>
          <w:color w:val="231F20"/>
          <w:spacing w:val="-7"/>
          <w:w w:val="105"/>
        </w:rPr>
        <w:t> </w:t>
      </w:r>
      <w:r>
        <w:rPr>
          <w:color w:val="231F20"/>
          <w:w w:val="105"/>
        </w:rPr>
        <w:t>foros</w:t>
      </w:r>
      <w:r>
        <w:rPr>
          <w:color w:val="231F20"/>
          <w:spacing w:val="-7"/>
          <w:w w:val="105"/>
        </w:rPr>
        <w:t> </w:t>
      </w:r>
      <w:r>
        <w:rPr>
          <w:color w:val="231F20"/>
          <w:w w:val="105"/>
        </w:rPr>
        <w:t>se</w:t>
      </w:r>
      <w:r>
        <w:rPr>
          <w:color w:val="231F20"/>
          <w:spacing w:val="-7"/>
          <w:w w:val="105"/>
        </w:rPr>
        <w:t> </w:t>
      </w:r>
      <w:r>
        <w:rPr>
          <w:color w:val="231F20"/>
          <w:w w:val="105"/>
        </w:rPr>
        <w:t>contó</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participación</w:t>
      </w:r>
      <w:r>
        <w:rPr>
          <w:color w:val="231F20"/>
          <w:spacing w:val="-7"/>
          <w:w w:val="105"/>
        </w:rPr>
        <w:t> </w:t>
      </w:r>
      <w:r>
        <w:rPr>
          <w:color w:val="231F20"/>
          <w:w w:val="105"/>
        </w:rPr>
        <w:t>de</w:t>
      </w:r>
      <w:r>
        <w:rPr>
          <w:color w:val="231F20"/>
          <w:spacing w:val="-7"/>
          <w:w w:val="105"/>
        </w:rPr>
        <w:t> </w:t>
      </w:r>
      <w:r>
        <w:rPr>
          <w:color w:val="231F20"/>
          <w:w w:val="105"/>
        </w:rPr>
        <w:t>ciudadanos,</w:t>
      </w:r>
      <w:r>
        <w:rPr>
          <w:color w:val="231F20"/>
          <w:spacing w:val="-7"/>
          <w:w w:val="105"/>
        </w:rPr>
        <w:t> </w:t>
      </w:r>
      <w:r>
        <w:rPr>
          <w:color w:val="231F20"/>
          <w:w w:val="105"/>
        </w:rPr>
        <w:t>representantes</w:t>
      </w:r>
      <w:r>
        <w:rPr>
          <w:color w:val="231F20"/>
          <w:spacing w:val="-7"/>
          <w:w w:val="105"/>
        </w:rPr>
        <w:t> </w:t>
      </w:r>
      <w:r>
        <w:rPr>
          <w:color w:val="231F20"/>
          <w:w w:val="105"/>
        </w:rPr>
        <w:t>de</w:t>
      </w:r>
      <w:r>
        <w:rPr>
          <w:color w:val="231F20"/>
          <w:spacing w:val="-7"/>
          <w:w w:val="105"/>
        </w:rPr>
        <w:t> </w:t>
      </w:r>
      <w:r>
        <w:rPr>
          <w:color w:val="231F20"/>
          <w:w w:val="105"/>
        </w:rPr>
        <w:t>estancias federales</w:t>
      </w:r>
      <w:r>
        <w:rPr>
          <w:color w:val="231F20"/>
          <w:spacing w:val="-10"/>
          <w:w w:val="105"/>
        </w:rPr>
        <w:t> </w:t>
      </w:r>
      <w:r>
        <w:rPr>
          <w:color w:val="231F20"/>
          <w:w w:val="105"/>
        </w:rPr>
        <w:t>y</w:t>
      </w:r>
      <w:r>
        <w:rPr>
          <w:color w:val="231F20"/>
          <w:spacing w:val="-10"/>
          <w:w w:val="105"/>
        </w:rPr>
        <w:t> </w:t>
      </w:r>
      <w:r>
        <w:rPr>
          <w:color w:val="231F20"/>
          <w:w w:val="105"/>
        </w:rPr>
        <w:t>estatales</w:t>
      </w:r>
      <w:r>
        <w:rPr>
          <w:color w:val="231F20"/>
          <w:spacing w:val="-10"/>
          <w:w w:val="105"/>
        </w:rPr>
        <w:t> </w:t>
      </w:r>
      <w:r>
        <w:rPr>
          <w:color w:val="231F20"/>
          <w:w w:val="105"/>
        </w:rPr>
        <w:t>y</w:t>
      </w:r>
      <w:r>
        <w:rPr>
          <w:color w:val="231F20"/>
          <w:spacing w:val="-10"/>
          <w:w w:val="105"/>
        </w:rPr>
        <w:t> </w:t>
      </w:r>
      <w:r>
        <w:rPr>
          <w:color w:val="231F20"/>
          <w:w w:val="105"/>
        </w:rPr>
        <w:t>servidores</w:t>
      </w:r>
      <w:r>
        <w:rPr>
          <w:color w:val="231F20"/>
          <w:spacing w:val="-10"/>
          <w:w w:val="105"/>
        </w:rPr>
        <w:t> </w:t>
      </w:r>
      <w:r>
        <w:rPr>
          <w:color w:val="231F20"/>
          <w:w w:val="105"/>
        </w:rPr>
        <w:t>públicos</w:t>
      </w:r>
      <w:r>
        <w:rPr>
          <w:color w:val="231F20"/>
          <w:spacing w:val="-10"/>
          <w:w w:val="105"/>
        </w:rPr>
        <w:t> </w:t>
      </w:r>
      <w:r>
        <w:rPr>
          <w:color w:val="231F20"/>
          <w:w w:val="105"/>
        </w:rPr>
        <w:t>del</w:t>
      </w:r>
      <w:r>
        <w:rPr>
          <w:color w:val="231F20"/>
          <w:spacing w:val="-10"/>
          <w:w w:val="105"/>
        </w:rPr>
        <w:t> </w:t>
      </w:r>
      <w:r>
        <w:rPr>
          <w:color w:val="231F20"/>
          <w:spacing w:val="-3"/>
          <w:w w:val="105"/>
        </w:rPr>
        <w:t>propio</w:t>
      </w:r>
      <w:r>
        <w:rPr>
          <w:color w:val="231F20"/>
          <w:spacing w:val="-10"/>
          <w:w w:val="105"/>
        </w:rPr>
        <w:t> </w:t>
      </w:r>
      <w:r>
        <w:rPr>
          <w:color w:val="231F20"/>
          <w:w w:val="105"/>
        </w:rPr>
        <w:t>ayuntamiento,</w:t>
      </w:r>
      <w:r>
        <w:rPr>
          <w:color w:val="231F20"/>
          <w:spacing w:val="-10"/>
          <w:w w:val="105"/>
        </w:rPr>
        <w:t> </w:t>
      </w:r>
      <w:r>
        <w:rPr>
          <w:color w:val="231F20"/>
          <w:w w:val="105"/>
        </w:rPr>
        <w:t>en</w:t>
      </w:r>
      <w:r>
        <w:rPr>
          <w:color w:val="231F20"/>
          <w:spacing w:val="-10"/>
          <w:w w:val="105"/>
        </w:rPr>
        <w:t> </w:t>
      </w:r>
      <w:r>
        <w:rPr>
          <w:color w:val="231F20"/>
          <w:spacing w:val="-3"/>
          <w:w w:val="105"/>
        </w:rPr>
        <w:t>donde</w:t>
      </w:r>
      <w:r>
        <w:rPr>
          <w:color w:val="231F20"/>
          <w:spacing w:val="-10"/>
          <w:w w:val="105"/>
        </w:rPr>
        <w:t> </w:t>
      </w:r>
      <w:r>
        <w:rPr>
          <w:color w:val="231F20"/>
          <w:w w:val="105"/>
        </w:rPr>
        <w:t>mediante ponencias</w:t>
      </w:r>
      <w:r>
        <w:rPr>
          <w:color w:val="231F20"/>
          <w:spacing w:val="-7"/>
          <w:w w:val="105"/>
        </w:rPr>
        <w:t> </w:t>
      </w:r>
      <w:r>
        <w:rPr>
          <w:color w:val="231F20"/>
          <w:w w:val="105"/>
        </w:rPr>
        <w:t>se</w:t>
      </w:r>
      <w:r>
        <w:rPr>
          <w:color w:val="231F20"/>
          <w:spacing w:val="-7"/>
          <w:w w:val="105"/>
        </w:rPr>
        <w:t> </w:t>
      </w:r>
      <w:r>
        <w:rPr>
          <w:color w:val="231F20"/>
          <w:w w:val="105"/>
        </w:rPr>
        <w:t>trataron</w:t>
      </w:r>
      <w:r>
        <w:rPr>
          <w:color w:val="231F20"/>
          <w:spacing w:val="-7"/>
          <w:w w:val="105"/>
        </w:rPr>
        <w:t> </w:t>
      </w:r>
      <w:r>
        <w:rPr>
          <w:color w:val="231F20"/>
          <w:w w:val="105"/>
        </w:rPr>
        <w:t>los</w:t>
      </w:r>
      <w:r>
        <w:rPr>
          <w:color w:val="231F20"/>
          <w:spacing w:val="-7"/>
          <w:w w:val="105"/>
        </w:rPr>
        <w:t> </w:t>
      </w:r>
      <w:r>
        <w:rPr>
          <w:color w:val="231F20"/>
          <w:w w:val="105"/>
        </w:rPr>
        <w:t>temas</w:t>
      </w:r>
      <w:r>
        <w:rPr>
          <w:color w:val="231F20"/>
          <w:spacing w:val="-7"/>
          <w:w w:val="105"/>
        </w:rPr>
        <w:t> </w:t>
      </w:r>
      <w:r>
        <w:rPr>
          <w:color w:val="231F20"/>
          <w:w w:val="105"/>
        </w:rPr>
        <w:t>de</w:t>
      </w:r>
      <w:r>
        <w:rPr>
          <w:color w:val="231F20"/>
          <w:spacing w:val="-7"/>
          <w:w w:val="105"/>
        </w:rPr>
        <w:t> </w:t>
      </w:r>
      <w:r>
        <w:rPr>
          <w:color w:val="231F20"/>
          <w:w w:val="105"/>
        </w:rPr>
        <w:t>mayor</w:t>
      </w:r>
      <w:r>
        <w:rPr>
          <w:color w:val="231F20"/>
          <w:spacing w:val="-7"/>
          <w:w w:val="105"/>
        </w:rPr>
        <w:t> </w:t>
      </w:r>
      <w:r>
        <w:rPr>
          <w:color w:val="231F20"/>
          <w:w w:val="105"/>
        </w:rPr>
        <w:t>importancia</w:t>
      </w:r>
      <w:r>
        <w:rPr>
          <w:color w:val="231F20"/>
          <w:spacing w:val="-7"/>
          <w:w w:val="105"/>
        </w:rPr>
        <w:t> </w:t>
      </w:r>
      <w:r>
        <w:rPr>
          <w:color w:val="231F20"/>
          <w:w w:val="105"/>
        </w:rPr>
        <w:t>en</w:t>
      </w:r>
      <w:r>
        <w:rPr>
          <w:color w:val="231F20"/>
          <w:spacing w:val="-7"/>
          <w:w w:val="105"/>
        </w:rPr>
        <w:t> </w:t>
      </w:r>
      <w:r>
        <w:rPr>
          <w:color w:val="231F20"/>
          <w:spacing w:val="-4"/>
          <w:w w:val="105"/>
        </w:rPr>
        <w:t>Tejupilco.</w:t>
      </w:r>
    </w:p>
    <w:p>
      <w:pPr>
        <w:pStyle w:val="BodyText"/>
        <w:spacing w:before="1"/>
        <w:rPr>
          <w:sz w:val="26"/>
        </w:rPr>
      </w:pPr>
    </w:p>
    <w:p>
      <w:pPr>
        <w:pStyle w:val="BodyText"/>
        <w:spacing w:line="285" w:lineRule="auto"/>
        <w:ind w:left="110" w:right="108"/>
        <w:jc w:val="both"/>
      </w:pPr>
      <w:r>
        <w:rPr>
          <w:color w:val="231F20"/>
          <w:w w:val="105"/>
        </w:rPr>
        <w:t>Finalmente</w:t>
      </w:r>
      <w:r>
        <w:rPr>
          <w:color w:val="231F20"/>
          <w:spacing w:val="-5"/>
          <w:w w:val="105"/>
        </w:rPr>
        <w:t> </w:t>
      </w:r>
      <w:r>
        <w:rPr>
          <w:color w:val="231F20"/>
          <w:w w:val="105"/>
        </w:rPr>
        <w:t>el</w:t>
      </w:r>
      <w:r>
        <w:rPr>
          <w:color w:val="231F20"/>
          <w:spacing w:val="-5"/>
          <w:w w:val="105"/>
        </w:rPr>
        <w:t> </w:t>
      </w:r>
      <w:r>
        <w:rPr>
          <w:color w:val="231F20"/>
          <w:w w:val="105"/>
        </w:rPr>
        <w:t>plan</w:t>
      </w:r>
      <w:r>
        <w:rPr>
          <w:color w:val="231F20"/>
          <w:spacing w:val="-5"/>
          <w:w w:val="105"/>
        </w:rPr>
        <w:t> </w:t>
      </w:r>
      <w:r>
        <w:rPr>
          <w:color w:val="231F20"/>
          <w:w w:val="105"/>
        </w:rPr>
        <w:t>se</w:t>
      </w:r>
      <w:r>
        <w:rPr>
          <w:color w:val="231F20"/>
          <w:spacing w:val="-5"/>
          <w:w w:val="105"/>
        </w:rPr>
        <w:t> </w:t>
      </w:r>
      <w:r>
        <w:rPr>
          <w:color w:val="231F20"/>
          <w:w w:val="105"/>
        </w:rPr>
        <w:t>integró</w:t>
      </w:r>
      <w:r>
        <w:rPr>
          <w:color w:val="231F20"/>
          <w:spacing w:val="-5"/>
          <w:w w:val="105"/>
        </w:rPr>
        <w:t> </w:t>
      </w:r>
      <w:r>
        <w:rPr>
          <w:color w:val="231F20"/>
          <w:w w:val="105"/>
        </w:rPr>
        <w:t>por</w:t>
      </w:r>
      <w:r>
        <w:rPr>
          <w:color w:val="231F20"/>
          <w:spacing w:val="-5"/>
          <w:w w:val="105"/>
        </w:rPr>
        <w:t> </w:t>
      </w:r>
      <w:r>
        <w:rPr>
          <w:color w:val="231F20"/>
          <w:w w:val="105"/>
        </w:rPr>
        <w:t>tres</w:t>
      </w:r>
      <w:r>
        <w:rPr>
          <w:color w:val="231F20"/>
          <w:spacing w:val="-5"/>
          <w:w w:val="105"/>
        </w:rPr>
        <w:t> </w:t>
      </w:r>
      <w:r>
        <w:rPr>
          <w:color w:val="231F20"/>
          <w:w w:val="105"/>
        </w:rPr>
        <w:t>pilares</w:t>
      </w:r>
      <w:r>
        <w:rPr>
          <w:color w:val="231F20"/>
          <w:spacing w:val="-5"/>
          <w:w w:val="105"/>
        </w:rPr>
        <w:t> </w:t>
      </w:r>
      <w:r>
        <w:rPr>
          <w:color w:val="231F20"/>
          <w:w w:val="105"/>
        </w:rPr>
        <w:t>y</w:t>
      </w:r>
      <w:r>
        <w:rPr>
          <w:color w:val="231F20"/>
          <w:spacing w:val="-5"/>
          <w:w w:val="105"/>
        </w:rPr>
        <w:t> </w:t>
      </w:r>
      <w:r>
        <w:rPr>
          <w:color w:val="231F20"/>
          <w:w w:val="105"/>
        </w:rPr>
        <w:t>un</w:t>
      </w:r>
      <w:r>
        <w:rPr>
          <w:color w:val="231F20"/>
          <w:spacing w:val="-5"/>
          <w:w w:val="105"/>
        </w:rPr>
        <w:t> </w:t>
      </w:r>
      <w:r>
        <w:rPr>
          <w:color w:val="231F20"/>
          <w:w w:val="105"/>
        </w:rPr>
        <w:t>cimiento:</w:t>
      </w:r>
      <w:r>
        <w:rPr>
          <w:color w:val="231F20"/>
          <w:spacing w:val="-5"/>
          <w:w w:val="105"/>
        </w:rPr>
        <w:t> </w:t>
      </w:r>
      <w:r>
        <w:rPr>
          <w:color w:val="231F20"/>
          <w:w w:val="105"/>
        </w:rPr>
        <w:t>Pilar</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seguridad</w:t>
      </w:r>
      <w:r>
        <w:rPr>
          <w:color w:val="231F20"/>
          <w:spacing w:val="-5"/>
          <w:w w:val="105"/>
        </w:rPr>
        <w:t> </w:t>
      </w:r>
      <w:r>
        <w:rPr>
          <w:color w:val="231F20"/>
          <w:w w:val="105"/>
        </w:rPr>
        <w:t>so- cial, pilar para la seguridad económica y pilar para la seguridad pública, y el cimiento para la seguridad</w:t>
      </w:r>
      <w:r>
        <w:rPr>
          <w:color w:val="231F20"/>
          <w:spacing w:val="-29"/>
          <w:w w:val="105"/>
        </w:rPr>
        <w:t> </w:t>
      </w:r>
      <w:r>
        <w:rPr>
          <w:color w:val="231F20"/>
          <w:w w:val="105"/>
        </w:rPr>
        <w:t>integral.</w:t>
      </w:r>
    </w:p>
    <w:p>
      <w:pPr>
        <w:pStyle w:val="BodyText"/>
        <w:spacing w:before="1"/>
        <w:rPr>
          <w:sz w:val="26"/>
        </w:rPr>
      </w:pPr>
    </w:p>
    <w:p>
      <w:pPr>
        <w:pStyle w:val="BodyText"/>
        <w:spacing w:line="285" w:lineRule="auto"/>
        <w:ind w:left="110" w:right="108"/>
        <w:jc w:val="both"/>
      </w:pPr>
      <w:r>
        <w:rPr>
          <w:color w:val="231F20"/>
          <w:w w:val="105"/>
        </w:rPr>
        <w:t>La</w:t>
      </w:r>
      <w:r>
        <w:rPr>
          <w:color w:val="231F20"/>
          <w:spacing w:val="-4"/>
          <w:w w:val="105"/>
        </w:rPr>
        <w:t> </w:t>
      </w:r>
      <w:r>
        <w:rPr>
          <w:color w:val="231F20"/>
          <w:w w:val="105"/>
        </w:rPr>
        <w:t>relación</w:t>
      </w:r>
      <w:r>
        <w:rPr>
          <w:color w:val="231F20"/>
          <w:spacing w:val="-4"/>
          <w:w w:val="105"/>
        </w:rPr>
        <w:t> </w:t>
      </w:r>
      <w:r>
        <w:rPr>
          <w:color w:val="231F20"/>
          <w:w w:val="105"/>
        </w:rPr>
        <w:t>del</w:t>
      </w:r>
      <w:r>
        <w:rPr>
          <w:color w:val="231F20"/>
          <w:spacing w:val="-4"/>
          <w:w w:val="105"/>
        </w:rPr>
        <w:t> </w:t>
      </w:r>
      <w:r>
        <w:rPr>
          <w:color w:val="231F20"/>
          <w:w w:val="105"/>
        </w:rPr>
        <w:t>primer</w:t>
      </w:r>
      <w:r>
        <w:rPr>
          <w:color w:val="231F20"/>
          <w:spacing w:val="-4"/>
          <w:w w:val="105"/>
        </w:rPr>
        <w:t> </w:t>
      </w:r>
      <w:r>
        <w:rPr>
          <w:color w:val="231F20"/>
          <w:w w:val="105"/>
        </w:rPr>
        <w:t>pilar</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Plan</w:t>
      </w:r>
      <w:r>
        <w:rPr>
          <w:color w:val="231F20"/>
          <w:spacing w:val="-4"/>
          <w:w w:val="105"/>
        </w:rPr>
        <w:t> </w:t>
      </w:r>
      <w:r>
        <w:rPr>
          <w:color w:val="231F20"/>
          <w:w w:val="105"/>
        </w:rPr>
        <w:t>Nacional</w:t>
      </w:r>
      <w:r>
        <w:rPr>
          <w:color w:val="231F20"/>
          <w:spacing w:val="-4"/>
          <w:w w:val="105"/>
        </w:rPr>
        <w:t> </w:t>
      </w:r>
      <w:r>
        <w:rPr>
          <w:color w:val="231F20"/>
          <w:w w:val="105"/>
        </w:rPr>
        <w:t>de</w:t>
      </w:r>
      <w:r>
        <w:rPr>
          <w:color w:val="231F20"/>
          <w:spacing w:val="-4"/>
          <w:w w:val="105"/>
        </w:rPr>
        <w:t> </w:t>
      </w:r>
      <w:r>
        <w:rPr>
          <w:color w:val="231F20"/>
          <w:w w:val="105"/>
        </w:rPr>
        <w:t>Desarrollo</w:t>
      </w:r>
      <w:r>
        <w:rPr>
          <w:color w:val="231F20"/>
          <w:spacing w:val="-4"/>
          <w:w w:val="105"/>
        </w:rPr>
        <w:t> </w:t>
      </w:r>
      <w:r>
        <w:rPr>
          <w:color w:val="231F20"/>
          <w:w w:val="105"/>
        </w:rPr>
        <w:t>y</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Plan</w:t>
      </w:r>
      <w:r>
        <w:rPr>
          <w:color w:val="231F20"/>
          <w:spacing w:val="-4"/>
          <w:w w:val="105"/>
        </w:rPr>
        <w:t> </w:t>
      </w:r>
      <w:r>
        <w:rPr>
          <w:color w:val="231F20"/>
          <w:w w:val="105"/>
        </w:rPr>
        <w:t>de</w:t>
      </w:r>
      <w:r>
        <w:rPr>
          <w:color w:val="231F20"/>
          <w:spacing w:val="-4"/>
          <w:w w:val="105"/>
        </w:rPr>
        <w:t> </w:t>
      </w:r>
      <w:r>
        <w:rPr>
          <w:color w:val="231F20"/>
          <w:w w:val="105"/>
        </w:rPr>
        <w:t>Desa- rrollo</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se</w:t>
      </w:r>
      <w:r>
        <w:rPr>
          <w:color w:val="231F20"/>
          <w:spacing w:val="-6"/>
          <w:w w:val="105"/>
        </w:rPr>
        <w:t> </w:t>
      </w:r>
      <w:r>
        <w:rPr>
          <w:color w:val="231F20"/>
          <w:w w:val="105"/>
        </w:rPr>
        <w:t>aprecia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cuadro</w:t>
      </w:r>
      <w:r>
        <w:rPr>
          <w:color w:val="231F20"/>
          <w:spacing w:val="-6"/>
          <w:w w:val="105"/>
        </w:rPr>
        <w:t> </w:t>
      </w:r>
      <w:r>
        <w:rPr>
          <w:color w:val="231F20"/>
          <w:w w:val="105"/>
        </w:rPr>
        <w:t>5.</w:t>
      </w:r>
      <w:r>
        <w:rPr>
          <w:color w:val="231F20"/>
          <w:spacing w:val="-6"/>
          <w:w w:val="105"/>
        </w:rPr>
        <w:t> </w:t>
      </w:r>
      <w:r>
        <w:rPr>
          <w:color w:val="231F20"/>
          <w:w w:val="105"/>
        </w:rPr>
        <w:t>Los</w:t>
      </w:r>
      <w:r>
        <w:rPr>
          <w:color w:val="231F20"/>
          <w:spacing w:val="-6"/>
          <w:w w:val="105"/>
        </w:rPr>
        <w:t> </w:t>
      </w:r>
      <w:r>
        <w:rPr>
          <w:color w:val="231F20"/>
          <w:w w:val="105"/>
        </w:rPr>
        <w:t>seis</w:t>
      </w:r>
      <w:r>
        <w:rPr>
          <w:color w:val="231F20"/>
          <w:spacing w:val="-6"/>
          <w:w w:val="105"/>
        </w:rPr>
        <w:t> </w:t>
      </w:r>
      <w:r>
        <w:rPr>
          <w:color w:val="231F20"/>
          <w:w w:val="105"/>
        </w:rPr>
        <w:t>programas</w:t>
      </w:r>
      <w:r>
        <w:rPr>
          <w:color w:val="231F20"/>
          <w:spacing w:val="-6"/>
          <w:w w:val="105"/>
        </w:rPr>
        <w:t> </w:t>
      </w:r>
      <w:r>
        <w:rPr>
          <w:color w:val="231F20"/>
          <w:w w:val="105"/>
        </w:rPr>
        <w:t>municipales tienen</w:t>
      </w:r>
      <w:r>
        <w:rPr>
          <w:color w:val="231F20"/>
          <w:spacing w:val="-11"/>
          <w:w w:val="105"/>
        </w:rPr>
        <w:t> </w:t>
      </w:r>
      <w:r>
        <w:rPr>
          <w:color w:val="231F20"/>
          <w:w w:val="105"/>
        </w:rPr>
        <w:t>correspondencia</w:t>
      </w:r>
      <w:r>
        <w:rPr>
          <w:color w:val="231F20"/>
          <w:spacing w:val="-11"/>
          <w:w w:val="105"/>
        </w:rPr>
        <w:t> </w:t>
      </w:r>
      <w:r>
        <w:rPr>
          <w:color w:val="231F20"/>
          <w:w w:val="105"/>
        </w:rPr>
        <w:t>con</w:t>
      </w:r>
      <w:r>
        <w:rPr>
          <w:color w:val="231F20"/>
          <w:spacing w:val="-11"/>
          <w:w w:val="105"/>
        </w:rPr>
        <w:t> </w:t>
      </w:r>
      <w:r>
        <w:rPr>
          <w:color w:val="231F20"/>
          <w:w w:val="105"/>
        </w:rPr>
        <w:t>cuatro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planes</w:t>
      </w:r>
      <w:r>
        <w:rPr>
          <w:color w:val="231F20"/>
          <w:spacing w:val="-11"/>
          <w:w w:val="105"/>
        </w:rPr>
        <w:t> </w:t>
      </w:r>
      <w:r>
        <w:rPr>
          <w:color w:val="231F20"/>
          <w:w w:val="105"/>
        </w:rPr>
        <w:t>estatal</w:t>
      </w:r>
      <w:r>
        <w:rPr>
          <w:color w:val="231F20"/>
          <w:spacing w:val="-11"/>
          <w:w w:val="105"/>
        </w:rPr>
        <w:t> </w:t>
      </w:r>
      <w:r>
        <w:rPr>
          <w:color w:val="231F20"/>
          <w:w w:val="105"/>
        </w:rPr>
        <w:t>y</w:t>
      </w:r>
      <w:r>
        <w:rPr>
          <w:color w:val="231F20"/>
          <w:spacing w:val="-11"/>
          <w:w w:val="105"/>
        </w:rPr>
        <w:t> </w:t>
      </w:r>
      <w:r>
        <w:rPr>
          <w:color w:val="231F20"/>
          <w:w w:val="105"/>
        </w:rPr>
        <w:t>nacional.</w:t>
      </w:r>
    </w:p>
    <w:p>
      <w:pPr>
        <w:spacing w:after="0" w:line="285" w:lineRule="auto"/>
        <w:jc w:val="both"/>
        <w:sectPr>
          <w:pgSz w:w="9640" w:h="12190"/>
          <w:pgMar w:header="0" w:footer="743" w:top="1120" w:bottom="940" w:left="740" w:right="740"/>
        </w:sectPr>
      </w:pPr>
    </w:p>
    <w:p>
      <w:pPr>
        <w:pStyle w:val="BodyText"/>
        <w:spacing w:before="5"/>
        <w:rPr>
          <w:sz w:val="11"/>
        </w:rPr>
      </w:pPr>
    </w:p>
    <w:p>
      <w:pPr>
        <w:pStyle w:val="Heading5"/>
        <w:spacing w:before="34"/>
        <w:ind w:left="144" w:right="162"/>
        <w:jc w:val="center"/>
      </w:pPr>
      <w:r>
        <w:rPr>
          <w:color w:val="231F20"/>
          <w:w w:val="105"/>
        </w:rPr>
        <w:t>Cuadro 5</w:t>
      </w:r>
    </w:p>
    <w:p>
      <w:pPr>
        <w:spacing w:line="285" w:lineRule="auto" w:before="47"/>
        <w:ind w:left="144" w:right="163" w:firstLine="0"/>
        <w:jc w:val="center"/>
        <w:rPr>
          <w:b/>
          <w:sz w:val="22"/>
        </w:rPr>
      </w:pPr>
      <w:r>
        <w:rPr>
          <w:b/>
          <w:color w:val="231F20"/>
          <w:w w:val="105"/>
          <w:sz w:val="22"/>
        </w:rPr>
        <w:t>Relación</w:t>
      </w:r>
      <w:r>
        <w:rPr>
          <w:b/>
          <w:color w:val="231F20"/>
          <w:spacing w:val="-17"/>
          <w:w w:val="105"/>
          <w:sz w:val="22"/>
        </w:rPr>
        <w:t> </w:t>
      </w:r>
      <w:r>
        <w:rPr>
          <w:b/>
          <w:color w:val="231F20"/>
          <w:w w:val="105"/>
          <w:sz w:val="22"/>
        </w:rPr>
        <w:t>del</w:t>
      </w:r>
      <w:r>
        <w:rPr>
          <w:b/>
          <w:color w:val="231F20"/>
          <w:spacing w:val="-17"/>
          <w:w w:val="105"/>
          <w:sz w:val="22"/>
        </w:rPr>
        <w:t> </w:t>
      </w:r>
      <w:r>
        <w:rPr>
          <w:b/>
          <w:color w:val="231F20"/>
          <w:w w:val="105"/>
          <w:sz w:val="22"/>
        </w:rPr>
        <w:t>Pilar</w:t>
      </w:r>
      <w:r>
        <w:rPr>
          <w:b/>
          <w:color w:val="231F20"/>
          <w:spacing w:val="-17"/>
          <w:w w:val="105"/>
          <w:sz w:val="22"/>
        </w:rPr>
        <w:t> </w:t>
      </w:r>
      <w:r>
        <w:rPr>
          <w:b/>
          <w:color w:val="231F20"/>
          <w:w w:val="105"/>
          <w:sz w:val="22"/>
        </w:rPr>
        <w:t>Seguridad</w:t>
      </w:r>
      <w:r>
        <w:rPr>
          <w:b/>
          <w:color w:val="231F20"/>
          <w:spacing w:val="-17"/>
          <w:w w:val="105"/>
          <w:sz w:val="22"/>
        </w:rPr>
        <w:t> </w:t>
      </w:r>
      <w:r>
        <w:rPr>
          <w:b/>
          <w:color w:val="231F20"/>
          <w:w w:val="105"/>
          <w:sz w:val="22"/>
        </w:rPr>
        <w:t>Pública</w:t>
      </w:r>
      <w:r>
        <w:rPr>
          <w:b/>
          <w:color w:val="231F20"/>
          <w:spacing w:val="-17"/>
          <w:w w:val="105"/>
          <w:sz w:val="22"/>
        </w:rPr>
        <w:t> </w:t>
      </w:r>
      <w:r>
        <w:rPr>
          <w:b/>
          <w:color w:val="231F20"/>
          <w:w w:val="105"/>
          <w:sz w:val="22"/>
        </w:rPr>
        <w:t>con</w:t>
      </w:r>
      <w:r>
        <w:rPr>
          <w:b/>
          <w:color w:val="231F20"/>
          <w:spacing w:val="-17"/>
          <w:w w:val="105"/>
          <w:sz w:val="22"/>
        </w:rPr>
        <w:t> </w:t>
      </w:r>
      <w:r>
        <w:rPr>
          <w:b/>
          <w:color w:val="231F20"/>
          <w:w w:val="105"/>
          <w:sz w:val="22"/>
        </w:rPr>
        <w:t>el</w:t>
      </w:r>
      <w:r>
        <w:rPr>
          <w:b/>
          <w:color w:val="231F20"/>
          <w:spacing w:val="-17"/>
          <w:w w:val="105"/>
          <w:sz w:val="22"/>
        </w:rPr>
        <w:t> </w:t>
      </w:r>
      <w:r>
        <w:rPr>
          <w:b/>
          <w:color w:val="231F20"/>
          <w:w w:val="105"/>
          <w:sz w:val="22"/>
        </w:rPr>
        <w:t>Plan</w:t>
      </w:r>
      <w:r>
        <w:rPr>
          <w:b/>
          <w:color w:val="231F20"/>
          <w:spacing w:val="-17"/>
          <w:w w:val="105"/>
          <w:sz w:val="22"/>
        </w:rPr>
        <w:t> </w:t>
      </w:r>
      <w:r>
        <w:rPr>
          <w:b/>
          <w:color w:val="231F20"/>
          <w:w w:val="105"/>
          <w:sz w:val="22"/>
        </w:rPr>
        <w:t>Nacional</w:t>
      </w:r>
      <w:r>
        <w:rPr>
          <w:b/>
          <w:color w:val="231F20"/>
          <w:spacing w:val="-17"/>
          <w:w w:val="105"/>
          <w:sz w:val="22"/>
        </w:rPr>
        <w:t> </w:t>
      </w:r>
      <w:r>
        <w:rPr>
          <w:b/>
          <w:color w:val="231F20"/>
          <w:w w:val="105"/>
          <w:sz w:val="22"/>
        </w:rPr>
        <w:t>de</w:t>
      </w:r>
      <w:r>
        <w:rPr>
          <w:b/>
          <w:color w:val="231F20"/>
          <w:spacing w:val="-17"/>
          <w:w w:val="105"/>
          <w:sz w:val="22"/>
        </w:rPr>
        <w:t> </w:t>
      </w:r>
      <w:r>
        <w:rPr>
          <w:b/>
          <w:color w:val="231F20"/>
          <w:w w:val="105"/>
          <w:sz w:val="22"/>
        </w:rPr>
        <w:t>Desarrollo</w:t>
      </w:r>
      <w:r>
        <w:rPr>
          <w:b/>
          <w:color w:val="231F20"/>
          <w:spacing w:val="-17"/>
          <w:w w:val="105"/>
          <w:sz w:val="22"/>
        </w:rPr>
        <w:t> </w:t>
      </w:r>
      <w:r>
        <w:rPr>
          <w:b/>
          <w:color w:val="231F20"/>
          <w:w w:val="105"/>
          <w:sz w:val="22"/>
        </w:rPr>
        <w:t>y</w:t>
      </w:r>
      <w:r>
        <w:rPr>
          <w:b/>
          <w:color w:val="231F20"/>
          <w:spacing w:val="-17"/>
          <w:w w:val="105"/>
          <w:sz w:val="22"/>
        </w:rPr>
        <w:t> </w:t>
      </w:r>
      <w:r>
        <w:rPr>
          <w:b/>
          <w:color w:val="231F20"/>
          <w:w w:val="105"/>
          <w:sz w:val="22"/>
        </w:rPr>
        <w:t>Plan</w:t>
      </w:r>
      <w:r>
        <w:rPr>
          <w:b/>
          <w:color w:val="231F20"/>
          <w:spacing w:val="-17"/>
          <w:w w:val="105"/>
          <w:sz w:val="22"/>
        </w:rPr>
        <w:t> </w:t>
      </w:r>
      <w:r>
        <w:rPr>
          <w:b/>
          <w:color w:val="231F20"/>
          <w:w w:val="105"/>
          <w:sz w:val="22"/>
        </w:rPr>
        <w:t>de Desarrollo</w:t>
      </w:r>
      <w:r>
        <w:rPr>
          <w:b/>
          <w:color w:val="231F20"/>
          <w:spacing w:val="-19"/>
          <w:w w:val="105"/>
          <w:sz w:val="22"/>
        </w:rPr>
        <w:t> </w:t>
      </w:r>
      <w:r>
        <w:rPr>
          <w:b/>
          <w:color w:val="231F20"/>
          <w:w w:val="105"/>
          <w:sz w:val="22"/>
        </w:rPr>
        <w:t>del</w:t>
      </w:r>
      <w:r>
        <w:rPr>
          <w:b/>
          <w:color w:val="231F20"/>
          <w:spacing w:val="-19"/>
          <w:w w:val="105"/>
          <w:sz w:val="22"/>
        </w:rPr>
        <w:t> </w:t>
      </w:r>
      <w:r>
        <w:rPr>
          <w:b/>
          <w:color w:val="231F20"/>
          <w:w w:val="105"/>
          <w:sz w:val="22"/>
        </w:rPr>
        <w:t>Estado</w:t>
      </w:r>
      <w:r>
        <w:rPr>
          <w:b/>
          <w:color w:val="231F20"/>
          <w:spacing w:val="-19"/>
          <w:w w:val="105"/>
          <w:sz w:val="22"/>
        </w:rPr>
        <w:t> </w:t>
      </w:r>
      <w:r>
        <w:rPr>
          <w:b/>
          <w:color w:val="231F20"/>
          <w:w w:val="105"/>
          <w:sz w:val="22"/>
        </w:rPr>
        <w:t>de</w:t>
      </w:r>
      <w:r>
        <w:rPr>
          <w:b/>
          <w:color w:val="231F20"/>
          <w:spacing w:val="-19"/>
          <w:w w:val="105"/>
          <w:sz w:val="22"/>
        </w:rPr>
        <w:t> </w:t>
      </w:r>
      <w:r>
        <w:rPr>
          <w:b/>
          <w:color w:val="231F20"/>
          <w:w w:val="105"/>
          <w:sz w:val="22"/>
        </w:rPr>
        <w:t>México</w:t>
      </w:r>
    </w:p>
    <w:p>
      <w:pPr>
        <w:pStyle w:val="BodyText"/>
        <w:rPr>
          <w:b/>
          <w:sz w:val="20"/>
        </w:rPr>
      </w:pPr>
    </w:p>
    <w:p>
      <w:pPr>
        <w:pStyle w:val="BodyText"/>
        <w:spacing w:before="7" w:after="1"/>
        <w:rPr>
          <w:b/>
          <w:sz w:val="1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42"/>
        <w:gridCol w:w="2289"/>
        <w:gridCol w:w="2635"/>
        <w:gridCol w:w="448"/>
        <w:gridCol w:w="442"/>
        <w:gridCol w:w="1688"/>
      </w:tblGrid>
      <w:tr>
        <w:trPr>
          <w:trHeight w:val="742" w:hRule="exact"/>
        </w:trPr>
        <w:tc>
          <w:tcPr>
            <w:tcW w:w="442" w:type="dxa"/>
            <w:tcBorders>
              <w:left w:val="double" w:sz="2" w:space="0" w:color="231F20"/>
              <w:bottom w:val="double" w:sz="2" w:space="0" w:color="231F20"/>
              <w:right w:val="double" w:sz="2" w:space="0" w:color="231F20"/>
            </w:tcBorders>
          </w:tcPr>
          <w:p>
            <w:pPr>
              <w:pStyle w:val="TableParagraph"/>
              <w:spacing w:before="7"/>
              <w:ind w:left="0"/>
              <w:rPr>
                <w:rFonts w:ascii="Times New Roman"/>
                <w:b/>
                <w:sz w:val="23"/>
              </w:rPr>
            </w:pPr>
          </w:p>
          <w:p>
            <w:pPr>
              <w:pStyle w:val="TableParagraph"/>
              <w:spacing w:before="1"/>
              <w:ind w:left="99"/>
              <w:rPr>
                <w:sz w:val="16"/>
              </w:rPr>
            </w:pPr>
            <w:r>
              <w:rPr>
                <w:color w:val="231F20"/>
                <w:w w:val="85"/>
                <w:sz w:val="16"/>
              </w:rPr>
              <w:t>Pilar</w:t>
            </w:r>
          </w:p>
        </w:tc>
        <w:tc>
          <w:tcPr>
            <w:tcW w:w="2289" w:type="dxa"/>
            <w:tcBorders>
              <w:left w:val="double" w:sz="2" w:space="0" w:color="231F20"/>
              <w:bottom w:val="double" w:sz="2" w:space="0" w:color="231F20"/>
              <w:right w:val="double" w:sz="2" w:space="0" w:color="231F20"/>
            </w:tcBorders>
          </w:tcPr>
          <w:p>
            <w:pPr>
              <w:pStyle w:val="TableParagraph"/>
              <w:spacing w:before="7"/>
              <w:ind w:left="0"/>
              <w:rPr>
                <w:rFonts w:ascii="Times New Roman"/>
                <w:b/>
                <w:sz w:val="23"/>
              </w:rPr>
            </w:pPr>
          </w:p>
          <w:p>
            <w:pPr>
              <w:pStyle w:val="TableParagraph"/>
              <w:spacing w:before="1"/>
              <w:ind w:left="110"/>
              <w:rPr>
                <w:sz w:val="16"/>
              </w:rPr>
            </w:pPr>
            <w:r>
              <w:rPr>
                <w:color w:val="231F20"/>
                <w:w w:val="75"/>
                <w:sz w:val="16"/>
              </w:rPr>
              <w:t>Objetivos del Plan Nacional de Desarrollo</w:t>
            </w:r>
          </w:p>
        </w:tc>
        <w:tc>
          <w:tcPr>
            <w:tcW w:w="2635" w:type="dxa"/>
            <w:tcBorders>
              <w:left w:val="double" w:sz="2" w:space="0" w:color="231F20"/>
              <w:bottom w:val="double" w:sz="2" w:space="0" w:color="231F20"/>
              <w:right w:val="double" w:sz="2" w:space="0" w:color="231F20"/>
            </w:tcBorders>
          </w:tcPr>
          <w:p>
            <w:pPr>
              <w:pStyle w:val="TableParagraph"/>
              <w:spacing w:before="2"/>
              <w:ind w:left="0"/>
              <w:rPr>
                <w:rFonts w:ascii="Times New Roman"/>
                <w:b/>
                <w:sz w:val="15"/>
              </w:rPr>
            </w:pPr>
          </w:p>
          <w:p>
            <w:pPr>
              <w:pStyle w:val="TableParagraph"/>
              <w:spacing w:line="192" w:lineRule="exact"/>
              <w:ind w:left="852" w:right="161" w:hanging="686"/>
              <w:rPr>
                <w:sz w:val="16"/>
              </w:rPr>
            </w:pPr>
            <w:r>
              <w:rPr>
                <w:color w:val="231F20"/>
                <w:w w:val="80"/>
                <w:sz w:val="16"/>
              </w:rPr>
              <w:t>Objetivos</w:t>
            </w:r>
            <w:r>
              <w:rPr>
                <w:color w:val="231F20"/>
                <w:spacing w:val="-17"/>
                <w:w w:val="80"/>
                <w:sz w:val="16"/>
              </w:rPr>
              <w:t> </w:t>
            </w:r>
            <w:r>
              <w:rPr>
                <w:color w:val="231F20"/>
                <w:w w:val="80"/>
                <w:sz w:val="16"/>
              </w:rPr>
              <w:t>del</w:t>
            </w:r>
            <w:r>
              <w:rPr>
                <w:color w:val="231F20"/>
                <w:spacing w:val="-17"/>
                <w:w w:val="80"/>
                <w:sz w:val="16"/>
              </w:rPr>
              <w:t> </w:t>
            </w:r>
            <w:r>
              <w:rPr>
                <w:color w:val="231F20"/>
                <w:w w:val="80"/>
                <w:sz w:val="16"/>
              </w:rPr>
              <w:t>Plan</w:t>
            </w:r>
            <w:r>
              <w:rPr>
                <w:color w:val="231F20"/>
                <w:spacing w:val="-17"/>
                <w:w w:val="80"/>
                <w:sz w:val="16"/>
              </w:rPr>
              <w:t> </w:t>
            </w:r>
            <w:r>
              <w:rPr>
                <w:color w:val="231F20"/>
                <w:w w:val="80"/>
                <w:sz w:val="16"/>
              </w:rPr>
              <w:t>de</w:t>
            </w:r>
            <w:r>
              <w:rPr>
                <w:color w:val="231F20"/>
                <w:spacing w:val="-17"/>
                <w:w w:val="80"/>
                <w:sz w:val="16"/>
              </w:rPr>
              <w:t> </w:t>
            </w:r>
            <w:r>
              <w:rPr>
                <w:color w:val="231F20"/>
                <w:w w:val="80"/>
                <w:sz w:val="16"/>
              </w:rPr>
              <w:t>Desarrollo</w:t>
            </w:r>
            <w:r>
              <w:rPr>
                <w:color w:val="231F20"/>
                <w:spacing w:val="-17"/>
                <w:w w:val="80"/>
                <w:sz w:val="16"/>
              </w:rPr>
              <w:t> </w:t>
            </w:r>
            <w:r>
              <w:rPr>
                <w:color w:val="231F20"/>
                <w:w w:val="80"/>
                <w:sz w:val="16"/>
              </w:rPr>
              <w:t>del</w:t>
            </w:r>
            <w:r>
              <w:rPr>
                <w:color w:val="231F20"/>
                <w:spacing w:val="-17"/>
                <w:w w:val="80"/>
                <w:sz w:val="16"/>
              </w:rPr>
              <w:t> </w:t>
            </w:r>
            <w:r>
              <w:rPr>
                <w:color w:val="231F20"/>
                <w:w w:val="80"/>
                <w:sz w:val="16"/>
              </w:rPr>
              <w:t>Estado</w:t>
            </w:r>
            <w:r>
              <w:rPr>
                <w:color w:val="231F20"/>
                <w:spacing w:val="-17"/>
                <w:w w:val="80"/>
                <w:sz w:val="16"/>
              </w:rPr>
              <w:t> </w:t>
            </w:r>
            <w:r>
              <w:rPr>
                <w:color w:val="231F20"/>
                <w:w w:val="80"/>
                <w:sz w:val="16"/>
              </w:rPr>
              <w:t>de </w:t>
            </w:r>
            <w:r>
              <w:rPr>
                <w:color w:val="231F20"/>
                <w:w w:val="75"/>
                <w:sz w:val="16"/>
              </w:rPr>
              <w:t>México 2005-2011</w:t>
            </w:r>
          </w:p>
        </w:tc>
        <w:tc>
          <w:tcPr>
            <w:tcW w:w="448" w:type="dxa"/>
            <w:tcBorders>
              <w:left w:val="double" w:sz="2" w:space="0" w:color="231F20"/>
              <w:bottom w:val="double" w:sz="2" w:space="0" w:color="231F20"/>
              <w:right w:val="double" w:sz="2" w:space="0" w:color="231F20"/>
            </w:tcBorders>
            <w:textDirection w:val="btLr"/>
          </w:tcPr>
          <w:p>
            <w:pPr>
              <w:pStyle w:val="TableParagraph"/>
              <w:spacing w:before="124"/>
              <w:ind w:left="165"/>
              <w:rPr>
                <w:sz w:val="16"/>
              </w:rPr>
            </w:pPr>
            <w:r>
              <w:rPr>
                <w:color w:val="231F20"/>
                <w:w w:val="75"/>
                <w:sz w:val="16"/>
              </w:rPr>
              <w:t>F</w:t>
            </w:r>
            <w:r>
              <w:rPr>
                <w:color w:val="231F20"/>
                <w:spacing w:val="1"/>
                <w:w w:val="76"/>
                <w:sz w:val="16"/>
              </w:rPr>
              <w:t>un</w:t>
            </w:r>
            <w:r>
              <w:rPr>
                <w:color w:val="231F20"/>
                <w:spacing w:val="2"/>
                <w:w w:val="71"/>
                <w:sz w:val="16"/>
              </w:rPr>
              <w:t>c</w:t>
            </w:r>
            <w:r>
              <w:rPr>
                <w:color w:val="231F20"/>
                <w:spacing w:val="1"/>
                <w:w w:val="74"/>
                <w:sz w:val="16"/>
              </w:rPr>
              <w:t>ió</w:t>
            </w:r>
            <w:r>
              <w:rPr>
                <w:color w:val="231F20"/>
                <w:w w:val="77"/>
                <w:sz w:val="16"/>
              </w:rPr>
              <w:t>n</w:t>
            </w:r>
          </w:p>
        </w:tc>
        <w:tc>
          <w:tcPr>
            <w:tcW w:w="442" w:type="dxa"/>
            <w:tcBorders>
              <w:left w:val="double" w:sz="2" w:space="0" w:color="231F20"/>
              <w:bottom w:val="double" w:sz="2" w:space="0" w:color="231F20"/>
              <w:right w:val="double" w:sz="2" w:space="0" w:color="231F20"/>
            </w:tcBorders>
            <w:textDirection w:val="btLr"/>
          </w:tcPr>
          <w:p>
            <w:pPr>
              <w:pStyle w:val="TableParagraph"/>
              <w:spacing w:before="121"/>
              <w:ind w:left="115"/>
              <w:rPr>
                <w:sz w:val="16"/>
              </w:rPr>
            </w:pPr>
            <w:r>
              <w:rPr>
                <w:color w:val="231F20"/>
                <w:spacing w:val="1"/>
                <w:w w:val="74"/>
                <w:sz w:val="16"/>
              </w:rPr>
              <w:t>P</w:t>
            </w:r>
            <w:r>
              <w:rPr>
                <w:color w:val="231F20"/>
                <w:spacing w:val="2"/>
                <w:w w:val="74"/>
                <w:sz w:val="16"/>
              </w:rPr>
              <w:t>r</w:t>
            </w:r>
            <w:r>
              <w:rPr>
                <w:color w:val="231F20"/>
                <w:spacing w:val="2"/>
                <w:w w:val="72"/>
                <w:sz w:val="16"/>
              </w:rPr>
              <w:t>o</w:t>
            </w:r>
            <w:r>
              <w:rPr>
                <w:color w:val="231F20"/>
                <w:spacing w:val="1"/>
                <w:w w:val="84"/>
                <w:sz w:val="16"/>
              </w:rPr>
              <w:t>g</w:t>
            </w:r>
            <w:r>
              <w:rPr>
                <w:color w:val="231F20"/>
                <w:spacing w:val="2"/>
                <w:w w:val="71"/>
                <w:sz w:val="16"/>
              </w:rPr>
              <w:t>r</w:t>
            </w:r>
            <w:r>
              <w:rPr>
                <w:color w:val="231F20"/>
                <w:spacing w:val="1"/>
                <w:w w:val="75"/>
                <w:sz w:val="16"/>
              </w:rPr>
              <w:t>a</w:t>
            </w:r>
            <w:r>
              <w:rPr>
                <w:color w:val="231F20"/>
                <w:spacing w:val="1"/>
                <w:w w:val="77"/>
                <w:sz w:val="16"/>
              </w:rPr>
              <w:t>m</w:t>
            </w:r>
            <w:r>
              <w:rPr>
                <w:color w:val="231F20"/>
                <w:w w:val="75"/>
                <w:sz w:val="16"/>
              </w:rPr>
              <w:t>a</w:t>
            </w:r>
          </w:p>
        </w:tc>
        <w:tc>
          <w:tcPr>
            <w:tcW w:w="1688" w:type="dxa"/>
            <w:tcBorders>
              <w:left w:val="double" w:sz="2" w:space="0" w:color="231F20"/>
              <w:bottom w:val="double" w:sz="2" w:space="0" w:color="231F20"/>
              <w:right w:val="double" w:sz="2" w:space="0" w:color="231F20"/>
            </w:tcBorders>
          </w:tcPr>
          <w:p>
            <w:pPr>
              <w:pStyle w:val="TableParagraph"/>
              <w:spacing w:before="7"/>
              <w:ind w:left="0"/>
              <w:rPr>
                <w:rFonts w:ascii="Times New Roman"/>
                <w:b/>
                <w:sz w:val="23"/>
              </w:rPr>
            </w:pPr>
          </w:p>
          <w:p>
            <w:pPr>
              <w:pStyle w:val="TableParagraph"/>
              <w:spacing w:before="1"/>
              <w:ind w:left="233" w:right="233"/>
              <w:jc w:val="center"/>
              <w:rPr>
                <w:sz w:val="16"/>
              </w:rPr>
            </w:pPr>
            <w:r>
              <w:rPr>
                <w:color w:val="231F20"/>
                <w:w w:val="75"/>
                <w:sz w:val="16"/>
              </w:rPr>
              <w:t>Programas  Municipales</w:t>
            </w:r>
          </w:p>
        </w:tc>
      </w:tr>
      <w:tr>
        <w:trPr>
          <w:trHeight w:val="443" w:hRule="exact"/>
        </w:trPr>
        <w:tc>
          <w:tcPr>
            <w:tcW w:w="442" w:type="dxa"/>
            <w:vMerge w:val="restart"/>
            <w:tcBorders>
              <w:top w:val="double" w:sz="2" w:space="0" w:color="231F20"/>
              <w:left w:val="double" w:sz="2" w:space="0" w:color="231F20"/>
            </w:tcBorders>
            <w:textDirection w:val="btLr"/>
          </w:tcPr>
          <w:p>
            <w:pPr>
              <w:pStyle w:val="TableParagraph"/>
              <w:spacing w:before="121"/>
              <w:ind w:left="1317" w:right="1317"/>
              <w:jc w:val="center"/>
              <w:rPr>
                <w:sz w:val="16"/>
              </w:rPr>
            </w:pPr>
            <w:r>
              <w:rPr>
                <w:color w:val="231F20"/>
                <w:spacing w:val="2"/>
                <w:w w:val="78"/>
                <w:sz w:val="16"/>
              </w:rPr>
              <w:t>S</w:t>
            </w:r>
            <w:r>
              <w:rPr>
                <w:color w:val="231F20"/>
                <w:spacing w:val="2"/>
                <w:w w:val="72"/>
                <w:sz w:val="16"/>
              </w:rPr>
              <w:t>e</w:t>
            </w:r>
            <w:r>
              <w:rPr>
                <w:color w:val="231F20"/>
                <w:spacing w:val="1"/>
                <w:w w:val="80"/>
                <w:sz w:val="16"/>
              </w:rPr>
              <w:t>gu</w:t>
            </w:r>
            <w:r>
              <w:rPr>
                <w:color w:val="231F20"/>
                <w:spacing w:val="2"/>
                <w:w w:val="71"/>
                <w:sz w:val="16"/>
              </w:rPr>
              <w:t>r</w:t>
            </w:r>
            <w:r>
              <w:rPr>
                <w:color w:val="231F20"/>
                <w:spacing w:val="1"/>
                <w:w w:val="77"/>
                <w:sz w:val="16"/>
              </w:rPr>
              <w:t>id</w:t>
            </w:r>
            <w:r>
              <w:rPr>
                <w:color w:val="231F20"/>
                <w:spacing w:val="1"/>
                <w:w w:val="75"/>
                <w:sz w:val="16"/>
              </w:rPr>
              <w:t>a</w:t>
            </w:r>
            <w:r>
              <w:rPr>
                <w:color w:val="231F20"/>
                <w:w w:val="75"/>
                <w:sz w:val="16"/>
              </w:rPr>
              <w:t>d</w:t>
            </w:r>
            <w:r>
              <w:rPr>
                <w:color w:val="231F20"/>
                <w:spacing w:val="-12"/>
                <w:sz w:val="16"/>
              </w:rPr>
              <w:t> </w:t>
            </w:r>
            <w:r>
              <w:rPr>
                <w:color w:val="231F20"/>
                <w:spacing w:val="1"/>
                <w:w w:val="77"/>
                <w:sz w:val="16"/>
              </w:rPr>
              <w:t>P</w:t>
            </w:r>
            <w:r>
              <w:rPr>
                <w:color w:val="231F20"/>
                <w:spacing w:val="1"/>
                <w:w w:val="75"/>
                <w:sz w:val="16"/>
              </w:rPr>
              <w:t>ú</w:t>
            </w:r>
            <w:r>
              <w:rPr>
                <w:color w:val="231F20"/>
                <w:spacing w:val="2"/>
                <w:w w:val="75"/>
                <w:sz w:val="16"/>
              </w:rPr>
              <w:t>b</w:t>
            </w:r>
            <w:r>
              <w:rPr>
                <w:color w:val="231F20"/>
                <w:spacing w:val="1"/>
                <w:w w:val="83"/>
                <w:sz w:val="16"/>
              </w:rPr>
              <w:t>l</w:t>
            </w:r>
            <w:r>
              <w:rPr>
                <w:color w:val="231F20"/>
                <w:spacing w:val="1"/>
                <w:w w:val="80"/>
                <w:sz w:val="16"/>
              </w:rPr>
              <w:t>i</w:t>
            </w:r>
            <w:r>
              <w:rPr>
                <w:color w:val="231F20"/>
                <w:spacing w:val="3"/>
                <w:w w:val="71"/>
                <w:sz w:val="16"/>
              </w:rPr>
              <w:t>c</w:t>
            </w:r>
            <w:r>
              <w:rPr>
                <w:color w:val="231F20"/>
                <w:w w:val="75"/>
                <w:sz w:val="16"/>
              </w:rPr>
              <w:t>a</w:t>
            </w:r>
          </w:p>
        </w:tc>
        <w:tc>
          <w:tcPr>
            <w:tcW w:w="2289" w:type="dxa"/>
            <w:vMerge w:val="restart"/>
            <w:tcBorders>
              <w:top w:val="double" w:sz="2" w:space="0" w:color="231F20"/>
            </w:tcBorders>
          </w:tcPr>
          <w:p>
            <w:pPr>
              <w:pStyle w:val="TableParagraph"/>
              <w:ind w:left="0"/>
              <w:rPr>
                <w:rFonts w:ascii="Times New Roman"/>
                <w:b/>
                <w:sz w:val="16"/>
              </w:rPr>
            </w:pPr>
          </w:p>
          <w:p>
            <w:pPr>
              <w:pStyle w:val="TableParagraph"/>
              <w:ind w:left="0"/>
              <w:rPr>
                <w:rFonts w:ascii="Times New Roman"/>
                <w:b/>
                <w:sz w:val="16"/>
              </w:rPr>
            </w:pPr>
          </w:p>
          <w:p>
            <w:pPr>
              <w:pStyle w:val="TableParagraph"/>
              <w:spacing w:line="192" w:lineRule="exact" w:before="137"/>
              <w:ind w:left="60" w:right="58"/>
              <w:jc w:val="center"/>
              <w:rPr>
                <w:sz w:val="16"/>
              </w:rPr>
            </w:pPr>
            <w:r>
              <w:rPr>
                <w:color w:val="231F20"/>
                <w:w w:val="80"/>
                <w:sz w:val="16"/>
              </w:rPr>
              <w:t>Garantizar una procuración de justicia pronta, expedita, apegada a derecho y de </w:t>
            </w:r>
            <w:r>
              <w:rPr>
                <w:color w:val="231F20"/>
                <w:w w:val="75"/>
                <w:sz w:val="16"/>
              </w:rPr>
              <w:t>respeto a los derechos humanos.</w:t>
            </w:r>
          </w:p>
        </w:tc>
        <w:tc>
          <w:tcPr>
            <w:tcW w:w="2635" w:type="dxa"/>
            <w:vMerge w:val="restart"/>
            <w:tcBorders>
              <w:top w:val="double" w:sz="2" w:space="0" w:color="231F20"/>
            </w:tcBorders>
          </w:tcPr>
          <w:p>
            <w:pPr>
              <w:pStyle w:val="TableParagraph"/>
              <w:ind w:left="0"/>
              <w:rPr>
                <w:rFonts w:ascii="Times New Roman"/>
                <w:b/>
                <w:sz w:val="16"/>
              </w:rPr>
            </w:pPr>
          </w:p>
          <w:p>
            <w:pPr>
              <w:pStyle w:val="TableParagraph"/>
              <w:spacing w:before="11"/>
              <w:ind w:left="0"/>
              <w:rPr>
                <w:rFonts w:ascii="Times New Roman"/>
                <w:b/>
                <w:sz w:val="13"/>
              </w:rPr>
            </w:pPr>
          </w:p>
          <w:p>
            <w:pPr>
              <w:pStyle w:val="TableParagraph"/>
              <w:spacing w:line="192" w:lineRule="exact"/>
              <w:ind w:left="65" w:right="62"/>
              <w:jc w:val="center"/>
              <w:rPr>
                <w:sz w:val="16"/>
              </w:rPr>
            </w:pPr>
            <w:r>
              <w:rPr>
                <w:color w:val="231F20"/>
                <w:w w:val="80"/>
                <w:sz w:val="16"/>
              </w:rPr>
              <w:t>Garantizar</w:t>
            </w:r>
            <w:r>
              <w:rPr>
                <w:color w:val="231F20"/>
                <w:spacing w:val="-20"/>
                <w:w w:val="80"/>
                <w:sz w:val="16"/>
              </w:rPr>
              <w:t> </w:t>
            </w:r>
            <w:r>
              <w:rPr>
                <w:color w:val="231F20"/>
                <w:w w:val="80"/>
                <w:sz w:val="16"/>
              </w:rPr>
              <w:t>que</w:t>
            </w:r>
            <w:r>
              <w:rPr>
                <w:color w:val="231F20"/>
                <w:spacing w:val="-20"/>
                <w:w w:val="80"/>
                <w:sz w:val="16"/>
              </w:rPr>
              <w:t> </w:t>
            </w:r>
            <w:r>
              <w:rPr>
                <w:color w:val="231F20"/>
                <w:w w:val="80"/>
                <w:sz w:val="16"/>
              </w:rPr>
              <w:t>la</w:t>
            </w:r>
            <w:r>
              <w:rPr>
                <w:color w:val="231F20"/>
                <w:spacing w:val="-20"/>
                <w:w w:val="80"/>
                <w:sz w:val="16"/>
              </w:rPr>
              <w:t> </w:t>
            </w:r>
            <w:r>
              <w:rPr>
                <w:color w:val="231F20"/>
                <w:w w:val="80"/>
                <w:sz w:val="16"/>
              </w:rPr>
              <w:t>procuración</w:t>
            </w:r>
            <w:r>
              <w:rPr>
                <w:color w:val="231F20"/>
                <w:spacing w:val="-20"/>
                <w:w w:val="80"/>
                <w:sz w:val="16"/>
              </w:rPr>
              <w:t> </w:t>
            </w:r>
            <w:r>
              <w:rPr>
                <w:color w:val="231F20"/>
                <w:w w:val="80"/>
                <w:sz w:val="16"/>
              </w:rPr>
              <w:t>y</w:t>
            </w:r>
            <w:r>
              <w:rPr>
                <w:color w:val="231F20"/>
                <w:spacing w:val="-20"/>
                <w:w w:val="80"/>
                <w:sz w:val="16"/>
              </w:rPr>
              <w:t> </w:t>
            </w:r>
            <w:r>
              <w:rPr>
                <w:color w:val="231F20"/>
                <w:w w:val="80"/>
                <w:sz w:val="16"/>
              </w:rPr>
              <w:t>administración</w:t>
            </w:r>
            <w:r>
              <w:rPr>
                <w:color w:val="231F20"/>
                <w:spacing w:val="-20"/>
                <w:w w:val="80"/>
                <w:sz w:val="16"/>
              </w:rPr>
              <w:t> </w:t>
            </w:r>
            <w:r>
              <w:rPr>
                <w:color w:val="231F20"/>
                <w:w w:val="80"/>
                <w:sz w:val="16"/>
              </w:rPr>
              <w:t>de justicia</w:t>
            </w:r>
            <w:r>
              <w:rPr>
                <w:color w:val="231F20"/>
                <w:spacing w:val="-19"/>
                <w:w w:val="80"/>
                <w:sz w:val="16"/>
              </w:rPr>
              <w:t> </w:t>
            </w:r>
            <w:r>
              <w:rPr>
                <w:color w:val="231F20"/>
                <w:w w:val="80"/>
                <w:sz w:val="16"/>
              </w:rPr>
              <w:t>se</w:t>
            </w:r>
            <w:r>
              <w:rPr>
                <w:color w:val="231F20"/>
                <w:spacing w:val="-19"/>
                <w:w w:val="80"/>
                <w:sz w:val="16"/>
              </w:rPr>
              <w:t> </w:t>
            </w:r>
            <w:r>
              <w:rPr>
                <w:color w:val="231F20"/>
                <w:w w:val="80"/>
                <w:sz w:val="16"/>
              </w:rPr>
              <w:t>realice</w:t>
            </w:r>
            <w:r>
              <w:rPr>
                <w:color w:val="231F20"/>
                <w:spacing w:val="-19"/>
                <w:w w:val="80"/>
                <w:sz w:val="16"/>
              </w:rPr>
              <w:t> </w:t>
            </w:r>
            <w:r>
              <w:rPr>
                <w:color w:val="231F20"/>
                <w:w w:val="80"/>
                <w:sz w:val="16"/>
              </w:rPr>
              <w:t>de</w:t>
            </w:r>
            <w:r>
              <w:rPr>
                <w:color w:val="231F20"/>
                <w:spacing w:val="-19"/>
                <w:w w:val="80"/>
                <w:sz w:val="16"/>
              </w:rPr>
              <w:t> </w:t>
            </w:r>
            <w:r>
              <w:rPr>
                <w:color w:val="231F20"/>
                <w:w w:val="80"/>
                <w:sz w:val="16"/>
              </w:rPr>
              <w:t>manera</w:t>
            </w:r>
            <w:r>
              <w:rPr>
                <w:color w:val="231F20"/>
                <w:spacing w:val="-19"/>
                <w:w w:val="80"/>
                <w:sz w:val="16"/>
              </w:rPr>
              <w:t> </w:t>
            </w:r>
            <w:r>
              <w:rPr>
                <w:color w:val="231F20"/>
                <w:w w:val="80"/>
                <w:sz w:val="16"/>
              </w:rPr>
              <w:t>expedita,</w:t>
            </w:r>
            <w:r>
              <w:rPr>
                <w:color w:val="231F20"/>
                <w:spacing w:val="-19"/>
                <w:w w:val="80"/>
                <w:sz w:val="16"/>
              </w:rPr>
              <w:t> </w:t>
            </w:r>
            <w:r>
              <w:rPr>
                <w:color w:val="231F20"/>
                <w:w w:val="80"/>
                <w:sz w:val="16"/>
              </w:rPr>
              <w:t>completa</w:t>
            </w:r>
          </w:p>
          <w:p>
            <w:pPr>
              <w:pStyle w:val="TableParagraph"/>
              <w:spacing w:before="1"/>
              <w:ind w:left="62" w:right="62"/>
              <w:jc w:val="center"/>
              <w:rPr>
                <w:sz w:val="16"/>
              </w:rPr>
            </w:pPr>
            <w:r>
              <w:rPr>
                <w:color w:val="231F20"/>
                <w:w w:val="75"/>
                <w:sz w:val="16"/>
              </w:rPr>
              <w:t>e imparcial.</w:t>
            </w:r>
          </w:p>
        </w:tc>
        <w:tc>
          <w:tcPr>
            <w:tcW w:w="448" w:type="dxa"/>
            <w:tcBorders>
              <w:top w:val="double" w:sz="2" w:space="0" w:color="231F20"/>
            </w:tcBorders>
          </w:tcPr>
          <w:p>
            <w:pPr>
              <w:pStyle w:val="TableParagraph"/>
              <w:spacing w:before="123"/>
              <w:ind w:left="127" w:right="128"/>
              <w:jc w:val="center"/>
              <w:rPr>
                <w:sz w:val="16"/>
              </w:rPr>
            </w:pPr>
            <w:r>
              <w:rPr>
                <w:color w:val="231F20"/>
                <w:w w:val="85"/>
                <w:sz w:val="16"/>
              </w:rPr>
              <w:t>01</w:t>
            </w:r>
          </w:p>
        </w:tc>
        <w:tc>
          <w:tcPr>
            <w:tcW w:w="442" w:type="dxa"/>
            <w:tcBorders>
              <w:top w:val="double" w:sz="2" w:space="0" w:color="231F20"/>
            </w:tcBorders>
          </w:tcPr>
          <w:p>
            <w:pPr>
              <w:pStyle w:val="TableParagraph"/>
              <w:spacing w:before="123"/>
              <w:ind w:left="126" w:right="127"/>
              <w:jc w:val="center"/>
              <w:rPr>
                <w:sz w:val="16"/>
              </w:rPr>
            </w:pPr>
            <w:r>
              <w:rPr>
                <w:color w:val="231F20"/>
                <w:w w:val="85"/>
                <w:sz w:val="16"/>
              </w:rPr>
              <w:t>01</w:t>
            </w:r>
          </w:p>
        </w:tc>
        <w:tc>
          <w:tcPr>
            <w:tcW w:w="1688" w:type="dxa"/>
            <w:tcBorders>
              <w:top w:val="double" w:sz="2" w:space="0" w:color="231F20"/>
              <w:right w:val="double" w:sz="2" w:space="0" w:color="231F20"/>
            </w:tcBorders>
          </w:tcPr>
          <w:p>
            <w:pPr>
              <w:pStyle w:val="TableParagraph"/>
              <w:spacing w:before="123"/>
              <w:ind w:left="86" w:right="84"/>
              <w:jc w:val="center"/>
              <w:rPr>
                <w:sz w:val="16"/>
              </w:rPr>
            </w:pPr>
            <w:r>
              <w:rPr>
                <w:color w:val="231F20"/>
                <w:w w:val="75"/>
                <w:sz w:val="16"/>
              </w:rPr>
              <w:t>Reglamentación  Municipal</w:t>
            </w:r>
          </w:p>
        </w:tc>
      </w:tr>
      <w:tr>
        <w:trPr>
          <w:trHeight w:val="507" w:hRule="exact"/>
        </w:trPr>
        <w:tc>
          <w:tcPr>
            <w:tcW w:w="442" w:type="dxa"/>
            <w:vMerge/>
            <w:tcBorders>
              <w:left w:val="double" w:sz="2" w:space="0" w:color="231F20"/>
            </w:tcBorders>
            <w:textDirection w:val="btLr"/>
          </w:tcPr>
          <w:p>
            <w:pPr/>
          </w:p>
        </w:tc>
        <w:tc>
          <w:tcPr>
            <w:tcW w:w="2289" w:type="dxa"/>
            <w:vMerge/>
          </w:tcPr>
          <w:p>
            <w:pPr/>
          </w:p>
        </w:tc>
        <w:tc>
          <w:tcPr>
            <w:tcW w:w="2635" w:type="dxa"/>
            <w:vMerge/>
          </w:tcPr>
          <w:p>
            <w:pPr/>
          </w:p>
        </w:tc>
        <w:tc>
          <w:tcPr>
            <w:tcW w:w="448" w:type="dxa"/>
          </w:tcPr>
          <w:p>
            <w:pPr>
              <w:pStyle w:val="TableParagraph"/>
              <w:spacing w:before="6"/>
              <w:ind w:left="0"/>
              <w:rPr>
                <w:rFonts w:ascii="Times New Roman"/>
                <w:b/>
                <w:sz w:val="13"/>
              </w:rPr>
            </w:pPr>
          </w:p>
          <w:p>
            <w:pPr>
              <w:pStyle w:val="TableParagraph"/>
              <w:spacing w:before="1"/>
              <w:ind w:left="128" w:right="128"/>
              <w:jc w:val="center"/>
              <w:rPr>
                <w:sz w:val="16"/>
              </w:rPr>
            </w:pPr>
            <w:r>
              <w:rPr>
                <w:color w:val="231F20"/>
                <w:w w:val="85"/>
                <w:sz w:val="16"/>
              </w:rPr>
              <w:t>02</w:t>
            </w:r>
          </w:p>
        </w:tc>
        <w:tc>
          <w:tcPr>
            <w:tcW w:w="442" w:type="dxa"/>
          </w:tcPr>
          <w:p>
            <w:pPr>
              <w:pStyle w:val="TableParagraph"/>
              <w:spacing w:before="6"/>
              <w:ind w:left="0"/>
              <w:rPr>
                <w:rFonts w:ascii="Times New Roman"/>
                <w:b/>
                <w:sz w:val="13"/>
              </w:rPr>
            </w:pPr>
          </w:p>
          <w:p>
            <w:pPr>
              <w:pStyle w:val="TableParagraph"/>
              <w:spacing w:before="1"/>
              <w:ind w:left="126" w:right="127"/>
              <w:jc w:val="center"/>
              <w:rPr>
                <w:sz w:val="16"/>
              </w:rPr>
            </w:pPr>
            <w:r>
              <w:rPr>
                <w:color w:val="231F20"/>
                <w:w w:val="85"/>
                <w:sz w:val="16"/>
              </w:rPr>
              <w:t>01</w:t>
            </w:r>
          </w:p>
        </w:tc>
        <w:tc>
          <w:tcPr>
            <w:tcW w:w="1688" w:type="dxa"/>
            <w:tcBorders>
              <w:right w:val="double" w:sz="2" w:space="0" w:color="231F20"/>
            </w:tcBorders>
          </w:tcPr>
          <w:p>
            <w:pPr>
              <w:pStyle w:val="TableParagraph"/>
              <w:spacing w:line="192" w:lineRule="exact" w:before="59"/>
              <w:ind w:left="589" w:hanging="320"/>
              <w:rPr>
                <w:sz w:val="16"/>
              </w:rPr>
            </w:pPr>
            <w:r>
              <w:rPr>
                <w:color w:val="231F20"/>
                <w:w w:val="80"/>
                <w:sz w:val="16"/>
              </w:rPr>
              <w:t>Impartición de Justicia </w:t>
            </w:r>
            <w:r>
              <w:rPr>
                <w:color w:val="231F20"/>
                <w:w w:val="85"/>
                <w:sz w:val="16"/>
              </w:rPr>
              <w:t>Municipal</w:t>
            </w:r>
          </w:p>
        </w:tc>
      </w:tr>
      <w:tr>
        <w:trPr>
          <w:trHeight w:val="322" w:hRule="exact"/>
        </w:trPr>
        <w:tc>
          <w:tcPr>
            <w:tcW w:w="442" w:type="dxa"/>
            <w:vMerge/>
            <w:tcBorders>
              <w:left w:val="double" w:sz="2" w:space="0" w:color="231F20"/>
            </w:tcBorders>
            <w:textDirection w:val="btLr"/>
          </w:tcPr>
          <w:p>
            <w:pPr/>
          </w:p>
        </w:tc>
        <w:tc>
          <w:tcPr>
            <w:tcW w:w="2289" w:type="dxa"/>
            <w:vMerge/>
          </w:tcPr>
          <w:p>
            <w:pPr/>
          </w:p>
        </w:tc>
        <w:tc>
          <w:tcPr>
            <w:tcW w:w="2635" w:type="dxa"/>
            <w:vMerge/>
          </w:tcPr>
          <w:p>
            <w:pPr/>
          </w:p>
        </w:tc>
        <w:tc>
          <w:tcPr>
            <w:tcW w:w="448" w:type="dxa"/>
          </w:tcPr>
          <w:p>
            <w:pPr>
              <w:pStyle w:val="TableParagraph"/>
              <w:spacing w:before="63"/>
              <w:ind w:left="128" w:right="128"/>
              <w:jc w:val="center"/>
              <w:rPr>
                <w:sz w:val="16"/>
              </w:rPr>
            </w:pPr>
            <w:r>
              <w:rPr>
                <w:color w:val="231F20"/>
                <w:w w:val="85"/>
                <w:sz w:val="16"/>
              </w:rPr>
              <w:t>03</w:t>
            </w:r>
          </w:p>
        </w:tc>
        <w:tc>
          <w:tcPr>
            <w:tcW w:w="442" w:type="dxa"/>
          </w:tcPr>
          <w:p>
            <w:pPr>
              <w:pStyle w:val="TableParagraph"/>
              <w:spacing w:before="63"/>
              <w:ind w:left="126" w:right="127"/>
              <w:jc w:val="center"/>
              <w:rPr>
                <w:sz w:val="16"/>
              </w:rPr>
            </w:pPr>
            <w:r>
              <w:rPr>
                <w:color w:val="231F20"/>
                <w:w w:val="85"/>
                <w:sz w:val="16"/>
              </w:rPr>
              <w:t>01</w:t>
            </w:r>
          </w:p>
        </w:tc>
        <w:tc>
          <w:tcPr>
            <w:tcW w:w="1688" w:type="dxa"/>
            <w:tcBorders>
              <w:right w:val="double" w:sz="2" w:space="0" w:color="231F20"/>
            </w:tcBorders>
          </w:tcPr>
          <w:p>
            <w:pPr>
              <w:pStyle w:val="TableParagraph"/>
              <w:spacing w:line="161" w:lineRule="exact"/>
              <w:ind w:left="86" w:right="84"/>
              <w:jc w:val="center"/>
              <w:rPr>
                <w:sz w:val="16"/>
              </w:rPr>
            </w:pPr>
            <w:r>
              <w:rPr>
                <w:color w:val="231F20"/>
                <w:w w:val="75"/>
                <w:sz w:val="16"/>
              </w:rPr>
              <w:t>Procuración de Justicia</w:t>
            </w:r>
          </w:p>
          <w:p>
            <w:pPr>
              <w:pStyle w:val="TableParagraph"/>
              <w:spacing w:line="191" w:lineRule="exact"/>
              <w:ind w:left="86" w:right="84"/>
              <w:jc w:val="center"/>
              <w:rPr>
                <w:sz w:val="16"/>
              </w:rPr>
            </w:pPr>
            <w:r>
              <w:rPr>
                <w:color w:val="231F20"/>
                <w:w w:val="85"/>
                <w:sz w:val="16"/>
              </w:rPr>
              <w:t>Municipal</w:t>
            </w:r>
          </w:p>
        </w:tc>
      </w:tr>
      <w:tr>
        <w:trPr>
          <w:trHeight w:val="322" w:hRule="exact"/>
        </w:trPr>
        <w:tc>
          <w:tcPr>
            <w:tcW w:w="442" w:type="dxa"/>
            <w:vMerge/>
            <w:tcBorders>
              <w:left w:val="double" w:sz="2" w:space="0" w:color="231F20"/>
            </w:tcBorders>
            <w:textDirection w:val="btLr"/>
          </w:tcPr>
          <w:p>
            <w:pPr/>
          </w:p>
        </w:tc>
        <w:tc>
          <w:tcPr>
            <w:tcW w:w="2289" w:type="dxa"/>
            <w:vMerge/>
          </w:tcPr>
          <w:p>
            <w:pPr/>
          </w:p>
        </w:tc>
        <w:tc>
          <w:tcPr>
            <w:tcW w:w="2635" w:type="dxa"/>
          </w:tcPr>
          <w:p>
            <w:pPr>
              <w:pStyle w:val="TableParagraph"/>
              <w:spacing w:line="161" w:lineRule="exact"/>
              <w:ind w:left="62" w:right="62"/>
              <w:jc w:val="center"/>
              <w:rPr>
                <w:sz w:val="16"/>
              </w:rPr>
            </w:pPr>
            <w:r>
              <w:rPr>
                <w:color w:val="231F20"/>
                <w:w w:val="80"/>
                <w:sz w:val="16"/>
              </w:rPr>
              <w:t>Garantizar el pleno respeto a los derechos</w:t>
            </w:r>
          </w:p>
          <w:p>
            <w:pPr>
              <w:pStyle w:val="TableParagraph"/>
              <w:spacing w:line="191" w:lineRule="exact"/>
              <w:ind w:left="62" w:right="62"/>
              <w:jc w:val="center"/>
              <w:rPr>
                <w:sz w:val="16"/>
              </w:rPr>
            </w:pPr>
            <w:r>
              <w:rPr>
                <w:color w:val="231F20"/>
                <w:w w:val="85"/>
                <w:sz w:val="16"/>
              </w:rPr>
              <w:t>humanos.</w:t>
            </w:r>
          </w:p>
        </w:tc>
        <w:tc>
          <w:tcPr>
            <w:tcW w:w="448" w:type="dxa"/>
          </w:tcPr>
          <w:p>
            <w:pPr>
              <w:pStyle w:val="TableParagraph"/>
              <w:spacing w:before="63"/>
              <w:ind w:left="128" w:right="128"/>
              <w:jc w:val="center"/>
              <w:rPr>
                <w:sz w:val="16"/>
              </w:rPr>
            </w:pPr>
            <w:r>
              <w:rPr>
                <w:color w:val="231F20"/>
                <w:w w:val="85"/>
                <w:sz w:val="16"/>
              </w:rPr>
              <w:t>03</w:t>
            </w:r>
          </w:p>
        </w:tc>
        <w:tc>
          <w:tcPr>
            <w:tcW w:w="442" w:type="dxa"/>
          </w:tcPr>
          <w:p>
            <w:pPr>
              <w:pStyle w:val="TableParagraph"/>
              <w:spacing w:before="63"/>
              <w:ind w:left="126" w:right="126"/>
              <w:jc w:val="center"/>
              <w:rPr>
                <w:sz w:val="16"/>
              </w:rPr>
            </w:pPr>
            <w:r>
              <w:rPr>
                <w:color w:val="231F20"/>
                <w:w w:val="85"/>
                <w:sz w:val="16"/>
              </w:rPr>
              <w:t>02</w:t>
            </w:r>
          </w:p>
        </w:tc>
        <w:tc>
          <w:tcPr>
            <w:tcW w:w="1688" w:type="dxa"/>
            <w:tcBorders>
              <w:right w:val="double" w:sz="2" w:space="0" w:color="231F20"/>
            </w:tcBorders>
          </w:tcPr>
          <w:p>
            <w:pPr>
              <w:pStyle w:val="TableParagraph"/>
              <w:spacing w:before="63"/>
              <w:ind w:left="86" w:right="84"/>
              <w:jc w:val="center"/>
              <w:rPr>
                <w:sz w:val="16"/>
              </w:rPr>
            </w:pPr>
            <w:r>
              <w:rPr>
                <w:color w:val="231F20"/>
                <w:w w:val="75"/>
                <w:sz w:val="16"/>
              </w:rPr>
              <w:t>Derechos Humanos</w:t>
            </w:r>
          </w:p>
        </w:tc>
      </w:tr>
      <w:tr>
        <w:trPr>
          <w:trHeight w:val="1674" w:hRule="exact"/>
        </w:trPr>
        <w:tc>
          <w:tcPr>
            <w:tcW w:w="442" w:type="dxa"/>
            <w:vMerge/>
            <w:tcBorders>
              <w:left w:val="double" w:sz="2" w:space="0" w:color="231F20"/>
            </w:tcBorders>
            <w:textDirection w:val="btLr"/>
          </w:tcPr>
          <w:p>
            <w:pPr/>
          </w:p>
        </w:tc>
        <w:tc>
          <w:tcPr>
            <w:tcW w:w="2289" w:type="dxa"/>
            <w:vMerge w:val="restart"/>
          </w:tcPr>
          <w:p>
            <w:pPr>
              <w:pStyle w:val="TableParagraph"/>
              <w:spacing w:line="161" w:lineRule="exact"/>
              <w:ind w:left="58" w:right="58"/>
              <w:jc w:val="center"/>
              <w:rPr>
                <w:sz w:val="16"/>
              </w:rPr>
            </w:pPr>
            <w:r>
              <w:rPr>
                <w:color w:val="231F20"/>
                <w:w w:val="75"/>
                <w:sz w:val="16"/>
              </w:rPr>
              <w:t>Diseñar un nuevo marco estratégico de</w:t>
            </w:r>
          </w:p>
          <w:p>
            <w:pPr>
              <w:pStyle w:val="TableParagraph"/>
              <w:spacing w:line="235" w:lineRule="auto" w:before="1"/>
              <w:ind w:left="135" w:right="133" w:hanging="1"/>
              <w:jc w:val="center"/>
              <w:rPr>
                <w:sz w:val="16"/>
              </w:rPr>
            </w:pPr>
            <w:r>
              <w:rPr>
                <w:color w:val="231F20"/>
                <w:w w:val="80"/>
                <w:sz w:val="16"/>
              </w:rPr>
              <w:t>seguridad</w:t>
            </w:r>
            <w:r>
              <w:rPr>
                <w:color w:val="231F20"/>
                <w:spacing w:val="-15"/>
                <w:w w:val="80"/>
                <w:sz w:val="16"/>
              </w:rPr>
              <w:t> </w:t>
            </w:r>
            <w:r>
              <w:rPr>
                <w:color w:val="231F20"/>
                <w:w w:val="80"/>
                <w:sz w:val="16"/>
              </w:rPr>
              <w:t>nacional,</w:t>
            </w:r>
            <w:r>
              <w:rPr>
                <w:color w:val="231F20"/>
                <w:spacing w:val="-15"/>
                <w:w w:val="80"/>
                <w:sz w:val="16"/>
              </w:rPr>
              <w:t> </w:t>
            </w:r>
            <w:r>
              <w:rPr>
                <w:color w:val="231F20"/>
                <w:w w:val="80"/>
                <w:sz w:val="16"/>
              </w:rPr>
              <w:t>en</w:t>
            </w:r>
            <w:r>
              <w:rPr>
                <w:color w:val="231F20"/>
                <w:spacing w:val="-15"/>
                <w:w w:val="80"/>
                <w:sz w:val="16"/>
              </w:rPr>
              <w:t> </w:t>
            </w:r>
            <w:r>
              <w:rPr>
                <w:color w:val="231F20"/>
                <w:w w:val="80"/>
                <w:sz w:val="16"/>
              </w:rPr>
              <w:t>el</w:t>
            </w:r>
            <w:r>
              <w:rPr>
                <w:color w:val="231F20"/>
                <w:spacing w:val="-15"/>
                <w:w w:val="80"/>
                <w:sz w:val="16"/>
              </w:rPr>
              <w:t> </w:t>
            </w:r>
            <w:r>
              <w:rPr>
                <w:color w:val="231F20"/>
                <w:w w:val="80"/>
                <w:sz w:val="16"/>
              </w:rPr>
              <w:t>contexto</w:t>
            </w:r>
            <w:r>
              <w:rPr>
                <w:color w:val="231F20"/>
                <w:spacing w:val="-15"/>
                <w:w w:val="80"/>
                <w:sz w:val="16"/>
              </w:rPr>
              <w:t> </w:t>
            </w:r>
            <w:r>
              <w:rPr>
                <w:color w:val="231F20"/>
                <w:w w:val="80"/>
                <w:sz w:val="16"/>
              </w:rPr>
              <w:t>de</w:t>
            </w:r>
            <w:r>
              <w:rPr>
                <w:color w:val="231F20"/>
                <w:spacing w:val="-15"/>
                <w:w w:val="80"/>
                <w:sz w:val="16"/>
              </w:rPr>
              <w:t> </w:t>
            </w:r>
            <w:r>
              <w:rPr>
                <w:color w:val="231F20"/>
                <w:w w:val="80"/>
                <w:sz w:val="16"/>
              </w:rPr>
              <w:t>la gobernabilidad</w:t>
            </w:r>
            <w:r>
              <w:rPr>
                <w:color w:val="231F20"/>
                <w:spacing w:val="-21"/>
                <w:w w:val="80"/>
                <w:sz w:val="16"/>
              </w:rPr>
              <w:t> </w:t>
            </w:r>
            <w:r>
              <w:rPr>
                <w:color w:val="231F20"/>
                <w:w w:val="80"/>
                <w:sz w:val="16"/>
              </w:rPr>
              <w:t>democrática</w:t>
            </w:r>
            <w:r>
              <w:rPr>
                <w:color w:val="231F20"/>
                <w:spacing w:val="-21"/>
                <w:w w:val="80"/>
                <w:sz w:val="16"/>
              </w:rPr>
              <w:t> </w:t>
            </w:r>
            <w:r>
              <w:rPr>
                <w:color w:val="231F20"/>
                <w:w w:val="80"/>
                <w:sz w:val="16"/>
              </w:rPr>
              <w:t>y</w:t>
            </w:r>
            <w:r>
              <w:rPr>
                <w:color w:val="231F20"/>
                <w:spacing w:val="-21"/>
                <w:w w:val="80"/>
                <w:sz w:val="16"/>
              </w:rPr>
              <w:t> </w:t>
            </w:r>
            <w:r>
              <w:rPr>
                <w:color w:val="231F20"/>
                <w:w w:val="80"/>
                <w:sz w:val="16"/>
              </w:rPr>
              <w:t>del</w:t>
            </w:r>
            <w:r>
              <w:rPr>
                <w:color w:val="231F20"/>
                <w:spacing w:val="-21"/>
                <w:w w:val="80"/>
                <w:sz w:val="16"/>
              </w:rPr>
              <w:t> </w:t>
            </w:r>
            <w:r>
              <w:rPr>
                <w:color w:val="231F20"/>
                <w:w w:val="80"/>
                <w:sz w:val="16"/>
              </w:rPr>
              <w:t>orden </w:t>
            </w:r>
            <w:r>
              <w:rPr>
                <w:color w:val="231F20"/>
                <w:w w:val="85"/>
                <w:sz w:val="16"/>
              </w:rPr>
              <w:t>constitucional.</w:t>
            </w:r>
          </w:p>
          <w:p>
            <w:pPr>
              <w:pStyle w:val="TableParagraph"/>
              <w:spacing w:line="235" w:lineRule="auto"/>
              <w:ind w:left="59" w:right="58"/>
              <w:jc w:val="center"/>
              <w:rPr>
                <w:sz w:val="16"/>
              </w:rPr>
            </w:pPr>
            <w:r>
              <w:rPr>
                <w:color w:val="231F20"/>
                <w:w w:val="80"/>
                <w:sz w:val="16"/>
              </w:rPr>
              <w:t>Garantizar la seguridad pública para la </w:t>
            </w:r>
            <w:r>
              <w:rPr>
                <w:color w:val="231F20"/>
                <w:w w:val="75"/>
                <w:sz w:val="16"/>
              </w:rPr>
              <w:t>tranquilidad  ciudadana.</w:t>
            </w:r>
          </w:p>
          <w:p>
            <w:pPr>
              <w:pStyle w:val="TableParagraph"/>
              <w:spacing w:line="235" w:lineRule="auto"/>
              <w:ind w:left="73" w:right="71" w:firstLine="96"/>
              <w:jc w:val="both"/>
              <w:rPr>
                <w:sz w:val="16"/>
              </w:rPr>
            </w:pPr>
            <w:r>
              <w:rPr>
                <w:color w:val="231F20"/>
                <w:w w:val="80"/>
                <w:sz w:val="16"/>
              </w:rPr>
              <w:t>Fomentar la capacidad del Estado para </w:t>
            </w:r>
            <w:r>
              <w:rPr>
                <w:color w:val="231F20"/>
                <w:w w:val="85"/>
                <w:sz w:val="16"/>
              </w:rPr>
              <w:t>conducir y regular los fenómenos que afectan</w:t>
            </w:r>
            <w:r>
              <w:rPr>
                <w:color w:val="231F20"/>
                <w:spacing w:val="-20"/>
                <w:w w:val="85"/>
                <w:sz w:val="16"/>
              </w:rPr>
              <w:t> </w:t>
            </w:r>
            <w:r>
              <w:rPr>
                <w:color w:val="231F20"/>
                <w:w w:val="85"/>
                <w:sz w:val="16"/>
              </w:rPr>
              <w:t>a</w:t>
            </w:r>
            <w:r>
              <w:rPr>
                <w:color w:val="231F20"/>
                <w:spacing w:val="-20"/>
                <w:w w:val="85"/>
                <w:sz w:val="16"/>
              </w:rPr>
              <w:t> </w:t>
            </w:r>
            <w:r>
              <w:rPr>
                <w:color w:val="231F20"/>
                <w:w w:val="85"/>
                <w:sz w:val="16"/>
              </w:rPr>
              <w:t>la</w:t>
            </w:r>
            <w:r>
              <w:rPr>
                <w:color w:val="231F20"/>
                <w:spacing w:val="-20"/>
                <w:w w:val="85"/>
                <w:sz w:val="16"/>
              </w:rPr>
              <w:t> </w:t>
            </w:r>
            <w:r>
              <w:rPr>
                <w:color w:val="231F20"/>
                <w:w w:val="85"/>
                <w:sz w:val="16"/>
              </w:rPr>
              <w:t>población</w:t>
            </w:r>
            <w:r>
              <w:rPr>
                <w:color w:val="231F20"/>
                <w:spacing w:val="-20"/>
                <w:w w:val="85"/>
                <w:sz w:val="16"/>
              </w:rPr>
              <w:t> </w:t>
            </w:r>
            <w:r>
              <w:rPr>
                <w:color w:val="231F20"/>
                <w:w w:val="85"/>
                <w:sz w:val="16"/>
              </w:rPr>
              <w:t>en</w:t>
            </w:r>
            <w:r>
              <w:rPr>
                <w:color w:val="231F20"/>
                <w:spacing w:val="-20"/>
                <w:w w:val="85"/>
                <w:sz w:val="16"/>
              </w:rPr>
              <w:t> </w:t>
            </w:r>
            <w:r>
              <w:rPr>
                <w:color w:val="231F20"/>
                <w:w w:val="85"/>
                <w:sz w:val="16"/>
              </w:rPr>
              <w:t>cuanto</w:t>
            </w:r>
            <w:r>
              <w:rPr>
                <w:color w:val="231F20"/>
                <w:spacing w:val="-20"/>
                <w:w w:val="85"/>
                <w:sz w:val="16"/>
              </w:rPr>
              <w:t> </w:t>
            </w:r>
            <w:r>
              <w:rPr>
                <w:color w:val="231F20"/>
                <w:w w:val="85"/>
                <w:sz w:val="16"/>
              </w:rPr>
              <w:t>a</w:t>
            </w:r>
            <w:r>
              <w:rPr>
                <w:color w:val="231F20"/>
                <w:spacing w:val="-20"/>
                <w:w w:val="85"/>
                <w:sz w:val="16"/>
              </w:rPr>
              <w:t> </w:t>
            </w:r>
            <w:r>
              <w:rPr>
                <w:color w:val="231F20"/>
                <w:w w:val="85"/>
                <w:sz w:val="16"/>
              </w:rPr>
              <w:t>su</w:t>
            </w:r>
            <w:r>
              <w:rPr>
                <w:color w:val="231F20"/>
                <w:spacing w:val="-20"/>
                <w:w w:val="85"/>
                <w:sz w:val="16"/>
              </w:rPr>
              <w:t> </w:t>
            </w:r>
            <w:r>
              <w:rPr>
                <w:color w:val="231F20"/>
                <w:w w:val="85"/>
                <w:sz w:val="16"/>
              </w:rPr>
              <w:t>ta- </w:t>
            </w:r>
            <w:r>
              <w:rPr>
                <w:color w:val="231F20"/>
                <w:w w:val="75"/>
                <w:sz w:val="16"/>
              </w:rPr>
              <w:t>maño, dinámica, estructura y </w:t>
            </w:r>
            <w:r>
              <w:rPr>
                <w:color w:val="231F20"/>
                <w:spacing w:val="22"/>
                <w:w w:val="75"/>
                <w:sz w:val="16"/>
              </w:rPr>
              <w:t> </w:t>
            </w:r>
            <w:r>
              <w:rPr>
                <w:color w:val="231F20"/>
                <w:w w:val="75"/>
                <w:sz w:val="16"/>
              </w:rPr>
              <w:t>distribución.</w:t>
            </w:r>
          </w:p>
        </w:tc>
        <w:tc>
          <w:tcPr>
            <w:tcW w:w="2635" w:type="dxa"/>
          </w:tcPr>
          <w:p>
            <w:pPr>
              <w:pStyle w:val="TableParagraph"/>
              <w:ind w:left="0"/>
              <w:rPr>
                <w:rFonts w:ascii="Times New Roman"/>
                <w:b/>
                <w:sz w:val="16"/>
              </w:rPr>
            </w:pPr>
          </w:p>
          <w:p>
            <w:pPr>
              <w:pStyle w:val="TableParagraph"/>
              <w:ind w:left="0"/>
              <w:rPr>
                <w:rFonts w:ascii="Times New Roman"/>
                <w:b/>
                <w:sz w:val="16"/>
              </w:rPr>
            </w:pPr>
          </w:p>
          <w:p>
            <w:pPr>
              <w:pStyle w:val="TableParagraph"/>
              <w:spacing w:before="6"/>
              <w:ind w:left="0"/>
              <w:rPr>
                <w:rFonts w:ascii="Times New Roman"/>
                <w:b/>
                <w:sz w:val="15"/>
              </w:rPr>
            </w:pPr>
          </w:p>
          <w:p>
            <w:pPr>
              <w:pStyle w:val="TableParagraph"/>
              <w:spacing w:line="192" w:lineRule="exact"/>
              <w:ind w:left="65" w:right="62"/>
              <w:jc w:val="center"/>
              <w:rPr>
                <w:sz w:val="16"/>
              </w:rPr>
            </w:pPr>
            <w:r>
              <w:rPr>
                <w:color w:val="231F20"/>
                <w:w w:val="80"/>
                <w:sz w:val="16"/>
              </w:rPr>
              <w:t>Alcanzar un nivel de seguridad pública que garantice la integridad física y el patrimonio de </w:t>
            </w:r>
            <w:r>
              <w:rPr>
                <w:color w:val="231F20"/>
                <w:w w:val="75"/>
                <w:sz w:val="16"/>
              </w:rPr>
              <w:t>las personas.</w:t>
            </w:r>
          </w:p>
        </w:tc>
        <w:tc>
          <w:tcPr>
            <w:tcW w:w="448" w:type="dxa"/>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4"/>
              <w:ind w:left="0"/>
              <w:rPr>
                <w:rFonts w:ascii="Times New Roman"/>
                <w:b/>
                <w:sz w:val="16"/>
              </w:rPr>
            </w:pPr>
          </w:p>
          <w:p>
            <w:pPr>
              <w:pStyle w:val="TableParagraph"/>
              <w:ind w:left="129" w:right="125"/>
              <w:jc w:val="center"/>
              <w:rPr>
                <w:sz w:val="16"/>
              </w:rPr>
            </w:pPr>
            <w:r>
              <w:rPr>
                <w:color w:val="231F20"/>
                <w:w w:val="85"/>
                <w:sz w:val="16"/>
              </w:rPr>
              <w:t>04</w:t>
            </w:r>
          </w:p>
        </w:tc>
        <w:tc>
          <w:tcPr>
            <w:tcW w:w="442" w:type="dxa"/>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4"/>
              <w:ind w:left="0"/>
              <w:rPr>
                <w:rFonts w:ascii="Times New Roman"/>
                <w:b/>
                <w:sz w:val="16"/>
              </w:rPr>
            </w:pPr>
          </w:p>
          <w:p>
            <w:pPr>
              <w:pStyle w:val="TableParagraph"/>
              <w:ind w:left="126" w:right="127"/>
              <w:jc w:val="center"/>
              <w:rPr>
                <w:sz w:val="16"/>
              </w:rPr>
            </w:pPr>
            <w:r>
              <w:rPr>
                <w:color w:val="231F20"/>
                <w:w w:val="85"/>
                <w:sz w:val="16"/>
              </w:rPr>
              <w:t>01</w:t>
            </w:r>
          </w:p>
        </w:tc>
        <w:tc>
          <w:tcPr>
            <w:tcW w:w="1688" w:type="dxa"/>
            <w:tcBorders>
              <w:right w:val="double" w:sz="2" w:space="0" w:color="231F2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4"/>
              <w:ind w:left="0"/>
              <w:rPr>
                <w:rFonts w:ascii="Times New Roman"/>
                <w:b/>
                <w:sz w:val="16"/>
              </w:rPr>
            </w:pPr>
          </w:p>
          <w:p>
            <w:pPr>
              <w:pStyle w:val="TableParagraph"/>
              <w:ind w:left="86" w:right="84"/>
              <w:jc w:val="center"/>
              <w:rPr>
                <w:sz w:val="16"/>
              </w:rPr>
            </w:pPr>
            <w:r>
              <w:rPr>
                <w:color w:val="231F20"/>
                <w:w w:val="80"/>
                <w:sz w:val="16"/>
              </w:rPr>
              <w:t>Seguridad Pública y Transito</w:t>
            </w:r>
          </w:p>
        </w:tc>
      </w:tr>
      <w:tr>
        <w:trPr>
          <w:trHeight w:val="322" w:hRule="exact"/>
        </w:trPr>
        <w:tc>
          <w:tcPr>
            <w:tcW w:w="442" w:type="dxa"/>
            <w:vMerge/>
            <w:tcBorders>
              <w:left w:val="double" w:sz="2" w:space="0" w:color="231F20"/>
            </w:tcBorders>
            <w:textDirection w:val="btLr"/>
          </w:tcPr>
          <w:p>
            <w:pPr/>
          </w:p>
        </w:tc>
        <w:tc>
          <w:tcPr>
            <w:tcW w:w="2289" w:type="dxa"/>
            <w:vMerge/>
          </w:tcPr>
          <w:p>
            <w:pPr/>
          </w:p>
        </w:tc>
        <w:tc>
          <w:tcPr>
            <w:tcW w:w="2635" w:type="dxa"/>
          </w:tcPr>
          <w:p>
            <w:pPr>
              <w:pStyle w:val="TableParagraph"/>
              <w:spacing w:line="161" w:lineRule="exact"/>
              <w:ind w:left="62" w:right="62"/>
              <w:jc w:val="center"/>
              <w:rPr>
                <w:sz w:val="16"/>
              </w:rPr>
            </w:pPr>
            <w:r>
              <w:rPr>
                <w:color w:val="231F20"/>
                <w:w w:val="80"/>
                <w:sz w:val="16"/>
              </w:rPr>
              <w:t>Proteger a las comunidades de riesgos y desas-</w:t>
            </w:r>
          </w:p>
          <w:p>
            <w:pPr>
              <w:pStyle w:val="TableParagraph"/>
              <w:spacing w:line="191" w:lineRule="exact"/>
              <w:ind w:left="62" w:right="62"/>
              <w:jc w:val="center"/>
              <w:rPr>
                <w:sz w:val="16"/>
              </w:rPr>
            </w:pPr>
            <w:r>
              <w:rPr>
                <w:color w:val="231F20"/>
                <w:w w:val="75"/>
                <w:sz w:val="16"/>
              </w:rPr>
              <w:t>tres naturales, o siniestros y accidentes.</w:t>
            </w:r>
          </w:p>
        </w:tc>
        <w:tc>
          <w:tcPr>
            <w:tcW w:w="448" w:type="dxa"/>
          </w:tcPr>
          <w:p>
            <w:pPr>
              <w:pStyle w:val="TableParagraph"/>
              <w:spacing w:before="64"/>
              <w:ind w:left="129" w:right="125"/>
              <w:jc w:val="center"/>
              <w:rPr>
                <w:sz w:val="16"/>
              </w:rPr>
            </w:pPr>
            <w:r>
              <w:rPr>
                <w:color w:val="231F20"/>
                <w:w w:val="85"/>
                <w:sz w:val="16"/>
              </w:rPr>
              <w:t>04</w:t>
            </w:r>
          </w:p>
        </w:tc>
        <w:tc>
          <w:tcPr>
            <w:tcW w:w="442" w:type="dxa"/>
          </w:tcPr>
          <w:p>
            <w:pPr>
              <w:pStyle w:val="TableParagraph"/>
              <w:spacing w:before="64"/>
              <w:ind w:left="126" w:right="126"/>
              <w:jc w:val="center"/>
              <w:rPr>
                <w:sz w:val="16"/>
              </w:rPr>
            </w:pPr>
            <w:r>
              <w:rPr>
                <w:color w:val="231F20"/>
                <w:w w:val="85"/>
                <w:sz w:val="16"/>
              </w:rPr>
              <w:t>02</w:t>
            </w:r>
          </w:p>
        </w:tc>
        <w:tc>
          <w:tcPr>
            <w:tcW w:w="1688" w:type="dxa"/>
            <w:tcBorders>
              <w:right w:val="double" w:sz="2" w:space="0" w:color="231F20"/>
            </w:tcBorders>
          </w:tcPr>
          <w:p>
            <w:pPr>
              <w:pStyle w:val="TableParagraph"/>
              <w:spacing w:before="64"/>
              <w:ind w:left="86" w:right="84"/>
              <w:jc w:val="center"/>
              <w:rPr>
                <w:sz w:val="16"/>
              </w:rPr>
            </w:pPr>
            <w:r>
              <w:rPr>
                <w:color w:val="231F20"/>
                <w:w w:val="75"/>
                <w:sz w:val="16"/>
              </w:rPr>
              <w:t>Protección Civil</w:t>
            </w:r>
          </w:p>
        </w:tc>
      </w:tr>
    </w:tbl>
    <w:p>
      <w:pPr>
        <w:pStyle w:val="BodyText"/>
        <w:spacing w:before="3"/>
        <w:rPr>
          <w:b/>
          <w:sz w:val="7"/>
        </w:rPr>
      </w:pPr>
    </w:p>
    <w:p>
      <w:pPr>
        <w:spacing w:before="74"/>
        <w:ind w:left="4955" w:right="-3" w:firstLine="0"/>
        <w:jc w:val="left"/>
        <w:rPr>
          <w:rFonts w:ascii="Calibri"/>
          <w:sz w:val="16"/>
        </w:rPr>
      </w:pPr>
      <w:r>
        <w:rPr>
          <w:rFonts w:ascii="Calibri"/>
          <w:color w:val="231F20"/>
          <w:sz w:val="16"/>
        </w:rPr>
        <w:t>FUENTE: Plan de Desarrollo Municipal (2007: </w:t>
      </w:r>
      <w:r>
        <w:rPr>
          <w:rFonts w:ascii="Calibri"/>
          <w:color w:val="231F20"/>
          <w:spacing w:val="-8"/>
          <w:sz w:val="16"/>
        </w:rPr>
        <w:t>113)</w:t>
      </w:r>
    </w:p>
    <w:p>
      <w:pPr>
        <w:pStyle w:val="BodyText"/>
        <w:rPr>
          <w:rFonts w:ascii="Calibri"/>
          <w:sz w:val="16"/>
        </w:rPr>
      </w:pPr>
    </w:p>
    <w:p>
      <w:pPr>
        <w:pStyle w:val="BodyText"/>
        <w:spacing w:before="9"/>
        <w:rPr>
          <w:rFonts w:ascii="Calibri"/>
          <w:sz w:val="12"/>
        </w:rPr>
      </w:pPr>
    </w:p>
    <w:p>
      <w:pPr>
        <w:pStyle w:val="BodyText"/>
        <w:spacing w:line="285" w:lineRule="auto"/>
        <w:ind w:left="110" w:right="127"/>
        <w:jc w:val="both"/>
      </w:pPr>
      <w:r>
        <w:rPr>
          <w:color w:val="231F20"/>
          <w:w w:val="105"/>
        </w:rPr>
        <w:t>Como apreciamos en el cuadro 5 </w:t>
      </w:r>
      <w:r>
        <w:rPr>
          <w:color w:val="231F20"/>
          <w:spacing w:val="-3"/>
          <w:w w:val="105"/>
        </w:rPr>
        <w:t>referente </w:t>
      </w:r>
      <w:r>
        <w:rPr>
          <w:color w:val="231F20"/>
          <w:w w:val="105"/>
        </w:rPr>
        <w:t>a la seguridad pública, un tema prioritario para el Plan Nacional y también de importancia en el ámbito municipal debido a que en</w:t>
      </w:r>
      <w:r>
        <w:rPr>
          <w:color w:val="231F20"/>
          <w:spacing w:val="-7"/>
          <w:w w:val="105"/>
        </w:rPr>
        <w:t> </w:t>
      </w:r>
      <w:r>
        <w:rPr>
          <w:color w:val="231F20"/>
          <w:spacing w:val="-4"/>
          <w:w w:val="105"/>
        </w:rPr>
        <w:t>Tejupilco</w:t>
      </w:r>
      <w:r>
        <w:rPr>
          <w:color w:val="231F20"/>
          <w:spacing w:val="-7"/>
          <w:w w:val="105"/>
        </w:rPr>
        <w:t> </w:t>
      </w:r>
      <w:r>
        <w:rPr>
          <w:color w:val="231F20"/>
          <w:w w:val="105"/>
        </w:rPr>
        <w:t>existe</w:t>
      </w:r>
      <w:r>
        <w:rPr>
          <w:color w:val="231F20"/>
          <w:spacing w:val="-7"/>
          <w:w w:val="105"/>
        </w:rPr>
        <w:t> </w:t>
      </w:r>
      <w:r>
        <w:rPr>
          <w:color w:val="231F20"/>
          <w:w w:val="105"/>
        </w:rPr>
        <w:t>un</w:t>
      </w:r>
      <w:r>
        <w:rPr>
          <w:color w:val="231F20"/>
          <w:spacing w:val="-7"/>
          <w:w w:val="105"/>
        </w:rPr>
        <w:t> </w:t>
      </w:r>
      <w:r>
        <w:rPr>
          <w:color w:val="231F20"/>
          <w:w w:val="105"/>
        </w:rPr>
        <w:t>alto</w:t>
      </w:r>
      <w:r>
        <w:rPr>
          <w:color w:val="231F20"/>
          <w:spacing w:val="-7"/>
          <w:w w:val="105"/>
        </w:rPr>
        <w:t> </w:t>
      </w:r>
      <w:r>
        <w:rPr>
          <w:color w:val="231F20"/>
          <w:w w:val="105"/>
        </w:rPr>
        <w:t>grado</w:t>
      </w:r>
      <w:r>
        <w:rPr>
          <w:color w:val="231F20"/>
          <w:spacing w:val="-7"/>
          <w:w w:val="105"/>
        </w:rPr>
        <w:t> </w:t>
      </w:r>
      <w:r>
        <w:rPr>
          <w:color w:val="231F20"/>
          <w:w w:val="105"/>
        </w:rPr>
        <w:t>de</w:t>
      </w:r>
      <w:r>
        <w:rPr>
          <w:color w:val="231F20"/>
          <w:spacing w:val="-7"/>
          <w:w w:val="105"/>
        </w:rPr>
        <w:t> </w:t>
      </w:r>
      <w:r>
        <w:rPr>
          <w:color w:val="231F20"/>
          <w:w w:val="105"/>
        </w:rPr>
        <w:t>inseguridad,</w:t>
      </w:r>
      <w:r>
        <w:rPr>
          <w:color w:val="231F20"/>
          <w:spacing w:val="-7"/>
          <w:w w:val="105"/>
        </w:rPr>
        <w:t> </w:t>
      </w:r>
      <w:r>
        <w:rPr>
          <w:color w:val="231F20"/>
          <w:w w:val="105"/>
        </w:rPr>
        <w:t>se</w:t>
      </w:r>
      <w:r>
        <w:rPr>
          <w:color w:val="231F20"/>
          <w:spacing w:val="-7"/>
          <w:w w:val="105"/>
        </w:rPr>
        <w:t> </w:t>
      </w:r>
      <w:r>
        <w:rPr>
          <w:color w:val="231F20"/>
          <w:w w:val="105"/>
        </w:rPr>
        <w:t>garantiza</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tres</w:t>
      </w:r>
      <w:r>
        <w:rPr>
          <w:color w:val="231F20"/>
          <w:spacing w:val="-7"/>
          <w:w w:val="105"/>
        </w:rPr>
        <w:t> </w:t>
      </w:r>
      <w:r>
        <w:rPr>
          <w:color w:val="231F20"/>
          <w:w w:val="105"/>
        </w:rPr>
        <w:t>niveles</w:t>
      </w:r>
      <w:r>
        <w:rPr>
          <w:color w:val="231F20"/>
          <w:spacing w:val="-7"/>
          <w:w w:val="105"/>
        </w:rPr>
        <w:t> </w:t>
      </w:r>
      <w:r>
        <w:rPr>
          <w:color w:val="231F20"/>
          <w:w w:val="105"/>
        </w:rPr>
        <w:t>de gobierno</w:t>
      </w:r>
      <w:r>
        <w:rPr>
          <w:color w:val="231F20"/>
          <w:spacing w:val="-9"/>
          <w:w w:val="105"/>
        </w:rPr>
        <w:t> </w:t>
      </w:r>
      <w:r>
        <w:rPr>
          <w:color w:val="231F20"/>
          <w:w w:val="105"/>
        </w:rPr>
        <w:t>se</w:t>
      </w:r>
      <w:r>
        <w:rPr>
          <w:color w:val="231F20"/>
          <w:spacing w:val="-9"/>
          <w:w w:val="105"/>
        </w:rPr>
        <w:t> </w:t>
      </w:r>
      <w:r>
        <w:rPr>
          <w:color w:val="231F20"/>
          <w:w w:val="105"/>
        </w:rPr>
        <w:t>contemplen</w:t>
      </w:r>
      <w:r>
        <w:rPr>
          <w:color w:val="231F20"/>
          <w:spacing w:val="-9"/>
          <w:w w:val="105"/>
        </w:rPr>
        <w:t> </w:t>
      </w:r>
      <w:r>
        <w:rPr>
          <w:color w:val="231F20"/>
          <w:w w:val="105"/>
        </w:rPr>
        <w:t>aspectos</w:t>
      </w:r>
      <w:r>
        <w:rPr>
          <w:color w:val="231F20"/>
          <w:spacing w:val="-9"/>
          <w:w w:val="105"/>
        </w:rPr>
        <w:t> </w:t>
      </w:r>
      <w:r>
        <w:rPr>
          <w:color w:val="231F20"/>
          <w:w w:val="105"/>
        </w:rPr>
        <w:t>que</w:t>
      </w:r>
      <w:r>
        <w:rPr>
          <w:color w:val="231F20"/>
          <w:spacing w:val="-9"/>
          <w:w w:val="105"/>
        </w:rPr>
        <w:t> </w:t>
      </w:r>
      <w:r>
        <w:rPr>
          <w:color w:val="231F20"/>
          <w:w w:val="105"/>
        </w:rPr>
        <w:t>resultan</w:t>
      </w:r>
      <w:r>
        <w:rPr>
          <w:color w:val="231F20"/>
          <w:spacing w:val="-9"/>
          <w:w w:val="105"/>
        </w:rPr>
        <w:t> </w:t>
      </w:r>
      <w:r>
        <w:rPr>
          <w:color w:val="231F20"/>
          <w:w w:val="105"/>
        </w:rPr>
        <w:t>homogéneos</w:t>
      </w:r>
      <w:r>
        <w:rPr>
          <w:color w:val="231F20"/>
          <w:spacing w:val="-9"/>
          <w:w w:val="105"/>
        </w:rPr>
        <w:t> </w:t>
      </w:r>
      <w:r>
        <w:rPr>
          <w:color w:val="231F20"/>
          <w:w w:val="105"/>
        </w:rPr>
        <w:t>para</w:t>
      </w:r>
      <w:r>
        <w:rPr>
          <w:color w:val="231F20"/>
          <w:spacing w:val="-9"/>
          <w:w w:val="105"/>
        </w:rPr>
        <w:t> </w:t>
      </w:r>
      <w:r>
        <w:rPr>
          <w:color w:val="231F20"/>
          <w:w w:val="105"/>
        </w:rPr>
        <w:t>tratarlos.</w:t>
      </w:r>
    </w:p>
    <w:p>
      <w:pPr>
        <w:pStyle w:val="BodyText"/>
        <w:spacing w:before="1"/>
        <w:rPr>
          <w:sz w:val="26"/>
        </w:rPr>
      </w:pPr>
    </w:p>
    <w:p>
      <w:pPr>
        <w:pStyle w:val="BodyText"/>
        <w:spacing w:line="285" w:lineRule="auto"/>
        <w:ind w:left="110" w:right="127"/>
        <w:jc w:val="both"/>
      </w:pPr>
      <w:r>
        <w:rPr>
          <w:color w:val="231F20"/>
          <w:w w:val="105"/>
        </w:rPr>
        <w:t>La relación de correspondencia se aprecia de forma concreta en el ámbito municipal debido</w:t>
      </w:r>
      <w:r>
        <w:rPr>
          <w:color w:val="231F20"/>
          <w:spacing w:val="-11"/>
          <w:w w:val="105"/>
        </w:rPr>
        <w:t> </w:t>
      </w:r>
      <w:r>
        <w:rPr>
          <w:color w:val="231F20"/>
          <w:w w:val="105"/>
        </w:rPr>
        <w:t>a</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mencionan</w:t>
      </w:r>
      <w:r>
        <w:rPr>
          <w:color w:val="231F20"/>
          <w:spacing w:val="-11"/>
          <w:w w:val="105"/>
        </w:rPr>
        <w:t> </w:t>
      </w:r>
      <w:r>
        <w:rPr>
          <w:color w:val="231F20"/>
          <w:w w:val="105"/>
        </w:rPr>
        <w:t>los</w:t>
      </w:r>
      <w:r>
        <w:rPr>
          <w:color w:val="231F20"/>
          <w:spacing w:val="-11"/>
          <w:w w:val="105"/>
        </w:rPr>
        <w:t> </w:t>
      </w:r>
      <w:r>
        <w:rPr>
          <w:color w:val="231F20"/>
          <w:w w:val="105"/>
        </w:rPr>
        <w:t>programas</w:t>
      </w:r>
      <w:r>
        <w:rPr>
          <w:color w:val="231F20"/>
          <w:spacing w:val="-11"/>
          <w:w w:val="105"/>
        </w:rPr>
        <w:t> </w:t>
      </w:r>
      <w:r>
        <w:rPr>
          <w:color w:val="231F20"/>
          <w:w w:val="105"/>
        </w:rPr>
        <w:t>municipales</w:t>
      </w:r>
      <w:r>
        <w:rPr>
          <w:color w:val="231F20"/>
          <w:spacing w:val="-11"/>
          <w:w w:val="105"/>
        </w:rPr>
        <w:t> </w:t>
      </w:r>
      <w:r>
        <w:rPr>
          <w:color w:val="231F20"/>
          <w:w w:val="105"/>
        </w:rPr>
        <w:t>que</w:t>
      </w:r>
      <w:r>
        <w:rPr>
          <w:color w:val="231F20"/>
          <w:spacing w:val="-11"/>
          <w:w w:val="105"/>
        </w:rPr>
        <w:t> </w:t>
      </w:r>
      <w:r>
        <w:rPr>
          <w:color w:val="231F20"/>
          <w:w w:val="105"/>
        </w:rPr>
        <w:t>habrán</w:t>
      </w:r>
      <w:r>
        <w:rPr>
          <w:color w:val="231F20"/>
          <w:spacing w:val="-11"/>
          <w:w w:val="105"/>
        </w:rPr>
        <w:t> </w:t>
      </w:r>
      <w:r>
        <w:rPr>
          <w:color w:val="231F20"/>
          <w:w w:val="105"/>
        </w:rPr>
        <w:t>de</w:t>
      </w:r>
      <w:r>
        <w:rPr>
          <w:color w:val="231F20"/>
          <w:spacing w:val="-11"/>
          <w:w w:val="105"/>
        </w:rPr>
        <w:t> </w:t>
      </w:r>
      <w:r>
        <w:rPr>
          <w:color w:val="231F20"/>
          <w:w w:val="105"/>
        </w:rPr>
        <w:t>corresponder</w:t>
      </w:r>
      <w:r>
        <w:rPr>
          <w:color w:val="231F20"/>
          <w:spacing w:val="-11"/>
          <w:w w:val="105"/>
        </w:rPr>
        <w:t> </w:t>
      </w:r>
      <w:r>
        <w:rPr>
          <w:color w:val="231F20"/>
          <w:w w:val="105"/>
        </w:rPr>
        <w:t>a</w:t>
      </w:r>
      <w:r>
        <w:rPr>
          <w:color w:val="231F20"/>
          <w:spacing w:val="-11"/>
          <w:w w:val="105"/>
        </w:rPr>
        <w:t> </w:t>
      </w:r>
      <w:r>
        <w:rPr>
          <w:color w:val="231F20"/>
          <w:w w:val="105"/>
        </w:rPr>
        <w:t>la atención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identificados</w:t>
      </w:r>
      <w:r>
        <w:rPr>
          <w:color w:val="231F20"/>
          <w:spacing w:val="-9"/>
          <w:w w:val="105"/>
        </w:rPr>
        <w:t> </w:t>
      </w:r>
      <w:r>
        <w:rPr>
          <w:color w:val="231F20"/>
          <w:w w:val="105"/>
        </w:rPr>
        <w:t>tanto</w:t>
      </w:r>
      <w:r>
        <w:rPr>
          <w:color w:val="231F20"/>
          <w:spacing w:val="-9"/>
          <w:w w:val="105"/>
        </w:rPr>
        <w:t> </w:t>
      </w:r>
      <w:r>
        <w:rPr>
          <w:color w:val="231F20"/>
          <w:w w:val="105"/>
        </w:rPr>
        <w:t>a</w:t>
      </w:r>
      <w:r>
        <w:rPr>
          <w:color w:val="231F20"/>
          <w:spacing w:val="-9"/>
          <w:w w:val="105"/>
        </w:rPr>
        <w:t> </w:t>
      </w:r>
      <w:r>
        <w:rPr>
          <w:color w:val="231F20"/>
          <w:w w:val="105"/>
        </w:rPr>
        <w:t>nivel</w:t>
      </w:r>
      <w:r>
        <w:rPr>
          <w:color w:val="231F20"/>
          <w:spacing w:val="-9"/>
          <w:w w:val="105"/>
        </w:rPr>
        <w:t> </w:t>
      </w:r>
      <w:r>
        <w:rPr>
          <w:color w:val="231F20"/>
          <w:w w:val="105"/>
        </w:rPr>
        <w:t>estatal</w:t>
      </w:r>
      <w:r>
        <w:rPr>
          <w:color w:val="231F20"/>
          <w:spacing w:val="-9"/>
          <w:w w:val="105"/>
        </w:rPr>
        <w:t> </w:t>
      </w:r>
      <w:r>
        <w:rPr>
          <w:color w:val="231F20"/>
          <w:w w:val="105"/>
        </w:rPr>
        <w:t>como</w:t>
      </w:r>
      <w:r>
        <w:rPr>
          <w:color w:val="231F20"/>
          <w:spacing w:val="-9"/>
          <w:w w:val="105"/>
        </w:rPr>
        <w:t> </w:t>
      </w:r>
      <w:r>
        <w:rPr>
          <w:color w:val="231F20"/>
          <w:w w:val="105"/>
        </w:rPr>
        <w:t>nacional.</w:t>
      </w:r>
      <w:r>
        <w:rPr>
          <w:color w:val="231F20"/>
          <w:spacing w:val="-9"/>
          <w:w w:val="105"/>
        </w:rPr>
        <w:t> </w:t>
      </w:r>
      <w:r>
        <w:rPr>
          <w:color w:val="231F20"/>
          <w:w w:val="105"/>
        </w:rPr>
        <w:t>Si</w:t>
      </w:r>
      <w:r>
        <w:rPr>
          <w:color w:val="231F20"/>
          <w:spacing w:val="-9"/>
          <w:w w:val="105"/>
        </w:rPr>
        <w:t> </w:t>
      </w:r>
      <w:r>
        <w:rPr>
          <w:color w:val="231F20"/>
          <w:w w:val="105"/>
        </w:rPr>
        <w:t>bien</w:t>
      </w:r>
      <w:r>
        <w:rPr>
          <w:color w:val="231F20"/>
          <w:spacing w:val="-9"/>
          <w:w w:val="105"/>
        </w:rPr>
        <w:t> </w:t>
      </w:r>
      <w:r>
        <w:rPr>
          <w:color w:val="231F20"/>
          <w:w w:val="105"/>
        </w:rPr>
        <w:t>el</w:t>
      </w:r>
      <w:r>
        <w:rPr>
          <w:color w:val="231F20"/>
          <w:spacing w:val="-9"/>
          <w:w w:val="105"/>
        </w:rPr>
        <w:t> </w:t>
      </w:r>
      <w:r>
        <w:rPr>
          <w:color w:val="231F20"/>
          <w:w w:val="105"/>
        </w:rPr>
        <w:t>cuadro</w:t>
      </w:r>
      <w:r>
        <w:rPr>
          <w:color w:val="231F20"/>
          <w:spacing w:val="-9"/>
          <w:w w:val="105"/>
        </w:rPr>
        <w:t> </w:t>
      </w:r>
      <w:r>
        <w:rPr>
          <w:color w:val="231F20"/>
          <w:w w:val="105"/>
        </w:rPr>
        <w:t>5</w:t>
      </w:r>
      <w:r>
        <w:rPr>
          <w:color w:val="231F20"/>
          <w:spacing w:val="-9"/>
          <w:w w:val="105"/>
        </w:rPr>
        <w:t> </w:t>
      </w:r>
      <w:r>
        <w:rPr>
          <w:color w:val="231F20"/>
          <w:w w:val="105"/>
        </w:rPr>
        <w:t>no hace</w:t>
      </w:r>
      <w:r>
        <w:rPr>
          <w:color w:val="231F20"/>
          <w:spacing w:val="-7"/>
          <w:w w:val="105"/>
        </w:rPr>
        <w:t> </w:t>
      </w:r>
      <w:r>
        <w:rPr>
          <w:color w:val="231F20"/>
          <w:w w:val="105"/>
        </w:rPr>
        <w:t>mención</w:t>
      </w:r>
      <w:r>
        <w:rPr>
          <w:color w:val="231F20"/>
          <w:spacing w:val="-7"/>
          <w:w w:val="105"/>
        </w:rPr>
        <w:t> </w:t>
      </w:r>
      <w:r>
        <w:rPr>
          <w:color w:val="231F20"/>
          <w:w w:val="105"/>
        </w:rPr>
        <w:t>sobre</w:t>
      </w:r>
      <w:r>
        <w:rPr>
          <w:color w:val="231F20"/>
          <w:spacing w:val="-7"/>
          <w:w w:val="105"/>
        </w:rPr>
        <w:t> </w:t>
      </w:r>
      <w:r>
        <w:rPr>
          <w:color w:val="231F20"/>
          <w:w w:val="105"/>
        </w:rPr>
        <w:t>los</w:t>
      </w:r>
      <w:r>
        <w:rPr>
          <w:color w:val="231F20"/>
          <w:spacing w:val="-7"/>
          <w:w w:val="105"/>
        </w:rPr>
        <w:t> </w:t>
      </w:r>
      <w:r>
        <w:rPr>
          <w:color w:val="231F20"/>
          <w:w w:val="105"/>
        </w:rPr>
        <w:t>objetivos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pretenden</w:t>
      </w:r>
      <w:r>
        <w:rPr>
          <w:color w:val="231F20"/>
          <w:spacing w:val="-7"/>
          <w:w w:val="105"/>
        </w:rPr>
        <w:t> </w:t>
      </w:r>
      <w:r>
        <w:rPr>
          <w:color w:val="231F20"/>
          <w:w w:val="105"/>
        </w:rPr>
        <w:t>a</w:t>
      </w:r>
      <w:r>
        <w:rPr>
          <w:color w:val="231F20"/>
          <w:spacing w:val="-7"/>
          <w:w w:val="105"/>
        </w:rPr>
        <w:t> </w:t>
      </w:r>
      <w:r>
        <w:rPr>
          <w:color w:val="231F20"/>
          <w:w w:val="105"/>
        </w:rPr>
        <w:t>nivel</w:t>
      </w:r>
      <w:r>
        <w:rPr>
          <w:color w:val="231F20"/>
          <w:spacing w:val="-7"/>
          <w:w w:val="105"/>
        </w:rPr>
        <w:t> </w:t>
      </w:r>
      <w:r>
        <w:rPr>
          <w:color w:val="231F20"/>
          <w:w w:val="105"/>
        </w:rPr>
        <w:t>municipal,</w:t>
      </w:r>
      <w:r>
        <w:rPr>
          <w:color w:val="231F20"/>
          <w:spacing w:val="-7"/>
          <w:w w:val="105"/>
        </w:rPr>
        <w:t> </w:t>
      </w:r>
      <w:r>
        <w:rPr>
          <w:color w:val="231F20"/>
          <w:w w:val="105"/>
        </w:rPr>
        <w:t>es</w:t>
      </w:r>
      <w:r>
        <w:rPr>
          <w:color w:val="231F20"/>
          <w:spacing w:val="-7"/>
          <w:w w:val="105"/>
        </w:rPr>
        <w:t> </w:t>
      </w:r>
      <w:r>
        <w:rPr>
          <w:color w:val="231F20"/>
          <w:w w:val="105"/>
        </w:rPr>
        <w:t>suficiente</w:t>
      </w:r>
      <w:r>
        <w:rPr>
          <w:color w:val="231F20"/>
          <w:spacing w:val="-7"/>
          <w:w w:val="105"/>
        </w:rPr>
        <w:t> </w:t>
      </w:r>
      <w:r>
        <w:rPr>
          <w:color w:val="231F20"/>
          <w:w w:val="105"/>
        </w:rPr>
        <w:t>con los</w:t>
      </w:r>
      <w:r>
        <w:rPr>
          <w:color w:val="231F20"/>
          <w:spacing w:val="-12"/>
          <w:w w:val="105"/>
        </w:rPr>
        <w:t> </w:t>
      </w:r>
      <w:r>
        <w:rPr>
          <w:color w:val="231F20"/>
          <w:w w:val="105"/>
        </w:rPr>
        <w:t>programas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utilizan</w:t>
      </w:r>
      <w:r>
        <w:rPr>
          <w:color w:val="231F20"/>
          <w:spacing w:val="-12"/>
          <w:w w:val="105"/>
        </w:rPr>
        <w:t> </w:t>
      </w:r>
      <w:r>
        <w:rPr>
          <w:color w:val="231F20"/>
          <w:w w:val="105"/>
        </w:rPr>
        <w:t>a</w:t>
      </w:r>
      <w:r>
        <w:rPr>
          <w:color w:val="231F20"/>
          <w:spacing w:val="-12"/>
          <w:w w:val="105"/>
        </w:rPr>
        <w:t> </w:t>
      </w:r>
      <w:r>
        <w:rPr>
          <w:color w:val="231F20"/>
          <w:w w:val="105"/>
        </w:rPr>
        <w:t>nivel</w:t>
      </w:r>
      <w:r>
        <w:rPr>
          <w:color w:val="231F20"/>
          <w:spacing w:val="-12"/>
          <w:w w:val="105"/>
        </w:rPr>
        <w:t> </w:t>
      </w:r>
      <w:r>
        <w:rPr>
          <w:color w:val="231F20"/>
          <w:w w:val="105"/>
        </w:rPr>
        <w:t>municipal.</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before="36"/>
        <w:ind w:right="49"/>
        <w:jc w:val="center"/>
      </w:pPr>
      <w:r>
        <w:rPr>
          <w:color w:val="231F20"/>
          <w:w w:val="105"/>
        </w:rPr>
        <w:t>El cuadro 6 muestra la </w:t>
      </w:r>
      <w:r>
        <w:rPr>
          <w:color w:val="231F20"/>
          <w:spacing w:val="-4"/>
          <w:w w:val="105"/>
        </w:rPr>
        <w:t>correspondencia </w:t>
      </w:r>
      <w:r>
        <w:rPr>
          <w:color w:val="231F20"/>
          <w:spacing w:val="-3"/>
          <w:w w:val="105"/>
        </w:rPr>
        <w:t>del </w:t>
      </w:r>
      <w:r>
        <w:rPr>
          <w:color w:val="231F20"/>
          <w:w w:val="105"/>
        </w:rPr>
        <w:t>segundo pilar </w:t>
      </w:r>
      <w:r>
        <w:rPr>
          <w:color w:val="231F20"/>
          <w:spacing w:val="-4"/>
          <w:w w:val="105"/>
        </w:rPr>
        <w:t>referente </w:t>
      </w:r>
      <w:r>
        <w:rPr>
          <w:color w:val="231F20"/>
          <w:w w:val="105"/>
        </w:rPr>
        <w:t>a la Seguridad Social.</w:t>
      </w:r>
    </w:p>
    <w:p>
      <w:pPr>
        <w:pStyle w:val="BodyText"/>
        <w:spacing w:before="2"/>
        <w:rPr>
          <w:sz w:val="30"/>
        </w:rPr>
      </w:pPr>
    </w:p>
    <w:p>
      <w:pPr>
        <w:pStyle w:val="Heading5"/>
        <w:ind w:left="0" w:right="18"/>
        <w:jc w:val="center"/>
      </w:pPr>
      <w:r>
        <w:rPr>
          <w:color w:val="231F20"/>
          <w:w w:val="105"/>
        </w:rPr>
        <w:t>Cuadro 6</w:t>
      </w:r>
    </w:p>
    <w:p>
      <w:pPr>
        <w:spacing w:line="285" w:lineRule="auto" w:before="47"/>
        <w:ind w:left="695" w:right="714" w:firstLine="0"/>
        <w:jc w:val="center"/>
        <w:rPr>
          <w:b/>
          <w:sz w:val="22"/>
        </w:rPr>
      </w:pPr>
      <w:r>
        <w:rPr>
          <w:b/>
          <w:color w:val="231F20"/>
          <w:w w:val="105"/>
          <w:sz w:val="22"/>
        </w:rPr>
        <w:t>Relación</w:t>
      </w:r>
      <w:r>
        <w:rPr>
          <w:b/>
          <w:color w:val="231F20"/>
          <w:spacing w:val="-16"/>
          <w:w w:val="105"/>
          <w:sz w:val="22"/>
        </w:rPr>
        <w:t> </w:t>
      </w:r>
      <w:r>
        <w:rPr>
          <w:b/>
          <w:color w:val="231F20"/>
          <w:w w:val="105"/>
          <w:sz w:val="22"/>
        </w:rPr>
        <w:t>del</w:t>
      </w:r>
      <w:r>
        <w:rPr>
          <w:b/>
          <w:color w:val="231F20"/>
          <w:spacing w:val="-16"/>
          <w:w w:val="105"/>
          <w:sz w:val="22"/>
        </w:rPr>
        <w:t> </w:t>
      </w:r>
      <w:r>
        <w:rPr>
          <w:b/>
          <w:color w:val="231F20"/>
          <w:w w:val="105"/>
          <w:sz w:val="22"/>
        </w:rPr>
        <w:t>Pilar</w:t>
      </w:r>
      <w:r>
        <w:rPr>
          <w:b/>
          <w:color w:val="231F20"/>
          <w:spacing w:val="-16"/>
          <w:w w:val="105"/>
          <w:sz w:val="22"/>
        </w:rPr>
        <w:t> </w:t>
      </w:r>
      <w:r>
        <w:rPr>
          <w:b/>
          <w:color w:val="231F20"/>
          <w:w w:val="105"/>
          <w:sz w:val="22"/>
        </w:rPr>
        <w:t>Seguridad</w:t>
      </w:r>
      <w:r>
        <w:rPr>
          <w:b/>
          <w:color w:val="231F20"/>
          <w:spacing w:val="-16"/>
          <w:w w:val="105"/>
          <w:sz w:val="22"/>
        </w:rPr>
        <w:t> </w:t>
      </w:r>
      <w:r>
        <w:rPr>
          <w:b/>
          <w:color w:val="231F20"/>
          <w:w w:val="105"/>
          <w:sz w:val="22"/>
        </w:rPr>
        <w:t>Social</w:t>
      </w:r>
      <w:r>
        <w:rPr>
          <w:b/>
          <w:color w:val="231F20"/>
          <w:spacing w:val="-16"/>
          <w:w w:val="105"/>
          <w:sz w:val="22"/>
        </w:rPr>
        <w:t> </w:t>
      </w:r>
      <w:r>
        <w:rPr>
          <w:b/>
          <w:color w:val="231F20"/>
          <w:w w:val="105"/>
          <w:sz w:val="22"/>
        </w:rPr>
        <w:t>con</w:t>
      </w:r>
      <w:r>
        <w:rPr>
          <w:b/>
          <w:color w:val="231F20"/>
          <w:spacing w:val="-16"/>
          <w:w w:val="105"/>
          <w:sz w:val="22"/>
        </w:rPr>
        <w:t> </w:t>
      </w:r>
      <w:r>
        <w:rPr>
          <w:b/>
          <w:color w:val="231F20"/>
          <w:w w:val="105"/>
          <w:sz w:val="22"/>
        </w:rPr>
        <w:t>el</w:t>
      </w:r>
      <w:r>
        <w:rPr>
          <w:b/>
          <w:color w:val="231F20"/>
          <w:spacing w:val="-16"/>
          <w:w w:val="105"/>
          <w:sz w:val="22"/>
        </w:rPr>
        <w:t> </w:t>
      </w:r>
      <w:r>
        <w:rPr>
          <w:b/>
          <w:color w:val="231F20"/>
          <w:w w:val="105"/>
          <w:sz w:val="22"/>
        </w:rPr>
        <w:t>Plan</w:t>
      </w:r>
      <w:r>
        <w:rPr>
          <w:b/>
          <w:color w:val="231F20"/>
          <w:spacing w:val="-16"/>
          <w:w w:val="105"/>
          <w:sz w:val="22"/>
        </w:rPr>
        <w:t> </w:t>
      </w:r>
      <w:r>
        <w:rPr>
          <w:b/>
          <w:color w:val="231F20"/>
          <w:w w:val="105"/>
          <w:sz w:val="22"/>
        </w:rPr>
        <w:t>Nacional</w:t>
      </w:r>
      <w:r>
        <w:rPr>
          <w:b/>
          <w:color w:val="231F20"/>
          <w:spacing w:val="-16"/>
          <w:w w:val="105"/>
          <w:sz w:val="22"/>
        </w:rPr>
        <w:t> </w:t>
      </w:r>
      <w:r>
        <w:rPr>
          <w:b/>
          <w:color w:val="231F20"/>
          <w:w w:val="105"/>
          <w:sz w:val="22"/>
        </w:rPr>
        <w:t>de</w:t>
      </w:r>
      <w:r>
        <w:rPr>
          <w:b/>
          <w:color w:val="231F20"/>
          <w:spacing w:val="-16"/>
          <w:w w:val="105"/>
          <w:sz w:val="22"/>
        </w:rPr>
        <w:t> </w:t>
      </w:r>
      <w:r>
        <w:rPr>
          <w:b/>
          <w:color w:val="231F20"/>
          <w:w w:val="105"/>
          <w:sz w:val="22"/>
        </w:rPr>
        <w:t>Desarrollo y</w:t>
      </w:r>
      <w:r>
        <w:rPr>
          <w:b/>
          <w:color w:val="231F20"/>
          <w:spacing w:val="-17"/>
          <w:w w:val="105"/>
          <w:sz w:val="22"/>
        </w:rPr>
        <w:t> </w:t>
      </w:r>
      <w:r>
        <w:rPr>
          <w:b/>
          <w:color w:val="231F20"/>
          <w:w w:val="105"/>
          <w:sz w:val="22"/>
        </w:rPr>
        <w:t>Plan</w:t>
      </w:r>
      <w:r>
        <w:rPr>
          <w:b/>
          <w:color w:val="231F20"/>
          <w:spacing w:val="-17"/>
          <w:w w:val="105"/>
          <w:sz w:val="22"/>
        </w:rPr>
        <w:t> </w:t>
      </w:r>
      <w:r>
        <w:rPr>
          <w:b/>
          <w:color w:val="231F20"/>
          <w:w w:val="105"/>
          <w:sz w:val="22"/>
        </w:rPr>
        <w:t>de</w:t>
      </w:r>
      <w:r>
        <w:rPr>
          <w:b/>
          <w:color w:val="231F20"/>
          <w:spacing w:val="-17"/>
          <w:w w:val="105"/>
          <w:sz w:val="22"/>
        </w:rPr>
        <w:t> </w:t>
      </w:r>
      <w:r>
        <w:rPr>
          <w:b/>
          <w:color w:val="231F20"/>
          <w:w w:val="105"/>
          <w:sz w:val="22"/>
        </w:rPr>
        <w:t>Desarrollo</w:t>
      </w:r>
      <w:r>
        <w:rPr>
          <w:b/>
          <w:color w:val="231F20"/>
          <w:spacing w:val="-17"/>
          <w:w w:val="105"/>
          <w:sz w:val="22"/>
        </w:rPr>
        <w:t> </w:t>
      </w:r>
      <w:r>
        <w:rPr>
          <w:b/>
          <w:color w:val="231F20"/>
          <w:w w:val="105"/>
          <w:sz w:val="22"/>
        </w:rPr>
        <w:t>del</w:t>
      </w:r>
      <w:r>
        <w:rPr>
          <w:b/>
          <w:color w:val="231F20"/>
          <w:spacing w:val="-17"/>
          <w:w w:val="105"/>
          <w:sz w:val="22"/>
        </w:rPr>
        <w:t> </w:t>
      </w:r>
      <w:r>
        <w:rPr>
          <w:b/>
          <w:color w:val="231F20"/>
          <w:w w:val="105"/>
          <w:sz w:val="22"/>
        </w:rPr>
        <w:t>Estado</w:t>
      </w:r>
      <w:r>
        <w:rPr>
          <w:b/>
          <w:color w:val="231F20"/>
          <w:spacing w:val="-17"/>
          <w:w w:val="105"/>
          <w:sz w:val="22"/>
        </w:rPr>
        <w:t> </w:t>
      </w:r>
      <w:r>
        <w:rPr>
          <w:b/>
          <w:color w:val="231F20"/>
          <w:w w:val="105"/>
          <w:sz w:val="22"/>
        </w:rPr>
        <w:t>de</w:t>
      </w:r>
      <w:r>
        <w:rPr>
          <w:b/>
          <w:color w:val="231F20"/>
          <w:spacing w:val="-17"/>
          <w:w w:val="105"/>
          <w:sz w:val="22"/>
        </w:rPr>
        <w:t> </w:t>
      </w:r>
      <w:r>
        <w:rPr>
          <w:b/>
          <w:color w:val="231F20"/>
          <w:w w:val="105"/>
          <w:sz w:val="22"/>
        </w:rPr>
        <w:t>México</w:t>
      </w:r>
    </w:p>
    <w:p>
      <w:pPr>
        <w:pStyle w:val="BodyText"/>
        <w:spacing w:before="4"/>
        <w:rPr>
          <w:b/>
          <w:sz w:val="23"/>
        </w:rPr>
      </w:pPr>
    </w:p>
    <w:tbl>
      <w:tblPr>
        <w:tblW w:w="0" w:type="auto"/>
        <w:jc w:val="left"/>
        <w:tblInd w:w="11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33"/>
        <w:gridCol w:w="2314"/>
        <w:gridCol w:w="2415"/>
        <w:gridCol w:w="507"/>
        <w:gridCol w:w="587"/>
        <w:gridCol w:w="1713"/>
      </w:tblGrid>
      <w:tr>
        <w:trPr>
          <w:trHeight w:val="613" w:hRule="exact"/>
        </w:trPr>
        <w:tc>
          <w:tcPr>
            <w:tcW w:w="433" w:type="dxa"/>
            <w:tcBorders>
              <w:top w:val="double" w:sz="2" w:space="0" w:color="231F20"/>
              <w:left w:val="double" w:sz="2" w:space="0" w:color="231F20"/>
              <w:bottom w:val="double" w:sz="2" w:space="0" w:color="231F20"/>
              <w:right w:val="double" w:sz="2" w:space="0" w:color="231F20"/>
            </w:tcBorders>
          </w:tcPr>
          <w:p>
            <w:pPr>
              <w:pStyle w:val="TableParagraph"/>
              <w:spacing w:before="11"/>
              <w:ind w:left="0"/>
              <w:rPr>
                <w:rFonts w:ascii="Times New Roman"/>
                <w:b/>
                <w:sz w:val="17"/>
              </w:rPr>
            </w:pPr>
          </w:p>
          <w:p>
            <w:pPr>
              <w:pStyle w:val="TableParagraph"/>
              <w:ind w:left="95"/>
              <w:rPr>
                <w:sz w:val="16"/>
              </w:rPr>
            </w:pPr>
            <w:r>
              <w:rPr>
                <w:color w:val="231F20"/>
                <w:w w:val="85"/>
                <w:sz w:val="16"/>
              </w:rPr>
              <w:t>Pilar</w:t>
            </w:r>
          </w:p>
        </w:tc>
        <w:tc>
          <w:tcPr>
            <w:tcW w:w="2314" w:type="dxa"/>
            <w:tcBorders>
              <w:top w:val="double" w:sz="2" w:space="0" w:color="231F20"/>
              <w:left w:val="double" w:sz="2" w:space="0" w:color="231F20"/>
              <w:bottom w:val="double" w:sz="2" w:space="0" w:color="231F20"/>
              <w:right w:val="double" w:sz="2" w:space="0" w:color="231F20"/>
            </w:tcBorders>
          </w:tcPr>
          <w:p>
            <w:pPr>
              <w:pStyle w:val="TableParagraph"/>
              <w:spacing w:line="192" w:lineRule="exact" w:before="109"/>
              <w:ind w:left="879" w:right="121" w:hanging="757"/>
              <w:rPr>
                <w:sz w:val="16"/>
              </w:rPr>
            </w:pPr>
            <w:r>
              <w:rPr>
                <w:color w:val="231F20"/>
                <w:w w:val="80"/>
                <w:sz w:val="16"/>
              </w:rPr>
              <w:t>Objetivos</w:t>
            </w:r>
            <w:r>
              <w:rPr>
                <w:color w:val="231F20"/>
                <w:spacing w:val="-20"/>
                <w:w w:val="80"/>
                <w:sz w:val="16"/>
              </w:rPr>
              <w:t> </w:t>
            </w:r>
            <w:r>
              <w:rPr>
                <w:color w:val="231F20"/>
                <w:w w:val="80"/>
                <w:sz w:val="16"/>
              </w:rPr>
              <w:t>del</w:t>
            </w:r>
            <w:r>
              <w:rPr>
                <w:color w:val="231F20"/>
                <w:spacing w:val="-20"/>
                <w:w w:val="80"/>
                <w:sz w:val="16"/>
              </w:rPr>
              <w:t> </w:t>
            </w:r>
            <w:r>
              <w:rPr>
                <w:color w:val="231F20"/>
                <w:w w:val="80"/>
                <w:sz w:val="16"/>
              </w:rPr>
              <w:t>Plan</w:t>
            </w:r>
            <w:r>
              <w:rPr>
                <w:color w:val="231F20"/>
                <w:spacing w:val="-20"/>
                <w:w w:val="80"/>
                <w:sz w:val="16"/>
              </w:rPr>
              <w:t> </w:t>
            </w:r>
            <w:r>
              <w:rPr>
                <w:color w:val="231F20"/>
                <w:w w:val="80"/>
                <w:sz w:val="16"/>
              </w:rPr>
              <w:t>Nacional</w:t>
            </w:r>
            <w:r>
              <w:rPr>
                <w:color w:val="231F20"/>
                <w:spacing w:val="-20"/>
                <w:w w:val="80"/>
                <w:sz w:val="16"/>
              </w:rPr>
              <w:t> </w:t>
            </w:r>
            <w:r>
              <w:rPr>
                <w:color w:val="231F20"/>
                <w:w w:val="80"/>
                <w:sz w:val="16"/>
              </w:rPr>
              <w:t>de</w:t>
            </w:r>
            <w:r>
              <w:rPr>
                <w:color w:val="231F20"/>
                <w:spacing w:val="-20"/>
                <w:w w:val="80"/>
                <w:sz w:val="16"/>
              </w:rPr>
              <w:t> </w:t>
            </w:r>
            <w:r>
              <w:rPr>
                <w:color w:val="231F20"/>
                <w:w w:val="80"/>
                <w:sz w:val="16"/>
              </w:rPr>
              <w:t>Desarrollo </w:t>
            </w:r>
            <w:r>
              <w:rPr>
                <w:color w:val="231F20"/>
                <w:w w:val="85"/>
                <w:sz w:val="16"/>
              </w:rPr>
              <w:t>2001-2006</w:t>
            </w:r>
          </w:p>
        </w:tc>
        <w:tc>
          <w:tcPr>
            <w:tcW w:w="2415" w:type="dxa"/>
            <w:tcBorders>
              <w:top w:val="double" w:sz="2" w:space="0" w:color="231F20"/>
              <w:left w:val="double" w:sz="2" w:space="0" w:color="231F20"/>
              <w:bottom w:val="double" w:sz="2" w:space="0" w:color="231F20"/>
              <w:right w:val="double" w:sz="2" w:space="0" w:color="231F20"/>
            </w:tcBorders>
          </w:tcPr>
          <w:p>
            <w:pPr>
              <w:pStyle w:val="TableParagraph"/>
              <w:spacing w:line="192" w:lineRule="exact" w:before="109"/>
              <w:ind w:left="667" w:right="120" w:hanging="537"/>
              <w:rPr>
                <w:sz w:val="16"/>
              </w:rPr>
            </w:pPr>
            <w:r>
              <w:rPr>
                <w:color w:val="231F20"/>
                <w:w w:val="80"/>
                <w:sz w:val="16"/>
              </w:rPr>
              <w:t>Objetivos</w:t>
            </w:r>
            <w:r>
              <w:rPr>
                <w:color w:val="231F20"/>
                <w:spacing w:val="-17"/>
                <w:w w:val="80"/>
                <w:sz w:val="16"/>
              </w:rPr>
              <w:t> </w:t>
            </w:r>
            <w:r>
              <w:rPr>
                <w:color w:val="231F20"/>
                <w:w w:val="80"/>
                <w:sz w:val="16"/>
              </w:rPr>
              <w:t>del</w:t>
            </w:r>
            <w:r>
              <w:rPr>
                <w:color w:val="231F20"/>
                <w:spacing w:val="-17"/>
                <w:w w:val="80"/>
                <w:sz w:val="16"/>
              </w:rPr>
              <w:t> </w:t>
            </w:r>
            <w:r>
              <w:rPr>
                <w:color w:val="231F20"/>
                <w:w w:val="80"/>
                <w:sz w:val="16"/>
              </w:rPr>
              <w:t>Plan</w:t>
            </w:r>
            <w:r>
              <w:rPr>
                <w:color w:val="231F20"/>
                <w:spacing w:val="-17"/>
                <w:w w:val="80"/>
                <w:sz w:val="16"/>
              </w:rPr>
              <w:t> </w:t>
            </w:r>
            <w:r>
              <w:rPr>
                <w:color w:val="231F20"/>
                <w:w w:val="80"/>
                <w:sz w:val="16"/>
              </w:rPr>
              <w:t>de</w:t>
            </w:r>
            <w:r>
              <w:rPr>
                <w:color w:val="231F20"/>
                <w:spacing w:val="-17"/>
                <w:w w:val="80"/>
                <w:sz w:val="16"/>
              </w:rPr>
              <w:t> </w:t>
            </w:r>
            <w:r>
              <w:rPr>
                <w:color w:val="231F20"/>
                <w:w w:val="80"/>
                <w:sz w:val="16"/>
              </w:rPr>
              <w:t>Desarrollo</w:t>
            </w:r>
            <w:r>
              <w:rPr>
                <w:color w:val="231F20"/>
                <w:spacing w:val="-17"/>
                <w:w w:val="80"/>
                <w:sz w:val="16"/>
              </w:rPr>
              <w:t> </w:t>
            </w:r>
            <w:r>
              <w:rPr>
                <w:color w:val="231F20"/>
                <w:w w:val="80"/>
                <w:sz w:val="16"/>
              </w:rPr>
              <w:t>del</w:t>
            </w:r>
            <w:r>
              <w:rPr>
                <w:color w:val="231F20"/>
                <w:spacing w:val="-17"/>
                <w:w w:val="80"/>
                <w:sz w:val="16"/>
              </w:rPr>
              <w:t> </w:t>
            </w:r>
            <w:r>
              <w:rPr>
                <w:color w:val="231F20"/>
                <w:w w:val="80"/>
                <w:sz w:val="16"/>
              </w:rPr>
              <w:t>Estado </w:t>
            </w:r>
            <w:r>
              <w:rPr>
                <w:color w:val="231F20"/>
                <w:w w:val="75"/>
                <w:sz w:val="16"/>
              </w:rPr>
              <w:t>de México</w:t>
            </w:r>
            <w:r>
              <w:rPr>
                <w:color w:val="231F20"/>
                <w:spacing w:val="-3"/>
                <w:w w:val="75"/>
                <w:sz w:val="16"/>
              </w:rPr>
              <w:t> </w:t>
            </w:r>
            <w:r>
              <w:rPr>
                <w:color w:val="231F20"/>
                <w:w w:val="75"/>
                <w:sz w:val="16"/>
              </w:rPr>
              <w:t>2005-2011</w:t>
            </w:r>
          </w:p>
        </w:tc>
        <w:tc>
          <w:tcPr>
            <w:tcW w:w="507" w:type="dxa"/>
            <w:tcBorders>
              <w:top w:val="double" w:sz="2" w:space="0" w:color="231F20"/>
              <w:left w:val="double" w:sz="2" w:space="0" w:color="231F20"/>
              <w:bottom w:val="double" w:sz="2" w:space="0" w:color="231F20"/>
              <w:right w:val="double" w:sz="2" w:space="0" w:color="231F20"/>
            </w:tcBorders>
            <w:textDirection w:val="btLr"/>
          </w:tcPr>
          <w:p>
            <w:pPr>
              <w:pStyle w:val="TableParagraph"/>
              <w:spacing w:before="4"/>
              <w:ind w:left="0"/>
              <w:rPr>
                <w:rFonts w:ascii="Times New Roman"/>
                <w:b/>
                <w:sz w:val="13"/>
              </w:rPr>
            </w:pPr>
          </w:p>
          <w:p>
            <w:pPr>
              <w:pStyle w:val="TableParagraph"/>
              <w:ind w:left="100"/>
              <w:rPr>
                <w:sz w:val="16"/>
              </w:rPr>
            </w:pPr>
            <w:r>
              <w:rPr>
                <w:color w:val="231F20"/>
                <w:w w:val="75"/>
                <w:sz w:val="16"/>
              </w:rPr>
              <w:t>F</w:t>
            </w:r>
            <w:r>
              <w:rPr>
                <w:color w:val="231F20"/>
                <w:spacing w:val="1"/>
                <w:w w:val="76"/>
                <w:sz w:val="16"/>
              </w:rPr>
              <w:t>un</w:t>
            </w:r>
            <w:r>
              <w:rPr>
                <w:color w:val="231F20"/>
                <w:spacing w:val="2"/>
                <w:w w:val="71"/>
                <w:sz w:val="16"/>
              </w:rPr>
              <w:t>c</w:t>
            </w:r>
            <w:r>
              <w:rPr>
                <w:color w:val="231F20"/>
                <w:spacing w:val="1"/>
                <w:w w:val="74"/>
                <w:sz w:val="16"/>
              </w:rPr>
              <w:t>ió</w:t>
            </w:r>
            <w:r>
              <w:rPr>
                <w:color w:val="231F20"/>
                <w:w w:val="77"/>
                <w:sz w:val="16"/>
              </w:rPr>
              <w:t>n</w:t>
            </w:r>
          </w:p>
        </w:tc>
        <w:tc>
          <w:tcPr>
            <w:tcW w:w="587" w:type="dxa"/>
            <w:tcBorders>
              <w:top w:val="double" w:sz="2" w:space="0" w:color="231F20"/>
              <w:left w:val="double" w:sz="2" w:space="0" w:color="231F20"/>
              <w:bottom w:val="double" w:sz="2" w:space="0" w:color="231F20"/>
              <w:right w:val="double" w:sz="2" w:space="0" w:color="231F20"/>
            </w:tcBorders>
            <w:textDirection w:val="btLr"/>
          </w:tcPr>
          <w:p>
            <w:pPr>
              <w:pStyle w:val="TableParagraph"/>
              <w:spacing w:before="9"/>
              <w:ind w:left="0"/>
              <w:rPr>
                <w:rFonts w:ascii="Times New Roman"/>
                <w:b/>
                <w:sz w:val="16"/>
              </w:rPr>
            </w:pPr>
          </w:p>
          <w:p>
            <w:pPr>
              <w:pStyle w:val="TableParagraph"/>
              <w:ind w:left="49"/>
              <w:rPr>
                <w:sz w:val="16"/>
              </w:rPr>
            </w:pPr>
            <w:r>
              <w:rPr>
                <w:color w:val="231F20"/>
                <w:spacing w:val="1"/>
                <w:w w:val="74"/>
                <w:sz w:val="16"/>
              </w:rPr>
              <w:t>P</w:t>
            </w:r>
            <w:r>
              <w:rPr>
                <w:color w:val="231F20"/>
                <w:spacing w:val="2"/>
                <w:w w:val="74"/>
                <w:sz w:val="16"/>
              </w:rPr>
              <w:t>r</w:t>
            </w:r>
            <w:r>
              <w:rPr>
                <w:color w:val="231F20"/>
                <w:spacing w:val="2"/>
                <w:w w:val="72"/>
                <w:sz w:val="16"/>
              </w:rPr>
              <w:t>o</w:t>
            </w:r>
            <w:r>
              <w:rPr>
                <w:color w:val="231F20"/>
                <w:spacing w:val="1"/>
                <w:w w:val="84"/>
                <w:sz w:val="16"/>
              </w:rPr>
              <w:t>g</w:t>
            </w:r>
            <w:r>
              <w:rPr>
                <w:color w:val="231F20"/>
                <w:spacing w:val="2"/>
                <w:w w:val="71"/>
                <w:sz w:val="16"/>
              </w:rPr>
              <w:t>r</w:t>
            </w:r>
            <w:r>
              <w:rPr>
                <w:color w:val="231F20"/>
                <w:spacing w:val="1"/>
                <w:w w:val="75"/>
                <w:sz w:val="16"/>
              </w:rPr>
              <w:t>a</w:t>
            </w:r>
            <w:r>
              <w:rPr>
                <w:color w:val="231F20"/>
                <w:spacing w:val="1"/>
                <w:w w:val="77"/>
                <w:sz w:val="16"/>
              </w:rPr>
              <w:t>m</w:t>
            </w:r>
            <w:r>
              <w:rPr>
                <w:color w:val="231F20"/>
                <w:w w:val="75"/>
                <w:sz w:val="16"/>
              </w:rPr>
              <w:t>a</w:t>
            </w:r>
          </w:p>
        </w:tc>
        <w:tc>
          <w:tcPr>
            <w:tcW w:w="1713" w:type="dxa"/>
            <w:tcBorders>
              <w:top w:val="double" w:sz="2" w:space="0" w:color="231F20"/>
              <w:left w:val="double" w:sz="2" w:space="0" w:color="231F20"/>
              <w:bottom w:val="double" w:sz="2" w:space="0" w:color="231F20"/>
              <w:right w:val="double" w:sz="2" w:space="0" w:color="231F20"/>
            </w:tcBorders>
          </w:tcPr>
          <w:p>
            <w:pPr>
              <w:pStyle w:val="TableParagraph"/>
              <w:spacing w:before="11"/>
              <w:ind w:left="0"/>
              <w:rPr>
                <w:rFonts w:ascii="Times New Roman"/>
                <w:b/>
                <w:sz w:val="17"/>
              </w:rPr>
            </w:pPr>
          </w:p>
          <w:p>
            <w:pPr>
              <w:pStyle w:val="TableParagraph"/>
              <w:ind w:left="245" w:right="245"/>
              <w:jc w:val="center"/>
              <w:rPr>
                <w:sz w:val="16"/>
              </w:rPr>
            </w:pPr>
            <w:r>
              <w:rPr>
                <w:color w:val="231F20"/>
                <w:w w:val="75"/>
                <w:sz w:val="16"/>
              </w:rPr>
              <w:t>Programas  Municipales</w:t>
            </w:r>
          </w:p>
        </w:tc>
      </w:tr>
      <w:tr>
        <w:trPr>
          <w:trHeight w:val="594" w:hRule="exact"/>
        </w:trPr>
        <w:tc>
          <w:tcPr>
            <w:tcW w:w="433" w:type="dxa"/>
            <w:vMerge w:val="restart"/>
            <w:tcBorders>
              <w:top w:val="double" w:sz="2" w:space="0" w:color="231F20"/>
              <w:left w:val="double" w:sz="2" w:space="0" w:color="231F20"/>
            </w:tcBorders>
            <w:textDirection w:val="btLr"/>
          </w:tcPr>
          <w:p>
            <w:pPr>
              <w:pStyle w:val="TableParagraph"/>
              <w:spacing w:before="116"/>
              <w:ind w:left="2178" w:right="2178"/>
              <w:jc w:val="center"/>
              <w:rPr>
                <w:sz w:val="16"/>
              </w:rPr>
            </w:pPr>
            <w:r>
              <w:rPr>
                <w:color w:val="231F20"/>
                <w:spacing w:val="2"/>
                <w:w w:val="75"/>
                <w:sz w:val="16"/>
              </w:rPr>
              <w:t>Se</w:t>
            </w:r>
            <w:r>
              <w:rPr>
                <w:color w:val="231F20"/>
                <w:spacing w:val="1"/>
                <w:w w:val="84"/>
                <w:sz w:val="16"/>
              </w:rPr>
              <w:t>g</w:t>
            </w:r>
            <w:r>
              <w:rPr>
                <w:color w:val="231F20"/>
                <w:spacing w:val="1"/>
                <w:w w:val="75"/>
                <w:sz w:val="16"/>
              </w:rPr>
              <w:t>u</w:t>
            </w:r>
            <w:r>
              <w:rPr>
                <w:color w:val="231F20"/>
                <w:spacing w:val="2"/>
                <w:w w:val="71"/>
                <w:sz w:val="16"/>
              </w:rPr>
              <w:t>r</w:t>
            </w:r>
            <w:r>
              <w:rPr>
                <w:color w:val="231F20"/>
                <w:spacing w:val="1"/>
                <w:w w:val="80"/>
                <w:sz w:val="16"/>
              </w:rPr>
              <w:t>i</w:t>
            </w:r>
            <w:r>
              <w:rPr>
                <w:color w:val="231F20"/>
                <w:spacing w:val="1"/>
                <w:w w:val="75"/>
                <w:sz w:val="16"/>
              </w:rPr>
              <w:t>d</w:t>
            </w:r>
            <w:r>
              <w:rPr>
                <w:color w:val="231F20"/>
                <w:spacing w:val="1"/>
                <w:w w:val="75"/>
                <w:sz w:val="16"/>
              </w:rPr>
              <w:t>a</w:t>
            </w:r>
            <w:r>
              <w:rPr>
                <w:color w:val="231F20"/>
                <w:w w:val="75"/>
                <w:sz w:val="16"/>
              </w:rPr>
              <w:t>d</w:t>
            </w:r>
            <w:r>
              <w:rPr>
                <w:color w:val="231F20"/>
                <w:spacing w:val="-12"/>
                <w:sz w:val="16"/>
              </w:rPr>
              <w:t> </w:t>
            </w:r>
            <w:r>
              <w:rPr>
                <w:color w:val="231F20"/>
                <w:spacing w:val="2"/>
                <w:w w:val="75"/>
                <w:sz w:val="16"/>
              </w:rPr>
              <w:t>Soc</w:t>
            </w:r>
            <w:r>
              <w:rPr>
                <w:color w:val="231F20"/>
                <w:spacing w:val="1"/>
                <w:w w:val="75"/>
                <w:sz w:val="16"/>
              </w:rPr>
              <w:t>i</w:t>
            </w:r>
            <w:r>
              <w:rPr>
                <w:color w:val="231F20"/>
                <w:spacing w:val="1"/>
                <w:w w:val="75"/>
                <w:sz w:val="16"/>
              </w:rPr>
              <w:t>a</w:t>
            </w:r>
            <w:r>
              <w:rPr>
                <w:color w:val="231F20"/>
                <w:w w:val="83"/>
                <w:sz w:val="16"/>
              </w:rPr>
              <w:t>l</w:t>
            </w:r>
          </w:p>
        </w:tc>
        <w:tc>
          <w:tcPr>
            <w:tcW w:w="2314" w:type="dxa"/>
            <w:tcBorders>
              <w:top w:val="double" w:sz="2" w:space="0" w:color="231F20"/>
            </w:tcBorders>
          </w:tcPr>
          <w:p>
            <w:pPr>
              <w:pStyle w:val="TableParagraph"/>
              <w:spacing w:line="192" w:lineRule="exact" w:before="101"/>
              <w:ind w:left="780" w:right="106" w:hanging="583"/>
              <w:rPr>
                <w:sz w:val="16"/>
              </w:rPr>
            </w:pPr>
            <w:r>
              <w:rPr>
                <w:color w:val="231F20"/>
                <w:w w:val="80"/>
                <w:sz w:val="16"/>
              </w:rPr>
              <w:t>Acrecentar la equidad y la igualdad de </w:t>
            </w:r>
            <w:r>
              <w:rPr>
                <w:color w:val="231F20"/>
                <w:w w:val="85"/>
                <w:sz w:val="16"/>
              </w:rPr>
              <w:t>oportunidades</w:t>
            </w:r>
          </w:p>
        </w:tc>
        <w:tc>
          <w:tcPr>
            <w:tcW w:w="2415" w:type="dxa"/>
            <w:tcBorders>
              <w:top w:val="double" w:sz="2" w:space="0" w:color="231F20"/>
            </w:tcBorders>
          </w:tcPr>
          <w:p>
            <w:pPr>
              <w:pStyle w:val="TableParagraph"/>
              <w:spacing w:line="192" w:lineRule="exact" w:before="101"/>
              <w:ind w:left="570" w:right="96" w:hanging="377"/>
              <w:rPr>
                <w:sz w:val="16"/>
              </w:rPr>
            </w:pPr>
            <w:r>
              <w:rPr>
                <w:color w:val="231F20"/>
                <w:w w:val="80"/>
                <w:sz w:val="16"/>
              </w:rPr>
              <w:t>Garantizar la cobertura total con calidad </w:t>
            </w:r>
            <w:r>
              <w:rPr>
                <w:color w:val="231F20"/>
                <w:w w:val="75"/>
                <w:sz w:val="16"/>
              </w:rPr>
              <w:t>suficiente y oportunidad.</w:t>
            </w:r>
          </w:p>
        </w:tc>
        <w:tc>
          <w:tcPr>
            <w:tcW w:w="507" w:type="dxa"/>
            <w:tcBorders>
              <w:top w:val="double" w:sz="2" w:space="0" w:color="231F20"/>
            </w:tcBorders>
          </w:tcPr>
          <w:p>
            <w:pPr>
              <w:pStyle w:val="TableParagraph"/>
              <w:spacing w:before="2"/>
              <w:ind w:left="0"/>
              <w:rPr>
                <w:rFonts w:ascii="Times New Roman"/>
                <w:b/>
                <w:sz w:val="17"/>
              </w:rPr>
            </w:pPr>
          </w:p>
          <w:p>
            <w:pPr>
              <w:pStyle w:val="TableParagraph"/>
              <w:spacing w:before="1"/>
              <w:ind w:left="159" w:right="157"/>
              <w:jc w:val="center"/>
              <w:rPr>
                <w:sz w:val="16"/>
              </w:rPr>
            </w:pPr>
            <w:r>
              <w:rPr>
                <w:color w:val="231F20"/>
                <w:w w:val="85"/>
                <w:sz w:val="16"/>
              </w:rPr>
              <w:t>06</w:t>
            </w:r>
          </w:p>
        </w:tc>
        <w:tc>
          <w:tcPr>
            <w:tcW w:w="587" w:type="dxa"/>
            <w:tcBorders>
              <w:top w:val="double" w:sz="2" w:space="0" w:color="231F20"/>
            </w:tcBorders>
          </w:tcPr>
          <w:p>
            <w:pPr>
              <w:pStyle w:val="TableParagraph"/>
              <w:spacing w:before="2"/>
              <w:ind w:left="0"/>
              <w:rPr>
                <w:rFonts w:ascii="Times New Roman"/>
                <w:b/>
                <w:sz w:val="17"/>
              </w:rPr>
            </w:pPr>
          </w:p>
          <w:p>
            <w:pPr>
              <w:pStyle w:val="TableParagraph"/>
              <w:spacing w:before="1"/>
              <w:ind w:left="196" w:right="197"/>
              <w:jc w:val="center"/>
              <w:rPr>
                <w:sz w:val="16"/>
              </w:rPr>
            </w:pPr>
            <w:r>
              <w:rPr>
                <w:color w:val="231F20"/>
                <w:w w:val="85"/>
                <w:sz w:val="16"/>
              </w:rPr>
              <w:t>01</w:t>
            </w:r>
          </w:p>
        </w:tc>
        <w:tc>
          <w:tcPr>
            <w:tcW w:w="1713" w:type="dxa"/>
            <w:tcBorders>
              <w:top w:val="double" w:sz="2" w:space="0" w:color="231F20"/>
              <w:right w:val="double" w:sz="2" w:space="0" w:color="231F20"/>
            </w:tcBorders>
          </w:tcPr>
          <w:p>
            <w:pPr>
              <w:pStyle w:val="TableParagraph"/>
              <w:spacing w:before="2"/>
              <w:ind w:left="0"/>
              <w:rPr>
                <w:rFonts w:ascii="Times New Roman"/>
                <w:b/>
                <w:sz w:val="17"/>
              </w:rPr>
            </w:pPr>
          </w:p>
          <w:p>
            <w:pPr>
              <w:pStyle w:val="TableParagraph"/>
              <w:spacing w:before="1"/>
              <w:ind w:left="190" w:right="188"/>
              <w:jc w:val="center"/>
              <w:rPr>
                <w:sz w:val="16"/>
              </w:rPr>
            </w:pPr>
            <w:r>
              <w:rPr>
                <w:color w:val="231F20"/>
                <w:w w:val="85"/>
                <w:sz w:val="16"/>
              </w:rPr>
              <w:t>Salud</w:t>
            </w:r>
          </w:p>
        </w:tc>
      </w:tr>
      <w:tr>
        <w:trPr>
          <w:trHeight w:val="898" w:hRule="exact"/>
        </w:trPr>
        <w:tc>
          <w:tcPr>
            <w:tcW w:w="433" w:type="dxa"/>
            <w:vMerge/>
            <w:tcBorders>
              <w:left w:val="double" w:sz="2" w:space="0" w:color="231F20"/>
            </w:tcBorders>
            <w:textDirection w:val="btLr"/>
          </w:tcPr>
          <w:p>
            <w:pPr/>
          </w:p>
        </w:tc>
        <w:tc>
          <w:tcPr>
            <w:tcW w:w="2314" w:type="dxa"/>
            <w:vMerge w:val="restart"/>
          </w:tcPr>
          <w:p>
            <w:pPr>
              <w:pStyle w:val="TableParagraph"/>
              <w:spacing w:line="192" w:lineRule="exact" w:before="127"/>
              <w:ind w:left="76" w:right="74"/>
              <w:jc w:val="center"/>
              <w:rPr>
                <w:sz w:val="16"/>
              </w:rPr>
            </w:pPr>
            <w:r>
              <w:rPr>
                <w:color w:val="231F20"/>
                <w:w w:val="80"/>
                <w:sz w:val="16"/>
              </w:rPr>
              <w:t>Mejorar</w:t>
            </w:r>
            <w:r>
              <w:rPr>
                <w:color w:val="231F20"/>
                <w:spacing w:val="-19"/>
                <w:w w:val="80"/>
                <w:sz w:val="16"/>
              </w:rPr>
              <w:t> </w:t>
            </w:r>
            <w:r>
              <w:rPr>
                <w:color w:val="231F20"/>
                <w:w w:val="80"/>
                <w:sz w:val="16"/>
              </w:rPr>
              <w:t>los</w:t>
            </w:r>
            <w:r>
              <w:rPr>
                <w:color w:val="231F20"/>
                <w:spacing w:val="-19"/>
                <w:w w:val="80"/>
                <w:sz w:val="16"/>
              </w:rPr>
              <w:t> </w:t>
            </w:r>
            <w:r>
              <w:rPr>
                <w:color w:val="231F20"/>
                <w:w w:val="80"/>
                <w:sz w:val="16"/>
              </w:rPr>
              <w:t>niveles</w:t>
            </w:r>
            <w:r>
              <w:rPr>
                <w:color w:val="231F20"/>
                <w:spacing w:val="-19"/>
                <w:w w:val="80"/>
                <w:sz w:val="16"/>
              </w:rPr>
              <w:t> </w:t>
            </w:r>
            <w:r>
              <w:rPr>
                <w:color w:val="231F20"/>
                <w:w w:val="80"/>
                <w:sz w:val="16"/>
              </w:rPr>
              <w:t>de</w:t>
            </w:r>
            <w:r>
              <w:rPr>
                <w:color w:val="231F20"/>
                <w:spacing w:val="-19"/>
                <w:w w:val="80"/>
                <w:sz w:val="16"/>
              </w:rPr>
              <w:t> </w:t>
            </w:r>
            <w:r>
              <w:rPr>
                <w:color w:val="231F20"/>
                <w:w w:val="80"/>
                <w:sz w:val="16"/>
              </w:rPr>
              <w:t>educación</w:t>
            </w:r>
            <w:r>
              <w:rPr>
                <w:color w:val="231F20"/>
                <w:spacing w:val="-19"/>
                <w:w w:val="80"/>
                <w:sz w:val="16"/>
              </w:rPr>
              <w:t> </w:t>
            </w:r>
            <w:r>
              <w:rPr>
                <w:color w:val="231F20"/>
                <w:w w:val="80"/>
                <w:sz w:val="16"/>
              </w:rPr>
              <w:t>y</w:t>
            </w:r>
            <w:r>
              <w:rPr>
                <w:color w:val="231F20"/>
                <w:spacing w:val="-19"/>
                <w:w w:val="80"/>
                <w:sz w:val="16"/>
              </w:rPr>
              <w:t> </w:t>
            </w:r>
            <w:r>
              <w:rPr>
                <w:color w:val="231F20"/>
                <w:w w:val="80"/>
                <w:sz w:val="16"/>
              </w:rPr>
              <w:t>bienes- tar</w:t>
            </w:r>
            <w:r>
              <w:rPr>
                <w:color w:val="231F20"/>
                <w:spacing w:val="-18"/>
                <w:w w:val="80"/>
                <w:sz w:val="16"/>
              </w:rPr>
              <w:t> </w:t>
            </w:r>
            <w:r>
              <w:rPr>
                <w:color w:val="231F20"/>
                <w:w w:val="80"/>
                <w:sz w:val="16"/>
              </w:rPr>
              <w:t>de</w:t>
            </w:r>
            <w:r>
              <w:rPr>
                <w:color w:val="231F20"/>
                <w:spacing w:val="-18"/>
                <w:w w:val="80"/>
                <w:sz w:val="16"/>
              </w:rPr>
              <w:t> </w:t>
            </w:r>
            <w:r>
              <w:rPr>
                <w:color w:val="231F20"/>
                <w:w w:val="80"/>
                <w:sz w:val="16"/>
              </w:rPr>
              <w:t>los</w:t>
            </w:r>
            <w:r>
              <w:rPr>
                <w:color w:val="231F20"/>
                <w:spacing w:val="-18"/>
                <w:w w:val="80"/>
                <w:sz w:val="16"/>
              </w:rPr>
              <w:t> </w:t>
            </w:r>
            <w:r>
              <w:rPr>
                <w:color w:val="231F20"/>
                <w:w w:val="80"/>
                <w:sz w:val="16"/>
              </w:rPr>
              <w:t>mexicanos.</w:t>
            </w:r>
          </w:p>
          <w:p>
            <w:pPr>
              <w:pStyle w:val="TableParagraph"/>
              <w:spacing w:line="192" w:lineRule="exact"/>
              <w:ind w:left="76" w:right="74"/>
              <w:jc w:val="center"/>
              <w:rPr>
                <w:sz w:val="16"/>
              </w:rPr>
            </w:pPr>
            <w:r>
              <w:rPr>
                <w:color w:val="231F20"/>
                <w:w w:val="80"/>
                <w:sz w:val="16"/>
              </w:rPr>
              <w:t>Impulsar</w:t>
            </w:r>
            <w:r>
              <w:rPr>
                <w:color w:val="231F20"/>
                <w:spacing w:val="-17"/>
                <w:w w:val="80"/>
                <w:sz w:val="16"/>
              </w:rPr>
              <w:t> </w:t>
            </w:r>
            <w:r>
              <w:rPr>
                <w:color w:val="231F20"/>
                <w:w w:val="80"/>
                <w:sz w:val="16"/>
              </w:rPr>
              <w:t>la</w:t>
            </w:r>
            <w:r>
              <w:rPr>
                <w:color w:val="231F20"/>
                <w:spacing w:val="-17"/>
                <w:w w:val="80"/>
                <w:sz w:val="16"/>
              </w:rPr>
              <w:t> </w:t>
            </w:r>
            <w:r>
              <w:rPr>
                <w:color w:val="231F20"/>
                <w:w w:val="80"/>
                <w:sz w:val="16"/>
              </w:rPr>
              <w:t>educación</w:t>
            </w:r>
            <w:r>
              <w:rPr>
                <w:color w:val="231F20"/>
                <w:spacing w:val="-17"/>
                <w:w w:val="80"/>
                <w:sz w:val="16"/>
              </w:rPr>
              <w:t> </w:t>
            </w:r>
            <w:r>
              <w:rPr>
                <w:color w:val="231F20"/>
                <w:w w:val="80"/>
                <w:sz w:val="16"/>
              </w:rPr>
              <w:t>para</w:t>
            </w:r>
            <w:r>
              <w:rPr>
                <w:color w:val="231F20"/>
                <w:spacing w:val="-17"/>
                <w:w w:val="80"/>
                <w:sz w:val="16"/>
              </w:rPr>
              <w:t> </w:t>
            </w:r>
            <w:r>
              <w:rPr>
                <w:color w:val="231F20"/>
                <w:w w:val="80"/>
                <w:sz w:val="16"/>
              </w:rPr>
              <w:t>el</w:t>
            </w:r>
            <w:r>
              <w:rPr>
                <w:color w:val="231F20"/>
                <w:spacing w:val="-17"/>
                <w:w w:val="80"/>
                <w:sz w:val="16"/>
              </w:rPr>
              <w:t> </w:t>
            </w:r>
            <w:r>
              <w:rPr>
                <w:color w:val="231F20"/>
                <w:w w:val="80"/>
                <w:sz w:val="16"/>
              </w:rPr>
              <w:t>desarrollo</w:t>
            </w:r>
            <w:r>
              <w:rPr>
                <w:color w:val="231F20"/>
                <w:spacing w:val="-17"/>
                <w:w w:val="80"/>
                <w:sz w:val="16"/>
              </w:rPr>
              <w:t> </w:t>
            </w:r>
            <w:r>
              <w:rPr>
                <w:color w:val="231F20"/>
                <w:w w:val="80"/>
                <w:sz w:val="16"/>
              </w:rPr>
              <w:t>de las</w:t>
            </w:r>
            <w:r>
              <w:rPr>
                <w:color w:val="231F20"/>
                <w:spacing w:val="-15"/>
                <w:w w:val="80"/>
                <w:sz w:val="16"/>
              </w:rPr>
              <w:t> </w:t>
            </w:r>
            <w:r>
              <w:rPr>
                <w:color w:val="231F20"/>
                <w:w w:val="80"/>
                <w:sz w:val="16"/>
              </w:rPr>
              <w:t>capacidades</w:t>
            </w:r>
            <w:r>
              <w:rPr>
                <w:color w:val="231F20"/>
                <w:spacing w:val="-15"/>
                <w:w w:val="80"/>
                <w:sz w:val="16"/>
              </w:rPr>
              <w:t> </w:t>
            </w:r>
            <w:r>
              <w:rPr>
                <w:color w:val="231F20"/>
                <w:w w:val="80"/>
                <w:sz w:val="16"/>
              </w:rPr>
              <w:t>personales</w:t>
            </w:r>
            <w:r>
              <w:rPr>
                <w:color w:val="231F20"/>
                <w:spacing w:val="-15"/>
                <w:w w:val="80"/>
                <w:sz w:val="16"/>
              </w:rPr>
              <w:t> </w:t>
            </w:r>
            <w:r>
              <w:rPr>
                <w:color w:val="231F20"/>
                <w:w w:val="80"/>
                <w:sz w:val="16"/>
              </w:rPr>
              <w:t>y</w:t>
            </w:r>
            <w:r>
              <w:rPr>
                <w:color w:val="231F20"/>
                <w:spacing w:val="-15"/>
                <w:w w:val="80"/>
                <w:sz w:val="16"/>
              </w:rPr>
              <w:t> </w:t>
            </w:r>
            <w:r>
              <w:rPr>
                <w:color w:val="231F20"/>
                <w:w w:val="80"/>
                <w:sz w:val="16"/>
              </w:rPr>
              <w:t>de</w:t>
            </w:r>
            <w:r>
              <w:rPr>
                <w:color w:val="231F20"/>
                <w:spacing w:val="-15"/>
                <w:w w:val="80"/>
                <w:sz w:val="16"/>
              </w:rPr>
              <w:t> </w:t>
            </w:r>
            <w:r>
              <w:rPr>
                <w:color w:val="231F20"/>
                <w:w w:val="80"/>
                <w:sz w:val="16"/>
              </w:rPr>
              <w:t>iniciativa individual</w:t>
            </w:r>
            <w:r>
              <w:rPr>
                <w:color w:val="231F20"/>
                <w:spacing w:val="-16"/>
                <w:w w:val="80"/>
                <w:sz w:val="16"/>
              </w:rPr>
              <w:t> </w:t>
            </w:r>
            <w:r>
              <w:rPr>
                <w:color w:val="231F20"/>
                <w:w w:val="80"/>
                <w:sz w:val="16"/>
              </w:rPr>
              <w:t>y</w:t>
            </w:r>
            <w:r>
              <w:rPr>
                <w:color w:val="231F20"/>
                <w:spacing w:val="-16"/>
                <w:w w:val="80"/>
                <w:sz w:val="16"/>
              </w:rPr>
              <w:t> </w:t>
            </w:r>
            <w:r>
              <w:rPr>
                <w:color w:val="231F20"/>
                <w:w w:val="80"/>
                <w:sz w:val="16"/>
              </w:rPr>
              <w:t>colectiva.</w:t>
            </w:r>
          </w:p>
        </w:tc>
        <w:tc>
          <w:tcPr>
            <w:tcW w:w="2415" w:type="dxa"/>
          </w:tcPr>
          <w:p>
            <w:pPr>
              <w:pStyle w:val="TableParagraph"/>
              <w:spacing w:line="161" w:lineRule="exact"/>
              <w:ind w:left="23" w:right="23"/>
              <w:jc w:val="center"/>
              <w:rPr>
                <w:sz w:val="16"/>
              </w:rPr>
            </w:pPr>
            <w:r>
              <w:rPr>
                <w:color w:val="231F20"/>
                <w:w w:val="75"/>
                <w:sz w:val="16"/>
              </w:rPr>
              <w:t>Brindar educación de calidad,  equitativa,</w:t>
            </w:r>
          </w:p>
          <w:p>
            <w:pPr>
              <w:pStyle w:val="TableParagraph"/>
              <w:spacing w:line="192" w:lineRule="exact"/>
              <w:ind w:left="23" w:right="23"/>
              <w:jc w:val="center"/>
              <w:rPr>
                <w:sz w:val="16"/>
              </w:rPr>
            </w:pPr>
            <w:r>
              <w:rPr>
                <w:color w:val="231F20"/>
                <w:w w:val="75"/>
                <w:sz w:val="16"/>
              </w:rPr>
              <w:t>suficiente y participativa.</w:t>
            </w:r>
          </w:p>
          <w:p>
            <w:pPr>
              <w:pStyle w:val="TableParagraph"/>
              <w:spacing w:line="235" w:lineRule="auto" w:before="1"/>
              <w:ind w:left="23" w:right="21"/>
              <w:jc w:val="center"/>
              <w:rPr>
                <w:sz w:val="16"/>
              </w:rPr>
            </w:pPr>
            <w:r>
              <w:rPr>
                <w:color w:val="231F20"/>
                <w:w w:val="80"/>
                <w:sz w:val="16"/>
              </w:rPr>
              <w:t>Fomentar,</w:t>
            </w:r>
            <w:r>
              <w:rPr>
                <w:color w:val="231F20"/>
                <w:spacing w:val="-21"/>
                <w:w w:val="80"/>
                <w:sz w:val="16"/>
              </w:rPr>
              <w:t> </w:t>
            </w:r>
            <w:r>
              <w:rPr>
                <w:color w:val="231F20"/>
                <w:w w:val="80"/>
                <w:sz w:val="16"/>
              </w:rPr>
              <w:t>promocionar</w:t>
            </w:r>
            <w:r>
              <w:rPr>
                <w:color w:val="231F20"/>
                <w:spacing w:val="-21"/>
                <w:w w:val="80"/>
                <w:sz w:val="16"/>
              </w:rPr>
              <w:t> </w:t>
            </w:r>
            <w:r>
              <w:rPr>
                <w:color w:val="231F20"/>
                <w:w w:val="80"/>
                <w:sz w:val="16"/>
              </w:rPr>
              <w:t>y</w:t>
            </w:r>
            <w:r>
              <w:rPr>
                <w:color w:val="231F20"/>
                <w:spacing w:val="-21"/>
                <w:w w:val="80"/>
                <w:sz w:val="16"/>
              </w:rPr>
              <w:t> </w:t>
            </w:r>
            <w:r>
              <w:rPr>
                <w:color w:val="231F20"/>
                <w:w w:val="80"/>
                <w:sz w:val="16"/>
              </w:rPr>
              <w:t>difundir</w:t>
            </w:r>
            <w:r>
              <w:rPr>
                <w:color w:val="231F20"/>
                <w:spacing w:val="-21"/>
                <w:w w:val="80"/>
                <w:sz w:val="16"/>
              </w:rPr>
              <w:t> </w:t>
            </w:r>
            <w:r>
              <w:rPr>
                <w:color w:val="231F20"/>
                <w:w w:val="80"/>
                <w:sz w:val="16"/>
              </w:rPr>
              <w:t>la</w:t>
            </w:r>
            <w:r>
              <w:rPr>
                <w:color w:val="231F20"/>
                <w:spacing w:val="-21"/>
                <w:w w:val="80"/>
                <w:sz w:val="16"/>
              </w:rPr>
              <w:t> </w:t>
            </w:r>
            <w:r>
              <w:rPr>
                <w:color w:val="231F20"/>
                <w:w w:val="80"/>
                <w:sz w:val="16"/>
              </w:rPr>
              <w:t>cultura. Fortalecer</w:t>
            </w:r>
            <w:r>
              <w:rPr>
                <w:color w:val="231F20"/>
                <w:spacing w:val="-14"/>
                <w:w w:val="80"/>
                <w:sz w:val="16"/>
              </w:rPr>
              <w:t> </w:t>
            </w:r>
            <w:r>
              <w:rPr>
                <w:color w:val="231F20"/>
                <w:w w:val="80"/>
                <w:sz w:val="16"/>
              </w:rPr>
              <w:t>la</w:t>
            </w:r>
            <w:r>
              <w:rPr>
                <w:color w:val="231F20"/>
                <w:spacing w:val="-14"/>
                <w:w w:val="80"/>
                <w:sz w:val="16"/>
              </w:rPr>
              <w:t> </w:t>
            </w:r>
            <w:r>
              <w:rPr>
                <w:color w:val="231F20"/>
                <w:w w:val="80"/>
                <w:sz w:val="16"/>
              </w:rPr>
              <w:t>identidad</w:t>
            </w:r>
            <w:r>
              <w:rPr>
                <w:color w:val="231F20"/>
                <w:spacing w:val="-14"/>
                <w:w w:val="80"/>
                <w:sz w:val="16"/>
              </w:rPr>
              <w:t> </w:t>
            </w:r>
            <w:r>
              <w:rPr>
                <w:color w:val="231F20"/>
                <w:w w:val="80"/>
                <w:sz w:val="16"/>
              </w:rPr>
              <w:t>estatal</w:t>
            </w:r>
            <w:r>
              <w:rPr>
                <w:color w:val="231F20"/>
                <w:spacing w:val="-14"/>
                <w:w w:val="80"/>
                <w:sz w:val="16"/>
              </w:rPr>
              <w:t> </w:t>
            </w:r>
            <w:r>
              <w:rPr>
                <w:color w:val="231F20"/>
                <w:w w:val="80"/>
                <w:sz w:val="16"/>
              </w:rPr>
              <w:t>y</w:t>
            </w:r>
            <w:r>
              <w:rPr>
                <w:color w:val="231F20"/>
                <w:spacing w:val="-14"/>
                <w:w w:val="80"/>
                <w:sz w:val="16"/>
              </w:rPr>
              <w:t> </w:t>
            </w:r>
            <w:r>
              <w:rPr>
                <w:color w:val="231F20"/>
                <w:w w:val="80"/>
                <w:sz w:val="16"/>
              </w:rPr>
              <w:t>los</w:t>
            </w:r>
            <w:r>
              <w:rPr>
                <w:color w:val="231F20"/>
                <w:spacing w:val="-14"/>
                <w:w w:val="80"/>
                <w:sz w:val="16"/>
              </w:rPr>
              <w:t> </w:t>
            </w:r>
            <w:r>
              <w:rPr>
                <w:color w:val="231F20"/>
                <w:w w:val="80"/>
                <w:sz w:val="16"/>
              </w:rPr>
              <w:t>valores </w:t>
            </w:r>
            <w:r>
              <w:rPr>
                <w:color w:val="231F20"/>
                <w:w w:val="85"/>
                <w:sz w:val="16"/>
              </w:rPr>
              <w:t>socioculturales.</w:t>
            </w:r>
          </w:p>
        </w:tc>
        <w:tc>
          <w:tcPr>
            <w:tcW w:w="507" w:type="dxa"/>
          </w:tcPr>
          <w:p>
            <w:pPr>
              <w:pStyle w:val="TableParagraph"/>
              <w:ind w:left="0"/>
              <w:rPr>
                <w:rFonts w:ascii="Times New Roman"/>
                <w:b/>
                <w:sz w:val="16"/>
              </w:rPr>
            </w:pPr>
          </w:p>
          <w:p>
            <w:pPr>
              <w:pStyle w:val="TableParagraph"/>
              <w:spacing w:before="6"/>
              <w:ind w:left="0"/>
              <w:rPr>
                <w:rFonts w:ascii="Times New Roman"/>
                <w:b/>
                <w:sz w:val="14"/>
              </w:rPr>
            </w:pPr>
          </w:p>
          <w:p>
            <w:pPr>
              <w:pStyle w:val="TableParagraph"/>
              <w:ind w:left="160" w:right="157"/>
              <w:jc w:val="center"/>
              <w:rPr>
                <w:sz w:val="16"/>
              </w:rPr>
            </w:pPr>
            <w:r>
              <w:rPr>
                <w:color w:val="231F20"/>
                <w:w w:val="85"/>
                <w:sz w:val="16"/>
              </w:rPr>
              <w:t>06</w:t>
            </w:r>
          </w:p>
        </w:tc>
        <w:tc>
          <w:tcPr>
            <w:tcW w:w="587" w:type="dxa"/>
          </w:tcPr>
          <w:p>
            <w:pPr>
              <w:pStyle w:val="TableParagraph"/>
              <w:ind w:left="0"/>
              <w:rPr>
                <w:rFonts w:ascii="Times New Roman"/>
                <w:b/>
                <w:sz w:val="16"/>
              </w:rPr>
            </w:pPr>
          </w:p>
          <w:p>
            <w:pPr>
              <w:pStyle w:val="TableParagraph"/>
              <w:spacing w:before="6"/>
              <w:ind w:left="0"/>
              <w:rPr>
                <w:rFonts w:ascii="Times New Roman"/>
                <w:b/>
                <w:sz w:val="14"/>
              </w:rPr>
            </w:pPr>
          </w:p>
          <w:p>
            <w:pPr>
              <w:pStyle w:val="TableParagraph"/>
              <w:ind w:left="197" w:right="197"/>
              <w:jc w:val="center"/>
              <w:rPr>
                <w:sz w:val="16"/>
              </w:rPr>
            </w:pPr>
            <w:r>
              <w:rPr>
                <w:color w:val="231F20"/>
                <w:w w:val="85"/>
                <w:sz w:val="16"/>
              </w:rPr>
              <w:t>02</w:t>
            </w:r>
          </w:p>
        </w:tc>
        <w:tc>
          <w:tcPr>
            <w:tcW w:w="1713" w:type="dxa"/>
            <w:tcBorders>
              <w:right w:val="double" w:sz="2" w:space="0" w:color="231F20"/>
            </w:tcBorders>
          </w:tcPr>
          <w:p>
            <w:pPr>
              <w:pStyle w:val="TableParagraph"/>
              <w:ind w:left="0"/>
              <w:rPr>
                <w:rFonts w:ascii="Times New Roman"/>
                <w:b/>
                <w:sz w:val="16"/>
              </w:rPr>
            </w:pPr>
          </w:p>
          <w:p>
            <w:pPr>
              <w:pStyle w:val="TableParagraph"/>
              <w:spacing w:before="6"/>
              <w:ind w:left="0"/>
              <w:rPr>
                <w:rFonts w:ascii="Times New Roman"/>
                <w:b/>
                <w:sz w:val="14"/>
              </w:rPr>
            </w:pPr>
          </w:p>
          <w:p>
            <w:pPr>
              <w:pStyle w:val="TableParagraph"/>
              <w:ind w:left="190" w:right="188"/>
              <w:jc w:val="center"/>
              <w:rPr>
                <w:sz w:val="16"/>
              </w:rPr>
            </w:pPr>
            <w:r>
              <w:rPr>
                <w:color w:val="231F20"/>
                <w:w w:val="75"/>
                <w:sz w:val="16"/>
              </w:rPr>
              <w:t>Educación y Cultura</w:t>
            </w:r>
          </w:p>
        </w:tc>
      </w:tr>
      <w:tr>
        <w:trPr>
          <w:trHeight w:val="322" w:hRule="exact"/>
        </w:trPr>
        <w:tc>
          <w:tcPr>
            <w:tcW w:w="433" w:type="dxa"/>
            <w:vMerge/>
            <w:tcBorders>
              <w:left w:val="double" w:sz="2" w:space="0" w:color="231F20"/>
            </w:tcBorders>
            <w:textDirection w:val="btLr"/>
          </w:tcPr>
          <w:p>
            <w:pPr/>
          </w:p>
        </w:tc>
        <w:tc>
          <w:tcPr>
            <w:tcW w:w="2314" w:type="dxa"/>
            <w:vMerge/>
          </w:tcPr>
          <w:p>
            <w:pPr/>
          </w:p>
        </w:tc>
        <w:tc>
          <w:tcPr>
            <w:tcW w:w="2415" w:type="dxa"/>
          </w:tcPr>
          <w:p>
            <w:pPr>
              <w:pStyle w:val="TableParagraph"/>
              <w:spacing w:line="161" w:lineRule="exact"/>
              <w:ind w:left="23" w:right="23"/>
              <w:jc w:val="center"/>
              <w:rPr>
                <w:sz w:val="16"/>
              </w:rPr>
            </w:pPr>
            <w:r>
              <w:rPr>
                <w:color w:val="231F20"/>
                <w:w w:val="80"/>
                <w:sz w:val="16"/>
              </w:rPr>
              <w:t>Impulsar una política estatal de cultura física</w:t>
            </w:r>
          </w:p>
          <w:p>
            <w:pPr>
              <w:pStyle w:val="TableParagraph"/>
              <w:spacing w:line="191" w:lineRule="exact"/>
              <w:ind w:left="23" w:right="23"/>
              <w:jc w:val="center"/>
              <w:rPr>
                <w:sz w:val="16"/>
              </w:rPr>
            </w:pPr>
            <w:r>
              <w:rPr>
                <w:color w:val="231F20"/>
                <w:w w:val="80"/>
                <w:sz w:val="16"/>
              </w:rPr>
              <w:t>y deporte, integral e incluyente.</w:t>
            </w:r>
          </w:p>
        </w:tc>
        <w:tc>
          <w:tcPr>
            <w:tcW w:w="507" w:type="dxa"/>
          </w:tcPr>
          <w:p>
            <w:pPr>
              <w:pStyle w:val="TableParagraph"/>
              <w:spacing w:before="63"/>
              <w:ind w:left="160" w:right="157"/>
              <w:jc w:val="center"/>
              <w:rPr>
                <w:sz w:val="16"/>
              </w:rPr>
            </w:pPr>
            <w:r>
              <w:rPr>
                <w:color w:val="231F20"/>
                <w:w w:val="85"/>
                <w:sz w:val="16"/>
              </w:rPr>
              <w:t>06</w:t>
            </w:r>
          </w:p>
        </w:tc>
        <w:tc>
          <w:tcPr>
            <w:tcW w:w="587" w:type="dxa"/>
          </w:tcPr>
          <w:p>
            <w:pPr>
              <w:pStyle w:val="TableParagraph"/>
              <w:spacing w:before="63"/>
              <w:ind w:left="197" w:right="197"/>
              <w:jc w:val="center"/>
              <w:rPr>
                <w:sz w:val="16"/>
              </w:rPr>
            </w:pPr>
            <w:r>
              <w:rPr>
                <w:color w:val="231F20"/>
                <w:w w:val="85"/>
                <w:sz w:val="16"/>
              </w:rPr>
              <w:t>03</w:t>
            </w:r>
          </w:p>
        </w:tc>
        <w:tc>
          <w:tcPr>
            <w:tcW w:w="1713" w:type="dxa"/>
            <w:tcBorders>
              <w:right w:val="double" w:sz="2" w:space="0" w:color="231F20"/>
            </w:tcBorders>
          </w:tcPr>
          <w:p>
            <w:pPr>
              <w:pStyle w:val="TableParagraph"/>
              <w:spacing w:before="63"/>
              <w:ind w:left="190" w:right="188"/>
              <w:jc w:val="center"/>
              <w:rPr>
                <w:sz w:val="16"/>
              </w:rPr>
            </w:pPr>
            <w:r>
              <w:rPr>
                <w:color w:val="231F20"/>
                <w:w w:val="75"/>
                <w:sz w:val="16"/>
              </w:rPr>
              <w:t>Cultura Física y Deporte</w:t>
            </w:r>
          </w:p>
        </w:tc>
      </w:tr>
      <w:tr>
        <w:trPr>
          <w:trHeight w:val="3284" w:hRule="exact"/>
        </w:trPr>
        <w:tc>
          <w:tcPr>
            <w:tcW w:w="433" w:type="dxa"/>
            <w:vMerge/>
            <w:tcBorders>
              <w:left w:val="double" w:sz="2" w:space="0" w:color="231F20"/>
            </w:tcBorders>
            <w:textDirection w:val="btLr"/>
          </w:tcPr>
          <w:p>
            <w:pPr/>
          </w:p>
        </w:tc>
        <w:tc>
          <w:tcPr>
            <w:tcW w:w="2314" w:type="dxa"/>
            <w:vMerge w:val="restart"/>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6"/>
              <w:ind w:left="0"/>
              <w:rPr>
                <w:rFonts w:ascii="Times New Roman"/>
                <w:b/>
                <w:sz w:val="18"/>
              </w:rPr>
            </w:pPr>
          </w:p>
          <w:p>
            <w:pPr>
              <w:pStyle w:val="TableParagraph"/>
              <w:spacing w:line="192" w:lineRule="exact"/>
              <w:ind w:left="76" w:right="74"/>
              <w:jc w:val="center"/>
              <w:rPr>
                <w:sz w:val="16"/>
              </w:rPr>
            </w:pPr>
            <w:r>
              <w:rPr>
                <w:color w:val="231F20"/>
                <w:w w:val="80"/>
                <w:sz w:val="16"/>
              </w:rPr>
              <w:t>Fomentar la capacidad del Estado para conducir</w:t>
            </w:r>
            <w:r>
              <w:rPr>
                <w:color w:val="231F20"/>
                <w:spacing w:val="-20"/>
                <w:w w:val="80"/>
                <w:sz w:val="16"/>
              </w:rPr>
              <w:t> </w:t>
            </w:r>
            <w:r>
              <w:rPr>
                <w:color w:val="231F20"/>
                <w:w w:val="80"/>
                <w:sz w:val="16"/>
              </w:rPr>
              <w:t>y</w:t>
            </w:r>
            <w:r>
              <w:rPr>
                <w:color w:val="231F20"/>
                <w:spacing w:val="-20"/>
                <w:w w:val="80"/>
                <w:sz w:val="16"/>
              </w:rPr>
              <w:t> </w:t>
            </w:r>
            <w:r>
              <w:rPr>
                <w:color w:val="231F20"/>
                <w:w w:val="80"/>
                <w:sz w:val="16"/>
              </w:rPr>
              <w:t>regular</w:t>
            </w:r>
            <w:r>
              <w:rPr>
                <w:color w:val="231F20"/>
                <w:spacing w:val="-20"/>
                <w:w w:val="80"/>
                <w:sz w:val="16"/>
              </w:rPr>
              <w:t> </w:t>
            </w:r>
            <w:r>
              <w:rPr>
                <w:color w:val="231F20"/>
                <w:w w:val="80"/>
                <w:sz w:val="16"/>
              </w:rPr>
              <w:t>los</w:t>
            </w:r>
            <w:r>
              <w:rPr>
                <w:color w:val="231F20"/>
                <w:spacing w:val="-20"/>
                <w:w w:val="80"/>
                <w:sz w:val="16"/>
              </w:rPr>
              <w:t> </w:t>
            </w:r>
            <w:r>
              <w:rPr>
                <w:color w:val="231F20"/>
                <w:w w:val="80"/>
                <w:sz w:val="16"/>
              </w:rPr>
              <w:t>fenómenos</w:t>
            </w:r>
            <w:r>
              <w:rPr>
                <w:color w:val="231F20"/>
                <w:spacing w:val="-20"/>
                <w:w w:val="80"/>
                <w:sz w:val="16"/>
              </w:rPr>
              <w:t> </w:t>
            </w:r>
            <w:r>
              <w:rPr>
                <w:color w:val="231F20"/>
                <w:w w:val="80"/>
                <w:sz w:val="16"/>
              </w:rPr>
              <w:t>que</w:t>
            </w:r>
            <w:r>
              <w:rPr>
                <w:color w:val="231F20"/>
                <w:spacing w:val="-20"/>
                <w:w w:val="80"/>
                <w:sz w:val="16"/>
              </w:rPr>
              <w:t> </w:t>
            </w:r>
            <w:r>
              <w:rPr>
                <w:color w:val="231F20"/>
                <w:w w:val="80"/>
                <w:sz w:val="16"/>
              </w:rPr>
              <w:t>afec- tan</w:t>
            </w:r>
            <w:r>
              <w:rPr>
                <w:color w:val="231F20"/>
                <w:spacing w:val="-13"/>
                <w:w w:val="80"/>
                <w:sz w:val="16"/>
              </w:rPr>
              <w:t> </w:t>
            </w:r>
            <w:r>
              <w:rPr>
                <w:color w:val="231F20"/>
                <w:w w:val="80"/>
                <w:sz w:val="16"/>
              </w:rPr>
              <w:t>a</w:t>
            </w:r>
            <w:r>
              <w:rPr>
                <w:color w:val="231F20"/>
                <w:spacing w:val="-13"/>
                <w:w w:val="80"/>
                <w:sz w:val="16"/>
              </w:rPr>
              <w:t> </w:t>
            </w:r>
            <w:r>
              <w:rPr>
                <w:color w:val="231F20"/>
                <w:w w:val="80"/>
                <w:sz w:val="16"/>
              </w:rPr>
              <w:t>la</w:t>
            </w:r>
            <w:r>
              <w:rPr>
                <w:color w:val="231F20"/>
                <w:spacing w:val="-13"/>
                <w:w w:val="80"/>
                <w:sz w:val="16"/>
              </w:rPr>
              <w:t> </w:t>
            </w:r>
            <w:r>
              <w:rPr>
                <w:color w:val="231F20"/>
                <w:w w:val="80"/>
                <w:sz w:val="16"/>
              </w:rPr>
              <w:t>población</w:t>
            </w:r>
            <w:r>
              <w:rPr>
                <w:color w:val="231F20"/>
                <w:spacing w:val="-13"/>
                <w:w w:val="80"/>
                <w:sz w:val="16"/>
              </w:rPr>
              <w:t> </w:t>
            </w:r>
            <w:r>
              <w:rPr>
                <w:color w:val="231F20"/>
                <w:w w:val="80"/>
                <w:sz w:val="16"/>
              </w:rPr>
              <w:t>en</w:t>
            </w:r>
            <w:r>
              <w:rPr>
                <w:color w:val="231F20"/>
                <w:spacing w:val="-13"/>
                <w:w w:val="80"/>
                <w:sz w:val="16"/>
              </w:rPr>
              <w:t> </w:t>
            </w:r>
            <w:r>
              <w:rPr>
                <w:color w:val="231F20"/>
                <w:w w:val="80"/>
                <w:sz w:val="16"/>
              </w:rPr>
              <w:t>cuanto</w:t>
            </w:r>
            <w:r>
              <w:rPr>
                <w:color w:val="231F20"/>
                <w:spacing w:val="-13"/>
                <w:w w:val="80"/>
                <w:sz w:val="16"/>
              </w:rPr>
              <w:t> </w:t>
            </w:r>
            <w:r>
              <w:rPr>
                <w:color w:val="231F20"/>
                <w:w w:val="80"/>
                <w:sz w:val="16"/>
              </w:rPr>
              <w:t>a</w:t>
            </w:r>
            <w:r>
              <w:rPr>
                <w:color w:val="231F20"/>
                <w:spacing w:val="-13"/>
                <w:w w:val="80"/>
                <w:sz w:val="16"/>
              </w:rPr>
              <w:t> </w:t>
            </w:r>
            <w:r>
              <w:rPr>
                <w:color w:val="231F20"/>
                <w:w w:val="80"/>
                <w:sz w:val="16"/>
              </w:rPr>
              <w:t>su</w:t>
            </w:r>
            <w:r>
              <w:rPr>
                <w:color w:val="231F20"/>
                <w:spacing w:val="-13"/>
                <w:w w:val="80"/>
                <w:sz w:val="16"/>
              </w:rPr>
              <w:t> </w:t>
            </w:r>
            <w:r>
              <w:rPr>
                <w:color w:val="231F20"/>
                <w:w w:val="80"/>
                <w:sz w:val="16"/>
              </w:rPr>
              <w:t>tamaño, </w:t>
            </w:r>
            <w:r>
              <w:rPr>
                <w:color w:val="231F20"/>
                <w:w w:val="75"/>
                <w:sz w:val="16"/>
              </w:rPr>
              <w:t>dinámica,</w:t>
            </w:r>
            <w:r>
              <w:rPr>
                <w:color w:val="231F20"/>
                <w:spacing w:val="27"/>
                <w:w w:val="75"/>
                <w:sz w:val="16"/>
              </w:rPr>
              <w:t> </w:t>
            </w:r>
            <w:r>
              <w:rPr>
                <w:color w:val="231F20"/>
                <w:w w:val="75"/>
                <w:sz w:val="16"/>
              </w:rPr>
              <w:t>estructura</w:t>
            </w:r>
            <w:r>
              <w:rPr>
                <w:color w:val="231F20"/>
                <w:spacing w:val="27"/>
                <w:w w:val="75"/>
                <w:sz w:val="16"/>
              </w:rPr>
              <w:t> </w:t>
            </w:r>
            <w:r>
              <w:rPr>
                <w:color w:val="231F20"/>
                <w:w w:val="75"/>
                <w:sz w:val="16"/>
              </w:rPr>
              <w:t>y</w:t>
            </w:r>
            <w:r>
              <w:rPr>
                <w:color w:val="231F20"/>
                <w:spacing w:val="-8"/>
                <w:w w:val="75"/>
                <w:sz w:val="16"/>
              </w:rPr>
              <w:t> </w:t>
            </w:r>
            <w:r>
              <w:rPr>
                <w:color w:val="231F20"/>
                <w:w w:val="75"/>
                <w:sz w:val="16"/>
              </w:rPr>
              <w:t>distribución.</w:t>
            </w:r>
          </w:p>
          <w:p>
            <w:pPr>
              <w:pStyle w:val="TableParagraph"/>
              <w:spacing w:line="192" w:lineRule="exact"/>
              <w:ind w:left="76" w:right="74"/>
              <w:jc w:val="center"/>
              <w:rPr>
                <w:sz w:val="16"/>
              </w:rPr>
            </w:pPr>
            <w:r>
              <w:rPr>
                <w:color w:val="231F20"/>
                <w:w w:val="80"/>
                <w:sz w:val="16"/>
              </w:rPr>
              <w:t>Acrecentar la equidad y la igualdad de </w:t>
            </w:r>
            <w:r>
              <w:rPr>
                <w:color w:val="231F20"/>
                <w:w w:val="85"/>
                <w:sz w:val="16"/>
              </w:rPr>
              <w:t>oportunidades</w:t>
            </w:r>
          </w:p>
        </w:tc>
        <w:tc>
          <w:tcPr>
            <w:tcW w:w="2415" w:type="dxa"/>
          </w:tcPr>
          <w:p>
            <w:pPr>
              <w:pStyle w:val="TableParagraph"/>
              <w:ind w:left="0"/>
              <w:rPr>
                <w:rFonts w:ascii="Times New Roman"/>
                <w:b/>
                <w:sz w:val="16"/>
              </w:rPr>
            </w:pPr>
          </w:p>
          <w:p>
            <w:pPr>
              <w:pStyle w:val="TableParagraph"/>
              <w:ind w:left="0"/>
              <w:rPr>
                <w:rFonts w:ascii="Times New Roman"/>
                <w:b/>
                <w:sz w:val="18"/>
              </w:rPr>
            </w:pPr>
          </w:p>
          <w:p>
            <w:pPr>
              <w:pStyle w:val="TableParagraph"/>
              <w:spacing w:line="192" w:lineRule="exact"/>
              <w:ind w:left="159" w:right="156" w:hanging="1"/>
              <w:jc w:val="center"/>
              <w:rPr>
                <w:sz w:val="16"/>
              </w:rPr>
            </w:pPr>
            <w:r>
              <w:rPr>
                <w:color w:val="231F20"/>
                <w:w w:val="80"/>
                <w:sz w:val="16"/>
              </w:rPr>
              <w:t>Desarrollar integralmente a la familia. Desarrollar</w:t>
            </w:r>
            <w:r>
              <w:rPr>
                <w:color w:val="231F20"/>
                <w:spacing w:val="-20"/>
                <w:w w:val="80"/>
                <w:sz w:val="16"/>
              </w:rPr>
              <w:t> </w:t>
            </w:r>
            <w:r>
              <w:rPr>
                <w:color w:val="231F20"/>
                <w:w w:val="80"/>
                <w:sz w:val="16"/>
              </w:rPr>
              <w:t>una</w:t>
            </w:r>
            <w:r>
              <w:rPr>
                <w:color w:val="231F20"/>
                <w:spacing w:val="-20"/>
                <w:w w:val="80"/>
                <w:sz w:val="16"/>
              </w:rPr>
              <w:t> </w:t>
            </w:r>
            <w:r>
              <w:rPr>
                <w:color w:val="231F20"/>
                <w:w w:val="80"/>
                <w:sz w:val="16"/>
              </w:rPr>
              <w:t>política</w:t>
            </w:r>
            <w:r>
              <w:rPr>
                <w:color w:val="231F20"/>
                <w:spacing w:val="-20"/>
                <w:w w:val="80"/>
                <w:sz w:val="16"/>
              </w:rPr>
              <w:t> </w:t>
            </w:r>
            <w:r>
              <w:rPr>
                <w:color w:val="231F20"/>
                <w:w w:val="80"/>
                <w:sz w:val="16"/>
              </w:rPr>
              <w:t>demográfica</w:t>
            </w:r>
            <w:r>
              <w:rPr>
                <w:color w:val="231F20"/>
                <w:spacing w:val="-20"/>
                <w:w w:val="80"/>
                <w:sz w:val="16"/>
              </w:rPr>
              <w:t> </w:t>
            </w:r>
            <w:r>
              <w:rPr>
                <w:color w:val="231F20"/>
                <w:w w:val="80"/>
                <w:sz w:val="16"/>
              </w:rPr>
              <w:t>para </w:t>
            </w:r>
            <w:r>
              <w:rPr>
                <w:color w:val="231F20"/>
                <w:w w:val="75"/>
                <w:sz w:val="16"/>
              </w:rPr>
              <w:t>una sociedad en</w:t>
            </w:r>
            <w:r>
              <w:rPr>
                <w:color w:val="231F20"/>
                <w:spacing w:val="24"/>
                <w:w w:val="75"/>
                <w:sz w:val="16"/>
              </w:rPr>
              <w:t> </w:t>
            </w:r>
            <w:r>
              <w:rPr>
                <w:color w:val="231F20"/>
                <w:w w:val="75"/>
                <w:sz w:val="16"/>
              </w:rPr>
              <w:t>expansión.</w:t>
            </w:r>
          </w:p>
          <w:p>
            <w:pPr>
              <w:pStyle w:val="TableParagraph"/>
              <w:spacing w:line="192" w:lineRule="exact"/>
              <w:ind w:left="89" w:right="86" w:hanging="1"/>
              <w:jc w:val="center"/>
              <w:rPr>
                <w:sz w:val="16"/>
              </w:rPr>
            </w:pPr>
            <w:r>
              <w:rPr>
                <w:color w:val="231F20"/>
                <w:w w:val="80"/>
                <w:sz w:val="16"/>
              </w:rPr>
              <w:t>Incluir, apoyar y proteger a las mujeres. Proteger y cuidar a la niñez mexiquense. Brindar</w:t>
            </w:r>
            <w:r>
              <w:rPr>
                <w:color w:val="231F20"/>
                <w:spacing w:val="-19"/>
                <w:w w:val="80"/>
                <w:sz w:val="16"/>
              </w:rPr>
              <w:t> </w:t>
            </w:r>
            <w:r>
              <w:rPr>
                <w:color w:val="231F20"/>
                <w:w w:val="80"/>
                <w:sz w:val="16"/>
              </w:rPr>
              <w:t>oportunidades</w:t>
            </w:r>
            <w:r>
              <w:rPr>
                <w:color w:val="231F20"/>
                <w:spacing w:val="-19"/>
                <w:w w:val="80"/>
                <w:sz w:val="16"/>
              </w:rPr>
              <w:t> </w:t>
            </w:r>
            <w:r>
              <w:rPr>
                <w:color w:val="231F20"/>
                <w:w w:val="80"/>
                <w:sz w:val="16"/>
              </w:rPr>
              <w:t>para</w:t>
            </w:r>
            <w:r>
              <w:rPr>
                <w:color w:val="231F20"/>
                <w:spacing w:val="-19"/>
                <w:w w:val="80"/>
                <w:sz w:val="16"/>
              </w:rPr>
              <w:t> </w:t>
            </w:r>
            <w:r>
              <w:rPr>
                <w:color w:val="231F20"/>
                <w:w w:val="80"/>
                <w:sz w:val="16"/>
              </w:rPr>
              <w:t>el</w:t>
            </w:r>
            <w:r>
              <w:rPr>
                <w:color w:val="231F20"/>
                <w:spacing w:val="-19"/>
                <w:w w:val="80"/>
                <w:sz w:val="16"/>
              </w:rPr>
              <w:t> </w:t>
            </w:r>
            <w:r>
              <w:rPr>
                <w:color w:val="231F20"/>
                <w:w w:val="80"/>
                <w:sz w:val="16"/>
              </w:rPr>
              <w:t>sano</w:t>
            </w:r>
            <w:r>
              <w:rPr>
                <w:color w:val="231F20"/>
                <w:spacing w:val="-19"/>
                <w:w w:val="80"/>
                <w:sz w:val="16"/>
              </w:rPr>
              <w:t> </w:t>
            </w:r>
            <w:r>
              <w:rPr>
                <w:color w:val="231F20"/>
                <w:w w:val="80"/>
                <w:sz w:val="16"/>
              </w:rPr>
              <w:t>desarro- llo</w:t>
            </w:r>
            <w:r>
              <w:rPr>
                <w:color w:val="231F20"/>
                <w:spacing w:val="-18"/>
                <w:w w:val="80"/>
                <w:sz w:val="16"/>
              </w:rPr>
              <w:t> </w:t>
            </w:r>
            <w:r>
              <w:rPr>
                <w:color w:val="231F20"/>
                <w:w w:val="80"/>
                <w:sz w:val="16"/>
              </w:rPr>
              <w:t>de</w:t>
            </w:r>
            <w:r>
              <w:rPr>
                <w:color w:val="231F20"/>
                <w:spacing w:val="-18"/>
                <w:w w:val="80"/>
                <w:sz w:val="16"/>
              </w:rPr>
              <w:t> </w:t>
            </w:r>
            <w:r>
              <w:rPr>
                <w:color w:val="231F20"/>
                <w:w w:val="80"/>
                <w:sz w:val="16"/>
              </w:rPr>
              <w:t>la</w:t>
            </w:r>
            <w:r>
              <w:rPr>
                <w:color w:val="231F20"/>
                <w:spacing w:val="-18"/>
                <w:w w:val="80"/>
                <w:sz w:val="16"/>
              </w:rPr>
              <w:t> </w:t>
            </w:r>
            <w:r>
              <w:rPr>
                <w:color w:val="231F20"/>
                <w:w w:val="80"/>
                <w:sz w:val="16"/>
              </w:rPr>
              <w:t>juventud</w:t>
            </w:r>
            <w:r>
              <w:rPr>
                <w:color w:val="231F20"/>
                <w:spacing w:val="-18"/>
                <w:w w:val="80"/>
                <w:sz w:val="16"/>
              </w:rPr>
              <w:t> </w:t>
            </w:r>
            <w:r>
              <w:rPr>
                <w:color w:val="231F20"/>
                <w:w w:val="80"/>
                <w:sz w:val="16"/>
              </w:rPr>
              <w:t>mexiquense.</w:t>
            </w:r>
          </w:p>
          <w:p>
            <w:pPr>
              <w:pStyle w:val="TableParagraph"/>
              <w:spacing w:line="192" w:lineRule="exact"/>
              <w:ind w:left="23" w:right="20"/>
              <w:jc w:val="center"/>
              <w:rPr>
                <w:sz w:val="16"/>
              </w:rPr>
            </w:pPr>
            <w:r>
              <w:rPr>
                <w:color w:val="231F20"/>
                <w:w w:val="80"/>
                <w:sz w:val="16"/>
              </w:rPr>
              <w:t>Ofrecer</w:t>
            </w:r>
            <w:r>
              <w:rPr>
                <w:color w:val="231F20"/>
                <w:spacing w:val="-17"/>
                <w:w w:val="80"/>
                <w:sz w:val="16"/>
              </w:rPr>
              <w:t> </w:t>
            </w:r>
            <w:r>
              <w:rPr>
                <w:color w:val="231F20"/>
                <w:w w:val="80"/>
                <w:sz w:val="16"/>
              </w:rPr>
              <w:t>mejor</w:t>
            </w:r>
            <w:r>
              <w:rPr>
                <w:color w:val="231F20"/>
                <w:spacing w:val="-17"/>
                <w:w w:val="80"/>
                <w:sz w:val="16"/>
              </w:rPr>
              <w:t> </w:t>
            </w:r>
            <w:r>
              <w:rPr>
                <w:color w:val="231F20"/>
                <w:w w:val="80"/>
                <w:sz w:val="16"/>
              </w:rPr>
              <w:t>calidad</w:t>
            </w:r>
            <w:r>
              <w:rPr>
                <w:color w:val="231F20"/>
                <w:spacing w:val="-17"/>
                <w:w w:val="80"/>
                <w:sz w:val="16"/>
              </w:rPr>
              <w:t> </w:t>
            </w:r>
            <w:r>
              <w:rPr>
                <w:color w:val="231F20"/>
                <w:w w:val="80"/>
                <w:sz w:val="16"/>
              </w:rPr>
              <w:t>de</w:t>
            </w:r>
            <w:r>
              <w:rPr>
                <w:color w:val="231F20"/>
                <w:spacing w:val="-17"/>
                <w:w w:val="80"/>
                <w:sz w:val="16"/>
              </w:rPr>
              <w:t> </w:t>
            </w:r>
            <w:r>
              <w:rPr>
                <w:color w:val="231F20"/>
                <w:w w:val="80"/>
                <w:sz w:val="16"/>
              </w:rPr>
              <w:t>vida</w:t>
            </w:r>
            <w:r>
              <w:rPr>
                <w:color w:val="231F20"/>
                <w:spacing w:val="-17"/>
                <w:w w:val="80"/>
                <w:sz w:val="16"/>
              </w:rPr>
              <w:t> </w:t>
            </w:r>
            <w:r>
              <w:rPr>
                <w:color w:val="231F20"/>
                <w:w w:val="80"/>
                <w:sz w:val="16"/>
              </w:rPr>
              <w:t>a</w:t>
            </w:r>
            <w:r>
              <w:rPr>
                <w:color w:val="231F20"/>
                <w:spacing w:val="-17"/>
                <w:w w:val="80"/>
                <w:sz w:val="16"/>
              </w:rPr>
              <w:t> </w:t>
            </w:r>
            <w:r>
              <w:rPr>
                <w:color w:val="231F20"/>
                <w:w w:val="80"/>
                <w:sz w:val="16"/>
              </w:rPr>
              <w:t>los</w:t>
            </w:r>
            <w:r>
              <w:rPr>
                <w:color w:val="231F20"/>
                <w:spacing w:val="-17"/>
                <w:w w:val="80"/>
                <w:sz w:val="16"/>
              </w:rPr>
              <w:t> </w:t>
            </w:r>
            <w:r>
              <w:rPr>
                <w:color w:val="231F20"/>
                <w:w w:val="80"/>
                <w:sz w:val="16"/>
              </w:rPr>
              <w:t>adultos </w:t>
            </w:r>
            <w:r>
              <w:rPr>
                <w:color w:val="231F20"/>
                <w:w w:val="85"/>
                <w:sz w:val="16"/>
              </w:rPr>
              <w:t>mayores.</w:t>
            </w:r>
          </w:p>
          <w:p>
            <w:pPr>
              <w:pStyle w:val="TableParagraph"/>
              <w:spacing w:line="192" w:lineRule="exact"/>
              <w:ind w:left="23" w:right="20"/>
              <w:jc w:val="center"/>
              <w:rPr>
                <w:sz w:val="16"/>
              </w:rPr>
            </w:pPr>
            <w:r>
              <w:rPr>
                <w:color w:val="231F20"/>
                <w:w w:val="80"/>
                <w:sz w:val="16"/>
              </w:rPr>
              <w:t>Fomentar</w:t>
            </w:r>
            <w:r>
              <w:rPr>
                <w:color w:val="231F20"/>
                <w:spacing w:val="-15"/>
                <w:w w:val="80"/>
                <w:sz w:val="16"/>
              </w:rPr>
              <w:t> </w:t>
            </w:r>
            <w:r>
              <w:rPr>
                <w:color w:val="231F20"/>
                <w:w w:val="80"/>
                <w:sz w:val="16"/>
              </w:rPr>
              <w:t>el</w:t>
            </w:r>
            <w:r>
              <w:rPr>
                <w:color w:val="231F20"/>
                <w:spacing w:val="-15"/>
                <w:w w:val="80"/>
                <w:sz w:val="16"/>
              </w:rPr>
              <w:t> </w:t>
            </w:r>
            <w:r>
              <w:rPr>
                <w:color w:val="231F20"/>
                <w:w w:val="80"/>
                <w:sz w:val="16"/>
              </w:rPr>
              <w:t>respeto</w:t>
            </w:r>
            <w:r>
              <w:rPr>
                <w:color w:val="231F20"/>
                <w:spacing w:val="-15"/>
                <w:w w:val="80"/>
                <w:sz w:val="16"/>
              </w:rPr>
              <w:t> </w:t>
            </w:r>
            <w:r>
              <w:rPr>
                <w:color w:val="231F20"/>
                <w:w w:val="80"/>
                <w:sz w:val="16"/>
              </w:rPr>
              <w:t>y</w:t>
            </w:r>
            <w:r>
              <w:rPr>
                <w:color w:val="231F20"/>
                <w:spacing w:val="-15"/>
                <w:w w:val="80"/>
                <w:sz w:val="16"/>
              </w:rPr>
              <w:t> </w:t>
            </w:r>
            <w:r>
              <w:rPr>
                <w:color w:val="231F20"/>
                <w:w w:val="80"/>
                <w:sz w:val="16"/>
              </w:rPr>
              <w:t>la</w:t>
            </w:r>
            <w:r>
              <w:rPr>
                <w:color w:val="231F20"/>
                <w:spacing w:val="-15"/>
                <w:w w:val="80"/>
                <w:sz w:val="16"/>
              </w:rPr>
              <w:t> </w:t>
            </w:r>
            <w:r>
              <w:rPr>
                <w:color w:val="231F20"/>
                <w:w w:val="80"/>
                <w:sz w:val="16"/>
              </w:rPr>
              <w:t>equidad</w:t>
            </w:r>
            <w:r>
              <w:rPr>
                <w:color w:val="231F20"/>
                <w:spacing w:val="-15"/>
                <w:w w:val="80"/>
                <w:sz w:val="16"/>
              </w:rPr>
              <w:t> </w:t>
            </w:r>
            <w:r>
              <w:rPr>
                <w:color w:val="231F20"/>
                <w:w w:val="80"/>
                <w:sz w:val="16"/>
              </w:rPr>
              <w:t>a</w:t>
            </w:r>
            <w:r>
              <w:rPr>
                <w:color w:val="231F20"/>
                <w:spacing w:val="-15"/>
                <w:w w:val="80"/>
                <w:sz w:val="16"/>
              </w:rPr>
              <w:t> </w:t>
            </w:r>
            <w:r>
              <w:rPr>
                <w:color w:val="231F20"/>
                <w:w w:val="80"/>
                <w:sz w:val="16"/>
              </w:rPr>
              <w:t>las </w:t>
            </w:r>
            <w:r>
              <w:rPr>
                <w:color w:val="231F20"/>
                <w:w w:val="75"/>
                <w:sz w:val="16"/>
              </w:rPr>
              <w:t>capacidades</w:t>
            </w:r>
            <w:r>
              <w:rPr>
                <w:color w:val="231F20"/>
                <w:spacing w:val="23"/>
                <w:w w:val="75"/>
                <w:sz w:val="16"/>
              </w:rPr>
              <w:t> </w:t>
            </w:r>
            <w:r>
              <w:rPr>
                <w:color w:val="231F20"/>
                <w:w w:val="75"/>
                <w:sz w:val="16"/>
              </w:rPr>
              <w:t>diferentes.</w:t>
            </w:r>
          </w:p>
          <w:p>
            <w:pPr>
              <w:pStyle w:val="TableParagraph"/>
              <w:spacing w:line="192" w:lineRule="exact"/>
              <w:ind w:left="242" w:right="239"/>
              <w:jc w:val="center"/>
              <w:rPr>
                <w:sz w:val="16"/>
              </w:rPr>
            </w:pPr>
            <w:r>
              <w:rPr>
                <w:color w:val="231F20"/>
                <w:w w:val="80"/>
                <w:sz w:val="16"/>
              </w:rPr>
              <w:t>Reducir la pobreza extrema para una sociedad más digna.</w:t>
            </w:r>
          </w:p>
        </w:tc>
        <w:tc>
          <w:tcPr>
            <w:tcW w:w="507" w:type="dxa"/>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3"/>
              <w:ind w:left="0"/>
              <w:rPr>
                <w:rFonts w:ascii="Times New Roman"/>
                <w:b/>
                <w:sz w:val="22"/>
              </w:rPr>
            </w:pPr>
          </w:p>
          <w:p>
            <w:pPr>
              <w:pStyle w:val="TableParagraph"/>
              <w:ind w:left="160" w:right="157"/>
              <w:jc w:val="center"/>
              <w:rPr>
                <w:sz w:val="16"/>
              </w:rPr>
            </w:pPr>
            <w:r>
              <w:rPr>
                <w:color w:val="231F20"/>
                <w:w w:val="85"/>
                <w:sz w:val="16"/>
              </w:rPr>
              <w:t>06</w:t>
            </w:r>
          </w:p>
        </w:tc>
        <w:tc>
          <w:tcPr>
            <w:tcW w:w="587" w:type="dxa"/>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3"/>
              <w:ind w:left="0"/>
              <w:rPr>
                <w:rFonts w:ascii="Times New Roman"/>
                <w:b/>
                <w:sz w:val="22"/>
              </w:rPr>
            </w:pPr>
          </w:p>
          <w:p>
            <w:pPr>
              <w:pStyle w:val="TableParagraph"/>
              <w:ind w:left="199" w:right="195"/>
              <w:jc w:val="center"/>
              <w:rPr>
                <w:sz w:val="16"/>
              </w:rPr>
            </w:pPr>
            <w:r>
              <w:rPr>
                <w:color w:val="231F20"/>
                <w:w w:val="85"/>
                <w:sz w:val="16"/>
              </w:rPr>
              <w:t>04</w:t>
            </w:r>
          </w:p>
        </w:tc>
        <w:tc>
          <w:tcPr>
            <w:tcW w:w="1713" w:type="dxa"/>
            <w:tcBorders>
              <w:right w:val="double" w:sz="2" w:space="0" w:color="231F2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0"/>
              <w:ind w:left="0"/>
              <w:rPr>
                <w:rFonts w:ascii="Times New Roman"/>
                <w:b/>
                <w:sz w:val="13"/>
              </w:rPr>
            </w:pPr>
          </w:p>
          <w:p>
            <w:pPr>
              <w:pStyle w:val="TableParagraph"/>
              <w:spacing w:line="192" w:lineRule="exact"/>
              <w:ind w:left="201" w:firstLine="47"/>
              <w:rPr>
                <w:sz w:val="16"/>
              </w:rPr>
            </w:pPr>
            <w:r>
              <w:rPr>
                <w:color w:val="231F20"/>
                <w:w w:val="80"/>
                <w:sz w:val="16"/>
              </w:rPr>
              <w:t>Desarrollo Integral de la Familia y Asistencia Social</w:t>
            </w:r>
          </w:p>
        </w:tc>
      </w:tr>
      <w:tr>
        <w:trPr>
          <w:trHeight w:val="142" w:hRule="exact"/>
        </w:trPr>
        <w:tc>
          <w:tcPr>
            <w:tcW w:w="433" w:type="dxa"/>
            <w:vMerge/>
            <w:tcBorders>
              <w:left w:val="double" w:sz="2" w:space="0" w:color="231F20"/>
              <w:bottom w:val="double" w:sz="2" w:space="0" w:color="231F20"/>
            </w:tcBorders>
            <w:textDirection w:val="btLr"/>
          </w:tcPr>
          <w:p>
            <w:pPr/>
          </w:p>
        </w:tc>
        <w:tc>
          <w:tcPr>
            <w:tcW w:w="2314" w:type="dxa"/>
            <w:vMerge/>
            <w:tcBorders>
              <w:bottom w:val="double" w:sz="2" w:space="0" w:color="231F20"/>
            </w:tcBorders>
          </w:tcPr>
          <w:p>
            <w:pPr/>
          </w:p>
        </w:tc>
        <w:tc>
          <w:tcPr>
            <w:tcW w:w="2415" w:type="dxa"/>
            <w:tcBorders>
              <w:bottom w:val="double" w:sz="2" w:space="0" w:color="231F20"/>
            </w:tcBorders>
          </w:tcPr>
          <w:p>
            <w:pPr>
              <w:pStyle w:val="TableParagraph"/>
              <w:spacing w:line="168" w:lineRule="exact"/>
              <w:ind w:left="129"/>
              <w:rPr>
                <w:sz w:val="16"/>
              </w:rPr>
            </w:pPr>
            <w:r>
              <w:rPr>
                <w:color w:val="231F20"/>
                <w:w w:val="80"/>
                <w:sz w:val="16"/>
              </w:rPr>
              <w:t>Inclusión con respeto a la cultura indígena.</w:t>
            </w:r>
          </w:p>
        </w:tc>
        <w:tc>
          <w:tcPr>
            <w:tcW w:w="507" w:type="dxa"/>
            <w:tcBorders>
              <w:bottom w:val="double" w:sz="2" w:space="0" w:color="231F20"/>
            </w:tcBorders>
          </w:tcPr>
          <w:p>
            <w:pPr>
              <w:pStyle w:val="TableParagraph"/>
              <w:spacing w:line="168" w:lineRule="exact"/>
              <w:ind w:left="160" w:right="156"/>
              <w:jc w:val="center"/>
              <w:rPr>
                <w:sz w:val="16"/>
              </w:rPr>
            </w:pPr>
            <w:r>
              <w:rPr>
                <w:color w:val="231F20"/>
                <w:w w:val="85"/>
                <w:sz w:val="16"/>
              </w:rPr>
              <w:t>06</w:t>
            </w:r>
          </w:p>
        </w:tc>
        <w:tc>
          <w:tcPr>
            <w:tcW w:w="587" w:type="dxa"/>
            <w:tcBorders>
              <w:bottom w:val="double" w:sz="2" w:space="0" w:color="231F20"/>
            </w:tcBorders>
          </w:tcPr>
          <w:p>
            <w:pPr>
              <w:pStyle w:val="TableParagraph"/>
              <w:spacing w:line="168" w:lineRule="exact"/>
              <w:ind w:left="199" w:right="197"/>
              <w:jc w:val="center"/>
              <w:rPr>
                <w:sz w:val="16"/>
              </w:rPr>
            </w:pPr>
            <w:r>
              <w:rPr>
                <w:color w:val="231F20"/>
                <w:w w:val="85"/>
                <w:sz w:val="16"/>
              </w:rPr>
              <w:t>05</w:t>
            </w:r>
          </w:p>
        </w:tc>
        <w:tc>
          <w:tcPr>
            <w:tcW w:w="1713" w:type="dxa"/>
            <w:tcBorders>
              <w:bottom w:val="double" w:sz="2" w:space="0" w:color="231F20"/>
              <w:right w:val="double" w:sz="2" w:space="0" w:color="231F20"/>
            </w:tcBorders>
          </w:tcPr>
          <w:p>
            <w:pPr>
              <w:pStyle w:val="TableParagraph"/>
              <w:spacing w:line="168" w:lineRule="exact"/>
              <w:ind w:left="191" w:right="188"/>
              <w:jc w:val="center"/>
              <w:rPr>
                <w:sz w:val="16"/>
              </w:rPr>
            </w:pPr>
            <w:r>
              <w:rPr>
                <w:color w:val="231F20"/>
                <w:w w:val="75"/>
                <w:sz w:val="16"/>
              </w:rPr>
              <w:t>Atención a Grupos Étnicos</w:t>
            </w:r>
          </w:p>
        </w:tc>
      </w:tr>
    </w:tbl>
    <w:p>
      <w:pPr>
        <w:pStyle w:val="BodyText"/>
        <w:spacing w:before="5"/>
        <w:rPr>
          <w:b/>
          <w:sz w:val="12"/>
        </w:rPr>
      </w:pPr>
    </w:p>
    <w:p>
      <w:pPr>
        <w:spacing w:before="74"/>
        <w:ind w:left="4972" w:right="-12" w:firstLine="0"/>
        <w:jc w:val="left"/>
        <w:rPr>
          <w:rFonts w:ascii="Calibri"/>
          <w:sz w:val="16"/>
        </w:rPr>
      </w:pPr>
      <w:r>
        <w:rPr>
          <w:rFonts w:ascii="Calibri"/>
          <w:color w:val="231F20"/>
          <w:sz w:val="16"/>
        </w:rPr>
        <w:t>FUENTE: Plan de Desarrollo Municipal (2007: 114)</w:t>
      </w:r>
    </w:p>
    <w:p>
      <w:pPr>
        <w:pStyle w:val="BodyText"/>
        <w:rPr>
          <w:rFonts w:ascii="Calibri"/>
          <w:sz w:val="16"/>
        </w:rPr>
      </w:pPr>
    </w:p>
    <w:p>
      <w:pPr>
        <w:pStyle w:val="BodyText"/>
        <w:spacing w:before="9"/>
        <w:rPr>
          <w:rFonts w:ascii="Calibri"/>
          <w:sz w:val="12"/>
        </w:rPr>
      </w:pPr>
    </w:p>
    <w:p>
      <w:pPr>
        <w:pStyle w:val="BodyText"/>
        <w:spacing w:line="285" w:lineRule="auto"/>
        <w:ind w:left="130" w:right="147"/>
        <w:jc w:val="both"/>
      </w:pP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cuadro</w:t>
      </w:r>
      <w:r>
        <w:rPr>
          <w:color w:val="231F20"/>
          <w:spacing w:val="-18"/>
          <w:w w:val="105"/>
        </w:rPr>
        <w:t> </w:t>
      </w:r>
      <w:r>
        <w:rPr>
          <w:color w:val="231F20"/>
          <w:w w:val="105"/>
        </w:rPr>
        <w:t>7</w:t>
      </w:r>
      <w:r>
        <w:rPr>
          <w:color w:val="231F20"/>
          <w:spacing w:val="-18"/>
          <w:w w:val="105"/>
        </w:rPr>
        <w:t> </w:t>
      </w:r>
      <w:r>
        <w:rPr>
          <w:color w:val="231F20"/>
          <w:w w:val="105"/>
        </w:rPr>
        <w:t>apreciamos</w:t>
      </w:r>
      <w:r>
        <w:rPr>
          <w:color w:val="231F20"/>
          <w:spacing w:val="-18"/>
          <w:w w:val="105"/>
        </w:rPr>
        <w:t> </w:t>
      </w:r>
      <w:r>
        <w:rPr>
          <w:color w:val="231F20"/>
          <w:w w:val="105"/>
        </w:rPr>
        <w:t>la</w:t>
      </w:r>
      <w:r>
        <w:rPr>
          <w:color w:val="231F20"/>
          <w:spacing w:val="-18"/>
          <w:w w:val="105"/>
        </w:rPr>
        <w:t> </w:t>
      </w:r>
      <w:r>
        <w:rPr>
          <w:color w:val="231F20"/>
          <w:w w:val="105"/>
        </w:rPr>
        <w:t>similitud</w:t>
      </w:r>
      <w:r>
        <w:rPr>
          <w:color w:val="231F20"/>
          <w:spacing w:val="-18"/>
          <w:w w:val="105"/>
        </w:rPr>
        <w:t> </w:t>
      </w:r>
      <w:r>
        <w:rPr>
          <w:color w:val="231F20"/>
          <w:w w:val="105"/>
        </w:rPr>
        <w:t>entre</w:t>
      </w:r>
      <w:r>
        <w:rPr>
          <w:color w:val="231F20"/>
          <w:spacing w:val="-18"/>
          <w:w w:val="105"/>
        </w:rPr>
        <w:t> </w:t>
      </w:r>
      <w:r>
        <w:rPr>
          <w:color w:val="231F20"/>
          <w:w w:val="105"/>
        </w:rPr>
        <w:t>los</w:t>
      </w:r>
      <w:r>
        <w:rPr>
          <w:color w:val="231F20"/>
          <w:spacing w:val="-18"/>
          <w:w w:val="105"/>
        </w:rPr>
        <w:t> </w:t>
      </w:r>
      <w:r>
        <w:rPr>
          <w:color w:val="231F20"/>
          <w:w w:val="105"/>
        </w:rPr>
        <w:t>objetivos</w:t>
      </w:r>
      <w:r>
        <w:rPr>
          <w:color w:val="231F20"/>
          <w:spacing w:val="-18"/>
          <w:w w:val="105"/>
        </w:rPr>
        <w:t> </w:t>
      </w:r>
      <w:r>
        <w:rPr>
          <w:color w:val="231F20"/>
          <w:w w:val="105"/>
        </w:rPr>
        <w:t>nacionales</w:t>
      </w:r>
      <w:r>
        <w:rPr>
          <w:color w:val="231F20"/>
          <w:spacing w:val="-18"/>
          <w:w w:val="105"/>
        </w:rPr>
        <w:t> </w:t>
      </w:r>
      <w:r>
        <w:rPr>
          <w:color w:val="231F20"/>
          <w:w w:val="105"/>
        </w:rPr>
        <w:t>y</w:t>
      </w:r>
      <w:r>
        <w:rPr>
          <w:color w:val="231F20"/>
          <w:spacing w:val="-18"/>
          <w:w w:val="105"/>
        </w:rPr>
        <w:t> </w:t>
      </w:r>
      <w:r>
        <w:rPr>
          <w:color w:val="231F20"/>
          <w:w w:val="105"/>
        </w:rPr>
        <w:t>locales,</w:t>
      </w:r>
      <w:r>
        <w:rPr>
          <w:color w:val="231F20"/>
          <w:spacing w:val="-18"/>
          <w:w w:val="105"/>
        </w:rPr>
        <w:t> </w:t>
      </w:r>
      <w:r>
        <w:rPr>
          <w:color w:val="231F20"/>
          <w:w w:val="105"/>
        </w:rPr>
        <w:t>así</w:t>
      </w:r>
      <w:r>
        <w:rPr>
          <w:color w:val="231F20"/>
          <w:spacing w:val="-18"/>
          <w:w w:val="105"/>
        </w:rPr>
        <w:t> </w:t>
      </w:r>
      <w:r>
        <w:rPr>
          <w:color w:val="231F20"/>
          <w:w w:val="105"/>
        </w:rPr>
        <w:t>como los</w:t>
      </w:r>
      <w:r>
        <w:rPr>
          <w:color w:val="231F20"/>
          <w:spacing w:val="-15"/>
          <w:w w:val="105"/>
        </w:rPr>
        <w:t> </w:t>
      </w:r>
      <w:r>
        <w:rPr>
          <w:color w:val="231F20"/>
          <w:w w:val="105"/>
        </w:rPr>
        <w:t>programas</w:t>
      </w:r>
      <w:r>
        <w:rPr>
          <w:color w:val="231F20"/>
          <w:spacing w:val="-15"/>
          <w:w w:val="105"/>
        </w:rPr>
        <w:t> </w:t>
      </w:r>
      <w:r>
        <w:rPr>
          <w:color w:val="231F20"/>
          <w:w w:val="105"/>
        </w:rPr>
        <w:t>municipales</w:t>
      </w:r>
      <w:r>
        <w:rPr>
          <w:color w:val="231F20"/>
          <w:spacing w:val="-15"/>
          <w:w w:val="105"/>
        </w:rPr>
        <w:t> </w:t>
      </w:r>
      <w:r>
        <w:rPr>
          <w:color w:val="231F20"/>
          <w:w w:val="105"/>
        </w:rPr>
        <w:t>establecidos</w:t>
      </w:r>
      <w:r>
        <w:rPr>
          <w:color w:val="231F20"/>
          <w:spacing w:val="-15"/>
          <w:w w:val="105"/>
        </w:rPr>
        <w:t> </w:t>
      </w:r>
      <w:r>
        <w:rPr>
          <w:color w:val="231F20"/>
          <w:w w:val="105"/>
        </w:rPr>
        <w:t>respecto</w:t>
      </w:r>
      <w:r>
        <w:rPr>
          <w:color w:val="231F20"/>
          <w:spacing w:val="-15"/>
          <w:w w:val="105"/>
        </w:rPr>
        <w:t> </w:t>
      </w:r>
      <w:r>
        <w:rPr>
          <w:color w:val="231F20"/>
          <w:spacing w:val="2"/>
          <w:w w:val="105"/>
        </w:rPr>
        <w:t>al</w:t>
      </w:r>
      <w:r>
        <w:rPr>
          <w:color w:val="231F20"/>
          <w:spacing w:val="-15"/>
          <w:w w:val="105"/>
        </w:rPr>
        <w:t> </w:t>
      </w:r>
      <w:r>
        <w:rPr>
          <w:color w:val="231F20"/>
          <w:w w:val="105"/>
        </w:rPr>
        <w:t>cimiento</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seguridad</w:t>
      </w:r>
      <w:r>
        <w:rPr>
          <w:color w:val="231F20"/>
          <w:spacing w:val="-15"/>
          <w:w w:val="105"/>
        </w:rPr>
        <w:t> </w:t>
      </w:r>
      <w:r>
        <w:rPr>
          <w:color w:val="231F20"/>
          <w:w w:val="105"/>
        </w:rPr>
        <w:t>integral. Si</w:t>
      </w:r>
      <w:r>
        <w:rPr>
          <w:color w:val="231F20"/>
          <w:spacing w:val="-6"/>
          <w:w w:val="105"/>
        </w:rPr>
        <w:t> </w:t>
      </w:r>
      <w:r>
        <w:rPr>
          <w:color w:val="231F20"/>
          <w:w w:val="105"/>
        </w:rPr>
        <w:t>bien</w:t>
      </w:r>
      <w:r>
        <w:rPr>
          <w:color w:val="231F20"/>
          <w:spacing w:val="-6"/>
          <w:w w:val="105"/>
        </w:rPr>
        <w:t> </w:t>
      </w:r>
      <w:r>
        <w:rPr>
          <w:color w:val="231F20"/>
          <w:w w:val="105"/>
        </w:rPr>
        <w:t>en</w:t>
      </w:r>
      <w:r>
        <w:rPr>
          <w:color w:val="231F20"/>
          <w:spacing w:val="-6"/>
          <w:w w:val="105"/>
        </w:rPr>
        <w:t> </w:t>
      </w:r>
      <w:r>
        <w:rPr>
          <w:color w:val="231F20"/>
          <w:w w:val="105"/>
        </w:rPr>
        <w:t>ocasiones</w:t>
      </w:r>
      <w:r>
        <w:rPr>
          <w:color w:val="231F20"/>
          <w:spacing w:val="-6"/>
          <w:w w:val="105"/>
        </w:rPr>
        <w:t> </w:t>
      </w:r>
      <w:r>
        <w:rPr>
          <w:color w:val="231F20"/>
          <w:w w:val="105"/>
        </w:rPr>
        <w:t>pareciera</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existe</w:t>
      </w:r>
      <w:r>
        <w:rPr>
          <w:color w:val="231F20"/>
          <w:spacing w:val="-6"/>
          <w:w w:val="105"/>
        </w:rPr>
        <w:t> </w:t>
      </w:r>
      <w:r>
        <w:rPr>
          <w:color w:val="231F20"/>
          <w:spacing w:val="2"/>
          <w:w w:val="105"/>
        </w:rPr>
        <w:t>tal</w:t>
      </w:r>
      <w:r>
        <w:rPr>
          <w:color w:val="231F20"/>
          <w:spacing w:val="-6"/>
          <w:w w:val="105"/>
        </w:rPr>
        <w:t> </w:t>
      </w:r>
      <w:r>
        <w:rPr>
          <w:color w:val="231F20"/>
          <w:w w:val="105"/>
        </w:rPr>
        <w:t>similitud</w:t>
      </w:r>
      <w:r>
        <w:rPr>
          <w:color w:val="231F20"/>
          <w:spacing w:val="-6"/>
          <w:w w:val="105"/>
        </w:rPr>
        <w:t> </w:t>
      </w:r>
      <w:r>
        <w:rPr>
          <w:color w:val="231F20"/>
          <w:w w:val="105"/>
        </w:rPr>
        <w:t>entre</w:t>
      </w:r>
      <w:r>
        <w:rPr>
          <w:color w:val="231F20"/>
          <w:spacing w:val="-6"/>
          <w:w w:val="105"/>
        </w:rPr>
        <w:t> </w:t>
      </w:r>
      <w:r>
        <w:rPr>
          <w:color w:val="231F20"/>
          <w:w w:val="105"/>
        </w:rPr>
        <w:t>un</w:t>
      </w:r>
      <w:r>
        <w:rPr>
          <w:color w:val="231F20"/>
          <w:spacing w:val="-6"/>
          <w:w w:val="105"/>
        </w:rPr>
        <w:t> </w:t>
      </w:r>
      <w:r>
        <w:rPr>
          <w:color w:val="231F20"/>
          <w:w w:val="105"/>
        </w:rPr>
        <w:t>Plan</w:t>
      </w:r>
      <w:r>
        <w:rPr>
          <w:color w:val="231F20"/>
          <w:spacing w:val="-6"/>
          <w:w w:val="105"/>
        </w:rPr>
        <w:t> </w:t>
      </w:r>
      <w:r>
        <w:rPr>
          <w:color w:val="231F20"/>
          <w:w w:val="105"/>
        </w:rPr>
        <w:t>y</w:t>
      </w:r>
      <w:r>
        <w:rPr>
          <w:color w:val="231F20"/>
          <w:spacing w:val="-6"/>
          <w:w w:val="105"/>
        </w:rPr>
        <w:t> </w:t>
      </w:r>
      <w:r>
        <w:rPr>
          <w:color w:val="231F20"/>
          <w:w w:val="105"/>
        </w:rPr>
        <w:t>otro,</w:t>
      </w:r>
      <w:r>
        <w:rPr>
          <w:color w:val="231F20"/>
          <w:spacing w:val="-6"/>
          <w:w w:val="105"/>
        </w:rPr>
        <w:t> </w:t>
      </w:r>
      <w:r>
        <w:rPr>
          <w:color w:val="231F20"/>
          <w:w w:val="105"/>
        </w:rPr>
        <w:t>lo</w:t>
      </w:r>
      <w:r>
        <w:rPr>
          <w:color w:val="231F20"/>
          <w:spacing w:val="-6"/>
          <w:w w:val="105"/>
        </w:rPr>
        <w:t> </w:t>
      </w:r>
      <w:r>
        <w:rPr>
          <w:color w:val="231F20"/>
          <w:w w:val="105"/>
        </w:rPr>
        <w:t>cierto</w:t>
      </w:r>
    </w:p>
    <w:p>
      <w:pPr>
        <w:spacing w:after="0" w:line="285" w:lineRule="auto"/>
        <w:jc w:val="both"/>
        <w:sectPr>
          <w:pgSz w:w="9640" w:h="12190"/>
          <w:pgMar w:header="0" w:footer="743" w:top="1120" w:bottom="940" w:left="720" w:right="700"/>
        </w:sectPr>
      </w:pPr>
    </w:p>
    <w:p>
      <w:pPr>
        <w:pStyle w:val="BodyText"/>
        <w:spacing w:before="3"/>
        <w:rPr>
          <w:sz w:val="11"/>
        </w:rPr>
      </w:pPr>
    </w:p>
    <w:p>
      <w:pPr>
        <w:pStyle w:val="BodyText"/>
        <w:spacing w:line="285" w:lineRule="auto" w:before="36"/>
        <w:ind w:left="110" w:right="-2"/>
      </w:pPr>
      <w:r>
        <w:rPr>
          <w:color w:val="231F20"/>
          <w:w w:val="105"/>
        </w:rPr>
        <w:t>es</w:t>
      </w:r>
      <w:r>
        <w:rPr>
          <w:color w:val="231F20"/>
          <w:spacing w:val="-20"/>
          <w:w w:val="105"/>
        </w:rPr>
        <w:t> </w:t>
      </w:r>
      <w:r>
        <w:rPr>
          <w:color w:val="231F20"/>
          <w:w w:val="105"/>
        </w:rPr>
        <w:t>que</w:t>
      </w:r>
      <w:r>
        <w:rPr>
          <w:color w:val="231F20"/>
          <w:spacing w:val="-20"/>
          <w:w w:val="105"/>
        </w:rPr>
        <w:t> </w:t>
      </w:r>
      <w:r>
        <w:rPr>
          <w:color w:val="231F20"/>
          <w:w w:val="105"/>
        </w:rPr>
        <w:t>a</w:t>
      </w:r>
      <w:r>
        <w:rPr>
          <w:color w:val="231F20"/>
          <w:spacing w:val="-20"/>
          <w:w w:val="105"/>
        </w:rPr>
        <w:t> </w:t>
      </w:r>
      <w:r>
        <w:rPr>
          <w:color w:val="231F20"/>
          <w:w w:val="105"/>
        </w:rPr>
        <w:t>nivel</w:t>
      </w:r>
      <w:r>
        <w:rPr>
          <w:color w:val="231F20"/>
          <w:spacing w:val="-20"/>
          <w:w w:val="105"/>
        </w:rPr>
        <w:t> </w:t>
      </w:r>
      <w:r>
        <w:rPr>
          <w:color w:val="231F20"/>
          <w:w w:val="105"/>
        </w:rPr>
        <w:t>nacional</w:t>
      </w:r>
      <w:r>
        <w:rPr>
          <w:color w:val="231F20"/>
          <w:spacing w:val="-20"/>
          <w:w w:val="105"/>
        </w:rPr>
        <w:t> </w:t>
      </w:r>
      <w:r>
        <w:rPr>
          <w:color w:val="231F20"/>
          <w:w w:val="105"/>
        </w:rPr>
        <w:t>se</w:t>
      </w:r>
      <w:r>
        <w:rPr>
          <w:color w:val="231F20"/>
          <w:spacing w:val="-20"/>
          <w:w w:val="105"/>
        </w:rPr>
        <w:t> </w:t>
      </w:r>
      <w:r>
        <w:rPr>
          <w:color w:val="231F20"/>
          <w:w w:val="105"/>
        </w:rPr>
        <w:t>presentan</w:t>
      </w:r>
      <w:r>
        <w:rPr>
          <w:color w:val="231F20"/>
          <w:spacing w:val="-20"/>
          <w:w w:val="105"/>
        </w:rPr>
        <w:t> </w:t>
      </w:r>
      <w:r>
        <w:rPr>
          <w:color w:val="231F20"/>
          <w:w w:val="105"/>
        </w:rPr>
        <w:t>los</w:t>
      </w:r>
      <w:r>
        <w:rPr>
          <w:color w:val="231F20"/>
          <w:spacing w:val="-20"/>
          <w:w w:val="105"/>
        </w:rPr>
        <w:t> </w:t>
      </w:r>
      <w:r>
        <w:rPr>
          <w:color w:val="231F20"/>
          <w:w w:val="105"/>
        </w:rPr>
        <w:t>objetivos</w:t>
      </w:r>
      <w:r>
        <w:rPr>
          <w:color w:val="231F20"/>
          <w:spacing w:val="-20"/>
          <w:w w:val="105"/>
        </w:rPr>
        <w:t> </w:t>
      </w:r>
      <w:r>
        <w:rPr>
          <w:color w:val="231F20"/>
          <w:w w:val="105"/>
        </w:rPr>
        <w:t>de</w:t>
      </w:r>
      <w:r>
        <w:rPr>
          <w:color w:val="231F20"/>
          <w:spacing w:val="-20"/>
          <w:w w:val="105"/>
        </w:rPr>
        <w:t> </w:t>
      </w:r>
      <w:r>
        <w:rPr>
          <w:color w:val="231F20"/>
          <w:w w:val="105"/>
        </w:rPr>
        <w:t>forma</w:t>
      </w:r>
      <w:r>
        <w:rPr>
          <w:color w:val="231F20"/>
          <w:spacing w:val="-20"/>
          <w:w w:val="105"/>
        </w:rPr>
        <w:t> </w:t>
      </w:r>
      <w:r>
        <w:rPr>
          <w:color w:val="231F20"/>
          <w:w w:val="105"/>
        </w:rPr>
        <w:t>general,</w:t>
      </w:r>
      <w:r>
        <w:rPr>
          <w:color w:val="231F20"/>
          <w:spacing w:val="-20"/>
          <w:w w:val="105"/>
        </w:rPr>
        <w:t> </w:t>
      </w:r>
      <w:r>
        <w:rPr>
          <w:color w:val="231F20"/>
          <w:w w:val="105"/>
        </w:rPr>
        <w:t>mientras</w:t>
      </w:r>
      <w:r>
        <w:rPr>
          <w:color w:val="231F20"/>
          <w:spacing w:val="-20"/>
          <w:w w:val="105"/>
        </w:rPr>
        <w:t> </w:t>
      </w:r>
      <w:r>
        <w:rPr>
          <w:color w:val="231F20"/>
          <w:w w:val="105"/>
        </w:rPr>
        <w:t>que</w:t>
      </w:r>
      <w:r>
        <w:rPr>
          <w:color w:val="231F20"/>
          <w:spacing w:val="-20"/>
          <w:w w:val="105"/>
        </w:rPr>
        <w:t> </w:t>
      </w:r>
      <w:r>
        <w:rPr>
          <w:color w:val="231F20"/>
          <w:spacing w:val="2"/>
          <w:w w:val="105"/>
        </w:rPr>
        <w:t>al</w:t>
      </w:r>
      <w:r>
        <w:rPr>
          <w:color w:val="231F20"/>
          <w:spacing w:val="-20"/>
          <w:w w:val="105"/>
        </w:rPr>
        <w:t> </w:t>
      </w:r>
      <w:r>
        <w:rPr>
          <w:color w:val="231F20"/>
          <w:w w:val="105"/>
        </w:rPr>
        <w:t>nivel municipal</w:t>
      </w:r>
      <w:r>
        <w:rPr>
          <w:color w:val="231F20"/>
          <w:spacing w:val="-15"/>
          <w:w w:val="105"/>
        </w:rPr>
        <w:t> </w:t>
      </w:r>
      <w:r>
        <w:rPr>
          <w:color w:val="231F20"/>
          <w:w w:val="105"/>
        </w:rPr>
        <w:t>son</w:t>
      </w:r>
      <w:r>
        <w:rPr>
          <w:color w:val="231F20"/>
          <w:spacing w:val="-15"/>
          <w:w w:val="105"/>
        </w:rPr>
        <w:t> </w:t>
      </w:r>
      <w:r>
        <w:rPr>
          <w:color w:val="231F20"/>
          <w:w w:val="105"/>
        </w:rPr>
        <w:t>de</w:t>
      </w:r>
      <w:r>
        <w:rPr>
          <w:color w:val="231F20"/>
          <w:spacing w:val="-15"/>
          <w:w w:val="105"/>
        </w:rPr>
        <w:t> </w:t>
      </w:r>
      <w:r>
        <w:rPr>
          <w:color w:val="231F20"/>
          <w:w w:val="105"/>
        </w:rPr>
        <w:t>carácter</w:t>
      </w:r>
      <w:r>
        <w:rPr>
          <w:color w:val="231F20"/>
          <w:spacing w:val="-15"/>
          <w:w w:val="105"/>
        </w:rPr>
        <w:t> </w:t>
      </w:r>
      <w:r>
        <w:rPr>
          <w:color w:val="231F20"/>
          <w:w w:val="105"/>
        </w:rPr>
        <w:t>específico.</w:t>
      </w:r>
    </w:p>
    <w:p>
      <w:pPr>
        <w:pStyle w:val="BodyText"/>
        <w:spacing w:before="1"/>
        <w:rPr>
          <w:sz w:val="26"/>
        </w:rPr>
      </w:pPr>
    </w:p>
    <w:p>
      <w:pPr>
        <w:pStyle w:val="Heading5"/>
        <w:ind w:right="102"/>
        <w:jc w:val="center"/>
      </w:pPr>
      <w:r>
        <w:rPr>
          <w:color w:val="231F20"/>
          <w:w w:val="105"/>
        </w:rPr>
        <w:t>Cuadro 7</w:t>
      </w:r>
    </w:p>
    <w:p>
      <w:pPr>
        <w:spacing w:line="285" w:lineRule="auto" w:before="47" w:after="8"/>
        <w:ind w:left="675" w:right="674" w:firstLine="0"/>
        <w:jc w:val="center"/>
        <w:rPr>
          <w:b/>
          <w:sz w:val="22"/>
        </w:rPr>
      </w:pPr>
      <w:r>
        <w:rPr>
          <w:b/>
          <w:color w:val="231F20"/>
          <w:w w:val="105"/>
          <w:sz w:val="22"/>
        </w:rPr>
        <w:t>Relación</w:t>
      </w:r>
      <w:r>
        <w:rPr>
          <w:b/>
          <w:color w:val="231F20"/>
          <w:spacing w:val="-16"/>
          <w:w w:val="105"/>
          <w:sz w:val="22"/>
        </w:rPr>
        <w:t> </w:t>
      </w:r>
      <w:r>
        <w:rPr>
          <w:b/>
          <w:color w:val="231F20"/>
          <w:w w:val="105"/>
          <w:sz w:val="22"/>
        </w:rPr>
        <w:t>del</w:t>
      </w:r>
      <w:r>
        <w:rPr>
          <w:b/>
          <w:color w:val="231F20"/>
          <w:spacing w:val="-16"/>
          <w:w w:val="105"/>
          <w:sz w:val="22"/>
        </w:rPr>
        <w:t> </w:t>
      </w:r>
      <w:r>
        <w:rPr>
          <w:b/>
          <w:color w:val="231F20"/>
          <w:w w:val="105"/>
          <w:sz w:val="22"/>
        </w:rPr>
        <w:t>Pilar</w:t>
      </w:r>
      <w:r>
        <w:rPr>
          <w:b/>
          <w:color w:val="231F20"/>
          <w:spacing w:val="-16"/>
          <w:w w:val="105"/>
          <w:sz w:val="22"/>
        </w:rPr>
        <w:t> </w:t>
      </w:r>
      <w:r>
        <w:rPr>
          <w:b/>
          <w:color w:val="231F20"/>
          <w:w w:val="105"/>
          <w:sz w:val="22"/>
        </w:rPr>
        <w:t>Seguridad</w:t>
      </w:r>
      <w:r>
        <w:rPr>
          <w:b/>
          <w:color w:val="231F20"/>
          <w:spacing w:val="-16"/>
          <w:w w:val="105"/>
          <w:sz w:val="22"/>
        </w:rPr>
        <w:t> </w:t>
      </w:r>
      <w:r>
        <w:rPr>
          <w:b/>
          <w:color w:val="231F20"/>
          <w:w w:val="105"/>
          <w:sz w:val="22"/>
        </w:rPr>
        <w:t>Social</w:t>
      </w:r>
      <w:r>
        <w:rPr>
          <w:b/>
          <w:color w:val="231F20"/>
          <w:spacing w:val="-16"/>
          <w:w w:val="105"/>
          <w:sz w:val="22"/>
        </w:rPr>
        <w:t> </w:t>
      </w:r>
      <w:r>
        <w:rPr>
          <w:b/>
          <w:color w:val="231F20"/>
          <w:w w:val="105"/>
          <w:sz w:val="22"/>
        </w:rPr>
        <w:t>con</w:t>
      </w:r>
      <w:r>
        <w:rPr>
          <w:b/>
          <w:color w:val="231F20"/>
          <w:spacing w:val="-16"/>
          <w:w w:val="105"/>
          <w:sz w:val="22"/>
        </w:rPr>
        <w:t> </w:t>
      </w:r>
      <w:r>
        <w:rPr>
          <w:b/>
          <w:color w:val="231F20"/>
          <w:w w:val="105"/>
          <w:sz w:val="22"/>
        </w:rPr>
        <w:t>el</w:t>
      </w:r>
      <w:r>
        <w:rPr>
          <w:b/>
          <w:color w:val="231F20"/>
          <w:spacing w:val="-16"/>
          <w:w w:val="105"/>
          <w:sz w:val="22"/>
        </w:rPr>
        <w:t> </w:t>
      </w:r>
      <w:r>
        <w:rPr>
          <w:b/>
          <w:color w:val="231F20"/>
          <w:w w:val="105"/>
          <w:sz w:val="22"/>
        </w:rPr>
        <w:t>Plan</w:t>
      </w:r>
      <w:r>
        <w:rPr>
          <w:b/>
          <w:color w:val="231F20"/>
          <w:spacing w:val="-16"/>
          <w:w w:val="105"/>
          <w:sz w:val="22"/>
        </w:rPr>
        <w:t> </w:t>
      </w:r>
      <w:r>
        <w:rPr>
          <w:b/>
          <w:color w:val="231F20"/>
          <w:w w:val="105"/>
          <w:sz w:val="22"/>
        </w:rPr>
        <w:t>Nacional</w:t>
      </w:r>
      <w:r>
        <w:rPr>
          <w:b/>
          <w:color w:val="231F20"/>
          <w:spacing w:val="-16"/>
          <w:w w:val="105"/>
          <w:sz w:val="22"/>
        </w:rPr>
        <w:t> </w:t>
      </w:r>
      <w:r>
        <w:rPr>
          <w:b/>
          <w:color w:val="231F20"/>
          <w:w w:val="105"/>
          <w:sz w:val="22"/>
        </w:rPr>
        <w:t>de</w:t>
      </w:r>
      <w:r>
        <w:rPr>
          <w:b/>
          <w:color w:val="231F20"/>
          <w:spacing w:val="-16"/>
          <w:w w:val="105"/>
          <w:sz w:val="22"/>
        </w:rPr>
        <w:t> </w:t>
      </w:r>
      <w:r>
        <w:rPr>
          <w:b/>
          <w:color w:val="231F20"/>
          <w:w w:val="105"/>
          <w:sz w:val="22"/>
        </w:rPr>
        <w:t>Desarrollo y</w:t>
      </w:r>
      <w:r>
        <w:rPr>
          <w:b/>
          <w:color w:val="231F20"/>
          <w:spacing w:val="-17"/>
          <w:w w:val="105"/>
          <w:sz w:val="22"/>
        </w:rPr>
        <w:t> </w:t>
      </w:r>
      <w:r>
        <w:rPr>
          <w:b/>
          <w:color w:val="231F20"/>
          <w:w w:val="105"/>
          <w:sz w:val="22"/>
        </w:rPr>
        <w:t>Plan</w:t>
      </w:r>
      <w:r>
        <w:rPr>
          <w:b/>
          <w:color w:val="231F20"/>
          <w:spacing w:val="-17"/>
          <w:w w:val="105"/>
          <w:sz w:val="22"/>
        </w:rPr>
        <w:t> </w:t>
      </w:r>
      <w:r>
        <w:rPr>
          <w:b/>
          <w:color w:val="231F20"/>
          <w:w w:val="105"/>
          <w:sz w:val="22"/>
        </w:rPr>
        <w:t>de</w:t>
      </w:r>
      <w:r>
        <w:rPr>
          <w:b/>
          <w:color w:val="231F20"/>
          <w:spacing w:val="-17"/>
          <w:w w:val="105"/>
          <w:sz w:val="22"/>
        </w:rPr>
        <w:t> </w:t>
      </w:r>
      <w:r>
        <w:rPr>
          <w:b/>
          <w:color w:val="231F20"/>
          <w:w w:val="105"/>
          <w:sz w:val="22"/>
        </w:rPr>
        <w:t>Desarrollo</w:t>
      </w:r>
      <w:r>
        <w:rPr>
          <w:b/>
          <w:color w:val="231F20"/>
          <w:spacing w:val="-17"/>
          <w:w w:val="105"/>
          <w:sz w:val="22"/>
        </w:rPr>
        <w:t> </w:t>
      </w:r>
      <w:r>
        <w:rPr>
          <w:b/>
          <w:color w:val="231F20"/>
          <w:w w:val="105"/>
          <w:sz w:val="22"/>
        </w:rPr>
        <w:t>del</w:t>
      </w:r>
      <w:r>
        <w:rPr>
          <w:b/>
          <w:color w:val="231F20"/>
          <w:spacing w:val="-17"/>
          <w:w w:val="105"/>
          <w:sz w:val="22"/>
        </w:rPr>
        <w:t> </w:t>
      </w:r>
      <w:r>
        <w:rPr>
          <w:b/>
          <w:color w:val="231F20"/>
          <w:w w:val="105"/>
          <w:sz w:val="22"/>
        </w:rPr>
        <w:t>Estado</w:t>
      </w:r>
      <w:r>
        <w:rPr>
          <w:b/>
          <w:color w:val="231F20"/>
          <w:spacing w:val="-17"/>
          <w:w w:val="105"/>
          <w:sz w:val="22"/>
        </w:rPr>
        <w:t> </w:t>
      </w:r>
      <w:r>
        <w:rPr>
          <w:b/>
          <w:color w:val="231F20"/>
          <w:w w:val="105"/>
          <w:sz w:val="22"/>
        </w:rPr>
        <w:t>de</w:t>
      </w:r>
      <w:r>
        <w:rPr>
          <w:b/>
          <w:color w:val="231F20"/>
          <w:spacing w:val="-17"/>
          <w:w w:val="105"/>
          <w:sz w:val="22"/>
        </w:rPr>
        <w:t> </w:t>
      </w:r>
      <w:r>
        <w:rPr>
          <w:b/>
          <w:color w:val="231F20"/>
          <w:w w:val="105"/>
          <w:sz w:val="22"/>
        </w:rPr>
        <w:t>México</w:t>
      </w:r>
    </w:p>
    <w:tbl>
      <w:tblPr>
        <w:tblW w:w="0" w:type="auto"/>
        <w:jc w:val="left"/>
        <w:tblInd w:w="110" w:type="dxa"/>
        <w:tblBorders>
          <w:top w:val="double" w:sz="2" w:space="0" w:color="231F20"/>
          <w:left w:val="double" w:sz="2" w:space="0" w:color="231F20"/>
          <w:bottom w:val="double" w:sz="2" w:space="0" w:color="231F20"/>
          <w:right w:val="double" w:sz="2" w:space="0" w:color="231F20"/>
          <w:insideH w:val="double" w:sz="2" w:space="0" w:color="231F20"/>
          <w:insideV w:val="double" w:sz="2" w:space="0" w:color="231F20"/>
        </w:tblBorders>
        <w:tblLayout w:type="fixed"/>
        <w:tblCellMar>
          <w:top w:w="0" w:type="dxa"/>
          <w:left w:w="0" w:type="dxa"/>
          <w:bottom w:w="0" w:type="dxa"/>
          <w:right w:w="0" w:type="dxa"/>
        </w:tblCellMar>
        <w:tblLook w:val="01E0"/>
      </w:tblPr>
      <w:tblGrid>
        <w:gridCol w:w="592"/>
        <w:gridCol w:w="1986"/>
        <w:gridCol w:w="2550"/>
        <w:gridCol w:w="426"/>
        <w:gridCol w:w="426"/>
        <w:gridCol w:w="1841"/>
      </w:tblGrid>
      <w:tr>
        <w:trPr>
          <w:trHeight w:val="719" w:hRule="exact"/>
        </w:trPr>
        <w:tc>
          <w:tcPr>
            <w:tcW w:w="592" w:type="dxa"/>
            <w:tcBorders>
              <w:top w:val="single" w:sz="4" w:space="0" w:color="231F20"/>
            </w:tcBorders>
          </w:tcPr>
          <w:p>
            <w:pPr>
              <w:pStyle w:val="TableParagraph"/>
              <w:ind w:left="0"/>
              <w:rPr>
                <w:rFonts w:ascii="Times New Roman"/>
                <w:b/>
                <w:sz w:val="14"/>
              </w:rPr>
            </w:pPr>
          </w:p>
          <w:p>
            <w:pPr>
              <w:pStyle w:val="TableParagraph"/>
              <w:spacing w:before="111"/>
              <w:ind w:left="170"/>
              <w:rPr>
                <w:b/>
                <w:sz w:val="14"/>
              </w:rPr>
            </w:pPr>
            <w:r>
              <w:rPr>
                <w:b/>
                <w:color w:val="231F20"/>
                <w:w w:val="95"/>
                <w:sz w:val="14"/>
              </w:rPr>
              <w:t>Pilar</w:t>
            </w:r>
          </w:p>
        </w:tc>
        <w:tc>
          <w:tcPr>
            <w:tcW w:w="1986" w:type="dxa"/>
            <w:tcBorders>
              <w:top w:val="single" w:sz="4" w:space="0" w:color="231F20"/>
            </w:tcBorders>
          </w:tcPr>
          <w:p>
            <w:pPr>
              <w:pStyle w:val="TableParagraph"/>
              <w:spacing w:before="3"/>
              <w:ind w:left="0"/>
              <w:rPr>
                <w:rFonts w:ascii="Times New Roman"/>
                <w:b/>
                <w:sz w:val="16"/>
              </w:rPr>
            </w:pPr>
          </w:p>
          <w:p>
            <w:pPr>
              <w:pStyle w:val="TableParagraph"/>
              <w:spacing w:line="168" w:lineRule="exact"/>
              <w:ind w:left="723" w:right="130" w:hanging="495"/>
              <w:rPr>
                <w:b/>
                <w:sz w:val="14"/>
              </w:rPr>
            </w:pPr>
            <w:r>
              <w:rPr>
                <w:b/>
                <w:color w:val="231F20"/>
                <w:w w:val="90"/>
                <w:sz w:val="14"/>
              </w:rPr>
              <w:t>Objetivos del Plan Nacional de </w:t>
            </w:r>
            <w:r>
              <w:rPr>
                <w:b/>
                <w:color w:val="231F20"/>
                <w:w w:val="95"/>
                <w:sz w:val="14"/>
              </w:rPr>
              <w:t>Desarrollo</w:t>
            </w:r>
          </w:p>
        </w:tc>
        <w:tc>
          <w:tcPr>
            <w:tcW w:w="2550" w:type="dxa"/>
            <w:tcBorders>
              <w:top w:val="single" w:sz="4" w:space="0" w:color="231F20"/>
            </w:tcBorders>
          </w:tcPr>
          <w:p>
            <w:pPr>
              <w:pStyle w:val="TableParagraph"/>
              <w:spacing w:before="3"/>
              <w:ind w:left="0"/>
              <w:rPr>
                <w:rFonts w:ascii="Times New Roman"/>
                <w:b/>
                <w:sz w:val="16"/>
              </w:rPr>
            </w:pPr>
          </w:p>
          <w:p>
            <w:pPr>
              <w:pStyle w:val="TableParagraph"/>
              <w:spacing w:line="168" w:lineRule="exact"/>
              <w:ind w:left="824" w:right="116" w:hanging="701"/>
              <w:rPr>
                <w:b/>
                <w:sz w:val="14"/>
              </w:rPr>
            </w:pPr>
            <w:r>
              <w:rPr>
                <w:b/>
                <w:color w:val="231F20"/>
                <w:w w:val="90"/>
                <w:sz w:val="14"/>
              </w:rPr>
              <w:t>Objetivos</w:t>
            </w:r>
            <w:r>
              <w:rPr>
                <w:b/>
                <w:color w:val="231F20"/>
                <w:spacing w:val="-22"/>
                <w:w w:val="90"/>
                <w:sz w:val="14"/>
              </w:rPr>
              <w:t> </w:t>
            </w:r>
            <w:r>
              <w:rPr>
                <w:b/>
                <w:color w:val="231F20"/>
                <w:w w:val="90"/>
                <w:sz w:val="14"/>
              </w:rPr>
              <w:t>del</w:t>
            </w:r>
            <w:r>
              <w:rPr>
                <w:b/>
                <w:color w:val="231F20"/>
                <w:spacing w:val="-22"/>
                <w:w w:val="90"/>
                <w:sz w:val="14"/>
              </w:rPr>
              <w:t> </w:t>
            </w:r>
            <w:r>
              <w:rPr>
                <w:b/>
                <w:color w:val="231F20"/>
                <w:w w:val="90"/>
                <w:sz w:val="14"/>
              </w:rPr>
              <w:t>Plan</w:t>
            </w:r>
            <w:r>
              <w:rPr>
                <w:b/>
                <w:color w:val="231F20"/>
                <w:spacing w:val="-22"/>
                <w:w w:val="90"/>
                <w:sz w:val="14"/>
              </w:rPr>
              <w:t> </w:t>
            </w:r>
            <w:r>
              <w:rPr>
                <w:b/>
                <w:color w:val="231F20"/>
                <w:w w:val="90"/>
                <w:sz w:val="14"/>
              </w:rPr>
              <w:t>de</w:t>
            </w:r>
            <w:r>
              <w:rPr>
                <w:b/>
                <w:color w:val="231F20"/>
                <w:spacing w:val="-22"/>
                <w:w w:val="90"/>
                <w:sz w:val="14"/>
              </w:rPr>
              <w:t> </w:t>
            </w:r>
            <w:r>
              <w:rPr>
                <w:b/>
                <w:color w:val="231F20"/>
                <w:spacing w:val="2"/>
                <w:w w:val="90"/>
                <w:sz w:val="14"/>
              </w:rPr>
              <w:t>Desarrollo</w:t>
            </w:r>
            <w:r>
              <w:rPr>
                <w:b/>
                <w:color w:val="231F20"/>
                <w:spacing w:val="-22"/>
                <w:w w:val="90"/>
                <w:sz w:val="14"/>
              </w:rPr>
              <w:t> </w:t>
            </w:r>
            <w:r>
              <w:rPr>
                <w:b/>
                <w:color w:val="231F20"/>
                <w:w w:val="90"/>
                <w:sz w:val="14"/>
              </w:rPr>
              <w:t>del</w:t>
            </w:r>
            <w:r>
              <w:rPr>
                <w:b/>
                <w:color w:val="231F20"/>
                <w:spacing w:val="-22"/>
                <w:w w:val="90"/>
                <w:sz w:val="14"/>
              </w:rPr>
              <w:t> </w:t>
            </w:r>
            <w:r>
              <w:rPr>
                <w:b/>
                <w:color w:val="231F20"/>
                <w:w w:val="90"/>
                <w:sz w:val="14"/>
              </w:rPr>
              <w:t>Estado</w:t>
            </w:r>
            <w:r>
              <w:rPr>
                <w:b/>
                <w:color w:val="231F20"/>
                <w:spacing w:val="-22"/>
                <w:w w:val="90"/>
                <w:sz w:val="14"/>
              </w:rPr>
              <w:t> </w:t>
            </w:r>
            <w:r>
              <w:rPr>
                <w:b/>
                <w:color w:val="231F20"/>
                <w:w w:val="90"/>
                <w:sz w:val="14"/>
              </w:rPr>
              <w:t>de </w:t>
            </w:r>
            <w:r>
              <w:rPr>
                <w:b/>
                <w:color w:val="231F20"/>
                <w:w w:val="80"/>
                <w:sz w:val="14"/>
              </w:rPr>
              <w:t>México  2005-2011</w:t>
            </w:r>
          </w:p>
        </w:tc>
        <w:tc>
          <w:tcPr>
            <w:tcW w:w="426" w:type="dxa"/>
            <w:tcBorders>
              <w:top w:val="single" w:sz="4" w:space="0" w:color="231F20"/>
            </w:tcBorders>
            <w:textDirection w:val="btLr"/>
          </w:tcPr>
          <w:p>
            <w:pPr>
              <w:pStyle w:val="TableParagraph"/>
              <w:spacing w:before="124"/>
              <w:ind w:left="154"/>
              <w:rPr>
                <w:b/>
                <w:sz w:val="14"/>
              </w:rPr>
            </w:pPr>
            <w:r>
              <w:rPr>
                <w:b/>
                <w:color w:val="231F20"/>
                <w:w w:val="85"/>
                <w:sz w:val="14"/>
              </w:rPr>
              <w:t>F</w:t>
            </w:r>
            <w:r>
              <w:rPr>
                <w:b/>
                <w:color w:val="231F20"/>
                <w:spacing w:val="2"/>
                <w:w w:val="84"/>
                <w:sz w:val="14"/>
              </w:rPr>
              <w:t>un</w:t>
            </w:r>
            <w:r>
              <w:rPr>
                <w:b/>
                <w:color w:val="231F20"/>
                <w:spacing w:val="3"/>
                <w:w w:val="77"/>
                <w:sz w:val="14"/>
              </w:rPr>
              <w:t>c</w:t>
            </w:r>
            <w:r>
              <w:rPr>
                <w:b/>
                <w:color w:val="231F20"/>
                <w:spacing w:val="2"/>
                <w:w w:val="90"/>
                <w:sz w:val="14"/>
              </w:rPr>
              <w:t>i</w:t>
            </w:r>
            <w:r>
              <w:rPr>
                <w:b/>
                <w:color w:val="231F20"/>
                <w:spacing w:val="2"/>
                <w:w w:val="82"/>
                <w:sz w:val="14"/>
              </w:rPr>
              <w:t>ón</w:t>
            </w:r>
          </w:p>
        </w:tc>
        <w:tc>
          <w:tcPr>
            <w:tcW w:w="426" w:type="dxa"/>
            <w:tcBorders>
              <w:top w:val="single" w:sz="4" w:space="0" w:color="231F20"/>
            </w:tcBorders>
            <w:textDirection w:val="btLr"/>
          </w:tcPr>
          <w:p>
            <w:pPr>
              <w:pStyle w:val="TableParagraph"/>
              <w:spacing w:before="8"/>
              <w:ind w:left="0"/>
              <w:rPr>
                <w:rFonts w:ascii="Times New Roman"/>
                <w:b/>
                <w:sz w:val="18"/>
              </w:rPr>
            </w:pPr>
          </w:p>
          <w:p>
            <w:pPr>
              <w:pStyle w:val="TableParagraph"/>
              <w:ind w:left="102"/>
              <w:rPr>
                <w:b/>
                <w:sz w:val="14"/>
              </w:rPr>
            </w:pPr>
            <w:r>
              <w:rPr>
                <w:b/>
                <w:color w:val="231F20"/>
                <w:spacing w:val="2"/>
                <w:w w:val="84"/>
                <w:sz w:val="14"/>
              </w:rPr>
              <w:t>P</w:t>
            </w:r>
            <w:r>
              <w:rPr>
                <w:b/>
                <w:color w:val="231F20"/>
                <w:spacing w:val="3"/>
                <w:w w:val="84"/>
                <w:sz w:val="14"/>
              </w:rPr>
              <w:t>r</w:t>
            </w:r>
            <w:r>
              <w:rPr>
                <w:b/>
                <w:color w:val="231F20"/>
                <w:spacing w:val="2"/>
                <w:w w:val="80"/>
                <w:sz w:val="14"/>
              </w:rPr>
              <w:t>o</w:t>
            </w:r>
            <w:r>
              <w:rPr>
                <w:b/>
                <w:color w:val="231F20"/>
                <w:spacing w:val="3"/>
                <w:w w:val="94"/>
                <w:sz w:val="14"/>
              </w:rPr>
              <w:t>g</w:t>
            </w:r>
            <w:r>
              <w:rPr>
                <w:b/>
                <w:color w:val="231F20"/>
                <w:spacing w:val="2"/>
                <w:w w:val="82"/>
                <w:sz w:val="14"/>
              </w:rPr>
              <w:t>r</w:t>
            </w:r>
            <w:r>
              <w:rPr>
                <w:b/>
                <w:color w:val="231F20"/>
                <w:spacing w:val="2"/>
                <w:w w:val="85"/>
                <w:sz w:val="14"/>
              </w:rPr>
              <w:t>a</w:t>
            </w:r>
            <w:r>
              <w:rPr>
                <w:b/>
                <w:color w:val="231F20"/>
                <w:spacing w:val="2"/>
                <w:w w:val="83"/>
                <w:sz w:val="14"/>
              </w:rPr>
              <w:t>m</w:t>
            </w:r>
            <w:r>
              <w:rPr>
                <w:b/>
                <w:color w:val="231F20"/>
                <w:w w:val="85"/>
                <w:sz w:val="14"/>
              </w:rPr>
              <w:t>a</w:t>
            </w:r>
          </w:p>
        </w:tc>
        <w:tc>
          <w:tcPr>
            <w:tcW w:w="1841" w:type="dxa"/>
            <w:tcBorders>
              <w:top w:val="single" w:sz="4" w:space="0" w:color="231F20"/>
            </w:tcBorders>
          </w:tcPr>
          <w:p>
            <w:pPr>
              <w:pStyle w:val="TableParagraph"/>
              <w:ind w:left="0"/>
              <w:rPr>
                <w:rFonts w:ascii="Times New Roman"/>
                <w:b/>
                <w:sz w:val="14"/>
              </w:rPr>
            </w:pPr>
          </w:p>
          <w:p>
            <w:pPr>
              <w:pStyle w:val="TableParagraph"/>
              <w:spacing w:before="111"/>
              <w:ind w:left="322" w:right="36"/>
              <w:rPr>
                <w:b/>
                <w:sz w:val="14"/>
              </w:rPr>
            </w:pPr>
            <w:r>
              <w:rPr>
                <w:b/>
                <w:color w:val="231F20"/>
                <w:w w:val="85"/>
                <w:sz w:val="14"/>
              </w:rPr>
              <w:t>Programas Municipales</w:t>
            </w:r>
          </w:p>
        </w:tc>
      </w:tr>
      <w:tr>
        <w:trPr>
          <w:trHeight w:val="331" w:hRule="exact"/>
        </w:trPr>
        <w:tc>
          <w:tcPr>
            <w:tcW w:w="592" w:type="dxa"/>
            <w:vMerge w:val="restart"/>
            <w:textDirection w:val="btLr"/>
          </w:tcPr>
          <w:p>
            <w:pPr>
              <w:pStyle w:val="TableParagraph"/>
              <w:ind w:left="0"/>
              <w:rPr>
                <w:rFonts w:ascii="Times New Roman"/>
                <w:b/>
                <w:sz w:val="18"/>
              </w:rPr>
            </w:pPr>
          </w:p>
          <w:p>
            <w:pPr>
              <w:pStyle w:val="TableParagraph"/>
              <w:spacing w:before="1"/>
              <w:ind w:left="2194" w:right="2194"/>
              <w:jc w:val="center"/>
              <w:rPr>
                <w:b/>
                <w:sz w:val="14"/>
              </w:rPr>
            </w:pPr>
            <w:r>
              <w:rPr>
                <w:b/>
                <w:color w:val="231F20"/>
                <w:spacing w:val="2"/>
                <w:w w:val="79"/>
                <w:sz w:val="14"/>
              </w:rPr>
              <w:t>Ci</w:t>
            </w:r>
            <w:r>
              <w:rPr>
                <w:b/>
                <w:color w:val="231F20"/>
                <w:spacing w:val="2"/>
                <w:w w:val="85"/>
                <w:sz w:val="14"/>
              </w:rPr>
              <w:t>mi</w:t>
            </w:r>
            <w:r>
              <w:rPr>
                <w:b/>
                <w:color w:val="231F20"/>
                <w:spacing w:val="2"/>
                <w:w w:val="84"/>
                <w:sz w:val="14"/>
              </w:rPr>
              <w:t>en</w:t>
            </w:r>
            <w:r>
              <w:rPr>
                <w:b/>
                <w:color w:val="231F20"/>
                <w:spacing w:val="2"/>
                <w:w w:val="89"/>
                <w:sz w:val="14"/>
              </w:rPr>
              <w:t>t</w:t>
            </w:r>
            <w:r>
              <w:rPr>
                <w:b/>
                <w:color w:val="231F20"/>
                <w:w w:val="80"/>
                <w:sz w:val="14"/>
              </w:rPr>
              <w:t>o</w:t>
            </w:r>
            <w:r>
              <w:rPr>
                <w:b/>
                <w:color w:val="231F20"/>
                <w:spacing w:val="-10"/>
                <w:sz w:val="14"/>
              </w:rPr>
              <w:t> </w:t>
            </w:r>
            <w:r>
              <w:rPr>
                <w:b/>
                <w:color w:val="231F20"/>
                <w:spacing w:val="2"/>
                <w:w w:val="83"/>
                <w:sz w:val="14"/>
              </w:rPr>
              <w:t>p</w:t>
            </w:r>
            <w:r>
              <w:rPr>
                <w:b/>
                <w:color w:val="231F20"/>
                <w:spacing w:val="2"/>
                <w:w w:val="85"/>
                <w:sz w:val="14"/>
              </w:rPr>
              <w:t>a</w:t>
            </w:r>
            <w:r>
              <w:rPr>
                <w:b/>
                <w:color w:val="231F20"/>
                <w:spacing w:val="2"/>
                <w:w w:val="82"/>
                <w:sz w:val="14"/>
              </w:rPr>
              <w:t>r</w:t>
            </w:r>
            <w:r>
              <w:rPr>
                <w:b/>
                <w:color w:val="231F20"/>
                <w:w w:val="85"/>
                <w:sz w:val="14"/>
              </w:rPr>
              <w:t>a</w:t>
            </w:r>
            <w:r>
              <w:rPr>
                <w:b/>
                <w:color w:val="231F20"/>
                <w:spacing w:val="-10"/>
                <w:sz w:val="14"/>
              </w:rPr>
              <w:t> </w:t>
            </w:r>
            <w:r>
              <w:rPr>
                <w:b/>
                <w:color w:val="231F20"/>
                <w:spacing w:val="2"/>
                <w:w w:val="91"/>
                <w:sz w:val="14"/>
              </w:rPr>
              <w:t>l</w:t>
            </w:r>
            <w:r>
              <w:rPr>
                <w:b/>
                <w:color w:val="231F20"/>
                <w:w w:val="85"/>
                <w:sz w:val="14"/>
              </w:rPr>
              <w:t>a</w:t>
            </w:r>
            <w:r>
              <w:rPr>
                <w:b/>
                <w:color w:val="231F20"/>
                <w:spacing w:val="-10"/>
                <w:sz w:val="14"/>
              </w:rPr>
              <w:t> </w:t>
            </w:r>
            <w:r>
              <w:rPr>
                <w:b/>
                <w:color w:val="231F20"/>
                <w:spacing w:val="2"/>
                <w:w w:val="83"/>
                <w:sz w:val="14"/>
              </w:rPr>
              <w:t>S</w:t>
            </w:r>
            <w:r>
              <w:rPr>
                <w:b/>
                <w:color w:val="231F20"/>
                <w:spacing w:val="2"/>
                <w:w w:val="88"/>
                <w:sz w:val="14"/>
              </w:rPr>
              <w:t>eg</w:t>
            </w:r>
            <w:r>
              <w:rPr>
                <w:b/>
                <w:color w:val="231F20"/>
                <w:spacing w:val="2"/>
                <w:w w:val="84"/>
                <w:sz w:val="14"/>
              </w:rPr>
              <w:t>u</w:t>
            </w:r>
            <w:r>
              <w:rPr>
                <w:b/>
                <w:color w:val="231F20"/>
                <w:spacing w:val="3"/>
                <w:w w:val="82"/>
                <w:sz w:val="14"/>
              </w:rPr>
              <w:t>r</w:t>
            </w:r>
            <w:r>
              <w:rPr>
                <w:b/>
                <w:color w:val="231F20"/>
                <w:spacing w:val="2"/>
                <w:w w:val="90"/>
                <w:sz w:val="14"/>
              </w:rPr>
              <w:t>i</w:t>
            </w:r>
            <w:r>
              <w:rPr>
                <w:b/>
                <w:color w:val="231F20"/>
                <w:spacing w:val="2"/>
                <w:w w:val="84"/>
                <w:sz w:val="14"/>
              </w:rPr>
              <w:t>da</w:t>
            </w:r>
            <w:r>
              <w:rPr>
                <w:b/>
                <w:color w:val="231F20"/>
                <w:w w:val="83"/>
                <w:sz w:val="14"/>
              </w:rPr>
              <w:t>d</w:t>
            </w:r>
            <w:r>
              <w:rPr>
                <w:b/>
                <w:color w:val="231F20"/>
                <w:spacing w:val="-10"/>
                <w:sz w:val="14"/>
              </w:rPr>
              <w:t> </w:t>
            </w:r>
            <w:r>
              <w:rPr>
                <w:b/>
                <w:color w:val="231F20"/>
                <w:spacing w:val="1"/>
                <w:w w:val="93"/>
                <w:sz w:val="14"/>
              </w:rPr>
              <w:t>I</w:t>
            </w:r>
            <w:r>
              <w:rPr>
                <w:b/>
                <w:color w:val="231F20"/>
                <w:spacing w:val="2"/>
                <w:w w:val="85"/>
                <w:sz w:val="14"/>
              </w:rPr>
              <w:t>n</w:t>
            </w:r>
            <w:r>
              <w:rPr>
                <w:b/>
                <w:color w:val="231F20"/>
                <w:spacing w:val="1"/>
                <w:w w:val="89"/>
                <w:sz w:val="14"/>
              </w:rPr>
              <w:t>t</w:t>
            </w:r>
            <w:r>
              <w:rPr>
                <w:b/>
                <w:color w:val="231F20"/>
                <w:spacing w:val="2"/>
                <w:w w:val="88"/>
                <w:sz w:val="14"/>
              </w:rPr>
              <w:t>e</w:t>
            </w:r>
            <w:r>
              <w:rPr>
                <w:b/>
                <w:color w:val="231F20"/>
                <w:spacing w:val="3"/>
                <w:w w:val="88"/>
                <w:sz w:val="14"/>
              </w:rPr>
              <w:t>g</w:t>
            </w:r>
            <w:r>
              <w:rPr>
                <w:b/>
                <w:color w:val="231F20"/>
                <w:spacing w:val="2"/>
                <w:w w:val="82"/>
                <w:sz w:val="14"/>
              </w:rPr>
              <w:t>r</w:t>
            </w:r>
            <w:r>
              <w:rPr>
                <w:b/>
                <w:color w:val="231F20"/>
                <w:spacing w:val="2"/>
                <w:w w:val="85"/>
                <w:sz w:val="14"/>
              </w:rPr>
              <w:t>a</w:t>
            </w:r>
            <w:r>
              <w:rPr>
                <w:b/>
                <w:color w:val="231F20"/>
                <w:w w:val="91"/>
                <w:sz w:val="14"/>
              </w:rPr>
              <w:t>l</w:t>
            </w:r>
          </w:p>
        </w:tc>
        <w:tc>
          <w:tcPr>
            <w:tcW w:w="1986" w:type="dxa"/>
            <w:vMerge w:val="restart"/>
          </w:tcPr>
          <w:p>
            <w:pPr>
              <w:pStyle w:val="TableParagraph"/>
              <w:spacing w:before="5"/>
              <w:ind w:left="0"/>
              <w:rPr>
                <w:rFonts w:ascii="Times New Roman"/>
                <w:b/>
                <w:sz w:val="11"/>
              </w:rPr>
            </w:pPr>
          </w:p>
          <w:p>
            <w:pPr>
              <w:pStyle w:val="TableParagraph"/>
              <w:spacing w:line="168" w:lineRule="exact"/>
              <w:ind w:left="122" w:right="121" w:firstLine="2"/>
              <w:jc w:val="center"/>
              <w:rPr>
                <w:sz w:val="14"/>
              </w:rPr>
            </w:pPr>
            <w:r>
              <w:rPr>
                <w:color w:val="231F20"/>
                <w:w w:val="80"/>
                <w:sz w:val="14"/>
              </w:rPr>
              <w:t>Construir</w:t>
            </w:r>
            <w:r>
              <w:rPr>
                <w:color w:val="231F20"/>
                <w:spacing w:val="-16"/>
                <w:w w:val="80"/>
                <w:sz w:val="14"/>
              </w:rPr>
              <w:t> </w:t>
            </w:r>
            <w:r>
              <w:rPr>
                <w:color w:val="231F20"/>
                <w:w w:val="80"/>
                <w:sz w:val="14"/>
              </w:rPr>
              <w:t>una</w:t>
            </w:r>
            <w:r>
              <w:rPr>
                <w:color w:val="231F20"/>
                <w:spacing w:val="-16"/>
                <w:w w:val="80"/>
                <w:sz w:val="14"/>
              </w:rPr>
              <w:t> </w:t>
            </w:r>
            <w:r>
              <w:rPr>
                <w:color w:val="231F20"/>
                <w:w w:val="80"/>
                <w:sz w:val="14"/>
              </w:rPr>
              <w:t>relación</w:t>
            </w:r>
            <w:r>
              <w:rPr>
                <w:color w:val="231F20"/>
                <w:spacing w:val="-16"/>
                <w:w w:val="80"/>
                <w:sz w:val="14"/>
              </w:rPr>
              <w:t> </w:t>
            </w:r>
            <w:r>
              <w:rPr>
                <w:color w:val="231F20"/>
                <w:w w:val="80"/>
                <w:sz w:val="14"/>
              </w:rPr>
              <w:t>de</w:t>
            </w:r>
            <w:r>
              <w:rPr>
                <w:color w:val="231F20"/>
                <w:spacing w:val="-16"/>
                <w:w w:val="80"/>
                <w:sz w:val="14"/>
              </w:rPr>
              <w:t> </w:t>
            </w:r>
            <w:r>
              <w:rPr>
                <w:color w:val="231F20"/>
                <w:w w:val="80"/>
                <w:sz w:val="14"/>
              </w:rPr>
              <w:t>colaboración responsable,</w:t>
            </w:r>
            <w:r>
              <w:rPr>
                <w:color w:val="231F20"/>
                <w:spacing w:val="-13"/>
                <w:w w:val="80"/>
                <w:sz w:val="14"/>
              </w:rPr>
              <w:t> </w:t>
            </w:r>
            <w:r>
              <w:rPr>
                <w:color w:val="231F20"/>
                <w:w w:val="80"/>
                <w:sz w:val="14"/>
              </w:rPr>
              <w:t>equilibrada</w:t>
            </w:r>
            <w:r>
              <w:rPr>
                <w:color w:val="231F20"/>
                <w:spacing w:val="-13"/>
                <w:w w:val="80"/>
                <w:sz w:val="14"/>
              </w:rPr>
              <w:t> </w:t>
            </w:r>
            <w:r>
              <w:rPr>
                <w:color w:val="231F20"/>
                <w:w w:val="80"/>
                <w:sz w:val="14"/>
              </w:rPr>
              <w:t>y</w:t>
            </w:r>
            <w:r>
              <w:rPr>
                <w:color w:val="231F20"/>
                <w:spacing w:val="-13"/>
                <w:w w:val="80"/>
                <w:sz w:val="14"/>
              </w:rPr>
              <w:t> </w:t>
            </w:r>
            <w:r>
              <w:rPr>
                <w:color w:val="231F20"/>
                <w:w w:val="80"/>
                <w:sz w:val="14"/>
              </w:rPr>
              <w:t>productiva entre</w:t>
            </w:r>
            <w:r>
              <w:rPr>
                <w:color w:val="231F20"/>
                <w:spacing w:val="-12"/>
                <w:w w:val="80"/>
                <w:sz w:val="14"/>
              </w:rPr>
              <w:t> </w:t>
            </w:r>
            <w:r>
              <w:rPr>
                <w:color w:val="231F20"/>
                <w:w w:val="80"/>
                <w:sz w:val="14"/>
              </w:rPr>
              <w:t>los</w:t>
            </w:r>
            <w:r>
              <w:rPr>
                <w:color w:val="231F20"/>
                <w:spacing w:val="-12"/>
                <w:w w:val="80"/>
                <w:sz w:val="14"/>
              </w:rPr>
              <w:t> </w:t>
            </w:r>
            <w:r>
              <w:rPr>
                <w:color w:val="231F20"/>
                <w:w w:val="80"/>
                <w:sz w:val="14"/>
              </w:rPr>
              <w:t>poderes</w:t>
            </w:r>
            <w:r>
              <w:rPr>
                <w:color w:val="231F20"/>
                <w:spacing w:val="-12"/>
                <w:w w:val="80"/>
                <w:sz w:val="14"/>
              </w:rPr>
              <w:t> </w:t>
            </w:r>
            <w:r>
              <w:rPr>
                <w:color w:val="231F20"/>
                <w:w w:val="80"/>
                <w:sz w:val="14"/>
              </w:rPr>
              <w:t>de</w:t>
            </w:r>
            <w:r>
              <w:rPr>
                <w:color w:val="231F20"/>
                <w:spacing w:val="-12"/>
                <w:w w:val="80"/>
                <w:sz w:val="14"/>
              </w:rPr>
              <w:t> </w:t>
            </w:r>
            <w:r>
              <w:rPr>
                <w:color w:val="231F20"/>
                <w:w w:val="80"/>
                <w:sz w:val="14"/>
              </w:rPr>
              <w:t>la</w:t>
            </w:r>
            <w:r>
              <w:rPr>
                <w:color w:val="231F20"/>
                <w:spacing w:val="-12"/>
                <w:w w:val="80"/>
                <w:sz w:val="14"/>
              </w:rPr>
              <w:t> </w:t>
            </w:r>
            <w:r>
              <w:rPr>
                <w:color w:val="231F20"/>
                <w:w w:val="80"/>
                <w:sz w:val="14"/>
              </w:rPr>
              <w:t>Unión</w:t>
            </w:r>
            <w:r>
              <w:rPr>
                <w:color w:val="231F20"/>
                <w:spacing w:val="-12"/>
                <w:w w:val="80"/>
                <w:sz w:val="14"/>
              </w:rPr>
              <w:t> </w:t>
            </w:r>
            <w:r>
              <w:rPr>
                <w:color w:val="231F20"/>
                <w:w w:val="80"/>
                <w:sz w:val="14"/>
              </w:rPr>
              <w:t>y</w:t>
            </w:r>
            <w:r>
              <w:rPr>
                <w:color w:val="231F20"/>
                <w:spacing w:val="-12"/>
                <w:w w:val="80"/>
                <w:sz w:val="14"/>
              </w:rPr>
              <w:t> </w:t>
            </w:r>
            <w:r>
              <w:rPr>
                <w:color w:val="231F20"/>
                <w:w w:val="80"/>
                <w:sz w:val="14"/>
              </w:rPr>
              <w:t>avanzar </w:t>
            </w:r>
            <w:r>
              <w:rPr>
                <w:color w:val="231F20"/>
                <w:w w:val="75"/>
                <w:sz w:val="14"/>
              </w:rPr>
              <w:t>hacia un auténtico </w:t>
            </w:r>
            <w:r>
              <w:rPr>
                <w:color w:val="231F20"/>
                <w:spacing w:val="10"/>
                <w:w w:val="75"/>
                <w:sz w:val="14"/>
              </w:rPr>
              <w:t> </w:t>
            </w:r>
            <w:r>
              <w:rPr>
                <w:color w:val="231F20"/>
                <w:w w:val="75"/>
                <w:sz w:val="14"/>
              </w:rPr>
              <w:t>federalismo.</w:t>
            </w:r>
          </w:p>
        </w:tc>
        <w:tc>
          <w:tcPr>
            <w:tcW w:w="2550" w:type="dxa"/>
          </w:tcPr>
          <w:p>
            <w:pPr>
              <w:pStyle w:val="TableParagraph"/>
              <w:spacing w:before="77"/>
              <w:ind w:left="57" w:right="57"/>
              <w:jc w:val="center"/>
              <w:rPr>
                <w:sz w:val="14"/>
              </w:rPr>
            </w:pPr>
            <w:r>
              <w:rPr>
                <w:color w:val="231F20"/>
                <w:w w:val="80"/>
                <w:sz w:val="14"/>
              </w:rPr>
              <w:t>Garantizar la renovación institucional</w:t>
            </w:r>
          </w:p>
        </w:tc>
        <w:tc>
          <w:tcPr>
            <w:tcW w:w="426" w:type="dxa"/>
            <w:vMerge w:val="restart"/>
          </w:tcPr>
          <w:p>
            <w:pPr>
              <w:pStyle w:val="TableParagraph"/>
              <w:ind w:left="0"/>
              <w:rPr>
                <w:rFonts w:ascii="Times New Roman"/>
                <w:b/>
                <w:sz w:val="14"/>
              </w:rPr>
            </w:pPr>
          </w:p>
          <w:p>
            <w:pPr>
              <w:pStyle w:val="TableParagraph"/>
              <w:spacing w:before="5"/>
              <w:ind w:left="0"/>
              <w:rPr>
                <w:rFonts w:ascii="Times New Roman"/>
                <w:b/>
                <w:sz w:val="12"/>
              </w:rPr>
            </w:pPr>
          </w:p>
          <w:p>
            <w:pPr>
              <w:pStyle w:val="TableParagraph"/>
              <w:ind w:left="0"/>
              <w:jc w:val="center"/>
              <w:rPr>
                <w:sz w:val="14"/>
              </w:rPr>
            </w:pPr>
            <w:r>
              <w:rPr>
                <w:color w:val="231F20"/>
                <w:w w:val="75"/>
                <w:sz w:val="14"/>
              </w:rPr>
              <w:t>8</w:t>
            </w:r>
          </w:p>
        </w:tc>
        <w:tc>
          <w:tcPr>
            <w:tcW w:w="426" w:type="dxa"/>
            <w:vMerge w:val="restart"/>
          </w:tcPr>
          <w:p>
            <w:pPr>
              <w:pStyle w:val="TableParagraph"/>
              <w:ind w:left="0"/>
              <w:rPr>
                <w:rFonts w:ascii="Times New Roman"/>
                <w:b/>
                <w:sz w:val="14"/>
              </w:rPr>
            </w:pPr>
          </w:p>
          <w:p>
            <w:pPr>
              <w:pStyle w:val="TableParagraph"/>
              <w:spacing w:before="5"/>
              <w:ind w:left="0"/>
              <w:rPr>
                <w:rFonts w:ascii="Times New Roman"/>
                <w:b/>
                <w:sz w:val="12"/>
              </w:rPr>
            </w:pPr>
          </w:p>
          <w:p>
            <w:pPr>
              <w:pStyle w:val="TableParagraph"/>
              <w:ind w:left="0"/>
              <w:jc w:val="center"/>
              <w:rPr>
                <w:sz w:val="14"/>
              </w:rPr>
            </w:pPr>
            <w:r>
              <w:rPr>
                <w:color w:val="231F20"/>
                <w:w w:val="75"/>
                <w:sz w:val="14"/>
              </w:rPr>
              <w:t>1</w:t>
            </w:r>
          </w:p>
        </w:tc>
        <w:tc>
          <w:tcPr>
            <w:tcW w:w="1841" w:type="dxa"/>
            <w:vMerge w:val="restart"/>
          </w:tcPr>
          <w:p>
            <w:pPr>
              <w:pStyle w:val="TableParagraph"/>
              <w:ind w:left="0"/>
              <w:rPr>
                <w:rFonts w:ascii="Times New Roman"/>
                <w:b/>
                <w:sz w:val="19"/>
              </w:rPr>
            </w:pPr>
          </w:p>
          <w:p>
            <w:pPr>
              <w:pStyle w:val="TableParagraph"/>
              <w:spacing w:line="168" w:lineRule="exact"/>
              <w:ind w:left="805" w:right="36" w:hanging="662"/>
              <w:rPr>
                <w:sz w:val="14"/>
              </w:rPr>
            </w:pPr>
            <w:r>
              <w:rPr>
                <w:color w:val="231F20"/>
                <w:w w:val="80"/>
                <w:sz w:val="14"/>
              </w:rPr>
              <w:t>Apoyo a las Políticas Gubernamen- </w:t>
            </w:r>
            <w:r>
              <w:rPr>
                <w:color w:val="231F20"/>
                <w:w w:val="85"/>
                <w:sz w:val="14"/>
              </w:rPr>
              <w:t>tales</w:t>
            </w:r>
          </w:p>
        </w:tc>
      </w:tr>
      <w:tr>
        <w:trPr>
          <w:trHeight w:val="454" w:hRule="exact"/>
        </w:trPr>
        <w:tc>
          <w:tcPr>
            <w:tcW w:w="592" w:type="dxa"/>
            <w:vMerge/>
            <w:textDirection w:val="btLr"/>
          </w:tcPr>
          <w:p>
            <w:pPr/>
          </w:p>
        </w:tc>
        <w:tc>
          <w:tcPr>
            <w:tcW w:w="1986" w:type="dxa"/>
            <w:vMerge/>
          </w:tcPr>
          <w:p>
            <w:pPr/>
          </w:p>
        </w:tc>
        <w:tc>
          <w:tcPr>
            <w:tcW w:w="2550" w:type="dxa"/>
          </w:tcPr>
          <w:p>
            <w:pPr>
              <w:pStyle w:val="TableParagraph"/>
              <w:ind w:left="0"/>
              <w:rPr>
                <w:rFonts w:ascii="Times New Roman"/>
                <w:b/>
                <w:sz w:val="12"/>
              </w:rPr>
            </w:pPr>
          </w:p>
          <w:p>
            <w:pPr>
              <w:pStyle w:val="TableParagraph"/>
              <w:spacing w:before="1"/>
              <w:ind w:left="57" w:right="57"/>
              <w:jc w:val="center"/>
              <w:rPr>
                <w:sz w:val="14"/>
              </w:rPr>
            </w:pPr>
            <w:r>
              <w:rPr>
                <w:color w:val="231F20"/>
                <w:w w:val="80"/>
                <w:sz w:val="14"/>
              </w:rPr>
              <w:t>Lograr una mayor coordinación interinstitucional</w:t>
            </w:r>
          </w:p>
        </w:tc>
        <w:tc>
          <w:tcPr>
            <w:tcW w:w="426" w:type="dxa"/>
            <w:vMerge/>
          </w:tcPr>
          <w:p>
            <w:pPr/>
          </w:p>
        </w:tc>
        <w:tc>
          <w:tcPr>
            <w:tcW w:w="426" w:type="dxa"/>
            <w:vMerge/>
          </w:tcPr>
          <w:p>
            <w:pPr/>
          </w:p>
        </w:tc>
        <w:tc>
          <w:tcPr>
            <w:tcW w:w="1841" w:type="dxa"/>
            <w:vMerge/>
          </w:tcPr>
          <w:p>
            <w:pPr/>
          </w:p>
        </w:tc>
      </w:tr>
      <w:tr>
        <w:trPr>
          <w:trHeight w:val="201" w:hRule="exact"/>
        </w:trPr>
        <w:tc>
          <w:tcPr>
            <w:tcW w:w="592" w:type="dxa"/>
            <w:vMerge/>
            <w:textDirection w:val="btLr"/>
          </w:tcPr>
          <w:p>
            <w:pPr/>
          </w:p>
        </w:tc>
        <w:tc>
          <w:tcPr>
            <w:tcW w:w="1986" w:type="dxa"/>
          </w:tcPr>
          <w:p>
            <w:pPr>
              <w:pStyle w:val="TableParagraph"/>
              <w:spacing w:before="52"/>
              <w:ind w:left="65" w:right="-8"/>
              <w:rPr>
                <w:sz w:val="14"/>
              </w:rPr>
            </w:pPr>
            <w:r>
              <w:rPr>
                <w:color w:val="231F20"/>
                <w:w w:val="80"/>
                <w:sz w:val="14"/>
              </w:rPr>
              <w:t>Fortalecer la cohesión y el capital sociales</w:t>
            </w:r>
          </w:p>
        </w:tc>
        <w:tc>
          <w:tcPr>
            <w:tcW w:w="2550" w:type="dxa"/>
            <w:vMerge w:val="restart"/>
          </w:tcPr>
          <w:p>
            <w:pPr>
              <w:pStyle w:val="TableParagraph"/>
              <w:spacing w:line="168" w:lineRule="exact" w:before="88"/>
              <w:ind w:left="114" w:right="-3" w:hanging="36"/>
              <w:rPr>
                <w:sz w:val="14"/>
              </w:rPr>
            </w:pPr>
            <w:r>
              <w:rPr>
                <w:color w:val="231F20"/>
                <w:w w:val="80"/>
                <w:sz w:val="14"/>
              </w:rPr>
              <w:t>Garantizar que la participación social se constituya en un componente básico de la gestión gubernamental</w:t>
            </w:r>
          </w:p>
        </w:tc>
        <w:tc>
          <w:tcPr>
            <w:tcW w:w="426" w:type="dxa"/>
            <w:vMerge w:val="restart"/>
          </w:tcPr>
          <w:p>
            <w:pPr>
              <w:pStyle w:val="TableParagraph"/>
              <w:ind w:left="0"/>
              <w:rPr>
                <w:rFonts w:ascii="Times New Roman"/>
                <w:b/>
                <w:sz w:val="15"/>
              </w:rPr>
            </w:pPr>
          </w:p>
          <w:p>
            <w:pPr>
              <w:pStyle w:val="TableParagraph"/>
              <w:ind w:left="0"/>
              <w:jc w:val="center"/>
              <w:rPr>
                <w:sz w:val="14"/>
              </w:rPr>
            </w:pPr>
            <w:r>
              <w:rPr>
                <w:color w:val="231F20"/>
                <w:w w:val="75"/>
                <w:sz w:val="14"/>
              </w:rPr>
              <w:t>8</w:t>
            </w:r>
          </w:p>
        </w:tc>
        <w:tc>
          <w:tcPr>
            <w:tcW w:w="426" w:type="dxa"/>
            <w:vMerge w:val="restart"/>
          </w:tcPr>
          <w:p>
            <w:pPr>
              <w:pStyle w:val="TableParagraph"/>
              <w:ind w:left="0"/>
              <w:rPr>
                <w:rFonts w:ascii="Times New Roman"/>
                <w:b/>
                <w:sz w:val="15"/>
              </w:rPr>
            </w:pPr>
          </w:p>
          <w:p>
            <w:pPr>
              <w:pStyle w:val="TableParagraph"/>
              <w:ind w:left="0"/>
              <w:jc w:val="center"/>
              <w:rPr>
                <w:sz w:val="14"/>
              </w:rPr>
            </w:pPr>
            <w:r>
              <w:rPr>
                <w:color w:val="231F20"/>
                <w:w w:val="75"/>
                <w:sz w:val="14"/>
              </w:rPr>
              <w:t>2</w:t>
            </w:r>
          </w:p>
        </w:tc>
        <w:tc>
          <w:tcPr>
            <w:tcW w:w="1841" w:type="dxa"/>
            <w:vMerge w:val="restart"/>
          </w:tcPr>
          <w:p>
            <w:pPr>
              <w:pStyle w:val="TableParagraph"/>
              <w:spacing w:line="168" w:lineRule="exact" w:before="88"/>
              <w:ind w:left="782" w:right="36" w:hanging="646"/>
              <w:rPr>
                <w:sz w:val="14"/>
              </w:rPr>
            </w:pPr>
            <w:r>
              <w:rPr>
                <w:color w:val="231F20"/>
                <w:w w:val="80"/>
                <w:sz w:val="14"/>
              </w:rPr>
              <w:t>Fortalecimiento de la Participación </w:t>
            </w:r>
            <w:r>
              <w:rPr>
                <w:color w:val="231F20"/>
                <w:w w:val="85"/>
                <w:sz w:val="14"/>
              </w:rPr>
              <w:t>Social</w:t>
            </w:r>
          </w:p>
        </w:tc>
      </w:tr>
      <w:tr>
        <w:trPr>
          <w:trHeight w:val="323" w:hRule="exact"/>
        </w:trPr>
        <w:tc>
          <w:tcPr>
            <w:tcW w:w="592" w:type="dxa"/>
            <w:vMerge/>
            <w:textDirection w:val="btLr"/>
          </w:tcPr>
          <w:p>
            <w:pPr/>
          </w:p>
        </w:tc>
        <w:tc>
          <w:tcPr>
            <w:tcW w:w="1986" w:type="dxa"/>
          </w:tcPr>
          <w:p>
            <w:pPr>
              <w:pStyle w:val="TableParagraph"/>
              <w:spacing w:line="168" w:lineRule="exact" w:before="5"/>
              <w:ind w:left="657" w:right="74" w:hanging="514"/>
              <w:rPr>
                <w:sz w:val="14"/>
              </w:rPr>
            </w:pPr>
            <w:r>
              <w:rPr>
                <w:color w:val="231F20"/>
                <w:w w:val="80"/>
                <w:sz w:val="14"/>
              </w:rPr>
              <w:t>Acrecentar la equidad y la igualdad de </w:t>
            </w:r>
            <w:r>
              <w:rPr>
                <w:color w:val="231F20"/>
                <w:w w:val="85"/>
                <w:sz w:val="14"/>
              </w:rPr>
              <w:t>oportunidades</w:t>
            </w:r>
          </w:p>
        </w:tc>
        <w:tc>
          <w:tcPr>
            <w:tcW w:w="2550" w:type="dxa"/>
            <w:vMerge/>
          </w:tcPr>
          <w:p>
            <w:pPr/>
          </w:p>
        </w:tc>
        <w:tc>
          <w:tcPr>
            <w:tcW w:w="426" w:type="dxa"/>
            <w:vMerge/>
          </w:tcPr>
          <w:p>
            <w:pPr/>
          </w:p>
        </w:tc>
        <w:tc>
          <w:tcPr>
            <w:tcW w:w="426" w:type="dxa"/>
            <w:vMerge/>
          </w:tcPr>
          <w:p>
            <w:pPr/>
          </w:p>
        </w:tc>
        <w:tc>
          <w:tcPr>
            <w:tcW w:w="1841" w:type="dxa"/>
            <w:vMerge/>
          </w:tcPr>
          <w:p>
            <w:pPr/>
          </w:p>
        </w:tc>
      </w:tr>
      <w:tr>
        <w:trPr>
          <w:trHeight w:val="142" w:hRule="exact"/>
        </w:trPr>
        <w:tc>
          <w:tcPr>
            <w:tcW w:w="592" w:type="dxa"/>
            <w:vMerge/>
            <w:textDirection w:val="btLr"/>
          </w:tcPr>
          <w:p>
            <w:pPr/>
          </w:p>
        </w:tc>
        <w:tc>
          <w:tcPr>
            <w:tcW w:w="1986" w:type="dxa"/>
            <w:vMerge w:val="restart"/>
          </w:tcPr>
          <w:p>
            <w:pPr>
              <w:pStyle w:val="TableParagraph"/>
              <w:ind w:left="0"/>
              <w:rPr>
                <w:rFonts w:ascii="Times New Roman"/>
                <w:b/>
                <w:sz w:val="14"/>
              </w:rPr>
            </w:pPr>
          </w:p>
          <w:p>
            <w:pPr>
              <w:pStyle w:val="TableParagraph"/>
              <w:ind w:left="0"/>
              <w:rPr>
                <w:rFonts w:ascii="Times New Roman"/>
                <w:b/>
                <w:sz w:val="14"/>
              </w:rPr>
            </w:pPr>
          </w:p>
          <w:p>
            <w:pPr>
              <w:pStyle w:val="TableParagraph"/>
              <w:ind w:left="0"/>
              <w:rPr>
                <w:rFonts w:ascii="Times New Roman"/>
                <w:b/>
                <w:sz w:val="14"/>
              </w:rPr>
            </w:pPr>
          </w:p>
          <w:p>
            <w:pPr>
              <w:pStyle w:val="TableParagraph"/>
              <w:ind w:left="0"/>
              <w:rPr>
                <w:rFonts w:ascii="Times New Roman"/>
                <w:b/>
                <w:sz w:val="14"/>
              </w:rPr>
            </w:pPr>
          </w:p>
          <w:p>
            <w:pPr>
              <w:pStyle w:val="TableParagraph"/>
              <w:ind w:left="0"/>
              <w:rPr>
                <w:rFonts w:ascii="Times New Roman"/>
                <w:b/>
                <w:sz w:val="14"/>
              </w:rPr>
            </w:pPr>
          </w:p>
          <w:p>
            <w:pPr>
              <w:pStyle w:val="TableParagraph"/>
              <w:spacing w:before="3"/>
              <w:ind w:left="0"/>
              <w:rPr>
                <w:rFonts w:ascii="Times New Roman"/>
                <w:b/>
                <w:sz w:val="14"/>
              </w:rPr>
            </w:pPr>
          </w:p>
          <w:p>
            <w:pPr>
              <w:pStyle w:val="TableParagraph"/>
              <w:spacing w:line="168" w:lineRule="exact"/>
              <w:ind w:left="73" w:right="69"/>
              <w:jc w:val="center"/>
              <w:rPr>
                <w:sz w:val="14"/>
              </w:rPr>
            </w:pPr>
            <w:r>
              <w:rPr>
                <w:color w:val="231F20"/>
                <w:w w:val="80"/>
                <w:sz w:val="14"/>
              </w:rPr>
              <w:t>Contribuir a que las relaciones políticas </w:t>
            </w:r>
            <w:r>
              <w:rPr>
                <w:color w:val="231F20"/>
                <w:w w:val="85"/>
                <w:sz w:val="14"/>
              </w:rPr>
              <w:t>ocurran en el marco de una nueva </w:t>
            </w:r>
            <w:r>
              <w:rPr>
                <w:color w:val="231F20"/>
                <w:w w:val="75"/>
                <w:sz w:val="14"/>
              </w:rPr>
              <w:t>gobernabilidad   democrática</w:t>
            </w:r>
          </w:p>
        </w:tc>
        <w:tc>
          <w:tcPr>
            <w:tcW w:w="2550" w:type="dxa"/>
          </w:tcPr>
          <w:p>
            <w:pPr>
              <w:pStyle w:val="TableParagraph"/>
              <w:spacing w:line="153" w:lineRule="exact"/>
              <w:ind w:left="57" w:right="57"/>
              <w:jc w:val="center"/>
              <w:rPr>
                <w:sz w:val="14"/>
              </w:rPr>
            </w:pPr>
            <w:r>
              <w:rPr>
                <w:color w:val="231F20"/>
                <w:w w:val="75"/>
                <w:sz w:val="14"/>
              </w:rPr>
              <w:t>Fortalecer el Estado de Derecho.</w:t>
            </w:r>
          </w:p>
        </w:tc>
        <w:tc>
          <w:tcPr>
            <w:tcW w:w="426" w:type="dxa"/>
            <w:vMerge w:val="restart"/>
          </w:tcPr>
          <w:p>
            <w:pPr>
              <w:pStyle w:val="TableParagraph"/>
              <w:spacing w:before="5"/>
              <w:ind w:left="0"/>
              <w:rPr>
                <w:rFonts w:ascii="Times New Roman"/>
                <w:b/>
                <w:sz w:val="12"/>
              </w:rPr>
            </w:pPr>
          </w:p>
          <w:p>
            <w:pPr>
              <w:pStyle w:val="TableParagraph"/>
              <w:ind w:left="0"/>
              <w:jc w:val="center"/>
              <w:rPr>
                <w:sz w:val="14"/>
              </w:rPr>
            </w:pPr>
            <w:r>
              <w:rPr>
                <w:color w:val="231F20"/>
                <w:w w:val="75"/>
                <w:sz w:val="14"/>
              </w:rPr>
              <w:t>8</w:t>
            </w:r>
          </w:p>
        </w:tc>
        <w:tc>
          <w:tcPr>
            <w:tcW w:w="426" w:type="dxa"/>
            <w:vMerge w:val="restart"/>
          </w:tcPr>
          <w:p>
            <w:pPr>
              <w:pStyle w:val="TableParagraph"/>
              <w:spacing w:before="5"/>
              <w:ind w:left="0"/>
              <w:rPr>
                <w:rFonts w:ascii="Times New Roman"/>
                <w:b/>
                <w:sz w:val="12"/>
              </w:rPr>
            </w:pPr>
          </w:p>
          <w:p>
            <w:pPr>
              <w:pStyle w:val="TableParagraph"/>
              <w:ind w:left="0"/>
              <w:jc w:val="center"/>
              <w:rPr>
                <w:sz w:val="14"/>
              </w:rPr>
            </w:pPr>
            <w:r>
              <w:rPr>
                <w:color w:val="231F20"/>
                <w:w w:val="75"/>
                <w:sz w:val="14"/>
              </w:rPr>
              <w:t>3</w:t>
            </w:r>
          </w:p>
        </w:tc>
        <w:tc>
          <w:tcPr>
            <w:tcW w:w="1841" w:type="dxa"/>
            <w:vMerge w:val="restart"/>
          </w:tcPr>
          <w:p>
            <w:pPr>
              <w:pStyle w:val="TableParagraph"/>
              <w:spacing w:before="5"/>
              <w:ind w:left="0"/>
              <w:rPr>
                <w:rFonts w:ascii="Times New Roman"/>
                <w:b/>
                <w:sz w:val="12"/>
              </w:rPr>
            </w:pPr>
          </w:p>
          <w:p>
            <w:pPr>
              <w:pStyle w:val="TableParagraph"/>
              <w:ind w:left="247" w:right="36"/>
              <w:rPr>
                <w:sz w:val="14"/>
              </w:rPr>
            </w:pPr>
            <w:r>
              <w:rPr>
                <w:color w:val="231F20"/>
                <w:w w:val="80"/>
                <w:sz w:val="14"/>
              </w:rPr>
              <w:t>Fomento de la Cultura Política</w:t>
            </w:r>
          </w:p>
        </w:tc>
      </w:tr>
      <w:tr>
        <w:trPr>
          <w:trHeight w:val="322" w:hRule="exact"/>
        </w:trPr>
        <w:tc>
          <w:tcPr>
            <w:tcW w:w="592" w:type="dxa"/>
            <w:vMerge/>
            <w:textDirection w:val="btLr"/>
          </w:tcPr>
          <w:p>
            <w:pPr/>
          </w:p>
        </w:tc>
        <w:tc>
          <w:tcPr>
            <w:tcW w:w="1986" w:type="dxa"/>
            <w:vMerge/>
          </w:tcPr>
          <w:p>
            <w:pPr/>
          </w:p>
        </w:tc>
        <w:tc>
          <w:tcPr>
            <w:tcW w:w="2550" w:type="dxa"/>
          </w:tcPr>
          <w:p>
            <w:pPr>
              <w:pStyle w:val="TableParagraph"/>
              <w:spacing w:before="73"/>
              <w:ind w:left="57" w:right="57"/>
              <w:jc w:val="center"/>
              <w:rPr>
                <w:sz w:val="14"/>
              </w:rPr>
            </w:pPr>
            <w:r>
              <w:rPr>
                <w:color w:val="231F20"/>
                <w:w w:val="75"/>
                <w:sz w:val="14"/>
              </w:rPr>
              <w:t>Impulsar el desarrollo democrático.</w:t>
            </w:r>
          </w:p>
        </w:tc>
        <w:tc>
          <w:tcPr>
            <w:tcW w:w="426" w:type="dxa"/>
            <w:vMerge/>
          </w:tcPr>
          <w:p>
            <w:pPr/>
          </w:p>
        </w:tc>
        <w:tc>
          <w:tcPr>
            <w:tcW w:w="426" w:type="dxa"/>
            <w:vMerge/>
          </w:tcPr>
          <w:p>
            <w:pPr/>
          </w:p>
        </w:tc>
        <w:tc>
          <w:tcPr>
            <w:tcW w:w="1841" w:type="dxa"/>
            <w:vMerge/>
          </w:tcPr>
          <w:p>
            <w:pPr/>
          </w:p>
        </w:tc>
      </w:tr>
      <w:tr>
        <w:trPr>
          <w:trHeight w:val="957" w:hRule="exact"/>
        </w:trPr>
        <w:tc>
          <w:tcPr>
            <w:tcW w:w="592" w:type="dxa"/>
            <w:vMerge/>
            <w:textDirection w:val="btLr"/>
          </w:tcPr>
          <w:p>
            <w:pPr/>
          </w:p>
        </w:tc>
        <w:tc>
          <w:tcPr>
            <w:tcW w:w="1986" w:type="dxa"/>
            <w:vMerge/>
          </w:tcPr>
          <w:p>
            <w:pPr/>
          </w:p>
        </w:tc>
        <w:tc>
          <w:tcPr>
            <w:tcW w:w="2550" w:type="dxa"/>
          </w:tcPr>
          <w:p>
            <w:pPr>
              <w:pStyle w:val="TableParagraph"/>
              <w:spacing w:line="168" w:lineRule="exact" w:before="53"/>
              <w:ind w:left="154" w:right="152"/>
              <w:jc w:val="center"/>
              <w:rPr>
                <w:sz w:val="14"/>
              </w:rPr>
            </w:pPr>
            <w:r>
              <w:rPr>
                <w:color w:val="231F20"/>
                <w:w w:val="80"/>
                <w:sz w:val="14"/>
              </w:rPr>
              <w:t>Consolidar</w:t>
            </w:r>
            <w:r>
              <w:rPr>
                <w:color w:val="231F20"/>
                <w:spacing w:val="-9"/>
                <w:w w:val="80"/>
                <w:sz w:val="14"/>
              </w:rPr>
              <w:t> </w:t>
            </w:r>
            <w:r>
              <w:rPr>
                <w:color w:val="231F20"/>
                <w:w w:val="80"/>
                <w:sz w:val="14"/>
              </w:rPr>
              <w:t>la</w:t>
            </w:r>
            <w:r>
              <w:rPr>
                <w:color w:val="231F20"/>
                <w:spacing w:val="-9"/>
                <w:w w:val="80"/>
                <w:sz w:val="14"/>
              </w:rPr>
              <w:t> </w:t>
            </w:r>
            <w:r>
              <w:rPr>
                <w:color w:val="231F20"/>
                <w:w w:val="80"/>
                <w:sz w:val="14"/>
              </w:rPr>
              <w:t>base</w:t>
            </w:r>
            <w:r>
              <w:rPr>
                <w:color w:val="231F20"/>
                <w:spacing w:val="-9"/>
                <w:w w:val="80"/>
                <w:sz w:val="14"/>
              </w:rPr>
              <w:t> </w:t>
            </w:r>
            <w:r>
              <w:rPr>
                <w:color w:val="231F20"/>
                <w:w w:val="80"/>
                <w:sz w:val="14"/>
              </w:rPr>
              <w:t>de</w:t>
            </w:r>
            <w:r>
              <w:rPr>
                <w:color w:val="231F20"/>
                <w:spacing w:val="-9"/>
                <w:w w:val="80"/>
                <w:sz w:val="14"/>
              </w:rPr>
              <w:t> </w:t>
            </w:r>
            <w:r>
              <w:rPr>
                <w:color w:val="231F20"/>
                <w:w w:val="80"/>
                <w:sz w:val="14"/>
              </w:rPr>
              <w:t>datos</w:t>
            </w:r>
            <w:r>
              <w:rPr>
                <w:color w:val="231F20"/>
                <w:spacing w:val="-9"/>
                <w:w w:val="80"/>
                <w:sz w:val="14"/>
              </w:rPr>
              <w:t> </w:t>
            </w:r>
            <w:r>
              <w:rPr>
                <w:color w:val="231F20"/>
                <w:w w:val="80"/>
                <w:sz w:val="14"/>
              </w:rPr>
              <w:t>del</w:t>
            </w:r>
            <w:r>
              <w:rPr>
                <w:color w:val="231F20"/>
                <w:spacing w:val="-9"/>
                <w:w w:val="80"/>
                <w:sz w:val="14"/>
              </w:rPr>
              <w:t> </w:t>
            </w:r>
            <w:r>
              <w:rPr>
                <w:color w:val="231F20"/>
                <w:w w:val="80"/>
                <w:sz w:val="14"/>
              </w:rPr>
              <w:t>estado</w:t>
            </w:r>
            <w:r>
              <w:rPr>
                <w:color w:val="231F20"/>
                <w:spacing w:val="-9"/>
                <w:w w:val="80"/>
                <w:sz w:val="14"/>
              </w:rPr>
              <w:t> </w:t>
            </w:r>
            <w:r>
              <w:rPr>
                <w:color w:val="231F20"/>
                <w:w w:val="80"/>
                <w:sz w:val="14"/>
              </w:rPr>
              <w:t>civil</w:t>
            </w:r>
            <w:r>
              <w:rPr>
                <w:color w:val="231F20"/>
                <w:spacing w:val="-9"/>
                <w:w w:val="80"/>
                <w:sz w:val="14"/>
              </w:rPr>
              <w:t> </w:t>
            </w:r>
            <w:r>
              <w:rPr>
                <w:color w:val="231F20"/>
                <w:w w:val="80"/>
                <w:sz w:val="14"/>
              </w:rPr>
              <w:t>de</w:t>
            </w:r>
            <w:r>
              <w:rPr>
                <w:color w:val="231F20"/>
                <w:spacing w:val="-9"/>
                <w:w w:val="80"/>
                <w:sz w:val="14"/>
              </w:rPr>
              <w:t> </w:t>
            </w:r>
            <w:r>
              <w:rPr>
                <w:color w:val="231F20"/>
                <w:w w:val="80"/>
                <w:sz w:val="14"/>
              </w:rPr>
              <w:t>la población</w:t>
            </w:r>
            <w:r>
              <w:rPr>
                <w:color w:val="231F20"/>
                <w:spacing w:val="-12"/>
                <w:w w:val="80"/>
                <w:sz w:val="14"/>
              </w:rPr>
              <w:t> </w:t>
            </w:r>
            <w:r>
              <w:rPr>
                <w:color w:val="231F20"/>
                <w:w w:val="80"/>
                <w:sz w:val="14"/>
              </w:rPr>
              <w:t>en</w:t>
            </w:r>
            <w:r>
              <w:rPr>
                <w:color w:val="231F20"/>
                <w:spacing w:val="-12"/>
                <w:w w:val="80"/>
                <w:sz w:val="14"/>
              </w:rPr>
              <w:t> </w:t>
            </w:r>
            <w:r>
              <w:rPr>
                <w:color w:val="231F20"/>
                <w:w w:val="80"/>
                <w:sz w:val="14"/>
              </w:rPr>
              <w:t>la</w:t>
            </w:r>
            <w:r>
              <w:rPr>
                <w:color w:val="231F20"/>
                <w:spacing w:val="-12"/>
                <w:w w:val="80"/>
                <w:sz w:val="14"/>
              </w:rPr>
              <w:t> </w:t>
            </w:r>
            <w:r>
              <w:rPr>
                <w:color w:val="231F20"/>
                <w:w w:val="80"/>
                <w:sz w:val="14"/>
              </w:rPr>
              <w:t>entidad</w:t>
            </w:r>
            <w:r>
              <w:rPr>
                <w:color w:val="231F20"/>
                <w:spacing w:val="-12"/>
                <w:w w:val="80"/>
                <w:sz w:val="14"/>
              </w:rPr>
              <w:t> </w:t>
            </w:r>
            <w:r>
              <w:rPr>
                <w:color w:val="231F20"/>
                <w:w w:val="80"/>
                <w:sz w:val="14"/>
              </w:rPr>
              <w:t>y</w:t>
            </w:r>
            <w:r>
              <w:rPr>
                <w:color w:val="231F20"/>
                <w:spacing w:val="-12"/>
                <w:w w:val="80"/>
                <w:sz w:val="14"/>
              </w:rPr>
              <w:t> </w:t>
            </w:r>
            <w:r>
              <w:rPr>
                <w:color w:val="231F20"/>
                <w:w w:val="80"/>
                <w:sz w:val="14"/>
              </w:rPr>
              <w:t>fortalecer</w:t>
            </w:r>
            <w:r>
              <w:rPr>
                <w:color w:val="231F20"/>
                <w:spacing w:val="-12"/>
                <w:w w:val="80"/>
                <w:sz w:val="14"/>
              </w:rPr>
              <w:t> </w:t>
            </w:r>
            <w:r>
              <w:rPr>
                <w:color w:val="231F20"/>
                <w:w w:val="80"/>
                <w:sz w:val="14"/>
              </w:rPr>
              <w:t>la</w:t>
            </w:r>
            <w:r>
              <w:rPr>
                <w:color w:val="231F20"/>
                <w:spacing w:val="-12"/>
                <w:w w:val="80"/>
                <w:sz w:val="14"/>
              </w:rPr>
              <w:t> </w:t>
            </w:r>
            <w:r>
              <w:rPr>
                <w:color w:val="231F20"/>
                <w:w w:val="80"/>
                <w:sz w:val="14"/>
              </w:rPr>
              <w:t>relación</w:t>
            </w:r>
            <w:r>
              <w:rPr>
                <w:color w:val="231F20"/>
                <w:spacing w:val="-12"/>
                <w:w w:val="80"/>
                <w:sz w:val="14"/>
              </w:rPr>
              <w:t> </w:t>
            </w:r>
            <w:r>
              <w:rPr>
                <w:color w:val="231F20"/>
                <w:w w:val="80"/>
                <w:sz w:val="14"/>
              </w:rPr>
              <w:t>con los</w:t>
            </w:r>
            <w:r>
              <w:rPr>
                <w:color w:val="231F20"/>
                <w:spacing w:val="-13"/>
                <w:w w:val="80"/>
                <w:sz w:val="14"/>
              </w:rPr>
              <w:t> </w:t>
            </w:r>
            <w:r>
              <w:rPr>
                <w:color w:val="231F20"/>
                <w:w w:val="80"/>
                <w:sz w:val="14"/>
              </w:rPr>
              <w:t>ayuntamientos</w:t>
            </w:r>
            <w:r>
              <w:rPr>
                <w:color w:val="231F20"/>
                <w:spacing w:val="-13"/>
                <w:w w:val="80"/>
                <w:sz w:val="14"/>
              </w:rPr>
              <w:t> </w:t>
            </w:r>
            <w:r>
              <w:rPr>
                <w:color w:val="231F20"/>
                <w:w w:val="80"/>
                <w:sz w:val="14"/>
              </w:rPr>
              <w:t>para</w:t>
            </w:r>
            <w:r>
              <w:rPr>
                <w:color w:val="231F20"/>
                <w:spacing w:val="-13"/>
                <w:w w:val="80"/>
                <w:sz w:val="14"/>
              </w:rPr>
              <w:t> </w:t>
            </w:r>
            <w:r>
              <w:rPr>
                <w:color w:val="231F20"/>
                <w:w w:val="80"/>
                <w:sz w:val="14"/>
              </w:rPr>
              <w:t>lograr</w:t>
            </w:r>
            <w:r>
              <w:rPr>
                <w:color w:val="231F20"/>
                <w:spacing w:val="-13"/>
                <w:w w:val="80"/>
                <w:sz w:val="14"/>
              </w:rPr>
              <w:t> </w:t>
            </w:r>
            <w:r>
              <w:rPr>
                <w:color w:val="231F20"/>
                <w:w w:val="80"/>
                <w:sz w:val="14"/>
              </w:rPr>
              <w:t>mayor</w:t>
            </w:r>
            <w:r>
              <w:rPr>
                <w:color w:val="231F20"/>
                <w:spacing w:val="-13"/>
                <w:w w:val="80"/>
                <w:sz w:val="14"/>
              </w:rPr>
              <w:t> </w:t>
            </w:r>
            <w:r>
              <w:rPr>
                <w:color w:val="231F20"/>
                <w:w w:val="80"/>
                <w:sz w:val="14"/>
              </w:rPr>
              <w:t>eficiencia</w:t>
            </w:r>
            <w:r>
              <w:rPr>
                <w:color w:val="231F20"/>
                <w:spacing w:val="-13"/>
                <w:w w:val="80"/>
                <w:sz w:val="14"/>
              </w:rPr>
              <w:t> </w:t>
            </w:r>
            <w:r>
              <w:rPr>
                <w:color w:val="231F20"/>
                <w:w w:val="80"/>
                <w:sz w:val="14"/>
              </w:rPr>
              <w:t>en el</w:t>
            </w:r>
            <w:r>
              <w:rPr>
                <w:color w:val="231F20"/>
                <w:spacing w:val="-10"/>
                <w:w w:val="80"/>
                <w:sz w:val="14"/>
              </w:rPr>
              <w:t> </w:t>
            </w:r>
            <w:r>
              <w:rPr>
                <w:color w:val="231F20"/>
                <w:w w:val="80"/>
                <w:sz w:val="14"/>
              </w:rPr>
              <w:t>registro</w:t>
            </w:r>
            <w:r>
              <w:rPr>
                <w:color w:val="231F20"/>
                <w:spacing w:val="-10"/>
                <w:w w:val="80"/>
                <w:sz w:val="14"/>
              </w:rPr>
              <w:t> </w:t>
            </w:r>
            <w:r>
              <w:rPr>
                <w:color w:val="231F20"/>
                <w:w w:val="80"/>
                <w:sz w:val="14"/>
              </w:rPr>
              <w:t>y</w:t>
            </w:r>
            <w:r>
              <w:rPr>
                <w:color w:val="231F20"/>
                <w:spacing w:val="-10"/>
                <w:w w:val="80"/>
                <w:sz w:val="14"/>
              </w:rPr>
              <w:t> </w:t>
            </w:r>
            <w:r>
              <w:rPr>
                <w:color w:val="231F20"/>
                <w:w w:val="80"/>
                <w:sz w:val="14"/>
              </w:rPr>
              <w:t>expedición</w:t>
            </w:r>
            <w:r>
              <w:rPr>
                <w:color w:val="231F20"/>
                <w:spacing w:val="-10"/>
                <w:w w:val="80"/>
                <w:sz w:val="14"/>
              </w:rPr>
              <w:t> </w:t>
            </w:r>
            <w:r>
              <w:rPr>
                <w:color w:val="231F20"/>
                <w:w w:val="80"/>
                <w:sz w:val="14"/>
              </w:rPr>
              <w:t>de</w:t>
            </w:r>
            <w:r>
              <w:rPr>
                <w:color w:val="231F20"/>
                <w:spacing w:val="-10"/>
                <w:w w:val="80"/>
                <w:sz w:val="14"/>
              </w:rPr>
              <w:t> </w:t>
            </w:r>
            <w:r>
              <w:rPr>
                <w:color w:val="231F20"/>
                <w:w w:val="80"/>
                <w:sz w:val="14"/>
              </w:rPr>
              <w:t>copias</w:t>
            </w:r>
            <w:r>
              <w:rPr>
                <w:color w:val="231F20"/>
                <w:spacing w:val="-10"/>
                <w:w w:val="80"/>
                <w:sz w:val="14"/>
              </w:rPr>
              <w:t> </w:t>
            </w:r>
            <w:r>
              <w:rPr>
                <w:color w:val="231F20"/>
                <w:w w:val="80"/>
                <w:sz w:val="14"/>
              </w:rPr>
              <w:t>certificadas</w:t>
            </w:r>
            <w:r>
              <w:rPr>
                <w:color w:val="231F20"/>
                <w:spacing w:val="-10"/>
                <w:w w:val="80"/>
                <w:sz w:val="14"/>
              </w:rPr>
              <w:t> </w:t>
            </w:r>
            <w:r>
              <w:rPr>
                <w:color w:val="231F20"/>
                <w:w w:val="80"/>
                <w:sz w:val="14"/>
              </w:rPr>
              <w:t>del registro</w:t>
            </w:r>
            <w:r>
              <w:rPr>
                <w:color w:val="231F20"/>
                <w:spacing w:val="-9"/>
                <w:w w:val="80"/>
                <w:sz w:val="14"/>
              </w:rPr>
              <w:t> </w:t>
            </w:r>
            <w:r>
              <w:rPr>
                <w:color w:val="231F20"/>
                <w:w w:val="80"/>
                <w:sz w:val="14"/>
              </w:rPr>
              <w:t>civil.</w:t>
            </w:r>
          </w:p>
        </w:tc>
        <w:tc>
          <w:tcPr>
            <w:tcW w:w="426" w:type="dxa"/>
          </w:tcPr>
          <w:p>
            <w:pPr>
              <w:pStyle w:val="TableParagraph"/>
              <w:ind w:left="0"/>
              <w:rPr>
                <w:rFonts w:ascii="Times New Roman"/>
                <w:b/>
                <w:sz w:val="14"/>
              </w:rPr>
            </w:pPr>
          </w:p>
          <w:p>
            <w:pPr>
              <w:pStyle w:val="TableParagraph"/>
              <w:spacing w:before="10"/>
              <w:ind w:left="0"/>
              <w:rPr>
                <w:rFonts w:ascii="Times New Roman"/>
                <w:b/>
                <w:sz w:val="19"/>
              </w:rPr>
            </w:pPr>
          </w:p>
          <w:p>
            <w:pPr>
              <w:pStyle w:val="TableParagraph"/>
              <w:ind w:left="0"/>
              <w:jc w:val="center"/>
              <w:rPr>
                <w:sz w:val="14"/>
              </w:rPr>
            </w:pPr>
            <w:r>
              <w:rPr>
                <w:color w:val="231F20"/>
                <w:w w:val="75"/>
                <w:sz w:val="14"/>
              </w:rPr>
              <w:t>8</w:t>
            </w:r>
          </w:p>
        </w:tc>
        <w:tc>
          <w:tcPr>
            <w:tcW w:w="426" w:type="dxa"/>
          </w:tcPr>
          <w:p>
            <w:pPr>
              <w:pStyle w:val="TableParagraph"/>
              <w:ind w:left="0"/>
              <w:rPr>
                <w:rFonts w:ascii="Times New Roman"/>
                <w:b/>
                <w:sz w:val="14"/>
              </w:rPr>
            </w:pPr>
          </w:p>
          <w:p>
            <w:pPr>
              <w:pStyle w:val="TableParagraph"/>
              <w:spacing w:before="10"/>
              <w:ind w:left="0"/>
              <w:rPr>
                <w:rFonts w:ascii="Times New Roman"/>
                <w:b/>
                <w:sz w:val="19"/>
              </w:rPr>
            </w:pPr>
          </w:p>
          <w:p>
            <w:pPr>
              <w:pStyle w:val="TableParagraph"/>
              <w:ind w:left="0"/>
              <w:jc w:val="center"/>
              <w:rPr>
                <w:sz w:val="14"/>
              </w:rPr>
            </w:pPr>
            <w:r>
              <w:rPr>
                <w:color w:val="231F20"/>
                <w:w w:val="75"/>
                <w:sz w:val="14"/>
              </w:rPr>
              <w:t>4</w:t>
            </w:r>
          </w:p>
        </w:tc>
        <w:tc>
          <w:tcPr>
            <w:tcW w:w="1841" w:type="dxa"/>
          </w:tcPr>
          <w:p>
            <w:pPr>
              <w:pStyle w:val="TableParagraph"/>
              <w:ind w:left="0"/>
              <w:rPr>
                <w:rFonts w:ascii="Times New Roman"/>
                <w:b/>
                <w:sz w:val="14"/>
              </w:rPr>
            </w:pPr>
          </w:p>
          <w:p>
            <w:pPr>
              <w:pStyle w:val="TableParagraph"/>
              <w:spacing w:before="5"/>
              <w:ind w:left="0"/>
              <w:rPr>
                <w:rFonts w:ascii="Times New Roman"/>
                <w:b/>
                <w:sz w:val="12"/>
              </w:rPr>
            </w:pPr>
          </w:p>
          <w:p>
            <w:pPr>
              <w:pStyle w:val="TableParagraph"/>
              <w:spacing w:line="168" w:lineRule="exact" w:before="1"/>
              <w:ind w:left="684" w:right="36" w:hanging="574"/>
              <w:rPr>
                <w:sz w:val="14"/>
              </w:rPr>
            </w:pPr>
            <w:r>
              <w:rPr>
                <w:color w:val="231F20"/>
                <w:w w:val="80"/>
                <w:sz w:val="14"/>
              </w:rPr>
              <w:t>Protección Jurídica de las Personas y </w:t>
            </w:r>
            <w:r>
              <w:rPr>
                <w:color w:val="231F20"/>
                <w:w w:val="75"/>
                <w:sz w:val="14"/>
              </w:rPr>
              <w:t>sus Bienes</w:t>
            </w:r>
          </w:p>
        </w:tc>
      </w:tr>
      <w:tr>
        <w:trPr>
          <w:trHeight w:val="1032" w:hRule="exact"/>
        </w:trPr>
        <w:tc>
          <w:tcPr>
            <w:tcW w:w="592" w:type="dxa"/>
            <w:vMerge/>
            <w:textDirection w:val="btLr"/>
          </w:tcPr>
          <w:p>
            <w:pPr/>
          </w:p>
        </w:tc>
        <w:tc>
          <w:tcPr>
            <w:tcW w:w="1986" w:type="dxa"/>
            <w:vMerge/>
          </w:tcPr>
          <w:p>
            <w:pPr/>
          </w:p>
        </w:tc>
        <w:tc>
          <w:tcPr>
            <w:tcW w:w="2550" w:type="dxa"/>
          </w:tcPr>
          <w:p>
            <w:pPr>
              <w:pStyle w:val="TableParagraph"/>
              <w:spacing w:line="168" w:lineRule="exact" w:before="90"/>
              <w:ind w:left="58" w:right="57"/>
              <w:jc w:val="center"/>
              <w:rPr>
                <w:sz w:val="14"/>
              </w:rPr>
            </w:pPr>
            <w:r>
              <w:rPr>
                <w:color w:val="231F20"/>
                <w:w w:val="80"/>
                <w:sz w:val="14"/>
              </w:rPr>
              <w:t>Impulsar un proceso integral de planeación, progra- mación, elaboración de presupuestos, evaluación del desempeño y rendición de cuentas, mediante una política presupuestal con perspectiva de mediano y largo plazos.</w:t>
            </w:r>
          </w:p>
        </w:tc>
        <w:tc>
          <w:tcPr>
            <w:tcW w:w="426" w:type="dxa"/>
          </w:tcPr>
          <w:p>
            <w:pPr>
              <w:pStyle w:val="TableParagraph"/>
              <w:ind w:left="0"/>
              <w:rPr>
                <w:rFonts w:ascii="Times New Roman"/>
                <w:b/>
                <w:sz w:val="14"/>
              </w:rPr>
            </w:pPr>
          </w:p>
          <w:p>
            <w:pPr>
              <w:pStyle w:val="TableParagraph"/>
              <w:ind w:left="0"/>
              <w:rPr>
                <w:rFonts w:ascii="Times New Roman"/>
                <w:b/>
                <w:sz w:val="14"/>
              </w:rPr>
            </w:pPr>
          </w:p>
          <w:p>
            <w:pPr>
              <w:pStyle w:val="TableParagraph"/>
              <w:spacing w:before="106"/>
              <w:ind w:left="0"/>
              <w:jc w:val="center"/>
              <w:rPr>
                <w:sz w:val="14"/>
              </w:rPr>
            </w:pPr>
            <w:r>
              <w:rPr>
                <w:color w:val="231F20"/>
                <w:w w:val="75"/>
                <w:sz w:val="14"/>
              </w:rPr>
              <w:t>8</w:t>
            </w:r>
          </w:p>
        </w:tc>
        <w:tc>
          <w:tcPr>
            <w:tcW w:w="426" w:type="dxa"/>
          </w:tcPr>
          <w:p>
            <w:pPr>
              <w:pStyle w:val="TableParagraph"/>
              <w:ind w:left="0"/>
              <w:rPr>
                <w:rFonts w:ascii="Times New Roman"/>
                <w:b/>
                <w:sz w:val="14"/>
              </w:rPr>
            </w:pPr>
          </w:p>
          <w:p>
            <w:pPr>
              <w:pStyle w:val="TableParagraph"/>
              <w:ind w:left="0"/>
              <w:rPr>
                <w:rFonts w:ascii="Times New Roman"/>
                <w:b/>
                <w:sz w:val="14"/>
              </w:rPr>
            </w:pPr>
          </w:p>
          <w:p>
            <w:pPr>
              <w:pStyle w:val="TableParagraph"/>
              <w:spacing w:before="106"/>
              <w:ind w:left="0"/>
              <w:jc w:val="center"/>
              <w:rPr>
                <w:sz w:val="14"/>
              </w:rPr>
            </w:pPr>
            <w:r>
              <w:rPr>
                <w:color w:val="231F20"/>
                <w:w w:val="75"/>
                <w:sz w:val="14"/>
              </w:rPr>
              <w:t>5</w:t>
            </w:r>
          </w:p>
        </w:tc>
        <w:tc>
          <w:tcPr>
            <w:tcW w:w="1841" w:type="dxa"/>
          </w:tcPr>
          <w:p>
            <w:pPr>
              <w:pStyle w:val="TableParagraph"/>
              <w:ind w:left="0"/>
              <w:rPr>
                <w:rFonts w:ascii="Times New Roman"/>
                <w:b/>
                <w:sz w:val="14"/>
              </w:rPr>
            </w:pPr>
          </w:p>
          <w:p>
            <w:pPr>
              <w:pStyle w:val="TableParagraph"/>
              <w:spacing w:before="9"/>
              <w:ind w:left="0"/>
              <w:rPr>
                <w:rFonts w:ascii="Times New Roman"/>
                <w:b/>
                <w:sz w:val="15"/>
              </w:rPr>
            </w:pPr>
          </w:p>
          <w:p>
            <w:pPr>
              <w:pStyle w:val="TableParagraph"/>
              <w:spacing w:line="168" w:lineRule="exact"/>
              <w:ind w:left="625" w:right="10" w:hanging="545"/>
              <w:rPr>
                <w:sz w:val="14"/>
              </w:rPr>
            </w:pPr>
            <w:r>
              <w:rPr>
                <w:color w:val="231F20"/>
                <w:w w:val="80"/>
                <w:sz w:val="14"/>
              </w:rPr>
              <w:t>Planeación y Conducción del Desarro- </w:t>
            </w:r>
            <w:r>
              <w:rPr>
                <w:color w:val="231F20"/>
                <w:w w:val="75"/>
                <w:sz w:val="14"/>
              </w:rPr>
              <w:t>llo Municipal</w:t>
            </w:r>
          </w:p>
        </w:tc>
      </w:tr>
      <w:tr>
        <w:trPr>
          <w:trHeight w:val="693" w:hRule="exact"/>
        </w:trPr>
        <w:tc>
          <w:tcPr>
            <w:tcW w:w="592" w:type="dxa"/>
            <w:vMerge/>
            <w:textDirection w:val="btLr"/>
          </w:tcPr>
          <w:p>
            <w:pPr/>
          </w:p>
        </w:tc>
        <w:tc>
          <w:tcPr>
            <w:tcW w:w="1986" w:type="dxa"/>
          </w:tcPr>
          <w:p>
            <w:pPr>
              <w:pStyle w:val="TableParagraph"/>
              <w:ind w:left="0"/>
              <w:rPr>
                <w:rFonts w:ascii="Times New Roman"/>
                <w:b/>
                <w:sz w:val="18"/>
              </w:rPr>
            </w:pPr>
          </w:p>
          <w:p>
            <w:pPr>
              <w:pStyle w:val="TableParagraph"/>
              <w:spacing w:line="168" w:lineRule="exact"/>
              <w:ind w:left="73" w:right="69"/>
              <w:jc w:val="center"/>
              <w:rPr>
                <w:sz w:val="14"/>
              </w:rPr>
            </w:pPr>
            <w:r>
              <w:rPr>
                <w:color w:val="231F20"/>
                <w:w w:val="80"/>
                <w:sz w:val="14"/>
              </w:rPr>
              <w:t>Contribuir a que las relaciones políticas </w:t>
            </w:r>
            <w:r>
              <w:rPr>
                <w:color w:val="231F20"/>
                <w:w w:val="85"/>
                <w:sz w:val="14"/>
              </w:rPr>
              <w:t>ocurran en el marco de una nueva </w:t>
            </w:r>
            <w:r>
              <w:rPr>
                <w:color w:val="231F20"/>
                <w:w w:val="75"/>
                <w:sz w:val="14"/>
              </w:rPr>
              <w:t>gobernabilidad   democrática</w:t>
            </w:r>
          </w:p>
        </w:tc>
        <w:tc>
          <w:tcPr>
            <w:tcW w:w="2550" w:type="dxa"/>
          </w:tcPr>
          <w:p>
            <w:pPr>
              <w:pStyle w:val="TableParagraph"/>
              <w:spacing w:line="168" w:lineRule="exact" w:before="89"/>
              <w:ind w:left="117" w:right="114"/>
              <w:jc w:val="center"/>
              <w:rPr>
                <w:sz w:val="14"/>
              </w:rPr>
            </w:pPr>
            <w:r>
              <w:rPr>
                <w:color w:val="231F20"/>
                <w:w w:val="80"/>
                <w:sz w:val="14"/>
              </w:rPr>
              <w:t>Alcanzar una plena colaboración entre los poderes de gobierno, así como entre los niveles estatal y </w:t>
            </w:r>
            <w:r>
              <w:rPr>
                <w:color w:val="231F20"/>
                <w:w w:val="85"/>
                <w:sz w:val="14"/>
              </w:rPr>
              <w:t>municipal.</w:t>
            </w:r>
          </w:p>
        </w:tc>
        <w:tc>
          <w:tcPr>
            <w:tcW w:w="426" w:type="dxa"/>
          </w:tcPr>
          <w:p>
            <w:pPr>
              <w:pStyle w:val="TableParagraph"/>
              <w:ind w:left="0"/>
              <w:rPr>
                <w:rFonts w:ascii="Times New Roman"/>
                <w:b/>
                <w:sz w:val="14"/>
              </w:rPr>
            </w:pPr>
          </w:p>
          <w:p>
            <w:pPr>
              <w:pStyle w:val="TableParagraph"/>
              <w:spacing w:before="97"/>
              <w:ind w:left="0"/>
              <w:jc w:val="center"/>
              <w:rPr>
                <w:sz w:val="14"/>
              </w:rPr>
            </w:pPr>
            <w:r>
              <w:rPr>
                <w:color w:val="231F20"/>
                <w:w w:val="75"/>
                <w:sz w:val="14"/>
              </w:rPr>
              <w:t>9</w:t>
            </w:r>
          </w:p>
        </w:tc>
        <w:tc>
          <w:tcPr>
            <w:tcW w:w="426" w:type="dxa"/>
          </w:tcPr>
          <w:p>
            <w:pPr>
              <w:pStyle w:val="TableParagraph"/>
              <w:ind w:left="0"/>
              <w:rPr>
                <w:rFonts w:ascii="Times New Roman"/>
                <w:b/>
                <w:sz w:val="14"/>
              </w:rPr>
            </w:pPr>
          </w:p>
          <w:p>
            <w:pPr>
              <w:pStyle w:val="TableParagraph"/>
              <w:spacing w:before="97"/>
              <w:ind w:left="0"/>
              <w:jc w:val="center"/>
              <w:rPr>
                <w:sz w:val="14"/>
              </w:rPr>
            </w:pPr>
            <w:r>
              <w:rPr>
                <w:color w:val="231F20"/>
                <w:w w:val="75"/>
                <w:sz w:val="14"/>
              </w:rPr>
              <w:t>1</w:t>
            </w:r>
          </w:p>
        </w:tc>
        <w:tc>
          <w:tcPr>
            <w:tcW w:w="1841" w:type="dxa"/>
          </w:tcPr>
          <w:p>
            <w:pPr>
              <w:pStyle w:val="TableParagraph"/>
              <w:ind w:left="0"/>
              <w:rPr>
                <w:rFonts w:ascii="Times New Roman"/>
                <w:b/>
                <w:sz w:val="15"/>
              </w:rPr>
            </w:pPr>
          </w:p>
          <w:p>
            <w:pPr>
              <w:pStyle w:val="TableParagraph"/>
              <w:spacing w:line="168" w:lineRule="exact"/>
              <w:ind w:left="692" w:right="36" w:hanging="486"/>
              <w:rPr>
                <w:sz w:val="14"/>
              </w:rPr>
            </w:pPr>
            <w:r>
              <w:rPr>
                <w:color w:val="231F20"/>
                <w:w w:val="80"/>
                <w:sz w:val="14"/>
              </w:rPr>
              <w:t>Desarrollo de la Función Pública </w:t>
            </w:r>
            <w:r>
              <w:rPr>
                <w:color w:val="231F20"/>
                <w:w w:val="85"/>
                <w:sz w:val="14"/>
              </w:rPr>
              <w:t>Municipal</w:t>
            </w:r>
          </w:p>
        </w:tc>
      </w:tr>
      <w:tr>
        <w:trPr>
          <w:trHeight w:val="600" w:hRule="exact"/>
        </w:trPr>
        <w:tc>
          <w:tcPr>
            <w:tcW w:w="592" w:type="dxa"/>
            <w:vMerge/>
            <w:textDirection w:val="btLr"/>
          </w:tcPr>
          <w:p>
            <w:pPr/>
          </w:p>
        </w:tc>
        <w:tc>
          <w:tcPr>
            <w:tcW w:w="1986" w:type="dxa"/>
            <w:vMerge w:val="restart"/>
          </w:tcPr>
          <w:p>
            <w:pPr>
              <w:pStyle w:val="TableParagraph"/>
              <w:ind w:left="0"/>
              <w:rPr>
                <w:rFonts w:ascii="Times New Roman"/>
                <w:b/>
                <w:sz w:val="14"/>
              </w:rPr>
            </w:pPr>
          </w:p>
          <w:p>
            <w:pPr>
              <w:pStyle w:val="TableParagraph"/>
              <w:ind w:left="0"/>
              <w:rPr>
                <w:rFonts w:ascii="Times New Roman"/>
                <w:b/>
                <w:sz w:val="14"/>
              </w:rPr>
            </w:pPr>
          </w:p>
          <w:p>
            <w:pPr>
              <w:pStyle w:val="TableParagraph"/>
              <w:spacing w:before="4"/>
              <w:ind w:left="0"/>
              <w:rPr>
                <w:rFonts w:ascii="Times New Roman"/>
                <w:b/>
                <w:sz w:val="19"/>
              </w:rPr>
            </w:pPr>
          </w:p>
          <w:p>
            <w:pPr>
              <w:pStyle w:val="TableParagraph"/>
              <w:spacing w:line="168" w:lineRule="exact"/>
              <w:ind w:left="73" w:right="71"/>
              <w:jc w:val="center"/>
              <w:rPr>
                <w:sz w:val="14"/>
              </w:rPr>
            </w:pPr>
            <w:r>
              <w:rPr>
                <w:color w:val="231F20"/>
                <w:w w:val="80"/>
                <w:sz w:val="14"/>
              </w:rPr>
              <w:t>Abatir</w:t>
            </w:r>
            <w:r>
              <w:rPr>
                <w:color w:val="231F20"/>
                <w:spacing w:val="-12"/>
                <w:w w:val="80"/>
                <w:sz w:val="14"/>
              </w:rPr>
              <w:t> </w:t>
            </w:r>
            <w:r>
              <w:rPr>
                <w:color w:val="231F20"/>
                <w:w w:val="80"/>
                <w:sz w:val="14"/>
              </w:rPr>
              <w:t>los</w:t>
            </w:r>
            <w:r>
              <w:rPr>
                <w:color w:val="231F20"/>
                <w:spacing w:val="-12"/>
                <w:w w:val="80"/>
                <w:sz w:val="14"/>
              </w:rPr>
              <w:t> </w:t>
            </w:r>
            <w:r>
              <w:rPr>
                <w:color w:val="231F20"/>
                <w:w w:val="80"/>
                <w:sz w:val="14"/>
              </w:rPr>
              <w:t>niveles</w:t>
            </w:r>
            <w:r>
              <w:rPr>
                <w:color w:val="231F20"/>
                <w:spacing w:val="-12"/>
                <w:w w:val="80"/>
                <w:sz w:val="14"/>
              </w:rPr>
              <w:t> </w:t>
            </w:r>
            <w:r>
              <w:rPr>
                <w:color w:val="231F20"/>
                <w:w w:val="80"/>
                <w:sz w:val="14"/>
              </w:rPr>
              <w:t>de</w:t>
            </w:r>
            <w:r>
              <w:rPr>
                <w:color w:val="231F20"/>
                <w:spacing w:val="-12"/>
                <w:w w:val="80"/>
                <w:sz w:val="14"/>
              </w:rPr>
              <w:t> </w:t>
            </w:r>
            <w:r>
              <w:rPr>
                <w:color w:val="231F20"/>
                <w:w w:val="80"/>
                <w:sz w:val="14"/>
              </w:rPr>
              <w:t>corrupción</w:t>
            </w:r>
            <w:r>
              <w:rPr>
                <w:color w:val="231F20"/>
                <w:spacing w:val="-12"/>
                <w:w w:val="80"/>
                <w:sz w:val="14"/>
              </w:rPr>
              <w:t> </w:t>
            </w:r>
            <w:r>
              <w:rPr>
                <w:color w:val="231F20"/>
                <w:w w:val="80"/>
                <w:sz w:val="14"/>
              </w:rPr>
              <w:t>en</w:t>
            </w:r>
            <w:r>
              <w:rPr>
                <w:color w:val="231F20"/>
                <w:spacing w:val="-12"/>
                <w:w w:val="80"/>
                <w:sz w:val="14"/>
              </w:rPr>
              <w:t> </w:t>
            </w:r>
            <w:r>
              <w:rPr>
                <w:color w:val="231F20"/>
                <w:w w:val="80"/>
                <w:sz w:val="14"/>
              </w:rPr>
              <w:t>el</w:t>
            </w:r>
            <w:r>
              <w:rPr>
                <w:color w:val="231F20"/>
                <w:spacing w:val="-12"/>
                <w:w w:val="80"/>
                <w:sz w:val="14"/>
              </w:rPr>
              <w:t> </w:t>
            </w:r>
            <w:r>
              <w:rPr>
                <w:color w:val="231F20"/>
                <w:w w:val="80"/>
                <w:sz w:val="14"/>
              </w:rPr>
              <w:t>país y</w:t>
            </w:r>
            <w:r>
              <w:rPr>
                <w:color w:val="231F20"/>
                <w:spacing w:val="-10"/>
                <w:w w:val="80"/>
                <w:sz w:val="14"/>
              </w:rPr>
              <w:t> </w:t>
            </w:r>
            <w:r>
              <w:rPr>
                <w:color w:val="231F20"/>
                <w:w w:val="80"/>
                <w:sz w:val="14"/>
              </w:rPr>
              <w:t>dar</w:t>
            </w:r>
            <w:r>
              <w:rPr>
                <w:color w:val="231F20"/>
                <w:spacing w:val="-10"/>
                <w:w w:val="80"/>
                <w:sz w:val="14"/>
              </w:rPr>
              <w:t> </w:t>
            </w:r>
            <w:r>
              <w:rPr>
                <w:color w:val="231F20"/>
                <w:w w:val="80"/>
                <w:sz w:val="14"/>
              </w:rPr>
              <w:t>absoluta</w:t>
            </w:r>
            <w:r>
              <w:rPr>
                <w:color w:val="231F20"/>
                <w:spacing w:val="-10"/>
                <w:w w:val="80"/>
                <w:sz w:val="14"/>
              </w:rPr>
              <w:t> </w:t>
            </w:r>
            <w:r>
              <w:rPr>
                <w:color w:val="231F20"/>
                <w:w w:val="80"/>
                <w:sz w:val="14"/>
              </w:rPr>
              <w:t>transparencia</w:t>
            </w:r>
            <w:r>
              <w:rPr>
                <w:color w:val="231F20"/>
                <w:spacing w:val="-10"/>
                <w:w w:val="80"/>
                <w:sz w:val="14"/>
              </w:rPr>
              <w:t> </w:t>
            </w:r>
            <w:r>
              <w:rPr>
                <w:color w:val="231F20"/>
                <w:w w:val="80"/>
                <w:sz w:val="14"/>
              </w:rPr>
              <w:t>a</w:t>
            </w:r>
            <w:r>
              <w:rPr>
                <w:color w:val="231F20"/>
                <w:spacing w:val="-10"/>
                <w:w w:val="80"/>
                <w:sz w:val="14"/>
              </w:rPr>
              <w:t> </w:t>
            </w:r>
            <w:r>
              <w:rPr>
                <w:color w:val="231F20"/>
                <w:w w:val="80"/>
                <w:sz w:val="14"/>
              </w:rPr>
              <w:t>la</w:t>
            </w:r>
            <w:r>
              <w:rPr>
                <w:color w:val="231F20"/>
                <w:spacing w:val="-10"/>
                <w:w w:val="80"/>
                <w:sz w:val="14"/>
              </w:rPr>
              <w:t> </w:t>
            </w:r>
            <w:r>
              <w:rPr>
                <w:color w:val="231F20"/>
                <w:w w:val="80"/>
                <w:sz w:val="14"/>
              </w:rPr>
              <w:t>gestión </w:t>
            </w:r>
            <w:r>
              <w:rPr>
                <w:color w:val="231F20"/>
                <w:w w:val="85"/>
                <w:sz w:val="14"/>
              </w:rPr>
              <w:t>y</w:t>
            </w:r>
            <w:r>
              <w:rPr>
                <w:color w:val="231F20"/>
                <w:spacing w:val="-20"/>
                <w:w w:val="85"/>
                <w:sz w:val="14"/>
              </w:rPr>
              <w:t> </w:t>
            </w:r>
            <w:r>
              <w:rPr>
                <w:color w:val="231F20"/>
                <w:w w:val="85"/>
                <w:sz w:val="14"/>
              </w:rPr>
              <w:t>el</w:t>
            </w:r>
            <w:r>
              <w:rPr>
                <w:color w:val="231F20"/>
                <w:spacing w:val="-20"/>
                <w:w w:val="85"/>
                <w:sz w:val="14"/>
              </w:rPr>
              <w:t> </w:t>
            </w:r>
            <w:r>
              <w:rPr>
                <w:color w:val="231F20"/>
                <w:w w:val="85"/>
                <w:sz w:val="14"/>
              </w:rPr>
              <w:t>desempeño</w:t>
            </w:r>
            <w:r>
              <w:rPr>
                <w:color w:val="231F20"/>
                <w:spacing w:val="-20"/>
                <w:w w:val="85"/>
                <w:sz w:val="14"/>
              </w:rPr>
              <w:t> </w:t>
            </w:r>
            <w:r>
              <w:rPr>
                <w:color w:val="231F20"/>
                <w:w w:val="85"/>
                <w:sz w:val="14"/>
              </w:rPr>
              <w:t>de</w:t>
            </w:r>
            <w:r>
              <w:rPr>
                <w:color w:val="231F20"/>
                <w:spacing w:val="-20"/>
                <w:w w:val="85"/>
                <w:sz w:val="14"/>
              </w:rPr>
              <w:t> </w:t>
            </w:r>
            <w:r>
              <w:rPr>
                <w:color w:val="231F20"/>
                <w:w w:val="85"/>
                <w:sz w:val="14"/>
              </w:rPr>
              <w:t>la</w:t>
            </w:r>
            <w:r>
              <w:rPr>
                <w:color w:val="231F20"/>
                <w:spacing w:val="-20"/>
                <w:w w:val="85"/>
                <w:sz w:val="14"/>
              </w:rPr>
              <w:t> </w:t>
            </w:r>
            <w:r>
              <w:rPr>
                <w:color w:val="231F20"/>
                <w:w w:val="85"/>
                <w:sz w:val="14"/>
              </w:rPr>
              <w:t>Administración </w:t>
            </w:r>
            <w:r>
              <w:rPr>
                <w:color w:val="231F20"/>
                <w:w w:val="75"/>
                <w:sz w:val="14"/>
              </w:rPr>
              <w:t>Pública </w:t>
            </w:r>
            <w:r>
              <w:rPr>
                <w:color w:val="231F20"/>
                <w:spacing w:val="1"/>
                <w:w w:val="75"/>
                <w:sz w:val="14"/>
              </w:rPr>
              <w:t> </w:t>
            </w:r>
            <w:r>
              <w:rPr>
                <w:color w:val="231F20"/>
                <w:w w:val="75"/>
                <w:sz w:val="14"/>
              </w:rPr>
              <w:t>Federal</w:t>
            </w:r>
          </w:p>
        </w:tc>
        <w:tc>
          <w:tcPr>
            <w:tcW w:w="2550" w:type="dxa"/>
          </w:tcPr>
          <w:p>
            <w:pPr>
              <w:pStyle w:val="TableParagraph"/>
              <w:spacing w:line="168" w:lineRule="exact" w:before="42"/>
              <w:ind w:left="58" w:right="56"/>
              <w:jc w:val="center"/>
              <w:rPr>
                <w:sz w:val="14"/>
              </w:rPr>
            </w:pPr>
            <w:r>
              <w:rPr>
                <w:color w:val="231F20"/>
                <w:w w:val="80"/>
                <w:sz w:val="14"/>
              </w:rPr>
              <w:t>Construir una administración pública moderna para impulsar el desarrollo y garantizar la estabilidad </w:t>
            </w:r>
            <w:r>
              <w:rPr>
                <w:color w:val="231F20"/>
                <w:w w:val="85"/>
                <w:sz w:val="14"/>
              </w:rPr>
              <w:t>institucional,</w:t>
            </w:r>
          </w:p>
        </w:tc>
        <w:tc>
          <w:tcPr>
            <w:tcW w:w="426" w:type="dxa"/>
          </w:tcPr>
          <w:p>
            <w:pPr>
              <w:pStyle w:val="TableParagraph"/>
              <w:spacing w:before="4"/>
              <w:ind w:left="0"/>
              <w:rPr>
                <w:rFonts w:ascii="Times New Roman"/>
                <w:b/>
                <w:sz w:val="18"/>
              </w:rPr>
            </w:pPr>
          </w:p>
          <w:p>
            <w:pPr>
              <w:pStyle w:val="TableParagraph"/>
              <w:ind w:left="0"/>
              <w:jc w:val="center"/>
              <w:rPr>
                <w:sz w:val="14"/>
              </w:rPr>
            </w:pPr>
            <w:r>
              <w:rPr>
                <w:color w:val="231F20"/>
                <w:w w:val="75"/>
                <w:sz w:val="14"/>
              </w:rPr>
              <w:t>9</w:t>
            </w:r>
          </w:p>
        </w:tc>
        <w:tc>
          <w:tcPr>
            <w:tcW w:w="426" w:type="dxa"/>
          </w:tcPr>
          <w:p>
            <w:pPr>
              <w:pStyle w:val="TableParagraph"/>
              <w:spacing w:before="4"/>
              <w:ind w:left="0"/>
              <w:rPr>
                <w:rFonts w:ascii="Times New Roman"/>
                <w:b/>
                <w:sz w:val="18"/>
              </w:rPr>
            </w:pPr>
          </w:p>
          <w:p>
            <w:pPr>
              <w:pStyle w:val="TableParagraph"/>
              <w:ind w:left="0"/>
              <w:jc w:val="center"/>
              <w:rPr>
                <w:sz w:val="14"/>
              </w:rPr>
            </w:pPr>
            <w:r>
              <w:rPr>
                <w:color w:val="231F20"/>
                <w:w w:val="75"/>
                <w:sz w:val="14"/>
              </w:rPr>
              <w:t>2</w:t>
            </w:r>
          </w:p>
        </w:tc>
        <w:tc>
          <w:tcPr>
            <w:tcW w:w="1841" w:type="dxa"/>
          </w:tcPr>
          <w:p>
            <w:pPr>
              <w:pStyle w:val="TableParagraph"/>
              <w:ind w:left="0"/>
              <w:rPr>
                <w:rFonts w:ascii="Times New Roman"/>
                <w:b/>
                <w:sz w:val="11"/>
              </w:rPr>
            </w:pPr>
          </w:p>
          <w:p>
            <w:pPr>
              <w:pStyle w:val="TableParagraph"/>
              <w:spacing w:line="168" w:lineRule="exact"/>
              <w:ind w:left="460" w:right="31" w:hanging="369"/>
              <w:rPr>
                <w:sz w:val="14"/>
              </w:rPr>
            </w:pPr>
            <w:r>
              <w:rPr>
                <w:color w:val="231F20"/>
                <w:w w:val="80"/>
                <w:sz w:val="14"/>
              </w:rPr>
              <w:t>Fiscalización, Control y Evaluación de la Gestión Municipal</w:t>
            </w:r>
          </w:p>
        </w:tc>
      </w:tr>
      <w:tr>
        <w:trPr>
          <w:trHeight w:val="1173" w:hRule="exact"/>
        </w:trPr>
        <w:tc>
          <w:tcPr>
            <w:tcW w:w="592" w:type="dxa"/>
            <w:vMerge/>
            <w:textDirection w:val="btLr"/>
          </w:tcPr>
          <w:p>
            <w:pPr/>
          </w:p>
        </w:tc>
        <w:tc>
          <w:tcPr>
            <w:tcW w:w="1986" w:type="dxa"/>
            <w:vMerge/>
          </w:tcPr>
          <w:p>
            <w:pPr/>
          </w:p>
        </w:tc>
        <w:tc>
          <w:tcPr>
            <w:tcW w:w="2550" w:type="dxa"/>
          </w:tcPr>
          <w:p>
            <w:pPr>
              <w:pStyle w:val="TableParagraph"/>
              <w:ind w:left="0"/>
              <w:rPr>
                <w:rFonts w:ascii="Times New Roman"/>
                <w:b/>
                <w:sz w:val="14"/>
              </w:rPr>
            </w:pPr>
          </w:p>
          <w:p>
            <w:pPr>
              <w:pStyle w:val="TableParagraph"/>
              <w:spacing w:line="168" w:lineRule="exact"/>
              <w:ind w:left="129" w:right="127"/>
              <w:jc w:val="center"/>
              <w:rPr>
                <w:sz w:val="14"/>
              </w:rPr>
            </w:pPr>
            <w:r>
              <w:rPr>
                <w:color w:val="231F20"/>
                <w:w w:val="80"/>
                <w:sz w:val="14"/>
              </w:rPr>
              <w:t>Fomentar</w:t>
            </w:r>
            <w:r>
              <w:rPr>
                <w:color w:val="231F20"/>
                <w:spacing w:val="-10"/>
                <w:w w:val="80"/>
                <w:sz w:val="14"/>
              </w:rPr>
              <w:t> </w:t>
            </w:r>
            <w:r>
              <w:rPr>
                <w:color w:val="231F20"/>
                <w:w w:val="80"/>
                <w:sz w:val="14"/>
              </w:rPr>
              <w:t>que</w:t>
            </w:r>
            <w:r>
              <w:rPr>
                <w:color w:val="231F20"/>
                <w:spacing w:val="-10"/>
                <w:w w:val="80"/>
                <w:sz w:val="14"/>
              </w:rPr>
              <w:t> </w:t>
            </w:r>
            <w:r>
              <w:rPr>
                <w:color w:val="231F20"/>
                <w:w w:val="80"/>
                <w:sz w:val="14"/>
              </w:rPr>
              <w:t>el</w:t>
            </w:r>
            <w:r>
              <w:rPr>
                <w:color w:val="231F20"/>
                <w:spacing w:val="-10"/>
                <w:w w:val="80"/>
                <w:sz w:val="14"/>
              </w:rPr>
              <w:t> </w:t>
            </w:r>
            <w:r>
              <w:rPr>
                <w:color w:val="231F20"/>
                <w:w w:val="80"/>
                <w:sz w:val="14"/>
              </w:rPr>
              <w:t>ejercicio</w:t>
            </w:r>
            <w:r>
              <w:rPr>
                <w:color w:val="231F20"/>
                <w:spacing w:val="-10"/>
                <w:w w:val="80"/>
                <w:sz w:val="14"/>
              </w:rPr>
              <w:t> </w:t>
            </w:r>
            <w:r>
              <w:rPr>
                <w:color w:val="231F20"/>
                <w:w w:val="80"/>
                <w:sz w:val="14"/>
              </w:rPr>
              <w:t>de</w:t>
            </w:r>
            <w:r>
              <w:rPr>
                <w:color w:val="231F20"/>
                <w:spacing w:val="-10"/>
                <w:w w:val="80"/>
                <w:sz w:val="14"/>
              </w:rPr>
              <w:t> </w:t>
            </w:r>
            <w:r>
              <w:rPr>
                <w:color w:val="231F20"/>
                <w:w w:val="80"/>
                <w:sz w:val="14"/>
              </w:rPr>
              <w:t>la</w:t>
            </w:r>
            <w:r>
              <w:rPr>
                <w:color w:val="231F20"/>
                <w:spacing w:val="-10"/>
                <w:w w:val="80"/>
                <w:sz w:val="14"/>
              </w:rPr>
              <w:t> </w:t>
            </w:r>
            <w:r>
              <w:rPr>
                <w:color w:val="231F20"/>
                <w:w w:val="80"/>
                <w:sz w:val="14"/>
              </w:rPr>
              <w:t>función</w:t>
            </w:r>
            <w:r>
              <w:rPr>
                <w:color w:val="231F20"/>
                <w:spacing w:val="-10"/>
                <w:w w:val="80"/>
                <w:sz w:val="14"/>
              </w:rPr>
              <w:t> </w:t>
            </w:r>
            <w:r>
              <w:rPr>
                <w:color w:val="231F20"/>
                <w:w w:val="80"/>
                <w:sz w:val="14"/>
              </w:rPr>
              <w:t>pública</w:t>
            </w:r>
            <w:r>
              <w:rPr>
                <w:color w:val="231F20"/>
                <w:spacing w:val="-10"/>
                <w:w w:val="80"/>
                <w:sz w:val="14"/>
              </w:rPr>
              <w:t> </w:t>
            </w:r>
            <w:r>
              <w:rPr>
                <w:color w:val="231F20"/>
                <w:w w:val="80"/>
                <w:sz w:val="14"/>
              </w:rPr>
              <w:t>se realice</w:t>
            </w:r>
            <w:r>
              <w:rPr>
                <w:color w:val="231F20"/>
                <w:spacing w:val="-10"/>
                <w:w w:val="80"/>
                <w:sz w:val="14"/>
              </w:rPr>
              <w:t> </w:t>
            </w:r>
            <w:r>
              <w:rPr>
                <w:color w:val="231F20"/>
                <w:w w:val="80"/>
                <w:sz w:val="14"/>
              </w:rPr>
              <w:t>con</w:t>
            </w:r>
            <w:r>
              <w:rPr>
                <w:color w:val="231F20"/>
                <w:spacing w:val="-10"/>
                <w:w w:val="80"/>
                <w:sz w:val="14"/>
              </w:rPr>
              <w:t> </w:t>
            </w:r>
            <w:r>
              <w:rPr>
                <w:color w:val="231F20"/>
                <w:w w:val="80"/>
                <w:sz w:val="14"/>
              </w:rPr>
              <w:t>base</w:t>
            </w:r>
            <w:r>
              <w:rPr>
                <w:color w:val="231F20"/>
                <w:spacing w:val="-10"/>
                <w:w w:val="80"/>
                <w:sz w:val="14"/>
              </w:rPr>
              <w:t> </w:t>
            </w:r>
            <w:r>
              <w:rPr>
                <w:color w:val="231F20"/>
                <w:w w:val="80"/>
                <w:sz w:val="14"/>
              </w:rPr>
              <w:t>en</w:t>
            </w:r>
            <w:r>
              <w:rPr>
                <w:color w:val="231F20"/>
                <w:spacing w:val="-10"/>
                <w:w w:val="80"/>
                <w:sz w:val="14"/>
              </w:rPr>
              <w:t> </w:t>
            </w:r>
            <w:r>
              <w:rPr>
                <w:color w:val="231F20"/>
                <w:w w:val="80"/>
                <w:sz w:val="14"/>
              </w:rPr>
              <w:t>los</w:t>
            </w:r>
            <w:r>
              <w:rPr>
                <w:color w:val="231F20"/>
                <w:spacing w:val="-10"/>
                <w:w w:val="80"/>
                <w:sz w:val="14"/>
              </w:rPr>
              <w:t> </w:t>
            </w:r>
            <w:r>
              <w:rPr>
                <w:color w:val="231F20"/>
                <w:w w:val="80"/>
                <w:sz w:val="14"/>
              </w:rPr>
              <w:t>principios</w:t>
            </w:r>
            <w:r>
              <w:rPr>
                <w:color w:val="231F20"/>
                <w:spacing w:val="-10"/>
                <w:w w:val="80"/>
                <w:sz w:val="14"/>
              </w:rPr>
              <w:t> </w:t>
            </w:r>
            <w:r>
              <w:rPr>
                <w:color w:val="231F20"/>
                <w:w w:val="80"/>
                <w:sz w:val="14"/>
              </w:rPr>
              <w:t>de</w:t>
            </w:r>
            <w:r>
              <w:rPr>
                <w:color w:val="231F20"/>
                <w:spacing w:val="-10"/>
                <w:w w:val="80"/>
                <w:sz w:val="14"/>
              </w:rPr>
              <w:t> </w:t>
            </w:r>
            <w:r>
              <w:rPr>
                <w:color w:val="231F20"/>
                <w:w w:val="80"/>
                <w:sz w:val="14"/>
              </w:rPr>
              <w:t>honestidad, eficacia,</w:t>
            </w:r>
            <w:r>
              <w:rPr>
                <w:color w:val="231F20"/>
                <w:spacing w:val="-14"/>
                <w:w w:val="80"/>
                <w:sz w:val="14"/>
              </w:rPr>
              <w:t> </w:t>
            </w:r>
            <w:r>
              <w:rPr>
                <w:color w:val="231F20"/>
                <w:w w:val="80"/>
                <w:sz w:val="14"/>
              </w:rPr>
              <w:t>transparencia,</w:t>
            </w:r>
            <w:r>
              <w:rPr>
                <w:color w:val="231F20"/>
                <w:spacing w:val="-14"/>
                <w:w w:val="80"/>
                <w:sz w:val="14"/>
              </w:rPr>
              <w:t> </w:t>
            </w:r>
            <w:r>
              <w:rPr>
                <w:color w:val="231F20"/>
                <w:w w:val="80"/>
                <w:sz w:val="14"/>
              </w:rPr>
              <w:t>legalidad</w:t>
            </w:r>
            <w:r>
              <w:rPr>
                <w:color w:val="231F20"/>
                <w:spacing w:val="-14"/>
                <w:w w:val="80"/>
                <w:sz w:val="14"/>
              </w:rPr>
              <w:t> </w:t>
            </w:r>
            <w:r>
              <w:rPr>
                <w:color w:val="231F20"/>
                <w:w w:val="80"/>
                <w:sz w:val="14"/>
              </w:rPr>
              <w:t>y</w:t>
            </w:r>
            <w:r>
              <w:rPr>
                <w:color w:val="231F20"/>
                <w:spacing w:val="-14"/>
                <w:w w:val="80"/>
                <w:sz w:val="14"/>
              </w:rPr>
              <w:t> </w:t>
            </w:r>
            <w:r>
              <w:rPr>
                <w:color w:val="231F20"/>
                <w:w w:val="80"/>
                <w:sz w:val="14"/>
              </w:rPr>
              <w:t>eficiencia</w:t>
            </w:r>
            <w:r>
              <w:rPr>
                <w:color w:val="231F20"/>
                <w:spacing w:val="-14"/>
                <w:w w:val="80"/>
                <w:sz w:val="14"/>
              </w:rPr>
              <w:t> </w:t>
            </w:r>
            <w:r>
              <w:rPr>
                <w:color w:val="231F20"/>
                <w:w w:val="80"/>
                <w:sz w:val="14"/>
              </w:rPr>
              <w:t>frente a</w:t>
            </w:r>
            <w:r>
              <w:rPr>
                <w:color w:val="231F20"/>
                <w:spacing w:val="-10"/>
                <w:w w:val="80"/>
                <w:sz w:val="14"/>
              </w:rPr>
              <w:t> </w:t>
            </w:r>
            <w:r>
              <w:rPr>
                <w:color w:val="231F20"/>
                <w:w w:val="80"/>
                <w:sz w:val="14"/>
              </w:rPr>
              <w:t>los</w:t>
            </w:r>
            <w:r>
              <w:rPr>
                <w:color w:val="231F20"/>
                <w:spacing w:val="-10"/>
                <w:w w:val="80"/>
                <w:sz w:val="14"/>
              </w:rPr>
              <w:t> </w:t>
            </w:r>
            <w:r>
              <w:rPr>
                <w:color w:val="231F20"/>
                <w:w w:val="80"/>
                <w:sz w:val="14"/>
              </w:rPr>
              <w:t>ciudadanos,</w:t>
            </w:r>
            <w:r>
              <w:rPr>
                <w:color w:val="231F20"/>
                <w:spacing w:val="-10"/>
                <w:w w:val="80"/>
                <w:sz w:val="14"/>
              </w:rPr>
              <w:t> </w:t>
            </w:r>
            <w:r>
              <w:rPr>
                <w:color w:val="231F20"/>
                <w:w w:val="80"/>
                <w:sz w:val="14"/>
              </w:rPr>
              <w:t>con</w:t>
            </w:r>
            <w:r>
              <w:rPr>
                <w:color w:val="231F20"/>
                <w:spacing w:val="-10"/>
                <w:w w:val="80"/>
                <w:sz w:val="14"/>
              </w:rPr>
              <w:t> </w:t>
            </w:r>
            <w:r>
              <w:rPr>
                <w:color w:val="231F20"/>
                <w:w w:val="80"/>
                <w:sz w:val="14"/>
              </w:rPr>
              <w:t>apego</w:t>
            </w:r>
            <w:r>
              <w:rPr>
                <w:color w:val="231F20"/>
                <w:spacing w:val="-10"/>
                <w:w w:val="80"/>
                <w:sz w:val="14"/>
              </w:rPr>
              <w:t> </w:t>
            </w:r>
            <w:r>
              <w:rPr>
                <w:color w:val="231F20"/>
                <w:w w:val="80"/>
                <w:sz w:val="14"/>
              </w:rPr>
              <w:t>a</w:t>
            </w:r>
            <w:r>
              <w:rPr>
                <w:color w:val="231F20"/>
                <w:spacing w:val="-10"/>
                <w:w w:val="80"/>
                <w:sz w:val="14"/>
              </w:rPr>
              <w:t> </w:t>
            </w:r>
            <w:r>
              <w:rPr>
                <w:color w:val="231F20"/>
                <w:w w:val="80"/>
                <w:sz w:val="14"/>
              </w:rPr>
              <w:t>los</w:t>
            </w:r>
            <w:r>
              <w:rPr>
                <w:color w:val="231F20"/>
                <w:spacing w:val="-10"/>
                <w:w w:val="80"/>
                <w:sz w:val="14"/>
              </w:rPr>
              <w:t> </w:t>
            </w:r>
            <w:r>
              <w:rPr>
                <w:color w:val="231F20"/>
                <w:w w:val="80"/>
                <w:sz w:val="14"/>
              </w:rPr>
              <w:t>códigos</w:t>
            </w:r>
            <w:r>
              <w:rPr>
                <w:color w:val="231F20"/>
                <w:spacing w:val="-10"/>
                <w:w w:val="80"/>
                <w:sz w:val="14"/>
              </w:rPr>
              <w:t> </w:t>
            </w:r>
            <w:r>
              <w:rPr>
                <w:color w:val="231F20"/>
                <w:w w:val="80"/>
                <w:sz w:val="14"/>
              </w:rPr>
              <w:t>de</w:t>
            </w:r>
            <w:r>
              <w:rPr>
                <w:color w:val="231F20"/>
                <w:spacing w:val="-10"/>
                <w:w w:val="80"/>
                <w:sz w:val="14"/>
              </w:rPr>
              <w:t> </w:t>
            </w:r>
            <w:r>
              <w:rPr>
                <w:color w:val="231F20"/>
                <w:w w:val="80"/>
                <w:sz w:val="14"/>
              </w:rPr>
              <w:t>ética</w:t>
            </w:r>
            <w:r>
              <w:rPr>
                <w:color w:val="231F20"/>
                <w:spacing w:val="-10"/>
                <w:w w:val="80"/>
                <w:sz w:val="14"/>
              </w:rPr>
              <w:t> </w:t>
            </w:r>
            <w:r>
              <w:rPr>
                <w:color w:val="231F20"/>
                <w:w w:val="80"/>
                <w:sz w:val="14"/>
              </w:rPr>
              <w:t>y </w:t>
            </w:r>
            <w:r>
              <w:rPr>
                <w:color w:val="231F20"/>
                <w:w w:val="85"/>
                <w:sz w:val="14"/>
              </w:rPr>
              <w:t>conducta.</w:t>
            </w:r>
          </w:p>
        </w:tc>
        <w:tc>
          <w:tcPr>
            <w:tcW w:w="426" w:type="dxa"/>
          </w:tcPr>
          <w:p>
            <w:pPr>
              <w:pStyle w:val="TableParagraph"/>
              <w:ind w:left="0"/>
              <w:rPr>
                <w:rFonts w:ascii="Times New Roman"/>
                <w:b/>
                <w:sz w:val="14"/>
              </w:rPr>
            </w:pPr>
          </w:p>
          <w:p>
            <w:pPr>
              <w:pStyle w:val="TableParagraph"/>
              <w:ind w:left="0"/>
              <w:rPr>
                <w:rFonts w:ascii="Times New Roman"/>
                <w:b/>
                <w:sz w:val="14"/>
              </w:rPr>
            </w:pPr>
          </w:p>
          <w:p>
            <w:pPr>
              <w:pStyle w:val="TableParagraph"/>
              <w:spacing w:before="3"/>
              <w:ind w:left="0"/>
              <w:rPr>
                <w:rFonts w:ascii="Times New Roman"/>
                <w:b/>
                <w:sz w:val="15"/>
              </w:rPr>
            </w:pPr>
          </w:p>
          <w:p>
            <w:pPr>
              <w:pStyle w:val="TableParagraph"/>
              <w:spacing w:before="1"/>
              <w:ind w:left="124" w:right="125"/>
              <w:jc w:val="center"/>
              <w:rPr>
                <w:sz w:val="14"/>
              </w:rPr>
            </w:pPr>
            <w:r>
              <w:rPr>
                <w:color w:val="231F20"/>
                <w:w w:val="85"/>
                <w:sz w:val="14"/>
              </w:rPr>
              <w:t>10</w:t>
            </w:r>
          </w:p>
        </w:tc>
        <w:tc>
          <w:tcPr>
            <w:tcW w:w="426" w:type="dxa"/>
          </w:tcPr>
          <w:p>
            <w:pPr>
              <w:pStyle w:val="TableParagraph"/>
              <w:ind w:left="0"/>
              <w:rPr>
                <w:rFonts w:ascii="Times New Roman"/>
                <w:b/>
                <w:sz w:val="14"/>
              </w:rPr>
            </w:pPr>
          </w:p>
          <w:p>
            <w:pPr>
              <w:pStyle w:val="TableParagraph"/>
              <w:ind w:left="0"/>
              <w:rPr>
                <w:rFonts w:ascii="Times New Roman"/>
                <w:b/>
                <w:sz w:val="14"/>
              </w:rPr>
            </w:pPr>
          </w:p>
          <w:p>
            <w:pPr>
              <w:pStyle w:val="TableParagraph"/>
              <w:spacing w:before="3"/>
              <w:ind w:left="0"/>
              <w:rPr>
                <w:rFonts w:ascii="Times New Roman"/>
                <w:b/>
                <w:sz w:val="15"/>
              </w:rPr>
            </w:pPr>
          </w:p>
          <w:p>
            <w:pPr>
              <w:pStyle w:val="TableParagraph"/>
              <w:spacing w:before="1"/>
              <w:ind w:left="0"/>
              <w:jc w:val="center"/>
              <w:rPr>
                <w:sz w:val="14"/>
              </w:rPr>
            </w:pPr>
            <w:r>
              <w:rPr>
                <w:color w:val="231F20"/>
                <w:w w:val="75"/>
                <w:sz w:val="14"/>
              </w:rPr>
              <w:t>1</w:t>
            </w:r>
          </w:p>
        </w:tc>
        <w:tc>
          <w:tcPr>
            <w:tcW w:w="1841" w:type="dxa"/>
          </w:tcPr>
          <w:p>
            <w:pPr>
              <w:pStyle w:val="TableParagraph"/>
              <w:ind w:left="0"/>
              <w:rPr>
                <w:rFonts w:ascii="Times New Roman"/>
                <w:b/>
                <w:sz w:val="14"/>
              </w:rPr>
            </w:pPr>
          </w:p>
          <w:p>
            <w:pPr>
              <w:pStyle w:val="TableParagraph"/>
              <w:ind w:left="0"/>
              <w:rPr>
                <w:rFonts w:ascii="Times New Roman"/>
                <w:b/>
                <w:sz w:val="14"/>
              </w:rPr>
            </w:pPr>
          </w:p>
          <w:p>
            <w:pPr>
              <w:pStyle w:val="TableParagraph"/>
              <w:spacing w:line="168" w:lineRule="exact" w:before="91"/>
              <w:ind w:left="517" w:right="36" w:hanging="295"/>
              <w:rPr>
                <w:sz w:val="14"/>
              </w:rPr>
            </w:pPr>
            <w:r>
              <w:rPr>
                <w:color w:val="231F20"/>
                <w:w w:val="80"/>
                <w:sz w:val="14"/>
              </w:rPr>
              <w:t>Fortalecimiento de la Hacienda </w:t>
            </w:r>
            <w:r>
              <w:rPr>
                <w:color w:val="231F20"/>
                <w:w w:val="75"/>
                <w:sz w:val="14"/>
              </w:rPr>
              <w:t>Pública  Municipal</w:t>
            </w:r>
          </w:p>
        </w:tc>
      </w:tr>
    </w:tbl>
    <w:p>
      <w:pPr>
        <w:pStyle w:val="BodyText"/>
        <w:spacing w:before="6"/>
        <w:rPr>
          <w:b/>
          <w:sz w:val="18"/>
        </w:rPr>
      </w:pPr>
    </w:p>
    <w:p>
      <w:pPr>
        <w:spacing w:before="74"/>
        <w:ind w:left="4996" w:right="-10" w:firstLine="0"/>
        <w:jc w:val="left"/>
        <w:rPr>
          <w:rFonts w:ascii="Calibri"/>
          <w:sz w:val="16"/>
        </w:rPr>
      </w:pPr>
      <w:r>
        <w:rPr>
          <w:rFonts w:ascii="Calibri"/>
          <w:color w:val="231F20"/>
          <w:sz w:val="16"/>
        </w:rPr>
        <w:t>FUENTE: Plan de Desarrollo Municipal </w:t>
      </w:r>
      <w:r>
        <w:rPr>
          <w:rFonts w:ascii="Calibri"/>
          <w:color w:val="231F20"/>
          <w:spacing w:val="-5"/>
          <w:sz w:val="16"/>
        </w:rPr>
        <w:t>(2007:118)</w:t>
      </w:r>
    </w:p>
    <w:p>
      <w:pPr>
        <w:spacing w:after="0"/>
        <w:jc w:val="left"/>
        <w:rPr>
          <w:rFonts w:asci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Como podemos observar en los cuadros anteriores, el municipio no tiene una libertad absoluta para crear su </w:t>
      </w:r>
      <w:r>
        <w:rPr>
          <w:color w:val="231F20"/>
          <w:spacing w:val="-3"/>
          <w:w w:val="105"/>
        </w:rPr>
        <w:t>propio </w:t>
      </w:r>
      <w:r>
        <w:rPr>
          <w:color w:val="231F20"/>
          <w:w w:val="105"/>
        </w:rPr>
        <w:t>plan, por el contrario, se encuentra supeditado a la deci- sión tanto nacional como estatal. </w:t>
      </w:r>
      <w:r>
        <w:rPr>
          <w:color w:val="231F20"/>
          <w:spacing w:val="-3"/>
          <w:w w:val="105"/>
        </w:rPr>
        <w:t>Tiene </w:t>
      </w:r>
      <w:r>
        <w:rPr>
          <w:color w:val="231F20"/>
          <w:w w:val="105"/>
        </w:rPr>
        <w:t>que contemplar aspectos desarrollados tanto en</w:t>
      </w:r>
      <w:r>
        <w:rPr>
          <w:color w:val="231F20"/>
          <w:spacing w:val="-16"/>
          <w:w w:val="105"/>
        </w:rPr>
        <w:t> </w:t>
      </w:r>
      <w:r>
        <w:rPr>
          <w:color w:val="231F20"/>
          <w:w w:val="105"/>
        </w:rPr>
        <w:t>el</w:t>
      </w:r>
      <w:r>
        <w:rPr>
          <w:color w:val="231F20"/>
          <w:spacing w:val="-16"/>
          <w:w w:val="105"/>
        </w:rPr>
        <w:t> </w:t>
      </w:r>
      <w:r>
        <w:rPr>
          <w:color w:val="231F20"/>
          <w:w w:val="105"/>
        </w:rPr>
        <w:t>ámbito</w:t>
      </w:r>
      <w:r>
        <w:rPr>
          <w:color w:val="231F20"/>
          <w:spacing w:val="-16"/>
          <w:w w:val="105"/>
        </w:rPr>
        <w:t> </w:t>
      </w:r>
      <w:r>
        <w:rPr>
          <w:color w:val="231F20"/>
          <w:w w:val="105"/>
        </w:rPr>
        <w:t>federal</w:t>
      </w:r>
      <w:r>
        <w:rPr>
          <w:color w:val="231F20"/>
          <w:spacing w:val="-16"/>
          <w:w w:val="105"/>
        </w:rPr>
        <w:t> </w:t>
      </w:r>
      <w:r>
        <w:rPr>
          <w:color w:val="231F20"/>
          <w:w w:val="105"/>
        </w:rPr>
        <w:t>como</w:t>
      </w:r>
      <w:r>
        <w:rPr>
          <w:color w:val="231F20"/>
          <w:spacing w:val="-16"/>
          <w:w w:val="105"/>
        </w:rPr>
        <w:t> </w:t>
      </w:r>
      <w:r>
        <w:rPr>
          <w:color w:val="231F20"/>
          <w:w w:val="105"/>
        </w:rPr>
        <w:t>local;</w:t>
      </w:r>
      <w:r>
        <w:rPr>
          <w:color w:val="231F20"/>
          <w:spacing w:val="-16"/>
          <w:w w:val="105"/>
        </w:rPr>
        <w:t> </w:t>
      </w:r>
      <w:r>
        <w:rPr>
          <w:color w:val="231F20"/>
          <w:w w:val="105"/>
        </w:rPr>
        <w:t>esta</w:t>
      </w:r>
      <w:r>
        <w:rPr>
          <w:color w:val="231F20"/>
          <w:spacing w:val="-16"/>
          <w:w w:val="105"/>
        </w:rPr>
        <w:t> </w:t>
      </w:r>
      <w:r>
        <w:rPr>
          <w:color w:val="231F20"/>
          <w:w w:val="105"/>
        </w:rPr>
        <w:t>alineación</w:t>
      </w:r>
      <w:r>
        <w:rPr>
          <w:color w:val="231F20"/>
          <w:spacing w:val="-16"/>
          <w:w w:val="105"/>
        </w:rPr>
        <w:t> </w:t>
      </w:r>
      <w:r>
        <w:rPr>
          <w:color w:val="231F20"/>
          <w:w w:val="105"/>
        </w:rPr>
        <w:t>les</w:t>
      </w:r>
      <w:r>
        <w:rPr>
          <w:color w:val="231F20"/>
          <w:spacing w:val="-16"/>
          <w:w w:val="105"/>
        </w:rPr>
        <w:t> </w:t>
      </w:r>
      <w:r>
        <w:rPr>
          <w:color w:val="231F20"/>
          <w:w w:val="105"/>
        </w:rPr>
        <w:t>permite</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gobiernos</w:t>
      </w:r>
      <w:r>
        <w:rPr>
          <w:color w:val="231F20"/>
          <w:spacing w:val="-16"/>
          <w:w w:val="105"/>
        </w:rPr>
        <w:t> </w:t>
      </w:r>
      <w:r>
        <w:rPr>
          <w:color w:val="231F20"/>
          <w:w w:val="105"/>
        </w:rPr>
        <w:t>municipales asegurar</w:t>
      </w:r>
      <w:r>
        <w:rPr>
          <w:color w:val="231F20"/>
          <w:spacing w:val="-9"/>
          <w:w w:val="105"/>
        </w:rPr>
        <w:t> </w:t>
      </w:r>
      <w:r>
        <w:rPr>
          <w:color w:val="231F20"/>
          <w:w w:val="105"/>
        </w:rPr>
        <w:t>ingresos</w:t>
      </w:r>
      <w:r>
        <w:rPr>
          <w:color w:val="231F20"/>
          <w:spacing w:val="-9"/>
          <w:w w:val="105"/>
        </w:rPr>
        <w:t> </w:t>
      </w:r>
      <w:r>
        <w:rPr>
          <w:color w:val="231F20"/>
          <w:w w:val="105"/>
        </w:rPr>
        <w:t>para</w:t>
      </w:r>
      <w:r>
        <w:rPr>
          <w:color w:val="231F20"/>
          <w:spacing w:val="-9"/>
          <w:w w:val="105"/>
        </w:rPr>
        <w:t> </w:t>
      </w:r>
      <w:r>
        <w:rPr>
          <w:color w:val="231F20"/>
          <w:w w:val="105"/>
        </w:rPr>
        <w:t>realizar</w:t>
      </w:r>
      <w:r>
        <w:rPr>
          <w:color w:val="231F20"/>
          <w:spacing w:val="-9"/>
          <w:w w:val="105"/>
        </w:rPr>
        <w:t> </w:t>
      </w:r>
      <w:r>
        <w:rPr>
          <w:color w:val="231F20"/>
          <w:w w:val="105"/>
        </w:rPr>
        <w:t>sus</w:t>
      </w:r>
      <w:r>
        <w:rPr>
          <w:color w:val="231F20"/>
          <w:spacing w:val="-9"/>
          <w:w w:val="105"/>
        </w:rPr>
        <w:t> </w:t>
      </w:r>
      <w:r>
        <w:rPr>
          <w:color w:val="231F20"/>
          <w:w w:val="105"/>
        </w:rPr>
        <w:t>proyectos.</w:t>
      </w:r>
    </w:p>
    <w:p>
      <w:pPr>
        <w:pStyle w:val="BodyText"/>
        <w:spacing w:before="1"/>
        <w:rPr>
          <w:sz w:val="26"/>
        </w:rPr>
      </w:pPr>
    </w:p>
    <w:p>
      <w:pPr>
        <w:pStyle w:val="BodyText"/>
        <w:spacing w:line="285" w:lineRule="auto"/>
        <w:ind w:left="110" w:right="107"/>
        <w:jc w:val="both"/>
      </w:pPr>
      <w:r>
        <w:rPr>
          <w:color w:val="231F20"/>
          <w:w w:val="105"/>
        </w:rPr>
        <w:t>El pilar de seguridad social tiene como objetivo ampliar la cobertura y calidad de los servicios,</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el</w:t>
      </w:r>
      <w:r>
        <w:rPr>
          <w:color w:val="231F20"/>
          <w:spacing w:val="-18"/>
          <w:w w:val="105"/>
        </w:rPr>
        <w:t> </w:t>
      </w:r>
      <w:r>
        <w:rPr>
          <w:color w:val="231F20"/>
          <w:w w:val="105"/>
        </w:rPr>
        <w:t>equipamiento</w:t>
      </w:r>
      <w:r>
        <w:rPr>
          <w:color w:val="231F20"/>
          <w:spacing w:val="-18"/>
          <w:w w:val="105"/>
        </w:rPr>
        <w:t> </w:t>
      </w:r>
      <w:r>
        <w:rPr>
          <w:color w:val="231F20"/>
          <w:w w:val="105"/>
        </w:rPr>
        <w:t>de</w:t>
      </w:r>
      <w:r>
        <w:rPr>
          <w:color w:val="231F20"/>
          <w:spacing w:val="-18"/>
          <w:w w:val="105"/>
        </w:rPr>
        <w:t> </w:t>
      </w:r>
      <w:r>
        <w:rPr>
          <w:color w:val="231F20"/>
          <w:w w:val="105"/>
        </w:rPr>
        <w:t>infraestructura</w:t>
      </w:r>
      <w:r>
        <w:rPr>
          <w:color w:val="231F20"/>
          <w:spacing w:val="-18"/>
          <w:w w:val="105"/>
        </w:rPr>
        <w:t> </w:t>
      </w:r>
      <w:r>
        <w:rPr>
          <w:color w:val="231F20"/>
          <w:w w:val="105"/>
        </w:rPr>
        <w:t>social</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de</w:t>
      </w:r>
      <w:r>
        <w:rPr>
          <w:color w:val="231F20"/>
          <w:spacing w:val="-18"/>
          <w:w w:val="105"/>
        </w:rPr>
        <w:t> </w:t>
      </w:r>
      <w:r>
        <w:rPr>
          <w:color w:val="231F20"/>
          <w:spacing w:val="-4"/>
          <w:w w:val="105"/>
        </w:rPr>
        <w:t>Tejupilco </w:t>
      </w:r>
      <w:r>
        <w:rPr>
          <w:color w:val="231F20"/>
          <w:w w:val="105"/>
        </w:rPr>
        <w:t>para</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población</w:t>
      </w:r>
      <w:r>
        <w:rPr>
          <w:color w:val="231F20"/>
          <w:spacing w:val="-10"/>
          <w:w w:val="105"/>
        </w:rPr>
        <w:t> </w:t>
      </w:r>
      <w:r>
        <w:rPr>
          <w:color w:val="231F20"/>
          <w:w w:val="105"/>
        </w:rPr>
        <w:t>tenga</w:t>
      </w:r>
      <w:r>
        <w:rPr>
          <w:color w:val="231F20"/>
          <w:spacing w:val="-10"/>
          <w:w w:val="105"/>
        </w:rPr>
        <w:t> </w:t>
      </w:r>
      <w:r>
        <w:rPr>
          <w:color w:val="231F20"/>
          <w:w w:val="105"/>
        </w:rPr>
        <w:t>un</w:t>
      </w:r>
      <w:r>
        <w:rPr>
          <w:color w:val="231F20"/>
          <w:spacing w:val="-10"/>
          <w:w w:val="105"/>
        </w:rPr>
        <w:t> </w:t>
      </w:r>
      <w:r>
        <w:rPr>
          <w:color w:val="231F20"/>
          <w:w w:val="105"/>
        </w:rPr>
        <w:t>acceso</w:t>
      </w:r>
      <w:r>
        <w:rPr>
          <w:color w:val="231F20"/>
          <w:spacing w:val="-10"/>
          <w:w w:val="105"/>
        </w:rPr>
        <w:t> </w:t>
      </w:r>
      <w:r>
        <w:rPr>
          <w:color w:val="231F20"/>
          <w:w w:val="105"/>
        </w:rPr>
        <w:t>equitativo</w:t>
      </w:r>
      <w:r>
        <w:rPr>
          <w:color w:val="231F20"/>
          <w:spacing w:val="-10"/>
          <w:w w:val="105"/>
        </w:rPr>
        <w:t> </w:t>
      </w:r>
      <w:r>
        <w:rPr>
          <w:color w:val="231F20"/>
          <w:w w:val="105"/>
        </w:rPr>
        <w:t>y</w:t>
      </w:r>
      <w:r>
        <w:rPr>
          <w:color w:val="231F20"/>
          <w:spacing w:val="-10"/>
          <w:w w:val="105"/>
        </w:rPr>
        <w:t> </w:t>
      </w:r>
      <w:r>
        <w:rPr>
          <w:color w:val="231F20"/>
          <w:w w:val="105"/>
        </w:rPr>
        <w:t>disminuyan</w:t>
      </w:r>
      <w:r>
        <w:rPr>
          <w:color w:val="231F20"/>
          <w:spacing w:val="-10"/>
          <w:w w:val="105"/>
        </w:rPr>
        <w:t> </w:t>
      </w:r>
      <w:r>
        <w:rPr>
          <w:color w:val="231F20"/>
          <w:w w:val="105"/>
        </w:rPr>
        <w:t>las</w:t>
      </w:r>
      <w:r>
        <w:rPr>
          <w:color w:val="231F20"/>
          <w:spacing w:val="-10"/>
          <w:w w:val="105"/>
        </w:rPr>
        <w:t> </w:t>
      </w:r>
      <w:r>
        <w:rPr>
          <w:color w:val="231F20"/>
          <w:w w:val="105"/>
        </w:rPr>
        <w:t>causas</w:t>
      </w:r>
      <w:r>
        <w:rPr>
          <w:color w:val="231F20"/>
          <w:spacing w:val="-10"/>
          <w:w w:val="105"/>
        </w:rPr>
        <w:t> </w:t>
      </w:r>
      <w:r>
        <w:rPr>
          <w:color w:val="231F20"/>
          <w:w w:val="105"/>
        </w:rPr>
        <w:t>de</w:t>
      </w:r>
      <w:r>
        <w:rPr>
          <w:color w:val="231F20"/>
          <w:spacing w:val="-10"/>
          <w:w w:val="105"/>
        </w:rPr>
        <w:t> </w:t>
      </w:r>
      <w:r>
        <w:rPr>
          <w:color w:val="231F20"/>
          <w:w w:val="105"/>
        </w:rPr>
        <w:t>migración y</w:t>
      </w:r>
      <w:r>
        <w:rPr>
          <w:color w:val="231F20"/>
          <w:spacing w:val="-8"/>
          <w:w w:val="105"/>
        </w:rPr>
        <w:t> </w:t>
      </w:r>
      <w:r>
        <w:rPr>
          <w:color w:val="231F20"/>
          <w:w w:val="105"/>
        </w:rPr>
        <w:t>pobreza</w:t>
      </w:r>
      <w:r>
        <w:rPr>
          <w:color w:val="231F20"/>
          <w:spacing w:val="-8"/>
          <w:w w:val="105"/>
        </w:rPr>
        <w:t> </w:t>
      </w:r>
      <w:r>
        <w:rPr>
          <w:color w:val="231F20"/>
          <w:w w:val="105"/>
        </w:rPr>
        <w:t>(Plan</w:t>
      </w:r>
      <w:r>
        <w:rPr>
          <w:color w:val="231F20"/>
          <w:spacing w:val="-8"/>
          <w:w w:val="105"/>
        </w:rPr>
        <w:t> </w:t>
      </w:r>
      <w:r>
        <w:rPr>
          <w:color w:val="231F20"/>
          <w:w w:val="105"/>
        </w:rPr>
        <w:t>de</w:t>
      </w:r>
      <w:r>
        <w:rPr>
          <w:color w:val="231F20"/>
          <w:spacing w:val="-8"/>
          <w:w w:val="105"/>
        </w:rPr>
        <w:t> </w:t>
      </w:r>
      <w:r>
        <w:rPr>
          <w:color w:val="231F20"/>
          <w:w w:val="105"/>
        </w:rPr>
        <w:t>Desarrollo</w:t>
      </w:r>
      <w:r>
        <w:rPr>
          <w:color w:val="231F20"/>
          <w:spacing w:val="-8"/>
          <w:w w:val="105"/>
        </w:rPr>
        <w:t> </w:t>
      </w:r>
      <w:r>
        <w:rPr>
          <w:color w:val="231F20"/>
          <w:w w:val="105"/>
        </w:rPr>
        <w:t>Municipal,</w:t>
      </w:r>
      <w:r>
        <w:rPr>
          <w:color w:val="231F20"/>
          <w:spacing w:val="-8"/>
          <w:w w:val="105"/>
        </w:rPr>
        <w:t> </w:t>
      </w:r>
      <w:r>
        <w:rPr>
          <w:color w:val="231F20"/>
          <w:spacing w:val="3"/>
          <w:w w:val="105"/>
        </w:rPr>
        <w:t>2006:</w:t>
      </w:r>
      <w:r>
        <w:rPr>
          <w:color w:val="231F20"/>
          <w:spacing w:val="-8"/>
          <w:w w:val="105"/>
        </w:rPr>
        <w:t> </w:t>
      </w:r>
      <w:r>
        <w:rPr>
          <w:color w:val="231F20"/>
          <w:spacing w:val="-5"/>
          <w:w w:val="105"/>
        </w:rPr>
        <w:t>112).</w:t>
      </w:r>
      <w:r>
        <w:rPr>
          <w:color w:val="231F20"/>
          <w:spacing w:val="-8"/>
          <w:w w:val="105"/>
        </w:rPr>
        <w:t> </w:t>
      </w:r>
      <w:r>
        <w:rPr>
          <w:color w:val="231F20"/>
          <w:w w:val="105"/>
        </w:rPr>
        <w:t>Es</w:t>
      </w:r>
      <w:r>
        <w:rPr>
          <w:color w:val="231F20"/>
          <w:spacing w:val="-8"/>
          <w:w w:val="105"/>
        </w:rPr>
        <w:t> </w:t>
      </w:r>
      <w:r>
        <w:rPr>
          <w:color w:val="231F20"/>
          <w:w w:val="105"/>
        </w:rPr>
        <w:t>uno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grandes</w:t>
      </w:r>
      <w:r>
        <w:rPr>
          <w:color w:val="231F20"/>
          <w:spacing w:val="-8"/>
          <w:w w:val="105"/>
        </w:rPr>
        <w:t> </w:t>
      </w:r>
      <w:r>
        <w:rPr>
          <w:color w:val="231F20"/>
          <w:w w:val="105"/>
        </w:rPr>
        <w:t>retos</w:t>
      </w:r>
      <w:r>
        <w:rPr>
          <w:color w:val="231F20"/>
          <w:spacing w:val="-8"/>
          <w:w w:val="105"/>
        </w:rPr>
        <w:t> </w:t>
      </w:r>
      <w:r>
        <w:rPr>
          <w:color w:val="231F20"/>
          <w:w w:val="105"/>
        </w:rPr>
        <w:t>de</w:t>
      </w:r>
      <w:r>
        <w:rPr>
          <w:color w:val="231F20"/>
          <w:spacing w:val="-8"/>
          <w:w w:val="105"/>
        </w:rPr>
        <w:t> </w:t>
      </w:r>
      <w:r>
        <w:rPr>
          <w:color w:val="231F20"/>
          <w:w w:val="105"/>
        </w:rPr>
        <w:t>la administración</w:t>
      </w:r>
      <w:r>
        <w:rPr>
          <w:color w:val="231F20"/>
          <w:spacing w:val="-14"/>
          <w:w w:val="105"/>
        </w:rPr>
        <w:t> </w:t>
      </w:r>
      <w:r>
        <w:rPr>
          <w:color w:val="231F20"/>
          <w:w w:val="105"/>
        </w:rPr>
        <w:t>municipal,</w:t>
      </w:r>
      <w:r>
        <w:rPr>
          <w:color w:val="231F20"/>
          <w:spacing w:val="-14"/>
          <w:w w:val="105"/>
        </w:rPr>
        <w:t> </w:t>
      </w:r>
      <w:r>
        <w:rPr>
          <w:color w:val="231F20"/>
          <w:w w:val="105"/>
        </w:rPr>
        <w:t>debido</w:t>
      </w:r>
      <w:r>
        <w:rPr>
          <w:color w:val="231F20"/>
          <w:spacing w:val="-14"/>
          <w:w w:val="105"/>
        </w:rPr>
        <w:t> </w:t>
      </w:r>
      <w:r>
        <w:rPr>
          <w:color w:val="231F20"/>
          <w:w w:val="105"/>
        </w:rPr>
        <w:t>a</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últimos</w:t>
      </w:r>
      <w:r>
        <w:rPr>
          <w:color w:val="231F20"/>
          <w:spacing w:val="-14"/>
          <w:w w:val="105"/>
        </w:rPr>
        <w:t> </w:t>
      </w:r>
      <w:r>
        <w:rPr>
          <w:color w:val="231F20"/>
          <w:w w:val="105"/>
        </w:rPr>
        <w:t>años</w:t>
      </w:r>
      <w:r>
        <w:rPr>
          <w:color w:val="231F20"/>
          <w:spacing w:val="-14"/>
          <w:w w:val="105"/>
        </w:rPr>
        <w:t> </w:t>
      </w:r>
      <w:r>
        <w:rPr>
          <w:color w:val="231F20"/>
          <w:w w:val="105"/>
        </w:rPr>
        <w:t>la</w:t>
      </w:r>
      <w:r>
        <w:rPr>
          <w:color w:val="231F20"/>
          <w:spacing w:val="-14"/>
          <w:w w:val="105"/>
        </w:rPr>
        <w:t> </w:t>
      </w:r>
      <w:r>
        <w:rPr>
          <w:color w:val="231F20"/>
          <w:w w:val="105"/>
        </w:rPr>
        <w:t>cantidad</w:t>
      </w:r>
      <w:r>
        <w:rPr>
          <w:color w:val="231F20"/>
          <w:spacing w:val="-14"/>
          <w:w w:val="105"/>
        </w:rPr>
        <w:t> </w:t>
      </w:r>
      <w:r>
        <w:rPr>
          <w:color w:val="231F20"/>
          <w:w w:val="105"/>
        </w:rPr>
        <w:t>de</w:t>
      </w:r>
      <w:r>
        <w:rPr>
          <w:color w:val="231F20"/>
          <w:spacing w:val="-14"/>
          <w:w w:val="105"/>
        </w:rPr>
        <w:t> </w:t>
      </w:r>
      <w:r>
        <w:rPr>
          <w:color w:val="231F20"/>
          <w:w w:val="105"/>
        </w:rPr>
        <w:t>población</w:t>
      </w:r>
      <w:r>
        <w:rPr>
          <w:color w:val="231F20"/>
          <w:spacing w:val="-14"/>
          <w:w w:val="105"/>
        </w:rPr>
        <w:t> </w:t>
      </w:r>
      <w:r>
        <w:rPr>
          <w:color w:val="231F20"/>
          <w:w w:val="105"/>
        </w:rPr>
        <w:t>en el</w:t>
      </w:r>
      <w:r>
        <w:rPr>
          <w:color w:val="231F20"/>
          <w:spacing w:val="-15"/>
          <w:w w:val="105"/>
        </w:rPr>
        <w:t> </w:t>
      </w:r>
      <w:r>
        <w:rPr>
          <w:color w:val="231F20"/>
          <w:w w:val="105"/>
        </w:rPr>
        <w:t>municipio</w:t>
      </w:r>
      <w:r>
        <w:rPr>
          <w:color w:val="231F20"/>
          <w:spacing w:val="-15"/>
          <w:w w:val="105"/>
        </w:rPr>
        <w:t> </w:t>
      </w:r>
      <w:r>
        <w:rPr>
          <w:color w:val="231F20"/>
          <w:w w:val="105"/>
        </w:rPr>
        <w:t>ha</w:t>
      </w:r>
      <w:r>
        <w:rPr>
          <w:color w:val="231F20"/>
          <w:spacing w:val="-15"/>
          <w:w w:val="105"/>
        </w:rPr>
        <w:t> </w:t>
      </w:r>
      <w:r>
        <w:rPr>
          <w:color w:val="231F20"/>
          <w:w w:val="105"/>
        </w:rPr>
        <w:t>disminuido</w:t>
      </w:r>
      <w:r>
        <w:rPr>
          <w:color w:val="231F20"/>
          <w:spacing w:val="-15"/>
          <w:w w:val="105"/>
        </w:rPr>
        <w:t> </w:t>
      </w:r>
      <w:r>
        <w:rPr>
          <w:color w:val="231F20"/>
          <w:w w:val="105"/>
        </w:rPr>
        <w:t>considerablemente</w:t>
      </w:r>
      <w:r>
        <w:rPr>
          <w:color w:val="231F20"/>
          <w:spacing w:val="-15"/>
          <w:w w:val="105"/>
        </w:rPr>
        <w:t> </w:t>
      </w:r>
      <w:r>
        <w:rPr>
          <w:color w:val="231F20"/>
          <w:w w:val="105"/>
        </w:rPr>
        <w:t>debido</w:t>
      </w:r>
      <w:r>
        <w:rPr>
          <w:color w:val="231F20"/>
          <w:spacing w:val="-15"/>
          <w:w w:val="105"/>
        </w:rPr>
        <w:t> </w:t>
      </w:r>
      <w:r>
        <w:rPr>
          <w:color w:val="231F20"/>
          <w:spacing w:val="2"/>
          <w:w w:val="105"/>
        </w:rPr>
        <w:t>al</w:t>
      </w:r>
      <w:r>
        <w:rPr>
          <w:color w:val="231F20"/>
          <w:spacing w:val="-15"/>
          <w:w w:val="105"/>
        </w:rPr>
        <w:t> </w:t>
      </w:r>
      <w:r>
        <w:rPr>
          <w:color w:val="231F20"/>
          <w:w w:val="105"/>
        </w:rPr>
        <w:t>problema</w:t>
      </w:r>
      <w:r>
        <w:rPr>
          <w:color w:val="231F20"/>
          <w:spacing w:val="-15"/>
          <w:w w:val="105"/>
        </w:rPr>
        <w:t> </w:t>
      </w:r>
      <w:r>
        <w:rPr>
          <w:color w:val="231F20"/>
          <w:w w:val="105"/>
        </w:rPr>
        <w:t>migratorio.</w:t>
      </w:r>
    </w:p>
    <w:p>
      <w:pPr>
        <w:pStyle w:val="BodyText"/>
        <w:spacing w:before="1"/>
        <w:rPr>
          <w:sz w:val="26"/>
        </w:rPr>
      </w:pPr>
    </w:p>
    <w:p>
      <w:pPr>
        <w:pStyle w:val="BodyText"/>
        <w:ind w:left="110"/>
        <w:jc w:val="both"/>
      </w:pPr>
      <w:r>
        <w:rPr>
          <w:color w:val="231F20"/>
          <w:w w:val="105"/>
        </w:rPr>
        <w:t>En el cuadro 8 se pueden apreciar las demandas de mayor solicitud en este pilar.</w:t>
      </w:r>
    </w:p>
    <w:p>
      <w:pPr>
        <w:pStyle w:val="BodyText"/>
        <w:spacing w:before="2"/>
        <w:rPr>
          <w:sz w:val="30"/>
        </w:rPr>
      </w:pPr>
    </w:p>
    <w:p>
      <w:pPr>
        <w:pStyle w:val="BodyText"/>
        <w:spacing w:line="285" w:lineRule="auto"/>
        <w:ind w:left="110" w:right="107"/>
        <w:jc w:val="both"/>
      </w:pPr>
      <w:r>
        <w:rPr>
          <w:color w:val="231F20"/>
          <w:spacing w:val="-4"/>
          <w:w w:val="105"/>
        </w:rPr>
        <w:t>Tomando</w:t>
      </w:r>
      <w:r>
        <w:rPr>
          <w:color w:val="231F20"/>
          <w:spacing w:val="-9"/>
          <w:w w:val="105"/>
        </w:rPr>
        <w:t> </w:t>
      </w:r>
      <w:r>
        <w:rPr>
          <w:color w:val="231F20"/>
          <w:w w:val="105"/>
        </w:rPr>
        <w:t>en</w:t>
      </w:r>
      <w:r>
        <w:rPr>
          <w:color w:val="231F20"/>
          <w:spacing w:val="-9"/>
          <w:w w:val="105"/>
        </w:rPr>
        <w:t> </w:t>
      </w:r>
      <w:r>
        <w:rPr>
          <w:color w:val="231F20"/>
          <w:w w:val="105"/>
        </w:rPr>
        <w:t>consideración</w:t>
      </w:r>
      <w:r>
        <w:rPr>
          <w:color w:val="231F20"/>
          <w:spacing w:val="-9"/>
          <w:w w:val="105"/>
        </w:rPr>
        <w:t> </w:t>
      </w:r>
      <w:r>
        <w:rPr>
          <w:color w:val="231F20"/>
          <w:w w:val="105"/>
        </w:rPr>
        <w:t>los</w:t>
      </w:r>
      <w:r>
        <w:rPr>
          <w:color w:val="231F20"/>
          <w:spacing w:val="-9"/>
          <w:w w:val="105"/>
        </w:rPr>
        <w:t> </w:t>
      </w:r>
      <w:r>
        <w:rPr>
          <w:color w:val="231F20"/>
          <w:w w:val="105"/>
        </w:rPr>
        <w:t>cuatro</w:t>
      </w:r>
      <w:r>
        <w:rPr>
          <w:color w:val="231F20"/>
          <w:spacing w:val="-9"/>
          <w:w w:val="105"/>
        </w:rPr>
        <w:t> </w:t>
      </w:r>
      <w:r>
        <w:rPr>
          <w:color w:val="231F20"/>
          <w:w w:val="105"/>
        </w:rPr>
        <w:t>rubros</w:t>
      </w:r>
      <w:r>
        <w:rPr>
          <w:color w:val="231F20"/>
          <w:spacing w:val="-9"/>
          <w:w w:val="105"/>
        </w:rPr>
        <w:t> </w:t>
      </w:r>
      <w:r>
        <w:rPr>
          <w:color w:val="231F20"/>
          <w:w w:val="105"/>
        </w:rPr>
        <w:t>citados,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4"/>
          <w:w w:val="105"/>
        </w:rPr>
        <w:t>PDM</w:t>
      </w:r>
      <w:r>
        <w:rPr>
          <w:color w:val="231F20"/>
          <w:spacing w:val="-9"/>
          <w:w w:val="105"/>
        </w:rPr>
        <w:t> </w:t>
      </w:r>
      <w:r>
        <w:rPr>
          <w:color w:val="231F20"/>
          <w:w w:val="105"/>
        </w:rPr>
        <w:t>se</w:t>
      </w:r>
      <w:r>
        <w:rPr>
          <w:color w:val="231F20"/>
          <w:spacing w:val="-9"/>
          <w:w w:val="105"/>
        </w:rPr>
        <w:t> </w:t>
      </w:r>
      <w:r>
        <w:rPr>
          <w:color w:val="231F20"/>
          <w:w w:val="105"/>
        </w:rPr>
        <w:t>especificaron</w:t>
      </w:r>
      <w:r>
        <w:rPr>
          <w:color w:val="231F20"/>
          <w:spacing w:val="-9"/>
          <w:w w:val="105"/>
        </w:rPr>
        <w:t> </w:t>
      </w:r>
      <w:r>
        <w:rPr>
          <w:color w:val="231F20"/>
          <w:w w:val="105"/>
        </w:rPr>
        <w:t>como acciones</w:t>
      </w:r>
      <w:r>
        <w:rPr>
          <w:color w:val="231F20"/>
          <w:spacing w:val="-6"/>
          <w:w w:val="105"/>
        </w:rPr>
        <w:t> </w:t>
      </w:r>
      <w:r>
        <w:rPr>
          <w:color w:val="231F20"/>
          <w:w w:val="105"/>
        </w:rPr>
        <w:t>a</w:t>
      </w:r>
      <w:r>
        <w:rPr>
          <w:color w:val="231F20"/>
          <w:spacing w:val="-6"/>
          <w:w w:val="105"/>
        </w:rPr>
        <w:t> </w:t>
      </w:r>
      <w:r>
        <w:rPr>
          <w:color w:val="231F20"/>
          <w:w w:val="105"/>
        </w:rPr>
        <w:t>realizar</w:t>
      </w:r>
      <w:r>
        <w:rPr>
          <w:color w:val="231F20"/>
          <w:spacing w:val="-6"/>
          <w:w w:val="105"/>
        </w:rPr>
        <w:t> </w:t>
      </w:r>
      <w:r>
        <w:rPr>
          <w:color w:val="231F20"/>
          <w:w w:val="105"/>
        </w:rPr>
        <w:t>las</w:t>
      </w:r>
      <w:r>
        <w:rPr>
          <w:color w:val="231F20"/>
          <w:spacing w:val="-6"/>
          <w:w w:val="105"/>
        </w:rPr>
        <w:t> </w:t>
      </w:r>
      <w:r>
        <w:rPr>
          <w:color w:val="231F20"/>
          <w:w w:val="105"/>
        </w:rPr>
        <w:t>siguientes: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dinámica</w:t>
      </w:r>
      <w:r>
        <w:rPr>
          <w:color w:val="231F20"/>
          <w:spacing w:val="-6"/>
          <w:w w:val="105"/>
        </w:rPr>
        <w:t> </w:t>
      </w:r>
      <w:r>
        <w:rPr>
          <w:color w:val="231F20"/>
          <w:w w:val="105"/>
        </w:rPr>
        <w:t>demográfica,</w:t>
      </w:r>
      <w:r>
        <w:rPr>
          <w:color w:val="231F20"/>
          <w:spacing w:val="-6"/>
          <w:w w:val="105"/>
        </w:rPr>
        <w:t> </w:t>
      </w:r>
      <w:r>
        <w:rPr>
          <w:color w:val="231F20"/>
          <w:spacing w:val="-3"/>
          <w:w w:val="105"/>
        </w:rPr>
        <w:t>promover</w:t>
      </w:r>
      <w:r>
        <w:rPr>
          <w:color w:val="231F20"/>
          <w:spacing w:val="-6"/>
          <w:w w:val="105"/>
        </w:rPr>
        <w:t> </w:t>
      </w:r>
      <w:r>
        <w:rPr>
          <w:color w:val="231F20"/>
          <w:w w:val="105"/>
        </w:rPr>
        <w:t>la</w:t>
      </w:r>
      <w:r>
        <w:rPr>
          <w:color w:val="231F20"/>
          <w:spacing w:val="-6"/>
          <w:w w:val="105"/>
        </w:rPr>
        <w:t> </w:t>
      </w:r>
      <w:r>
        <w:rPr>
          <w:color w:val="231F20"/>
          <w:w w:val="105"/>
        </w:rPr>
        <w:t>realización de</w:t>
      </w:r>
      <w:r>
        <w:rPr>
          <w:color w:val="231F20"/>
          <w:spacing w:val="-21"/>
          <w:w w:val="105"/>
        </w:rPr>
        <w:t> </w:t>
      </w:r>
      <w:r>
        <w:rPr>
          <w:color w:val="231F20"/>
          <w:w w:val="105"/>
        </w:rPr>
        <w:t>un</w:t>
      </w:r>
      <w:r>
        <w:rPr>
          <w:color w:val="231F20"/>
          <w:spacing w:val="-21"/>
          <w:w w:val="105"/>
        </w:rPr>
        <w:t> </w:t>
      </w:r>
      <w:r>
        <w:rPr>
          <w:color w:val="231F20"/>
          <w:w w:val="105"/>
        </w:rPr>
        <w:t>estudio</w:t>
      </w:r>
      <w:r>
        <w:rPr>
          <w:color w:val="231F20"/>
          <w:spacing w:val="-21"/>
          <w:w w:val="105"/>
        </w:rPr>
        <w:t> </w:t>
      </w:r>
      <w:r>
        <w:rPr>
          <w:color w:val="231F20"/>
          <w:w w:val="105"/>
        </w:rPr>
        <w:t>de</w:t>
      </w:r>
      <w:r>
        <w:rPr>
          <w:color w:val="231F20"/>
          <w:spacing w:val="-21"/>
          <w:w w:val="105"/>
        </w:rPr>
        <w:t> </w:t>
      </w:r>
      <w:r>
        <w:rPr>
          <w:color w:val="231F20"/>
          <w:w w:val="105"/>
        </w:rPr>
        <w:t>comportamiento</w:t>
      </w:r>
      <w:r>
        <w:rPr>
          <w:color w:val="231F20"/>
          <w:spacing w:val="-21"/>
          <w:w w:val="105"/>
        </w:rPr>
        <w:t> </w:t>
      </w:r>
      <w:r>
        <w:rPr>
          <w:color w:val="231F20"/>
          <w:w w:val="105"/>
        </w:rPr>
        <w:t>demográfico</w:t>
      </w:r>
      <w:r>
        <w:rPr>
          <w:color w:val="231F20"/>
          <w:spacing w:val="-21"/>
          <w:w w:val="105"/>
        </w:rPr>
        <w:t> </w:t>
      </w:r>
      <w:r>
        <w:rPr>
          <w:color w:val="231F20"/>
          <w:w w:val="105"/>
        </w:rPr>
        <w:t>y</w:t>
      </w:r>
      <w:r>
        <w:rPr>
          <w:color w:val="231F20"/>
          <w:spacing w:val="-21"/>
          <w:w w:val="105"/>
        </w:rPr>
        <w:t> </w:t>
      </w:r>
      <w:r>
        <w:rPr>
          <w:color w:val="231F20"/>
          <w:w w:val="105"/>
        </w:rPr>
        <w:t>migratorio</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creación</w:t>
      </w:r>
      <w:r>
        <w:rPr>
          <w:color w:val="231F20"/>
          <w:spacing w:val="-21"/>
          <w:w w:val="105"/>
        </w:rPr>
        <w:t> </w:t>
      </w:r>
      <w:r>
        <w:rPr>
          <w:color w:val="231F20"/>
          <w:w w:val="105"/>
        </w:rPr>
        <w:t>de</w:t>
      </w:r>
      <w:r>
        <w:rPr>
          <w:color w:val="231F20"/>
          <w:spacing w:val="-21"/>
          <w:w w:val="105"/>
        </w:rPr>
        <w:t> </w:t>
      </w:r>
      <w:r>
        <w:rPr>
          <w:color w:val="231F20"/>
          <w:w w:val="105"/>
        </w:rPr>
        <w:t>una</w:t>
      </w:r>
      <w:r>
        <w:rPr>
          <w:color w:val="231F20"/>
          <w:spacing w:val="-21"/>
          <w:w w:val="105"/>
        </w:rPr>
        <w:t> </w:t>
      </w:r>
      <w:r>
        <w:rPr>
          <w:color w:val="231F20"/>
          <w:w w:val="105"/>
        </w:rPr>
        <w:t>Oficina de</w:t>
      </w:r>
      <w:r>
        <w:rPr>
          <w:color w:val="231F20"/>
          <w:spacing w:val="-9"/>
          <w:w w:val="105"/>
        </w:rPr>
        <w:t> </w:t>
      </w:r>
      <w:r>
        <w:rPr>
          <w:color w:val="231F20"/>
          <w:w w:val="105"/>
        </w:rPr>
        <w:t>reporte</w:t>
      </w:r>
      <w:r>
        <w:rPr>
          <w:color w:val="231F20"/>
          <w:spacing w:val="-9"/>
          <w:w w:val="105"/>
        </w:rPr>
        <w:t> </w:t>
      </w:r>
      <w:r>
        <w:rPr>
          <w:color w:val="231F20"/>
          <w:w w:val="105"/>
        </w:rPr>
        <w:t>y</w:t>
      </w:r>
      <w:r>
        <w:rPr>
          <w:color w:val="231F20"/>
          <w:spacing w:val="-9"/>
          <w:w w:val="105"/>
        </w:rPr>
        <w:t> </w:t>
      </w:r>
      <w:r>
        <w:rPr>
          <w:color w:val="231F20"/>
          <w:w w:val="105"/>
        </w:rPr>
        <w:t>apoyo</w:t>
      </w:r>
      <w:r>
        <w:rPr>
          <w:color w:val="231F20"/>
          <w:spacing w:val="-9"/>
          <w:w w:val="105"/>
        </w:rPr>
        <w:t> </w:t>
      </w:r>
      <w:r>
        <w:rPr>
          <w:color w:val="231F20"/>
          <w:spacing w:val="2"/>
          <w:w w:val="105"/>
        </w:rPr>
        <w:t>al</w:t>
      </w:r>
      <w:r>
        <w:rPr>
          <w:color w:val="231F20"/>
          <w:spacing w:val="-9"/>
          <w:w w:val="105"/>
        </w:rPr>
        <w:t> </w:t>
      </w:r>
      <w:r>
        <w:rPr>
          <w:color w:val="231F20"/>
          <w:w w:val="105"/>
        </w:rPr>
        <w:t>migrante,</w:t>
      </w:r>
      <w:r>
        <w:rPr>
          <w:color w:val="231F20"/>
          <w:spacing w:val="-9"/>
          <w:w w:val="105"/>
        </w:rPr>
        <w:t> </w:t>
      </w:r>
      <w:r>
        <w:rPr>
          <w:color w:val="231F20"/>
          <w:w w:val="105"/>
        </w:rPr>
        <w:t>sin</w:t>
      </w:r>
      <w:r>
        <w:rPr>
          <w:color w:val="231F20"/>
          <w:spacing w:val="-9"/>
          <w:w w:val="105"/>
        </w:rPr>
        <w:t> </w:t>
      </w:r>
      <w:r>
        <w:rPr>
          <w:color w:val="231F20"/>
          <w:w w:val="105"/>
        </w:rPr>
        <w:t>embargo,</w:t>
      </w:r>
      <w:r>
        <w:rPr>
          <w:color w:val="231F20"/>
          <w:spacing w:val="-9"/>
          <w:w w:val="105"/>
        </w:rPr>
        <w:t> </w:t>
      </w:r>
      <w:r>
        <w:rPr>
          <w:color w:val="231F20"/>
          <w:w w:val="105"/>
        </w:rPr>
        <w:t>si</w:t>
      </w:r>
      <w:r>
        <w:rPr>
          <w:color w:val="231F20"/>
          <w:spacing w:val="-9"/>
          <w:w w:val="105"/>
        </w:rPr>
        <w:t> </w:t>
      </w:r>
      <w:r>
        <w:rPr>
          <w:color w:val="231F20"/>
          <w:w w:val="105"/>
        </w:rPr>
        <w:t>analizamos</w:t>
      </w:r>
      <w:r>
        <w:rPr>
          <w:color w:val="231F20"/>
          <w:spacing w:val="-9"/>
          <w:w w:val="105"/>
        </w:rPr>
        <w:t> </w:t>
      </w:r>
      <w:r>
        <w:rPr>
          <w:color w:val="231F20"/>
          <w:w w:val="105"/>
        </w:rPr>
        <w:t>el</w:t>
      </w:r>
      <w:r>
        <w:rPr>
          <w:color w:val="231F20"/>
          <w:spacing w:val="-9"/>
          <w:w w:val="105"/>
        </w:rPr>
        <w:t> </w:t>
      </w:r>
      <w:r>
        <w:rPr>
          <w:color w:val="231F20"/>
          <w:w w:val="105"/>
        </w:rPr>
        <w:t>anexo</w:t>
      </w:r>
      <w:r>
        <w:rPr>
          <w:color w:val="231F20"/>
          <w:spacing w:val="-9"/>
          <w:w w:val="105"/>
        </w:rPr>
        <w:t> </w:t>
      </w:r>
      <w:r>
        <w:rPr>
          <w:color w:val="231F20"/>
          <w:w w:val="105"/>
        </w:rPr>
        <w:t>1</w:t>
      </w:r>
      <w:r>
        <w:rPr>
          <w:color w:val="231F20"/>
          <w:spacing w:val="-9"/>
          <w:w w:val="105"/>
        </w:rPr>
        <w:t> </w:t>
      </w:r>
      <w:r>
        <w:rPr>
          <w:color w:val="231F20"/>
          <w:w w:val="105"/>
        </w:rPr>
        <w:t>del</w:t>
      </w:r>
      <w:r>
        <w:rPr>
          <w:color w:val="231F20"/>
          <w:spacing w:val="-9"/>
          <w:w w:val="105"/>
        </w:rPr>
        <w:t> </w:t>
      </w:r>
      <w:r>
        <w:rPr>
          <w:color w:val="231F20"/>
          <w:w w:val="105"/>
        </w:rPr>
        <w:t>organigrama de</w:t>
      </w:r>
      <w:r>
        <w:rPr>
          <w:color w:val="231F20"/>
          <w:spacing w:val="-8"/>
          <w:w w:val="105"/>
        </w:rPr>
        <w:t> </w:t>
      </w:r>
      <w:r>
        <w:rPr>
          <w:color w:val="231F20"/>
          <w:w w:val="105"/>
        </w:rPr>
        <w:t>la</w:t>
      </w:r>
      <w:r>
        <w:rPr>
          <w:color w:val="231F20"/>
          <w:spacing w:val="-8"/>
          <w:w w:val="105"/>
        </w:rPr>
        <w:t> </w:t>
      </w:r>
      <w:r>
        <w:rPr>
          <w:color w:val="231F20"/>
          <w:w w:val="105"/>
        </w:rPr>
        <w:t>Administración</w:t>
      </w:r>
      <w:r>
        <w:rPr>
          <w:color w:val="231F20"/>
          <w:spacing w:val="-8"/>
          <w:w w:val="105"/>
        </w:rPr>
        <w:t> </w:t>
      </w:r>
      <w:r>
        <w:rPr>
          <w:color w:val="231F20"/>
          <w:w w:val="105"/>
        </w:rPr>
        <w:t>Pública</w:t>
      </w:r>
      <w:r>
        <w:rPr>
          <w:color w:val="231F20"/>
          <w:spacing w:val="-8"/>
          <w:w w:val="105"/>
        </w:rPr>
        <w:t> </w:t>
      </w:r>
      <w:r>
        <w:rPr>
          <w:color w:val="231F20"/>
          <w:w w:val="105"/>
        </w:rPr>
        <w:t>Municipal</w:t>
      </w:r>
      <w:r>
        <w:rPr>
          <w:color w:val="231F20"/>
          <w:spacing w:val="-8"/>
          <w:w w:val="105"/>
        </w:rPr>
        <w:t> </w:t>
      </w:r>
      <w:r>
        <w:rPr>
          <w:color w:val="231F20"/>
          <w:w w:val="105"/>
        </w:rPr>
        <w:t>nos</w:t>
      </w:r>
      <w:r>
        <w:rPr>
          <w:color w:val="231F20"/>
          <w:spacing w:val="-8"/>
          <w:w w:val="105"/>
        </w:rPr>
        <w:t> </w:t>
      </w:r>
      <w:r>
        <w:rPr>
          <w:color w:val="231F20"/>
          <w:w w:val="105"/>
        </w:rPr>
        <w:t>podremos</w:t>
      </w:r>
      <w:r>
        <w:rPr>
          <w:color w:val="231F20"/>
          <w:spacing w:val="-8"/>
          <w:w w:val="105"/>
        </w:rPr>
        <w:t> </w:t>
      </w:r>
      <w:r>
        <w:rPr>
          <w:color w:val="231F20"/>
          <w:w w:val="105"/>
        </w:rPr>
        <w:t>dar</w:t>
      </w:r>
      <w:r>
        <w:rPr>
          <w:color w:val="231F20"/>
          <w:spacing w:val="-8"/>
          <w:w w:val="105"/>
        </w:rPr>
        <w:t> </w:t>
      </w:r>
      <w:r>
        <w:rPr>
          <w:color w:val="231F20"/>
          <w:w w:val="105"/>
        </w:rPr>
        <w:t>cuenta</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existe.</w:t>
      </w:r>
    </w:p>
    <w:p>
      <w:pPr>
        <w:spacing w:after="0" w:line="285" w:lineRule="auto"/>
        <w:jc w:val="both"/>
        <w:sectPr>
          <w:pgSz w:w="9640" w:h="12190"/>
          <w:pgMar w:header="0" w:footer="743" w:top="1120" w:bottom="940" w:left="740" w:right="740"/>
        </w:sectPr>
      </w:pPr>
    </w:p>
    <w:p>
      <w:pPr>
        <w:pStyle w:val="BodyText"/>
        <w:spacing w:before="5"/>
        <w:rPr>
          <w:sz w:val="11"/>
        </w:rPr>
      </w:pPr>
    </w:p>
    <w:p>
      <w:pPr>
        <w:pStyle w:val="Heading5"/>
        <w:spacing w:before="34"/>
        <w:ind w:left="144" w:right="162"/>
        <w:jc w:val="center"/>
      </w:pPr>
      <w:r>
        <w:rPr>
          <w:color w:val="231F20"/>
          <w:w w:val="105"/>
        </w:rPr>
        <w:t>Cuadro 8</w:t>
      </w:r>
    </w:p>
    <w:p>
      <w:pPr>
        <w:spacing w:before="47"/>
        <w:ind w:left="144" w:right="162" w:firstLine="0"/>
        <w:jc w:val="center"/>
        <w:rPr>
          <w:b/>
          <w:sz w:val="22"/>
        </w:rPr>
      </w:pPr>
      <w:r>
        <w:rPr>
          <w:b/>
          <w:color w:val="231F20"/>
          <w:w w:val="105"/>
          <w:sz w:val="22"/>
        </w:rPr>
        <w:t>Clasificación Programática de la Demanda. Pilar Seguridad Social</w:t>
      </w:r>
    </w:p>
    <w:p>
      <w:pPr>
        <w:pStyle w:val="BodyText"/>
        <w:spacing w:before="8"/>
        <w:rPr>
          <w:b/>
          <w:sz w:val="12"/>
        </w:rPr>
      </w:pPr>
    </w:p>
    <w:tbl>
      <w:tblPr>
        <w:tblW w:w="0" w:type="auto"/>
        <w:jc w:val="left"/>
        <w:tblInd w:w="1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83"/>
        <w:gridCol w:w="892"/>
        <w:gridCol w:w="946"/>
        <w:gridCol w:w="3302"/>
      </w:tblGrid>
      <w:tr>
        <w:trPr>
          <w:trHeight w:val="216" w:hRule="exact"/>
        </w:trPr>
        <w:tc>
          <w:tcPr>
            <w:tcW w:w="2783" w:type="dxa"/>
            <w:tcBorders>
              <w:left w:val="single" w:sz="6" w:space="0" w:color="FFFFFF"/>
              <w:bottom w:val="single" w:sz="6" w:space="0" w:color="FFFFFF"/>
            </w:tcBorders>
            <w:shd w:val="clear" w:color="auto" w:fill="C0C0BF"/>
          </w:tcPr>
          <w:p>
            <w:pPr>
              <w:pStyle w:val="TableParagraph"/>
              <w:spacing w:line="192" w:lineRule="exact" w:before="51"/>
              <w:ind w:left="57" w:right="57"/>
              <w:jc w:val="center"/>
              <w:rPr>
                <w:b/>
                <w:sz w:val="16"/>
              </w:rPr>
            </w:pPr>
            <w:r>
              <w:rPr>
                <w:b/>
                <w:color w:val="231F20"/>
                <w:w w:val="95"/>
                <w:sz w:val="16"/>
              </w:rPr>
              <w:t>Programas</w:t>
            </w:r>
          </w:p>
        </w:tc>
        <w:tc>
          <w:tcPr>
            <w:tcW w:w="892" w:type="dxa"/>
            <w:tcBorders>
              <w:bottom w:val="single" w:sz="6" w:space="0" w:color="FFFFFF"/>
            </w:tcBorders>
            <w:shd w:val="clear" w:color="auto" w:fill="C0C0BF"/>
          </w:tcPr>
          <w:p>
            <w:pPr>
              <w:pStyle w:val="TableParagraph"/>
              <w:spacing w:line="163" w:lineRule="exact"/>
              <w:ind w:left="138" w:right="137"/>
              <w:jc w:val="center"/>
              <w:rPr>
                <w:b/>
                <w:sz w:val="16"/>
              </w:rPr>
            </w:pPr>
            <w:r>
              <w:rPr>
                <w:b/>
                <w:color w:val="231F20"/>
                <w:w w:val="95"/>
                <w:sz w:val="16"/>
              </w:rPr>
              <w:t>Cantidad</w:t>
            </w:r>
          </w:p>
        </w:tc>
        <w:tc>
          <w:tcPr>
            <w:tcW w:w="946" w:type="dxa"/>
            <w:tcBorders>
              <w:bottom w:val="single" w:sz="6" w:space="0" w:color="FFFFFF"/>
            </w:tcBorders>
            <w:shd w:val="clear" w:color="auto" w:fill="C0C0BF"/>
          </w:tcPr>
          <w:p>
            <w:pPr>
              <w:pStyle w:val="TableParagraph"/>
              <w:spacing w:line="163" w:lineRule="exact"/>
              <w:ind w:left="385"/>
              <w:rPr>
                <w:b/>
                <w:sz w:val="16"/>
              </w:rPr>
            </w:pPr>
            <w:r>
              <w:rPr>
                <w:b/>
                <w:color w:val="231F20"/>
                <w:w w:val="95"/>
                <w:sz w:val="16"/>
              </w:rPr>
              <w:t>%*</w:t>
            </w:r>
          </w:p>
        </w:tc>
        <w:tc>
          <w:tcPr>
            <w:tcW w:w="3302" w:type="dxa"/>
            <w:tcBorders>
              <w:bottom w:val="single" w:sz="6" w:space="0" w:color="FFFFFF"/>
              <w:right w:val="single" w:sz="6" w:space="0" w:color="FFFFFF"/>
            </w:tcBorders>
            <w:shd w:val="clear" w:color="auto" w:fill="C0C0BF"/>
          </w:tcPr>
          <w:p>
            <w:pPr>
              <w:pStyle w:val="TableParagraph"/>
              <w:spacing w:line="163" w:lineRule="exact"/>
              <w:ind w:left="669" w:right="667"/>
              <w:jc w:val="center"/>
              <w:rPr>
                <w:b/>
                <w:sz w:val="16"/>
              </w:rPr>
            </w:pPr>
            <w:r>
              <w:rPr>
                <w:b/>
                <w:color w:val="231F20"/>
                <w:w w:val="85"/>
                <w:sz w:val="16"/>
              </w:rPr>
              <w:t>Demanda de mayor solicitud</w:t>
            </w:r>
          </w:p>
        </w:tc>
      </w:tr>
      <w:tr>
        <w:trPr>
          <w:trHeight w:val="378" w:hRule="exact"/>
        </w:trPr>
        <w:tc>
          <w:tcPr>
            <w:tcW w:w="2783" w:type="dxa"/>
            <w:tcBorders>
              <w:top w:val="single" w:sz="6" w:space="0" w:color="FFFFFF"/>
              <w:left w:val="double" w:sz="2" w:space="0" w:color="231F20"/>
            </w:tcBorders>
          </w:tcPr>
          <w:p>
            <w:pPr>
              <w:pStyle w:val="TableParagraph"/>
              <w:spacing w:before="90"/>
              <w:ind w:left="57" w:right="57"/>
              <w:jc w:val="center"/>
              <w:rPr>
                <w:sz w:val="16"/>
              </w:rPr>
            </w:pPr>
            <w:r>
              <w:rPr>
                <w:color w:val="231F20"/>
                <w:w w:val="85"/>
                <w:sz w:val="16"/>
              </w:rPr>
              <w:t>Salud</w:t>
            </w:r>
          </w:p>
        </w:tc>
        <w:tc>
          <w:tcPr>
            <w:tcW w:w="892" w:type="dxa"/>
            <w:tcBorders>
              <w:top w:val="single" w:sz="6" w:space="0" w:color="FFFFFF"/>
            </w:tcBorders>
          </w:tcPr>
          <w:p>
            <w:pPr>
              <w:pStyle w:val="TableParagraph"/>
              <w:spacing w:before="90"/>
              <w:ind w:left="0"/>
              <w:jc w:val="center"/>
              <w:rPr>
                <w:sz w:val="16"/>
              </w:rPr>
            </w:pPr>
            <w:r>
              <w:rPr>
                <w:color w:val="231F20"/>
                <w:w w:val="75"/>
                <w:sz w:val="16"/>
              </w:rPr>
              <w:t>3</w:t>
            </w:r>
          </w:p>
        </w:tc>
        <w:tc>
          <w:tcPr>
            <w:tcW w:w="946" w:type="dxa"/>
            <w:tcBorders>
              <w:top w:val="single" w:sz="6" w:space="0" w:color="FFFFFF"/>
            </w:tcBorders>
          </w:tcPr>
          <w:p>
            <w:pPr>
              <w:pStyle w:val="TableParagraph"/>
              <w:spacing w:before="90"/>
              <w:ind w:left="390"/>
              <w:rPr>
                <w:sz w:val="16"/>
              </w:rPr>
            </w:pPr>
            <w:r>
              <w:rPr>
                <w:color w:val="231F20"/>
                <w:w w:val="85"/>
                <w:sz w:val="16"/>
              </w:rPr>
              <w:t>0.7</w:t>
            </w:r>
          </w:p>
        </w:tc>
        <w:tc>
          <w:tcPr>
            <w:tcW w:w="3302" w:type="dxa"/>
            <w:tcBorders>
              <w:top w:val="single" w:sz="6" w:space="0" w:color="FFFFFF"/>
              <w:right w:val="double" w:sz="2" w:space="0" w:color="231F20"/>
            </w:tcBorders>
          </w:tcPr>
          <w:p>
            <w:pPr>
              <w:pStyle w:val="TableParagraph"/>
              <w:spacing w:before="90"/>
              <w:ind w:left="669" w:right="667"/>
              <w:jc w:val="center"/>
              <w:rPr>
                <w:sz w:val="16"/>
              </w:rPr>
            </w:pPr>
            <w:r>
              <w:rPr>
                <w:color w:val="231F20"/>
                <w:w w:val="80"/>
                <w:sz w:val="16"/>
              </w:rPr>
              <w:t>Material para casa de salud y apoyos</w:t>
            </w:r>
          </w:p>
        </w:tc>
      </w:tr>
      <w:tr>
        <w:trPr>
          <w:trHeight w:val="481" w:hRule="exact"/>
        </w:trPr>
        <w:tc>
          <w:tcPr>
            <w:tcW w:w="2783" w:type="dxa"/>
            <w:tcBorders>
              <w:left w:val="double" w:sz="2" w:space="0" w:color="231F20"/>
            </w:tcBorders>
          </w:tcPr>
          <w:p>
            <w:pPr>
              <w:pStyle w:val="TableParagraph"/>
              <w:spacing w:before="143"/>
              <w:ind w:left="57" w:right="57"/>
              <w:jc w:val="center"/>
              <w:rPr>
                <w:sz w:val="16"/>
              </w:rPr>
            </w:pPr>
            <w:r>
              <w:rPr>
                <w:color w:val="231F20"/>
                <w:w w:val="75"/>
                <w:sz w:val="16"/>
              </w:rPr>
              <w:t>Educación y Cultura</w:t>
            </w:r>
          </w:p>
        </w:tc>
        <w:tc>
          <w:tcPr>
            <w:tcW w:w="892" w:type="dxa"/>
          </w:tcPr>
          <w:p>
            <w:pPr>
              <w:pStyle w:val="TableParagraph"/>
              <w:spacing w:before="143"/>
              <w:ind w:left="135" w:right="137"/>
              <w:jc w:val="center"/>
              <w:rPr>
                <w:sz w:val="16"/>
              </w:rPr>
            </w:pPr>
            <w:r>
              <w:rPr>
                <w:color w:val="231F20"/>
                <w:w w:val="85"/>
                <w:sz w:val="16"/>
              </w:rPr>
              <w:t>218</w:t>
            </w:r>
          </w:p>
        </w:tc>
        <w:tc>
          <w:tcPr>
            <w:tcW w:w="946" w:type="dxa"/>
          </w:tcPr>
          <w:p>
            <w:pPr>
              <w:pStyle w:val="TableParagraph"/>
              <w:spacing w:before="143"/>
              <w:ind w:left="359"/>
              <w:rPr>
                <w:sz w:val="16"/>
              </w:rPr>
            </w:pPr>
            <w:r>
              <w:rPr>
                <w:color w:val="231F20"/>
                <w:w w:val="85"/>
                <w:sz w:val="16"/>
              </w:rPr>
              <w:t>50.7</w:t>
            </w:r>
          </w:p>
        </w:tc>
        <w:tc>
          <w:tcPr>
            <w:tcW w:w="3302" w:type="dxa"/>
            <w:tcBorders>
              <w:right w:val="double" w:sz="2" w:space="0" w:color="231F20"/>
            </w:tcBorders>
          </w:tcPr>
          <w:p>
            <w:pPr>
              <w:pStyle w:val="TableParagraph"/>
              <w:spacing w:line="192" w:lineRule="exact" w:before="46"/>
              <w:ind w:left="643" w:right="408" w:firstLine="185"/>
              <w:rPr>
                <w:sz w:val="16"/>
              </w:rPr>
            </w:pPr>
            <w:r>
              <w:rPr>
                <w:color w:val="231F20"/>
                <w:w w:val="85"/>
                <w:sz w:val="16"/>
              </w:rPr>
              <w:t>Infraestructura, apoyos y equipo </w:t>
            </w:r>
            <w:r>
              <w:rPr>
                <w:color w:val="231F20"/>
                <w:w w:val="75"/>
                <w:sz w:val="16"/>
              </w:rPr>
              <w:t>Casas sociales, casas de cultura, eventos</w:t>
            </w:r>
          </w:p>
        </w:tc>
      </w:tr>
      <w:tr>
        <w:trPr>
          <w:trHeight w:val="390" w:hRule="exact"/>
        </w:trPr>
        <w:tc>
          <w:tcPr>
            <w:tcW w:w="2783" w:type="dxa"/>
            <w:tcBorders>
              <w:left w:val="double" w:sz="2" w:space="0" w:color="231F20"/>
            </w:tcBorders>
          </w:tcPr>
          <w:p>
            <w:pPr>
              <w:pStyle w:val="TableParagraph"/>
              <w:spacing w:before="97"/>
              <w:ind w:left="57" w:right="57"/>
              <w:jc w:val="center"/>
              <w:rPr>
                <w:sz w:val="16"/>
              </w:rPr>
            </w:pPr>
            <w:r>
              <w:rPr>
                <w:color w:val="231F20"/>
                <w:w w:val="75"/>
                <w:sz w:val="16"/>
              </w:rPr>
              <w:t>Cultura Física y Deporte</w:t>
            </w:r>
          </w:p>
        </w:tc>
        <w:tc>
          <w:tcPr>
            <w:tcW w:w="892" w:type="dxa"/>
          </w:tcPr>
          <w:p>
            <w:pPr>
              <w:pStyle w:val="TableParagraph"/>
              <w:spacing w:before="97"/>
              <w:ind w:left="0"/>
              <w:jc w:val="center"/>
              <w:rPr>
                <w:sz w:val="16"/>
              </w:rPr>
            </w:pPr>
            <w:r>
              <w:rPr>
                <w:color w:val="231F20"/>
                <w:w w:val="75"/>
                <w:sz w:val="16"/>
              </w:rPr>
              <w:t>2</w:t>
            </w:r>
          </w:p>
        </w:tc>
        <w:tc>
          <w:tcPr>
            <w:tcW w:w="946" w:type="dxa"/>
          </w:tcPr>
          <w:p>
            <w:pPr>
              <w:pStyle w:val="TableParagraph"/>
              <w:spacing w:before="97"/>
              <w:ind w:left="357"/>
              <w:rPr>
                <w:sz w:val="16"/>
              </w:rPr>
            </w:pPr>
            <w:r>
              <w:rPr>
                <w:color w:val="231F20"/>
                <w:w w:val="85"/>
                <w:sz w:val="16"/>
              </w:rPr>
              <w:t>0.04</w:t>
            </w:r>
          </w:p>
        </w:tc>
        <w:tc>
          <w:tcPr>
            <w:tcW w:w="3302" w:type="dxa"/>
            <w:tcBorders>
              <w:right w:val="double" w:sz="2" w:space="0" w:color="231F20"/>
            </w:tcBorders>
          </w:tcPr>
          <w:p>
            <w:pPr>
              <w:pStyle w:val="TableParagraph"/>
              <w:spacing w:before="97"/>
              <w:ind w:left="669" w:right="667"/>
              <w:jc w:val="center"/>
              <w:rPr>
                <w:sz w:val="16"/>
              </w:rPr>
            </w:pPr>
            <w:r>
              <w:rPr>
                <w:color w:val="231F20"/>
                <w:w w:val="75"/>
                <w:sz w:val="16"/>
              </w:rPr>
              <w:t>Equipamiento y apoyos</w:t>
            </w:r>
          </w:p>
        </w:tc>
      </w:tr>
      <w:tr>
        <w:trPr>
          <w:trHeight w:val="430" w:hRule="exact"/>
        </w:trPr>
        <w:tc>
          <w:tcPr>
            <w:tcW w:w="2783" w:type="dxa"/>
            <w:tcBorders>
              <w:left w:val="double" w:sz="2" w:space="0" w:color="231F20"/>
            </w:tcBorders>
          </w:tcPr>
          <w:p>
            <w:pPr>
              <w:pStyle w:val="TableParagraph"/>
              <w:spacing w:before="117"/>
              <w:ind w:left="57" w:right="57"/>
              <w:jc w:val="center"/>
              <w:rPr>
                <w:sz w:val="16"/>
              </w:rPr>
            </w:pPr>
            <w:r>
              <w:rPr>
                <w:color w:val="231F20"/>
                <w:w w:val="80"/>
                <w:sz w:val="16"/>
              </w:rPr>
              <w:t>Desarrollo Integral de la Familia y Asistencia Social</w:t>
            </w:r>
          </w:p>
        </w:tc>
        <w:tc>
          <w:tcPr>
            <w:tcW w:w="892" w:type="dxa"/>
          </w:tcPr>
          <w:p>
            <w:pPr>
              <w:pStyle w:val="TableParagraph"/>
              <w:spacing w:before="117"/>
              <w:ind w:left="0"/>
              <w:jc w:val="center"/>
              <w:rPr>
                <w:sz w:val="16"/>
              </w:rPr>
            </w:pPr>
            <w:r>
              <w:rPr>
                <w:color w:val="231F20"/>
                <w:w w:val="75"/>
                <w:sz w:val="16"/>
              </w:rPr>
              <w:t>7</w:t>
            </w:r>
          </w:p>
        </w:tc>
        <w:tc>
          <w:tcPr>
            <w:tcW w:w="946" w:type="dxa"/>
          </w:tcPr>
          <w:p>
            <w:pPr>
              <w:pStyle w:val="TableParagraph"/>
              <w:spacing w:before="117"/>
              <w:ind w:left="391"/>
              <w:rPr>
                <w:sz w:val="16"/>
              </w:rPr>
            </w:pPr>
            <w:r>
              <w:rPr>
                <w:color w:val="231F20"/>
                <w:w w:val="85"/>
                <w:sz w:val="16"/>
              </w:rPr>
              <w:t>1.6</w:t>
            </w:r>
          </w:p>
        </w:tc>
        <w:tc>
          <w:tcPr>
            <w:tcW w:w="3302" w:type="dxa"/>
            <w:tcBorders>
              <w:right w:val="double" w:sz="2" w:space="0" w:color="231F20"/>
            </w:tcBorders>
          </w:tcPr>
          <w:p>
            <w:pPr>
              <w:pStyle w:val="TableParagraph"/>
              <w:spacing w:before="117"/>
              <w:ind w:left="669" w:right="666"/>
              <w:jc w:val="center"/>
              <w:rPr>
                <w:sz w:val="16"/>
              </w:rPr>
            </w:pPr>
            <w:r>
              <w:rPr>
                <w:color w:val="231F20"/>
                <w:w w:val="75"/>
                <w:sz w:val="16"/>
              </w:rPr>
              <w:t>Apoyos para economía familiar</w:t>
            </w:r>
          </w:p>
        </w:tc>
      </w:tr>
      <w:tr>
        <w:trPr>
          <w:trHeight w:val="394" w:hRule="exact"/>
        </w:trPr>
        <w:tc>
          <w:tcPr>
            <w:tcW w:w="2783" w:type="dxa"/>
            <w:tcBorders>
              <w:left w:val="double" w:sz="2" w:space="0" w:color="231F20"/>
              <w:bottom w:val="double" w:sz="2" w:space="0" w:color="231F20"/>
            </w:tcBorders>
          </w:tcPr>
          <w:p>
            <w:pPr>
              <w:pStyle w:val="TableParagraph"/>
              <w:spacing w:before="98"/>
              <w:ind w:left="56" w:right="57"/>
              <w:jc w:val="center"/>
              <w:rPr>
                <w:b/>
                <w:sz w:val="16"/>
              </w:rPr>
            </w:pPr>
            <w:r>
              <w:rPr>
                <w:b/>
                <w:color w:val="231F20"/>
                <w:w w:val="110"/>
                <w:sz w:val="16"/>
              </w:rPr>
              <w:t>Total</w:t>
            </w:r>
          </w:p>
        </w:tc>
        <w:tc>
          <w:tcPr>
            <w:tcW w:w="892" w:type="dxa"/>
            <w:tcBorders>
              <w:bottom w:val="double" w:sz="2" w:space="0" w:color="231F20"/>
            </w:tcBorders>
          </w:tcPr>
          <w:p>
            <w:pPr>
              <w:pStyle w:val="TableParagraph"/>
              <w:spacing w:before="98"/>
              <w:ind w:left="137" w:right="137"/>
              <w:jc w:val="center"/>
              <w:rPr>
                <w:sz w:val="16"/>
              </w:rPr>
            </w:pPr>
            <w:r>
              <w:rPr>
                <w:color w:val="231F20"/>
                <w:w w:val="85"/>
                <w:sz w:val="16"/>
              </w:rPr>
              <w:t>230</w:t>
            </w:r>
          </w:p>
        </w:tc>
        <w:tc>
          <w:tcPr>
            <w:tcW w:w="946" w:type="dxa"/>
            <w:tcBorders>
              <w:bottom w:val="double" w:sz="2" w:space="0" w:color="231F20"/>
            </w:tcBorders>
          </w:tcPr>
          <w:p>
            <w:pPr>
              <w:pStyle w:val="TableParagraph"/>
              <w:spacing w:before="98"/>
              <w:ind w:left="359"/>
              <w:rPr>
                <w:sz w:val="16"/>
              </w:rPr>
            </w:pPr>
            <w:r>
              <w:rPr>
                <w:color w:val="231F20"/>
                <w:w w:val="85"/>
                <w:sz w:val="16"/>
              </w:rPr>
              <w:t>53.5</w:t>
            </w:r>
          </w:p>
        </w:tc>
        <w:tc>
          <w:tcPr>
            <w:tcW w:w="3302" w:type="dxa"/>
            <w:tcBorders>
              <w:bottom w:val="double" w:sz="2" w:space="0" w:color="231F20"/>
              <w:right w:val="double" w:sz="2" w:space="0" w:color="231F20"/>
            </w:tcBorders>
          </w:tcPr>
          <w:p>
            <w:pPr>
              <w:pStyle w:val="TableParagraph"/>
              <w:spacing w:before="98"/>
              <w:ind w:left="668" w:right="667"/>
              <w:jc w:val="center"/>
              <w:rPr>
                <w:sz w:val="16"/>
              </w:rPr>
            </w:pPr>
            <w:r>
              <w:rPr>
                <w:color w:val="231F20"/>
                <w:w w:val="75"/>
                <w:sz w:val="16"/>
              </w:rPr>
              <w:t>Educación y Cultura</w:t>
            </w:r>
          </w:p>
        </w:tc>
      </w:tr>
    </w:tbl>
    <w:p>
      <w:pPr>
        <w:spacing w:before="51"/>
        <w:ind w:left="5036" w:right="57" w:firstLine="0"/>
        <w:jc w:val="left"/>
        <w:rPr>
          <w:rFonts w:ascii="Calibri"/>
          <w:sz w:val="16"/>
        </w:rPr>
      </w:pPr>
      <w:r>
        <w:rPr>
          <w:rFonts w:ascii="Calibri"/>
          <w:color w:val="231F20"/>
          <w:w w:val="95"/>
          <w:sz w:val="16"/>
        </w:rPr>
        <w:t>FUENTE: Plan de Desarrollo Municipal (2007:84)</w:t>
      </w:r>
    </w:p>
    <w:p>
      <w:pPr>
        <w:pStyle w:val="BodyText"/>
        <w:rPr>
          <w:rFonts w:ascii="Calibri"/>
          <w:sz w:val="16"/>
        </w:rPr>
      </w:pPr>
    </w:p>
    <w:p>
      <w:pPr>
        <w:pStyle w:val="BodyText"/>
        <w:spacing w:before="9"/>
        <w:rPr>
          <w:rFonts w:ascii="Calibri"/>
          <w:sz w:val="12"/>
        </w:rPr>
      </w:pPr>
    </w:p>
    <w:p>
      <w:pPr>
        <w:pStyle w:val="BodyText"/>
        <w:spacing w:line="285" w:lineRule="auto"/>
        <w:ind w:left="110" w:right="126"/>
        <w:jc w:val="both"/>
      </w:pPr>
      <w:r>
        <w:rPr>
          <w:color w:val="231F20"/>
          <w:spacing w:val="2"/>
          <w:w w:val="105"/>
        </w:rPr>
        <w:t>Esta </w:t>
      </w:r>
      <w:r>
        <w:rPr>
          <w:color w:val="231F20"/>
          <w:spacing w:val="3"/>
          <w:w w:val="105"/>
        </w:rPr>
        <w:t>Oficina </w:t>
      </w:r>
      <w:r>
        <w:rPr>
          <w:color w:val="231F20"/>
          <w:spacing w:val="2"/>
          <w:w w:val="105"/>
        </w:rPr>
        <w:t>resulta necesaria </w:t>
      </w:r>
      <w:r>
        <w:rPr>
          <w:color w:val="231F20"/>
          <w:w w:val="105"/>
        </w:rPr>
        <w:t>debido a que el municipio ha presentado </w:t>
      </w:r>
      <w:r>
        <w:rPr>
          <w:color w:val="231F20"/>
          <w:spacing w:val="3"/>
          <w:w w:val="105"/>
        </w:rPr>
        <w:t>según </w:t>
      </w:r>
      <w:r>
        <w:rPr>
          <w:color w:val="231F20"/>
          <w:w w:val="105"/>
        </w:rPr>
        <w:t>el </w:t>
      </w:r>
      <w:r>
        <w:rPr>
          <w:color w:val="231F20"/>
          <w:spacing w:val="2"/>
          <w:w w:val="105"/>
        </w:rPr>
        <w:t>II </w:t>
      </w:r>
      <w:r>
        <w:rPr>
          <w:color w:val="231F20"/>
          <w:w w:val="105"/>
        </w:rPr>
        <w:t>Conteo de Población y Vivienda </w:t>
      </w:r>
      <w:r>
        <w:rPr>
          <w:color w:val="231F20"/>
          <w:spacing w:val="4"/>
          <w:w w:val="105"/>
        </w:rPr>
        <w:t>2005, </w:t>
      </w:r>
      <w:r>
        <w:rPr>
          <w:color w:val="231F20"/>
          <w:spacing w:val="3"/>
          <w:w w:val="105"/>
        </w:rPr>
        <w:t>una </w:t>
      </w:r>
      <w:r>
        <w:rPr>
          <w:color w:val="231F20"/>
          <w:w w:val="105"/>
        </w:rPr>
        <w:t>disminución de 32,485 habitantes, en su mayoría debido a la </w:t>
      </w:r>
      <w:r>
        <w:rPr>
          <w:color w:val="231F20"/>
          <w:spacing w:val="2"/>
          <w:w w:val="105"/>
        </w:rPr>
        <w:t>migración</w:t>
      </w:r>
      <w:r>
        <w:rPr>
          <w:color w:val="231F20"/>
          <w:spacing w:val="-40"/>
          <w:w w:val="105"/>
        </w:rPr>
        <w:t> </w:t>
      </w:r>
      <w:r>
        <w:rPr>
          <w:color w:val="231F20"/>
          <w:w w:val="105"/>
        </w:rPr>
        <w:t>del municipio principalmente hacia Estados Unidos de </w:t>
      </w:r>
      <w:r>
        <w:rPr>
          <w:color w:val="231F20"/>
          <w:spacing w:val="2"/>
          <w:w w:val="105"/>
        </w:rPr>
        <w:t>Norteamérica. </w:t>
      </w:r>
      <w:r>
        <w:rPr>
          <w:color w:val="231F20"/>
          <w:w w:val="105"/>
        </w:rPr>
        <w:t>De aquí la urgente necesidad de contar con este tipo de </w:t>
      </w:r>
      <w:r>
        <w:rPr>
          <w:color w:val="231F20"/>
          <w:spacing w:val="3"/>
          <w:w w:val="105"/>
        </w:rPr>
        <w:t>Oficina </w:t>
      </w:r>
      <w:r>
        <w:rPr>
          <w:color w:val="231F20"/>
          <w:w w:val="105"/>
        </w:rPr>
        <w:t>que ayude </w:t>
      </w:r>
      <w:r>
        <w:rPr>
          <w:color w:val="231F20"/>
          <w:spacing w:val="2"/>
          <w:w w:val="105"/>
        </w:rPr>
        <w:t>tanto </w:t>
      </w:r>
      <w:r>
        <w:rPr>
          <w:color w:val="231F20"/>
          <w:w w:val="105"/>
        </w:rPr>
        <w:t>a los </w:t>
      </w:r>
      <w:r>
        <w:rPr>
          <w:color w:val="231F20"/>
          <w:spacing w:val="2"/>
          <w:w w:val="105"/>
        </w:rPr>
        <w:t>migrantes </w:t>
      </w:r>
      <w:r>
        <w:rPr>
          <w:color w:val="231F20"/>
          <w:w w:val="105"/>
        </w:rPr>
        <w:t>como a los </w:t>
      </w:r>
      <w:r>
        <w:rPr>
          <w:color w:val="231F20"/>
          <w:spacing w:val="3"/>
          <w:w w:val="105"/>
        </w:rPr>
        <w:t>familiares </w:t>
      </w:r>
      <w:r>
        <w:rPr>
          <w:color w:val="231F20"/>
          <w:w w:val="105"/>
        </w:rPr>
        <w:t>de los </w:t>
      </w:r>
      <w:r>
        <w:rPr>
          <w:color w:val="231F20"/>
          <w:spacing w:val="2"/>
          <w:w w:val="105"/>
        </w:rPr>
        <w:t>mismos, </w:t>
      </w:r>
      <w:r>
        <w:rPr>
          <w:color w:val="231F20"/>
          <w:w w:val="105"/>
        </w:rPr>
        <w:t>además de que se vuelve</w:t>
      </w:r>
      <w:r>
        <w:rPr>
          <w:color w:val="231F20"/>
          <w:spacing w:val="-10"/>
          <w:w w:val="105"/>
        </w:rPr>
        <w:t> </w:t>
      </w:r>
      <w:r>
        <w:rPr>
          <w:color w:val="231F20"/>
          <w:spacing w:val="2"/>
          <w:w w:val="105"/>
        </w:rPr>
        <w:t>necesaria</w:t>
      </w:r>
      <w:r>
        <w:rPr>
          <w:color w:val="231F20"/>
          <w:spacing w:val="-10"/>
          <w:w w:val="105"/>
        </w:rPr>
        <w:t> </w:t>
      </w:r>
      <w:r>
        <w:rPr>
          <w:color w:val="231F20"/>
          <w:spacing w:val="2"/>
          <w:w w:val="105"/>
        </w:rPr>
        <w:t>para</w:t>
      </w:r>
      <w:r>
        <w:rPr>
          <w:color w:val="231F20"/>
          <w:spacing w:val="-10"/>
          <w:w w:val="105"/>
        </w:rPr>
        <w:t> </w:t>
      </w:r>
      <w:r>
        <w:rPr>
          <w:color w:val="231F20"/>
          <w:w w:val="105"/>
        </w:rPr>
        <w:t>conocer</w:t>
      </w:r>
      <w:r>
        <w:rPr>
          <w:color w:val="231F20"/>
          <w:spacing w:val="-10"/>
          <w:w w:val="105"/>
        </w:rPr>
        <w:t> </w:t>
      </w:r>
      <w:r>
        <w:rPr>
          <w:color w:val="231F20"/>
          <w:w w:val="105"/>
        </w:rPr>
        <w:t>los</w:t>
      </w:r>
      <w:r>
        <w:rPr>
          <w:color w:val="231F20"/>
          <w:spacing w:val="-10"/>
          <w:w w:val="105"/>
        </w:rPr>
        <w:t> </w:t>
      </w:r>
      <w:r>
        <w:rPr>
          <w:color w:val="231F20"/>
          <w:w w:val="105"/>
        </w:rPr>
        <w:t>lugares</w:t>
      </w:r>
      <w:r>
        <w:rPr>
          <w:color w:val="231F20"/>
          <w:spacing w:val="-10"/>
          <w:w w:val="105"/>
        </w:rPr>
        <w:t> </w:t>
      </w:r>
      <w:r>
        <w:rPr>
          <w:color w:val="231F20"/>
          <w:w w:val="105"/>
        </w:rPr>
        <w:t>de</w:t>
      </w:r>
      <w:r>
        <w:rPr>
          <w:color w:val="231F20"/>
          <w:spacing w:val="-10"/>
          <w:w w:val="105"/>
        </w:rPr>
        <w:t> </w:t>
      </w:r>
      <w:r>
        <w:rPr>
          <w:color w:val="231F20"/>
          <w:w w:val="105"/>
        </w:rPr>
        <w:t>destino,</w:t>
      </w:r>
      <w:r>
        <w:rPr>
          <w:color w:val="231F20"/>
          <w:spacing w:val="-10"/>
          <w:w w:val="105"/>
        </w:rPr>
        <w:t> </w:t>
      </w:r>
      <w:r>
        <w:rPr>
          <w:color w:val="231F20"/>
          <w:w w:val="105"/>
        </w:rPr>
        <w:t>remesas</w:t>
      </w:r>
      <w:r>
        <w:rPr>
          <w:color w:val="231F20"/>
          <w:spacing w:val="-10"/>
          <w:w w:val="105"/>
        </w:rPr>
        <w:t> </w:t>
      </w:r>
      <w:r>
        <w:rPr>
          <w:color w:val="231F20"/>
          <w:w w:val="105"/>
        </w:rPr>
        <w:t>y</w:t>
      </w:r>
      <w:r>
        <w:rPr>
          <w:color w:val="231F20"/>
          <w:spacing w:val="-10"/>
          <w:w w:val="105"/>
        </w:rPr>
        <w:t> </w:t>
      </w:r>
      <w:r>
        <w:rPr>
          <w:color w:val="231F20"/>
          <w:w w:val="105"/>
        </w:rPr>
        <w:t>condiciones</w:t>
      </w:r>
      <w:r>
        <w:rPr>
          <w:color w:val="231F20"/>
          <w:spacing w:val="-10"/>
          <w:w w:val="105"/>
        </w:rPr>
        <w:t> </w:t>
      </w:r>
      <w:r>
        <w:rPr>
          <w:color w:val="231F20"/>
          <w:w w:val="105"/>
        </w:rPr>
        <w:t>en</w:t>
      </w:r>
      <w:r>
        <w:rPr>
          <w:color w:val="231F20"/>
          <w:spacing w:val="-10"/>
          <w:w w:val="105"/>
        </w:rPr>
        <w:t> </w:t>
      </w:r>
      <w:r>
        <w:rPr>
          <w:color w:val="231F20"/>
          <w:spacing w:val="2"/>
          <w:w w:val="105"/>
        </w:rPr>
        <w:t>las</w:t>
      </w:r>
      <w:r>
        <w:rPr>
          <w:color w:val="231F20"/>
          <w:spacing w:val="-10"/>
          <w:w w:val="105"/>
        </w:rPr>
        <w:t> </w:t>
      </w:r>
      <w:r>
        <w:rPr>
          <w:color w:val="231F20"/>
          <w:w w:val="105"/>
        </w:rPr>
        <w:t>que se encuentran los ciudadanos de Tejupilco que deciden abandonar el </w:t>
      </w:r>
      <w:r>
        <w:rPr>
          <w:color w:val="231F20"/>
          <w:spacing w:val="3"/>
          <w:w w:val="105"/>
        </w:rPr>
        <w:t>país </w:t>
      </w:r>
      <w:r>
        <w:rPr>
          <w:color w:val="231F20"/>
          <w:w w:val="105"/>
        </w:rPr>
        <w:t>en </w:t>
      </w:r>
      <w:r>
        <w:rPr>
          <w:color w:val="231F20"/>
          <w:spacing w:val="2"/>
          <w:w w:val="105"/>
        </w:rPr>
        <w:t>busca </w:t>
      </w:r>
      <w:r>
        <w:rPr>
          <w:color w:val="231F20"/>
          <w:w w:val="105"/>
        </w:rPr>
        <w:t>de mejores </w:t>
      </w:r>
      <w:r>
        <w:rPr>
          <w:color w:val="231F20"/>
          <w:spacing w:val="2"/>
          <w:w w:val="105"/>
        </w:rPr>
        <w:t>oportunidades </w:t>
      </w:r>
      <w:r>
        <w:rPr>
          <w:color w:val="231F20"/>
          <w:w w:val="105"/>
        </w:rPr>
        <w:t>de</w:t>
      </w:r>
      <w:r>
        <w:rPr>
          <w:color w:val="231F20"/>
          <w:spacing w:val="-7"/>
          <w:w w:val="105"/>
        </w:rPr>
        <w:t> </w:t>
      </w:r>
      <w:r>
        <w:rPr>
          <w:color w:val="231F20"/>
          <w:spacing w:val="2"/>
          <w:w w:val="105"/>
        </w:rPr>
        <w:t>vida.</w:t>
      </w:r>
    </w:p>
    <w:p>
      <w:pPr>
        <w:pStyle w:val="BodyText"/>
        <w:spacing w:before="1"/>
        <w:rPr>
          <w:sz w:val="26"/>
        </w:rPr>
      </w:pPr>
    </w:p>
    <w:p>
      <w:pPr>
        <w:pStyle w:val="BodyText"/>
        <w:spacing w:line="285" w:lineRule="auto"/>
        <w:ind w:left="110" w:right="127"/>
        <w:jc w:val="both"/>
      </w:pPr>
      <w:r>
        <w:rPr>
          <w:color w:val="231F20"/>
          <w:w w:val="105"/>
        </w:rPr>
        <w:t>Respecto</w:t>
      </w:r>
      <w:r>
        <w:rPr>
          <w:color w:val="231F20"/>
          <w:spacing w:val="-9"/>
          <w:w w:val="105"/>
        </w:rPr>
        <w:t> </w:t>
      </w:r>
      <w:r>
        <w:rPr>
          <w:color w:val="231F20"/>
          <w:w w:val="105"/>
        </w:rPr>
        <w:t>a</w:t>
      </w:r>
      <w:r>
        <w:rPr>
          <w:color w:val="231F20"/>
          <w:spacing w:val="-9"/>
          <w:w w:val="105"/>
        </w:rPr>
        <w:t> </w:t>
      </w:r>
      <w:r>
        <w:rPr>
          <w:color w:val="231F20"/>
          <w:w w:val="105"/>
        </w:rPr>
        <w:t>educación,</w:t>
      </w:r>
      <w:r>
        <w:rPr>
          <w:color w:val="231F20"/>
          <w:spacing w:val="-9"/>
          <w:w w:val="105"/>
        </w:rPr>
        <w:t> </w:t>
      </w:r>
      <w:r>
        <w:rPr>
          <w:color w:val="231F20"/>
          <w:w w:val="105"/>
        </w:rPr>
        <w:t>cultura</w:t>
      </w:r>
      <w:r>
        <w:rPr>
          <w:color w:val="231F20"/>
          <w:spacing w:val="-9"/>
          <w:w w:val="105"/>
        </w:rPr>
        <w:t> </w:t>
      </w:r>
      <w:r>
        <w:rPr>
          <w:color w:val="231F20"/>
          <w:w w:val="105"/>
        </w:rPr>
        <w:t>y</w:t>
      </w:r>
      <w:r>
        <w:rPr>
          <w:color w:val="231F20"/>
          <w:spacing w:val="-9"/>
          <w:w w:val="105"/>
        </w:rPr>
        <w:t> </w:t>
      </w:r>
      <w:r>
        <w:rPr>
          <w:color w:val="231F20"/>
          <w:w w:val="105"/>
        </w:rPr>
        <w:t>deporte</w:t>
      </w:r>
      <w:r>
        <w:rPr>
          <w:color w:val="231F20"/>
          <w:spacing w:val="-9"/>
          <w:w w:val="105"/>
        </w:rPr>
        <w:t> </w:t>
      </w:r>
      <w:r>
        <w:rPr>
          <w:color w:val="231F20"/>
          <w:w w:val="105"/>
        </w:rPr>
        <w:t>se</w:t>
      </w:r>
      <w:r>
        <w:rPr>
          <w:color w:val="231F20"/>
          <w:spacing w:val="-9"/>
          <w:w w:val="105"/>
        </w:rPr>
        <w:t> </w:t>
      </w:r>
      <w:r>
        <w:rPr>
          <w:color w:val="231F20"/>
          <w:w w:val="105"/>
        </w:rPr>
        <w:t>consideró</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funciones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Dirección de Educación debían ser reorientadas y complementadas con otro tipo de actividades coincidentes de cultura y deporte; realizar un diagnóstico situacional de los centros educativos</w:t>
      </w:r>
      <w:r>
        <w:rPr>
          <w:color w:val="231F20"/>
          <w:spacing w:val="-15"/>
          <w:w w:val="105"/>
        </w:rPr>
        <w:t> </w:t>
      </w:r>
      <w:r>
        <w:rPr>
          <w:color w:val="231F20"/>
          <w:w w:val="105"/>
        </w:rPr>
        <w:t>hasta</w:t>
      </w:r>
      <w:r>
        <w:rPr>
          <w:color w:val="231F20"/>
          <w:spacing w:val="-15"/>
          <w:w w:val="105"/>
        </w:rPr>
        <w:t> </w:t>
      </w:r>
      <w:r>
        <w:rPr>
          <w:color w:val="231F20"/>
          <w:w w:val="105"/>
        </w:rPr>
        <w:t>el</w:t>
      </w:r>
      <w:r>
        <w:rPr>
          <w:color w:val="231F20"/>
          <w:spacing w:val="-15"/>
          <w:w w:val="105"/>
        </w:rPr>
        <w:t> </w:t>
      </w:r>
      <w:r>
        <w:rPr>
          <w:color w:val="231F20"/>
          <w:w w:val="105"/>
        </w:rPr>
        <w:t>nivel</w:t>
      </w:r>
      <w:r>
        <w:rPr>
          <w:color w:val="231F20"/>
          <w:spacing w:val="-15"/>
          <w:w w:val="105"/>
        </w:rPr>
        <w:t> </w:t>
      </w:r>
      <w:r>
        <w:rPr>
          <w:color w:val="231F20"/>
          <w:w w:val="105"/>
        </w:rPr>
        <w:t>medio</w:t>
      </w:r>
      <w:r>
        <w:rPr>
          <w:color w:val="231F20"/>
          <w:spacing w:val="-15"/>
          <w:w w:val="105"/>
        </w:rPr>
        <w:t> </w:t>
      </w:r>
      <w:r>
        <w:rPr>
          <w:color w:val="231F20"/>
          <w:w w:val="105"/>
        </w:rPr>
        <w:t>básico</w:t>
      </w:r>
      <w:r>
        <w:rPr>
          <w:color w:val="231F20"/>
          <w:spacing w:val="-15"/>
          <w:w w:val="105"/>
        </w:rPr>
        <w:t> </w:t>
      </w:r>
      <w:r>
        <w:rPr>
          <w:color w:val="231F20"/>
          <w:w w:val="105"/>
        </w:rPr>
        <w:t>que</w:t>
      </w:r>
      <w:r>
        <w:rPr>
          <w:color w:val="231F20"/>
          <w:spacing w:val="-15"/>
          <w:w w:val="105"/>
        </w:rPr>
        <w:t> </w:t>
      </w:r>
      <w:r>
        <w:rPr>
          <w:color w:val="231F20"/>
          <w:w w:val="105"/>
        </w:rPr>
        <w:t>permitiera</w:t>
      </w:r>
      <w:r>
        <w:rPr>
          <w:color w:val="231F20"/>
          <w:spacing w:val="-15"/>
          <w:w w:val="105"/>
        </w:rPr>
        <w:t> </w:t>
      </w:r>
      <w:r>
        <w:rPr>
          <w:color w:val="231F20"/>
          <w:w w:val="105"/>
        </w:rPr>
        <w:t>conocer</w:t>
      </w:r>
      <w:r>
        <w:rPr>
          <w:color w:val="231F20"/>
          <w:spacing w:val="-15"/>
          <w:w w:val="105"/>
        </w:rPr>
        <w:t> </w:t>
      </w:r>
      <w:r>
        <w:rPr>
          <w:color w:val="231F20"/>
          <w:w w:val="105"/>
        </w:rPr>
        <w:t>las</w:t>
      </w:r>
      <w:r>
        <w:rPr>
          <w:color w:val="231F20"/>
          <w:spacing w:val="-15"/>
          <w:w w:val="105"/>
        </w:rPr>
        <w:t> </w:t>
      </w:r>
      <w:r>
        <w:rPr>
          <w:color w:val="231F20"/>
          <w:w w:val="105"/>
        </w:rPr>
        <w:t>necesidades</w:t>
      </w:r>
      <w:r>
        <w:rPr>
          <w:color w:val="231F20"/>
          <w:spacing w:val="-15"/>
          <w:w w:val="105"/>
        </w:rPr>
        <w:t> </w:t>
      </w:r>
      <w:r>
        <w:rPr>
          <w:color w:val="231F20"/>
          <w:w w:val="105"/>
        </w:rPr>
        <w:t>reales</w:t>
      </w:r>
      <w:r>
        <w:rPr>
          <w:color w:val="231F20"/>
          <w:spacing w:val="-15"/>
          <w:w w:val="105"/>
        </w:rPr>
        <w:t> </w:t>
      </w:r>
      <w:r>
        <w:rPr>
          <w:color w:val="231F20"/>
          <w:w w:val="105"/>
        </w:rPr>
        <w:t>de infraestructura y equipamiento; gestionar y promocionar estímulos para la educación, como</w:t>
      </w:r>
      <w:r>
        <w:rPr>
          <w:color w:val="231F20"/>
          <w:spacing w:val="-17"/>
          <w:w w:val="105"/>
        </w:rPr>
        <w:t> </w:t>
      </w:r>
      <w:r>
        <w:rPr>
          <w:color w:val="231F20"/>
          <w:w w:val="105"/>
        </w:rPr>
        <w:t>becas</w:t>
      </w:r>
      <w:r>
        <w:rPr>
          <w:color w:val="231F20"/>
          <w:spacing w:val="-17"/>
          <w:w w:val="105"/>
        </w:rPr>
        <w:t> </w:t>
      </w:r>
      <w:r>
        <w:rPr>
          <w:color w:val="231F20"/>
          <w:w w:val="105"/>
        </w:rPr>
        <w:t>para</w:t>
      </w:r>
      <w:r>
        <w:rPr>
          <w:color w:val="231F20"/>
          <w:spacing w:val="-17"/>
          <w:w w:val="105"/>
        </w:rPr>
        <w:t> </w:t>
      </w:r>
      <w:r>
        <w:rPr>
          <w:color w:val="231F20"/>
          <w:w w:val="105"/>
        </w:rPr>
        <w:t>alumnos</w:t>
      </w:r>
      <w:r>
        <w:rPr>
          <w:color w:val="231F20"/>
          <w:spacing w:val="-17"/>
          <w:w w:val="105"/>
        </w:rPr>
        <w:t> </w:t>
      </w:r>
      <w:r>
        <w:rPr>
          <w:color w:val="231F20"/>
          <w:w w:val="105"/>
        </w:rPr>
        <w:t>destacados,</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escasos</w:t>
      </w:r>
      <w:r>
        <w:rPr>
          <w:color w:val="231F20"/>
          <w:spacing w:val="-17"/>
          <w:w w:val="105"/>
        </w:rPr>
        <w:t> </w:t>
      </w:r>
      <w:r>
        <w:rPr>
          <w:color w:val="231F20"/>
          <w:w w:val="105"/>
        </w:rPr>
        <w:t>recursos</w:t>
      </w:r>
      <w:r>
        <w:rPr>
          <w:color w:val="231F20"/>
          <w:spacing w:val="-17"/>
          <w:w w:val="105"/>
        </w:rPr>
        <w:t> </w:t>
      </w:r>
      <w:r>
        <w:rPr>
          <w:color w:val="231F20"/>
          <w:w w:val="105"/>
        </w:rPr>
        <w:t>económicos;</w:t>
      </w:r>
      <w:r>
        <w:rPr>
          <w:color w:val="231F20"/>
          <w:spacing w:val="-17"/>
          <w:w w:val="105"/>
        </w:rPr>
        <w:t> </w:t>
      </w:r>
      <w:r>
        <w:rPr>
          <w:color w:val="231F20"/>
          <w:w w:val="105"/>
        </w:rPr>
        <w:t>aplicación</w:t>
      </w:r>
      <w:r>
        <w:rPr>
          <w:color w:val="231F20"/>
          <w:spacing w:val="-17"/>
          <w:w w:val="105"/>
        </w:rPr>
        <w:t> </w:t>
      </w:r>
      <w:r>
        <w:rPr>
          <w:color w:val="231F20"/>
          <w:w w:val="105"/>
        </w:rPr>
        <w:t>del programa</w:t>
      </w:r>
      <w:r>
        <w:rPr>
          <w:color w:val="231F20"/>
          <w:spacing w:val="-7"/>
          <w:w w:val="105"/>
        </w:rPr>
        <w:t> </w:t>
      </w:r>
      <w:r>
        <w:rPr>
          <w:color w:val="231F20"/>
          <w:w w:val="105"/>
        </w:rPr>
        <w:t>“Presidente</w:t>
      </w:r>
      <w:r>
        <w:rPr>
          <w:color w:val="231F20"/>
          <w:spacing w:val="-7"/>
          <w:w w:val="105"/>
        </w:rPr>
        <w:t> </w:t>
      </w:r>
      <w:r>
        <w:rPr>
          <w:color w:val="231F20"/>
          <w:w w:val="105"/>
        </w:rPr>
        <w:t>por</w:t>
      </w:r>
      <w:r>
        <w:rPr>
          <w:color w:val="231F20"/>
          <w:spacing w:val="-7"/>
          <w:w w:val="105"/>
        </w:rPr>
        <w:t> </w:t>
      </w:r>
      <w:r>
        <w:rPr>
          <w:color w:val="231F20"/>
          <w:w w:val="105"/>
        </w:rPr>
        <w:t>un</w:t>
      </w:r>
      <w:r>
        <w:rPr>
          <w:color w:val="231F20"/>
          <w:spacing w:val="-7"/>
          <w:w w:val="105"/>
        </w:rPr>
        <w:t> </w:t>
      </w:r>
      <w:r>
        <w:rPr>
          <w:color w:val="231F20"/>
          <w:w w:val="105"/>
        </w:rPr>
        <w:t>día”</w:t>
      </w:r>
      <w:r>
        <w:rPr>
          <w:color w:val="231F20"/>
          <w:spacing w:val="-7"/>
          <w:w w:val="105"/>
        </w:rPr>
        <w:t> </w:t>
      </w:r>
      <w:r>
        <w:rPr>
          <w:color w:val="231F20"/>
          <w:w w:val="105"/>
        </w:rPr>
        <w:t>para</w:t>
      </w:r>
      <w:r>
        <w:rPr>
          <w:color w:val="231F20"/>
          <w:spacing w:val="-7"/>
          <w:w w:val="105"/>
        </w:rPr>
        <w:t> </w:t>
      </w:r>
      <w:r>
        <w:rPr>
          <w:color w:val="231F20"/>
          <w:w w:val="105"/>
        </w:rPr>
        <w:t>alumnos</w:t>
      </w:r>
      <w:r>
        <w:rPr>
          <w:color w:val="231F20"/>
          <w:spacing w:val="-7"/>
          <w:w w:val="105"/>
        </w:rPr>
        <w:t> </w:t>
      </w:r>
      <w:r>
        <w:rPr>
          <w:color w:val="231F20"/>
          <w:w w:val="105"/>
        </w:rPr>
        <w:t>destacados</w:t>
      </w:r>
      <w:r>
        <w:rPr>
          <w:color w:val="231F20"/>
          <w:spacing w:val="-7"/>
          <w:w w:val="105"/>
        </w:rPr>
        <w:t> </w:t>
      </w:r>
      <w:r>
        <w:rPr>
          <w:color w:val="231F20"/>
          <w:w w:val="105"/>
        </w:rPr>
        <w:t>a</w:t>
      </w:r>
      <w:r>
        <w:rPr>
          <w:color w:val="231F20"/>
          <w:spacing w:val="-7"/>
          <w:w w:val="105"/>
        </w:rPr>
        <w:t> </w:t>
      </w:r>
      <w:r>
        <w:rPr>
          <w:color w:val="231F20"/>
          <w:w w:val="105"/>
        </w:rPr>
        <w:t>través</w:t>
      </w:r>
      <w:r>
        <w:rPr>
          <w:color w:val="231F20"/>
          <w:spacing w:val="-7"/>
          <w:w w:val="105"/>
        </w:rPr>
        <w:t> </w:t>
      </w:r>
      <w:r>
        <w:rPr>
          <w:color w:val="231F20"/>
          <w:w w:val="105"/>
        </w:rPr>
        <w:t>del</w:t>
      </w:r>
      <w:r>
        <w:rPr>
          <w:color w:val="231F20"/>
          <w:spacing w:val="-7"/>
          <w:w w:val="105"/>
        </w:rPr>
        <w:t> </w:t>
      </w:r>
      <w:r>
        <w:rPr>
          <w:color w:val="231F20"/>
          <w:w w:val="105"/>
        </w:rPr>
        <w:t>programa</w:t>
      </w:r>
      <w:r>
        <w:rPr>
          <w:color w:val="231F20"/>
          <w:spacing w:val="-7"/>
          <w:w w:val="105"/>
        </w:rPr>
        <w:t> </w:t>
      </w:r>
      <w:r>
        <w:rPr>
          <w:color w:val="231F20"/>
          <w:w w:val="105"/>
        </w:rPr>
        <w:t>“Sá- bados</w:t>
      </w:r>
      <w:r>
        <w:rPr>
          <w:color w:val="231F20"/>
          <w:spacing w:val="-15"/>
          <w:w w:val="105"/>
        </w:rPr>
        <w:t> </w:t>
      </w:r>
      <w:r>
        <w:rPr>
          <w:color w:val="231F20"/>
          <w:w w:val="105"/>
        </w:rPr>
        <w:t>con</w:t>
      </w:r>
      <w:r>
        <w:rPr>
          <w:color w:val="231F20"/>
          <w:spacing w:val="-15"/>
          <w:w w:val="105"/>
        </w:rPr>
        <w:t> </w:t>
      </w:r>
      <w:r>
        <w:rPr>
          <w:color w:val="231F20"/>
          <w:w w:val="105"/>
        </w:rPr>
        <w:t>mi</w:t>
      </w:r>
      <w:r>
        <w:rPr>
          <w:color w:val="231F20"/>
          <w:spacing w:val="-15"/>
          <w:w w:val="105"/>
        </w:rPr>
        <w:t> </w:t>
      </w:r>
      <w:r>
        <w:rPr>
          <w:color w:val="231F20"/>
          <w:w w:val="105"/>
        </w:rPr>
        <w:t>Ayuntamiento”;</w:t>
      </w:r>
      <w:r>
        <w:rPr>
          <w:color w:val="231F20"/>
          <w:spacing w:val="-15"/>
          <w:w w:val="105"/>
        </w:rPr>
        <w:t> </w:t>
      </w:r>
      <w:r>
        <w:rPr>
          <w:color w:val="231F20"/>
          <w:w w:val="105"/>
        </w:rPr>
        <w:t>creación</w:t>
      </w:r>
      <w:r>
        <w:rPr>
          <w:color w:val="231F20"/>
          <w:spacing w:val="-15"/>
          <w:w w:val="105"/>
        </w:rPr>
        <w:t> </w:t>
      </w:r>
      <w:r>
        <w:rPr>
          <w:color w:val="231F20"/>
          <w:w w:val="105"/>
        </w:rPr>
        <w:t>de</w:t>
      </w:r>
      <w:r>
        <w:rPr>
          <w:color w:val="231F20"/>
          <w:spacing w:val="-15"/>
          <w:w w:val="105"/>
        </w:rPr>
        <w:t> </w:t>
      </w:r>
      <w:r>
        <w:rPr>
          <w:color w:val="231F20"/>
          <w:w w:val="105"/>
        </w:rPr>
        <w:t>espacios</w:t>
      </w:r>
      <w:r>
        <w:rPr>
          <w:color w:val="231F20"/>
          <w:spacing w:val="-15"/>
          <w:w w:val="105"/>
        </w:rPr>
        <w:t> </w:t>
      </w:r>
      <w:r>
        <w:rPr>
          <w:color w:val="231F20"/>
          <w:w w:val="105"/>
        </w:rPr>
        <w:t>públicos</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expresión</w:t>
      </w:r>
      <w:r>
        <w:rPr>
          <w:color w:val="231F20"/>
          <w:spacing w:val="-15"/>
          <w:w w:val="105"/>
        </w:rPr>
        <w:t> </w:t>
      </w:r>
      <w:r>
        <w:rPr>
          <w:color w:val="231F20"/>
          <w:w w:val="105"/>
        </w:rPr>
        <w:t>de</w:t>
      </w:r>
      <w:r>
        <w:rPr>
          <w:color w:val="231F20"/>
          <w:spacing w:val="-15"/>
          <w:w w:val="105"/>
        </w:rPr>
        <w:t> </w:t>
      </w:r>
      <w:r>
        <w:rPr>
          <w:color w:val="231F20"/>
          <w:w w:val="105"/>
        </w:rPr>
        <w:t>bellas artes como teatro, música y danza; creación de una oficina deportiva, encargada de la operación</w:t>
      </w:r>
      <w:r>
        <w:rPr>
          <w:color w:val="231F20"/>
          <w:spacing w:val="-12"/>
          <w:w w:val="105"/>
        </w:rPr>
        <w:t> </w:t>
      </w:r>
      <w:r>
        <w:rPr>
          <w:color w:val="231F20"/>
          <w:w w:val="105"/>
        </w:rPr>
        <w:t>y</w:t>
      </w:r>
      <w:r>
        <w:rPr>
          <w:color w:val="231F20"/>
          <w:spacing w:val="-12"/>
          <w:w w:val="105"/>
        </w:rPr>
        <w:t> </w:t>
      </w:r>
      <w:r>
        <w:rPr>
          <w:color w:val="231F20"/>
          <w:w w:val="105"/>
        </w:rPr>
        <w:t>mantenimiento</w:t>
      </w:r>
      <w:r>
        <w:rPr>
          <w:color w:val="231F20"/>
          <w:spacing w:val="-12"/>
          <w:w w:val="105"/>
        </w:rPr>
        <w:t> </w:t>
      </w:r>
      <w:r>
        <w:rPr>
          <w:color w:val="231F20"/>
          <w:w w:val="105"/>
        </w:rPr>
        <w:t>adecuado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unidad</w:t>
      </w:r>
      <w:r>
        <w:rPr>
          <w:color w:val="231F20"/>
          <w:spacing w:val="-12"/>
          <w:w w:val="105"/>
        </w:rPr>
        <w:t> </w:t>
      </w:r>
      <w:r>
        <w:rPr>
          <w:color w:val="231F20"/>
          <w:w w:val="105"/>
        </w:rPr>
        <w:t>existente;</w:t>
      </w:r>
      <w:r>
        <w:rPr>
          <w:color w:val="231F20"/>
          <w:spacing w:val="-12"/>
          <w:w w:val="105"/>
        </w:rPr>
        <w:t> </w:t>
      </w:r>
      <w:r>
        <w:rPr>
          <w:color w:val="231F20"/>
          <w:w w:val="105"/>
        </w:rPr>
        <w:t>restablecer</w:t>
      </w:r>
      <w:r>
        <w:rPr>
          <w:color w:val="231F20"/>
          <w:spacing w:val="-12"/>
          <w:w w:val="105"/>
        </w:rPr>
        <w:t> </w:t>
      </w:r>
      <w:r>
        <w:rPr>
          <w:color w:val="231F20"/>
          <w:w w:val="105"/>
        </w:rPr>
        <w:t>la</w:t>
      </w:r>
      <w:r>
        <w:rPr>
          <w:color w:val="231F20"/>
          <w:spacing w:val="-12"/>
          <w:w w:val="105"/>
        </w:rPr>
        <w:t> </w:t>
      </w:r>
      <w:r>
        <w:rPr>
          <w:color w:val="231F20"/>
          <w:w w:val="105"/>
        </w:rPr>
        <w:t>crónica</w:t>
      </w:r>
      <w:r>
        <w:rPr>
          <w:color w:val="231F20"/>
          <w:spacing w:val="-12"/>
          <w:w w:val="105"/>
        </w:rPr>
        <w:t> </w:t>
      </w:r>
      <w:r>
        <w:rPr>
          <w:color w:val="231F20"/>
          <w:spacing w:val="-3"/>
          <w:w w:val="105"/>
        </w:rPr>
        <w:t>mu-</w:t>
      </w:r>
    </w:p>
    <w:p>
      <w:pPr>
        <w:spacing w:after="0" w:line="285" w:lineRule="auto"/>
        <w:jc w:val="both"/>
        <w:sectPr>
          <w:footerReference w:type="default" r:id="rId365"/>
          <w:pgSz w:w="9640" w:h="12190"/>
          <w:pgMar w:footer="743" w:header="0" w:top="1120" w:bottom="940" w:left="740" w:right="720"/>
          <w:pgNumType w:start="160"/>
        </w:sectPr>
      </w:pPr>
    </w:p>
    <w:p>
      <w:pPr>
        <w:pStyle w:val="BodyText"/>
        <w:spacing w:before="3"/>
        <w:rPr>
          <w:sz w:val="11"/>
        </w:rPr>
      </w:pPr>
    </w:p>
    <w:p>
      <w:pPr>
        <w:pStyle w:val="BodyText"/>
        <w:spacing w:line="285" w:lineRule="auto" w:before="36"/>
        <w:ind w:left="110" w:right="108"/>
        <w:jc w:val="both"/>
      </w:pPr>
      <w:r>
        <w:rPr>
          <w:color w:val="231F20"/>
          <w:w w:val="105"/>
        </w:rPr>
        <w:t>nicipal</w:t>
      </w:r>
      <w:r>
        <w:rPr>
          <w:color w:val="231F20"/>
          <w:spacing w:val="-13"/>
          <w:w w:val="105"/>
        </w:rPr>
        <w:t> </w:t>
      </w:r>
      <w:r>
        <w:rPr>
          <w:color w:val="231F20"/>
          <w:w w:val="105"/>
        </w:rPr>
        <w:t>y</w:t>
      </w:r>
      <w:r>
        <w:rPr>
          <w:color w:val="231F20"/>
          <w:spacing w:val="-13"/>
          <w:w w:val="105"/>
        </w:rPr>
        <w:t> </w:t>
      </w:r>
      <w:r>
        <w:rPr>
          <w:color w:val="231F20"/>
          <w:w w:val="105"/>
        </w:rPr>
        <w:t>actualización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monografía</w:t>
      </w:r>
      <w:r>
        <w:rPr>
          <w:color w:val="231F20"/>
          <w:spacing w:val="-13"/>
          <w:w w:val="105"/>
        </w:rPr>
        <w:t> </w:t>
      </w:r>
      <w:r>
        <w:rPr>
          <w:color w:val="231F20"/>
          <w:w w:val="105"/>
        </w:rPr>
        <w:t>de</w:t>
      </w:r>
      <w:r>
        <w:rPr>
          <w:color w:val="231F20"/>
          <w:spacing w:val="-13"/>
          <w:w w:val="105"/>
        </w:rPr>
        <w:t> </w:t>
      </w:r>
      <w:r>
        <w:rPr>
          <w:color w:val="231F20"/>
          <w:spacing w:val="-4"/>
          <w:w w:val="105"/>
        </w:rPr>
        <w:t>Tejupilco;</w:t>
      </w:r>
      <w:r>
        <w:rPr>
          <w:color w:val="231F20"/>
          <w:spacing w:val="-13"/>
          <w:w w:val="105"/>
        </w:rPr>
        <w:t> </w:t>
      </w:r>
      <w:r>
        <w:rPr>
          <w:color w:val="231F20"/>
          <w:w w:val="105"/>
        </w:rPr>
        <w:t>construcción</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auditorio</w:t>
      </w:r>
      <w:r>
        <w:rPr>
          <w:color w:val="231F20"/>
          <w:spacing w:val="-13"/>
          <w:w w:val="105"/>
        </w:rPr>
        <w:t> </w:t>
      </w:r>
      <w:r>
        <w:rPr>
          <w:color w:val="231F20"/>
          <w:w w:val="105"/>
        </w:rPr>
        <w:t>cul- tural;</w:t>
      </w:r>
      <w:r>
        <w:rPr>
          <w:color w:val="231F20"/>
          <w:spacing w:val="-12"/>
          <w:w w:val="105"/>
        </w:rPr>
        <w:t> </w:t>
      </w:r>
      <w:r>
        <w:rPr>
          <w:color w:val="231F20"/>
          <w:w w:val="105"/>
        </w:rPr>
        <w:t>rescate</w:t>
      </w:r>
      <w:r>
        <w:rPr>
          <w:color w:val="231F20"/>
          <w:spacing w:val="-12"/>
          <w:w w:val="105"/>
        </w:rPr>
        <w:t> </w:t>
      </w:r>
      <w:r>
        <w:rPr>
          <w:color w:val="231F20"/>
          <w:w w:val="105"/>
        </w:rPr>
        <w:t>de</w:t>
      </w:r>
      <w:r>
        <w:rPr>
          <w:color w:val="231F20"/>
          <w:spacing w:val="-12"/>
          <w:w w:val="105"/>
        </w:rPr>
        <w:t> </w:t>
      </w:r>
      <w:r>
        <w:rPr>
          <w:color w:val="231F20"/>
          <w:w w:val="105"/>
        </w:rPr>
        <w:t>lugares</w:t>
      </w:r>
      <w:r>
        <w:rPr>
          <w:color w:val="231F20"/>
          <w:spacing w:val="-12"/>
          <w:w w:val="105"/>
        </w:rPr>
        <w:t> </w:t>
      </w:r>
      <w:r>
        <w:rPr>
          <w:color w:val="231F20"/>
          <w:w w:val="105"/>
        </w:rPr>
        <w:t>históricos</w:t>
      </w:r>
      <w:r>
        <w:rPr>
          <w:color w:val="231F20"/>
          <w:spacing w:val="-12"/>
          <w:w w:val="105"/>
        </w:rPr>
        <w:t> </w:t>
      </w:r>
      <w:r>
        <w:rPr>
          <w:color w:val="231F20"/>
          <w:w w:val="105"/>
        </w:rPr>
        <w:t>y</w:t>
      </w:r>
      <w:r>
        <w:rPr>
          <w:color w:val="231F20"/>
          <w:spacing w:val="-12"/>
          <w:w w:val="105"/>
        </w:rPr>
        <w:t> </w:t>
      </w:r>
      <w:r>
        <w:rPr>
          <w:color w:val="231F20"/>
          <w:w w:val="105"/>
        </w:rPr>
        <w:t>culturales</w:t>
      </w:r>
      <w:r>
        <w:rPr>
          <w:color w:val="231F20"/>
          <w:spacing w:val="-12"/>
          <w:w w:val="105"/>
        </w:rPr>
        <w:t> </w:t>
      </w:r>
      <w:r>
        <w:rPr>
          <w:color w:val="231F20"/>
          <w:w w:val="105"/>
        </w:rPr>
        <w:t>tales</w:t>
      </w:r>
      <w:r>
        <w:rPr>
          <w:color w:val="231F20"/>
          <w:spacing w:val="-12"/>
          <w:w w:val="105"/>
        </w:rPr>
        <w:t> </w:t>
      </w:r>
      <w:r>
        <w:rPr>
          <w:color w:val="231F20"/>
          <w:spacing w:val="-3"/>
          <w:w w:val="105"/>
        </w:rPr>
        <w:t>como:</w:t>
      </w:r>
      <w:r>
        <w:rPr>
          <w:color w:val="231F20"/>
          <w:spacing w:val="-12"/>
          <w:w w:val="105"/>
        </w:rPr>
        <w:t> </w:t>
      </w:r>
      <w:r>
        <w:rPr>
          <w:color w:val="231F20"/>
          <w:w w:val="105"/>
        </w:rPr>
        <w:t>La</w:t>
      </w:r>
      <w:r>
        <w:rPr>
          <w:color w:val="231F20"/>
          <w:spacing w:val="-12"/>
          <w:w w:val="105"/>
        </w:rPr>
        <w:t> </w:t>
      </w:r>
      <w:r>
        <w:rPr>
          <w:color w:val="231F20"/>
          <w:w w:val="105"/>
        </w:rPr>
        <w:t>casa</w:t>
      </w:r>
      <w:r>
        <w:rPr>
          <w:color w:val="231F20"/>
          <w:spacing w:val="-12"/>
          <w:w w:val="105"/>
        </w:rPr>
        <w:t> </w:t>
      </w:r>
      <w:r>
        <w:rPr>
          <w:color w:val="231F20"/>
          <w:spacing w:val="-3"/>
          <w:w w:val="105"/>
        </w:rPr>
        <w:t>donde</w:t>
      </w:r>
      <w:r>
        <w:rPr>
          <w:color w:val="231F20"/>
          <w:spacing w:val="-12"/>
          <w:w w:val="105"/>
        </w:rPr>
        <w:t> </w:t>
      </w:r>
      <w:r>
        <w:rPr>
          <w:color w:val="231F20"/>
          <w:w w:val="105"/>
        </w:rPr>
        <w:t>vivió</w:t>
      </w:r>
      <w:r>
        <w:rPr>
          <w:color w:val="231F20"/>
          <w:spacing w:val="-12"/>
          <w:w w:val="105"/>
        </w:rPr>
        <w:t> </w:t>
      </w:r>
      <w:r>
        <w:rPr>
          <w:color w:val="231F20"/>
          <w:w w:val="105"/>
        </w:rPr>
        <w:t>el</w:t>
      </w:r>
      <w:r>
        <w:rPr>
          <w:color w:val="231F20"/>
          <w:spacing w:val="-12"/>
          <w:w w:val="105"/>
        </w:rPr>
        <w:t> </w:t>
      </w:r>
      <w:r>
        <w:rPr>
          <w:color w:val="231F20"/>
          <w:w w:val="105"/>
        </w:rPr>
        <w:t>padre del</w:t>
      </w:r>
      <w:r>
        <w:rPr>
          <w:color w:val="231F20"/>
          <w:spacing w:val="-22"/>
          <w:w w:val="105"/>
        </w:rPr>
        <w:t> </w:t>
      </w:r>
      <w:r>
        <w:rPr>
          <w:color w:val="231F20"/>
          <w:w w:val="105"/>
        </w:rPr>
        <w:t>Cura</w:t>
      </w:r>
      <w:r>
        <w:rPr>
          <w:color w:val="231F20"/>
          <w:spacing w:val="-22"/>
          <w:w w:val="105"/>
        </w:rPr>
        <w:t> </w:t>
      </w:r>
      <w:r>
        <w:rPr>
          <w:color w:val="231F20"/>
          <w:w w:val="105"/>
        </w:rPr>
        <w:t>Hidalgo,</w:t>
      </w:r>
      <w:r>
        <w:rPr>
          <w:color w:val="231F20"/>
          <w:spacing w:val="-22"/>
          <w:w w:val="105"/>
        </w:rPr>
        <w:t> </w:t>
      </w:r>
      <w:r>
        <w:rPr>
          <w:color w:val="231F20"/>
          <w:w w:val="105"/>
        </w:rPr>
        <w:t>la</w:t>
      </w:r>
      <w:r>
        <w:rPr>
          <w:color w:val="231F20"/>
          <w:spacing w:val="-22"/>
          <w:w w:val="105"/>
        </w:rPr>
        <w:t> </w:t>
      </w:r>
      <w:r>
        <w:rPr>
          <w:color w:val="231F20"/>
          <w:w w:val="105"/>
        </w:rPr>
        <w:t>piedra</w:t>
      </w:r>
      <w:r>
        <w:rPr>
          <w:color w:val="231F20"/>
          <w:spacing w:val="-22"/>
          <w:w w:val="105"/>
        </w:rPr>
        <w:t> </w:t>
      </w:r>
      <w:r>
        <w:rPr>
          <w:color w:val="231F20"/>
          <w:w w:val="105"/>
        </w:rPr>
        <w:t>que</w:t>
      </w:r>
      <w:r>
        <w:rPr>
          <w:color w:val="231F20"/>
          <w:spacing w:val="-22"/>
          <w:w w:val="105"/>
        </w:rPr>
        <w:t> </w:t>
      </w:r>
      <w:r>
        <w:rPr>
          <w:color w:val="231F20"/>
          <w:w w:val="105"/>
        </w:rPr>
        <w:t>da</w:t>
      </w:r>
      <w:r>
        <w:rPr>
          <w:color w:val="231F20"/>
          <w:spacing w:val="-22"/>
          <w:w w:val="105"/>
        </w:rPr>
        <w:t> </w:t>
      </w:r>
      <w:r>
        <w:rPr>
          <w:color w:val="231F20"/>
          <w:w w:val="105"/>
        </w:rPr>
        <w:t>origen</w:t>
      </w:r>
      <w:r>
        <w:rPr>
          <w:color w:val="231F20"/>
          <w:spacing w:val="-22"/>
          <w:w w:val="105"/>
        </w:rPr>
        <w:t> </w:t>
      </w:r>
      <w:r>
        <w:rPr>
          <w:color w:val="231F20"/>
          <w:spacing w:val="2"/>
          <w:w w:val="105"/>
        </w:rPr>
        <w:t>al</w:t>
      </w:r>
      <w:r>
        <w:rPr>
          <w:color w:val="231F20"/>
          <w:spacing w:val="-22"/>
          <w:w w:val="105"/>
        </w:rPr>
        <w:t> </w:t>
      </w:r>
      <w:r>
        <w:rPr>
          <w:color w:val="231F20"/>
          <w:w w:val="105"/>
        </w:rPr>
        <w:t>toponimio</w:t>
      </w:r>
      <w:r>
        <w:rPr>
          <w:color w:val="231F20"/>
          <w:spacing w:val="-22"/>
          <w:w w:val="105"/>
        </w:rPr>
        <w:t> </w:t>
      </w:r>
      <w:r>
        <w:rPr>
          <w:color w:val="231F20"/>
          <w:w w:val="105"/>
        </w:rPr>
        <w:t>del</w:t>
      </w:r>
      <w:r>
        <w:rPr>
          <w:color w:val="231F20"/>
          <w:spacing w:val="-22"/>
          <w:w w:val="105"/>
        </w:rPr>
        <w:t> </w:t>
      </w:r>
      <w:r>
        <w:rPr>
          <w:color w:val="231F20"/>
          <w:w w:val="105"/>
        </w:rPr>
        <w:t>municipio,</w:t>
      </w:r>
      <w:r>
        <w:rPr>
          <w:color w:val="231F20"/>
          <w:spacing w:val="-22"/>
          <w:w w:val="105"/>
        </w:rPr>
        <w:t> </w:t>
      </w:r>
      <w:r>
        <w:rPr>
          <w:color w:val="231F20"/>
          <w:w w:val="105"/>
        </w:rPr>
        <w:t>la</w:t>
      </w:r>
      <w:r>
        <w:rPr>
          <w:color w:val="231F20"/>
          <w:spacing w:val="-22"/>
          <w:w w:val="105"/>
        </w:rPr>
        <w:t> </w:t>
      </w:r>
      <w:r>
        <w:rPr>
          <w:color w:val="231F20"/>
          <w:w w:val="105"/>
        </w:rPr>
        <w:t>feria</w:t>
      </w:r>
      <w:r>
        <w:rPr>
          <w:color w:val="231F20"/>
          <w:spacing w:val="-22"/>
          <w:w w:val="105"/>
        </w:rPr>
        <w:t> </w:t>
      </w:r>
      <w:r>
        <w:rPr>
          <w:color w:val="231F20"/>
          <w:w w:val="105"/>
        </w:rPr>
        <w:t>tradicional de</w:t>
      </w:r>
      <w:r>
        <w:rPr>
          <w:color w:val="231F20"/>
          <w:spacing w:val="-21"/>
          <w:w w:val="105"/>
        </w:rPr>
        <w:t> </w:t>
      </w:r>
      <w:r>
        <w:rPr>
          <w:color w:val="231F20"/>
          <w:spacing w:val="-4"/>
          <w:w w:val="105"/>
        </w:rPr>
        <w:t>Tejupilco,</w:t>
      </w:r>
      <w:r>
        <w:rPr>
          <w:color w:val="231F20"/>
          <w:spacing w:val="-21"/>
          <w:w w:val="105"/>
        </w:rPr>
        <w:t> </w:t>
      </w:r>
      <w:r>
        <w:rPr>
          <w:color w:val="231F20"/>
          <w:w w:val="105"/>
        </w:rPr>
        <w:t>entre</w:t>
      </w:r>
      <w:r>
        <w:rPr>
          <w:color w:val="231F20"/>
          <w:spacing w:val="-21"/>
          <w:w w:val="105"/>
        </w:rPr>
        <w:t> </w:t>
      </w:r>
      <w:r>
        <w:rPr>
          <w:color w:val="231F20"/>
          <w:w w:val="105"/>
        </w:rPr>
        <w:t>otros</w:t>
      </w:r>
      <w:r>
        <w:rPr>
          <w:color w:val="231F20"/>
          <w:spacing w:val="-21"/>
          <w:w w:val="105"/>
        </w:rPr>
        <w:t> </w:t>
      </w:r>
      <w:r>
        <w:rPr>
          <w:color w:val="231F20"/>
          <w:spacing w:val="-7"/>
          <w:w w:val="105"/>
        </w:rPr>
        <w:t>y,</w:t>
      </w:r>
      <w:r>
        <w:rPr>
          <w:color w:val="231F20"/>
          <w:spacing w:val="-21"/>
          <w:w w:val="105"/>
        </w:rPr>
        <w:t> </w:t>
      </w:r>
      <w:r>
        <w:rPr>
          <w:color w:val="231F20"/>
          <w:w w:val="105"/>
        </w:rPr>
        <w:t>finalmente,</w:t>
      </w:r>
      <w:r>
        <w:rPr>
          <w:color w:val="231F20"/>
          <w:spacing w:val="-21"/>
          <w:w w:val="105"/>
        </w:rPr>
        <w:t> </w:t>
      </w:r>
      <w:r>
        <w:rPr>
          <w:color w:val="231F20"/>
          <w:w w:val="105"/>
        </w:rPr>
        <w:t>buscar</w:t>
      </w:r>
      <w:r>
        <w:rPr>
          <w:color w:val="231F20"/>
          <w:spacing w:val="-21"/>
          <w:w w:val="105"/>
        </w:rPr>
        <w:t> </w:t>
      </w:r>
      <w:r>
        <w:rPr>
          <w:color w:val="231F20"/>
          <w:w w:val="105"/>
        </w:rPr>
        <w:t>actividades</w:t>
      </w:r>
      <w:r>
        <w:rPr>
          <w:color w:val="231F20"/>
          <w:spacing w:val="-21"/>
          <w:w w:val="105"/>
        </w:rPr>
        <w:t> </w:t>
      </w:r>
      <w:r>
        <w:rPr>
          <w:color w:val="231F20"/>
          <w:w w:val="105"/>
        </w:rPr>
        <w:t>dominicales</w:t>
      </w:r>
      <w:r>
        <w:rPr>
          <w:color w:val="231F20"/>
          <w:spacing w:val="-21"/>
          <w:w w:val="105"/>
        </w:rPr>
        <w:t> </w:t>
      </w:r>
      <w:r>
        <w:rPr>
          <w:color w:val="231F20"/>
          <w:w w:val="105"/>
        </w:rPr>
        <w:t>producidas</w:t>
      </w:r>
      <w:r>
        <w:rPr>
          <w:color w:val="231F20"/>
          <w:spacing w:val="-21"/>
          <w:w w:val="105"/>
        </w:rPr>
        <w:t> </w:t>
      </w:r>
      <w:r>
        <w:rPr>
          <w:color w:val="231F20"/>
          <w:w w:val="105"/>
        </w:rPr>
        <w:t>por</w:t>
      </w:r>
      <w:r>
        <w:rPr>
          <w:color w:val="231F20"/>
          <w:spacing w:val="-21"/>
          <w:w w:val="105"/>
        </w:rPr>
        <w:t> </w:t>
      </w:r>
      <w:r>
        <w:rPr>
          <w:color w:val="231F20"/>
          <w:w w:val="105"/>
        </w:rPr>
        <w:t>la Casa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Cultura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Instituto</w:t>
      </w:r>
      <w:r>
        <w:rPr>
          <w:color w:val="231F20"/>
          <w:spacing w:val="-7"/>
          <w:w w:val="105"/>
        </w:rPr>
        <w:t> </w:t>
      </w:r>
      <w:r>
        <w:rPr>
          <w:color w:val="231F20"/>
          <w:w w:val="105"/>
        </w:rPr>
        <w:t>Mexiquense</w:t>
      </w:r>
      <w:r>
        <w:rPr>
          <w:color w:val="231F20"/>
          <w:spacing w:val="-7"/>
          <w:w w:val="105"/>
        </w:rPr>
        <w:t> </w:t>
      </w:r>
      <w:r>
        <w:rPr>
          <w:color w:val="231F20"/>
          <w:w w:val="105"/>
        </w:rPr>
        <w:t>de</w:t>
      </w:r>
      <w:r>
        <w:rPr>
          <w:color w:val="231F20"/>
          <w:spacing w:val="-7"/>
          <w:w w:val="105"/>
        </w:rPr>
        <w:t> </w:t>
      </w:r>
      <w:r>
        <w:rPr>
          <w:color w:val="231F20"/>
          <w:w w:val="105"/>
        </w:rPr>
        <w:t>Cultura.</w:t>
      </w:r>
    </w:p>
    <w:p>
      <w:pPr>
        <w:pStyle w:val="BodyText"/>
        <w:spacing w:before="1"/>
        <w:rPr>
          <w:sz w:val="26"/>
        </w:rPr>
      </w:pPr>
    </w:p>
    <w:p>
      <w:pPr>
        <w:pStyle w:val="BodyText"/>
        <w:spacing w:line="285" w:lineRule="auto"/>
        <w:ind w:left="110" w:right="106"/>
        <w:jc w:val="both"/>
      </w:pPr>
      <w:r>
        <w:rPr>
          <w:color w:val="231F20"/>
          <w:w w:val="105"/>
        </w:rPr>
        <w:t>Las</w:t>
      </w:r>
      <w:r>
        <w:rPr>
          <w:color w:val="231F20"/>
          <w:spacing w:val="-6"/>
          <w:w w:val="105"/>
        </w:rPr>
        <w:t> </w:t>
      </w:r>
      <w:r>
        <w:rPr>
          <w:color w:val="231F20"/>
          <w:spacing w:val="-3"/>
          <w:w w:val="105"/>
        </w:rPr>
        <w:t>mejoras</w:t>
      </w:r>
      <w:r>
        <w:rPr>
          <w:color w:val="231F20"/>
          <w:spacing w:val="-6"/>
          <w:w w:val="105"/>
        </w:rPr>
        <w:t> </w:t>
      </w:r>
      <w:r>
        <w:rPr>
          <w:color w:val="231F20"/>
          <w:w w:val="105"/>
        </w:rPr>
        <w:t>se</w:t>
      </w:r>
      <w:r>
        <w:rPr>
          <w:color w:val="231F20"/>
          <w:spacing w:val="-6"/>
          <w:w w:val="105"/>
        </w:rPr>
        <w:t> </w:t>
      </w:r>
      <w:r>
        <w:rPr>
          <w:color w:val="231F20"/>
          <w:w w:val="105"/>
        </w:rPr>
        <w:t>notan</w:t>
      </w:r>
      <w:r>
        <w:rPr>
          <w:color w:val="231F20"/>
          <w:spacing w:val="-6"/>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apartado</w:t>
      </w:r>
      <w:r>
        <w:rPr>
          <w:color w:val="231F20"/>
          <w:spacing w:val="-6"/>
          <w:w w:val="105"/>
        </w:rPr>
        <w:t> </w:t>
      </w:r>
      <w:r>
        <w:rPr>
          <w:color w:val="231F20"/>
          <w:spacing w:val="-3"/>
          <w:w w:val="105"/>
        </w:rPr>
        <w:t>puesto</w:t>
      </w:r>
      <w:r>
        <w:rPr>
          <w:color w:val="231F20"/>
          <w:spacing w:val="-6"/>
          <w:w w:val="105"/>
        </w:rPr>
        <w:t> </w:t>
      </w:r>
      <w:r>
        <w:rPr>
          <w:color w:val="231F20"/>
          <w:spacing w:val="-3"/>
          <w:w w:val="105"/>
        </w:rPr>
        <w:t>que</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spacing w:val="-3"/>
          <w:w w:val="105"/>
        </w:rPr>
        <w:t>logrado</w:t>
      </w:r>
      <w:r>
        <w:rPr>
          <w:color w:val="231F20"/>
          <w:spacing w:val="-6"/>
          <w:w w:val="105"/>
        </w:rPr>
        <w:t> </w:t>
      </w:r>
      <w:r>
        <w:rPr>
          <w:color w:val="231F20"/>
          <w:w w:val="105"/>
        </w:rPr>
        <w:t>avanzar</w:t>
      </w:r>
      <w:r>
        <w:rPr>
          <w:color w:val="231F20"/>
          <w:spacing w:val="-6"/>
          <w:w w:val="105"/>
        </w:rPr>
        <w:t> </w:t>
      </w:r>
      <w:r>
        <w:rPr>
          <w:color w:val="231F20"/>
          <w:w w:val="105"/>
        </w:rPr>
        <w:t>en</w:t>
      </w:r>
      <w:r>
        <w:rPr>
          <w:color w:val="231F20"/>
          <w:spacing w:val="-6"/>
          <w:w w:val="105"/>
        </w:rPr>
        <w:t> </w:t>
      </w:r>
      <w:r>
        <w:rPr>
          <w:color w:val="231F20"/>
          <w:spacing w:val="-3"/>
          <w:w w:val="105"/>
        </w:rPr>
        <w:t>rubros</w:t>
      </w:r>
      <w:r>
        <w:rPr>
          <w:color w:val="231F20"/>
          <w:spacing w:val="-6"/>
          <w:w w:val="105"/>
        </w:rPr>
        <w:t> </w:t>
      </w:r>
      <w:r>
        <w:rPr>
          <w:color w:val="231F20"/>
          <w:spacing w:val="-4"/>
          <w:w w:val="105"/>
        </w:rPr>
        <w:t>como </w:t>
      </w:r>
      <w:r>
        <w:rPr>
          <w:color w:val="231F20"/>
          <w:w w:val="105"/>
        </w:rPr>
        <w:t>la</w:t>
      </w:r>
      <w:r>
        <w:rPr>
          <w:color w:val="231F20"/>
          <w:spacing w:val="-23"/>
          <w:w w:val="105"/>
        </w:rPr>
        <w:t> </w:t>
      </w:r>
      <w:r>
        <w:rPr>
          <w:color w:val="231F20"/>
          <w:w w:val="105"/>
        </w:rPr>
        <w:t>salud</w:t>
      </w:r>
      <w:r>
        <w:rPr>
          <w:color w:val="231F20"/>
          <w:spacing w:val="-23"/>
          <w:w w:val="105"/>
        </w:rPr>
        <w:t> </w:t>
      </w:r>
      <w:r>
        <w:rPr>
          <w:color w:val="231F20"/>
          <w:spacing w:val="-3"/>
          <w:w w:val="105"/>
        </w:rPr>
        <w:t>con</w:t>
      </w:r>
      <w:r>
        <w:rPr>
          <w:color w:val="231F20"/>
          <w:spacing w:val="-23"/>
          <w:w w:val="105"/>
        </w:rPr>
        <w:t> </w:t>
      </w:r>
      <w:r>
        <w:rPr>
          <w:color w:val="231F20"/>
          <w:w w:val="105"/>
        </w:rPr>
        <w:t>una</w:t>
      </w:r>
      <w:r>
        <w:rPr>
          <w:color w:val="231F20"/>
          <w:spacing w:val="-23"/>
          <w:w w:val="105"/>
        </w:rPr>
        <w:t> </w:t>
      </w:r>
      <w:r>
        <w:rPr>
          <w:color w:val="231F20"/>
          <w:w w:val="105"/>
        </w:rPr>
        <w:t>Caravana</w:t>
      </w:r>
      <w:r>
        <w:rPr>
          <w:color w:val="231F20"/>
          <w:spacing w:val="-23"/>
          <w:w w:val="105"/>
        </w:rPr>
        <w:t> </w:t>
      </w:r>
      <w:r>
        <w:rPr>
          <w:color w:val="231F20"/>
          <w:spacing w:val="-3"/>
          <w:w w:val="105"/>
        </w:rPr>
        <w:t>Médico</w:t>
      </w:r>
      <w:r>
        <w:rPr>
          <w:color w:val="231F20"/>
          <w:spacing w:val="-23"/>
          <w:w w:val="105"/>
        </w:rPr>
        <w:t> </w:t>
      </w:r>
      <w:r>
        <w:rPr>
          <w:color w:val="231F20"/>
          <w:w w:val="105"/>
        </w:rPr>
        <w:t>Asistencial</w:t>
      </w:r>
      <w:r>
        <w:rPr>
          <w:color w:val="231F20"/>
          <w:spacing w:val="-23"/>
          <w:w w:val="105"/>
        </w:rPr>
        <w:t> </w:t>
      </w:r>
      <w:r>
        <w:rPr>
          <w:color w:val="231F20"/>
          <w:spacing w:val="-3"/>
          <w:w w:val="105"/>
        </w:rPr>
        <w:t>que</w:t>
      </w:r>
      <w:r>
        <w:rPr>
          <w:color w:val="231F20"/>
          <w:spacing w:val="-23"/>
          <w:w w:val="105"/>
        </w:rPr>
        <w:t> </w:t>
      </w:r>
      <w:r>
        <w:rPr>
          <w:color w:val="231F20"/>
          <w:w w:val="105"/>
        </w:rPr>
        <w:t>ofrece</w:t>
      </w:r>
      <w:r>
        <w:rPr>
          <w:color w:val="231F20"/>
          <w:spacing w:val="-23"/>
          <w:w w:val="105"/>
        </w:rPr>
        <w:t> </w:t>
      </w:r>
      <w:r>
        <w:rPr>
          <w:color w:val="231F20"/>
          <w:w w:val="105"/>
        </w:rPr>
        <w:t>servicios</w:t>
      </w:r>
      <w:r>
        <w:rPr>
          <w:color w:val="231F20"/>
          <w:spacing w:val="-23"/>
          <w:w w:val="105"/>
        </w:rPr>
        <w:t> </w:t>
      </w:r>
      <w:r>
        <w:rPr>
          <w:color w:val="231F20"/>
          <w:spacing w:val="-3"/>
          <w:w w:val="105"/>
        </w:rPr>
        <w:t>médico-dentales,</w:t>
      </w:r>
      <w:r>
        <w:rPr>
          <w:color w:val="231F20"/>
          <w:spacing w:val="-23"/>
          <w:w w:val="105"/>
        </w:rPr>
        <w:t> </w:t>
      </w:r>
      <w:r>
        <w:rPr>
          <w:color w:val="231F20"/>
          <w:spacing w:val="-3"/>
          <w:w w:val="105"/>
        </w:rPr>
        <w:t>ade- </w:t>
      </w:r>
      <w:r>
        <w:rPr>
          <w:color w:val="231F20"/>
          <w:w w:val="105"/>
        </w:rPr>
        <w:t>más de </w:t>
      </w:r>
      <w:r>
        <w:rPr>
          <w:color w:val="231F20"/>
          <w:spacing w:val="-3"/>
          <w:w w:val="105"/>
        </w:rPr>
        <w:t>jornadas </w:t>
      </w:r>
      <w:r>
        <w:rPr>
          <w:color w:val="231F20"/>
          <w:w w:val="105"/>
        </w:rPr>
        <w:t>de salud. Destaca la </w:t>
      </w:r>
      <w:r>
        <w:rPr>
          <w:color w:val="231F20"/>
          <w:spacing w:val="-3"/>
          <w:w w:val="105"/>
        </w:rPr>
        <w:t>fundación del Centro </w:t>
      </w:r>
      <w:r>
        <w:rPr>
          <w:color w:val="231F20"/>
          <w:w w:val="105"/>
        </w:rPr>
        <w:t>de </w:t>
      </w:r>
      <w:r>
        <w:rPr>
          <w:color w:val="231F20"/>
          <w:spacing w:val="-4"/>
          <w:w w:val="105"/>
        </w:rPr>
        <w:t>Prevención </w:t>
      </w:r>
      <w:r>
        <w:rPr>
          <w:color w:val="231F20"/>
          <w:w w:val="105"/>
        </w:rPr>
        <w:t>y </w:t>
      </w:r>
      <w:r>
        <w:rPr>
          <w:color w:val="231F20"/>
          <w:spacing w:val="-4"/>
          <w:w w:val="105"/>
        </w:rPr>
        <w:t>Atención </w:t>
      </w:r>
      <w:r>
        <w:rPr>
          <w:color w:val="231F20"/>
          <w:w w:val="105"/>
        </w:rPr>
        <w:t>al Maltrato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Familia</w:t>
      </w:r>
      <w:r>
        <w:rPr>
          <w:color w:val="231F20"/>
          <w:spacing w:val="-18"/>
          <w:w w:val="105"/>
        </w:rPr>
        <w:t> </w:t>
      </w:r>
      <w:r>
        <w:rPr>
          <w:color w:val="231F20"/>
          <w:spacing w:val="-5"/>
          <w:w w:val="105"/>
        </w:rPr>
        <w:t>(CEPAMIF).</w:t>
      </w:r>
      <w:r>
        <w:rPr>
          <w:color w:val="231F20"/>
          <w:spacing w:val="-18"/>
          <w:w w:val="105"/>
        </w:rPr>
        <w:t> </w:t>
      </w:r>
      <w:r>
        <w:rPr>
          <w:color w:val="231F20"/>
          <w:spacing w:val="-3"/>
          <w:w w:val="105"/>
        </w:rPr>
        <w:t>Respecto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spacing w:val="-4"/>
          <w:w w:val="105"/>
        </w:rPr>
        <w:t>educación</w:t>
      </w:r>
      <w:r>
        <w:rPr>
          <w:color w:val="231F20"/>
          <w:spacing w:val="-18"/>
          <w:w w:val="105"/>
        </w:rPr>
        <w:t> </w:t>
      </w:r>
      <w:r>
        <w:rPr>
          <w:color w:val="231F20"/>
          <w:w w:val="105"/>
        </w:rPr>
        <w:t>se</w:t>
      </w:r>
      <w:r>
        <w:rPr>
          <w:color w:val="231F20"/>
          <w:spacing w:val="-18"/>
          <w:w w:val="105"/>
        </w:rPr>
        <w:t> </w:t>
      </w:r>
      <w:r>
        <w:rPr>
          <w:color w:val="231F20"/>
          <w:w w:val="105"/>
        </w:rPr>
        <w:t>reparten</w:t>
      </w:r>
      <w:r>
        <w:rPr>
          <w:color w:val="231F20"/>
          <w:spacing w:val="-18"/>
          <w:w w:val="105"/>
        </w:rPr>
        <w:t> </w:t>
      </w:r>
      <w:r>
        <w:rPr>
          <w:color w:val="231F20"/>
          <w:spacing w:val="-3"/>
          <w:w w:val="105"/>
        </w:rPr>
        <w:t>paquetes</w:t>
      </w:r>
      <w:r>
        <w:rPr>
          <w:color w:val="231F20"/>
          <w:spacing w:val="-18"/>
          <w:w w:val="105"/>
        </w:rPr>
        <w:t> </w:t>
      </w:r>
      <w:r>
        <w:rPr>
          <w:color w:val="231F20"/>
          <w:w w:val="105"/>
        </w:rPr>
        <w:t>de</w:t>
      </w:r>
      <w:r>
        <w:rPr>
          <w:color w:val="231F20"/>
          <w:spacing w:val="-18"/>
          <w:w w:val="105"/>
        </w:rPr>
        <w:t> </w:t>
      </w:r>
      <w:r>
        <w:rPr>
          <w:color w:val="231F20"/>
          <w:w w:val="105"/>
        </w:rPr>
        <w:t>útiles </w:t>
      </w:r>
      <w:r>
        <w:rPr>
          <w:color w:val="231F20"/>
          <w:spacing w:val="-3"/>
          <w:w w:val="105"/>
        </w:rPr>
        <w:t>escolares</w:t>
      </w:r>
      <w:r>
        <w:rPr>
          <w:color w:val="231F20"/>
          <w:spacing w:val="-26"/>
          <w:w w:val="105"/>
        </w:rPr>
        <w:t> </w:t>
      </w:r>
      <w:r>
        <w:rPr>
          <w:color w:val="231F20"/>
          <w:spacing w:val="-3"/>
          <w:w w:val="105"/>
        </w:rPr>
        <w:t>además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4"/>
          <w:w w:val="105"/>
        </w:rPr>
        <w:t>creación</w:t>
      </w:r>
      <w:r>
        <w:rPr>
          <w:color w:val="231F20"/>
          <w:spacing w:val="-26"/>
          <w:w w:val="105"/>
        </w:rPr>
        <w:t> </w:t>
      </w:r>
      <w:r>
        <w:rPr>
          <w:color w:val="231F20"/>
          <w:w w:val="105"/>
        </w:rPr>
        <w:t>de</w:t>
      </w:r>
      <w:r>
        <w:rPr>
          <w:color w:val="231F20"/>
          <w:spacing w:val="-26"/>
          <w:w w:val="105"/>
        </w:rPr>
        <w:t> </w:t>
      </w:r>
      <w:r>
        <w:rPr>
          <w:color w:val="231F20"/>
          <w:w w:val="105"/>
        </w:rPr>
        <w:t>un</w:t>
      </w:r>
      <w:r>
        <w:rPr>
          <w:color w:val="231F20"/>
          <w:spacing w:val="-26"/>
          <w:w w:val="105"/>
        </w:rPr>
        <w:t> </w:t>
      </w:r>
      <w:r>
        <w:rPr>
          <w:color w:val="231F20"/>
          <w:w w:val="105"/>
        </w:rPr>
        <w:t>Programa</w:t>
      </w:r>
      <w:r>
        <w:rPr>
          <w:color w:val="231F20"/>
          <w:spacing w:val="-26"/>
          <w:w w:val="105"/>
        </w:rPr>
        <w:t> </w:t>
      </w:r>
      <w:r>
        <w:rPr>
          <w:color w:val="231F20"/>
          <w:w w:val="105"/>
        </w:rPr>
        <w:t>de</w:t>
      </w:r>
      <w:r>
        <w:rPr>
          <w:color w:val="231F20"/>
          <w:spacing w:val="-26"/>
          <w:w w:val="105"/>
        </w:rPr>
        <w:t> </w:t>
      </w:r>
      <w:r>
        <w:rPr>
          <w:color w:val="231F20"/>
          <w:spacing w:val="-5"/>
          <w:w w:val="105"/>
        </w:rPr>
        <w:t>Fomento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spacing w:val="-4"/>
          <w:w w:val="105"/>
        </w:rPr>
        <w:t>Educación</w:t>
      </w:r>
      <w:r>
        <w:rPr>
          <w:color w:val="231F20"/>
          <w:spacing w:val="-26"/>
          <w:w w:val="105"/>
        </w:rPr>
        <w:t> </w:t>
      </w:r>
      <w:r>
        <w:rPr>
          <w:color w:val="231F20"/>
          <w:w w:val="105"/>
        </w:rPr>
        <w:t>Extraescolar</w:t>
      </w:r>
      <w:r>
        <w:rPr>
          <w:color w:val="231F20"/>
          <w:spacing w:val="-26"/>
          <w:w w:val="105"/>
        </w:rPr>
        <w:t> </w:t>
      </w:r>
      <w:r>
        <w:rPr>
          <w:color w:val="231F20"/>
          <w:w w:val="105"/>
        </w:rPr>
        <w:t>y de</w:t>
      </w:r>
      <w:r>
        <w:rPr>
          <w:color w:val="231F20"/>
          <w:spacing w:val="-15"/>
          <w:w w:val="105"/>
        </w:rPr>
        <w:t> </w:t>
      </w:r>
      <w:r>
        <w:rPr>
          <w:color w:val="231F20"/>
          <w:spacing w:val="-3"/>
          <w:w w:val="105"/>
        </w:rPr>
        <w:t>adultos</w:t>
      </w:r>
      <w:r>
        <w:rPr>
          <w:color w:val="231F20"/>
          <w:spacing w:val="-15"/>
          <w:w w:val="105"/>
        </w:rPr>
        <w:t> </w:t>
      </w:r>
      <w:r>
        <w:rPr>
          <w:color w:val="231F20"/>
          <w:w w:val="105"/>
        </w:rPr>
        <w:t>en</w:t>
      </w:r>
      <w:r>
        <w:rPr>
          <w:color w:val="231F20"/>
          <w:spacing w:val="-15"/>
          <w:w w:val="105"/>
        </w:rPr>
        <w:t> </w:t>
      </w:r>
      <w:r>
        <w:rPr>
          <w:color w:val="231F20"/>
          <w:spacing w:val="-4"/>
          <w:w w:val="105"/>
        </w:rPr>
        <w:t>donde</w:t>
      </w:r>
      <w:r>
        <w:rPr>
          <w:color w:val="231F20"/>
          <w:spacing w:val="-15"/>
          <w:w w:val="105"/>
        </w:rPr>
        <w:t> </w:t>
      </w:r>
      <w:r>
        <w:rPr>
          <w:color w:val="231F20"/>
          <w:w w:val="105"/>
        </w:rPr>
        <w:t>participan</w:t>
      </w:r>
      <w:r>
        <w:rPr>
          <w:color w:val="231F20"/>
          <w:spacing w:val="-15"/>
          <w:w w:val="105"/>
        </w:rPr>
        <w:t> </w:t>
      </w:r>
      <w:r>
        <w:rPr>
          <w:color w:val="231F20"/>
          <w:spacing w:val="-3"/>
          <w:w w:val="105"/>
        </w:rPr>
        <w:t>1,573</w:t>
      </w:r>
      <w:r>
        <w:rPr>
          <w:color w:val="231F20"/>
          <w:spacing w:val="-15"/>
          <w:w w:val="105"/>
        </w:rPr>
        <w:t> </w:t>
      </w:r>
      <w:r>
        <w:rPr>
          <w:color w:val="231F20"/>
          <w:w w:val="105"/>
        </w:rPr>
        <w:t>alumnos</w:t>
      </w:r>
      <w:r>
        <w:rPr>
          <w:color w:val="231F20"/>
          <w:spacing w:val="-15"/>
          <w:w w:val="105"/>
        </w:rPr>
        <w:t> </w:t>
      </w:r>
      <w:r>
        <w:rPr>
          <w:color w:val="231F20"/>
          <w:w w:val="105"/>
        </w:rPr>
        <w:t>en</w:t>
      </w:r>
      <w:r>
        <w:rPr>
          <w:color w:val="231F20"/>
          <w:spacing w:val="-15"/>
          <w:w w:val="105"/>
        </w:rPr>
        <w:t> </w:t>
      </w:r>
      <w:r>
        <w:rPr>
          <w:color w:val="231F20"/>
          <w:w w:val="105"/>
        </w:rPr>
        <w:t>4</w:t>
      </w:r>
      <w:r>
        <w:rPr>
          <w:color w:val="231F20"/>
          <w:spacing w:val="-15"/>
          <w:w w:val="105"/>
        </w:rPr>
        <w:t> </w:t>
      </w:r>
      <w:r>
        <w:rPr>
          <w:color w:val="231F20"/>
          <w:spacing w:val="-3"/>
          <w:w w:val="105"/>
        </w:rPr>
        <w:t>centros</w:t>
      </w:r>
      <w:r>
        <w:rPr>
          <w:color w:val="231F20"/>
          <w:spacing w:val="-15"/>
          <w:w w:val="105"/>
        </w:rPr>
        <w:t> </w:t>
      </w:r>
      <w:r>
        <w:rPr>
          <w:color w:val="231F20"/>
          <w:w w:val="105"/>
        </w:rPr>
        <w:t>Comunitarios</w:t>
      </w:r>
      <w:r>
        <w:rPr>
          <w:color w:val="231F20"/>
          <w:spacing w:val="-15"/>
          <w:w w:val="105"/>
        </w:rPr>
        <w:t> </w:t>
      </w:r>
      <w:r>
        <w:rPr>
          <w:color w:val="231F20"/>
          <w:w w:val="105"/>
        </w:rPr>
        <w:t>de</w:t>
      </w:r>
      <w:r>
        <w:rPr>
          <w:color w:val="231F20"/>
          <w:spacing w:val="-15"/>
          <w:w w:val="105"/>
        </w:rPr>
        <w:t> </w:t>
      </w:r>
      <w:r>
        <w:rPr>
          <w:color w:val="231F20"/>
          <w:spacing w:val="-3"/>
          <w:w w:val="105"/>
        </w:rPr>
        <w:t>Aprendizaje </w:t>
      </w:r>
      <w:r>
        <w:rPr>
          <w:color w:val="231F20"/>
          <w:w w:val="105"/>
        </w:rPr>
        <w:t>y se </w:t>
      </w:r>
      <w:r>
        <w:rPr>
          <w:color w:val="231F20"/>
          <w:spacing w:val="-3"/>
          <w:w w:val="105"/>
        </w:rPr>
        <w:t>tienen </w:t>
      </w:r>
      <w:r>
        <w:rPr>
          <w:color w:val="231F20"/>
          <w:w w:val="105"/>
        </w:rPr>
        <w:t>200 alumnos inscritos en 3 </w:t>
      </w:r>
      <w:r>
        <w:rPr>
          <w:color w:val="231F20"/>
          <w:spacing w:val="-3"/>
          <w:w w:val="105"/>
        </w:rPr>
        <w:t>Centros </w:t>
      </w:r>
      <w:r>
        <w:rPr>
          <w:color w:val="231F20"/>
          <w:w w:val="105"/>
        </w:rPr>
        <w:t>de Asesoría</w:t>
      </w:r>
      <w:r>
        <w:rPr>
          <w:color w:val="231F20"/>
          <w:spacing w:val="-39"/>
          <w:w w:val="105"/>
        </w:rPr>
        <w:t> </w:t>
      </w:r>
      <w:r>
        <w:rPr>
          <w:color w:val="231F20"/>
          <w:spacing w:val="-3"/>
          <w:w w:val="105"/>
        </w:rPr>
        <w:t>(Preparatoria </w:t>
      </w:r>
      <w:r>
        <w:rPr>
          <w:color w:val="231F20"/>
          <w:spacing w:val="-4"/>
          <w:w w:val="105"/>
        </w:rPr>
        <w:t>Abierta); </w:t>
      </w:r>
      <w:r>
        <w:rPr>
          <w:color w:val="231F20"/>
          <w:w w:val="105"/>
        </w:rPr>
        <w:t>tam- </w:t>
      </w:r>
      <w:r>
        <w:rPr>
          <w:color w:val="231F20"/>
          <w:spacing w:val="-4"/>
          <w:w w:val="105"/>
        </w:rPr>
        <w:t>bién</w:t>
      </w:r>
      <w:r>
        <w:rPr>
          <w:color w:val="231F20"/>
          <w:spacing w:val="-23"/>
          <w:w w:val="105"/>
        </w:rPr>
        <w:t> </w:t>
      </w:r>
      <w:r>
        <w:rPr>
          <w:color w:val="231F20"/>
          <w:w w:val="105"/>
        </w:rPr>
        <w:t>se</w:t>
      </w:r>
      <w:r>
        <w:rPr>
          <w:color w:val="231F20"/>
          <w:spacing w:val="-23"/>
          <w:w w:val="105"/>
        </w:rPr>
        <w:t> </w:t>
      </w:r>
      <w:r>
        <w:rPr>
          <w:color w:val="231F20"/>
          <w:w w:val="105"/>
        </w:rPr>
        <w:t>realizan</w:t>
      </w:r>
      <w:r>
        <w:rPr>
          <w:color w:val="231F20"/>
          <w:spacing w:val="-23"/>
          <w:w w:val="105"/>
        </w:rPr>
        <w:t> </w:t>
      </w:r>
      <w:r>
        <w:rPr>
          <w:color w:val="231F20"/>
          <w:spacing w:val="-3"/>
          <w:w w:val="105"/>
        </w:rPr>
        <w:t>actividades</w:t>
      </w:r>
      <w:r>
        <w:rPr>
          <w:color w:val="231F20"/>
          <w:spacing w:val="-23"/>
          <w:w w:val="105"/>
        </w:rPr>
        <w:t> </w:t>
      </w:r>
      <w:r>
        <w:rPr>
          <w:color w:val="231F20"/>
          <w:spacing w:val="-4"/>
          <w:w w:val="105"/>
        </w:rPr>
        <w:t>como</w:t>
      </w:r>
      <w:r>
        <w:rPr>
          <w:color w:val="231F20"/>
          <w:spacing w:val="-23"/>
          <w:w w:val="105"/>
        </w:rPr>
        <w:t> </w:t>
      </w:r>
      <w:r>
        <w:rPr>
          <w:color w:val="231F20"/>
          <w:spacing w:val="-3"/>
          <w:w w:val="105"/>
        </w:rPr>
        <w:t>construcción</w:t>
      </w:r>
      <w:r>
        <w:rPr>
          <w:color w:val="231F20"/>
          <w:spacing w:val="-23"/>
          <w:w w:val="105"/>
        </w:rPr>
        <w:t> </w:t>
      </w:r>
      <w:r>
        <w:rPr>
          <w:color w:val="231F20"/>
          <w:w w:val="105"/>
        </w:rPr>
        <w:t>de</w:t>
      </w:r>
      <w:r>
        <w:rPr>
          <w:color w:val="231F20"/>
          <w:spacing w:val="-23"/>
          <w:w w:val="105"/>
        </w:rPr>
        <w:t> </w:t>
      </w:r>
      <w:r>
        <w:rPr>
          <w:color w:val="231F20"/>
          <w:w w:val="105"/>
        </w:rPr>
        <w:t>aulas</w:t>
      </w:r>
      <w:r>
        <w:rPr>
          <w:color w:val="231F20"/>
          <w:spacing w:val="-23"/>
          <w:w w:val="105"/>
        </w:rPr>
        <w:t> </w:t>
      </w:r>
      <w:r>
        <w:rPr>
          <w:color w:val="231F20"/>
          <w:w w:val="105"/>
        </w:rPr>
        <w:t>y</w:t>
      </w:r>
      <w:r>
        <w:rPr>
          <w:color w:val="231F20"/>
          <w:spacing w:val="-23"/>
          <w:w w:val="105"/>
        </w:rPr>
        <w:t> </w:t>
      </w:r>
      <w:r>
        <w:rPr>
          <w:color w:val="231F20"/>
          <w:w w:val="105"/>
        </w:rPr>
        <w:t>bardas</w:t>
      </w:r>
      <w:r>
        <w:rPr>
          <w:color w:val="231F20"/>
          <w:spacing w:val="-23"/>
          <w:w w:val="105"/>
        </w:rPr>
        <w:t> </w:t>
      </w:r>
      <w:r>
        <w:rPr>
          <w:color w:val="231F20"/>
          <w:w w:val="105"/>
        </w:rPr>
        <w:t>perimetrales.</w:t>
      </w:r>
      <w:r>
        <w:rPr>
          <w:color w:val="231F20"/>
          <w:spacing w:val="-23"/>
          <w:w w:val="105"/>
        </w:rPr>
        <w:t> </w:t>
      </w:r>
      <w:r>
        <w:rPr>
          <w:color w:val="231F20"/>
          <w:w w:val="105"/>
        </w:rPr>
        <w:t>Se</w:t>
      </w:r>
      <w:r>
        <w:rPr>
          <w:color w:val="231F20"/>
          <w:spacing w:val="-23"/>
          <w:w w:val="105"/>
        </w:rPr>
        <w:t> </w:t>
      </w:r>
      <w:r>
        <w:rPr>
          <w:color w:val="231F20"/>
          <w:w w:val="105"/>
        </w:rPr>
        <w:t>llevan</w:t>
      </w:r>
      <w:r>
        <w:rPr>
          <w:color w:val="231F20"/>
          <w:spacing w:val="-23"/>
          <w:w w:val="105"/>
        </w:rPr>
        <w:t> </w:t>
      </w:r>
      <w:r>
        <w:rPr>
          <w:color w:val="231F20"/>
          <w:w w:val="105"/>
        </w:rPr>
        <w:t>a cabo</w:t>
      </w:r>
      <w:r>
        <w:rPr>
          <w:color w:val="231F20"/>
          <w:spacing w:val="-25"/>
          <w:w w:val="105"/>
        </w:rPr>
        <w:t> </w:t>
      </w:r>
      <w:r>
        <w:rPr>
          <w:color w:val="231F20"/>
          <w:spacing w:val="-3"/>
          <w:w w:val="105"/>
        </w:rPr>
        <w:t>los</w:t>
      </w:r>
      <w:r>
        <w:rPr>
          <w:color w:val="231F20"/>
          <w:spacing w:val="-25"/>
          <w:w w:val="105"/>
        </w:rPr>
        <w:t> </w:t>
      </w:r>
      <w:r>
        <w:rPr>
          <w:color w:val="231F20"/>
          <w:w w:val="105"/>
        </w:rPr>
        <w:t>programas</w:t>
      </w:r>
      <w:r>
        <w:rPr>
          <w:color w:val="231F20"/>
          <w:spacing w:val="-25"/>
          <w:w w:val="105"/>
        </w:rPr>
        <w:t> </w:t>
      </w:r>
      <w:r>
        <w:rPr>
          <w:color w:val="231F20"/>
          <w:w w:val="105"/>
        </w:rPr>
        <w:t>Oportunidades</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spacing w:val="-3"/>
          <w:w w:val="105"/>
        </w:rPr>
        <w:t>Adultos</w:t>
      </w:r>
      <w:r>
        <w:rPr>
          <w:color w:val="231F20"/>
          <w:spacing w:val="-25"/>
          <w:w w:val="105"/>
        </w:rPr>
        <w:t> </w:t>
      </w:r>
      <w:r>
        <w:rPr>
          <w:color w:val="231F20"/>
          <w:spacing w:val="-4"/>
          <w:w w:val="105"/>
        </w:rPr>
        <w:t>Mayores,</w:t>
      </w:r>
      <w:r>
        <w:rPr>
          <w:color w:val="231F20"/>
          <w:spacing w:val="-25"/>
          <w:w w:val="105"/>
        </w:rPr>
        <w:t> </w:t>
      </w:r>
      <w:r>
        <w:rPr>
          <w:color w:val="231F20"/>
          <w:w w:val="105"/>
        </w:rPr>
        <w:t>el</w:t>
      </w:r>
      <w:r>
        <w:rPr>
          <w:color w:val="231F20"/>
          <w:spacing w:val="-25"/>
          <w:w w:val="105"/>
        </w:rPr>
        <w:t> </w:t>
      </w:r>
      <w:r>
        <w:rPr>
          <w:color w:val="231F20"/>
          <w:spacing w:val="-3"/>
          <w:w w:val="105"/>
        </w:rPr>
        <w:t>primero</w:t>
      </w:r>
      <w:r>
        <w:rPr>
          <w:color w:val="231F20"/>
          <w:spacing w:val="-25"/>
          <w:w w:val="105"/>
        </w:rPr>
        <w:t> </w:t>
      </w:r>
      <w:r>
        <w:rPr>
          <w:color w:val="231F20"/>
          <w:w w:val="105"/>
        </w:rPr>
        <w:t>federal</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segundo estatal.</w:t>
      </w:r>
      <w:r>
        <w:rPr>
          <w:color w:val="231F20"/>
          <w:spacing w:val="-15"/>
          <w:w w:val="105"/>
        </w:rPr>
        <w:t> </w:t>
      </w:r>
      <w:r>
        <w:rPr>
          <w:color w:val="231F20"/>
          <w:w w:val="105"/>
        </w:rPr>
        <w:t>El</w:t>
      </w:r>
      <w:r>
        <w:rPr>
          <w:color w:val="231F20"/>
          <w:spacing w:val="-15"/>
          <w:w w:val="105"/>
        </w:rPr>
        <w:t> </w:t>
      </w:r>
      <w:r>
        <w:rPr>
          <w:color w:val="231F20"/>
          <w:spacing w:val="-3"/>
          <w:w w:val="105"/>
        </w:rPr>
        <w:t>municipio</w:t>
      </w:r>
      <w:r>
        <w:rPr>
          <w:color w:val="231F20"/>
          <w:spacing w:val="-15"/>
          <w:w w:val="105"/>
        </w:rPr>
        <w:t> </w:t>
      </w:r>
      <w:r>
        <w:rPr>
          <w:color w:val="231F20"/>
          <w:spacing w:val="-3"/>
          <w:w w:val="105"/>
        </w:rPr>
        <w:t>no</w:t>
      </w:r>
      <w:r>
        <w:rPr>
          <w:color w:val="231F20"/>
          <w:spacing w:val="-15"/>
          <w:w w:val="105"/>
        </w:rPr>
        <w:t> </w:t>
      </w:r>
      <w:r>
        <w:rPr>
          <w:color w:val="231F20"/>
          <w:spacing w:val="-3"/>
          <w:w w:val="105"/>
        </w:rPr>
        <w:t>cuenta</w:t>
      </w:r>
      <w:r>
        <w:rPr>
          <w:color w:val="231F20"/>
          <w:spacing w:val="-15"/>
          <w:w w:val="105"/>
        </w:rPr>
        <w:t> </w:t>
      </w:r>
      <w:r>
        <w:rPr>
          <w:color w:val="231F20"/>
          <w:spacing w:val="-3"/>
          <w:w w:val="105"/>
        </w:rPr>
        <w:t>con</w:t>
      </w:r>
      <w:r>
        <w:rPr>
          <w:color w:val="231F20"/>
          <w:spacing w:val="-15"/>
          <w:w w:val="105"/>
        </w:rPr>
        <w:t> </w:t>
      </w:r>
      <w:r>
        <w:rPr>
          <w:color w:val="231F20"/>
          <w:w w:val="105"/>
        </w:rPr>
        <w:t>un</w:t>
      </w:r>
      <w:r>
        <w:rPr>
          <w:color w:val="231F20"/>
          <w:spacing w:val="-15"/>
          <w:w w:val="105"/>
        </w:rPr>
        <w:t> </w:t>
      </w:r>
      <w:r>
        <w:rPr>
          <w:color w:val="231F20"/>
          <w:w w:val="105"/>
        </w:rPr>
        <w:t>programa</w:t>
      </w:r>
      <w:r>
        <w:rPr>
          <w:color w:val="231F20"/>
          <w:spacing w:val="-15"/>
          <w:w w:val="105"/>
        </w:rPr>
        <w:t> </w:t>
      </w:r>
      <w:r>
        <w:rPr>
          <w:color w:val="231F20"/>
          <w:w w:val="105"/>
        </w:rPr>
        <w:t>de</w:t>
      </w:r>
      <w:r>
        <w:rPr>
          <w:color w:val="231F20"/>
          <w:spacing w:val="-15"/>
          <w:w w:val="105"/>
        </w:rPr>
        <w:t> </w:t>
      </w:r>
      <w:r>
        <w:rPr>
          <w:color w:val="231F20"/>
          <w:w w:val="105"/>
        </w:rPr>
        <w:t>becas</w:t>
      </w:r>
      <w:r>
        <w:rPr>
          <w:color w:val="231F20"/>
          <w:spacing w:val="-15"/>
          <w:w w:val="105"/>
        </w:rPr>
        <w:t> </w:t>
      </w:r>
      <w:r>
        <w:rPr>
          <w:color w:val="231F20"/>
          <w:w w:val="105"/>
        </w:rPr>
        <w:t>o</w:t>
      </w:r>
      <w:r>
        <w:rPr>
          <w:color w:val="231F20"/>
          <w:spacing w:val="-15"/>
          <w:w w:val="105"/>
        </w:rPr>
        <w:t> </w:t>
      </w:r>
      <w:r>
        <w:rPr>
          <w:color w:val="231F20"/>
          <w:w w:val="105"/>
        </w:rPr>
        <w:t>estímulos</w:t>
      </w:r>
      <w:r>
        <w:rPr>
          <w:color w:val="231F20"/>
          <w:spacing w:val="-15"/>
          <w:w w:val="105"/>
        </w:rPr>
        <w:t> </w:t>
      </w:r>
      <w:r>
        <w:rPr>
          <w:color w:val="231F20"/>
          <w:spacing w:val="-4"/>
          <w:w w:val="105"/>
        </w:rPr>
        <w:t>propios.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cultura</w:t>
      </w:r>
      <w:r>
        <w:rPr>
          <w:color w:val="231F20"/>
          <w:spacing w:val="-5"/>
          <w:w w:val="105"/>
        </w:rPr>
        <w:t> </w:t>
      </w:r>
      <w:r>
        <w:rPr>
          <w:color w:val="231F20"/>
          <w:w w:val="105"/>
        </w:rPr>
        <w:t>corresponde,</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intención</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población</w:t>
      </w:r>
      <w:r>
        <w:rPr>
          <w:color w:val="231F20"/>
          <w:spacing w:val="-5"/>
          <w:w w:val="105"/>
        </w:rPr>
        <w:t> </w:t>
      </w:r>
      <w:r>
        <w:rPr>
          <w:color w:val="231F20"/>
          <w:w w:val="105"/>
        </w:rPr>
        <w:t>asista</w:t>
      </w:r>
      <w:r>
        <w:rPr>
          <w:color w:val="231F20"/>
          <w:spacing w:val="-5"/>
          <w:w w:val="105"/>
        </w:rPr>
        <w:t> </w:t>
      </w:r>
      <w:r>
        <w:rPr>
          <w:color w:val="231F20"/>
          <w:w w:val="105"/>
        </w:rPr>
        <w:t>a</w:t>
      </w:r>
      <w:r>
        <w:rPr>
          <w:color w:val="231F20"/>
          <w:spacing w:val="-5"/>
          <w:w w:val="105"/>
        </w:rPr>
        <w:t> </w:t>
      </w:r>
      <w:r>
        <w:rPr>
          <w:color w:val="231F20"/>
          <w:w w:val="105"/>
        </w:rPr>
        <w:t>espec- táculos</w:t>
      </w:r>
      <w:r>
        <w:rPr>
          <w:color w:val="231F20"/>
          <w:spacing w:val="-12"/>
          <w:w w:val="105"/>
        </w:rPr>
        <w:t> </w:t>
      </w:r>
      <w:r>
        <w:rPr>
          <w:color w:val="231F20"/>
          <w:w w:val="105"/>
        </w:rPr>
        <w:t>de</w:t>
      </w:r>
      <w:r>
        <w:rPr>
          <w:color w:val="231F20"/>
          <w:spacing w:val="-12"/>
          <w:w w:val="105"/>
        </w:rPr>
        <w:t> </w:t>
      </w:r>
      <w:r>
        <w:rPr>
          <w:color w:val="231F20"/>
          <w:w w:val="105"/>
        </w:rPr>
        <w:t>calidad</w:t>
      </w:r>
      <w:r>
        <w:rPr>
          <w:color w:val="231F20"/>
          <w:spacing w:val="-12"/>
          <w:w w:val="105"/>
        </w:rPr>
        <w:t> </w:t>
      </w:r>
      <w:r>
        <w:rPr>
          <w:color w:val="231F20"/>
          <w:w w:val="105"/>
        </w:rPr>
        <w:t>en</w:t>
      </w:r>
      <w:r>
        <w:rPr>
          <w:color w:val="231F20"/>
          <w:spacing w:val="-12"/>
          <w:w w:val="105"/>
        </w:rPr>
        <w:t> </w:t>
      </w:r>
      <w:r>
        <w:rPr>
          <w:color w:val="231F20"/>
          <w:w w:val="105"/>
        </w:rPr>
        <w:t>forma</w:t>
      </w:r>
      <w:r>
        <w:rPr>
          <w:color w:val="231F20"/>
          <w:spacing w:val="-12"/>
          <w:w w:val="105"/>
        </w:rPr>
        <w:t> </w:t>
      </w:r>
      <w:r>
        <w:rPr>
          <w:color w:val="231F20"/>
          <w:w w:val="105"/>
        </w:rPr>
        <w:t>gratuita,</w:t>
      </w:r>
      <w:r>
        <w:rPr>
          <w:color w:val="231F20"/>
          <w:spacing w:val="-12"/>
          <w:w w:val="105"/>
        </w:rPr>
        <w:t> </w:t>
      </w:r>
      <w:r>
        <w:rPr>
          <w:color w:val="231F20"/>
          <w:w w:val="105"/>
        </w:rPr>
        <w:t>se</w:t>
      </w:r>
      <w:r>
        <w:rPr>
          <w:color w:val="231F20"/>
          <w:spacing w:val="-12"/>
          <w:w w:val="105"/>
        </w:rPr>
        <w:t> </w:t>
      </w:r>
      <w:r>
        <w:rPr>
          <w:color w:val="231F20"/>
          <w:w w:val="105"/>
        </w:rPr>
        <w:t>construyó</w:t>
      </w:r>
      <w:r>
        <w:rPr>
          <w:color w:val="231F20"/>
          <w:spacing w:val="-12"/>
          <w:w w:val="105"/>
        </w:rPr>
        <w:t> </w:t>
      </w:r>
      <w:r>
        <w:rPr>
          <w:color w:val="231F20"/>
          <w:w w:val="105"/>
        </w:rPr>
        <w:t>el</w:t>
      </w:r>
      <w:r>
        <w:rPr>
          <w:color w:val="231F20"/>
          <w:spacing w:val="-12"/>
          <w:w w:val="105"/>
        </w:rPr>
        <w:t> </w:t>
      </w:r>
      <w:r>
        <w:rPr>
          <w:color w:val="231F20"/>
          <w:spacing w:val="-4"/>
          <w:w w:val="105"/>
        </w:rPr>
        <w:t>“Teatro</w:t>
      </w:r>
      <w:r>
        <w:rPr>
          <w:color w:val="231F20"/>
          <w:spacing w:val="-12"/>
          <w:w w:val="105"/>
        </w:rPr>
        <w:t> </w:t>
      </w:r>
      <w:r>
        <w:rPr>
          <w:color w:val="231F20"/>
          <w:w w:val="105"/>
        </w:rPr>
        <w:t>del</w:t>
      </w:r>
      <w:r>
        <w:rPr>
          <w:color w:val="231F20"/>
          <w:spacing w:val="-12"/>
          <w:w w:val="105"/>
        </w:rPr>
        <w:t> </w:t>
      </w:r>
      <w:r>
        <w:rPr>
          <w:color w:val="231F20"/>
          <w:w w:val="105"/>
        </w:rPr>
        <w:t>Pueblo”</w:t>
      </w:r>
      <w:r>
        <w:rPr>
          <w:color w:val="231F20"/>
          <w:spacing w:val="-12"/>
          <w:w w:val="105"/>
        </w:rPr>
        <w:t> </w:t>
      </w:r>
      <w:r>
        <w:rPr>
          <w:color w:val="231F20"/>
          <w:w w:val="105"/>
        </w:rPr>
        <w:t>y</w:t>
      </w:r>
      <w:r>
        <w:rPr>
          <w:color w:val="231F20"/>
          <w:spacing w:val="-12"/>
          <w:w w:val="105"/>
        </w:rPr>
        <w:t> </w:t>
      </w:r>
      <w:r>
        <w:rPr>
          <w:color w:val="231F20"/>
          <w:w w:val="105"/>
        </w:rPr>
        <w:t>se</w:t>
      </w:r>
      <w:r>
        <w:rPr>
          <w:color w:val="231F20"/>
          <w:spacing w:val="-12"/>
          <w:w w:val="105"/>
        </w:rPr>
        <w:t> </w:t>
      </w:r>
      <w:r>
        <w:rPr>
          <w:color w:val="231F20"/>
          <w:w w:val="105"/>
        </w:rPr>
        <w:t>promovió la “Feria Regional y </w:t>
      </w:r>
      <w:r>
        <w:rPr>
          <w:color w:val="231F20"/>
          <w:spacing w:val="2"/>
          <w:w w:val="105"/>
        </w:rPr>
        <w:t>Artesanal </w:t>
      </w:r>
      <w:r>
        <w:rPr>
          <w:color w:val="231F20"/>
          <w:w w:val="105"/>
        </w:rPr>
        <w:t>de </w:t>
      </w:r>
      <w:r>
        <w:rPr>
          <w:color w:val="231F20"/>
          <w:spacing w:val="-4"/>
          <w:w w:val="105"/>
        </w:rPr>
        <w:t>Tejupilco” </w:t>
      </w:r>
      <w:r>
        <w:rPr>
          <w:color w:val="231F20"/>
          <w:w w:val="105"/>
        </w:rPr>
        <w:t>con la finalidad de rescatar tradiciones y </w:t>
      </w:r>
      <w:r>
        <w:rPr>
          <w:color w:val="231F20"/>
          <w:spacing w:val="2"/>
          <w:w w:val="105"/>
        </w:rPr>
        <w:t>artesanías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para</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spacing w:val="-3"/>
          <w:w w:val="105"/>
        </w:rPr>
        <w:t>fomente</w:t>
      </w:r>
      <w:r>
        <w:rPr>
          <w:color w:val="231F20"/>
          <w:spacing w:val="-7"/>
          <w:w w:val="105"/>
        </w:rPr>
        <w:t> </w:t>
      </w:r>
      <w:r>
        <w:rPr>
          <w:color w:val="231F20"/>
          <w:w w:val="105"/>
        </w:rPr>
        <w:t>el</w:t>
      </w:r>
      <w:r>
        <w:rPr>
          <w:color w:val="231F20"/>
          <w:spacing w:val="-7"/>
          <w:w w:val="105"/>
        </w:rPr>
        <w:t> </w:t>
      </w:r>
      <w:r>
        <w:rPr>
          <w:color w:val="231F20"/>
          <w:w w:val="105"/>
        </w:rPr>
        <w:t>turismo.</w:t>
      </w:r>
    </w:p>
    <w:p>
      <w:pPr>
        <w:pStyle w:val="BodyText"/>
        <w:spacing w:before="1"/>
        <w:rPr>
          <w:sz w:val="26"/>
        </w:rPr>
      </w:pPr>
    </w:p>
    <w:p>
      <w:pPr>
        <w:pStyle w:val="BodyText"/>
        <w:spacing w:line="285" w:lineRule="auto"/>
        <w:ind w:left="110" w:right="107"/>
        <w:jc w:val="both"/>
      </w:pPr>
      <w:r>
        <w:rPr>
          <w:color w:val="231F20"/>
          <w:w w:val="105"/>
        </w:rPr>
        <w:t>Para</w:t>
      </w:r>
      <w:r>
        <w:rPr>
          <w:color w:val="231F20"/>
          <w:spacing w:val="-15"/>
          <w:w w:val="105"/>
        </w:rPr>
        <w:t> </w:t>
      </w:r>
      <w:r>
        <w:rPr>
          <w:color w:val="231F20"/>
          <w:w w:val="105"/>
        </w:rPr>
        <w:t>apoyar</w:t>
      </w:r>
      <w:r>
        <w:rPr>
          <w:color w:val="231F20"/>
          <w:spacing w:val="-15"/>
          <w:w w:val="105"/>
        </w:rPr>
        <w:t> </w:t>
      </w:r>
      <w:r>
        <w:rPr>
          <w:color w:val="231F20"/>
          <w:w w:val="105"/>
        </w:rPr>
        <w:t>la</w:t>
      </w:r>
      <w:r>
        <w:rPr>
          <w:color w:val="231F20"/>
          <w:spacing w:val="-15"/>
          <w:w w:val="105"/>
        </w:rPr>
        <w:t> </w:t>
      </w:r>
      <w:r>
        <w:rPr>
          <w:color w:val="231F20"/>
          <w:w w:val="105"/>
        </w:rPr>
        <w:t>economía</w:t>
      </w:r>
      <w:r>
        <w:rPr>
          <w:color w:val="231F20"/>
          <w:spacing w:val="-15"/>
          <w:w w:val="105"/>
        </w:rPr>
        <w:t> </w:t>
      </w:r>
      <w:r>
        <w:rPr>
          <w:color w:val="231F20"/>
          <w:spacing w:val="2"/>
          <w:w w:val="105"/>
        </w:rPr>
        <w:t>familiar</w:t>
      </w:r>
      <w:r>
        <w:rPr>
          <w:color w:val="231F20"/>
          <w:spacing w:val="-15"/>
          <w:w w:val="105"/>
        </w:rPr>
        <w:t> </w:t>
      </w:r>
      <w:r>
        <w:rPr>
          <w:color w:val="231F20"/>
          <w:w w:val="105"/>
        </w:rPr>
        <w:t>se</w:t>
      </w:r>
      <w:r>
        <w:rPr>
          <w:color w:val="231F20"/>
          <w:spacing w:val="-15"/>
          <w:w w:val="105"/>
        </w:rPr>
        <w:t> </w:t>
      </w:r>
      <w:r>
        <w:rPr>
          <w:color w:val="231F20"/>
          <w:w w:val="105"/>
        </w:rPr>
        <w:t>busca</w:t>
      </w:r>
      <w:r>
        <w:rPr>
          <w:color w:val="231F20"/>
          <w:spacing w:val="-15"/>
          <w:w w:val="105"/>
        </w:rPr>
        <w:t> </w:t>
      </w:r>
      <w:r>
        <w:rPr>
          <w:color w:val="231F20"/>
          <w:w w:val="105"/>
        </w:rPr>
        <w:t>el</w:t>
      </w:r>
      <w:r>
        <w:rPr>
          <w:color w:val="231F20"/>
          <w:spacing w:val="-15"/>
          <w:w w:val="105"/>
        </w:rPr>
        <w:t> </w:t>
      </w:r>
      <w:r>
        <w:rPr>
          <w:color w:val="231F20"/>
          <w:w w:val="105"/>
        </w:rPr>
        <w:t>establecimiento</w:t>
      </w:r>
      <w:r>
        <w:rPr>
          <w:color w:val="231F20"/>
          <w:spacing w:val="-15"/>
          <w:w w:val="105"/>
        </w:rPr>
        <w:t> </w:t>
      </w:r>
      <w:r>
        <w:rPr>
          <w:color w:val="231F20"/>
          <w:w w:val="105"/>
        </w:rPr>
        <w:t>de</w:t>
      </w:r>
      <w:r>
        <w:rPr>
          <w:color w:val="231F20"/>
          <w:spacing w:val="-15"/>
          <w:w w:val="105"/>
        </w:rPr>
        <w:t> </w:t>
      </w:r>
      <w:r>
        <w:rPr>
          <w:color w:val="231F20"/>
          <w:w w:val="105"/>
        </w:rPr>
        <w:t>inversión</w:t>
      </w:r>
      <w:r>
        <w:rPr>
          <w:color w:val="231F20"/>
          <w:spacing w:val="-15"/>
          <w:w w:val="105"/>
        </w:rPr>
        <w:t> </w:t>
      </w:r>
      <w:r>
        <w:rPr>
          <w:color w:val="231F20"/>
          <w:w w:val="105"/>
        </w:rPr>
        <w:t>privada</w:t>
      </w:r>
      <w:r>
        <w:rPr>
          <w:color w:val="231F20"/>
          <w:spacing w:val="-15"/>
          <w:w w:val="105"/>
        </w:rPr>
        <w:t> </w:t>
      </w:r>
      <w:r>
        <w:rPr>
          <w:color w:val="231F20"/>
          <w:w w:val="105"/>
        </w:rPr>
        <w:t>en</w:t>
      </w:r>
      <w:r>
        <w:rPr>
          <w:color w:val="231F20"/>
          <w:spacing w:val="-15"/>
          <w:w w:val="105"/>
        </w:rPr>
        <w:t> </w:t>
      </w:r>
      <w:r>
        <w:rPr>
          <w:color w:val="231F20"/>
          <w:w w:val="105"/>
        </w:rPr>
        <w:t>el municipio</w:t>
      </w:r>
      <w:r>
        <w:rPr>
          <w:color w:val="231F20"/>
          <w:spacing w:val="-22"/>
          <w:w w:val="105"/>
        </w:rPr>
        <w:t> </w:t>
      </w:r>
      <w:r>
        <w:rPr>
          <w:color w:val="231F20"/>
          <w:w w:val="105"/>
        </w:rPr>
        <w:t>acrecentando</w:t>
      </w:r>
      <w:r>
        <w:rPr>
          <w:color w:val="231F20"/>
          <w:spacing w:val="-22"/>
          <w:w w:val="105"/>
        </w:rPr>
        <w:t> </w:t>
      </w:r>
      <w:r>
        <w:rPr>
          <w:color w:val="231F20"/>
          <w:w w:val="105"/>
        </w:rPr>
        <w:t>la</w:t>
      </w:r>
      <w:r>
        <w:rPr>
          <w:color w:val="231F20"/>
          <w:spacing w:val="-22"/>
          <w:w w:val="105"/>
        </w:rPr>
        <w:t> </w:t>
      </w:r>
      <w:r>
        <w:rPr>
          <w:color w:val="231F20"/>
          <w:w w:val="105"/>
        </w:rPr>
        <w:t>calidad</w:t>
      </w:r>
      <w:r>
        <w:rPr>
          <w:color w:val="231F20"/>
          <w:spacing w:val="-22"/>
          <w:w w:val="105"/>
        </w:rPr>
        <w:t> </w:t>
      </w:r>
      <w:r>
        <w:rPr>
          <w:color w:val="231F20"/>
          <w:w w:val="105"/>
        </w:rPr>
        <w:t>del</w:t>
      </w:r>
      <w:r>
        <w:rPr>
          <w:color w:val="231F20"/>
          <w:spacing w:val="-22"/>
          <w:w w:val="105"/>
        </w:rPr>
        <w:t> </w:t>
      </w:r>
      <w:r>
        <w:rPr>
          <w:color w:val="231F20"/>
          <w:w w:val="105"/>
        </w:rPr>
        <w:t>centro</w:t>
      </w:r>
      <w:r>
        <w:rPr>
          <w:color w:val="231F20"/>
          <w:spacing w:val="-22"/>
          <w:w w:val="105"/>
        </w:rPr>
        <w:t> </w:t>
      </w:r>
      <w:r>
        <w:rPr>
          <w:color w:val="231F20"/>
          <w:w w:val="105"/>
        </w:rPr>
        <w:t>regional</w:t>
      </w:r>
      <w:r>
        <w:rPr>
          <w:color w:val="231F20"/>
          <w:spacing w:val="-22"/>
          <w:w w:val="105"/>
        </w:rPr>
        <w:t> </w:t>
      </w:r>
      <w:r>
        <w:rPr>
          <w:color w:val="231F20"/>
          <w:w w:val="105"/>
        </w:rPr>
        <w:t>de</w:t>
      </w:r>
      <w:r>
        <w:rPr>
          <w:color w:val="231F20"/>
          <w:spacing w:val="-22"/>
          <w:w w:val="105"/>
        </w:rPr>
        <w:t> </w:t>
      </w:r>
      <w:r>
        <w:rPr>
          <w:color w:val="231F20"/>
          <w:w w:val="105"/>
        </w:rPr>
        <w:t>servicios.</w:t>
      </w:r>
      <w:r>
        <w:rPr>
          <w:color w:val="231F20"/>
          <w:spacing w:val="-22"/>
          <w:w w:val="105"/>
        </w:rPr>
        <w:t> </w:t>
      </w:r>
      <w:r>
        <w:rPr>
          <w:color w:val="231F20"/>
          <w:w w:val="105"/>
        </w:rPr>
        <w:t>Sin</w:t>
      </w:r>
      <w:r>
        <w:rPr>
          <w:color w:val="231F20"/>
          <w:spacing w:val="-22"/>
          <w:w w:val="105"/>
        </w:rPr>
        <w:t> </w:t>
      </w:r>
      <w:r>
        <w:rPr>
          <w:color w:val="231F20"/>
          <w:w w:val="105"/>
        </w:rPr>
        <w:t>embargo,</w:t>
      </w:r>
      <w:r>
        <w:rPr>
          <w:color w:val="231F20"/>
          <w:spacing w:val="-22"/>
          <w:w w:val="105"/>
        </w:rPr>
        <w:t> </w:t>
      </w:r>
      <w:r>
        <w:rPr>
          <w:color w:val="231F20"/>
          <w:w w:val="105"/>
        </w:rPr>
        <w:t>esta</w:t>
      </w:r>
      <w:r>
        <w:rPr>
          <w:color w:val="231F20"/>
          <w:spacing w:val="-22"/>
          <w:w w:val="105"/>
        </w:rPr>
        <w:t> </w:t>
      </w:r>
      <w:r>
        <w:rPr>
          <w:color w:val="231F20"/>
          <w:w w:val="105"/>
        </w:rPr>
        <w:t>si- tuación</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w w:val="105"/>
        </w:rPr>
        <w:t>podido</w:t>
      </w:r>
      <w:r>
        <w:rPr>
          <w:color w:val="231F20"/>
          <w:spacing w:val="-10"/>
          <w:w w:val="105"/>
        </w:rPr>
        <w:t> </w:t>
      </w:r>
      <w:r>
        <w:rPr>
          <w:color w:val="231F20"/>
          <w:w w:val="105"/>
        </w:rPr>
        <w:t>concretar</w:t>
      </w:r>
      <w:r>
        <w:rPr>
          <w:color w:val="231F20"/>
          <w:spacing w:val="-10"/>
          <w:w w:val="105"/>
        </w:rPr>
        <w:t> </w:t>
      </w:r>
      <w:r>
        <w:rPr>
          <w:color w:val="231F20"/>
          <w:w w:val="105"/>
        </w:rPr>
        <w:t>pues</w:t>
      </w:r>
      <w:r>
        <w:rPr>
          <w:color w:val="231F20"/>
          <w:spacing w:val="-10"/>
          <w:w w:val="105"/>
        </w:rPr>
        <w:t> </w:t>
      </w:r>
      <w:r>
        <w:rPr>
          <w:color w:val="231F20"/>
          <w:w w:val="105"/>
        </w:rPr>
        <w:t>en</w:t>
      </w:r>
      <w:r>
        <w:rPr>
          <w:color w:val="231F20"/>
          <w:spacing w:val="-10"/>
          <w:w w:val="105"/>
        </w:rPr>
        <w:t> </w:t>
      </w:r>
      <w:r>
        <w:rPr>
          <w:color w:val="231F20"/>
          <w:spacing w:val="-4"/>
          <w:w w:val="105"/>
        </w:rPr>
        <w:t>Tejupilco</w:t>
      </w:r>
      <w:r>
        <w:rPr>
          <w:color w:val="231F20"/>
          <w:spacing w:val="-10"/>
          <w:w w:val="105"/>
        </w:rPr>
        <w:t> </w:t>
      </w:r>
      <w:r>
        <w:rPr>
          <w:color w:val="231F20"/>
          <w:w w:val="105"/>
        </w:rPr>
        <w:t>la</w:t>
      </w:r>
      <w:r>
        <w:rPr>
          <w:color w:val="231F20"/>
          <w:spacing w:val="-10"/>
          <w:w w:val="105"/>
        </w:rPr>
        <w:t> </w:t>
      </w:r>
      <w:r>
        <w:rPr>
          <w:color w:val="231F20"/>
          <w:w w:val="105"/>
        </w:rPr>
        <w:t>inversión</w:t>
      </w:r>
      <w:r>
        <w:rPr>
          <w:color w:val="231F20"/>
          <w:spacing w:val="-10"/>
          <w:w w:val="105"/>
        </w:rPr>
        <w:t> </w:t>
      </w:r>
      <w:r>
        <w:rPr>
          <w:color w:val="231F20"/>
          <w:w w:val="105"/>
        </w:rPr>
        <w:t>privada</w:t>
      </w:r>
      <w:r>
        <w:rPr>
          <w:color w:val="231F20"/>
          <w:spacing w:val="-10"/>
          <w:w w:val="105"/>
        </w:rPr>
        <w:t> </w:t>
      </w:r>
      <w:r>
        <w:rPr>
          <w:color w:val="231F20"/>
          <w:w w:val="105"/>
        </w:rPr>
        <w:t>prácticamente es nula, situación entendible si consideramos las características propias del municipio descritas</w:t>
      </w:r>
      <w:r>
        <w:rPr>
          <w:color w:val="231F20"/>
          <w:spacing w:val="-15"/>
          <w:w w:val="105"/>
        </w:rPr>
        <w:t> </w:t>
      </w:r>
      <w:r>
        <w:rPr>
          <w:color w:val="231F20"/>
          <w:w w:val="105"/>
        </w:rPr>
        <w:t>con</w:t>
      </w:r>
      <w:r>
        <w:rPr>
          <w:color w:val="231F20"/>
          <w:spacing w:val="-15"/>
          <w:w w:val="105"/>
        </w:rPr>
        <w:t> </w:t>
      </w:r>
      <w:r>
        <w:rPr>
          <w:color w:val="231F20"/>
          <w:w w:val="105"/>
        </w:rPr>
        <w:t>anterioridad,</w:t>
      </w:r>
      <w:r>
        <w:rPr>
          <w:color w:val="231F20"/>
          <w:spacing w:val="-15"/>
          <w:w w:val="105"/>
        </w:rPr>
        <w:t> </w:t>
      </w:r>
      <w:r>
        <w:rPr>
          <w:color w:val="231F20"/>
          <w:w w:val="105"/>
        </w:rPr>
        <w:t>ya</w:t>
      </w:r>
      <w:r>
        <w:rPr>
          <w:color w:val="231F20"/>
          <w:spacing w:val="-15"/>
          <w:w w:val="105"/>
        </w:rPr>
        <w:t> </w:t>
      </w:r>
      <w:r>
        <w:rPr>
          <w:color w:val="231F20"/>
          <w:w w:val="105"/>
        </w:rPr>
        <w:t>que</w:t>
      </w:r>
      <w:r>
        <w:rPr>
          <w:color w:val="231F20"/>
          <w:spacing w:val="-15"/>
          <w:w w:val="105"/>
        </w:rPr>
        <w:t> </w:t>
      </w:r>
      <w:r>
        <w:rPr>
          <w:color w:val="231F20"/>
          <w:w w:val="105"/>
        </w:rPr>
        <w:t>éste</w:t>
      </w:r>
      <w:r>
        <w:rPr>
          <w:color w:val="231F20"/>
          <w:spacing w:val="-15"/>
          <w:w w:val="105"/>
        </w:rPr>
        <w:t> </w:t>
      </w:r>
      <w:r>
        <w:rPr>
          <w:color w:val="231F20"/>
          <w:w w:val="105"/>
        </w:rPr>
        <w:t>es</w:t>
      </w:r>
      <w:r>
        <w:rPr>
          <w:color w:val="231F20"/>
          <w:spacing w:val="-15"/>
          <w:w w:val="105"/>
        </w:rPr>
        <w:t> </w:t>
      </w:r>
      <w:r>
        <w:rPr>
          <w:color w:val="231F20"/>
          <w:w w:val="105"/>
        </w:rPr>
        <w:t>predominantemente</w:t>
      </w:r>
      <w:r>
        <w:rPr>
          <w:color w:val="231F20"/>
          <w:spacing w:val="-15"/>
          <w:w w:val="105"/>
        </w:rPr>
        <w:t> </w:t>
      </w:r>
      <w:r>
        <w:rPr>
          <w:color w:val="231F20"/>
          <w:spacing w:val="2"/>
          <w:w w:val="105"/>
        </w:rPr>
        <w:t>rural</w:t>
      </w:r>
      <w:r>
        <w:rPr>
          <w:color w:val="231F20"/>
          <w:spacing w:val="-15"/>
          <w:w w:val="105"/>
        </w:rPr>
        <w:t> </w:t>
      </w:r>
      <w:r>
        <w:rPr>
          <w:color w:val="231F20"/>
          <w:w w:val="105"/>
        </w:rPr>
        <w:t>con</w:t>
      </w:r>
      <w:r>
        <w:rPr>
          <w:color w:val="231F20"/>
          <w:spacing w:val="-15"/>
          <w:w w:val="105"/>
        </w:rPr>
        <w:t> </w:t>
      </w:r>
      <w:r>
        <w:rPr>
          <w:color w:val="231F20"/>
          <w:w w:val="105"/>
        </w:rPr>
        <w:t>actividades</w:t>
      </w:r>
      <w:r>
        <w:rPr>
          <w:color w:val="231F20"/>
          <w:spacing w:val="-15"/>
          <w:w w:val="105"/>
        </w:rPr>
        <w:t> </w:t>
      </w:r>
      <w:r>
        <w:rPr>
          <w:color w:val="231F20"/>
          <w:w w:val="105"/>
        </w:rPr>
        <w:t>ma- yormente</w:t>
      </w:r>
      <w:r>
        <w:rPr>
          <w:color w:val="231F20"/>
          <w:spacing w:val="-19"/>
          <w:w w:val="105"/>
        </w:rPr>
        <w:t> </w:t>
      </w:r>
      <w:r>
        <w:rPr>
          <w:color w:val="231F20"/>
          <w:w w:val="105"/>
        </w:rPr>
        <w:t>enfocadas</w:t>
      </w:r>
      <w:r>
        <w:rPr>
          <w:color w:val="231F20"/>
          <w:spacing w:val="-19"/>
          <w:w w:val="105"/>
        </w:rPr>
        <w:t> </w:t>
      </w:r>
      <w:r>
        <w:rPr>
          <w:color w:val="231F20"/>
          <w:spacing w:val="2"/>
          <w:w w:val="105"/>
        </w:rPr>
        <w:t>al</w:t>
      </w:r>
      <w:r>
        <w:rPr>
          <w:color w:val="231F20"/>
          <w:spacing w:val="-19"/>
          <w:w w:val="105"/>
        </w:rPr>
        <w:t> </w:t>
      </w:r>
      <w:r>
        <w:rPr>
          <w:color w:val="231F20"/>
          <w:w w:val="105"/>
        </w:rPr>
        <w:t>campo.</w:t>
      </w:r>
    </w:p>
    <w:p>
      <w:pPr>
        <w:pStyle w:val="BodyText"/>
        <w:spacing w:before="1"/>
        <w:rPr>
          <w:sz w:val="26"/>
        </w:rPr>
      </w:pPr>
    </w:p>
    <w:p>
      <w:pPr>
        <w:pStyle w:val="BodyText"/>
        <w:spacing w:line="285" w:lineRule="auto"/>
        <w:ind w:left="110" w:right="107"/>
        <w:jc w:val="both"/>
      </w:pPr>
      <w:r>
        <w:rPr>
          <w:color w:val="231F20"/>
          <w:w w:val="105"/>
        </w:rPr>
        <w:t>El</w:t>
      </w:r>
      <w:r>
        <w:rPr>
          <w:color w:val="231F20"/>
          <w:spacing w:val="-22"/>
          <w:w w:val="105"/>
        </w:rPr>
        <w:t> </w:t>
      </w:r>
      <w:r>
        <w:rPr>
          <w:color w:val="231F20"/>
          <w:w w:val="105"/>
        </w:rPr>
        <w:t>segundo</w:t>
      </w:r>
      <w:r>
        <w:rPr>
          <w:color w:val="231F20"/>
          <w:spacing w:val="-22"/>
          <w:w w:val="105"/>
        </w:rPr>
        <w:t> </w:t>
      </w:r>
      <w:r>
        <w:rPr>
          <w:color w:val="231F20"/>
          <w:w w:val="105"/>
        </w:rPr>
        <w:t>pilar</w:t>
      </w:r>
      <w:r>
        <w:rPr>
          <w:color w:val="231F20"/>
          <w:spacing w:val="-22"/>
          <w:w w:val="105"/>
        </w:rPr>
        <w:t> </w:t>
      </w:r>
      <w:r>
        <w:rPr>
          <w:color w:val="231F20"/>
          <w:w w:val="105"/>
        </w:rPr>
        <w:t>considerado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plan</w:t>
      </w:r>
      <w:r>
        <w:rPr>
          <w:color w:val="231F20"/>
          <w:spacing w:val="-22"/>
          <w:w w:val="105"/>
        </w:rPr>
        <w:t> </w:t>
      </w:r>
      <w:r>
        <w:rPr>
          <w:color w:val="231F20"/>
          <w:w w:val="105"/>
        </w:rPr>
        <w:t>es</w:t>
      </w:r>
      <w:r>
        <w:rPr>
          <w:color w:val="231F20"/>
          <w:spacing w:val="-22"/>
          <w:w w:val="105"/>
        </w:rPr>
        <w:t> </w:t>
      </w:r>
      <w:r>
        <w:rPr>
          <w:color w:val="231F20"/>
          <w:w w:val="105"/>
        </w:rPr>
        <w:t>el</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Seguridad</w:t>
      </w:r>
      <w:r>
        <w:rPr>
          <w:color w:val="231F20"/>
          <w:spacing w:val="-22"/>
          <w:w w:val="105"/>
        </w:rPr>
        <w:t> </w:t>
      </w:r>
      <w:r>
        <w:rPr>
          <w:color w:val="231F20"/>
          <w:w w:val="105"/>
        </w:rPr>
        <w:t>Económica,</w:t>
      </w:r>
      <w:r>
        <w:rPr>
          <w:color w:val="231F20"/>
          <w:spacing w:val="-22"/>
          <w:w w:val="105"/>
        </w:rPr>
        <w:t> </w:t>
      </w:r>
      <w:r>
        <w:rPr>
          <w:color w:val="231F20"/>
          <w:w w:val="105"/>
        </w:rPr>
        <w:t>que</w:t>
      </w:r>
      <w:r>
        <w:rPr>
          <w:color w:val="231F20"/>
          <w:spacing w:val="-22"/>
          <w:w w:val="105"/>
        </w:rPr>
        <w:t> </w:t>
      </w:r>
      <w:r>
        <w:rPr>
          <w:color w:val="231F20"/>
          <w:w w:val="105"/>
        </w:rPr>
        <w:t>tiene</w:t>
      </w:r>
      <w:r>
        <w:rPr>
          <w:color w:val="231F20"/>
          <w:spacing w:val="-22"/>
          <w:w w:val="105"/>
        </w:rPr>
        <w:t> </w:t>
      </w:r>
      <w:r>
        <w:rPr>
          <w:color w:val="231F20"/>
          <w:w w:val="105"/>
        </w:rPr>
        <w:t>como objetivo</w:t>
      </w:r>
      <w:r>
        <w:rPr>
          <w:color w:val="231F20"/>
          <w:spacing w:val="-14"/>
          <w:w w:val="105"/>
        </w:rPr>
        <w:t> </w:t>
      </w:r>
      <w:r>
        <w:rPr>
          <w:color w:val="231F20"/>
          <w:w w:val="105"/>
        </w:rPr>
        <w:t>incrementar</w:t>
      </w:r>
      <w:r>
        <w:rPr>
          <w:color w:val="231F20"/>
          <w:spacing w:val="-14"/>
          <w:w w:val="105"/>
        </w:rPr>
        <w:t> </w:t>
      </w:r>
      <w:r>
        <w:rPr>
          <w:color w:val="231F20"/>
          <w:w w:val="105"/>
        </w:rPr>
        <w:t>y</w:t>
      </w:r>
      <w:r>
        <w:rPr>
          <w:color w:val="231F20"/>
          <w:spacing w:val="-14"/>
          <w:w w:val="105"/>
        </w:rPr>
        <w:t> </w:t>
      </w:r>
      <w:r>
        <w:rPr>
          <w:color w:val="231F20"/>
          <w:w w:val="105"/>
        </w:rPr>
        <w:t>crear</w:t>
      </w:r>
      <w:r>
        <w:rPr>
          <w:color w:val="231F20"/>
          <w:spacing w:val="-14"/>
          <w:w w:val="105"/>
        </w:rPr>
        <w:t> </w:t>
      </w:r>
      <w:r>
        <w:rPr>
          <w:color w:val="231F20"/>
          <w:w w:val="105"/>
        </w:rPr>
        <w:t>las</w:t>
      </w:r>
      <w:r>
        <w:rPr>
          <w:color w:val="231F20"/>
          <w:spacing w:val="-14"/>
          <w:w w:val="105"/>
        </w:rPr>
        <w:t> </w:t>
      </w:r>
      <w:r>
        <w:rPr>
          <w:color w:val="231F20"/>
          <w:w w:val="105"/>
        </w:rPr>
        <w:t>condiciones</w:t>
      </w:r>
      <w:r>
        <w:rPr>
          <w:color w:val="231F20"/>
          <w:spacing w:val="-14"/>
          <w:w w:val="105"/>
        </w:rPr>
        <w:t> </w:t>
      </w:r>
      <w:r>
        <w:rPr>
          <w:color w:val="231F20"/>
          <w:w w:val="105"/>
        </w:rPr>
        <w:t>para</w:t>
      </w:r>
      <w:r>
        <w:rPr>
          <w:color w:val="231F20"/>
          <w:spacing w:val="-14"/>
          <w:w w:val="105"/>
        </w:rPr>
        <w:t> </w:t>
      </w:r>
      <w:r>
        <w:rPr>
          <w:color w:val="231F20"/>
          <w:w w:val="105"/>
        </w:rPr>
        <w:t>una</w:t>
      </w:r>
      <w:r>
        <w:rPr>
          <w:color w:val="231F20"/>
          <w:spacing w:val="-14"/>
          <w:w w:val="105"/>
        </w:rPr>
        <w:t> </w:t>
      </w:r>
      <w:r>
        <w:rPr>
          <w:color w:val="231F20"/>
          <w:w w:val="105"/>
        </w:rPr>
        <w:t>mayor</w:t>
      </w:r>
      <w:r>
        <w:rPr>
          <w:color w:val="231F20"/>
          <w:spacing w:val="-14"/>
          <w:w w:val="105"/>
        </w:rPr>
        <w:t> </w:t>
      </w:r>
      <w:r>
        <w:rPr>
          <w:color w:val="231F20"/>
          <w:w w:val="105"/>
        </w:rPr>
        <w:t>inversión</w:t>
      </w:r>
      <w:r>
        <w:rPr>
          <w:color w:val="231F20"/>
          <w:spacing w:val="-14"/>
          <w:w w:val="105"/>
        </w:rPr>
        <w:t> </w:t>
      </w:r>
      <w:r>
        <w:rPr>
          <w:color w:val="231F20"/>
          <w:w w:val="105"/>
        </w:rPr>
        <w:t>productiva,</w:t>
      </w:r>
      <w:r>
        <w:rPr>
          <w:color w:val="231F20"/>
          <w:spacing w:val="-14"/>
          <w:w w:val="105"/>
        </w:rPr>
        <w:t> </w:t>
      </w:r>
      <w:r>
        <w:rPr>
          <w:color w:val="231F20"/>
          <w:w w:val="105"/>
        </w:rPr>
        <w:t>pro-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48"/>
        <w:jc w:val="both"/>
      </w:pPr>
      <w:r>
        <w:rPr>
          <w:color w:val="231F20"/>
          <w:w w:val="105"/>
        </w:rPr>
        <w:t>piciando el crecimiento de las actividades económicas existentes y la instauración de otras</w:t>
      </w:r>
      <w:r>
        <w:rPr>
          <w:color w:val="231F20"/>
          <w:spacing w:val="-8"/>
          <w:w w:val="105"/>
        </w:rPr>
        <w:t> </w:t>
      </w:r>
      <w:r>
        <w:rPr>
          <w:color w:val="231F20"/>
          <w:w w:val="105"/>
        </w:rPr>
        <w:t>nuevas,</w:t>
      </w:r>
      <w:r>
        <w:rPr>
          <w:color w:val="231F20"/>
          <w:spacing w:val="-8"/>
          <w:w w:val="105"/>
        </w:rPr>
        <w:t> </w:t>
      </w:r>
      <w:r>
        <w:rPr>
          <w:color w:val="231F20"/>
          <w:w w:val="105"/>
        </w:rPr>
        <w:t>con</w:t>
      </w:r>
      <w:r>
        <w:rPr>
          <w:color w:val="231F20"/>
          <w:spacing w:val="-8"/>
          <w:w w:val="105"/>
        </w:rPr>
        <w:t> </w:t>
      </w:r>
      <w:r>
        <w:rPr>
          <w:color w:val="231F20"/>
          <w:w w:val="105"/>
        </w:rPr>
        <w:t>un</w:t>
      </w:r>
      <w:r>
        <w:rPr>
          <w:color w:val="231F20"/>
          <w:spacing w:val="-8"/>
          <w:w w:val="105"/>
        </w:rPr>
        <w:t> </w:t>
      </w:r>
      <w:r>
        <w:rPr>
          <w:color w:val="231F20"/>
          <w:w w:val="105"/>
        </w:rPr>
        <w:t>mayor</w:t>
      </w:r>
      <w:r>
        <w:rPr>
          <w:color w:val="231F20"/>
          <w:spacing w:val="-8"/>
          <w:w w:val="105"/>
        </w:rPr>
        <w:t> </w:t>
      </w:r>
      <w:r>
        <w:rPr>
          <w:color w:val="231F20"/>
          <w:w w:val="105"/>
        </w:rPr>
        <w:t>establecimiento</w:t>
      </w:r>
      <w:r>
        <w:rPr>
          <w:color w:val="231F20"/>
          <w:spacing w:val="-8"/>
          <w:w w:val="105"/>
        </w:rPr>
        <w:t> </w:t>
      </w:r>
      <w:r>
        <w:rPr>
          <w:color w:val="231F20"/>
          <w:w w:val="105"/>
        </w:rPr>
        <w:t>de</w:t>
      </w:r>
      <w:r>
        <w:rPr>
          <w:color w:val="231F20"/>
          <w:spacing w:val="-8"/>
          <w:w w:val="105"/>
        </w:rPr>
        <w:t> </w:t>
      </w:r>
      <w:r>
        <w:rPr>
          <w:color w:val="231F20"/>
          <w:w w:val="105"/>
        </w:rPr>
        <w:t>empresas</w:t>
      </w:r>
      <w:r>
        <w:rPr>
          <w:color w:val="231F20"/>
          <w:spacing w:val="-8"/>
          <w:w w:val="105"/>
        </w:rPr>
        <w:t> </w:t>
      </w:r>
      <w:r>
        <w:rPr>
          <w:color w:val="231F20"/>
          <w:w w:val="105"/>
        </w:rPr>
        <w:t>y</w:t>
      </w:r>
      <w:r>
        <w:rPr>
          <w:color w:val="231F20"/>
          <w:spacing w:val="-8"/>
          <w:w w:val="105"/>
        </w:rPr>
        <w:t> </w:t>
      </w:r>
      <w:r>
        <w:rPr>
          <w:color w:val="231F20"/>
          <w:w w:val="105"/>
        </w:rPr>
        <w:t>fuentes</w:t>
      </w:r>
      <w:r>
        <w:rPr>
          <w:color w:val="231F20"/>
          <w:spacing w:val="-8"/>
          <w:w w:val="105"/>
        </w:rPr>
        <w:t> </w:t>
      </w:r>
      <w:r>
        <w:rPr>
          <w:color w:val="231F20"/>
          <w:w w:val="105"/>
        </w:rPr>
        <w:t>generadoras</w:t>
      </w:r>
      <w:r>
        <w:rPr>
          <w:color w:val="231F20"/>
          <w:spacing w:val="-8"/>
          <w:w w:val="105"/>
        </w:rPr>
        <w:t> </w:t>
      </w:r>
      <w:r>
        <w:rPr>
          <w:color w:val="231F20"/>
          <w:w w:val="105"/>
        </w:rPr>
        <w:t>de</w:t>
      </w:r>
      <w:r>
        <w:rPr>
          <w:color w:val="231F20"/>
          <w:spacing w:val="-8"/>
          <w:w w:val="105"/>
        </w:rPr>
        <w:t> </w:t>
      </w:r>
      <w:r>
        <w:rPr>
          <w:color w:val="231F20"/>
          <w:spacing w:val="-2"/>
          <w:w w:val="105"/>
        </w:rPr>
        <w:t>em- </w:t>
      </w:r>
      <w:r>
        <w:rPr>
          <w:color w:val="231F20"/>
          <w:w w:val="105"/>
        </w:rPr>
        <w:t>pleo, mediante el incremento de infraestructura productiva y recreativa, la invitación apoyo</w:t>
      </w:r>
      <w:r>
        <w:rPr>
          <w:color w:val="231F20"/>
          <w:spacing w:val="-16"/>
          <w:w w:val="105"/>
        </w:rPr>
        <w:t> </w:t>
      </w:r>
      <w:r>
        <w:rPr>
          <w:color w:val="231F20"/>
          <w:w w:val="105"/>
        </w:rPr>
        <w:t>y</w:t>
      </w:r>
      <w:r>
        <w:rPr>
          <w:color w:val="231F20"/>
          <w:spacing w:val="-16"/>
          <w:w w:val="105"/>
        </w:rPr>
        <w:t> </w:t>
      </w:r>
      <w:r>
        <w:rPr>
          <w:color w:val="231F20"/>
          <w:w w:val="105"/>
        </w:rPr>
        <w:t>asesoría</w:t>
      </w:r>
      <w:r>
        <w:rPr>
          <w:color w:val="231F20"/>
          <w:spacing w:val="-16"/>
          <w:w w:val="105"/>
        </w:rPr>
        <w:t> </w:t>
      </w:r>
      <w:r>
        <w:rPr>
          <w:color w:val="231F20"/>
          <w:w w:val="105"/>
        </w:rPr>
        <w:t>a</w:t>
      </w:r>
      <w:r>
        <w:rPr>
          <w:color w:val="231F20"/>
          <w:spacing w:val="-16"/>
          <w:w w:val="105"/>
        </w:rPr>
        <w:t> </w:t>
      </w:r>
      <w:r>
        <w:rPr>
          <w:color w:val="231F20"/>
          <w:w w:val="105"/>
        </w:rPr>
        <w:t>empresas,</w:t>
      </w:r>
      <w:r>
        <w:rPr>
          <w:color w:val="231F20"/>
          <w:spacing w:val="-16"/>
          <w:w w:val="105"/>
        </w:rPr>
        <w:t> </w:t>
      </w:r>
      <w:r>
        <w:rPr>
          <w:color w:val="231F20"/>
          <w:w w:val="105"/>
        </w:rPr>
        <w:t>el</w:t>
      </w:r>
      <w:r>
        <w:rPr>
          <w:color w:val="231F20"/>
          <w:spacing w:val="-16"/>
          <w:w w:val="105"/>
        </w:rPr>
        <w:t> </w:t>
      </w:r>
      <w:r>
        <w:rPr>
          <w:color w:val="231F20"/>
          <w:w w:val="105"/>
        </w:rPr>
        <w:t>ordenamiento</w:t>
      </w:r>
      <w:r>
        <w:rPr>
          <w:color w:val="231F20"/>
          <w:spacing w:val="-16"/>
          <w:w w:val="105"/>
        </w:rPr>
        <w:t> </w:t>
      </w:r>
      <w:r>
        <w:rPr>
          <w:color w:val="231F20"/>
          <w:w w:val="105"/>
        </w:rPr>
        <w:t>y</w:t>
      </w:r>
      <w:r>
        <w:rPr>
          <w:color w:val="231F20"/>
          <w:spacing w:val="-16"/>
          <w:w w:val="105"/>
        </w:rPr>
        <w:t> </w:t>
      </w:r>
      <w:r>
        <w:rPr>
          <w:color w:val="231F20"/>
          <w:w w:val="105"/>
        </w:rPr>
        <w:t>arreglo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imagen</w:t>
      </w:r>
      <w:r>
        <w:rPr>
          <w:color w:val="231F20"/>
          <w:spacing w:val="-16"/>
          <w:w w:val="105"/>
        </w:rPr>
        <w:t> </w:t>
      </w:r>
      <w:r>
        <w:rPr>
          <w:color w:val="231F20"/>
          <w:w w:val="105"/>
        </w:rPr>
        <w:t>urbana</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mejora de servicios que impulsen el desarrollo económico del municipio (Plan de Desarrollo </w:t>
      </w:r>
      <w:r>
        <w:rPr>
          <w:color w:val="231F20"/>
        </w:rPr>
        <w:t>Municipal, </w:t>
      </w:r>
      <w:r>
        <w:rPr>
          <w:color w:val="231F20"/>
          <w:spacing w:val="3"/>
        </w:rPr>
        <w:t>2006:</w:t>
      </w:r>
      <w:r>
        <w:rPr>
          <w:color w:val="231F20"/>
          <w:spacing w:val="11"/>
        </w:rPr>
        <w:t> </w:t>
      </w:r>
      <w:r>
        <w:rPr>
          <w:color w:val="231F20"/>
          <w:spacing w:val="-5"/>
        </w:rPr>
        <w:t>112).</w:t>
      </w:r>
    </w:p>
    <w:p>
      <w:pPr>
        <w:pStyle w:val="BodyText"/>
        <w:spacing w:before="1"/>
        <w:rPr>
          <w:sz w:val="26"/>
        </w:rPr>
      </w:pPr>
    </w:p>
    <w:p>
      <w:pPr>
        <w:pStyle w:val="BodyText"/>
        <w:spacing w:line="285" w:lineRule="auto"/>
        <w:ind w:left="110" w:right="148"/>
        <w:jc w:val="both"/>
      </w:pPr>
      <w:r>
        <w:rPr>
          <w:color w:val="231F20"/>
          <w:w w:val="105"/>
        </w:rPr>
        <w:t>Este</w:t>
      </w:r>
      <w:r>
        <w:rPr>
          <w:color w:val="231F20"/>
          <w:spacing w:val="-16"/>
          <w:w w:val="105"/>
        </w:rPr>
        <w:t> </w:t>
      </w:r>
      <w:r>
        <w:rPr>
          <w:color w:val="231F20"/>
          <w:w w:val="105"/>
        </w:rPr>
        <w:t>pilar</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segundo</w:t>
      </w:r>
      <w:r>
        <w:rPr>
          <w:color w:val="231F20"/>
          <w:spacing w:val="-16"/>
          <w:w w:val="105"/>
        </w:rPr>
        <w:t> </w:t>
      </w:r>
      <w:r>
        <w:rPr>
          <w:color w:val="231F20"/>
          <w:w w:val="105"/>
        </w:rPr>
        <w:t>en</w:t>
      </w:r>
      <w:r>
        <w:rPr>
          <w:color w:val="231F20"/>
          <w:spacing w:val="-16"/>
          <w:w w:val="105"/>
        </w:rPr>
        <w:t> </w:t>
      </w:r>
      <w:r>
        <w:rPr>
          <w:color w:val="231F20"/>
          <w:spacing w:val="-3"/>
          <w:w w:val="105"/>
        </w:rPr>
        <w:t>donde</w:t>
      </w:r>
      <w:r>
        <w:rPr>
          <w:color w:val="231F20"/>
          <w:spacing w:val="-16"/>
          <w:w w:val="105"/>
        </w:rPr>
        <w:t> </w:t>
      </w:r>
      <w:r>
        <w:rPr>
          <w:color w:val="231F20"/>
          <w:w w:val="105"/>
        </w:rPr>
        <w:t>se</w:t>
      </w:r>
      <w:r>
        <w:rPr>
          <w:color w:val="231F20"/>
          <w:spacing w:val="-16"/>
          <w:w w:val="105"/>
        </w:rPr>
        <w:t> </w:t>
      </w:r>
      <w:r>
        <w:rPr>
          <w:color w:val="231F20"/>
          <w:w w:val="105"/>
        </w:rPr>
        <w:t>presenta</w:t>
      </w:r>
      <w:r>
        <w:rPr>
          <w:color w:val="231F20"/>
          <w:spacing w:val="-16"/>
          <w:w w:val="105"/>
        </w:rPr>
        <w:t> </w:t>
      </w:r>
      <w:r>
        <w:rPr>
          <w:color w:val="231F20"/>
          <w:w w:val="105"/>
        </w:rPr>
        <w:t>el</w:t>
      </w:r>
      <w:r>
        <w:rPr>
          <w:color w:val="231F20"/>
          <w:spacing w:val="-16"/>
          <w:w w:val="105"/>
        </w:rPr>
        <w:t> </w:t>
      </w:r>
      <w:r>
        <w:rPr>
          <w:color w:val="231F20"/>
          <w:w w:val="105"/>
        </w:rPr>
        <w:t>mayor</w:t>
      </w:r>
      <w:r>
        <w:rPr>
          <w:color w:val="231F20"/>
          <w:spacing w:val="-16"/>
          <w:w w:val="105"/>
        </w:rPr>
        <w:t> </w:t>
      </w:r>
      <w:r>
        <w:rPr>
          <w:color w:val="231F20"/>
          <w:w w:val="105"/>
        </w:rPr>
        <w:t>número</w:t>
      </w:r>
      <w:r>
        <w:rPr>
          <w:color w:val="231F20"/>
          <w:spacing w:val="-16"/>
          <w:w w:val="105"/>
        </w:rPr>
        <w:t> </w:t>
      </w:r>
      <w:r>
        <w:rPr>
          <w:color w:val="231F20"/>
          <w:w w:val="105"/>
        </w:rPr>
        <w:t>de</w:t>
      </w:r>
      <w:r>
        <w:rPr>
          <w:color w:val="231F20"/>
          <w:spacing w:val="-16"/>
          <w:w w:val="105"/>
        </w:rPr>
        <w:t> </w:t>
      </w:r>
      <w:r>
        <w:rPr>
          <w:color w:val="231F20"/>
          <w:w w:val="105"/>
        </w:rPr>
        <w:t>demandas,</w:t>
      </w:r>
      <w:r>
        <w:rPr>
          <w:color w:val="231F20"/>
          <w:spacing w:val="-16"/>
          <w:w w:val="105"/>
        </w:rPr>
        <w:t> </w:t>
      </w:r>
      <w:r>
        <w:rPr>
          <w:color w:val="231F20"/>
          <w:w w:val="105"/>
        </w:rPr>
        <w:t>puesto</w:t>
      </w:r>
      <w:r>
        <w:rPr>
          <w:color w:val="231F20"/>
          <w:spacing w:val="-16"/>
          <w:w w:val="105"/>
        </w:rPr>
        <w:t> </w:t>
      </w:r>
      <w:r>
        <w:rPr>
          <w:color w:val="231F20"/>
          <w:w w:val="105"/>
        </w:rPr>
        <w:t>que concentra</w:t>
      </w:r>
      <w:r>
        <w:rPr>
          <w:color w:val="231F20"/>
          <w:spacing w:val="-19"/>
          <w:w w:val="105"/>
        </w:rPr>
        <w:t> </w:t>
      </w:r>
      <w:r>
        <w:rPr>
          <w:color w:val="231F20"/>
          <w:w w:val="105"/>
        </w:rPr>
        <w:t>el</w:t>
      </w:r>
      <w:r>
        <w:rPr>
          <w:color w:val="231F20"/>
          <w:spacing w:val="-19"/>
          <w:w w:val="105"/>
        </w:rPr>
        <w:t> </w:t>
      </w:r>
      <w:r>
        <w:rPr>
          <w:color w:val="231F20"/>
          <w:w w:val="105"/>
        </w:rPr>
        <w:t>43.9%</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mismas</w:t>
      </w:r>
      <w:r>
        <w:rPr>
          <w:color w:val="231F20"/>
          <w:spacing w:val="-19"/>
          <w:w w:val="105"/>
        </w:rPr>
        <w:t> </w:t>
      </w:r>
      <w:r>
        <w:rPr>
          <w:color w:val="231F20"/>
          <w:spacing w:val="-4"/>
          <w:w w:val="105"/>
        </w:rPr>
        <w:t>(ver</w:t>
      </w:r>
      <w:r>
        <w:rPr>
          <w:color w:val="231F20"/>
          <w:spacing w:val="-19"/>
          <w:w w:val="105"/>
        </w:rPr>
        <w:t> </w:t>
      </w:r>
      <w:r>
        <w:rPr>
          <w:color w:val="231F20"/>
          <w:w w:val="105"/>
        </w:rPr>
        <w:t>cuadro</w:t>
      </w:r>
      <w:r>
        <w:rPr>
          <w:color w:val="231F20"/>
          <w:spacing w:val="-19"/>
          <w:w w:val="105"/>
        </w:rPr>
        <w:t> </w:t>
      </w:r>
      <w:r>
        <w:rPr>
          <w:color w:val="231F20"/>
          <w:spacing w:val="-5"/>
          <w:w w:val="105"/>
        </w:rPr>
        <w:t>9).</w:t>
      </w:r>
    </w:p>
    <w:p>
      <w:pPr>
        <w:pStyle w:val="BodyText"/>
        <w:spacing w:before="1"/>
        <w:rPr>
          <w:sz w:val="26"/>
        </w:rPr>
      </w:pPr>
    </w:p>
    <w:p>
      <w:pPr>
        <w:pStyle w:val="Heading5"/>
        <w:ind w:left="538" w:right="576"/>
        <w:jc w:val="center"/>
      </w:pPr>
      <w:r>
        <w:rPr>
          <w:color w:val="231F20"/>
          <w:w w:val="105"/>
        </w:rPr>
        <w:t>Cuadro 9</w:t>
      </w:r>
    </w:p>
    <w:p>
      <w:pPr>
        <w:spacing w:before="47"/>
        <w:ind w:left="538" w:right="576" w:firstLine="0"/>
        <w:jc w:val="center"/>
        <w:rPr>
          <w:b/>
          <w:sz w:val="22"/>
        </w:rPr>
      </w:pPr>
      <w:r>
        <w:rPr/>
        <w:pict>
          <v:group style="position:absolute;margin-left:42.269699pt;margin-top:27.597513pt;width:399.1pt;height:6.9pt;mso-position-horizontal-relative:page;mso-position-vertical-relative:paragraph;z-index:-593656" coordorigin="845,552" coordsize="7982,138">
            <v:rect style="position:absolute;left:858;top:557;width:2372;height:133" filled="true" fillcolor="#c0c0bf" stroked="false">
              <v:fill type="solid"/>
            </v:rect>
            <v:line style="position:absolute" from="3230,557" to="3230,689" stroked="true" strokeweight=".001pt" strokecolor="#c0c0bf"/>
            <v:shape style="position:absolute;left:3230;top:557;width:5584;height:133" coordorigin="3230,557" coordsize="5584,133" path="m5197,557l4547,557,3230,557,3230,689,4547,689,5197,689,5197,557m8814,557l5197,557,5197,689,8814,689,8814,557e" filled="true" fillcolor="#c0c0bf" stroked="false">
              <v:path arrowok="t"/>
              <v:fill type="solid"/>
            </v:shape>
            <v:line style="position:absolute" from="858,682" to="858,562" stroked="true" strokeweight=".75pt" strokecolor="#ffffff"/>
            <v:line style="position:absolute" from="8814,682" to="8814,562" stroked="true" strokeweight=".75pt" strokecolor="#ffffff"/>
            <v:line style="position:absolute" from="850,557" to="3230,557" stroked="true" strokeweight=".5pt" strokecolor="#231f20"/>
            <v:line style="position:absolute" from="3230,557" to="4547,557" stroked="true" strokeweight=".5pt" strokecolor="#231f20"/>
            <v:line style="position:absolute" from="4547,557" to="5197,557" stroked="true" strokeweight=".5pt" strokecolor="#231f20"/>
            <v:line style="position:absolute" from="5197,557" to="8822,557" stroked="true" strokeweight=".5pt" strokecolor="#231f20"/>
            <w10:wrap type="none"/>
          </v:group>
        </w:pict>
      </w:r>
      <w:r>
        <w:rPr>
          <w:b/>
          <w:color w:val="231F20"/>
          <w:w w:val="105"/>
          <w:sz w:val="22"/>
        </w:rPr>
        <w:t>Clasificación Programática de la Demanda. Pilar Seguridad Económica</w:t>
      </w:r>
    </w:p>
    <w:p>
      <w:pPr>
        <w:pStyle w:val="BodyText"/>
        <w:spacing w:before="10"/>
        <w:rPr>
          <w:b/>
          <w:sz w:val="21"/>
        </w:rPr>
      </w:pPr>
    </w:p>
    <w:tbl>
      <w:tblPr>
        <w:tblW w:w="0" w:type="auto"/>
        <w:jc w:val="left"/>
        <w:tblInd w:w="10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78"/>
        <w:gridCol w:w="1316"/>
        <w:gridCol w:w="650"/>
        <w:gridCol w:w="3623"/>
      </w:tblGrid>
      <w:tr>
        <w:trPr>
          <w:trHeight w:val="138" w:hRule="exact"/>
        </w:trPr>
        <w:tc>
          <w:tcPr>
            <w:tcW w:w="2378" w:type="dxa"/>
            <w:tcBorders>
              <w:top w:val="nil"/>
              <w:left w:val="nil"/>
              <w:bottom w:val="single" w:sz="6" w:space="0" w:color="FFFFFF"/>
              <w:right w:val="nil"/>
            </w:tcBorders>
            <w:shd w:val="clear" w:color="auto" w:fill="C0C0BF"/>
          </w:tcPr>
          <w:p>
            <w:pPr>
              <w:pStyle w:val="TableParagraph"/>
              <w:spacing w:line="170" w:lineRule="exact"/>
              <w:ind w:left="834" w:right="826"/>
              <w:jc w:val="center"/>
              <w:rPr>
                <w:b/>
                <w:sz w:val="16"/>
              </w:rPr>
            </w:pPr>
            <w:r>
              <w:rPr>
                <w:b/>
                <w:color w:val="231F20"/>
                <w:w w:val="95"/>
                <w:sz w:val="16"/>
              </w:rPr>
              <w:t>Programas</w:t>
            </w:r>
          </w:p>
        </w:tc>
        <w:tc>
          <w:tcPr>
            <w:tcW w:w="1316" w:type="dxa"/>
            <w:tcBorders>
              <w:top w:val="nil"/>
              <w:left w:val="nil"/>
              <w:bottom w:val="single" w:sz="6" w:space="0" w:color="FFFFFF"/>
              <w:right w:val="nil"/>
            </w:tcBorders>
            <w:shd w:val="clear" w:color="auto" w:fill="C0C0BF"/>
          </w:tcPr>
          <w:p>
            <w:pPr>
              <w:pStyle w:val="TableParagraph"/>
              <w:spacing w:line="170" w:lineRule="exact"/>
              <w:ind w:left="356" w:right="354"/>
              <w:jc w:val="center"/>
              <w:rPr>
                <w:b/>
                <w:sz w:val="16"/>
              </w:rPr>
            </w:pPr>
            <w:r>
              <w:rPr>
                <w:b/>
                <w:color w:val="231F20"/>
                <w:w w:val="95"/>
                <w:sz w:val="16"/>
              </w:rPr>
              <w:t>Cantidad</w:t>
            </w:r>
          </w:p>
        </w:tc>
        <w:tc>
          <w:tcPr>
            <w:tcW w:w="650" w:type="dxa"/>
            <w:tcBorders>
              <w:top w:val="nil"/>
              <w:left w:val="nil"/>
              <w:bottom w:val="single" w:sz="6" w:space="0" w:color="FFFFFF"/>
              <w:right w:val="nil"/>
            </w:tcBorders>
            <w:shd w:val="clear" w:color="auto" w:fill="C0C0BF"/>
          </w:tcPr>
          <w:p>
            <w:pPr>
              <w:pStyle w:val="TableParagraph"/>
              <w:spacing w:line="170" w:lineRule="exact"/>
              <w:ind w:left="211" w:right="211"/>
              <w:jc w:val="center"/>
              <w:rPr>
                <w:b/>
                <w:sz w:val="16"/>
              </w:rPr>
            </w:pPr>
            <w:r>
              <w:rPr>
                <w:b/>
                <w:color w:val="231F20"/>
                <w:w w:val="95"/>
                <w:sz w:val="16"/>
              </w:rPr>
              <w:t>%*</w:t>
            </w:r>
          </w:p>
        </w:tc>
        <w:tc>
          <w:tcPr>
            <w:tcW w:w="3623" w:type="dxa"/>
            <w:tcBorders>
              <w:top w:val="nil"/>
              <w:left w:val="nil"/>
              <w:bottom w:val="single" w:sz="6" w:space="0" w:color="FFFFFF"/>
              <w:right w:val="nil"/>
            </w:tcBorders>
            <w:shd w:val="clear" w:color="auto" w:fill="C0C0BF"/>
          </w:tcPr>
          <w:p>
            <w:pPr>
              <w:pStyle w:val="TableParagraph"/>
              <w:spacing w:line="170" w:lineRule="exact"/>
              <w:ind w:left="980" w:right="983"/>
              <w:jc w:val="center"/>
              <w:rPr>
                <w:b/>
                <w:sz w:val="16"/>
              </w:rPr>
            </w:pPr>
            <w:r>
              <w:rPr>
                <w:b/>
                <w:color w:val="231F20"/>
                <w:w w:val="85"/>
                <w:sz w:val="16"/>
              </w:rPr>
              <w:t>Demanda de mayor solicitud</w:t>
            </w:r>
          </w:p>
        </w:tc>
      </w:tr>
      <w:tr>
        <w:trPr>
          <w:trHeight w:val="478" w:hRule="exact"/>
        </w:trPr>
        <w:tc>
          <w:tcPr>
            <w:tcW w:w="2378" w:type="dxa"/>
            <w:tcBorders>
              <w:top w:val="single" w:sz="6" w:space="0" w:color="FFFFFF"/>
              <w:left w:val="double" w:sz="2" w:space="0" w:color="231F20"/>
            </w:tcBorders>
          </w:tcPr>
          <w:p>
            <w:pPr>
              <w:pStyle w:val="TableParagraph"/>
              <w:spacing w:line="192" w:lineRule="exact" w:before="43"/>
              <w:ind w:left="723" w:right="127" w:hanging="292"/>
              <w:rPr>
                <w:sz w:val="16"/>
              </w:rPr>
            </w:pPr>
            <w:r>
              <w:rPr>
                <w:color w:val="231F20"/>
                <w:w w:val="75"/>
                <w:sz w:val="16"/>
              </w:rPr>
              <w:t>Desarrollo Agrícola y Pecuario Fomento Pecuario</w:t>
            </w:r>
          </w:p>
        </w:tc>
        <w:tc>
          <w:tcPr>
            <w:tcW w:w="1316" w:type="dxa"/>
            <w:tcBorders>
              <w:top w:val="single" w:sz="6" w:space="0" w:color="FFFFFF"/>
            </w:tcBorders>
          </w:tcPr>
          <w:p>
            <w:pPr>
              <w:pStyle w:val="TableParagraph"/>
              <w:spacing w:before="140"/>
              <w:ind w:left="0"/>
              <w:jc w:val="center"/>
              <w:rPr>
                <w:sz w:val="16"/>
              </w:rPr>
            </w:pPr>
            <w:r>
              <w:rPr>
                <w:color w:val="231F20"/>
                <w:w w:val="75"/>
                <w:sz w:val="16"/>
              </w:rPr>
              <w:t>7</w:t>
            </w:r>
          </w:p>
        </w:tc>
        <w:tc>
          <w:tcPr>
            <w:tcW w:w="650" w:type="dxa"/>
            <w:tcBorders>
              <w:top w:val="single" w:sz="6" w:space="0" w:color="FFFFFF"/>
            </w:tcBorders>
          </w:tcPr>
          <w:p>
            <w:pPr>
              <w:pStyle w:val="TableParagraph"/>
              <w:spacing w:before="140"/>
              <w:ind w:left="179" w:right="179"/>
              <w:jc w:val="center"/>
              <w:rPr>
                <w:sz w:val="16"/>
              </w:rPr>
            </w:pPr>
            <w:r>
              <w:rPr>
                <w:color w:val="231F20"/>
                <w:w w:val="85"/>
                <w:sz w:val="16"/>
              </w:rPr>
              <w:t>1.6</w:t>
            </w:r>
          </w:p>
        </w:tc>
        <w:tc>
          <w:tcPr>
            <w:tcW w:w="3623" w:type="dxa"/>
            <w:tcBorders>
              <w:top w:val="single" w:sz="6" w:space="0" w:color="FFFFFF"/>
              <w:right w:val="double" w:sz="2" w:space="0" w:color="231F20"/>
            </w:tcBorders>
          </w:tcPr>
          <w:p>
            <w:pPr>
              <w:pStyle w:val="TableParagraph"/>
              <w:spacing w:before="140"/>
              <w:ind w:left="124" w:right="124"/>
              <w:jc w:val="center"/>
              <w:rPr>
                <w:sz w:val="16"/>
              </w:rPr>
            </w:pPr>
            <w:r>
              <w:rPr>
                <w:color w:val="231F20"/>
                <w:w w:val="85"/>
                <w:sz w:val="16"/>
              </w:rPr>
              <w:t>Bordos</w:t>
            </w:r>
          </w:p>
        </w:tc>
      </w:tr>
      <w:tr>
        <w:trPr>
          <w:trHeight w:val="395" w:hRule="exact"/>
        </w:trPr>
        <w:tc>
          <w:tcPr>
            <w:tcW w:w="2378" w:type="dxa"/>
            <w:tcBorders>
              <w:left w:val="double" w:sz="2" w:space="0" w:color="231F20"/>
            </w:tcBorders>
          </w:tcPr>
          <w:p>
            <w:pPr>
              <w:pStyle w:val="TableParagraph"/>
              <w:spacing w:before="100"/>
              <w:ind w:left="285" w:right="291"/>
              <w:jc w:val="center"/>
              <w:rPr>
                <w:sz w:val="16"/>
              </w:rPr>
            </w:pPr>
            <w:r>
              <w:rPr>
                <w:color w:val="231F20"/>
                <w:w w:val="75"/>
                <w:sz w:val="16"/>
              </w:rPr>
              <w:t>Desarrollo Urbano</w:t>
            </w:r>
          </w:p>
        </w:tc>
        <w:tc>
          <w:tcPr>
            <w:tcW w:w="1316" w:type="dxa"/>
          </w:tcPr>
          <w:p>
            <w:pPr>
              <w:pStyle w:val="TableParagraph"/>
              <w:spacing w:before="100"/>
              <w:ind w:left="529" w:right="529"/>
              <w:jc w:val="center"/>
              <w:rPr>
                <w:sz w:val="16"/>
              </w:rPr>
            </w:pPr>
            <w:r>
              <w:rPr>
                <w:color w:val="231F20"/>
                <w:w w:val="85"/>
                <w:sz w:val="16"/>
              </w:rPr>
              <w:t>55</w:t>
            </w:r>
          </w:p>
        </w:tc>
        <w:tc>
          <w:tcPr>
            <w:tcW w:w="650" w:type="dxa"/>
          </w:tcPr>
          <w:p>
            <w:pPr>
              <w:pStyle w:val="TableParagraph"/>
              <w:spacing w:before="100"/>
              <w:ind w:left="179" w:right="179"/>
              <w:jc w:val="center"/>
              <w:rPr>
                <w:sz w:val="16"/>
              </w:rPr>
            </w:pPr>
            <w:r>
              <w:rPr>
                <w:color w:val="231F20"/>
                <w:w w:val="85"/>
                <w:sz w:val="16"/>
              </w:rPr>
              <w:t>12.8</w:t>
            </w:r>
          </w:p>
        </w:tc>
        <w:tc>
          <w:tcPr>
            <w:tcW w:w="3623" w:type="dxa"/>
            <w:tcBorders>
              <w:right w:val="double" w:sz="2" w:space="0" w:color="231F20"/>
            </w:tcBorders>
          </w:tcPr>
          <w:p>
            <w:pPr>
              <w:pStyle w:val="TableParagraph"/>
              <w:spacing w:before="100"/>
              <w:ind w:left="123" w:right="124"/>
              <w:jc w:val="center"/>
              <w:rPr>
                <w:sz w:val="16"/>
              </w:rPr>
            </w:pPr>
            <w:r>
              <w:rPr>
                <w:color w:val="231F20"/>
                <w:w w:val="75"/>
                <w:sz w:val="16"/>
              </w:rPr>
              <w:t>Guarniciones y vialidades</w:t>
            </w:r>
          </w:p>
        </w:tc>
      </w:tr>
      <w:tr>
        <w:trPr>
          <w:trHeight w:val="413" w:hRule="exact"/>
        </w:trPr>
        <w:tc>
          <w:tcPr>
            <w:tcW w:w="2378" w:type="dxa"/>
            <w:tcBorders>
              <w:left w:val="double" w:sz="2" w:space="0" w:color="231F20"/>
            </w:tcBorders>
          </w:tcPr>
          <w:p>
            <w:pPr>
              <w:pStyle w:val="TableParagraph"/>
              <w:spacing w:before="109"/>
              <w:ind w:left="285" w:right="291"/>
              <w:jc w:val="center"/>
              <w:rPr>
                <w:sz w:val="16"/>
              </w:rPr>
            </w:pPr>
            <w:r>
              <w:rPr>
                <w:color w:val="231F20"/>
                <w:w w:val="85"/>
                <w:sz w:val="16"/>
              </w:rPr>
              <w:t>Vivienda</w:t>
            </w:r>
          </w:p>
        </w:tc>
        <w:tc>
          <w:tcPr>
            <w:tcW w:w="1316" w:type="dxa"/>
          </w:tcPr>
          <w:p>
            <w:pPr>
              <w:pStyle w:val="TableParagraph"/>
              <w:spacing w:before="109"/>
              <w:ind w:left="0"/>
              <w:jc w:val="center"/>
              <w:rPr>
                <w:sz w:val="16"/>
              </w:rPr>
            </w:pPr>
            <w:r>
              <w:rPr>
                <w:color w:val="231F20"/>
                <w:w w:val="75"/>
                <w:sz w:val="16"/>
              </w:rPr>
              <w:t>3</w:t>
            </w:r>
          </w:p>
        </w:tc>
        <w:tc>
          <w:tcPr>
            <w:tcW w:w="650" w:type="dxa"/>
          </w:tcPr>
          <w:p>
            <w:pPr>
              <w:pStyle w:val="TableParagraph"/>
              <w:spacing w:before="109"/>
              <w:ind w:left="179" w:right="179"/>
              <w:jc w:val="center"/>
              <w:rPr>
                <w:sz w:val="16"/>
              </w:rPr>
            </w:pPr>
            <w:r>
              <w:rPr>
                <w:color w:val="231F20"/>
                <w:w w:val="85"/>
                <w:sz w:val="16"/>
              </w:rPr>
              <w:t>0.06</w:t>
            </w:r>
          </w:p>
        </w:tc>
        <w:tc>
          <w:tcPr>
            <w:tcW w:w="3623" w:type="dxa"/>
            <w:tcBorders>
              <w:right w:val="double" w:sz="2" w:space="0" w:color="231F20"/>
            </w:tcBorders>
          </w:tcPr>
          <w:p>
            <w:pPr>
              <w:pStyle w:val="TableParagraph"/>
              <w:spacing w:before="109"/>
              <w:ind w:left="123" w:right="124"/>
              <w:jc w:val="center"/>
              <w:rPr>
                <w:sz w:val="16"/>
              </w:rPr>
            </w:pPr>
            <w:r>
              <w:rPr>
                <w:color w:val="231F20"/>
                <w:w w:val="80"/>
                <w:sz w:val="16"/>
              </w:rPr>
              <w:t>Depósitos de agua y materiales</w:t>
            </w:r>
          </w:p>
        </w:tc>
      </w:tr>
      <w:tr>
        <w:trPr>
          <w:trHeight w:val="364" w:hRule="exact"/>
        </w:trPr>
        <w:tc>
          <w:tcPr>
            <w:tcW w:w="2378" w:type="dxa"/>
            <w:tcBorders>
              <w:left w:val="double" w:sz="2" w:space="0" w:color="231F20"/>
            </w:tcBorders>
          </w:tcPr>
          <w:p>
            <w:pPr>
              <w:pStyle w:val="TableParagraph"/>
              <w:spacing w:before="84"/>
              <w:ind w:left="286" w:right="291"/>
              <w:jc w:val="center"/>
              <w:rPr>
                <w:sz w:val="16"/>
              </w:rPr>
            </w:pPr>
            <w:r>
              <w:rPr>
                <w:color w:val="231F20"/>
                <w:w w:val="80"/>
                <w:sz w:val="16"/>
              </w:rPr>
              <w:t>Agua y Saneamiento</w:t>
            </w:r>
          </w:p>
        </w:tc>
        <w:tc>
          <w:tcPr>
            <w:tcW w:w="1316" w:type="dxa"/>
          </w:tcPr>
          <w:p>
            <w:pPr>
              <w:pStyle w:val="TableParagraph"/>
              <w:spacing w:before="84"/>
              <w:ind w:left="529" w:right="528"/>
              <w:jc w:val="center"/>
              <w:rPr>
                <w:sz w:val="16"/>
              </w:rPr>
            </w:pPr>
            <w:r>
              <w:rPr>
                <w:color w:val="231F20"/>
                <w:w w:val="85"/>
                <w:sz w:val="16"/>
              </w:rPr>
              <w:t>58</w:t>
            </w:r>
          </w:p>
        </w:tc>
        <w:tc>
          <w:tcPr>
            <w:tcW w:w="650" w:type="dxa"/>
          </w:tcPr>
          <w:p>
            <w:pPr>
              <w:pStyle w:val="TableParagraph"/>
              <w:spacing w:before="84"/>
              <w:ind w:left="179" w:right="179"/>
              <w:jc w:val="center"/>
              <w:rPr>
                <w:sz w:val="16"/>
              </w:rPr>
            </w:pPr>
            <w:r>
              <w:rPr>
                <w:color w:val="231F20"/>
                <w:w w:val="85"/>
                <w:sz w:val="16"/>
              </w:rPr>
              <w:t>13.5</w:t>
            </w:r>
          </w:p>
        </w:tc>
        <w:tc>
          <w:tcPr>
            <w:tcW w:w="3623" w:type="dxa"/>
            <w:tcBorders>
              <w:right w:val="double" w:sz="2" w:space="0" w:color="231F20"/>
            </w:tcBorders>
          </w:tcPr>
          <w:p>
            <w:pPr>
              <w:pStyle w:val="TableParagraph"/>
              <w:spacing w:before="84"/>
              <w:ind w:left="124" w:right="124"/>
              <w:jc w:val="center"/>
              <w:rPr>
                <w:sz w:val="16"/>
              </w:rPr>
            </w:pPr>
            <w:r>
              <w:rPr>
                <w:color w:val="231F20"/>
                <w:w w:val="80"/>
                <w:sz w:val="16"/>
              </w:rPr>
              <w:t>Red de agua y fosas y redes de drenaje</w:t>
            </w:r>
          </w:p>
        </w:tc>
      </w:tr>
      <w:tr>
        <w:trPr>
          <w:trHeight w:val="407" w:hRule="exact"/>
        </w:trPr>
        <w:tc>
          <w:tcPr>
            <w:tcW w:w="2378" w:type="dxa"/>
            <w:tcBorders>
              <w:left w:val="double" w:sz="2" w:space="0" w:color="231F20"/>
            </w:tcBorders>
          </w:tcPr>
          <w:p>
            <w:pPr>
              <w:pStyle w:val="TableParagraph"/>
              <w:spacing w:before="106"/>
              <w:ind w:left="286" w:right="291"/>
              <w:jc w:val="center"/>
              <w:rPr>
                <w:sz w:val="16"/>
              </w:rPr>
            </w:pPr>
            <w:r>
              <w:rPr>
                <w:color w:val="231F20"/>
                <w:w w:val="75"/>
                <w:sz w:val="16"/>
              </w:rPr>
              <w:t>Electrificación y Alumbrado  Público</w:t>
            </w:r>
          </w:p>
        </w:tc>
        <w:tc>
          <w:tcPr>
            <w:tcW w:w="1316" w:type="dxa"/>
          </w:tcPr>
          <w:p>
            <w:pPr>
              <w:pStyle w:val="TableParagraph"/>
              <w:spacing w:before="106"/>
              <w:ind w:left="528" w:right="529"/>
              <w:jc w:val="center"/>
              <w:rPr>
                <w:sz w:val="16"/>
              </w:rPr>
            </w:pPr>
            <w:r>
              <w:rPr>
                <w:color w:val="231F20"/>
                <w:w w:val="85"/>
                <w:sz w:val="16"/>
              </w:rPr>
              <w:t>24</w:t>
            </w:r>
          </w:p>
        </w:tc>
        <w:tc>
          <w:tcPr>
            <w:tcW w:w="650" w:type="dxa"/>
          </w:tcPr>
          <w:p>
            <w:pPr>
              <w:pStyle w:val="TableParagraph"/>
              <w:spacing w:before="106"/>
              <w:ind w:left="179" w:right="179"/>
              <w:jc w:val="center"/>
              <w:rPr>
                <w:sz w:val="16"/>
              </w:rPr>
            </w:pPr>
            <w:r>
              <w:rPr>
                <w:color w:val="231F20"/>
                <w:w w:val="85"/>
                <w:sz w:val="16"/>
              </w:rPr>
              <w:t>5.6</w:t>
            </w:r>
          </w:p>
        </w:tc>
        <w:tc>
          <w:tcPr>
            <w:tcW w:w="3623" w:type="dxa"/>
            <w:tcBorders>
              <w:right w:val="double" w:sz="2" w:space="0" w:color="231F20"/>
            </w:tcBorders>
          </w:tcPr>
          <w:p>
            <w:pPr>
              <w:pStyle w:val="TableParagraph"/>
              <w:spacing w:before="106"/>
              <w:ind w:left="124" w:right="124"/>
              <w:jc w:val="center"/>
              <w:rPr>
                <w:sz w:val="16"/>
              </w:rPr>
            </w:pPr>
            <w:r>
              <w:rPr>
                <w:color w:val="231F20"/>
                <w:w w:val="75"/>
                <w:sz w:val="16"/>
              </w:rPr>
              <w:t>Electrificación y luminarias</w:t>
            </w:r>
          </w:p>
        </w:tc>
      </w:tr>
      <w:tr>
        <w:trPr>
          <w:trHeight w:val="425" w:hRule="exact"/>
        </w:trPr>
        <w:tc>
          <w:tcPr>
            <w:tcW w:w="2378" w:type="dxa"/>
            <w:tcBorders>
              <w:left w:val="double" w:sz="2" w:space="0" w:color="231F20"/>
            </w:tcBorders>
          </w:tcPr>
          <w:p>
            <w:pPr>
              <w:pStyle w:val="TableParagraph"/>
              <w:spacing w:line="192" w:lineRule="exact" w:before="18"/>
              <w:ind w:left="907" w:right="127" w:hanging="780"/>
              <w:rPr>
                <w:sz w:val="16"/>
              </w:rPr>
            </w:pPr>
            <w:r>
              <w:rPr>
                <w:color w:val="231F20"/>
                <w:w w:val="80"/>
                <w:sz w:val="16"/>
              </w:rPr>
              <w:t>Modernización</w:t>
            </w:r>
            <w:r>
              <w:rPr>
                <w:color w:val="231F20"/>
                <w:spacing w:val="-21"/>
                <w:w w:val="80"/>
                <w:sz w:val="16"/>
              </w:rPr>
              <w:t> </w:t>
            </w:r>
            <w:r>
              <w:rPr>
                <w:color w:val="231F20"/>
                <w:w w:val="80"/>
                <w:sz w:val="16"/>
              </w:rPr>
              <w:t>de</w:t>
            </w:r>
            <w:r>
              <w:rPr>
                <w:color w:val="231F20"/>
                <w:spacing w:val="-21"/>
                <w:w w:val="80"/>
                <w:sz w:val="16"/>
              </w:rPr>
              <w:t> </w:t>
            </w:r>
            <w:r>
              <w:rPr>
                <w:color w:val="231F20"/>
                <w:w w:val="80"/>
                <w:sz w:val="16"/>
              </w:rPr>
              <w:t>las</w:t>
            </w:r>
            <w:r>
              <w:rPr>
                <w:color w:val="231F20"/>
                <w:spacing w:val="-21"/>
                <w:w w:val="80"/>
                <w:sz w:val="16"/>
              </w:rPr>
              <w:t> </w:t>
            </w:r>
            <w:r>
              <w:rPr>
                <w:color w:val="231F20"/>
                <w:w w:val="80"/>
                <w:sz w:val="16"/>
              </w:rPr>
              <w:t>Comunicaciones</w:t>
            </w:r>
            <w:r>
              <w:rPr>
                <w:color w:val="231F20"/>
                <w:spacing w:val="-21"/>
                <w:w w:val="80"/>
                <w:sz w:val="16"/>
              </w:rPr>
              <w:t> </w:t>
            </w:r>
            <w:r>
              <w:rPr>
                <w:color w:val="231F20"/>
                <w:w w:val="80"/>
                <w:sz w:val="16"/>
              </w:rPr>
              <w:t>y</w:t>
            </w:r>
            <w:r>
              <w:rPr>
                <w:color w:val="231F20"/>
                <w:spacing w:val="-21"/>
                <w:w w:val="80"/>
                <w:sz w:val="16"/>
              </w:rPr>
              <w:t> </w:t>
            </w:r>
            <w:r>
              <w:rPr>
                <w:color w:val="231F20"/>
                <w:w w:val="80"/>
                <w:sz w:val="16"/>
              </w:rPr>
              <w:t>el </w:t>
            </w:r>
            <w:r>
              <w:rPr>
                <w:color w:val="231F20"/>
                <w:w w:val="85"/>
                <w:sz w:val="16"/>
              </w:rPr>
              <w:t>Transporte</w:t>
            </w:r>
          </w:p>
        </w:tc>
        <w:tc>
          <w:tcPr>
            <w:tcW w:w="1316" w:type="dxa"/>
          </w:tcPr>
          <w:p>
            <w:pPr>
              <w:pStyle w:val="TableParagraph"/>
              <w:spacing w:before="115"/>
              <w:ind w:left="529" w:right="529"/>
              <w:jc w:val="center"/>
              <w:rPr>
                <w:sz w:val="16"/>
              </w:rPr>
            </w:pPr>
            <w:r>
              <w:rPr>
                <w:color w:val="231F20"/>
                <w:w w:val="85"/>
                <w:sz w:val="16"/>
              </w:rPr>
              <w:t>42</w:t>
            </w:r>
          </w:p>
        </w:tc>
        <w:tc>
          <w:tcPr>
            <w:tcW w:w="650" w:type="dxa"/>
          </w:tcPr>
          <w:p>
            <w:pPr>
              <w:pStyle w:val="TableParagraph"/>
              <w:spacing w:before="115"/>
              <w:ind w:left="179" w:right="179"/>
              <w:jc w:val="center"/>
              <w:rPr>
                <w:sz w:val="16"/>
              </w:rPr>
            </w:pPr>
            <w:r>
              <w:rPr>
                <w:color w:val="231F20"/>
                <w:w w:val="85"/>
                <w:sz w:val="16"/>
              </w:rPr>
              <w:t>9.7</w:t>
            </w:r>
          </w:p>
        </w:tc>
        <w:tc>
          <w:tcPr>
            <w:tcW w:w="3623" w:type="dxa"/>
            <w:tcBorders>
              <w:right w:val="double" w:sz="2" w:space="0" w:color="231F20"/>
            </w:tcBorders>
          </w:tcPr>
          <w:p>
            <w:pPr>
              <w:pStyle w:val="TableParagraph"/>
              <w:spacing w:before="115"/>
              <w:ind w:left="124" w:right="124"/>
              <w:jc w:val="center"/>
              <w:rPr>
                <w:sz w:val="16"/>
              </w:rPr>
            </w:pPr>
            <w:r>
              <w:rPr>
                <w:color w:val="231F20"/>
                <w:w w:val="80"/>
                <w:sz w:val="16"/>
              </w:rPr>
              <w:t>Rehabilitación y apertura de caminos y construcción de puentes</w:t>
            </w:r>
          </w:p>
        </w:tc>
      </w:tr>
      <w:tr>
        <w:trPr>
          <w:trHeight w:val="377" w:hRule="exact"/>
        </w:trPr>
        <w:tc>
          <w:tcPr>
            <w:tcW w:w="2378" w:type="dxa"/>
            <w:tcBorders>
              <w:left w:val="double" w:sz="2" w:space="0" w:color="231F20"/>
              <w:bottom w:val="double" w:sz="2" w:space="0" w:color="231F20"/>
            </w:tcBorders>
          </w:tcPr>
          <w:p>
            <w:pPr>
              <w:pStyle w:val="TableParagraph"/>
              <w:spacing w:before="88"/>
              <w:ind w:left="285" w:right="291"/>
              <w:jc w:val="center"/>
              <w:rPr>
                <w:b/>
                <w:sz w:val="16"/>
              </w:rPr>
            </w:pPr>
            <w:r>
              <w:rPr>
                <w:b/>
                <w:color w:val="231F20"/>
                <w:w w:val="110"/>
                <w:sz w:val="16"/>
              </w:rPr>
              <w:t>Total</w:t>
            </w:r>
          </w:p>
        </w:tc>
        <w:tc>
          <w:tcPr>
            <w:tcW w:w="1316" w:type="dxa"/>
            <w:tcBorders>
              <w:bottom w:val="double" w:sz="2" w:space="0" w:color="231F20"/>
            </w:tcBorders>
          </w:tcPr>
          <w:p>
            <w:pPr>
              <w:pStyle w:val="TableParagraph"/>
              <w:spacing w:before="88"/>
              <w:ind w:left="529" w:right="529"/>
              <w:jc w:val="center"/>
              <w:rPr>
                <w:sz w:val="16"/>
              </w:rPr>
            </w:pPr>
            <w:r>
              <w:rPr>
                <w:color w:val="231F20"/>
                <w:w w:val="85"/>
                <w:sz w:val="16"/>
              </w:rPr>
              <w:t>189</w:t>
            </w:r>
          </w:p>
        </w:tc>
        <w:tc>
          <w:tcPr>
            <w:tcW w:w="650" w:type="dxa"/>
            <w:tcBorders>
              <w:bottom w:val="double" w:sz="2" w:space="0" w:color="231F20"/>
            </w:tcBorders>
          </w:tcPr>
          <w:p>
            <w:pPr>
              <w:pStyle w:val="TableParagraph"/>
              <w:spacing w:before="88"/>
              <w:ind w:left="179" w:right="179"/>
              <w:jc w:val="center"/>
              <w:rPr>
                <w:sz w:val="16"/>
              </w:rPr>
            </w:pPr>
            <w:r>
              <w:rPr>
                <w:color w:val="231F20"/>
                <w:w w:val="85"/>
                <w:sz w:val="16"/>
              </w:rPr>
              <w:t>43.9</w:t>
            </w:r>
          </w:p>
        </w:tc>
        <w:tc>
          <w:tcPr>
            <w:tcW w:w="3623" w:type="dxa"/>
            <w:tcBorders>
              <w:bottom w:val="double" w:sz="2" w:space="0" w:color="231F20"/>
              <w:right w:val="double" w:sz="2" w:space="0" w:color="231F20"/>
            </w:tcBorders>
          </w:tcPr>
          <w:p>
            <w:pPr>
              <w:pStyle w:val="TableParagraph"/>
              <w:spacing w:before="88"/>
              <w:ind w:left="123" w:right="124"/>
              <w:jc w:val="center"/>
              <w:rPr>
                <w:sz w:val="16"/>
              </w:rPr>
            </w:pPr>
            <w:r>
              <w:rPr>
                <w:color w:val="231F20"/>
                <w:w w:val="75"/>
                <w:sz w:val="16"/>
              </w:rPr>
              <w:t>Agua y saneamiento</w:t>
            </w:r>
          </w:p>
        </w:tc>
      </w:tr>
    </w:tbl>
    <w:p>
      <w:pPr>
        <w:pStyle w:val="BodyText"/>
        <w:spacing w:before="1"/>
        <w:rPr>
          <w:b/>
          <w:sz w:val="6"/>
        </w:rPr>
      </w:pPr>
    </w:p>
    <w:p>
      <w:pPr>
        <w:spacing w:before="74"/>
        <w:ind w:left="5042" w:right="0" w:firstLine="0"/>
        <w:jc w:val="left"/>
        <w:rPr>
          <w:rFonts w:ascii="Calibri"/>
          <w:sz w:val="16"/>
        </w:rPr>
      </w:pPr>
      <w:r>
        <w:rPr>
          <w:rFonts w:ascii="Calibri"/>
          <w:color w:val="231F20"/>
          <w:w w:val="95"/>
          <w:sz w:val="16"/>
        </w:rPr>
        <w:t>FUENTE: Plan de Desarrollo Municipal (2007:83)</w:t>
      </w:r>
    </w:p>
    <w:p>
      <w:pPr>
        <w:pStyle w:val="BodyText"/>
        <w:rPr>
          <w:rFonts w:ascii="Calibri"/>
          <w:sz w:val="16"/>
        </w:rPr>
      </w:pPr>
    </w:p>
    <w:p>
      <w:pPr>
        <w:pStyle w:val="BodyText"/>
        <w:spacing w:before="9"/>
        <w:rPr>
          <w:rFonts w:ascii="Calibri"/>
          <w:sz w:val="12"/>
        </w:rPr>
      </w:pPr>
    </w:p>
    <w:p>
      <w:pPr>
        <w:pStyle w:val="BodyText"/>
        <w:spacing w:line="285" w:lineRule="auto"/>
        <w:ind w:left="110" w:right="84"/>
      </w:pPr>
      <w:r>
        <w:rPr>
          <w:color w:val="231F20"/>
          <w:w w:val="105"/>
        </w:rPr>
        <w:t>El porcentaje de demandas generó que las acciones contempladas en el PDM para este pilar fueran las que a continuación se enumeran.</w:t>
      </w:r>
    </w:p>
    <w:p>
      <w:pPr>
        <w:pStyle w:val="ListParagraph"/>
        <w:numPr>
          <w:ilvl w:val="0"/>
          <w:numId w:val="10"/>
        </w:numPr>
        <w:tabs>
          <w:tab w:pos="273" w:val="left" w:leader="none"/>
        </w:tabs>
        <w:spacing w:line="240" w:lineRule="auto" w:before="1" w:after="0"/>
        <w:ind w:left="110" w:right="0" w:firstLine="0"/>
        <w:jc w:val="left"/>
        <w:rPr>
          <w:rFonts w:ascii="Times New Roman"/>
          <w:sz w:val="22"/>
        </w:rPr>
      </w:pPr>
      <w:r>
        <w:rPr>
          <w:rFonts w:ascii="Times New Roman"/>
          <w:color w:val="231F20"/>
          <w:sz w:val="22"/>
        </w:rPr>
        <w:t>Uso del </w:t>
      </w:r>
      <w:r>
        <w:rPr>
          <w:rFonts w:ascii="Times New Roman"/>
          <w:color w:val="231F20"/>
          <w:spacing w:val="-2"/>
          <w:sz w:val="22"/>
        </w:rPr>
        <w:t>Suelo, </w:t>
      </w:r>
      <w:r>
        <w:rPr>
          <w:rFonts w:ascii="Times New Roman"/>
          <w:color w:val="231F20"/>
          <w:sz w:val="22"/>
        </w:rPr>
        <w:t>Desarrollo Urbano y</w:t>
      </w:r>
      <w:r>
        <w:rPr>
          <w:rFonts w:ascii="Times New Roman"/>
          <w:color w:val="231F20"/>
          <w:spacing w:val="40"/>
          <w:sz w:val="22"/>
        </w:rPr>
        <w:t> </w:t>
      </w:r>
      <w:r>
        <w:rPr>
          <w:rFonts w:ascii="Times New Roman"/>
          <w:color w:val="231F20"/>
          <w:sz w:val="22"/>
        </w:rPr>
        <w:t>Vivienda.</w:t>
      </w:r>
    </w:p>
    <w:p>
      <w:pPr>
        <w:pStyle w:val="BodyText"/>
        <w:spacing w:line="285" w:lineRule="auto" w:before="47"/>
        <w:ind w:left="677" w:right="1152"/>
      </w:pPr>
      <w:r>
        <w:rPr>
          <w:color w:val="231F20"/>
          <w:spacing w:val="-3"/>
          <w:w w:val="105"/>
        </w:rPr>
        <w:t>Promover </w:t>
      </w:r>
      <w:r>
        <w:rPr>
          <w:color w:val="231F20"/>
          <w:w w:val="105"/>
        </w:rPr>
        <w:t>acciones para la regularización de la </w:t>
      </w:r>
      <w:r>
        <w:rPr>
          <w:color w:val="231F20"/>
          <w:spacing w:val="-4"/>
          <w:w w:val="105"/>
        </w:rPr>
        <w:t>Tenencia </w:t>
      </w:r>
      <w:r>
        <w:rPr>
          <w:color w:val="231F20"/>
          <w:w w:val="105"/>
        </w:rPr>
        <w:t>de la Tierra; Impulsar la construcción y mejoramiento de la vivienda social; Orientación para el adecuado uso pecuario para evitar la erosión; y</w:t>
      </w:r>
    </w:p>
    <w:p>
      <w:pPr>
        <w:spacing w:after="0" w:line="285" w:lineRule="auto"/>
        <w:sectPr>
          <w:pgSz w:w="9640" w:h="12190"/>
          <w:pgMar w:header="0" w:footer="743" w:top="1120" w:bottom="940" w:left="740" w:right="700"/>
        </w:sectPr>
      </w:pPr>
    </w:p>
    <w:p>
      <w:pPr>
        <w:pStyle w:val="BodyText"/>
        <w:spacing w:before="3"/>
        <w:rPr>
          <w:sz w:val="11"/>
        </w:rPr>
      </w:pPr>
    </w:p>
    <w:p>
      <w:pPr>
        <w:pStyle w:val="BodyText"/>
        <w:spacing w:before="36"/>
        <w:ind w:left="677"/>
        <w:jc w:val="both"/>
      </w:pPr>
      <w:r>
        <w:rPr>
          <w:color w:val="231F20"/>
          <w:w w:val="105"/>
        </w:rPr>
        <w:t>Campañas de reforestación y concientización.</w:t>
      </w:r>
    </w:p>
    <w:p>
      <w:pPr>
        <w:pStyle w:val="ListParagraph"/>
        <w:numPr>
          <w:ilvl w:val="0"/>
          <w:numId w:val="10"/>
        </w:numPr>
        <w:tabs>
          <w:tab w:pos="273" w:val="left" w:leader="none"/>
        </w:tabs>
        <w:spacing w:line="240" w:lineRule="auto" w:before="47" w:after="0"/>
        <w:ind w:left="272" w:right="0" w:hanging="162"/>
        <w:jc w:val="left"/>
        <w:rPr>
          <w:rFonts w:ascii="Times New Roman" w:hAnsi="Times New Roman"/>
          <w:sz w:val="22"/>
        </w:rPr>
      </w:pPr>
      <w:r>
        <w:rPr>
          <w:rFonts w:ascii="Times New Roman" w:hAnsi="Times New Roman"/>
          <w:color w:val="231F20"/>
          <w:sz w:val="22"/>
        </w:rPr>
        <w:t>Desarrollo</w:t>
      </w:r>
      <w:r>
        <w:rPr>
          <w:rFonts w:ascii="Times New Roman" w:hAnsi="Times New Roman"/>
          <w:color w:val="231F20"/>
          <w:spacing w:val="38"/>
          <w:sz w:val="22"/>
        </w:rPr>
        <w:t> </w:t>
      </w:r>
      <w:r>
        <w:rPr>
          <w:rFonts w:ascii="Times New Roman" w:hAnsi="Times New Roman"/>
          <w:color w:val="231F20"/>
          <w:sz w:val="22"/>
        </w:rPr>
        <w:t>Agrícola</w:t>
      </w:r>
    </w:p>
    <w:p>
      <w:pPr>
        <w:pStyle w:val="BodyText"/>
        <w:spacing w:line="285" w:lineRule="auto" w:before="47"/>
        <w:ind w:left="677" w:right="108"/>
        <w:jc w:val="both"/>
      </w:pPr>
      <w:r>
        <w:rPr>
          <w:color w:val="231F20"/>
          <w:w w:val="105"/>
        </w:rPr>
        <w:t>La</w:t>
      </w:r>
      <w:r>
        <w:rPr>
          <w:color w:val="231F20"/>
          <w:spacing w:val="-9"/>
          <w:w w:val="105"/>
        </w:rPr>
        <w:t> </w:t>
      </w:r>
      <w:r>
        <w:rPr>
          <w:color w:val="231F20"/>
          <w:w w:val="105"/>
        </w:rPr>
        <w:t>promoción</w:t>
      </w:r>
      <w:r>
        <w:rPr>
          <w:color w:val="231F20"/>
          <w:spacing w:val="-9"/>
          <w:w w:val="105"/>
        </w:rPr>
        <w:t> </w:t>
      </w:r>
      <w:r>
        <w:rPr>
          <w:color w:val="231F20"/>
          <w:w w:val="105"/>
        </w:rPr>
        <w:t>de</w:t>
      </w:r>
      <w:r>
        <w:rPr>
          <w:color w:val="231F20"/>
          <w:spacing w:val="-9"/>
          <w:w w:val="105"/>
        </w:rPr>
        <w:t> </w:t>
      </w:r>
      <w:r>
        <w:rPr>
          <w:color w:val="231F20"/>
          <w:w w:val="105"/>
        </w:rPr>
        <w:t>créditos,</w:t>
      </w:r>
      <w:r>
        <w:rPr>
          <w:color w:val="231F20"/>
          <w:spacing w:val="-9"/>
          <w:w w:val="105"/>
        </w:rPr>
        <w:t> </w:t>
      </w:r>
      <w:r>
        <w:rPr>
          <w:color w:val="231F20"/>
          <w:w w:val="105"/>
        </w:rPr>
        <w:t>financiamiento</w:t>
      </w:r>
      <w:r>
        <w:rPr>
          <w:color w:val="231F20"/>
          <w:spacing w:val="-9"/>
          <w:w w:val="105"/>
        </w:rPr>
        <w:t> </w:t>
      </w:r>
      <w:r>
        <w:rPr>
          <w:color w:val="231F20"/>
          <w:w w:val="105"/>
        </w:rPr>
        <w:t>a</w:t>
      </w:r>
      <w:r>
        <w:rPr>
          <w:color w:val="231F20"/>
          <w:spacing w:val="-9"/>
          <w:w w:val="105"/>
        </w:rPr>
        <w:t> </w:t>
      </w:r>
      <w:r>
        <w:rPr>
          <w:color w:val="231F20"/>
          <w:w w:val="105"/>
        </w:rPr>
        <w:t>tasas</w:t>
      </w:r>
      <w:r>
        <w:rPr>
          <w:color w:val="231F20"/>
          <w:spacing w:val="-9"/>
          <w:w w:val="105"/>
        </w:rPr>
        <w:t> </w:t>
      </w:r>
      <w:r>
        <w:rPr>
          <w:color w:val="231F20"/>
          <w:w w:val="105"/>
        </w:rPr>
        <w:t>preferenciales</w:t>
      </w:r>
      <w:r>
        <w:rPr>
          <w:color w:val="231F20"/>
          <w:spacing w:val="-9"/>
          <w:w w:val="105"/>
        </w:rPr>
        <w:t> </w:t>
      </w:r>
      <w:r>
        <w:rPr>
          <w:color w:val="231F20"/>
          <w:w w:val="105"/>
        </w:rPr>
        <w:t>y</w:t>
      </w:r>
      <w:r>
        <w:rPr>
          <w:color w:val="231F20"/>
          <w:spacing w:val="-9"/>
          <w:w w:val="105"/>
        </w:rPr>
        <w:t> </w:t>
      </w:r>
      <w:r>
        <w:rPr>
          <w:color w:val="231F20"/>
          <w:w w:val="105"/>
        </w:rPr>
        <w:t>accesos</w:t>
      </w:r>
      <w:r>
        <w:rPr>
          <w:color w:val="231F20"/>
          <w:spacing w:val="-9"/>
          <w:w w:val="105"/>
        </w:rPr>
        <w:t> </w:t>
      </w:r>
      <w:r>
        <w:rPr>
          <w:color w:val="231F20"/>
          <w:w w:val="105"/>
        </w:rPr>
        <w:t>a</w:t>
      </w:r>
      <w:r>
        <w:rPr>
          <w:color w:val="231F20"/>
          <w:spacing w:val="-9"/>
          <w:w w:val="105"/>
        </w:rPr>
        <w:t> </w:t>
      </w:r>
      <w:r>
        <w:rPr>
          <w:color w:val="231F20"/>
          <w:w w:val="105"/>
        </w:rPr>
        <w:t>pro- gramas</w:t>
      </w:r>
      <w:r>
        <w:rPr>
          <w:color w:val="231F20"/>
          <w:spacing w:val="-21"/>
          <w:w w:val="105"/>
        </w:rPr>
        <w:t> </w:t>
      </w:r>
      <w:r>
        <w:rPr>
          <w:color w:val="231F20"/>
          <w:w w:val="105"/>
        </w:rPr>
        <w:t>estatales</w:t>
      </w:r>
      <w:r>
        <w:rPr>
          <w:color w:val="231F20"/>
          <w:spacing w:val="-21"/>
          <w:w w:val="105"/>
        </w:rPr>
        <w:t> </w:t>
      </w:r>
      <w:r>
        <w:rPr>
          <w:color w:val="231F20"/>
          <w:w w:val="105"/>
        </w:rPr>
        <w:t>y</w:t>
      </w:r>
      <w:r>
        <w:rPr>
          <w:color w:val="231F20"/>
          <w:spacing w:val="-21"/>
          <w:w w:val="105"/>
        </w:rPr>
        <w:t> </w:t>
      </w:r>
      <w:r>
        <w:rPr>
          <w:color w:val="231F20"/>
          <w:w w:val="105"/>
        </w:rPr>
        <w:t>federales.</w:t>
      </w:r>
    </w:p>
    <w:p>
      <w:pPr>
        <w:pStyle w:val="ListParagraph"/>
        <w:numPr>
          <w:ilvl w:val="0"/>
          <w:numId w:val="10"/>
        </w:numPr>
        <w:tabs>
          <w:tab w:pos="273" w:val="left" w:leader="none"/>
        </w:tabs>
        <w:spacing w:line="240" w:lineRule="auto" w:before="1" w:after="0"/>
        <w:ind w:left="272" w:right="0" w:hanging="162"/>
        <w:jc w:val="left"/>
        <w:rPr>
          <w:rFonts w:ascii="Times New Roman"/>
          <w:sz w:val="22"/>
        </w:rPr>
      </w:pPr>
      <w:r>
        <w:rPr>
          <w:rFonts w:ascii="Times New Roman"/>
          <w:color w:val="231F20"/>
          <w:w w:val="105"/>
          <w:sz w:val="22"/>
        </w:rPr>
        <w:t>Desarrollo</w:t>
      </w:r>
      <w:r>
        <w:rPr>
          <w:rFonts w:ascii="Times New Roman"/>
          <w:color w:val="231F20"/>
          <w:spacing w:val="-35"/>
          <w:w w:val="105"/>
          <w:sz w:val="22"/>
        </w:rPr>
        <w:t> </w:t>
      </w:r>
      <w:r>
        <w:rPr>
          <w:rFonts w:ascii="Times New Roman"/>
          <w:color w:val="231F20"/>
          <w:w w:val="105"/>
          <w:sz w:val="22"/>
        </w:rPr>
        <w:t>Pecuario.</w:t>
      </w:r>
    </w:p>
    <w:p>
      <w:pPr>
        <w:pStyle w:val="BodyText"/>
        <w:spacing w:line="285" w:lineRule="auto" w:before="47"/>
        <w:ind w:left="677" w:right="107"/>
        <w:jc w:val="both"/>
      </w:pPr>
      <w:r>
        <w:rPr>
          <w:color w:val="231F20"/>
          <w:w w:val="105"/>
        </w:rPr>
        <w:t>La competitividad del sector primario en Tejupilco debe basarse en la actividad pecuaria;</w:t>
      </w:r>
    </w:p>
    <w:p>
      <w:pPr>
        <w:pStyle w:val="BodyText"/>
        <w:spacing w:before="1"/>
        <w:ind w:left="677"/>
        <w:jc w:val="both"/>
      </w:pPr>
      <w:r>
        <w:rPr>
          <w:color w:val="231F20"/>
          <w:w w:val="105"/>
        </w:rPr>
        <w:t>Modernización de la operación del rastro municipal.;</w:t>
      </w:r>
    </w:p>
    <w:p>
      <w:pPr>
        <w:pStyle w:val="BodyText"/>
        <w:spacing w:line="285" w:lineRule="auto" w:before="47"/>
        <w:ind w:left="677" w:right="108"/>
        <w:jc w:val="both"/>
      </w:pPr>
      <w:r>
        <w:rPr>
          <w:color w:val="231F20"/>
          <w:w w:val="105"/>
        </w:rPr>
        <w:t>El</w:t>
      </w:r>
      <w:r>
        <w:rPr>
          <w:color w:val="231F20"/>
          <w:spacing w:val="-9"/>
          <w:w w:val="105"/>
        </w:rPr>
        <w:t> </w:t>
      </w:r>
      <w:r>
        <w:rPr>
          <w:color w:val="231F20"/>
          <w:w w:val="105"/>
        </w:rPr>
        <w:t>Ayuntamiento</w:t>
      </w:r>
      <w:r>
        <w:rPr>
          <w:color w:val="231F20"/>
          <w:spacing w:val="-9"/>
          <w:w w:val="105"/>
        </w:rPr>
        <w:t> </w:t>
      </w:r>
      <w:r>
        <w:rPr>
          <w:color w:val="231F20"/>
          <w:w w:val="105"/>
        </w:rPr>
        <w:t>debe</w:t>
      </w:r>
      <w:r>
        <w:rPr>
          <w:color w:val="231F20"/>
          <w:spacing w:val="-9"/>
          <w:w w:val="105"/>
        </w:rPr>
        <w:t> </w:t>
      </w:r>
      <w:r>
        <w:rPr>
          <w:color w:val="231F20"/>
          <w:spacing w:val="-4"/>
          <w:w w:val="105"/>
        </w:rPr>
        <w:t>promover,</w:t>
      </w:r>
      <w:r>
        <w:rPr>
          <w:color w:val="231F20"/>
          <w:spacing w:val="-9"/>
          <w:w w:val="105"/>
        </w:rPr>
        <w:t> </w:t>
      </w:r>
      <w:r>
        <w:rPr>
          <w:color w:val="231F20"/>
          <w:w w:val="105"/>
        </w:rPr>
        <w:t>por</w:t>
      </w:r>
      <w:r>
        <w:rPr>
          <w:color w:val="231F20"/>
          <w:spacing w:val="-9"/>
          <w:w w:val="105"/>
        </w:rPr>
        <w:t> </w:t>
      </w:r>
      <w:r>
        <w:rPr>
          <w:color w:val="231F20"/>
          <w:w w:val="105"/>
        </w:rPr>
        <w:t>medio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Dirección</w:t>
      </w:r>
      <w:r>
        <w:rPr>
          <w:color w:val="231F20"/>
          <w:spacing w:val="-9"/>
          <w:w w:val="105"/>
        </w:rPr>
        <w:t> </w:t>
      </w:r>
      <w:r>
        <w:rPr>
          <w:color w:val="231F20"/>
          <w:w w:val="105"/>
        </w:rPr>
        <w:t>Agropecuaria,</w:t>
      </w:r>
      <w:r>
        <w:rPr>
          <w:color w:val="231F20"/>
          <w:spacing w:val="-9"/>
          <w:w w:val="105"/>
        </w:rPr>
        <w:t> </w:t>
      </w:r>
      <w:r>
        <w:rPr>
          <w:color w:val="231F20"/>
          <w:w w:val="105"/>
        </w:rPr>
        <w:t>la</w:t>
      </w:r>
      <w:r>
        <w:rPr>
          <w:color w:val="231F20"/>
          <w:spacing w:val="-9"/>
          <w:w w:val="105"/>
        </w:rPr>
        <w:t> </w:t>
      </w:r>
      <w:r>
        <w:rPr>
          <w:color w:val="231F20"/>
          <w:w w:val="105"/>
        </w:rPr>
        <w:t>ar- ticulación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asociaciones</w:t>
      </w:r>
      <w:r>
        <w:rPr>
          <w:color w:val="231F20"/>
          <w:spacing w:val="-11"/>
          <w:w w:val="105"/>
        </w:rPr>
        <w:t> </w:t>
      </w:r>
      <w:r>
        <w:rPr>
          <w:color w:val="231F20"/>
          <w:w w:val="105"/>
        </w:rPr>
        <w:t>ganaderas</w:t>
      </w:r>
      <w:r>
        <w:rPr>
          <w:color w:val="231F20"/>
          <w:spacing w:val="-11"/>
          <w:w w:val="105"/>
        </w:rPr>
        <w:t> </w:t>
      </w:r>
      <w:r>
        <w:rPr>
          <w:color w:val="231F20"/>
          <w:w w:val="105"/>
        </w:rPr>
        <w:t>para</w:t>
      </w:r>
      <w:r>
        <w:rPr>
          <w:color w:val="231F20"/>
          <w:spacing w:val="-11"/>
          <w:w w:val="105"/>
        </w:rPr>
        <w:t> </w:t>
      </w:r>
      <w:r>
        <w:rPr>
          <w:color w:val="231F20"/>
          <w:w w:val="105"/>
        </w:rPr>
        <w:t>que</w:t>
      </w:r>
      <w:r>
        <w:rPr>
          <w:color w:val="231F20"/>
          <w:spacing w:val="-11"/>
          <w:w w:val="105"/>
        </w:rPr>
        <w:t> </w:t>
      </w:r>
      <w:r>
        <w:rPr>
          <w:color w:val="231F20"/>
          <w:w w:val="105"/>
        </w:rPr>
        <w:t>sus</w:t>
      </w:r>
      <w:r>
        <w:rPr>
          <w:color w:val="231F20"/>
          <w:spacing w:val="-11"/>
          <w:w w:val="105"/>
        </w:rPr>
        <w:t> </w:t>
      </w:r>
      <w:r>
        <w:rPr>
          <w:color w:val="231F20"/>
          <w:w w:val="105"/>
        </w:rPr>
        <w:t>aportaciones</w:t>
      </w:r>
      <w:r>
        <w:rPr>
          <w:color w:val="231F20"/>
          <w:spacing w:val="-11"/>
          <w:w w:val="105"/>
        </w:rPr>
        <w:t> </w:t>
      </w:r>
      <w:r>
        <w:rPr>
          <w:color w:val="231F20"/>
          <w:w w:val="105"/>
        </w:rPr>
        <w:t>se</w:t>
      </w:r>
      <w:r>
        <w:rPr>
          <w:color w:val="231F20"/>
          <w:spacing w:val="-11"/>
          <w:w w:val="105"/>
        </w:rPr>
        <w:t> </w:t>
      </w:r>
      <w:r>
        <w:rPr>
          <w:color w:val="231F20"/>
          <w:w w:val="105"/>
        </w:rPr>
        <w:t>encaminen en</w:t>
      </w:r>
      <w:r>
        <w:rPr>
          <w:color w:val="231F20"/>
          <w:spacing w:val="-14"/>
          <w:w w:val="105"/>
        </w:rPr>
        <w:t> </w:t>
      </w:r>
      <w:r>
        <w:rPr>
          <w:color w:val="231F20"/>
          <w:w w:val="105"/>
        </w:rPr>
        <w:t>pro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alta</w:t>
      </w:r>
      <w:r>
        <w:rPr>
          <w:color w:val="231F20"/>
          <w:spacing w:val="-14"/>
          <w:w w:val="105"/>
        </w:rPr>
        <w:t> </w:t>
      </w:r>
      <w:r>
        <w:rPr>
          <w:color w:val="231F20"/>
          <w:w w:val="105"/>
        </w:rPr>
        <w:t>producción;</w:t>
      </w:r>
      <w:r>
        <w:rPr>
          <w:color w:val="231F20"/>
          <w:spacing w:val="-14"/>
          <w:w w:val="105"/>
        </w:rPr>
        <w:t> </w:t>
      </w:r>
      <w:r>
        <w:rPr>
          <w:color w:val="231F20"/>
          <w:w w:val="105"/>
        </w:rPr>
        <w:t>y</w:t>
      </w:r>
    </w:p>
    <w:p>
      <w:pPr>
        <w:pStyle w:val="BodyText"/>
        <w:spacing w:line="285" w:lineRule="auto" w:before="1"/>
        <w:ind w:left="677" w:right="108"/>
        <w:jc w:val="both"/>
      </w:pPr>
      <w:r>
        <w:rPr>
          <w:color w:val="231F20"/>
          <w:w w:val="105"/>
        </w:rPr>
        <w:t>Atracción</w:t>
      </w:r>
      <w:r>
        <w:rPr>
          <w:color w:val="231F20"/>
          <w:spacing w:val="-4"/>
          <w:w w:val="105"/>
        </w:rPr>
        <w:t> </w:t>
      </w:r>
      <w:r>
        <w:rPr>
          <w:color w:val="231F20"/>
          <w:w w:val="105"/>
        </w:rPr>
        <w:t>de</w:t>
      </w:r>
      <w:r>
        <w:rPr>
          <w:color w:val="231F20"/>
          <w:spacing w:val="-4"/>
          <w:w w:val="105"/>
        </w:rPr>
        <w:t> </w:t>
      </w:r>
      <w:r>
        <w:rPr>
          <w:color w:val="231F20"/>
          <w:w w:val="105"/>
        </w:rPr>
        <w:t>capital</w:t>
      </w:r>
      <w:r>
        <w:rPr>
          <w:color w:val="231F20"/>
          <w:spacing w:val="-4"/>
          <w:w w:val="105"/>
        </w:rPr>
        <w:t> </w:t>
      </w:r>
      <w:r>
        <w:rPr>
          <w:color w:val="231F20"/>
          <w:w w:val="105"/>
        </w:rPr>
        <w:t>privado</w:t>
      </w:r>
      <w:r>
        <w:rPr>
          <w:color w:val="231F20"/>
          <w:spacing w:val="-4"/>
          <w:w w:val="105"/>
        </w:rPr>
        <w:t> </w:t>
      </w:r>
      <w:r>
        <w:rPr>
          <w:color w:val="231F20"/>
          <w:w w:val="105"/>
        </w:rPr>
        <w:t>para</w:t>
      </w:r>
      <w:r>
        <w:rPr>
          <w:color w:val="231F20"/>
          <w:spacing w:val="-4"/>
          <w:w w:val="105"/>
        </w:rPr>
        <w:t> </w:t>
      </w:r>
      <w:r>
        <w:rPr>
          <w:color w:val="231F20"/>
          <w:w w:val="105"/>
        </w:rPr>
        <w:t>invertir</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parte</w:t>
      </w:r>
      <w:r>
        <w:rPr>
          <w:color w:val="231F20"/>
          <w:spacing w:val="-4"/>
          <w:w w:val="105"/>
        </w:rPr>
        <w:t> </w:t>
      </w:r>
      <w:r>
        <w:rPr>
          <w:color w:val="231F20"/>
          <w:w w:val="105"/>
        </w:rPr>
        <w:t>intermedia</w:t>
      </w:r>
      <w:r>
        <w:rPr>
          <w:color w:val="231F20"/>
          <w:spacing w:val="-4"/>
          <w:w w:val="105"/>
        </w:rPr>
        <w:t> </w:t>
      </w:r>
      <w:r>
        <w:rPr>
          <w:color w:val="231F20"/>
          <w:w w:val="105"/>
        </w:rPr>
        <w:t>y</w:t>
      </w:r>
      <w:r>
        <w:rPr>
          <w:color w:val="231F20"/>
          <w:spacing w:val="-4"/>
          <w:w w:val="105"/>
        </w:rPr>
        <w:t> </w:t>
      </w:r>
      <w:r>
        <w:rPr>
          <w:color w:val="231F20"/>
          <w:spacing w:val="2"/>
          <w:w w:val="105"/>
        </w:rPr>
        <w:t>final</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ca- dena</w:t>
      </w:r>
      <w:r>
        <w:rPr>
          <w:color w:val="231F20"/>
          <w:spacing w:val="-17"/>
          <w:w w:val="105"/>
        </w:rPr>
        <w:t> </w:t>
      </w:r>
      <w:r>
        <w:rPr>
          <w:color w:val="231F20"/>
          <w:w w:val="105"/>
        </w:rPr>
        <w:t>productiva,</w:t>
      </w:r>
    </w:p>
    <w:p>
      <w:pPr>
        <w:pStyle w:val="ListParagraph"/>
        <w:numPr>
          <w:ilvl w:val="0"/>
          <w:numId w:val="10"/>
        </w:numPr>
        <w:tabs>
          <w:tab w:pos="273" w:val="left" w:leader="none"/>
        </w:tabs>
        <w:spacing w:line="240" w:lineRule="auto" w:before="1" w:after="0"/>
        <w:ind w:left="272" w:right="0" w:hanging="162"/>
        <w:jc w:val="left"/>
        <w:rPr>
          <w:rFonts w:ascii="Times New Roman" w:hAnsi="Times New Roman"/>
          <w:sz w:val="22"/>
        </w:rPr>
      </w:pPr>
      <w:r>
        <w:rPr>
          <w:rFonts w:ascii="Times New Roman" w:hAnsi="Times New Roman"/>
          <w:color w:val="231F20"/>
          <w:w w:val="105"/>
          <w:sz w:val="22"/>
        </w:rPr>
        <w:t>Promoción</w:t>
      </w:r>
      <w:r>
        <w:rPr>
          <w:rFonts w:ascii="Times New Roman" w:hAnsi="Times New Roman"/>
          <w:color w:val="231F20"/>
          <w:spacing w:val="-9"/>
          <w:w w:val="105"/>
          <w:sz w:val="22"/>
        </w:rPr>
        <w:t> </w:t>
      </w:r>
      <w:r>
        <w:rPr>
          <w:rFonts w:ascii="Times New Roman" w:hAnsi="Times New Roman"/>
          <w:color w:val="231F20"/>
          <w:w w:val="105"/>
          <w:sz w:val="22"/>
        </w:rPr>
        <w:t>Industrial,</w:t>
      </w:r>
    </w:p>
    <w:p>
      <w:pPr>
        <w:pStyle w:val="BodyText"/>
        <w:spacing w:line="285" w:lineRule="auto" w:before="47"/>
        <w:ind w:left="677" w:right="107"/>
        <w:jc w:val="both"/>
      </w:pPr>
      <w:r>
        <w:rPr>
          <w:color w:val="231F20"/>
          <w:w w:val="105"/>
        </w:rPr>
        <w:t>El impulso en este sector por parte del ayuntamiento se debe realizar mediante el</w:t>
      </w:r>
      <w:r>
        <w:rPr>
          <w:color w:val="231F20"/>
          <w:spacing w:val="-12"/>
          <w:w w:val="105"/>
        </w:rPr>
        <w:t> </w:t>
      </w:r>
      <w:r>
        <w:rPr>
          <w:color w:val="231F20"/>
          <w:w w:val="105"/>
        </w:rPr>
        <w:t>cierre</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cadenas</w:t>
      </w:r>
      <w:r>
        <w:rPr>
          <w:color w:val="231F20"/>
          <w:spacing w:val="-12"/>
          <w:w w:val="105"/>
        </w:rPr>
        <w:t> </w:t>
      </w:r>
      <w:r>
        <w:rPr>
          <w:color w:val="231F20"/>
          <w:w w:val="105"/>
        </w:rPr>
        <w:t>productivas,</w:t>
      </w:r>
      <w:r>
        <w:rPr>
          <w:color w:val="231F20"/>
          <w:spacing w:val="-12"/>
          <w:w w:val="105"/>
        </w:rPr>
        <w:t> </w:t>
      </w:r>
      <w:r>
        <w:rPr>
          <w:color w:val="231F20"/>
          <w:w w:val="105"/>
        </w:rPr>
        <w:t>que</w:t>
      </w:r>
      <w:r>
        <w:rPr>
          <w:color w:val="231F20"/>
          <w:spacing w:val="-12"/>
          <w:w w:val="105"/>
        </w:rPr>
        <w:t> </w:t>
      </w:r>
      <w:r>
        <w:rPr>
          <w:color w:val="231F20"/>
          <w:w w:val="105"/>
        </w:rPr>
        <w:t>manufacture</w:t>
      </w:r>
      <w:r>
        <w:rPr>
          <w:color w:val="231F20"/>
          <w:spacing w:val="-12"/>
          <w:w w:val="105"/>
        </w:rPr>
        <w:t> </w:t>
      </w:r>
      <w:r>
        <w:rPr>
          <w:color w:val="231F20"/>
          <w:w w:val="105"/>
        </w:rPr>
        <w:t>los</w:t>
      </w:r>
      <w:r>
        <w:rPr>
          <w:color w:val="231F20"/>
          <w:spacing w:val="-12"/>
          <w:w w:val="105"/>
        </w:rPr>
        <w:t> </w:t>
      </w:r>
      <w:r>
        <w:rPr>
          <w:color w:val="231F20"/>
          <w:w w:val="105"/>
        </w:rPr>
        <w:t>productos</w:t>
      </w:r>
      <w:r>
        <w:rPr>
          <w:color w:val="231F20"/>
          <w:spacing w:val="-12"/>
          <w:w w:val="105"/>
        </w:rPr>
        <w:t> </w:t>
      </w:r>
      <w:r>
        <w:rPr>
          <w:color w:val="231F20"/>
          <w:w w:val="105"/>
        </w:rPr>
        <w:t>provenientes del</w:t>
      </w:r>
      <w:r>
        <w:rPr>
          <w:color w:val="231F20"/>
          <w:spacing w:val="-9"/>
          <w:w w:val="105"/>
        </w:rPr>
        <w:t> </w:t>
      </w:r>
      <w:r>
        <w:rPr>
          <w:color w:val="231F20"/>
          <w:w w:val="105"/>
        </w:rPr>
        <w:t>sector</w:t>
      </w:r>
      <w:r>
        <w:rPr>
          <w:color w:val="231F20"/>
          <w:spacing w:val="-9"/>
          <w:w w:val="105"/>
        </w:rPr>
        <w:t> </w:t>
      </w:r>
      <w:r>
        <w:rPr>
          <w:color w:val="231F20"/>
          <w:w w:val="105"/>
        </w:rPr>
        <w:t>primario</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región.</w:t>
      </w:r>
    </w:p>
    <w:p>
      <w:pPr>
        <w:pStyle w:val="ListParagraph"/>
        <w:numPr>
          <w:ilvl w:val="0"/>
          <w:numId w:val="10"/>
        </w:numPr>
        <w:tabs>
          <w:tab w:pos="273" w:val="left" w:leader="none"/>
        </w:tabs>
        <w:spacing w:line="240" w:lineRule="auto" w:before="1" w:after="0"/>
        <w:ind w:left="272" w:right="0" w:hanging="162"/>
        <w:jc w:val="left"/>
        <w:rPr>
          <w:rFonts w:ascii="Times New Roman"/>
          <w:sz w:val="22"/>
        </w:rPr>
      </w:pPr>
      <w:r>
        <w:rPr>
          <w:rFonts w:ascii="Times New Roman"/>
          <w:color w:val="231F20"/>
          <w:spacing w:val="-3"/>
          <w:sz w:val="22"/>
        </w:rPr>
        <w:t>Empleo.</w:t>
      </w:r>
    </w:p>
    <w:p>
      <w:pPr>
        <w:pStyle w:val="BodyText"/>
        <w:spacing w:line="285" w:lineRule="auto" w:before="47"/>
        <w:ind w:left="677" w:right="108"/>
        <w:jc w:val="both"/>
      </w:pPr>
      <w:r>
        <w:rPr>
          <w:color w:val="231F20"/>
          <w:spacing w:val="-3"/>
          <w:w w:val="105"/>
        </w:rPr>
        <w:t>Promover</w:t>
      </w:r>
      <w:r>
        <w:rPr>
          <w:color w:val="231F20"/>
          <w:spacing w:val="-17"/>
          <w:w w:val="105"/>
        </w:rPr>
        <w:t> </w:t>
      </w:r>
      <w:r>
        <w:rPr>
          <w:color w:val="231F20"/>
          <w:w w:val="105"/>
        </w:rPr>
        <w:t>la</w:t>
      </w:r>
      <w:r>
        <w:rPr>
          <w:color w:val="231F20"/>
          <w:spacing w:val="-17"/>
          <w:w w:val="105"/>
        </w:rPr>
        <w:t> </w:t>
      </w:r>
      <w:r>
        <w:rPr>
          <w:color w:val="231F20"/>
          <w:w w:val="105"/>
        </w:rPr>
        <w:t>instalación</w:t>
      </w:r>
      <w:r>
        <w:rPr>
          <w:color w:val="231F20"/>
          <w:spacing w:val="-17"/>
          <w:w w:val="105"/>
        </w:rPr>
        <w:t> </w:t>
      </w:r>
      <w:r>
        <w:rPr>
          <w:color w:val="231F20"/>
          <w:w w:val="105"/>
        </w:rPr>
        <w:t>de</w:t>
      </w:r>
      <w:r>
        <w:rPr>
          <w:color w:val="231F20"/>
          <w:spacing w:val="-17"/>
          <w:w w:val="105"/>
        </w:rPr>
        <w:t> </w:t>
      </w:r>
      <w:r>
        <w:rPr>
          <w:color w:val="231F20"/>
          <w:w w:val="105"/>
        </w:rPr>
        <w:t>un</w:t>
      </w:r>
      <w:r>
        <w:rPr>
          <w:color w:val="231F20"/>
          <w:spacing w:val="-17"/>
          <w:w w:val="105"/>
        </w:rPr>
        <w:t> </w:t>
      </w:r>
      <w:r>
        <w:rPr>
          <w:color w:val="231F20"/>
          <w:w w:val="105"/>
        </w:rPr>
        <w:t>rastro</w:t>
      </w:r>
      <w:r>
        <w:rPr>
          <w:color w:val="231F20"/>
          <w:spacing w:val="-17"/>
          <w:w w:val="105"/>
        </w:rPr>
        <w:t> </w:t>
      </w:r>
      <w:r>
        <w:rPr>
          <w:color w:val="231F20"/>
          <w:w w:val="105"/>
        </w:rPr>
        <w:t>de</w:t>
      </w:r>
      <w:r>
        <w:rPr>
          <w:color w:val="231F20"/>
          <w:spacing w:val="-17"/>
          <w:w w:val="105"/>
        </w:rPr>
        <w:t> </w:t>
      </w:r>
      <w:r>
        <w:rPr>
          <w:color w:val="231F20"/>
          <w:w w:val="105"/>
        </w:rPr>
        <w:t>alto</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operación</w:t>
      </w:r>
      <w:r>
        <w:rPr>
          <w:color w:val="231F20"/>
          <w:spacing w:val="-17"/>
          <w:w w:val="105"/>
        </w:rPr>
        <w:t> </w:t>
      </w:r>
      <w:r>
        <w:rPr>
          <w:color w:val="231F20"/>
          <w:w w:val="105"/>
        </w:rPr>
        <w:t>y</w:t>
      </w:r>
      <w:r>
        <w:rPr>
          <w:color w:val="231F20"/>
          <w:spacing w:val="-17"/>
          <w:w w:val="105"/>
        </w:rPr>
        <w:t> </w:t>
      </w:r>
      <w:r>
        <w:rPr>
          <w:color w:val="231F20"/>
          <w:w w:val="105"/>
        </w:rPr>
        <w:t>buscar</w:t>
      </w:r>
      <w:r>
        <w:rPr>
          <w:color w:val="231F20"/>
          <w:spacing w:val="-17"/>
          <w:w w:val="105"/>
        </w:rPr>
        <w:t> </w:t>
      </w:r>
      <w:r>
        <w:rPr>
          <w:color w:val="231F20"/>
          <w:w w:val="105"/>
        </w:rPr>
        <w:t>la</w:t>
      </w:r>
      <w:r>
        <w:rPr>
          <w:color w:val="231F20"/>
          <w:spacing w:val="-17"/>
          <w:w w:val="105"/>
        </w:rPr>
        <w:t> </w:t>
      </w:r>
      <w:r>
        <w:rPr>
          <w:color w:val="231F20"/>
          <w:w w:val="105"/>
        </w:rPr>
        <w:t>instala- ción</w:t>
      </w:r>
      <w:r>
        <w:rPr>
          <w:color w:val="231F20"/>
          <w:spacing w:val="-13"/>
          <w:w w:val="105"/>
        </w:rPr>
        <w:t> </w:t>
      </w:r>
      <w:r>
        <w:rPr>
          <w:color w:val="231F20"/>
          <w:w w:val="105"/>
        </w:rPr>
        <w:t>de</w:t>
      </w:r>
      <w:r>
        <w:rPr>
          <w:color w:val="231F20"/>
          <w:spacing w:val="-13"/>
          <w:w w:val="105"/>
        </w:rPr>
        <w:t> </w:t>
      </w:r>
      <w:r>
        <w:rPr>
          <w:color w:val="231F20"/>
          <w:w w:val="105"/>
        </w:rPr>
        <w:t>empresas</w:t>
      </w:r>
      <w:r>
        <w:rPr>
          <w:color w:val="231F20"/>
          <w:spacing w:val="-13"/>
          <w:w w:val="105"/>
        </w:rPr>
        <w:t> </w:t>
      </w:r>
      <w:r>
        <w:rPr>
          <w:color w:val="231F20"/>
          <w:w w:val="105"/>
        </w:rPr>
        <w:t>procesadoras</w:t>
      </w:r>
      <w:r>
        <w:rPr>
          <w:color w:val="231F20"/>
          <w:spacing w:val="-13"/>
          <w:w w:val="105"/>
        </w:rPr>
        <w:t> </w:t>
      </w:r>
      <w:r>
        <w:rPr>
          <w:color w:val="231F20"/>
          <w:w w:val="105"/>
        </w:rPr>
        <w:t>y</w:t>
      </w:r>
      <w:r>
        <w:rPr>
          <w:color w:val="231F20"/>
          <w:spacing w:val="-13"/>
          <w:w w:val="105"/>
        </w:rPr>
        <w:t> </w:t>
      </w:r>
      <w:r>
        <w:rPr>
          <w:color w:val="231F20"/>
          <w:w w:val="105"/>
        </w:rPr>
        <w:t>consumidoras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productos</w:t>
      </w:r>
      <w:r>
        <w:rPr>
          <w:color w:val="231F20"/>
          <w:spacing w:val="-13"/>
          <w:w w:val="105"/>
        </w:rPr>
        <w:t> </w:t>
      </w:r>
      <w:r>
        <w:rPr>
          <w:color w:val="231F20"/>
          <w:w w:val="105"/>
        </w:rPr>
        <w:t>ganaderos,</w:t>
      </w:r>
      <w:r>
        <w:rPr>
          <w:color w:val="231F20"/>
          <w:spacing w:val="-13"/>
          <w:w w:val="105"/>
        </w:rPr>
        <w:t> </w:t>
      </w:r>
      <w:r>
        <w:rPr>
          <w:color w:val="231F20"/>
          <w:w w:val="105"/>
        </w:rPr>
        <w:t>a</w:t>
      </w:r>
      <w:r>
        <w:rPr>
          <w:color w:val="231F20"/>
          <w:spacing w:val="-13"/>
          <w:w w:val="105"/>
        </w:rPr>
        <w:t> </w:t>
      </w:r>
      <w:r>
        <w:rPr>
          <w:color w:val="231F20"/>
          <w:spacing w:val="2"/>
          <w:w w:val="105"/>
        </w:rPr>
        <w:t>fin </w:t>
      </w:r>
      <w:r>
        <w:rPr>
          <w:color w:val="231F20"/>
          <w:w w:val="105"/>
        </w:rPr>
        <w:t>de</w:t>
      </w:r>
      <w:r>
        <w:rPr>
          <w:color w:val="231F20"/>
          <w:spacing w:val="-10"/>
          <w:w w:val="105"/>
        </w:rPr>
        <w:t> </w:t>
      </w:r>
      <w:r>
        <w:rPr>
          <w:color w:val="231F20"/>
          <w:w w:val="105"/>
        </w:rPr>
        <w:t>comenzar</w:t>
      </w:r>
      <w:r>
        <w:rPr>
          <w:color w:val="231F20"/>
          <w:spacing w:val="-10"/>
          <w:w w:val="105"/>
        </w:rPr>
        <w:t> </w:t>
      </w:r>
      <w:r>
        <w:rPr>
          <w:color w:val="231F20"/>
          <w:w w:val="105"/>
        </w:rPr>
        <w:t>a</w:t>
      </w:r>
      <w:r>
        <w:rPr>
          <w:color w:val="231F20"/>
          <w:spacing w:val="-10"/>
          <w:w w:val="105"/>
        </w:rPr>
        <w:t> </w:t>
      </w:r>
      <w:r>
        <w:rPr>
          <w:color w:val="231F20"/>
          <w:w w:val="105"/>
        </w:rPr>
        <w:t>cerrar</w:t>
      </w:r>
      <w:r>
        <w:rPr>
          <w:color w:val="231F20"/>
          <w:spacing w:val="-10"/>
          <w:w w:val="105"/>
        </w:rPr>
        <w:t> </w:t>
      </w:r>
      <w:r>
        <w:rPr>
          <w:color w:val="231F20"/>
          <w:w w:val="105"/>
        </w:rPr>
        <w:t>las</w:t>
      </w:r>
      <w:r>
        <w:rPr>
          <w:color w:val="231F20"/>
          <w:spacing w:val="-10"/>
          <w:w w:val="105"/>
        </w:rPr>
        <w:t> </w:t>
      </w:r>
      <w:r>
        <w:rPr>
          <w:color w:val="231F20"/>
          <w:w w:val="105"/>
        </w:rPr>
        <w:t>cadenas</w:t>
      </w:r>
      <w:r>
        <w:rPr>
          <w:color w:val="231F20"/>
          <w:spacing w:val="-10"/>
          <w:w w:val="105"/>
        </w:rPr>
        <w:t> </w:t>
      </w:r>
      <w:r>
        <w:rPr>
          <w:color w:val="231F20"/>
          <w:w w:val="105"/>
        </w:rPr>
        <w:t>productivas;</w:t>
      </w:r>
    </w:p>
    <w:p>
      <w:pPr>
        <w:pStyle w:val="BodyText"/>
        <w:spacing w:line="285" w:lineRule="auto" w:before="1"/>
        <w:ind w:left="677" w:right="108"/>
        <w:jc w:val="both"/>
      </w:pPr>
      <w:r>
        <w:rPr>
          <w:color w:val="231F20"/>
          <w:w w:val="105"/>
        </w:rPr>
        <w:t>Buscar en la actividad turística la generación de empleos directos e indirectos. Esta opción requiere acciones paulatinas en materia de desarrollo turístico y ur- bano</w:t>
      </w:r>
      <w:r>
        <w:rPr>
          <w:color w:val="231F20"/>
          <w:spacing w:val="-13"/>
          <w:w w:val="105"/>
        </w:rPr>
        <w:t> </w:t>
      </w:r>
      <w:r>
        <w:rPr>
          <w:color w:val="231F20"/>
          <w:w w:val="105"/>
        </w:rPr>
        <w:t>de</w:t>
      </w:r>
      <w:r>
        <w:rPr>
          <w:color w:val="231F20"/>
          <w:spacing w:val="-13"/>
          <w:w w:val="105"/>
        </w:rPr>
        <w:t> </w:t>
      </w:r>
      <w:r>
        <w:rPr>
          <w:color w:val="231F20"/>
          <w:spacing w:val="-4"/>
          <w:w w:val="105"/>
        </w:rPr>
        <w:t>Tejupilco,</w:t>
      </w:r>
      <w:r>
        <w:rPr>
          <w:color w:val="231F20"/>
          <w:spacing w:val="-13"/>
          <w:w w:val="105"/>
        </w:rPr>
        <w:t> </w:t>
      </w:r>
      <w:r>
        <w:rPr>
          <w:color w:val="231F20"/>
          <w:w w:val="105"/>
        </w:rPr>
        <w:t>las</w:t>
      </w:r>
      <w:r>
        <w:rPr>
          <w:color w:val="231F20"/>
          <w:spacing w:val="-13"/>
          <w:w w:val="105"/>
        </w:rPr>
        <w:t> </w:t>
      </w:r>
      <w:r>
        <w:rPr>
          <w:color w:val="231F20"/>
          <w:w w:val="105"/>
        </w:rPr>
        <w:t>cuales</w:t>
      </w:r>
      <w:r>
        <w:rPr>
          <w:color w:val="231F20"/>
          <w:spacing w:val="-13"/>
          <w:w w:val="105"/>
        </w:rPr>
        <w:t> </w:t>
      </w:r>
      <w:r>
        <w:rPr>
          <w:color w:val="231F20"/>
          <w:w w:val="105"/>
        </w:rPr>
        <w:t>no</w:t>
      </w:r>
      <w:r>
        <w:rPr>
          <w:color w:val="231F20"/>
          <w:spacing w:val="-13"/>
          <w:w w:val="105"/>
        </w:rPr>
        <w:t> </w:t>
      </w:r>
      <w:r>
        <w:rPr>
          <w:color w:val="231F20"/>
          <w:w w:val="105"/>
        </w:rPr>
        <w:t>verán</w:t>
      </w:r>
      <w:r>
        <w:rPr>
          <w:color w:val="231F20"/>
          <w:spacing w:val="-13"/>
          <w:w w:val="105"/>
        </w:rPr>
        <w:t> </w:t>
      </w:r>
      <w:r>
        <w:rPr>
          <w:color w:val="231F20"/>
          <w:w w:val="105"/>
        </w:rPr>
        <w:t>resultados</w:t>
      </w:r>
      <w:r>
        <w:rPr>
          <w:color w:val="231F20"/>
          <w:spacing w:val="-13"/>
          <w:w w:val="105"/>
        </w:rPr>
        <w:t> </w:t>
      </w:r>
      <w:r>
        <w:rPr>
          <w:color w:val="231F20"/>
          <w:w w:val="105"/>
        </w:rPr>
        <w:t>concretos</w:t>
      </w:r>
      <w:r>
        <w:rPr>
          <w:color w:val="231F20"/>
          <w:spacing w:val="-13"/>
          <w:w w:val="105"/>
        </w:rPr>
        <w:t> </w:t>
      </w:r>
      <w:r>
        <w:rPr>
          <w:color w:val="231F20"/>
          <w:w w:val="105"/>
        </w:rPr>
        <w:t>en</w:t>
      </w:r>
      <w:r>
        <w:rPr>
          <w:color w:val="231F20"/>
          <w:spacing w:val="-13"/>
          <w:w w:val="105"/>
        </w:rPr>
        <w:t> </w:t>
      </w:r>
      <w:r>
        <w:rPr>
          <w:color w:val="231F20"/>
          <w:w w:val="105"/>
        </w:rPr>
        <w:t>un</w:t>
      </w:r>
      <w:r>
        <w:rPr>
          <w:color w:val="231F20"/>
          <w:spacing w:val="-13"/>
          <w:w w:val="105"/>
        </w:rPr>
        <w:t> </w:t>
      </w:r>
      <w:r>
        <w:rPr>
          <w:color w:val="231F20"/>
          <w:w w:val="105"/>
        </w:rPr>
        <w:t>periodo</w:t>
      </w:r>
      <w:r>
        <w:rPr>
          <w:color w:val="231F20"/>
          <w:spacing w:val="-13"/>
          <w:w w:val="105"/>
        </w:rPr>
        <w:t> </w:t>
      </w:r>
      <w:r>
        <w:rPr>
          <w:color w:val="231F20"/>
          <w:w w:val="105"/>
        </w:rPr>
        <w:t>aproxi- mado de 4 años, pero que de ejecutarse, brindarán la plataforma para enfrentar futuros problemas de</w:t>
      </w:r>
      <w:r>
        <w:rPr>
          <w:color w:val="231F20"/>
          <w:spacing w:val="-30"/>
          <w:w w:val="105"/>
        </w:rPr>
        <w:t> </w:t>
      </w:r>
      <w:r>
        <w:rPr>
          <w:color w:val="231F20"/>
          <w:spacing w:val="-3"/>
          <w:w w:val="105"/>
        </w:rPr>
        <w:t>empleo;</w:t>
      </w:r>
    </w:p>
    <w:p>
      <w:pPr>
        <w:pStyle w:val="BodyText"/>
        <w:spacing w:line="285" w:lineRule="auto" w:before="1"/>
        <w:ind w:left="677" w:right="107"/>
        <w:jc w:val="both"/>
      </w:pPr>
      <w:r>
        <w:rPr>
          <w:color w:val="231F20"/>
          <w:w w:val="105"/>
        </w:rPr>
        <w:t>Otra</w:t>
      </w:r>
      <w:r>
        <w:rPr>
          <w:color w:val="231F20"/>
          <w:spacing w:val="-13"/>
          <w:w w:val="105"/>
        </w:rPr>
        <w:t> </w:t>
      </w:r>
      <w:r>
        <w:rPr>
          <w:color w:val="231F20"/>
          <w:w w:val="105"/>
        </w:rPr>
        <w:t>opción</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creación</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Oficina</w:t>
      </w:r>
      <w:r>
        <w:rPr>
          <w:color w:val="231F20"/>
          <w:spacing w:val="-13"/>
          <w:w w:val="105"/>
        </w:rPr>
        <w:t> </w:t>
      </w:r>
      <w:r>
        <w:rPr>
          <w:color w:val="231F20"/>
          <w:w w:val="105"/>
        </w:rPr>
        <w:t>de</w:t>
      </w:r>
      <w:r>
        <w:rPr>
          <w:color w:val="231F20"/>
          <w:spacing w:val="-13"/>
          <w:w w:val="105"/>
        </w:rPr>
        <w:t> </w:t>
      </w:r>
      <w:r>
        <w:rPr>
          <w:color w:val="231F20"/>
          <w:w w:val="105"/>
        </w:rPr>
        <w:t>Atención</w:t>
      </w:r>
      <w:r>
        <w:rPr>
          <w:color w:val="231F20"/>
          <w:spacing w:val="-13"/>
          <w:w w:val="105"/>
        </w:rPr>
        <w:t> </w:t>
      </w:r>
      <w:r>
        <w:rPr>
          <w:color w:val="231F20"/>
          <w:w w:val="105"/>
        </w:rPr>
        <w:t>e</w:t>
      </w:r>
      <w:r>
        <w:rPr>
          <w:color w:val="231F20"/>
          <w:spacing w:val="-13"/>
          <w:w w:val="105"/>
        </w:rPr>
        <w:t> </w:t>
      </w:r>
      <w:r>
        <w:rPr>
          <w:color w:val="231F20"/>
          <w:w w:val="105"/>
        </w:rPr>
        <w:t>Impulso</w:t>
      </w:r>
      <w:r>
        <w:rPr>
          <w:color w:val="231F20"/>
          <w:spacing w:val="-13"/>
          <w:w w:val="105"/>
        </w:rPr>
        <w:t> </w:t>
      </w:r>
      <w:r>
        <w:rPr>
          <w:color w:val="231F20"/>
          <w:w w:val="105"/>
        </w:rPr>
        <w:t>a</w:t>
      </w:r>
      <w:r>
        <w:rPr>
          <w:color w:val="231F20"/>
          <w:spacing w:val="-13"/>
          <w:w w:val="105"/>
        </w:rPr>
        <w:t> </w:t>
      </w:r>
      <w:r>
        <w:rPr>
          <w:color w:val="231F20"/>
          <w:w w:val="105"/>
        </w:rPr>
        <w:t>Negocios,</w:t>
      </w:r>
      <w:r>
        <w:rPr>
          <w:color w:val="231F20"/>
          <w:spacing w:val="-13"/>
          <w:w w:val="105"/>
        </w:rPr>
        <w:t> </w:t>
      </w:r>
      <w:r>
        <w:rPr>
          <w:color w:val="231F20"/>
          <w:w w:val="105"/>
        </w:rPr>
        <w:t>que se</w:t>
      </w:r>
      <w:r>
        <w:rPr>
          <w:color w:val="231F20"/>
          <w:spacing w:val="-11"/>
          <w:w w:val="105"/>
        </w:rPr>
        <w:t> </w:t>
      </w:r>
      <w:r>
        <w:rPr>
          <w:color w:val="231F20"/>
          <w:w w:val="105"/>
        </w:rPr>
        <w:t>encargue</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gestión</w:t>
      </w:r>
      <w:r>
        <w:rPr>
          <w:color w:val="231F20"/>
          <w:spacing w:val="-11"/>
          <w:w w:val="105"/>
        </w:rPr>
        <w:t> </w:t>
      </w:r>
      <w:r>
        <w:rPr>
          <w:color w:val="231F20"/>
          <w:w w:val="105"/>
        </w:rPr>
        <w:t>gubernamental</w:t>
      </w:r>
      <w:r>
        <w:rPr>
          <w:color w:val="231F20"/>
          <w:spacing w:val="-11"/>
          <w:w w:val="105"/>
        </w:rPr>
        <w:t> </w:t>
      </w:r>
      <w:r>
        <w:rPr>
          <w:color w:val="231F20"/>
          <w:w w:val="105"/>
        </w:rPr>
        <w:t>y</w:t>
      </w:r>
      <w:r>
        <w:rPr>
          <w:color w:val="231F20"/>
          <w:spacing w:val="-11"/>
          <w:w w:val="105"/>
        </w:rPr>
        <w:t> </w:t>
      </w:r>
      <w:r>
        <w:rPr>
          <w:color w:val="231F20"/>
          <w:w w:val="105"/>
        </w:rPr>
        <w:t>privada,</w:t>
      </w:r>
      <w:r>
        <w:rPr>
          <w:color w:val="231F20"/>
          <w:spacing w:val="-11"/>
          <w:w w:val="105"/>
        </w:rPr>
        <w:t> </w:t>
      </w:r>
      <w:r>
        <w:rPr>
          <w:color w:val="231F20"/>
          <w:w w:val="105"/>
        </w:rPr>
        <w:t>cuyo</w:t>
      </w:r>
      <w:r>
        <w:rPr>
          <w:color w:val="231F20"/>
          <w:spacing w:val="-11"/>
          <w:w w:val="105"/>
        </w:rPr>
        <w:t> </w:t>
      </w:r>
      <w:r>
        <w:rPr>
          <w:color w:val="231F20"/>
          <w:w w:val="105"/>
        </w:rPr>
        <w:t>objetivo</w:t>
      </w:r>
      <w:r>
        <w:rPr>
          <w:color w:val="231F20"/>
          <w:spacing w:val="-11"/>
          <w:w w:val="105"/>
        </w:rPr>
        <w:t> </w:t>
      </w:r>
      <w:r>
        <w:rPr>
          <w:color w:val="231F20"/>
          <w:w w:val="105"/>
        </w:rPr>
        <w:t>primario</w:t>
      </w:r>
      <w:r>
        <w:rPr>
          <w:color w:val="231F20"/>
          <w:spacing w:val="-11"/>
          <w:w w:val="105"/>
        </w:rPr>
        <w:t> </w:t>
      </w:r>
      <w:r>
        <w:rPr>
          <w:color w:val="231F20"/>
          <w:w w:val="105"/>
        </w:rPr>
        <w:t>sea</w:t>
      </w:r>
      <w:r>
        <w:rPr>
          <w:color w:val="231F20"/>
          <w:spacing w:val="-11"/>
          <w:w w:val="105"/>
        </w:rPr>
        <w:t> </w:t>
      </w:r>
      <w:r>
        <w:rPr>
          <w:color w:val="231F20"/>
          <w:w w:val="105"/>
        </w:rPr>
        <w:t>la atracción</w:t>
      </w:r>
      <w:r>
        <w:rPr>
          <w:color w:val="231F20"/>
          <w:spacing w:val="-20"/>
          <w:w w:val="105"/>
        </w:rPr>
        <w:t> </w:t>
      </w:r>
      <w:r>
        <w:rPr>
          <w:color w:val="231F20"/>
          <w:w w:val="105"/>
        </w:rPr>
        <w:t>de</w:t>
      </w:r>
      <w:r>
        <w:rPr>
          <w:color w:val="231F20"/>
          <w:spacing w:val="-20"/>
          <w:w w:val="105"/>
        </w:rPr>
        <w:t> </w:t>
      </w:r>
      <w:r>
        <w:rPr>
          <w:color w:val="231F20"/>
          <w:w w:val="105"/>
        </w:rPr>
        <w:t>inversión</w:t>
      </w:r>
      <w:r>
        <w:rPr>
          <w:color w:val="231F20"/>
          <w:spacing w:val="-20"/>
          <w:w w:val="105"/>
        </w:rPr>
        <w:t> </w:t>
      </w:r>
      <w:r>
        <w:rPr>
          <w:color w:val="231F20"/>
          <w:w w:val="105"/>
        </w:rPr>
        <w:t>y</w:t>
      </w:r>
      <w:r>
        <w:rPr>
          <w:color w:val="231F20"/>
          <w:spacing w:val="-20"/>
          <w:w w:val="105"/>
        </w:rPr>
        <w:t> </w:t>
      </w:r>
      <w:r>
        <w:rPr>
          <w:color w:val="231F20"/>
          <w:w w:val="105"/>
        </w:rPr>
        <w:t>proyectos</w:t>
      </w:r>
      <w:r>
        <w:rPr>
          <w:color w:val="231F20"/>
          <w:spacing w:val="-20"/>
          <w:w w:val="105"/>
        </w:rPr>
        <w:t> </w:t>
      </w:r>
      <w:r>
        <w:rPr>
          <w:color w:val="231F20"/>
          <w:w w:val="105"/>
        </w:rPr>
        <w:t>productivos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p>
    <w:p>
      <w:pPr>
        <w:pStyle w:val="BodyText"/>
        <w:spacing w:line="285" w:lineRule="auto" w:before="1"/>
        <w:ind w:left="677" w:right="171"/>
        <w:jc w:val="both"/>
      </w:pPr>
      <w:r>
        <w:rPr>
          <w:color w:val="231F20"/>
          <w:w w:val="105"/>
        </w:rPr>
        <w:t>Propiciar la organización constante y periódica de Ferias de Empleo; y </w:t>
      </w:r>
      <w:r>
        <w:rPr>
          <w:color w:val="231F20"/>
          <w:spacing w:val="-9"/>
          <w:w w:val="105"/>
        </w:rPr>
        <w:t>Orientación</w:t>
      </w:r>
      <w:r>
        <w:rPr>
          <w:color w:val="231F20"/>
          <w:spacing w:val="-26"/>
          <w:w w:val="105"/>
        </w:rPr>
        <w:t> </w:t>
      </w:r>
      <w:r>
        <w:rPr>
          <w:color w:val="231F20"/>
          <w:w w:val="105"/>
        </w:rPr>
        <w:t>y</w:t>
      </w:r>
      <w:r>
        <w:rPr>
          <w:color w:val="231F20"/>
          <w:spacing w:val="-26"/>
          <w:w w:val="105"/>
        </w:rPr>
        <w:t> </w:t>
      </w:r>
      <w:r>
        <w:rPr>
          <w:color w:val="231F20"/>
          <w:spacing w:val="-9"/>
          <w:w w:val="105"/>
        </w:rPr>
        <w:t>capacitación</w:t>
      </w:r>
      <w:r>
        <w:rPr>
          <w:color w:val="231F20"/>
          <w:spacing w:val="-26"/>
          <w:w w:val="105"/>
        </w:rPr>
        <w:t> </w:t>
      </w:r>
      <w:r>
        <w:rPr>
          <w:color w:val="231F20"/>
          <w:spacing w:val="-6"/>
          <w:w w:val="105"/>
        </w:rPr>
        <w:t>de</w:t>
      </w:r>
      <w:r>
        <w:rPr>
          <w:color w:val="231F20"/>
          <w:spacing w:val="-26"/>
          <w:w w:val="105"/>
        </w:rPr>
        <w:t> </w:t>
      </w:r>
      <w:r>
        <w:rPr>
          <w:color w:val="231F20"/>
          <w:spacing w:val="-9"/>
          <w:w w:val="105"/>
        </w:rPr>
        <w:t>empresarios</w:t>
      </w:r>
      <w:r>
        <w:rPr>
          <w:color w:val="231F20"/>
          <w:spacing w:val="-26"/>
          <w:w w:val="105"/>
        </w:rPr>
        <w:t> </w:t>
      </w:r>
      <w:r>
        <w:rPr>
          <w:color w:val="231F20"/>
          <w:w w:val="105"/>
        </w:rPr>
        <w:t>y</w:t>
      </w:r>
      <w:r>
        <w:rPr>
          <w:color w:val="231F20"/>
          <w:spacing w:val="-26"/>
          <w:w w:val="105"/>
        </w:rPr>
        <w:t> </w:t>
      </w:r>
      <w:r>
        <w:rPr>
          <w:color w:val="231F20"/>
          <w:spacing w:val="-9"/>
          <w:w w:val="105"/>
        </w:rPr>
        <w:t>comerciantes</w:t>
      </w:r>
      <w:r>
        <w:rPr>
          <w:color w:val="231F20"/>
          <w:spacing w:val="-26"/>
          <w:w w:val="105"/>
        </w:rPr>
        <w:t> </w:t>
      </w:r>
      <w:r>
        <w:rPr>
          <w:color w:val="231F20"/>
          <w:spacing w:val="-6"/>
          <w:w w:val="105"/>
        </w:rPr>
        <w:t>para</w:t>
      </w:r>
      <w:r>
        <w:rPr>
          <w:color w:val="231F20"/>
          <w:spacing w:val="-26"/>
          <w:w w:val="105"/>
        </w:rPr>
        <w:t> </w:t>
      </w:r>
      <w:r>
        <w:rPr>
          <w:color w:val="231F20"/>
          <w:spacing w:val="-4"/>
          <w:w w:val="105"/>
        </w:rPr>
        <w:t>la</w:t>
      </w:r>
      <w:r>
        <w:rPr>
          <w:color w:val="231F20"/>
          <w:spacing w:val="-26"/>
          <w:w w:val="105"/>
        </w:rPr>
        <w:t> </w:t>
      </w:r>
      <w:r>
        <w:rPr>
          <w:color w:val="231F20"/>
          <w:spacing w:val="-10"/>
          <w:w w:val="105"/>
        </w:rPr>
        <w:t>generación</w:t>
      </w:r>
      <w:r>
        <w:rPr>
          <w:color w:val="231F20"/>
          <w:spacing w:val="-26"/>
          <w:w w:val="105"/>
        </w:rPr>
        <w:t> </w:t>
      </w:r>
      <w:r>
        <w:rPr>
          <w:color w:val="231F20"/>
          <w:spacing w:val="-6"/>
          <w:w w:val="105"/>
        </w:rPr>
        <w:t>de</w:t>
      </w:r>
      <w:r>
        <w:rPr>
          <w:color w:val="231F20"/>
          <w:spacing w:val="-26"/>
          <w:w w:val="105"/>
        </w:rPr>
        <w:t> </w:t>
      </w:r>
      <w:r>
        <w:rPr>
          <w:color w:val="231F20"/>
          <w:spacing w:val="-10"/>
          <w:w w:val="105"/>
        </w:rPr>
        <w:t>empleo.</w:t>
      </w:r>
    </w:p>
    <w:p>
      <w:pPr>
        <w:spacing w:after="0" w:line="285" w:lineRule="auto"/>
        <w:jc w:val="both"/>
        <w:sectPr>
          <w:pgSz w:w="9640" w:h="12190"/>
          <w:pgMar w:header="0" w:footer="743" w:top="1120" w:bottom="940" w:left="740" w:right="740"/>
        </w:sectPr>
      </w:pPr>
    </w:p>
    <w:p>
      <w:pPr>
        <w:pStyle w:val="BodyText"/>
        <w:spacing w:before="3"/>
        <w:rPr>
          <w:sz w:val="11"/>
        </w:rPr>
      </w:pPr>
    </w:p>
    <w:p>
      <w:pPr>
        <w:pStyle w:val="ListParagraph"/>
        <w:numPr>
          <w:ilvl w:val="0"/>
          <w:numId w:val="10"/>
        </w:numPr>
        <w:tabs>
          <w:tab w:pos="301" w:val="left" w:leader="none"/>
        </w:tabs>
        <w:spacing w:line="285" w:lineRule="auto" w:before="36" w:after="0"/>
        <w:ind w:left="110" w:right="107" w:firstLine="0"/>
        <w:jc w:val="both"/>
        <w:rPr>
          <w:rFonts w:ascii="Times New Roman" w:hAnsi="Times New Roman"/>
          <w:sz w:val="22"/>
        </w:rPr>
      </w:pPr>
      <w:r>
        <w:rPr>
          <w:rFonts w:ascii="Times New Roman" w:hAnsi="Times New Roman"/>
          <w:color w:val="231F20"/>
          <w:w w:val="105"/>
          <w:sz w:val="22"/>
        </w:rPr>
        <w:t>Servicios públicos, en este rubro se desarrollaron en mayor medida las demandas, situación entendible si consideramos que son aquellos que se encuentran más cerca- nos</w:t>
      </w:r>
      <w:r>
        <w:rPr>
          <w:rFonts w:ascii="Times New Roman" w:hAnsi="Times New Roman"/>
          <w:color w:val="231F20"/>
          <w:spacing w:val="-9"/>
          <w:w w:val="105"/>
          <w:sz w:val="22"/>
        </w:rPr>
        <w:t> </w:t>
      </w:r>
      <w:r>
        <w:rPr>
          <w:rFonts w:ascii="Times New Roman" w:hAnsi="Times New Roman"/>
          <w:color w:val="231F20"/>
          <w:w w:val="105"/>
          <w:sz w:val="22"/>
        </w:rPr>
        <w:t>a</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población,</w:t>
      </w:r>
      <w:r>
        <w:rPr>
          <w:rFonts w:ascii="Times New Roman" w:hAnsi="Times New Roman"/>
          <w:color w:val="231F20"/>
          <w:spacing w:val="-9"/>
          <w:w w:val="105"/>
          <w:sz w:val="22"/>
        </w:rPr>
        <w:t> </w:t>
      </w:r>
      <w:r>
        <w:rPr>
          <w:rFonts w:ascii="Times New Roman" w:hAnsi="Times New Roman"/>
          <w:color w:val="231F20"/>
          <w:w w:val="105"/>
          <w:sz w:val="22"/>
        </w:rPr>
        <w:t>los</w:t>
      </w:r>
      <w:r>
        <w:rPr>
          <w:rFonts w:ascii="Times New Roman" w:hAnsi="Times New Roman"/>
          <w:color w:val="231F20"/>
          <w:spacing w:val="-9"/>
          <w:w w:val="105"/>
          <w:sz w:val="22"/>
        </w:rPr>
        <w:t> </w:t>
      </w:r>
      <w:r>
        <w:rPr>
          <w:rFonts w:ascii="Times New Roman" w:hAnsi="Times New Roman"/>
          <w:color w:val="231F20"/>
          <w:w w:val="105"/>
          <w:sz w:val="22"/>
        </w:rPr>
        <w:t>servicios</w:t>
      </w:r>
      <w:r>
        <w:rPr>
          <w:rFonts w:ascii="Times New Roman" w:hAnsi="Times New Roman"/>
          <w:color w:val="231F20"/>
          <w:spacing w:val="-9"/>
          <w:w w:val="105"/>
          <w:sz w:val="22"/>
        </w:rPr>
        <w:t> </w:t>
      </w:r>
      <w:r>
        <w:rPr>
          <w:rFonts w:ascii="Times New Roman" w:hAnsi="Times New Roman"/>
          <w:color w:val="231F20"/>
          <w:w w:val="105"/>
          <w:sz w:val="22"/>
        </w:rPr>
        <w:t>solicitados</w:t>
      </w:r>
      <w:r>
        <w:rPr>
          <w:rFonts w:ascii="Times New Roman" w:hAnsi="Times New Roman"/>
          <w:color w:val="231F20"/>
          <w:spacing w:val="-9"/>
          <w:w w:val="105"/>
          <w:sz w:val="22"/>
        </w:rPr>
        <w:t> </w:t>
      </w:r>
      <w:r>
        <w:rPr>
          <w:rFonts w:ascii="Times New Roman" w:hAnsi="Times New Roman"/>
          <w:color w:val="231F20"/>
          <w:w w:val="105"/>
          <w:sz w:val="22"/>
        </w:rPr>
        <w:t>fueron</w:t>
      </w:r>
      <w:r>
        <w:rPr>
          <w:rFonts w:ascii="Times New Roman" w:hAnsi="Times New Roman"/>
          <w:color w:val="231F20"/>
          <w:spacing w:val="-9"/>
          <w:w w:val="105"/>
          <w:sz w:val="22"/>
        </w:rPr>
        <w:t> </w:t>
      </w:r>
      <w:r>
        <w:rPr>
          <w:rFonts w:ascii="Times New Roman" w:hAnsi="Times New Roman"/>
          <w:color w:val="231F20"/>
          <w:w w:val="105"/>
          <w:sz w:val="22"/>
        </w:rPr>
        <w:t>agua</w:t>
      </w:r>
      <w:r>
        <w:rPr>
          <w:rFonts w:ascii="Times New Roman" w:hAnsi="Times New Roman"/>
          <w:color w:val="231F20"/>
          <w:spacing w:val="-9"/>
          <w:w w:val="105"/>
          <w:sz w:val="22"/>
        </w:rPr>
        <w:t> </w:t>
      </w:r>
      <w:r>
        <w:rPr>
          <w:rFonts w:ascii="Times New Roman" w:hAnsi="Times New Roman"/>
          <w:color w:val="231F20"/>
          <w:w w:val="105"/>
          <w:sz w:val="22"/>
        </w:rPr>
        <w:t>potable,</w:t>
      </w:r>
      <w:r>
        <w:rPr>
          <w:rFonts w:ascii="Times New Roman" w:hAnsi="Times New Roman"/>
          <w:color w:val="231F20"/>
          <w:spacing w:val="-9"/>
          <w:w w:val="105"/>
          <w:sz w:val="22"/>
        </w:rPr>
        <w:t> </w:t>
      </w:r>
      <w:r>
        <w:rPr>
          <w:rFonts w:ascii="Times New Roman" w:hAnsi="Times New Roman"/>
          <w:color w:val="231F20"/>
          <w:w w:val="105"/>
          <w:sz w:val="22"/>
        </w:rPr>
        <w:t>drenaje</w:t>
      </w:r>
      <w:r>
        <w:rPr>
          <w:rFonts w:ascii="Times New Roman" w:hAnsi="Times New Roman"/>
          <w:color w:val="231F20"/>
          <w:spacing w:val="-9"/>
          <w:w w:val="105"/>
          <w:sz w:val="22"/>
        </w:rPr>
        <w:t> </w:t>
      </w:r>
      <w:r>
        <w:rPr>
          <w:rFonts w:ascii="Times New Roman" w:hAnsi="Times New Roman"/>
          <w:color w:val="231F20"/>
          <w:w w:val="105"/>
          <w:sz w:val="22"/>
        </w:rPr>
        <w:t>y</w:t>
      </w:r>
      <w:r>
        <w:rPr>
          <w:rFonts w:ascii="Times New Roman" w:hAnsi="Times New Roman"/>
          <w:color w:val="231F20"/>
          <w:spacing w:val="-9"/>
          <w:w w:val="105"/>
          <w:sz w:val="22"/>
        </w:rPr>
        <w:t> </w:t>
      </w:r>
      <w:r>
        <w:rPr>
          <w:rFonts w:ascii="Times New Roman" w:hAnsi="Times New Roman"/>
          <w:color w:val="231F20"/>
          <w:w w:val="105"/>
          <w:sz w:val="22"/>
        </w:rPr>
        <w:t>tratamiento, alumbrado público y electrificación, limpia y desechos sólidos, panteones, rastro, co- municaciones y transportes, imagen urbana y turismo. Básicamente se contempla la creación,</w:t>
      </w:r>
      <w:r>
        <w:rPr>
          <w:rFonts w:ascii="Times New Roman" w:hAnsi="Times New Roman"/>
          <w:color w:val="231F20"/>
          <w:spacing w:val="-14"/>
          <w:w w:val="105"/>
          <w:sz w:val="22"/>
        </w:rPr>
        <w:t> </w:t>
      </w:r>
      <w:r>
        <w:rPr>
          <w:rFonts w:ascii="Times New Roman" w:hAnsi="Times New Roman"/>
          <w:color w:val="231F20"/>
          <w:w w:val="105"/>
          <w:sz w:val="22"/>
        </w:rPr>
        <w:t>mejora,</w:t>
      </w:r>
      <w:r>
        <w:rPr>
          <w:rFonts w:ascii="Times New Roman" w:hAnsi="Times New Roman"/>
          <w:color w:val="231F20"/>
          <w:spacing w:val="-14"/>
          <w:w w:val="105"/>
          <w:sz w:val="22"/>
        </w:rPr>
        <w:t> </w:t>
      </w:r>
      <w:r>
        <w:rPr>
          <w:rFonts w:ascii="Times New Roman" w:hAnsi="Times New Roman"/>
          <w:color w:val="231F20"/>
          <w:w w:val="105"/>
          <w:sz w:val="22"/>
        </w:rPr>
        <w:t>mantenimiento</w:t>
      </w:r>
      <w:r>
        <w:rPr>
          <w:rFonts w:ascii="Times New Roman" w:hAnsi="Times New Roman"/>
          <w:color w:val="231F20"/>
          <w:spacing w:val="-14"/>
          <w:w w:val="105"/>
          <w:sz w:val="22"/>
        </w:rPr>
        <w:t> </w:t>
      </w:r>
      <w:r>
        <w:rPr>
          <w:rFonts w:ascii="Times New Roman" w:hAnsi="Times New Roman"/>
          <w:color w:val="231F20"/>
          <w:w w:val="105"/>
          <w:sz w:val="22"/>
        </w:rPr>
        <w:t>o</w:t>
      </w:r>
      <w:r>
        <w:rPr>
          <w:rFonts w:ascii="Times New Roman" w:hAnsi="Times New Roman"/>
          <w:color w:val="231F20"/>
          <w:spacing w:val="-14"/>
          <w:w w:val="105"/>
          <w:sz w:val="22"/>
        </w:rPr>
        <w:t> </w:t>
      </w:r>
      <w:r>
        <w:rPr>
          <w:rFonts w:ascii="Times New Roman" w:hAnsi="Times New Roman"/>
          <w:color w:val="231F20"/>
          <w:w w:val="105"/>
          <w:sz w:val="22"/>
        </w:rPr>
        <w:t>incremento</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éstos,</w:t>
      </w:r>
      <w:r>
        <w:rPr>
          <w:rFonts w:ascii="Times New Roman" w:hAnsi="Times New Roman"/>
          <w:color w:val="231F20"/>
          <w:spacing w:val="-14"/>
          <w:w w:val="105"/>
          <w:sz w:val="22"/>
        </w:rPr>
        <w:t> </w:t>
      </w:r>
      <w:r>
        <w:rPr>
          <w:rFonts w:ascii="Times New Roman" w:hAnsi="Times New Roman"/>
          <w:color w:val="231F20"/>
          <w:w w:val="105"/>
          <w:sz w:val="22"/>
        </w:rPr>
        <w:t>así</w:t>
      </w:r>
      <w:r>
        <w:rPr>
          <w:rFonts w:ascii="Times New Roman" w:hAnsi="Times New Roman"/>
          <w:color w:val="231F20"/>
          <w:spacing w:val="-14"/>
          <w:w w:val="105"/>
          <w:sz w:val="22"/>
        </w:rPr>
        <w:t> </w:t>
      </w:r>
      <w:r>
        <w:rPr>
          <w:rFonts w:ascii="Times New Roman" w:hAnsi="Times New Roman"/>
          <w:color w:val="231F20"/>
          <w:w w:val="105"/>
          <w:sz w:val="22"/>
        </w:rPr>
        <w:t>como</w:t>
      </w:r>
      <w:r>
        <w:rPr>
          <w:rFonts w:ascii="Times New Roman" w:hAnsi="Times New Roman"/>
          <w:color w:val="231F20"/>
          <w:spacing w:val="-14"/>
          <w:w w:val="105"/>
          <w:sz w:val="22"/>
        </w:rPr>
        <w:t> </w:t>
      </w:r>
      <w:r>
        <w:rPr>
          <w:rFonts w:ascii="Times New Roman" w:hAnsi="Times New Roman"/>
          <w:color w:val="231F20"/>
          <w:w w:val="105"/>
          <w:sz w:val="22"/>
        </w:rPr>
        <w:t>la</w:t>
      </w:r>
      <w:r>
        <w:rPr>
          <w:rFonts w:ascii="Times New Roman" w:hAnsi="Times New Roman"/>
          <w:color w:val="231F20"/>
          <w:spacing w:val="-14"/>
          <w:w w:val="105"/>
          <w:sz w:val="22"/>
        </w:rPr>
        <w:t> </w:t>
      </w:r>
      <w:r>
        <w:rPr>
          <w:rFonts w:ascii="Times New Roman" w:hAnsi="Times New Roman"/>
          <w:color w:val="231F20"/>
          <w:w w:val="105"/>
          <w:sz w:val="22"/>
        </w:rPr>
        <w:t>profesionalización del</w:t>
      </w:r>
      <w:r>
        <w:rPr>
          <w:rFonts w:ascii="Times New Roman" w:hAnsi="Times New Roman"/>
          <w:color w:val="231F20"/>
          <w:spacing w:val="-18"/>
          <w:w w:val="105"/>
          <w:sz w:val="22"/>
        </w:rPr>
        <w:t> </w:t>
      </w:r>
      <w:r>
        <w:rPr>
          <w:rFonts w:ascii="Times New Roman" w:hAnsi="Times New Roman"/>
          <w:color w:val="231F20"/>
          <w:w w:val="105"/>
          <w:sz w:val="22"/>
        </w:rPr>
        <w:t>personal</w:t>
      </w:r>
      <w:r>
        <w:rPr>
          <w:rFonts w:ascii="Times New Roman" w:hAnsi="Times New Roman"/>
          <w:color w:val="231F20"/>
          <w:spacing w:val="-18"/>
          <w:w w:val="105"/>
          <w:sz w:val="22"/>
        </w:rPr>
        <w:t> </w:t>
      </w:r>
      <w:r>
        <w:rPr>
          <w:rFonts w:ascii="Times New Roman" w:hAnsi="Times New Roman"/>
          <w:color w:val="231F20"/>
          <w:w w:val="105"/>
          <w:sz w:val="22"/>
        </w:rPr>
        <w:t>a</w:t>
      </w:r>
      <w:r>
        <w:rPr>
          <w:rFonts w:ascii="Times New Roman" w:hAnsi="Times New Roman"/>
          <w:color w:val="231F20"/>
          <w:spacing w:val="-18"/>
          <w:w w:val="105"/>
          <w:sz w:val="22"/>
        </w:rPr>
        <w:t> </w:t>
      </w:r>
      <w:r>
        <w:rPr>
          <w:rFonts w:ascii="Times New Roman" w:hAnsi="Times New Roman"/>
          <w:color w:val="231F20"/>
          <w:w w:val="105"/>
          <w:sz w:val="22"/>
        </w:rPr>
        <w:t>cargo.</w:t>
      </w:r>
    </w:p>
    <w:p>
      <w:pPr>
        <w:pStyle w:val="BodyText"/>
        <w:spacing w:before="1"/>
        <w:rPr>
          <w:sz w:val="26"/>
        </w:rPr>
      </w:pPr>
    </w:p>
    <w:p>
      <w:pPr>
        <w:pStyle w:val="BodyText"/>
        <w:spacing w:line="285" w:lineRule="auto"/>
        <w:ind w:left="110" w:right="108"/>
        <w:jc w:val="both"/>
      </w:pPr>
      <w:r>
        <w:rPr>
          <w:color w:val="231F20"/>
          <w:w w:val="105"/>
        </w:rPr>
        <w:t>Como</w:t>
      </w:r>
      <w:r>
        <w:rPr>
          <w:color w:val="231F20"/>
          <w:spacing w:val="-16"/>
          <w:w w:val="105"/>
        </w:rPr>
        <w:t> </w:t>
      </w:r>
      <w:r>
        <w:rPr>
          <w:color w:val="231F20"/>
          <w:w w:val="105"/>
        </w:rPr>
        <w:t>podemos</w:t>
      </w:r>
      <w:r>
        <w:rPr>
          <w:color w:val="231F20"/>
          <w:spacing w:val="-16"/>
          <w:w w:val="105"/>
        </w:rPr>
        <w:t> </w:t>
      </w:r>
      <w:r>
        <w:rPr>
          <w:color w:val="231F20"/>
          <w:w w:val="105"/>
        </w:rPr>
        <w:t>apreciar</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gráfica</w:t>
      </w:r>
      <w:r>
        <w:rPr>
          <w:color w:val="231F20"/>
          <w:spacing w:val="-16"/>
          <w:w w:val="105"/>
        </w:rPr>
        <w:t> </w:t>
      </w:r>
      <w:r>
        <w:rPr>
          <w:color w:val="231F20"/>
          <w:w w:val="105"/>
        </w:rPr>
        <w:t>2</w:t>
      </w:r>
      <w:r>
        <w:rPr>
          <w:color w:val="231F20"/>
          <w:spacing w:val="-16"/>
          <w:w w:val="105"/>
        </w:rPr>
        <w:t> </w:t>
      </w:r>
      <w:r>
        <w:rPr>
          <w:color w:val="231F20"/>
          <w:w w:val="105"/>
        </w:rPr>
        <w:t>sobre</w:t>
      </w:r>
      <w:r>
        <w:rPr>
          <w:color w:val="231F20"/>
          <w:spacing w:val="-16"/>
          <w:w w:val="105"/>
        </w:rPr>
        <w:t> </w:t>
      </w:r>
      <w:r>
        <w:rPr>
          <w:color w:val="231F20"/>
          <w:w w:val="105"/>
        </w:rPr>
        <w:t>las</w:t>
      </w:r>
      <w:r>
        <w:rPr>
          <w:color w:val="231F20"/>
          <w:spacing w:val="-16"/>
          <w:w w:val="105"/>
        </w:rPr>
        <w:t> </w:t>
      </w:r>
      <w:r>
        <w:rPr>
          <w:color w:val="231F20"/>
          <w:w w:val="105"/>
        </w:rPr>
        <w:t>obras</w:t>
      </w:r>
      <w:r>
        <w:rPr>
          <w:color w:val="231F20"/>
          <w:spacing w:val="-16"/>
          <w:w w:val="105"/>
        </w:rPr>
        <w:t> </w:t>
      </w:r>
      <w:r>
        <w:rPr>
          <w:color w:val="231F20"/>
          <w:w w:val="105"/>
        </w:rPr>
        <w:t>realizadas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tanto en</w:t>
      </w:r>
      <w:r>
        <w:rPr>
          <w:color w:val="231F20"/>
          <w:spacing w:val="-13"/>
          <w:w w:val="105"/>
        </w:rPr>
        <w:t> </w:t>
      </w:r>
      <w:r>
        <w:rPr>
          <w:color w:val="231F20"/>
          <w:spacing w:val="2"/>
          <w:w w:val="105"/>
        </w:rPr>
        <w:t>2007</w:t>
      </w:r>
      <w:r>
        <w:rPr>
          <w:color w:val="231F20"/>
          <w:spacing w:val="-13"/>
          <w:w w:val="105"/>
        </w:rPr>
        <w:t> </w:t>
      </w:r>
      <w:r>
        <w:rPr>
          <w:color w:val="231F20"/>
          <w:w w:val="105"/>
        </w:rPr>
        <w:t>como</w:t>
      </w:r>
      <w:r>
        <w:rPr>
          <w:color w:val="231F20"/>
          <w:spacing w:val="-13"/>
          <w:w w:val="105"/>
        </w:rPr>
        <w:t> </w:t>
      </w:r>
      <w:r>
        <w:rPr>
          <w:color w:val="231F20"/>
          <w:w w:val="105"/>
        </w:rPr>
        <w:t>en</w:t>
      </w:r>
      <w:r>
        <w:rPr>
          <w:color w:val="231F20"/>
          <w:spacing w:val="-13"/>
          <w:w w:val="105"/>
        </w:rPr>
        <w:t> </w:t>
      </w:r>
      <w:r>
        <w:rPr>
          <w:color w:val="231F20"/>
          <w:spacing w:val="3"/>
          <w:w w:val="105"/>
        </w:rPr>
        <w:t>2008,</w:t>
      </w:r>
      <w:r>
        <w:rPr>
          <w:color w:val="231F20"/>
          <w:spacing w:val="-13"/>
          <w:w w:val="105"/>
        </w:rPr>
        <w:t> </w:t>
      </w:r>
      <w:r>
        <w:rPr>
          <w:color w:val="231F20"/>
          <w:w w:val="105"/>
        </w:rPr>
        <w:t>la</w:t>
      </w:r>
      <w:r>
        <w:rPr>
          <w:color w:val="231F20"/>
          <w:spacing w:val="-13"/>
          <w:w w:val="105"/>
        </w:rPr>
        <w:t> </w:t>
      </w:r>
      <w:r>
        <w:rPr>
          <w:color w:val="231F20"/>
          <w:w w:val="105"/>
        </w:rPr>
        <w:t>mayor</w:t>
      </w:r>
      <w:r>
        <w:rPr>
          <w:color w:val="231F20"/>
          <w:spacing w:val="-13"/>
          <w:w w:val="105"/>
        </w:rPr>
        <w:t> </w:t>
      </w:r>
      <w:r>
        <w:rPr>
          <w:color w:val="231F20"/>
          <w:w w:val="105"/>
        </w:rPr>
        <w:t>cantidad</w:t>
      </w:r>
      <w:r>
        <w:rPr>
          <w:color w:val="231F20"/>
          <w:spacing w:val="-13"/>
          <w:w w:val="105"/>
        </w:rPr>
        <w:t> </w:t>
      </w:r>
      <w:r>
        <w:rPr>
          <w:color w:val="231F20"/>
          <w:w w:val="105"/>
        </w:rPr>
        <w:t>de</w:t>
      </w:r>
      <w:r>
        <w:rPr>
          <w:color w:val="231F20"/>
          <w:spacing w:val="-13"/>
          <w:w w:val="105"/>
        </w:rPr>
        <w:t> </w:t>
      </w:r>
      <w:r>
        <w:rPr>
          <w:color w:val="231F20"/>
          <w:w w:val="105"/>
        </w:rPr>
        <w:t>recurso</w:t>
      </w:r>
      <w:r>
        <w:rPr>
          <w:color w:val="231F20"/>
          <w:spacing w:val="-13"/>
          <w:w w:val="105"/>
        </w:rPr>
        <w:t> </w:t>
      </w:r>
      <w:r>
        <w:rPr>
          <w:color w:val="231F20"/>
          <w:w w:val="105"/>
        </w:rPr>
        <w:t>se</w:t>
      </w:r>
      <w:r>
        <w:rPr>
          <w:color w:val="231F20"/>
          <w:spacing w:val="-13"/>
          <w:w w:val="105"/>
        </w:rPr>
        <w:t> </w:t>
      </w:r>
      <w:r>
        <w:rPr>
          <w:color w:val="231F20"/>
          <w:spacing w:val="2"/>
          <w:w w:val="105"/>
        </w:rPr>
        <w:t>canalizó</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urbanización.</w:t>
      </w:r>
    </w:p>
    <w:p>
      <w:pPr>
        <w:spacing w:before="53"/>
        <w:ind w:left="0" w:right="108" w:firstLine="0"/>
        <w:jc w:val="right"/>
        <w:rPr>
          <w:rFonts w:ascii="Calibri" w:hAnsi="Calibri"/>
          <w:sz w:val="16"/>
        </w:rPr>
      </w:pPr>
      <w:r>
        <w:rPr/>
        <w:pict>
          <v:group style="position:absolute;margin-left:107.975693pt;margin-top:16.735874pt;width:330.95pt;height:207.85pt;mso-position-horizontal-relative:page;mso-position-vertical-relative:paragraph;z-index:8176" coordorigin="2160,335" coordsize="6619,4157">
            <v:shape style="position:absolute;left:0;top:7894;width:3702;height:2370" coordorigin="0,7894" coordsize="3702,2370" path="m2170,959l5871,959m2170,1259l3718,1259m2170,1555l3718,1555m2170,1855l3718,1855m2170,2142l3718,2142m2170,2430l3718,2430m2170,2738l3590,2738m2170,3029l2226,3029m2170,3329l2226,3329e" filled="false" stroked="true" strokeweight=".5pt" strokecolor="#231f20">
              <v:path arrowok="t"/>
            </v:shape>
            <v:shape style="position:absolute;left:0;top:7894;width:3651;height:2748" coordorigin="0,7894" coordsize="3651,2748" path="m2175,959l2175,3706m3362,3706l3362,3661m4594,3706l4594,3661m5825,3706l5825,3661e" filled="false" stroked="true" strokeweight="1pt" strokecolor="#231f20">
              <v:path arrowok="t"/>
            </v:shape>
            <v:shape style="position:absolute;left:184;top:9964;width:1110;height:301" coordorigin="184,9964" coordsize="1110,301" path="m2353,3029l3462,3029m2353,3329l3462,3329e" filled="false" stroked="true" strokeweight=".5pt" strokecolor="#231f20">
              <v:path arrowok="t"/>
            </v:shape>
            <v:rect style="position:absolute;left:2226;top:2946;width:128;height:715" filled="true" fillcolor="#8dc63f" stroked="false">
              <v:fill type="solid"/>
            </v:rect>
            <v:shape style="position:absolute;left:2353;top:3329;width:677;height:332" type="#_x0000_t75" stroked="false">
              <v:imagedata r:id="rId366" o:title=""/>
            </v:shape>
            <v:rect style="position:absolute;left:3462;top:2718;width:128;height:943" filled="true" fillcolor="#8dc63f" stroked="false">
              <v:fill type="solid"/>
            </v:rect>
            <v:rect style="position:absolute;left:3590;top:2630;width:128;height:1031" filled="true" fillcolor="#be1e2d" stroked="false">
              <v:fill type="solid"/>
            </v:rect>
            <v:shape style="position:absolute;left:1676;top:8194;width:2026;height:1172" coordorigin="1676,8194" coordsize="2026,1172" path="m3846,1259l5871,1259m3846,1555l5871,1555m3846,1855l5871,1855m3846,2142l5871,2142m3846,2430l4950,2430e" filled="false" stroked="true" strokeweight=".5pt" strokecolor="#231f20">
              <v:path arrowok="t"/>
            </v:shape>
            <v:rect style="position:absolute;left:3718;top:1203;width:128;height:2458" filled="true" fillcolor="#ef4136" stroked="false">
              <v:fill type="solid"/>
            </v:rect>
            <v:line style="position:absolute" from="3973,2738" to="4950,2738" stroked="true" strokeweight=".5pt" strokecolor="#231f20"/>
            <v:rect style="position:absolute;left:3846;top:2578;width:128;height:1083" filled="true" fillcolor="#00a79d" stroked="false">
              <v:fill type="solid"/>
            </v:rect>
            <v:line style="position:absolute" from="4115,3029" to="4950,3029" stroked="true" strokeweight=".5pt" strokecolor="#231f20"/>
            <v:rect style="position:absolute;left:3973;top:2775;width:142;height:886" filled="true" fillcolor="#c2b59b" stroked="false">
              <v:fill type="solid"/>
            </v:rect>
            <v:line style="position:absolute" from="4239,3329" to="4950,3329" stroked="true" strokeweight=".5pt" strokecolor="#231f20"/>
            <v:rect style="position:absolute;left:4115;top:3289;width:124;height:372" filled="true" fillcolor="#ee2a7b" stroked="false">
              <v:fill type="solid"/>
            </v:rect>
            <v:rect style="position:absolute;left:4239;top:3513;width:124;height:148" filled="true" fillcolor="#662d91" stroked="false">
              <v:fill type="solid"/>
            </v:rect>
            <v:rect style="position:absolute;left:4364;top:3559;width:133;height:102" filled="true" fillcolor="#27aae1" stroked="false">
              <v:fill type="solid"/>
            </v:rect>
            <v:line style="position:absolute" from="4823,3650" to="4950,3650" stroked="true" strokeweight="1.109pt" strokecolor="#92278f"/>
            <v:rect style="position:absolute;left:4695;top:3428;width:128;height:233" filled="true" fillcolor="#8dc63f" stroked="false">
              <v:fill type="solid"/>
            </v:rect>
            <v:shape style="position:absolute;left:2909;top:9366;width:794;height:899" coordorigin="2909,9366" coordsize="794,899" path="m5078,2430l5871,2430m5078,2738l5871,2738m5078,3029l5871,3029m5078,3329l5347,3329e" filled="false" stroked="true" strokeweight=".5pt" strokecolor="#231f20">
              <v:path arrowok="t"/>
            </v:shape>
            <v:rect style="position:absolute;left:4950;top:2121;width:128;height:1540" filled="true" fillcolor="#ef4136" stroked="false">
              <v:fill type="solid"/>
            </v:rect>
            <v:line style="position:absolute" from="5078,3635" to="5206,3635" stroked="true" strokeweight="2.56pt" strokecolor="#00a79d"/>
            <v:rect style="position:absolute;left:5206;top:3410;width:142;height:251" filled="true" fillcolor="#c2b59b" stroked="false">
              <v:fill type="solid"/>
            </v:rect>
            <v:rect style="position:absolute;left:5347;top:3158;width:124;height:503" filled="true" fillcolor="#ee2a7b" stroked="false">
              <v:fill type="solid"/>
            </v:rect>
            <v:line style="position:absolute" from="5596,3329" to="5871,3329" stroked="true" strokeweight=".5pt" strokecolor="#231f20"/>
            <v:rect style="position:absolute;left:5472;top:3289;width:124;height:372" filled="true" fillcolor="#92278f" stroked="false">
              <v:fill type="solid"/>
            </v:rect>
            <v:line style="position:absolute" from="5596,3648" to="5729,3648" stroked="true" strokeweight="1.597pt" strokecolor="#27aae1"/>
            <v:shape style="position:absolute;left:3637;top:335;width:597;height:136" type="#_x0000_t75" stroked="false">
              <v:imagedata r:id="rId367" o:title=""/>
            </v:shape>
            <v:shape style="position:absolute;left:4293;top:342;width:143;height:126" type="#_x0000_t75" stroked="false">
              <v:imagedata r:id="rId368" o:title=""/>
            </v:shape>
            <v:shape style="position:absolute;left:4493;top:336;width:496;height:135" type="#_x0000_t75" stroked="false">
              <v:imagedata r:id="rId369" o:title=""/>
            </v:shape>
            <v:shape style="position:absolute;left:5055;top:370;width:271;height:134" type="#_x0000_t75" stroked="false">
              <v:imagedata r:id="rId370" o:title=""/>
            </v:shape>
            <v:shape style="position:absolute;left:5390;top:340;width:500;height:130" type="#_x0000_t75" stroked="false">
              <v:imagedata r:id="rId371" o:title=""/>
            </v:shape>
            <v:shape style="position:absolute;left:3609;top:551;width:492;height:166" type="#_x0000_t75" stroked="false">
              <v:imagedata r:id="rId372" o:title=""/>
            </v:shape>
            <v:shape style="position:absolute;left:4126;top:540;width:280;height:170" type="#_x0000_t75" stroked="false">
              <v:imagedata r:id="rId373" o:title=""/>
            </v:shape>
            <v:shape style="position:absolute;left:4482;top:552;width:569;height:130" type="#_x0000_t75" stroked="false">
              <v:imagedata r:id="rId374" o:title=""/>
            </v:shape>
            <v:shape style="position:absolute;left:5112;top:552;width:200;height:130" type="#_x0000_t75" stroked="false">
              <v:imagedata r:id="rId375" o:title=""/>
            </v:shape>
            <v:shape style="position:absolute;left:5375;top:547;width:580;height:136" type="#_x0000_t75" stroked="false">
              <v:imagedata r:id="rId376" o:title=""/>
            </v:shape>
            <v:shape style="position:absolute;left:6222;top:838;width:792;height:124" type="#_x0000_t75" stroked="false">
              <v:imagedata r:id="rId377" o:title=""/>
            </v:shape>
            <v:rect style="position:absolute;left:6054;top:842;width:114;height:117" filled="true" fillcolor="#8dc63f" stroked="false">
              <v:fill type="solid"/>
            </v:rect>
            <v:shape style="position:absolute;left:6216;top:1306;width:708;height:146" type="#_x0000_t75" stroked="false">
              <v:imagedata r:id="rId378" o:title=""/>
            </v:shape>
            <v:shape style="position:absolute;left:6990;top:1316;width:603;height:143" type="#_x0000_t75" stroked="false">
              <v:imagedata r:id="rId379" o:title=""/>
            </v:shape>
            <v:shape style="position:absolute;left:7645;top:1339;width:86;height:121" coordorigin="7645,1339" coordsize="86,121" path="m7657,1441l7657,1459,7677,1459,7684,1457,7691,1450,7694,1441,7662,1441,7657,1441xm7670,1339l7645,1339,7676,1428,7677,1429,7676,1431,7674,1437,7673,1438,7671,1439,7670,1440,7668,1441,7664,1441,7662,1441,7694,1441,7695,1440,7708,1402,7689,1402,7670,1339xm7730,1339l7706,1339,7689,1402,7708,1402,7730,1339xe" filled="true" fillcolor="#231f20" stroked="false">
              <v:path arrowok="t"/>
              <v:fill type="solid"/>
            </v:shape>
            <v:shape style="position:absolute;left:7783;top:1297;width:648;height:139" type="#_x0000_t75" stroked="false">
              <v:imagedata r:id="rId380" o:title=""/>
            </v:shape>
            <v:shape style="position:absolute;left:8452;top:1297;width:252;height:139" type="#_x0000_t75" stroked="false">
              <v:imagedata r:id="rId381" o:title=""/>
            </v:shape>
            <v:rect style="position:absolute;left:6054;top:1310;width:114;height:117" filled="true" fillcolor="#be1e2d" stroked="false">
              <v:fill type="solid"/>
            </v:rect>
            <v:shape style="position:absolute;left:6221;top:1770;width:990;height:124" type="#_x0000_t75" stroked="false">
              <v:imagedata r:id="rId382" o:title=""/>
            </v:shape>
            <v:rect style="position:absolute;left:6054;top:1770;width:114;height:117" filled="true" fillcolor="#ef4136" stroked="false">
              <v:fill type="solid"/>
            </v:rect>
            <v:shape style="position:absolute;left:6213;top:2241;width:395;height:151" type="#_x0000_t75" stroked="false">
              <v:imagedata r:id="rId383" o:title=""/>
            </v:shape>
            <v:shape style="position:absolute;left:6667;top:2230;width:597;height:161" type="#_x0000_t75" stroked="false">
              <v:imagedata r:id="rId384" o:title=""/>
            </v:shape>
            <v:shape style="position:absolute;left:7325;top:2240;width:478;height:152" type="#_x0000_t75" stroked="false">
              <v:imagedata r:id="rId385" o:title=""/>
            </v:shape>
            <v:shape style="position:absolute;left:7851;top:2271;width:86;height:121" coordorigin="7851,2271" coordsize="86,121" path="m7863,2373l7863,2391,7883,2392,7890,2390,7897,2382,7900,2374,7868,2374,7863,2373xm7876,2271l7851,2271,7883,2361,7883,2361,7882,2363,7880,2369,7879,2371,7877,2371,7876,2372,7874,2373,7870,2373,7868,2374,7900,2374,7901,2372,7914,2334,7895,2334,7876,2271xm7936,2271l7912,2271,7895,2334,7914,2334,7936,2271xe" filled="true" fillcolor="#231f20" stroked="false">
              <v:path arrowok="t"/>
              <v:fill type="solid"/>
            </v:shape>
            <v:shape style="position:absolute;left:7986;top:2240;width:414;height:120" type="#_x0000_t75" stroked="false">
              <v:imagedata r:id="rId386" o:title=""/>
            </v:shape>
            <v:shape style="position:absolute;left:6214;top:2429;width:635;height:155" type="#_x0000_t75" stroked="false">
              <v:imagedata r:id="rId387" o:title=""/>
            </v:shape>
            <v:rect style="position:absolute;left:6054;top:2252;width:114;height:117" filled="true" fillcolor="#00a79d" stroked="false">
              <v:fill type="solid"/>
            </v:rect>
            <v:shape style="position:absolute;left:6222;top:2692;width:1080;height:139" type="#_x0000_t75" stroked="false">
              <v:imagedata r:id="rId388" o:title=""/>
            </v:shape>
            <v:rect style="position:absolute;left:6054;top:2716;width:114;height:117" filled="true" fillcolor="#c2b59b" stroked="false">
              <v:fill type="solid"/>
            </v:rect>
            <v:shape style="position:absolute;left:6219;top:3157;width:1124;height:140" type="#_x0000_t75" stroked="false">
              <v:imagedata r:id="rId389" o:title=""/>
            </v:shape>
            <v:shape style="position:absolute;left:7403;top:3158;width:337;height:139" type="#_x0000_t75" stroked="false">
              <v:imagedata r:id="rId390" o:title=""/>
            </v:shape>
            <v:rect style="position:absolute;left:6054;top:3189;width:114;height:117" filled="true" fillcolor="#ee2a7b" stroked="false">
              <v:fill type="solid"/>
            </v:rect>
            <v:shape style="position:absolute;left:6213;top:3635;width:653;height:120" type="#_x0000_t75" stroked="false">
              <v:imagedata r:id="rId391" o:title=""/>
            </v:shape>
            <v:rect style="position:absolute;left:6054;top:3648;width:114;height:117" filled="true" fillcolor="#92278f" stroked="false">
              <v:fill type="solid"/>
            </v:rect>
            <v:shape style="position:absolute;left:6216;top:4090;width:423;height:139" type="#_x0000_t75" stroked="false">
              <v:imagedata r:id="rId392" o:title=""/>
            </v:shape>
            <v:rect style="position:absolute;left:6054;top:4100;width:114;height:117" filled="true" fillcolor="#27aae1" stroked="false">
              <v:fill type="solid"/>
            </v:rect>
            <v:rect style="position:absolute;left:6000;top:747;width:2773;height:3740" filled="false" stroked="true" strokeweight=".5pt" strokecolor="#231f20"/>
            <v:shape style="position:absolute;left:2170;top:959;width:3701;height:2702" coordorigin="2170,959" coordsize="3701,2702" path="m2170,3660l5870,3660,5870,959e" filled="false" stroked="true" strokeweight="1pt" strokecolor="#231f20">
              <v:path arrowok="t"/>
            </v:shape>
            <w10:wrap type="none"/>
          </v:group>
        </w:pict>
      </w:r>
      <w:r>
        <w:rPr/>
        <w:drawing>
          <wp:anchor distT="0" distB="0" distL="0" distR="0" allowOverlap="1" layoutInCell="1" locked="0" behindDoc="0" simplePos="0" relativeHeight="8200">
            <wp:simplePos x="0" y="0"/>
            <wp:positionH relativeFrom="page">
              <wp:posOffset>726603</wp:posOffset>
            </wp:positionH>
            <wp:positionV relativeFrom="paragraph">
              <wp:posOffset>585265</wp:posOffset>
            </wp:positionV>
            <wp:extent cx="578352" cy="73151"/>
            <wp:effectExtent l="0" t="0" r="0" b="0"/>
            <wp:wrapNone/>
            <wp:docPr id="195" name="image340.png" descr=""/>
            <wp:cNvGraphicFramePr>
              <a:graphicFrameLocks noChangeAspect="1"/>
            </wp:cNvGraphicFramePr>
            <a:graphic>
              <a:graphicData uri="http://schemas.openxmlformats.org/drawingml/2006/picture">
                <pic:pic>
                  <pic:nvPicPr>
                    <pic:cNvPr id="196" name="image340.png"/>
                    <pic:cNvPicPr/>
                  </pic:nvPicPr>
                  <pic:blipFill>
                    <a:blip r:embed="rId393" cstate="print"/>
                    <a:stretch>
                      <a:fillRect/>
                    </a:stretch>
                  </pic:blipFill>
                  <pic:spPr>
                    <a:xfrm>
                      <a:off x="0" y="0"/>
                      <a:ext cx="578352" cy="73151"/>
                    </a:xfrm>
                    <a:prstGeom prst="rect">
                      <a:avLst/>
                    </a:prstGeom>
                  </pic:spPr>
                </pic:pic>
              </a:graphicData>
            </a:graphic>
          </wp:anchor>
        </w:drawing>
      </w:r>
      <w:r>
        <w:rPr/>
        <w:drawing>
          <wp:anchor distT="0" distB="0" distL="0" distR="0" allowOverlap="1" layoutInCell="1" locked="0" behindDoc="0" simplePos="0" relativeHeight="8224">
            <wp:simplePos x="0" y="0"/>
            <wp:positionH relativeFrom="page">
              <wp:posOffset>726603</wp:posOffset>
            </wp:positionH>
            <wp:positionV relativeFrom="paragraph">
              <wp:posOffset>772983</wp:posOffset>
            </wp:positionV>
            <wp:extent cx="587277" cy="74295"/>
            <wp:effectExtent l="0" t="0" r="0" b="0"/>
            <wp:wrapNone/>
            <wp:docPr id="197" name="image341.png" descr=""/>
            <wp:cNvGraphicFramePr>
              <a:graphicFrameLocks noChangeAspect="1"/>
            </wp:cNvGraphicFramePr>
            <a:graphic>
              <a:graphicData uri="http://schemas.openxmlformats.org/drawingml/2006/picture">
                <pic:pic>
                  <pic:nvPicPr>
                    <pic:cNvPr id="198" name="image341.png"/>
                    <pic:cNvPicPr/>
                  </pic:nvPicPr>
                  <pic:blipFill>
                    <a:blip r:embed="rId394" cstate="print"/>
                    <a:stretch>
                      <a:fillRect/>
                    </a:stretch>
                  </pic:blipFill>
                  <pic:spPr>
                    <a:xfrm>
                      <a:off x="0" y="0"/>
                      <a:ext cx="587277" cy="74295"/>
                    </a:xfrm>
                    <a:prstGeom prst="rect">
                      <a:avLst/>
                    </a:prstGeom>
                  </pic:spPr>
                </pic:pic>
              </a:graphicData>
            </a:graphic>
          </wp:anchor>
        </w:drawing>
      </w:r>
      <w:r>
        <w:rPr/>
        <w:pict>
          <v:group style="position:absolute;margin-left:57.212906pt;margin-top:75.662079pt;width:46pt;height:5.85pt;mso-position-horizontal-relative:page;mso-position-vertical-relative:paragraph;z-index:8248" coordorigin="1144,1513" coordsize="920,117">
            <v:shape style="position:absolute;left:1144;top:1513;width:696;height:117" coordorigin="1144,1513" coordsize="696,117" path="m1186,1514l1175,1514,1173,1523,1170,1528,1162,1533,1154,1535,1144,1536,1144,1546,1171,1546,1171,1626,1186,1626,1186,1514m1303,1586l1286,1586,1286,1535,1286,1513,1274,1513,1272,1517,1272,1535,1272,1586,1236,1586,1272,1535,1272,1517,1223,1585,1223,1599,1272,1599,1272,1626,1286,1626,1286,1599,1303,1599,1303,1586m1391,1554l1389,1541,1381,1526,1377,1520,1376,1519,1376,1558,1376,1588,1374,1600,1365,1613,1359,1617,1343,1617,1336,1611,1330,1594,1329,1585,1329,1558,1331,1546,1338,1530,1344,1526,1362,1526,1368,1530,1374,1547,1376,1558,1376,1519,1367,1514,1352,1514,1341,1515,1331,1520,1324,1528,1318,1539,1315,1548,1313,1559,1313,1572,1314,1584,1315,1595,1318,1604,1322,1612,1328,1624,1338,1629,1367,1629,1378,1622,1380,1617,1389,1598,1391,1585,1391,1554m1481,1554l1478,1541,1470,1526,1467,1520,1466,1519,1466,1558,1466,1588,1463,1600,1455,1613,1449,1617,1432,1617,1426,1611,1420,1594,1418,1585,1418,1558,1420,1546,1428,1530,1434,1526,1452,1526,1458,1530,1464,1547,1466,1558,1466,1519,1456,1514,1442,1514,1430,1515,1421,1520,1414,1528,1408,1539,1405,1548,1403,1559,1403,1572,1404,1584,1405,1595,1408,1604,1411,1612,1418,1624,1428,1629,1457,1629,1467,1622,1470,1617,1479,1598,1481,1585,1481,1554m1571,1554l1568,1541,1560,1526,1557,1520,1555,1519,1555,1588,1553,1600,1544,1613,1539,1617,1522,1617,1516,1611,1509,1594,1508,1585,1508,1558,1510,1546,1518,1530,1524,1526,1541,1526,1547,1530,1554,1547,1555,1558,1555,1588,1555,1519,1546,1514,1531,1514,1520,1515,1511,1520,1503,1528,1498,1539,1494,1548,1493,1559,1493,1572,1493,1584,1495,1595,1497,1604,1501,1612,1508,1624,1518,1629,1546,1629,1557,1622,1560,1617,1568,1598,1571,1585,1571,1554m1660,1554l1658,1541,1650,1526,1646,1520,1645,1519,1645,1558,1645,1588,1643,1600,1634,1613,1628,1617,1612,1617,1605,1611,1599,1594,1598,1585,1598,1558,1600,1546,1607,1530,1614,1526,1631,1526,1637,1530,1643,1547,1645,1558,1645,1519,1636,1514,1621,1514,1610,1515,1601,1520,1593,1528,1587,1539,1584,1548,1583,1559,1583,1572,1583,1584,1585,1595,1587,1604,1591,1612,1597,1624,1607,1629,1636,1629,1647,1622,1649,1617,1658,1598,1660,1585,1660,1554m1750,1554l1748,1541,1740,1526,1736,1520,1735,1519,1735,1558,1735,1588,1733,1600,1724,1613,1718,1617,1701,1617,1695,1611,1689,1594,1688,1585,1688,1558,1689,1546,1697,1530,1703,1526,1721,1526,1727,1530,1733,1547,1735,1558,1735,1519,1725,1514,1711,1514,1700,1515,1690,1520,1683,1528,1677,1539,1674,1548,1672,1559,1672,1572,1673,1584,1674,1595,1677,1604,1680,1612,1687,1624,1697,1629,1726,1629,1737,1622,1739,1617,1748,1598,1750,1585,1750,1554m1840,1554l1837,1541,1829,1526,1826,1520,1825,1519,1825,1588,1822,1600,1814,1613,1808,1617,1791,1617,1785,1611,1778,1594,1777,1585,1777,1558,1779,1546,1787,1530,1793,1526,1810,1526,1817,1530,1823,1547,1824,1558,1825,1588,1825,1519,1815,1514,1801,1514,1789,1515,1780,1520,1773,1528,1767,1539,1764,1548,1762,1559,1762,1572,1762,1584,1764,1595,1767,1604,1770,1612,1777,1624,1787,1629,1816,1629,1826,1622,1829,1617,1838,1598,1840,1585,1840,1554e" filled="true" fillcolor="#231f20" stroked="false">
              <v:path arrowok="t"/>
              <v:fill type="solid"/>
            </v:shape>
            <v:line style="position:absolute" from="1860,1618" to="1877,1618" stroked="true" strokeweight=".859pt" strokecolor="#231f20"/>
            <v:shape style="position:absolute;left:1897;top:1514;width:168;height:116" coordorigin="1897,1514" coordsize="168,116" path="m1974,1554l1972,1541,1964,1526,1960,1520,1959,1519,1959,1558,1959,1588,1957,1600,1948,1613,1942,1617,1926,1617,1919,1611,1913,1594,1912,1585,1912,1558,1914,1546,1921,1530,1928,1526,1945,1526,1951,1530,1957,1547,1959,1558,1959,1519,1950,1514,1935,1514,1924,1515,1915,1520,1907,1528,1901,1539,1898,1548,1897,1559,1897,1572,1897,1584,1899,1595,1901,1604,1905,1612,1911,1624,1921,1629,1950,1629,1961,1622,1963,1617,1972,1598,1974,1585,1974,1554m2064,1554l2062,1541,2054,1526,2050,1520,2049,1519,2049,1588,2047,1600,2038,1613,2032,1617,2015,1617,2009,1611,2003,1594,2002,1585,2002,1558,2003,1546,2011,1530,2017,1526,2035,1526,2041,1530,2047,1547,2049,1558,2049,1588,2049,1519,2039,1514,2025,1514,2014,1515,2004,1520,1997,1528,1991,1539,1988,1548,1986,1559,1986,1572,1987,1584,1988,1595,1991,1604,1995,1612,2001,1624,2011,1629,2040,1629,2051,1622,2053,1617,2062,1598,2064,1585,2064,1554e" filled="true" fillcolor="#231f20" stroked="false">
              <v:path arrowok="t"/>
              <v:fill type="solid"/>
            </v:shape>
            <w10:wrap type="none"/>
          </v:group>
        </w:pict>
      </w:r>
      <w:r>
        <w:rPr/>
        <w:pict>
          <v:group style="position:absolute;margin-left:57.212906pt;margin-top:90.447876pt;width:46pt;height:5.85pt;mso-position-horizontal-relative:page;mso-position-vertical-relative:paragraph;z-index:8272" coordorigin="1144,1809" coordsize="920,117">
            <v:shape style="position:absolute;left:1144;top:1809;width:696;height:117" coordorigin="1144,1809" coordsize="696,117" path="m1186,1810l1175,1810,1173,1819,1170,1824,1162,1829,1154,1830,1144,1831,1144,1842,1171,1842,1171,1922,1186,1922,1186,1810m1302,1834l1299,1826,1295,1822,1287,1812,1277,1809,1249,1809,1238,1814,1228,1832,1227,1840,1226,1849,1241,1849,1241,1842,1242,1837,1248,1826,1255,1822,1271,1822,1276,1824,1284,1832,1286,1837,1286,1849,1284,1854,1277,1861,1272,1864,1240,1883,1233,1890,1226,1904,1224,1912,1224,1922,1301,1922,1301,1909,1239,1909,1241,1903,1244,1898,1252,1891,1256,1888,1282,1874,1288,1870,1298,1859,1302,1852,1302,1834m1391,1849l1389,1837,1381,1822,1377,1815,1376,1815,1376,1853,1376,1884,1374,1896,1365,1909,1359,1912,1343,1912,1336,1907,1330,1889,1329,1881,1329,1853,1331,1842,1338,1826,1344,1822,1362,1822,1368,1826,1374,1843,1376,1853,1376,1815,1367,1809,1352,1809,1341,1811,1331,1816,1324,1824,1318,1835,1315,1844,1313,1855,1313,1868,1314,1880,1315,1890,1318,1900,1322,1908,1328,1919,1338,1925,1367,1925,1378,1918,1380,1912,1389,1894,1391,1881,1391,1849m1481,1849l1478,1837,1470,1822,1467,1815,1466,1815,1466,1853,1466,1884,1463,1896,1455,1909,1449,1912,1432,1912,1426,1907,1420,1889,1418,1881,1418,1853,1420,1842,1428,1826,1434,1822,1452,1822,1458,1826,1464,1843,1466,1853,1466,1815,1456,1809,1442,1809,1430,1811,1421,1816,1414,1824,1408,1835,1405,1844,1403,1855,1403,1868,1404,1880,1405,1890,1408,1900,1411,1908,1418,1919,1428,1925,1457,1925,1467,1918,1470,1912,1479,1894,1481,1881,1481,1849m1571,1849l1568,1837,1560,1822,1557,1815,1555,1815,1555,1884,1553,1896,1544,1909,1539,1912,1522,1912,1516,1907,1509,1889,1508,1881,1508,1853,1510,1842,1518,1826,1524,1822,1541,1822,1547,1826,1554,1843,1555,1853,1555,1884,1555,1815,1546,1809,1531,1809,1520,1811,1511,1816,1503,1824,1498,1835,1494,1844,1493,1855,1493,1868,1493,1880,1495,1890,1497,1900,1501,1908,1508,1919,1518,1925,1546,1925,1557,1918,1560,1912,1568,1894,1571,1881,1571,1849m1660,1849l1658,1837,1650,1822,1646,1815,1645,1815,1645,1853,1645,1884,1643,1896,1634,1909,1628,1912,1612,1912,1605,1907,1599,1889,1598,1881,1598,1853,1600,1842,1607,1826,1614,1822,1631,1822,1637,1826,1643,1843,1645,1853,1645,1815,1636,1809,1621,1809,1610,1811,1601,1816,1593,1824,1587,1835,1584,1844,1583,1855,1583,1868,1583,1880,1585,1890,1587,1900,1591,1908,1597,1919,1607,1925,1636,1925,1647,1918,1649,1912,1658,1894,1660,1881,1660,1849m1750,1849l1748,1837,1740,1822,1736,1815,1735,1815,1735,1853,1735,1884,1733,1896,1724,1909,1718,1912,1701,1912,1695,1907,1689,1889,1688,1881,1688,1853,1689,1842,1697,1826,1703,1822,1721,1822,1727,1826,1733,1843,1735,1853,1735,1815,1725,1809,1711,1809,1700,1811,1690,1816,1683,1824,1677,1835,1674,1844,1672,1855,1672,1868,1673,1880,1674,1890,1677,1900,1680,1908,1687,1919,1697,1925,1726,1925,1737,1918,1739,1912,1748,1894,1750,1881,1750,1849m1840,1849l1837,1837,1829,1822,1826,1815,1825,1815,1825,1884,1822,1896,1814,1909,1808,1912,1791,1912,1785,1907,1778,1889,1777,1881,1777,1853,1779,1842,1787,1826,1793,1822,1810,1822,1817,1826,1823,1843,1824,1853,1825,1884,1825,1815,1815,1809,1801,1809,1789,1811,1780,1816,1773,1824,1767,1835,1764,1844,1762,1855,1762,1868,1762,1880,1764,1890,1767,1900,1770,1908,1777,1919,1787,1925,1816,1925,1826,1918,1829,1912,1838,1894,1840,1881,1840,1849e" filled="true" fillcolor="#231f20" stroked="false">
              <v:path arrowok="t"/>
              <v:fill type="solid"/>
            </v:shape>
            <v:line style="position:absolute" from="1860,1914" to="1877,1914" stroked="true" strokeweight=".859pt" strokecolor="#231f20"/>
            <v:shape style="position:absolute;left:1897;top:1809;width:168;height:116" coordorigin="1897,1809" coordsize="168,116" path="m1974,1849l1972,1837,1964,1822,1960,1815,1959,1815,1959,1853,1959,1884,1957,1896,1948,1909,1942,1912,1926,1912,1919,1907,1913,1889,1912,1881,1912,1853,1914,1842,1921,1826,1928,1822,1945,1822,1951,1826,1957,1843,1959,1853,1959,1815,1950,1809,1935,1809,1924,1811,1915,1816,1907,1824,1901,1835,1898,1844,1897,1855,1897,1868,1897,1880,1899,1890,1901,1900,1905,1908,1911,1919,1921,1925,1950,1925,1961,1918,1963,1912,1972,1894,1974,1881,1974,1849m2064,1849l2062,1837,2054,1822,2050,1815,2049,1815,2049,1884,2047,1896,2038,1909,2032,1912,2015,1912,2009,1907,2003,1889,2002,1881,2002,1853,2003,1842,2011,1826,2017,1822,2035,1822,2041,1826,2047,1843,2049,1853,2049,1884,2049,1815,2039,1809,2025,1809,2014,1811,2004,1816,1997,1824,1991,1835,1988,1844,1986,1855,1986,1868,1987,1880,1988,1890,1991,1900,1995,1908,2001,1919,2011,1925,2040,1925,2051,1918,2053,1912,2062,1894,2064,1881,2064,1849e" filled="true" fillcolor="#231f20" stroked="false">
              <v:path arrowok="t"/>
              <v:fill type="solid"/>
            </v:shape>
            <w10:wrap type="none"/>
          </v:group>
        </w:pict>
      </w:r>
      <w:r>
        <w:rPr/>
        <w:pict>
          <v:group style="position:absolute;margin-left:57.212906pt;margin-top:105.255478pt;width:46pt;height:5.8pt;mso-position-horizontal-relative:page;mso-position-vertical-relative:paragraph;z-index:8296" coordorigin="1144,2105" coordsize="920,116">
            <v:shape style="position:absolute;left:1144;top:2105;width:696;height:116" coordorigin="1144,2105" coordsize="696,116" path="m1186,2106l1175,2106,1173,2114,1170,2120,1162,2125,1154,2126,1144,2127,1144,2138,1171,2138,1171,2218,1186,2218,1186,2106m1301,2145l1299,2132,1291,2118,1287,2111,1286,2110,1286,2149,1286,2180,1284,2192,1275,2205,1269,2208,1253,2208,1246,2203,1240,2185,1239,2177,1239,2149,1241,2138,1249,2122,1255,2118,1272,2118,1278,2122,1285,2139,1286,2149,1286,2110,1277,2105,1262,2105,1251,2107,1242,2112,1234,2120,1229,2131,1225,2140,1224,2151,1224,2164,1224,2176,1226,2186,1228,2195,1232,2203,1238,2215,1249,2221,1277,2221,1288,2214,1291,2208,1299,2189,1301,2177,1301,2145m1391,2145l1389,2132,1381,2118,1377,2111,1376,2110,1376,2149,1376,2180,1374,2192,1365,2205,1359,2208,1343,2208,1336,2203,1330,2185,1329,2177,1329,2149,1331,2138,1338,2122,1344,2118,1362,2118,1368,2122,1374,2139,1376,2149,1376,2110,1367,2105,1352,2105,1341,2107,1331,2112,1324,2120,1318,2131,1315,2140,1313,2151,1313,2164,1314,2176,1315,2186,1318,2195,1322,2203,1328,2215,1338,2221,1367,2221,1378,2214,1380,2208,1389,2189,1391,2177,1391,2145m1481,2145l1478,2132,1470,2118,1467,2111,1466,2110,1466,2149,1466,2180,1463,2192,1455,2205,1449,2208,1432,2208,1426,2203,1420,2185,1418,2177,1418,2149,1420,2138,1428,2122,1434,2118,1452,2118,1458,2122,1464,2139,1466,2149,1466,2110,1456,2105,1442,2105,1430,2107,1421,2112,1414,2120,1408,2131,1405,2140,1403,2151,1403,2164,1404,2176,1405,2186,1408,2195,1411,2203,1418,2215,1428,2221,1457,2221,1467,2214,1470,2208,1479,2189,1481,2177,1481,2145m1571,2145l1568,2132,1560,2118,1557,2111,1555,2110,1555,2180,1553,2192,1544,2205,1539,2208,1522,2208,1516,2203,1509,2185,1508,2177,1508,2149,1510,2138,1518,2122,1524,2118,1541,2118,1547,2122,1554,2139,1555,2149,1555,2180,1555,2110,1546,2105,1531,2105,1520,2107,1511,2112,1503,2120,1498,2131,1494,2140,1493,2151,1493,2164,1493,2176,1495,2186,1497,2195,1501,2203,1508,2215,1518,2221,1546,2221,1557,2214,1560,2208,1568,2189,1571,2177,1571,2145m1660,2145l1658,2132,1650,2118,1646,2111,1645,2110,1645,2149,1645,2180,1643,2192,1634,2205,1628,2208,1612,2208,1605,2203,1599,2185,1598,2177,1598,2149,1600,2138,1607,2122,1614,2118,1631,2118,1637,2122,1643,2139,1645,2149,1645,2110,1636,2105,1621,2105,1610,2107,1601,2112,1593,2120,1587,2131,1584,2140,1583,2151,1583,2164,1583,2176,1585,2186,1587,2195,1591,2203,1597,2215,1607,2221,1636,2221,1647,2214,1649,2208,1658,2189,1660,2177,1660,2145m1750,2145l1748,2132,1740,2118,1736,2111,1735,2110,1735,2149,1735,2180,1733,2192,1724,2205,1718,2208,1701,2208,1695,2203,1689,2185,1688,2177,1688,2149,1689,2138,1697,2122,1703,2118,1721,2118,1727,2122,1733,2139,1735,2149,1735,2110,1725,2105,1711,2105,1700,2107,1690,2112,1683,2120,1677,2131,1674,2140,1672,2151,1672,2164,1673,2176,1674,2186,1677,2195,1680,2203,1687,2215,1697,2221,1726,2221,1737,2214,1739,2208,1748,2189,1750,2177,1750,2145m1840,2145l1837,2132,1829,2118,1826,2111,1825,2110,1825,2180,1822,2192,1814,2205,1808,2208,1791,2208,1785,2203,1778,2185,1777,2177,1777,2149,1779,2138,1787,2122,1793,2118,1810,2118,1817,2122,1823,2139,1824,2149,1825,2180,1825,2110,1815,2105,1801,2105,1789,2107,1780,2112,1773,2120,1767,2131,1764,2140,1762,2151,1762,2164,1762,2176,1764,2186,1767,2195,1770,2203,1777,2215,1787,2221,1816,2221,1826,2214,1829,2208,1838,2189,1840,2177,1840,2145e" filled="true" fillcolor="#231f20" stroked="false">
              <v:path arrowok="t"/>
              <v:fill type="solid"/>
            </v:shape>
            <v:line style="position:absolute" from="1860,2209" to="1877,2209" stroked="true" strokeweight=".859pt" strokecolor="#231f20"/>
            <v:shape style="position:absolute;left:1897;top:2105;width:168;height:116" coordorigin="1897,2105" coordsize="168,116" path="m1974,2145l1972,2132,1964,2118,1960,2111,1959,2110,1959,2149,1959,2180,1957,2192,1948,2205,1942,2208,1926,2208,1919,2203,1913,2185,1912,2177,1912,2149,1914,2138,1921,2122,1928,2118,1945,2118,1951,2122,1957,2139,1959,2149,1959,2110,1950,2105,1935,2105,1924,2107,1915,2112,1907,2120,1901,2131,1898,2140,1897,2151,1897,2164,1897,2176,1899,2186,1901,2195,1905,2203,1911,2215,1921,2221,1950,2221,1961,2214,1963,2208,1972,2189,1974,2177,1974,2145m2064,2145l2062,2132,2054,2118,2050,2111,2049,2110,2049,2180,2047,2192,2038,2205,2032,2208,2015,2208,2009,2203,2003,2185,2002,2177,2002,2149,2003,2138,2011,2122,2017,2118,2035,2118,2041,2122,2047,2139,2049,2149,2049,2180,2049,2110,2039,2105,2025,2105,2014,2107,2004,2112,1997,2120,1991,2131,1988,2140,1986,2151,1986,2164,1987,2176,1988,2186,1991,2195,1995,2203,2001,2215,2011,2221,2040,2221,2051,2214,2053,2208,2062,2189,2064,2177,2064,2145e" filled="true" fillcolor="#231f20" stroked="false">
              <v:path arrowok="t"/>
              <v:fill type="solid"/>
            </v:shape>
            <w10:wrap type="none"/>
          </v:group>
        </w:pict>
      </w:r>
      <w:r>
        <w:rPr/>
        <w:drawing>
          <wp:anchor distT="0" distB="0" distL="0" distR="0" allowOverlap="1" layoutInCell="1" locked="0" behindDoc="0" simplePos="0" relativeHeight="8320">
            <wp:simplePos x="0" y="0"/>
            <wp:positionH relativeFrom="page">
              <wp:posOffset>777080</wp:posOffset>
            </wp:positionH>
            <wp:positionV relativeFrom="paragraph">
              <wp:posOffset>1524378</wp:posOffset>
            </wp:positionV>
            <wp:extent cx="536626" cy="74295"/>
            <wp:effectExtent l="0" t="0" r="0" b="0"/>
            <wp:wrapNone/>
            <wp:docPr id="199" name="image342.png" descr=""/>
            <wp:cNvGraphicFramePr>
              <a:graphicFrameLocks noChangeAspect="1"/>
            </wp:cNvGraphicFramePr>
            <a:graphic>
              <a:graphicData uri="http://schemas.openxmlformats.org/drawingml/2006/picture">
                <pic:pic>
                  <pic:nvPicPr>
                    <pic:cNvPr id="200" name="image342.png"/>
                    <pic:cNvPicPr/>
                  </pic:nvPicPr>
                  <pic:blipFill>
                    <a:blip r:embed="rId395" cstate="print"/>
                    <a:stretch>
                      <a:fillRect/>
                    </a:stretch>
                  </pic:blipFill>
                  <pic:spPr>
                    <a:xfrm>
                      <a:off x="0" y="0"/>
                      <a:ext cx="536626" cy="74295"/>
                    </a:xfrm>
                    <a:prstGeom prst="rect">
                      <a:avLst/>
                    </a:prstGeom>
                  </pic:spPr>
                </pic:pic>
              </a:graphicData>
            </a:graphic>
          </wp:anchor>
        </w:drawing>
      </w:r>
      <w:r>
        <w:rPr/>
        <w:pict>
          <v:group style="position:absolute;margin-left:43.161499pt;margin-top:85.306374pt;width:7.05pt;height:67.8pt;mso-position-horizontal-relative:page;mso-position-vertical-relative:paragraph;z-index:8440" coordorigin="863,1706" coordsize="141,1356">
            <v:shape style="position:absolute;left:864;top:2702;width:139;height:359" type="#_x0000_t75" stroked="false">
              <v:imagedata r:id="rId396" o:title=""/>
            </v:shape>
            <v:shape style="position:absolute;left:875;top:2459;width:119;height:183" type="#_x0000_t75" stroked="false">
              <v:imagedata r:id="rId397" o:title=""/>
            </v:shape>
            <v:shape style="position:absolute;left:863;top:1706;width:140;height:697" type="#_x0000_t75" stroked="false">
              <v:imagedata r:id="rId398" o:title=""/>
            </v:shape>
            <w10:wrap type="none"/>
          </v:group>
        </w:pict>
      </w:r>
      <w:r>
        <w:rPr>
          <w:rFonts w:ascii="Calibri" w:hAnsi="Calibri"/>
          <w:color w:val="231F20"/>
          <w:sz w:val="16"/>
        </w:rPr>
        <w:t>FUENTE: Elaboración propia</w:t>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10"/>
        <w:rPr>
          <w:rFonts w:ascii="Calibri"/>
          <w:sz w:val="20"/>
        </w:rPr>
      </w:pPr>
    </w:p>
    <w:p>
      <w:pPr>
        <w:pStyle w:val="BodyText"/>
        <w:spacing w:line="285" w:lineRule="auto"/>
        <w:ind w:left="110" w:right="108"/>
        <w:jc w:val="both"/>
      </w:pPr>
      <w:r>
        <w:rPr/>
        <w:drawing>
          <wp:anchor distT="0" distB="0" distL="0" distR="0" allowOverlap="1" layoutInCell="1" locked="0" behindDoc="0" simplePos="0" relativeHeight="8344">
            <wp:simplePos x="0" y="0"/>
            <wp:positionH relativeFrom="page">
              <wp:posOffset>777627</wp:posOffset>
            </wp:positionH>
            <wp:positionV relativeFrom="paragraph">
              <wp:posOffset>-1335873</wp:posOffset>
            </wp:positionV>
            <wp:extent cx="535982" cy="74294"/>
            <wp:effectExtent l="0" t="0" r="0" b="0"/>
            <wp:wrapNone/>
            <wp:docPr id="201" name="image346.png" descr=""/>
            <wp:cNvGraphicFramePr>
              <a:graphicFrameLocks noChangeAspect="1"/>
            </wp:cNvGraphicFramePr>
            <a:graphic>
              <a:graphicData uri="http://schemas.openxmlformats.org/drawingml/2006/picture">
                <pic:pic>
                  <pic:nvPicPr>
                    <pic:cNvPr id="202" name="image346.png"/>
                    <pic:cNvPicPr/>
                  </pic:nvPicPr>
                  <pic:blipFill>
                    <a:blip r:embed="rId399" cstate="print"/>
                    <a:stretch>
                      <a:fillRect/>
                    </a:stretch>
                  </pic:blipFill>
                  <pic:spPr>
                    <a:xfrm>
                      <a:off x="0" y="0"/>
                      <a:ext cx="535982" cy="74294"/>
                    </a:xfrm>
                    <a:prstGeom prst="rect">
                      <a:avLst/>
                    </a:prstGeom>
                  </pic:spPr>
                </pic:pic>
              </a:graphicData>
            </a:graphic>
          </wp:anchor>
        </w:drawing>
      </w:r>
      <w:r>
        <w:rPr/>
        <w:pict>
          <v:group style="position:absolute;margin-left:61.131805pt;margin-top:-90.389763pt;width:42.1pt;height:5.85pt;mso-position-horizontal-relative:page;mso-position-vertical-relative:paragraph;z-index:8368" coordorigin="1223,-1808" coordsize="842,117">
            <v:shape style="position:absolute;left:1223;top:-1808;width:618;height:117" coordorigin="1223,-1808" coordsize="618,117" path="m1303,-1735l1286,-1735,1286,-1786,1286,-1808,1274,-1808,1272,-1804,1272,-1786,1272,-1735,1236,-1735,1272,-1786,1272,-1804,1223,-1736,1223,-1722,1272,-1722,1272,-1695,1286,-1695,1286,-1722,1303,-1722,1303,-1735m1391,-1767l1389,-1780,1381,-1795,1377,-1801,1376,-1802,1376,-1764,1376,-1733,1374,-1721,1365,-1708,1359,-1704,1343,-1704,1336,-1710,1330,-1727,1329,-1736,1329,-1764,1331,-1775,1338,-1791,1344,-1795,1362,-1795,1368,-1791,1374,-1774,1376,-1764,1376,-1802,1367,-1807,1352,-1807,1341,-1806,1331,-1801,1324,-1793,1318,-1782,1315,-1773,1313,-1762,1313,-1749,1314,-1737,1315,-1726,1318,-1717,1322,-1709,1328,-1697,1338,-1692,1367,-1692,1378,-1699,1380,-1704,1389,-1723,1391,-1736,1391,-1767m1481,-1767l1478,-1780,1470,-1795,1467,-1801,1466,-1802,1466,-1764,1466,-1733,1463,-1721,1455,-1708,1449,-1704,1432,-1704,1426,-1710,1420,-1727,1418,-1736,1418,-1764,1420,-1775,1428,-1791,1434,-1795,1452,-1795,1458,-1791,1464,-1774,1466,-1764,1466,-1802,1456,-1807,1442,-1807,1430,-1806,1421,-1801,1414,-1793,1408,-1782,1405,-1773,1403,-1762,1403,-1749,1404,-1737,1405,-1726,1408,-1717,1411,-1709,1418,-1697,1428,-1692,1457,-1692,1467,-1699,1470,-1704,1479,-1723,1481,-1736,1481,-1767m1571,-1767l1568,-1780,1560,-1795,1557,-1801,1555,-1802,1555,-1733,1553,-1721,1544,-1708,1539,-1704,1522,-1704,1516,-1710,1509,-1727,1508,-1736,1508,-1764,1510,-1775,1518,-1791,1524,-1795,1541,-1795,1547,-1791,1554,-1774,1555,-1764,1555,-1733,1555,-1802,1546,-1807,1531,-1807,1520,-1806,1511,-1801,1503,-1793,1498,-1782,1494,-1773,1493,-1762,1493,-1749,1493,-1737,1495,-1726,1497,-1717,1501,-1709,1508,-1697,1518,-1692,1546,-1692,1557,-1699,1560,-1704,1568,-1723,1571,-1736,1571,-1767m1660,-1767l1658,-1780,1650,-1795,1646,-1801,1645,-1802,1645,-1764,1645,-1733,1643,-1721,1634,-1708,1628,-1704,1612,-1704,1605,-1710,1599,-1727,1598,-1736,1598,-1764,1600,-1775,1607,-1791,1614,-1795,1631,-1795,1637,-1791,1643,-1774,1645,-1764,1645,-1802,1636,-1807,1621,-1807,1610,-1806,1601,-1801,1593,-1793,1587,-1782,1584,-1773,1583,-1762,1583,-1749,1583,-1737,1585,-1726,1587,-1717,1591,-1709,1597,-1697,1607,-1692,1636,-1692,1647,-1699,1649,-1704,1658,-1723,1660,-1736,1660,-1767m1750,-1767l1748,-1780,1740,-1795,1736,-1801,1735,-1802,1735,-1764,1735,-1733,1733,-1721,1724,-1708,1718,-1704,1701,-1704,1695,-1710,1689,-1727,1688,-1736,1688,-1764,1689,-1775,1697,-1791,1703,-1795,1721,-1795,1727,-1791,1733,-1774,1735,-1764,1735,-1802,1725,-1807,1711,-1807,1700,-1806,1690,-1801,1683,-1793,1677,-1782,1674,-1773,1672,-1762,1672,-1749,1673,-1737,1674,-1726,1677,-1717,1680,-1709,1687,-1697,1697,-1692,1726,-1692,1737,-1699,1739,-1704,1748,-1723,1750,-1736,1750,-1767m1840,-1767l1837,-1780,1829,-1795,1826,-1801,1825,-1802,1825,-1733,1822,-1721,1814,-1708,1808,-1704,1791,-1704,1785,-1710,1778,-1727,1777,-1736,1777,-1764,1779,-1775,1787,-1791,1793,-1795,1810,-1795,1817,-1791,1823,-1774,1824,-1764,1825,-1733,1825,-1802,1815,-1807,1801,-1807,1789,-1806,1780,-1801,1773,-1793,1767,-1782,1764,-1773,1762,-1762,1762,-1749,1762,-1737,1764,-1726,1767,-1717,1770,-1709,1777,-1697,1787,-1692,1816,-1692,1826,-1699,1829,-1704,1838,-1723,1840,-1736,1840,-1767e" filled="true" fillcolor="#231f20" stroked="false">
              <v:path arrowok="t"/>
              <v:fill type="solid"/>
            </v:shape>
            <v:line style="position:absolute" from="1860,-1703" to="1877,-1703" stroked="true" strokeweight=".859pt" strokecolor="#231f20"/>
            <v:shape style="position:absolute;left:1897;top:-1807;width:168;height:116" coordorigin="1897,-1807" coordsize="168,116" path="m1974,-1767l1972,-1780,1964,-1795,1960,-1801,1959,-1802,1959,-1764,1959,-1733,1957,-1721,1948,-1708,1942,-1704,1926,-1704,1919,-1710,1913,-1727,1912,-1736,1912,-1764,1914,-1775,1921,-1791,1928,-1795,1945,-1795,1951,-1791,1957,-1774,1959,-1764,1959,-1802,1950,-1807,1935,-1807,1924,-1806,1915,-1801,1907,-1793,1901,-1782,1898,-1773,1897,-1762,1897,-1749,1897,-1737,1899,-1726,1901,-1717,1905,-1709,1911,-1697,1921,-1692,1950,-1692,1961,-1699,1963,-1704,1972,-1723,1974,-1736,1974,-1767m2064,-1767l2062,-1780,2054,-1795,2050,-1801,2049,-1802,2049,-1733,2047,-1721,2038,-1708,2032,-1704,2015,-1704,2009,-1710,2003,-1727,2002,-1736,2002,-1764,2003,-1775,2011,-1791,2017,-1795,2035,-1795,2041,-1791,2047,-1774,2049,-1764,2049,-1733,2049,-1802,2039,-1807,2025,-1807,2014,-1806,2004,-1801,1997,-1793,1991,-1782,1988,-1773,1986,-1762,1986,-1749,1987,-1737,1988,-1726,1991,-1717,1995,-1709,2001,-1697,2011,-1692,2040,-1692,2051,-1699,2053,-1704,2062,-1723,2064,-1736,2064,-1767e" filled="true" fillcolor="#231f20" stroked="false">
              <v:path arrowok="t"/>
              <v:fill type="solid"/>
            </v:shape>
            <w10:wrap type="none"/>
          </v:group>
        </w:pict>
      </w:r>
      <w:r>
        <w:rPr/>
        <w:pict>
          <v:group style="position:absolute;margin-left:61.179607pt;margin-top:-75.603966pt;width:42.05pt;height:5.85pt;mso-position-horizontal-relative:page;mso-position-vertical-relative:paragraph;z-index:8392" coordorigin="1224,-1512" coordsize="841,117">
            <v:shape style="position:absolute;left:1224;top:-1512;width:617;height:117" coordorigin="1224,-1512" coordsize="617,117" path="m1302,-1487l1299,-1495,1295,-1499,1287,-1509,1277,-1512,1249,-1512,1238,-1507,1228,-1489,1227,-1481,1226,-1472,1241,-1472,1241,-1479,1242,-1484,1248,-1495,1255,-1499,1271,-1499,1276,-1497,1284,-1489,1286,-1484,1286,-1472,1284,-1467,1277,-1460,1272,-1457,1240,-1438,1233,-1431,1226,-1417,1224,-1409,1224,-1399,1301,-1399,1301,-1412,1239,-1412,1241,-1418,1244,-1423,1252,-1430,1256,-1433,1282,-1447,1288,-1451,1298,-1462,1302,-1469,1302,-1487m1391,-1472l1389,-1484,1381,-1499,1377,-1506,1376,-1506,1376,-1468,1376,-1437,1374,-1425,1365,-1412,1359,-1409,1343,-1409,1336,-1414,1330,-1432,1329,-1440,1329,-1468,1331,-1479,1338,-1495,1344,-1499,1362,-1499,1368,-1495,1374,-1478,1376,-1468,1376,-1506,1367,-1512,1352,-1512,1341,-1510,1331,-1505,1324,-1497,1318,-1486,1315,-1477,1313,-1466,1313,-1453,1314,-1441,1315,-1431,1318,-1421,1322,-1413,1328,-1402,1338,-1396,1367,-1396,1378,-1403,1380,-1409,1389,-1427,1391,-1440,1391,-1472m1481,-1472l1478,-1484,1470,-1499,1467,-1506,1466,-1506,1466,-1468,1466,-1437,1463,-1425,1455,-1412,1449,-1409,1432,-1409,1426,-1414,1420,-1432,1418,-1440,1418,-1468,1420,-1479,1428,-1495,1434,-1499,1452,-1499,1458,-1495,1464,-1478,1466,-1468,1466,-1506,1456,-1512,1442,-1512,1430,-1510,1421,-1505,1414,-1497,1408,-1486,1405,-1477,1403,-1466,1403,-1453,1404,-1441,1405,-1431,1408,-1421,1411,-1413,1418,-1402,1428,-1396,1457,-1396,1467,-1403,1470,-1409,1479,-1427,1481,-1440,1481,-1472m1571,-1472l1568,-1484,1560,-1499,1557,-1506,1555,-1506,1555,-1437,1553,-1425,1544,-1412,1539,-1409,1522,-1409,1516,-1414,1509,-1432,1508,-1440,1508,-1468,1510,-1479,1518,-1495,1524,-1499,1541,-1499,1547,-1495,1554,-1478,1555,-1468,1555,-1437,1555,-1506,1546,-1512,1531,-1512,1520,-1510,1511,-1505,1503,-1497,1498,-1486,1494,-1477,1493,-1466,1493,-1453,1493,-1441,1495,-1431,1497,-1421,1501,-1413,1508,-1402,1518,-1396,1546,-1396,1557,-1403,1560,-1409,1568,-1427,1571,-1440,1571,-1472m1660,-1472l1658,-1484,1650,-1499,1646,-1506,1645,-1506,1645,-1468,1645,-1437,1643,-1425,1634,-1412,1628,-1409,1612,-1409,1605,-1414,1599,-1432,1598,-1440,1598,-1468,1600,-1479,1607,-1495,1614,-1499,1631,-1499,1637,-1495,1643,-1478,1645,-1468,1645,-1506,1636,-1512,1621,-1512,1610,-1510,1601,-1505,1593,-1497,1587,-1486,1584,-1477,1583,-1466,1583,-1453,1583,-1441,1585,-1431,1587,-1421,1591,-1413,1597,-1402,1607,-1396,1636,-1396,1647,-1403,1649,-1409,1658,-1427,1660,-1440,1660,-1472m1750,-1472l1748,-1484,1740,-1499,1736,-1506,1735,-1506,1735,-1468,1735,-1437,1733,-1425,1724,-1412,1718,-1409,1701,-1409,1695,-1414,1689,-1432,1688,-1440,1688,-1468,1689,-1479,1697,-1495,1703,-1499,1721,-1499,1727,-1495,1733,-1478,1735,-1468,1735,-1506,1725,-1512,1711,-1512,1700,-1510,1690,-1505,1683,-1497,1677,-1486,1674,-1477,1672,-1466,1672,-1453,1673,-1441,1674,-1431,1677,-1421,1680,-1413,1687,-1402,1697,-1396,1726,-1396,1737,-1403,1739,-1409,1748,-1427,1750,-1440,1750,-1472m1840,-1472l1837,-1484,1829,-1499,1826,-1506,1825,-1506,1825,-1437,1822,-1425,1814,-1412,1808,-1409,1791,-1409,1785,-1414,1778,-1432,1777,-1440,1777,-1468,1779,-1479,1787,-1495,1793,-1499,1810,-1499,1817,-1495,1823,-1478,1824,-1468,1825,-1437,1825,-1506,1815,-1512,1801,-1512,1789,-1510,1780,-1505,1773,-1497,1767,-1486,1764,-1477,1762,-1466,1762,-1453,1762,-1441,1764,-1431,1767,-1421,1770,-1413,1777,-1402,1787,-1396,1816,-1396,1826,-1403,1829,-1409,1838,-1427,1840,-1440,1840,-1472e" filled="true" fillcolor="#231f20" stroked="false">
              <v:path arrowok="t"/>
              <v:fill type="solid"/>
            </v:shape>
            <v:line style="position:absolute" from="1860,-1407" to="1877,-1407" stroked="true" strokeweight=".86pt" strokecolor="#231f20"/>
            <v:shape style="position:absolute;left:1897;top:-1512;width:168;height:116" coordorigin="1897,-1512" coordsize="168,116" path="m1974,-1472l1972,-1484,1964,-1499,1960,-1506,1959,-1506,1959,-1468,1959,-1437,1957,-1425,1948,-1412,1942,-1409,1926,-1409,1919,-1414,1913,-1432,1912,-1440,1912,-1468,1914,-1479,1921,-1495,1928,-1499,1945,-1499,1951,-1495,1957,-1478,1959,-1468,1959,-1506,1950,-1512,1935,-1512,1924,-1510,1915,-1505,1907,-1497,1901,-1486,1898,-1477,1897,-1466,1897,-1453,1897,-1441,1899,-1431,1901,-1421,1905,-1413,1911,-1402,1921,-1396,1950,-1396,1961,-1403,1963,-1409,1972,-1427,1974,-1440,1974,-1472m2064,-1472l2062,-1484,2054,-1499,2050,-1506,2049,-1506,2049,-1437,2047,-1425,2038,-1412,2032,-1409,2015,-1409,2009,-1414,2003,-1432,2002,-1440,2002,-1468,2003,-1479,2011,-1495,2017,-1499,2035,-1499,2041,-1495,2047,-1478,2049,-1468,2049,-1437,2049,-1506,2039,-1512,2025,-1512,2014,-1510,2004,-1505,1997,-1497,1991,-1486,1988,-1477,1986,-1466,1986,-1453,1987,-1441,1988,-1431,1991,-1421,1995,-1413,2001,-1402,2011,-1396,2040,-1396,2051,-1403,2053,-1409,2062,-1427,2064,-1440,2064,-1472e" filled="true" fillcolor="#231f20" stroked="false">
              <v:path arrowok="t"/>
              <v:fill type="solid"/>
            </v:shape>
            <w10:wrap type="none"/>
          </v:group>
        </w:pict>
      </w:r>
      <w:r>
        <w:rPr/>
        <w:drawing>
          <wp:anchor distT="0" distB="0" distL="0" distR="0" allowOverlap="1" layoutInCell="1" locked="0" behindDoc="0" simplePos="0" relativeHeight="8416">
            <wp:simplePos x="0" y="0"/>
            <wp:positionH relativeFrom="page">
              <wp:posOffset>1118834</wp:posOffset>
            </wp:positionH>
            <wp:positionV relativeFrom="paragraph">
              <wp:posOffset>-772113</wp:posOffset>
            </wp:positionV>
            <wp:extent cx="190686" cy="73151"/>
            <wp:effectExtent l="0" t="0" r="0" b="0"/>
            <wp:wrapNone/>
            <wp:docPr id="203" name="image347.png" descr=""/>
            <wp:cNvGraphicFramePr>
              <a:graphicFrameLocks noChangeAspect="1"/>
            </wp:cNvGraphicFramePr>
            <a:graphic>
              <a:graphicData uri="http://schemas.openxmlformats.org/drawingml/2006/picture">
                <pic:pic>
                  <pic:nvPicPr>
                    <pic:cNvPr id="204" name="image347.png"/>
                    <pic:cNvPicPr/>
                  </pic:nvPicPr>
                  <pic:blipFill>
                    <a:blip r:embed="rId400" cstate="print"/>
                    <a:stretch>
                      <a:fillRect/>
                    </a:stretch>
                  </pic:blipFill>
                  <pic:spPr>
                    <a:xfrm>
                      <a:off x="0" y="0"/>
                      <a:ext cx="190686" cy="73151"/>
                    </a:xfrm>
                    <a:prstGeom prst="rect">
                      <a:avLst/>
                    </a:prstGeom>
                  </pic:spPr>
                </pic:pic>
              </a:graphicData>
            </a:graphic>
          </wp:anchor>
        </w:drawing>
      </w:r>
      <w:r>
        <w:rPr/>
        <w:drawing>
          <wp:anchor distT="0" distB="0" distL="0" distR="0" allowOverlap="1" layoutInCell="1" locked="0" behindDoc="0" simplePos="0" relativeHeight="8464">
            <wp:simplePos x="0" y="0"/>
            <wp:positionH relativeFrom="page">
              <wp:posOffset>1594916</wp:posOffset>
            </wp:positionH>
            <wp:positionV relativeFrom="paragraph">
              <wp:posOffset>-641024</wp:posOffset>
            </wp:positionV>
            <wp:extent cx="280223" cy="95250"/>
            <wp:effectExtent l="0" t="0" r="0" b="0"/>
            <wp:wrapNone/>
            <wp:docPr id="205" name="image348.png" descr=""/>
            <wp:cNvGraphicFramePr>
              <a:graphicFrameLocks noChangeAspect="1"/>
            </wp:cNvGraphicFramePr>
            <a:graphic>
              <a:graphicData uri="http://schemas.openxmlformats.org/drawingml/2006/picture">
                <pic:pic>
                  <pic:nvPicPr>
                    <pic:cNvPr id="206" name="image348.png"/>
                    <pic:cNvPicPr/>
                  </pic:nvPicPr>
                  <pic:blipFill>
                    <a:blip r:embed="rId401" cstate="print"/>
                    <a:stretch>
                      <a:fillRect/>
                    </a:stretch>
                  </pic:blipFill>
                  <pic:spPr>
                    <a:xfrm>
                      <a:off x="0" y="0"/>
                      <a:ext cx="280223" cy="95250"/>
                    </a:xfrm>
                    <a:prstGeom prst="rect">
                      <a:avLst/>
                    </a:prstGeom>
                  </pic:spPr>
                </pic:pic>
              </a:graphicData>
            </a:graphic>
          </wp:anchor>
        </w:drawing>
      </w:r>
      <w:r>
        <w:rPr/>
        <w:drawing>
          <wp:anchor distT="0" distB="0" distL="0" distR="0" allowOverlap="1" layoutInCell="1" locked="0" behindDoc="0" simplePos="0" relativeHeight="8488">
            <wp:simplePos x="0" y="0"/>
            <wp:positionH relativeFrom="page">
              <wp:posOffset>2377509</wp:posOffset>
            </wp:positionH>
            <wp:positionV relativeFrom="paragraph">
              <wp:posOffset>-640761</wp:posOffset>
            </wp:positionV>
            <wp:extent cx="282265" cy="95250"/>
            <wp:effectExtent l="0" t="0" r="0" b="0"/>
            <wp:wrapNone/>
            <wp:docPr id="207" name="image349.png" descr=""/>
            <wp:cNvGraphicFramePr>
              <a:graphicFrameLocks noChangeAspect="1"/>
            </wp:cNvGraphicFramePr>
            <a:graphic>
              <a:graphicData uri="http://schemas.openxmlformats.org/drawingml/2006/picture">
                <pic:pic>
                  <pic:nvPicPr>
                    <pic:cNvPr id="208" name="image349.png"/>
                    <pic:cNvPicPr/>
                  </pic:nvPicPr>
                  <pic:blipFill>
                    <a:blip r:embed="rId402" cstate="print"/>
                    <a:stretch>
                      <a:fillRect/>
                    </a:stretch>
                  </pic:blipFill>
                  <pic:spPr>
                    <a:xfrm>
                      <a:off x="0" y="0"/>
                      <a:ext cx="282265" cy="95250"/>
                    </a:xfrm>
                    <a:prstGeom prst="rect">
                      <a:avLst/>
                    </a:prstGeom>
                  </pic:spPr>
                </pic:pic>
              </a:graphicData>
            </a:graphic>
          </wp:anchor>
        </w:drawing>
      </w:r>
      <w:r>
        <w:rPr/>
        <w:drawing>
          <wp:anchor distT="0" distB="0" distL="0" distR="0" allowOverlap="1" layoutInCell="1" locked="0" behindDoc="0" simplePos="0" relativeHeight="8512">
            <wp:simplePos x="0" y="0"/>
            <wp:positionH relativeFrom="page">
              <wp:posOffset>3160110</wp:posOffset>
            </wp:positionH>
            <wp:positionV relativeFrom="paragraph">
              <wp:posOffset>-640761</wp:posOffset>
            </wp:positionV>
            <wp:extent cx="280747" cy="95250"/>
            <wp:effectExtent l="0" t="0" r="0" b="0"/>
            <wp:wrapNone/>
            <wp:docPr id="209" name="image350.png" descr=""/>
            <wp:cNvGraphicFramePr>
              <a:graphicFrameLocks noChangeAspect="1"/>
            </wp:cNvGraphicFramePr>
            <a:graphic>
              <a:graphicData uri="http://schemas.openxmlformats.org/drawingml/2006/picture">
                <pic:pic>
                  <pic:nvPicPr>
                    <pic:cNvPr id="210" name="image350.png"/>
                    <pic:cNvPicPr/>
                  </pic:nvPicPr>
                  <pic:blipFill>
                    <a:blip r:embed="rId403" cstate="print"/>
                    <a:stretch>
                      <a:fillRect/>
                    </a:stretch>
                  </pic:blipFill>
                  <pic:spPr>
                    <a:xfrm>
                      <a:off x="0" y="0"/>
                      <a:ext cx="280747" cy="95250"/>
                    </a:xfrm>
                    <a:prstGeom prst="rect">
                      <a:avLst/>
                    </a:prstGeom>
                  </pic:spPr>
                </pic:pic>
              </a:graphicData>
            </a:graphic>
          </wp:anchor>
        </w:drawing>
      </w:r>
      <w:r>
        <w:rPr/>
        <w:drawing>
          <wp:anchor distT="0" distB="0" distL="0" distR="0" allowOverlap="1" layoutInCell="1" locked="0" behindDoc="0" simplePos="0" relativeHeight="8536">
            <wp:simplePos x="0" y="0"/>
            <wp:positionH relativeFrom="page">
              <wp:posOffset>2396154</wp:posOffset>
            </wp:positionH>
            <wp:positionV relativeFrom="paragraph">
              <wp:posOffset>-445995</wp:posOffset>
            </wp:positionV>
            <wp:extent cx="250498" cy="77724"/>
            <wp:effectExtent l="0" t="0" r="0" b="0"/>
            <wp:wrapNone/>
            <wp:docPr id="211" name="image351.png" descr=""/>
            <wp:cNvGraphicFramePr>
              <a:graphicFrameLocks noChangeAspect="1"/>
            </wp:cNvGraphicFramePr>
            <a:graphic>
              <a:graphicData uri="http://schemas.openxmlformats.org/drawingml/2006/picture">
                <pic:pic>
                  <pic:nvPicPr>
                    <pic:cNvPr id="212" name="image351.png"/>
                    <pic:cNvPicPr/>
                  </pic:nvPicPr>
                  <pic:blipFill>
                    <a:blip r:embed="rId404" cstate="print"/>
                    <a:stretch>
                      <a:fillRect/>
                    </a:stretch>
                  </pic:blipFill>
                  <pic:spPr>
                    <a:xfrm>
                      <a:off x="0" y="0"/>
                      <a:ext cx="250498" cy="77724"/>
                    </a:xfrm>
                    <a:prstGeom prst="rect">
                      <a:avLst/>
                    </a:prstGeom>
                  </pic:spPr>
                </pic:pic>
              </a:graphicData>
            </a:graphic>
          </wp:anchor>
        </w:drawing>
      </w:r>
      <w:r>
        <w:rPr>
          <w:color w:val="231F20"/>
          <w:w w:val="105"/>
        </w:rPr>
        <w:t>En los primeros meses del </w:t>
      </w:r>
      <w:r>
        <w:rPr>
          <w:color w:val="231F20"/>
          <w:spacing w:val="3"/>
          <w:w w:val="105"/>
        </w:rPr>
        <w:t>2006 </w:t>
      </w:r>
      <w:r>
        <w:rPr>
          <w:color w:val="231F20"/>
          <w:w w:val="105"/>
        </w:rPr>
        <w:t>se destinaron </w:t>
      </w:r>
      <w:r>
        <w:rPr>
          <w:color w:val="231F20"/>
          <w:spacing w:val="-4"/>
          <w:w w:val="105"/>
        </w:rPr>
        <w:t>$4´801,691.08 </w:t>
      </w:r>
      <w:r>
        <w:rPr>
          <w:color w:val="231F20"/>
          <w:spacing w:val="2"/>
          <w:w w:val="105"/>
        </w:rPr>
        <w:t>al </w:t>
      </w:r>
      <w:r>
        <w:rPr>
          <w:color w:val="231F20"/>
          <w:w w:val="105"/>
        </w:rPr>
        <w:t>rubro de educación, el segundo lugar fue para urbanización.</w:t>
      </w:r>
    </w:p>
    <w:p>
      <w:pPr>
        <w:pStyle w:val="BodyText"/>
        <w:spacing w:before="1"/>
        <w:rPr>
          <w:sz w:val="26"/>
        </w:rPr>
      </w:pPr>
    </w:p>
    <w:p>
      <w:pPr>
        <w:pStyle w:val="BodyText"/>
        <w:spacing w:line="285" w:lineRule="auto"/>
        <w:ind w:left="110" w:right="108"/>
        <w:jc w:val="both"/>
      </w:pPr>
      <w:r>
        <w:rPr>
          <w:color w:val="231F20"/>
          <w:w w:val="105"/>
        </w:rPr>
        <w:t>El mayor porcentaje invertido en urbanización durante 2007 puede haber sido causa- do porque la administración 2003-2006 heredó a la siguiente 66 obras inconclusas, 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spacing w:val="2"/>
          <w:w w:val="105"/>
        </w:rPr>
        <w:t>las</w:t>
      </w:r>
      <w:r>
        <w:rPr>
          <w:color w:val="231F20"/>
          <w:spacing w:val="-14"/>
          <w:w w:val="105"/>
        </w:rPr>
        <w:t> </w:t>
      </w:r>
      <w:r>
        <w:rPr>
          <w:color w:val="231F20"/>
          <w:spacing w:val="2"/>
          <w:w w:val="105"/>
        </w:rPr>
        <w:t>cuales</w:t>
      </w:r>
      <w:r>
        <w:rPr>
          <w:color w:val="231F20"/>
          <w:spacing w:val="-14"/>
          <w:w w:val="105"/>
        </w:rPr>
        <w:t> </w:t>
      </w:r>
      <w:r>
        <w:rPr>
          <w:color w:val="231F20"/>
          <w:w w:val="105"/>
        </w:rPr>
        <w:t>el</w:t>
      </w:r>
      <w:r>
        <w:rPr>
          <w:color w:val="231F20"/>
          <w:spacing w:val="-14"/>
          <w:w w:val="105"/>
        </w:rPr>
        <w:t> </w:t>
      </w:r>
      <w:r>
        <w:rPr>
          <w:color w:val="231F20"/>
          <w:w w:val="105"/>
        </w:rPr>
        <w:t>53.03%</w:t>
      </w:r>
      <w:r>
        <w:rPr>
          <w:color w:val="231F20"/>
          <w:spacing w:val="-14"/>
          <w:w w:val="105"/>
        </w:rPr>
        <w:t> </w:t>
      </w:r>
      <w:r>
        <w:rPr>
          <w:color w:val="231F20"/>
          <w:w w:val="105"/>
        </w:rPr>
        <w:t>son</w:t>
      </w:r>
      <w:r>
        <w:rPr>
          <w:color w:val="231F20"/>
          <w:spacing w:val="-14"/>
          <w:w w:val="105"/>
        </w:rPr>
        <w:t> </w:t>
      </w:r>
      <w:r>
        <w:rPr>
          <w:color w:val="231F20"/>
          <w:w w:val="105"/>
        </w:rPr>
        <w:t>de</w:t>
      </w:r>
      <w:r>
        <w:rPr>
          <w:color w:val="231F20"/>
          <w:spacing w:val="-14"/>
          <w:w w:val="105"/>
        </w:rPr>
        <w:t> </w:t>
      </w:r>
      <w:r>
        <w:rPr>
          <w:color w:val="231F20"/>
          <w:spacing w:val="2"/>
          <w:w w:val="105"/>
        </w:rPr>
        <w:t>urbanización,</w:t>
      </w:r>
      <w:r>
        <w:rPr>
          <w:color w:val="231F20"/>
          <w:spacing w:val="-14"/>
          <w:w w:val="105"/>
        </w:rPr>
        <w:t> </w:t>
      </w:r>
      <w:r>
        <w:rPr>
          <w:color w:val="231F20"/>
          <w:w w:val="105"/>
        </w:rPr>
        <w:t>le</w:t>
      </w:r>
      <w:r>
        <w:rPr>
          <w:color w:val="231F20"/>
          <w:spacing w:val="-14"/>
          <w:w w:val="105"/>
        </w:rPr>
        <w:t> </w:t>
      </w:r>
      <w:r>
        <w:rPr>
          <w:color w:val="231F20"/>
          <w:w w:val="105"/>
        </w:rPr>
        <w:t>siguen</w:t>
      </w:r>
      <w:r>
        <w:rPr>
          <w:color w:val="231F20"/>
          <w:spacing w:val="-14"/>
          <w:w w:val="105"/>
        </w:rPr>
        <w:t> </w:t>
      </w:r>
      <w:r>
        <w:rPr>
          <w:color w:val="231F20"/>
          <w:spacing w:val="2"/>
          <w:w w:val="105"/>
        </w:rPr>
        <w:t>las</w:t>
      </w:r>
      <w:r>
        <w:rPr>
          <w:color w:val="231F20"/>
          <w:spacing w:val="-14"/>
          <w:w w:val="105"/>
        </w:rPr>
        <w:t> </w:t>
      </w:r>
      <w:r>
        <w:rPr>
          <w:color w:val="231F20"/>
          <w:w w:val="105"/>
        </w:rPr>
        <w:t>obras</w:t>
      </w:r>
      <w:r>
        <w:rPr>
          <w:color w:val="231F20"/>
          <w:spacing w:val="-14"/>
          <w:w w:val="105"/>
        </w:rPr>
        <w:t> </w:t>
      </w:r>
      <w:r>
        <w:rPr>
          <w:color w:val="231F20"/>
          <w:w w:val="105"/>
        </w:rPr>
        <w:t>de</w:t>
      </w:r>
      <w:r>
        <w:rPr>
          <w:color w:val="231F20"/>
          <w:spacing w:val="-14"/>
          <w:w w:val="105"/>
        </w:rPr>
        <w:t> </w:t>
      </w:r>
      <w:r>
        <w:rPr>
          <w:color w:val="231F20"/>
          <w:w w:val="105"/>
        </w:rPr>
        <w:t>educación</w:t>
      </w:r>
      <w:r>
        <w:rPr>
          <w:color w:val="231F20"/>
          <w:spacing w:val="-14"/>
          <w:w w:val="105"/>
        </w:rPr>
        <w:t> </w:t>
      </w:r>
      <w:r>
        <w:rPr>
          <w:color w:val="231F20"/>
          <w:w w:val="105"/>
        </w:rPr>
        <w:t>con</w:t>
      </w:r>
      <w:r>
        <w:rPr>
          <w:color w:val="231F20"/>
          <w:spacing w:val="-14"/>
          <w:w w:val="105"/>
        </w:rPr>
        <w:t> </w:t>
      </w:r>
      <w:r>
        <w:rPr>
          <w:color w:val="231F20"/>
          <w:spacing w:val="3"/>
          <w:w w:val="105"/>
        </w:rPr>
        <w:t>30.30% </w:t>
      </w:r>
      <w:r>
        <w:rPr>
          <w:color w:val="231F20"/>
          <w:w w:val="105"/>
        </w:rPr>
        <w:t>del</w:t>
      </w:r>
      <w:r>
        <w:rPr>
          <w:color w:val="231F20"/>
          <w:spacing w:val="-6"/>
          <w:w w:val="105"/>
        </w:rPr>
        <w:t> </w:t>
      </w:r>
      <w:r>
        <w:rPr>
          <w:color w:val="231F20"/>
          <w:spacing w:val="2"/>
          <w:w w:val="105"/>
        </w:rPr>
        <w:t>total,</w:t>
      </w:r>
      <w:r>
        <w:rPr>
          <w:color w:val="231F20"/>
          <w:spacing w:val="-6"/>
          <w:w w:val="105"/>
        </w:rPr>
        <w:t> </w:t>
      </w:r>
      <w:r>
        <w:rPr>
          <w:color w:val="231F20"/>
          <w:spacing w:val="2"/>
          <w:w w:val="105"/>
        </w:rPr>
        <w:t>electrificación,</w:t>
      </w:r>
      <w:r>
        <w:rPr>
          <w:color w:val="231F20"/>
          <w:spacing w:val="-6"/>
          <w:w w:val="105"/>
        </w:rPr>
        <w:t> </w:t>
      </w:r>
      <w:r>
        <w:rPr>
          <w:color w:val="231F20"/>
          <w:spacing w:val="2"/>
          <w:w w:val="105"/>
        </w:rPr>
        <w:t>agua</w:t>
      </w:r>
      <w:r>
        <w:rPr>
          <w:color w:val="231F20"/>
          <w:spacing w:val="-6"/>
          <w:w w:val="105"/>
        </w:rPr>
        <w:t> </w:t>
      </w:r>
      <w:r>
        <w:rPr>
          <w:color w:val="231F20"/>
          <w:w w:val="105"/>
        </w:rPr>
        <w:t>potable,</w:t>
      </w:r>
      <w:r>
        <w:rPr>
          <w:color w:val="231F20"/>
          <w:spacing w:val="-6"/>
          <w:w w:val="105"/>
        </w:rPr>
        <w:t> </w:t>
      </w:r>
      <w:r>
        <w:rPr>
          <w:color w:val="231F20"/>
          <w:spacing w:val="2"/>
          <w:w w:val="105"/>
        </w:rPr>
        <w:t>desarrollo</w:t>
      </w:r>
      <w:r>
        <w:rPr>
          <w:color w:val="231F20"/>
          <w:spacing w:val="-6"/>
          <w:w w:val="105"/>
        </w:rPr>
        <w:t> </w:t>
      </w:r>
      <w:r>
        <w:rPr>
          <w:color w:val="231F20"/>
          <w:w w:val="105"/>
        </w:rPr>
        <w:t>y</w:t>
      </w:r>
      <w:r>
        <w:rPr>
          <w:color w:val="231F20"/>
          <w:spacing w:val="-6"/>
          <w:w w:val="105"/>
        </w:rPr>
        <w:t> </w:t>
      </w:r>
      <w:r>
        <w:rPr>
          <w:color w:val="231F20"/>
          <w:w w:val="105"/>
        </w:rPr>
        <w:t>salud</w:t>
      </w:r>
      <w:r>
        <w:rPr>
          <w:color w:val="231F20"/>
          <w:spacing w:val="-6"/>
          <w:w w:val="105"/>
        </w:rPr>
        <w:t> </w:t>
      </w:r>
      <w:r>
        <w:rPr>
          <w:color w:val="231F20"/>
          <w:w w:val="105"/>
        </w:rPr>
        <w:t>con</w:t>
      </w:r>
      <w:r>
        <w:rPr>
          <w:color w:val="231F20"/>
          <w:spacing w:val="-6"/>
          <w:w w:val="105"/>
        </w:rPr>
        <w:t> </w:t>
      </w:r>
      <w:r>
        <w:rPr>
          <w:color w:val="231F20"/>
          <w:spacing w:val="-3"/>
          <w:w w:val="105"/>
        </w:rPr>
        <w:t>10.61%,</w:t>
      </w:r>
      <w:r>
        <w:rPr>
          <w:color w:val="231F20"/>
          <w:spacing w:val="-6"/>
          <w:w w:val="105"/>
        </w:rPr>
        <w:t> </w:t>
      </w:r>
      <w:r>
        <w:rPr>
          <w:color w:val="231F20"/>
          <w:w w:val="105"/>
        </w:rPr>
        <w:t>3.03%</w:t>
      </w:r>
      <w:r>
        <w:rPr>
          <w:color w:val="231F20"/>
          <w:spacing w:val="-6"/>
          <w:w w:val="105"/>
        </w:rPr>
        <w:t> </w:t>
      </w:r>
      <w:r>
        <w:rPr>
          <w:color w:val="231F20"/>
          <w:w w:val="105"/>
        </w:rPr>
        <w:t>y</w:t>
      </w:r>
      <w:r>
        <w:rPr>
          <w:color w:val="231F20"/>
          <w:spacing w:val="-6"/>
          <w:w w:val="105"/>
        </w:rPr>
        <w:t> </w:t>
      </w:r>
      <w:r>
        <w:rPr>
          <w:color w:val="231F20"/>
          <w:w w:val="105"/>
        </w:rPr>
        <w:t>1.52% </w:t>
      </w:r>
      <w:r>
        <w:rPr>
          <w:color w:val="231F20"/>
          <w:spacing w:val="2"/>
          <w:w w:val="105"/>
        </w:rPr>
        <w:t>respectivamente. </w:t>
      </w:r>
      <w:r>
        <w:rPr>
          <w:color w:val="231F20"/>
          <w:w w:val="105"/>
        </w:rPr>
        <w:t>Además de que </w:t>
      </w:r>
      <w:r>
        <w:rPr>
          <w:color w:val="231F20"/>
          <w:spacing w:val="3"/>
          <w:w w:val="105"/>
        </w:rPr>
        <w:t>al observar </w:t>
      </w:r>
      <w:r>
        <w:rPr>
          <w:color w:val="231F20"/>
          <w:w w:val="105"/>
        </w:rPr>
        <w:t>el cuadro 9 apreciamos que el </w:t>
      </w:r>
      <w:r>
        <w:rPr>
          <w:color w:val="231F20"/>
          <w:spacing w:val="2"/>
          <w:w w:val="105"/>
        </w:rPr>
        <w:t>12.8% </w:t>
      </w:r>
      <w:r>
        <w:rPr>
          <w:color w:val="231F20"/>
          <w:w w:val="105"/>
        </w:rPr>
        <w:t>de </w:t>
      </w:r>
      <w:r>
        <w:rPr>
          <w:color w:val="231F20"/>
          <w:spacing w:val="2"/>
          <w:w w:val="105"/>
        </w:rPr>
        <w:t>las </w:t>
      </w:r>
      <w:r>
        <w:rPr>
          <w:color w:val="231F20"/>
          <w:w w:val="105"/>
        </w:rPr>
        <w:t>demandas de la población se refieren a </w:t>
      </w:r>
      <w:r>
        <w:rPr>
          <w:color w:val="231F20"/>
          <w:spacing w:val="2"/>
          <w:w w:val="105"/>
        </w:rPr>
        <w:t>desarrollo </w:t>
      </w:r>
      <w:r>
        <w:rPr>
          <w:color w:val="231F20"/>
          <w:w w:val="105"/>
        </w:rPr>
        <w:t>urbano, también es prudente considerar que </w:t>
      </w:r>
      <w:r>
        <w:rPr>
          <w:color w:val="231F20"/>
          <w:spacing w:val="3"/>
          <w:w w:val="105"/>
        </w:rPr>
        <w:t>estas </w:t>
      </w:r>
      <w:r>
        <w:rPr>
          <w:color w:val="231F20"/>
          <w:w w:val="105"/>
        </w:rPr>
        <w:t>obras son </w:t>
      </w:r>
      <w:r>
        <w:rPr>
          <w:color w:val="231F20"/>
          <w:spacing w:val="2"/>
          <w:w w:val="105"/>
        </w:rPr>
        <w:t>las </w:t>
      </w:r>
      <w:r>
        <w:rPr>
          <w:color w:val="231F20"/>
          <w:w w:val="105"/>
        </w:rPr>
        <w:t>que se perciben de forma </w:t>
      </w:r>
      <w:r>
        <w:rPr>
          <w:color w:val="231F20"/>
          <w:spacing w:val="2"/>
          <w:w w:val="105"/>
        </w:rPr>
        <w:t>inmediata </w:t>
      </w:r>
      <w:r>
        <w:rPr>
          <w:color w:val="231F20"/>
          <w:w w:val="105"/>
        </w:rPr>
        <w:t>por la</w:t>
      </w:r>
      <w:r>
        <w:rPr>
          <w:color w:val="231F20"/>
          <w:spacing w:val="-39"/>
          <w:w w:val="105"/>
        </w:rPr>
        <w:t> </w:t>
      </w:r>
      <w:r>
        <w:rPr>
          <w:color w:val="231F20"/>
          <w:w w:val="105"/>
        </w:rPr>
        <w:t>ciudada- </w:t>
      </w:r>
      <w:r>
        <w:rPr>
          <w:color w:val="231F20"/>
          <w:spacing w:val="2"/>
          <w:w w:val="105"/>
        </w:rPr>
        <w:t>nía. </w:t>
      </w:r>
      <w:r>
        <w:rPr>
          <w:color w:val="231F20"/>
          <w:w w:val="105"/>
        </w:rPr>
        <w:t>En este año también se </w:t>
      </w:r>
      <w:r>
        <w:rPr>
          <w:color w:val="231F20"/>
          <w:spacing w:val="2"/>
          <w:w w:val="105"/>
        </w:rPr>
        <w:t>observa </w:t>
      </w:r>
      <w:r>
        <w:rPr>
          <w:color w:val="231F20"/>
          <w:w w:val="105"/>
        </w:rPr>
        <w:t>que </w:t>
      </w:r>
      <w:r>
        <w:rPr>
          <w:color w:val="231F20"/>
          <w:spacing w:val="3"/>
          <w:w w:val="105"/>
        </w:rPr>
        <w:t>existe </w:t>
      </w:r>
      <w:r>
        <w:rPr>
          <w:color w:val="231F20"/>
          <w:w w:val="105"/>
        </w:rPr>
        <w:t>mayor inversión en obras puesto que se cubren los 8 rubros presentados en la </w:t>
      </w:r>
      <w:r>
        <w:rPr>
          <w:color w:val="231F20"/>
          <w:spacing w:val="3"/>
          <w:w w:val="105"/>
        </w:rPr>
        <w:t>gráfica, </w:t>
      </w:r>
      <w:r>
        <w:rPr>
          <w:color w:val="231F20"/>
          <w:spacing w:val="2"/>
          <w:w w:val="105"/>
        </w:rPr>
        <w:t>para </w:t>
      </w:r>
      <w:r>
        <w:rPr>
          <w:color w:val="231F20"/>
          <w:w w:val="105"/>
        </w:rPr>
        <w:t>el siguiente año (2008) no se </w:t>
      </w:r>
      <w:r>
        <w:rPr>
          <w:color w:val="231F20"/>
          <w:spacing w:val="2"/>
          <w:w w:val="105"/>
        </w:rPr>
        <w:t>invierte </w:t>
      </w:r>
      <w:r>
        <w:rPr>
          <w:color w:val="231F20"/>
          <w:w w:val="105"/>
        </w:rPr>
        <w:t>en </w:t>
      </w:r>
      <w:r>
        <w:rPr>
          <w:color w:val="231F20"/>
          <w:spacing w:val="3"/>
          <w:w w:val="105"/>
        </w:rPr>
        <w:t>caminos, </w:t>
      </w:r>
      <w:r>
        <w:rPr>
          <w:color w:val="231F20"/>
          <w:w w:val="105"/>
        </w:rPr>
        <w:t>puentes y </w:t>
      </w:r>
      <w:r>
        <w:rPr>
          <w:color w:val="231F20"/>
          <w:spacing w:val="3"/>
          <w:w w:val="105"/>
        </w:rPr>
        <w:t>alcantarillas, </w:t>
      </w:r>
      <w:r>
        <w:rPr>
          <w:color w:val="231F20"/>
          <w:w w:val="105"/>
        </w:rPr>
        <w:t>además de que el rubro en el que </w:t>
      </w:r>
      <w:r>
        <w:rPr>
          <w:color w:val="231F20"/>
          <w:spacing w:val="2"/>
          <w:w w:val="105"/>
        </w:rPr>
        <w:t>más </w:t>
      </w:r>
      <w:r>
        <w:rPr>
          <w:color w:val="231F20"/>
          <w:w w:val="105"/>
        </w:rPr>
        <w:t>se </w:t>
      </w:r>
      <w:r>
        <w:rPr>
          <w:color w:val="231F20"/>
          <w:spacing w:val="2"/>
          <w:w w:val="105"/>
        </w:rPr>
        <w:t>invierte </w:t>
      </w:r>
      <w:r>
        <w:rPr>
          <w:color w:val="231F20"/>
          <w:w w:val="105"/>
        </w:rPr>
        <w:t>continúa siendo el de</w:t>
      </w:r>
      <w:r>
        <w:rPr>
          <w:color w:val="231F20"/>
          <w:spacing w:val="3"/>
          <w:w w:val="105"/>
        </w:rPr>
        <w:t> </w:t>
      </w:r>
      <w:r>
        <w:rPr>
          <w:color w:val="231F20"/>
          <w:spacing w:val="2"/>
          <w:w w:val="105"/>
        </w:rPr>
        <w:t>urbanización.</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4"/>
          <w:w w:val="105"/>
        </w:rPr>
        <w:t> </w:t>
      </w:r>
      <w:r>
        <w:rPr>
          <w:color w:val="231F20"/>
          <w:w w:val="105"/>
        </w:rPr>
        <w:t>gráfica</w:t>
      </w:r>
      <w:r>
        <w:rPr>
          <w:color w:val="231F20"/>
          <w:spacing w:val="-14"/>
          <w:w w:val="105"/>
        </w:rPr>
        <w:t> </w:t>
      </w:r>
      <w:r>
        <w:rPr>
          <w:color w:val="231F20"/>
          <w:w w:val="105"/>
        </w:rPr>
        <w:t>2</w:t>
      </w:r>
      <w:r>
        <w:rPr>
          <w:color w:val="231F20"/>
          <w:spacing w:val="-14"/>
          <w:w w:val="105"/>
        </w:rPr>
        <w:t> </w:t>
      </w:r>
      <w:r>
        <w:rPr>
          <w:color w:val="231F20"/>
          <w:w w:val="105"/>
        </w:rPr>
        <w:t>también</w:t>
      </w:r>
      <w:r>
        <w:rPr>
          <w:color w:val="231F20"/>
          <w:spacing w:val="-14"/>
          <w:w w:val="105"/>
        </w:rPr>
        <w:t> </w:t>
      </w:r>
      <w:r>
        <w:rPr>
          <w:color w:val="231F20"/>
          <w:w w:val="105"/>
        </w:rPr>
        <w:t>es</w:t>
      </w:r>
      <w:r>
        <w:rPr>
          <w:color w:val="231F20"/>
          <w:spacing w:val="-14"/>
          <w:w w:val="105"/>
        </w:rPr>
        <w:t> </w:t>
      </w:r>
      <w:r>
        <w:rPr>
          <w:color w:val="231F20"/>
          <w:w w:val="105"/>
        </w:rPr>
        <w:t>contradictoria</w:t>
      </w:r>
      <w:r>
        <w:rPr>
          <w:color w:val="231F20"/>
          <w:spacing w:val="-14"/>
          <w:w w:val="105"/>
        </w:rPr>
        <w:t> </w:t>
      </w:r>
      <w:r>
        <w:rPr>
          <w:color w:val="231F20"/>
          <w:w w:val="105"/>
        </w:rPr>
        <w:t>respecto</w:t>
      </w:r>
      <w:r>
        <w:rPr>
          <w:color w:val="231F20"/>
          <w:spacing w:val="-14"/>
          <w:w w:val="105"/>
        </w:rPr>
        <w:t> </w:t>
      </w:r>
      <w:r>
        <w:rPr>
          <w:color w:val="231F20"/>
          <w:w w:val="105"/>
        </w:rPr>
        <w:t>a</w:t>
      </w:r>
      <w:r>
        <w:rPr>
          <w:color w:val="231F20"/>
          <w:spacing w:val="-14"/>
          <w:w w:val="105"/>
        </w:rPr>
        <w:t> </w:t>
      </w:r>
      <w:r>
        <w:rPr>
          <w:color w:val="231F20"/>
          <w:w w:val="105"/>
        </w:rPr>
        <w:t>lo</w:t>
      </w:r>
      <w:r>
        <w:rPr>
          <w:color w:val="231F20"/>
          <w:spacing w:val="-14"/>
          <w:w w:val="105"/>
        </w:rPr>
        <w:t> </w:t>
      </w:r>
      <w:r>
        <w:rPr>
          <w:color w:val="231F20"/>
          <w:w w:val="105"/>
        </w:rPr>
        <w:t>establecido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4"/>
          <w:w w:val="105"/>
        </w:rPr>
        <w:t>PDM</w:t>
      </w:r>
      <w:r>
        <w:rPr>
          <w:color w:val="231F20"/>
          <w:spacing w:val="-14"/>
          <w:w w:val="105"/>
        </w:rPr>
        <w:t> </w:t>
      </w:r>
      <w:r>
        <w:rPr>
          <w:color w:val="231F20"/>
          <w:w w:val="105"/>
        </w:rPr>
        <w:t>debido</w:t>
      </w:r>
      <w:r>
        <w:rPr>
          <w:color w:val="231F20"/>
          <w:spacing w:val="-14"/>
          <w:w w:val="105"/>
        </w:rPr>
        <w:t> </w:t>
      </w:r>
      <w:r>
        <w:rPr>
          <w:color w:val="231F20"/>
          <w:w w:val="105"/>
        </w:rPr>
        <w:t>a</w:t>
      </w:r>
      <w:r>
        <w:rPr>
          <w:color w:val="231F20"/>
          <w:spacing w:val="-14"/>
          <w:w w:val="105"/>
        </w:rPr>
        <w:t> </w:t>
      </w:r>
      <w:r>
        <w:rPr>
          <w:color w:val="231F20"/>
          <w:w w:val="105"/>
        </w:rPr>
        <w:t>que si</w:t>
      </w:r>
      <w:r>
        <w:rPr>
          <w:color w:val="231F20"/>
          <w:spacing w:val="-17"/>
          <w:w w:val="105"/>
        </w:rPr>
        <w:t> </w:t>
      </w:r>
      <w:r>
        <w:rPr>
          <w:color w:val="231F20"/>
          <w:w w:val="105"/>
        </w:rPr>
        <w:t>bien</w:t>
      </w:r>
      <w:r>
        <w:rPr>
          <w:color w:val="231F20"/>
          <w:spacing w:val="-17"/>
          <w:w w:val="105"/>
        </w:rPr>
        <w:t> </w:t>
      </w:r>
      <w:r>
        <w:rPr>
          <w:color w:val="231F20"/>
          <w:w w:val="105"/>
        </w:rPr>
        <w:t>el</w:t>
      </w:r>
      <w:r>
        <w:rPr>
          <w:color w:val="231F20"/>
          <w:spacing w:val="-17"/>
          <w:w w:val="105"/>
        </w:rPr>
        <w:t> </w:t>
      </w:r>
      <w:r>
        <w:rPr>
          <w:color w:val="231F20"/>
          <w:w w:val="105"/>
        </w:rPr>
        <w:t>53.5%</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demandas</w:t>
      </w:r>
      <w:r>
        <w:rPr>
          <w:color w:val="231F20"/>
          <w:spacing w:val="-17"/>
          <w:w w:val="105"/>
        </w:rPr>
        <w:t> </w:t>
      </w:r>
      <w:r>
        <w:rPr>
          <w:color w:val="231F20"/>
          <w:w w:val="105"/>
        </w:rPr>
        <w:t>recaen</w:t>
      </w:r>
      <w:r>
        <w:rPr>
          <w:color w:val="231F20"/>
          <w:spacing w:val="-17"/>
          <w:w w:val="105"/>
        </w:rPr>
        <w:t> </w:t>
      </w:r>
      <w:r>
        <w:rPr>
          <w:color w:val="231F20"/>
          <w:w w:val="105"/>
        </w:rPr>
        <w:t>en</w:t>
      </w:r>
      <w:r>
        <w:rPr>
          <w:color w:val="231F20"/>
          <w:spacing w:val="-17"/>
          <w:w w:val="105"/>
        </w:rPr>
        <w:t> </w:t>
      </w:r>
      <w:r>
        <w:rPr>
          <w:color w:val="231F20"/>
          <w:w w:val="105"/>
        </w:rPr>
        <w:t>seguridad</w:t>
      </w:r>
      <w:r>
        <w:rPr>
          <w:color w:val="231F20"/>
          <w:spacing w:val="-17"/>
          <w:w w:val="105"/>
        </w:rPr>
        <w:t> </w:t>
      </w:r>
      <w:r>
        <w:rPr>
          <w:color w:val="231F20"/>
          <w:w w:val="105"/>
        </w:rPr>
        <w:t>social</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50.7%</w:t>
      </w:r>
      <w:r>
        <w:rPr>
          <w:color w:val="231F20"/>
          <w:spacing w:val="-17"/>
          <w:w w:val="105"/>
        </w:rPr>
        <w:t> </w:t>
      </w:r>
      <w:r>
        <w:rPr>
          <w:color w:val="231F20"/>
          <w:w w:val="105"/>
        </w:rPr>
        <w:t>de</w:t>
      </w:r>
      <w:r>
        <w:rPr>
          <w:color w:val="231F20"/>
          <w:spacing w:val="-17"/>
          <w:w w:val="105"/>
        </w:rPr>
        <w:t> </w:t>
      </w:r>
      <w:r>
        <w:rPr>
          <w:color w:val="231F20"/>
          <w:w w:val="105"/>
        </w:rPr>
        <w:t>éstas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ru- bro</w:t>
      </w:r>
      <w:r>
        <w:rPr>
          <w:color w:val="231F20"/>
          <w:spacing w:val="-9"/>
          <w:w w:val="105"/>
        </w:rPr>
        <w:t> </w:t>
      </w:r>
      <w:r>
        <w:rPr>
          <w:color w:val="231F20"/>
          <w:w w:val="105"/>
        </w:rPr>
        <w:t>de</w:t>
      </w:r>
      <w:r>
        <w:rPr>
          <w:color w:val="231F20"/>
          <w:spacing w:val="-9"/>
          <w:w w:val="105"/>
        </w:rPr>
        <w:t> </w:t>
      </w:r>
      <w:r>
        <w:rPr>
          <w:color w:val="231F20"/>
          <w:w w:val="105"/>
        </w:rPr>
        <w:t>educación</w:t>
      </w:r>
      <w:r>
        <w:rPr>
          <w:color w:val="231F20"/>
          <w:spacing w:val="-9"/>
          <w:w w:val="105"/>
        </w:rPr>
        <w:t> </w:t>
      </w:r>
      <w:r>
        <w:rPr>
          <w:color w:val="231F20"/>
          <w:spacing w:val="-4"/>
          <w:w w:val="105"/>
        </w:rPr>
        <w:t>(ver</w:t>
      </w:r>
      <w:r>
        <w:rPr>
          <w:color w:val="231F20"/>
          <w:spacing w:val="-9"/>
          <w:w w:val="105"/>
        </w:rPr>
        <w:t> </w:t>
      </w:r>
      <w:r>
        <w:rPr>
          <w:color w:val="231F20"/>
          <w:w w:val="105"/>
        </w:rPr>
        <w:t>cuadro</w:t>
      </w:r>
      <w:r>
        <w:rPr>
          <w:color w:val="231F20"/>
          <w:spacing w:val="-9"/>
          <w:w w:val="105"/>
        </w:rPr>
        <w:t> </w:t>
      </w:r>
      <w:r>
        <w:rPr>
          <w:color w:val="231F20"/>
          <w:spacing w:val="-4"/>
          <w:w w:val="105"/>
        </w:rPr>
        <w:t>8)</w:t>
      </w:r>
      <w:r>
        <w:rPr>
          <w:color w:val="231F20"/>
          <w:spacing w:val="-9"/>
          <w:w w:val="105"/>
        </w:rPr>
        <w:t> </w:t>
      </w:r>
      <w:r>
        <w:rPr>
          <w:color w:val="231F20"/>
          <w:w w:val="105"/>
        </w:rPr>
        <w:t>apreciamos</w:t>
      </w:r>
      <w:r>
        <w:rPr>
          <w:color w:val="231F20"/>
          <w:spacing w:val="-9"/>
          <w:w w:val="105"/>
        </w:rPr>
        <w:t> </w:t>
      </w:r>
      <w:r>
        <w:rPr>
          <w:color w:val="231F20"/>
          <w:w w:val="105"/>
        </w:rPr>
        <w:t>que</w:t>
      </w:r>
      <w:r>
        <w:rPr>
          <w:color w:val="231F20"/>
          <w:spacing w:val="-9"/>
          <w:w w:val="105"/>
        </w:rPr>
        <w:t> </w:t>
      </w:r>
      <w:r>
        <w:rPr>
          <w:color w:val="231F20"/>
          <w:w w:val="105"/>
        </w:rPr>
        <w:t>este</w:t>
      </w:r>
      <w:r>
        <w:rPr>
          <w:color w:val="231F20"/>
          <w:spacing w:val="-9"/>
          <w:w w:val="105"/>
        </w:rPr>
        <w:t> </w:t>
      </w:r>
      <w:r>
        <w:rPr>
          <w:color w:val="231F20"/>
          <w:w w:val="105"/>
        </w:rPr>
        <w:t>último</w:t>
      </w:r>
      <w:r>
        <w:rPr>
          <w:color w:val="231F20"/>
          <w:spacing w:val="-9"/>
          <w:w w:val="105"/>
        </w:rPr>
        <w:t> </w:t>
      </w:r>
      <w:r>
        <w:rPr>
          <w:color w:val="231F20"/>
          <w:w w:val="105"/>
        </w:rPr>
        <w:t>no</w:t>
      </w:r>
      <w:r>
        <w:rPr>
          <w:color w:val="231F20"/>
          <w:spacing w:val="-9"/>
          <w:w w:val="105"/>
        </w:rPr>
        <w:t> </w:t>
      </w:r>
      <w:r>
        <w:rPr>
          <w:color w:val="231F20"/>
          <w:w w:val="105"/>
        </w:rPr>
        <w:t>es</w:t>
      </w:r>
      <w:r>
        <w:rPr>
          <w:color w:val="231F20"/>
          <w:spacing w:val="-9"/>
          <w:w w:val="105"/>
        </w:rPr>
        <w:t> </w:t>
      </w:r>
      <w:r>
        <w:rPr>
          <w:color w:val="231F20"/>
          <w:w w:val="105"/>
        </w:rPr>
        <w:t>motivo</w:t>
      </w:r>
      <w:r>
        <w:rPr>
          <w:color w:val="231F20"/>
          <w:spacing w:val="-9"/>
          <w:w w:val="105"/>
        </w:rPr>
        <w:t> </w:t>
      </w:r>
      <w:r>
        <w:rPr>
          <w:color w:val="231F20"/>
          <w:w w:val="105"/>
        </w:rPr>
        <w:t>prioritario</w:t>
      </w:r>
      <w:r>
        <w:rPr>
          <w:color w:val="231F20"/>
          <w:spacing w:val="-9"/>
          <w:w w:val="105"/>
        </w:rPr>
        <w:t> </w:t>
      </w:r>
      <w:r>
        <w:rPr>
          <w:color w:val="231F20"/>
          <w:w w:val="105"/>
        </w:rPr>
        <w:t>de inversión,</w:t>
      </w:r>
      <w:r>
        <w:rPr>
          <w:color w:val="231F20"/>
          <w:spacing w:val="-22"/>
          <w:w w:val="105"/>
        </w:rPr>
        <w:t> </w:t>
      </w:r>
      <w:r>
        <w:rPr>
          <w:color w:val="231F20"/>
          <w:w w:val="105"/>
        </w:rPr>
        <w:t>como</w:t>
      </w:r>
      <w:r>
        <w:rPr>
          <w:color w:val="231F20"/>
          <w:spacing w:val="-22"/>
          <w:w w:val="105"/>
        </w:rPr>
        <w:t> </w:t>
      </w:r>
      <w:r>
        <w:rPr>
          <w:color w:val="231F20"/>
          <w:w w:val="105"/>
        </w:rPr>
        <w:t>si</w:t>
      </w:r>
      <w:r>
        <w:rPr>
          <w:color w:val="231F20"/>
          <w:spacing w:val="-22"/>
          <w:w w:val="105"/>
        </w:rPr>
        <w:t> </w:t>
      </w:r>
      <w:r>
        <w:rPr>
          <w:color w:val="231F20"/>
          <w:w w:val="105"/>
        </w:rPr>
        <w:t>lo</w:t>
      </w:r>
      <w:r>
        <w:rPr>
          <w:color w:val="231F20"/>
          <w:spacing w:val="-22"/>
          <w:w w:val="105"/>
        </w:rPr>
        <w:t> </w:t>
      </w:r>
      <w:r>
        <w:rPr>
          <w:color w:val="231F20"/>
          <w:w w:val="105"/>
        </w:rPr>
        <w:t>son</w:t>
      </w:r>
      <w:r>
        <w:rPr>
          <w:color w:val="231F20"/>
          <w:spacing w:val="-22"/>
          <w:w w:val="105"/>
        </w:rPr>
        <w:t> </w:t>
      </w:r>
      <w:r>
        <w:rPr>
          <w:color w:val="231F20"/>
          <w:w w:val="105"/>
        </w:rPr>
        <w:t>servicios</w:t>
      </w:r>
      <w:r>
        <w:rPr>
          <w:color w:val="231F20"/>
          <w:spacing w:val="-22"/>
          <w:w w:val="105"/>
        </w:rPr>
        <w:t> </w:t>
      </w:r>
      <w:r>
        <w:rPr>
          <w:color w:val="231F20"/>
          <w:w w:val="105"/>
        </w:rPr>
        <w:t>de</w:t>
      </w:r>
      <w:r>
        <w:rPr>
          <w:color w:val="231F20"/>
          <w:spacing w:val="-22"/>
          <w:w w:val="105"/>
        </w:rPr>
        <w:t> </w:t>
      </w:r>
      <w:r>
        <w:rPr>
          <w:color w:val="231F20"/>
          <w:w w:val="105"/>
        </w:rPr>
        <w:t>agua</w:t>
      </w:r>
      <w:r>
        <w:rPr>
          <w:color w:val="231F20"/>
          <w:spacing w:val="-22"/>
          <w:w w:val="105"/>
        </w:rPr>
        <w:t> </w:t>
      </w:r>
      <w:r>
        <w:rPr>
          <w:color w:val="231F20"/>
          <w:w w:val="105"/>
        </w:rPr>
        <w:t>potable,</w:t>
      </w:r>
      <w:r>
        <w:rPr>
          <w:color w:val="231F20"/>
          <w:spacing w:val="-22"/>
          <w:w w:val="105"/>
        </w:rPr>
        <w:t> </w:t>
      </w:r>
      <w:r>
        <w:rPr>
          <w:color w:val="231F20"/>
          <w:w w:val="105"/>
        </w:rPr>
        <w:t>drenaje</w:t>
      </w:r>
      <w:r>
        <w:rPr>
          <w:color w:val="231F20"/>
          <w:spacing w:val="-22"/>
          <w:w w:val="105"/>
        </w:rPr>
        <w:t> </w:t>
      </w:r>
      <w:r>
        <w:rPr>
          <w:color w:val="231F20"/>
          <w:w w:val="105"/>
        </w:rPr>
        <w:t>y</w:t>
      </w:r>
      <w:r>
        <w:rPr>
          <w:color w:val="231F20"/>
          <w:spacing w:val="-22"/>
          <w:w w:val="105"/>
        </w:rPr>
        <w:t> </w:t>
      </w:r>
      <w:r>
        <w:rPr>
          <w:color w:val="231F20"/>
          <w:w w:val="105"/>
        </w:rPr>
        <w:t>fosas</w:t>
      </w:r>
      <w:r>
        <w:rPr>
          <w:color w:val="231F20"/>
          <w:spacing w:val="-22"/>
          <w:w w:val="105"/>
        </w:rPr>
        <w:t> </w:t>
      </w:r>
      <w:r>
        <w:rPr>
          <w:color w:val="231F20"/>
          <w:w w:val="105"/>
        </w:rPr>
        <w:t>sépticas</w:t>
      </w:r>
      <w:r>
        <w:rPr>
          <w:color w:val="231F20"/>
          <w:spacing w:val="-22"/>
          <w:w w:val="105"/>
        </w:rPr>
        <w:t> </w:t>
      </w:r>
      <w:r>
        <w:rPr>
          <w:color w:val="231F20"/>
          <w:w w:val="105"/>
        </w:rPr>
        <w:t>y</w:t>
      </w:r>
      <w:r>
        <w:rPr>
          <w:color w:val="231F20"/>
          <w:spacing w:val="-22"/>
          <w:w w:val="105"/>
        </w:rPr>
        <w:t> </w:t>
      </w:r>
      <w:r>
        <w:rPr>
          <w:color w:val="231F20"/>
          <w:w w:val="105"/>
        </w:rPr>
        <w:t>viviendas.</w:t>
      </w:r>
    </w:p>
    <w:p>
      <w:pPr>
        <w:pStyle w:val="BodyText"/>
        <w:spacing w:before="1"/>
        <w:rPr>
          <w:sz w:val="26"/>
        </w:rPr>
      </w:pPr>
    </w:p>
    <w:p>
      <w:pPr>
        <w:pStyle w:val="BodyText"/>
        <w:spacing w:line="285" w:lineRule="auto"/>
        <w:ind w:left="110" w:right="108"/>
        <w:jc w:val="both"/>
      </w:pPr>
      <w:r>
        <w:rPr>
          <w:color w:val="231F20"/>
          <w:w w:val="105"/>
        </w:rPr>
        <w:t>Además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cantidades</w:t>
      </w:r>
      <w:r>
        <w:rPr>
          <w:color w:val="231F20"/>
          <w:spacing w:val="-18"/>
          <w:w w:val="105"/>
        </w:rPr>
        <w:t> </w:t>
      </w:r>
      <w:r>
        <w:rPr>
          <w:color w:val="231F20"/>
          <w:w w:val="105"/>
        </w:rPr>
        <w:t>invertidas,</w:t>
      </w:r>
      <w:r>
        <w:rPr>
          <w:color w:val="231F20"/>
          <w:spacing w:val="-18"/>
          <w:w w:val="105"/>
        </w:rPr>
        <w:t> </w:t>
      </w:r>
      <w:r>
        <w:rPr>
          <w:color w:val="231F20"/>
          <w:w w:val="105"/>
        </w:rPr>
        <w:t>destaca</w:t>
      </w:r>
      <w:r>
        <w:rPr>
          <w:color w:val="231F20"/>
          <w:spacing w:val="-18"/>
          <w:w w:val="105"/>
        </w:rPr>
        <w:t> </w:t>
      </w:r>
      <w:r>
        <w:rPr>
          <w:color w:val="231F20"/>
          <w:w w:val="105"/>
        </w:rPr>
        <w:t>la</w:t>
      </w:r>
      <w:r>
        <w:rPr>
          <w:color w:val="231F20"/>
          <w:spacing w:val="-18"/>
          <w:w w:val="105"/>
        </w:rPr>
        <w:t> </w:t>
      </w:r>
      <w:r>
        <w:rPr>
          <w:color w:val="231F20"/>
          <w:w w:val="105"/>
        </w:rPr>
        <w:t>creación</w:t>
      </w:r>
      <w:r>
        <w:rPr>
          <w:color w:val="231F20"/>
          <w:spacing w:val="-18"/>
          <w:w w:val="105"/>
        </w:rPr>
        <w:t> </w:t>
      </w:r>
      <w:r>
        <w:rPr>
          <w:color w:val="231F20"/>
          <w:w w:val="105"/>
        </w:rPr>
        <w:t>del</w:t>
      </w:r>
      <w:r>
        <w:rPr>
          <w:color w:val="231F20"/>
          <w:spacing w:val="-18"/>
          <w:w w:val="105"/>
        </w:rPr>
        <w:t> </w:t>
      </w:r>
      <w:r>
        <w:rPr>
          <w:color w:val="231F20"/>
          <w:w w:val="105"/>
        </w:rPr>
        <w:t>Servicio</w:t>
      </w:r>
      <w:r>
        <w:rPr>
          <w:color w:val="231F20"/>
          <w:spacing w:val="-18"/>
          <w:w w:val="105"/>
        </w:rPr>
        <w:t> </w:t>
      </w:r>
      <w:r>
        <w:rPr>
          <w:color w:val="231F20"/>
          <w:w w:val="105"/>
        </w:rPr>
        <w:t>Municipal</w:t>
      </w:r>
      <w:r>
        <w:rPr>
          <w:color w:val="231F20"/>
          <w:spacing w:val="-18"/>
          <w:w w:val="105"/>
        </w:rPr>
        <w:t> </w:t>
      </w:r>
      <w:r>
        <w:rPr>
          <w:color w:val="231F20"/>
          <w:w w:val="105"/>
        </w:rPr>
        <w:t>de</w:t>
      </w:r>
      <w:r>
        <w:rPr>
          <w:color w:val="231F20"/>
          <w:spacing w:val="-18"/>
          <w:w w:val="105"/>
        </w:rPr>
        <w:t> </w:t>
      </w:r>
      <w:r>
        <w:rPr>
          <w:color w:val="231F20"/>
          <w:w w:val="105"/>
        </w:rPr>
        <w:t>Em- pleo, así como de un curso de capacitación con la Secretaría del </w:t>
      </w:r>
      <w:r>
        <w:rPr>
          <w:color w:val="231F20"/>
          <w:spacing w:val="-3"/>
          <w:w w:val="105"/>
        </w:rPr>
        <w:t>Trabajo </w:t>
      </w:r>
      <w:r>
        <w:rPr>
          <w:color w:val="231F20"/>
          <w:w w:val="105"/>
        </w:rPr>
        <w:t>y el Instituto de las </w:t>
      </w:r>
      <w:r>
        <w:rPr>
          <w:color w:val="231F20"/>
          <w:spacing w:val="2"/>
          <w:w w:val="105"/>
        </w:rPr>
        <w:t>Artesanías </w:t>
      </w:r>
      <w:r>
        <w:rPr>
          <w:color w:val="231F20"/>
          <w:w w:val="105"/>
        </w:rPr>
        <w:t>del Estado de México. Asimismo a los productores se les apoya con recursos</w:t>
      </w:r>
      <w:r>
        <w:rPr>
          <w:color w:val="231F20"/>
          <w:spacing w:val="-11"/>
          <w:w w:val="105"/>
        </w:rPr>
        <w:t> </w:t>
      </w:r>
      <w:r>
        <w:rPr>
          <w:color w:val="231F20"/>
          <w:w w:val="105"/>
        </w:rPr>
        <w:t>del</w:t>
      </w:r>
      <w:r>
        <w:rPr>
          <w:color w:val="231F20"/>
          <w:spacing w:val="-11"/>
          <w:w w:val="105"/>
        </w:rPr>
        <w:t> </w:t>
      </w:r>
      <w:r>
        <w:rPr>
          <w:color w:val="231F20"/>
          <w:spacing w:val="-3"/>
          <w:w w:val="105"/>
        </w:rPr>
        <w:t>Fondo</w:t>
      </w:r>
      <w:r>
        <w:rPr>
          <w:color w:val="231F20"/>
          <w:spacing w:val="-11"/>
          <w:w w:val="105"/>
        </w:rPr>
        <w:t> </w:t>
      </w:r>
      <w:r>
        <w:rPr>
          <w:color w:val="231F20"/>
          <w:w w:val="105"/>
        </w:rPr>
        <w:t>de</w:t>
      </w:r>
      <w:r>
        <w:rPr>
          <w:color w:val="231F20"/>
          <w:spacing w:val="-11"/>
          <w:w w:val="105"/>
        </w:rPr>
        <w:t> </w:t>
      </w:r>
      <w:r>
        <w:rPr>
          <w:color w:val="231F20"/>
          <w:w w:val="105"/>
        </w:rPr>
        <w:t>Infraestructura</w:t>
      </w:r>
      <w:r>
        <w:rPr>
          <w:color w:val="231F20"/>
          <w:spacing w:val="-11"/>
          <w:w w:val="105"/>
        </w:rPr>
        <w:t> </w:t>
      </w:r>
      <w:r>
        <w:rPr>
          <w:color w:val="231F20"/>
          <w:w w:val="105"/>
        </w:rPr>
        <w:t>Municipal,</w:t>
      </w:r>
      <w:r>
        <w:rPr>
          <w:color w:val="231F20"/>
          <w:spacing w:val="-11"/>
          <w:w w:val="105"/>
        </w:rPr>
        <w:t> </w:t>
      </w:r>
      <w:r>
        <w:rPr>
          <w:color w:val="231F20"/>
          <w:w w:val="105"/>
        </w:rPr>
        <w:t>regularmente</w:t>
      </w:r>
      <w:r>
        <w:rPr>
          <w:color w:val="231F20"/>
          <w:spacing w:val="-11"/>
          <w:w w:val="105"/>
        </w:rPr>
        <w:t> </w:t>
      </w:r>
      <w:r>
        <w:rPr>
          <w:color w:val="231F20"/>
          <w:w w:val="105"/>
        </w:rPr>
        <w:t>es</w:t>
      </w:r>
      <w:r>
        <w:rPr>
          <w:color w:val="231F20"/>
          <w:spacing w:val="-11"/>
          <w:w w:val="105"/>
        </w:rPr>
        <w:t> </w:t>
      </w:r>
      <w:r>
        <w:rPr>
          <w:color w:val="231F20"/>
          <w:w w:val="105"/>
        </w:rPr>
        <w:t>con</w:t>
      </w:r>
      <w:r>
        <w:rPr>
          <w:color w:val="231F20"/>
          <w:spacing w:val="-11"/>
          <w:w w:val="105"/>
        </w:rPr>
        <w:t> </w:t>
      </w:r>
      <w:r>
        <w:rPr>
          <w:color w:val="231F20"/>
          <w:w w:val="105"/>
        </w:rPr>
        <w:t>fertilizante,</w:t>
      </w:r>
      <w:r>
        <w:rPr>
          <w:color w:val="231F20"/>
          <w:spacing w:val="-11"/>
          <w:w w:val="105"/>
        </w:rPr>
        <w:t> </w:t>
      </w:r>
      <w:r>
        <w:rPr>
          <w:color w:val="231F20"/>
          <w:w w:val="105"/>
        </w:rPr>
        <w:t>pero también</w:t>
      </w:r>
      <w:r>
        <w:rPr>
          <w:color w:val="231F20"/>
          <w:spacing w:val="-15"/>
          <w:w w:val="105"/>
        </w:rPr>
        <w:t> </w:t>
      </w:r>
      <w:r>
        <w:rPr>
          <w:color w:val="231F20"/>
          <w:w w:val="105"/>
        </w:rPr>
        <w:t>se</w:t>
      </w:r>
      <w:r>
        <w:rPr>
          <w:color w:val="231F20"/>
          <w:spacing w:val="-15"/>
          <w:w w:val="105"/>
        </w:rPr>
        <w:t> </w:t>
      </w:r>
      <w:r>
        <w:rPr>
          <w:color w:val="231F20"/>
          <w:w w:val="105"/>
        </w:rPr>
        <w:t>construyen</w:t>
      </w:r>
      <w:r>
        <w:rPr>
          <w:color w:val="231F20"/>
          <w:spacing w:val="-15"/>
          <w:w w:val="105"/>
        </w:rPr>
        <w:t> </w:t>
      </w:r>
      <w:r>
        <w:rPr>
          <w:color w:val="231F20"/>
          <w:w w:val="105"/>
        </w:rPr>
        <w:t>bordos</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captación</w:t>
      </w:r>
      <w:r>
        <w:rPr>
          <w:color w:val="231F20"/>
          <w:spacing w:val="-15"/>
          <w:w w:val="105"/>
        </w:rPr>
        <w:t> </w:t>
      </w:r>
      <w:r>
        <w:rPr>
          <w:color w:val="231F20"/>
          <w:w w:val="105"/>
        </w:rPr>
        <w:t>de</w:t>
      </w:r>
      <w:r>
        <w:rPr>
          <w:color w:val="231F20"/>
          <w:spacing w:val="-15"/>
          <w:w w:val="105"/>
        </w:rPr>
        <w:t> </w:t>
      </w:r>
      <w:r>
        <w:rPr>
          <w:color w:val="231F20"/>
          <w:w w:val="105"/>
        </w:rPr>
        <w:t>agua</w:t>
      </w:r>
      <w:r>
        <w:rPr>
          <w:color w:val="231F20"/>
          <w:spacing w:val="-15"/>
          <w:w w:val="105"/>
        </w:rPr>
        <w:t> </w:t>
      </w:r>
      <w:r>
        <w:rPr>
          <w:color w:val="231F20"/>
          <w:w w:val="105"/>
        </w:rPr>
        <w:t>pluvial</w:t>
      </w:r>
      <w:r>
        <w:rPr>
          <w:color w:val="231F20"/>
          <w:spacing w:val="-15"/>
          <w:w w:val="105"/>
        </w:rPr>
        <w:t> </w:t>
      </w:r>
      <w:r>
        <w:rPr>
          <w:color w:val="231F20"/>
          <w:w w:val="105"/>
        </w:rPr>
        <w:t>que</w:t>
      </w:r>
      <w:r>
        <w:rPr>
          <w:color w:val="231F20"/>
          <w:spacing w:val="-15"/>
          <w:w w:val="105"/>
        </w:rPr>
        <w:t> </w:t>
      </w:r>
      <w:r>
        <w:rPr>
          <w:color w:val="231F20"/>
          <w:w w:val="105"/>
        </w:rPr>
        <w:t>sirve</w:t>
      </w:r>
      <w:r>
        <w:rPr>
          <w:color w:val="231F20"/>
          <w:spacing w:val="-15"/>
          <w:w w:val="105"/>
        </w:rPr>
        <w:t> </w:t>
      </w:r>
      <w:r>
        <w:rPr>
          <w:color w:val="231F20"/>
          <w:w w:val="105"/>
        </w:rPr>
        <w:t>tanto</w:t>
      </w:r>
      <w:r>
        <w:rPr>
          <w:color w:val="231F20"/>
          <w:spacing w:val="-15"/>
          <w:w w:val="105"/>
        </w:rPr>
        <w:t> </w:t>
      </w:r>
      <w:r>
        <w:rPr>
          <w:color w:val="231F20"/>
          <w:w w:val="105"/>
        </w:rPr>
        <w:t>para</w:t>
      </w:r>
      <w:r>
        <w:rPr>
          <w:color w:val="231F20"/>
          <w:spacing w:val="-15"/>
          <w:w w:val="105"/>
        </w:rPr>
        <w:t> </w:t>
      </w:r>
      <w:r>
        <w:rPr>
          <w:color w:val="231F20"/>
          <w:w w:val="105"/>
        </w:rPr>
        <w:t>uso doméstico</w:t>
      </w:r>
      <w:r>
        <w:rPr>
          <w:color w:val="231F20"/>
          <w:spacing w:val="-15"/>
          <w:w w:val="105"/>
        </w:rPr>
        <w:t> </w:t>
      </w:r>
      <w:r>
        <w:rPr>
          <w:color w:val="231F20"/>
          <w:w w:val="105"/>
        </w:rPr>
        <w:t>como</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ganado.</w:t>
      </w:r>
    </w:p>
    <w:p>
      <w:pPr>
        <w:pStyle w:val="BodyText"/>
        <w:spacing w:before="1"/>
        <w:rPr>
          <w:sz w:val="26"/>
        </w:rPr>
      </w:pPr>
    </w:p>
    <w:p>
      <w:pPr>
        <w:pStyle w:val="BodyText"/>
        <w:spacing w:line="285" w:lineRule="auto"/>
        <w:ind w:left="110" w:right="108"/>
        <w:jc w:val="both"/>
      </w:pPr>
      <w:r>
        <w:rPr>
          <w:color w:val="231F20"/>
          <w:w w:val="105"/>
        </w:rPr>
        <w:t>Como</w:t>
      </w:r>
      <w:r>
        <w:rPr>
          <w:color w:val="231F20"/>
          <w:spacing w:val="-6"/>
          <w:w w:val="105"/>
        </w:rPr>
        <w:t> </w:t>
      </w:r>
      <w:r>
        <w:rPr>
          <w:color w:val="231F20"/>
          <w:w w:val="105"/>
        </w:rPr>
        <w:t>municipio</w:t>
      </w:r>
      <w:r>
        <w:rPr>
          <w:color w:val="231F20"/>
          <w:spacing w:val="-6"/>
          <w:w w:val="105"/>
        </w:rPr>
        <w:t> </w:t>
      </w:r>
      <w:r>
        <w:rPr>
          <w:color w:val="231F20"/>
          <w:spacing w:val="2"/>
          <w:w w:val="105"/>
        </w:rPr>
        <w:t>rural</w:t>
      </w:r>
      <w:r>
        <w:rPr>
          <w:color w:val="231F20"/>
          <w:spacing w:val="-6"/>
          <w:w w:val="105"/>
        </w:rPr>
        <w:t> </w:t>
      </w:r>
      <w:r>
        <w:rPr>
          <w:color w:val="231F20"/>
          <w:w w:val="105"/>
        </w:rPr>
        <w:t>y</w:t>
      </w:r>
      <w:r>
        <w:rPr>
          <w:color w:val="231F20"/>
          <w:spacing w:val="-6"/>
          <w:w w:val="105"/>
        </w:rPr>
        <w:t> </w:t>
      </w:r>
      <w:r>
        <w:rPr>
          <w:color w:val="231F20"/>
          <w:w w:val="105"/>
        </w:rPr>
        <w:t>con</w:t>
      </w:r>
      <w:r>
        <w:rPr>
          <w:color w:val="231F20"/>
          <w:spacing w:val="-6"/>
          <w:w w:val="105"/>
        </w:rPr>
        <w:t> </w:t>
      </w:r>
      <w:r>
        <w:rPr>
          <w:color w:val="231F20"/>
          <w:w w:val="105"/>
        </w:rPr>
        <w:t>una</w:t>
      </w:r>
      <w:r>
        <w:rPr>
          <w:color w:val="231F20"/>
          <w:spacing w:val="-6"/>
          <w:w w:val="105"/>
        </w:rPr>
        <w:t> </w:t>
      </w:r>
      <w:r>
        <w:rPr>
          <w:color w:val="231F20"/>
          <w:w w:val="105"/>
        </w:rPr>
        <w:t>actividad</w:t>
      </w:r>
      <w:r>
        <w:rPr>
          <w:color w:val="231F20"/>
          <w:spacing w:val="-6"/>
          <w:w w:val="105"/>
        </w:rPr>
        <w:t> </w:t>
      </w:r>
      <w:r>
        <w:rPr>
          <w:color w:val="231F20"/>
          <w:w w:val="105"/>
        </w:rPr>
        <w:t>principal</w:t>
      </w:r>
      <w:r>
        <w:rPr>
          <w:color w:val="231F20"/>
          <w:spacing w:val="-6"/>
          <w:w w:val="105"/>
        </w:rPr>
        <w:t> </w:t>
      </w:r>
      <w:r>
        <w:rPr>
          <w:color w:val="231F20"/>
          <w:w w:val="105"/>
        </w:rPr>
        <w:t>pecuaria</w:t>
      </w:r>
      <w:r>
        <w:rPr>
          <w:color w:val="231F20"/>
          <w:spacing w:val="-6"/>
          <w:w w:val="105"/>
        </w:rPr>
        <w:t> </w:t>
      </w:r>
      <w:r>
        <w:rPr>
          <w:color w:val="231F20"/>
          <w:w w:val="105"/>
        </w:rPr>
        <w:t>se</w:t>
      </w:r>
      <w:r>
        <w:rPr>
          <w:color w:val="231F20"/>
          <w:spacing w:val="-6"/>
          <w:w w:val="105"/>
        </w:rPr>
        <w:t> </w:t>
      </w:r>
      <w:r>
        <w:rPr>
          <w:color w:val="231F20"/>
          <w:w w:val="105"/>
        </w:rPr>
        <w:t>logró</w:t>
      </w:r>
      <w:r>
        <w:rPr>
          <w:color w:val="231F20"/>
          <w:spacing w:val="-6"/>
          <w:w w:val="105"/>
        </w:rPr>
        <w:t> </w:t>
      </w:r>
      <w:r>
        <w:rPr>
          <w:color w:val="231F20"/>
          <w:w w:val="105"/>
        </w:rPr>
        <w:t>trabajar</w:t>
      </w:r>
      <w:r>
        <w:rPr>
          <w:color w:val="231F20"/>
          <w:spacing w:val="-6"/>
          <w:w w:val="105"/>
        </w:rPr>
        <w:t> </w:t>
      </w:r>
      <w:r>
        <w:rPr>
          <w:color w:val="231F20"/>
          <w:w w:val="105"/>
        </w:rPr>
        <w:t>conjun- tamente con el Comité de </w:t>
      </w:r>
      <w:r>
        <w:rPr>
          <w:color w:val="231F20"/>
          <w:spacing w:val="-3"/>
          <w:w w:val="105"/>
        </w:rPr>
        <w:t>Fomento </w:t>
      </w:r>
      <w:r>
        <w:rPr>
          <w:color w:val="231F20"/>
          <w:w w:val="105"/>
        </w:rPr>
        <w:t>y Protección Pecuaria del Estado de México en el Programa</w:t>
      </w:r>
      <w:r>
        <w:rPr>
          <w:color w:val="231F20"/>
          <w:spacing w:val="-11"/>
          <w:w w:val="105"/>
        </w:rPr>
        <w:t> </w:t>
      </w:r>
      <w:r>
        <w:rPr>
          <w:color w:val="231F20"/>
          <w:w w:val="105"/>
        </w:rPr>
        <w:t>del</w:t>
      </w:r>
      <w:r>
        <w:rPr>
          <w:color w:val="231F20"/>
          <w:spacing w:val="-11"/>
          <w:w w:val="105"/>
        </w:rPr>
        <w:t> </w:t>
      </w:r>
      <w:r>
        <w:rPr>
          <w:color w:val="231F20"/>
          <w:w w:val="105"/>
        </w:rPr>
        <w:t>Muestreo</w:t>
      </w:r>
      <w:r>
        <w:rPr>
          <w:color w:val="231F20"/>
          <w:spacing w:val="-11"/>
          <w:w w:val="105"/>
        </w:rPr>
        <w:t> </w:t>
      </w:r>
      <w:r>
        <w:rPr>
          <w:color w:val="231F20"/>
          <w:w w:val="105"/>
        </w:rPr>
        <w:t>Zoosanitario</w:t>
      </w:r>
      <w:r>
        <w:rPr>
          <w:color w:val="231F20"/>
          <w:spacing w:val="-11"/>
          <w:w w:val="105"/>
        </w:rPr>
        <w:t> </w:t>
      </w:r>
      <w:r>
        <w:rPr>
          <w:color w:val="231F20"/>
          <w:w w:val="105"/>
        </w:rPr>
        <w:t>en</w:t>
      </w:r>
      <w:r>
        <w:rPr>
          <w:color w:val="231F20"/>
          <w:spacing w:val="-11"/>
          <w:w w:val="105"/>
        </w:rPr>
        <w:t> </w:t>
      </w:r>
      <w:r>
        <w:rPr>
          <w:color w:val="231F20"/>
          <w:w w:val="105"/>
        </w:rPr>
        <w:t>Tierra</w:t>
      </w:r>
      <w:r>
        <w:rPr>
          <w:color w:val="231F20"/>
          <w:spacing w:val="-11"/>
          <w:w w:val="105"/>
        </w:rPr>
        <w:t> </w:t>
      </w:r>
      <w:r>
        <w:rPr>
          <w:color w:val="231F20"/>
          <w:w w:val="105"/>
        </w:rPr>
        <w:t>Caliente;</w:t>
      </w:r>
      <w:r>
        <w:rPr>
          <w:color w:val="231F20"/>
          <w:spacing w:val="-11"/>
          <w:w w:val="105"/>
        </w:rPr>
        <w:t> </w:t>
      </w:r>
      <w:r>
        <w:rPr>
          <w:color w:val="231F20"/>
          <w:w w:val="105"/>
        </w:rPr>
        <w:t>como</w:t>
      </w:r>
      <w:r>
        <w:rPr>
          <w:color w:val="231F20"/>
          <w:spacing w:val="-11"/>
          <w:w w:val="105"/>
        </w:rPr>
        <w:t> </w:t>
      </w:r>
      <w:r>
        <w:rPr>
          <w:color w:val="231F20"/>
          <w:w w:val="105"/>
        </w:rPr>
        <w:t>actividades</w:t>
      </w:r>
      <w:r>
        <w:rPr>
          <w:color w:val="231F20"/>
          <w:spacing w:val="-11"/>
          <w:w w:val="105"/>
        </w:rPr>
        <w:t> </w:t>
      </w:r>
      <w:r>
        <w:rPr>
          <w:color w:val="231F20"/>
          <w:w w:val="105"/>
        </w:rPr>
        <w:t>alternas</w:t>
      </w:r>
      <w:r>
        <w:rPr>
          <w:color w:val="231F20"/>
          <w:spacing w:val="-11"/>
          <w:w w:val="105"/>
        </w:rPr>
        <w:t> </w:t>
      </w:r>
      <w:r>
        <w:rPr>
          <w:color w:val="231F20"/>
          <w:w w:val="105"/>
        </w:rPr>
        <w:t>a</w:t>
      </w:r>
      <w:r>
        <w:rPr>
          <w:color w:val="231F20"/>
          <w:spacing w:val="-11"/>
          <w:w w:val="105"/>
        </w:rPr>
        <w:t> </w:t>
      </w:r>
      <w:r>
        <w:rPr>
          <w:color w:val="231F20"/>
          <w:w w:val="105"/>
        </w:rPr>
        <w:t>la pecuaria</w:t>
      </w:r>
      <w:r>
        <w:rPr>
          <w:color w:val="231F20"/>
          <w:spacing w:val="-7"/>
          <w:w w:val="105"/>
        </w:rPr>
        <w:t> </w:t>
      </w:r>
      <w:r>
        <w:rPr>
          <w:color w:val="231F20"/>
          <w:w w:val="105"/>
        </w:rPr>
        <w:t>se</w:t>
      </w:r>
      <w:r>
        <w:rPr>
          <w:color w:val="231F20"/>
          <w:spacing w:val="-7"/>
          <w:w w:val="105"/>
        </w:rPr>
        <w:t> </w:t>
      </w:r>
      <w:r>
        <w:rPr>
          <w:color w:val="231F20"/>
          <w:w w:val="105"/>
        </w:rPr>
        <w:t>ha</w:t>
      </w:r>
      <w:r>
        <w:rPr>
          <w:color w:val="231F20"/>
          <w:spacing w:val="-7"/>
          <w:w w:val="105"/>
        </w:rPr>
        <w:t> </w:t>
      </w:r>
      <w:r>
        <w:rPr>
          <w:color w:val="231F20"/>
          <w:w w:val="105"/>
        </w:rPr>
        <w:t>promovido</w:t>
      </w:r>
      <w:r>
        <w:rPr>
          <w:color w:val="231F20"/>
          <w:spacing w:val="-7"/>
          <w:w w:val="105"/>
        </w:rPr>
        <w:t> </w:t>
      </w:r>
      <w:r>
        <w:rPr>
          <w:color w:val="231F20"/>
          <w:w w:val="105"/>
        </w:rPr>
        <w:t>el</w:t>
      </w:r>
      <w:r>
        <w:rPr>
          <w:color w:val="231F20"/>
          <w:spacing w:val="-7"/>
          <w:w w:val="105"/>
        </w:rPr>
        <w:t> </w:t>
      </w:r>
      <w:r>
        <w:rPr>
          <w:color w:val="231F20"/>
          <w:w w:val="105"/>
        </w:rPr>
        <w:t>desarrollo</w:t>
      </w:r>
      <w:r>
        <w:rPr>
          <w:color w:val="231F20"/>
          <w:spacing w:val="-7"/>
          <w:w w:val="105"/>
        </w:rPr>
        <w:t> </w:t>
      </w:r>
      <w:r>
        <w:rPr>
          <w:color w:val="231F20"/>
          <w:w w:val="105"/>
        </w:rPr>
        <w:t>acuícola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para</w:t>
      </w:r>
      <w:r>
        <w:rPr>
          <w:color w:val="231F20"/>
          <w:spacing w:val="-7"/>
          <w:w w:val="105"/>
        </w:rPr>
        <w:t> </w:t>
      </w:r>
      <w:r>
        <w:rPr>
          <w:color w:val="231F20"/>
          <w:w w:val="105"/>
        </w:rPr>
        <w:t>lo</w:t>
      </w:r>
      <w:r>
        <w:rPr>
          <w:color w:val="231F20"/>
          <w:spacing w:val="-7"/>
          <w:w w:val="105"/>
        </w:rPr>
        <w:t> </w:t>
      </w:r>
      <w:r>
        <w:rPr>
          <w:color w:val="231F20"/>
          <w:w w:val="105"/>
        </w:rPr>
        <w:t>cual</w:t>
      </w:r>
      <w:r>
        <w:rPr>
          <w:color w:val="231F20"/>
          <w:spacing w:val="-7"/>
          <w:w w:val="105"/>
        </w:rPr>
        <w:t> </w:t>
      </w:r>
      <w:r>
        <w:rPr>
          <w:color w:val="231F20"/>
          <w:w w:val="105"/>
        </w:rPr>
        <w:t>se</w:t>
      </w:r>
      <w:r>
        <w:rPr>
          <w:color w:val="231F20"/>
          <w:spacing w:val="-7"/>
          <w:w w:val="105"/>
        </w:rPr>
        <w:t> </w:t>
      </w:r>
      <w:r>
        <w:rPr>
          <w:color w:val="231F20"/>
          <w:w w:val="105"/>
        </w:rPr>
        <w:t>trabajó con</w:t>
      </w:r>
      <w:r>
        <w:rPr>
          <w:color w:val="231F20"/>
          <w:spacing w:val="-22"/>
          <w:w w:val="105"/>
        </w:rPr>
        <w:t> </w:t>
      </w:r>
      <w:r>
        <w:rPr>
          <w:color w:val="231F20"/>
          <w:w w:val="105"/>
        </w:rPr>
        <w:t>la</w:t>
      </w:r>
      <w:r>
        <w:rPr>
          <w:color w:val="231F20"/>
          <w:spacing w:val="-22"/>
          <w:w w:val="105"/>
        </w:rPr>
        <w:t> </w:t>
      </w:r>
      <w:r>
        <w:rPr>
          <w:color w:val="231F20"/>
          <w:w w:val="105"/>
        </w:rPr>
        <w:t>Secretaría</w:t>
      </w:r>
      <w:r>
        <w:rPr>
          <w:color w:val="231F20"/>
          <w:spacing w:val="-22"/>
          <w:w w:val="105"/>
        </w:rPr>
        <w:t> </w:t>
      </w:r>
      <w:r>
        <w:rPr>
          <w:color w:val="231F20"/>
          <w:w w:val="105"/>
        </w:rPr>
        <w:t>de</w:t>
      </w:r>
      <w:r>
        <w:rPr>
          <w:color w:val="231F20"/>
          <w:spacing w:val="-22"/>
          <w:w w:val="105"/>
        </w:rPr>
        <w:t> </w:t>
      </w:r>
      <w:r>
        <w:rPr>
          <w:color w:val="231F20"/>
          <w:w w:val="105"/>
        </w:rPr>
        <w:t>Desarrollo</w:t>
      </w:r>
      <w:r>
        <w:rPr>
          <w:color w:val="231F20"/>
          <w:spacing w:val="-22"/>
          <w:w w:val="105"/>
        </w:rPr>
        <w:t> </w:t>
      </w:r>
      <w:r>
        <w:rPr>
          <w:color w:val="231F20"/>
          <w:w w:val="105"/>
        </w:rPr>
        <w:t>Agropecuario</w:t>
      </w:r>
      <w:r>
        <w:rPr>
          <w:color w:val="231F20"/>
          <w:spacing w:val="-22"/>
          <w:w w:val="105"/>
        </w:rPr>
        <w:t> </w:t>
      </w:r>
      <w:r>
        <w:rPr>
          <w:color w:val="231F20"/>
          <w:spacing w:val="-6"/>
          <w:w w:val="105"/>
        </w:rPr>
        <w:t>(SEDAGRO)</w:t>
      </w:r>
      <w:r>
        <w:rPr>
          <w:color w:val="231F20"/>
          <w:spacing w:val="-22"/>
          <w:w w:val="105"/>
        </w:rPr>
        <w:t> </w:t>
      </w:r>
      <w:r>
        <w:rPr>
          <w:color w:val="231F20"/>
          <w:w w:val="105"/>
        </w:rPr>
        <w:t>y</w:t>
      </w:r>
      <w:r>
        <w:rPr>
          <w:color w:val="231F20"/>
          <w:spacing w:val="-22"/>
          <w:w w:val="105"/>
        </w:rPr>
        <w:t> </w:t>
      </w:r>
      <w:r>
        <w:rPr>
          <w:color w:val="231F20"/>
          <w:w w:val="105"/>
        </w:rPr>
        <w:t>con</w:t>
      </w:r>
      <w:r>
        <w:rPr>
          <w:color w:val="231F20"/>
          <w:spacing w:val="-22"/>
          <w:w w:val="105"/>
        </w:rPr>
        <w:t> </w:t>
      </w:r>
      <w:r>
        <w:rPr>
          <w:color w:val="231F20"/>
          <w:w w:val="105"/>
        </w:rPr>
        <w:t>el.</w:t>
      </w:r>
      <w:r>
        <w:rPr>
          <w:color w:val="231F20"/>
          <w:spacing w:val="-22"/>
          <w:w w:val="105"/>
        </w:rPr>
        <w:t> </w:t>
      </w:r>
      <w:r>
        <w:rPr>
          <w:color w:val="231F20"/>
          <w:w w:val="105"/>
        </w:rPr>
        <w:t>Ayuntamiento.</w:t>
      </w:r>
    </w:p>
    <w:p>
      <w:pPr>
        <w:pStyle w:val="BodyText"/>
        <w:spacing w:before="1"/>
        <w:rPr>
          <w:sz w:val="26"/>
        </w:rPr>
      </w:pPr>
    </w:p>
    <w:p>
      <w:pPr>
        <w:pStyle w:val="BodyText"/>
        <w:spacing w:line="285" w:lineRule="auto"/>
        <w:ind w:left="110" w:right="107"/>
        <w:jc w:val="both"/>
      </w:pPr>
      <w:r>
        <w:rPr>
          <w:color w:val="231F20"/>
        </w:rPr>
        <w:t>Se ha regularizado la tenencia de la tierra en convenio con el municipio y el Instituto Mexiquense de la Vivienda Social (IMEVIS), además de que se han promovido subsidios y créditos para la vivienda rural “Tu Casa” con 50 familias beneficiadas en 15 locali-</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28"/>
        <w:jc w:val="both"/>
      </w:pPr>
      <w:r>
        <w:rPr>
          <w:color w:val="231F20"/>
          <w:w w:val="105"/>
        </w:rPr>
        <w:t>dades. Esto se logró con recursos tanto propios como de la federación e incluso de los ciudadanos. De la misma forma, en acuerdo con la Secretaría de Desarrollo Social del gobierno federal, se apoyó el programa “Piso Firme” que benefició a 9 viviendas en 6 localidades.</w:t>
      </w:r>
    </w:p>
    <w:p>
      <w:pPr>
        <w:pStyle w:val="BodyText"/>
        <w:spacing w:before="1"/>
        <w:rPr>
          <w:sz w:val="26"/>
        </w:rPr>
      </w:pPr>
    </w:p>
    <w:p>
      <w:pPr>
        <w:pStyle w:val="BodyText"/>
        <w:spacing w:line="285" w:lineRule="auto"/>
        <w:ind w:left="110" w:right="129"/>
        <w:jc w:val="both"/>
      </w:pPr>
      <w:r>
        <w:rPr>
          <w:color w:val="231F20"/>
          <w:w w:val="105"/>
        </w:rPr>
        <w:t>El</w:t>
      </w:r>
      <w:r>
        <w:rPr>
          <w:color w:val="231F20"/>
          <w:spacing w:val="-7"/>
          <w:w w:val="105"/>
        </w:rPr>
        <w:t> </w:t>
      </w:r>
      <w:r>
        <w:rPr>
          <w:color w:val="231F20"/>
          <w:w w:val="105"/>
        </w:rPr>
        <w:t>último</w:t>
      </w:r>
      <w:r>
        <w:rPr>
          <w:color w:val="231F20"/>
          <w:spacing w:val="-7"/>
          <w:w w:val="105"/>
        </w:rPr>
        <w:t> </w:t>
      </w:r>
      <w:r>
        <w:rPr>
          <w:color w:val="231F20"/>
          <w:w w:val="105"/>
        </w:rPr>
        <w:t>Pilar,</w:t>
      </w:r>
      <w:r>
        <w:rPr>
          <w:color w:val="231F20"/>
          <w:spacing w:val="-7"/>
          <w:w w:val="105"/>
        </w:rPr>
        <w:t> </w:t>
      </w:r>
      <w:r>
        <w:rPr>
          <w:color w:val="231F20"/>
          <w:w w:val="105"/>
        </w:rPr>
        <w:t>relativo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Seguridad</w:t>
      </w:r>
      <w:r>
        <w:rPr>
          <w:color w:val="231F20"/>
          <w:spacing w:val="-7"/>
          <w:w w:val="105"/>
        </w:rPr>
        <w:t> </w:t>
      </w:r>
      <w:r>
        <w:rPr>
          <w:color w:val="231F20"/>
          <w:w w:val="105"/>
        </w:rPr>
        <w:t>Pública,</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que</w:t>
      </w:r>
      <w:r>
        <w:rPr>
          <w:color w:val="231F20"/>
          <w:spacing w:val="-7"/>
          <w:w w:val="105"/>
        </w:rPr>
        <w:t> </w:t>
      </w:r>
      <w:r>
        <w:rPr>
          <w:color w:val="231F20"/>
          <w:w w:val="105"/>
        </w:rPr>
        <w:t>tiene</w:t>
      </w:r>
      <w:r>
        <w:rPr>
          <w:color w:val="231F20"/>
          <w:spacing w:val="-7"/>
          <w:w w:val="105"/>
        </w:rPr>
        <w:t> </w:t>
      </w:r>
      <w:r>
        <w:rPr>
          <w:color w:val="231F20"/>
          <w:w w:val="105"/>
        </w:rPr>
        <w:t>las</w:t>
      </w:r>
      <w:r>
        <w:rPr>
          <w:color w:val="231F20"/>
          <w:spacing w:val="-7"/>
          <w:w w:val="105"/>
        </w:rPr>
        <w:t> </w:t>
      </w:r>
      <w:r>
        <w:rPr>
          <w:color w:val="231F20"/>
          <w:w w:val="105"/>
        </w:rPr>
        <w:t>demandas</w:t>
      </w:r>
      <w:r>
        <w:rPr>
          <w:color w:val="231F20"/>
          <w:spacing w:val="-7"/>
          <w:w w:val="105"/>
        </w:rPr>
        <w:t> </w:t>
      </w:r>
      <w:r>
        <w:rPr>
          <w:color w:val="231F20"/>
          <w:w w:val="105"/>
        </w:rPr>
        <w:t>más</w:t>
      </w:r>
      <w:r>
        <w:rPr>
          <w:color w:val="231F20"/>
          <w:spacing w:val="-7"/>
          <w:w w:val="105"/>
        </w:rPr>
        <w:t> </w:t>
      </w:r>
      <w:r>
        <w:rPr>
          <w:color w:val="231F20"/>
          <w:w w:val="105"/>
        </w:rPr>
        <w:t>bajas </w:t>
      </w:r>
      <w:r>
        <w:rPr>
          <w:color w:val="231F20"/>
          <w:spacing w:val="-4"/>
          <w:w w:val="105"/>
        </w:rPr>
        <w:t>(ver</w:t>
      </w:r>
      <w:r>
        <w:rPr>
          <w:color w:val="231F20"/>
          <w:spacing w:val="-8"/>
          <w:w w:val="105"/>
        </w:rPr>
        <w:t> </w:t>
      </w:r>
      <w:r>
        <w:rPr>
          <w:color w:val="231F20"/>
          <w:w w:val="105"/>
        </w:rPr>
        <w:t>cuadro</w:t>
      </w:r>
      <w:r>
        <w:rPr>
          <w:color w:val="231F20"/>
          <w:spacing w:val="-8"/>
          <w:w w:val="105"/>
        </w:rPr>
        <w:t> </w:t>
      </w:r>
      <w:r>
        <w:rPr>
          <w:color w:val="231F20"/>
          <w:spacing w:val="-5"/>
          <w:w w:val="105"/>
        </w:rPr>
        <w:t>10).</w:t>
      </w:r>
      <w:r>
        <w:rPr>
          <w:color w:val="231F20"/>
          <w:spacing w:val="-8"/>
          <w:w w:val="105"/>
        </w:rPr>
        <w:t> </w:t>
      </w:r>
      <w:r>
        <w:rPr>
          <w:color w:val="231F20"/>
          <w:spacing w:val="-3"/>
          <w:w w:val="105"/>
        </w:rPr>
        <w:t>Pero</w:t>
      </w:r>
      <w:r>
        <w:rPr>
          <w:color w:val="231F20"/>
          <w:spacing w:val="-8"/>
          <w:w w:val="105"/>
        </w:rPr>
        <w:t> </w:t>
      </w:r>
      <w:r>
        <w:rPr>
          <w:color w:val="231F20"/>
          <w:w w:val="105"/>
        </w:rPr>
        <w:t>fue</w:t>
      </w:r>
      <w:r>
        <w:rPr>
          <w:color w:val="231F20"/>
          <w:spacing w:val="-8"/>
          <w:w w:val="105"/>
        </w:rPr>
        <w:t> </w:t>
      </w:r>
      <w:r>
        <w:rPr>
          <w:color w:val="231F20"/>
          <w:w w:val="105"/>
        </w:rPr>
        <w:t>prioritario</w:t>
      </w:r>
      <w:r>
        <w:rPr>
          <w:color w:val="231F20"/>
          <w:spacing w:val="-8"/>
          <w:w w:val="105"/>
        </w:rPr>
        <w:t> </w:t>
      </w:r>
      <w:r>
        <w:rPr>
          <w:color w:val="231F20"/>
          <w:w w:val="105"/>
        </w:rPr>
        <w:t>para</w:t>
      </w:r>
      <w:r>
        <w:rPr>
          <w:color w:val="231F20"/>
          <w:spacing w:val="-8"/>
          <w:w w:val="105"/>
        </w:rPr>
        <w:t> </w:t>
      </w:r>
      <w:r>
        <w:rPr>
          <w:color w:val="231F20"/>
          <w:w w:val="105"/>
        </w:rPr>
        <w:t>brindar</w:t>
      </w:r>
      <w:r>
        <w:rPr>
          <w:color w:val="231F20"/>
          <w:spacing w:val="-8"/>
          <w:w w:val="105"/>
        </w:rPr>
        <w:t> </w:t>
      </w:r>
      <w:r>
        <w:rPr>
          <w:color w:val="231F20"/>
          <w:w w:val="105"/>
        </w:rPr>
        <w:t>seguridad</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ciudadanía.</w:t>
      </w:r>
    </w:p>
    <w:p>
      <w:pPr>
        <w:pStyle w:val="BodyText"/>
        <w:spacing w:before="1"/>
        <w:rPr>
          <w:sz w:val="26"/>
        </w:rPr>
      </w:pPr>
    </w:p>
    <w:p>
      <w:pPr>
        <w:pStyle w:val="Heading5"/>
        <w:ind w:left="272" w:right="57"/>
      </w:pPr>
      <w:r>
        <w:rPr>
          <w:color w:val="231F20"/>
          <w:w w:val="105"/>
        </w:rPr>
        <w:t>Cuadro 10 Clasificación Programática de la Demanda. Pilar Seguridad Pública</w:t>
      </w:r>
    </w:p>
    <w:p>
      <w:pPr>
        <w:spacing w:before="100"/>
        <w:ind w:left="5036" w:right="57" w:firstLine="0"/>
        <w:jc w:val="left"/>
        <w:rPr>
          <w:rFonts w:ascii="Calibri"/>
          <w:sz w:val="16"/>
        </w:rPr>
      </w:pPr>
      <w:r>
        <w:rPr>
          <w:rFonts w:ascii="Calibri"/>
          <w:color w:val="231F20"/>
          <w:w w:val="95"/>
          <w:sz w:val="16"/>
        </w:rPr>
        <w:t>FUENTE: Plan de Desarrollo Municipal (2007:84)</w:t>
      </w:r>
    </w:p>
    <w:p>
      <w:pPr>
        <w:pStyle w:val="BodyText"/>
        <w:rPr>
          <w:rFonts w:ascii="Calibri"/>
          <w:sz w:val="20"/>
        </w:rPr>
      </w:pPr>
    </w:p>
    <w:p>
      <w:pPr>
        <w:pStyle w:val="BodyText"/>
        <w:spacing w:before="5"/>
        <w:rPr>
          <w:rFonts w:ascii="Calibri"/>
          <w:sz w:val="17"/>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72"/>
        <w:gridCol w:w="1042"/>
        <w:gridCol w:w="709"/>
        <w:gridCol w:w="3807"/>
      </w:tblGrid>
      <w:tr>
        <w:trPr>
          <w:trHeight w:val="151" w:hRule="exact"/>
        </w:trPr>
        <w:tc>
          <w:tcPr>
            <w:tcW w:w="2372" w:type="dxa"/>
            <w:tcBorders>
              <w:left w:val="single" w:sz="6" w:space="0" w:color="FFFFFF"/>
              <w:bottom w:val="single" w:sz="6" w:space="0" w:color="FFFFFF"/>
            </w:tcBorders>
            <w:shd w:val="clear" w:color="auto" w:fill="C0C0BF"/>
          </w:tcPr>
          <w:p>
            <w:pPr>
              <w:pStyle w:val="TableParagraph"/>
              <w:spacing w:line="179" w:lineRule="exact"/>
              <w:ind w:left="427" w:right="427"/>
              <w:jc w:val="center"/>
              <w:rPr>
                <w:b/>
                <w:sz w:val="16"/>
              </w:rPr>
            </w:pPr>
            <w:r>
              <w:rPr>
                <w:b/>
                <w:color w:val="231F20"/>
                <w:w w:val="95"/>
                <w:sz w:val="16"/>
              </w:rPr>
              <w:t>Programas</w:t>
            </w:r>
          </w:p>
        </w:tc>
        <w:tc>
          <w:tcPr>
            <w:tcW w:w="1042" w:type="dxa"/>
            <w:tcBorders>
              <w:bottom w:val="single" w:sz="6" w:space="0" w:color="FFFFFF"/>
            </w:tcBorders>
            <w:shd w:val="clear" w:color="auto" w:fill="C0C0BF"/>
          </w:tcPr>
          <w:p>
            <w:pPr>
              <w:pStyle w:val="TableParagraph"/>
              <w:spacing w:line="163" w:lineRule="exact"/>
              <w:ind w:left="214" w:right="213"/>
              <w:jc w:val="center"/>
              <w:rPr>
                <w:b/>
                <w:sz w:val="16"/>
              </w:rPr>
            </w:pPr>
            <w:r>
              <w:rPr>
                <w:b/>
                <w:color w:val="231F20"/>
                <w:w w:val="95"/>
                <w:sz w:val="16"/>
              </w:rPr>
              <w:t>Cantidad</w:t>
            </w:r>
          </w:p>
        </w:tc>
        <w:tc>
          <w:tcPr>
            <w:tcW w:w="709" w:type="dxa"/>
            <w:tcBorders>
              <w:bottom w:val="single" w:sz="6" w:space="0" w:color="FFFFFF"/>
            </w:tcBorders>
            <w:shd w:val="clear" w:color="auto" w:fill="C0C0BF"/>
          </w:tcPr>
          <w:p>
            <w:pPr>
              <w:pStyle w:val="TableParagraph"/>
              <w:spacing w:line="163" w:lineRule="exact"/>
              <w:ind w:left="0" w:right="267"/>
              <w:jc w:val="right"/>
              <w:rPr>
                <w:b/>
                <w:sz w:val="16"/>
              </w:rPr>
            </w:pPr>
            <w:r>
              <w:rPr>
                <w:b/>
                <w:color w:val="231F20"/>
                <w:w w:val="80"/>
                <w:sz w:val="16"/>
              </w:rPr>
              <w:t>%*</w:t>
            </w:r>
          </w:p>
        </w:tc>
        <w:tc>
          <w:tcPr>
            <w:tcW w:w="3807" w:type="dxa"/>
            <w:tcBorders>
              <w:bottom w:val="single" w:sz="6" w:space="0" w:color="FFFFFF"/>
              <w:right w:val="single" w:sz="6" w:space="0" w:color="FFFFFF"/>
            </w:tcBorders>
            <w:shd w:val="clear" w:color="auto" w:fill="C0C0BF"/>
          </w:tcPr>
          <w:p>
            <w:pPr>
              <w:pStyle w:val="TableParagraph"/>
              <w:spacing w:line="163" w:lineRule="exact"/>
              <w:ind w:left="1068" w:right="1066"/>
              <w:jc w:val="center"/>
              <w:rPr>
                <w:b/>
                <w:sz w:val="16"/>
              </w:rPr>
            </w:pPr>
            <w:r>
              <w:rPr>
                <w:b/>
                <w:color w:val="231F20"/>
                <w:w w:val="85"/>
                <w:sz w:val="16"/>
              </w:rPr>
              <w:t>Demanda de mayor solicitud</w:t>
            </w:r>
          </w:p>
        </w:tc>
      </w:tr>
      <w:tr>
        <w:trPr>
          <w:trHeight w:val="182" w:hRule="exact"/>
        </w:trPr>
        <w:tc>
          <w:tcPr>
            <w:tcW w:w="2372" w:type="dxa"/>
            <w:tcBorders>
              <w:top w:val="single" w:sz="6" w:space="0" w:color="FFFFFF"/>
              <w:left w:val="double" w:sz="2" w:space="0" w:color="231F20"/>
            </w:tcBorders>
          </w:tcPr>
          <w:p>
            <w:pPr>
              <w:pStyle w:val="TableParagraph"/>
              <w:spacing w:line="192" w:lineRule="exact" w:before="17"/>
              <w:ind w:left="427" w:right="427"/>
              <w:jc w:val="center"/>
              <w:rPr>
                <w:sz w:val="16"/>
              </w:rPr>
            </w:pPr>
            <w:r>
              <w:rPr>
                <w:color w:val="231F20"/>
                <w:w w:val="80"/>
                <w:sz w:val="16"/>
              </w:rPr>
              <w:t>Seguridad Pública y Transito</w:t>
            </w:r>
          </w:p>
        </w:tc>
        <w:tc>
          <w:tcPr>
            <w:tcW w:w="1042" w:type="dxa"/>
            <w:tcBorders>
              <w:top w:val="single" w:sz="6" w:space="0" w:color="FFFFFF"/>
            </w:tcBorders>
          </w:tcPr>
          <w:p>
            <w:pPr>
              <w:pStyle w:val="TableParagraph"/>
              <w:spacing w:line="163" w:lineRule="exact"/>
              <w:ind w:left="0"/>
              <w:jc w:val="center"/>
              <w:rPr>
                <w:sz w:val="16"/>
              </w:rPr>
            </w:pPr>
            <w:r>
              <w:rPr>
                <w:color w:val="231F20"/>
                <w:w w:val="75"/>
                <w:sz w:val="16"/>
              </w:rPr>
              <w:t>3</w:t>
            </w:r>
          </w:p>
        </w:tc>
        <w:tc>
          <w:tcPr>
            <w:tcW w:w="709" w:type="dxa"/>
            <w:tcBorders>
              <w:top w:val="single" w:sz="6" w:space="0" w:color="FFFFFF"/>
            </w:tcBorders>
          </w:tcPr>
          <w:p>
            <w:pPr>
              <w:pStyle w:val="TableParagraph"/>
              <w:spacing w:line="163" w:lineRule="exact"/>
              <w:ind w:left="0" w:right="269"/>
              <w:jc w:val="right"/>
              <w:rPr>
                <w:sz w:val="16"/>
              </w:rPr>
            </w:pPr>
            <w:r>
              <w:rPr>
                <w:color w:val="231F20"/>
                <w:w w:val="75"/>
                <w:sz w:val="16"/>
              </w:rPr>
              <w:t>0.3</w:t>
            </w:r>
          </w:p>
        </w:tc>
        <w:tc>
          <w:tcPr>
            <w:tcW w:w="3807" w:type="dxa"/>
            <w:tcBorders>
              <w:top w:val="single" w:sz="6" w:space="0" w:color="FFFFFF"/>
              <w:right w:val="double" w:sz="2" w:space="0" w:color="231F20"/>
            </w:tcBorders>
          </w:tcPr>
          <w:p>
            <w:pPr>
              <w:pStyle w:val="TableParagraph"/>
              <w:spacing w:line="163" w:lineRule="exact"/>
              <w:ind w:left="1144" w:right="1143"/>
              <w:jc w:val="center"/>
              <w:rPr>
                <w:sz w:val="16"/>
              </w:rPr>
            </w:pPr>
            <w:r>
              <w:rPr>
                <w:color w:val="231F20"/>
                <w:w w:val="90"/>
                <w:sz w:val="16"/>
              </w:rPr>
              <w:t>Vigilancia</w:t>
            </w:r>
          </w:p>
        </w:tc>
      </w:tr>
      <w:tr>
        <w:trPr>
          <w:trHeight w:val="195" w:hRule="exact"/>
        </w:trPr>
        <w:tc>
          <w:tcPr>
            <w:tcW w:w="2372" w:type="dxa"/>
            <w:tcBorders>
              <w:left w:val="double" w:sz="2" w:space="0" w:color="231F20"/>
            </w:tcBorders>
          </w:tcPr>
          <w:p>
            <w:pPr>
              <w:pStyle w:val="TableParagraph"/>
              <w:spacing w:line="192" w:lineRule="exact" w:before="32"/>
              <w:ind w:left="427" w:right="427"/>
              <w:jc w:val="center"/>
              <w:rPr>
                <w:sz w:val="16"/>
              </w:rPr>
            </w:pPr>
            <w:r>
              <w:rPr>
                <w:color w:val="231F20"/>
                <w:w w:val="75"/>
                <w:sz w:val="16"/>
              </w:rPr>
              <w:t>Protección Civil</w:t>
            </w:r>
          </w:p>
        </w:tc>
        <w:tc>
          <w:tcPr>
            <w:tcW w:w="1042" w:type="dxa"/>
          </w:tcPr>
          <w:p>
            <w:pPr>
              <w:pStyle w:val="TableParagraph"/>
              <w:spacing w:line="163" w:lineRule="exact"/>
              <w:ind w:left="0"/>
              <w:jc w:val="center"/>
              <w:rPr>
                <w:sz w:val="16"/>
              </w:rPr>
            </w:pPr>
            <w:r>
              <w:rPr>
                <w:color w:val="231F20"/>
                <w:w w:val="75"/>
                <w:sz w:val="16"/>
              </w:rPr>
              <w:t>1</w:t>
            </w:r>
          </w:p>
        </w:tc>
        <w:tc>
          <w:tcPr>
            <w:tcW w:w="709" w:type="dxa"/>
          </w:tcPr>
          <w:p>
            <w:pPr>
              <w:pStyle w:val="TableParagraph"/>
              <w:spacing w:line="163" w:lineRule="exact"/>
              <w:ind w:left="0" w:right="282"/>
              <w:jc w:val="right"/>
              <w:rPr>
                <w:sz w:val="16"/>
              </w:rPr>
            </w:pPr>
            <w:r>
              <w:rPr>
                <w:color w:val="231F20"/>
                <w:w w:val="75"/>
                <w:sz w:val="16"/>
              </w:rPr>
              <w:t>0.1</w:t>
            </w:r>
          </w:p>
        </w:tc>
        <w:tc>
          <w:tcPr>
            <w:tcW w:w="3807" w:type="dxa"/>
            <w:tcBorders>
              <w:right w:val="double" w:sz="2" w:space="0" w:color="231F20"/>
            </w:tcBorders>
          </w:tcPr>
          <w:p>
            <w:pPr/>
          </w:p>
        </w:tc>
      </w:tr>
      <w:tr>
        <w:trPr>
          <w:trHeight w:val="175" w:hRule="exact"/>
        </w:trPr>
        <w:tc>
          <w:tcPr>
            <w:tcW w:w="2372" w:type="dxa"/>
            <w:tcBorders>
              <w:left w:val="double" w:sz="2" w:space="0" w:color="231F20"/>
              <w:bottom w:val="double" w:sz="2" w:space="0" w:color="231F20"/>
            </w:tcBorders>
          </w:tcPr>
          <w:p>
            <w:pPr>
              <w:pStyle w:val="TableParagraph"/>
              <w:spacing w:line="192" w:lineRule="exact" w:before="10"/>
              <w:ind w:left="427" w:right="427"/>
              <w:jc w:val="center"/>
              <w:rPr>
                <w:sz w:val="16"/>
              </w:rPr>
            </w:pPr>
            <w:r>
              <w:rPr>
                <w:color w:val="231F20"/>
                <w:w w:val="85"/>
                <w:sz w:val="16"/>
              </w:rPr>
              <w:t>Total</w:t>
            </w:r>
          </w:p>
        </w:tc>
        <w:tc>
          <w:tcPr>
            <w:tcW w:w="1042" w:type="dxa"/>
            <w:tcBorders>
              <w:bottom w:val="double" w:sz="2" w:space="0" w:color="231F20"/>
            </w:tcBorders>
          </w:tcPr>
          <w:p>
            <w:pPr>
              <w:pStyle w:val="TableParagraph"/>
              <w:spacing w:line="163" w:lineRule="exact"/>
              <w:ind w:left="0"/>
              <w:jc w:val="center"/>
              <w:rPr>
                <w:sz w:val="16"/>
              </w:rPr>
            </w:pPr>
            <w:r>
              <w:rPr>
                <w:color w:val="231F20"/>
                <w:w w:val="75"/>
                <w:sz w:val="16"/>
              </w:rPr>
              <w:t>4</w:t>
            </w:r>
          </w:p>
        </w:tc>
        <w:tc>
          <w:tcPr>
            <w:tcW w:w="709" w:type="dxa"/>
            <w:tcBorders>
              <w:bottom w:val="double" w:sz="2" w:space="0" w:color="231F20"/>
            </w:tcBorders>
          </w:tcPr>
          <w:p>
            <w:pPr>
              <w:pStyle w:val="TableParagraph"/>
              <w:spacing w:line="163" w:lineRule="exact"/>
              <w:ind w:left="0" w:right="271"/>
              <w:jc w:val="right"/>
              <w:rPr>
                <w:sz w:val="16"/>
              </w:rPr>
            </w:pPr>
            <w:r>
              <w:rPr>
                <w:color w:val="231F20"/>
                <w:w w:val="75"/>
                <w:sz w:val="16"/>
              </w:rPr>
              <w:t>0.4</w:t>
            </w:r>
          </w:p>
        </w:tc>
        <w:tc>
          <w:tcPr>
            <w:tcW w:w="3807" w:type="dxa"/>
            <w:tcBorders>
              <w:bottom w:val="double" w:sz="2" w:space="0" w:color="231F20"/>
              <w:right w:val="double" w:sz="2" w:space="0" w:color="231F20"/>
            </w:tcBorders>
          </w:tcPr>
          <w:p>
            <w:pPr>
              <w:pStyle w:val="TableParagraph"/>
              <w:spacing w:line="163" w:lineRule="exact"/>
              <w:ind w:left="1145" w:right="1143"/>
              <w:jc w:val="center"/>
              <w:rPr>
                <w:sz w:val="16"/>
              </w:rPr>
            </w:pPr>
            <w:r>
              <w:rPr>
                <w:color w:val="231F20"/>
                <w:w w:val="80"/>
                <w:sz w:val="16"/>
              </w:rPr>
              <w:t>Seguridad Pública y Transito</w:t>
            </w:r>
          </w:p>
        </w:tc>
      </w:tr>
    </w:tbl>
    <w:p>
      <w:pPr>
        <w:pStyle w:val="BodyText"/>
        <w:spacing w:before="2"/>
        <w:rPr>
          <w:rFonts w:ascii="Calibri"/>
          <w:sz w:val="28"/>
        </w:rPr>
      </w:pPr>
    </w:p>
    <w:p>
      <w:pPr>
        <w:pStyle w:val="BodyText"/>
        <w:spacing w:line="285" w:lineRule="auto" w:before="36"/>
        <w:ind w:left="110" w:right="127"/>
        <w:jc w:val="both"/>
      </w:pPr>
      <w:r>
        <w:rPr>
          <w:color w:val="231F20"/>
          <w:w w:val="105"/>
        </w:rPr>
        <w:t>Para</w:t>
      </w:r>
      <w:r>
        <w:rPr>
          <w:color w:val="231F20"/>
          <w:spacing w:val="-17"/>
          <w:w w:val="105"/>
        </w:rPr>
        <w:t> </w:t>
      </w:r>
      <w:r>
        <w:rPr>
          <w:color w:val="231F20"/>
          <w:w w:val="105"/>
        </w:rPr>
        <w:t>cubrir</w:t>
      </w:r>
      <w:r>
        <w:rPr>
          <w:color w:val="231F20"/>
          <w:spacing w:val="-17"/>
          <w:w w:val="105"/>
        </w:rPr>
        <w:t> </w:t>
      </w:r>
      <w:r>
        <w:rPr>
          <w:color w:val="231F20"/>
          <w:w w:val="105"/>
        </w:rPr>
        <w:t>este</w:t>
      </w:r>
      <w:r>
        <w:rPr>
          <w:color w:val="231F20"/>
          <w:spacing w:val="-17"/>
          <w:w w:val="105"/>
        </w:rPr>
        <w:t> </w:t>
      </w:r>
      <w:r>
        <w:rPr>
          <w:color w:val="231F20"/>
          <w:w w:val="105"/>
        </w:rPr>
        <w:t>pilar</w:t>
      </w:r>
      <w:r>
        <w:rPr>
          <w:color w:val="231F20"/>
          <w:spacing w:val="-17"/>
          <w:w w:val="105"/>
        </w:rPr>
        <w:t> </w:t>
      </w:r>
      <w:r>
        <w:rPr>
          <w:color w:val="231F20"/>
          <w:w w:val="105"/>
        </w:rPr>
        <w:t>se</w:t>
      </w:r>
      <w:r>
        <w:rPr>
          <w:color w:val="231F20"/>
          <w:spacing w:val="-17"/>
          <w:w w:val="105"/>
        </w:rPr>
        <w:t> </w:t>
      </w:r>
      <w:r>
        <w:rPr>
          <w:color w:val="231F20"/>
          <w:spacing w:val="-4"/>
          <w:w w:val="105"/>
        </w:rPr>
        <w:t>contemplan</w:t>
      </w:r>
      <w:r>
        <w:rPr>
          <w:color w:val="231F20"/>
          <w:spacing w:val="-17"/>
          <w:w w:val="105"/>
        </w:rPr>
        <w:t> </w:t>
      </w:r>
      <w:r>
        <w:rPr>
          <w:color w:val="231F20"/>
          <w:spacing w:val="-4"/>
          <w:w w:val="105"/>
        </w:rPr>
        <w:t>acciones</w:t>
      </w:r>
      <w:r>
        <w:rPr>
          <w:color w:val="231F20"/>
          <w:spacing w:val="-17"/>
          <w:w w:val="105"/>
        </w:rPr>
        <w:t> </w:t>
      </w:r>
      <w:r>
        <w:rPr>
          <w:color w:val="231F20"/>
          <w:spacing w:val="-4"/>
          <w:w w:val="105"/>
        </w:rPr>
        <w:t>como</w:t>
      </w:r>
      <w:r>
        <w:rPr>
          <w:color w:val="231F20"/>
          <w:spacing w:val="-17"/>
          <w:w w:val="105"/>
        </w:rPr>
        <w:t> </w:t>
      </w:r>
      <w:r>
        <w:rPr>
          <w:color w:val="231F20"/>
          <w:w w:val="105"/>
        </w:rPr>
        <w:t>proyectar</w:t>
      </w:r>
      <w:r>
        <w:rPr>
          <w:color w:val="231F20"/>
          <w:spacing w:val="-17"/>
          <w:w w:val="105"/>
        </w:rPr>
        <w:t> </w:t>
      </w:r>
      <w:r>
        <w:rPr>
          <w:color w:val="231F20"/>
          <w:w w:val="105"/>
        </w:rPr>
        <w:t>un</w:t>
      </w:r>
      <w:r>
        <w:rPr>
          <w:color w:val="231F20"/>
          <w:spacing w:val="-17"/>
          <w:w w:val="105"/>
        </w:rPr>
        <w:t> </w:t>
      </w:r>
      <w:r>
        <w:rPr>
          <w:color w:val="231F20"/>
          <w:w w:val="105"/>
        </w:rPr>
        <w:t>cuartel</w:t>
      </w:r>
      <w:r>
        <w:rPr>
          <w:color w:val="231F20"/>
          <w:spacing w:val="-17"/>
          <w:w w:val="105"/>
        </w:rPr>
        <w:t> </w:t>
      </w:r>
      <w:r>
        <w:rPr>
          <w:color w:val="231F20"/>
          <w:w w:val="105"/>
        </w:rPr>
        <w:t>de</w:t>
      </w:r>
      <w:r>
        <w:rPr>
          <w:color w:val="231F20"/>
          <w:spacing w:val="-17"/>
          <w:w w:val="105"/>
        </w:rPr>
        <w:t> </w:t>
      </w:r>
      <w:r>
        <w:rPr>
          <w:color w:val="231F20"/>
          <w:w w:val="105"/>
        </w:rPr>
        <w:t>seguridad</w:t>
      </w:r>
      <w:r>
        <w:rPr>
          <w:color w:val="231F20"/>
          <w:spacing w:val="-17"/>
          <w:w w:val="105"/>
        </w:rPr>
        <w:t> </w:t>
      </w:r>
      <w:r>
        <w:rPr>
          <w:color w:val="231F20"/>
          <w:spacing w:val="-4"/>
          <w:w w:val="105"/>
        </w:rPr>
        <w:t>pú- </w:t>
      </w:r>
      <w:r>
        <w:rPr>
          <w:color w:val="231F20"/>
          <w:w w:val="105"/>
        </w:rPr>
        <w:t>blica</w:t>
      </w:r>
      <w:r>
        <w:rPr>
          <w:color w:val="231F20"/>
          <w:spacing w:val="-29"/>
          <w:w w:val="105"/>
        </w:rPr>
        <w:t> </w:t>
      </w:r>
      <w:r>
        <w:rPr>
          <w:color w:val="231F20"/>
          <w:spacing w:val="-3"/>
          <w:w w:val="105"/>
        </w:rPr>
        <w:t>con</w:t>
      </w:r>
      <w:r>
        <w:rPr>
          <w:color w:val="231F20"/>
          <w:spacing w:val="-29"/>
          <w:w w:val="105"/>
        </w:rPr>
        <w:t> </w:t>
      </w:r>
      <w:r>
        <w:rPr>
          <w:color w:val="231F20"/>
          <w:w w:val="105"/>
        </w:rPr>
        <w:t>instalaciones</w:t>
      </w:r>
      <w:r>
        <w:rPr>
          <w:color w:val="231F20"/>
          <w:spacing w:val="-29"/>
          <w:w w:val="105"/>
        </w:rPr>
        <w:t> </w:t>
      </w:r>
      <w:r>
        <w:rPr>
          <w:color w:val="231F20"/>
          <w:w w:val="105"/>
        </w:rPr>
        <w:t>dignas</w:t>
      </w:r>
      <w:r>
        <w:rPr>
          <w:color w:val="231F20"/>
          <w:spacing w:val="-29"/>
          <w:w w:val="105"/>
        </w:rPr>
        <w:t> </w:t>
      </w:r>
      <w:r>
        <w:rPr>
          <w:color w:val="231F20"/>
          <w:w w:val="105"/>
        </w:rPr>
        <w:t>y</w:t>
      </w:r>
      <w:r>
        <w:rPr>
          <w:color w:val="231F20"/>
          <w:spacing w:val="-29"/>
          <w:w w:val="105"/>
        </w:rPr>
        <w:t> </w:t>
      </w:r>
      <w:r>
        <w:rPr>
          <w:color w:val="231F20"/>
          <w:w w:val="105"/>
        </w:rPr>
        <w:t>funcionales</w:t>
      </w:r>
      <w:r>
        <w:rPr>
          <w:color w:val="231F20"/>
          <w:spacing w:val="-29"/>
          <w:w w:val="105"/>
        </w:rPr>
        <w:t> </w:t>
      </w:r>
      <w:r>
        <w:rPr>
          <w:color w:val="231F20"/>
          <w:w w:val="105"/>
        </w:rPr>
        <w:t>para</w:t>
      </w:r>
      <w:r>
        <w:rPr>
          <w:color w:val="231F20"/>
          <w:spacing w:val="-29"/>
          <w:w w:val="105"/>
        </w:rPr>
        <w:t> </w:t>
      </w:r>
      <w:r>
        <w:rPr>
          <w:color w:val="231F20"/>
          <w:spacing w:val="-3"/>
          <w:w w:val="105"/>
        </w:rPr>
        <w:t>mandos</w:t>
      </w:r>
      <w:r>
        <w:rPr>
          <w:color w:val="231F20"/>
          <w:spacing w:val="-29"/>
          <w:w w:val="105"/>
        </w:rPr>
        <w:t> </w:t>
      </w:r>
      <w:r>
        <w:rPr>
          <w:color w:val="231F20"/>
          <w:w w:val="105"/>
        </w:rPr>
        <w:t>y</w:t>
      </w:r>
      <w:r>
        <w:rPr>
          <w:color w:val="231F20"/>
          <w:spacing w:val="-29"/>
          <w:w w:val="105"/>
        </w:rPr>
        <w:t> </w:t>
      </w:r>
      <w:r>
        <w:rPr>
          <w:color w:val="231F20"/>
          <w:spacing w:val="-4"/>
          <w:w w:val="105"/>
        </w:rPr>
        <w:t>control</w:t>
      </w:r>
      <w:r>
        <w:rPr>
          <w:color w:val="231F20"/>
          <w:spacing w:val="-29"/>
          <w:w w:val="105"/>
        </w:rPr>
        <w:t> </w:t>
      </w:r>
      <w:r>
        <w:rPr>
          <w:color w:val="231F20"/>
          <w:w w:val="105"/>
        </w:rPr>
        <w:t>de</w:t>
      </w:r>
      <w:r>
        <w:rPr>
          <w:color w:val="231F20"/>
          <w:spacing w:val="-29"/>
          <w:w w:val="105"/>
        </w:rPr>
        <w:t> </w:t>
      </w:r>
      <w:r>
        <w:rPr>
          <w:color w:val="231F20"/>
          <w:w w:val="105"/>
        </w:rPr>
        <w:t>seguridad,</w:t>
      </w:r>
      <w:r>
        <w:rPr>
          <w:color w:val="231F20"/>
          <w:spacing w:val="-29"/>
          <w:w w:val="105"/>
        </w:rPr>
        <w:t> </w:t>
      </w:r>
      <w:r>
        <w:rPr>
          <w:color w:val="231F20"/>
          <w:w w:val="105"/>
        </w:rPr>
        <w:t>albergue de</w:t>
      </w:r>
      <w:r>
        <w:rPr>
          <w:color w:val="231F20"/>
          <w:spacing w:val="-27"/>
          <w:w w:val="105"/>
        </w:rPr>
        <w:t> </w:t>
      </w:r>
      <w:r>
        <w:rPr>
          <w:color w:val="231F20"/>
          <w:w w:val="105"/>
        </w:rPr>
        <w:t>turnos</w:t>
      </w:r>
      <w:r>
        <w:rPr>
          <w:color w:val="231F20"/>
          <w:spacing w:val="-27"/>
          <w:w w:val="105"/>
        </w:rPr>
        <w:t> </w:t>
      </w:r>
      <w:r>
        <w:rPr>
          <w:color w:val="231F20"/>
          <w:w w:val="105"/>
        </w:rPr>
        <w:t>y</w:t>
      </w:r>
      <w:r>
        <w:rPr>
          <w:color w:val="231F20"/>
          <w:spacing w:val="-27"/>
          <w:w w:val="105"/>
        </w:rPr>
        <w:t> </w:t>
      </w:r>
      <w:r>
        <w:rPr>
          <w:color w:val="231F20"/>
          <w:w w:val="105"/>
        </w:rPr>
        <w:t>guardias</w:t>
      </w:r>
      <w:r>
        <w:rPr>
          <w:color w:val="231F20"/>
          <w:spacing w:val="-27"/>
          <w:w w:val="105"/>
        </w:rPr>
        <w:t> </w:t>
      </w:r>
      <w:r>
        <w:rPr>
          <w:color w:val="231F20"/>
          <w:spacing w:val="-3"/>
          <w:w w:val="105"/>
        </w:rPr>
        <w:t>policíacas,</w:t>
      </w:r>
      <w:r>
        <w:rPr>
          <w:color w:val="231F20"/>
          <w:spacing w:val="-27"/>
          <w:w w:val="105"/>
        </w:rPr>
        <w:t> </w:t>
      </w:r>
      <w:r>
        <w:rPr>
          <w:color w:val="231F20"/>
          <w:spacing w:val="-3"/>
          <w:w w:val="105"/>
        </w:rPr>
        <w:t>celdas</w:t>
      </w:r>
      <w:r>
        <w:rPr>
          <w:color w:val="231F20"/>
          <w:spacing w:val="-27"/>
          <w:w w:val="105"/>
        </w:rPr>
        <w:t> </w:t>
      </w:r>
      <w:r>
        <w:rPr>
          <w:color w:val="231F20"/>
          <w:spacing w:val="-3"/>
          <w:w w:val="105"/>
        </w:rPr>
        <w:t>suficientes</w:t>
      </w:r>
      <w:r>
        <w:rPr>
          <w:color w:val="231F20"/>
          <w:spacing w:val="-27"/>
          <w:w w:val="105"/>
        </w:rPr>
        <w:t> </w:t>
      </w:r>
      <w:r>
        <w:rPr>
          <w:color w:val="231F20"/>
          <w:w w:val="105"/>
        </w:rPr>
        <w:t>y</w:t>
      </w:r>
      <w:r>
        <w:rPr>
          <w:color w:val="231F20"/>
          <w:spacing w:val="-27"/>
          <w:w w:val="105"/>
        </w:rPr>
        <w:t> </w:t>
      </w:r>
      <w:r>
        <w:rPr>
          <w:color w:val="231F20"/>
          <w:spacing w:val="-3"/>
          <w:w w:val="105"/>
        </w:rPr>
        <w:t>adecuadas</w:t>
      </w:r>
      <w:r>
        <w:rPr>
          <w:color w:val="231F20"/>
          <w:spacing w:val="-27"/>
          <w:w w:val="105"/>
        </w:rPr>
        <w:t> </w:t>
      </w:r>
      <w:r>
        <w:rPr>
          <w:color w:val="231F20"/>
          <w:spacing w:val="-3"/>
          <w:w w:val="105"/>
        </w:rPr>
        <w:t>por</w:t>
      </w:r>
      <w:r>
        <w:rPr>
          <w:color w:val="231F20"/>
          <w:spacing w:val="-27"/>
          <w:w w:val="105"/>
        </w:rPr>
        <w:t> </w:t>
      </w:r>
      <w:r>
        <w:rPr>
          <w:color w:val="231F20"/>
          <w:spacing w:val="-3"/>
          <w:w w:val="105"/>
        </w:rPr>
        <w:t>sexo</w:t>
      </w:r>
      <w:r>
        <w:rPr>
          <w:color w:val="231F20"/>
          <w:spacing w:val="-27"/>
          <w:w w:val="105"/>
        </w:rPr>
        <w:t> </w:t>
      </w:r>
      <w:r>
        <w:rPr>
          <w:color w:val="231F20"/>
          <w:w w:val="105"/>
        </w:rPr>
        <w:t>y</w:t>
      </w:r>
      <w:r>
        <w:rPr>
          <w:color w:val="231F20"/>
          <w:spacing w:val="-27"/>
          <w:w w:val="105"/>
        </w:rPr>
        <w:t> </w:t>
      </w:r>
      <w:r>
        <w:rPr>
          <w:color w:val="231F20"/>
          <w:spacing w:val="-3"/>
          <w:w w:val="105"/>
        </w:rPr>
        <w:t>edad;</w:t>
      </w:r>
      <w:r>
        <w:rPr>
          <w:color w:val="231F20"/>
          <w:spacing w:val="-27"/>
          <w:w w:val="105"/>
        </w:rPr>
        <w:t> </w:t>
      </w:r>
      <w:r>
        <w:rPr>
          <w:color w:val="231F20"/>
          <w:spacing w:val="-3"/>
          <w:w w:val="105"/>
        </w:rPr>
        <w:t>ampliación del parque </w:t>
      </w:r>
      <w:r>
        <w:rPr>
          <w:color w:val="231F20"/>
          <w:w w:val="105"/>
        </w:rPr>
        <w:t>vehicular; </w:t>
      </w:r>
      <w:r>
        <w:rPr>
          <w:color w:val="231F20"/>
          <w:spacing w:val="-3"/>
          <w:w w:val="105"/>
        </w:rPr>
        <w:t>equipamiento </w:t>
      </w:r>
      <w:r>
        <w:rPr>
          <w:color w:val="231F20"/>
          <w:w w:val="105"/>
        </w:rPr>
        <w:t>de </w:t>
      </w:r>
      <w:r>
        <w:rPr>
          <w:color w:val="231F20"/>
          <w:spacing w:val="-3"/>
          <w:w w:val="105"/>
        </w:rPr>
        <w:t>seguridad; </w:t>
      </w:r>
      <w:r>
        <w:rPr>
          <w:color w:val="231F20"/>
          <w:spacing w:val="-4"/>
          <w:w w:val="105"/>
        </w:rPr>
        <w:t>incremento </w:t>
      </w:r>
      <w:r>
        <w:rPr>
          <w:color w:val="231F20"/>
          <w:w w:val="105"/>
        </w:rPr>
        <w:t>de </w:t>
      </w:r>
      <w:r>
        <w:rPr>
          <w:color w:val="231F20"/>
          <w:spacing w:val="-3"/>
          <w:w w:val="105"/>
        </w:rPr>
        <w:t>efectivos; coordinación con</w:t>
      </w:r>
      <w:r>
        <w:rPr>
          <w:color w:val="231F20"/>
          <w:spacing w:val="-27"/>
          <w:w w:val="105"/>
        </w:rPr>
        <w:t> </w:t>
      </w:r>
      <w:r>
        <w:rPr>
          <w:color w:val="231F20"/>
          <w:w w:val="105"/>
        </w:rPr>
        <w:t>la</w:t>
      </w:r>
      <w:r>
        <w:rPr>
          <w:color w:val="231F20"/>
          <w:spacing w:val="-27"/>
          <w:w w:val="105"/>
        </w:rPr>
        <w:t> </w:t>
      </w:r>
      <w:r>
        <w:rPr>
          <w:color w:val="231F20"/>
          <w:spacing w:val="-3"/>
          <w:w w:val="105"/>
        </w:rPr>
        <w:t>Agencia</w:t>
      </w:r>
      <w:r>
        <w:rPr>
          <w:color w:val="231F20"/>
          <w:spacing w:val="-27"/>
          <w:w w:val="105"/>
        </w:rPr>
        <w:t> </w:t>
      </w:r>
      <w:r>
        <w:rPr>
          <w:color w:val="231F20"/>
          <w:w w:val="105"/>
        </w:rPr>
        <w:t>de</w:t>
      </w:r>
      <w:r>
        <w:rPr>
          <w:color w:val="231F20"/>
          <w:spacing w:val="-27"/>
          <w:w w:val="105"/>
        </w:rPr>
        <w:t> </w:t>
      </w:r>
      <w:r>
        <w:rPr>
          <w:color w:val="231F20"/>
          <w:w w:val="105"/>
        </w:rPr>
        <w:t>Seguridad</w:t>
      </w:r>
      <w:r>
        <w:rPr>
          <w:color w:val="231F20"/>
          <w:spacing w:val="-27"/>
          <w:w w:val="105"/>
        </w:rPr>
        <w:t> </w:t>
      </w:r>
      <w:r>
        <w:rPr>
          <w:color w:val="231F20"/>
          <w:w w:val="105"/>
        </w:rPr>
        <w:t>Estatal</w:t>
      </w:r>
      <w:r>
        <w:rPr>
          <w:color w:val="231F20"/>
          <w:spacing w:val="-27"/>
          <w:w w:val="105"/>
        </w:rPr>
        <w:t> </w:t>
      </w:r>
      <w:r>
        <w:rPr>
          <w:color w:val="231F20"/>
          <w:w w:val="105"/>
        </w:rPr>
        <w:t>para</w:t>
      </w:r>
      <w:r>
        <w:rPr>
          <w:color w:val="231F20"/>
          <w:spacing w:val="-27"/>
          <w:w w:val="105"/>
        </w:rPr>
        <w:t> </w:t>
      </w:r>
      <w:r>
        <w:rPr>
          <w:color w:val="231F20"/>
          <w:w w:val="105"/>
        </w:rPr>
        <w:t>la</w:t>
      </w:r>
      <w:r>
        <w:rPr>
          <w:color w:val="231F20"/>
          <w:spacing w:val="-27"/>
          <w:w w:val="105"/>
        </w:rPr>
        <w:t> </w:t>
      </w:r>
      <w:r>
        <w:rPr>
          <w:color w:val="231F20"/>
          <w:spacing w:val="-3"/>
          <w:w w:val="105"/>
        </w:rPr>
        <w:t>intensificación</w:t>
      </w:r>
      <w:r>
        <w:rPr>
          <w:color w:val="231F20"/>
          <w:spacing w:val="-27"/>
          <w:w w:val="105"/>
        </w:rPr>
        <w:t> </w:t>
      </w:r>
      <w:r>
        <w:rPr>
          <w:color w:val="231F20"/>
          <w:w w:val="105"/>
        </w:rPr>
        <w:t>de</w:t>
      </w:r>
      <w:r>
        <w:rPr>
          <w:color w:val="231F20"/>
          <w:spacing w:val="-27"/>
          <w:w w:val="105"/>
        </w:rPr>
        <w:t> </w:t>
      </w:r>
      <w:r>
        <w:rPr>
          <w:color w:val="231F20"/>
          <w:spacing w:val="-4"/>
          <w:w w:val="105"/>
        </w:rPr>
        <w:t>capacitación</w:t>
      </w:r>
      <w:r>
        <w:rPr>
          <w:color w:val="231F20"/>
          <w:spacing w:val="-27"/>
          <w:w w:val="105"/>
        </w:rPr>
        <w:t> </w:t>
      </w:r>
      <w:r>
        <w:rPr>
          <w:color w:val="231F20"/>
          <w:w w:val="105"/>
        </w:rPr>
        <w:t>y</w:t>
      </w:r>
      <w:r>
        <w:rPr>
          <w:color w:val="231F20"/>
          <w:spacing w:val="-27"/>
          <w:w w:val="105"/>
        </w:rPr>
        <w:t> </w:t>
      </w:r>
      <w:r>
        <w:rPr>
          <w:color w:val="231F20"/>
          <w:spacing w:val="-3"/>
          <w:w w:val="105"/>
        </w:rPr>
        <w:t>entrenamien- to. Respecto </w:t>
      </w:r>
      <w:r>
        <w:rPr>
          <w:color w:val="231F20"/>
          <w:w w:val="105"/>
        </w:rPr>
        <w:t>a </w:t>
      </w:r>
      <w:r>
        <w:rPr>
          <w:color w:val="231F20"/>
          <w:spacing w:val="-4"/>
          <w:w w:val="105"/>
        </w:rPr>
        <w:t>derechos </w:t>
      </w:r>
      <w:r>
        <w:rPr>
          <w:color w:val="231F20"/>
          <w:w w:val="105"/>
        </w:rPr>
        <w:t>humanos se </w:t>
      </w:r>
      <w:r>
        <w:rPr>
          <w:color w:val="231F20"/>
          <w:spacing w:val="-4"/>
          <w:w w:val="105"/>
        </w:rPr>
        <w:t>pretende </w:t>
      </w:r>
      <w:r>
        <w:rPr>
          <w:color w:val="231F20"/>
          <w:spacing w:val="-3"/>
          <w:w w:val="105"/>
        </w:rPr>
        <w:t>profesionalizar </w:t>
      </w:r>
      <w:r>
        <w:rPr>
          <w:color w:val="231F20"/>
          <w:w w:val="105"/>
        </w:rPr>
        <w:t>el área de </w:t>
      </w:r>
      <w:r>
        <w:rPr>
          <w:color w:val="231F20"/>
          <w:spacing w:val="-4"/>
          <w:w w:val="105"/>
        </w:rPr>
        <w:t>derechos </w:t>
      </w:r>
      <w:r>
        <w:rPr>
          <w:color w:val="231F20"/>
          <w:spacing w:val="-3"/>
          <w:w w:val="105"/>
        </w:rPr>
        <w:t>huma- nos</w:t>
      </w:r>
      <w:r>
        <w:rPr>
          <w:color w:val="231F20"/>
          <w:spacing w:val="-7"/>
          <w:w w:val="105"/>
        </w:rPr>
        <w:t> </w:t>
      </w:r>
      <w:r>
        <w:rPr>
          <w:color w:val="231F20"/>
          <w:w w:val="105"/>
        </w:rPr>
        <w:t>y</w:t>
      </w:r>
      <w:r>
        <w:rPr>
          <w:color w:val="231F20"/>
          <w:spacing w:val="-7"/>
          <w:w w:val="105"/>
        </w:rPr>
        <w:t> </w:t>
      </w:r>
      <w:r>
        <w:rPr>
          <w:color w:val="231F20"/>
          <w:w w:val="105"/>
        </w:rPr>
        <w:t>verificar</w:t>
      </w:r>
      <w:r>
        <w:rPr>
          <w:color w:val="231F20"/>
          <w:spacing w:val="-7"/>
          <w:w w:val="105"/>
        </w:rPr>
        <w:t> </w:t>
      </w:r>
      <w:r>
        <w:rPr>
          <w:color w:val="231F20"/>
          <w:spacing w:val="-3"/>
          <w:w w:val="105"/>
        </w:rPr>
        <w:t>que</w:t>
      </w:r>
      <w:r>
        <w:rPr>
          <w:color w:val="231F20"/>
          <w:spacing w:val="-7"/>
          <w:w w:val="105"/>
        </w:rPr>
        <w:t> </w:t>
      </w:r>
      <w:r>
        <w:rPr>
          <w:color w:val="231F20"/>
          <w:w w:val="105"/>
        </w:rPr>
        <w:t>sus</w:t>
      </w:r>
      <w:r>
        <w:rPr>
          <w:color w:val="231F20"/>
          <w:spacing w:val="-7"/>
          <w:w w:val="105"/>
        </w:rPr>
        <w:t> </w:t>
      </w:r>
      <w:r>
        <w:rPr>
          <w:color w:val="231F20"/>
          <w:spacing w:val="-3"/>
          <w:w w:val="105"/>
        </w:rPr>
        <w:t>actividades</w:t>
      </w:r>
      <w:r>
        <w:rPr>
          <w:color w:val="231F20"/>
          <w:spacing w:val="-7"/>
          <w:w w:val="105"/>
        </w:rPr>
        <w:t> </w:t>
      </w:r>
      <w:r>
        <w:rPr>
          <w:color w:val="231F20"/>
          <w:w w:val="105"/>
        </w:rPr>
        <w:t>se</w:t>
      </w:r>
      <w:r>
        <w:rPr>
          <w:color w:val="231F20"/>
          <w:spacing w:val="-7"/>
          <w:w w:val="105"/>
        </w:rPr>
        <w:t> </w:t>
      </w:r>
      <w:r>
        <w:rPr>
          <w:color w:val="231F20"/>
          <w:spacing w:val="-3"/>
          <w:w w:val="105"/>
        </w:rPr>
        <w:t>lleven</w:t>
      </w:r>
      <w:r>
        <w:rPr>
          <w:color w:val="231F20"/>
          <w:spacing w:val="-7"/>
          <w:w w:val="105"/>
        </w:rPr>
        <w:t> </w:t>
      </w:r>
      <w:r>
        <w:rPr>
          <w:color w:val="231F20"/>
          <w:w w:val="105"/>
        </w:rPr>
        <w:t>a</w:t>
      </w:r>
      <w:r>
        <w:rPr>
          <w:color w:val="231F20"/>
          <w:spacing w:val="-7"/>
          <w:w w:val="105"/>
        </w:rPr>
        <w:t> </w:t>
      </w:r>
      <w:r>
        <w:rPr>
          <w:color w:val="231F20"/>
          <w:w w:val="105"/>
        </w:rPr>
        <w:t>cabo</w:t>
      </w:r>
      <w:r>
        <w:rPr>
          <w:color w:val="231F20"/>
          <w:spacing w:val="-7"/>
          <w:w w:val="105"/>
        </w:rPr>
        <w:t> </w:t>
      </w:r>
      <w:r>
        <w:rPr>
          <w:color w:val="231F20"/>
          <w:w w:val="105"/>
        </w:rPr>
        <w:t>de</w:t>
      </w:r>
      <w:r>
        <w:rPr>
          <w:color w:val="231F20"/>
          <w:spacing w:val="-7"/>
          <w:w w:val="105"/>
        </w:rPr>
        <w:t> </w:t>
      </w:r>
      <w:r>
        <w:rPr>
          <w:color w:val="231F20"/>
          <w:spacing w:val="-4"/>
          <w:w w:val="105"/>
        </w:rPr>
        <w:t>acuerdo</w:t>
      </w:r>
      <w:r>
        <w:rPr>
          <w:color w:val="231F20"/>
          <w:spacing w:val="-7"/>
          <w:w w:val="105"/>
        </w:rPr>
        <w:t> </w:t>
      </w:r>
      <w:r>
        <w:rPr>
          <w:color w:val="231F20"/>
          <w:w w:val="105"/>
        </w:rPr>
        <w:t>a</w:t>
      </w:r>
      <w:r>
        <w:rPr>
          <w:color w:val="231F20"/>
          <w:spacing w:val="-7"/>
          <w:w w:val="105"/>
        </w:rPr>
        <w:t> </w:t>
      </w:r>
      <w:r>
        <w:rPr>
          <w:color w:val="231F20"/>
          <w:w w:val="105"/>
        </w:rPr>
        <w:t>un</w:t>
      </w:r>
      <w:r>
        <w:rPr>
          <w:color w:val="231F20"/>
          <w:spacing w:val="-7"/>
          <w:w w:val="105"/>
        </w:rPr>
        <w:t> </w:t>
      </w:r>
      <w:r>
        <w:rPr>
          <w:color w:val="231F20"/>
          <w:w w:val="105"/>
        </w:rPr>
        <w:t>programa</w:t>
      </w:r>
      <w:r>
        <w:rPr>
          <w:color w:val="231F20"/>
          <w:spacing w:val="-7"/>
          <w:w w:val="105"/>
        </w:rPr>
        <w:t> </w:t>
      </w:r>
      <w:r>
        <w:rPr>
          <w:color w:val="231F20"/>
          <w:w w:val="105"/>
        </w:rPr>
        <w:t>de</w:t>
      </w:r>
      <w:r>
        <w:rPr>
          <w:color w:val="231F20"/>
          <w:spacing w:val="-7"/>
          <w:w w:val="105"/>
        </w:rPr>
        <w:t> </w:t>
      </w:r>
      <w:r>
        <w:rPr>
          <w:color w:val="231F20"/>
          <w:spacing w:val="-3"/>
          <w:w w:val="105"/>
        </w:rPr>
        <w:t>trabajo previamente </w:t>
      </w:r>
      <w:r>
        <w:rPr>
          <w:color w:val="231F20"/>
          <w:spacing w:val="-5"/>
          <w:w w:val="105"/>
        </w:rPr>
        <w:t>aprobado. </w:t>
      </w:r>
      <w:r>
        <w:rPr>
          <w:color w:val="231F20"/>
          <w:w w:val="105"/>
        </w:rPr>
        <w:t>La </w:t>
      </w:r>
      <w:r>
        <w:rPr>
          <w:color w:val="231F20"/>
          <w:spacing w:val="-4"/>
          <w:w w:val="105"/>
        </w:rPr>
        <w:t>Protección </w:t>
      </w:r>
      <w:r>
        <w:rPr>
          <w:color w:val="231F20"/>
          <w:w w:val="105"/>
        </w:rPr>
        <w:t>Civil es </w:t>
      </w:r>
      <w:r>
        <w:rPr>
          <w:color w:val="231F20"/>
          <w:spacing w:val="-4"/>
          <w:w w:val="105"/>
        </w:rPr>
        <w:t>contemplada </w:t>
      </w:r>
      <w:r>
        <w:rPr>
          <w:color w:val="231F20"/>
          <w:w w:val="105"/>
        </w:rPr>
        <w:t>en </w:t>
      </w:r>
      <w:r>
        <w:rPr>
          <w:color w:val="231F20"/>
          <w:spacing w:val="-4"/>
          <w:w w:val="105"/>
        </w:rPr>
        <w:t>acciones como </w:t>
      </w:r>
      <w:r>
        <w:rPr>
          <w:color w:val="231F20"/>
          <w:w w:val="105"/>
        </w:rPr>
        <w:t>campañas de </w:t>
      </w:r>
      <w:r>
        <w:rPr>
          <w:color w:val="231F20"/>
          <w:spacing w:val="-4"/>
          <w:w w:val="105"/>
        </w:rPr>
        <w:t>prevención </w:t>
      </w:r>
      <w:r>
        <w:rPr>
          <w:color w:val="231F20"/>
          <w:w w:val="105"/>
        </w:rPr>
        <w:t>de siniestros y </w:t>
      </w:r>
      <w:r>
        <w:rPr>
          <w:color w:val="231F20"/>
          <w:spacing w:val="-3"/>
          <w:w w:val="105"/>
        </w:rPr>
        <w:t>verificación </w:t>
      </w:r>
      <w:r>
        <w:rPr>
          <w:color w:val="231F20"/>
          <w:w w:val="105"/>
        </w:rPr>
        <w:t>de </w:t>
      </w:r>
      <w:r>
        <w:rPr>
          <w:color w:val="231F20"/>
          <w:spacing w:val="-3"/>
          <w:w w:val="105"/>
        </w:rPr>
        <w:t>riesgos; </w:t>
      </w:r>
      <w:r>
        <w:rPr>
          <w:color w:val="231F20"/>
          <w:spacing w:val="-4"/>
          <w:w w:val="105"/>
        </w:rPr>
        <w:t>monitoreo </w:t>
      </w:r>
      <w:r>
        <w:rPr>
          <w:color w:val="231F20"/>
          <w:w w:val="105"/>
        </w:rPr>
        <w:t>de áreas de alto </w:t>
      </w:r>
      <w:r>
        <w:rPr>
          <w:color w:val="231F20"/>
          <w:spacing w:val="-3"/>
          <w:w w:val="105"/>
        </w:rPr>
        <w:t>riesgo (asentamientos</w:t>
      </w:r>
      <w:r>
        <w:rPr>
          <w:color w:val="231F20"/>
          <w:spacing w:val="-18"/>
          <w:w w:val="105"/>
        </w:rPr>
        <w:t> </w:t>
      </w:r>
      <w:r>
        <w:rPr>
          <w:color w:val="231F20"/>
          <w:w w:val="105"/>
        </w:rPr>
        <w:t>irregulares,</w:t>
      </w:r>
      <w:r>
        <w:rPr>
          <w:color w:val="231F20"/>
          <w:spacing w:val="-18"/>
          <w:w w:val="105"/>
        </w:rPr>
        <w:t> </w:t>
      </w:r>
      <w:r>
        <w:rPr>
          <w:color w:val="231F20"/>
          <w:w w:val="105"/>
        </w:rPr>
        <w:t>estructuras</w:t>
      </w:r>
      <w:r>
        <w:rPr>
          <w:color w:val="231F20"/>
          <w:spacing w:val="-18"/>
          <w:w w:val="105"/>
        </w:rPr>
        <w:t> </w:t>
      </w:r>
      <w:r>
        <w:rPr>
          <w:color w:val="231F20"/>
          <w:spacing w:val="-3"/>
          <w:w w:val="105"/>
        </w:rPr>
        <w:t>públicas,</w:t>
      </w:r>
      <w:r>
        <w:rPr>
          <w:color w:val="231F20"/>
          <w:spacing w:val="-18"/>
          <w:w w:val="105"/>
        </w:rPr>
        <w:t> </w:t>
      </w:r>
      <w:r>
        <w:rPr>
          <w:color w:val="231F20"/>
          <w:w w:val="105"/>
        </w:rPr>
        <w:t>escuelas,</w:t>
      </w:r>
      <w:r>
        <w:rPr>
          <w:color w:val="231F20"/>
          <w:spacing w:val="-18"/>
          <w:w w:val="105"/>
        </w:rPr>
        <w:t> </w:t>
      </w:r>
      <w:r>
        <w:rPr>
          <w:color w:val="231F20"/>
          <w:spacing w:val="-4"/>
          <w:w w:val="105"/>
        </w:rPr>
        <w:t>etcétera);</w:t>
      </w:r>
      <w:r>
        <w:rPr>
          <w:color w:val="231F20"/>
          <w:spacing w:val="-18"/>
          <w:w w:val="105"/>
        </w:rPr>
        <w:t> </w:t>
      </w:r>
      <w:r>
        <w:rPr>
          <w:color w:val="231F20"/>
          <w:w w:val="105"/>
        </w:rPr>
        <w:t>dictámenes</w:t>
      </w:r>
      <w:r>
        <w:rPr>
          <w:color w:val="231F20"/>
          <w:spacing w:val="-18"/>
          <w:w w:val="105"/>
        </w:rPr>
        <w:t> </w:t>
      </w:r>
      <w:r>
        <w:rPr>
          <w:color w:val="231F20"/>
          <w:w w:val="105"/>
        </w:rPr>
        <w:t>de</w:t>
      </w:r>
      <w:r>
        <w:rPr>
          <w:color w:val="231F20"/>
          <w:spacing w:val="-18"/>
          <w:w w:val="105"/>
        </w:rPr>
        <w:t> </w:t>
      </w:r>
      <w:r>
        <w:rPr>
          <w:color w:val="231F20"/>
          <w:w w:val="105"/>
        </w:rPr>
        <w:t>facti- </w:t>
      </w:r>
      <w:r>
        <w:rPr>
          <w:color w:val="231F20"/>
          <w:spacing w:val="-3"/>
          <w:w w:val="105"/>
        </w:rPr>
        <w:t>bilidad;</w:t>
      </w:r>
      <w:r>
        <w:rPr>
          <w:color w:val="231F20"/>
          <w:spacing w:val="-22"/>
          <w:w w:val="105"/>
        </w:rPr>
        <w:t> </w:t>
      </w:r>
      <w:r>
        <w:rPr>
          <w:color w:val="231F20"/>
          <w:spacing w:val="-4"/>
          <w:w w:val="105"/>
        </w:rPr>
        <w:t>creación</w:t>
      </w:r>
      <w:r>
        <w:rPr>
          <w:color w:val="231F20"/>
          <w:spacing w:val="-22"/>
          <w:w w:val="105"/>
        </w:rPr>
        <w:t> </w:t>
      </w:r>
      <w:r>
        <w:rPr>
          <w:color w:val="231F20"/>
          <w:w w:val="105"/>
        </w:rPr>
        <w:t>y</w:t>
      </w:r>
      <w:r>
        <w:rPr>
          <w:color w:val="231F20"/>
          <w:spacing w:val="-22"/>
          <w:w w:val="105"/>
        </w:rPr>
        <w:t> </w:t>
      </w:r>
      <w:r>
        <w:rPr>
          <w:color w:val="231F20"/>
          <w:w w:val="105"/>
        </w:rPr>
        <w:t>asesoría</w:t>
      </w:r>
      <w:r>
        <w:rPr>
          <w:color w:val="231F20"/>
          <w:spacing w:val="-22"/>
          <w:w w:val="105"/>
        </w:rPr>
        <w:t> </w:t>
      </w:r>
      <w:r>
        <w:rPr>
          <w:color w:val="231F20"/>
          <w:w w:val="105"/>
        </w:rPr>
        <w:t>a</w:t>
      </w:r>
      <w:r>
        <w:rPr>
          <w:color w:val="231F20"/>
          <w:spacing w:val="-22"/>
          <w:w w:val="105"/>
        </w:rPr>
        <w:t> </w:t>
      </w:r>
      <w:r>
        <w:rPr>
          <w:color w:val="231F20"/>
          <w:spacing w:val="-4"/>
          <w:w w:val="105"/>
        </w:rPr>
        <w:t>Unidades</w:t>
      </w:r>
      <w:r>
        <w:rPr>
          <w:color w:val="231F20"/>
          <w:spacing w:val="-22"/>
          <w:w w:val="105"/>
        </w:rPr>
        <w:t> </w:t>
      </w:r>
      <w:r>
        <w:rPr>
          <w:color w:val="231F20"/>
          <w:w w:val="105"/>
        </w:rPr>
        <w:t>de</w:t>
      </w:r>
      <w:r>
        <w:rPr>
          <w:color w:val="231F20"/>
          <w:spacing w:val="-22"/>
          <w:w w:val="105"/>
        </w:rPr>
        <w:t> </w:t>
      </w:r>
      <w:r>
        <w:rPr>
          <w:color w:val="231F20"/>
          <w:spacing w:val="-4"/>
          <w:w w:val="105"/>
        </w:rPr>
        <w:t>Protección</w:t>
      </w:r>
      <w:r>
        <w:rPr>
          <w:color w:val="231F20"/>
          <w:spacing w:val="-22"/>
          <w:w w:val="105"/>
        </w:rPr>
        <w:t> </w:t>
      </w:r>
      <w:r>
        <w:rPr>
          <w:color w:val="231F20"/>
          <w:w w:val="105"/>
        </w:rPr>
        <w:t>Civil</w:t>
      </w:r>
      <w:r>
        <w:rPr>
          <w:color w:val="231F20"/>
          <w:spacing w:val="-22"/>
          <w:w w:val="105"/>
        </w:rPr>
        <w:t> </w:t>
      </w:r>
      <w:r>
        <w:rPr>
          <w:color w:val="231F20"/>
          <w:w w:val="105"/>
        </w:rPr>
        <w:t>y</w:t>
      </w:r>
      <w:r>
        <w:rPr>
          <w:color w:val="231F20"/>
          <w:spacing w:val="-22"/>
          <w:w w:val="105"/>
        </w:rPr>
        <w:t> </w:t>
      </w:r>
      <w:r>
        <w:rPr>
          <w:color w:val="231F20"/>
          <w:spacing w:val="-4"/>
          <w:w w:val="105"/>
        </w:rPr>
        <w:t>atención</w:t>
      </w:r>
      <w:r>
        <w:rPr>
          <w:color w:val="231F20"/>
          <w:spacing w:val="-22"/>
          <w:w w:val="105"/>
        </w:rPr>
        <w:t> </w:t>
      </w:r>
      <w:r>
        <w:rPr>
          <w:color w:val="231F20"/>
          <w:w w:val="105"/>
        </w:rPr>
        <w:t>de</w:t>
      </w:r>
      <w:r>
        <w:rPr>
          <w:color w:val="231F20"/>
          <w:spacing w:val="-22"/>
          <w:w w:val="105"/>
        </w:rPr>
        <w:t> </w:t>
      </w:r>
      <w:r>
        <w:rPr>
          <w:color w:val="231F20"/>
          <w:spacing w:val="-3"/>
          <w:w w:val="105"/>
        </w:rPr>
        <w:t>Emergencias.</w:t>
      </w:r>
    </w:p>
    <w:p>
      <w:pPr>
        <w:pStyle w:val="BodyText"/>
        <w:spacing w:before="1"/>
        <w:rPr>
          <w:sz w:val="26"/>
        </w:rPr>
      </w:pPr>
    </w:p>
    <w:p>
      <w:pPr>
        <w:pStyle w:val="BodyText"/>
        <w:spacing w:line="285" w:lineRule="auto"/>
        <w:ind w:left="110" w:right="128"/>
        <w:jc w:val="both"/>
      </w:pPr>
      <w:r>
        <w:rPr>
          <w:color w:val="231F20"/>
          <w:w w:val="105"/>
        </w:rPr>
        <w:t>Alguno</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objetivos</w:t>
      </w:r>
      <w:r>
        <w:rPr>
          <w:color w:val="231F20"/>
          <w:spacing w:val="-23"/>
          <w:w w:val="105"/>
        </w:rPr>
        <w:t> </w:t>
      </w:r>
      <w:r>
        <w:rPr>
          <w:color w:val="231F20"/>
          <w:w w:val="105"/>
        </w:rPr>
        <w:t>alcanzados</w:t>
      </w:r>
      <w:r>
        <w:rPr>
          <w:color w:val="231F20"/>
          <w:spacing w:val="-23"/>
          <w:w w:val="105"/>
        </w:rPr>
        <w:t> </w:t>
      </w:r>
      <w:r>
        <w:rPr>
          <w:color w:val="231F20"/>
          <w:w w:val="105"/>
        </w:rPr>
        <w:t>en</w:t>
      </w:r>
      <w:r>
        <w:rPr>
          <w:color w:val="231F20"/>
          <w:spacing w:val="-23"/>
          <w:w w:val="105"/>
        </w:rPr>
        <w:t> </w:t>
      </w:r>
      <w:r>
        <w:rPr>
          <w:color w:val="231F20"/>
          <w:w w:val="105"/>
        </w:rPr>
        <w:t>Seguridad</w:t>
      </w:r>
      <w:r>
        <w:rPr>
          <w:color w:val="231F20"/>
          <w:spacing w:val="-23"/>
          <w:w w:val="105"/>
        </w:rPr>
        <w:t> </w:t>
      </w:r>
      <w:r>
        <w:rPr>
          <w:color w:val="231F20"/>
          <w:w w:val="105"/>
        </w:rPr>
        <w:t>Pública</w:t>
      </w:r>
      <w:r>
        <w:rPr>
          <w:color w:val="231F20"/>
          <w:spacing w:val="-23"/>
          <w:w w:val="105"/>
        </w:rPr>
        <w:t> </w:t>
      </w:r>
      <w:r>
        <w:rPr>
          <w:color w:val="231F20"/>
          <w:w w:val="105"/>
        </w:rPr>
        <w:t>fue</w:t>
      </w:r>
      <w:r>
        <w:rPr>
          <w:color w:val="231F20"/>
          <w:spacing w:val="-23"/>
          <w:w w:val="105"/>
        </w:rPr>
        <w:t> </w:t>
      </w:r>
      <w:r>
        <w:rPr>
          <w:color w:val="231F20"/>
          <w:w w:val="105"/>
        </w:rPr>
        <w:t>el</w:t>
      </w:r>
      <w:r>
        <w:rPr>
          <w:color w:val="231F20"/>
          <w:spacing w:val="-23"/>
          <w:w w:val="105"/>
        </w:rPr>
        <w:t> </w:t>
      </w:r>
      <w:r>
        <w:rPr>
          <w:color w:val="231F20"/>
          <w:w w:val="105"/>
        </w:rPr>
        <w:t>incremento</w:t>
      </w:r>
      <w:r>
        <w:rPr>
          <w:color w:val="231F20"/>
          <w:spacing w:val="-23"/>
          <w:w w:val="105"/>
        </w:rPr>
        <w:t> </w:t>
      </w:r>
      <w:r>
        <w:rPr>
          <w:color w:val="231F20"/>
          <w:w w:val="105"/>
        </w:rPr>
        <w:t>a</w:t>
      </w:r>
      <w:r>
        <w:rPr>
          <w:color w:val="231F20"/>
          <w:spacing w:val="-23"/>
          <w:w w:val="105"/>
        </w:rPr>
        <w:t> </w:t>
      </w:r>
      <w:r>
        <w:rPr>
          <w:color w:val="231F20"/>
          <w:spacing w:val="-5"/>
          <w:w w:val="105"/>
        </w:rPr>
        <w:t>76</w:t>
      </w:r>
      <w:r>
        <w:rPr>
          <w:color w:val="231F20"/>
          <w:spacing w:val="-23"/>
          <w:w w:val="105"/>
        </w:rPr>
        <w:t> </w:t>
      </w:r>
      <w:r>
        <w:rPr>
          <w:color w:val="231F20"/>
          <w:w w:val="105"/>
        </w:rPr>
        <w:t>elemen- tos</w:t>
      </w:r>
      <w:r>
        <w:rPr>
          <w:color w:val="231F20"/>
          <w:spacing w:val="-20"/>
          <w:w w:val="105"/>
        </w:rPr>
        <w:t> </w:t>
      </w:r>
      <w:r>
        <w:rPr>
          <w:color w:val="231F20"/>
          <w:w w:val="105"/>
        </w:rPr>
        <w:t>policíacos,</w:t>
      </w:r>
      <w:r>
        <w:rPr>
          <w:color w:val="231F20"/>
          <w:spacing w:val="-20"/>
          <w:w w:val="105"/>
        </w:rPr>
        <w:t> </w:t>
      </w:r>
      <w:r>
        <w:rPr>
          <w:color w:val="231F20"/>
          <w:w w:val="105"/>
        </w:rPr>
        <w:t>es</w:t>
      </w:r>
      <w:r>
        <w:rPr>
          <w:color w:val="231F20"/>
          <w:spacing w:val="-20"/>
          <w:w w:val="105"/>
        </w:rPr>
        <w:t> </w:t>
      </w:r>
      <w:r>
        <w:rPr>
          <w:color w:val="231F20"/>
          <w:w w:val="105"/>
        </w:rPr>
        <w:t>decir</w:t>
      </w:r>
      <w:r>
        <w:rPr>
          <w:color w:val="231F20"/>
          <w:spacing w:val="-20"/>
          <w:w w:val="105"/>
        </w:rPr>
        <w:t> </w:t>
      </w:r>
      <w:r>
        <w:rPr>
          <w:color w:val="231F20"/>
          <w:w w:val="105"/>
        </w:rPr>
        <w:t>que</w:t>
      </w:r>
      <w:r>
        <w:rPr>
          <w:color w:val="231F20"/>
          <w:spacing w:val="-20"/>
          <w:w w:val="105"/>
        </w:rPr>
        <w:t> </w:t>
      </w:r>
      <w:r>
        <w:rPr>
          <w:color w:val="231F20"/>
          <w:w w:val="105"/>
        </w:rPr>
        <w:t>el</w:t>
      </w:r>
      <w:r>
        <w:rPr>
          <w:color w:val="231F20"/>
          <w:spacing w:val="-20"/>
          <w:w w:val="105"/>
        </w:rPr>
        <w:t> </w:t>
      </w:r>
      <w:r>
        <w:rPr>
          <w:color w:val="231F20"/>
          <w:w w:val="105"/>
        </w:rPr>
        <w:t>avance</w:t>
      </w:r>
      <w:r>
        <w:rPr>
          <w:color w:val="231F20"/>
          <w:spacing w:val="-20"/>
          <w:w w:val="105"/>
        </w:rPr>
        <w:t> </w:t>
      </w:r>
      <w:r>
        <w:rPr>
          <w:color w:val="231F20"/>
          <w:w w:val="105"/>
        </w:rPr>
        <w:t>fue</w:t>
      </w:r>
      <w:r>
        <w:rPr>
          <w:color w:val="231F20"/>
          <w:spacing w:val="-20"/>
          <w:w w:val="105"/>
        </w:rPr>
        <w:t> </w:t>
      </w:r>
      <w:r>
        <w:rPr>
          <w:color w:val="231F20"/>
          <w:w w:val="105"/>
        </w:rPr>
        <w:t>de</w:t>
      </w:r>
      <w:r>
        <w:rPr>
          <w:color w:val="231F20"/>
          <w:spacing w:val="-20"/>
          <w:w w:val="105"/>
        </w:rPr>
        <w:t> </w:t>
      </w:r>
      <w:r>
        <w:rPr>
          <w:color w:val="231F20"/>
          <w:spacing w:val="-5"/>
          <w:w w:val="105"/>
        </w:rPr>
        <w:t>18</w:t>
      </w:r>
      <w:r>
        <w:rPr>
          <w:color w:val="231F20"/>
          <w:spacing w:val="-20"/>
          <w:w w:val="105"/>
        </w:rPr>
        <w:t> </w:t>
      </w:r>
      <w:r>
        <w:rPr>
          <w:color w:val="231F20"/>
          <w:w w:val="105"/>
        </w:rPr>
        <w:t>efectivos.</w:t>
      </w:r>
      <w:r>
        <w:rPr>
          <w:color w:val="231F20"/>
          <w:spacing w:val="-20"/>
          <w:w w:val="105"/>
        </w:rPr>
        <w:t> </w:t>
      </w:r>
      <w:r>
        <w:rPr>
          <w:color w:val="231F20"/>
          <w:w w:val="105"/>
        </w:rPr>
        <w:t>Si</w:t>
      </w:r>
      <w:r>
        <w:rPr>
          <w:color w:val="231F20"/>
          <w:spacing w:val="-20"/>
          <w:w w:val="105"/>
        </w:rPr>
        <w:t> </w:t>
      </w:r>
      <w:r>
        <w:rPr>
          <w:color w:val="231F20"/>
          <w:w w:val="105"/>
        </w:rPr>
        <w:t>tomamos</w:t>
      </w:r>
      <w:r>
        <w:rPr>
          <w:color w:val="231F20"/>
          <w:spacing w:val="-20"/>
          <w:w w:val="105"/>
        </w:rPr>
        <w:t> </w:t>
      </w:r>
      <w:r>
        <w:rPr>
          <w:color w:val="231F20"/>
          <w:w w:val="105"/>
        </w:rPr>
        <w:t>en</w:t>
      </w:r>
      <w:r>
        <w:rPr>
          <w:color w:val="231F20"/>
          <w:spacing w:val="-20"/>
          <w:w w:val="105"/>
        </w:rPr>
        <w:t> </w:t>
      </w:r>
      <w:r>
        <w:rPr>
          <w:color w:val="231F20"/>
          <w:w w:val="105"/>
        </w:rPr>
        <w:t>cuenta</w:t>
      </w:r>
      <w:r>
        <w:rPr>
          <w:color w:val="231F20"/>
          <w:spacing w:val="-20"/>
          <w:w w:val="105"/>
        </w:rPr>
        <w:t> </w:t>
      </w:r>
      <w:r>
        <w:rPr>
          <w:color w:val="231F20"/>
          <w:w w:val="105"/>
        </w:rPr>
        <w:t>el</w:t>
      </w:r>
      <w:r>
        <w:rPr>
          <w:color w:val="231F20"/>
          <w:spacing w:val="-20"/>
          <w:w w:val="105"/>
        </w:rPr>
        <w:t> </w:t>
      </w:r>
      <w:r>
        <w:rPr>
          <w:color w:val="231F20"/>
          <w:w w:val="105"/>
        </w:rPr>
        <w:t>núme- ro</w:t>
      </w:r>
      <w:r>
        <w:rPr>
          <w:color w:val="231F20"/>
          <w:spacing w:val="-12"/>
          <w:w w:val="105"/>
        </w:rPr>
        <w:t> </w:t>
      </w:r>
      <w:r>
        <w:rPr>
          <w:color w:val="231F20"/>
          <w:w w:val="105"/>
        </w:rPr>
        <w:t>de</w:t>
      </w:r>
      <w:r>
        <w:rPr>
          <w:color w:val="231F20"/>
          <w:spacing w:val="-12"/>
          <w:w w:val="105"/>
        </w:rPr>
        <w:t> </w:t>
      </w:r>
      <w:r>
        <w:rPr>
          <w:color w:val="231F20"/>
          <w:w w:val="105"/>
        </w:rPr>
        <w:t>población</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w w:val="105"/>
        </w:rPr>
        <w:t>observamos</w:t>
      </w:r>
      <w:r>
        <w:rPr>
          <w:color w:val="231F20"/>
          <w:spacing w:val="-12"/>
          <w:w w:val="105"/>
        </w:rPr>
        <w:t> </w:t>
      </w:r>
      <w:r>
        <w:rPr>
          <w:color w:val="231F20"/>
          <w:w w:val="105"/>
        </w:rPr>
        <w:t>que</w:t>
      </w:r>
      <w:r>
        <w:rPr>
          <w:color w:val="231F20"/>
          <w:spacing w:val="-12"/>
          <w:w w:val="105"/>
        </w:rPr>
        <w:t> </w:t>
      </w:r>
      <w:r>
        <w:rPr>
          <w:color w:val="231F20"/>
          <w:w w:val="105"/>
        </w:rPr>
        <w:t>aún</w:t>
      </w:r>
      <w:r>
        <w:rPr>
          <w:color w:val="231F20"/>
          <w:spacing w:val="-12"/>
          <w:w w:val="105"/>
        </w:rPr>
        <w:t> </w:t>
      </w:r>
      <w:r>
        <w:rPr>
          <w:color w:val="231F20"/>
          <w:w w:val="105"/>
        </w:rPr>
        <w:t>son</w:t>
      </w:r>
      <w:r>
        <w:rPr>
          <w:color w:val="231F20"/>
          <w:spacing w:val="-12"/>
          <w:w w:val="105"/>
        </w:rPr>
        <w:t> </w:t>
      </w:r>
      <w:r>
        <w:rPr>
          <w:color w:val="231F20"/>
          <w:w w:val="105"/>
        </w:rPr>
        <w:t>muy</w:t>
      </w:r>
      <w:r>
        <w:rPr>
          <w:color w:val="231F20"/>
          <w:spacing w:val="-12"/>
          <w:w w:val="105"/>
        </w:rPr>
        <w:t> </w:t>
      </w:r>
      <w:r>
        <w:rPr>
          <w:color w:val="231F20"/>
          <w:w w:val="105"/>
        </w:rPr>
        <w:t>pocos</w:t>
      </w:r>
      <w:r>
        <w:rPr>
          <w:color w:val="231F20"/>
          <w:spacing w:val="-12"/>
          <w:w w:val="105"/>
        </w:rPr>
        <w:t> </w:t>
      </w:r>
      <w:r>
        <w:rPr>
          <w:color w:val="231F20"/>
          <w:w w:val="105"/>
        </w:rPr>
        <w:t>elementos</w:t>
      </w:r>
      <w:r>
        <w:rPr>
          <w:color w:val="231F20"/>
          <w:spacing w:val="-12"/>
          <w:w w:val="105"/>
        </w:rPr>
        <w:t> </w:t>
      </w:r>
      <w:r>
        <w:rPr>
          <w:color w:val="231F20"/>
          <w:w w:val="105"/>
        </w:rPr>
        <w:t>para</w:t>
      </w:r>
      <w:r>
        <w:rPr>
          <w:color w:val="231F20"/>
          <w:spacing w:val="-12"/>
          <w:w w:val="105"/>
        </w:rPr>
        <w:t> </w:t>
      </w:r>
      <w:r>
        <w:rPr>
          <w:color w:val="231F20"/>
          <w:w w:val="105"/>
        </w:rPr>
        <w:t>pro- teger</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ciudadanía.</w:t>
      </w:r>
      <w:r>
        <w:rPr>
          <w:color w:val="231F20"/>
          <w:spacing w:val="-22"/>
          <w:w w:val="105"/>
        </w:rPr>
        <w:t> </w:t>
      </w:r>
      <w:r>
        <w:rPr>
          <w:color w:val="231F20"/>
          <w:w w:val="105"/>
        </w:rPr>
        <w:t>En</w:t>
      </w:r>
      <w:r>
        <w:rPr>
          <w:color w:val="231F20"/>
          <w:spacing w:val="-22"/>
          <w:w w:val="105"/>
        </w:rPr>
        <w:t> </w:t>
      </w:r>
      <w:r>
        <w:rPr>
          <w:color w:val="231F20"/>
          <w:w w:val="105"/>
        </w:rPr>
        <w:t>números</w:t>
      </w:r>
      <w:r>
        <w:rPr>
          <w:color w:val="231F20"/>
          <w:spacing w:val="-22"/>
          <w:w w:val="105"/>
        </w:rPr>
        <w:t> </w:t>
      </w:r>
      <w:r>
        <w:rPr>
          <w:color w:val="231F20"/>
          <w:w w:val="105"/>
        </w:rPr>
        <w:t>redondos</w:t>
      </w:r>
      <w:r>
        <w:rPr>
          <w:color w:val="231F20"/>
          <w:spacing w:val="-22"/>
          <w:w w:val="105"/>
        </w:rPr>
        <w:t> </w:t>
      </w:r>
      <w:r>
        <w:rPr>
          <w:color w:val="231F20"/>
          <w:w w:val="105"/>
        </w:rPr>
        <w:t>existe</w:t>
      </w:r>
      <w:r>
        <w:rPr>
          <w:color w:val="231F20"/>
          <w:spacing w:val="-22"/>
          <w:w w:val="105"/>
        </w:rPr>
        <w:t> </w:t>
      </w:r>
      <w:r>
        <w:rPr>
          <w:color w:val="231F20"/>
          <w:w w:val="105"/>
        </w:rPr>
        <w:t>un</w:t>
      </w:r>
      <w:r>
        <w:rPr>
          <w:color w:val="231F20"/>
          <w:spacing w:val="-22"/>
          <w:w w:val="105"/>
        </w:rPr>
        <w:t> </w:t>
      </w:r>
      <w:r>
        <w:rPr>
          <w:color w:val="231F20"/>
          <w:w w:val="105"/>
        </w:rPr>
        <w:t>policía</w:t>
      </w:r>
      <w:r>
        <w:rPr>
          <w:color w:val="231F20"/>
          <w:spacing w:val="-22"/>
          <w:w w:val="105"/>
        </w:rPr>
        <w:t> </w:t>
      </w:r>
      <w:r>
        <w:rPr>
          <w:color w:val="231F20"/>
          <w:w w:val="105"/>
        </w:rPr>
        <w:t>por</w:t>
      </w:r>
      <w:r>
        <w:rPr>
          <w:color w:val="231F20"/>
          <w:spacing w:val="-22"/>
          <w:w w:val="105"/>
        </w:rPr>
        <w:t> </w:t>
      </w:r>
      <w:r>
        <w:rPr>
          <w:color w:val="231F20"/>
          <w:w w:val="105"/>
        </w:rPr>
        <w:t>cada</w:t>
      </w:r>
      <w:r>
        <w:rPr>
          <w:color w:val="231F20"/>
          <w:spacing w:val="-22"/>
          <w:w w:val="105"/>
        </w:rPr>
        <w:t> </w:t>
      </w:r>
      <w:r>
        <w:rPr>
          <w:color w:val="231F20"/>
          <w:w w:val="105"/>
        </w:rPr>
        <w:t>823</w:t>
      </w:r>
      <w:r>
        <w:rPr>
          <w:color w:val="231F20"/>
          <w:spacing w:val="-22"/>
          <w:w w:val="105"/>
        </w:rPr>
        <w:t> </w:t>
      </w:r>
      <w:r>
        <w:rPr>
          <w:color w:val="231F20"/>
          <w:w w:val="105"/>
        </w:rPr>
        <w:t>habitantes.</w:t>
      </w:r>
      <w:r>
        <w:rPr>
          <w:color w:val="231F20"/>
          <w:spacing w:val="-22"/>
          <w:w w:val="105"/>
        </w:rPr>
        <w:t> </w:t>
      </w:r>
      <w:r>
        <w:rPr>
          <w:color w:val="231F20"/>
          <w:w w:val="105"/>
        </w:rPr>
        <w:t>Se</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line="285" w:lineRule="auto" w:before="36"/>
        <w:ind w:left="110" w:right="147"/>
        <w:jc w:val="both"/>
      </w:pPr>
      <w:r>
        <w:rPr>
          <w:color w:val="231F20"/>
          <w:w w:val="105"/>
        </w:rPr>
        <w:t>realizan</w:t>
      </w:r>
      <w:r>
        <w:rPr>
          <w:color w:val="231F20"/>
          <w:spacing w:val="-7"/>
          <w:w w:val="105"/>
        </w:rPr>
        <w:t> </w:t>
      </w:r>
      <w:r>
        <w:rPr>
          <w:color w:val="231F20"/>
          <w:w w:val="105"/>
        </w:rPr>
        <w:t>operativos</w:t>
      </w:r>
      <w:r>
        <w:rPr>
          <w:color w:val="231F20"/>
          <w:spacing w:val="-7"/>
          <w:w w:val="105"/>
        </w:rPr>
        <w:t> </w:t>
      </w:r>
      <w:r>
        <w:rPr>
          <w:color w:val="231F20"/>
          <w:w w:val="105"/>
        </w:rPr>
        <w:t>coordinados</w:t>
      </w:r>
      <w:r>
        <w:rPr>
          <w:color w:val="231F20"/>
          <w:spacing w:val="-7"/>
          <w:w w:val="105"/>
        </w:rPr>
        <w:t> </w:t>
      </w:r>
      <w:r>
        <w:rPr>
          <w:color w:val="231F20"/>
          <w:w w:val="105"/>
        </w:rPr>
        <w:t>con</w:t>
      </w:r>
      <w:r>
        <w:rPr>
          <w:color w:val="231F20"/>
          <w:spacing w:val="-7"/>
          <w:w w:val="105"/>
        </w:rPr>
        <w:t> </w:t>
      </w:r>
      <w:r>
        <w:rPr>
          <w:color w:val="231F20"/>
          <w:w w:val="105"/>
        </w:rPr>
        <w:t>dependencias</w:t>
      </w:r>
      <w:r>
        <w:rPr>
          <w:color w:val="231F20"/>
          <w:spacing w:val="-7"/>
          <w:w w:val="105"/>
        </w:rPr>
        <w:t> </w:t>
      </w:r>
      <w:r>
        <w:rPr>
          <w:color w:val="231F20"/>
          <w:w w:val="105"/>
        </w:rPr>
        <w:t>estatales</w:t>
      </w:r>
      <w:r>
        <w:rPr>
          <w:color w:val="231F20"/>
          <w:spacing w:val="-7"/>
          <w:w w:val="105"/>
        </w:rPr>
        <w:t> </w:t>
      </w:r>
      <w:r>
        <w:rPr>
          <w:color w:val="231F20"/>
          <w:w w:val="105"/>
        </w:rPr>
        <w:t>y</w:t>
      </w:r>
      <w:r>
        <w:rPr>
          <w:color w:val="231F20"/>
          <w:spacing w:val="-7"/>
          <w:w w:val="105"/>
        </w:rPr>
        <w:t> </w:t>
      </w:r>
      <w:r>
        <w:rPr>
          <w:color w:val="231F20"/>
          <w:w w:val="105"/>
        </w:rPr>
        <w:t>federales.</w:t>
      </w:r>
      <w:r>
        <w:rPr>
          <w:color w:val="231F20"/>
          <w:spacing w:val="-7"/>
          <w:w w:val="105"/>
        </w:rPr>
        <w:t> </w:t>
      </w:r>
      <w:r>
        <w:rPr>
          <w:color w:val="231F20"/>
          <w:w w:val="105"/>
        </w:rPr>
        <w:t>El</w:t>
      </w:r>
      <w:r>
        <w:rPr>
          <w:color w:val="231F20"/>
          <w:spacing w:val="-7"/>
          <w:w w:val="105"/>
        </w:rPr>
        <w:t> </w:t>
      </w:r>
      <w:r>
        <w:rPr>
          <w:color w:val="231F20"/>
          <w:w w:val="105"/>
        </w:rPr>
        <w:t>gobernador mexiquense</w:t>
      </w:r>
      <w:r>
        <w:rPr>
          <w:color w:val="231F20"/>
          <w:spacing w:val="-15"/>
          <w:w w:val="105"/>
        </w:rPr>
        <w:t> </w:t>
      </w:r>
      <w:r>
        <w:rPr>
          <w:color w:val="231F20"/>
          <w:w w:val="105"/>
        </w:rPr>
        <w:t>en</w:t>
      </w:r>
      <w:r>
        <w:rPr>
          <w:color w:val="231F20"/>
          <w:spacing w:val="-15"/>
          <w:w w:val="105"/>
        </w:rPr>
        <w:t> </w:t>
      </w:r>
      <w:r>
        <w:rPr>
          <w:color w:val="231F20"/>
          <w:w w:val="105"/>
        </w:rPr>
        <w:t>ese</w:t>
      </w:r>
      <w:r>
        <w:rPr>
          <w:color w:val="231F20"/>
          <w:spacing w:val="-15"/>
          <w:w w:val="105"/>
        </w:rPr>
        <w:t> </w:t>
      </w:r>
      <w:r>
        <w:rPr>
          <w:color w:val="231F20"/>
          <w:w w:val="105"/>
        </w:rPr>
        <w:t>entonces,</w:t>
      </w:r>
      <w:r>
        <w:rPr>
          <w:color w:val="231F20"/>
          <w:spacing w:val="-15"/>
          <w:w w:val="105"/>
        </w:rPr>
        <w:t> </w:t>
      </w:r>
      <w:r>
        <w:rPr>
          <w:color w:val="231F20"/>
          <w:w w:val="105"/>
        </w:rPr>
        <w:t>Enrique</w:t>
      </w:r>
      <w:r>
        <w:rPr>
          <w:color w:val="231F20"/>
          <w:spacing w:val="-15"/>
          <w:w w:val="105"/>
        </w:rPr>
        <w:t> </w:t>
      </w:r>
      <w:r>
        <w:rPr>
          <w:color w:val="231F20"/>
          <w:w w:val="105"/>
        </w:rPr>
        <w:t>Peña</w:t>
      </w:r>
      <w:r>
        <w:rPr>
          <w:color w:val="231F20"/>
          <w:spacing w:val="-15"/>
          <w:w w:val="105"/>
        </w:rPr>
        <w:t> </w:t>
      </w:r>
      <w:r>
        <w:rPr>
          <w:color w:val="231F20"/>
          <w:w w:val="105"/>
        </w:rPr>
        <w:t>Nieto,</w:t>
      </w:r>
      <w:r>
        <w:rPr>
          <w:color w:val="231F20"/>
          <w:spacing w:val="-15"/>
          <w:w w:val="105"/>
        </w:rPr>
        <w:t> </w:t>
      </w:r>
      <w:r>
        <w:rPr>
          <w:color w:val="231F20"/>
          <w:spacing w:val="-3"/>
          <w:w w:val="105"/>
        </w:rPr>
        <w:t>donó</w:t>
      </w:r>
      <w:r>
        <w:rPr>
          <w:color w:val="231F20"/>
          <w:spacing w:val="-15"/>
          <w:w w:val="105"/>
        </w:rPr>
        <w:t> </w:t>
      </w:r>
      <w:r>
        <w:rPr>
          <w:color w:val="231F20"/>
          <w:w w:val="105"/>
        </w:rPr>
        <w:t>3</w:t>
      </w:r>
      <w:r>
        <w:rPr>
          <w:color w:val="231F20"/>
          <w:spacing w:val="-15"/>
          <w:w w:val="105"/>
        </w:rPr>
        <w:t> </w:t>
      </w:r>
      <w:r>
        <w:rPr>
          <w:color w:val="231F20"/>
          <w:w w:val="105"/>
        </w:rPr>
        <w:t>unidades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sumaron</w:t>
      </w:r>
      <w:r>
        <w:rPr>
          <w:color w:val="231F20"/>
          <w:spacing w:val="-15"/>
          <w:w w:val="105"/>
        </w:rPr>
        <w:t> </w:t>
      </w:r>
      <w:r>
        <w:rPr>
          <w:color w:val="231F20"/>
          <w:w w:val="105"/>
        </w:rPr>
        <w:t>a</w:t>
      </w:r>
      <w:r>
        <w:rPr>
          <w:color w:val="231F20"/>
          <w:spacing w:val="-15"/>
          <w:w w:val="105"/>
        </w:rPr>
        <w:t> </w:t>
      </w:r>
      <w:r>
        <w:rPr>
          <w:color w:val="231F20"/>
          <w:w w:val="105"/>
        </w:rPr>
        <w:t>las 8</w:t>
      </w:r>
      <w:r>
        <w:rPr>
          <w:color w:val="231F20"/>
          <w:spacing w:val="-8"/>
          <w:w w:val="105"/>
        </w:rPr>
        <w:t> </w:t>
      </w:r>
      <w:r>
        <w:rPr>
          <w:color w:val="231F20"/>
          <w:w w:val="105"/>
        </w:rPr>
        <w:t>existentes</w:t>
      </w:r>
      <w:r>
        <w:rPr>
          <w:color w:val="231F20"/>
          <w:spacing w:val="-8"/>
          <w:w w:val="105"/>
        </w:rPr>
        <w:t> </w:t>
      </w:r>
      <w:r>
        <w:rPr>
          <w:color w:val="231F20"/>
          <w:w w:val="105"/>
        </w:rPr>
        <w:t>para</w:t>
      </w:r>
      <w:r>
        <w:rPr>
          <w:color w:val="231F20"/>
          <w:spacing w:val="-8"/>
          <w:w w:val="105"/>
        </w:rPr>
        <w:t> </w:t>
      </w:r>
      <w:r>
        <w:rPr>
          <w:color w:val="231F20"/>
          <w:w w:val="105"/>
        </w:rPr>
        <w:t>dar</w:t>
      </w:r>
      <w:r>
        <w:rPr>
          <w:color w:val="231F20"/>
          <w:spacing w:val="-8"/>
          <w:w w:val="105"/>
        </w:rPr>
        <w:t> </w:t>
      </w:r>
      <w:r>
        <w:rPr>
          <w:color w:val="231F20"/>
          <w:w w:val="105"/>
        </w:rPr>
        <w:t>un</w:t>
      </w:r>
      <w:r>
        <w:rPr>
          <w:color w:val="231F20"/>
          <w:spacing w:val="-8"/>
          <w:w w:val="105"/>
        </w:rPr>
        <w:t> </w:t>
      </w:r>
      <w:r>
        <w:rPr>
          <w:color w:val="231F20"/>
          <w:w w:val="105"/>
        </w:rPr>
        <w:t>total</w:t>
      </w:r>
      <w:r>
        <w:rPr>
          <w:color w:val="231F20"/>
          <w:spacing w:val="-8"/>
          <w:w w:val="105"/>
        </w:rPr>
        <w:t> </w:t>
      </w:r>
      <w:r>
        <w:rPr>
          <w:color w:val="231F20"/>
          <w:w w:val="105"/>
        </w:rPr>
        <w:t>de</w:t>
      </w:r>
      <w:r>
        <w:rPr>
          <w:color w:val="231F20"/>
          <w:spacing w:val="-8"/>
          <w:w w:val="105"/>
        </w:rPr>
        <w:t> </w:t>
      </w:r>
      <w:r>
        <w:rPr>
          <w:color w:val="231F20"/>
          <w:spacing w:val="-4"/>
          <w:w w:val="105"/>
        </w:rPr>
        <w:t>11</w:t>
      </w:r>
      <w:r>
        <w:rPr>
          <w:color w:val="231F20"/>
          <w:spacing w:val="-8"/>
          <w:w w:val="105"/>
        </w:rPr>
        <w:t> </w:t>
      </w:r>
      <w:r>
        <w:rPr>
          <w:color w:val="231F20"/>
          <w:w w:val="105"/>
        </w:rPr>
        <w:t>patrullas</w:t>
      </w:r>
      <w:r>
        <w:rPr>
          <w:color w:val="231F20"/>
          <w:spacing w:val="-8"/>
          <w:w w:val="105"/>
        </w:rPr>
        <w:t> </w:t>
      </w:r>
      <w:r>
        <w:rPr>
          <w:color w:val="231F20"/>
          <w:spacing w:val="2"/>
          <w:w w:val="105"/>
        </w:rPr>
        <w:t>al</w:t>
      </w:r>
      <w:r>
        <w:rPr>
          <w:color w:val="231F20"/>
          <w:spacing w:val="-8"/>
          <w:w w:val="105"/>
        </w:rPr>
        <w:t> </w:t>
      </w:r>
      <w:r>
        <w:rPr>
          <w:color w:val="231F20"/>
          <w:w w:val="105"/>
        </w:rPr>
        <w:t>servicio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ciudadanía.</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policías municipales se les hizo partícipes en 8 cursos con el objetivo de que estuvieran mejor preparados</w:t>
      </w:r>
      <w:r>
        <w:rPr>
          <w:color w:val="231F20"/>
          <w:spacing w:val="-13"/>
          <w:w w:val="105"/>
        </w:rPr>
        <w:t> </w:t>
      </w:r>
      <w:r>
        <w:rPr>
          <w:color w:val="231F20"/>
          <w:w w:val="105"/>
        </w:rPr>
        <w:t>contra</w:t>
      </w:r>
      <w:r>
        <w:rPr>
          <w:color w:val="231F20"/>
          <w:spacing w:val="-13"/>
          <w:w w:val="105"/>
        </w:rPr>
        <w:t> </w:t>
      </w:r>
      <w:r>
        <w:rPr>
          <w:color w:val="231F20"/>
          <w:w w:val="105"/>
        </w:rPr>
        <w:t>la</w:t>
      </w:r>
      <w:r>
        <w:rPr>
          <w:color w:val="231F20"/>
          <w:spacing w:val="-13"/>
          <w:w w:val="105"/>
        </w:rPr>
        <w:t> </w:t>
      </w:r>
      <w:r>
        <w:rPr>
          <w:color w:val="231F20"/>
          <w:w w:val="105"/>
        </w:rPr>
        <w:t>delincuencia</w:t>
      </w:r>
      <w:r>
        <w:rPr>
          <w:color w:val="231F20"/>
          <w:spacing w:val="-13"/>
          <w:w w:val="105"/>
        </w:rPr>
        <w:t> </w:t>
      </w:r>
      <w:r>
        <w:rPr>
          <w:color w:val="231F20"/>
          <w:w w:val="105"/>
        </w:rPr>
        <w:t>organizada.</w:t>
      </w:r>
    </w:p>
    <w:p>
      <w:pPr>
        <w:pStyle w:val="BodyText"/>
        <w:spacing w:before="1"/>
        <w:rPr>
          <w:sz w:val="26"/>
        </w:rPr>
      </w:pPr>
    </w:p>
    <w:p>
      <w:pPr>
        <w:pStyle w:val="BodyText"/>
        <w:spacing w:line="285" w:lineRule="auto"/>
        <w:ind w:left="110" w:right="148"/>
        <w:jc w:val="both"/>
      </w:pPr>
      <w:r>
        <w:rPr>
          <w:color w:val="231F20"/>
          <w:w w:val="105"/>
        </w:rPr>
        <w:t>En</w:t>
      </w:r>
      <w:r>
        <w:rPr>
          <w:color w:val="231F20"/>
          <w:spacing w:val="-20"/>
          <w:w w:val="105"/>
        </w:rPr>
        <w:t> </w:t>
      </w:r>
      <w:r>
        <w:rPr>
          <w:color w:val="231F20"/>
          <w:w w:val="105"/>
        </w:rPr>
        <w:t>este</w:t>
      </w:r>
      <w:r>
        <w:rPr>
          <w:color w:val="231F20"/>
          <w:spacing w:val="-20"/>
          <w:w w:val="105"/>
        </w:rPr>
        <w:t> </w:t>
      </w:r>
      <w:r>
        <w:rPr>
          <w:color w:val="231F20"/>
          <w:w w:val="105"/>
        </w:rPr>
        <w:t>último</w:t>
      </w:r>
      <w:r>
        <w:rPr>
          <w:color w:val="231F20"/>
          <w:spacing w:val="-20"/>
          <w:w w:val="105"/>
        </w:rPr>
        <w:t> </w:t>
      </w:r>
      <w:r>
        <w:rPr>
          <w:color w:val="231F20"/>
          <w:w w:val="105"/>
        </w:rPr>
        <w:t>rubro</w:t>
      </w:r>
      <w:r>
        <w:rPr>
          <w:color w:val="231F20"/>
          <w:spacing w:val="-20"/>
          <w:w w:val="105"/>
        </w:rPr>
        <w:t> </w:t>
      </w:r>
      <w:r>
        <w:rPr>
          <w:color w:val="231F20"/>
          <w:w w:val="105"/>
        </w:rPr>
        <w:t>considero</w:t>
      </w:r>
      <w:r>
        <w:rPr>
          <w:color w:val="231F20"/>
          <w:spacing w:val="-20"/>
          <w:w w:val="105"/>
        </w:rPr>
        <w:t> </w:t>
      </w:r>
      <w:r>
        <w:rPr>
          <w:color w:val="231F20"/>
          <w:w w:val="105"/>
        </w:rPr>
        <w:t>que</w:t>
      </w:r>
      <w:r>
        <w:rPr>
          <w:color w:val="231F20"/>
          <w:spacing w:val="-20"/>
          <w:w w:val="105"/>
        </w:rPr>
        <w:t> </w:t>
      </w:r>
      <w:r>
        <w:rPr>
          <w:color w:val="231F20"/>
          <w:w w:val="105"/>
        </w:rPr>
        <w:t>hace</w:t>
      </w:r>
      <w:r>
        <w:rPr>
          <w:color w:val="231F20"/>
          <w:spacing w:val="-20"/>
          <w:w w:val="105"/>
        </w:rPr>
        <w:t> </w:t>
      </w:r>
      <w:r>
        <w:rPr>
          <w:color w:val="231F20"/>
          <w:w w:val="105"/>
        </w:rPr>
        <w:t>falta</w:t>
      </w:r>
      <w:r>
        <w:rPr>
          <w:color w:val="231F20"/>
          <w:spacing w:val="-20"/>
          <w:w w:val="105"/>
        </w:rPr>
        <w:t> </w:t>
      </w:r>
      <w:r>
        <w:rPr>
          <w:color w:val="231F20"/>
          <w:w w:val="105"/>
        </w:rPr>
        <w:t>mayor</w:t>
      </w:r>
      <w:r>
        <w:rPr>
          <w:color w:val="231F20"/>
          <w:spacing w:val="-20"/>
          <w:w w:val="105"/>
        </w:rPr>
        <w:t> </w:t>
      </w:r>
      <w:r>
        <w:rPr>
          <w:color w:val="231F20"/>
          <w:w w:val="105"/>
        </w:rPr>
        <w:t>inversión</w:t>
      </w:r>
      <w:r>
        <w:rPr>
          <w:color w:val="231F20"/>
          <w:spacing w:val="-20"/>
          <w:w w:val="105"/>
        </w:rPr>
        <w:t> </w:t>
      </w:r>
      <w:r>
        <w:rPr>
          <w:color w:val="231F20"/>
          <w:w w:val="105"/>
        </w:rPr>
        <w:t>y</w:t>
      </w:r>
      <w:r>
        <w:rPr>
          <w:color w:val="231F20"/>
          <w:spacing w:val="-20"/>
          <w:w w:val="105"/>
        </w:rPr>
        <w:t> </w:t>
      </w:r>
      <w:r>
        <w:rPr>
          <w:color w:val="231F20"/>
          <w:spacing w:val="-3"/>
          <w:w w:val="105"/>
        </w:rPr>
        <w:t>promover</w:t>
      </w:r>
      <w:r>
        <w:rPr>
          <w:color w:val="231F20"/>
          <w:spacing w:val="-20"/>
          <w:w w:val="105"/>
        </w:rPr>
        <w:t> </w:t>
      </w:r>
      <w:r>
        <w:rPr>
          <w:color w:val="231F20"/>
          <w:w w:val="105"/>
        </w:rPr>
        <w:t>que</w:t>
      </w:r>
      <w:r>
        <w:rPr>
          <w:color w:val="231F20"/>
          <w:spacing w:val="-20"/>
          <w:w w:val="105"/>
        </w:rPr>
        <w:t> </w:t>
      </w:r>
      <w:r>
        <w:rPr>
          <w:color w:val="231F20"/>
          <w:w w:val="105"/>
        </w:rPr>
        <w:t>las</w:t>
      </w:r>
      <w:r>
        <w:rPr>
          <w:color w:val="231F20"/>
          <w:spacing w:val="-20"/>
          <w:w w:val="105"/>
        </w:rPr>
        <w:t> </w:t>
      </w:r>
      <w:r>
        <w:rPr>
          <w:color w:val="231F20"/>
          <w:w w:val="105"/>
        </w:rPr>
        <w:t>accio- nes contempladas en el </w:t>
      </w:r>
      <w:r>
        <w:rPr>
          <w:color w:val="231F20"/>
          <w:spacing w:val="-4"/>
          <w:w w:val="105"/>
        </w:rPr>
        <w:t>PDM </w:t>
      </w:r>
      <w:r>
        <w:rPr>
          <w:color w:val="231F20"/>
          <w:w w:val="105"/>
        </w:rPr>
        <w:t>se cumplan, puesto que tanto la seguridad pública como la</w:t>
      </w:r>
      <w:r>
        <w:rPr>
          <w:color w:val="231F20"/>
          <w:spacing w:val="-13"/>
          <w:w w:val="105"/>
        </w:rPr>
        <w:t> </w:t>
      </w:r>
      <w:r>
        <w:rPr>
          <w:color w:val="231F20"/>
          <w:w w:val="105"/>
        </w:rPr>
        <w:t>protección</w:t>
      </w:r>
      <w:r>
        <w:rPr>
          <w:color w:val="231F20"/>
          <w:spacing w:val="-13"/>
          <w:w w:val="105"/>
        </w:rPr>
        <w:t> </w:t>
      </w:r>
      <w:r>
        <w:rPr>
          <w:color w:val="231F20"/>
          <w:w w:val="105"/>
        </w:rPr>
        <w:t>civil</w:t>
      </w:r>
      <w:r>
        <w:rPr>
          <w:color w:val="231F20"/>
          <w:spacing w:val="-13"/>
          <w:w w:val="105"/>
        </w:rPr>
        <w:t> </w:t>
      </w:r>
      <w:r>
        <w:rPr>
          <w:color w:val="231F20"/>
          <w:w w:val="105"/>
        </w:rPr>
        <w:t>son</w:t>
      </w:r>
      <w:r>
        <w:rPr>
          <w:color w:val="231F20"/>
          <w:spacing w:val="-13"/>
          <w:w w:val="105"/>
        </w:rPr>
        <w:t> </w:t>
      </w:r>
      <w:r>
        <w:rPr>
          <w:color w:val="231F20"/>
          <w:w w:val="105"/>
        </w:rPr>
        <w:t>indispensables</w:t>
      </w:r>
      <w:r>
        <w:rPr>
          <w:color w:val="231F20"/>
          <w:spacing w:val="-13"/>
          <w:w w:val="105"/>
        </w:rPr>
        <w:t> </w:t>
      </w:r>
      <w:r>
        <w:rPr>
          <w:color w:val="231F20"/>
          <w:w w:val="105"/>
        </w:rPr>
        <w:t>para</w:t>
      </w:r>
      <w:r>
        <w:rPr>
          <w:color w:val="231F20"/>
          <w:spacing w:val="-13"/>
          <w:w w:val="105"/>
        </w:rPr>
        <w:t> </w:t>
      </w:r>
      <w:r>
        <w:rPr>
          <w:color w:val="231F20"/>
          <w:w w:val="105"/>
        </w:rPr>
        <w:t>salvaguardar</w:t>
      </w:r>
      <w:r>
        <w:rPr>
          <w:color w:val="231F20"/>
          <w:spacing w:val="-13"/>
          <w:w w:val="105"/>
        </w:rPr>
        <w:t> </w:t>
      </w:r>
      <w:r>
        <w:rPr>
          <w:color w:val="231F20"/>
          <w:w w:val="105"/>
        </w:rPr>
        <w:t>la</w:t>
      </w:r>
      <w:r>
        <w:rPr>
          <w:color w:val="231F20"/>
          <w:spacing w:val="-13"/>
          <w:w w:val="105"/>
        </w:rPr>
        <w:t> </w:t>
      </w:r>
      <w:r>
        <w:rPr>
          <w:color w:val="231F20"/>
          <w:w w:val="105"/>
        </w:rPr>
        <w:t>integridad</w:t>
      </w:r>
      <w:r>
        <w:rPr>
          <w:color w:val="231F20"/>
          <w:spacing w:val="-13"/>
          <w:w w:val="105"/>
        </w:rPr>
        <w:t> </w:t>
      </w:r>
      <w:r>
        <w:rPr>
          <w:color w:val="231F20"/>
          <w:w w:val="105"/>
        </w:rPr>
        <w:t>física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habi- tantes del</w:t>
      </w:r>
      <w:r>
        <w:rPr>
          <w:color w:val="231F20"/>
          <w:spacing w:val="-25"/>
          <w:w w:val="105"/>
        </w:rPr>
        <w:t> </w:t>
      </w:r>
      <w:r>
        <w:rPr>
          <w:color w:val="231F20"/>
          <w:w w:val="105"/>
        </w:rPr>
        <w:t>municipio.</w:t>
      </w:r>
    </w:p>
    <w:p>
      <w:pPr>
        <w:pStyle w:val="BodyText"/>
        <w:spacing w:before="1"/>
        <w:rPr>
          <w:sz w:val="26"/>
        </w:rPr>
      </w:pPr>
    </w:p>
    <w:p>
      <w:pPr>
        <w:pStyle w:val="BodyText"/>
        <w:spacing w:line="285" w:lineRule="auto"/>
        <w:ind w:left="110" w:right="148"/>
        <w:jc w:val="both"/>
      </w:pPr>
      <w:r>
        <w:rPr>
          <w:color w:val="231F20"/>
          <w:w w:val="105"/>
        </w:rPr>
        <w:t>La última parte contemplada en el </w:t>
      </w:r>
      <w:r>
        <w:rPr>
          <w:color w:val="231F20"/>
          <w:spacing w:val="-4"/>
          <w:w w:val="105"/>
        </w:rPr>
        <w:t>PDM </w:t>
      </w:r>
      <w:r>
        <w:rPr>
          <w:color w:val="231F20"/>
          <w:w w:val="105"/>
        </w:rPr>
        <w:t>es el Cimiento para la seguridad integral </w:t>
      </w:r>
      <w:r>
        <w:rPr>
          <w:color w:val="231F20"/>
          <w:spacing w:val="-4"/>
          <w:w w:val="105"/>
        </w:rPr>
        <w:t>(ver </w:t>
      </w:r>
      <w:r>
        <w:rPr>
          <w:color w:val="231F20"/>
          <w:w w:val="105"/>
        </w:rPr>
        <w:t>cuadro</w:t>
      </w:r>
      <w:r>
        <w:rPr>
          <w:color w:val="231F20"/>
          <w:spacing w:val="-18"/>
          <w:w w:val="105"/>
        </w:rPr>
        <w:t> </w:t>
      </w:r>
      <w:r>
        <w:rPr>
          <w:color w:val="231F20"/>
          <w:spacing w:val="-7"/>
          <w:w w:val="105"/>
        </w:rPr>
        <w:t>11).</w:t>
      </w:r>
      <w:r>
        <w:rPr>
          <w:color w:val="231F20"/>
          <w:spacing w:val="-18"/>
          <w:w w:val="105"/>
        </w:rPr>
        <w:t> </w:t>
      </w:r>
      <w:r>
        <w:rPr>
          <w:color w:val="231F20"/>
          <w:w w:val="105"/>
        </w:rPr>
        <w:t>El</w:t>
      </w:r>
      <w:r>
        <w:rPr>
          <w:color w:val="231F20"/>
          <w:spacing w:val="-18"/>
          <w:w w:val="105"/>
        </w:rPr>
        <w:t> </w:t>
      </w:r>
      <w:r>
        <w:rPr>
          <w:color w:val="231F20"/>
          <w:w w:val="105"/>
        </w:rPr>
        <w:t>objetivo</w:t>
      </w:r>
      <w:r>
        <w:rPr>
          <w:color w:val="231F20"/>
          <w:spacing w:val="-18"/>
          <w:w w:val="105"/>
        </w:rPr>
        <w:t> </w:t>
      </w:r>
      <w:r>
        <w:rPr>
          <w:color w:val="231F20"/>
          <w:w w:val="105"/>
        </w:rPr>
        <w:t>fue</w:t>
      </w:r>
      <w:r>
        <w:rPr>
          <w:color w:val="231F20"/>
          <w:spacing w:val="-18"/>
          <w:w w:val="105"/>
        </w:rPr>
        <w:t> </w:t>
      </w:r>
      <w:r>
        <w:rPr>
          <w:color w:val="231F20"/>
          <w:w w:val="105"/>
        </w:rPr>
        <w:t>mejorar</w:t>
      </w:r>
      <w:r>
        <w:rPr>
          <w:color w:val="231F20"/>
          <w:spacing w:val="-18"/>
          <w:w w:val="105"/>
        </w:rPr>
        <w:t> </w:t>
      </w:r>
      <w:r>
        <w:rPr>
          <w:color w:val="231F20"/>
          <w:w w:val="105"/>
        </w:rPr>
        <w:t>los</w:t>
      </w:r>
      <w:r>
        <w:rPr>
          <w:color w:val="231F20"/>
          <w:spacing w:val="-18"/>
          <w:w w:val="105"/>
        </w:rPr>
        <w:t> </w:t>
      </w:r>
      <w:r>
        <w:rPr>
          <w:color w:val="231F20"/>
          <w:w w:val="105"/>
        </w:rPr>
        <w:t>procesos</w:t>
      </w:r>
      <w:r>
        <w:rPr>
          <w:color w:val="231F20"/>
          <w:spacing w:val="-18"/>
          <w:w w:val="105"/>
        </w:rPr>
        <w:t> </w:t>
      </w:r>
      <w:r>
        <w:rPr>
          <w:color w:val="231F20"/>
          <w:w w:val="105"/>
        </w:rPr>
        <w:t>de</w:t>
      </w:r>
      <w:r>
        <w:rPr>
          <w:color w:val="231F20"/>
          <w:spacing w:val="-18"/>
          <w:w w:val="105"/>
        </w:rPr>
        <w:t> </w:t>
      </w:r>
      <w:r>
        <w:rPr>
          <w:color w:val="231F20"/>
          <w:w w:val="105"/>
        </w:rPr>
        <w:t>planeación,</w:t>
      </w:r>
      <w:r>
        <w:rPr>
          <w:color w:val="231F20"/>
          <w:spacing w:val="-18"/>
          <w:w w:val="105"/>
        </w:rPr>
        <w:t> </w:t>
      </w:r>
      <w:r>
        <w:rPr>
          <w:color w:val="231F20"/>
          <w:w w:val="105"/>
        </w:rPr>
        <w:t>dirección,</w:t>
      </w:r>
      <w:r>
        <w:rPr>
          <w:color w:val="231F20"/>
          <w:spacing w:val="-18"/>
          <w:w w:val="105"/>
        </w:rPr>
        <w:t> </w:t>
      </w:r>
      <w:r>
        <w:rPr>
          <w:color w:val="231F20"/>
          <w:w w:val="105"/>
        </w:rPr>
        <w:t>organización, administración, presupuesto, financiamiento y control mediante la integración de me- tas programáticas, estructuras formales, reorganización y reasignación de funciones, profesionalización de los servidores públicos, innovación de actividades, búsqueda de mayores</w:t>
      </w:r>
      <w:r>
        <w:rPr>
          <w:color w:val="231F20"/>
          <w:spacing w:val="-23"/>
          <w:w w:val="105"/>
        </w:rPr>
        <w:t> </w:t>
      </w:r>
      <w:r>
        <w:rPr>
          <w:color w:val="231F20"/>
          <w:w w:val="105"/>
        </w:rPr>
        <w:t>ingresos</w:t>
      </w:r>
      <w:r>
        <w:rPr>
          <w:color w:val="231F20"/>
          <w:spacing w:val="-23"/>
          <w:w w:val="105"/>
        </w:rPr>
        <w:t> </w:t>
      </w:r>
      <w:r>
        <w:rPr>
          <w:color w:val="231F20"/>
          <w:w w:val="105"/>
        </w:rPr>
        <w:t>y</w:t>
      </w:r>
      <w:r>
        <w:rPr>
          <w:color w:val="231F20"/>
          <w:spacing w:val="-23"/>
          <w:w w:val="105"/>
        </w:rPr>
        <w:t> </w:t>
      </w:r>
      <w:r>
        <w:rPr>
          <w:color w:val="231F20"/>
          <w:w w:val="105"/>
        </w:rPr>
        <w:t>fuentes</w:t>
      </w:r>
      <w:r>
        <w:rPr>
          <w:color w:val="231F20"/>
          <w:spacing w:val="-23"/>
          <w:w w:val="105"/>
        </w:rPr>
        <w:t> </w:t>
      </w:r>
      <w:r>
        <w:rPr>
          <w:color w:val="231F20"/>
          <w:w w:val="105"/>
        </w:rPr>
        <w:t>de</w:t>
      </w:r>
      <w:r>
        <w:rPr>
          <w:color w:val="231F20"/>
          <w:spacing w:val="-23"/>
          <w:w w:val="105"/>
        </w:rPr>
        <w:t> </w:t>
      </w:r>
      <w:r>
        <w:rPr>
          <w:color w:val="231F20"/>
          <w:w w:val="105"/>
        </w:rPr>
        <w:t>financiamiento,</w:t>
      </w:r>
      <w:r>
        <w:rPr>
          <w:color w:val="231F20"/>
          <w:spacing w:val="-23"/>
          <w:w w:val="105"/>
        </w:rPr>
        <w:t> </w:t>
      </w:r>
      <w:r>
        <w:rPr>
          <w:color w:val="231F20"/>
          <w:w w:val="105"/>
        </w:rPr>
        <w:t>a</w:t>
      </w:r>
      <w:r>
        <w:rPr>
          <w:color w:val="231F20"/>
          <w:spacing w:val="-23"/>
          <w:w w:val="105"/>
        </w:rPr>
        <w:t> </w:t>
      </w:r>
      <w:r>
        <w:rPr>
          <w:color w:val="231F20"/>
          <w:spacing w:val="2"/>
          <w:w w:val="105"/>
        </w:rPr>
        <w:t>fin</w:t>
      </w:r>
      <w:r>
        <w:rPr>
          <w:color w:val="231F20"/>
          <w:spacing w:val="-23"/>
          <w:w w:val="105"/>
        </w:rPr>
        <w:t> </w:t>
      </w:r>
      <w:r>
        <w:rPr>
          <w:color w:val="231F20"/>
          <w:w w:val="105"/>
        </w:rPr>
        <w:t>de</w:t>
      </w:r>
      <w:r>
        <w:rPr>
          <w:color w:val="231F20"/>
          <w:spacing w:val="-23"/>
          <w:w w:val="105"/>
        </w:rPr>
        <w:t> </w:t>
      </w:r>
      <w:r>
        <w:rPr>
          <w:color w:val="231F20"/>
          <w:w w:val="105"/>
        </w:rPr>
        <w:t>ampliar</w:t>
      </w:r>
      <w:r>
        <w:rPr>
          <w:color w:val="231F20"/>
          <w:spacing w:val="-23"/>
          <w:w w:val="105"/>
        </w:rPr>
        <w:t> </w:t>
      </w:r>
      <w:r>
        <w:rPr>
          <w:color w:val="231F20"/>
          <w:w w:val="105"/>
        </w:rPr>
        <w:t>la</w:t>
      </w:r>
      <w:r>
        <w:rPr>
          <w:color w:val="231F20"/>
          <w:spacing w:val="-23"/>
          <w:w w:val="105"/>
        </w:rPr>
        <w:t> </w:t>
      </w:r>
      <w:r>
        <w:rPr>
          <w:color w:val="231F20"/>
          <w:w w:val="105"/>
        </w:rPr>
        <w:t>capacidad</w:t>
      </w:r>
      <w:r>
        <w:rPr>
          <w:color w:val="231F20"/>
          <w:spacing w:val="-23"/>
          <w:w w:val="105"/>
        </w:rPr>
        <w:t> </w:t>
      </w:r>
      <w:r>
        <w:rPr>
          <w:color w:val="231F20"/>
          <w:w w:val="105"/>
        </w:rPr>
        <w:t>de</w:t>
      </w:r>
      <w:r>
        <w:rPr>
          <w:color w:val="231F20"/>
          <w:spacing w:val="-23"/>
          <w:w w:val="105"/>
        </w:rPr>
        <w:t> </w:t>
      </w:r>
      <w:r>
        <w:rPr>
          <w:color w:val="231F20"/>
          <w:w w:val="105"/>
        </w:rPr>
        <w:t>respuesta gubernamental</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transparencia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ejercicio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recursos</w:t>
      </w:r>
      <w:r>
        <w:rPr>
          <w:color w:val="231F20"/>
          <w:spacing w:val="-16"/>
          <w:w w:val="105"/>
        </w:rPr>
        <w:t> </w:t>
      </w:r>
      <w:r>
        <w:rPr>
          <w:color w:val="231F20"/>
          <w:w w:val="105"/>
        </w:rPr>
        <w:t>públicos</w:t>
      </w:r>
      <w:r>
        <w:rPr>
          <w:color w:val="231F20"/>
          <w:spacing w:val="-16"/>
          <w:w w:val="105"/>
        </w:rPr>
        <w:t> </w:t>
      </w:r>
      <w:r>
        <w:rPr>
          <w:color w:val="231F20"/>
          <w:w w:val="105"/>
        </w:rPr>
        <w:t>(Plan</w:t>
      </w:r>
      <w:r>
        <w:rPr>
          <w:color w:val="231F20"/>
          <w:spacing w:val="-16"/>
          <w:w w:val="105"/>
        </w:rPr>
        <w:t> </w:t>
      </w:r>
      <w:r>
        <w:rPr>
          <w:color w:val="231F20"/>
          <w:w w:val="105"/>
        </w:rPr>
        <w:t>de</w:t>
      </w:r>
      <w:r>
        <w:rPr>
          <w:color w:val="231F20"/>
          <w:spacing w:val="-16"/>
          <w:w w:val="105"/>
        </w:rPr>
        <w:t> </w:t>
      </w:r>
      <w:r>
        <w:rPr>
          <w:color w:val="231F20"/>
          <w:w w:val="105"/>
        </w:rPr>
        <w:t>Desa- rrollo</w:t>
      </w:r>
      <w:r>
        <w:rPr>
          <w:color w:val="231F20"/>
          <w:spacing w:val="-33"/>
          <w:w w:val="105"/>
        </w:rPr>
        <w:t> </w:t>
      </w:r>
      <w:r>
        <w:rPr>
          <w:color w:val="231F20"/>
          <w:w w:val="105"/>
        </w:rPr>
        <w:t>Municipal,</w:t>
      </w:r>
      <w:r>
        <w:rPr>
          <w:color w:val="231F20"/>
          <w:spacing w:val="-33"/>
          <w:w w:val="105"/>
        </w:rPr>
        <w:t> </w:t>
      </w:r>
      <w:r>
        <w:rPr>
          <w:color w:val="231F20"/>
          <w:spacing w:val="3"/>
          <w:w w:val="105"/>
        </w:rPr>
        <w:t>2006:</w:t>
      </w:r>
      <w:r>
        <w:rPr>
          <w:color w:val="231F20"/>
          <w:spacing w:val="-33"/>
          <w:w w:val="105"/>
        </w:rPr>
        <w:t> </w:t>
      </w:r>
      <w:r>
        <w:rPr>
          <w:color w:val="231F20"/>
          <w:spacing w:val="-5"/>
          <w:w w:val="105"/>
        </w:rPr>
        <w:t>112).</w:t>
      </w:r>
    </w:p>
    <w:p>
      <w:pPr>
        <w:pStyle w:val="BodyText"/>
        <w:spacing w:before="1"/>
        <w:rPr>
          <w:sz w:val="26"/>
        </w:rPr>
      </w:pPr>
    </w:p>
    <w:p>
      <w:pPr>
        <w:pStyle w:val="Heading5"/>
        <w:ind w:left="538" w:right="576"/>
        <w:jc w:val="center"/>
      </w:pPr>
      <w:r>
        <w:rPr>
          <w:color w:val="231F20"/>
          <w:w w:val="105"/>
        </w:rPr>
        <w:t>Cuadro 11</w:t>
      </w:r>
    </w:p>
    <w:p>
      <w:pPr>
        <w:spacing w:before="47"/>
        <w:ind w:left="200" w:right="0" w:firstLine="0"/>
        <w:jc w:val="both"/>
        <w:rPr>
          <w:b/>
          <w:sz w:val="22"/>
        </w:rPr>
      </w:pPr>
      <w:r>
        <w:rPr>
          <w:b/>
          <w:color w:val="231F20"/>
          <w:w w:val="105"/>
          <w:sz w:val="22"/>
        </w:rPr>
        <w:t>Clasificación Programática de la Demanda. Cimiento para la Seguridad Integral</w:t>
      </w:r>
    </w:p>
    <w:p>
      <w:pPr>
        <w:spacing w:before="99"/>
        <w:ind w:left="5036" w:right="0" w:firstLine="0"/>
        <w:jc w:val="left"/>
        <w:rPr>
          <w:rFonts w:ascii="Calibri"/>
          <w:sz w:val="16"/>
        </w:rPr>
      </w:pPr>
      <w:r>
        <w:rPr/>
        <w:pict>
          <v:group style="position:absolute;margin-left:42.269699pt;margin-top:42.567188pt;width:398.75pt;height:6.9pt;mso-position-horizontal-relative:page;mso-position-vertical-relative:paragraph;z-index:-593248" coordorigin="845,851" coordsize="7975,138">
            <v:shape style="position:absolute;left:858;top:856;width:7950;height:133" coordorigin="858,856" coordsize="7950,133" path="m8807,856l5339,856,4489,856,3410,856,858,856,858,989,3410,989,4489,989,5339,989,8807,989,8807,856e" filled="true" fillcolor="#c0c0bf" stroked="false">
              <v:path arrowok="t"/>
              <v:fill type="solid"/>
            </v:shape>
            <v:line style="position:absolute" from="858,981" to="858,861" stroked="true" strokeweight=".75pt" strokecolor="#ffffff"/>
            <v:line style="position:absolute" from="8807,981" to="8807,861" stroked="true" strokeweight=".75pt" strokecolor="#ffffff"/>
            <v:line style="position:absolute" from="850,856" to="3410,856" stroked="true" strokeweight=".5pt" strokecolor="#231f20"/>
            <v:line style="position:absolute" from="3410,856" to="4489,856" stroked="true" strokeweight=".5pt" strokecolor="#231f20"/>
            <v:line style="position:absolute" from="4489,856" to="5339,856" stroked="true" strokeweight=".5pt" strokecolor="#231f20"/>
            <v:line style="position:absolute" from="5339,856" to="8815,856" stroked="true" strokeweight=".5pt" strokecolor="#231f20"/>
            <w10:wrap type="none"/>
          </v:group>
        </w:pict>
      </w:r>
      <w:r>
        <w:rPr>
          <w:rFonts w:ascii="Calibri"/>
          <w:color w:val="231F20"/>
          <w:w w:val="95"/>
          <w:sz w:val="16"/>
        </w:rPr>
        <w:t>FUENTE: Plan de Desarrollo Municipal (2007:84)</w:t>
      </w:r>
    </w:p>
    <w:p>
      <w:pPr>
        <w:pStyle w:val="BodyText"/>
        <w:rPr>
          <w:rFonts w:ascii="Calibri"/>
          <w:sz w:val="20"/>
        </w:rPr>
      </w:pPr>
    </w:p>
    <w:p>
      <w:pPr>
        <w:pStyle w:val="BodyText"/>
        <w:spacing w:before="7"/>
        <w:rPr>
          <w:rFonts w:ascii="Calibri"/>
          <w:sz w:val="25"/>
        </w:rPr>
      </w:pPr>
    </w:p>
    <w:tbl>
      <w:tblPr>
        <w:tblW w:w="0" w:type="auto"/>
        <w:jc w:val="left"/>
        <w:tblInd w:w="10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58"/>
        <w:gridCol w:w="1080"/>
        <w:gridCol w:w="850"/>
        <w:gridCol w:w="3473"/>
      </w:tblGrid>
      <w:tr>
        <w:trPr>
          <w:trHeight w:val="138" w:hRule="exact"/>
        </w:trPr>
        <w:tc>
          <w:tcPr>
            <w:tcW w:w="2558" w:type="dxa"/>
            <w:tcBorders>
              <w:top w:val="nil"/>
              <w:left w:val="nil"/>
              <w:bottom w:val="single" w:sz="6" w:space="0" w:color="FFFFFF"/>
              <w:right w:val="nil"/>
            </w:tcBorders>
            <w:shd w:val="clear" w:color="auto" w:fill="C0C0BF"/>
          </w:tcPr>
          <w:p>
            <w:pPr>
              <w:pStyle w:val="TableParagraph"/>
              <w:spacing w:line="170" w:lineRule="exact"/>
              <w:ind w:left="964" w:right="959"/>
              <w:jc w:val="center"/>
              <w:rPr>
                <w:sz w:val="16"/>
              </w:rPr>
            </w:pPr>
            <w:r>
              <w:rPr>
                <w:color w:val="231F20"/>
                <w:w w:val="85"/>
                <w:sz w:val="16"/>
              </w:rPr>
              <w:t>Programas</w:t>
            </w:r>
          </w:p>
        </w:tc>
        <w:tc>
          <w:tcPr>
            <w:tcW w:w="1080" w:type="dxa"/>
            <w:tcBorders>
              <w:top w:val="nil"/>
              <w:left w:val="nil"/>
              <w:bottom w:val="single" w:sz="6" w:space="0" w:color="FFFFFF"/>
              <w:right w:val="nil"/>
            </w:tcBorders>
            <w:shd w:val="clear" w:color="auto" w:fill="C0C0BF"/>
          </w:tcPr>
          <w:p>
            <w:pPr>
              <w:pStyle w:val="TableParagraph"/>
              <w:spacing w:line="170" w:lineRule="exact"/>
              <w:ind w:left="272" w:right="272"/>
              <w:jc w:val="center"/>
              <w:rPr>
                <w:sz w:val="16"/>
              </w:rPr>
            </w:pPr>
            <w:r>
              <w:rPr>
                <w:color w:val="231F20"/>
                <w:w w:val="85"/>
                <w:sz w:val="16"/>
              </w:rPr>
              <w:t>Cantidad</w:t>
            </w:r>
          </w:p>
        </w:tc>
        <w:tc>
          <w:tcPr>
            <w:tcW w:w="850" w:type="dxa"/>
            <w:tcBorders>
              <w:top w:val="nil"/>
              <w:left w:val="nil"/>
              <w:bottom w:val="single" w:sz="6" w:space="0" w:color="FFFFFF"/>
              <w:right w:val="nil"/>
            </w:tcBorders>
            <w:shd w:val="clear" w:color="auto" w:fill="C0C0BF"/>
          </w:tcPr>
          <w:p>
            <w:pPr>
              <w:pStyle w:val="TableParagraph"/>
              <w:spacing w:line="170" w:lineRule="exact"/>
              <w:ind w:left="345"/>
              <w:rPr>
                <w:sz w:val="16"/>
              </w:rPr>
            </w:pPr>
            <w:r>
              <w:rPr>
                <w:color w:val="231F20"/>
                <w:w w:val="95"/>
                <w:sz w:val="16"/>
              </w:rPr>
              <w:t>%*</w:t>
            </w:r>
          </w:p>
        </w:tc>
        <w:tc>
          <w:tcPr>
            <w:tcW w:w="3473" w:type="dxa"/>
            <w:tcBorders>
              <w:top w:val="nil"/>
              <w:left w:val="nil"/>
              <w:bottom w:val="single" w:sz="6" w:space="0" w:color="FFFFFF"/>
              <w:right w:val="nil"/>
            </w:tcBorders>
            <w:shd w:val="clear" w:color="auto" w:fill="C0C0BF"/>
          </w:tcPr>
          <w:p>
            <w:pPr>
              <w:pStyle w:val="TableParagraph"/>
              <w:spacing w:line="170" w:lineRule="exact"/>
              <w:ind w:left="1016" w:right="1019"/>
              <w:jc w:val="center"/>
              <w:rPr>
                <w:sz w:val="16"/>
              </w:rPr>
            </w:pPr>
            <w:r>
              <w:rPr>
                <w:color w:val="231F20"/>
                <w:w w:val="75"/>
                <w:sz w:val="16"/>
              </w:rPr>
              <w:t>Demanda de mayor solicitud</w:t>
            </w:r>
          </w:p>
        </w:tc>
      </w:tr>
      <w:tr>
        <w:trPr>
          <w:trHeight w:val="164" w:hRule="exact"/>
        </w:trPr>
        <w:tc>
          <w:tcPr>
            <w:tcW w:w="2558" w:type="dxa"/>
            <w:tcBorders>
              <w:top w:val="single" w:sz="6" w:space="0" w:color="FFFFFF"/>
              <w:left w:val="double" w:sz="2" w:space="0" w:color="231F20"/>
            </w:tcBorders>
          </w:tcPr>
          <w:p>
            <w:pPr>
              <w:pStyle w:val="TableParagraph"/>
              <w:spacing w:line="191" w:lineRule="exact"/>
              <w:ind w:left="238" w:right="243"/>
              <w:jc w:val="center"/>
              <w:rPr>
                <w:sz w:val="16"/>
              </w:rPr>
            </w:pPr>
            <w:r>
              <w:rPr>
                <w:color w:val="231F20"/>
                <w:w w:val="80"/>
                <w:sz w:val="16"/>
              </w:rPr>
              <w:t>Apoyo a las políticas gubernamentales</w:t>
            </w:r>
          </w:p>
        </w:tc>
        <w:tc>
          <w:tcPr>
            <w:tcW w:w="1080" w:type="dxa"/>
            <w:tcBorders>
              <w:top w:val="single" w:sz="6" w:space="0" w:color="FFFFFF"/>
            </w:tcBorders>
          </w:tcPr>
          <w:p>
            <w:pPr>
              <w:pStyle w:val="TableParagraph"/>
              <w:spacing w:line="163" w:lineRule="exact"/>
              <w:ind w:left="0"/>
              <w:jc w:val="center"/>
              <w:rPr>
                <w:sz w:val="16"/>
              </w:rPr>
            </w:pPr>
            <w:r>
              <w:rPr>
                <w:color w:val="231F20"/>
                <w:w w:val="75"/>
                <w:sz w:val="16"/>
              </w:rPr>
              <w:t>4</w:t>
            </w:r>
          </w:p>
        </w:tc>
        <w:tc>
          <w:tcPr>
            <w:tcW w:w="850" w:type="dxa"/>
            <w:tcBorders>
              <w:top w:val="single" w:sz="6" w:space="0" w:color="FFFFFF"/>
            </w:tcBorders>
          </w:tcPr>
          <w:p>
            <w:pPr>
              <w:pStyle w:val="TableParagraph"/>
              <w:spacing w:line="163" w:lineRule="exact"/>
              <w:ind w:left="343"/>
              <w:rPr>
                <w:sz w:val="16"/>
              </w:rPr>
            </w:pPr>
            <w:r>
              <w:rPr>
                <w:color w:val="231F20"/>
                <w:w w:val="85"/>
                <w:sz w:val="16"/>
              </w:rPr>
              <w:t>0.9</w:t>
            </w:r>
          </w:p>
        </w:tc>
        <w:tc>
          <w:tcPr>
            <w:tcW w:w="3473" w:type="dxa"/>
            <w:tcBorders>
              <w:top w:val="single" w:sz="6" w:space="0" w:color="FFFFFF"/>
              <w:right w:val="double" w:sz="2" w:space="0" w:color="231F20"/>
            </w:tcBorders>
          </w:tcPr>
          <w:p>
            <w:pPr>
              <w:pStyle w:val="TableParagraph"/>
              <w:spacing w:line="163" w:lineRule="exact"/>
              <w:ind w:left="1216" w:right="1217"/>
              <w:jc w:val="center"/>
              <w:rPr>
                <w:sz w:val="16"/>
              </w:rPr>
            </w:pPr>
            <w:r>
              <w:rPr>
                <w:color w:val="231F20"/>
                <w:w w:val="75"/>
                <w:sz w:val="16"/>
              </w:rPr>
              <w:t>Apoyo Delegaciones</w:t>
            </w:r>
          </w:p>
        </w:tc>
      </w:tr>
      <w:tr>
        <w:trPr>
          <w:trHeight w:val="193" w:hRule="exact"/>
        </w:trPr>
        <w:tc>
          <w:tcPr>
            <w:tcW w:w="2558" w:type="dxa"/>
            <w:tcBorders>
              <w:left w:val="double" w:sz="2" w:space="0" w:color="231F20"/>
            </w:tcBorders>
          </w:tcPr>
          <w:p>
            <w:pPr>
              <w:pStyle w:val="TableParagraph"/>
              <w:spacing w:line="192" w:lineRule="exact" w:before="31"/>
              <w:ind w:left="238" w:right="243"/>
              <w:jc w:val="center"/>
              <w:rPr>
                <w:sz w:val="16"/>
              </w:rPr>
            </w:pPr>
            <w:r>
              <w:rPr>
                <w:color w:val="231F20"/>
                <w:w w:val="75"/>
                <w:sz w:val="16"/>
              </w:rPr>
              <w:t>Fortalecimiento de la participación  social</w:t>
            </w:r>
          </w:p>
        </w:tc>
        <w:tc>
          <w:tcPr>
            <w:tcW w:w="1080" w:type="dxa"/>
          </w:tcPr>
          <w:p>
            <w:pPr>
              <w:pStyle w:val="TableParagraph"/>
              <w:spacing w:line="163" w:lineRule="exact"/>
              <w:ind w:left="0"/>
              <w:jc w:val="center"/>
              <w:rPr>
                <w:sz w:val="16"/>
              </w:rPr>
            </w:pPr>
            <w:r>
              <w:rPr>
                <w:color w:val="231F20"/>
                <w:w w:val="75"/>
                <w:sz w:val="16"/>
              </w:rPr>
              <w:t>3</w:t>
            </w:r>
          </w:p>
        </w:tc>
        <w:tc>
          <w:tcPr>
            <w:tcW w:w="850" w:type="dxa"/>
          </w:tcPr>
          <w:p>
            <w:pPr>
              <w:pStyle w:val="TableParagraph"/>
              <w:spacing w:line="163" w:lineRule="exact"/>
              <w:ind w:left="343"/>
              <w:rPr>
                <w:sz w:val="16"/>
              </w:rPr>
            </w:pPr>
            <w:r>
              <w:rPr>
                <w:color w:val="231F20"/>
                <w:w w:val="85"/>
                <w:sz w:val="16"/>
              </w:rPr>
              <w:t>0.7</w:t>
            </w:r>
          </w:p>
        </w:tc>
        <w:tc>
          <w:tcPr>
            <w:tcW w:w="3473" w:type="dxa"/>
            <w:tcBorders>
              <w:right w:val="double" w:sz="2" w:space="0" w:color="231F20"/>
            </w:tcBorders>
          </w:tcPr>
          <w:p>
            <w:pPr>
              <w:pStyle w:val="TableParagraph"/>
              <w:spacing w:line="163" w:lineRule="exact"/>
              <w:ind w:left="1216" w:right="1216"/>
              <w:jc w:val="center"/>
              <w:rPr>
                <w:sz w:val="16"/>
              </w:rPr>
            </w:pPr>
            <w:r>
              <w:rPr>
                <w:color w:val="231F20"/>
                <w:w w:val="75"/>
                <w:sz w:val="16"/>
              </w:rPr>
              <w:t>Gestión pública</w:t>
            </w:r>
          </w:p>
        </w:tc>
      </w:tr>
      <w:tr>
        <w:trPr>
          <w:trHeight w:val="240" w:hRule="exact"/>
        </w:trPr>
        <w:tc>
          <w:tcPr>
            <w:tcW w:w="2558" w:type="dxa"/>
            <w:tcBorders>
              <w:left w:val="double" w:sz="2" w:space="0" w:color="231F20"/>
              <w:bottom w:val="double" w:sz="2" w:space="0" w:color="231F20"/>
            </w:tcBorders>
          </w:tcPr>
          <w:p>
            <w:pPr>
              <w:pStyle w:val="TableParagraph"/>
              <w:spacing w:line="192" w:lineRule="exact" w:before="63"/>
              <w:ind w:left="238" w:right="243"/>
              <w:jc w:val="center"/>
              <w:rPr>
                <w:b/>
                <w:sz w:val="16"/>
              </w:rPr>
            </w:pPr>
            <w:r>
              <w:rPr>
                <w:b/>
                <w:color w:val="231F20"/>
                <w:w w:val="110"/>
                <w:sz w:val="16"/>
              </w:rPr>
              <w:t>Total</w:t>
            </w:r>
          </w:p>
        </w:tc>
        <w:tc>
          <w:tcPr>
            <w:tcW w:w="1080" w:type="dxa"/>
            <w:tcBorders>
              <w:bottom w:val="double" w:sz="2" w:space="0" w:color="231F20"/>
            </w:tcBorders>
          </w:tcPr>
          <w:p>
            <w:pPr>
              <w:pStyle w:val="TableParagraph"/>
              <w:spacing w:line="163" w:lineRule="exact"/>
              <w:ind w:left="0"/>
              <w:jc w:val="center"/>
              <w:rPr>
                <w:sz w:val="16"/>
              </w:rPr>
            </w:pPr>
            <w:r>
              <w:rPr>
                <w:color w:val="231F20"/>
                <w:w w:val="75"/>
                <w:sz w:val="16"/>
              </w:rPr>
              <w:t>7</w:t>
            </w:r>
          </w:p>
        </w:tc>
        <w:tc>
          <w:tcPr>
            <w:tcW w:w="850" w:type="dxa"/>
            <w:tcBorders>
              <w:bottom w:val="double" w:sz="2" w:space="0" w:color="231F20"/>
            </w:tcBorders>
          </w:tcPr>
          <w:p>
            <w:pPr>
              <w:pStyle w:val="TableParagraph"/>
              <w:spacing w:line="163" w:lineRule="exact"/>
              <w:ind w:left="344"/>
              <w:rPr>
                <w:sz w:val="16"/>
              </w:rPr>
            </w:pPr>
            <w:r>
              <w:rPr>
                <w:color w:val="231F20"/>
                <w:w w:val="85"/>
                <w:sz w:val="16"/>
              </w:rPr>
              <w:t>1.6</w:t>
            </w:r>
          </w:p>
        </w:tc>
        <w:tc>
          <w:tcPr>
            <w:tcW w:w="3473" w:type="dxa"/>
            <w:tcBorders>
              <w:bottom w:val="double" w:sz="2" w:space="0" w:color="231F20"/>
              <w:right w:val="double" w:sz="2" w:space="0" w:color="231F20"/>
            </w:tcBorders>
          </w:tcPr>
          <w:p>
            <w:pPr/>
          </w:p>
        </w:tc>
      </w:tr>
    </w:tbl>
    <w:p>
      <w:pPr>
        <w:pStyle w:val="BodyText"/>
        <w:spacing w:before="9"/>
        <w:rPr>
          <w:rFonts w:ascii="Calibri"/>
          <w:sz w:val="17"/>
        </w:rPr>
      </w:pPr>
    </w:p>
    <w:p>
      <w:pPr>
        <w:pStyle w:val="BodyText"/>
        <w:spacing w:line="285" w:lineRule="auto" w:before="36"/>
        <w:ind w:left="110"/>
      </w:pPr>
      <w:r>
        <w:rPr>
          <w:color w:val="231F20"/>
          <w:w w:val="105"/>
        </w:rPr>
        <w:t>Respecto a la administración de la gestión y de los servicios públicos, en la estructura administrativa se planteó como prioritaria la realización de un estudio de estructu-</w:t>
      </w:r>
    </w:p>
    <w:p>
      <w:pPr>
        <w:spacing w:after="0" w:line="285" w:lineRule="auto"/>
        <w:sectPr>
          <w:pgSz w:w="9640" w:h="12190"/>
          <w:pgMar w:header="0" w:footer="743" w:top="1120" w:bottom="940" w:left="740" w:right="700"/>
        </w:sectPr>
      </w:pPr>
    </w:p>
    <w:p>
      <w:pPr>
        <w:pStyle w:val="BodyText"/>
        <w:spacing w:before="3"/>
        <w:rPr>
          <w:sz w:val="11"/>
        </w:rPr>
      </w:pPr>
    </w:p>
    <w:p>
      <w:pPr>
        <w:pStyle w:val="BodyText"/>
        <w:spacing w:line="285" w:lineRule="auto" w:before="36"/>
        <w:ind w:left="110" w:right="108"/>
        <w:jc w:val="both"/>
      </w:pPr>
      <w:r>
        <w:rPr>
          <w:color w:val="231F20"/>
          <w:w w:val="105"/>
        </w:rPr>
        <w:t>ración administrativa que permitiera ordenar el ejercicio administrativo, funcional y nominal del aparato público del Ayuntamiento.</w:t>
      </w:r>
    </w:p>
    <w:p>
      <w:pPr>
        <w:pStyle w:val="BodyText"/>
        <w:spacing w:before="1"/>
        <w:rPr>
          <w:sz w:val="26"/>
        </w:rPr>
      </w:pPr>
    </w:p>
    <w:p>
      <w:pPr>
        <w:pStyle w:val="BodyText"/>
        <w:spacing w:line="285" w:lineRule="auto"/>
        <w:ind w:left="110" w:right="108"/>
        <w:jc w:val="both"/>
      </w:pPr>
      <w:r>
        <w:rPr>
          <w:color w:val="231F20"/>
          <w:spacing w:val="-3"/>
          <w:w w:val="105"/>
        </w:rPr>
        <w:t>Referente</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administración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Recursos,</w:t>
      </w:r>
      <w:r>
        <w:rPr>
          <w:color w:val="231F20"/>
          <w:spacing w:val="-5"/>
          <w:w w:val="105"/>
        </w:rPr>
        <w:t> </w:t>
      </w:r>
      <w:r>
        <w:rPr>
          <w:color w:val="231F20"/>
          <w:w w:val="105"/>
        </w:rPr>
        <w:t>se</w:t>
      </w:r>
      <w:r>
        <w:rPr>
          <w:color w:val="231F20"/>
          <w:spacing w:val="-5"/>
          <w:w w:val="105"/>
        </w:rPr>
        <w:t> </w:t>
      </w:r>
      <w:r>
        <w:rPr>
          <w:color w:val="231F20"/>
          <w:w w:val="105"/>
        </w:rPr>
        <w:t>planteó</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Dirección</w:t>
      </w:r>
      <w:r>
        <w:rPr>
          <w:color w:val="231F20"/>
          <w:spacing w:val="-5"/>
          <w:w w:val="105"/>
        </w:rPr>
        <w:t> </w:t>
      </w:r>
      <w:r>
        <w:rPr>
          <w:color w:val="231F20"/>
          <w:w w:val="105"/>
        </w:rPr>
        <w:t>de</w:t>
      </w:r>
      <w:r>
        <w:rPr>
          <w:color w:val="231F20"/>
          <w:spacing w:val="-5"/>
          <w:w w:val="105"/>
        </w:rPr>
        <w:t> </w:t>
      </w:r>
      <w:r>
        <w:rPr>
          <w:color w:val="231F20"/>
          <w:w w:val="105"/>
        </w:rPr>
        <w:t>adminis- tración participara con acciones concretas</w:t>
      </w:r>
      <w:r>
        <w:rPr>
          <w:color w:val="231F20"/>
          <w:spacing w:val="-38"/>
          <w:w w:val="105"/>
        </w:rPr>
        <w:t> </w:t>
      </w:r>
      <w:r>
        <w:rPr>
          <w:color w:val="231F20"/>
          <w:spacing w:val="-3"/>
          <w:w w:val="105"/>
        </w:rPr>
        <w:t>como:</w:t>
      </w:r>
    </w:p>
    <w:p>
      <w:pPr>
        <w:pStyle w:val="BodyText"/>
        <w:spacing w:line="285" w:lineRule="auto" w:before="1"/>
        <w:ind w:left="677" w:right="108"/>
        <w:jc w:val="both"/>
      </w:pPr>
      <w:r>
        <w:rPr>
          <w:color w:val="231F20"/>
          <w:w w:val="105"/>
        </w:rPr>
        <w:t>Integrar el control patrimonial del Ayuntamiento estructural y administrativa- mente, fortaleciendo el área de recursos materiales y programando acciones de actualización y control.</w:t>
      </w:r>
    </w:p>
    <w:p>
      <w:pPr>
        <w:pStyle w:val="BodyText"/>
        <w:spacing w:line="285" w:lineRule="auto" w:before="1"/>
        <w:ind w:left="677" w:right="108"/>
        <w:jc w:val="both"/>
      </w:pPr>
      <w:r>
        <w:rPr>
          <w:color w:val="231F20"/>
        </w:rPr>
        <w:t>Contemplar la realización de proyectos de adecuación y redistribución de espa-  cios y personal, mantenimiento, mejoramiento y ampliación de   </w:t>
      </w:r>
      <w:r>
        <w:rPr>
          <w:color w:val="231F20"/>
          <w:spacing w:val="51"/>
        </w:rPr>
        <w:t> </w:t>
      </w:r>
      <w:r>
        <w:rPr>
          <w:color w:val="231F20"/>
        </w:rPr>
        <w:t>instalaciones.</w:t>
      </w:r>
    </w:p>
    <w:p>
      <w:pPr>
        <w:pStyle w:val="BodyText"/>
        <w:spacing w:line="285" w:lineRule="auto" w:before="1"/>
        <w:ind w:left="677" w:right="108"/>
        <w:jc w:val="both"/>
      </w:pPr>
      <w:r>
        <w:rPr>
          <w:color w:val="231F20"/>
          <w:w w:val="105"/>
        </w:rPr>
        <w:t>Elaboración de un programa de Servicios Generales que se deben prestar a las diferentes dependencias del ayuntamiento.</w:t>
      </w:r>
    </w:p>
    <w:p>
      <w:pPr>
        <w:pStyle w:val="BodyText"/>
        <w:spacing w:line="285" w:lineRule="auto" w:before="1"/>
        <w:ind w:left="677" w:right="107"/>
        <w:jc w:val="both"/>
      </w:pPr>
      <w:r>
        <w:rPr>
          <w:color w:val="231F20"/>
          <w:w w:val="105"/>
        </w:rPr>
        <w:t>Construcción o adaptación de un edificio que funcione como almacén para el resguardo y control de bienes generales.</w:t>
      </w:r>
    </w:p>
    <w:p>
      <w:pPr>
        <w:pStyle w:val="BodyText"/>
        <w:spacing w:line="285" w:lineRule="auto" w:before="1"/>
        <w:ind w:left="677" w:right="107"/>
        <w:jc w:val="both"/>
      </w:pPr>
      <w:r>
        <w:rPr>
          <w:color w:val="231F20"/>
          <w:spacing w:val="-3"/>
          <w:w w:val="105"/>
        </w:rPr>
        <w:t>También</w:t>
      </w:r>
      <w:r>
        <w:rPr>
          <w:color w:val="231F20"/>
          <w:spacing w:val="-10"/>
          <w:w w:val="105"/>
        </w:rPr>
        <w:t> </w:t>
      </w:r>
      <w:r>
        <w:rPr>
          <w:color w:val="231F20"/>
          <w:w w:val="105"/>
        </w:rPr>
        <w:t>se</w:t>
      </w:r>
      <w:r>
        <w:rPr>
          <w:color w:val="231F20"/>
          <w:spacing w:val="-10"/>
          <w:w w:val="105"/>
        </w:rPr>
        <w:t> </w:t>
      </w:r>
      <w:r>
        <w:rPr>
          <w:color w:val="231F20"/>
          <w:w w:val="105"/>
        </w:rPr>
        <w:t>deberán</w:t>
      </w:r>
      <w:r>
        <w:rPr>
          <w:color w:val="231F20"/>
          <w:spacing w:val="-10"/>
          <w:w w:val="105"/>
        </w:rPr>
        <w:t> </w:t>
      </w:r>
      <w:r>
        <w:rPr>
          <w:color w:val="231F20"/>
          <w:w w:val="105"/>
        </w:rPr>
        <w:t>establecer</w:t>
      </w:r>
      <w:r>
        <w:rPr>
          <w:color w:val="231F20"/>
          <w:spacing w:val="-10"/>
          <w:w w:val="105"/>
        </w:rPr>
        <w:t> </w:t>
      </w:r>
      <w:r>
        <w:rPr>
          <w:color w:val="231F20"/>
          <w:w w:val="105"/>
        </w:rPr>
        <w:t>procedimientos</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tesorería</w:t>
      </w:r>
      <w:r>
        <w:rPr>
          <w:color w:val="231F20"/>
          <w:spacing w:val="-10"/>
          <w:w w:val="105"/>
        </w:rPr>
        <w:t> </w:t>
      </w:r>
      <w:r>
        <w:rPr>
          <w:color w:val="231F20"/>
          <w:w w:val="105"/>
        </w:rPr>
        <w:t>para</w:t>
      </w:r>
      <w:r>
        <w:rPr>
          <w:color w:val="231F20"/>
          <w:spacing w:val="-10"/>
          <w:w w:val="105"/>
        </w:rPr>
        <w:t> </w:t>
      </w:r>
      <w:r>
        <w:rPr>
          <w:color w:val="231F20"/>
          <w:w w:val="105"/>
        </w:rPr>
        <w:t>que,</w:t>
      </w:r>
      <w:r>
        <w:rPr>
          <w:color w:val="231F20"/>
          <w:spacing w:val="-10"/>
          <w:w w:val="105"/>
        </w:rPr>
        <w:t> </w:t>
      </w:r>
      <w:r>
        <w:rPr>
          <w:color w:val="231F20"/>
          <w:w w:val="105"/>
        </w:rPr>
        <w:t>una</w:t>
      </w:r>
      <w:r>
        <w:rPr>
          <w:color w:val="231F20"/>
          <w:spacing w:val="-10"/>
          <w:w w:val="105"/>
        </w:rPr>
        <w:t> </w:t>
      </w:r>
      <w:r>
        <w:rPr>
          <w:color w:val="231F20"/>
          <w:w w:val="105"/>
        </w:rPr>
        <w:t>vez concluido el proceso de adquisición de bienes, cualquiera que sea su</w:t>
      </w:r>
      <w:r>
        <w:rPr>
          <w:color w:val="231F20"/>
          <w:spacing w:val="-40"/>
          <w:w w:val="105"/>
        </w:rPr>
        <w:t> </w:t>
      </w:r>
      <w:r>
        <w:rPr>
          <w:color w:val="231F20"/>
          <w:w w:val="105"/>
        </w:rPr>
        <w:t>naturaleza, inicie</w:t>
      </w:r>
      <w:r>
        <w:rPr>
          <w:color w:val="231F20"/>
          <w:spacing w:val="-9"/>
          <w:w w:val="105"/>
        </w:rPr>
        <w:t> </w:t>
      </w:r>
      <w:r>
        <w:rPr>
          <w:color w:val="231F20"/>
          <w:w w:val="105"/>
        </w:rPr>
        <w:t>el</w:t>
      </w:r>
      <w:r>
        <w:rPr>
          <w:color w:val="231F20"/>
          <w:spacing w:val="-9"/>
          <w:w w:val="105"/>
        </w:rPr>
        <w:t> </w:t>
      </w:r>
      <w:r>
        <w:rPr>
          <w:color w:val="231F20"/>
          <w:w w:val="105"/>
        </w:rPr>
        <w:t>resguardo,</w:t>
      </w:r>
      <w:r>
        <w:rPr>
          <w:color w:val="231F20"/>
          <w:spacing w:val="-9"/>
          <w:w w:val="105"/>
        </w:rPr>
        <w:t> </w:t>
      </w:r>
      <w:r>
        <w:rPr>
          <w:color w:val="231F20"/>
          <w:w w:val="105"/>
        </w:rPr>
        <w:t>registro</w:t>
      </w:r>
      <w:r>
        <w:rPr>
          <w:color w:val="231F20"/>
          <w:spacing w:val="-9"/>
          <w:w w:val="105"/>
        </w:rPr>
        <w:t> </w:t>
      </w:r>
      <w:r>
        <w:rPr>
          <w:color w:val="231F20"/>
          <w:w w:val="105"/>
        </w:rPr>
        <w:t>y</w:t>
      </w:r>
      <w:r>
        <w:rPr>
          <w:color w:val="231F20"/>
          <w:spacing w:val="-9"/>
          <w:w w:val="105"/>
        </w:rPr>
        <w:t> </w:t>
      </w:r>
      <w:r>
        <w:rPr>
          <w:color w:val="231F20"/>
          <w:w w:val="105"/>
        </w:rPr>
        <w:t>entrega</w:t>
      </w:r>
      <w:r>
        <w:rPr>
          <w:color w:val="231F20"/>
          <w:spacing w:val="-9"/>
          <w:w w:val="105"/>
        </w:rPr>
        <w:t> </w:t>
      </w:r>
      <w:r>
        <w:rPr>
          <w:color w:val="231F20"/>
          <w:w w:val="105"/>
        </w:rPr>
        <w:t>por</w:t>
      </w:r>
      <w:r>
        <w:rPr>
          <w:color w:val="231F20"/>
          <w:spacing w:val="-9"/>
          <w:w w:val="105"/>
        </w:rPr>
        <w:t> </w:t>
      </w:r>
      <w:r>
        <w:rPr>
          <w:color w:val="231F20"/>
          <w:w w:val="105"/>
        </w:rPr>
        <w:t>parte</w:t>
      </w:r>
      <w:r>
        <w:rPr>
          <w:color w:val="231F20"/>
          <w:spacing w:val="-9"/>
          <w:w w:val="105"/>
        </w:rPr>
        <w:t> </w:t>
      </w:r>
      <w:r>
        <w:rPr>
          <w:color w:val="231F20"/>
          <w:w w:val="105"/>
        </w:rPr>
        <w:t>del</w:t>
      </w:r>
      <w:r>
        <w:rPr>
          <w:color w:val="231F20"/>
          <w:spacing w:val="-9"/>
          <w:w w:val="105"/>
        </w:rPr>
        <w:t> </w:t>
      </w:r>
      <w:r>
        <w:rPr>
          <w:color w:val="231F20"/>
          <w:w w:val="105"/>
        </w:rPr>
        <w:t>área</w:t>
      </w:r>
      <w:r>
        <w:rPr>
          <w:color w:val="231F20"/>
          <w:spacing w:val="-9"/>
          <w:w w:val="105"/>
        </w:rPr>
        <w:t> </w:t>
      </w:r>
      <w:r>
        <w:rPr>
          <w:color w:val="231F20"/>
          <w:w w:val="105"/>
        </w:rPr>
        <w:t>administrativa.</w:t>
      </w:r>
    </w:p>
    <w:p>
      <w:pPr>
        <w:pStyle w:val="BodyText"/>
        <w:spacing w:line="285" w:lineRule="auto" w:before="1"/>
        <w:ind w:left="677" w:right="107"/>
        <w:jc w:val="both"/>
      </w:pPr>
      <w:r>
        <w:rPr>
          <w:color w:val="231F20"/>
          <w:w w:val="105"/>
        </w:rPr>
        <w:t>Creación de un Departamento de Informática, encargado del mantenimiento y actualización del equipo tecnológico del ayuntamiento.</w:t>
      </w:r>
    </w:p>
    <w:p>
      <w:pPr>
        <w:pStyle w:val="BodyText"/>
        <w:spacing w:before="1"/>
        <w:rPr>
          <w:sz w:val="26"/>
        </w:rPr>
      </w:pPr>
    </w:p>
    <w:p>
      <w:pPr>
        <w:pStyle w:val="BodyText"/>
        <w:spacing w:line="285" w:lineRule="auto"/>
        <w:ind w:left="110" w:right="108"/>
        <w:jc w:val="both"/>
      </w:pPr>
      <w:r>
        <w:rPr>
          <w:color w:val="231F20"/>
          <w:w w:val="105"/>
        </w:rPr>
        <w:t>Estos</w:t>
      </w:r>
      <w:r>
        <w:rPr>
          <w:color w:val="231F20"/>
          <w:spacing w:val="-4"/>
          <w:w w:val="105"/>
        </w:rPr>
        <w:t> </w:t>
      </w:r>
      <w:r>
        <w:rPr>
          <w:color w:val="231F20"/>
          <w:w w:val="105"/>
        </w:rPr>
        <w:t>objetivos</w:t>
      </w:r>
      <w:r>
        <w:rPr>
          <w:color w:val="231F20"/>
          <w:spacing w:val="-4"/>
          <w:w w:val="105"/>
        </w:rPr>
        <w:t> </w:t>
      </w:r>
      <w:r>
        <w:rPr>
          <w:color w:val="231F20"/>
          <w:w w:val="105"/>
        </w:rPr>
        <w:t>se</w:t>
      </w:r>
      <w:r>
        <w:rPr>
          <w:color w:val="231F20"/>
          <w:spacing w:val="-4"/>
          <w:w w:val="105"/>
        </w:rPr>
        <w:t> </w:t>
      </w:r>
      <w:r>
        <w:rPr>
          <w:color w:val="231F20"/>
          <w:w w:val="105"/>
        </w:rPr>
        <w:t>complicaron</w:t>
      </w:r>
      <w:r>
        <w:rPr>
          <w:color w:val="231F20"/>
          <w:spacing w:val="-4"/>
          <w:w w:val="105"/>
        </w:rPr>
        <w:t> </w:t>
      </w:r>
      <w:r>
        <w:rPr>
          <w:color w:val="231F20"/>
          <w:w w:val="105"/>
        </w:rPr>
        <w:t>por</w:t>
      </w:r>
      <w:r>
        <w:rPr>
          <w:color w:val="231F20"/>
          <w:spacing w:val="-4"/>
          <w:w w:val="105"/>
        </w:rPr>
        <w:t> </w:t>
      </w:r>
      <w:r>
        <w:rPr>
          <w:color w:val="231F20"/>
          <w:w w:val="105"/>
        </w:rPr>
        <w:t>la</w:t>
      </w:r>
      <w:r>
        <w:rPr>
          <w:color w:val="231F20"/>
          <w:spacing w:val="-4"/>
          <w:w w:val="105"/>
        </w:rPr>
        <w:t> </w:t>
      </w:r>
      <w:r>
        <w:rPr>
          <w:color w:val="231F20"/>
          <w:w w:val="105"/>
        </w:rPr>
        <w:t>inexistencia</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titular</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dirección,</w:t>
      </w:r>
      <w:r>
        <w:rPr>
          <w:color w:val="231F20"/>
          <w:spacing w:val="-4"/>
          <w:w w:val="105"/>
        </w:rPr>
        <w:t> </w:t>
      </w:r>
      <w:r>
        <w:rPr>
          <w:color w:val="231F20"/>
          <w:w w:val="105"/>
        </w:rPr>
        <w:t>o</w:t>
      </w:r>
      <w:r>
        <w:rPr>
          <w:color w:val="231F20"/>
          <w:spacing w:val="-4"/>
          <w:w w:val="105"/>
        </w:rPr>
        <w:t> </w:t>
      </w:r>
      <w:r>
        <w:rPr>
          <w:color w:val="231F20"/>
          <w:w w:val="105"/>
        </w:rPr>
        <w:t>bien, cuando</w:t>
      </w:r>
      <w:r>
        <w:rPr>
          <w:color w:val="231F20"/>
          <w:spacing w:val="-16"/>
          <w:w w:val="105"/>
        </w:rPr>
        <w:t> </w:t>
      </w:r>
      <w:r>
        <w:rPr>
          <w:color w:val="231F20"/>
          <w:w w:val="105"/>
        </w:rPr>
        <w:t>el</w:t>
      </w:r>
      <w:r>
        <w:rPr>
          <w:color w:val="231F20"/>
          <w:spacing w:val="-16"/>
          <w:w w:val="105"/>
        </w:rPr>
        <w:t> </w:t>
      </w:r>
      <w:r>
        <w:rPr>
          <w:color w:val="231F20"/>
          <w:w w:val="105"/>
        </w:rPr>
        <w:t>responsable</w:t>
      </w:r>
      <w:r>
        <w:rPr>
          <w:color w:val="231F20"/>
          <w:spacing w:val="-16"/>
          <w:w w:val="105"/>
        </w:rPr>
        <w:t> </w:t>
      </w:r>
      <w:r>
        <w:rPr>
          <w:color w:val="231F20"/>
          <w:w w:val="105"/>
        </w:rPr>
        <w:t>es</w:t>
      </w:r>
      <w:r>
        <w:rPr>
          <w:color w:val="231F20"/>
          <w:spacing w:val="-16"/>
          <w:w w:val="105"/>
        </w:rPr>
        <w:t> </w:t>
      </w:r>
      <w:r>
        <w:rPr>
          <w:color w:val="231F20"/>
          <w:w w:val="105"/>
        </w:rPr>
        <w:t>removido</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puesto</w:t>
      </w:r>
      <w:r>
        <w:rPr>
          <w:color w:val="231F20"/>
          <w:spacing w:val="-16"/>
          <w:w w:val="105"/>
        </w:rPr>
        <w:t> </w:t>
      </w:r>
      <w:r>
        <w:rPr>
          <w:color w:val="231F20"/>
          <w:w w:val="105"/>
        </w:rPr>
        <w:t>constantemente.</w:t>
      </w:r>
      <w:r>
        <w:rPr>
          <w:color w:val="231F20"/>
          <w:spacing w:val="-16"/>
          <w:w w:val="105"/>
        </w:rPr>
        <w:t> </w:t>
      </w:r>
      <w:r>
        <w:rPr>
          <w:color w:val="231F20"/>
          <w:spacing w:val="-3"/>
          <w:w w:val="105"/>
        </w:rPr>
        <w:t>También</w:t>
      </w:r>
      <w:r>
        <w:rPr>
          <w:color w:val="231F20"/>
          <w:spacing w:val="-16"/>
          <w:w w:val="105"/>
        </w:rPr>
        <w:t> </w:t>
      </w:r>
      <w:r>
        <w:rPr>
          <w:color w:val="231F20"/>
          <w:w w:val="105"/>
        </w:rPr>
        <w:t>hay</w:t>
      </w:r>
      <w:r>
        <w:rPr>
          <w:color w:val="231F20"/>
          <w:spacing w:val="-16"/>
          <w:w w:val="105"/>
        </w:rPr>
        <w:t> </w:t>
      </w:r>
      <w:r>
        <w:rPr>
          <w:color w:val="231F20"/>
          <w:w w:val="105"/>
        </w:rPr>
        <w:t>que</w:t>
      </w:r>
      <w:r>
        <w:rPr>
          <w:color w:val="231F20"/>
          <w:spacing w:val="-16"/>
          <w:w w:val="105"/>
        </w:rPr>
        <w:t> </w:t>
      </w:r>
      <w:r>
        <w:rPr>
          <w:color w:val="231F20"/>
          <w:w w:val="105"/>
        </w:rPr>
        <w:t>con- siderar</w:t>
      </w:r>
      <w:r>
        <w:rPr>
          <w:color w:val="231F20"/>
          <w:spacing w:val="-4"/>
          <w:w w:val="105"/>
        </w:rPr>
        <w:t> </w:t>
      </w:r>
      <w:r>
        <w:rPr>
          <w:color w:val="231F20"/>
          <w:w w:val="105"/>
        </w:rPr>
        <w:t>si</w:t>
      </w:r>
      <w:r>
        <w:rPr>
          <w:color w:val="231F20"/>
          <w:spacing w:val="-4"/>
          <w:w w:val="105"/>
        </w:rPr>
        <w:t> </w:t>
      </w:r>
      <w:r>
        <w:rPr>
          <w:color w:val="231F20"/>
          <w:w w:val="105"/>
        </w:rPr>
        <w:t>el</w:t>
      </w:r>
      <w:r>
        <w:rPr>
          <w:color w:val="231F20"/>
          <w:spacing w:val="-4"/>
          <w:w w:val="105"/>
        </w:rPr>
        <w:t> </w:t>
      </w:r>
      <w:r>
        <w:rPr>
          <w:color w:val="231F20"/>
          <w:w w:val="105"/>
        </w:rPr>
        <w:t>perfil</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Servidores</w:t>
      </w:r>
      <w:r>
        <w:rPr>
          <w:color w:val="231F20"/>
          <w:spacing w:val="-4"/>
          <w:w w:val="105"/>
        </w:rPr>
        <w:t> </w:t>
      </w:r>
      <w:r>
        <w:rPr>
          <w:color w:val="231F20"/>
          <w:w w:val="105"/>
        </w:rPr>
        <w:t>Públicos</w:t>
      </w:r>
      <w:r>
        <w:rPr>
          <w:color w:val="231F20"/>
          <w:spacing w:val="-4"/>
          <w:w w:val="105"/>
        </w:rPr>
        <w:t> </w:t>
      </w:r>
      <w:r>
        <w:rPr>
          <w:color w:val="231F20"/>
          <w:w w:val="105"/>
        </w:rPr>
        <w:t>Municipales</w:t>
      </w:r>
      <w:r>
        <w:rPr>
          <w:color w:val="231F20"/>
          <w:spacing w:val="-4"/>
          <w:w w:val="105"/>
        </w:rPr>
        <w:t> </w:t>
      </w:r>
      <w:r>
        <w:rPr>
          <w:color w:val="231F20"/>
          <w:w w:val="105"/>
        </w:rPr>
        <w:t>es</w:t>
      </w:r>
      <w:r>
        <w:rPr>
          <w:color w:val="231F20"/>
          <w:spacing w:val="-4"/>
          <w:w w:val="105"/>
        </w:rPr>
        <w:t> </w:t>
      </w:r>
      <w:r>
        <w:rPr>
          <w:color w:val="231F20"/>
          <w:w w:val="105"/>
        </w:rPr>
        <w:t>el</w:t>
      </w:r>
      <w:r>
        <w:rPr>
          <w:color w:val="231F20"/>
          <w:spacing w:val="-4"/>
          <w:w w:val="105"/>
        </w:rPr>
        <w:t> </w:t>
      </w:r>
      <w:r>
        <w:rPr>
          <w:color w:val="231F20"/>
          <w:w w:val="105"/>
        </w:rPr>
        <w:t>adecuado</w:t>
      </w:r>
      <w:r>
        <w:rPr>
          <w:color w:val="231F20"/>
          <w:spacing w:val="-4"/>
          <w:w w:val="105"/>
        </w:rPr>
        <w:t> </w:t>
      </w:r>
      <w:r>
        <w:rPr>
          <w:color w:val="231F20"/>
          <w:w w:val="105"/>
        </w:rPr>
        <w:t>para</w:t>
      </w:r>
      <w:r>
        <w:rPr>
          <w:color w:val="231F20"/>
          <w:spacing w:val="-4"/>
          <w:w w:val="105"/>
        </w:rPr>
        <w:t> </w:t>
      </w:r>
      <w:r>
        <w:rPr>
          <w:color w:val="231F20"/>
          <w:w w:val="105"/>
        </w:rPr>
        <w:t>el</w:t>
      </w:r>
      <w:r>
        <w:rPr>
          <w:color w:val="231F20"/>
          <w:spacing w:val="-4"/>
          <w:w w:val="105"/>
        </w:rPr>
        <w:t> </w:t>
      </w:r>
      <w:r>
        <w:rPr>
          <w:color w:val="231F20"/>
          <w:w w:val="105"/>
        </w:rPr>
        <w:t>desa- rrollo de sus funciones o </w:t>
      </w:r>
      <w:r>
        <w:rPr>
          <w:color w:val="231F20"/>
          <w:spacing w:val="-3"/>
          <w:w w:val="105"/>
        </w:rPr>
        <w:t>no. </w:t>
      </w:r>
      <w:r>
        <w:rPr>
          <w:color w:val="231F20"/>
          <w:w w:val="105"/>
        </w:rPr>
        <w:t>Este rubro </w:t>
      </w:r>
      <w:r>
        <w:rPr>
          <w:color w:val="231F20"/>
          <w:spacing w:val="-5"/>
          <w:w w:val="105"/>
        </w:rPr>
        <w:t>(el </w:t>
      </w:r>
      <w:r>
        <w:rPr>
          <w:color w:val="231F20"/>
          <w:w w:val="105"/>
        </w:rPr>
        <w:t>desarrollo de la profesionalización) ya fue tratado en el primer apartado del</w:t>
      </w:r>
      <w:r>
        <w:rPr>
          <w:color w:val="231F20"/>
          <w:spacing w:val="-23"/>
          <w:w w:val="105"/>
        </w:rPr>
        <w:t> </w:t>
      </w:r>
      <w:r>
        <w:rPr>
          <w:color w:val="231F20"/>
          <w:w w:val="105"/>
        </w:rPr>
        <w:t>capítulo.</w:t>
      </w:r>
    </w:p>
    <w:p>
      <w:pPr>
        <w:pStyle w:val="BodyText"/>
        <w:spacing w:before="1"/>
        <w:rPr>
          <w:sz w:val="26"/>
        </w:rPr>
      </w:pPr>
    </w:p>
    <w:p>
      <w:pPr>
        <w:pStyle w:val="BodyText"/>
        <w:spacing w:line="285" w:lineRule="auto"/>
        <w:ind w:left="110" w:right="108"/>
        <w:jc w:val="both"/>
      </w:pPr>
      <w:r>
        <w:rPr>
          <w:color w:val="231F20"/>
          <w:w w:val="105"/>
        </w:rPr>
        <w:t>A pesar de que en el Plan de Desarrollo Municipal se contempla un programa de ca- pacitación, en el municipio hasta principios de </w:t>
      </w:r>
      <w:r>
        <w:rPr>
          <w:color w:val="231F20"/>
          <w:spacing w:val="2"/>
          <w:w w:val="105"/>
        </w:rPr>
        <w:t>2009 </w:t>
      </w:r>
      <w:r>
        <w:rPr>
          <w:color w:val="231F20"/>
          <w:w w:val="105"/>
        </w:rPr>
        <w:t>se carecía de él. Esta situación es una limitante para el personal de la administración pública, ya que por medio de las actualizaciones</w:t>
      </w:r>
      <w:r>
        <w:rPr>
          <w:color w:val="231F20"/>
          <w:spacing w:val="-15"/>
          <w:w w:val="105"/>
        </w:rPr>
        <w:t> </w:t>
      </w:r>
      <w:r>
        <w:rPr>
          <w:color w:val="231F20"/>
          <w:w w:val="105"/>
        </w:rPr>
        <w:t>se</w:t>
      </w:r>
      <w:r>
        <w:rPr>
          <w:color w:val="231F20"/>
          <w:spacing w:val="-15"/>
          <w:w w:val="105"/>
        </w:rPr>
        <w:t> </w:t>
      </w:r>
      <w:r>
        <w:rPr>
          <w:color w:val="231F20"/>
          <w:w w:val="105"/>
        </w:rPr>
        <w:t>puede</w:t>
      </w:r>
      <w:r>
        <w:rPr>
          <w:color w:val="231F20"/>
          <w:spacing w:val="-15"/>
          <w:w w:val="105"/>
        </w:rPr>
        <w:t> </w:t>
      </w:r>
      <w:r>
        <w:rPr>
          <w:color w:val="231F20"/>
          <w:w w:val="105"/>
        </w:rPr>
        <w:t>hacer</w:t>
      </w:r>
      <w:r>
        <w:rPr>
          <w:color w:val="231F20"/>
          <w:spacing w:val="-15"/>
          <w:w w:val="105"/>
        </w:rPr>
        <w:t> </w:t>
      </w:r>
      <w:r>
        <w:rPr>
          <w:color w:val="231F20"/>
          <w:w w:val="105"/>
        </w:rPr>
        <w:t>un</w:t>
      </w:r>
      <w:r>
        <w:rPr>
          <w:color w:val="231F20"/>
          <w:spacing w:val="-15"/>
          <w:w w:val="105"/>
        </w:rPr>
        <w:t> </w:t>
      </w:r>
      <w:r>
        <w:rPr>
          <w:color w:val="231F20"/>
          <w:w w:val="105"/>
        </w:rPr>
        <w:t>mejor</w:t>
      </w:r>
      <w:r>
        <w:rPr>
          <w:color w:val="231F20"/>
          <w:spacing w:val="-15"/>
          <w:w w:val="105"/>
        </w:rPr>
        <w:t> </w:t>
      </w:r>
      <w:r>
        <w:rPr>
          <w:color w:val="231F20"/>
          <w:w w:val="105"/>
        </w:rPr>
        <w:t>trabajo</w:t>
      </w:r>
      <w:r>
        <w:rPr>
          <w:color w:val="231F20"/>
          <w:spacing w:val="-15"/>
          <w:w w:val="105"/>
        </w:rPr>
        <w:t> </w:t>
      </w:r>
      <w:r>
        <w:rPr>
          <w:color w:val="231F20"/>
          <w:w w:val="105"/>
        </w:rPr>
        <w:t>y</w:t>
      </w:r>
      <w:r>
        <w:rPr>
          <w:color w:val="231F20"/>
          <w:spacing w:val="-15"/>
          <w:w w:val="105"/>
        </w:rPr>
        <w:t> </w:t>
      </w:r>
      <w:r>
        <w:rPr>
          <w:color w:val="231F20"/>
          <w:w w:val="105"/>
        </w:rPr>
        <w:t>atender</w:t>
      </w:r>
      <w:r>
        <w:rPr>
          <w:color w:val="231F20"/>
          <w:spacing w:val="-15"/>
          <w:w w:val="105"/>
        </w:rPr>
        <w:t> </w:t>
      </w:r>
      <w:r>
        <w:rPr>
          <w:color w:val="231F20"/>
          <w:w w:val="105"/>
        </w:rPr>
        <w:t>las</w:t>
      </w:r>
      <w:r>
        <w:rPr>
          <w:color w:val="231F20"/>
          <w:spacing w:val="-15"/>
          <w:w w:val="105"/>
        </w:rPr>
        <w:t> </w:t>
      </w:r>
      <w:r>
        <w:rPr>
          <w:color w:val="231F20"/>
          <w:w w:val="105"/>
        </w:rPr>
        <w:t>demandas</w:t>
      </w:r>
      <w:r>
        <w:rPr>
          <w:color w:val="231F20"/>
          <w:spacing w:val="-15"/>
          <w:w w:val="105"/>
        </w:rPr>
        <w:t> </w:t>
      </w:r>
      <w:r>
        <w:rPr>
          <w:color w:val="231F20"/>
          <w:w w:val="105"/>
        </w:rPr>
        <w:t>de</w:t>
      </w:r>
      <w:r>
        <w:rPr>
          <w:color w:val="231F20"/>
          <w:spacing w:val="-15"/>
          <w:w w:val="105"/>
        </w:rPr>
        <w:t> </w:t>
      </w:r>
      <w:r>
        <w:rPr>
          <w:color w:val="231F20"/>
          <w:w w:val="105"/>
        </w:rPr>
        <w:t>mejor</w:t>
      </w:r>
      <w:r>
        <w:rPr>
          <w:color w:val="231F20"/>
          <w:spacing w:val="-15"/>
          <w:w w:val="105"/>
        </w:rPr>
        <w:t> </w:t>
      </w:r>
      <w:r>
        <w:rPr>
          <w:color w:val="231F20"/>
          <w:w w:val="105"/>
        </w:rPr>
        <w:t>forma </w:t>
      </w:r>
      <w:r>
        <w:rPr>
          <w:color w:val="231F20"/>
          <w:spacing w:val="2"/>
          <w:w w:val="105"/>
        </w:rPr>
        <w:t>al agilizar </w:t>
      </w:r>
      <w:r>
        <w:rPr>
          <w:color w:val="231F20"/>
          <w:w w:val="105"/>
        </w:rPr>
        <w:t>los servicios y actividades, debido a que </w:t>
      </w:r>
      <w:r>
        <w:rPr>
          <w:color w:val="231F20"/>
          <w:spacing w:val="2"/>
          <w:w w:val="105"/>
        </w:rPr>
        <w:t>al </w:t>
      </w:r>
      <w:r>
        <w:rPr>
          <w:color w:val="231F20"/>
          <w:w w:val="105"/>
        </w:rPr>
        <w:t>capacitar permanentemente  </w:t>
      </w:r>
      <w:r>
        <w:rPr>
          <w:color w:val="231F20"/>
          <w:spacing w:val="21"/>
          <w:w w:val="105"/>
        </w:rPr>
        <w:t> </w:t>
      </w:r>
      <w:r>
        <w:rPr>
          <w:color w:val="231F20"/>
          <w:spacing w:val="2"/>
          <w:w w:val="105"/>
        </w:rPr>
        <w:t>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personal se desarrollan sus potencialidades y se busca mantenerlos al corriente de los cambios tecnológicos, legales y administrativos que afectan a la administración local </w:t>
      </w:r>
      <w:r>
        <w:rPr>
          <w:color w:val="231F20"/>
        </w:rPr>
        <w:t>(Lordello de Mello, 1985: 90).</w:t>
      </w:r>
    </w:p>
    <w:p>
      <w:pPr>
        <w:pStyle w:val="BodyText"/>
        <w:spacing w:before="1"/>
        <w:rPr>
          <w:sz w:val="26"/>
        </w:rPr>
      </w:pPr>
    </w:p>
    <w:p>
      <w:pPr>
        <w:pStyle w:val="BodyText"/>
        <w:spacing w:line="285" w:lineRule="auto"/>
        <w:ind w:left="110" w:right="108"/>
        <w:jc w:val="both"/>
      </w:pPr>
      <w:r>
        <w:rPr>
          <w:color w:val="231F20"/>
          <w:spacing w:val="-3"/>
          <w:w w:val="105"/>
        </w:rPr>
        <w:t>En</w:t>
      </w:r>
      <w:r>
        <w:rPr>
          <w:color w:val="231F20"/>
          <w:spacing w:val="-18"/>
          <w:w w:val="105"/>
        </w:rPr>
        <w:t> </w:t>
      </w:r>
      <w:r>
        <w:rPr>
          <w:color w:val="231F20"/>
          <w:spacing w:val="-8"/>
          <w:w w:val="105"/>
        </w:rPr>
        <w:t>Tejupilco</w:t>
      </w:r>
      <w:r>
        <w:rPr>
          <w:color w:val="231F20"/>
          <w:spacing w:val="-18"/>
          <w:w w:val="105"/>
        </w:rPr>
        <w:t> </w:t>
      </w:r>
      <w:r>
        <w:rPr>
          <w:color w:val="231F20"/>
          <w:w w:val="105"/>
        </w:rPr>
        <w:t>se</w:t>
      </w:r>
      <w:r>
        <w:rPr>
          <w:color w:val="231F20"/>
          <w:spacing w:val="-18"/>
          <w:w w:val="105"/>
        </w:rPr>
        <w:t> </w:t>
      </w:r>
      <w:r>
        <w:rPr>
          <w:color w:val="231F20"/>
          <w:spacing w:val="-4"/>
          <w:w w:val="105"/>
        </w:rPr>
        <w:t>carece</w:t>
      </w:r>
      <w:r>
        <w:rPr>
          <w:color w:val="231F20"/>
          <w:spacing w:val="-18"/>
          <w:w w:val="105"/>
        </w:rPr>
        <w:t> </w:t>
      </w:r>
      <w:r>
        <w:rPr>
          <w:color w:val="231F20"/>
          <w:spacing w:val="-4"/>
          <w:w w:val="105"/>
        </w:rPr>
        <w:t>de</w:t>
      </w:r>
      <w:r>
        <w:rPr>
          <w:color w:val="231F20"/>
          <w:spacing w:val="-18"/>
          <w:w w:val="105"/>
        </w:rPr>
        <w:t> </w:t>
      </w:r>
      <w:r>
        <w:rPr>
          <w:color w:val="231F20"/>
          <w:spacing w:val="-5"/>
          <w:w w:val="105"/>
        </w:rPr>
        <w:t>reglamentación</w:t>
      </w:r>
      <w:r>
        <w:rPr>
          <w:color w:val="231F20"/>
          <w:spacing w:val="-18"/>
          <w:w w:val="105"/>
        </w:rPr>
        <w:t> </w:t>
      </w:r>
      <w:r>
        <w:rPr>
          <w:color w:val="231F20"/>
          <w:spacing w:val="-4"/>
          <w:w w:val="105"/>
        </w:rPr>
        <w:t>expedida</w:t>
      </w:r>
      <w:r>
        <w:rPr>
          <w:color w:val="231F20"/>
          <w:spacing w:val="-18"/>
          <w:w w:val="105"/>
        </w:rPr>
        <w:t> </w:t>
      </w:r>
      <w:r>
        <w:rPr>
          <w:color w:val="231F20"/>
          <w:spacing w:val="-4"/>
          <w:w w:val="105"/>
        </w:rPr>
        <w:t>por</w:t>
      </w:r>
      <w:r>
        <w:rPr>
          <w:color w:val="231F20"/>
          <w:spacing w:val="-18"/>
          <w:w w:val="105"/>
        </w:rPr>
        <w:t> </w:t>
      </w:r>
      <w:r>
        <w:rPr>
          <w:color w:val="231F20"/>
          <w:spacing w:val="-3"/>
          <w:w w:val="105"/>
        </w:rPr>
        <w:t>el</w:t>
      </w:r>
      <w:r>
        <w:rPr>
          <w:color w:val="231F20"/>
          <w:spacing w:val="-18"/>
          <w:w w:val="105"/>
        </w:rPr>
        <w:t> </w:t>
      </w:r>
      <w:r>
        <w:rPr>
          <w:color w:val="231F20"/>
          <w:spacing w:val="-6"/>
          <w:w w:val="105"/>
        </w:rPr>
        <w:t>propio</w:t>
      </w:r>
      <w:r>
        <w:rPr>
          <w:color w:val="231F20"/>
          <w:spacing w:val="-18"/>
          <w:w w:val="105"/>
        </w:rPr>
        <w:t> </w:t>
      </w:r>
      <w:r>
        <w:rPr>
          <w:color w:val="231F20"/>
          <w:spacing w:val="-5"/>
          <w:w w:val="105"/>
        </w:rPr>
        <w:t>Ayuntamiento,</w:t>
      </w:r>
      <w:r>
        <w:rPr>
          <w:color w:val="231F20"/>
          <w:spacing w:val="-18"/>
          <w:w w:val="105"/>
        </w:rPr>
        <w:t> </w:t>
      </w:r>
      <w:r>
        <w:rPr>
          <w:color w:val="231F20"/>
          <w:spacing w:val="-4"/>
          <w:w w:val="105"/>
        </w:rPr>
        <w:t>únicamen- </w:t>
      </w:r>
      <w:r>
        <w:rPr>
          <w:color w:val="231F20"/>
          <w:w w:val="105"/>
        </w:rPr>
        <w:t>te</w:t>
      </w:r>
      <w:r>
        <w:rPr>
          <w:color w:val="231F20"/>
          <w:spacing w:val="-10"/>
          <w:w w:val="105"/>
        </w:rPr>
        <w:t> </w:t>
      </w:r>
      <w:r>
        <w:rPr>
          <w:color w:val="231F20"/>
          <w:w w:val="105"/>
        </w:rPr>
        <w:t>se</w:t>
      </w:r>
      <w:r>
        <w:rPr>
          <w:color w:val="231F20"/>
          <w:spacing w:val="-10"/>
          <w:w w:val="105"/>
        </w:rPr>
        <w:t> </w:t>
      </w:r>
      <w:r>
        <w:rPr>
          <w:color w:val="231F20"/>
          <w:spacing w:val="-6"/>
          <w:w w:val="105"/>
        </w:rPr>
        <w:t>reconocen</w:t>
      </w:r>
      <w:r>
        <w:rPr>
          <w:color w:val="231F20"/>
          <w:spacing w:val="-10"/>
          <w:w w:val="105"/>
        </w:rPr>
        <w:t> </w:t>
      </w:r>
      <w:r>
        <w:rPr>
          <w:color w:val="231F20"/>
          <w:spacing w:val="-6"/>
          <w:w w:val="105"/>
        </w:rPr>
        <w:t>como</w:t>
      </w:r>
      <w:r>
        <w:rPr>
          <w:color w:val="231F20"/>
          <w:spacing w:val="-10"/>
          <w:w w:val="105"/>
        </w:rPr>
        <w:t> </w:t>
      </w:r>
      <w:r>
        <w:rPr>
          <w:color w:val="231F20"/>
          <w:spacing w:val="-3"/>
          <w:w w:val="105"/>
        </w:rPr>
        <w:t>tales</w:t>
      </w:r>
      <w:r>
        <w:rPr>
          <w:color w:val="231F20"/>
          <w:spacing w:val="-10"/>
          <w:w w:val="105"/>
        </w:rPr>
        <w:t> </w:t>
      </w:r>
      <w:r>
        <w:rPr>
          <w:color w:val="231F20"/>
          <w:spacing w:val="-3"/>
          <w:w w:val="105"/>
        </w:rPr>
        <w:t>el</w:t>
      </w:r>
      <w:r>
        <w:rPr>
          <w:color w:val="231F20"/>
          <w:spacing w:val="-10"/>
          <w:w w:val="105"/>
        </w:rPr>
        <w:t> </w:t>
      </w:r>
      <w:r>
        <w:rPr>
          <w:color w:val="231F20"/>
          <w:spacing w:val="-5"/>
          <w:w w:val="105"/>
        </w:rPr>
        <w:t>Bando</w:t>
      </w:r>
      <w:r>
        <w:rPr>
          <w:color w:val="231F20"/>
          <w:spacing w:val="-10"/>
          <w:w w:val="105"/>
        </w:rPr>
        <w:t> </w:t>
      </w:r>
      <w:r>
        <w:rPr>
          <w:color w:val="231F20"/>
          <w:w w:val="105"/>
        </w:rPr>
        <w:t>y</w:t>
      </w:r>
      <w:r>
        <w:rPr>
          <w:color w:val="231F20"/>
          <w:spacing w:val="-10"/>
          <w:w w:val="105"/>
        </w:rPr>
        <w:t> </w:t>
      </w:r>
      <w:r>
        <w:rPr>
          <w:color w:val="231F20"/>
          <w:spacing w:val="-3"/>
          <w:w w:val="105"/>
        </w:rPr>
        <w:t>el</w:t>
      </w:r>
      <w:r>
        <w:rPr>
          <w:color w:val="231F20"/>
          <w:spacing w:val="-10"/>
          <w:w w:val="105"/>
        </w:rPr>
        <w:t> </w:t>
      </w:r>
      <w:r>
        <w:rPr>
          <w:color w:val="231F20"/>
          <w:spacing w:val="-3"/>
          <w:w w:val="105"/>
        </w:rPr>
        <w:t>Manual</w:t>
      </w:r>
      <w:r>
        <w:rPr>
          <w:color w:val="231F20"/>
          <w:spacing w:val="-10"/>
          <w:w w:val="105"/>
        </w:rPr>
        <w:t> </w:t>
      </w:r>
      <w:r>
        <w:rPr>
          <w:color w:val="231F20"/>
          <w:spacing w:val="-4"/>
          <w:w w:val="105"/>
        </w:rPr>
        <w:t>de</w:t>
      </w:r>
      <w:r>
        <w:rPr>
          <w:color w:val="231F20"/>
          <w:spacing w:val="-10"/>
          <w:w w:val="105"/>
        </w:rPr>
        <w:t> </w:t>
      </w:r>
      <w:r>
        <w:rPr>
          <w:color w:val="231F20"/>
          <w:spacing w:val="-4"/>
          <w:w w:val="105"/>
        </w:rPr>
        <w:t>Organización.</w:t>
      </w:r>
      <w:r>
        <w:rPr>
          <w:color w:val="231F20"/>
          <w:spacing w:val="-10"/>
          <w:w w:val="105"/>
        </w:rPr>
        <w:t> </w:t>
      </w:r>
      <w:r>
        <w:rPr>
          <w:color w:val="231F20"/>
          <w:spacing w:val="-3"/>
          <w:w w:val="105"/>
        </w:rPr>
        <w:t>Esta</w:t>
      </w:r>
      <w:r>
        <w:rPr>
          <w:color w:val="231F20"/>
          <w:spacing w:val="-10"/>
          <w:w w:val="105"/>
        </w:rPr>
        <w:t> </w:t>
      </w:r>
      <w:r>
        <w:rPr>
          <w:color w:val="231F20"/>
          <w:spacing w:val="-5"/>
          <w:w w:val="105"/>
        </w:rPr>
        <w:t>situación</w:t>
      </w:r>
      <w:r>
        <w:rPr>
          <w:color w:val="231F20"/>
          <w:spacing w:val="-10"/>
          <w:w w:val="105"/>
        </w:rPr>
        <w:t> </w:t>
      </w:r>
      <w:r>
        <w:rPr>
          <w:color w:val="231F20"/>
          <w:w w:val="105"/>
        </w:rPr>
        <w:t>fue</w:t>
      </w:r>
      <w:r>
        <w:rPr>
          <w:color w:val="231F20"/>
          <w:spacing w:val="-10"/>
          <w:w w:val="105"/>
        </w:rPr>
        <w:t> </w:t>
      </w:r>
      <w:r>
        <w:rPr>
          <w:color w:val="231F20"/>
          <w:spacing w:val="-5"/>
          <w:w w:val="105"/>
        </w:rPr>
        <w:t>muy </w:t>
      </w:r>
      <w:r>
        <w:rPr>
          <w:color w:val="231F20"/>
          <w:spacing w:val="-6"/>
          <w:w w:val="105"/>
        </w:rPr>
        <w:t>bien</w:t>
      </w:r>
      <w:r>
        <w:rPr>
          <w:color w:val="231F20"/>
          <w:spacing w:val="-27"/>
          <w:w w:val="105"/>
        </w:rPr>
        <w:t> </w:t>
      </w:r>
      <w:r>
        <w:rPr>
          <w:color w:val="231F20"/>
          <w:spacing w:val="-4"/>
          <w:w w:val="105"/>
        </w:rPr>
        <w:t>detectada</w:t>
      </w:r>
      <w:r>
        <w:rPr>
          <w:color w:val="231F20"/>
          <w:spacing w:val="-27"/>
          <w:w w:val="105"/>
        </w:rPr>
        <w:t> </w:t>
      </w:r>
      <w:r>
        <w:rPr>
          <w:color w:val="231F20"/>
          <w:spacing w:val="-4"/>
          <w:w w:val="105"/>
        </w:rPr>
        <w:t>en</w:t>
      </w:r>
      <w:r>
        <w:rPr>
          <w:color w:val="231F20"/>
          <w:spacing w:val="-27"/>
          <w:w w:val="105"/>
        </w:rPr>
        <w:t> </w:t>
      </w:r>
      <w:r>
        <w:rPr>
          <w:color w:val="231F20"/>
          <w:spacing w:val="-3"/>
          <w:w w:val="105"/>
        </w:rPr>
        <w:t>el</w:t>
      </w:r>
      <w:r>
        <w:rPr>
          <w:color w:val="231F20"/>
          <w:spacing w:val="-27"/>
          <w:w w:val="105"/>
        </w:rPr>
        <w:t> </w:t>
      </w:r>
      <w:r>
        <w:rPr>
          <w:color w:val="231F20"/>
          <w:spacing w:val="-4"/>
          <w:w w:val="105"/>
        </w:rPr>
        <w:t>Plan</w:t>
      </w:r>
      <w:r>
        <w:rPr>
          <w:color w:val="231F20"/>
          <w:spacing w:val="-27"/>
          <w:w w:val="105"/>
        </w:rPr>
        <w:t> </w:t>
      </w:r>
      <w:r>
        <w:rPr>
          <w:color w:val="231F20"/>
          <w:spacing w:val="-4"/>
          <w:w w:val="105"/>
        </w:rPr>
        <w:t>de</w:t>
      </w:r>
      <w:r>
        <w:rPr>
          <w:color w:val="231F20"/>
          <w:spacing w:val="-27"/>
          <w:w w:val="105"/>
        </w:rPr>
        <w:t> </w:t>
      </w:r>
      <w:r>
        <w:rPr>
          <w:color w:val="231F20"/>
          <w:spacing w:val="-4"/>
          <w:w w:val="105"/>
        </w:rPr>
        <w:t>Desarrollo</w:t>
      </w:r>
      <w:r>
        <w:rPr>
          <w:color w:val="231F20"/>
          <w:spacing w:val="-27"/>
          <w:w w:val="105"/>
        </w:rPr>
        <w:t> </w:t>
      </w:r>
      <w:r>
        <w:rPr>
          <w:color w:val="231F20"/>
          <w:spacing w:val="-4"/>
          <w:w w:val="105"/>
        </w:rPr>
        <w:t>Municipal</w:t>
      </w:r>
      <w:r>
        <w:rPr>
          <w:color w:val="231F20"/>
          <w:spacing w:val="-27"/>
          <w:w w:val="105"/>
        </w:rPr>
        <w:t> </w:t>
      </w:r>
      <w:r>
        <w:rPr>
          <w:color w:val="231F20"/>
          <w:spacing w:val="-8"/>
          <w:w w:val="105"/>
        </w:rPr>
        <w:t>(2007:75),</w:t>
      </w:r>
      <w:r>
        <w:rPr>
          <w:color w:val="231F20"/>
          <w:spacing w:val="-27"/>
          <w:w w:val="105"/>
        </w:rPr>
        <w:t> </w:t>
      </w:r>
      <w:r>
        <w:rPr>
          <w:color w:val="231F20"/>
          <w:spacing w:val="-6"/>
          <w:w w:val="105"/>
        </w:rPr>
        <w:t>donde</w:t>
      </w:r>
      <w:r>
        <w:rPr>
          <w:color w:val="231F20"/>
          <w:spacing w:val="-27"/>
          <w:w w:val="105"/>
        </w:rPr>
        <w:t> </w:t>
      </w:r>
      <w:r>
        <w:rPr>
          <w:color w:val="231F20"/>
          <w:w w:val="105"/>
        </w:rPr>
        <w:t>se</w:t>
      </w:r>
      <w:r>
        <w:rPr>
          <w:color w:val="231F20"/>
          <w:spacing w:val="-27"/>
          <w:w w:val="105"/>
        </w:rPr>
        <w:t> </w:t>
      </w:r>
      <w:r>
        <w:rPr>
          <w:color w:val="231F20"/>
          <w:spacing w:val="-5"/>
          <w:w w:val="105"/>
        </w:rPr>
        <w:t>propuso</w:t>
      </w:r>
      <w:r>
        <w:rPr>
          <w:color w:val="231F20"/>
          <w:spacing w:val="-27"/>
          <w:w w:val="105"/>
        </w:rPr>
        <w:t> </w:t>
      </w:r>
      <w:r>
        <w:rPr>
          <w:color w:val="231F20"/>
          <w:w w:val="105"/>
        </w:rPr>
        <w:t>la</w:t>
      </w:r>
      <w:r>
        <w:rPr>
          <w:color w:val="231F20"/>
          <w:spacing w:val="-27"/>
          <w:w w:val="105"/>
        </w:rPr>
        <w:t> </w:t>
      </w:r>
      <w:r>
        <w:rPr>
          <w:color w:val="231F20"/>
          <w:spacing w:val="-6"/>
          <w:w w:val="105"/>
        </w:rPr>
        <w:t>creación</w:t>
      </w:r>
      <w:r>
        <w:rPr>
          <w:color w:val="231F20"/>
          <w:spacing w:val="-27"/>
          <w:w w:val="105"/>
        </w:rPr>
        <w:t> </w:t>
      </w:r>
      <w:r>
        <w:rPr>
          <w:color w:val="231F20"/>
          <w:spacing w:val="-4"/>
          <w:w w:val="105"/>
        </w:rPr>
        <w:t>de </w:t>
      </w:r>
      <w:r>
        <w:rPr>
          <w:color w:val="231F20"/>
          <w:spacing w:val="-5"/>
          <w:w w:val="105"/>
        </w:rPr>
        <w:t>dos</w:t>
      </w:r>
      <w:r>
        <w:rPr>
          <w:color w:val="231F20"/>
          <w:spacing w:val="-19"/>
          <w:w w:val="105"/>
        </w:rPr>
        <w:t> </w:t>
      </w:r>
      <w:r>
        <w:rPr>
          <w:color w:val="231F20"/>
          <w:spacing w:val="-4"/>
          <w:w w:val="105"/>
        </w:rPr>
        <w:t>tipos</w:t>
      </w:r>
      <w:r>
        <w:rPr>
          <w:color w:val="231F20"/>
          <w:spacing w:val="-19"/>
          <w:w w:val="105"/>
        </w:rPr>
        <w:t> </w:t>
      </w:r>
      <w:r>
        <w:rPr>
          <w:color w:val="231F20"/>
          <w:spacing w:val="-4"/>
          <w:w w:val="105"/>
        </w:rPr>
        <w:t>de</w:t>
      </w:r>
      <w:r>
        <w:rPr>
          <w:color w:val="231F20"/>
          <w:spacing w:val="-19"/>
          <w:w w:val="105"/>
        </w:rPr>
        <w:t> </w:t>
      </w:r>
      <w:r>
        <w:rPr>
          <w:color w:val="231F20"/>
          <w:spacing w:val="-5"/>
          <w:w w:val="105"/>
        </w:rPr>
        <w:t>reglamentos,</w:t>
      </w:r>
      <w:r>
        <w:rPr>
          <w:color w:val="231F20"/>
          <w:spacing w:val="-19"/>
          <w:w w:val="105"/>
        </w:rPr>
        <w:t> </w:t>
      </w:r>
      <w:r>
        <w:rPr>
          <w:color w:val="231F20"/>
          <w:spacing w:val="-5"/>
          <w:w w:val="105"/>
        </w:rPr>
        <w:t>internos</w:t>
      </w:r>
      <w:r>
        <w:rPr>
          <w:color w:val="231F20"/>
          <w:spacing w:val="-19"/>
          <w:w w:val="105"/>
        </w:rPr>
        <w:t> </w:t>
      </w:r>
      <w:r>
        <w:rPr>
          <w:color w:val="231F20"/>
          <w:w w:val="105"/>
        </w:rPr>
        <w:t>y</w:t>
      </w:r>
      <w:r>
        <w:rPr>
          <w:color w:val="231F20"/>
          <w:spacing w:val="-19"/>
          <w:w w:val="105"/>
        </w:rPr>
        <w:t> </w:t>
      </w:r>
      <w:r>
        <w:rPr>
          <w:color w:val="231F20"/>
          <w:spacing w:val="-4"/>
          <w:w w:val="105"/>
        </w:rPr>
        <w:t>externos.</w:t>
      </w:r>
      <w:r>
        <w:rPr>
          <w:color w:val="231F20"/>
          <w:spacing w:val="-19"/>
          <w:w w:val="105"/>
        </w:rPr>
        <w:t> </w:t>
      </w:r>
      <w:r>
        <w:rPr>
          <w:color w:val="231F20"/>
          <w:spacing w:val="-3"/>
          <w:w w:val="105"/>
        </w:rPr>
        <w:t>En</w:t>
      </w:r>
      <w:r>
        <w:rPr>
          <w:color w:val="231F20"/>
          <w:spacing w:val="-19"/>
          <w:w w:val="105"/>
        </w:rPr>
        <w:t> </w:t>
      </w:r>
      <w:r>
        <w:rPr>
          <w:color w:val="231F20"/>
          <w:spacing w:val="-4"/>
          <w:w w:val="105"/>
        </w:rPr>
        <w:t>los</w:t>
      </w:r>
      <w:r>
        <w:rPr>
          <w:color w:val="231F20"/>
          <w:spacing w:val="-19"/>
          <w:w w:val="105"/>
        </w:rPr>
        <w:t> </w:t>
      </w:r>
      <w:r>
        <w:rPr>
          <w:color w:val="231F20"/>
          <w:spacing w:val="-5"/>
          <w:w w:val="105"/>
        </w:rPr>
        <w:t>primeros</w:t>
      </w:r>
      <w:r>
        <w:rPr>
          <w:color w:val="231F20"/>
          <w:spacing w:val="-19"/>
          <w:w w:val="105"/>
        </w:rPr>
        <w:t> </w:t>
      </w:r>
      <w:r>
        <w:rPr>
          <w:color w:val="231F20"/>
          <w:w w:val="105"/>
        </w:rPr>
        <w:t>se</w:t>
      </w:r>
      <w:r>
        <w:rPr>
          <w:color w:val="231F20"/>
          <w:spacing w:val="-19"/>
          <w:w w:val="105"/>
        </w:rPr>
        <w:t> </w:t>
      </w:r>
      <w:r>
        <w:rPr>
          <w:color w:val="231F20"/>
          <w:spacing w:val="-6"/>
          <w:w w:val="105"/>
        </w:rPr>
        <w:t>incluyeron</w:t>
      </w:r>
      <w:r>
        <w:rPr>
          <w:color w:val="231F20"/>
          <w:spacing w:val="-19"/>
          <w:w w:val="105"/>
        </w:rPr>
        <w:t> </w:t>
      </w:r>
      <w:r>
        <w:rPr>
          <w:color w:val="231F20"/>
          <w:spacing w:val="-4"/>
          <w:w w:val="105"/>
        </w:rPr>
        <w:t>los</w:t>
      </w:r>
      <w:r>
        <w:rPr>
          <w:color w:val="231F20"/>
          <w:spacing w:val="-19"/>
          <w:w w:val="105"/>
        </w:rPr>
        <w:t> </w:t>
      </w:r>
      <w:r>
        <w:rPr>
          <w:color w:val="231F20"/>
          <w:spacing w:val="-5"/>
          <w:w w:val="105"/>
        </w:rPr>
        <w:t>siguientes:</w:t>
      </w:r>
    </w:p>
    <w:p>
      <w:pPr>
        <w:pStyle w:val="BodyText"/>
        <w:spacing w:before="1"/>
        <w:ind w:left="677" w:right="574"/>
      </w:pPr>
      <w:r>
        <w:rPr>
          <w:color w:val="231F20"/>
          <w:w w:val="105"/>
        </w:rPr>
        <w:t>Reglamento Interior del Ayuntamiento</w:t>
      </w:r>
    </w:p>
    <w:p>
      <w:pPr>
        <w:pStyle w:val="BodyText"/>
        <w:spacing w:line="285" w:lineRule="auto" w:before="47"/>
        <w:ind w:left="677" w:right="2536"/>
      </w:pPr>
      <w:r>
        <w:rPr>
          <w:color w:val="231F20"/>
          <w:w w:val="105"/>
        </w:rPr>
        <w:t>Reglamento de la Administración Pública Municipal. Reglamento de Obras Públicas y Privadas.</w:t>
      </w:r>
    </w:p>
    <w:p>
      <w:pPr>
        <w:pStyle w:val="BodyText"/>
        <w:spacing w:before="1"/>
        <w:ind w:left="677" w:right="574"/>
      </w:pPr>
      <w:r>
        <w:rPr>
          <w:color w:val="231F20"/>
          <w:w w:val="105"/>
        </w:rPr>
        <w:t>Manuales Departamentales Básicos.</w:t>
      </w:r>
    </w:p>
    <w:p>
      <w:pPr>
        <w:pStyle w:val="BodyText"/>
        <w:spacing w:line="285" w:lineRule="auto" w:before="47"/>
        <w:ind w:left="677" w:right="-2"/>
      </w:pPr>
      <w:r>
        <w:rPr>
          <w:color w:val="231F20"/>
          <w:w w:val="105"/>
        </w:rPr>
        <w:t>Manuales de Procedimientos más Importantes (Plan de Desarrollo Municipal, </w:t>
      </w:r>
      <w:r>
        <w:rPr>
          <w:color w:val="231F20"/>
        </w:rPr>
        <w:t>2006: 75).</w:t>
      </w:r>
    </w:p>
    <w:p>
      <w:pPr>
        <w:pStyle w:val="BodyText"/>
        <w:spacing w:line="285" w:lineRule="auto" w:before="1"/>
        <w:ind w:left="677" w:right="574"/>
      </w:pPr>
      <w:r>
        <w:rPr>
          <w:color w:val="231F20"/>
          <w:w w:val="105"/>
        </w:rPr>
        <w:t>Respecto</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externos</w:t>
      </w:r>
      <w:r>
        <w:rPr>
          <w:color w:val="231F20"/>
          <w:spacing w:val="-11"/>
          <w:w w:val="105"/>
        </w:rPr>
        <w:t> </w:t>
      </w:r>
      <w:r>
        <w:rPr>
          <w:color w:val="231F20"/>
          <w:w w:val="105"/>
        </w:rPr>
        <w:t>se</w:t>
      </w:r>
      <w:r>
        <w:rPr>
          <w:color w:val="231F20"/>
          <w:spacing w:val="-11"/>
          <w:w w:val="105"/>
        </w:rPr>
        <w:t> </w:t>
      </w:r>
      <w:r>
        <w:rPr>
          <w:color w:val="231F20"/>
          <w:w w:val="105"/>
        </w:rPr>
        <w:t>crearían</w:t>
      </w:r>
      <w:r>
        <w:rPr>
          <w:color w:val="231F20"/>
          <w:spacing w:val="-11"/>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w w:val="105"/>
        </w:rPr>
        <w:t>a</w:t>
      </w:r>
      <w:r>
        <w:rPr>
          <w:color w:val="231F20"/>
          <w:spacing w:val="-11"/>
          <w:w w:val="105"/>
        </w:rPr>
        <w:t> </w:t>
      </w:r>
      <w:r>
        <w:rPr>
          <w:color w:val="231F20"/>
          <w:w w:val="105"/>
        </w:rPr>
        <w:t>continuación</w:t>
      </w:r>
      <w:r>
        <w:rPr>
          <w:color w:val="231F20"/>
          <w:spacing w:val="-11"/>
          <w:w w:val="105"/>
        </w:rPr>
        <w:t> </w:t>
      </w:r>
      <w:r>
        <w:rPr>
          <w:color w:val="231F20"/>
          <w:w w:val="105"/>
        </w:rPr>
        <w:t>se</w:t>
      </w:r>
      <w:r>
        <w:rPr>
          <w:color w:val="231F20"/>
          <w:spacing w:val="-11"/>
          <w:w w:val="105"/>
        </w:rPr>
        <w:t> </w:t>
      </w:r>
      <w:r>
        <w:rPr>
          <w:color w:val="231F20"/>
          <w:w w:val="105"/>
        </w:rPr>
        <w:t>enlistan: Reglamento</w:t>
      </w:r>
      <w:r>
        <w:rPr>
          <w:color w:val="231F20"/>
          <w:spacing w:val="-26"/>
          <w:w w:val="105"/>
        </w:rPr>
        <w:t> </w:t>
      </w:r>
      <w:r>
        <w:rPr>
          <w:color w:val="231F20"/>
          <w:w w:val="105"/>
        </w:rPr>
        <w:t>Municipal</w:t>
      </w:r>
      <w:r>
        <w:rPr>
          <w:color w:val="231F20"/>
          <w:spacing w:val="-26"/>
          <w:w w:val="105"/>
        </w:rPr>
        <w:t> </w:t>
      </w:r>
      <w:r>
        <w:rPr>
          <w:color w:val="231F20"/>
          <w:w w:val="105"/>
        </w:rPr>
        <w:t>de</w:t>
      </w:r>
      <w:r>
        <w:rPr>
          <w:color w:val="231F20"/>
          <w:spacing w:val="-26"/>
          <w:w w:val="105"/>
        </w:rPr>
        <w:t> </w:t>
      </w:r>
      <w:r>
        <w:rPr>
          <w:color w:val="231F20"/>
          <w:w w:val="105"/>
        </w:rPr>
        <w:t>Seguridad</w:t>
      </w:r>
      <w:r>
        <w:rPr>
          <w:color w:val="231F20"/>
          <w:spacing w:val="-26"/>
          <w:w w:val="105"/>
        </w:rPr>
        <w:t> </w:t>
      </w:r>
      <w:r>
        <w:rPr>
          <w:color w:val="231F20"/>
          <w:w w:val="105"/>
        </w:rPr>
        <w:t>Pública.</w:t>
      </w:r>
    </w:p>
    <w:p>
      <w:pPr>
        <w:pStyle w:val="BodyText"/>
        <w:spacing w:line="285" w:lineRule="auto" w:before="1"/>
        <w:ind w:left="677" w:right="3440"/>
      </w:pPr>
      <w:r>
        <w:rPr>
          <w:color w:val="231F20"/>
          <w:w w:val="105"/>
        </w:rPr>
        <w:t>Reglamento de Imagen Urbana. Reglamento Municipal de Protección Civil. Reglamento de la Policía Preventiva.</w:t>
      </w:r>
    </w:p>
    <w:p>
      <w:pPr>
        <w:pStyle w:val="BodyText"/>
        <w:spacing w:line="285" w:lineRule="auto" w:before="1"/>
        <w:ind w:left="677" w:right="4127"/>
      </w:pPr>
      <w:r>
        <w:rPr>
          <w:color w:val="231F20"/>
          <w:w w:val="105"/>
        </w:rPr>
        <w:t>Reglamento del Archivo Municipal. Reglamento del Rastro Municipal.</w:t>
      </w:r>
    </w:p>
    <w:p>
      <w:pPr>
        <w:pStyle w:val="BodyText"/>
        <w:spacing w:line="285" w:lineRule="auto" w:before="1"/>
        <w:ind w:left="677" w:right="1712"/>
      </w:pPr>
      <w:r>
        <w:rPr>
          <w:color w:val="231F20"/>
        </w:rPr>
        <w:t>Reglamento del Alcantarillado, Agua Potable y Saneamiento. Reglamento de Tránsito y   Transporte.</w:t>
      </w:r>
    </w:p>
    <w:p>
      <w:pPr>
        <w:pStyle w:val="BodyText"/>
        <w:spacing w:before="1"/>
        <w:ind w:left="677" w:right="574"/>
      </w:pPr>
      <w:r>
        <w:rPr>
          <w:color w:val="231F20"/>
        </w:rPr>
        <w:t>Reglamento del Servicios Público de Limpia y Sanidad.</w:t>
      </w:r>
    </w:p>
    <w:p>
      <w:pPr>
        <w:pStyle w:val="BodyText"/>
        <w:spacing w:line="285" w:lineRule="auto" w:before="47"/>
        <w:ind w:left="677" w:right="574"/>
      </w:pPr>
      <w:r>
        <w:rPr>
          <w:color w:val="231F20"/>
          <w:w w:val="105"/>
        </w:rPr>
        <w:t>Reglamento</w:t>
      </w:r>
      <w:r>
        <w:rPr>
          <w:color w:val="231F20"/>
          <w:spacing w:val="-25"/>
          <w:w w:val="105"/>
        </w:rPr>
        <w:t> </w:t>
      </w:r>
      <w:r>
        <w:rPr>
          <w:color w:val="231F20"/>
          <w:w w:val="105"/>
        </w:rPr>
        <w:t>de</w:t>
      </w:r>
      <w:r>
        <w:rPr>
          <w:color w:val="231F20"/>
          <w:spacing w:val="-25"/>
          <w:w w:val="105"/>
        </w:rPr>
        <w:t> </w:t>
      </w:r>
      <w:r>
        <w:rPr>
          <w:color w:val="231F20"/>
          <w:w w:val="105"/>
        </w:rPr>
        <w:t>Protección</w:t>
      </w:r>
      <w:r>
        <w:rPr>
          <w:color w:val="231F20"/>
          <w:spacing w:val="-25"/>
          <w:w w:val="105"/>
        </w:rPr>
        <w:t> </w:t>
      </w:r>
      <w:r>
        <w:rPr>
          <w:color w:val="231F20"/>
          <w:spacing w:val="2"/>
          <w:w w:val="105"/>
        </w:rPr>
        <w:t>al</w:t>
      </w:r>
      <w:r>
        <w:rPr>
          <w:color w:val="231F20"/>
          <w:spacing w:val="-25"/>
          <w:w w:val="105"/>
        </w:rPr>
        <w:t> </w:t>
      </w:r>
      <w:r>
        <w:rPr>
          <w:color w:val="231F20"/>
          <w:w w:val="105"/>
        </w:rPr>
        <w:t>Ambiente</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w w:val="105"/>
        </w:rPr>
        <w:t>Preservación</w:t>
      </w:r>
      <w:r>
        <w:rPr>
          <w:color w:val="231F20"/>
          <w:spacing w:val="-25"/>
          <w:w w:val="105"/>
        </w:rPr>
        <w:t> </w:t>
      </w:r>
      <w:r>
        <w:rPr>
          <w:color w:val="231F20"/>
          <w:w w:val="105"/>
        </w:rPr>
        <w:t>Ecológica. Reglamentos</w:t>
      </w:r>
      <w:r>
        <w:rPr>
          <w:color w:val="231F20"/>
          <w:spacing w:val="-25"/>
          <w:w w:val="105"/>
        </w:rPr>
        <w:t> </w:t>
      </w:r>
      <w:r>
        <w:rPr>
          <w:color w:val="231F20"/>
          <w:w w:val="105"/>
        </w:rPr>
        <w:t>de</w:t>
      </w:r>
      <w:r>
        <w:rPr>
          <w:color w:val="231F20"/>
          <w:spacing w:val="-25"/>
          <w:w w:val="105"/>
        </w:rPr>
        <w:t> </w:t>
      </w:r>
      <w:r>
        <w:rPr>
          <w:color w:val="231F20"/>
          <w:w w:val="105"/>
        </w:rPr>
        <w:t>Servicios</w:t>
      </w:r>
      <w:r>
        <w:rPr>
          <w:color w:val="231F20"/>
          <w:spacing w:val="-25"/>
          <w:w w:val="105"/>
        </w:rPr>
        <w:t> </w:t>
      </w:r>
      <w:r>
        <w:rPr>
          <w:color w:val="231F20"/>
          <w:w w:val="105"/>
        </w:rPr>
        <w:t>de</w:t>
      </w:r>
      <w:r>
        <w:rPr>
          <w:color w:val="231F20"/>
          <w:spacing w:val="-25"/>
          <w:w w:val="105"/>
        </w:rPr>
        <w:t> </w:t>
      </w:r>
      <w:r>
        <w:rPr>
          <w:color w:val="231F20"/>
          <w:w w:val="105"/>
        </w:rPr>
        <w:t>Alumbrado</w:t>
      </w:r>
      <w:r>
        <w:rPr>
          <w:color w:val="231F20"/>
          <w:spacing w:val="-25"/>
          <w:w w:val="105"/>
        </w:rPr>
        <w:t> </w:t>
      </w:r>
      <w:r>
        <w:rPr>
          <w:color w:val="231F20"/>
          <w:w w:val="105"/>
        </w:rPr>
        <w:t>Público</w:t>
      </w:r>
      <w:r>
        <w:rPr>
          <w:color w:val="231F20"/>
          <w:spacing w:val="-25"/>
          <w:w w:val="105"/>
        </w:rPr>
        <w:t> </w:t>
      </w:r>
      <w:r>
        <w:rPr>
          <w:color w:val="231F20"/>
          <w:w w:val="105"/>
        </w:rPr>
        <w:t>Municipal.</w:t>
      </w:r>
    </w:p>
    <w:p>
      <w:pPr>
        <w:pStyle w:val="BodyText"/>
        <w:spacing w:before="1"/>
        <w:ind w:left="677" w:right="574"/>
      </w:pPr>
      <w:r>
        <w:rPr>
          <w:color w:val="231F20"/>
        </w:rPr>
        <w:t>Reglamento de Permisos y Licencias.</w:t>
      </w:r>
    </w:p>
    <w:p>
      <w:pPr>
        <w:pStyle w:val="BodyText"/>
        <w:spacing w:line="285" w:lineRule="auto" w:before="47"/>
        <w:ind w:left="677" w:right="-2"/>
      </w:pPr>
      <w:r>
        <w:rPr>
          <w:color w:val="231F20"/>
          <w:w w:val="105"/>
        </w:rPr>
        <w:t>Reglamento de Consejos de Colaboración Municipal o Participación Ciudadana (Plan de Desarrollo Municipal, 2006: 76).</w:t>
      </w:r>
    </w:p>
    <w:p>
      <w:pPr>
        <w:pStyle w:val="BodyText"/>
        <w:spacing w:line="285" w:lineRule="auto" w:before="1"/>
        <w:ind w:left="110" w:right="107"/>
        <w:jc w:val="both"/>
      </w:pPr>
      <w:r>
        <w:rPr>
          <w:color w:val="231F20"/>
          <w:w w:val="105"/>
        </w:rPr>
        <w:t>Estos</w:t>
      </w:r>
      <w:r>
        <w:rPr>
          <w:color w:val="231F20"/>
          <w:spacing w:val="-6"/>
          <w:w w:val="105"/>
        </w:rPr>
        <w:t> </w:t>
      </w:r>
      <w:r>
        <w:rPr>
          <w:color w:val="231F20"/>
          <w:spacing w:val="-5"/>
          <w:w w:val="105"/>
        </w:rPr>
        <w:t>18</w:t>
      </w:r>
      <w:r>
        <w:rPr>
          <w:color w:val="231F20"/>
          <w:spacing w:val="-6"/>
          <w:w w:val="105"/>
        </w:rPr>
        <w:t> </w:t>
      </w:r>
      <w:r>
        <w:rPr>
          <w:color w:val="231F20"/>
          <w:w w:val="105"/>
        </w:rPr>
        <w:t>reglamentos</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un</w:t>
      </w:r>
      <w:r>
        <w:rPr>
          <w:color w:val="231F20"/>
          <w:spacing w:val="-6"/>
          <w:w w:val="105"/>
        </w:rPr>
        <w:t> </w:t>
      </w:r>
      <w:r>
        <w:rPr>
          <w:color w:val="231F20"/>
          <w:w w:val="105"/>
        </w:rPr>
        <w:t>primer</w:t>
      </w:r>
      <w:r>
        <w:rPr>
          <w:color w:val="231F20"/>
          <w:spacing w:val="-6"/>
          <w:w w:val="105"/>
        </w:rPr>
        <w:t> </w:t>
      </w:r>
      <w:r>
        <w:rPr>
          <w:color w:val="231F20"/>
          <w:spacing w:val="-3"/>
          <w:w w:val="105"/>
        </w:rPr>
        <w:t>momento</w:t>
      </w:r>
      <w:r>
        <w:rPr>
          <w:color w:val="231F20"/>
          <w:spacing w:val="-6"/>
          <w:w w:val="105"/>
        </w:rPr>
        <w:t> </w:t>
      </w:r>
      <w:r>
        <w:rPr>
          <w:color w:val="231F20"/>
          <w:w w:val="105"/>
        </w:rPr>
        <w:t>se</w:t>
      </w:r>
      <w:r>
        <w:rPr>
          <w:color w:val="231F20"/>
          <w:spacing w:val="-6"/>
          <w:w w:val="105"/>
        </w:rPr>
        <w:t> </w:t>
      </w:r>
      <w:r>
        <w:rPr>
          <w:color w:val="231F20"/>
          <w:w w:val="105"/>
        </w:rPr>
        <w:t>habían</w:t>
      </w:r>
      <w:r>
        <w:rPr>
          <w:color w:val="231F20"/>
          <w:spacing w:val="-6"/>
          <w:w w:val="105"/>
        </w:rPr>
        <w:t> </w:t>
      </w:r>
      <w:r>
        <w:rPr>
          <w:color w:val="231F20"/>
          <w:w w:val="105"/>
        </w:rPr>
        <w:t>planteado</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han</w:t>
      </w:r>
      <w:r>
        <w:rPr>
          <w:color w:val="231F20"/>
          <w:spacing w:val="-6"/>
          <w:w w:val="105"/>
        </w:rPr>
        <w:t> </w:t>
      </w:r>
      <w:r>
        <w:rPr>
          <w:color w:val="231F20"/>
          <w:w w:val="105"/>
        </w:rPr>
        <w:t>hecho. Esto</w:t>
      </w:r>
      <w:r>
        <w:rPr>
          <w:color w:val="231F20"/>
          <w:spacing w:val="-4"/>
          <w:w w:val="105"/>
        </w:rPr>
        <w:t> </w:t>
      </w:r>
      <w:r>
        <w:rPr>
          <w:color w:val="231F20"/>
          <w:w w:val="105"/>
        </w:rPr>
        <w:t>sugiere</w:t>
      </w:r>
      <w:r>
        <w:rPr>
          <w:color w:val="231F20"/>
          <w:spacing w:val="-4"/>
          <w:w w:val="105"/>
        </w:rPr>
        <w:t> </w:t>
      </w:r>
      <w:r>
        <w:rPr>
          <w:color w:val="231F20"/>
          <w:w w:val="105"/>
        </w:rPr>
        <w:t>que</w:t>
      </w:r>
      <w:r>
        <w:rPr>
          <w:color w:val="231F20"/>
          <w:spacing w:val="-4"/>
          <w:w w:val="105"/>
        </w:rPr>
        <w:t> </w:t>
      </w:r>
      <w:r>
        <w:rPr>
          <w:color w:val="231F20"/>
          <w:w w:val="105"/>
        </w:rPr>
        <w:t>si</w:t>
      </w:r>
      <w:r>
        <w:rPr>
          <w:color w:val="231F20"/>
          <w:spacing w:val="-4"/>
          <w:w w:val="105"/>
        </w:rPr>
        <w:t> </w:t>
      </w:r>
      <w:r>
        <w:rPr>
          <w:color w:val="231F20"/>
          <w:w w:val="105"/>
        </w:rPr>
        <w:t>bien</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elaboración</w:t>
      </w:r>
      <w:r>
        <w:rPr>
          <w:color w:val="231F20"/>
          <w:spacing w:val="-4"/>
          <w:w w:val="105"/>
        </w:rPr>
        <w:t> </w:t>
      </w:r>
      <w:r>
        <w:rPr>
          <w:color w:val="231F20"/>
          <w:w w:val="105"/>
        </w:rPr>
        <w:t>del</w:t>
      </w:r>
      <w:r>
        <w:rPr>
          <w:color w:val="231F20"/>
          <w:spacing w:val="-4"/>
          <w:w w:val="105"/>
        </w:rPr>
        <w:t> PDM </w:t>
      </w:r>
      <w:r>
        <w:rPr>
          <w:color w:val="231F20"/>
          <w:w w:val="105"/>
        </w:rPr>
        <w:t>se</w:t>
      </w:r>
      <w:r>
        <w:rPr>
          <w:color w:val="231F20"/>
          <w:spacing w:val="-4"/>
          <w:w w:val="105"/>
        </w:rPr>
        <w:t> </w:t>
      </w:r>
      <w:r>
        <w:rPr>
          <w:color w:val="231F20"/>
          <w:w w:val="105"/>
        </w:rPr>
        <w:t>realizó</w:t>
      </w:r>
      <w:r>
        <w:rPr>
          <w:color w:val="231F20"/>
          <w:spacing w:val="-4"/>
          <w:w w:val="105"/>
        </w:rPr>
        <w:t> </w:t>
      </w:r>
      <w:r>
        <w:rPr>
          <w:color w:val="231F20"/>
          <w:w w:val="105"/>
        </w:rPr>
        <w:t>un</w:t>
      </w:r>
      <w:r>
        <w:rPr>
          <w:color w:val="231F20"/>
          <w:spacing w:val="-4"/>
          <w:w w:val="105"/>
        </w:rPr>
        <w:t> </w:t>
      </w:r>
      <w:r>
        <w:rPr>
          <w:color w:val="231F20"/>
          <w:w w:val="105"/>
        </w:rPr>
        <w:t>diagnóstico,</w:t>
      </w:r>
      <w:r>
        <w:rPr>
          <w:color w:val="231F20"/>
          <w:spacing w:val="-4"/>
          <w:w w:val="105"/>
        </w:rPr>
        <w:t> </w:t>
      </w:r>
      <w:r>
        <w:rPr>
          <w:color w:val="231F20"/>
          <w:w w:val="105"/>
        </w:rPr>
        <w:t>no</w:t>
      </w:r>
      <w:r>
        <w:rPr>
          <w:color w:val="231F20"/>
          <w:spacing w:val="-4"/>
          <w:w w:val="105"/>
        </w:rPr>
        <w:t> </w:t>
      </w:r>
      <w:r>
        <w:rPr>
          <w:color w:val="231F20"/>
          <w:w w:val="105"/>
        </w:rPr>
        <w:t>fue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tomado</w:t>
      </w:r>
      <w:r>
        <w:rPr>
          <w:color w:val="231F20"/>
          <w:spacing w:val="-17"/>
          <w:w w:val="105"/>
        </w:rPr>
        <w:t> </w:t>
      </w:r>
      <w:r>
        <w:rPr>
          <w:color w:val="231F20"/>
          <w:w w:val="105"/>
        </w:rPr>
        <w:t>en</w:t>
      </w:r>
      <w:r>
        <w:rPr>
          <w:color w:val="231F20"/>
          <w:spacing w:val="-17"/>
          <w:w w:val="105"/>
        </w:rPr>
        <w:t> </w:t>
      </w:r>
      <w:r>
        <w:rPr>
          <w:color w:val="231F20"/>
          <w:w w:val="105"/>
        </w:rPr>
        <w:t>cuenta</w:t>
      </w:r>
      <w:r>
        <w:rPr>
          <w:color w:val="231F20"/>
          <w:spacing w:val="-17"/>
          <w:w w:val="105"/>
        </w:rPr>
        <w:t> </w:t>
      </w:r>
      <w:r>
        <w:rPr>
          <w:color w:val="231F20"/>
          <w:spacing w:val="2"/>
          <w:w w:val="105"/>
        </w:rPr>
        <w:t>al</w:t>
      </w:r>
      <w:r>
        <w:rPr>
          <w:color w:val="231F20"/>
          <w:spacing w:val="-17"/>
          <w:w w:val="105"/>
        </w:rPr>
        <w:t> </w:t>
      </w:r>
      <w:r>
        <w:rPr>
          <w:color w:val="231F20"/>
          <w:w w:val="105"/>
        </w:rPr>
        <w:t>menos</w:t>
      </w:r>
      <w:r>
        <w:rPr>
          <w:color w:val="231F20"/>
          <w:spacing w:val="-17"/>
          <w:w w:val="105"/>
        </w:rPr>
        <w:t> </w:t>
      </w:r>
      <w:r>
        <w:rPr>
          <w:color w:val="231F20"/>
          <w:w w:val="105"/>
        </w:rPr>
        <w:t>en</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a</w:t>
      </w:r>
      <w:r>
        <w:rPr>
          <w:color w:val="231F20"/>
          <w:spacing w:val="-17"/>
          <w:w w:val="105"/>
        </w:rPr>
        <w:t> </w:t>
      </w:r>
      <w:r>
        <w:rPr>
          <w:color w:val="231F20"/>
          <w:w w:val="105"/>
        </w:rPr>
        <w:t>reglamentación</w:t>
      </w:r>
      <w:r>
        <w:rPr>
          <w:color w:val="231F20"/>
          <w:spacing w:val="-17"/>
          <w:w w:val="105"/>
        </w:rPr>
        <w:t> </w:t>
      </w:r>
      <w:r>
        <w:rPr>
          <w:color w:val="231F20"/>
          <w:w w:val="105"/>
        </w:rPr>
        <w:t>se</w:t>
      </w:r>
      <w:r>
        <w:rPr>
          <w:color w:val="231F20"/>
          <w:spacing w:val="-17"/>
          <w:w w:val="105"/>
        </w:rPr>
        <w:t> </w:t>
      </w:r>
      <w:r>
        <w:rPr>
          <w:color w:val="231F20"/>
          <w:w w:val="105"/>
        </w:rPr>
        <w:t>refiere.</w:t>
      </w:r>
      <w:r>
        <w:rPr>
          <w:color w:val="231F20"/>
          <w:spacing w:val="-17"/>
          <w:w w:val="105"/>
        </w:rPr>
        <w:t> </w:t>
      </w:r>
      <w:r>
        <w:rPr>
          <w:color w:val="231F20"/>
          <w:spacing w:val="-3"/>
          <w:w w:val="105"/>
        </w:rPr>
        <w:t>También</w:t>
      </w:r>
      <w:r>
        <w:rPr>
          <w:color w:val="231F20"/>
          <w:spacing w:val="-17"/>
          <w:w w:val="105"/>
        </w:rPr>
        <w:t> </w:t>
      </w:r>
      <w:r>
        <w:rPr>
          <w:color w:val="231F20"/>
          <w:w w:val="105"/>
        </w:rPr>
        <w:t>refleja</w:t>
      </w:r>
      <w:r>
        <w:rPr>
          <w:color w:val="231F20"/>
          <w:spacing w:val="-17"/>
          <w:w w:val="105"/>
        </w:rPr>
        <w:t> </w:t>
      </w:r>
      <w:r>
        <w:rPr>
          <w:color w:val="231F20"/>
          <w:w w:val="105"/>
        </w:rPr>
        <w:t>que</w:t>
      </w:r>
      <w:r>
        <w:rPr>
          <w:color w:val="231F20"/>
          <w:spacing w:val="-17"/>
          <w:w w:val="105"/>
        </w:rPr>
        <w:t> </w:t>
      </w:r>
      <w:r>
        <w:rPr>
          <w:color w:val="231F20"/>
          <w:w w:val="105"/>
        </w:rPr>
        <w:t>el </w:t>
      </w:r>
      <w:r>
        <w:rPr>
          <w:color w:val="231F20"/>
          <w:spacing w:val="-3"/>
          <w:w w:val="105"/>
        </w:rPr>
        <w:t>propio</w:t>
      </w:r>
      <w:r>
        <w:rPr>
          <w:color w:val="231F20"/>
          <w:spacing w:val="-7"/>
          <w:w w:val="105"/>
        </w:rPr>
        <w:t> </w:t>
      </w:r>
      <w:r>
        <w:rPr>
          <w:color w:val="231F20"/>
          <w:w w:val="105"/>
        </w:rPr>
        <w:t>Ayuntamiento</w:t>
      </w:r>
      <w:r>
        <w:rPr>
          <w:color w:val="231F20"/>
          <w:spacing w:val="-7"/>
          <w:w w:val="105"/>
        </w:rPr>
        <w:t> </w:t>
      </w:r>
      <w:r>
        <w:rPr>
          <w:color w:val="231F20"/>
          <w:w w:val="105"/>
        </w:rPr>
        <w:t>limita</w:t>
      </w:r>
      <w:r>
        <w:rPr>
          <w:color w:val="231F20"/>
          <w:spacing w:val="-7"/>
          <w:w w:val="105"/>
        </w:rPr>
        <w:t> </w:t>
      </w:r>
      <w:r>
        <w:rPr>
          <w:color w:val="231F20"/>
          <w:w w:val="105"/>
        </w:rPr>
        <w:t>una</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facultades</w:t>
      </w:r>
      <w:r>
        <w:rPr>
          <w:color w:val="231F20"/>
          <w:spacing w:val="-7"/>
          <w:w w:val="105"/>
        </w:rPr>
        <w:t> </w:t>
      </w:r>
      <w:r>
        <w:rPr>
          <w:color w:val="231F20"/>
          <w:w w:val="105"/>
        </w:rPr>
        <w:t>de</w:t>
      </w:r>
      <w:r>
        <w:rPr>
          <w:color w:val="231F20"/>
          <w:spacing w:val="-7"/>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21"/>
          <w:w w:val="105"/>
        </w:rPr>
        <w:t> </w:t>
      </w:r>
      <w:r>
        <w:rPr>
          <w:color w:val="231F20"/>
          <w:w w:val="105"/>
        </w:rPr>
        <w:t>cuanto</w:t>
      </w:r>
      <w:r>
        <w:rPr>
          <w:color w:val="231F20"/>
          <w:spacing w:val="-21"/>
          <w:w w:val="105"/>
        </w:rPr>
        <w:t> </w:t>
      </w:r>
      <w:r>
        <w:rPr>
          <w:color w:val="231F20"/>
          <w:w w:val="105"/>
        </w:rPr>
        <w:t>a</w:t>
      </w:r>
      <w:r>
        <w:rPr>
          <w:color w:val="231F20"/>
          <w:spacing w:val="-21"/>
          <w:w w:val="105"/>
        </w:rPr>
        <w:t> </w:t>
      </w:r>
      <w:r>
        <w:rPr>
          <w:color w:val="231F20"/>
          <w:w w:val="105"/>
        </w:rPr>
        <w:t>atención</w:t>
      </w:r>
      <w:r>
        <w:rPr>
          <w:color w:val="231F20"/>
          <w:spacing w:val="-21"/>
          <w:w w:val="105"/>
        </w:rPr>
        <w:t> </w:t>
      </w:r>
      <w:r>
        <w:rPr>
          <w:color w:val="231F20"/>
          <w:w w:val="105"/>
        </w:rPr>
        <w:t>y</w:t>
      </w:r>
      <w:r>
        <w:rPr>
          <w:color w:val="231F20"/>
          <w:spacing w:val="-21"/>
          <w:w w:val="105"/>
        </w:rPr>
        <w:t> </w:t>
      </w:r>
      <w:r>
        <w:rPr>
          <w:color w:val="231F20"/>
          <w:w w:val="105"/>
        </w:rPr>
        <w:t>participación</w:t>
      </w:r>
      <w:r>
        <w:rPr>
          <w:color w:val="231F20"/>
          <w:spacing w:val="-21"/>
          <w:w w:val="105"/>
        </w:rPr>
        <w:t> </w:t>
      </w:r>
      <w:r>
        <w:rPr>
          <w:color w:val="231F20"/>
          <w:w w:val="105"/>
        </w:rPr>
        <w:t>ciudadana,</w:t>
      </w:r>
      <w:r>
        <w:rPr>
          <w:color w:val="231F20"/>
          <w:spacing w:val="-21"/>
          <w:w w:val="105"/>
        </w:rPr>
        <w:t> </w:t>
      </w:r>
      <w:r>
        <w:rPr>
          <w:color w:val="231F20"/>
          <w:w w:val="105"/>
        </w:rPr>
        <w:t>se</w:t>
      </w:r>
      <w:r>
        <w:rPr>
          <w:color w:val="231F20"/>
          <w:spacing w:val="-21"/>
          <w:w w:val="105"/>
        </w:rPr>
        <w:t> </w:t>
      </w:r>
      <w:r>
        <w:rPr>
          <w:color w:val="231F20"/>
          <w:spacing w:val="-3"/>
          <w:w w:val="105"/>
        </w:rPr>
        <w:t>contempló</w:t>
      </w:r>
      <w:r>
        <w:rPr>
          <w:color w:val="231F20"/>
          <w:spacing w:val="-21"/>
          <w:w w:val="105"/>
        </w:rPr>
        <w:t> </w:t>
      </w:r>
      <w:r>
        <w:rPr>
          <w:color w:val="231F20"/>
          <w:w w:val="105"/>
        </w:rPr>
        <w:t>la</w:t>
      </w:r>
      <w:r>
        <w:rPr>
          <w:color w:val="231F20"/>
          <w:spacing w:val="-21"/>
          <w:w w:val="105"/>
        </w:rPr>
        <w:t> </w:t>
      </w:r>
      <w:r>
        <w:rPr>
          <w:color w:val="231F20"/>
          <w:w w:val="105"/>
        </w:rPr>
        <w:t>instalación</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spacing w:val="-3"/>
          <w:w w:val="105"/>
        </w:rPr>
        <w:t>módu- </w:t>
      </w:r>
      <w:r>
        <w:rPr>
          <w:color w:val="231F20"/>
          <w:w w:val="105"/>
        </w:rPr>
        <w:t>lo</w:t>
      </w:r>
      <w:r>
        <w:rPr>
          <w:color w:val="231F20"/>
          <w:spacing w:val="-14"/>
          <w:w w:val="105"/>
        </w:rPr>
        <w:t> </w:t>
      </w:r>
      <w:r>
        <w:rPr>
          <w:color w:val="231F20"/>
          <w:w w:val="105"/>
        </w:rPr>
        <w:t>de</w:t>
      </w:r>
      <w:r>
        <w:rPr>
          <w:color w:val="231F20"/>
          <w:spacing w:val="-14"/>
          <w:w w:val="105"/>
        </w:rPr>
        <w:t> </w:t>
      </w:r>
      <w:r>
        <w:rPr>
          <w:color w:val="231F20"/>
          <w:w w:val="105"/>
        </w:rPr>
        <w:t>atención</w:t>
      </w:r>
      <w:r>
        <w:rPr>
          <w:color w:val="231F20"/>
          <w:spacing w:val="-14"/>
          <w:w w:val="105"/>
        </w:rPr>
        <w:t> </w:t>
      </w:r>
      <w:r>
        <w:rPr>
          <w:color w:val="231F20"/>
          <w:spacing w:val="2"/>
          <w:w w:val="105"/>
        </w:rPr>
        <w:t>al</w:t>
      </w:r>
      <w:r>
        <w:rPr>
          <w:color w:val="231F20"/>
          <w:spacing w:val="-14"/>
          <w:w w:val="105"/>
        </w:rPr>
        <w:t> </w:t>
      </w:r>
      <w:r>
        <w:rPr>
          <w:color w:val="231F20"/>
          <w:w w:val="105"/>
        </w:rPr>
        <w:t>público</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creación</w:t>
      </w:r>
      <w:r>
        <w:rPr>
          <w:color w:val="231F20"/>
          <w:spacing w:val="-14"/>
          <w:w w:val="105"/>
        </w:rPr>
        <w:t> </w:t>
      </w:r>
      <w:r>
        <w:rPr>
          <w:color w:val="231F20"/>
          <w:w w:val="105"/>
        </w:rPr>
        <w:t>de</w:t>
      </w:r>
      <w:r>
        <w:rPr>
          <w:color w:val="231F20"/>
          <w:spacing w:val="-14"/>
          <w:w w:val="105"/>
        </w:rPr>
        <w:t> </w:t>
      </w:r>
      <w:r>
        <w:rPr>
          <w:color w:val="231F20"/>
          <w:w w:val="105"/>
        </w:rPr>
        <w:t>mesas</w:t>
      </w:r>
      <w:r>
        <w:rPr>
          <w:color w:val="231F20"/>
          <w:spacing w:val="-14"/>
          <w:w w:val="105"/>
        </w:rPr>
        <w:t> </w:t>
      </w:r>
      <w:r>
        <w:rPr>
          <w:color w:val="231F20"/>
          <w:w w:val="105"/>
        </w:rPr>
        <w:t>ciudadanas</w:t>
      </w:r>
      <w:r>
        <w:rPr>
          <w:color w:val="231F20"/>
          <w:spacing w:val="-14"/>
          <w:w w:val="105"/>
        </w:rPr>
        <w:t> </w:t>
      </w:r>
      <w:r>
        <w:rPr>
          <w:color w:val="231F20"/>
          <w:w w:val="105"/>
        </w:rPr>
        <w:t>de</w:t>
      </w:r>
      <w:r>
        <w:rPr>
          <w:color w:val="231F20"/>
          <w:spacing w:val="-14"/>
          <w:w w:val="105"/>
        </w:rPr>
        <w:t> </w:t>
      </w:r>
      <w:r>
        <w:rPr>
          <w:color w:val="231F20"/>
          <w:w w:val="105"/>
        </w:rPr>
        <w:t>participación</w:t>
      </w:r>
      <w:r>
        <w:rPr>
          <w:color w:val="231F20"/>
          <w:spacing w:val="-14"/>
          <w:w w:val="105"/>
        </w:rPr>
        <w:t> </w:t>
      </w:r>
      <w:r>
        <w:rPr>
          <w:color w:val="231F20"/>
          <w:w w:val="105"/>
        </w:rPr>
        <w:t>y</w:t>
      </w:r>
      <w:r>
        <w:rPr>
          <w:color w:val="231F20"/>
          <w:spacing w:val="-14"/>
          <w:w w:val="105"/>
        </w:rPr>
        <w:t> </w:t>
      </w:r>
      <w:r>
        <w:rPr>
          <w:color w:val="231F20"/>
          <w:w w:val="105"/>
        </w:rPr>
        <w:t>consulta, en</w:t>
      </w:r>
      <w:r>
        <w:rPr>
          <w:color w:val="231F20"/>
          <w:spacing w:val="-7"/>
          <w:w w:val="105"/>
        </w:rPr>
        <w:t> </w:t>
      </w:r>
      <w:r>
        <w:rPr>
          <w:color w:val="231F20"/>
          <w:spacing w:val="-3"/>
          <w:w w:val="105"/>
        </w:rPr>
        <w:t>donde</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tuviera</w:t>
      </w:r>
      <w:r>
        <w:rPr>
          <w:color w:val="231F20"/>
          <w:spacing w:val="-7"/>
          <w:w w:val="105"/>
        </w:rPr>
        <w:t> </w:t>
      </w:r>
      <w:r>
        <w:rPr>
          <w:color w:val="231F20"/>
          <w:w w:val="105"/>
        </w:rPr>
        <w:t>un</w:t>
      </w:r>
      <w:r>
        <w:rPr>
          <w:color w:val="231F20"/>
          <w:spacing w:val="-7"/>
          <w:w w:val="105"/>
        </w:rPr>
        <w:t> </w:t>
      </w:r>
      <w:r>
        <w:rPr>
          <w:color w:val="231F20"/>
          <w:w w:val="105"/>
        </w:rPr>
        <w:t>espacio</w:t>
      </w:r>
      <w:r>
        <w:rPr>
          <w:color w:val="231F20"/>
          <w:spacing w:val="-7"/>
          <w:w w:val="105"/>
        </w:rPr>
        <w:t> </w:t>
      </w:r>
      <w:r>
        <w:rPr>
          <w:color w:val="231F20"/>
          <w:w w:val="105"/>
        </w:rPr>
        <w:t>para</w:t>
      </w:r>
      <w:r>
        <w:rPr>
          <w:color w:val="231F20"/>
          <w:spacing w:val="-7"/>
          <w:w w:val="105"/>
        </w:rPr>
        <w:t> </w:t>
      </w:r>
      <w:r>
        <w:rPr>
          <w:color w:val="231F20"/>
          <w:w w:val="105"/>
        </w:rPr>
        <w:t>expresar</w:t>
      </w:r>
      <w:r>
        <w:rPr>
          <w:color w:val="231F20"/>
          <w:spacing w:val="-7"/>
          <w:w w:val="105"/>
        </w:rPr>
        <w:t> </w:t>
      </w:r>
      <w:r>
        <w:rPr>
          <w:color w:val="231F20"/>
          <w:w w:val="105"/>
        </w:rPr>
        <w:t>inquietudes</w:t>
      </w:r>
      <w:r>
        <w:rPr>
          <w:color w:val="231F20"/>
          <w:spacing w:val="-7"/>
          <w:w w:val="105"/>
        </w:rPr>
        <w:t> </w:t>
      </w:r>
      <w:r>
        <w:rPr>
          <w:color w:val="231F20"/>
          <w:w w:val="105"/>
        </w:rPr>
        <w:t>y</w:t>
      </w:r>
      <w:r>
        <w:rPr>
          <w:color w:val="231F20"/>
          <w:spacing w:val="-7"/>
          <w:w w:val="105"/>
        </w:rPr>
        <w:t> </w:t>
      </w:r>
      <w:r>
        <w:rPr>
          <w:color w:val="231F20"/>
          <w:w w:val="105"/>
        </w:rPr>
        <w:t>recibir</w:t>
      </w:r>
      <w:r>
        <w:rPr>
          <w:color w:val="231F20"/>
          <w:spacing w:val="-7"/>
          <w:w w:val="105"/>
        </w:rPr>
        <w:t> </w:t>
      </w:r>
      <w:r>
        <w:rPr>
          <w:color w:val="231F20"/>
          <w:w w:val="105"/>
        </w:rPr>
        <w:t>respuesta. Desafortunadamente las únicas formas de participación hasta el </w:t>
      </w:r>
      <w:r>
        <w:rPr>
          <w:color w:val="231F20"/>
          <w:spacing w:val="-3"/>
          <w:w w:val="105"/>
        </w:rPr>
        <w:t>momento </w:t>
      </w:r>
      <w:r>
        <w:rPr>
          <w:color w:val="231F20"/>
          <w:w w:val="105"/>
        </w:rPr>
        <w:t>detectadas han</w:t>
      </w:r>
      <w:r>
        <w:rPr>
          <w:color w:val="231F20"/>
          <w:spacing w:val="-15"/>
          <w:w w:val="105"/>
        </w:rPr>
        <w:t> </w:t>
      </w:r>
      <w:r>
        <w:rPr>
          <w:color w:val="231F20"/>
          <w:w w:val="105"/>
        </w:rPr>
        <w:t>sido</w:t>
      </w:r>
      <w:r>
        <w:rPr>
          <w:color w:val="231F20"/>
          <w:spacing w:val="-15"/>
          <w:w w:val="105"/>
        </w:rPr>
        <w:t> </w:t>
      </w:r>
      <w:r>
        <w:rPr>
          <w:color w:val="231F20"/>
          <w:w w:val="105"/>
        </w:rPr>
        <w:t>las</w:t>
      </w:r>
      <w:r>
        <w:rPr>
          <w:color w:val="231F20"/>
          <w:spacing w:val="-15"/>
          <w:w w:val="105"/>
        </w:rPr>
        <w:t> </w:t>
      </w:r>
      <w:r>
        <w:rPr>
          <w:color w:val="231F20"/>
          <w:w w:val="105"/>
        </w:rPr>
        <w:t>audiencias</w:t>
      </w:r>
      <w:r>
        <w:rPr>
          <w:color w:val="231F20"/>
          <w:spacing w:val="-15"/>
          <w:w w:val="105"/>
        </w:rPr>
        <w:t> </w:t>
      </w:r>
      <w:r>
        <w:rPr>
          <w:color w:val="231F20"/>
          <w:w w:val="105"/>
        </w:rPr>
        <w:t>ciudadanas</w:t>
      </w:r>
      <w:r>
        <w:rPr>
          <w:color w:val="231F20"/>
          <w:spacing w:val="-15"/>
          <w:w w:val="105"/>
        </w:rPr>
        <w:t> </w:t>
      </w:r>
      <w:r>
        <w:rPr>
          <w:color w:val="231F20"/>
          <w:w w:val="105"/>
        </w:rPr>
        <w:t>y</w:t>
      </w:r>
      <w:r>
        <w:rPr>
          <w:color w:val="231F20"/>
          <w:spacing w:val="-15"/>
          <w:w w:val="105"/>
        </w:rPr>
        <w:t> </w:t>
      </w:r>
      <w:r>
        <w:rPr>
          <w:color w:val="231F20"/>
          <w:w w:val="105"/>
        </w:rPr>
        <w:t>los</w:t>
      </w:r>
      <w:r>
        <w:rPr>
          <w:color w:val="231F20"/>
          <w:spacing w:val="-15"/>
          <w:w w:val="105"/>
        </w:rPr>
        <w:t> </w:t>
      </w:r>
      <w:r>
        <w:rPr>
          <w:color w:val="231F20"/>
          <w:w w:val="105"/>
        </w:rPr>
        <w:t>Foros</w:t>
      </w:r>
      <w:r>
        <w:rPr>
          <w:color w:val="231F20"/>
          <w:spacing w:val="-15"/>
          <w:w w:val="105"/>
        </w:rPr>
        <w:t> </w:t>
      </w:r>
      <w:r>
        <w:rPr>
          <w:color w:val="231F20"/>
          <w:w w:val="105"/>
        </w:rPr>
        <w:t>de</w:t>
      </w:r>
      <w:r>
        <w:rPr>
          <w:color w:val="231F20"/>
          <w:spacing w:val="-15"/>
          <w:w w:val="105"/>
        </w:rPr>
        <w:t> </w:t>
      </w:r>
      <w:r>
        <w:rPr>
          <w:color w:val="231F20"/>
          <w:w w:val="105"/>
        </w:rPr>
        <w:t>consulta</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creación</w:t>
      </w:r>
      <w:r>
        <w:rPr>
          <w:color w:val="231F20"/>
          <w:spacing w:val="-15"/>
          <w:w w:val="105"/>
        </w:rPr>
        <w:t> </w:t>
      </w:r>
      <w:r>
        <w:rPr>
          <w:color w:val="231F20"/>
          <w:w w:val="105"/>
        </w:rPr>
        <w:t>del</w:t>
      </w:r>
      <w:r>
        <w:rPr>
          <w:color w:val="231F20"/>
          <w:spacing w:val="-15"/>
          <w:w w:val="105"/>
        </w:rPr>
        <w:t> </w:t>
      </w:r>
      <w:r>
        <w:rPr>
          <w:color w:val="231F20"/>
          <w:spacing w:val="-3"/>
          <w:w w:val="105"/>
        </w:rPr>
        <w:t>PDM.</w:t>
      </w:r>
    </w:p>
    <w:p>
      <w:pPr>
        <w:pStyle w:val="BodyText"/>
        <w:spacing w:before="1"/>
        <w:rPr>
          <w:sz w:val="26"/>
        </w:rPr>
      </w:pPr>
    </w:p>
    <w:p>
      <w:pPr>
        <w:pStyle w:val="BodyText"/>
        <w:spacing w:line="285" w:lineRule="auto"/>
        <w:ind w:left="110" w:right="107"/>
        <w:jc w:val="both"/>
      </w:pPr>
      <w:r>
        <w:rPr>
          <w:color w:val="231F20"/>
          <w:w w:val="105"/>
        </w:rPr>
        <w:t>Finalmente, para el financiamiento del desarrollo se establecen acciones en dos áreas. La primera sobre la autonomía financiera y recaudación en </w:t>
      </w:r>
      <w:r>
        <w:rPr>
          <w:color w:val="231F20"/>
          <w:spacing w:val="-3"/>
          <w:w w:val="105"/>
        </w:rPr>
        <w:t>donde </w:t>
      </w:r>
      <w:r>
        <w:rPr>
          <w:color w:val="231F20"/>
          <w:w w:val="105"/>
        </w:rPr>
        <w:t>se pretendía reali- zar</w:t>
      </w:r>
      <w:r>
        <w:rPr>
          <w:color w:val="231F20"/>
          <w:spacing w:val="-12"/>
          <w:w w:val="105"/>
        </w:rPr>
        <w:t> </w:t>
      </w:r>
      <w:r>
        <w:rPr>
          <w:color w:val="231F20"/>
          <w:w w:val="105"/>
        </w:rPr>
        <w:t>las</w:t>
      </w:r>
      <w:r>
        <w:rPr>
          <w:color w:val="231F20"/>
          <w:spacing w:val="-12"/>
          <w:w w:val="105"/>
        </w:rPr>
        <w:t> </w:t>
      </w:r>
      <w:r>
        <w:rPr>
          <w:color w:val="231F20"/>
          <w:w w:val="105"/>
        </w:rPr>
        <w:t>reformas</w:t>
      </w:r>
      <w:r>
        <w:rPr>
          <w:color w:val="231F20"/>
          <w:spacing w:val="-12"/>
          <w:w w:val="105"/>
        </w:rPr>
        <w:t> </w:t>
      </w:r>
      <w:r>
        <w:rPr>
          <w:color w:val="231F20"/>
          <w:w w:val="105"/>
        </w:rPr>
        <w:t>estructurales</w:t>
      </w:r>
      <w:r>
        <w:rPr>
          <w:color w:val="231F20"/>
          <w:spacing w:val="-12"/>
          <w:w w:val="105"/>
        </w:rPr>
        <w:t> </w:t>
      </w:r>
      <w:r>
        <w:rPr>
          <w:color w:val="231F20"/>
          <w:w w:val="105"/>
        </w:rPr>
        <w:t>y</w:t>
      </w:r>
      <w:r>
        <w:rPr>
          <w:color w:val="231F20"/>
          <w:spacing w:val="-12"/>
          <w:w w:val="105"/>
        </w:rPr>
        <w:t> </w:t>
      </w:r>
      <w:r>
        <w:rPr>
          <w:color w:val="231F20"/>
          <w:w w:val="105"/>
        </w:rPr>
        <w:t>administrativas</w:t>
      </w:r>
      <w:r>
        <w:rPr>
          <w:color w:val="231F20"/>
          <w:spacing w:val="-12"/>
          <w:w w:val="105"/>
        </w:rPr>
        <w:t> </w:t>
      </w:r>
      <w:r>
        <w:rPr>
          <w:color w:val="231F20"/>
          <w:w w:val="105"/>
        </w:rPr>
        <w:t>para</w:t>
      </w:r>
      <w:r>
        <w:rPr>
          <w:color w:val="231F20"/>
          <w:spacing w:val="-12"/>
          <w:w w:val="105"/>
        </w:rPr>
        <w:t> </w:t>
      </w:r>
      <w:r>
        <w:rPr>
          <w:color w:val="231F20"/>
          <w:w w:val="105"/>
        </w:rPr>
        <w:t>mejorar</w:t>
      </w:r>
      <w:r>
        <w:rPr>
          <w:color w:val="231F20"/>
          <w:spacing w:val="-12"/>
          <w:w w:val="105"/>
        </w:rPr>
        <w:t> </w:t>
      </w:r>
      <w:r>
        <w:rPr>
          <w:color w:val="231F20"/>
          <w:w w:val="105"/>
        </w:rPr>
        <w:t>la</w:t>
      </w:r>
      <w:r>
        <w:rPr>
          <w:color w:val="231F20"/>
          <w:spacing w:val="-12"/>
          <w:w w:val="105"/>
        </w:rPr>
        <w:t> </w:t>
      </w:r>
      <w:r>
        <w:rPr>
          <w:color w:val="231F20"/>
          <w:w w:val="105"/>
        </w:rPr>
        <w:t>recaudación</w:t>
      </w:r>
      <w:r>
        <w:rPr>
          <w:color w:val="231F20"/>
          <w:spacing w:val="-12"/>
          <w:w w:val="105"/>
        </w:rPr>
        <w:t> </w:t>
      </w:r>
      <w:r>
        <w:rPr>
          <w:color w:val="231F20"/>
          <w:w w:val="105"/>
        </w:rPr>
        <w:t>municipal, mediante</w:t>
      </w:r>
      <w:r>
        <w:rPr>
          <w:color w:val="231F20"/>
          <w:spacing w:val="-12"/>
          <w:w w:val="105"/>
        </w:rPr>
        <w:t> </w:t>
      </w:r>
      <w:r>
        <w:rPr>
          <w:color w:val="231F20"/>
          <w:w w:val="105"/>
        </w:rPr>
        <w:t>la</w:t>
      </w:r>
      <w:r>
        <w:rPr>
          <w:color w:val="231F20"/>
          <w:spacing w:val="-12"/>
          <w:w w:val="105"/>
        </w:rPr>
        <w:t> </w:t>
      </w:r>
      <w:r>
        <w:rPr>
          <w:color w:val="231F20"/>
          <w:w w:val="105"/>
        </w:rPr>
        <w:t>ampliación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padrones</w:t>
      </w:r>
      <w:r>
        <w:rPr>
          <w:color w:val="231F20"/>
          <w:spacing w:val="-12"/>
          <w:w w:val="105"/>
        </w:rPr>
        <w:t> </w:t>
      </w:r>
      <w:r>
        <w:rPr>
          <w:color w:val="231F20"/>
          <w:w w:val="105"/>
        </w:rPr>
        <w:t>de</w:t>
      </w:r>
      <w:r>
        <w:rPr>
          <w:color w:val="231F20"/>
          <w:spacing w:val="-12"/>
          <w:w w:val="105"/>
        </w:rPr>
        <w:t> </w:t>
      </w:r>
      <w:r>
        <w:rPr>
          <w:color w:val="231F20"/>
          <w:w w:val="105"/>
        </w:rPr>
        <w:t>contribuyentes</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aumento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eficiencia recaudatoria. Y en la segunda que es la estructura de egresos, se propuso iniciar una política de contención del gasto corriente, principalmente en materia de servicios </w:t>
      </w:r>
      <w:r>
        <w:rPr>
          <w:color w:val="231F20"/>
          <w:spacing w:val="-3"/>
          <w:w w:val="105"/>
        </w:rPr>
        <w:t>per- </w:t>
      </w:r>
      <w:r>
        <w:rPr>
          <w:color w:val="231F20"/>
          <w:w w:val="105"/>
        </w:rPr>
        <w:t>sonales,</w:t>
      </w:r>
      <w:r>
        <w:rPr>
          <w:color w:val="231F20"/>
          <w:spacing w:val="-9"/>
          <w:w w:val="105"/>
        </w:rPr>
        <w:t> </w:t>
      </w:r>
      <w:r>
        <w:rPr>
          <w:color w:val="231F20"/>
          <w:w w:val="105"/>
        </w:rPr>
        <w:t>mediante</w:t>
      </w:r>
      <w:r>
        <w:rPr>
          <w:color w:val="231F20"/>
          <w:spacing w:val="-9"/>
          <w:w w:val="105"/>
        </w:rPr>
        <w:t> </w:t>
      </w:r>
      <w:r>
        <w:rPr>
          <w:color w:val="231F20"/>
          <w:w w:val="105"/>
        </w:rPr>
        <w:t>un</w:t>
      </w:r>
      <w:r>
        <w:rPr>
          <w:color w:val="231F20"/>
          <w:spacing w:val="-9"/>
          <w:w w:val="105"/>
        </w:rPr>
        <w:t> </w:t>
      </w:r>
      <w:r>
        <w:rPr>
          <w:color w:val="231F20"/>
          <w:w w:val="105"/>
        </w:rPr>
        <w:t>programa</w:t>
      </w:r>
      <w:r>
        <w:rPr>
          <w:color w:val="231F20"/>
          <w:spacing w:val="-9"/>
          <w:w w:val="105"/>
        </w:rPr>
        <w:t> </w:t>
      </w:r>
      <w:r>
        <w:rPr>
          <w:color w:val="231F20"/>
          <w:w w:val="105"/>
        </w:rPr>
        <w:t>de</w:t>
      </w:r>
      <w:r>
        <w:rPr>
          <w:color w:val="231F20"/>
          <w:spacing w:val="-9"/>
          <w:w w:val="105"/>
        </w:rPr>
        <w:t> </w:t>
      </w:r>
      <w:r>
        <w:rPr>
          <w:color w:val="231F20"/>
          <w:w w:val="105"/>
        </w:rPr>
        <w:t>adelgazamiento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estructura</w:t>
      </w:r>
      <w:r>
        <w:rPr>
          <w:color w:val="231F20"/>
          <w:spacing w:val="-9"/>
          <w:w w:val="105"/>
        </w:rPr>
        <w:t> </w:t>
      </w:r>
      <w:r>
        <w:rPr>
          <w:color w:val="231F20"/>
          <w:w w:val="105"/>
        </w:rPr>
        <w:t>actual,</w:t>
      </w:r>
      <w:r>
        <w:rPr>
          <w:color w:val="231F20"/>
          <w:spacing w:val="-9"/>
          <w:w w:val="105"/>
        </w:rPr>
        <w:t> </w:t>
      </w:r>
      <w:r>
        <w:rPr>
          <w:color w:val="231F20"/>
          <w:w w:val="105"/>
        </w:rPr>
        <w:t>para</w:t>
      </w:r>
      <w:r>
        <w:rPr>
          <w:color w:val="231F20"/>
          <w:spacing w:val="-9"/>
          <w:w w:val="105"/>
        </w:rPr>
        <w:t> </w:t>
      </w:r>
      <w:r>
        <w:rPr>
          <w:color w:val="231F20"/>
          <w:w w:val="105"/>
        </w:rPr>
        <w:t>obtener un</w:t>
      </w:r>
      <w:r>
        <w:rPr>
          <w:color w:val="231F20"/>
          <w:spacing w:val="-13"/>
          <w:w w:val="105"/>
        </w:rPr>
        <w:t> </w:t>
      </w:r>
      <w:r>
        <w:rPr>
          <w:color w:val="231F20"/>
          <w:w w:val="105"/>
        </w:rPr>
        <w:t>mayor</w:t>
      </w:r>
      <w:r>
        <w:rPr>
          <w:color w:val="231F20"/>
          <w:spacing w:val="-13"/>
          <w:w w:val="105"/>
        </w:rPr>
        <w:t> </w:t>
      </w:r>
      <w:r>
        <w:rPr>
          <w:color w:val="231F20"/>
          <w:w w:val="105"/>
        </w:rPr>
        <w:t>margen</w:t>
      </w:r>
      <w:r>
        <w:rPr>
          <w:color w:val="231F20"/>
          <w:spacing w:val="-13"/>
          <w:w w:val="105"/>
        </w:rPr>
        <w:t> </w:t>
      </w:r>
      <w:r>
        <w:rPr>
          <w:color w:val="231F20"/>
          <w:w w:val="105"/>
        </w:rPr>
        <w:t>en</w:t>
      </w:r>
      <w:r>
        <w:rPr>
          <w:color w:val="231F20"/>
          <w:spacing w:val="-13"/>
          <w:w w:val="105"/>
        </w:rPr>
        <w:t> </w:t>
      </w:r>
      <w:r>
        <w:rPr>
          <w:color w:val="231F20"/>
          <w:w w:val="105"/>
        </w:rPr>
        <w:t>gasto</w:t>
      </w:r>
      <w:r>
        <w:rPr>
          <w:color w:val="231F20"/>
          <w:spacing w:val="-13"/>
          <w:w w:val="105"/>
        </w:rPr>
        <w:t> </w:t>
      </w:r>
      <w:r>
        <w:rPr>
          <w:color w:val="231F20"/>
          <w:w w:val="105"/>
        </w:rPr>
        <w:t>de</w:t>
      </w:r>
      <w:r>
        <w:rPr>
          <w:color w:val="231F20"/>
          <w:spacing w:val="-13"/>
          <w:w w:val="105"/>
        </w:rPr>
        <w:t> </w:t>
      </w:r>
      <w:r>
        <w:rPr>
          <w:color w:val="231F20"/>
          <w:w w:val="105"/>
        </w:rPr>
        <w:t>inversión.</w:t>
      </w:r>
    </w:p>
    <w:p>
      <w:pPr>
        <w:pStyle w:val="BodyText"/>
        <w:spacing w:before="1"/>
        <w:rPr>
          <w:sz w:val="26"/>
        </w:rPr>
      </w:pPr>
    </w:p>
    <w:p>
      <w:pPr>
        <w:pStyle w:val="BodyText"/>
        <w:spacing w:line="285" w:lineRule="auto"/>
        <w:ind w:left="110" w:right="108"/>
        <w:jc w:val="both"/>
      </w:pPr>
      <w:r>
        <w:rPr>
          <w:color w:val="231F20"/>
          <w:w w:val="105"/>
        </w:rPr>
        <w:t>Al</w:t>
      </w:r>
      <w:r>
        <w:rPr>
          <w:color w:val="231F20"/>
          <w:spacing w:val="-30"/>
          <w:w w:val="105"/>
        </w:rPr>
        <w:t> </w:t>
      </w:r>
      <w:r>
        <w:rPr>
          <w:color w:val="231F20"/>
          <w:w w:val="105"/>
        </w:rPr>
        <w:t>observar</w:t>
      </w:r>
      <w:r>
        <w:rPr>
          <w:color w:val="231F20"/>
          <w:spacing w:val="-30"/>
          <w:w w:val="105"/>
        </w:rPr>
        <w:t> </w:t>
      </w:r>
      <w:r>
        <w:rPr>
          <w:color w:val="231F20"/>
          <w:w w:val="105"/>
        </w:rPr>
        <w:t>las</w:t>
      </w:r>
      <w:r>
        <w:rPr>
          <w:color w:val="231F20"/>
          <w:spacing w:val="-30"/>
          <w:w w:val="105"/>
        </w:rPr>
        <w:t> </w:t>
      </w:r>
      <w:r>
        <w:rPr>
          <w:color w:val="231F20"/>
          <w:w w:val="105"/>
        </w:rPr>
        <w:t>gráficas</w:t>
      </w:r>
      <w:r>
        <w:rPr>
          <w:color w:val="231F20"/>
          <w:spacing w:val="-30"/>
          <w:w w:val="105"/>
        </w:rPr>
        <w:t> </w:t>
      </w:r>
      <w:r>
        <w:rPr>
          <w:color w:val="231F20"/>
          <w:w w:val="105"/>
        </w:rPr>
        <w:t>3,</w:t>
      </w:r>
      <w:r>
        <w:rPr>
          <w:color w:val="231F20"/>
          <w:spacing w:val="-30"/>
          <w:w w:val="105"/>
        </w:rPr>
        <w:t> </w:t>
      </w:r>
      <w:r>
        <w:rPr>
          <w:color w:val="231F20"/>
          <w:w w:val="105"/>
        </w:rPr>
        <w:t>4,</w:t>
      </w:r>
      <w:r>
        <w:rPr>
          <w:color w:val="231F20"/>
          <w:spacing w:val="-30"/>
          <w:w w:val="105"/>
        </w:rPr>
        <w:t> </w:t>
      </w:r>
      <w:r>
        <w:rPr>
          <w:color w:val="231F20"/>
          <w:w w:val="105"/>
        </w:rPr>
        <w:t>5</w:t>
      </w:r>
      <w:r>
        <w:rPr>
          <w:color w:val="231F20"/>
          <w:spacing w:val="-30"/>
          <w:w w:val="105"/>
        </w:rPr>
        <w:t> </w:t>
      </w:r>
      <w:r>
        <w:rPr>
          <w:color w:val="231F20"/>
          <w:w w:val="105"/>
        </w:rPr>
        <w:t>y</w:t>
      </w:r>
      <w:r>
        <w:rPr>
          <w:color w:val="231F20"/>
          <w:spacing w:val="-30"/>
          <w:w w:val="105"/>
        </w:rPr>
        <w:t> </w:t>
      </w:r>
      <w:r>
        <w:rPr>
          <w:color w:val="231F20"/>
          <w:w w:val="105"/>
        </w:rPr>
        <w:t>6</w:t>
      </w:r>
      <w:r>
        <w:rPr>
          <w:color w:val="231F20"/>
          <w:spacing w:val="-30"/>
          <w:w w:val="105"/>
        </w:rPr>
        <w:t> </w:t>
      </w:r>
      <w:r>
        <w:rPr>
          <w:color w:val="231F20"/>
          <w:spacing w:val="-4"/>
          <w:w w:val="105"/>
        </w:rPr>
        <w:t>podemos</w:t>
      </w:r>
      <w:r>
        <w:rPr>
          <w:color w:val="231F20"/>
          <w:spacing w:val="-30"/>
          <w:w w:val="105"/>
        </w:rPr>
        <w:t> </w:t>
      </w:r>
      <w:r>
        <w:rPr>
          <w:color w:val="231F20"/>
          <w:spacing w:val="-4"/>
          <w:w w:val="105"/>
        </w:rPr>
        <w:t>concluir</w:t>
      </w:r>
      <w:r>
        <w:rPr>
          <w:color w:val="231F20"/>
          <w:spacing w:val="-30"/>
          <w:w w:val="105"/>
        </w:rPr>
        <w:t> </w:t>
      </w:r>
      <w:r>
        <w:rPr>
          <w:color w:val="231F20"/>
          <w:spacing w:val="-4"/>
          <w:w w:val="105"/>
        </w:rPr>
        <w:t>que</w:t>
      </w:r>
      <w:r>
        <w:rPr>
          <w:color w:val="231F20"/>
          <w:spacing w:val="-30"/>
          <w:w w:val="105"/>
        </w:rPr>
        <w:t> </w:t>
      </w:r>
      <w:r>
        <w:rPr>
          <w:color w:val="231F20"/>
          <w:w w:val="105"/>
        </w:rPr>
        <w:t>las</w:t>
      </w:r>
      <w:r>
        <w:rPr>
          <w:color w:val="231F20"/>
          <w:spacing w:val="-30"/>
          <w:w w:val="105"/>
        </w:rPr>
        <w:t> </w:t>
      </w:r>
      <w:r>
        <w:rPr>
          <w:color w:val="231F20"/>
          <w:w w:val="105"/>
        </w:rPr>
        <w:t>metas</w:t>
      </w:r>
      <w:r>
        <w:rPr>
          <w:color w:val="231F20"/>
          <w:spacing w:val="-30"/>
          <w:w w:val="105"/>
        </w:rPr>
        <w:t> </w:t>
      </w:r>
      <w:r>
        <w:rPr>
          <w:color w:val="231F20"/>
          <w:spacing w:val="-3"/>
          <w:w w:val="105"/>
        </w:rPr>
        <w:t>no</w:t>
      </w:r>
      <w:r>
        <w:rPr>
          <w:color w:val="231F20"/>
          <w:spacing w:val="-30"/>
          <w:w w:val="105"/>
        </w:rPr>
        <w:t> </w:t>
      </w:r>
      <w:r>
        <w:rPr>
          <w:color w:val="231F20"/>
          <w:w w:val="105"/>
        </w:rPr>
        <w:t>se</w:t>
      </w:r>
      <w:r>
        <w:rPr>
          <w:color w:val="231F20"/>
          <w:spacing w:val="-30"/>
          <w:w w:val="105"/>
        </w:rPr>
        <w:t> </w:t>
      </w:r>
      <w:r>
        <w:rPr>
          <w:color w:val="231F20"/>
          <w:w w:val="105"/>
        </w:rPr>
        <w:t>han</w:t>
      </w:r>
      <w:r>
        <w:rPr>
          <w:color w:val="231F20"/>
          <w:spacing w:val="-30"/>
          <w:w w:val="105"/>
        </w:rPr>
        <w:t> </w:t>
      </w:r>
      <w:r>
        <w:rPr>
          <w:color w:val="231F20"/>
          <w:spacing w:val="-3"/>
          <w:w w:val="105"/>
        </w:rPr>
        <w:t>realizado</w:t>
      </w:r>
      <w:r>
        <w:rPr>
          <w:color w:val="231F20"/>
          <w:spacing w:val="-30"/>
          <w:w w:val="105"/>
        </w:rPr>
        <w:t> </w:t>
      </w:r>
      <w:r>
        <w:rPr>
          <w:color w:val="231F20"/>
          <w:spacing w:val="-4"/>
          <w:w w:val="105"/>
        </w:rPr>
        <w:t>pues- </w:t>
      </w:r>
      <w:r>
        <w:rPr>
          <w:color w:val="231F20"/>
          <w:w w:val="105"/>
        </w:rPr>
        <w:t>to</w:t>
      </w:r>
      <w:r>
        <w:rPr>
          <w:color w:val="231F20"/>
          <w:spacing w:val="-9"/>
          <w:w w:val="105"/>
        </w:rPr>
        <w:t> </w:t>
      </w:r>
      <w:r>
        <w:rPr>
          <w:color w:val="231F20"/>
          <w:spacing w:val="-4"/>
          <w:w w:val="105"/>
        </w:rPr>
        <w:t>que</w:t>
      </w:r>
      <w:r>
        <w:rPr>
          <w:color w:val="231F20"/>
          <w:spacing w:val="-9"/>
          <w:w w:val="105"/>
        </w:rPr>
        <w:t> </w:t>
      </w:r>
      <w:r>
        <w:rPr>
          <w:color w:val="231F20"/>
          <w:spacing w:val="-3"/>
          <w:w w:val="105"/>
        </w:rPr>
        <w:t>aún</w:t>
      </w:r>
      <w:r>
        <w:rPr>
          <w:color w:val="231F20"/>
          <w:spacing w:val="-9"/>
          <w:w w:val="105"/>
        </w:rPr>
        <w:t> </w:t>
      </w:r>
      <w:r>
        <w:rPr>
          <w:color w:val="231F20"/>
          <w:w w:val="105"/>
        </w:rPr>
        <w:t>existe</w:t>
      </w:r>
      <w:r>
        <w:rPr>
          <w:color w:val="231F20"/>
          <w:spacing w:val="-9"/>
          <w:w w:val="105"/>
        </w:rPr>
        <w:t> </w:t>
      </w:r>
      <w:r>
        <w:rPr>
          <w:color w:val="231F20"/>
          <w:w w:val="105"/>
        </w:rPr>
        <w:t>una</w:t>
      </w:r>
      <w:r>
        <w:rPr>
          <w:color w:val="231F20"/>
          <w:spacing w:val="-9"/>
          <w:w w:val="105"/>
        </w:rPr>
        <w:t> </w:t>
      </w:r>
      <w:r>
        <w:rPr>
          <w:color w:val="231F20"/>
          <w:w w:val="105"/>
        </w:rPr>
        <w:t>gran</w:t>
      </w:r>
      <w:r>
        <w:rPr>
          <w:color w:val="231F20"/>
          <w:spacing w:val="-9"/>
          <w:w w:val="105"/>
        </w:rPr>
        <w:t> </w:t>
      </w:r>
      <w:r>
        <w:rPr>
          <w:color w:val="231F20"/>
          <w:spacing w:val="-5"/>
          <w:w w:val="105"/>
        </w:rPr>
        <w:t>dependencia</w:t>
      </w:r>
      <w:r>
        <w:rPr>
          <w:color w:val="231F20"/>
          <w:spacing w:val="-9"/>
          <w:w w:val="105"/>
        </w:rPr>
        <w:t> </w:t>
      </w:r>
      <w:r>
        <w:rPr>
          <w:color w:val="231F20"/>
          <w:spacing w:val="-4"/>
          <w:w w:val="105"/>
        </w:rPr>
        <w:t>del</w:t>
      </w:r>
      <w:r>
        <w:rPr>
          <w:color w:val="231F20"/>
          <w:spacing w:val="-9"/>
          <w:w w:val="105"/>
        </w:rPr>
        <w:t> </w:t>
      </w:r>
      <w:r>
        <w:rPr>
          <w:color w:val="231F20"/>
          <w:spacing w:val="-5"/>
          <w:w w:val="105"/>
        </w:rPr>
        <w:t>gobierno</w:t>
      </w:r>
      <w:r>
        <w:rPr>
          <w:color w:val="231F20"/>
          <w:spacing w:val="-9"/>
          <w:w w:val="105"/>
        </w:rPr>
        <w:t> </w:t>
      </w:r>
      <w:r>
        <w:rPr>
          <w:color w:val="231F20"/>
          <w:spacing w:val="-3"/>
          <w:w w:val="105"/>
        </w:rPr>
        <w:t>federal</w:t>
      </w:r>
      <w:r>
        <w:rPr>
          <w:color w:val="231F20"/>
          <w:spacing w:val="-9"/>
          <w:w w:val="105"/>
        </w:rPr>
        <w:t> </w:t>
      </w:r>
      <w:r>
        <w:rPr>
          <w:color w:val="231F20"/>
          <w:w w:val="105"/>
        </w:rPr>
        <w:t>y</w:t>
      </w:r>
      <w:r>
        <w:rPr>
          <w:color w:val="231F20"/>
          <w:spacing w:val="-9"/>
          <w:w w:val="105"/>
        </w:rPr>
        <w:t> </w:t>
      </w:r>
      <w:r>
        <w:rPr>
          <w:color w:val="231F20"/>
          <w:spacing w:val="-3"/>
          <w:w w:val="105"/>
        </w:rPr>
        <w:t>el</w:t>
      </w:r>
      <w:r>
        <w:rPr>
          <w:color w:val="231F20"/>
          <w:spacing w:val="-9"/>
          <w:w w:val="105"/>
        </w:rPr>
        <w:t> </w:t>
      </w:r>
      <w:r>
        <w:rPr>
          <w:color w:val="231F20"/>
          <w:spacing w:val="-3"/>
          <w:w w:val="105"/>
        </w:rPr>
        <w:t>estatal,</w:t>
      </w:r>
      <w:r>
        <w:rPr>
          <w:color w:val="231F20"/>
          <w:spacing w:val="-9"/>
          <w:w w:val="105"/>
        </w:rPr>
        <w:t> </w:t>
      </w:r>
      <w:r>
        <w:rPr>
          <w:color w:val="231F20"/>
          <w:w w:val="105"/>
        </w:rPr>
        <w:t>a</w:t>
      </w:r>
      <w:r>
        <w:rPr>
          <w:color w:val="231F20"/>
          <w:spacing w:val="-9"/>
          <w:w w:val="105"/>
        </w:rPr>
        <w:t> </w:t>
      </w:r>
      <w:r>
        <w:rPr>
          <w:color w:val="231F20"/>
          <w:w w:val="105"/>
        </w:rPr>
        <w:t>pesar</w:t>
      </w:r>
      <w:r>
        <w:rPr>
          <w:color w:val="231F20"/>
          <w:spacing w:val="-9"/>
          <w:w w:val="105"/>
        </w:rPr>
        <w:t> </w:t>
      </w:r>
      <w:r>
        <w:rPr>
          <w:color w:val="231F20"/>
          <w:spacing w:val="-3"/>
          <w:w w:val="105"/>
        </w:rPr>
        <w:t>de</w:t>
      </w:r>
      <w:r>
        <w:rPr>
          <w:color w:val="231F20"/>
          <w:spacing w:val="-9"/>
          <w:w w:val="105"/>
        </w:rPr>
        <w:t> </w:t>
      </w:r>
      <w:r>
        <w:rPr>
          <w:color w:val="231F20"/>
          <w:spacing w:val="-4"/>
          <w:w w:val="105"/>
        </w:rPr>
        <w:t>que</w:t>
      </w:r>
      <w:r>
        <w:rPr>
          <w:color w:val="231F20"/>
          <w:spacing w:val="-9"/>
          <w:w w:val="105"/>
        </w:rPr>
        <w:t> </w:t>
      </w:r>
      <w:r>
        <w:rPr>
          <w:color w:val="231F20"/>
          <w:spacing w:val="-3"/>
          <w:w w:val="105"/>
        </w:rPr>
        <w:t>el </w:t>
      </w:r>
      <w:r>
        <w:rPr>
          <w:color w:val="231F20"/>
          <w:spacing w:val="-4"/>
          <w:w w:val="105"/>
        </w:rPr>
        <w:t>municipio</w:t>
      </w:r>
      <w:r>
        <w:rPr>
          <w:color w:val="231F20"/>
          <w:spacing w:val="-13"/>
          <w:w w:val="105"/>
        </w:rPr>
        <w:t> </w:t>
      </w:r>
      <w:r>
        <w:rPr>
          <w:color w:val="231F20"/>
          <w:w w:val="105"/>
        </w:rPr>
        <w:t>ha</w:t>
      </w:r>
      <w:r>
        <w:rPr>
          <w:color w:val="231F20"/>
          <w:spacing w:val="-13"/>
          <w:w w:val="105"/>
        </w:rPr>
        <w:t> </w:t>
      </w:r>
      <w:r>
        <w:rPr>
          <w:color w:val="231F20"/>
          <w:spacing w:val="-4"/>
          <w:w w:val="105"/>
        </w:rPr>
        <w:t>trabajado</w:t>
      </w:r>
      <w:r>
        <w:rPr>
          <w:color w:val="231F20"/>
          <w:spacing w:val="-13"/>
          <w:w w:val="105"/>
        </w:rPr>
        <w:t> </w:t>
      </w:r>
      <w:r>
        <w:rPr>
          <w:color w:val="231F20"/>
          <w:spacing w:val="-3"/>
          <w:w w:val="105"/>
        </w:rPr>
        <w:t>en</w:t>
      </w:r>
      <w:r>
        <w:rPr>
          <w:color w:val="231F20"/>
          <w:spacing w:val="-13"/>
          <w:w w:val="105"/>
        </w:rPr>
        <w:t> </w:t>
      </w:r>
      <w:r>
        <w:rPr>
          <w:color w:val="231F20"/>
          <w:w w:val="105"/>
        </w:rPr>
        <w:t>la</w:t>
      </w:r>
      <w:r>
        <w:rPr>
          <w:color w:val="231F20"/>
          <w:spacing w:val="-13"/>
          <w:w w:val="105"/>
        </w:rPr>
        <w:t> </w:t>
      </w:r>
      <w:r>
        <w:rPr>
          <w:color w:val="231F20"/>
          <w:spacing w:val="-4"/>
          <w:w w:val="105"/>
        </w:rPr>
        <w:t>ampliación</w:t>
      </w:r>
      <w:r>
        <w:rPr>
          <w:color w:val="231F20"/>
          <w:spacing w:val="-13"/>
          <w:w w:val="105"/>
        </w:rPr>
        <w:t> </w:t>
      </w:r>
      <w:r>
        <w:rPr>
          <w:color w:val="231F20"/>
          <w:w w:val="105"/>
        </w:rPr>
        <w:t>y</w:t>
      </w:r>
      <w:r>
        <w:rPr>
          <w:color w:val="231F20"/>
          <w:spacing w:val="-13"/>
          <w:w w:val="105"/>
        </w:rPr>
        <w:t> </w:t>
      </w:r>
      <w:r>
        <w:rPr>
          <w:color w:val="231F20"/>
          <w:spacing w:val="-3"/>
          <w:w w:val="105"/>
        </w:rPr>
        <w:t>actualización</w:t>
      </w:r>
      <w:r>
        <w:rPr>
          <w:color w:val="231F20"/>
          <w:spacing w:val="-13"/>
          <w:w w:val="105"/>
        </w:rPr>
        <w:t> </w:t>
      </w:r>
      <w:r>
        <w:rPr>
          <w:color w:val="231F20"/>
          <w:spacing w:val="-3"/>
          <w:w w:val="105"/>
        </w:rPr>
        <w:t>de</w:t>
      </w:r>
      <w:r>
        <w:rPr>
          <w:color w:val="231F20"/>
          <w:spacing w:val="-13"/>
          <w:w w:val="105"/>
        </w:rPr>
        <w:t> </w:t>
      </w:r>
      <w:r>
        <w:rPr>
          <w:color w:val="231F20"/>
          <w:w w:val="105"/>
        </w:rPr>
        <w:t>su</w:t>
      </w:r>
      <w:r>
        <w:rPr>
          <w:color w:val="231F20"/>
          <w:spacing w:val="-13"/>
          <w:w w:val="105"/>
        </w:rPr>
        <w:t> </w:t>
      </w:r>
      <w:r>
        <w:rPr>
          <w:color w:val="231F20"/>
          <w:spacing w:val="-4"/>
          <w:w w:val="105"/>
        </w:rPr>
        <w:t>padrón</w:t>
      </w:r>
      <w:r>
        <w:rPr>
          <w:color w:val="231F20"/>
          <w:spacing w:val="-13"/>
          <w:w w:val="105"/>
        </w:rPr>
        <w:t> </w:t>
      </w:r>
      <w:r>
        <w:rPr>
          <w:color w:val="231F20"/>
          <w:spacing w:val="-3"/>
          <w:w w:val="105"/>
        </w:rPr>
        <w:t>de</w:t>
      </w:r>
      <w:r>
        <w:rPr>
          <w:color w:val="231F20"/>
          <w:spacing w:val="-13"/>
          <w:w w:val="105"/>
        </w:rPr>
        <w:t> </w:t>
      </w:r>
      <w:r>
        <w:rPr>
          <w:color w:val="231F20"/>
          <w:spacing w:val="-5"/>
          <w:w w:val="105"/>
        </w:rPr>
        <w:t>contribuyentes.</w:t>
      </w:r>
    </w:p>
    <w:p>
      <w:pPr>
        <w:pStyle w:val="BodyText"/>
        <w:spacing w:before="1"/>
        <w:rPr>
          <w:sz w:val="26"/>
        </w:rPr>
      </w:pPr>
    </w:p>
    <w:p>
      <w:pPr>
        <w:pStyle w:val="BodyText"/>
        <w:spacing w:line="285" w:lineRule="auto"/>
        <w:ind w:left="110" w:right="108"/>
        <w:jc w:val="both"/>
      </w:pPr>
      <w:r>
        <w:rPr>
          <w:color w:val="231F20"/>
          <w:w w:val="105"/>
        </w:rPr>
        <w:t>Si bien el problema de la autonomía financiera no es exclusivo de </w:t>
      </w:r>
      <w:r>
        <w:rPr>
          <w:color w:val="231F20"/>
          <w:spacing w:val="-4"/>
          <w:w w:val="105"/>
        </w:rPr>
        <w:t>Tejupilco, </w:t>
      </w:r>
      <w:r>
        <w:rPr>
          <w:color w:val="231F20"/>
          <w:w w:val="105"/>
        </w:rPr>
        <w:t>no se ha avanzado</w:t>
      </w:r>
      <w:r>
        <w:rPr>
          <w:color w:val="231F20"/>
          <w:spacing w:val="-13"/>
          <w:w w:val="105"/>
        </w:rPr>
        <w:t> </w:t>
      </w:r>
      <w:r>
        <w:rPr>
          <w:color w:val="231F20"/>
          <w:w w:val="105"/>
        </w:rPr>
        <w:t>en</w:t>
      </w:r>
      <w:r>
        <w:rPr>
          <w:color w:val="231F20"/>
          <w:spacing w:val="-13"/>
          <w:w w:val="105"/>
        </w:rPr>
        <w:t> </w:t>
      </w:r>
      <w:r>
        <w:rPr>
          <w:color w:val="231F20"/>
          <w:w w:val="105"/>
        </w:rPr>
        <w:t>tratar</w:t>
      </w:r>
      <w:r>
        <w:rPr>
          <w:color w:val="231F20"/>
          <w:spacing w:val="-13"/>
          <w:w w:val="105"/>
        </w:rPr>
        <w:t> </w:t>
      </w:r>
      <w:r>
        <w:rPr>
          <w:color w:val="231F20"/>
          <w:w w:val="105"/>
        </w:rPr>
        <w:t>de</w:t>
      </w:r>
      <w:r>
        <w:rPr>
          <w:color w:val="231F20"/>
          <w:spacing w:val="-13"/>
          <w:w w:val="105"/>
        </w:rPr>
        <w:t> </w:t>
      </w:r>
      <w:r>
        <w:rPr>
          <w:color w:val="231F20"/>
          <w:w w:val="105"/>
        </w:rPr>
        <w:t>solucionar</w:t>
      </w:r>
      <w:r>
        <w:rPr>
          <w:color w:val="231F20"/>
          <w:spacing w:val="-13"/>
          <w:w w:val="105"/>
        </w:rPr>
        <w:t> </w:t>
      </w:r>
      <w:r>
        <w:rPr>
          <w:color w:val="231F20"/>
          <w:w w:val="105"/>
        </w:rPr>
        <w:t>el</w:t>
      </w:r>
      <w:r>
        <w:rPr>
          <w:color w:val="231F20"/>
          <w:spacing w:val="-13"/>
          <w:w w:val="105"/>
        </w:rPr>
        <w:t> </w:t>
      </w:r>
      <w:r>
        <w:rPr>
          <w:color w:val="231F20"/>
          <w:w w:val="105"/>
        </w:rPr>
        <w:t>problema</w:t>
      </w:r>
      <w:r>
        <w:rPr>
          <w:color w:val="231F20"/>
          <w:spacing w:val="-13"/>
          <w:w w:val="105"/>
        </w:rPr>
        <w:t> </w:t>
      </w:r>
      <w:r>
        <w:rPr>
          <w:color w:val="231F20"/>
          <w:w w:val="105"/>
        </w:rPr>
        <w:t>de</w:t>
      </w:r>
      <w:r>
        <w:rPr>
          <w:color w:val="231F20"/>
          <w:spacing w:val="-13"/>
          <w:w w:val="105"/>
        </w:rPr>
        <w:t> </w:t>
      </w:r>
      <w:r>
        <w:rPr>
          <w:color w:val="231F20"/>
          <w:spacing w:val="-3"/>
          <w:w w:val="105"/>
        </w:rPr>
        <w:t>fondo.</w:t>
      </w:r>
      <w:r>
        <w:rPr>
          <w:color w:val="231F20"/>
          <w:spacing w:val="-13"/>
          <w:w w:val="105"/>
        </w:rPr>
        <w:t> </w:t>
      </w:r>
      <w:r>
        <w:rPr>
          <w:color w:val="231F20"/>
          <w:w w:val="105"/>
        </w:rPr>
        <w:t>Se</w:t>
      </w:r>
      <w:r>
        <w:rPr>
          <w:color w:val="231F20"/>
          <w:spacing w:val="-13"/>
          <w:w w:val="105"/>
        </w:rPr>
        <w:t> </w:t>
      </w:r>
      <w:r>
        <w:rPr>
          <w:color w:val="231F20"/>
          <w:w w:val="105"/>
        </w:rPr>
        <w:t>puede</w:t>
      </w:r>
      <w:r>
        <w:rPr>
          <w:color w:val="231F20"/>
          <w:spacing w:val="-13"/>
          <w:w w:val="105"/>
        </w:rPr>
        <w:t> </w:t>
      </w:r>
      <w:r>
        <w:rPr>
          <w:color w:val="231F20"/>
          <w:w w:val="105"/>
        </w:rPr>
        <w:t>apreciar</w:t>
      </w:r>
      <w:r>
        <w:rPr>
          <w:color w:val="231F20"/>
          <w:spacing w:val="-13"/>
          <w:w w:val="105"/>
        </w:rPr>
        <w:t> </w:t>
      </w:r>
      <w:r>
        <w:rPr>
          <w:color w:val="231F20"/>
          <w:w w:val="105"/>
        </w:rPr>
        <w:t>esta</w:t>
      </w:r>
      <w:r>
        <w:rPr>
          <w:color w:val="231F20"/>
          <w:spacing w:val="-13"/>
          <w:w w:val="105"/>
        </w:rPr>
        <w:t> </w:t>
      </w:r>
      <w:r>
        <w:rPr>
          <w:color w:val="231F20"/>
          <w:w w:val="105"/>
        </w:rPr>
        <w:t>situación en</w:t>
      </w:r>
      <w:r>
        <w:rPr>
          <w:color w:val="231F20"/>
          <w:spacing w:val="-7"/>
          <w:w w:val="105"/>
        </w:rPr>
        <w:t> </w:t>
      </w:r>
      <w:r>
        <w:rPr>
          <w:color w:val="231F20"/>
          <w:w w:val="105"/>
        </w:rPr>
        <w:t>cuanto</w:t>
      </w:r>
      <w:r>
        <w:rPr>
          <w:color w:val="231F20"/>
          <w:spacing w:val="-7"/>
          <w:w w:val="105"/>
        </w:rPr>
        <w:t> </w:t>
      </w:r>
      <w:r>
        <w:rPr>
          <w:color w:val="231F20"/>
          <w:w w:val="105"/>
        </w:rPr>
        <w:t>a</w:t>
      </w:r>
      <w:r>
        <w:rPr>
          <w:color w:val="231F20"/>
          <w:spacing w:val="-7"/>
          <w:w w:val="105"/>
        </w:rPr>
        <w:t> </w:t>
      </w:r>
      <w:r>
        <w:rPr>
          <w:color w:val="231F20"/>
          <w:w w:val="105"/>
        </w:rPr>
        <w:t>obras</w:t>
      </w:r>
      <w:r>
        <w:rPr>
          <w:color w:val="231F20"/>
          <w:spacing w:val="-7"/>
          <w:w w:val="105"/>
        </w:rPr>
        <w:t> </w:t>
      </w:r>
      <w:r>
        <w:rPr>
          <w:color w:val="231F20"/>
          <w:w w:val="105"/>
        </w:rPr>
        <w:t>se</w:t>
      </w:r>
      <w:r>
        <w:rPr>
          <w:color w:val="231F20"/>
          <w:spacing w:val="-7"/>
          <w:w w:val="105"/>
        </w:rPr>
        <w:t> </w:t>
      </w:r>
      <w:r>
        <w:rPr>
          <w:color w:val="231F20"/>
          <w:w w:val="105"/>
        </w:rPr>
        <w:t>refiere.</w:t>
      </w:r>
      <w:r>
        <w:rPr>
          <w:color w:val="231F20"/>
          <w:spacing w:val="-7"/>
          <w:w w:val="105"/>
        </w:rPr>
        <w:t> </w:t>
      </w:r>
      <w:r>
        <w:rPr>
          <w:color w:val="231F20"/>
          <w:spacing w:val="-3"/>
          <w:w w:val="105"/>
        </w:rPr>
        <w:t>Por</w:t>
      </w:r>
      <w:r>
        <w:rPr>
          <w:color w:val="231F20"/>
          <w:spacing w:val="-7"/>
          <w:w w:val="105"/>
        </w:rPr>
        <w:t> </w:t>
      </w:r>
      <w:r>
        <w:rPr>
          <w:color w:val="231F20"/>
          <w:spacing w:val="-3"/>
          <w:w w:val="105"/>
        </w:rPr>
        <w:t>ejemplo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gráfica</w:t>
      </w:r>
      <w:r>
        <w:rPr>
          <w:color w:val="231F20"/>
          <w:spacing w:val="-7"/>
          <w:w w:val="105"/>
        </w:rPr>
        <w:t> </w:t>
      </w:r>
      <w:r>
        <w:rPr>
          <w:color w:val="231F20"/>
          <w:w w:val="105"/>
        </w:rPr>
        <w:t>3</w:t>
      </w:r>
      <w:r>
        <w:rPr>
          <w:color w:val="231F20"/>
          <w:spacing w:val="-7"/>
          <w:w w:val="105"/>
        </w:rPr>
        <w:t> </w:t>
      </w:r>
      <w:r>
        <w:rPr>
          <w:color w:val="231F20"/>
          <w:w w:val="105"/>
        </w:rPr>
        <w:t>observamos</w:t>
      </w:r>
      <w:r>
        <w:rPr>
          <w:color w:val="231F20"/>
          <w:spacing w:val="-7"/>
          <w:w w:val="105"/>
        </w:rPr>
        <w:t> </w:t>
      </w:r>
      <w:r>
        <w:rPr>
          <w:color w:val="231F20"/>
          <w:w w:val="105"/>
        </w:rPr>
        <w:t>que</w:t>
      </w:r>
      <w:r>
        <w:rPr>
          <w:color w:val="231F20"/>
          <w:spacing w:val="-7"/>
          <w:w w:val="105"/>
        </w:rPr>
        <w:t> </w:t>
      </w:r>
      <w:r>
        <w:rPr>
          <w:color w:val="231F20"/>
          <w:w w:val="105"/>
        </w:rPr>
        <w:t>éstas</w:t>
      </w:r>
      <w:r>
        <w:rPr>
          <w:color w:val="231F20"/>
          <w:spacing w:val="-7"/>
          <w:w w:val="105"/>
        </w:rPr>
        <w:t> </w:t>
      </w:r>
      <w:r>
        <w:rPr>
          <w:color w:val="231F20"/>
          <w:w w:val="105"/>
        </w:rPr>
        <w:t>se</w:t>
      </w:r>
      <w:r>
        <w:rPr>
          <w:color w:val="231F20"/>
          <w:spacing w:val="-7"/>
          <w:w w:val="105"/>
        </w:rPr>
        <w:t> </w:t>
      </w:r>
      <w:r>
        <w:rPr>
          <w:color w:val="231F20"/>
          <w:w w:val="105"/>
        </w:rPr>
        <w:t>hacen en</w:t>
      </w:r>
      <w:r>
        <w:rPr>
          <w:color w:val="231F20"/>
          <w:spacing w:val="-16"/>
          <w:w w:val="105"/>
        </w:rPr>
        <w:t> </w:t>
      </w:r>
      <w:r>
        <w:rPr>
          <w:color w:val="231F20"/>
          <w:w w:val="105"/>
        </w:rPr>
        <w:t>mayor</w:t>
      </w:r>
      <w:r>
        <w:rPr>
          <w:color w:val="231F20"/>
          <w:spacing w:val="-16"/>
          <w:w w:val="105"/>
        </w:rPr>
        <w:t> </w:t>
      </w:r>
      <w:r>
        <w:rPr>
          <w:color w:val="231F20"/>
          <w:w w:val="105"/>
        </w:rPr>
        <w:t>medida</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presupuesto</w:t>
      </w:r>
      <w:r>
        <w:rPr>
          <w:color w:val="231F20"/>
          <w:spacing w:val="-16"/>
          <w:w w:val="105"/>
        </w:rPr>
        <w:t> </w:t>
      </w:r>
      <w:r>
        <w:rPr>
          <w:color w:val="231F20"/>
          <w:w w:val="105"/>
        </w:rPr>
        <w:t>federal</w:t>
      </w:r>
      <w:r>
        <w:rPr>
          <w:color w:val="231F20"/>
          <w:spacing w:val="-16"/>
          <w:w w:val="105"/>
        </w:rPr>
        <w:t> </w:t>
      </w:r>
      <w:r>
        <w:rPr>
          <w:color w:val="231F20"/>
          <w:spacing w:val="-4"/>
          <w:w w:val="105"/>
        </w:rPr>
        <w:t>(ver</w:t>
      </w:r>
      <w:r>
        <w:rPr>
          <w:color w:val="231F20"/>
          <w:spacing w:val="-16"/>
          <w:w w:val="105"/>
        </w:rPr>
        <w:t> </w:t>
      </w:r>
      <w:r>
        <w:rPr>
          <w:color w:val="231F20"/>
          <w:w w:val="105"/>
        </w:rPr>
        <w:t>gráfica</w:t>
      </w:r>
      <w:r>
        <w:rPr>
          <w:color w:val="231F20"/>
          <w:spacing w:val="-16"/>
          <w:w w:val="105"/>
        </w:rPr>
        <w:t> </w:t>
      </w:r>
      <w:r>
        <w:rPr>
          <w:color w:val="231F20"/>
          <w:spacing w:val="-5"/>
          <w:w w:val="105"/>
        </w:rPr>
        <w:t>3).</w:t>
      </w:r>
    </w:p>
    <w:p>
      <w:pPr>
        <w:spacing w:after="0" w:line="285" w:lineRule="auto"/>
        <w:jc w:val="both"/>
        <w:sectPr>
          <w:footerReference w:type="default" r:id="rId405"/>
          <w:pgSz w:w="9640" w:h="12190"/>
          <w:pgMar w:footer="743" w:header="0" w:top="1120" w:bottom="940" w:left="740" w:right="740"/>
          <w:pgNumType w:start="170"/>
        </w:sectPr>
      </w:pPr>
    </w:p>
    <w:p>
      <w:pPr>
        <w:pStyle w:val="BodyText"/>
        <w:spacing w:before="2"/>
        <w:rPr>
          <w:sz w:val="6"/>
        </w:rPr>
      </w:pPr>
      <w:r>
        <w:rPr/>
        <w:pict>
          <v:group style="position:absolute;margin-left:81.898407pt;margin-top:106.069969pt;width:192.3pt;height:105.8pt;mso-position-horizontal-relative:page;mso-position-vertical-relative:page;z-index:8920" coordorigin="1638,2121" coordsize="3846,2116">
            <v:shape style="position:absolute;left:0;top:12189;width:3827;height:1622" coordorigin="0,12189" coordsize="3827,1622" path="m1648,2132l5475,2132m1648,2554l1753,2554m1648,2954l1753,2954m1648,3358l1753,3358m1648,3754l1753,3754e" filled="false" stroked="true" strokeweight=".5pt" strokecolor="#231f20">
              <v:path arrowok="t"/>
            </v:shape>
            <v:line style="position:absolute" from="1649,2131" to="1649,4227" stroked="true" strokeweight="1pt" strokecolor="#231f20"/>
            <v:shape style="position:absolute;left:336;top:12611;width:2309;height:1200" coordorigin="336,12611" coordsize="2309,1200" path="m1984,2554l4293,2554m1984,2954l3017,2954m1984,3358l3017,3358m1984,3754l3017,3754e" filled="false" stroked="true" strokeweight=".5pt" strokecolor="#231f20">
              <v:path arrowok="t"/>
            </v:shape>
            <v:rect style="position:absolute;left:1753;top:2242;width:231;height:1985" filled="true" fillcolor="#1b75bc" stroked="false">
              <v:fill type="solid"/>
            </v:rect>
            <v:line style="position:absolute" from="1984,4211" to="2215,4211" stroked="true" strokeweight="1.542pt" strokecolor="#c49a6c"/>
            <v:line style="position:absolute" from="2215,4202" to="2446,4202" stroked="true" strokeweight="2.429pt" strokecolor="#ef4136"/>
            <v:line style="position:absolute" from="2446,4214" to="2678,4214" stroked="true" strokeweight="1.214pt" strokecolor="#009444"/>
            <v:shape style="position:absolute;left:1600;top:13011;width:1046;height:800" coordorigin="1600,13011" coordsize="1046,800" path="m3248,2954l4293,2954m3248,3358l4293,3358m3248,3754l4293,3754e" filled="false" stroked="true" strokeweight=".5pt" strokecolor="#231f20">
              <v:path arrowok="t"/>
            </v:shape>
            <v:rect style="position:absolute;left:3017;top:2554;width:231;height:1673" filled="true" fillcolor="#1b75bc" stroked="false">
              <v:fill type="solid"/>
            </v:rect>
            <v:line style="position:absolute" from="3248,4188" to="3479,4188" stroked="true" strokeweight="3.817pt" strokecolor="#c49a6c"/>
            <v:rect style="position:absolute;left:3479;top:4121;width:231;height:105" filled="true" fillcolor="#ef4136" stroked="false">
              <v:fill type="solid"/>
            </v:rect>
            <v:rect style="position:absolute;left:3710;top:4031;width:231;height:195" filled="true" fillcolor="#009444" stroked="false">
              <v:fill type="solid"/>
            </v:rect>
            <v:shape style="position:absolute;left:2876;top:12611;width:951;height:1200" coordorigin="2876,12611" coordsize="951,1200" path="m4524,2554l5475,2554m4524,2954l5475,2954m4524,3358l5475,3358m4524,3754l5475,3754e" filled="false" stroked="true" strokeweight=".5pt" strokecolor="#231f20">
              <v:path arrowok="t"/>
            </v:shape>
            <v:rect style="position:absolute;left:4293;top:2242;width:231;height:1985" filled="true" fillcolor="#1b75bc" stroked="false">
              <v:fill type="solid"/>
            </v:rect>
            <v:line style="position:absolute" from="4524,4204" to="4755,4204" stroked="true" strokeweight="2.299pt" strokecolor="#c49a6c"/>
            <v:line style="position:absolute" from="4986,4210" to="5218,4210" stroked="true" strokeweight="1.648pt" strokecolor="#009444"/>
            <v:shape style="position:absolute;left:1648;top:2131;width:3826;height:2095" coordorigin="1648,2131" coordsize="3826,2095" path="m1648,4226l5474,4226,5474,2131e" filled="false" stroked="true" strokeweight="1pt" strokecolor="#231f20">
              <v:path arrowok="t"/>
            </v:shape>
            <w10:wrap type="none"/>
          </v:group>
        </w:pict>
      </w:r>
      <w:r>
        <w:rPr/>
        <w:drawing>
          <wp:anchor distT="0" distB="0" distL="0" distR="0" allowOverlap="1" layoutInCell="1" locked="0" behindDoc="0" simplePos="0" relativeHeight="8944">
            <wp:simplePos x="0" y="0"/>
            <wp:positionH relativeFrom="page">
              <wp:posOffset>757955</wp:posOffset>
            </wp:positionH>
            <wp:positionV relativeFrom="page">
              <wp:posOffset>1341301</wp:posOffset>
            </wp:positionV>
            <wp:extent cx="179701" cy="84010"/>
            <wp:effectExtent l="0" t="0" r="0" b="0"/>
            <wp:wrapNone/>
            <wp:docPr id="213" name="image352.png" descr=""/>
            <wp:cNvGraphicFramePr>
              <a:graphicFrameLocks noChangeAspect="1"/>
            </wp:cNvGraphicFramePr>
            <a:graphic>
              <a:graphicData uri="http://schemas.openxmlformats.org/drawingml/2006/picture">
                <pic:pic>
                  <pic:nvPicPr>
                    <pic:cNvPr id="214" name="image352.png"/>
                    <pic:cNvPicPr/>
                  </pic:nvPicPr>
                  <pic:blipFill>
                    <a:blip r:embed="rId406" cstate="print"/>
                    <a:stretch>
                      <a:fillRect/>
                    </a:stretch>
                  </pic:blipFill>
                  <pic:spPr>
                    <a:xfrm>
                      <a:off x="0" y="0"/>
                      <a:ext cx="179701" cy="84010"/>
                    </a:xfrm>
                    <a:prstGeom prst="rect">
                      <a:avLst/>
                    </a:prstGeom>
                  </pic:spPr>
                </pic:pic>
              </a:graphicData>
            </a:graphic>
          </wp:anchor>
        </w:drawing>
      </w:r>
      <w:r>
        <w:rPr/>
        <w:drawing>
          <wp:anchor distT="0" distB="0" distL="0" distR="0" allowOverlap="1" layoutInCell="1" locked="0" behindDoc="0" simplePos="0" relativeHeight="8968">
            <wp:simplePos x="0" y="0"/>
            <wp:positionH relativeFrom="page">
              <wp:posOffset>817192</wp:posOffset>
            </wp:positionH>
            <wp:positionV relativeFrom="page">
              <wp:posOffset>1598749</wp:posOffset>
            </wp:positionV>
            <wp:extent cx="120534" cy="84010"/>
            <wp:effectExtent l="0" t="0" r="0" b="0"/>
            <wp:wrapNone/>
            <wp:docPr id="215" name="image353.png" descr=""/>
            <wp:cNvGraphicFramePr>
              <a:graphicFrameLocks noChangeAspect="1"/>
            </wp:cNvGraphicFramePr>
            <a:graphic>
              <a:graphicData uri="http://schemas.openxmlformats.org/drawingml/2006/picture">
                <pic:pic>
                  <pic:nvPicPr>
                    <pic:cNvPr id="216" name="image353.png"/>
                    <pic:cNvPicPr/>
                  </pic:nvPicPr>
                  <pic:blipFill>
                    <a:blip r:embed="rId407" cstate="print"/>
                    <a:stretch>
                      <a:fillRect/>
                    </a:stretch>
                  </pic:blipFill>
                  <pic:spPr>
                    <a:xfrm>
                      <a:off x="0" y="0"/>
                      <a:ext cx="120534" cy="84010"/>
                    </a:xfrm>
                    <a:prstGeom prst="rect">
                      <a:avLst/>
                    </a:prstGeom>
                  </pic:spPr>
                </pic:pic>
              </a:graphicData>
            </a:graphic>
          </wp:anchor>
        </w:drawing>
      </w:r>
      <w:r>
        <w:rPr/>
        <w:drawing>
          <wp:anchor distT="0" distB="0" distL="0" distR="0" allowOverlap="1" layoutInCell="1" locked="0" behindDoc="0" simplePos="0" relativeHeight="8992">
            <wp:simplePos x="0" y="0"/>
            <wp:positionH relativeFrom="page">
              <wp:posOffset>817836</wp:posOffset>
            </wp:positionH>
            <wp:positionV relativeFrom="page">
              <wp:posOffset>1855954</wp:posOffset>
            </wp:positionV>
            <wp:extent cx="119848" cy="84200"/>
            <wp:effectExtent l="0" t="0" r="0" b="0"/>
            <wp:wrapNone/>
            <wp:docPr id="217" name="image354.png" descr=""/>
            <wp:cNvGraphicFramePr>
              <a:graphicFrameLocks noChangeAspect="1"/>
            </wp:cNvGraphicFramePr>
            <a:graphic>
              <a:graphicData uri="http://schemas.openxmlformats.org/drawingml/2006/picture">
                <pic:pic>
                  <pic:nvPicPr>
                    <pic:cNvPr id="218" name="image354.png"/>
                    <pic:cNvPicPr/>
                  </pic:nvPicPr>
                  <pic:blipFill>
                    <a:blip r:embed="rId408" cstate="print"/>
                    <a:stretch>
                      <a:fillRect/>
                    </a:stretch>
                  </pic:blipFill>
                  <pic:spPr>
                    <a:xfrm>
                      <a:off x="0" y="0"/>
                      <a:ext cx="119848" cy="84200"/>
                    </a:xfrm>
                    <a:prstGeom prst="rect">
                      <a:avLst/>
                    </a:prstGeom>
                  </pic:spPr>
                </pic:pic>
              </a:graphicData>
            </a:graphic>
          </wp:anchor>
        </w:drawing>
      </w:r>
      <w:r>
        <w:rPr/>
        <w:drawing>
          <wp:anchor distT="0" distB="0" distL="0" distR="0" allowOverlap="1" layoutInCell="1" locked="0" behindDoc="0" simplePos="0" relativeHeight="9016">
            <wp:simplePos x="0" y="0"/>
            <wp:positionH relativeFrom="page">
              <wp:posOffset>817196</wp:posOffset>
            </wp:positionH>
            <wp:positionV relativeFrom="page">
              <wp:posOffset>2113630</wp:posOffset>
            </wp:positionV>
            <wp:extent cx="120974" cy="84200"/>
            <wp:effectExtent l="0" t="0" r="0" b="0"/>
            <wp:wrapNone/>
            <wp:docPr id="219" name="image355.png" descr=""/>
            <wp:cNvGraphicFramePr>
              <a:graphicFrameLocks noChangeAspect="1"/>
            </wp:cNvGraphicFramePr>
            <a:graphic>
              <a:graphicData uri="http://schemas.openxmlformats.org/drawingml/2006/picture">
                <pic:pic>
                  <pic:nvPicPr>
                    <pic:cNvPr id="220" name="image355.png"/>
                    <pic:cNvPicPr/>
                  </pic:nvPicPr>
                  <pic:blipFill>
                    <a:blip r:embed="rId409" cstate="print"/>
                    <a:stretch>
                      <a:fillRect/>
                    </a:stretch>
                  </pic:blipFill>
                  <pic:spPr>
                    <a:xfrm>
                      <a:off x="0" y="0"/>
                      <a:ext cx="120974" cy="84200"/>
                    </a:xfrm>
                    <a:prstGeom prst="rect">
                      <a:avLst/>
                    </a:prstGeom>
                  </pic:spPr>
                </pic:pic>
              </a:graphicData>
            </a:graphic>
          </wp:anchor>
        </w:drawing>
      </w:r>
      <w:r>
        <w:rPr/>
        <w:drawing>
          <wp:anchor distT="0" distB="0" distL="0" distR="0" allowOverlap="1" layoutInCell="1" locked="0" behindDoc="0" simplePos="0" relativeHeight="9040">
            <wp:simplePos x="0" y="0"/>
            <wp:positionH relativeFrom="page">
              <wp:posOffset>817766</wp:posOffset>
            </wp:positionH>
            <wp:positionV relativeFrom="page">
              <wp:posOffset>2371065</wp:posOffset>
            </wp:positionV>
            <wp:extent cx="120405" cy="84200"/>
            <wp:effectExtent l="0" t="0" r="0" b="0"/>
            <wp:wrapNone/>
            <wp:docPr id="221" name="image356.png" descr=""/>
            <wp:cNvGraphicFramePr>
              <a:graphicFrameLocks noChangeAspect="1"/>
            </wp:cNvGraphicFramePr>
            <a:graphic>
              <a:graphicData uri="http://schemas.openxmlformats.org/drawingml/2006/picture">
                <pic:pic>
                  <pic:nvPicPr>
                    <pic:cNvPr id="222" name="image356.png"/>
                    <pic:cNvPicPr/>
                  </pic:nvPicPr>
                  <pic:blipFill>
                    <a:blip r:embed="rId410" cstate="print"/>
                    <a:stretch>
                      <a:fillRect/>
                    </a:stretch>
                  </pic:blipFill>
                  <pic:spPr>
                    <a:xfrm>
                      <a:off x="0" y="0"/>
                      <a:ext cx="120405" cy="84200"/>
                    </a:xfrm>
                    <a:prstGeom prst="rect">
                      <a:avLst/>
                    </a:prstGeom>
                  </pic:spPr>
                </pic:pic>
              </a:graphicData>
            </a:graphic>
          </wp:anchor>
        </w:drawing>
      </w:r>
      <w:r>
        <w:rPr/>
        <w:pict>
          <v:shape style="position:absolute;margin-left:69.445694pt;margin-top:206.96817pt;width:4.45pt;height:6.65pt;mso-position-horizontal-relative:page;mso-position-vertical-relative:page;z-index:9064" coordorigin="1389,4139" coordsize="89,133" path="m1450,4139l1417,4139,1405,4145,1399,4157,1394,4166,1391,4178,1390,4191,1389,4206,1390,4221,1391,4234,1394,4245,1399,4255,1405,4266,1417,4272,1450,4272,1461,4266,1468,4255,1469,4252,1426,4252,1421,4248,1416,4232,1415,4221,1415,4190,1416,4179,1421,4164,1426,4160,1469,4160,1468,4157,1461,4145,1450,4139xm1469,4160l1441,4160,1446,4164,1450,4179,1452,4190,1452,4221,1450,4232,1446,4248,1441,4252,1469,4252,1472,4245,1475,4234,1477,4221,1478,4206,1477,4191,1475,4178,1472,4166,1469,4160xe" filled="true" fillcolor="#231f20" stroked="false">
            <v:path arrowok="t"/>
            <v:fill type="solid"/>
            <w10:wrap type="none"/>
          </v:shape>
        </w:pict>
      </w:r>
      <w:r>
        <w:rPr/>
        <w:pict>
          <v:shape style="position:absolute;margin-left:42.52pt;margin-top:137.744949pt;width:8.450pt;height:45.1pt;mso-position-horizontal-relative:page;mso-position-vertical-relative:page;z-index:9088" coordorigin="850,2755" coordsize="169,902" path="m873,2866l850,2866,850,2891,873,2891,873,2866m980,3629l934,3629,934,3588,933,3585,931,3578,918,3562,912,3560,912,3599,912,3629,874,3629,874,3599,875,3594,881,3587,886,3585,899,3585,904,3587,910,3594,912,3599,912,3560,907,3559,878,3559,868,3562,855,3578,851,3588,851,3656,980,3656,980,3629m980,3405l927,3405,921,3404,911,3398,908,3392,908,3377,908,3375,883,3375,883,3385,884,3391,888,3396,891,3399,895,3402,901,3406,885,3406,885,3430,980,3430,980,3405m980,3074l904,3074,895,3077,885,3090,883,3098,883,3116,884,3122,890,3130,894,3133,899,3136,885,3136,885,3160,980,3160,980,3135,923,3135,918,3135,907,3130,903,3124,903,3109,906,3104,913,3101,917,3100,980,3100,980,3074m982,3031l981,3007,962,3007,963,3017,962,3021,960,3022,958,3023,903,3023,903,3007,886,3007,886,3023,859,3023,859,3048,886,3048,886,3061,903,3061,903,3048,968,3048,972,3046,980,3039,982,3031m983,2973l983,2961,982,2955,976,2945,973,2941,970,2938,970,2938,969,2938,971,2938,973,2937,976,2937,978,2936,980,2935,980,2908,976,2908,976,2910,975,2911,972,2913,970,2913,965,2913,965,2964,964,2967,960,2972,957,2973,948,2973,945,2971,941,2965,940,2961,939,2955,937,2947,937,2945,936,2942,935,2940,934,2938,951,2939,957,2941,963,2950,965,2955,965,2964,965,2913,901,2914,893,2918,885,2934,882,2943,883,2970,887,2981,895,2988,900,2992,907,2994,916,2995,916,2971,912,2970,909,2969,907,2967,904,2965,903,2961,903,2949,903,2946,903,2945,906,2940,909,2938,916,2938,918,2940,921,2946,922,2949,924,2972,926,2979,935,2993,943,2998,964,2998,971,2995,981,2984,983,2977,983,2973m983,3513l983,3480,981,3474,978,3468,962,3455,962,3489,962,3504,960,3509,950,3517,942,3519,923,3519,916,3517,905,3509,903,3504,903,3489,905,3483,916,3476,923,3474,942,3474,950,3476,960,3483,962,3489,962,3455,959,3452,947,3447,919,3447,907,3452,887,3468,882,3480,882,3513,887,3525,907,3541,919,3545,947,3545,959,3541,978,3525,981,3519,983,3513m983,3204l979,3192,969,3184,964,3178,958,3175,952,3175,952,3200,955,3201,957,3203,962,3209,963,3213,963,3224,962,3229,956,3239,949,3242,939,3243,939,3242,939,3199,939,3173,931,3173,925,3173,923,3174,923,3199,923,3242,917,3241,912,3239,905,3232,903,3227,903,3215,905,3210,911,3202,916,3200,923,3199,923,3174,913,3175,906,3178,901,3182,894,3186,890,3191,884,3205,882,3212,882,3235,887,3246,895,3255,903,3260,912,3264,922,3267,933,3268,946,3267,956,3264,965,3260,972,3253,979,3244,980,3243,983,3232,983,3204m983,2786l979,2774,969,2766,964,2760,958,2757,952,2756,952,2782,955,2783,957,2785,962,2790,963,2795,963,2806,962,2811,956,2821,949,2824,939,2824,939,2824,939,2781,939,2755,931,2755,925,2755,923,2755,923,2781,923,2824,917,2823,912,2821,905,2814,903,2809,903,2796,905,2792,911,2784,916,2781,923,2781,923,2755,913,2757,906,2760,901,2763,894,2768,890,2773,884,2787,882,2794,882,2816,887,2828,895,2836,903,2842,912,2846,922,2849,933,2850,946,2849,956,2846,965,2841,972,2835,979,2825,980,2824,983,2814,983,2786m983,3336l983,3305,978,3294,960,3281,953,3278,945,3278,945,3303,951,3304,955,3305,961,3310,962,3314,962,3328,959,3334,951,3337,946,3338,941,3339,926,3339,921,3338,908,3334,904,3328,904,3314,906,3309,909,3306,912,3305,915,3303,919,3303,919,3277,905,3279,896,3283,885,3298,883,3308,883,3334,887,3345,896,3353,904,3359,913,3362,923,3365,934,3365,949,3365,961,3362,979,3347,982,3339,983,3336m1019,2883l1016,2875,1007,2868,1000,2866,885,2866,885,2891,993,2891,996,2891,998,2894,999,2896,999,2900,998,2903,1018,2903,1019,2883e" filled="true" fillcolor="#231f20" stroked="false">
            <v:path arrowok="t"/>
            <v:fill type="solid"/>
            <w10:wrap type="none"/>
          </v:shape>
        </w:pict>
      </w:r>
      <w:r>
        <w:rPr/>
        <w:pict>
          <v:group style="position:absolute;margin-left:303.511993pt;margin-top:144.974976pt;width:135.9pt;height:60.7pt;mso-position-horizontal-relative:page;mso-position-vertical-relative:page;z-index:9112" coordorigin="6070,2899" coordsize="2718,1214">
            <v:shape style="position:absolute;left:6335;top:3005;width:1080;height:169" type="#_x0000_t75" stroked="false">
              <v:imagedata r:id="rId411" o:title=""/>
            </v:shape>
            <v:shape style="position:absolute;left:7474;top:2992;width:581;height:156" type="#_x0000_t75" stroked="false">
              <v:imagedata r:id="rId412" o:title=""/>
            </v:shape>
            <v:rect style="position:absolute;left:6152;top:3021;width:123;height:115" filled="true" fillcolor="#1b75bc" stroked="false">
              <v:fill type="solid"/>
            </v:rect>
            <v:shape style="position:absolute;left:6325;top:3299;width:944;height:175" coordorigin="6325,3299" coordsize="944,175" path="m6449,3436l6439,3409,6431,3386,6413,3335,6403,3307,6403,3386,6370,3386,6387,3335,6403,3386,6403,3307,6402,3305,6371,3305,6325,3436,6353,3436,6362,3409,6410,3409,6419,3436,6449,3436m6557,3370l6553,3359,6553,3358,6548,3353,6537,3341,6530,3338,6530,3380,6530,3396,6529,3404,6521,3415,6516,3417,6504,3417,6499,3416,6496,3413,6490,3409,6487,3401,6487,3383,6488,3377,6489,3372,6493,3363,6499,3359,6516,3359,6522,3362,6529,3373,6530,3380,6530,3338,6527,3337,6508,3337,6501,3339,6496,3343,6493,3346,6490,3349,6487,3353,6487,3339,6463,3339,6463,3474,6488,3474,6488,3423,6490,3428,6493,3431,6496,3433,6501,3437,6507,3439,6527,3439,6537,3434,6545,3425,6546,3423,6550,3418,6550,3417,6554,3409,6556,3398,6557,3386,6557,3370m6667,3374l6663,3362,6660,3357,6655,3351,6648,3345,6641,3340,6641,3378,6641,3397,6639,3405,6631,3415,6625,3418,6610,3418,6605,3415,6597,3405,6595,3397,6595,3378,6597,3370,6601,3365,6605,3360,6610,3357,6625,3357,6631,3360,6639,3370,6641,3378,6641,3340,6640,3340,6630,3337,6618,3336,6606,3337,6596,3340,6588,3345,6581,3351,6573,3362,6568,3374,6568,3402,6573,3414,6581,3424,6588,3431,6596,3435,6606,3438,6618,3439,6630,3438,6640,3435,6648,3431,6655,3424,6660,3418,6663,3414,6667,3402,6667,3374m6741,3337l6739,3337,6730,3337,6724,3339,6719,3343,6717,3345,6713,3349,6709,3356,6709,3339,6685,3339,6685,3436,6711,3436,6711,3382,6712,3376,6717,3366,6724,3362,6738,3363,6741,3363,6741,3362,6741,3356,6741,3337m6800,3340l6785,3340,6785,3313,6760,3313,6760,3340,6746,3340,6746,3358,6760,3358,6760,3424,6761,3428,6764,3431,6768,3436,6777,3438,6800,3437,6800,3418,6800,3418,6790,3418,6787,3417,6785,3416,6785,3413,6785,3358,6800,3358,6800,3340m6901,3436l6901,3432,6899,3431,6898,3430,6897,3428,6896,3426,6896,3424,6896,3420,6896,3389,6896,3357,6896,3355,6892,3347,6875,3339,6866,3337,6839,3337,6827,3341,6820,3350,6816,3355,6814,3362,6813,3370,6838,3370,6838,3367,6839,3364,6844,3359,6848,3357,6860,3357,6864,3358,6866,3359,6869,3361,6871,3364,6871,3371,6870,3371,6870,3389,6870,3407,6868,3412,6859,3419,6853,3420,6844,3420,6842,3420,6837,3416,6835,3413,6835,3403,6837,3400,6844,3396,6848,3395,6853,3394,6862,3392,6864,3392,6867,3391,6869,3390,6870,3389,6870,3371,6869,3373,6863,3376,6860,3376,6837,3379,6829,3381,6815,3390,6810,3398,6810,3420,6813,3426,6824,3436,6832,3439,6847,3439,6854,3437,6864,3431,6868,3428,6871,3424,6871,3426,6872,3429,6872,3432,6873,3434,6874,3436,6901,3436m7002,3374l7000,3360,6999,3358,6996,3350,6980,3339,6970,3337,6944,3337,6933,3341,6924,3351,6919,3358,6915,3367,6913,3378,6912,3389,6912,3404,6916,3416,6931,3434,6942,3439,6973,3439,6985,3434,6996,3418,6998,3416,7001,3408,7001,3401,6976,3401,6975,3406,6973,3410,6968,3416,6964,3418,6950,3418,6944,3414,6941,3406,6940,3402,6939,3396,6939,3381,6940,3375,6944,3362,6950,3358,6965,3358,6969,3360,6972,3364,6974,3367,6975,3370,6976,3374,7002,3374m7045,3339l7019,3339,7019,3436,7045,3436,7045,3339m7045,3304l7019,3304,7019,3328,7045,3328,7045,3304m7143,3299l7115,3299,7098,3326,7116,3326,7143,3299m7162,3374l7158,3362,7155,3357,7150,3351,7143,3345,7136,3340,7136,3378,7136,3397,7134,3405,7126,3415,7120,3418,7105,3418,7100,3415,7092,3405,7090,3397,7090,3378,7092,3370,7096,3365,7100,3360,7105,3357,7120,3357,7126,3360,7134,3370,7136,3378,7136,3340,7135,3340,7125,3337,7113,3336,7101,3337,7091,3340,7083,3345,7076,3351,7068,3362,7063,3374,7063,3402,7068,3414,7076,3424,7083,3431,7091,3435,7101,3438,7113,3439,7125,3438,7135,3435,7143,3431,7150,3424,7155,3418,7158,3414,7162,3402,7162,3374m7268,3359l7268,3358,7266,3353,7265,3350,7252,3339,7244,3337,7226,3337,7220,3339,7211,3345,7208,3348,7205,3353,7205,3339,7181,3339,7181,3436,7206,3436,7206,3377,7207,3373,7212,3361,7217,3358,7233,3358,7238,3360,7241,3368,7242,3372,7242,3436,7268,3436,7268,3359e" filled="true" fillcolor="#231f20" stroked="false">
              <v:path arrowok="t"/>
              <v:fill type="solid"/>
            </v:shape>
            <v:shape style="position:absolute;left:7336;top:3305;width:206;height:134" type="#_x0000_t75" stroked="false">
              <v:imagedata r:id="rId413" o:title=""/>
            </v:shape>
            <v:shape style="position:absolute;left:7605;top:3292;width:134;height:156" type="#_x0000_t75" stroked="false">
              <v:imagedata r:id="rId414" o:title=""/>
            </v:shape>
            <v:shape style="position:absolute;left:7801;top:3304;width:953;height:135" coordorigin="7801,3304" coordsize="953,135" path="m7891,3374l7889,3360,7888,3358,7885,3350,7869,3339,7859,3337,7833,3337,7822,3341,7814,3351,7808,3358,7804,3367,7802,3378,7801,3389,7801,3404,7805,3416,7820,3434,7831,3439,7862,3439,7874,3434,7885,3418,7887,3416,7890,3408,7890,3401,7865,3401,7864,3406,7863,3410,7858,3416,7853,3418,7839,3418,7833,3414,7830,3406,7829,3402,7828,3396,7828,3381,7829,3375,7833,3362,7839,3358,7854,3358,7858,3360,7861,3364,7863,3367,7864,3370,7865,3374,7891,3374m8001,3374l7997,3362,7993,3357,7989,3351,7982,3345,7974,3340,7974,3378,7974,3397,7972,3405,7964,3415,7959,3418,7944,3418,7938,3415,7930,3405,7928,3397,7928,3378,7930,3370,7934,3365,7938,3360,7944,3357,7959,3357,7964,3360,7972,3370,7974,3378,7974,3340,7973,3340,7963,3337,7951,3336,7940,3337,7930,3340,7921,3345,7914,3351,7906,3362,7902,3374,7902,3402,7906,3414,7914,3424,7921,3431,7930,3435,7940,3438,7951,3439,7963,3438,7973,3435,7982,3431,7989,3424,7994,3418,7997,3414,8001,3402,8001,3374m8157,3436l8157,3364,8156,3358,8156,3356,8155,3353,8154,3351,8151,3348,8148,3344,8144,3341,8136,3338,8131,3337,8121,3337,8115,3338,8110,3341,8105,3344,8101,3348,8097,3353,8097,3353,8095,3349,8093,3345,8089,3342,8084,3339,8079,3337,8063,3337,8057,3339,8049,3345,8046,3348,8043,3353,8043,3339,8019,3339,8019,3436,8044,3436,8044,3372,8045,3368,8046,3366,8049,3361,8054,3359,8067,3359,8071,3361,8075,3368,8075,3372,8075,3436,8101,3436,8101,3374,8101,3370,8105,3361,8110,3359,8110,3358,8123,3358,8127,3361,8131,3368,8131,3370,8131,3436,8157,3436m8267,3339l8241,3339,8241,3398,8241,3403,8239,3407,8236,3414,8230,3417,8215,3417,8210,3415,8207,3407,8206,3403,8206,3339,8180,3339,8180,3408,8181,3417,8184,3423,8189,3433,8199,3438,8218,3438,8222,3437,8230,3435,8233,3432,8239,3428,8240,3426,8242,3423,8243,3422,8243,3436,8267,3436,8267,3422,8267,3417,8267,3339m8379,3359l8379,3358,8377,3353,8376,3350,8363,3339,8355,3337,8337,3337,8331,3339,8323,3345,8320,3348,8316,3353,8316,3339,8292,3339,8292,3436,8317,3436,8317,3377,8318,3373,8323,3361,8329,3358,8344,3358,8349,3360,8353,3368,8353,3372,8353,3436,8379,3436,8379,3359m8429,3339l8403,3339,8403,3436,8429,3436,8429,3339m8429,3304l8403,3304,8403,3328,8429,3328,8429,3304m8541,3305l8516,3305,8516,3377,8516,3397,8514,3404,8507,3415,8502,3418,8487,3418,8482,3415,8478,3410,8475,3404,8473,3397,8473,3380,8475,3373,8478,3367,8482,3362,8487,3359,8499,3359,8504,3360,8507,3363,8513,3369,8516,3377,8516,3305,8516,3305,8516,3351,8513,3347,8509,3343,8500,3338,8495,3337,8476,3337,8466,3342,8458,3351,8453,3359,8450,3368,8448,3378,8447,3390,8447,3404,8451,3416,8466,3434,8476,3439,8494,3439,8500,3438,8509,3432,8513,3428,8517,3422,8517,3436,8541,3436,8541,3422,8541,3418,8541,3359,8541,3351,8541,3305m8649,3436l8649,3432,8647,3431,8646,3430,8644,3428,8644,3426,8644,3424,8644,3420,8643,3389,8643,3357,8643,3355,8639,3347,8623,3339,8613,3337,8586,3337,8575,3341,8568,3350,8564,3355,8561,3362,8561,3370,8585,3370,8586,3367,8587,3364,8591,3359,8596,3357,8607,3357,8611,3358,8614,3359,8617,3361,8618,3364,8618,3371,8618,3371,8618,3389,8618,3407,8616,3412,8606,3419,8601,3420,8592,3420,8589,3420,8584,3416,8583,3413,8583,3403,8585,3400,8591,3396,8595,3395,8601,3394,8609,3392,8612,3392,8615,3391,8616,3390,8618,3389,8618,3371,8616,3373,8611,3376,8607,3376,8584,3379,8577,3381,8562,3390,8558,3398,8558,3420,8561,3426,8572,3436,8579,3439,8595,3439,8601,3437,8611,3431,8615,3428,8619,3424,8619,3426,8619,3429,8620,3432,8620,3434,8621,3436,8649,3436m8753,3305l8729,3305,8729,3377,8729,3397,8727,3404,8719,3415,8714,3418,8699,3418,8694,3415,8691,3410,8687,3404,8685,3397,8685,3380,8687,3373,8691,3367,8694,3362,8699,3359,8712,3359,8716,3360,8720,3363,8726,3369,8729,3377,8729,3305,8728,3305,8728,3351,8725,3347,8721,3343,8712,3338,8707,3337,8688,3337,8678,3342,8671,3351,8666,3359,8662,3368,8660,3378,8659,3390,8659,3404,8663,3416,8679,3434,8688,3439,8706,3439,8712,3438,8721,3432,8725,3428,8729,3422,8729,3436,8753,3436,8753,3422,8753,3418,8753,3359,8753,3351,8753,3305e" filled="true" fillcolor="#231f20" stroked="false">
              <v:path arrowok="t"/>
              <v:fill type="solid"/>
            </v:shape>
            <v:rect style="position:absolute;left:6152;top:3319;width:123;height:115" filled="true" fillcolor="#c49a6c" stroked="false">
              <v:fill type="solid"/>
            </v:rect>
            <v:shape style="position:absolute;left:6325;top:3599;width:1799;height:174" type="#_x0000_t75" stroked="false">
              <v:imagedata r:id="rId415" o:title=""/>
            </v:shape>
            <v:line style="position:absolute" from="8153,3605" to="8153,3736" stroked="true" strokeweight="1.265pt" strokecolor="#231f20"/>
            <v:rect style="position:absolute;left:6152;top:3615;width:123;height:115" filled="true" fillcolor="#ef4136" stroked="false">
              <v:fill type="solid"/>
            </v:rect>
            <v:shape style="position:absolute;left:6335;top:3905;width:707;height:134" type="#_x0000_t75" stroked="false">
              <v:imagedata r:id="rId416" o:title=""/>
            </v:shape>
            <v:shape style="position:absolute;left:7102;top:3892;width:559;height:156" type="#_x0000_t75" stroked="false">
              <v:imagedata r:id="rId417" o:title=""/>
            </v:shape>
            <v:rect style="position:absolute;left:6152;top:3916;width:123;height:115" filled="true" fillcolor="#009444" stroked="false">
              <v:fill type="solid"/>
            </v:rect>
            <v:rect style="position:absolute;left:6080;top:2909;width:2697;height:1194" filled="false" stroked="true" strokeweight="1pt" strokecolor="#231f20"/>
            <w10:wrap type="none"/>
          </v:group>
        </w:pict>
      </w:r>
    </w:p>
    <w:p>
      <w:pPr>
        <w:spacing w:line="180" w:lineRule="exact"/>
        <w:ind w:left="3274" w:right="0" w:firstLine="0"/>
        <w:rPr>
          <w:sz w:val="16"/>
        </w:rPr>
      </w:pPr>
      <w:r>
        <w:rPr>
          <w:position w:val="-3"/>
          <w:sz w:val="18"/>
        </w:rPr>
        <w:drawing>
          <wp:inline distT="0" distB="0" distL="0" distR="0">
            <wp:extent cx="470571" cy="114300"/>
            <wp:effectExtent l="0" t="0" r="0" b="0"/>
            <wp:docPr id="223" name="image364.png" descr=""/>
            <wp:cNvGraphicFramePr>
              <a:graphicFrameLocks noChangeAspect="1"/>
            </wp:cNvGraphicFramePr>
            <a:graphic>
              <a:graphicData uri="http://schemas.openxmlformats.org/drawingml/2006/picture">
                <pic:pic>
                  <pic:nvPicPr>
                    <pic:cNvPr id="224" name="image364.png"/>
                    <pic:cNvPicPr/>
                  </pic:nvPicPr>
                  <pic:blipFill>
                    <a:blip r:embed="rId418" cstate="print"/>
                    <a:stretch>
                      <a:fillRect/>
                    </a:stretch>
                  </pic:blipFill>
                  <pic:spPr>
                    <a:xfrm>
                      <a:off x="0" y="0"/>
                      <a:ext cx="470571" cy="114300"/>
                    </a:xfrm>
                    <a:prstGeom prst="rect">
                      <a:avLst/>
                    </a:prstGeom>
                  </pic:spPr>
                </pic:pic>
              </a:graphicData>
            </a:graphic>
          </wp:inline>
        </w:drawing>
      </w:r>
      <w:r>
        <w:rPr>
          <w:position w:val="-3"/>
          <w:sz w:val="18"/>
        </w:rPr>
      </w:r>
      <w:r>
        <w:rPr>
          <w:spacing w:val="32"/>
          <w:position w:val="-3"/>
          <w:sz w:val="16"/>
        </w:rPr>
        <w:t> </w:t>
      </w:r>
      <w:r>
        <w:rPr>
          <w:spacing w:val="32"/>
          <w:position w:val="-2"/>
          <w:sz w:val="16"/>
        </w:rPr>
        <w:drawing>
          <wp:inline distT="0" distB="0" distL="0" distR="0">
            <wp:extent cx="113800" cy="102012"/>
            <wp:effectExtent l="0" t="0" r="0" b="0"/>
            <wp:docPr id="225" name="image365.png" descr=""/>
            <wp:cNvGraphicFramePr>
              <a:graphicFrameLocks noChangeAspect="1"/>
            </wp:cNvGraphicFramePr>
            <a:graphic>
              <a:graphicData uri="http://schemas.openxmlformats.org/drawingml/2006/picture">
                <pic:pic>
                  <pic:nvPicPr>
                    <pic:cNvPr id="226" name="image365.png"/>
                    <pic:cNvPicPr/>
                  </pic:nvPicPr>
                  <pic:blipFill>
                    <a:blip r:embed="rId419" cstate="print"/>
                    <a:stretch>
                      <a:fillRect/>
                    </a:stretch>
                  </pic:blipFill>
                  <pic:spPr>
                    <a:xfrm>
                      <a:off x="0" y="0"/>
                      <a:ext cx="113800" cy="102012"/>
                    </a:xfrm>
                    <a:prstGeom prst="rect">
                      <a:avLst/>
                    </a:prstGeom>
                  </pic:spPr>
                </pic:pic>
              </a:graphicData>
            </a:graphic>
          </wp:inline>
        </w:drawing>
      </w:r>
      <w:r>
        <w:rPr>
          <w:spacing w:val="32"/>
          <w:position w:val="-2"/>
          <w:sz w:val="16"/>
        </w:rPr>
      </w:r>
    </w:p>
    <w:p>
      <w:pPr>
        <w:pStyle w:val="BodyText"/>
        <w:spacing w:before="2"/>
        <w:rPr>
          <w:sz w:val="7"/>
        </w:rPr>
      </w:pPr>
    </w:p>
    <w:p>
      <w:pPr>
        <w:spacing w:line="211" w:lineRule="exact"/>
        <w:ind w:left="1861" w:right="574" w:firstLine="0"/>
        <w:rPr>
          <w:sz w:val="16"/>
        </w:rPr>
      </w:pPr>
      <w:r>
        <w:rPr>
          <w:position w:val="-3"/>
          <w:sz w:val="20"/>
        </w:rPr>
        <w:pict>
          <v:group style="width:71.05pt;height:10.35pt;mso-position-horizontal-relative:char;mso-position-vertical-relative:line" coordorigin="0,0" coordsize="1421,207">
            <v:shape style="position:absolute;left:0;top:1;width:120;height:158" coordorigin="0,1" coordsize="120,158" path="m83,1l0,1,0,159,33,159,33,102,66,102,78,101,88,99,98,96,105,91,111,84,116,75,33,75,33,28,115,28,111,20,105,13,96,5,83,1xm115,28l70,28,76,30,84,37,86,43,86,59,84,65,76,73,70,75,116,75,118,64,119,51,118,39,116,29,115,28xe" filled="true" fillcolor="#231f20" stroked="false">
              <v:path arrowok="t"/>
              <v:fill type="solid"/>
            </v:shape>
            <v:shape style="position:absolute;left:136;top:38;width:120;height:125" coordorigin="136,38" coordsize="120,125" path="m196,38l182,40,169,43,159,49,151,57,144,67,140,77,137,88,136,101,137,113,140,125,144,135,151,145,159,153,169,158,182,162,196,163,210,162,222,158,232,153,241,145,246,137,187,137,180,134,170,121,168,113,168,88,170,80,180,67,187,64,245,64,241,57,232,49,222,43,210,40,196,38xm245,64l204,64,211,67,221,80,223,88,223,113,221,121,211,134,204,137,246,137,247,135,252,125,254,113,255,101,254,88,252,77,247,67,245,64xe" filled="true" fillcolor="#231f20" stroked="false">
              <v:path arrowok="t"/>
              <v:fill type="solid"/>
            </v:shape>
            <v:shape style="position:absolute;left:277;top:39;width:68;height:120" coordorigin="277,39" coordsize="68,120" path="m306,42l277,42,277,159,308,159,308,94,309,87,315,74,324,70,345,70,345,62,306,62,306,42xm345,70l324,70,340,70,343,71,345,71,345,70xm332,39l324,42,318,47,315,49,311,55,306,62,345,62,345,40,342,39,332,39xe" filled="true" fillcolor="#231f20" stroked="false">
              <v:path arrowok="t"/>
              <v:fill type="solid"/>
            </v:shape>
            <v:shape style="position:absolute;left:356;top:39;width:108;height:124" coordorigin="356,39" coordsize="108,124" path="m426,39l411,39,399,40,388,44,379,49,371,56,364,65,360,76,357,89,356,103,357,116,359,127,363,137,369,146,377,153,386,159,398,162,411,163,424,162,436,158,445,152,453,143,457,137,401,137,395,132,391,123,389,118,388,111,388,93,389,86,395,70,402,65,461,65,457,56,438,43,426,39xm463,117l432,117,432,123,430,128,424,135,419,137,457,137,459,135,463,126,463,117xm461,65l419,65,425,68,428,72,430,76,432,80,432,84,464,84,462,67,461,65xe" filled="true" fillcolor="#231f20" stroked="false">
              <v:path arrowok="t"/>
              <v:fill type="solid"/>
            </v:shape>
            <v:shape style="position:absolute;left:475;top:39;width:116;height:124" coordorigin="475,39" coordsize="116,124" path="m543,39l533,39,521,40,510,43,500,48,492,55,485,64,479,75,476,87,475,102,477,117,480,130,485,140,493,149,503,155,512,159,523,162,534,163,548,162,560,159,570,153,578,146,585,139,585,138,529,138,523,137,518,134,511,129,507,121,506,109,591,109,591,99,591,91,591,89,507,89,508,81,511,75,519,66,525,64,583,64,581,62,576,54,569,48,553,41,543,39xm590,125l559,125,557,128,555,131,548,136,542,138,585,138,589,132,590,125xm583,64l541,64,547,66,556,75,559,81,560,89,591,89,589,77,586,69,583,64xe" filled="true" fillcolor="#231f20" stroked="false">
              <v:path arrowok="t"/>
              <v:fill type="solid"/>
            </v:shape>
            <v:shape style="position:absolute;left:607;top:39;width:106;height:120" coordorigin="607,39" coordsize="106,120" path="m637,42l607,42,607,159,637,159,637,88,638,83,640,78,644,69,651,65,712,65,710,59,637,59,637,42xm712,65l670,65,676,68,680,77,681,82,681,159,712,159,712,66,712,65xm683,39l662,39,654,42,644,49,640,53,637,59,710,59,709,55,693,42,683,39xe" filled="true" fillcolor="#231f20" stroked="false">
              <v:path arrowok="t"/>
              <v:fill type="solid"/>
            </v:shape>
            <v:shape style="position:absolute;left:729;top:11;width:66;height:151" coordorigin="729,11" coordsize="66,151" path="m775,65l745,65,745,144,747,150,750,153,756,159,765,161,794,160,794,137,782,137,778,137,776,134,775,131,775,65xm794,137l782,137,794,137,794,137xm794,43l729,43,729,65,794,65,794,43xm775,11l745,11,745,43,775,43,775,11xe" filled="true" fillcolor="#231f20" stroked="false">
              <v:path arrowok="t"/>
              <v:fill type="solid"/>
            </v:shape>
            <v:shape style="position:absolute;left:806;top:39;width:110;height:124" coordorigin="806,39" coordsize="110,124" path="m909,64l866,64,870,65,877,68,879,72,879,80,877,83,872,85,870,86,866,87,838,91,829,93,812,103,806,113,806,139,809,147,823,160,832,163,851,163,859,161,871,154,876,150,880,145,910,145,909,140,847,140,844,139,838,135,836,131,836,120,839,115,847,111,851,110,868,107,871,106,875,104,877,103,879,102,909,102,909,64xm910,145l880,145,880,148,880,150,881,154,882,157,883,159,916,159,916,154,914,153,912,152,910,149,910,147,910,145xm909,102l879,102,879,115,879,124,876,131,864,138,858,140,909,140,909,102xm873,39l860,39,846,40,835,43,825,48,818,55,813,61,810,70,810,80,839,80,840,75,841,72,844,69,847,66,852,64,909,64,909,61,904,52,884,42,873,39xe" filled="true" fillcolor="#231f20" stroked="false">
              <v:path arrowok="t"/>
              <v:fill type="solid"/>
            </v:shape>
            <v:shape style="position:absolute;left:923;top:0;width:46;height:207" coordorigin="923,0" coordsize="46,207" path="m923,181l923,206,925,206,947,206,956,203,966,192,968,183,968,182,931,182,926,182,923,181xm968,43l937,43,937,175,937,178,933,181,931,182,968,182,968,43xm968,0l937,0,937,28,968,28,968,0xe" filled="true" fillcolor="#231f20" stroked="false">
              <v:path arrowok="t"/>
              <v:fill type="solid"/>
            </v:shape>
            <v:shape style="position:absolute;left:988;top:39;width:116;height:124" coordorigin="988,39" coordsize="116,124" path="m1056,39l1046,39,1033,40,1022,43,1012,48,1004,55,997,64,992,75,989,87,988,102,989,117,992,130,998,140,1006,149,1015,155,1025,159,1035,162,1047,163,1060,162,1072,159,1082,153,1091,146,1097,139,1098,138,1041,138,1035,137,1031,134,1023,129,1019,121,1018,109,1104,109,1104,99,1103,91,1103,89,1019,89,1020,81,1023,75,1032,66,1038,64,1095,64,1093,62,1088,54,1081,48,1065,41,1056,39xm1102,125l1071,125,1069,128,1067,131,1060,136,1054,138,1098,138,1101,132,1102,125xm1095,64l1053,64,1059,66,1069,75,1071,81,1072,89,1103,89,1101,77,1098,69,1095,64xe" filled="true" fillcolor="#231f20" stroked="false">
              <v:path arrowok="t"/>
              <v:fill type="solid"/>
            </v:shape>
            <v:shape style="position:absolute;left:1172;top:1;width:248;height:162" type="#_x0000_t75" stroked="false">
              <v:imagedata r:id="rId420" o:title=""/>
            </v:shape>
          </v:group>
        </w:pict>
      </w:r>
      <w:r>
        <w:rPr>
          <w:position w:val="-3"/>
          <w:sz w:val="20"/>
        </w:rPr>
      </w:r>
      <w:r>
        <w:rPr>
          <w:spacing w:val="11"/>
          <w:position w:val="-3"/>
          <w:sz w:val="20"/>
        </w:rPr>
        <w:t> </w:t>
      </w:r>
      <w:r>
        <w:rPr>
          <w:spacing w:val="11"/>
          <w:position w:val="-3"/>
          <w:sz w:val="20"/>
        </w:rPr>
        <w:drawing>
          <wp:inline distT="0" distB="0" distL="0" distR="0">
            <wp:extent cx="847543" cy="133350"/>
            <wp:effectExtent l="0" t="0" r="0" b="0"/>
            <wp:docPr id="227" name="image367.png" descr=""/>
            <wp:cNvGraphicFramePr>
              <a:graphicFrameLocks noChangeAspect="1"/>
            </wp:cNvGraphicFramePr>
            <a:graphic>
              <a:graphicData uri="http://schemas.openxmlformats.org/drawingml/2006/picture">
                <pic:pic>
                  <pic:nvPicPr>
                    <pic:cNvPr id="228" name="image367.png"/>
                    <pic:cNvPicPr/>
                  </pic:nvPicPr>
                  <pic:blipFill>
                    <a:blip r:embed="rId421" cstate="print"/>
                    <a:stretch>
                      <a:fillRect/>
                    </a:stretch>
                  </pic:blipFill>
                  <pic:spPr>
                    <a:xfrm>
                      <a:off x="0" y="0"/>
                      <a:ext cx="847543" cy="133350"/>
                    </a:xfrm>
                    <a:prstGeom prst="rect">
                      <a:avLst/>
                    </a:prstGeom>
                  </pic:spPr>
                </pic:pic>
              </a:graphicData>
            </a:graphic>
          </wp:inline>
        </w:drawing>
      </w:r>
      <w:r>
        <w:rPr>
          <w:spacing w:val="11"/>
          <w:position w:val="-3"/>
          <w:sz w:val="20"/>
        </w:rPr>
      </w:r>
      <w:r>
        <w:rPr>
          <w:spacing w:val="53"/>
          <w:position w:val="-3"/>
          <w:sz w:val="12"/>
        </w:rPr>
        <w:t> </w:t>
      </w:r>
      <w:r>
        <w:rPr>
          <w:spacing w:val="53"/>
          <w:sz w:val="12"/>
        </w:rPr>
        <w:drawing>
          <wp:inline distT="0" distB="0" distL="0" distR="0">
            <wp:extent cx="151580" cy="79248"/>
            <wp:effectExtent l="0" t="0" r="0" b="0"/>
            <wp:docPr id="229" name="image368.png" descr=""/>
            <wp:cNvGraphicFramePr>
              <a:graphicFrameLocks noChangeAspect="1"/>
            </wp:cNvGraphicFramePr>
            <a:graphic>
              <a:graphicData uri="http://schemas.openxmlformats.org/drawingml/2006/picture">
                <pic:pic>
                  <pic:nvPicPr>
                    <pic:cNvPr id="230" name="image368.png"/>
                    <pic:cNvPicPr/>
                  </pic:nvPicPr>
                  <pic:blipFill>
                    <a:blip r:embed="rId422" cstate="print"/>
                    <a:stretch>
                      <a:fillRect/>
                    </a:stretch>
                  </pic:blipFill>
                  <pic:spPr>
                    <a:xfrm>
                      <a:off x="0" y="0"/>
                      <a:ext cx="151580" cy="79248"/>
                    </a:xfrm>
                    <a:prstGeom prst="rect">
                      <a:avLst/>
                    </a:prstGeom>
                  </pic:spPr>
                </pic:pic>
              </a:graphicData>
            </a:graphic>
          </wp:inline>
        </w:drawing>
      </w:r>
      <w:r>
        <w:rPr>
          <w:spacing w:val="53"/>
          <w:sz w:val="12"/>
        </w:rPr>
      </w:r>
      <w:r>
        <w:rPr>
          <w:spacing w:val="40"/>
          <w:sz w:val="16"/>
        </w:rPr>
        <w:t> </w:t>
      </w:r>
      <w:r>
        <w:rPr>
          <w:spacing w:val="40"/>
          <w:sz w:val="16"/>
        </w:rPr>
        <w:drawing>
          <wp:inline distT="0" distB="0" distL="0" distR="0">
            <wp:extent cx="367336" cy="102012"/>
            <wp:effectExtent l="0" t="0" r="0" b="0"/>
            <wp:docPr id="231" name="image369.png" descr=""/>
            <wp:cNvGraphicFramePr>
              <a:graphicFrameLocks noChangeAspect="1"/>
            </wp:cNvGraphicFramePr>
            <a:graphic>
              <a:graphicData uri="http://schemas.openxmlformats.org/drawingml/2006/picture">
                <pic:pic>
                  <pic:nvPicPr>
                    <pic:cNvPr id="232" name="image369.png"/>
                    <pic:cNvPicPr/>
                  </pic:nvPicPr>
                  <pic:blipFill>
                    <a:blip r:embed="rId423" cstate="print"/>
                    <a:stretch>
                      <a:fillRect/>
                    </a:stretch>
                  </pic:blipFill>
                  <pic:spPr>
                    <a:xfrm>
                      <a:off x="0" y="0"/>
                      <a:ext cx="367336" cy="102012"/>
                    </a:xfrm>
                    <a:prstGeom prst="rect">
                      <a:avLst/>
                    </a:prstGeom>
                  </pic:spPr>
                </pic:pic>
              </a:graphicData>
            </a:graphic>
          </wp:inline>
        </w:drawing>
      </w:r>
      <w:r>
        <w:rPr>
          <w:spacing w:val="40"/>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r>
        <w:rPr/>
        <w:drawing>
          <wp:anchor distT="0" distB="0" distL="0" distR="0" allowOverlap="1" layoutInCell="1" locked="0" behindDoc="0" simplePos="0" relativeHeight="8608">
            <wp:simplePos x="0" y="0"/>
            <wp:positionH relativeFrom="page">
              <wp:posOffset>1261463</wp:posOffset>
            </wp:positionH>
            <wp:positionV relativeFrom="paragraph">
              <wp:posOffset>234646</wp:posOffset>
            </wp:positionV>
            <wp:extent cx="271553" cy="92297"/>
            <wp:effectExtent l="0" t="0" r="0" b="0"/>
            <wp:wrapTopAndBottom/>
            <wp:docPr id="233" name="image370.png" descr=""/>
            <wp:cNvGraphicFramePr>
              <a:graphicFrameLocks noChangeAspect="1"/>
            </wp:cNvGraphicFramePr>
            <a:graphic>
              <a:graphicData uri="http://schemas.openxmlformats.org/drawingml/2006/picture">
                <pic:pic>
                  <pic:nvPicPr>
                    <pic:cNvPr id="234" name="image370.png"/>
                    <pic:cNvPicPr/>
                  </pic:nvPicPr>
                  <pic:blipFill>
                    <a:blip r:embed="rId424" cstate="print"/>
                    <a:stretch>
                      <a:fillRect/>
                    </a:stretch>
                  </pic:blipFill>
                  <pic:spPr>
                    <a:xfrm>
                      <a:off x="0" y="0"/>
                      <a:ext cx="271553" cy="92297"/>
                    </a:xfrm>
                    <a:prstGeom prst="rect">
                      <a:avLst/>
                    </a:prstGeom>
                  </pic:spPr>
                </pic:pic>
              </a:graphicData>
            </a:graphic>
          </wp:anchor>
        </w:drawing>
      </w:r>
      <w:r>
        <w:rPr/>
        <w:drawing>
          <wp:anchor distT="0" distB="0" distL="0" distR="0" allowOverlap="1" layoutInCell="1" locked="0" behindDoc="0" simplePos="0" relativeHeight="8632">
            <wp:simplePos x="0" y="0"/>
            <wp:positionH relativeFrom="page">
              <wp:posOffset>2072448</wp:posOffset>
            </wp:positionH>
            <wp:positionV relativeFrom="paragraph">
              <wp:posOffset>234878</wp:posOffset>
            </wp:positionV>
            <wp:extent cx="273496" cy="92297"/>
            <wp:effectExtent l="0" t="0" r="0" b="0"/>
            <wp:wrapTopAndBottom/>
            <wp:docPr id="235" name="image371.png" descr=""/>
            <wp:cNvGraphicFramePr>
              <a:graphicFrameLocks noChangeAspect="1"/>
            </wp:cNvGraphicFramePr>
            <a:graphic>
              <a:graphicData uri="http://schemas.openxmlformats.org/drawingml/2006/picture">
                <pic:pic>
                  <pic:nvPicPr>
                    <pic:cNvPr id="236" name="image371.png"/>
                    <pic:cNvPicPr/>
                  </pic:nvPicPr>
                  <pic:blipFill>
                    <a:blip r:embed="rId425" cstate="print"/>
                    <a:stretch>
                      <a:fillRect/>
                    </a:stretch>
                  </pic:blipFill>
                  <pic:spPr>
                    <a:xfrm>
                      <a:off x="0" y="0"/>
                      <a:ext cx="273496" cy="92297"/>
                    </a:xfrm>
                    <a:prstGeom prst="rect">
                      <a:avLst/>
                    </a:prstGeom>
                  </pic:spPr>
                </pic:pic>
              </a:graphicData>
            </a:graphic>
          </wp:anchor>
        </w:drawing>
      </w:r>
      <w:r>
        <w:rPr/>
        <w:drawing>
          <wp:anchor distT="0" distB="0" distL="0" distR="0" allowOverlap="1" layoutInCell="1" locked="0" behindDoc="0" simplePos="0" relativeHeight="8656">
            <wp:simplePos x="0" y="0"/>
            <wp:positionH relativeFrom="page">
              <wp:posOffset>2886313</wp:posOffset>
            </wp:positionH>
            <wp:positionV relativeFrom="paragraph">
              <wp:posOffset>234878</wp:posOffset>
            </wp:positionV>
            <wp:extent cx="272003" cy="92297"/>
            <wp:effectExtent l="0" t="0" r="0" b="0"/>
            <wp:wrapTopAndBottom/>
            <wp:docPr id="237" name="image372.png" descr=""/>
            <wp:cNvGraphicFramePr>
              <a:graphicFrameLocks noChangeAspect="1"/>
            </wp:cNvGraphicFramePr>
            <a:graphic>
              <a:graphicData uri="http://schemas.openxmlformats.org/drawingml/2006/picture">
                <pic:pic>
                  <pic:nvPicPr>
                    <pic:cNvPr id="238" name="image372.png"/>
                    <pic:cNvPicPr/>
                  </pic:nvPicPr>
                  <pic:blipFill>
                    <a:blip r:embed="rId426" cstate="print"/>
                    <a:stretch>
                      <a:fillRect/>
                    </a:stretch>
                  </pic:blipFill>
                  <pic:spPr>
                    <a:xfrm>
                      <a:off x="0" y="0"/>
                      <a:ext cx="272003" cy="92297"/>
                    </a:xfrm>
                    <a:prstGeom prst="rect">
                      <a:avLst/>
                    </a:prstGeom>
                  </pic:spPr>
                </pic:pic>
              </a:graphicData>
            </a:graphic>
          </wp:anchor>
        </w:drawing>
      </w:r>
      <w:r>
        <w:rPr/>
        <w:drawing>
          <wp:anchor distT="0" distB="0" distL="0" distR="0" allowOverlap="1" layoutInCell="1" locked="0" behindDoc="0" simplePos="0" relativeHeight="8680">
            <wp:simplePos x="0" y="0"/>
            <wp:positionH relativeFrom="page">
              <wp:posOffset>2079547</wp:posOffset>
            </wp:positionH>
            <wp:positionV relativeFrom="paragraph">
              <wp:posOffset>444581</wp:posOffset>
            </wp:positionV>
            <wp:extent cx="266075" cy="82581"/>
            <wp:effectExtent l="0" t="0" r="0" b="0"/>
            <wp:wrapTopAndBottom/>
            <wp:docPr id="239" name="image373.png" descr=""/>
            <wp:cNvGraphicFramePr>
              <a:graphicFrameLocks noChangeAspect="1"/>
            </wp:cNvGraphicFramePr>
            <a:graphic>
              <a:graphicData uri="http://schemas.openxmlformats.org/drawingml/2006/picture">
                <pic:pic>
                  <pic:nvPicPr>
                    <pic:cNvPr id="240" name="image373.png"/>
                    <pic:cNvPicPr/>
                  </pic:nvPicPr>
                  <pic:blipFill>
                    <a:blip r:embed="rId427" cstate="print"/>
                    <a:stretch>
                      <a:fillRect/>
                    </a:stretch>
                  </pic:blipFill>
                  <pic:spPr>
                    <a:xfrm>
                      <a:off x="0" y="0"/>
                      <a:ext cx="266075" cy="82581"/>
                    </a:xfrm>
                    <a:prstGeom prst="rect">
                      <a:avLst/>
                    </a:prstGeom>
                  </pic:spPr>
                </pic:pic>
              </a:graphicData>
            </a:graphic>
          </wp:anchor>
        </w:drawing>
      </w:r>
    </w:p>
    <w:p>
      <w:pPr>
        <w:pStyle w:val="BodyText"/>
        <w:spacing w:before="1"/>
        <w:rPr>
          <w:sz w:val="10"/>
        </w:rPr>
      </w:pPr>
    </w:p>
    <w:p>
      <w:pPr>
        <w:spacing w:before="115"/>
        <w:ind w:left="1579" w:right="-2" w:firstLine="0"/>
        <w:jc w:val="left"/>
        <w:rPr>
          <w:rFonts w:ascii="Calibri" w:hAnsi="Calibri"/>
          <w:sz w:val="16"/>
        </w:rPr>
      </w:pPr>
      <w:r>
        <w:rPr>
          <w:rFonts w:ascii="Calibri" w:hAnsi="Calibri"/>
          <w:color w:val="231F20"/>
          <w:sz w:val="16"/>
        </w:rPr>
        <w:t>FUENTE: Elaboración propia con información de Secretaría de Finanzas del Estado de México (2008b)</w:t>
      </w:r>
    </w:p>
    <w:p>
      <w:pPr>
        <w:pStyle w:val="BodyText"/>
        <w:spacing w:before="10"/>
        <w:rPr>
          <w:rFonts w:ascii="Calibri"/>
          <w:sz w:val="25"/>
        </w:rPr>
      </w:pPr>
    </w:p>
    <w:p>
      <w:pPr>
        <w:pStyle w:val="BodyText"/>
        <w:spacing w:line="285" w:lineRule="auto" w:before="36"/>
        <w:ind w:left="110" w:right="303"/>
      </w:pPr>
      <w:r>
        <w:rPr>
          <w:color w:val="231F20"/>
        </w:rPr>
        <w:t>Los ingresos </w:t>
      </w:r>
      <w:r>
        <w:rPr>
          <w:color w:val="231F20"/>
          <w:spacing w:val="-3"/>
        </w:rPr>
        <w:t>propios </w:t>
      </w:r>
      <w:r>
        <w:rPr>
          <w:color w:val="231F20"/>
        </w:rPr>
        <w:t>de </w:t>
      </w:r>
      <w:r>
        <w:rPr>
          <w:color w:val="231F20"/>
          <w:spacing w:val="-4"/>
        </w:rPr>
        <w:t>Tejupilco </w:t>
      </w:r>
      <w:r>
        <w:rPr>
          <w:color w:val="231F20"/>
        </w:rPr>
        <w:t>se presentan en la gráfica 4. Se derivan de Impuestos     y derechos y podemos ver el incremento a través de los </w:t>
      </w:r>
      <w:r>
        <w:rPr>
          <w:color w:val="231F20"/>
          <w:spacing w:val="51"/>
        </w:rPr>
        <w:t> </w:t>
      </w:r>
      <w:r>
        <w:rPr>
          <w:color w:val="231F20"/>
        </w:rPr>
        <w:t>años.</w:t>
      </w:r>
    </w:p>
    <w:p>
      <w:pPr>
        <w:pStyle w:val="BodyText"/>
        <w:spacing w:before="3"/>
      </w:pPr>
      <w:r>
        <w:rPr/>
        <w:pict>
          <v:group style="position:absolute;margin-left:166.190491pt;margin-top:15.219393pt;width:44.4pt;height:8.0500pt;mso-position-horizontal-relative:page;mso-position-vertical-relative:paragraph;z-index:8704;mso-wrap-distance-left:0;mso-wrap-distance-right:0" coordorigin="3324,304" coordsize="888,161">
            <v:shape style="position:absolute;left:3324;top:304;width:663;height:161" type="#_x0000_t75" stroked="false">
              <v:imagedata r:id="rId428" o:title=""/>
            </v:shape>
            <v:shape style="position:absolute;left:4051;top:313;width:160;height:138" type="#_x0000_t75" stroked="false">
              <v:imagedata r:id="rId429" o:title=""/>
            </v:shape>
            <w10:wrap type="topAndBottom"/>
          </v:group>
        </w:pict>
      </w:r>
      <w:r>
        <w:rPr/>
        <w:pict>
          <v:group style="position:absolute;margin-left:213.830002pt;margin-top:14.765887pt;width:102.6pt;height:9.950pt;mso-position-horizontal-relative:page;mso-position-vertical-relative:paragraph;z-index:8728;mso-wrap-distance-left:0;mso-wrap-distance-right:0" coordorigin="4277,295" coordsize="2052,199">
            <v:line style="position:absolute" from="4292,310" to="4292,452" stroked="true" strokeweight="1.466pt" strokecolor="#231f20"/>
            <v:shape style="position:absolute;left:4331;top:345;width:150;height:107" coordorigin="4331,345" coordsize="150,107" path="m4358,347l4331,347,4331,452,4359,452,4359,383,4360,379,4361,376,4364,371,4369,368,4429,368,4430,368,4480,368,4479,365,4478,363,4416,363,4416,363,4358,363,4358,347xm4429,368l4383,368,4388,371,4392,379,4392,383,4392,452,4420,452,4420,385,4420,381,4422,377,4425,371,4429,368xm4480,368l4444,368,4448,370,4452,378,4453,381,4453,452,4481,452,4481,381,4481,376,4481,374,4480,370,4480,368xm4453,345l4441,345,4435,346,4430,349,4424,352,4420,356,4416,363,4478,363,4477,361,4470,352,4466,349,4457,346,4453,345xm4396,345l4379,345,4373,347,4364,353,4361,357,4358,363,4416,363,4414,358,4411,353,4407,350,4402,347,4396,345xe" filled="true" fillcolor="#231f20" stroked="false">
              <v:path arrowok="t"/>
              <v:fill type="solid"/>
            </v:shape>
            <v:shape style="position:absolute;left:4505;top:345;width:102;height:148" coordorigin="4505,345" coordsize="102,148" path="m4531,347l4505,347,4505,493,4532,493,4532,438,4595,438,4600,432,4600,432,4550,432,4545,430,4541,427,4535,422,4531,414,4531,394,4532,388,4534,383,4538,373,4545,369,4601,369,4599,366,4597,363,4531,363,4531,347xm4595,438l4532,438,4535,443,4538,446,4541,448,4547,452,4554,454,4575,454,4586,450,4594,440,4595,438xm4601,369l4563,369,4569,372,4577,384,4579,391,4579,409,4576,417,4568,429,4563,432,4600,432,4604,422,4606,411,4607,398,4606,386,4603,375,4601,369xm4575,345l4554,345,4547,347,4541,352,4538,354,4534,358,4531,363,4597,363,4594,358,4585,349,4575,345xe" filled="true" fillcolor="#231f20" stroked="false">
              <v:path arrowok="t"/>
              <v:fill type="solid"/>
            </v:shape>
            <v:shape style="position:absolute;left:4625;top:347;width:95;height:107" coordorigin="4625,347" coordsize="95,107" path="m4653,347l4625,347,4625,422,4627,431,4630,437,4635,448,4645,454,4666,454,4671,453,4679,450,4683,448,4687,444,4689,443,4690,441,4692,438,4692,437,4693,437,4719,437,4719,431,4663,431,4658,429,4654,420,4653,416,4653,347xm4719,437l4693,437,4693,452,4719,452,4719,437xm4719,347l4692,347,4692,411,4691,416,4689,420,4685,428,4679,431,4719,431,4719,347xe" filled="true" fillcolor="#231f20" stroked="false">
              <v:path arrowok="t"/>
              <v:fill type="solid"/>
            </v:shape>
            <v:shape style="position:absolute;left:4738;top:344;width:104;height:111" coordorigin="4738,344" coordsize="104,111" path="m4798,344l4789,344,4778,345,4768,348,4760,352,4752,359,4746,367,4741,376,4741,377,4738,388,4738,400,4739,414,4741,425,4746,435,4753,442,4764,451,4776,455,4790,455,4802,454,4813,451,4822,447,4830,440,4836,433,4836,433,4785,433,4780,432,4776,429,4769,425,4765,417,4765,407,4841,407,4841,398,4841,391,4841,389,4766,389,4767,382,4769,377,4777,369,4782,367,4833,367,4832,365,4827,358,4821,352,4807,346,4798,344xm4840,421l4812,421,4810,424,4808,426,4802,431,4797,433,4836,433,4839,427,4840,421xm4833,367l4796,367,4801,369,4810,376,4812,382,4813,389,4841,389,4839,378,4836,371,4833,367xe" filled="true" fillcolor="#231f20" stroked="false">
              <v:path arrowok="t"/>
              <v:fill type="solid"/>
            </v:shape>
            <v:shape style="position:absolute;left:4848;top:344;width:96;height:111" coordorigin="4848,344" coordsize="96,111" path="m4876,418l4848,418,4848,429,4852,438,4868,452,4880,455,4913,455,4925,452,4940,439,4942,434,4889,434,4883,432,4878,426,4877,423,4876,418xm4908,344l4881,344,4870,348,4855,361,4852,370,4852,388,4854,394,4859,398,4864,403,4872,406,4884,409,4900,413,4910,416,4915,419,4916,421,4916,428,4915,430,4908,433,4904,434,4942,434,4944,430,4944,412,4941,406,4936,400,4930,395,4922,391,4911,389,4895,385,4886,383,4880,380,4879,377,4879,372,4880,370,4885,366,4889,365,4939,365,4935,357,4919,347,4908,344xm4939,365l4903,365,4908,367,4911,371,4912,373,4913,375,4914,379,4941,379,4940,367,4940,366,4939,365xe" filled="true" fillcolor="#231f20" stroked="false">
              <v:path arrowok="t"/>
              <v:fill type="solid"/>
            </v:shape>
            <v:shape style="position:absolute;left:4953;top:319;width:59;height:135" coordorigin="4953,319" coordsize="59,135" path="m4995,368l4968,368,4968,438,4969,443,4972,446,4977,451,4986,453,5012,452,5012,432,5001,432,4998,432,4995,430,4995,427,4995,368xm5012,432l5001,432,5012,432,5012,432xm5012,348l4953,348,4953,368,5012,368,5012,348xm4995,319l4968,319,4968,348,4995,348,4995,319xe" filled="true" fillcolor="#231f20" stroked="false">
              <v:path arrowok="t"/>
              <v:fill type="solid"/>
            </v:shape>
            <v:shape style="position:absolute;left:5023;top:344;width:107;height:112" coordorigin="5023,344" coordsize="107,112" path="m5076,344l5064,345,5053,348,5044,353,5036,360,5030,369,5026,378,5024,389,5023,399,5024,411,5026,421,5030,430,5036,439,5044,446,5053,451,5064,454,5076,455,5089,454,5100,451,5109,446,5116,439,5121,432,5068,432,5062,429,5053,418,5051,411,5051,389,5053,381,5062,370,5068,367,5121,367,5116,360,5109,353,5100,348,5089,345,5076,344xm5121,367l5084,367,5090,370,5099,381,5101,389,5101,411,5099,418,5090,429,5084,432,5121,432,5122,430,5126,421,5129,411,5130,399,5129,389,5126,378,5122,369,5121,367xe" filled="true" fillcolor="#231f20" stroked="false">
              <v:path arrowok="t"/>
              <v:fill type="solid"/>
            </v:shape>
            <v:shape style="position:absolute;left:5143;top:344;width:96;height:111" coordorigin="5143,344" coordsize="96,111" path="m5170,418l5143,418,5143,429,5147,438,5162,452,5174,455,5207,455,5219,452,5234,439,5236,434,5184,434,5177,432,5172,426,5171,423,5170,418xm5202,344l5175,344,5165,348,5150,361,5146,370,5146,388,5148,394,5153,398,5158,403,5166,406,5178,409,5195,413,5204,416,5209,419,5211,421,5211,428,5209,430,5203,433,5198,434,5236,434,5238,430,5238,412,5235,406,5230,400,5225,395,5216,391,5206,389,5189,385,5180,383,5174,380,5173,377,5173,372,5174,370,5179,366,5184,365,5233,365,5229,357,5213,347,5202,344xm5233,365l5197,365,5202,367,5205,371,5207,373,5208,375,5208,379,5235,379,5234,367,5234,366,5233,365xe" filled="true" fillcolor="#231f20" stroked="false">
              <v:path arrowok="t"/>
              <v:fill type="solid"/>
            </v:shape>
            <v:shape style="position:absolute;left:5302;top:347;width:104;height:147" type="#_x0000_t75" stroked="false">
              <v:imagedata r:id="rId430" o:title=""/>
            </v:shape>
            <v:shape style="position:absolute;left:5470;top:311;width:102;height:145" coordorigin="5470,311" coordsize="102,145" path="m5521,345l5501,345,5490,350,5482,360,5477,368,5473,378,5470,389,5470,402,5470,417,5474,430,5490,450,5501,455,5520,455,5527,453,5537,448,5541,443,5545,437,5571,437,5571,432,5513,432,5507,429,5500,417,5498,410,5498,391,5500,384,5507,371,5513,368,5571,368,5571,360,5544,360,5541,355,5537,352,5527,346,5521,345xm5571,437l5545,437,5545,452,5571,452,5571,437xm5571,368l5526,368,5531,370,5535,373,5541,379,5544,388,5544,410,5542,417,5534,429,5529,432,5571,432,5571,368xm5571,311l5544,311,5544,360,5571,360,5571,311xe" filled="true" fillcolor="#231f20" stroked="false">
              <v:path arrowok="t"/>
              <v:fill type="solid"/>
            </v:shape>
            <v:shape style="position:absolute;left:5588;top:344;width:104;height:111" coordorigin="5588,344" coordsize="104,111" path="m5649,344l5640,344,5629,345,5619,348,5610,352,5602,359,5596,367,5592,376,5591,377,5589,388,5588,400,5589,414,5592,425,5597,435,5604,442,5615,451,5627,455,5641,455,5653,454,5663,451,5672,447,5680,440,5686,433,5686,433,5636,433,5631,432,5626,429,5620,425,5616,417,5615,407,5691,407,5692,398,5691,391,5691,389,5616,389,5617,382,5620,377,5627,369,5633,367,5684,367,5682,365,5678,358,5671,352,5657,346,5649,344xm5690,421l5662,421,5661,424,5659,426,5653,431,5648,433,5686,433,5689,427,5690,421xm5684,367l5646,367,5652,369,5660,376,5663,382,5663,389,5691,389,5689,378,5687,371,5684,367xe" filled="true" fillcolor="#231f20" stroked="false">
              <v:path arrowok="t"/>
              <v:fill type="solid"/>
            </v:shape>
            <v:shape style="position:absolute;left:5705;top:345;width:61;height:107" coordorigin="5705,345" coordsize="61,107" path="m5731,347l5705,347,5705,452,5733,452,5733,393,5734,387,5736,383,5739,376,5747,372,5766,372,5766,365,5731,365,5731,347xm5766,372l5747,372,5760,372,5764,373,5766,373,5766,372xm5754,345l5747,347,5742,351,5739,354,5735,358,5731,365,5766,365,5766,345,5763,345,5754,345xe" filled="true" fillcolor="#231f20" stroked="false">
              <v:path arrowok="t"/>
              <v:fill type="solid"/>
            </v:shape>
            <v:shape style="position:absolute;left:5773;top:344;width:104;height:111" coordorigin="5773,344" coordsize="104,111" path="m5834,344l5825,344,5814,345,5804,348,5795,352,5788,359,5782,367,5777,376,5777,377,5774,388,5773,400,5774,414,5777,425,5782,435,5789,442,5800,451,5812,455,5826,455,5838,454,5849,451,5858,447,5865,440,5871,433,5872,433,5821,433,5816,432,5812,429,5805,425,5801,417,5801,407,5877,407,5877,398,5877,391,5876,389,5802,389,5803,382,5805,377,5813,369,5818,367,5869,367,5868,365,5863,358,5857,352,5842,346,5834,344xm5876,421l5848,421,5846,424,5844,426,5838,431,5833,433,5872,433,5875,427,5876,421xm5869,367l5832,367,5837,369,5846,376,5848,382,5849,389,5876,389,5875,378,5872,371,5869,367xe" filled="true" fillcolor="#231f20" stroked="false">
              <v:path arrowok="t"/>
              <v:fill type="solid"/>
            </v:shape>
            <v:shape style="position:absolute;left:5885;top:345;width:97;height:111" coordorigin="5885,345" coordsize="97,111" path="m5947,345l5919,345,5907,350,5898,360,5892,368,5888,377,5886,389,5885,401,5886,413,5888,423,5892,432,5897,440,5905,450,5917,455,5934,455,5946,454,5956,451,5965,445,5972,437,5975,432,5925,432,5919,428,5916,419,5914,414,5913,408,5913,393,5914,386,5919,372,5926,368,5979,368,5975,359,5958,348,5947,345xm5981,414l5953,414,5952,419,5951,424,5945,430,5941,432,5975,432,5977,430,5980,422,5981,414xm5979,368l5941,368,5946,370,5949,374,5951,377,5953,381,5953,385,5981,385,5980,370,5979,368xe" filled="true" fillcolor="#231f20" stroked="false">
              <v:path arrowok="t"/>
              <v:fill type="solid"/>
            </v:shape>
            <v:shape style="position:absolute;left:6000;top:311;width:94;height:141" coordorigin="6000,311" coordsize="94,141" path="m6027,311l6000,311,6000,452,6027,452,6027,386,6029,379,6037,369,6042,367,6093,367,6092,366,6091,362,6090,361,6027,361,6027,311xm6093,367l6056,367,6061,369,6063,374,6065,378,6066,382,6066,452,6094,452,6094,378,6094,374,6093,367xm6064,344l6052,344,6046,346,6036,350,6031,355,6027,361,6090,361,6084,353,6080,350,6070,345,6064,344xe" filled="true" fillcolor="#231f20" stroked="false">
              <v:path arrowok="t"/>
              <v:fill type="solid"/>
            </v:shape>
            <v:shape style="position:absolute;left:6113;top:344;width:107;height:112" coordorigin="6113,344" coordsize="107,112" path="m6167,344l6154,345,6143,348,6134,353,6127,360,6121,369,6117,378,6114,389,6113,399,6114,411,6117,421,6121,430,6127,439,6134,446,6143,451,6154,454,6167,455,6179,454,6190,451,6199,446,6207,439,6211,432,6159,432,6152,429,6144,418,6142,411,6142,389,6144,381,6152,370,6159,367,6211,367,6207,360,6199,353,6190,348,6179,345,6167,344xm6211,367l6175,367,6181,370,6189,381,6191,389,6191,411,6189,418,6181,429,6175,432,6211,432,6213,430,6217,421,6219,411,6220,399,6219,389,6217,378,6213,369,6211,367xe" filled="true" fillcolor="#231f20" stroked="false">
              <v:path arrowok="t"/>
              <v:fill type="solid"/>
            </v:shape>
            <v:shape style="position:absolute;left:6233;top:344;width:96;height:111" coordorigin="6233,344" coordsize="96,111" path="m6261,418l6233,418,6233,429,6237,438,6253,452,6265,455,6297,455,6309,452,6325,439,6327,434,6274,434,6268,432,6263,426,6261,423,6261,418xm6293,344l6266,344,6255,348,6240,361,6236,370,6236,388,6239,394,6243,398,6248,403,6257,406,6269,409,6285,413,6295,416,6300,419,6301,421,6301,428,6299,430,6293,433,6289,434,6327,434,6329,430,6329,412,6326,406,6320,400,6315,395,6307,391,6296,389,6280,385,6270,383,6265,380,6263,377,6263,372,6265,370,6270,366,6274,365,6324,365,6320,357,6303,347,6293,344xm6324,365l6287,365,6292,367,6295,371,6297,373,6298,375,6298,379,6326,379,6324,367,6324,366,6324,365xe" filled="true" fillcolor="#231f20" stroked="false">
              <v:path arrowok="t"/>
              <v:fill type="solid"/>
            </v:shape>
            <w10:wrap type="topAndBottom"/>
          </v:group>
        </w:pict>
      </w:r>
      <w:r>
        <w:rPr/>
        <w:drawing>
          <wp:anchor distT="0" distB="0" distL="0" distR="0" allowOverlap="1" layoutInCell="1" locked="0" behindDoc="0" simplePos="0" relativeHeight="8752">
            <wp:simplePos x="0" y="0"/>
            <wp:positionH relativeFrom="page">
              <wp:posOffset>1484082</wp:posOffset>
            </wp:positionH>
            <wp:positionV relativeFrom="paragraph">
              <wp:posOffset>1000041</wp:posOffset>
            </wp:positionV>
            <wp:extent cx="80734" cy="309562"/>
            <wp:effectExtent l="0" t="0" r="0" b="0"/>
            <wp:wrapTopAndBottom/>
            <wp:docPr id="241" name="image377.png" descr=""/>
            <wp:cNvGraphicFramePr>
              <a:graphicFrameLocks noChangeAspect="1"/>
            </wp:cNvGraphicFramePr>
            <a:graphic>
              <a:graphicData uri="http://schemas.openxmlformats.org/drawingml/2006/picture">
                <pic:pic>
                  <pic:nvPicPr>
                    <pic:cNvPr id="242" name="image377.png"/>
                    <pic:cNvPicPr/>
                  </pic:nvPicPr>
                  <pic:blipFill>
                    <a:blip r:embed="rId431" cstate="print"/>
                    <a:stretch>
                      <a:fillRect/>
                    </a:stretch>
                  </pic:blipFill>
                  <pic:spPr>
                    <a:xfrm>
                      <a:off x="0" y="0"/>
                      <a:ext cx="80734" cy="309562"/>
                    </a:xfrm>
                    <a:prstGeom prst="rect">
                      <a:avLst/>
                    </a:prstGeom>
                  </pic:spPr>
                </pic:pic>
              </a:graphicData>
            </a:graphic>
          </wp:anchor>
        </w:drawing>
      </w:r>
      <w:r>
        <w:rPr/>
        <w:pict>
          <v:group style="position:absolute;margin-left:146.760895pt;margin-top:37.61689pt;width:220.95pt;height:103.55pt;mso-position-horizontal-relative:page;mso-position-vertical-relative:paragraph;z-index:8776;mso-wrap-distance-left:0;mso-wrap-distance-right:0" coordorigin="2935,752" coordsize="4419,2071">
            <v:line style="position:absolute" from="7343,782" to="3956,782" stroked="true" strokeweight=".5pt" strokecolor="#231f20"/>
            <v:line style="position:absolute" from="3956,967" to="7343,967" stroked="true" strokeweight=".5pt" strokecolor="#231f20"/>
            <v:shape style="position:absolute;left:2935;top:752;width:2838;height:1775" type="#_x0000_t75" stroked="false">
              <v:imagedata r:id="rId432" o:title=""/>
            </v:shape>
            <v:line style="position:absolute" from="6521,1338" to="7343,1338" stroked="true" strokeweight=".5pt" strokecolor="#231f20"/>
            <v:line style="position:absolute" from="6521,1516" to="7343,1516" stroked="true" strokeweight=".5pt" strokecolor="#231f20"/>
            <v:line style="position:absolute" from="6521,1716" to="7343,1716" stroked="true" strokeweight=".5pt" strokecolor="#231f20"/>
            <v:line style="position:absolute" from="6521,1898" to="7343,1898" stroked="true" strokeweight=".5pt" strokecolor="#231f20"/>
            <v:line style="position:absolute" from="6521,2083" to="7343,2083" stroked="true" strokeweight=".5pt" strokecolor="#231f20"/>
            <v:line style="position:absolute" from="6521,2265" to="7343,2265" stroked="true" strokeweight=".5pt" strokecolor="#231f20"/>
            <v:line style="position:absolute" from="6521,2465" to="7343,2465" stroked="true" strokeweight=".5pt" strokecolor="#231f20"/>
            <v:shape style="position:absolute;left:4486;top:2696;width:373;height:127" type="#_x0000_t75" stroked="false">
              <v:imagedata r:id="rId433" o:title=""/>
            </v:shape>
            <v:rect style="position:absolute;left:4262;top:1702;width:753;height:945" filled="true" fillcolor="#2ab673" stroked="false">
              <v:fill type="solid"/>
            </v:rect>
            <v:shape style="position:absolute;left:5208;top:2696;width:374;height:126" type="#_x0000_t75" stroked="false">
              <v:imagedata r:id="rId434" o:title=""/>
            </v:shape>
            <v:rect style="position:absolute;left:5015;top:1396;width:753;height:1251" filled="true" fillcolor="#009444" stroked="false">
              <v:fill type="solid"/>
            </v:rect>
            <v:line style="position:absolute" from="6521,1156" to="7343,1156" stroked="true" strokeweight=".5pt" strokecolor="#231f20"/>
            <v:shape style="position:absolute;left:6003;top:2696;width:373;height:127" type="#_x0000_t75" stroked="false">
              <v:imagedata r:id="rId435" o:title=""/>
            </v:shape>
            <v:rect style="position:absolute;left:5768;top:1116;width:753;height:1530" filled="true" fillcolor="#006738" stroked="false">
              <v:fill type="solid"/>
            </v:rect>
            <v:shape style="position:absolute;left:3956;top:782;width:3388;height:1866" coordorigin="3956,782" coordsize="3388,1866" path="m7343,782l7343,2647,3956,2647,3956,782e" filled="false" stroked="true" strokeweight="1pt" strokecolor="#231f20">
              <v:path arrowok="t"/>
            </v:shape>
            <w10:wrap type="topAndBottom"/>
          </v:group>
        </w:pict>
      </w:r>
    </w:p>
    <w:p>
      <w:pPr>
        <w:pStyle w:val="BodyText"/>
        <w:spacing w:before="6"/>
        <w:rPr>
          <w:sz w:val="16"/>
        </w:rPr>
      </w:pPr>
    </w:p>
    <w:p>
      <w:pPr>
        <w:pStyle w:val="BodyText"/>
        <w:spacing w:before="3"/>
        <w:rPr>
          <w:sz w:val="4"/>
        </w:rPr>
      </w:pPr>
    </w:p>
    <w:p>
      <w:pPr>
        <w:pStyle w:val="BodyText"/>
        <w:spacing w:line="135" w:lineRule="exact"/>
        <w:ind w:left="4441"/>
        <w:rPr>
          <w:sz w:val="13"/>
        </w:rPr>
      </w:pPr>
      <w:r>
        <w:rPr>
          <w:position w:val="-2"/>
          <w:sz w:val="13"/>
        </w:rPr>
        <w:drawing>
          <wp:inline distT="0" distB="0" distL="0" distR="0">
            <wp:extent cx="276234" cy="85725"/>
            <wp:effectExtent l="0" t="0" r="0" b="0"/>
            <wp:docPr id="243" name="image382.png" descr=""/>
            <wp:cNvGraphicFramePr>
              <a:graphicFrameLocks noChangeAspect="1"/>
            </wp:cNvGraphicFramePr>
            <a:graphic>
              <a:graphicData uri="http://schemas.openxmlformats.org/drawingml/2006/picture">
                <pic:pic>
                  <pic:nvPicPr>
                    <pic:cNvPr id="244" name="image382.png"/>
                    <pic:cNvPicPr/>
                  </pic:nvPicPr>
                  <pic:blipFill>
                    <a:blip r:embed="rId436" cstate="print"/>
                    <a:stretch>
                      <a:fillRect/>
                    </a:stretch>
                  </pic:blipFill>
                  <pic:spPr>
                    <a:xfrm>
                      <a:off x="0" y="0"/>
                      <a:ext cx="276234" cy="85725"/>
                    </a:xfrm>
                    <a:prstGeom prst="rect">
                      <a:avLst/>
                    </a:prstGeom>
                  </pic:spPr>
                </pic:pic>
              </a:graphicData>
            </a:graphic>
          </wp:inline>
        </w:drawing>
      </w:r>
      <w:r>
        <w:rPr>
          <w:position w:val="-2"/>
          <w:sz w:val="13"/>
        </w:rPr>
      </w:r>
    </w:p>
    <w:p>
      <w:pPr>
        <w:pStyle w:val="BodyText"/>
        <w:spacing w:before="7"/>
        <w:rPr>
          <w:sz w:val="10"/>
        </w:rPr>
      </w:pPr>
    </w:p>
    <w:tbl>
      <w:tblPr>
        <w:tblW w:w="0" w:type="auto"/>
        <w:jc w:val="left"/>
        <w:tblInd w:w="82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93"/>
        <w:gridCol w:w="5884"/>
      </w:tblGrid>
      <w:tr>
        <w:trPr>
          <w:trHeight w:val="292" w:hRule="exact"/>
        </w:trPr>
        <w:tc>
          <w:tcPr>
            <w:tcW w:w="593" w:type="dxa"/>
            <w:tcBorders>
              <w:top w:val="single" w:sz="8" w:space="0" w:color="231F20"/>
              <w:left w:val="single" w:sz="8" w:space="0" w:color="231F20"/>
            </w:tcBorders>
          </w:tcPr>
          <w:p>
            <w:pPr>
              <w:pStyle w:val="TableParagraph"/>
              <w:spacing w:before="8"/>
              <w:ind w:left="0"/>
              <w:rPr>
                <w:rFonts w:ascii="Times New Roman"/>
                <w:sz w:val="8"/>
              </w:rPr>
            </w:pPr>
          </w:p>
          <w:p>
            <w:pPr>
              <w:pStyle w:val="TableParagraph"/>
              <w:spacing w:line="126" w:lineRule="exact"/>
              <w:ind w:left="1"/>
              <w:rPr>
                <w:rFonts w:ascii="Times New Roman"/>
                <w:sz w:val="12"/>
              </w:rPr>
            </w:pPr>
            <w:r>
              <w:rPr>
                <w:rFonts w:ascii="Times New Roman"/>
                <w:position w:val="-2"/>
                <w:sz w:val="12"/>
              </w:rPr>
              <w:pict>
                <v:group style="width:26.75pt;height:6.35pt;mso-position-horizontal-relative:char;mso-position-vertical-relative:line" coordorigin="0,0" coordsize="535,127">
                  <v:shape style="position:absolute;left:162;top:0;width:373;height:127" type="#_x0000_t75" stroked="false">
                    <v:imagedata r:id="rId437" o:title=""/>
                  </v:shape>
                  <v:line style="position:absolute" from="37,58" to="110,58" stroked="true" strokeweight="3.673pt" strokecolor="#2ab673"/>
                </v:group>
              </w:pict>
            </w:r>
            <w:r>
              <w:rPr>
                <w:rFonts w:ascii="Times New Roman"/>
                <w:position w:val="-2"/>
                <w:sz w:val="12"/>
              </w:rPr>
            </w:r>
          </w:p>
        </w:tc>
        <w:tc>
          <w:tcPr>
            <w:tcW w:w="5884" w:type="dxa"/>
            <w:tcBorders>
              <w:top w:val="single" w:sz="8" w:space="0" w:color="231F20"/>
              <w:right w:val="single" w:sz="8" w:space="0" w:color="231F20"/>
            </w:tcBorders>
          </w:tcPr>
          <w:p>
            <w:pPr>
              <w:pStyle w:val="TableParagraph"/>
              <w:spacing w:before="6"/>
              <w:ind w:left="0"/>
              <w:rPr>
                <w:rFonts w:ascii="Times New Roman"/>
                <w:sz w:val="8"/>
              </w:rPr>
            </w:pPr>
          </w:p>
          <w:p>
            <w:pPr>
              <w:pStyle w:val="TableParagraph"/>
              <w:spacing w:line="141" w:lineRule="exact"/>
              <w:ind w:left="2435"/>
              <w:rPr>
                <w:rFonts w:ascii="Times New Roman"/>
                <w:sz w:val="14"/>
              </w:rPr>
            </w:pPr>
            <w:r>
              <w:rPr>
                <w:rFonts w:ascii="Times New Roman"/>
                <w:position w:val="-2"/>
                <w:sz w:val="14"/>
              </w:rPr>
              <w:pict>
                <v:group style="width:50.35pt;height:7.1pt;mso-position-horizontal-relative:char;mso-position-vertical-relative:line" coordorigin="0,0" coordsize="1007,142">
                  <v:shape style="position:absolute;left:0;top:0;width:272;height:141" type="#_x0000_t75" stroked="false">
                    <v:imagedata r:id="rId438" o:title=""/>
                  </v:shape>
                  <v:shape style="position:absolute;left:306;top:0;width:145;height:117" type="#_x0000_t75" stroked="false">
                    <v:imagedata r:id="rId439" o:title=""/>
                  </v:shape>
                  <v:shape style="position:absolute;left:488;top:0;width:519;height:141" type="#_x0000_t75" stroked="false">
                    <v:imagedata r:id="rId440" o:title=""/>
                  </v:shape>
                </v:group>
              </w:pict>
            </w:r>
            <w:r>
              <w:rPr>
                <w:rFonts w:ascii="Times New Roman"/>
                <w:position w:val="-2"/>
                <w:sz w:val="14"/>
              </w:rPr>
            </w:r>
          </w:p>
        </w:tc>
      </w:tr>
      <w:tr>
        <w:trPr>
          <w:trHeight w:val="270" w:hRule="exact"/>
        </w:trPr>
        <w:tc>
          <w:tcPr>
            <w:tcW w:w="593" w:type="dxa"/>
            <w:tcBorders>
              <w:left w:val="single" w:sz="8" w:space="0" w:color="231F20"/>
            </w:tcBorders>
          </w:tcPr>
          <w:p>
            <w:pPr>
              <w:pStyle w:val="TableParagraph"/>
              <w:spacing w:before="2"/>
              <w:ind w:left="0"/>
              <w:rPr>
                <w:rFonts w:ascii="Times New Roman"/>
                <w:sz w:val="7"/>
              </w:rPr>
            </w:pPr>
          </w:p>
          <w:p>
            <w:pPr>
              <w:pStyle w:val="TableParagraph"/>
              <w:spacing w:line="126" w:lineRule="exact"/>
              <w:ind w:left="1"/>
              <w:rPr>
                <w:rFonts w:ascii="Times New Roman"/>
                <w:sz w:val="12"/>
              </w:rPr>
            </w:pPr>
            <w:r>
              <w:rPr>
                <w:rFonts w:ascii="Times New Roman"/>
                <w:position w:val="-2"/>
                <w:sz w:val="12"/>
              </w:rPr>
              <w:pict>
                <v:group style="width:26.85pt;height:6.35pt;mso-position-horizontal-relative:char;mso-position-vertical-relative:line" coordorigin="0,0" coordsize="537,127">
                  <v:shape style="position:absolute;left:162;top:0;width:374;height:126" type="#_x0000_t75" stroked="false">
                    <v:imagedata r:id="rId441" o:title=""/>
                  </v:shape>
                  <v:line style="position:absolute" from="37,66" to="110,66" stroked="true" strokeweight="3.673pt" strokecolor="#009444"/>
                </v:group>
              </w:pict>
            </w:r>
            <w:r>
              <w:rPr>
                <w:rFonts w:ascii="Times New Roman"/>
                <w:position w:val="-2"/>
                <w:sz w:val="12"/>
              </w:rPr>
            </w:r>
          </w:p>
        </w:tc>
        <w:tc>
          <w:tcPr>
            <w:tcW w:w="5884" w:type="dxa"/>
            <w:tcBorders>
              <w:right w:val="single" w:sz="8" w:space="0" w:color="231F20"/>
            </w:tcBorders>
          </w:tcPr>
          <w:p>
            <w:pPr>
              <w:pStyle w:val="TableParagraph"/>
              <w:spacing w:before="2"/>
              <w:ind w:left="0"/>
              <w:rPr>
                <w:rFonts w:ascii="Times New Roman"/>
                <w:sz w:val="6"/>
              </w:rPr>
            </w:pPr>
          </w:p>
          <w:p>
            <w:pPr>
              <w:pStyle w:val="TableParagraph"/>
              <w:spacing w:line="142" w:lineRule="exact"/>
              <w:ind w:left="2435"/>
              <w:rPr>
                <w:rFonts w:ascii="Times New Roman"/>
                <w:sz w:val="14"/>
              </w:rPr>
            </w:pPr>
            <w:r>
              <w:rPr>
                <w:rFonts w:ascii="Times New Roman"/>
                <w:position w:val="-2"/>
                <w:sz w:val="14"/>
              </w:rPr>
              <w:drawing>
                <wp:inline distT="0" distB="0" distL="0" distR="0">
                  <wp:extent cx="644215" cy="90487"/>
                  <wp:effectExtent l="0" t="0" r="0" b="0"/>
                  <wp:docPr id="245" name="image388.png" descr=""/>
                  <wp:cNvGraphicFramePr>
                    <a:graphicFrameLocks noChangeAspect="1"/>
                  </wp:cNvGraphicFramePr>
                  <a:graphic>
                    <a:graphicData uri="http://schemas.openxmlformats.org/drawingml/2006/picture">
                      <pic:pic>
                        <pic:nvPicPr>
                          <pic:cNvPr id="246" name="image388.png"/>
                          <pic:cNvPicPr/>
                        </pic:nvPicPr>
                        <pic:blipFill>
                          <a:blip r:embed="rId442" cstate="print"/>
                          <a:stretch>
                            <a:fillRect/>
                          </a:stretch>
                        </pic:blipFill>
                        <pic:spPr>
                          <a:xfrm>
                            <a:off x="0" y="0"/>
                            <a:ext cx="644215" cy="90487"/>
                          </a:xfrm>
                          <a:prstGeom prst="rect">
                            <a:avLst/>
                          </a:prstGeom>
                        </pic:spPr>
                      </pic:pic>
                    </a:graphicData>
                  </a:graphic>
                </wp:inline>
              </w:drawing>
            </w:r>
            <w:r>
              <w:rPr>
                <w:rFonts w:ascii="Times New Roman"/>
                <w:position w:val="-2"/>
                <w:sz w:val="14"/>
              </w:rPr>
            </w:r>
          </w:p>
        </w:tc>
      </w:tr>
      <w:tr>
        <w:trPr>
          <w:trHeight w:val="264" w:hRule="exact"/>
        </w:trPr>
        <w:tc>
          <w:tcPr>
            <w:tcW w:w="593" w:type="dxa"/>
            <w:tcBorders>
              <w:left w:val="single" w:sz="8" w:space="0" w:color="231F20"/>
              <w:bottom w:val="single" w:sz="8" w:space="0" w:color="231F20"/>
            </w:tcBorders>
          </w:tcPr>
          <w:p>
            <w:pPr>
              <w:pStyle w:val="TableParagraph"/>
              <w:spacing w:before="1"/>
              <w:ind w:left="0"/>
              <w:rPr>
                <w:rFonts w:ascii="Times New Roman"/>
                <w:sz w:val="7"/>
              </w:rPr>
            </w:pPr>
          </w:p>
          <w:p>
            <w:pPr>
              <w:pStyle w:val="TableParagraph"/>
              <w:spacing w:line="126" w:lineRule="exact"/>
              <w:ind w:left="1"/>
              <w:rPr>
                <w:rFonts w:ascii="Times New Roman"/>
                <w:sz w:val="12"/>
              </w:rPr>
            </w:pPr>
            <w:r>
              <w:rPr>
                <w:rFonts w:ascii="Times New Roman"/>
                <w:position w:val="-2"/>
                <w:sz w:val="12"/>
              </w:rPr>
              <w:pict>
                <v:group style="width:26.75pt;height:6.35pt;mso-position-horizontal-relative:char;mso-position-vertical-relative:line" coordorigin="0,0" coordsize="535,127">
                  <v:shape style="position:absolute;left:162;top:0;width:373;height:127" type="#_x0000_t75" stroked="false">
                    <v:imagedata r:id="rId443" o:title=""/>
                  </v:shape>
                  <v:line style="position:absolute" from="37,66" to="110,66" stroked="true" strokeweight="3.673pt" strokecolor="#006738"/>
                </v:group>
              </w:pict>
            </w:r>
            <w:r>
              <w:rPr>
                <w:rFonts w:ascii="Times New Roman"/>
                <w:position w:val="-2"/>
                <w:sz w:val="12"/>
              </w:rPr>
            </w:r>
          </w:p>
        </w:tc>
        <w:tc>
          <w:tcPr>
            <w:tcW w:w="5884" w:type="dxa"/>
            <w:tcBorders>
              <w:bottom w:val="single" w:sz="8" w:space="0" w:color="231F20"/>
              <w:right w:val="single" w:sz="8" w:space="0" w:color="231F20"/>
            </w:tcBorders>
          </w:tcPr>
          <w:p>
            <w:pPr>
              <w:pStyle w:val="TableParagraph"/>
              <w:spacing w:before="1"/>
              <w:ind w:left="0"/>
              <w:rPr>
                <w:rFonts w:ascii="Times New Roman"/>
                <w:sz w:val="6"/>
              </w:rPr>
            </w:pPr>
          </w:p>
          <w:p>
            <w:pPr>
              <w:pStyle w:val="TableParagraph"/>
              <w:spacing w:line="142" w:lineRule="exact"/>
              <w:ind w:left="2435"/>
              <w:rPr>
                <w:rFonts w:ascii="Times New Roman"/>
                <w:sz w:val="14"/>
              </w:rPr>
            </w:pPr>
            <w:r>
              <w:rPr>
                <w:rFonts w:ascii="Times New Roman"/>
                <w:position w:val="-2"/>
                <w:sz w:val="14"/>
              </w:rPr>
              <w:drawing>
                <wp:inline distT="0" distB="0" distL="0" distR="0">
                  <wp:extent cx="629148" cy="90487"/>
                  <wp:effectExtent l="0" t="0" r="0" b="0"/>
                  <wp:docPr id="247" name="image390.png" descr=""/>
                  <wp:cNvGraphicFramePr>
                    <a:graphicFrameLocks noChangeAspect="1"/>
                  </wp:cNvGraphicFramePr>
                  <a:graphic>
                    <a:graphicData uri="http://schemas.openxmlformats.org/drawingml/2006/picture">
                      <pic:pic>
                        <pic:nvPicPr>
                          <pic:cNvPr id="248" name="image390.png"/>
                          <pic:cNvPicPr/>
                        </pic:nvPicPr>
                        <pic:blipFill>
                          <a:blip r:embed="rId444" cstate="print"/>
                          <a:stretch>
                            <a:fillRect/>
                          </a:stretch>
                        </pic:blipFill>
                        <pic:spPr>
                          <a:xfrm>
                            <a:off x="0" y="0"/>
                            <a:ext cx="629148" cy="90487"/>
                          </a:xfrm>
                          <a:prstGeom prst="rect">
                            <a:avLst/>
                          </a:prstGeom>
                        </pic:spPr>
                      </pic:pic>
                    </a:graphicData>
                  </a:graphic>
                </wp:inline>
              </w:drawing>
            </w:r>
            <w:r>
              <w:rPr>
                <w:rFonts w:ascii="Times New Roman"/>
                <w:position w:val="-2"/>
                <w:sz w:val="14"/>
              </w:rPr>
            </w:r>
          </w:p>
        </w:tc>
      </w:tr>
    </w:tbl>
    <w:p>
      <w:pPr>
        <w:pStyle w:val="BodyText"/>
        <w:spacing w:before="8"/>
        <w:rPr>
          <w:sz w:val="21"/>
        </w:rPr>
      </w:pPr>
    </w:p>
    <w:p>
      <w:pPr>
        <w:spacing w:before="0"/>
        <w:ind w:left="2518" w:right="-2" w:firstLine="0"/>
        <w:jc w:val="left"/>
        <w:rPr>
          <w:rFonts w:ascii="Calibri" w:hAnsi="Calibri"/>
          <w:sz w:val="16"/>
        </w:rPr>
      </w:pPr>
      <w:r>
        <w:rPr/>
        <w:drawing>
          <wp:anchor distT="0" distB="0" distL="0" distR="0" allowOverlap="1" layoutInCell="1" locked="0" behindDoc="1" simplePos="0" relativeHeight="267842543">
            <wp:simplePos x="0" y="0"/>
            <wp:positionH relativeFrom="page">
              <wp:posOffset>2275370</wp:posOffset>
            </wp:positionH>
            <wp:positionV relativeFrom="paragraph">
              <wp:posOffset>-1047781</wp:posOffset>
            </wp:positionV>
            <wp:extent cx="176376" cy="68580"/>
            <wp:effectExtent l="0" t="0" r="0" b="0"/>
            <wp:wrapNone/>
            <wp:docPr id="249" name="image391.png" descr=""/>
            <wp:cNvGraphicFramePr>
              <a:graphicFrameLocks noChangeAspect="1"/>
            </wp:cNvGraphicFramePr>
            <a:graphic>
              <a:graphicData uri="http://schemas.openxmlformats.org/drawingml/2006/picture">
                <pic:pic>
                  <pic:nvPicPr>
                    <pic:cNvPr id="250" name="image391.png"/>
                    <pic:cNvPicPr/>
                  </pic:nvPicPr>
                  <pic:blipFill>
                    <a:blip r:embed="rId445" cstate="print"/>
                    <a:stretch>
                      <a:fillRect/>
                    </a:stretch>
                  </pic:blipFill>
                  <pic:spPr>
                    <a:xfrm>
                      <a:off x="0" y="0"/>
                      <a:ext cx="176376" cy="68580"/>
                    </a:xfrm>
                    <a:prstGeom prst="rect">
                      <a:avLst/>
                    </a:prstGeom>
                  </pic:spPr>
                </pic:pic>
              </a:graphicData>
            </a:graphic>
          </wp:anchor>
        </w:drawing>
      </w:r>
      <w:r>
        <w:rPr>
          <w:rFonts w:ascii="Calibri" w:hAnsi="Calibri"/>
          <w:color w:val="231F20"/>
          <w:sz w:val="16"/>
        </w:rPr>
        <w:t>FUENTE: Elaboración propia con información de Segundo Informe de Gobierno (2008)</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10"/>
        <w:jc w:val="both"/>
      </w:pP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2006</w:t>
      </w:r>
      <w:r>
        <w:rPr>
          <w:color w:val="231F20"/>
          <w:spacing w:val="-16"/>
          <w:w w:val="105"/>
        </w:rPr>
        <w:t> </w:t>
      </w:r>
      <w:r>
        <w:rPr>
          <w:color w:val="231F20"/>
          <w:w w:val="105"/>
        </w:rPr>
        <w:t>se</w:t>
      </w:r>
      <w:r>
        <w:rPr>
          <w:color w:val="231F20"/>
          <w:spacing w:val="-16"/>
          <w:w w:val="105"/>
        </w:rPr>
        <w:t> </w:t>
      </w:r>
      <w:r>
        <w:rPr>
          <w:color w:val="231F20"/>
          <w:w w:val="105"/>
        </w:rPr>
        <w:t>recaudaron</w:t>
      </w:r>
      <w:r>
        <w:rPr>
          <w:color w:val="231F20"/>
          <w:spacing w:val="-16"/>
          <w:w w:val="105"/>
        </w:rPr>
        <w:t> </w:t>
      </w:r>
      <w:r>
        <w:rPr>
          <w:color w:val="231F20"/>
          <w:spacing w:val="-3"/>
          <w:w w:val="105"/>
        </w:rPr>
        <w:t>10’161,829.00.</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spacing w:val="2"/>
          <w:w w:val="105"/>
        </w:rPr>
        <w:t>2007</w:t>
      </w:r>
      <w:r>
        <w:rPr>
          <w:color w:val="231F20"/>
          <w:spacing w:val="-16"/>
          <w:w w:val="105"/>
        </w:rPr>
        <w:t> </w:t>
      </w:r>
      <w:r>
        <w:rPr>
          <w:color w:val="231F20"/>
          <w:w w:val="105"/>
        </w:rPr>
        <w:t>aumentó</w:t>
      </w:r>
      <w:r>
        <w:rPr>
          <w:color w:val="231F20"/>
          <w:spacing w:val="-16"/>
          <w:w w:val="105"/>
        </w:rPr>
        <w:t> </w:t>
      </w:r>
      <w:r>
        <w:rPr>
          <w:color w:val="231F20"/>
          <w:w w:val="105"/>
        </w:rPr>
        <w:t>a</w:t>
      </w:r>
      <w:r>
        <w:rPr>
          <w:color w:val="231F20"/>
          <w:spacing w:val="-16"/>
          <w:w w:val="105"/>
        </w:rPr>
        <w:t> </w:t>
      </w:r>
      <w:r>
        <w:rPr>
          <w:color w:val="231F20"/>
          <w:w w:val="105"/>
        </w:rPr>
        <w:t>13’398,253.58</w:t>
      </w:r>
      <w:r>
        <w:rPr>
          <w:color w:val="231F20"/>
          <w:spacing w:val="-16"/>
          <w:w w:val="105"/>
        </w:rPr>
        <w:t> </w:t>
      </w:r>
      <w:r>
        <w:rPr>
          <w:color w:val="231F20"/>
          <w:w w:val="105"/>
        </w:rPr>
        <w:t>y</w:t>
      </w:r>
      <w:r>
        <w:rPr>
          <w:color w:val="231F20"/>
          <w:spacing w:val="-16"/>
          <w:w w:val="105"/>
        </w:rPr>
        <w:t> </w:t>
      </w:r>
      <w:r>
        <w:rPr>
          <w:color w:val="231F20"/>
          <w:w w:val="105"/>
        </w:rPr>
        <w:t>hasta agosto</w:t>
      </w:r>
      <w:r>
        <w:rPr>
          <w:color w:val="231F20"/>
          <w:spacing w:val="-27"/>
          <w:w w:val="105"/>
        </w:rPr>
        <w:t> </w:t>
      </w:r>
      <w:r>
        <w:rPr>
          <w:color w:val="231F20"/>
          <w:w w:val="105"/>
        </w:rPr>
        <w:t>de</w:t>
      </w:r>
      <w:r>
        <w:rPr>
          <w:color w:val="231F20"/>
          <w:spacing w:val="-27"/>
          <w:w w:val="105"/>
        </w:rPr>
        <w:t> </w:t>
      </w:r>
      <w:r>
        <w:rPr>
          <w:color w:val="231F20"/>
          <w:spacing w:val="3"/>
          <w:w w:val="105"/>
        </w:rPr>
        <w:t>2008</w:t>
      </w:r>
      <w:r>
        <w:rPr>
          <w:color w:val="231F20"/>
          <w:spacing w:val="-27"/>
          <w:w w:val="105"/>
        </w:rPr>
        <w:t> </w:t>
      </w:r>
      <w:r>
        <w:rPr>
          <w:color w:val="231F20"/>
          <w:w w:val="105"/>
        </w:rPr>
        <w:t>se</w:t>
      </w:r>
      <w:r>
        <w:rPr>
          <w:color w:val="231F20"/>
          <w:spacing w:val="-27"/>
          <w:w w:val="105"/>
        </w:rPr>
        <w:t> </w:t>
      </w:r>
      <w:r>
        <w:rPr>
          <w:color w:val="231F20"/>
          <w:w w:val="105"/>
        </w:rPr>
        <w:t>recaudaron</w:t>
      </w:r>
      <w:r>
        <w:rPr>
          <w:color w:val="231F20"/>
          <w:spacing w:val="-27"/>
          <w:w w:val="105"/>
        </w:rPr>
        <w:t> </w:t>
      </w:r>
      <w:r>
        <w:rPr>
          <w:color w:val="231F20"/>
          <w:w w:val="105"/>
        </w:rPr>
        <w:t>16’404,608.51</w:t>
      </w:r>
      <w:r>
        <w:rPr>
          <w:color w:val="231F20"/>
          <w:spacing w:val="-27"/>
          <w:w w:val="105"/>
        </w:rPr>
        <w:t> </w:t>
      </w:r>
      <w:r>
        <w:rPr>
          <w:color w:val="231F20"/>
          <w:w w:val="105"/>
        </w:rPr>
        <w:t>pesos</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municipio.</w:t>
      </w:r>
    </w:p>
    <w:p>
      <w:pPr>
        <w:pStyle w:val="BodyText"/>
        <w:spacing w:before="1"/>
        <w:rPr>
          <w:sz w:val="26"/>
        </w:rPr>
      </w:pPr>
    </w:p>
    <w:p>
      <w:pPr>
        <w:pStyle w:val="BodyText"/>
        <w:spacing w:line="285" w:lineRule="auto"/>
        <w:ind w:left="110" w:right="108"/>
        <w:jc w:val="both"/>
      </w:pPr>
      <w:r>
        <w:rPr/>
        <w:drawing>
          <wp:anchor distT="0" distB="0" distL="0" distR="0" allowOverlap="1" layoutInCell="1" locked="0" behindDoc="1" simplePos="0" relativeHeight="267842903">
            <wp:simplePos x="0" y="0"/>
            <wp:positionH relativeFrom="page">
              <wp:posOffset>1328322</wp:posOffset>
            </wp:positionH>
            <wp:positionV relativeFrom="paragraph">
              <wp:posOffset>2634090</wp:posOffset>
            </wp:positionV>
            <wp:extent cx="95366" cy="286607"/>
            <wp:effectExtent l="0" t="0" r="0" b="0"/>
            <wp:wrapNone/>
            <wp:docPr id="251" name="image392.png" descr=""/>
            <wp:cNvGraphicFramePr>
              <a:graphicFrameLocks noChangeAspect="1"/>
            </wp:cNvGraphicFramePr>
            <a:graphic>
              <a:graphicData uri="http://schemas.openxmlformats.org/drawingml/2006/picture">
                <pic:pic>
                  <pic:nvPicPr>
                    <pic:cNvPr id="252" name="image392.png"/>
                    <pic:cNvPicPr/>
                  </pic:nvPicPr>
                  <pic:blipFill>
                    <a:blip r:embed="rId446" cstate="print"/>
                    <a:stretch>
                      <a:fillRect/>
                    </a:stretch>
                  </pic:blipFill>
                  <pic:spPr>
                    <a:xfrm>
                      <a:off x="0" y="0"/>
                      <a:ext cx="95366" cy="286607"/>
                    </a:xfrm>
                    <a:prstGeom prst="rect">
                      <a:avLst/>
                    </a:prstGeom>
                  </pic:spPr>
                </pic:pic>
              </a:graphicData>
            </a:graphic>
          </wp:anchor>
        </w:drawing>
      </w:r>
      <w:r>
        <w:rPr>
          <w:color w:val="231F20"/>
          <w:w w:val="105"/>
        </w:rPr>
        <w:t>El</w:t>
      </w:r>
      <w:r>
        <w:rPr>
          <w:color w:val="231F20"/>
          <w:spacing w:val="-20"/>
          <w:w w:val="105"/>
        </w:rPr>
        <w:t> </w:t>
      </w:r>
      <w:r>
        <w:rPr>
          <w:color w:val="231F20"/>
          <w:w w:val="105"/>
        </w:rPr>
        <w:t>ingreso</w:t>
      </w:r>
      <w:r>
        <w:rPr>
          <w:color w:val="231F20"/>
          <w:spacing w:val="-20"/>
          <w:w w:val="105"/>
        </w:rPr>
        <w:t> </w:t>
      </w:r>
      <w:r>
        <w:rPr>
          <w:color w:val="231F20"/>
          <w:w w:val="105"/>
        </w:rPr>
        <w:t>estatal</w:t>
      </w:r>
      <w:r>
        <w:rPr>
          <w:color w:val="231F20"/>
          <w:spacing w:val="-20"/>
          <w:w w:val="105"/>
        </w:rPr>
        <w:t> </w:t>
      </w:r>
      <w:r>
        <w:rPr>
          <w:color w:val="231F20"/>
          <w:w w:val="105"/>
        </w:rPr>
        <w:t>se</w:t>
      </w:r>
      <w:r>
        <w:rPr>
          <w:color w:val="231F20"/>
          <w:spacing w:val="-20"/>
          <w:w w:val="105"/>
        </w:rPr>
        <w:t> </w:t>
      </w:r>
      <w:r>
        <w:rPr>
          <w:color w:val="231F20"/>
          <w:w w:val="105"/>
        </w:rPr>
        <w:t>puede</w:t>
      </w:r>
      <w:r>
        <w:rPr>
          <w:color w:val="231F20"/>
          <w:spacing w:val="-20"/>
          <w:w w:val="105"/>
        </w:rPr>
        <w:t> </w:t>
      </w:r>
      <w:r>
        <w:rPr>
          <w:color w:val="231F20"/>
          <w:w w:val="105"/>
        </w:rPr>
        <w:t>apreciar</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gráfica</w:t>
      </w:r>
      <w:r>
        <w:rPr>
          <w:color w:val="231F20"/>
          <w:spacing w:val="-20"/>
          <w:w w:val="105"/>
        </w:rPr>
        <w:t> </w:t>
      </w:r>
      <w:r>
        <w:rPr>
          <w:color w:val="231F20"/>
          <w:w w:val="105"/>
        </w:rPr>
        <w:t>5.</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total</w:t>
      </w:r>
      <w:r>
        <w:rPr>
          <w:color w:val="231F20"/>
          <w:spacing w:val="-20"/>
          <w:w w:val="105"/>
        </w:rPr>
        <w:t> </w:t>
      </w:r>
      <w:r>
        <w:rPr>
          <w:color w:val="231F20"/>
          <w:w w:val="105"/>
        </w:rPr>
        <w:t>de</w:t>
      </w:r>
      <w:r>
        <w:rPr>
          <w:color w:val="231F20"/>
          <w:spacing w:val="-20"/>
          <w:w w:val="105"/>
        </w:rPr>
        <w:t> </w:t>
      </w:r>
      <w:r>
        <w:rPr>
          <w:color w:val="231F20"/>
          <w:w w:val="105"/>
        </w:rPr>
        <w:t>recaudación</w:t>
      </w:r>
      <w:r>
        <w:rPr>
          <w:color w:val="231F20"/>
          <w:spacing w:val="-20"/>
          <w:w w:val="105"/>
        </w:rPr>
        <w:t> </w:t>
      </w:r>
      <w:r>
        <w:rPr>
          <w:color w:val="231F20"/>
          <w:w w:val="105"/>
        </w:rPr>
        <w:t>estatal</w:t>
      </w:r>
      <w:r>
        <w:rPr>
          <w:color w:val="231F20"/>
          <w:spacing w:val="-20"/>
          <w:w w:val="105"/>
        </w:rPr>
        <w:t> </w:t>
      </w:r>
      <w:r>
        <w:rPr>
          <w:color w:val="231F20"/>
          <w:w w:val="105"/>
        </w:rPr>
        <w:t>par- ticipable se contemplan los rubros de </w:t>
      </w:r>
      <w:r>
        <w:rPr>
          <w:color w:val="231F20"/>
          <w:spacing w:val="-3"/>
          <w:w w:val="105"/>
        </w:rPr>
        <w:t>Fondo </w:t>
      </w:r>
      <w:r>
        <w:rPr>
          <w:color w:val="231F20"/>
          <w:w w:val="105"/>
        </w:rPr>
        <w:t>General de Participaciones </w:t>
      </w:r>
      <w:r>
        <w:rPr>
          <w:color w:val="231F20"/>
          <w:spacing w:val="-4"/>
          <w:w w:val="105"/>
        </w:rPr>
        <w:t>(FGP), </w:t>
      </w:r>
      <w:r>
        <w:rPr>
          <w:color w:val="231F20"/>
          <w:spacing w:val="-3"/>
          <w:w w:val="105"/>
        </w:rPr>
        <w:t>Fondo </w:t>
      </w:r>
      <w:r>
        <w:rPr>
          <w:color w:val="231F20"/>
          <w:w w:val="105"/>
        </w:rPr>
        <w:t>de</w:t>
      </w:r>
      <w:r>
        <w:rPr>
          <w:color w:val="231F20"/>
          <w:spacing w:val="-17"/>
          <w:w w:val="105"/>
        </w:rPr>
        <w:t> </w:t>
      </w:r>
      <w:r>
        <w:rPr>
          <w:color w:val="231F20"/>
          <w:spacing w:val="-3"/>
          <w:w w:val="105"/>
        </w:rPr>
        <w:t>Fomento</w:t>
      </w:r>
      <w:r>
        <w:rPr>
          <w:color w:val="231F20"/>
          <w:spacing w:val="-17"/>
          <w:w w:val="105"/>
        </w:rPr>
        <w:t> </w:t>
      </w:r>
      <w:r>
        <w:rPr>
          <w:color w:val="231F20"/>
          <w:w w:val="105"/>
        </w:rPr>
        <w:t>Municipal</w:t>
      </w:r>
      <w:r>
        <w:rPr>
          <w:color w:val="231F20"/>
          <w:spacing w:val="-17"/>
          <w:w w:val="105"/>
        </w:rPr>
        <w:t> </w:t>
      </w:r>
      <w:r>
        <w:rPr>
          <w:color w:val="231F20"/>
          <w:w w:val="105"/>
        </w:rPr>
        <w:t>(FFM),</w:t>
      </w:r>
      <w:r>
        <w:rPr>
          <w:color w:val="231F20"/>
          <w:spacing w:val="-17"/>
          <w:w w:val="105"/>
        </w:rPr>
        <w:t> </w:t>
      </w:r>
      <w:r>
        <w:rPr>
          <w:color w:val="231F20"/>
          <w:w w:val="105"/>
        </w:rPr>
        <w:t>Impuesto</w:t>
      </w:r>
      <w:r>
        <w:rPr>
          <w:color w:val="231F20"/>
          <w:spacing w:val="-17"/>
          <w:w w:val="105"/>
        </w:rPr>
        <w:t> </w:t>
      </w:r>
      <w:r>
        <w:rPr>
          <w:color w:val="231F20"/>
          <w:w w:val="105"/>
        </w:rPr>
        <w:t>Especial</w:t>
      </w:r>
      <w:r>
        <w:rPr>
          <w:color w:val="231F20"/>
          <w:spacing w:val="-17"/>
          <w:w w:val="105"/>
        </w:rPr>
        <w:t> </w:t>
      </w:r>
      <w:r>
        <w:rPr>
          <w:color w:val="231F20"/>
          <w:w w:val="105"/>
        </w:rPr>
        <w:t>sobre</w:t>
      </w:r>
      <w:r>
        <w:rPr>
          <w:color w:val="231F20"/>
          <w:spacing w:val="-17"/>
          <w:w w:val="105"/>
        </w:rPr>
        <w:t> </w:t>
      </w:r>
      <w:r>
        <w:rPr>
          <w:color w:val="231F20"/>
          <w:w w:val="105"/>
        </w:rPr>
        <w:t>Producción</w:t>
      </w:r>
      <w:r>
        <w:rPr>
          <w:color w:val="231F20"/>
          <w:spacing w:val="-17"/>
          <w:w w:val="105"/>
        </w:rPr>
        <w:t> </w:t>
      </w:r>
      <w:r>
        <w:rPr>
          <w:color w:val="231F20"/>
          <w:w w:val="105"/>
        </w:rPr>
        <w:t>y</w:t>
      </w:r>
      <w:r>
        <w:rPr>
          <w:color w:val="231F20"/>
          <w:spacing w:val="-17"/>
          <w:w w:val="105"/>
        </w:rPr>
        <w:t> </w:t>
      </w:r>
      <w:r>
        <w:rPr>
          <w:color w:val="231F20"/>
          <w:w w:val="105"/>
        </w:rPr>
        <w:t>Servicios</w:t>
      </w:r>
      <w:r>
        <w:rPr>
          <w:color w:val="231F20"/>
          <w:spacing w:val="-17"/>
          <w:w w:val="105"/>
        </w:rPr>
        <w:t> </w:t>
      </w:r>
      <w:r>
        <w:rPr>
          <w:color w:val="231F20"/>
          <w:w w:val="105"/>
        </w:rPr>
        <w:t>(IEPS), Impuesto sobre Automóviles Nuevos y </w:t>
      </w:r>
      <w:r>
        <w:rPr>
          <w:color w:val="231F20"/>
          <w:spacing w:val="-3"/>
          <w:w w:val="105"/>
        </w:rPr>
        <w:t>Fondo </w:t>
      </w:r>
      <w:r>
        <w:rPr>
          <w:color w:val="231F20"/>
          <w:w w:val="105"/>
        </w:rPr>
        <w:t>de Compensación del ISAN, Impuesto Federal sobre </w:t>
      </w:r>
      <w:r>
        <w:rPr>
          <w:color w:val="231F20"/>
          <w:spacing w:val="-4"/>
          <w:w w:val="105"/>
        </w:rPr>
        <w:t>Tenencia </w:t>
      </w:r>
      <w:r>
        <w:rPr>
          <w:color w:val="231F20"/>
          <w:w w:val="105"/>
        </w:rPr>
        <w:t>o Uso de Vehículos, Impuesto Local sobre </w:t>
      </w:r>
      <w:r>
        <w:rPr>
          <w:color w:val="231F20"/>
          <w:spacing w:val="-4"/>
          <w:w w:val="105"/>
        </w:rPr>
        <w:t>Tenencia </w:t>
      </w:r>
      <w:r>
        <w:rPr>
          <w:color w:val="231F20"/>
          <w:w w:val="105"/>
        </w:rPr>
        <w:t>o Uso de Vehículos</w:t>
      </w:r>
      <w:r>
        <w:rPr>
          <w:color w:val="231F20"/>
          <w:spacing w:val="-26"/>
          <w:w w:val="105"/>
        </w:rPr>
        <w:t> </w:t>
      </w:r>
      <w:r>
        <w:rPr>
          <w:color w:val="231F20"/>
          <w:w w:val="105"/>
        </w:rPr>
        <w:t>Automotores,</w:t>
      </w:r>
      <w:r>
        <w:rPr>
          <w:color w:val="231F20"/>
          <w:spacing w:val="-26"/>
          <w:w w:val="105"/>
        </w:rPr>
        <w:t> </w:t>
      </w:r>
      <w:r>
        <w:rPr>
          <w:color w:val="231F20"/>
          <w:w w:val="105"/>
        </w:rPr>
        <w:t>Impuesto</w:t>
      </w:r>
      <w:r>
        <w:rPr>
          <w:color w:val="231F20"/>
          <w:spacing w:val="-26"/>
          <w:w w:val="105"/>
        </w:rPr>
        <w:t> </w:t>
      </w:r>
      <w:r>
        <w:rPr>
          <w:color w:val="231F20"/>
          <w:w w:val="105"/>
        </w:rPr>
        <w:t>sobre</w:t>
      </w:r>
      <w:r>
        <w:rPr>
          <w:color w:val="231F20"/>
          <w:spacing w:val="-26"/>
          <w:w w:val="105"/>
        </w:rPr>
        <w:t> </w:t>
      </w:r>
      <w:r>
        <w:rPr>
          <w:color w:val="231F20"/>
          <w:w w:val="105"/>
        </w:rPr>
        <w:t>Adquisición</w:t>
      </w:r>
      <w:r>
        <w:rPr>
          <w:color w:val="231F20"/>
          <w:spacing w:val="-26"/>
          <w:w w:val="105"/>
        </w:rPr>
        <w:t> </w:t>
      </w:r>
      <w:r>
        <w:rPr>
          <w:color w:val="231F20"/>
          <w:w w:val="105"/>
        </w:rPr>
        <w:t>de</w:t>
      </w:r>
      <w:r>
        <w:rPr>
          <w:color w:val="231F20"/>
          <w:spacing w:val="-26"/>
          <w:w w:val="105"/>
        </w:rPr>
        <w:t> </w:t>
      </w:r>
      <w:r>
        <w:rPr>
          <w:color w:val="231F20"/>
          <w:w w:val="105"/>
        </w:rPr>
        <w:t>Vehículos</w:t>
      </w:r>
      <w:r>
        <w:rPr>
          <w:color w:val="231F20"/>
          <w:spacing w:val="-26"/>
          <w:w w:val="105"/>
        </w:rPr>
        <w:t> </w:t>
      </w:r>
      <w:r>
        <w:rPr>
          <w:color w:val="231F20"/>
          <w:w w:val="105"/>
        </w:rPr>
        <w:t>Usados</w:t>
      </w:r>
      <w:r>
        <w:rPr>
          <w:color w:val="231F20"/>
          <w:spacing w:val="-26"/>
          <w:w w:val="105"/>
        </w:rPr>
        <w:t> </w:t>
      </w:r>
      <w:r>
        <w:rPr>
          <w:color w:val="231F20"/>
          <w:w w:val="105"/>
        </w:rPr>
        <w:t>y</w:t>
      </w:r>
      <w:r>
        <w:rPr>
          <w:color w:val="231F20"/>
          <w:spacing w:val="-26"/>
          <w:w w:val="105"/>
        </w:rPr>
        <w:t> </w:t>
      </w:r>
      <w:r>
        <w:rPr>
          <w:color w:val="231F20"/>
          <w:w w:val="105"/>
        </w:rPr>
        <w:t>finalmente el</w:t>
      </w:r>
      <w:r>
        <w:rPr>
          <w:color w:val="231F20"/>
          <w:spacing w:val="-23"/>
          <w:w w:val="105"/>
        </w:rPr>
        <w:t> </w:t>
      </w:r>
      <w:r>
        <w:rPr>
          <w:color w:val="231F20"/>
          <w:w w:val="105"/>
        </w:rPr>
        <w:t>Impuesto</w:t>
      </w:r>
      <w:r>
        <w:rPr>
          <w:color w:val="231F20"/>
          <w:spacing w:val="-23"/>
          <w:w w:val="105"/>
        </w:rPr>
        <w:t> </w:t>
      </w:r>
      <w:r>
        <w:rPr>
          <w:color w:val="231F20"/>
          <w:w w:val="105"/>
        </w:rPr>
        <w:t>sobre</w:t>
      </w:r>
      <w:r>
        <w:rPr>
          <w:color w:val="231F20"/>
          <w:spacing w:val="-23"/>
          <w:w w:val="105"/>
        </w:rPr>
        <w:t> </w:t>
      </w:r>
      <w:r>
        <w:rPr>
          <w:color w:val="231F20"/>
          <w:w w:val="105"/>
        </w:rPr>
        <w:t>Loterías,</w:t>
      </w:r>
      <w:r>
        <w:rPr>
          <w:color w:val="231F20"/>
          <w:spacing w:val="-23"/>
          <w:w w:val="105"/>
        </w:rPr>
        <w:t> </w:t>
      </w:r>
      <w:r>
        <w:rPr>
          <w:color w:val="231F20"/>
          <w:spacing w:val="2"/>
          <w:w w:val="105"/>
        </w:rPr>
        <w:t>Rifas</w:t>
      </w:r>
      <w:r>
        <w:rPr>
          <w:color w:val="231F20"/>
          <w:spacing w:val="-23"/>
          <w:w w:val="105"/>
        </w:rPr>
        <w:t> </w:t>
      </w:r>
      <w:r>
        <w:rPr>
          <w:color w:val="231F20"/>
          <w:w w:val="105"/>
        </w:rPr>
        <w:t>y</w:t>
      </w:r>
      <w:r>
        <w:rPr>
          <w:color w:val="231F20"/>
          <w:spacing w:val="-23"/>
          <w:w w:val="105"/>
        </w:rPr>
        <w:t> </w:t>
      </w:r>
      <w:r>
        <w:rPr>
          <w:color w:val="231F20"/>
          <w:w w:val="105"/>
        </w:rPr>
        <w:t>Sorteos.</w:t>
      </w:r>
    </w:p>
    <w:p>
      <w:pPr>
        <w:pStyle w:val="BodyText"/>
        <w:rPr>
          <w:sz w:val="20"/>
        </w:rPr>
      </w:pPr>
    </w:p>
    <w:p>
      <w:pPr>
        <w:pStyle w:val="BodyText"/>
        <w:rPr>
          <w:sz w:val="11"/>
        </w:rPr>
      </w:pPr>
      <w:r>
        <w:rPr/>
        <w:drawing>
          <wp:anchor distT="0" distB="0" distL="0" distR="0" allowOverlap="1" layoutInCell="1" locked="0" behindDoc="0" simplePos="0" relativeHeight="9136">
            <wp:simplePos x="0" y="0"/>
            <wp:positionH relativeFrom="page">
              <wp:posOffset>2115220</wp:posOffset>
            </wp:positionH>
            <wp:positionV relativeFrom="paragraph">
              <wp:posOffset>111528</wp:posOffset>
            </wp:positionV>
            <wp:extent cx="472352" cy="90487"/>
            <wp:effectExtent l="0" t="0" r="0" b="0"/>
            <wp:wrapTopAndBottom/>
            <wp:docPr id="253" name="image393.png" descr=""/>
            <wp:cNvGraphicFramePr>
              <a:graphicFrameLocks noChangeAspect="1"/>
            </wp:cNvGraphicFramePr>
            <a:graphic>
              <a:graphicData uri="http://schemas.openxmlformats.org/drawingml/2006/picture">
                <pic:pic>
                  <pic:nvPicPr>
                    <pic:cNvPr id="254" name="image393.png"/>
                    <pic:cNvPicPr/>
                  </pic:nvPicPr>
                  <pic:blipFill>
                    <a:blip r:embed="rId447" cstate="print"/>
                    <a:stretch>
                      <a:fillRect/>
                    </a:stretch>
                  </pic:blipFill>
                  <pic:spPr>
                    <a:xfrm>
                      <a:off x="0" y="0"/>
                      <a:ext cx="472352" cy="90487"/>
                    </a:xfrm>
                    <a:prstGeom prst="rect">
                      <a:avLst/>
                    </a:prstGeom>
                  </pic:spPr>
                </pic:pic>
              </a:graphicData>
            </a:graphic>
          </wp:anchor>
        </w:drawing>
      </w:r>
      <w:r>
        <w:rPr/>
        <w:drawing>
          <wp:anchor distT="0" distB="0" distL="0" distR="0" allowOverlap="1" layoutInCell="1" locked="0" behindDoc="0" simplePos="0" relativeHeight="9160">
            <wp:simplePos x="0" y="0"/>
            <wp:positionH relativeFrom="page">
              <wp:posOffset>2634524</wp:posOffset>
            </wp:positionH>
            <wp:positionV relativeFrom="paragraph">
              <wp:posOffset>117574</wp:posOffset>
            </wp:positionV>
            <wp:extent cx="111778" cy="84200"/>
            <wp:effectExtent l="0" t="0" r="0" b="0"/>
            <wp:wrapTopAndBottom/>
            <wp:docPr id="255" name="image394.png" descr=""/>
            <wp:cNvGraphicFramePr>
              <a:graphicFrameLocks noChangeAspect="1"/>
            </wp:cNvGraphicFramePr>
            <a:graphic>
              <a:graphicData uri="http://schemas.openxmlformats.org/drawingml/2006/picture">
                <pic:pic>
                  <pic:nvPicPr>
                    <pic:cNvPr id="256" name="image394.png"/>
                    <pic:cNvPicPr/>
                  </pic:nvPicPr>
                  <pic:blipFill>
                    <a:blip r:embed="rId448" cstate="print"/>
                    <a:stretch>
                      <a:fillRect/>
                    </a:stretch>
                  </pic:blipFill>
                  <pic:spPr>
                    <a:xfrm>
                      <a:off x="0" y="0"/>
                      <a:ext cx="111778" cy="84200"/>
                    </a:xfrm>
                    <a:prstGeom prst="rect">
                      <a:avLst/>
                    </a:prstGeom>
                  </pic:spPr>
                </pic:pic>
              </a:graphicData>
            </a:graphic>
          </wp:anchor>
        </w:drawing>
      </w:r>
      <w:r>
        <w:rPr/>
        <w:pict>
          <v:group style="position:absolute;margin-left:220.147003pt;margin-top:9.021868pt;width:44.8pt;height:8.75pt;mso-position-horizontal-relative:page;mso-position-vertical-relative:paragraph;z-index:9184;mso-wrap-distance-left:0;mso-wrap-distance-right:0" coordorigin="4403,180" coordsize="896,175">
            <v:shape style="position:absolute;left:4403;top:180;width:32;height:135" coordorigin="4403,180" coordsize="32,135" path="m4434,180l4403,180,4403,204,4434,204,4434,180xm4434,216l4403,216,4403,315,4434,315,4434,216xe" filled="true" fillcolor="#231f20" stroked="false">
              <v:path arrowok="t"/>
              <v:fill type="solid"/>
            </v:shape>
            <v:shape style="position:absolute;left:4464;top:214;width:106;height:102" coordorigin="4464,214" coordsize="106,102" path="m4494,216l4464,216,4464,315,4495,315,4495,255,4496,250,4498,246,4502,239,4509,235,4570,235,4568,231,4494,231,4494,216xm4570,235l4527,235,4533,238,4538,246,4538,250,4538,315,4570,315,4570,236,4570,235xm4541,214l4519,214,4511,216,4501,222,4498,226,4494,231,4568,231,4566,227,4551,216,4541,214xe" filled="true" fillcolor="#231f20" stroked="false">
              <v:path arrowok="t"/>
              <v:fill type="solid"/>
            </v:shape>
            <v:shape style="position:absolute;left:4591;top:214;width:114;height:142" coordorigin="4591,214" coordsize="114,142" path="m4627,326l4594,326,4595,335,4600,343,4619,353,4631,355,4646,355,4664,354,4678,351,4689,346,4697,339,4699,336,4640,336,4635,335,4632,332,4630,331,4628,329,4627,326xm4704,300l4674,300,4674,316,4673,322,4670,326,4667,333,4659,336,4699,336,4702,332,4704,323,4704,300xm4647,214l4625,214,4613,219,4596,239,4591,251,4591,281,4596,293,4614,311,4626,315,4651,315,4659,313,4668,307,4671,304,4674,300,4704,300,4704,294,4638,294,4631,289,4626,281,4624,277,4623,272,4623,259,4624,254,4630,241,4638,236,4704,236,4704,230,4675,230,4670,223,4664,219,4652,214,4647,214xm4704,236l4656,236,4663,239,4672,249,4674,256,4674,275,4672,282,4662,291,4656,294,4704,294,4704,236xm4704,216l4675,216,4675,230,4704,230,4704,216xe" filled="true" fillcolor="#231f20" stroked="false">
              <v:path arrowok="t"/>
              <v:fill type="solid"/>
            </v:shape>
            <v:shape style="position:absolute;left:4733;top:214;width:69;height:102" coordorigin="4733,214" coordsize="69,102" path="m4762,216l4733,216,4733,315,4764,315,4764,260,4765,254,4772,243,4780,240,4801,240,4801,233,4762,233,4762,216xm4801,240l4780,240,4797,240,4801,240,4801,240xm4788,214l4780,216,4774,220,4771,222,4767,227,4762,233,4801,233,4801,214,4798,214,4788,214xe" filled="true" fillcolor="#231f20" stroked="false">
              <v:path arrowok="t"/>
              <v:fill type="solid"/>
            </v:shape>
            <v:shape style="position:absolute;left:4810;top:213;width:117;height:105" coordorigin="4810,213" coordsize="117,105" path="m4878,213l4868,213,4856,214,4844,217,4835,221,4826,227,4819,235,4814,244,4811,254,4810,267,4811,279,4814,290,4820,299,4828,306,4837,311,4847,315,4858,317,4869,318,4882,317,4894,315,4904,310,4913,304,4920,298,4920,297,4863,297,4858,296,4853,294,4845,290,4841,283,4841,273,4926,273,4926,264,4926,258,4926,256,4841,256,4842,249,4845,244,4854,237,4860,235,4917,235,4916,233,4910,226,4904,221,4887,215,4878,213xm4924,286l4893,286,4891,289,4889,291,4882,296,4877,297,4920,297,4924,292,4924,286xm4917,235l4875,235,4881,237,4891,244,4894,249,4894,256,4926,256,4924,245,4921,239,4917,235xe" filled="true" fillcolor="#231f20" stroked="false">
              <v:path arrowok="t"/>
              <v:fill type="solid"/>
            </v:shape>
            <v:shape style="position:absolute;left:4934;top:213;width:108;height:105" coordorigin="4934,213" coordsize="108,105" path="m4965,283l4934,283,4934,293,4939,302,4947,308,4955,313,4964,316,4975,318,4988,318,5001,318,5012,316,5021,313,5029,309,5037,303,5040,298,4980,298,4973,297,4967,291,4966,288,4965,283xm5001,213l4971,213,4959,217,4942,230,4938,237,4938,254,4941,260,4951,269,4961,272,4993,278,5003,281,5009,284,5011,286,5011,292,5009,295,5002,298,4997,298,5040,298,5042,295,5042,278,5039,271,5033,266,5026,261,5017,258,5005,255,4987,252,4976,250,4973,248,4970,247,4968,245,4968,239,4970,237,4976,234,4980,233,5036,233,5032,226,5013,216,5001,213xm5036,233l4995,233,5001,235,5004,238,5006,240,5007,243,5008,246,5038,246,5037,234,5036,233xe" filled="true" fillcolor="#231f20" stroked="false">
              <v:path arrowok="t"/>
              <v:fill type="solid"/>
            </v:shape>
            <v:shape style="position:absolute;left:5057;top:213;width:120;height:106" coordorigin="5057,213" coordsize="120,106" path="m5117,213l5103,214,5091,217,5080,222,5072,229,5062,239,5057,251,5057,266,5058,276,5061,286,5065,295,5072,303,5080,310,5091,314,5103,317,5117,318,5131,317,5143,314,5154,310,5162,303,5167,297,5108,297,5101,294,5091,283,5089,276,5089,256,5091,248,5101,237,5108,235,5168,235,5162,229,5154,222,5143,217,5131,214,5117,213xm5168,235l5126,235,5133,237,5142,248,5145,256,5145,276,5142,283,5133,294,5126,297,5167,297,5169,295,5173,286,5176,276,5177,266,5177,251,5172,239,5168,235xe" filled="true" fillcolor="#231f20" stroked="false">
              <v:path arrowok="t"/>
              <v:fill type="solid"/>
            </v:shape>
            <v:shape style="position:absolute;left:5192;top:213;width:108;height:105" coordorigin="5192,213" coordsize="108,105" path="m5223,283l5192,283,5192,293,5196,302,5205,308,5212,313,5222,316,5233,318,5246,318,5258,318,5269,316,5279,313,5286,309,5295,303,5297,298,5238,298,5231,297,5225,291,5223,288,5223,283xm5259,213l5228,213,5216,217,5199,230,5195,237,5195,254,5198,260,5209,269,5218,272,5250,278,5261,281,5266,284,5268,286,5268,292,5266,295,5259,298,5254,298,5297,298,5299,295,5299,278,5296,271,5290,266,5284,261,5275,258,5262,255,5244,252,5233,250,5230,248,5227,247,5226,245,5226,239,5227,237,5233,234,5238,233,5294,233,5289,226,5271,216,5259,213xm5294,233l5253,233,5258,235,5262,238,5263,240,5265,243,5265,246,5296,246,5294,234,5294,233xe" filled="true" fillcolor="#231f20" stroked="false">
              <v:path arrowok="t"/>
              <v:fill type="solid"/>
            </v:shape>
            <w10:wrap type="topAndBottom"/>
          </v:group>
        </w:pict>
      </w:r>
      <w:r>
        <w:rPr/>
        <w:pict>
          <v:group style="position:absolute;margin-left:269.311493pt;margin-top:8.295368pt;width:47.15pt;height:8.25pt;mso-position-horizontal-relative:page;mso-position-vertical-relative:paragraph;z-index:9208;mso-wrap-distance-left:0;mso-wrap-distance-right:0" coordorigin="5386,166" coordsize="943,165">
            <v:shape style="position:absolute;left:5386;top:181;width:638;height:137" type="#_x0000_t75" stroked="false">
              <v:imagedata r:id="rId449" o:title=""/>
            </v:shape>
            <v:shape style="position:absolute;left:6045;top:166;width:283;height:164" type="#_x0000_t75" stroked="false">
              <v:imagedata r:id="rId450" o:title=""/>
            </v:shape>
            <w10:wrap type="topAndBottom"/>
          </v:group>
        </w:pict>
      </w:r>
      <w:r>
        <w:rPr/>
        <w:pict>
          <v:group style="position:absolute;margin-left:42.519001pt;margin-top:33.833065pt;width:396.9pt;height:198.35pt;mso-position-horizontal-relative:page;mso-position-vertical-relative:paragraph;z-index:9232;mso-wrap-distance-left:0;mso-wrap-distance-right:0" coordorigin="850,677" coordsize="7938,3967">
            <v:rect style="position:absolute;left:3572;top:721;width:5207;height:2647" filled="true" fillcolor="#bcbec0" stroked="false">
              <v:fill type="solid"/>
            </v:rect>
            <v:line style="position:absolute" from="3528,721" to="8779,721" stroked="true" strokeweight=".5pt" strokecolor="#231f20"/>
            <v:line style="position:absolute" from="6621,1173" to="8779,1173" stroked="true" strokeweight=".5pt" strokecolor="#231f20"/>
            <v:line style="position:absolute" from="5363,1173" to="6344,1173" stroked="true" strokeweight=".5pt" strokecolor="#231f20"/>
            <v:line style="position:absolute" from="3528,1173" to="5087,1173" stroked="true" strokeweight=".5pt" strokecolor="#231f20"/>
            <v:line style="position:absolute" from="6621,1612" to="8779,1612" stroked="true" strokeweight=".5pt" strokecolor="#231f20"/>
            <v:line style="position:absolute" from="5363,1612" to="6344,1612" stroked="true" strokeweight=".5pt" strokecolor="#231f20"/>
            <v:line style="position:absolute" from="3528,1612" to="5087,1612" stroked="true" strokeweight=".5pt" strokecolor="#231f20"/>
            <v:line style="position:absolute" from="6621,2051" to="8779,2051" stroked="true" strokeweight=".5pt" strokecolor="#231f20"/>
            <v:line style="position:absolute" from="5363,2051" to="6344,2051" stroked="true" strokeweight=".5pt" strokecolor="#231f20"/>
            <v:line style="position:absolute" from="3528,2051" to="5087,2051" stroked="true" strokeweight=".5pt" strokecolor="#231f20"/>
            <v:line style="position:absolute" from="6621,2477" to="8779,2477" stroked="true" strokeweight=".5pt" strokecolor="#231f20"/>
            <v:line style="position:absolute" from="5363,2477" to="6344,2477" stroked="true" strokeweight=".5pt" strokecolor="#231f20"/>
            <v:line style="position:absolute" from="3528,2477" to="5087,2477" stroked="true" strokeweight=".5pt" strokecolor="#231f20"/>
            <v:line style="position:absolute" from="7173,2935" to="8779,2935" stroked="true" strokeweight=".5pt" strokecolor="#231f20"/>
            <v:line style="position:absolute" from="6621,2935" to="6897,2935" stroked="true" strokeweight=".5pt" strokecolor="#231f20"/>
            <v:line style="position:absolute" from="5915,2935" to="6344,2935" stroked="true" strokeweight=".5pt" strokecolor="#231f20"/>
            <v:line style="position:absolute" from="5363,2935" to="5639,2935" stroked="true" strokeweight=".5pt" strokecolor="#231f20"/>
            <v:line style="position:absolute" from="4669,2935" to="5087,2935" stroked="true" strokeweight=".5pt" strokecolor="#231f20"/>
            <v:line style="position:absolute" from="4117,2935" to="4393,2935" stroked="true" strokeweight=".5pt" strokecolor="#231f20"/>
            <v:line style="position:absolute" from="3528,2935" to="3841,2935" stroked="true" strokeweight=".5pt" strokecolor="#231f20"/>
            <v:shape style="position:absolute;left:2528;top:677;width:103;height:116" coordorigin="2528,677" coordsize="103,116" path="m2599,677l2582,677,2566,678,2553,684,2542,692,2534,704,2530,714,2528,726,2528,741,2529,753,2531,764,2536,773,2543,780,2553,788,2565,792,2595,792,2608,788,2618,779,2571,779,2563,777,2552,767,2549,761,2549,746,2552,740,2565,732,2568,731,2547,731,2548,718,2551,707,2564,693,2572,689,2620,689,2610,680,2599,677xm2622,730l2591,730,2599,733,2608,743,2610,749,2610,761,2608,767,2598,777,2591,779,2618,779,2626,772,2630,763,2630,741,2625,732,2622,730xm2596,717l2576,717,2569,718,2563,720,2557,723,2551,726,2547,731,2568,731,2572,730,2622,730,2607,720,2596,717xm2620,689l2592,689,2598,691,2603,696,2605,699,2607,702,2608,706,2627,706,2627,700,2624,693,2620,689xe" filled="true" fillcolor="#231f20" stroked="false">
              <v:path arrowok="t"/>
              <v:fill type="solid"/>
            </v:shape>
            <v:shape style="position:absolute;left:2645;top:677;width:104;height:115" coordorigin="2645,677" coordsize="104,115" path="m2696,677l2681,679,2669,683,2659,691,2652,703,2647,712,2645,723,2645,735,2646,747,2648,757,2651,767,2656,775,2664,782,2673,788,2684,791,2696,792,2710,791,2722,787,2732,780,2732,779,2684,779,2675,774,2667,756,2666,748,2665,721,2668,709,2678,694,2686,690,2733,690,2731,687,2721,682,2710,678,2696,677xm2733,690l2710,690,2718,694,2726,710,2728,721,2728,751,2725,763,2714,776,2706,779,2732,779,2739,771,2745,761,2748,748,2748,717,2745,704,2738,695,2733,690xe" filled="true" fillcolor="#231f20" stroked="false">
              <v:path arrowok="t"/>
              <v:fill type="solid"/>
            </v:shape>
            <v:shape style="position:absolute;left:2775;top:772;width:23;height:41" coordorigin="2775,772" coordsize="23,41" path="m2798,772l2775,772,2775,789,2787,789,2787,794,2786,795,2783,802,2780,805,2775,805,2775,813,2783,812,2789,809,2796,799,2798,794,2798,772xe" filled="true" fillcolor="#231f20" stroked="false">
              <v:path arrowok="t"/>
              <v:fill type="solid"/>
            </v:shape>
            <v:shape style="position:absolute;left:2824;top:677;width:104;height:115" coordorigin="2824,677" coordsize="104,115" path="m2875,677l2860,679,2847,683,2838,691,2830,703,2826,712,2824,723,2824,735,2824,747,2826,757,2830,767,2835,775,2842,782,2851,788,2862,791,2875,792,2889,791,2900,787,2910,780,2911,779,2862,779,2854,774,2846,756,2844,748,2844,721,2846,709,2857,694,2865,690,2912,690,2909,687,2900,682,2888,678,2875,677xm2912,690l2888,690,2896,694,2904,710,2907,721,2907,751,2904,763,2892,776,2884,779,2911,779,2918,771,2924,761,2927,748,2927,717,2923,704,2917,695,2912,690xe" filled="true" fillcolor="#231f20" stroked="false">
              <v:path arrowok="t"/>
              <v:fill type="solid"/>
            </v:shape>
            <v:shape style="position:absolute;left:2943;top:677;width:104;height:115" coordorigin="2943,677" coordsize="104,115" path="m2994,677l2979,679,2966,683,2957,691,2949,703,2945,712,2943,723,2943,735,2943,747,2945,757,2949,767,2954,775,2961,782,2970,788,2981,791,2994,792,3008,791,3019,787,3029,780,3030,779,2981,779,2973,774,2964,756,2963,748,2963,721,2965,709,2976,694,2984,690,3031,690,3028,687,3019,682,3007,678,2994,677xm3031,690l3007,690,3015,694,3023,710,3025,721,3025,751,3023,763,3011,776,3003,779,3030,779,3037,771,3043,761,3046,748,3046,717,3042,704,3036,695,3031,690xe" filled="true" fillcolor="#231f20" stroked="false">
              <v:path arrowok="t"/>
              <v:fill type="solid"/>
            </v:shape>
            <v:shape style="position:absolute;left:3062;top:677;width:104;height:115" coordorigin="3062,677" coordsize="104,115" path="m3113,677l3098,679,3085,683,3076,691,3068,703,3064,712,3062,723,3062,735,3062,747,3064,757,3068,767,3073,775,3080,782,3089,788,3100,791,3113,792,3126,791,3138,787,3148,780,3149,779,3100,779,3092,774,3083,756,3082,748,3082,721,3084,709,3095,694,3103,690,3150,690,3147,687,3138,682,3126,678,3113,677xm3150,690l3126,690,3134,694,3142,710,3144,721,3144,751,3142,763,3130,776,3122,779,3149,779,3156,771,3162,761,3165,748,3165,717,3161,704,3155,695,3150,690xe" filled="true" fillcolor="#231f20" stroked="false">
              <v:path arrowok="t"/>
              <v:fill type="solid"/>
            </v:shape>
            <v:line style="position:absolute" from="3192,780" to="3214,780" stroked="true" strokeweight=".851pt" strokecolor="#231f20"/>
            <v:shape style="position:absolute;left:3240;top:677;width:104;height:115" coordorigin="3240,677" coordsize="104,115" path="m3291,677l3276,679,3264,683,3254,691,3247,703,3242,712,3240,723,3240,735,3241,747,3243,757,3246,767,3251,775,3258,782,3268,788,3278,791,3291,792,3305,791,3317,787,3326,780,3327,779,3279,779,3270,774,3262,756,3260,748,3260,721,3263,709,3273,694,3281,690,3328,690,3326,687,3316,682,3305,678,3291,677xm3328,690l3304,690,3312,694,3321,710,3323,721,3323,751,3320,763,3308,776,3301,779,3327,779,3334,771,3340,761,3343,748,3343,717,3340,704,3333,695,3328,690xe" filled="true" fillcolor="#231f20" stroked="false">
              <v:path arrowok="t"/>
              <v:fill type="solid"/>
            </v:shape>
            <v:shape style="position:absolute;left:3359;top:677;width:104;height:115" coordorigin="3359,677" coordsize="104,115" path="m3410,677l3395,679,3383,683,3373,691,3365,703,3361,712,3359,723,3359,735,3360,747,3362,757,3365,767,3370,775,3377,782,3386,788,3397,791,3410,792,3424,791,3436,787,3445,780,3446,779,3398,779,3389,774,3381,756,3379,748,3379,721,3382,709,3392,694,3400,690,3447,690,3445,687,3435,682,3424,678,3410,677xm3447,690l3423,690,3431,694,3440,710,3442,721,3442,751,3439,763,3427,776,3420,779,3446,779,3453,771,3459,761,3462,748,3462,717,3459,704,3452,695,3447,690xe" filled="true" fillcolor="#231f20" stroked="false">
              <v:path arrowok="t"/>
              <v:fill type="solid"/>
            </v:shape>
            <v:shape style="position:absolute;left:2526;top:1119;width:103;height:113" coordorigin="2526,1119" coordsize="103,113" path="m2546,1201l2526,1201,2528,1212,2533,1219,2552,1230,2562,1232,2574,1232,2588,1231,2599,1229,2609,1225,2616,1220,2617,1220,2571,1220,2565,1219,2552,1214,2547,1209,2546,1201xm2619,1170l2586,1170,2593,1172,2606,1180,2609,1186,2609,1201,2606,1207,2596,1217,2588,1220,2617,1220,2625,1212,2629,1203,2629,1182,2625,1174,2619,1170xm2621,1119l2543,1119,2532,1180,2548,1180,2551,1177,2555,1174,2565,1171,2570,1170,2619,1170,2611,1164,2551,1164,2557,1133,2621,1133,2621,1119xm2594,1157l2573,1157,2566,1158,2558,1161,2554,1162,2551,1164,2611,1164,2606,1160,2594,1157xe" filled="true" fillcolor="#231f20" stroked="false">
              <v:path arrowok="t"/>
              <v:fill type="solid"/>
            </v:shape>
            <v:shape style="position:absolute;left:2645;top:1118;width:104;height:115" coordorigin="2645,1118" coordsize="104,115" path="m2696,1118l2681,1119,2669,1124,2659,1132,2652,1143,2647,1152,2645,1163,2645,1176,2646,1187,2648,1198,2651,1207,2656,1215,2664,1223,2673,1228,2684,1231,2696,1232,2710,1231,2722,1227,2732,1220,2732,1220,2684,1220,2675,1214,2667,1197,2666,1189,2665,1161,2668,1150,2678,1134,2686,1130,2733,1130,2731,1128,2721,1122,2710,1119,2696,1118xm2733,1130l2710,1130,2718,1134,2726,1151,2728,1161,2728,1191,2725,1203,2714,1216,2706,1220,2732,1220,2739,1211,2745,1201,2748,1189,2748,1157,2745,1145,2738,1135,2733,1130xe" filled="true" fillcolor="#231f20" stroked="false">
              <v:path arrowok="t"/>
              <v:fill type="solid"/>
            </v:shape>
            <v:shape style="position:absolute;left:2775;top:1212;width:23;height:41" coordorigin="2775,1212" coordsize="23,41" path="m2798,1212l2775,1212,2775,1229,2787,1229,2787,1234,2786,1236,2783,1243,2780,1245,2775,1246,2775,1253,2783,1252,2789,1249,2796,1240,2798,1234,2798,1212xe" filled="true" fillcolor="#231f20" stroked="false">
              <v:path arrowok="t"/>
              <v:fill type="solid"/>
            </v:shape>
            <v:shape style="position:absolute;left:2824;top:1118;width:104;height:115" coordorigin="2824,1118" coordsize="104,115" path="m2875,1118l2860,1119,2847,1124,2838,1132,2830,1143,2826,1152,2824,1163,2824,1176,2824,1187,2826,1198,2830,1207,2835,1215,2842,1223,2851,1228,2862,1231,2875,1232,2889,1231,2900,1227,2910,1220,2911,1220,2862,1220,2854,1214,2846,1197,2844,1189,2844,1161,2846,1150,2857,1134,2865,1130,2912,1130,2909,1128,2900,1122,2888,1119,2875,1118xm2912,1130l2888,1130,2896,1134,2904,1151,2907,1161,2907,1191,2904,1203,2892,1216,2884,1220,2911,1220,2918,1211,2924,1201,2927,1189,2927,1157,2923,1145,2917,1135,2912,1130xe" filled="true" fillcolor="#231f20" stroked="false">
              <v:path arrowok="t"/>
              <v:fill type="solid"/>
            </v:shape>
            <v:shape style="position:absolute;left:2943;top:1118;width:104;height:115" coordorigin="2943,1118" coordsize="104,115" path="m2994,1118l2979,1119,2966,1124,2957,1132,2949,1143,2945,1152,2943,1163,2943,1176,2943,1187,2945,1198,2949,1207,2954,1215,2961,1223,2970,1228,2981,1231,2994,1232,3008,1231,3019,1227,3029,1220,3030,1220,2981,1220,2973,1214,2964,1197,2963,1189,2963,1161,2965,1150,2976,1134,2984,1130,3031,1130,3028,1128,3019,1122,3007,1119,2994,1118xm3031,1130l3007,1130,3015,1134,3023,1151,3025,1161,3025,1191,3023,1203,3011,1216,3003,1220,3030,1220,3037,1211,3043,1201,3046,1189,3046,1157,3042,1145,3036,1135,3031,1130xe" filled="true" fillcolor="#231f20" stroked="false">
              <v:path arrowok="t"/>
              <v:fill type="solid"/>
            </v:shape>
            <v:shape style="position:absolute;left:3062;top:1118;width:104;height:115" coordorigin="3062,1118" coordsize="104,115" path="m3113,1118l3098,1119,3085,1124,3076,1132,3068,1143,3064,1152,3062,1163,3062,1176,3062,1187,3064,1198,3068,1207,3073,1215,3080,1223,3089,1228,3100,1231,3113,1232,3126,1231,3138,1227,3148,1220,3149,1220,3100,1220,3092,1214,3083,1197,3082,1189,3082,1161,3084,1150,3095,1134,3103,1130,3150,1130,3147,1128,3138,1122,3126,1119,3113,1118xm3150,1130l3126,1130,3134,1134,3142,1151,3144,1161,3144,1191,3142,1203,3130,1216,3122,1220,3149,1220,3156,1211,3162,1201,3165,1189,3165,1157,3161,1145,3155,1135,3150,1130xe" filled="true" fillcolor="#231f20" stroked="false">
              <v:path arrowok="t"/>
              <v:fill type="solid"/>
            </v:shape>
            <v:line style="position:absolute" from="3192,1221" to="3214,1221" stroked="true" strokeweight=".851pt" strokecolor="#231f20"/>
            <v:shape style="position:absolute;left:3240;top:1118;width:104;height:115" coordorigin="3240,1118" coordsize="104,115" path="m3291,1118l3276,1119,3264,1124,3254,1132,3247,1143,3242,1152,3240,1163,3240,1176,3241,1187,3243,1198,3246,1207,3251,1215,3258,1223,3268,1228,3278,1231,3291,1232,3305,1231,3317,1227,3326,1220,3327,1220,3279,1220,3270,1214,3262,1197,3260,1189,3260,1161,3263,1150,3273,1134,3281,1130,3328,1130,3326,1128,3316,1122,3305,1119,3291,1118xm3328,1130l3304,1130,3312,1134,3321,1151,3323,1161,3323,1191,3320,1203,3308,1216,3301,1220,3327,1220,3334,1211,3340,1201,3343,1189,3343,1157,3340,1145,3333,1135,3328,1130xe" filled="true" fillcolor="#231f20" stroked="false">
              <v:path arrowok="t"/>
              <v:fill type="solid"/>
            </v:shape>
            <v:shape style="position:absolute;left:3359;top:1118;width:104;height:115" coordorigin="3359,1118" coordsize="104,115" path="m3410,1118l3395,1119,3383,1124,3373,1132,3365,1143,3361,1152,3359,1163,3359,1176,3360,1187,3362,1198,3365,1207,3370,1215,3377,1223,3386,1228,3397,1231,3410,1232,3424,1231,3436,1227,3445,1220,3446,1220,3398,1220,3389,1214,3381,1197,3379,1189,3379,1161,3382,1150,3392,1134,3400,1130,3447,1130,3445,1128,3435,1122,3424,1119,3410,1118xm3447,1130l3423,1130,3431,1134,3440,1151,3442,1161,3442,1191,3439,1203,3427,1216,3420,1220,3446,1220,3453,1211,3459,1201,3462,1189,3462,1157,3459,1145,3452,1135,3447,1130xe" filled="true" fillcolor="#231f20" stroked="false">
              <v:path arrowok="t"/>
              <v:fill type="solid"/>
            </v:shape>
            <v:shape style="position:absolute;left:2525;top:1558;width:107;height:113" coordorigin="2525,1558" coordsize="107,113" path="m2609,1642l2591,1642,2591,1670,2609,1670,2609,1642xm2609,1558l2593,1558,2525,1629,2525,1642,2631,1642,2631,1630,2542,1630,2590,1579,2609,1579,2609,1558xm2609,1579l2590,1579,2590,1630,2609,1630,2609,1579xe" filled="true" fillcolor="#231f20" stroked="false">
              <v:path arrowok="t"/>
              <v:fill type="solid"/>
            </v:shape>
            <v:shape style="position:absolute;left:2645;top:1558;width:104;height:115" coordorigin="2645,1558" coordsize="104,115" path="m2696,1558l2681,1560,2669,1564,2659,1572,2652,1583,2647,1593,2645,1603,2645,1616,2646,1628,2648,1638,2651,1647,2656,1655,2664,1663,2673,1668,2684,1672,2696,1673,2710,1671,2722,1667,2732,1661,2732,1660,2684,1660,2675,1655,2667,1637,2666,1629,2665,1602,2668,1590,2678,1574,2686,1571,2733,1571,2731,1568,2721,1562,2710,1559,2696,1558xm2733,1571l2710,1571,2718,1575,2726,1591,2728,1602,2728,1632,2725,1644,2714,1657,2706,1660,2732,1660,2739,1651,2745,1641,2748,1629,2748,1598,2745,1585,2738,1576,2733,1571xe" filled="true" fillcolor="#231f20" stroked="false">
              <v:path arrowok="t"/>
              <v:fill type="solid"/>
            </v:shape>
            <v:shape style="position:absolute;left:2775;top:1653;width:23;height:41" coordorigin="2775,1653" coordsize="23,41" path="m2798,1653l2775,1653,2775,1670,2787,1670,2787,1675,2786,1676,2783,1683,2780,1686,2775,1686,2775,1694,2783,1692,2789,1690,2796,1680,2798,1675,2798,1653xe" filled="true" fillcolor="#231f20" stroked="false">
              <v:path arrowok="t"/>
              <v:fill type="solid"/>
            </v:shape>
            <v:shape style="position:absolute;left:2824;top:1558;width:104;height:115" coordorigin="2824,1558" coordsize="104,115" path="m2875,1558l2860,1560,2847,1564,2838,1572,2830,1583,2826,1593,2824,1603,2824,1616,2824,1628,2826,1638,2830,1647,2835,1655,2842,1663,2851,1668,2862,1672,2875,1673,2889,1671,2900,1667,2910,1661,2911,1660,2862,1660,2854,1655,2846,1637,2844,1629,2844,1602,2846,1590,2857,1574,2865,1571,2912,1571,2909,1568,2900,1562,2888,1559,2875,1558xm2912,1571l2888,1571,2896,1575,2904,1591,2907,1602,2907,1632,2904,1644,2892,1657,2884,1660,2911,1660,2918,1651,2924,1641,2927,1629,2927,1598,2923,1585,2917,1576,2912,1571xe" filled="true" fillcolor="#231f20" stroked="false">
              <v:path arrowok="t"/>
              <v:fill type="solid"/>
            </v:shape>
            <v:shape style="position:absolute;left:2943;top:1558;width:104;height:115" coordorigin="2943,1558" coordsize="104,115" path="m2994,1558l2979,1560,2966,1564,2957,1572,2949,1583,2945,1593,2943,1603,2943,1616,2943,1628,2945,1638,2949,1647,2954,1655,2961,1663,2970,1668,2981,1672,2994,1673,3008,1671,3019,1667,3029,1661,3030,1660,2981,1660,2973,1655,2964,1637,2963,1629,2963,1602,2965,1590,2976,1574,2984,1571,3031,1571,3028,1568,3019,1562,3007,1559,2994,1558xm3031,1571l3007,1571,3015,1575,3023,1591,3025,1602,3025,1632,3023,1644,3011,1657,3003,1660,3030,1660,3037,1651,3043,1641,3046,1629,3046,1598,3042,1585,3036,1576,3031,1571xe" filled="true" fillcolor="#231f20" stroked="false">
              <v:path arrowok="t"/>
              <v:fill type="solid"/>
            </v:shape>
            <v:shape style="position:absolute;left:3062;top:1558;width:104;height:115" coordorigin="3062,1558" coordsize="104,115" path="m3113,1558l3098,1560,3085,1564,3076,1572,3068,1583,3064,1593,3062,1603,3062,1616,3062,1628,3064,1638,3068,1647,3073,1655,3080,1663,3089,1668,3100,1672,3113,1673,3126,1671,3138,1667,3148,1661,3149,1660,3100,1660,3092,1655,3083,1637,3082,1629,3082,1602,3084,1590,3095,1574,3103,1571,3150,1571,3147,1568,3138,1562,3126,1559,3113,1558xm3150,1571l3126,1571,3134,1575,3142,1591,3144,1602,3144,1632,3142,1644,3130,1657,3122,1660,3149,1660,3156,1651,3162,1641,3165,1629,3165,1598,3161,1585,3155,1576,3150,1571xe" filled="true" fillcolor="#231f20" stroked="false">
              <v:path arrowok="t"/>
              <v:fill type="solid"/>
            </v:shape>
            <v:line style="position:absolute" from="3192,1661" to="3214,1661" stroked="true" strokeweight=".851pt" strokecolor="#231f20"/>
            <v:shape style="position:absolute;left:3240;top:1558;width:104;height:115" coordorigin="3240,1558" coordsize="104,115" path="m3291,1558l3276,1560,3264,1564,3254,1572,3247,1583,3242,1593,3240,1603,3240,1616,3241,1628,3243,1638,3246,1647,3251,1655,3258,1663,3268,1668,3278,1672,3291,1673,3305,1671,3317,1667,3326,1661,3327,1660,3279,1660,3270,1655,3262,1637,3260,1629,3260,1602,3263,1590,3273,1574,3281,1571,3328,1571,3326,1568,3316,1562,3305,1559,3291,1558xm3328,1571l3304,1571,3312,1575,3321,1591,3323,1602,3323,1632,3320,1644,3308,1657,3301,1660,3327,1660,3334,1651,3340,1641,3343,1629,3343,1598,3340,1585,3333,1576,3328,1571xe" filled="true" fillcolor="#231f20" stroked="false">
              <v:path arrowok="t"/>
              <v:fill type="solid"/>
            </v:shape>
            <v:shape style="position:absolute;left:3359;top:1558;width:104;height:115" coordorigin="3359,1558" coordsize="104,115" path="m3410,1558l3395,1560,3383,1564,3373,1572,3365,1583,3361,1593,3359,1603,3359,1616,3360,1628,3362,1638,3365,1647,3370,1655,3377,1663,3386,1668,3397,1672,3410,1673,3424,1671,3436,1667,3445,1661,3446,1660,3398,1660,3389,1655,3381,1637,3379,1629,3379,1602,3382,1590,3392,1574,3400,1571,3447,1571,3445,1568,3435,1562,3424,1559,3410,1558xm3447,1571l3423,1571,3431,1575,3440,1591,3442,1602,3442,1632,3439,1644,3427,1657,3420,1660,3446,1660,3453,1651,3459,1641,3462,1629,3462,1598,3459,1585,3452,1576,3447,1571xe" filled="true" fillcolor="#231f20" stroked="false">
              <v:path arrowok="t"/>
              <v:fill type="solid"/>
            </v:shape>
            <v:shape style="position:absolute;left:2525;top:1998;width:105;height:116" coordorigin="2525,1998" coordsize="105,116" path="m2544,2076l2525,2076,2525,2086,2529,2095,2537,2102,2544,2107,2552,2111,2563,2113,2575,2113,2587,2113,2598,2111,2607,2108,2615,2103,2619,2100,2563,2100,2555,2097,2550,2092,2547,2088,2545,2083,2544,2076xm2621,2058l2584,2058,2593,2060,2606,2066,2609,2071,2609,2085,2606,2091,2594,2098,2586,2100,2619,2100,2625,2096,2629,2088,2629,2070,2627,2065,2621,2058xm2565,2046l2565,2059,2621,2058,2618,2056,2612,2052,2604,2051,2609,2049,2613,2047,2614,2047,2582,2047,2569,2046,2565,2046xm2619,2011l2585,2011,2591,2013,2601,2019,2604,2023,2604,2036,2600,2041,2587,2046,2582,2047,2614,2047,2621,2040,2623,2035,2623,2018,2619,2011xm2591,1998l2576,1998,2562,1999,2551,2002,2542,2007,2535,2014,2531,2020,2528,2027,2528,2035,2547,2035,2547,2029,2549,2024,2556,2014,2565,2011,2619,2011,2619,2011,2603,2001,2591,1998xe" filled="true" fillcolor="#231f20" stroked="false">
              <v:path arrowok="t"/>
              <v:fill type="solid"/>
            </v:shape>
            <v:shape style="position:absolute;left:2645;top:1998;width:104;height:115" coordorigin="2645,1998" coordsize="104,115" path="m2696,1998l2681,2000,2669,2005,2659,2013,2652,2024,2647,2033,2645,2044,2645,2057,2646,2068,2648,2079,2651,2088,2656,2096,2664,2103,2673,2109,2684,2112,2696,2113,2710,2112,2722,2108,2732,2101,2732,2100,2684,2100,2675,2095,2667,2078,2666,2069,2665,2042,2668,2030,2678,2015,2686,2011,2733,2011,2731,2008,2721,2003,2710,1999,2696,1998xm2733,2011l2710,2011,2718,2015,2726,2032,2728,2042,2728,2072,2725,2084,2714,2097,2706,2100,2732,2100,2739,2092,2745,2082,2748,2069,2748,2038,2745,2025,2738,2016,2733,2011xe" filled="true" fillcolor="#231f20" stroked="false">
              <v:path arrowok="t"/>
              <v:fill type="solid"/>
            </v:shape>
            <v:shape style="position:absolute;left:2775;top:2093;width:23;height:41" coordorigin="2775,2093" coordsize="23,41" path="m2798,2093l2775,2093,2775,2110,2787,2110,2787,2115,2786,2117,2783,2123,2780,2126,2775,2127,2775,2134,2783,2133,2789,2130,2796,2121,2798,2115,2798,2093xe" filled="true" fillcolor="#231f20" stroked="false">
              <v:path arrowok="t"/>
              <v:fill type="solid"/>
            </v:shape>
            <v:shape style="position:absolute;left:2824;top:1998;width:104;height:115" coordorigin="2824,1998" coordsize="104,115" path="m2875,1998l2860,2000,2847,2005,2838,2013,2830,2024,2826,2033,2824,2044,2824,2057,2824,2068,2826,2079,2830,2088,2835,2096,2842,2103,2851,2109,2862,2112,2875,2113,2889,2112,2900,2108,2910,2101,2911,2100,2862,2100,2854,2095,2846,2078,2844,2069,2844,2042,2846,2030,2857,2015,2865,2011,2912,2011,2909,2008,2900,2003,2888,1999,2875,1998xm2912,2011l2888,2011,2896,2015,2904,2032,2907,2042,2907,2072,2904,2084,2892,2097,2884,2100,2911,2100,2918,2092,2924,2082,2927,2069,2927,2038,2923,2025,2917,2016,2912,2011xe" filled="true" fillcolor="#231f20" stroked="false">
              <v:path arrowok="t"/>
              <v:fill type="solid"/>
            </v:shape>
            <v:shape style="position:absolute;left:2943;top:1998;width:104;height:115" coordorigin="2943,1998" coordsize="104,115" path="m2994,1998l2979,2000,2966,2005,2957,2013,2949,2024,2945,2033,2943,2044,2943,2057,2943,2068,2945,2079,2949,2088,2954,2096,2961,2103,2970,2109,2981,2112,2994,2113,3008,2112,3019,2108,3029,2101,3030,2100,2981,2100,2973,2095,2964,2078,2963,2069,2963,2042,2965,2030,2976,2015,2984,2011,3031,2011,3028,2008,3019,2003,3007,1999,2994,1998xm3031,2011l3007,2011,3015,2015,3023,2032,3025,2042,3025,2072,3023,2084,3011,2097,3003,2100,3030,2100,3037,2092,3043,2082,3046,2069,3046,2038,3042,2025,3036,2016,3031,2011xe" filled="true" fillcolor="#231f20" stroked="false">
              <v:path arrowok="t"/>
              <v:fill type="solid"/>
            </v:shape>
            <v:shape style="position:absolute;left:3062;top:1998;width:104;height:115" coordorigin="3062,1998" coordsize="104,115" path="m3113,1998l3098,2000,3085,2005,3076,2013,3068,2024,3064,2033,3062,2044,3062,2057,3062,2068,3064,2079,3068,2088,3073,2096,3080,2103,3089,2109,3100,2112,3113,2113,3126,2112,3138,2108,3148,2101,3149,2100,3100,2100,3092,2095,3083,2078,3082,2069,3082,2042,3084,2030,3095,2015,3103,2011,3150,2011,3147,2008,3138,2003,3126,1999,3113,1998xm3150,2011l3126,2011,3134,2015,3142,2032,3144,2042,3144,2072,3142,2084,3130,2097,3122,2100,3149,2100,3156,2092,3162,2082,3165,2069,3165,2038,3161,2025,3155,2016,3150,2011xe" filled="true" fillcolor="#231f20" stroked="false">
              <v:path arrowok="t"/>
              <v:fill type="solid"/>
            </v:shape>
            <v:line style="position:absolute" from="3192,2102" to="3214,2102" stroked="true" strokeweight=".851pt" strokecolor="#231f20"/>
            <v:shape style="position:absolute;left:3240;top:1998;width:104;height:115" coordorigin="3240,1998" coordsize="104,115" path="m3291,1998l3276,2000,3264,2005,3254,2013,3247,2024,3242,2033,3240,2044,3240,2057,3241,2068,3243,2079,3246,2088,3251,2096,3258,2103,3268,2109,3278,2112,3291,2113,3305,2112,3317,2108,3326,2101,3327,2100,3279,2100,3270,2095,3262,2078,3260,2069,3260,2042,3263,2030,3273,2015,3281,2011,3328,2011,3326,2008,3316,2003,3305,1999,3291,1998xm3328,2011l3304,2011,3312,2015,3321,2032,3323,2042,3323,2072,3320,2084,3308,2097,3301,2100,3327,2100,3334,2092,3340,2082,3343,2069,3343,2038,3340,2025,3333,2016,3328,2011xe" filled="true" fillcolor="#231f20" stroked="false">
              <v:path arrowok="t"/>
              <v:fill type="solid"/>
            </v:shape>
            <v:shape style="position:absolute;left:3359;top:1998;width:104;height:115" coordorigin="3359,1998" coordsize="104,115" path="m3410,1998l3395,2000,3383,2005,3373,2013,3365,2024,3361,2033,3359,2044,3359,2057,3360,2068,3362,2079,3365,2088,3370,2096,3377,2103,3386,2109,3397,2112,3410,2113,3424,2112,3436,2108,3445,2101,3446,2100,3398,2100,3389,2095,3381,2078,3379,2069,3379,2042,3382,2030,3392,2015,3400,2011,3447,2011,3445,2008,3435,2003,3424,1999,3410,1998xm3447,2011l3423,2011,3431,2015,3440,2032,3442,2042,3442,2072,3439,2084,3427,2097,3420,2100,3446,2100,3453,2092,3459,2082,3462,2069,3462,2038,3459,2025,3452,2016,3447,2011xe" filled="true" fillcolor="#231f20" stroked="false">
              <v:path arrowok="t"/>
              <v:fill type="solid"/>
            </v:shape>
            <v:shape style="position:absolute;left:2526;top:2438;width:104;height:113" coordorigin="2526,2438" coordsize="104,113" path="m2621,2451l2589,2451,2596,2453,2606,2461,2609,2466,2609,2478,2606,2483,2597,2490,2590,2493,2548,2512,2539,2518,2530,2533,2527,2541,2526,2551,2629,2551,2629,2537,2547,2537,2549,2532,2553,2527,2564,2520,2570,2517,2603,2503,2612,2499,2625,2488,2630,2481,2630,2463,2626,2456,2621,2451xm2597,2438l2580,2438,2566,2439,2554,2442,2544,2447,2537,2455,2532,2461,2530,2469,2530,2478,2549,2478,2549,2471,2551,2466,2558,2455,2567,2451,2621,2451,2610,2442,2597,2438xe" filled="true" fillcolor="#231f20" stroked="false">
              <v:path arrowok="t"/>
              <v:fill type="solid"/>
            </v:shape>
            <v:shape style="position:absolute;left:2645;top:2439;width:104;height:115" coordorigin="2645,2439" coordsize="104,115" path="m2696,2439l2681,2440,2669,2445,2659,2453,2652,2464,2647,2473,2645,2484,2645,2497,2646,2509,2648,2519,2651,2528,2656,2536,2664,2544,2673,2549,2684,2553,2696,2554,2710,2552,2722,2548,2732,2542,2732,2541,2684,2541,2675,2536,2667,2518,2666,2510,2665,2482,2668,2471,2678,2455,2686,2451,2733,2451,2731,2449,2721,2443,2710,2440,2696,2439xm2733,2451l2710,2451,2718,2455,2726,2472,2728,2482,2728,2513,2725,2525,2714,2538,2706,2541,2732,2541,2739,2532,2745,2522,2748,2510,2748,2478,2745,2466,2738,2457,2733,2451xe" filled="true" fillcolor="#231f20" stroked="false">
              <v:path arrowok="t"/>
              <v:fill type="solid"/>
            </v:shape>
            <v:shape style="position:absolute;left:2775;top:2534;width:23;height:41" coordorigin="2775,2534" coordsize="23,41" path="m2798,2534l2775,2534,2775,2551,2787,2551,2787,2556,2786,2557,2783,2564,2780,2566,2775,2567,2775,2574,2783,2573,2789,2570,2796,2561,2798,2556,2798,2534xe" filled="true" fillcolor="#231f20" stroked="false">
              <v:path arrowok="t"/>
              <v:fill type="solid"/>
            </v:shape>
            <v:shape style="position:absolute;left:2824;top:2439;width:104;height:115" coordorigin="2824,2439" coordsize="104,115" path="m2875,2439l2860,2440,2847,2445,2838,2453,2830,2464,2826,2473,2824,2484,2824,2497,2824,2509,2826,2519,2830,2528,2835,2536,2842,2544,2851,2549,2862,2553,2875,2554,2889,2552,2900,2548,2910,2542,2911,2541,2862,2541,2854,2536,2846,2518,2844,2510,2844,2482,2846,2471,2857,2455,2865,2451,2912,2451,2909,2449,2900,2443,2888,2440,2875,2439xm2912,2451l2888,2451,2896,2455,2904,2472,2907,2482,2907,2513,2904,2525,2892,2538,2884,2541,2911,2541,2918,2532,2924,2522,2927,2510,2927,2478,2923,2466,2917,2457,2912,2451xe" filled="true" fillcolor="#231f20" stroked="false">
              <v:path arrowok="t"/>
              <v:fill type="solid"/>
            </v:shape>
            <v:shape style="position:absolute;left:2943;top:2439;width:104;height:115" coordorigin="2943,2439" coordsize="104,115" path="m2994,2439l2979,2440,2966,2445,2957,2453,2949,2464,2945,2473,2943,2484,2943,2497,2943,2509,2945,2519,2949,2528,2954,2536,2961,2544,2970,2549,2981,2553,2994,2554,3008,2552,3019,2548,3029,2542,3030,2541,2981,2541,2973,2536,2964,2518,2963,2510,2963,2482,2965,2471,2976,2455,2984,2451,3031,2451,3028,2449,3019,2443,3007,2440,2994,2439xm3031,2451l3007,2451,3015,2455,3023,2472,3025,2482,3025,2513,3023,2525,3011,2538,3003,2541,3030,2541,3037,2532,3043,2522,3046,2510,3046,2478,3042,2466,3036,2457,3031,2451xe" filled="true" fillcolor="#231f20" stroked="false">
              <v:path arrowok="t"/>
              <v:fill type="solid"/>
            </v:shape>
            <v:shape style="position:absolute;left:3062;top:2439;width:104;height:115" coordorigin="3062,2439" coordsize="104,115" path="m3113,2439l3098,2440,3085,2445,3076,2453,3068,2464,3064,2473,3062,2484,3062,2497,3062,2509,3064,2519,3068,2528,3073,2536,3080,2544,3089,2549,3100,2553,3113,2554,3126,2552,3138,2548,3148,2542,3149,2541,3100,2541,3092,2536,3083,2518,3082,2510,3082,2482,3084,2471,3095,2455,3103,2451,3150,2451,3147,2449,3138,2443,3126,2440,3113,2439xm3150,2451l3126,2451,3134,2455,3142,2472,3144,2482,3144,2513,3142,2525,3130,2538,3122,2541,3149,2541,3156,2532,3162,2522,3165,2510,3165,2478,3161,2466,3155,2457,3150,2451xe" filled="true" fillcolor="#231f20" stroked="false">
              <v:path arrowok="t"/>
              <v:fill type="solid"/>
            </v:shape>
            <v:line style="position:absolute" from="3192,2542" to="3214,2542" stroked="true" strokeweight=".851pt" strokecolor="#231f20"/>
            <v:shape style="position:absolute;left:3240;top:2439;width:104;height:115" coordorigin="3240,2439" coordsize="104,115" path="m3291,2439l3276,2440,3264,2445,3254,2453,3247,2464,3242,2473,3240,2484,3240,2497,3241,2509,3243,2519,3246,2528,3251,2536,3258,2544,3268,2549,3278,2553,3291,2554,3305,2552,3317,2548,3326,2542,3327,2541,3279,2541,3270,2536,3262,2518,3260,2510,3260,2482,3263,2471,3273,2455,3281,2451,3328,2451,3326,2449,3316,2443,3305,2440,3291,2439xm3328,2451l3304,2451,3312,2455,3321,2472,3323,2482,3323,2513,3320,2525,3308,2538,3301,2541,3327,2541,3334,2532,3340,2522,3343,2510,3343,2478,3340,2466,3333,2457,3328,2451xe" filled="true" fillcolor="#231f20" stroked="false">
              <v:path arrowok="t"/>
              <v:fill type="solid"/>
            </v:shape>
            <v:shape style="position:absolute;left:3359;top:2439;width:104;height:115" coordorigin="3359,2439" coordsize="104,115" path="m3410,2439l3395,2440,3383,2445,3373,2453,3365,2464,3361,2473,3359,2484,3359,2497,3360,2509,3362,2519,3365,2528,3370,2536,3377,2544,3386,2549,3397,2553,3410,2554,3424,2552,3436,2548,3445,2542,3446,2541,3398,2541,3389,2536,3381,2518,3379,2510,3379,2482,3382,2471,3392,2455,3400,2451,3447,2451,3445,2449,3435,2443,3424,2440,3410,2439xm3447,2451l3423,2451,3431,2455,3440,2472,3442,2482,3442,2513,3439,2525,3427,2538,3420,2541,3446,2541,3453,2532,3459,2522,3462,2510,3462,2478,3459,2466,3452,2457,3447,2451xe" filled="true" fillcolor="#231f20" stroked="false">
              <v:path arrowok="t"/>
              <v:fill type="solid"/>
            </v:shape>
            <v:shape style="position:absolute;left:2540;top:2880;width:56;height:112" coordorigin="2540,2880" coordsize="56,112" path="m2595,2880l2580,2880,2578,2888,2574,2894,2563,2898,2554,2900,2540,2901,2540,2912,2575,2912,2575,2991,2595,2991,2595,2880xe" filled="true" fillcolor="#231f20" stroked="false">
              <v:path arrowok="t"/>
              <v:fill type="solid"/>
            </v:shape>
            <v:shape style="position:absolute;left:2645;top:2879;width:104;height:115" coordorigin="2645,2879" coordsize="104,115" path="m2696,2879l2681,2881,2669,2886,2659,2893,2652,2905,2647,2914,2645,2925,2645,2937,2646,2949,2648,2959,2651,2969,2656,2977,2664,2984,2673,2990,2684,2993,2696,2994,2710,2993,2722,2989,2732,2982,2732,2981,2684,2981,2675,2976,2667,2958,2666,2950,2665,2923,2668,2911,2678,2896,2686,2892,2733,2892,2731,2889,2721,2884,2710,2880,2696,2879xm2733,2892l2710,2892,2718,2896,2726,2912,2728,2923,2728,2953,2725,2965,2714,2978,2706,2981,2732,2981,2739,2973,2745,2963,2748,2950,2748,2919,2745,2906,2738,2897,2733,2892xe" filled="true" fillcolor="#231f20" stroked="false">
              <v:path arrowok="t"/>
              <v:fill type="solid"/>
            </v:shape>
            <v:shape style="position:absolute;left:2775;top:2974;width:23;height:41" coordorigin="2775,2974" coordsize="23,41" path="m2798,2974l2775,2974,2775,2991,2787,2991,2787,2996,2786,2997,2783,3004,2780,3007,2775,3007,2775,3015,2783,3014,2789,3011,2796,3001,2798,2996,2798,2974xe" filled="true" fillcolor="#231f20" stroked="false">
              <v:path arrowok="t"/>
              <v:fill type="solid"/>
            </v:shape>
            <v:shape style="position:absolute;left:2824;top:2879;width:104;height:115" coordorigin="2824,2879" coordsize="104,115" path="m2875,2879l2860,2881,2847,2886,2838,2893,2830,2905,2826,2914,2824,2925,2824,2937,2824,2949,2826,2959,2830,2969,2835,2977,2842,2984,2851,2990,2862,2993,2875,2994,2889,2993,2900,2989,2910,2982,2911,2981,2862,2981,2854,2976,2846,2958,2844,2950,2844,2923,2846,2911,2857,2896,2865,2892,2912,2892,2909,2889,2900,2884,2888,2880,2875,2879xm2912,2892l2888,2892,2896,2896,2904,2912,2907,2923,2907,2953,2904,2965,2892,2978,2884,2981,2911,2981,2918,2973,2924,2963,2927,2950,2927,2919,2923,2906,2917,2897,2912,2892xe" filled="true" fillcolor="#231f20" stroked="false">
              <v:path arrowok="t"/>
              <v:fill type="solid"/>
            </v:shape>
            <v:shape style="position:absolute;left:2943;top:2879;width:104;height:115" coordorigin="2943,2879" coordsize="104,115" path="m2994,2879l2979,2881,2966,2886,2957,2893,2949,2905,2945,2914,2943,2925,2943,2937,2943,2949,2945,2959,2949,2969,2954,2977,2961,2984,2970,2990,2981,2993,2994,2994,3008,2993,3019,2989,3029,2982,3030,2981,2981,2981,2973,2976,2964,2958,2963,2950,2963,2923,2965,2911,2976,2896,2984,2892,3031,2892,3028,2889,3019,2884,3007,2880,2994,2879xm3031,2892l3007,2892,3015,2896,3023,2912,3025,2923,3025,2953,3023,2965,3011,2978,3003,2981,3030,2981,3037,2973,3043,2963,3046,2950,3046,2919,3042,2906,3036,2897,3031,2892xe" filled="true" fillcolor="#231f20" stroked="false">
              <v:path arrowok="t"/>
              <v:fill type="solid"/>
            </v:shape>
            <v:shape style="position:absolute;left:3062;top:2879;width:104;height:115" coordorigin="3062,2879" coordsize="104,115" path="m3113,2879l3098,2881,3085,2886,3076,2893,3068,2905,3064,2914,3062,2925,3062,2937,3062,2949,3064,2959,3068,2969,3073,2977,3080,2984,3089,2990,3100,2993,3113,2994,3126,2993,3138,2989,3148,2982,3149,2981,3100,2981,3092,2976,3083,2958,3082,2950,3082,2923,3084,2911,3095,2896,3103,2892,3150,2892,3147,2889,3138,2884,3126,2880,3113,2879xm3150,2892l3126,2892,3134,2896,3142,2912,3144,2923,3144,2953,3142,2965,3130,2978,3122,2981,3149,2981,3156,2973,3162,2963,3165,2950,3165,2919,3161,2906,3155,2897,3150,2892xe" filled="true" fillcolor="#231f20" stroked="false">
              <v:path arrowok="t"/>
              <v:fill type="solid"/>
            </v:shape>
            <v:line style="position:absolute" from="3192,2983" to="3214,2983" stroked="true" strokeweight=".85pt" strokecolor="#231f20"/>
            <v:shape style="position:absolute;left:3240;top:2879;width:104;height:115" coordorigin="3240,2879" coordsize="104,115" path="m3291,2879l3276,2881,3264,2886,3254,2893,3247,2905,3242,2914,3240,2925,3240,2937,3241,2949,3243,2959,3246,2969,3251,2977,3258,2984,3268,2990,3278,2993,3291,2994,3305,2993,3317,2989,3326,2982,3327,2981,3279,2981,3270,2976,3262,2958,3260,2950,3260,2923,3263,2911,3273,2896,3281,2892,3328,2892,3326,2889,3316,2884,3305,2880,3291,2879xm3328,2892l3304,2892,3312,2896,3321,2912,3323,2923,3323,2953,3320,2965,3308,2978,3301,2981,3327,2981,3334,2973,3340,2963,3343,2950,3343,2919,3340,2906,3333,2897,3328,2892xe" filled="true" fillcolor="#231f20" stroked="false">
              <v:path arrowok="t"/>
              <v:fill type="solid"/>
            </v:shape>
            <v:shape style="position:absolute;left:3359;top:2879;width:104;height:115" coordorigin="3359,2879" coordsize="104,115" path="m3410,2879l3395,2881,3383,2886,3373,2893,3365,2905,3361,2914,3359,2925,3359,2937,3360,2949,3362,2959,3365,2969,3370,2977,3377,2984,3386,2990,3397,2993,3410,2994,3424,2993,3436,2989,3445,2982,3446,2981,3398,2981,3389,2976,3381,2958,3379,2950,3379,2923,3382,2911,3392,2896,3400,2892,3447,2892,3445,2889,3435,2884,3424,2880,3410,2879xm3447,2892l3423,2892,3431,2896,3440,2912,3442,2923,3442,2953,3439,2965,3427,2978,3420,2981,3446,2981,3453,2973,3459,2963,3462,2950,3462,2919,3459,2906,3452,2897,3447,2892xe" filled="true" fillcolor="#231f20" stroked="false">
              <v:path arrowok="t"/>
              <v:fill type="solid"/>
            </v:shape>
            <v:shape style="position:absolute;left:3359;top:3320;width:103;height:115" type="#_x0000_t75" stroked="false">
              <v:imagedata r:id="rId451" o:title=""/>
            </v:shape>
            <v:shape style="position:absolute;left:3993;top:3433;width:412;height:112" type="#_x0000_t75" stroked="false">
              <v:imagedata r:id="rId452" o:title=""/>
            </v:shape>
            <v:shape style="position:absolute;left:5222;top:3433;width:413;height:112" type="#_x0000_t75" stroked="false">
              <v:imagedata r:id="rId453" o:title=""/>
            </v:shape>
            <v:shape style="position:absolute;left:6483;top:3433;width:411;height:112" type="#_x0000_t75" stroked="false">
              <v:imagedata r:id="rId454" o:title=""/>
            </v:shape>
            <v:shape style="position:absolute;left:7719;top:3433;width:411;height:112" type="#_x0000_t75" stroked="false">
              <v:imagedata r:id="rId455" o:title=""/>
            </v:shape>
            <v:rect style="position:absolute;left:3841;top:2647;width:276;height:721" filled="true" fillcolor="#ef4136" stroked="false">
              <v:fill type="solid"/>
            </v:rect>
            <v:line style="position:absolute" from="4117,3347" to="4393,3347" stroked="true" strokeweight="2.103pt" strokecolor="#f7941d"/>
            <v:rect style="position:absolute;left:4393;top:2860;width:276;height:509" filled="true" fillcolor="#c49a6c" stroked="false">
              <v:fill type="solid"/>
            </v:rect>
            <v:rect style="position:absolute;left:5087;top:931;width:276;height:2437" filled="true" fillcolor="#ef4136" stroked="false">
              <v:fill type="solid"/>
            </v:rect>
            <v:rect style="position:absolute;left:5363;top:3247;width:276;height:122" filled="true" fillcolor="#f7941d" stroked="false">
              <v:fill type="solid"/>
            </v:rect>
            <v:rect style="position:absolute;left:5639;top:2769;width:276;height:599" filled="true" fillcolor="#c49a6c" stroked="false">
              <v:fill type="solid"/>
            </v:rect>
            <v:rect style="position:absolute;left:6344;top:931;width:276;height:2437" filled="true" fillcolor="#ef4136" stroked="false">
              <v:fill type="solid"/>
            </v:rect>
            <v:rect style="position:absolute;left:6621;top:3247;width:276;height:122" filled="true" fillcolor="#f7941d" stroked="false">
              <v:fill type="solid"/>
            </v:rect>
            <v:rect style="position:absolute;left:6897;top:2827;width:276;height:541" filled="true" fillcolor="#c49a6c" stroked="false">
              <v:fill type="solid"/>
            </v:rect>
            <v:rect style="position:absolute;left:7587;top:3139;width:276;height:229" filled="true" fillcolor="#ef4136" stroked="false">
              <v:fill type="solid"/>
            </v:rect>
            <v:rect style="position:absolute;left:7863;top:3247;width:276;height:122" filled="true" fillcolor="#f7941d" stroked="false">
              <v:fill type="solid"/>
            </v:rect>
            <v:shape style="position:absolute;left:3731;top:3672;width:51;height:108" coordorigin="3731,3672" coordsize="51,108" path="m3782,3672l3769,3672,3766,3681,3762,3686,3753,3691,3744,3692,3731,3693,3731,3704,3764,3704,3764,3780,3782,3780,3782,3672xe" filled="true" fillcolor="#231f20" stroked="false">
              <v:path arrowok="t"/>
              <v:fill type="solid"/>
            </v:shape>
            <v:shape style="position:absolute;left:3829;top:3674;width:96;height:110" coordorigin="3829,3674" coordsize="96,110" path="m3847,3753l3829,3753,3830,3763,3834,3771,3852,3781,3862,3783,3873,3783,3885,3782,3896,3780,3905,3777,3912,3771,3912,3771,3869,3771,3864,3770,3852,3766,3848,3761,3847,3753xm3914,3723l3883,3723,3890,3725,3902,3733,3905,3739,3905,3753,3902,3758,3893,3769,3885,3771,3912,3771,3920,3764,3924,3755,3924,3734,3919,3726,3914,3723xm3916,3674l3844,3674,3834,3732,3849,3733,3852,3730,3855,3727,3864,3723,3869,3723,3914,3723,3907,3717,3851,3717,3857,3687,3916,3687,3916,3674xm3891,3710l3871,3710,3866,3711,3857,3714,3854,3715,3851,3717,3907,3717,3902,3714,3891,3710xe" filled="true" fillcolor="#231f20" stroked="false">
              <v:path arrowok="t"/>
              <v:fill type="solid"/>
            </v:shape>
            <v:shape style="position:absolute;left:3948;top:3764;width:21;height:40" coordorigin="3948,3764" coordsize="21,40" path="m3969,3764l3948,3764,3948,3780,3959,3780,3959,3785,3959,3787,3956,3793,3953,3796,3948,3796,3948,3803,3956,3802,3961,3800,3968,3790,3969,3785,3969,3764xe" filled="true" fillcolor="#231f20" stroked="false">
              <v:path arrowok="t"/>
              <v:fill type="solid"/>
            </v:shape>
            <v:shape style="position:absolute;left:3993;top:3674;width:96;height:110" coordorigin="3993,3674" coordsize="96,110" path="m4011,3753l3993,3753,3994,3763,3999,3771,4016,3781,4026,3783,4038,3783,4050,3782,4061,3780,4069,3777,4076,3771,4076,3771,4034,3771,4029,3770,4017,3766,4012,3761,4011,3753xm4079,3723l4048,3723,4055,3725,4067,3733,4070,3739,4070,3753,4067,3758,4057,3769,4050,3771,4076,3771,4084,3764,4088,3755,4088,3734,4084,3726,4079,3723xm4081,3674l4009,3674,3998,3732,4013,3733,4016,3730,4020,3727,4029,3723,4034,3723,4079,3723,4071,3717,4016,3717,4022,3687,4081,3687,4081,3674xm4056,3710l4036,3710,4030,3711,4022,3714,4019,3715,4016,3717,4071,3717,4066,3714,4056,3710xe" filled="true" fillcolor="#231f20" stroked="false">
              <v:path arrowok="t"/>
              <v:fill type="solid"/>
            </v:shape>
            <v:shape style="position:absolute;left:4103;top:3672;width:96;height:109" coordorigin="4103,3672" coordsize="96,109" path="m4190,3684l4161,3684,4167,3686,4177,3693,4179,3698,4179,3710,4177,3715,4168,3722,4162,3725,4123,3743,4115,3749,4106,3763,4104,3771,4103,3780,4198,3780,4198,3768,4122,3768,4124,3762,4128,3757,4138,3750,4143,3748,4174,3734,4182,3730,4194,3720,4198,3713,4198,3696,4195,3688,4190,3684xm4169,3672l4153,3672,4140,3673,4129,3676,4120,3680,4113,3687,4109,3693,4106,3701,4106,3710,4124,3710,4124,3704,4126,3698,4133,3688,4141,3684,4190,3684,4180,3675,4169,3672xe" filled="true" fillcolor="#231f20" stroked="false">
              <v:path arrowok="t"/>
              <v:fill type="solid"/>
            </v:shape>
            <v:shape style="position:absolute;left:4214;top:3674;width:97;height:107" coordorigin="4214,3674" coordsize="97,107" path="m4310,3674l4214,3674,4214,3688,4290,3688,4283,3694,4244,3749,4233,3780,4253,3780,4256,3769,4258,3761,4263,3748,4267,3740,4273,3730,4278,3721,4285,3712,4300,3695,4305,3689,4310,3686,4310,3674xe" filled="true" fillcolor="#231f20" stroked="false">
              <v:path arrowok="t"/>
              <v:fill type="solid"/>
            </v:shape>
            <v:shape style="position:absolute;left:4333;top:3764;width:21;height:40" coordorigin="4333,3764" coordsize="21,40" path="m4353,3764l4333,3764,4333,3780,4343,3780,4343,3785,4343,3787,4340,3793,4337,3796,4333,3796,4333,3803,4340,3802,4346,3800,4352,3790,4353,3785,4353,3764xe" filled="true" fillcolor="#231f20" stroked="false">
              <v:path arrowok="t"/>
              <v:fill type="solid"/>
            </v:shape>
            <v:shape style="position:absolute;left:4376;top:3672;width:97;height:112" coordorigin="4376,3672" coordsize="97,112" path="m4394,3747l4376,3747,4376,3757,4380,3766,4394,3780,4406,3783,4439,3783,4451,3780,4463,3771,4412,3771,4404,3768,4399,3762,4397,3759,4395,3754,4394,3747xm4465,3730l4431,3730,4439,3732,4451,3738,4454,3743,4454,3756,4451,3761,4440,3769,4433,3771,4463,3771,4468,3767,4473,3759,4473,3742,4470,3736,4465,3730xm4414,3718l4414,3730,4465,3730,4462,3727,4457,3724,4449,3723,4454,3721,4458,3719,4458,3719,4429,3719,4417,3719,4414,3718xm4463,3684l4431,3684,4437,3686,4447,3692,4449,3696,4449,3708,4446,3713,4434,3718,4429,3719,4458,3719,4465,3713,4467,3708,4467,3691,4463,3684xm4437,3672l4423,3672,4411,3673,4400,3676,4392,3680,4386,3687,4382,3693,4379,3700,4379,3708,4397,3708,4397,3701,4398,3697,4405,3687,4413,3684,4463,3684,4463,3684,4448,3674,4437,3672xe" filled="true" fillcolor="#231f20" stroked="false">
              <v:path arrowok="t"/>
              <v:fill type="solid"/>
            </v:shape>
            <v:shape style="position:absolute;left:4486;top:3672;width:97;height:112" coordorigin="4486,3672" coordsize="97,112" path="m4504,3747l4486,3747,4486,3757,4490,3766,4504,3780,4516,3783,4548,3783,4561,3780,4573,3771,4522,3771,4513,3768,4509,3762,4506,3759,4505,3754,4504,3747xm4575,3730l4541,3730,4549,3732,4561,3738,4564,3743,4564,3756,4561,3761,4550,3769,4542,3771,4573,3771,4578,3767,4582,3759,4582,3742,4580,3736,4575,3730xm4524,3718l4524,3730,4575,3730,4572,3727,4566,3724,4559,3723,4564,3721,4567,3719,4568,3719,4539,3719,4527,3719,4524,3718xm4573,3684l4541,3684,4547,3686,4557,3692,4559,3696,4559,3708,4555,3713,4544,3718,4539,3719,4568,3719,4575,3713,4577,3708,4577,3691,4573,3684xm4547,3672l4533,3672,4520,3673,4510,3676,4502,3680,4495,3687,4491,3693,4489,3700,4489,3708,4506,3708,4507,3701,4508,3697,4515,3687,4523,3684,4573,3684,4573,3684,4558,3674,4547,3672xe" filled="true" fillcolor="#231f20" stroked="false">
              <v:path arrowok="t"/>
              <v:fill type="solid"/>
            </v:shape>
            <v:shape style="position:absolute;left:4598;top:3674;width:97;height:107" coordorigin="4598,3674" coordsize="97,107" path="m4694,3674l4598,3674,4598,3688,4675,3688,4667,3694,4628,3749,4618,3780,4637,3780,4640,3769,4642,3761,4647,3748,4651,3740,4657,3730,4663,3721,4669,3712,4684,3695,4690,3689,4694,3686,4694,3674xe" filled="true" fillcolor="#231f20" stroked="false">
              <v:path arrowok="t"/>
              <v:fill type="solid"/>
            </v:shape>
            <v:shape style="position:absolute;left:1116;top:3688;width:639;height:114" type="#_x0000_t75" stroked="false">
              <v:imagedata r:id="rId456" o:title=""/>
            </v:shape>
            <v:shape style="position:absolute;left:1130;top:3861;width:110;height:108" coordorigin="1130,3861" coordsize="110,108" path="m1238,3861l1130,3861,1130,3969,1239,3969,1239,3956,1150,3956,1150,3919,1231,3919,1231,3907,1150,3907,1150,3874,1238,3874,1238,3861xe" filled="true" fillcolor="#231f20" stroked="false">
              <v:path arrowok="t"/>
              <v:fill type="solid"/>
            </v:shape>
            <v:shape style="position:absolute;left:1260;top:3858;width:116;height:114" coordorigin="1260,3858" coordsize="116,114" path="m1279,3934l1260,3934,1260,3945,1265,3955,1275,3961,1283,3966,1293,3969,1305,3971,1317,3972,1328,3971,1339,3970,1349,3967,1358,3964,1368,3959,1302,3959,1291,3956,1281,3945,1279,3940,1279,3934xm1332,3858l1300,3858,1287,3861,1270,3873,1265,3881,1265,3900,1270,3907,1284,3914,1293,3916,1336,3924,1343,3926,1348,3928,1353,3931,1356,3935,1356,3949,1350,3954,1332,3959,1326,3959,1368,3959,1369,3959,1375,3950,1375,3929,1371,3921,1361,3916,1356,3914,1349,3911,1305,3904,1297,3902,1293,3900,1287,3898,1284,3894,1284,3884,1287,3880,1297,3872,1305,3871,1364,3871,1345,3861,1332,3858xm1364,3871l1330,3871,1340,3873,1346,3879,1349,3882,1351,3887,1352,3892,1371,3892,1371,3880,1366,3872,1364,3871xe" filled="true" fillcolor="#231f20" stroked="false">
              <v:path arrowok="t"/>
              <v:fill type="solid"/>
            </v:shape>
            <v:shape style="position:absolute;left:1391;top:3861;width:121;height:108" coordorigin="1391,3861" coordsize="121,108" path="m1461,3873l1441,3873,1441,3969,1461,3969,1461,3873xm1511,3861l1391,3861,1391,3873,1511,3873,1511,3861xe" filled="true" fillcolor="#231f20" stroked="false">
              <v:path arrowok="t"/>
              <v:fill type="solid"/>
            </v:shape>
            <v:shape style="position:absolute;left:1502;top:3861;width:133;height:108" coordorigin="1502,3861" coordsize="133,108" path="m1580,3861l1558,3861,1502,3969,1523,3969,1539,3936,1618,3936,1612,3924,1545,3924,1568,3877,1588,3877,1580,3861xm1618,3936l1597,3936,1612,3969,1634,3969,1618,3936xm1588,3877l1568,3877,1591,3924,1612,3924,1588,3877xe" filled="true" fillcolor="#231f20" stroked="false">
              <v:path arrowok="t"/>
              <v:fill type="solid"/>
            </v:shape>
            <v:shape style="position:absolute;left:1625;top:3861;width:121;height:108" coordorigin="1625,3861" coordsize="121,108" path="m1695,3873l1675,3873,1675,3969,1695,3969,1695,3873xm1745,3861l1625,3861,1625,3873,1745,3873,1745,3861xe" filled="true" fillcolor="#231f20" stroked="false">
              <v:path arrowok="t"/>
              <v:fill type="solid"/>
            </v:shape>
            <v:shape style="position:absolute;left:1827;top:3688;width:690;height:114" type="#_x0000_t75" stroked="false">
              <v:imagedata r:id="rId457" o:title=""/>
            </v:shape>
            <v:shape style="position:absolute;left:2549;top:3688;width:409;height:114" type="#_x0000_t75" stroked="false">
              <v:imagedata r:id="rId458" o:title=""/>
            </v:shape>
            <v:shape style="position:absolute;left:2989;top:3659;width:330;height:151" type="#_x0000_t75" stroked="false">
              <v:imagedata r:id="rId459" o:title=""/>
            </v:shape>
            <v:shape style="position:absolute;left:1736;top:3861;width:133;height:108" coordorigin="1736,3861" coordsize="133,108" path="m1814,3861l1791,3861,1736,3969,1756,3969,1772,3936,1852,3936,1846,3924,1778,3924,1802,3877,1822,3877,1814,3861xm1852,3936l1830,3936,1846,3969,1868,3969,1852,3936xm1822,3877l1802,3877,1825,3924,1846,3924,1822,3877xe" filled="true" fillcolor="#231f20" stroked="false">
              <v:path arrowok="t"/>
              <v:fill type="solid"/>
            </v:shape>
            <v:shape style="position:absolute;left:1886;top:3861;width:95;height:108" coordorigin="1886,3861" coordsize="95,108" path="m1906,3861l1886,3861,1886,3969,1980,3969,1980,3956,1906,3956,1906,3861xe" filled="true" fillcolor="#231f20" stroked="false">
              <v:path arrowok="t"/>
              <v:fill type="solid"/>
            </v:shape>
            <v:shape style="position:absolute;left:2053;top:3861;width:512;height:108" type="#_x0000_t75" stroked="false">
              <v:imagedata r:id="rId460" o:title=""/>
            </v:shape>
            <v:shape style="position:absolute;left:2587;top:3850;width:176;height:128" type="#_x0000_t75" stroked="false">
              <v:imagedata r:id="rId461" o:title=""/>
            </v:shape>
            <v:shape style="position:absolute;left:2794;top:3850;width:677;height:128" type="#_x0000_t75" stroked="false">
              <v:imagedata r:id="rId462" o:title=""/>
            </v:shape>
            <v:shape style="position:absolute;left:1116;top:4096;width:639;height:114" type="#_x0000_t75" stroked="false">
              <v:imagedata r:id="rId456" o:title=""/>
            </v:shape>
            <v:shape style="position:absolute;left:1817;top:4096;width:714;height:114" type="#_x0000_t75" stroked="false">
              <v:imagedata r:id="rId463" o:title=""/>
            </v:shape>
            <v:shape style="position:absolute;left:1133;top:4258;width:330;height:128" type="#_x0000_t75" stroked="false">
              <v:imagedata r:id="rId464" o:title=""/>
            </v:shape>
            <v:shape style="position:absolute;left:1498;top:4265;width:692;height:114" type="#_x0000_t75" stroked="false">
              <v:imagedata r:id="rId465" o:title=""/>
            </v:shape>
            <v:shape style="position:absolute;left:1130;top:4479;width:386;height:114" type="#_x0000_t75" stroked="false">
              <v:imagedata r:id="rId466" o:title=""/>
            </v:shape>
            <v:shape style="position:absolute;left:1554;top:4472;width:195;height:128" type="#_x0000_t75" stroked="false">
              <v:imagedata r:id="rId467" o:title=""/>
            </v:shape>
            <v:shape style="position:absolute;left:4970;top:3672;width:558;height:132" type="#_x0000_t75" stroked="false">
              <v:imagedata r:id="rId468" o:title=""/>
            </v:shape>
            <v:shape style="position:absolute;left:5584;top:3672;width:360;height:132" type="#_x0000_t75" stroked="false">
              <v:imagedata r:id="rId469" o:title=""/>
            </v:shape>
            <v:shape style="position:absolute;left:6216;top:3672;width:558;height:132" type="#_x0000_t75" stroked="false">
              <v:imagedata r:id="rId470" o:title=""/>
            </v:shape>
            <v:shape style="position:absolute;left:6830;top:3672;width:360;height:132" type="#_x0000_t75" stroked="false">
              <v:imagedata r:id="rId471" o:title=""/>
            </v:shape>
            <v:shape style="position:absolute;left:7504;top:3672;width:99;height:109" coordorigin="7504,3672" coordsize="99,109" path="m7581,3754l7564,3754,7564,3780,7581,3780,7581,3754xm7581,3672l7567,3672,7504,3741,7504,3754,7602,3754,7602,3742,7520,3742,7564,3693,7581,3693,7581,3672xm7581,3693l7564,3693,7564,3742,7581,3742,7581,3693xe" filled="true" fillcolor="#231f20" stroked="false">
              <v:path arrowok="t"/>
              <v:fill type="solid"/>
            </v:shape>
            <v:shape style="position:absolute;left:7625;top:3764;width:21;height:40" coordorigin="7625,3764" coordsize="21,40" path="m7645,3764l7625,3764,7625,3780,7635,3780,7635,3785,7635,3787,7632,3793,7629,3796,7625,3796,7625,3803,7632,3802,7638,3800,7644,3790,7645,3785,7645,3764xe" filled="true" fillcolor="#231f20" stroked="false">
              <v:path arrowok="t"/>
              <v:fill type="solid"/>
            </v:shape>
            <v:shape style="position:absolute;left:7668;top:3672;width:97;height:112" coordorigin="7668,3672" coordsize="97,112" path="m7686,3747l7668,3747,7668,3757,7672,3766,7686,3780,7698,3783,7730,3783,7743,3780,7755,3771,7704,3771,7696,3768,7691,3762,7688,3759,7687,3754,7686,3747xm7757,3730l7723,3730,7731,3732,7743,3738,7746,3743,7746,3756,7743,3761,7732,3769,7725,3771,7755,3771,7760,3767,7764,3759,7764,3742,7762,3736,7757,3730xm7706,3718l7706,3730,7757,3730,7754,3727,7749,3724,7741,3723,7746,3721,7749,3719,7750,3719,7721,3719,7709,3719,7706,3718xm7755,3684l7723,3684,7729,3686,7739,3692,7741,3696,7741,3708,7737,3713,7726,3718,7721,3719,7750,3719,7757,3713,7759,3708,7759,3691,7755,3684xm7729,3672l7715,3672,7703,3673,7692,3676,7684,3680,7678,3687,7673,3693,7671,3700,7671,3708,7689,3708,7689,3701,7690,3697,7697,3687,7705,3684,7755,3684,7755,3684,7740,3674,7729,3672xe" filled="true" fillcolor="#231f20" stroked="false">
              <v:path arrowok="t"/>
              <v:fill type="solid"/>
            </v:shape>
            <v:shape style="position:absolute;left:7780;top:3674;width:97;height:107" coordorigin="7780,3674" coordsize="97,107" path="m7876,3674l7780,3674,7780,3688,7857,3688,7849,3694,7810,3749,7800,3780,7819,3780,7822,3769,7824,3761,7829,3748,7834,3740,7839,3730,7845,3721,7851,3712,7866,3695,7872,3689,7876,3686,7876,3674xe" filled="true" fillcolor="#231f20" stroked="false">
              <v:path arrowok="t"/>
              <v:fill type="solid"/>
            </v:shape>
            <v:shape style="position:absolute;left:7889;top:3672;width:96;height:109" coordorigin="7889,3672" coordsize="96,109" path="m7976,3684l7947,3684,7953,3686,7963,3693,7965,3698,7965,3710,7963,3715,7954,3722,7948,3725,7909,3743,7901,3749,7892,3763,7890,3771,7889,3780,7984,3780,7984,3768,7908,3768,7910,3762,7914,3757,7924,3750,7929,3748,7960,3734,7968,3730,7981,3720,7985,3713,7985,3696,7981,3688,7976,3684xm7955,3672l7939,3672,7926,3673,7915,3676,7906,3680,7899,3687,7895,3693,7893,3701,7892,3710,7910,3710,7910,3704,7912,3698,7919,3688,7927,3684,7976,3684,7966,3675,7955,3672xe" filled="true" fillcolor="#231f20" stroked="false">
              <v:path arrowok="t"/>
              <v:fill type="solid"/>
            </v:shape>
            <v:shape style="position:absolute;left:8009;top:3764;width:21;height:40" coordorigin="8009,3764" coordsize="21,40" path="m8030,3764l8009,3764,8009,3780,8020,3780,8020,3785,8019,3787,8017,3793,8014,3796,8009,3796,8009,3803,8017,3802,8022,3800,8028,3790,8030,3785,8030,3764xe" filled="true" fillcolor="#231f20" stroked="false">
              <v:path arrowok="t"/>
              <v:fill type="solid"/>
            </v:shape>
            <v:shape style="position:absolute;left:8054;top:3672;width:95;height:112" coordorigin="8054,3672" coordsize="95,112" path="m8115,3672l8088,3672,8077,3675,8062,3686,8059,3693,8059,3708,8061,3713,8066,3717,8069,3719,8073,3721,8078,3723,8070,3725,8064,3729,8056,3738,8054,3744,8054,3761,8059,3769,8077,3781,8089,3784,8117,3784,8128,3780,8140,3771,8092,3771,8085,3769,8075,3761,8073,3756,8073,3744,8076,3739,8086,3731,8093,3729,8139,3729,8136,3727,8132,3725,8126,3723,8131,3720,8135,3718,8136,3717,8095,3717,8089,3716,8079,3710,8077,3706,8077,3696,8079,3693,8086,3686,8092,3684,8139,3684,8125,3674,8115,3672xm8139,3729l8110,3729,8117,3731,8128,3738,8130,3744,8130,3757,8128,3763,8117,3769,8110,3771,8140,3771,8145,3767,8149,3759,8149,3741,8146,3735,8139,3729xm8139,3684l8109,3684,8115,3686,8124,3693,8126,3696,8126,3705,8123,3709,8115,3716,8109,3717,8136,3717,8142,3711,8144,3706,8144,3692,8140,3685,8139,3684xe" filled="true" fillcolor="#231f20" stroked="false">
              <v:path arrowok="t"/>
              <v:fill type="solid"/>
            </v:shape>
            <v:shape style="position:absolute;left:8164;top:3674;width:96;height:110" coordorigin="8164,3674" coordsize="96,110" path="m8182,3753l8164,3753,8165,3763,8170,3771,8187,3781,8197,3783,8208,3783,8220,3782,8231,3780,8240,3777,8247,3771,8247,3771,8204,3771,8200,3770,8188,3766,8183,3761,8182,3753xm8249,3723l8218,3723,8225,3725,8237,3733,8240,3739,8240,3753,8238,3758,8228,3769,8220,3771,8247,3771,8255,3764,8259,3755,8259,3734,8254,3726,8249,3723xm8251,3674l8179,3674,8169,3732,8184,3733,8187,3730,8191,3727,8199,3723,8204,3723,8249,3723,8242,3717,8186,3717,8192,3687,8251,3687,8251,3674xm8226,3710l8207,3710,8201,3711,8196,3713,8193,3714,8190,3715,8186,3717,8242,3717,8237,3714,8226,3710xe" filled="true" fillcolor="#231f20" stroked="false">
              <v:path arrowok="t"/>
              <v:fill type="solid"/>
            </v:shape>
            <v:shape style="position:absolute;left:8273;top:3672;width:96;height:112" coordorigin="8273,3672" coordsize="96,112" path="m8321,3672l8307,3674,8295,3678,8286,3686,8279,3697,8275,3706,8273,3716,8273,3744,8277,3757,8284,3766,8290,3774,8299,3779,8309,3782,8321,3783,8333,3782,8344,3778,8353,3772,8354,3771,8309,3771,8301,3766,8294,3749,8292,3741,8292,3714,8294,3703,8304,3688,8311,3684,8355,3684,8353,3682,8344,3676,8333,3673,8321,3672xm8355,3684l8333,3684,8340,3688,8348,3704,8350,3714,8350,3744,8347,3755,8337,3768,8329,3771,8354,3771,8360,3763,8366,3753,8369,3741,8369,3711,8366,3698,8359,3689,8355,3684xe" filled="true" fillcolor="#231f20" stroked="false">
              <v:path arrowok="t"/>
              <v:fill type="solid"/>
            </v:shape>
            <v:shape style="position:absolute;left:3861;top:4073;width:700;height:132" type="#_x0000_t75" stroked="false">
              <v:imagedata r:id="rId472" o:title=""/>
            </v:shape>
            <v:shape style="position:absolute;left:5027;top:4074;width:51;height:108" coordorigin="5027,4074" coordsize="51,108" path="m5078,4074l5064,4074,5062,4082,5058,4088,5048,4092,5039,4094,5027,4095,5027,4105,5059,4105,5059,4182,5078,4182,5078,4074xe" filled="true" fillcolor="#231f20" stroked="false">
              <v:path arrowok="t"/>
              <v:fill type="solid"/>
            </v:shape>
            <v:shape style="position:absolute;left:5134;top:4073;width:746;height:132" type="#_x0000_t75" stroked="false">
              <v:imagedata r:id="rId473" o:title=""/>
            </v:shape>
            <v:shape style="position:absolute;left:6282;top:4074;width:51;height:108" coordorigin="6282,4074" coordsize="51,108" path="m6333,4074l6319,4074,6316,4082,6313,4088,6303,4092,6294,4094,6282,4095,6282,4105,6314,4105,6314,4182,6333,4182,6333,4074xe" filled="true" fillcolor="#231f20" stroked="false">
              <v:path arrowok="t"/>
              <v:fill type="solid"/>
            </v:shape>
            <v:shape style="position:absolute;left:6389;top:4073;width:746;height:132" type="#_x0000_t75" stroked="false">
              <v:imagedata r:id="rId474" o:title=""/>
            </v:shape>
            <v:shape style="position:absolute;left:3731;top:4481;width:961;height:132" type="#_x0000_t75" stroked="false">
              <v:imagedata r:id="rId475" o:title=""/>
            </v:shape>
            <v:shape style="position:absolute;left:4983;top:4481;width:545;height:132" type="#_x0000_t75" stroked="false">
              <v:imagedata r:id="rId476" o:title=""/>
            </v:shape>
            <v:shape style="position:absolute;left:5584;top:4481;width:360;height:132" type="#_x0000_t75" stroked="false">
              <v:imagedata r:id="rId477" o:title=""/>
            </v:shape>
            <v:shape style="position:absolute;left:6218;top:4482;width:51;height:108" coordorigin="6218,4482" coordsize="51,108" path="m6269,4482l6255,4482,6252,4490,6249,4495,6239,4500,6230,4502,6218,4502,6218,4513,6250,4513,6250,4590,6269,4590,6269,4482xe" filled="true" fillcolor="#231f20" stroked="false">
              <v:path arrowok="t"/>
              <v:fill type="solid"/>
            </v:shape>
            <v:shape style="position:absolute;left:6313;top:4482;width:51;height:108" coordorigin="6313,4482" coordsize="51,108" path="m6364,4482l6350,4482,6348,4490,6344,4495,6334,4500,6325,4502,6313,4502,6313,4513,6345,4513,6345,4590,6364,4590,6364,4482xe" filled="true" fillcolor="#231f20" stroked="false">
              <v:path arrowok="t"/>
              <v:fill type="solid"/>
            </v:shape>
            <v:shape style="position:absolute;left:6420;top:4481;width:744;height:132" type="#_x0000_t75" stroked="false">
              <v:imagedata r:id="rId478" o:title=""/>
            </v:shape>
            <v:shape style="position:absolute;left:7517;top:4074;width:51;height:108" coordorigin="7517,4074" coordsize="51,108" path="m7568,4074l7555,4074,7552,4082,7549,4088,7539,4092,7530,4094,7517,4095,7517,4105,7550,4105,7550,4182,7568,4182,7568,4074xe" filled="true" fillcolor="#231f20" stroked="false">
              <v:path arrowok="t"/>
              <v:fill type="solid"/>
            </v:shape>
            <v:shape style="position:absolute;left:7625;top:4073;width:746;height:132" type="#_x0000_t75" stroked="false">
              <v:imagedata r:id="rId479" o:title=""/>
            </v:shape>
            <v:rect style="position:absolute;left:905;top:3695;width:132;height:132" filled="true" fillcolor="#ef4136" stroked="false">
              <v:fill type="solid"/>
            </v:rect>
            <v:rect style="position:absolute;left:905;top:4097;width:132;height:132" filled="true" fillcolor="#f7941d" stroked="false">
              <v:fill type="solid"/>
            </v:rect>
            <v:rect style="position:absolute;left:905;top:4458;width:132;height:132" filled="true" fillcolor="#c49a6c" stroked="false">
              <v:fill type="solid"/>
            </v:rect>
            <v:rect style="position:absolute;left:855;top:3600;width:7710;height:1037" filled="false" stroked="true" strokeweight=".5pt" strokecolor="#231f20"/>
            <v:line style="position:absolute" from="855,4021" to="8565,4021" stroked="true" strokeweight=".5pt" strokecolor="#231f20"/>
            <v:line style="position:absolute" from="8565,4409" to="855,4409" stroked="true" strokeweight=".5pt" strokecolor="#231f20"/>
            <v:line style="position:absolute" from="3572,4638" to="3572,3368" stroked="true" strokeweight=".5pt" strokecolor="#231f20"/>
            <v:line style="position:absolute" from="4826,4638" to="4826,3368" stroked="true" strokeweight=".5pt" strokecolor="#231f20"/>
            <v:line style="position:absolute" from="6068,4638" to="6068,3368" stroked="true" strokeweight=".5pt" strokecolor="#231f20"/>
            <v:line style="position:absolute" from="7323,4638" to="7323,3368" stroked="true" strokeweight=".5pt" strokecolor="#231f20"/>
            <v:shape style="position:absolute;left:3572;top:721;width:5206;height:2647" coordorigin="3572,721" coordsize="5206,2647" path="m3572,721l3572,3368,8778,3368,8778,721e" filled="false" stroked="true" strokeweight="1pt" strokecolor="#231f20">
              <v:path arrowok="t"/>
            </v:shape>
            <w10:wrap type="topAndBottom"/>
          </v:group>
        </w:pict>
      </w:r>
    </w:p>
    <w:p>
      <w:pPr>
        <w:pStyle w:val="BodyText"/>
      </w:pPr>
    </w:p>
    <w:p>
      <w:pPr>
        <w:pStyle w:val="BodyText"/>
        <w:spacing w:before="6"/>
        <w:rPr>
          <w:sz w:val="4"/>
        </w:rPr>
      </w:pPr>
    </w:p>
    <w:p>
      <w:pPr>
        <w:pStyle w:val="BodyText"/>
        <w:spacing w:line="102" w:lineRule="exact"/>
        <w:ind w:left="5099"/>
        <w:rPr>
          <w:sz w:val="10"/>
        </w:rPr>
      </w:pPr>
      <w:r>
        <w:rPr>
          <w:position w:val="-1"/>
          <w:sz w:val="10"/>
        </w:rPr>
        <w:drawing>
          <wp:inline distT="0" distB="0" distL="0" distR="0">
            <wp:extent cx="298754" cy="65341"/>
            <wp:effectExtent l="0" t="0" r="0" b="0"/>
            <wp:docPr id="257" name="image426.png" descr=""/>
            <wp:cNvGraphicFramePr>
              <a:graphicFrameLocks noChangeAspect="1"/>
            </wp:cNvGraphicFramePr>
            <a:graphic>
              <a:graphicData uri="http://schemas.openxmlformats.org/drawingml/2006/picture">
                <pic:pic>
                  <pic:nvPicPr>
                    <pic:cNvPr id="258" name="image426.png"/>
                    <pic:cNvPicPr/>
                  </pic:nvPicPr>
                  <pic:blipFill>
                    <a:blip r:embed="rId480" cstate="print"/>
                    <a:stretch>
                      <a:fillRect/>
                    </a:stretch>
                  </pic:blipFill>
                  <pic:spPr>
                    <a:xfrm>
                      <a:off x="0" y="0"/>
                      <a:ext cx="298754" cy="65341"/>
                    </a:xfrm>
                    <a:prstGeom prst="rect">
                      <a:avLst/>
                    </a:prstGeom>
                  </pic:spPr>
                </pic:pic>
              </a:graphicData>
            </a:graphic>
          </wp:inline>
        </w:drawing>
      </w:r>
      <w:r>
        <w:rPr>
          <w:position w:val="-1"/>
          <w:sz w:val="10"/>
        </w:rPr>
      </w:r>
    </w:p>
    <w:p>
      <w:pPr>
        <w:pStyle w:val="BodyText"/>
      </w:pPr>
    </w:p>
    <w:p>
      <w:pPr>
        <w:spacing w:before="144"/>
        <w:ind w:left="1592" w:right="-5" w:firstLine="0"/>
        <w:jc w:val="left"/>
        <w:rPr>
          <w:rFonts w:ascii="Calibri" w:hAnsi="Calibri"/>
          <w:sz w:val="16"/>
        </w:rPr>
      </w:pPr>
      <w:r>
        <w:rPr>
          <w:rFonts w:ascii="Calibri" w:hAnsi="Calibri"/>
          <w:color w:val="231F20"/>
          <w:sz w:val="16"/>
        </w:rPr>
        <w:t>FUENTE: Elaboración propia con información de Secretaría de Finanzas del Estado de México (2008a)</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El</w:t>
      </w:r>
      <w:r>
        <w:rPr>
          <w:color w:val="231F20"/>
          <w:spacing w:val="-4"/>
          <w:w w:val="105"/>
        </w:rPr>
        <w:t> </w:t>
      </w:r>
      <w:r>
        <w:rPr>
          <w:color w:val="231F20"/>
          <w:w w:val="105"/>
        </w:rPr>
        <w:t>rubro</w:t>
      </w:r>
      <w:r>
        <w:rPr>
          <w:color w:val="231F20"/>
          <w:spacing w:val="-4"/>
          <w:w w:val="105"/>
        </w:rPr>
        <w:t> </w:t>
      </w:r>
      <w:r>
        <w:rPr>
          <w:color w:val="231F20"/>
          <w:w w:val="105"/>
        </w:rPr>
        <w:t>de</w:t>
      </w:r>
      <w:r>
        <w:rPr>
          <w:color w:val="231F20"/>
          <w:spacing w:val="-4"/>
          <w:w w:val="105"/>
        </w:rPr>
        <w:t> </w:t>
      </w:r>
      <w:r>
        <w:rPr>
          <w:color w:val="231F20"/>
          <w:w w:val="105"/>
        </w:rPr>
        <w:t>otros</w:t>
      </w:r>
      <w:r>
        <w:rPr>
          <w:color w:val="231F20"/>
          <w:spacing w:val="-4"/>
          <w:w w:val="105"/>
        </w:rPr>
        <w:t> </w:t>
      </w:r>
      <w:r>
        <w:rPr>
          <w:color w:val="231F20"/>
          <w:w w:val="105"/>
        </w:rPr>
        <w:t>ingresos</w:t>
      </w:r>
      <w:r>
        <w:rPr>
          <w:color w:val="231F20"/>
          <w:spacing w:val="-4"/>
          <w:w w:val="105"/>
        </w:rPr>
        <w:t> </w:t>
      </w:r>
      <w:r>
        <w:rPr>
          <w:color w:val="231F20"/>
          <w:w w:val="105"/>
        </w:rPr>
        <w:t>lo</w:t>
      </w:r>
      <w:r>
        <w:rPr>
          <w:color w:val="231F20"/>
          <w:spacing w:val="-4"/>
          <w:w w:val="105"/>
        </w:rPr>
        <w:t> </w:t>
      </w:r>
      <w:r>
        <w:rPr>
          <w:color w:val="231F20"/>
          <w:w w:val="105"/>
        </w:rPr>
        <w:t>compone</w:t>
      </w:r>
      <w:r>
        <w:rPr>
          <w:color w:val="231F20"/>
          <w:spacing w:val="-4"/>
          <w:w w:val="105"/>
        </w:rPr>
        <w:t> </w:t>
      </w:r>
      <w:r>
        <w:rPr>
          <w:color w:val="231F20"/>
          <w:w w:val="105"/>
        </w:rPr>
        <w:t>el</w:t>
      </w:r>
      <w:r>
        <w:rPr>
          <w:color w:val="231F20"/>
          <w:spacing w:val="-4"/>
          <w:w w:val="105"/>
        </w:rPr>
        <w:t> </w:t>
      </w:r>
      <w:r>
        <w:rPr>
          <w:color w:val="231F20"/>
          <w:spacing w:val="-3"/>
          <w:w w:val="105"/>
        </w:rPr>
        <w:t>Fondo</w:t>
      </w:r>
      <w:r>
        <w:rPr>
          <w:color w:val="231F20"/>
          <w:spacing w:val="-4"/>
          <w:w w:val="105"/>
        </w:rPr>
        <w:t> </w:t>
      </w:r>
      <w:r>
        <w:rPr>
          <w:color w:val="231F20"/>
          <w:w w:val="105"/>
        </w:rPr>
        <w:t>de</w:t>
      </w:r>
      <w:r>
        <w:rPr>
          <w:color w:val="231F20"/>
          <w:spacing w:val="-4"/>
          <w:w w:val="105"/>
        </w:rPr>
        <w:t> </w:t>
      </w:r>
      <w:r>
        <w:rPr>
          <w:color w:val="231F20"/>
          <w:w w:val="105"/>
        </w:rPr>
        <w:t>Fiscalización</w:t>
      </w:r>
      <w:r>
        <w:rPr>
          <w:color w:val="231F20"/>
          <w:spacing w:val="-4"/>
          <w:w w:val="105"/>
        </w:rPr>
        <w:t> </w:t>
      </w:r>
      <w:r>
        <w:rPr>
          <w:color w:val="231F20"/>
          <w:w w:val="105"/>
        </w:rPr>
        <w:t>(FOFIE)</w:t>
      </w:r>
      <w:r>
        <w:rPr>
          <w:color w:val="231F20"/>
          <w:spacing w:val="-4"/>
          <w:w w:val="105"/>
        </w:rPr>
        <w:t> </w:t>
      </w:r>
      <w:r>
        <w:rPr>
          <w:color w:val="231F20"/>
          <w:w w:val="105"/>
        </w:rPr>
        <w:t>o</w:t>
      </w:r>
      <w:r>
        <w:rPr>
          <w:color w:val="231F20"/>
          <w:spacing w:val="-4"/>
          <w:w w:val="105"/>
        </w:rPr>
        <w:t> </w:t>
      </w:r>
      <w:r>
        <w:rPr>
          <w:color w:val="231F20"/>
          <w:w w:val="105"/>
        </w:rPr>
        <w:t>Coordina- ción en Derechos, el Impuesto sobre Gasolinas y el Impuesto sobre Erogaciones por Remuneraciones.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9"/>
          <w:w w:val="105"/>
        </w:rPr>
        <w:t> </w:t>
      </w:r>
      <w:r>
        <w:rPr>
          <w:color w:val="231F20"/>
          <w:spacing w:val="-6"/>
          <w:w w:val="105"/>
        </w:rPr>
        <w:t>PAGIM</w:t>
      </w:r>
      <w:r>
        <w:rPr>
          <w:color w:val="231F20"/>
          <w:spacing w:val="-19"/>
          <w:w w:val="105"/>
        </w:rPr>
        <w:t> </w:t>
      </w:r>
      <w:r>
        <w:rPr>
          <w:color w:val="231F20"/>
          <w:w w:val="105"/>
        </w:rPr>
        <w:t>(Programa</w:t>
      </w:r>
      <w:r>
        <w:rPr>
          <w:color w:val="231F20"/>
          <w:spacing w:val="-19"/>
          <w:w w:val="105"/>
        </w:rPr>
        <w:t> </w:t>
      </w:r>
      <w:r>
        <w:rPr>
          <w:color w:val="231F20"/>
          <w:w w:val="105"/>
        </w:rPr>
        <w:t>de</w:t>
      </w:r>
      <w:r>
        <w:rPr>
          <w:color w:val="231F20"/>
          <w:spacing w:val="-19"/>
          <w:w w:val="105"/>
        </w:rPr>
        <w:t> </w:t>
      </w:r>
      <w:r>
        <w:rPr>
          <w:color w:val="231F20"/>
          <w:w w:val="105"/>
        </w:rPr>
        <w:t>Apoyo</w:t>
      </w:r>
      <w:r>
        <w:rPr>
          <w:color w:val="231F20"/>
          <w:spacing w:val="-19"/>
          <w:w w:val="105"/>
        </w:rPr>
        <w:t> </w:t>
      </w:r>
      <w:r>
        <w:rPr>
          <w:color w:val="231F20"/>
          <w:w w:val="105"/>
        </w:rPr>
        <w:t>del</w:t>
      </w:r>
      <w:r>
        <w:rPr>
          <w:color w:val="231F20"/>
          <w:spacing w:val="-19"/>
          <w:w w:val="105"/>
        </w:rPr>
        <w:t> </w:t>
      </w:r>
      <w:r>
        <w:rPr>
          <w:color w:val="231F20"/>
          <w:w w:val="105"/>
        </w:rPr>
        <w:t>Gasto</w:t>
      </w:r>
      <w:r>
        <w:rPr>
          <w:color w:val="231F20"/>
          <w:spacing w:val="-19"/>
          <w:w w:val="105"/>
        </w:rPr>
        <w:t> </w:t>
      </w:r>
      <w:r>
        <w:rPr>
          <w:color w:val="231F20"/>
          <w:w w:val="105"/>
        </w:rPr>
        <w:t>de</w:t>
      </w:r>
      <w:r>
        <w:rPr>
          <w:color w:val="231F20"/>
          <w:spacing w:val="-19"/>
          <w:w w:val="105"/>
        </w:rPr>
        <w:t> </w:t>
      </w:r>
      <w:r>
        <w:rPr>
          <w:color w:val="231F20"/>
          <w:w w:val="105"/>
        </w:rPr>
        <w:t>Inversión</w:t>
      </w:r>
      <w:r>
        <w:rPr>
          <w:color w:val="231F20"/>
          <w:spacing w:val="-19"/>
          <w:w w:val="105"/>
        </w:rPr>
        <w:t> </w:t>
      </w:r>
      <w:r>
        <w:rPr>
          <w:color w:val="231F20"/>
          <w:w w:val="105"/>
        </w:rPr>
        <w:t>Municipal)</w:t>
      </w:r>
      <w:r>
        <w:rPr>
          <w:color w:val="231F20"/>
          <w:spacing w:val="-19"/>
          <w:w w:val="105"/>
        </w:rPr>
        <w:t> </w:t>
      </w:r>
      <w:r>
        <w:rPr>
          <w:color w:val="231F20"/>
          <w:w w:val="105"/>
        </w:rPr>
        <w:t>es</w:t>
      </w:r>
      <w:r>
        <w:rPr>
          <w:color w:val="231F20"/>
          <w:spacing w:val="-19"/>
          <w:w w:val="105"/>
        </w:rPr>
        <w:t> </w:t>
      </w:r>
      <w:r>
        <w:rPr>
          <w:color w:val="231F20"/>
          <w:w w:val="105"/>
        </w:rPr>
        <w:t>etiquetado</w:t>
      </w:r>
      <w:r>
        <w:rPr>
          <w:color w:val="231F20"/>
          <w:spacing w:val="-19"/>
          <w:w w:val="105"/>
        </w:rPr>
        <w:t> </w:t>
      </w:r>
      <w:r>
        <w:rPr>
          <w:color w:val="231F20"/>
          <w:w w:val="105"/>
        </w:rPr>
        <w:t>para</w:t>
      </w:r>
      <w:r>
        <w:rPr>
          <w:color w:val="231F20"/>
          <w:spacing w:val="-19"/>
          <w:w w:val="105"/>
        </w:rPr>
        <w:t> </w:t>
      </w:r>
      <w:r>
        <w:rPr>
          <w:color w:val="231F20"/>
          <w:w w:val="105"/>
        </w:rPr>
        <w:t>el gasto</w:t>
      </w:r>
      <w:r>
        <w:rPr>
          <w:color w:val="231F20"/>
          <w:spacing w:val="-8"/>
          <w:w w:val="105"/>
        </w:rPr>
        <w:t> </w:t>
      </w:r>
      <w:r>
        <w:rPr>
          <w:color w:val="231F20"/>
          <w:w w:val="105"/>
        </w:rPr>
        <w:t>de</w:t>
      </w:r>
      <w:r>
        <w:rPr>
          <w:color w:val="231F20"/>
          <w:spacing w:val="-8"/>
          <w:w w:val="105"/>
        </w:rPr>
        <w:t> </w:t>
      </w:r>
      <w:r>
        <w:rPr>
          <w:color w:val="231F20"/>
          <w:w w:val="105"/>
        </w:rPr>
        <w:t>equipamiento</w:t>
      </w:r>
      <w:r>
        <w:rPr>
          <w:color w:val="231F20"/>
          <w:spacing w:val="-8"/>
          <w:w w:val="105"/>
        </w:rPr>
        <w:t> </w:t>
      </w:r>
      <w:r>
        <w:rPr>
          <w:color w:val="231F20"/>
          <w:w w:val="105"/>
        </w:rPr>
        <w:t>urbano</w:t>
      </w:r>
      <w:r>
        <w:rPr>
          <w:color w:val="231F20"/>
          <w:spacing w:val="-8"/>
          <w:w w:val="105"/>
        </w:rPr>
        <w:t> </w:t>
      </w:r>
      <w:r>
        <w:rPr>
          <w:color w:val="231F20"/>
          <w:w w:val="105"/>
        </w:rPr>
        <w:t>así</w:t>
      </w:r>
      <w:r>
        <w:rPr>
          <w:color w:val="231F20"/>
          <w:spacing w:val="-8"/>
          <w:w w:val="105"/>
        </w:rPr>
        <w:t> </w:t>
      </w:r>
      <w:r>
        <w:rPr>
          <w:color w:val="231F20"/>
          <w:w w:val="105"/>
        </w:rPr>
        <w:t>como</w:t>
      </w:r>
      <w:r>
        <w:rPr>
          <w:color w:val="231F20"/>
          <w:spacing w:val="-8"/>
          <w:w w:val="105"/>
        </w:rPr>
        <w:t> </w:t>
      </w:r>
      <w:r>
        <w:rPr>
          <w:color w:val="231F20"/>
          <w:w w:val="105"/>
        </w:rPr>
        <w:t>a</w:t>
      </w:r>
      <w:r>
        <w:rPr>
          <w:color w:val="231F20"/>
          <w:spacing w:val="-8"/>
          <w:w w:val="105"/>
        </w:rPr>
        <w:t> </w:t>
      </w:r>
      <w:r>
        <w:rPr>
          <w:color w:val="231F20"/>
          <w:w w:val="105"/>
        </w:rPr>
        <w:t>infraestructura</w:t>
      </w:r>
      <w:r>
        <w:rPr>
          <w:color w:val="231F20"/>
          <w:spacing w:val="-8"/>
          <w:w w:val="105"/>
        </w:rPr>
        <w:t> </w:t>
      </w:r>
      <w:r>
        <w:rPr>
          <w:color w:val="231F20"/>
          <w:w w:val="105"/>
        </w:rPr>
        <w:t>de</w:t>
      </w:r>
      <w:r>
        <w:rPr>
          <w:color w:val="231F20"/>
          <w:spacing w:val="-8"/>
          <w:w w:val="105"/>
        </w:rPr>
        <w:t> </w:t>
      </w:r>
      <w:r>
        <w:rPr>
          <w:color w:val="231F20"/>
          <w:w w:val="105"/>
        </w:rPr>
        <w:t>producción,</w:t>
      </w:r>
      <w:r>
        <w:rPr>
          <w:color w:val="231F20"/>
          <w:spacing w:val="-8"/>
          <w:w w:val="105"/>
        </w:rPr>
        <w:t> </w:t>
      </w:r>
      <w:r>
        <w:rPr>
          <w:color w:val="231F20"/>
          <w:w w:val="105"/>
        </w:rPr>
        <w:t>comunicacio- nes,</w:t>
      </w:r>
      <w:r>
        <w:rPr>
          <w:color w:val="231F20"/>
          <w:spacing w:val="-25"/>
          <w:w w:val="105"/>
        </w:rPr>
        <w:t> </w:t>
      </w:r>
      <w:r>
        <w:rPr>
          <w:color w:val="231F20"/>
          <w:w w:val="105"/>
        </w:rPr>
        <w:t>salud</w:t>
      </w:r>
      <w:r>
        <w:rPr>
          <w:color w:val="231F20"/>
          <w:spacing w:val="-25"/>
          <w:w w:val="105"/>
        </w:rPr>
        <w:t> </w:t>
      </w:r>
      <w:r>
        <w:rPr>
          <w:color w:val="231F20"/>
          <w:w w:val="105"/>
        </w:rPr>
        <w:t>y</w:t>
      </w:r>
      <w:r>
        <w:rPr>
          <w:color w:val="231F20"/>
          <w:spacing w:val="-25"/>
          <w:w w:val="105"/>
        </w:rPr>
        <w:t> </w:t>
      </w:r>
      <w:r>
        <w:rPr>
          <w:color w:val="231F20"/>
          <w:w w:val="105"/>
        </w:rPr>
        <w:t>educación.</w:t>
      </w:r>
    </w:p>
    <w:p>
      <w:pPr>
        <w:pStyle w:val="BodyText"/>
        <w:spacing w:before="1"/>
        <w:rPr>
          <w:sz w:val="26"/>
        </w:rPr>
      </w:pPr>
    </w:p>
    <w:p>
      <w:pPr>
        <w:pStyle w:val="BodyText"/>
        <w:ind w:left="110"/>
        <w:jc w:val="both"/>
      </w:pPr>
      <w:r>
        <w:rPr>
          <w:color w:val="231F20"/>
          <w:w w:val="105"/>
        </w:rPr>
        <w:t>El mejor año para Tejupilco en cuanto a participación estatal fue 2007.</w:t>
      </w:r>
    </w:p>
    <w:p>
      <w:pPr>
        <w:pStyle w:val="BodyText"/>
        <w:spacing w:before="2"/>
        <w:rPr>
          <w:sz w:val="30"/>
        </w:rPr>
      </w:pPr>
    </w:p>
    <w:p>
      <w:pPr>
        <w:pStyle w:val="BodyText"/>
        <w:spacing w:line="285" w:lineRule="auto"/>
        <w:ind w:left="110" w:right="108"/>
        <w:jc w:val="both"/>
      </w:pPr>
      <w:r>
        <w:rPr>
          <w:color w:val="231F20"/>
          <w:w w:val="105"/>
        </w:rPr>
        <w:t>Sobre</w:t>
      </w:r>
      <w:r>
        <w:rPr>
          <w:color w:val="231F20"/>
          <w:spacing w:val="-18"/>
          <w:w w:val="105"/>
        </w:rPr>
        <w:t> </w:t>
      </w:r>
      <w:r>
        <w:rPr>
          <w:color w:val="231F20"/>
          <w:w w:val="105"/>
        </w:rPr>
        <w:t>las</w:t>
      </w:r>
      <w:r>
        <w:rPr>
          <w:color w:val="231F20"/>
          <w:spacing w:val="-18"/>
          <w:w w:val="105"/>
        </w:rPr>
        <w:t> </w:t>
      </w:r>
      <w:r>
        <w:rPr>
          <w:color w:val="231F20"/>
          <w:w w:val="105"/>
        </w:rPr>
        <w:t>aportaciones</w:t>
      </w:r>
      <w:r>
        <w:rPr>
          <w:color w:val="231F20"/>
          <w:spacing w:val="-18"/>
          <w:w w:val="105"/>
        </w:rPr>
        <w:t> </w:t>
      </w:r>
      <w:r>
        <w:rPr>
          <w:color w:val="231F20"/>
          <w:w w:val="105"/>
        </w:rPr>
        <w:t>federales</w:t>
      </w:r>
      <w:r>
        <w:rPr>
          <w:color w:val="231F20"/>
          <w:spacing w:val="-18"/>
          <w:w w:val="105"/>
        </w:rPr>
        <w:t> </w:t>
      </w:r>
      <w:r>
        <w:rPr>
          <w:color w:val="231F20"/>
          <w:w w:val="105"/>
        </w:rPr>
        <w:t>se</w:t>
      </w:r>
      <w:r>
        <w:rPr>
          <w:color w:val="231F20"/>
          <w:spacing w:val="-18"/>
          <w:w w:val="105"/>
        </w:rPr>
        <w:t> </w:t>
      </w:r>
      <w:r>
        <w:rPr>
          <w:color w:val="231F20"/>
          <w:w w:val="105"/>
        </w:rPr>
        <w:t>contempla</w:t>
      </w:r>
      <w:r>
        <w:rPr>
          <w:color w:val="231F20"/>
          <w:spacing w:val="-18"/>
          <w:w w:val="105"/>
        </w:rPr>
        <w:t> </w:t>
      </w:r>
      <w:r>
        <w:rPr>
          <w:color w:val="231F20"/>
          <w:w w:val="105"/>
        </w:rPr>
        <w:t>el</w:t>
      </w:r>
      <w:r>
        <w:rPr>
          <w:color w:val="231F20"/>
          <w:spacing w:val="-18"/>
          <w:w w:val="105"/>
        </w:rPr>
        <w:t> </w:t>
      </w:r>
      <w:r>
        <w:rPr>
          <w:color w:val="231F20"/>
          <w:spacing w:val="-3"/>
          <w:w w:val="105"/>
        </w:rPr>
        <w:t>Fondo</w:t>
      </w:r>
      <w:r>
        <w:rPr>
          <w:color w:val="231F20"/>
          <w:spacing w:val="-18"/>
          <w:w w:val="105"/>
        </w:rPr>
        <w:t> </w:t>
      </w:r>
      <w:r>
        <w:rPr>
          <w:color w:val="231F20"/>
          <w:w w:val="105"/>
        </w:rPr>
        <w:t>de</w:t>
      </w:r>
      <w:r>
        <w:rPr>
          <w:color w:val="231F20"/>
          <w:spacing w:val="-18"/>
          <w:w w:val="105"/>
        </w:rPr>
        <w:t> </w:t>
      </w:r>
      <w:r>
        <w:rPr>
          <w:color w:val="231F20"/>
          <w:w w:val="105"/>
        </w:rPr>
        <w:t>Aportaciones</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Infraes- tructura</w:t>
      </w:r>
      <w:r>
        <w:rPr>
          <w:color w:val="231F20"/>
          <w:spacing w:val="-15"/>
          <w:w w:val="105"/>
        </w:rPr>
        <w:t> </w:t>
      </w:r>
      <w:r>
        <w:rPr>
          <w:color w:val="231F20"/>
          <w:w w:val="105"/>
        </w:rPr>
        <w:t>Social</w:t>
      </w:r>
      <w:r>
        <w:rPr>
          <w:color w:val="231F20"/>
          <w:spacing w:val="-15"/>
          <w:w w:val="105"/>
        </w:rPr>
        <w:t> </w:t>
      </w:r>
      <w:r>
        <w:rPr>
          <w:color w:val="231F20"/>
          <w:w w:val="105"/>
        </w:rPr>
        <w:t>Municipal</w:t>
      </w:r>
      <w:r>
        <w:rPr>
          <w:color w:val="231F20"/>
          <w:spacing w:val="-15"/>
          <w:w w:val="105"/>
        </w:rPr>
        <w:t> </w:t>
      </w:r>
      <w:r>
        <w:rPr>
          <w:color w:val="231F20"/>
          <w:w w:val="105"/>
        </w:rPr>
        <w:t>(FISM),</w:t>
      </w:r>
      <w:r>
        <w:rPr>
          <w:color w:val="231F20"/>
          <w:spacing w:val="-15"/>
          <w:w w:val="105"/>
        </w:rPr>
        <w:t> </w:t>
      </w:r>
      <w:r>
        <w:rPr>
          <w:color w:val="231F20"/>
          <w:w w:val="105"/>
        </w:rPr>
        <w:t>destinado</w:t>
      </w:r>
      <w:r>
        <w:rPr>
          <w:color w:val="231F20"/>
          <w:spacing w:val="-15"/>
          <w:w w:val="105"/>
        </w:rPr>
        <w:t> </w:t>
      </w:r>
      <w:r>
        <w:rPr>
          <w:color w:val="231F20"/>
          <w:spacing w:val="2"/>
          <w:w w:val="105"/>
        </w:rPr>
        <w:t>al</w:t>
      </w:r>
      <w:r>
        <w:rPr>
          <w:color w:val="231F20"/>
          <w:spacing w:val="-15"/>
          <w:w w:val="105"/>
        </w:rPr>
        <w:t> </w:t>
      </w:r>
      <w:r>
        <w:rPr>
          <w:color w:val="231F20"/>
          <w:w w:val="105"/>
        </w:rPr>
        <w:t>gasto</w:t>
      </w:r>
      <w:r>
        <w:rPr>
          <w:color w:val="231F20"/>
          <w:spacing w:val="-15"/>
          <w:w w:val="105"/>
        </w:rPr>
        <w:t> </w:t>
      </w:r>
      <w:r>
        <w:rPr>
          <w:color w:val="231F20"/>
          <w:w w:val="105"/>
        </w:rPr>
        <w:t>de</w:t>
      </w:r>
      <w:r>
        <w:rPr>
          <w:color w:val="231F20"/>
          <w:spacing w:val="-15"/>
          <w:w w:val="105"/>
        </w:rPr>
        <w:t> </w:t>
      </w:r>
      <w:r>
        <w:rPr>
          <w:color w:val="231F20"/>
          <w:w w:val="105"/>
        </w:rPr>
        <w:t>equipamiento</w:t>
      </w:r>
      <w:r>
        <w:rPr>
          <w:color w:val="231F20"/>
          <w:spacing w:val="-15"/>
          <w:w w:val="105"/>
        </w:rPr>
        <w:t> </w:t>
      </w:r>
      <w:r>
        <w:rPr>
          <w:color w:val="231F20"/>
          <w:w w:val="105"/>
        </w:rPr>
        <w:t>urbano</w:t>
      </w:r>
      <w:r>
        <w:rPr>
          <w:color w:val="231F20"/>
          <w:spacing w:val="-15"/>
          <w:w w:val="105"/>
        </w:rPr>
        <w:t> </w:t>
      </w:r>
      <w:r>
        <w:rPr>
          <w:color w:val="231F20"/>
          <w:w w:val="105"/>
        </w:rPr>
        <w:t>así</w:t>
      </w:r>
      <w:r>
        <w:rPr>
          <w:color w:val="231F20"/>
          <w:spacing w:val="-15"/>
          <w:w w:val="105"/>
        </w:rPr>
        <w:t> </w:t>
      </w:r>
      <w:r>
        <w:rPr>
          <w:color w:val="231F20"/>
          <w:w w:val="105"/>
        </w:rPr>
        <w:t>como a</w:t>
      </w:r>
      <w:r>
        <w:rPr>
          <w:color w:val="231F20"/>
          <w:spacing w:val="-16"/>
          <w:w w:val="105"/>
        </w:rPr>
        <w:t> </w:t>
      </w:r>
      <w:r>
        <w:rPr>
          <w:color w:val="231F20"/>
          <w:w w:val="105"/>
        </w:rPr>
        <w:t>infraestructura</w:t>
      </w:r>
      <w:r>
        <w:rPr>
          <w:color w:val="231F20"/>
          <w:spacing w:val="-16"/>
          <w:w w:val="105"/>
        </w:rPr>
        <w:t> </w:t>
      </w:r>
      <w:r>
        <w:rPr>
          <w:color w:val="231F20"/>
          <w:w w:val="105"/>
        </w:rPr>
        <w:t>de</w:t>
      </w:r>
      <w:r>
        <w:rPr>
          <w:color w:val="231F20"/>
          <w:spacing w:val="-16"/>
          <w:w w:val="105"/>
        </w:rPr>
        <w:t> </w:t>
      </w:r>
      <w:r>
        <w:rPr>
          <w:color w:val="231F20"/>
          <w:w w:val="105"/>
        </w:rPr>
        <w:t>producción,</w:t>
      </w:r>
      <w:r>
        <w:rPr>
          <w:color w:val="231F20"/>
          <w:spacing w:val="-16"/>
          <w:w w:val="105"/>
        </w:rPr>
        <w:t> </w:t>
      </w:r>
      <w:r>
        <w:rPr>
          <w:color w:val="231F20"/>
          <w:w w:val="105"/>
        </w:rPr>
        <w:t>comunicaciones,</w:t>
      </w:r>
      <w:r>
        <w:rPr>
          <w:color w:val="231F20"/>
          <w:spacing w:val="-16"/>
          <w:w w:val="105"/>
        </w:rPr>
        <w:t> </w:t>
      </w:r>
      <w:r>
        <w:rPr>
          <w:color w:val="231F20"/>
          <w:w w:val="105"/>
        </w:rPr>
        <w:t>salud</w:t>
      </w:r>
      <w:r>
        <w:rPr>
          <w:color w:val="231F20"/>
          <w:spacing w:val="-16"/>
          <w:w w:val="105"/>
        </w:rPr>
        <w:t> </w:t>
      </w:r>
      <w:r>
        <w:rPr>
          <w:color w:val="231F20"/>
          <w:w w:val="105"/>
        </w:rPr>
        <w:t>y</w:t>
      </w:r>
      <w:r>
        <w:rPr>
          <w:color w:val="231F20"/>
          <w:spacing w:val="-16"/>
          <w:w w:val="105"/>
        </w:rPr>
        <w:t> </w:t>
      </w:r>
      <w:r>
        <w:rPr>
          <w:color w:val="231F20"/>
          <w:w w:val="105"/>
        </w:rPr>
        <w:t>educación.</w:t>
      </w:r>
      <w:r>
        <w:rPr>
          <w:color w:val="231F20"/>
          <w:spacing w:val="-16"/>
          <w:w w:val="105"/>
        </w:rPr>
        <w:t> </w:t>
      </w:r>
      <w:r>
        <w:rPr>
          <w:color w:val="231F20"/>
          <w:w w:val="105"/>
        </w:rPr>
        <w:t>El</w:t>
      </w:r>
      <w:r>
        <w:rPr>
          <w:color w:val="231F20"/>
          <w:spacing w:val="-16"/>
          <w:w w:val="105"/>
        </w:rPr>
        <w:t> </w:t>
      </w:r>
      <w:r>
        <w:rPr>
          <w:color w:val="231F20"/>
          <w:spacing w:val="-3"/>
          <w:w w:val="105"/>
        </w:rPr>
        <w:t>Fondo</w:t>
      </w:r>
      <w:r>
        <w:rPr>
          <w:color w:val="231F20"/>
          <w:spacing w:val="-16"/>
          <w:w w:val="105"/>
        </w:rPr>
        <w:t> </w:t>
      </w:r>
      <w:r>
        <w:rPr>
          <w:color w:val="231F20"/>
          <w:w w:val="105"/>
        </w:rPr>
        <w:t>de</w:t>
      </w:r>
      <w:r>
        <w:rPr>
          <w:color w:val="231F20"/>
          <w:spacing w:val="-16"/>
          <w:w w:val="105"/>
        </w:rPr>
        <w:t> </w:t>
      </w:r>
      <w:r>
        <w:rPr>
          <w:color w:val="231F20"/>
          <w:spacing w:val="-3"/>
          <w:w w:val="105"/>
        </w:rPr>
        <w:t>Apor- </w:t>
      </w:r>
      <w:r>
        <w:rPr>
          <w:color w:val="231F20"/>
          <w:w w:val="105"/>
        </w:rPr>
        <w:t>taciones</w:t>
      </w:r>
      <w:r>
        <w:rPr>
          <w:color w:val="231F20"/>
          <w:spacing w:val="-27"/>
          <w:w w:val="105"/>
        </w:rPr>
        <w:t> </w:t>
      </w:r>
      <w:r>
        <w:rPr>
          <w:color w:val="231F20"/>
          <w:w w:val="105"/>
        </w:rPr>
        <w:t>para</w:t>
      </w:r>
      <w:r>
        <w:rPr>
          <w:color w:val="231F20"/>
          <w:spacing w:val="-27"/>
          <w:w w:val="105"/>
        </w:rPr>
        <w:t> </w:t>
      </w:r>
      <w:r>
        <w:rPr>
          <w:color w:val="231F20"/>
          <w:w w:val="105"/>
        </w:rPr>
        <w:t>el</w:t>
      </w:r>
      <w:r>
        <w:rPr>
          <w:color w:val="231F20"/>
          <w:spacing w:val="-27"/>
          <w:w w:val="105"/>
        </w:rPr>
        <w:t> </w:t>
      </w:r>
      <w:r>
        <w:rPr>
          <w:color w:val="231F20"/>
          <w:w w:val="105"/>
        </w:rPr>
        <w:t>Fortalecimiento</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Municipios</w:t>
      </w:r>
      <w:r>
        <w:rPr>
          <w:color w:val="231F20"/>
          <w:spacing w:val="-27"/>
          <w:w w:val="105"/>
        </w:rPr>
        <w:t> </w:t>
      </w:r>
      <w:r>
        <w:rPr>
          <w:color w:val="231F20"/>
          <w:w w:val="105"/>
        </w:rPr>
        <w:t>y</w:t>
      </w:r>
      <w:r>
        <w:rPr>
          <w:color w:val="231F20"/>
          <w:spacing w:val="-27"/>
          <w:w w:val="105"/>
        </w:rPr>
        <w:t> </w:t>
      </w:r>
      <w:r>
        <w:rPr>
          <w:color w:val="231F20"/>
          <w:w w:val="105"/>
        </w:rPr>
        <w:t>del</w:t>
      </w:r>
      <w:r>
        <w:rPr>
          <w:color w:val="231F20"/>
          <w:spacing w:val="-27"/>
          <w:w w:val="105"/>
        </w:rPr>
        <w:t> </w:t>
      </w:r>
      <w:r>
        <w:rPr>
          <w:color w:val="231F20"/>
          <w:w w:val="105"/>
        </w:rPr>
        <w:t>Distrito</w:t>
      </w:r>
      <w:r>
        <w:rPr>
          <w:color w:val="231F20"/>
          <w:spacing w:val="-27"/>
          <w:w w:val="105"/>
        </w:rPr>
        <w:t> </w:t>
      </w:r>
      <w:r>
        <w:rPr>
          <w:color w:val="231F20"/>
          <w:w w:val="105"/>
        </w:rPr>
        <w:t>Federal</w:t>
      </w:r>
      <w:r>
        <w:rPr>
          <w:color w:val="231F20"/>
          <w:spacing w:val="-27"/>
          <w:w w:val="105"/>
        </w:rPr>
        <w:t> </w:t>
      </w:r>
      <w:r>
        <w:rPr>
          <w:color w:val="231F20"/>
          <w:w w:val="105"/>
        </w:rPr>
        <w:t>(FORTAMUN- </w:t>
      </w:r>
      <w:r>
        <w:rPr>
          <w:color w:val="231F20"/>
          <w:spacing w:val="-3"/>
          <w:w w:val="105"/>
        </w:rPr>
        <w:t>DF),</w:t>
      </w:r>
      <w:r>
        <w:rPr>
          <w:color w:val="231F20"/>
          <w:spacing w:val="-17"/>
          <w:w w:val="105"/>
        </w:rPr>
        <w:t> </w:t>
      </w:r>
      <w:r>
        <w:rPr>
          <w:color w:val="231F20"/>
          <w:w w:val="105"/>
        </w:rPr>
        <w:t>tiene</w:t>
      </w:r>
      <w:r>
        <w:rPr>
          <w:color w:val="231F20"/>
          <w:spacing w:val="-17"/>
          <w:w w:val="105"/>
        </w:rPr>
        <w:t> </w:t>
      </w:r>
      <w:r>
        <w:rPr>
          <w:color w:val="231F20"/>
          <w:w w:val="105"/>
        </w:rPr>
        <w:t>como</w:t>
      </w:r>
      <w:r>
        <w:rPr>
          <w:color w:val="231F20"/>
          <w:spacing w:val="-17"/>
          <w:w w:val="105"/>
        </w:rPr>
        <w:t> </w:t>
      </w:r>
      <w:r>
        <w:rPr>
          <w:color w:val="231F20"/>
          <w:w w:val="105"/>
        </w:rPr>
        <w:t>destino</w:t>
      </w:r>
      <w:r>
        <w:rPr>
          <w:color w:val="231F20"/>
          <w:spacing w:val="-17"/>
          <w:w w:val="105"/>
        </w:rPr>
        <w:t> </w:t>
      </w:r>
      <w:r>
        <w:rPr>
          <w:color w:val="231F20"/>
          <w:w w:val="105"/>
        </w:rPr>
        <w:t>financiar</w:t>
      </w:r>
      <w:r>
        <w:rPr>
          <w:color w:val="231F20"/>
          <w:spacing w:val="-17"/>
          <w:w w:val="105"/>
        </w:rPr>
        <w:t> </w:t>
      </w:r>
      <w:r>
        <w:rPr>
          <w:color w:val="231F20"/>
          <w:w w:val="105"/>
        </w:rPr>
        <w:t>las</w:t>
      </w:r>
      <w:r>
        <w:rPr>
          <w:color w:val="231F20"/>
          <w:spacing w:val="-17"/>
          <w:w w:val="105"/>
        </w:rPr>
        <w:t> </w:t>
      </w:r>
      <w:r>
        <w:rPr>
          <w:color w:val="231F20"/>
          <w:w w:val="105"/>
        </w:rPr>
        <w:t>obligaciones</w:t>
      </w:r>
      <w:r>
        <w:rPr>
          <w:color w:val="231F20"/>
          <w:spacing w:val="-17"/>
          <w:w w:val="105"/>
        </w:rPr>
        <w:t> </w:t>
      </w:r>
      <w:r>
        <w:rPr>
          <w:color w:val="231F20"/>
          <w:w w:val="105"/>
        </w:rPr>
        <w:t>financieras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ayuntamientos,</w:t>
      </w:r>
      <w:r>
        <w:rPr>
          <w:color w:val="231F20"/>
          <w:spacing w:val="-17"/>
          <w:w w:val="105"/>
        </w:rPr>
        <w:t> </w:t>
      </w:r>
      <w:r>
        <w:rPr>
          <w:color w:val="231F20"/>
          <w:w w:val="105"/>
        </w:rPr>
        <w:t>así como</w:t>
      </w:r>
      <w:r>
        <w:rPr>
          <w:color w:val="231F20"/>
          <w:spacing w:val="-16"/>
          <w:w w:val="105"/>
        </w:rPr>
        <w:t> </w:t>
      </w:r>
      <w:r>
        <w:rPr>
          <w:color w:val="231F20"/>
          <w:w w:val="105"/>
        </w:rPr>
        <w:t>sus</w:t>
      </w:r>
      <w:r>
        <w:rPr>
          <w:color w:val="231F20"/>
          <w:spacing w:val="-16"/>
          <w:w w:val="105"/>
        </w:rPr>
        <w:t> </w:t>
      </w:r>
      <w:r>
        <w:rPr>
          <w:color w:val="231F20"/>
          <w:w w:val="105"/>
        </w:rPr>
        <w:t>acciones</w:t>
      </w:r>
      <w:r>
        <w:rPr>
          <w:color w:val="231F20"/>
          <w:spacing w:val="-16"/>
          <w:w w:val="105"/>
        </w:rPr>
        <w:t> </w:t>
      </w:r>
      <w:r>
        <w:rPr>
          <w:color w:val="231F20"/>
          <w:w w:val="105"/>
        </w:rPr>
        <w:t>de</w:t>
      </w:r>
      <w:r>
        <w:rPr>
          <w:color w:val="231F20"/>
          <w:spacing w:val="-16"/>
          <w:w w:val="105"/>
        </w:rPr>
        <w:t> </w:t>
      </w:r>
      <w:r>
        <w:rPr>
          <w:color w:val="231F20"/>
          <w:w w:val="105"/>
        </w:rPr>
        <w:t>seguridad</w:t>
      </w:r>
      <w:r>
        <w:rPr>
          <w:color w:val="231F20"/>
          <w:spacing w:val="-16"/>
          <w:w w:val="105"/>
        </w:rPr>
        <w:t> </w:t>
      </w:r>
      <w:r>
        <w:rPr>
          <w:color w:val="231F20"/>
          <w:w w:val="105"/>
        </w:rPr>
        <w:t>pública.</w:t>
      </w:r>
      <w:r>
        <w:rPr>
          <w:color w:val="231F20"/>
          <w:spacing w:val="-16"/>
          <w:w w:val="105"/>
        </w:rPr>
        <w:t> </w:t>
      </w:r>
      <w:r>
        <w:rPr>
          <w:color w:val="231F20"/>
          <w:w w:val="105"/>
        </w:rPr>
        <w:t>Ambos</w:t>
      </w:r>
      <w:r>
        <w:rPr>
          <w:color w:val="231F20"/>
          <w:spacing w:val="-16"/>
          <w:w w:val="105"/>
        </w:rPr>
        <w:t> </w:t>
      </w:r>
      <w:r>
        <w:rPr>
          <w:color w:val="231F20"/>
          <w:spacing w:val="-3"/>
          <w:w w:val="105"/>
        </w:rPr>
        <w:t>fondos</w:t>
      </w:r>
      <w:r>
        <w:rPr>
          <w:color w:val="231F20"/>
          <w:spacing w:val="-16"/>
          <w:w w:val="105"/>
        </w:rPr>
        <w:t> </w:t>
      </w:r>
      <w:r>
        <w:rPr>
          <w:color w:val="231F20"/>
          <w:w w:val="105"/>
        </w:rPr>
        <w:t>pertenecen</w:t>
      </w:r>
      <w:r>
        <w:rPr>
          <w:color w:val="231F20"/>
          <w:spacing w:val="-16"/>
          <w:w w:val="105"/>
        </w:rPr>
        <w:t> </w:t>
      </w:r>
      <w:r>
        <w:rPr>
          <w:color w:val="231F20"/>
          <w:spacing w:val="2"/>
          <w:w w:val="105"/>
        </w:rPr>
        <w:t>al</w:t>
      </w:r>
      <w:r>
        <w:rPr>
          <w:color w:val="231F20"/>
          <w:spacing w:val="-16"/>
          <w:w w:val="105"/>
        </w:rPr>
        <w:t> </w:t>
      </w:r>
      <w:r>
        <w:rPr>
          <w:color w:val="231F20"/>
          <w:w w:val="105"/>
        </w:rPr>
        <w:t>Ramo</w:t>
      </w:r>
      <w:r>
        <w:rPr>
          <w:color w:val="231F20"/>
          <w:spacing w:val="-16"/>
          <w:w w:val="105"/>
        </w:rPr>
        <w:t> </w:t>
      </w:r>
      <w:r>
        <w:rPr>
          <w:color w:val="231F20"/>
          <w:w w:val="105"/>
        </w:rPr>
        <w:t>33.</w:t>
      </w:r>
    </w:p>
    <w:p>
      <w:pPr>
        <w:pStyle w:val="BodyText"/>
        <w:spacing w:before="2"/>
        <w:rPr>
          <w:sz w:val="10"/>
        </w:rPr>
      </w:pPr>
      <w:r>
        <w:rPr/>
        <w:pict>
          <v:group style="position:absolute;margin-left:184.234787pt;margin-top:7.798908pt;width:143.4pt;height:9.35pt;mso-position-horizontal-relative:page;mso-position-vertical-relative:paragraph;z-index:9280;mso-wrap-distance-left:0;mso-wrap-distance-right:0" coordorigin="3685,156" coordsize="2868,187">
            <v:shape style="position:absolute;left:3685;top:163;width:614;height:144" type="#_x0000_t75" stroked="false">
              <v:imagedata r:id="rId481" o:title=""/>
            </v:shape>
            <v:shape style="position:absolute;left:4360;top:170;width:147;height:137" type="#_x0000_t75" stroked="false">
              <v:imagedata r:id="rId482" o:title=""/>
            </v:shape>
            <v:shape style="position:absolute;left:4554;top:168;width:1150;height:175" type="#_x0000_t75" stroked="false">
              <v:imagedata r:id="rId483" o:title=""/>
            </v:shape>
            <v:shape style="position:absolute;left:5763;top:156;width:789;height:160" type="#_x0000_t75" stroked="false">
              <v:imagedata r:id="rId484" o:title=""/>
            </v:shape>
            <w10:wrap type="topAndBottom"/>
          </v:group>
        </w:pict>
      </w:r>
      <w:r>
        <w:rPr/>
        <w:drawing>
          <wp:anchor distT="0" distB="0" distL="0" distR="0" allowOverlap="1" layoutInCell="1" locked="0" behindDoc="0" simplePos="0" relativeHeight="9304">
            <wp:simplePos x="0" y="0"/>
            <wp:positionH relativeFrom="page">
              <wp:posOffset>1371202</wp:posOffset>
            </wp:positionH>
            <wp:positionV relativeFrom="paragraph">
              <wp:posOffset>996539</wp:posOffset>
            </wp:positionV>
            <wp:extent cx="69549" cy="266700"/>
            <wp:effectExtent l="0" t="0" r="0" b="0"/>
            <wp:wrapTopAndBottom/>
            <wp:docPr id="259" name="image431.png" descr=""/>
            <wp:cNvGraphicFramePr>
              <a:graphicFrameLocks noChangeAspect="1"/>
            </wp:cNvGraphicFramePr>
            <a:graphic>
              <a:graphicData uri="http://schemas.openxmlformats.org/drawingml/2006/picture">
                <pic:pic>
                  <pic:nvPicPr>
                    <pic:cNvPr id="260" name="image431.png"/>
                    <pic:cNvPicPr/>
                  </pic:nvPicPr>
                  <pic:blipFill>
                    <a:blip r:embed="rId485" cstate="print"/>
                    <a:stretch>
                      <a:fillRect/>
                    </a:stretch>
                  </pic:blipFill>
                  <pic:spPr>
                    <a:xfrm>
                      <a:off x="0" y="0"/>
                      <a:ext cx="69549" cy="266700"/>
                    </a:xfrm>
                    <a:prstGeom prst="rect">
                      <a:avLst/>
                    </a:prstGeom>
                  </pic:spPr>
                </pic:pic>
              </a:graphicData>
            </a:graphic>
          </wp:anchor>
        </w:drawing>
      </w:r>
      <w:r>
        <w:rPr/>
        <w:pict>
          <v:group style="position:absolute;margin-left:121.774704pt;margin-top:35.551914pt;width:253.1pt;height:157.2pt;mso-position-horizontal-relative:page;mso-position-vertical-relative:paragraph;z-index:9328;mso-wrap-distance-left:0;mso-wrap-distance-right:0" coordorigin="2435,711" coordsize="5062,3144">
            <v:line style="position:absolute" from="3421,781" to="7491,781" stroked="true" strokeweight=".5pt" strokecolor="#231f20"/>
            <v:shape style="position:absolute;left:2436;top:711;width:940;height:131" type="#_x0000_t75" stroked="false">
              <v:imagedata r:id="rId486" o:title=""/>
            </v:shape>
            <v:line style="position:absolute" from="5062,1179" to="7491,1179" stroked="true" strokeweight=".5pt" strokecolor="#231f20"/>
            <v:shape style="position:absolute;left:2436;top:1099;width:1780;height:131" type="#_x0000_t75" stroked="false">
              <v:imagedata r:id="rId487" o:title=""/>
            </v:shape>
            <v:shape style="position:absolute;left:2435;top:1488;width:1353;height:131" type="#_x0000_t75" stroked="false">
              <v:imagedata r:id="rId488" o:title=""/>
            </v:shape>
            <v:shape style="position:absolute;left:2436;top:1876;width:1353;height:131" type="#_x0000_t75" stroked="false">
              <v:imagedata r:id="rId489" o:title=""/>
            </v:shape>
            <v:shape style="position:absolute;left:2442;top:2264;width:1347;height:131" type="#_x0000_t75" stroked="false">
              <v:imagedata r:id="rId490" o:title=""/>
            </v:shape>
            <v:shape style="position:absolute;left:3059;top:3120;width:329;height:112" type="#_x0000_t75" stroked="false">
              <v:imagedata r:id="rId491" o:title=""/>
            </v:shape>
            <v:shape style="position:absolute;left:3965;top:3120;width:966;height:135" type="#_x0000_t75" stroked="false">
              <v:imagedata r:id="rId492" o:title=""/>
            </v:shape>
            <v:shape style="position:absolute;left:5908;top:3120;width:966;height:135" type="#_x0000_t75" stroked="false">
              <v:imagedata r:id="rId493" o:title=""/>
            </v:shape>
            <v:shape style="position:absolute;left:3965;top:3391;width:563;height:135" type="#_x0000_t75" stroked="false">
              <v:imagedata r:id="rId494" o:title=""/>
            </v:shape>
            <v:shape style="position:absolute;left:4559;top:3391;width:372;height:111" type="#_x0000_t75" stroked="false">
              <v:imagedata r:id="rId495" o:title=""/>
            </v:shape>
            <v:shape style="position:absolute;left:5913;top:3391;width:959;height:135" type="#_x0000_t75" stroked="false">
              <v:imagedata r:id="rId496" o:title=""/>
            </v:shape>
            <v:shape style="position:absolute;left:3965;top:3666;width:966;height:135" type="#_x0000_t75" stroked="false">
              <v:imagedata r:id="rId497" o:title=""/>
            </v:shape>
            <v:shape style="position:absolute;left:5908;top:3666;width:732;height:135" type="#_x0000_t75" stroked="false">
              <v:imagedata r:id="rId498" o:title=""/>
            </v:shape>
            <v:shape style="position:absolute;left:6665;top:3666;width:208;height:111" type="#_x0000_t75" stroked="false">
              <v:imagedata r:id="rId499" o:title=""/>
            </v:shape>
            <v:shape style="position:absolute;left:3059;top:3404;width:330;height:111" type="#_x0000_t75" stroked="false">
              <v:imagedata r:id="rId500" o:title=""/>
            </v:shape>
            <v:shape style="position:absolute;left:3059;top:3679;width:329;height:112" type="#_x0000_t75" stroked="false">
              <v:imagedata r:id="rId501" o:title=""/>
            </v:shape>
            <v:rect style="position:absolute;left:2877;top:3013;width:4474;height:837" filled="false" stroked="true" strokeweight=".5pt" strokecolor="#231f20"/>
            <v:line style="position:absolute" from="3462,3850" to="3462,2730" stroked="true" strokeweight=".5pt" strokecolor="#231f20"/>
            <v:line style="position:absolute" from="5398,3850" to="5398,2730" stroked="true" strokeweight=".5pt" strokecolor="#231f20"/>
            <v:line style="position:absolute" from="2877,3310" to="7352,3310" stroked="true" strokeweight=".5pt" strokecolor="#231f20"/>
            <v:line style="position:absolute" from="7352,3013" to="7352,2730" stroked="true" strokeweight=".5pt" strokecolor="#231f20"/>
            <v:line style="position:absolute" from="7352,3589" to="2877,3589" stroked="true" strokeweight=".5pt" strokecolor="#231f20"/>
            <v:shape style="position:absolute;left:4256;top:2785;width:343;height:133" type="#_x0000_t75" stroked="false">
              <v:imagedata r:id="rId502" o:title=""/>
            </v:shape>
            <v:rect style="position:absolute;left:3784;top:1307;width:426;height:1423" filled="true" fillcolor="#27aae1" stroked="false">
              <v:fill type="solid"/>
            </v:rect>
            <v:rect style="position:absolute;left:4210;top:1148;width:426;height:1582" filled="true" fillcolor="#1b75bc" stroked="false">
              <v:fill type="solid"/>
            </v:rect>
            <v:line style="position:absolute" from="5062,1564" to="7491,1564" stroked="true" strokeweight=".5pt" strokecolor="#231f20"/>
            <v:line style="position:absolute" from="5062,1949" to="5725,1949" stroked="true" strokeweight=".5pt" strokecolor="#231f20"/>
            <v:line style="position:absolute" from="5062,2338" to="5725,2338" stroked="true" strokeweight=".5pt" strokecolor="#231f20"/>
            <v:rect style="position:absolute;left:4636;top:817;width:426;height:1913" filled="true" fillcolor="#2b3890" stroked="false">
              <v:fill type="solid"/>
            </v:rect>
            <v:line style="position:absolute" from="6151,1949" to="6578,1949" stroked="true" strokeweight=".5pt" strokecolor="#231f20"/>
            <v:shape style="position:absolute;left:5874;top:2797;width:79;height:110" coordorigin="5874,2797" coordsize="79,110" path="m5953,2797l5874,2797,5874,2906,5897,2906,5897,2860,5946,2860,5946,2841,5897,2841,5897,2816,5953,2816,5953,2797xe" filled="true" fillcolor="#231f20" stroked="false">
              <v:path arrowok="t"/>
              <v:fill type="solid"/>
            </v:shape>
            <v:shape style="position:absolute;left:5963;top:2793;width:106;height:117" coordorigin="5963,2793" coordsize="106,117" path="m6032,2793l6000,2793,5988,2797,5980,2806,5973,2815,5968,2825,5964,2837,5963,2851,5964,2865,5968,2877,5973,2888,5980,2897,5988,2905,6000,2909,6032,2909,6044,2905,6052,2897,6058,2890,6007,2890,6000,2887,5989,2873,5986,2864,5986,2839,5989,2829,6000,2816,6007,2813,6058,2813,6052,2806,6044,2797,6032,2793xm6058,2813l6025,2813,6032,2816,6043,2829,6046,2839,6046,2864,6043,2873,6038,2880,6032,2887,6025,2890,6058,2890,6059,2888,6065,2877,6068,2865,6069,2851,6068,2837,6065,2825,6059,2815,6058,2813xe" filled="true" fillcolor="#231f20" stroked="false">
              <v:path arrowok="t"/>
              <v:fill type="solid"/>
            </v:shape>
            <v:shape style="position:absolute;left:6087;top:2797;width:90;height:110" coordorigin="6087,2797" coordsize="90,110" path="m6087,2797l6087,2906,6109,2906,6109,2863,6169,2863,6166,2859,6162,2856,6157,2854,6163,2852,6168,2848,6169,2845,6109,2845,6109,2816,6172,2816,6171,2813,6169,2810,6164,2804,6161,2801,6153,2798,6147,2797,6087,2797xm6169,2863l6138,2863,6142,2864,6147,2869,6148,2874,6148,2892,6149,2896,6149,2897,6150,2902,6150,2904,6151,2906,6176,2906,6176,2904,6174,2902,6173,2900,6172,2897,6172,2896,6171,2894,6171,2872,6170,2866,6169,2863xm6172,2816l6139,2816,6143,2816,6149,2820,6151,2824,6151,2837,6149,2841,6142,2845,6139,2845,6169,2845,6173,2838,6174,2833,6174,2824,6174,2820,6172,2816xe" filled="true" fillcolor="#231f20" stroked="false">
              <v:path arrowok="t"/>
              <v:fill type="solid"/>
            </v:shape>
            <v:shape style="position:absolute;left:6187;top:2797;width:89;height:110" coordorigin="6187,2797" coordsize="89,110" path="m6243,2816l6220,2816,6220,2906,6243,2906,6243,2816xm6276,2797l6187,2797,6187,2816,6276,2816,6276,2797xe" filled="true" fillcolor="#231f20" stroked="false">
              <v:path arrowok="t"/>
              <v:fill type="solid"/>
            </v:shape>
            <v:shape style="position:absolute;left:6271;top:2797;width:105;height:110" coordorigin="6271,2797" coordsize="105,110" path="m6336,2797l6310,2797,6271,2906,6295,2906,6302,2884,6367,2884,6360,2865,6308,2865,6323,2822,6345,2822,6336,2797xm6367,2884l6342,2884,6350,2906,6375,2906,6367,2884xm6345,2822l6323,2822,6336,2865,6360,2865,6345,2822xe" filled="true" fillcolor="#231f20" stroked="false">
              <v:path arrowok="t"/>
              <v:fill type="solid"/>
            </v:shape>
            <v:shape style="position:absolute;left:6388;top:2797;width:107;height:110" coordorigin="6388,2797" coordsize="107,110" path="m6422,2797l6388,2797,6388,2906,6410,2906,6409,2814,6426,2814,6422,2797xm6426,2814l6409,2814,6430,2906,6452,2906,6458,2883,6442,2883,6426,2814xm6494,2814l6473,2814,6473,2906,6494,2906,6494,2814xm6494,2797l6461,2797,6442,2883,6458,2883,6473,2814,6494,2814,6494,2797xe" filled="true" fillcolor="#231f20" stroked="false">
              <v:path arrowok="t"/>
              <v:fill type="solid"/>
            </v:shape>
            <v:shape style="position:absolute;left:6516;top:2797;width:89;height:113" coordorigin="6516,2797" coordsize="89,113" path="m6539,2797l6516,2797,6516,2876,6517,2885,6521,2891,6527,2899,6536,2905,6547,2908,6560,2909,6573,2908,6584,2905,6592,2899,6598,2891,6599,2890,6550,2890,6544,2887,6542,2881,6540,2877,6539,2872,6539,2797xm6604,2797l6580,2797,6580,2872,6580,2877,6578,2881,6575,2887,6569,2890,6599,2890,6602,2885,6604,2876,6604,2797xe" filled="true" fillcolor="#231f20" stroked="false">
              <v:path arrowok="t"/>
              <v:fill type="solid"/>
            </v:shape>
            <v:shape style="position:absolute;left:6625;top:2797;width:90;height:110" coordorigin="6625,2797" coordsize="90,110" path="m6650,2797l6625,2797,6625,2906,6647,2906,6647,2828,6668,2828,6650,2797xm6668,2828l6647,2828,6692,2906,6715,2906,6715,2873,6693,2873,6668,2828xm6715,2797l6693,2797,6693,2873,6715,2873,6715,2797xe" filled="true" fillcolor="#231f20" stroked="false">
              <v:path arrowok="t"/>
              <v:fill type="solid"/>
            </v:shape>
            <v:shape style="position:absolute;left:6736;top:2797;width:93;height:110" coordorigin="6736,2797" coordsize="93,110" path="m6736,2797l6736,2906,6783,2906,6795,2905,6805,2901,6813,2895,6819,2887,6758,2887,6758,2816,6821,2816,6814,2806,6808,2801,6796,2797,6790,2797,6736,2797xm6821,2816l6790,2816,6797,2819,6804,2831,6806,2839,6806,2858,6805,2865,6798,2882,6790,2887,6819,2887,6820,2886,6826,2876,6829,2863,6829,2843,6828,2837,6826,2824,6823,2818,6821,2816xe" filled="true" fillcolor="#231f20" stroked="false">
              <v:path arrowok="t"/>
              <v:fill type="solid"/>
            </v:shape>
            <v:shape style="position:absolute;left:6846;top:2797;width:79;height:110" coordorigin="6846,2797" coordsize="79,110" path="m6925,2797l6846,2797,6846,2906,6869,2906,6869,2860,6918,2860,6918,2841,6869,2841,6869,2816,6925,2816,6925,2797xe" filled="true" fillcolor="#231f20" stroked="false">
              <v:path arrowok="t"/>
              <v:fill type="solid"/>
            </v:shape>
            <v:rect style="position:absolute;left:5725;top:1923;width:426;height:807" filled="true" fillcolor="#27aae1" stroked="false">
              <v:fill type="solid"/>
            </v:rect>
            <v:rect style="position:absolute;left:6151;top:1949;width:426;height:780" filled="true" fillcolor="#1b75bc" stroked="false">
              <v:fill type="solid"/>
            </v:rect>
            <v:line style="position:absolute" from="7004,1949" to="7491,1949" stroked="true" strokeweight=".5pt" strokecolor="#231f20"/>
            <v:line style="position:absolute" from="7004,2338" to="7491,2338" stroked="true" strokeweight=".5pt" strokecolor="#231f20"/>
            <v:rect style="position:absolute;left:6578;top:1801;width:426;height:929" filled="true" fillcolor="#2b3890" stroked="false">
              <v:fill type="solid"/>
            </v:rect>
            <v:rect style="position:absolute;left:2916;top:3138;width:102;height:102" filled="true" fillcolor="#27aae1" stroked="false">
              <v:fill type="solid"/>
            </v:rect>
            <v:rect style="position:absolute;left:2916;top:3411;width:102;height:102" filled="true" fillcolor="#1b75bc" stroked="false">
              <v:fill type="solid"/>
            </v:rect>
            <v:rect style="position:absolute;left:2916;top:3686;width:102;height:102" filled="true" fillcolor="#2b3890" stroked="false">
              <v:fill type="solid"/>
            </v:rect>
            <v:shape style="position:absolute;left:3464;top:779;width:4024;height:1948" coordorigin="3464,779" coordsize="4024,1948" path="m7487,779l7487,2726,3464,2726,3464,779e" filled="false" stroked="true" strokeweight="1.0pt" strokecolor="#231f20">
              <v:path arrowok="t"/>
            </v:shape>
            <w10:wrap type="topAndBottom"/>
          </v:group>
        </w:pict>
      </w:r>
    </w:p>
    <w:p>
      <w:pPr>
        <w:pStyle w:val="BodyText"/>
        <w:spacing w:before="1"/>
        <w:rPr>
          <w:sz w:val="26"/>
        </w:rPr>
      </w:pPr>
    </w:p>
    <w:p>
      <w:pPr>
        <w:pStyle w:val="BodyText"/>
        <w:spacing w:before="9"/>
        <w:rPr>
          <w:sz w:val="6"/>
        </w:rPr>
      </w:pPr>
    </w:p>
    <w:p>
      <w:pPr>
        <w:pStyle w:val="BodyText"/>
        <w:spacing w:line="142" w:lineRule="exact"/>
        <w:ind w:left="4258"/>
        <w:rPr>
          <w:sz w:val="14"/>
        </w:rPr>
      </w:pPr>
      <w:r>
        <w:rPr>
          <w:position w:val="-2"/>
          <w:sz w:val="14"/>
        </w:rPr>
        <w:drawing>
          <wp:inline distT="0" distB="0" distL="0" distR="0">
            <wp:extent cx="493000" cy="90487"/>
            <wp:effectExtent l="0" t="0" r="0" b="0"/>
            <wp:docPr id="261" name="image449.png" descr=""/>
            <wp:cNvGraphicFramePr>
              <a:graphicFrameLocks noChangeAspect="1"/>
            </wp:cNvGraphicFramePr>
            <a:graphic>
              <a:graphicData uri="http://schemas.openxmlformats.org/drawingml/2006/picture">
                <pic:pic>
                  <pic:nvPicPr>
                    <pic:cNvPr id="262" name="image449.png"/>
                    <pic:cNvPicPr/>
                  </pic:nvPicPr>
                  <pic:blipFill>
                    <a:blip r:embed="rId503" cstate="print"/>
                    <a:stretch>
                      <a:fillRect/>
                    </a:stretch>
                  </pic:blipFill>
                  <pic:spPr>
                    <a:xfrm>
                      <a:off x="0" y="0"/>
                      <a:ext cx="493000" cy="90487"/>
                    </a:xfrm>
                    <a:prstGeom prst="rect">
                      <a:avLst/>
                    </a:prstGeom>
                  </pic:spPr>
                </pic:pic>
              </a:graphicData>
            </a:graphic>
          </wp:inline>
        </w:drawing>
      </w:r>
      <w:r>
        <w:rPr>
          <w:position w:val="-2"/>
          <w:sz w:val="14"/>
        </w:rPr>
      </w:r>
    </w:p>
    <w:p>
      <w:pPr>
        <w:spacing w:before="149"/>
        <w:ind w:left="1567" w:right="-2" w:firstLine="0"/>
        <w:jc w:val="left"/>
        <w:rPr>
          <w:rFonts w:ascii="Calibri" w:hAnsi="Calibri"/>
          <w:sz w:val="16"/>
        </w:rPr>
      </w:pPr>
      <w:r>
        <w:rPr/>
        <w:drawing>
          <wp:anchor distT="0" distB="0" distL="0" distR="0" allowOverlap="1" layoutInCell="1" locked="0" behindDoc="1" simplePos="0" relativeHeight="267842999">
            <wp:simplePos x="0" y="0"/>
            <wp:positionH relativeFrom="page">
              <wp:posOffset>1966202</wp:posOffset>
            </wp:positionH>
            <wp:positionV relativeFrom="paragraph">
              <wp:posOffset>-921621</wp:posOffset>
            </wp:positionV>
            <wp:extent cx="176315" cy="68580"/>
            <wp:effectExtent l="0" t="0" r="0" b="0"/>
            <wp:wrapNone/>
            <wp:docPr id="263" name="image450.png" descr=""/>
            <wp:cNvGraphicFramePr>
              <a:graphicFrameLocks noChangeAspect="1"/>
            </wp:cNvGraphicFramePr>
            <a:graphic>
              <a:graphicData uri="http://schemas.openxmlformats.org/drawingml/2006/picture">
                <pic:pic>
                  <pic:nvPicPr>
                    <pic:cNvPr id="264" name="image450.png"/>
                    <pic:cNvPicPr/>
                  </pic:nvPicPr>
                  <pic:blipFill>
                    <a:blip r:embed="rId504" cstate="print"/>
                    <a:stretch>
                      <a:fillRect/>
                    </a:stretch>
                  </pic:blipFill>
                  <pic:spPr>
                    <a:xfrm>
                      <a:off x="0" y="0"/>
                      <a:ext cx="176315" cy="68580"/>
                    </a:xfrm>
                    <a:prstGeom prst="rect">
                      <a:avLst/>
                    </a:prstGeom>
                  </pic:spPr>
                </pic:pic>
              </a:graphicData>
            </a:graphic>
          </wp:anchor>
        </w:drawing>
      </w:r>
      <w:r>
        <w:rPr>
          <w:rFonts w:ascii="Calibri" w:hAnsi="Calibri"/>
          <w:color w:val="231F20"/>
          <w:sz w:val="16"/>
        </w:rPr>
        <w:t>FUENTE: Elaboración propia con información de Secretaría de Finanzas del Estado de México (2008b)</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9"/>
        <w:jc w:val="both"/>
      </w:pPr>
      <w:r>
        <w:rPr>
          <w:color w:val="231F20"/>
          <w:w w:val="105"/>
        </w:rPr>
        <w:t>Como podemos apreciar en la gráfica 6 existe un incremento en ambos Fondos. Del FISM se nota que del año 2006 al 2007 aumentó en 4’286,583.78 pesos, mientras que para el año 2008 dobló esa cantidad al obtener cerca de 50 millones de pesos.</w:t>
      </w:r>
    </w:p>
    <w:p>
      <w:pPr>
        <w:pStyle w:val="BodyText"/>
        <w:spacing w:before="1"/>
        <w:rPr>
          <w:sz w:val="26"/>
        </w:rPr>
      </w:pPr>
    </w:p>
    <w:p>
      <w:pPr>
        <w:pStyle w:val="BodyText"/>
        <w:spacing w:line="285" w:lineRule="auto"/>
        <w:ind w:left="110" w:right="107"/>
        <w:jc w:val="both"/>
      </w:pPr>
      <w:r>
        <w:rPr>
          <w:color w:val="231F20"/>
        </w:rPr>
        <w:t>Respecto al FORTAMUNDF, existe en los dos primeros años un decremento de 999,891.61 pesos. Para 2008 se aumenta en 4’136,484.25 pesos al lograr cerca de 24 mi- llones de pesos (ver gráfica 6).</w:t>
      </w:r>
    </w:p>
    <w:p>
      <w:pPr>
        <w:pStyle w:val="BodyText"/>
        <w:spacing w:before="10"/>
      </w:pPr>
    </w:p>
    <w:p>
      <w:pPr>
        <w:pStyle w:val="Heading3"/>
      </w:pPr>
      <w:r>
        <w:rPr>
          <w:color w:val="231F20"/>
          <w:w w:val="105"/>
        </w:rPr>
        <w:t>Conclusiones</w:t>
      </w:r>
    </w:p>
    <w:p>
      <w:pPr>
        <w:pStyle w:val="BodyText"/>
        <w:spacing w:line="285" w:lineRule="auto" w:before="38"/>
        <w:ind w:left="110" w:right="108"/>
        <w:jc w:val="both"/>
      </w:pPr>
      <w:r>
        <w:rPr>
          <w:color w:val="231F20"/>
        </w:rPr>
        <w:t>Básicamente el Revolucionario Institucional enfocó sus principios en cuatro ejes: Parti- do, Estado, Sociedad y Entorno mundial. Si bien es difícil establecer si estos principios son seguidos </w:t>
      </w:r>
      <w:r>
        <w:rPr>
          <w:color w:val="231F20"/>
          <w:spacing w:val="2"/>
        </w:rPr>
        <w:t>al </w:t>
      </w:r>
      <w:r>
        <w:rPr>
          <w:color w:val="231F20"/>
        </w:rPr>
        <w:t>pie de la letra por los miembros priístas, basta decir que con ser </w:t>
      </w:r>
      <w:r>
        <w:rPr>
          <w:color w:val="231F20"/>
          <w:spacing w:val="-4"/>
        </w:rPr>
        <w:t>Tejupil- </w:t>
      </w:r>
      <w:r>
        <w:rPr>
          <w:color w:val="231F20"/>
        </w:rPr>
        <w:t>co un municipio </w:t>
      </w:r>
      <w:r>
        <w:rPr>
          <w:color w:val="231F20"/>
          <w:spacing w:val="2"/>
        </w:rPr>
        <w:t>rural </w:t>
      </w:r>
      <w:r>
        <w:rPr>
          <w:color w:val="231F20"/>
        </w:rPr>
        <w:t>se contempla a uno de los tres sectores que conforman </w:t>
      </w:r>
      <w:r>
        <w:rPr>
          <w:color w:val="231F20"/>
          <w:spacing w:val="2"/>
        </w:rPr>
        <w:t>al </w:t>
      </w:r>
      <w:r>
        <w:rPr>
          <w:color w:val="231F20"/>
        </w:rPr>
        <w:t>partido:   el</w:t>
      </w:r>
      <w:r>
        <w:rPr>
          <w:color w:val="231F20"/>
          <w:spacing w:val="18"/>
        </w:rPr>
        <w:t> </w:t>
      </w:r>
      <w:r>
        <w:rPr>
          <w:color w:val="231F20"/>
        </w:rPr>
        <w:t>campesino.</w:t>
      </w:r>
      <w:r>
        <w:rPr>
          <w:color w:val="231F20"/>
          <w:spacing w:val="18"/>
        </w:rPr>
        <w:t> </w:t>
      </w:r>
      <w:r>
        <w:rPr>
          <w:color w:val="231F20"/>
        </w:rPr>
        <w:t>Situación</w:t>
      </w:r>
      <w:r>
        <w:rPr>
          <w:color w:val="231F20"/>
          <w:spacing w:val="18"/>
        </w:rPr>
        <w:t> </w:t>
      </w:r>
      <w:r>
        <w:rPr>
          <w:color w:val="231F20"/>
        </w:rPr>
        <w:t>que</w:t>
      </w:r>
      <w:r>
        <w:rPr>
          <w:color w:val="231F20"/>
          <w:spacing w:val="18"/>
        </w:rPr>
        <w:t> </w:t>
      </w:r>
      <w:r>
        <w:rPr>
          <w:color w:val="231F20"/>
        </w:rPr>
        <w:t>quizá</w:t>
      </w:r>
      <w:r>
        <w:rPr>
          <w:color w:val="231F20"/>
          <w:spacing w:val="18"/>
        </w:rPr>
        <w:t> </w:t>
      </w:r>
      <w:r>
        <w:rPr>
          <w:color w:val="231F20"/>
        </w:rPr>
        <w:t>explique</w:t>
      </w:r>
      <w:r>
        <w:rPr>
          <w:color w:val="231F20"/>
          <w:spacing w:val="18"/>
        </w:rPr>
        <w:t> </w:t>
      </w:r>
      <w:r>
        <w:rPr>
          <w:color w:val="231F20"/>
        </w:rPr>
        <w:t>el</w:t>
      </w:r>
      <w:r>
        <w:rPr>
          <w:color w:val="231F20"/>
          <w:spacing w:val="18"/>
        </w:rPr>
        <w:t> </w:t>
      </w:r>
      <w:r>
        <w:rPr>
          <w:color w:val="231F20"/>
        </w:rPr>
        <w:t>predominio</w:t>
      </w:r>
      <w:r>
        <w:rPr>
          <w:color w:val="231F20"/>
          <w:spacing w:val="18"/>
        </w:rPr>
        <w:t> </w:t>
      </w:r>
      <w:r>
        <w:rPr>
          <w:color w:val="231F20"/>
        </w:rPr>
        <w:t>priísta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municipio.</w:t>
      </w:r>
    </w:p>
    <w:p>
      <w:pPr>
        <w:pStyle w:val="BodyText"/>
        <w:spacing w:before="1"/>
        <w:rPr>
          <w:sz w:val="26"/>
        </w:rPr>
      </w:pPr>
    </w:p>
    <w:p>
      <w:pPr>
        <w:pStyle w:val="BodyText"/>
        <w:spacing w:line="285" w:lineRule="auto"/>
        <w:ind w:left="110" w:right="108"/>
        <w:jc w:val="both"/>
      </w:pPr>
      <w:r>
        <w:rPr>
          <w:color w:val="231F20"/>
          <w:spacing w:val="-4"/>
          <w:w w:val="105"/>
        </w:rPr>
        <w:t>Tejupilco </w:t>
      </w:r>
      <w:r>
        <w:rPr>
          <w:color w:val="231F20"/>
          <w:w w:val="105"/>
        </w:rPr>
        <w:t>no es el único municipio con dependencia económica, casos similares se re- producen dentro del mismo Estado o en otras entidades federativas. Lo que llama la atención es que la Administración Municipal no logra crear los incentivos necesarios para incrementar sus </w:t>
      </w:r>
      <w:r>
        <w:rPr>
          <w:color w:val="231F20"/>
          <w:spacing w:val="-3"/>
          <w:w w:val="105"/>
        </w:rPr>
        <w:t>propios </w:t>
      </w:r>
      <w:r>
        <w:rPr>
          <w:color w:val="231F20"/>
          <w:w w:val="105"/>
        </w:rPr>
        <w:t>ingresos.</w:t>
      </w:r>
    </w:p>
    <w:p>
      <w:pPr>
        <w:pStyle w:val="BodyText"/>
        <w:spacing w:before="1"/>
        <w:rPr>
          <w:sz w:val="26"/>
        </w:rPr>
      </w:pPr>
    </w:p>
    <w:p>
      <w:pPr>
        <w:pStyle w:val="BodyText"/>
        <w:spacing w:line="285" w:lineRule="auto"/>
        <w:ind w:left="110" w:right="107"/>
        <w:jc w:val="both"/>
      </w:pPr>
      <w:r>
        <w:rPr>
          <w:color w:val="231F20"/>
          <w:spacing w:val="-3"/>
          <w:w w:val="105"/>
        </w:rPr>
        <w:t>Un </w:t>
      </w:r>
      <w:r>
        <w:rPr>
          <w:color w:val="231F20"/>
          <w:w w:val="105"/>
        </w:rPr>
        <w:t>punto a favor de la administración actual es que ha logrado acercarse a programas tanto</w:t>
      </w:r>
      <w:r>
        <w:rPr>
          <w:color w:val="231F20"/>
          <w:spacing w:val="-14"/>
          <w:w w:val="105"/>
        </w:rPr>
        <w:t> </w:t>
      </w:r>
      <w:r>
        <w:rPr>
          <w:color w:val="231F20"/>
          <w:w w:val="105"/>
        </w:rPr>
        <w:t>federales</w:t>
      </w:r>
      <w:r>
        <w:rPr>
          <w:color w:val="231F20"/>
          <w:spacing w:val="-14"/>
          <w:w w:val="105"/>
        </w:rPr>
        <w:t> </w:t>
      </w:r>
      <w:r>
        <w:rPr>
          <w:color w:val="231F20"/>
          <w:w w:val="105"/>
        </w:rPr>
        <w:t>como</w:t>
      </w:r>
      <w:r>
        <w:rPr>
          <w:color w:val="231F20"/>
          <w:spacing w:val="-14"/>
          <w:w w:val="105"/>
        </w:rPr>
        <w:t> </w:t>
      </w:r>
      <w:r>
        <w:rPr>
          <w:color w:val="231F20"/>
          <w:w w:val="105"/>
        </w:rPr>
        <w:t>estatales,</w:t>
      </w:r>
      <w:r>
        <w:rPr>
          <w:color w:val="231F20"/>
          <w:spacing w:val="-14"/>
          <w:w w:val="105"/>
        </w:rPr>
        <w:t> </w:t>
      </w:r>
      <w:r>
        <w:rPr>
          <w:color w:val="231F20"/>
          <w:w w:val="105"/>
        </w:rPr>
        <w:t>si</w:t>
      </w:r>
      <w:r>
        <w:rPr>
          <w:color w:val="231F20"/>
          <w:spacing w:val="-14"/>
          <w:w w:val="105"/>
        </w:rPr>
        <w:t> </w:t>
      </w:r>
      <w:r>
        <w:rPr>
          <w:color w:val="231F20"/>
          <w:w w:val="105"/>
        </w:rPr>
        <w:t>bien</w:t>
      </w:r>
      <w:r>
        <w:rPr>
          <w:color w:val="231F20"/>
          <w:spacing w:val="-14"/>
          <w:w w:val="105"/>
        </w:rPr>
        <w:t> </w:t>
      </w:r>
      <w:r>
        <w:rPr>
          <w:color w:val="231F20"/>
          <w:w w:val="105"/>
        </w:rPr>
        <w:t>el</w:t>
      </w:r>
      <w:r>
        <w:rPr>
          <w:color w:val="231F20"/>
          <w:spacing w:val="-14"/>
          <w:w w:val="105"/>
        </w:rPr>
        <w:t> </w:t>
      </w:r>
      <w:r>
        <w:rPr>
          <w:color w:val="231F20"/>
          <w:w w:val="105"/>
        </w:rPr>
        <w:t>apoyo</w:t>
      </w:r>
      <w:r>
        <w:rPr>
          <w:color w:val="231F20"/>
          <w:spacing w:val="-14"/>
          <w:w w:val="105"/>
        </w:rPr>
        <w:t> </w:t>
      </w:r>
      <w:r>
        <w:rPr>
          <w:color w:val="231F20"/>
          <w:w w:val="105"/>
        </w:rPr>
        <w:t>estatal</w:t>
      </w:r>
      <w:r>
        <w:rPr>
          <w:color w:val="231F20"/>
          <w:spacing w:val="-14"/>
          <w:w w:val="105"/>
        </w:rPr>
        <w:t> </w:t>
      </w:r>
      <w:r>
        <w:rPr>
          <w:color w:val="231F20"/>
          <w:w w:val="105"/>
        </w:rPr>
        <w:t>es</w:t>
      </w:r>
      <w:r>
        <w:rPr>
          <w:color w:val="231F20"/>
          <w:spacing w:val="-14"/>
          <w:w w:val="105"/>
        </w:rPr>
        <w:t> </w:t>
      </w:r>
      <w:r>
        <w:rPr>
          <w:color w:val="231F20"/>
          <w:spacing w:val="-3"/>
          <w:w w:val="105"/>
        </w:rPr>
        <w:t>mayor.</w:t>
      </w:r>
      <w:r>
        <w:rPr>
          <w:color w:val="231F20"/>
          <w:spacing w:val="-14"/>
          <w:w w:val="105"/>
        </w:rPr>
        <w:t> </w:t>
      </w:r>
      <w:r>
        <w:rPr>
          <w:color w:val="231F20"/>
          <w:w w:val="105"/>
        </w:rPr>
        <w:t>De</w:t>
      </w:r>
      <w:r>
        <w:rPr>
          <w:color w:val="231F20"/>
          <w:spacing w:val="-14"/>
          <w:w w:val="105"/>
        </w:rPr>
        <w:t> </w:t>
      </w:r>
      <w:r>
        <w:rPr>
          <w:color w:val="231F20"/>
          <w:w w:val="105"/>
        </w:rPr>
        <w:t>cierta</w:t>
      </w:r>
      <w:r>
        <w:rPr>
          <w:color w:val="231F20"/>
          <w:spacing w:val="-14"/>
          <w:w w:val="105"/>
        </w:rPr>
        <w:t> </w:t>
      </w:r>
      <w:r>
        <w:rPr>
          <w:color w:val="231F20"/>
          <w:w w:val="105"/>
        </w:rPr>
        <w:t>forma</w:t>
      </w:r>
      <w:r>
        <w:rPr>
          <w:color w:val="231F20"/>
          <w:spacing w:val="-14"/>
          <w:w w:val="105"/>
        </w:rPr>
        <w:t> </w:t>
      </w:r>
      <w:r>
        <w:rPr>
          <w:color w:val="231F20"/>
          <w:w w:val="105"/>
        </w:rPr>
        <w:t>esto</w:t>
      </w:r>
      <w:r>
        <w:rPr>
          <w:color w:val="231F20"/>
          <w:spacing w:val="-14"/>
          <w:w w:val="105"/>
        </w:rPr>
        <w:t> </w:t>
      </w:r>
      <w:r>
        <w:rPr>
          <w:color w:val="231F20"/>
          <w:w w:val="105"/>
        </w:rPr>
        <w:t>es entendible</w:t>
      </w:r>
      <w:r>
        <w:rPr>
          <w:color w:val="231F20"/>
          <w:spacing w:val="-14"/>
          <w:w w:val="105"/>
        </w:rPr>
        <w:t> </w:t>
      </w:r>
      <w:r>
        <w:rPr>
          <w:color w:val="231F20"/>
          <w:w w:val="105"/>
        </w:rPr>
        <w:t>puesto</w:t>
      </w:r>
      <w:r>
        <w:rPr>
          <w:color w:val="231F20"/>
          <w:spacing w:val="-14"/>
          <w:w w:val="105"/>
        </w:rPr>
        <w:t> </w:t>
      </w:r>
      <w:r>
        <w:rPr>
          <w:color w:val="231F20"/>
          <w:w w:val="105"/>
        </w:rPr>
        <w:t>que</w:t>
      </w:r>
      <w:r>
        <w:rPr>
          <w:color w:val="231F20"/>
          <w:spacing w:val="-14"/>
          <w:w w:val="105"/>
        </w:rPr>
        <w:t> </w:t>
      </w:r>
      <w:r>
        <w:rPr>
          <w:color w:val="231F20"/>
          <w:w w:val="105"/>
        </w:rPr>
        <w:t>tanto</w:t>
      </w:r>
      <w:r>
        <w:rPr>
          <w:color w:val="231F20"/>
          <w:spacing w:val="-14"/>
          <w:w w:val="105"/>
        </w:rPr>
        <w:t> </w:t>
      </w:r>
      <w:r>
        <w:rPr>
          <w:color w:val="231F20"/>
          <w:w w:val="105"/>
        </w:rPr>
        <w:t>el</w:t>
      </w:r>
      <w:r>
        <w:rPr>
          <w:color w:val="231F20"/>
          <w:spacing w:val="-14"/>
          <w:w w:val="105"/>
        </w:rPr>
        <w:t> </w:t>
      </w:r>
      <w:r>
        <w:rPr>
          <w:color w:val="231F20"/>
          <w:w w:val="105"/>
        </w:rPr>
        <w:t>ejecutivo</w:t>
      </w:r>
      <w:r>
        <w:rPr>
          <w:color w:val="231F20"/>
          <w:spacing w:val="-14"/>
          <w:w w:val="105"/>
        </w:rPr>
        <w:t> </w:t>
      </w:r>
      <w:r>
        <w:rPr>
          <w:color w:val="231F20"/>
          <w:w w:val="105"/>
        </w:rPr>
        <w:t>estatal</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municipal</w:t>
      </w:r>
      <w:r>
        <w:rPr>
          <w:color w:val="231F20"/>
          <w:spacing w:val="-14"/>
          <w:w w:val="105"/>
        </w:rPr>
        <w:t> </w:t>
      </w:r>
      <w:r>
        <w:rPr>
          <w:color w:val="231F20"/>
          <w:w w:val="105"/>
        </w:rPr>
        <w:t>pertenecen</w:t>
      </w:r>
      <w:r>
        <w:rPr>
          <w:color w:val="231F20"/>
          <w:spacing w:val="-14"/>
          <w:w w:val="105"/>
        </w:rPr>
        <w:t> </w:t>
      </w:r>
      <w:r>
        <w:rPr>
          <w:color w:val="231F20"/>
          <w:spacing w:val="2"/>
          <w:w w:val="105"/>
        </w:rPr>
        <w:t>al</w:t>
      </w:r>
      <w:r>
        <w:rPr>
          <w:color w:val="231F20"/>
          <w:spacing w:val="-14"/>
          <w:w w:val="105"/>
        </w:rPr>
        <w:t> </w:t>
      </w:r>
      <w:r>
        <w:rPr>
          <w:color w:val="231F20"/>
          <w:w w:val="105"/>
        </w:rPr>
        <w:t>mismo partido</w:t>
      </w:r>
      <w:r>
        <w:rPr>
          <w:color w:val="231F20"/>
          <w:spacing w:val="-12"/>
          <w:w w:val="105"/>
        </w:rPr>
        <w:t> </w:t>
      </w:r>
      <w:r>
        <w:rPr>
          <w:color w:val="231F20"/>
          <w:w w:val="105"/>
        </w:rPr>
        <w:t>político.</w:t>
      </w:r>
    </w:p>
    <w:p>
      <w:pPr>
        <w:pStyle w:val="BodyText"/>
        <w:spacing w:before="1"/>
        <w:rPr>
          <w:sz w:val="26"/>
        </w:rPr>
      </w:pPr>
    </w:p>
    <w:p>
      <w:pPr>
        <w:pStyle w:val="BodyText"/>
        <w:spacing w:line="285" w:lineRule="auto"/>
        <w:ind w:left="110" w:right="107"/>
        <w:jc w:val="both"/>
      </w:pPr>
      <w:r>
        <w:rPr>
          <w:color w:val="231F20"/>
          <w:spacing w:val="3"/>
          <w:w w:val="105"/>
        </w:rPr>
        <w:t>Al</w:t>
      </w:r>
      <w:r>
        <w:rPr>
          <w:color w:val="231F20"/>
          <w:spacing w:val="-11"/>
          <w:w w:val="105"/>
        </w:rPr>
        <w:t> </w:t>
      </w:r>
      <w:r>
        <w:rPr>
          <w:color w:val="231F20"/>
          <w:w w:val="105"/>
        </w:rPr>
        <w:t>municipio</w:t>
      </w:r>
      <w:r>
        <w:rPr>
          <w:color w:val="231F20"/>
          <w:spacing w:val="-11"/>
          <w:w w:val="105"/>
        </w:rPr>
        <w:t> </w:t>
      </w:r>
      <w:r>
        <w:rPr>
          <w:color w:val="231F20"/>
          <w:w w:val="105"/>
        </w:rPr>
        <w:t>aún</w:t>
      </w:r>
      <w:r>
        <w:rPr>
          <w:color w:val="231F20"/>
          <w:spacing w:val="-11"/>
          <w:w w:val="105"/>
        </w:rPr>
        <w:t> </w:t>
      </w:r>
      <w:r>
        <w:rPr>
          <w:color w:val="231F20"/>
          <w:w w:val="105"/>
        </w:rPr>
        <w:t>le</w:t>
      </w:r>
      <w:r>
        <w:rPr>
          <w:color w:val="231F20"/>
          <w:spacing w:val="-11"/>
          <w:w w:val="105"/>
        </w:rPr>
        <w:t> </w:t>
      </w:r>
      <w:r>
        <w:rPr>
          <w:color w:val="231F20"/>
          <w:w w:val="105"/>
        </w:rPr>
        <w:t>falta</w:t>
      </w:r>
      <w:r>
        <w:rPr>
          <w:color w:val="231F20"/>
          <w:spacing w:val="-11"/>
          <w:w w:val="105"/>
        </w:rPr>
        <w:t> </w:t>
      </w:r>
      <w:r>
        <w:rPr>
          <w:color w:val="231F20"/>
          <w:w w:val="105"/>
        </w:rPr>
        <w:t>implementar</w:t>
      </w:r>
      <w:r>
        <w:rPr>
          <w:color w:val="231F20"/>
          <w:spacing w:val="-11"/>
          <w:w w:val="105"/>
        </w:rPr>
        <w:t> </w:t>
      </w:r>
      <w:r>
        <w:rPr>
          <w:color w:val="231F20"/>
          <w:w w:val="105"/>
        </w:rPr>
        <w:t>la</w:t>
      </w:r>
      <w:r>
        <w:rPr>
          <w:color w:val="231F20"/>
          <w:spacing w:val="-11"/>
          <w:w w:val="105"/>
        </w:rPr>
        <w:t> </w:t>
      </w:r>
      <w:r>
        <w:rPr>
          <w:color w:val="231F20"/>
          <w:w w:val="105"/>
        </w:rPr>
        <w:t>creación</w:t>
      </w:r>
      <w:r>
        <w:rPr>
          <w:color w:val="231F20"/>
          <w:spacing w:val="-11"/>
          <w:w w:val="105"/>
        </w:rPr>
        <w:t> </w:t>
      </w:r>
      <w:r>
        <w:rPr>
          <w:color w:val="231F20"/>
          <w:w w:val="105"/>
        </w:rPr>
        <w:t>de</w:t>
      </w:r>
      <w:r>
        <w:rPr>
          <w:color w:val="231F20"/>
          <w:spacing w:val="-11"/>
          <w:w w:val="105"/>
        </w:rPr>
        <w:t> </w:t>
      </w:r>
      <w:r>
        <w:rPr>
          <w:color w:val="231F20"/>
          <w:w w:val="105"/>
        </w:rPr>
        <w:t>normas</w:t>
      </w:r>
      <w:r>
        <w:rPr>
          <w:color w:val="231F20"/>
          <w:spacing w:val="-11"/>
          <w:w w:val="105"/>
        </w:rPr>
        <w:t> </w:t>
      </w:r>
      <w:r>
        <w:rPr>
          <w:color w:val="231F20"/>
          <w:w w:val="105"/>
        </w:rPr>
        <w:t>internas</w:t>
      </w:r>
      <w:r>
        <w:rPr>
          <w:color w:val="231F20"/>
          <w:spacing w:val="-11"/>
          <w:w w:val="105"/>
        </w:rPr>
        <w:t> </w:t>
      </w:r>
      <w:r>
        <w:rPr>
          <w:color w:val="231F20"/>
          <w:w w:val="105"/>
        </w:rPr>
        <w:t>para</w:t>
      </w:r>
      <w:r>
        <w:rPr>
          <w:color w:val="231F20"/>
          <w:spacing w:val="-11"/>
          <w:w w:val="105"/>
        </w:rPr>
        <w:t> </w:t>
      </w:r>
      <w:r>
        <w:rPr>
          <w:color w:val="231F20"/>
          <w:w w:val="105"/>
        </w:rPr>
        <w:t>que</w:t>
      </w:r>
      <w:r>
        <w:rPr>
          <w:color w:val="231F20"/>
          <w:spacing w:val="-11"/>
          <w:w w:val="105"/>
        </w:rPr>
        <w:t> </w:t>
      </w:r>
      <w:r>
        <w:rPr>
          <w:color w:val="231F20"/>
          <w:w w:val="105"/>
        </w:rPr>
        <w:t>sea</w:t>
      </w:r>
      <w:r>
        <w:rPr>
          <w:color w:val="231F20"/>
          <w:spacing w:val="-11"/>
          <w:w w:val="105"/>
        </w:rPr>
        <w:t> </w:t>
      </w:r>
      <w:r>
        <w:rPr>
          <w:color w:val="231F20"/>
          <w:w w:val="105"/>
        </w:rPr>
        <w:t>más fácil</w:t>
      </w:r>
      <w:r>
        <w:rPr>
          <w:color w:val="231F20"/>
          <w:spacing w:val="-15"/>
          <w:w w:val="105"/>
        </w:rPr>
        <w:t> </w:t>
      </w:r>
      <w:r>
        <w:rPr>
          <w:color w:val="231F20"/>
          <w:w w:val="105"/>
        </w:rPr>
        <w:t>desempeñar</w:t>
      </w:r>
      <w:r>
        <w:rPr>
          <w:color w:val="231F20"/>
          <w:spacing w:val="-15"/>
          <w:w w:val="105"/>
        </w:rPr>
        <w:t> </w:t>
      </w:r>
      <w:r>
        <w:rPr>
          <w:color w:val="231F20"/>
          <w:w w:val="105"/>
        </w:rPr>
        <w:t>las</w:t>
      </w:r>
      <w:r>
        <w:rPr>
          <w:color w:val="231F20"/>
          <w:spacing w:val="-15"/>
          <w:w w:val="105"/>
        </w:rPr>
        <w:t> </w:t>
      </w:r>
      <w:r>
        <w:rPr>
          <w:color w:val="231F20"/>
          <w:w w:val="105"/>
        </w:rPr>
        <w:t>funciones</w:t>
      </w:r>
      <w:r>
        <w:rPr>
          <w:color w:val="231F20"/>
          <w:spacing w:val="-15"/>
          <w:w w:val="105"/>
        </w:rPr>
        <w:t> </w:t>
      </w:r>
      <w:r>
        <w:rPr>
          <w:color w:val="231F20"/>
          <w:w w:val="105"/>
        </w:rPr>
        <w:t>de</w:t>
      </w:r>
      <w:r>
        <w:rPr>
          <w:color w:val="231F20"/>
          <w:spacing w:val="-15"/>
          <w:w w:val="105"/>
        </w:rPr>
        <w:t> </w:t>
      </w:r>
      <w:r>
        <w:rPr>
          <w:color w:val="231F20"/>
          <w:w w:val="105"/>
        </w:rPr>
        <w:t>gobierno</w:t>
      </w:r>
      <w:r>
        <w:rPr>
          <w:color w:val="231F20"/>
          <w:spacing w:val="-15"/>
          <w:w w:val="105"/>
        </w:rPr>
        <w:t> </w:t>
      </w:r>
      <w:r>
        <w:rPr>
          <w:color w:val="231F20"/>
          <w:spacing w:val="2"/>
          <w:w w:val="105"/>
        </w:rPr>
        <w:t>al</w:t>
      </w:r>
      <w:r>
        <w:rPr>
          <w:color w:val="231F20"/>
          <w:spacing w:val="-15"/>
          <w:w w:val="105"/>
        </w:rPr>
        <w:t> </w:t>
      </w:r>
      <w:r>
        <w:rPr>
          <w:color w:val="231F20"/>
          <w:w w:val="105"/>
        </w:rPr>
        <w:t>establecer</w:t>
      </w:r>
      <w:r>
        <w:rPr>
          <w:color w:val="231F20"/>
          <w:spacing w:val="-15"/>
          <w:w w:val="105"/>
        </w:rPr>
        <w:t> </w:t>
      </w:r>
      <w:r>
        <w:rPr>
          <w:color w:val="231F20"/>
          <w:w w:val="105"/>
        </w:rPr>
        <w:t>él</w:t>
      </w:r>
      <w:r>
        <w:rPr>
          <w:color w:val="231F20"/>
          <w:spacing w:val="-15"/>
          <w:w w:val="105"/>
        </w:rPr>
        <w:t> </w:t>
      </w:r>
      <w:r>
        <w:rPr>
          <w:color w:val="231F20"/>
          <w:w w:val="105"/>
        </w:rPr>
        <w:t>mismo</w:t>
      </w:r>
      <w:r>
        <w:rPr>
          <w:color w:val="231F20"/>
          <w:spacing w:val="-15"/>
          <w:w w:val="105"/>
        </w:rPr>
        <w:t> </w:t>
      </w:r>
      <w:r>
        <w:rPr>
          <w:color w:val="231F20"/>
          <w:w w:val="105"/>
        </w:rPr>
        <w:t>los</w:t>
      </w:r>
      <w:r>
        <w:rPr>
          <w:color w:val="231F20"/>
          <w:spacing w:val="-15"/>
          <w:w w:val="105"/>
        </w:rPr>
        <w:t> </w:t>
      </w:r>
      <w:r>
        <w:rPr>
          <w:color w:val="231F20"/>
          <w:w w:val="105"/>
        </w:rPr>
        <w:t>objetivos,</w:t>
      </w:r>
      <w:r>
        <w:rPr>
          <w:color w:val="231F20"/>
          <w:spacing w:val="-15"/>
          <w:w w:val="105"/>
        </w:rPr>
        <w:t> </w:t>
      </w:r>
      <w:r>
        <w:rPr>
          <w:color w:val="231F20"/>
          <w:w w:val="105"/>
        </w:rPr>
        <w:t>atribu- ciones</w:t>
      </w:r>
      <w:r>
        <w:rPr>
          <w:color w:val="231F20"/>
          <w:spacing w:val="-8"/>
          <w:w w:val="105"/>
        </w:rPr>
        <w:t> </w:t>
      </w:r>
      <w:r>
        <w:rPr>
          <w:color w:val="231F20"/>
          <w:w w:val="105"/>
        </w:rPr>
        <w:t>y</w:t>
      </w:r>
      <w:r>
        <w:rPr>
          <w:color w:val="231F20"/>
          <w:spacing w:val="-8"/>
          <w:w w:val="105"/>
        </w:rPr>
        <w:t> </w:t>
      </w:r>
      <w:r>
        <w:rPr>
          <w:color w:val="231F20"/>
          <w:w w:val="105"/>
        </w:rPr>
        <w:t>acciones</w:t>
      </w:r>
      <w:r>
        <w:rPr>
          <w:color w:val="231F20"/>
          <w:spacing w:val="-8"/>
          <w:w w:val="105"/>
        </w:rPr>
        <w:t> </w:t>
      </w:r>
      <w:r>
        <w:rPr>
          <w:color w:val="231F20"/>
          <w:w w:val="105"/>
        </w:rPr>
        <w:t>que</w:t>
      </w:r>
      <w:r>
        <w:rPr>
          <w:color w:val="231F20"/>
          <w:spacing w:val="-8"/>
          <w:w w:val="105"/>
        </w:rPr>
        <w:t> </w:t>
      </w:r>
      <w:r>
        <w:rPr>
          <w:color w:val="231F20"/>
          <w:w w:val="105"/>
        </w:rPr>
        <w:t>debe</w:t>
      </w:r>
      <w:r>
        <w:rPr>
          <w:color w:val="231F20"/>
          <w:spacing w:val="-8"/>
          <w:w w:val="105"/>
        </w:rPr>
        <w:t> </w:t>
      </w:r>
      <w:r>
        <w:rPr>
          <w:color w:val="231F20"/>
          <w:w w:val="105"/>
        </w:rPr>
        <w:t>desarrollar</w:t>
      </w:r>
      <w:r>
        <w:rPr>
          <w:color w:val="231F20"/>
          <w:spacing w:val="-8"/>
          <w:w w:val="105"/>
        </w:rPr>
        <w:t> </w:t>
      </w:r>
      <w:r>
        <w:rPr>
          <w:color w:val="231F20"/>
          <w:w w:val="105"/>
        </w:rPr>
        <w:t>cada</w:t>
      </w:r>
      <w:r>
        <w:rPr>
          <w:color w:val="231F20"/>
          <w:spacing w:val="-8"/>
          <w:w w:val="105"/>
        </w:rPr>
        <w:t> </w:t>
      </w:r>
      <w:r>
        <w:rPr>
          <w:color w:val="231F20"/>
          <w:w w:val="105"/>
        </w:rPr>
        <w:t>una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unidades</w:t>
      </w:r>
      <w:r>
        <w:rPr>
          <w:color w:val="231F20"/>
          <w:spacing w:val="-8"/>
          <w:w w:val="105"/>
        </w:rPr>
        <w:t> </w:t>
      </w:r>
      <w:r>
        <w:rPr>
          <w:color w:val="231F20"/>
          <w:w w:val="105"/>
        </w:rPr>
        <w:t>dentro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estructura administrativa. </w:t>
      </w:r>
      <w:r>
        <w:rPr>
          <w:color w:val="231F20"/>
          <w:spacing w:val="-3"/>
          <w:w w:val="105"/>
        </w:rPr>
        <w:t>También </w:t>
      </w:r>
      <w:r>
        <w:rPr>
          <w:color w:val="231F20"/>
          <w:w w:val="105"/>
        </w:rPr>
        <w:t>se carece de cursos para que los miembros desarrollen sus habilidades, capacidades, aptitudes y actitudes respecto a la atención </w:t>
      </w:r>
      <w:r>
        <w:rPr>
          <w:color w:val="231F20"/>
          <w:spacing w:val="2"/>
          <w:w w:val="105"/>
        </w:rPr>
        <w:t>al </w:t>
      </w:r>
      <w:r>
        <w:rPr>
          <w:color w:val="231F20"/>
          <w:w w:val="105"/>
        </w:rPr>
        <w:t>público. Otra limitante de la administración priísta de </w:t>
      </w:r>
      <w:r>
        <w:rPr>
          <w:color w:val="231F20"/>
          <w:spacing w:val="-4"/>
          <w:w w:val="105"/>
        </w:rPr>
        <w:t>Tejupilco </w:t>
      </w:r>
      <w:r>
        <w:rPr>
          <w:color w:val="231F20"/>
          <w:w w:val="105"/>
        </w:rPr>
        <w:t>es la rotación de los miembros en</w:t>
      </w:r>
      <w:r>
        <w:rPr>
          <w:color w:val="231F20"/>
          <w:spacing w:val="-33"/>
          <w:w w:val="105"/>
        </w:rPr>
        <w:t> </w:t>
      </w:r>
      <w:r>
        <w:rPr>
          <w:color w:val="231F20"/>
          <w:w w:val="105"/>
        </w:rPr>
        <w:t>la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estructura</w:t>
      </w:r>
      <w:r>
        <w:rPr>
          <w:color w:val="231F20"/>
          <w:spacing w:val="-6"/>
          <w:w w:val="105"/>
        </w:rPr>
        <w:t> </w:t>
      </w:r>
      <w:r>
        <w:rPr>
          <w:color w:val="231F20"/>
          <w:w w:val="105"/>
        </w:rPr>
        <w:t>administrativa</w:t>
      </w:r>
      <w:r>
        <w:rPr>
          <w:color w:val="231F20"/>
          <w:spacing w:val="-6"/>
          <w:w w:val="105"/>
        </w:rPr>
        <w:t> </w:t>
      </w:r>
      <w:r>
        <w:rPr>
          <w:color w:val="231F20"/>
          <w:w w:val="105"/>
        </w:rPr>
        <w:t>y</w:t>
      </w:r>
      <w:r>
        <w:rPr>
          <w:color w:val="231F20"/>
          <w:spacing w:val="-6"/>
          <w:w w:val="105"/>
        </w:rPr>
        <w:t> </w:t>
      </w:r>
      <w:r>
        <w:rPr>
          <w:color w:val="231F20"/>
          <w:w w:val="105"/>
        </w:rPr>
        <w:t>peor</w:t>
      </w:r>
      <w:r>
        <w:rPr>
          <w:color w:val="231F20"/>
          <w:spacing w:val="-6"/>
          <w:w w:val="105"/>
        </w:rPr>
        <w:t> </w:t>
      </w:r>
      <w:r>
        <w:rPr>
          <w:color w:val="231F20"/>
          <w:w w:val="105"/>
        </w:rPr>
        <w:t>aún</w:t>
      </w:r>
      <w:r>
        <w:rPr>
          <w:color w:val="231F20"/>
          <w:spacing w:val="-6"/>
          <w:w w:val="105"/>
        </w:rPr>
        <w:t> </w:t>
      </w:r>
      <w:r>
        <w:rPr>
          <w:color w:val="231F20"/>
          <w:w w:val="105"/>
        </w:rPr>
        <w:t>la</w:t>
      </w:r>
      <w:r>
        <w:rPr>
          <w:color w:val="231F20"/>
          <w:spacing w:val="-6"/>
          <w:w w:val="105"/>
        </w:rPr>
        <w:t> </w:t>
      </w:r>
      <w:r>
        <w:rPr>
          <w:color w:val="231F20"/>
          <w:w w:val="105"/>
        </w:rPr>
        <w:t>existencia</w:t>
      </w:r>
      <w:r>
        <w:rPr>
          <w:color w:val="231F20"/>
          <w:spacing w:val="-6"/>
          <w:w w:val="105"/>
        </w:rPr>
        <w:t> </w:t>
      </w:r>
      <w:r>
        <w:rPr>
          <w:color w:val="231F20"/>
          <w:w w:val="105"/>
        </w:rPr>
        <w:t>de</w:t>
      </w:r>
      <w:r>
        <w:rPr>
          <w:color w:val="231F20"/>
          <w:spacing w:val="-6"/>
          <w:w w:val="105"/>
        </w:rPr>
        <w:t> </w:t>
      </w:r>
      <w:r>
        <w:rPr>
          <w:color w:val="231F20"/>
          <w:w w:val="105"/>
        </w:rPr>
        <w:t>puestos</w:t>
      </w:r>
      <w:r>
        <w:rPr>
          <w:color w:val="231F20"/>
          <w:spacing w:val="-6"/>
          <w:w w:val="105"/>
        </w:rPr>
        <w:t> </w:t>
      </w:r>
      <w:r>
        <w:rPr>
          <w:color w:val="231F20"/>
          <w:w w:val="105"/>
        </w:rPr>
        <w:t>vacíos</w:t>
      </w:r>
      <w:r>
        <w:rPr>
          <w:color w:val="231F20"/>
          <w:spacing w:val="-6"/>
          <w:w w:val="105"/>
        </w:rPr>
        <w:t> </w:t>
      </w:r>
      <w:r>
        <w:rPr>
          <w:color w:val="231F20"/>
          <w:w w:val="105"/>
        </w:rPr>
        <w:t>en</w:t>
      </w:r>
      <w:r>
        <w:rPr>
          <w:color w:val="231F20"/>
          <w:spacing w:val="-6"/>
          <w:w w:val="105"/>
        </w:rPr>
        <w:t> </w:t>
      </w:r>
      <w:r>
        <w:rPr>
          <w:color w:val="231F20"/>
          <w:w w:val="105"/>
        </w:rPr>
        <w:t>aquellos</w:t>
      </w:r>
      <w:r>
        <w:rPr>
          <w:color w:val="231F20"/>
          <w:spacing w:val="-6"/>
          <w:w w:val="105"/>
        </w:rPr>
        <w:t> </w:t>
      </w:r>
      <w:r>
        <w:rPr>
          <w:color w:val="231F20"/>
          <w:w w:val="105"/>
        </w:rPr>
        <w:t>cargos considerados como</w:t>
      </w:r>
      <w:r>
        <w:rPr>
          <w:color w:val="231F20"/>
          <w:spacing w:val="-33"/>
          <w:w w:val="105"/>
        </w:rPr>
        <w:t> </w:t>
      </w:r>
      <w:r>
        <w:rPr>
          <w:color w:val="231F20"/>
          <w:w w:val="105"/>
        </w:rPr>
        <w:t>prioritarios.</w:t>
      </w:r>
    </w:p>
    <w:p>
      <w:pPr>
        <w:pStyle w:val="BodyText"/>
        <w:spacing w:before="1"/>
        <w:rPr>
          <w:sz w:val="26"/>
        </w:rPr>
      </w:pPr>
    </w:p>
    <w:p>
      <w:pPr>
        <w:pStyle w:val="BodyText"/>
        <w:spacing w:line="285" w:lineRule="auto"/>
        <w:ind w:left="110" w:right="108"/>
        <w:jc w:val="both"/>
      </w:pPr>
      <w:r>
        <w:rPr>
          <w:color w:val="231F20"/>
          <w:w w:val="105"/>
        </w:rPr>
        <w:t>La cercanía de la sociedad y el municipio debe ser esencial, en cuanto permite mayor participación y a la vez interés por parte de la ciudadanía, así como de un incremento por</w:t>
      </w:r>
      <w:r>
        <w:rPr>
          <w:color w:val="231F20"/>
          <w:spacing w:val="-11"/>
          <w:w w:val="105"/>
        </w:rPr>
        <w:t> </w:t>
      </w:r>
      <w:r>
        <w:rPr>
          <w:color w:val="231F20"/>
          <w:w w:val="105"/>
        </w:rPr>
        <w:t>rendición</w:t>
      </w:r>
      <w:r>
        <w:rPr>
          <w:color w:val="231F20"/>
          <w:spacing w:val="-11"/>
          <w:w w:val="105"/>
        </w:rPr>
        <w:t> </w:t>
      </w:r>
      <w:r>
        <w:rPr>
          <w:color w:val="231F20"/>
          <w:w w:val="105"/>
        </w:rPr>
        <w:t>de</w:t>
      </w:r>
      <w:r>
        <w:rPr>
          <w:color w:val="231F20"/>
          <w:spacing w:val="-11"/>
          <w:w w:val="105"/>
        </w:rPr>
        <w:t> </w:t>
      </w:r>
      <w:r>
        <w:rPr>
          <w:color w:val="231F20"/>
          <w:w w:val="105"/>
        </w:rPr>
        <w:t>cuentas</w:t>
      </w:r>
      <w:r>
        <w:rPr>
          <w:color w:val="231F20"/>
          <w:spacing w:val="-11"/>
          <w:w w:val="105"/>
        </w:rPr>
        <w:t> </w:t>
      </w:r>
      <w:r>
        <w:rPr>
          <w:color w:val="231F20"/>
          <w:w w:val="105"/>
        </w:rPr>
        <w:t>y</w:t>
      </w:r>
      <w:r>
        <w:rPr>
          <w:color w:val="231F20"/>
          <w:spacing w:val="-11"/>
          <w:w w:val="105"/>
        </w:rPr>
        <w:t> </w:t>
      </w:r>
      <w:r>
        <w:rPr>
          <w:color w:val="231F20"/>
          <w:w w:val="105"/>
        </w:rPr>
        <w:t>transparencia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desempeño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w w:val="105"/>
        </w:rPr>
        <w:t>munici- pal,</w:t>
      </w:r>
      <w:r>
        <w:rPr>
          <w:color w:val="231F20"/>
          <w:spacing w:val="-13"/>
          <w:w w:val="105"/>
        </w:rPr>
        <w:t> </w:t>
      </w:r>
      <w:r>
        <w:rPr>
          <w:color w:val="231F20"/>
          <w:w w:val="105"/>
        </w:rPr>
        <w:t>pero</w:t>
      </w:r>
      <w:r>
        <w:rPr>
          <w:color w:val="231F20"/>
          <w:spacing w:val="-13"/>
          <w:w w:val="105"/>
        </w:rPr>
        <w:t> </w:t>
      </w:r>
      <w:r>
        <w:rPr>
          <w:color w:val="231F20"/>
          <w:w w:val="105"/>
        </w:rPr>
        <w:t>en</w:t>
      </w:r>
      <w:r>
        <w:rPr>
          <w:color w:val="231F20"/>
          <w:spacing w:val="-13"/>
          <w:w w:val="105"/>
        </w:rPr>
        <w:t> </w:t>
      </w:r>
      <w:r>
        <w:rPr>
          <w:color w:val="231F20"/>
          <w:spacing w:val="-4"/>
          <w:w w:val="105"/>
        </w:rPr>
        <w:t>Tejupilco</w:t>
      </w:r>
      <w:r>
        <w:rPr>
          <w:color w:val="231F20"/>
          <w:spacing w:val="-13"/>
          <w:w w:val="105"/>
        </w:rPr>
        <w:t> </w:t>
      </w:r>
      <w:r>
        <w:rPr>
          <w:color w:val="231F20"/>
          <w:w w:val="105"/>
        </w:rPr>
        <w:t>se</w:t>
      </w:r>
      <w:r>
        <w:rPr>
          <w:color w:val="231F20"/>
          <w:spacing w:val="-13"/>
          <w:w w:val="105"/>
        </w:rPr>
        <w:t> </w:t>
      </w:r>
      <w:r>
        <w:rPr>
          <w:color w:val="231F20"/>
          <w:w w:val="105"/>
        </w:rPr>
        <w:t>carece</w:t>
      </w:r>
      <w:r>
        <w:rPr>
          <w:color w:val="231F20"/>
          <w:spacing w:val="-13"/>
          <w:w w:val="105"/>
        </w:rPr>
        <w:t> </w:t>
      </w:r>
      <w:r>
        <w:rPr>
          <w:color w:val="231F20"/>
          <w:w w:val="105"/>
        </w:rPr>
        <w:t>de</w:t>
      </w:r>
      <w:r>
        <w:rPr>
          <w:color w:val="231F20"/>
          <w:spacing w:val="-13"/>
          <w:w w:val="105"/>
        </w:rPr>
        <w:t> </w:t>
      </w:r>
      <w:r>
        <w:rPr>
          <w:color w:val="231F20"/>
          <w:w w:val="105"/>
        </w:rPr>
        <w:t>todo</w:t>
      </w:r>
      <w:r>
        <w:rPr>
          <w:color w:val="231F20"/>
          <w:spacing w:val="-13"/>
          <w:w w:val="105"/>
        </w:rPr>
        <w:t> </w:t>
      </w:r>
      <w:r>
        <w:rPr>
          <w:color w:val="231F20"/>
          <w:w w:val="105"/>
        </w:rPr>
        <w:t>ello.</w:t>
      </w:r>
    </w:p>
    <w:p>
      <w:pPr>
        <w:pStyle w:val="BodyText"/>
        <w:spacing w:before="1"/>
        <w:rPr>
          <w:sz w:val="26"/>
        </w:rPr>
      </w:pPr>
    </w:p>
    <w:p>
      <w:pPr>
        <w:pStyle w:val="BodyText"/>
        <w:spacing w:line="285" w:lineRule="auto"/>
        <w:ind w:left="110" w:right="108"/>
        <w:jc w:val="both"/>
      </w:pPr>
      <w:r>
        <w:rPr>
          <w:color w:val="231F20"/>
          <w:spacing w:val="-3"/>
          <w:w w:val="105"/>
        </w:rPr>
        <w:t>Un </w:t>
      </w:r>
      <w:r>
        <w:rPr>
          <w:color w:val="231F20"/>
          <w:w w:val="105"/>
        </w:rPr>
        <w:t>problema detectado en el municipio es que para la elaboración de los planes no se toman</w:t>
      </w:r>
      <w:r>
        <w:rPr>
          <w:color w:val="231F20"/>
          <w:spacing w:val="-12"/>
          <w:w w:val="105"/>
        </w:rPr>
        <w:t> </w:t>
      </w:r>
      <w:r>
        <w:rPr>
          <w:color w:val="231F20"/>
          <w:w w:val="105"/>
        </w:rPr>
        <w:t>en</w:t>
      </w:r>
      <w:r>
        <w:rPr>
          <w:color w:val="231F20"/>
          <w:spacing w:val="-12"/>
          <w:w w:val="105"/>
        </w:rPr>
        <w:t> </w:t>
      </w:r>
      <w:r>
        <w:rPr>
          <w:color w:val="231F20"/>
          <w:w w:val="105"/>
        </w:rPr>
        <w:t>cuenta</w:t>
      </w:r>
      <w:r>
        <w:rPr>
          <w:color w:val="231F20"/>
          <w:spacing w:val="-12"/>
          <w:w w:val="105"/>
        </w:rPr>
        <w:t> </w:t>
      </w:r>
      <w:r>
        <w:rPr>
          <w:color w:val="231F20"/>
          <w:w w:val="105"/>
        </w:rPr>
        <w:t>las</w:t>
      </w:r>
      <w:r>
        <w:rPr>
          <w:color w:val="231F20"/>
          <w:spacing w:val="-12"/>
          <w:w w:val="105"/>
        </w:rPr>
        <w:t> </w:t>
      </w:r>
      <w:r>
        <w:rPr>
          <w:color w:val="231F20"/>
          <w:w w:val="105"/>
        </w:rPr>
        <w:t>características</w:t>
      </w:r>
      <w:r>
        <w:rPr>
          <w:color w:val="231F20"/>
          <w:spacing w:val="-12"/>
          <w:w w:val="105"/>
        </w:rPr>
        <w:t> </w:t>
      </w:r>
      <w:r>
        <w:rPr>
          <w:color w:val="231F20"/>
          <w:w w:val="105"/>
        </w:rPr>
        <w:t>propias</w:t>
      </w:r>
      <w:r>
        <w:rPr>
          <w:color w:val="231F20"/>
          <w:spacing w:val="-12"/>
          <w:w w:val="105"/>
        </w:rPr>
        <w:t> </w:t>
      </w:r>
      <w:r>
        <w:rPr>
          <w:color w:val="231F20"/>
          <w:w w:val="105"/>
        </w:rPr>
        <w:t>del</w:t>
      </w:r>
      <w:r>
        <w:rPr>
          <w:color w:val="231F20"/>
          <w:spacing w:val="-12"/>
          <w:w w:val="105"/>
        </w:rPr>
        <w:t> </w:t>
      </w:r>
      <w:r>
        <w:rPr>
          <w:color w:val="231F20"/>
          <w:w w:val="105"/>
        </w:rPr>
        <w:t>lugar</w:t>
      </w:r>
      <w:r>
        <w:rPr>
          <w:color w:val="231F20"/>
          <w:spacing w:val="-12"/>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tanto</w:t>
      </w:r>
      <w:r>
        <w:rPr>
          <w:color w:val="231F20"/>
          <w:spacing w:val="-12"/>
          <w:w w:val="105"/>
        </w:rPr>
        <w:t> </w:t>
      </w:r>
      <w:r>
        <w:rPr>
          <w:color w:val="231F20"/>
          <w:w w:val="105"/>
        </w:rPr>
        <w:t>no</w:t>
      </w:r>
      <w:r>
        <w:rPr>
          <w:color w:val="231F20"/>
          <w:spacing w:val="-12"/>
          <w:w w:val="105"/>
        </w:rPr>
        <w:t> </w:t>
      </w:r>
      <w:r>
        <w:rPr>
          <w:color w:val="231F20"/>
          <w:w w:val="105"/>
        </w:rPr>
        <w:t>existe</w:t>
      </w:r>
      <w:r>
        <w:rPr>
          <w:color w:val="231F20"/>
          <w:spacing w:val="-12"/>
          <w:w w:val="105"/>
        </w:rPr>
        <w:t> </w:t>
      </w:r>
      <w:r>
        <w:rPr>
          <w:color w:val="231F20"/>
          <w:w w:val="105"/>
        </w:rPr>
        <w:t>una</w:t>
      </w:r>
      <w:r>
        <w:rPr>
          <w:color w:val="231F20"/>
          <w:spacing w:val="-12"/>
          <w:w w:val="105"/>
        </w:rPr>
        <w:t> </w:t>
      </w:r>
      <w:r>
        <w:rPr>
          <w:color w:val="231F20"/>
          <w:w w:val="105"/>
        </w:rPr>
        <w:t>corres- pondencia</w:t>
      </w:r>
      <w:r>
        <w:rPr>
          <w:color w:val="231F20"/>
          <w:spacing w:val="-10"/>
          <w:w w:val="105"/>
        </w:rPr>
        <w:t> </w:t>
      </w:r>
      <w:r>
        <w:rPr>
          <w:color w:val="231F20"/>
          <w:w w:val="105"/>
        </w:rPr>
        <w:t>entre</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pide</w:t>
      </w:r>
      <w:r>
        <w:rPr>
          <w:color w:val="231F20"/>
          <w:spacing w:val="-10"/>
          <w:w w:val="105"/>
        </w:rPr>
        <w:t> </w:t>
      </w:r>
      <w:r>
        <w:rPr>
          <w:color w:val="231F20"/>
          <w:w w:val="105"/>
        </w:rPr>
        <w:t>y</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sucede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municipio.</w:t>
      </w:r>
      <w:r>
        <w:rPr>
          <w:color w:val="231F20"/>
          <w:spacing w:val="-10"/>
          <w:w w:val="105"/>
        </w:rPr>
        <w:t> </w:t>
      </w:r>
      <w:r>
        <w:rPr>
          <w:color w:val="231F20"/>
          <w:w w:val="105"/>
        </w:rPr>
        <w:t>En</w:t>
      </w:r>
      <w:r>
        <w:rPr>
          <w:color w:val="231F20"/>
          <w:spacing w:val="-10"/>
          <w:w w:val="105"/>
        </w:rPr>
        <w:t> </w:t>
      </w:r>
      <w:r>
        <w:rPr>
          <w:color w:val="231F20"/>
          <w:spacing w:val="-4"/>
          <w:w w:val="105"/>
        </w:rPr>
        <w:t>Tejupilco,</w:t>
      </w:r>
      <w:r>
        <w:rPr>
          <w:color w:val="231F20"/>
          <w:spacing w:val="-10"/>
          <w:w w:val="105"/>
        </w:rPr>
        <w:t> </w:t>
      </w:r>
      <w:r>
        <w:rPr>
          <w:color w:val="231F20"/>
          <w:w w:val="105"/>
        </w:rPr>
        <w:t>el</w:t>
      </w:r>
      <w:r>
        <w:rPr>
          <w:color w:val="231F20"/>
          <w:spacing w:val="-10"/>
          <w:w w:val="105"/>
        </w:rPr>
        <w:t> </w:t>
      </w:r>
      <w:r>
        <w:rPr>
          <w:color w:val="231F20"/>
          <w:w w:val="105"/>
        </w:rPr>
        <w:t>Plan</w:t>
      </w:r>
      <w:r>
        <w:rPr>
          <w:color w:val="231F20"/>
          <w:spacing w:val="-10"/>
          <w:w w:val="105"/>
        </w:rPr>
        <w:t> </w:t>
      </w:r>
      <w:r>
        <w:rPr>
          <w:color w:val="231F20"/>
          <w:w w:val="105"/>
        </w:rPr>
        <w:t>se elabora</w:t>
      </w:r>
      <w:r>
        <w:rPr>
          <w:color w:val="231F20"/>
          <w:spacing w:val="-20"/>
          <w:w w:val="105"/>
        </w:rPr>
        <w:t> </w:t>
      </w:r>
      <w:r>
        <w:rPr>
          <w:color w:val="231F20"/>
          <w:w w:val="105"/>
        </w:rPr>
        <w:t>pero</w:t>
      </w:r>
      <w:r>
        <w:rPr>
          <w:color w:val="231F20"/>
          <w:spacing w:val="-20"/>
          <w:w w:val="105"/>
        </w:rPr>
        <w:t> </w:t>
      </w:r>
      <w:r>
        <w:rPr>
          <w:color w:val="231F20"/>
          <w:w w:val="105"/>
        </w:rPr>
        <w:t>lo</w:t>
      </w:r>
      <w:r>
        <w:rPr>
          <w:color w:val="231F20"/>
          <w:spacing w:val="-20"/>
          <w:w w:val="105"/>
        </w:rPr>
        <w:t> </w:t>
      </w:r>
      <w:r>
        <w:rPr>
          <w:color w:val="231F20"/>
          <w:w w:val="105"/>
        </w:rPr>
        <w:t>establecido</w:t>
      </w:r>
      <w:r>
        <w:rPr>
          <w:color w:val="231F20"/>
          <w:spacing w:val="-20"/>
          <w:w w:val="105"/>
        </w:rPr>
        <w:t> </w:t>
      </w:r>
      <w:r>
        <w:rPr>
          <w:color w:val="231F20"/>
          <w:w w:val="105"/>
        </w:rPr>
        <w:t>por</w:t>
      </w:r>
      <w:r>
        <w:rPr>
          <w:color w:val="231F20"/>
          <w:spacing w:val="-20"/>
          <w:w w:val="105"/>
        </w:rPr>
        <w:t> </w:t>
      </w:r>
      <w:r>
        <w:rPr>
          <w:color w:val="231F20"/>
          <w:w w:val="105"/>
        </w:rPr>
        <w:t>él</w:t>
      </w:r>
      <w:r>
        <w:rPr>
          <w:color w:val="231F20"/>
          <w:spacing w:val="-20"/>
          <w:w w:val="105"/>
        </w:rPr>
        <w:t> </w:t>
      </w:r>
      <w:r>
        <w:rPr>
          <w:color w:val="231F20"/>
          <w:w w:val="105"/>
        </w:rPr>
        <w:t>no</w:t>
      </w:r>
      <w:r>
        <w:rPr>
          <w:color w:val="231F20"/>
          <w:spacing w:val="-20"/>
          <w:w w:val="105"/>
        </w:rPr>
        <w:t> </w:t>
      </w:r>
      <w:r>
        <w:rPr>
          <w:color w:val="231F20"/>
          <w:w w:val="105"/>
        </w:rPr>
        <w:t>se</w:t>
      </w:r>
      <w:r>
        <w:rPr>
          <w:color w:val="231F20"/>
          <w:spacing w:val="-20"/>
          <w:w w:val="105"/>
        </w:rPr>
        <w:t> </w:t>
      </w:r>
      <w:r>
        <w:rPr>
          <w:color w:val="231F20"/>
          <w:w w:val="105"/>
        </w:rPr>
        <w:t>cumple,</w:t>
      </w:r>
      <w:r>
        <w:rPr>
          <w:color w:val="231F20"/>
          <w:spacing w:val="-20"/>
          <w:w w:val="105"/>
        </w:rPr>
        <w:t> </w:t>
      </w:r>
      <w:r>
        <w:rPr>
          <w:color w:val="231F20"/>
          <w:w w:val="105"/>
        </w:rPr>
        <w:t>se</w:t>
      </w:r>
      <w:r>
        <w:rPr>
          <w:color w:val="231F20"/>
          <w:spacing w:val="-20"/>
          <w:w w:val="105"/>
        </w:rPr>
        <w:t> </w:t>
      </w:r>
      <w:r>
        <w:rPr>
          <w:color w:val="231F20"/>
          <w:w w:val="105"/>
        </w:rPr>
        <w:t>dejan</w:t>
      </w:r>
      <w:r>
        <w:rPr>
          <w:color w:val="231F20"/>
          <w:spacing w:val="-20"/>
          <w:w w:val="105"/>
        </w:rPr>
        <w:t> </w:t>
      </w:r>
      <w:r>
        <w:rPr>
          <w:color w:val="231F20"/>
          <w:w w:val="105"/>
        </w:rPr>
        <w:t>inconclusas</w:t>
      </w:r>
      <w:r>
        <w:rPr>
          <w:color w:val="231F20"/>
          <w:spacing w:val="-20"/>
          <w:w w:val="105"/>
        </w:rPr>
        <w:t> </w:t>
      </w:r>
      <w:r>
        <w:rPr>
          <w:color w:val="231F20"/>
          <w:w w:val="105"/>
        </w:rPr>
        <w:t>algunas</w:t>
      </w:r>
      <w:r>
        <w:rPr>
          <w:color w:val="231F20"/>
          <w:spacing w:val="-20"/>
          <w:w w:val="105"/>
        </w:rPr>
        <w:t> </w:t>
      </w:r>
      <w:r>
        <w:rPr>
          <w:color w:val="231F20"/>
          <w:w w:val="105"/>
        </w:rPr>
        <w:t>propuestas y</w:t>
      </w:r>
      <w:r>
        <w:rPr>
          <w:color w:val="231F20"/>
          <w:spacing w:val="-14"/>
          <w:w w:val="105"/>
        </w:rPr>
        <w:t> </w:t>
      </w:r>
      <w:r>
        <w:rPr>
          <w:color w:val="231F20"/>
          <w:w w:val="105"/>
        </w:rPr>
        <w:t>otras</w:t>
      </w:r>
      <w:r>
        <w:rPr>
          <w:color w:val="231F20"/>
          <w:spacing w:val="-14"/>
          <w:w w:val="105"/>
        </w:rPr>
        <w:t> </w:t>
      </w:r>
      <w:r>
        <w:rPr>
          <w:color w:val="231F20"/>
          <w:w w:val="105"/>
        </w:rPr>
        <w:t>ni</w:t>
      </w:r>
      <w:r>
        <w:rPr>
          <w:color w:val="231F20"/>
          <w:spacing w:val="-14"/>
          <w:w w:val="105"/>
        </w:rPr>
        <w:t> </w:t>
      </w:r>
      <w:r>
        <w:rPr>
          <w:color w:val="231F20"/>
          <w:w w:val="105"/>
        </w:rPr>
        <w:t>siquiera</w:t>
      </w:r>
      <w:r>
        <w:rPr>
          <w:color w:val="231F20"/>
          <w:spacing w:val="-14"/>
          <w:w w:val="105"/>
        </w:rPr>
        <w:t> </w:t>
      </w:r>
      <w:r>
        <w:rPr>
          <w:color w:val="231F20"/>
          <w:w w:val="105"/>
        </w:rPr>
        <w:t>se</w:t>
      </w:r>
      <w:r>
        <w:rPr>
          <w:color w:val="231F20"/>
          <w:spacing w:val="-14"/>
          <w:w w:val="105"/>
        </w:rPr>
        <w:t> </w:t>
      </w:r>
      <w:r>
        <w:rPr>
          <w:color w:val="231F20"/>
          <w:w w:val="105"/>
        </w:rPr>
        <w:t>llevan</w:t>
      </w:r>
      <w:r>
        <w:rPr>
          <w:color w:val="231F20"/>
          <w:spacing w:val="-14"/>
          <w:w w:val="105"/>
        </w:rPr>
        <w:t> </w:t>
      </w:r>
      <w:r>
        <w:rPr>
          <w:color w:val="231F20"/>
          <w:w w:val="105"/>
        </w:rPr>
        <w:t>a</w:t>
      </w:r>
      <w:r>
        <w:rPr>
          <w:color w:val="231F20"/>
          <w:spacing w:val="-14"/>
          <w:w w:val="105"/>
        </w:rPr>
        <w:t> </w:t>
      </w:r>
      <w:r>
        <w:rPr>
          <w:color w:val="231F20"/>
          <w:w w:val="105"/>
        </w:rPr>
        <w:t>cabo.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pretensiones</w:t>
      </w:r>
      <w:r>
        <w:rPr>
          <w:color w:val="231F20"/>
          <w:spacing w:val="-7"/>
          <w:w w:val="105"/>
        </w:rPr>
        <w:t> </w:t>
      </w:r>
      <w:r>
        <w:rPr>
          <w:color w:val="231F20"/>
          <w:w w:val="105"/>
        </w:rPr>
        <w:t>establecidas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administración</w:t>
      </w:r>
      <w:r>
        <w:rPr>
          <w:color w:val="231F20"/>
          <w:spacing w:val="-7"/>
          <w:w w:val="105"/>
        </w:rPr>
        <w:t> </w:t>
      </w:r>
      <w:r>
        <w:rPr>
          <w:color w:val="231F20"/>
          <w:w w:val="105"/>
        </w:rPr>
        <w:t>pública</w:t>
      </w:r>
      <w:r>
        <w:rPr>
          <w:color w:val="231F20"/>
          <w:spacing w:val="-7"/>
          <w:w w:val="105"/>
        </w:rPr>
        <w:t> </w:t>
      </w:r>
      <w:r>
        <w:rPr>
          <w:color w:val="231F20"/>
          <w:w w:val="105"/>
        </w:rPr>
        <w:t>municipal</w:t>
      </w:r>
      <w:r>
        <w:rPr>
          <w:color w:val="231F20"/>
          <w:spacing w:val="-7"/>
          <w:w w:val="105"/>
        </w:rPr>
        <w:t> </w:t>
      </w:r>
      <w:r>
        <w:rPr>
          <w:color w:val="231F20"/>
          <w:spacing w:val="2"/>
          <w:w w:val="105"/>
        </w:rPr>
        <w:t>2006-2009</w:t>
      </w:r>
      <w:r>
        <w:rPr>
          <w:color w:val="231F20"/>
          <w:spacing w:val="-7"/>
          <w:w w:val="105"/>
        </w:rPr>
        <w:t> </w:t>
      </w:r>
      <w:r>
        <w:rPr>
          <w:color w:val="231F20"/>
          <w:w w:val="105"/>
        </w:rPr>
        <w:t>no se contemplaron los principios ni ideales del partido gobernante. Es decir, tanto en su desempeño como en la cuestión ideológica se mantuvieron distantes de lo establecido en</w:t>
      </w:r>
      <w:r>
        <w:rPr>
          <w:color w:val="231F20"/>
          <w:spacing w:val="-10"/>
          <w:w w:val="105"/>
        </w:rPr>
        <w:t> </w:t>
      </w:r>
      <w:r>
        <w:rPr>
          <w:color w:val="231F20"/>
          <w:w w:val="105"/>
        </w:rPr>
        <w:t>sus</w:t>
      </w:r>
      <w:r>
        <w:rPr>
          <w:color w:val="231F20"/>
          <w:spacing w:val="-10"/>
          <w:w w:val="105"/>
        </w:rPr>
        <w:t> </w:t>
      </w:r>
      <w:r>
        <w:rPr>
          <w:color w:val="231F20"/>
          <w:w w:val="105"/>
        </w:rPr>
        <w:t>principios.</w:t>
      </w:r>
      <w:r>
        <w:rPr>
          <w:color w:val="231F20"/>
          <w:spacing w:val="-10"/>
          <w:w w:val="105"/>
        </w:rPr>
        <w:t> </w:t>
      </w: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fue</w:t>
      </w:r>
      <w:r>
        <w:rPr>
          <w:color w:val="231F20"/>
          <w:spacing w:val="-10"/>
          <w:w w:val="105"/>
        </w:rPr>
        <w:t> </w:t>
      </w:r>
      <w:r>
        <w:rPr>
          <w:color w:val="231F20"/>
          <w:w w:val="105"/>
        </w:rPr>
        <w:t>notable</w:t>
      </w:r>
      <w:r>
        <w:rPr>
          <w:color w:val="231F20"/>
          <w:spacing w:val="-10"/>
          <w:w w:val="105"/>
        </w:rPr>
        <w:t> </w:t>
      </w:r>
      <w:r>
        <w:rPr>
          <w:color w:val="231F20"/>
          <w:w w:val="105"/>
        </w:rPr>
        <w:t>la</w:t>
      </w:r>
      <w:r>
        <w:rPr>
          <w:color w:val="231F20"/>
          <w:spacing w:val="-10"/>
          <w:w w:val="105"/>
        </w:rPr>
        <w:t> </w:t>
      </w:r>
      <w:r>
        <w:rPr>
          <w:color w:val="231F20"/>
          <w:w w:val="105"/>
        </w:rPr>
        <w:t>participación</w:t>
      </w:r>
      <w:r>
        <w:rPr>
          <w:color w:val="231F20"/>
          <w:spacing w:val="-10"/>
          <w:w w:val="105"/>
        </w:rPr>
        <w:t> </w:t>
      </w:r>
      <w:r>
        <w:rPr>
          <w:color w:val="231F20"/>
          <w:w w:val="105"/>
        </w:rPr>
        <w:t>del</w:t>
      </w:r>
      <w:r>
        <w:rPr>
          <w:color w:val="231F20"/>
          <w:spacing w:val="-10"/>
          <w:w w:val="105"/>
        </w:rPr>
        <w:t> </w:t>
      </w:r>
      <w:r>
        <w:rPr>
          <w:color w:val="231F20"/>
          <w:w w:val="105"/>
        </w:rPr>
        <w:t>PRI</w:t>
      </w:r>
      <w:r>
        <w:rPr>
          <w:color w:val="231F20"/>
          <w:spacing w:val="-10"/>
          <w:w w:val="105"/>
        </w:rPr>
        <w:t> </w:t>
      </w:r>
      <w:r>
        <w:rPr>
          <w:color w:val="231F20"/>
          <w:w w:val="105"/>
        </w:rPr>
        <w:t>estatal</w:t>
      </w:r>
      <w:r>
        <w:rPr>
          <w:color w:val="231F20"/>
          <w:spacing w:val="-10"/>
          <w:w w:val="105"/>
        </w:rPr>
        <w:t> </w:t>
      </w:r>
      <w:r>
        <w:rPr>
          <w:color w:val="231F20"/>
          <w:w w:val="105"/>
        </w:rPr>
        <w:t>o</w:t>
      </w:r>
      <w:r>
        <w:rPr>
          <w:color w:val="231F20"/>
          <w:spacing w:val="-10"/>
          <w:w w:val="105"/>
        </w:rPr>
        <w:t> </w:t>
      </w:r>
      <w:r>
        <w:rPr>
          <w:color w:val="231F20"/>
          <w:w w:val="105"/>
        </w:rPr>
        <w:t>del</w:t>
      </w:r>
      <w:r>
        <w:rPr>
          <w:color w:val="231F20"/>
          <w:spacing w:val="-10"/>
          <w:w w:val="105"/>
        </w:rPr>
        <w:t> </w:t>
      </w:r>
      <w:r>
        <w:rPr>
          <w:color w:val="231F20"/>
          <w:spacing w:val="-3"/>
          <w:w w:val="105"/>
        </w:rPr>
        <w:t>gober- </w:t>
      </w:r>
      <w:r>
        <w:rPr>
          <w:color w:val="231F20"/>
          <w:w w:val="105"/>
        </w:rPr>
        <w:t>nador</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integración</w:t>
      </w:r>
      <w:r>
        <w:rPr>
          <w:color w:val="231F20"/>
          <w:spacing w:val="-5"/>
          <w:w w:val="105"/>
        </w:rPr>
        <w:t> </w:t>
      </w:r>
      <w:r>
        <w:rPr>
          <w:color w:val="231F20"/>
          <w:w w:val="105"/>
        </w:rPr>
        <w:t>del</w:t>
      </w:r>
      <w:r>
        <w:rPr>
          <w:color w:val="231F20"/>
          <w:spacing w:val="-5"/>
          <w:w w:val="105"/>
        </w:rPr>
        <w:t> </w:t>
      </w:r>
      <w:r>
        <w:rPr>
          <w:color w:val="231F20"/>
          <w:w w:val="105"/>
        </w:rPr>
        <w:t>ayuntamiento.</w:t>
      </w:r>
      <w:r>
        <w:rPr>
          <w:color w:val="231F20"/>
          <w:spacing w:val="-5"/>
          <w:w w:val="105"/>
        </w:rPr>
        <w:t> </w:t>
      </w:r>
      <w:r>
        <w:rPr>
          <w:color w:val="231F20"/>
          <w:spacing w:val="-3"/>
          <w:w w:val="105"/>
        </w:rPr>
        <w:t>Por</w:t>
      </w:r>
      <w:r>
        <w:rPr>
          <w:color w:val="231F20"/>
          <w:spacing w:val="-5"/>
          <w:w w:val="105"/>
        </w:rPr>
        <w:t> </w:t>
      </w:r>
      <w:r>
        <w:rPr>
          <w:color w:val="231F20"/>
          <w:w w:val="105"/>
        </w:rPr>
        <w:t>lo</w:t>
      </w:r>
      <w:r>
        <w:rPr>
          <w:color w:val="231F20"/>
          <w:spacing w:val="-5"/>
          <w:w w:val="105"/>
        </w:rPr>
        <w:t> </w:t>
      </w:r>
      <w:r>
        <w:rPr>
          <w:color w:val="231F20"/>
          <w:w w:val="105"/>
        </w:rPr>
        <w:t>tanto</w:t>
      </w:r>
      <w:r>
        <w:rPr>
          <w:color w:val="231F20"/>
          <w:spacing w:val="-5"/>
          <w:w w:val="105"/>
        </w:rPr>
        <w:t> </w:t>
      </w:r>
      <w:r>
        <w:rPr>
          <w:color w:val="231F20"/>
          <w:w w:val="105"/>
        </w:rPr>
        <w:t>el</w:t>
      </w:r>
      <w:r>
        <w:rPr>
          <w:color w:val="231F20"/>
          <w:spacing w:val="-5"/>
          <w:w w:val="105"/>
        </w:rPr>
        <w:t> </w:t>
      </w:r>
      <w:r>
        <w:rPr>
          <w:color w:val="231F20"/>
          <w:w w:val="105"/>
        </w:rPr>
        <w:t>PRI</w:t>
      </w:r>
      <w:r>
        <w:rPr>
          <w:color w:val="231F20"/>
          <w:spacing w:val="-5"/>
          <w:w w:val="105"/>
        </w:rPr>
        <w:t> </w:t>
      </w:r>
      <w:r>
        <w:rPr>
          <w:color w:val="231F20"/>
          <w:w w:val="105"/>
        </w:rPr>
        <w:t>está</w:t>
      </w:r>
      <w:r>
        <w:rPr>
          <w:color w:val="231F20"/>
          <w:spacing w:val="-5"/>
          <w:w w:val="105"/>
        </w:rPr>
        <w:t> </w:t>
      </w:r>
      <w:r>
        <w:rPr>
          <w:color w:val="231F20"/>
          <w:w w:val="105"/>
        </w:rPr>
        <w:t>gobernando</w:t>
      </w:r>
      <w:r>
        <w:rPr>
          <w:color w:val="231F20"/>
          <w:spacing w:val="-5"/>
          <w:w w:val="105"/>
        </w:rPr>
        <w:t> </w:t>
      </w:r>
      <w:r>
        <w:rPr>
          <w:color w:val="231F20"/>
          <w:w w:val="105"/>
        </w:rPr>
        <w:t>en</w:t>
      </w:r>
      <w:r>
        <w:rPr>
          <w:color w:val="231F20"/>
          <w:spacing w:val="-5"/>
          <w:w w:val="105"/>
        </w:rPr>
        <w:t> </w:t>
      </w:r>
      <w:r>
        <w:rPr>
          <w:color w:val="231F20"/>
          <w:spacing w:val="-7"/>
          <w:w w:val="105"/>
        </w:rPr>
        <w:t>Teju- </w:t>
      </w:r>
      <w:r>
        <w:rPr>
          <w:color w:val="231F20"/>
          <w:w w:val="105"/>
        </w:rPr>
        <w:t>pilco,</w:t>
      </w:r>
      <w:r>
        <w:rPr>
          <w:color w:val="231F20"/>
          <w:spacing w:val="-8"/>
          <w:w w:val="105"/>
        </w:rPr>
        <w:t> </w:t>
      </w:r>
      <w:r>
        <w:rPr>
          <w:color w:val="231F20"/>
          <w:w w:val="105"/>
        </w:rPr>
        <w:t>pero</w:t>
      </w:r>
      <w:r>
        <w:rPr>
          <w:color w:val="231F20"/>
          <w:spacing w:val="-8"/>
          <w:w w:val="105"/>
        </w:rPr>
        <w:t> </w:t>
      </w:r>
      <w:r>
        <w:rPr>
          <w:color w:val="231F20"/>
          <w:w w:val="105"/>
        </w:rPr>
        <w:t>no</w:t>
      </w:r>
      <w:r>
        <w:rPr>
          <w:color w:val="231F20"/>
          <w:spacing w:val="-8"/>
          <w:w w:val="105"/>
        </w:rPr>
        <w:t> </w:t>
      </w:r>
      <w:r>
        <w:rPr>
          <w:color w:val="231F20"/>
          <w:w w:val="105"/>
        </w:rPr>
        <w:t>porque</w:t>
      </w:r>
      <w:r>
        <w:rPr>
          <w:color w:val="231F20"/>
          <w:spacing w:val="-8"/>
          <w:w w:val="105"/>
        </w:rPr>
        <w:t> </w:t>
      </w:r>
      <w:r>
        <w:rPr>
          <w:color w:val="231F20"/>
          <w:w w:val="105"/>
        </w:rPr>
        <w:t>aplique</w:t>
      </w:r>
      <w:r>
        <w:rPr>
          <w:color w:val="231F20"/>
          <w:spacing w:val="-8"/>
          <w:w w:val="105"/>
        </w:rPr>
        <w:t> </w:t>
      </w:r>
      <w:r>
        <w:rPr>
          <w:color w:val="231F20"/>
          <w:w w:val="105"/>
        </w:rPr>
        <w:t>los</w:t>
      </w:r>
      <w:r>
        <w:rPr>
          <w:color w:val="231F20"/>
          <w:spacing w:val="-8"/>
          <w:w w:val="105"/>
        </w:rPr>
        <w:t> </w:t>
      </w:r>
      <w:r>
        <w:rPr>
          <w:color w:val="231F20"/>
          <w:w w:val="105"/>
        </w:rPr>
        <w:t>principios</w:t>
      </w:r>
      <w:r>
        <w:rPr>
          <w:color w:val="231F20"/>
          <w:spacing w:val="-8"/>
          <w:w w:val="105"/>
        </w:rPr>
        <w:t> </w:t>
      </w:r>
      <w:r>
        <w:rPr>
          <w:color w:val="231F20"/>
          <w:w w:val="105"/>
        </w:rPr>
        <w:t>establecidos</w:t>
      </w:r>
      <w:r>
        <w:rPr>
          <w:color w:val="231F20"/>
          <w:spacing w:val="-8"/>
          <w:w w:val="105"/>
        </w:rPr>
        <w:t> </w:t>
      </w:r>
      <w:r>
        <w:rPr>
          <w:color w:val="231F20"/>
          <w:w w:val="105"/>
        </w:rPr>
        <w:t>o</w:t>
      </w:r>
      <w:r>
        <w:rPr>
          <w:color w:val="231F20"/>
          <w:spacing w:val="-8"/>
          <w:w w:val="105"/>
        </w:rPr>
        <w:t> </w:t>
      </w:r>
      <w:r>
        <w:rPr>
          <w:color w:val="231F20"/>
          <w:w w:val="105"/>
        </w:rPr>
        <w:t>porque</w:t>
      </w:r>
      <w:r>
        <w:rPr>
          <w:color w:val="231F20"/>
          <w:spacing w:val="-8"/>
          <w:w w:val="105"/>
        </w:rPr>
        <w:t> </w:t>
      </w:r>
      <w:r>
        <w:rPr>
          <w:color w:val="231F20"/>
          <w:w w:val="105"/>
        </w:rPr>
        <w:t>realice</w:t>
      </w:r>
      <w:r>
        <w:rPr>
          <w:color w:val="231F20"/>
          <w:spacing w:val="-8"/>
          <w:w w:val="105"/>
        </w:rPr>
        <w:t> </w:t>
      </w:r>
      <w:r>
        <w:rPr>
          <w:color w:val="231F20"/>
          <w:w w:val="105"/>
        </w:rPr>
        <w:t>acciones</w:t>
      </w:r>
      <w:r>
        <w:rPr>
          <w:color w:val="231F20"/>
          <w:spacing w:val="-8"/>
          <w:w w:val="105"/>
        </w:rPr>
        <w:t> </w:t>
      </w:r>
      <w:r>
        <w:rPr>
          <w:color w:val="231F20"/>
          <w:w w:val="105"/>
        </w:rPr>
        <w:t>que permitan diferenciarlo de los demás partidos, sino porque mantiene una línea </w:t>
      </w:r>
      <w:r>
        <w:rPr>
          <w:color w:val="231F20"/>
          <w:spacing w:val="3"/>
          <w:w w:val="105"/>
        </w:rPr>
        <w:t>afín </w:t>
      </w:r>
      <w:r>
        <w:rPr>
          <w:color w:val="231F20"/>
          <w:w w:val="105"/>
        </w:rPr>
        <w:t>con el</w:t>
      </w:r>
      <w:r>
        <w:rPr>
          <w:color w:val="231F20"/>
          <w:spacing w:val="-34"/>
          <w:w w:val="105"/>
        </w:rPr>
        <w:t> </w:t>
      </w:r>
      <w:r>
        <w:rPr>
          <w:color w:val="231F20"/>
          <w:w w:val="105"/>
        </w:rPr>
        <w:t>Ejecutivo</w:t>
      </w:r>
      <w:r>
        <w:rPr>
          <w:color w:val="231F20"/>
          <w:spacing w:val="-34"/>
          <w:w w:val="105"/>
        </w:rPr>
        <w:t> </w:t>
      </w:r>
      <w:r>
        <w:rPr>
          <w:color w:val="231F20"/>
          <w:w w:val="105"/>
        </w:rPr>
        <w:t>estatal.</w:t>
      </w:r>
    </w:p>
    <w:p>
      <w:pPr>
        <w:pStyle w:val="BodyText"/>
        <w:spacing w:before="9"/>
      </w:pPr>
    </w:p>
    <w:p>
      <w:pPr>
        <w:pStyle w:val="Heading3"/>
      </w:pPr>
      <w:r>
        <w:rPr>
          <w:color w:val="231F20"/>
          <w:w w:val="105"/>
        </w:rPr>
        <w:t>Fuentes de consulta</w:t>
      </w:r>
    </w:p>
    <w:p>
      <w:pPr>
        <w:spacing w:line="348" w:lineRule="auto" w:before="75"/>
        <w:ind w:left="393" w:right="574" w:hanging="284"/>
        <w:jc w:val="left"/>
        <w:rPr>
          <w:sz w:val="18"/>
        </w:rPr>
      </w:pPr>
      <w:r>
        <w:rPr>
          <w:color w:val="231F20"/>
          <w:sz w:val="18"/>
        </w:rPr>
        <w:t>Bando de Policía y Buen Gobierno (2007) (2008). Bando de Policía y Buen Gobierno de Tejupilco, Estado de México.</w:t>
      </w:r>
    </w:p>
    <w:p>
      <w:pPr>
        <w:spacing w:before="3"/>
        <w:ind w:left="110" w:right="0" w:firstLine="0"/>
        <w:jc w:val="both"/>
        <w:rPr>
          <w:sz w:val="18"/>
        </w:rPr>
      </w:pPr>
      <w:r>
        <w:rPr>
          <w:color w:val="231F20"/>
          <w:sz w:val="18"/>
        </w:rPr>
        <w:t>CANSINO, César (coord.) (2001). Gobiernos y partidos en América    Latina.</w:t>
      </w:r>
    </w:p>
    <w:p>
      <w:pPr>
        <w:spacing w:before="93"/>
        <w:ind w:left="393" w:right="574" w:firstLine="0"/>
        <w:jc w:val="left"/>
        <w:rPr>
          <w:sz w:val="18"/>
        </w:rPr>
      </w:pPr>
      <w:r>
        <w:rPr>
          <w:color w:val="231F20"/>
          <w:w w:val="105"/>
          <w:sz w:val="18"/>
        </w:rPr>
        <w:t>Un estudio comparado, México, Centro de Estudios de Política Comparada.</w:t>
      </w:r>
    </w:p>
    <w:p>
      <w:pPr>
        <w:spacing w:line="348" w:lineRule="auto" w:before="93"/>
        <w:ind w:left="110" w:right="961" w:firstLine="0"/>
        <w:jc w:val="left"/>
        <w:rPr>
          <w:sz w:val="18"/>
        </w:rPr>
      </w:pPr>
      <w:r>
        <w:rPr>
          <w:color w:val="231F20"/>
          <w:sz w:val="18"/>
        </w:rPr>
        <w:t>IEEM (2008). “Resultados electorales”, [Documento en línea] disponible en </w:t>
      </w:r>
      <w:hyperlink r:id="rId136">
        <w:r>
          <w:rPr>
            <w:color w:val="231F20"/>
            <w:sz w:val="18"/>
          </w:rPr>
          <w:t>www.ieem.org.mx</w:t>
        </w:r>
      </w:hyperlink>
      <w:r>
        <w:rPr>
          <w:color w:val="231F20"/>
          <w:sz w:val="18"/>
        </w:rPr>
        <w:t> INEGI (2008). “II Conteo de población y Vivienda 2005”,</w:t>
      </w:r>
    </w:p>
    <w:p>
      <w:pPr>
        <w:spacing w:before="3"/>
        <w:ind w:left="393" w:right="574" w:firstLine="0"/>
        <w:jc w:val="left"/>
        <w:rPr>
          <w:sz w:val="18"/>
        </w:rPr>
      </w:pPr>
      <w:r>
        <w:rPr>
          <w:color w:val="231F20"/>
          <w:sz w:val="18"/>
        </w:rPr>
        <w:t>[Documento en línea] disponible en    </w:t>
      </w:r>
      <w:hyperlink r:id="rId141">
        <w:r>
          <w:rPr>
            <w:color w:val="231F20"/>
            <w:sz w:val="18"/>
          </w:rPr>
          <w:t>www.inegi.gob.mx</w:t>
        </w:r>
      </w:hyperlink>
    </w:p>
    <w:p>
      <w:pPr>
        <w:spacing w:after="0"/>
        <w:jc w:val="left"/>
        <w:rPr>
          <w:sz w:val="18"/>
        </w:rPr>
        <w:sectPr>
          <w:pgSz w:w="9640" w:h="12190"/>
          <w:pgMar w:header="0" w:footer="743" w:top="1120" w:bottom="940" w:left="740" w:right="740"/>
        </w:sectPr>
      </w:pPr>
    </w:p>
    <w:p>
      <w:pPr>
        <w:pStyle w:val="BodyText"/>
        <w:spacing w:before="6"/>
        <w:rPr>
          <w:sz w:val="13"/>
        </w:rPr>
      </w:pPr>
    </w:p>
    <w:p>
      <w:pPr>
        <w:spacing w:line="348" w:lineRule="auto" w:before="47"/>
        <w:ind w:left="393" w:right="206" w:hanging="284"/>
        <w:jc w:val="left"/>
        <w:rPr>
          <w:sz w:val="18"/>
        </w:rPr>
      </w:pPr>
      <w:r>
        <w:rPr>
          <w:color w:val="231F20"/>
          <w:w w:val="105"/>
          <w:sz w:val="18"/>
        </w:rPr>
        <w:t>LORDELLO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MELLO,</w:t>
      </w:r>
      <w:r>
        <w:rPr>
          <w:color w:val="231F20"/>
          <w:spacing w:val="-23"/>
          <w:w w:val="105"/>
          <w:sz w:val="18"/>
        </w:rPr>
        <w:t> </w:t>
      </w:r>
      <w:r>
        <w:rPr>
          <w:color w:val="231F20"/>
          <w:w w:val="105"/>
          <w:sz w:val="18"/>
        </w:rPr>
        <w:t>Diogo</w:t>
      </w:r>
      <w:r>
        <w:rPr>
          <w:color w:val="231F20"/>
          <w:spacing w:val="-23"/>
          <w:w w:val="105"/>
          <w:sz w:val="18"/>
        </w:rPr>
        <w:t> </w:t>
      </w:r>
      <w:r>
        <w:rPr>
          <w:color w:val="231F20"/>
          <w:spacing w:val="-3"/>
          <w:w w:val="105"/>
          <w:sz w:val="18"/>
        </w:rPr>
        <w:t>(1985).</w:t>
      </w:r>
      <w:r>
        <w:rPr>
          <w:color w:val="231F20"/>
          <w:spacing w:val="-23"/>
          <w:w w:val="105"/>
          <w:sz w:val="18"/>
        </w:rPr>
        <w:t> </w:t>
      </w:r>
      <w:r>
        <w:rPr>
          <w:color w:val="231F20"/>
          <w:w w:val="105"/>
          <w:sz w:val="18"/>
        </w:rPr>
        <w:t>“Modernización</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los</w:t>
      </w:r>
      <w:r>
        <w:rPr>
          <w:color w:val="231F20"/>
          <w:spacing w:val="-23"/>
          <w:w w:val="105"/>
          <w:sz w:val="18"/>
        </w:rPr>
        <w:t> </w:t>
      </w:r>
      <w:r>
        <w:rPr>
          <w:color w:val="231F20"/>
          <w:w w:val="105"/>
          <w:sz w:val="18"/>
        </w:rPr>
        <w:t>gobiernos</w:t>
      </w:r>
      <w:r>
        <w:rPr>
          <w:color w:val="231F20"/>
          <w:spacing w:val="-23"/>
          <w:w w:val="105"/>
          <w:sz w:val="18"/>
        </w:rPr>
        <w:t> </w:t>
      </w:r>
      <w:r>
        <w:rPr>
          <w:color w:val="231F20"/>
          <w:w w:val="105"/>
          <w:sz w:val="18"/>
        </w:rPr>
        <w:t>locales</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América</w:t>
      </w:r>
      <w:r>
        <w:rPr>
          <w:color w:val="231F20"/>
          <w:spacing w:val="-23"/>
          <w:w w:val="105"/>
          <w:sz w:val="18"/>
        </w:rPr>
        <w:t> </w:t>
      </w:r>
      <w:r>
        <w:rPr>
          <w:color w:val="231F20"/>
          <w:w w:val="105"/>
          <w:sz w:val="18"/>
        </w:rPr>
        <w:t>Latina”, en</w:t>
      </w:r>
      <w:r>
        <w:rPr>
          <w:color w:val="231F20"/>
          <w:spacing w:val="-20"/>
          <w:w w:val="105"/>
          <w:sz w:val="18"/>
        </w:rPr>
        <w:t> </w:t>
      </w:r>
      <w:r>
        <w:rPr>
          <w:color w:val="231F20"/>
          <w:w w:val="105"/>
          <w:sz w:val="18"/>
        </w:rPr>
        <w:t>Administración</w:t>
      </w:r>
      <w:r>
        <w:rPr>
          <w:color w:val="231F20"/>
          <w:spacing w:val="-20"/>
          <w:w w:val="105"/>
          <w:sz w:val="18"/>
        </w:rPr>
        <w:t> </w:t>
      </w:r>
      <w:r>
        <w:rPr>
          <w:color w:val="231F20"/>
          <w:w w:val="105"/>
          <w:sz w:val="18"/>
        </w:rPr>
        <w:t>y</w:t>
      </w:r>
      <w:r>
        <w:rPr>
          <w:color w:val="231F20"/>
          <w:spacing w:val="-20"/>
          <w:w w:val="105"/>
          <w:sz w:val="18"/>
        </w:rPr>
        <w:t> </w:t>
      </w:r>
      <w:r>
        <w:rPr>
          <w:color w:val="231F20"/>
          <w:w w:val="105"/>
          <w:sz w:val="18"/>
        </w:rPr>
        <w:t>política,</w:t>
      </w:r>
      <w:r>
        <w:rPr>
          <w:color w:val="231F20"/>
          <w:spacing w:val="-20"/>
          <w:w w:val="105"/>
          <w:sz w:val="18"/>
        </w:rPr>
        <w:t> </w:t>
      </w:r>
      <w:r>
        <w:rPr>
          <w:color w:val="231F20"/>
          <w:spacing w:val="2"/>
          <w:w w:val="105"/>
          <w:sz w:val="18"/>
        </w:rPr>
        <w:t>4ta.</w:t>
      </w:r>
      <w:r>
        <w:rPr>
          <w:color w:val="231F20"/>
          <w:spacing w:val="-20"/>
          <w:w w:val="105"/>
          <w:sz w:val="18"/>
        </w:rPr>
        <w:t> </w:t>
      </w:r>
      <w:r>
        <w:rPr>
          <w:color w:val="231F20"/>
          <w:w w:val="105"/>
          <w:sz w:val="18"/>
        </w:rPr>
        <w:t>Época,</w:t>
      </w:r>
      <w:r>
        <w:rPr>
          <w:color w:val="231F20"/>
          <w:spacing w:val="-20"/>
          <w:w w:val="105"/>
          <w:sz w:val="18"/>
        </w:rPr>
        <w:t> </w:t>
      </w:r>
      <w:r>
        <w:rPr>
          <w:color w:val="231F20"/>
          <w:w w:val="105"/>
          <w:sz w:val="18"/>
        </w:rPr>
        <w:t>no.</w:t>
      </w:r>
      <w:r>
        <w:rPr>
          <w:color w:val="231F20"/>
          <w:spacing w:val="-20"/>
          <w:w w:val="105"/>
          <w:sz w:val="18"/>
        </w:rPr>
        <w:t> </w:t>
      </w:r>
      <w:r>
        <w:rPr>
          <w:color w:val="231F20"/>
          <w:spacing w:val="-3"/>
          <w:w w:val="105"/>
          <w:sz w:val="18"/>
        </w:rPr>
        <w:t>11,</w:t>
      </w:r>
      <w:r>
        <w:rPr>
          <w:color w:val="231F20"/>
          <w:spacing w:val="-20"/>
          <w:w w:val="105"/>
          <w:sz w:val="18"/>
        </w:rPr>
        <w:t> </w:t>
      </w:r>
      <w:r>
        <w:rPr>
          <w:color w:val="231F20"/>
          <w:w w:val="105"/>
          <w:sz w:val="18"/>
        </w:rPr>
        <w:t>México,</w:t>
      </w:r>
      <w:r>
        <w:rPr>
          <w:color w:val="231F20"/>
          <w:spacing w:val="-20"/>
          <w:w w:val="105"/>
          <w:sz w:val="18"/>
        </w:rPr>
        <w:t> </w:t>
      </w:r>
      <w:r>
        <w:rPr>
          <w:color w:val="231F20"/>
          <w:w w:val="105"/>
          <w:sz w:val="18"/>
        </w:rPr>
        <w:t>UAEM-FCPyAP.</w:t>
      </w:r>
    </w:p>
    <w:p>
      <w:pPr>
        <w:spacing w:before="3"/>
        <w:ind w:left="110" w:right="206" w:firstLine="0"/>
        <w:jc w:val="left"/>
        <w:rPr>
          <w:sz w:val="18"/>
        </w:rPr>
      </w:pPr>
      <w:r>
        <w:rPr>
          <w:color w:val="231F20"/>
          <w:w w:val="105"/>
          <w:sz w:val="18"/>
        </w:rPr>
        <w:t>Manual de Organización y Procedimientos de Tejupilco (2007).</w:t>
      </w:r>
    </w:p>
    <w:p>
      <w:pPr>
        <w:spacing w:before="93"/>
        <w:ind w:left="393" w:right="206" w:firstLine="0"/>
        <w:jc w:val="left"/>
        <w:rPr>
          <w:sz w:val="18"/>
        </w:rPr>
      </w:pPr>
      <w:r>
        <w:rPr>
          <w:color w:val="231F20"/>
          <w:w w:val="105"/>
          <w:sz w:val="18"/>
        </w:rPr>
        <w:t>Manual de Organización y Procedimientos de Tejupilco.</w:t>
      </w:r>
    </w:p>
    <w:p>
      <w:pPr>
        <w:spacing w:line="348" w:lineRule="auto" w:before="93"/>
        <w:ind w:left="110" w:right="206" w:firstLine="0"/>
        <w:jc w:val="left"/>
        <w:rPr>
          <w:sz w:val="18"/>
        </w:rPr>
      </w:pPr>
      <w:r>
        <w:rPr>
          <w:color w:val="231F20"/>
          <w:w w:val="105"/>
          <w:sz w:val="18"/>
        </w:rPr>
        <w:t>Plan</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Desarrollo</w:t>
      </w:r>
      <w:r>
        <w:rPr>
          <w:color w:val="231F20"/>
          <w:spacing w:val="-11"/>
          <w:w w:val="105"/>
          <w:sz w:val="18"/>
        </w:rPr>
        <w:t> </w:t>
      </w:r>
      <w:r>
        <w:rPr>
          <w:color w:val="231F20"/>
          <w:w w:val="105"/>
          <w:sz w:val="18"/>
        </w:rPr>
        <w:t>Municipal</w:t>
      </w:r>
      <w:r>
        <w:rPr>
          <w:color w:val="231F20"/>
          <w:spacing w:val="-11"/>
          <w:w w:val="105"/>
          <w:sz w:val="18"/>
        </w:rPr>
        <w:t> </w:t>
      </w:r>
      <w:r>
        <w:rPr>
          <w:color w:val="231F20"/>
          <w:w w:val="105"/>
          <w:sz w:val="18"/>
        </w:rPr>
        <w:t>(2007).</w:t>
      </w:r>
      <w:r>
        <w:rPr>
          <w:color w:val="231F20"/>
          <w:spacing w:val="-11"/>
          <w:w w:val="105"/>
          <w:sz w:val="18"/>
        </w:rPr>
        <w:t> </w:t>
      </w:r>
      <w:r>
        <w:rPr>
          <w:color w:val="231F20"/>
          <w:w w:val="105"/>
          <w:sz w:val="18"/>
        </w:rPr>
        <w:t>Plan</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Desarrollo</w:t>
      </w:r>
      <w:r>
        <w:rPr>
          <w:color w:val="231F20"/>
          <w:spacing w:val="-11"/>
          <w:w w:val="105"/>
          <w:sz w:val="18"/>
        </w:rPr>
        <w:t> </w:t>
      </w:r>
      <w:r>
        <w:rPr>
          <w:color w:val="231F20"/>
          <w:w w:val="105"/>
          <w:sz w:val="18"/>
        </w:rPr>
        <w:t>Municipal</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Tejupilco,</w:t>
      </w:r>
      <w:r>
        <w:rPr>
          <w:color w:val="231F20"/>
          <w:spacing w:val="-11"/>
          <w:w w:val="105"/>
          <w:sz w:val="18"/>
        </w:rPr>
        <w:t> </w:t>
      </w:r>
      <w:r>
        <w:rPr>
          <w:color w:val="231F20"/>
          <w:w w:val="105"/>
          <w:sz w:val="18"/>
        </w:rPr>
        <w:t>Estado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México. PRI</w:t>
      </w:r>
      <w:r>
        <w:rPr>
          <w:color w:val="231F20"/>
          <w:spacing w:val="-13"/>
          <w:w w:val="105"/>
          <w:sz w:val="18"/>
        </w:rPr>
        <w:t> </w:t>
      </w:r>
      <w:r>
        <w:rPr>
          <w:color w:val="231F20"/>
          <w:w w:val="105"/>
          <w:sz w:val="18"/>
        </w:rPr>
        <w:t>(2009).</w:t>
      </w:r>
      <w:r>
        <w:rPr>
          <w:color w:val="231F20"/>
          <w:spacing w:val="-13"/>
          <w:w w:val="105"/>
          <w:sz w:val="18"/>
        </w:rPr>
        <w:t> </w:t>
      </w:r>
      <w:r>
        <w:rPr>
          <w:color w:val="231F20"/>
          <w:w w:val="105"/>
          <w:sz w:val="18"/>
        </w:rPr>
        <w:t>Declaración</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principios.</w:t>
      </w:r>
      <w:r>
        <w:rPr>
          <w:color w:val="231F20"/>
          <w:spacing w:val="-13"/>
          <w:w w:val="105"/>
          <w:sz w:val="18"/>
        </w:rPr>
        <w:t> </w:t>
      </w:r>
      <w:r>
        <w:rPr>
          <w:color w:val="231F20"/>
          <w:w w:val="105"/>
          <w:sz w:val="18"/>
        </w:rPr>
        <w:t>Un</w:t>
      </w:r>
      <w:r>
        <w:rPr>
          <w:color w:val="231F20"/>
          <w:spacing w:val="-13"/>
          <w:w w:val="105"/>
          <w:sz w:val="18"/>
        </w:rPr>
        <w:t> </w:t>
      </w:r>
      <w:r>
        <w:rPr>
          <w:color w:val="231F20"/>
          <w:w w:val="105"/>
          <w:sz w:val="18"/>
        </w:rPr>
        <w:t>México</w:t>
      </w:r>
      <w:r>
        <w:rPr>
          <w:color w:val="231F20"/>
          <w:spacing w:val="-13"/>
          <w:w w:val="105"/>
          <w:sz w:val="18"/>
        </w:rPr>
        <w:t> </w:t>
      </w:r>
      <w:r>
        <w:rPr>
          <w:color w:val="231F20"/>
          <w:w w:val="105"/>
          <w:sz w:val="18"/>
        </w:rPr>
        <w:t>compartido,</w:t>
      </w:r>
    </w:p>
    <w:p>
      <w:pPr>
        <w:spacing w:line="348" w:lineRule="auto" w:before="3"/>
        <w:ind w:left="393" w:right="206" w:firstLine="0"/>
        <w:jc w:val="left"/>
        <w:rPr>
          <w:sz w:val="18"/>
        </w:rPr>
      </w:pPr>
      <w:r>
        <w:rPr>
          <w:color w:val="231F20"/>
          <w:w w:val="105"/>
          <w:sz w:val="18"/>
        </w:rPr>
        <w:t>[Documento en línea] disponible en </w:t>
      </w:r>
      <w:hyperlink r:id="rId505">
        <w:r>
          <w:rPr>
            <w:color w:val="231F20"/>
            <w:w w:val="105"/>
            <w:sz w:val="18"/>
          </w:rPr>
          <w:t>http://www.pri.org.mx/PriistasTrabajando/pri/</w:t>
        </w:r>
      </w:hyperlink>
      <w:r>
        <w:rPr>
          <w:color w:val="231F20"/>
          <w:w w:val="105"/>
          <w:sz w:val="18"/>
        </w:rPr>
        <w:t> documentosbasicos/declaraciondeprincipios.aspx</w:t>
      </w:r>
    </w:p>
    <w:p>
      <w:pPr>
        <w:spacing w:before="3"/>
        <w:ind w:left="110" w:right="206" w:firstLine="0"/>
        <w:jc w:val="left"/>
        <w:rPr>
          <w:sz w:val="18"/>
        </w:rPr>
      </w:pPr>
      <w:r>
        <w:rPr>
          <w:color w:val="231F20"/>
          <w:sz w:val="18"/>
        </w:rPr>
        <w:t>ROBLES MARTÍNEZ, Reynaldo (1987). El Municipio, Ed. Porrúa, México.</w:t>
      </w:r>
    </w:p>
    <w:p>
      <w:pPr>
        <w:spacing w:line="348" w:lineRule="auto" w:before="93"/>
        <w:ind w:left="393" w:right="0" w:hanging="284"/>
        <w:jc w:val="left"/>
        <w:rPr>
          <w:sz w:val="18"/>
        </w:rPr>
      </w:pPr>
      <w:r>
        <w:rPr>
          <w:color w:val="231F20"/>
          <w:w w:val="105"/>
          <w:sz w:val="18"/>
        </w:rPr>
        <w:t>SÁNCHEZ </w:t>
      </w:r>
      <w:r>
        <w:rPr>
          <w:color w:val="231F20"/>
          <w:spacing w:val="2"/>
          <w:w w:val="105"/>
          <w:sz w:val="18"/>
        </w:rPr>
        <w:t>RAMOS, </w:t>
      </w:r>
      <w:r>
        <w:rPr>
          <w:color w:val="231F20"/>
          <w:w w:val="105"/>
          <w:sz w:val="18"/>
        </w:rPr>
        <w:t>Miguel Ángel (2007) “Tendencia hacia el isomorfismo en la Administración Pública</w:t>
      </w:r>
      <w:r>
        <w:rPr>
          <w:color w:val="231F20"/>
          <w:spacing w:val="-18"/>
          <w:w w:val="105"/>
          <w:sz w:val="18"/>
        </w:rPr>
        <w:t> </w:t>
      </w:r>
      <w:r>
        <w:rPr>
          <w:color w:val="231F20"/>
          <w:w w:val="105"/>
          <w:sz w:val="18"/>
        </w:rPr>
        <w:t>Municipal</w:t>
      </w:r>
      <w:r>
        <w:rPr>
          <w:color w:val="231F20"/>
          <w:spacing w:val="-18"/>
          <w:w w:val="105"/>
          <w:sz w:val="18"/>
        </w:rPr>
        <w:t> </w:t>
      </w:r>
      <w:r>
        <w:rPr>
          <w:color w:val="231F20"/>
          <w:w w:val="105"/>
          <w:sz w:val="18"/>
        </w:rPr>
        <w:t>del</w:t>
      </w:r>
      <w:r>
        <w:rPr>
          <w:color w:val="231F20"/>
          <w:spacing w:val="-18"/>
          <w:w w:val="105"/>
          <w:sz w:val="18"/>
        </w:rPr>
        <w:t> </w:t>
      </w:r>
      <w:r>
        <w:rPr>
          <w:color w:val="231F20"/>
          <w:w w:val="105"/>
          <w:sz w:val="18"/>
        </w:rPr>
        <w:t>Estado</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México”</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Espacios</w:t>
      </w:r>
      <w:r>
        <w:rPr>
          <w:color w:val="231F20"/>
          <w:spacing w:val="-18"/>
          <w:w w:val="105"/>
          <w:sz w:val="18"/>
        </w:rPr>
        <w:t> </w:t>
      </w:r>
      <w:r>
        <w:rPr>
          <w:color w:val="231F20"/>
          <w:w w:val="105"/>
          <w:sz w:val="18"/>
        </w:rPr>
        <w:t>Públicos,</w:t>
      </w:r>
      <w:r>
        <w:rPr>
          <w:color w:val="231F20"/>
          <w:spacing w:val="-18"/>
          <w:w w:val="105"/>
          <w:sz w:val="18"/>
        </w:rPr>
        <w:t> </w:t>
      </w:r>
      <w:r>
        <w:rPr>
          <w:color w:val="231F20"/>
          <w:w w:val="105"/>
          <w:sz w:val="18"/>
        </w:rPr>
        <w:t>año/vol.</w:t>
      </w:r>
      <w:r>
        <w:rPr>
          <w:color w:val="231F20"/>
          <w:spacing w:val="-18"/>
          <w:w w:val="105"/>
          <w:sz w:val="18"/>
        </w:rPr>
        <w:t> </w:t>
      </w:r>
      <w:r>
        <w:rPr>
          <w:color w:val="231F20"/>
          <w:w w:val="105"/>
          <w:sz w:val="18"/>
        </w:rPr>
        <w:t>10,</w:t>
      </w:r>
      <w:r>
        <w:rPr>
          <w:color w:val="231F20"/>
          <w:spacing w:val="-18"/>
          <w:w w:val="105"/>
          <w:sz w:val="18"/>
        </w:rPr>
        <w:t> </w:t>
      </w:r>
      <w:r>
        <w:rPr>
          <w:color w:val="231F20"/>
          <w:w w:val="105"/>
          <w:sz w:val="18"/>
        </w:rPr>
        <w:t>no.</w:t>
      </w:r>
      <w:r>
        <w:rPr>
          <w:color w:val="231F20"/>
          <w:spacing w:val="-18"/>
          <w:w w:val="105"/>
          <w:sz w:val="18"/>
        </w:rPr>
        <w:t> </w:t>
      </w:r>
      <w:r>
        <w:rPr>
          <w:color w:val="231F20"/>
          <w:w w:val="105"/>
          <w:sz w:val="18"/>
        </w:rPr>
        <w:t>20,</w:t>
      </w:r>
      <w:r>
        <w:rPr>
          <w:color w:val="231F20"/>
          <w:spacing w:val="-18"/>
          <w:w w:val="105"/>
          <w:sz w:val="18"/>
        </w:rPr>
        <w:t> </w:t>
      </w:r>
      <w:r>
        <w:rPr>
          <w:color w:val="231F20"/>
          <w:w w:val="105"/>
          <w:sz w:val="18"/>
        </w:rPr>
        <w:t>México,</w:t>
      </w:r>
      <w:r>
        <w:rPr>
          <w:color w:val="231F20"/>
          <w:spacing w:val="-18"/>
          <w:w w:val="105"/>
          <w:sz w:val="18"/>
        </w:rPr>
        <w:t> </w:t>
      </w:r>
      <w:r>
        <w:rPr>
          <w:color w:val="231F20"/>
          <w:w w:val="105"/>
          <w:sz w:val="18"/>
        </w:rPr>
        <w:t>UAEM.</w:t>
      </w:r>
    </w:p>
    <w:p>
      <w:pPr>
        <w:spacing w:before="3"/>
        <w:ind w:left="110" w:right="206" w:firstLine="0"/>
        <w:jc w:val="left"/>
        <w:rPr>
          <w:sz w:val="18"/>
        </w:rPr>
      </w:pPr>
      <w:r>
        <w:rPr>
          <w:color w:val="231F20"/>
          <w:sz w:val="18"/>
        </w:rPr>
        <w:t>SÁNCHEZ RAMOS, Miguel Ángel y María del Pilar Silva Rivera, (2008).</w:t>
      </w:r>
    </w:p>
    <w:p>
      <w:pPr>
        <w:spacing w:before="93"/>
        <w:ind w:left="393" w:right="206" w:firstLine="0"/>
        <w:jc w:val="left"/>
        <w:rPr>
          <w:sz w:val="18"/>
        </w:rPr>
      </w:pPr>
      <w:r>
        <w:rPr>
          <w:color w:val="231F20"/>
          <w:sz w:val="18"/>
        </w:rPr>
        <w:t>Base de datos: Partidos políticos y elecciones en el Estado de México (1993-2005), UAEM,   México.</w:t>
      </w:r>
    </w:p>
    <w:p>
      <w:pPr>
        <w:spacing w:line="348" w:lineRule="auto" w:before="93"/>
        <w:ind w:left="393" w:right="501" w:hanging="284"/>
        <w:jc w:val="left"/>
        <w:rPr>
          <w:sz w:val="18"/>
        </w:rPr>
      </w:pPr>
      <w:r>
        <w:rPr>
          <w:color w:val="231F20"/>
          <w:w w:val="105"/>
          <w:sz w:val="18"/>
        </w:rPr>
        <w:t>Secretaría de Finanzas del Estado de México (2008a). “Participaciones a municipios”, [Documento en línea] disponible en https://sfpya.edomexico.gob.mx/participaciones/</w:t>
      </w:r>
    </w:p>
    <w:p>
      <w:pPr>
        <w:spacing w:before="3"/>
        <w:ind w:left="110" w:right="206" w:firstLine="0"/>
        <w:jc w:val="left"/>
        <w:rPr>
          <w:sz w:val="18"/>
        </w:rPr>
      </w:pPr>
      <w:r>
        <w:rPr>
          <w:color w:val="231F20"/>
          <w:sz w:val="18"/>
        </w:rPr>
        <w:t>Secretaría de Finanzas del Estado de México (2008b) “Recursos Ramo   33”,</w:t>
      </w:r>
    </w:p>
    <w:p>
      <w:pPr>
        <w:spacing w:line="348" w:lineRule="auto" w:before="93"/>
        <w:ind w:left="393" w:right="501" w:firstLine="0"/>
        <w:jc w:val="left"/>
        <w:rPr>
          <w:sz w:val="18"/>
        </w:rPr>
      </w:pPr>
      <w:r>
        <w:rPr>
          <w:color w:val="231F20"/>
          <w:w w:val="105"/>
          <w:sz w:val="18"/>
        </w:rPr>
        <w:t>[Documento en línea] disponible en línea en </w:t>
      </w:r>
      <w:hyperlink r:id="rId506">
        <w:r>
          <w:rPr>
            <w:color w:val="231F20"/>
            <w:w w:val="105"/>
            <w:sz w:val="18"/>
          </w:rPr>
          <w:t>http://www1.edomexico.gob.mx/dgip/contenido/</w:t>
        </w:r>
      </w:hyperlink>
      <w:r>
        <w:rPr>
          <w:color w:val="231F20"/>
          <w:w w:val="105"/>
          <w:sz w:val="18"/>
        </w:rPr>
        <w:t> disrecramo33.asp?m=082</w:t>
      </w:r>
    </w:p>
    <w:p>
      <w:pPr>
        <w:spacing w:line="348" w:lineRule="auto" w:before="3"/>
        <w:ind w:left="110" w:right="0" w:firstLine="0"/>
        <w:jc w:val="left"/>
        <w:rPr>
          <w:sz w:val="18"/>
        </w:rPr>
      </w:pPr>
      <w:r>
        <w:rPr>
          <w:color w:val="231F20"/>
          <w:w w:val="105"/>
          <w:sz w:val="18"/>
        </w:rPr>
        <w:t>Segundo Informe de Gobierno (2008). Segundo Informe de Gobierno de Tejupilco, Estado de México. SOLÓRZANO</w:t>
      </w:r>
      <w:r>
        <w:rPr>
          <w:color w:val="231F20"/>
          <w:spacing w:val="-24"/>
          <w:w w:val="105"/>
          <w:sz w:val="18"/>
        </w:rPr>
        <w:t> </w:t>
      </w:r>
      <w:r>
        <w:rPr>
          <w:color w:val="231F20"/>
          <w:spacing w:val="3"/>
          <w:w w:val="105"/>
          <w:sz w:val="18"/>
        </w:rPr>
        <w:t>MARCIAL,</w:t>
      </w:r>
      <w:r>
        <w:rPr>
          <w:color w:val="231F20"/>
          <w:spacing w:val="-24"/>
          <w:w w:val="105"/>
          <w:sz w:val="18"/>
        </w:rPr>
        <w:t> </w:t>
      </w:r>
      <w:r>
        <w:rPr>
          <w:color w:val="231F20"/>
          <w:w w:val="105"/>
          <w:sz w:val="18"/>
        </w:rPr>
        <w:t>Carmen</w:t>
      </w:r>
      <w:r>
        <w:rPr>
          <w:color w:val="231F20"/>
          <w:spacing w:val="-24"/>
          <w:w w:val="105"/>
          <w:sz w:val="18"/>
        </w:rPr>
        <w:t> </w:t>
      </w:r>
      <w:r>
        <w:rPr>
          <w:color w:val="231F20"/>
          <w:w w:val="105"/>
          <w:sz w:val="18"/>
        </w:rPr>
        <w:t>(2003).</w:t>
      </w:r>
      <w:r>
        <w:rPr>
          <w:color w:val="231F20"/>
          <w:spacing w:val="-24"/>
          <w:w w:val="105"/>
          <w:sz w:val="18"/>
        </w:rPr>
        <w:t> </w:t>
      </w:r>
      <w:r>
        <w:rPr>
          <w:color w:val="231F20"/>
          <w:w w:val="105"/>
          <w:sz w:val="18"/>
        </w:rPr>
        <w:t>“El</w:t>
      </w:r>
      <w:r>
        <w:rPr>
          <w:color w:val="231F20"/>
          <w:spacing w:val="-24"/>
          <w:w w:val="105"/>
          <w:sz w:val="18"/>
        </w:rPr>
        <w:t> </w:t>
      </w:r>
      <w:r>
        <w:rPr>
          <w:color w:val="231F20"/>
          <w:w w:val="105"/>
          <w:sz w:val="18"/>
        </w:rPr>
        <w:t>régimen</w:t>
      </w:r>
      <w:r>
        <w:rPr>
          <w:color w:val="231F20"/>
          <w:spacing w:val="-24"/>
          <w:w w:val="105"/>
          <w:sz w:val="18"/>
        </w:rPr>
        <w:t> </w:t>
      </w:r>
      <w:r>
        <w:rPr>
          <w:color w:val="231F20"/>
          <w:w w:val="105"/>
          <w:sz w:val="18"/>
        </w:rPr>
        <w:t>y</w:t>
      </w:r>
      <w:r>
        <w:rPr>
          <w:color w:val="231F20"/>
          <w:spacing w:val="-24"/>
          <w:w w:val="105"/>
          <w:sz w:val="18"/>
        </w:rPr>
        <w:t> </w:t>
      </w:r>
      <w:r>
        <w:rPr>
          <w:color w:val="231F20"/>
          <w:w w:val="105"/>
          <w:sz w:val="18"/>
        </w:rPr>
        <w:t>su</w:t>
      </w:r>
      <w:r>
        <w:rPr>
          <w:color w:val="231F20"/>
          <w:spacing w:val="-24"/>
          <w:w w:val="105"/>
          <w:sz w:val="18"/>
        </w:rPr>
        <w:t> </w:t>
      </w:r>
      <w:r>
        <w:rPr>
          <w:color w:val="231F20"/>
          <w:w w:val="105"/>
          <w:sz w:val="18"/>
        </w:rPr>
        <w:t>ideología</w:t>
      </w:r>
      <w:r>
        <w:rPr>
          <w:color w:val="231F20"/>
          <w:spacing w:val="-24"/>
          <w:w w:val="105"/>
          <w:sz w:val="18"/>
        </w:rPr>
        <w:t> </w:t>
      </w:r>
      <w:r>
        <w:rPr>
          <w:color w:val="231F20"/>
          <w:w w:val="105"/>
          <w:sz w:val="18"/>
        </w:rPr>
        <w:t>priísta”,</w:t>
      </w:r>
      <w:r>
        <w:rPr>
          <w:color w:val="231F20"/>
          <w:spacing w:val="-24"/>
          <w:w w:val="105"/>
          <w:sz w:val="18"/>
        </w:rPr>
        <w:t> </w:t>
      </w:r>
      <w:r>
        <w:rPr>
          <w:color w:val="231F20"/>
          <w:w w:val="105"/>
          <w:sz w:val="18"/>
        </w:rPr>
        <w:t>en</w:t>
      </w:r>
      <w:r>
        <w:rPr>
          <w:color w:val="231F20"/>
          <w:spacing w:val="-24"/>
          <w:w w:val="105"/>
          <w:sz w:val="18"/>
        </w:rPr>
        <w:t> </w:t>
      </w:r>
      <w:r>
        <w:rPr>
          <w:color w:val="231F20"/>
          <w:spacing w:val="2"/>
          <w:w w:val="105"/>
          <w:sz w:val="18"/>
        </w:rPr>
        <w:t>REVELES</w:t>
      </w:r>
      <w:r>
        <w:rPr>
          <w:color w:val="231F20"/>
          <w:spacing w:val="-24"/>
          <w:w w:val="105"/>
          <w:sz w:val="18"/>
        </w:rPr>
        <w:t> </w:t>
      </w:r>
      <w:r>
        <w:rPr>
          <w:color w:val="231F20"/>
          <w:w w:val="105"/>
          <w:sz w:val="18"/>
        </w:rPr>
        <w:t>Vázquez, Francisco</w:t>
      </w:r>
      <w:r>
        <w:rPr>
          <w:color w:val="231F20"/>
          <w:spacing w:val="-12"/>
          <w:w w:val="105"/>
          <w:sz w:val="18"/>
        </w:rPr>
        <w:t> </w:t>
      </w:r>
      <w:r>
        <w:rPr>
          <w:color w:val="231F20"/>
          <w:w w:val="105"/>
          <w:sz w:val="18"/>
        </w:rPr>
        <w:t>(2003),</w:t>
      </w:r>
      <w:r>
        <w:rPr>
          <w:color w:val="231F20"/>
          <w:spacing w:val="-12"/>
          <w:w w:val="105"/>
          <w:sz w:val="18"/>
        </w:rPr>
        <w:t> </w:t>
      </w:r>
      <w:r>
        <w:rPr>
          <w:color w:val="231F20"/>
          <w:w w:val="105"/>
          <w:sz w:val="18"/>
        </w:rPr>
        <w:t>Partido</w:t>
      </w:r>
      <w:r>
        <w:rPr>
          <w:color w:val="231F20"/>
          <w:spacing w:val="-12"/>
          <w:w w:val="105"/>
          <w:sz w:val="18"/>
        </w:rPr>
        <w:t> </w:t>
      </w:r>
      <w:r>
        <w:rPr>
          <w:color w:val="231F20"/>
          <w:w w:val="105"/>
          <w:sz w:val="18"/>
        </w:rPr>
        <w:t>Revolucionario</w:t>
      </w:r>
      <w:r>
        <w:rPr>
          <w:color w:val="231F20"/>
          <w:spacing w:val="-12"/>
          <w:w w:val="105"/>
          <w:sz w:val="18"/>
        </w:rPr>
        <w:t> </w:t>
      </w:r>
      <w:r>
        <w:rPr>
          <w:color w:val="231F20"/>
          <w:w w:val="105"/>
          <w:sz w:val="18"/>
        </w:rPr>
        <w:t>Institucional:</w:t>
      </w:r>
      <w:r>
        <w:rPr>
          <w:color w:val="231F20"/>
          <w:spacing w:val="-12"/>
          <w:w w:val="105"/>
          <w:sz w:val="18"/>
        </w:rPr>
        <w:t> </w:t>
      </w:r>
      <w:r>
        <w:rPr>
          <w:color w:val="231F20"/>
          <w:w w:val="105"/>
          <w:sz w:val="18"/>
        </w:rPr>
        <w:t>Crisis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refundación,</w:t>
      </w:r>
      <w:r>
        <w:rPr>
          <w:color w:val="231F20"/>
          <w:spacing w:val="-12"/>
          <w:w w:val="105"/>
          <w:sz w:val="18"/>
        </w:rPr>
        <w:t> </w:t>
      </w:r>
      <w:r>
        <w:rPr>
          <w:color w:val="231F20"/>
          <w:w w:val="105"/>
          <w:sz w:val="18"/>
        </w:rPr>
        <w:t>México,</w:t>
      </w:r>
      <w:r>
        <w:rPr>
          <w:color w:val="231F20"/>
          <w:spacing w:val="-12"/>
          <w:w w:val="105"/>
          <w:sz w:val="18"/>
        </w:rPr>
        <w:t> </w:t>
      </w:r>
      <w:r>
        <w:rPr>
          <w:color w:val="231F20"/>
          <w:spacing w:val="2"/>
          <w:w w:val="105"/>
          <w:sz w:val="18"/>
        </w:rPr>
        <w:t>UNAM-Gernika. </w:t>
      </w:r>
      <w:r>
        <w:rPr>
          <w:color w:val="231F20"/>
          <w:w w:val="105"/>
          <w:sz w:val="18"/>
        </w:rPr>
        <w:t>TEJUPILCO</w:t>
      </w:r>
      <w:r>
        <w:rPr>
          <w:color w:val="231F20"/>
          <w:spacing w:val="-20"/>
          <w:w w:val="105"/>
          <w:sz w:val="18"/>
        </w:rPr>
        <w:t> </w:t>
      </w:r>
      <w:r>
        <w:rPr>
          <w:color w:val="231F20"/>
          <w:w w:val="105"/>
          <w:sz w:val="18"/>
        </w:rPr>
        <w:t>(2008).</w:t>
      </w:r>
      <w:r>
        <w:rPr>
          <w:color w:val="231F20"/>
          <w:spacing w:val="-20"/>
          <w:w w:val="105"/>
          <w:sz w:val="18"/>
        </w:rPr>
        <w:t> </w:t>
      </w:r>
      <w:r>
        <w:rPr>
          <w:color w:val="231F20"/>
          <w:w w:val="105"/>
          <w:sz w:val="18"/>
        </w:rPr>
        <w:t>“Información</w:t>
      </w:r>
      <w:r>
        <w:rPr>
          <w:color w:val="231F20"/>
          <w:spacing w:val="-20"/>
          <w:w w:val="105"/>
          <w:sz w:val="18"/>
        </w:rPr>
        <w:t> </w:t>
      </w:r>
      <w:r>
        <w:rPr>
          <w:color w:val="231F20"/>
          <w:w w:val="105"/>
          <w:sz w:val="18"/>
        </w:rPr>
        <w:t>municipal”,</w:t>
      </w:r>
      <w:r>
        <w:rPr>
          <w:color w:val="231F20"/>
          <w:spacing w:val="-20"/>
          <w:w w:val="105"/>
          <w:sz w:val="18"/>
        </w:rPr>
        <w:t> </w:t>
      </w:r>
      <w:r>
        <w:rPr>
          <w:color w:val="231F20"/>
          <w:w w:val="105"/>
          <w:sz w:val="18"/>
        </w:rPr>
        <w:t>[Documento</w:t>
      </w:r>
      <w:r>
        <w:rPr>
          <w:color w:val="231F20"/>
          <w:spacing w:val="-20"/>
          <w:w w:val="105"/>
          <w:sz w:val="18"/>
        </w:rPr>
        <w:t> </w:t>
      </w:r>
      <w:r>
        <w:rPr>
          <w:color w:val="231F20"/>
          <w:w w:val="105"/>
          <w:sz w:val="18"/>
        </w:rPr>
        <w:t>en</w:t>
      </w:r>
      <w:r>
        <w:rPr>
          <w:color w:val="231F20"/>
          <w:spacing w:val="-20"/>
          <w:w w:val="105"/>
          <w:sz w:val="18"/>
        </w:rPr>
        <w:t> </w:t>
      </w:r>
      <w:r>
        <w:rPr>
          <w:color w:val="231F20"/>
          <w:w w:val="105"/>
          <w:sz w:val="18"/>
        </w:rPr>
        <w:t>línea]</w:t>
      </w:r>
    </w:p>
    <w:p>
      <w:pPr>
        <w:spacing w:before="3"/>
        <w:ind w:left="393" w:right="206" w:firstLine="0"/>
        <w:jc w:val="left"/>
        <w:rPr>
          <w:sz w:val="18"/>
        </w:rPr>
      </w:pPr>
      <w:r>
        <w:rPr>
          <w:color w:val="231F20"/>
          <w:w w:val="105"/>
          <w:sz w:val="18"/>
        </w:rPr>
        <w:t>disponible en </w:t>
      </w:r>
      <w:hyperlink r:id="rId507">
        <w:r>
          <w:rPr>
            <w:color w:val="231F20"/>
            <w:w w:val="105"/>
            <w:sz w:val="18"/>
          </w:rPr>
          <w:t>www.tejupilco.gob.mx</w:t>
        </w:r>
      </w:hyperlink>
    </w:p>
    <w:p>
      <w:pPr>
        <w:spacing w:line="304" w:lineRule="auto" w:before="93"/>
        <w:ind w:left="110" w:right="206" w:firstLine="0"/>
        <w:jc w:val="left"/>
        <w:rPr>
          <w:sz w:val="22"/>
        </w:rPr>
      </w:pPr>
      <w:r>
        <w:rPr>
          <w:color w:val="231F20"/>
          <w:w w:val="105"/>
          <w:sz w:val="18"/>
        </w:rPr>
        <w:t>Transparencia</w:t>
      </w:r>
      <w:r>
        <w:rPr>
          <w:color w:val="231F20"/>
          <w:spacing w:val="-11"/>
          <w:w w:val="105"/>
          <w:sz w:val="18"/>
        </w:rPr>
        <w:t> </w:t>
      </w:r>
      <w:r>
        <w:rPr>
          <w:color w:val="231F20"/>
          <w:w w:val="105"/>
          <w:sz w:val="18"/>
        </w:rPr>
        <w:t>(2008).</w:t>
      </w:r>
      <w:r>
        <w:rPr>
          <w:color w:val="231F20"/>
          <w:spacing w:val="-11"/>
          <w:w w:val="105"/>
          <w:sz w:val="18"/>
        </w:rPr>
        <w:t> </w:t>
      </w:r>
      <w:r>
        <w:rPr>
          <w:color w:val="231F20"/>
          <w:w w:val="105"/>
          <w:sz w:val="18"/>
        </w:rPr>
        <w:t>“Unidad</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Transparencia</w:t>
      </w:r>
      <w:r>
        <w:rPr>
          <w:color w:val="231F20"/>
          <w:spacing w:val="-11"/>
          <w:w w:val="105"/>
          <w:sz w:val="18"/>
        </w:rPr>
        <w:t> </w:t>
      </w:r>
      <w:r>
        <w:rPr>
          <w:color w:val="231F20"/>
          <w:w w:val="105"/>
          <w:sz w:val="18"/>
        </w:rPr>
        <w:t>y</w:t>
      </w:r>
      <w:r>
        <w:rPr>
          <w:color w:val="231F20"/>
          <w:spacing w:val="-11"/>
          <w:w w:val="105"/>
          <w:sz w:val="18"/>
        </w:rPr>
        <w:t> </w:t>
      </w:r>
      <w:r>
        <w:rPr>
          <w:color w:val="231F20"/>
          <w:w w:val="105"/>
          <w:sz w:val="18"/>
        </w:rPr>
        <w:t>Acceso</w:t>
      </w:r>
      <w:r>
        <w:rPr>
          <w:color w:val="231F20"/>
          <w:spacing w:val="-11"/>
          <w:w w:val="105"/>
          <w:sz w:val="18"/>
        </w:rPr>
        <w:t> </w:t>
      </w:r>
      <w:r>
        <w:rPr>
          <w:color w:val="231F20"/>
          <w:w w:val="105"/>
          <w:sz w:val="18"/>
        </w:rPr>
        <w:t>a</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Información</w:t>
      </w:r>
      <w:r>
        <w:rPr>
          <w:color w:val="231F20"/>
          <w:spacing w:val="-11"/>
          <w:w w:val="105"/>
          <w:sz w:val="18"/>
        </w:rPr>
        <w:t> </w:t>
      </w:r>
      <w:r>
        <w:rPr>
          <w:color w:val="231F20"/>
          <w:w w:val="105"/>
          <w:sz w:val="18"/>
        </w:rPr>
        <w:t>Municipal”,</w:t>
      </w:r>
      <w:r>
        <w:rPr>
          <w:color w:val="231F20"/>
          <w:spacing w:val="-11"/>
          <w:w w:val="105"/>
          <w:sz w:val="18"/>
        </w:rPr>
        <w:t> </w:t>
      </w:r>
      <w:r>
        <w:rPr>
          <w:color w:val="231F20"/>
          <w:w w:val="105"/>
          <w:sz w:val="18"/>
        </w:rPr>
        <w:t>en</w:t>
      </w:r>
      <w:r>
        <w:rPr>
          <w:color w:val="231F20"/>
          <w:spacing w:val="-11"/>
          <w:w w:val="105"/>
          <w:sz w:val="18"/>
        </w:rPr>
        <w:t> </w:t>
      </w:r>
      <w:r>
        <w:rPr>
          <w:color w:val="231F20"/>
          <w:w w:val="105"/>
          <w:sz w:val="18"/>
        </w:rPr>
        <w:t>CD. Unidad</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Transparencia</w:t>
      </w:r>
      <w:r>
        <w:rPr>
          <w:color w:val="231F20"/>
          <w:spacing w:val="-15"/>
          <w:w w:val="105"/>
          <w:sz w:val="18"/>
        </w:rPr>
        <w:t> </w:t>
      </w:r>
      <w:r>
        <w:rPr>
          <w:color w:val="231F20"/>
          <w:w w:val="105"/>
          <w:sz w:val="18"/>
        </w:rPr>
        <w:t>(2008).</w:t>
      </w:r>
      <w:r>
        <w:rPr>
          <w:color w:val="231F20"/>
          <w:spacing w:val="-15"/>
          <w:w w:val="105"/>
          <w:sz w:val="18"/>
        </w:rPr>
        <w:t> </w:t>
      </w:r>
      <w:r>
        <w:rPr>
          <w:color w:val="231F20"/>
          <w:spacing w:val="-2"/>
          <w:w w:val="105"/>
          <w:sz w:val="18"/>
        </w:rPr>
        <w:t>“Avances</w:t>
      </w:r>
      <w:r>
        <w:rPr>
          <w:color w:val="231F20"/>
          <w:spacing w:val="-15"/>
          <w:w w:val="105"/>
          <w:sz w:val="18"/>
        </w:rPr>
        <w:t> </w:t>
      </w:r>
      <w:r>
        <w:rPr>
          <w:color w:val="231F20"/>
          <w:w w:val="105"/>
          <w:sz w:val="18"/>
        </w:rPr>
        <w:t>presupuestales</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ingresos</w:t>
      </w:r>
      <w:r>
        <w:rPr>
          <w:color w:val="231F20"/>
          <w:spacing w:val="-15"/>
          <w:w w:val="105"/>
          <w:sz w:val="18"/>
        </w:rPr>
        <w:t> </w:t>
      </w:r>
      <w:r>
        <w:rPr>
          <w:color w:val="231F20"/>
          <w:w w:val="105"/>
          <w:sz w:val="18"/>
        </w:rPr>
        <w:t>y</w:t>
      </w:r>
      <w:r>
        <w:rPr>
          <w:color w:val="231F20"/>
          <w:spacing w:val="-15"/>
          <w:w w:val="105"/>
          <w:sz w:val="18"/>
        </w:rPr>
        <w:t> </w:t>
      </w:r>
      <w:r>
        <w:rPr>
          <w:color w:val="231F20"/>
          <w:w w:val="105"/>
          <w:sz w:val="18"/>
        </w:rPr>
        <w:t>egresos”,</w:t>
      </w:r>
      <w:r>
        <w:rPr>
          <w:color w:val="231F20"/>
          <w:spacing w:val="-15"/>
          <w:w w:val="105"/>
          <w:sz w:val="18"/>
        </w:rPr>
        <w:t> </w:t>
      </w:r>
      <w:r>
        <w:rPr>
          <w:color w:val="231F20"/>
          <w:w w:val="105"/>
          <w:sz w:val="18"/>
        </w:rPr>
        <w:t>en</w:t>
      </w:r>
      <w:r>
        <w:rPr>
          <w:color w:val="231F20"/>
          <w:spacing w:val="-15"/>
          <w:w w:val="105"/>
          <w:sz w:val="18"/>
        </w:rPr>
        <w:t> </w:t>
      </w:r>
      <w:r>
        <w:rPr>
          <w:color w:val="231F20"/>
          <w:spacing w:val="-5"/>
          <w:w w:val="105"/>
          <w:sz w:val="22"/>
        </w:rPr>
        <w:t>CD.</w:t>
      </w:r>
    </w:p>
    <w:p>
      <w:pPr>
        <w:spacing w:after="0" w:line="304" w:lineRule="auto"/>
        <w:jc w:val="left"/>
        <w:rPr>
          <w:sz w:val="22"/>
        </w:rPr>
        <w:sectPr>
          <w:pgSz w:w="9640" w:h="12190"/>
          <w:pgMar w:header="0" w:footer="743" w:top="1120" w:bottom="940" w:left="740" w:right="900"/>
        </w:sectPr>
      </w:pPr>
    </w:p>
    <w:p>
      <w:pPr>
        <w:pStyle w:val="BodyText"/>
        <w:spacing w:before="5"/>
        <w:rPr>
          <w:sz w:val="11"/>
        </w:rPr>
      </w:pPr>
    </w:p>
    <w:p>
      <w:pPr>
        <w:pStyle w:val="Heading5"/>
        <w:spacing w:before="34"/>
        <w:ind w:right="102"/>
        <w:jc w:val="center"/>
      </w:pPr>
      <w:r>
        <w:rPr>
          <w:color w:val="231F20"/>
        </w:rPr>
        <w:t>ANEXO 1</w:t>
      </w:r>
    </w:p>
    <w:p>
      <w:pPr>
        <w:spacing w:line="285" w:lineRule="auto" w:before="47"/>
        <w:ind w:left="776" w:right="774" w:firstLine="0"/>
        <w:jc w:val="center"/>
        <w:rPr>
          <w:b/>
          <w:sz w:val="22"/>
        </w:rPr>
      </w:pPr>
      <w:r>
        <w:rPr>
          <w:b/>
          <w:color w:val="231F20"/>
          <w:w w:val="105"/>
          <w:sz w:val="22"/>
        </w:rPr>
        <w:t>Organigrama</w:t>
      </w:r>
      <w:r>
        <w:rPr>
          <w:b/>
          <w:color w:val="231F20"/>
          <w:spacing w:val="-21"/>
          <w:w w:val="105"/>
          <w:sz w:val="22"/>
        </w:rPr>
        <w:t> </w:t>
      </w:r>
      <w:r>
        <w:rPr>
          <w:b/>
          <w:color w:val="231F20"/>
          <w:w w:val="105"/>
          <w:sz w:val="22"/>
        </w:rPr>
        <w:t>de</w:t>
      </w:r>
      <w:r>
        <w:rPr>
          <w:b/>
          <w:color w:val="231F20"/>
          <w:spacing w:val="-21"/>
          <w:w w:val="105"/>
          <w:sz w:val="22"/>
        </w:rPr>
        <w:t> </w:t>
      </w:r>
      <w:r>
        <w:rPr>
          <w:b/>
          <w:color w:val="231F20"/>
          <w:w w:val="105"/>
          <w:sz w:val="22"/>
        </w:rPr>
        <w:t>la</w:t>
      </w:r>
      <w:r>
        <w:rPr>
          <w:b/>
          <w:color w:val="231F20"/>
          <w:spacing w:val="-21"/>
          <w:w w:val="105"/>
          <w:sz w:val="22"/>
        </w:rPr>
        <w:t> </w:t>
      </w:r>
      <w:r>
        <w:rPr>
          <w:b/>
          <w:color w:val="231F20"/>
          <w:w w:val="105"/>
          <w:sz w:val="22"/>
        </w:rPr>
        <w:t>Administración</w:t>
      </w:r>
      <w:r>
        <w:rPr>
          <w:b/>
          <w:color w:val="231F20"/>
          <w:spacing w:val="-21"/>
          <w:w w:val="105"/>
          <w:sz w:val="22"/>
        </w:rPr>
        <w:t> </w:t>
      </w:r>
      <w:r>
        <w:rPr>
          <w:b/>
          <w:color w:val="231F20"/>
          <w:w w:val="105"/>
          <w:sz w:val="22"/>
        </w:rPr>
        <w:t>Pública</w:t>
      </w:r>
      <w:r>
        <w:rPr>
          <w:b/>
          <w:color w:val="231F20"/>
          <w:spacing w:val="-21"/>
          <w:w w:val="105"/>
          <w:sz w:val="22"/>
        </w:rPr>
        <w:t> </w:t>
      </w:r>
      <w:r>
        <w:rPr>
          <w:b/>
          <w:color w:val="231F20"/>
          <w:w w:val="105"/>
          <w:sz w:val="22"/>
        </w:rPr>
        <w:t>Municipal</w:t>
      </w:r>
      <w:r>
        <w:rPr>
          <w:b/>
          <w:color w:val="231F20"/>
          <w:spacing w:val="-21"/>
          <w:w w:val="105"/>
          <w:sz w:val="22"/>
        </w:rPr>
        <w:t> </w:t>
      </w:r>
      <w:r>
        <w:rPr>
          <w:b/>
          <w:color w:val="231F20"/>
          <w:w w:val="105"/>
          <w:sz w:val="22"/>
        </w:rPr>
        <w:t>de</w:t>
      </w:r>
      <w:r>
        <w:rPr>
          <w:b/>
          <w:color w:val="231F20"/>
          <w:spacing w:val="-21"/>
          <w:w w:val="105"/>
          <w:sz w:val="22"/>
        </w:rPr>
        <w:t> </w:t>
      </w:r>
      <w:r>
        <w:rPr>
          <w:b/>
          <w:color w:val="231F20"/>
          <w:spacing w:val="-3"/>
          <w:w w:val="105"/>
          <w:sz w:val="22"/>
        </w:rPr>
        <w:t>Tejupilco, </w:t>
      </w:r>
      <w:r>
        <w:rPr>
          <w:b/>
          <w:color w:val="231F20"/>
          <w:w w:val="105"/>
          <w:sz w:val="22"/>
        </w:rPr>
        <w:t>Estado</w:t>
      </w:r>
      <w:r>
        <w:rPr>
          <w:b/>
          <w:color w:val="231F20"/>
          <w:spacing w:val="-24"/>
          <w:w w:val="105"/>
          <w:sz w:val="22"/>
        </w:rPr>
        <w:t> </w:t>
      </w:r>
      <w:r>
        <w:rPr>
          <w:b/>
          <w:color w:val="231F20"/>
          <w:w w:val="105"/>
          <w:sz w:val="22"/>
        </w:rPr>
        <w:t>de</w:t>
      </w:r>
      <w:r>
        <w:rPr>
          <w:b/>
          <w:color w:val="231F20"/>
          <w:spacing w:val="-24"/>
          <w:w w:val="105"/>
          <w:sz w:val="22"/>
        </w:rPr>
        <w:t> </w:t>
      </w:r>
      <w:r>
        <w:rPr>
          <w:b/>
          <w:color w:val="231F20"/>
          <w:w w:val="105"/>
          <w:sz w:val="22"/>
        </w:rPr>
        <w:t>México</w:t>
      </w:r>
    </w:p>
    <w:p>
      <w:pPr>
        <w:pStyle w:val="BodyText"/>
        <w:spacing w:before="5"/>
        <w:rPr>
          <w:b/>
          <w:sz w:val="14"/>
        </w:rPr>
      </w:pPr>
      <w:r>
        <w:rPr/>
        <w:drawing>
          <wp:anchor distT="0" distB="0" distL="0" distR="0" allowOverlap="1" layoutInCell="1" locked="0" behindDoc="0" simplePos="0" relativeHeight="9376">
            <wp:simplePos x="0" y="0"/>
            <wp:positionH relativeFrom="page">
              <wp:posOffset>539999</wp:posOffset>
            </wp:positionH>
            <wp:positionV relativeFrom="paragraph">
              <wp:posOffset>130785</wp:posOffset>
            </wp:positionV>
            <wp:extent cx="4938822" cy="3697795"/>
            <wp:effectExtent l="0" t="0" r="0" b="0"/>
            <wp:wrapTopAndBottom/>
            <wp:docPr id="265" name="image451.jpeg" descr=""/>
            <wp:cNvGraphicFramePr>
              <a:graphicFrameLocks noChangeAspect="1"/>
            </wp:cNvGraphicFramePr>
            <a:graphic>
              <a:graphicData uri="http://schemas.openxmlformats.org/drawingml/2006/picture">
                <pic:pic>
                  <pic:nvPicPr>
                    <pic:cNvPr id="266" name="image451.jpeg"/>
                    <pic:cNvPicPr/>
                  </pic:nvPicPr>
                  <pic:blipFill>
                    <a:blip r:embed="rId508" cstate="print"/>
                    <a:stretch>
                      <a:fillRect/>
                    </a:stretch>
                  </pic:blipFill>
                  <pic:spPr>
                    <a:xfrm>
                      <a:off x="0" y="0"/>
                      <a:ext cx="4938822" cy="3697795"/>
                    </a:xfrm>
                    <a:prstGeom prst="rect">
                      <a:avLst/>
                    </a:prstGeom>
                  </pic:spPr>
                </pic:pic>
              </a:graphicData>
            </a:graphic>
          </wp:anchor>
        </w:drawing>
      </w:r>
    </w:p>
    <w:p>
      <w:pPr>
        <w:spacing w:after="0"/>
        <w:rPr>
          <w:sz w:val="14"/>
        </w:rPr>
        <w:sectPr>
          <w:pgSz w:w="9640" w:h="12190"/>
          <w:pgMar w:header="0" w:footer="743" w:top="1120" w:bottom="940" w:left="740" w:right="7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spacing w:line="367" w:lineRule="auto" w:before="0"/>
        <w:ind w:left="1218" w:right="1216" w:firstLine="0"/>
        <w:jc w:val="center"/>
        <w:rPr>
          <w:b/>
          <w:sz w:val="34"/>
        </w:rPr>
      </w:pPr>
      <w:r>
        <w:rPr>
          <w:b/>
          <w:color w:val="231F20"/>
          <w:w w:val="105"/>
          <w:sz w:val="34"/>
        </w:rPr>
        <w:t>Chimalhuacán, </w:t>
      </w:r>
      <w:r>
        <w:rPr>
          <w:b/>
          <w:color w:val="231F20"/>
          <w:spacing w:val="-4"/>
          <w:w w:val="105"/>
          <w:sz w:val="34"/>
        </w:rPr>
        <w:t>gobierno </w:t>
      </w:r>
      <w:r>
        <w:rPr>
          <w:b/>
          <w:color w:val="231F20"/>
          <w:spacing w:val="-3"/>
          <w:w w:val="105"/>
          <w:sz w:val="34"/>
        </w:rPr>
        <w:t>subordinado </w:t>
      </w:r>
      <w:r>
        <w:rPr>
          <w:b/>
          <w:color w:val="231F20"/>
          <w:w w:val="105"/>
          <w:sz w:val="34"/>
        </w:rPr>
        <w:t>a </w:t>
      </w:r>
      <w:r>
        <w:rPr>
          <w:b/>
          <w:color w:val="231F20"/>
          <w:spacing w:val="2"/>
          <w:w w:val="105"/>
          <w:sz w:val="34"/>
        </w:rPr>
        <w:t>un </w:t>
      </w:r>
      <w:r>
        <w:rPr>
          <w:b/>
          <w:color w:val="231F20"/>
          <w:w w:val="105"/>
          <w:sz w:val="34"/>
        </w:rPr>
        <w:t>partido</w:t>
      </w:r>
      <w:r>
        <w:rPr>
          <w:b/>
          <w:color w:val="231F20"/>
          <w:spacing w:val="-62"/>
          <w:w w:val="105"/>
          <w:sz w:val="34"/>
        </w:rPr>
        <w:t> </w:t>
      </w:r>
      <w:r>
        <w:rPr>
          <w:b/>
          <w:color w:val="231F20"/>
          <w:w w:val="105"/>
          <w:sz w:val="34"/>
        </w:rPr>
        <w:t>político</w:t>
      </w:r>
    </w:p>
    <w:p>
      <w:pPr>
        <w:spacing w:before="140"/>
        <w:ind w:left="0" w:right="108" w:firstLine="0"/>
        <w:jc w:val="right"/>
        <w:rPr>
          <w:i/>
          <w:sz w:val="20"/>
        </w:rPr>
      </w:pPr>
      <w:r>
        <w:rPr>
          <w:i/>
          <w:color w:val="231F20"/>
          <w:sz w:val="20"/>
        </w:rPr>
        <w:t>Gregorio Cisneros Rancho</w:t>
      </w:r>
    </w:p>
    <w:p>
      <w:pPr>
        <w:pStyle w:val="BodyText"/>
        <w:rPr>
          <w:i/>
          <w:sz w:val="20"/>
        </w:rPr>
      </w:pPr>
    </w:p>
    <w:p>
      <w:pPr>
        <w:spacing w:before="137"/>
        <w:ind w:left="0" w:right="109" w:firstLine="0"/>
        <w:jc w:val="right"/>
        <w:rPr>
          <w:rFonts w:ascii="Palatino Linotype" w:hAnsi="Palatino Linotype"/>
          <w:i/>
          <w:sz w:val="18"/>
        </w:rPr>
      </w:pPr>
      <w:r>
        <w:rPr>
          <w:rFonts w:ascii="Palatino Linotype" w:hAnsi="Palatino Linotype"/>
          <w:i/>
          <w:color w:val="231F20"/>
          <w:w w:val="105"/>
          <w:sz w:val="18"/>
        </w:rPr>
        <w:t>No hay enemigo más cruel para el priista, que un mismo priista</w:t>
      </w:r>
    </w:p>
    <w:p>
      <w:pPr>
        <w:spacing w:before="78"/>
        <w:ind w:left="0" w:right="108" w:firstLine="0"/>
        <w:jc w:val="right"/>
        <w:rPr>
          <w:i/>
          <w:sz w:val="18"/>
        </w:rPr>
      </w:pPr>
      <w:r>
        <w:rPr>
          <w:i/>
          <w:color w:val="231F20"/>
          <w:sz w:val="18"/>
        </w:rPr>
        <w:t>Martín Pabello Jiménez</w:t>
      </w:r>
    </w:p>
    <w:p>
      <w:pPr>
        <w:pStyle w:val="BodyText"/>
        <w:rPr>
          <w:i/>
          <w:sz w:val="18"/>
        </w:rPr>
      </w:pPr>
    </w:p>
    <w:p>
      <w:pPr>
        <w:pStyle w:val="Heading3"/>
        <w:spacing w:before="111"/>
      </w:pPr>
      <w:r>
        <w:rPr>
          <w:color w:val="231F20"/>
          <w:w w:val="105"/>
        </w:rPr>
        <w:t>Introducción</w:t>
      </w:r>
    </w:p>
    <w:p>
      <w:pPr>
        <w:pStyle w:val="BodyText"/>
        <w:spacing w:line="285" w:lineRule="auto" w:before="38"/>
        <w:ind w:left="110" w:right="106"/>
        <w:jc w:val="both"/>
      </w:pPr>
      <w:r>
        <w:rPr>
          <w:color w:val="231F20"/>
          <w:w w:val="115"/>
        </w:rPr>
        <w:t>El </w:t>
      </w:r>
      <w:r>
        <w:rPr>
          <w:color w:val="231F20"/>
          <w:spacing w:val="-3"/>
          <w:w w:val="105"/>
        </w:rPr>
        <w:t>desempeño </w:t>
      </w:r>
      <w:r>
        <w:rPr>
          <w:color w:val="231F20"/>
          <w:w w:val="105"/>
        </w:rPr>
        <w:t>en </w:t>
      </w:r>
      <w:r>
        <w:rPr>
          <w:color w:val="231F20"/>
          <w:w w:val="115"/>
        </w:rPr>
        <w:t>el </w:t>
      </w:r>
      <w:r>
        <w:rPr>
          <w:color w:val="231F20"/>
          <w:spacing w:val="-3"/>
          <w:w w:val="105"/>
        </w:rPr>
        <w:t>ejercicio </w:t>
      </w:r>
      <w:r>
        <w:rPr>
          <w:color w:val="231F20"/>
          <w:spacing w:val="-4"/>
          <w:w w:val="105"/>
        </w:rPr>
        <w:t>de </w:t>
      </w:r>
      <w:r>
        <w:rPr>
          <w:color w:val="231F20"/>
          <w:w w:val="115"/>
        </w:rPr>
        <w:t>los </w:t>
      </w:r>
      <w:r>
        <w:rPr>
          <w:color w:val="231F20"/>
          <w:spacing w:val="-3"/>
          <w:w w:val="105"/>
        </w:rPr>
        <w:t>gobiernos </w:t>
      </w:r>
      <w:r>
        <w:rPr>
          <w:color w:val="231F20"/>
          <w:w w:val="105"/>
        </w:rPr>
        <w:t>municipales  en  el  Estado  de  Mé- xico</w:t>
      </w:r>
      <w:r>
        <w:rPr>
          <w:color w:val="231F20"/>
          <w:spacing w:val="-15"/>
          <w:w w:val="105"/>
        </w:rPr>
        <w:t> </w:t>
      </w:r>
      <w:r>
        <w:rPr>
          <w:color w:val="231F20"/>
          <w:w w:val="105"/>
        </w:rPr>
        <w:t>presenta</w:t>
      </w:r>
      <w:r>
        <w:rPr>
          <w:color w:val="231F20"/>
          <w:spacing w:val="-15"/>
          <w:w w:val="105"/>
        </w:rPr>
        <w:t> </w:t>
      </w:r>
      <w:r>
        <w:rPr>
          <w:color w:val="231F20"/>
          <w:w w:val="105"/>
        </w:rPr>
        <w:t>singularidades</w:t>
      </w:r>
      <w:r>
        <w:rPr>
          <w:color w:val="231F20"/>
          <w:spacing w:val="-15"/>
          <w:w w:val="105"/>
        </w:rPr>
        <w:t> </w:t>
      </w:r>
      <w:r>
        <w:rPr>
          <w:color w:val="231F20"/>
          <w:w w:val="105"/>
        </w:rPr>
        <w:t>por</w:t>
      </w:r>
      <w:r>
        <w:rPr>
          <w:color w:val="231F20"/>
          <w:spacing w:val="-15"/>
          <w:w w:val="105"/>
        </w:rPr>
        <w:t> </w:t>
      </w:r>
      <w:r>
        <w:rPr>
          <w:color w:val="231F20"/>
          <w:w w:val="105"/>
        </w:rPr>
        <w:t>cuestiones</w:t>
      </w:r>
      <w:r>
        <w:rPr>
          <w:color w:val="231F20"/>
          <w:spacing w:val="-15"/>
          <w:w w:val="105"/>
        </w:rPr>
        <w:t> </w:t>
      </w:r>
      <w:r>
        <w:rPr>
          <w:color w:val="231F20"/>
          <w:w w:val="105"/>
        </w:rPr>
        <w:t>varias,</w:t>
      </w:r>
      <w:r>
        <w:rPr>
          <w:color w:val="231F20"/>
          <w:spacing w:val="-15"/>
          <w:w w:val="105"/>
        </w:rPr>
        <w:t> </w:t>
      </w:r>
      <w:r>
        <w:rPr>
          <w:color w:val="231F20"/>
          <w:w w:val="105"/>
        </w:rPr>
        <w:t>las</w:t>
      </w:r>
      <w:r>
        <w:rPr>
          <w:color w:val="231F20"/>
          <w:spacing w:val="-15"/>
          <w:w w:val="105"/>
        </w:rPr>
        <w:t> </w:t>
      </w:r>
      <w:r>
        <w:rPr>
          <w:color w:val="231F20"/>
          <w:w w:val="105"/>
        </w:rPr>
        <w:t>que</w:t>
      </w:r>
      <w:r>
        <w:rPr>
          <w:color w:val="231F20"/>
          <w:spacing w:val="-15"/>
          <w:w w:val="105"/>
        </w:rPr>
        <w:t> </w:t>
      </w:r>
      <w:r>
        <w:rPr>
          <w:color w:val="231F20"/>
          <w:w w:val="105"/>
        </w:rPr>
        <w:t>pueden</w:t>
      </w:r>
      <w:r>
        <w:rPr>
          <w:color w:val="231F20"/>
          <w:spacing w:val="-15"/>
          <w:w w:val="105"/>
        </w:rPr>
        <w:t> </w:t>
      </w:r>
      <w:r>
        <w:rPr>
          <w:color w:val="231F20"/>
          <w:w w:val="105"/>
        </w:rPr>
        <w:t>ir</w:t>
      </w:r>
      <w:r>
        <w:rPr>
          <w:color w:val="231F20"/>
          <w:spacing w:val="-15"/>
          <w:w w:val="105"/>
        </w:rPr>
        <w:t> </w:t>
      </w:r>
      <w:r>
        <w:rPr>
          <w:color w:val="231F20"/>
          <w:w w:val="105"/>
        </w:rPr>
        <w:t>desde</w:t>
      </w:r>
      <w:r>
        <w:rPr>
          <w:color w:val="231F20"/>
          <w:spacing w:val="-15"/>
          <w:w w:val="105"/>
        </w:rPr>
        <w:t> </w:t>
      </w:r>
      <w:r>
        <w:rPr>
          <w:color w:val="231F20"/>
          <w:w w:val="105"/>
        </w:rPr>
        <w:t>el</w:t>
      </w:r>
      <w:r>
        <w:rPr>
          <w:color w:val="231F20"/>
          <w:spacing w:val="-15"/>
          <w:w w:val="105"/>
        </w:rPr>
        <w:t> </w:t>
      </w:r>
      <w:r>
        <w:rPr>
          <w:color w:val="231F20"/>
          <w:w w:val="105"/>
        </w:rPr>
        <w:t>origen</w:t>
      </w:r>
      <w:r>
        <w:rPr>
          <w:color w:val="231F20"/>
          <w:spacing w:val="-15"/>
          <w:w w:val="105"/>
        </w:rPr>
        <w:t> </w:t>
      </w:r>
      <w:r>
        <w:rPr>
          <w:color w:val="231F20"/>
          <w:w w:val="105"/>
        </w:rPr>
        <w:t>del partido</w:t>
      </w:r>
      <w:r>
        <w:rPr>
          <w:color w:val="231F20"/>
          <w:spacing w:val="-17"/>
          <w:w w:val="105"/>
        </w:rPr>
        <w:t> </w:t>
      </w:r>
      <w:r>
        <w:rPr>
          <w:color w:val="231F20"/>
          <w:w w:val="105"/>
        </w:rPr>
        <w:t>que</w:t>
      </w:r>
      <w:r>
        <w:rPr>
          <w:color w:val="231F20"/>
          <w:spacing w:val="-17"/>
          <w:w w:val="105"/>
        </w:rPr>
        <w:t> </w:t>
      </w:r>
      <w:r>
        <w:rPr>
          <w:color w:val="231F20"/>
          <w:w w:val="105"/>
        </w:rPr>
        <w:t>detenta</w:t>
      </w:r>
      <w:r>
        <w:rPr>
          <w:color w:val="231F20"/>
          <w:spacing w:val="-17"/>
          <w:w w:val="105"/>
        </w:rPr>
        <w:t> </w:t>
      </w:r>
      <w:r>
        <w:rPr>
          <w:color w:val="231F20"/>
          <w:w w:val="105"/>
        </w:rPr>
        <w:t>el</w:t>
      </w:r>
      <w:r>
        <w:rPr>
          <w:color w:val="231F20"/>
          <w:spacing w:val="-17"/>
          <w:w w:val="105"/>
        </w:rPr>
        <w:t> </w:t>
      </w:r>
      <w:r>
        <w:rPr>
          <w:color w:val="231F20"/>
          <w:w w:val="105"/>
        </w:rPr>
        <w:t>poder;</w:t>
      </w:r>
      <w:r>
        <w:rPr>
          <w:color w:val="231F20"/>
          <w:spacing w:val="-17"/>
          <w:w w:val="105"/>
        </w:rPr>
        <w:t> </w:t>
      </w:r>
      <w:r>
        <w:rPr>
          <w:color w:val="231F20"/>
          <w:w w:val="105"/>
        </w:rPr>
        <w:t>el</w:t>
      </w:r>
      <w:r>
        <w:rPr>
          <w:color w:val="231F20"/>
          <w:spacing w:val="-17"/>
          <w:w w:val="105"/>
        </w:rPr>
        <w:t> </w:t>
      </w:r>
      <w:r>
        <w:rPr>
          <w:color w:val="231F20"/>
          <w:w w:val="105"/>
        </w:rPr>
        <w:t>tamaño</w:t>
      </w:r>
      <w:r>
        <w:rPr>
          <w:color w:val="231F20"/>
          <w:spacing w:val="-17"/>
          <w:w w:val="105"/>
        </w:rPr>
        <w:t> </w:t>
      </w:r>
      <w:r>
        <w:rPr>
          <w:color w:val="231F20"/>
          <w:w w:val="105"/>
        </w:rPr>
        <w:t>geográfico,</w:t>
      </w:r>
      <w:r>
        <w:rPr>
          <w:color w:val="231F20"/>
          <w:spacing w:val="-17"/>
          <w:w w:val="105"/>
        </w:rPr>
        <w:t> </w:t>
      </w:r>
      <w:r>
        <w:rPr>
          <w:color w:val="231F20"/>
          <w:w w:val="105"/>
        </w:rPr>
        <w:t>económico</w:t>
      </w:r>
      <w:r>
        <w:rPr>
          <w:color w:val="231F20"/>
          <w:spacing w:val="-17"/>
          <w:w w:val="105"/>
        </w:rPr>
        <w:t> </w:t>
      </w:r>
      <w:r>
        <w:rPr>
          <w:color w:val="231F20"/>
          <w:w w:val="105"/>
        </w:rPr>
        <w:t>y</w:t>
      </w:r>
      <w:r>
        <w:rPr>
          <w:color w:val="231F20"/>
          <w:spacing w:val="-17"/>
          <w:w w:val="105"/>
        </w:rPr>
        <w:t> </w:t>
      </w:r>
      <w:r>
        <w:rPr>
          <w:color w:val="231F20"/>
          <w:w w:val="105"/>
        </w:rPr>
        <w:t>político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localidad en</w:t>
      </w:r>
      <w:r>
        <w:rPr>
          <w:color w:val="231F20"/>
          <w:spacing w:val="-8"/>
          <w:w w:val="105"/>
        </w:rPr>
        <w:t> </w:t>
      </w:r>
      <w:r>
        <w:rPr>
          <w:color w:val="231F20"/>
          <w:w w:val="105"/>
        </w:rPr>
        <w:t>estudio;</w:t>
      </w:r>
      <w:r>
        <w:rPr>
          <w:color w:val="231F20"/>
          <w:spacing w:val="-8"/>
          <w:w w:val="105"/>
        </w:rPr>
        <w:t> </w:t>
      </w:r>
      <w:r>
        <w:rPr>
          <w:color w:val="231F20"/>
          <w:w w:val="105"/>
        </w:rPr>
        <w:t>la</w:t>
      </w:r>
      <w:r>
        <w:rPr>
          <w:color w:val="231F20"/>
          <w:spacing w:val="-8"/>
          <w:w w:val="105"/>
        </w:rPr>
        <w:t> </w:t>
      </w:r>
      <w:r>
        <w:rPr>
          <w:color w:val="231F20"/>
          <w:w w:val="105"/>
        </w:rPr>
        <w:t>conformación</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estructura</w:t>
      </w:r>
      <w:r>
        <w:rPr>
          <w:color w:val="231F20"/>
          <w:spacing w:val="-8"/>
          <w:w w:val="105"/>
        </w:rPr>
        <w:t> </w:t>
      </w:r>
      <w:r>
        <w:rPr>
          <w:color w:val="231F20"/>
          <w:w w:val="105"/>
        </w:rPr>
        <w:t>social;</w:t>
      </w:r>
      <w:r>
        <w:rPr>
          <w:color w:val="231F20"/>
          <w:spacing w:val="-8"/>
          <w:w w:val="105"/>
        </w:rPr>
        <w:t> </w:t>
      </w:r>
      <w:r>
        <w:rPr>
          <w:color w:val="231F20"/>
          <w:w w:val="105"/>
        </w:rPr>
        <w:t>su</w:t>
      </w:r>
      <w:r>
        <w:rPr>
          <w:color w:val="231F20"/>
          <w:spacing w:val="-8"/>
          <w:w w:val="105"/>
        </w:rPr>
        <w:t> </w:t>
      </w:r>
      <w:r>
        <w:rPr>
          <w:color w:val="231F20"/>
          <w:w w:val="105"/>
        </w:rPr>
        <w:t>presupuesto</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gasto</w:t>
      </w:r>
      <w:r>
        <w:rPr>
          <w:color w:val="231F20"/>
          <w:spacing w:val="-8"/>
          <w:w w:val="105"/>
        </w:rPr>
        <w:t> </w:t>
      </w:r>
      <w:r>
        <w:rPr>
          <w:color w:val="231F20"/>
          <w:w w:val="105"/>
        </w:rPr>
        <w:t>públi- co; la integración de cuadros administrativos ad hoc a la realidad contextual; hasta el uso</w:t>
      </w:r>
      <w:r>
        <w:rPr>
          <w:color w:val="231F20"/>
          <w:spacing w:val="-10"/>
          <w:w w:val="105"/>
        </w:rPr>
        <w:t> </w:t>
      </w:r>
      <w:r>
        <w:rPr>
          <w:color w:val="231F20"/>
          <w:w w:val="105"/>
        </w:rPr>
        <w:t>de</w:t>
      </w:r>
      <w:r>
        <w:rPr>
          <w:color w:val="231F20"/>
          <w:spacing w:val="-10"/>
          <w:w w:val="105"/>
        </w:rPr>
        <w:t> </w:t>
      </w:r>
      <w:r>
        <w:rPr>
          <w:color w:val="231F20"/>
          <w:w w:val="105"/>
        </w:rPr>
        <w:t>formas</w:t>
      </w:r>
      <w:r>
        <w:rPr>
          <w:color w:val="231F20"/>
          <w:spacing w:val="-10"/>
          <w:w w:val="105"/>
        </w:rPr>
        <w:t> </w:t>
      </w:r>
      <w:r>
        <w:rPr>
          <w:color w:val="231F20"/>
          <w:w w:val="105"/>
        </w:rPr>
        <w:t>de</w:t>
      </w:r>
      <w:r>
        <w:rPr>
          <w:color w:val="231F20"/>
          <w:spacing w:val="-10"/>
          <w:w w:val="105"/>
        </w:rPr>
        <w:t> </w:t>
      </w:r>
      <w:r>
        <w:rPr>
          <w:color w:val="231F20"/>
          <w:w w:val="105"/>
        </w:rPr>
        <w:t>control</w:t>
      </w:r>
      <w:r>
        <w:rPr>
          <w:color w:val="231F20"/>
          <w:spacing w:val="-10"/>
          <w:w w:val="105"/>
        </w:rPr>
        <w:t> </w:t>
      </w:r>
      <w:r>
        <w:rPr>
          <w:color w:val="231F20"/>
          <w:w w:val="105"/>
        </w:rPr>
        <w:t>ciudadano</w:t>
      </w:r>
      <w:r>
        <w:rPr>
          <w:color w:val="231F20"/>
          <w:spacing w:val="-10"/>
          <w:w w:val="105"/>
        </w:rPr>
        <w:t> </w:t>
      </w:r>
      <w:r>
        <w:rPr>
          <w:color w:val="231F20"/>
          <w:w w:val="105"/>
        </w:rPr>
        <w:t>y</w:t>
      </w:r>
      <w:r>
        <w:rPr>
          <w:color w:val="231F20"/>
          <w:spacing w:val="-10"/>
          <w:w w:val="105"/>
        </w:rPr>
        <w:t> </w:t>
      </w:r>
      <w:r>
        <w:rPr>
          <w:color w:val="231F20"/>
          <w:w w:val="105"/>
        </w:rPr>
        <w:t>político</w:t>
      </w:r>
      <w:r>
        <w:rPr>
          <w:color w:val="231F20"/>
          <w:spacing w:val="-10"/>
          <w:w w:val="105"/>
        </w:rPr>
        <w:t> </w:t>
      </w:r>
      <w:r>
        <w:rPr>
          <w:color w:val="231F20"/>
          <w:w w:val="105"/>
        </w:rPr>
        <w:t>que</w:t>
      </w:r>
      <w:r>
        <w:rPr>
          <w:color w:val="231F20"/>
          <w:spacing w:val="-10"/>
          <w:w w:val="105"/>
        </w:rPr>
        <w:t> </w:t>
      </w:r>
      <w:r>
        <w:rPr>
          <w:color w:val="231F20"/>
          <w:w w:val="105"/>
        </w:rPr>
        <w:t>transitan</w:t>
      </w:r>
      <w:r>
        <w:rPr>
          <w:color w:val="231F20"/>
          <w:spacing w:val="-10"/>
          <w:w w:val="105"/>
        </w:rPr>
        <w:t> </w:t>
      </w:r>
      <w:r>
        <w:rPr>
          <w:color w:val="231F20"/>
          <w:w w:val="105"/>
        </w:rPr>
        <w:t>por</w:t>
      </w:r>
      <w:r>
        <w:rPr>
          <w:color w:val="231F20"/>
          <w:spacing w:val="-10"/>
          <w:w w:val="105"/>
        </w:rPr>
        <w:t> </w:t>
      </w:r>
      <w:r>
        <w:rPr>
          <w:color w:val="231F20"/>
          <w:w w:val="105"/>
        </w:rPr>
        <w:t>ámbitos</w:t>
      </w:r>
      <w:r>
        <w:rPr>
          <w:color w:val="231F20"/>
          <w:spacing w:val="-10"/>
          <w:w w:val="105"/>
        </w:rPr>
        <w:t> </w:t>
      </w:r>
      <w:r>
        <w:rPr>
          <w:color w:val="231F20"/>
          <w:w w:val="105"/>
        </w:rPr>
        <w:t>institucionales y</w:t>
      </w:r>
      <w:r>
        <w:rPr>
          <w:color w:val="231F20"/>
          <w:spacing w:val="-16"/>
          <w:w w:val="105"/>
        </w:rPr>
        <w:t> </w:t>
      </w:r>
      <w:r>
        <w:rPr>
          <w:color w:val="231F20"/>
          <w:w w:val="105"/>
        </w:rPr>
        <w:t>que</w:t>
      </w:r>
      <w:r>
        <w:rPr>
          <w:color w:val="231F20"/>
          <w:spacing w:val="-16"/>
          <w:w w:val="105"/>
        </w:rPr>
        <w:t> </w:t>
      </w:r>
      <w:r>
        <w:rPr>
          <w:color w:val="231F20"/>
          <w:w w:val="105"/>
        </w:rPr>
        <w:t>llegan</w:t>
      </w:r>
      <w:r>
        <w:rPr>
          <w:color w:val="231F20"/>
          <w:spacing w:val="-16"/>
          <w:w w:val="105"/>
        </w:rPr>
        <w:t> </w:t>
      </w:r>
      <w:r>
        <w:rPr>
          <w:color w:val="231F20"/>
          <w:w w:val="105"/>
        </w:rPr>
        <w:t>incluso</w:t>
      </w:r>
      <w:r>
        <w:rPr>
          <w:color w:val="231F20"/>
          <w:spacing w:val="-16"/>
          <w:w w:val="105"/>
        </w:rPr>
        <w:t> </w:t>
      </w:r>
      <w:r>
        <w:rPr>
          <w:color w:val="231F20"/>
          <w:w w:val="105"/>
        </w:rPr>
        <w:t>a</w:t>
      </w:r>
      <w:r>
        <w:rPr>
          <w:color w:val="231F20"/>
          <w:spacing w:val="-16"/>
          <w:w w:val="105"/>
        </w:rPr>
        <w:t> </w:t>
      </w:r>
      <w:r>
        <w:rPr>
          <w:color w:val="231F20"/>
          <w:w w:val="105"/>
        </w:rPr>
        <w:t>anomalías</w:t>
      </w:r>
      <w:r>
        <w:rPr>
          <w:color w:val="231F20"/>
          <w:spacing w:val="-16"/>
          <w:w w:val="105"/>
        </w:rPr>
        <w:t> </w:t>
      </w:r>
      <w:r>
        <w:rPr>
          <w:color w:val="231F20"/>
          <w:w w:val="105"/>
        </w:rPr>
        <w:t>que</w:t>
      </w:r>
      <w:r>
        <w:rPr>
          <w:color w:val="231F20"/>
          <w:spacing w:val="-16"/>
          <w:w w:val="105"/>
        </w:rPr>
        <w:t> </w:t>
      </w:r>
      <w:r>
        <w:rPr>
          <w:color w:val="231F20"/>
          <w:w w:val="105"/>
        </w:rPr>
        <w:t>rayan</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ilegalidad.</w:t>
      </w:r>
    </w:p>
    <w:p>
      <w:pPr>
        <w:pStyle w:val="BodyText"/>
        <w:spacing w:before="1"/>
        <w:rPr>
          <w:sz w:val="26"/>
        </w:rPr>
      </w:pPr>
    </w:p>
    <w:p>
      <w:pPr>
        <w:pStyle w:val="BodyText"/>
        <w:spacing w:line="285" w:lineRule="auto"/>
        <w:ind w:left="110" w:right="107"/>
        <w:jc w:val="both"/>
      </w:pPr>
      <w:r>
        <w:rPr>
          <w:color w:val="231F20"/>
          <w:spacing w:val="3"/>
          <w:w w:val="105"/>
        </w:rPr>
        <w:t>Al </w:t>
      </w:r>
      <w:r>
        <w:rPr>
          <w:color w:val="231F20"/>
          <w:w w:val="105"/>
        </w:rPr>
        <w:t>adentrarnos en la búsqueda de elementos que nos permitieran realizar el esfuerzo por conocer la actuación del gobierno municipal en Chimalhuacán, que involucraba solamente</w:t>
      </w:r>
      <w:r>
        <w:rPr>
          <w:color w:val="231F20"/>
          <w:spacing w:val="-16"/>
          <w:w w:val="105"/>
        </w:rPr>
        <w:t> </w:t>
      </w:r>
      <w:r>
        <w:rPr>
          <w:color w:val="231F20"/>
          <w:w w:val="105"/>
        </w:rPr>
        <w:t>un</w:t>
      </w:r>
      <w:r>
        <w:rPr>
          <w:color w:val="231F20"/>
          <w:spacing w:val="-16"/>
          <w:w w:val="105"/>
        </w:rPr>
        <w:t> </w:t>
      </w:r>
      <w:r>
        <w:rPr>
          <w:color w:val="231F20"/>
          <w:w w:val="105"/>
        </w:rPr>
        <w:t>periodo</w:t>
      </w:r>
      <w:r>
        <w:rPr>
          <w:color w:val="231F20"/>
          <w:spacing w:val="-16"/>
          <w:w w:val="105"/>
        </w:rPr>
        <w:t> </w:t>
      </w:r>
      <w:r>
        <w:rPr>
          <w:color w:val="231F20"/>
          <w:w w:val="105"/>
        </w:rPr>
        <w:t>breve</w:t>
      </w:r>
      <w:r>
        <w:rPr>
          <w:color w:val="231F20"/>
          <w:spacing w:val="-16"/>
          <w:w w:val="105"/>
        </w:rPr>
        <w:t> </w:t>
      </w:r>
      <w:r>
        <w:rPr>
          <w:color w:val="231F20"/>
          <w:w w:val="105"/>
        </w:rPr>
        <w:t>(2006-2009),</w:t>
      </w:r>
      <w:r>
        <w:rPr>
          <w:color w:val="231F20"/>
          <w:spacing w:val="-16"/>
          <w:w w:val="105"/>
        </w:rPr>
        <w:t> </w:t>
      </w:r>
      <w:r>
        <w:rPr>
          <w:color w:val="231F20"/>
          <w:w w:val="105"/>
        </w:rPr>
        <w:t>hallamos</w:t>
      </w:r>
      <w:r>
        <w:rPr>
          <w:color w:val="231F20"/>
          <w:spacing w:val="-16"/>
          <w:w w:val="105"/>
        </w:rPr>
        <w:t> </w:t>
      </w:r>
      <w:r>
        <w:rPr>
          <w:color w:val="231F20"/>
          <w:w w:val="105"/>
        </w:rPr>
        <w:t>una</w:t>
      </w:r>
      <w:r>
        <w:rPr>
          <w:color w:val="231F20"/>
          <w:spacing w:val="-16"/>
          <w:w w:val="105"/>
        </w:rPr>
        <w:t> </w:t>
      </w:r>
      <w:r>
        <w:rPr>
          <w:color w:val="231F20"/>
          <w:w w:val="105"/>
        </w:rPr>
        <w:t>serie</w:t>
      </w:r>
      <w:r>
        <w:rPr>
          <w:color w:val="231F20"/>
          <w:spacing w:val="-16"/>
          <w:w w:val="105"/>
        </w:rPr>
        <w:t> </w:t>
      </w:r>
      <w:r>
        <w:rPr>
          <w:color w:val="231F20"/>
          <w:w w:val="105"/>
        </w:rPr>
        <w:t>de</w:t>
      </w:r>
      <w:r>
        <w:rPr>
          <w:color w:val="231F20"/>
          <w:spacing w:val="-16"/>
          <w:w w:val="105"/>
        </w:rPr>
        <w:t> </w:t>
      </w:r>
      <w:r>
        <w:rPr>
          <w:color w:val="231F20"/>
          <w:w w:val="105"/>
        </w:rPr>
        <w:t>sucesos</w:t>
      </w:r>
      <w:r>
        <w:rPr>
          <w:color w:val="231F20"/>
          <w:spacing w:val="-16"/>
          <w:w w:val="105"/>
        </w:rPr>
        <w:t> </w:t>
      </w:r>
      <w:r>
        <w:rPr>
          <w:color w:val="231F20"/>
          <w:w w:val="105"/>
        </w:rPr>
        <w:t>que</w:t>
      </w:r>
      <w:r>
        <w:rPr>
          <w:color w:val="231F20"/>
          <w:spacing w:val="-16"/>
          <w:w w:val="105"/>
        </w:rPr>
        <w:t> </w:t>
      </w:r>
      <w:r>
        <w:rPr>
          <w:color w:val="231F20"/>
          <w:w w:val="105"/>
        </w:rPr>
        <w:t>plantearon la necesidad describir hechos que por su propia naturaleza nos enfrentan a contextos que parecían</w:t>
      </w:r>
      <w:r>
        <w:rPr>
          <w:color w:val="231F20"/>
          <w:spacing w:val="-5"/>
          <w:w w:val="105"/>
        </w:rPr>
        <w:t> </w:t>
      </w:r>
      <w:r>
        <w:rPr>
          <w:color w:val="231F20"/>
          <w:w w:val="105"/>
        </w:rPr>
        <w:t>extintos.</w:t>
      </w:r>
    </w:p>
    <w:p>
      <w:pPr>
        <w:pStyle w:val="BodyText"/>
        <w:spacing w:before="1"/>
        <w:rPr>
          <w:sz w:val="26"/>
        </w:rPr>
      </w:pPr>
    </w:p>
    <w:p>
      <w:pPr>
        <w:pStyle w:val="BodyText"/>
        <w:ind w:left="110"/>
        <w:jc w:val="both"/>
      </w:pPr>
      <w:r>
        <w:rPr>
          <w:color w:val="231F20"/>
          <w:spacing w:val="-4"/>
          <w:w w:val="105"/>
        </w:rPr>
        <w:t>Tomando</w:t>
      </w:r>
      <w:r>
        <w:rPr>
          <w:color w:val="231F20"/>
          <w:spacing w:val="-16"/>
          <w:w w:val="105"/>
        </w:rPr>
        <w:t> </w:t>
      </w:r>
      <w:r>
        <w:rPr>
          <w:color w:val="231F20"/>
          <w:w w:val="105"/>
        </w:rPr>
        <w:t>en</w:t>
      </w:r>
      <w:r>
        <w:rPr>
          <w:color w:val="231F20"/>
          <w:spacing w:val="-16"/>
          <w:w w:val="105"/>
        </w:rPr>
        <w:t> </w:t>
      </w:r>
      <w:r>
        <w:rPr>
          <w:color w:val="231F20"/>
          <w:w w:val="105"/>
        </w:rPr>
        <w:t>cuenta</w:t>
      </w:r>
      <w:r>
        <w:rPr>
          <w:color w:val="231F20"/>
          <w:spacing w:val="-16"/>
          <w:w w:val="105"/>
        </w:rPr>
        <w:t> </w:t>
      </w:r>
      <w:r>
        <w:rPr>
          <w:color w:val="231F20"/>
          <w:w w:val="105"/>
        </w:rPr>
        <w:t>los</w:t>
      </w:r>
      <w:r>
        <w:rPr>
          <w:color w:val="231F20"/>
          <w:spacing w:val="-16"/>
          <w:w w:val="105"/>
        </w:rPr>
        <w:t> </w:t>
      </w:r>
      <w:r>
        <w:rPr>
          <w:color w:val="231F20"/>
          <w:w w:val="105"/>
        </w:rPr>
        <w:t>aspectos</w:t>
      </w:r>
      <w:r>
        <w:rPr>
          <w:color w:val="231F20"/>
          <w:spacing w:val="-16"/>
          <w:w w:val="105"/>
        </w:rPr>
        <w:t> </w:t>
      </w:r>
      <w:r>
        <w:rPr>
          <w:color w:val="231F20"/>
          <w:w w:val="105"/>
        </w:rPr>
        <w:t>subjetivos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dominación</w:t>
      </w:r>
      <w:r>
        <w:rPr>
          <w:color w:val="231F20"/>
          <w:spacing w:val="-16"/>
          <w:w w:val="105"/>
        </w:rPr>
        <w:t> </w:t>
      </w:r>
      <w:r>
        <w:rPr>
          <w:color w:val="231F20"/>
          <w:w w:val="105"/>
        </w:rPr>
        <w:t>que</w:t>
      </w:r>
      <w:r>
        <w:rPr>
          <w:color w:val="231F20"/>
          <w:spacing w:val="-16"/>
          <w:w w:val="105"/>
        </w:rPr>
        <w:t> </w:t>
      </w:r>
      <w:r>
        <w:rPr>
          <w:color w:val="231F20"/>
          <w:w w:val="105"/>
        </w:rPr>
        <w:t>contempla</w:t>
      </w:r>
      <w:r>
        <w:rPr>
          <w:color w:val="231F20"/>
          <w:spacing w:val="-16"/>
          <w:w w:val="105"/>
        </w:rPr>
        <w:t> </w:t>
      </w:r>
      <w:r>
        <w:rPr>
          <w:color w:val="231F20"/>
          <w:w w:val="105"/>
        </w:rPr>
        <w:t>el</w:t>
      </w:r>
      <w:r>
        <w:rPr>
          <w:color w:val="231F20"/>
          <w:spacing w:val="-16"/>
          <w:w w:val="105"/>
        </w:rPr>
        <w:t> </w:t>
      </w:r>
      <w:r>
        <w:rPr>
          <w:color w:val="231F20"/>
          <w:w w:val="105"/>
        </w:rPr>
        <w:t>ejercicio</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del gobierno municipal, el estudio por su </w:t>
      </w:r>
      <w:r>
        <w:rPr>
          <w:color w:val="231F20"/>
          <w:spacing w:val="-3"/>
          <w:w w:val="105"/>
        </w:rPr>
        <w:t>evolución </w:t>
      </w:r>
      <w:r>
        <w:rPr>
          <w:color w:val="231F20"/>
          <w:w w:val="105"/>
        </w:rPr>
        <w:t>cambia a longitudinal, tratando de explicar</w:t>
      </w:r>
      <w:r>
        <w:rPr>
          <w:color w:val="231F20"/>
          <w:spacing w:val="-6"/>
          <w:w w:val="105"/>
        </w:rPr>
        <w:t> </w:t>
      </w:r>
      <w:r>
        <w:rPr>
          <w:color w:val="231F20"/>
          <w:w w:val="105"/>
        </w:rPr>
        <w:t>la</w:t>
      </w:r>
      <w:r>
        <w:rPr>
          <w:color w:val="231F20"/>
          <w:spacing w:val="-6"/>
          <w:w w:val="105"/>
        </w:rPr>
        <w:t> </w:t>
      </w:r>
      <w:r>
        <w:rPr>
          <w:color w:val="231F20"/>
          <w:w w:val="105"/>
        </w:rPr>
        <w:t>existencia</w:t>
      </w:r>
      <w:r>
        <w:rPr>
          <w:color w:val="231F20"/>
          <w:spacing w:val="-6"/>
          <w:w w:val="105"/>
        </w:rPr>
        <w:t> </w:t>
      </w:r>
      <w:r>
        <w:rPr>
          <w:color w:val="231F20"/>
          <w:w w:val="105"/>
        </w:rPr>
        <w:t>de</w:t>
      </w:r>
      <w:r>
        <w:rPr>
          <w:color w:val="231F20"/>
          <w:spacing w:val="-6"/>
          <w:w w:val="105"/>
        </w:rPr>
        <w:t> </w:t>
      </w:r>
      <w:r>
        <w:rPr>
          <w:color w:val="231F20"/>
          <w:w w:val="105"/>
        </w:rPr>
        <w:t>cacicazgo</w:t>
      </w:r>
      <w:r>
        <w:rPr>
          <w:color w:val="231F20"/>
          <w:spacing w:val="-6"/>
          <w:w w:val="105"/>
        </w:rPr>
        <w:t> </w:t>
      </w:r>
      <w:r>
        <w:rPr>
          <w:color w:val="231F20"/>
          <w:w w:val="105"/>
        </w:rPr>
        <w:t>político</w:t>
      </w:r>
      <w:r>
        <w:rPr>
          <w:color w:val="231F20"/>
          <w:spacing w:val="-6"/>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municipio</w:t>
      </w:r>
      <w:r>
        <w:rPr>
          <w:color w:val="231F20"/>
          <w:spacing w:val="-6"/>
          <w:w w:val="105"/>
        </w:rPr>
        <w:t> </w:t>
      </w:r>
      <w:r>
        <w:rPr>
          <w:color w:val="231F20"/>
          <w:w w:val="105"/>
        </w:rPr>
        <w:t>a</w:t>
      </w:r>
      <w:r>
        <w:rPr>
          <w:color w:val="231F20"/>
          <w:spacing w:val="-6"/>
          <w:w w:val="105"/>
        </w:rPr>
        <w:t> </w:t>
      </w:r>
      <w:r>
        <w:rPr>
          <w:color w:val="231F20"/>
          <w:w w:val="105"/>
        </w:rPr>
        <w:t>través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especifica- ción</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características</w:t>
      </w:r>
      <w:r>
        <w:rPr>
          <w:color w:val="231F20"/>
          <w:spacing w:val="-5"/>
          <w:w w:val="105"/>
        </w:rPr>
        <w:t> </w:t>
      </w:r>
      <w:r>
        <w:rPr>
          <w:color w:val="231F20"/>
          <w:w w:val="105"/>
        </w:rPr>
        <w:t>importantes</w:t>
      </w:r>
      <w:r>
        <w:rPr>
          <w:color w:val="231F20"/>
          <w:spacing w:val="-5"/>
          <w:w w:val="105"/>
        </w:rPr>
        <w:t> </w:t>
      </w:r>
      <w:r>
        <w:rPr>
          <w:color w:val="231F20"/>
          <w:w w:val="105"/>
        </w:rPr>
        <w:t>del</w:t>
      </w:r>
      <w:r>
        <w:rPr>
          <w:color w:val="231F20"/>
          <w:spacing w:val="-5"/>
          <w:w w:val="105"/>
        </w:rPr>
        <w:t> </w:t>
      </w:r>
      <w:r>
        <w:rPr>
          <w:color w:val="231F20"/>
          <w:w w:val="105"/>
        </w:rPr>
        <w:t>grupo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poder</w:t>
      </w:r>
      <w:r>
        <w:rPr>
          <w:color w:val="231F20"/>
          <w:spacing w:val="-5"/>
          <w:w w:val="105"/>
        </w:rPr>
        <w:t> </w:t>
      </w:r>
      <w:r>
        <w:rPr>
          <w:color w:val="231F20"/>
          <w:w w:val="105"/>
        </w:rPr>
        <w:t>municipal,</w:t>
      </w:r>
      <w:r>
        <w:rPr>
          <w:color w:val="231F20"/>
          <w:spacing w:val="-5"/>
          <w:w w:val="105"/>
        </w:rPr>
        <w:t> </w:t>
      </w:r>
      <w:r>
        <w:rPr>
          <w:color w:val="231F20"/>
          <w:w w:val="105"/>
        </w:rPr>
        <w:t>ejercido</w:t>
      </w:r>
      <w:r>
        <w:rPr>
          <w:color w:val="231F20"/>
          <w:spacing w:val="-5"/>
          <w:w w:val="105"/>
        </w:rPr>
        <w:t> </w:t>
      </w:r>
      <w:r>
        <w:rPr>
          <w:color w:val="231F20"/>
          <w:w w:val="105"/>
        </w:rPr>
        <w:t>desde la</w:t>
      </w:r>
      <w:r>
        <w:rPr>
          <w:color w:val="231F20"/>
          <w:spacing w:val="-12"/>
          <w:w w:val="105"/>
        </w:rPr>
        <w:t> </w:t>
      </w:r>
      <w:r>
        <w:rPr>
          <w:color w:val="231F20"/>
          <w:w w:val="105"/>
        </w:rPr>
        <w:t>existencia</w:t>
      </w:r>
      <w:r>
        <w:rPr>
          <w:color w:val="231F20"/>
          <w:spacing w:val="-12"/>
          <w:w w:val="105"/>
        </w:rPr>
        <w:t> </w:t>
      </w:r>
      <w:r>
        <w:rPr>
          <w:color w:val="231F20"/>
          <w:w w:val="105"/>
        </w:rPr>
        <w:t>del</w:t>
      </w:r>
      <w:r>
        <w:rPr>
          <w:color w:val="231F20"/>
          <w:spacing w:val="-12"/>
          <w:w w:val="105"/>
        </w:rPr>
        <w:t> </w:t>
      </w:r>
      <w:r>
        <w:rPr>
          <w:color w:val="231F20"/>
          <w:w w:val="105"/>
        </w:rPr>
        <w:t>Partido</w:t>
      </w:r>
      <w:r>
        <w:rPr>
          <w:color w:val="231F20"/>
          <w:spacing w:val="-12"/>
          <w:w w:val="105"/>
        </w:rPr>
        <w:t> </w:t>
      </w:r>
      <w:r>
        <w:rPr>
          <w:color w:val="231F20"/>
          <w:w w:val="105"/>
        </w:rPr>
        <w:t>Revolucionario</w:t>
      </w:r>
      <w:r>
        <w:rPr>
          <w:color w:val="231F20"/>
          <w:spacing w:val="-12"/>
          <w:w w:val="105"/>
        </w:rPr>
        <w:t> </w:t>
      </w:r>
      <w:r>
        <w:rPr>
          <w:color w:val="231F20"/>
          <w:w w:val="105"/>
        </w:rPr>
        <w:t>Institucional</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primera</w:t>
      </w:r>
      <w:r>
        <w:rPr>
          <w:color w:val="231F20"/>
          <w:spacing w:val="-12"/>
          <w:w w:val="105"/>
        </w:rPr>
        <w:t> </w:t>
      </w:r>
      <w:r>
        <w:rPr>
          <w:color w:val="231F20"/>
          <w:w w:val="105"/>
        </w:rPr>
        <w:t>instancia</w:t>
      </w:r>
      <w:r>
        <w:rPr>
          <w:color w:val="231F20"/>
          <w:spacing w:val="-12"/>
          <w:w w:val="105"/>
        </w:rPr>
        <w:t> </w:t>
      </w:r>
      <w:r>
        <w:rPr>
          <w:color w:val="231F20"/>
          <w:w w:val="105"/>
        </w:rPr>
        <w:t>por</w:t>
      </w:r>
      <w:r>
        <w:rPr>
          <w:color w:val="231F20"/>
          <w:spacing w:val="-12"/>
          <w:w w:val="105"/>
        </w:rPr>
        <w:t> </w:t>
      </w:r>
      <w:r>
        <w:rPr>
          <w:color w:val="231F20"/>
          <w:w w:val="105"/>
        </w:rPr>
        <w:t>“los sepultureros”, enseguida por la Organización de Pueblos y Colonias (léase Guadalupe Buendía,</w:t>
      </w:r>
      <w:r>
        <w:rPr>
          <w:color w:val="231F20"/>
          <w:spacing w:val="-21"/>
          <w:w w:val="105"/>
        </w:rPr>
        <w:t> </w:t>
      </w:r>
      <w:r>
        <w:rPr>
          <w:color w:val="231F20"/>
          <w:spacing w:val="2"/>
          <w:w w:val="105"/>
        </w:rPr>
        <w:t>alias</w:t>
      </w:r>
      <w:r>
        <w:rPr>
          <w:color w:val="231F20"/>
          <w:spacing w:val="-21"/>
          <w:w w:val="105"/>
        </w:rPr>
        <w:t> </w:t>
      </w:r>
      <w:r>
        <w:rPr>
          <w:color w:val="231F20"/>
          <w:w w:val="105"/>
        </w:rPr>
        <w:t>“La</w:t>
      </w:r>
      <w:r>
        <w:rPr>
          <w:color w:val="231F20"/>
          <w:spacing w:val="-21"/>
          <w:w w:val="105"/>
        </w:rPr>
        <w:t> </w:t>
      </w:r>
      <w:r>
        <w:rPr>
          <w:color w:val="231F20"/>
          <w:w w:val="105"/>
        </w:rPr>
        <w:t>Loba”)</w:t>
      </w:r>
      <w:r>
        <w:rPr>
          <w:color w:val="231F20"/>
          <w:spacing w:val="-21"/>
          <w:w w:val="105"/>
        </w:rPr>
        <w:t> </w:t>
      </w:r>
      <w:r>
        <w:rPr>
          <w:color w:val="231F20"/>
          <w:w w:val="105"/>
        </w:rPr>
        <w:t>y</w:t>
      </w:r>
      <w:r>
        <w:rPr>
          <w:color w:val="231F20"/>
          <w:spacing w:val="-21"/>
          <w:w w:val="105"/>
        </w:rPr>
        <w:t> </w:t>
      </w:r>
      <w:r>
        <w:rPr>
          <w:color w:val="231F20"/>
          <w:w w:val="105"/>
        </w:rPr>
        <w:t>por</w:t>
      </w:r>
      <w:r>
        <w:rPr>
          <w:color w:val="231F20"/>
          <w:spacing w:val="-21"/>
          <w:w w:val="105"/>
        </w:rPr>
        <w:t> </w:t>
      </w:r>
      <w:r>
        <w:rPr>
          <w:color w:val="231F20"/>
          <w:w w:val="105"/>
        </w:rPr>
        <w:t>último</w:t>
      </w:r>
      <w:r>
        <w:rPr>
          <w:color w:val="231F20"/>
          <w:spacing w:val="-21"/>
          <w:w w:val="105"/>
        </w:rPr>
        <w:t> </w:t>
      </w:r>
      <w:r>
        <w:rPr>
          <w:color w:val="231F20"/>
          <w:w w:val="105"/>
        </w:rPr>
        <w:t>el</w:t>
      </w:r>
      <w:r>
        <w:rPr>
          <w:color w:val="231F20"/>
          <w:spacing w:val="-21"/>
          <w:w w:val="105"/>
        </w:rPr>
        <w:t> </w:t>
      </w:r>
      <w:r>
        <w:rPr>
          <w:color w:val="231F20"/>
          <w:w w:val="105"/>
        </w:rPr>
        <w:t>denominado</w:t>
      </w:r>
      <w:r>
        <w:rPr>
          <w:color w:val="231F20"/>
          <w:spacing w:val="-21"/>
          <w:w w:val="105"/>
        </w:rPr>
        <w:t> </w:t>
      </w:r>
      <w:r>
        <w:rPr>
          <w:color w:val="231F20"/>
          <w:w w:val="105"/>
        </w:rPr>
        <w:t>grupo</w:t>
      </w:r>
      <w:r>
        <w:rPr>
          <w:color w:val="231F20"/>
          <w:spacing w:val="-21"/>
          <w:w w:val="105"/>
        </w:rPr>
        <w:t> </w:t>
      </w:r>
      <w:r>
        <w:rPr>
          <w:color w:val="231F20"/>
          <w:w w:val="105"/>
        </w:rPr>
        <w:t>social</w:t>
      </w:r>
      <w:r>
        <w:rPr>
          <w:color w:val="231F20"/>
          <w:spacing w:val="-21"/>
          <w:w w:val="105"/>
        </w:rPr>
        <w:t> </w:t>
      </w:r>
      <w:r>
        <w:rPr>
          <w:color w:val="231F20"/>
          <w:w w:val="105"/>
        </w:rPr>
        <w:t>Antorcha</w:t>
      </w:r>
      <w:r>
        <w:rPr>
          <w:color w:val="231F20"/>
          <w:spacing w:val="-21"/>
          <w:w w:val="105"/>
        </w:rPr>
        <w:t> </w:t>
      </w:r>
      <w:r>
        <w:rPr>
          <w:color w:val="231F20"/>
          <w:w w:val="105"/>
        </w:rPr>
        <w:t>Popular.</w:t>
      </w:r>
    </w:p>
    <w:p>
      <w:pPr>
        <w:pStyle w:val="BodyText"/>
        <w:spacing w:before="1"/>
        <w:rPr>
          <w:sz w:val="26"/>
        </w:rPr>
      </w:pPr>
    </w:p>
    <w:p>
      <w:pPr>
        <w:pStyle w:val="BodyText"/>
        <w:spacing w:line="285" w:lineRule="auto"/>
        <w:ind w:left="110" w:right="108"/>
        <w:jc w:val="both"/>
      </w:pPr>
      <w:r>
        <w:rPr>
          <w:color w:val="231F20"/>
          <w:w w:val="105"/>
        </w:rPr>
        <w:t>Esta</w:t>
      </w:r>
      <w:r>
        <w:rPr>
          <w:color w:val="231F20"/>
          <w:spacing w:val="-11"/>
          <w:w w:val="105"/>
        </w:rPr>
        <w:t> </w:t>
      </w:r>
      <w:r>
        <w:rPr>
          <w:color w:val="231F20"/>
          <w:w w:val="105"/>
        </w:rPr>
        <w:t>primera</w:t>
      </w:r>
      <w:r>
        <w:rPr>
          <w:color w:val="231F20"/>
          <w:spacing w:val="-11"/>
          <w:w w:val="105"/>
        </w:rPr>
        <w:t> </w:t>
      </w:r>
      <w:r>
        <w:rPr>
          <w:color w:val="231F20"/>
          <w:w w:val="105"/>
        </w:rPr>
        <w:t>aproximación</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existencia</w:t>
      </w:r>
      <w:r>
        <w:rPr>
          <w:color w:val="231F20"/>
          <w:spacing w:val="-11"/>
          <w:w w:val="105"/>
        </w:rPr>
        <w:t> </w:t>
      </w:r>
      <w:r>
        <w:rPr>
          <w:color w:val="231F20"/>
          <w:w w:val="105"/>
        </w:rPr>
        <w:t>de</w:t>
      </w:r>
      <w:r>
        <w:rPr>
          <w:color w:val="231F20"/>
          <w:spacing w:val="-11"/>
          <w:w w:val="105"/>
        </w:rPr>
        <w:t> </w:t>
      </w:r>
      <w:r>
        <w:rPr>
          <w:color w:val="231F20"/>
          <w:w w:val="105"/>
        </w:rPr>
        <w:t>cacicazgos</w:t>
      </w:r>
      <w:r>
        <w:rPr>
          <w:color w:val="231F20"/>
          <w:spacing w:val="-11"/>
          <w:w w:val="105"/>
        </w:rPr>
        <w:t> </w:t>
      </w:r>
      <w:r>
        <w:rPr>
          <w:color w:val="231F20"/>
          <w:w w:val="105"/>
        </w:rPr>
        <w:t>nos</w:t>
      </w:r>
      <w:r>
        <w:rPr>
          <w:color w:val="231F20"/>
          <w:spacing w:val="-11"/>
          <w:w w:val="105"/>
        </w:rPr>
        <w:t> </w:t>
      </w:r>
      <w:r>
        <w:rPr>
          <w:color w:val="231F20"/>
          <w:w w:val="105"/>
        </w:rPr>
        <w:t>deja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spacing w:val="2"/>
          <w:w w:val="105"/>
        </w:rPr>
        <w:t>vista</w:t>
      </w:r>
      <w:r>
        <w:rPr>
          <w:color w:val="231F20"/>
          <w:spacing w:val="-11"/>
          <w:w w:val="105"/>
        </w:rPr>
        <w:t> </w:t>
      </w:r>
      <w:r>
        <w:rPr>
          <w:color w:val="231F20"/>
          <w:w w:val="105"/>
        </w:rPr>
        <w:t>un</w:t>
      </w:r>
      <w:r>
        <w:rPr>
          <w:color w:val="231F20"/>
          <w:spacing w:val="-11"/>
          <w:w w:val="105"/>
        </w:rPr>
        <w:t> </w:t>
      </w:r>
      <w:r>
        <w:rPr>
          <w:color w:val="231F20"/>
          <w:w w:val="105"/>
        </w:rPr>
        <w:t>esquema que</w:t>
      </w:r>
      <w:r>
        <w:rPr>
          <w:color w:val="231F20"/>
          <w:spacing w:val="-9"/>
          <w:w w:val="105"/>
        </w:rPr>
        <w:t> </w:t>
      </w:r>
      <w:r>
        <w:rPr>
          <w:color w:val="231F20"/>
          <w:w w:val="105"/>
        </w:rPr>
        <w:t>rebasa</w:t>
      </w:r>
      <w:r>
        <w:rPr>
          <w:color w:val="231F20"/>
          <w:spacing w:val="-9"/>
          <w:w w:val="105"/>
        </w:rPr>
        <w:t> </w:t>
      </w:r>
      <w:r>
        <w:rPr>
          <w:color w:val="231F20"/>
          <w:w w:val="105"/>
        </w:rPr>
        <w:t>las</w:t>
      </w:r>
      <w:r>
        <w:rPr>
          <w:color w:val="231F20"/>
          <w:spacing w:val="-9"/>
          <w:w w:val="105"/>
        </w:rPr>
        <w:t> </w:t>
      </w:r>
      <w:r>
        <w:rPr>
          <w:color w:val="231F20"/>
          <w:w w:val="105"/>
        </w:rPr>
        <w:t>instituciones</w:t>
      </w:r>
      <w:r>
        <w:rPr>
          <w:color w:val="231F20"/>
          <w:spacing w:val="-9"/>
          <w:w w:val="105"/>
        </w:rPr>
        <w:t> </w:t>
      </w:r>
      <w:r>
        <w:rPr>
          <w:color w:val="231F20"/>
          <w:w w:val="105"/>
        </w:rPr>
        <w:t>formales,</w:t>
      </w:r>
      <w:r>
        <w:rPr>
          <w:color w:val="231F20"/>
          <w:spacing w:val="-9"/>
          <w:w w:val="105"/>
        </w:rPr>
        <w:t> </w:t>
      </w:r>
      <w:r>
        <w:rPr>
          <w:color w:val="231F20"/>
          <w:w w:val="105"/>
        </w:rPr>
        <w:t>descubriendo</w:t>
      </w:r>
      <w:r>
        <w:rPr>
          <w:color w:val="231F20"/>
          <w:spacing w:val="-9"/>
          <w:w w:val="105"/>
        </w:rPr>
        <w:t> </w:t>
      </w:r>
      <w:r>
        <w:rPr>
          <w:color w:val="231F20"/>
          <w:spacing w:val="2"/>
          <w:w w:val="105"/>
        </w:rPr>
        <w:t>al</w:t>
      </w:r>
      <w:r>
        <w:rPr>
          <w:color w:val="231F20"/>
          <w:spacing w:val="-9"/>
          <w:w w:val="105"/>
        </w:rPr>
        <w:t> </w:t>
      </w:r>
      <w:r>
        <w:rPr>
          <w:color w:val="231F20"/>
          <w:w w:val="105"/>
        </w:rPr>
        <w:t>mismo</w:t>
      </w:r>
      <w:r>
        <w:rPr>
          <w:color w:val="231F20"/>
          <w:spacing w:val="-9"/>
          <w:w w:val="105"/>
        </w:rPr>
        <w:t> </w:t>
      </w:r>
      <w:r>
        <w:rPr>
          <w:color w:val="231F20"/>
          <w:w w:val="105"/>
        </w:rPr>
        <w:t>tiempo</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reglas</w:t>
      </w:r>
      <w:r>
        <w:rPr>
          <w:color w:val="231F20"/>
          <w:spacing w:val="-9"/>
          <w:w w:val="105"/>
        </w:rPr>
        <w:t> </w:t>
      </w:r>
      <w:r>
        <w:rPr>
          <w:color w:val="231F20"/>
          <w:w w:val="105"/>
        </w:rPr>
        <w:t>del juego</w:t>
      </w:r>
      <w:r>
        <w:rPr>
          <w:color w:val="231F20"/>
          <w:spacing w:val="-6"/>
          <w:w w:val="105"/>
        </w:rPr>
        <w:t> </w:t>
      </w:r>
      <w:r>
        <w:rPr>
          <w:color w:val="231F20"/>
          <w:w w:val="105"/>
        </w:rPr>
        <w:t>político</w:t>
      </w:r>
      <w:r>
        <w:rPr>
          <w:color w:val="231F20"/>
          <w:spacing w:val="-6"/>
          <w:w w:val="105"/>
        </w:rPr>
        <w:t> </w:t>
      </w:r>
      <w:r>
        <w:rPr>
          <w:color w:val="231F20"/>
          <w:w w:val="105"/>
        </w:rPr>
        <w:t>en</w:t>
      </w:r>
      <w:r>
        <w:rPr>
          <w:color w:val="231F20"/>
          <w:spacing w:val="-6"/>
          <w:w w:val="105"/>
        </w:rPr>
        <w:t> </w:t>
      </w:r>
      <w:r>
        <w:rPr>
          <w:color w:val="231F20"/>
          <w:w w:val="105"/>
        </w:rPr>
        <w:t>Chimalhuacán</w:t>
      </w:r>
      <w:r>
        <w:rPr>
          <w:color w:val="231F20"/>
          <w:spacing w:val="-6"/>
          <w:w w:val="105"/>
        </w:rPr>
        <w:t> </w:t>
      </w:r>
      <w:r>
        <w:rPr>
          <w:color w:val="231F20"/>
          <w:w w:val="105"/>
        </w:rPr>
        <w:t>producen</w:t>
      </w:r>
      <w:r>
        <w:rPr>
          <w:color w:val="231F20"/>
          <w:spacing w:val="-6"/>
          <w:w w:val="105"/>
        </w:rPr>
        <w:t> </w:t>
      </w:r>
      <w:r>
        <w:rPr>
          <w:color w:val="231F20"/>
          <w:w w:val="105"/>
        </w:rPr>
        <w:t>el</w:t>
      </w:r>
      <w:r>
        <w:rPr>
          <w:color w:val="231F20"/>
          <w:spacing w:val="-6"/>
          <w:w w:val="105"/>
        </w:rPr>
        <w:t> </w:t>
      </w:r>
      <w:r>
        <w:rPr>
          <w:color w:val="231F20"/>
          <w:w w:val="105"/>
        </w:rPr>
        <w:t>institucionalismo</w:t>
      </w:r>
      <w:r>
        <w:rPr>
          <w:color w:val="231F20"/>
          <w:spacing w:val="-6"/>
          <w:w w:val="105"/>
        </w:rPr>
        <w:t> </w:t>
      </w:r>
      <w:r>
        <w:rPr>
          <w:color w:val="231F20"/>
          <w:w w:val="105"/>
        </w:rPr>
        <w:t>informal</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por</w:t>
      </w:r>
      <w:r>
        <w:rPr>
          <w:color w:val="231F20"/>
          <w:spacing w:val="-6"/>
          <w:w w:val="105"/>
        </w:rPr>
        <w:t> </w:t>
      </w:r>
      <w:r>
        <w:rPr>
          <w:color w:val="231F20"/>
          <w:w w:val="105"/>
        </w:rPr>
        <w:t>sa- bido</w:t>
      </w:r>
      <w:r>
        <w:rPr>
          <w:color w:val="231F20"/>
          <w:spacing w:val="-9"/>
          <w:w w:val="105"/>
        </w:rPr>
        <w:t> </w:t>
      </w:r>
      <w:r>
        <w:rPr>
          <w:color w:val="231F20"/>
          <w:w w:val="105"/>
        </w:rPr>
        <w:t>debe</w:t>
      </w:r>
      <w:r>
        <w:rPr>
          <w:color w:val="231F20"/>
          <w:spacing w:val="-9"/>
          <w:w w:val="105"/>
        </w:rPr>
        <w:t> </w:t>
      </w:r>
      <w:r>
        <w:rPr>
          <w:color w:val="231F20"/>
          <w:w w:val="105"/>
        </w:rPr>
        <w:t>callarse</w:t>
      </w:r>
      <w:r>
        <w:rPr>
          <w:color w:val="231F20"/>
          <w:spacing w:val="-9"/>
          <w:w w:val="105"/>
        </w:rPr>
        <w:t> </w:t>
      </w:r>
      <w:r>
        <w:rPr>
          <w:color w:val="231F20"/>
          <w:spacing w:val="-7"/>
          <w:w w:val="105"/>
        </w:rPr>
        <w:t>y,</w:t>
      </w:r>
      <w:r>
        <w:rPr>
          <w:color w:val="231F20"/>
          <w:spacing w:val="-9"/>
          <w:w w:val="105"/>
        </w:rPr>
        <w:t> </w:t>
      </w:r>
      <w:r>
        <w:rPr>
          <w:color w:val="231F20"/>
          <w:w w:val="105"/>
        </w:rPr>
        <w:t>sin</w:t>
      </w:r>
      <w:r>
        <w:rPr>
          <w:color w:val="231F20"/>
          <w:spacing w:val="-9"/>
          <w:w w:val="105"/>
        </w:rPr>
        <w:t> </w:t>
      </w:r>
      <w:r>
        <w:rPr>
          <w:color w:val="231F20"/>
          <w:w w:val="105"/>
        </w:rPr>
        <w:t>embargo,</w:t>
      </w:r>
      <w:r>
        <w:rPr>
          <w:color w:val="231F20"/>
          <w:spacing w:val="-9"/>
          <w:w w:val="105"/>
        </w:rPr>
        <w:t> </w:t>
      </w:r>
      <w:r>
        <w:rPr>
          <w:color w:val="231F20"/>
          <w:w w:val="105"/>
        </w:rPr>
        <w:t>es</w:t>
      </w:r>
      <w:r>
        <w:rPr>
          <w:color w:val="231F20"/>
          <w:spacing w:val="-9"/>
          <w:w w:val="105"/>
        </w:rPr>
        <w:t> </w:t>
      </w:r>
      <w:r>
        <w:rPr>
          <w:color w:val="231F20"/>
          <w:w w:val="105"/>
        </w:rPr>
        <w:t>tolerado</w:t>
      </w:r>
      <w:r>
        <w:rPr>
          <w:color w:val="231F20"/>
          <w:spacing w:val="-9"/>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algunos</w:t>
      </w:r>
      <w:r>
        <w:rPr>
          <w:color w:val="231F20"/>
          <w:spacing w:val="-9"/>
          <w:w w:val="105"/>
        </w:rPr>
        <w:t> </w:t>
      </w:r>
      <w:r>
        <w:rPr>
          <w:color w:val="231F20"/>
          <w:w w:val="105"/>
        </w:rPr>
        <w:t>casos</w:t>
      </w:r>
      <w:r>
        <w:rPr>
          <w:color w:val="231F20"/>
          <w:spacing w:val="-9"/>
          <w:w w:val="105"/>
        </w:rPr>
        <w:t> </w:t>
      </w:r>
      <w:r>
        <w:rPr>
          <w:color w:val="231F20"/>
          <w:w w:val="105"/>
        </w:rPr>
        <w:t>alentado</w:t>
      </w:r>
      <w:r>
        <w:rPr>
          <w:color w:val="231F20"/>
          <w:spacing w:val="-9"/>
          <w:w w:val="105"/>
        </w:rPr>
        <w:t> </w:t>
      </w:r>
      <w:r>
        <w:rPr>
          <w:color w:val="231F20"/>
          <w:w w:val="105"/>
        </w:rPr>
        <w:t>por</w:t>
      </w:r>
      <w:r>
        <w:rPr>
          <w:color w:val="231F20"/>
          <w:spacing w:val="-9"/>
          <w:w w:val="105"/>
        </w:rPr>
        <w:t> </w:t>
      </w:r>
      <w:r>
        <w:rPr>
          <w:color w:val="231F20"/>
          <w:w w:val="105"/>
        </w:rPr>
        <w:t>las</w:t>
      </w:r>
      <w:r>
        <w:rPr>
          <w:color w:val="231F20"/>
          <w:spacing w:val="-9"/>
          <w:w w:val="105"/>
        </w:rPr>
        <w:t> </w:t>
      </w:r>
      <w:r>
        <w:rPr>
          <w:color w:val="231F20"/>
          <w:w w:val="105"/>
        </w:rPr>
        <w:t>insti- tuciones jurídicamente</w:t>
      </w:r>
      <w:r>
        <w:rPr>
          <w:color w:val="231F20"/>
          <w:spacing w:val="-32"/>
          <w:w w:val="105"/>
        </w:rPr>
        <w:t> </w:t>
      </w:r>
      <w:r>
        <w:rPr>
          <w:color w:val="231F20"/>
          <w:w w:val="105"/>
        </w:rPr>
        <w:t>reconocidas.</w:t>
      </w:r>
    </w:p>
    <w:p>
      <w:pPr>
        <w:pStyle w:val="BodyText"/>
        <w:spacing w:before="1"/>
        <w:rPr>
          <w:sz w:val="26"/>
        </w:rPr>
      </w:pPr>
    </w:p>
    <w:p>
      <w:pPr>
        <w:pStyle w:val="BodyText"/>
        <w:spacing w:line="285" w:lineRule="auto"/>
        <w:ind w:left="110" w:right="107"/>
        <w:jc w:val="both"/>
      </w:pPr>
      <w:r>
        <w:rPr>
          <w:color w:val="231F20"/>
        </w:rPr>
        <w:t>El gobierno entonces se ejerce en función del control social y político que alienta el ca- cicazgo, dejando espacios reducidos a las demás expresiones sociales, tanto dentro del Revolucionario Institucional como en su relación partidaria con los demás institutos integradores de la representación nacional, haciendo nugatorio el derecho a la libertad política electoral de los ciudadanos en este   municipio.</w:t>
      </w:r>
    </w:p>
    <w:p>
      <w:pPr>
        <w:pStyle w:val="BodyText"/>
        <w:spacing w:before="2"/>
        <w:rPr>
          <w:sz w:val="20"/>
        </w:rPr>
      </w:pPr>
    </w:p>
    <w:p>
      <w:pPr>
        <w:pStyle w:val="Heading4"/>
        <w:rPr>
          <w:i/>
        </w:rPr>
      </w:pPr>
      <w:r>
        <w:rPr>
          <w:i/>
          <w:color w:val="231F20"/>
          <w:w w:val="105"/>
        </w:rPr>
        <w:t>Datos del municipio</w:t>
      </w:r>
    </w:p>
    <w:p>
      <w:pPr>
        <w:pStyle w:val="BodyText"/>
        <w:spacing w:line="285" w:lineRule="auto" w:before="16"/>
        <w:ind w:left="110" w:right="106"/>
        <w:jc w:val="both"/>
      </w:pPr>
      <w:r>
        <w:rPr>
          <w:color w:val="231F20"/>
          <w:w w:val="105"/>
        </w:rPr>
        <w:t>Este</w:t>
      </w:r>
      <w:r>
        <w:rPr>
          <w:color w:val="231F20"/>
          <w:spacing w:val="-8"/>
          <w:w w:val="105"/>
        </w:rPr>
        <w:t> </w:t>
      </w:r>
      <w:r>
        <w:rPr>
          <w:color w:val="231F20"/>
          <w:spacing w:val="-3"/>
          <w:w w:val="105"/>
        </w:rPr>
        <w:t>municipio</w:t>
      </w:r>
      <w:r>
        <w:rPr>
          <w:color w:val="231F20"/>
          <w:spacing w:val="-8"/>
          <w:w w:val="105"/>
        </w:rPr>
        <w:t> </w:t>
      </w:r>
      <w:r>
        <w:rPr>
          <w:color w:val="231F20"/>
          <w:w w:val="105"/>
        </w:rPr>
        <w:t>se</w:t>
      </w:r>
      <w:r>
        <w:rPr>
          <w:color w:val="231F20"/>
          <w:spacing w:val="-8"/>
          <w:w w:val="105"/>
        </w:rPr>
        <w:t> </w:t>
      </w:r>
      <w:r>
        <w:rPr>
          <w:color w:val="231F20"/>
          <w:w w:val="105"/>
        </w:rPr>
        <w:t>localiza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parte</w:t>
      </w:r>
      <w:r>
        <w:rPr>
          <w:color w:val="231F20"/>
          <w:spacing w:val="-8"/>
          <w:w w:val="105"/>
        </w:rPr>
        <w:t> </w:t>
      </w:r>
      <w:r>
        <w:rPr>
          <w:color w:val="231F20"/>
          <w:w w:val="105"/>
        </w:rPr>
        <w:t>central</w:t>
      </w:r>
      <w:r>
        <w:rPr>
          <w:color w:val="231F20"/>
          <w:spacing w:val="-8"/>
          <w:w w:val="105"/>
        </w:rPr>
        <w:t> </w:t>
      </w:r>
      <w:r>
        <w:rPr>
          <w:color w:val="231F20"/>
          <w:spacing w:val="-3"/>
          <w:w w:val="105"/>
        </w:rPr>
        <w:t>del</w:t>
      </w:r>
      <w:r>
        <w:rPr>
          <w:color w:val="231F20"/>
          <w:spacing w:val="-8"/>
          <w:w w:val="105"/>
        </w:rPr>
        <w:t> </w:t>
      </w:r>
      <w:r>
        <w:rPr>
          <w:color w:val="231F20"/>
          <w:spacing w:val="-4"/>
          <w:w w:val="105"/>
        </w:rPr>
        <w:t>Valle</w:t>
      </w:r>
      <w:r>
        <w:rPr>
          <w:color w:val="231F20"/>
          <w:spacing w:val="-8"/>
          <w:w w:val="105"/>
        </w:rPr>
        <w:t> </w:t>
      </w:r>
      <w:r>
        <w:rPr>
          <w:color w:val="231F20"/>
          <w:w w:val="105"/>
        </w:rPr>
        <w:t>de</w:t>
      </w:r>
      <w:r>
        <w:rPr>
          <w:color w:val="231F20"/>
          <w:spacing w:val="-8"/>
          <w:w w:val="105"/>
        </w:rPr>
        <w:t> </w:t>
      </w:r>
      <w:r>
        <w:rPr>
          <w:color w:val="231F20"/>
          <w:spacing w:val="-3"/>
          <w:w w:val="105"/>
        </w:rPr>
        <w:t>México,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3"/>
          <w:w w:val="105"/>
        </w:rPr>
        <w:t>zona</w:t>
      </w:r>
      <w:r>
        <w:rPr>
          <w:color w:val="231F20"/>
          <w:spacing w:val="-8"/>
          <w:w w:val="105"/>
        </w:rPr>
        <w:t> </w:t>
      </w:r>
      <w:r>
        <w:rPr>
          <w:color w:val="231F20"/>
          <w:spacing w:val="-4"/>
          <w:w w:val="105"/>
        </w:rPr>
        <w:t>oriente</w:t>
      </w:r>
      <w:r>
        <w:rPr>
          <w:color w:val="231F20"/>
          <w:spacing w:val="-8"/>
          <w:w w:val="105"/>
        </w:rPr>
        <w:t> </w:t>
      </w:r>
      <w:r>
        <w:rPr>
          <w:color w:val="231F20"/>
          <w:spacing w:val="-3"/>
          <w:w w:val="105"/>
        </w:rPr>
        <w:t>del Estado</w:t>
      </w:r>
      <w:r>
        <w:rPr>
          <w:color w:val="231F20"/>
          <w:spacing w:val="-28"/>
          <w:w w:val="105"/>
        </w:rPr>
        <w:t> </w:t>
      </w:r>
      <w:r>
        <w:rPr>
          <w:color w:val="231F20"/>
          <w:w w:val="105"/>
        </w:rPr>
        <w:t>de</w:t>
      </w:r>
      <w:r>
        <w:rPr>
          <w:color w:val="231F20"/>
          <w:spacing w:val="-28"/>
          <w:w w:val="105"/>
        </w:rPr>
        <w:t> </w:t>
      </w:r>
      <w:r>
        <w:rPr>
          <w:color w:val="231F20"/>
          <w:spacing w:val="-3"/>
          <w:w w:val="105"/>
        </w:rPr>
        <w:t>México</w:t>
      </w:r>
      <w:r>
        <w:rPr>
          <w:color w:val="231F20"/>
          <w:spacing w:val="-28"/>
          <w:w w:val="105"/>
        </w:rPr>
        <w:t> </w:t>
      </w:r>
      <w:r>
        <w:rPr>
          <w:color w:val="231F20"/>
          <w:w w:val="105"/>
        </w:rPr>
        <w:t>y</w:t>
      </w:r>
      <w:r>
        <w:rPr>
          <w:color w:val="231F20"/>
          <w:spacing w:val="-28"/>
          <w:w w:val="105"/>
        </w:rPr>
        <w:t> </w:t>
      </w:r>
      <w:r>
        <w:rPr>
          <w:color w:val="231F20"/>
          <w:w w:val="105"/>
        </w:rPr>
        <w:t>al</w:t>
      </w:r>
      <w:r>
        <w:rPr>
          <w:color w:val="231F20"/>
          <w:spacing w:val="-28"/>
          <w:w w:val="105"/>
        </w:rPr>
        <w:t> </w:t>
      </w:r>
      <w:r>
        <w:rPr>
          <w:color w:val="231F20"/>
          <w:w w:val="105"/>
        </w:rPr>
        <w:t>este</w:t>
      </w:r>
      <w:r>
        <w:rPr>
          <w:color w:val="231F20"/>
          <w:spacing w:val="-28"/>
          <w:w w:val="105"/>
        </w:rPr>
        <w:t> </w:t>
      </w:r>
      <w:r>
        <w:rPr>
          <w:color w:val="231F20"/>
          <w:spacing w:val="-3"/>
          <w:w w:val="105"/>
        </w:rPr>
        <w:t>del</w:t>
      </w:r>
      <w:r>
        <w:rPr>
          <w:color w:val="231F20"/>
          <w:spacing w:val="-28"/>
          <w:w w:val="105"/>
        </w:rPr>
        <w:t> </w:t>
      </w:r>
      <w:r>
        <w:rPr>
          <w:color w:val="231F20"/>
          <w:w w:val="105"/>
        </w:rPr>
        <w:t>Distrito</w:t>
      </w:r>
      <w:r>
        <w:rPr>
          <w:color w:val="231F20"/>
          <w:spacing w:val="-28"/>
          <w:w w:val="105"/>
        </w:rPr>
        <w:t> </w:t>
      </w:r>
      <w:r>
        <w:rPr>
          <w:color w:val="231F20"/>
          <w:spacing w:val="-3"/>
          <w:w w:val="105"/>
        </w:rPr>
        <w:t>Federal;</w:t>
      </w:r>
      <w:r>
        <w:rPr>
          <w:color w:val="231F20"/>
          <w:spacing w:val="-28"/>
          <w:w w:val="105"/>
        </w:rPr>
        <w:t> </w:t>
      </w:r>
      <w:r>
        <w:rPr>
          <w:color w:val="231F20"/>
          <w:w w:val="105"/>
        </w:rPr>
        <w:t>colinda</w:t>
      </w:r>
      <w:r>
        <w:rPr>
          <w:color w:val="231F20"/>
          <w:spacing w:val="-28"/>
          <w:w w:val="105"/>
        </w:rPr>
        <w:t> </w:t>
      </w:r>
      <w:r>
        <w:rPr>
          <w:color w:val="231F20"/>
          <w:w w:val="105"/>
        </w:rPr>
        <w:t>al</w:t>
      </w:r>
      <w:r>
        <w:rPr>
          <w:color w:val="231F20"/>
          <w:spacing w:val="-28"/>
          <w:w w:val="105"/>
        </w:rPr>
        <w:t> </w:t>
      </w:r>
      <w:r>
        <w:rPr>
          <w:color w:val="231F20"/>
          <w:w w:val="105"/>
        </w:rPr>
        <w:t>norte</w:t>
      </w:r>
      <w:r>
        <w:rPr>
          <w:color w:val="231F20"/>
          <w:spacing w:val="-28"/>
          <w:w w:val="105"/>
        </w:rPr>
        <w:t> </w:t>
      </w:r>
      <w:r>
        <w:rPr>
          <w:color w:val="231F20"/>
          <w:spacing w:val="-3"/>
          <w:w w:val="105"/>
        </w:rPr>
        <w:t>con</w:t>
      </w:r>
      <w:r>
        <w:rPr>
          <w:color w:val="231F20"/>
          <w:spacing w:val="-28"/>
          <w:w w:val="105"/>
        </w:rPr>
        <w:t> </w:t>
      </w:r>
      <w:r>
        <w:rPr>
          <w:color w:val="231F20"/>
          <w:w w:val="105"/>
        </w:rPr>
        <w:t>el</w:t>
      </w:r>
      <w:r>
        <w:rPr>
          <w:color w:val="231F20"/>
          <w:spacing w:val="-28"/>
          <w:w w:val="105"/>
        </w:rPr>
        <w:t> </w:t>
      </w:r>
      <w:r>
        <w:rPr>
          <w:color w:val="231F20"/>
          <w:spacing w:val="-3"/>
          <w:w w:val="105"/>
        </w:rPr>
        <w:t>municipio</w:t>
      </w:r>
      <w:r>
        <w:rPr>
          <w:color w:val="231F20"/>
          <w:spacing w:val="-28"/>
          <w:w w:val="105"/>
        </w:rPr>
        <w:t> </w:t>
      </w:r>
      <w:r>
        <w:rPr>
          <w:color w:val="231F20"/>
          <w:w w:val="105"/>
        </w:rPr>
        <w:t>de</w:t>
      </w:r>
      <w:r>
        <w:rPr>
          <w:color w:val="231F20"/>
          <w:spacing w:val="-28"/>
          <w:w w:val="105"/>
        </w:rPr>
        <w:t> </w:t>
      </w:r>
      <w:r>
        <w:rPr>
          <w:color w:val="231F20"/>
          <w:spacing w:val="-6"/>
          <w:w w:val="105"/>
        </w:rPr>
        <w:t>Texco- </w:t>
      </w:r>
      <w:r>
        <w:rPr>
          <w:color w:val="231F20"/>
          <w:spacing w:val="-3"/>
          <w:w w:val="105"/>
        </w:rPr>
        <w:t>co,</w:t>
      </w:r>
      <w:r>
        <w:rPr>
          <w:color w:val="231F20"/>
          <w:spacing w:val="-18"/>
          <w:w w:val="105"/>
        </w:rPr>
        <w:t> </w:t>
      </w:r>
      <w:r>
        <w:rPr>
          <w:color w:val="231F20"/>
          <w:w w:val="105"/>
        </w:rPr>
        <w:t>al</w:t>
      </w:r>
      <w:r>
        <w:rPr>
          <w:color w:val="231F20"/>
          <w:spacing w:val="-18"/>
          <w:w w:val="105"/>
        </w:rPr>
        <w:t> </w:t>
      </w:r>
      <w:r>
        <w:rPr>
          <w:color w:val="231F20"/>
          <w:w w:val="105"/>
        </w:rPr>
        <w:t>sur</w:t>
      </w:r>
      <w:r>
        <w:rPr>
          <w:color w:val="231F20"/>
          <w:spacing w:val="-18"/>
          <w:w w:val="105"/>
        </w:rPr>
        <w:t> </w:t>
      </w:r>
      <w:r>
        <w:rPr>
          <w:color w:val="231F20"/>
          <w:spacing w:val="-3"/>
          <w:w w:val="105"/>
        </w:rPr>
        <w:t>con</w:t>
      </w:r>
      <w:r>
        <w:rPr>
          <w:color w:val="231F20"/>
          <w:spacing w:val="-18"/>
          <w:w w:val="105"/>
        </w:rPr>
        <w:t> </w:t>
      </w:r>
      <w:r>
        <w:rPr>
          <w:color w:val="231F20"/>
          <w:spacing w:val="-3"/>
          <w:w w:val="105"/>
        </w:rPr>
        <w:t>los</w:t>
      </w:r>
      <w:r>
        <w:rPr>
          <w:color w:val="231F20"/>
          <w:spacing w:val="-18"/>
          <w:w w:val="105"/>
        </w:rPr>
        <w:t> </w:t>
      </w:r>
      <w:r>
        <w:rPr>
          <w:color w:val="231F20"/>
          <w:spacing w:val="-3"/>
          <w:w w:val="105"/>
        </w:rPr>
        <w:t>municipios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Paz</w:t>
      </w:r>
      <w:r>
        <w:rPr>
          <w:color w:val="231F20"/>
          <w:spacing w:val="-18"/>
          <w:w w:val="105"/>
        </w:rPr>
        <w:t> </w:t>
      </w:r>
      <w:r>
        <w:rPr>
          <w:color w:val="231F20"/>
          <w:w w:val="105"/>
        </w:rPr>
        <w:t>y</w:t>
      </w:r>
      <w:r>
        <w:rPr>
          <w:color w:val="231F20"/>
          <w:spacing w:val="-18"/>
          <w:w w:val="105"/>
        </w:rPr>
        <w:t> </w:t>
      </w:r>
      <w:r>
        <w:rPr>
          <w:color w:val="231F20"/>
          <w:spacing w:val="-3"/>
          <w:w w:val="105"/>
        </w:rPr>
        <w:t>Nezahualcóyotl,</w:t>
      </w:r>
      <w:r>
        <w:rPr>
          <w:color w:val="231F20"/>
          <w:spacing w:val="-18"/>
          <w:w w:val="105"/>
        </w:rPr>
        <w:t> </w:t>
      </w:r>
      <w:r>
        <w:rPr>
          <w:color w:val="231F20"/>
          <w:w w:val="105"/>
        </w:rPr>
        <w:t>al</w:t>
      </w:r>
      <w:r>
        <w:rPr>
          <w:color w:val="231F20"/>
          <w:spacing w:val="-18"/>
          <w:w w:val="105"/>
        </w:rPr>
        <w:t> </w:t>
      </w:r>
      <w:r>
        <w:rPr>
          <w:color w:val="231F20"/>
          <w:spacing w:val="-4"/>
          <w:w w:val="105"/>
        </w:rPr>
        <w:t>oriente</w:t>
      </w:r>
      <w:r>
        <w:rPr>
          <w:color w:val="231F20"/>
          <w:spacing w:val="-18"/>
          <w:w w:val="105"/>
        </w:rPr>
        <w:t> </w:t>
      </w:r>
      <w:r>
        <w:rPr>
          <w:color w:val="231F20"/>
          <w:spacing w:val="-3"/>
          <w:w w:val="105"/>
        </w:rPr>
        <w:t>con</w:t>
      </w:r>
      <w:r>
        <w:rPr>
          <w:color w:val="231F20"/>
          <w:spacing w:val="-18"/>
          <w:w w:val="105"/>
        </w:rPr>
        <w:t> </w:t>
      </w:r>
      <w:r>
        <w:rPr>
          <w:color w:val="231F20"/>
          <w:spacing w:val="-3"/>
          <w:w w:val="105"/>
        </w:rPr>
        <w:t>los</w:t>
      </w:r>
      <w:r>
        <w:rPr>
          <w:color w:val="231F20"/>
          <w:spacing w:val="-18"/>
          <w:w w:val="105"/>
        </w:rPr>
        <w:t> </w:t>
      </w:r>
      <w:r>
        <w:rPr>
          <w:color w:val="231F20"/>
          <w:spacing w:val="-3"/>
          <w:w w:val="105"/>
        </w:rPr>
        <w:t>municipios</w:t>
      </w:r>
      <w:r>
        <w:rPr>
          <w:color w:val="231F20"/>
          <w:spacing w:val="-18"/>
          <w:w w:val="105"/>
        </w:rPr>
        <w:t> </w:t>
      </w:r>
      <w:r>
        <w:rPr>
          <w:color w:val="231F20"/>
          <w:w w:val="105"/>
        </w:rPr>
        <w:t>de </w:t>
      </w:r>
      <w:r>
        <w:rPr>
          <w:color w:val="231F20"/>
          <w:spacing w:val="-3"/>
          <w:w w:val="105"/>
        </w:rPr>
        <w:t>Chicoloapan</w:t>
      </w:r>
      <w:r>
        <w:rPr>
          <w:color w:val="231F20"/>
          <w:spacing w:val="-20"/>
          <w:w w:val="105"/>
        </w:rPr>
        <w:t> </w:t>
      </w:r>
      <w:r>
        <w:rPr>
          <w:color w:val="231F20"/>
          <w:w w:val="105"/>
        </w:rPr>
        <w:t>y</w:t>
      </w:r>
      <w:r>
        <w:rPr>
          <w:color w:val="231F20"/>
          <w:spacing w:val="-20"/>
          <w:w w:val="105"/>
        </w:rPr>
        <w:t> </w:t>
      </w:r>
      <w:r>
        <w:rPr>
          <w:color w:val="231F20"/>
          <w:spacing w:val="-6"/>
          <w:w w:val="105"/>
        </w:rPr>
        <w:t>Texcoco,</w:t>
      </w:r>
      <w:r>
        <w:rPr>
          <w:color w:val="231F20"/>
          <w:spacing w:val="-20"/>
          <w:w w:val="105"/>
        </w:rPr>
        <w:t> </w:t>
      </w:r>
      <w:r>
        <w:rPr>
          <w:color w:val="231F20"/>
          <w:w w:val="105"/>
        </w:rPr>
        <w:t>y</w:t>
      </w:r>
      <w:r>
        <w:rPr>
          <w:color w:val="231F20"/>
          <w:spacing w:val="-20"/>
          <w:w w:val="105"/>
        </w:rPr>
        <w:t> </w:t>
      </w:r>
      <w:r>
        <w:rPr>
          <w:color w:val="231F20"/>
          <w:w w:val="105"/>
        </w:rPr>
        <w:t>al</w:t>
      </w:r>
      <w:r>
        <w:rPr>
          <w:color w:val="231F20"/>
          <w:spacing w:val="-20"/>
          <w:w w:val="105"/>
        </w:rPr>
        <w:t> </w:t>
      </w:r>
      <w:r>
        <w:rPr>
          <w:color w:val="231F20"/>
          <w:spacing w:val="-3"/>
          <w:w w:val="105"/>
        </w:rPr>
        <w:t>poniente</w:t>
      </w:r>
      <w:r>
        <w:rPr>
          <w:color w:val="231F20"/>
          <w:spacing w:val="-20"/>
          <w:w w:val="105"/>
        </w:rPr>
        <w:t> </w:t>
      </w:r>
      <w:r>
        <w:rPr>
          <w:color w:val="231F20"/>
          <w:spacing w:val="-3"/>
          <w:w w:val="105"/>
        </w:rPr>
        <w:t>con</w:t>
      </w:r>
      <w:r>
        <w:rPr>
          <w:color w:val="231F20"/>
          <w:spacing w:val="-20"/>
          <w:w w:val="105"/>
        </w:rPr>
        <w:t> </w:t>
      </w:r>
      <w:r>
        <w:rPr>
          <w:color w:val="231F20"/>
          <w:spacing w:val="-3"/>
          <w:w w:val="105"/>
        </w:rPr>
        <w:t>Nezahualcóyotl,</w:t>
      </w:r>
      <w:r>
        <w:rPr>
          <w:color w:val="231F20"/>
          <w:spacing w:val="-20"/>
          <w:w w:val="105"/>
        </w:rPr>
        <w:t> </w:t>
      </w:r>
      <w:r>
        <w:rPr>
          <w:color w:val="231F20"/>
          <w:spacing w:val="-3"/>
          <w:w w:val="105"/>
        </w:rPr>
        <w:t>todos</w:t>
      </w:r>
      <w:r>
        <w:rPr>
          <w:color w:val="231F20"/>
          <w:spacing w:val="-20"/>
          <w:w w:val="105"/>
        </w:rPr>
        <w:t> </w:t>
      </w:r>
      <w:r>
        <w:rPr>
          <w:color w:val="231F20"/>
          <w:w w:val="105"/>
        </w:rPr>
        <w:t>ellos</w:t>
      </w:r>
      <w:r>
        <w:rPr>
          <w:color w:val="231F20"/>
          <w:spacing w:val="-20"/>
          <w:w w:val="105"/>
        </w:rPr>
        <w:t> </w:t>
      </w:r>
      <w:r>
        <w:rPr>
          <w:color w:val="231F20"/>
          <w:spacing w:val="-3"/>
          <w:w w:val="105"/>
        </w:rPr>
        <w:t>bastiones</w:t>
      </w:r>
      <w:r>
        <w:rPr>
          <w:color w:val="231F20"/>
          <w:spacing w:val="-20"/>
          <w:w w:val="105"/>
        </w:rPr>
        <w:t> </w:t>
      </w:r>
      <w:r>
        <w:rPr>
          <w:color w:val="231F20"/>
          <w:spacing w:val="-3"/>
          <w:w w:val="105"/>
        </w:rPr>
        <w:t>del</w:t>
      </w:r>
      <w:r>
        <w:rPr>
          <w:color w:val="231F20"/>
          <w:spacing w:val="-20"/>
          <w:w w:val="105"/>
        </w:rPr>
        <w:t> </w:t>
      </w:r>
      <w:r>
        <w:rPr>
          <w:color w:val="231F20"/>
          <w:w w:val="105"/>
        </w:rPr>
        <w:t>Parti- </w:t>
      </w:r>
      <w:r>
        <w:rPr>
          <w:color w:val="231F20"/>
          <w:spacing w:val="-3"/>
          <w:w w:val="105"/>
        </w:rPr>
        <w:t>do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5"/>
          <w:w w:val="105"/>
        </w:rPr>
        <w:t>Revolución</w:t>
      </w:r>
      <w:r>
        <w:rPr>
          <w:color w:val="231F20"/>
          <w:spacing w:val="-16"/>
          <w:w w:val="105"/>
        </w:rPr>
        <w:t> </w:t>
      </w:r>
      <w:r>
        <w:rPr>
          <w:color w:val="231F20"/>
          <w:spacing w:val="-3"/>
          <w:w w:val="105"/>
        </w:rPr>
        <w:t>Democrática</w:t>
      </w:r>
      <w:r>
        <w:rPr>
          <w:color w:val="231F20"/>
          <w:spacing w:val="-16"/>
          <w:w w:val="105"/>
        </w:rPr>
        <w:t> </w:t>
      </w:r>
      <w:r>
        <w:rPr>
          <w:color w:val="231F20"/>
          <w:spacing w:val="-3"/>
          <w:w w:val="105"/>
        </w:rPr>
        <w:t>(Sánchez,</w:t>
      </w:r>
      <w:r>
        <w:rPr>
          <w:color w:val="231F20"/>
          <w:spacing w:val="-16"/>
          <w:w w:val="105"/>
        </w:rPr>
        <w:t> </w:t>
      </w:r>
      <w:r>
        <w:rPr>
          <w:color w:val="231F20"/>
          <w:w w:val="105"/>
        </w:rPr>
        <w:t>2005:</w:t>
      </w:r>
      <w:r>
        <w:rPr>
          <w:color w:val="231F20"/>
          <w:spacing w:val="-16"/>
          <w:w w:val="105"/>
        </w:rPr>
        <w:t> </w:t>
      </w:r>
      <w:r>
        <w:rPr>
          <w:color w:val="231F20"/>
          <w:spacing w:val="-5"/>
          <w:w w:val="105"/>
        </w:rPr>
        <w:t>469).</w:t>
      </w:r>
      <w:r>
        <w:rPr>
          <w:color w:val="231F20"/>
          <w:spacing w:val="-16"/>
          <w:w w:val="105"/>
        </w:rPr>
        <w:t> </w:t>
      </w:r>
      <w:r>
        <w:rPr>
          <w:color w:val="231F20"/>
          <w:spacing w:val="-4"/>
          <w:w w:val="105"/>
        </w:rPr>
        <w:t>Empero,</w:t>
      </w:r>
      <w:r>
        <w:rPr>
          <w:color w:val="231F20"/>
          <w:spacing w:val="-16"/>
          <w:w w:val="105"/>
        </w:rPr>
        <w:t> </w:t>
      </w:r>
      <w:r>
        <w:rPr>
          <w:color w:val="231F20"/>
          <w:w w:val="105"/>
        </w:rPr>
        <w:t>pese</w:t>
      </w:r>
      <w:r>
        <w:rPr>
          <w:color w:val="231F20"/>
          <w:spacing w:val="-16"/>
          <w:w w:val="105"/>
        </w:rPr>
        <w:t> </w:t>
      </w:r>
      <w:r>
        <w:rPr>
          <w:color w:val="231F20"/>
          <w:w w:val="105"/>
        </w:rPr>
        <w:t>a</w:t>
      </w:r>
      <w:r>
        <w:rPr>
          <w:color w:val="231F20"/>
          <w:spacing w:val="-16"/>
          <w:w w:val="105"/>
        </w:rPr>
        <w:t> </w:t>
      </w:r>
      <w:r>
        <w:rPr>
          <w:color w:val="231F20"/>
          <w:w w:val="105"/>
        </w:rPr>
        <w:t>estar</w:t>
      </w:r>
      <w:r>
        <w:rPr>
          <w:color w:val="231F20"/>
          <w:spacing w:val="-16"/>
          <w:w w:val="105"/>
        </w:rPr>
        <w:t> </w:t>
      </w:r>
      <w:r>
        <w:rPr>
          <w:color w:val="231F20"/>
          <w:spacing w:val="-4"/>
          <w:w w:val="105"/>
        </w:rPr>
        <w:t>rodeado</w:t>
      </w:r>
      <w:r>
        <w:rPr>
          <w:color w:val="231F20"/>
          <w:spacing w:val="-16"/>
          <w:w w:val="105"/>
        </w:rPr>
        <w:t> </w:t>
      </w:r>
      <w:r>
        <w:rPr>
          <w:color w:val="231F20"/>
          <w:spacing w:val="-3"/>
          <w:w w:val="105"/>
        </w:rPr>
        <w:t>por </w:t>
      </w:r>
      <w:r>
        <w:rPr>
          <w:color w:val="231F20"/>
          <w:spacing w:val="-4"/>
          <w:w w:val="105"/>
        </w:rPr>
        <w:t>gobiernos</w:t>
      </w:r>
      <w:r>
        <w:rPr>
          <w:color w:val="231F20"/>
          <w:spacing w:val="-10"/>
          <w:w w:val="105"/>
        </w:rPr>
        <w:t> </w:t>
      </w:r>
      <w:r>
        <w:rPr>
          <w:color w:val="231F20"/>
          <w:w w:val="105"/>
        </w:rPr>
        <w:t>perredistas</w:t>
      </w:r>
      <w:r>
        <w:rPr>
          <w:color w:val="231F20"/>
          <w:spacing w:val="-10"/>
          <w:w w:val="105"/>
        </w:rPr>
        <w:t> </w:t>
      </w:r>
      <w:r>
        <w:rPr>
          <w:color w:val="231F20"/>
          <w:w w:val="105"/>
        </w:rPr>
        <w:t>y</w:t>
      </w:r>
      <w:r>
        <w:rPr>
          <w:color w:val="231F20"/>
          <w:spacing w:val="-10"/>
          <w:w w:val="105"/>
        </w:rPr>
        <w:t> </w:t>
      </w:r>
      <w:r>
        <w:rPr>
          <w:color w:val="231F20"/>
          <w:w w:val="105"/>
        </w:rPr>
        <w:t>cuya</w:t>
      </w:r>
      <w:r>
        <w:rPr>
          <w:color w:val="231F20"/>
          <w:spacing w:val="-10"/>
          <w:w w:val="105"/>
        </w:rPr>
        <w:t> </w:t>
      </w:r>
      <w:r>
        <w:rPr>
          <w:color w:val="231F20"/>
          <w:spacing w:val="-4"/>
          <w:w w:val="105"/>
        </w:rPr>
        <w:t>población</w:t>
      </w:r>
      <w:r>
        <w:rPr>
          <w:color w:val="231F20"/>
          <w:spacing w:val="-10"/>
          <w:w w:val="105"/>
        </w:rPr>
        <w:t> </w:t>
      </w:r>
      <w:r>
        <w:rPr>
          <w:color w:val="231F20"/>
          <w:w w:val="105"/>
        </w:rPr>
        <w:t>es</w:t>
      </w:r>
      <w:r>
        <w:rPr>
          <w:color w:val="231F20"/>
          <w:spacing w:val="-10"/>
          <w:w w:val="105"/>
        </w:rPr>
        <w:t> </w:t>
      </w:r>
      <w:r>
        <w:rPr>
          <w:color w:val="231F20"/>
          <w:w w:val="105"/>
        </w:rPr>
        <w:t>similar</w:t>
      </w:r>
      <w:r>
        <w:rPr>
          <w:color w:val="231F20"/>
          <w:spacing w:val="-10"/>
          <w:w w:val="105"/>
        </w:rPr>
        <w:t> </w:t>
      </w:r>
      <w:r>
        <w:rPr>
          <w:color w:val="231F20"/>
          <w:w w:val="105"/>
        </w:rPr>
        <w:t>en</w:t>
      </w:r>
      <w:r>
        <w:rPr>
          <w:color w:val="231F20"/>
          <w:spacing w:val="-10"/>
          <w:w w:val="105"/>
        </w:rPr>
        <w:t> </w:t>
      </w:r>
      <w:r>
        <w:rPr>
          <w:color w:val="231F20"/>
          <w:spacing w:val="-4"/>
          <w:w w:val="105"/>
        </w:rPr>
        <w:t>condiciones</w:t>
      </w:r>
      <w:r>
        <w:rPr>
          <w:color w:val="231F20"/>
          <w:spacing w:val="-10"/>
          <w:w w:val="105"/>
        </w:rPr>
        <w:t> </w:t>
      </w:r>
      <w:r>
        <w:rPr>
          <w:color w:val="231F20"/>
          <w:w w:val="105"/>
        </w:rPr>
        <w:t>sociales</w:t>
      </w:r>
      <w:r>
        <w:rPr>
          <w:color w:val="231F20"/>
          <w:spacing w:val="-10"/>
          <w:w w:val="105"/>
        </w:rPr>
        <w:t> </w:t>
      </w:r>
      <w:r>
        <w:rPr>
          <w:color w:val="231F20"/>
          <w:w w:val="105"/>
        </w:rPr>
        <w:t>y</w:t>
      </w:r>
      <w:r>
        <w:rPr>
          <w:color w:val="231F20"/>
          <w:spacing w:val="-10"/>
          <w:w w:val="105"/>
        </w:rPr>
        <w:t> </w:t>
      </w:r>
      <w:r>
        <w:rPr>
          <w:color w:val="231F20"/>
          <w:spacing w:val="-3"/>
          <w:w w:val="105"/>
        </w:rPr>
        <w:t>económicas, </w:t>
      </w:r>
      <w:r>
        <w:rPr>
          <w:color w:val="231F20"/>
          <w:w w:val="105"/>
        </w:rPr>
        <w:t>Chimalhuacán</w:t>
      </w:r>
      <w:r>
        <w:rPr>
          <w:color w:val="231F20"/>
          <w:spacing w:val="-15"/>
          <w:w w:val="105"/>
        </w:rPr>
        <w:t> </w:t>
      </w:r>
      <w:r>
        <w:rPr>
          <w:color w:val="231F20"/>
          <w:spacing w:val="-3"/>
          <w:w w:val="105"/>
        </w:rPr>
        <w:t>no</w:t>
      </w:r>
      <w:r>
        <w:rPr>
          <w:color w:val="231F20"/>
          <w:spacing w:val="-15"/>
          <w:w w:val="105"/>
        </w:rPr>
        <w:t> </w:t>
      </w:r>
      <w:r>
        <w:rPr>
          <w:color w:val="231F20"/>
          <w:w w:val="105"/>
        </w:rPr>
        <w:t>ha</w:t>
      </w:r>
      <w:r>
        <w:rPr>
          <w:color w:val="231F20"/>
          <w:spacing w:val="-15"/>
          <w:w w:val="105"/>
        </w:rPr>
        <w:t> </w:t>
      </w:r>
      <w:r>
        <w:rPr>
          <w:color w:val="231F20"/>
          <w:spacing w:val="-4"/>
          <w:w w:val="105"/>
        </w:rPr>
        <w:t>sido</w:t>
      </w:r>
      <w:r>
        <w:rPr>
          <w:color w:val="231F20"/>
          <w:spacing w:val="-15"/>
          <w:w w:val="105"/>
        </w:rPr>
        <w:t> </w:t>
      </w:r>
      <w:r>
        <w:rPr>
          <w:color w:val="231F20"/>
          <w:spacing w:val="-4"/>
          <w:w w:val="105"/>
        </w:rPr>
        <w:t>cooptado</w:t>
      </w:r>
      <w:r>
        <w:rPr>
          <w:color w:val="231F20"/>
          <w:spacing w:val="-15"/>
          <w:w w:val="105"/>
        </w:rPr>
        <w:t> </w:t>
      </w:r>
      <w:r>
        <w:rPr>
          <w:color w:val="231F20"/>
          <w:spacing w:val="-3"/>
          <w:w w:val="105"/>
        </w:rPr>
        <w:t>por</w:t>
      </w:r>
      <w:r>
        <w:rPr>
          <w:color w:val="231F20"/>
          <w:spacing w:val="-15"/>
          <w:w w:val="105"/>
        </w:rPr>
        <w:t> </w:t>
      </w:r>
      <w:r>
        <w:rPr>
          <w:color w:val="231F20"/>
          <w:w w:val="105"/>
        </w:rPr>
        <w:t>este</w:t>
      </w:r>
      <w:r>
        <w:rPr>
          <w:color w:val="231F20"/>
          <w:spacing w:val="-15"/>
          <w:w w:val="105"/>
        </w:rPr>
        <w:t> </w:t>
      </w:r>
      <w:r>
        <w:rPr>
          <w:color w:val="231F20"/>
          <w:w w:val="105"/>
        </w:rPr>
        <w:t>partido.</w:t>
      </w:r>
      <w:r>
        <w:rPr>
          <w:color w:val="231F20"/>
          <w:spacing w:val="-15"/>
          <w:w w:val="105"/>
        </w:rPr>
        <w:t> </w:t>
      </w:r>
      <w:r>
        <w:rPr>
          <w:color w:val="231F20"/>
          <w:w w:val="105"/>
        </w:rPr>
        <w:t>Antes</w:t>
      </w:r>
      <w:r>
        <w:rPr>
          <w:color w:val="231F20"/>
          <w:spacing w:val="-15"/>
          <w:w w:val="105"/>
        </w:rPr>
        <w:t> </w:t>
      </w:r>
      <w:r>
        <w:rPr>
          <w:color w:val="231F20"/>
          <w:spacing w:val="-4"/>
          <w:w w:val="105"/>
        </w:rPr>
        <w:t>bien,</w:t>
      </w:r>
      <w:r>
        <w:rPr>
          <w:color w:val="231F20"/>
          <w:spacing w:val="-15"/>
          <w:w w:val="105"/>
        </w:rPr>
        <w:t> </w:t>
      </w:r>
      <w:r>
        <w:rPr>
          <w:color w:val="231F20"/>
          <w:w w:val="105"/>
        </w:rPr>
        <w:t>se</w:t>
      </w:r>
      <w:r>
        <w:rPr>
          <w:color w:val="231F20"/>
          <w:spacing w:val="-15"/>
          <w:w w:val="105"/>
        </w:rPr>
        <w:t> </w:t>
      </w:r>
      <w:r>
        <w:rPr>
          <w:color w:val="231F20"/>
          <w:w w:val="105"/>
        </w:rPr>
        <w:t>identifica</w:t>
      </w:r>
      <w:r>
        <w:rPr>
          <w:color w:val="231F20"/>
          <w:spacing w:val="-15"/>
          <w:w w:val="105"/>
        </w:rPr>
        <w:t> </w:t>
      </w:r>
      <w:r>
        <w:rPr>
          <w:color w:val="231F20"/>
          <w:spacing w:val="-4"/>
          <w:w w:val="105"/>
        </w:rPr>
        <w:t>como</w:t>
      </w:r>
      <w:r>
        <w:rPr>
          <w:color w:val="231F20"/>
          <w:spacing w:val="-15"/>
          <w:w w:val="105"/>
        </w:rPr>
        <w:t> </w:t>
      </w:r>
      <w:r>
        <w:rPr>
          <w:color w:val="231F20"/>
          <w:w w:val="105"/>
        </w:rPr>
        <w:t>para- digma</w:t>
      </w:r>
      <w:r>
        <w:rPr>
          <w:color w:val="231F20"/>
          <w:spacing w:val="-15"/>
          <w:w w:val="105"/>
        </w:rPr>
        <w:t> </w:t>
      </w:r>
      <w:r>
        <w:rPr>
          <w:color w:val="231F20"/>
          <w:w w:val="105"/>
        </w:rPr>
        <w:t>de</w:t>
      </w:r>
      <w:r>
        <w:rPr>
          <w:color w:val="231F20"/>
          <w:spacing w:val="-15"/>
          <w:w w:val="105"/>
        </w:rPr>
        <w:t> </w:t>
      </w:r>
      <w:r>
        <w:rPr>
          <w:color w:val="231F20"/>
          <w:spacing w:val="-4"/>
          <w:w w:val="105"/>
        </w:rPr>
        <w:t>control</w:t>
      </w:r>
      <w:r>
        <w:rPr>
          <w:color w:val="231F20"/>
          <w:spacing w:val="-15"/>
          <w:w w:val="105"/>
        </w:rPr>
        <w:t> </w:t>
      </w:r>
      <w:r>
        <w:rPr>
          <w:color w:val="231F20"/>
          <w:spacing w:val="-3"/>
          <w:w w:val="105"/>
        </w:rPr>
        <w:t>político</w:t>
      </w:r>
      <w:r>
        <w:rPr>
          <w:color w:val="231F20"/>
          <w:spacing w:val="-15"/>
          <w:w w:val="105"/>
        </w:rPr>
        <w:t> </w:t>
      </w:r>
      <w:r>
        <w:rPr>
          <w:color w:val="231F20"/>
          <w:spacing w:val="-3"/>
          <w:w w:val="105"/>
        </w:rPr>
        <w:t>por</w:t>
      </w:r>
      <w:r>
        <w:rPr>
          <w:color w:val="231F20"/>
          <w:spacing w:val="-15"/>
          <w:w w:val="105"/>
        </w:rPr>
        <w:t> </w:t>
      </w:r>
      <w:r>
        <w:rPr>
          <w:color w:val="231F20"/>
          <w:w w:val="105"/>
        </w:rPr>
        <w:t>parte</w:t>
      </w:r>
      <w:r>
        <w:rPr>
          <w:color w:val="231F20"/>
          <w:spacing w:val="-15"/>
          <w:w w:val="105"/>
        </w:rPr>
        <w:t> </w:t>
      </w:r>
      <w:r>
        <w:rPr>
          <w:color w:val="231F20"/>
          <w:spacing w:val="-3"/>
          <w:w w:val="105"/>
        </w:rPr>
        <w:t>del</w:t>
      </w:r>
      <w:r>
        <w:rPr>
          <w:color w:val="231F20"/>
          <w:spacing w:val="-15"/>
          <w:w w:val="105"/>
        </w:rPr>
        <w:t> </w:t>
      </w:r>
      <w:r>
        <w:rPr>
          <w:color w:val="231F20"/>
          <w:w w:val="105"/>
        </w:rPr>
        <w:t>Partido</w:t>
      </w:r>
      <w:r>
        <w:rPr>
          <w:color w:val="231F20"/>
          <w:spacing w:val="-15"/>
          <w:w w:val="105"/>
        </w:rPr>
        <w:t> </w:t>
      </w:r>
      <w:r>
        <w:rPr>
          <w:color w:val="231F20"/>
          <w:spacing w:val="-4"/>
          <w:w w:val="105"/>
        </w:rPr>
        <w:t>Revolucionario</w:t>
      </w:r>
      <w:r>
        <w:rPr>
          <w:color w:val="231F20"/>
          <w:spacing w:val="-15"/>
          <w:w w:val="105"/>
        </w:rPr>
        <w:t> </w:t>
      </w:r>
      <w:r>
        <w:rPr>
          <w:color w:val="231F20"/>
          <w:w w:val="105"/>
        </w:rPr>
        <w:t>Institucional</w:t>
      </w:r>
      <w:r>
        <w:rPr>
          <w:color w:val="231F20"/>
          <w:spacing w:val="-15"/>
          <w:w w:val="105"/>
        </w:rPr>
        <w:t> </w:t>
      </w:r>
      <w:r>
        <w:rPr>
          <w:color w:val="231F20"/>
          <w:spacing w:val="-5"/>
          <w:w w:val="105"/>
        </w:rPr>
        <w:t>(PRI),</w:t>
      </w:r>
      <w:r>
        <w:rPr>
          <w:color w:val="231F20"/>
          <w:spacing w:val="-15"/>
          <w:w w:val="105"/>
        </w:rPr>
        <w:t> </w:t>
      </w:r>
      <w:r>
        <w:rPr>
          <w:color w:val="231F20"/>
          <w:w w:val="105"/>
        </w:rPr>
        <w:t>virtud de</w:t>
      </w:r>
      <w:r>
        <w:rPr>
          <w:color w:val="231F20"/>
          <w:spacing w:val="-16"/>
          <w:w w:val="105"/>
        </w:rPr>
        <w:t> </w:t>
      </w:r>
      <w:r>
        <w:rPr>
          <w:color w:val="231F20"/>
          <w:w w:val="105"/>
        </w:rPr>
        <w:t>la</w:t>
      </w:r>
      <w:r>
        <w:rPr>
          <w:color w:val="231F20"/>
          <w:spacing w:val="-16"/>
          <w:w w:val="105"/>
        </w:rPr>
        <w:t> </w:t>
      </w:r>
      <w:r>
        <w:rPr>
          <w:color w:val="231F20"/>
          <w:spacing w:val="-3"/>
          <w:w w:val="105"/>
        </w:rPr>
        <w:t>conservación</w:t>
      </w:r>
      <w:r>
        <w:rPr>
          <w:color w:val="231F20"/>
          <w:spacing w:val="-16"/>
          <w:w w:val="105"/>
        </w:rPr>
        <w:t> </w:t>
      </w:r>
      <w:r>
        <w:rPr>
          <w:color w:val="231F20"/>
          <w:w w:val="105"/>
        </w:rPr>
        <w:t>de</w:t>
      </w:r>
      <w:r>
        <w:rPr>
          <w:color w:val="231F20"/>
          <w:spacing w:val="-16"/>
          <w:w w:val="105"/>
        </w:rPr>
        <w:t> </w:t>
      </w:r>
      <w:r>
        <w:rPr>
          <w:color w:val="231F20"/>
          <w:spacing w:val="-3"/>
          <w:w w:val="105"/>
        </w:rPr>
        <w:t>tradiciones</w:t>
      </w:r>
      <w:r>
        <w:rPr>
          <w:color w:val="231F20"/>
          <w:spacing w:val="-16"/>
          <w:w w:val="105"/>
        </w:rPr>
        <w:t> </w:t>
      </w:r>
      <w:r>
        <w:rPr>
          <w:color w:val="231F20"/>
          <w:w w:val="105"/>
        </w:rPr>
        <w:t>políticas</w:t>
      </w:r>
      <w:r>
        <w:rPr>
          <w:color w:val="231F20"/>
          <w:spacing w:val="-16"/>
          <w:w w:val="105"/>
        </w:rPr>
        <w:t> </w:t>
      </w:r>
      <w:r>
        <w:rPr>
          <w:color w:val="231F20"/>
          <w:spacing w:val="-4"/>
          <w:w w:val="105"/>
        </w:rPr>
        <w:t>como</w:t>
      </w:r>
      <w:r>
        <w:rPr>
          <w:color w:val="231F20"/>
          <w:spacing w:val="-16"/>
          <w:w w:val="105"/>
        </w:rPr>
        <w:t> </w:t>
      </w:r>
      <w:r>
        <w:rPr>
          <w:color w:val="231F20"/>
          <w:w w:val="105"/>
        </w:rPr>
        <w:t>el</w:t>
      </w:r>
      <w:r>
        <w:rPr>
          <w:color w:val="231F20"/>
          <w:spacing w:val="-16"/>
          <w:w w:val="105"/>
        </w:rPr>
        <w:t> </w:t>
      </w:r>
      <w:r>
        <w:rPr>
          <w:color w:val="231F20"/>
          <w:spacing w:val="-3"/>
          <w:w w:val="105"/>
        </w:rPr>
        <w:t>cacicazgo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4"/>
          <w:w w:val="105"/>
        </w:rPr>
        <w:t>ejerció</w:t>
      </w:r>
      <w:r>
        <w:rPr>
          <w:color w:val="231F20"/>
          <w:spacing w:val="-16"/>
          <w:w w:val="105"/>
        </w:rPr>
        <w:t> </w:t>
      </w:r>
      <w:r>
        <w:rPr>
          <w:color w:val="231F20"/>
          <w:spacing w:val="-3"/>
          <w:w w:val="105"/>
        </w:rPr>
        <w:t>del</w:t>
      </w:r>
      <w:r>
        <w:rPr>
          <w:color w:val="231F20"/>
          <w:spacing w:val="-16"/>
          <w:w w:val="105"/>
        </w:rPr>
        <w:t> </w:t>
      </w:r>
      <w:r>
        <w:rPr>
          <w:color w:val="231F20"/>
          <w:spacing w:val="-3"/>
          <w:w w:val="105"/>
        </w:rPr>
        <w:t>poder</w:t>
      </w:r>
      <w:r>
        <w:rPr>
          <w:color w:val="231F20"/>
          <w:spacing w:val="-16"/>
          <w:w w:val="105"/>
        </w:rPr>
        <w:t> </w:t>
      </w:r>
      <w:r>
        <w:rPr>
          <w:color w:val="231F20"/>
          <w:w w:val="105"/>
        </w:rPr>
        <w:t>y</w:t>
      </w:r>
      <w:r>
        <w:rPr>
          <w:color w:val="231F20"/>
          <w:spacing w:val="-16"/>
          <w:w w:val="105"/>
        </w:rPr>
        <w:t> </w:t>
      </w:r>
      <w:r>
        <w:rPr>
          <w:color w:val="231F20"/>
          <w:spacing w:val="-3"/>
          <w:w w:val="105"/>
        </w:rPr>
        <w:t>por </w:t>
      </w:r>
      <w:r>
        <w:rPr>
          <w:color w:val="231F20"/>
          <w:spacing w:val="-4"/>
          <w:w w:val="105"/>
        </w:rPr>
        <w:t>ende</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spacing w:val="-3"/>
          <w:w w:val="105"/>
        </w:rPr>
        <w:t>forma</w:t>
      </w:r>
      <w:r>
        <w:rPr>
          <w:color w:val="231F20"/>
          <w:spacing w:val="-22"/>
          <w:w w:val="105"/>
        </w:rPr>
        <w:t> </w:t>
      </w:r>
      <w:r>
        <w:rPr>
          <w:color w:val="231F20"/>
          <w:w w:val="105"/>
        </w:rPr>
        <w:t>de</w:t>
      </w:r>
      <w:r>
        <w:rPr>
          <w:color w:val="231F20"/>
          <w:spacing w:val="-22"/>
          <w:w w:val="105"/>
        </w:rPr>
        <w:t> </w:t>
      </w:r>
      <w:r>
        <w:rPr>
          <w:color w:val="231F20"/>
          <w:spacing w:val="-4"/>
          <w:w w:val="105"/>
        </w:rPr>
        <w:t>gobierno.</w:t>
      </w:r>
      <w:r>
        <w:rPr>
          <w:color w:val="231F20"/>
          <w:spacing w:val="-22"/>
          <w:w w:val="105"/>
        </w:rPr>
        <w:t> </w:t>
      </w:r>
      <w:r>
        <w:rPr>
          <w:color w:val="231F20"/>
          <w:spacing w:val="-4"/>
          <w:w w:val="105"/>
        </w:rPr>
        <w:t>Tiene</w:t>
      </w:r>
      <w:r>
        <w:rPr>
          <w:color w:val="231F20"/>
          <w:spacing w:val="-22"/>
          <w:w w:val="105"/>
        </w:rPr>
        <w:t> </w:t>
      </w:r>
      <w:r>
        <w:rPr>
          <w:color w:val="231F20"/>
          <w:w w:val="105"/>
        </w:rPr>
        <w:t>singularidades</w:t>
      </w:r>
      <w:r>
        <w:rPr>
          <w:color w:val="231F20"/>
          <w:spacing w:val="-22"/>
          <w:w w:val="105"/>
        </w:rPr>
        <w:t> </w:t>
      </w:r>
      <w:r>
        <w:rPr>
          <w:color w:val="231F20"/>
          <w:spacing w:val="-3"/>
          <w:w w:val="105"/>
        </w:rPr>
        <w:t>que</w:t>
      </w:r>
      <w:r>
        <w:rPr>
          <w:color w:val="231F20"/>
          <w:spacing w:val="-22"/>
          <w:w w:val="105"/>
        </w:rPr>
        <w:t> </w:t>
      </w:r>
      <w:r>
        <w:rPr>
          <w:color w:val="231F20"/>
          <w:spacing w:val="-3"/>
          <w:w w:val="105"/>
        </w:rPr>
        <w:t>hacen</w:t>
      </w:r>
      <w:r>
        <w:rPr>
          <w:color w:val="231F20"/>
          <w:spacing w:val="-22"/>
          <w:w w:val="105"/>
        </w:rPr>
        <w:t> </w:t>
      </w:r>
      <w:r>
        <w:rPr>
          <w:color w:val="231F20"/>
          <w:spacing w:val="-3"/>
          <w:w w:val="105"/>
        </w:rPr>
        <w:t>interesante</w:t>
      </w:r>
      <w:r>
        <w:rPr>
          <w:color w:val="231F20"/>
          <w:spacing w:val="-22"/>
          <w:w w:val="105"/>
        </w:rPr>
        <w:t> </w:t>
      </w:r>
      <w:r>
        <w:rPr>
          <w:color w:val="231F20"/>
          <w:w w:val="105"/>
        </w:rPr>
        <w:t>su</w:t>
      </w:r>
      <w:r>
        <w:rPr>
          <w:color w:val="231F20"/>
          <w:spacing w:val="-22"/>
          <w:w w:val="105"/>
        </w:rPr>
        <w:t> </w:t>
      </w:r>
      <w:r>
        <w:rPr>
          <w:color w:val="231F20"/>
          <w:w w:val="105"/>
        </w:rPr>
        <w:t>estudio</w:t>
      </w:r>
      <w:r>
        <w:rPr>
          <w:color w:val="231F20"/>
          <w:spacing w:val="-22"/>
          <w:w w:val="105"/>
        </w:rPr>
        <w:t> </w:t>
      </w:r>
      <w:r>
        <w:rPr>
          <w:color w:val="231F20"/>
          <w:spacing w:val="-3"/>
          <w:w w:val="105"/>
        </w:rPr>
        <w:t>desde </w:t>
      </w:r>
      <w:r>
        <w:rPr>
          <w:color w:val="231F20"/>
          <w:w w:val="105"/>
        </w:rPr>
        <w:t>la</w:t>
      </w:r>
      <w:r>
        <w:rPr>
          <w:color w:val="231F20"/>
          <w:spacing w:val="-21"/>
          <w:w w:val="105"/>
        </w:rPr>
        <w:t> </w:t>
      </w:r>
      <w:r>
        <w:rPr>
          <w:color w:val="231F20"/>
          <w:w w:val="105"/>
        </w:rPr>
        <w:t>perspectiva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4"/>
          <w:w w:val="105"/>
        </w:rPr>
        <w:t>autonomía</w:t>
      </w:r>
      <w:r>
        <w:rPr>
          <w:color w:val="231F20"/>
          <w:spacing w:val="-21"/>
          <w:w w:val="105"/>
        </w:rPr>
        <w:t> </w:t>
      </w:r>
      <w:r>
        <w:rPr>
          <w:color w:val="231F20"/>
          <w:w w:val="105"/>
        </w:rPr>
        <w:t>política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4"/>
          <w:w w:val="105"/>
        </w:rPr>
        <w:t>desempeño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administración</w:t>
      </w:r>
      <w:r>
        <w:rPr>
          <w:color w:val="231F20"/>
          <w:spacing w:val="-21"/>
          <w:w w:val="105"/>
        </w:rPr>
        <w:t> </w:t>
      </w:r>
      <w:r>
        <w:rPr>
          <w:color w:val="231F20"/>
          <w:w w:val="105"/>
        </w:rPr>
        <w:t>local.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pict>
          <v:group style="position:absolute;margin-left:42.52pt;margin-top:34.502323pt;width:396.85pt;height:151.2pt;mso-position-horizontal-relative:page;mso-position-vertical-relative:paragraph;z-index:9400;mso-wrap-distance-left:0;mso-wrap-distance-right:0" coordorigin="850,690" coordsize="7937,3024">
            <v:rect style="position:absolute;left:850;top:690;width:7937;height:3023" filled="true" fillcolor="#98cbcc" stroked="false">
              <v:fill type="solid"/>
            </v:rect>
            <v:shape style="position:absolute;left:989;top:942;width:2682;height:2719" type="#_x0000_t75" stroked="false">
              <v:imagedata r:id="rId510" o:title=""/>
            </v:shape>
            <v:shape style="position:absolute;left:1835;top:1426;width:600;height:654" type="#_x0000_t75" stroked="false">
              <v:imagedata r:id="rId511" o:title=""/>
            </v:shape>
            <v:shape style="position:absolute;left:2171;top:2301;width:337;height:290" type="#_x0000_t75" stroked="false">
              <v:imagedata r:id="rId512" o:title=""/>
            </v:shape>
            <v:shape style="position:absolute;left:2106;top:2087;width:326;height:683" coordorigin="2106,2087" coordsize="326,683" path="m2188,2359l2177,2366,2166,2387,2189,2390,2181,2421,2184,2432,2174,2450,2168,2456,2159,2457,2154,2458,2153,2461,2151,2466,2151,2474,2144,2499,2144,2499,2118,2539,2119,2560,2127,2583,2106,2599,2107,2620,2125,2630,2125,2662,2125,2662,2123,2678,2125,2711,2125,2742,2125,2748,2127,2755,2128,2757,2132,2757,2139,2763,2143,2767,2149,2770,2136,2718,2150,2705,2164,2703,2173,2682,2157,2659,2144,2645,2144,2627,2166,2615,2167,2604,2166,2589,2167,2589,2189,2547,2226,2508,2265,2481,2276,2449,2285,2430,2297,2412,2278,2382,2294,2373,2300,2365,2322,2363,2208,2363,2188,2359xm2383,2314l2208,2314,2214,2342,2208,2363,2322,2363,2325,2362,2331,2362,2332,2361,2332,2355,2330,2346,2383,2346,2379,2318,2383,2314xm2179,2167l2179,2187,2163,2187,2163,2232,2184,2249,2179,2276,2162,2291,2164,2297,2166,2304,2168,2306,2175,2306,2187,2319,2208,2314,2383,2314,2391,2308,2402,2297,2431,2297,2426,2280,2420,2255,2414,2244,2383,2244,2370,2234,2350,2222,2350,2209,2333,2201,2307,2192,2297,2183,2305,2170,2195,2170,2179,2167xm2431,2297l2402,2297,2418,2302,2431,2298,2431,2297xm2399,2224l2383,2244,2414,2244,2410,2236,2399,2224xm2262,2088l2250,2088,2247,2099,2240,2117,2236,2135,2215,2139,2210,2158,2200,2160,2196,2170,2305,2170,2278,2153,2278,2116,2276,2094,2264,2094,2262,2088xm2276,2087l2267,2088,2264,2094,2276,2094,2276,2087xe" filled="true" fillcolor="#ffffff" stroked="false">
              <v:path arrowok="t"/>
              <v:fill type="solid"/>
            </v:shape>
            <v:shape style="position:absolute;left:2106;top:2087;width:326;height:683" coordorigin="2106,2087" coordsize="326,683" path="m2418,2302l2402,2297,2391,2308,2379,2318,2383,2346,2330,2346,2331,2349,2332,2355,2332,2361,2331,2362,2325,2362,2303,2364,2302,2364,2300,2365,2294,2373,2278,2382,2297,2412,2285,2430,2276,2449,2265,2481,2226,2508,2189,2547,2167,2589,2166,2589,2167,2604,2166,2615,2144,2627,2144,2645,2157,2659,2173,2682,2164,2703,2150,2705,2136,2718,2149,2770,2143,2767,2139,2763,2132,2757,2128,2757,2127,2755,2125,2748,2125,2742,2125,2711,2123,2678,2125,2662,2125,2662,2125,2630,2107,2620,2106,2599,2127,2583,2119,2560,2118,2539,2144,2499,2144,2499,2145,2495,2151,2474,2151,2469,2151,2466,2153,2461,2154,2458,2159,2457,2168,2456,2171,2453,2174,2450,2182,2436,2184,2433,2184,2432,2181,2421,2189,2390,2166,2387,2177,2366,2188,2359,2208,2363,2214,2342,2208,2314,2187,2319,2175,2306,2168,2306,2166,2304,2164,2297,2162,2291,2179,2276,2184,2249,2163,2232,2163,2187,2179,2187,2179,2167,2196,2170,2200,2160,2210,2158,2215,2139,2236,2135,2240,2117,2247,2099,2250,2088,2262,2088,2264,2094,2267,2088,2276,2087,2278,2116,2278,2153,2305,2170,2297,2183,2307,2192,2333,2201,2350,2209,2350,2222,2370,2234,2383,2244,2399,2224,2410,2236,2420,2255,2426,2280,2431,2298,2418,2302xe" filled="false" stroked="true" strokeweight=".25pt" strokecolor="#231f20">
              <v:path arrowok="t"/>
            </v:shape>
            <v:shape style="position:absolute;left:1937;top:2287;width:273;height:483" type="#_x0000_t75" stroked="false">
              <v:imagedata r:id="rId513" o:title=""/>
            </v:shape>
            <v:shape style="position:absolute;left:1870;top:1990;width:326;height:427" coordorigin="1870,1990" coordsize="326,427" path="m1995,2391l1974,2391,1979,2417,1983,2417,1995,2396,1995,2391xm1944,2188l1924,2197,1925,2226,1952,2226,1948,2247,1913,2249,1910,2284,1916,2315,1920,2317,1925,2324,1921,2346,1939,2367,1939,2388,1940,2393,1974,2391,1995,2391,1995,2358,1998,2322,2021,2322,2040,2303,2105,2303,2106,2289,2134,2283,2162,2283,2174,2273,2178,2252,2158,2235,2158,2197,1946,2197,1944,2188xm2121,2343l2069,2343,2109,2355,2116,2349,2121,2343xm2105,2303l2063,2303,2058,2327,2056,2347,2069,2343,2121,2343,2128,2334,2126,2318,2104,2311,2105,2303xm2162,2283l2134,2283,2140,2295,2152,2298,2156,2289,2156,2289,2162,2283xm2178,2133l1968,2133,1996,2137,2005,2169,1984,2170,1983,2177,1966,2182,1966,2197,2158,2197,2158,2181,2174,2181,2174,2160,2194,2160,2195,2157,2195,2144,2179,2136,2178,2133xm2194,2160l2174,2160,2193,2163,2194,2160xm1921,2131l1921,2137,1953,2144,1965,2136,1953,2136,1921,2131xm2076,2073l1893,2073,1921,2083,1928,2099,1945,2102,1953,2122,1953,2136,1965,2136,1968,2133,2178,2133,2176,2126,2188,2114,2195,2103,2106,2103,2096,2084,2076,2074,2076,2073xm2128,2078l2114,2081,2106,2103,2195,2103,2196,2102,2181,2097,2179,2095,2137,2095,2128,2078xm1919,1990l1895,1990,1897,1996,1897,2011,1883,2011,1885,2024,1895,2028,1893,2051,1888,2075,1870,2089,1876,2097,1893,2073,2076,2073,2076,2045,2043,2021,2033,2011,2002,2011,2000,2011,1897,2011,1882,2009,1996,2009,1966,1999,1919,1990xm2162,2080l2161,2080,2159,2086,2158,2094,2137,2095,2179,2095,2173,2088,2164,2080,2162,2080xm2024,2003l2002,2011,2033,2011,2024,2003xe" filled="true" fillcolor="#ffffff" stroked="false">
              <v:path arrowok="t"/>
              <v:fill type="solid"/>
            </v:shape>
            <v:shape style="position:absolute;left:1870;top:1990;width:326;height:427" coordorigin="1870,1990" coordsize="326,427" path="m1940,2393l1939,2388,1939,2367,1921,2346,1925,2324,1920,2317,1916,2315,1910,2284,1913,2249,1948,2247,1952,2226,1925,2226,1924,2197,1944,2188,1946,2197,1966,2197,1966,2182,1983,2177,1984,2170,2005,2169,1996,2137,1968,2133,1953,2144,1921,2137,1921,2131,1953,2136,1953,2122,1945,2102,1928,2099,1921,2083,1893,2073,1876,2097,1870,2089,1888,2075,1893,2051,1895,2028,1885,2024,1882,2009,1897,2011,1897,1996,1895,1990,1919,1990,1966,1999,2002,2011,2024,2003,2043,2021,2076,2045,2076,2074,2096,2084,2106,2103,2114,2081,2128,2078,2137,2095,2158,2094,2158,2091,2159,2086,2161,2080,2162,2080,2164,2080,2173,2088,2180,2096,2181,2097,2196,2102,2188,2114,2176,2126,2179,2136,2195,2144,2195,2157,2193,2163,2174,2160,2174,2181,2158,2181,2158,2235,2178,2252,2174,2273,2156,2289,2156,2289,2152,2298,2140,2295,2134,2283,2106,2289,2104,2311,2126,2318,2128,2334,2116,2349,2109,2355,2069,2343,2056,2347,2058,2327,2063,2303,2040,2303,2021,2322,1998,2322,1995,2358,1995,2396,1983,2417,1979,2417,1974,2391,1940,2393xe" filled="false" stroked="true" strokeweight=".25pt" strokecolor="#231f20">
              <v:path arrowok="t"/>
            </v:shape>
            <v:shape style="position:absolute;left:2170;top:1916;width:526;height:323" type="#_x0000_t75" stroked="false">
              <v:imagedata r:id="rId514" o:title=""/>
            </v:shape>
            <v:shape style="position:absolute;left:1663;top:2711;width:219;height:173" type="#_x0000_t75" stroked="false">
              <v:imagedata r:id="rId515" o:title=""/>
            </v:shape>
            <v:shape style="position:absolute;left:2406;top:2698;width:25;height:26" coordorigin="2406,2698" coordsize="25,26" path="m2431,2698l2408,2704,2406,2724,2418,2722,2431,2698xe" filled="true" fillcolor="#ffffff" stroked="false">
              <v:path arrowok="t"/>
              <v:fill type="solid"/>
            </v:shape>
            <v:shape style="position:absolute;left:2406;top:2698;width:25;height:26" coordorigin="2406,2698" coordsize="25,26" path="m2431,2698l2418,2722,2406,2724,2408,2704,2431,2698xe" filled="false" stroked="true" strokeweight=".25pt" strokecolor="#231f20">
              <v:path arrowok="t"/>
            </v:shape>
            <v:shape style="position:absolute;left:2420;top:2501;width:106;height:121" type="#_x0000_t75" stroked="false">
              <v:imagedata r:id="rId516" o:title=""/>
            </v:shape>
            <v:shape style="position:absolute;left:2473;top:2404;width:31;height:41" coordorigin="2473,2404" coordsize="31,41" path="m2500,2437l2479,2437,2500,2445,2503,2439,2500,2437xm2473,2404l2475,2423,2477,2437,2479,2437,2500,2437,2489,2428,2479,2405,2473,2404xe" filled="true" fillcolor="#ffffff" stroked="false">
              <v:path arrowok="t"/>
              <v:fill type="solid"/>
            </v:shape>
            <v:shape style="position:absolute;left:2473;top:2404;width:31;height:41" coordorigin="2473,2404" coordsize="31,41" path="m2489,2428l2503,2439,2500,2445,2479,2437,2477,2437,2475,2423,2473,2404,2479,2405,2489,2428xe" filled="false" stroked="true" strokeweight=".25pt" strokecolor="#231f20">
              <v:path arrowok="t"/>
            </v:shape>
            <v:shape style="position:absolute;left:2570;top:1235;width:632;height:602" type="#_x0000_t75" stroked="false">
              <v:imagedata r:id="rId517" o:title=""/>
            </v:shape>
            <v:shape style="position:absolute;left:2270;top:1538;width:508;height:417" coordorigin="2270,1538" coordsize="508,417" path="m2590,1939l2489,1939,2507,1943,2508,1953,2521,1954,2547,1943,2572,1943,2572,1943,2589,1940,2590,1939xm2359,1800l2313,1800,2337,1803,2358,1816,2372,1832,2390,1853,2409,1873,2433,1878,2438,1887,2429,1906,2422,1915,2437,1931,2451,1943,2477,1948,2489,1939,2590,1939,2598,1932,2623,1924,2640,1924,2643,1921,2661,1909,2702,1909,2706,1904,2767,1904,2773,1896,2777,1891,2439,1891,2439,1885,2505,1885,2520,1877,2526,1825,2564,1825,2566,1824,2562,1806,2399,1806,2360,1803,2359,1800xm2572,1943l2547,1943,2559,1948,2572,1943xm2640,1924l2623,1924,2634,1929,2640,1924xm2702,1909l2661,1909,2662,1926,2672,1923,2682,1915,2697,1915,2702,1909xm2697,1915l2682,1915,2690,1923,2697,1915xm2767,1904l2706,1904,2730,1907,2745,1920,2751,1917,2760,1913,2765,1908,2767,1904xm2531,1832l2525,1881,2505,1890,2439,1891,2777,1891,2778,1890,2761,1880,2759,1861,2751,1844,2747,1840,2716,1840,2710,1837,2555,1837,2531,1832xm2753,1810l2743,1816,2731,1834,2716,1840,2747,1840,2743,1836,2763,1811,2753,1810xm2571,1765l2569,1770,2567,1775,2564,1778,2564,1778,2564,1778,2568,1780,2576,1781,2566,1795,2572,1827,2555,1837,2710,1837,2705,1835,2692,1835,2687,1817,2700,1812,2700,1804,2696,1799,2674,1799,2680,1778,2680,1778,2668,1771,2665,1768,2597,1768,2571,1765xm2564,1825l2526,1825,2554,1831,2564,1825xm2286,1788l2285,1795,2282,1808,2270,1808,2270,1814,2272,1818,2275,1821,2276,1821,2278,1821,2291,1817,2293,1816,2295,1814,2314,1813,2313,1800,2359,1800,2357,1798,2322,1798,2304,1795,2286,1788xm2571,1745l2403,1745,2446,1746,2430,1762,2417,1790,2399,1806,2562,1806,2560,1793,2566,1785,2563,1784,2559,1782,2558,1778,2558,1776,2558,1775,2564,1769,2570,1750,2571,1745xm2693,1795l2674,1799,2696,1799,2693,1795xm2326,1776l2322,1798,2357,1798,2351,1784,2326,1776xm2617,1759l2597,1768,2665,1768,2661,1763,2630,1763,2617,1759xm2648,1755l2630,1763,2661,1763,2657,1759,2648,1755xm2428,1692l2412,1695,2393,1710,2356,1716,2359,1721,2375,1727,2370,1751,2403,1745,2571,1745,2572,1739,2574,1723,2482,1723,2451,1713,2441,1694,2428,1692xm2609,1538l2568,1548,2565,1553,2565,1570,2532,1577,2523,1583,2529,1606,2509,1606,2508,1620,2495,1648,2494,1650,2484,1666,2480,1669,2479,1675,2480,1687,2480,1702,2482,1718,2482,1723,2574,1723,2578,1693,2592,1663,2612,1653,2610,1649,2609,1643,2609,1641,2610,1632,2624,1621,2616,1607,2616,1606,2529,1606,2510,1605,2616,1605,2616,1584,2624,1558,2624,1544,2609,1538xe" filled="true" fillcolor="#ffffff" stroked="false">
              <v:path arrowok="t"/>
              <v:fill type="solid"/>
            </v:shape>
            <v:shape style="position:absolute;left:2270;top:1538;width:508;height:417" coordorigin="2270,1538" coordsize="508,417" path="m2565,1553l2568,1548,2609,1538,2624,1544,2624,1558,2616,1584,2616,1607,2624,1621,2610,1632,2609,1641,2609,1643,2610,1649,2612,1653,2592,1663,2578,1693,2572,1739,2570,1750,2564,1769,2560,1773,2558,1775,2558,1778,2558,1779,2559,1782,2563,1784,2566,1785,2560,1793,2566,1824,2554,1831,2526,1825,2520,1877,2505,1885,2439,1885,2439,1891,2505,1890,2525,1881,2531,1832,2555,1837,2572,1827,2566,1795,2576,1781,2571,1780,2568,1780,2564,1778,2564,1778,2564,1778,2565,1777,2567,1775,2569,1770,2571,1765,2597,1768,2617,1759,2630,1763,2648,1755,2657,1759,2668,1771,2680,1778,2674,1799,2693,1795,2700,1804,2700,1812,2687,1817,2692,1835,2705,1835,2716,1840,2731,1834,2743,1816,2753,1810,2763,1811,2743,1836,2751,1844,2759,1861,2761,1880,2778,1890,2773,1896,2765,1908,2762,1911,2760,1913,2751,1917,2745,1920,2730,1907,2706,1904,2690,1923,2682,1915,2672,1923,2662,1926,2661,1909,2643,1921,2634,1929,2623,1924,2598,1932,2589,1940,2572,1943,2559,1948,2547,1943,2521,1954,2508,1953,2507,1943,2489,1939,2477,1948,2451,1943,2437,1931,2422,1915,2429,1906,2438,1887,2433,1878,2409,1873,2390,1853,2372,1832,2358,1816,2337,1803,2313,1800,2314,1813,2295,1814,2293,1815,2293,1816,2291,1817,2278,1821,2276,1821,2275,1821,2272,1818,2270,1814,2270,1808,2282,1808,2285,1795,2286,1788,2304,1795,2322,1798,2326,1776,2351,1784,2360,1803,2399,1806,2417,1790,2430,1762,2446,1746,2403,1745,2370,1751,2375,1727,2359,1721,2356,1716,2393,1710,2412,1695,2428,1692,2441,1694,2451,1713,2482,1723,2482,1718,2480,1702,2480,1687,2479,1675,2480,1669,2484,1666,2494,1650,2495,1648,2508,1620,2510,1605,2529,1606,2523,1583,2532,1577,2565,1570,2565,1553xe" filled="false" stroked="true" strokeweight=".25pt" strokecolor="#231f20">
              <v:path arrowok="t"/>
            </v:shape>
            <v:shape style="position:absolute;left:2236;top:1483;width:330;height:234" type="#_x0000_t75" stroked="false">
              <v:imagedata r:id="rId518" o:title=""/>
            </v:shape>
            <v:shape style="position:absolute;left:2344;top:1173;width:200;height:187" type="#_x0000_t75" stroked="false">
              <v:imagedata r:id="rId519" o:title=""/>
            </v:shape>
            <v:shape style="position:absolute;left:2145;top:1088;width:410;height:455" type="#_x0000_t75" stroked="false">
              <v:imagedata r:id="rId520" o:title=""/>
            </v:shape>
            <v:shape style="position:absolute;left:1879;top:950;width:319;height:192" type="#_x0000_t75" stroked="false">
              <v:imagedata r:id="rId521" o:title=""/>
            </v:shape>
            <v:shape style="position:absolute;left:1694;top:972;width:537;height:599" type="#_x0000_t75" stroked="false">
              <v:imagedata r:id="rId522" o:title=""/>
            </v:shape>
            <v:shape style="position:absolute;left:1587;top:1274;width:352;height:455" type="#_x0000_t75" stroked="false">
              <v:imagedata r:id="rId523" o:title=""/>
            </v:shape>
            <v:shape style="position:absolute;left:1441;top:1669;width:363;height:673" coordorigin="1441,1669" coordsize="363,673" path="m1758,1980l1501,1980,1531,2012,1537,2019,1538,2058,1549,2078,1532,2078,1534,2086,1538,2095,1533,2100,1533,2116,1555,2146,1545,2161,1535,2161,1510,2192,1486,2199,1489,2211,1475,2219,1475,2228,1486,2247,1483,2262,1491,2274,1501,2305,1497,2321,1499,2333,1499,2341,1517,2330,1529,2325,1563,2325,1563,2320,1558,2300,1578,2295,1594,2264,1759,2264,1755,2240,1749,2213,1739,2194,1723,2192,1722,2163,1723,2136,1670,2136,1649,2120,1639,2115,1607,2115,1600,2092,1601,2081,1589,2079,1570,2070,1563,2067,1545,2067,1543,2062,1554,2056,1625,2056,1626,2030,1637,2014,1726,2014,1752,1997,1758,1980xm1563,2325l1529,2325,1537,2336,1565,2338,1563,2325xm1804,2304l1737,2304,1764,2313,1781,2328,1788,2335,1804,2314,1804,2304xm1786,2276l1705,2276,1719,2299,1720,2314,1720,2325,1733,2325,1737,2304,1804,2304,1804,2290,1786,2276xm1760,2266l1667,2266,1682,2289,1690,2294,1705,2276,1786,2276,1785,2275,1760,2269,1760,2266xm1759,2264l1594,2264,1618,2280,1639,2280,1667,2266,1760,2266,1759,2264xm1701,2133l1695,2133,1670,2136,1723,2136,1723,2135,1701,2133xm1637,2114l1607,2115,1639,2115,1637,2114xm1625,2056l1554,2056,1572,2065,1591,2073,1612,2078,1624,2064,1624,2061,1625,2056xm1716,2061l1695,2061,1707,2069,1712,2065,1716,2061xm1554,2063l1545,2067,1563,2067,1554,2063xm1718,2031l1680,2031,1685,2035,1685,2036,1685,2042,1681,2062,1678,2064,1677,2065,1675,2065,1686,2065,1695,2061,1716,2061,1718,2060,1718,2058,1718,2038,1718,2031xm1726,2014l1637,2014,1653,2019,1656,2032,1666,2031,1680,2031,1718,2031,1720,2018,1726,2014xm1486,1752l1478,1773,1461,1777,1453,1790,1441,1810,1459,1828,1459,1839,1473,1872,1461,1888,1468,1910,1468,1924,1478,1938,1478,1957,1489,1967,1485,1986,1487,1986,1501,1980,1758,1980,1760,1976,1780,1972,1785,1953,1786,1947,1740,1947,1729,1931,1697,1917,1701,1887,1704,1862,1722,1844,1709,1837,1697,1824,1680,1817,1691,1808,1693,1786,1545,1786,1519,1773,1491,1773,1493,1753,1486,1752xm1769,1937l1763,1944,1740,1947,1786,1947,1787,1942,1769,1937xm1611,1695l1611,1695,1608,1708,1607,1739,1586,1740,1583,1762,1555,1762,1545,1786,1693,1786,1695,1766,1695,1762,1695,1758,1696,1757,1699,1754,1707,1754,1712,1747,1710,1739,1706,1730,1705,1728,1702,1726,1701,1722,1650,1722,1626,1702,1611,1695xm1707,1754l1699,1754,1704,1754,1707,1754,1707,1754xm1684,1669l1681,1678,1678,1690,1673,1695,1663,1696,1657,1697,1650,1722,1701,1722,1695,1708,1691,1698,1701,1688,1692,1688,1684,1669xe" filled="true" fillcolor="#ffffff" stroked="false">
              <v:path arrowok="t"/>
              <v:fill type="solid"/>
            </v:shape>
            <v:shape style="position:absolute;left:1441;top:1669;width:363;height:673" coordorigin="1441,1669" coordsize="363,673" path="m1486,2199l1510,2192,1535,2161,1545,2161,1555,2146,1533,2116,1533,2100,1538,2095,1534,2086,1532,2078,1549,2078,1538,2058,1537,2019,1531,2012,1501,1980,1487,1986,1485,1986,1489,1967,1478,1957,1478,1938,1468,1924,1468,1910,1461,1888,1473,1872,1459,1839,1459,1828,1441,1810,1453,1790,1461,1777,1478,1773,1486,1752,1493,1753,1491,1773,1519,1773,1545,1786,1555,1762,1583,1762,1586,1740,1607,1739,1608,1708,1611,1695,1611,1695,1626,1702,1650,1722,1657,1697,1663,1696,1684,1669,1692,1688,1701,1688,1691,1698,1692,1700,1695,1708,1702,1726,1705,1728,1706,1730,1710,1739,1712,1747,1707,1754,1704,1754,1699,1754,1697,1756,1696,1757,1695,1758,1695,1760,1695,1766,1694,1778,1692,1793,1691,1808,1680,1817,1697,1824,1709,1837,1722,1844,1704,1862,1701,1887,1697,1917,1729,1931,1740,1947,1763,1944,1769,1937,1787,1942,1785,1953,1780,1972,1760,1976,1752,1997,1720,2018,1718,2038,1718,2056,1718,2058,1718,2060,1712,2065,1707,2069,1695,2061,1693,2062,1686,2065,1675,2065,1677,2065,1678,2064,1680,2063,1681,2062,1681,2061,1682,2059,1685,2042,1685,2037,1685,2036,1685,2035,1684,2034,1680,2031,1666,2031,1656,2032,1653,2019,1637,2014,1626,2030,1624,2063,1612,2078,1591,2073,1572,2065,1554,2056,1543,2062,1545,2067,1554,2063,1570,2070,1589,2079,1601,2081,1600,2092,1607,2115,1637,2114,1649,2120,1670,2136,1671,2136,1678,2135,1695,2133,1698,2133,1701,2133,1714,2134,1723,2135,1722,2163,1723,2192,1739,2194,1749,2213,1755,2240,1760,2269,1785,2275,1804,2290,1804,2314,1788,2335,1781,2328,1764,2313,1737,2304,1733,2325,1720,2325,1720,2317,1719,2299,1705,2276,1690,2294,1682,2289,1667,2266,1639,2280,1618,2280,1594,2264,1578,2295,1558,2300,1563,2320,1565,2338,1537,2336,1529,2325,1517,2330,1499,2341,1499,2333,1497,2321,1501,2305,1491,2274,1483,2262,1486,2247,1475,2228,1475,2219,1489,2211,1486,2199xe" filled="false" stroked="true" strokeweight=".25pt" strokecolor="#231f20">
              <v:path arrowok="t"/>
            </v:shape>
            <v:shape style="position:absolute;left:1262;top:2195;width:472;height:513" type="#_x0000_t75" stroked="false">
              <v:imagedata r:id="rId524" o:title=""/>
            </v:shape>
            <v:shape style="position:absolute;left:995;top:1805;width:2663;height:1848" type="#_x0000_t75" stroked="false">
              <v:imagedata r:id="rId525" o:title=""/>
            </v:shape>
            <v:shape style="position:absolute;left:3304;top:1486;width:360;height:586" type="#_x0000_t75" stroked="false">
              <v:imagedata r:id="rId526" o:title=""/>
            </v:shape>
            <v:shape style="position:absolute;left:6116;top:725;width:2600;height:1476" coordorigin="6116,725" coordsize="2600,1476" path="m6125,1143l6116,1193,6123,1205,6132,1221,6143,1241,6150,1255,6159,1271,6172,1293,6185,1315,6190,1323,6220,1399,6278,1515,6228,1629,6227,1631,6220,1665,6212,1703,6205,1737,6201,1755,6211,1775,6237,1797,6265,1811,6278,1817,6298,1821,6329,1825,6363,1827,6389,1827,6509,1909,6629,1985,6641,1997,6659,2015,6679,2035,6693,2049,6708,2065,6729,2095,6749,2123,6759,2141,6766,2153,6779,2169,6794,2185,6809,2199,6812,2201,6899,2201,6902,2199,6926,2181,6948,2165,6965,2153,6974,2147,6991,2143,7024,2137,7065,2131,7109,2125,7148,2057,7241,2057,7261,2051,7275,2047,7283,2039,7287,2025,7288,2011,7286,1993,7319,1979,7351,1917,7370,1911,7391,1903,7408,1897,7418,1893,7426,1889,7432,1879,7435,1867,7436,1853,7501,1853,7509,1845,7526,1821,7575,1819,7647,1777,7845,1777,7824,1753,7861,1723,8702,1723,8716,1409,8655,1361,8569,1249,8553,1225,6443,1225,6417,1223,6417,1221,6375,1221,6333,1209,6256,1169,6125,1143xm7241,2057l7148,2057,7209,2063,7223,2061,7241,2057xm7501,1853l7436,1853,7450,1857,7464,1859,7477,1861,7485,1863,7489,1861,7497,1857,7501,1853xm8702,1723l7861,1723,7937,1727,7965,1729,7980,1731,7989,1739,8003,1757,8036,1801,8039,1807,8097,1813,8134,1815,8183,1815,8186,1811,8188,1809,8191,1801,8192,1789,8192,1769,8354,1769,8392,1735,8702,1735,8702,1723xm7845,1777l7647,1777,7668,1779,7702,1779,7719,1783,7733,1791,7750,1799,7767,1809,7877,1813,7845,1777xm8354,1769l8192,1769,8250,1777,8334,1787,8354,1769xm8702,1735l8392,1735,8462,1737,8548,1761,8606,1775,8611,1775,8620,1773,8631,1761,8645,1737,8701,1737,8702,1735xm8701,1737l8645,1737,8701,1749,8701,1737xm7125,887l7114,887,7108,891,7105,895,7099,907,7097,921,7099,937,7102,955,7104,969,7104,987,7092,1011,7089,1017,7079,1023,7060,1033,7038,1043,6995,1065,6980,1073,6971,1077,6967,1081,6951,1085,6921,1089,6816,1101,6802,1103,6792,1105,6760,1115,6723,1131,6690,1147,6671,1157,6631,1165,6581,1173,6506,1183,6487,1187,6468,1199,6453,1213,6443,1225,8553,1225,8545,1213,8507,1213,8456,1187,8400,1127,8336,1035,8181,1035,8171,1027,8163,1017,8166,1007,7991,1007,7989,1005,7986,993,7976,979,7975,977,7964,963,7949,957,7209,957,7197,951,7186,943,7179,929,7165,909,7147,893,7125,887xm6408,1155l6375,1221,6417,1221,6408,1155xm8522,1179l8507,1213,8545,1213,8522,1179xm8268,1017l8266,1017,8244,1023,8219,1029,8198,1033,8185,1035,8336,1035,8331,1027,8268,1017xm8002,893l7996,957,7994,985,7993,1003,7993,1005,7991,1007,8166,1007,8173,981,8173,979,8171,967,8168,955,8168,953,8068,953,8048,949,8033,939,8024,929,8020,925,8002,893xm7251,917l7233,937,7225,945,7220,951,7214,957,7949,957,7944,955,7922,949,7905,947,7906,941,7910,925,7912,921,7295,921,7276,919,7256,919,7251,917xm8147,929l8136,933,8121,939,8109,945,8096,949,8068,953,8168,953,8164,943,8156,935,8147,929xm7319,919l7311,921,7318,921,7319,919xm7320,919l7319,919,7318,921,7320,919xm7913,919l7320,919,7318,921,7912,921,7913,919xm7360,895l7327,895,7319,919,7319,919,7320,919,7913,919,7914,917,7395,917,7360,895xm7601,725l7570,789,7464,809,7449,863,7446,873,7444,881,7440,887,7431,897,7418,905,7402,913,7395,917,7914,917,7919,905,7915,901,7888,863,7883,857,7783,857,7773,853,7761,847,7749,841,7710,821,7692,753,7601,725xm7856,837l7848,837,7829,841,7807,847,7790,857,7883,857,7871,845,7862,839,7856,837xe" filled="true" fillcolor="#231f20" stroked="false">
              <v:path arrowok="t"/>
              <v:fill type="solid"/>
            </v:shape>
            <v:shape style="position:absolute;left:6140;top:1168;width:702;height:869" coordorigin="6140,1168" coordsize="702,869" path="m6143,1168l6140,1187,6147,1199,6156,1215,6165,1231,6170,1242,6177,1255,6189,1274,6201,1295,6211,1311,6241,1389,6304,1512,6250,1635,6238,1693,6230,1730,6224,1756,6235,1765,6252,1777,6271,1787,6287,1795,6300,1797,6326,1800,6359,1801,6397,1803,6521,1889,6645,1966,6659,1981,6678,2000,6696,2018,6708,2029,6710,2031,6713,2033,6715,2036,6709,2028,6785,1973,6835,1939,6841,1910,6838,1910,6821,1904,6802,1889,6785,1873,6775,1862,6743,1813,6684,1762,6675,1688,6645,1633,6519,1590,6424,1536,6442,1427,6436,1313,6414,1247,6387,1247,6323,1229,6246,1189,6143,1168xm6842,1910l6840,1910,6839,1910,6841,1910,6842,1910xm6395,1231l6387,1247,6414,1247,6414,1245,6397,1244,6395,1231xe" filled="true" fillcolor="#ffffff" stroked="false">
              <v:path arrowok="t"/>
              <v:fill type="solid"/>
            </v:shape>
            <v:shape style="position:absolute;left:6140;top:1168;width:702;height:869" coordorigin="6140,1168" coordsize="702,869" path="m6708,2029l6696,2018,6678,2000,6659,1981,6645,1966,6521,1889,6397,1803,6393,1803,6359,1801,6287,1795,6224,1756,6230,1730,6238,1693,6245,1656,6250,1635,6304,1512,6241,1389,6211,1311,6201,1295,6189,1274,6177,1255,6170,1242,6165,1231,6156,1215,6147,1199,6140,1187,6143,1168,6246,1189,6323,1229,6387,1247,6395,1231,6397,1244,6414,1245,6436,1313,6442,1427,6424,1536,6519,1590,6645,1633,6675,1688,6684,1762,6743,1813,6785,1873,6838,1910,6839,1910,6840,1910,6842,1910,6835,1939,6785,1973,6709,2028,6715,2036,6713,2033,6710,2031,6708,2029xe" filled="false" stroked="true" strokeweight=".25pt" strokecolor="#231f20">
              <v:path arrowok="t"/>
            </v:shape>
            <v:shape style="position:absolute;left:6634;top:1393;width:450;height:506" coordorigin="6634,1393" coordsize="450,506" path="m6903,1393l6889,1394,6875,1395,6864,1396,6857,1398,6842,1409,6813,1418,6786,1423,6773,1425,6766,1426,6754,1430,6739,1434,6724,1438,6721,1486,6720,1487,6707,1503,6696,1518,6687,1530,6683,1537,6677,1544,6665,1549,6650,1554,6634,1558,6637,1618,6652,1624,6686,1686,6695,1756,6752,1805,6784,1855,6797,1869,6813,1883,6827,1894,6837,1899,6849,1896,6864,1891,6880,1884,6894,1878,6866,1797,6964,1797,7007,1752,7015,1748,7029,1740,7045,1734,7059,1733,7068,1733,7072,1732,7082,1723,7084,1720,7084,1719,7083,1711,7081,1700,7078,1688,7076,1677,7060,1632,7073,1589,7083,1535,7035,1489,7026,1472,7016,1457,7008,1445,7002,1439,6994,1432,6983,1422,6972,1412,6965,1404,6903,1393xm6964,1797l6866,1797,6943,1819,6964,1797xm7068,1733l7059,1733,7065,1734,7068,1733xe" filled="true" fillcolor="#8dc63f" stroked="false">
              <v:path arrowok="t"/>
              <v:fill type="solid"/>
            </v:shape>
            <v:shape style="position:absolute;left:6713;top:1811;width:396;height:369" type="#_x0000_t75" stroked="false">
              <v:imagedata r:id="rId527" o:title=""/>
            </v:shape>
            <v:shape style="position:absolute;left:6423;top:748;width:2272;height:1327" type="#_x0000_t75" stroked="false">
              <v:imagedata r:id="rId528" o:title=""/>
            </v:shape>
            <v:shape style="position:absolute;left:6480;top:1250;width:554;height:140" type="#_x0000_t75" stroked="false">
              <v:imagedata r:id="rId529" o:title=""/>
            </v:shape>
            <v:shape style="position:absolute;left:7051;top:1239;width:677;height:159" type="#_x0000_t75" stroked="false">
              <v:imagedata r:id="rId530" o:title=""/>
            </v:shape>
            <v:shape style="position:absolute;left:8006;top:1508;width:62;height:77" coordorigin="8006,1508" coordsize="62,77" path="m8045,1521l8029,1521,8029,1584,8045,1584,8045,1521xm8068,1508l8006,1508,8006,1521,8068,1521,8068,1508xe" filled="true" fillcolor="#231f20" stroked="false">
              <v:path arrowok="t"/>
              <v:fill type="solid"/>
            </v:shape>
            <v:shape style="position:absolute;left:8064;top:1526;width:56;height:60" coordorigin="8064,1526" coordsize="56,60" path="m8097,1526l8083,1526,8077,1529,8066,1539,8064,1546,8064,1567,8067,1574,8078,1584,8085,1586,8101,1586,8108,1583,8113,1578,8117,1574,8117,1574,8089,1574,8087,1573,8085,1572,8081,1570,8079,1566,8079,1560,8120,1560,8120,1551,8119,1550,8079,1550,8080,1547,8081,1544,8085,1539,8088,1538,8115,1538,8112,1533,8109,1531,8101,1527,8097,1526xm8119,1567l8104,1567,8103,1569,8102,1570,8099,1573,8096,1574,8117,1574,8118,1571,8119,1567xm8115,1538l8095,1538,8098,1539,8103,1543,8104,1546,8104,1550,8119,1550,8118,1544,8117,1540,8115,1538xe" filled="true" fillcolor="#231f20" stroked="false">
              <v:path arrowok="t"/>
              <v:fill type="solid"/>
            </v:shape>
            <v:shape style="position:absolute;left:8122;top:1528;width:56;height:57" coordorigin="8122,1528" coordsize="56,57" path="m8140,1528l8122,1528,8141,1555,8122,1584,8139,1584,8149,1567,8166,1567,8158,1555,8165,1544,8150,1544,8140,1528xm8166,1567l8149,1567,8159,1584,8177,1584,8166,1567xm8176,1528l8159,1528,8150,1544,8165,1544,8176,1528xe" filled="true" fillcolor="#231f20" stroked="false">
              <v:path arrowok="t"/>
              <v:fill type="solid"/>
            </v:shape>
            <v:shape style="position:absolute;left:8183;top:1526;width:52;height:60" coordorigin="8183,1526" coordsize="52,60" path="m8216,1526l8201,1526,8195,1529,8190,1534,8185,1540,8183,1547,8183,1565,8185,1572,8185,1573,8193,1583,8200,1586,8218,1586,8225,1583,8232,1573,8205,1573,8201,1571,8199,1564,8198,1561,8198,1552,8199,1549,8201,1541,8205,1539,8233,1539,8231,1534,8222,1528,8216,1526xm8235,1563l8219,1563,8219,1566,8218,1569,8215,1573,8213,1573,8232,1573,8233,1572,8234,1568,8235,1563xm8233,1539l8213,1539,8216,1540,8217,1542,8219,1544,8219,1546,8220,1548,8235,1548,8234,1541,8234,1540,8233,1539xe" filled="true" fillcolor="#231f20" stroked="false">
              <v:path arrowok="t"/>
              <v:fill type="solid"/>
            </v:shape>
            <v:shape style="position:absolute;left:8241;top:1526;width:58;height:60" coordorigin="8241,1526" coordsize="58,60" path="m8280,1526l8260,1526,8253,1529,8244,1541,8241,1548,8241,1564,8244,1571,8253,1583,8260,1586,8280,1586,8287,1583,8295,1573,8266,1573,8262,1572,8258,1566,8257,1561,8257,1550,8258,1546,8260,1543,8262,1540,8266,1538,8295,1538,8287,1529,8280,1526xm8295,1538l8274,1538,8278,1540,8282,1546,8283,1550,8283,1561,8282,1566,8278,1572,8274,1573,8295,1573,8296,1571,8299,1564,8299,1548,8296,1541,8295,1538xe" filled="true" fillcolor="#231f20" stroked="false">
              <v:path arrowok="t"/>
              <v:fill type="solid"/>
            </v:shape>
            <v:shape style="position:absolute;left:8306;top:1526;width:52;height:60" coordorigin="8306,1526" coordsize="52,60" path="m8340,1526l8324,1526,8318,1529,8309,1540,8306,1547,8306,1565,8308,1572,8308,1573,8317,1583,8324,1586,8342,1586,8348,1583,8355,1573,8328,1573,8325,1571,8322,1564,8322,1561,8322,1552,8322,1549,8325,1541,8328,1539,8357,1539,8355,1534,8346,1528,8340,1526xm8358,1563l8343,1563,8343,1566,8342,1569,8339,1573,8336,1573,8355,1573,8356,1572,8358,1568,8358,1563xm8357,1539l8337,1539,8339,1540,8341,1542,8342,1544,8343,1546,8343,1548,8358,1548,8357,1541,8357,1540,8357,1539xe" filled="true" fillcolor="#231f20" stroked="false">
              <v:path arrowok="t"/>
              <v:fill type="solid"/>
            </v:shape>
            <v:shape style="position:absolute;left:8365;top:1526;width:58;height:60" coordorigin="8365,1526" coordsize="58,60" path="m8403,1526l8384,1526,8377,1529,8367,1541,8365,1548,8365,1564,8367,1571,8377,1583,8384,1586,8403,1586,8410,1583,8418,1573,8389,1573,8386,1572,8381,1566,8380,1561,8380,1550,8381,1546,8384,1543,8386,1540,8389,1538,8418,1538,8410,1529,8403,1526xm8418,1538l8398,1538,8401,1540,8406,1546,8407,1550,8407,1561,8406,1566,8401,1572,8398,1573,8418,1573,8420,1571,8422,1564,8422,1548,8420,1541,8418,1538xe" filled="true" fillcolor="#231f20" stroked="false">
              <v:path arrowok="t"/>
              <v:fill type="solid"/>
            </v:shape>
            <v:shape style="position:absolute;left:6982;top:1735;width:547;height:88" type="#_x0000_t75" stroked="false">
              <v:imagedata r:id="rId531" o:title=""/>
            </v:shape>
            <v:shape style="position:absolute;left:5826;top:1945;width:647;height:90" type="#_x0000_t75" stroked="false">
              <v:imagedata r:id="rId532" o:title=""/>
            </v:shape>
            <v:line style="position:absolute" from="6481,1982" to="6494,1982" stroked="true" strokeweight="3.344pt" strokecolor="#231f20"/>
            <v:shape style="position:absolute;left:6747;top:2005;width:48;height:67" coordorigin="6747,2005" coordsize="48,67" path="m6761,2005l6747,2005,6747,2072,6794,2072,6794,2060,6761,2060,6761,2005xe" filled="true" fillcolor="#231f20" stroked="false">
              <v:path arrowok="t"/>
              <v:fill type="solid"/>
            </v:shape>
            <v:shape style="position:absolute;left:6799;top:2021;width:47;height:53" coordorigin="6799,2021" coordsize="47,53" path="m6843,2032l6825,2032,6827,2032,6829,2033,6830,2035,6830,2039,6829,2040,6826,2041,6825,2041,6813,2043,6809,2044,6802,2048,6799,2053,6799,2063,6801,2067,6807,2072,6810,2073,6818,2073,6822,2073,6827,2070,6829,2068,6831,2066,6843,2066,6843,2064,6817,2064,6815,2063,6813,2062,6812,2060,6812,2055,6813,2053,6816,2052,6818,2051,6821,2050,6826,2050,6827,2049,6828,2049,6829,2048,6830,2048,6843,2048,6843,2032xm6843,2066l6831,2066,6831,2068,6831,2070,6831,2071,6832,2072,6846,2072,6846,2070,6845,2070,6844,2069,6843,2068,6843,2067,6843,2066xm6843,2048l6830,2048,6830,2057,6829,2060,6824,2063,6821,2064,6843,2064,6843,2048xm6828,2021l6814,2021,6808,2023,6802,2030,6801,2034,6801,2038,6813,2038,6814,2036,6814,2035,6815,2034,6816,2032,6819,2032,6843,2032,6843,2030,6841,2027,6832,2022,6828,2021xe" filled="true" fillcolor="#231f20" stroked="false">
              <v:path arrowok="t"/>
              <v:fill type="solid"/>
            </v:shape>
            <v:shape style="position:absolute;left:6882;top:2005;width:51;height:67" coordorigin="6882,2005" coordsize="51,67" path="m6917,2005l6882,2005,6882,2072,6895,2072,6895,2048,6917,2048,6922,2046,6930,2040,6931,2036,6895,2036,6895,2017,6931,2017,6930,2014,6922,2007,6917,2005xm6931,2017l6911,2017,6914,2017,6917,2020,6918,2023,6918,2030,6917,2032,6914,2035,6911,2036,6931,2036,6932,2034,6932,2019,6931,2017xe" filled="true" fillcolor="#231f20" stroked="false">
              <v:path arrowok="t"/>
              <v:fill type="solid"/>
            </v:shape>
            <v:shape style="position:absolute;left:6939;top:2021;width:47;height:53" coordorigin="6939,2021" coordsize="47,53" path="m6983,2032l6964,2032,6966,2032,6969,2033,6970,2035,6970,2039,6969,2040,6966,2041,6964,2041,6952,2043,6948,2044,6941,2048,6939,2053,6939,2063,6940,2067,6946,2072,6950,2073,6958,2073,6961,2073,6966,2070,6968,2068,6970,2066,6983,2066,6983,2064,6956,2064,6955,2063,6952,2062,6952,2060,6952,2055,6953,2053,6956,2052,6958,2051,6961,2050,6965,2050,6966,2049,6968,2049,6969,2048,6970,2048,6983,2048,6983,2032xm6983,2066l6970,2066,6970,2068,6971,2070,6971,2071,6971,2072,6985,2072,6985,2070,6984,2070,6984,2069,6983,2068,6983,2067,6983,2066xm6983,2048l6970,2048,6970,2057,6968,2060,6964,2063,6961,2064,6983,2064,6983,2048xm6967,2021l6953,2021,6947,2023,6942,2030,6941,2034,6940,2038,6953,2038,6953,2036,6954,2035,6955,2034,6956,2032,6958,2032,6983,2032,6982,2030,6980,2027,6972,2022,6967,2021xe" filled="true" fillcolor="#231f20" stroked="false">
              <v:path arrowok="t"/>
              <v:fill type="solid"/>
            </v:shape>
            <v:shape style="position:absolute;left:6989;top:2022;width:42;height:50" coordorigin="6989,2022" coordsize="42,50" path="m7030,2022l6991,2022,6991,2033,7014,2033,6989,2062,6989,2072,7031,2072,7031,2061,7006,2061,7030,2033,7030,2022xe" filled="true" fillcolor="#231f20" stroked="false">
              <v:path arrowok="t"/>
              <v:fill type="solid"/>
            </v:shape>
            <v:shape style="position:absolute;left:2877;top:2284;width:197;height:115" type="#_x0000_t75" stroked="false">
              <v:imagedata r:id="rId533" o:title=""/>
            </v:shape>
            <v:line style="position:absolute" from="6144,1168" to="3217,2086" stroked="true" strokeweight=".5pt" strokecolor="#8dc63f"/>
            <v:line style="position:absolute" from="6841,2199" to="3187,2209" stroked="true" strokeweight=".5pt" strokecolor="#8dc63f"/>
            <v:line style="position:absolute" from="6208,1771" to="3237,2135" stroked="true" strokeweight=".5pt" strokecolor="#ed1c24"/>
            <v:shape style="position:absolute;left:3721;top:3242;width:448;height:102" type="#_x0000_t75" stroked="false">
              <v:imagedata r:id="rId534" o:title=""/>
            </v:shape>
            <v:shape style="position:absolute;left:4230;top:3235;width:522;height:113" type="#_x0000_t75" stroked="false">
              <v:imagedata r:id="rId535" o:title=""/>
            </v:shape>
            <v:shape style="position:absolute;left:4809;top:3235;width:514;height:134" type="#_x0000_t75" stroked="false">
              <v:imagedata r:id="rId536" o:title=""/>
            </v:shape>
            <v:shape style="position:absolute;left:5372;top:3242;width:143;height:102" type="#_x0000_t75" stroked="false">
              <v:imagedata r:id="rId537" o:title=""/>
            </v:shape>
            <v:shape style="position:absolute;left:5574;top:3235;width:699;height:113" type="#_x0000_t75" stroked="false">
              <v:imagedata r:id="rId538" o:title=""/>
            </v:shape>
            <v:shape style="position:absolute;left:6325;top:3267;width:66;height:77" coordorigin="6325,3267" coordsize="66,77" path="m6364,3267l6349,3267,6341,3271,6328,3286,6326,3294,6325,3319,6328,3328,6341,3341,6348,3344,6361,3344,6364,3344,6367,3343,6373,3342,6377,3339,6381,3336,6383,3333,6352,3333,6347,3331,6340,3322,6339,3316,6338,3309,6391,3309,6391,3299,6339,3299,6339,3293,6341,3288,6348,3280,6353,3278,6383,3278,6382,3277,6379,3273,6369,3269,6364,3267xm6390,3319l6378,3319,6377,3322,6376,3325,6370,3331,6365,3333,6383,3333,6385,3331,6388,3324,6390,3321,6390,3319xm6383,3278l6366,3278,6372,3281,6377,3290,6378,3294,6378,3299,6391,3299,6390,3296,6390,3293,6389,3288,6387,3284,6383,3278xe" filled="true" fillcolor="#231f20" stroked="false">
              <v:path arrowok="t"/>
              <v:fill type="solid"/>
            </v:shape>
            <v:shape style="position:absolute;left:6449;top:3235;width:784;height:136" type="#_x0000_t75" stroked="false">
              <v:imagedata r:id="rId539" o:title=""/>
            </v:shape>
            <v:shape style="position:absolute;left:7287;top:3240;width:695;height:132" type="#_x0000_t75" stroked="false">
              <v:imagedata r:id="rId540" o:title=""/>
            </v:shape>
            <v:shape style="position:absolute;left:4225;top:3406;width:661;height:104" type="#_x0000_t75" stroked="false">
              <v:imagedata r:id="rId541" o:title=""/>
            </v:shape>
            <v:shape style="position:absolute;left:4929;top:3435;width:67;height:102" coordorigin="4929,3435" coordsize="67,102" path="m4936,3525l4936,3536,4937,3536,4938,3536,4950,3537,4955,3535,4961,3527,4961,3526,4945,3526,4941,3526,4939,3526,4938,3525,4936,3525xm4943,3435l4929,3435,4956,3509,4955,3511,4951,3520,4951,3522,4950,3523,4949,3524,4948,3525,4947,3526,4945,3526,4961,3526,4966,3515,4974,3494,4962,3494,4943,3435xm4995,3435l4982,3435,4962,3494,4974,3494,4976,3489,4979,3479,4994,3440,4995,3435xe" filled="true" fillcolor="#231f20" stroked="false">
              <v:path arrowok="t"/>
              <v:fill type="solid"/>
            </v:shape>
            <v:shape style="position:absolute;left:5041;top:3402;width:538;height:111" type="#_x0000_t75" stroked="false">
              <v:imagedata r:id="rId542" o:title=""/>
            </v:shape>
            <v:shape style="position:absolute;left:5630;top:3402;width:171;height:111" type="#_x0000_t75" stroked="false">
              <v:imagedata r:id="rId543" o:title=""/>
            </v:shape>
            <v:shape style="position:absolute;left:5856;top:3405;width:556;height:104" type="#_x0000_t75" stroked="false">
              <v:imagedata r:id="rId544" o:title=""/>
            </v:shape>
            <v:shape style="position:absolute;left:6460;top:3402;width:171;height:111" type="#_x0000_t75" stroked="false">
              <v:imagedata r:id="rId545" o:title=""/>
            </v:shape>
            <v:shape style="position:absolute;left:6691;top:3408;width:412;height:102" type="#_x0000_t75" stroked="false">
              <v:imagedata r:id="rId546" o:title=""/>
            </v:shape>
            <v:shape style="position:absolute;left:7151;top:3408;width:143;height:102" type="#_x0000_t75" stroked="false">
              <v:imagedata r:id="rId547" o:title=""/>
            </v:shape>
            <v:shape style="position:absolute;left:7350;top:3406;width:464;height:130" type="#_x0000_t75" stroked="false">
              <v:imagedata r:id="rId548" o:title=""/>
            </v:shape>
            <w10:wrap type="topAndBottom"/>
          </v:group>
        </w:pict>
      </w:r>
      <w:r>
        <w:rPr>
          <w:color w:val="231F20"/>
          <w:w w:val="105"/>
        </w:rPr>
        <w:t>Chimalhuacán</w:t>
      </w:r>
      <w:r>
        <w:rPr>
          <w:color w:val="231F20"/>
          <w:spacing w:val="-14"/>
          <w:w w:val="105"/>
        </w:rPr>
        <w:t> </w:t>
      </w:r>
      <w:r>
        <w:rPr>
          <w:color w:val="231F20"/>
          <w:w w:val="105"/>
        </w:rPr>
        <w:t>forma</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spacing w:val="-6"/>
          <w:w w:val="105"/>
        </w:rPr>
        <w:t>17</w:t>
      </w:r>
      <w:r>
        <w:rPr>
          <w:color w:val="231F20"/>
          <w:spacing w:val="-14"/>
          <w:w w:val="105"/>
        </w:rPr>
        <w:t> </w:t>
      </w:r>
      <w:r>
        <w:rPr>
          <w:color w:val="231F20"/>
          <w:w w:val="105"/>
        </w:rPr>
        <w:t>Ciudades</w:t>
      </w:r>
      <w:r>
        <w:rPr>
          <w:color w:val="231F20"/>
          <w:spacing w:val="-14"/>
          <w:w w:val="105"/>
        </w:rPr>
        <w:t> </w:t>
      </w:r>
      <w:r>
        <w:rPr>
          <w:color w:val="231F20"/>
          <w:w w:val="105"/>
        </w:rPr>
        <w:t>periféricas</w:t>
      </w:r>
      <w:r>
        <w:rPr>
          <w:color w:val="231F20"/>
          <w:spacing w:val="-14"/>
          <w:w w:val="105"/>
        </w:rPr>
        <w:t> </w:t>
      </w:r>
      <w:r>
        <w:rPr>
          <w:color w:val="231F20"/>
          <w:spacing w:val="2"/>
          <w:w w:val="105"/>
        </w:rPr>
        <w:t>al</w:t>
      </w:r>
      <w:r>
        <w:rPr>
          <w:color w:val="231F20"/>
          <w:spacing w:val="-14"/>
          <w:w w:val="105"/>
        </w:rPr>
        <w:t> </w:t>
      </w:r>
      <w:r>
        <w:rPr>
          <w:color w:val="231F20"/>
          <w:w w:val="105"/>
        </w:rPr>
        <w:t>Distrito</w:t>
      </w:r>
      <w:r>
        <w:rPr>
          <w:color w:val="231F20"/>
          <w:spacing w:val="-14"/>
          <w:w w:val="105"/>
        </w:rPr>
        <w:t> </w:t>
      </w:r>
      <w:r>
        <w:rPr>
          <w:color w:val="231F20"/>
          <w:w w:val="105"/>
        </w:rPr>
        <w:t>Federal</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Valle </w:t>
      </w:r>
      <w:r>
        <w:rPr>
          <w:color w:val="231F20"/>
          <w:spacing w:val="-4"/>
          <w:w w:val="105"/>
        </w:rPr>
        <w:t>Cuautitlán-Texcoco.</w:t>
      </w:r>
    </w:p>
    <w:p>
      <w:pPr>
        <w:pStyle w:val="BodyText"/>
        <w:spacing w:line="285" w:lineRule="auto" w:before="193"/>
        <w:ind w:left="110" w:right="108"/>
        <w:jc w:val="both"/>
      </w:pPr>
      <w:r>
        <w:rPr>
          <w:color w:val="231F20"/>
          <w:w w:val="105"/>
        </w:rPr>
        <w:t>Con una estructura político, jurídica y administrativa hasta </w:t>
      </w:r>
      <w:r>
        <w:rPr>
          <w:color w:val="231F20"/>
          <w:spacing w:val="-3"/>
          <w:w w:val="105"/>
        </w:rPr>
        <w:t>1970 </w:t>
      </w:r>
      <w:r>
        <w:rPr>
          <w:color w:val="231F20"/>
          <w:w w:val="105"/>
        </w:rPr>
        <w:t>para </w:t>
      </w:r>
      <w:r>
        <w:rPr>
          <w:color w:val="231F20"/>
          <w:spacing w:val="3"/>
          <w:w w:val="105"/>
        </w:rPr>
        <w:t>30,000 </w:t>
      </w:r>
      <w:r>
        <w:rPr>
          <w:color w:val="231F20"/>
          <w:w w:val="105"/>
        </w:rPr>
        <w:t>habitan- tes máximo, de </w:t>
      </w:r>
      <w:r>
        <w:rPr>
          <w:color w:val="231F20"/>
          <w:spacing w:val="-3"/>
          <w:w w:val="105"/>
        </w:rPr>
        <w:t>pronto </w:t>
      </w:r>
      <w:r>
        <w:rPr>
          <w:color w:val="231F20"/>
          <w:w w:val="105"/>
        </w:rPr>
        <w:t>recibió multiplicidad de habitantes producto de un desarrollo habitacional</w:t>
      </w:r>
      <w:r>
        <w:rPr>
          <w:color w:val="231F20"/>
          <w:spacing w:val="-10"/>
          <w:w w:val="105"/>
        </w:rPr>
        <w:t> </w:t>
      </w:r>
      <w:r>
        <w:rPr>
          <w:color w:val="231F20"/>
          <w:w w:val="105"/>
        </w:rPr>
        <w:t>desenfrenado</w:t>
      </w:r>
      <w:r>
        <w:rPr>
          <w:color w:val="231F20"/>
          <w:spacing w:val="-10"/>
          <w:w w:val="105"/>
        </w:rPr>
        <w:t> </w:t>
      </w:r>
      <w:r>
        <w:rPr>
          <w:color w:val="231F20"/>
          <w:w w:val="105"/>
        </w:rPr>
        <w:t>e</w:t>
      </w:r>
      <w:r>
        <w:rPr>
          <w:color w:val="231F20"/>
          <w:spacing w:val="-10"/>
          <w:w w:val="105"/>
        </w:rPr>
        <w:t> </w:t>
      </w:r>
      <w:r>
        <w:rPr>
          <w:color w:val="231F20"/>
          <w:w w:val="105"/>
        </w:rPr>
        <w:t>irregular</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fecha</w:t>
      </w:r>
      <w:r>
        <w:rPr>
          <w:color w:val="231F20"/>
          <w:spacing w:val="-10"/>
          <w:w w:val="105"/>
        </w:rPr>
        <w:t> </w:t>
      </w:r>
      <w:r>
        <w:rPr>
          <w:color w:val="231F20"/>
          <w:w w:val="105"/>
        </w:rPr>
        <w:t>cuenta</w:t>
      </w:r>
      <w:r>
        <w:rPr>
          <w:color w:val="231F20"/>
          <w:spacing w:val="-10"/>
          <w:w w:val="105"/>
        </w:rPr>
        <w:t> </w:t>
      </w:r>
      <w:r>
        <w:rPr>
          <w:color w:val="231F20"/>
          <w:w w:val="105"/>
        </w:rPr>
        <w:t>con</w:t>
      </w:r>
      <w:r>
        <w:rPr>
          <w:color w:val="231F20"/>
          <w:spacing w:val="-10"/>
          <w:w w:val="105"/>
        </w:rPr>
        <w:t> </w:t>
      </w:r>
      <w:r>
        <w:rPr>
          <w:color w:val="231F20"/>
          <w:w w:val="105"/>
        </w:rPr>
        <w:t>más</w:t>
      </w:r>
      <w:r>
        <w:rPr>
          <w:color w:val="231F20"/>
          <w:spacing w:val="-10"/>
          <w:w w:val="105"/>
        </w:rPr>
        <w:t> </w:t>
      </w:r>
      <w:r>
        <w:rPr>
          <w:color w:val="231F20"/>
          <w:w w:val="105"/>
        </w:rPr>
        <w:t>de</w:t>
      </w:r>
      <w:r>
        <w:rPr>
          <w:color w:val="231F20"/>
          <w:spacing w:val="-10"/>
          <w:w w:val="105"/>
        </w:rPr>
        <w:t> </w:t>
      </w:r>
      <w:r>
        <w:rPr>
          <w:color w:val="231F20"/>
          <w:spacing w:val="3"/>
          <w:w w:val="105"/>
        </w:rPr>
        <w:t>500,000</w:t>
      </w:r>
      <w:r>
        <w:rPr>
          <w:color w:val="231F20"/>
          <w:spacing w:val="-10"/>
          <w:w w:val="105"/>
        </w:rPr>
        <w:t> </w:t>
      </w:r>
      <w:r>
        <w:rPr>
          <w:color w:val="231F20"/>
          <w:w w:val="105"/>
        </w:rPr>
        <w:t>habitantes. Así,</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pueblo</w:t>
      </w:r>
      <w:r>
        <w:rPr>
          <w:color w:val="231F20"/>
          <w:spacing w:val="-15"/>
          <w:w w:val="105"/>
        </w:rPr>
        <w:t> </w:t>
      </w:r>
      <w:r>
        <w:rPr>
          <w:color w:val="231F20"/>
          <w:w w:val="105"/>
        </w:rPr>
        <w:t>ubicado</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inmediaciones</w:t>
      </w:r>
      <w:r>
        <w:rPr>
          <w:color w:val="231F20"/>
          <w:spacing w:val="-15"/>
          <w:w w:val="105"/>
        </w:rPr>
        <w:t> </w:t>
      </w:r>
      <w:r>
        <w:rPr>
          <w:color w:val="231F20"/>
          <w:w w:val="105"/>
        </w:rPr>
        <w:t>del</w:t>
      </w:r>
      <w:r>
        <w:rPr>
          <w:color w:val="231F20"/>
          <w:spacing w:val="-15"/>
          <w:w w:val="105"/>
        </w:rPr>
        <w:t> </w:t>
      </w:r>
      <w:r>
        <w:rPr>
          <w:color w:val="231F20"/>
          <w:w w:val="105"/>
        </w:rPr>
        <w:t>cerro</w:t>
      </w:r>
      <w:r>
        <w:rPr>
          <w:color w:val="231F20"/>
          <w:spacing w:val="-15"/>
          <w:w w:val="105"/>
        </w:rPr>
        <w:t> </w:t>
      </w:r>
      <w:r>
        <w:rPr>
          <w:color w:val="231F20"/>
          <w:w w:val="105"/>
        </w:rPr>
        <w:t>Chimalhuachi</w:t>
      </w:r>
      <w:r>
        <w:rPr>
          <w:color w:val="231F20"/>
          <w:spacing w:val="-15"/>
          <w:w w:val="105"/>
        </w:rPr>
        <w:t> </w:t>
      </w:r>
      <w:r>
        <w:rPr>
          <w:color w:val="231F20"/>
          <w:w w:val="105"/>
        </w:rPr>
        <w:t>conformado</w:t>
      </w:r>
      <w:r>
        <w:rPr>
          <w:color w:val="231F20"/>
          <w:spacing w:val="-15"/>
          <w:w w:val="105"/>
        </w:rPr>
        <w:t> </w:t>
      </w:r>
      <w:r>
        <w:rPr>
          <w:color w:val="231F20"/>
          <w:w w:val="105"/>
        </w:rPr>
        <w:t>de nueve</w:t>
      </w:r>
      <w:r>
        <w:rPr>
          <w:color w:val="231F20"/>
          <w:spacing w:val="-11"/>
          <w:w w:val="105"/>
        </w:rPr>
        <w:t> </w:t>
      </w:r>
      <w:r>
        <w:rPr>
          <w:color w:val="231F20"/>
          <w:w w:val="105"/>
        </w:rPr>
        <w:t>comunidades,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actualidad</w:t>
      </w:r>
      <w:r>
        <w:rPr>
          <w:color w:val="231F20"/>
          <w:spacing w:val="-11"/>
          <w:w w:val="105"/>
        </w:rPr>
        <w:t> </w:t>
      </w:r>
      <w:r>
        <w:rPr>
          <w:color w:val="231F20"/>
          <w:w w:val="105"/>
        </w:rPr>
        <w:t>éstas</w:t>
      </w:r>
      <w:r>
        <w:rPr>
          <w:color w:val="231F20"/>
          <w:spacing w:val="-11"/>
          <w:w w:val="105"/>
        </w:rPr>
        <w:t> </w:t>
      </w:r>
      <w:r>
        <w:rPr>
          <w:color w:val="231F20"/>
          <w:w w:val="105"/>
        </w:rPr>
        <w:t>suman</w:t>
      </w:r>
      <w:r>
        <w:rPr>
          <w:color w:val="231F20"/>
          <w:spacing w:val="-11"/>
          <w:w w:val="105"/>
        </w:rPr>
        <w:t> </w:t>
      </w:r>
      <w:r>
        <w:rPr>
          <w:color w:val="231F20"/>
          <w:spacing w:val="2"/>
          <w:w w:val="105"/>
        </w:rPr>
        <w:t>64.</w:t>
      </w:r>
    </w:p>
    <w:p>
      <w:pPr>
        <w:pStyle w:val="BodyText"/>
        <w:spacing w:before="1"/>
        <w:rPr>
          <w:sz w:val="26"/>
        </w:rPr>
      </w:pPr>
    </w:p>
    <w:p>
      <w:pPr>
        <w:pStyle w:val="BodyText"/>
        <w:spacing w:line="285" w:lineRule="auto"/>
        <w:ind w:left="110" w:right="108"/>
        <w:jc w:val="both"/>
      </w:pPr>
      <w:r>
        <w:rPr>
          <w:color w:val="231F20"/>
          <w:spacing w:val="-3"/>
        </w:rPr>
        <w:t>Por  </w:t>
      </w:r>
      <w:r>
        <w:rPr>
          <w:color w:val="231F20"/>
        </w:rPr>
        <w:t>otro lado, su gobierno ha evolucionado hasta contar a la fecha con 20 integrantes     de los cuales 12 pertenecen </w:t>
      </w:r>
      <w:r>
        <w:rPr>
          <w:color w:val="231F20"/>
          <w:spacing w:val="2"/>
        </w:rPr>
        <w:t>al </w:t>
      </w:r>
      <w:r>
        <w:rPr>
          <w:color w:val="231F20"/>
        </w:rPr>
        <w:t>Partido Revolucionario Institucional, 6 </w:t>
      </w:r>
      <w:r>
        <w:rPr>
          <w:color w:val="231F20"/>
          <w:spacing w:val="2"/>
        </w:rPr>
        <w:t>al </w:t>
      </w:r>
      <w:r>
        <w:rPr>
          <w:color w:val="231F20"/>
        </w:rPr>
        <w:t>Partido de la </w:t>
      </w:r>
      <w:r>
        <w:rPr>
          <w:color w:val="231F20"/>
          <w:spacing w:val="-3"/>
        </w:rPr>
        <w:t>Revolución </w:t>
      </w:r>
      <w:r>
        <w:rPr>
          <w:color w:val="231F20"/>
        </w:rPr>
        <w:t>Democrática y solamente 2 </w:t>
      </w:r>
      <w:r>
        <w:rPr>
          <w:color w:val="231F20"/>
          <w:spacing w:val="2"/>
        </w:rPr>
        <w:t>al </w:t>
      </w:r>
      <w:r>
        <w:rPr>
          <w:color w:val="231F20"/>
        </w:rPr>
        <w:t>Partido Acción  </w:t>
      </w:r>
      <w:r>
        <w:rPr>
          <w:color w:val="231F20"/>
          <w:spacing w:val="29"/>
        </w:rPr>
        <w:t> </w:t>
      </w:r>
      <w:r>
        <w:rPr>
          <w:color w:val="231F20"/>
        </w:rPr>
        <w:t>Nacional.</w:t>
      </w:r>
    </w:p>
    <w:p>
      <w:pPr>
        <w:spacing w:after="0" w:line="285" w:lineRule="auto"/>
        <w:jc w:val="both"/>
        <w:sectPr>
          <w:footerReference w:type="default" r:id="rId509"/>
          <w:pgSz w:w="9640" w:h="12190"/>
          <w:pgMar w:footer="743" w:header="0" w:top="1120" w:bottom="940" w:left="740" w:right="740"/>
          <w:pgNumType w:start="180"/>
        </w:sectPr>
      </w:pPr>
    </w:p>
    <w:p>
      <w:pPr>
        <w:pStyle w:val="Heading5"/>
        <w:spacing w:before="27"/>
        <w:ind w:right="102"/>
        <w:jc w:val="center"/>
      </w:pPr>
      <w:r>
        <w:rPr>
          <w:color w:val="231F20"/>
          <w:w w:val="105"/>
        </w:rPr>
        <w:t>Organización y Estructura de la Administración Pública</w:t>
      </w:r>
    </w:p>
    <w:p>
      <w:pPr>
        <w:pStyle w:val="BodyText"/>
        <w:spacing w:before="10"/>
        <w:rPr>
          <w:b/>
          <w:sz w:val="10"/>
        </w:rPr>
      </w:pPr>
      <w:r>
        <w:rPr/>
        <w:pict>
          <v:group style="position:absolute;margin-left:44.327805pt;margin-top:8.213018pt;width:393.75pt;height:241.1pt;mso-position-horizontal-relative:page;mso-position-vertical-relative:paragraph;z-index:9424;mso-wrap-distance-left:0;mso-wrap-distance-right:0" coordorigin="887,164" coordsize="7875,4822">
            <v:shape style="position:absolute;left:4122;top:164;width:1315;height:860" coordorigin="4122,164" coordsize="1315,860" path="m5329,164l4229,164,4188,173,4153,196,4130,230,4122,272,4122,916,4130,958,4153,992,4188,1015,4229,1024,5329,1024,5371,1015,5405,992,5428,958,5437,916,5437,272,5428,230,5405,196,5371,173,5329,164xe" filled="true" fillcolor="#1b75bc" stroked="false">
              <v:path arrowok="t"/>
              <v:fill type="solid"/>
            </v:shape>
            <v:shape style="position:absolute;left:4262;top:296;width:1315;height:860" coordorigin="4262,296" coordsize="1315,860" path="m5469,296l4369,296,4328,304,4293,327,4270,362,4262,404,4262,1047,4270,1089,4293,1123,4328,1146,4369,1155,5469,1155,5511,1146,5545,1123,5568,1089,5577,1047,5577,404,5568,362,5545,327,5511,304,5469,296xe" filled="true" fillcolor="#ffffff" stroked="false">
              <v:path arrowok="t"/>
              <v:fill type="solid"/>
            </v:shape>
            <v:shape style="position:absolute;left:4262;top:296;width:1315;height:860" coordorigin="4262,296" coordsize="1315,860" path="m5469,1155l4369,1155,4328,1146,4293,1123,4270,1089,4262,1047,4262,404,4270,362,4293,327,4328,304,4369,296,5469,296,5511,304,5545,327,5568,362,5577,404,5577,1047,5568,1089,5545,1123,5511,1146,5469,1155xe" filled="false" stroked="true" strokeweight="1pt" strokecolor="#1b75bc">
              <v:path arrowok="t"/>
            </v:shape>
            <v:shape style="position:absolute;left:4122;top:1439;width:1315;height:860" coordorigin="4122,1439" coordsize="1315,860" path="m5329,1439l4229,1439,4188,1448,4153,1471,4130,1505,4122,1547,4122,2191,4130,2233,4153,2267,4188,2290,4229,2299,5329,2299,5371,2290,5405,2267,5428,2233,5437,2191,5437,1547,5428,1505,5405,1471,5371,1448,5329,1439xe" filled="true" fillcolor="#1b75bc" stroked="false">
              <v:path arrowok="t"/>
              <v:fill type="solid"/>
            </v:shape>
            <v:shape style="position:absolute;left:4262;top:1571;width:1315;height:860" coordorigin="4262,1571" coordsize="1315,860" path="m5469,1571l4369,1571,4328,1579,4293,1602,4270,1637,4262,1679,4262,2322,4270,2364,4293,2398,4328,2421,4369,2430,5469,2430,5511,2421,5545,2398,5568,2364,5577,2322,5577,1679,5568,1637,5545,1602,5511,1579,5469,1571xe" filled="true" fillcolor="#ffffff" stroked="false">
              <v:path arrowok="t"/>
              <v:fill type="solid"/>
            </v:shape>
            <v:shape style="position:absolute;left:4262;top:1571;width:1315;height:860" coordorigin="4262,1571" coordsize="1315,860" path="m5469,2430l4369,2430,4328,2421,4293,2398,4270,2364,4262,2322,4262,1679,4270,1637,4293,1602,4328,1579,4369,1571,5469,1571,5511,1579,5545,1602,5568,1637,5577,1679,5577,2322,5568,2364,5545,2398,5511,2421,5469,2430xe" filled="false" stroked="true" strokeweight="1pt" strokecolor="#1b75bc">
              <v:path arrowok="t"/>
            </v:shape>
            <v:line style="position:absolute" from="4777,1155" to="4777,1439" stroked="true" strokeweight="1pt" strokecolor="#1b75bc"/>
            <v:shape style="position:absolute;left:4122;top:2724;width:1315;height:860" coordorigin="4122,2724" coordsize="1315,860" path="m5329,2724l4229,2724,4188,2733,4153,2756,4130,2790,4122,2832,4122,3476,4130,3518,4153,3552,4188,3575,4229,3584,5329,3584,5371,3575,5405,3552,5428,3518,5437,3476,5437,2832,5428,2790,5405,2756,5371,2733,5329,2724xe" filled="true" fillcolor="#1b75bc" stroked="false">
              <v:path arrowok="t"/>
              <v:fill type="solid"/>
            </v:shape>
            <v:shape style="position:absolute;left:4262;top:2856;width:1315;height:860" coordorigin="4262,2856" coordsize="1315,860" path="m5469,2856l4369,2856,4328,2864,4293,2887,4270,2922,4262,2964,4262,3607,4270,3649,4293,3683,4328,3706,4369,3715,5469,3715,5511,3706,5545,3683,5568,3649,5577,3607,5577,2964,5568,2922,5545,2887,5511,2864,5469,2856xe" filled="true" fillcolor="#ffffff" stroked="false">
              <v:path arrowok="t"/>
              <v:fill type="solid"/>
            </v:shape>
            <v:shape style="position:absolute;left:4262;top:2856;width:1315;height:860" coordorigin="4262,2856" coordsize="1315,860" path="m5469,3715l4369,3715,4328,3706,4293,3683,4270,3649,4262,3607,4262,2964,4270,2922,4293,2887,4328,2864,4369,2856,5469,2856,5511,2864,5545,2887,5568,2922,5577,2964,5577,3607,5568,3649,5545,3683,5511,3706,5469,3715xe" filled="false" stroked="true" strokeweight="1pt" strokecolor="#1b75bc">
              <v:path arrowok="t"/>
            </v:shape>
            <v:shape style="position:absolute;left:2482;top:2724;width:1315;height:860" coordorigin="2482,2724" coordsize="1315,860" path="m3689,2724l2589,2724,2548,2733,2513,2756,2490,2790,2482,2832,2482,3476,2490,3518,2513,3552,2548,3575,2589,3584,3689,3584,3731,3575,3765,3552,3788,3518,3797,3476,3797,2832,3788,2790,3765,2756,3731,2733,3689,2724xe" filled="true" fillcolor="#1b75bc" stroked="false">
              <v:path arrowok="t"/>
              <v:fill type="solid"/>
            </v:shape>
            <v:shape style="position:absolute;left:2622;top:2856;width:1315;height:860" coordorigin="2622,2856" coordsize="1315,860" path="m3829,2856l2729,2856,2688,2864,2653,2887,2630,2922,2622,2964,2622,3607,2630,3649,2653,3683,2688,3706,2729,3715,3829,3715,3871,3706,3905,3683,3928,3649,3937,3607,3937,2964,3928,2922,3905,2887,3871,2864,3829,2856xe" filled="true" fillcolor="#ffffff" stroked="false">
              <v:path arrowok="t"/>
              <v:fill type="solid"/>
            </v:shape>
            <v:shape style="position:absolute;left:2622;top:2856;width:1315;height:860" coordorigin="2622,2856" coordsize="1315,860" path="m3829,3715l2729,3715,2688,3706,2653,3683,2630,3649,2622,3607,2622,2964,2630,2922,2653,2887,2688,2864,2729,2856,3829,2856,3871,2864,3905,2887,3928,2922,3937,2964,3937,3607,3928,3649,3905,3683,3871,3706,3829,3715xe" filled="false" stroked="true" strokeweight="1pt" strokecolor="#1b75bc">
              <v:path arrowok="t"/>
            </v:shape>
            <v:shape style="position:absolute;left:5752;top:2724;width:1315;height:860" coordorigin="5752,2724" coordsize="1315,860" path="m6959,2724l5859,2724,5818,2733,5783,2756,5760,2790,5752,2832,5752,3476,5760,3518,5783,3552,5818,3575,5859,3584,6959,3584,7001,3575,7035,3552,7058,3518,7067,3476,7067,2832,7058,2790,7035,2756,7001,2733,6959,2724xe" filled="true" fillcolor="#1b75bc" stroked="false">
              <v:path arrowok="t"/>
              <v:fill type="solid"/>
            </v:shape>
            <v:shape style="position:absolute;left:5892;top:2856;width:1315;height:860" coordorigin="5892,2856" coordsize="1315,860" path="m7099,2856l5999,2856,5958,2864,5923,2887,5900,2922,5892,2964,5892,3607,5900,3649,5923,3683,5958,3706,5999,3715,7099,3715,7141,3706,7175,3683,7198,3649,7207,3607,7207,2964,7198,2922,7175,2887,7141,2864,7099,2856xe" filled="true" fillcolor="#ffffff" stroked="false">
              <v:path arrowok="t"/>
              <v:fill type="solid"/>
            </v:shape>
            <v:shape style="position:absolute;left:5892;top:2856;width:1315;height:860" coordorigin="5892,2856" coordsize="1315,860" path="m7099,3715l5999,3715,5958,3706,5923,3683,5900,3649,5892,3607,5892,2964,5900,2922,5923,2887,5958,2864,5999,2856,7099,2856,7141,2864,7175,2887,7198,2922,7207,2964,7207,3607,7198,3649,7175,3683,7141,3706,7099,3715xe" filled="false" stroked="true" strokeweight="1pt" strokecolor="#1b75bc">
              <v:path arrowok="t"/>
            </v:shape>
            <v:shape style="position:absolute;left:3137;top:2556;width:3250;height:169" coordorigin="3137,2556" coordsize="3250,169" path="m3137,2724l3137,2556,6387,2556,6387,2724e" filled="false" stroked="true" strokeweight="1pt" strokecolor="#1b75bc">
              <v:path arrowok="t"/>
            </v:shape>
            <v:line style="position:absolute" from="4777,2430" to="4777,2724" stroked="true" strokeweight="1pt" strokecolor="#1b75bc"/>
            <v:shape style="position:absolute;left:4122;top:3985;width:1315;height:860" coordorigin="4122,3985" coordsize="1315,860" path="m5329,3985l4229,3985,4188,3993,4153,4016,4130,4051,4122,4092,4122,4736,4130,4778,4153,4812,4188,4835,4229,4844,5329,4844,5371,4835,5405,4812,5428,4778,5437,4736,5437,4092,5428,4051,5405,4016,5371,3993,5329,3985xe" filled="true" fillcolor="#1b75bc" stroked="false">
              <v:path arrowok="t"/>
              <v:fill type="solid"/>
            </v:shape>
            <v:shape style="position:absolute;left:4262;top:4116;width:1315;height:860" coordorigin="4262,4116" coordsize="1315,860" path="m5469,4116l4369,4116,4328,4125,4293,4148,4270,4182,4262,4224,4262,4868,4270,4909,4293,4944,4328,4967,4369,4975,5469,4975,5511,4967,5545,4944,5568,4909,5577,4868,5577,4224,5568,4182,5545,4148,5511,4125,5469,4116xe" filled="true" fillcolor="#ffffff" stroked="false">
              <v:path arrowok="t"/>
              <v:fill type="solid"/>
            </v:shape>
            <v:shape style="position:absolute;left:4262;top:4116;width:1315;height:860" coordorigin="4262,4116" coordsize="1315,860" path="m5469,4975l4369,4975,4328,4967,4293,4944,4270,4909,4262,4868,4262,4224,4270,4182,4293,4148,4328,4125,4369,4116,5469,4116,5511,4125,5545,4148,5568,4182,5577,4224,5577,4868,5568,4909,5545,4944,5511,4967,5469,4975xe" filled="false" stroked="true" strokeweight="1pt" strokecolor="#1b75bc">
              <v:path arrowok="t"/>
            </v:shape>
            <v:shape style="position:absolute;left:887;top:3985;width:1315;height:860" coordorigin="887,3985" coordsize="1315,860" path="m2094,3985l994,3985,953,3993,918,4016,895,4051,887,4092,887,4736,895,4778,918,4812,953,4835,994,4844,2094,4844,2136,4835,2170,4812,2193,4778,2202,4736,2202,4092,2193,4051,2170,4016,2136,3993,2094,3985xe" filled="true" fillcolor="#1b75bc" stroked="false">
              <v:path arrowok="t"/>
              <v:fill type="solid"/>
            </v:shape>
            <v:shape style="position:absolute;left:1027;top:4116;width:1315;height:860" coordorigin="1027,4116" coordsize="1315,860" path="m2234,4116l1134,4116,1093,4125,1058,4148,1035,4182,1027,4224,1027,4868,1035,4909,1058,4944,1093,4967,1134,4975,2234,4975,2276,4967,2310,4944,2333,4909,2342,4868,2342,4224,2333,4182,2310,4148,2276,4125,2234,4116xe" filled="true" fillcolor="#ffffff" stroked="false">
              <v:path arrowok="t"/>
              <v:fill type="solid"/>
            </v:shape>
            <v:shape style="position:absolute;left:1027;top:4116;width:1315;height:860" coordorigin="1027,4116" coordsize="1315,860" path="m2234,4975l1134,4975,1093,4967,1058,4944,1035,4909,1027,4868,1027,4224,1035,4182,1058,4148,1093,4125,1134,4116,2234,4116,2276,4125,2310,4148,2333,4182,2342,4224,2342,4868,2333,4909,2310,4944,2276,4967,2234,4975xe" filled="false" stroked="true" strokeweight="1pt" strokecolor="#1b75bc">
              <v:path arrowok="t"/>
            </v:shape>
            <v:shape style="position:absolute;left:2482;top:3985;width:1315;height:860" coordorigin="2482,3985" coordsize="1315,860" path="m3689,3985l2589,3985,2548,3993,2513,4016,2490,4051,2482,4092,2482,4736,2490,4778,2513,4812,2548,4835,2589,4844,3689,4844,3731,4835,3765,4812,3788,4778,3797,4736,3797,4092,3788,4051,3765,4016,3731,3993,3689,3985xe" filled="true" fillcolor="#1b75bc" stroked="false">
              <v:path arrowok="t"/>
              <v:fill type="solid"/>
            </v:shape>
            <v:shape style="position:absolute;left:2622;top:4116;width:1315;height:860" coordorigin="2622,4116" coordsize="1315,860" path="m3829,4116l2729,4116,2688,4125,2653,4148,2630,4182,2622,4224,2622,4868,2630,4909,2653,4944,2688,4967,2729,4975,3829,4975,3871,4967,3905,4944,3928,4909,3937,4868,3937,4224,3928,4182,3905,4148,3871,4125,3829,4116xe" filled="true" fillcolor="#ffffff" stroked="false">
              <v:path arrowok="t"/>
              <v:fill type="solid"/>
            </v:shape>
            <v:shape style="position:absolute;left:2622;top:4116;width:1315;height:860" coordorigin="2622,4116" coordsize="1315,860" path="m3829,4975l2729,4975,2688,4967,2653,4944,2630,4909,2622,4868,2622,4224,2630,4182,2653,4148,2688,4125,2729,4116,3829,4116,3871,4125,3905,4148,3928,4182,3937,4224,3937,4868,3928,4909,3905,4944,3871,4967,3829,4975xe" filled="false" stroked="true" strokeweight="1pt" strokecolor="#1b75bc">
              <v:path arrowok="t"/>
            </v:shape>
            <v:shape style="position:absolute;left:5752;top:3985;width:1315;height:860" coordorigin="5752,3985" coordsize="1315,860" path="m6959,3985l5859,3985,5818,3993,5783,4016,5760,4051,5752,4092,5752,4736,5760,4778,5783,4812,5818,4835,5859,4844,6959,4844,7001,4835,7035,4812,7058,4778,7067,4736,7067,4092,7058,4051,7035,4016,7001,3993,6959,3985xe" filled="true" fillcolor="#1b75bc" stroked="false">
              <v:path arrowok="t"/>
              <v:fill type="solid"/>
            </v:shape>
            <v:shape style="position:absolute;left:5892;top:4116;width:1315;height:860" coordorigin="5892,4116" coordsize="1315,860" path="m7099,4116l5999,4116,5958,4125,5923,4148,5900,4182,5892,4224,5892,4868,5900,4909,5923,4944,5958,4967,5999,4975,7099,4975,7141,4967,7175,4944,7198,4909,7207,4868,7207,4224,7198,4182,7175,4148,7141,4125,7099,4116xe" filled="true" fillcolor="#ffffff" stroked="false">
              <v:path arrowok="t"/>
              <v:fill type="solid"/>
            </v:shape>
            <v:shape style="position:absolute;left:5892;top:4116;width:1315;height:860" coordorigin="5892,4116" coordsize="1315,860" path="m7099,4975l5999,4975,5958,4967,5923,4944,5900,4909,5892,4868,5892,4224,5900,4182,5923,4148,5958,4125,5999,4116,7099,4116,7141,4125,7175,4148,7198,4182,7207,4224,7207,4868,7198,4909,7175,4944,7141,4967,7099,4975xe" filled="false" stroked="true" strokeweight="1pt" strokecolor="#1b75bc">
              <v:path arrowok="t"/>
            </v:shape>
            <v:shape style="position:absolute;left:7297;top:3985;width:1315;height:860" coordorigin="7297,3985" coordsize="1315,860" path="m8504,3985l7404,3985,7363,3993,7328,4016,7305,4051,7297,4092,7297,4736,7305,4778,7328,4812,7363,4835,7404,4844,8504,4844,8546,4835,8580,4812,8603,4778,8612,4736,8612,4092,8603,4051,8580,4016,8546,3993,8504,3985xe" filled="true" fillcolor="#1b75bc" stroked="false">
              <v:path arrowok="t"/>
              <v:fill type="solid"/>
            </v:shape>
            <v:shape style="position:absolute;left:7437;top:4116;width:1315;height:860" coordorigin="7437,4116" coordsize="1315,860" path="m8644,4116l7544,4116,7503,4125,7468,4148,7445,4182,7437,4224,7437,4868,7445,4909,7468,4944,7503,4967,7544,4975,8644,4975,8686,4967,8720,4944,8743,4909,8752,4868,8752,4224,8743,4182,8720,4148,8686,4125,8644,4116xe" filled="true" fillcolor="#ffffff" stroked="false">
              <v:path arrowok="t"/>
              <v:fill type="solid"/>
            </v:shape>
            <v:shape style="position:absolute;left:7437;top:4116;width:1315;height:860" coordorigin="7437,4116" coordsize="1315,860" path="m8644,4975l7544,4975,7503,4967,7468,4944,7445,4909,7437,4868,7437,4224,7445,4182,7468,4148,7503,4125,7544,4116,8644,4116,8686,4125,8720,4148,8743,4182,8752,4224,8752,4868,8743,4909,8720,4944,8686,4967,8644,4975xe" filled="false" stroked="true" strokeweight="1pt" strokecolor="#1b75bc">
              <v:path arrowok="t"/>
            </v:shape>
            <v:shape style="position:absolute;left:1512;top:3826;width:6443;height:159" coordorigin="1512,3826" coordsize="6443,159" path="m1512,3985l1512,3826,7954,3826,7954,3985e" filled="false" stroked="true" strokeweight="1pt" strokecolor="#1b75bc">
              <v:path arrowok="t"/>
            </v:shape>
            <v:line style="position:absolute" from="4777,3715" to="4777,3985" stroked="true" strokeweight="1pt" strokecolor="#1b75bc"/>
            <v:line style="position:absolute" from="3139,3826" to="3139,3985" stroked="true" strokeweight="1pt" strokecolor="#1b75bc"/>
            <v:line style="position:absolute" from="6387,3826" to="6387,3985" stroked="true" strokeweight="1pt" strokecolor="#1b75bc"/>
            <v:shape style="position:absolute;left:4855;top:584;width:78;height:99" coordorigin="4855,584" coordsize="78,99" path="m4869,584l4855,584,4855,683,4869,683,4869,637,4933,637,4933,625,4869,625,4869,584xm4933,637l4920,637,4920,683,4933,683,4933,637xm4933,584l4920,584,4920,625,4933,625,4933,584xe" filled="true" fillcolor="#231f20" stroked="false">
              <v:path arrowok="t"/>
              <v:fill type="solid"/>
            </v:shape>
            <v:line style="position:absolute" from="4956,676" to="4970,676" stroked="true" strokeweight=".733pt" strokecolor="#231f20"/>
            <v:shape style="position:absolute;left:4380;top:749;width:641;height:101" type="#_x0000_t75" stroked="false">
              <v:imagedata r:id="rId549" o:title=""/>
            </v:shape>
            <v:shape style="position:absolute;left:5044;top:743;width:399;height:112" type="#_x0000_t75" stroked="false">
              <v:imagedata r:id="rId550" o:title=""/>
            </v:shape>
            <v:shape style="position:absolute;left:4596;top:1944;width:640;height:102" type="#_x0000_t75" stroked="false">
              <v:imagedata r:id="rId551" o:title=""/>
            </v:shape>
            <v:shape style="position:absolute;left:4602;top:3122;width:625;height:104" type="#_x0000_t75" stroked="false">
              <v:imagedata r:id="rId552" o:title=""/>
            </v:shape>
            <v:shape style="position:absolute;left:4496;top:3289;width:831;height:128" type="#_x0000_t75" stroked="false">
              <v:imagedata r:id="rId553" o:title=""/>
            </v:shape>
            <v:shape style="position:absolute;left:6100;top:3207;width:207;height:112" type="#_x0000_t75" stroked="false">
              <v:imagedata r:id="rId554" o:title=""/>
            </v:shape>
            <v:shape style="position:absolute;left:6359;top:3208;width:562;height:133" type="#_x0000_t75" stroked="false">
              <v:imagedata r:id="rId555" o:title=""/>
            </v:shape>
            <v:shape style="position:absolute;left:2937;top:3046;width:494;height:104" type="#_x0000_t75" stroked="false">
              <v:imagedata r:id="rId556" o:title=""/>
            </v:shape>
            <v:shape style="position:absolute;left:3478;top:3049;width:143;height:102" type="#_x0000_t75" stroked="false">
              <v:imagedata r:id="rId557" o:title=""/>
            </v:shape>
            <v:shape style="position:absolute;left:2897;top:3212;width:767;height:130" type="#_x0000_t75" stroked="false">
              <v:imagedata r:id="rId558" o:title=""/>
            </v:shape>
            <v:shape style="position:absolute;left:2952;top:3377;width:657;height:104" type="#_x0000_t75" stroked="false">
              <v:imagedata r:id="rId559" o:title=""/>
            </v:shape>
            <v:shape style="position:absolute;left:1384;top:4399;width:527;height:101" type="#_x0000_t75" stroked="false">
              <v:imagedata r:id="rId560" o:title=""/>
            </v:shape>
            <v:shape style="position:absolute;left:1369;top:4558;width:562;height:133" type="#_x0000_t75" stroked="false">
              <v:imagedata r:id="rId561" o:title=""/>
            </v:shape>
            <v:shape style="position:absolute;left:4521;top:4396;width:840;height:104" type="#_x0000_t75" stroked="false">
              <v:imagedata r:id="rId562" o:title=""/>
            </v:shape>
            <v:shape style="position:absolute;left:4659;top:4558;width:562;height:133" type="#_x0000_t75" stroked="false">
              <v:imagedata r:id="rId563" o:title=""/>
            </v:shape>
            <v:shape style="position:absolute;left:2868;top:4501;width:365;height:104" type="#_x0000_t75" stroked="false">
              <v:imagedata r:id="rId564" o:title=""/>
            </v:shape>
            <v:shape style="position:absolute;left:3287;top:4498;width:504;height:111" type="#_x0000_t75" stroked="false">
              <v:imagedata r:id="rId565" o:title=""/>
            </v:shape>
            <v:shape style="position:absolute;left:6019;top:4498;width:558;height:111" type="#_x0000_t75" stroked="false">
              <v:imagedata r:id="rId566" o:title=""/>
            </v:shape>
            <v:shape style="position:absolute;left:6630;top:4497;width:409;height:112" type="#_x0000_t75" stroked="false">
              <v:imagedata r:id="rId567" o:title=""/>
            </v:shape>
            <v:shape style="position:absolute;left:7701;top:4504;width:494;height:129" type="#_x0000_t75" stroked="false">
              <v:imagedata r:id="rId568" o:title=""/>
            </v:shape>
            <v:shape style="position:absolute;left:8246;top:4498;width:245;height:111" type="#_x0000_t75" stroked="false">
              <v:imagedata r:id="rId569" o:title=""/>
            </v:shape>
            <w10:wrap type="topAndBottom"/>
          </v:group>
        </w:pict>
      </w:r>
    </w:p>
    <w:p>
      <w:pPr>
        <w:pStyle w:val="BodyText"/>
        <w:rPr>
          <w:b/>
          <w:sz w:val="7"/>
        </w:rPr>
      </w:pPr>
    </w:p>
    <w:p>
      <w:pPr>
        <w:pStyle w:val="BodyText"/>
        <w:ind w:left="941"/>
        <w:rPr>
          <w:sz w:val="20"/>
        </w:rPr>
      </w:pPr>
      <w:r>
        <w:rPr>
          <w:sz w:val="20"/>
        </w:rPr>
        <w:pict>
          <v:group style="width:316.75pt;height:58.9pt;mso-position-horizontal-relative:char;mso-position-vertical-relative:line" coordorigin="0,0" coordsize="6335,1178">
            <v:shape style="position:absolute;left:1640;top:176;width:1315;height:860" coordorigin="1640,176" coordsize="1315,860" path="m2847,176l1748,176,1706,185,1672,208,1649,242,1640,284,1640,928,1649,970,1672,1004,1706,1027,1748,1036,2847,1036,2889,1027,2923,1004,2946,970,2955,928,2955,284,2946,242,2923,208,2889,185,2847,176xe" filled="true" fillcolor="#1b75bc" stroked="false">
              <v:path arrowok="t"/>
              <v:fill type="solid"/>
            </v:shape>
            <v:shape style="position:absolute;left:1780;top:308;width:1315;height:860" coordorigin="1780,308" coordsize="1315,860" path="m2987,308l1888,308,1846,316,1812,340,1789,374,1780,416,1780,1059,1789,1101,1812,1136,1846,1159,1888,1167,2987,1167,3029,1159,3063,1136,3086,1101,3095,1059,3095,416,3086,374,3063,340,3029,316,2987,308xe" filled="true" fillcolor="#ffffff" stroked="false">
              <v:path arrowok="t"/>
              <v:fill type="solid"/>
            </v:shape>
            <v:shape style="position:absolute;left:1780;top:308;width:1315;height:860" coordorigin="1780,308" coordsize="1315,860" path="m2987,1167l1888,1167,1846,1159,1812,1136,1789,1101,1780,1059,1780,416,1789,374,1812,340,1846,316,1888,308,2987,308,3029,316,3063,340,3086,374,3095,416,3095,1059,3086,1101,3063,1136,3029,1159,2987,1167xe" filled="false" stroked="true" strokeweight="1pt" strokecolor="#1b75bc">
              <v:path arrowok="t"/>
            </v:shape>
            <v:shape style="position:absolute;left:0;top:176;width:1315;height:860" coordorigin="0,176" coordsize="1315,860" path="m1207,176l108,176,66,185,32,208,9,242,0,284,0,928,9,970,32,1004,66,1027,108,1036,1207,1036,1249,1027,1283,1004,1306,970,1315,928,1315,284,1306,242,1283,208,1249,185,1207,176xe" filled="true" fillcolor="#1b75bc" stroked="false">
              <v:path arrowok="t"/>
              <v:fill type="solid"/>
            </v:shape>
            <v:shape style="position:absolute;left:140;top:308;width:1315;height:860" coordorigin="140,308" coordsize="1315,860" path="m1347,308l248,308,206,316,172,340,149,374,140,416,140,1059,149,1101,172,1136,206,1159,248,1167,1347,1167,1389,1159,1423,1136,1446,1101,1455,1059,1455,416,1446,374,1423,340,1389,316,1347,308xe" filled="true" fillcolor="#ffffff" stroked="false">
              <v:path arrowok="t"/>
              <v:fill type="solid"/>
            </v:shape>
            <v:shape style="position:absolute;left:140;top:308;width:1315;height:860" coordorigin="140,308" coordsize="1315,860" path="m1347,1167l248,1167,206,1159,172,1136,149,1101,140,1059,140,416,149,374,172,340,206,316,248,308,1347,308,1389,316,1423,340,1446,374,1455,416,1455,1059,1446,1101,1423,1136,1389,1159,1347,1167xe" filled="false" stroked="true" strokeweight="1pt" strokecolor="#1b75bc">
              <v:path arrowok="t"/>
            </v:shape>
            <v:shape style="position:absolute;left:3270;top:176;width:1315;height:860" coordorigin="3270,176" coordsize="1315,860" path="m4477,176l3378,176,3336,185,3302,208,3279,242,3270,284,3270,928,3279,970,3302,1004,3336,1027,3378,1036,4477,1036,4519,1027,4553,1004,4576,970,4585,928,4585,284,4576,242,4553,208,4519,185,4477,176xe" filled="true" fillcolor="#1b75bc" stroked="false">
              <v:path arrowok="t"/>
              <v:fill type="solid"/>
            </v:shape>
            <v:shape style="position:absolute;left:3410;top:308;width:1315;height:860" coordorigin="3410,308" coordsize="1315,860" path="m4617,308l3518,308,3476,316,3442,340,3419,374,3410,416,3410,1059,3419,1101,3442,1136,3476,1159,3518,1167,4617,1167,4659,1159,4693,1136,4716,1101,4725,1059,4725,416,4716,374,4693,340,4659,316,4617,308xe" filled="true" fillcolor="#ffffff" stroked="false">
              <v:path arrowok="t"/>
              <v:fill type="solid"/>
            </v:shape>
            <v:shape style="position:absolute;left:3410;top:308;width:1315;height:860" coordorigin="3410,308" coordsize="1315,860" path="m4617,1167l3518,1167,3476,1159,3442,1136,3419,1101,3410,1059,3410,416,3419,374,3442,340,3476,316,3518,308,4617,308,4659,316,4693,340,4716,374,4725,416,4725,1059,4716,1101,4693,1136,4659,1159,4617,1167xe" filled="false" stroked="true" strokeweight="1pt" strokecolor="#1b75bc">
              <v:path arrowok="t"/>
            </v:shape>
            <v:shape style="position:absolute;left:4870;top:176;width:1315;height:860" coordorigin="4870,176" coordsize="1315,860" path="m6077,176l4978,176,4936,185,4902,208,4879,242,4870,284,4870,928,4879,970,4902,1004,4936,1027,4978,1036,6077,1036,6119,1027,6153,1004,6176,970,6185,928,6185,284,6176,242,6153,208,6119,185,6077,176xe" filled="true" fillcolor="#1b75bc" stroked="false">
              <v:path arrowok="t"/>
              <v:fill type="solid"/>
            </v:shape>
            <v:shape style="position:absolute;left:5010;top:308;width:1315;height:860" coordorigin="5010,308" coordsize="1315,860" path="m6217,308l5118,308,5076,316,5042,340,5019,374,5010,416,5010,1059,5019,1101,5042,1136,5076,1159,5118,1167,6217,1167,6259,1159,6293,1136,6316,1101,6325,1059,6325,416,6316,374,6293,340,6259,316,6217,308xe" filled="true" fillcolor="#ffffff" stroked="false">
              <v:path arrowok="t"/>
              <v:fill type="solid"/>
            </v:shape>
            <v:shape style="position:absolute;left:5010;top:308;width:1315;height:860" coordorigin="5010,308" coordsize="1315,860" path="m6217,1167l5118,1167,5076,1159,5042,1136,5019,1101,5010,1059,5010,416,5019,374,5042,340,5076,316,5118,308,6217,308,6259,316,6293,340,6316,374,6325,416,6325,1059,6316,1101,6293,1136,6259,1159,6217,1167xe" filled="false" stroked="true" strokeweight="1pt" strokecolor="#1b75bc">
              <v:path arrowok="t"/>
            </v:shape>
            <v:shape style="position:absolute;left:635;top:10;width:4890;height:167" coordorigin="635,10" coordsize="4890,167" path="m635,176l635,10,5525,10,5525,176e" filled="false" stroked="true" strokeweight="1.0pt" strokecolor="#1b75bc">
              <v:path arrowok="t"/>
            </v:shape>
            <v:line style="position:absolute" from="2298,10" to="2298,176" stroked="true" strokeweight="1pt" strokecolor="#1b75bc"/>
            <v:line style="position:absolute" from="3895,10" to="3895,176" stroked="true" strokeweight="1pt" strokecolor="#1b75bc"/>
            <v:shape style="position:absolute;left:391;top:571;width:554;height:103" type="#_x0000_t75" stroked="false">
              <v:imagedata r:id="rId570" o:title=""/>
            </v:shape>
            <v:shape style="position:absolute;left:996;top:573;width:143;height:102" type="#_x0000_t75" stroked="false">
              <v:imagedata r:id="rId571" o:title=""/>
            </v:shape>
            <v:shape style="position:absolute;left:329;top:736;width:891;height:104" type="#_x0000_t75" stroked="false">
              <v:imagedata r:id="rId572" o:title=""/>
            </v:shape>
            <v:shape style="position:absolute;left:2026;top:481;width:554;height:103" type="#_x0000_t75" stroked="false">
              <v:imagedata r:id="rId573" o:title=""/>
            </v:shape>
            <v:shape style="position:absolute;left:2631;top:483;width:143;height:102" type="#_x0000_t75" stroked="false">
              <v:imagedata r:id="rId571" o:title=""/>
            </v:shape>
            <v:shape style="position:absolute;left:2134;top:649;width:527;height:101" type="#_x0000_t75" stroked="false">
              <v:imagedata r:id="rId574" o:title=""/>
            </v:shape>
            <v:shape style="position:absolute;left:2149;top:808;width:504;height:111" type="#_x0000_t75" stroked="false">
              <v:imagedata r:id="rId575" o:title=""/>
            </v:shape>
            <v:shape style="position:absolute;left:3499;top:686;width:554;height:103" type="#_x0000_t75" stroked="false">
              <v:imagedata r:id="rId576" o:title=""/>
            </v:shape>
            <v:shape style="position:absolute;left:4102;top:686;width:477;height:104" type="#_x0000_t75" stroked="false">
              <v:imagedata r:id="rId577" o:title=""/>
            </v:shape>
            <v:shape style="position:absolute;left:5279;top:571;width:553;height:103" type="#_x0000_t75" stroked="false">
              <v:imagedata r:id="rId578" o:title=""/>
            </v:shape>
            <v:shape style="position:absolute;left:5883;top:573;width:143;height:102" type="#_x0000_t75" stroked="false">
              <v:imagedata r:id="rId579" o:title=""/>
            </v:shape>
            <v:shape style="position:absolute;left:5263;top:736;width:772;height:104" type="#_x0000_t75" stroked="false">
              <v:imagedata r:id="rId580" o:title=""/>
            </v:shape>
          </v:group>
        </w:pict>
      </w:r>
      <w:r>
        <w:rPr>
          <w:sz w:val="20"/>
        </w:rPr>
      </w:r>
    </w:p>
    <w:p>
      <w:pPr>
        <w:pStyle w:val="BodyText"/>
        <w:spacing w:line="285" w:lineRule="auto" w:before="190"/>
        <w:ind w:left="110" w:right="101"/>
      </w:pPr>
      <w:r>
        <w:rPr>
          <w:color w:val="231F20"/>
          <w:w w:val="105"/>
        </w:rPr>
        <w:t>Autoridades</w:t>
      </w:r>
      <w:r>
        <w:rPr>
          <w:color w:val="231F20"/>
          <w:spacing w:val="-16"/>
          <w:w w:val="105"/>
        </w:rPr>
        <w:t> </w:t>
      </w:r>
      <w:r>
        <w:rPr>
          <w:color w:val="231F20"/>
          <w:w w:val="105"/>
        </w:rPr>
        <w:t>Auxiliares.</w:t>
      </w:r>
      <w:r>
        <w:rPr>
          <w:color w:val="231F20"/>
          <w:spacing w:val="-16"/>
          <w:w w:val="105"/>
        </w:rPr>
        <w:t> </w:t>
      </w:r>
      <w:r>
        <w:rPr>
          <w:color w:val="231F20"/>
          <w:w w:val="105"/>
        </w:rPr>
        <w:t>Existen</w:t>
      </w:r>
      <w:r>
        <w:rPr>
          <w:color w:val="231F20"/>
          <w:spacing w:val="-16"/>
          <w:w w:val="105"/>
        </w:rPr>
        <w:t> </w:t>
      </w:r>
      <w:r>
        <w:rPr>
          <w:color w:val="231F20"/>
          <w:w w:val="105"/>
        </w:rPr>
        <w:t>treinta</w:t>
      </w:r>
      <w:r>
        <w:rPr>
          <w:color w:val="231F20"/>
          <w:spacing w:val="-16"/>
          <w:w w:val="105"/>
        </w:rPr>
        <w:t> </w:t>
      </w:r>
      <w:r>
        <w:rPr>
          <w:color w:val="231F20"/>
          <w:w w:val="105"/>
        </w:rPr>
        <w:t>y</w:t>
      </w:r>
      <w:r>
        <w:rPr>
          <w:color w:val="231F20"/>
          <w:spacing w:val="-16"/>
          <w:w w:val="105"/>
        </w:rPr>
        <w:t> </w:t>
      </w:r>
      <w:r>
        <w:rPr>
          <w:color w:val="231F20"/>
          <w:w w:val="105"/>
        </w:rPr>
        <w:t>tres</w:t>
      </w:r>
      <w:r>
        <w:rPr>
          <w:color w:val="231F20"/>
          <w:spacing w:val="-16"/>
          <w:w w:val="105"/>
        </w:rPr>
        <w:t> </w:t>
      </w:r>
      <w:r>
        <w:rPr>
          <w:color w:val="231F20"/>
          <w:w w:val="105"/>
        </w:rPr>
        <w:t>delegaciones</w:t>
      </w:r>
      <w:r>
        <w:rPr>
          <w:color w:val="231F20"/>
          <w:spacing w:val="-16"/>
          <w:w w:val="105"/>
        </w:rPr>
        <w:t> </w:t>
      </w:r>
      <w:r>
        <w:rPr>
          <w:color w:val="231F20"/>
          <w:w w:val="105"/>
        </w:rPr>
        <w:t>distribuidas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municipio y</w:t>
      </w:r>
      <w:r>
        <w:rPr>
          <w:color w:val="231F20"/>
          <w:spacing w:val="-14"/>
          <w:w w:val="105"/>
        </w:rPr>
        <w:t> </w:t>
      </w:r>
      <w:r>
        <w:rPr>
          <w:color w:val="231F20"/>
          <w:w w:val="105"/>
        </w:rPr>
        <w:t>un</w:t>
      </w:r>
      <w:r>
        <w:rPr>
          <w:color w:val="231F20"/>
          <w:spacing w:val="-14"/>
          <w:w w:val="105"/>
        </w:rPr>
        <w:t> </w:t>
      </w:r>
      <w:r>
        <w:rPr>
          <w:color w:val="231F20"/>
          <w:w w:val="105"/>
        </w:rPr>
        <w:t>consejo</w:t>
      </w:r>
      <w:r>
        <w:rPr>
          <w:color w:val="231F20"/>
          <w:spacing w:val="-14"/>
          <w:w w:val="105"/>
        </w:rPr>
        <w:t> </w:t>
      </w:r>
      <w:r>
        <w:rPr>
          <w:color w:val="231F20"/>
          <w:w w:val="105"/>
        </w:rPr>
        <w:t>de</w:t>
      </w:r>
      <w:r>
        <w:rPr>
          <w:color w:val="231F20"/>
          <w:spacing w:val="-14"/>
          <w:w w:val="105"/>
        </w:rPr>
        <w:t> </w:t>
      </w:r>
      <w:r>
        <w:rPr>
          <w:color w:val="231F20"/>
          <w:w w:val="105"/>
        </w:rPr>
        <w:t>participación</w:t>
      </w:r>
      <w:r>
        <w:rPr>
          <w:color w:val="231F20"/>
          <w:spacing w:val="-14"/>
          <w:w w:val="105"/>
        </w:rPr>
        <w:t> </w:t>
      </w:r>
      <w:r>
        <w:rPr>
          <w:color w:val="231F20"/>
          <w:w w:val="105"/>
        </w:rPr>
        <w:t>ciudadana</w:t>
      </w:r>
      <w:r>
        <w:rPr>
          <w:color w:val="231F20"/>
          <w:spacing w:val="-14"/>
          <w:w w:val="105"/>
        </w:rPr>
        <w:t> </w:t>
      </w:r>
      <w:r>
        <w:rPr>
          <w:color w:val="231F20"/>
          <w:w w:val="105"/>
        </w:rPr>
        <w:t>por</w:t>
      </w:r>
      <w:r>
        <w:rPr>
          <w:color w:val="231F20"/>
          <w:spacing w:val="-14"/>
          <w:w w:val="105"/>
        </w:rPr>
        <w:t> </w:t>
      </w:r>
      <w:r>
        <w:rPr>
          <w:color w:val="231F20"/>
          <w:w w:val="105"/>
        </w:rPr>
        <w:t>cada</w:t>
      </w:r>
      <w:r>
        <w:rPr>
          <w:color w:val="231F20"/>
          <w:spacing w:val="-14"/>
          <w:w w:val="105"/>
        </w:rPr>
        <w:t> </w:t>
      </w:r>
      <w:r>
        <w:rPr>
          <w:color w:val="231F20"/>
          <w:w w:val="105"/>
        </w:rPr>
        <w:t>localidad.</w:t>
      </w:r>
    </w:p>
    <w:p>
      <w:pPr>
        <w:pStyle w:val="BodyText"/>
        <w:spacing w:before="1"/>
        <w:rPr>
          <w:sz w:val="26"/>
        </w:rPr>
      </w:pPr>
    </w:p>
    <w:p>
      <w:pPr>
        <w:pStyle w:val="BodyText"/>
        <w:ind w:left="110" w:right="-2"/>
      </w:pPr>
      <w:r>
        <w:rPr>
          <w:color w:val="231F20"/>
        </w:rPr>
        <w:t>Regionalización Política. El distrito electoral federal al que pertenece el municipio es    el</w:t>
      </w:r>
    </w:p>
    <w:p>
      <w:pPr>
        <w:pStyle w:val="BodyText"/>
        <w:spacing w:line="285" w:lineRule="auto" w:before="47"/>
        <w:ind w:left="110" w:right="32"/>
      </w:pPr>
      <w:r>
        <w:rPr>
          <w:color w:val="231F20"/>
          <w:spacing w:val="-4"/>
          <w:w w:val="105"/>
        </w:rPr>
        <w:t>XXV.</w:t>
      </w:r>
      <w:r>
        <w:rPr>
          <w:color w:val="231F20"/>
          <w:spacing w:val="-9"/>
          <w:w w:val="105"/>
        </w:rPr>
        <w:t> </w:t>
      </w:r>
      <w:r>
        <w:rPr>
          <w:color w:val="231F20"/>
          <w:w w:val="105"/>
        </w:rPr>
        <w:t>El</w:t>
      </w:r>
      <w:r>
        <w:rPr>
          <w:color w:val="231F20"/>
          <w:spacing w:val="-9"/>
          <w:w w:val="105"/>
        </w:rPr>
        <w:t> </w:t>
      </w:r>
      <w:r>
        <w:rPr>
          <w:color w:val="231F20"/>
          <w:w w:val="105"/>
        </w:rPr>
        <w:t>distrito</w:t>
      </w:r>
      <w:r>
        <w:rPr>
          <w:color w:val="231F20"/>
          <w:spacing w:val="-9"/>
          <w:w w:val="105"/>
        </w:rPr>
        <w:t> </w:t>
      </w:r>
      <w:r>
        <w:rPr>
          <w:color w:val="231F20"/>
          <w:w w:val="105"/>
        </w:rPr>
        <w:t>local</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spacing w:val="3"/>
          <w:w w:val="105"/>
        </w:rPr>
        <w:t>XXXI</w:t>
      </w:r>
      <w:r>
        <w:rPr>
          <w:color w:val="231F20"/>
          <w:spacing w:val="-9"/>
          <w:w w:val="105"/>
        </w:rPr>
        <w:t> </w:t>
      </w:r>
      <w:r>
        <w:rPr>
          <w:color w:val="231F20"/>
          <w:w w:val="105"/>
        </w:rPr>
        <w:t>junto</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municipio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Paz,</w:t>
      </w:r>
      <w:r>
        <w:rPr>
          <w:color w:val="231F20"/>
          <w:spacing w:val="-9"/>
          <w:w w:val="105"/>
        </w:rPr>
        <w:t> </w:t>
      </w:r>
      <w:r>
        <w:rPr>
          <w:color w:val="231F20"/>
          <w:spacing w:val="-2"/>
          <w:w w:val="105"/>
        </w:rPr>
        <w:t>siendo</w:t>
      </w:r>
      <w:r>
        <w:rPr>
          <w:color w:val="231F20"/>
          <w:spacing w:val="-9"/>
          <w:w w:val="105"/>
        </w:rPr>
        <w:t> </w:t>
      </w:r>
      <w:r>
        <w:rPr>
          <w:color w:val="231F20"/>
          <w:w w:val="105"/>
        </w:rPr>
        <w:t>este</w:t>
      </w:r>
      <w:r>
        <w:rPr>
          <w:color w:val="231F20"/>
          <w:spacing w:val="-9"/>
          <w:w w:val="105"/>
        </w:rPr>
        <w:t> </w:t>
      </w:r>
      <w:r>
        <w:rPr>
          <w:color w:val="231F20"/>
          <w:w w:val="105"/>
        </w:rPr>
        <w:t>último la</w:t>
      </w:r>
      <w:r>
        <w:rPr>
          <w:color w:val="231F20"/>
          <w:spacing w:val="-31"/>
          <w:w w:val="105"/>
        </w:rPr>
        <w:t> </w:t>
      </w:r>
      <w:r>
        <w:rPr>
          <w:color w:val="231F20"/>
          <w:w w:val="105"/>
        </w:rPr>
        <w:t>cabecera.</w:t>
      </w:r>
    </w:p>
    <w:p>
      <w:pPr>
        <w:spacing w:after="0" w:line="285" w:lineRule="auto"/>
        <w:sectPr>
          <w:pgSz w:w="9640" w:h="12190"/>
          <w:pgMar w:header="0" w:footer="743" w:top="1120" w:bottom="940" w:left="740" w:right="740"/>
        </w:sectPr>
      </w:pPr>
    </w:p>
    <w:p>
      <w:pPr>
        <w:pStyle w:val="Heading5"/>
        <w:spacing w:before="27"/>
        <w:ind w:left="1660"/>
      </w:pPr>
      <w:r>
        <w:rPr>
          <w:color w:val="231F20"/>
          <w:w w:val="105"/>
        </w:rPr>
        <w:t>Resultados Electorales (Histórico Ayuntamientos)</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98"/>
        <w:gridCol w:w="934"/>
        <w:gridCol w:w="922"/>
        <w:gridCol w:w="928"/>
        <w:gridCol w:w="889"/>
        <w:gridCol w:w="938"/>
        <w:gridCol w:w="1207"/>
        <w:gridCol w:w="1110"/>
      </w:tblGrid>
      <w:tr>
        <w:trPr>
          <w:trHeight w:val="623" w:hRule="exact"/>
        </w:trPr>
        <w:tc>
          <w:tcPr>
            <w:tcW w:w="998" w:type="dxa"/>
          </w:tcPr>
          <w:p>
            <w:pPr>
              <w:pStyle w:val="TableParagraph"/>
              <w:spacing w:before="1"/>
              <w:ind w:left="0"/>
              <w:rPr>
                <w:rFonts w:ascii="Times New Roman"/>
                <w:b/>
                <w:sz w:val="16"/>
              </w:rPr>
            </w:pPr>
          </w:p>
          <w:p>
            <w:pPr>
              <w:pStyle w:val="TableParagraph"/>
              <w:ind w:left="246" w:right="246"/>
              <w:jc w:val="center"/>
              <w:rPr>
                <w:sz w:val="16"/>
              </w:rPr>
            </w:pPr>
            <w:r>
              <w:rPr>
                <w:color w:val="231F20"/>
                <w:w w:val="85"/>
                <w:sz w:val="16"/>
              </w:rPr>
              <w:t>Elección</w:t>
            </w:r>
          </w:p>
        </w:tc>
        <w:tc>
          <w:tcPr>
            <w:tcW w:w="934" w:type="dxa"/>
          </w:tcPr>
          <w:p>
            <w:pPr>
              <w:pStyle w:val="TableParagraph"/>
              <w:rPr>
                <w:rFonts w:ascii="Times New Roman"/>
                <w:sz w:val="20"/>
              </w:rPr>
            </w:pPr>
            <w:r>
              <w:rPr>
                <w:rFonts w:ascii="Times New Roman"/>
                <w:sz w:val="20"/>
              </w:rPr>
              <w:drawing>
                <wp:inline distT="0" distB="0" distL="0" distR="0">
                  <wp:extent cx="387077" cy="384048"/>
                  <wp:effectExtent l="0" t="0" r="0" b="0"/>
                  <wp:docPr id="267" name="image523.jpeg" descr=""/>
                  <wp:cNvGraphicFramePr>
                    <a:graphicFrameLocks noChangeAspect="1"/>
                  </wp:cNvGraphicFramePr>
                  <a:graphic>
                    <a:graphicData uri="http://schemas.openxmlformats.org/drawingml/2006/picture">
                      <pic:pic>
                        <pic:nvPicPr>
                          <pic:cNvPr id="268" name="image523.jpeg"/>
                          <pic:cNvPicPr/>
                        </pic:nvPicPr>
                        <pic:blipFill>
                          <a:blip r:embed="rId581" cstate="print"/>
                          <a:stretch>
                            <a:fillRect/>
                          </a:stretch>
                        </pic:blipFill>
                        <pic:spPr>
                          <a:xfrm>
                            <a:off x="0" y="0"/>
                            <a:ext cx="387077" cy="384048"/>
                          </a:xfrm>
                          <a:prstGeom prst="rect">
                            <a:avLst/>
                          </a:prstGeom>
                        </pic:spPr>
                      </pic:pic>
                    </a:graphicData>
                  </a:graphic>
                </wp:inline>
              </w:drawing>
            </w:r>
            <w:r>
              <w:rPr>
                <w:rFonts w:ascii="Times New Roman"/>
                <w:sz w:val="20"/>
              </w:rPr>
            </w:r>
          </w:p>
        </w:tc>
        <w:tc>
          <w:tcPr>
            <w:tcW w:w="922" w:type="dxa"/>
          </w:tcPr>
          <w:p>
            <w:pPr>
              <w:pStyle w:val="TableParagraph"/>
              <w:rPr>
                <w:rFonts w:ascii="Times New Roman"/>
                <w:sz w:val="20"/>
              </w:rPr>
            </w:pPr>
            <w:r>
              <w:rPr>
                <w:rFonts w:ascii="Times New Roman"/>
                <w:sz w:val="20"/>
              </w:rPr>
              <w:drawing>
                <wp:inline distT="0" distB="0" distL="0" distR="0">
                  <wp:extent cx="400975" cy="390144"/>
                  <wp:effectExtent l="0" t="0" r="0" b="0"/>
                  <wp:docPr id="269" name="image524.jpeg" descr=""/>
                  <wp:cNvGraphicFramePr>
                    <a:graphicFrameLocks noChangeAspect="1"/>
                  </wp:cNvGraphicFramePr>
                  <a:graphic>
                    <a:graphicData uri="http://schemas.openxmlformats.org/drawingml/2006/picture">
                      <pic:pic>
                        <pic:nvPicPr>
                          <pic:cNvPr id="270" name="image524.jpeg"/>
                          <pic:cNvPicPr/>
                        </pic:nvPicPr>
                        <pic:blipFill>
                          <a:blip r:embed="rId582" cstate="print"/>
                          <a:stretch>
                            <a:fillRect/>
                          </a:stretch>
                        </pic:blipFill>
                        <pic:spPr>
                          <a:xfrm>
                            <a:off x="0" y="0"/>
                            <a:ext cx="400975" cy="390144"/>
                          </a:xfrm>
                          <a:prstGeom prst="rect">
                            <a:avLst/>
                          </a:prstGeom>
                        </pic:spPr>
                      </pic:pic>
                    </a:graphicData>
                  </a:graphic>
                </wp:inline>
              </w:drawing>
            </w:r>
            <w:r>
              <w:rPr>
                <w:rFonts w:ascii="Times New Roman"/>
                <w:sz w:val="20"/>
              </w:rPr>
            </w:r>
          </w:p>
        </w:tc>
        <w:tc>
          <w:tcPr>
            <w:tcW w:w="928" w:type="dxa"/>
          </w:tcPr>
          <w:p>
            <w:pPr>
              <w:pStyle w:val="TableParagraph"/>
              <w:rPr>
                <w:rFonts w:ascii="Times New Roman"/>
                <w:sz w:val="20"/>
              </w:rPr>
            </w:pPr>
            <w:r>
              <w:rPr>
                <w:rFonts w:ascii="Times New Roman"/>
                <w:sz w:val="20"/>
              </w:rPr>
              <w:drawing>
                <wp:inline distT="0" distB="0" distL="0" distR="0">
                  <wp:extent cx="390144" cy="388620"/>
                  <wp:effectExtent l="0" t="0" r="0" b="0"/>
                  <wp:docPr id="271" name="image525.jpeg" descr=""/>
                  <wp:cNvGraphicFramePr>
                    <a:graphicFrameLocks noChangeAspect="1"/>
                  </wp:cNvGraphicFramePr>
                  <a:graphic>
                    <a:graphicData uri="http://schemas.openxmlformats.org/drawingml/2006/picture">
                      <pic:pic>
                        <pic:nvPicPr>
                          <pic:cNvPr id="272" name="image525.jpeg"/>
                          <pic:cNvPicPr/>
                        </pic:nvPicPr>
                        <pic:blipFill>
                          <a:blip r:embed="rId583" cstate="print"/>
                          <a:stretch>
                            <a:fillRect/>
                          </a:stretch>
                        </pic:blipFill>
                        <pic:spPr>
                          <a:xfrm>
                            <a:off x="0" y="0"/>
                            <a:ext cx="390144" cy="388620"/>
                          </a:xfrm>
                          <a:prstGeom prst="rect">
                            <a:avLst/>
                          </a:prstGeom>
                        </pic:spPr>
                      </pic:pic>
                    </a:graphicData>
                  </a:graphic>
                </wp:inline>
              </w:drawing>
            </w:r>
            <w:r>
              <w:rPr>
                <w:rFonts w:ascii="Times New Roman"/>
                <w:sz w:val="20"/>
              </w:rPr>
            </w:r>
          </w:p>
        </w:tc>
        <w:tc>
          <w:tcPr>
            <w:tcW w:w="889" w:type="dxa"/>
          </w:tcPr>
          <w:p>
            <w:pPr>
              <w:pStyle w:val="TableParagraph"/>
              <w:rPr>
                <w:rFonts w:ascii="Times New Roman"/>
                <w:sz w:val="20"/>
              </w:rPr>
            </w:pPr>
            <w:r>
              <w:rPr>
                <w:rFonts w:ascii="Times New Roman"/>
                <w:sz w:val="20"/>
              </w:rPr>
              <w:drawing>
                <wp:inline distT="0" distB="0" distL="0" distR="0">
                  <wp:extent cx="378047" cy="378047"/>
                  <wp:effectExtent l="0" t="0" r="0" b="0"/>
                  <wp:docPr id="273" name="image526.jpeg" descr=""/>
                  <wp:cNvGraphicFramePr>
                    <a:graphicFrameLocks noChangeAspect="1"/>
                  </wp:cNvGraphicFramePr>
                  <a:graphic>
                    <a:graphicData uri="http://schemas.openxmlformats.org/drawingml/2006/picture">
                      <pic:pic>
                        <pic:nvPicPr>
                          <pic:cNvPr id="274" name="image526.jpeg"/>
                          <pic:cNvPicPr/>
                        </pic:nvPicPr>
                        <pic:blipFill>
                          <a:blip r:embed="rId584" cstate="print"/>
                          <a:stretch>
                            <a:fillRect/>
                          </a:stretch>
                        </pic:blipFill>
                        <pic:spPr>
                          <a:xfrm>
                            <a:off x="0" y="0"/>
                            <a:ext cx="378047" cy="378047"/>
                          </a:xfrm>
                          <a:prstGeom prst="rect">
                            <a:avLst/>
                          </a:prstGeom>
                        </pic:spPr>
                      </pic:pic>
                    </a:graphicData>
                  </a:graphic>
                </wp:inline>
              </w:drawing>
            </w:r>
            <w:r>
              <w:rPr>
                <w:rFonts w:ascii="Times New Roman"/>
                <w:sz w:val="20"/>
              </w:rPr>
            </w:r>
          </w:p>
        </w:tc>
        <w:tc>
          <w:tcPr>
            <w:tcW w:w="938" w:type="dxa"/>
          </w:tcPr>
          <w:p>
            <w:pPr>
              <w:pStyle w:val="TableParagraph"/>
              <w:rPr>
                <w:rFonts w:ascii="Times New Roman"/>
                <w:sz w:val="20"/>
              </w:rPr>
            </w:pPr>
            <w:r>
              <w:rPr>
                <w:rFonts w:ascii="Times New Roman"/>
                <w:sz w:val="20"/>
              </w:rPr>
              <w:drawing>
                <wp:inline distT="0" distB="0" distL="0" distR="0">
                  <wp:extent cx="387077" cy="384048"/>
                  <wp:effectExtent l="0" t="0" r="0" b="0"/>
                  <wp:docPr id="275" name="image527.jpeg" descr=""/>
                  <wp:cNvGraphicFramePr>
                    <a:graphicFrameLocks noChangeAspect="1"/>
                  </wp:cNvGraphicFramePr>
                  <a:graphic>
                    <a:graphicData uri="http://schemas.openxmlformats.org/drawingml/2006/picture">
                      <pic:pic>
                        <pic:nvPicPr>
                          <pic:cNvPr id="276" name="image527.jpeg"/>
                          <pic:cNvPicPr/>
                        </pic:nvPicPr>
                        <pic:blipFill>
                          <a:blip r:embed="rId585" cstate="print"/>
                          <a:stretch>
                            <a:fillRect/>
                          </a:stretch>
                        </pic:blipFill>
                        <pic:spPr>
                          <a:xfrm>
                            <a:off x="0" y="0"/>
                            <a:ext cx="387077" cy="384048"/>
                          </a:xfrm>
                          <a:prstGeom prst="rect">
                            <a:avLst/>
                          </a:prstGeom>
                        </pic:spPr>
                      </pic:pic>
                    </a:graphicData>
                  </a:graphic>
                </wp:inline>
              </w:drawing>
            </w:r>
            <w:r>
              <w:rPr>
                <w:rFonts w:ascii="Times New Roman"/>
                <w:sz w:val="20"/>
              </w:rPr>
            </w:r>
          </w:p>
        </w:tc>
        <w:tc>
          <w:tcPr>
            <w:tcW w:w="1207" w:type="dxa"/>
          </w:tcPr>
          <w:p>
            <w:pPr>
              <w:pStyle w:val="TableParagraph"/>
              <w:rPr>
                <w:rFonts w:ascii="Times New Roman"/>
                <w:sz w:val="20"/>
              </w:rPr>
            </w:pPr>
            <w:r>
              <w:rPr>
                <w:rFonts w:ascii="Times New Roman"/>
                <w:sz w:val="20"/>
              </w:rPr>
              <w:drawing>
                <wp:inline distT="0" distB="0" distL="0" distR="0">
                  <wp:extent cx="503283" cy="342042"/>
                  <wp:effectExtent l="0" t="0" r="0" b="0"/>
                  <wp:docPr id="277" name="image528.jpeg" descr=""/>
                  <wp:cNvGraphicFramePr>
                    <a:graphicFrameLocks noChangeAspect="1"/>
                  </wp:cNvGraphicFramePr>
                  <a:graphic>
                    <a:graphicData uri="http://schemas.openxmlformats.org/drawingml/2006/picture">
                      <pic:pic>
                        <pic:nvPicPr>
                          <pic:cNvPr id="278" name="image528.jpeg"/>
                          <pic:cNvPicPr/>
                        </pic:nvPicPr>
                        <pic:blipFill>
                          <a:blip r:embed="rId586" cstate="print"/>
                          <a:stretch>
                            <a:fillRect/>
                          </a:stretch>
                        </pic:blipFill>
                        <pic:spPr>
                          <a:xfrm>
                            <a:off x="0" y="0"/>
                            <a:ext cx="503283" cy="342042"/>
                          </a:xfrm>
                          <a:prstGeom prst="rect">
                            <a:avLst/>
                          </a:prstGeom>
                        </pic:spPr>
                      </pic:pic>
                    </a:graphicData>
                  </a:graphic>
                </wp:inline>
              </w:drawing>
            </w:r>
            <w:r>
              <w:rPr>
                <w:rFonts w:ascii="Times New Roman"/>
                <w:sz w:val="20"/>
              </w:rPr>
            </w:r>
          </w:p>
        </w:tc>
        <w:tc>
          <w:tcPr>
            <w:tcW w:w="1110" w:type="dxa"/>
          </w:tcPr>
          <w:p>
            <w:pPr>
              <w:pStyle w:val="TableParagraph"/>
              <w:spacing w:before="1"/>
              <w:ind w:left="0"/>
              <w:rPr>
                <w:rFonts w:ascii="Times New Roman"/>
                <w:b/>
                <w:sz w:val="16"/>
              </w:rPr>
            </w:pPr>
          </w:p>
          <w:p>
            <w:pPr>
              <w:pStyle w:val="TableParagraph"/>
              <w:ind w:left="0" w:right="401"/>
              <w:jc w:val="right"/>
              <w:rPr>
                <w:b/>
                <w:sz w:val="16"/>
              </w:rPr>
            </w:pPr>
            <w:r>
              <w:rPr>
                <w:b/>
                <w:color w:val="231F20"/>
                <w:w w:val="85"/>
                <w:sz w:val="16"/>
              </w:rPr>
              <w:t>Total</w:t>
            </w:r>
          </w:p>
        </w:tc>
      </w:tr>
      <w:tr>
        <w:trPr>
          <w:trHeight w:val="130" w:hRule="exact"/>
        </w:trPr>
        <w:tc>
          <w:tcPr>
            <w:tcW w:w="998" w:type="dxa"/>
          </w:tcPr>
          <w:p>
            <w:pPr>
              <w:pStyle w:val="TableParagraph"/>
              <w:spacing w:line="160" w:lineRule="exact"/>
              <w:ind w:left="246" w:right="246"/>
              <w:jc w:val="center"/>
              <w:rPr>
                <w:sz w:val="16"/>
              </w:rPr>
            </w:pPr>
            <w:r>
              <w:rPr>
                <w:color w:val="231F20"/>
                <w:w w:val="85"/>
                <w:sz w:val="16"/>
              </w:rPr>
              <w:t>1996</w:t>
            </w:r>
          </w:p>
        </w:tc>
        <w:tc>
          <w:tcPr>
            <w:tcW w:w="934" w:type="dxa"/>
          </w:tcPr>
          <w:p>
            <w:pPr>
              <w:pStyle w:val="TableParagraph"/>
              <w:spacing w:line="160" w:lineRule="exact"/>
              <w:ind w:left="252" w:right="252"/>
              <w:jc w:val="center"/>
              <w:rPr>
                <w:sz w:val="16"/>
              </w:rPr>
            </w:pPr>
            <w:r>
              <w:rPr>
                <w:color w:val="231F20"/>
                <w:w w:val="85"/>
                <w:sz w:val="16"/>
              </w:rPr>
              <w:t>12,246</w:t>
            </w:r>
          </w:p>
        </w:tc>
        <w:tc>
          <w:tcPr>
            <w:tcW w:w="922" w:type="dxa"/>
          </w:tcPr>
          <w:p>
            <w:pPr>
              <w:pStyle w:val="TableParagraph"/>
              <w:spacing w:line="160" w:lineRule="exact"/>
              <w:ind w:left="225" w:right="225"/>
              <w:jc w:val="center"/>
              <w:rPr>
                <w:sz w:val="16"/>
              </w:rPr>
            </w:pPr>
            <w:r>
              <w:rPr>
                <w:color w:val="231F20"/>
                <w:w w:val="85"/>
                <w:sz w:val="16"/>
              </w:rPr>
              <w:t>23,073</w:t>
            </w:r>
          </w:p>
        </w:tc>
        <w:tc>
          <w:tcPr>
            <w:tcW w:w="928" w:type="dxa"/>
          </w:tcPr>
          <w:p>
            <w:pPr>
              <w:pStyle w:val="TableParagraph"/>
              <w:spacing w:line="160" w:lineRule="exact"/>
              <w:ind w:left="290"/>
              <w:rPr>
                <w:sz w:val="16"/>
              </w:rPr>
            </w:pPr>
            <w:r>
              <w:rPr>
                <w:color w:val="231F20"/>
                <w:w w:val="85"/>
                <w:sz w:val="16"/>
              </w:rPr>
              <w:t>14,799</w:t>
            </w:r>
          </w:p>
        </w:tc>
        <w:tc>
          <w:tcPr>
            <w:tcW w:w="889" w:type="dxa"/>
          </w:tcPr>
          <w:p>
            <w:pPr>
              <w:pStyle w:val="TableParagraph"/>
              <w:spacing w:line="160" w:lineRule="exact"/>
              <w:ind w:left="264" w:right="264"/>
              <w:jc w:val="center"/>
              <w:rPr>
                <w:sz w:val="16"/>
              </w:rPr>
            </w:pPr>
            <w:r>
              <w:rPr>
                <w:color w:val="231F20"/>
                <w:w w:val="85"/>
                <w:sz w:val="16"/>
              </w:rPr>
              <w:t>1,502</w:t>
            </w:r>
          </w:p>
        </w:tc>
        <w:tc>
          <w:tcPr>
            <w:tcW w:w="938" w:type="dxa"/>
          </w:tcPr>
          <w:p>
            <w:pPr>
              <w:pStyle w:val="TableParagraph"/>
              <w:spacing w:line="160" w:lineRule="exact"/>
              <w:ind w:left="289" w:right="289"/>
              <w:jc w:val="center"/>
              <w:rPr>
                <w:sz w:val="16"/>
              </w:rPr>
            </w:pPr>
            <w:r>
              <w:rPr>
                <w:color w:val="231F20"/>
                <w:w w:val="85"/>
                <w:sz w:val="16"/>
              </w:rPr>
              <w:t>3,298</w:t>
            </w:r>
          </w:p>
        </w:tc>
        <w:tc>
          <w:tcPr>
            <w:tcW w:w="1207" w:type="dxa"/>
          </w:tcPr>
          <w:p>
            <w:pPr>
              <w:pStyle w:val="TableParagraph"/>
              <w:spacing w:line="160" w:lineRule="exact"/>
              <w:ind w:left="0"/>
              <w:jc w:val="center"/>
              <w:rPr>
                <w:sz w:val="16"/>
              </w:rPr>
            </w:pPr>
            <w:r>
              <w:rPr>
                <w:color w:val="231F20"/>
                <w:w w:val="91"/>
                <w:sz w:val="16"/>
              </w:rPr>
              <w:t>-</w:t>
            </w:r>
          </w:p>
        </w:tc>
        <w:tc>
          <w:tcPr>
            <w:tcW w:w="1110" w:type="dxa"/>
          </w:tcPr>
          <w:p>
            <w:pPr>
              <w:pStyle w:val="TableParagraph"/>
              <w:spacing w:line="160" w:lineRule="exact"/>
              <w:ind w:left="0" w:right="375"/>
              <w:jc w:val="right"/>
              <w:rPr>
                <w:sz w:val="16"/>
              </w:rPr>
            </w:pPr>
            <w:r>
              <w:rPr>
                <w:color w:val="231F20"/>
                <w:w w:val="75"/>
                <w:sz w:val="16"/>
              </w:rPr>
              <w:t>60,297</w:t>
            </w:r>
          </w:p>
        </w:tc>
      </w:tr>
      <w:tr>
        <w:trPr>
          <w:trHeight w:val="130" w:hRule="exact"/>
        </w:trPr>
        <w:tc>
          <w:tcPr>
            <w:tcW w:w="998" w:type="dxa"/>
          </w:tcPr>
          <w:p>
            <w:pPr>
              <w:pStyle w:val="TableParagraph"/>
              <w:spacing w:line="160" w:lineRule="exact"/>
              <w:ind w:left="246" w:right="243"/>
              <w:jc w:val="center"/>
              <w:rPr>
                <w:sz w:val="16"/>
              </w:rPr>
            </w:pPr>
            <w:r>
              <w:rPr>
                <w:color w:val="231F20"/>
                <w:w w:val="85"/>
                <w:sz w:val="16"/>
              </w:rPr>
              <w:t>2000</w:t>
            </w:r>
          </w:p>
        </w:tc>
        <w:tc>
          <w:tcPr>
            <w:tcW w:w="934" w:type="dxa"/>
          </w:tcPr>
          <w:p>
            <w:pPr>
              <w:pStyle w:val="TableParagraph"/>
              <w:spacing w:line="160" w:lineRule="exact"/>
              <w:ind w:left="251" w:right="252"/>
              <w:jc w:val="center"/>
              <w:rPr>
                <w:sz w:val="16"/>
              </w:rPr>
            </w:pPr>
            <w:r>
              <w:rPr>
                <w:color w:val="231F20"/>
                <w:w w:val="85"/>
                <w:sz w:val="16"/>
              </w:rPr>
              <w:t>30,692</w:t>
            </w:r>
          </w:p>
        </w:tc>
        <w:tc>
          <w:tcPr>
            <w:tcW w:w="922" w:type="dxa"/>
          </w:tcPr>
          <w:p>
            <w:pPr>
              <w:pStyle w:val="TableParagraph"/>
              <w:spacing w:line="160" w:lineRule="exact"/>
              <w:ind w:left="225" w:right="225"/>
              <w:jc w:val="center"/>
              <w:rPr>
                <w:sz w:val="16"/>
              </w:rPr>
            </w:pPr>
            <w:r>
              <w:rPr>
                <w:color w:val="231F20"/>
                <w:w w:val="85"/>
                <w:sz w:val="16"/>
              </w:rPr>
              <w:t>45,996</w:t>
            </w:r>
          </w:p>
        </w:tc>
        <w:tc>
          <w:tcPr>
            <w:tcW w:w="928" w:type="dxa"/>
          </w:tcPr>
          <w:p>
            <w:pPr>
              <w:pStyle w:val="TableParagraph"/>
              <w:spacing w:line="160" w:lineRule="exact"/>
              <w:ind w:left="292"/>
              <w:rPr>
                <w:sz w:val="16"/>
              </w:rPr>
            </w:pPr>
            <w:r>
              <w:rPr>
                <w:color w:val="231F20"/>
                <w:w w:val="85"/>
                <w:sz w:val="16"/>
              </w:rPr>
              <w:t>37,466</w:t>
            </w:r>
          </w:p>
        </w:tc>
        <w:tc>
          <w:tcPr>
            <w:tcW w:w="889" w:type="dxa"/>
          </w:tcPr>
          <w:p>
            <w:pPr>
              <w:pStyle w:val="TableParagraph"/>
              <w:spacing w:line="160" w:lineRule="exact"/>
              <w:ind w:left="264" w:right="264"/>
              <w:jc w:val="center"/>
              <w:rPr>
                <w:sz w:val="16"/>
              </w:rPr>
            </w:pPr>
            <w:r>
              <w:rPr>
                <w:color w:val="231F20"/>
                <w:w w:val="85"/>
                <w:sz w:val="16"/>
              </w:rPr>
              <w:t>1,795</w:t>
            </w:r>
          </w:p>
        </w:tc>
        <w:tc>
          <w:tcPr>
            <w:tcW w:w="938" w:type="dxa"/>
          </w:tcPr>
          <w:p>
            <w:pPr>
              <w:pStyle w:val="TableParagraph"/>
              <w:spacing w:line="160" w:lineRule="exact"/>
              <w:ind w:left="289" w:right="289"/>
              <w:jc w:val="center"/>
              <w:rPr>
                <w:sz w:val="16"/>
              </w:rPr>
            </w:pPr>
            <w:r>
              <w:rPr>
                <w:color w:val="231F20"/>
                <w:w w:val="85"/>
                <w:sz w:val="16"/>
              </w:rPr>
              <w:t>2,548</w:t>
            </w:r>
          </w:p>
        </w:tc>
        <w:tc>
          <w:tcPr>
            <w:tcW w:w="1207" w:type="dxa"/>
          </w:tcPr>
          <w:p>
            <w:pPr>
              <w:pStyle w:val="TableParagraph"/>
              <w:spacing w:line="160" w:lineRule="exact"/>
              <w:ind w:left="0" w:right="502"/>
              <w:jc w:val="right"/>
              <w:rPr>
                <w:sz w:val="16"/>
              </w:rPr>
            </w:pPr>
            <w:r>
              <w:rPr>
                <w:color w:val="231F20"/>
                <w:w w:val="75"/>
                <w:sz w:val="16"/>
              </w:rPr>
              <w:t>662</w:t>
            </w:r>
          </w:p>
        </w:tc>
        <w:tc>
          <w:tcPr>
            <w:tcW w:w="1110" w:type="dxa"/>
          </w:tcPr>
          <w:p>
            <w:pPr>
              <w:pStyle w:val="TableParagraph"/>
              <w:spacing w:line="160" w:lineRule="exact"/>
              <w:ind w:left="0" w:right="351"/>
              <w:jc w:val="right"/>
              <w:rPr>
                <w:sz w:val="16"/>
              </w:rPr>
            </w:pPr>
            <w:r>
              <w:rPr>
                <w:color w:val="231F20"/>
                <w:w w:val="75"/>
                <w:sz w:val="16"/>
              </w:rPr>
              <w:t>127,809</w:t>
            </w:r>
          </w:p>
        </w:tc>
      </w:tr>
      <w:tr>
        <w:trPr>
          <w:trHeight w:val="130" w:hRule="exact"/>
        </w:trPr>
        <w:tc>
          <w:tcPr>
            <w:tcW w:w="998" w:type="dxa"/>
          </w:tcPr>
          <w:p>
            <w:pPr>
              <w:pStyle w:val="TableParagraph"/>
              <w:spacing w:line="160" w:lineRule="exact"/>
              <w:ind w:left="245" w:right="246"/>
              <w:jc w:val="center"/>
              <w:rPr>
                <w:sz w:val="16"/>
              </w:rPr>
            </w:pPr>
            <w:r>
              <w:rPr>
                <w:color w:val="231F20"/>
                <w:w w:val="85"/>
                <w:sz w:val="16"/>
              </w:rPr>
              <w:t>2003</w:t>
            </w:r>
          </w:p>
        </w:tc>
        <w:tc>
          <w:tcPr>
            <w:tcW w:w="934" w:type="dxa"/>
          </w:tcPr>
          <w:p>
            <w:pPr>
              <w:pStyle w:val="TableParagraph"/>
              <w:spacing w:line="160" w:lineRule="exact"/>
              <w:ind w:left="252" w:right="252"/>
              <w:jc w:val="center"/>
              <w:rPr>
                <w:sz w:val="16"/>
              </w:rPr>
            </w:pPr>
            <w:r>
              <w:rPr>
                <w:color w:val="231F20"/>
                <w:w w:val="85"/>
                <w:sz w:val="16"/>
              </w:rPr>
              <w:t>7,029</w:t>
            </w:r>
          </w:p>
        </w:tc>
        <w:tc>
          <w:tcPr>
            <w:tcW w:w="922" w:type="dxa"/>
          </w:tcPr>
          <w:p>
            <w:pPr>
              <w:pStyle w:val="TableParagraph"/>
              <w:spacing w:line="160" w:lineRule="exact"/>
              <w:ind w:left="225" w:right="225"/>
              <w:jc w:val="center"/>
              <w:rPr>
                <w:sz w:val="16"/>
              </w:rPr>
            </w:pPr>
            <w:r>
              <w:rPr>
                <w:color w:val="231F20"/>
                <w:w w:val="75"/>
                <w:sz w:val="16"/>
              </w:rPr>
              <w:t>35,771 *</w:t>
            </w:r>
          </w:p>
        </w:tc>
        <w:tc>
          <w:tcPr>
            <w:tcW w:w="928" w:type="dxa"/>
          </w:tcPr>
          <w:p>
            <w:pPr>
              <w:pStyle w:val="TableParagraph"/>
              <w:spacing w:line="160" w:lineRule="exact"/>
              <w:ind w:left="292"/>
              <w:rPr>
                <w:sz w:val="16"/>
              </w:rPr>
            </w:pPr>
            <w:r>
              <w:rPr>
                <w:color w:val="231F20"/>
                <w:w w:val="85"/>
                <w:sz w:val="16"/>
              </w:rPr>
              <w:t>14,218</w:t>
            </w:r>
          </w:p>
        </w:tc>
        <w:tc>
          <w:tcPr>
            <w:tcW w:w="889" w:type="dxa"/>
          </w:tcPr>
          <w:p>
            <w:pPr>
              <w:pStyle w:val="TableParagraph"/>
              <w:spacing w:line="160" w:lineRule="exact"/>
              <w:ind w:left="264" w:right="264"/>
              <w:jc w:val="center"/>
              <w:rPr>
                <w:sz w:val="16"/>
              </w:rPr>
            </w:pPr>
            <w:r>
              <w:rPr>
                <w:color w:val="231F20"/>
                <w:w w:val="85"/>
                <w:sz w:val="16"/>
              </w:rPr>
              <w:t>1,578</w:t>
            </w:r>
          </w:p>
        </w:tc>
        <w:tc>
          <w:tcPr>
            <w:tcW w:w="938" w:type="dxa"/>
          </w:tcPr>
          <w:p>
            <w:pPr>
              <w:pStyle w:val="TableParagraph"/>
              <w:spacing w:line="160" w:lineRule="exact"/>
              <w:ind w:left="0"/>
              <w:jc w:val="center"/>
              <w:rPr>
                <w:sz w:val="16"/>
              </w:rPr>
            </w:pPr>
            <w:r>
              <w:rPr>
                <w:color w:val="231F20"/>
                <w:w w:val="91"/>
                <w:sz w:val="16"/>
              </w:rPr>
              <w:t>-</w:t>
            </w:r>
          </w:p>
        </w:tc>
        <w:tc>
          <w:tcPr>
            <w:tcW w:w="1207" w:type="dxa"/>
          </w:tcPr>
          <w:p>
            <w:pPr>
              <w:pStyle w:val="TableParagraph"/>
              <w:spacing w:line="160" w:lineRule="exact"/>
              <w:ind w:left="0" w:right="427"/>
              <w:jc w:val="right"/>
              <w:rPr>
                <w:sz w:val="16"/>
              </w:rPr>
            </w:pPr>
            <w:r>
              <w:rPr>
                <w:color w:val="231F20"/>
                <w:w w:val="75"/>
                <w:sz w:val="16"/>
              </w:rPr>
              <w:t>18,477</w:t>
            </w:r>
          </w:p>
        </w:tc>
        <w:tc>
          <w:tcPr>
            <w:tcW w:w="1110" w:type="dxa"/>
          </w:tcPr>
          <w:p>
            <w:pPr>
              <w:pStyle w:val="TableParagraph"/>
              <w:spacing w:line="160" w:lineRule="exact"/>
              <w:ind w:left="0" w:right="375"/>
              <w:jc w:val="right"/>
              <w:rPr>
                <w:sz w:val="16"/>
              </w:rPr>
            </w:pPr>
            <w:r>
              <w:rPr>
                <w:color w:val="231F20"/>
                <w:w w:val="75"/>
                <w:sz w:val="16"/>
              </w:rPr>
              <w:t>82,569</w:t>
            </w:r>
          </w:p>
        </w:tc>
      </w:tr>
      <w:tr>
        <w:trPr>
          <w:trHeight w:val="130" w:hRule="exact"/>
        </w:trPr>
        <w:tc>
          <w:tcPr>
            <w:tcW w:w="998" w:type="dxa"/>
          </w:tcPr>
          <w:p>
            <w:pPr>
              <w:pStyle w:val="TableParagraph"/>
              <w:spacing w:line="160" w:lineRule="exact"/>
              <w:ind w:left="246" w:right="246"/>
              <w:jc w:val="center"/>
              <w:rPr>
                <w:sz w:val="16"/>
              </w:rPr>
            </w:pPr>
            <w:r>
              <w:rPr>
                <w:color w:val="231F20"/>
                <w:w w:val="85"/>
                <w:sz w:val="16"/>
              </w:rPr>
              <w:t>2006</w:t>
            </w:r>
          </w:p>
        </w:tc>
        <w:tc>
          <w:tcPr>
            <w:tcW w:w="934" w:type="dxa"/>
          </w:tcPr>
          <w:p>
            <w:pPr>
              <w:pStyle w:val="TableParagraph"/>
              <w:spacing w:line="160" w:lineRule="exact"/>
              <w:ind w:left="252" w:right="252"/>
              <w:jc w:val="center"/>
              <w:rPr>
                <w:sz w:val="16"/>
              </w:rPr>
            </w:pPr>
            <w:r>
              <w:rPr>
                <w:color w:val="231F20"/>
                <w:w w:val="85"/>
                <w:sz w:val="16"/>
              </w:rPr>
              <w:t>8,548</w:t>
            </w:r>
          </w:p>
        </w:tc>
        <w:tc>
          <w:tcPr>
            <w:tcW w:w="922" w:type="dxa"/>
          </w:tcPr>
          <w:p>
            <w:pPr>
              <w:pStyle w:val="TableParagraph"/>
              <w:spacing w:line="160" w:lineRule="exact"/>
              <w:ind w:left="225" w:right="225"/>
              <w:jc w:val="center"/>
              <w:rPr>
                <w:sz w:val="16"/>
              </w:rPr>
            </w:pPr>
            <w:r>
              <w:rPr>
                <w:color w:val="231F20"/>
                <w:w w:val="75"/>
                <w:sz w:val="16"/>
              </w:rPr>
              <w:t>38,383 *</w:t>
            </w:r>
          </w:p>
        </w:tc>
        <w:tc>
          <w:tcPr>
            <w:tcW w:w="928" w:type="dxa"/>
          </w:tcPr>
          <w:p>
            <w:pPr>
              <w:pStyle w:val="TableParagraph"/>
              <w:spacing w:line="160" w:lineRule="exact"/>
              <w:ind w:left="290"/>
              <w:rPr>
                <w:sz w:val="16"/>
              </w:rPr>
            </w:pPr>
            <w:r>
              <w:rPr>
                <w:color w:val="231F20"/>
                <w:w w:val="85"/>
                <w:sz w:val="16"/>
              </w:rPr>
              <w:t>33,425</w:t>
            </w:r>
          </w:p>
        </w:tc>
        <w:tc>
          <w:tcPr>
            <w:tcW w:w="889" w:type="dxa"/>
          </w:tcPr>
          <w:p>
            <w:pPr>
              <w:pStyle w:val="TableParagraph"/>
              <w:spacing w:line="160" w:lineRule="exact"/>
              <w:ind w:left="264" w:right="264"/>
              <w:jc w:val="center"/>
              <w:rPr>
                <w:sz w:val="16"/>
              </w:rPr>
            </w:pPr>
            <w:r>
              <w:rPr>
                <w:color w:val="231F20"/>
                <w:w w:val="85"/>
                <w:sz w:val="16"/>
              </w:rPr>
              <w:t>746</w:t>
            </w:r>
          </w:p>
        </w:tc>
        <w:tc>
          <w:tcPr>
            <w:tcW w:w="938" w:type="dxa"/>
          </w:tcPr>
          <w:p>
            <w:pPr>
              <w:pStyle w:val="TableParagraph"/>
              <w:spacing w:line="160" w:lineRule="exact"/>
              <w:ind w:left="0"/>
              <w:jc w:val="center"/>
              <w:rPr>
                <w:sz w:val="16"/>
              </w:rPr>
            </w:pPr>
            <w:r>
              <w:rPr>
                <w:color w:val="231F20"/>
                <w:w w:val="91"/>
                <w:sz w:val="16"/>
              </w:rPr>
              <w:t>-</w:t>
            </w:r>
          </w:p>
        </w:tc>
        <w:tc>
          <w:tcPr>
            <w:tcW w:w="1207" w:type="dxa"/>
          </w:tcPr>
          <w:p>
            <w:pPr>
              <w:pStyle w:val="TableParagraph"/>
              <w:spacing w:line="160" w:lineRule="exact"/>
              <w:ind w:left="0" w:right="456"/>
              <w:jc w:val="right"/>
              <w:rPr>
                <w:sz w:val="16"/>
              </w:rPr>
            </w:pPr>
            <w:r>
              <w:rPr>
                <w:color w:val="231F20"/>
                <w:w w:val="75"/>
                <w:sz w:val="16"/>
              </w:rPr>
              <w:t>2,045</w:t>
            </w:r>
          </w:p>
        </w:tc>
        <w:tc>
          <w:tcPr>
            <w:tcW w:w="1110" w:type="dxa"/>
          </w:tcPr>
          <w:p>
            <w:pPr>
              <w:pStyle w:val="TableParagraph"/>
              <w:spacing w:line="160" w:lineRule="exact"/>
              <w:ind w:left="0" w:right="386"/>
              <w:jc w:val="right"/>
              <w:rPr>
                <w:sz w:val="16"/>
              </w:rPr>
            </w:pPr>
            <w:r>
              <w:rPr>
                <w:color w:val="231F20"/>
                <w:w w:val="75"/>
                <w:sz w:val="16"/>
              </w:rPr>
              <w:t>87,013</w:t>
            </w:r>
          </w:p>
        </w:tc>
      </w:tr>
      <w:tr>
        <w:trPr>
          <w:trHeight w:val="130" w:hRule="exact"/>
        </w:trPr>
        <w:tc>
          <w:tcPr>
            <w:tcW w:w="998" w:type="dxa"/>
            <w:tcBorders>
              <w:right w:val="nil"/>
            </w:tcBorders>
          </w:tcPr>
          <w:p>
            <w:pPr/>
          </w:p>
        </w:tc>
        <w:tc>
          <w:tcPr>
            <w:tcW w:w="934" w:type="dxa"/>
            <w:tcBorders>
              <w:left w:val="nil"/>
              <w:right w:val="nil"/>
            </w:tcBorders>
          </w:tcPr>
          <w:p>
            <w:pPr/>
          </w:p>
        </w:tc>
        <w:tc>
          <w:tcPr>
            <w:tcW w:w="922" w:type="dxa"/>
            <w:tcBorders>
              <w:left w:val="nil"/>
              <w:right w:val="nil"/>
            </w:tcBorders>
          </w:tcPr>
          <w:p>
            <w:pPr/>
          </w:p>
        </w:tc>
        <w:tc>
          <w:tcPr>
            <w:tcW w:w="928" w:type="dxa"/>
            <w:tcBorders>
              <w:left w:val="nil"/>
              <w:right w:val="nil"/>
            </w:tcBorders>
          </w:tcPr>
          <w:p>
            <w:pPr>
              <w:pStyle w:val="TableParagraph"/>
              <w:spacing w:line="160" w:lineRule="exact"/>
              <w:ind w:left="495" w:right="-20"/>
              <w:rPr>
                <w:sz w:val="16"/>
              </w:rPr>
            </w:pPr>
            <w:r>
              <w:rPr>
                <w:color w:val="231F20"/>
                <w:w w:val="80"/>
                <w:sz w:val="16"/>
              </w:rPr>
              <w:t>* En alia</w:t>
            </w:r>
          </w:p>
        </w:tc>
        <w:tc>
          <w:tcPr>
            <w:tcW w:w="889" w:type="dxa"/>
            <w:tcBorders>
              <w:left w:val="nil"/>
              <w:right w:val="nil"/>
            </w:tcBorders>
          </w:tcPr>
          <w:p>
            <w:pPr>
              <w:pStyle w:val="TableParagraph"/>
              <w:spacing w:line="160" w:lineRule="exact"/>
              <w:ind w:left="-18"/>
              <w:rPr>
                <w:sz w:val="16"/>
              </w:rPr>
            </w:pPr>
            <w:r>
              <w:rPr>
                <w:color w:val="231F20"/>
                <w:w w:val="80"/>
                <w:sz w:val="16"/>
              </w:rPr>
              <w:t>nza con el PVEM</w:t>
            </w:r>
          </w:p>
        </w:tc>
        <w:tc>
          <w:tcPr>
            <w:tcW w:w="938" w:type="dxa"/>
            <w:tcBorders>
              <w:left w:val="nil"/>
              <w:right w:val="nil"/>
            </w:tcBorders>
          </w:tcPr>
          <w:p>
            <w:pPr/>
          </w:p>
        </w:tc>
        <w:tc>
          <w:tcPr>
            <w:tcW w:w="1207" w:type="dxa"/>
            <w:tcBorders>
              <w:left w:val="nil"/>
              <w:right w:val="nil"/>
            </w:tcBorders>
          </w:tcPr>
          <w:p>
            <w:pPr/>
          </w:p>
        </w:tc>
        <w:tc>
          <w:tcPr>
            <w:tcW w:w="1110" w:type="dxa"/>
            <w:tcBorders>
              <w:left w:val="nil"/>
            </w:tcBorders>
          </w:tcPr>
          <w:p>
            <w:pPr/>
          </w:p>
        </w:tc>
      </w:tr>
    </w:tbl>
    <w:p>
      <w:pPr>
        <w:pStyle w:val="BodyText"/>
        <w:spacing w:before="3"/>
        <w:rPr>
          <w:b/>
          <w:sz w:val="18"/>
        </w:rPr>
      </w:pPr>
    </w:p>
    <w:p>
      <w:pPr>
        <w:spacing w:before="74"/>
        <w:ind w:left="4599" w:right="-2" w:firstLine="0"/>
        <w:jc w:val="left"/>
        <w:rPr>
          <w:rFonts w:ascii="Calibri" w:hAnsi="Calibri"/>
          <w:sz w:val="16"/>
        </w:rPr>
      </w:pPr>
      <w:r>
        <w:rPr>
          <w:rFonts w:ascii="Calibri" w:hAnsi="Calibri"/>
          <w:color w:val="231F20"/>
          <w:sz w:val="16"/>
        </w:rPr>
        <w:t>Fuente Instituto Electoral del Estado de México (IEEM)</w:t>
      </w:r>
    </w:p>
    <w:p>
      <w:pPr>
        <w:pStyle w:val="BodyText"/>
        <w:spacing w:before="10"/>
        <w:rPr>
          <w:rFonts w:ascii="Calibri"/>
          <w:sz w:val="23"/>
        </w:rPr>
      </w:pPr>
    </w:p>
    <w:p>
      <w:pPr>
        <w:pStyle w:val="Heading4"/>
        <w:spacing w:line="344" w:lineRule="exact"/>
        <w:rPr>
          <w:i/>
        </w:rPr>
      </w:pPr>
      <w:r>
        <w:rPr>
          <w:i/>
          <w:color w:val="231F20"/>
        </w:rPr>
        <w:t>Los caciques:</w:t>
      </w:r>
    </w:p>
    <w:p>
      <w:pPr>
        <w:pStyle w:val="BodyText"/>
        <w:spacing w:line="285" w:lineRule="auto" w:before="16"/>
        <w:ind w:left="110" w:right="107"/>
        <w:jc w:val="both"/>
      </w:pPr>
      <w:r>
        <w:rPr>
          <w:color w:val="231F20"/>
          <w:w w:val="105"/>
        </w:rPr>
        <w:t>El</w:t>
      </w:r>
      <w:r>
        <w:rPr>
          <w:color w:val="231F20"/>
          <w:spacing w:val="-21"/>
          <w:w w:val="105"/>
        </w:rPr>
        <w:t> </w:t>
      </w:r>
      <w:r>
        <w:rPr>
          <w:color w:val="231F20"/>
          <w:w w:val="105"/>
        </w:rPr>
        <w:t>cacicazgo,</w:t>
      </w:r>
      <w:r>
        <w:rPr>
          <w:color w:val="231F20"/>
          <w:spacing w:val="-21"/>
          <w:w w:val="105"/>
        </w:rPr>
        <w:t> </w:t>
      </w:r>
      <w:r>
        <w:rPr>
          <w:color w:val="231F20"/>
          <w:w w:val="105"/>
        </w:rPr>
        <w:t>como</w:t>
      </w:r>
      <w:r>
        <w:rPr>
          <w:color w:val="231F20"/>
          <w:spacing w:val="-21"/>
          <w:w w:val="105"/>
        </w:rPr>
        <w:t> </w:t>
      </w:r>
      <w:r>
        <w:rPr>
          <w:color w:val="231F20"/>
          <w:w w:val="105"/>
        </w:rPr>
        <w:t>forma</w:t>
      </w:r>
      <w:r>
        <w:rPr>
          <w:color w:val="231F20"/>
          <w:spacing w:val="-21"/>
          <w:w w:val="105"/>
        </w:rPr>
        <w:t> </w:t>
      </w:r>
      <w:r>
        <w:rPr>
          <w:color w:val="231F20"/>
          <w:w w:val="105"/>
        </w:rPr>
        <w:t>de</w:t>
      </w:r>
      <w:r>
        <w:rPr>
          <w:color w:val="231F20"/>
          <w:spacing w:val="-21"/>
          <w:w w:val="105"/>
        </w:rPr>
        <w:t> </w:t>
      </w:r>
      <w:r>
        <w:rPr>
          <w:color w:val="231F20"/>
          <w:w w:val="105"/>
        </w:rPr>
        <w:t>control</w:t>
      </w:r>
      <w:r>
        <w:rPr>
          <w:color w:val="231F20"/>
          <w:spacing w:val="-21"/>
          <w:w w:val="105"/>
        </w:rPr>
        <w:t> </w:t>
      </w:r>
      <w:r>
        <w:rPr>
          <w:color w:val="231F20"/>
          <w:w w:val="105"/>
        </w:rPr>
        <w:t>a</w:t>
      </w:r>
      <w:r>
        <w:rPr>
          <w:color w:val="231F20"/>
          <w:spacing w:val="-21"/>
          <w:w w:val="105"/>
        </w:rPr>
        <w:t> </w:t>
      </w:r>
      <w:r>
        <w:rPr>
          <w:color w:val="231F20"/>
          <w:w w:val="105"/>
        </w:rPr>
        <w:t>través</w:t>
      </w:r>
      <w:r>
        <w:rPr>
          <w:color w:val="231F20"/>
          <w:spacing w:val="-21"/>
          <w:w w:val="105"/>
        </w:rPr>
        <w:t> </w:t>
      </w:r>
      <w:r>
        <w:rPr>
          <w:color w:val="231F20"/>
          <w:w w:val="105"/>
        </w:rPr>
        <w:t>del</w:t>
      </w:r>
      <w:r>
        <w:rPr>
          <w:color w:val="231F20"/>
          <w:spacing w:val="-21"/>
          <w:w w:val="105"/>
        </w:rPr>
        <w:t> </w:t>
      </w:r>
      <w:r>
        <w:rPr>
          <w:color w:val="231F20"/>
          <w:w w:val="105"/>
        </w:rPr>
        <w:t>cacique,</w:t>
      </w:r>
      <w:r>
        <w:rPr>
          <w:color w:val="231F20"/>
          <w:spacing w:val="-21"/>
          <w:w w:val="105"/>
        </w:rPr>
        <w:t> </w:t>
      </w:r>
      <w:r>
        <w:rPr>
          <w:color w:val="231F20"/>
          <w:w w:val="105"/>
        </w:rPr>
        <w:t>definido</w:t>
      </w:r>
      <w:r>
        <w:rPr>
          <w:color w:val="231F20"/>
          <w:spacing w:val="-21"/>
          <w:w w:val="105"/>
        </w:rPr>
        <w:t> </w:t>
      </w:r>
      <w:r>
        <w:rPr>
          <w:color w:val="231F20"/>
          <w:w w:val="105"/>
        </w:rPr>
        <w:t>por</w:t>
      </w:r>
      <w:r>
        <w:rPr>
          <w:color w:val="231F20"/>
          <w:spacing w:val="-21"/>
          <w:w w:val="105"/>
        </w:rPr>
        <w:t> </w:t>
      </w:r>
      <w:r>
        <w:rPr>
          <w:color w:val="231F20"/>
          <w:w w:val="105"/>
        </w:rPr>
        <w:t>José</w:t>
      </w:r>
      <w:r>
        <w:rPr>
          <w:color w:val="231F20"/>
          <w:spacing w:val="-21"/>
          <w:w w:val="105"/>
        </w:rPr>
        <w:t> </w:t>
      </w:r>
      <w:r>
        <w:rPr>
          <w:color w:val="231F20"/>
          <w:spacing w:val="-3"/>
          <w:w w:val="105"/>
        </w:rPr>
        <w:t>Varela</w:t>
      </w:r>
      <w:r>
        <w:rPr>
          <w:color w:val="231F20"/>
          <w:spacing w:val="-21"/>
          <w:w w:val="105"/>
        </w:rPr>
        <w:t> </w:t>
      </w:r>
      <w:r>
        <w:rPr>
          <w:color w:val="231F20"/>
          <w:w w:val="105"/>
        </w:rPr>
        <w:t>como “tiranos chicos” </w:t>
      </w:r>
      <w:r>
        <w:rPr>
          <w:color w:val="231F20"/>
          <w:spacing w:val="-3"/>
          <w:w w:val="105"/>
        </w:rPr>
        <w:t>(citado </w:t>
      </w:r>
      <w:r>
        <w:rPr>
          <w:color w:val="231F20"/>
          <w:w w:val="105"/>
        </w:rPr>
        <w:t>por </w:t>
      </w:r>
      <w:r>
        <w:rPr>
          <w:color w:val="231F20"/>
          <w:spacing w:val="-4"/>
          <w:w w:val="105"/>
        </w:rPr>
        <w:t>Meyer, </w:t>
      </w:r>
      <w:r>
        <w:rPr>
          <w:color w:val="231F20"/>
          <w:spacing w:val="4"/>
          <w:w w:val="105"/>
        </w:rPr>
        <w:t>2000: </w:t>
      </w:r>
      <w:r>
        <w:rPr>
          <w:color w:val="231F20"/>
          <w:spacing w:val="-3"/>
          <w:w w:val="105"/>
        </w:rPr>
        <w:t>02) </w:t>
      </w:r>
      <w:r>
        <w:rPr>
          <w:color w:val="231F20"/>
          <w:w w:val="105"/>
        </w:rPr>
        <w:t>tiene como función específica mantener un control político, social y económico de una población determinada con el </w:t>
      </w:r>
      <w:r>
        <w:rPr>
          <w:color w:val="231F20"/>
          <w:spacing w:val="2"/>
          <w:w w:val="105"/>
        </w:rPr>
        <w:t>afán </w:t>
      </w:r>
      <w:r>
        <w:rPr>
          <w:color w:val="231F20"/>
          <w:w w:val="105"/>
        </w:rPr>
        <w:t>de hacer prevalecer el estatus, impidiendo de esta manera la aparición de oposición y así cumplir con su </w:t>
      </w:r>
      <w:r>
        <w:rPr>
          <w:color w:val="231F20"/>
          <w:spacing w:val="2"/>
          <w:w w:val="105"/>
        </w:rPr>
        <w:t>fin </w:t>
      </w:r>
      <w:r>
        <w:rPr>
          <w:color w:val="231F20"/>
          <w:w w:val="105"/>
        </w:rPr>
        <w:t>teleológico de entregar resultados electorales que demanda alguna institución</w:t>
      </w:r>
      <w:r>
        <w:rPr>
          <w:color w:val="231F20"/>
          <w:spacing w:val="-9"/>
          <w:w w:val="105"/>
        </w:rPr>
        <w:t> </w:t>
      </w:r>
      <w:r>
        <w:rPr>
          <w:color w:val="231F20"/>
          <w:w w:val="105"/>
        </w:rPr>
        <w:t>formal</w:t>
      </w:r>
      <w:r>
        <w:rPr>
          <w:color w:val="231F20"/>
          <w:spacing w:val="-9"/>
          <w:w w:val="105"/>
        </w:rPr>
        <w:t> </w:t>
      </w:r>
      <w:r>
        <w:rPr>
          <w:color w:val="231F20"/>
          <w:w w:val="105"/>
        </w:rPr>
        <w:t>(estado,</w:t>
      </w:r>
      <w:r>
        <w:rPr>
          <w:color w:val="231F20"/>
          <w:spacing w:val="-9"/>
          <w:w w:val="105"/>
        </w:rPr>
        <w:t> </w:t>
      </w:r>
      <w:r>
        <w:rPr>
          <w:color w:val="231F20"/>
          <w:w w:val="105"/>
        </w:rPr>
        <w:t>partidos).</w:t>
      </w:r>
      <w:r>
        <w:rPr>
          <w:color w:val="231F20"/>
          <w:spacing w:val="-9"/>
          <w:w w:val="105"/>
        </w:rPr>
        <w:t> </w:t>
      </w:r>
      <w:r>
        <w:rPr>
          <w:color w:val="231F20"/>
          <w:w w:val="105"/>
        </w:rPr>
        <w:t>Estamos</w:t>
      </w:r>
      <w:r>
        <w:rPr>
          <w:color w:val="231F20"/>
          <w:spacing w:val="-9"/>
          <w:w w:val="105"/>
        </w:rPr>
        <w:t> </w:t>
      </w:r>
      <w:r>
        <w:rPr>
          <w:color w:val="231F20"/>
          <w:w w:val="105"/>
        </w:rPr>
        <w:t>en</w:t>
      </w:r>
      <w:r>
        <w:rPr>
          <w:color w:val="231F20"/>
          <w:spacing w:val="-9"/>
          <w:w w:val="105"/>
        </w:rPr>
        <w:t> </w:t>
      </w:r>
      <w:r>
        <w:rPr>
          <w:color w:val="231F20"/>
          <w:w w:val="105"/>
        </w:rPr>
        <w:t>presencia</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formas</w:t>
      </w:r>
      <w:r>
        <w:rPr>
          <w:color w:val="231F20"/>
          <w:spacing w:val="-9"/>
          <w:w w:val="105"/>
        </w:rPr>
        <w:t> </w:t>
      </w:r>
      <w:r>
        <w:rPr>
          <w:color w:val="231F20"/>
          <w:w w:val="105"/>
        </w:rPr>
        <w:t>de</w:t>
      </w:r>
      <w:r>
        <w:rPr>
          <w:color w:val="231F20"/>
          <w:spacing w:val="-9"/>
          <w:w w:val="105"/>
        </w:rPr>
        <w:t> </w:t>
      </w:r>
      <w:r>
        <w:rPr>
          <w:color w:val="231F20"/>
          <w:w w:val="105"/>
        </w:rPr>
        <w:t>do- minación</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control</w:t>
      </w:r>
      <w:r>
        <w:rPr>
          <w:color w:val="231F20"/>
          <w:spacing w:val="-8"/>
          <w:w w:val="105"/>
        </w:rPr>
        <w:t> </w:t>
      </w:r>
      <w:r>
        <w:rPr>
          <w:color w:val="231F20"/>
          <w:w w:val="105"/>
        </w:rPr>
        <w:t>social</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uso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violencia</w:t>
      </w:r>
      <w:r>
        <w:rPr>
          <w:color w:val="231F20"/>
          <w:spacing w:val="-8"/>
          <w:w w:val="105"/>
        </w:rPr>
        <w:t> </w:t>
      </w:r>
      <w:r>
        <w:rPr>
          <w:color w:val="231F20"/>
          <w:w w:val="105"/>
        </w:rPr>
        <w:t>es</w:t>
      </w:r>
      <w:r>
        <w:rPr>
          <w:color w:val="231F20"/>
          <w:spacing w:val="-8"/>
          <w:w w:val="105"/>
        </w:rPr>
        <w:t> </w:t>
      </w:r>
      <w:r>
        <w:rPr>
          <w:color w:val="231F20"/>
          <w:w w:val="105"/>
        </w:rPr>
        <w:t>práctica</w:t>
      </w:r>
      <w:r>
        <w:rPr>
          <w:color w:val="231F20"/>
          <w:spacing w:val="-8"/>
          <w:w w:val="105"/>
        </w:rPr>
        <w:t> </w:t>
      </w:r>
      <w:r>
        <w:rPr>
          <w:color w:val="231F20"/>
          <w:w w:val="105"/>
        </w:rPr>
        <w:t>natural,</w:t>
      </w:r>
      <w:r>
        <w:rPr>
          <w:color w:val="231F20"/>
          <w:spacing w:val="-8"/>
          <w:w w:val="105"/>
        </w:rPr>
        <w:t> </w:t>
      </w:r>
      <w:r>
        <w:rPr>
          <w:color w:val="231F20"/>
          <w:w w:val="105"/>
        </w:rPr>
        <w:t>que aparece</w:t>
      </w:r>
      <w:r>
        <w:rPr>
          <w:color w:val="231F20"/>
          <w:spacing w:val="-6"/>
          <w:w w:val="105"/>
        </w:rPr>
        <w:t> </w:t>
      </w:r>
      <w:r>
        <w:rPr>
          <w:color w:val="231F20"/>
          <w:w w:val="105"/>
        </w:rPr>
        <w:t>en</w:t>
      </w:r>
      <w:r>
        <w:rPr>
          <w:color w:val="231F20"/>
          <w:spacing w:val="-6"/>
          <w:w w:val="105"/>
        </w:rPr>
        <w:t> </w:t>
      </w:r>
      <w:r>
        <w:rPr>
          <w:color w:val="231F20"/>
          <w:w w:val="105"/>
        </w:rPr>
        <w:t>todas</w:t>
      </w:r>
      <w:r>
        <w:rPr>
          <w:color w:val="231F20"/>
          <w:spacing w:val="-7"/>
          <w:w w:val="105"/>
        </w:rPr>
        <w:t> </w:t>
      </w:r>
      <w:r>
        <w:rPr>
          <w:color w:val="231F20"/>
          <w:w w:val="105"/>
        </w:rPr>
        <w:t>las</w:t>
      </w:r>
      <w:r>
        <w:rPr>
          <w:color w:val="231F20"/>
          <w:spacing w:val="-7"/>
          <w:w w:val="105"/>
        </w:rPr>
        <w:t> </w:t>
      </w:r>
      <w:r>
        <w:rPr>
          <w:color w:val="231F20"/>
          <w:w w:val="105"/>
        </w:rPr>
        <w:t>conquistas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han</w:t>
      </w:r>
      <w:r>
        <w:rPr>
          <w:color w:val="231F20"/>
          <w:spacing w:val="-7"/>
          <w:w w:val="105"/>
        </w:rPr>
        <w:t> </w:t>
      </w:r>
      <w:r>
        <w:rPr>
          <w:color w:val="231F20"/>
          <w:w w:val="105"/>
        </w:rPr>
        <w:t>presentado</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largo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historia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spacing w:val="-2"/>
          <w:w w:val="105"/>
        </w:rPr>
        <w:t>hu- </w:t>
      </w:r>
      <w:r>
        <w:rPr>
          <w:color w:val="231F20"/>
          <w:w w:val="105"/>
        </w:rPr>
        <w:t>manidad</w:t>
      </w:r>
      <w:r>
        <w:rPr>
          <w:color w:val="231F20"/>
          <w:spacing w:val="-21"/>
          <w:w w:val="105"/>
        </w:rPr>
        <w:t> </w:t>
      </w:r>
      <w:r>
        <w:rPr>
          <w:color w:val="231F20"/>
          <w:w w:val="105"/>
        </w:rPr>
        <w:t>(Recasens,</w:t>
      </w:r>
      <w:r>
        <w:rPr>
          <w:color w:val="231F20"/>
          <w:spacing w:val="-21"/>
          <w:w w:val="105"/>
        </w:rPr>
        <w:t> </w:t>
      </w:r>
      <w:r>
        <w:rPr>
          <w:color w:val="231F20"/>
          <w:w w:val="105"/>
        </w:rPr>
        <w:t>1968:</w:t>
      </w:r>
      <w:r>
        <w:rPr>
          <w:color w:val="231F20"/>
          <w:spacing w:val="-21"/>
          <w:w w:val="105"/>
        </w:rPr>
        <w:t> </w:t>
      </w:r>
      <w:r>
        <w:rPr>
          <w:color w:val="231F20"/>
          <w:w w:val="105"/>
        </w:rPr>
        <w:t>230).</w:t>
      </w:r>
      <w:r>
        <w:rPr>
          <w:color w:val="231F20"/>
          <w:spacing w:val="-21"/>
          <w:w w:val="105"/>
        </w:rPr>
        <w:t> </w:t>
      </w:r>
      <w:r>
        <w:rPr>
          <w:color w:val="231F20"/>
          <w:w w:val="105"/>
        </w:rPr>
        <w:t>Evidentemente</w:t>
      </w:r>
      <w:r>
        <w:rPr>
          <w:color w:val="231F20"/>
          <w:spacing w:val="-21"/>
          <w:w w:val="105"/>
        </w:rPr>
        <w:t> </w:t>
      </w:r>
      <w:r>
        <w:rPr>
          <w:color w:val="231F20"/>
          <w:w w:val="105"/>
        </w:rPr>
        <w:t>este</w:t>
      </w:r>
      <w:r>
        <w:rPr>
          <w:color w:val="231F20"/>
          <w:spacing w:val="-21"/>
          <w:w w:val="105"/>
        </w:rPr>
        <w:t> </w:t>
      </w:r>
      <w:r>
        <w:rPr>
          <w:color w:val="231F20"/>
          <w:w w:val="105"/>
        </w:rPr>
        <w:t>neo</w:t>
      </w:r>
      <w:r>
        <w:rPr>
          <w:color w:val="231F20"/>
          <w:spacing w:val="-21"/>
          <w:w w:val="105"/>
        </w:rPr>
        <w:t> </w:t>
      </w:r>
      <w:r>
        <w:rPr>
          <w:color w:val="231F20"/>
          <w:w w:val="105"/>
        </w:rPr>
        <w:t>cacicazgo</w:t>
      </w:r>
      <w:r>
        <w:rPr>
          <w:color w:val="231F20"/>
          <w:spacing w:val="-21"/>
          <w:w w:val="105"/>
        </w:rPr>
        <w:t> </w:t>
      </w:r>
      <w:r>
        <w:rPr>
          <w:color w:val="231F20"/>
          <w:w w:val="105"/>
        </w:rPr>
        <w:t>se</w:t>
      </w:r>
      <w:r>
        <w:rPr>
          <w:color w:val="231F20"/>
          <w:spacing w:val="-21"/>
          <w:w w:val="105"/>
        </w:rPr>
        <w:t> </w:t>
      </w:r>
      <w:r>
        <w:rPr>
          <w:color w:val="231F20"/>
          <w:w w:val="105"/>
        </w:rPr>
        <w:t>ubica</w:t>
      </w:r>
      <w:r>
        <w:rPr>
          <w:color w:val="231F20"/>
          <w:spacing w:val="-21"/>
          <w:w w:val="105"/>
        </w:rPr>
        <w:t> </w:t>
      </w:r>
      <w:r>
        <w:rPr>
          <w:color w:val="231F20"/>
          <w:w w:val="105"/>
        </w:rPr>
        <w:t>y</w:t>
      </w:r>
      <w:r>
        <w:rPr>
          <w:color w:val="231F20"/>
          <w:spacing w:val="-21"/>
          <w:w w:val="105"/>
        </w:rPr>
        <w:t> </w:t>
      </w:r>
      <w:r>
        <w:rPr>
          <w:color w:val="231F20"/>
          <w:w w:val="105"/>
        </w:rPr>
        <w:t>desarrolla en</w:t>
      </w:r>
      <w:r>
        <w:rPr>
          <w:color w:val="231F20"/>
          <w:spacing w:val="-15"/>
          <w:w w:val="105"/>
        </w:rPr>
        <w:t> </w:t>
      </w:r>
      <w:r>
        <w:rPr>
          <w:color w:val="231F20"/>
          <w:w w:val="105"/>
        </w:rPr>
        <w:t>zonas</w:t>
      </w:r>
      <w:r>
        <w:rPr>
          <w:color w:val="231F20"/>
          <w:spacing w:val="-15"/>
          <w:w w:val="105"/>
        </w:rPr>
        <w:t> </w:t>
      </w:r>
      <w:r>
        <w:rPr>
          <w:color w:val="231F20"/>
          <w:w w:val="105"/>
        </w:rPr>
        <w:t>urbanas.</w:t>
      </w:r>
      <w:r>
        <w:rPr>
          <w:color w:val="231F20"/>
          <w:spacing w:val="-15"/>
          <w:w w:val="105"/>
        </w:rPr>
        <w:t> </w:t>
      </w:r>
      <w:r>
        <w:rPr>
          <w:color w:val="231F20"/>
          <w:w w:val="105"/>
        </w:rPr>
        <w:t>En</w:t>
      </w:r>
      <w:r>
        <w:rPr>
          <w:color w:val="231F20"/>
          <w:spacing w:val="-15"/>
          <w:w w:val="105"/>
        </w:rPr>
        <w:t> </w:t>
      </w:r>
      <w:r>
        <w:rPr>
          <w:color w:val="231F20"/>
          <w:w w:val="105"/>
        </w:rPr>
        <w:t>ese</w:t>
      </w:r>
      <w:r>
        <w:rPr>
          <w:color w:val="231F20"/>
          <w:spacing w:val="-15"/>
          <w:w w:val="105"/>
        </w:rPr>
        <w:t> </w:t>
      </w:r>
      <w:r>
        <w:rPr>
          <w:color w:val="231F20"/>
          <w:w w:val="105"/>
        </w:rPr>
        <w:t>sentido,</w:t>
      </w:r>
      <w:r>
        <w:rPr>
          <w:color w:val="231F20"/>
          <w:spacing w:val="-15"/>
          <w:w w:val="105"/>
        </w:rPr>
        <w:t> </w:t>
      </w:r>
      <w:r>
        <w:rPr>
          <w:color w:val="231F20"/>
          <w:w w:val="105"/>
        </w:rPr>
        <w:t>Lorenzo</w:t>
      </w:r>
      <w:r>
        <w:rPr>
          <w:color w:val="231F20"/>
          <w:spacing w:val="-15"/>
          <w:w w:val="105"/>
        </w:rPr>
        <w:t> </w:t>
      </w:r>
      <w:r>
        <w:rPr>
          <w:color w:val="231F20"/>
          <w:w w:val="105"/>
        </w:rPr>
        <w:t>Meyer</w:t>
      </w:r>
      <w:r>
        <w:rPr>
          <w:color w:val="231F20"/>
          <w:spacing w:val="-15"/>
          <w:w w:val="105"/>
        </w:rPr>
        <w:t> </w:t>
      </w:r>
      <w:r>
        <w:rPr>
          <w:color w:val="231F20"/>
          <w:w w:val="105"/>
        </w:rPr>
        <w:t>manifiesta:</w:t>
      </w:r>
    </w:p>
    <w:p>
      <w:pPr>
        <w:pStyle w:val="BodyText"/>
        <w:spacing w:line="285" w:lineRule="auto" w:before="1"/>
        <w:ind w:left="677" w:right="108"/>
        <w:jc w:val="both"/>
      </w:pPr>
      <w:r>
        <w:rPr>
          <w:color w:val="231F20"/>
          <w:w w:val="105"/>
        </w:rPr>
        <w:t>La</w:t>
      </w:r>
      <w:r>
        <w:rPr>
          <w:color w:val="231F20"/>
          <w:spacing w:val="-11"/>
          <w:w w:val="105"/>
        </w:rPr>
        <w:t> </w:t>
      </w:r>
      <w:r>
        <w:rPr>
          <w:color w:val="231F20"/>
          <w:w w:val="105"/>
        </w:rPr>
        <w:t>urbanización</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spacing w:val="-3"/>
          <w:w w:val="105"/>
        </w:rPr>
        <w:t>fenómeno</w:t>
      </w:r>
      <w:r>
        <w:rPr>
          <w:color w:val="231F20"/>
          <w:spacing w:val="-11"/>
          <w:w w:val="105"/>
        </w:rPr>
        <w:t> </w:t>
      </w:r>
      <w:r>
        <w:rPr>
          <w:color w:val="231F20"/>
          <w:w w:val="105"/>
        </w:rPr>
        <w:t>demográfico</w:t>
      </w:r>
      <w:r>
        <w:rPr>
          <w:color w:val="231F20"/>
          <w:spacing w:val="-11"/>
          <w:w w:val="105"/>
        </w:rPr>
        <w:t> </w:t>
      </w:r>
      <w:r>
        <w:rPr>
          <w:color w:val="231F20"/>
          <w:w w:val="105"/>
        </w:rPr>
        <w:t>que</w:t>
      </w:r>
      <w:r>
        <w:rPr>
          <w:color w:val="231F20"/>
          <w:spacing w:val="-11"/>
          <w:w w:val="105"/>
        </w:rPr>
        <w:t> </w:t>
      </w:r>
      <w:r>
        <w:rPr>
          <w:color w:val="231F20"/>
          <w:w w:val="105"/>
        </w:rPr>
        <w:t>caracterizó</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sociedad</w:t>
      </w:r>
      <w:r>
        <w:rPr>
          <w:color w:val="231F20"/>
          <w:spacing w:val="-11"/>
          <w:w w:val="105"/>
        </w:rPr>
        <w:t> </w:t>
      </w:r>
      <w:r>
        <w:rPr>
          <w:color w:val="231F20"/>
          <w:w w:val="105"/>
        </w:rPr>
        <w:t>mexi- cana posrevolucionaria y el caciquismo se adaptó </w:t>
      </w:r>
      <w:r>
        <w:rPr>
          <w:color w:val="231F20"/>
          <w:spacing w:val="2"/>
          <w:w w:val="105"/>
        </w:rPr>
        <w:t>al </w:t>
      </w:r>
      <w:r>
        <w:rPr>
          <w:color w:val="231F20"/>
          <w:w w:val="105"/>
        </w:rPr>
        <w:t>nuevo ambiente, específi- camente en las zonas de asentamientos marginales e irregulares, invadidas por las olas de migrantes que necesitaban un solar </w:t>
      </w:r>
      <w:r>
        <w:rPr>
          <w:color w:val="231F20"/>
          <w:spacing w:val="-3"/>
          <w:w w:val="105"/>
        </w:rPr>
        <w:t>donde </w:t>
      </w:r>
      <w:r>
        <w:rPr>
          <w:color w:val="231F20"/>
          <w:w w:val="105"/>
        </w:rPr>
        <w:t>establecerse y aún </w:t>
      </w:r>
      <w:r>
        <w:rPr>
          <w:color w:val="231F20"/>
          <w:spacing w:val="2"/>
          <w:w w:val="105"/>
        </w:rPr>
        <w:t>traían </w:t>
      </w:r>
      <w:r>
        <w:rPr>
          <w:color w:val="231F20"/>
          <w:w w:val="105"/>
        </w:rPr>
        <w:t>consigo todo el bagaje de la cultura cívica campesina, incluido, desde </w:t>
      </w:r>
      <w:r>
        <w:rPr>
          <w:color w:val="231F20"/>
          <w:spacing w:val="-3"/>
          <w:w w:val="105"/>
        </w:rPr>
        <w:t>luego, </w:t>
      </w:r>
      <w:r>
        <w:rPr>
          <w:color w:val="231F20"/>
          <w:w w:val="105"/>
        </w:rPr>
        <w:t>el </w:t>
      </w:r>
      <w:r>
        <w:rPr>
          <w:color w:val="231F20"/>
        </w:rPr>
        <w:t>cacicazgo. </w:t>
      </w:r>
      <w:r>
        <w:rPr>
          <w:color w:val="231F20"/>
          <w:spacing w:val="-4"/>
        </w:rPr>
        <w:t>(Meyer, </w:t>
      </w:r>
      <w:r>
        <w:rPr>
          <w:color w:val="231F20"/>
          <w:spacing w:val="4"/>
        </w:rPr>
        <w:t>2000:</w:t>
      </w:r>
      <w:r>
        <w:rPr>
          <w:color w:val="231F20"/>
          <w:spacing w:val="-5"/>
        </w:rPr>
        <w:t> </w:t>
      </w:r>
      <w:r>
        <w:rPr>
          <w:color w:val="231F20"/>
          <w:spacing w:val="-3"/>
        </w:rPr>
        <w:t>03)</w:t>
      </w:r>
    </w:p>
    <w:p>
      <w:pPr>
        <w:pStyle w:val="BodyText"/>
        <w:spacing w:before="1"/>
        <w:rPr>
          <w:sz w:val="26"/>
        </w:rPr>
      </w:pPr>
    </w:p>
    <w:p>
      <w:pPr>
        <w:pStyle w:val="BodyText"/>
        <w:spacing w:line="285" w:lineRule="auto"/>
        <w:ind w:left="110" w:right="107"/>
        <w:jc w:val="both"/>
      </w:pPr>
      <w:r>
        <w:rPr>
          <w:color w:val="231F20"/>
          <w:w w:val="105"/>
        </w:rPr>
        <w:t>Como vemos se trata de entender hechos recientes que influyen de manera determi- nante en la estructura y organización del gobierno municipal de Chimalhuacán. Para </w:t>
      </w:r>
      <w:r>
        <w:rPr>
          <w:color w:val="231F20"/>
          <w:spacing w:val="-3"/>
          <w:w w:val="105"/>
        </w:rPr>
        <w:t>comprender </w:t>
      </w:r>
      <w:r>
        <w:rPr>
          <w:color w:val="231F20"/>
          <w:w w:val="105"/>
        </w:rPr>
        <w:t>la dimensión del escenario político de esta localidad, se hace imperativo recordar</w:t>
      </w:r>
      <w:r>
        <w:rPr>
          <w:color w:val="231F20"/>
          <w:spacing w:val="-9"/>
          <w:w w:val="105"/>
        </w:rPr>
        <w:t> </w:t>
      </w:r>
      <w:r>
        <w:rPr>
          <w:color w:val="231F20"/>
          <w:w w:val="105"/>
        </w:rPr>
        <w:t>hechos</w:t>
      </w:r>
      <w:r>
        <w:rPr>
          <w:color w:val="231F20"/>
          <w:spacing w:val="-9"/>
          <w:w w:val="105"/>
        </w:rPr>
        <w:t> </w:t>
      </w:r>
      <w:r>
        <w:rPr>
          <w:color w:val="231F20"/>
          <w:w w:val="105"/>
        </w:rPr>
        <w:t>violentos</w:t>
      </w:r>
      <w:r>
        <w:rPr>
          <w:color w:val="231F20"/>
          <w:spacing w:val="-9"/>
          <w:w w:val="105"/>
        </w:rPr>
        <w:t> </w:t>
      </w:r>
      <w:r>
        <w:rPr>
          <w:color w:val="231F20"/>
          <w:w w:val="105"/>
        </w:rPr>
        <w:t>del</w:t>
      </w:r>
      <w:r>
        <w:rPr>
          <w:color w:val="231F20"/>
          <w:spacing w:val="-9"/>
          <w:w w:val="105"/>
        </w:rPr>
        <w:t> </w:t>
      </w:r>
      <w:r>
        <w:rPr>
          <w:color w:val="231F20"/>
          <w:w w:val="105"/>
        </w:rPr>
        <w:t>año</w:t>
      </w:r>
      <w:r>
        <w:rPr>
          <w:color w:val="231F20"/>
          <w:spacing w:val="-9"/>
          <w:w w:val="105"/>
        </w:rPr>
        <w:t> </w:t>
      </w:r>
      <w:r>
        <w:rPr>
          <w:color w:val="231F20"/>
          <w:w w:val="105"/>
        </w:rPr>
        <w:t>dos</w:t>
      </w:r>
      <w:r>
        <w:rPr>
          <w:color w:val="231F20"/>
          <w:spacing w:val="-9"/>
          <w:w w:val="105"/>
        </w:rPr>
        <w:t> </w:t>
      </w:r>
      <w:r>
        <w:rPr>
          <w:color w:val="231F20"/>
          <w:w w:val="105"/>
        </w:rPr>
        <w:t>mil,</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resultado</w:t>
      </w:r>
      <w:r>
        <w:rPr>
          <w:color w:val="231F20"/>
          <w:spacing w:val="-9"/>
          <w:w w:val="105"/>
        </w:rPr>
        <w:t> </w:t>
      </w:r>
      <w:r>
        <w:rPr>
          <w:color w:val="231F20"/>
          <w:w w:val="105"/>
        </w:rPr>
        <w:t>de</w:t>
      </w:r>
      <w:r>
        <w:rPr>
          <w:color w:val="231F20"/>
          <w:spacing w:val="-9"/>
          <w:w w:val="105"/>
        </w:rPr>
        <w:t> </w:t>
      </w:r>
      <w:r>
        <w:rPr>
          <w:color w:val="231F20"/>
          <w:w w:val="105"/>
        </w:rPr>
        <w:t>varios</w:t>
      </w:r>
      <w:r>
        <w:rPr>
          <w:color w:val="231F20"/>
          <w:spacing w:val="-9"/>
          <w:w w:val="105"/>
        </w:rPr>
        <w:t> </w:t>
      </w:r>
      <w:r>
        <w:rPr>
          <w:color w:val="231F20"/>
          <w:w w:val="105"/>
        </w:rPr>
        <w:t>ciudadanos</w:t>
      </w:r>
      <w:r>
        <w:rPr>
          <w:color w:val="231F20"/>
          <w:spacing w:val="-9"/>
          <w:w w:val="105"/>
        </w:rPr>
        <w:t> </w:t>
      </w:r>
      <w:r>
        <w:rPr>
          <w:color w:val="231F20"/>
          <w:spacing w:val="-3"/>
          <w:w w:val="105"/>
        </w:rPr>
        <w:t>muer-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tos a balazos; acontecimientos que por su origen y desarrollo retratan la realidad que subyace en la política municipal. El enfrentamiento de dos grupos políticos priistas, Organización</w:t>
      </w:r>
      <w:r>
        <w:rPr>
          <w:color w:val="231F20"/>
          <w:spacing w:val="-8"/>
          <w:w w:val="105"/>
        </w:rPr>
        <w:t> </w:t>
      </w:r>
      <w:r>
        <w:rPr>
          <w:color w:val="231F20"/>
          <w:w w:val="105"/>
        </w:rPr>
        <w:t>de</w:t>
      </w:r>
      <w:r>
        <w:rPr>
          <w:color w:val="231F20"/>
          <w:spacing w:val="-8"/>
          <w:w w:val="105"/>
        </w:rPr>
        <w:t> </w:t>
      </w:r>
      <w:r>
        <w:rPr>
          <w:color w:val="231F20"/>
          <w:w w:val="105"/>
        </w:rPr>
        <w:t>Pueblos</w:t>
      </w:r>
      <w:r>
        <w:rPr>
          <w:color w:val="231F20"/>
          <w:spacing w:val="-8"/>
          <w:w w:val="105"/>
        </w:rPr>
        <w:t> </w:t>
      </w:r>
      <w:r>
        <w:rPr>
          <w:color w:val="231F20"/>
          <w:w w:val="105"/>
        </w:rPr>
        <w:t>y</w:t>
      </w:r>
      <w:r>
        <w:rPr>
          <w:color w:val="231F20"/>
          <w:spacing w:val="-8"/>
          <w:w w:val="105"/>
        </w:rPr>
        <w:t> </w:t>
      </w:r>
      <w:r>
        <w:rPr>
          <w:color w:val="231F20"/>
          <w:w w:val="105"/>
        </w:rPr>
        <w:t>Colonias</w:t>
      </w:r>
      <w:r>
        <w:rPr>
          <w:color w:val="231F20"/>
          <w:spacing w:val="-8"/>
          <w:w w:val="105"/>
        </w:rPr>
        <w:t> </w:t>
      </w:r>
      <w:r>
        <w:rPr>
          <w:color w:val="231F20"/>
          <w:spacing w:val="-3"/>
          <w:w w:val="105"/>
        </w:rPr>
        <w:t>(OPC)</w:t>
      </w:r>
      <w:r>
        <w:rPr>
          <w:color w:val="231F20"/>
          <w:spacing w:val="-8"/>
          <w:w w:val="105"/>
        </w:rPr>
        <w:t> </w:t>
      </w:r>
      <w:r>
        <w:rPr>
          <w:color w:val="231F20"/>
          <w:w w:val="105"/>
        </w:rPr>
        <w:t>y</w:t>
      </w:r>
      <w:r>
        <w:rPr>
          <w:color w:val="231F20"/>
          <w:spacing w:val="-8"/>
          <w:w w:val="105"/>
        </w:rPr>
        <w:t> </w:t>
      </w:r>
      <w:r>
        <w:rPr>
          <w:color w:val="231F20"/>
          <w:w w:val="105"/>
        </w:rPr>
        <w:t>Antorcha</w:t>
      </w:r>
      <w:r>
        <w:rPr>
          <w:color w:val="231F20"/>
          <w:spacing w:val="-8"/>
          <w:w w:val="105"/>
        </w:rPr>
        <w:t> </w:t>
      </w:r>
      <w:r>
        <w:rPr>
          <w:color w:val="231F20"/>
          <w:w w:val="105"/>
        </w:rPr>
        <w:t>Popular,</w:t>
      </w:r>
      <w:r>
        <w:rPr>
          <w:color w:val="231F20"/>
          <w:spacing w:val="-8"/>
          <w:w w:val="105"/>
        </w:rPr>
        <w:t> </w:t>
      </w:r>
      <w:r>
        <w:rPr>
          <w:color w:val="231F20"/>
          <w:spacing w:val="-7"/>
          <w:w w:val="105"/>
        </w:rPr>
        <w:t>“…no</w:t>
      </w:r>
      <w:r>
        <w:rPr>
          <w:color w:val="231F20"/>
          <w:spacing w:val="-8"/>
          <w:w w:val="105"/>
        </w:rPr>
        <w:t> </w:t>
      </w:r>
      <w:r>
        <w:rPr>
          <w:color w:val="231F20"/>
          <w:w w:val="105"/>
        </w:rPr>
        <w:t>es</w:t>
      </w:r>
      <w:r>
        <w:rPr>
          <w:color w:val="231F20"/>
          <w:spacing w:val="-8"/>
          <w:w w:val="105"/>
        </w:rPr>
        <w:t> </w:t>
      </w:r>
      <w:r>
        <w:rPr>
          <w:color w:val="231F20"/>
          <w:w w:val="105"/>
        </w:rPr>
        <w:t>más</w:t>
      </w:r>
      <w:r>
        <w:rPr>
          <w:color w:val="231F20"/>
          <w:spacing w:val="-8"/>
          <w:w w:val="105"/>
        </w:rPr>
        <w:t> </w:t>
      </w:r>
      <w:r>
        <w:rPr>
          <w:color w:val="231F20"/>
          <w:w w:val="105"/>
        </w:rPr>
        <w:t>que</w:t>
      </w:r>
      <w:r>
        <w:rPr>
          <w:color w:val="231F20"/>
          <w:spacing w:val="-8"/>
          <w:w w:val="105"/>
        </w:rPr>
        <w:t> </w:t>
      </w:r>
      <w:r>
        <w:rPr>
          <w:color w:val="231F20"/>
          <w:w w:val="105"/>
        </w:rPr>
        <w:t>uno de</w:t>
      </w:r>
      <w:r>
        <w:rPr>
          <w:color w:val="231F20"/>
          <w:spacing w:val="-22"/>
          <w:w w:val="105"/>
        </w:rPr>
        <w:t> </w:t>
      </w:r>
      <w:r>
        <w:rPr>
          <w:color w:val="231F20"/>
          <w:w w:val="105"/>
        </w:rPr>
        <w:t>los</w:t>
      </w:r>
      <w:r>
        <w:rPr>
          <w:color w:val="231F20"/>
          <w:spacing w:val="-22"/>
          <w:w w:val="105"/>
        </w:rPr>
        <w:t> </w:t>
      </w:r>
      <w:r>
        <w:rPr>
          <w:color w:val="231F20"/>
          <w:w w:val="105"/>
        </w:rPr>
        <w:t>conspicuos</w:t>
      </w:r>
      <w:r>
        <w:rPr>
          <w:color w:val="231F20"/>
          <w:spacing w:val="-22"/>
          <w:w w:val="105"/>
        </w:rPr>
        <w:t> </w:t>
      </w:r>
      <w:r>
        <w:rPr>
          <w:color w:val="231F20"/>
          <w:w w:val="105"/>
        </w:rPr>
        <w:t>y</w:t>
      </w:r>
      <w:r>
        <w:rPr>
          <w:color w:val="231F20"/>
          <w:spacing w:val="-22"/>
          <w:w w:val="105"/>
        </w:rPr>
        <w:t> </w:t>
      </w:r>
      <w:r>
        <w:rPr>
          <w:color w:val="231F20"/>
          <w:w w:val="105"/>
        </w:rPr>
        <w:t>escandalosos</w:t>
      </w:r>
      <w:r>
        <w:rPr>
          <w:color w:val="231F20"/>
          <w:spacing w:val="-22"/>
          <w:w w:val="105"/>
        </w:rPr>
        <w:t> </w:t>
      </w:r>
      <w:r>
        <w:rPr>
          <w:color w:val="231F20"/>
          <w:w w:val="105"/>
        </w:rPr>
        <w:t>cacicazgos</w:t>
      </w:r>
      <w:r>
        <w:rPr>
          <w:color w:val="231F20"/>
          <w:spacing w:val="-22"/>
          <w:w w:val="105"/>
        </w:rPr>
        <w:t> </w:t>
      </w:r>
      <w:r>
        <w:rPr>
          <w:color w:val="231F20"/>
          <w:w w:val="105"/>
        </w:rPr>
        <w:t>mantenidos</w:t>
      </w:r>
      <w:r>
        <w:rPr>
          <w:color w:val="231F20"/>
          <w:spacing w:val="-22"/>
          <w:w w:val="105"/>
        </w:rPr>
        <w:t> </w:t>
      </w:r>
      <w:r>
        <w:rPr>
          <w:color w:val="231F20"/>
          <w:w w:val="105"/>
        </w:rPr>
        <w:t>y</w:t>
      </w:r>
      <w:r>
        <w:rPr>
          <w:color w:val="231F20"/>
          <w:spacing w:val="-22"/>
          <w:w w:val="105"/>
        </w:rPr>
        <w:t> </w:t>
      </w:r>
      <w:r>
        <w:rPr>
          <w:color w:val="231F20"/>
          <w:w w:val="105"/>
        </w:rPr>
        <w:t>desarrollados</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sombra</w:t>
      </w:r>
      <w:r>
        <w:rPr>
          <w:color w:val="231F20"/>
          <w:spacing w:val="-22"/>
          <w:w w:val="105"/>
        </w:rPr>
        <w:t> </w:t>
      </w:r>
      <w:r>
        <w:rPr>
          <w:color w:val="231F20"/>
          <w:w w:val="105"/>
        </w:rPr>
        <w:t>del PRI”</w:t>
      </w:r>
      <w:r>
        <w:rPr>
          <w:color w:val="231F20"/>
          <w:spacing w:val="-31"/>
          <w:w w:val="105"/>
        </w:rPr>
        <w:t> </w:t>
      </w:r>
      <w:r>
        <w:rPr>
          <w:color w:val="231F20"/>
          <w:spacing w:val="-3"/>
          <w:w w:val="105"/>
        </w:rPr>
        <w:t>(Citado</w:t>
      </w:r>
      <w:r>
        <w:rPr>
          <w:color w:val="231F20"/>
          <w:spacing w:val="-31"/>
          <w:w w:val="105"/>
        </w:rPr>
        <w:t> </w:t>
      </w:r>
      <w:r>
        <w:rPr>
          <w:color w:val="231F20"/>
          <w:w w:val="105"/>
        </w:rPr>
        <w:t>por</w:t>
      </w:r>
      <w:r>
        <w:rPr>
          <w:color w:val="231F20"/>
          <w:spacing w:val="-31"/>
          <w:w w:val="105"/>
        </w:rPr>
        <w:t> </w:t>
      </w:r>
      <w:r>
        <w:rPr>
          <w:color w:val="231F20"/>
          <w:w w:val="105"/>
        </w:rPr>
        <w:t>Acosta,</w:t>
      </w:r>
      <w:r>
        <w:rPr>
          <w:color w:val="231F20"/>
          <w:spacing w:val="-31"/>
          <w:w w:val="105"/>
        </w:rPr>
        <w:t> </w:t>
      </w:r>
      <w:r>
        <w:rPr>
          <w:color w:val="231F20"/>
          <w:spacing w:val="4"/>
          <w:w w:val="105"/>
        </w:rPr>
        <w:t>2000:</w:t>
      </w:r>
      <w:r>
        <w:rPr>
          <w:color w:val="231F20"/>
          <w:spacing w:val="-31"/>
          <w:w w:val="105"/>
        </w:rPr>
        <w:t> </w:t>
      </w:r>
      <w:r>
        <w:rPr>
          <w:color w:val="231F20"/>
          <w:spacing w:val="-4"/>
          <w:w w:val="105"/>
        </w:rPr>
        <w:t>02).</w:t>
      </w:r>
    </w:p>
    <w:p>
      <w:pPr>
        <w:pStyle w:val="BodyText"/>
        <w:spacing w:before="1"/>
        <w:rPr>
          <w:sz w:val="26"/>
        </w:rPr>
      </w:pPr>
    </w:p>
    <w:p>
      <w:pPr>
        <w:pStyle w:val="BodyText"/>
        <w:spacing w:line="285" w:lineRule="auto"/>
        <w:ind w:left="110" w:right="108"/>
        <w:jc w:val="both"/>
      </w:pPr>
      <w:r>
        <w:rPr>
          <w:color w:val="231F20"/>
          <w:w w:val="105"/>
        </w:rPr>
        <w:t>Suceso</w:t>
      </w:r>
      <w:r>
        <w:rPr>
          <w:color w:val="231F20"/>
          <w:spacing w:val="-12"/>
          <w:w w:val="105"/>
        </w:rPr>
        <w:t> </w:t>
      </w:r>
      <w:r>
        <w:rPr>
          <w:color w:val="231F20"/>
          <w:w w:val="105"/>
        </w:rPr>
        <w:t>que</w:t>
      </w:r>
      <w:r>
        <w:rPr>
          <w:color w:val="231F20"/>
          <w:spacing w:val="-12"/>
          <w:w w:val="105"/>
        </w:rPr>
        <w:t> </w:t>
      </w:r>
      <w:r>
        <w:rPr>
          <w:color w:val="231F20"/>
          <w:w w:val="105"/>
        </w:rPr>
        <w:t>de</w:t>
      </w:r>
      <w:r>
        <w:rPr>
          <w:color w:val="231F20"/>
          <w:spacing w:val="-12"/>
          <w:w w:val="105"/>
        </w:rPr>
        <w:t> </w:t>
      </w:r>
      <w:r>
        <w:rPr>
          <w:color w:val="231F20"/>
          <w:spacing w:val="2"/>
          <w:w w:val="105"/>
        </w:rPr>
        <w:t>ningún</w:t>
      </w:r>
      <w:r>
        <w:rPr>
          <w:color w:val="231F20"/>
          <w:spacing w:val="-12"/>
          <w:w w:val="105"/>
        </w:rPr>
        <w:t> </w:t>
      </w:r>
      <w:r>
        <w:rPr>
          <w:color w:val="231F20"/>
          <w:w w:val="105"/>
        </w:rPr>
        <w:t>modo</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único</w:t>
      </w:r>
      <w:r>
        <w:rPr>
          <w:color w:val="231F20"/>
          <w:spacing w:val="-12"/>
          <w:w w:val="105"/>
        </w:rPr>
        <w:t> </w:t>
      </w:r>
      <w:r>
        <w:rPr>
          <w:color w:val="231F20"/>
          <w:w w:val="105"/>
        </w:rPr>
        <w:t>de</w:t>
      </w:r>
      <w:r>
        <w:rPr>
          <w:color w:val="231F20"/>
          <w:spacing w:val="-12"/>
          <w:w w:val="105"/>
        </w:rPr>
        <w:t> </w:t>
      </w:r>
      <w:r>
        <w:rPr>
          <w:color w:val="231F20"/>
          <w:spacing w:val="2"/>
          <w:w w:val="105"/>
        </w:rPr>
        <w:t>tal</w:t>
      </w:r>
      <w:r>
        <w:rPr>
          <w:color w:val="231F20"/>
          <w:spacing w:val="-12"/>
          <w:w w:val="105"/>
        </w:rPr>
        <w:t> </w:t>
      </w:r>
      <w:r>
        <w:rPr>
          <w:color w:val="231F20"/>
          <w:w w:val="105"/>
        </w:rPr>
        <w:t>naturaleza</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municipio.</w:t>
      </w:r>
      <w:r>
        <w:rPr>
          <w:color w:val="231F20"/>
          <w:spacing w:val="-12"/>
          <w:w w:val="105"/>
        </w:rPr>
        <w:t> </w:t>
      </w:r>
      <w:r>
        <w:rPr>
          <w:color w:val="231F20"/>
          <w:w w:val="105"/>
        </w:rPr>
        <w:t>La</w:t>
      </w:r>
      <w:r>
        <w:rPr>
          <w:color w:val="231F20"/>
          <w:spacing w:val="-12"/>
          <w:w w:val="105"/>
        </w:rPr>
        <w:t> </w:t>
      </w:r>
      <w:r>
        <w:rPr>
          <w:color w:val="231F20"/>
          <w:w w:val="105"/>
        </w:rPr>
        <w:t>existen- cia del PRI en la localidad da cuenta de luchas a su interior que han marcado la exis- tencia</w:t>
      </w:r>
      <w:r>
        <w:rPr>
          <w:color w:val="231F20"/>
          <w:spacing w:val="-14"/>
          <w:w w:val="105"/>
        </w:rPr>
        <w:t> </w:t>
      </w:r>
      <w:r>
        <w:rPr>
          <w:color w:val="231F20"/>
          <w:w w:val="105"/>
        </w:rPr>
        <w:t>de</w:t>
      </w:r>
      <w:r>
        <w:rPr>
          <w:color w:val="231F20"/>
          <w:spacing w:val="-14"/>
          <w:w w:val="105"/>
        </w:rPr>
        <w:t> </w:t>
      </w:r>
      <w:r>
        <w:rPr>
          <w:color w:val="231F20"/>
          <w:w w:val="105"/>
        </w:rPr>
        <w:t>cacicazgos</w:t>
      </w:r>
      <w:r>
        <w:rPr>
          <w:color w:val="231F20"/>
          <w:spacing w:val="-14"/>
          <w:w w:val="105"/>
        </w:rPr>
        <w:t> </w:t>
      </w:r>
      <w:r>
        <w:rPr>
          <w:color w:val="231F20"/>
          <w:w w:val="105"/>
        </w:rPr>
        <w:t>que</w:t>
      </w:r>
      <w:r>
        <w:rPr>
          <w:color w:val="231F20"/>
          <w:spacing w:val="-14"/>
          <w:w w:val="105"/>
        </w:rPr>
        <w:t> </w:t>
      </w:r>
      <w:r>
        <w:rPr>
          <w:color w:val="231F20"/>
          <w:w w:val="105"/>
        </w:rPr>
        <w:t>para</w:t>
      </w:r>
      <w:r>
        <w:rPr>
          <w:color w:val="231F20"/>
          <w:spacing w:val="-14"/>
          <w:w w:val="105"/>
        </w:rPr>
        <w:t> </w:t>
      </w:r>
      <w:r>
        <w:rPr>
          <w:color w:val="231F20"/>
          <w:w w:val="105"/>
        </w:rPr>
        <w:t>conservarse</w:t>
      </w:r>
      <w:r>
        <w:rPr>
          <w:color w:val="231F20"/>
          <w:spacing w:val="-14"/>
          <w:w w:val="105"/>
        </w:rPr>
        <w:t> </w:t>
      </w:r>
      <w:r>
        <w:rPr>
          <w:color w:val="231F20"/>
          <w:w w:val="105"/>
        </w:rPr>
        <w:t>recurren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violencia,</w:t>
      </w:r>
      <w:r>
        <w:rPr>
          <w:color w:val="231F20"/>
          <w:spacing w:val="-14"/>
          <w:w w:val="105"/>
        </w:rPr>
        <w:t> </w:t>
      </w:r>
      <w:r>
        <w:rPr>
          <w:color w:val="231F20"/>
          <w:w w:val="105"/>
        </w:rPr>
        <w:t>como</w:t>
      </w:r>
      <w:r>
        <w:rPr>
          <w:color w:val="231F20"/>
          <w:spacing w:val="-14"/>
          <w:w w:val="105"/>
        </w:rPr>
        <w:t> </w:t>
      </w:r>
      <w:r>
        <w:rPr>
          <w:color w:val="231F20"/>
          <w:w w:val="105"/>
        </w:rPr>
        <w:t>se</w:t>
      </w:r>
      <w:r>
        <w:rPr>
          <w:color w:val="231F20"/>
          <w:spacing w:val="-14"/>
          <w:w w:val="105"/>
        </w:rPr>
        <w:t> </w:t>
      </w:r>
      <w:r>
        <w:rPr>
          <w:color w:val="231F20"/>
          <w:w w:val="105"/>
        </w:rPr>
        <w:t>aprecia</w:t>
      </w:r>
      <w:r>
        <w:rPr>
          <w:color w:val="231F20"/>
          <w:spacing w:val="-14"/>
          <w:w w:val="105"/>
        </w:rPr>
        <w:t> </w:t>
      </w:r>
      <w:r>
        <w:rPr>
          <w:color w:val="231F20"/>
          <w:w w:val="105"/>
        </w:rPr>
        <w:t>en</w:t>
      </w:r>
      <w:r>
        <w:rPr>
          <w:color w:val="231F20"/>
          <w:spacing w:val="-14"/>
          <w:w w:val="105"/>
        </w:rPr>
        <w:t> </w:t>
      </w:r>
      <w:r>
        <w:rPr>
          <w:color w:val="231F20"/>
          <w:w w:val="105"/>
        </w:rPr>
        <w:t>la siguiente</w:t>
      </w:r>
      <w:r>
        <w:rPr>
          <w:color w:val="231F20"/>
          <w:spacing w:val="-36"/>
          <w:w w:val="105"/>
        </w:rPr>
        <w:t> </w:t>
      </w:r>
      <w:r>
        <w:rPr>
          <w:color w:val="231F20"/>
          <w:w w:val="105"/>
        </w:rPr>
        <w:t>cita:</w:t>
      </w:r>
    </w:p>
    <w:p>
      <w:pPr>
        <w:pStyle w:val="BodyText"/>
        <w:spacing w:line="285" w:lineRule="auto" w:before="1"/>
        <w:ind w:left="677" w:right="108"/>
        <w:jc w:val="both"/>
      </w:pPr>
      <w:r>
        <w:rPr>
          <w:color w:val="231F20"/>
          <w:w w:val="105"/>
        </w:rPr>
        <w:t>En</w:t>
      </w:r>
      <w:r>
        <w:rPr>
          <w:color w:val="231F20"/>
          <w:spacing w:val="-20"/>
          <w:w w:val="105"/>
        </w:rPr>
        <w:t> </w:t>
      </w:r>
      <w:r>
        <w:rPr>
          <w:color w:val="231F20"/>
          <w:w w:val="105"/>
        </w:rPr>
        <w:t>1934,</w:t>
      </w:r>
      <w:r>
        <w:rPr>
          <w:color w:val="231F20"/>
          <w:spacing w:val="-20"/>
          <w:w w:val="105"/>
        </w:rPr>
        <w:t> </w:t>
      </w:r>
      <w:r>
        <w:rPr>
          <w:color w:val="231F20"/>
          <w:w w:val="105"/>
        </w:rPr>
        <w:t>el</w:t>
      </w:r>
      <w:r>
        <w:rPr>
          <w:color w:val="231F20"/>
          <w:spacing w:val="-20"/>
          <w:w w:val="105"/>
        </w:rPr>
        <w:t> </w:t>
      </w:r>
      <w:r>
        <w:rPr>
          <w:color w:val="231F20"/>
          <w:w w:val="105"/>
        </w:rPr>
        <w:t>entonces</w:t>
      </w:r>
      <w:r>
        <w:rPr>
          <w:color w:val="231F20"/>
          <w:spacing w:val="-20"/>
          <w:w w:val="105"/>
        </w:rPr>
        <w:t> </w:t>
      </w:r>
      <w:r>
        <w:rPr>
          <w:color w:val="231F20"/>
          <w:w w:val="105"/>
        </w:rPr>
        <w:t>presidente</w:t>
      </w:r>
      <w:r>
        <w:rPr>
          <w:color w:val="231F20"/>
          <w:spacing w:val="-20"/>
          <w:w w:val="105"/>
        </w:rPr>
        <w:t> </w:t>
      </w:r>
      <w:r>
        <w:rPr>
          <w:color w:val="231F20"/>
          <w:w w:val="105"/>
        </w:rPr>
        <w:t>del</w:t>
      </w:r>
      <w:r>
        <w:rPr>
          <w:color w:val="231F20"/>
          <w:spacing w:val="-20"/>
          <w:w w:val="105"/>
        </w:rPr>
        <w:t> </w:t>
      </w:r>
      <w:r>
        <w:rPr>
          <w:color w:val="231F20"/>
          <w:w w:val="105"/>
        </w:rPr>
        <w:t>PNR,</w:t>
      </w:r>
      <w:r>
        <w:rPr>
          <w:color w:val="231F20"/>
          <w:spacing w:val="-20"/>
          <w:w w:val="105"/>
        </w:rPr>
        <w:t> </w:t>
      </w:r>
      <w:r>
        <w:rPr>
          <w:color w:val="231F20"/>
          <w:w w:val="105"/>
        </w:rPr>
        <w:t>Agustín</w:t>
      </w:r>
      <w:r>
        <w:rPr>
          <w:color w:val="231F20"/>
          <w:spacing w:val="-20"/>
          <w:w w:val="105"/>
        </w:rPr>
        <w:t> </w:t>
      </w:r>
      <w:r>
        <w:rPr>
          <w:color w:val="231F20"/>
          <w:w w:val="105"/>
        </w:rPr>
        <w:t>Rivapalacio,</w:t>
      </w:r>
      <w:r>
        <w:rPr>
          <w:color w:val="231F20"/>
          <w:spacing w:val="-20"/>
          <w:w w:val="105"/>
        </w:rPr>
        <w:t> </w:t>
      </w:r>
      <w:r>
        <w:rPr>
          <w:color w:val="231F20"/>
          <w:w w:val="105"/>
        </w:rPr>
        <w:t>reprimió</w:t>
      </w:r>
      <w:r>
        <w:rPr>
          <w:color w:val="231F20"/>
          <w:spacing w:val="-20"/>
          <w:w w:val="105"/>
        </w:rPr>
        <w:t> </w:t>
      </w:r>
      <w:r>
        <w:rPr>
          <w:color w:val="231F20"/>
          <w:w w:val="105"/>
        </w:rPr>
        <w:t>la</w:t>
      </w:r>
      <w:r>
        <w:rPr>
          <w:color w:val="231F20"/>
          <w:spacing w:val="-20"/>
          <w:w w:val="105"/>
        </w:rPr>
        <w:t> </w:t>
      </w:r>
      <w:r>
        <w:rPr>
          <w:color w:val="231F20"/>
          <w:w w:val="105"/>
        </w:rPr>
        <w:t>candi- datura de Antonio Martínez a la jefatura del municipio con policías de </w:t>
      </w:r>
      <w:r>
        <w:rPr>
          <w:color w:val="231F20"/>
          <w:spacing w:val="-4"/>
          <w:w w:val="105"/>
        </w:rPr>
        <w:t>Texcoco, </w:t>
      </w:r>
      <w:r>
        <w:rPr>
          <w:color w:val="231F20"/>
          <w:w w:val="105"/>
        </w:rPr>
        <w:t>con saldo de varios muertos y heridos. El candidato impuesto por Rivapalacio, Pedro</w:t>
      </w:r>
      <w:r>
        <w:rPr>
          <w:color w:val="231F20"/>
          <w:spacing w:val="-12"/>
          <w:w w:val="105"/>
        </w:rPr>
        <w:t> </w:t>
      </w:r>
      <w:r>
        <w:rPr>
          <w:color w:val="231F20"/>
          <w:w w:val="105"/>
        </w:rPr>
        <w:t>Jiménez,</w:t>
      </w:r>
      <w:r>
        <w:rPr>
          <w:color w:val="231F20"/>
          <w:spacing w:val="-12"/>
          <w:w w:val="105"/>
        </w:rPr>
        <w:t> </w:t>
      </w:r>
      <w:r>
        <w:rPr>
          <w:color w:val="231F20"/>
          <w:w w:val="105"/>
        </w:rPr>
        <w:t>encarceló</w:t>
      </w:r>
      <w:r>
        <w:rPr>
          <w:color w:val="231F20"/>
          <w:spacing w:val="-12"/>
          <w:w w:val="105"/>
        </w:rPr>
        <w:t> </w:t>
      </w:r>
      <w:r>
        <w:rPr>
          <w:color w:val="231F20"/>
          <w:w w:val="105"/>
        </w:rPr>
        <w:t>y</w:t>
      </w:r>
      <w:r>
        <w:rPr>
          <w:color w:val="231F20"/>
          <w:spacing w:val="-12"/>
          <w:w w:val="105"/>
        </w:rPr>
        <w:t> </w:t>
      </w:r>
      <w:r>
        <w:rPr>
          <w:color w:val="231F20"/>
          <w:w w:val="105"/>
        </w:rPr>
        <w:t>golpeó</w:t>
      </w:r>
      <w:r>
        <w:rPr>
          <w:color w:val="231F20"/>
          <w:spacing w:val="-12"/>
          <w:w w:val="105"/>
        </w:rPr>
        <w:t> </w:t>
      </w:r>
      <w:r>
        <w:rPr>
          <w:color w:val="231F20"/>
          <w:w w:val="105"/>
        </w:rPr>
        <w:t>a</w:t>
      </w:r>
      <w:r>
        <w:rPr>
          <w:color w:val="231F20"/>
          <w:spacing w:val="-12"/>
          <w:w w:val="105"/>
        </w:rPr>
        <w:t> </w:t>
      </w:r>
      <w:r>
        <w:rPr>
          <w:color w:val="231F20"/>
          <w:w w:val="105"/>
        </w:rPr>
        <w:t>sus</w:t>
      </w:r>
      <w:r>
        <w:rPr>
          <w:color w:val="231F20"/>
          <w:spacing w:val="-12"/>
          <w:w w:val="105"/>
        </w:rPr>
        <w:t> </w:t>
      </w:r>
      <w:r>
        <w:rPr>
          <w:color w:val="231F20"/>
          <w:w w:val="105"/>
        </w:rPr>
        <w:t>opositores,</w:t>
      </w:r>
      <w:r>
        <w:rPr>
          <w:color w:val="231F20"/>
          <w:spacing w:val="-12"/>
          <w:w w:val="105"/>
        </w:rPr>
        <w:t> </w:t>
      </w:r>
      <w:r>
        <w:rPr>
          <w:color w:val="231F20"/>
          <w:w w:val="105"/>
        </w:rPr>
        <w:t>y</w:t>
      </w:r>
      <w:r>
        <w:rPr>
          <w:color w:val="231F20"/>
          <w:spacing w:val="-12"/>
          <w:w w:val="105"/>
        </w:rPr>
        <w:t> </w:t>
      </w:r>
      <w:r>
        <w:rPr>
          <w:color w:val="231F20"/>
          <w:w w:val="105"/>
        </w:rPr>
        <w:t>su</w:t>
      </w:r>
      <w:r>
        <w:rPr>
          <w:color w:val="231F20"/>
          <w:spacing w:val="-12"/>
          <w:w w:val="105"/>
        </w:rPr>
        <w:t> </w:t>
      </w:r>
      <w:r>
        <w:rPr>
          <w:color w:val="231F20"/>
          <w:spacing w:val="2"/>
          <w:w w:val="105"/>
        </w:rPr>
        <w:t>figura</w:t>
      </w:r>
      <w:r>
        <w:rPr>
          <w:color w:val="231F20"/>
          <w:spacing w:val="-12"/>
          <w:w w:val="105"/>
        </w:rPr>
        <w:t> </w:t>
      </w:r>
      <w:r>
        <w:rPr>
          <w:color w:val="231F20"/>
          <w:w w:val="105"/>
        </w:rPr>
        <w:t>huidiza</w:t>
      </w:r>
      <w:r>
        <w:rPr>
          <w:color w:val="231F20"/>
          <w:spacing w:val="-12"/>
          <w:w w:val="105"/>
        </w:rPr>
        <w:t> </w:t>
      </w:r>
      <w:r>
        <w:rPr>
          <w:color w:val="231F20"/>
          <w:w w:val="105"/>
        </w:rPr>
        <w:t>entre</w:t>
      </w:r>
      <w:r>
        <w:rPr>
          <w:color w:val="231F20"/>
          <w:spacing w:val="-12"/>
          <w:w w:val="105"/>
        </w:rPr>
        <w:t> </w:t>
      </w:r>
      <w:r>
        <w:rPr>
          <w:color w:val="231F20"/>
          <w:w w:val="105"/>
        </w:rPr>
        <w:t>una escolta</w:t>
      </w:r>
      <w:r>
        <w:rPr>
          <w:color w:val="231F20"/>
          <w:spacing w:val="-14"/>
          <w:w w:val="105"/>
        </w:rPr>
        <w:t> </w:t>
      </w:r>
      <w:r>
        <w:rPr>
          <w:color w:val="231F20"/>
          <w:w w:val="105"/>
        </w:rPr>
        <w:t>de</w:t>
      </w:r>
      <w:r>
        <w:rPr>
          <w:color w:val="231F20"/>
          <w:spacing w:val="-14"/>
          <w:w w:val="105"/>
        </w:rPr>
        <w:t> </w:t>
      </w:r>
      <w:r>
        <w:rPr>
          <w:color w:val="231F20"/>
          <w:w w:val="105"/>
        </w:rPr>
        <w:t>soldados</w:t>
      </w:r>
      <w:r>
        <w:rPr>
          <w:color w:val="231F20"/>
          <w:spacing w:val="-14"/>
          <w:w w:val="105"/>
        </w:rPr>
        <w:t> </w:t>
      </w:r>
      <w:r>
        <w:rPr>
          <w:color w:val="231F20"/>
          <w:w w:val="105"/>
        </w:rPr>
        <w:t>se</w:t>
      </w:r>
      <w:r>
        <w:rPr>
          <w:color w:val="231F20"/>
          <w:spacing w:val="-14"/>
          <w:w w:val="105"/>
        </w:rPr>
        <w:t> </w:t>
      </w:r>
      <w:r>
        <w:rPr>
          <w:color w:val="231F20"/>
          <w:w w:val="105"/>
        </w:rPr>
        <w:t>hizo</w:t>
      </w:r>
      <w:r>
        <w:rPr>
          <w:color w:val="231F20"/>
          <w:spacing w:val="-14"/>
          <w:w w:val="105"/>
        </w:rPr>
        <w:t> </w:t>
      </w:r>
      <w:r>
        <w:rPr>
          <w:color w:val="231F20"/>
          <w:w w:val="105"/>
        </w:rPr>
        <w:t>común</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calles</w:t>
      </w:r>
      <w:r>
        <w:rPr>
          <w:color w:val="231F20"/>
          <w:spacing w:val="-14"/>
          <w:w w:val="105"/>
        </w:rPr>
        <w:t> </w:t>
      </w:r>
      <w:r>
        <w:rPr>
          <w:color w:val="231F20"/>
          <w:w w:val="105"/>
        </w:rPr>
        <w:t>del</w:t>
      </w:r>
      <w:r>
        <w:rPr>
          <w:color w:val="231F20"/>
          <w:spacing w:val="-14"/>
          <w:w w:val="105"/>
        </w:rPr>
        <w:t> </w:t>
      </w:r>
      <w:r>
        <w:rPr>
          <w:color w:val="231F20"/>
          <w:spacing w:val="-3"/>
          <w:w w:val="105"/>
        </w:rPr>
        <w:t>pueblo.</w:t>
      </w:r>
    </w:p>
    <w:p>
      <w:pPr>
        <w:pStyle w:val="BodyText"/>
        <w:spacing w:line="285" w:lineRule="auto" w:before="1"/>
        <w:ind w:left="677" w:right="107"/>
        <w:jc w:val="both"/>
      </w:pPr>
      <w:r>
        <w:rPr>
          <w:color w:val="231F20"/>
        </w:rPr>
        <w:t>En </w:t>
      </w:r>
      <w:r>
        <w:rPr>
          <w:color w:val="231F20"/>
          <w:spacing w:val="-5"/>
        </w:rPr>
        <w:t>1961, </w:t>
      </w:r>
      <w:r>
        <w:rPr>
          <w:color w:val="231F20"/>
        </w:rPr>
        <w:t>la deposición ilegal del presidente municipal Salvador Izquierdo -apoya- do popularmente- a favor de la imposición del cacique Rafael </w:t>
      </w:r>
      <w:r>
        <w:rPr>
          <w:color w:val="231F20"/>
          <w:spacing w:val="-3"/>
        </w:rPr>
        <w:t>Valverde </w:t>
      </w:r>
      <w:r>
        <w:rPr>
          <w:color w:val="231F20"/>
        </w:rPr>
        <w:t>encendió   de nueva cuenta la mecha de la arbitrariedad y la violencia de las autoridades  contra los parroquianos rebeldes. </w:t>
      </w:r>
      <w:r>
        <w:rPr>
          <w:color w:val="231F20"/>
          <w:spacing w:val="-2"/>
        </w:rPr>
        <w:t>Fue </w:t>
      </w:r>
      <w:r>
        <w:rPr>
          <w:color w:val="231F20"/>
        </w:rPr>
        <w:t>en este periodo cuando Chimalhuacán fue dividido para formar el municipio de Nezahualcóyotl.” </w:t>
      </w:r>
      <w:r>
        <w:rPr>
          <w:color w:val="231F20"/>
          <w:spacing w:val="-3"/>
        </w:rPr>
        <w:t>(Sotelo,  </w:t>
      </w:r>
      <w:r>
        <w:rPr>
          <w:color w:val="231F20"/>
          <w:spacing w:val="13"/>
        </w:rPr>
        <w:t> </w:t>
      </w:r>
      <w:r>
        <w:rPr>
          <w:color w:val="231F20"/>
          <w:spacing w:val="2"/>
        </w:rPr>
        <w:t>2000)</w:t>
      </w:r>
    </w:p>
    <w:p>
      <w:pPr>
        <w:pStyle w:val="BodyText"/>
        <w:spacing w:before="1"/>
        <w:rPr>
          <w:sz w:val="26"/>
        </w:rPr>
      </w:pPr>
    </w:p>
    <w:p>
      <w:pPr>
        <w:pStyle w:val="BodyText"/>
        <w:spacing w:line="285" w:lineRule="auto"/>
        <w:ind w:left="110" w:right="108"/>
        <w:jc w:val="both"/>
      </w:pPr>
      <w:r>
        <w:rPr>
          <w:color w:val="231F20"/>
          <w:w w:val="105"/>
        </w:rPr>
        <w:t>Chimalhuacán es una localidad que amén de haber aportado territorio para la existen- cia</w:t>
      </w:r>
      <w:r>
        <w:rPr>
          <w:color w:val="231F20"/>
          <w:spacing w:val="-15"/>
          <w:w w:val="105"/>
        </w:rPr>
        <w:t> </w:t>
      </w:r>
      <w:r>
        <w:rPr>
          <w:color w:val="231F20"/>
          <w:w w:val="105"/>
        </w:rPr>
        <w:t>de</w:t>
      </w:r>
      <w:r>
        <w:rPr>
          <w:color w:val="231F20"/>
          <w:spacing w:val="-15"/>
          <w:w w:val="105"/>
        </w:rPr>
        <w:t> </w:t>
      </w:r>
      <w:r>
        <w:rPr>
          <w:color w:val="231F20"/>
          <w:w w:val="105"/>
        </w:rPr>
        <w:t>otros</w:t>
      </w:r>
      <w:r>
        <w:rPr>
          <w:color w:val="231F20"/>
          <w:spacing w:val="-15"/>
          <w:w w:val="105"/>
        </w:rPr>
        <w:t> </w:t>
      </w:r>
      <w:r>
        <w:rPr>
          <w:color w:val="231F20"/>
          <w:w w:val="105"/>
        </w:rPr>
        <w:t>municipios</w:t>
      </w:r>
      <w:r>
        <w:rPr>
          <w:color w:val="231F20"/>
          <w:spacing w:val="-15"/>
          <w:w w:val="105"/>
        </w:rPr>
        <w:t> </w:t>
      </w:r>
      <w:r>
        <w:rPr>
          <w:color w:val="231F20"/>
          <w:w w:val="105"/>
        </w:rPr>
        <w:t>(La</w:t>
      </w:r>
      <w:r>
        <w:rPr>
          <w:color w:val="231F20"/>
          <w:spacing w:val="-15"/>
          <w:w w:val="105"/>
        </w:rPr>
        <w:t> </w:t>
      </w:r>
      <w:r>
        <w:rPr>
          <w:color w:val="231F20"/>
          <w:w w:val="105"/>
        </w:rPr>
        <w:t>Paz</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siglo</w:t>
      </w:r>
      <w:r>
        <w:rPr>
          <w:color w:val="231F20"/>
          <w:spacing w:val="-15"/>
          <w:w w:val="105"/>
        </w:rPr>
        <w:t> </w:t>
      </w:r>
      <w:r>
        <w:rPr>
          <w:color w:val="231F20"/>
          <w:spacing w:val="2"/>
          <w:w w:val="105"/>
        </w:rPr>
        <w:t>XIX</w:t>
      </w:r>
      <w:r>
        <w:rPr>
          <w:color w:val="231F20"/>
          <w:spacing w:val="-15"/>
          <w:w w:val="105"/>
        </w:rPr>
        <w:t> </w:t>
      </w:r>
      <w:r>
        <w:rPr>
          <w:color w:val="231F20"/>
          <w:w w:val="105"/>
        </w:rPr>
        <w:t>y</w:t>
      </w:r>
      <w:r>
        <w:rPr>
          <w:color w:val="231F20"/>
          <w:spacing w:val="-15"/>
          <w:w w:val="105"/>
        </w:rPr>
        <w:t> </w:t>
      </w:r>
      <w:r>
        <w:rPr>
          <w:color w:val="231F20"/>
          <w:w w:val="105"/>
        </w:rPr>
        <w:t>Nezahualcóyotl</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siglo</w:t>
      </w:r>
      <w:r>
        <w:rPr>
          <w:color w:val="231F20"/>
          <w:spacing w:val="-15"/>
          <w:w w:val="105"/>
        </w:rPr>
        <w:t> </w:t>
      </w:r>
      <w:r>
        <w:rPr>
          <w:color w:val="231F20"/>
          <w:w w:val="105"/>
        </w:rPr>
        <w:t>XX,</w:t>
      </w:r>
      <w:r>
        <w:rPr>
          <w:color w:val="231F20"/>
          <w:spacing w:val="-15"/>
          <w:w w:val="105"/>
        </w:rPr>
        <w:t> </w:t>
      </w:r>
      <w:r>
        <w:rPr>
          <w:color w:val="231F20"/>
          <w:w w:val="105"/>
        </w:rPr>
        <w:t>cuyos gobiernos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actualidad</w:t>
      </w:r>
      <w:r>
        <w:rPr>
          <w:color w:val="231F20"/>
          <w:spacing w:val="-11"/>
          <w:w w:val="105"/>
        </w:rPr>
        <w:t> </w:t>
      </w:r>
      <w:r>
        <w:rPr>
          <w:color w:val="231F20"/>
          <w:w w:val="105"/>
        </w:rPr>
        <w:t>son</w:t>
      </w:r>
      <w:r>
        <w:rPr>
          <w:color w:val="231F20"/>
          <w:spacing w:val="-11"/>
          <w:w w:val="105"/>
        </w:rPr>
        <w:t> </w:t>
      </w:r>
      <w:r>
        <w:rPr>
          <w:color w:val="231F20"/>
          <w:w w:val="105"/>
        </w:rPr>
        <w:t>perredistas)</w:t>
      </w:r>
      <w:r>
        <w:rPr>
          <w:color w:val="231F20"/>
          <w:spacing w:val="-11"/>
          <w:w w:val="105"/>
        </w:rPr>
        <w:t> </w:t>
      </w:r>
      <w:r>
        <w:rPr>
          <w:color w:val="231F20"/>
          <w:w w:val="105"/>
        </w:rPr>
        <w:t>tiene</w:t>
      </w:r>
      <w:r>
        <w:rPr>
          <w:color w:val="231F20"/>
          <w:spacing w:val="-11"/>
          <w:w w:val="105"/>
        </w:rPr>
        <w:t> </w:t>
      </w:r>
      <w:r>
        <w:rPr>
          <w:color w:val="231F20"/>
          <w:w w:val="105"/>
        </w:rPr>
        <w:t>raigambre</w:t>
      </w:r>
      <w:r>
        <w:rPr>
          <w:color w:val="231F20"/>
          <w:spacing w:val="-11"/>
          <w:w w:val="105"/>
        </w:rPr>
        <w:t> </w:t>
      </w:r>
      <w:r>
        <w:rPr>
          <w:color w:val="231F20"/>
          <w:w w:val="105"/>
        </w:rPr>
        <w:t>priista:</w:t>
      </w:r>
    </w:p>
    <w:p>
      <w:pPr>
        <w:pStyle w:val="BodyText"/>
        <w:spacing w:line="285" w:lineRule="auto" w:before="1"/>
        <w:ind w:left="677" w:right="107"/>
        <w:jc w:val="both"/>
      </w:pPr>
      <w:r>
        <w:rPr>
          <w:color w:val="231F20"/>
          <w:w w:val="105"/>
        </w:rPr>
        <w:t>Desde</w:t>
      </w:r>
      <w:r>
        <w:rPr>
          <w:color w:val="231F20"/>
          <w:spacing w:val="-23"/>
          <w:w w:val="105"/>
        </w:rPr>
        <w:t> </w:t>
      </w:r>
      <w:r>
        <w:rPr>
          <w:color w:val="231F20"/>
          <w:w w:val="105"/>
        </w:rPr>
        <w:t>su</w:t>
      </w:r>
      <w:r>
        <w:rPr>
          <w:color w:val="231F20"/>
          <w:spacing w:val="-23"/>
          <w:w w:val="105"/>
        </w:rPr>
        <w:t> </w:t>
      </w:r>
      <w:r>
        <w:rPr>
          <w:color w:val="231F20"/>
          <w:spacing w:val="-3"/>
          <w:w w:val="105"/>
        </w:rPr>
        <w:t>fundación</w:t>
      </w:r>
      <w:r>
        <w:rPr>
          <w:color w:val="231F20"/>
          <w:spacing w:val="-23"/>
          <w:w w:val="105"/>
        </w:rPr>
        <w:t> </w:t>
      </w:r>
      <w:r>
        <w:rPr>
          <w:color w:val="231F20"/>
          <w:spacing w:val="-4"/>
          <w:w w:val="105"/>
        </w:rPr>
        <w:t>como</w:t>
      </w:r>
      <w:r>
        <w:rPr>
          <w:color w:val="231F20"/>
          <w:spacing w:val="-23"/>
          <w:w w:val="105"/>
        </w:rPr>
        <w:t> </w:t>
      </w:r>
      <w:r>
        <w:rPr>
          <w:color w:val="231F20"/>
          <w:w w:val="105"/>
        </w:rPr>
        <w:t>PRI,</w:t>
      </w:r>
      <w:r>
        <w:rPr>
          <w:color w:val="231F20"/>
          <w:spacing w:val="-23"/>
          <w:w w:val="105"/>
        </w:rPr>
        <w:t> </w:t>
      </w:r>
      <w:r>
        <w:rPr>
          <w:color w:val="231F20"/>
          <w:w w:val="105"/>
        </w:rPr>
        <w:t>en</w:t>
      </w:r>
      <w:r>
        <w:rPr>
          <w:color w:val="231F20"/>
          <w:spacing w:val="-23"/>
          <w:w w:val="105"/>
        </w:rPr>
        <w:t> </w:t>
      </w:r>
      <w:r>
        <w:rPr>
          <w:color w:val="231F20"/>
          <w:w w:val="105"/>
        </w:rPr>
        <w:t>Chimalhuacán</w:t>
      </w:r>
      <w:r>
        <w:rPr>
          <w:color w:val="231F20"/>
          <w:spacing w:val="-23"/>
          <w:w w:val="105"/>
        </w:rPr>
        <w:t> </w:t>
      </w:r>
      <w:r>
        <w:rPr>
          <w:color w:val="231F20"/>
          <w:spacing w:val="-4"/>
          <w:w w:val="105"/>
        </w:rPr>
        <w:t>siempre</w:t>
      </w:r>
      <w:r>
        <w:rPr>
          <w:color w:val="231F20"/>
          <w:spacing w:val="-23"/>
          <w:w w:val="105"/>
        </w:rPr>
        <w:t> </w:t>
      </w:r>
      <w:r>
        <w:rPr>
          <w:color w:val="231F20"/>
          <w:w w:val="105"/>
        </w:rPr>
        <w:t>se</w:t>
      </w:r>
      <w:r>
        <w:rPr>
          <w:color w:val="231F20"/>
          <w:spacing w:val="-23"/>
          <w:w w:val="105"/>
        </w:rPr>
        <w:t> </w:t>
      </w:r>
      <w:r>
        <w:rPr>
          <w:color w:val="231F20"/>
          <w:w w:val="105"/>
        </w:rPr>
        <w:t>ha</w:t>
      </w:r>
      <w:r>
        <w:rPr>
          <w:color w:val="231F20"/>
          <w:spacing w:val="-23"/>
          <w:w w:val="105"/>
        </w:rPr>
        <w:t> </w:t>
      </w:r>
      <w:r>
        <w:rPr>
          <w:color w:val="231F20"/>
          <w:spacing w:val="-3"/>
          <w:w w:val="105"/>
        </w:rPr>
        <w:t>tenido</w:t>
      </w:r>
      <w:r>
        <w:rPr>
          <w:color w:val="231F20"/>
          <w:spacing w:val="-23"/>
          <w:w w:val="105"/>
        </w:rPr>
        <w:t> </w:t>
      </w:r>
      <w:r>
        <w:rPr>
          <w:color w:val="231F20"/>
          <w:spacing w:val="-4"/>
          <w:w w:val="105"/>
        </w:rPr>
        <w:t>como</w:t>
      </w:r>
      <w:r>
        <w:rPr>
          <w:color w:val="231F20"/>
          <w:spacing w:val="-23"/>
          <w:w w:val="105"/>
        </w:rPr>
        <w:t> </w:t>
      </w:r>
      <w:r>
        <w:rPr>
          <w:color w:val="231F20"/>
          <w:spacing w:val="-4"/>
          <w:w w:val="105"/>
        </w:rPr>
        <w:t>opción </w:t>
      </w:r>
      <w:r>
        <w:rPr>
          <w:color w:val="231F20"/>
          <w:w w:val="105"/>
        </w:rPr>
        <w:t>política</w:t>
      </w:r>
      <w:r>
        <w:rPr>
          <w:color w:val="231F20"/>
          <w:spacing w:val="-15"/>
          <w:w w:val="105"/>
        </w:rPr>
        <w:t> </w:t>
      </w:r>
      <w:r>
        <w:rPr>
          <w:color w:val="231F20"/>
          <w:w w:val="105"/>
        </w:rPr>
        <w:t>al</w:t>
      </w:r>
      <w:r>
        <w:rPr>
          <w:color w:val="231F20"/>
          <w:spacing w:val="-15"/>
          <w:w w:val="105"/>
        </w:rPr>
        <w:t> </w:t>
      </w:r>
      <w:r>
        <w:rPr>
          <w:color w:val="231F20"/>
          <w:spacing w:val="-4"/>
          <w:w w:val="105"/>
        </w:rPr>
        <w:t>Revolucionario</w:t>
      </w:r>
      <w:r>
        <w:rPr>
          <w:color w:val="231F20"/>
          <w:spacing w:val="-15"/>
          <w:w w:val="105"/>
        </w:rPr>
        <w:t> </w:t>
      </w:r>
      <w:r>
        <w:rPr>
          <w:color w:val="231F20"/>
          <w:w w:val="105"/>
        </w:rPr>
        <w:t>Institucional</w:t>
      </w:r>
      <w:r>
        <w:rPr>
          <w:color w:val="231F20"/>
          <w:spacing w:val="-15"/>
          <w:w w:val="105"/>
        </w:rPr>
        <w:t> </w:t>
      </w:r>
      <w:r>
        <w:rPr>
          <w:color w:val="231F20"/>
          <w:w w:val="105"/>
        </w:rPr>
        <w:t>de</w:t>
      </w:r>
      <w:r>
        <w:rPr>
          <w:color w:val="231F20"/>
          <w:spacing w:val="-15"/>
          <w:w w:val="105"/>
        </w:rPr>
        <w:t> </w:t>
      </w:r>
      <w:r>
        <w:rPr>
          <w:color w:val="231F20"/>
          <w:w w:val="105"/>
        </w:rPr>
        <w:t>manera</w:t>
      </w:r>
      <w:r>
        <w:rPr>
          <w:color w:val="231F20"/>
          <w:spacing w:val="-15"/>
          <w:w w:val="105"/>
        </w:rPr>
        <w:t> </w:t>
      </w:r>
      <w:r>
        <w:rPr>
          <w:color w:val="231F20"/>
          <w:spacing w:val="-4"/>
          <w:w w:val="105"/>
        </w:rPr>
        <w:t>preponderante,</w:t>
      </w:r>
      <w:r>
        <w:rPr>
          <w:color w:val="231F20"/>
          <w:spacing w:val="-15"/>
          <w:w w:val="105"/>
        </w:rPr>
        <w:t> </w:t>
      </w:r>
      <w:r>
        <w:rPr>
          <w:color w:val="231F20"/>
          <w:spacing w:val="-4"/>
          <w:w w:val="105"/>
        </w:rPr>
        <w:t>siendo</w:t>
      </w:r>
      <w:r>
        <w:rPr>
          <w:color w:val="231F20"/>
          <w:spacing w:val="-15"/>
          <w:w w:val="105"/>
        </w:rPr>
        <w:t> </w:t>
      </w:r>
      <w:r>
        <w:rPr>
          <w:color w:val="231F20"/>
          <w:w w:val="105"/>
        </w:rPr>
        <w:t>el</w:t>
      </w:r>
      <w:r>
        <w:rPr>
          <w:color w:val="231F20"/>
          <w:spacing w:val="-15"/>
          <w:w w:val="105"/>
        </w:rPr>
        <w:t> </w:t>
      </w:r>
      <w:r>
        <w:rPr>
          <w:color w:val="231F20"/>
          <w:spacing w:val="-2"/>
          <w:w w:val="105"/>
        </w:rPr>
        <w:t>primer </w:t>
      </w:r>
      <w:r>
        <w:rPr>
          <w:color w:val="231F20"/>
          <w:spacing w:val="-4"/>
          <w:w w:val="105"/>
        </w:rPr>
        <w:t>presidente</w:t>
      </w:r>
      <w:r>
        <w:rPr>
          <w:color w:val="231F20"/>
          <w:spacing w:val="-30"/>
          <w:w w:val="105"/>
        </w:rPr>
        <w:t> </w:t>
      </w:r>
      <w:r>
        <w:rPr>
          <w:color w:val="231F20"/>
          <w:w w:val="105"/>
        </w:rPr>
        <w:t>municipal</w:t>
      </w:r>
      <w:r>
        <w:rPr>
          <w:color w:val="231F20"/>
          <w:spacing w:val="-30"/>
          <w:w w:val="105"/>
        </w:rPr>
        <w:t> </w:t>
      </w:r>
      <w:r>
        <w:rPr>
          <w:color w:val="231F20"/>
          <w:w w:val="105"/>
        </w:rPr>
        <w:t>priísta</w:t>
      </w:r>
      <w:r>
        <w:rPr>
          <w:color w:val="231F20"/>
          <w:spacing w:val="-30"/>
          <w:w w:val="105"/>
        </w:rPr>
        <w:t> </w:t>
      </w:r>
      <w:r>
        <w:rPr>
          <w:color w:val="231F20"/>
          <w:w w:val="105"/>
        </w:rPr>
        <w:t>el</w:t>
      </w:r>
      <w:r>
        <w:rPr>
          <w:color w:val="231F20"/>
          <w:spacing w:val="-30"/>
          <w:w w:val="105"/>
        </w:rPr>
        <w:t> </w:t>
      </w:r>
      <w:r>
        <w:rPr>
          <w:color w:val="231F20"/>
          <w:w w:val="105"/>
        </w:rPr>
        <w:t>C.</w:t>
      </w:r>
      <w:r>
        <w:rPr>
          <w:color w:val="231F20"/>
          <w:spacing w:val="-30"/>
          <w:w w:val="105"/>
        </w:rPr>
        <w:t> </w:t>
      </w:r>
      <w:r>
        <w:rPr>
          <w:color w:val="231F20"/>
          <w:w w:val="105"/>
        </w:rPr>
        <w:t>Hilario</w:t>
      </w:r>
      <w:r>
        <w:rPr>
          <w:color w:val="231F20"/>
          <w:spacing w:val="-30"/>
          <w:w w:val="105"/>
        </w:rPr>
        <w:t> </w:t>
      </w:r>
      <w:r>
        <w:rPr>
          <w:color w:val="231F20"/>
          <w:spacing w:val="-4"/>
          <w:w w:val="105"/>
        </w:rPr>
        <w:t>Valencia.</w:t>
      </w:r>
      <w:r>
        <w:rPr>
          <w:color w:val="231F20"/>
          <w:spacing w:val="-30"/>
          <w:w w:val="105"/>
        </w:rPr>
        <w:t> </w:t>
      </w:r>
      <w:r>
        <w:rPr>
          <w:color w:val="231F20"/>
          <w:spacing w:val="-6"/>
          <w:w w:val="105"/>
        </w:rPr>
        <w:t>(1946)”</w:t>
      </w:r>
      <w:r>
        <w:rPr>
          <w:color w:val="231F20"/>
          <w:spacing w:val="-30"/>
          <w:w w:val="105"/>
        </w:rPr>
        <w:t> </w:t>
      </w:r>
      <w:r>
        <w:rPr>
          <w:color w:val="231F20"/>
          <w:w w:val="105"/>
        </w:rPr>
        <w:t>(Martínez,</w:t>
      </w:r>
      <w:r>
        <w:rPr>
          <w:color w:val="231F20"/>
          <w:spacing w:val="-30"/>
          <w:w w:val="105"/>
        </w:rPr>
        <w:t> </w:t>
      </w:r>
      <w:r>
        <w:rPr>
          <w:color w:val="231F20"/>
          <w:w w:val="105"/>
        </w:rPr>
        <w:t>entrevista)</w:t>
      </w:r>
    </w:p>
    <w:p>
      <w:pPr>
        <w:pStyle w:val="BodyText"/>
        <w:spacing w:before="1"/>
        <w:rPr>
          <w:sz w:val="26"/>
        </w:rPr>
      </w:pPr>
    </w:p>
    <w:p>
      <w:pPr>
        <w:pStyle w:val="BodyText"/>
        <w:ind w:left="110"/>
        <w:jc w:val="both"/>
      </w:pPr>
      <w:r>
        <w:rPr>
          <w:color w:val="231F20"/>
          <w:w w:val="105"/>
        </w:rPr>
        <w:t>Que por lo mismo desde sus inicios desarrolla el sistema caciquil:</w:t>
      </w:r>
    </w:p>
    <w:p>
      <w:pPr>
        <w:pStyle w:val="BodyText"/>
        <w:spacing w:line="285" w:lineRule="auto" w:before="47"/>
        <w:ind w:left="110" w:right="108"/>
        <w:jc w:val="both"/>
      </w:pPr>
      <w:r>
        <w:rPr>
          <w:color w:val="231F20"/>
          <w:w w:val="105"/>
        </w:rPr>
        <w:t>Está</w:t>
      </w:r>
      <w:r>
        <w:rPr>
          <w:color w:val="231F20"/>
          <w:spacing w:val="-21"/>
          <w:w w:val="105"/>
        </w:rPr>
        <w:t> </w:t>
      </w:r>
      <w:r>
        <w:rPr>
          <w:color w:val="231F20"/>
          <w:w w:val="105"/>
        </w:rPr>
        <w:t>el</w:t>
      </w:r>
      <w:r>
        <w:rPr>
          <w:color w:val="231F20"/>
          <w:spacing w:val="-21"/>
          <w:w w:val="105"/>
        </w:rPr>
        <w:t> </w:t>
      </w:r>
      <w:r>
        <w:rPr>
          <w:color w:val="231F20"/>
          <w:w w:val="105"/>
        </w:rPr>
        <w:t>caso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sepultureros”,</w:t>
      </w:r>
      <w:r>
        <w:rPr>
          <w:color w:val="231F20"/>
          <w:spacing w:val="-21"/>
          <w:w w:val="105"/>
        </w:rPr>
        <w:t> </w:t>
      </w:r>
      <w:r>
        <w:rPr>
          <w:color w:val="231F20"/>
          <w:w w:val="105"/>
        </w:rPr>
        <w:t>ellos</w:t>
      </w:r>
      <w:r>
        <w:rPr>
          <w:color w:val="231F20"/>
          <w:spacing w:val="-21"/>
          <w:w w:val="105"/>
        </w:rPr>
        <w:t> </w:t>
      </w:r>
      <w:r>
        <w:rPr>
          <w:color w:val="231F20"/>
          <w:w w:val="105"/>
        </w:rPr>
        <w:t>tenían</w:t>
      </w:r>
      <w:r>
        <w:rPr>
          <w:color w:val="231F20"/>
          <w:spacing w:val="-21"/>
          <w:w w:val="105"/>
        </w:rPr>
        <w:t> </w:t>
      </w:r>
      <w:r>
        <w:rPr>
          <w:color w:val="231F20"/>
          <w:w w:val="105"/>
        </w:rPr>
        <w:t>bien</w:t>
      </w:r>
      <w:r>
        <w:rPr>
          <w:color w:val="231F20"/>
          <w:spacing w:val="-21"/>
          <w:w w:val="105"/>
        </w:rPr>
        <w:t> </w:t>
      </w:r>
      <w:r>
        <w:rPr>
          <w:color w:val="231F20"/>
          <w:w w:val="105"/>
        </w:rPr>
        <w:t>establecido</w:t>
      </w:r>
      <w:r>
        <w:rPr>
          <w:color w:val="231F20"/>
          <w:spacing w:val="-21"/>
          <w:w w:val="105"/>
        </w:rPr>
        <w:t> </w:t>
      </w:r>
      <w:r>
        <w:rPr>
          <w:color w:val="231F20"/>
          <w:w w:val="105"/>
        </w:rPr>
        <w:t>un</w:t>
      </w:r>
      <w:r>
        <w:rPr>
          <w:color w:val="231F20"/>
          <w:spacing w:val="-21"/>
          <w:w w:val="105"/>
        </w:rPr>
        <w:t> </w:t>
      </w:r>
      <w:r>
        <w:rPr>
          <w:color w:val="231F20"/>
          <w:w w:val="105"/>
        </w:rPr>
        <w:t>cacicazgo.</w:t>
      </w:r>
      <w:r>
        <w:rPr>
          <w:color w:val="231F20"/>
          <w:spacing w:val="-21"/>
          <w:w w:val="105"/>
        </w:rPr>
        <w:t> </w:t>
      </w:r>
      <w:r>
        <w:rPr>
          <w:color w:val="231F20"/>
          <w:w w:val="105"/>
        </w:rPr>
        <w:t>Este</w:t>
      </w:r>
      <w:r>
        <w:rPr>
          <w:color w:val="231F20"/>
          <w:spacing w:val="-21"/>
          <w:w w:val="105"/>
        </w:rPr>
        <w:t> </w:t>
      </w:r>
      <w:r>
        <w:rPr>
          <w:color w:val="231F20"/>
          <w:w w:val="105"/>
        </w:rPr>
        <w:t>grupo estaba integrado por ex presidentes municipales, ex síndicos, ex tesoreros, ex  </w:t>
      </w:r>
      <w:r>
        <w:rPr>
          <w:color w:val="231F20"/>
          <w:spacing w:val="25"/>
          <w:w w:val="105"/>
        </w:rPr>
        <w:t> </w:t>
      </w:r>
      <w:r>
        <w:rPr>
          <w:color w:val="231F20"/>
          <w:w w:val="105"/>
        </w:rPr>
        <w:t>jueces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menores, ex comisariados ejidales, y en una reunión de ellos designaban quien sería abanderado</w:t>
      </w:r>
      <w:r>
        <w:rPr>
          <w:color w:val="231F20"/>
          <w:spacing w:val="-19"/>
          <w:w w:val="105"/>
        </w:rPr>
        <w:t> </w:t>
      </w:r>
      <w:r>
        <w:rPr>
          <w:color w:val="231F20"/>
          <w:w w:val="105"/>
        </w:rPr>
        <w:t>del</w:t>
      </w:r>
      <w:r>
        <w:rPr>
          <w:color w:val="231F20"/>
          <w:spacing w:val="-19"/>
          <w:w w:val="105"/>
        </w:rPr>
        <w:t> </w:t>
      </w:r>
      <w:r>
        <w:rPr>
          <w:color w:val="231F20"/>
          <w:w w:val="105"/>
        </w:rPr>
        <w:t>partido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siguiente</w:t>
      </w:r>
      <w:r>
        <w:rPr>
          <w:color w:val="231F20"/>
          <w:spacing w:val="-19"/>
          <w:w w:val="105"/>
        </w:rPr>
        <w:t> </w:t>
      </w:r>
      <w:r>
        <w:rPr>
          <w:color w:val="231F20"/>
          <w:w w:val="105"/>
        </w:rPr>
        <w:t>elección,</w:t>
      </w:r>
      <w:r>
        <w:rPr>
          <w:color w:val="231F20"/>
          <w:spacing w:val="-19"/>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siguiente</w:t>
      </w:r>
      <w:r>
        <w:rPr>
          <w:color w:val="231F20"/>
          <w:spacing w:val="-19"/>
          <w:w w:val="105"/>
        </w:rPr>
        <w:t> </w:t>
      </w:r>
      <w:r>
        <w:rPr>
          <w:color w:val="231F20"/>
          <w:w w:val="105"/>
        </w:rPr>
        <w:t>administración.</w:t>
      </w:r>
      <w:r>
        <w:rPr>
          <w:color w:val="231F20"/>
          <w:spacing w:val="-19"/>
          <w:w w:val="105"/>
        </w:rPr>
        <w:t> </w:t>
      </w:r>
      <w:r>
        <w:rPr>
          <w:color w:val="231F20"/>
          <w:spacing w:val="-5"/>
          <w:w w:val="105"/>
        </w:rPr>
        <w:t>(Aven- </w:t>
      </w:r>
      <w:r>
        <w:rPr>
          <w:color w:val="231F20"/>
          <w:w w:val="105"/>
        </w:rPr>
        <w:t>daño,</w:t>
      </w:r>
      <w:r>
        <w:rPr>
          <w:color w:val="231F20"/>
          <w:spacing w:val="-14"/>
          <w:w w:val="105"/>
        </w:rPr>
        <w:t> </w:t>
      </w:r>
      <w:r>
        <w:rPr>
          <w:color w:val="231F20"/>
          <w:w w:val="105"/>
        </w:rPr>
        <w:t>entrevista)</w:t>
      </w:r>
    </w:p>
    <w:p>
      <w:pPr>
        <w:pStyle w:val="BodyText"/>
        <w:spacing w:before="1"/>
        <w:rPr>
          <w:sz w:val="26"/>
        </w:rPr>
      </w:pPr>
    </w:p>
    <w:p>
      <w:pPr>
        <w:pStyle w:val="BodyText"/>
        <w:spacing w:line="285" w:lineRule="auto"/>
        <w:ind w:left="110" w:right="110"/>
        <w:jc w:val="both"/>
      </w:pPr>
      <w:r>
        <w:rPr>
          <w:color w:val="231F20"/>
        </w:rPr>
        <w:t>El </w:t>
      </w:r>
      <w:r>
        <w:rPr>
          <w:color w:val="231F20"/>
          <w:spacing w:val="-5"/>
        </w:rPr>
        <w:t>origen </w:t>
      </w:r>
      <w:r>
        <w:rPr>
          <w:color w:val="231F20"/>
          <w:spacing w:val="-3"/>
        </w:rPr>
        <w:t>partidista </w:t>
      </w:r>
      <w:r>
        <w:rPr>
          <w:color w:val="231F20"/>
          <w:spacing w:val="-4"/>
        </w:rPr>
        <w:t>de </w:t>
      </w:r>
      <w:r>
        <w:rPr>
          <w:color w:val="231F20"/>
          <w:spacing w:val="-5"/>
        </w:rPr>
        <w:t>todos </w:t>
      </w:r>
      <w:r>
        <w:rPr>
          <w:color w:val="231F20"/>
          <w:spacing w:val="-4"/>
        </w:rPr>
        <w:t>los </w:t>
      </w:r>
      <w:r>
        <w:rPr>
          <w:color w:val="231F20"/>
          <w:spacing w:val="-6"/>
        </w:rPr>
        <w:t>presidentes </w:t>
      </w:r>
      <w:r>
        <w:rPr>
          <w:color w:val="231F20"/>
          <w:spacing w:val="-4"/>
        </w:rPr>
        <w:t>municipales </w:t>
      </w:r>
      <w:r>
        <w:rPr>
          <w:color w:val="231F20"/>
        </w:rPr>
        <w:t>se </w:t>
      </w:r>
      <w:r>
        <w:rPr>
          <w:color w:val="231F20"/>
          <w:spacing w:val="-5"/>
        </w:rPr>
        <w:t>expresa </w:t>
      </w:r>
      <w:r>
        <w:rPr>
          <w:color w:val="231F20"/>
        </w:rPr>
        <w:t>a </w:t>
      </w:r>
      <w:r>
        <w:rPr>
          <w:color w:val="231F20"/>
          <w:spacing w:val="-4"/>
        </w:rPr>
        <w:t>través </w:t>
      </w:r>
      <w:r>
        <w:rPr>
          <w:color w:val="231F20"/>
          <w:spacing w:val="-5"/>
        </w:rPr>
        <w:t>del </w:t>
      </w:r>
      <w:r>
        <w:rPr>
          <w:color w:val="231F20"/>
          <w:spacing w:val="-4"/>
        </w:rPr>
        <w:t>dominio </w:t>
      </w:r>
      <w:r>
        <w:rPr>
          <w:color w:val="231F20"/>
          <w:spacing w:val="-5"/>
        </w:rPr>
        <w:t>del </w:t>
      </w:r>
      <w:r>
        <w:rPr>
          <w:color w:val="231F20"/>
          <w:spacing w:val="-3"/>
        </w:rPr>
        <w:t>partido </w:t>
      </w:r>
      <w:r>
        <w:rPr>
          <w:color w:val="231F20"/>
          <w:spacing w:val="-4"/>
        </w:rPr>
        <w:t>de </w:t>
      </w:r>
      <w:r>
        <w:rPr>
          <w:color w:val="231F20"/>
          <w:spacing w:val="-5"/>
        </w:rPr>
        <w:t>Estado </w:t>
      </w:r>
      <w:r>
        <w:rPr>
          <w:color w:val="231F20"/>
          <w:spacing w:val="-7"/>
        </w:rPr>
        <w:t>PNR-PRM-PRI </w:t>
      </w:r>
      <w:r>
        <w:rPr>
          <w:color w:val="231F20"/>
          <w:spacing w:val="-4"/>
        </w:rPr>
        <w:t>en </w:t>
      </w:r>
      <w:r>
        <w:rPr>
          <w:color w:val="231F20"/>
          <w:spacing w:val="-3"/>
        </w:rPr>
        <w:t>este </w:t>
      </w:r>
      <w:r>
        <w:rPr>
          <w:color w:val="231F20"/>
          <w:spacing w:val="-6"/>
        </w:rPr>
        <w:t>municipio, </w:t>
      </w:r>
      <w:r>
        <w:rPr>
          <w:color w:val="231F20"/>
          <w:spacing w:val="-3"/>
        </w:rPr>
        <w:t>así </w:t>
      </w:r>
      <w:r>
        <w:rPr>
          <w:color w:val="231F20"/>
          <w:spacing w:val="-4"/>
        </w:rPr>
        <w:t>lo </w:t>
      </w:r>
      <w:r>
        <w:rPr>
          <w:color w:val="231F20"/>
          <w:spacing w:val="-6"/>
        </w:rPr>
        <w:t>vemos </w:t>
      </w:r>
      <w:r>
        <w:rPr>
          <w:color w:val="231F20"/>
          <w:spacing w:val="-4"/>
        </w:rPr>
        <w:t>en </w:t>
      </w:r>
      <w:r>
        <w:rPr>
          <w:color w:val="231F20"/>
          <w:spacing w:val="-3"/>
        </w:rPr>
        <w:t>el </w:t>
      </w:r>
      <w:r>
        <w:rPr>
          <w:color w:val="231F20"/>
          <w:spacing w:val="-5"/>
        </w:rPr>
        <w:t>siguiente cuadro:</w:t>
      </w:r>
    </w:p>
    <w:p>
      <w:pPr>
        <w:pStyle w:val="BodyText"/>
        <w:spacing w:before="1"/>
        <w:rPr>
          <w:sz w:val="26"/>
        </w:rPr>
      </w:pPr>
    </w:p>
    <w:p>
      <w:pPr>
        <w:pStyle w:val="Heading5"/>
        <w:spacing w:line="285" w:lineRule="auto"/>
        <w:ind w:left="2006" w:right="1943" w:firstLine="1055"/>
      </w:pPr>
      <w:r>
        <w:rPr>
          <w:color w:val="231F20"/>
          <w:w w:val="105"/>
        </w:rPr>
        <w:t>Cuadro Número Uno Presidentes Municipales de Chimalhuacán</w:t>
      </w:r>
    </w:p>
    <w:p>
      <w:pPr>
        <w:pStyle w:val="BodyText"/>
        <w:spacing w:before="9" w:after="1"/>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091"/>
        <w:gridCol w:w="1482"/>
        <w:gridCol w:w="1353"/>
      </w:tblGrid>
      <w:tr>
        <w:trPr>
          <w:trHeight w:val="150" w:hRule="exact"/>
        </w:trPr>
        <w:tc>
          <w:tcPr>
            <w:tcW w:w="5091" w:type="dxa"/>
          </w:tcPr>
          <w:p>
            <w:pPr>
              <w:pStyle w:val="TableParagraph"/>
              <w:spacing w:line="173" w:lineRule="exact"/>
              <w:ind w:left="10"/>
              <w:rPr>
                <w:sz w:val="16"/>
              </w:rPr>
            </w:pPr>
            <w:r>
              <w:rPr>
                <w:color w:val="231F20"/>
                <w:w w:val="85"/>
                <w:sz w:val="16"/>
              </w:rPr>
              <w:t>PRESIDENTE</w:t>
            </w:r>
          </w:p>
        </w:tc>
        <w:tc>
          <w:tcPr>
            <w:tcW w:w="1482" w:type="dxa"/>
          </w:tcPr>
          <w:p>
            <w:pPr>
              <w:pStyle w:val="TableParagraph"/>
              <w:spacing w:line="173" w:lineRule="exact"/>
              <w:ind w:left="9"/>
              <w:rPr>
                <w:sz w:val="16"/>
              </w:rPr>
            </w:pPr>
            <w:r>
              <w:rPr>
                <w:color w:val="231F20"/>
                <w:w w:val="85"/>
                <w:sz w:val="16"/>
              </w:rPr>
              <w:t>PERIODO</w:t>
            </w:r>
          </w:p>
        </w:tc>
        <w:tc>
          <w:tcPr>
            <w:tcW w:w="1353" w:type="dxa"/>
          </w:tcPr>
          <w:p>
            <w:pPr>
              <w:pStyle w:val="TableParagraph"/>
              <w:spacing w:line="173" w:lineRule="exact"/>
              <w:ind w:left="9"/>
              <w:rPr>
                <w:sz w:val="16"/>
              </w:rPr>
            </w:pPr>
            <w:r>
              <w:rPr>
                <w:color w:val="231F20"/>
                <w:w w:val="75"/>
                <w:sz w:val="16"/>
              </w:rPr>
              <w:t>PARTIDO POLÍTICO</w:t>
            </w:r>
          </w:p>
        </w:tc>
      </w:tr>
      <w:tr>
        <w:trPr>
          <w:trHeight w:val="150" w:hRule="exact"/>
        </w:trPr>
        <w:tc>
          <w:tcPr>
            <w:tcW w:w="5091" w:type="dxa"/>
          </w:tcPr>
          <w:p>
            <w:pPr>
              <w:pStyle w:val="TableParagraph"/>
              <w:spacing w:line="173" w:lineRule="exact"/>
              <w:ind w:left="9"/>
              <w:rPr>
                <w:sz w:val="16"/>
              </w:rPr>
            </w:pPr>
            <w:r>
              <w:rPr>
                <w:color w:val="231F20"/>
                <w:w w:val="75"/>
                <w:sz w:val="16"/>
              </w:rPr>
              <w:t>Antonio Martínez</w:t>
            </w:r>
          </w:p>
        </w:tc>
        <w:tc>
          <w:tcPr>
            <w:tcW w:w="1482" w:type="dxa"/>
          </w:tcPr>
          <w:p>
            <w:pPr>
              <w:pStyle w:val="TableParagraph"/>
              <w:spacing w:line="173" w:lineRule="exact"/>
              <w:ind w:left="9"/>
              <w:rPr>
                <w:sz w:val="16"/>
              </w:rPr>
            </w:pPr>
            <w:r>
              <w:rPr>
                <w:color w:val="231F20"/>
                <w:w w:val="80"/>
                <w:sz w:val="16"/>
              </w:rPr>
              <w:t>1940 – 1941</w:t>
            </w:r>
          </w:p>
        </w:tc>
        <w:tc>
          <w:tcPr>
            <w:tcW w:w="1353" w:type="dxa"/>
          </w:tcPr>
          <w:p>
            <w:pPr/>
          </w:p>
        </w:tc>
      </w:tr>
      <w:tr>
        <w:trPr>
          <w:trHeight w:val="150" w:hRule="exact"/>
        </w:trPr>
        <w:tc>
          <w:tcPr>
            <w:tcW w:w="5091" w:type="dxa"/>
          </w:tcPr>
          <w:p>
            <w:pPr>
              <w:pStyle w:val="TableParagraph"/>
              <w:spacing w:line="173" w:lineRule="exact"/>
              <w:ind w:left="9"/>
              <w:rPr>
                <w:sz w:val="16"/>
              </w:rPr>
            </w:pPr>
            <w:r>
              <w:rPr>
                <w:color w:val="231F20"/>
                <w:w w:val="75"/>
                <w:sz w:val="16"/>
              </w:rPr>
              <w:t>Martiniano Constantino</w:t>
            </w:r>
          </w:p>
        </w:tc>
        <w:tc>
          <w:tcPr>
            <w:tcW w:w="1482" w:type="dxa"/>
          </w:tcPr>
          <w:p>
            <w:pPr>
              <w:pStyle w:val="TableParagraph"/>
              <w:spacing w:line="173" w:lineRule="exact"/>
              <w:ind w:left="9"/>
              <w:rPr>
                <w:sz w:val="16"/>
              </w:rPr>
            </w:pPr>
            <w:r>
              <w:rPr>
                <w:color w:val="231F20"/>
                <w:w w:val="80"/>
                <w:sz w:val="16"/>
              </w:rPr>
              <w:t>1942 – 1943</w:t>
            </w:r>
          </w:p>
        </w:tc>
        <w:tc>
          <w:tcPr>
            <w:tcW w:w="1353" w:type="dxa"/>
          </w:tcPr>
          <w:p>
            <w:pPr/>
          </w:p>
        </w:tc>
      </w:tr>
      <w:tr>
        <w:trPr>
          <w:trHeight w:val="150" w:hRule="exact"/>
        </w:trPr>
        <w:tc>
          <w:tcPr>
            <w:tcW w:w="5091" w:type="dxa"/>
          </w:tcPr>
          <w:p>
            <w:pPr>
              <w:pStyle w:val="TableParagraph"/>
              <w:spacing w:line="173" w:lineRule="exact"/>
              <w:ind w:left="9"/>
              <w:rPr>
                <w:sz w:val="16"/>
              </w:rPr>
            </w:pPr>
            <w:r>
              <w:rPr>
                <w:color w:val="231F20"/>
                <w:w w:val="75"/>
                <w:sz w:val="16"/>
              </w:rPr>
              <w:t>Luis Martínez</w:t>
            </w:r>
          </w:p>
        </w:tc>
        <w:tc>
          <w:tcPr>
            <w:tcW w:w="1482" w:type="dxa"/>
          </w:tcPr>
          <w:p>
            <w:pPr>
              <w:pStyle w:val="TableParagraph"/>
              <w:spacing w:line="173" w:lineRule="exact"/>
              <w:ind w:left="9"/>
              <w:rPr>
                <w:sz w:val="16"/>
              </w:rPr>
            </w:pPr>
            <w:r>
              <w:rPr>
                <w:color w:val="231F20"/>
                <w:w w:val="80"/>
                <w:sz w:val="16"/>
              </w:rPr>
              <w:t>1944 – 1945</w:t>
            </w:r>
          </w:p>
        </w:tc>
        <w:tc>
          <w:tcPr>
            <w:tcW w:w="1353" w:type="dxa"/>
          </w:tcPr>
          <w:p>
            <w:pPr/>
          </w:p>
        </w:tc>
      </w:tr>
      <w:tr>
        <w:trPr>
          <w:trHeight w:val="150" w:hRule="exact"/>
        </w:trPr>
        <w:tc>
          <w:tcPr>
            <w:tcW w:w="5091" w:type="dxa"/>
          </w:tcPr>
          <w:p>
            <w:pPr>
              <w:pStyle w:val="TableParagraph"/>
              <w:spacing w:line="173" w:lineRule="exact"/>
              <w:ind w:left="9"/>
              <w:rPr>
                <w:sz w:val="16"/>
              </w:rPr>
            </w:pPr>
            <w:r>
              <w:rPr>
                <w:color w:val="231F20"/>
                <w:w w:val="75"/>
                <w:sz w:val="16"/>
              </w:rPr>
              <w:t>Hilario Valencia</w:t>
            </w:r>
          </w:p>
        </w:tc>
        <w:tc>
          <w:tcPr>
            <w:tcW w:w="1482" w:type="dxa"/>
          </w:tcPr>
          <w:p>
            <w:pPr>
              <w:pStyle w:val="TableParagraph"/>
              <w:spacing w:line="173" w:lineRule="exact"/>
              <w:ind w:left="9"/>
              <w:rPr>
                <w:sz w:val="16"/>
              </w:rPr>
            </w:pPr>
            <w:r>
              <w:rPr>
                <w:color w:val="231F20"/>
                <w:w w:val="80"/>
                <w:sz w:val="16"/>
              </w:rPr>
              <w:t>1946 – 1948</w:t>
            </w:r>
          </w:p>
        </w:tc>
        <w:tc>
          <w:tcPr>
            <w:tcW w:w="1353" w:type="dxa"/>
          </w:tcPr>
          <w:p>
            <w:pPr>
              <w:pStyle w:val="TableParagraph"/>
              <w:spacing w:line="173" w:lineRule="exact"/>
              <w:ind w:left="9"/>
              <w:rPr>
                <w:sz w:val="16"/>
              </w:rPr>
            </w:pPr>
            <w:r>
              <w:rPr>
                <w:color w:val="231F20"/>
                <w:w w:val="85"/>
                <w:sz w:val="16"/>
              </w:rPr>
              <w:t>PRI</w:t>
            </w:r>
          </w:p>
        </w:tc>
      </w:tr>
      <w:tr>
        <w:trPr>
          <w:trHeight w:val="150" w:hRule="exact"/>
        </w:trPr>
        <w:tc>
          <w:tcPr>
            <w:tcW w:w="5091" w:type="dxa"/>
          </w:tcPr>
          <w:p>
            <w:pPr>
              <w:pStyle w:val="TableParagraph"/>
              <w:spacing w:line="173" w:lineRule="exact"/>
              <w:ind w:left="9"/>
              <w:rPr>
                <w:sz w:val="16"/>
              </w:rPr>
            </w:pPr>
            <w:r>
              <w:rPr>
                <w:color w:val="231F20"/>
                <w:w w:val="75"/>
                <w:sz w:val="16"/>
              </w:rPr>
              <w:t>Epigmenio Valverde</w:t>
            </w:r>
          </w:p>
        </w:tc>
        <w:tc>
          <w:tcPr>
            <w:tcW w:w="1482" w:type="dxa"/>
          </w:tcPr>
          <w:p>
            <w:pPr>
              <w:pStyle w:val="TableParagraph"/>
              <w:spacing w:line="173" w:lineRule="exact"/>
              <w:ind w:left="9"/>
              <w:rPr>
                <w:sz w:val="16"/>
              </w:rPr>
            </w:pPr>
            <w:r>
              <w:rPr>
                <w:color w:val="231F20"/>
                <w:w w:val="80"/>
                <w:sz w:val="16"/>
              </w:rPr>
              <w:t>1949 – 1951</w:t>
            </w:r>
          </w:p>
        </w:tc>
        <w:tc>
          <w:tcPr>
            <w:tcW w:w="1353" w:type="dxa"/>
          </w:tcPr>
          <w:p>
            <w:pPr>
              <w:pStyle w:val="TableParagraph"/>
              <w:spacing w:line="173" w:lineRule="exact"/>
              <w:ind w:left="9"/>
              <w:rPr>
                <w:sz w:val="16"/>
              </w:rPr>
            </w:pPr>
            <w:r>
              <w:rPr>
                <w:color w:val="231F20"/>
                <w:w w:val="85"/>
                <w:sz w:val="16"/>
              </w:rPr>
              <w:t>PRI</w:t>
            </w:r>
          </w:p>
        </w:tc>
      </w:tr>
      <w:tr>
        <w:trPr>
          <w:trHeight w:val="150" w:hRule="exact"/>
        </w:trPr>
        <w:tc>
          <w:tcPr>
            <w:tcW w:w="5091" w:type="dxa"/>
          </w:tcPr>
          <w:p>
            <w:pPr>
              <w:pStyle w:val="TableParagraph"/>
              <w:spacing w:line="172" w:lineRule="exact"/>
              <w:ind w:left="9"/>
              <w:rPr>
                <w:sz w:val="16"/>
              </w:rPr>
            </w:pPr>
            <w:r>
              <w:rPr>
                <w:color w:val="231F20"/>
                <w:w w:val="75"/>
                <w:sz w:val="16"/>
              </w:rPr>
              <w:t>Javier Delgado y Tomás Alonso Martínez</w:t>
            </w:r>
          </w:p>
        </w:tc>
        <w:tc>
          <w:tcPr>
            <w:tcW w:w="1482" w:type="dxa"/>
          </w:tcPr>
          <w:p>
            <w:pPr>
              <w:pStyle w:val="TableParagraph"/>
              <w:spacing w:line="172" w:lineRule="exact"/>
              <w:ind w:left="8"/>
              <w:rPr>
                <w:sz w:val="16"/>
              </w:rPr>
            </w:pPr>
            <w:r>
              <w:rPr>
                <w:color w:val="231F20"/>
                <w:w w:val="80"/>
                <w:sz w:val="16"/>
              </w:rPr>
              <w:t>1952 – 1954</w:t>
            </w:r>
          </w:p>
        </w:tc>
        <w:tc>
          <w:tcPr>
            <w:tcW w:w="1353" w:type="dxa"/>
          </w:tcPr>
          <w:p>
            <w:pPr>
              <w:pStyle w:val="TableParagraph"/>
              <w:spacing w:line="172" w:lineRule="exact"/>
              <w:ind w:left="8"/>
              <w:rPr>
                <w:sz w:val="16"/>
              </w:rPr>
            </w:pPr>
            <w:r>
              <w:rPr>
                <w:color w:val="231F20"/>
                <w:w w:val="85"/>
                <w:sz w:val="16"/>
              </w:rPr>
              <w:t>PRI</w:t>
            </w:r>
          </w:p>
        </w:tc>
      </w:tr>
      <w:tr>
        <w:trPr>
          <w:trHeight w:val="150" w:hRule="exact"/>
        </w:trPr>
        <w:tc>
          <w:tcPr>
            <w:tcW w:w="5091" w:type="dxa"/>
          </w:tcPr>
          <w:p>
            <w:pPr>
              <w:pStyle w:val="TableParagraph"/>
              <w:spacing w:line="172" w:lineRule="exact"/>
              <w:ind w:left="8"/>
              <w:rPr>
                <w:sz w:val="16"/>
              </w:rPr>
            </w:pPr>
            <w:r>
              <w:rPr>
                <w:color w:val="231F20"/>
                <w:w w:val="80"/>
                <w:sz w:val="16"/>
              </w:rPr>
              <w:t>Luis Martínez Jiménez</w:t>
            </w:r>
          </w:p>
        </w:tc>
        <w:tc>
          <w:tcPr>
            <w:tcW w:w="1482" w:type="dxa"/>
          </w:tcPr>
          <w:p>
            <w:pPr>
              <w:pStyle w:val="TableParagraph"/>
              <w:spacing w:line="172" w:lineRule="exact"/>
              <w:ind w:left="8"/>
              <w:rPr>
                <w:sz w:val="16"/>
              </w:rPr>
            </w:pPr>
            <w:r>
              <w:rPr>
                <w:color w:val="231F20"/>
                <w:w w:val="80"/>
                <w:sz w:val="16"/>
              </w:rPr>
              <w:t>1955 – 1957</w:t>
            </w:r>
          </w:p>
        </w:tc>
        <w:tc>
          <w:tcPr>
            <w:tcW w:w="1353" w:type="dxa"/>
          </w:tcPr>
          <w:p>
            <w:pPr>
              <w:pStyle w:val="TableParagraph"/>
              <w:spacing w:line="172" w:lineRule="exact"/>
              <w:ind w:left="8"/>
              <w:rPr>
                <w:sz w:val="16"/>
              </w:rPr>
            </w:pPr>
            <w:r>
              <w:rPr>
                <w:color w:val="231F20"/>
                <w:w w:val="85"/>
                <w:sz w:val="16"/>
              </w:rPr>
              <w:t>PRI</w:t>
            </w:r>
          </w:p>
        </w:tc>
      </w:tr>
      <w:tr>
        <w:trPr>
          <w:trHeight w:val="150" w:hRule="exact"/>
        </w:trPr>
        <w:tc>
          <w:tcPr>
            <w:tcW w:w="5091" w:type="dxa"/>
          </w:tcPr>
          <w:p>
            <w:pPr>
              <w:pStyle w:val="TableParagraph"/>
              <w:spacing w:line="172" w:lineRule="exact"/>
              <w:ind w:left="8"/>
              <w:rPr>
                <w:sz w:val="16"/>
              </w:rPr>
            </w:pPr>
            <w:r>
              <w:rPr>
                <w:color w:val="231F20"/>
                <w:w w:val="75"/>
                <w:sz w:val="16"/>
              </w:rPr>
              <w:t>Eliseo Valverde</w:t>
            </w:r>
          </w:p>
        </w:tc>
        <w:tc>
          <w:tcPr>
            <w:tcW w:w="1482" w:type="dxa"/>
          </w:tcPr>
          <w:p>
            <w:pPr>
              <w:pStyle w:val="TableParagraph"/>
              <w:spacing w:line="172" w:lineRule="exact"/>
              <w:ind w:left="8"/>
              <w:rPr>
                <w:sz w:val="16"/>
              </w:rPr>
            </w:pPr>
            <w:r>
              <w:rPr>
                <w:color w:val="231F20"/>
                <w:w w:val="80"/>
                <w:sz w:val="16"/>
              </w:rPr>
              <w:t>1958 – 1960</w:t>
            </w:r>
          </w:p>
        </w:tc>
        <w:tc>
          <w:tcPr>
            <w:tcW w:w="1353" w:type="dxa"/>
          </w:tcPr>
          <w:p>
            <w:pPr>
              <w:pStyle w:val="TableParagraph"/>
              <w:spacing w:line="172" w:lineRule="exact"/>
              <w:ind w:left="8"/>
              <w:rPr>
                <w:sz w:val="16"/>
              </w:rPr>
            </w:pPr>
            <w:r>
              <w:rPr>
                <w:color w:val="231F20"/>
                <w:w w:val="85"/>
                <w:sz w:val="16"/>
              </w:rPr>
              <w:t>PRI</w:t>
            </w:r>
          </w:p>
        </w:tc>
      </w:tr>
      <w:tr>
        <w:trPr>
          <w:trHeight w:val="342" w:hRule="exact"/>
        </w:trPr>
        <w:tc>
          <w:tcPr>
            <w:tcW w:w="5091" w:type="dxa"/>
          </w:tcPr>
          <w:p>
            <w:pPr>
              <w:pStyle w:val="TableParagraph"/>
              <w:spacing w:line="171" w:lineRule="exact"/>
              <w:ind w:left="8"/>
              <w:rPr>
                <w:sz w:val="16"/>
              </w:rPr>
            </w:pPr>
            <w:r>
              <w:rPr>
                <w:color w:val="231F20"/>
                <w:w w:val="75"/>
                <w:sz w:val="16"/>
              </w:rPr>
              <w:t>Salvador Izquierdo Castañeda  y</w:t>
            </w:r>
          </w:p>
          <w:p>
            <w:pPr>
              <w:pStyle w:val="TableParagraph"/>
              <w:spacing w:line="194" w:lineRule="exact"/>
              <w:ind w:left="8"/>
              <w:rPr>
                <w:sz w:val="16"/>
              </w:rPr>
            </w:pPr>
            <w:r>
              <w:rPr>
                <w:color w:val="231F20"/>
                <w:w w:val="75"/>
                <w:sz w:val="16"/>
              </w:rPr>
              <w:t>Rafael Valverde Valentino</w:t>
            </w:r>
          </w:p>
        </w:tc>
        <w:tc>
          <w:tcPr>
            <w:tcW w:w="1482" w:type="dxa"/>
          </w:tcPr>
          <w:p>
            <w:pPr>
              <w:pStyle w:val="TableParagraph"/>
              <w:spacing w:before="73"/>
              <w:ind w:left="8"/>
              <w:rPr>
                <w:sz w:val="16"/>
              </w:rPr>
            </w:pPr>
            <w:r>
              <w:rPr>
                <w:color w:val="231F20"/>
                <w:w w:val="80"/>
                <w:sz w:val="16"/>
              </w:rPr>
              <w:t>1961 – 1963</w:t>
            </w:r>
          </w:p>
        </w:tc>
        <w:tc>
          <w:tcPr>
            <w:tcW w:w="1353" w:type="dxa"/>
          </w:tcPr>
          <w:p>
            <w:pPr>
              <w:pStyle w:val="TableParagraph"/>
              <w:spacing w:before="73"/>
              <w:ind w:left="8"/>
              <w:rPr>
                <w:sz w:val="16"/>
              </w:rPr>
            </w:pPr>
            <w:r>
              <w:rPr>
                <w:color w:val="231F20"/>
                <w:w w:val="85"/>
                <w:sz w:val="16"/>
              </w:rPr>
              <w:t>PRI</w:t>
            </w:r>
          </w:p>
        </w:tc>
      </w:tr>
      <w:tr>
        <w:trPr>
          <w:trHeight w:val="150" w:hRule="exact"/>
        </w:trPr>
        <w:tc>
          <w:tcPr>
            <w:tcW w:w="5091" w:type="dxa"/>
          </w:tcPr>
          <w:p>
            <w:pPr>
              <w:pStyle w:val="TableParagraph"/>
              <w:spacing w:line="172" w:lineRule="exact"/>
              <w:ind w:left="8"/>
              <w:rPr>
                <w:sz w:val="16"/>
              </w:rPr>
            </w:pPr>
            <w:r>
              <w:rPr>
                <w:color w:val="231F20"/>
                <w:w w:val="75"/>
                <w:sz w:val="16"/>
              </w:rPr>
              <w:t>Álvaro Rico Sánchez</w:t>
            </w:r>
          </w:p>
        </w:tc>
        <w:tc>
          <w:tcPr>
            <w:tcW w:w="1482" w:type="dxa"/>
          </w:tcPr>
          <w:p>
            <w:pPr>
              <w:pStyle w:val="TableParagraph"/>
              <w:spacing w:line="172" w:lineRule="exact"/>
              <w:ind w:left="8"/>
              <w:rPr>
                <w:sz w:val="16"/>
              </w:rPr>
            </w:pPr>
            <w:r>
              <w:rPr>
                <w:color w:val="231F20"/>
                <w:w w:val="80"/>
                <w:sz w:val="16"/>
              </w:rPr>
              <w:t>1964 – 1966</w:t>
            </w:r>
          </w:p>
        </w:tc>
        <w:tc>
          <w:tcPr>
            <w:tcW w:w="1353" w:type="dxa"/>
          </w:tcPr>
          <w:p>
            <w:pPr>
              <w:pStyle w:val="TableParagraph"/>
              <w:spacing w:line="172" w:lineRule="exact"/>
              <w:ind w:left="8"/>
              <w:rPr>
                <w:sz w:val="16"/>
              </w:rPr>
            </w:pPr>
            <w:r>
              <w:rPr>
                <w:color w:val="231F20"/>
                <w:w w:val="85"/>
                <w:sz w:val="16"/>
              </w:rPr>
              <w:t>PRI</w:t>
            </w:r>
          </w:p>
        </w:tc>
      </w:tr>
      <w:tr>
        <w:trPr>
          <w:trHeight w:val="150" w:hRule="exact"/>
        </w:trPr>
        <w:tc>
          <w:tcPr>
            <w:tcW w:w="5091" w:type="dxa"/>
          </w:tcPr>
          <w:p>
            <w:pPr>
              <w:pStyle w:val="TableParagraph"/>
              <w:spacing w:line="172" w:lineRule="exact"/>
              <w:ind w:left="8"/>
              <w:rPr>
                <w:sz w:val="16"/>
              </w:rPr>
            </w:pPr>
            <w:r>
              <w:rPr>
                <w:color w:val="231F20"/>
                <w:w w:val="75"/>
                <w:sz w:val="16"/>
              </w:rPr>
              <w:t>Crescencio Neyra y Jorge Martínez Olivares</w:t>
            </w:r>
          </w:p>
        </w:tc>
        <w:tc>
          <w:tcPr>
            <w:tcW w:w="1482" w:type="dxa"/>
          </w:tcPr>
          <w:p>
            <w:pPr>
              <w:pStyle w:val="TableParagraph"/>
              <w:spacing w:line="172" w:lineRule="exact"/>
              <w:ind w:left="8"/>
              <w:rPr>
                <w:sz w:val="16"/>
              </w:rPr>
            </w:pPr>
            <w:r>
              <w:rPr>
                <w:color w:val="231F20"/>
                <w:w w:val="80"/>
                <w:sz w:val="16"/>
              </w:rPr>
              <w:t>1967 – 1969</w:t>
            </w:r>
          </w:p>
        </w:tc>
        <w:tc>
          <w:tcPr>
            <w:tcW w:w="1353" w:type="dxa"/>
          </w:tcPr>
          <w:p>
            <w:pPr>
              <w:pStyle w:val="TableParagraph"/>
              <w:spacing w:line="172" w:lineRule="exact"/>
              <w:ind w:left="8"/>
              <w:rPr>
                <w:sz w:val="16"/>
              </w:rPr>
            </w:pPr>
            <w:r>
              <w:rPr>
                <w:color w:val="231F20"/>
                <w:w w:val="85"/>
                <w:sz w:val="16"/>
              </w:rPr>
              <w:t>PRI</w:t>
            </w:r>
          </w:p>
        </w:tc>
      </w:tr>
      <w:tr>
        <w:trPr>
          <w:trHeight w:val="150" w:hRule="exact"/>
        </w:trPr>
        <w:tc>
          <w:tcPr>
            <w:tcW w:w="5091" w:type="dxa"/>
          </w:tcPr>
          <w:p>
            <w:pPr>
              <w:pStyle w:val="TableParagraph"/>
              <w:spacing w:line="172" w:lineRule="exact"/>
              <w:ind w:left="8"/>
              <w:rPr>
                <w:sz w:val="16"/>
              </w:rPr>
            </w:pPr>
            <w:r>
              <w:rPr>
                <w:color w:val="231F20"/>
                <w:w w:val="75"/>
                <w:sz w:val="16"/>
              </w:rPr>
              <w:t>Pedro González Reynoso</w:t>
            </w:r>
          </w:p>
        </w:tc>
        <w:tc>
          <w:tcPr>
            <w:tcW w:w="1482" w:type="dxa"/>
          </w:tcPr>
          <w:p>
            <w:pPr>
              <w:pStyle w:val="TableParagraph"/>
              <w:spacing w:line="172" w:lineRule="exact"/>
              <w:ind w:left="8"/>
              <w:rPr>
                <w:sz w:val="16"/>
              </w:rPr>
            </w:pPr>
            <w:r>
              <w:rPr>
                <w:color w:val="231F20"/>
                <w:w w:val="80"/>
                <w:sz w:val="16"/>
              </w:rPr>
              <w:t>1970 – 1975</w:t>
            </w:r>
          </w:p>
        </w:tc>
        <w:tc>
          <w:tcPr>
            <w:tcW w:w="1353" w:type="dxa"/>
          </w:tcPr>
          <w:p>
            <w:pPr>
              <w:pStyle w:val="TableParagraph"/>
              <w:spacing w:line="172" w:lineRule="exact"/>
              <w:ind w:left="7"/>
              <w:rPr>
                <w:sz w:val="16"/>
              </w:rPr>
            </w:pPr>
            <w:r>
              <w:rPr>
                <w:color w:val="231F20"/>
                <w:w w:val="85"/>
                <w:sz w:val="16"/>
              </w:rPr>
              <w:t>PRI</w:t>
            </w:r>
          </w:p>
        </w:tc>
      </w:tr>
      <w:tr>
        <w:trPr>
          <w:trHeight w:val="150" w:hRule="exact"/>
        </w:trPr>
        <w:tc>
          <w:tcPr>
            <w:tcW w:w="5091" w:type="dxa"/>
          </w:tcPr>
          <w:p>
            <w:pPr>
              <w:pStyle w:val="TableParagraph"/>
              <w:spacing w:line="172" w:lineRule="exact"/>
              <w:ind w:left="7"/>
              <w:rPr>
                <w:sz w:val="16"/>
              </w:rPr>
            </w:pPr>
            <w:r>
              <w:rPr>
                <w:color w:val="231F20"/>
                <w:w w:val="75"/>
                <w:sz w:val="16"/>
              </w:rPr>
              <w:t>Eduardo Avendaño Díaz</w:t>
            </w:r>
          </w:p>
        </w:tc>
        <w:tc>
          <w:tcPr>
            <w:tcW w:w="1482" w:type="dxa"/>
          </w:tcPr>
          <w:p>
            <w:pPr>
              <w:pStyle w:val="TableParagraph"/>
              <w:spacing w:line="172" w:lineRule="exact"/>
              <w:ind w:left="7"/>
              <w:rPr>
                <w:sz w:val="16"/>
              </w:rPr>
            </w:pPr>
            <w:r>
              <w:rPr>
                <w:color w:val="231F20"/>
                <w:w w:val="80"/>
                <w:sz w:val="16"/>
              </w:rPr>
              <w:t>1975 – 1981</w:t>
            </w:r>
          </w:p>
        </w:tc>
        <w:tc>
          <w:tcPr>
            <w:tcW w:w="1353" w:type="dxa"/>
          </w:tcPr>
          <w:p>
            <w:pPr>
              <w:pStyle w:val="TableParagraph"/>
              <w:spacing w:line="172" w:lineRule="exact"/>
              <w:ind w:left="7"/>
              <w:rPr>
                <w:sz w:val="16"/>
              </w:rPr>
            </w:pPr>
            <w:r>
              <w:rPr>
                <w:color w:val="231F20"/>
                <w:w w:val="85"/>
                <w:sz w:val="16"/>
              </w:rPr>
              <w:t>PRI</w:t>
            </w:r>
          </w:p>
        </w:tc>
      </w:tr>
      <w:tr>
        <w:trPr>
          <w:trHeight w:val="150" w:hRule="exact"/>
        </w:trPr>
        <w:tc>
          <w:tcPr>
            <w:tcW w:w="5091" w:type="dxa"/>
          </w:tcPr>
          <w:p>
            <w:pPr>
              <w:pStyle w:val="TableParagraph"/>
              <w:spacing w:line="172" w:lineRule="exact"/>
              <w:ind w:left="7"/>
              <w:rPr>
                <w:sz w:val="16"/>
              </w:rPr>
            </w:pPr>
            <w:r>
              <w:rPr>
                <w:color w:val="231F20"/>
                <w:w w:val="75"/>
                <w:sz w:val="16"/>
              </w:rPr>
              <w:t>Eladio Javier Martínez Galicia</w:t>
            </w:r>
          </w:p>
        </w:tc>
        <w:tc>
          <w:tcPr>
            <w:tcW w:w="1482" w:type="dxa"/>
          </w:tcPr>
          <w:p>
            <w:pPr>
              <w:pStyle w:val="TableParagraph"/>
              <w:spacing w:line="172" w:lineRule="exact"/>
              <w:ind w:left="7"/>
              <w:rPr>
                <w:sz w:val="16"/>
              </w:rPr>
            </w:pPr>
            <w:r>
              <w:rPr>
                <w:color w:val="231F20"/>
                <w:w w:val="80"/>
                <w:sz w:val="16"/>
              </w:rPr>
              <w:t>1982 – 1984</w:t>
            </w:r>
          </w:p>
        </w:tc>
        <w:tc>
          <w:tcPr>
            <w:tcW w:w="1353" w:type="dxa"/>
          </w:tcPr>
          <w:p>
            <w:pPr>
              <w:pStyle w:val="TableParagraph"/>
              <w:spacing w:line="172" w:lineRule="exact"/>
              <w:ind w:left="7"/>
              <w:rPr>
                <w:sz w:val="16"/>
              </w:rPr>
            </w:pPr>
            <w:r>
              <w:rPr>
                <w:color w:val="231F20"/>
                <w:w w:val="85"/>
                <w:sz w:val="16"/>
              </w:rPr>
              <w:t>PRI</w:t>
            </w:r>
          </w:p>
        </w:tc>
      </w:tr>
      <w:tr>
        <w:trPr>
          <w:trHeight w:val="150" w:hRule="exact"/>
        </w:trPr>
        <w:tc>
          <w:tcPr>
            <w:tcW w:w="5091" w:type="dxa"/>
          </w:tcPr>
          <w:p>
            <w:pPr>
              <w:pStyle w:val="TableParagraph"/>
              <w:spacing w:line="172" w:lineRule="exact"/>
              <w:ind w:left="7"/>
              <w:rPr>
                <w:sz w:val="16"/>
              </w:rPr>
            </w:pPr>
            <w:r>
              <w:rPr>
                <w:color w:val="231F20"/>
                <w:w w:val="75"/>
                <w:sz w:val="16"/>
              </w:rPr>
              <w:t>José Corona González</w:t>
            </w:r>
          </w:p>
        </w:tc>
        <w:tc>
          <w:tcPr>
            <w:tcW w:w="1482" w:type="dxa"/>
          </w:tcPr>
          <w:p>
            <w:pPr>
              <w:pStyle w:val="TableParagraph"/>
              <w:spacing w:line="172" w:lineRule="exact"/>
              <w:ind w:left="7"/>
              <w:rPr>
                <w:sz w:val="16"/>
              </w:rPr>
            </w:pPr>
            <w:r>
              <w:rPr>
                <w:color w:val="231F20"/>
                <w:w w:val="80"/>
                <w:sz w:val="16"/>
              </w:rPr>
              <w:t>1985 – 1987</w:t>
            </w:r>
          </w:p>
        </w:tc>
        <w:tc>
          <w:tcPr>
            <w:tcW w:w="1353" w:type="dxa"/>
          </w:tcPr>
          <w:p>
            <w:pPr>
              <w:pStyle w:val="TableParagraph"/>
              <w:spacing w:line="172" w:lineRule="exact"/>
              <w:ind w:left="7"/>
              <w:rPr>
                <w:sz w:val="16"/>
              </w:rPr>
            </w:pPr>
            <w:r>
              <w:rPr>
                <w:color w:val="231F20"/>
                <w:w w:val="85"/>
                <w:sz w:val="16"/>
              </w:rPr>
              <w:t>PRI</w:t>
            </w:r>
          </w:p>
        </w:tc>
      </w:tr>
      <w:tr>
        <w:trPr>
          <w:trHeight w:val="150" w:hRule="exact"/>
        </w:trPr>
        <w:tc>
          <w:tcPr>
            <w:tcW w:w="5091" w:type="dxa"/>
          </w:tcPr>
          <w:p>
            <w:pPr>
              <w:pStyle w:val="TableParagraph"/>
              <w:spacing w:line="172" w:lineRule="exact"/>
              <w:ind w:left="7"/>
              <w:rPr>
                <w:sz w:val="16"/>
              </w:rPr>
            </w:pPr>
            <w:r>
              <w:rPr>
                <w:color w:val="231F20"/>
                <w:w w:val="75"/>
                <w:sz w:val="16"/>
              </w:rPr>
              <w:t>Martín Carlos Pabello  Jiménez</w:t>
            </w:r>
          </w:p>
        </w:tc>
        <w:tc>
          <w:tcPr>
            <w:tcW w:w="1482" w:type="dxa"/>
          </w:tcPr>
          <w:p>
            <w:pPr>
              <w:pStyle w:val="TableParagraph"/>
              <w:spacing w:line="172" w:lineRule="exact"/>
              <w:ind w:left="7"/>
              <w:rPr>
                <w:sz w:val="16"/>
              </w:rPr>
            </w:pPr>
            <w:r>
              <w:rPr>
                <w:color w:val="231F20"/>
                <w:w w:val="80"/>
                <w:sz w:val="16"/>
              </w:rPr>
              <w:t>1988 – 1990</w:t>
            </w:r>
          </w:p>
        </w:tc>
        <w:tc>
          <w:tcPr>
            <w:tcW w:w="1353" w:type="dxa"/>
          </w:tcPr>
          <w:p>
            <w:pPr>
              <w:pStyle w:val="TableParagraph"/>
              <w:spacing w:line="172" w:lineRule="exact"/>
              <w:ind w:left="7"/>
              <w:rPr>
                <w:sz w:val="16"/>
              </w:rPr>
            </w:pPr>
            <w:r>
              <w:rPr>
                <w:color w:val="231F20"/>
                <w:w w:val="85"/>
                <w:sz w:val="16"/>
              </w:rPr>
              <w:t>PRI</w:t>
            </w:r>
          </w:p>
        </w:tc>
      </w:tr>
      <w:tr>
        <w:trPr>
          <w:trHeight w:val="150" w:hRule="exact"/>
        </w:trPr>
        <w:tc>
          <w:tcPr>
            <w:tcW w:w="5091" w:type="dxa"/>
          </w:tcPr>
          <w:p>
            <w:pPr>
              <w:pStyle w:val="TableParagraph"/>
              <w:spacing w:line="172" w:lineRule="exact"/>
              <w:ind w:left="7"/>
              <w:rPr>
                <w:sz w:val="16"/>
              </w:rPr>
            </w:pPr>
            <w:r>
              <w:rPr>
                <w:color w:val="231F20"/>
                <w:w w:val="80"/>
                <w:sz w:val="16"/>
              </w:rPr>
              <w:t>Susano González Castro y Guillermo Villa Calleja</w:t>
            </w:r>
          </w:p>
        </w:tc>
        <w:tc>
          <w:tcPr>
            <w:tcW w:w="1482" w:type="dxa"/>
          </w:tcPr>
          <w:p>
            <w:pPr>
              <w:pStyle w:val="TableParagraph"/>
              <w:spacing w:line="172" w:lineRule="exact"/>
              <w:ind w:left="7"/>
              <w:rPr>
                <w:sz w:val="16"/>
              </w:rPr>
            </w:pPr>
            <w:r>
              <w:rPr>
                <w:color w:val="231F20"/>
                <w:w w:val="80"/>
                <w:sz w:val="16"/>
              </w:rPr>
              <w:t>1991 – 1993</w:t>
            </w:r>
          </w:p>
        </w:tc>
        <w:tc>
          <w:tcPr>
            <w:tcW w:w="1353" w:type="dxa"/>
          </w:tcPr>
          <w:p>
            <w:pPr>
              <w:pStyle w:val="TableParagraph"/>
              <w:spacing w:line="172" w:lineRule="exact"/>
              <w:ind w:left="7"/>
              <w:rPr>
                <w:sz w:val="16"/>
              </w:rPr>
            </w:pPr>
            <w:r>
              <w:rPr>
                <w:color w:val="231F20"/>
                <w:w w:val="85"/>
                <w:sz w:val="16"/>
              </w:rPr>
              <w:t>PRI</w:t>
            </w:r>
          </w:p>
        </w:tc>
      </w:tr>
      <w:tr>
        <w:trPr>
          <w:trHeight w:val="150" w:hRule="exact"/>
        </w:trPr>
        <w:tc>
          <w:tcPr>
            <w:tcW w:w="5091" w:type="dxa"/>
          </w:tcPr>
          <w:p>
            <w:pPr>
              <w:pStyle w:val="TableParagraph"/>
              <w:spacing w:line="172" w:lineRule="exact"/>
              <w:ind w:left="7"/>
              <w:rPr>
                <w:sz w:val="16"/>
              </w:rPr>
            </w:pPr>
            <w:r>
              <w:rPr>
                <w:color w:val="231F20"/>
                <w:w w:val="75"/>
                <w:sz w:val="16"/>
              </w:rPr>
              <w:t>Enrique Suárez Pacheco</w:t>
            </w:r>
          </w:p>
        </w:tc>
        <w:tc>
          <w:tcPr>
            <w:tcW w:w="1482" w:type="dxa"/>
          </w:tcPr>
          <w:p>
            <w:pPr>
              <w:pStyle w:val="TableParagraph"/>
              <w:spacing w:line="172" w:lineRule="exact"/>
              <w:ind w:left="7"/>
              <w:rPr>
                <w:sz w:val="16"/>
              </w:rPr>
            </w:pPr>
            <w:r>
              <w:rPr>
                <w:color w:val="231F20"/>
                <w:w w:val="80"/>
                <w:sz w:val="16"/>
              </w:rPr>
              <w:t>1994 – 1996</w:t>
            </w:r>
          </w:p>
        </w:tc>
        <w:tc>
          <w:tcPr>
            <w:tcW w:w="1353" w:type="dxa"/>
          </w:tcPr>
          <w:p>
            <w:pPr>
              <w:pStyle w:val="TableParagraph"/>
              <w:spacing w:line="172" w:lineRule="exact"/>
              <w:ind w:left="6"/>
              <w:rPr>
                <w:sz w:val="16"/>
              </w:rPr>
            </w:pPr>
            <w:r>
              <w:rPr>
                <w:color w:val="231F20"/>
                <w:w w:val="85"/>
                <w:sz w:val="16"/>
              </w:rPr>
              <w:t>PRI</w:t>
            </w:r>
          </w:p>
        </w:tc>
      </w:tr>
      <w:tr>
        <w:trPr>
          <w:trHeight w:val="150" w:hRule="exact"/>
        </w:trPr>
        <w:tc>
          <w:tcPr>
            <w:tcW w:w="5091" w:type="dxa"/>
          </w:tcPr>
          <w:p>
            <w:pPr>
              <w:pStyle w:val="TableParagraph"/>
              <w:spacing w:line="172" w:lineRule="exact"/>
              <w:ind w:left="6"/>
              <w:rPr>
                <w:sz w:val="16"/>
              </w:rPr>
            </w:pPr>
            <w:r>
              <w:rPr>
                <w:color w:val="231F20"/>
                <w:w w:val="75"/>
                <w:sz w:val="16"/>
              </w:rPr>
              <w:t>Carlos Cornejo Torres</w:t>
            </w:r>
          </w:p>
        </w:tc>
        <w:tc>
          <w:tcPr>
            <w:tcW w:w="1482" w:type="dxa"/>
          </w:tcPr>
          <w:p>
            <w:pPr>
              <w:pStyle w:val="TableParagraph"/>
              <w:spacing w:line="172" w:lineRule="exact"/>
              <w:ind w:left="6"/>
              <w:rPr>
                <w:sz w:val="16"/>
              </w:rPr>
            </w:pPr>
            <w:r>
              <w:rPr>
                <w:color w:val="231F20"/>
                <w:w w:val="80"/>
                <w:sz w:val="16"/>
              </w:rPr>
              <w:t>1997 – 2000</w:t>
            </w:r>
          </w:p>
        </w:tc>
        <w:tc>
          <w:tcPr>
            <w:tcW w:w="1353" w:type="dxa"/>
          </w:tcPr>
          <w:p>
            <w:pPr>
              <w:pStyle w:val="TableParagraph"/>
              <w:spacing w:line="172" w:lineRule="exact"/>
              <w:ind w:left="6"/>
              <w:rPr>
                <w:sz w:val="16"/>
              </w:rPr>
            </w:pPr>
            <w:r>
              <w:rPr>
                <w:color w:val="231F20"/>
                <w:w w:val="85"/>
                <w:sz w:val="16"/>
              </w:rPr>
              <w:t>PRI</w:t>
            </w:r>
          </w:p>
        </w:tc>
      </w:tr>
      <w:tr>
        <w:trPr>
          <w:trHeight w:val="150" w:hRule="exact"/>
        </w:trPr>
        <w:tc>
          <w:tcPr>
            <w:tcW w:w="5091" w:type="dxa"/>
          </w:tcPr>
          <w:p>
            <w:pPr>
              <w:pStyle w:val="TableParagraph"/>
              <w:spacing w:line="172" w:lineRule="exact"/>
              <w:ind w:left="6"/>
              <w:rPr>
                <w:b/>
                <w:sz w:val="16"/>
              </w:rPr>
            </w:pPr>
            <w:r>
              <w:rPr>
                <w:color w:val="231F20"/>
                <w:w w:val="80"/>
                <w:sz w:val="16"/>
              </w:rPr>
              <w:t>Jesús Tolentino Román Bojórquez </w:t>
            </w:r>
            <w:r>
              <w:rPr>
                <w:b/>
                <w:color w:val="231F20"/>
                <w:w w:val="80"/>
                <w:sz w:val="16"/>
              </w:rPr>
              <w:t>*</w:t>
            </w:r>
          </w:p>
        </w:tc>
        <w:tc>
          <w:tcPr>
            <w:tcW w:w="1482" w:type="dxa"/>
          </w:tcPr>
          <w:p>
            <w:pPr>
              <w:pStyle w:val="TableParagraph"/>
              <w:spacing w:line="172" w:lineRule="exact"/>
              <w:ind w:left="6"/>
              <w:rPr>
                <w:sz w:val="16"/>
              </w:rPr>
            </w:pPr>
            <w:r>
              <w:rPr>
                <w:color w:val="231F20"/>
                <w:w w:val="80"/>
                <w:sz w:val="16"/>
              </w:rPr>
              <w:t>2000 - 2003</w:t>
            </w:r>
          </w:p>
        </w:tc>
        <w:tc>
          <w:tcPr>
            <w:tcW w:w="1353" w:type="dxa"/>
          </w:tcPr>
          <w:p>
            <w:pPr>
              <w:pStyle w:val="TableParagraph"/>
              <w:spacing w:line="172" w:lineRule="exact"/>
              <w:ind w:left="6"/>
              <w:rPr>
                <w:sz w:val="16"/>
              </w:rPr>
            </w:pPr>
            <w:r>
              <w:rPr>
                <w:color w:val="231F20"/>
                <w:w w:val="85"/>
                <w:sz w:val="16"/>
              </w:rPr>
              <w:t>PRI</w:t>
            </w:r>
          </w:p>
        </w:tc>
      </w:tr>
      <w:tr>
        <w:trPr>
          <w:trHeight w:val="150" w:hRule="exact"/>
        </w:trPr>
        <w:tc>
          <w:tcPr>
            <w:tcW w:w="5091" w:type="dxa"/>
          </w:tcPr>
          <w:p>
            <w:pPr>
              <w:pStyle w:val="TableParagraph"/>
              <w:spacing w:line="171" w:lineRule="exact"/>
              <w:ind w:left="6"/>
              <w:rPr>
                <w:sz w:val="16"/>
              </w:rPr>
            </w:pPr>
            <w:r>
              <w:rPr>
                <w:color w:val="231F20"/>
                <w:w w:val="75"/>
                <w:sz w:val="16"/>
              </w:rPr>
              <w:t>Miguel Ángel Cacique Pérez</w:t>
            </w:r>
          </w:p>
        </w:tc>
        <w:tc>
          <w:tcPr>
            <w:tcW w:w="1482" w:type="dxa"/>
          </w:tcPr>
          <w:p>
            <w:pPr>
              <w:pStyle w:val="TableParagraph"/>
              <w:spacing w:line="171" w:lineRule="exact"/>
              <w:ind w:left="6"/>
              <w:rPr>
                <w:sz w:val="16"/>
              </w:rPr>
            </w:pPr>
            <w:r>
              <w:rPr>
                <w:color w:val="231F20"/>
                <w:w w:val="80"/>
                <w:sz w:val="16"/>
              </w:rPr>
              <w:t>2003 - 2006</w:t>
            </w:r>
          </w:p>
        </w:tc>
        <w:tc>
          <w:tcPr>
            <w:tcW w:w="1353" w:type="dxa"/>
          </w:tcPr>
          <w:p>
            <w:pPr>
              <w:pStyle w:val="TableParagraph"/>
              <w:spacing w:line="171" w:lineRule="exact"/>
              <w:ind w:left="6"/>
              <w:rPr>
                <w:sz w:val="16"/>
              </w:rPr>
            </w:pPr>
            <w:r>
              <w:rPr>
                <w:color w:val="231F20"/>
                <w:w w:val="85"/>
                <w:sz w:val="16"/>
              </w:rPr>
              <w:t>APT</w:t>
            </w:r>
          </w:p>
        </w:tc>
      </w:tr>
      <w:tr>
        <w:trPr>
          <w:trHeight w:val="150" w:hRule="exact"/>
        </w:trPr>
        <w:tc>
          <w:tcPr>
            <w:tcW w:w="5091" w:type="dxa"/>
          </w:tcPr>
          <w:p>
            <w:pPr>
              <w:pStyle w:val="TableParagraph"/>
              <w:spacing w:line="171" w:lineRule="exact"/>
              <w:ind w:left="6"/>
              <w:rPr>
                <w:sz w:val="16"/>
              </w:rPr>
            </w:pPr>
            <w:r>
              <w:rPr>
                <w:color w:val="231F20"/>
                <w:w w:val="75"/>
                <w:sz w:val="16"/>
              </w:rPr>
              <w:t>Marco Antonio Lázaro Cano</w:t>
            </w:r>
          </w:p>
        </w:tc>
        <w:tc>
          <w:tcPr>
            <w:tcW w:w="1482" w:type="dxa"/>
          </w:tcPr>
          <w:p>
            <w:pPr>
              <w:pStyle w:val="TableParagraph"/>
              <w:spacing w:line="171" w:lineRule="exact"/>
              <w:ind w:left="6"/>
              <w:rPr>
                <w:sz w:val="16"/>
              </w:rPr>
            </w:pPr>
            <w:r>
              <w:rPr>
                <w:color w:val="231F20"/>
                <w:w w:val="80"/>
                <w:sz w:val="16"/>
              </w:rPr>
              <w:t>2006 - 2009</w:t>
            </w:r>
          </w:p>
        </w:tc>
        <w:tc>
          <w:tcPr>
            <w:tcW w:w="1353" w:type="dxa"/>
          </w:tcPr>
          <w:p>
            <w:pPr>
              <w:pStyle w:val="TableParagraph"/>
              <w:spacing w:line="171" w:lineRule="exact"/>
              <w:ind w:left="6"/>
              <w:rPr>
                <w:sz w:val="16"/>
              </w:rPr>
            </w:pPr>
            <w:r>
              <w:rPr>
                <w:color w:val="231F20"/>
                <w:w w:val="85"/>
                <w:sz w:val="16"/>
              </w:rPr>
              <w:t>APM</w:t>
            </w:r>
          </w:p>
        </w:tc>
      </w:tr>
    </w:tbl>
    <w:p>
      <w:pPr>
        <w:pStyle w:val="BodyText"/>
        <w:spacing w:before="10"/>
        <w:rPr>
          <w:b/>
          <w:sz w:val="20"/>
        </w:rPr>
      </w:pPr>
    </w:p>
    <w:p>
      <w:pPr>
        <w:spacing w:before="74"/>
        <w:ind w:left="3922" w:right="102" w:firstLine="0"/>
        <w:jc w:val="center"/>
        <w:rPr>
          <w:rFonts w:ascii="Calibri"/>
          <w:sz w:val="16"/>
        </w:rPr>
      </w:pPr>
      <w:r>
        <w:rPr>
          <w:rFonts w:ascii="Calibri"/>
          <w:color w:val="231F20"/>
          <w:w w:val="95"/>
          <w:sz w:val="16"/>
        </w:rPr>
        <w:t>Fuente     </w:t>
      </w:r>
      <w:hyperlink r:id="rId587">
        <w:r>
          <w:rPr>
            <w:rFonts w:ascii="Calibri"/>
            <w:color w:val="231F20"/>
            <w:w w:val="95"/>
            <w:sz w:val="16"/>
          </w:rPr>
          <w:t>http://www.e-local.gob.mx/wb2/ELOCAL/EMM_mexico</w:t>
        </w:r>
      </w:hyperlink>
    </w:p>
    <w:p>
      <w:pPr>
        <w:spacing w:before="104"/>
        <w:ind w:left="3689" w:right="60" w:firstLine="0"/>
        <w:jc w:val="center"/>
        <w:rPr>
          <w:rFonts w:ascii="Calibri" w:hAnsi="Calibri"/>
          <w:sz w:val="16"/>
        </w:rPr>
      </w:pPr>
      <w:r>
        <w:rPr>
          <w:rFonts w:ascii="Calibri" w:hAnsi="Calibri"/>
          <w:color w:val="231F20"/>
          <w:sz w:val="16"/>
        </w:rPr>
        <w:t>* En la página aparece Gabriel de la Cruz Soriano, dato equivocado.</w:t>
      </w:r>
    </w:p>
    <w:p>
      <w:pPr>
        <w:pStyle w:val="BodyText"/>
        <w:rPr>
          <w:rFonts w:ascii="Calibri"/>
          <w:sz w:val="16"/>
        </w:rPr>
      </w:pPr>
    </w:p>
    <w:p>
      <w:pPr>
        <w:pStyle w:val="BodyText"/>
        <w:spacing w:before="11"/>
        <w:rPr>
          <w:rFonts w:ascii="Calibri"/>
          <w:sz w:val="12"/>
        </w:rPr>
      </w:pPr>
    </w:p>
    <w:p>
      <w:pPr>
        <w:pStyle w:val="BodyText"/>
        <w:spacing w:line="285" w:lineRule="auto"/>
        <w:ind w:left="110" w:right="108"/>
        <w:jc w:val="both"/>
      </w:pPr>
      <w:r>
        <w:rPr>
          <w:color w:val="231F20"/>
          <w:w w:val="105"/>
        </w:rPr>
        <w:t>Luego</w:t>
      </w:r>
      <w:r>
        <w:rPr>
          <w:color w:val="231F20"/>
          <w:spacing w:val="-8"/>
          <w:w w:val="105"/>
        </w:rPr>
        <w:t> </w:t>
      </w:r>
      <w:r>
        <w:rPr>
          <w:color w:val="231F20"/>
          <w:w w:val="105"/>
        </w:rPr>
        <w:t>entonces,</w:t>
      </w:r>
      <w:r>
        <w:rPr>
          <w:color w:val="231F20"/>
          <w:spacing w:val="-8"/>
          <w:w w:val="105"/>
        </w:rPr>
        <w:t> </w:t>
      </w:r>
      <w:r>
        <w:rPr>
          <w:color w:val="231F20"/>
          <w:w w:val="105"/>
        </w:rPr>
        <w:t>la</w:t>
      </w:r>
      <w:r>
        <w:rPr>
          <w:color w:val="231F20"/>
          <w:spacing w:val="-8"/>
          <w:w w:val="105"/>
        </w:rPr>
        <w:t> </w:t>
      </w:r>
      <w:r>
        <w:rPr>
          <w:color w:val="231F20"/>
          <w:w w:val="105"/>
        </w:rPr>
        <w:t>idea</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municipio</w:t>
      </w:r>
      <w:r>
        <w:rPr>
          <w:color w:val="231F20"/>
          <w:spacing w:val="-8"/>
          <w:w w:val="105"/>
        </w:rPr>
        <w:t> </w:t>
      </w:r>
      <w:r>
        <w:rPr>
          <w:color w:val="231F20"/>
          <w:w w:val="105"/>
        </w:rPr>
        <w:t>la</w:t>
      </w:r>
      <w:r>
        <w:rPr>
          <w:color w:val="231F20"/>
          <w:spacing w:val="-8"/>
          <w:w w:val="105"/>
        </w:rPr>
        <w:t> </w:t>
      </w:r>
      <w:r>
        <w:rPr>
          <w:color w:val="231F20"/>
          <w:w w:val="105"/>
        </w:rPr>
        <w:t>gobernabilidad</w:t>
      </w:r>
      <w:r>
        <w:rPr>
          <w:color w:val="231F20"/>
          <w:spacing w:val="-8"/>
          <w:w w:val="105"/>
        </w:rPr>
        <w:t> </w:t>
      </w:r>
      <w:r>
        <w:rPr>
          <w:color w:val="231F20"/>
          <w:w w:val="105"/>
        </w:rPr>
        <w:t>se</w:t>
      </w:r>
      <w:r>
        <w:rPr>
          <w:color w:val="231F20"/>
          <w:spacing w:val="-8"/>
          <w:w w:val="105"/>
        </w:rPr>
        <w:t> </w:t>
      </w:r>
      <w:r>
        <w:rPr>
          <w:color w:val="231F20"/>
          <w:w w:val="105"/>
        </w:rPr>
        <w:t>encamina</w:t>
      </w:r>
      <w:r>
        <w:rPr>
          <w:color w:val="231F20"/>
          <w:spacing w:val="-8"/>
          <w:w w:val="105"/>
        </w:rPr>
        <w:t> </w:t>
      </w:r>
      <w:r>
        <w:rPr>
          <w:color w:val="231F20"/>
          <w:w w:val="105"/>
        </w:rPr>
        <w:t>por</w:t>
      </w:r>
      <w:r>
        <w:rPr>
          <w:color w:val="231F20"/>
          <w:spacing w:val="-8"/>
          <w:w w:val="105"/>
        </w:rPr>
        <w:t> </w:t>
      </w:r>
      <w:r>
        <w:rPr>
          <w:color w:val="231F20"/>
          <w:w w:val="105"/>
        </w:rPr>
        <w:t>sen- deros ideales del cumplimiento de las funciones del poder político para con sus go- bernados es una ficción. La realidad es que las condiciones políticas mencionadas son resultado</w:t>
      </w:r>
      <w:r>
        <w:rPr>
          <w:color w:val="231F20"/>
          <w:spacing w:val="-19"/>
          <w:w w:val="105"/>
        </w:rPr>
        <w:t> </w:t>
      </w:r>
      <w:r>
        <w:rPr>
          <w:color w:val="231F20"/>
          <w:w w:val="105"/>
        </w:rPr>
        <w:t>de</w:t>
      </w:r>
      <w:r>
        <w:rPr>
          <w:color w:val="231F20"/>
          <w:spacing w:val="-19"/>
          <w:w w:val="105"/>
        </w:rPr>
        <w:t> </w:t>
      </w:r>
      <w:r>
        <w:rPr>
          <w:color w:val="231F20"/>
          <w:w w:val="105"/>
        </w:rPr>
        <w:t>contextos</w:t>
      </w:r>
      <w:r>
        <w:rPr>
          <w:color w:val="231F20"/>
          <w:spacing w:val="-19"/>
          <w:w w:val="105"/>
        </w:rPr>
        <w:t> </w:t>
      </w:r>
      <w:r>
        <w:rPr>
          <w:color w:val="231F20"/>
          <w:w w:val="105"/>
        </w:rPr>
        <w:t>sociales</w:t>
      </w:r>
      <w:r>
        <w:rPr>
          <w:color w:val="231F20"/>
          <w:spacing w:val="-19"/>
          <w:w w:val="105"/>
        </w:rPr>
        <w:t> </w:t>
      </w:r>
      <w:r>
        <w:rPr>
          <w:color w:val="231F20"/>
          <w:w w:val="105"/>
        </w:rPr>
        <w:t>más</w:t>
      </w:r>
      <w:r>
        <w:rPr>
          <w:color w:val="231F20"/>
          <w:spacing w:val="-19"/>
          <w:w w:val="105"/>
        </w:rPr>
        <w:t> </w:t>
      </w:r>
      <w:r>
        <w:rPr>
          <w:color w:val="231F20"/>
          <w:w w:val="105"/>
        </w:rPr>
        <w:t>complicados.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El</w:t>
      </w:r>
      <w:r>
        <w:rPr>
          <w:color w:val="231F20"/>
          <w:spacing w:val="-22"/>
          <w:w w:val="105"/>
        </w:rPr>
        <w:t> </w:t>
      </w:r>
      <w:r>
        <w:rPr>
          <w:color w:val="231F20"/>
          <w:w w:val="105"/>
        </w:rPr>
        <w:t>lago</w:t>
      </w:r>
      <w:r>
        <w:rPr>
          <w:color w:val="231F20"/>
          <w:spacing w:val="-22"/>
          <w:w w:val="105"/>
        </w:rPr>
        <w:t> </w:t>
      </w:r>
      <w:r>
        <w:rPr>
          <w:color w:val="231F20"/>
          <w:w w:val="105"/>
        </w:rPr>
        <w:t>de</w:t>
      </w:r>
      <w:r>
        <w:rPr>
          <w:color w:val="231F20"/>
          <w:spacing w:val="-22"/>
          <w:w w:val="105"/>
        </w:rPr>
        <w:t> </w:t>
      </w:r>
      <w:r>
        <w:rPr>
          <w:color w:val="231F20"/>
          <w:spacing w:val="-4"/>
          <w:w w:val="105"/>
        </w:rPr>
        <w:t>Texcoco</w:t>
      </w:r>
      <w:r>
        <w:rPr>
          <w:color w:val="231F20"/>
          <w:spacing w:val="-22"/>
          <w:w w:val="105"/>
        </w:rPr>
        <w:t> </w:t>
      </w:r>
      <w:r>
        <w:rPr>
          <w:color w:val="231F20"/>
          <w:w w:val="105"/>
        </w:rPr>
        <w:t>rodeaba</w:t>
      </w:r>
      <w:r>
        <w:rPr>
          <w:color w:val="231F20"/>
          <w:spacing w:val="-22"/>
          <w:w w:val="105"/>
        </w:rPr>
        <w:t> </w:t>
      </w:r>
      <w:r>
        <w:rPr>
          <w:color w:val="231F20"/>
          <w:w w:val="105"/>
        </w:rPr>
        <w:t>el</w:t>
      </w:r>
      <w:r>
        <w:rPr>
          <w:color w:val="231F20"/>
          <w:spacing w:val="-22"/>
          <w:w w:val="105"/>
        </w:rPr>
        <w:t> </w:t>
      </w:r>
      <w:r>
        <w:rPr>
          <w:color w:val="231F20"/>
          <w:w w:val="105"/>
        </w:rPr>
        <w:t>municipio,</w:t>
      </w:r>
      <w:r>
        <w:rPr>
          <w:color w:val="231F20"/>
          <w:spacing w:val="-22"/>
          <w:w w:val="105"/>
        </w:rPr>
        <w:t> </w:t>
      </w:r>
      <w:r>
        <w:rPr>
          <w:color w:val="231F20"/>
          <w:w w:val="105"/>
        </w:rPr>
        <w:t>fue</w:t>
      </w:r>
      <w:r>
        <w:rPr>
          <w:color w:val="231F20"/>
          <w:spacing w:val="-22"/>
          <w:w w:val="105"/>
        </w:rPr>
        <w:t> </w:t>
      </w:r>
      <w:r>
        <w:rPr>
          <w:color w:val="231F20"/>
          <w:w w:val="105"/>
        </w:rPr>
        <w:t>por</w:t>
      </w:r>
      <w:r>
        <w:rPr>
          <w:color w:val="231F20"/>
          <w:spacing w:val="-22"/>
          <w:w w:val="105"/>
        </w:rPr>
        <w:t> </w:t>
      </w:r>
      <w:r>
        <w:rPr>
          <w:color w:val="231F20"/>
          <w:w w:val="105"/>
        </w:rPr>
        <w:t>ello</w:t>
      </w:r>
      <w:r>
        <w:rPr>
          <w:color w:val="231F20"/>
          <w:spacing w:val="-22"/>
          <w:w w:val="105"/>
        </w:rPr>
        <w:t> </w:t>
      </w:r>
      <w:r>
        <w:rPr>
          <w:color w:val="231F20"/>
          <w:w w:val="105"/>
        </w:rPr>
        <w:t>que</w:t>
      </w:r>
      <w:r>
        <w:rPr>
          <w:color w:val="231F20"/>
          <w:spacing w:val="-22"/>
          <w:w w:val="105"/>
        </w:rPr>
        <w:t> </w:t>
      </w:r>
      <w:r>
        <w:rPr>
          <w:color w:val="231F20"/>
          <w:w w:val="105"/>
        </w:rPr>
        <w:t>hasta</w:t>
      </w:r>
      <w:r>
        <w:rPr>
          <w:color w:val="231F20"/>
          <w:spacing w:val="-22"/>
          <w:w w:val="105"/>
        </w:rPr>
        <w:t> </w:t>
      </w:r>
      <w:r>
        <w:rPr>
          <w:color w:val="231F20"/>
          <w:w w:val="105"/>
        </w:rPr>
        <w:t>los</w:t>
      </w:r>
      <w:r>
        <w:rPr>
          <w:color w:val="231F20"/>
          <w:spacing w:val="-22"/>
          <w:w w:val="105"/>
        </w:rPr>
        <w:t> </w:t>
      </w:r>
      <w:r>
        <w:rPr>
          <w:color w:val="231F20"/>
          <w:w w:val="105"/>
        </w:rPr>
        <w:t>años</w:t>
      </w:r>
      <w:r>
        <w:rPr>
          <w:color w:val="231F20"/>
          <w:spacing w:val="-22"/>
          <w:w w:val="105"/>
        </w:rPr>
        <w:t> </w:t>
      </w:r>
      <w:r>
        <w:rPr>
          <w:color w:val="231F20"/>
          <w:w w:val="105"/>
        </w:rPr>
        <w:t>sesenta</w:t>
      </w:r>
      <w:r>
        <w:rPr>
          <w:color w:val="231F20"/>
          <w:spacing w:val="-22"/>
          <w:w w:val="105"/>
        </w:rPr>
        <w:t> </w:t>
      </w:r>
      <w:r>
        <w:rPr>
          <w:color w:val="231F20"/>
          <w:w w:val="105"/>
        </w:rPr>
        <w:t>del</w:t>
      </w:r>
      <w:r>
        <w:rPr>
          <w:color w:val="231F20"/>
          <w:spacing w:val="-22"/>
          <w:w w:val="105"/>
        </w:rPr>
        <w:t> </w:t>
      </w:r>
      <w:r>
        <w:rPr>
          <w:color w:val="231F20"/>
          <w:w w:val="105"/>
        </w:rPr>
        <w:t>siglo pasado la agricultura era su principal fuente de desarrollo económico, sin embargo, el agua</w:t>
      </w:r>
      <w:r>
        <w:rPr>
          <w:color w:val="231F20"/>
          <w:spacing w:val="-19"/>
          <w:w w:val="105"/>
        </w:rPr>
        <w:t> </w:t>
      </w:r>
      <w:r>
        <w:rPr>
          <w:color w:val="231F20"/>
          <w:w w:val="105"/>
        </w:rPr>
        <w:t>se</w:t>
      </w:r>
      <w:r>
        <w:rPr>
          <w:color w:val="231F20"/>
          <w:spacing w:val="-19"/>
          <w:w w:val="105"/>
        </w:rPr>
        <w:t> </w:t>
      </w:r>
      <w:r>
        <w:rPr>
          <w:color w:val="231F20"/>
          <w:w w:val="105"/>
        </w:rPr>
        <w:t>fue</w:t>
      </w:r>
      <w:r>
        <w:rPr>
          <w:color w:val="231F20"/>
          <w:spacing w:val="-19"/>
          <w:w w:val="105"/>
        </w:rPr>
        <w:t> </w:t>
      </w:r>
      <w:r>
        <w:rPr>
          <w:color w:val="231F20"/>
          <w:w w:val="105"/>
        </w:rPr>
        <w:t>retirando</w:t>
      </w:r>
      <w:r>
        <w:rPr>
          <w:color w:val="231F20"/>
          <w:spacing w:val="-19"/>
          <w:w w:val="105"/>
        </w:rPr>
        <w:t> </w:t>
      </w:r>
      <w:r>
        <w:rPr>
          <w:color w:val="231F20"/>
          <w:w w:val="105"/>
        </w:rPr>
        <w:t>poco</w:t>
      </w:r>
      <w:r>
        <w:rPr>
          <w:color w:val="231F20"/>
          <w:spacing w:val="-19"/>
          <w:w w:val="105"/>
        </w:rPr>
        <w:t> </w:t>
      </w:r>
      <w:r>
        <w:rPr>
          <w:color w:val="231F20"/>
          <w:w w:val="105"/>
        </w:rPr>
        <w:t>a</w:t>
      </w:r>
      <w:r>
        <w:rPr>
          <w:color w:val="231F20"/>
          <w:spacing w:val="-19"/>
          <w:w w:val="105"/>
        </w:rPr>
        <w:t> </w:t>
      </w:r>
      <w:r>
        <w:rPr>
          <w:color w:val="231F20"/>
          <w:w w:val="105"/>
        </w:rPr>
        <w:t>poco.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zona</w:t>
      </w:r>
      <w:r>
        <w:rPr>
          <w:color w:val="231F20"/>
          <w:spacing w:val="-19"/>
          <w:w w:val="105"/>
        </w:rPr>
        <w:t> </w:t>
      </w:r>
      <w:r>
        <w:rPr>
          <w:color w:val="231F20"/>
          <w:w w:val="105"/>
        </w:rPr>
        <w:t>desecada</w:t>
      </w:r>
      <w:r>
        <w:rPr>
          <w:color w:val="231F20"/>
          <w:spacing w:val="-19"/>
          <w:w w:val="105"/>
        </w:rPr>
        <w:t> </w:t>
      </w:r>
      <w:r>
        <w:rPr>
          <w:color w:val="231F20"/>
          <w:w w:val="105"/>
        </w:rPr>
        <w:t>del</w:t>
      </w:r>
      <w:r>
        <w:rPr>
          <w:color w:val="231F20"/>
          <w:spacing w:val="-19"/>
          <w:w w:val="105"/>
        </w:rPr>
        <w:t> </w:t>
      </w:r>
      <w:r>
        <w:rPr>
          <w:color w:val="231F20"/>
          <w:w w:val="105"/>
        </w:rPr>
        <w:t>lago</w:t>
      </w:r>
      <w:r>
        <w:rPr>
          <w:color w:val="231F20"/>
          <w:spacing w:val="-19"/>
          <w:w w:val="105"/>
        </w:rPr>
        <w:t> </w:t>
      </w:r>
      <w:r>
        <w:rPr>
          <w:color w:val="231F20"/>
          <w:spacing w:val="-4"/>
          <w:w w:val="105"/>
        </w:rPr>
        <w:t>(que</w:t>
      </w:r>
      <w:r>
        <w:rPr>
          <w:color w:val="231F20"/>
          <w:spacing w:val="-19"/>
          <w:w w:val="105"/>
        </w:rPr>
        <w:t> </w:t>
      </w:r>
      <w:r>
        <w:rPr>
          <w:color w:val="231F20"/>
          <w:w w:val="105"/>
        </w:rPr>
        <w:t>ya</w:t>
      </w:r>
      <w:r>
        <w:rPr>
          <w:color w:val="231F20"/>
          <w:spacing w:val="-19"/>
          <w:w w:val="105"/>
        </w:rPr>
        <w:t> </w:t>
      </w:r>
      <w:r>
        <w:rPr>
          <w:color w:val="231F20"/>
          <w:w w:val="105"/>
        </w:rPr>
        <w:t>había</w:t>
      </w:r>
      <w:r>
        <w:rPr>
          <w:color w:val="231F20"/>
          <w:spacing w:val="-19"/>
          <w:w w:val="105"/>
        </w:rPr>
        <w:t> </w:t>
      </w:r>
      <w:r>
        <w:rPr>
          <w:color w:val="231F20"/>
          <w:w w:val="105"/>
        </w:rPr>
        <w:t>agotado</w:t>
      </w:r>
      <w:r>
        <w:rPr>
          <w:color w:val="231F20"/>
          <w:spacing w:val="-19"/>
          <w:w w:val="105"/>
        </w:rPr>
        <w:t> </w:t>
      </w:r>
      <w:r>
        <w:rPr>
          <w:color w:val="231F20"/>
          <w:w w:val="105"/>
        </w:rPr>
        <w:t>su reserva</w:t>
      </w:r>
      <w:r>
        <w:rPr>
          <w:color w:val="231F20"/>
          <w:spacing w:val="-6"/>
          <w:w w:val="105"/>
        </w:rPr>
        <w:t> </w:t>
      </w:r>
      <w:r>
        <w:rPr>
          <w:color w:val="231F20"/>
          <w:w w:val="105"/>
        </w:rPr>
        <w:t>salina)</w:t>
      </w:r>
      <w:r>
        <w:rPr>
          <w:color w:val="231F20"/>
          <w:spacing w:val="-6"/>
          <w:w w:val="105"/>
        </w:rPr>
        <w:t> </w:t>
      </w:r>
      <w:r>
        <w:rPr>
          <w:color w:val="231F20"/>
          <w:w w:val="105"/>
        </w:rPr>
        <w:t>se</w:t>
      </w:r>
      <w:r>
        <w:rPr>
          <w:color w:val="231F20"/>
          <w:spacing w:val="-6"/>
          <w:w w:val="105"/>
        </w:rPr>
        <w:t> </w:t>
      </w:r>
      <w:r>
        <w:rPr>
          <w:color w:val="231F20"/>
          <w:w w:val="105"/>
        </w:rPr>
        <w:t>llevó</w:t>
      </w:r>
      <w:r>
        <w:rPr>
          <w:color w:val="231F20"/>
          <w:spacing w:val="-6"/>
          <w:w w:val="105"/>
        </w:rPr>
        <w:t> </w:t>
      </w:r>
      <w:r>
        <w:rPr>
          <w:color w:val="231F20"/>
          <w:w w:val="105"/>
        </w:rPr>
        <w:t>a</w:t>
      </w:r>
      <w:r>
        <w:rPr>
          <w:color w:val="231F20"/>
          <w:spacing w:val="-6"/>
          <w:w w:val="105"/>
        </w:rPr>
        <w:t> </w:t>
      </w:r>
      <w:r>
        <w:rPr>
          <w:color w:val="231F20"/>
          <w:w w:val="105"/>
        </w:rPr>
        <w:t>cabo</w:t>
      </w:r>
      <w:r>
        <w:rPr>
          <w:color w:val="231F20"/>
          <w:spacing w:val="-6"/>
          <w:w w:val="105"/>
        </w:rPr>
        <w:t> </w:t>
      </w:r>
      <w:r>
        <w:rPr>
          <w:color w:val="231F20"/>
          <w:w w:val="105"/>
        </w:rPr>
        <w:t>el</w:t>
      </w:r>
      <w:r>
        <w:rPr>
          <w:color w:val="231F20"/>
          <w:spacing w:val="-6"/>
          <w:w w:val="105"/>
        </w:rPr>
        <w:t> </w:t>
      </w:r>
      <w:r>
        <w:rPr>
          <w:color w:val="231F20"/>
          <w:w w:val="105"/>
        </w:rPr>
        <w:t>fraccionamiento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terrenos</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años</w:t>
      </w:r>
      <w:r>
        <w:rPr>
          <w:color w:val="231F20"/>
          <w:spacing w:val="-6"/>
          <w:w w:val="105"/>
        </w:rPr>
        <w:t> </w:t>
      </w:r>
      <w:r>
        <w:rPr>
          <w:color w:val="231F20"/>
          <w:w w:val="105"/>
        </w:rPr>
        <w:t>cincuenta (Siglo XX), origen de las colonias del ex vaso de </w:t>
      </w:r>
      <w:r>
        <w:rPr>
          <w:color w:val="231F20"/>
          <w:spacing w:val="-4"/>
          <w:w w:val="105"/>
        </w:rPr>
        <w:t>Texcoco </w:t>
      </w:r>
      <w:r>
        <w:rPr>
          <w:color w:val="231F20"/>
          <w:w w:val="105"/>
        </w:rPr>
        <w:t>y posteriormente de</w:t>
      </w:r>
      <w:r>
        <w:rPr>
          <w:color w:val="231F20"/>
          <w:spacing w:val="-40"/>
          <w:w w:val="105"/>
        </w:rPr>
        <w:t> </w:t>
      </w:r>
      <w:r>
        <w:rPr>
          <w:color w:val="231F20"/>
          <w:spacing w:val="-3"/>
          <w:w w:val="105"/>
        </w:rPr>
        <w:t>Ciudad </w:t>
      </w:r>
      <w:r>
        <w:rPr>
          <w:color w:val="231F20"/>
          <w:w w:val="105"/>
        </w:rPr>
        <w:t>Nezahualcóyotl como municipio. Pingüe negocio que en la década de los años setenta se traslada a lo que quedó de Chimalhuacán y que tiene su “boom” en los ochentas y noventas,</w:t>
      </w:r>
      <w:r>
        <w:rPr>
          <w:color w:val="231F20"/>
          <w:spacing w:val="-23"/>
          <w:w w:val="105"/>
        </w:rPr>
        <w:t> </w:t>
      </w:r>
      <w:r>
        <w:rPr>
          <w:color w:val="231F20"/>
          <w:w w:val="105"/>
        </w:rPr>
        <w:t>época</w:t>
      </w:r>
      <w:r>
        <w:rPr>
          <w:color w:val="231F20"/>
          <w:spacing w:val="-23"/>
          <w:w w:val="105"/>
        </w:rPr>
        <w:t> </w:t>
      </w:r>
      <w:r>
        <w:rPr>
          <w:color w:val="231F20"/>
          <w:w w:val="105"/>
        </w:rPr>
        <w:t>en</w:t>
      </w:r>
      <w:r>
        <w:rPr>
          <w:color w:val="231F20"/>
          <w:spacing w:val="-23"/>
          <w:w w:val="105"/>
        </w:rPr>
        <w:t> </w:t>
      </w:r>
      <w:r>
        <w:rPr>
          <w:color w:val="231F20"/>
          <w:w w:val="105"/>
        </w:rPr>
        <w:t>que</w:t>
      </w:r>
      <w:r>
        <w:rPr>
          <w:color w:val="231F20"/>
          <w:spacing w:val="-23"/>
          <w:w w:val="105"/>
        </w:rPr>
        <w:t> </w:t>
      </w:r>
      <w:r>
        <w:rPr>
          <w:color w:val="231F20"/>
          <w:w w:val="105"/>
        </w:rPr>
        <w:t>invasión</w:t>
      </w:r>
      <w:r>
        <w:rPr>
          <w:color w:val="231F20"/>
          <w:spacing w:val="-23"/>
          <w:w w:val="105"/>
        </w:rPr>
        <w:t> </w:t>
      </w:r>
      <w:r>
        <w:rPr>
          <w:color w:val="231F20"/>
          <w:w w:val="105"/>
        </w:rPr>
        <w:t>de</w:t>
      </w:r>
      <w:r>
        <w:rPr>
          <w:color w:val="231F20"/>
          <w:spacing w:val="-23"/>
          <w:w w:val="105"/>
        </w:rPr>
        <w:t> </w:t>
      </w:r>
      <w:r>
        <w:rPr>
          <w:color w:val="231F20"/>
          <w:w w:val="105"/>
        </w:rPr>
        <w:t>terrenos</w:t>
      </w:r>
      <w:r>
        <w:rPr>
          <w:color w:val="231F20"/>
          <w:spacing w:val="-23"/>
          <w:w w:val="105"/>
        </w:rPr>
        <w:t> </w:t>
      </w:r>
      <w:r>
        <w:rPr>
          <w:color w:val="231F20"/>
          <w:w w:val="105"/>
        </w:rPr>
        <w:t>y</w:t>
      </w:r>
      <w:r>
        <w:rPr>
          <w:color w:val="231F20"/>
          <w:spacing w:val="-23"/>
          <w:w w:val="105"/>
        </w:rPr>
        <w:t> </w:t>
      </w:r>
      <w:r>
        <w:rPr>
          <w:color w:val="231F20"/>
          <w:w w:val="105"/>
        </w:rPr>
        <w:t>su</w:t>
      </w:r>
      <w:r>
        <w:rPr>
          <w:color w:val="231F20"/>
          <w:spacing w:val="-23"/>
          <w:w w:val="105"/>
        </w:rPr>
        <w:t> </w:t>
      </w:r>
      <w:r>
        <w:rPr>
          <w:color w:val="231F20"/>
          <w:w w:val="105"/>
        </w:rPr>
        <w:t>fraccionamiento</w:t>
      </w:r>
      <w:r>
        <w:rPr>
          <w:color w:val="231F20"/>
          <w:spacing w:val="-23"/>
          <w:w w:val="105"/>
        </w:rPr>
        <w:t> </w:t>
      </w:r>
      <w:r>
        <w:rPr>
          <w:color w:val="231F20"/>
          <w:w w:val="105"/>
        </w:rPr>
        <w:t>ilegal</w:t>
      </w:r>
      <w:r>
        <w:rPr>
          <w:color w:val="231F20"/>
          <w:spacing w:val="-23"/>
          <w:w w:val="105"/>
        </w:rPr>
        <w:t> </w:t>
      </w:r>
      <w:r>
        <w:rPr>
          <w:color w:val="231F20"/>
          <w:w w:val="105"/>
        </w:rPr>
        <w:t>no</w:t>
      </w:r>
      <w:r>
        <w:rPr>
          <w:color w:val="231F20"/>
          <w:spacing w:val="-23"/>
          <w:w w:val="105"/>
        </w:rPr>
        <w:t> </w:t>
      </w:r>
      <w:r>
        <w:rPr>
          <w:color w:val="231F20"/>
          <w:w w:val="105"/>
        </w:rPr>
        <w:t>sólo</w:t>
      </w:r>
      <w:r>
        <w:rPr>
          <w:color w:val="231F20"/>
          <w:spacing w:val="-23"/>
          <w:w w:val="105"/>
        </w:rPr>
        <w:t> </w:t>
      </w:r>
      <w:r>
        <w:rPr>
          <w:color w:val="231F20"/>
          <w:w w:val="105"/>
        </w:rPr>
        <w:t>es</w:t>
      </w:r>
      <w:r>
        <w:rPr>
          <w:color w:val="231F20"/>
          <w:spacing w:val="-23"/>
          <w:w w:val="105"/>
        </w:rPr>
        <w:t> </w:t>
      </w:r>
      <w:r>
        <w:rPr>
          <w:color w:val="231F20"/>
          <w:w w:val="105"/>
        </w:rPr>
        <w:t>forma de</w:t>
      </w:r>
      <w:r>
        <w:rPr>
          <w:color w:val="231F20"/>
          <w:spacing w:val="-6"/>
          <w:w w:val="105"/>
        </w:rPr>
        <w:t> </w:t>
      </w:r>
      <w:r>
        <w:rPr>
          <w:color w:val="231F20"/>
          <w:w w:val="105"/>
        </w:rPr>
        <w:t>adquirir</w:t>
      </w:r>
      <w:r>
        <w:rPr>
          <w:color w:val="231F20"/>
          <w:spacing w:val="-6"/>
          <w:w w:val="105"/>
        </w:rPr>
        <w:t> </w:t>
      </w:r>
      <w:r>
        <w:rPr>
          <w:color w:val="231F20"/>
          <w:w w:val="105"/>
        </w:rPr>
        <w:t>recursos,</w:t>
      </w:r>
      <w:r>
        <w:rPr>
          <w:color w:val="231F20"/>
          <w:spacing w:val="-6"/>
          <w:w w:val="105"/>
        </w:rPr>
        <w:t> </w:t>
      </w:r>
      <w:r>
        <w:rPr>
          <w:color w:val="231F20"/>
          <w:w w:val="105"/>
        </w:rPr>
        <w:t>sino</w:t>
      </w:r>
      <w:r>
        <w:rPr>
          <w:color w:val="231F20"/>
          <w:spacing w:val="-6"/>
          <w:w w:val="105"/>
        </w:rPr>
        <w:t> </w:t>
      </w:r>
      <w:r>
        <w:rPr>
          <w:color w:val="231F20"/>
          <w:w w:val="105"/>
        </w:rPr>
        <w:t>que</w:t>
      </w:r>
      <w:r>
        <w:rPr>
          <w:color w:val="231F20"/>
          <w:spacing w:val="-6"/>
          <w:w w:val="105"/>
        </w:rPr>
        <w:t> </w:t>
      </w:r>
      <w:r>
        <w:rPr>
          <w:color w:val="231F20"/>
          <w:w w:val="105"/>
        </w:rPr>
        <w:t>permite</w:t>
      </w:r>
      <w:r>
        <w:rPr>
          <w:color w:val="231F20"/>
          <w:spacing w:val="-6"/>
          <w:w w:val="105"/>
        </w:rPr>
        <w:t> </w:t>
      </w:r>
      <w:r>
        <w:rPr>
          <w:color w:val="231F20"/>
          <w:w w:val="105"/>
        </w:rPr>
        <w:t>la</w:t>
      </w:r>
      <w:r>
        <w:rPr>
          <w:color w:val="231F20"/>
          <w:spacing w:val="-6"/>
          <w:w w:val="105"/>
        </w:rPr>
        <w:t> </w:t>
      </w:r>
      <w:r>
        <w:rPr>
          <w:color w:val="231F20"/>
          <w:w w:val="105"/>
        </w:rPr>
        <w:t>aparición</w:t>
      </w:r>
      <w:r>
        <w:rPr>
          <w:color w:val="231F20"/>
          <w:spacing w:val="-6"/>
          <w:w w:val="105"/>
        </w:rPr>
        <w:t> </w:t>
      </w:r>
      <w:r>
        <w:rPr>
          <w:color w:val="231F20"/>
          <w:w w:val="105"/>
        </w:rPr>
        <w:t>de</w:t>
      </w:r>
      <w:r>
        <w:rPr>
          <w:color w:val="231F20"/>
          <w:spacing w:val="-6"/>
          <w:w w:val="105"/>
        </w:rPr>
        <w:t> </w:t>
      </w:r>
      <w:r>
        <w:rPr>
          <w:color w:val="231F20"/>
          <w:w w:val="105"/>
        </w:rPr>
        <w:t>diversas</w:t>
      </w:r>
      <w:r>
        <w:rPr>
          <w:color w:val="231F20"/>
          <w:spacing w:val="-6"/>
          <w:w w:val="105"/>
        </w:rPr>
        <w:t> </w:t>
      </w:r>
      <w:r>
        <w:rPr>
          <w:color w:val="231F20"/>
          <w:w w:val="105"/>
        </w:rPr>
        <w:t>organizaciones</w:t>
      </w:r>
      <w:r>
        <w:rPr>
          <w:color w:val="231F20"/>
          <w:spacing w:val="-6"/>
          <w:w w:val="105"/>
        </w:rPr>
        <w:t> </w:t>
      </w:r>
      <w:r>
        <w:rPr>
          <w:color w:val="231F20"/>
          <w:w w:val="105"/>
        </w:rPr>
        <w:t>de</w:t>
      </w:r>
      <w:r>
        <w:rPr>
          <w:color w:val="231F20"/>
          <w:spacing w:val="-6"/>
          <w:w w:val="105"/>
        </w:rPr>
        <w:t> </w:t>
      </w:r>
      <w:r>
        <w:rPr>
          <w:color w:val="231F20"/>
          <w:w w:val="105"/>
        </w:rPr>
        <w:t>colo- nos,</w:t>
      </w:r>
      <w:r>
        <w:rPr>
          <w:color w:val="231F20"/>
          <w:spacing w:val="-6"/>
          <w:w w:val="105"/>
        </w:rPr>
        <w:t> </w:t>
      </w:r>
      <w:r>
        <w:rPr>
          <w:color w:val="231F20"/>
          <w:w w:val="105"/>
        </w:rPr>
        <w:t>reales</w:t>
      </w:r>
      <w:r>
        <w:rPr>
          <w:color w:val="231F20"/>
          <w:spacing w:val="-6"/>
          <w:w w:val="105"/>
        </w:rPr>
        <w:t> </w:t>
      </w:r>
      <w:r>
        <w:rPr>
          <w:color w:val="231F20"/>
          <w:w w:val="105"/>
        </w:rPr>
        <w:t>o</w:t>
      </w:r>
      <w:r>
        <w:rPr>
          <w:color w:val="231F20"/>
          <w:spacing w:val="-6"/>
          <w:w w:val="105"/>
        </w:rPr>
        <w:t> </w:t>
      </w:r>
      <w:r>
        <w:rPr>
          <w:color w:val="231F20"/>
          <w:w w:val="105"/>
        </w:rPr>
        <w:t>ficticias</w:t>
      </w:r>
      <w:r>
        <w:rPr>
          <w:color w:val="231F20"/>
          <w:spacing w:val="-6"/>
          <w:w w:val="105"/>
        </w:rPr>
        <w:t> </w:t>
      </w:r>
      <w:r>
        <w:rPr>
          <w:color w:val="231F20"/>
          <w:spacing w:val="-4"/>
          <w:w w:val="105"/>
        </w:rPr>
        <w:t>(sólo</w:t>
      </w:r>
      <w:r>
        <w:rPr>
          <w:color w:val="231F20"/>
          <w:spacing w:val="-6"/>
          <w:w w:val="105"/>
        </w:rPr>
        <w:t> </w:t>
      </w:r>
      <w:r>
        <w:rPr>
          <w:color w:val="231F20"/>
          <w:w w:val="105"/>
        </w:rPr>
        <w:t>de</w:t>
      </w:r>
      <w:r>
        <w:rPr>
          <w:color w:val="231F20"/>
          <w:spacing w:val="-6"/>
          <w:w w:val="105"/>
        </w:rPr>
        <w:t> </w:t>
      </w:r>
      <w:r>
        <w:rPr>
          <w:color w:val="231F20"/>
          <w:spacing w:val="-3"/>
          <w:w w:val="105"/>
        </w:rPr>
        <w:t>membrete),</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cubren</w:t>
      </w:r>
      <w:r>
        <w:rPr>
          <w:color w:val="231F20"/>
          <w:spacing w:val="-6"/>
          <w:w w:val="105"/>
        </w:rPr>
        <w:t> </w:t>
      </w:r>
      <w:r>
        <w:rPr>
          <w:color w:val="231F20"/>
          <w:w w:val="105"/>
        </w:rPr>
        <w:t>bajo</w:t>
      </w:r>
      <w:r>
        <w:rPr>
          <w:color w:val="231F20"/>
          <w:spacing w:val="-6"/>
          <w:w w:val="105"/>
        </w:rPr>
        <w:t> </w:t>
      </w:r>
      <w:r>
        <w:rPr>
          <w:color w:val="231F20"/>
          <w:w w:val="105"/>
        </w:rPr>
        <w:t>la</w:t>
      </w:r>
      <w:r>
        <w:rPr>
          <w:color w:val="231F20"/>
          <w:spacing w:val="-6"/>
          <w:w w:val="105"/>
        </w:rPr>
        <w:t> </w:t>
      </w:r>
      <w:r>
        <w:rPr>
          <w:color w:val="231F20"/>
          <w:w w:val="105"/>
        </w:rPr>
        <w:t>égida</w:t>
      </w:r>
      <w:r>
        <w:rPr>
          <w:color w:val="231F20"/>
          <w:spacing w:val="-6"/>
          <w:w w:val="105"/>
        </w:rPr>
        <w:t> </w:t>
      </w:r>
      <w:r>
        <w:rPr>
          <w:color w:val="231F20"/>
          <w:w w:val="105"/>
        </w:rPr>
        <w:t>del</w:t>
      </w:r>
      <w:r>
        <w:rPr>
          <w:color w:val="231F20"/>
          <w:spacing w:val="-6"/>
          <w:w w:val="105"/>
        </w:rPr>
        <w:t> </w:t>
      </w:r>
      <w:r>
        <w:rPr>
          <w:color w:val="231F20"/>
          <w:w w:val="105"/>
        </w:rPr>
        <w:t>PRI,</w:t>
      </w:r>
      <w:r>
        <w:rPr>
          <w:color w:val="231F20"/>
          <w:spacing w:val="-6"/>
          <w:w w:val="105"/>
        </w:rPr>
        <w:t> </w:t>
      </w:r>
      <w:r>
        <w:rPr>
          <w:color w:val="231F20"/>
          <w:w w:val="105"/>
        </w:rPr>
        <w:t>que</w:t>
      </w:r>
      <w:r>
        <w:rPr>
          <w:color w:val="231F20"/>
          <w:spacing w:val="-6"/>
          <w:w w:val="105"/>
        </w:rPr>
        <w:t> </w:t>
      </w:r>
      <w:r>
        <w:rPr>
          <w:color w:val="231F20"/>
          <w:w w:val="105"/>
        </w:rPr>
        <w:t>a</w:t>
      </w:r>
      <w:r>
        <w:rPr>
          <w:color w:val="231F20"/>
          <w:spacing w:val="-6"/>
          <w:w w:val="105"/>
        </w:rPr>
        <w:t> </w:t>
      </w:r>
      <w:r>
        <w:rPr>
          <w:color w:val="231F20"/>
          <w:w w:val="105"/>
        </w:rPr>
        <w:t>su vez</w:t>
      </w:r>
      <w:r>
        <w:rPr>
          <w:color w:val="231F20"/>
          <w:spacing w:val="-14"/>
          <w:w w:val="105"/>
        </w:rPr>
        <w:t> </w:t>
      </w:r>
      <w:r>
        <w:rPr>
          <w:color w:val="231F20"/>
          <w:w w:val="105"/>
        </w:rPr>
        <w:t>los</w:t>
      </w:r>
      <w:r>
        <w:rPr>
          <w:color w:val="231F20"/>
          <w:spacing w:val="-14"/>
          <w:w w:val="105"/>
        </w:rPr>
        <w:t> </w:t>
      </w:r>
      <w:r>
        <w:rPr>
          <w:color w:val="231F20"/>
          <w:w w:val="105"/>
        </w:rPr>
        <w:t>utiliza</w:t>
      </w:r>
      <w:r>
        <w:rPr>
          <w:color w:val="231F20"/>
          <w:spacing w:val="-14"/>
          <w:w w:val="105"/>
        </w:rPr>
        <w:t> </w:t>
      </w:r>
      <w:r>
        <w:rPr>
          <w:color w:val="231F20"/>
          <w:w w:val="105"/>
        </w:rPr>
        <w:t>como</w:t>
      </w:r>
      <w:r>
        <w:rPr>
          <w:color w:val="231F20"/>
          <w:spacing w:val="-14"/>
          <w:w w:val="105"/>
        </w:rPr>
        <w:t> </w:t>
      </w:r>
      <w:r>
        <w:rPr>
          <w:color w:val="231F20"/>
          <w:w w:val="105"/>
        </w:rPr>
        <w:t>forma</w:t>
      </w:r>
      <w:r>
        <w:rPr>
          <w:color w:val="231F20"/>
          <w:spacing w:val="-14"/>
          <w:w w:val="105"/>
        </w:rPr>
        <w:t> </w:t>
      </w:r>
      <w:r>
        <w:rPr>
          <w:color w:val="231F20"/>
          <w:w w:val="105"/>
        </w:rPr>
        <w:t>de</w:t>
      </w:r>
      <w:r>
        <w:rPr>
          <w:color w:val="231F20"/>
          <w:spacing w:val="-14"/>
          <w:w w:val="105"/>
        </w:rPr>
        <w:t> </w:t>
      </w:r>
      <w:r>
        <w:rPr>
          <w:color w:val="231F20"/>
          <w:w w:val="105"/>
        </w:rPr>
        <w:t>control</w:t>
      </w:r>
      <w:r>
        <w:rPr>
          <w:color w:val="231F20"/>
          <w:spacing w:val="-14"/>
          <w:w w:val="105"/>
        </w:rPr>
        <w:t> </w:t>
      </w:r>
      <w:r>
        <w:rPr>
          <w:color w:val="231F20"/>
          <w:w w:val="105"/>
        </w:rPr>
        <w:t>político</w:t>
      </w:r>
      <w:r>
        <w:rPr>
          <w:color w:val="231F20"/>
          <w:spacing w:val="-14"/>
          <w:w w:val="105"/>
        </w:rPr>
        <w:t> </w:t>
      </w:r>
      <w:r>
        <w:rPr>
          <w:color w:val="231F20"/>
          <w:w w:val="105"/>
        </w:rPr>
        <w:t>para</w:t>
      </w:r>
      <w:r>
        <w:rPr>
          <w:color w:val="231F20"/>
          <w:spacing w:val="-14"/>
          <w:w w:val="105"/>
        </w:rPr>
        <w:t> </w:t>
      </w:r>
      <w:r>
        <w:rPr>
          <w:color w:val="231F20"/>
          <w:w w:val="105"/>
        </w:rPr>
        <w:t>solventar</w:t>
      </w:r>
      <w:r>
        <w:rPr>
          <w:color w:val="231F20"/>
          <w:spacing w:val="-14"/>
          <w:w w:val="105"/>
        </w:rPr>
        <w:t> </w:t>
      </w:r>
      <w:r>
        <w:rPr>
          <w:color w:val="231F20"/>
          <w:w w:val="105"/>
        </w:rPr>
        <w:t>sus</w:t>
      </w:r>
      <w:r>
        <w:rPr>
          <w:color w:val="231F20"/>
          <w:spacing w:val="-14"/>
          <w:w w:val="105"/>
        </w:rPr>
        <w:t> </w:t>
      </w:r>
      <w:r>
        <w:rPr>
          <w:color w:val="231F20"/>
          <w:spacing w:val="-3"/>
          <w:w w:val="105"/>
        </w:rPr>
        <w:t>propios</w:t>
      </w:r>
      <w:r>
        <w:rPr>
          <w:color w:val="231F20"/>
          <w:spacing w:val="-14"/>
          <w:w w:val="105"/>
        </w:rPr>
        <w:t> </w:t>
      </w:r>
      <w:r>
        <w:rPr>
          <w:color w:val="231F20"/>
          <w:w w:val="105"/>
        </w:rPr>
        <w:t>proyectos.</w:t>
      </w:r>
    </w:p>
    <w:p>
      <w:pPr>
        <w:pStyle w:val="BodyText"/>
        <w:spacing w:before="1"/>
        <w:rPr>
          <w:sz w:val="26"/>
        </w:rPr>
      </w:pPr>
    </w:p>
    <w:p>
      <w:pPr>
        <w:pStyle w:val="BodyText"/>
        <w:ind w:left="110"/>
        <w:jc w:val="both"/>
      </w:pPr>
      <w:r>
        <w:rPr>
          <w:color w:val="231F20"/>
          <w:w w:val="105"/>
        </w:rPr>
        <w:t>Con la nueva situación en Chimalhuacán, es evidente como señala Meyer que:</w:t>
      </w:r>
    </w:p>
    <w:p>
      <w:pPr>
        <w:pStyle w:val="BodyText"/>
        <w:spacing w:line="285" w:lineRule="auto" w:before="47"/>
        <w:ind w:left="677" w:right="108"/>
        <w:jc w:val="both"/>
      </w:pPr>
      <w:r>
        <w:rPr>
          <w:color w:val="231F20"/>
          <w:w w:val="105"/>
        </w:rPr>
        <w:t>La</w:t>
      </w:r>
      <w:r>
        <w:rPr>
          <w:color w:val="231F20"/>
          <w:spacing w:val="-11"/>
          <w:w w:val="105"/>
        </w:rPr>
        <w:t> </w:t>
      </w:r>
      <w:r>
        <w:rPr>
          <w:color w:val="231F20"/>
          <w:w w:val="105"/>
        </w:rPr>
        <w:t>urbanización</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spacing w:val="-3"/>
          <w:w w:val="105"/>
        </w:rPr>
        <w:t>fenómeno</w:t>
      </w:r>
      <w:r>
        <w:rPr>
          <w:color w:val="231F20"/>
          <w:spacing w:val="-11"/>
          <w:w w:val="105"/>
        </w:rPr>
        <w:t> </w:t>
      </w:r>
      <w:r>
        <w:rPr>
          <w:color w:val="231F20"/>
          <w:w w:val="105"/>
        </w:rPr>
        <w:t>demográfico</w:t>
      </w:r>
      <w:r>
        <w:rPr>
          <w:color w:val="231F20"/>
          <w:spacing w:val="-11"/>
          <w:w w:val="105"/>
        </w:rPr>
        <w:t> </w:t>
      </w:r>
      <w:r>
        <w:rPr>
          <w:color w:val="231F20"/>
          <w:w w:val="105"/>
        </w:rPr>
        <w:t>que</w:t>
      </w:r>
      <w:r>
        <w:rPr>
          <w:color w:val="231F20"/>
          <w:spacing w:val="-11"/>
          <w:w w:val="105"/>
        </w:rPr>
        <w:t> </w:t>
      </w:r>
      <w:r>
        <w:rPr>
          <w:color w:val="231F20"/>
          <w:w w:val="105"/>
        </w:rPr>
        <w:t>caracterizó</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sociedad</w:t>
      </w:r>
      <w:r>
        <w:rPr>
          <w:color w:val="231F20"/>
          <w:spacing w:val="-11"/>
          <w:w w:val="105"/>
        </w:rPr>
        <w:t> </w:t>
      </w:r>
      <w:r>
        <w:rPr>
          <w:color w:val="231F20"/>
          <w:w w:val="105"/>
        </w:rPr>
        <w:t>mexi- cana</w:t>
      </w:r>
      <w:r>
        <w:rPr>
          <w:color w:val="231F20"/>
          <w:spacing w:val="-10"/>
          <w:w w:val="105"/>
        </w:rPr>
        <w:t> </w:t>
      </w:r>
      <w:r>
        <w:rPr>
          <w:color w:val="231F20"/>
          <w:w w:val="105"/>
        </w:rPr>
        <w:t>posrevolucionaria</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caciquismo</w:t>
      </w:r>
      <w:r>
        <w:rPr>
          <w:color w:val="231F20"/>
          <w:spacing w:val="-10"/>
          <w:w w:val="105"/>
        </w:rPr>
        <w:t> </w:t>
      </w:r>
      <w:r>
        <w:rPr>
          <w:color w:val="231F20"/>
          <w:w w:val="105"/>
        </w:rPr>
        <w:t>se</w:t>
      </w:r>
      <w:r>
        <w:rPr>
          <w:color w:val="231F20"/>
          <w:spacing w:val="-10"/>
          <w:w w:val="105"/>
        </w:rPr>
        <w:t> </w:t>
      </w:r>
      <w:r>
        <w:rPr>
          <w:color w:val="231F20"/>
          <w:w w:val="105"/>
        </w:rPr>
        <w:t>adaptó</w:t>
      </w:r>
      <w:r>
        <w:rPr>
          <w:color w:val="231F20"/>
          <w:spacing w:val="-10"/>
          <w:w w:val="105"/>
        </w:rPr>
        <w:t> </w:t>
      </w:r>
      <w:r>
        <w:rPr>
          <w:color w:val="231F20"/>
          <w:spacing w:val="2"/>
          <w:w w:val="105"/>
        </w:rPr>
        <w:t>al</w:t>
      </w:r>
      <w:r>
        <w:rPr>
          <w:color w:val="231F20"/>
          <w:spacing w:val="-10"/>
          <w:w w:val="105"/>
        </w:rPr>
        <w:t> </w:t>
      </w:r>
      <w:r>
        <w:rPr>
          <w:color w:val="231F20"/>
          <w:w w:val="105"/>
        </w:rPr>
        <w:t>nuevo</w:t>
      </w:r>
      <w:r>
        <w:rPr>
          <w:color w:val="231F20"/>
          <w:spacing w:val="-10"/>
          <w:w w:val="105"/>
        </w:rPr>
        <w:t> </w:t>
      </w:r>
      <w:r>
        <w:rPr>
          <w:color w:val="231F20"/>
          <w:w w:val="105"/>
        </w:rPr>
        <w:t>ambiente,</w:t>
      </w:r>
      <w:r>
        <w:rPr>
          <w:color w:val="231F20"/>
          <w:spacing w:val="-10"/>
          <w:w w:val="105"/>
        </w:rPr>
        <w:t> </w:t>
      </w:r>
      <w:r>
        <w:rPr>
          <w:color w:val="231F20"/>
          <w:w w:val="105"/>
        </w:rPr>
        <w:t>específica- mente</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zonas</w:t>
      </w:r>
      <w:r>
        <w:rPr>
          <w:color w:val="231F20"/>
          <w:spacing w:val="-14"/>
          <w:w w:val="105"/>
        </w:rPr>
        <w:t> </w:t>
      </w:r>
      <w:r>
        <w:rPr>
          <w:color w:val="231F20"/>
          <w:w w:val="105"/>
        </w:rPr>
        <w:t>de</w:t>
      </w:r>
      <w:r>
        <w:rPr>
          <w:color w:val="231F20"/>
          <w:spacing w:val="-14"/>
          <w:w w:val="105"/>
        </w:rPr>
        <w:t> </w:t>
      </w:r>
      <w:r>
        <w:rPr>
          <w:color w:val="231F20"/>
          <w:w w:val="105"/>
        </w:rPr>
        <w:t>asentamientos</w:t>
      </w:r>
      <w:r>
        <w:rPr>
          <w:color w:val="231F20"/>
          <w:spacing w:val="-14"/>
          <w:w w:val="105"/>
        </w:rPr>
        <w:t> </w:t>
      </w:r>
      <w:r>
        <w:rPr>
          <w:color w:val="231F20"/>
          <w:w w:val="105"/>
        </w:rPr>
        <w:t>marginales</w:t>
      </w:r>
      <w:r>
        <w:rPr>
          <w:color w:val="231F20"/>
          <w:spacing w:val="-14"/>
          <w:w w:val="105"/>
        </w:rPr>
        <w:t> </w:t>
      </w:r>
      <w:r>
        <w:rPr>
          <w:color w:val="231F20"/>
          <w:w w:val="105"/>
        </w:rPr>
        <w:t>e</w:t>
      </w:r>
      <w:r>
        <w:rPr>
          <w:color w:val="231F20"/>
          <w:spacing w:val="-14"/>
          <w:w w:val="105"/>
        </w:rPr>
        <w:t> </w:t>
      </w:r>
      <w:r>
        <w:rPr>
          <w:color w:val="231F20"/>
          <w:w w:val="105"/>
        </w:rPr>
        <w:t>irregulares</w:t>
      </w:r>
      <w:r>
        <w:rPr>
          <w:color w:val="231F20"/>
          <w:spacing w:val="-14"/>
          <w:w w:val="105"/>
        </w:rPr>
        <w:t> </w:t>
      </w:r>
      <w:r>
        <w:rPr>
          <w:color w:val="231F20"/>
          <w:spacing w:val="-4"/>
          <w:w w:val="105"/>
        </w:rPr>
        <w:t>(Meyer,</w:t>
      </w:r>
      <w:r>
        <w:rPr>
          <w:color w:val="231F20"/>
          <w:spacing w:val="-14"/>
          <w:w w:val="105"/>
        </w:rPr>
        <w:t> </w:t>
      </w:r>
      <w:r>
        <w:rPr>
          <w:color w:val="231F20"/>
          <w:spacing w:val="4"/>
          <w:w w:val="105"/>
        </w:rPr>
        <w:t>2000:</w:t>
      </w:r>
      <w:r>
        <w:rPr>
          <w:color w:val="231F20"/>
          <w:spacing w:val="-14"/>
          <w:w w:val="105"/>
        </w:rPr>
        <w:t> </w:t>
      </w:r>
      <w:r>
        <w:rPr>
          <w:color w:val="231F20"/>
          <w:w w:val="105"/>
        </w:rPr>
        <w:t>04)</w:t>
      </w:r>
    </w:p>
    <w:p>
      <w:pPr>
        <w:pStyle w:val="BodyText"/>
        <w:spacing w:before="1"/>
        <w:rPr>
          <w:sz w:val="26"/>
        </w:rPr>
      </w:pPr>
    </w:p>
    <w:p>
      <w:pPr>
        <w:pStyle w:val="BodyText"/>
        <w:spacing w:line="285" w:lineRule="auto"/>
        <w:ind w:left="110" w:right="108"/>
        <w:jc w:val="both"/>
      </w:pPr>
      <w:r>
        <w:rPr>
          <w:color w:val="231F20"/>
          <w:w w:val="105"/>
        </w:rPr>
        <w:t>Luego</w:t>
      </w:r>
      <w:r>
        <w:rPr>
          <w:color w:val="231F20"/>
          <w:spacing w:val="-16"/>
          <w:w w:val="105"/>
        </w:rPr>
        <w:t> </w:t>
      </w:r>
      <w:r>
        <w:rPr>
          <w:color w:val="231F20"/>
          <w:w w:val="105"/>
        </w:rPr>
        <w:t>entonces,</w:t>
      </w:r>
      <w:r>
        <w:rPr>
          <w:color w:val="231F20"/>
          <w:spacing w:val="-16"/>
          <w:w w:val="105"/>
        </w:rPr>
        <w:t> </w:t>
      </w:r>
      <w:r>
        <w:rPr>
          <w:color w:val="231F20"/>
          <w:w w:val="105"/>
        </w:rPr>
        <w:t>las</w:t>
      </w:r>
      <w:r>
        <w:rPr>
          <w:color w:val="231F20"/>
          <w:spacing w:val="-16"/>
          <w:w w:val="105"/>
        </w:rPr>
        <w:t> </w:t>
      </w:r>
      <w:r>
        <w:rPr>
          <w:color w:val="231F20"/>
          <w:w w:val="105"/>
        </w:rPr>
        <w:t>luchas</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poder</w:t>
      </w:r>
      <w:r>
        <w:rPr>
          <w:color w:val="231F20"/>
          <w:spacing w:val="-16"/>
          <w:w w:val="105"/>
        </w:rPr>
        <w:t> </w:t>
      </w:r>
      <w:r>
        <w:rPr>
          <w:color w:val="231F20"/>
          <w:w w:val="105"/>
        </w:rPr>
        <w:t>dejan</w:t>
      </w:r>
      <w:r>
        <w:rPr>
          <w:color w:val="231F20"/>
          <w:spacing w:val="-16"/>
          <w:w w:val="105"/>
        </w:rPr>
        <w:t> </w:t>
      </w:r>
      <w:r>
        <w:rPr>
          <w:color w:val="231F20"/>
          <w:w w:val="105"/>
        </w:rPr>
        <w:t>atrás</w:t>
      </w:r>
      <w:r>
        <w:rPr>
          <w:color w:val="231F20"/>
          <w:spacing w:val="-16"/>
          <w:w w:val="105"/>
        </w:rPr>
        <w:t> </w:t>
      </w:r>
      <w:r>
        <w:rPr>
          <w:color w:val="231F20"/>
          <w:w w:val="105"/>
        </w:rPr>
        <w:t>las</w:t>
      </w:r>
      <w:r>
        <w:rPr>
          <w:color w:val="231F20"/>
          <w:spacing w:val="-16"/>
          <w:w w:val="105"/>
        </w:rPr>
        <w:t> </w:t>
      </w:r>
      <w:r>
        <w:rPr>
          <w:color w:val="231F20"/>
          <w:w w:val="105"/>
        </w:rPr>
        <w:t>reuniones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4"/>
          <w:w w:val="105"/>
        </w:rPr>
        <w:t>“ex”</w:t>
      </w:r>
      <w:r>
        <w:rPr>
          <w:color w:val="231F20"/>
          <w:spacing w:val="-16"/>
          <w:w w:val="105"/>
        </w:rPr>
        <w:t> </w:t>
      </w:r>
      <w:r>
        <w:rPr>
          <w:color w:val="231F20"/>
          <w:spacing w:val="-4"/>
          <w:w w:val="105"/>
        </w:rPr>
        <w:t>(supra)</w:t>
      </w:r>
      <w:r>
        <w:rPr>
          <w:color w:val="231F20"/>
          <w:spacing w:val="-16"/>
          <w:w w:val="105"/>
        </w:rPr>
        <w:t> </w:t>
      </w:r>
      <w:r>
        <w:rPr>
          <w:color w:val="231F20"/>
          <w:w w:val="105"/>
        </w:rPr>
        <w:t>y</w:t>
      </w:r>
      <w:r>
        <w:rPr>
          <w:color w:val="231F20"/>
          <w:spacing w:val="-16"/>
          <w:w w:val="105"/>
        </w:rPr>
        <w:t> </w:t>
      </w:r>
      <w:r>
        <w:rPr>
          <w:color w:val="231F20"/>
          <w:w w:val="105"/>
        </w:rPr>
        <w:t>se empiezan</w:t>
      </w:r>
      <w:r>
        <w:rPr>
          <w:color w:val="231F20"/>
          <w:spacing w:val="-21"/>
          <w:w w:val="105"/>
        </w:rPr>
        <w:t> </w:t>
      </w:r>
      <w:r>
        <w:rPr>
          <w:color w:val="231F20"/>
          <w:w w:val="105"/>
        </w:rPr>
        <w:t>a</w:t>
      </w:r>
      <w:r>
        <w:rPr>
          <w:color w:val="231F20"/>
          <w:spacing w:val="-21"/>
          <w:w w:val="105"/>
        </w:rPr>
        <w:t> </w:t>
      </w:r>
      <w:r>
        <w:rPr>
          <w:color w:val="231F20"/>
          <w:w w:val="105"/>
        </w:rPr>
        <w:t>dar</w:t>
      </w:r>
      <w:r>
        <w:rPr>
          <w:color w:val="231F20"/>
          <w:spacing w:val="-21"/>
          <w:w w:val="105"/>
        </w:rPr>
        <w:t> </w:t>
      </w:r>
      <w:r>
        <w:rPr>
          <w:color w:val="231F20"/>
          <w:w w:val="105"/>
        </w:rPr>
        <w:t>hechos</w:t>
      </w:r>
      <w:r>
        <w:rPr>
          <w:color w:val="231F20"/>
          <w:spacing w:val="-21"/>
          <w:w w:val="105"/>
        </w:rPr>
        <w:t> </w:t>
      </w:r>
      <w:r>
        <w:rPr>
          <w:color w:val="231F20"/>
          <w:w w:val="105"/>
        </w:rPr>
        <w:t>de</w:t>
      </w:r>
      <w:r>
        <w:rPr>
          <w:color w:val="231F20"/>
          <w:spacing w:val="-21"/>
          <w:w w:val="105"/>
        </w:rPr>
        <w:t> </w:t>
      </w:r>
      <w:r>
        <w:rPr>
          <w:color w:val="231F20"/>
          <w:w w:val="105"/>
        </w:rPr>
        <w:t>violencia</w:t>
      </w:r>
      <w:r>
        <w:rPr>
          <w:color w:val="231F20"/>
          <w:spacing w:val="-21"/>
          <w:w w:val="105"/>
        </w:rPr>
        <w:t> </w:t>
      </w:r>
      <w:r>
        <w:rPr>
          <w:color w:val="231F20"/>
          <w:spacing w:val="-3"/>
          <w:w w:val="105"/>
        </w:rPr>
        <w:t>donde</w:t>
      </w:r>
      <w:r>
        <w:rPr>
          <w:color w:val="231F20"/>
          <w:spacing w:val="-21"/>
          <w:w w:val="105"/>
        </w:rPr>
        <w:t> </w:t>
      </w:r>
      <w:r>
        <w:rPr>
          <w:color w:val="231F20"/>
          <w:w w:val="105"/>
        </w:rPr>
        <w:t>el</w:t>
      </w:r>
      <w:r>
        <w:rPr>
          <w:color w:val="231F20"/>
          <w:spacing w:val="-21"/>
          <w:w w:val="105"/>
        </w:rPr>
        <w:t> </w:t>
      </w:r>
      <w:r>
        <w:rPr>
          <w:color w:val="231F20"/>
          <w:w w:val="105"/>
        </w:rPr>
        <w:t>control</w:t>
      </w:r>
      <w:r>
        <w:rPr>
          <w:color w:val="231F20"/>
          <w:spacing w:val="-21"/>
          <w:w w:val="105"/>
        </w:rPr>
        <w:t> </w:t>
      </w:r>
      <w:r>
        <w:rPr>
          <w:color w:val="231F20"/>
          <w:w w:val="105"/>
        </w:rPr>
        <w:t>lo</w:t>
      </w:r>
      <w:r>
        <w:rPr>
          <w:color w:val="231F20"/>
          <w:spacing w:val="-21"/>
          <w:w w:val="105"/>
        </w:rPr>
        <w:t> </w:t>
      </w:r>
      <w:r>
        <w:rPr>
          <w:color w:val="231F20"/>
          <w:w w:val="105"/>
        </w:rPr>
        <w:t>consigue</w:t>
      </w:r>
      <w:r>
        <w:rPr>
          <w:color w:val="231F20"/>
          <w:spacing w:val="-21"/>
          <w:w w:val="105"/>
        </w:rPr>
        <w:t> </w:t>
      </w:r>
      <w:r>
        <w:rPr>
          <w:color w:val="231F20"/>
          <w:w w:val="105"/>
        </w:rPr>
        <w:t>no</w:t>
      </w:r>
      <w:r>
        <w:rPr>
          <w:color w:val="231F20"/>
          <w:spacing w:val="-21"/>
          <w:w w:val="105"/>
        </w:rPr>
        <w:t> </w:t>
      </w:r>
      <w:r>
        <w:rPr>
          <w:color w:val="231F20"/>
          <w:w w:val="105"/>
        </w:rPr>
        <w:t>el</w:t>
      </w:r>
      <w:r>
        <w:rPr>
          <w:color w:val="231F20"/>
          <w:spacing w:val="-21"/>
          <w:w w:val="105"/>
        </w:rPr>
        <w:t> </w:t>
      </w:r>
      <w:r>
        <w:rPr>
          <w:color w:val="231F20"/>
          <w:w w:val="105"/>
        </w:rPr>
        <w:t>que</w:t>
      </w:r>
      <w:r>
        <w:rPr>
          <w:color w:val="231F20"/>
          <w:spacing w:val="-21"/>
          <w:w w:val="105"/>
        </w:rPr>
        <w:t> </w:t>
      </w:r>
      <w:r>
        <w:rPr>
          <w:color w:val="231F20"/>
          <w:w w:val="105"/>
        </w:rPr>
        <w:t>convence</w:t>
      </w:r>
      <w:r>
        <w:rPr>
          <w:color w:val="231F20"/>
          <w:spacing w:val="-21"/>
          <w:w w:val="105"/>
        </w:rPr>
        <w:t> </w:t>
      </w:r>
      <w:r>
        <w:rPr>
          <w:color w:val="231F20"/>
          <w:w w:val="105"/>
        </w:rPr>
        <w:t>sino el</w:t>
      </w:r>
      <w:r>
        <w:rPr>
          <w:color w:val="231F20"/>
          <w:spacing w:val="-13"/>
          <w:w w:val="105"/>
        </w:rPr>
        <w:t> </w:t>
      </w:r>
      <w:r>
        <w:rPr>
          <w:color w:val="231F20"/>
          <w:w w:val="105"/>
        </w:rPr>
        <w:t>que</w:t>
      </w:r>
      <w:r>
        <w:rPr>
          <w:color w:val="231F20"/>
          <w:spacing w:val="-13"/>
          <w:w w:val="105"/>
        </w:rPr>
        <w:t> </w:t>
      </w:r>
      <w:r>
        <w:rPr>
          <w:color w:val="231F20"/>
          <w:w w:val="105"/>
        </w:rPr>
        <w:t>pega</w:t>
      </w:r>
      <w:r>
        <w:rPr>
          <w:color w:val="231F20"/>
          <w:spacing w:val="-13"/>
          <w:w w:val="105"/>
        </w:rPr>
        <w:t> </w:t>
      </w:r>
      <w:r>
        <w:rPr>
          <w:color w:val="231F20"/>
          <w:w w:val="105"/>
        </w:rPr>
        <w:t>más</w:t>
      </w:r>
      <w:r>
        <w:rPr>
          <w:color w:val="231F20"/>
          <w:spacing w:val="-13"/>
          <w:w w:val="105"/>
        </w:rPr>
        <w:t> </w:t>
      </w:r>
      <w:r>
        <w:rPr>
          <w:color w:val="231F20"/>
          <w:w w:val="105"/>
        </w:rPr>
        <w:t>fuerte.</w:t>
      </w:r>
    </w:p>
    <w:p>
      <w:pPr>
        <w:pStyle w:val="BodyText"/>
        <w:spacing w:before="1"/>
        <w:rPr>
          <w:sz w:val="26"/>
        </w:rPr>
      </w:pPr>
    </w:p>
    <w:p>
      <w:pPr>
        <w:pStyle w:val="BodyText"/>
        <w:ind w:left="110"/>
        <w:jc w:val="both"/>
      </w:pPr>
      <w:r>
        <w:rPr>
          <w:color w:val="231F20"/>
          <w:w w:val="105"/>
        </w:rPr>
        <w:t>A los grupos priistas institucionales y combatientes con la fuerza de la razón como:</w:t>
      </w:r>
    </w:p>
    <w:p>
      <w:pPr>
        <w:pStyle w:val="BodyText"/>
        <w:spacing w:line="285" w:lineRule="auto" w:before="47"/>
        <w:ind w:left="677" w:right="108"/>
        <w:jc w:val="both"/>
      </w:pPr>
      <w:r>
        <w:rPr>
          <w:color w:val="231F20"/>
          <w:w w:val="105"/>
        </w:rPr>
        <w:t>El</w:t>
      </w:r>
      <w:r>
        <w:rPr>
          <w:color w:val="231F20"/>
          <w:spacing w:val="-29"/>
          <w:w w:val="105"/>
        </w:rPr>
        <w:t> </w:t>
      </w:r>
      <w:r>
        <w:rPr>
          <w:color w:val="231F20"/>
          <w:w w:val="105"/>
        </w:rPr>
        <w:t>“Grupo</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spacing w:val="-3"/>
          <w:w w:val="105"/>
        </w:rPr>
        <w:t>Adelitas”,</w:t>
      </w:r>
      <w:r>
        <w:rPr>
          <w:color w:val="231F20"/>
          <w:spacing w:val="-29"/>
          <w:w w:val="105"/>
        </w:rPr>
        <w:t> </w:t>
      </w:r>
      <w:r>
        <w:rPr>
          <w:color w:val="231F20"/>
          <w:w w:val="105"/>
        </w:rPr>
        <w:t>cuya</w:t>
      </w:r>
      <w:r>
        <w:rPr>
          <w:color w:val="231F20"/>
          <w:spacing w:val="-29"/>
          <w:w w:val="105"/>
        </w:rPr>
        <w:t> </w:t>
      </w:r>
      <w:r>
        <w:rPr>
          <w:color w:val="231F20"/>
          <w:w w:val="105"/>
        </w:rPr>
        <w:t>única</w:t>
      </w:r>
      <w:r>
        <w:rPr>
          <w:color w:val="231F20"/>
          <w:spacing w:val="-29"/>
          <w:w w:val="105"/>
        </w:rPr>
        <w:t> </w:t>
      </w:r>
      <w:r>
        <w:rPr>
          <w:color w:val="231F20"/>
          <w:w w:val="105"/>
        </w:rPr>
        <w:t>sobreviviente</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fecha</w:t>
      </w:r>
      <w:r>
        <w:rPr>
          <w:color w:val="231F20"/>
          <w:spacing w:val="-29"/>
          <w:w w:val="105"/>
        </w:rPr>
        <w:t> </w:t>
      </w:r>
      <w:r>
        <w:rPr>
          <w:color w:val="231F20"/>
          <w:w w:val="105"/>
        </w:rPr>
        <w:t>es</w:t>
      </w:r>
      <w:r>
        <w:rPr>
          <w:color w:val="231F20"/>
          <w:spacing w:val="-29"/>
          <w:w w:val="105"/>
        </w:rPr>
        <w:t> </w:t>
      </w:r>
      <w:r>
        <w:rPr>
          <w:color w:val="231F20"/>
          <w:w w:val="105"/>
        </w:rPr>
        <w:t>la</w:t>
      </w:r>
      <w:r>
        <w:rPr>
          <w:color w:val="231F20"/>
          <w:spacing w:val="-29"/>
          <w:w w:val="105"/>
        </w:rPr>
        <w:t> </w:t>
      </w:r>
      <w:r>
        <w:rPr>
          <w:color w:val="231F20"/>
          <w:w w:val="105"/>
        </w:rPr>
        <w:t>señora</w:t>
      </w:r>
      <w:r>
        <w:rPr>
          <w:color w:val="231F20"/>
          <w:spacing w:val="-29"/>
          <w:w w:val="105"/>
        </w:rPr>
        <w:t> </w:t>
      </w:r>
      <w:r>
        <w:rPr>
          <w:color w:val="231F20"/>
          <w:w w:val="105"/>
        </w:rPr>
        <w:t>Marce- lina Villegas. El Grupo de Comuneros de Santa María Chimalhuacán, represen- tado</w:t>
      </w:r>
      <w:r>
        <w:rPr>
          <w:color w:val="231F20"/>
          <w:spacing w:val="-18"/>
          <w:w w:val="105"/>
        </w:rPr>
        <w:t> </w:t>
      </w:r>
      <w:r>
        <w:rPr>
          <w:color w:val="231F20"/>
          <w:w w:val="105"/>
        </w:rPr>
        <w:t>por</w:t>
      </w:r>
      <w:r>
        <w:rPr>
          <w:color w:val="231F20"/>
          <w:spacing w:val="-18"/>
          <w:w w:val="105"/>
        </w:rPr>
        <w:t> </w:t>
      </w:r>
      <w:r>
        <w:rPr>
          <w:color w:val="231F20"/>
          <w:w w:val="105"/>
        </w:rPr>
        <w:t>doña</w:t>
      </w:r>
      <w:r>
        <w:rPr>
          <w:color w:val="231F20"/>
          <w:spacing w:val="-18"/>
          <w:w w:val="105"/>
        </w:rPr>
        <w:t> </w:t>
      </w:r>
      <w:r>
        <w:rPr>
          <w:color w:val="231F20"/>
          <w:w w:val="105"/>
        </w:rPr>
        <w:t>Severiana</w:t>
      </w:r>
      <w:r>
        <w:rPr>
          <w:color w:val="231F20"/>
          <w:spacing w:val="-18"/>
          <w:w w:val="105"/>
        </w:rPr>
        <w:t> </w:t>
      </w:r>
      <w:r>
        <w:rPr>
          <w:color w:val="231F20"/>
          <w:w w:val="105"/>
        </w:rPr>
        <w:t>Cornejo</w:t>
      </w:r>
      <w:r>
        <w:rPr>
          <w:color w:val="231F20"/>
          <w:spacing w:val="-18"/>
          <w:w w:val="105"/>
        </w:rPr>
        <w:t> </w:t>
      </w:r>
      <w:r>
        <w:rPr>
          <w:color w:val="231F20"/>
          <w:w w:val="105"/>
        </w:rPr>
        <w:t>de</w:t>
      </w:r>
      <w:r>
        <w:rPr>
          <w:color w:val="231F20"/>
          <w:spacing w:val="-18"/>
          <w:w w:val="105"/>
        </w:rPr>
        <w:t> </w:t>
      </w:r>
      <w:r>
        <w:rPr>
          <w:color w:val="231F20"/>
          <w:w w:val="105"/>
        </w:rPr>
        <w:t>López,</w:t>
      </w:r>
      <w:r>
        <w:rPr>
          <w:color w:val="231F20"/>
          <w:spacing w:val="-18"/>
          <w:w w:val="105"/>
        </w:rPr>
        <w:t> </w:t>
      </w:r>
      <w:r>
        <w:rPr>
          <w:color w:val="231F20"/>
          <w:spacing w:val="-3"/>
          <w:w w:val="105"/>
        </w:rPr>
        <w:t>q.p.d.,</w:t>
      </w:r>
      <w:r>
        <w:rPr>
          <w:color w:val="231F20"/>
          <w:spacing w:val="-18"/>
          <w:w w:val="105"/>
        </w:rPr>
        <w:t> </w:t>
      </w:r>
      <w:r>
        <w:rPr>
          <w:color w:val="231F20"/>
          <w:w w:val="105"/>
        </w:rPr>
        <w:t>Grupo</w:t>
      </w:r>
      <w:r>
        <w:rPr>
          <w:color w:val="231F20"/>
          <w:spacing w:val="-18"/>
          <w:w w:val="105"/>
        </w:rPr>
        <w:t> </w:t>
      </w:r>
      <w:r>
        <w:rPr>
          <w:color w:val="231F20"/>
          <w:w w:val="105"/>
        </w:rPr>
        <w:t>Chimalhuacán,</w:t>
      </w:r>
      <w:r>
        <w:rPr>
          <w:color w:val="231F20"/>
          <w:spacing w:val="-18"/>
          <w:w w:val="105"/>
        </w:rPr>
        <w:t> </w:t>
      </w:r>
      <w:r>
        <w:rPr>
          <w:color w:val="231F20"/>
          <w:w w:val="105"/>
        </w:rPr>
        <w:t>iniciado por</w:t>
      </w:r>
      <w:r>
        <w:rPr>
          <w:color w:val="231F20"/>
          <w:spacing w:val="-16"/>
          <w:w w:val="105"/>
        </w:rPr>
        <w:t> </w:t>
      </w:r>
      <w:r>
        <w:rPr>
          <w:color w:val="231F20"/>
          <w:w w:val="105"/>
        </w:rPr>
        <w:t>el</w:t>
      </w:r>
      <w:r>
        <w:rPr>
          <w:color w:val="231F20"/>
          <w:spacing w:val="-16"/>
          <w:w w:val="105"/>
        </w:rPr>
        <w:t> </w:t>
      </w:r>
      <w:r>
        <w:rPr>
          <w:color w:val="231F20"/>
          <w:w w:val="105"/>
        </w:rPr>
        <w:t>Prof.</w:t>
      </w:r>
      <w:r>
        <w:rPr>
          <w:color w:val="231F20"/>
          <w:spacing w:val="-16"/>
          <w:w w:val="105"/>
        </w:rPr>
        <w:t> </w:t>
      </w:r>
      <w:r>
        <w:rPr>
          <w:color w:val="231F20"/>
          <w:w w:val="105"/>
        </w:rPr>
        <w:t>Eduardo</w:t>
      </w:r>
      <w:r>
        <w:rPr>
          <w:color w:val="231F20"/>
          <w:spacing w:val="-16"/>
          <w:w w:val="105"/>
        </w:rPr>
        <w:t> </w:t>
      </w:r>
      <w:r>
        <w:rPr>
          <w:color w:val="231F20"/>
          <w:spacing w:val="-3"/>
          <w:w w:val="105"/>
        </w:rPr>
        <w:t>Avendaño</w:t>
      </w:r>
      <w:r>
        <w:rPr>
          <w:color w:val="231F20"/>
          <w:spacing w:val="-16"/>
          <w:w w:val="105"/>
        </w:rPr>
        <w:t> </w:t>
      </w:r>
      <w:r>
        <w:rPr>
          <w:color w:val="231F20"/>
          <w:w w:val="105"/>
        </w:rPr>
        <w:t>Díaz.</w:t>
      </w:r>
      <w:r>
        <w:rPr>
          <w:color w:val="231F20"/>
          <w:spacing w:val="-16"/>
          <w:w w:val="105"/>
        </w:rPr>
        <w:t> </w:t>
      </w:r>
      <w:r>
        <w:rPr>
          <w:color w:val="231F20"/>
          <w:w w:val="105"/>
        </w:rPr>
        <w:t>(Martínez,</w:t>
      </w:r>
      <w:r>
        <w:rPr>
          <w:color w:val="231F20"/>
          <w:spacing w:val="-16"/>
          <w:w w:val="105"/>
        </w:rPr>
        <w:t> </w:t>
      </w:r>
      <w:r>
        <w:rPr>
          <w:color w:val="231F20"/>
          <w:w w:val="105"/>
        </w:rPr>
        <w:t>entrevista)</w:t>
      </w:r>
    </w:p>
    <w:p>
      <w:pPr>
        <w:pStyle w:val="BodyText"/>
        <w:spacing w:before="1"/>
        <w:rPr>
          <w:sz w:val="26"/>
        </w:rPr>
      </w:pPr>
    </w:p>
    <w:p>
      <w:pPr>
        <w:pStyle w:val="BodyText"/>
        <w:spacing w:line="285" w:lineRule="auto"/>
        <w:ind w:left="110" w:right="108"/>
        <w:jc w:val="both"/>
      </w:pPr>
      <w:r>
        <w:rPr>
          <w:color w:val="231F20"/>
          <w:w w:val="105"/>
        </w:rPr>
        <w:t>Dentro</w:t>
      </w:r>
      <w:r>
        <w:rPr>
          <w:color w:val="231F20"/>
          <w:spacing w:val="-8"/>
          <w:w w:val="105"/>
        </w:rPr>
        <w:t> </w:t>
      </w:r>
      <w:r>
        <w:rPr>
          <w:color w:val="231F20"/>
          <w:w w:val="105"/>
        </w:rPr>
        <w:t>del</w:t>
      </w:r>
      <w:r>
        <w:rPr>
          <w:color w:val="231F20"/>
          <w:spacing w:val="-8"/>
          <w:w w:val="105"/>
        </w:rPr>
        <w:t> </w:t>
      </w:r>
      <w:r>
        <w:rPr>
          <w:color w:val="231F20"/>
          <w:w w:val="105"/>
        </w:rPr>
        <w:t>mismo</w:t>
      </w:r>
      <w:r>
        <w:rPr>
          <w:color w:val="231F20"/>
          <w:spacing w:val="-8"/>
          <w:w w:val="105"/>
        </w:rPr>
        <w:t> </w:t>
      </w:r>
      <w:r>
        <w:rPr>
          <w:color w:val="231F20"/>
          <w:w w:val="105"/>
        </w:rPr>
        <w:t>PRI</w:t>
      </w:r>
      <w:r>
        <w:rPr>
          <w:color w:val="231F20"/>
          <w:spacing w:val="-8"/>
          <w:w w:val="105"/>
        </w:rPr>
        <w:t> </w:t>
      </w:r>
      <w:r>
        <w:rPr>
          <w:color w:val="231F20"/>
          <w:w w:val="105"/>
        </w:rPr>
        <w:t>se</w:t>
      </w:r>
      <w:r>
        <w:rPr>
          <w:color w:val="231F20"/>
          <w:spacing w:val="-8"/>
          <w:w w:val="105"/>
        </w:rPr>
        <w:t> </w:t>
      </w:r>
      <w:r>
        <w:rPr>
          <w:color w:val="231F20"/>
          <w:w w:val="105"/>
        </w:rPr>
        <w:t>les</w:t>
      </w:r>
      <w:r>
        <w:rPr>
          <w:color w:val="231F20"/>
          <w:spacing w:val="-8"/>
          <w:w w:val="105"/>
        </w:rPr>
        <w:t> </w:t>
      </w:r>
      <w:r>
        <w:rPr>
          <w:color w:val="231F20"/>
          <w:w w:val="105"/>
        </w:rPr>
        <w:t>oponen</w:t>
      </w:r>
      <w:r>
        <w:rPr>
          <w:color w:val="231F20"/>
          <w:spacing w:val="-8"/>
          <w:w w:val="105"/>
        </w:rPr>
        <w:t> </w:t>
      </w:r>
      <w:r>
        <w:rPr>
          <w:color w:val="231F20"/>
          <w:w w:val="105"/>
        </w:rPr>
        <w:t>otros,</w:t>
      </w:r>
      <w:r>
        <w:rPr>
          <w:color w:val="231F20"/>
          <w:spacing w:val="-8"/>
          <w:w w:val="105"/>
        </w:rPr>
        <w:t> </w:t>
      </w:r>
      <w:r>
        <w:rPr>
          <w:color w:val="231F20"/>
          <w:w w:val="105"/>
        </w:rPr>
        <w:t>empero</w:t>
      </w:r>
      <w:r>
        <w:rPr>
          <w:color w:val="231F20"/>
          <w:spacing w:val="-8"/>
          <w:w w:val="105"/>
        </w:rPr>
        <w:t> </w:t>
      </w:r>
      <w:r>
        <w:rPr>
          <w:color w:val="231F20"/>
          <w:w w:val="105"/>
        </w:rPr>
        <w:t>estos</w:t>
      </w:r>
      <w:r>
        <w:rPr>
          <w:color w:val="231F20"/>
          <w:spacing w:val="-8"/>
          <w:w w:val="105"/>
        </w:rPr>
        <w:t> </w:t>
      </w:r>
      <w:r>
        <w:rPr>
          <w:color w:val="231F20"/>
          <w:w w:val="105"/>
        </w:rPr>
        <w:t>desarrollan</w:t>
      </w:r>
      <w:r>
        <w:rPr>
          <w:color w:val="231F20"/>
          <w:spacing w:val="-8"/>
          <w:w w:val="105"/>
        </w:rPr>
        <w:t> </w:t>
      </w:r>
      <w:r>
        <w:rPr>
          <w:color w:val="231F20"/>
          <w:w w:val="105"/>
        </w:rPr>
        <w:t>prácticas</w:t>
      </w:r>
      <w:r>
        <w:rPr>
          <w:color w:val="231F20"/>
          <w:spacing w:val="-8"/>
          <w:w w:val="105"/>
        </w:rPr>
        <w:t> </w:t>
      </w:r>
      <w:r>
        <w:rPr>
          <w:color w:val="231F20"/>
          <w:w w:val="105"/>
        </w:rPr>
        <w:t>caciqui- les</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que,</w:t>
      </w:r>
      <w:r>
        <w:rPr>
          <w:color w:val="231F20"/>
          <w:spacing w:val="-10"/>
          <w:w w:val="105"/>
        </w:rPr>
        <w:t> </w:t>
      </w:r>
      <w:r>
        <w:rPr>
          <w:color w:val="231F20"/>
          <w:w w:val="105"/>
        </w:rPr>
        <w:t>además</w:t>
      </w:r>
      <w:r>
        <w:rPr>
          <w:color w:val="231F20"/>
          <w:spacing w:val="-10"/>
          <w:w w:val="105"/>
        </w:rPr>
        <w:t> </w:t>
      </w:r>
      <w:r>
        <w:rPr>
          <w:color w:val="231F20"/>
          <w:w w:val="105"/>
        </w:rPr>
        <w:t>de</w:t>
      </w:r>
      <w:r>
        <w:rPr>
          <w:color w:val="231F20"/>
          <w:spacing w:val="-10"/>
          <w:w w:val="105"/>
        </w:rPr>
        <w:t> </w:t>
      </w:r>
      <w:r>
        <w:rPr>
          <w:color w:val="231F20"/>
          <w:w w:val="105"/>
        </w:rPr>
        <w:t>aprovechar</w:t>
      </w:r>
      <w:r>
        <w:rPr>
          <w:color w:val="231F20"/>
          <w:spacing w:val="-10"/>
          <w:w w:val="105"/>
        </w:rPr>
        <w:t> </w:t>
      </w:r>
      <w:r>
        <w:rPr>
          <w:color w:val="231F20"/>
          <w:w w:val="105"/>
        </w:rPr>
        <w:t>las</w:t>
      </w:r>
      <w:r>
        <w:rPr>
          <w:color w:val="231F20"/>
          <w:spacing w:val="-10"/>
          <w:w w:val="105"/>
        </w:rPr>
        <w:t> </w:t>
      </w:r>
      <w:r>
        <w:rPr>
          <w:color w:val="231F20"/>
          <w:w w:val="105"/>
        </w:rPr>
        <w:t>coyunturas</w:t>
      </w:r>
      <w:r>
        <w:rPr>
          <w:color w:val="231F20"/>
          <w:spacing w:val="-10"/>
          <w:w w:val="105"/>
        </w:rPr>
        <w:t> </w:t>
      </w:r>
      <w:r>
        <w:rPr>
          <w:color w:val="231F20"/>
          <w:w w:val="105"/>
        </w:rPr>
        <w:t>social</w:t>
      </w:r>
      <w:r>
        <w:rPr>
          <w:color w:val="231F20"/>
          <w:spacing w:val="-10"/>
          <w:w w:val="105"/>
        </w:rPr>
        <w:t> </w:t>
      </w:r>
      <w:r>
        <w:rPr>
          <w:color w:val="231F20"/>
          <w:w w:val="105"/>
        </w:rPr>
        <w:t>y</w:t>
      </w:r>
      <w:r>
        <w:rPr>
          <w:color w:val="231F20"/>
          <w:spacing w:val="-10"/>
          <w:w w:val="105"/>
        </w:rPr>
        <w:t> </w:t>
      </w:r>
      <w:r>
        <w:rPr>
          <w:color w:val="231F20"/>
          <w:w w:val="105"/>
        </w:rPr>
        <w:t>económica</w:t>
      </w:r>
      <w:r>
        <w:rPr>
          <w:color w:val="231F20"/>
          <w:spacing w:val="-10"/>
          <w:w w:val="105"/>
        </w:rPr>
        <w:t> </w:t>
      </w:r>
      <w:r>
        <w:rPr>
          <w:color w:val="231F20"/>
          <w:w w:val="105"/>
        </w:rPr>
        <w:t>para</w:t>
      </w:r>
      <w:r>
        <w:rPr>
          <w:color w:val="231F20"/>
          <w:spacing w:val="-10"/>
          <w:w w:val="105"/>
        </w:rPr>
        <w:t> </w:t>
      </w:r>
      <w:r>
        <w:rPr>
          <w:color w:val="231F20"/>
          <w:w w:val="105"/>
        </w:rPr>
        <w:t>desenvol- verse,</w:t>
      </w:r>
      <w:r>
        <w:rPr>
          <w:color w:val="231F20"/>
          <w:spacing w:val="-12"/>
          <w:w w:val="105"/>
        </w:rPr>
        <w:t> </w:t>
      </w:r>
      <w:r>
        <w:rPr>
          <w:color w:val="231F20"/>
          <w:w w:val="105"/>
        </w:rPr>
        <w:t>asumen</w:t>
      </w:r>
      <w:r>
        <w:rPr>
          <w:color w:val="231F20"/>
          <w:spacing w:val="-12"/>
          <w:w w:val="105"/>
        </w:rPr>
        <w:t> </w:t>
      </w:r>
      <w:r>
        <w:rPr>
          <w:color w:val="231F20"/>
          <w:w w:val="105"/>
        </w:rPr>
        <w:t>la</w:t>
      </w:r>
      <w:r>
        <w:rPr>
          <w:color w:val="231F20"/>
          <w:spacing w:val="-12"/>
          <w:w w:val="105"/>
        </w:rPr>
        <w:t> </w:t>
      </w:r>
      <w:r>
        <w:rPr>
          <w:color w:val="231F20"/>
          <w:w w:val="105"/>
        </w:rPr>
        <w:t>dominación</w:t>
      </w:r>
      <w:r>
        <w:rPr>
          <w:color w:val="231F20"/>
          <w:spacing w:val="-12"/>
          <w:w w:val="105"/>
        </w:rPr>
        <w:t> </w:t>
      </w:r>
      <w:r>
        <w:rPr>
          <w:color w:val="231F20"/>
          <w:w w:val="105"/>
        </w:rPr>
        <w:t>basada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fuerza,</w:t>
      </w:r>
      <w:r>
        <w:rPr>
          <w:color w:val="231F20"/>
          <w:spacing w:val="-12"/>
          <w:w w:val="105"/>
        </w:rPr>
        <w:t> </w:t>
      </w:r>
      <w:r>
        <w:rPr>
          <w:color w:val="231F20"/>
          <w:w w:val="105"/>
        </w:rPr>
        <w:t>haciendo</w:t>
      </w:r>
      <w:r>
        <w:rPr>
          <w:color w:val="231F20"/>
          <w:spacing w:val="-12"/>
          <w:w w:val="105"/>
        </w:rPr>
        <w:t> </w:t>
      </w:r>
      <w:r>
        <w:rPr>
          <w:color w:val="231F20"/>
          <w:w w:val="105"/>
        </w:rPr>
        <w:t>imposible</w:t>
      </w:r>
      <w:r>
        <w:rPr>
          <w:color w:val="231F20"/>
          <w:spacing w:val="-12"/>
          <w:w w:val="105"/>
        </w:rPr>
        <w:t> </w:t>
      </w:r>
      <w:r>
        <w:rPr>
          <w:color w:val="231F20"/>
          <w:w w:val="105"/>
        </w:rPr>
        <w:t>la</w:t>
      </w:r>
      <w:r>
        <w:rPr>
          <w:color w:val="231F20"/>
          <w:spacing w:val="-12"/>
          <w:w w:val="105"/>
        </w:rPr>
        <w:t> </w:t>
      </w:r>
      <w:r>
        <w:rPr>
          <w:color w:val="231F20"/>
          <w:w w:val="105"/>
        </w:rPr>
        <w:t>declaración</w:t>
      </w:r>
      <w:r>
        <w:rPr>
          <w:color w:val="231F20"/>
          <w:spacing w:val="-12"/>
          <w:w w:val="105"/>
        </w:rPr>
        <w:t> </w:t>
      </w:r>
      <w:r>
        <w:rPr>
          <w:color w:val="231F20"/>
          <w:w w:val="105"/>
        </w:rPr>
        <w:t>de nuevos</w:t>
      </w:r>
      <w:r>
        <w:rPr>
          <w:color w:val="231F20"/>
          <w:spacing w:val="-31"/>
          <w:w w:val="105"/>
        </w:rPr>
        <w:t> </w:t>
      </w:r>
      <w:r>
        <w:rPr>
          <w:color w:val="231F20"/>
          <w:w w:val="105"/>
        </w:rPr>
        <w:t>principios</w:t>
      </w:r>
      <w:r>
        <w:rPr>
          <w:color w:val="231F20"/>
          <w:spacing w:val="-31"/>
          <w:w w:val="105"/>
        </w:rPr>
        <w:t> </w:t>
      </w:r>
      <w:r>
        <w:rPr>
          <w:color w:val="231F20"/>
          <w:w w:val="105"/>
        </w:rPr>
        <w:t>jurídicos</w:t>
      </w:r>
      <w:r>
        <w:rPr>
          <w:color w:val="231F20"/>
          <w:spacing w:val="-31"/>
          <w:w w:val="105"/>
        </w:rPr>
        <w:t> </w:t>
      </w:r>
      <w:r>
        <w:rPr>
          <w:color w:val="231F20"/>
          <w:w w:val="105"/>
        </w:rPr>
        <w:t>o</w:t>
      </w:r>
      <w:r>
        <w:rPr>
          <w:color w:val="231F20"/>
          <w:spacing w:val="-31"/>
          <w:w w:val="105"/>
        </w:rPr>
        <w:t> </w:t>
      </w:r>
      <w:r>
        <w:rPr>
          <w:color w:val="231F20"/>
          <w:w w:val="105"/>
        </w:rPr>
        <w:t>administrativos,</w:t>
      </w:r>
      <w:r>
        <w:rPr>
          <w:color w:val="231F20"/>
          <w:spacing w:val="-31"/>
          <w:w w:val="105"/>
        </w:rPr>
        <w:t> </w:t>
      </w:r>
      <w:r>
        <w:rPr>
          <w:color w:val="231F20"/>
          <w:spacing w:val="-5"/>
          <w:w w:val="105"/>
        </w:rPr>
        <w:t>(Weber,</w:t>
      </w:r>
      <w:r>
        <w:rPr>
          <w:color w:val="231F20"/>
          <w:spacing w:val="-31"/>
          <w:w w:val="105"/>
        </w:rPr>
        <w:t> </w:t>
      </w:r>
      <w:r>
        <w:rPr>
          <w:color w:val="231F20"/>
          <w:w w:val="105"/>
        </w:rPr>
        <w:t>1984:</w:t>
      </w:r>
      <w:r>
        <w:rPr>
          <w:color w:val="231F20"/>
          <w:spacing w:val="-31"/>
          <w:w w:val="105"/>
        </w:rPr>
        <w:t> </w:t>
      </w:r>
      <w:r>
        <w:rPr>
          <w:color w:val="231F20"/>
          <w:spacing w:val="-8"/>
          <w:w w:val="105"/>
        </w:rPr>
        <w:t>181).</w:t>
      </w:r>
      <w:r>
        <w:rPr>
          <w:color w:val="231F20"/>
          <w:spacing w:val="-31"/>
          <w:w w:val="105"/>
        </w:rPr>
        <w:t> </w:t>
      </w:r>
      <w:r>
        <w:rPr>
          <w:color w:val="231F20"/>
          <w:w w:val="105"/>
        </w:rPr>
        <w:t>Los</w:t>
      </w:r>
      <w:r>
        <w:rPr>
          <w:color w:val="231F20"/>
          <w:spacing w:val="-31"/>
          <w:w w:val="105"/>
        </w:rPr>
        <w:t> </w:t>
      </w:r>
      <w:r>
        <w:rPr>
          <w:color w:val="231F20"/>
          <w:w w:val="105"/>
        </w:rPr>
        <w:t>más</w:t>
      </w:r>
      <w:r>
        <w:rPr>
          <w:color w:val="231F20"/>
          <w:spacing w:val="-31"/>
          <w:w w:val="105"/>
        </w:rPr>
        <w:t> </w:t>
      </w:r>
      <w:r>
        <w:rPr>
          <w:color w:val="231F20"/>
          <w:w w:val="105"/>
        </w:rPr>
        <w:t>significativos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por su trascendencia política y de gobierno son:</w:t>
      </w:r>
    </w:p>
    <w:p>
      <w:pPr>
        <w:pStyle w:val="BodyText"/>
        <w:spacing w:line="285" w:lineRule="auto" w:before="47"/>
        <w:ind w:left="677" w:right="107"/>
        <w:jc w:val="both"/>
      </w:pPr>
      <w:r>
        <w:rPr>
          <w:color w:val="231F20"/>
          <w:spacing w:val="-4"/>
          <w:w w:val="105"/>
        </w:rPr>
        <w:t>Organización de </w:t>
      </w:r>
      <w:r>
        <w:rPr>
          <w:color w:val="231F20"/>
          <w:spacing w:val="-5"/>
          <w:w w:val="105"/>
        </w:rPr>
        <w:t>Pueblos </w:t>
      </w:r>
      <w:r>
        <w:rPr>
          <w:color w:val="231F20"/>
          <w:w w:val="105"/>
        </w:rPr>
        <w:t>y </w:t>
      </w:r>
      <w:r>
        <w:rPr>
          <w:color w:val="231F20"/>
          <w:spacing w:val="-4"/>
          <w:w w:val="105"/>
        </w:rPr>
        <w:t>Colonias, en </w:t>
      </w:r>
      <w:r>
        <w:rPr>
          <w:color w:val="231F20"/>
          <w:spacing w:val="-3"/>
          <w:w w:val="105"/>
        </w:rPr>
        <w:t>su </w:t>
      </w:r>
      <w:r>
        <w:rPr>
          <w:color w:val="231F20"/>
          <w:spacing w:val="-6"/>
          <w:w w:val="105"/>
        </w:rPr>
        <w:t>momento representado </w:t>
      </w:r>
      <w:r>
        <w:rPr>
          <w:color w:val="231F20"/>
          <w:spacing w:val="-4"/>
          <w:w w:val="105"/>
        </w:rPr>
        <w:t>por </w:t>
      </w:r>
      <w:r>
        <w:rPr>
          <w:color w:val="231F20"/>
          <w:spacing w:val="-5"/>
          <w:w w:val="105"/>
        </w:rPr>
        <w:t>Guadalupe </w:t>
      </w:r>
      <w:r>
        <w:rPr>
          <w:color w:val="231F20"/>
          <w:w w:val="105"/>
        </w:rPr>
        <w:t>Eulalia</w:t>
      </w:r>
      <w:r>
        <w:rPr>
          <w:color w:val="231F20"/>
          <w:spacing w:val="-13"/>
          <w:w w:val="105"/>
        </w:rPr>
        <w:t> </w:t>
      </w:r>
      <w:r>
        <w:rPr>
          <w:color w:val="231F20"/>
          <w:spacing w:val="-5"/>
          <w:w w:val="105"/>
        </w:rPr>
        <w:t>Buendía</w:t>
      </w:r>
      <w:r>
        <w:rPr>
          <w:color w:val="231F20"/>
          <w:spacing w:val="-13"/>
          <w:w w:val="105"/>
        </w:rPr>
        <w:t> </w:t>
      </w:r>
      <w:r>
        <w:rPr>
          <w:color w:val="231F20"/>
          <w:spacing w:val="-8"/>
          <w:w w:val="105"/>
        </w:rPr>
        <w:t>Torres.</w:t>
      </w:r>
      <w:r>
        <w:rPr>
          <w:color w:val="231F20"/>
          <w:spacing w:val="-13"/>
          <w:w w:val="105"/>
        </w:rPr>
        <w:t> </w:t>
      </w:r>
      <w:r>
        <w:rPr>
          <w:color w:val="231F20"/>
          <w:spacing w:val="-2"/>
          <w:w w:val="105"/>
        </w:rPr>
        <w:t>(Y)</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5"/>
          <w:w w:val="105"/>
        </w:rPr>
        <w:t>fecha,</w:t>
      </w:r>
      <w:r>
        <w:rPr>
          <w:color w:val="231F20"/>
          <w:spacing w:val="-13"/>
          <w:w w:val="105"/>
        </w:rPr>
        <w:t> </w:t>
      </w:r>
      <w:r>
        <w:rPr>
          <w:color w:val="231F20"/>
          <w:spacing w:val="-5"/>
          <w:w w:val="105"/>
        </w:rPr>
        <w:t>aunque</w:t>
      </w:r>
      <w:r>
        <w:rPr>
          <w:color w:val="231F20"/>
          <w:spacing w:val="-13"/>
          <w:w w:val="105"/>
        </w:rPr>
        <w:t> </w:t>
      </w:r>
      <w:r>
        <w:rPr>
          <w:color w:val="231F20"/>
          <w:w w:val="105"/>
        </w:rPr>
        <w:t>a</w:t>
      </w:r>
      <w:r>
        <w:rPr>
          <w:color w:val="231F20"/>
          <w:spacing w:val="-13"/>
          <w:w w:val="105"/>
        </w:rPr>
        <w:t> </w:t>
      </w:r>
      <w:r>
        <w:rPr>
          <w:color w:val="231F20"/>
          <w:spacing w:val="-5"/>
          <w:w w:val="105"/>
        </w:rPr>
        <w:t>nuestro</w:t>
      </w:r>
      <w:r>
        <w:rPr>
          <w:color w:val="231F20"/>
          <w:spacing w:val="-13"/>
          <w:w w:val="105"/>
        </w:rPr>
        <w:t> </w:t>
      </w:r>
      <w:r>
        <w:rPr>
          <w:color w:val="231F20"/>
          <w:spacing w:val="-5"/>
          <w:w w:val="105"/>
        </w:rPr>
        <w:t>juicio</w:t>
      </w:r>
      <w:r>
        <w:rPr>
          <w:color w:val="231F20"/>
          <w:spacing w:val="-13"/>
          <w:w w:val="105"/>
        </w:rPr>
        <w:t> </w:t>
      </w:r>
      <w:r>
        <w:rPr>
          <w:color w:val="231F20"/>
          <w:spacing w:val="-4"/>
          <w:w w:val="105"/>
        </w:rPr>
        <w:t>no</w:t>
      </w:r>
      <w:r>
        <w:rPr>
          <w:color w:val="231F20"/>
          <w:spacing w:val="-13"/>
          <w:w w:val="105"/>
        </w:rPr>
        <w:t> </w:t>
      </w:r>
      <w:r>
        <w:rPr>
          <w:color w:val="231F20"/>
          <w:w w:val="105"/>
        </w:rPr>
        <w:t>se</w:t>
      </w:r>
      <w:r>
        <w:rPr>
          <w:color w:val="231F20"/>
          <w:spacing w:val="-13"/>
          <w:w w:val="105"/>
        </w:rPr>
        <w:t> </w:t>
      </w:r>
      <w:r>
        <w:rPr>
          <w:color w:val="231F20"/>
          <w:spacing w:val="-5"/>
          <w:w w:val="105"/>
        </w:rPr>
        <w:t>encuentra</w:t>
      </w:r>
      <w:r>
        <w:rPr>
          <w:color w:val="231F20"/>
          <w:spacing w:val="-13"/>
          <w:w w:val="105"/>
        </w:rPr>
        <w:t> </w:t>
      </w:r>
      <w:r>
        <w:rPr>
          <w:color w:val="231F20"/>
          <w:spacing w:val="-6"/>
          <w:w w:val="105"/>
        </w:rPr>
        <w:t>debi- </w:t>
      </w:r>
      <w:r>
        <w:rPr>
          <w:color w:val="231F20"/>
          <w:spacing w:val="-5"/>
          <w:w w:val="105"/>
        </w:rPr>
        <w:t>damente</w:t>
      </w:r>
      <w:r>
        <w:rPr>
          <w:color w:val="231F20"/>
          <w:spacing w:val="-11"/>
          <w:w w:val="105"/>
        </w:rPr>
        <w:t> </w:t>
      </w:r>
      <w:r>
        <w:rPr>
          <w:color w:val="231F20"/>
          <w:spacing w:val="-5"/>
          <w:w w:val="105"/>
        </w:rPr>
        <w:t>identificada</w:t>
      </w:r>
      <w:r>
        <w:rPr>
          <w:color w:val="231F20"/>
          <w:spacing w:val="-11"/>
          <w:w w:val="105"/>
        </w:rPr>
        <w:t> </w:t>
      </w:r>
      <w:r>
        <w:rPr>
          <w:color w:val="231F20"/>
          <w:spacing w:val="-5"/>
          <w:w w:val="105"/>
        </w:rPr>
        <w:t>pero</w:t>
      </w:r>
      <w:r>
        <w:rPr>
          <w:color w:val="231F20"/>
          <w:spacing w:val="-11"/>
          <w:w w:val="105"/>
        </w:rPr>
        <w:t> </w:t>
      </w:r>
      <w:r>
        <w:rPr>
          <w:color w:val="231F20"/>
          <w:spacing w:val="-3"/>
          <w:w w:val="105"/>
        </w:rPr>
        <w:t>sí</w:t>
      </w:r>
      <w:r>
        <w:rPr>
          <w:color w:val="231F20"/>
          <w:spacing w:val="-11"/>
          <w:w w:val="105"/>
        </w:rPr>
        <w:t> </w:t>
      </w:r>
      <w:r>
        <w:rPr>
          <w:color w:val="231F20"/>
          <w:spacing w:val="-5"/>
          <w:w w:val="105"/>
        </w:rPr>
        <w:t>apoyada</w:t>
      </w:r>
      <w:r>
        <w:rPr>
          <w:color w:val="231F20"/>
          <w:spacing w:val="-11"/>
          <w:w w:val="105"/>
        </w:rPr>
        <w:t> </w:t>
      </w:r>
      <w:r>
        <w:rPr>
          <w:color w:val="231F20"/>
          <w:spacing w:val="-4"/>
          <w:w w:val="105"/>
        </w:rPr>
        <w:t>por</w:t>
      </w:r>
      <w:r>
        <w:rPr>
          <w:color w:val="231F20"/>
          <w:spacing w:val="-11"/>
          <w:w w:val="105"/>
        </w:rPr>
        <w:t> </w:t>
      </w:r>
      <w:r>
        <w:rPr>
          <w:color w:val="231F20"/>
          <w:spacing w:val="-3"/>
          <w:w w:val="105"/>
        </w:rPr>
        <w:t>el</w:t>
      </w:r>
      <w:r>
        <w:rPr>
          <w:color w:val="231F20"/>
          <w:spacing w:val="-11"/>
          <w:w w:val="105"/>
        </w:rPr>
        <w:t> </w:t>
      </w:r>
      <w:r>
        <w:rPr>
          <w:color w:val="231F20"/>
          <w:spacing w:val="-4"/>
          <w:w w:val="105"/>
        </w:rPr>
        <w:t>PRI,</w:t>
      </w:r>
      <w:r>
        <w:rPr>
          <w:color w:val="231F20"/>
          <w:spacing w:val="-11"/>
          <w:w w:val="105"/>
        </w:rPr>
        <w:t> </w:t>
      </w:r>
      <w:r>
        <w:rPr>
          <w:color w:val="231F20"/>
          <w:w w:val="105"/>
        </w:rPr>
        <w:t>la</w:t>
      </w:r>
      <w:r>
        <w:rPr>
          <w:color w:val="231F20"/>
          <w:spacing w:val="-11"/>
          <w:w w:val="105"/>
        </w:rPr>
        <w:t> </w:t>
      </w:r>
      <w:r>
        <w:rPr>
          <w:color w:val="231F20"/>
          <w:spacing w:val="-4"/>
          <w:w w:val="105"/>
        </w:rPr>
        <w:t>Organización</w:t>
      </w:r>
      <w:r>
        <w:rPr>
          <w:color w:val="231F20"/>
          <w:spacing w:val="-11"/>
          <w:w w:val="105"/>
        </w:rPr>
        <w:t> </w:t>
      </w:r>
      <w:r>
        <w:rPr>
          <w:color w:val="231F20"/>
          <w:spacing w:val="-5"/>
          <w:w w:val="105"/>
        </w:rPr>
        <w:t>Antorcha</w:t>
      </w:r>
      <w:r>
        <w:rPr>
          <w:color w:val="231F20"/>
          <w:spacing w:val="-11"/>
          <w:w w:val="105"/>
        </w:rPr>
        <w:t> </w:t>
      </w:r>
      <w:r>
        <w:rPr>
          <w:color w:val="231F20"/>
          <w:spacing w:val="-6"/>
          <w:w w:val="105"/>
        </w:rPr>
        <w:t>Popular, </w:t>
      </w:r>
      <w:r>
        <w:rPr>
          <w:color w:val="231F20"/>
          <w:spacing w:val="-3"/>
          <w:w w:val="105"/>
        </w:rPr>
        <w:t>cuya</w:t>
      </w:r>
      <w:r>
        <w:rPr>
          <w:color w:val="231F20"/>
          <w:spacing w:val="-26"/>
          <w:w w:val="105"/>
        </w:rPr>
        <w:t> </w:t>
      </w:r>
      <w:r>
        <w:rPr>
          <w:color w:val="231F20"/>
          <w:spacing w:val="-4"/>
          <w:w w:val="105"/>
        </w:rPr>
        <w:t>cabeza</w:t>
      </w:r>
      <w:r>
        <w:rPr>
          <w:color w:val="231F20"/>
          <w:spacing w:val="-26"/>
          <w:w w:val="105"/>
        </w:rPr>
        <w:t> </w:t>
      </w:r>
      <w:r>
        <w:rPr>
          <w:color w:val="231F20"/>
          <w:w w:val="105"/>
        </w:rPr>
        <w:t>más</w:t>
      </w:r>
      <w:r>
        <w:rPr>
          <w:color w:val="231F20"/>
          <w:spacing w:val="-26"/>
          <w:w w:val="105"/>
        </w:rPr>
        <w:t> </w:t>
      </w:r>
      <w:r>
        <w:rPr>
          <w:color w:val="231F20"/>
          <w:spacing w:val="-4"/>
          <w:w w:val="105"/>
        </w:rPr>
        <w:t>visible</w:t>
      </w:r>
      <w:r>
        <w:rPr>
          <w:color w:val="231F20"/>
          <w:spacing w:val="-26"/>
          <w:w w:val="105"/>
        </w:rPr>
        <w:t> </w:t>
      </w:r>
      <w:r>
        <w:rPr>
          <w:color w:val="231F20"/>
          <w:w w:val="105"/>
        </w:rPr>
        <w:t>es</w:t>
      </w:r>
      <w:r>
        <w:rPr>
          <w:color w:val="231F20"/>
          <w:spacing w:val="-26"/>
          <w:w w:val="105"/>
        </w:rPr>
        <w:t> </w:t>
      </w:r>
      <w:r>
        <w:rPr>
          <w:color w:val="231F20"/>
          <w:spacing w:val="-4"/>
          <w:w w:val="105"/>
        </w:rPr>
        <w:t>Jesús</w:t>
      </w:r>
      <w:r>
        <w:rPr>
          <w:color w:val="231F20"/>
          <w:spacing w:val="-26"/>
          <w:w w:val="105"/>
        </w:rPr>
        <w:t> </w:t>
      </w:r>
      <w:r>
        <w:rPr>
          <w:color w:val="231F20"/>
          <w:spacing w:val="-8"/>
          <w:w w:val="105"/>
        </w:rPr>
        <w:t>Tolentino</w:t>
      </w:r>
      <w:r>
        <w:rPr>
          <w:color w:val="231F20"/>
          <w:spacing w:val="-26"/>
          <w:w w:val="105"/>
        </w:rPr>
        <w:t> </w:t>
      </w:r>
      <w:r>
        <w:rPr>
          <w:color w:val="231F20"/>
          <w:spacing w:val="-5"/>
          <w:w w:val="105"/>
        </w:rPr>
        <w:t>Román</w:t>
      </w:r>
      <w:r>
        <w:rPr>
          <w:color w:val="231F20"/>
          <w:spacing w:val="-26"/>
          <w:w w:val="105"/>
        </w:rPr>
        <w:t> </w:t>
      </w:r>
      <w:r>
        <w:rPr>
          <w:color w:val="231F20"/>
          <w:spacing w:val="-6"/>
          <w:w w:val="105"/>
        </w:rPr>
        <w:t>Bojórquez.</w:t>
      </w:r>
      <w:r>
        <w:rPr>
          <w:color w:val="231F20"/>
          <w:spacing w:val="-26"/>
          <w:w w:val="105"/>
        </w:rPr>
        <w:t> </w:t>
      </w:r>
      <w:r>
        <w:rPr>
          <w:color w:val="231F20"/>
          <w:spacing w:val="-4"/>
          <w:w w:val="105"/>
        </w:rPr>
        <w:t>(Martínez,</w:t>
      </w:r>
      <w:r>
        <w:rPr>
          <w:color w:val="231F20"/>
          <w:spacing w:val="-26"/>
          <w:w w:val="105"/>
        </w:rPr>
        <w:t> </w:t>
      </w:r>
      <w:r>
        <w:rPr>
          <w:color w:val="231F20"/>
          <w:spacing w:val="-5"/>
          <w:w w:val="105"/>
        </w:rPr>
        <w:t>entrevista)</w:t>
      </w:r>
    </w:p>
    <w:p>
      <w:pPr>
        <w:pStyle w:val="BodyText"/>
        <w:spacing w:before="1"/>
        <w:rPr>
          <w:sz w:val="26"/>
        </w:rPr>
      </w:pPr>
    </w:p>
    <w:p>
      <w:pPr>
        <w:pStyle w:val="BodyText"/>
        <w:spacing w:line="285" w:lineRule="auto"/>
        <w:ind w:left="110" w:right="107"/>
        <w:jc w:val="both"/>
      </w:pPr>
      <w:r>
        <w:rPr>
          <w:color w:val="231F20"/>
          <w:w w:val="105"/>
        </w:rPr>
        <w:t>Junto a estos grupos se desarrollan otros de filiación política diferente, en su mayoría siguen el mismo esquema que se dio a nivel nacional para constituir el </w:t>
      </w:r>
      <w:r>
        <w:rPr>
          <w:color w:val="231F20"/>
          <w:spacing w:val="-3"/>
          <w:w w:val="105"/>
        </w:rPr>
        <w:t>PRD, </w:t>
      </w:r>
      <w:r>
        <w:rPr>
          <w:color w:val="231F20"/>
          <w:w w:val="105"/>
        </w:rPr>
        <w:t>que en Chimalhuacán</w:t>
      </w:r>
      <w:r>
        <w:rPr>
          <w:color w:val="231F20"/>
          <w:spacing w:val="-12"/>
          <w:w w:val="105"/>
        </w:rPr>
        <w:t> </w:t>
      </w:r>
      <w:r>
        <w:rPr>
          <w:color w:val="231F20"/>
          <w:w w:val="105"/>
        </w:rPr>
        <w:t>sólo</w:t>
      </w:r>
      <w:r>
        <w:rPr>
          <w:color w:val="231F20"/>
          <w:spacing w:val="-12"/>
          <w:w w:val="105"/>
        </w:rPr>
        <w:t> </w:t>
      </w:r>
      <w:r>
        <w:rPr>
          <w:color w:val="231F20"/>
          <w:w w:val="105"/>
        </w:rPr>
        <w:t>logró</w:t>
      </w:r>
      <w:r>
        <w:rPr>
          <w:color w:val="231F20"/>
          <w:spacing w:val="-12"/>
          <w:w w:val="105"/>
        </w:rPr>
        <w:t> </w:t>
      </w:r>
      <w:r>
        <w:rPr>
          <w:color w:val="231F20"/>
          <w:w w:val="105"/>
        </w:rPr>
        <w:t>destacar</w:t>
      </w:r>
      <w:r>
        <w:rPr>
          <w:color w:val="231F20"/>
          <w:spacing w:val="-12"/>
          <w:w w:val="105"/>
        </w:rPr>
        <w:t> </w:t>
      </w:r>
      <w:r>
        <w:rPr>
          <w:color w:val="231F20"/>
          <w:spacing w:val="2"/>
          <w:w w:val="105"/>
        </w:rPr>
        <w:t>al</w:t>
      </w:r>
      <w:r>
        <w:rPr>
          <w:color w:val="231F20"/>
          <w:spacing w:val="-12"/>
          <w:w w:val="105"/>
        </w:rPr>
        <w:t> </w:t>
      </w:r>
      <w:r>
        <w:rPr>
          <w:color w:val="231F20"/>
          <w:w w:val="105"/>
        </w:rPr>
        <w:t>unirse</w:t>
      </w:r>
      <w:r>
        <w:rPr>
          <w:color w:val="231F20"/>
          <w:spacing w:val="-12"/>
          <w:w w:val="105"/>
        </w:rPr>
        <w:t> </w:t>
      </w:r>
      <w:r>
        <w:rPr>
          <w:color w:val="231F20"/>
          <w:spacing w:val="2"/>
          <w:w w:val="105"/>
        </w:rPr>
        <w:t>al</w:t>
      </w:r>
      <w:r>
        <w:rPr>
          <w:color w:val="231F20"/>
          <w:spacing w:val="-12"/>
          <w:w w:val="105"/>
        </w:rPr>
        <w:t> </w:t>
      </w:r>
      <w:r>
        <w:rPr>
          <w:color w:val="231F20"/>
          <w:w w:val="105"/>
        </w:rPr>
        <w:t>grupo</w:t>
      </w:r>
      <w:r>
        <w:rPr>
          <w:color w:val="231F20"/>
          <w:spacing w:val="-12"/>
          <w:w w:val="105"/>
        </w:rPr>
        <w:t> </w:t>
      </w:r>
      <w:r>
        <w:rPr>
          <w:color w:val="231F20"/>
          <w:w w:val="105"/>
        </w:rPr>
        <w:t>caciquil</w:t>
      </w:r>
      <w:r>
        <w:rPr>
          <w:color w:val="231F20"/>
          <w:spacing w:val="-12"/>
          <w:w w:val="105"/>
        </w:rPr>
        <w:t> </w:t>
      </w:r>
      <w:r>
        <w:rPr>
          <w:color w:val="231F20"/>
          <w:w w:val="105"/>
        </w:rPr>
        <w:t>de</w:t>
      </w:r>
      <w:r>
        <w:rPr>
          <w:color w:val="231F20"/>
          <w:spacing w:val="-12"/>
          <w:w w:val="105"/>
        </w:rPr>
        <w:t> </w:t>
      </w:r>
      <w:r>
        <w:rPr>
          <w:color w:val="231F20"/>
          <w:w w:val="105"/>
        </w:rPr>
        <w:t>Guadalupe</w:t>
      </w:r>
      <w:r>
        <w:rPr>
          <w:color w:val="231F20"/>
          <w:spacing w:val="-12"/>
          <w:w w:val="105"/>
        </w:rPr>
        <w:t> </w:t>
      </w:r>
      <w:r>
        <w:rPr>
          <w:color w:val="231F20"/>
          <w:w w:val="105"/>
        </w:rPr>
        <w:t>Buendía</w:t>
      </w:r>
      <w:r>
        <w:rPr>
          <w:color w:val="231F20"/>
          <w:spacing w:val="-12"/>
          <w:w w:val="105"/>
        </w:rPr>
        <w:t> </w:t>
      </w:r>
      <w:r>
        <w:rPr>
          <w:color w:val="231F20"/>
          <w:w w:val="105"/>
        </w:rPr>
        <w:t>en el</w:t>
      </w:r>
      <w:r>
        <w:rPr>
          <w:color w:val="231F20"/>
          <w:spacing w:val="-18"/>
          <w:w w:val="105"/>
        </w:rPr>
        <w:t> </w:t>
      </w:r>
      <w:r>
        <w:rPr>
          <w:color w:val="231F20"/>
          <w:w w:val="105"/>
        </w:rPr>
        <w:t>año</w:t>
      </w:r>
      <w:r>
        <w:rPr>
          <w:color w:val="231F20"/>
          <w:spacing w:val="-18"/>
          <w:w w:val="105"/>
        </w:rPr>
        <w:t> </w:t>
      </w:r>
      <w:r>
        <w:rPr>
          <w:color w:val="231F20"/>
          <w:spacing w:val="3"/>
          <w:w w:val="105"/>
        </w:rPr>
        <w:t>2000,</w:t>
      </w:r>
      <w:r>
        <w:rPr>
          <w:color w:val="231F20"/>
          <w:spacing w:val="-18"/>
          <w:w w:val="105"/>
        </w:rPr>
        <w:t> </w:t>
      </w:r>
      <w:r>
        <w:rPr>
          <w:color w:val="231F20"/>
          <w:w w:val="105"/>
        </w:rPr>
        <w:t>(los</w:t>
      </w:r>
      <w:r>
        <w:rPr>
          <w:color w:val="231F20"/>
          <w:spacing w:val="-18"/>
          <w:w w:val="105"/>
        </w:rPr>
        <w:t> </w:t>
      </w:r>
      <w:r>
        <w:rPr>
          <w:color w:val="231F20"/>
          <w:w w:val="105"/>
        </w:rPr>
        <w:t>números</w:t>
      </w:r>
      <w:r>
        <w:rPr>
          <w:color w:val="231F20"/>
          <w:spacing w:val="-18"/>
          <w:w w:val="105"/>
        </w:rPr>
        <w:t> </w:t>
      </w:r>
      <w:r>
        <w:rPr>
          <w:color w:val="231F20"/>
          <w:w w:val="105"/>
        </w:rPr>
        <w:t>que</w:t>
      </w:r>
      <w:r>
        <w:rPr>
          <w:color w:val="231F20"/>
          <w:spacing w:val="-18"/>
          <w:w w:val="105"/>
        </w:rPr>
        <w:t> </w:t>
      </w:r>
      <w:r>
        <w:rPr>
          <w:color w:val="231F20"/>
          <w:w w:val="105"/>
        </w:rPr>
        <w:t>tiene</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proceso</w:t>
      </w:r>
      <w:r>
        <w:rPr>
          <w:color w:val="231F20"/>
          <w:spacing w:val="-18"/>
          <w:w w:val="105"/>
        </w:rPr>
        <w:t> </w:t>
      </w:r>
      <w:r>
        <w:rPr>
          <w:color w:val="231F20"/>
          <w:w w:val="105"/>
        </w:rPr>
        <w:t>electoral</w:t>
      </w:r>
      <w:r>
        <w:rPr>
          <w:color w:val="231F20"/>
          <w:spacing w:val="-18"/>
          <w:w w:val="105"/>
        </w:rPr>
        <w:t> </w:t>
      </w:r>
      <w:r>
        <w:rPr>
          <w:color w:val="231F20"/>
          <w:w w:val="105"/>
        </w:rPr>
        <w:t>son</w:t>
      </w:r>
      <w:r>
        <w:rPr>
          <w:color w:val="231F20"/>
          <w:spacing w:val="-18"/>
          <w:w w:val="105"/>
        </w:rPr>
        <w:t> </w:t>
      </w:r>
      <w:r>
        <w:rPr>
          <w:color w:val="231F20"/>
          <w:spacing w:val="-4"/>
          <w:w w:val="105"/>
        </w:rPr>
        <w:t>37,466</w:t>
      </w:r>
      <w:r>
        <w:rPr>
          <w:color w:val="231F20"/>
          <w:spacing w:val="-18"/>
          <w:w w:val="105"/>
        </w:rPr>
        <w:t> </w:t>
      </w:r>
      <w:r>
        <w:rPr>
          <w:color w:val="231F20"/>
          <w:w w:val="105"/>
        </w:rPr>
        <w:t>votos,</w:t>
      </w:r>
      <w:r>
        <w:rPr>
          <w:color w:val="231F20"/>
          <w:spacing w:val="-18"/>
          <w:w w:val="105"/>
        </w:rPr>
        <w:t> </w:t>
      </w:r>
      <w:r>
        <w:rPr>
          <w:color w:val="231F20"/>
          <w:w w:val="105"/>
        </w:rPr>
        <w:t>la</w:t>
      </w:r>
      <w:r>
        <w:rPr>
          <w:color w:val="231F20"/>
          <w:spacing w:val="-18"/>
          <w:w w:val="105"/>
        </w:rPr>
        <w:t> </w:t>
      </w:r>
      <w:r>
        <w:rPr>
          <w:color w:val="231F20"/>
          <w:w w:val="105"/>
        </w:rPr>
        <w:t>cantidad más grande que ha obtenido en el municipio </w:t>
      </w:r>
      <w:r>
        <w:rPr>
          <w:color w:val="231F20"/>
          <w:spacing w:val="-7"/>
          <w:w w:val="105"/>
        </w:rPr>
        <w:t>y, </w:t>
      </w:r>
      <w:r>
        <w:rPr>
          <w:color w:val="231F20"/>
          <w:w w:val="105"/>
        </w:rPr>
        <w:t>sin embargo, la diferencia con el PRI triunfador</w:t>
      </w:r>
      <w:r>
        <w:rPr>
          <w:color w:val="231F20"/>
          <w:spacing w:val="-15"/>
          <w:w w:val="105"/>
        </w:rPr>
        <w:t> </w:t>
      </w:r>
      <w:r>
        <w:rPr>
          <w:color w:val="231F20"/>
          <w:w w:val="105"/>
        </w:rPr>
        <w:t>fue</w:t>
      </w:r>
      <w:r>
        <w:rPr>
          <w:color w:val="231F20"/>
          <w:spacing w:val="-15"/>
          <w:w w:val="105"/>
        </w:rPr>
        <w:t> </w:t>
      </w:r>
      <w:r>
        <w:rPr>
          <w:color w:val="231F20"/>
          <w:w w:val="105"/>
        </w:rPr>
        <w:t>de</w:t>
      </w:r>
      <w:r>
        <w:rPr>
          <w:color w:val="231F20"/>
          <w:spacing w:val="-15"/>
          <w:w w:val="105"/>
        </w:rPr>
        <w:t> </w:t>
      </w:r>
      <w:r>
        <w:rPr>
          <w:color w:val="231F20"/>
          <w:w w:val="105"/>
        </w:rPr>
        <w:t>casi</w:t>
      </w:r>
      <w:r>
        <w:rPr>
          <w:color w:val="231F20"/>
          <w:spacing w:val="-15"/>
          <w:w w:val="105"/>
        </w:rPr>
        <w:t> </w:t>
      </w:r>
      <w:r>
        <w:rPr>
          <w:color w:val="231F20"/>
          <w:w w:val="105"/>
        </w:rPr>
        <w:t>9,000</w:t>
      </w:r>
      <w:r>
        <w:rPr>
          <w:color w:val="231F20"/>
          <w:spacing w:val="-15"/>
          <w:w w:val="105"/>
        </w:rPr>
        <w:t> </w:t>
      </w:r>
      <w:r>
        <w:rPr>
          <w:color w:val="231F20"/>
          <w:spacing w:val="-4"/>
          <w:w w:val="105"/>
        </w:rPr>
        <w:t>votos).</w:t>
      </w:r>
    </w:p>
    <w:p>
      <w:pPr>
        <w:pStyle w:val="BodyText"/>
        <w:spacing w:before="1"/>
        <w:rPr>
          <w:sz w:val="26"/>
        </w:rPr>
      </w:pPr>
    </w:p>
    <w:p>
      <w:pPr>
        <w:pStyle w:val="BodyText"/>
        <w:spacing w:line="285" w:lineRule="auto"/>
        <w:ind w:left="110" w:right="108"/>
        <w:jc w:val="both"/>
        <w:rPr>
          <w:sz w:val="13"/>
        </w:rPr>
      </w:pPr>
      <w:r>
        <w:rPr>
          <w:color w:val="231F20"/>
          <w:w w:val="105"/>
        </w:rPr>
        <w:t>Sin embargo, una crisis interna del PRI municipal hace </w:t>
      </w:r>
      <w:r>
        <w:rPr>
          <w:color w:val="231F20"/>
          <w:spacing w:val="2"/>
          <w:w w:val="105"/>
        </w:rPr>
        <w:t>afirmar </w:t>
      </w:r>
      <w:r>
        <w:rPr>
          <w:color w:val="231F20"/>
          <w:w w:val="105"/>
        </w:rPr>
        <w:t>a ciertos priístas que no sólo no hubo fraude, sino que Guadalupe Buendía </w:t>
      </w:r>
      <w:r>
        <w:rPr>
          <w:color w:val="231F20"/>
          <w:spacing w:val="-5"/>
          <w:w w:val="105"/>
        </w:rPr>
        <w:t>Torres </w:t>
      </w:r>
      <w:r>
        <w:rPr>
          <w:color w:val="231F20"/>
          <w:w w:val="105"/>
        </w:rPr>
        <w:t>“La </w:t>
      </w:r>
      <w:r>
        <w:rPr>
          <w:color w:val="231F20"/>
          <w:spacing w:val="-5"/>
          <w:w w:val="105"/>
        </w:rPr>
        <w:t>Loba”, </w:t>
      </w:r>
      <w:r>
        <w:rPr>
          <w:color w:val="231F20"/>
          <w:w w:val="105"/>
        </w:rPr>
        <w:t>enfadada con su</w:t>
      </w:r>
      <w:r>
        <w:rPr>
          <w:color w:val="231F20"/>
          <w:spacing w:val="-9"/>
          <w:w w:val="105"/>
        </w:rPr>
        <w:t> </w:t>
      </w:r>
      <w:r>
        <w:rPr>
          <w:color w:val="231F20"/>
          <w:w w:val="105"/>
        </w:rPr>
        <w:t>partido,</w:t>
      </w:r>
      <w:r>
        <w:rPr>
          <w:color w:val="231F20"/>
          <w:spacing w:val="-9"/>
          <w:w w:val="105"/>
        </w:rPr>
        <w:t> </w:t>
      </w:r>
      <w:r>
        <w:rPr>
          <w:color w:val="231F20"/>
          <w:w w:val="105"/>
        </w:rPr>
        <w:t>aún</w:t>
      </w:r>
      <w:r>
        <w:rPr>
          <w:color w:val="231F20"/>
          <w:spacing w:val="-9"/>
          <w:w w:val="105"/>
        </w:rPr>
        <w:t> </w:t>
      </w:r>
      <w:r>
        <w:rPr>
          <w:color w:val="231F20"/>
          <w:w w:val="105"/>
        </w:rPr>
        <w:t>el</w:t>
      </w:r>
      <w:r>
        <w:rPr>
          <w:color w:val="231F20"/>
          <w:spacing w:val="-9"/>
          <w:w w:val="105"/>
        </w:rPr>
        <w:t> </w:t>
      </w:r>
      <w:r>
        <w:rPr>
          <w:color w:val="231F20"/>
          <w:w w:val="105"/>
        </w:rPr>
        <w:t>2</w:t>
      </w:r>
      <w:r>
        <w:rPr>
          <w:color w:val="231F20"/>
          <w:spacing w:val="-9"/>
          <w:w w:val="105"/>
        </w:rPr>
        <w:t> </w:t>
      </w:r>
      <w:r>
        <w:rPr>
          <w:color w:val="231F20"/>
          <w:w w:val="105"/>
        </w:rPr>
        <w:t>de</w:t>
      </w:r>
      <w:r>
        <w:rPr>
          <w:color w:val="231F20"/>
          <w:spacing w:val="-9"/>
          <w:w w:val="105"/>
        </w:rPr>
        <w:t> </w:t>
      </w:r>
      <w:r>
        <w:rPr>
          <w:color w:val="231F20"/>
          <w:w w:val="105"/>
        </w:rPr>
        <w:t>julio</w:t>
      </w:r>
      <w:r>
        <w:rPr>
          <w:color w:val="231F20"/>
          <w:spacing w:val="-9"/>
          <w:w w:val="105"/>
        </w:rPr>
        <w:t> </w:t>
      </w:r>
      <w:r>
        <w:rPr>
          <w:color w:val="231F20"/>
          <w:w w:val="105"/>
        </w:rPr>
        <w:t>hizo</w:t>
      </w:r>
      <w:r>
        <w:rPr>
          <w:color w:val="231F20"/>
          <w:spacing w:val="-9"/>
          <w:w w:val="105"/>
        </w:rPr>
        <w:t> </w:t>
      </w:r>
      <w:r>
        <w:rPr>
          <w:color w:val="231F20"/>
          <w:w w:val="105"/>
        </w:rPr>
        <w:t>proselitismo</w:t>
      </w:r>
      <w:r>
        <w:rPr>
          <w:color w:val="231F20"/>
          <w:spacing w:val="-9"/>
          <w:w w:val="105"/>
        </w:rPr>
        <w:t> </w:t>
      </w:r>
      <w:r>
        <w:rPr>
          <w:color w:val="231F20"/>
          <w:w w:val="105"/>
        </w:rPr>
        <w:t>en</w:t>
      </w:r>
      <w:r>
        <w:rPr>
          <w:color w:val="231F20"/>
          <w:spacing w:val="-9"/>
          <w:w w:val="105"/>
        </w:rPr>
        <w:t> </w:t>
      </w:r>
      <w:r>
        <w:rPr>
          <w:color w:val="231F20"/>
          <w:w w:val="105"/>
        </w:rPr>
        <w:t>favor</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sobrino,</w:t>
      </w:r>
      <w:r>
        <w:rPr>
          <w:color w:val="231F20"/>
          <w:spacing w:val="-9"/>
          <w:w w:val="105"/>
        </w:rPr>
        <w:t> </w:t>
      </w:r>
      <w:r>
        <w:rPr>
          <w:color w:val="231F20"/>
          <w:w w:val="105"/>
        </w:rPr>
        <w:t>el</w:t>
      </w:r>
      <w:r>
        <w:rPr>
          <w:color w:val="231F20"/>
          <w:spacing w:val="-9"/>
          <w:w w:val="105"/>
        </w:rPr>
        <w:t> </w:t>
      </w:r>
      <w:r>
        <w:rPr>
          <w:color w:val="231F20"/>
          <w:w w:val="105"/>
        </w:rPr>
        <w:t>perredista</w:t>
      </w:r>
      <w:r>
        <w:rPr>
          <w:color w:val="231F20"/>
          <w:spacing w:val="-9"/>
          <w:w w:val="105"/>
        </w:rPr>
        <w:t> </w:t>
      </w:r>
      <w:r>
        <w:rPr>
          <w:color w:val="231F20"/>
          <w:w w:val="105"/>
        </w:rPr>
        <w:t>Raúl Carpinteiro Buendía, y que </w:t>
      </w:r>
      <w:r>
        <w:rPr>
          <w:color w:val="231F20"/>
          <w:spacing w:val="-5"/>
          <w:w w:val="105"/>
        </w:rPr>
        <w:t>hoy, </w:t>
      </w:r>
      <w:r>
        <w:rPr>
          <w:color w:val="231F20"/>
          <w:w w:val="105"/>
        </w:rPr>
        <w:t>subrepticiamente, atiza el fuego para impedir que su compañero</w:t>
      </w:r>
      <w:r>
        <w:rPr>
          <w:color w:val="231F20"/>
          <w:spacing w:val="-19"/>
          <w:w w:val="105"/>
        </w:rPr>
        <w:t> </w:t>
      </w:r>
      <w:r>
        <w:rPr>
          <w:color w:val="231F20"/>
          <w:w w:val="105"/>
        </w:rPr>
        <w:t>de</w:t>
      </w:r>
      <w:r>
        <w:rPr>
          <w:color w:val="231F20"/>
          <w:spacing w:val="-19"/>
          <w:w w:val="105"/>
        </w:rPr>
        <w:t> </w:t>
      </w:r>
      <w:r>
        <w:rPr>
          <w:color w:val="231F20"/>
          <w:w w:val="105"/>
        </w:rPr>
        <w:t>partido</w:t>
      </w:r>
      <w:r>
        <w:rPr>
          <w:color w:val="231F20"/>
          <w:spacing w:val="-19"/>
          <w:w w:val="105"/>
        </w:rPr>
        <w:t> </w:t>
      </w:r>
      <w:r>
        <w:rPr>
          <w:color w:val="231F20"/>
          <w:w w:val="105"/>
        </w:rPr>
        <w:t>y</w:t>
      </w:r>
      <w:r>
        <w:rPr>
          <w:color w:val="231F20"/>
          <w:spacing w:val="-19"/>
          <w:w w:val="105"/>
        </w:rPr>
        <w:t> </w:t>
      </w:r>
      <w:r>
        <w:rPr>
          <w:color w:val="231F20"/>
          <w:w w:val="105"/>
        </w:rPr>
        <w:t>adversario</w:t>
      </w:r>
      <w:r>
        <w:rPr>
          <w:color w:val="231F20"/>
          <w:spacing w:val="-19"/>
          <w:w w:val="105"/>
        </w:rPr>
        <w:t> </w:t>
      </w:r>
      <w:r>
        <w:rPr>
          <w:color w:val="231F20"/>
          <w:w w:val="105"/>
        </w:rPr>
        <w:t>político,</w:t>
      </w:r>
      <w:r>
        <w:rPr>
          <w:color w:val="231F20"/>
          <w:spacing w:val="-19"/>
          <w:w w:val="105"/>
        </w:rPr>
        <w:t> </w:t>
      </w:r>
      <w:r>
        <w:rPr>
          <w:color w:val="231F20"/>
          <w:w w:val="105"/>
        </w:rPr>
        <w:t>Jesús</w:t>
      </w:r>
      <w:r>
        <w:rPr>
          <w:color w:val="231F20"/>
          <w:spacing w:val="-19"/>
          <w:w w:val="105"/>
        </w:rPr>
        <w:t> </w:t>
      </w:r>
      <w:r>
        <w:rPr>
          <w:color w:val="231F20"/>
          <w:w w:val="105"/>
        </w:rPr>
        <w:t>Román</w:t>
      </w:r>
      <w:r>
        <w:rPr>
          <w:color w:val="231F20"/>
          <w:spacing w:val="-19"/>
          <w:w w:val="105"/>
        </w:rPr>
        <w:t> </w:t>
      </w:r>
      <w:r>
        <w:rPr>
          <w:color w:val="231F20"/>
          <w:spacing w:val="-4"/>
          <w:w w:val="105"/>
        </w:rPr>
        <w:t>Tolentino</w:t>
      </w:r>
      <w:r>
        <w:rPr>
          <w:color w:val="231F20"/>
          <w:spacing w:val="-19"/>
          <w:w w:val="105"/>
        </w:rPr>
        <w:t> </w:t>
      </w:r>
      <w:r>
        <w:rPr>
          <w:color w:val="231F20"/>
          <w:w w:val="105"/>
        </w:rPr>
        <w:t>Bojórquez,</w:t>
      </w:r>
      <w:r>
        <w:rPr>
          <w:color w:val="231F20"/>
          <w:spacing w:val="-19"/>
          <w:w w:val="105"/>
        </w:rPr>
        <w:t> </w:t>
      </w:r>
      <w:r>
        <w:rPr>
          <w:color w:val="231F20"/>
          <w:w w:val="105"/>
        </w:rPr>
        <w:t>dirigen- te</w:t>
      </w:r>
      <w:r>
        <w:rPr>
          <w:color w:val="231F20"/>
          <w:spacing w:val="-13"/>
          <w:w w:val="105"/>
        </w:rPr>
        <w:t> </w:t>
      </w:r>
      <w:r>
        <w:rPr>
          <w:color w:val="231F20"/>
          <w:w w:val="105"/>
        </w:rPr>
        <w:t>de</w:t>
      </w:r>
      <w:r>
        <w:rPr>
          <w:color w:val="231F20"/>
          <w:spacing w:val="-13"/>
          <w:w w:val="105"/>
        </w:rPr>
        <w:t> </w:t>
      </w:r>
      <w:r>
        <w:rPr>
          <w:color w:val="231F20"/>
          <w:w w:val="105"/>
        </w:rPr>
        <w:t>Antorcha</w:t>
      </w:r>
      <w:r>
        <w:rPr>
          <w:color w:val="231F20"/>
          <w:spacing w:val="-13"/>
          <w:w w:val="105"/>
        </w:rPr>
        <w:t> </w:t>
      </w:r>
      <w:r>
        <w:rPr>
          <w:color w:val="231F20"/>
          <w:w w:val="105"/>
        </w:rPr>
        <w:t>Popular,</w:t>
      </w:r>
      <w:r>
        <w:rPr>
          <w:color w:val="231F20"/>
          <w:spacing w:val="-13"/>
          <w:w w:val="105"/>
        </w:rPr>
        <w:t> </w:t>
      </w:r>
      <w:r>
        <w:rPr>
          <w:color w:val="231F20"/>
          <w:w w:val="105"/>
        </w:rPr>
        <w:t>asuma</w:t>
      </w:r>
      <w:r>
        <w:rPr>
          <w:color w:val="231F20"/>
          <w:spacing w:val="-13"/>
          <w:w w:val="105"/>
        </w:rPr>
        <w:t> </w:t>
      </w:r>
      <w:r>
        <w:rPr>
          <w:color w:val="231F20"/>
          <w:w w:val="105"/>
        </w:rPr>
        <w:t>el</w:t>
      </w:r>
      <w:r>
        <w:rPr>
          <w:color w:val="231F20"/>
          <w:spacing w:val="-13"/>
          <w:w w:val="105"/>
        </w:rPr>
        <w:t> </w:t>
      </w:r>
      <w:r>
        <w:rPr>
          <w:color w:val="231F20"/>
          <w:w w:val="105"/>
        </w:rPr>
        <w:t>cargo</w:t>
      </w:r>
      <w:r>
        <w:rPr>
          <w:color w:val="231F20"/>
          <w:spacing w:val="-13"/>
          <w:w w:val="105"/>
        </w:rPr>
        <w:t> </w:t>
      </w:r>
      <w:r>
        <w:rPr>
          <w:color w:val="231F20"/>
          <w:w w:val="105"/>
        </w:rPr>
        <w:t>de</w:t>
      </w:r>
      <w:r>
        <w:rPr>
          <w:color w:val="231F20"/>
          <w:spacing w:val="-13"/>
          <w:w w:val="105"/>
        </w:rPr>
        <w:t> </w:t>
      </w:r>
      <w:r>
        <w:rPr>
          <w:color w:val="231F20"/>
          <w:w w:val="105"/>
        </w:rPr>
        <w:t>alcalde</w:t>
      </w:r>
      <w:r>
        <w:rPr>
          <w:color w:val="231F20"/>
          <w:spacing w:val="-13"/>
          <w:w w:val="105"/>
        </w:rPr>
        <w:t> </w:t>
      </w:r>
      <w:r>
        <w:rPr>
          <w:color w:val="231F20"/>
          <w:w w:val="105"/>
        </w:rPr>
        <w:t>próximo</w:t>
      </w:r>
      <w:r>
        <w:rPr>
          <w:color w:val="231F20"/>
          <w:spacing w:val="-13"/>
          <w:w w:val="105"/>
        </w:rPr>
        <w:t> </w:t>
      </w:r>
      <w:r>
        <w:rPr>
          <w:color w:val="231F20"/>
          <w:w w:val="105"/>
        </w:rPr>
        <w:t>el</w:t>
      </w:r>
      <w:r>
        <w:rPr>
          <w:color w:val="231F20"/>
          <w:spacing w:val="-13"/>
          <w:w w:val="105"/>
        </w:rPr>
        <w:t> </w:t>
      </w:r>
      <w:r>
        <w:rPr>
          <w:color w:val="231F20"/>
          <w:spacing w:val="-6"/>
          <w:w w:val="105"/>
        </w:rPr>
        <w:t>17</w:t>
      </w:r>
      <w:r>
        <w:rPr>
          <w:color w:val="231F20"/>
          <w:spacing w:val="-13"/>
          <w:w w:val="105"/>
        </w:rPr>
        <w:t> </w:t>
      </w:r>
      <w:r>
        <w:rPr>
          <w:color w:val="231F20"/>
          <w:w w:val="105"/>
        </w:rPr>
        <w:t>de</w:t>
      </w:r>
      <w:r>
        <w:rPr>
          <w:color w:val="231F20"/>
          <w:spacing w:val="-13"/>
          <w:w w:val="105"/>
        </w:rPr>
        <w:t> </w:t>
      </w:r>
      <w:r>
        <w:rPr>
          <w:color w:val="231F20"/>
          <w:spacing w:val="-3"/>
          <w:w w:val="105"/>
        </w:rPr>
        <w:t>agosto.</w:t>
      </w:r>
      <w:r>
        <w:rPr>
          <w:color w:val="231F20"/>
          <w:spacing w:val="-3"/>
          <w:w w:val="105"/>
          <w:position w:val="7"/>
          <w:sz w:val="13"/>
        </w:rPr>
        <w:t>1</w:t>
      </w:r>
    </w:p>
    <w:p>
      <w:pPr>
        <w:pStyle w:val="BodyText"/>
        <w:rPr>
          <w:sz w:val="26"/>
        </w:rPr>
      </w:pPr>
    </w:p>
    <w:p>
      <w:pPr>
        <w:pStyle w:val="BodyText"/>
        <w:ind w:left="110"/>
        <w:jc w:val="both"/>
      </w:pPr>
      <w:r>
        <w:rPr>
          <w:color w:val="231F20"/>
          <w:w w:val="105"/>
        </w:rPr>
        <w:t>Por su parte el Movimiento Antorchista dio su versión de los hechos:</w:t>
      </w:r>
    </w:p>
    <w:p>
      <w:pPr>
        <w:pStyle w:val="BodyText"/>
        <w:spacing w:line="285" w:lineRule="auto" w:before="47"/>
        <w:ind w:left="677" w:right="108"/>
        <w:jc w:val="both"/>
        <w:rPr>
          <w:sz w:val="13"/>
        </w:rPr>
      </w:pPr>
      <w:r>
        <w:rPr>
          <w:color w:val="231F20"/>
          <w:w w:val="105"/>
        </w:rPr>
        <w:t>Primer</w:t>
      </w:r>
      <w:r>
        <w:rPr>
          <w:color w:val="231F20"/>
          <w:spacing w:val="-18"/>
          <w:w w:val="105"/>
        </w:rPr>
        <w:t> </w:t>
      </w:r>
      <w:r>
        <w:rPr>
          <w:color w:val="231F20"/>
          <w:w w:val="105"/>
        </w:rPr>
        <w:t>Acto,</w:t>
      </w:r>
      <w:r>
        <w:rPr>
          <w:color w:val="231F20"/>
          <w:spacing w:val="-18"/>
          <w:w w:val="105"/>
        </w:rPr>
        <w:t> </w:t>
      </w:r>
      <w:r>
        <w:rPr>
          <w:color w:val="231F20"/>
          <w:w w:val="105"/>
        </w:rPr>
        <w:t>Julio</w:t>
      </w:r>
      <w:r>
        <w:rPr>
          <w:color w:val="231F20"/>
          <w:spacing w:val="-18"/>
          <w:w w:val="105"/>
        </w:rPr>
        <w:t> </w:t>
      </w:r>
      <w:r>
        <w:rPr>
          <w:color w:val="231F20"/>
          <w:spacing w:val="4"/>
          <w:w w:val="105"/>
        </w:rPr>
        <w:t>2000:</w:t>
      </w:r>
      <w:r>
        <w:rPr>
          <w:color w:val="231F20"/>
          <w:spacing w:val="-18"/>
          <w:w w:val="105"/>
        </w:rPr>
        <w:t> </w:t>
      </w:r>
      <w:r>
        <w:rPr>
          <w:color w:val="231F20"/>
          <w:w w:val="105"/>
        </w:rPr>
        <w:t>en</w:t>
      </w:r>
      <w:r>
        <w:rPr>
          <w:color w:val="231F20"/>
          <w:spacing w:val="-18"/>
          <w:w w:val="105"/>
        </w:rPr>
        <w:t> </w:t>
      </w:r>
      <w:r>
        <w:rPr>
          <w:color w:val="231F20"/>
          <w:w w:val="105"/>
        </w:rPr>
        <w:t>un</w:t>
      </w:r>
      <w:r>
        <w:rPr>
          <w:color w:val="231F20"/>
          <w:spacing w:val="-18"/>
          <w:w w:val="105"/>
        </w:rPr>
        <w:t> </w:t>
      </w:r>
      <w:r>
        <w:rPr>
          <w:color w:val="231F20"/>
          <w:w w:val="105"/>
        </w:rPr>
        <w:t>restaurante</w:t>
      </w:r>
      <w:r>
        <w:rPr>
          <w:color w:val="231F20"/>
          <w:spacing w:val="-18"/>
          <w:w w:val="105"/>
        </w:rPr>
        <w:t> </w:t>
      </w:r>
      <w:r>
        <w:rPr>
          <w:color w:val="231F20"/>
          <w:w w:val="105"/>
        </w:rPr>
        <w:t>del</w:t>
      </w:r>
      <w:r>
        <w:rPr>
          <w:color w:val="231F20"/>
          <w:spacing w:val="-18"/>
          <w:w w:val="105"/>
        </w:rPr>
        <w:t> </w:t>
      </w:r>
      <w:r>
        <w:rPr>
          <w:color w:val="231F20"/>
          <w:w w:val="105"/>
        </w:rPr>
        <w:t>aeropuerto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Ciudad</w:t>
      </w:r>
      <w:r>
        <w:rPr>
          <w:color w:val="231F20"/>
          <w:spacing w:val="-18"/>
          <w:w w:val="105"/>
        </w:rPr>
        <w:t> </w:t>
      </w:r>
      <w:r>
        <w:rPr>
          <w:color w:val="231F20"/>
          <w:w w:val="105"/>
        </w:rPr>
        <w:t>de</w:t>
      </w:r>
      <w:r>
        <w:rPr>
          <w:color w:val="231F20"/>
          <w:spacing w:val="-18"/>
          <w:w w:val="105"/>
        </w:rPr>
        <w:t> </w:t>
      </w:r>
      <w:r>
        <w:rPr>
          <w:color w:val="231F20"/>
          <w:w w:val="105"/>
        </w:rPr>
        <w:t>México se</w:t>
      </w:r>
      <w:r>
        <w:rPr>
          <w:color w:val="231F20"/>
          <w:spacing w:val="-4"/>
          <w:w w:val="105"/>
        </w:rPr>
        <w:t> </w:t>
      </w:r>
      <w:r>
        <w:rPr>
          <w:color w:val="231F20"/>
          <w:w w:val="105"/>
        </w:rPr>
        <w:t>reúnen</w:t>
      </w:r>
      <w:r>
        <w:rPr>
          <w:color w:val="231F20"/>
          <w:spacing w:val="-4"/>
          <w:w w:val="105"/>
        </w:rPr>
        <w:t> </w:t>
      </w:r>
      <w:r>
        <w:rPr>
          <w:color w:val="231F20"/>
          <w:w w:val="105"/>
        </w:rPr>
        <w:t>el</w:t>
      </w:r>
      <w:r>
        <w:rPr>
          <w:color w:val="231F20"/>
          <w:spacing w:val="-4"/>
          <w:w w:val="105"/>
        </w:rPr>
        <w:t> </w:t>
      </w:r>
      <w:r>
        <w:rPr>
          <w:color w:val="231F20"/>
          <w:w w:val="105"/>
        </w:rPr>
        <w:t>candidato</w:t>
      </w:r>
      <w:r>
        <w:rPr>
          <w:color w:val="231F20"/>
          <w:spacing w:val="-4"/>
          <w:w w:val="105"/>
        </w:rPr>
        <w:t> </w:t>
      </w:r>
      <w:r>
        <w:rPr>
          <w:color w:val="231F20"/>
          <w:w w:val="105"/>
        </w:rPr>
        <w:t>del</w:t>
      </w:r>
      <w:r>
        <w:rPr>
          <w:color w:val="231F20"/>
          <w:spacing w:val="-4"/>
          <w:w w:val="105"/>
        </w:rPr>
        <w:t> </w:t>
      </w:r>
      <w:r>
        <w:rPr>
          <w:color w:val="231F20"/>
          <w:w w:val="105"/>
        </w:rPr>
        <w:t>PRD</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presidencia</w:t>
      </w:r>
      <w:r>
        <w:rPr>
          <w:color w:val="231F20"/>
          <w:spacing w:val="-4"/>
          <w:w w:val="105"/>
        </w:rPr>
        <w:t> </w:t>
      </w:r>
      <w:r>
        <w:rPr>
          <w:color w:val="231F20"/>
          <w:w w:val="105"/>
        </w:rPr>
        <w:t>de</w:t>
      </w:r>
      <w:r>
        <w:rPr>
          <w:color w:val="231F20"/>
          <w:spacing w:val="-4"/>
          <w:w w:val="105"/>
        </w:rPr>
        <w:t> </w:t>
      </w:r>
      <w:r>
        <w:rPr>
          <w:color w:val="231F20"/>
          <w:w w:val="105"/>
        </w:rPr>
        <w:t>Chimalhuacán,</w:t>
      </w:r>
      <w:r>
        <w:rPr>
          <w:color w:val="231F20"/>
          <w:spacing w:val="-4"/>
          <w:w w:val="105"/>
        </w:rPr>
        <w:t> </w:t>
      </w:r>
      <w:r>
        <w:rPr>
          <w:color w:val="231F20"/>
          <w:w w:val="105"/>
        </w:rPr>
        <w:t>Raúl</w:t>
      </w:r>
      <w:r>
        <w:rPr>
          <w:color w:val="231F20"/>
          <w:spacing w:val="-4"/>
          <w:w w:val="105"/>
        </w:rPr>
        <w:t> </w:t>
      </w:r>
      <w:r>
        <w:rPr>
          <w:color w:val="231F20"/>
          <w:w w:val="105"/>
        </w:rPr>
        <w:t>Carpin- teiro</w:t>
      </w:r>
      <w:r>
        <w:rPr>
          <w:color w:val="231F20"/>
          <w:spacing w:val="-27"/>
          <w:w w:val="105"/>
        </w:rPr>
        <w:t> </w:t>
      </w:r>
      <w:r>
        <w:rPr>
          <w:color w:val="231F20"/>
          <w:w w:val="105"/>
        </w:rPr>
        <w:t>Buendía,</w:t>
      </w:r>
      <w:r>
        <w:rPr>
          <w:color w:val="231F20"/>
          <w:spacing w:val="-27"/>
          <w:w w:val="105"/>
        </w:rPr>
        <w:t> </w:t>
      </w:r>
      <w:r>
        <w:rPr>
          <w:color w:val="231F20"/>
          <w:w w:val="105"/>
        </w:rPr>
        <w:t>y</w:t>
      </w:r>
      <w:r>
        <w:rPr>
          <w:color w:val="231F20"/>
          <w:spacing w:val="-27"/>
          <w:w w:val="105"/>
        </w:rPr>
        <w:t> </w:t>
      </w:r>
      <w:r>
        <w:rPr>
          <w:color w:val="231F20"/>
          <w:w w:val="105"/>
        </w:rPr>
        <w:t>otros</w:t>
      </w:r>
      <w:r>
        <w:rPr>
          <w:color w:val="231F20"/>
          <w:spacing w:val="-27"/>
          <w:w w:val="105"/>
        </w:rPr>
        <w:t> </w:t>
      </w:r>
      <w:r>
        <w:rPr>
          <w:color w:val="231F20"/>
          <w:w w:val="105"/>
        </w:rPr>
        <w:t>perredistas</w:t>
      </w:r>
      <w:r>
        <w:rPr>
          <w:color w:val="231F20"/>
          <w:spacing w:val="-27"/>
          <w:w w:val="105"/>
        </w:rPr>
        <w:t> </w:t>
      </w:r>
      <w:r>
        <w:rPr>
          <w:color w:val="231F20"/>
          <w:w w:val="105"/>
        </w:rPr>
        <w:t>del</w:t>
      </w:r>
      <w:r>
        <w:rPr>
          <w:color w:val="231F20"/>
          <w:spacing w:val="-27"/>
          <w:w w:val="105"/>
        </w:rPr>
        <w:t> </w:t>
      </w:r>
      <w:r>
        <w:rPr>
          <w:color w:val="231F20"/>
          <w:w w:val="105"/>
        </w:rPr>
        <w:t>estado</w:t>
      </w:r>
      <w:r>
        <w:rPr>
          <w:color w:val="231F20"/>
          <w:spacing w:val="-27"/>
          <w:w w:val="105"/>
        </w:rPr>
        <w:t> </w:t>
      </w:r>
      <w:r>
        <w:rPr>
          <w:color w:val="231F20"/>
          <w:w w:val="105"/>
        </w:rPr>
        <w:t>de</w:t>
      </w:r>
      <w:r>
        <w:rPr>
          <w:color w:val="231F20"/>
          <w:spacing w:val="-27"/>
          <w:w w:val="105"/>
        </w:rPr>
        <w:t> </w:t>
      </w:r>
      <w:r>
        <w:rPr>
          <w:color w:val="231F20"/>
          <w:w w:val="105"/>
        </w:rPr>
        <w:t>México,</w:t>
      </w:r>
      <w:r>
        <w:rPr>
          <w:color w:val="231F20"/>
          <w:spacing w:val="-27"/>
          <w:w w:val="105"/>
        </w:rPr>
        <w:t> </w:t>
      </w:r>
      <w:r>
        <w:rPr>
          <w:color w:val="231F20"/>
          <w:w w:val="105"/>
        </w:rPr>
        <w:t>con</w:t>
      </w:r>
      <w:r>
        <w:rPr>
          <w:color w:val="231F20"/>
          <w:spacing w:val="-27"/>
          <w:w w:val="105"/>
        </w:rPr>
        <w:t> </w:t>
      </w:r>
      <w:r>
        <w:rPr>
          <w:color w:val="231F20"/>
          <w:w w:val="105"/>
        </w:rPr>
        <w:t>“La</w:t>
      </w:r>
      <w:r>
        <w:rPr>
          <w:color w:val="231F20"/>
          <w:spacing w:val="-27"/>
          <w:w w:val="105"/>
        </w:rPr>
        <w:t> </w:t>
      </w:r>
      <w:r>
        <w:rPr>
          <w:color w:val="231F20"/>
          <w:spacing w:val="-5"/>
          <w:w w:val="105"/>
        </w:rPr>
        <w:t>Loba”,</w:t>
      </w:r>
      <w:r>
        <w:rPr>
          <w:color w:val="231F20"/>
          <w:spacing w:val="-27"/>
          <w:w w:val="105"/>
        </w:rPr>
        <w:t> </w:t>
      </w:r>
      <w:r>
        <w:rPr>
          <w:color w:val="231F20"/>
          <w:w w:val="105"/>
        </w:rPr>
        <w:t>Guadalupe Buendía</w:t>
      </w:r>
      <w:r>
        <w:rPr>
          <w:color w:val="231F20"/>
          <w:spacing w:val="-12"/>
          <w:w w:val="105"/>
        </w:rPr>
        <w:t> </w:t>
      </w:r>
      <w:r>
        <w:rPr>
          <w:color w:val="231F20"/>
          <w:spacing w:val="-4"/>
          <w:w w:val="105"/>
        </w:rPr>
        <w:t>Torres,</w:t>
      </w:r>
      <w:r>
        <w:rPr>
          <w:color w:val="231F20"/>
          <w:spacing w:val="-12"/>
          <w:w w:val="105"/>
        </w:rPr>
        <w:t> </w:t>
      </w:r>
      <w:r>
        <w:rPr>
          <w:color w:val="231F20"/>
          <w:w w:val="105"/>
        </w:rPr>
        <w:t>cacique</w:t>
      </w:r>
      <w:r>
        <w:rPr>
          <w:color w:val="231F20"/>
          <w:spacing w:val="-12"/>
          <w:w w:val="105"/>
        </w:rPr>
        <w:t> </w:t>
      </w:r>
      <w:r>
        <w:rPr>
          <w:color w:val="231F20"/>
          <w:w w:val="105"/>
        </w:rPr>
        <w:t>y</w:t>
      </w:r>
      <w:r>
        <w:rPr>
          <w:color w:val="231F20"/>
          <w:spacing w:val="-12"/>
          <w:w w:val="105"/>
        </w:rPr>
        <w:t> </w:t>
      </w:r>
      <w:r>
        <w:rPr>
          <w:color w:val="231F20"/>
          <w:w w:val="105"/>
        </w:rPr>
        <w:t>multihomicida</w:t>
      </w:r>
      <w:r>
        <w:rPr>
          <w:color w:val="231F20"/>
          <w:spacing w:val="-12"/>
          <w:w w:val="105"/>
        </w:rPr>
        <w:t> </w:t>
      </w:r>
      <w:r>
        <w:rPr>
          <w:color w:val="231F20"/>
          <w:w w:val="105"/>
        </w:rPr>
        <w:t>de</w:t>
      </w:r>
      <w:r>
        <w:rPr>
          <w:color w:val="231F20"/>
          <w:spacing w:val="-12"/>
          <w:w w:val="105"/>
        </w:rPr>
        <w:t> </w:t>
      </w:r>
      <w:r>
        <w:rPr>
          <w:color w:val="231F20"/>
          <w:w w:val="105"/>
        </w:rPr>
        <w:t>Chimalhuacán,</w:t>
      </w:r>
      <w:r>
        <w:rPr>
          <w:color w:val="231F20"/>
          <w:spacing w:val="-12"/>
          <w:w w:val="105"/>
        </w:rPr>
        <w:t> </w:t>
      </w:r>
      <w:r>
        <w:rPr>
          <w:color w:val="231F20"/>
          <w:w w:val="105"/>
        </w:rPr>
        <w:t>que</w:t>
      </w:r>
      <w:r>
        <w:rPr>
          <w:color w:val="231F20"/>
          <w:spacing w:val="-12"/>
          <w:w w:val="105"/>
        </w:rPr>
        <w:t> </w:t>
      </w:r>
      <w:r>
        <w:rPr>
          <w:color w:val="231F20"/>
          <w:w w:val="105"/>
        </w:rPr>
        <w:t>hoy</w:t>
      </w:r>
      <w:r>
        <w:rPr>
          <w:color w:val="231F20"/>
          <w:spacing w:val="-12"/>
          <w:w w:val="105"/>
        </w:rPr>
        <w:t> </w:t>
      </w:r>
      <w:r>
        <w:rPr>
          <w:color w:val="231F20"/>
          <w:w w:val="105"/>
        </w:rPr>
        <w:t>purga</w:t>
      </w:r>
      <w:r>
        <w:rPr>
          <w:color w:val="231F20"/>
          <w:spacing w:val="-12"/>
          <w:w w:val="105"/>
        </w:rPr>
        <w:t> </w:t>
      </w:r>
      <w:r>
        <w:rPr>
          <w:color w:val="231F20"/>
          <w:w w:val="105"/>
        </w:rPr>
        <w:t>en</w:t>
      </w:r>
      <w:r>
        <w:rPr>
          <w:color w:val="231F20"/>
          <w:spacing w:val="-12"/>
          <w:w w:val="105"/>
        </w:rPr>
        <w:t> </w:t>
      </w:r>
      <w:r>
        <w:rPr>
          <w:color w:val="231F20"/>
          <w:w w:val="105"/>
        </w:rPr>
        <w:t>un penal</w:t>
      </w:r>
      <w:r>
        <w:rPr>
          <w:color w:val="231F20"/>
          <w:spacing w:val="-13"/>
          <w:w w:val="105"/>
        </w:rPr>
        <w:t> </w:t>
      </w:r>
      <w:r>
        <w:rPr>
          <w:color w:val="231F20"/>
          <w:w w:val="105"/>
        </w:rPr>
        <w:t>una</w:t>
      </w:r>
      <w:r>
        <w:rPr>
          <w:color w:val="231F20"/>
          <w:spacing w:val="-13"/>
          <w:w w:val="105"/>
        </w:rPr>
        <w:t> </w:t>
      </w:r>
      <w:r>
        <w:rPr>
          <w:color w:val="231F20"/>
          <w:w w:val="105"/>
        </w:rPr>
        <w:t>sentencia</w:t>
      </w:r>
      <w:r>
        <w:rPr>
          <w:color w:val="231F20"/>
          <w:spacing w:val="-13"/>
          <w:w w:val="105"/>
        </w:rPr>
        <w:t> </w:t>
      </w:r>
      <w:r>
        <w:rPr>
          <w:color w:val="231F20"/>
          <w:w w:val="105"/>
        </w:rPr>
        <w:t>de</w:t>
      </w:r>
      <w:r>
        <w:rPr>
          <w:color w:val="231F20"/>
          <w:spacing w:val="-13"/>
          <w:w w:val="105"/>
        </w:rPr>
        <w:t> </w:t>
      </w:r>
      <w:r>
        <w:rPr>
          <w:color w:val="231F20"/>
          <w:w w:val="105"/>
        </w:rPr>
        <w:t>muchos</w:t>
      </w:r>
      <w:r>
        <w:rPr>
          <w:color w:val="231F20"/>
          <w:spacing w:val="-13"/>
          <w:w w:val="105"/>
        </w:rPr>
        <w:t> </w:t>
      </w:r>
      <w:r>
        <w:rPr>
          <w:color w:val="231F20"/>
          <w:w w:val="105"/>
        </w:rPr>
        <w:t>años.</w:t>
      </w:r>
      <w:r>
        <w:rPr>
          <w:color w:val="231F20"/>
          <w:spacing w:val="-13"/>
          <w:w w:val="105"/>
        </w:rPr>
        <w:t> </w:t>
      </w:r>
      <w:r>
        <w:rPr>
          <w:color w:val="231F20"/>
          <w:w w:val="105"/>
        </w:rPr>
        <w:t>Estos</w:t>
      </w:r>
      <w:r>
        <w:rPr>
          <w:color w:val="231F20"/>
          <w:spacing w:val="-13"/>
          <w:w w:val="105"/>
        </w:rPr>
        <w:t> </w:t>
      </w:r>
      <w:r>
        <w:rPr>
          <w:color w:val="231F20"/>
          <w:w w:val="105"/>
        </w:rPr>
        <w:t>personajes</w:t>
      </w:r>
      <w:r>
        <w:rPr>
          <w:color w:val="231F20"/>
          <w:spacing w:val="-13"/>
          <w:w w:val="105"/>
        </w:rPr>
        <w:t> </w:t>
      </w:r>
      <w:r>
        <w:rPr>
          <w:color w:val="231F20"/>
          <w:w w:val="105"/>
        </w:rPr>
        <w:t>se</w:t>
      </w:r>
      <w:r>
        <w:rPr>
          <w:color w:val="231F20"/>
          <w:spacing w:val="-13"/>
          <w:w w:val="105"/>
        </w:rPr>
        <w:t> </w:t>
      </w:r>
      <w:r>
        <w:rPr>
          <w:color w:val="231F20"/>
          <w:w w:val="105"/>
        </w:rPr>
        <w:t>habían</w:t>
      </w:r>
      <w:r>
        <w:rPr>
          <w:color w:val="231F20"/>
          <w:spacing w:val="-13"/>
          <w:w w:val="105"/>
        </w:rPr>
        <w:t> </w:t>
      </w:r>
      <w:r>
        <w:rPr>
          <w:color w:val="231F20"/>
          <w:w w:val="105"/>
        </w:rPr>
        <w:t>citado</w:t>
      </w:r>
      <w:r>
        <w:rPr>
          <w:color w:val="231F20"/>
          <w:spacing w:val="-13"/>
          <w:w w:val="105"/>
        </w:rPr>
        <w:t> </w:t>
      </w:r>
      <w:r>
        <w:rPr>
          <w:color w:val="231F20"/>
          <w:w w:val="105"/>
        </w:rPr>
        <w:t>para</w:t>
      </w:r>
      <w:r>
        <w:rPr>
          <w:color w:val="231F20"/>
          <w:spacing w:val="-13"/>
          <w:w w:val="105"/>
        </w:rPr>
        <w:t> </w:t>
      </w:r>
      <w:r>
        <w:rPr>
          <w:color w:val="231F20"/>
          <w:w w:val="105"/>
        </w:rPr>
        <w:t>esta- blecer</w:t>
      </w:r>
      <w:r>
        <w:rPr>
          <w:color w:val="231F20"/>
          <w:spacing w:val="-13"/>
          <w:w w:val="105"/>
        </w:rPr>
        <w:t> </w:t>
      </w:r>
      <w:r>
        <w:rPr>
          <w:color w:val="231F20"/>
          <w:w w:val="105"/>
        </w:rPr>
        <w:t>un</w:t>
      </w:r>
      <w:r>
        <w:rPr>
          <w:color w:val="231F20"/>
          <w:spacing w:val="-13"/>
          <w:w w:val="105"/>
        </w:rPr>
        <w:t> </w:t>
      </w:r>
      <w:r>
        <w:rPr>
          <w:color w:val="231F20"/>
          <w:w w:val="105"/>
        </w:rPr>
        <w:t>pacto</w:t>
      </w:r>
      <w:r>
        <w:rPr>
          <w:color w:val="231F20"/>
          <w:spacing w:val="-13"/>
          <w:w w:val="105"/>
        </w:rPr>
        <w:t> </w:t>
      </w:r>
      <w:r>
        <w:rPr>
          <w:color w:val="231F20"/>
          <w:w w:val="105"/>
        </w:rPr>
        <w:t>contra</w:t>
      </w:r>
      <w:r>
        <w:rPr>
          <w:color w:val="231F20"/>
          <w:spacing w:val="-13"/>
          <w:w w:val="105"/>
        </w:rPr>
        <w:t> </w:t>
      </w:r>
      <w:r>
        <w:rPr>
          <w:color w:val="231F20"/>
          <w:w w:val="105"/>
        </w:rPr>
        <w:t>Jesús</w:t>
      </w:r>
      <w:r>
        <w:rPr>
          <w:color w:val="231F20"/>
          <w:spacing w:val="-13"/>
          <w:w w:val="105"/>
        </w:rPr>
        <w:t> </w:t>
      </w:r>
      <w:r>
        <w:rPr>
          <w:color w:val="231F20"/>
          <w:spacing w:val="-4"/>
          <w:w w:val="105"/>
        </w:rPr>
        <w:t>Tolentino</w:t>
      </w:r>
      <w:r>
        <w:rPr>
          <w:color w:val="231F20"/>
          <w:spacing w:val="-13"/>
          <w:w w:val="105"/>
        </w:rPr>
        <w:t> </w:t>
      </w:r>
      <w:r>
        <w:rPr>
          <w:color w:val="231F20"/>
          <w:w w:val="105"/>
        </w:rPr>
        <w:t>Román</w:t>
      </w:r>
      <w:r>
        <w:rPr>
          <w:color w:val="231F20"/>
          <w:spacing w:val="-13"/>
          <w:w w:val="105"/>
        </w:rPr>
        <w:t> </w:t>
      </w:r>
      <w:r>
        <w:rPr>
          <w:color w:val="231F20"/>
          <w:w w:val="105"/>
        </w:rPr>
        <w:t>Bojórquez</w:t>
      </w:r>
      <w:r>
        <w:rPr>
          <w:color w:val="231F20"/>
          <w:w w:val="105"/>
          <w:position w:val="7"/>
          <w:sz w:val="13"/>
        </w:rPr>
        <w:t>2</w:t>
      </w:r>
    </w:p>
    <w:p>
      <w:pPr>
        <w:pStyle w:val="BodyText"/>
        <w:rPr>
          <w:sz w:val="20"/>
        </w:rPr>
      </w:pPr>
    </w:p>
    <w:p>
      <w:pPr>
        <w:pStyle w:val="BodyText"/>
        <w:spacing w:before="8"/>
        <w:rPr>
          <w:sz w:val="19"/>
        </w:rPr>
      </w:pPr>
      <w:r>
        <w:rPr/>
        <w:pict>
          <v:line style="position:absolute;mso-position-horizontal-relative:page;mso-position-vertical-relative:paragraph;z-index:9472;mso-wrap-distance-left:0;mso-wrap-distance-right:0" from="42.519699pt,13.78287pt" to="114.519699pt,13.78287pt" stroked="true" strokeweight="1pt" strokecolor="#231f20">
            <w10:wrap type="topAndBottom"/>
          </v:line>
        </w:pict>
      </w:r>
    </w:p>
    <w:p>
      <w:pPr>
        <w:pStyle w:val="ListParagraph"/>
        <w:numPr>
          <w:ilvl w:val="0"/>
          <w:numId w:val="11"/>
        </w:numPr>
        <w:tabs>
          <w:tab w:pos="263" w:val="left" w:leader="none"/>
        </w:tabs>
        <w:spacing w:line="244" w:lineRule="auto" w:before="8" w:after="0"/>
        <w:ind w:left="110" w:right="108" w:firstLine="0"/>
        <w:jc w:val="left"/>
        <w:rPr>
          <w:sz w:val="16"/>
        </w:rPr>
      </w:pPr>
      <w:r>
        <w:rPr>
          <w:color w:val="231F20"/>
          <w:sz w:val="16"/>
        </w:rPr>
        <w:t>De</w:t>
      </w:r>
      <w:r>
        <w:rPr>
          <w:color w:val="231F20"/>
          <w:spacing w:val="-9"/>
          <w:sz w:val="16"/>
        </w:rPr>
        <w:t> </w:t>
      </w:r>
      <w:r>
        <w:rPr>
          <w:color w:val="231F20"/>
          <w:sz w:val="16"/>
        </w:rPr>
        <w:t>los</w:t>
      </w:r>
      <w:r>
        <w:rPr>
          <w:color w:val="231F20"/>
          <w:spacing w:val="-9"/>
          <w:sz w:val="16"/>
        </w:rPr>
        <w:t> </w:t>
      </w:r>
      <w:r>
        <w:rPr>
          <w:color w:val="231F20"/>
          <w:sz w:val="16"/>
        </w:rPr>
        <w:t>hechos</w:t>
      </w:r>
      <w:r>
        <w:rPr>
          <w:color w:val="231F20"/>
          <w:spacing w:val="-9"/>
          <w:sz w:val="16"/>
        </w:rPr>
        <w:t> </w:t>
      </w:r>
      <w:r>
        <w:rPr>
          <w:color w:val="231F20"/>
          <w:sz w:val="16"/>
        </w:rPr>
        <w:t>da</w:t>
      </w:r>
      <w:r>
        <w:rPr>
          <w:color w:val="231F20"/>
          <w:spacing w:val="-9"/>
          <w:sz w:val="16"/>
        </w:rPr>
        <w:t> </w:t>
      </w:r>
      <w:r>
        <w:rPr>
          <w:color w:val="231F20"/>
          <w:sz w:val="16"/>
        </w:rPr>
        <w:t>cuenta</w:t>
      </w:r>
      <w:r>
        <w:rPr>
          <w:color w:val="231F20"/>
          <w:spacing w:val="-9"/>
          <w:sz w:val="16"/>
        </w:rPr>
        <w:t> </w:t>
      </w:r>
      <w:r>
        <w:rPr>
          <w:color w:val="231F20"/>
          <w:sz w:val="16"/>
        </w:rPr>
        <w:t>el</w:t>
      </w:r>
      <w:r>
        <w:rPr>
          <w:color w:val="231F20"/>
          <w:spacing w:val="-9"/>
          <w:sz w:val="16"/>
        </w:rPr>
        <w:t> </w:t>
      </w:r>
      <w:r>
        <w:rPr>
          <w:color w:val="231F20"/>
          <w:sz w:val="16"/>
        </w:rPr>
        <w:t>periódico</w:t>
      </w:r>
      <w:r>
        <w:rPr>
          <w:color w:val="231F20"/>
          <w:spacing w:val="-9"/>
          <w:sz w:val="16"/>
        </w:rPr>
        <w:t> </w:t>
      </w:r>
      <w:r>
        <w:rPr>
          <w:color w:val="231F20"/>
          <w:sz w:val="16"/>
        </w:rPr>
        <w:t>El</w:t>
      </w:r>
      <w:r>
        <w:rPr>
          <w:color w:val="231F20"/>
          <w:spacing w:val="-9"/>
          <w:sz w:val="16"/>
        </w:rPr>
        <w:t> </w:t>
      </w:r>
      <w:r>
        <w:rPr>
          <w:color w:val="231F20"/>
          <w:sz w:val="16"/>
        </w:rPr>
        <w:t>Universal</w:t>
      </w:r>
      <w:r>
        <w:rPr>
          <w:color w:val="231F20"/>
          <w:spacing w:val="-9"/>
          <w:sz w:val="16"/>
        </w:rPr>
        <w:t> </w:t>
      </w:r>
      <w:r>
        <w:rPr>
          <w:color w:val="231F20"/>
          <w:sz w:val="16"/>
        </w:rPr>
        <w:t>en</w:t>
      </w:r>
      <w:r>
        <w:rPr>
          <w:color w:val="231F20"/>
          <w:spacing w:val="-9"/>
          <w:sz w:val="16"/>
        </w:rPr>
        <w:t> </w:t>
      </w:r>
      <w:r>
        <w:rPr>
          <w:color w:val="231F20"/>
          <w:sz w:val="16"/>
        </w:rPr>
        <w:t>el</w:t>
      </w:r>
      <w:r>
        <w:rPr>
          <w:color w:val="231F20"/>
          <w:spacing w:val="-9"/>
          <w:sz w:val="16"/>
        </w:rPr>
        <w:t> </w:t>
      </w:r>
      <w:r>
        <w:rPr>
          <w:color w:val="231F20"/>
          <w:sz w:val="16"/>
        </w:rPr>
        <w:t>reportaje:</w:t>
      </w:r>
      <w:r>
        <w:rPr>
          <w:color w:val="231F20"/>
          <w:spacing w:val="-9"/>
          <w:sz w:val="16"/>
        </w:rPr>
        <w:t> </w:t>
      </w:r>
      <w:r>
        <w:rPr>
          <w:color w:val="231F20"/>
          <w:sz w:val="16"/>
        </w:rPr>
        <w:t>“Chimalhuacán:</w:t>
      </w:r>
      <w:r>
        <w:rPr>
          <w:color w:val="231F20"/>
          <w:spacing w:val="-9"/>
          <w:sz w:val="16"/>
        </w:rPr>
        <w:t> </w:t>
      </w:r>
      <w:r>
        <w:rPr>
          <w:color w:val="231F20"/>
          <w:sz w:val="16"/>
        </w:rPr>
        <w:t>botín</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loba”.</w:t>
      </w:r>
      <w:r>
        <w:rPr>
          <w:color w:val="231F20"/>
          <w:spacing w:val="-9"/>
          <w:sz w:val="16"/>
        </w:rPr>
        <w:t> </w:t>
      </w:r>
      <w:r>
        <w:rPr>
          <w:color w:val="231F20"/>
          <w:sz w:val="16"/>
        </w:rPr>
        <w:t>Caldo</w:t>
      </w:r>
      <w:r>
        <w:rPr>
          <w:color w:val="231F20"/>
          <w:spacing w:val="-9"/>
          <w:sz w:val="16"/>
        </w:rPr>
        <w:t> </w:t>
      </w:r>
      <w:r>
        <w:rPr>
          <w:color w:val="231F20"/>
          <w:sz w:val="16"/>
        </w:rPr>
        <w:t>de</w:t>
      </w:r>
      <w:r>
        <w:rPr>
          <w:color w:val="231F20"/>
          <w:spacing w:val="-9"/>
          <w:sz w:val="16"/>
        </w:rPr>
        <w:t> </w:t>
      </w:r>
      <w:r>
        <w:rPr>
          <w:color w:val="231F20"/>
          <w:sz w:val="16"/>
        </w:rPr>
        <w:t>cultivo</w:t>
      </w:r>
      <w:r>
        <w:rPr>
          <w:color w:val="231F20"/>
          <w:spacing w:val="-9"/>
          <w:sz w:val="16"/>
        </w:rPr>
        <w:t> </w:t>
      </w:r>
      <w:r>
        <w:rPr>
          <w:color w:val="231F20"/>
          <w:sz w:val="16"/>
        </w:rPr>
        <w:t>para la</w:t>
      </w:r>
      <w:r>
        <w:rPr>
          <w:color w:val="231F20"/>
          <w:spacing w:val="-13"/>
          <w:sz w:val="16"/>
        </w:rPr>
        <w:t> </w:t>
      </w:r>
      <w:r>
        <w:rPr>
          <w:color w:val="231F20"/>
          <w:sz w:val="16"/>
        </w:rPr>
        <w:t>disputa</w:t>
      </w:r>
      <w:r>
        <w:rPr>
          <w:color w:val="231F20"/>
          <w:spacing w:val="-13"/>
          <w:sz w:val="16"/>
        </w:rPr>
        <w:t> </w:t>
      </w:r>
      <w:r>
        <w:rPr>
          <w:color w:val="231F20"/>
          <w:sz w:val="16"/>
        </w:rPr>
        <w:t>del</w:t>
      </w:r>
      <w:r>
        <w:rPr>
          <w:color w:val="231F20"/>
          <w:spacing w:val="-13"/>
          <w:sz w:val="16"/>
        </w:rPr>
        <w:t> </w:t>
      </w:r>
      <w:r>
        <w:rPr>
          <w:color w:val="231F20"/>
          <w:sz w:val="16"/>
        </w:rPr>
        <w:t>poder”,</w:t>
      </w:r>
      <w:r>
        <w:rPr>
          <w:color w:val="231F20"/>
          <w:spacing w:val="-13"/>
          <w:sz w:val="16"/>
        </w:rPr>
        <w:t> </w:t>
      </w:r>
      <w:r>
        <w:rPr>
          <w:color w:val="231F20"/>
          <w:sz w:val="16"/>
        </w:rPr>
        <w:t>de</w:t>
      </w:r>
      <w:r>
        <w:rPr>
          <w:color w:val="231F20"/>
          <w:spacing w:val="-13"/>
          <w:sz w:val="16"/>
        </w:rPr>
        <w:t> </w:t>
      </w:r>
      <w:r>
        <w:rPr>
          <w:color w:val="231F20"/>
          <w:sz w:val="16"/>
        </w:rPr>
        <w:t>Marco</w:t>
      </w:r>
      <w:r>
        <w:rPr>
          <w:color w:val="231F20"/>
          <w:spacing w:val="-13"/>
          <w:sz w:val="16"/>
        </w:rPr>
        <w:t> </w:t>
      </w:r>
      <w:r>
        <w:rPr>
          <w:color w:val="231F20"/>
          <w:sz w:val="16"/>
        </w:rPr>
        <w:t>Lara</w:t>
      </w:r>
      <w:r>
        <w:rPr>
          <w:color w:val="231F20"/>
          <w:spacing w:val="-13"/>
          <w:sz w:val="16"/>
        </w:rPr>
        <w:t> </w:t>
      </w:r>
      <w:r>
        <w:rPr>
          <w:color w:val="231F20"/>
          <w:sz w:val="16"/>
        </w:rPr>
        <w:t>Klahr</w:t>
      </w:r>
      <w:r>
        <w:rPr>
          <w:color w:val="231F20"/>
          <w:spacing w:val="-13"/>
          <w:sz w:val="16"/>
        </w:rPr>
        <w:t> </w:t>
      </w:r>
      <w:r>
        <w:rPr>
          <w:color w:val="231F20"/>
          <w:sz w:val="16"/>
        </w:rPr>
        <w:t>(Segunda</w:t>
      </w:r>
      <w:r>
        <w:rPr>
          <w:color w:val="231F20"/>
          <w:spacing w:val="-13"/>
          <w:sz w:val="16"/>
        </w:rPr>
        <w:t> </w:t>
      </w:r>
      <w:r>
        <w:rPr>
          <w:color w:val="231F20"/>
          <w:sz w:val="16"/>
        </w:rPr>
        <w:t>y</w:t>
      </w:r>
      <w:r>
        <w:rPr>
          <w:color w:val="231F20"/>
          <w:spacing w:val="-13"/>
          <w:sz w:val="16"/>
        </w:rPr>
        <w:t> </w:t>
      </w:r>
      <w:r>
        <w:rPr>
          <w:color w:val="231F20"/>
          <w:sz w:val="16"/>
        </w:rPr>
        <w:t>última</w:t>
      </w:r>
      <w:r>
        <w:rPr>
          <w:color w:val="231F20"/>
          <w:spacing w:val="-13"/>
          <w:sz w:val="16"/>
        </w:rPr>
        <w:t> </w:t>
      </w:r>
      <w:r>
        <w:rPr>
          <w:color w:val="231F20"/>
          <w:sz w:val="16"/>
        </w:rPr>
        <w:t>parte)</w:t>
      </w:r>
      <w:r>
        <w:rPr>
          <w:color w:val="231F20"/>
          <w:spacing w:val="-13"/>
          <w:sz w:val="16"/>
        </w:rPr>
        <w:t> </w:t>
      </w:r>
      <w:r>
        <w:rPr>
          <w:color w:val="231F20"/>
          <w:sz w:val="16"/>
        </w:rPr>
        <w:t>Martes</w:t>
      </w:r>
      <w:r>
        <w:rPr>
          <w:color w:val="231F20"/>
          <w:spacing w:val="-13"/>
          <w:sz w:val="16"/>
        </w:rPr>
        <w:t> </w:t>
      </w:r>
      <w:r>
        <w:rPr>
          <w:color w:val="231F20"/>
          <w:spacing w:val="-4"/>
          <w:sz w:val="16"/>
        </w:rPr>
        <w:t>18</w:t>
      </w:r>
      <w:r>
        <w:rPr>
          <w:color w:val="231F20"/>
          <w:spacing w:val="-13"/>
          <w:sz w:val="16"/>
        </w:rPr>
        <w:t> </w:t>
      </w:r>
      <w:r>
        <w:rPr>
          <w:color w:val="231F20"/>
          <w:sz w:val="16"/>
        </w:rPr>
        <w:t>de</w:t>
      </w:r>
      <w:r>
        <w:rPr>
          <w:color w:val="231F20"/>
          <w:spacing w:val="-13"/>
          <w:sz w:val="16"/>
        </w:rPr>
        <w:t> </w:t>
      </w:r>
      <w:r>
        <w:rPr>
          <w:color w:val="231F20"/>
          <w:sz w:val="16"/>
        </w:rPr>
        <w:t>julio</w:t>
      </w:r>
      <w:r>
        <w:rPr>
          <w:color w:val="231F20"/>
          <w:spacing w:val="-13"/>
          <w:sz w:val="16"/>
        </w:rPr>
        <w:t> </w:t>
      </w:r>
      <w:r>
        <w:rPr>
          <w:color w:val="231F20"/>
          <w:sz w:val="16"/>
        </w:rPr>
        <w:t>de</w:t>
      </w:r>
      <w:r>
        <w:rPr>
          <w:color w:val="231F20"/>
          <w:spacing w:val="-13"/>
          <w:sz w:val="16"/>
        </w:rPr>
        <w:t> </w:t>
      </w:r>
      <w:r>
        <w:rPr>
          <w:color w:val="231F20"/>
          <w:sz w:val="16"/>
        </w:rPr>
        <w:t>2000.</w:t>
      </w:r>
    </w:p>
    <w:p>
      <w:pPr>
        <w:pStyle w:val="ListParagraph"/>
        <w:numPr>
          <w:ilvl w:val="0"/>
          <w:numId w:val="11"/>
        </w:numPr>
        <w:tabs>
          <w:tab w:pos="224" w:val="left" w:leader="none"/>
        </w:tabs>
        <w:spacing w:line="240" w:lineRule="auto" w:before="0" w:after="0"/>
        <w:ind w:left="223" w:right="0" w:hanging="113"/>
        <w:jc w:val="left"/>
        <w:rPr>
          <w:sz w:val="16"/>
        </w:rPr>
      </w:pPr>
      <w:r>
        <w:rPr>
          <w:color w:val="231F20"/>
          <w:sz w:val="16"/>
        </w:rPr>
        <w:t>El</w:t>
      </w:r>
      <w:r>
        <w:rPr>
          <w:color w:val="231F20"/>
          <w:spacing w:val="-12"/>
          <w:sz w:val="16"/>
        </w:rPr>
        <w:t> </w:t>
      </w:r>
      <w:r>
        <w:rPr>
          <w:color w:val="231F20"/>
          <w:sz w:val="16"/>
        </w:rPr>
        <w:t>Día,</w:t>
      </w:r>
      <w:r>
        <w:rPr>
          <w:color w:val="231F20"/>
          <w:spacing w:val="-12"/>
          <w:sz w:val="16"/>
        </w:rPr>
        <w:t> </w:t>
      </w:r>
      <w:r>
        <w:rPr>
          <w:color w:val="231F20"/>
          <w:spacing w:val="-4"/>
          <w:sz w:val="16"/>
        </w:rPr>
        <w:t>21</w:t>
      </w:r>
      <w:r>
        <w:rPr>
          <w:color w:val="231F20"/>
          <w:spacing w:val="-12"/>
          <w:sz w:val="16"/>
        </w:rPr>
        <w:t> </w:t>
      </w:r>
      <w:r>
        <w:rPr>
          <w:color w:val="231F20"/>
          <w:sz w:val="16"/>
        </w:rPr>
        <w:t>de</w:t>
      </w:r>
      <w:r>
        <w:rPr>
          <w:color w:val="231F20"/>
          <w:spacing w:val="-12"/>
          <w:sz w:val="16"/>
        </w:rPr>
        <w:t> </w:t>
      </w:r>
      <w:r>
        <w:rPr>
          <w:color w:val="231F20"/>
          <w:sz w:val="16"/>
        </w:rPr>
        <w:t>Agosto</w:t>
      </w:r>
      <w:r>
        <w:rPr>
          <w:color w:val="231F20"/>
          <w:spacing w:val="-12"/>
          <w:sz w:val="16"/>
        </w:rPr>
        <w:t> </w:t>
      </w:r>
      <w:r>
        <w:rPr>
          <w:color w:val="231F20"/>
          <w:sz w:val="16"/>
        </w:rPr>
        <w:t>de</w:t>
      </w:r>
      <w:r>
        <w:rPr>
          <w:color w:val="231F20"/>
          <w:spacing w:val="-12"/>
          <w:sz w:val="16"/>
        </w:rPr>
        <w:t> </w:t>
      </w:r>
      <w:r>
        <w:rPr>
          <w:color w:val="231F20"/>
          <w:sz w:val="16"/>
        </w:rPr>
        <w:t>2002,</w:t>
      </w:r>
      <w:r>
        <w:rPr>
          <w:color w:val="231F20"/>
          <w:spacing w:val="-12"/>
          <w:sz w:val="16"/>
        </w:rPr>
        <w:t> </w:t>
      </w:r>
      <w:r>
        <w:rPr>
          <w:color w:val="231F20"/>
          <w:sz w:val="16"/>
        </w:rPr>
        <w:t>reportaje</w:t>
      </w:r>
      <w:r>
        <w:rPr>
          <w:color w:val="231F20"/>
          <w:spacing w:val="-12"/>
          <w:sz w:val="16"/>
        </w:rPr>
        <w:t> </w:t>
      </w:r>
      <w:r>
        <w:rPr>
          <w:color w:val="231F20"/>
          <w:sz w:val="16"/>
        </w:rPr>
        <w:t>suscrito</w:t>
      </w:r>
      <w:r>
        <w:rPr>
          <w:color w:val="231F20"/>
          <w:spacing w:val="-12"/>
          <w:sz w:val="16"/>
        </w:rPr>
        <w:t> </w:t>
      </w:r>
      <w:r>
        <w:rPr>
          <w:color w:val="231F20"/>
          <w:sz w:val="16"/>
        </w:rPr>
        <w:t>por</w:t>
      </w:r>
      <w:r>
        <w:rPr>
          <w:color w:val="231F20"/>
          <w:spacing w:val="-12"/>
          <w:sz w:val="16"/>
        </w:rPr>
        <w:t> </w:t>
      </w:r>
      <w:r>
        <w:rPr>
          <w:color w:val="231F20"/>
          <w:sz w:val="16"/>
        </w:rPr>
        <w:t>Homero</w:t>
      </w:r>
      <w:r>
        <w:rPr>
          <w:color w:val="231F20"/>
          <w:spacing w:val="-12"/>
          <w:sz w:val="16"/>
        </w:rPr>
        <w:t> </w:t>
      </w:r>
      <w:r>
        <w:rPr>
          <w:color w:val="231F20"/>
          <w:sz w:val="16"/>
        </w:rPr>
        <w:t>Aguirre</w:t>
      </w:r>
      <w:r>
        <w:rPr>
          <w:color w:val="231F20"/>
          <w:spacing w:val="-12"/>
          <w:sz w:val="16"/>
        </w:rPr>
        <w:t> </w:t>
      </w:r>
      <w:r>
        <w:rPr>
          <w:color w:val="231F20"/>
          <w:sz w:val="16"/>
        </w:rPr>
        <w:t>Enríquez.</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Evidentemente</w:t>
      </w:r>
      <w:r>
        <w:rPr>
          <w:color w:val="231F20"/>
          <w:spacing w:val="-11"/>
          <w:w w:val="105"/>
        </w:rPr>
        <w:t> </w:t>
      </w:r>
      <w:r>
        <w:rPr>
          <w:color w:val="231F20"/>
          <w:w w:val="105"/>
        </w:rPr>
        <w:t>el</w:t>
      </w:r>
      <w:r>
        <w:rPr>
          <w:color w:val="231F20"/>
          <w:spacing w:val="-11"/>
          <w:w w:val="105"/>
        </w:rPr>
        <w:t> </w:t>
      </w:r>
      <w:r>
        <w:rPr>
          <w:color w:val="231F20"/>
          <w:spacing w:val="-3"/>
          <w:w w:val="105"/>
        </w:rPr>
        <w:t>fondo</w:t>
      </w:r>
      <w:r>
        <w:rPr>
          <w:color w:val="231F20"/>
          <w:spacing w:val="-11"/>
          <w:w w:val="105"/>
        </w:rPr>
        <w:t> </w:t>
      </w:r>
      <w:r>
        <w:rPr>
          <w:color w:val="231F20"/>
          <w:w w:val="105"/>
        </w:rPr>
        <w:t>del</w:t>
      </w:r>
      <w:r>
        <w:rPr>
          <w:color w:val="231F20"/>
          <w:spacing w:val="-11"/>
          <w:w w:val="105"/>
        </w:rPr>
        <w:t> </w:t>
      </w:r>
      <w:r>
        <w:rPr>
          <w:color w:val="231F20"/>
          <w:w w:val="105"/>
        </w:rPr>
        <w:t>asunto</w:t>
      </w:r>
      <w:r>
        <w:rPr>
          <w:color w:val="231F20"/>
          <w:spacing w:val="-11"/>
          <w:w w:val="105"/>
        </w:rPr>
        <w:t> </w:t>
      </w:r>
      <w:r>
        <w:rPr>
          <w:color w:val="231F20"/>
          <w:w w:val="105"/>
        </w:rPr>
        <w:t>no</w:t>
      </w:r>
      <w:r>
        <w:rPr>
          <w:color w:val="231F20"/>
          <w:spacing w:val="-11"/>
          <w:w w:val="105"/>
        </w:rPr>
        <w:t> </w:t>
      </w:r>
      <w:r>
        <w:rPr>
          <w:color w:val="231F20"/>
          <w:w w:val="105"/>
        </w:rPr>
        <w:t>era</w:t>
      </w:r>
      <w:r>
        <w:rPr>
          <w:color w:val="231F20"/>
          <w:spacing w:val="-11"/>
          <w:w w:val="105"/>
        </w:rPr>
        <w:t> </w:t>
      </w:r>
      <w:r>
        <w:rPr>
          <w:color w:val="231F20"/>
          <w:w w:val="105"/>
        </w:rPr>
        <w:t>la</w:t>
      </w:r>
      <w:r>
        <w:rPr>
          <w:color w:val="231F20"/>
          <w:spacing w:val="-11"/>
          <w:w w:val="105"/>
        </w:rPr>
        <w:t> </w:t>
      </w:r>
      <w:r>
        <w:rPr>
          <w:color w:val="231F20"/>
          <w:w w:val="105"/>
        </w:rPr>
        <w:t>elección</w:t>
      </w:r>
      <w:r>
        <w:rPr>
          <w:color w:val="231F20"/>
          <w:spacing w:val="-11"/>
          <w:w w:val="105"/>
        </w:rPr>
        <w:t> </w:t>
      </w:r>
      <w:r>
        <w:rPr>
          <w:color w:val="231F20"/>
          <w:w w:val="105"/>
        </w:rPr>
        <w:t>de</w:t>
      </w:r>
      <w:r>
        <w:rPr>
          <w:color w:val="231F20"/>
          <w:spacing w:val="-11"/>
          <w:w w:val="105"/>
        </w:rPr>
        <w:t> </w:t>
      </w:r>
      <w:r>
        <w:rPr>
          <w:color w:val="231F20"/>
          <w:spacing w:val="-4"/>
          <w:w w:val="105"/>
        </w:rPr>
        <w:t>Tolentino,</w:t>
      </w:r>
      <w:r>
        <w:rPr>
          <w:color w:val="231F20"/>
          <w:spacing w:val="-11"/>
          <w:w w:val="105"/>
        </w:rPr>
        <w:t> </w:t>
      </w:r>
      <w:r>
        <w:rPr>
          <w:color w:val="231F20"/>
          <w:w w:val="105"/>
        </w:rPr>
        <w:t>sino</w:t>
      </w:r>
      <w:r>
        <w:rPr>
          <w:color w:val="231F20"/>
          <w:spacing w:val="-11"/>
          <w:w w:val="105"/>
        </w:rPr>
        <w:t> </w:t>
      </w:r>
      <w:r>
        <w:rPr>
          <w:color w:val="231F20"/>
          <w:w w:val="105"/>
        </w:rPr>
        <w:t>el</w:t>
      </w:r>
      <w:r>
        <w:rPr>
          <w:color w:val="231F20"/>
          <w:spacing w:val="-11"/>
          <w:w w:val="105"/>
        </w:rPr>
        <w:t> </w:t>
      </w:r>
      <w:r>
        <w:rPr>
          <w:color w:val="231F20"/>
          <w:w w:val="105"/>
        </w:rPr>
        <w:t>hecho</w:t>
      </w:r>
      <w:r>
        <w:rPr>
          <w:color w:val="231F20"/>
          <w:spacing w:val="-11"/>
          <w:w w:val="105"/>
        </w:rPr>
        <w:t> </w:t>
      </w:r>
      <w:r>
        <w:rPr>
          <w:color w:val="231F20"/>
          <w:w w:val="105"/>
        </w:rPr>
        <w:t>de</w:t>
      </w:r>
      <w:r>
        <w:rPr>
          <w:color w:val="231F20"/>
          <w:spacing w:val="-11"/>
          <w:w w:val="105"/>
        </w:rPr>
        <w:t> </w:t>
      </w:r>
      <w:r>
        <w:rPr>
          <w:color w:val="231F20"/>
          <w:w w:val="105"/>
        </w:rPr>
        <w:t>que se inicia un nuevo cacicazgo que viene a sustituir </w:t>
      </w:r>
      <w:r>
        <w:rPr>
          <w:color w:val="231F20"/>
          <w:spacing w:val="2"/>
          <w:w w:val="105"/>
        </w:rPr>
        <w:t>al </w:t>
      </w:r>
      <w:r>
        <w:rPr>
          <w:color w:val="231F20"/>
          <w:w w:val="105"/>
        </w:rPr>
        <w:t>previo encabezado por la señora Guadalupe Buendía </w:t>
      </w:r>
      <w:r>
        <w:rPr>
          <w:color w:val="231F20"/>
          <w:spacing w:val="-4"/>
          <w:w w:val="105"/>
        </w:rPr>
        <w:t>Torres, </w:t>
      </w:r>
      <w:r>
        <w:rPr>
          <w:color w:val="231F20"/>
          <w:w w:val="105"/>
        </w:rPr>
        <w:t>que quiere conservar el control de la política y gran parte de</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social</w:t>
      </w:r>
      <w:r>
        <w:rPr>
          <w:color w:val="231F20"/>
          <w:spacing w:val="-18"/>
          <w:w w:val="105"/>
        </w:rPr>
        <w:t> </w:t>
      </w:r>
      <w:r>
        <w:rPr>
          <w:color w:val="231F20"/>
          <w:w w:val="105"/>
        </w:rPr>
        <w:t>en</w:t>
      </w:r>
      <w:r>
        <w:rPr>
          <w:color w:val="231F20"/>
          <w:spacing w:val="-18"/>
          <w:w w:val="105"/>
        </w:rPr>
        <w:t> </w:t>
      </w:r>
      <w:r>
        <w:rPr>
          <w:color w:val="231F20"/>
          <w:w w:val="105"/>
        </w:rPr>
        <w:t>Chimalhuacán.</w:t>
      </w:r>
      <w:r>
        <w:rPr>
          <w:color w:val="231F20"/>
          <w:spacing w:val="-18"/>
          <w:w w:val="105"/>
        </w:rPr>
        <w:t> </w:t>
      </w:r>
      <w:r>
        <w:rPr>
          <w:color w:val="231F20"/>
          <w:w w:val="105"/>
        </w:rPr>
        <w:t>La</w:t>
      </w:r>
      <w:r>
        <w:rPr>
          <w:color w:val="231F20"/>
          <w:spacing w:val="-18"/>
          <w:w w:val="105"/>
        </w:rPr>
        <w:t> </w:t>
      </w:r>
      <w:r>
        <w:rPr>
          <w:color w:val="231F20"/>
          <w:w w:val="105"/>
        </w:rPr>
        <w:t>llegada</w:t>
      </w:r>
      <w:r>
        <w:rPr>
          <w:color w:val="231F20"/>
          <w:spacing w:val="-18"/>
          <w:w w:val="105"/>
        </w:rPr>
        <w:t> </w:t>
      </w:r>
      <w:r>
        <w:rPr>
          <w:color w:val="231F20"/>
          <w:w w:val="105"/>
        </w:rPr>
        <w:t>de</w:t>
      </w:r>
      <w:r>
        <w:rPr>
          <w:color w:val="231F20"/>
          <w:spacing w:val="-18"/>
          <w:w w:val="105"/>
        </w:rPr>
        <w:t> </w:t>
      </w:r>
      <w:r>
        <w:rPr>
          <w:color w:val="231F20"/>
          <w:w w:val="105"/>
        </w:rPr>
        <w:t>Antorcha</w:t>
      </w:r>
      <w:r>
        <w:rPr>
          <w:color w:val="231F20"/>
          <w:spacing w:val="-18"/>
          <w:w w:val="105"/>
        </w:rPr>
        <w:t> </w:t>
      </w:r>
      <w:r>
        <w:rPr>
          <w:color w:val="231F20"/>
          <w:w w:val="105"/>
        </w:rPr>
        <w:t>en</w:t>
      </w:r>
      <w:r>
        <w:rPr>
          <w:color w:val="231F20"/>
          <w:spacing w:val="-18"/>
          <w:w w:val="105"/>
        </w:rPr>
        <w:t> </w:t>
      </w:r>
      <w:r>
        <w:rPr>
          <w:color w:val="231F20"/>
          <w:w w:val="105"/>
        </w:rPr>
        <w:t>ese</w:t>
      </w:r>
      <w:r>
        <w:rPr>
          <w:color w:val="231F20"/>
          <w:spacing w:val="-18"/>
          <w:w w:val="105"/>
        </w:rPr>
        <w:t> </w:t>
      </w:r>
      <w:r>
        <w:rPr>
          <w:color w:val="231F20"/>
          <w:w w:val="105"/>
        </w:rPr>
        <w:t>tiempo</w:t>
      </w:r>
      <w:r>
        <w:rPr>
          <w:color w:val="231F20"/>
          <w:spacing w:val="-18"/>
          <w:w w:val="105"/>
        </w:rPr>
        <w:t> </w:t>
      </w:r>
      <w:r>
        <w:rPr>
          <w:color w:val="231F20"/>
          <w:w w:val="105"/>
        </w:rPr>
        <w:t>podía</w:t>
      </w:r>
      <w:r>
        <w:rPr>
          <w:color w:val="231F20"/>
          <w:spacing w:val="-18"/>
          <w:w w:val="105"/>
        </w:rPr>
        <w:t> </w:t>
      </w:r>
      <w:r>
        <w:rPr>
          <w:color w:val="231F20"/>
          <w:w w:val="105"/>
        </w:rPr>
        <w:t>ser</w:t>
      </w:r>
      <w:r>
        <w:rPr>
          <w:color w:val="231F20"/>
          <w:spacing w:val="-18"/>
          <w:w w:val="105"/>
        </w:rPr>
        <w:t> </w:t>
      </w:r>
      <w:r>
        <w:rPr>
          <w:color w:val="231F20"/>
          <w:spacing w:val="2"/>
          <w:w w:val="105"/>
        </w:rPr>
        <w:t>vista </w:t>
      </w:r>
      <w:r>
        <w:rPr>
          <w:color w:val="231F20"/>
          <w:w w:val="105"/>
        </w:rPr>
        <w:t>como</w:t>
      </w:r>
      <w:r>
        <w:rPr>
          <w:color w:val="231F20"/>
          <w:spacing w:val="-16"/>
          <w:w w:val="105"/>
        </w:rPr>
        <w:t> </w:t>
      </w:r>
      <w:r>
        <w:rPr>
          <w:color w:val="231F20"/>
          <w:w w:val="105"/>
        </w:rPr>
        <w:t>signo</w:t>
      </w:r>
      <w:r>
        <w:rPr>
          <w:color w:val="231F20"/>
          <w:spacing w:val="-16"/>
          <w:w w:val="105"/>
        </w:rPr>
        <w:t> </w:t>
      </w:r>
      <w:r>
        <w:rPr>
          <w:color w:val="231F20"/>
          <w:w w:val="105"/>
        </w:rPr>
        <w:t>de</w:t>
      </w:r>
      <w:r>
        <w:rPr>
          <w:color w:val="231F20"/>
          <w:spacing w:val="-16"/>
          <w:w w:val="105"/>
        </w:rPr>
        <w:t> </w:t>
      </w:r>
      <w:r>
        <w:rPr>
          <w:color w:val="231F20"/>
          <w:w w:val="105"/>
        </w:rPr>
        <w:t>cambio,</w:t>
      </w:r>
      <w:r>
        <w:rPr>
          <w:color w:val="231F20"/>
          <w:spacing w:val="-16"/>
          <w:w w:val="105"/>
        </w:rPr>
        <w:t> </w:t>
      </w:r>
      <w:r>
        <w:rPr>
          <w:color w:val="231F20"/>
          <w:w w:val="105"/>
        </w:rPr>
        <w:t>pero</w:t>
      </w:r>
      <w:r>
        <w:rPr>
          <w:color w:val="231F20"/>
          <w:spacing w:val="-16"/>
          <w:w w:val="105"/>
        </w:rPr>
        <w:t> </w:t>
      </w:r>
      <w:r>
        <w:rPr>
          <w:color w:val="231F20"/>
          <w:w w:val="105"/>
        </w:rPr>
        <w:t>a</w:t>
      </w:r>
      <w:r>
        <w:rPr>
          <w:color w:val="231F20"/>
          <w:spacing w:val="-16"/>
          <w:w w:val="105"/>
        </w:rPr>
        <w:t> </w:t>
      </w:r>
      <w:r>
        <w:rPr>
          <w:color w:val="231F20"/>
          <w:w w:val="105"/>
        </w:rPr>
        <w:t>favor</w:t>
      </w:r>
      <w:r>
        <w:rPr>
          <w:color w:val="231F20"/>
          <w:spacing w:val="-16"/>
          <w:w w:val="105"/>
        </w:rPr>
        <w:t> </w:t>
      </w:r>
      <w:r>
        <w:rPr>
          <w:color w:val="231F20"/>
          <w:w w:val="105"/>
        </w:rPr>
        <w:t>de</w:t>
      </w:r>
      <w:r>
        <w:rPr>
          <w:color w:val="231F20"/>
          <w:spacing w:val="-16"/>
          <w:w w:val="105"/>
        </w:rPr>
        <w:t> </w:t>
      </w:r>
      <w:r>
        <w:rPr>
          <w:color w:val="231F20"/>
          <w:w w:val="105"/>
        </w:rPr>
        <w:t>este</w:t>
      </w:r>
      <w:r>
        <w:rPr>
          <w:color w:val="231F20"/>
          <w:spacing w:val="-16"/>
          <w:w w:val="105"/>
        </w:rPr>
        <w:t> </w:t>
      </w:r>
      <w:r>
        <w:rPr>
          <w:color w:val="231F20"/>
          <w:w w:val="105"/>
        </w:rPr>
        <w:t>grupo,</w:t>
      </w:r>
      <w:r>
        <w:rPr>
          <w:color w:val="231F20"/>
          <w:spacing w:val="-16"/>
          <w:w w:val="105"/>
        </w:rPr>
        <w:t> </w:t>
      </w:r>
      <w:r>
        <w:rPr>
          <w:color w:val="231F20"/>
          <w:spacing w:val="2"/>
          <w:w w:val="105"/>
        </w:rPr>
        <w:t>tan</w:t>
      </w:r>
      <w:r>
        <w:rPr>
          <w:color w:val="231F20"/>
          <w:spacing w:val="-16"/>
          <w:w w:val="105"/>
        </w:rPr>
        <w:t> </w:t>
      </w:r>
      <w:r>
        <w:rPr>
          <w:color w:val="231F20"/>
          <w:w w:val="105"/>
        </w:rPr>
        <w:t>sospechoso</w:t>
      </w:r>
      <w:r>
        <w:rPr>
          <w:color w:val="231F20"/>
          <w:spacing w:val="-16"/>
          <w:w w:val="105"/>
        </w:rPr>
        <w:t> </w:t>
      </w:r>
      <w:r>
        <w:rPr>
          <w:color w:val="231F20"/>
          <w:w w:val="105"/>
        </w:rPr>
        <w:t>y</w:t>
      </w:r>
      <w:r>
        <w:rPr>
          <w:color w:val="231F20"/>
          <w:spacing w:val="-16"/>
          <w:w w:val="105"/>
        </w:rPr>
        <w:t> </w:t>
      </w:r>
      <w:r>
        <w:rPr>
          <w:color w:val="231F20"/>
          <w:w w:val="105"/>
        </w:rPr>
        <w:t>clientelar.</w:t>
      </w:r>
    </w:p>
    <w:p>
      <w:pPr>
        <w:pStyle w:val="BodyText"/>
        <w:spacing w:before="1"/>
        <w:rPr>
          <w:sz w:val="26"/>
        </w:rPr>
      </w:pPr>
    </w:p>
    <w:p>
      <w:pPr>
        <w:pStyle w:val="BodyText"/>
        <w:spacing w:line="285" w:lineRule="auto"/>
        <w:ind w:left="110" w:right="108"/>
        <w:jc w:val="both"/>
      </w:pPr>
      <w:r>
        <w:rPr>
          <w:color w:val="231F20"/>
          <w:w w:val="105"/>
        </w:rPr>
        <w:t>A partir del trienio de Eduardo Avendaño Díaz (1979-1981) el gobierno municipal asume la necesidad de renovación en formas y estructura. Es cuando empiezan a crearse oficinas encargadas de la administración pública municipal y el presidente deja de ser el experto en todas las funciones de gobierno (el “todólogo”). Se ha seña- lado que ahí fenece el cacicazgo rural y Chimalhuacán tiene un remanso de transi- ción hacia la democracia.</w:t>
      </w:r>
    </w:p>
    <w:p>
      <w:pPr>
        <w:pStyle w:val="BodyText"/>
        <w:spacing w:line="285" w:lineRule="auto" w:before="1"/>
        <w:ind w:left="677" w:right="107"/>
        <w:jc w:val="both"/>
      </w:pPr>
      <w:r>
        <w:rPr>
          <w:color w:val="231F20"/>
          <w:w w:val="105"/>
        </w:rPr>
        <w:t>…la</w:t>
      </w:r>
      <w:r>
        <w:rPr>
          <w:color w:val="231F20"/>
          <w:spacing w:val="-6"/>
          <w:w w:val="105"/>
        </w:rPr>
        <w:t> </w:t>
      </w:r>
      <w:r>
        <w:rPr>
          <w:color w:val="231F20"/>
          <w:w w:val="105"/>
        </w:rPr>
        <w:t>fuerza</w:t>
      </w:r>
      <w:r>
        <w:rPr>
          <w:color w:val="231F20"/>
          <w:spacing w:val="-6"/>
          <w:w w:val="105"/>
        </w:rPr>
        <w:t> </w:t>
      </w:r>
      <w:r>
        <w:rPr>
          <w:color w:val="231F20"/>
          <w:w w:val="105"/>
        </w:rPr>
        <w:t>de</w:t>
      </w:r>
      <w:r>
        <w:rPr>
          <w:color w:val="231F20"/>
          <w:spacing w:val="-6"/>
          <w:w w:val="105"/>
        </w:rPr>
        <w:t> </w:t>
      </w:r>
      <w:r>
        <w:rPr>
          <w:color w:val="231F20"/>
          <w:w w:val="105"/>
        </w:rPr>
        <w:t>ellos</w:t>
      </w:r>
      <w:r>
        <w:rPr>
          <w:color w:val="231F20"/>
          <w:spacing w:val="-6"/>
          <w:w w:val="105"/>
        </w:rPr>
        <w:t> </w:t>
      </w:r>
      <w:r>
        <w:rPr>
          <w:color w:val="231F20"/>
          <w:w w:val="105"/>
        </w:rPr>
        <w:t>se</w:t>
      </w:r>
      <w:r>
        <w:rPr>
          <w:color w:val="231F20"/>
          <w:spacing w:val="-6"/>
          <w:w w:val="105"/>
        </w:rPr>
        <w:t> </w:t>
      </w:r>
      <w:r>
        <w:rPr>
          <w:color w:val="231F20"/>
          <w:w w:val="105"/>
        </w:rPr>
        <w:t>fue</w:t>
      </w:r>
      <w:r>
        <w:rPr>
          <w:color w:val="231F20"/>
          <w:spacing w:val="-6"/>
          <w:w w:val="105"/>
        </w:rPr>
        <w:t> </w:t>
      </w:r>
      <w:r>
        <w:rPr>
          <w:color w:val="231F20"/>
          <w:w w:val="105"/>
        </w:rPr>
        <w:t>minando</w:t>
      </w:r>
      <w:r>
        <w:rPr>
          <w:color w:val="231F20"/>
          <w:spacing w:val="-6"/>
          <w:w w:val="105"/>
        </w:rPr>
        <w:t> </w:t>
      </w:r>
      <w:r>
        <w:rPr>
          <w:color w:val="231F20"/>
          <w:w w:val="105"/>
        </w:rPr>
        <w:t>a</w:t>
      </w:r>
      <w:r>
        <w:rPr>
          <w:color w:val="231F20"/>
          <w:spacing w:val="-6"/>
          <w:w w:val="105"/>
        </w:rPr>
        <w:t> </w:t>
      </w:r>
      <w:r>
        <w:rPr>
          <w:color w:val="231F20"/>
          <w:spacing w:val="2"/>
          <w:w w:val="105"/>
        </w:rPr>
        <w:t>partir</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PRI</w:t>
      </w:r>
      <w:r>
        <w:rPr>
          <w:color w:val="231F20"/>
          <w:spacing w:val="-6"/>
          <w:w w:val="105"/>
        </w:rPr>
        <w:t> </w:t>
      </w:r>
      <w:r>
        <w:rPr>
          <w:color w:val="231F20"/>
          <w:w w:val="105"/>
        </w:rPr>
        <w:t>tuvo</w:t>
      </w:r>
      <w:r>
        <w:rPr>
          <w:color w:val="231F20"/>
          <w:spacing w:val="-6"/>
          <w:w w:val="105"/>
        </w:rPr>
        <w:t> </w:t>
      </w:r>
      <w:r>
        <w:rPr>
          <w:color w:val="231F20"/>
          <w:w w:val="105"/>
        </w:rPr>
        <w:t>una</w:t>
      </w:r>
      <w:r>
        <w:rPr>
          <w:color w:val="231F20"/>
          <w:spacing w:val="-6"/>
          <w:w w:val="105"/>
        </w:rPr>
        <w:t> </w:t>
      </w:r>
      <w:r>
        <w:rPr>
          <w:color w:val="231F20"/>
          <w:w w:val="105"/>
        </w:rPr>
        <w:t>época</w:t>
      </w:r>
      <w:r>
        <w:rPr>
          <w:color w:val="231F20"/>
          <w:spacing w:val="-6"/>
          <w:w w:val="105"/>
        </w:rPr>
        <w:t> </w:t>
      </w:r>
      <w:r>
        <w:rPr>
          <w:color w:val="231F20"/>
          <w:w w:val="105"/>
        </w:rPr>
        <w:t>en</w:t>
      </w:r>
      <w:r>
        <w:rPr>
          <w:color w:val="231F20"/>
          <w:spacing w:val="-6"/>
          <w:w w:val="105"/>
        </w:rPr>
        <w:t> </w:t>
      </w:r>
      <w:r>
        <w:rPr>
          <w:color w:val="231F20"/>
          <w:w w:val="105"/>
        </w:rPr>
        <w:t>que se estaba democratizando, estamos hablando precisamente de la elección para ayuntamiento en </w:t>
      </w:r>
      <w:r>
        <w:rPr>
          <w:color w:val="231F20"/>
          <w:spacing w:val="-3"/>
          <w:w w:val="105"/>
        </w:rPr>
        <w:t>1978. </w:t>
      </w:r>
      <w:r>
        <w:rPr>
          <w:color w:val="231F20"/>
          <w:w w:val="105"/>
        </w:rPr>
        <w:t>En ese </w:t>
      </w:r>
      <w:r>
        <w:rPr>
          <w:color w:val="231F20"/>
          <w:spacing w:val="-3"/>
          <w:w w:val="105"/>
        </w:rPr>
        <w:t>momento </w:t>
      </w:r>
      <w:r>
        <w:rPr>
          <w:color w:val="231F20"/>
          <w:w w:val="105"/>
        </w:rPr>
        <w:t>aparece una nueva forma de hacer po- lítica del PRI, con un sistema que se dio por </w:t>
      </w:r>
      <w:r>
        <w:rPr>
          <w:color w:val="231F20"/>
          <w:spacing w:val="2"/>
          <w:w w:val="105"/>
        </w:rPr>
        <w:t>llamar </w:t>
      </w:r>
      <w:r>
        <w:rPr>
          <w:color w:val="231F20"/>
          <w:w w:val="105"/>
        </w:rPr>
        <w:t>“democracia transparente” a través de la consulta a la bases; esto fue obra del presidente del PRI Nacional, Carlos Sansores Pérez, y la anuencia del presidente de la República, José</w:t>
      </w:r>
      <w:r>
        <w:rPr>
          <w:color w:val="231F20"/>
          <w:spacing w:val="-33"/>
          <w:w w:val="105"/>
        </w:rPr>
        <w:t> </w:t>
      </w:r>
      <w:r>
        <w:rPr>
          <w:color w:val="231F20"/>
          <w:w w:val="105"/>
        </w:rPr>
        <w:t>López Portillo,</w:t>
      </w:r>
      <w:r>
        <w:rPr>
          <w:color w:val="231F20"/>
          <w:spacing w:val="-27"/>
          <w:w w:val="105"/>
        </w:rPr>
        <w:t> </w:t>
      </w:r>
      <w:r>
        <w:rPr>
          <w:color w:val="231F20"/>
          <w:w w:val="105"/>
        </w:rPr>
        <w:t>y</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Estado</w:t>
      </w:r>
      <w:r>
        <w:rPr>
          <w:color w:val="231F20"/>
          <w:spacing w:val="-27"/>
          <w:w w:val="105"/>
        </w:rPr>
        <w:t> </w:t>
      </w:r>
      <w:r>
        <w:rPr>
          <w:color w:val="231F20"/>
          <w:w w:val="105"/>
        </w:rPr>
        <w:t>de</w:t>
      </w:r>
      <w:r>
        <w:rPr>
          <w:color w:val="231F20"/>
          <w:spacing w:val="-27"/>
          <w:w w:val="105"/>
        </w:rPr>
        <w:t> </w:t>
      </w:r>
      <w:r>
        <w:rPr>
          <w:color w:val="231F20"/>
          <w:w w:val="105"/>
        </w:rPr>
        <w:t>México</w:t>
      </w:r>
      <w:r>
        <w:rPr>
          <w:color w:val="231F20"/>
          <w:spacing w:val="-27"/>
          <w:w w:val="105"/>
        </w:rPr>
        <w:t> </w:t>
      </w:r>
      <w:r>
        <w:rPr>
          <w:color w:val="231F20"/>
          <w:w w:val="105"/>
        </w:rPr>
        <w:t>el</w:t>
      </w:r>
      <w:r>
        <w:rPr>
          <w:color w:val="231F20"/>
          <w:spacing w:val="-27"/>
          <w:w w:val="105"/>
        </w:rPr>
        <w:t> </w:t>
      </w:r>
      <w:r>
        <w:rPr>
          <w:color w:val="231F20"/>
          <w:w w:val="105"/>
        </w:rPr>
        <w:t>gobernador</w:t>
      </w:r>
      <w:r>
        <w:rPr>
          <w:color w:val="231F20"/>
          <w:spacing w:val="-27"/>
          <w:w w:val="105"/>
        </w:rPr>
        <w:t> </w:t>
      </w:r>
      <w:r>
        <w:rPr>
          <w:color w:val="231F20"/>
          <w:w w:val="105"/>
        </w:rPr>
        <w:t>era</w:t>
      </w:r>
      <w:r>
        <w:rPr>
          <w:color w:val="231F20"/>
          <w:spacing w:val="-27"/>
          <w:w w:val="105"/>
        </w:rPr>
        <w:t> </w:t>
      </w:r>
      <w:r>
        <w:rPr>
          <w:color w:val="231F20"/>
          <w:w w:val="105"/>
        </w:rPr>
        <w:t>Colín</w:t>
      </w:r>
      <w:r>
        <w:rPr>
          <w:color w:val="231F20"/>
          <w:spacing w:val="-27"/>
          <w:w w:val="105"/>
        </w:rPr>
        <w:t> </w:t>
      </w:r>
      <w:r>
        <w:rPr>
          <w:color w:val="231F20"/>
          <w:w w:val="105"/>
        </w:rPr>
        <w:t>Sánchez.</w:t>
      </w:r>
      <w:r>
        <w:rPr>
          <w:color w:val="231F20"/>
          <w:spacing w:val="-27"/>
          <w:w w:val="105"/>
        </w:rPr>
        <w:t> </w:t>
      </w:r>
      <w:r>
        <w:rPr>
          <w:color w:val="231F20"/>
          <w:w w:val="105"/>
        </w:rPr>
        <w:t>Se</w:t>
      </w:r>
      <w:r>
        <w:rPr>
          <w:color w:val="231F20"/>
          <w:spacing w:val="-27"/>
          <w:w w:val="105"/>
        </w:rPr>
        <w:t> </w:t>
      </w:r>
      <w:r>
        <w:rPr>
          <w:color w:val="231F20"/>
          <w:w w:val="105"/>
        </w:rPr>
        <w:t>llevó</w:t>
      </w:r>
      <w:r>
        <w:rPr>
          <w:color w:val="231F20"/>
          <w:spacing w:val="-27"/>
          <w:w w:val="105"/>
        </w:rPr>
        <w:t> </w:t>
      </w:r>
      <w:r>
        <w:rPr>
          <w:color w:val="231F20"/>
          <w:w w:val="105"/>
        </w:rPr>
        <w:t>a</w:t>
      </w:r>
      <w:r>
        <w:rPr>
          <w:color w:val="231F20"/>
          <w:spacing w:val="-27"/>
          <w:w w:val="105"/>
        </w:rPr>
        <w:t> </w:t>
      </w:r>
      <w:r>
        <w:rPr>
          <w:color w:val="231F20"/>
          <w:w w:val="105"/>
        </w:rPr>
        <w:t>cabo esa</w:t>
      </w:r>
      <w:r>
        <w:rPr>
          <w:color w:val="231F20"/>
          <w:spacing w:val="-16"/>
          <w:w w:val="105"/>
        </w:rPr>
        <w:t> </w:t>
      </w:r>
      <w:r>
        <w:rPr>
          <w:color w:val="231F20"/>
          <w:w w:val="105"/>
        </w:rPr>
        <w:t>elección</w:t>
      </w:r>
      <w:r>
        <w:rPr>
          <w:color w:val="231F20"/>
          <w:spacing w:val="-16"/>
          <w:w w:val="105"/>
        </w:rPr>
        <w:t> </w:t>
      </w:r>
      <w:r>
        <w:rPr>
          <w:color w:val="231F20"/>
          <w:w w:val="105"/>
        </w:rPr>
        <w:t>democrática</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que</w:t>
      </w:r>
      <w:r>
        <w:rPr>
          <w:color w:val="231F20"/>
          <w:spacing w:val="-16"/>
          <w:w w:val="105"/>
        </w:rPr>
        <w:t> </w:t>
      </w:r>
      <w:r>
        <w:rPr>
          <w:color w:val="231F20"/>
          <w:w w:val="105"/>
        </w:rPr>
        <w:t>hubo</w:t>
      </w:r>
      <w:r>
        <w:rPr>
          <w:color w:val="231F20"/>
          <w:spacing w:val="-16"/>
          <w:w w:val="105"/>
        </w:rPr>
        <w:t> </w:t>
      </w:r>
      <w:r>
        <w:rPr>
          <w:color w:val="231F20"/>
          <w:w w:val="105"/>
        </w:rPr>
        <w:t>una</w:t>
      </w:r>
      <w:r>
        <w:rPr>
          <w:color w:val="231F20"/>
          <w:spacing w:val="-16"/>
          <w:w w:val="105"/>
        </w:rPr>
        <w:t> </w:t>
      </w:r>
      <w:r>
        <w:rPr>
          <w:color w:val="231F20"/>
          <w:w w:val="105"/>
        </w:rPr>
        <w:t>participación</w:t>
      </w:r>
      <w:r>
        <w:rPr>
          <w:color w:val="231F20"/>
          <w:spacing w:val="-16"/>
          <w:w w:val="105"/>
        </w:rPr>
        <w:t> </w:t>
      </w:r>
      <w:r>
        <w:rPr>
          <w:color w:val="231F20"/>
          <w:w w:val="105"/>
        </w:rPr>
        <w:t>de</w:t>
      </w:r>
      <w:r>
        <w:rPr>
          <w:color w:val="231F20"/>
          <w:spacing w:val="-16"/>
          <w:w w:val="105"/>
        </w:rPr>
        <w:t> </w:t>
      </w:r>
      <w:r>
        <w:rPr>
          <w:color w:val="231F20"/>
          <w:w w:val="105"/>
        </w:rPr>
        <w:t>trece</w:t>
      </w:r>
      <w:r>
        <w:rPr>
          <w:color w:val="231F20"/>
          <w:spacing w:val="-16"/>
          <w:w w:val="105"/>
        </w:rPr>
        <w:t> </w:t>
      </w:r>
      <w:r>
        <w:rPr>
          <w:color w:val="231F20"/>
          <w:w w:val="105"/>
        </w:rPr>
        <w:t>precandidatos a</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La</w:t>
      </w:r>
      <w:r>
        <w:rPr>
          <w:color w:val="231F20"/>
          <w:spacing w:val="-9"/>
          <w:w w:val="105"/>
        </w:rPr>
        <w:t> </w:t>
      </w:r>
      <w:r>
        <w:rPr>
          <w:color w:val="231F20"/>
          <w:w w:val="105"/>
        </w:rPr>
        <w:t>elección</w:t>
      </w:r>
      <w:r>
        <w:rPr>
          <w:color w:val="231F20"/>
          <w:spacing w:val="-9"/>
          <w:w w:val="105"/>
        </w:rPr>
        <w:t> </w:t>
      </w:r>
      <w:r>
        <w:rPr>
          <w:color w:val="231F20"/>
          <w:w w:val="105"/>
        </w:rPr>
        <w:t>fue</w:t>
      </w:r>
      <w:r>
        <w:rPr>
          <w:color w:val="231F20"/>
          <w:spacing w:val="-9"/>
          <w:w w:val="105"/>
        </w:rPr>
        <w:t> </w:t>
      </w:r>
      <w:r>
        <w:rPr>
          <w:color w:val="231F20"/>
          <w:w w:val="105"/>
        </w:rPr>
        <w:t>limpia,</w:t>
      </w:r>
      <w:r>
        <w:rPr>
          <w:color w:val="231F20"/>
          <w:spacing w:val="-9"/>
          <w:w w:val="105"/>
        </w:rPr>
        <w:t> </w:t>
      </w:r>
      <w:r>
        <w:rPr>
          <w:color w:val="231F20"/>
          <w:w w:val="105"/>
        </w:rPr>
        <w:t>fue</w:t>
      </w:r>
      <w:r>
        <w:rPr>
          <w:color w:val="231F20"/>
          <w:spacing w:val="-9"/>
          <w:w w:val="105"/>
        </w:rPr>
        <w:t> </w:t>
      </w:r>
      <w:r>
        <w:rPr>
          <w:color w:val="231F20"/>
          <w:w w:val="105"/>
        </w:rPr>
        <w:t>benéfica</w:t>
      </w:r>
      <w:r>
        <w:rPr>
          <w:color w:val="231F20"/>
          <w:spacing w:val="-9"/>
          <w:w w:val="105"/>
        </w:rPr>
        <w:t> </w:t>
      </w:r>
      <w:r>
        <w:rPr>
          <w:color w:val="231F20"/>
          <w:w w:val="105"/>
        </w:rPr>
        <w:t>y</w:t>
      </w:r>
      <w:r>
        <w:rPr>
          <w:color w:val="231F20"/>
          <w:spacing w:val="-9"/>
          <w:w w:val="105"/>
        </w:rPr>
        <w:t> </w:t>
      </w:r>
      <w:r>
        <w:rPr>
          <w:color w:val="231F20"/>
          <w:w w:val="105"/>
        </w:rPr>
        <w:t>como</w:t>
      </w:r>
      <w:r>
        <w:rPr>
          <w:color w:val="231F20"/>
          <w:spacing w:val="-9"/>
          <w:w w:val="105"/>
        </w:rPr>
        <w:t> </w:t>
      </w:r>
      <w:r>
        <w:rPr>
          <w:color w:val="231F20"/>
          <w:w w:val="105"/>
        </w:rPr>
        <w:t>fue</w:t>
      </w:r>
      <w:r>
        <w:rPr>
          <w:color w:val="231F20"/>
          <w:spacing w:val="-9"/>
          <w:w w:val="105"/>
        </w:rPr>
        <w:t> </w:t>
      </w:r>
      <w:r>
        <w:rPr>
          <w:color w:val="231F20"/>
          <w:w w:val="105"/>
        </w:rPr>
        <w:t>con</w:t>
      </w:r>
      <w:r>
        <w:rPr>
          <w:color w:val="231F20"/>
          <w:spacing w:val="-9"/>
          <w:w w:val="105"/>
        </w:rPr>
        <w:t> </w:t>
      </w:r>
      <w:r>
        <w:rPr>
          <w:color w:val="231F20"/>
          <w:w w:val="105"/>
        </w:rPr>
        <w:t>esas características, hizo que todos los demás que no lograron se adhirieran </w:t>
      </w:r>
      <w:r>
        <w:rPr>
          <w:color w:val="231F20"/>
          <w:spacing w:val="2"/>
          <w:w w:val="105"/>
        </w:rPr>
        <w:t>al </w:t>
      </w:r>
      <w:r>
        <w:rPr>
          <w:color w:val="231F20"/>
          <w:w w:val="105"/>
        </w:rPr>
        <w:t>que ganó</w:t>
      </w:r>
      <w:r>
        <w:rPr>
          <w:color w:val="231F20"/>
          <w:spacing w:val="-23"/>
          <w:w w:val="105"/>
        </w:rPr>
        <w:t> </w:t>
      </w:r>
      <w:r>
        <w:rPr>
          <w:color w:val="231F20"/>
          <w:w w:val="105"/>
        </w:rPr>
        <w:t>y</w:t>
      </w:r>
      <w:r>
        <w:rPr>
          <w:color w:val="231F20"/>
          <w:spacing w:val="-23"/>
          <w:w w:val="105"/>
        </w:rPr>
        <w:t> </w:t>
      </w:r>
      <w:r>
        <w:rPr>
          <w:color w:val="231F20"/>
          <w:spacing w:val="2"/>
          <w:w w:val="105"/>
        </w:rPr>
        <w:t>ahí</w:t>
      </w:r>
      <w:r>
        <w:rPr>
          <w:color w:val="231F20"/>
          <w:spacing w:val="-23"/>
          <w:w w:val="105"/>
        </w:rPr>
        <w:t> </w:t>
      </w:r>
      <w:r>
        <w:rPr>
          <w:color w:val="231F20"/>
          <w:w w:val="105"/>
        </w:rPr>
        <w:t>empieza</w:t>
      </w:r>
      <w:r>
        <w:rPr>
          <w:color w:val="231F20"/>
          <w:spacing w:val="-23"/>
          <w:w w:val="105"/>
        </w:rPr>
        <w:t> </w:t>
      </w:r>
      <w:r>
        <w:rPr>
          <w:color w:val="231F20"/>
          <w:w w:val="105"/>
        </w:rPr>
        <w:t>la</w:t>
      </w:r>
      <w:r>
        <w:rPr>
          <w:color w:val="231F20"/>
          <w:spacing w:val="-23"/>
          <w:w w:val="105"/>
        </w:rPr>
        <w:t> </w:t>
      </w:r>
      <w:r>
        <w:rPr>
          <w:color w:val="231F20"/>
          <w:w w:val="105"/>
        </w:rPr>
        <w:t>debacle</w:t>
      </w:r>
      <w:r>
        <w:rPr>
          <w:color w:val="231F20"/>
          <w:spacing w:val="-23"/>
          <w:w w:val="105"/>
        </w:rPr>
        <w:t> </w:t>
      </w:r>
      <w:r>
        <w:rPr>
          <w:color w:val="231F20"/>
          <w:w w:val="105"/>
        </w:rPr>
        <w:t>de</w:t>
      </w:r>
      <w:r>
        <w:rPr>
          <w:color w:val="231F20"/>
          <w:spacing w:val="-23"/>
          <w:w w:val="105"/>
        </w:rPr>
        <w:t> </w:t>
      </w:r>
      <w:r>
        <w:rPr>
          <w:color w:val="231F20"/>
          <w:w w:val="105"/>
        </w:rPr>
        <w:t>esos</w:t>
      </w:r>
      <w:r>
        <w:rPr>
          <w:color w:val="231F20"/>
          <w:spacing w:val="-23"/>
          <w:w w:val="105"/>
        </w:rPr>
        <w:t> </w:t>
      </w:r>
      <w:r>
        <w:rPr>
          <w:color w:val="231F20"/>
          <w:w w:val="105"/>
        </w:rPr>
        <w:t>grupos,…</w:t>
      </w:r>
      <w:r>
        <w:rPr>
          <w:color w:val="231F20"/>
          <w:spacing w:val="-23"/>
          <w:w w:val="105"/>
        </w:rPr>
        <w:t> </w:t>
      </w:r>
      <w:r>
        <w:rPr>
          <w:color w:val="231F20"/>
          <w:spacing w:val="-3"/>
          <w:w w:val="105"/>
        </w:rPr>
        <w:t>(Avendaño,</w:t>
      </w:r>
      <w:r>
        <w:rPr>
          <w:color w:val="231F20"/>
          <w:spacing w:val="-23"/>
          <w:w w:val="105"/>
        </w:rPr>
        <w:t> </w:t>
      </w:r>
      <w:r>
        <w:rPr>
          <w:color w:val="231F20"/>
          <w:w w:val="105"/>
        </w:rPr>
        <w:t>entrevista)</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9"/>
          <w:w w:val="105"/>
        </w:rPr>
        <w:t> </w:t>
      </w:r>
      <w:r>
        <w:rPr>
          <w:color w:val="231F20"/>
          <w:w w:val="105"/>
        </w:rPr>
        <w:t>contienda</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8"/>
          <w:w w:val="105"/>
        </w:rPr>
        <w:t> </w:t>
      </w:r>
      <w:r>
        <w:rPr>
          <w:color w:val="231F20"/>
          <w:w w:val="105"/>
        </w:rPr>
        <w:t>poder</w:t>
      </w:r>
      <w:r>
        <w:rPr>
          <w:color w:val="231F20"/>
          <w:spacing w:val="-18"/>
          <w:w w:val="105"/>
        </w:rPr>
        <w:t> </w:t>
      </w:r>
      <w:r>
        <w:rPr>
          <w:color w:val="231F20"/>
          <w:w w:val="105"/>
        </w:rPr>
        <w:t>municipal</w:t>
      </w:r>
      <w:r>
        <w:rPr>
          <w:color w:val="231F20"/>
          <w:spacing w:val="-18"/>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periodo</w:t>
      </w:r>
      <w:r>
        <w:rPr>
          <w:color w:val="231F20"/>
          <w:spacing w:val="-19"/>
          <w:w w:val="105"/>
        </w:rPr>
        <w:t> </w:t>
      </w:r>
      <w:r>
        <w:rPr>
          <w:color w:val="231F20"/>
          <w:spacing w:val="-3"/>
          <w:w w:val="105"/>
        </w:rPr>
        <w:t>1982-1984</w:t>
      </w:r>
      <w:r>
        <w:rPr>
          <w:color w:val="231F20"/>
          <w:spacing w:val="-18"/>
          <w:w w:val="105"/>
        </w:rPr>
        <w:t> </w:t>
      </w:r>
      <w:r>
        <w:rPr>
          <w:color w:val="231F20"/>
          <w:w w:val="105"/>
        </w:rPr>
        <w:t>se</w:t>
      </w:r>
      <w:r>
        <w:rPr>
          <w:color w:val="231F20"/>
          <w:spacing w:val="-19"/>
          <w:w w:val="105"/>
        </w:rPr>
        <w:t> </w:t>
      </w:r>
      <w:r>
        <w:rPr>
          <w:color w:val="231F20"/>
          <w:w w:val="105"/>
        </w:rPr>
        <w:t>llevó</w:t>
      </w:r>
      <w:r>
        <w:rPr>
          <w:color w:val="231F20"/>
          <w:spacing w:val="-19"/>
          <w:w w:val="105"/>
        </w:rPr>
        <w:t> </w:t>
      </w:r>
      <w:r>
        <w:rPr>
          <w:color w:val="231F20"/>
          <w:w w:val="105"/>
        </w:rPr>
        <w:t>a</w:t>
      </w:r>
      <w:r>
        <w:rPr>
          <w:color w:val="231F20"/>
          <w:spacing w:val="-18"/>
          <w:w w:val="105"/>
        </w:rPr>
        <w:t> </w:t>
      </w:r>
      <w:r>
        <w:rPr>
          <w:color w:val="231F20"/>
          <w:w w:val="105"/>
        </w:rPr>
        <w:t>cabo</w:t>
      </w:r>
      <w:r>
        <w:rPr>
          <w:color w:val="231F20"/>
          <w:spacing w:val="-18"/>
          <w:w w:val="105"/>
        </w:rPr>
        <w:t> </w:t>
      </w:r>
      <w:r>
        <w:rPr>
          <w:color w:val="231F20"/>
          <w:w w:val="105"/>
        </w:rPr>
        <w:t>mediante </w:t>
      </w:r>
      <w:r>
        <w:rPr>
          <w:color w:val="231F20"/>
          <w:spacing w:val="-3"/>
          <w:w w:val="105"/>
        </w:rPr>
        <w:t>convención </w:t>
      </w:r>
      <w:r>
        <w:rPr>
          <w:color w:val="231F20"/>
          <w:w w:val="105"/>
        </w:rPr>
        <w:t>que es forzada por los diversos grupos participantes, cuando para evitar   la llegada del candidato de “unidad”, propuesto por el entonces Secretario</w:t>
      </w:r>
      <w:r>
        <w:rPr>
          <w:color w:val="231F20"/>
          <w:spacing w:val="-39"/>
          <w:w w:val="105"/>
        </w:rPr>
        <w:t> </w:t>
      </w:r>
      <w:r>
        <w:rPr>
          <w:color w:val="231F20"/>
          <w:spacing w:val="-3"/>
          <w:w w:val="105"/>
        </w:rPr>
        <w:t>Técnico </w:t>
      </w:r>
      <w:r>
        <w:rPr>
          <w:color w:val="231F20"/>
          <w:w w:val="105"/>
        </w:rPr>
        <w:t>del Plan Lago de </w:t>
      </w:r>
      <w:r>
        <w:rPr>
          <w:color w:val="231F20"/>
          <w:spacing w:val="-4"/>
          <w:w w:val="105"/>
        </w:rPr>
        <w:t>Texcoco, </w:t>
      </w:r>
      <w:r>
        <w:rPr>
          <w:color w:val="231F20"/>
          <w:w w:val="105"/>
        </w:rPr>
        <w:t>a través de la toma de protesta ante el delegado del partido en una asamblea amañada que se llevaría a cabo a las ocho de la mañana, </w:t>
      </w:r>
      <w:r>
        <w:rPr>
          <w:color w:val="231F20"/>
          <w:spacing w:val="-3"/>
          <w:w w:val="105"/>
        </w:rPr>
        <w:t>donde </w:t>
      </w:r>
      <w:r>
        <w:rPr>
          <w:color w:val="231F20"/>
          <w:w w:val="105"/>
        </w:rPr>
        <w:t>el único punto del día era precisamente esa toma de protesta. La reunión fue suspendida y se obligó </w:t>
      </w:r>
      <w:r>
        <w:rPr>
          <w:color w:val="231F20"/>
          <w:spacing w:val="2"/>
          <w:w w:val="105"/>
        </w:rPr>
        <w:t>al </w:t>
      </w:r>
      <w:r>
        <w:rPr>
          <w:color w:val="231F20"/>
          <w:w w:val="105"/>
        </w:rPr>
        <w:t>delegado a asistir a las oficinas del delegado regional, quien después de</w:t>
      </w:r>
      <w:r>
        <w:rPr>
          <w:color w:val="231F20"/>
          <w:spacing w:val="20"/>
          <w:w w:val="105"/>
        </w:rPr>
        <w:t> </w:t>
      </w:r>
      <w:r>
        <w:rPr>
          <w:color w:val="231F20"/>
          <w:w w:val="105"/>
        </w:rPr>
        <w:t>dis-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cusiones</w:t>
      </w:r>
      <w:r>
        <w:rPr>
          <w:color w:val="231F20"/>
          <w:spacing w:val="-6"/>
          <w:w w:val="105"/>
        </w:rPr>
        <w:t> </w:t>
      </w:r>
      <w:r>
        <w:rPr>
          <w:color w:val="231F20"/>
          <w:w w:val="105"/>
        </w:rPr>
        <w:t>bastantes</w:t>
      </w:r>
      <w:r>
        <w:rPr>
          <w:color w:val="231F20"/>
          <w:spacing w:val="-6"/>
          <w:w w:val="105"/>
        </w:rPr>
        <w:t> </w:t>
      </w:r>
      <w:r>
        <w:rPr>
          <w:color w:val="231F20"/>
          <w:w w:val="105"/>
        </w:rPr>
        <w:t>acaloradas</w:t>
      </w:r>
      <w:r>
        <w:rPr>
          <w:color w:val="231F20"/>
          <w:spacing w:val="-6"/>
          <w:w w:val="105"/>
        </w:rPr>
        <w:t> </w:t>
      </w:r>
      <w:r>
        <w:rPr>
          <w:color w:val="231F20"/>
          <w:w w:val="105"/>
        </w:rPr>
        <w:t>propuso</w:t>
      </w:r>
      <w:r>
        <w:rPr>
          <w:color w:val="231F20"/>
          <w:spacing w:val="-6"/>
          <w:w w:val="105"/>
        </w:rPr>
        <w:t> </w:t>
      </w:r>
      <w:r>
        <w:rPr>
          <w:color w:val="231F20"/>
          <w:w w:val="105"/>
        </w:rPr>
        <w:t>la</w:t>
      </w:r>
      <w:r>
        <w:rPr>
          <w:color w:val="231F20"/>
          <w:spacing w:val="-6"/>
          <w:w w:val="105"/>
        </w:rPr>
        <w:t> </w:t>
      </w:r>
      <w:r>
        <w:rPr>
          <w:color w:val="231F20"/>
          <w:w w:val="105"/>
        </w:rPr>
        <w:t>votación</w:t>
      </w:r>
      <w:r>
        <w:rPr>
          <w:color w:val="231F20"/>
          <w:spacing w:val="-6"/>
          <w:w w:val="105"/>
        </w:rPr>
        <w:t> </w:t>
      </w:r>
      <w:r>
        <w:rPr>
          <w:color w:val="231F20"/>
          <w:w w:val="105"/>
        </w:rPr>
        <w:t>en</w:t>
      </w:r>
      <w:r>
        <w:rPr>
          <w:color w:val="231F20"/>
          <w:spacing w:val="-6"/>
          <w:w w:val="105"/>
        </w:rPr>
        <w:t> </w:t>
      </w:r>
      <w:r>
        <w:rPr>
          <w:color w:val="231F20"/>
          <w:w w:val="105"/>
        </w:rPr>
        <w:t>asamblea</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participación</w:t>
      </w:r>
      <w:r>
        <w:rPr>
          <w:color w:val="231F20"/>
          <w:spacing w:val="-6"/>
          <w:w w:val="105"/>
        </w:rPr>
        <w:t> </w:t>
      </w:r>
      <w:r>
        <w:rPr>
          <w:color w:val="231F20"/>
          <w:w w:val="105"/>
        </w:rPr>
        <w:t>de los precandidatos. Entonces el primer lugar sería candidato a presidente y el segundo candidato</w:t>
      </w:r>
      <w:r>
        <w:rPr>
          <w:color w:val="231F20"/>
          <w:spacing w:val="-18"/>
          <w:w w:val="105"/>
        </w:rPr>
        <w:t> </w:t>
      </w:r>
      <w:r>
        <w:rPr>
          <w:color w:val="231F20"/>
          <w:w w:val="105"/>
        </w:rPr>
        <w:t>a</w:t>
      </w:r>
      <w:r>
        <w:rPr>
          <w:color w:val="231F20"/>
          <w:spacing w:val="-18"/>
          <w:w w:val="105"/>
        </w:rPr>
        <w:t> </w:t>
      </w:r>
      <w:r>
        <w:rPr>
          <w:color w:val="231F20"/>
          <w:w w:val="105"/>
        </w:rPr>
        <w:t>síndico;</w:t>
      </w:r>
      <w:r>
        <w:rPr>
          <w:color w:val="231F20"/>
          <w:spacing w:val="-18"/>
          <w:w w:val="105"/>
        </w:rPr>
        <w:t> </w:t>
      </w:r>
      <w:r>
        <w:rPr>
          <w:color w:val="231F20"/>
          <w:w w:val="105"/>
        </w:rPr>
        <w:t>el</w:t>
      </w:r>
      <w:r>
        <w:rPr>
          <w:color w:val="231F20"/>
          <w:spacing w:val="-18"/>
          <w:w w:val="105"/>
        </w:rPr>
        <w:t> </w:t>
      </w:r>
      <w:r>
        <w:rPr>
          <w:color w:val="231F20"/>
          <w:w w:val="105"/>
        </w:rPr>
        <w:t>triunfador</w:t>
      </w:r>
      <w:r>
        <w:rPr>
          <w:color w:val="231F20"/>
          <w:spacing w:val="-18"/>
          <w:w w:val="105"/>
        </w:rPr>
        <w:t> </w:t>
      </w:r>
      <w:r>
        <w:rPr>
          <w:color w:val="231F20"/>
          <w:w w:val="105"/>
        </w:rPr>
        <w:t>fue</w:t>
      </w:r>
      <w:r>
        <w:rPr>
          <w:color w:val="231F20"/>
          <w:spacing w:val="-18"/>
          <w:w w:val="105"/>
        </w:rPr>
        <w:t> </w:t>
      </w:r>
      <w:r>
        <w:rPr>
          <w:color w:val="231F20"/>
          <w:w w:val="105"/>
        </w:rPr>
        <w:t>Eladio</w:t>
      </w:r>
      <w:r>
        <w:rPr>
          <w:color w:val="231F20"/>
          <w:spacing w:val="-18"/>
          <w:w w:val="105"/>
        </w:rPr>
        <w:t> </w:t>
      </w:r>
      <w:r>
        <w:rPr>
          <w:color w:val="231F20"/>
          <w:w w:val="105"/>
        </w:rPr>
        <w:t>Javier</w:t>
      </w:r>
      <w:r>
        <w:rPr>
          <w:color w:val="231F20"/>
          <w:spacing w:val="-18"/>
          <w:w w:val="105"/>
        </w:rPr>
        <w:t> </w:t>
      </w:r>
      <w:r>
        <w:rPr>
          <w:color w:val="231F20"/>
          <w:w w:val="105"/>
        </w:rPr>
        <w:t>Martínez</w:t>
      </w:r>
      <w:r>
        <w:rPr>
          <w:color w:val="231F20"/>
          <w:spacing w:val="-18"/>
          <w:w w:val="105"/>
        </w:rPr>
        <w:t> </w:t>
      </w:r>
      <w:r>
        <w:rPr>
          <w:color w:val="231F20"/>
          <w:w w:val="105"/>
        </w:rPr>
        <w:t>Galicia,</w:t>
      </w:r>
      <w:r>
        <w:rPr>
          <w:color w:val="231F20"/>
          <w:spacing w:val="-18"/>
          <w:w w:val="105"/>
        </w:rPr>
        <w:t> </w:t>
      </w:r>
      <w:r>
        <w:rPr>
          <w:color w:val="231F20"/>
          <w:w w:val="105"/>
        </w:rPr>
        <w:t>quien</w:t>
      </w:r>
      <w:r>
        <w:rPr>
          <w:color w:val="231F20"/>
          <w:spacing w:val="-18"/>
          <w:w w:val="105"/>
        </w:rPr>
        <w:t> </w:t>
      </w:r>
      <w:r>
        <w:rPr>
          <w:color w:val="231F20"/>
          <w:w w:val="105"/>
        </w:rPr>
        <w:t>tenía</w:t>
      </w:r>
      <w:r>
        <w:rPr>
          <w:color w:val="231F20"/>
          <w:spacing w:val="-18"/>
          <w:w w:val="105"/>
        </w:rPr>
        <w:t> </w:t>
      </w:r>
      <w:r>
        <w:rPr>
          <w:color w:val="231F20"/>
          <w:w w:val="105"/>
        </w:rPr>
        <w:t>fuertes lazos</w:t>
      </w:r>
      <w:r>
        <w:rPr>
          <w:color w:val="231F20"/>
          <w:spacing w:val="-10"/>
          <w:w w:val="105"/>
        </w:rPr>
        <w:t> </w:t>
      </w:r>
      <w:r>
        <w:rPr>
          <w:color w:val="231F20"/>
          <w:w w:val="105"/>
        </w:rPr>
        <w:t>partidistas</w:t>
      </w:r>
      <w:r>
        <w:rPr>
          <w:color w:val="231F20"/>
          <w:spacing w:val="-10"/>
          <w:w w:val="105"/>
        </w:rPr>
        <w:t> </w:t>
      </w:r>
      <w:r>
        <w:rPr>
          <w:color w:val="231F20"/>
          <w:w w:val="105"/>
        </w:rPr>
        <w:t>con</w:t>
      </w:r>
      <w:r>
        <w:rPr>
          <w:color w:val="231F20"/>
          <w:spacing w:val="-10"/>
          <w:w w:val="105"/>
        </w:rPr>
        <w:t> </w:t>
      </w:r>
      <w:r>
        <w:rPr>
          <w:color w:val="231F20"/>
          <w:w w:val="105"/>
        </w:rPr>
        <w:t>su</w:t>
      </w:r>
      <w:r>
        <w:rPr>
          <w:color w:val="231F20"/>
          <w:spacing w:val="-10"/>
          <w:w w:val="105"/>
        </w:rPr>
        <w:t> </w:t>
      </w:r>
      <w:r>
        <w:rPr>
          <w:color w:val="231F20"/>
          <w:w w:val="105"/>
        </w:rPr>
        <w:t>antecesor</w:t>
      </w:r>
      <w:r>
        <w:rPr>
          <w:color w:val="231F20"/>
          <w:spacing w:val="-10"/>
          <w:w w:val="105"/>
        </w:rPr>
        <w:t> </w:t>
      </w:r>
      <w:r>
        <w:rPr>
          <w:color w:val="231F20"/>
          <w:w w:val="105"/>
        </w:rPr>
        <w:t>que</w:t>
      </w:r>
      <w:r>
        <w:rPr>
          <w:color w:val="231F20"/>
          <w:spacing w:val="-10"/>
          <w:w w:val="105"/>
        </w:rPr>
        <w:t> </w:t>
      </w:r>
      <w:r>
        <w:rPr>
          <w:color w:val="231F20"/>
          <w:w w:val="105"/>
        </w:rPr>
        <w:t>si</w:t>
      </w:r>
      <w:r>
        <w:rPr>
          <w:color w:val="231F20"/>
          <w:spacing w:val="-10"/>
          <w:w w:val="105"/>
        </w:rPr>
        <w:t> </w:t>
      </w:r>
      <w:r>
        <w:rPr>
          <w:color w:val="231F20"/>
          <w:w w:val="105"/>
        </w:rPr>
        <w:t>bien</w:t>
      </w:r>
      <w:r>
        <w:rPr>
          <w:color w:val="231F20"/>
          <w:spacing w:val="-10"/>
          <w:w w:val="105"/>
        </w:rPr>
        <w:t> </w:t>
      </w:r>
      <w:r>
        <w:rPr>
          <w:color w:val="231F20"/>
          <w:w w:val="105"/>
        </w:rPr>
        <w:t>no</w:t>
      </w:r>
      <w:r>
        <w:rPr>
          <w:color w:val="231F20"/>
          <w:spacing w:val="-10"/>
          <w:w w:val="105"/>
        </w:rPr>
        <w:t> </w:t>
      </w:r>
      <w:r>
        <w:rPr>
          <w:color w:val="231F20"/>
          <w:w w:val="105"/>
        </w:rPr>
        <w:t>impuso,</w:t>
      </w:r>
      <w:r>
        <w:rPr>
          <w:color w:val="231F20"/>
          <w:spacing w:val="-10"/>
          <w:w w:val="105"/>
        </w:rPr>
        <w:t> </w:t>
      </w:r>
      <w:r>
        <w:rPr>
          <w:color w:val="231F20"/>
          <w:w w:val="105"/>
        </w:rPr>
        <w:t>sí</w:t>
      </w:r>
      <w:r>
        <w:rPr>
          <w:color w:val="231F20"/>
          <w:spacing w:val="-10"/>
          <w:w w:val="105"/>
        </w:rPr>
        <w:t> </w:t>
      </w:r>
      <w:r>
        <w:rPr>
          <w:color w:val="231F20"/>
          <w:spacing w:val="-3"/>
          <w:w w:val="105"/>
        </w:rPr>
        <w:t>apoyó.</w:t>
      </w:r>
      <w:r>
        <w:rPr>
          <w:color w:val="231F20"/>
          <w:spacing w:val="-10"/>
          <w:w w:val="105"/>
        </w:rPr>
        <w:t> </w:t>
      </w:r>
      <w:r>
        <w:rPr>
          <w:color w:val="231F20"/>
          <w:spacing w:val="-3"/>
          <w:w w:val="105"/>
        </w:rPr>
        <w:t>Vale</w:t>
      </w:r>
      <w:r>
        <w:rPr>
          <w:color w:val="231F20"/>
          <w:spacing w:val="-10"/>
          <w:w w:val="105"/>
        </w:rPr>
        <w:t> </w:t>
      </w:r>
      <w:r>
        <w:rPr>
          <w:color w:val="231F20"/>
          <w:w w:val="105"/>
        </w:rPr>
        <w:t>destacar</w:t>
      </w:r>
      <w:r>
        <w:rPr>
          <w:color w:val="231F20"/>
          <w:spacing w:val="-10"/>
          <w:w w:val="105"/>
        </w:rPr>
        <w:t> </w:t>
      </w:r>
      <w:r>
        <w:rPr>
          <w:color w:val="231F20"/>
          <w:w w:val="105"/>
        </w:rPr>
        <w:t>que</w:t>
      </w:r>
      <w:r>
        <w:rPr>
          <w:color w:val="231F20"/>
          <w:spacing w:val="-10"/>
          <w:w w:val="105"/>
        </w:rPr>
        <w:t> </w:t>
      </w:r>
      <w:r>
        <w:rPr>
          <w:color w:val="231F20"/>
          <w:w w:val="105"/>
        </w:rPr>
        <w:t>en este</w:t>
      </w:r>
      <w:r>
        <w:rPr>
          <w:color w:val="231F20"/>
          <w:spacing w:val="-8"/>
          <w:w w:val="105"/>
        </w:rPr>
        <w:t> </w:t>
      </w:r>
      <w:r>
        <w:rPr>
          <w:color w:val="231F20"/>
          <w:w w:val="105"/>
        </w:rPr>
        <w:t>periodo</w:t>
      </w:r>
      <w:r>
        <w:rPr>
          <w:color w:val="231F20"/>
          <w:spacing w:val="-8"/>
          <w:w w:val="105"/>
        </w:rPr>
        <w:t> </w:t>
      </w:r>
      <w:r>
        <w:rPr>
          <w:color w:val="231F20"/>
          <w:w w:val="105"/>
        </w:rPr>
        <w:t>el</w:t>
      </w:r>
      <w:r>
        <w:rPr>
          <w:color w:val="231F20"/>
          <w:spacing w:val="-8"/>
          <w:w w:val="105"/>
        </w:rPr>
        <w:t> </w:t>
      </w:r>
      <w:r>
        <w:rPr>
          <w:color w:val="231F20"/>
          <w:w w:val="105"/>
        </w:rPr>
        <w:t>Partido</w:t>
      </w:r>
      <w:r>
        <w:rPr>
          <w:color w:val="231F20"/>
          <w:spacing w:val="-8"/>
          <w:w w:val="105"/>
        </w:rPr>
        <w:t> </w:t>
      </w:r>
      <w:r>
        <w:rPr>
          <w:color w:val="231F20"/>
          <w:w w:val="105"/>
        </w:rPr>
        <w:t>Acción</w:t>
      </w:r>
      <w:r>
        <w:rPr>
          <w:color w:val="231F20"/>
          <w:spacing w:val="-8"/>
          <w:w w:val="105"/>
        </w:rPr>
        <w:t> </w:t>
      </w:r>
      <w:r>
        <w:rPr>
          <w:color w:val="231F20"/>
          <w:w w:val="105"/>
        </w:rPr>
        <w:t>Nacional,</w:t>
      </w:r>
      <w:r>
        <w:rPr>
          <w:color w:val="231F20"/>
          <w:spacing w:val="-8"/>
          <w:w w:val="105"/>
        </w:rPr>
        <w:t> </w:t>
      </w:r>
      <w:r>
        <w:rPr>
          <w:color w:val="231F20"/>
          <w:w w:val="105"/>
        </w:rPr>
        <w:t>que</w:t>
      </w:r>
      <w:r>
        <w:rPr>
          <w:color w:val="231F20"/>
          <w:spacing w:val="-8"/>
          <w:w w:val="105"/>
        </w:rPr>
        <w:t> </w:t>
      </w:r>
      <w:r>
        <w:rPr>
          <w:color w:val="231F20"/>
          <w:w w:val="105"/>
        </w:rPr>
        <w:t>tenía</w:t>
      </w:r>
      <w:r>
        <w:rPr>
          <w:color w:val="231F20"/>
          <w:spacing w:val="-8"/>
          <w:w w:val="105"/>
        </w:rPr>
        <w:t> </w:t>
      </w:r>
      <w:r>
        <w:rPr>
          <w:color w:val="231F20"/>
          <w:w w:val="105"/>
        </w:rPr>
        <w:t>presencia</w:t>
      </w:r>
      <w:r>
        <w:rPr>
          <w:color w:val="231F20"/>
          <w:spacing w:val="-8"/>
          <w:w w:val="105"/>
        </w:rPr>
        <w:t> </w:t>
      </w:r>
      <w:r>
        <w:rPr>
          <w:color w:val="231F20"/>
          <w:w w:val="105"/>
        </w:rPr>
        <w:t>política</w:t>
      </w:r>
      <w:r>
        <w:rPr>
          <w:color w:val="231F20"/>
          <w:spacing w:val="-8"/>
          <w:w w:val="105"/>
        </w:rPr>
        <w:t> </w:t>
      </w:r>
      <w:r>
        <w:rPr>
          <w:color w:val="231F20"/>
          <w:w w:val="105"/>
        </w:rPr>
        <w:t>mínima,</w:t>
      </w:r>
      <w:r>
        <w:rPr>
          <w:color w:val="231F20"/>
          <w:spacing w:val="-8"/>
          <w:w w:val="105"/>
        </w:rPr>
        <w:t> </w:t>
      </w:r>
      <w:r>
        <w:rPr>
          <w:color w:val="231F20"/>
          <w:spacing w:val="-3"/>
          <w:w w:val="105"/>
        </w:rPr>
        <w:t>pierde</w:t>
      </w:r>
      <w:r>
        <w:rPr>
          <w:color w:val="231F20"/>
          <w:spacing w:val="-8"/>
          <w:w w:val="105"/>
        </w:rPr>
        <w:t> </w:t>
      </w:r>
      <w:r>
        <w:rPr>
          <w:color w:val="231F20"/>
          <w:w w:val="105"/>
        </w:rPr>
        <w:t>el control</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Administradoras</w:t>
      </w:r>
      <w:r>
        <w:rPr>
          <w:color w:val="231F20"/>
          <w:spacing w:val="-20"/>
          <w:w w:val="105"/>
        </w:rPr>
        <w:t> </w:t>
      </w:r>
      <w:r>
        <w:rPr>
          <w:color w:val="231F20"/>
          <w:w w:val="105"/>
        </w:rPr>
        <w:t>de</w:t>
      </w:r>
      <w:r>
        <w:rPr>
          <w:color w:val="231F20"/>
          <w:spacing w:val="-20"/>
          <w:w w:val="105"/>
        </w:rPr>
        <w:t> </w:t>
      </w:r>
      <w:r>
        <w:rPr>
          <w:color w:val="231F20"/>
          <w:w w:val="105"/>
        </w:rPr>
        <w:t>Agua,</w:t>
      </w:r>
      <w:r>
        <w:rPr>
          <w:color w:val="231F20"/>
          <w:spacing w:val="-20"/>
          <w:w w:val="105"/>
        </w:rPr>
        <w:t> </w:t>
      </w:r>
      <w:r>
        <w:rPr>
          <w:color w:val="231F20"/>
          <w:w w:val="105"/>
        </w:rPr>
        <w:t>Saneamiento</w:t>
      </w:r>
      <w:r>
        <w:rPr>
          <w:color w:val="231F20"/>
          <w:spacing w:val="-20"/>
          <w:w w:val="105"/>
        </w:rPr>
        <w:t> </w:t>
      </w:r>
      <w:r>
        <w:rPr>
          <w:color w:val="231F20"/>
          <w:w w:val="105"/>
        </w:rPr>
        <w:t>y</w:t>
      </w:r>
      <w:r>
        <w:rPr>
          <w:color w:val="231F20"/>
          <w:spacing w:val="-20"/>
          <w:w w:val="105"/>
        </w:rPr>
        <w:t> </w:t>
      </w:r>
      <w:r>
        <w:rPr>
          <w:color w:val="231F20"/>
          <w:w w:val="105"/>
        </w:rPr>
        <w:t>Alcantarillado</w:t>
      </w:r>
      <w:r>
        <w:rPr>
          <w:color w:val="231F20"/>
          <w:spacing w:val="-20"/>
          <w:w w:val="105"/>
        </w:rPr>
        <w:t> </w:t>
      </w:r>
      <w:r>
        <w:rPr>
          <w:color w:val="231F20"/>
          <w:w w:val="105"/>
        </w:rPr>
        <w:t>(AASA)</w:t>
      </w:r>
      <w:r>
        <w:rPr>
          <w:color w:val="231F20"/>
          <w:spacing w:val="-20"/>
          <w:w w:val="105"/>
        </w:rPr>
        <w:t> </w:t>
      </w:r>
      <w:r>
        <w:rPr>
          <w:color w:val="231F20"/>
          <w:w w:val="105"/>
        </w:rPr>
        <w:t>cuando para el manejo administrativo del agua se crea el Organismo Público Descentralizado Agua</w:t>
      </w:r>
      <w:r>
        <w:rPr>
          <w:color w:val="231F20"/>
          <w:spacing w:val="-21"/>
          <w:w w:val="105"/>
        </w:rPr>
        <w:t> </w:t>
      </w:r>
      <w:r>
        <w:rPr>
          <w:color w:val="231F20"/>
          <w:w w:val="105"/>
        </w:rPr>
        <w:t>y</w:t>
      </w:r>
      <w:r>
        <w:rPr>
          <w:color w:val="231F20"/>
          <w:spacing w:val="-21"/>
          <w:w w:val="105"/>
        </w:rPr>
        <w:t> </w:t>
      </w:r>
      <w:r>
        <w:rPr>
          <w:color w:val="231F20"/>
          <w:w w:val="105"/>
        </w:rPr>
        <w:t>Saneamiento</w:t>
      </w:r>
      <w:r>
        <w:rPr>
          <w:color w:val="231F20"/>
          <w:spacing w:val="-21"/>
          <w:w w:val="105"/>
        </w:rPr>
        <w:t> </w:t>
      </w:r>
      <w:r>
        <w:rPr>
          <w:color w:val="231F20"/>
          <w:w w:val="105"/>
        </w:rPr>
        <w:t>de</w:t>
      </w:r>
      <w:r>
        <w:rPr>
          <w:color w:val="231F20"/>
          <w:spacing w:val="-21"/>
          <w:w w:val="105"/>
        </w:rPr>
        <w:t> </w:t>
      </w:r>
      <w:r>
        <w:rPr>
          <w:color w:val="231F20"/>
          <w:w w:val="105"/>
        </w:rPr>
        <w:t>Chimalhuacán</w:t>
      </w:r>
      <w:r>
        <w:rPr>
          <w:color w:val="231F20"/>
          <w:spacing w:val="-21"/>
          <w:w w:val="105"/>
        </w:rPr>
        <w:t> </w:t>
      </w:r>
      <w:r>
        <w:rPr>
          <w:color w:val="231F20"/>
          <w:spacing w:val="-6"/>
          <w:w w:val="105"/>
        </w:rPr>
        <w:t>(OPDAPAS).</w:t>
      </w:r>
    </w:p>
    <w:p>
      <w:pPr>
        <w:pStyle w:val="BodyText"/>
        <w:spacing w:before="1"/>
        <w:rPr>
          <w:sz w:val="26"/>
        </w:rPr>
      </w:pPr>
    </w:p>
    <w:p>
      <w:pPr>
        <w:pStyle w:val="BodyText"/>
        <w:spacing w:line="285" w:lineRule="auto"/>
        <w:ind w:left="110" w:right="108"/>
        <w:jc w:val="both"/>
      </w:pP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siguiente</w:t>
      </w:r>
      <w:r>
        <w:rPr>
          <w:color w:val="231F20"/>
          <w:spacing w:val="-7"/>
          <w:w w:val="105"/>
        </w:rPr>
        <w:t> </w:t>
      </w:r>
      <w:r>
        <w:rPr>
          <w:color w:val="231F20"/>
          <w:w w:val="105"/>
        </w:rPr>
        <w:t>ejercicio</w:t>
      </w:r>
      <w:r>
        <w:rPr>
          <w:color w:val="231F20"/>
          <w:spacing w:val="-7"/>
          <w:w w:val="105"/>
        </w:rPr>
        <w:t> </w:t>
      </w:r>
      <w:r>
        <w:rPr>
          <w:color w:val="231F20"/>
          <w:w w:val="105"/>
        </w:rPr>
        <w:t>de</w:t>
      </w:r>
      <w:r>
        <w:rPr>
          <w:color w:val="231F20"/>
          <w:spacing w:val="-7"/>
          <w:w w:val="105"/>
        </w:rPr>
        <w:t> </w:t>
      </w:r>
      <w:r>
        <w:rPr>
          <w:color w:val="231F20"/>
          <w:w w:val="105"/>
        </w:rPr>
        <w:t>gobierno</w:t>
      </w:r>
      <w:r>
        <w:rPr>
          <w:color w:val="231F20"/>
          <w:spacing w:val="-7"/>
          <w:w w:val="105"/>
        </w:rPr>
        <w:t> </w:t>
      </w:r>
      <w:r>
        <w:rPr>
          <w:color w:val="231F20"/>
          <w:w w:val="105"/>
        </w:rPr>
        <w:t>municipal</w:t>
      </w:r>
      <w:r>
        <w:rPr>
          <w:color w:val="231F20"/>
          <w:spacing w:val="-7"/>
          <w:w w:val="105"/>
        </w:rPr>
        <w:t> </w:t>
      </w:r>
      <w:r>
        <w:rPr>
          <w:color w:val="231F20"/>
          <w:spacing w:val="-5"/>
          <w:w w:val="105"/>
        </w:rPr>
        <w:t>1985-1987,</w:t>
      </w:r>
      <w:r>
        <w:rPr>
          <w:color w:val="231F20"/>
          <w:spacing w:val="-7"/>
          <w:w w:val="105"/>
        </w:rPr>
        <w:t> </w:t>
      </w:r>
      <w:r>
        <w:rPr>
          <w:color w:val="231F20"/>
          <w:w w:val="105"/>
        </w:rPr>
        <w:t>cuando</w:t>
      </w:r>
      <w:r>
        <w:rPr>
          <w:color w:val="231F20"/>
          <w:spacing w:val="-7"/>
          <w:w w:val="105"/>
        </w:rPr>
        <w:t> </w:t>
      </w:r>
      <w:r>
        <w:rPr>
          <w:color w:val="231F20"/>
          <w:w w:val="105"/>
        </w:rPr>
        <w:t>en</w:t>
      </w:r>
      <w:r>
        <w:rPr>
          <w:color w:val="231F20"/>
          <w:spacing w:val="-7"/>
          <w:w w:val="105"/>
        </w:rPr>
        <w:t> </w:t>
      </w:r>
      <w:r>
        <w:rPr>
          <w:color w:val="231F20"/>
          <w:w w:val="105"/>
        </w:rPr>
        <w:t>Chimalhuacán el fraccionamiento ilegal de terrenos era modus vivendi y aparecieron los grupos po- líticos a que hemos aludido, el candidato a la presidencia municipal fue sostenido por alguna</w:t>
      </w:r>
      <w:r>
        <w:rPr>
          <w:color w:val="231F20"/>
          <w:spacing w:val="-19"/>
          <w:w w:val="105"/>
        </w:rPr>
        <w:t> </w:t>
      </w:r>
      <w:r>
        <w:rPr>
          <w:color w:val="231F20"/>
          <w:w w:val="105"/>
        </w:rPr>
        <w:t>dependencia</w:t>
      </w:r>
      <w:r>
        <w:rPr>
          <w:color w:val="231F20"/>
          <w:spacing w:val="-19"/>
          <w:w w:val="105"/>
        </w:rPr>
        <w:t> </w:t>
      </w:r>
      <w:r>
        <w:rPr>
          <w:color w:val="231F20"/>
          <w:w w:val="105"/>
        </w:rPr>
        <w:t>de</w:t>
      </w:r>
      <w:r>
        <w:rPr>
          <w:color w:val="231F20"/>
          <w:spacing w:val="-19"/>
          <w:w w:val="105"/>
        </w:rPr>
        <w:t> </w:t>
      </w:r>
      <w:r>
        <w:rPr>
          <w:color w:val="231F20"/>
          <w:w w:val="105"/>
        </w:rPr>
        <w:t>gobierno</w:t>
      </w:r>
      <w:r>
        <w:rPr>
          <w:color w:val="231F20"/>
          <w:spacing w:val="-19"/>
          <w:w w:val="105"/>
        </w:rPr>
        <w:t> </w:t>
      </w:r>
      <w:r>
        <w:rPr>
          <w:color w:val="231F20"/>
          <w:w w:val="105"/>
        </w:rPr>
        <w:t>estatal.</w:t>
      </w:r>
      <w:r>
        <w:rPr>
          <w:color w:val="231F20"/>
          <w:spacing w:val="-19"/>
          <w:w w:val="105"/>
        </w:rPr>
        <w:t> </w:t>
      </w:r>
      <w:r>
        <w:rPr>
          <w:color w:val="231F20"/>
          <w:w w:val="105"/>
        </w:rPr>
        <w:t>Una</w:t>
      </w:r>
      <w:r>
        <w:rPr>
          <w:color w:val="231F20"/>
          <w:spacing w:val="-19"/>
          <w:w w:val="105"/>
        </w:rPr>
        <w:t> </w:t>
      </w:r>
      <w:r>
        <w:rPr>
          <w:color w:val="231F20"/>
          <w:w w:val="105"/>
        </w:rPr>
        <w:t>vez</w:t>
      </w:r>
      <w:r>
        <w:rPr>
          <w:color w:val="231F20"/>
          <w:spacing w:val="-19"/>
          <w:w w:val="105"/>
        </w:rPr>
        <w:t> </w:t>
      </w:r>
      <w:r>
        <w:rPr>
          <w:color w:val="231F20"/>
          <w:w w:val="105"/>
        </w:rPr>
        <w:t>que</w:t>
      </w:r>
      <w:r>
        <w:rPr>
          <w:color w:val="231F20"/>
          <w:spacing w:val="-19"/>
          <w:w w:val="105"/>
        </w:rPr>
        <w:t> </w:t>
      </w:r>
      <w:r>
        <w:rPr>
          <w:color w:val="231F20"/>
          <w:w w:val="105"/>
        </w:rPr>
        <w:t>ejercía</w:t>
      </w:r>
      <w:r>
        <w:rPr>
          <w:color w:val="231F20"/>
          <w:spacing w:val="-19"/>
          <w:w w:val="105"/>
        </w:rPr>
        <w:t> </w:t>
      </w:r>
      <w:r>
        <w:rPr>
          <w:color w:val="231F20"/>
          <w:w w:val="105"/>
        </w:rPr>
        <w:t>el</w:t>
      </w:r>
      <w:r>
        <w:rPr>
          <w:color w:val="231F20"/>
          <w:spacing w:val="-19"/>
          <w:w w:val="105"/>
        </w:rPr>
        <w:t> </w:t>
      </w:r>
      <w:r>
        <w:rPr>
          <w:color w:val="231F20"/>
          <w:w w:val="105"/>
        </w:rPr>
        <w:t>poder</w:t>
      </w:r>
      <w:r>
        <w:rPr>
          <w:color w:val="231F20"/>
          <w:spacing w:val="-19"/>
          <w:w w:val="105"/>
        </w:rPr>
        <w:t> </w:t>
      </w:r>
      <w:r>
        <w:rPr>
          <w:color w:val="231F20"/>
          <w:w w:val="105"/>
        </w:rPr>
        <w:t>público,</w:t>
      </w:r>
      <w:r>
        <w:rPr>
          <w:color w:val="231F20"/>
          <w:spacing w:val="-19"/>
          <w:w w:val="105"/>
        </w:rPr>
        <w:t> </w:t>
      </w:r>
      <w:r>
        <w:rPr>
          <w:color w:val="231F20"/>
          <w:w w:val="105"/>
        </w:rPr>
        <w:t>trataba</w:t>
      </w:r>
      <w:r>
        <w:rPr>
          <w:color w:val="231F20"/>
          <w:spacing w:val="-19"/>
          <w:w w:val="105"/>
        </w:rPr>
        <w:t> </w:t>
      </w:r>
      <w:r>
        <w:rPr>
          <w:color w:val="231F20"/>
          <w:w w:val="105"/>
        </w:rPr>
        <w:t>de imponer</w:t>
      </w:r>
      <w:r>
        <w:rPr>
          <w:color w:val="231F20"/>
          <w:spacing w:val="-6"/>
          <w:w w:val="105"/>
        </w:rPr>
        <w:t> </w:t>
      </w:r>
      <w:r>
        <w:rPr>
          <w:color w:val="231F20"/>
          <w:spacing w:val="2"/>
          <w:w w:val="105"/>
        </w:rPr>
        <w:t>al</w:t>
      </w:r>
      <w:r>
        <w:rPr>
          <w:color w:val="231F20"/>
          <w:spacing w:val="-6"/>
          <w:w w:val="105"/>
        </w:rPr>
        <w:t> </w:t>
      </w:r>
      <w:r>
        <w:rPr>
          <w:color w:val="231F20"/>
          <w:w w:val="105"/>
        </w:rPr>
        <w:t>candidato</w:t>
      </w:r>
      <w:r>
        <w:rPr>
          <w:color w:val="231F20"/>
          <w:spacing w:val="-6"/>
          <w:w w:val="10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w w:val="105"/>
        </w:rPr>
        <w:t>siguiente</w:t>
      </w:r>
      <w:r>
        <w:rPr>
          <w:color w:val="231F20"/>
          <w:spacing w:val="-6"/>
          <w:w w:val="105"/>
        </w:rPr>
        <w:t> </w:t>
      </w:r>
      <w:r>
        <w:rPr>
          <w:color w:val="231F20"/>
          <w:w w:val="105"/>
        </w:rPr>
        <w:t>elección.</w:t>
      </w:r>
      <w:r>
        <w:rPr>
          <w:color w:val="231F20"/>
          <w:spacing w:val="-6"/>
          <w:w w:val="105"/>
        </w:rPr>
        <w:t> </w:t>
      </w:r>
      <w:r>
        <w:rPr>
          <w:color w:val="231F20"/>
          <w:w w:val="105"/>
        </w:rPr>
        <w:t>Su</w:t>
      </w:r>
      <w:r>
        <w:rPr>
          <w:color w:val="231F20"/>
          <w:spacing w:val="-6"/>
          <w:w w:val="105"/>
        </w:rPr>
        <w:t> </w:t>
      </w:r>
      <w:r>
        <w:rPr>
          <w:color w:val="231F20"/>
          <w:w w:val="105"/>
        </w:rPr>
        <w:t>intento</w:t>
      </w:r>
      <w:r>
        <w:rPr>
          <w:color w:val="231F20"/>
          <w:spacing w:val="-6"/>
          <w:w w:val="105"/>
        </w:rPr>
        <w:t> </w:t>
      </w:r>
      <w:r>
        <w:rPr>
          <w:color w:val="231F20"/>
          <w:w w:val="105"/>
        </w:rPr>
        <w:t>fue</w:t>
      </w:r>
      <w:r>
        <w:rPr>
          <w:color w:val="231F20"/>
          <w:spacing w:val="-6"/>
          <w:w w:val="105"/>
        </w:rPr>
        <w:t> </w:t>
      </w:r>
      <w:r>
        <w:rPr>
          <w:color w:val="231F20"/>
          <w:w w:val="105"/>
        </w:rPr>
        <w:t>frustrado</w:t>
      </w:r>
      <w:r>
        <w:rPr>
          <w:color w:val="231F20"/>
          <w:spacing w:val="-6"/>
          <w:w w:val="105"/>
        </w:rPr>
        <w:t> </w:t>
      </w:r>
      <w:r>
        <w:rPr>
          <w:color w:val="231F20"/>
          <w:w w:val="105"/>
        </w:rPr>
        <w:t>por</w:t>
      </w:r>
      <w:r>
        <w:rPr>
          <w:color w:val="231F20"/>
          <w:spacing w:val="-6"/>
          <w:w w:val="105"/>
        </w:rPr>
        <w:t> </w:t>
      </w:r>
      <w:r>
        <w:rPr>
          <w:color w:val="231F20"/>
          <w:w w:val="105"/>
        </w:rPr>
        <w:t>la</w:t>
      </w:r>
      <w:r>
        <w:rPr>
          <w:color w:val="231F20"/>
          <w:spacing w:val="-6"/>
          <w:w w:val="105"/>
        </w:rPr>
        <w:t> </w:t>
      </w:r>
      <w:r>
        <w:rPr>
          <w:color w:val="231F20"/>
          <w:w w:val="105"/>
        </w:rPr>
        <w:t>partici- pación de Grupo Chimalhuacán que contiende y obtiene la candidatura de su planilla con </w:t>
      </w:r>
      <w:r>
        <w:rPr>
          <w:color w:val="231F20"/>
          <w:spacing w:val="2"/>
          <w:w w:val="105"/>
        </w:rPr>
        <w:t>Martín </w:t>
      </w:r>
      <w:r>
        <w:rPr>
          <w:color w:val="231F20"/>
          <w:w w:val="105"/>
        </w:rPr>
        <w:t>Carlos Pabello Jiménez a la cabeza </w:t>
      </w:r>
      <w:r>
        <w:rPr>
          <w:color w:val="231F20"/>
          <w:spacing w:val="-3"/>
          <w:w w:val="105"/>
        </w:rPr>
        <w:t>(1988- </w:t>
      </w:r>
      <w:r>
        <w:rPr>
          <w:color w:val="231F20"/>
          <w:w w:val="105"/>
        </w:rPr>
        <w:t>1990), cabe señalar que en la disputa por posiciones aparecen algunos de los grupos de colonos con propuestas de regidores</w:t>
      </w:r>
      <w:r>
        <w:rPr>
          <w:color w:val="231F20"/>
          <w:spacing w:val="-13"/>
          <w:w w:val="105"/>
        </w:rPr>
        <w:t> </w:t>
      </w:r>
      <w:r>
        <w:rPr>
          <w:color w:val="231F20"/>
          <w:w w:val="105"/>
        </w:rPr>
        <w:t>y</w:t>
      </w:r>
      <w:r>
        <w:rPr>
          <w:color w:val="231F20"/>
          <w:spacing w:val="-13"/>
          <w:w w:val="105"/>
        </w:rPr>
        <w:t> </w:t>
      </w:r>
      <w:r>
        <w:rPr>
          <w:color w:val="231F20"/>
          <w:w w:val="105"/>
        </w:rPr>
        <w:t>a</w:t>
      </w:r>
      <w:r>
        <w:rPr>
          <w:color w:val="231F20"/>
          <w:spacing w:val="-13"/>
          <w:w w:val="105"/>
        </w:rPr>
        <w:t> </w:t>
      </w:r>
      <w:r>
        <w:rPr>
          <w:color w:val="231F20"/>
          <w:w w:val="105"/>
        </w:rPr>
        <w:t>cargos</w:t>
      </w:r>
      <w:r>
        <w:rPr>
          <w:color w:val="231F20"/>
          <w:spacing w:val="-13"/>
          <w:w w:val="105"/>
        </w:rPr>
        <w:t> </w:t>
      </w:r>
      <w:r>
        <w:rPr>
          <w:color w:val="231F20"/>
          <w:w w:val="105"/>
        </w:rPr>
        <w:t>dentro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pública</w:t>
      </w:r>
      <w:r>
        <w:rPr>
          <w:color w:val="231F20"/>
          <w:spacing w:val="-13"/>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periodo</w:t>
      </w:r>
      <w:r>
        <w:rPr>
          <w:color w:val="231F20"/>
          <w:spacing w:val="-8"/>
          <w:w w:val="105"/>
        </w:rPr>
        <w:t> </w:t>
      </w:r>
      <w:r>
        <w:rPr>
          <w:color w:val="231F20"/>
          <w:spacing w:val="-6"/>
          <w:w w:val="105"/>
        </w:rPr>
        <w:t>1991-1993</w:t>
      </w:r>
      <w:r>
        <w:rPr>
          <w:color w:val="231F20"/>
          <w:spacing w:val="-8"/>
          <w:w w:val="105"/>
        </w:rPr>
        <w:t> </w:t>
      </w:r>
      <w:r>
        <w:rPr>
          <w:color w:val="231F20"/>
          <w:w w:val="105"/>
        </w:rPr>
        <w:t>Grupo</w:t>
      </w:r>
      <w:r>
        <w:rPr>
          <w:color w:val="231F20"/>
          <w:spacing w:val="-8"/>
          <w:w w:val="105"/>
        </w:rPr>
        <w:t> </w:t>
      </w:r>
      <w:r>
        <w:rPr>
          <w:color w:val="231F20"/>
          <w:w w:val="105"/>
        </w:rPr>
        <w:t>Chimalhuacán</w:t>
      </w:r>
      <w:r>
        <w:rPr>
          <w:color w:val="231F20"/>
          <w:spacing w:val="-8"/>
          <w:w w:val="105"/>
        </w:rPr>
        <w:t> </w:t>
      </w:r>
      <w:r>
        <w:rPr>
          <w:color w:val="231F20"/>
          <w:w w:val="105"/>
        </w:rPr>
        <w:t>aparece</w:t>
      </w:r>
      <w:r>
        <w:rPr>
          <w:color w:val="231F20"/>
          <w:spacing w:val="-8"/>
          <w:w w:val="105"/>
        </w:rPr>
        <w:t> </w:t>
      </w:r>
      <w:r>
        <w:rPr>
          <w:color w:val="231F20"/>
          <w:w w:val="105"/>
        </w:rPr>
        <w:t>de</w:t>
      </w:r>
      <w:r>
        <w:rPr>
          <w:color w:val="231F20"/>
          <w:spacing w:val="-8"/>
          <w:w w:val="105"/>
        </w:rPr>
        <w:t> </w:t>
      </w:r>
      <w:r>
        <w:rPr>
          <w:color w:val="231F20"/>
          <w:w w:val="105"/>
        </w:rPr>
        <w:t>nueva</w:t>
      </w:r>
      <w:r>
        <w:rPr>
          <w:color w:val="231F20"/>
          <w:spacing w:val="-8"/>
          <w:w w:val="105"/>
        </w:rPr>
        <w:t> </w:t>
      </w:r>
      <w:r>
        <w:rPr>
          <w:color w:val="231F20"/>
          <w:w w:val="105"/>
        </w:rPr>
        <w:t>cuenta</w:t>
      </w:r>
      <w:r>
        <w:rPr>
          <w:color w:val="231F20"/>
          <w:spacing w:val="-8"/>
          <w:w w:val="105"/>
        </w:rPr>
        <w:t> </w:t>
      </w:r>
      <w:r>
        <w:rPr>
          <w:color w:val="231F20"/>
          <w:w w:val="105"/>
        </w:rPr>
        <w:t>y</w:t>
      </w:r>
      <w:r>
        <w:rPr>
          <w:color w:val="231F20"/>
          <w:spacing w:val="-8"/>
          <w:w w:val="105"/>
        </w:rPr>
        <w:t> </w:t>
      </w:r>
      <w:r>
        <w:rPr>
          <w:color w:val="231F20"/>
          <w:w w:val="105"/>
        </w:rPr>
        <w:t>su</w:t>
      </w:r>
      <w:r>
        <w:rPr>
          <w:color w:val="231F20"/>
          <w:spacing w:val="-8"/>
          <w:w w:val="105"/>
        </w:rPr>
        <w:t> </w:t>
      </w:r>
      <w:r>
        <w:rPr>
          <w:color w:val="231F20"/>
          <w:w w:val="105"/>
        </w:rPr>
        <w:t>planilla, encabezada</w:t>
      </w:r>
      <w:r>
        <w:rPr>
          <w:color w:val="231F20"/>
          <w:spacing w:val="-7"/>
          <w:w w:val="105"/>
        </w:rPr>
        <w:t> </w:t>
      </w:r>
      <w:r>
        <w:rPr>
          <w:color w:val="231F20"/>
          <w:w w:val="105"/>
        </w:rPr>
        <w:t>por</w:t>
      </w:r>
      <w:r>
        <w:rPr>
          <w:color w:val="231F20"/>
          <w:spacing w:val="-7"/>
          <w:w w:val="105"/>
        </w:rPr>
        <w:t> </w:t>
      </w:r>
      <w:r>
        <w:rPr>
          <w:color w:val="231F20"/>
          <w:w w:val="105"/>
        </w:rPr>
        <w:t>Susano</w:t>
      </w:r>
      <w:r>
        <w:rPr>
          <w:color w:val="231F20"/>
          <w:spacing w:val="-7"/>
          <w:w w:val="105"/>
        </w:rPr>
        <w:t> </w:t>
      </w:r>
      <w:r>
        <w:rPr>
          <w:color w:val="231F20"/>
          <w:w w:val="105"/>
        </w:rPr>
        <w:t>González</w:t>
      </w:r>
      <w:r>
        <w:rPr>
          <w:color w:val="231F20"/>
          <w:spacing w:val="-7"/>
          <w:w w:val="105"/>
        </w:rPr>
        <w:t> </w:t>
      </w:r>
      <w:r>
        <w:rPr>
          <w:color w:val="231F20"/>
          <w:w w:val="105"/>
        </w:rPr>
        <w:t>Castro,</w:t>
      </w:r>
      <w:r>
        <w:rPr>
          <w:color w:val="231F20"/>
          <w:spacing w:val="-7"/>
          <w:w w:val="105"/>
        </w:rPr>
        <w:t> </w:t>
      </w:r>
      <w:r>
        <w:rPr>
          <w:color w:val="231F20"/>
          <w:w w:val="105"/>
        </w:rPr>
        <w:t>obtiene</w:t>
      </w:r>
      <w:r>
        <w:rPr>
          <w:color w:val="231F20"/>
          <w:spacing w:val="-7"/>
          <w:w w:val="105"/>
        </w:rPr>
        <w:t> </w:t>
      </w:r>
      <w:r>
        <w:rPr>
          <w:color w:val="231F20"/>
          <w:w w:val="105"/>
        </w:rPr>
        <w:t>el</w:t>
      </w:r>
      <w:r>
        <w:rPr>
          <w:color w:val="231F20"/>
          <w:spacing w:val="-7"/>
          <w:w w:val="105"/>
        </w:rPr>
        <w:t> </w:t>
      </w:r>
      <w:r>
        <w:rPr>
          <w:color w:val="231F20"/>
          <w:w w:val="105"/>
        </w:rPr>
        <w:t>triunfo.</w:t>
      </w:r>
      <w:r>
        <w:rPr>
          <w:color w:val="231F20"/>
          <w:spacing w:val="-7"/>
          <w:w w:val="105"/>
        </w:rPr>
        <w:t> </w:t>
      </w:r>
      <w:r>
        <w:rPr>
          <w:color w:val="231F20"/>
          <w:w w:val="105"/>
        </w:rPr>
        <w:t>Las</w:t>
      </w:r>
      <w:r>
        <w:rPr>
          <w:color w:val="231F20"/>
          <w:spacing w:val="-7"/>
          <w:w w:val="105"/>
        </w:rPr>
        <w:t> </w:t>
      </w:r>
      <w:r>
        <w:rPr>
          <w:color w:val="231F20"/>
          <w:w w:val="105"/>
        </w:rPr>
        <w:t>negociaciones</w:t>
      </w:r>
      <w:r>
        <w:rPr>
          <w:color w:val="231F20"/>
          <w:spacing w:val="-7"/>
          <w:w w:val="105"/>
        </w:rPr>
        <w:t> </w:t>
      </w:r>
      <w:r>
        <w:rPr>
          <w:color w:val="231F20"/>
          <w:w w:val="105"/>
        </w:rPr>
        <w:t>con</w:t>
      </w:r>
      <w:r>
        <w:rPr>
          <w:color w:val="231F20"/>
          <w:spacing w:val="-7"/>
          <w:w w:val="105"/>
        </w:rPr>
        <w:t> </w:t>
      </w:r>
      <w:r>
        <w:rPr>
          <w:color w:val="231F20"/>
          <w:w w:val="105"/>
        </w:rPr>
        <w:t>los diversos</w:t>
      </w:r>
      <w:r>
        <w:rPr>
          <w:color w:val="231F20"/>
          <w:spacing w:val="-22"/>
          <w:w w:val="105"/>
        </w:rPr>
        <w:t> </w:t>
      </w:r>
      <w:r>
        <w:rPr>
          <w:color w:val="231F20"/>
          <w:w w:val="105"/>
        </w:rPr>
        <w:t>grupos</w:t>
      </w:r>
      <w:r>
        <w:rPr>
          <w:color w:val="231F20"/>
          <w:spacing w:val="-22"/>
          <w:w w:val="105"/>
        </w:rPr>
        <w:t> </w:t>
      </w:r>
      <w:r>
        <w:rPr>
          <w:color w:val="231F20"/>
          <w:w w:val="105"/>
        </w:rPr>
        <w:t>para</w:t>
      </w:r>
      <w:r>
        <w:rPr>
          <w:color w:val="231F20"/>
          <w:spacing w:val="-22"/>
          <w:w w:val="105"/>
        </w:rPr>
        <w:t> </w:t>
      </w:r>
      <w:r>
        <w:rPr>
          <w:color w:val="231F20"/>
          <w:w w:val="105"/>
        </w:rPr>
        <w:t>lograr</w:t>
      </w:r>
      <w:r>
        <w:rPr>
          <w:color w:val="231F20"/>
          <w:spacing w:val="-22"/>
          <w:w w:val="105"/>
        </w:rPr>
        <w:t> </w:t>
      </w:r>
      <w:r>
        <w:rPr>
          <w:color w:val="231F20"/>
          <w:w w:val="105"/>
        </w:rPr>
        <w:t>el</w:t>
      </w:r>
      <w:r>
        <w:rPr>
          <w:color w:val="231F20"/>
          <w:spacing w:val="-22"/>
          <w:w w:val="105"/>
        </w:rPr>
        <w:t> </w:t>
      </w:r>
      <w:r>
        <w:rPr>
          <w:color w:val="231F20"/>
          <w:w w:val="105"/>
        </w:rPr>
        <w:t>apoyo</w:t>
      </w:r>
      <w:r>
        <w:rPr>
          <w:color w:val="231F20"/>
          <w:spacing w:val="-22"/>
          <w:w w:val="105"/>
        </w:rPr>
        <w:t> </w:t>
      </w:r>
      <w:r>
        <w:rPr>
          <w:color w:val="231F20"/>
          <w:w w:val="105"/>
        </w:rPr>
        <w:t>permitieron</w:t>
      </w:r>
      <w:r>
        <w:rPr>
          <w:color w:val="231F20"/>
          <w:spacing w:val="-22"/>
          <w:w w:val="105"/>
        </w:rPr>
        <w:t> </w:t>
      </w:r>
      <w:r>
        <w:rPr>
          <w:color w:val="231F20"/>
          <w:w w:val="105"/>
        </w:rPr>
        <w:t>la</w:t>
      </w:r>
      <w:r>
        <w:rPr>
          <w:color w:val="231F20"/>
          <w:spacing w:val="-22"/>
          <w:w w:val="105"/>
        </w:rPr>
        <w:t> </w:t>
      </w:r>
      <w:r>
        <w:rPr>
          <w:color w:val="231F20"/>
          <w:w w:val="105"/>
        </w:rPr>
        <w:t>llegada</w:t>
      </w:r>
      <w:r>
        <w:rPr>
          <w:color w:val="231F20"/>
          <w:spacing w:val="-22"/>
          <w:w w:val="105"/>
        </w:rPr>
        <w:t> </w:t>
      </w:r>
      <w:r>
        <w:rPr>
          <w:color w:val="231F20"/>
          <w:w w:val="105"/>
        </w:rPr>
        <w:t>de</w:t>
      </w:r>
      <w:r>
        <w:rPr>
          <w:color w:val="231F20"/>
          <w:spacing w:val="-22"/>
          <w:w w:val="105"/>
        </w:rPr>
        <w:t> </w:t>
      </w:r>
      <w:r>
        <w:rPr>
          <w:color w:val="231F20"/>
          <w:w w:val="105"/>
        </w:rPr>
        <w:t>representantes</w:t>
      </w:r>
      <w:r>
        <w:rPr>
          <w:color w:val="231F20"/>
          <w:spacing w:val="-22"/>
          <w:w w:val="105"/>
        </w:rPr>
        <w:t> </w:t>
      </w:r>
      <w:r>
        <w:rPr>
          <w:color w:val="231F20"/>
          <w:w w:val="105"/>
        </w:rPr>
        <w:t>de</w:t>
      </w:r>
      <w:r>
        <w:rPr>
          <w:color w:val="231F20"/>
          <w:spacing w:val="-22"/>
          <w:w w:val="105"/>
        </w:rPr>
        <w:t> </w:t>
      </w:r>
      <w:r>
        <w:rPr>
          <w:color w:val="231F20"/>
          <w:w w:val="105"/>
        </w:rPr>
        <w:t>colonos de los nuevos asentamientos y marginalmente de los campesinos a través del comisa- riado ejidal. El presidente municipal fue sustituido por Guillermo Villa Calleja, quien era</w:t>
      </w:r>
      <w:r>
        <w:rPr>
          <w:color w:val="231F20"/>
          <w:spacing w:val="-17"/>
          <w:w w:val="105"/>
        </w:rPr>
        <w:t> </w:t>
      </w:r>
      <w:r>
        <w:rPr>
          <w:color w:val="231F20"/>
          <w:w w:val="105"/>
        </w:rPr>
        <w:t>el</w:t>
      </w:r>
      <w:r>
        <w:rPr>
          <w:color w:val="231F20"/>
          <w:spacing w:val="-17"/>
          <w:w w:val="105"/>
        </w:rPr>
        <w:t> </w:t>
      </w:r>
      <w:r>
        <w:rPr>
          <w:color w:val="231F20"/>
          <w:w w:val="105"/>
        </w:rPr>
        <w:t>“Jefe</w:t>
      </w:r>
      <w:r>
        <w:rPr>
          <w:color w:val="231F20"/>
          <w:spacing w:val="-17"/>
          <w:w w:val="105"/>
        </w:rPr>
        <w:t> </w:t>
      </w:r>
      <w:r>
        <w:rPr>
          <w:color w:val="231F20"/>
          <w:w w:val="105"/>
        </w:rPr>
        <w:t>del</w:t>
      </w:r>
      <w:r>
        <w:rPr>
          <w:color w:val="231F20"/>
          <w:spacing w:val="-17"/>
          <w:w w:val="105"/>
        </w:rPr>
        <w:t> </w:t>
      </w:r>
      <w:r>
        <w:rPr>
          <w:color w:val="231F20"/>
          <w:w w:val="105"/>
        </w:rPr>
        <w:t>Cuartel”</w:t>
      </w:r>
      <w:r>
        <w:rPr>
          <w:color w:val="231F20"/>
          <w:spacing w:val="-17"/>
          <w:w w:val="105"/>
        </w:rPr>
        <w:t> </w:t>
      </w:r>
      <w:r>
        <w:rPr>
          <w:color w:val="231F20"/>
          <w:w w:val="105"/>
        </w:rPr>
        <w:t>designado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entonces</w:t>
      </w:r>
      <w:r>
        <w:rPr>
          <w:color w:val="231F20"/>
          <w:spacing w:val="-17"/>
          <w:w w:val="105"/>
        </w:rPr>
        <w:t> </w:t>
      </w:r>
      <w:r>
        <w:rPr>
          <w:color w:val="231F20"/>
          <w:w w:val="105"/>
        </w:rPr>
        <w:t>gobernador</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Se</w:t>
      </w:r>
      <w:r>
        <w:rPr>
          <w:color w:val="231F20"/>
          <w:spacing w:val="-17"/>
          <w:w w:val="105"/>
        </w:rPr>
        <w:t> </w:t>
      </w:r>
      <w:r>
        <w:rPr>
          <w:color w:val="231F20"/>
          <w:w w:val="105"/>
        </w:rPr>
        <w:t>denominó “Cuartel”</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oficina</w:t>
      </w:r>
      <w:r>
        <w:rPr>
          <w:color w:val="231F20"/>
          <w:spacing w:val="-20"/>
          <w:w w:val="105"/>
        </w:rPr>
        <w:t> </w:t>
      </w:r>
      <w:r>
        <w:rPr>
          <w:color w:val="231F20"/>
          <w:w w:val="105"/>
        </w:rPr>
        <w:t>que</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mismo</w:t>
      </w:r>
      <w:r>
        <w:rPr>
          <w:color w:val="231F20"/>
          <w:spacing w:val="-20"/>
          <w:w w:val="105"/>
        </w:rPr>
        <w:t> </w:t>
      </w:r>
      <w:r>
        <w:rPr>
          <w:color w:val="231F20"/>
          <w:w w:val="105"/>
        </w:rPr>
        <w:t>edificio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Presidencia</w:t>
      </w:r>
      <w:r>
        <w:rPr>
          <w:color w:val="231F20"/>
          <w:spacing w:val="-20"/>
          <w:w w:val="105"/>
        </w:rPr>
        <w:t> </w:t>
      </w:r>
      <w:r>
        <w:rPr>
          <w:color w:val="231F20"/>
          <w:w w:val="105"/>
        </w:rPr>
        <w:t>Municipal</w:t>
      </w:r>
      <w:r>
        <w:rPr>
          <w:color w:val="231F20"/>
          <w:spacing w:val="-20"/>
          <w:w w:val="105"/>
        </w:rPr>
        <w:t> </w:t>
      </w:r>
      <w:r>
        <w:rPr>
          <w:color w:val="231F20"/>
          <w:w w:val="105"/>
        </w:rPr>
        <w:t>se</w:t>
      </w:r>
      <w:r>
        <w:rPr>
          <w:color w:val="231F20"/>
          <w:spacing w:val="-20"/>
          <w:w w:val="105"/>
        </w:rPr>
        <w:t> </w:t>
      </w:r>
      <w:r>
        <w:rPr>
          <w:color w:val="231F20"/>
          <w:w w:val="105"/>
        </w:rPr>
        <w:t>estableció para dar solución a los problemas sociales que no eran tratados por la autoridad </w:t>
      </w:r>
      <w:r>
        <w:rPr>
          <w:color w:val="231F20"/>
          <w:spacing w:val="-3"/>
          <w:w w:val="105"/>
        </w:rPr>
        <w:t>mu- </w:t>
      </w:r>
      <w:r>
        <w:rPr>
          <w:color w:val="231F20"/>
          <w:w w:val="105"/>
        </w:rPr>
        <w:t>nicipal. En esta modalidad participaron instituciones del gobierno estatal y un regidor representante del</w:t>
      </w:r>
      <w:r>
        <w:rPr>
          <w:color w:val="231F20"/>
          <w:spacing w:val="-34"/>
          <w:w w:val="105"/>
        </w:rPr>
        <w:t> </w:t>
      </w:r>
      <w:r>
        <w:rPr>
          <w:color w:val="231F20"/>
          <w:w w:val="105"/>
        </w:rPr>
        <w:t>cabildo.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Los</w:t>
      </w:r>
      <w:r>
        <w:rPr>
          <w:color w:val="231F20"/>
          <w:spacing w:val="-6"/>
          <w:w w:val="105"/>
        </w:rPr>
        <w:t> </w:t>
      </w:r>
      <w:r>
        <w:rPr>
          <w:color w:val="231F20"/>
          <w:w w:val="105"/>
        </w:rPr>
        <w:t>Neo-Caciques.</w:t>
      </w:r>
      <w:r>
        <w:rPr>
          <w:color w:val="231F20"/>
          <w:spacing w:val="-6"/>
          <w:w w:val="105"/>
        </w:rPr>
        <w:t> </w:t>
      </w:r>
      <w:r>
        <w:rPr>
          <w:color w:val="231F20"/>
          <w:w w:val="105"/>
        </w:rPr>
        <w:t>El</w:t>
      </w:r>
      <w:r>
        <w:rPr>
          <w:color w:val="231F20"/>
          <w:spacing w:val="-6"/>
          <w:w w:val="105"/>
        </w:rPr>
        <w:t> </w:t>
      </w:r>
      <w:r>
        <w:rPr>
          <w:color w:val="231F20"/>
          <w:w w:val="105"/>
        </w:rPr>
        <w:t>problema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asentamientos</w:t>
      </w:r>
      <w:r>
        <w:rPr>
          <w:color w:val="231F20"/>
          <w:spacing w:val="-6"/>
          <w:w w:val="105"/>
        </w:rPr>
        <w:t> </w:t>
      </w:r>
      <w:r>
        <w:rPr>
          <w:color w:val="231F20"/>
          <w:w w:val="105"/>
        </w:rPr>
        <w:t>humanos</w:t>
      </w:r>
      <w:r>
        <w:rPr>
          <w:color w:val="231F20"/>
          <w:spacing w:val="-6"/>
          <w:w w:val="105"/>
        </w:rPr>
        <w:t> </w:t>
      </w:r>
      <w:r>
        <w:rPr>
          <w:color w:val="231F20"/>
          <w:w w:val="105"/>
        </w:rPr>
        <w:t>irregulares</w:t>
      </w:r>
      <w:r>
        <w:rPr>
          <w:color w:val="231F20"/>
          <w:spacing w:val="-6"/>
          <w:w w:val="105"/>
        </w:rPr>
        <w:t> </w:t>
      </w:r>
      <w:r>
        <w:rPr>
          <w:color w:val="231F20"/>
          <w:w w:val="105"/>
        </w:rPr>
        <w:t>en</w:t>
      </w:r>
      <w:r>
        <w:rPr>
          <w:color w:val="231F20"/>
          <w:spacing w:val="-6"/>
          <w:w w:val="105"/>
        </w:rPr>
        <w:t> </w:t>
      </w:r>
      <w:r>
        <w:rPr>
          <w:color w:val="231F20"/>
          <w:w w:val="105"/>
        </w:rPr>
        <w:t>Chimal- huacán es el caldo de cultivo que sirve para el desarrollo de los cacicazgos surgidos como forma de</w:t>
      </w:r>
      <w:r>
        <w:rPr>
          <w:color w:val="231F20"/>
          <w:spacing w:val="-42"/>
          <w:w w:val="105"/>
        </w:rPr>
        <w:t> </w:t>
      </w:r>
      <w:r>
        <w:rPr>
          <w:color w:val="231F20"/>
          <w:w w:val="105"/>
        </w:rPr>
        <w:t>control:</w:t>
      </w:r>
    </w:p>
    <w:p>
      <w:pPr>
        <w:pStyle w:val="BodyText"/>
        <w:spacing w:line="285" w:lineRule="auto" w:before="1"/>
        <w:ind w:left="677" w:right="108"/>
        <w:jc w:val="both"/>
      </w:pPr>
      <w:r>
        <w:rPr>
          <w:color w:val="231F20"/>
          <w:w w:val="105"/>
        </w:rPr>
        <w:t>El</w:t>
      </w:r>
      <w:r>
        <w:rPr>
          <w:color w:val="231F20"/>
          <w:spacing w:val="-31"/>
          <w:w w:val="105"/>
        </w:rPr>
        <w:t> </w:t>
      </w:r>
      <w:r>
        <w:rPr>
          <w:color w:val="231F20"/>
          <w:w w:val="105"/>
        </w:rPr>
        <w:t>sociólogo</w:t>
      </w:r>
      <w:r>
        <w:rPr>
          <w:color w:val="231F20"/>
          <w:spacing w:val="-31"/>
          <w:w w:val="105"/>
        </w:rPr>
        <w:t> </w:t>
      </w:r>
      <w:r>
        <w:rPr>
          <w:color w:val="231F20"/>
          <w:w w:val="105"/>
        </w:rPr>
        <w:t>Edel</w:t>
      </w:r>
      <w:r>
        <w:rPr>
          <w:color w:val="231F20"/>
          <w:spacing w:val="-31"/>
          <w:w w:val="105"/>
        </w:rPr>
        <w:t> </w:t>
      </w:r>
      <w:r>
        <w:rPr>
          <w:color w:val="231F20"/>
          <w:w w:val="105"/>
        </w:rPr>
        <w:t>Cadena</w:t>
      </w:r>
      <w:r>
        <w:rPr>
          <w:color w:val="231F20"/>
          <w:spacing w:val="-31"/>
          <w:w w:val="105"/>
        </w:rPr>
        <w:t> </w:t>
      </w:r>
      <w:r>
        <w:rPr>
          <w:color w:val="231F20"/>
          <w:w w:val="105"/>
        </w:rPr>
        <w:t>Vargas,</w:t>
      </w:r>
      <w:r>
        <w:rPr>
          <w:color w:val="231F20"/>
          <w:spacing w:val="-31"/>
          <w:w w:val="105"/>
        </w:rPr>
        <w:t> </w:t>
      </w:r>
      <w:r>
        <w:rPr>
          <w:color w:val="231F20"/>
          <w:w w:val="105"/>
        </w:rPr>
        <w:t>catedrático</w:t>
      </w:r>
      <w:r>
        <w:rPr>
          <w:color w:val="231F20"/>
          <w:spacing w:val="-31"/>
          <w:w w:val="105"/>
        </w:rPr>
        <w:t> </w:t>
      </w:r>
      <w:r>
        <w:rPr>
          <w:color w:val="231F20"/>
          <w:w w:val="105"/>
        </w:rPr>
        <w:t>e</w:t>
      </w:r>
      <w:r>
        <w:rPr>
          <w:color w:val="231F20"/>
          <w:spacing w:val="-31"/>
          <w:w w:val="105"/>
        </w:rPr>
        <w:t> </w:t>
      </w:r>
      <w:r>
        <w:rPr>
          <w:color w:val="231F20"/>
          <w:w w:val="105"/>
        </w:rPr>
        <w:t>investigador</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Universidad</w:t>
      </w:r>
      <w:r>
        <w:rPr>
          <w:color w:val="231F20"/>
          <w:spacing w:val="-31"/>
          <w:w w:val="105"/>
        </w:rPr>
        <w:t> </w:t>
      </w:r>
      <w:r>
        <w:rPr>
          <w:color w:val="231F20"/>
          <w:spacing w:val="-3"/>
          <w:w w:val="105"/>
        </w:rPr>
        <w:t>Au- </w:t>
      </w:r>
      <w:r>
        <w:rPr>
          <w:color w:val="231F20"/>
          <w:w w:val="105"/>
        </w:rPr>
        <w:t>tónoma</w:t>
      </w:r>
      <w:r>
        <w:rPr>
          <w:color w:val="231F20"/>
          <w:spacing w:val="-18"/>
          <w:w w:val="105"/>
        </w:rPr>
        <w:t> </w:t>
      </w:r>
      <w:r>
        <w:rPr>
          <w:color w:val="231F20"/>
          <w:w w:val="105"/>
        </w:rPr>
        <w:t>del</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señaló</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relación</w:t>
      </w:r>
      <w:r>
        <w:rPr>
          <w:color w:val="231F20"/>
          <w:spacing w:val="-18"/>
          <w:w w:val="105"/>
        </w:rPr>
        <w:t> </w:t>
      </w:r>
      <w:r>
        <w:rPr>
          <w:color w:val="231F20"/>
          <w:w w:val="105"/>
        </w:rPr>
        <w:t>entre</w:t>
      </w:r>
      <w:r>
        <w:rPr>
          <w:color w:val="231F20"/>
          <w:spacing w:val="-18"/>
          <w:w w:val="105"/>
        </w:rPr>
        <w:t> </w:t>
      </w:r>
      <w:r>
        <w:rPr>
          <w:color w:val="231F20"/>
          <w:w w:val="105"/>
        </w:rPr>
        <w:t>la</w:t>
      </w:r>
      <w:r>
        <w:rPr>
          <w:color w:val="231F20"/>
          <w:spacing w:val="-18"/>
          <w:w w:val="105"/>
        </w:rPr>
        <w:t> </w:t>
      </w:r>
      <w:r>
        <w:rPr>
          <w:color w:val="231F20"/>
          <w:w w:val="105"/>
        </w:rPr>
        <w:t>organización</w:t>
      </w:r>
      <w:r>
        <w:rPr>
          <w:color w:val="231F20"/>
          <w:spacing w:val="-18"/>
          <w:w w:val="105"/>
        </w:rPr>
        <w:t> </w:t>
      </w:r>
      <w:r>
        <w:rPr>
          <w:color w:val="231F20"/>
          <w:w w:val="105"/>
        </w:rPr>
        <w:t>Antor- cha</w:t>
      </w:r>
      <w:r>
        <w:rPr>
          <w:color w:val="231F20"/>
          <w:spacing w:val="-27"/>
          <w:w w:val="105"/>
        </w:rPr>
        <w:t> </w:t>
      </w:r>
      <w:r>
        <w:rPr>
          <w:color w:val="231F20"/>
          <w:w w:val="105"/>
        </w:rPr>
        <w:t>Campesina</w:t>
      </w:r>
      <w:r>
        <w:rPr>
          <w:color w:val="231F20"/>
          <w:spacing w:val="-27"/>
          <w:w w:val="105"/>
        </w:rPr>
        <w:t> </w:t>
      </w:r>
      <w:r>
        <w:rPr>
          <w:color w:val="231F20"/>
          <w:w w:val="105"/>
        </w:rPr>
        <w:t>y</w:t>
      </w:r>
      <w:r>
        <w:rPr>
          <w:color w:val="231F20"/>
          <w:spacing w:val="-27"/>
          <w:w w:val="105"/>
        </w:rPr>
        <w:t> </w:t>
      </w:r>
      <w:r>
        <w:rPr>
          <w:color w:val="231F20"/>
          <w:w w:val="105"/>
        </w:rPr>
        <w:t>los</w:t>
      </w:r>
      <w:r>
        <w:rPr>
          <w:color w:val="231F20"/>
          <w:spacing w:val="-27"/>
          <w:w w:val="105"/>
        </w:rPr>
        <w:t> </w:t>
      </w:r>
      <w:r>
        <w:rPr>
          <w:color w:val="231F20"/>
          <w:w w:val="105"/>
        </w:rPr>
        <w:t>gobiernos</w:t>
      </w:r>
      <w:r>
        <w:rPr>
          <w:color w:val="231F20"/>
          <w:spacing w:val="-27"/>
          <w:w w:val="105"/>
        </w:rPr>
        <w:t> </w:t>
      </w:r>
      <w:r>
        <w:rPr>
          <w:color w:val="231F20"/>
          <w:w w:val="105"/>
        </w:rPr>
        <w:t>estatales,</w:t>
      </w:r>
      <w:r>
        <w:rPr>
          <w:color w:val="231F20"/>
          <w:spacing w:val="-27"/>
          <w:w w:val="105"/>
        </w:rPr>
        <w:t> </w:t>
      </w:r>
      <w:r>
        <w:rPr>
          <w:color w:val="231F20"/>
          <w:spacing w:val="-5"/>
          <w:w w:val="105"/>
        </w:rPr>
        <w:t>“no</w:t>
      </w:r>
      <w:r>
        <w:rPr>
          <w:color w:val="231F20"/>
          <w:spacing w:val="-27"/>
          <w:w w:val="105"/>
        </w:rPr>
        <w:t> </w:t>
      </w:r>
      <w:r>
        <w:rPr>
          <w:color w:val="231F20"/>
          <w:w w:val="105"/>
        </w:rPr>
        <w:t>ha</w:t>
      </w:r>
      <w:r>
        <w:rPr>
          <w:color w:val="231F20"/>
          <w:spacing w:val="-27"/>
          <w:w w:val="105"/>
        </w:rPr>
        <w:t> </w:t>
      </w:r>
      <w:r>
        <w:rPr>
          <w:color w:val="231F20"/>
          <w:w w:val="105"/>
        </w:rPr>
        <w:t>sido</w:t>
      </w:r>
      <w:r>
        <w:rPr>
          <w:color w:val="231F20"/>
          <w:spacing w:val="-27"/>
          <w:w w:val="105"/>
        </w:rPr>
        <w:t> </w:t>
      </w:r>
      <w:r>
        <w:rPr>
          <w:color w:val="231F20"/>
          <w:w w:val="105"/>
        </w:rPr>
        <w:t>desarrollada</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oscuridad”, porque</w:t>
      </w:r>
      <w:r>
        <w:rPr>
          <w:color w:val="231F20"/>
          <w:spacing w:val="-19"/>
          <w:w w:val="105"/>
        </w:rPr>
        <w:t> </w:t>
      </w:r>
      <w:r>
        <w:rPr>
          <w:color w:val="231F20"/>
          <w:w w:val="105"/>
        </w:rPr>
        <w:t>se</w:t>
      </w:r>
      <w:r>
        <w:rPr>
          <w:color w:val="231F20"/>
          <w:spacing w:val="-19"/>
          <w:w w:val="105"/>
        </w:rPr>
        <w:t> </w:t>
      </w:r>
      <w:r>
        <w:rPr>
          <w:color w:val="231F20"/>
          <w:spacing w:val="2"/>
          <w:w w:val="105"/>
        </w:rPr>
        <w:t>afilió</w:t>
      </w:r>
      <w:r>
        <w:rPr>
          <w:color w:val="231F20"/>
          <w:spacing w:val="-19"/>
          <w:w w:val="105"/>
        </w:rPr>
        <w:t> </w:t>
      </w:r>
      <w:r>
        <w:rPr>
          <w:color w:val="231F20"/>
          <w:spacing w:val="2"/>
          <w:w w:val="105"/>
        </w:rPr>
        <w:t>al</w:t>
      </w:r>
      <w:r>
        <w:rPr>
          <w:color w:val="231F20"/>
          <w:spacing w:val="-19"/>
          <w:w w:val="105"/>
        </w:rPr>
        <w:t> </w:t>
      </w:r>
      <w:r>
        <w:rPr>
          <w:color w:val="231F20"/>
          <w:w w:val="105"/>
        </w:rPr>
        <w:t>PRI</w:t>
      </w:r>
      <w:r>
        <w:rPr>
          <w:color w:val="231F20"/>
          <w:spacing w:val="-19"/>
          <w:w w:val="105"/>
        </w:rPr>
        <w:t> </w:t>
      </w:r>
      <w:r>
        <w:rPr>
          <w:color w:val="231F20"/>
          <w:w w:val="105"/>
        </w:rPr>
        <w:t>en</w:t>
      </w:r>
      <w:r>
        <w:rPr>
          <w:color w:val="231F20"/>
          <w:spacing w:val="-19"/>
          <w:w w:val="105"/>
        </w:rPr>
        <w:t> </w:t>
      </w:r>
      <w:r>
        <w:rPr>
          <w:color w:val="231F20"/>
          <w:w w:val="105"/>
        </w:rPr>
        <w:t>forma</w:t>
      </w:r>
      <w:r>
        <w:rPr>
          <w:color w:val="231F20"/>
          <w:spacing w:val="-19"/>
          <w:w w:val="105"/>
        </w:rPr>
        <w:t> </w:t>
      </w:r>
      <w:r>
        <w:rPr>
          <w:color w:val="231F20"/>
          <w:w w:val="105"/>
        </w:rPr>
        <w:t>legal,</w:t>
      </w:r>
      <w:r>
        <w:rPr>
          <w:color w:val="231F20"/>
          <w:spacing w:val="-19"/>
          <w:w w:val="105"/>
        </w:rPr>
        <w:t> </w:t>
      </w:r>
      <w:r>
        <w:rPr>
          <w:color w:val="231F20"/>
          <w:w w:val="105"/>
        </w:rPr>
        <w:t>sin</w:t>
      </w:r>
      <w:r>
        <w:rPr>
          <w:color w:val="231F20"/>
          <w:spacing w:val="-19"/>
          <w:w w:val="105"/>
        </w:rPr>
        <w:t> </w:t>
      </w:r>
      <w:r>
        <w:rPr>
          <w:color w:val="231F20"/>
          <w:w w:val="105"/>
        </w:rPr>
        <w:t>embargo,</w:t>
      </w:r>
      <w:r>
        <w:rPr>
          <w:color w:val="231F20"/>
          <w:spacing w:val="-19"/>
          <w:w w:val="105"/>
        </w:rPr>
        <w:t> </w:t>
      </w:r>
      <w:r>
        <w:rPr>
          <w:color w:val="231F20"/>
          <w:w w:val="105"/>
        </w:rPr>
        <w:t>llegó</w:t>
      </w:r>
      <w:r>
        <w:rPr>
          <w:color w:val="231F20"/>
          <w:spacing w:val="-19"/>
          <w:w w:val="105"/>
        </w:rPr>
        <w:t> </w:t>
      </w:r>
      <w:r>
        <w:rPr>
          <w:color w:val="231F20"/>
          <w:w w:val="105"/>
        </w:rPr>
        <w:t>a</w:t>
      </w:r>
      <w:r>
        <w:rPr>
          <w:color w:val="231F20"/>
          <w:spacing w:val="-19"/>
          <w:w w:val="105"/>
        </w:rPr>
        <w:t> </w:t>
      </w:r>
      <w:r>
        <w:rPr>
          <w:color w:val="231F20"/>
          <w:w w:val="105"/>
        </w:rPr>
        <w:t>convertirse</w:t>
      </w:r>
      <w:r>
        <w:rPr>
          <w:color w:val="231F20"/>
          <w:spacing w:val="-19"/>
          <w:w w:val="105"/>
        </w:rPr>
        <w:t> </w:t>
      </w:r>
      <w:r>
        <w:rPr>
          <w:color w:val="231F20"/>
          <w:w w:val="105"/>
        </w:rPr>
        <w:t>en</w:t>
      </w:r>
      <w:r>
        <w:rPr>
          <w:color w:val="231F20"/>
          <w:spacing w:val="-19"/>
          <w:w w:val="105"/>
        </w:rPr>
        <w:t> </w:t>
      </w:r>
      <w:r>
        <w:rPr>
          <w:color w:val="231F20"/>
          <w:w w:val="105"/>
        </w:rPr>
        <w:t>una</w:t>
      </w:r>
      <w:r>
        <w:rPr>
          <w:color w:val="231F20"/>
          <w:spacing w:val="-19"/>
          <w:w w:val="105"/>
        </w:rPr>
        <w:t> </w:t>
      </w:r>
      <w:r>
        <w:rPr>
          <w:color w:val="231F20"/>
          <w:spacing w:val="-4"/>
          <w:w w:val="105"/>
        </w:rPr>
        <w:t>“re- </w:t>
      </w:r>
      <w:r>
        <w:rPr>
          <w:color w:val="231F20"/>
          <w:w w:val="105"/>
        </w:rPr>
        <w:t>lación</w:t>
      </w:r>
      <w:r>
        <w:rPr>
          <w:color w:val="231F20"/>
          <w:spacing w:val="-7"/>
          <w:w w:val="105"/>
        </w:rPr>
        <w:t> </w:t>
      </w:r>
      <w:r>
        <w:rPr>
          <w:color w:val="231F20"/>
          <w:spacing w:val="-3"/>
          <w:w w:val="105"/>
        </w:rPr>
        <w:t>perversa”,</w:t>
      </w:r>
      <w:r>
        <w:rPr>
          <w:color w:val="231F20"/>
          <w:spacing w:val="-7"/>
          <w:w w:val="105"/>
        </w:rPr>
        <w:t> </w:t>
      </w:r>
      <w:r>
        <w:rPr>
          <w:color w:val="231F20"/>
          <w:w w:val="105"/>
        </w:rPr>
        <w:t>porque</w:t>
      </w:r>
      <w:r>
        <w:rPr>
          <w:color w:val="231F20"/>
          <w:spacing w:val="-7"/>
          <w:w w:val="105"/>
        </w:rPr>
        <w:t> </w:t>
      </w:r>
      <w:r>
        <w:rPr>
          <w:color w:val="231F20"/>
          <w:w w:val="105"/>
        </w:rPr>
        <w:t>los</w:t>
      </w:r>
      <w:r>
        <w:rPr>
          <w:color w:val="231F20"/>
          <w:spacing w:val="-7"/>
          <w:w w:val="105"/>
        </w:rPr>
        <w:t> </w:t>
      </w:r>
      <w:r>
        <w:rPr>
          <w:color w:val="231F20"/>
          <w:w w:val="105"/>
        </w:rPr>
        <w:t>caciques</w:t>
      </w:r>
      <w:r>
        <w:rPr>
          <w:color w:val="231F20"/>
          <w:spacing w:val="-7"/>
          <w:w w:val="105"/>
        </w:rPr>
        <w:t> </w:t>
      </w:r>
      <w:r>
        <w:rPr>
          <w:color w:val="231F20"/>
          <w:w w:val="105"/>
        </w:rPr>
        <w:t>afiliados</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organización</w:t>
      </w:r>
      <w:r>
        <w:rPr>
          <w:color w:val="231F20"/>
          <w:spacing w:val="-7"/>
          <w:w w:val="105"/>
        </w:rPr>
        <w:t> </w:t>
      </w:r>
      <w:r>
        <w:rPr>
          <w:color w:val="231F20"/>
          <w:w w:val="105"/>
        </w:rPr>
        <w:t>han</w:t>
      </w:r>
      <w:r>
        <w:rPr>
          <w:color w:val="231F20"/>
          <w:spacing w:val="-7"/>
          <w:w w:val="105"/>
        </w:rPr>
        <w:t> </w:t>
      </w:r>
      <w:r>
        <w:rPr>
          <w:color w:val="231F20"/>
          <w:w w:val="105"/>
        </w:rPr>
        <w:t>superado</w:t>
      </w:r>
      <w:r>
        <w:rPr>
          <w:color w:val="231F20"/>
          <w:spacing w:val="-7"/>
          <w:w w:val="105"/>
        </w:rPr>
        <w:t> </w:t>
      </w:r>
      <w:r>
        <w:rPr>
          <w:color w:val="231F20"/>
          <w:spacing w:val="2"/>
          <w:w w:val="105"/>
        </w:rPr>
        <w:t>al </w:t>
      </w:r>
      <w:r>
        <w:rPr>
          <w:color w:val="231F20"/>
          <w:w w:val="105"/>
        </w:rPr>
        <w:t>partido</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creó</w:t>
      </w:r>
      <w:r>
        <w:rPr>
          <w:color w:val="231F20"/>
          <w:spacing w:val="-19"/>
          <w:w w:val="105"/>
        </w:rPr>
        <w:t> </w:t>
      </w:r>
      <w:r>
        <w:rPr>
          <w:color w:val="231F20"/>
          <w:w w:val="105"/>
        </w:rPr>
        <w:t>y</w:t>
      </w:r>
      <w:r>
        <w:rPr>
          <w:color w:val="231F20"/>
          <w:spacing w:val="-19"/>
          <w:w w:val="105"/>
        </w:rPr>
        <w:t> </w:t>
      </w:r>
      <w:r>
        <w:rPr>
          <w:color w:val="231F20"/>
          <w:spacing w:val="2"/>
          <w:w w:val="105"/>
        </w:rPr>
        <w:t>al</w:t>
      </w:r>
      <w:r>
        <w:rPr>
          <w:color w:val="231F20"/>
          <w:spacing w:val="-19"/>
          <w:w w:val="105"/>
        </w:rPr>
        <w:t> </w:t>
      </w:r>
      <w:r>
        <w:rPr>
          <w:color w:val="231F20"/>
          <w:w w:val="105"/>
        </w:rPr>
        <w:t>sistema</w:t>
      </w:r>
      <w:r>
        <w:rPr>
          <w:color w:val="231F20"/>
          <w:spacing w:val="-19"/>
          <w:w w:val="105"/>
        </w:rPr>
        <w:t> </w:t>
      </w:r>
      <w:r>
        <w:rPr>
          <w:color w:val="231F20"/>
          <w:w w:val="105"/>
        </w:rPr>
        <w:t>mismo,</w:t>
      </w:r>
      <w:r>
        <w:rPr>
          <w:color w:val="231F20"/>
          <w:spacing w:val="-19"/>
          <w:w w:val="105"/>
        </w:rPr>
        <w:t> </w:t>
      </w:r>
      <w:r>
        <w:rPr>
          <w:color w:val="231F20"/>
          <w:w w:val="105"/>
        </w:rPr>
        <w:t>volviéndose</w:t>
      </w:r>
      <w:r>
        <w:rPr>
          <w:color w:val="231F20"/>
          <w:spacing w:val="-19"/>
          <w:w w:val="105"/>
        </w:rPr>
        <w:t> </w:t>
      </w:r>
      <w:r>
        <w:rPr>
          <w:color w:val="231F20"/>
          <w:w w:val="105"/>
        </w:rPr>
        <w:t>incontrolables.</w:t>
      </w:r>
    </w:p>
    <w:p>
      <w:pPr>
        <w:pStyle w:val="BodyText"/>
        <w:spacing w:line="285" w:lineRule="auto" w:before="1"/>
        <w:ind w:left="677" w:right="106"/>
        <w:jc w:val="both"/>
      </w:pPr>
      <w:r>
        <w:rPr>
          <w:color w:val="231F20"/>
          <w:w w:val="105"/>
        </w:rPr>
        <w:t>Recordó que Antorcha Campesina tuvo sus antecedentes en el </w:t>
      </w:r>
      <w:r>
        <w:rPr>
          <w:color w:val="231F20"/>
          <w:spacing w:val="-3"/>
          <w:w w:val="105"/>
        </w:rPr>
        <w:t>Frente </w:t>
      </w:r>
      <w:r>
        <w:rPr>
          <w:color w:val="231F20"/>
          <w:w w:val="105"/>
        </w:rPr>
        <w:t>Nacional Organización</w:t>
      </w:r>
      <w:r>
        <w:rPr>
          <w:color w:val="231F20"/>
          <w:spacing w:val="-26"/>
          <w:w w:val="105"/>
        </w:rPr>
        <w:t> </w:t>
      </w:r>
      <w:r>
        <w:rPr>
          <w:color w:val="231F20"/>
          <w:w w:val="105"/>
        </w:rPr>
        <w:t>Bolchevique,</w:t>
      </w:r>
      <w:r>
        <w:rPr>
          <w:color w:val="231F20"/>
          <w:spacing w:val="-26"/>
          <w:w w:val="105"/>
        </w:rPr>
        <w:t> </w:t>
      </w:r>
      <w:r>
        <w:rPr>
          <w:color w:val="231F20"/>
          <w:w w:val="105"/>
        </w:rPr>
        <w:t>surgido</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años</w:t>
      </w:r>
      <w:r>
        <w:rPr>
          <w:color w:val="231F20"/>
          <w:spacing w:val="-26"/>
          <w:w w:val="105"/>
        </w:rPr>
        <w:t> </w:t>
      </w:r>
      <w:r>
        <w:rPr>
          <w:color w:val="231F20"/>
          <w:w w:val="105"/>
        </w:rPr>
        <w:t>70,</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Universidad</w:t>
      </w:r>
      <w:r>
        <w:rPr>
          <w:color w:val="231F20"/>
          <w:spacing w:val="-26"/>
          <w:w w:val="105"/>
        </w:rPr>
        <w:t> </w:t>
      </w:r>
      <w:r>
        <w:rPr>
          <w:color w:val="231F20"/>
          <w:w w:val="105"/>
        </w:rPr>
        <w:t>de</w:t>
      </w:r>
      <w:r>
        <w:rPr>
          <w:color w:val="231F20"/>
          <w:spacing w:val="-26"/>
          <w:w w:val="105"/>
        </w:rPr>
        <w:t> </w:t>
      </w:r>
      <w:r>
        <w:rPr>
          <w:color w:val="231F20"/>
          <w:w w:val="105"/>
        </w:rPr>
        <w:t>Chapingo y paulatinamente fue evolucionando para adoptar tendencias rurales y </w:t>
      </w:r>
      <w:r>
        <w:rPr>
          <w:color w:val="231F20"/>
          <w:spacing w:val="-3"/>
          <w:w w:val="105"/>
        </w:rPr>
        <w:t>conver- </w:t>
      </w:r>
      <w:r>
        <w:rPr>
          <w:color w:val="231F20"/>
          <w:w w:val="105"/>
        </w:rPr>
        <w:t>tirse en un movimiento dedicado a “detectar y eliminar líderes campesinos” y trasladó</w:t>
      </w:r>
      <w:r>
        <w:rPr>
          <w:color w:val="231F20"/>
          <w:spacing w:val="-5"/>
          <w:w w:val="105"/>
        </w:rPr>
        <w:t> </w:t>
      </w:r>
      <w:r>
        <w:rPr>
          <w:color w:val="231F20"/>
          <w:w w:val="105"/>
        </w:rPr>
        <w:t>su</w:t>
      </w:r>
      <w:r>
        <w:rPr>
          <w:color w:val="231F20"/>
          <w:spacing w:val="-5"/>
          <w:w w:val="105"/>
        </w:rPr>
        <w:t> </w:t>
      </w:r>
      <w:r>
        <w:rPr>
          <w:color w:val="231F20"/>
          <w:w w:val="105"/>
        </w:rPr>
        <w:t>sede</w:t>
      </w:r>
      <w:r>
        <w:rPr>
          <w:color w:val="231F20"/>
          <w:spacing w:val="-5"/>
          <w:w w:val="105"/>
        </w:rPr>
        <w:t> </w:t>
      </w:r>
      <w:r>
        <w:rPr>
          <w:color w:val="231F20"/>
          <w:w w:val="105"/>
        </w:rPr>
        <w:t>a</w:t>
      </w:r>
      <w:r>
        <w:rPr>
          <w:color w:val="231F20"/>
          <w:spacing w:val="-5"/>
          <w:w w:val="105"/>
        </w:rPr>
        <w:t> </w:t>
      </w:r>
      <w:r>
        <w:rPr>
          <w:color w:val="231F20"/>
          <w:w w:val="105"/>
        </w:rPr>
        <w:t>Puebla,</w:t>
      </w:r>
      <w:r>
        <w:rPr>
          <w:color w:val="231F20"/>
          <w:spacing w:val="-5"/>
          <w:w w:val="105"/>
        </w:rPr>
        <w:t> </w:t>
      </w:r>
      <w:r>
        <w:rPr>
          <w:color w:val="231F20"/>
          <w:spacing w:val="-3"/>
          <w:w w:val="105"/>
        </w:rPr>
        <w:t>donde</w:t>
      </w:r>
      <w:r>
        <w:rPr>
          <w:color w:val="231F20"/>
          <w:spacing w:val="-5"/>
          <w:w w:val="105"/>
        </w:rPr>
        <w:t> </w:t>
      </w:r>
      <w:r>
        <w:rPr>
          <w:color w:val="231F20"/>
          <w:w w:val="105"/>
        </w:rPr>
        <w:t>surgió</w:t>
      </w:r>
      <w:r>
        <w:rPr>
          <w:color w:val="231F20"/>
          <w:spacing w:val="-5"/>
          <w:w w:val="105"/>
        </w:rPr>
        <w:t> </w:t>
      </w:r>
      <w:r>
        <w:rPr>
          <w:color w:val="231F20"/>
          <w:w w:val="105"/>
        </w:rPr>
        <w:t>como</w:t>
      </w:r>
      <w:r>
        <w:rPr>
          <w:color w:val="231F20"/>
          <w:spacing w:val="-5"/>
          <w:w w:val="105"/>
        </w:rPr>
        <w:t> </w:t>
      </w:r>
      <w:r>
        <w:rPr>
          <w:color w:val="231F20"/>
          <w:w w:val="105"/>
        </w:rPr>
        <w:t>Antorcha</w:t>
      </w:r>
      <w:r>
        <w:rPr>
          <w:color w:val="231F20"/>
          <w:spacing w:val="-5"/>
          <w:w w:val="105"/>
        </w:rPr>
        <w:t> </w:t>
      </w:r>
      <w:r>
        <w:rPr>
          <w:color w:val="231F20"/>
          <w:w w:val="105"/>
        </w:rPr>
        <w:t>Campesina</w:t>
      </w:r>
      <w:r>
        <w:rPr>
          <w:color w:val="231F20"/>
          <w:spacing w:val="-5"/>
          <w:w w:val="105"/>
        </w:rPr>
        <w:t> </w:t>
      </w:r>
      <w:r>
        <w:rPr>
          <w:color w:val="231F20"/>
          <w:w w:val="105"/>
        </w:rPr>
        <w:t>y</w:t>
      </w:r>
      <w:r>
        <w:rPr>
          <w:color w:val="231F20"/>
          <w:spacing w:val="-5"/>
          <w:w w:val="105"/>
        </w:rPr>
        <w:t> </w:t>
      </w:r>
      <w:r>
        <w:rPr>
          <w:color w:val="231F20"/>
          <w:w w:val="105"/>
        </w:rPr>
        <w:t>comenzó</w:t>
      </w:r>
      <w:r>
        <w:rPr>
          <w:color w:val="231F20"/>
          <w:spacing w:val="-5"/>
          <w:w w:val="105"/>
        </w:rPr>
        <w:t> </w:t>
      </w:r>
      <w:r>
        <w:rPr>
          <w:color w:val="231F20"/>
          <w:w w:val="105"/>
        </w:rPr>
        <w:t>a expandirse</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estados</w:t>
      </w:r>
      <w:r>
        <w:rPr>
          <w:color w:val="231F20"/>
          <w:spacing w:val="-18"/>
          <w:w w:val="105"/>
        </w:rPr>
        <w:t> </w:t>
      </w:r>
      <w:r>
        <w:rPr>
          <w:color w:val="231F20"/>
          <w:w w:val="105"/>
        </w:rPr>
        <w:t>vecinos,</w:t>
      </w:r>
      <w:r>
        <w:rPr>
          <w:color w:val="231F20"/>
          <w:spacing w:val="-18"/>
          <w:w w:val="105"/>
        </w:rPr>
        <w:t> </w:t>
      </w:r>
      <w:r>
        <w:rPr>
          <w:color w:val="231F20"/>
          <w:w w:val="105"/>
        </w:rPr>
        <w:t>entre</w:t>
      </w:r>
      <w:r>
        <w:rPr>
          <w:color w:val="231F20"/>
          <w:spacing w:val="-18"/>
          <w:w w:val="105"/>
        </w:rPr>
        <w:t> </w:t>
      </w:r>
      <w:r>
        <w:rPr>
          <w:color w:val="231F20"/>
          <w:w w:val="105"/>
        </w:rPr>
        <w:t>ellos,</w:t>
      </w:r>
      <w:r>
        <w:rPr>
          <w:color w:val="231F20"/>
          <w:spacing w:val="-18"/>
          <w:w w:val="105"/>
        </w:rPr>
        <w:t> </w:t>
      </w:r>
      <w:r>
        <w:rPr>
          <w:color w:val="231F20"/>
          <w:w w:val="105"/>
        </w:rPr>
        <w:t>la</w:t>
      </w:r>
      <w:r>
        <w:rPr>
          <w:color w:val="231F20"/>
          <w:spacing w:val="-18"/>
          <w:w w:val="105"/>
        </w:rPr>
        <w:t> </w:t>
      </w:r>
      <w:r>
        <w:rPr>
          <w:color w:val="231F20"/>
          <w:w w:val="105"/>
        </w:rPr>
        <w:t>entidad</w:t>
      </w:r>
      <w:r>
        <w:rPr>
          <w:color w:val="231F20"/>
          <w:spacing w:val="-18"/>
          <w:w w:val="105"/>
        </w:rPr>
        <w:t> </w:t>
      </w:r>
      <w:r>
        <w:rPr>
          <w:color w:val="231F20"/>
          <w:w w:val="105"/>
        </w:rPr>
        <w:t>mexiquense.</w:t>
      </w:r>
    </w:p>
    <w:p>
      <w:pPr>
        <w:pStyle w:val="BodyText"/>
        <w:spacing w:line="285" w:lineRule="auto" w:before="1"/>
        <w:ind w:left="677" w:right="107"/>
        <w:jc w:val="both"/>
      </w:pPr>
      <w:r>
        <w:rPr>
          <w:color w:val="231F20"/>
          <w:spacing w:val="-5"/>
          <w:w w:val="105"/>
        </w:rPr>
        <w:t>Justamente </w:t>
      </w:r>
      <w:r>
        <w:rPr>
          <w:color w:val="231F20"/>
          <w:spacing w:val="-4"/>
          <w:w w:val="105"/>
        </w:rPr>
        <w:t>en </w:t>
      </w:r>
      <w:r>
        <w:rPr>
          <w:color w:val="231F20"/>
          <w:spacing w:val="-3"/>
          <w:w w:val="105"/>
        </w:rPr>
        <w:t>el </w:t>
      </w:r>
      <w:r>
        <w:rPr>
          <w:color w:val="231F20"/>
          <w:spacing w:val="-5"/>
          <w:w w:val="105"/>
        </w:rPr>
        <w:t>Estado </w:t>
      </w:r>
      <w:r>
        <w:rPr>
          <w:color w:val="231F20"/>
          <w:spacing w:val="-4"/>
          <w:w w:val="105"/>
        </w:rPr>
        <w:t>de </w:t>
      </w:r>
      <w:r>
        <w:rPr>
          <w:color w:val="231F20"/>
          <w:spacing w:val="-5"/>
          <w:w w:val="105"/>
        </w:rPr>
        <w:t>México, explicó, Antorcha </w:t>
      </w:r>
      <w:r>
        <w:rPr>
          <w:color w:val="231F20"/>
          <w:spacing w:val="-4"/>
          <w:w w:val="105"/>
        </w:rPr>
        <w:t>Campesina, </w:t>
      </w:r>
      <w:r>
        <w:rPr>
          <w:color w:val="231F20"/>
          <w:spacing w:val="-5"/>
          <w:w w:val="105"/>
        </w:rPr>
        <w:t>con </w:t>
      </w:r>
      <w:r>
        <w:rPr>
          <w:color w:val="231F20"/>
          <w:w w:val="105"/>
        </w:rPr>
        <w:t>sus </w:t>
      </w:r>
      <w:r>
        <w:rPr>
          <w:color w:val="231F20"/>
          <w:spacing w:val="-5"/>
          <w:w w:val="105"/>
        </w:rPr>
        <w:t>dos </w:t>
      </w:r>
      <w:r>
        <w:rPr>
          <w:color w:val="231F20"/>
          <w:spacing w:val="-4"/>
          <w:w w:val="105"/>
        </w:rPr>
        <w:t>mo- vimientos </w:t>
      </w:r>
      <w:r>
        <w:rPr>
          <w:color w:val="231F20"/>
          <w:spacing w:val="-5"/>
          <w:w w:val="105"/>
        </w:rPr>
        <w:t>alternos, Antorcha Popular </w:t>
      </w:r>
      <w:r>
        <w:rPr>
          <w:color w:val="231F20"/>
          <w:w w:val="105"/>
        </w:rPr>
        <w:t>y </w:t>
      </w:r>
      <w:r>
        <w:rPr>
          <w:color w:val="231F20"/>
          <w:spacing w:val="-5"/>
          <w:w w:val="105"/>
        </w:rPr>
        <w:t>Antorcha Juvenil, comenzó </w:t>
      </w:r>
      <w:r>
        <w:rPr>
          <w:color w:val="231F20"/>
          <w:w w:val="105"/>
        </w:rPr>
        <w:t>a </w:t>
      </w:r>
      <w:r>
        <w:rPr>
          <w:color w:val="231F20"/>
          <w:spacing w:val="-4"/>
          <w:w w:val="105"/>
        </w:rPr>
        <w:t>trabajar </w:t>
      </w:r>
      <w:r>
        <w:rPr>
          <w:color w:val="231F20"/>
          <w:w w:val="105"/>
        </w:rPr>
        <w:t>a </w:t>
      </w:r>
      <w:r>
        <w:rPr>
          <w:color w:val="231F20"/>
          <w:spacing w:val="-4"/>
          <w:w w:val="105"/>
        </w:rPr>
        <w:t>me- </w:t>
      </w:r>
      <w:r>
        <w:rPr>
          <w:color w:val="231F20"/>
          <w:spacing w:val="-5"/>
          <w:w w:val="105"/>
        </w:rPr>
        <w:t>diados</w:t>
      </w:r>
      <w:r>
        <w:rPr>
          <w:color w:val="231F20"/>
          <w:spacing w:val="-21"/>
          <w:w w:val="105"/>
        </w:rPr>
        <w:t> </w:t>
      </w:r>
      <w:r>
        <w:rPr>
          <w:color w:val="231F20"/>
          <w:spacing w:val="-4"/>
          <w:w w:val="105"/>
        </w:rPr>
        <w:t>de</w:t>
      </w:r>
      <w:r>
        <w:rPr>
          <w:color w:val="231F20"/>
          <w:spacing w:val="-21"/>
          <w:w w:val="105"/>
        </w:rPr>
        <w:t> </w:t>
      </w:r>
      <w:r>
        <w:rPr>
          <w:color w:val="231F20"/>
          <w:spacing w:val="-4"/>
          <w:w w:val="105"/>
        </w:rPr>
        <w:t>los</w:t>
      </w:r>
      <w:r>
        <w:rPr>
          <w:color w:val="231F20"/>
          <w:spacing w:val="-21"/>
          <w:w w:val="105"/>
        </w:rPr>
        <w:t> </w:t>
      </w:r>
      <w:r>
        <w:rPr>
          <w:color w:val="231F20"/>
          <w:spacing w:val="-4"/>
          <w:w w:val="105"/>
        </w:rPr>
        <w:t>años</w:t>
      </w:r>
      <w:r>
        <w:rPr>
          <w:color w:val="231F20"/>
          <w:spacing w:val="-21"/>
          <w:w w:val="105"/>
        </w:rPr>
        <w:t> </w:t>
      </w:r>
      <w:r>
        <w:rPr>
          <w:color w:val="231F20"/>
          <w:w w:val="105"/>
        </w:rPr>
        <w:t>80,</w:t>
      </w:r>
      <w:r>
        <w:rPr>
          <w:color w:val="231F20"/>
          <w:spacing w:val="-21"/>
          <w:w w:val="105"/>
        </w:rPr>
        <w:t> </w:t>
      </w:r>
      <w:r>
        <w:rPr>
          <w:color w:val="231F20"/>
          <w:spacing w:val="-4"/>
          <w:w w:val="105"/>
        </w:rPr>
        <w:t>actuando</w:t>
      </w:r>
      <w:r>
        <w:rPr>
          <w:color w:val="231F20"/>
          <w:spacing w:val="-21"/>
          <w:w w:val="105"/>
        </w:rPr>
        <w:t> </w:t>
      </w:r>
      <w:r>
        <w:rPr>
          <w:color w:val="231F20"/>
          <w:spacing w:val="-4"/>
          <w:w w:val="105"/>
        </w:rPr>
        <w:t>en</w:t>
      </w:r>
      <w:r>
        <w:rPr>
          <w:color w:val="231F20"/>
          <w:spacing w:val="-21"/>
          <w:w w:val="105"/>
        </w:rPr>
        <w:t> </w:t>
      </w:r>
      <w:r>
        <w:rPr>
          <w:color w:val="231F20"/>
          <w:spacing w:val="-4"/>
          <w:w w:val="105"/>
        </w:rPr>
        <w:t>zonas</w:t>
      </w:r>
      <w:r>
        <w:rPr>
          <w:color w:val="231F20"/>
          <w:spacing w:val="-21"/>
          <w:w w:val="105"/>
        </w:rPr>
        <w:t> </w:t>
      </w:r>
      <w:r>
        <w:rPr>
          <w:color w:val="231F20"/>
          <w:spacing w:val="-4"/>
          <w:w w:val="105"/>
        </w:rPr>
        <w:t>de</w:t>
      </w:r>
      <w:r>
        <w:rPr>
          <w:color w:val="231F20"/>
          <w:spacing w:val="-21"/>
          <w:w w:val="105"/>
        </w:rPr>
        <w:t> </w:t>
      </w:r>
      <w:r>
        <w:rPr>
          <w:color w:val="231F20"/>
          <w:spacing w:val="-5"/>
          <w:w w:val="105"/>
        </w:rPr>
        <w:t>invasión</w:t>
      </w:r>
      <w:r>
        <w:rPr>
          <w:color w:val="231F20"/>
          <w:spacing w:val="-21"/>
          <w:w w:val="105"/>
        </w:rPr>
        <w:t> </w:t>
      </w:r>
      <w:r>
        <w:rPr>
          <w:color w:val="231F20"/>
          <w:spacing w:val="-4"/>
          <w:w w:val="105"/>
        </w:rPr>
        <w:t>de</w:t>
      </w:r>
      <w:r>
        <w:rPr>
          <w:color w:val="231F20"/>
          <w:spacing w:val="-21"/>
          <w:w w:val="105"/>
        </w:rPr>
        <w:t> </w:t>
      </w:r>
      <w:r>
        <w:rPr>
          <w:color w:val="231F20"/>
          <w:spacing w:val="-4"/>
          <w:w w:val="105"/>
        </w:rPr>
        <w:t>tierras,</w:t>
      </w:r>
      <w:r>
        <w:rPr>
          <w:color w:val="231F20"/>
          <w:spacing w:val="-21"/>
          <w:w w:val="105"/>
        </w:rPr>
        <w:t> </w:t>
      </w:r>
      <w:r>
        <w:rPr>
          <w:color w:val="231F20"/>
          <w:spacing w:val="-4"/>
          <w:w w:val="105"/>
        </w:rPr>
        <w:t>cuyos</w:t>
      </w:r>
      <w:r>
        <w:rPr>
          <w:color w:val="231F20"/>
          <w:spacing w:val="-21"/>
          <w:w w:val="105"/>
        </w:rPr>
        <w:t> </w:t>
      </w:r>
      <w:r>
        <w:rPr>
          <w:color w:val="231F20"/>
          <w:spacing w:val="-5"/>
          <w:w w:val="105"/>
        </w:rPr>
        <w:t>habitantes</w:t>
      </w:r>
      <w:r>
        <w:rPr>
          <w:color w:val="231F20"/>
          <w:spacing w:val="-21"/>
          <w:w w:val="105"/>
        </w:rPr>
        <w:t> </w:t>
      </w:r>
      <w:r>
        <w:rPr>
          <w:color w:val="231F20"/>
          <w:spacing w:val="-3"/>
          <w:w w:val="105"/>
        </w:rPr>
        <w:t>eran </w:t>
      </w:r>
      <w:r>
        <w:rPr>
          <w:color w:val="231F20"/>
          <w:spacing w:val="-5"/>
          <w:w w:val="105"/>
        </w:rPr>
        <w:t>proclives</w:t>
      </w:r>
      <w:r>
        <w:rPr>
          <w:color w:val="231F20"/>
          <w:spacing w:val="-23"/>
          <w:w w:val="105"/>
        </w:rPr>
        <w:t> </w:t>
      </w:r>
      <w:r>
        <w:rPr>
          <w:color w:val="231F20"/>
          <w:w w:val="105"/>
        </w:rPr>
        <w:t>a</w:t>
      </w:r>
      <w:r>
        <w:rPr>
          <w:color w:val="231F20"/>
          <w:spacing w:val="-23"/>
          <w:w w:val="105"/>
        </w:rPr>
        <w:t> </w:t>
      </w:r>
      <w:r>
        <w:rPr>
          <w:color w:val="231F20"/>
          <w:spacing w:val="-3"/>
          <w:w w:val="105"/>
        </w:rPr>
        <w:t>ligarse</w:t>
      </w:r>
      <w:r>
        <w:rPr>
          <w:color w:val="231F20"/>
          <w:spacing w:val="-23"/>
          <w:w w:val="105"/>
        </w:rPr>
        <w:t> </w:t>
      </w:r>
      <w:r>
        <w:rPr>
          <w:color w:val="231F20"/>
          <w:w w:val="105"/>
        </w:rPr>
        <w:t>a</w:t>
      </w:r>
      <w:r>
        <w:rPr>
          <w:color w:val="231F20"/>
          <w:spacing w:val="-23"/>
          <w:w w:val="105"/>
        </w:rPr>
        <w:t> </w:t>
      </w:r>
      <w:r>
        <w:rPr>
          <w:color w:val="231F20"/>
          <w:spacing w:val="-5"/>
          <w:w w:val="105"/>
        </w:rPr>
        <w:t>líderes</w:t>
      </w:r>
      <w:r>
        <w:rPr>
          <w:color w:val="231F20"/>
          <w:spacing w:val="-23"/>
          <w:w w:val="105"/>
        </w:rPr>
        <w:t> </w:t>
      </w:r>
      <w:r>
        <w:rPr>
          <w:color w:val="231F20"/>
          <w:spacing w:val="-5"/>
          <w:w w:val="105"/>
        </w:rPr>
        <w:t>corruptos</w:t>
      </w:r>
      <w:r>
        <w:rPr>
          <w:color w:val="231F20"/>
          <w:spacing w:val="-23"/>
          <w:w w:val="105"/>
        </w:rPr>
        <w:t> </w:t>
      </w:r>
      <w:r>
        <w:rPr>
          <w:color w:val="231F20"/>
          <w:spacing w:val="-4"/>
          <w:w w:val="105"/>
        </w:rPr>
        <w:t>que</w:t>
      </w:r>
      <w:r>
        <w:rPr>
          <w:color w:val="231F20"/>
          <w:spacing w:val="-23"/>
          <w:w w:val="105"/>
        </w:rPr>
        <w:t> </w:t>
      </w:r>
      <w:r>
        <w:rPr>
          <w:color w:val="231F20"/>
          <w:spacing w:val="-4"/>
          <w:w w:val="105"/>
        </w:rPr>
        <w:t>les</w:t>
      </w:r>
      <w:r>
        <w:rPr>
          <w:color w:val="231F20"/>
          <w:spacing w:val="-23"/>
          <w:w w:val="105"/>
        </w:rPr>
        <w:t> </w:t>
      </w:r>
      <w:r>
        <w:rPr>
          <w:color w:val="231F20"/>
          <w:spacing w:val="-4"/>
          <w:w w:val="105"/>
        </w:rPr>
        <w:t>ofrecían</w:t>
      </w:r>
      <w:r>
        <w:rPr>
          <w:color w:val="231F20"/>
          <w:spacing w:val="-23"/>
          <w:w w:val="105"/>
        </w:rPr>
        <w:t> </w:t>
      </w:r>
      <w:r>
        <w:rPr>
          <w:color w:val="231F20"/>
          <w:spacing w:val="-4"/>
          <w:w w:val="105"/>
        </w:rPr>
        <w:t>servicios</w:t>
      </w:r>
      <w:r>
        <w:rPr>
          <w:color w:val="231F20"/>
          <w:spacing w:val="-23"/>
          <w:w w:val="105"/>
        </w:rPr>
        <w:t> </w:t>
      </w:r>
      <w:r>
        <w:rPr>
          <w:color w:val="231F20"/>
          <w:w w:val="105"/>
        </w:rPr>
        <w:t>a</w:t>
      </w:r>
      <w:r>
        <w:rPr>
          <w:color w:val="231F20"/>
          <w:spacing w:val="-23"/>
          <w:w w:val="105"/>
        </w:rPr>
        <w:t> </w:t>
      </w:r>
      <w:r>
        <w:rPr>
          <w:color w:val="231F20"/>
          <w:spacing w:val="-4"/>
          <w:w w:val="105"/>
        </w:rPr>
        <w:t>cambio</w:t>
      </w:r>
      <w:r>
        <w:rPr>
          <w:color w:val="231F20"/>
          <w:spacing w:val="-23"/>
          <w:w w:val="105"/>
        </w:rPr>
        <w:t> </w:t>
      </w:r>
      <w:r>
        <w:rPr>
          <w:color w:val="231F20"/>
          <w:spacing w:val="-4"/>
          <w:w w:val="105"/>
        </w:rPr>
        <w:t>de</w:t>
      </w:r>
      <w:r>
        <w:rPr>
          <w:color w:val="231F20"/>
          <w:spacing w:val="-23"/>
          <w:w w:val="105"/>
        </w:rPr>
        <w:t> </w:t>
      </w:r>
      <w:r>
        <w:rPr>
          <w:color w:val="231F20"/>
          <w:spacing w:val="-5"/>
          <w:w w:val="105"/>
        </w:rPr>
        <w:t>votos.</w:t>
      </w:r>
    </w:p>
    <w:p>
      <w:pPr>
        <w:pStyle w:val="BodyText"/>
        <w:spacing w:line="285" w:lineRule="auto" w:before="1"/>
        <w:ind w:left="677" w:right="108"/>
        <w:jc w:val="both"/>
        <w:rPr>
          <w:sz w:val="13"/>
        </w:rPr>
      </w:pPr>
      <w:r>
        <w:rPr>
          <w:color w:val="231F20"/>
          <w:w w:val="105"/>
        </w:rPr>
        <w:t>De</w:t>
      </w:r>
      <w:r>
        <w:rPr>
          <w:color w:val="231F20"/>
          <w:spacing w:val="-19"/>
          <w:w w:val="105"/>
        </w:rPr>
        <w:t> </w:t>
      </w:r>
      <w:r>
        <w:rPr>
          <w:color w:val="231F20"/>
          <w:w w:val="105"/>
        </w:rPr>
        <w:t>esta</w:t>
      </w:r>
      <w:r>
        <w:rPr>
          <w:color w:val="231F20"/>
          <w:spacing w:val="-19"/>
          <w:w w:val="105"/>
        </w:rPr>
        <w:t> </w:t>
      </w:r>
      <w:r>
        <w:rPr>
          <w:color w:val="231F20"/>
          <w:w w:val="105"/>
        </w:rPr>
        <w:t>forma</w:t>
      </w:r>
      <w:r>
        <w:rPr>
          <w:color w:val="231F20"/>
          <w:spacing w:val="-19"/>
          <w:w w:val="105"/>
        </w:rPr>
        <w:t> </w:t>
      </w:r>
      <w:r>
        <w:rPr>
          <w:color w:val="231F20"/>
          <w:w w:val="105"/>
        </w:rPr>
        <w:t>los</w:t>
      </w:r>
      <w:r>
        <w:rPr>
          <w:color w:val="231F20"/>
          <w:spacing w:val="-19"/>
          <w:w w:val="105"/>
        </w:rPr>
        <w:t> </w:t>
      </w:r>
      <w:r>
        <w:rPr>
          <w:color w:val="231F20"/>
          <w:w w:val="105"/>
        </w:rPr>
        <w:t>antorchistas</w:t>
      </w:r>
      <w:r>
        <w:rPr>
          <w:color w:val="231F20"/>
          <w:spacing w:val="-19"/>
          <w:w w:val="105"/>
        </w:rPr>
        <w:t> </w:t>
      </w:r>
      <w:r>
        <w:rPr>
          <w:color w:val="231F20"/>
          <w:w w:val="105"/>
        </w:rPr>
        <w:t>se</w:t>
      </w:r>
      <w:r>
        <w:rPr>
          <w:color w:val="231F20"/>
          <w:spacing w:val="-19"/>
          <w:w w:val="105"/>
        </w:rPr>
        <w:t> </w:t>
      </w:r>
      <w:r>
        <w:rPr>
          <w:color w:val="231F20"/>
          <w:w w:val="105"/>
        </w:rPr>
        <w:t>ligaron</w:t>
      </w:r>
      <w:r>
        <w:rPr>
          <w:color w:val="231F20"/>
          <w:spacing w:val="-19"/>
          <w:w w:val="105"/>
        </w:rPr>
        <w:t> </w:t>
      </w:r>
      <w:r>
        <w:rPr>
          <w:color w:val="231F20"/>
          <w:w w:val="105"/>
        </w:rPr>
        <w:t>con</w:t>
      </w:r>
      <w:r>
        <w:rPr>
          <w:color w:val="231F20"/>
          <w:spacing w:val="-19"/>
          <w:w w:val="105"/>
        </w:rPr>
        <w:t> </w:t>
      </w:r>
      <w:r>
        <w:rPr>
          <w:color w:val="231F20"/>
          <w:w w:val="105"/>
        </w:rPr>
        <w:t>el</w:t>
      </w:r>
      <w:r>
        <w:rPr>
          <w:color w:val="231F20"/>
          <w:spacing w:val="-19"/>
          <w:w w:val="105"/>
        </w:rPr>
        <w:t> </w:t>
      </w:r>
      <w:r>
        <w:rPr>
          <w:color w:val="231F20"/>
          <w:w w:val="105"/>
        </w:rPr>
        <w:t>sector</w:t>
      </w:r>
      <w:r>
        <w:rPr>
          <w:color w:val="231F20"/>
          <w:spacing w:val="-19"/>
          <w:w w:val="105"/>
        </w:rPr>
        <w:t> </w:t>
      </w:r>
      <w:r>
        <w:rPr>
          <w:color w:val="231F20"/>
          <w:w w:val="105"/>
        </w:rPr>
        <w:t>popular</w:t>
      </w:r>
      <w:r>
        <w:rPr>
          <w:color w:val="231F20"/>
          <w:spacing w:val="-19"/>
          <w:w w:val="105"/>
        </w:rPr>
        <w:t> </w:t>
      </w:r>
      <w:r>
        <w:rPr>
          <w:color w:val="231F20"/>
          <w:w w:val="105"/>
        </w:rPr>
        <w:t>del</w:t>
      </w:r>
      <w:r>
        <w:rPr>
          <w:color w:val="231F20"/>
          <w:spacing w:val="-19"/>
          <w:w w:val="105"/>
        </w:rPr>
        <w:t> </w:t>
      </w:r>
      <w:r>
        <w:rPr>
          <w:color w:val="231F20"/>
          <w:w w:val="105"/>
        </w:rPr>
        <w:t>Partido</w:t>
      </w:r>
      <w:r>
        <w:rPr>
          <w:color w:val="231F20"/>
          <w:spacing w:val="-19"/>
          <w:w w:val="105"/>
        </w:rPr>
        <w:t> </w:t>
      </w:r>
      <w:r>
        <w:rPr>
          <w:color w:val="231F20"/>
          <w:spacing w:val="-3"/>
          <w:w w:val="105"/>
        </w:rPr>
        <w:t>Revolu- </w:t>
      </w:r>
      <w:r>
        <w:rPr>
          <w:color w:val="231F20"/>
          <w:w w:val="105"/>
        </w:rPr>
        <w:t>cionario</w:t>
      </w:r>
      <w:r>
        <w:rPr>
          <w:color w:val="231F20"/>
          <w:spacing w:val="-14"/>
          <w:w w:val="105"/>
        </w:rPr>
        <w:t> </w:t>
      </w:r>
      <w:r>
        <w:rPr>
          <w:color w:val="231F20"/>
          <w:w w:val="105"/>
        </w:rPr>
        <w:t>Institucional</w:t>
      </w:r>
      <w:r>
        <w:rPr>
          <w:color w:val="231F20"/>
          <w:spacing w:val="-14"/>
          <w:w w:val="105"/>
        </w:rPr>
        <w:t> </w:t>
      </w:r>
      <w:r>
        <w:rPr>
          <w:color w:val="231F20"/>
          <w:spacing w:val="-9"/>
          <w:w w:val="105"/>
        </w:rPr>
        <w:t>y…</w:t>
      </w:r>
      <w:r>
        <w:rPr>
          <w:color w:val="231F20"/>
          <w:spacing w:val="-14"/>
          <w:w w:val="105"/>
        </w:rPr>
        <w:t> </w:t>
      </w:r>
      <w:r>
        <w:rPr>
          <w:color w:val="231F20"/>
          <w:spacing w:val="-4"/>
          <w:w w:val="105"/>
        </w:rPr>
        <w:t>“es</w:t>
      </w:r>
      <w:r>
        <w:rPr>
          <w:color w:val="231F20"/>
          <w:spacing w:val="-14"/>
          <w:w w:val="105"/>
        </w:rPr>
        <w:t> </w:t>
      </w:r>
      <w:r>
        <w:rPr>
          <w:color w:val="231F20"/>
          <w:w w:val="105"/>
        </w:rPr>
        <w:t>evidente</w:t>
      </w:r>
      <w:r>
        <w:rPr>
          <w:color w:val="231F20"/>
          <w:spacing w:val="-14"/>
          <w:w w:val="105"/>
        </w:rPr>
        <w:t> </w:t>
      </w:r>
      <w:r>
        <w:rPr>
          <w:color w:val="231F20"/>
          <w:w w:val="105"/>
        </w:rPr>
        <w:t>que</w:t>
      </w:r>
      <w:r>
        <w:rPr>
          <w:color w:val="231F20"/>
          <w:spacing w:val="-14"/>
          <w:w w:val="105"/>
        </w:rPr>
        <w:t> </w:t>
      </w:r>
      <w:r>
        <w:rPr>
          <w:color w:val="231F20"/>
          <w:w w:val="105"/>
        </w:rPr>
        <w:t>hubo</w:t>
      </w:r>
      <w:r>
        <w:rPr>
          <w:color w:val="231F20"/>
          <w:spacing w:val="-14"/>
          <w:w w:val="105"/>
        </w:rPr>
        <w:t> </w:t>
      </w:r>
      <w:r>
        <w:rPr>
          <w:color w:val="231F20"/>
          <w:w w:val="105"/>
        </w:rPr>
        <w:t>fuertes</w:t>
      </w:r>
      <w:r>
        <w:rPr>
          <w:color w:val="231F20"/>
          <w:spacing w:val="-14"/>
          <w:w w:val="105"/>
        </w:rPr>
        <w:t> </w:t>
      </w:r>
      <w:r>
        <w:rPr>
          <w:color w:val="231F20"/>
          <w:w w:val="105"/>
        </w:rPr>
        <w:t>vínculos</w:t>
      </w:r>
      <w:r>
        <w:rPr>
          <w:color w:val="231F20"/>
          <w:spacing w:val="-14"/>
          <w:w w:val="105"/>
        </w:rPr>
        <w:t> </w:t>
      </w:r>
      <w:r>
        <w:rPr>
          <w:color w:val="231F20"/>
          <w:w w:val="105"/>
        </w:rPr>
        <w:t>con</w:t>
      </w:r>
      <w:r>
        <w:rPr>
          <w:color w:val="231F20"/>
          <w:spacing w:val="-14"/>
          <w:w w:val="105"/>
        </w:rPr>
        <w:t> </w:t>
      </w:r>
      <w:r>
        <w:rPr>
          <w:color w:val="231F20"/>
          <w:w w:val="105"/>
        </w:rPr>
        <w:t>gobernado- res</w:t>
      </w:r>
      <w:r>
        <w:rPr>
          <w:color w:val="231F20"/>
          <w:spacing w:val="-6"/>
          <w:w w:val="105"/>
        </w:rPr>
        <w:t> </w:t>
      </w:r>
      <w:r>
        <w:rPr>
          <w:color w:val="231F20"/>
          <w:w w:val="105"/>
        </w:rPr>
        <w:t>como</w:t>
      </w:r>
      <w:r>
        <w:rPr>
          <w:color w:val="231F20"/>
          <w:spacing w:val="-6"/>
          <w:w w:val="105"/>
        </w:rPr>
        <w:t> </w:t>
      </w:r>
      <w:r>
        <w:rPr>
          <w:color w:val="231F20"/>
          <w:w w:val="105"/>
        </w:rPr>
        <w:t>Ignacio</w:t>
      </w:r>
      <w:r>
        <w:rPr>
          <w:color w:val="231F20"/>
          <w:spacing w:val="-6"/>
          <w:w w:val="105"/>
        </w:rPr>
        <w:t> </w:t>
      </w:r>
      <w:r>
        <w:rPr>
          <w:color w:val="231F20"/>
          <w:w w:val="105"/>
        </w:rPr>
        <w:t>Pichardo</w:t>
      </w:r>
      <w:r>
        <w:rPr>
          <w:color w:val="231F20"/>
          <w:spacing w:val="-6"/>
          <w:w w:val="105"/>
        </w:rPr>
        <w:t> </w:t>
      </w:r>
      <w:r>
        <w:rPr>
          <w:color w:val="231F20"/>
          <w:w w:val="105"/>
        </w:rPr>
        <w:t>Pagaza,</w:t>
      </w:r>
      <w:r>
        <w:rPr>
          <w:color w:val="231F20"/>
          <w:spacing w:val="-6"/>
          <w:w w:val="105"/>
        </w:rPr>
        <w:t> </w:t>
      </w:r>
      <w:r>
        <w:rPr>
          <w:color w:val="231F20"/>
          <w:w w:val="105"/>
        </w:rPr>
        <w:t>Emilio</w:t>
      </w:r>
      <w:r>
        <w:rPr>
          <w:color w:val="231F20"/>
          <w:spacing w:val="-6"/>
          <w:w w:val="105"/>
        </w:rPr>
        <w:t> </w:t>
      </w:r>
      <w:r>
        <w:rPr>
          <w:color w:val="231F20"/>
          <w:w w:val="105"/>
        </w:rPr>
        <w:t>Chuayffet</w:t>
      </w:r>
      <w:r>
        <w:rPr>
          <w:color w:val="231F20"/>
          <w:spacing w:val="-6"/>
          <w:w w:val="105"/>
        </w:rPr>
        <w:t> </w:t>
      </w:r>
      <w:r>
        <w:rPr>
          <w:color w:val="231F20"/>
          <w:spacing w:val="-3"/>
          <w:w w:val="105"/>
        </w:rPr>
        <w:t>Chemor,</w:t>
      </w:r>
      <w:r>
        <w:rPr>
          <w:color w:val="231F20"/>
          <w:spacing w:val="-6"/>
          <w:w w:val="105"/>
        </w:rPr>
        <w:t> </w:t>
      </w:r>
      <w:r>
        <w:rPr>
          <w:color w:val="231F20"/>
          <w:w w:val="105"/>
        </w:rPr>
        <w:t>César</w:t>
      </w:r>
      <w:r>
        <w:rPr>
          <w:color w:val="231F20"/>
          <w:spacing w:val="-6"/>
          <w:w w:val="105"/>
        </w:rPr>
        <w:t> </w:t>
      </w:r>
      <w:r>
        <w:rPr>
          <w:color w:val="231F20"/>
          <w:spacing w:val="-3"/>
          <w:w w:val="105"/>
        </w:rPr>
        <w:t>Camacho”, </w:t>
      </w:r>
      <w:r>
        <w:rPr>
          <w:color w:val="231F20"/>
          <w:w w:val="105"/>
        </w:rPr>
        <w:t>señaló.</w:t>
      </w:r>
      <w:r>
        <w:rPr>
          <w:color w:val="231F20"/>
          <w:w w:val="105"/>
          <w:position w:val="8"/>
          <w:sz w:val="13"/>
        </w:rPr>
        <w:t>3</w:t>
      </w:r>
    </w:p>
    <w:p>
      <w:pPr>
        <w:pStyle w:val="BodyText"/>
        <w:spacing w:before="11"/>
        <w:rPr>
          <w:sz w:val="25"/>
        </w:rPr>
      </w:pPr>
    </w:p>
    <w:p>
      <w:pPr>
        <w:pStyle w:val="BodyText"/>
        <w:spacing w:line="285" w:lineRule="auto"/>
        <w:ind w:left="110" w:right="108"/>
        <w:jc w:val="both"/>
      </w:pPr>
      <w:r>
        <w:rPr>
          <w:color w:val="231F20"/>
          <w:w w:val="105"/>
        </w:rPr>
        <w:t>La posición de cada uno de estos grupos para actuar en Chimalhuacán, además de las cuestiones económicas y políticas que se han mencionado se expresan:</w:t>
      </w:r>
    </w:p>
    <w:p>
      <w:pPr>
        <w:pStyle w:val="BodyText"/>
        <w:spacing w:line="285" w:lineRule="auto" w:before="1"/>
        <w:ind w:left="677" w:right="107"/>
        <w:jc w:val="both"/>
      </w:pPr>
      <w:r>
        <w:rPr>
          <w:color w:val="231F20"/>
          <w:w w:val="105"/>
        </w:rPr>
        <w:t>En su intento por </w:t>
      </w:r>
      <w:r>
        <w:rPr>
          <w:color w:val="231F20"/>
          <w:spacing w:val="-3"/>
          <w:w w:val="105"/>
        </w:rPr>
        <w:t>imponer, </w:t>
      </w:r>
      <w:r>
        <w:rPr>
          <w:color w:val="231F20"/>
          <w:w w:val="105"/>
        </w:rPr>
        <w:t>de nueva cuenta, </w:t>
      </w:r>
      <w:r>
        <w:rPr>
          <w:color w:val="231F20"/>
          <w:spacing w:val="2"/>
          <w:w w:val="105"/>
        </w:rPr>
        <w:t>al </w:t>
      </w:r>
      <w:r>
        <w:rPr>
          <w:color w:val="231F20"/>
          <w:w w:val="105"/>
        </w:rPr>
        <w:t>presidente municipal de Chimal- huacán,</w:t>
      </w:r>
      <w:r>
        <w:rPr>
          <w:color w:val="231F20"/>
          <w:spacing w:val="-20"/>
          <w:w w:val="105"/>
        </w:rPr>
        <w:t> </w:t>
      </w:r>
      <w:r>
        <w:rPr>
          <w:color w:val="231F20"/>
          <w:w w:val="105"/>
        </w:rPr>
        <w:t>Guadalupe</w:t>
      </w:r>
      <w:r>
        <w:rPr>
          <w:color w:val="231F20"/>
          <w:spacing w:val="-20"/>
          <w:w w:val="105"/>
        </w:rPr>
        <w:t> </w:t>
      </w:r>
      <w:r>
        <w:rPr>
          <w:color w:val="231F20"/>
          <w:w w:val="105"/>
        </w:rPr>
        <w:t>Buendía</w:t>
      </w:r>
      <w:r>
        <w:rPr>
          <w:color w:val="231F20"/>
          <w:spacing w:val="-20"/>
          <w:w w:val="105"/>
        </w:rPr>
        <w:t> </w:t>
      </w:r>
      <w:r>
        <w:rPr>
          <w:color w:val="231F20"/>
          <w:w w:val="105"/>
        </w:rPr>
        <w:t>había</w:t>
      </w:r>
      <w:r>
        <w:rPr>
          <w:color w:val="231F20"/>
          <w:spacing w:val="-20"/>
          <w:w w:val="105"/>
        </w:rPr>
        <w:t> </w:t>
      </w:r>
      <w:r>
        <w:rPr>
          <w:color w:val="231F20"/>
          <w:w w:val="105"/>
        </w:rPr>
        <w:t>propuesto</w:t>
      </w:r>
      <w:r>
        <w:rPr>
          <w:color w:val="231F20"/>
          <w:spacing w:val="-20"/>
          <w:w w:val="105"/>
        </w:rPr>
        <w:t> </w:t>
      </w:r>
      <w:r>
        <w:rPr>
          <w:color w:val="231F20"/>
          <w:w w:val="105"/>
        </w:rPr>
        <w:t>a</w:t>
      </w:r>
      <w:r>
        <w:rPr>
          <w:color w:val="231F20"/>
          <w:spacing w:val="-20"/>
          <w:w w:val="105"/>
        </w:rPr>
        <w:t> </w:t>
      </w:r>
      <w:r>
        <w:rPr>
          <w:color w:val="231F20"/>
          <w:w w:val="105"/>
        </w:rPr>
        <w:t>su</w:t>
      </w:r>
      <w:r>
        <w:rPr>
          <w:color w:val="231F20"/>
          <w:spacing w:val="-20"/>
          <w:w w:val="105"/>
        </w:rPr>
        <w:t> </w:t>
      </w:r>
      <w:r>
        <w:rPr>
          <w:color w:val="231F20"/>
          <w:w w:val="105"/>
        </w:rPr>
        <w:t>hijo,</w:t>
      </w:r>
      <w:r>
        <w:rPr>
          <w:color w:val="231F20"/>
          <w:spacing w:val="-20"/>
          <w:w w:val="105"/>
        </w:rPr>
        <w:t> </w:t>
      </w:r>
      <w:r>
        <w:rPr>
          <w:color w:val="231F20"/>
          <w:w w:val="105"/>
        </w:rPr>
        <w:t>Salomón</w:t>
      </w:r>
      <w:r>
        <w:rPr>
          <w:color w:val="231F20"/>
          <w:spacing w:val="-20"/>
          <w:w w:val="105"/>
        </w:rPr>
        <w:t> </w:t>
      </w:r>
      <w:r>
        <w:rPr>
          <w:color w:val="231F20"/>
          <w:w w:val="105"/>
        </w:rPr>
        <w:t>Herrera</w:t>
      </w:r>
      <w:r>
        <w:rPr>
          <w:color w:val="231F20"/>
          <w:spacing w:val="-20"/>
          <w:w w:val="105"/>
        </w:rPr>
        <w:t> </w:t>
      </w:r>
      <w:r>
        <w:rPr>
          <w:color w:val="231F20"/>
          <w:w w:val="105"/>
        </w:rPr>
        <w:t>Buendía, quien</w:t>
      </w:r>
      <w:r>
        <w:rPr>
          <w:color w:val="231F20"/>
          <w:spacing w:val="-10"/>
          <w:w w:val="105"/>
        </w:rPr>
        <w:t> </w:t>
      </w:r>
      <w:r>
        <w:rPr>
          <w:color w:val="231F20"/>
          <w:w w:val="105"/>
        </w:rPr>
        <w:t>ya</w:t>
      </w:r>
      <w:r>
        <w:rPr>
          <w:color w:val="231F20"/>
          <w:spacing w:val="-10"/>
          <w:w w:val="105"/>
        </w:rPr>
        <w:t> </w:t>
      </w:r>
      <w:r>
        <w:rPr>
          <w:color w:val="231F20"/>
          <w:w w:val="105"/>
        </w:rPr>
        <w:t>había</w:t>
      </w:r>
      <w:r>
        <w:rPr>
          <w:color w:val="231F20"/>
          <w:spacing w:val="-10"/>
          <w:w w:val="105"/>
        </w:rPr>
        <w:t> </w:t>
      </w:r>
      <w:r>
        <w:rPr>
          <w:color w:val="231F20"/>
          <w:w w:val="105"/>
        </w:rPr>
        <w:t>sido</w:t>
      </w:r>
      <w:r>
        <w:rPr>
          <w:color w:val="231F20"/>
          <w:spacing w:val="-10"/>
          <w:w w:val="105"/>
        </w:rPr>
        <w:t> </w:t>
      </w:r>
      <w:r>
        <w:rPr>
          <w:color w:val="231F20"/>
          <w:w w:val="105"/>
        </w:rPr>
        <w:t>ex</w:t>
      </w:r>
      <w:r>
        <w:rPr>
          <w:color w:val="231F20"/>
          <w:spacing w:val="-10"/>
          <w:w w:val="105"/>
        </w:rPr>
        <w:t> </w:t>
      </w:r>
      <w:r>
        <w:rPr>
          <w:color w:val="231F20"/>
          <w:w w:val="105"/>
        </w:rPr>
        <w:t>secretario</w:t>
      </w:r>
      <w:r>
        <w:rPr>
          <w:color w:val="231F20"/>
          <w:spacing w:val="-10"/>
          <w:w w:val="105"/>
        </w:rPr>
        <w:t> </w:t>
      </w:r>
      <w:r>
        <w:rPr>
          <w:color w:val="231F20"/>
          <w:w w:val="105"/>
        </w:rPr>
        <w:t>del</w:t>
      </w:r>
      <w:r>
        <w:rPr>
          <w:color w:val="231F20"/>
          <w:spacing w:val="-10"/>
          <w:w w:val="105"/>
        </w:rPr>
        <w:t> </w:t>
      </w:r>
      <w:r>
        <w:rPr>
          <w:color w:val="231F20"/>
          <w:w w:val="105"/>
        </w:rPr>
        <w:t>ayuntamiento,</w:t>
      </w:r>
      <w:r>
        <w:rPr>
          <w:color w:val="231F20"/>
          <w:spacing w:val="-10"/>
          <w:w w:val="105"/>
        </w:rPr>
        <w:t> </w:t>
      </w:r>
      <w:r>
        <w:rPr>
          <w:color w:val="231F20"/>
          <w:w w:val="105"/>
        </w:rPr>
        <w:t>pero</w:t>
      </w:r>
      <w:r>
        <w:rPr>
          <w:color w:val="231F20"/>
          <w:spacing w:val="-10"/>
          <w:w w:val="105"/>
        </w:rPr>
        <w:t> </w:t>
      </w:r>
      <w:r>
        <w:rPr>
          <w:color w:val="231F20"/>
          <w:w w:val="105"/>
        </w:rPr>
        <w:t>fue</w:t>
      </w:r>
      <w:r>
        <w:rPr>
          <w:color w:val="231F20"/>
          <w:spacing w:val="-10"/>
          <w:w w:val="105"/>
        </w:rPr>
        <w:t> </w:t>
      </w:r>
      <w:r>
        <w:rPr>
          <w:color w:val="231F20"/>
          <w:w w:val="105"/>
        </w:rPr>
        <w:t>rechazado</w:t>
      </w:r>
      <w:r>
        <w:rPr>
          <w:color w:val="231F20"/>
          <w:spacing w:val="-10"/>
          <w:w w:val="105"/>
        </w:rPr>
        <w:t> </w:t>
      </w:r>
      <w:r>
        <w:rPr>
          <w:color w:val="231F20"/>
          <w:w w:val="105"/>
        </w:rPr>
        <w:t>como</w:t>
      </w:r>
      <w:r>
        <w:rPr>
          <w:color w:val="231F20"/>
          <w:spacing w:val="-10"/>
          <w:w w:val="105"/>
        </w:rPr>
        <w:t> </w:t>
      </w:r>
      <w:r>
        <w:rPr>
          <w:color w:val="231F20"/>
          <w:w w:val="105"/>
        </w:rPr>
        <w:t>as-</w:t>
      </w:r>
    </w:p>
    <w:p>
      <w:pPr>
        <w:pStyle w:val="BodyText"/>
        <w:spacing w:before="1"/>
        <w:ind w:left="110"/>
        <w:jc w:val="both"/>
      </w:pPr>
      <w:r>
        <w:rPr>
          <w:color w:val="231F20"/>
          <w:w w:val="94"/>
          <w:u w:val="single" w:color="231F20"/>
        </w:rPr>
        <w:t> </w:t>
      </w:r>
      <w:r>
        <w:rPr>
          <w:color w:val="231F20"/>
          <w:u w:val="single" w:color="231F20"/>
        </w:rPr>
        <w:t>         </w:t>
      </w:r>
      <w:r>
        <w:rPr>
          <w:color w:val="231F20"/>
          <w:w w:val="105"/>
          <w:u w:val="single" w:color="231F20"/>
        </w:rPr>
        <w:t>pirante a </w:t>
      </w:r>
      <w:r>
        <w:rPr>
          <w:color w:val="231F20"/>
          <w:w w:val="105"/>
        </w:rPr>
        <w:t>la alcaldía. Entonces, Buendía Torres decidió apoyar al candidato  del</w:t>
      </w:r>
    </w:p>
    <w:p>
      <w:pPr>
        <w:pStyle w:val="ListParagraph"/>
        <w:numPr>
          <w:ilvl w:val="0"/>
          <w:numId w:val="11"/>
        </w:numPr>
        <w:tabs>
          <w:tab w:pos="259" w:val="left" w:leader="none"/>
        </w:tabs>
        <w:spacing w:line="240" w:lineRule="auto" w:before="99" w:after="0"/>
        <w:ind w:left="258" w:right="0" w:hanging="148"/>
        <w:jc w:val="both"/>
        <w:rPr>
          <w:sz w:val="16"/>
        </w:rPr>
      </w:pPr>
      <w:r>
        <w:rPr>
          <w:color w:val="231F20"/>
          <w:sz w:val="16"/>
        </w:rPr>
        <w:t>El</w:t>
      </w:r>
      <w:r>
        <w:rPr>
          <w:color w:val="231F20"/>
          <w:spacing w:val="-12"/>
          <w:sz w:val="16"/>
        </w:rPr>
        <w:t> </w:t>
      </w:r>
      <w:r>
        <w:rPr>
          <w:color w:val="231F20"/>
          <w:sz w:val="16"/>
        </w:rPr>
        <w:t>Universal,</w:t>
      </w:r>
      <w:r>
        <w:rPr>
          <w:color w:val="231F20"/>
          <w:spacing w:val="-12"/>
          <w:sz w:val="16"/>
        </w:rPr>
        <w:t> </w:t>
      </w:r>
      <w:r>
        <w:rPr>
          <w:color w:val="231F20"/>
          <w:sz w:val="16"/>
        </w:rPr>
        <w:t>23</w:t>
      </w:r>
      <w:r>
        <w:rPr>
          <w:color w:val="231F20"/>
          <w:spacing w:val="-12"/>
          <w:sz w:val="16"/>
        </w:rPr>
        <w:t> </w:t>
      </w:r>
      <w:r>
        <w:rPr>
          <w:color w:val="231F20"/>
          <w:sz w:val="16"/>
        </w:rPr>
        <w:t>de</w:t>
      </w:r>
      <w:r>
        <w:rPr>
          <w:color w:val="231F20"/>
          <w:spacing w:val="-12"/>
          <w:sz w:val="16"/>
        </w:rPr>
        <w:t> </w:t>
      </w:r>
      <w:r>
        <w:rPr>
          <w:color w:val="231F20"/>
          <w:sz w:val="16"/>
        </w:rPr>
        <w:t>agosto</w:t>
      </w:r>
      <w:r>
        <w:rPr>
          <w:color w:val="231F20"/>
          <w:spacing w:val="-12"/>
          <w:sz w:val="16"/>
        </w:rPr>
        <w:t> </w:t>
      </w:r>
      <w:r>
        <w:rPr>
          <w:color w:val="231F20"/>
          <w:sz w:val="16"/>
        </w:rPr>
        <w:t>de</w:t>
      </w:r>
      <w:r>
        <w:rPr>
          <w:color w:val="231F20"/>
          <w:spacing w:val="-12"/>
          <w:sz w:val="16"/>
        </w:rPr>
        <w:t> </w:t>
      </w:r>
      <w:r>
        <w:rPr>
          <w:color w:val="231F20"/>
          <w:sz w:val="16"/>
        </w:rPr>
        <w:t>2000.</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677" w:right="108"/>
        <w:jc w:val="both"/>
      </w:pPr>
      <w:r>
        <w:rPr>
          <w:color w:val="231F20"/>
          <w:spacing w:val="-3"/>
          <w:w w:val="105"/>
        </w:rPr>
        <w:t>PRD,</w:t>
      </w:r>
      <w:r>
        <w:rPr>
          <w:color w:val="231F20"/>
          <w:spacing w:val="-22"/>
          <w:w w:val="105"/>
        </w:rPr>
        <w:t> </w:t>
      </w:r>
      <w:r>
        <w:rPr>
          <w:color w:val="231F20"/>
          <w:w w:val="105"/>
        </w:rPr>
        <w:t>Raúl</w:t>
      </w:r>
      <w:r>
        <w:rPr>
          <w:color w:val="231F20"/>
          <w:spacing w:val="-22"/>
          <w:w w:val="105"/>
        </w:rPr>
        <w:t> </w:t>
      </w:r>
      <w:r>
        <w:rPr>
          <w:color w:val="231F20"/>
          <w:w w:val="105"/>
        </w:rPr>
        <w:t>Carpinteiro,</w:t>
      </w:r>
      <w:r>
        <w:rPr>
          <w:color w:val="231F20"/>
          <w:spacing w:val="-22"/>
          <w:w w:val="105"/>
        </w:rPr>
        <w:t> </w:t>
      </w:r>
      <w:r>
        <w:rPr>
          <w:color w:val="231F20"/>
          <w:w w:val="105"/>
        </w:rPr>
        <w:t>con</w:t>
      </w:r>
      <w:r>
        <w:rPr>
          <w:color w:val="231F20"/>
          <w:spacing w:val="-22"/>
          <w:w w:val="105"/>
        </w:rPr>
        <w:t> </w:t>
      </w:r>
      <w:r>
        <w:rPr>
          <w:color w:val="231F20"/>
          <w:w w:val="105"/>
        </w:rPr>
        <w:t>quien</w:t>
      </w:r>
      <w:r>
        <w:rPr>
          <w:color w:val="231F20"/>
          <w:spacing w:val="-22"/>
          <w:w w:val="105"/>
        </w:rPr>
        <w:t> </w:t>
      </w:r>
      <w:r>
        <w:rPr>
          <w:color w:val="231F20"/>
          <w:w w:val="105"/>
        </w:rPr>
        <w:t>le</w:t>
      </w:r>
      <w:r>
        <w:rPr>
          <w:color w:val="231F20"/>
          <w:spacing w:val="-22"/>
          <w:w w:val="105"/>
        </w:rPr>
        <w:t> </w:t>
      </w:r>
      <w:r>
        <w:rPr>
          <w:color w:val="231F20"/>
          <w:w w:val="105"/>
        </w:rPr>
        <w:t>resultaba</w:t>
      </w:r>
      <w:r>
        <w:rPr>
          <w:color w:val="231F20"/>
          <w:spacing w:val="-22"/>
          <w:w w:val="105"/>
        </w:rPr>
        <w:t> </w:t>
      </w:r>
      <w:r>
        <w:rPr>
          <w:color w:val="231F20"/>
          <w:w w:val="105"/>
        </w:rPr>
        <w:t>más</w:t>
      </w:r>
      <w:r>
        <w:rPr>
          <w:color w:val="231F20"/>
          <w:spacing w:val="-22"/>
          <w:w w:val="105"/>
        </w:rPr>
        <w:t> </w:t>
      </w:r>
      <w:r>
        <w:rPr>
          <w:color w:val="231F20"/>
          <w:w w:val="105"/>
        </w:rPr>
        <w:t>fácil</w:t>
      </w:r>
      <w:r>
        <w:rPr>
          <w:color w:val="231F20"/>
          <w:spacing w:val="-22"/>
          <w:w w:val="105"/>
        </w:rPr>
        <w:t> </w:t>
      </w:r>
      <w:r>
        <w:rPr>
          <w:color w:val="231F20"/>
          <w:w w:val="105"/>
        </w:rPr>
        <w:t>negociar,</w:t>
      </w:r>
      <w:r>
        <w:rPr>
          <w:color w:val="231F20"/>
          <w:spacing w:val="-22"/>
          <w:w w:val="105"/>
        </w:rPr>
        <w:t> </w:t>
      </w:r>
      <w:r>
        <w:rPr>
          <w:color w:val="231F20"/>
          <w:w w:val="105"/>
        </w:rPr>
        <w:t>aunque</w:t>
      </w:r>
      <w:r>
        <w:rPr>
          <w:color w:val="231F20"/>
          <w:spacing w:val="-22"/>
          <w:w w:val="105"/>
        </w:rPr>
        <w:t> </w:t>
      </w:r>
      <w:r>
        <w:rPr>
          <w:color w:val="231F20"/>
          <w:w w:val="105"/>
        </w:rPr>
        <w:t>no</w:t>
      </w:r>
      <w:r>
        <w:rPr>
          <w:color w:val="231F20"/>
          <w:spacing w:val="-22"/>
          <w:w w:val="105"/>
        </w:rPr>
        <w:t> </w:t>
      </w:r>
      <w:r>
        <w:rPr>
          <w:color w:val="231F20"/>
          <w:w w:val="105"/>
        </w:rPr>
        <w:t>fuese su</w:t>
      </w:r>
      <w:r>
        <w:rPr>
          <w:color w:val="231F20"/>
          <w:spacing w:val="-25"/>
          <w:w w:val="105"/>
        </w:rPr>
        <w:t> </w:t>
      </w:r>
      <w:r>
        <w:rPr>
          <w:color w:val="231F20"/>
          <w:w w:val="105"/>
        </w:rPr>
        <w:t>familiar.</w:t>
      </w:r>
    </w:p>
    <w:p>
      <w:pPr>
        <w:pStyle w:val="BodyText"/>
        <w:spacing w:line="285" w:lineRule="auto" w:before="1"/>
        <w:ind w:left="677" w:right="108"/>
        <w:jc w:val="both"/>
        <w:rPr>
          <w:sz w:val="13"/>
        </w:rPr>
      </w:pPr>
      <w:r>
        <w:rPr>
          <w:color w:val="231F20"/>
          <w:w w:val="105"/>
        </w:rPr>
        <w:t>La inusitada reunión ocurrió </w:t>
      </w:r>
      <w:r>
        <w:rPr>
          <w:color w:val="231F20"/>
          <w:spacing w:val="-3"/>
          <w:w w:val="105"/>
        </w:rPr>
        <w:t>luego </w:t>
      </w:r>
      <w:r>
        <w:rPr>
          <w:color w:val="231F20"/>
          <w:w w:val="105"/>
        </w:rPr>
        <w:t>de que el aspirante priísta a la presidencia municipal, Jesús </w:t>
      </w:r>
      <w:r>
        <w:rPr>
          <w:color w:val="231F20"/>
          <w:spacing w:val="-4"/>
          <w:w w:val="105"/>
        </w:rPr>
        <w:t>Tolentino </w:t>
      </w:r>
      <w:r>
        <w:rPr>
          <w:color w:val="231F20"/>
          <w:w w:val="105"/>
        </w:rPr>
        <w:t>Román Bojórquez, se negara a dejar el control de la </w:t>
      </w:r>
      <w:r>
        <w:rPr>
          <w:color w:val="231F20"/>
          <w:spacing w:val="-3"/>
          <w:w w:val="105"/>
        </w:rPr>
        <w:t>Tesorería </w:t>
      </w:r>
      <w:r>
        <w:rPr>
          <w:color w:val="231F20"/>
          <w:w w:val="105"/>
        </w:rPr>
        <w:t>y el Organismo Descentralizado de Agua Potable Alcantarillado y Sa- neamiento</w:t>
      </w:r>
      <w:r>
        <w:rPr>
          <w:color w:val="231F20"/>
          <w:spacing w:val="-25"/>
          <w:w w:val="105"/>
        </w:rPr>
        <w:t> </w:t>
      </w:r>
      <w:r>
        <w:rPr>
          <w:color w:val="231F20"/>
          <w:spacing w:val="-5"/>
          <w:w w:val="105"/>
        </w:rPr>
        <w:t>(ODAPAS).</w:t>
      </w:r>
      <w:r>
        <w:rPr>
          <w:color w:val="231F20"/>
          <w:spacing w:val="-25"/>
          <w:w w:val="105"/>
        </w:rPr>
        <w:t> </w:t>
      </w:r>
      <w:r>
        <w:rPr>
          <w:color w:val="231F20"/>
          <w:w w:val="105"/>
        </w:rPr>
        <w:t>“No</w:t>
      </w:r>
      <w:r>
        <w:rPr>
          <w:color w:val="231F20"/>
          <w:spacing w:val="-25"/>
          <w:w w:val="105"/>
        </w:rPr>
        <w:t> </w:t>
      </w:r>
      <w:r>
        <w:rPr>
          <w:color w:val="231F20"/>
          <w:w w:val="105"/>
        </w:rPr>
        <w:t>aceptaremos</w:t>
      </w:r>
      <w:r>
        <w:rPr>
          <w:color w:val="231F20"/>
          <w:spacing w:val="-25"/>
          <w:w w:val="105"/>
        </w:rPr>
        <w:t> </w:t>
      </w:r>
      <w:r>
        <w:rPr>
          <w:color w:val="231F20"/>
          <w:w w:val="105"/>
        </w:rPr>
        <w:t>chantajes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4"/>
          <w:w w:val="105"/>
        </w:rPr>
        <w:t>Loba’”,</w:t>
      </w:r>
      <w:r>
        <w:rPr>
          <w:color w:val="231F20"/>
          <w:spacing w:val="-25"/>
          <w:w w:val="105"/>
        </w:rPr>
        <w:t> </w:t>
      </w:r>
      <w:r>
        <w:rPr>
          <w:color w:val="231F20"/>
          <w:w w:val="105"/>
        </w:rPr>
        <w:t>afirmó</w:t>
      </w:r>
      <w:r>
        <w:rPr>
          <w:color w:val="231F20"/>
          <w:spacing w:val="-25"/>
          <w:w w:val="105"/>
        </w:rPr>
        <w:t> </w:t>
      </w:r>
      <w:r>
        <w:rPr>
          <w:color w:val="231F20"/>
          <w:w w:val="105"/>
        </w:rPr>
        <w:t>en</w:t>
      </w:r>
      <w:r>
        <w:rPr>
          <w:color w:val="231F20"/>
          <w:spacing w:val="-25"/>
          <w:w w:val="105"/>
        </w:rPr>
        <w:t> </w:t>
      </w:r>
      <w:r>
        <w:rPr>
          <w:color w:val="231F20"/>
          <w:w w:val="105"/>
        </w:rPr>
        <w:t>aque- </w:t>
      </w:r>
      <w:r>
        <w:rPr>
          <w:color w:val="231F20"/>
        </w:rPr>
        <w:t>lla</w:t>
      </w:r>
      <w:r>
        <w:rPr>
          <w:color w:val="231F20"/>
          <w:spacing w:val="11"/>
        </w:rPr>
        <w:t> </w:t>
      </w:r>
      <w:r>
        <w:rPr>
          <w:color w:val="231F20"/>
        </w:rPr>
        <w:t>ocasión.</w:t>
      </w:r>
      <w:r>
        <w:rPr>
          <w:color w:val="231F20"/>
          <w:position w:val="7"/>
          <w:sz w:val="13"/>
        </w:rPr>
        <w:t>4</w:t>
      </w:r>
    </w:p>
    <w:p>
      <w:pPr>
        <w:pStyle w:val="BodyText"/>
        <w:spacing w:before="1"/>
        <w:rPr>
          <w:sz w:val="26"/>
        </w:rPr>
      </w:pPr>
    </w:p>
    <w:p>
      <w:pPr>
        <w:pStyle w:val="BodyText"/>
        <w:spacing w:line="285" w:lineRule="auto"/>
        <w:ind w:left="110" w:right="107"/>
        <w:jc w:val="both"/>
      </w:pPr>
      <w:r>
        <w:rPr>
          <w:color w:val="231F20"/>
          <w:w w:val="105"/>
        </w:rPr>
        <w:t>De</w:t>
      </w:r>
      <w:r>
        <w:rPr>
          <w:color w:val="231F20"/>
          <w:spacing w:val="-20"/>
          <w:w w:val="105"/>
        </w:rPr>
        <w:t> </w:t>
      </w:r>
      <w:r>
        <w:rPr>
          <w:color w:val="231F20"/>
          <w:w w:val="105"/>
        </w:rPr>
        <w:t>acuerdo</w:t>
      </w:r>
      <w:r>
        <w:rPr>
          <w:color w:val="231F20"/>
          <w:spacing w:val="-20"/>
          <w:w w:val="105"/>
        </w:rPr>
        <w:t> </w:t>
      </w:r>
      <w:r>
        <w:rPr>
          <w:color w:val="231F20"/>
          <w:w w:val="105"/>
        </w:rPr>
        <w:t>con</w:t>
      </w:r>
      <w:r>
        <w:rPr>
          <w:color w:val="231F20"/>
          <w:spacing w:val="-20"/>
          <w:w w:val="105"/>
        </w:rPr>
        <w:t> </w:t>
      </w:r>
      <w:r>
        <w:rPr>
          <w:color w:val="231F20"/>
          <w:w w:val="105"/>
        </w:rPr>
        <w:t>esta</w:t>
      </w:r>
      <w:r>
        <w:rPr>
          <w:color w:val="231F20"/>
          <w:spacing w:val="-20"/>
          <w:w w:val="105"/>
        </w:rPr>
        <w:t> </w:t>
      </w:r>
      <w:r>
        <w:rPr>
          <w:color w:val="231F20"/>
          <w:w w:val="105"/>
        </w:rPr>
        <w:t>versión,</w:t>
      </w:r>
      <w:r>
        <w:rPr>
          <w:color w:val="231F20"/>
          <w:spacing w:val="-20"/>
          <w:w w:val="105"/>
        </w:rPr>
        <w:t> </w:t>
      </w:r>
      <w:r>
        <w:rPr>
          <w:color w:val="231F20"/>
          <w:w w:val="105"/>
        </w:rPr>
        <w:t>a</w:t>
      </w:r>
      <w:r>
        <w:rPr>
          <w:color w:val="231F20"/>
          <w:spacing w:val="-20"/>
          <w:w w:val="105"/>
        </w:rPr>
        <w:t> </w:t>
      </w:r>
      <w:r>
        <w:rPr>
          <w:color w:val="231F20"/>
          <w:w w:val="105"/>
        </w:rPr>
        <w:t>cambio</w:t>
      </w:r>
      <w:r>
        <w:rPr>
          <w:color w:val="231F20"/>
          <w:spacing w:val="-20"/>
          <w:w w:val="105"/>
        </w:rPr>
        <w:t> </w:t>
      </w:r>
      <w:r>
        <w:rPr>
          <w:color w:val="231F20"/>
          <w:w w:val="105"/>
        </w:rPr>
        <w:t>del</w:t>
      </w:r>
      <w:r>
        <w:rPr>
          <w:color w:val="231F20"/>
          <w:spacing w:val="-20"/>
          <w:w w:val="105"/>
        </w:rPr>
        <w:t> </w:t>
      </w:r>
      <w:r>
        <w:rPr>
          <w:color w:val="231F20"/>
          <w:w w:val="105"/>
        </w:rPr>
        <w:t>apoyo</w:t>
      </w:r>
      <w:r>
        <w:rPr>
          <w:color w:val="231F20"/>
          <w:spacing w:val="-20"/>
          <w:w w:val="105"/>
        </w:rPr>
        <w:t> </w:t>
      </w:r>
      <w:r>
        <w:rPr>
          <w:color w:val="231F20"/>
          <w:w w:val="105"/>
        </w:rPr>
        <w:t>de</w:t>
      </w:r>
      <w:r>
        <w:rPr>
          <w:color w:val="231F20"/>
          <w:spacing w:val="-20"/>
          <w:w w:val="105"/>
        </w:rPr>
        <w:t> </w:t>
      </w:r>
      <w:r>
        <w:rPr>
          <w:color w:val="231F20"/>
          <w:w w:val="105"/>
        </w:rPr>
        <w:t>sus</w:t>
      </w:r>
      <w:r>
        <w:rPr>
          <w:color w:val="231F20"/>
          <w:spacing w:val="-20"/>
          <w:w w:val="105"/>
        </w:rPr>
        <w:t> </w:t>
      </w:r>
      <w:r>
        <w:rPr>
          <w:color w:val="231F20"/>
          <w:w w:val="105"/>
        </w:rPr>
        <w:t>bases,</w:t>
      </w:r>
      <w:r>
        <w:rPr>
          <w:color w:val="231F20"/>
          <w:spacing w:val="-20"/>
          <w:w w:val="105"/>
        </w:rPr>
        <w:t> </w:t>
      </w:r>
      <w:r>
        <w:rPr>
          <w:color w:val="231F20"/>
          <w:w w:val="105"/>
        </w:rPr>
        <w:t>Guadalupe</w:t>
      </w:r>
      <w:r>
        <w:rPr>
          <w:color w:val="231F20"/>
          <w:spacing w:val="-20"/>
          <w:w w:val="105"/>
        </w:rPr>
        <w:t> </w:t>
      </w:r>
      <w:r>
        <w:rPr>
          <w:color w:val="231F20"/>
          <w:w w:val="105"/>
        </w:rPr>
        <w:t>Buendía</w:t>
      </w:r>
      <w:r>
        <w:rPr>
          <w:color w:val="231F20"/>
          <w:spacing w:val="-20"/>
          <w:w w:val="105"/>
        </w:rPr>
        <w:t> </w:t>
      </w:r>
      <w:r>
        <w:rPr>
          <w:color w:val="231F20"/>
          <w:w w:val="105"/>
        </w:rPr>
        <w:t>pidió </w:t>
      </w:r>
      <w:r>
        <w:rPr>
          <w:color w:val="231F20"/>
          <w:spacing w:val="2"/>
          <w:w w:val="105"/>
        </w:rPr>
        <w:t>al</w:t>
      </w:r>
      <w:r>
        <w:rPr>
          <w:color w:val="231F20"/>
          <w:spacing w:val="-25"/>
          <w:w w:val="105"/>
        </w:rPr>
        <w:t> </w:t>
      </w:r>
      <w:r>
        <w:rPr>
          <w:color w:val="231F20"/>
          <w:w w:val="105"/>
        </w:rPr>
        <w:t>PRD</w:t>
      </w:r>
      <w:r>
        <w:rPr>
          <w:color w:val="231F20"/>
          <w:spacing w:val="-25"/>
          <w:w w:val="105"/>
        </w:rPr>
        <w:t> </w:t>
      </w:r>
      <w:r>
        <w:rPr>
          <w:color w:val="231F20"/>
          <w:w w:val="105"/>
        </w:rPr>
        <w:t>la</w:t>
      </w:r>
      <w:r>
        <w:rPr>
          <w:color w:val="231F20"/>
          <w:spacing w:val="-25"/>
          <w:w w:val="105"/>
        </w:rPr>
        <w:t> </w:t>
      </w:r>
      <w:r>
        <w:rPr>
          <w:color w:val="231F20"/>
          <w:w w:val="105"/>
        </w:rPr>
        <w:t>secretaría</w:t>
      </w:r>
      <w:r>
        <w:rPr>
          <w:color w:val="231F20"/>
          <w:spacing w:val="-25"/>
          <w:w w:val="105"/>
        </w:rPr>
        <w:t> </w:t>
      </w:r>
      <w:r>
        <w:rPr>
          <w:color w:val="231F20"/>
          <w:w w:val="105"/>
        </w:rPr>
        <w:t>del</w:t>
      </w:r>
      <w:r>
        <w:rPr>
          <w:color w:val="231F20"/>
          <w:spacing w:val="-25"/>
          <w:w w:val="105"/>
        </w:rPr>
        <w:t> </w:t>
      </w:r>
      <w:r>
        <w:rPr>
          <w:color w:val="231F20"/>
          <w:w w:val="105"/>
        </w:rPr>
        <w:t>Ayuntamiento,</w:t>
      </w:r>
      <w:r>
        <w:rPr>
          <w:color w:val="231F20"/>
          <w:spacing w:val="-25"/>
          <w:w w:val="105"/>
        </w:rPr>
        <w:t> </w:t>
      </w:r>
      <w:r>
        <w:rPr>
          <w:color w:val="231F20"/>
          <w:w w:val="105"/>
        </w:rPr>
        <w:t>la</w:t>
      </w:r>
      <w:r>
        <w:rPr>
          <w:color w:val="231F20"/>
          <w:spacing w:val="-25"/>
          <w:w w:val="105"/>
        </w:rPr>
        <w:t> </w:t>
      </w:r>
      <w:r>
        <w:rPr>
          <w:color w:val="231F20"/>
          <w:spacing w:val="-3"/>
          <w:w w:val="105"/>
        </w:rPr>
        <w:t>Tesorería</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spacing w:val="-4"/>
          <w:w w:val="105"/>
        </w:rPr>
        <w:t>ODAPAS,</w:t>
      </w:r>
      <w:r>
        <w:rPr>
          <w:color w:val="231F20"/>
          <w:spacing w:val="-25"/>
          <w:w w:val="105"/>
        </w:rPr>
        <w:t> </w:t>
      </w:r>
      <w:r>
        <w:rPr>
          <w:color w:val="231F20"/>
          <w:w w:val="105"/>
        </w:rPr>
        <w:t>organismo</w:t>
      </w:r>
      <w:r>
        <w:rPr>
          <w:color w:val="231F20"/>
          <w:spacing w:val="-25"/>
          <w:w w:val="105"/>
        </w:rPr>
        <w:t> </w:t>
      </w:r>
      <w:r>
        <w:rPr>
          <w:color w:val="231F20"/>
          <w:w w:val="105"/>
        </w:rPr>
        <w:t>encargado del</w:t>
      </w:r>
      <w:r>
        <w:rPr>
          <w:color w:val="231F20"/>
          <w:spacing w:val="-24"/>
          <w:w w:val="105"/>
        </w:rPr>
        <w:t> </w:t>
      </w:r>
      <w:r>
        <w:rPr>
          <w:color w:val="231F20"/>
          <w:w w:val="105"/>
        </w:rPr>
        <w:t>servicio</w:t>
      </w:r>
      <w:r>
        <w:rPr>
          <w:color w:val="231F20"/>
          <w:spacing w:val="-24"/>
          <w:w w:val="105"/>
        </w:rPr>
        <w:t> </w:t>
      </w:r>
      <w:r>
        <w:rPr>
          <w:color w:val="231F20"/>
          <w:w w:val="105"/>
        </w:rPr>
        <w:t>de</w:t>
      </w:r>
      <w:r>
        <w:rPr>
          <w:color w:val="231F20"/>
          <w:spacing w:val="-24"/>
          <w:w w:val="105"/>
        </w:rPr>
        <w:t> </w:t>
      </w:r>
      <w:r>
        <w:rPr>
          <w:color w:val="231F20"/>
          <w:w w:val="105"/>
        </w:rPr>
        <w:t>agua.</w:t>
      </w:r>
    </w:p>
    <w:p>
      <w:pPr>
        <w:pStyle w:val="BodyText"/>
        <w:spacing w:before="1"/>
        <w:rPr>
          <w:sz w:val="26"/>
        </w:rPr>
      </w:pPr>
    </w:p>
    <w:p>
      <w:pPr>
        <w:pStyle w:val="BodyText"/>
        <w:spacing w:line="285" w:lineRule="auto"/>
        <w:ind w:left="110" w:right="108"/>
        <w:jc w:val="both"/>
      </w:pPr>
      <w:r>
        <w:rPr>
          <w:color w:val="231F20"/>
          <w:spacing w:val="-3"/>
          <w:w w:val="105"/>
        </w:rPr>
        <w:t>Por</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toca</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participación</w:t>
      </w:r>
      <w:r>
        <w:rPr>
          <w:color w:val="231F20"/>
          <w:spacing w:val="-6"/>
          <w:w w:val="105"/>
        </w:rPr>
        <w:t> </w:t>
      </w:r>
      <w:r>
        <w:rPr>
          <w:color w:val="231F20"/>
          <w:w w:val="105"/>
        </w:rPr>
        <w:t>de</w:t>
      </w:r>
      <w:r>
        <w:rPr>
          <w:color w:val="231F20"/>
          <w:spacing w:val="-6"/>
          <w:w w:val="105"/>
        </w:rPr>
        <w:t> </w:t>
      </w:r>
      <w:r>
        <w:rPr>
          <w:color w:val="231F20"/>
          <w:w w:val="105"/>
        </w:rPr>
        <w:t>otros</w:t>
      </w:r>
      <w:r>
        <w:rPr>
          <w:color w:val="231F20"/>
          <w:spacing w:val="-6"/>
          <w:w w:val="105"/>
        </w:rPr>
        <w:t> </w:t>
      </w:r>
      <w:r>
        <w:rPr>
          <w:color w:val="231F20"/>
          <w:w w:val="105"/>
        </w:rPr>
        <w:t>partidos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ejercicio</w:t>
      </w:r>
      <w:r>
        <w:rPr>
          <w:color w:val="231F20"/>
          <w:spacing w:val="-6"/>
          <w:w w:val="105"/>
        </w:rPr>
        <w:t> </w:t>
      </w:r>
      <w:r>
        <w:rPr>
          <w:color w:val="231F20"/>
          <w:w w:val="105"/>
        </w:rPr>
        <w:t>del</w:t>
      </w:r>
      <w:r>
        <w:rPr>
          <w:color w:val="231F20"/>
          <w:spacing w:val="-6"/>
          <w:w w:val="105"/>
        </w:rPr>
        <w:t> </w:t>
      </w:r>
      <w:r>
        <w:rPr>
          <w:color w:val="231F20"/>
          <w:w w:val="105"/>
        </w:rPr>
        <w:t>poder</w:t>
      </w:r>
      <w:r>
        <w:rPr>
          <w:color w:val="231F20"/>
          <w:spacing w:val="-6"/>
          <w:w w:val="105"/>
        </w:rPr>
        <w:t> </w:t>
      </w:r>
      <w:r>
        <w:rPr>
          <w:color w:val="231F20"/>
          <w:w w:val="105"/>
        </w:rPr>
        <w:t>en</w:t>
      </w:r>
      <w:r>
        <w:rPr>
          <w:color w:val="231F20"/>
          <w:spacing w:val="-6"/>
          <w:w w:val="105"/>
        </w:rPr>
        <w:t> </w:t>
      </w:r>
      <w:r>
        <w:rPr>
          <w:color w:val="231F20"/>
          <w:w w:val="105"/>
        </w:rPr>
        <w:t>Chimal- huacán se supedita a las posiciones que logran mediante el sistema de representación proporcional,</w:t>
      </w:r>
      <w:r>
        <w:rPr>
          <w:color w:val="231F20"/>
          <w:spacing w:val="-18"/>
          <w:w w:val="105"/>
        </w:rPr>
        <w:t> </w:t>
      </w:r>
      <w:r>
        <w:rPr>
          <w:color w:val="231F20"/>
          <w:w w:val="105"/>
        </w:rPr>
        <w:t>a</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suma</w:t>
      </w:r>
      <w:r>
        <w:rPr>
          <w:color w:val="231F20"/>
          <w:spacing w:val="-18"/>
          <w:w w:val="105"/>
        </w:rPr>
        <w:t> </w:t>
      </w:r>
      <w:r>
        <w:rPr>
          <w:color w:val="231F20"/>
          <w:w w:val="105"/>
        </w:rPr>
        <w:t>la</w:t>
      </w:r>
      <w:r>
        <w:rPr>
          <w:color w:val="231F20"/>
          <w:spacing w:val="-18"/>
          <w:w w:val="105"/>
        </w:rPr>
        <w:t> </w:t>
      </w:r>
      <w:r>
        <w:rPr>
          <w:color w:val="231F20"/>
          <w:w w:val="105"/>
        </w:rPr>
        <w:t>relación</w:t>
      </w:r>
      <w:r>
        <w:rPr>
          <w:color w:val="231F20"/>
          <w:spacing w:val="-18"/>
          <w:w w:val="105"/>
        </w:rPr>
        <w:t> </w:t>
      </w:r>
      <w:r>
        <w:rPr>
          <w:color w:val="231F20"/>
          <w:w w:val="105"/>
        </w:rPr>
        <w:t>establecida</w:t>
      </w:r>
      <w:r>
        <w:rPr>
          <w:color w:val="231F20"/>
          <w:spacing w:val="-18"/>
          <w:w w:val="105"/>
        </w:rPr>
        <w:t> </w:t>
      </w:r>
      <w:r>
        <w:rPr>
          <w:color w:val="231F20"/>
          <w:w w:val="105"/>
        </w:rPr>
        <w:t>con</w:t>
      </w:r>
      <w:r>
        <w:rPr>
          <w:color w:val="231F20"/>
          <w:spacing w:val="-18"/>
          <w:w w:val="105"/>
        </w:rPr>
        <w:t> </w:t>
      </w:r>
      <w:r>
        <w:rPr>
          <w:color w:val="231F20"/>
          <w:w w:val="105"/>
        </w:rPr>
        <w:t>los</w:t>
      </w:r>
      <w:r>
        <w:rPr>
          <w:color w:val="231F20"/>
          <w:spacing w:val="-18"/>
          <w:w w:val="105"/>
        </w:rPr>
        <w:t> </w:t>
      </w:r>
      <w:r>
        <w:rPr>
          <w:color w:val="231F20"/>
          <w:w w:val="105"/>
        </w:rPr>
        <w:t>caciques.</w:t>
      </w:r>
    </w:p>
    <w:p>
      <w:pPr>
        <w:pStyle w:val="BodyText"/>
        <w:spacing w:before="1"/>
        <w:rPr>
          <w:sz w:val="26"/>
        </w:rPr>
      </w:pPr>
    </w:p>
    <w:p>
      <w:pPr>
        <w:pStyle w:val="BodyText"/>
        <w:spacing w:line="285" w:lineRule="auto"/>
        <w:ind w:left="110" w:right="107"/>
        <w:jc w:val="both"/>
      </w:pPr>
      <w:r>
        <w:rPr>
          <w:color w:val="231F20"/>
          <w:w w:val="105"/>
        </w:rPr>
        <w:t>El PRD no ganó la elección, por lo que “La Loba” tuvo conflictos constantes con el presidente</w:t>
      </w:r>
      <w:r>
        <w:rPr>
          <w:color w:val="231F20"/>
          <w:spacing w:val="-12"/>
          <w:w w:val="105"/>
        </w:rPr>
        <w:t> </w:t>
      </w:r>
      <w:r>
        <w:rPr>
          <w:color w:val="231F20"/>
          <w:w w:val="105"/>
        </w:rPr>
        <w:t>municipal</w:t>
      </w:r>
      <w:r>
        <w:rPr>
          <w:color w:val="231F20"/>
          <w:spacing w:val="-12"/>
          <w:w w:val="105"/>
        </w:rPr>
        <w:t> </w:t>
      </w:r>
      <w:r>
        <w:rPr>
          <w:color w:val="231F20"/>
          <w:w w:val="105"/>
        </w:rPr>
        <w:t>Román</w:t>
      </w:r>
      <w:r>
        <w:rPr>
          <w:color w:val="231F20"/>
          <w:spacing w:val="-12"/>
          <w:w w:val="105"/>
        </w:rPr>
        <w:t> </w:t>
      </w:r>
      <w:r>
        <w:rPr>
          <w:color w:val="231F20"/>
          <w:w w:val="105"/>
        </w:rPr>
        <w:t>Bojórquez.</w:t>
      </w:r>
      <w:r>
        <w:rPr>
          <w:color w:val="231F20"/>
          <w:spacing w:val="-12"/>
          <w:w w:val="105"/>
        </w:rPr>
        <w:t> </w:t>
      </w:r>
      <w:r>
        <w:rPr>
          <w:color w:val="231F20"/>
          <w:w w:val="105"/>
        </w:rPr>
        <w:t>A</w:t>
      </w:r>
      <w:r>
        <w:rPr>
          <w:color w:val="231F20"/>
          <w:spacing w:val="-12"/>
          <w:w w:val="105"/>
        </w:rPr>
        <w:t> </w:t>
      </w:r>
      <w:r>
        <w:rPr>
          <w:color w:val="231F20"/>
          <w:spacing w:val="2"/>
          <w:w w:val="105"/>
        </w:rPr>
        <w:t>tal</w:t>
      </w:r>
      <w:r>
        <w:rPr>
          <w:color w:val="231F20"/>
          <w:spacing w:val="-12"/>
          <w:w w:val="105"/>
        </w:rPr>
        <w:t> </w:t>
      </w:r>
      <w:r>
        <w:rPr>
          <w:color w:val="231F20"/>
          <w:w w:val="105"/>
        </w:rPr>
        <w:t>grado</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spacing w:val="-4"/>
          <w:w w:val="105"/>
        </w:rPr>
        <w:t>PAN</w:t>
      </w:r>
      <w:r>
        <w:rPr>
          <w:color w:val="231F20"/>
          <w:spacing w:val="-12"/>
          <w:w w:val="105"/>
        </w:rPr>
        <w:t> </w:t>
      </w:r>
      <w:r>
        <w:rPr>
          <w:color w:val="231F20"/>
          <w:w w:val="105"/>
        </w:rPr>
        <w:t>llegó</w:t>
      </w:r>
      <w:r>
        <w:rPr>
          <w:color w:val="231F20"/>
          <w:spacing w:val="-12"/>
          <w:w w:val="105"/>
        </w:rPr>
        <w:t> </w:t>
      </w:r>
      <w:r>
        <w:rPr>
          <w:color w:val="231F20"/>
          <w:w w:val="105"/>
        </w:rPr>
        <w:t>a</w:t>
      </w:r>
      <w:r>
        <w:rPr>
          <w:color w:val="231F20"/>
          <w:spacing w:val="-12"/>
          <w:w w:val="105"/>
        </w:rPr>
        <w:t> </w:t>
      </w:r>
      <w:r>
        <w:rPr>
          <w:color w:val="231F20"/>
          <w:spacing w:val="-3"/>
          <w:w w:val="105"/>
        </w:rPr>
        <w:t>proponerle</w:t>
      </w:r>
      <w:r>
        <w:rPr>
          <w:color w:val="231F20"/>
          <w:spacing w:val="-12"/>
          <w:w w:val="105"/>
        </w:rPr>
        <w:t> </w:t>
      </w:r>
      <w:r>
        <w:rPr>
          <w:color w:val="231F20"/>
          <w:w w:val="105"/>
        </w:rPr>
        <w:t>una </w:t>
      </w:r>
      <w:r>
        <w:rPr>
          <w:color w:val="231F20"/>
          <w:spacing w:val="2"/>
          <w:w w:val="105"/>
        </w:rPr>
        <w:t>alianza</w:t>
      </w:r>
      <w:r>
        <w:rPr>
          <w:color w:val="231F20"/>
          <w:spacing w:val="-11"/>
          <w:w w:val="105"/>
        </w:rPr>
        <w:t> </w:t>
      </w:r>
      <w:r>
        <w:rPr>
          <w:color w:val="231F20"/>
          <w:w w:val="105"/>
        </w:rPr>
        <w:t>a</w:t>
      </w:r>
      <w:r>
        <w:rPr>
          <w:color w:val="231F20"/>
          <w:spacing w:val="-11"/>
          <w:w w:val="105"/>
        </w:rPr>
        <w:t> </w:t>
      </w:r>
      <w:r>
        <w:rPr>
          <w:color w:val="231F20"/>
          <w:w w:val="105"/>
        </w:rPr>
        <w:t>Buendía</w:t>
      </w:r>
      <w:r>
        <w:rPr>
          <w:color w:val="231F20"/>
          <w:spacing w:val="-11"/>
          <w:w w:val="105"/>
        </w:rPr>
        <w:t> </w:t>
      </w:r>
      <w:r>
        <w:rPr>
          <w:color w:val="231F20"/>
          <w:w w:val="105"/>
        </w:rPr>
        <w:t>para</w:t>
      </w:r>
      <w:r>
        <w:rPr>
          <w:color w:val="231F20"/>
          <w:spacing w:val="-11"/>
          <w:w w:val="105"/>
        </w:rPr>
        <w:t> </w:t>
      </w:r>
      <w:r>
        <w:rPr>
          <w:color w:val="231F20"/>
          <w:w w:val="105"/>
        </w:rPr>
        <w:t>impedir</w:t>
      </w:r>
      <w:r>
        <w:rPr>
          <w:color w:val="231F20"/>
          <w:spacing w:val="-11"/>
          <w:w w:val="105"/>
        </w:rPr>
        <w:t> </w:t>
      </w:r>
      <w:r>
        <w:rPr>
          <w:color w:val="231F20"/>
          <w:w w:val="105"/>
        </w:rPr>
        <w:t>el</w:t>
      </w:r>
      <w:r>
        <w:rPr>
          <w:color w:val="231F20"/>
          <w:spacing w:val="-11"/>
          <w:w w:val="105"/>
        </w:rPr>
        <w:t> </w:t>
      </w:r>
      <w:r>
        <w:rPr>
          <w:color w:val="231F20"/>
          <w:w w:val="105"/>
        </w:rPr>
        <w:t>dominio</w:t>
      </w:r>
      <w:r>
        <w:rPr>
          <w:color w:val="231F20"/>
          <w:spacing w:val="-11"/>
          <w:w w:val="105"/>
        </w:rPr>
        <w:t> </w:t>
      </w:r>
      <w:r>
        <w:rPr>
          <w:color w:val="231F20"/>
          <w:w w:val="105"/>
        </w:rPr>
        <w:t>de</w:t>
      </w:r>
      <w:r>
        <w:rPr>
          <w:color w:val="231F20"/>
          <w:spacing w:val="-11"/>
          <w:w w:val="105"/>
        </w:rPr>
        <w:t> </w:t>
      </w:r>
      <w:r>
        <w:rPr>
          <w:color w:val="231F20"/>
          <w:w w:val="105"/>
        </w:rPr>
        <w:t>Antorcha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ayuntamiento.</w:t>
      </w:r>
      <w:r>
        <w:rPr>
          <w:color w:val="231F20"/>
          <w:spacing w:val="-11"/>
          <w:w w:val="105"/>
        </w:rPr>
        <w:t> </w:t>
      </w:r>
      <w:r>
        <w:rPr>
          <w:color w:val="231F20"/>
          <w:w w:val="105"/>
        </w:rPr>
        <w:t>A</w:t>
      </w:r>
      <w:r>
        <w:rPr>
          <w:color w:val="231F20"/>
          <w:spacing w:val="-11"/>
          <w:w w:val="105"/>
        </w:rPr>
        <w:t> </w:t>
      </w:r>
      <w:r>
        <w:rPr>
          <w:color w:val="231F20"/>
          <w:w w:val="105"/>
        </w:rPr>
        <w:t>pesar</w:t>
      </w:r>
      <w:r>
        <w:rPr>
          <w:color w:val="231F20"/>
          <w:spacing w:val="-11"/>
          <w:w w:val="105"/>
        </w:rPr>
        <w:t> </w:t>
      </w:r>
      <w:r>
        <w:rPr>
          <w:color w:val="231F20"/>
          <w:w w:val="105"/>
        </w:rPr>
        <w:t>de su</w:t>
      </w:r>
      <w:r>
        <w:rPr>
          <w:color w:val="231F20"/>
          <w:spacing w:val="-11"/>
          <w:w w:val="105"/>
        </w:rPr>
        <w:t> </w:t>
      </w:r>
      <w:r>
        <w:rPr>
          <w:color w:val="231F20"/>
          <w:w w:val="105"/>
        </w:rPr>
        <w:t>aceptación,</w:t>
      </w:r>
      <w:r>
        <w:rPr>
          <w:color w:val="231F20"/>
          <w:spacing w:val="-11"/>
          <w:w w:val="105"/>
        </w:rPr>
        <w:t> </w:t>
      </w:r>
      <w:r>
        <w:rPr>
          <w:color w:val="231F20"/>
          <w:spacing w:val="2"/>
          <w:w w:val="105"/>
        </w:rPr>
        <w:t>al</w:t>
      </w:r>
      <w:r>
        <w:rPr>
          <w:color w:val="231F20"/>
          <w:spacing w:val="-11"/>
          <w:w w:val="105"/>
        </w:rPr>
        <w:t> </w:t>
      </w:r>
      <w:r>
        <w:rPr>
          <w:color w:val="231F20"/>
          <w:spacing w:val="2"/>
          <w:w w:val="105"/>
        </w:rPr>
        <w:t>final</w:t>
      </w:r>
      <w:r>
        <w:rPr>
          <w:color w:val="231F20"/>
          <w:spacing w:val="-11"/>
          <w:w w:val="105"/>
        </w:rPr>
        <w:t> </w:t>
      </w:r>
      <w:r>
        <w:rPr>
          <w:color w:val="231F20"/>
          <w:w w:val="105"/>
        </w:rPr>
        <w:t>los</w:t>
      </w:r>
      <w:r>
        <w:rPr>
          <w:color w:val="231F20"/>
          <w:spacing w:val="-11"/>
          <w:w w:val="105"/>
        </w:rPr>
        <w:t> </w:t>
      </w:r>
      <w:r>
        <w:rPr>
          <w:color w:val="231F20"/>
          <w:w w:val="105"/>
        </w:rPr>
        <w:t>panistas</w:t>
      </w:r>
      <w:r>
        <w:rPr>
          <w:color w:val="231F20"/>
          <w:spacing w:val="-11"/>
          <w:w w:val="105"/>
        </w:rPr>
        <w:t> </w:t>
      </w:r>
      <w:r>
        <w:rPr>
          <w:color w:val="231F20"/>
          <w:w w:val="105"/>
        </w:rPr>
        <w:t>se</w:t>
      </w:r>
      <w:r>
        <w:rPr>
          <w:color w:val="231F20"/>
          <w:spacing w:val="-11"/>
          <w:w w:val="105"/>
        </w:rPr>
        <w:t> </w:t>
      </w:r>
      <w:r>
        <w:rPr>
          <w:color w:val="231F20"/>
          <w:w w:val="105"/>
        </w:rPr>
        <w:t>echaron</w:t>
      </w:r>
      <w:r>
        <w:rPr>
          <w:color w:val="231F20"/>
          <w:spacing w:val="-11"/>
          <w:w w:val="105"/>
        </w:rPr>
        <w:t> </w:t>
      </w:r>
      <w:r>
        <w:rPr>
          <w:color w:val="231F20"/>
          <w:w w:val="105"/>
        </w:rPr>
        <w:t>para</w:t>
      </w:r>
      <w:r>
        <w:rPr>
          <w:color w:val="231F20"/>
          <w:spacing w:val="-11"/>
          <w:w w:val="105"/>
        </w:rPr>
        <w:t> </w:t>
      </w:r>
      <w:r>
        <w:rPr>
          <w:color w:val="231F20"/>
          <w:w w:val="105"/>
        </w:rPr>
        <w:t>atrás.</w:t>
      </w:r>
    </w:p>
    <w:p>
      <w:pPr>
        <w:pStyle w:val="BodyText"/>
        <w:spacing w:before="1"/>
        <w:rPr>
          <w:sz w:val="26"/>
        </w:rPr>
      </w:pPr>
    </w:p>
    <w:p>
      <w:pPr>
        <w:pStyle w:val="BodyText"/>
        <w:spacing w:line="285" w:lineRule="auto"/>
        <w:ind w:left="110" w:right="107"/>
        <w:jc w:val="both"/>
        <w:rPr>
          <w:sz w:val="13"/>
        </w:rPr>
      </w:pPr>
      <w:r>
        <w:rPr/>
        <w:pict>
          <v:line style="position:absolute;mso-position-horizontal-relative:page;mso-position-vertical-relative:paragraph;z-index:9496;mso-wrap-distance-left:0;mso-wrap-distance-right:0" from="42.519699pt,125.25032pt" to="114.519699pt,125.25032pt" stroked="true" strokeweight="1pt" strokecolor="#231f20">
            <w10:wrap type="topAndBottom"/>
          </v:line>
        </w:pict>
      </w:r>
      <w:r>
        <w:rPr>
          <w:color w:val="231F20"/>
          <w:w w:val="105"/>
        </w:rPr>
        <w:t>La</w:t>
      </w:r>
      <w:r>
        <w:rPr>
          <w:color w:val="231F20"/>
          <w:spacing w:val="-18"/>
          <w:w w:val="105"/>
        </w:rPr>
        <w:t> </w:t>
      </w:r>
      <w:r>
        <w:rPr>
          <w:color w:val="231F20"/>
          <w:w w:val="105"/>
        </w:rPr>
        <w:t>propuesta,</w:t>
      </w:r>
      <w:r>
        <w:rPr>
          <w:color w:val="231F20"/>
          <w:spacing w:val="-18"/>
          <w:w w:val="105"/>
        </w:rPr>
        <w:t> </w:t>
      </w:r>
      <w:r>
        <w:rPr>
          <w:color w:val="231F20"/>
          <w:w w:val="105"/>
        </w:rPr>
        <w:t>cuentan</w:t>
      </w:r>
      <w:r>
        <w:rPr>
          <w:color w:val="231F20"/>
          <w:spacing w:val="-18"/>
          <w:w w:val="105"/>
        </w:rPr>
        <w:t> </w:t>
      </w:r>
      <w:r>
        <w:rPr>
          <w:color w:val="231F20"/>
          <w:w w:val="105"/>
        </w:rPr>
        <w:t>la</w:t>
      </w:r>
      <w:r>
        <w:rPr>
          <w:color w:val="231F20"/>
          <w:spacing w:val="-18"/>
          <w:w w:val="105"/>
        </w:rPr>
        <w:t> </w:t>
      </w:r>
      <w:r>
        <w:rPr>
          <w:color w:val="231F20"/>
          <w:w w:val="105"/>
        </w:rPr>
        <w:t>regidora</w:t>
      </w:r>
      <w:r>
        <w:rPr>
          <w:color w:val="231F20"/>
          <w:spacing w:val="-18"/>
          <w:w w:val="105"/>
        </w:rPr>
        <w:t> </w:t>
      </w:r>
      <w:r>
        <w:rPr>
          <w:color w:val="231F20"/>
          <w:w w:val="105"/>
        </w:rPr>
        <w:t>perredista</w:t>
      </w:r>
      <w:r>
        <w:rPr>
          <w:color w:val="231F20"/>
          <w:spacing w:val="-18"/>
          <w:w w:val="105"/>
        </w:rPr>
        <w:t> </w:t>
      </w:r>
      <w:r>
        <w:rPr>
          <w:color w:val="231F20"/>
          <w:w w:val="105"/>
        </w:rPr>
        <w:t>Maricela</w:t>
      </w:r>
      <w:r>
        <w:rPr>
          <w:color w:val="231F20"/>
          <w:spacing w:val="-18"/>
          <w:w w:val="105"/>
        </w:rPr>
        <w:t> </w:t>
      </w:r>
      <w:r>
        <w:rPr>
          <w:color w:val="231F20"/>
          <w:w w:val="105"/>
        </w:rPr>
        <w:t>Matus</w:t>
      </w:r>
      <w:r>
        <w:rPr>
          <w:color w:val="231F20"/>
          <w:spacing w:val="-18"/>
          <w:w w:val="105"/>
        </w:rPr>
        <w:t> </w:t>
      </w:r>
      <w:r>
        <w:rPr>
          <w:color w:val="231F20"/>
          <w:w w:val="105"/>
        </w:rPr>
        <w:t>y</w:t>
      </w:r>
      <w:r>
        <w:rPr>
          <w:color w:val="231F20"/>
          <w:spacing w:val="-18"/>
          <w:w w:val="105"/>
        </w:rPr>
        <w:t> </w:t>
      </w:r>
      <w:r>
        <w:rPr>
          <w:color w:val="231F20"/>
          <w:w w:val="105"/>
        </w:rPr>
        <w:t>su</w:t>
      </w:r>
      <w:r>
        <w:rPr>
          <w:color w:val="231F20"/>
          <w:spacing w:val="-18"/>
          <w:w w:val="105"/>
        </w:rPr>
        <w:t> </w:t>
      </w:r>
      <w:r>
        <w:rPr>
          <w:color w:val="231F20"/>
          <w:w w:val="105"/>
        </w:rPr>
        <w:t>suplente,</w:t>
      </w:r>
      <w:r>
        <w:rPr>
          <w:color w:val="231F20"/>
          <w:spacing w:val="-18"/>
          <w:w w:val="105"/>
        </w:rPr>
        <w:t> </w:t>
      </w:r>
      <w:r>
        <w:rPr>
          <w:color w:val="231F20"/>
          <w:w w:val="105"/>
        </w:rPr>
        <w:t>Ignacio</w:t>
      </w:r>
      <w:r>
        <w:rPr>
          <w:color w:val="231F20"/>
          <w:spacing w:val="-18"/>
          <w:w w:val="105"/>
        </w:rPr>
        <w:t> </w:t>
      </w:r>
      <w:r>
        <w:rPr>
          <w:color w:val="231F20"/>
          <w:spacing w:val="-3"/>
          <w:w w:val="105"/>
        </w:rPr>
        <w:t>Cór- </w:t>
      </w:r>
      <w:r>
        <w:rPr>
          <w:color w:val="231F20"/>
          <w:w w:val="105"/>
        </w:rPr>
        <w:t>doba, la hizo el entonces presidente del blanquiazul, Filiberto Hernández Cano, quien incluso</w:t>
      </w:r>
      <w:r>
        <w:rPr>
          <w:color w:val="231F20"/>
          <w:spacing w:val="-26"/>
          <w:w w:val="105"/>
        </w:rPr>
        <w:t> </w:t>
      </w:r>
      <w:r>
        <w:rPr>
          <w:color w:val="231F20"/>
          <w:w w:val="105"/>
        </w:rPr>
        <w:t>para</w:t>
      </w:r>
      <w:r>
        <w:rPr>
          <w:color w:val="231F20"/>
          <w:spacing w:val="-26"/>
          <w:w w:val="105"/>
        </w:rPr>
        <w:t> </w:t>
      </w:r>
      <w:r>
        <w:rPr>
          <w:color w:val="231F20"/>
          <w:w w:val="105"/>
        </w:rPr>
        <w:t>convencer</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cacique</w:t>
      </w:r>
      <w:r>
        <w:rPr>
          <w:color w:val="231F20"/>
          <w:spacing w:val="-26"/>
          <w:w w:val="105"/>
        </w:rPr>
        <w:t> </w:t>
      </w:r>
      <w:r>
        <w:rPr>
          <w:color w:val="231F20"/>
          <w:spacing w:val="2"/>
          <w:w w:val="105"/>
        </w:rPr>
        <w:t>“le</w:t>
      </w:r>
      <w:r>
        <w:rPr>
          <w:color w:val="231F20"/>
          <w:spacing w:val="-26"/>
          <w:w w:val="105"/>
        </w:rPr>
        <w:t> </w:t>
      </w:r>
      <w:r>
        <w:rPr>
          <w:color w:val="231F20"/>
          <w:w w:val="105"/>
        </w:rPr>
        <w:t>llevó</w:t>
      </w:r>
      <w:r>
        <w:rPr>
          <w:color w:val="231F20"/>
          <w:spacing w:val="-26"/>
          <w:w w:val="105"/>
        </w:rPr>
        <w:t> </w:t>
      </w:r>
      <w:r>
        <w:rPr>
          <w:color w:val="231F20"/>
          <w:w w:val="105"/>
        </w:rPr>
        <w:t>unas</w:t>
      </w:r>
      <w:r>
        <w:rPr>
          <w:color w:val="231F20"/>
          <w:spacing w:val="-26"/>
          <w:w w:val="105"/>
        </w:rPr>
        <w:t> </w:t>
      </w:r>
      <w:r>
        <w:rPr>
          <w:color w:val="231F20"/>
          <w:w w:val="105"/>
        </w:rPr>
        <w:t>flores</w:t>
      </w:r>
      <w:r>
        <w:rPr>
          <w:color w:val="231F20"/>
          <w:spacing w:val="-26"/>
          <w:w w:val="105"/>
        </w:rPr>
        <w:t> </w:t>
      </w:r>
      <w:r>
        <w:rPr>
          <w:color w:val="231F20"/>
          <w:w w:val="105"/>
        </w:rPr>
        <w:t>y</w:t>
      </w:r>
      <w:r>
        <w:rPr>
          <w:color w:val="231F20"/>
          <w:spacing w:val="-26"/>
          <w:w w:val="105"/>
        </w:rPr>
        <w:t> </w:t>
      </w:r>
      <w:r>
        <w:rPr>
          <w:color w:val="231F20"/>
          <w:w w:val="105"/>
        </w:rPr>
        <w:t>un</w:t>
      </w:r>
      <w:r>
        <w:rPr>
          <w:color w:val="231F20"/>
          <w:spacing w:val="-26"/>
          <w:w w:val="105"/>
        </w:rPr>
        <w:t> </w:t>
      </w:r>
      <w:r>
        <w:rPr>
          <w:color w:val="231F20"/>
          <w:w w:val="105"/>
        </w:rPr>
        <w:t>libro</w:t>
      </w:r>
      <w:r>
        <w:rPr>
          <w:color w:val="231F20"/>
          <w:spacing w:val="-26"/>
          <w:w w:val="105"/>
        </w:rPr>
        <w:t> </w:t>
      </w:r>
      <w:r>
        <w:rPr>
          <w:color w:val="231F20"/>
          <w:w w:val="105"/>
        </w:rPr>
        <w:t>autografiado</w:t>
      </w:r>
      <w:r>
        <w:rPr>
          <w:color w:val="231F20"/>
          <w:spacing w:val="-26"/>
          <w:w w:val="105"/>
        </w:rPr>
        <w:t> </w:t>
      </w:r>
      <w:r>
        <w:rPr>
          <w:color w:val="231F20"/>
          <w:w w:val="105"/>
        </w:rPr>
        <w:t>por</w:t>
      </w:r>
      <w:r>
        <w:rPr>
          <w:color w:val="231F20"/>
          <w:spacing w:val="-26"/>
          <w:w w:val="105"/>
        </w:rPr>
        <w:t> </w:t>
      </w:r>
      <w:r>
        <w:rPr>
          <w:color w:val="231F20"/>
          <w:spacing w:val="-6"/>
          <w:w w:val="105"/>
        </w:rPr>
        <w:t>Fox”. </w:t>
      </w:r>
      <w:r>
        <w:rPr>
          <w:color w:val="231F20"/>
          <w:w w:val="105"/>
        </w:rPr>
        <w:t>Guadalupe Buendía aceptó el trato, sobre todo porque </w:t>
      </w:r>
      <w:r>
        <w:rPr>
          <w:color w:val="231F20"/>
          <w:spacing w:val="-4"/>
          <w:w w:val="105"/>
        </w:rPr>
        <w:t>Tolentino </w:t>
      </w:r>
      <w:r>
        <w:rPr>
          <w:color w:val="231F20"/>
          <w:w w:val="105"/>
        </w:rPr>
        <w:t>Román ya le había advertido</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entregaría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de</w:t>
      </w:r>
      <w:r>
        <w:rPr>
          <w:color w:val="231F20"/>
          <w:spacing w:val="-11"/>
          <w:w w:val="105"/>
        </w:rPr>
        <w:t> </w:t>
      </w:r>
      <w:r>
        <w:rPr>
          <w:color w:val="231F20"/>
          <w:w w:val="105"/>
        </w:rPr>
        <w:t>Pueblos</w:t>
      </w:r>
      <w:r>
        <w:rPr>
          <w:color w:val="231F20"/>
          <w:spacing w:val="-11"/>
          <w:w w:val="105"/>
        </w:rPr>
        <w:t> </w:t>
      </w:r>
      <w:r>
        <w:rPr>
          <w:color w:val="231F20"/>
          <w:w w:val="105"/>
        </w:rPr>
        <w:t>y</w:t>
      </w:r>
      <w:r>
        <w:rPr>
          <w:color w:val="231F20"/>
          <w:spacing w:val="-11"/>
          <w:w w:val="105"/>
        </w:rPr>
        <w:t> </w:t>
      </w:r>
      <w:r>
        <w:rPr>
          <w:color w:val="231F20"/>
          <w:w w:val="105"/>
        </w:rPr>
        <w:t>Colonias</w:t>
      </w:r>
      <w:r>
        <w:rPr>
          <w:color w:val="231F20"/>
          <w:spacing w:val="-11"/>
          <w:w w:val="105"/>
        </w:rPr>
        <w:t> </w:t>
      </w:r>
      <w:r>
        <w:rPr>
          <w:color w:val="231F20"/>
          <w:w w:val="105"/>
        </w:rPr>
        <w:t>–el</w:t>
      </w:r>
      <w:r>
        <w:rPr>
          <w:color w:val="231F20"/>
          <w:spacing w:val="-11"/>
          <w:w w:val="105"/>
        </w:rPr>
        <w:t> </w:t>
      </w:r>
      <w:r>
        <w:rPr>
          <w:color w:val="231F20"/>
          <w:w w:val="105"/>
        </w:rPr>
        <w:t>grupo</w:t>
      </w:r>
      <w:r>
        <w:rPr>
          <w:color w:val="231F20"/>
          <w:spacing w:val="-11"/>
          <w:w w:val="105"/>
        </w:rPr>
        <w:t> </w:t>
      </w:r>
      <w:r>
        <w:rPr>
          <w:color w:val="231F20"/>
          <w:w w:val="105"/>
        </w:rPr>
        <w:t>político de La Loba– el control de la </w:t>
      </w:r>
      <w:r>
        <w:rPr>
          <w:color w:val="231F20"/>
          <w:spacing w:val="-3"/>
          <w:w w:val="105"/>
        </w:rPr>
        <w:t>Tesorería </w:t>
      </w:r>
      <w:r>
        <w:rPr>
          <w:color w:val="231F20"/>
          <w:w w:val="105"/>
        </w:rPr>
        <w:t>ni del servicio de agua potable… se efectuaron varios</w:t>
      </w:r>
      <w:r>
        <w:rPr>
          <w:color w:val="231F20"/>
          <w:spacing w:val="-14"/>
          <w:w w:val="105"/>
        </w:rPr>
        <w:t> </w:t>
      </w:r>
      <w:r>
        <w:rPr>
          <w:color w:val="231F20"/>
          <w:w w:val="105"/>
        </w:rPr>
        <w:t>encuentros</w:t>
      </w:r>
      <w:r>
        <w:rPr>
          <w:color w:val="231F20"/>
          <w:spacing w:val="-14"/>
          <w:w w:val="105"/>
        </w:rPr>
        <w:t> </w:t>
      </w:r>
      <w:r>
        <w:rPr>
          <w:color w:val="231F20"/>
          <w:w w:val="105"/>
        </w:rPr>
        <w:t>para</w:t>
      </w:r>
      <w:r>
        <w:rPr>
          <w:color w:val="231F20"/>
          <w:spacing w:val="-14"/>
          <w:w w:val="105"/>
        </w:rPr>
        <w:t> </w:t>
      </w:r>
      <w:r>
        <w:rPr>
          <w:color w:val="231F20"/>
          <w:spacing w:val="3"/>
          <w:w w:val="105"/>
        </w:rPr>
        <w:t>afinar</w:t>
      </w:r>
      <w:r>
        <w:rPr>
          <w:color w:val="231F20"/>
          <w:spacing w:val="-14"/>
          <w:w w:val="105"/>
        </w:rPr>
        <w:t> </w:t>
      </w:r>
      <w:r>
        <w:rPr>
          <w:color w:val="231F20"/>
          <w:w w:val="105"/>
        </w:rPr>
        <w:t>los</w:t>
      </w:r>
      <w:r>
        <w:rPr>
          <w:color w:val="231F20"/>
          <w:spacing w:val="-14"/>
          <w:w w:val="105"/>
        </w:rPr>
        <w:t> </w:t>
      </w:r>
      <w:r>
        <w:rPr>
          <w:color w:val="231F20"/>
          <w:w w:val="105"/>
        </w:rPr>
        <w:t>detalles,</w:t>
      </w:r>
      <w:r>
        <w:rPr>
          <w:color w:val="231F20"/>
          <w:spacing w:val="-14"/>
          <w:w w:val="105"/>
        </w:rPr>
        <w:t> </w:t>
      </w:r>
      <w:r>
        <w:rPr>
          <w:color w:val="231F20"/>
          <w:w w:val="105"/>
        </w:rPr>
        <w:t>recuerdan</w:t>
      </w:r>
      <w:r>
        <w:rPr>
          <w:color w:val="231F20"/>
          <w:spacing w:val="-14"/>
          <w:w w:val="105"/>
        </w:rPr>
        <w:t> </w:t>
      </w:r>
      <w:r>
        <w:rPr>
          <w:color w:val="231F20"/>
          <w:w w:val="105"/>
        </w:rPr>
        <w:t>los</w:t>
      </w:r>
      <w:r>
        <w:rPr>
          <w:color w:val="231F20"/>
          <w:spacing w:val="-14"/>
          <w:w w:val="105"/>
        </w:rPr>
        <w:t> </w:t>
      </w:r>
      <w:r>
        <w:rPr>
          <w:color w:val="231F20"/>
          <w:w w:val="105"/>
        </w:rPr>
        <w:t>perredistas,</w:t>
      </w:r>
      <w:r>
        <w:rPr>
          <w:color w:val="231F20"/>
          <w:spacing w:val="-14"/>
          <w:w w:val="105"/>
        </w:rPr>
        <w:t> </w:t>
      </w:r>
      <w:r>
        <w:rPr>
          <w:color w:val="231F20"/>
          <w:w w:val="105"/>
        </w:rPr>
        <w:t>pero</w:t>
      </w:r>
      <w:r>
        <w:rPr>
          <w:color w:val="231F20"/>
          <w:spacing w:val="-14"/>
          <w:w w:val="105"/>
        </w:rPr>
        <w:t> </w:t>
      </w:r>
      <w:r>
        <w:rPr>
          <w:color w:val="231F20"/>
          <w:spacing w:val="2"/>
          <w:w w:val="105"/>
        </w:rPr>
        <w:t>al</w:t>
      </w:r>
      <w:r>
        <w:rPr>
          <w:color w:val="231F20"/>
          <w:spacing w:val="-14"/>
          <w:w w:val="105"/>
        </w:rPr>
        <w:t> </w:t>
      </w:r>
      <w:r>
        <w:rPr>
          <w:color w:val="231F20"/>
          <w:w w:val="105"/>
        </w:rPr>
        <w:t>último,</w:t>
      </w:r>
      <w:r>
        <w:rPr>
          <w:color w:val="231F20"/>
          <w:spacing w:val="-14"/>
          <w:w w:val="105"/>
        </w:rPr>
        <w:t> </w:t>
      </w:r>
      <w:r>
        <w:rPr>
          <w:color w:val="231F20"/>
          <w:w w:val="105"/>
        </w:rPr>
        <w:t>que se</w:t>
      </w:r>
      <w:r>
        <w:rPr>
          <w:color w:val="231F20"/>
          <w:spacing w:val="-15"/>
          <w:w w:val="105"/>
        </w:rPr>
        <w:t> </w:t>
      </w:r>
      <w:r>
        <w:rPr>
          <w:color w:val="231F20"/>
          <w:w w:val="105"/>
        </w:rPr>
        <w:t>realizaría</w:t>
      </w:r>
      <w:r>
        <w:rPr>
          <w:color w:val="231F20"/>
          <w:spacing w:val="-15"/>
          <w:w w:val="105"/>
        </w:rPr>
        <w:t> </w:t>
      </w:r>
      <w:r>
        <w:rPr>
          <w:color w:val="231F20"/>
          <w:w w:val="105"/>
        </w:rPr>
        <w:t>el</w:t>
      </w:r>
      <w:r>
        <w:rPr>
          <w:color w:val="231F20"/>
          <w:spacing w:val="-15"/>
          <w:w w:val="105"/>
        </w:rPr>
        <w:t> </w:t>
      </w:r>
      <w:r>
        <w:rPr>
          <w:color w:val="231F20"/>
          <w:spacing w:val="-6"/>
          <w:w w:val="105"/>
        </w:rPr>
        <w:t>17</w:t>
      </w:r>
      <w:r>
        <w:rPr>
          <w:color w:val="231F20"/>
          <w:spacing w:val="-15"/>
          <w:w w:val="105"/>
        </w:rPr>
        <w:t> </w:t>
      </w:r>
      <w:r>
        <w:rPr>
          <w:color w:val="231F20"/>
          <w:w w:val="105"/>
        </w:rPr>
        <w:t>de</w:t>
      </w:r>
      <w:r>
        <w:rPr>
          <w:color w:val="231F20"/>
          <w:spacing w:val="-15"/>
          <w:w w:val="105"/>
        </w:rPr>
        <w:t> </w:t>
      </w:r>
      <w:r>
        <w:rPr>
          <w:color w:val="231F20"/>
          <w:w w:val="105"/>
        </w:rPr>
        <w:t>agosto,</w:t>
      </w:r>
      <w:r>
        <w:rPr>
          <w:color w:val="231F20"/>
          <w:spacing w:val="-15"/>
          <w:w w:val="105"/>
        </w:rPr>
        <w:t> </w:t>
      </w:r>
      <w:r>
        <w:rPr>
          <w:color w:val="231F20"/>
          <w:w w:val="105"/>
        </w:rPr>
        <w:t>los</w:t>
      </w:r>
      <w:r>
        <w:rPr>
          <w:color w:val="231F20"/>
          <w:spacing w:val="-15"/>
          <w:w w:val="105"/>
        </w:rPr>
        <w:t> </w:t>
      </w:r>
      <w:r>
        <w:rPr>
          <w:color w:val="231F20"/>
          <w:w w:val="105"/>
        </w:rPr>
        <w:t>panistas</w:t>
      </w:r>
      <w:r>
        <w:rPr>
          <w:color w:val="231F20"/>
          <w:spacing w:val="-15"/>
          <w:w w:val="105"/>
        </w:rPr>
        <w:t> </w:t>
      </w:r>
      <w:r>
        <w:rPr>
          <w:color w:val="231F20"/>
          <w:w w:val="105"/>
        </w:rPr>
        <w:t>ya</w:t>
      </w:r>
      <w:r>
        <w:rPr>
          <w:color w:val="231F20"/>
          <w:spacing w:val="-15"/>
          <w:w w:val="105"/>
        </w:rPr>
        <w:t> </w:t>
      </w:r>
      <w:r>
        <w:rPr>
          <w:color w:val="231F20"/>
          <w:w w:val="105"/>
        </w:rPr>
        <w:t>no</w:t>
      </w:r>
      <w:r>
        <w:rPr>
          <w:color w:val="231F20"/>
          <w:spacing w:val="-15"/>
          <w:w w:val="105"/>
        </w:rPr>
        <w:t> </w:t>
      </w:r>
      <w:r>
        <w:rPr>
          <w:color w:val="231F20"/>
          <w:w w:val="105"/>
        </w:rPr>
        <w:t>acudieron.</w:t>
      </w:r>
      <w:r>
        <w:rPr>
          <w:color w:val="231F20"/>
          <w:w w:val="105"/>
          <w:position w:val="7"/>
          <w:sz w:val="13"/>
        </w:rPr>
        <w:t>5</w:t>
      </w:r>
    </w:p>
    <w:p>
      <w:pPr>
        <w:pStyle w:val="ListParagraph"/>
        <w:numPr>
          <w:ilvl w:val="0"/>
          <w:numId w:val="11"/>
        </w:numPr>
        <w:tabs>
          <w:tab w:pos="259" w:val="left" w:leader="none"/>
        </w:tabs>
        <w:spacing w:line="240" w:lineRule="auto" w:before="8" w:after="0"/>
        <w:ind w:left="258" w:right="0" w:hanging="148"/>
        <w:jc w:val="left"/>
        <w:rPr>
          <w:sz w:val="16"/>
        </w:rPr>
      </w:pPr>
      <w:r>
        <w:rPr>
          <w:color w:val="231F20"/>
          <w:sz w:val="16"/>
        </w:rPr>
        <w:t>El</w:t>
      </w:r>
      <w:r>
        <w:rPr>
          <w:color w:val="231F20"/>
          <w:spacing w:val="-15"/>
          <w:sz w:val="16"/>
        </w:rPr>
        <w:t> </w:t>
      </w:r>
      <w:r>
        <w:rPr>
          <w:color w:val="231F20"/>
          <w:sz w:val="16"/>
        </w:rPr>
        <w:t>Universal,</w:t>
      </w:r>
      <w:r>
        <w:rPr>
          <w:color w:val="231F20"/>
          <w:spacing w:val="-15"/>
          <w:sz w:val="16"/>
        </w:rPr>
        <w:t> </w:t>
      </w:r>
      <w:r>
        <w:rPr>
          <w:color w:val="231F20"/>
          <w:sz w:val="16"/>
        </w:rPr>
        <w:t>5</w:t>
      </w:r>
      <w:r>
        <w:rPr>
          <w:color w:val="231F20"/>
          <w:spacing w:val="-15"/>
          <w:sz w:val="16"/>
        </w:rPr>
        <w:t> </w:t>
      </w:r>
      <w:r>
        <w:rPr>
          <w:color w:val="231F20"/>
          <w:sz w:val="16"/>
        </w:rPr>
        <w:t>de</w:t>
      </w:r>
      <w:r>
        <w:rPr>
          <w:color w:val="231F20"/>
          <w:spacing w:val="-15"/>
          <w:sz w:val="16"/>
        </w:rPr>
        <w:t> </w:t>
      </w:r>
      <w:r>
        <w:rPr>
          <w:color w:val="231F20"/>
          <w:sz w:val="16"/>
        </w:rPr>
        <w:t>septiembre</w:t>
      </w:r>
      <w:r>
        <w:rPr>
          <w:color w:val="231F20"/>
          <w:spacing w:val="-15"/>
          <w:sz w:val="16"/>
        </w:rPr>
        <w:t> </w:t>
      </w:r>
      <w:r>
        <w:rPr>
          <w:color w:val="231F20"/>
          <w:sz w:val="16"/>
        </w:rPr>
        <w:t>de</w:t>
      </w:r>
      <w:r>
        <w:rPr>
          <w:color w:val="231F20"/>
          <w:spacing w:val="-15"/>
          <w:sz w:val="16"/>
        </w:rPr>
        <w:t> </w:t>
      </w:r>
      <w:r>
        <w:rPr>
          <w:color w:val="231F20"/>
          <w:sz w:val="16"/>
        </w:rPr>
        <w:t>2000.</w:t>
      </w:r>
    </w:p>
    <w:p>
      <w:pPr>
        <w:pStyle w:val="ListParagraph"/>
        <w:numPr>
          <w:ilvl w:val="0"/>
          <w:numId w:val="11"/>
        </w:numPr>
        <w:tabs>
          <w:tab w:pos="234" w:val="left" w:leader="none"/>
        </w:tabs>
        <w:spacing w:line="240" w:lineRule="auto" w:before="4" w:after="0"/>
        <w:ind w:left="233" w:right="0" w:hanging="123"/>
        <w:jc w:val="left"/>
        <w:rPr>
          <w:sz w:val="16"/>
        </w:rPr>
      </w:pPr>
      <w:r>
        <w:rPr>
          <w:color w:val="231F20"/>
          <w:sz w:val="16"/>
        </w:rPr>
        <w:t>Nájar,</w:t>
      </w:r>
      <w:r>
        <w:rPr>
          <w:color w:val="231F20"/>
          <w:spacing w:val="-6"/>
          <w:sz w:val="16"/>
        </w:rPr>
        <w:t> </w:t>
      </w:r>
      <w:r>
        <w:rPr>
          <w:color w:val="231F20"/>
          <w:sz w:val="16"/>
        </w:rPr>
        <w:t>Alberto,</w:t>
      </w:r>
      <w:r>
        <w:rPr>
          <w:color w:val="231F20"/>
          <w:spacing w:val="-6"/>
          <w:sz w:val="16"/>
        </w:rPr>
        <w:t> </w:t>
      </w:r>
      <w:r>
        <w:rPr>
          <w:color w:val="231F20"/>
          <w:sz w:val="16"/>
        </w:rPr>
        <w:t>“Chimalhuacán</w:t>
      </w:r>
      <w:r>
        <w:rPr>
          <w:color w:val="231F20"/>
          <w:spacing w:val="-6"/>
          <w:sz w:val="16"/>
        </w:rPr>
        <w:t> </w:t>
      </w:r>
      <w:r>
        <w:rPr>
          <w:color w:val="231F20"/>
          <w:sz w:val="16"/>
        </w:rPr>
        <w:t>de</w:t>
      </w:r>
      <w:r>
        <w:rPr>
          <w:color w:val="231F20"/>
          <w:spacing w:val="-6"/>
          <w:sz w:val="16"/>
        </w:rPr>
        <w:t> </w:t>
      </w:r>
      <w:r>
        <w:rPr>
          <w:color w:val="231F20"/>
          <w:sz w:val="16"/>
        </w:rPr>
        <w:t>mis</w:t>
      </w:r>
      <w:r>
        <w:rPr>
          <w:color w:val="231F20"/>
          <w:spacing w:val="-6"/>
          <w:sz w:val="16"/>
        </w:rPr>
        <w:t> </w:t>
      </w:r>
      <w:r>
        <w:rPr>
          <w:color w:val="231F20"/>
          <w:sz w:val="16"/>
        </w:rPr>
        <w:t>andanzas”,</w:t>
      </w:r>
      <w:r>
        <w:rPr>
          <w:color w:val="231F20"/>
          <w:spacing w:val="-6"/>
          <w:sz w:val="16"/>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jornada,</w:t>
      </w:r>
      <w:r>
        <w:rPr>
          <w:color w:val="231F20"/>
          <w:spacing w:val="-6"/>
          <w:sz w:val="16"/>
        </w:rPr>
        <w:t> </w:t>
      </w:r>
      <w:r>
        <w:rPr>
          <w:color w:val="231F20"/>
          <w:sz w:val="16"/>
        </w:rPr>
        <w:t>viernes</w:t>
      </w:r>
      <w:r>
        <w:rPr>
          <w:color w:val="231F20"/>
          <w:spacing w:val="-6"/>
          <w:sz w:val="16"/>
        </w:rPr>
        <w:t> 13 </w:t>
      </w:r>
      <w:r>
        <w:rPr>
          <w:color w:val="231F20"/>
          <w:sz w:val="16"/>
        </w:rPr>
        <w:t>de</w:t>
      </w:r>
      <w:r>
        <w:rPr>
          <w:color w:val="231F20"/>
          <w:spacing w:val="-6"/>
          <w:sz w:val="16"/>
        </w:rPr>
        <w:t> </w:t>
      </w:r>
      <w:r>
        <w:rPr>
          <w:color w:val="231F20"/>
          <w:sz w:val="16"/>
        </w:rPr>
        <w:t>abril</w:t>
      </w:r>
      <w:r>
        <w:rPr>
          <w:color w:val="231F20"/>
          <w:spacing w:val="-6"/>
          <w:sz w:val="16"/>
        </w:rPr>
        <w:t> </w:t>
      </w:r>
      <w:r>
        <w:rPr>
          <w:color w:val="231F20"/>
          <w:sz w:val="16"/>
        </w:rPr>
        <w:t>de</w:t>
      </w:r>
      <w:r>
        <w:rPr>
          <w:color w:val="231F20"/>
          <w:spacing w:val="-6"/>
          <w:sz w:val="16"/>
        </w:rPr>
        <w:t> </w:t>
      </w:r>
      <w:r>
        <w:rPr>
          <w:color w:val="231F20"/>
          <w:spacing w:val="-4"/>
          <w:sz w:val="16"/>
        </w:rPr>
        <w:t>2007.</w:t>
      </w:r>
      <w:r>
        <w:rPr>
          <w:color w:val="231F20"/>
          <w:spacing w:val="-6"/>
          <w:sz w:val="16"/>
        </w:rPr>
        <w:t> </w:t>
      </w:r>
      <w:r>
        <w:rPr>
          <w:color w:val="231F20"/>
          <w:sz w:val="16"/>
        </w:rPr>
        <w:t>Este</w:t>
      </w:r>
      <w:r>
        <w:rPr>
          <w:color w:val="231F20"/>
          <w:spacing w:val="-6"/>
          <w:sz w:val="16"/>
        </w:rPr>
        <w:t> </w:t>
      </w:r>
      <w:r>
        <w:rPr>
          <w:color w:val="231F20"/>
          <w:sz w:val="16"/>
        </w:rPr>
        <w:t>reporte</w:t>
      </w:r>
      <w:r>
        <w:rPr>
          <w:color w:val="231F20"/>
          <w:spacing w:val="-6"/>
          <w:sz w:val="16"/>
        </w:rPr>
        <w:t> </w:t>
      </w:r>
      <w:r>
        <w:rPr>
          <w:color w:val="231F20"/>
          <w:sz w:val="16"/>
        </w:rPr>
        <w:t>es</w:t>
      </w:r>
      <w:r>
        <w:rPr>
          <w:color w:val="231F20"/>
          <w:spacing w:val="-6"/>
          <w:sz w:val="16"/>
        </w:rPr>
        <w:t> </w:t>
      </w:r>
      <w:r>
        <w:rPr>
          <w:color w:val="231F20"/>
          <w:sz w:val="16"/>
        </w:rPr>
        <w:t>de</w:t>
      </w:r>
      <w:r>
        <w:rPr>
          <w:color w:val="231F20"/>
          <w:spacing w:val="-6"/>
          <w:sz w:val="16"/>
        </w:rPr>
        <w:t> </w:t>
      </w:r>
      <w:r>
        <w:rPr>
          <w:color w:val="231F20"/>
          <w:sz w:val="16"/>
        </w:rPr>
        <w:t>2002,</w:t>
      </w:r>
      <w:r>
        <w:rPr>
          <w:color w:val="231F20"/>
          <w:spacing w:val="-6"/>
          <w:sz w:val="16"/>
        </w:rPr>
        <w:t> </w:t>
      </w:r>
      <w:r>
        <w:rPr>
          <w:color w:val="231F20"/>
          <w:sz w:val="16"/>
        </w:rPr>
        <w:t>a</w:t>
      </w:r>
      <w:r>
        <w:rPr>
          <w:color w:val="231F20"/>
          <w:spacing w:val="-6"/>
          <w:sz w:val="16"/>
        </w:rPr>
        <w:t> </w:t>
      </w:r>
      <w:r>
        <w:rPr>
          <w:color w:val="231F20"/>
          <w:sz w:val="16"/>
        </w:rPr>
        <w:t>la</w:t>
      </w:r>
    </w:p>
    <w:p>
      <w:pPr>
        <w:spacing w:after="0" w:line="240" w:lineRule="auto"/>
        <w:jc w:val="left"/>
        <w:rPr>
          <w:sz w:val="16"/>
        </w:rPr>
        <w:sectPr>
          <w:footerReference w:type="default" r:id="rId588"/>
          <w:pgSz w:w="9640" w:h="12190"/>
          <w:pgMar w:footer="743" w:header="0" w:top="1120" w:bottom="940" w:left="740" w:right="740"/>
          <w:pgNumType w:start="190"/>
        </w:sectPr>
      </w:pPr>
    </w:p>
    <w:p>
      <w:pPr>
        <w:pStyle w:val="BodyText"/>
        <w:spacing w:before="8"/>
        <w:rPr>
          <w:rFonts w:ascii="Calibri"/>
          <w:sz w:val="10"/>
        </w:rPr>
      </w:pPr>
    </w:p>
    <w:p>
      <w:pPr>
        <w:pStyle w:val="BodyText"/>
        <w:spacing w:line="285" w:lineRule="auto" w:before="35"/>
        <w:ind w:left="110" w:right="107"/>
        <w:jc w:val="both"/>
      </w:pP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municipal</w:t>
      </w:r>
      <w:r>
        <w:rPr>
          <w:color w:val="231F20"/>
          <w:spacing w:val="-15"/>
          <w:w w:val="105"/>
        </w:rPr>
        <w:t> </w:t>
      </w:r>
      <w:r>
        <w:rPr>
          <w:color w:val="231F20"/>
          <w:w w:val="105"/>
        </w:rPr>
        <w:t>subordinado:</w:t>
      </w:r>
      <w:r>
        <w:rPr>
          <w:color w:val="231F20"/>
          <w:spacing w:val="-15"/>
          <w:w w:val="105"/>
        </w:rPr>
        <w:t> </w:t>
      </w:r>
      <w:r>
        <w:rPr>
          <w:color w:val="231F20"/>
          <w:w w:val="105"/>
        </w:rPr>
        <w:t>Chimalhuacán</w:t>
      </w:r>
      <w:r>
        <w:rPr>
          <w:color w:val="231F20"/>
          <w:spacing w:val="-15"/>
          <w:w w:val="105"/>
        </w:rPr>
        <w:t> </w:t>
      </w:r>
      <w:r>
        <w:rPr>
          <w:color w:val="231F20"/>
          <w:w w:val="105"/>
        </w:rPr>
        <w:t>tiene</w:t>
      </w:r>
      <w:r>
        <w:rPr>
          <w:color w:val="231F20"/>
          <w:spacing w:val="-15"/>
          <w:w w:val="105"/>
        </w:rPr>
        <w:t> </w:t>
      </w:r>
      <w:r>
        <w:rPr>
          <w:color w:val="231F20"/>
          <w:w w:val="105"/>
        </w:rPr>
        <w:t>como</w:t>
      </w:r>
      <w:r>
        <w:rPr>
          <w:color w:val="231F20"/>
          <w:spacing w:val="-15"/>
          <w:w w:val="105"/>
        </w:rPr>
        <w:t> </w:t>
      </w:r>
      <w:r>
        <w:rPr>
          <w:color w:val="231F20"/>
          <w:w w:val="105"/>
        </w:rPr>
        <w:t>paradigma</w:t>
      </w:r>
      <w:r>
        <w:rPr>
          <w:color w:val="231F20"/>
          <w:spacing w:val="-15"/>
          <w:w w:val="105"/>
        </w:rPr>
        <w:t> </w:t>
      </w:r>
      <w:r>
        <w:rPr>
          <w:color w:val="231F20"/>
          <w:w w:val="105"/>
        </w:rPr>
        <w:t>de</w:t>
      </w:r>
      <w:r>
        <w:rPr>
          <w:color w:val="231F20"/>
          <w:spacing w:val="-15"/>
          <w:w w:val="105"/>
        </w:rPr>
        <w:t> </w:t>
      </w:r>
      <w:r>
        <w:rPr>
          <w:color w:val="231F20"/>
          <w:w w:val="105"/>
        </w:rPr>
        <w:t>gobierno </w:t>
      </w:r>
      <w:r>
        <w:rPr>
          <w:color w:val="231F20"/>
          <w:spacing w:val="2"/>
          <w:w w:val="105"/>
        </w:rPr>
        <w:t>al</w:t>
      </w:r>
      <w:r>
        <w:rPr>
          <w:color w:val="231F20"/>
          <w:spacing w:val="-10"/>
          <w:w w:val="105"/>
        </w:rPr>
        <w:t> </w:t>
      </w:r>
      <w:r>
        <w:rPr>
          <w:color w:val="231F20"/>
          <w:w w:val="105"/>
        </w:rPr>
        <w:t>PRI</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spacing w:val="-5"/>
          <w:w w:val="105"/>
        </w:rPr>
        <w:t>“el</w:t>
      </w:r>
      <w:r>
        <w:rPr>
          <w:color w:val="231F20"/>
          <w:spacing w:val="-10"/>
          <w:w w:val="105"/>
        </w:rPr>
        <w:t> </w:t>
      </w:r>
      <w:r>
        <w:rPr>
          <w:color w:val="231F20"/>
          <w:w w:val="105"/>
        </w:rPr>
        <w:t>principal</w:t>
      </w:r>
      <w:r>
        <w:rPr>
          <w:color w:val="231F20"/>
          <w:spacing w:val="-10"/>
          <w:w w:val="105"/>
        </w:rPr>
        <w:t> </w:t>
      </w:r>
      <w:r>
        <w:rPr>
          <w:color w:val="231F20"/>
          <w:spacing w:val="-3"/>
          <w:w w:val="105"/>
        </w:rPr>
        <w:t>promotor</w:t>
      </w:r>
      <w:r>
        <w:rPr>
          <w:color w:val="231F20"/>
          <w:spacing w:val="-10"/>
          <w:w w:val="105"/>
        </w:rPr>
        <w:t> </w:t>
      </w:r>
      <w:r>
        <w:rPr>
          <w:color w:val="231F20"/>
          <w:w w:val="105"/>
        </w:rPr>
        <w:t>de</w:t>
      </w:r>
      <w:r>
        <w:rPr>
          <w:color w:val="231F20"/>
          <w:spacing w:val="-10"/>
          <w:w w:val="105"/>
        </w:rPr>
        <w:t> </w:t>
      </w:r>
      <w:r>
        <w:rPr>
          <w:color w:val="231F20"/>
          <w:w w:val="105"/>
        </w:rPr>
        <w:t>programas</w:t>
      </w:r>
      <w:r>
        <w:rPr>
          <w:color w:val="231F20"/>
          <w:spacing w:val="-10"/>
          <w:w w:val="105"/>
        </w:rPr>
        <w:t> </w:t>
      </w:r>
      <w:r>
        <w:rPr>
          <w:color w:val="231F20"/>
          <w:w w:val="105"/>
        </w:rPr>
        <w:t>de</w:t>
      </w:r>
      <w:r>
        <w:rPr>
          <w:color w:val="231F20"/>
          <w:spacing w:val="-10"/>
          <w:w w:val="105"/>
        </w:rPr>
        <w:t> </w:t>
      </w:r>
      <w:r>
        <w:rPr>
          <w:color w:val="231F20"/>
          <w:w w:val="105"/>
        </w:rPr>
        <w:t>obras</w:t>
      </w:r>
      <w:r>
        <w:rPr>
          <w:color w:val="231F20"/>
          <w:spacing w:val="-10"/>
          <w:w w:val="105"/>
        </w:rPr>
        <w:t> </w:t>
      </w:r>
      <w:r>
        <w:rPr>
          <w:color w:val="231F20"/>
          <w:w w:val="105"/>
        </w:rPr>
        <w:t>y</w:t>
      </w:r>
      <w:r>
        <w:rPr>
          <w:color w:val="231F20"/>
          <w:spacing w:val="-10"/>
          <w:w w:val="105"/>
        </w:rPr>
        <w:t> </w:t>
      </w:r>
      <w:r>
        <w:rPr>
          <w:color w:val="231F20"/>
          <w:w w:val="105"/>
        </w:rPr>
        <w:t>servicios,”</w:t>
      </w:r>
      <w:r>
        <w:rPr>
          <w:color w:val="231F20"/>
          <w:spacing w:val="-10"/>
          <w:w w:val="105"/>
        </w:rPr>
        <w:t> </w:t>
      </w:r>
      <w:r>
        <w:rPr>
          <w:color w:val="231F20"/>
          <w:w w:val="105"/>
        </w:rPr>
        <w:t>(Martínez,</w:t>
      </w:r>
      <w:r>
        <w:rPr>
          <w:color w:val="231F20"/>
          <w:spacing w:val="-10"/>
          <w:w w:val="105"/>
        </w:rPr>
        <w:t> </w:t>
      </w:r>
      <w:r>
        <w:rPr>
          <w:color w:val="231F20"/>
          <w:spacing w:val="-2"/>
          <w:w w:val="105"/>
        </w:rPr>
        <w:t>en- </w:t>
      </w:r>
      <w:r>
        <w:rPr>
          <w:color w:val="231F20"/>
          <w:w w:val="105"/>
        </w:rPr>
        <w:t>trevista).</w:t>
      </w:r>
      <w:r>
        <w:rPr>
          <w:color w:val="231F20"/>
          <w:spacing w:val="-20"/>
          <w:w w:val="105"/>
        </w:rPr>
        <w:t> </w:t>
      </w:r>
      <w:r>
        <w:rPr>
          <w:color w:val="231F20"/>
          <w:w w:val="105"/>
        </w:rPr>
        <w:t>Se</w:t>
      </w:r>
      <w:r>
        <w:rPr>
          <w:color w:val="231F20"/>
          <w:spacing w:val="-20"/>
          <w:w w:val="105"/>
        </w:rPr>
        <w:t> </w:t>
      </w:r>
      <w:r>
        <w:rPr>
          <w:color w:val="231F20"/>
          <w:w w:val="105"/>
        </w:rPr>
        <w:t>considera</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avances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materia</w:t>
      </w:r>
      <w:r>
        <w:rPr>
          <w:color w:val="231F20"/>
          <w:spacing w:val="-20"/>
          <w:w w:val="105"/>
        </w:rPr>
        <w:t> </w:t>
      </w:r>
      <w:r>
        <w:rPr>
          <w:color w:val="231F20"/>
          <w:w w:val="105"/>
        </w:rPr>
        <w:t>son</w:t>
      </w:r>
      <w:r>
        <w:rPr>
          <w:color w:val="231F20"/>
          <w:spacing w:val="-20"/>
          <w:w w:val="105"/>
        </w:rPr>
        <w:t> </w:t>
      </w:r>
      <w:r>
        <w:rPr>
          <w:color w:val="231F20"/>
          <w:w w:val="105"/>
        </w:rPr>
        <w:t>significativos</w:t>
      </w:r>
    </w:p>
    <w:p>
      <w:pPr>
        <w:pStyle w:val="BodyText"/>
        <w:spacing w:line="285" w:lineRule="auto" w:before="1"/>
        <w:ind w:left="677" w:right="107"/>
        <w:jc w:val="both"/>
      </w:pPr>
      <w:r>
        <w:rPr>
          <w:color w:val="231F20"/>
          <w:w w:val="105"/>
        </w:rPr>
        <w:t>Pues básicamente siguen </w:t>
      </w:r>
      <w:r>
        <w:rPr>
          <w:color w:val="231F20"/>
          <w:spacing w:val="-2"/>
          <w:w w:val="105"/>
        </w:rPr>
        <w:t>siendo </w:t>
      </w:r>
      <w:r>
        <w:rPr>
          <w:color w:val="231F20"/>
          <w:w w:val="105"/>
        </w:rPr>
        <w:t>algunos servicios públicos en gran medida de equipamiento urbano, se dice que en Chimalhuacán todavía hay más de </w:t>
      </w:r>
      <w:r>
        <w:rPr>
          <w:color w:val="231F20"/>
          <w:spacing w:val="3"/>
          <w:w w:val="105"/>
        </w:rPr>
        <w:t>3,000 </w:t>
      </w:r>
      <w:r>
        <w:rPr>
          <w:color w:val="231F20"/>
          <w:w w:val="105"/>
        </w:rPr>
        <w:t>calles sin pavimentar, a pesar de que los tres presidentes anteriores, junto con el actual dicen haber pavimentado más de </w:t>
      </w:r>
      <w:r>
        <w:rPr>
          <w:color w:val="231F20"/>
          <w:spacing w:val="2"/>
          <w:w w:val="105"/>
        </w:rPr>
        <w:t>mil </w:t>
      </w:r>
      <w:r>
        <w:rPr>
          <w:color w:val="231F20"/>
          <w:w w:val="105"/>
        </w:rPr>
        <w:t>calles, lo que quiere decir que toda- vía faltan más de la mitad de lo que ya se hizo. Se están introduciendo redes de agua… en el cerro </w:t>
      </w:r>
      <w:r>
        <w:rPr>
          <w:color w:val="231F20"/>
          <w:spacing w:val="-4"/>
          <w:w w:val="105"/>
        </w:rPr>
        <w:t>(se </w:t>
      </w:r>
      <w:r>
        <w:rPr>
          <w:color w:val="231F20"/>
          <w:w w:val="105"/>
        </w:rPr>
        <w:t>hizo) una obra enorme, se tuvo que perforar el cerro, un tanque</w:t>
      </w:r>
      <w:r>
        <w:rPr>
          <w:color w:val="231F20"/>
          <w:spacing w:val="-15"/>
          <w:w w:val="105"/>
        </w:rPr>
        <w:t> </w:t>
      </w:r>
      <w:r>
        <w:rPr>
          <w:color w:val="231F20"/>
          <w:w w:val="105"/>
        </w:rPr>
        <w:t>elevado</w:t>
      </w:r>
      <w:r>
        <w:rPr>
          <w:color w:val="231F20"/>
          <w:spacing w:val="-15"/>
          <w:w w:val="105"/>
        </w:rPr>
        <w:t> </w:t>
      </w:r>
      <w:r>
        <w:rPr>
          <w:color w:val="231F20"/>
          <w:w w:val="105"/>
        </w:rPr>
        <w:t>muy</w:t>
      </w:r>
      <w:r>
        <w:rPr>
          <w:color w:val="231F20"/>
          <w:spacing w:val="-15"/>
          <w:w w:val="105"/>
        </w:rPr>
        <w:t> </w:t>
      </w:r>
      <w:r>
        <w:rPr>
          <w:color w:val="231F20"/>
          <w:w w:val="105"/>
        </w:rPr>
        <w:t>elevado</w:t>
      </w:r>
      <w:r>
        <w:rPr>
          <w:color w:val="231F20"/>
          <w:spacing w:val="-15"/>
          <w:w w:val="105"/>
        </w:rPr>
        <w:t> </w:t>
      </w:r>
      <w:r>
        <w:rPr>
          <w:color w:val="231F20"/>
          <w:w w:val="105"/>
        </w:rPr>
        <w:t>a</w:t>
      </w:r>
      <w:r>
        <w:rPr>
          <w:color w:val="231F20"/>
          <w:spacing w:val="-15"/>
          <w:w w:val="105"/>
        </w:rPr>
        <w:t> </w:t>
      </w:r>
      <w:r>
        <w:rPr>
          <w:color w:val="231F20"/>
          <w:w w:val="105"/>
        </w:rPr>
        <w:t>un</w:t>
      </w:r>
      <w:r>
        <w:rPr>
          <w:color w:val="231F20"/>
          <w:spacing w:val="-15"/>
          <w:w w:val="105"/>
        </w:rPr>
        <w:t> </w:t>
      </w:r>
      <w:r>
        <w:rPr>
          <w:color w:val="231F20"/>
          <w:w w:val="105"/>
        </w:rPr>
        <w:t>costado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Palma.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calle</w:t>
      </w:r>
      <w:r>
        <w:rPr>
          <w:color w:val="231F20"/>
          <w:spacing w:val="-15"/>
          <w:w w:val="105"/>
        </w:rPr>
        <w:t> </w:t>
      </w:r>
      <w:r>
        <w:rPr>
          <w:color w:val="231F20"/>
          <w:w w:val="105"/>
        </w:rPr>
        <w:t>Huizache</w:t>
      </w:r>
      <w:r>
        <w:rPr>
          <w:color w:val="231F20"/>
          <w:spacing w:val="-15"/>
          <w:w w:val="105"/>
        </w:rPr>
        <w:t> </w:t>
      </w:r>
      <w:r>
        <w:rPr>
          <w:color w:val="231F20"/>
          <w:w w:val="105"/>
        </w:rPr>
        <w:t>hacia arriba construyeron otro tanque cisterna… para que alcance a distribuir el agua en</w:t>
      </w:r>
      <w:r>
        <w:rPr>
          <w:color w:val="231F20"/>
          <w:spacing w:val="-7"/>
          <w:w w:val="105"/>
        </w:rPr>
        <w:t> </w:t>
      </w:r>
      <w:r>
        <w:rPr>
          <w:color w:val="231F20"/>
          <w:w w:val="105"/>
        </w:rPr>
        <w:t>toda</w:t>
      </w:r>
      <w:r>
        <w:rPr>
          <w:color w:val="231F20"/>
          <w:spacing w:val="-7"/>
          <w:w w:val="105"/>
        </w:rPr>
        <w:t> </w:t>
      </w:r>
      <w:r>
        <w:rPr>
          <w:color w:val="231F20"/>
          <w:w w:val="105"/>
        </w:rPr>
        <w:t>esta</w:t>
      </w:r>
      <w:r>
        <w:rPr>
          <w:color w:val="231F20"/>
          <w:spacing w:val="-7"/>
          <w:w w:val="105"/>
        </w:rPr>
        <w:t> </w:t>
      </w:r>
      <w:r>
        <w:rPr>
          <w:color w:val="231F20"/>
          <w:w w:val="105"/>
        </w:rPr>
        <w:t>zona.</w:t>
      </w:r>
      <w:r>
        <w:rPr>
          <w:color w:val="231F20"/>
          <w:spacing w:val="-7"/>
          <w:w w:val="105"/>
        </w:rPr>
        <w:t> </w:t>
      </w:r>
      <w:r>
        <w:rPr>
          <w:color w:val="231F20"/>
          <w:w w:val="105"/>
        </w:rPr>
        <w:t>Los</w:t>
      </w:r>
      <w:r>
        <w:rPr>
          <w:color w:val="231F20"/>
          <w:spacing w:val="-7"/>
          <w:w w:val="105"/>
        </w:rPr>
        <w:t> </w:t>
      </w:r>
      <w:r>
        <w:rPr>
          <w:color w:val="231F20"/>
          <w:w w:val="105"/>
        </w:rPr>
        <w:t>retos</w:t>
      </w:r>
      <w:r>
        <w:rPr>
          <w:color w:val="231F20"/>
          <w:spacing w:val="-7"/>
          <w:w w:val="105"/>
        </w:rPr>
        <w:t> </w:t>
      </w:r>
      <w:r>
        <w:rPr>
          <w:color w:val="231F20"/>
          <w:w w:val="105"/>
        </w:rPr>
        <w:t>siguen</w:t>
      </w:r>
      <w:r>
        <w:rPr>
          <w:color w:val="231F20"/>
          <w:spacing w:val="-7"/>
          <w:w w:val="105"/>
        </w:rPr>
        <w:t> </w:t>
      </w:r>
      <w:r>
        <w:rPr>
          <w:color w:val="231F20"/>
          <w:spacing w:val="-2"/>
          <w:w w:val="105"/>
        </w:rPr>
        <w:t>siendo</w:t>
      </w:r>
      <w:r>
        <w:rPr>
          <w:color w:val="231F20"/>
          <w:spacing w:val="-7"/>
          <w:w w:val="105"/>
        </w:rPr>
        <w:t> </w:t>
      </w:r>
      <w:r>
        <w:rPr>
          <w:color w:val="231F20"/>
          <w:w w:val="105"/>
        </w:rPr>
        <w:t>grandes,</w:t>
      </w:r>
      <w:r>
        <w:rPr>
          <w:color w:val="231F20"/>
          <w:spacing w:val="-7"/>
          <w:w w:val="105"/>
        </w:rPr>
        <w:t> </w:t>
      </w:r>
      <w:r>
        <w:rPr>
          <w:color w:val="231F20"/>
          <w:w w:val="105"/>
        </w:rPr>
        <w:t>pero</w:t>
      </w:r>
      <w:r>
        <w:rPr>
          <w:color w:val="231F20"/>
          <w:spacing w:val="-7"/>
          <w:w w:val="105"/>
        </w:rPr>
        <w:t> </w:t>
      </w:r>
      <w:r>
        <w:rPr>
          <w:color w:val="231F20"/>
          <w:w w:val="105"/>
        </w:rPr>
        <w:t>afortunadamente</w:t>
      </w:r>
      <w:r>
        <w:rPr>
          <w:color w:val="231F20"/>
          <w:spacing w:val="-7"/>
          <w:w w:val="105"/>
        </w:rPr>
        <w:t> </w:t>
      </w:r>
      <w:r>
        <w:rPr>
          <w:color w:val="231F20"/>
          <w:w w:val="105"/>
        </w:rPr>
        <w:t>se</w:t>
      </w:r>
      <w:r>
        <w:rPr>
          <w:color w:val="231F20"/>
          <w:spacing w:val="-7"/>
          <w:w w:val="105"/>
        </w:rPr>
        <w:t> </w:t>
      </w:r>
      <w:r>
        <w:rPr>
          <w:color w:val="231F20"/>
          <w:spacing w:val="2"/>
          <w:w w:val="105"/>
        </w:rPr>
        <w:t>van </w:t>
      </w:r>
      <w:r>
        <w:rPr>
          <w:color w:val="231F20"/>
          <w:w w:val="105"/>
        </w:rPr>
        <w:t>acortando</w:t>
      </w:r>
      <w:r>
        <w:rPr>
          <w:color w:val="231F20"/>
          <w:spacing w:val="-16"/>
          <w:w w:val="105"/>
        </w:rPr>
        <w:t> </w:t>
      </w:r>
      <w:r>
        <w:rPr>
          <w:color w:val="231F20"/>
          <w:w w:val="105"/>
        </w:rPr>
        <w:t>las</w:t>
      </w:r>
      <w:r>
        <w:rPr>
          <w:color w:val="231F20"/>
          <w:spacing w:val="-16"/>
          <w:w w:val="105"/>
        </w:rPr>
        <w:t> </w:t>
      </w:r>
      <w:r>
        <w:rPr>
          <w:color w:val="231F20"/>
          <w:w w:val="105"/>
        </w:rPr>
        <w:t>distancias.</w:t>
      </w:r>
      <w:r>
        <w:rPr>
          <w:color w:val="231F20"/>
          <w:spacing w:val="-16"/>
          <w:w w:val="105"/>
        </w:rPr>
        <w:t> </w:t>
      </w:r>
      <w:r>
        <w:rPr>
          <w:color w:val="231F20"/>
          <w:spacing w:val="-3"/>
          <w:w w:val="105"/>
        </w:rPr>
        <w:t>(Avendaño,</w:t>
      </w:r>
      <w:r>
        <w:rPr>
          <w:color w:val="231F20"/>
          <w:spacing w:val="-16"/>
          <w:w w:val="105"/>
        </w:rPr>
        <w:t> </w:t>
      </w:r>
      <w:r>
        <w:rPr>
          <w:color w:val="231F20"/>
          <w:w w:val="105"/>
        </w:rPr>
        <w:t>Entrevista)</w:t>
      </w:r>
    </w:p>
    <w:p>
      <w:pPr>
        <w:pStyle w:val="BodyText"/>
        <w:spacing w:before="1"/>
        <w:rPr>
          <w:sz w:val="26"/>
        </w:rPr>
      </w:pPr>
    </w:p>
    <w:p>
      <w:pPr>
        <w:pStyle w:val="BodyText"/>
        <w:ind w:left="110"/>
        <w:jc w:val="both"/>
      </w:pPr>
      <w:r>
        <w:rPr>
          <w:color w:val="231F20"/>
          <w:w w:val="105"/>
        </w:rPr>
        <w:t>Sin embargo, no todos los enfoques coinciden:</w:t>
      </w:r>
    </w:p>
    <w:p>
      <w:pPr>
        <w:pStyle w:val="BodyText"/>
        <w:spacing w:line="285" w:lineRule="auto" w:before="47"/>
        <w:ind w:left="677" w:right="108"/>
        <w:jc w:val="both"/>
      </w:pPr>
      <w:r>
        <w:rPr>
          <w:color w:val="231F20"/>
          <w:w w:val="105"/>
        </w:rPr>
        <w:t>Quien no tiene conocimiento de la historia de un pueblo, ¿cómo se ha desarro- llado el trabajo con el que se han hecho todas las obras?, ¡vamos!, cuando llega al poder no puede hacer una continuación de los proyectos del estado, eso es un retroceso en el mismo pueblo, hablando de su infraestructura, hablando del tipo de ayuda que se puede dar al pueblo. (Pabello, entrevista)</w:t>
      </w:r>
    </w:p>
    <w:p>
      <w:pPr>
        <w:pStyle w:val="BodyText"/>
        <w:spacing w:before="1"/>
        <w:rPr>
          <w:sz w:val="26"/>
        </w:rPr>
      </w:pPr>
    </w:p>
    <w:p>
      <w:pPr>
        <w:pStyle w:val="BodyText"/>
        <w:spacing w:line="285" w:lineRule="auto"/>
        <w:ind w:left="110" w:right="107"/>
        <w:jc w:val="both"/>
      </w:pPr>
      <w:r>
        <w:rPr>
          <w:color w:val="231F20"/>
          <w:w w:val="105"/>
        </w:rPr>
        <w:t>Se</w:t>
      </w:r>
      <w:r>
        <w:rPr>
          <w:color w:val="231F20"/>
          <w:spacing w:val="-9"/>
          <w:w w:val="105"/>
        </w:rPr>
        <w:t> </w:t>
      </w:r>
      <w:r>
        <w:rPr>
          <w:color w:val="231F20"/>
          <w:w w:val="105"/>
        </w:rPr>
        <w:t>dice</w:t>
      </w:r>
      <w:r>
        <w:rPr>
          <w:color w:val="231F20"/>
          <w:spacing w:val="-9"/>
          <w:w w:val="105"/>
        </w:rPr>
        <w:t> </w:t>
      </w:r>
      <w:r>
        <w:rPr>
          <w:color w:val="231F20"/>
          <w:w w:val="105"/>
        </w:rPr>
        <w:t>que</w:t>
      </w:r>
      <w:r>
        <w:rPr>
          <w:color w:val="231F20"/>
          <w:spacing w:val="-9"/>
          <w:w w:val="105"/>
        </w:rPr>
        <w:t> </w:t>
      </w:r>
      <w:r>
        <w:rPr>
          <w:color w:val="231F20"/>
          <w:w w:val="105"/>
        </w:rPr>
        <w:t>Chimalhuacán</w:t>
      </w:r>
      <w:r>
        <w:rPr>
          <w:color w:val="231F20"/>
          <w:spacing w:val="-9"/>
          <w:w w:val="105"/>
        </w:rPr>
        <w:t> </w:t>
      </w:r>
      <w:r>
        <w:rPr>
          <w:color w:val="231F20"/>
          <w:w w:val="105"/>
        </w:rPr>
        <w:t>sigue</w:t>
      </w:r>
      <w:r>
        <w:rPr>
          <w:color w:val="231F20"/>
          <w:spacing w:val="-9"/>
          <w:w w:val="105"/>
        </w:rPr>
        <w:t> </w:t>
      </w:r>
      <w:r>
        <w:rPr>
          <w:color w:val="231F20"/>
          <w:w w:val="105"/>
        </w:rPr>
        <w:t>teniendo</w:t>
      </w:r>
      <w:r>
        <w:rPr>
          <w:color w:val="231F20"/>
          <w:spacing w:val="-9"/>
          <w:w w:val="105"/>
        </w:rPr>
        <w:t> </w:t>
      </w:r>
      <w:r>
        <w:rPr>
          <w:color w:val="231F20"/>
          <w:w w:val="105"/>
        </w:rPr>
        <w:t>las</w:t>
      </w:r>
      <w:r>
        <w:rPr>
          <w:color w:val="231F20"/>
          <w:spacing w:val="-9"/>
          <w:w w:val="105"/>
        </w:rPr>
        <w:t> </w:t>
      </w:r>
      <w:r>
        <w:rPr>
          <w:color w:val="231F20"/>
          <w:w w:val="105"/>
        </w:rPr>
        <w:t>mismas</w:t>
      </w:r>
      <w:r>
        <w:rPr>
          <w:color w:val="231F20"/>
          <w:spacing w:val="-9"/>
          <w:w w:val="105"/>
        </w:rPr>
        <w:t> </w:t>
      </w:r>
      <w:r>
        <w:rPr>
          <w:color w:val="231F20"/>
          <w:w w:val="105"/>
        </w:rPr>
        <w:t>inundaciones</w:t>
      </w:r>
      <w:r>
        <w:rPr>
          <w:color w:val="231F20"/>
          <w:spacing w:val="-9"/>
          <w:w w:val="105"/>
        </w:rPr>
        <w:t> </w:t>
      </w:r>
      <w:r>
        <w:rPr>
          <w:color w:val="231F20"/>
          <w:w w:val="105"/>
        </w:rPr>
        <w:t>y</w:t>
      </w:r>
      <w:r>
        <w:rPr>
          <w:color w:val="231F20"/>
          <w:spacing w:val="-9"/>
          <w:w w:val="105"/>
        </w:rPr>
        <w:t> </w:t>
      </w:r>
      <w:r>
        <w:rPr>
          <w:color w:val="231F20"/>
          <w:w w:val="105"/>
        </w:rPr>
        <w:t>encharcamientos que</w:t>
      </w:r>
      <w:r>
        <w:rPr>
          <w:color w:val="231F20"/>
          <w:spacing w:val="-15"/>
          <w:w w:val="105"/>
        </w:rPr>
        <w:t> </w:t>
      </w:r>
      <w:r>
        <w:rPr>
          <w:color w:val="231F20"/>
          <w:w w:val="105"/>
        </w:rPr>
        <w:t>antaño,</w:t>
      </w:r>
      <w:r>
        <w:rPr>
          <w:color w:val="231F20"/>
          <w:spacing w:val="-15"/>
          <w:w w:val="105"/>
        </w:rPr>
        <w:t> </w:t>
      </w:r>
      <w:r>
        <w:rPr>
          <w:color w:val="231F20"/>
          <w:w w:val="105"/>
        </w:rPr>
        <w:t>sólo</w:t>
      </w:r>
      <w:r>
        <w:rPr>
          <w:color w:val="231F20"/>
          <w:spacing w:val="-15"/>
          <w:w w:val="105"/>
        </w:rPr>
        <w:t> </w:t>
      </w:r>
      <w:r>
        <w:rPr>
          <w:color w:val="231F20"/>
          <w:w w:val="105"/>
        </w:rPr>
        <w:t>que</w:t>
      </w:r>
      <w:r>
        <w:rPr>
          <w:color w:val="231F20"/>
          <w:spacing w:val="-15"/>
          <w:w w:val="105"/>
        </w:rPr>
        <w:t> </w:t>
      </w:r>
      <w:r>
        <w:rPr>
          <w:color w:val="231F20"/>
          <w:w w:val="105"/>
        </w:rPr>
        <w:t>ahora</w:t>
      </w:r>
      <w:r>
        <w:rPr>
          <w:color w:val="231F20"/>
          <w:spacing w:val="-15"/>
          <w:w w:val="105"/>
        </w:rPr>
        <w:t> </w:t>
      </w:r>
      <w:r>
        <w:rPr>
          <w:color w:val="231F20"/>
          <w:w w:val="105"/>
        </w:rPr>
        <w:t>en</w:t>
      </w:r>
      <w:r>
        <w:rPr>
          <w:color w:val="231F20"/>
          <w:spacing w:val="-15"/>
          <w:w w:val="105"/>
        </w:rPr>
        <w:t> </w:t>
      </w:r>
      <w:r>
        <w:rPr>
          <w:color w:val="231F20"/>
          <w:w w:val="105"/>
        </w:rPr>
        <w:t>pavimento,</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denota</w:t>
      </w:r>
      <w:r>
        <w:rPr>
          <w:color w:val="231F20"/>
          <w:spacing w:val="-15"/>
          <w:w w:val="105"/>
        </w:rPr>
        <w:t> </w:t>
      </w:r>
      <w:r>
        <w:rPr>
          <w:color w:val="231F20"/>
          <w:w w:val="105"/>
        </w:rPr>
        <w:t>que</w:t>
      </w:r>
      <w:r>
        <w:rPr>
          <w:color w:val="231F20"/>
          <w:spacing w:val="-15"/>
          <w:w w:val="105"/>
        </w:rPr>
        <w:t> </w:t>
      </w:r>
      <w:r>
        <w:rPr>
          <w:color w:val="231F20"/>
          <w:w w:val="105"/>
        </w:rPr>
        <w:t>las</w:t>
      </w:r>
      <w:r>
        <w:rPr>
          <w:color w:val="231F20"/>
          <w:spacing w:val="-15"/>
          <w:w w:val="105"/>
        </w:rPr>
        <w:t> </w:t>
      </w:r>
      <w:r>
        <w:rPr>
          <w:color w:val="231F20"/>
          <w:w w:val="105"/>
        </w:rPr>
        <w:t>obras</w:t>
      </w:r>
      <w:r>
        <w:rPr>
          <w:color w:val="231F20"/>
          <w:spacing w:val="-15"/>
          <w:w w:val="105"/>
        </w:rPr>
        <w:t> </w:t>
      </w:r>
      <w:r>
        <w:rPr>
          <w:color w:val="231F20"/>
          <w:w w:val="105"/>
        </w:rPr>
        <w:t>han</w:t>
      </w:r>
      <w:r>
        <w:rPr>
          <w:color w:val="231F20"/>
          <w:spacing w:val="-15"/>
          <w:w w:val="105"/>
        </w:rPr>
        <w:t> </w:t>
      </w:r>
      <w:r>
        <w:rPr>
          <w:color w:val="231F20"/>
          <w:w w:val="105"/>
        </w:rPr>
        <w:t>carecido</w:t>
      </w:r>
      <w:r>
        <w:rPr>
          <w:color w:val="231F20"/>
          <w:spacing w:val="-15"/>
          <w:w w:val="105"/>
        </w:rPr>
        <w:t> </w:t>
      </w:r>
      <w:r>
        <w:rPr>
          <w:color w:val="231F20"/>
          <w:w w:val="105"/>
        </w:rPr>
        <w:t>de</w:t>
      </w:r>
      <w:r>
        <w:rPr>
          <w:color w:val="231F20"/>
          <w:spacing w:val="-15"/>
          <w:w w:val="105"/>
        </w:rPr>
        <w:t> </w:t>
      </w:r>
      <w:r>
        <w:rPr>
          <w:color w:val="231F20"/>
          <w:w w:val="105"/>
        </w:rPr>
        <w:t>la planeación adecuada para su ejecución: </w:t>
      </w:r>
      <w:r>
        <w:rPr>
          <w:color w:val="231F20"/>
          <w:spacing w:val="-3"/>
          <w:w w:val="105"/>
        </w:rPr>
        <w:t>“somos </w:t>
      </w:r>
      <w:r>
        <w:rPr>
          <w:color w:val="231F20"/>
          <w:w w:val="105"/>
        </w:rPr>
        <w:t>un municipio de primera, porque aquí cuando manejas no puedes meter segunda; baches, topes, burreros, embotellamientos, etcétera,</w:t>
      </w:r>
      <w:r>
        <w:rPr>
          <w:color w:val="231F20"/>
          <w:spacing w:val="-26"/>
          <w:w w:val="105"/>
        </w:rPr>
        <w:t> </w:t>
      </w:r>
      <w:r>
        <w:rPr>
          <w:color w:val="231F20"/>
          <w:w w:val="105"/>
        </w:rPr>
        <w:t>te</w:t>
      </w:r>
      <w:r>
        <w:rPr>
          <w:color w:val="231F20"/>
          <w:spacing w:val="-26"/>
          <w:w w:val="105"/>
        </w:rPr>
        <w:t> </w:t>
      </w:r>
      <w:r>
        <w:rPr>
          <w:color w:val="231F20"/>
          <w:w w:val="105"/>
        </w:rPr>
        <w:t>lo</w:t>
      </w:r>
      <w:r>
        <w:rPr>
          <w:color w:val="231F20"/>
          <w:spacing w:val="-26"/>
          <w:w w:val="105"/>
        </w:rPr>
        <w:t> </w:t>
      </w:r>
      <w:r>
        <w:rPr>
          <w:color w:val="231F20"/>
          <w:w w:val="105"/>
        </w:rPr>
        <w:t>impiden”</w:t>
      </w:r>
      <w:r>
        <w:rPr>
          <w:color w:val="231F20"/>
          <w:spacing w:val="-26"/>
          <w:w w:val="105"/>
        </w:rPr>
        <w:t> </w:t>
      </w:r>
      <w:r>
        <w:rPr>
          <w:color w:val="231F20"/>
          <w:w w:val="105"/>
        </w:rPr>
        <w:t>(Pabello,</w:t>
      </w:r>
      <w:r>
        <w:rPr>
          <w:color w:val="231F20"/>
          <w:spacing w:val="-26"/>
          <w:w w:val="105"/>
        </w:rPr>
        <w:t> </w:t>
      </w:r>
      <w:r>
        <w:rPr>
          <w:color w:val="231F20"/>
          <w:w w:val="105"/>
        </w:rPr>
        <w:t>entrevista).</w:t>
      </w:r>
    </w:p>
    <w:p>
      <w:pPr>
        <w:pStyle w:val="BodyText"/>
        <w:spacing w:before="1"/>
        <w:rPr>
          <w:sz w:val="26"/>
        </w:rPr>
      </w:pPr>
    </w:p>
    <w:p>
      <w:pPr>
        <w:pStyle w:val="BodyText"/>
        <w:spacing w:line="285" w:lineRule="auto"/>
        <w:ind w:left="110" w:right="108"/>
        <w:jc w:val="both"/>
      </w:pPr>
      <w:r>
        <w:rPr>
          <w:color w:val="231F20"/>
        </w:rPr>
        <w:t>El movimiento Antorchista tiene su propia visión, en un artículo denominado “La </w:t>
      </w:r>
      <w:r>
        <w:rPr>
          <w:color w:val="231F20"/>
          <w:spacing w:val="-7"/>
        </w:rPr>
        <w:t>Ver- </w:t>
      </w:r>
      <w:r>
        <w:rPr>
          <w:color w:val="231F20"/>
        </w:rPr>
        <w:t>dadera Cara del PRD en Chimalhuacán”, firmado por Alejandro </w:t>
      </w:r>
      <w:r>
        <w:rPr>
          <w:color w:val="231F20"/>
          <w:spacing w:val="-5"/>
        </w:rPr>
        <w:t>Torres </w:t>
      </w:r>
      <w:r>
        <w:rPr>
          <w:color w:val="231F20"/>
        </w:rPr>
        <w:t>Collado y publi- </w:t>
      </w:r>
      <w:r>
        <w:rPr>
          <w:color w:val="231F20"/>
          <w:u w:val="single" w:color="231F20"/>
        </w:rPr>
        <w:t>cado en su órgano oficial el 23 de abril de </w:t>
      </w:r>
      <w:r>
        <w:rPr>
          <w:color w:val="231F20"/>
          <w:spacing w:val="-3"/>
          <w:u w:val="single" w:color="231F20"/>
        </w:rPr>
        <w:t>2007, </w:t>
      </w:r>
      <w:r>
        <w:rPr>
          <w:color w:val="231F20"/>
          <w:u w:val="single" w:color="231F20"/>
        </w:rPr>
        <w:t>dice </w:t>
      </w:r>
      <w:r>
        <w:rPr>
          <w:color w:val="231F20"/>
          <w:spacing w:val="2"/>
          <w:u w:val="single" w:color="231F20"/>
        </w:rPr>
        <w:t>al</w:t>
      </w:r>
      <w:r>
        <w:rPr>
          <w:color w:val="231F20"/>
          <w:spacing w:val="54"/>
          <w:u w:val="single" w:color="231F20"/>
        </w:rPr>
        <w:t> </w:t>
      </w:r>
      <w:r>
        <w:rPr>
          <w:color w:val="231F20"/>
          <w:u w:val="single" w:color="231F20"/>
        </w:rPr>
        <w:t>inicio:   </w:t>
      </w:r>
      <w:r>
        <w:rPr>
          <w:color w:val="231F20"/>
          <w:spacing w:val="-14"/>
          <w:u w:val="single" w:color="231F20"/>
        </w:rPr>
        <w:t> </w:t>
      </w:r>
    </w:p>
    <w:p>
      <w:pPr>
        <w:spacing w:before="52"/>
        <w:ind w:left="110" w:right="0" w:firstLine="0"/>
        <w:jc w:val="both"/>
        <w:rPr>
          <w:rFonts w:ascii="Calibri" w:hAnsi="Calibri"/>
          <w:sz w:val="16"/>
        </w:rPr>
      </w:pPr>
      <w:r>
        <w:rPr>
          <w:rFonts w:ascii="Calibri" w:hAnsi="Calibri"/>
          <w:color w:val="231F20"/>
          <w:sz w:val="16"/>
        </w:rPr>
        <w:t>fecha sigue igual. Chimalhuacán. “Dos años después la vida sin ‘La Loba’”, de Alberto Nájar.</w:t>
      </w:r>
    </w:p>
    <w:p>
      <w:pPr>
        <w:spacing w:after="0"/>
        <w:jc w:val="both"/>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677" w:right="106"/>
        <w:jc w:val="both"/>
      </w:pPr>
      <w:r>
        <w:rPr>
          <w:color w:val="231F20"/>
          <w:w w:val="105"/>
        </w:rPr>
        <w:t>“Hace</w:t>
      </w:r>
      <w:r>
        <w:rPr>
          <w:color w:val="231F20"/>
          <w:spacing w:val="-21"/>
          <w:w w:val="105"/>
        </w:rPr>
        <w:t> </w:t>
      </w:r>
      <w:r>
        <w:rPr>
          <w:color w:val="231F20"/>
          <w:w w:val="105"/>
        </w:rPr>
        <w:t>algunos</w:t>
      </w:r>
      <w:r>
        <w:rPr>
          <w:color w:val="231F20"/>
          <w:spacing w:val="-21"/>
          <w:w w:val="105"/>
        </w:rPr>
        <w:t> </w:t>
      </w:r>
      <w:r>
        <w:rPr>
          <w:color w:val="231F20"/>
          <w:w w:val="105"/>
        </w:rPr>
        <w:t>días</w:t>
      </w:r>
      <w:r>
        <w:rPr>
          <w:color w:val="231F20"/>
          <w:spacing w:val="-21"/>
          <w:w w:val="105"/>
        </w:rPr>
        <w:t> </w:t>
      </w:r>
      <w:r>
        <w:rPr>
          <w:color w:val="231F20"/>
          <w:w w:val="105"/>
        </w:rPr>
        <w:t>apareció</w:t>
      </w:r>
      <w:r>
        <w:rPr>
          <w:color w:val="231F20"/>
          <w:spacing w:val="-21"/>
          <w:w w:val="105"/>
        </w:rPr>
        <w:t> </w:t>
      </w:r>
      <w:r>
        <w:rPr>
          <w:color w:val="231F20"/>
          <w:w w:val="105"/>
        </w:rPr>
        <w:t>en</w:t>
      </w:r>
      <w:r>
        <w:rPr>
          <w:color w:val="231F20"/>
          <w:spacing w:val="-21"/>
          <w:w w:val="105"/>
        </w:rPr>
        <w:t> </w:t>
      </w:r>
      <w:r>
        <w:rPr>
          <w:color w:val="231F20"/>
          <w:w w:val="105"/>
        </w:rPr>
        <w:t>una</w:t>
      </w:r>
      <w:r>
        <w:rPr>
          <w:color w:val="231F20"/>
          <w:spacing w:val="-21"/>
          <w:w w:val="105"/>
        </w:rPr>
        <w:t> </w:t>
      </w:r>
      <w:r>
        <w:rPr>
          <w:color w:val="231F20"/>
          <w:w w:val="105"/>
        </w:rPr>
        <w:t>televisora</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1"/>
          <w:w w:val="105"/>
        </w:rPr>
        <w:t> </w:t>
      </w:r>
      <w:r>
        <w:rPr>
          <w:color w:val="231F20"/>
          <w:w w:val="105"/>
        </w:rPr>
        <w:t>la</w:t>
      </w:r>
      <w:r>
        <w:rPr>
          <w:color w:val="231F20"/>
          <w:spacing w:val="-21"/>
          <w:w w:val="105"/>
        </w:rPr>
        <w:t> </w:t>
      </w:r>
      <w:r>
        <w:rPr>
          <w:color w:val="231F20"/>
          <w:w w:val="105"/>
        </w:rPr>
        <w:t>imagen</w:t>
      </w:r>
      <w:r>
        <w:rPr>
          <w:color w:val="231F20"/>
          <w:spacing w:val="-21"/>
          <w:w w:val="105"/>
        </w:rPr>
        <w:t> </w:t>
      </w:r>
      <w:r>
        <w:rPr>
          <w:color w:val="231F20"/>
          <w:w w:val="105"/>
        </w:rPr>
        <w:t>del presidente municipal de Chimalhuacán, como invitado a un programa matutino de televisión, que nos permitió escuchar y conocer los anhelos e ilusiones del gobernante de un municipio clasificado como con la concentración urbana con mayor</w:t>
      </w:r>
      <w:r>
        <w:rPr>
          <w:color w:val="231F20"/>
          <w:spacing w:val="-15"/>
          <w:w w:val="105"/>
        </w:rPr>
        <w:t> </w:t>
      </w:r>
      <w:r>
        <w:rPr>
          <w:color w:val="231F20"/>
          <w:w w:val="105"/>
        </w:rPr>
        <w:t>pobreza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país.</w:t>
      </w:r>
      <w:r>
        <w:rPr>
          <w:color w:val="231F20"/>
          <w:spacing w:val="-15"/>
          <w:w w:val="105"/>
        </w:rPr>
        <w:t> </w:t>
      </w:r>
      <w:r>
        <w:rPr>
          <w:color w:val="231F20"/>
          <w:spacing w:val="-3"/>
          <w:w w:val="105"/>
        </w:rPr>
        <w:t>También</w:t>
      </w:r>
      <w:r>
        <w:rPr>
          <w:color w:val="231F20"/>
          <w:spacing w:val="-15"/>
          <w:w w:val="105"/>
        </w:rPr>
        <w:t> </w:t>
      </w:r>
      <w:r>
        <w:rPr>
          <w:color w:val="231F20"/>
          <w:w w:val="105"/>
        </w:rPr>
        <w:t>nos</w:t>
      </w:r>
      <w:r>
        <w:rPr>
          <w:color w:val="231F20"/>
          <w:spacing w:val="-15"/>
          <w:w w:val="105"/>
        </w:rPr>
        <w:t> </w:t>
      </w:r>
      <w:r>
        <w:rPr>
          <w:color w:val="231F20"/>
          <w:w w:val="105"/>
        </w:rPr>
        <w:t>permitió</w:t>
      </w:r>
      <w:r>
        <w:rPr>
          <w:color w:val="231F20"/>
          <w:spacing w:val="-15"/>
          <w:w w:val="105"/>
        </w:rPr>
        <w:t> </w:t>
      </w:r>
      <w:r>
        <w:rPr>
          <w:color w:val="231F20"/>
          <w:w w:val="105"/>
        </w:rPr>
        <w:t>conocer</w:t>
      </w:r>
      <w:r>
        <w:rPr>
          <w:color w:val="231F20"/>
          <w:spacing w:val="-15"/>
          <w:w w:val="105"/>
        </w:rPr>
        <w:t> </w:t>
      </w:r>
      <w:r>
        <w:rPr>
          <w:color w:val="231F20"/>
          <w:w w:val="105"/>
        </w:rPr>
        <w:t>el</w:t>
      </w:r>
      <w:r>
        <w:rPr>
          <w:color w:val="231F20"/>
          <w:spacing w:val="-15"/>
          <w:w w:val="105"/>
        </w:rPr>
        <w:t> </w:t>
      </w:r>
      <w:r>
        <w:rPr>
          <w:color w:val="231F20"/>
          <w:w w:val="105"/>
        </w:rPr>
        <w:t>trabajo</w:t>
      </w:r>
      <w:r>
        <w:rPr>
          <w:color w:val="231F20"/>
          <w:spacing w:val="-15"/>
          <w:w w:val="105"/>
        </w:rPr>
        <w:t> </w:t>
      </w:r>
      <w:r>
        <w:rPr>
          <w:color w:val="231F20"/>
          <w:w w:val="105"/>
        </w:rPr>
        <w:t>que</w:t>
      </w:r>
      <w:r>
        <w:rPr>
          <w:color w:val="231F20"/>
          <w:spacing w:val="-15"/>
          <w:w w:val="105"/>
        </w:rPr>
        <w:t> </w:t>
      </w:r>
      <w:r>
        <w:rPr>
          <w:color w:val="231F20"/>
          <w:w w:val="105"/>
        </w:rPr>
        <w:t>desarrolla para</w:t>
      </w:r>
      <w:r>
        <w:rPr>
          <w:color w:val="231F20"/>
          <w:spacing w:val="-17"/>
          <w:w w:val="105"/>
        </w:rPr>
        <w:t> </w:t>
      </w:r>
      <w:r>
        <w:rPr>
          <w:color w:val="231F20"/>
          <w:w w:val="105"/>
        </w:rPr>
        <w:t>sacarlo</w:t>
      </w:r>
      <w:r>
        <w:rPr>
          <w:color w:val="231F20"/>
          <w:spacing w:val="-17"/>
          <w:w w:val="105"/>
        </w:rPr>
        <w:t> </w:t>
      </w:r>
      <w:r>
        <w:rPr>
          <w:color w:val="231F20"/>
          <w:w w:val="105"/>
        </w:rPr>
        <w:t>del</w:t>
      </w:r>
      <w:r>
        <w:rPr>
          <w:color w:val="231F20"/>
          <w:spacing w:val="-17"/>
          <w:w w:val="105"/>
        </w:rPr>
        <w:t> </w:t>
      </w:r>
      <w:r>
        <w:rPr>
          <w:color w:val="231F20"/>
          <w:w w:val="105"/>
        </w:rPr>
        <w:t>tremendo</w:t>
      </w:r>
      <w:r>
        <w:rPr>
          <w:color w:val="231F20"/>
          <w:spacing w:val="-17"/>
          <w:w w:val="105"/>
        </w:rPr>
        <w:t> </w:t>
      </w:r>
      <w:r>
        <w:rPr>
          <w:color w:val="231F20"/>
          <w:w w:val="105"/>
        </w:rPr>
        <w:t>rezago</w:t>
      </w:r>
      <w:r>
        <w:rPr>
          <w:color w:val="231F20"/>
          <w:spacing w:val="-17"/>
          <w:w w:val="105"/>
        </w:rPr>
        <w:t> </w:t>
      </w:r>
      <w:r>
        <w:rPr>
          <w:color w:val="231F20"/>
          <w:spacing w:val="2"/>
          <w:w w:val="105"/>
        </w:rPr>
        <w:t>al</w:t>
      </w:r>
      <w:r>
        <w:rPr>
          <w:color w:val="231F20"/>
          <w:spacing w:val="-17"/>
          <w:w w:val="105"/>
        </w:rPr>
        <w:t> </w:t>
      </w:r>
      <w:r>
        <w:rPr>
          <w:color w:val="231F20"/>
          <w:w w:val="105"/>
        </w:rPr>
        <w:t>que</w:t>
      </w:r>
      <w:r>
        <w:rPr>
          <w:color w:val="231F20"/>
          <w:spacing w:val="-17"/>
          <w:w w:val="105"/>
        </w:rPr>
        <w:t> </w:t>
      </w:r>
      <w:r>
        <w:rPr>
          <w:color w:val="231F20"/>
          <w:w w:val="105"/>
        </w:rPr>
        <w:t>fue</w:t>
      </w:r>
      <w:r>
        <w:rPr>
          <w:color w:val="231F20"/>
          <w:spacing w:val="-17"/>
          <w:w w:val="105"/>
        </w:rPr>
        <w:t> </w:t>
      </w:r>
      <w:r>
        <w:rPr>
          <w:color w:val="231F20"/>
          <w:w w:val="105"/>
        </w:rPr>
        <w:t>confinado</w:t>
      </w:r>
      <w:r>
        <w:rPr>
          <w:color w:val="231F20"/>
          <w:spacing w:val="-17"/>
          <w:w w:val="105"/>
        </w:rPr>
        <w:t> </w:t>
      </w:r>
      <w:r>
        <w:rPr>
          <w:color w:val="231F20"/>
          <w:w w:val="105"/>
        </w:rPr>
        <w:t>por</w:t>
      </w:r>
      <w:r>
        <w:rPr>
          <w:color w:val="231F20"/>
          <w:spacing w:val="-17"/>
          <w:w w:val="105"/>
        </w:rPr>
        <w:t> </w:t>
      </w:r>
      <w:r>
        <w:rPr>
          <w:color w:val="231F20"/>
          <w:w w:val="105"/>
        </w:rPr>
        <w:t>anteriores</w:t>
      </w:r>
      <w:r>
        <w:rPr>
          <w:color w:val="231F20"/>
          <w:spacing w:val="-17"/>
          <w:w w:val="105"/>
        </w:rPr>
        <w:t> </w:t>
      </w:r>
      <w:r>
        <w:rPr>
          <w:color w:val="231F20"/>
          <w:w w:val="105"/>
        </w:rPr>
        <w:t>gobernantes ligados</w:t>
      </w:r>
      <w:r>
        <w:rPr>
          <w:color w:val="231F20"/>
          <w:spacing w:val="-21"/>
          <w:w w:val="105"/>
        </w:rPr>
        <w:t> </w:t>
      </w:r>
      <w:r>
        <w:rPr>
          <w:color w:val="231F20"/>
          <w:w w:val="105"/>
        </w:rPr>
        <w:t>o</w:t>
      </w:r>
      <w:r>
        <w:rPr>
          <w:color w:val="231F20"/>
          <w:spacing w:val="-21"/>
          <w:w w:val="105"/>
        </w:rPr>
        <w:t> </w:t>
      </w:r>
      <w:r>
        <w:rPr>
          <w:color w:val="231F20"/>
          <w:w w:val="105"/>
        </w:rPr>
        <w:t>dependientes</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cacicazgo</w:t>
      </w:r>
      <w:r>
        <w:rPr>
          <w:color w:val="231F20"/>
          <w:spacing w:val="-21"/>
          <w:w w:val="105"/>
        </w:rPr>
        <w:t> </w:t>
      </w:r>
      <w:r>
        <w:rPr>
          <w:color w:val="231F20"/>
          <w:w w:val="105"/>
        </w:rPr>
        <w:t>ejercido</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tristemente</w:t>
      </w:r>
      <w:r>
        <w:rPr>
          <w:color w:val="231F20"/>
          <w:spacing w:val="-21"/>
          <w:w w:val="105"/>
        </w:rPr>
        <w:t> </w:t>
      </w:r>
      <w:r>
        <w:rPr>
          <w:color w:val="231F20"/>
          <w:w w:val="105"/>
        </w:rPr>
        <w:t>célebre</w:t>
      </w:r>
      <w:r>
        <w:rPr>
          <w:color w:val="231F20"/>
          <w:spacing w:val="-21"/>
          <w:w w:val="105"/>
        </w:rPr>
        <w:t> </w:t>
      </w:r>
      <w:r>
        <w:rPr>
          <w:color w:val="231F20"/>
          <w:w w:val="105"/>
        </w:rPr>
        <w:t>Guada- </w:t>
      </w:r>
      <w:r>
        <w:rPr>
          <w:color w:val="231F20"/>
        </w:rPr>
        <w:t>lupe</w:t>
      </w:r>
      <w:r>
        <w:rPr>
          <w:color w:val="231F20"/>
          <w:spacing w:val="-18"/>
        </w:rPr>
        <w:t> </w:t>
      </w:r>
      <w:r>
        <w:rPr>
          <w:color w:val="231F20"/>
        </w:rPr>
        <w:t>Buendía,</w:t>
      </w:r>
      <w:r>
        <w:rPr>
          <w:color w:val="231F20"/>
          <w:spacing w:val="-18"/>
        </w:rPr>
        <w:t> </w:t>
      </w:r>
      <w:r>
        <w:rPr>
          <w:color w:val="231F20"/>
          <w:spacing w:val="2"/>
        </w:rPr>
        <w:t>alias</w:t>
      </w:r>
      <w:r>
        <w:rPr>
          <w:color w:val="231F20"/>
          <w:spacing w:val="-18"/>
        </w:rPr>
        <w:t> </w:t>
      </w:r>
      <w:r>
        <w:rPr>
          <w:color w:val="231F20"/>
        </w:rPr>
        <w:t>“La</w:t>
      </w:r>
      <w:r>
        <w:rPr>
          <w:color w:val="231F20"/>
          <w:spacing w:val="-18"/>
        </w:rPr>
        <w:t> </w:t>
      </w:r>
      <w:r>
        <w:rPr>
          <w:color w:val="231F20"/>
          <w:spacing w:val="-5"/>
        </w:rPr>
        <w:t>Loba”….</w:t>
      </w:r>
    </w:p>
    <w:p>
      <w:pPr>
        <w:pStyle w:val="BodyText"/>
        <w:spacing w:before="1"/>
        <w:rPr>
          <w:sz w:val="26"/>
        </w:rPr>
      </w:pPr>
    </w:p>
    <w:p>
      <w:pPr>
        <w:pStyle w:val="BodyText"/>
        <w:spacing w:line="285" w:lineRule="auto"/>
        <w:ind w:left="677" w:right="108"/>
        <w:jc w:val="both"/>
      </w:pPr>
      <w:r>
        <w:rPr>
          <w:color w:val="231F20"/>
          <w:w w:val="105"/>
        </w:rPr>
        <w:t>…Pues</w:t>
      </w:r>
      <w:r>
        <w:rPr>
          <w:color w:val="231F20"/>
          <w:spacing w:val="-6"/>
          <w:w w:val="105"/>
        </w:rPr>
        <w:t> </w:t>
      </w:r>
      <w:r>
        <w:rPr>
          <w:color w:val="231F20"/>
          <w:w w:val="105"/>
        </w:rPr>
        <w:t>bien,</w:t>
      </w:r>
      <w:r>
        <w:rPr>
          <w:color w:val="231F20"/>
          <w:spacing w:val="-6"/>
          <w:w w:val="105"/>
        </w:rPr>
        <w:t> </w:t>
      </w:r>
      <w:r>
        <w:rPr>
          <w:color w:val="231F20"/>
          <w:w w:val="105"/>
        </w:rPr>
        <w:t>no</w:t>
      </w:r>
      <w:r>
        <w:rPr>
          <w:color w:val="231F20"/>
          <w:spacing w:val="-6"/>
          <w:w w:val="105"/>
        </w:rPr>
        <w:t> </w:t>
      </w:r>
      <w:r>
        <w:rPr>
          <w:color w:val="231F20"/>
          <w:w w:val="105"/>
        </w:rPr>
        <w:t>apenas</w:t>
      </w:r>
      <w:r>
        <w:rPr>
          <w:color w:val="231F20"/>
          <w:spacing w:val="-6"/>
          <w:w w:val="105"/>
        </w:rPr>
        <w:t> </w:t>
      </w:r>
      <w:r>
        <w:rPr>
          <w:color w:val="231F20"/>
          <w:w w:val="105"/>
        </w:rPr>
        <w:t>terminó</w:t>
      </w:r>
      <w:r>
        <w:rPr>
          <w:color w:val="231F20"/>
          <w:spacing w:val="-6"/>
          <w:w w:val="105"/>
        </w:rPr>
        <w:t> </w:t>
      </w:r>
      <w:r>
        <w:rPr>
          <w:color w:val="231F20"/>
          <w:w w:val="105"/>
        </w:rPr>
        <w:t>la</w:t>
      </w:r>
      <w:r>
        <w:rPr>
          <w:color w:val="231F20"/>
          <w:spacing w:val="-6"/>
          <w:w w:val="105"/>
        </w:rPr>
        <w:t> </w:t>
      </w:r>
      <w:r>
        <w:rPr>
          <w:color w:val="231F20"/>
          <w:w w:val="105"/>
        </w:rPr>
        <w:t>entrevista</w:t>
      </w:r>
      <w:r>
        <w:rPr>
          <w:color w:val="231F20"/>
          <w:spacing w:val="-6"/>
          <w:w w:val="105"/>
        </w:rPr>
        <w:t> </w:t>
      </w:r>
      <w:r>
        <w:rPr>
          <w:color w:val="231F20"/>
          <w:w w:val="105"/>
        </w:rPr>
        <w:t>cuando</w:t>
      </w:r>
      <w:r>
        <w:rPr>
          <w:color w:val="231F20"/>
          <w:spacing w:val="-6"/>
          <w:w w:val="105"/>
        </w:rPr>
        <w:t> </w:t>
      </w:r>
      <w:r>
        <w:rPr>
          <w:color w:val="231F20"/>
          <w:w w:val="105"/>
        </w:rPr>
        <w:t>regidores,</w:t>
      </w:r>
      <w:r>
        <w:rPr>
          <w:color w:val="231F20"/>
          <w:spacing w:val="-6"/>
          <w:w w:val="105"/>
        </w:rPr>
        <w:t> </w:t>
      </w:r>
      <w:r>
        <w:rPr>
          <w:color w:val="231F20"/>
          <w:w w:val="105"/>
        </w:rPr>
        <w:t>diputados</w:t>
      </w:r>
      <w:r>
        <w:rPr>
          <w:color w:val="231F20"/>
          <w:spacing w:val="-6"/>
          <w:w w:val="105"/>
        </w:rPr>
        <w:t> </w:t>
      </w:r>
      <w:r>
        <w:rPr>
          <w:color w:val="231F20"/>
          <w:w w:val="105"/>
        </w:rPr>
        <w:t>y</w:t>
      </w:r>
      <w:r>
        <w:rPr>
          <w:color w:val="231F20"/>
          <w:spacing w:val="-6"/>
          <w:w w:val="105"/>
        </w:rPr>
        <w:t> </w:t>
      </w:r>
      <w:r>
        <w:rPr>
          <w:color w:val="231F20"/>
          <w:w w:val="105"/>
        </w:rPr>
        <w:t>diri- gentes</w:t>
      </w:r>
      <w:r>
        <w:rPr>
          <w:color w:val="231F20"/>
          <w:spacing w:val="-9"/>
          <w:w w:val="105"/>
        </w:rPr>
        <w:t> </w:t>
      </w:r>
      <w:r>
        <w:rPr>
          <w:color w:val="231F20"/>
          <w:w w:val="105"/>
        </w:rPr>
        <w:t>perredistas</w:t>
      </w:r>
      <w:r>
        <w:rPr>
          <w:color w:val="231F20"/>
          <w:spacing w:val="-9"/>
          <w:w w:val="105"/>
        </w:rPr>
        <w:t> </w:t>
      </w:r>
      <w:r>
        <w:rPr>
          <w:color w:val="231F20"/>
          <w:w w:val="105"/>
        </w:rPr>
        <w:t>se</w:t>
      </w:r>
      <w:r>
        <w:rPr>
          <w:color w:val="231F20"/>
          <w:spacing w:val="-9"/>
          <w:w w:val="105"/>
        </w:rPr>
        <w:t> </w:t>
      </w:r>
      <w:r>
        <w:rPr>
          <w:color w:val="231F20"/>
          <w:w w:val="105"/>
        </w:rPr>
        <w:t>lanzaron</w:t>
      </w:r>
      <w:r>
        <w:rPr>
          <w:color w:val="231F20"/>
          <w:spacing w:val="-9"/>
          <w:w w:val="105"/>
        </w:rPr>
        <w:t> </w:t>
      </w:r>
      <w:r>
        <w:rPr>
          <w:color w:val="231F20"/>
          <w:w w:val="105"/>
        </w:rPr>
        <w:t>en</w:t>
      </w:r>
      <w:r>
        <w:rPr>
          <w:color w:val="231F20"/>
          <w:spacing w:val="-9"/>
          <w:w w:val="105"/>
        </w:rPr>
        <w:t> </w:t>
      </w:r>
      <w:r>
        <w:rPr>
          <w:color w:val="231F20"/>
          <w:w w:val="105"/>
        </w:rPr>
        <w:t>contra</w:t>
      </w:r>
      <w:r>
        <w:rPr>
          <w:color w:val="231F20"/>
          <w:spacing w:val="-9"/>
          <w:w w:val="105"/>
        </w:rPr>
        <w:t> </w:t>
      </w:r>
      <w:r>
        <w:rPr>
          <w:color w:val="231F20"/>
          <w:w w:val="105"/>
        </w:rPr>
        <w:t>del</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de</w:t>
      </w:r>
      <w:r>
        <w:rPr>
          <w:color w:val="231F20"/>
          <w:spacing w:val="-9"/>
          <w:w w:val="105"/>
        </w:rPr>
        <w:t> </w:t>
      </w:r>
      <w:r>
        <w:rPr>
          <w:color w:val="231F20"/>
          <w:w w:val="105"/>
        </w:rPr>
        <w:t>Chimalhua- </w:t>
      </w:r>
      <w:r>
        <w:rPr>
          <w:color w:val="231F20"/>
          <w:spacing w:val="2"/>
          <w:w w:val="105"/>
        </w:rPr>
        <w:t>cán </w:t>
      </w:r>
      <w:r>
        <w:rPr>
          <w:color w:val="231F20"/>
          <w:w w:val="105"/>
        </w:rPr>
        <w:t>y empezaron las amenazas con marchas y plantones para denunciar que la obra</w:t>
      </w:r>
      <w:r>
        <w:rPr>
          <w:color w:val="231F20"/>
          <w:spacing w:val="-10"/>
          <w:w w:val="105"/>
        </w:rPr>
        <w:t> </w:t>
      </w:r>
      <w:r>
        <w:rPr>
          <w:color w:val="231F20"/>
          <w:w w:val="105"/>
        </w:rPr>
        <w:t>social</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está</w:t>
      </w:r>
      <w:r>
        <w:rPr>
          <w:color w:val="231F20"/>
          <w:spacing w:val="-10"/>
          <w:w w:val="105"/>
        </w:rPr>
        <w:t> </w:t>
      </w:r>
      <w:r>
        <w:rPr>
          <w:color w:val="231F20"/>
          <w:w w:val="105"/>
        </w:rPr>
        <w:t>construyendo</w:t>
      </w:r>
      <w:r>
        <w:rPr>
          <w:color w:val="231F20"/>
          <w:spacing w:val="-10"/>
          <w:w w:val="105"/>
        </w:rPr>
        <w:t> </w:t>
      </w:r>
      <w:r>
        <w:rPr>
          <w:color w:val="231F20"/>
          <w:w w:val="105"/>
        </w:rPr>
        <w:t>y</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construye</w:t>
      </w:r>
      <w:r>
        <w:rPr>
          <w:color w:val="231F20"/>
          <w:spacing w:val="-10"/>
          <w:w w:val="105"/>
        </w:rPr>
        <w:t> </w:t>
      </w:r>
      <w:r>
        <w:rPr>
          <w:color w:val="231F20"/>
          <w:w w:val="105"/>
        </w:rPr>
        <w:t>sólo</w:t>
      </w:r>
      <w:r>
        <w:rPr>
          <w:color w:val="231F20"/>
          <w:spacing w:val="-10"/>
          <w:w w:val="105"/>
        </w:rPr>
        <w:t> </w:t>
      </w:r>
      <w:r>
        <w:rPr>
          <w:color w:val="231F20"/>
          <w:w w:val="105"/>
        </w:rPr>
        <w:t>beneficia</w:t>
      </w:r>
      <w:r>
        <w:rPr>
          <w:color w:val="231F20"/>
          <w:spacing w:val="-10"/>
          <w:w w:val="105"/>
        </w:rPr>
        <w:t> </w:t>
      </w:r>
      <w:r>
        <w:rPr>
          <w:color w:val="231F20"/>
          <w:w w:val="105"/>
        </w:rPr>
        <w:t>a</w:t>
      </w:r>
      <w:r>
        <w:rPr>
          <w:color w:val="231F20"/>
          <w:spacing w:val="-10"/>
          <w:w w:val="105"/>
        </w:rPr>
        <w:t> </w:t>
      </w:r>
      <w:r>
        <w:rPr>
          <w:color w:val="231F20"/>
          <w:w w:val="105"/>
        </w:rPr>
        <w:t>los grupos</w:t>
      </w:r>
      <w:r>
        <w:rPr>
          <w:color w:val="231F20"/>
          <w:spacing w:val="-18"/>
          <w:w w:val="105"/>
        </w:rPr>
        <w:t> </w:t>
      </w:r>
      <w:r>
        <w:rPr>
          <w:color w:val="231F20"/>
          <w:w w:val="105"/>
        </w:rPr>
        <w:t>antorchistas</w:t>
      </w:r>
      <w:r>
        <w:rPr>
          <w:color w:val="231F20"/>
          <w:spacing w:val="-18"/>
          <w:w w:val="105"/>
        </w:rPr>
        <w:t> </w:t>
      </w:r>
      <w:r>
        <w:rPr>
          <w:color w:val="231F20"/>
          <w:w w:val="105"/>
        </w:rPr>
        <w:t>de</w:t>
      </w:r>
      <w:r>
        <w:rPr>
          <w:color w:val="231F20"/>
          <w:spacing w:val="-18"/>
          <w:w w:val="105"/>
        </w:rPr>
        <w:t> </w:t>
      </w:r>
      <w:r>
        <w:rPr>
          <w:color w:val="231F20"/>
          <w:w w:val="105"/>
        </w:rPr>
        <w:t>ese</w:t>
      </w:r>
      <w:r>
        <w:rPr>
          <w:color w:val="231F20"/>
          <w:spacing w:val="-18"/>
          <w:w w:val="105"/>
        </w:rPr>
        <w:t> </w:t>
      </w:r>
      <w:r>
        <w:rPr>
          <w:color w:val="231F20"/>
          <w:spacing w:val="-3"/>
          <w:w w:val="105"/>
        </w:rPr>
        <w:t>municipio…”</w:t>
      </w:r>
    </w:p>
    <w:p>
      <w:pPr>
        <w:pStyle w:val="BodyText"/>
        <w:spacing w:before="1"/>
        <w:rPr>
          <w:sz w:val="26"/>
        </w:rPr>
      </w:pPr>
    </w:p>
    <w:p>
      <w:pPr>
        <w:pStyle w:val="BodyText"/>
        <w:spacing w:line="285" w:lineRule="auto"/>
        <w:ind w:left="677" w:right="101"/>
      </w:pPr>
      <w:r>
        <w:rPr>
          <w:color w:val="231F20"/>
          <w:w w:val="105"/>
        </w:rPr>
        <w:t>La</w:t>
      </w:r>
      <w:r>
        <w:rPr>
          <w:color w:val="231F20"/>
          <w:spacing w:val="-31"/>
          <w:w w:val="105"/>
        </w:rPr>
        <w:t> </w:t>
      </w:r>
      <w:r>
        <w:rPr>
          <w:color w:val="231F20"/>
          <w:w w:val="105"/>
        </w:rPr>
        <w:t>gestión</w:t>
      </w:r>
      <w:r>
        <w:rPr>
          <w:color w:val="231F20"/>
          <w:spacing w:val="-31"/>
          <w:w w:val="105"/>
        </w:rPr>
        <w:t> </w:t>
      </w:r>
      <w:r>
        <w:rPr>
          <w:color w:val="231F20"/>
          <w:w w:val="105"/>
        </w:rPr>
        <w:t>pública,</w:t>
      </w:r>
      <w:r>
        <w:rPr>
          <w:color w:val="231F20"/>
          <w:spacing w:val="-31"/>
          <w:w w:val="105"/>
        </w:rPr>
        <w:t> </w:t>
      </w:r>
      <w:r>
        <w:rPr>
          <w:color w:val="231F20"/>
          <w:w w:val="105"/>
        </w:rPr>
        <w:t>según</w:t>
      </w:r>
      <w:r>
        <w:rPr>
          <w:color w:val="231F20"/>
          <w:spacing w:val="-31"/>
          <w:w w:val="105"/>
        </w:rPr>
        <w:t> </w:t>
      </w:r>
      <w:r>
        <w:rPr>
          <w:color w:val="231F20"/>
          <w:w w:val="105"/>
        </w:rPr>
        <w:t>el</w:t>
      </w:r>
      <w:r>
        <w:rPr>
          <w:color w:val="231F20"/>
          <w:spacing w:val="-31"/>
          <w:w w:val="105"/>
        </w:rPr>
        <w:t> </w:t>
      </w:r>
      <w:r>
        <w:rPr>
          <w:color w:val="231F20"/>
          <w:spacing w:val="-3"/>
          <w:w w:val="105"/>
        </w:rPr>
        <w:t>Dr.</w:t>
      </w:r>
      <w:r>
        <w:rPr>
          <w:color w:val="231F20"/>
          <w:spacing w:val="-31"/>
          <w:w w:val="105"/>
        </w:rPr>
        <w:t> </w:t>
      </w:r>
      <w:r>
        <w:rPr>
          <w:color w:val="231F20"/>
          <w:w w:val="105"/>
        </w:rPr>
        <w:t>José</w:t>
      </w:r>
      <w:r>
        <w:rPr>
          <w:color w:val="231F20"/>
          <w:spacing w:val="-31"/>
          <w:w w:val="105"/>
        </w:rPr>
        <w:t> </w:t>
      </w:r>
      <w:r>
        <w:rPr>
          <w:color w:val="231F20"/>
          <w:w w:val="105"/>
        </w:rPr>
        <w:t>Juan</w:t>
      </w:r>
      <w:r>
        <w:rPr>
          <w:color w:val="231F20"/>
          <w:spacing w:val="-31"/>
          <w:w w:val="105"/>
        </w:rPr>
        <w:t> </w:t>
      </w:r>
      <w:r>
        <w:rPr>
          <w:color w:val="231F20"/>
          <w:w w:val="105"/>
        </w:rPr>
        <w:t>Sánchez</w:t>
      </w:r>
      <w:r>
        <w:rPr>
          <w:color w:val="231F20"/>
          <w:spacing w:val="-31"/>
          <w:w w:val="105"/>
        </w:rPr>
        <w:t> </w:t>
      </w:r>
      <w:r>
        <w:rPr>
          <w:color w:val="231F20"/>
          <w:w w:val="105"/>
        </w:rPr>
        <w:t>González,</w:t>
      </w:r>
      <w:r>
        <w:rPr>
          <w:color w:val="231F20"/>
          <w:spacing w:val="-31"/>
          <w:w w:val="105"/>
        </w:rPr>
        <w:t> </w:t>
      </w:r>
      <w:r>
        <w:rPr>
          <w:color w:val="231F20"/>
          <w:w w:val="105"/>
        </w:rPr>
        <w:t>tiene</w:t>
      </w:r>
      <w:r>
        <w:rPr>
          <w:color w:val="231F20"/>
          <w:spacing w:val="-31"/>
          <w:w w:val="105"/>
        </w:rPr>
        <w:t> </w:t>
      </w:r>
      <w:r>
        <w:rPr>
          <w:color w:val="231F20"/>
          <w:w w:val="105"/>
        </w:rPr>
        <w:t>como</w:t>
      </w:r>
      <w:r>
        <w:rPr>
          <w:color w:val="231F20"/>
          <w:spacing w:val="-31"/>
          <w:w w:val="105"/>
        </w:rPr>
        <w:t> </w:t>
      </w:r>
      <w:r>
        <w:rPr>
          <w:color w:val="231F20"/>
          <w:spacing w:val="2"/>
          <w:w w:val="105"/>
        </w:rPr>
        <w:t>fin</w:t>
      </w:r>
      <w:r>
        <w:rPr>
          <w:color w:val="231F20"/>
          <w:spacing w:val="-31"/>
          <w:w w:val="105"/>
        </w:rPr>
        <w:t> </w:t>
      </w:r>
      <w:r>
        <w:rPr>
          <w:color w:val="231F20"/>
          <w:w w:val="105"/>
        </w:rPr>
        <w:t>último fortalecer</w:t>
      </w:r>
      <w:r>
        <w:rPr>
          <w:color w:val="231F20"/>
          <w:spacing w:val="-13"/>
          <w:w w:val="105"/>
        </w:rPr>
        <w:t> </w:t>
      </w:r>
      <w:r>
        <w:rPr>
          <w:color w:val="231F20"/>
          <w:w w:val="105"/>
        </w:rPr>
        <w:t>la</w:t>
      </w:r>
      <w:r>
        <w:rPr>
          <w:color w:val="231F20"/>
          <w:spacing w:val="-13"/>
          <w:w w:val="105"/>
        </w:rPr>
        <w:t> </w:t>
      </w:r>
      <w:r>
        <w:rPr>
          <w:color w:val="231F20"/>
          <w:w w:val="105"/>
        </w:rPr>
        <w:t>capacidad</w:t>
      </w:r>
      <w:r>
        <w:rPr>
          <w:color w:val="231F20"/>
          <w:spacing w:val="-13"/>
          <w:w w:val="105"/>
        </w:rPr>
        <w:t> </w:t>
      </w:r>
      <w:r>
        <w:rPr>
          <w:color w:val="231F20"/>
          <w:w w:val="105"/>
        </w:rPr>
        <w:t>administrativa</w:t>
      </w:r>
      <w:r>
        <w:rPr>
          <w:color w:val="231F20"/>
          <w:spacing w:val="-13"/>
          <w:w w:val="105"/>
        </w:rPr>
        <w:t> </w:t>
      </w:r>
      <w:r>
        <w:rPr>
          <w:color w:val="231F20"/>
          <w:w w:val="105"/>
        </w:rPr>
        <w:t>frente</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preocupación</w:t>
      </w:r>
      <w:r>
        <w:rPr>
          <w:color w:val="231F20"/>
          <w:spacing w:val="-13"/>
          <w:w w:val="105"/>
        </w:rPr>
        <w:t> </w:t>
      </w:r>
      <w:r>
        <w:rPr>
          <w:color w:val="231F20"/>
          <w:w w:val="105"/>
        </w:rPr>
        <w:t>por</w:t>
      </w:r>
      <w:r>
        <w:rPr>
          <w:color w:val="231F20"/>
          <w:spacing w:val="-13"/>
          <w:w w:val="105"/>
        </w:rPr>
        <w:t> </w:t>
      </w:r>
      <w:r>
        <w:rPr>
          <w:color w:val="231F20"/>
          <w:w w:val="105"/>
        </w:rPr>
        <w:t>los</w:t>
      </w:r>
      <w:r>
        <w:rPr>
          <w:color w:val="231F20"/>
          <w:spacing w:val="-13"/>
          <w:w w:val="105"/>
        </w:rPr>
        <w:t> </w:t>
      </w:r>
      <w:r>
        <w:rPr>
          <w:color w:val="231F20"/>
          <w:w w:val="105"/>
        </w:rPr>
        <w:t>problemas de los gobernados; en Chimalhuacán se carece de esa intención y parece que la cuestión se centra en el fortalecimiento del cacicazgo, </w:t>
      </w:r>
      <w:r>
        <w:rPr>
          <w:color w:val="231F20"/>
          <w:spacing w:val="2"/>
          <w:w w:val="105"/>
        </w:rPr>
        <w:t>al </w:t>
      </w:r>
      <w:r>
        <w:rPr>
          <w:color w:val="231F20"/>
          <w:w w:val="105"/>
        </w:rPr>
        <w:t>respecto encontramos: A</w:t>
      </w:r>
      <w:r>
        <w:rPr>
          <w:color w:val="231F20"/>
          <w:spacing w:val="-12"/>
          <w:w w:val="105"/>
        </w:rPr>
        <w:t> </w:t>
      </w:r>
      <w:r>
        <w:rPr>
          <w:color w:val="231F20"/>
          <w:w w:val="105"/>
        </w:rPr>
        <w:t>la</w:t>
      </w:r>
      <w:r>
        <w:rPr>
          <w:color w:val="231F20"/>
          <w:spacing w:val="-12"/>
          <w:w w:val="105"/>
        </w:rPr>
        <w:t> </w:t>
      </w:r>
      <w:r>
        <w:rPr>
          <w:color w:val="231F20"/>
          <w:w w:val="105"/>
        </w:rPr>
        <w:t>fecha</w:t>
      </w:r>
      <w:r>
        <w:rPr>
          <w:color w:val="231F20"/>
          <w:spacing w:val="-12"/>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ser</w:t>
      </w:r>
      <w:r>
        <w:rPr>
          <w:color w:val="231F20"/>
          <w:spacing w:val="-12"/>
          <w:w w:val="105"/>
        </w:rPr>
        <w:t> </w:t>
      </w:r>
      <w:r>
        <w:rPr>
          <w:color w:val="231F20"/>
          <w:w w:val="105"/>
        </w:rPr>
        <w:t>el</w:t>
      </w:r>
      <w:r>
        <w:rPr>
          <w:color w:val="231F20"/>
          <w:spacing w:val="-12"/>
          <w:w w:val="105"/>
        </w:rPr>
        <w:t> </w:t>
      </w:r>
      <w:r>
        <w:rPr>
          <w:color w:val="231F20"/>
          <w:w w:val="105"/>
        </w:rPr>
        <w:t>grupo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poder</w:t>
      </w:r>
      <w:r>
        <w:rPr>
          <w:color w:val="231F20"/>
          <w:spacing w:val="-12"/>
          <w:w w:val="105"/>
        </w:rPr>
        <w:t> </w:t>
      </w:r>
      <w:r>
        <w:rPr>
          <w:color w:val="231F20"/>
          <w:w w:val="105"/>
        </w:rPr>
        <w:t>Antorcha</w:t>
      </w:r>
      <w:r>
        <w:rPr>
          <w:color w:val="231F20"/>
          <w:spacing w:val="-12"/>
          <w:w w:val="105"/>
        </w:rPr>
        <w:t> </w:t>
      </w:r>
      <w:r>
        <w:rPr>
          <w:color w:val="231F20"/>
          <w:w w:val="105"/>
        </w:rPr>
        <w:t>Popular,</w:t>
      </w:r>
      <w:r>
        <w:rPr>
          <w:color w:val="231F20"/>
          <w:spacing w:val="-12"/>
          <w:w w:val="105"/>
        </w:rPr>
        <w:t> </w:t>
      </w:r>
      <w:r>
        <w:rPr>
          <w:color w:val="231F20"/>
          <w:w w:val="105"/>
        </w:rPr>
        <w:t>y</w:t>
      </w:r>
      <w:r>
        <w:rPr>
          <w:color w:val="231F20"/>
          <w:spacing w:val="-12"/>
          <w:w w:val="105"/>
        </w:rPr>
        <w:t> </w:t>
      </w:r>
      <w:r>
        <w:rPr>
          <w:color w:val="231F20"/>
          <w:w w:val="105"/>
        </w:rPr>
        <w:t>tener</w:t>
      </w:r>
      <w:r>
        <w:rPr>
          <w:color w:val="231F20"/>
          <w:spacing w:val="-12"/>
          <w:w w:val="105"/>
        </w:rPr>
        <w:t> </w:t>
      </w:r>
      <w:r>
        <w:rPr>
          <w:color w:val="231F20"/>
          <w:w w:val="105"/>
        </w:rPr>
        <w:t>secuestrado</w:t>
      </w:r>
      <w:r>
        <w:rPr>
          <w:color w:val="231F20"/>
          <w:spacing w:val="-12"/>
          <w:w w:val="105"/>
        </w:rPr>
        <w:t> </w:t>
      </w:r>
      <w:r>
        <w:rPr>
          <w:color w:val="231F20"/>
          <w:w w:val="105"/>
        </w:rPr>
        <w:t>el Comité</w:t>
      </w:r>
      <w:r>
        <w:rPr>
          <w:color w:val="231F20"/>
          <w:spacing w:val="-18"/>
          <w:w w:val="105"/>
        </w:rPr>
        <w:t> </w:t>
      </w:r>
      <w:r>
        <w:rPr>
          <w:color w:val="231F20"/>
          <w:w w:val="105"/>
        </w:rPr>
        <w:t>Municipal</w:t>
      </w:r>
      <w:r>
        <w:rPr>
          <w:color w:val="231F20"/>
          <w:spacing w:val="-18"/>
          <w:w w:val="105"/>
        </w:rPr>
        <w:t> </w:t>
      </w:r>
      <w:r>
        <w:rPr>
          <w:color w:val="231F20"/>
          <w:w w:val="105"/>
        </w:rPr>
        <w:t>para</w:t>
      </w:r>
      <w:r>
        <w:rPr>
          <w:color w:val="231F20"/>
          <w:spacing w:val="-18"/>
          <w:w w:val="105"/>
        </w:rPr>
        <w:t> </w:t>
      </w:r>
      <w:r>
        <w:rPr>
          <w:color w:val="231F20"/>
          <w:w w:val="105"/>
        </w:rPr>
        <w:t>sus</w:t>
      </w:r>
      <w:r>
        <w:rPr>
          <w:color w:val="231F20"/>
          <w:spacing w:val="-18"/>
          <w:w w:val="105"/>
        </w:rPr>
        <w:t> </w:t>
      </w:r>
      <w:r>
        <w:rPr>
          <w:color w:val="231F20"/>
          <w:w w:val="105"/>
        </w:rPr>
        <w:t>fines</w:t>
      </w:r>
      <w:r>
        <w:rPr>
          <w:color w:val="231F20"/>
          <w:spacing w:val="-18"/>
          <w:w w:val="105"/>
        </w:rPr>
        <w:t> </w:t>
      </w:r>
      <w:r>
        <w:rPr>
          <w:color w:val="231F20"/>
          <w:w w:val="105"/>
        </w:rPr>
        <w:t>y</w:t>
      </w:r>
      <w:r>
        <w:rPr>
          <w:color w:val="231F20"/>
          <w:spacing w:val="-18"/>
          <w:w w:val="105"/>
        </w:rPr>
        <w:t> </w:t>
      </w:r>
      <w:r>
        <w:rPr>
          <w:color w:val="231F20"/>
          <w:w w:val="105"/>
        </w:rPr>
        <w:t>programas,</w:t>
      </w:r>
      <w:r>
        <w:rPr>
          <w:color w:val="231F20"/>
          <w:spacing w:val="-18"/>
          <w:w w:val="105"/>
        </w:rPr>
        <w:t> </w:t>
      </w:r>
      <w:r>
        <w:rPr>
          <w:color w:val="231F20"/>
          <w:w w:val="105"/>
        </w:rPr>
        <w:t>quien</w:t>
      </w:r>
      <w:r>
        <w:rPr>
          <w:color w:val="231F20"/>
          <w:spacing w:val="-18"/>
          <w:w w:val="105"/>
        </w:rPr>
        <w:t> </w:t>
      </w:r>
      <w:r>
        <w:rPr>
          <w:color w:val="231F20"/>
          <w:w w:val="105"/>
        </w:rPr>
        <w:t>no</w:t>
      </w:r>
      <w:r>
        <w:rPr>
          <w:color w:val="231F20"/>
          <w:spacing w:val="-18"/>
          <w:w w:val="105"/>
        </w:rPr>
        <w:t> </w:t>
      </w:r>
      <w:r>
        <w:rPr>
          <w:color w:val="231F20"/>
          <w:w w:val="105"/>
        </w:rPr>
        <w:t>se</w:t>
      </w:r>
      <w:r>
        <w:rPr>
          <w:color w:val="231F20"/>
          <w:spacing w:val="-18"/>
          <w:w w:val="105"/>
        </w:rPr>
        <w:t> </w:t>
      </w:r>
      <w:r>
        <w:rPr>
          <w:color w:val="231F20"/>
          <w:w w:val="105"/>
        </w:rPr>
        <w:t>identifique</w:t>
      </w:r>
      <w:r>
        <w:rPr>
          <w:color w:val="231F20"/>
          <w:spacing w:val="-18"/>
          <w:w w:val="105"/>
        </w:rPr>
        <w:t> </w:t>
      </w:r>
      <w:r>
        <w:rPr>
          <w:color w:val="231F20"/>
          <w:w w:val="105"/>
        </w:rPr>
        <w:t>o</w:t>
      </w:r>
      <w:r>
        <w:rPr>
          <w:color w:val="231F20"/>
          <w:spacing w:val="-18"/>
          <w:w w:val="105"/>
        </w:rPr>
        <w:t> </w:t>
      </w:r>
      <w:r>
        <w:rPr>
          <w:color w:val="231F20"/>
          <w:w w:val="105"/>
        </w:rPr>
        <w:t>se</w:t>
      </w:r>
      <w:r>
        <w:rPr>
          <w:color w:val="231F20"/>
          <w:spacing w:val="-18"/>
          <w:w w:val="105"/>
        </w:rPr>
        <w:t> </w:t>
      </w:r>
      <w:r>
        <w:rPr>
          <w:color w:val="231F20"/>
          <w:w w:val="105"/>
        </w:rPr>
        <w:t>someta a</w:t>
      </w:r>
      <w:r>
        <w:rPr>
          <w:color w:val="231F20"/>
          <w:spacing w:val="-13"/>
          <w:w w:val="105"/>
        </w:rPr>
        <w:t> </w:t>
      </w:r>
      <w:r>
        <w:rPr>
          <w:color w:val="231F20"/>
          <w:w w:val="105"/>
        </w:rPr>
        <w:t>sus</w:t>
      </w:r>
      <w:r>
        <w:rPr>
          <w:color w:val="231F20"/>
          <w:spacing w:val="-13"/>
          <w:w w:val="105"/>
        </w:rPr>
        <w:t> </w:t>
      </w:r>
      <w:r>
        <w:rPr>
          <w:color w:val="231F20"/>
          <w:w w:val="105"/>
        </w:rPr>
        <w:t>pretensiones</w:t>
      </w:r>
      <w:r>
        <w:rPr>
          <w:color w:val="231F20"/>
          <w:spacing w:val="-13"/>
          <w:w w:val="105"/>
        </w:rPr>
        <w:t> </w:t>
      </w:r>
      <w:r>
        <w:rPr>
          <w:color w:val="231F20"/>
          <w:w w:val="105"/>
        </w:rPr>
        <w:t>políticas,</w:t>
      </w:r>
      <w:r>
        <w:rPr>
          <w:color w:val="231F20"/>
          <w:spacing w:val="-13"/>
          <w:w w:val="105"/>
        </w:rPr>
        <w:t> </w:t>
      </w:r>
      <w:r>
        <w:rPr>
          <w:color w:val="231F20"/>
          <w:w w:val="105"/>
        </w:rPr>
        <w:t>es</w:t>
      </w:r>
      <w:r>
        <w:rPr>
          <w:color w:val="231F20"/>
          <w:spacing w:val="-13"/>
          <w:w w:val="105"/>
        </w:rPr>
        <w:t> </w:t>
      </w:r>
      <w:r>
        <w:rPr>
          <w:color w:val="231F20"/>
          <w:w w:val="105"/>
        </w:rPr>
        <w:t>relegado</w:t>
      </w:r>
      <w:r>
        <w:rPr>
          <w:color w:val="231F20"/>
          <w:spacing w:val="-13"/>
          <w:w w:val="105"/>
        </w:rPr>
        <w:t> </w:t>
      </w:r>
      <w:r>
        <w:rPr>
          <w:color w:val="231F20"/>
          <w:w w:val="105"/>
        </w:rPr>
        <w:t>y</w:t>
      </w:r>
      <w:r>
        <w:rPr>
          <w:color w:val="231F20"/>
          <w:spacing w:val="-13"/>
          <w:w w:val="105"/>
        </w:rPr>
        <w:t> </w:t>
      </w:r>
      <w:r>
        <w:rPr>
          <w:color w:val="231F20"/>
          <w:w w:val="105"/>
        </w:rPr>
        <w:t>excluido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programas</w:t>
      </w:r>
      <w:r>
        <w:rPr>
          <w:color w:val="231F20"/>
          <w:spacing w:val="-13"/>
          <w:w w:val="105"/>
        </w:rPr>
        <w:t> </w:t>
      </w:r>
      <w:r>
        <w:rPr>
          <w:color w:val="231F20"/>
          <w:w w:val="105"/>
        </w:rPr>
        <w:t>del</w:t>
      </w:r>
      <w:r>
        <w:rPr>
          <w:color w:val="231F20"/>
          <w:spacing w:val="-13"/>
          <w:w w:val="105"/>
        </w:rPr>
        <w:t> </w:t>
      </w:r>
      <w:r>
        <w:rPr>
          <w:color w:val="231F20"/>
          <w:w w:val="105"/>
        </w:rPr>
        <w:t>PRI</w:t>
      </w:r>
      <w:r>
        <w:rPr>
          <w:color w:val="231F20"/>
          <w:spacing w:val="-13"/>
          <w:w w:val="105"/>
        </w:rPr>
        <w:t> </w:t>
      </w:r>
      <w:r>
        <w:rPr>
          <w:color w:val="231F20"/>
          <w:spacing w:val="-3"/>
          <w:w w:val="105"/>
        </w:rPr>
        <w:t>mu- </w:t>
      </w:r>
      <w:r>
        <w:rPr>
          <w:color w:val="231F20"/>
          <w:w w:val="105"/>
        </w:rPr>
        <w:t>nicipal,</w:t>
      </w:r>
      <w:r>
        <w:rPr>
          <w:color w:val="231F20"/>
          <w:spacing w:val="-12"/>
          <w:w w:val="105"/>
        </w:rPr>
        <w:t> </w:t>
      </w:r>
      <w:r>
        <w:rPr>
          <w:color w:val="231F20"/>
          <w:w w:val="105"/>
        </w:rPr>
        <w:t>en</w:t>
      </w:r>
      <w:r>
        <w:rPr>
          <w:color w:val="231F20"/>
          <w:spacing w:val="-12"/>
          <w:w w:val="105"/>
        </w:rPr>
        <w:t> </w:t>
      </w:r>
      <w:r>
        <w:rPr>
          <w:color w:val="231F20"/>
          <w:spacing w:val="2"/>
          <w:w w:val="105"/>
        </w:rPr>
        <w:t>virtud</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a</w:t>
      </w:r>
      <w:r>
        <w:rPr>
          <w:color w:val="231F20"/>
          <w:spacing w:val="-12"/>
          <w:w w:val="105"/>
        </w:rPr>
        <w:t> </w:t>
      </w:r>
      <w:r>
        <w:rPr>
          <w:color w:val="231F20"/>
          <w:w w:val="105"/>
        </w:rPr>
        <w:t>todas</w:t>
      </w:r>
      <w:r>
        <w:rPr>
          <w:color w:val="231F20"/>
          <w:spacing w:val="-12"/>
          <w:w w:val="105"/>
        </w:rPr>
        <w:t> </w:t>
      </w:r>
      <w:r>
        <w:rPr>
          <w:color w:val="231F20"/>
          <w:w w:val="105"/>
        </w:rPr>
        <w:t>luces</w:t>
      </w:r>
      <w:r>
        <w:rPr>
          <w:color w:val="231F20"/>
          <w:spacing w:val="-12"/>
          <w:w w:val="105"/>
        </w:rPr>
        <w:t> </w:t>
      </w:r>
      <w:r>
        <w:rPr>
          <w:color w:val="231F20"/>
          <w:w w:val="105"/>
        </w:rPr>
        <w:t>pretenden</w:t>
      </w:r>
      <w:r>
        <w:rPr>
          <w:color w:val="231F20"/>
          <w:spacing w:val="-12"/>
          <w:w w:val="105"/>
        </w:rPr>
        <w:t> </w:t>
      </w:r>
      <w:r>
        <w:rPr>
          <w:color w:val="231F20"/>
          <w:w w:val="105"/>
        </w:rPr>
        <w:t>reafirmar</w:t>
      </w:r>
      <w:r>
        <w:rPr>
          <w:color w:val="231F20"/>
          <w:spacing w:val="-12"/>
          <w:w w:val="105"/>
        </w:rPr>
        <w:t> </w:t>
      </w:r>
      <w:r>
        <w:rPr>
          <w:color w:val="231F20"/>
          <w:w w:val="105"/>
        </w:rPr>
        <w:t>su</w:t>
      </w:r>
      <w:r>
        <w:rPr>
          <w:color w:val="231F20"/>
          <w:spacing w:val="-12"/>
          <w:w w:val="105"/>
        </w:rPr>
        <w:t> </w:t>
      </w:r>
      <w:r>
        <w:rPr>
          <w:color w:val="231F20"/>
          <w:w w:val="105"/>
        </w:rPr>
        <w:t>cacicazgo,</w:t>
      </w:r>
      <w:r>
        <w:rPr>
          <w:color w:val="231F20"/>
          <w:spacing w:val="-12"/>
          <w:w w:val="105"/>
        </w:rPr>
        <w:t> </w:t>
      </w:r>
      <w:r>
        <w:rPr>
          <w:color w:val="231F20"/>
          <w:w w:val="105"/>
        </w:rPr>
        <w:t>toda</w:t>
      </w:r>
      <w:r>
        <w:rPr>
          <w:color w:val="231F20"/>
          <w:spacing w:val="-12"/>
          <w:w w:val="105"/>
        </w:rPr>
        <w:t> </w:t>
      </w:r>
      <w:r>
        <w:rPr>
          <w:color w:val="231F20"/>
          <w:w w:val="105"/>
        </w:rPr>
        <w:t>vez que</w:t>
      </w:r>
      <w:r>
        <w:rPr>
          <w:color w:val="231F20"/>
          <w:spacing w:val="-20"/>
          <w:w w:val="105"/>
        </w:rPr>
        <w:t> </w:t>
      </w:r>
      <w:r>
        <w:rPr>
          <w:color w:val="231F20"/>
          <w:w w:val="105"/>
        </w:rPr>
        <w:t>sería</w:t>
      </w:r>
      <w:r>
        <w:rPr>
          <w:color w:val="231F20"/>
          <w:spacing w:val="-20"/>
          <w:w w:val="105"/>
        </w:rPr>
        <w:t> </w:t>
      </w:r>
      <w:r>
        <w:rPr>
          <w:color w:val="231F20"/>
          <w:w w:val="105"/>
        </w:rPr>
        <w:t>el</w:t>
      </w:r>
      <w:r>
        <w:rPr>
          <w:color w:val="231F20"/>
          <w:spacing w:val="-20"/>
          <w:w w:val="105"/>
        </w:rPr>
        <w:t> </w:t>
      </w:r>
      <w:r>
        <w:rPr>
          <w:color w:val="231F20"/>
          <w:w w:val="105"/>
        </w:rPr>
        <w:t>cuarto</w:t>
      </w:r>
      <w:r>
        <w:rPr>
          <w:color w:val="231F20"/>
          <w:spacing w:val="-20"/>
          <w:w w:val="105"/>
        </w:rPr>
        <w:t> </w:t>
      </w:r>
      <w:r>
        <w:rPr>
          <w:color w:val="231F20"/>
          <w:w w:val="105"/>
        </w:rPr>
        <w:t>periodo</w:t>
      </w:r>
      <w:r>
        <w:rPr>
          <w:color w:val="231F20"/>
          <w:spacing w:val="-20"/>
          <w:w w:val="105"/>
        </w:rPr>
        <w:t> </w:t>
      </w:r>
      <w:r>
        <w:rPr>
          <w:color w:val="231F20"/>
          <w:w w:val="105"/>
        </w:rPr>
        <w:t>municipal</w:t>
      </w:r>
      <w:r>
        <w:rPr>
          <w:color w:val="231F20"/>
          <w:spacing w:val="-20"/>
          <w:w w:val="105"/>
        </w:rPr>
        <w:t> </w:t>
      </w:r>
      <w:r>
        <w:rPr>
          <w:color w:val="231F20"/>
          <w:w w:val="105"/>
        </w:rPr>
        <w:t>en</w:t>
      </w:r>
      <w:r>
        <w:rPr>
          <w:color w:val="231F20"/>
          <w:spacing w:val="-20"/>
          <w:w w:val="105"/>
        </w:rPr>
        <w:t> </w:t>
      </w:r>
      <w:r>
        <w:rPr>
          <w:color w:val="231F20"/>
          <w:w w:val="105"/>
        </w:rPr>
        <w:t>sus</w:t>
      </w:r>
      <w:r>
        <w:rPr>
          <w:color w:val="231F20"/>
          <w:spacing w:val="-20"/>
          <w:w w:val="105"/>
        </w:rPr>
        <w:t> </w:t>
      </w:r>
      <w:r>
        <w:rPr>
          <w:color w:val="231F20"/>
          <w:w w:val="105"/>
        </w:rPr>
        <w:t>manos.</w:t>
      </w:r>
      <w:r>
        <w:rPr>
          <w:color w:val="231F20"/>
          <w:spacing w:val="-20"/>
          <w:w w:val="105"/>
        </w:rPr>
        <w:t> </w:t>
      </w:r>
      <w:r>
        <w:rPr>
          <w:color w:val="231F20"/>
          <w:w w:val="105"/>
        </w:rPr>
        <w:t>Esto</w:t>
      </w:r>
      <w:r>
        <w:rPr>
          <w:color w:val="231F20"/>
          <w:spacing w:val="-20"/>
          <w:w w:val="105"/>
        </w:rPr>
        <w:t> </w:t>
      </w:r>
      <w:r>
        <w:rPr>
          <w:color w:val="231F20"/>
          <w:w w:val="105"/>
        </w:rPr>
        <w:t>ejemplifica</w:t>
      </w:r>
      <w:r>
        <w:rPr>
          <w:color w:val="231F20"/>
          <w:spacing w:val="-20"/>
          <w:w w:val="105"/>
        </w:rPr>
        <w:t> </w:t>
      </w:r>
      <w:r>
        <w:rPr>
          <w:color w:val="231F20"/>
          <w:w w:val="105"/>
        </w:rPr>
        <w:t>en</w:t>
      </w:r>
      <w:r>
        <w:rPr>
          <w:color w:val="231F20"/>
          <w:spacing w:val="-20"/>
          <w:w w:val="105"/>
        </w:rPr>
        <w:t> </w:t>
      </w:r>
      <w:r>
        <w:rPr>
          <w:color w:val="231F20"/>
          <w:w w:val="105"/>
        </w:rPr>
        <w:t>lo</w:t>
      </w:r>
      <w:r>
        <w:rPr>
          <w:color w:val="231F20"/>
          <w:spacing w:val="-20"/>
          <w:w w:val="105"/>
        </w:rPr>
        <w:t> </w:t>
      </w:r>
      <w:r>
        <w:rPr>
          <w:color w:val="231F20"/>
          <w:w w:val="105"/>
        </w:rPr>
        <w:t>general que los conflictos de interés a que nos enfrentamos es por la permanencia en el poder</w:t>
      </w:r>
      <w:r>
        <w:rPr>
          <w:color w:val="231F20"/>
          <w:spacing w:val="-9"/>
          <w:w w:val="105"/>
        </w:rPr>
        <w:t> </w:t>
      </w:r>
      <w:r>
        <w:rPr>
          <w:color w:val="231F20"/>
          <w:w w:val="105"/>
        </w:rPr>
        <w:t>a</w:t>
      </w:r>
      <w:r>
        <w:rPr>
          <w:color w:val="231F20"/>
          <w:spacing w:val="-9"/>
          <w:w w:val="105"/>
        </w:rPr>
        <w:t> </w:t>
      </w:r>
      <w:r>
        <w:rPr>
          <w:color w:val="231F20"/>
          <w:w w:val="105"/>
        </w:rPr>
        <w:t>través</w:t>
      </w:r>
      <w:r>
        <w:rPr>
          <w:color w:val="231F20"/>
          <w:spacing w:val="-9"/>
          <w:w w:val="105"/>
        </w:rPr>
        <w:t> </w:t>
      </w:r>
      <w:r>
        <w:rPr>
          <w:color w:val="231F20"/>
          <w:w w:val="105"/>
        </w:rPr>
        <w:t>de</w:t>
      </w:r>
      <w:r>
        <w:rPr>
          <w:color w:val="231F20"/>
          <w:spacing w:val="-9"/>
          <w:w w:val="105"/>
        </w:rPr>
        <w:t> </w:t>
      </w:r>
      <w:r>
        <w:rPr>
          <w:color w:val="231F20"/>
          <w:w w:val="105"/>
        </w:rPr>
        <w:t>partido</w:t>
      </w:r>
      <w:r>
        <w:rPr>
          <w:color w:val="231F20"/>
          <w:spacing w:val="-9"/>
          <w:w w:val="105"/>
        </w:rPr>
        <w:t> </w:t>
      </w:r>
      <w:r>
        <w:rPr>
          <w:color w:val="231F20"/>
          <w:w w:val="105"/>
        </w:rPr>
        <w:t>político.</w:t>
      </w:r>
      <w:r>
        <w:rPr>
          <w:color w:val="231F20"/>
          <w:spacing w:val="-9"/>
          <w:w w:val="105"/>
        </w:rPr>
        <w:t> </w:t>
      </w:r>
      <w:r>
        <w:rPr>
          <w:color w:val="231F20"/>
          <w:w w:val="105"/>
        </w:rPr>
        <w:t>(Martínez,</w:t>
      </w:r>
      <w:r>
        <w:rPr>
          <w:color w:val="231F20"/>
          <w:spacing w:val="-9"/>
          <w:w w:val="105"/>
        </w:rPr>
        <w:t> </w:t>
      </w:r>
      <w:r>
        <w:rPr>
          <w:color w:val="231F20"/>
          <w:w w:val="105"/>
        </w:rPr>
        <w:t>entrevista)</w:t>
      </w:r>
    </w:p>
    <w:p>
      <w:pPr>
        <w:pStyle w:val="BodyText"/>
        <w:spacing w:before="1"/>
        <w:rPr>
          <w:sz w:val="26"/>
        </w:rPr>
      </w:pPr>
    </w:p>
    <w:p>
      <w:pPr>
        <w:pStyle w:val="BodyText"/>
        <w:ind w:left="110" w:right="574"/>
      </w:pPr>
      <w:r>
        <w:rPr>
          <w:color w:val="231F20"/>
          <w:w w:val="105"/>
        </w:rPr>
        <w:t>Otra de nuestras fuentes señala:</w:t>
      </w:r>
    </w:p>
    <w:p>
      <w:pPr>
        <w:pStyle w:val="BodyText"/>
        <w:spacing w:line="285" w:lineRule="auto" w:before="47"/>
        <w:ind w:left="677" w:right="108"/>
        <w:jc w:val="both"/>
      </w:pPr>
      <w:r>
        <w:rPr>
          <w:color w:val="231F20"/>
          <w:spacing w:val="-3"/>
          <w:w w:val="105"/>
        </w:rPr>
        <w:t>…el</w:t>
      </w:r>
      <w:r>
        <w:rPr>
          <w:color w:val="231F20"/>
          <w:spacing w:val="-19"/>
          <w:w w:val="105"/>
        </w:rPr>
        <w:t> </w:t>
      </w:r>
      <w:r>
        <w:rPr>
          <w:color w:val="231F20"/>
          <w:w w:val="105"/>
        </w:rPr>
        <w:t>grupo</w:t>
      </w:r>
      <w:r>
        <w:rPr>
          <w:color w:val="231F20"/>
          <w:spacing w:val="-19"/>
          <w:w w:val="105"/>
        </w:rPr>
        <w:t> </w:t>
      </w:r>
      <w:r>
        <w:rPr>
          <w:color w:val="231F20"/>
          <w:w w:val="105"/>
        </w:rPr>
        <w:t>gobernante</w:t>
      </w:r>
      <w:r>
        <w:rPr>
          <w:color w:val="231F20"/>
          <w:spacing w:val="-19"/>
          <w:w w:val="105"/>
        </w:rPr>
        <w:t> </w:t>
      </w:r>
      <w:r>
        <w:rPr>
          <w:color w:val="231F20"/>
          <w:w w:val="105"/>
        </w:rPr>
        <w:t>en</w:t>
      </w:r>
      <w:r>
        <w:rPr>
          <w:color w:val="231F20"/>
          <w:spacing w:val="-19"/>
          <w:w w:val="105"/>
        </w:rPr>
        <w:t> </w:t>
      </w:r>
      <w:r>
        <w:rPr>
          <w:color w:val="231F20"/>
          <w:w w:val="105"/>
        </w:rPr>
        <w:t>Chimalhuacán</w:t>
      </w:r>
      <w:r>
        <w:rPr>
          <w:color w:val="231F20"/>
          <w:spacing w:val="-19"/>
          <w:w w:val="105"/>
        </w:rPr>
        <w:t> </w:t>
      </w:r>
      <w:r>
        <w:rPr>
          <w:color w:val="231F20"/>
          <w:w w:val="105"/>
        </w:rPr>
        <w:t>ya</w:t>
      </w:r>
      <w:r>
        <w:rPr>
          <w:color w:val="231F20"/>
          <w:spacing w:val="-19"/>
          <w:w w:val="105"/>
        </w:rPr>
        <w:t> </w:t>
      </w:r>
      <w:r>
        <w:rPr>
          <w:color w:val="231F20"/>
          <w:w w:val="105"/>
        </w:rPr>
        <w:t>tiene</w:t>
      </w:r>
      <w:r>
        <w:rPr>
          <w:color w:val="231F20"/>
          <w:spacing w:val="-19"/>
          <w:w w:val="105"/>
        </w:rPr>
        <w:t> </w:t>
      </w:r>
      <w:r>
        <w:rPr>
          <w:color w:val="231F20"/>
          <w:w w:val="105"/>
        </w:rPr>
        <w:t>todo</w:t>
      </w:r>
      <w:r>
        <w:rPr>
          <w:color w:val="231F20"/>
          <w:spacing w:val="-19"/>
          <w:w w:val="105"/>
        </w:rPr>
        <w:t> </w:t>
      </w:r>
      <w:r>
        <w:rPr>
          <w:color w:val="231F20"/>
          <w:w w:val="105"/>
        </w:rPr>
        <w:t>armado</w:t>
      </w:r>
      <w:r>
        <w:rPr>
          <w:color w:val="231F20"/>
          <w:spacing w:val="-19"/>
          <w:w w:val="105"/>
        </w:rPr>
        <w:t> </w:t>
      </w:r>
      <w:r>
        <w:rPr>
          <w:color w:val="231F20"/>
          <w:w w:val="105"/>
        </w:rPr>
        <w:t>para</w:t>
      </w:r>
      <w:r>
        <w:rPr>
          <w:color w:val="231F20"/>
          <w:spacing w:val="-19"/>
          <w:w w:val="105"/>
        </w:rPr>
        <w:t> </w:t>
      </w:r>
      <w:r>
        <w:rPr>
          <w:color w:val="231F20"/>
          <w:w w:val="105"/>
        </w:rPr>
        <w:t>que</w:t>
      </w:r>
      <w:r>
        <w:rPr>
          <w:color w:val="231F20"/>
          <w:spacing w:val="-19"/>
          <w:w w:val="105"/>
        </w:rPr>
        <w:t> </w:t>
      </w:r>
      <w:r>
        <w:rPr>
          <w:color w:val="231F20"/>
          <w:w w:val="105"/>
        </w:rPr>
        <w:t>sea</w:t>
      </w:r>
      <w:r>
        <w:rPr>
          <w:color w:val="231F20"/>
          <w:spacing w:val="-19"/>
          <w:w w:val="105"/>
        </w:rPr>
        <w:t> </w:t>
      </w:r>
      <w:r>
        <w:rPr>
          <w:color w:val="231F20"/>
          <w:w w:val="105"/>
        </w:rPr>
        <w:t>desig- nado</w:t>
      </w:r>
      <w:r>
        <w:rPr>
          <w:color w:val="231F20"/>
          <w:spacing w:val="-16"/>
          <w:w w:val="105"/>
        </w:rPr>
        <w:t> </w:t>
      </w:r>
      <w:r>
        <w:rPr>
          <w:color w:val="231F20"/>
          <w:w w:val="105"/>
        </w:rPr>
        <w:t>el</w:t>
      </w:r>
      <w:r>
        <w:rPr>
          <w:color w:val="231F20"/>
          <w:spacing w:val="-16"/>
          <w:w w:val="105"/>
        </w:rPr>
        <w:t> </w:t>
      </w:r>
      <w:r>
        <w:rPr>
          <w:color w:val="231F20"/>
          <w:w w:val="105"/>
        </w:rPr>
        <w:t>candidato.</w:t>
      </w:r>
      <w:r>
        <w:rPr>
          <w:color w:val="231F20"/>
          <w:spacing w:val="-16"/>
          <w:w w:val="105"/>
        </w:rPr>
        <w:t> </w:t>
      </w: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w w:val="105"/>
        </w:rPr>
        <w:t>las</w:t>
      </w:r>
      <w:r>
        <w:rPr>
          <w:color w:val="231F20"/>
          <w:spacing w:val="-16"/>
          <w:w w:val="105"/>
        </w:rPr>
        <w:t> </w:t>
      </w:r>
      <w:r>
        <w:rPr>
          <w:color w:val="231F20"/>
          <w:w w:val="105"/>
        </w:rPr>
        <w:t>versiones</w:t>
      </w:r>
      <w:r>
        <w:rPr>
          <w:color w:val="231F20"/>
          <w:spacing w:val="-16"/>
          <w:w w:val="105"/>
        </w:rPr>
        <w:t> </w:t>
      </w:r>
      <w:r>
        <w:rPr>
          <w:color w:val="231F20"/>
          <w:w w:val="105"/>
        </w:rPr>
        <w:t>que</w:t>
      </w:r>
      <w:r>
        <w:rPr>
          <w:color w:val="231F20"/>
          <w:spacing w:val="-16"/>
          <w:w w:val="105"/>
        </w:rPr>
        <w:t> </w:t>
      </w:r>
      <w:r>
        <w:rPr>
          <w:color w:val="231F20"/>
          <w:w w:val="105"/>
        </w:rPr>
        <w:t>existen</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gobernador va a implementar en todos los ayuntamientos en los municipios del Estado   </w:t>
      </w:r>
      <w:r>
        <w:rPr>
          <w:color w:val="231F20"/>
          <w:spacing w:val="3"/>
          <w:w w:val="105"/>
        </w:rPr>
        <w:t> </w:t>
      </w:r>
      <w:r>
        <w:rPr>
          <w:color w:val="231F20"/>
          <w:w w:val="105"/>
        </w:rPr>
        <w:t>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7"/>
        <w:jc w:val="both"/>
      </w:pPr>
      <w:r>
        <w:rPr>
          <w:color w:val="231F20"/>
          <w:w w:val="105"/>
        </w:rPr>
        <w:t>México</w:t>
      </w:r>
      <w:r>
        <w:rPr>
          <w:color w:val="231F20"/>
          <w:spacing w:val="-21"/>
          <w:w w:val="105"/>
        </w:rPr>
        <w:t> </w:t>
      </w:r>
      <w:r>
        <w:rPr>
          <w:color w:val="231F20"/>
          <w:w w:val="105"/>
        </w:rPr>
        <w:t>el</w:t>
      </w:r>
      <w:r>
        <w:rPr>
          <w:color w:val="231F20"/>
          <w:spacing w:val="-21"/>
          <w:w w:val="105"/>
        </w:rPr>
        <w:t> </w:t>
      </w:r>
      <w:r>
        <w:rPr>
          <w:color w:val="231F20"/>
          <w:w w:val="105"/>
        </w:rPr>
        <w:t>sistema</w:t>
      </w:r>
      <w:r>
        <w:rPr>
          <w:color w:val="231F20"/>
          <w:spacing w:val="-21"/>
          <w:w w:val="105"/>
        </w:rPr>
        <w:t> </w:t>
      </w:r>
      <w:r>
        <w:rPr>
          <w:color w:val="231F20"/>
          <w:w w:val="105"/>
        </w:rPr>
        <w:t>de</w:t>
      </w:r>
      <w:r>
        <w:rPr>
          <w:color w:val="231F20"/>
          <w:spacing w:val="-21"/>
          <w:w w:val="105"/>
        </w:rPr>
        <w:t> </w:t>
      </w:r>
      <w:r>
        <w:rPr>
          <w:color w:val="231F20"/>
          <w:w w:val="105"/>
        </w:rPr>
        <w:t>convenciones,</w:t>
      </w:r>
      <w:r>
        <w:rPr>
          <w:color w:val="231F20"/>
          <w:spacing w:val="-21"/>
          <w:w w:val="105"/>
        </w:rPr>
        <w:t> </w:t>
      </w:r>
      <w:r>
        <w:rPr>
          <w:color w:val="231F20"/>
          <w:w w:val="105"/>
        </w:rPr>
        <w:t>acá</w:t>
      </w:r>
      <w:r>
        <w:rPr>
          <w:color w:val="231F20"/>
          <w:spacing w:val="-21"/>
          <w:w w:val="105"/>
        </w:rPr>
        <w:t> </w:t>
      </w:r>
      <w:r>
        <w:rPr>
          <w:color w:val="231F20"/>
          <w:w w:val="105"/>
        </w:rPr>
        <w:t>en</w:t>
      </w:r>
      <w:r>
        <w:rPr>
          <w:color w:val="231F20"/>
          <w:spacing w:val="-21"/>
          <w:w w:val="105"/>
        </w:rPr>
        <w:t> </w:t>
      </w:r>
      <w:r>
        <w:rPr>
          <w:color w:val="231F20"/>
          <w:w w:val="105"/>
        </w:rPr>
        <w:t>Chimalhuacán</w:t>
      </w:r>
      <w:r>
        <w:rPr>
          <w:color w:val="231F20"/>
          <w:spacing w:val="-21"/>
          <w:w w:val="105"/>
        </w:rPr>
        <w:t> </w:t>
      </w:r>
      <w:r>
        <w:rPr>
          <w:color w:val="231F20"/>
          <w:w w:val="105"/>
        </w:rPr>
        <w:t>ya</w:t>
      </w:r>
      <w:r>
        <w:rPr>
          <w:color w:val="231F20"/>
          <w:spacing w:val="-21"/>
          <w:w w:val="105"/>
        </w:rPr>
        <w:t> </w:t>
      </w:r>
      <w:r>
        <w:rPr>
          <w:color w:val="231F20"/>
          <w:w w:val="105"/>
        </w:rPr>
        <w:t>todo</w:t>
      </w:r>
      <w:r>
        <w:rPr>
          <w:color w:val="231F20"/>
          <w:spacing w:val="-21"/>
          <w:w w:val="105"/>
        </w:rPr>
        <w:t> </w:t>
      </w:r>
      <w:r>
        <w:rPr>
          <w:color w:val="231F20"/>
          <w:w w:val="105"/>
        </w:rPr>
        <w:t>está</w:t>
      </w:r>
      <w:r>
        <w:rPr>
          <w:color w:val="231F20"/>
          <w:spacing w:val="-21"/>
          <w:w w:val="105"/>
        </w:rPr>
        <w:t> </w:t>
      </w:r>
      <w:r>
        <w:rPr>
          <w:color w:val="231F20"/>
          <w:w w:val="105"/>
        </w:rPr>
        <w:t>hecho</w:t>
      </w:r>
      <w:r>
        <w:rPr>
          <w:color w:val="231F20"/>
          <w:spacing w:val="-21"/>
          <w:w w:val="105"/>
        </w:rPr>
        <w:t> </w:t>
      </w:r>
      <w:r>
        <w:rPr>
          <w:color w:val="231F20"/>
          <w:w w:val="105"/>
        </w:rPr>
        <w:t>para que en una </w:t>
      </w:r>
      <w:r>
        <w:rPr>
          <w:color w:val="231F20"/>
          <w:spacing w:val="-3"/>
          <w:w w:val="105"/>
        </w:rPr>
        <w:t>convención </w:t>
      </w:r>
      <w:r>
        <w:rPr>
          <w:color w:val="231F20"/>
          <w:w w:val="105"/>
        </w:rPr>
        <w:t>el que resulte candidato sea del grupo Antorcha, porque ellos</w:t>
      </w:r>
      <w:r>
        <w:rPr>
          <w:color w:val="231F20"/>
          <w:spacing w:val="-16"/>
          <w:w w:val="105"/>
        </w:rPr>
        <w:t> </w:t>
      </w:r>
      <w:r>
        <w:rPr>
          <w:color w:val="231F20"/>
          <w:w w:val="105"/>
        </w:rPr>
        <w:t>tienen</w:t>
      </w:r>
      <w:r>
        <w:rPr>
          <w:color w:val="231F20"/>
          <w:spacing w:val="-16"/>
          <w:w w:val="105"/>
        </w:rPr>
        <w:t> </w:t>
      </w:r>
      <w:r>
        <w:rPr>
          <w:color w:val="231F20"/>
          <w:w w:val="105"/>
        </w:rPr>
        <w:t>el</w:t>
      </w:r>
      <w:r>
        <w:rPr>
          <w:color w:val="231F20"/>
          <w:spacing w:val="-16"/>
          <w:w w:val="105"/>
        </w:rPr>
        <w:t> </w:t>
      </w:r>
      <w:r>
        <w:rPr>
          <w:color w:val="231F20"/>
          <w:w w:val="105"/>
        </w:rPr>
        <w:t>control</w:t>
      </w:r>
      <w:r>
        <w:rPr>
          <w:color w:val="231F20"/>
          <w:spacing w:val="-16"/>
          <w:w w:val="105"/>
        </w:rPr>
        <w:t> </w:t>
      </w:r>
      <w:r>
        <w:rPr>
          <w:color w:val="231F20"/>
          <w:w w:val="105"/>
        </w:rPr>
        <w:t>del</w:t>
      </w:r>
      <w:r>
        <w:rPr>
          <w:color w:val="231F20"/>
          <w:spacing w:val="-16"/>
          <w:w w:val="105"/>
        </w:rPr>
        <w:t> </w:t>
      </w:r>
      <w:r>
        <w:rPr>
          <w:color w:val="231F20"/>
          <w:w w:val="105"/>
        </w:rPr>
        <w:t>consejo</w:t>
      </w:r>
      <w:r>
        <w:rPr>
          <w:color w:val="231F20"/>
          <w:spacing w:val="-16"/>
          <w:w w:val="105"/>
        </w:rPr>
        <w:t> </w:t>
      </w:r>
      <w:r>
        <w:rPr>
          <w:color w:val="231F20"/>
          <w:w w:val="105"/>
        </w:rPr>
        <w:t>político,</w:t>
      </w:r>
      <w:r>
        <w:rPr>
          <w:color w:val="231F20"/>
          <w:spacing w:val="-16"/>
          <w:w w:val="105"/>
        </w:rPr>
        <w:t> </w:t>
      </w:r>
      <w:r>
        <w:rPr>
          <w:color w:val="231F20"/>
          <w:w w:val="105"/>
        </w:rPr>
        <w:t>y</w:t>
      </w:r>
      <w:r>
        <w:rPr>
          <w:color w:val="231F20"/>
          <w:spacing w:val="-16"/>
          <w:w w:val="105"/>
        </w:rPr>
        <w:t> </w:t>
      </w:r>
      <w:r>
        <w:rPr>
          <w:color w:val="231F20"/>
          <w:w w:val="105"/>
        </w:rPr>
        <w:t>así</w:t>
      </w:r>
      <w:r>
        <w:rPr>
          <w:color w:val="231F20"/>
          <w:spacing w:val="-16"/>
          <w:w w:val="105"/>
        </w:rPr>
        <w:t> </w:t>
      </w:r>
      <w:r>
        <w:rPr>
          <w:color w:val="231F20"/>
          <w:w w:val="105"/>
        </w:rPr>
        <w:t>va</w:t>
      </w:r>
      <w:r>
        <w:rPr>
          <w:color w:val="231F20"/>
          <w:spacing w:val="-16"/>
          <w:w w:val="105"/>
        </w:rPr>
        <w:t> </w:t>
      </w:r>
      <w:r>
        <w:rPr>
          <w:color w:val="231F20"/>
          <w:spacing w:val="-4"/>
          <w:w w:val="105"/>
        </w:rPr>
        <w:t>ser,</w:t>
      </w:r>
      <w:r>
        <w:rPr>
          <w:color w:val="231F20"/>
          <w:spacing w:val="-16"/>
          <w:w w:val="105"/>
        </w:rPr>
        <w:t> </w:t>
      </w:r>
      <w:r>
        <w:rPr>
          <w:color w:val="231F20"/>
          <w:w w:val="105"/>
        </w:rPr>
        <w:t>y</w:t>
      </w:r>
      <w:r>
        <w:rPr>
          <w:color w:val="231F20"/>
          <w:spacing w:val="-16"/>
          <w:w w:val="105"/>
        </w:rPr>
        <w:t> </w:t>
      </w:r>
      <w:r>
        <w:rPr>
          <w:color w:val="231F20"/>
          <w:w w:val="105"/>
        </w:rPr>
        <w:t>así</w:t>
      </w:r>
      <w:r>
        <w:rPr>
          <w:color w:val="231F20"/>
          <w:spacing w:val="-16"/>
          <w:w w:val="105"/>
        </w:rPr>
        <w:t> </w:t>
      </w:r>
      <w:r>
        <w:rPr>
          <w:color w:val="231F20"/>
          <w:w w:val="105"/>
        </w:rPr>
        <w:t>ha</w:t>
      </w:r>
      <w:r>
        <w:rPr>
          <w:color w:val="231F20"/>
          <w:spacing w:val="-16"/>
          <w:w w:val="105"/>
        </w:rPr>
        <w:t> </w:t>
      </w:r>
      <w:r>
        <w:rPr>
          <w:color w:val="231F20"/>
          <w:w w:val="105"/>
        </w:rPr>
        <w:t>sido</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últimos años. Contrario a lo que están haciendo otros partidos, cualquier partido está preocupado</w:t>
      </w:r>
      <w:r>
        <w:rPr>
          <w:color w:val="231F20"/>
          <w:spacing w:val="-8"/>
          <w:w w:val="105"/>
        </w:rPr>
        <w:t> </w:t>
      </w:r>
      <w:r>
        <w:rPr>
          <w:color w:val="231F20"/>
          <w:w w:val="105"/>
        </w:rPr>
        <w:t>por</w:t>
      </w:r>
      <w:r>
        <w:rPr>
          <w:color w:val="231F20"/>
          <w:spacing w:val="-8"/>
          <w:w w:val="105"/>
        </w:rPr>
        <w:t> </w:t>
      </w:r>
      <w:r>
        <w:rPr>
          <w:color w:val="231F20"/>
          <w:w w:val="105"/>
        </w:rPr>
        <w:t>democratizarse;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PRI</w:t>
      </w:r>
      <w:r>
        <w:rPr>
          <w:color w:val="231F20"/>
          <w:spacing w:val="-8"/>
          <w:w w:val="105"/>
        </w:rPr>
        <w:t> </w:t>
      </w:r>
      <w:r>
        <w:rPr>
          <w:color w:val="231F20"/>
          <w:spacing w:val="-3"/>
          <w:w w:val="105"/>
        </w:rPr>
        <w:t>no.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PRI</w:t>
      </w:r>
      <w:r>
        <w:rPr>
          <w:color w:val="231F20"/>
          <w:spacing w:val="-8"/>
          <w:w w:val="105"/>
        </w:rPr>
        <w:t> </w:t>
      </w:r>
      <w:r>
        <w:rPr>
          <w:color w:val="231F20"/>
          <w:w w:val="105"/>
        </w:rPr>
        <w:t>de</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trata,</w:t>
      </w:r>
      <w:r>
        <w:rPr>
          <w:color w:val="231F20"/>
          <w:spacing w:val="-8"/>
          <w:w w:val="105"/>
        </w:rPr>
        <w:t> </w:t>
      </w:r>
      <w:r>
        <w:rPr>
          <w:color w:val="231F20"/>
          <w:w w:val="105"/>
        </w:rPr>
        <w:t>según versiones que se dan, es que la intención del señor gobernador es no desgastar a la</w:t>
      </w:r>
      <w:r>
        <w:rPr>
          <w:color w:val="231F20"/>
          <w:spacing w:val="-9"/>
          <w:w w:val="105"/>
        </w:rPr>
        <w:t> </w:t>
      </w:r>
      <w:r>
        <w:rPr>
          <w:color w:val="231F20"/>
          <w:w w:val="105"/>
        </w:rPr>
        <w:t>clase</w:t>
      </w:r>
      <w:r>
        <w:rPr>
          <w:color w:val="231F20"/>
          <w:spacing w:val="-9"/>
          <w:w w:val="105"/>
        </w:rPr>
        <w:t> </w:t>
      </w:r>
      <w:r>
        <w:rPr>
          <w:color w:val="231F20"/>
          <w:w w:val="105"/>
        </w:rPr>
        <w:t>política</w:t>
      </w:r>
      <w:r>
        <w:rPr>
          <w:color w:val="231F20"/>
          <w:spacing w:val="-9"/>
          <w:w w:val="105"/>
        </w:rPr>
        <w:t> </w:t>
      </w:r>
      <w:r>
        <w:rPr>
          <w:color w:val="231F20"/>
          <w:w w:val="105"/>
        </w:rPr>
        <w:t>en</w:t>
      </w:r>
      <w:r>
        <w:rPr>
          <w:color w:val="231F20"/>
          <w:spacing w:val="-9"/>
          <w:w w:val="105"/>
        </w:rPr>
        <w:t> </w:t>
      </w:r>
      <w:r>
        <w:rPr>
          <w:color w:val="231F20"/>
          <w:w w:val="105"/>
        </w:rPr>
        <w:t>luchas</w:t>
      </w:r>
      <w:r>
        <w:rPr>
          <w:color w:val="231F20"/>
          <w:spacing w:val="-9"/>
          <w:w w:val="105"/>
        </w:rPr>
        <w:t> </w:t>
      </w:r>
      <w:r>
        <w:rPr>
          <w:color w:val="231F20"/>
          <w:w w:val="105"/>
        </w:rPr>
        <w:t>internas</w:t>
      </w:r>
      <w:r>
        <w:rPr>
          <w:color w:val="231F20"/>
          <w:spacing w:val="-9"/>
          <w:w w:val="105"/>
        </w:rPr>
        <w:t> </w:t>
      </w:r>
      <w:r>
        <w:rPr>
          <w:color w:val="231F20"/>
          <w:w w:val="105"/>
        </w:rPr>
        <w:t>con</w:t>
      </w:r>
      <w:r>
        <w:rPr>
          <w:color w:val="231F20"/>
          <w:spacing w:val="-9"/>
          <w:w w:val="105"/>
        </w:rPr>
        <w:t> </w:t>
      </w:r>
      <w:r>
        <w:rPr>
          <w:color w:val="231F20"/>
          <w:w w:val="105"/>
        </w:rPr>
        <w:t>procedimientos</w:t>
      </w:r>
      <w:r>
        <w:rPr>
          <w:color w:val="231F20"/>
          <w:spacing w:val="-9"/>
          <w:w w:val="105"/>
        </w:rPr>
        <w:t> </w:t>
      </w:r>
      <w:r>
        <w:rPr>
          <w:color w:val="231F20"/>
          <w:w w:val="105"/>
        </w:rPr>
        <w:t>de</w:t>
      </w:r>
      <w:r>
        <w:rPr>
          <w:color w:val="231F20"/>
          <w:spacing w:val="-9"/>
          <w:w w:val="105"/>
        </w:rPr>
        <w:t> </w:t>
      </w:r>
      <w:r>
        <w:rPr>
          <w:color w:val="231F20"/>
          <w:w w:val="105"/>
        </w:rPr>
        <w:t>consulta</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bases</w:t>
      </w:r>
      <w:r>
        <w:rPr>
          <w:color w:val="231F20"/>
          <w:spacing w:val="-9"/>
          <w:w w:val="105"/>
        </w:rPr>
        <w:t> </w:t>
      </w:r>
      <w:r>
        <w:rPr>
          <w:color w:val="231F20"/>
          <w:w w:val="105"/>
        </w:rPr>
        <w:t>… </w:t>
      </w:r>
      <w:r>
        <w:rPr>
          <w:color w:val="231F20"/>
          <w:spacing w:val="-3"/>
          <w:w w:val="105"/>
        </w:rPr>
        <w:t>(será) </w:t>
      </w:r>
      <w:r>
        <w:rPr>
          <w:color w:val="231F20"/>
          <w:w w:val="105"/>
        </w:rPr>
        <w:t>una </w:t>
      </w:r>
      <w:r>
        <w:rPr>
          <w:color w:val="231F20"/>
          <w:spacing w:val="-3"/>
          <w:w w:val="105"/>
        </w:rPr>
        <w:t>convención </w:t>
      </w:r>
      <w:r>
        <w:rPr>
          <w:color w:val="231F20"/>
          <w:w w:val="105"/>
        </w:rPr>
        <w:t>que se va a nutrir con consejeros políticos nombrados </w:t>
      </w:r>
      <w:r>
        <w:rPr>
          <w:color w:val="231F20"/>
          <w:spacing w:val="-5"/>
          <w:w w:val="105"/>
        </w:rPr>
        <w:t>ex- </w:t>
      </w:r>
      <w:r>
        <w:rPr>
          <w:color w:val="231F20"/>
          <w:w w:val="105"/>
        </w:rPr>
        <w:t>profeso,</w:t>
      </w:r>
      <w:r>
        <w:rPr>
          <w:color w:val="231F20"/>
          <w:spacing w:val="-22"/>
          <w:w w:val="105"/>
        </w:rPr>
        <w:t> </w:t>
      </w:r>
      <w:r>
        <w:rPr>
          <w:color w:val="231F20"/>
          <w:w w:val="105"/>
        </w:rPr>
        <w:t>es</w:t>
      </w:r>
      <w:r>
        <w:rPr>
          <w:color w:val="231F20"/>
          <w:spacing w:val="-22"/>
          <w:w w:val="105"/>
        </w:rPr>
        <w:t> </w:t>
      </w:r>
      <w:r>
        <w:rPr>
          <w:color w:val="231F20"/>
          <w:w w:val="105"/>
        </w:rPr>
        <w:t>decir,</w:t>
      </w:r>
      <w:r>
        <w:rPr>
          <w:color w:val="231F20"/>
          <w:spacing w:val="-22"/>
          <w:w w:val="105"/>
        </w:rPr>
        <w:t> </w:t>
      </w:r>
      <w:r>
        <w:rPr>
          <w:color w:val="231F20"/>
          <w:w w:val="105"/>
        </w:rPr>
        <w:t>previamente</w:t>
      </w:r>
      <w:r>
        <w:rPr>
          <w:color w:val="231F20"/>
          <w:spacing w:val="-22"/>
          <w:w w:val="105"/>
        </w:rPr>
        <w:t> </w:t>
      </w:r>
      <w:r>
        <w:rPr>
          <w:color w:val="231F20"/>
          <w:w w:val="105"/>
        </w:rPr>
        <w:t>electos.</w:t>
      </w:r>
      <w:r>
        <w:rPr>
          <w:color w:val="231F20"/>
          <w:spacing w:val="-22"/>
          <w:w w:val="105"/>
        </w:rPr>
        <w:t> </w:t>
      </w:r>
      <w:r>
        <w:rPr>
          <w:color w:val="231F20"/>
          <w:w w:val="105"/>
        </w:rPr>
        <w:t>En</w:t>
      </w:r>
      <w:r>
        <w:rPr>
          <w:color w:val="231F20"/>
          <w:spacing w:val="-22"/>
          <w:w w:val="105"/>
        </w:rPr>
        <w:t> </w:t>
      </w:r>
      <w:r>
        <w:rPr>
          <w:color w:val="231F20"/>
          <w:w w:val="105"/>
        </w:rPr>
        <w:t>Chimalhuacán</w:t>
      </w:r>
      <w:r>
        <w:rPr>
          <w:color w:val="231F20"/>
          <w:spacing w:val="-22"/>
          <w:w w:val="105"/>
        </w:rPr>
        <w:t> </w:t>
      </w:r>
      <w:r>
        <w:rPr>
          <w:color w:val="231F20"/>
          <w:w w:val="105"/>
        </w:rPr>
        <w:t>ya</w:t>
      </w:r>
      <w:r>
        <w:rPr>
          <w:color w:val="231F20"/>
          <w:spacing w:val="-22"/>
          <w:w w:val="105"/>
        </w:rPr>
        <w:t> </w:t>
      </w:r>
      <w:r>
        <w:rPr>
          <w:color w:val="231F20"/>
          <w:w w:val="105"/>
        </w:rPr>
        <w:t>todo</w:t>
      </w:r>
      <w:r>
        <w:rPr>
          <w:color w:val="231F20"/>
          <w:spacing w:val="-22"/>
          <w:w w:val="105"/>
        </w:rPr>
        <w:t> </w:t>
      </w:r>
      <w:r>
        <w:rPr>
          <w:color w:val="231F20"/>
          <w:w w:val="105"/>
        </w:rPr>
        <w:t>está</w:t>
      </w:r>
      <w:r>
        <w:rPr>
          <w:color w:val="231F20"/>
          <w:spacing w:val="-22"/>
          <w:w w:val="105"/>
        </w:rPr>
        <w:t> </w:t>
      </w:r>
      <w:r>
        <w:rPr>
          <w:color w:val="231F20"/>
          <w:spacing w:val="-3"/>
          <w:w w:val="105"/>
        </w:rPr>
        <w:t>(preparado), </w:t>
      </w:r>
      <w:r>
        <w:rPr>
          <w:color w:val="231F20"/>
          <w:w w:val="105"/>
        </w:rPr>
        <w:t>en otros municipios no sé cómo vaya a </w:t>
      </w:r>
      <w:r>
        <w:rPr>
          <w:color w:val="231F20"/>
          <w:spacing w:val="-4"/>
          <w:w w:val="105"/>
        </w:rPr>
        <w:t>ser, </w:t>
      </w:r>
      <w:r>
        <w:rPr>
          <w:color w:val="231F20"/>
          <w:w w:val="105"/>
        </w:rPr>
        <w:t>pero esa va a ser la política general. </w:t>
      </w:r>
      <w:r>
        <w:rPr>
          <w:color w:val="231F20"/>
          <w:spacing w:val="-3"/>
          <w:w w:val="105"/>
        </w:rPr>
        <w:t>(Avendaño,</w:t>
      </w:r>
      <w:r>
        <w:rPr>
          <w:color w:val="231F20"/>
          <w:spacing w:val="-35"/>
          <w:w w:val="105"/>
        </w:rPr>
        <w:t> </w:t>
      </w:r>
      <w:r>
        <w:rPr>
          <w:color w:val="231F20"/>
          <w:w w:val="105"/>
        </w:rPr>
        <w:t>entrevista)</w:t>
      </w:r>
    </w:p>
    <w:p>
      <w:pPr>
        <w:pStyle w:val="BodyText"/>
        <w:spacing w:before="1"/>
        <w:rPr>
          <w:sz w:val="26"/>
        </w:rPr>
      </w:pPr>
    </w:p>
    <w:p>
      <w:pPr>
        <w:pStyle w:val="BodyText"/>
        <w:spacing w:line="285" w:lineRule="auto"/>
        <w:ind w:left="110" w:right="107"/>
        <w:jc w:val="both"/>
      </w:pPr>
      <w:r>
        <w:rPr>
          <w:color w:val="231F20"/>
          <w:w w:val="105"/>
        </w:rPr>
        <w:t>Moneda</w:t>
      </w:r>
      <w:r>
        <w:rPr>
          <w:color w:val="231F20"/>
          <w:spacing w:val="-6"/>
          <w:w w:val="105"/>
        </w:rPr>
        <w:t> </w:t>
      </w:r>
      <w:r>
        <w:rPr>
          <w:color w:val="231F20"/>
          <w:w w:val="105"/>
        </w:rPr>
        <w:t>de</w:t>
      </w:r>
      <w:r>
        <w:rPr>
          <w:color w:val="231F20"/>
          <w:spacing w:val="-6"/>
          <w:w w:val="105"/>
        </w:rPr>
        <w:t> </w:t>
      </w:r>
      <w:r>
        <w:rPr>
          <w:color w:val="231F20"/>
          <w:w w:val="105"/>
        </w:rPr>
        <w:t>cambio:</w:t>
      </w:r>
      <w:r>
        <w:rPr>
          <w:color w:val="231F20"/>
          <w:spacing w:val="-6"/>
          <w:w w:val="105"/>
        </w:rPr>
        <w:t> </w:t>
      </w:r>
      <w:r>
        <w:rPr>
          <w:color w:val="231F20"/>
          <w:w w:val="105"/>
        </w:rPr>
        <w:t>Los</w:t>
      </w:r>
      <w:r>
        <w:rPr>
          <w:color w:val="231F20"/>
          <w:spacing w:val="-6"/>
          <w:w w:val="105"/>
        </w:rPr>
        <w:t> </w:t>
      </w:r>
      <w:r>
        <w:rPr>
          <w:color w:val="231F20"/>
          <w:w w:val="105"/>
        </w:rPr>
        <w:t>servicios</w:t>
      </w:r>
      <w:r>
        <w:rPr>
          <w:color w:val="231F20"/>
          <w:spacing w:val="-6"/>
          <w:w w:val="105"/>
        </w:rPr>
        <w:t> </w:t>
      </w:r>
      <w:r>
        <w:rPr>
          <w:color w:val="231F20"/>
          <w:w w:val="105"/>
        </w:rPr>
        <w:t>públicos</w:t>
      </w:r>
      <w:r>
        <w:rPr>
          <w:color w:val="231F20"/>
          <w:spacing w:val="-6"/>
          <w:w w:val="105"/>
        </w:rPr>
        <w:t> </w:t>
      </w:r>
      <w:r>
        <w:rPr>
          <w:color w:val="231F20"/>
          <w:w w:val="105"/>
        </w:rPr>
        <w:t>se</w:t>
      </w:r>
      <w:r>
        <w:rPr>
          <w:color w:val="231F20"/>
          <w:spacing w:val="-6"/>
          <w:w w:val="105"/>
        </w:rPr>
        <w:t> </w:t>
      </w:r>
      <w:r>
        <w:rPr>
          <w:color w:val="231F20"/>
          <w:w w:val="105"/>
        </w:rPr>
        <w:t>transforman</w:t>
      </w:r>
      <w:r>
        <w:rPr>
          <w:color w:val="231F20"/>
          <w:spacing w:val="-6"/>
          <w:w w:val="105"/>
        </w:rPr>
        <w:t> </w:t>
      </w:r>
      <w:r>
        <w:rPr>
          <w:color w:val="231F20"/>
          <w:w w:val="105"/>
        </w:rPr>
        <w:t>en</w:t>
      </w:r>
      <w:r>
        <w:rPr>
          <w:color w:val="231F20"/>
          <w:spacing w:val="-6"/>
          <w:w w:val="105"/>
        </w:rPr>
        <w:t> </w:t>
      </w:r>
      <w:r>
        <w:rPr>
          <w:color w:val="231F20"/>
          <w:w w:val="105"/>
        </w:rPr>
        <w:t>moneda</w:t>
      </w:r>
      <w:r>
        <w:rPr>
          <w:color w:val="231F20"/>
          <w:spacing w:val="-6"/>
          <w:w w:val="105"/>
        </w:rPr>
        <w:t> </w:t>
      </w:r>
      <w:r>
        <w:rPr>
          <w:color w:val="231F20"/>
          <w:w w:val="105"/>
        </w:rPr>
        <w:t>de</w:t>
      </w:r>
      <w:r>
        <w:rPr>
          <w:color w:val="231F20"/>
          <w:spacing w:val="-6"/>
          <w:w w:val="105"/>
        </w:rPr>
        <w:t> </w:t>
      </w:r>
      <w:r>
        <w:rPr>
          <w:color w:val="231F20"/>
          <w:w w:val="105"/>
        </w:rPr>
        <w:t>cambio</w:t>
      </w:r>
      <w:r>
        <w:rPr>
          <w:color w:val="231F20"/>
          <w:spacing w:val="-6"/>
          <w:w w:val="105"/>
        </w:rPr>
        <w:t> </w:t>
      </w:r>
      <w:r>
        <w:rPr>
          <w:color w:val="231F20"/>
          <w:w w:val="105"/>
        </w:rPr>
        <w:t>entre dos entidades, por una parte el gobierno municipal que tiene a su cargo la obligación de proporcionarlos; la existencia misma del Estado se fundamenta en la necesidad de satisfactores que deben ser resueltos por este ente que los ejecuta a través de uno de sus</w:t>
      </w:r>
      <w:r>
        <w:rPr>
          <w:color w:val="231F20"/>
          <w:spacing w:val="-9"/>
          <w:w w:val="105"/>
        </w:rPr>
        <w:t> </w:t>
      </w:r>
      <w:r>
        <w:rPr>
          <w:color w:val="231F20"/>
          <w:w w:val="105"/>
        </w:rPr>
        <w:t>elementos,</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otra</w:t>
      </w:r>
      <w:r>
        <w:rPr>
          <w:color w:val="231F20"/>
          <w:spacing w:val="-9"/>
          <w:w w:val="105"/>
        </w:rPr>
        <w:t> </w:t>
      </w:r>
      <w:r>
        <w:rPr>
          <w:color w:val="231F20"/>
          <w:w w:val="105"/>
        </w:rPr>
        <w:t>parte</w:t>
      </w:r>
      <w:r>
        <w:rPr>
          <w:color w:val="231F20"/>
          <w:spacing w:val="-9"/>
          <w:w w:val="105"/>
        </w:rPr>
        <w:t> </w:t>
      </w:r>
      <w:r>
        <w:rPr>
          <w:color w:val="231F20"/>
          <w:w w:val="105"/>
        </w:rPr>
        <w:t>encontramos</w:t>
      </w:r>
      <w:r>
        <w:rPr>
          <w:color w:val="231F20"/>
          <w:spacing w:val="-9"/>
          <w:w w:val="105"/>
        </w:rPr>
        <w:t> </w:t>
      </w:r>
      <w:r>
        <w:rPr>
          <w:color w:val="231F20"/>
          <w:spacing w:val="2"/>
          <w:w w:val="105"/>
        </w:rPr>
        <w:t>al</w:t>
      </w:r>
      <w:r>
        <w:rPr>
          <w:color w:val="231F20"/>
          <w:spacing w:val="-9"/>
          <w:w w:val="105"/>
        </w:rPr>
        <w:t> </w:t>
      </w:r>
      <w:r>
        <w:rPr>
          <w:color w:val="231F20"/>
          <w:w w:val="105"/>
        </w:rPr>
        <w:t>pueblo</w:t>
      </w:r>
      <w:r>
        <w:rPr>
          <w:color w:val="231F20"/>
          <w:spacing w:val="-9"/>
          <w:w w:val="105"/>
        </w:rPr>
        <w:t> </w:t>
      </w:r>
      <w:r>
        <w:rPr>
          <w:color w:val="231F20"/>
          <w:w w:val="105"/>
        </w:rPr>
        <w:t>que</w:t>
      </w:r>
      <w:r>
        <w:rPr>
          <w:color w:val="231F20"/>
          <w:spacing w:val="-9"/>
          <w:w w:val="105"/>
        </w:rPr>
        <w:t> </w:t>
      </w:r>
      <w:r>
        <w:rPr>
          <w:color w:val="231F20"/>
          <w:w w:val="105"/>
        </w:rPr>
        <w:t>tiene</w:t>
      </w:r>
      <w:r>
        <w:rPr>
          <w:color w:val="231F20"/>
          <w:spacing w:val="-9"/>
          <w:w w:val="105"/>
        </w:rPr>
        <w:t> </w:t>
      </w:r>
      <w:r>
        <w:rPr>
          <w:color w:val="231F20"/>
          <w:w w:val="105"/>
        </w:rPr>
        <w:t>de</w:t>
      </w:r>
      <w:r>
        <w:rPr>
          <w:color w:val="231F20"/>
          <w:spacing w:val="-9"/>
          <w:w w:val="105"/>
        </w:rPr>
        <w:t> </w:t>
      </w:r>
      <w:r>
        <w:rPr>
          <w:color w:val="231F20"/>
          <w:w w:val="105"/>
        </w:rPr>
        <w:t>origen la soberanía </w:t>
      </w:r>
      <w:r>
        <w:rPr>
          <w:color w:val="231F20"/>
          <w:spacing w:val="-3"/>
          <w:w w:val="105"/>
        </w:rPr>
        <w:t>(super </w:t>
      </w:r>
      <w:r>
        <w:rPr>
          <w:color w:val="231F20"/>
          <w:w w:val="105"/>
        </w:rPr>
        <w:t>anitas, poder sobre el que no existe </w:t>
      </w:r>
      <w:r>
        <w:rPr>
          <w:color w:val="231F20"/>
          <w:spacing w:val="2"/>
          <w:w w:val="105"/>
        </w:rPr>
        <w:t>ningún </w:t>
      </w:r>
      <w:r>
        <w:rPr>
          <w:color w:val="231F20"/>
          <w:w w:val="105"/>
        </w:rPr>
        <w:t>otro </w:t>
      </w:r>
      <w:r>
        <w:rPr>
          <w:color w:val="231F20"/>
          <w:spacing w:val="-3"/>
          <w:w w:val="105"/>
        </w:rPr>
        <w:t>poder) </w:t>
      </w:r>
      <w:r>
        <w:rPr>
          <w:color w:val="231F20"/>
          <w:w w:val="105"/>
        </w:rPr>
        <w:t>y que tiene formalmente</w:t>
      </w:r>
      <w:r>
        <w:rPr>
          <w:color w:val="231F20"/>
          <w:spacing w:val="-13"/>
          <w:w w:val="105"/>
        </w:rPr>
        <w:t> </w:t>
      </w:r>
      <w:r>
        <w:rPr>
          <w:color w:val="231F20"/>
          <w:w w:val="105"/>
        </w:rPr>
        <w:t>la</w:t>
      </w:r>
      <w:r>
        <w:rPr>
          <w:color w:val="231F20"/>
          <w:spacing w:val="-13"/>
          <w:w w:val="105"/>
        </w:rPr>
        <w:t> </w:t>
      </w:r>
      <w:r>
        <w:rPr>
          <w:color w:val="231F20"/>
          <w:w w:val="105"/>
        </w:rPr>
        <w:t>facultad</w:t>
      </w:r>
      <w:r>
        <w:rPr>
          <w:color w:val="231F20"/>
          <w:spacing w:val="-13"/>
          <w:w w:val="105"/>
        </w:rPr>
        <w:t> </w:t>
      </w:r>
      <w:r>
        <w:rPr>
          <w:color w:val="231F20"/>
          <w:w w:val="105"/>
        </w:rPr>
        <w:t>de</w:t>
      </w:r>
      <w:r>
        <w:rPr>
          <w:color w:val="231F20"/>
          <w:spacing w:val="-13"/>
          <w:w w:val="105"/>
        </w:rPr>
        <w:t> </w:t>
      </w:r>
      <w:r>
        <w:rPr>
          <w:color w:val="231F20"/>
          <w:w w:val="105"/>
        </w:rPr>
        <w:t>elegir</w:t>
      </w:r>
      <w:r>
        <w:rPr>
          <w:color w:val="231F20"/>
          <w:spacing w:val="-13"/>
          <w:w w:val="105"/>
        </w:rPr>
        <w:t> </w:t>
      </w:r>
      <w:r>
        <w:rPr>
          <w:color w:val="231F20"/>
          <w:w w:val="105"/>
        </w:rPr>
        <w:t>su</w:t>
      </w:r>
      <w:r>
        <w:rPr>
          <w:color w:val="231F20"/>
          <w:spacing w:val="-13"/>
          <w:w w:val="105"/>
        </w:rPr>
        <w:t> </w:t>
      </w:r>
      <w:r>
        <w:rPr>
          <w:color w:val="231F20"/>
          <w:w w:val="105"/>
        </w:rPr>
        <w:t>forma</w:t>
      </w:r>
      <w:r>
        <w:rPr>
          <w:color w:val="231F20"/>
          <w:spacing w:val="-13"/>
          <w:w w:val="105"/>
        </w:rPr>
        <w:t> </w:t>
      </w:r>
      <w:r>
        <w:rPr>
          <w:color w:val="231F20"/>
          <w:w w:val="105"/>
        </w:rPr>
        <w:t>de</w:t>
      </w:r>
      <w:r>
        <w:rPr>
          <w:color w:val="231F20"/>
          <w:spacing w:val="-13"/>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w w:val="105"/>
        </w:rPr>
        <w:t>La</w:t>
      </w:r>
      <w:r>
        <w:rPr>
          <w:color w:val="231F20"/>
          <w:spacing w:val="-5"/>
          <w:w w:val="105"/>
        </w:rPr>
        <w:t> </w:t>
      </w:r>
      <w:r>
        <w:rPr>
          <w:color w:val="231F20"/>
          <w:w w:val="105"/>
        </w:rPr>
        <w:t>institucionalización</w:t>
      </w:r>
      <w:r>
        <w:rPr>
          <w:color w:val="231F20"/>
          <w:spacing w:val="-5"/>
          <w:w w:val="105"/>
        </w:rPr>
        <w:t> </w:t>
      </w:r>
      <w:r>
        <w:rPr>
          <w:color w:val="231F20"/>
          <w:w w:val="105"/>
        </w:rPr>
        <w:t>del</w:t>
      </w:r>
      <w:r>
        <w:rPr>
          <w:color w:val="231F20"/>
          <w:spacing w:val="-5"/>
          <w:w w:val="105"/>
        </w:rPr>
        <w:t> </w:t>
      </w:r>
      <w:r>
        <w:rPr>
          <w:color w:val="231F20"/>
          <w:w w:val="105"/>
        </w:rPr>
        <w:t>cacicazgo</w:t>
      </w:r>
      <w:r>
        <w:rPr>
          <w:color w:val="231F20"/>
          <w:spacing w:val="-5"/>
          <w:w w:val="105"/>
        </w:rPr>
        <w:t> </w:t>
      </w:r>
      <w:r>
        <w:rPr>
          <w:color w:val="231F20"/>
          <w:w w:val="105"/>
        </w:rPr>
        <w:t>es</w:t>
      </w:r>
      <w:r>
        <w:rPr>
          <w:color w:val="231F20"/>
          <w:spacing w:val="-5"/>
          <w:w w:val="105"/>
        </w:rPr>
        <w:t> </w:t>
      </w:r>
      <w:r>
        <w:rPr>
          <w:color w:val="231F20"/>
          <w:w w:val="105"/>
        </w:rPr>
        <w:t>la</w:t>
      </w:r>
      <w:r>
        <w:rPr>
          <w:color w:val="231F20"/>
          <w:spacing w:val="-5"/>
          <w:w w:val="105"/>
        </w:rPr>
        <w:t> </w:t>
      </w:r>
      <w:r>
        <w:rPr>
          <w:color w:val="231F20"/>
          <w:w w:val="105"/>
        </w:rPr>
        <w:t>expresión</w:t>
      </w:r>
      <w:r>
        <w:rPr>
          <w:color w:val="231F20"/>
          <w:spacing w:val="-5"/>
          <w:w w:val="105"/>
        </w:rPr>
        <w:t> </w:t>
      </w:r>
      <w:r>
        <w:rPr>
          <w:color w:val="231F20"/>
          <w:w w:val="105"/>
        </w:rPr>
        <w:t>del</w:t>
      </w:r>
      <w:r>
        <w:rPr>
          <w:color w:val="231F20"/>
          <w:spacing w:val="-5"/>
          <w:w w:val="105"/>
        </w:rPr>
        <w:t> </w:t>
      </w:r>
      <w:r>
        <w:rPr>
          <w:color w:val="231F20"/>
          <w:w w:val="105"/>
        </w:rPr>
        <w:t>modus</w:t>
      </w:r>
      <w:r>
        <w:rPr>
          <w:color w:val="231F20"/>
          <w:spacing w:val="-5"/>
          <w:w w:val="105"/>
        </w:rPr>
        <w:t> </w:t>
      </w:r>
      <w:r>
        <w:rPr>
          <w:color w:val="231F20"/>
          <w:w w:val="105"/>
        </w:rPr>
        <w:t>operandi</w:t>
      </w:r>
      <w:r>
        <w:rPr>
          <w:color w:val="231F20"/>
          <w:spacing w:val="-5"/>
          <w:w w:val="105"/>
        </w:rPr>
        <w:t> </w:t>
      </w:r>
      <w:r>
        <w:rPr>
          <w:color w:val="231F20"/>
          <w:w w:val="105"/>
        </w:rPr>
        <w:t>del</w:t>
      </w:r>
      <w:r>
        <w:rPr>
          <w:color w:val="231F20"/>
          <w:spacing w:val="-5"/>
          <w:w w:val="105"/>
        </w:rPr>
        <w:t> </w:t>
      </w:r>
      <w:r>
        <w:rPr>
          <w:color w:val="231F20"/>
          <w:w w:val="105"/>
        </w:rPr>
        <w:t>gobierno para</w:t>
      </w:r>
      <w:r>
        <w:rPr>
          <w:color w:val="231F20"/>
          <w:spacing w:val="-5"/>
          <w:w w:val="105"/>
        </w:rPr>
        <w:t> </w:t>
      </w:r>
      <w:r>
        <w:rPr>
          <w:color w:val="231F20"/>
          <w:w w:val="105"/>
        </w:rPr>
        <w:t>mantener</w:t>
      </w:r>
      <w:r>
        <w:rPr>
          <w:color w:val="231F20"/>
          <w:spacing w:val="-5"/>
          <w:w w:val="105"/>
        </w:rPr>
        <w:t> </w:t>
      </w:r>
      <w:r>
        <w:rPr>
          <w:color w:val="231F20"/>
          <w:w w:val="105"/>
        </w:rPr>
        <w:t>el</w:t>
      </w:r>
      <w:r>
        <w:rPr>
          <w:color w:val="231F20"/>
          <w:spacing w:val="-5"/>
          <w:w w:val="105"/>
        </w:rPr>
        <w:t> </w:t>
      </w:r>
      <w:r>
        <w:rPr>
          <w:color w:val="231F20"/>
          <w:w w:val="105"/>
        </w:rPr>
        <w:t>control</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grupos</w:t>
      </w:r>
      <w:r>
        <w:rPr>
          <w:color w:val="231F20"/>
          <w:spacing w:val="-5"/>
          <w:w w:val="105"/>
        </w:rPr>
        <w:t> </w:t>
      </w:r>
      <w:r>
        <w:rPr>
          <w:color w:val="231F20"/>
          <w:w w:val="105"/>
        </w:rPr>
        <w:t>sociales;</w:t>
      </w:r>
      <w:r>
        <w:rPr>
          <w:color w:val="231F20"/>
          <w:spacing w:val="-5"/>
          <w:w w:val="105"/>
        </w:rPr>
        <w:t> </w:t>
      </w:r>
      <w:r>
        <w:rPr>
          <w:color w:val="231F20"/>
          <w:w w:val="105"/>
        </w:rPr>
        <w:t>así</w:t>
      </w:r>
      <w:r>
        <w:rPr>
          <w:color w:val="231F20"/>
          <w:spacing w:val="-5"/>
          <w:w w:val="105"/>
        </w:rPr>
        <w:t> </w:t>
      </w:r>
      <w:r>
        <w:rPr>
          <w:color w:val="231F20"/>
          <w:w w:val="105"/>
        </w:rPr>
        <w:t>encontramos</w:t>
      </w:r>
      <w:r>
        <w:rPr>
          <w:color w:val="231F20"/>
          <w:spacing w:val="-5"/>
          <w:w w:val="105"/>
        </w:rPr>
        <w:t> </w:t>
      </w:r>
      <w:r>
        <w:rPr>
          <w:color w:val="231F20"/>
          <w:w w:val="105"/>
        </w:rPr>
        <w:t>como</w:t>
      </w:r>
      <w:r>
        <w:rPr>
          <w:color w:val="231F20"/>
          <w:spacing w:val="-5"/>
          <w:w w:val="105"/>
        </w:rPr>
        <w:t> </w:t>
      </w:r>
      <w:r>
        <w:rPr>
          <w:color w:val="231F20"/>
          <w:w w:val="105"/>
        </w:rPr>
        <w:t>el</w:t>
      </w:r>
      <w:r>
        <w:rPr>
          <w:color w:val="231F20"/>
          <w:spacing w:val="-5"/>
          <w:w w:val="105"/>
        </w:rPr>
        <w:t> </w:t>
      </w:r>
      <w:r>
        <w:rPr>
          <w:color w:val="231F20"/>
          <w:w w:val="105"/>
        </w:rPr>
        <w:t>tlatoque,</w:t>
      </w:r>
      <w:r>
        <w:rPr>
          <w:color w:val="231F20"/>
          <w:spacing w:val="-5"/>
          <w:w w:val="105"/>
        </w:rPr>
        <w:t> </w:t>
      </w:r>
      <w:r>
        <w:rPr>
          <w:color w:val="231F20"/>
          <w:w w:val="105"/>
        </w:rPr>
        <w:t>fue rebautizado</w:t>
      </w:r>
      <w:r>
        <w:rPr>
          <w:color w:val="231F20"/>
          <w:spacing w:val="-20"/>
          <w:w w:val="105"/>
        </w:rPr>
        <w:t> </w:t>
      </w:r>
      <w:r>
        <w:rPr>
          <w:color w:val="231F20"/>
          <w:w w:val="105"/>
        </w:rPr>
        <w:t>como</w:t>
      </w:r>
      <w:r>
        <w:rPr>
          <w:color w:val="231F20"/>
          <w:spacing w:val="-20"/>
          <w:w w:val="105"/>
        </w:rPr>
        <w:t> </w:t>
      </w:r>
      <w:r>
        <w:rPr>
          <w:color w:val="231F20"/>
          <w:w w:val="105"/>
        </w:rPr>
        <w:t>cacique,</w:t>
      </w:r>
      <w:r>
        <w:rPr>
          <w:color w:val="231F20"/>
          <w:spacing w:val="-20"/>
          <w:w w:val="105"/>
        </w:rPr>
        <w:t> </w:t>
      </w:r>
      <w:r>
        <w:rPr>
          <w:color w:val="231F20"/>
          <w:w w:val="105"/>
        </w:rPr>
        <w:t>y</w:t>
      </w:r>
      <w:r>
        <w:rPr>
          <w:color w:val="231F20"/>
          <w:spacing w:val="-20"/>
          <w:w w:val="105"/>
        </w:rPr>
        <w:t> </w:t>
      </w:r>
      <w:r>
        <w:rPr>
          <w:color w:val="231F20"/>
          <w:w w:val="105"/>
        </w:rPr>
        <w:t>los</w:t>
      </w:r>
      <w:r>
        <w:rPr>
          <w:color w:val="231F20"/>
          <w:spacing w:val="-20"/>
          <w:w w:val="105"/>
        </w:rPr>
        <w:t> </w:t>
      </w:r>
      <w:r>
        <w:rPr>
          <w:color w:val="231F20"/>
          <w:w w:val="105"/>
        </w:rPr>
        <w:t>miembros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órdenes</w:t>
      </w:r>
      <w:r>
        <w:rPr>
          <w:color w:val="231F20"/>
          <w:spacing w:val="-20"/>
          <w:w w:val="105"/>
        </w:rPr>
        <w:t> </w:t>
      </w:r>
      <w:r>
        <w:rPr>
          <w:color w:val="231F20"/>
          <w:w w:val="105"/>
        </w:rPr>
        <w:t>militares</w:t>
      </w:r>
      <w:r>
        <w:rPr>
          <w:color w:val="231F20"/>
          <w:spacing w:val="-20"/>
          <w:w w:val="105"/>
        </w:rPr>
        <w:t> </w:t>
      </w:r>
      <w:r>
        <w:rPr>
          <w:color w:val="231F20"/>
          <w:w w:val="105"/>
        </w:rPr>
        <w:t>o</w:t>
      </w:r>
      <w:r>
        <w:rPr>
          <w:color w:val="231F20"/>
          <w:spacing w:val="-20"/>
          <w:w w:val="105"/>
        </w:rPr>
        <w:t> </w:t>
      </w:r>
      <w:r>
        <w:rPr>
          <w:color w:val="231F20"/>
          <w:w w:val="105"/>
        </w:rPr>
        <w:t>pipiltin</w:t>
      </w:r>
      <w:r>
        <w:rPr>
          <w:color w:val="231F20"/>
          <w:spacing w:val="-20"/>
          <w:w w:val="105"/>
        </w:rPr>
        <w:t> </w:t>
      </w:r>
      <w:r>
        <w:rPr>
          <w:color w:val="231F20"/>
          <w:w w:val="105"/>
        </w:rPr>
        <w:t>como</w:t>
      </w:r>
      <w:r>
        <w:rPr>
          <w:color w:val="231F20"/>
          <w:spacing w:val="-20"/>
          <w:w w:val="105"/>
        </w:rPr>
        <w:t> </w:t>
      </w:r>
      <w:r>
        <w:rPr>
          <w:color w:val="231F20"/>
          <w:w w:val="105"/>
        </w:rPr>
        <w:t>prin- cipales.</w:t>
      </w:r>
      <w:r>
        <w:rPr>
          <w:color w:val="231F20"/>
          <w:spacing w:val="-11"/>
          <w:w w:val="105"/>
        </w:rPr>
        <w:t> </w:t>
      </w:r>
      <w:r>
        <w:rPr>
          <w:color w:val="231F20"/>
          <w:w w:val="105"/>
        </w:rPr>
        <w:t>A</w:t>
      </w:r>
      <w:r>
        <w:rPr>
          <w:color w:val="231F20"/>
          <w:spacing w:val="-11"/>
          <w:w w:val="105"/>
        </w:rPr>
        <w:t> </w:t>
      </w:r>
      <w:r>
        <w:rPr>
          <w:color w:val="231F20"/>
          <w:w w:val="105"/>
        </w:rPr>
        <w:t>quienes</w:t>
      </w:r>
      <w:r>
        <w:rPr>
          <w:color w:val="231F20"/>
          <w:spacing w:val="-11"/>
          <w:w w:val="105"/>
        </w:rPr>
        <w:t> </w:t>
      </w:r>
      <w:r>
        <w:rPr>
          <w:color w:val="231F20"/>
          <w:w w:val="105"/>
        </w:rPr>
        <w:t>se</w:t>
      </w:r>
      <w:r>
        <w:rPr>
          <w:color w:val="231F20"/>
          <w:spacing w:val="-11"/>
          <w:w w:val="105"/>
        </w:rPr>
        <w:t> </w:t>
      </w:r>
      <w:r>
        <w:rPr>
          <w:color w:val="231F20"/>
          <w:w w:val="105"/>
        </w:rPr>
        <w:t>les</w:t>
      </w:r>
      <w:r>
        <w:rPr>
          <w:color w:val="231F20"/>
          <w:spacing w:val="-11"/>
          <w:w w:val="105"/>
        </w:rPr>
        <w:t> </w:t>
      </w:r>
      <w:r>
        <w:rPr>
          <w:color w:val="231F20"/>
          <w:w w:val="105"/>
        </w:rPr>
        <w:t>reconocieron</w:t>
      </w:r>
      <w:r>
        <w:rPr>
          <w:color w:val="231F20"/>
          <w:spacing w:val="-11"/>
          <w:w w:val="105"/>
        </w:rPr>
        <w:t> </w:t>
      </w:r>
      <w:r>
        <w:rPr>
          <w:color w:val="231F20"/>
          <w:w w:val="105"/>
        </w:rPr>
        <w:t>su</w:t>
      </w:r>
      <w:r>
        <w:rPr>
          <w:color w:val="231F20"/>
          <w:spacing w:val="-11"/>
          <w:w w:val="105"/>
        </w:rPr>
        <w:t> </w:t>
      </w:r>
      <w:r>
        <w:rPr>
          <w:color w:val="231F20"/>
          <w:w w:val="105"/>
        </w:rPr>
        <w:t>estatus</w:t>
      </w:r>
      <w:r>
        <w:rPr>
          <w:color w:val="231F20"/>
          <w:spacing w:val="-11"/>
          <w:w w:val="105"/>
        </w:rPr>
        <w:t> </w:t>
      </w:r>
      <w:r>
        <w:rPr>
          <w:color w:val="231F20"/>
          <w:w w:val="105"/>
        </w:rPr>
        <w:t>superior</w:t>
      </w:r>
      <w:r>
        <w:rPr>
          <w:color w:val="231F20"/>
          <w:spacing w:val="-11"/>
          <w:w w:val="105"/>
        </w:rPr>
        <w:t> </w:t>
      </w:r>
      <w:r>
        <w:rPr>
          <w:color w:val="231F20"/>
          <w:w w:val="105"/>
        </w:rPr>
        <w:t>y</w:t>
      </w:r>
      <w:r>
        <w:rPr>
          <w:color w:val="231F20"/>
          <w:spacing w:val="-11"/>
          <w:w w:val="105"/>
        </w:rPr>
        <w:t> </w:t>
      </w:r>
      <w:r>
        <w:rPr>
          <w:color w:val="231F20"/>
          <w:w w:val="105"/>
        </w:rPr>
        <w:t>hereditario</w:t>
      </w:r>
      <w:r>
        <w:rPr>
          <w:color w:val="231F20"/>
          <w:spacing w:val="-11"/>
          <w:w w:val="105"/>
        </w:rPr>
        <w:t> </w:t>
      </w:r>
      <w:r>
        <w:rPr>
          <w:color w:val="231F20"/>
          <w:w w:val="105"/>
        </w:rPr>
        <w:t>y</w:t>
      </w:r>
      <w:r>
        <w:rPr>
          <w:color w:val="231F20"/>
          <w:spacing w:val="-11"/>
          <w:w w:val="105"/>
        </w:rPr>
        <w:t> </w:t>
      </w:r>
      <w:r>
        <w:rPr>
          <w:color w:val="231F20"/>
          <w:w w:val="105"/>
        </w:rPr>
        <w:t>les</w:t>
      </w:r>
      <w:r>
        <w:rPr>
          <w:color w:val="231F20"/>
          <w:spacing w:val="-11"/>
          <w:w w:val="105"/>
        </w:rPr>
        <w:t> </w:t>
      </w:r>
      <w:r>
        <w:rPr>
          <w:color w:val="231F20"/>
          <w:w w:val="105"/>
        </w:rPr>
        <w:t>incluyeron en</w:t>
      </w:r>
      <w:r>
        <w:rPr>
          <w:color w:val="231F20"/>
          <w:spacing w:val="-11"/>
          <w:w w:val="105"/>
        </w:rPr>
        <w:t> </w:t>
      </w:r>
      <w:r>
        <w:rPr>
          <w:color w:val="231F20"/>
          <w:w w:val="105"/>
        </w:rPr>
        <w:t>la</w:t>
      </w:r>
      <w:r>
        <w:rPr>
          <w:color w:val="231F20"/>
          <w:spacing w:val="-11"/>
          <w:w w:val="105"/>
        </w:rPr>
        <w:t> </w:t>
      </w:r>
      <w:r>
        <w:rPr>
          <w:color w:val="231F20"/>
          <w:w w:val="105"/>
        </w:rPr>
        <w:t>estructura</w:t>
      </w:r>
      <w:r>
        <w:rPr>
          <w:color w:val="231F20"/>
          <w:spacing w:val="-11"/>
          <w:w w:val="105"/>
        </w:rPr>
        <w:t> </w:t>
      </w:r>
      <w:r>
        <w:rPr>
          <w:color w:val="231F20"/>
          <w:w w:val="105"/>
        </w:rPr>
        <w:t>de</w:t>
      </w:r>
      <w:r>
        <w:rPr>
          <w:color w:val="231F20"/>
          <w:spacing w:val="-11"/>
          <w:w w:val="105"/>
        </w:rPr>
        <w:t> </w:t>
      </w:r>
      <w:r>
        <w:rPr>
          <w:color w:val="231F20"/>
          <w:w w:val="105"/>
        </w:rPr>
        <w:t>autoridad</w:t>
      </w:r>
      <w:r>
        <w:rPr>
          <w:color w:val="231F20"/>
          <w:spacing w:val="-11"/>
          <w:w w:val="105"/>
        </w:rPr>
        <w:t> </w:t>
      </w:r>
      <w:r>
        <w:rPr>
          <w:color w:val="231F20"/>
          <w:w w:val="105"/>
        </w:rPr>
        <w:t>como</w:t>
      </w:r>
      <w:r>
        <w:rPr>
          <w:color w:val="231F20"/>
          <w:spacing w:val="-11"/>
          <w:w w:val="105"/>
        </w:rPr>
        <w:t> </w:t>
      </w:r>
      <w:r>
        <w:rPr>
          <w:color w:val="231F20"/>
          <w:w w:val="105"/>
        </w:rPr>
        <w:t>gobernadores,</w:t>
      </w:r>
      <w:r>
        <w:rPr>
          <w:color w:val="231F20"/>
          <w:spacing w:val="-11"/>
          <w:w w:val="105"/>
        </w:rPr>
        <w:t> </w:t>
      </w:r>
      <w:r>
        <w:rPr>
          <w:color w:val="231F20"/>
          <w:w w:val="105"/>
        </w:rPr>
        <w:t>jueces,</w:t>
      </w:r>
      <w:r>
        <w:rPr>
          <w:color w:val="231F20"/>
          <w:spacing w:val="-11"/>
          <w:w w:val="105"/>
        </w:rPr>
        <w:t> </w:t>
      </w:r>
      <w:r>
        <w:rPr>
          <w:color w:val="231F20"/>
          <w:w w:val="105"/>
        </w:rPr>
        <w:t>alcaldes</w:t>
      </w:r>
      <w:r>
        <w:rPr>
          <w:color w:val="231F20"/>
          <w:spacing w:val="-11"/>
          <w:w w:val="105"/>
        </w:rPr>
        <w:t> </w:t>
      </w:r>
      <w:r>
        <w:rPr>
          <w:color w:val="231F20"/>
          <w:w w:val="105"/>
        </w:rPr>
        <w:t>o</w:t>
      </w:r>
      <w:r>
        <w:rPr>
          <w:color w:val="231F20"/>
          <w:spacing w:val="-11"/>
          <w:w w:val="105"/>
        </w:rPr>
        <w:t> </w:t>
      </w:r>
      <w:r>
        <w:rPr>
          <w:color w:val="231F20"/>
          <w:w w:val="105"/>
        </w:rPr>
        <w:t>regidores</w:t>
      </w:r>
      <w:r>
        <w:rPr>
          <w:color w:val="231F20"/>
          <w:spacing w:val="-11"/>
          <w:w w:val="105"/>
        </w:rPr>
        <w:t> </w:t>
      </w:r>
      <w:r>
        <w:rPr>
          <w:color w:val="231F20"/>
          <w:w w:val="105"/>
        </w:rPr>
        <w:t>a</w:t>
      </w:r>
      <w:r>
        <w:rPr>
          <w:color w:val="231F20"/>
          <w:spacing w:val="-11"/>
          <w:w w:val="105"/>
        </w:rPr>
        <w:t> </w:t>
      </w:r>
      <w:r>
        <w:rPr>
          <w:color w:val="231F20"/>
          <w:w w:val="105"/>
        </w:rPr>
        <w:t>cambio de</w:t>
      </w:r>
      <w:r>
        <w:rPr>
          <w:color w:val="231F20"/>
          <w:spacing w:val="-5"/>
          <w:w w:val="105"/>
        </w:rPr>
        <w:t> </w:t>
      </w:r>
      <w:r>
        <w:rPr>
          <w:color w:val="231F20"/>
          <w:w w:val="105"/>
        </w:rPr>
        <w:t>que</w:t>
      </w:r>
      <w:r>
        <w:rPr>
          <w:color w:val="231F20"/>
          <w:spacing w:val="-5"/>
          <w:w w:val="105"/>
        </w:rPr>
        <w:t> </w:t>
      </w:r>
      <w:r>
        <w:rPr>
          <w:color w:val="231F20"/>
          <w:w w:val="105"/>
        </w:rPr>
        <w:t>les</w:t>
      </w:r>
      <w:r>
        <w:rPr>
          <w:color w:val="231F20"/>
          <w:spacing w:val="-5"/>
          <w:w w:val="105"/>
        </w:rPr>
        <w:t> </w:t>
      </w:r>
      <w:r>
        <w:rPr>
          <w:color w:val="231F20"/>
          <w:w w:val="105"/>
        </w:rPr>
        <w:t>sirvieran</w:t>
      </w:r>
      <w:r>
        <w:rPr>
          <w:color w:val="231F20"/>
          <w:spacing w:val="-5"/>
          <w:w w:val="105"/>
        </w:rPr>
        <w:t> </w:t>
      </w:r>
      <w:r>
        <w:rPr>
          <w:color w:val="231F20"/>
          <w:w w:val="105"/>
        </w:rPr>
        <w:t>para</w:t>
      </w:r>
      <w:r>
        <w:rPr>
          <w:color w:val="231F20"/>
          <w:spacing w:val="-5"/>
          <w:w w:val="105"/>
        </w:rPr>
        <w:t> </w:t>
      </w:r>
      <w:r>
        <w:rPr>
          <w:color w:val="231F20"/>
          <w:w w:val="105"/>
        </w:rPr>
        <w:t>recabar</w:t>
      </w:r>
      <w:r>
        <w:rPr>
          <w:color w:val="231F20"/>
          <w:spacing w:val="-5"/>
          <w:w w:val="105"/>
        </w:rPr>
        <w:t> </w:t>
      </w:r>
      <w:r>
        <w:rPr>
          <w:color w:val="231F20"/>
          <w:w w:val="105"/>
        </w:rPr>
        <w:t>el</w:t>
      </w:r>
      <w:r>
        <w:rPr>
          <w:color w:val="231F20"/>
          <w:spacing w:val="-5"/>
          <w:w w:val="105"/>
        </w:rPr>
        <w:t> </w:t>
      </w:r>
      <w:r>
        <w:rPr>
          <w:color w:val="231F20"/>
          <w:w w:val="105"/>
        </w:rPr>
        <w:t>tributo,</w:t>
      </w:r>
      <w:r>
        <w:rPr>
          <w:color w:val="231F20"/>
          <w:spacing w:val="-5"/>
          <w:w w:val="105"/>
        </w:rPr>
        <w:t> </w:t>
      </w:r>
      <w:r>
        <w:rPr>
          <w:color w:val="231F20"/>
          <w:w w:val="105"/>
        </w:rPr>
        <w:t>proveer</w:t>
      </w:r>
      <w:r>
        <w:rPr>
          <w:color w:val="231F20"/>
          <w:spacing w:val="-5"/>
          <w:w w:val="105"/>
        </w:rPr>
        <w:t> </w:t>
      </w:r>
      <w:r>
        <w:rPr>
          <w:color w:val="231F20"/>
          <w:w w:val="105"/>
        </w:rPr>
        <w:t>de</w:t>
      </w:r>
      <w:r>
        <w:rPr>
          <w:color w:val="231F20"/>
          <w:spacing w:val="-5"/>
          <w:w w:val="105"/>
        </w:rPr>
        <w:t> </w:t>
      </w:r>
      <w:r>
        <w:rPr>
          <w:color w:val="231F20"/>
          <w:w w:val="105"/>
        </w:rPr>
        <w:t>fuerza</w:t>
      </w:r>
      <w:r>
        <w:rPr>
          <w:color w:val="231F20"/>
          <w:spacing w:val="-5"/>
          <w:w w:val="105"/>
        </w:rPr>
        <w:t> </w:t>
      </w:r>
      <w:r>
        <w:rPr>
          <w:color w:val="231F20"/>
          <w:w w:val="105"/>
        </w:rPr>
        <w:t>de</w:t>
      </w:r>
      <w:r>
        <w:rPr>
          <w:color w:val="231F20"/>
          <w:spacing w:val="-5"/>
          <w:w w:val="105"/>
        </w:rPr>
        <w:t> </w:t>
      </w:r>
      <w:r>
        <w:rPr>
          <w:color w:val="231F20"/>
          <w:w w:val="105"/>
        </w:rPr>
        <w:t>trabajo</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propieta- rios</w:t>
      </w:r>
      <w:r>
        <w:rPr>
          <w:color w:val="231F20"/>
          <w:spacing w:val="-25"/>
          <w:w w:val="105"/>
        </w:rPr>
        <w:t> </w:t>
      </w:r>
      <w:r>
        <w:rPr>
          <w:color w:val="231F20"/>
          <w:w w:val="105"/>
        </w:rPr>
        <w:t>españoles</w:t>
      </w:r>
      <w:r>
        <w:rPr>
          <w:color w:val="231F20"/>
          <w:spacing w:val="-25"/>
          <w:w w:val="105"/>
        </w:rPr>
        <w:t> </w:t>
      </w:r>
      <w:r>
        <w:rPr>
          <w:color w:val="231F20"/>
          <w:spacing w:val="-7"/>
          <w:w w:val="105"/>
        </w:rPr>
        <w:t>y,</w:t>
      </w:r>
      <w:r>
        <w:rPr>
          <w:color w:val="231F20"/>
          <w:spacing w:val="-25"/>
          <w:w w:val="105"/>
        </w:rPr>
        <w:t> </w:t>
      </w:r>
      <w:r>
        <w:rPr>
          <w:color w:val="231F20"/>
          <w:w w:val="105"/>
        </w:rPr>
        <w:t>en</w:t>
      </w:r>
      <w:r>
        <w:rPr>
          <w:color w:val="231F20"/>
          <w:spacing w:val="-25"/>
          <w:w w:val="105"/>
        </w:rPr>
        <w:t> </w:t>
      </w:r>
      <w:r>
        <w:rPr>
          <w:color w:val="231F20"/>
          <w:w w:val="105"/>
        </w:rPr>
        <w:t>general,</w:t>
      </w:r>
      <w:r>
        <w:rPr>
          <w:color w:val="231F20"/>
          <w:spacing w:val="-25"/>
          <w:w w:val="105"/>
        </w:rPr>
        <w:t> </w:t>
      </w:r>
      <w:r>
        <w:rPr>
          <w:color w:val="231F20"/>
          <w:w w:val="105"/>
        </w:rPr>
        <w:t>para</w:t>
      </w:r>
      <w:r>
        <w:rPr>
          <w:color w:val="231F20"/>
          <w:spacing w:val="-25"/>
          <w:w w:val="105"/>
        </w:rPr>
        <w:t> </w:t>
      </w:r>
      <w:r>
        <w:rPr>
          <w:color w:val="231F20"/>
          <w:w w:val="105"/>
        </w:rPr>
        <w:t>controlar</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población</w:t>
      </w:r>
      <w:r>
        <w:rPr>
          <w:color w:val="231F20"/>
          <w:spacing w:val="-25"/>
          <w:w w:val="105"/>
        </w:rPr>
        <w:t> </w:t>
      </w:r>
      <w:r>
        <w:rPr>
          <w:color w:val="231F20"/>
          <w:w w:val="105"/>
        </w:rPr>
        <w:t>nativa</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maceguales-,</w:t>
      </w:r>
      <w:r>
        <w:rPr>
          <w:color w:val="231F20"/>
          <w:spacing w:val="-25"/>
          <w:w w:val="105"/>
        </w:rPr>
        <w:t> </w:t>
      </w:r>
      <w:r>
        <w:rPr>
          <w:color w:val="231F20"/>
          <w:w w:val="105"/>
        </w:rPr>
        <w:t>justo como</w:t>
      </w:r>
      <w:r>
        <w:rPr>
          <w:color w:val="231F20"/>
          <w:spacing w:val="-9"/>
          <w:w w:val="105"/>
        </w:rPr>
        <w:t> </w:t>
      </w:r>
      <w:r>
        <w:rPr>
          <w:color w:val="231F20"/>
          <w:w w:val="105"/>
        </w:rPr>
        <w:t>lo</w:t>
      </w:r>
      <w:r>
        <w:rPr>
          <w:color w:val="231F20"/>
          <w:spacing w:val="-9"/>
          <w:w w:val="105"/>
        </w:rPr>
        <w:t> </w:t>
      </w:r>
      <w:r>
        <w:rPr>
          <w:color w:val="231F20"/>
          <w:w w:val="105"/>
        </w:rPr>
        <w:t>habían</w:t>
      </w:r>
      <w:r>
        <w:rPr>
          <w:color w:val="231F20"/>
          <w:spacing w:val="-9"/>
          <w:w w:val="105"/>
        </w:rPr>
        <w:t> </w:t>
      </w:r>
      <w:r>
        <w:rPr>
          <w:color w:val="231F20"/>
          <w:w w:val="105"/>
        </w:rPr>
        <w:t>hecho</w:t>
      </w:r>
      <w:r>
        <w:rPr>
          <w:color w:val="231F20"/>
          <w:spacing w:val="-9"/>
          <w:w w:val="105"/>
        </w:rPr>
        <w:t> </w:t>
      </w:r>
      <w:r>
        <w:rPr>
          <w:color w:val="231F20"/>
          <w:w w:val="105"/>
        </w:rPr>
        <w:t>desde</w:t>
      </w:r>
      <w:r>
        <w:rPr>
          <w:color w:val="231F20"/>
          <w:spacing w:val="-9"/>
          <w:w w:val="105"/>
        </w:rPr>
        <w:t> </w:t>
      </w:r>
      <w:r>
        <w:rPr>
          <w:color w:val="231F20"/>
          <w:w w:val="105"/>
        </w:rPr>
        <w:t>antes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Conquista.</w:t>
      </w:r>
    </w:p>
    <w:p>
      <w:pPr>
        <w:pStyle w:val="BodyText"/>
        <w:spacing w:before="1"/>
        <w:rPr>
          <w:sz w:val="26"/>
        </w:rPr>
      </w:pPr>
    </w:p>
    <w:p>
      <w:pPr>
        <w:pStyle w:val="BodyText"/>
        <w:spacing w:line="285" w:lineRule="auto"/>
        <w:ind w:left="110" w:right="107"/>
        <w:jc w:val="both"/>
      </w:pPr>
      <w:r>
        <w:rPr>
          <w:color w:val="231F20"/>
          <w:w w:val="105"/>
        </w:rPr>
        <w:t>En</w:t>
      </w:r>
      <w:r>
        <w:rPr>
          <w:color w:val="231F20"/>
          <w:spacing w:val="-5"/>
          <w:w w:val="105"/>
        </w:rPr>
        <w:t> </w:t>
      </w:r>
      <w:r>
        <w:rPr>
          <w:color w:val="231F20"/>
          <w:w w:val="105"/>
        </w:rPr>
        <w:t>Chimalhuacán</w:t>
      </w:r>
      <w:r>
        <w:rPr>
          <w:color w:val="231F20"/>
          <w:spacing w:val="-5"/>
          <w:w w:val="105"/>
        </w:rPr>
        <w:t> </w:t>
      </w:r>
      <w:r>
        <w:rPr>
          <w:color w:val="231F20"/>
          <w:w w:val="105"/>
        </w:rPr>
        <w:t>el</w:t>
      </w:r>
      <w:r>
        <w:rPr>
          <w:color w:val="231F20"/>
          <w:spacing w:val="-5"/>
          <w:w w:val="105"/>
        </w:rPr>
        <w:t> </w:t>
      </w:r>
      <w:r>
        <w:rPr>
          <w:color w:val="231F20"/>
          <w:w w:val="105"/>
        </w:rPr>
        <w:t>cacique</w:t>
      </w:r>
      <w:r>
        <w:rPr>
          <w:color w:val="231F20"/>
          <w:spacing w:val="-5"/>
          <w:w w:val="105"/>
        </w:rPr>
        <w:t> </w:t>
      </w:r>
      <w:r>
        <w:rPr>
          <w:color w:val="231F20"/>
          <w:w w:val="105"/>
        </w:rPr>
        <w:t>tiene</w:t>
      </w:r>
      <w:r>
        <w:rPr>
          <w:color w:val="231F20"/>
          <w:spacing w:val="-5"/>
          <w:w w:val="105"/>
        </w:rPr>
        <w:t> </w:t>
      </w:r>
      <w:r>
        <w:rPr>
          <w:color w:val="231F20"/>
          <w:w w:val="105"/>
        </w:rPr>
        <w:t>el</w:t>
      </w:r>
      <w:r>
        <w:rPr>
          <w:color w:val="231F20"/>
          <w:spacing w:val="-5"/>
          <w:w w:val="105"/>
        </w:rPr>
        <w:t> </w:t>
      </w:r>
      <w:r>
        <w:rPr>
          <w:color w:val="231F20"/>
          <w:spacing w:val="-3"/>
          <w:w w:val="105"/>
        </w:rPr>
        <w:t>nombre</w:t>
      </w:r>
      <w:r>
        <w:rPr>
          <w:color w:val="231F20"/>
          <w:spacing w:val="-5"/>
          <w:w w:val="105"/>
        </w:rPr>
        <w:t> </w:t>
      </w:r>
      <w:r>
        <w:rPr>
          <w:color w:val="231F20"/>
          <w:w w:val="105"/>
        </w:rPr>
        <w:t>de</w:t>
      </w:r>
      <w:r>
        <w:rPr>
          <w:color w:val="231F20"/>
          <w:spacing w:val="-5"/>
          <w:w w:val="105"/>
        </w:rPr>
        <w:t> </w:t>
      </w:r>
      <w:r>
        <w:rPr>
          <w:color w:val="231F20"/>
          <w:w w:val="105"/>
        </w:rPr>
        <w:t>Guadalupe</w:t>
      </w:r>
      <w:r>
        <w:rPr>
          <w:color w:val="231F20"/>
          <w:spacing w:val="-5"/>
          <w:w w:val="105"/>
        </w:rPr>
        <w:t> </w:t>
      </w:r>
      <w:r>
        <w:rPr>
          <w:color w:val="231F20"/>
          <w:w w:val="105"/>
        </w:rPr>
        <w:t>Buendía</w:t>
      </w:r>
      <w:r>
        <w:rPr>
          <w:color w:val="231F20"/>
          <w:spacing w:val="-5"/>
          <w:w w:val="105"/>
        </w:rPr>
        <w:t> Torres </w:t>
      </w:r>
      <w:r>
        <w:rPr>
          <w:color w:val="231F20"/>
          <w:w w:val="105"/>
        </w:rPr>
        <w:t>que</w:t>
      </w:r>
      <w:r>
        <w:rPr>
          <w:color w:val="231F20"/>
          <w:spacing w:val="-5"/>
          <w:w w:val="105"/>
        </w:rPr>
        <w:t> </w:t>
      </w:r>
      <w:r>
        <w:rPr>
          <w:color w:val="231F20"/>
          <w:w w:val="105"/>
        </w:rPr>
        <w:t>es</w:t>
      </w:r>
      <w:r>
        <w:rPr>
          <w:color w:val="231F20"/>
          <w:spacing w:val="-5"/>
          <w:w w:val="105"/>
        </w:rPr>
        <w:t> </w:t>
      </w:r>
      <w:r>
        <w:rPr>
          <w:color w:val="231F20"/>
          <w:w w:val="105"/>
        </w:rPr>
        <w:t>sus- tituida</w:t>
      </w:r>
      <w:r>
        <w:rPr>
          <w:color w:val="231F20"/>
          <w:spacing w:val="-15"/>
          <w:w w:val="105"/>
        </w:rPr>
        <w:t> </w:t>
      </w:r>
      <w:r>
        <w:rPr>
          <w:color w:val="231F20"/>
          <w:w w:val="105"/>
        </w:rPr>
        <w:t>a</w:t>
      </w:r>
      <w:r>
        <w:rPr>
          <w:color w:val="231F20"/>
          <w:spacing w:val="-15"/>
          <w:w w:val="105"/>
        </w:rPr>
        <w:t> </w:t>
      </w:r>
      <w:r>
        <w:rPr>
          <w:color w:val="231F20"/>
          <w:spacing w:val="2"/>
          <w:w w:val="105"/>
        </w:rPr>
        <w:t>partir</w:t>
      </w:r>
      <w:r>
        <w:rPr>
          <w:color w:val="231F20"/>
          <w:spacing w:val="-15"/>
          <w:w w:val="105"/>
        </w:rPr>
        <w:t> </w:t>
      </w:r>
      <w:r>
        <w:rPr>
          <w:color w:val="231F20"/>
          <w:w w:val="105"/>
        </w:rPr>
        <w:t>del</w:t>
      </w:r>
      <w:r>
        <w:rPr>
          <w:color w:val="231F20"/>
          <w:spacing w:val="-15"/>
          <w:w w:val="105"/>
        </w:rPr>
        <w:t> </w:t>
      </w:r>
      <w:r>
        <w:rPr>
          <w:color w:val="231F20"/>
          <w:w w:val="105"/>
        </w:rPr>
        <w:t>año</w:t>
      </w:r>
      <w:r>
        <w:rPr>
          <w:color w:val="231F20"/>
          <w:spacing w:val="-15"/>
          <w:w w:val="105"/>
        </w:rPr>
        <w:t> </w:t>
      </w:r>
      <w:r>
        <w:rPr>
          <w:color w:val="231F20"/>
          <w:spacing w:val="4"/>
          <w:w w:val="105"/>
        </w:rPr>
        <w:t>2000</w:t>
      </w:r>
      <w:r>
        <w:rPr>
          <w:color w:val="231F20"/>
          <w:spacing w:val="-15"/>
          <w:w w:val="105"/>
        </w:rPr>
        <w:t> </w:t>
      </w:r>
      <w:r>
        <w:rPr>
          <w:color w:val="231F20"/>
          <w:w w:val="105"/>
        </w:rPr>
        <w:t>por</w:t>
      </w:r>
      <w:r>
        <w:rPr>
          <w:color w:val="231F20"/>
          <w:spacing w:val="-15"/>
          <w:w w:val="105"/>
        </w:rPr>
        <w:t> </w:t>
      </w:r>
      <w:r>
        <w:rPr>
          <w:color w:val="231F20"/>
          <w:w w:val="105"/>
        </w:rPr>
        <w:t>una</w:t>
      </w:r>
      <w:r>
        <w:rPr>
          <w:color w:val="231F20"/>
          <w:spacing w:val="-15"/>
          <w:w w:val="105"/>
        </w:rPr>
        <w:t> </w:t>
      </w:r>
      <w:r>
        <w:rPr>
          <w:color w:val="231F20"/>
          <w:w w:val="105"/>
        </w:rPr>
        <w:t>organización:</w:t>
      </w:r>
      <w:r>
        <w:rPr>
          <w:color w:val="231F20"/>
          <w:spacing w:val="-15"/>
          <w:w w:val="105"/>
        </w:rPr>
        <w:t> </w:t>
      </w:r>
      <w:r>
        <w:rPr>
          <w:color w:val="231F20"/>
          <w:w w:val="105"/>
        </w:rPr>
        <w:t>Antorcha</w:t>
      </w:r>
      <w:r>
        <w:rPr>
          <w:color w:val="231F20"/>
          <w:spacing w:val="-15"/>
          <w:w w:val="105"/>
        </w:rPr>
        <w:t> </w:t>
      </w:r>
      <w:r>
        <w:rPr>
          <w:color w:val="231F20"/>
          <w:w w:val="105"/>
        </w:rPr>
        <w:t>Popular.</w:t>
      </w:r>
      <w:r>
        <w:rPr>
          <w:color w:val="231F20"/>
          <w:spacing w:val="-15"/>
          <w:w w:val="105"/>
        </w:rPr>
        <w:t> </w:t>
      </w:r>
      <w:r>
        <w:rPr>
          <w:color w:val="231F20"/>
          <w:w w:val="105"/>
        </w:rPr>
        <w:t>El</w:t>
      </w:r>
      <w:r>
        <w:rPr>
          <w:color w:val="231F20"/>
          <w:spacing w:val="-15"/>
          <w:w w:val="105"/>
        </w:rPr>
        <w:t> </w:t>
      </w:r>
      <w:r>
        <w:rPr>
          <w:color w:val="231F20"/>
          <w:w w:val="105"/>
        </w:rPr>
        <w:t>pueblo</w:t>
      </w:r>
      <w:r>
        <w:rPr>
          <w:color w:val="231F20"/>
          <w:spacing w:val="-15"/>
          <w:w w:val="105"/>
        </w:rPr>
        <w:t> </w:t>
      </w:r>
      <w:r>
        <w:rPr>
          <w:color w:val="231F20"/>
          <w:w w:val="105"/>
        </w:rPr>
        <w:t>percibe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la misma situación sólo que con diferente nombre:</w:t>
      </w:r>
    </w:p>
    <w:p>
      <w:pPr>
        <w:pStyle w:val="BodyText"/>
        <w:spacing w:line="285" w:lineRule="auto" w:before="47"/>
        <w:ind w:left="677" w:right="108"/>
        <w:jc w:val="both"/>
        <w:rPr>
          <w:sz w:val="13"/>
        </w:rPr>
      </w:pPr>
      <w:r>
        <w:rPr>
          <w:color w:val="231F20"/>
          <w:w w:val="105"/>
        </w:rPr>
        <w:t>Los vecinos del asentamiento Franja 40, en el barrio </w:t>
      </w:r>
      <w:r>
        <w:rPr>
          <w:color w:val="231F20"/>
          <w:spacing w:val="-3"/>
          <w:w w:val="105"/>
        </w:rPr>
        <w:t>Tepalcates, </w:t>
      </w:r>
      <w:r>
        <w:rPr>
          <w:color w:val="231F20"/>
          <w:w w:val="105"/>
        </w:rPr>
        <w:t>estaban felices: por</w:t>
      </w:r>
      <w:r>
        <w:rPr>
          <w:color w:val="231F20"/>
          <w:spacing w:val="-16"/>
          <w:w w:val="105"/>
        </w:rPr>
        <w:t> </w:t>
      </w:r>
      <w:r>
        <w:rPr>
          <w:color w:val="231F20"/>
          <w:w w:val="105"/>
        </w:rPr>
        <w:t>fin,</w:t>
      </w:r>
      <w:r>
        <w:rPr>
          <w:color w:val="231F20"/>
          <w:spacing w:val="-16"/>
          <w:w w:val="105"/>
        </w:rPr>
        <w:t> </w:t>
      </w:r>
      <w:r>
        <w:rPr>
          <w:color w:val="231F20"/>
          <w:w w:val="105"/>
        </w:rPr>
        <w:t>después</w:t>
      </w:r>
      <w:r>
        <w:rPr>
          <w:color w:val="231F20"/>
          <w:spacing w:val="-16"/>
          <w:w w:val="105"/>
        </w:rPr>
        <w:t> </w:t>
      </w:r>
      <w:r>
        <w:rPr>
          <w:color w:val="231F20"/>
          <w:w w:val="105"/>
        </w:rPr>
        <w:t>de</w:t>
      </w:r>
      <w:r>
        <w:rPr>
          <w:color w:val="231F20"/>
          <w:spacing w:val="-16"/>
          <w:w w:val="105"/>
        </w:rPr>
        <w:t> </w:t>
      </w:r>
      <w:r>
        <w:rPr>
          <w:color w:val="231F20"/>
          <w:w w:val="105"/>
        </w:rPr>
        <w:t>cuatro</w:t>
      </w:r>
      <w:r>
        <w:rPr>
          <w:color w:val="231F20"/>
          <w:spacing w:val="-16"/>
          <w:w w:val="105"/>
        </w:rPr>
        <w:t> </w:t>
      </w:r>
      <w:r>
        <w:rPr>
          <w:color w:val="231F20"/>
          <w:w w:val="105"/>
        </w:rPr>
        <w:t>años</w:t>
      </w:r>
      <w:r>
        <w:rPr>
          <w:color w:val="231F20"/>
          <w:spacing w:val="-16"/>
          <w:w w:val="105"/>
        </w:rPr>
        <w:t> </w:t>
      </w:r>
      <w:r>
        <w:rPr>
          <w:color w:val="231F20"/>
          <w:w w:val="105"/>
        </w:rPr>
        <w:t>de</w:t>
      </w:r>
      <w:r>
        <w:rPr>
          <w:color w:val="231F20"/>
          <w:spacing w:val="-16"/>
          <w:w w:val="105"/>
        </w:rPr>
        <w:t> </w:t>
      </w:r>
      <w:r>
        <w:rPr>
          <w:color w:val="231F20"/>
          <w:w w:val="105"/>
        </w:rPr>
        <w:t>trámites</w:t>
      </w:r>
      <w:r>
        <w:rPr>
          <w:color w:val="231F20"/>
          <w:spacing w:val="-16"/>
          <w:w w:val="105"/>
        </w:rPr>
        <w:t> </w:t>
      </w:r>
      <w:r>
        <w:rPr>
          <w:color w:val="231F20"/>
          <w:w w:val="105"/>
        </w:rPr>
        <w:t>y</w:t>
      </w:r>
      <w:r>
        <w:rPr>
          <w:color w:val="231F20"/>
          <w:spacing w:val="-16"/>
          <w:w w:val="105"/>
        </w:rPr>
        <w:t> </w:t>
      </w:r>
      <w:r>
        <w:rPr>
          <w:color w:val="231F20"/>
          <w:w w:val="105"/>
        </w:rPr>
        <w:t>súplicas</w:t>
      </w:r>
      <w:r>
        <w:rPr>
          <w:color w:val="231F20"/>
          <w:spacing w:val="-16"/>
          <w:w w:val="105"/>
        </w:rPr>
        <w:t> </w:t>
      </w:r>
      <w:r>
        <w:rPr>
          <w:color w:val="231F20"/>
          <w:spacing w:val="2"/>
          <w:w w:val="105"/>
        </w:rPr>
        <w:t>al</w:t>
      </w:r>
      <w:r>
        <w:rPr>
          <w:color w:val="231F20"/>
          <w:spacing w:val="-16"/>
          <w:w w:val="105"/>
        </w:rPr>
        <w:t> </w:t>
      </w:r>
      <w:r>
        <w:rPr>
          <w:color w:val="231F20"/>
          <w:w w:val="105"/>
        </w:rPr>
        <w:t>ayuntamiento,</w:t>
      </w:r>
      <w:r>
        <w:rPr>
          <w:color w:val="231F20"/>
          <w:spacing w:val="-16"/>
          <w:w w:val="105"/>
        </w:rPr>
        <w:t> </w:t>
      </w:r>
      <w:r>
        <w:rPr>
          <w:color w:val="231F20"/>
          <w:w w:val="105"/>
        </w:rPr>
        <w:t>la</w:t>
      </w:r>
      <w:r>
        <w:rPr>
          <w:color w:val="231F20"/>
          <w:spacing w:val="-16"/>
          <w:w w:val="105"/>
        </w:rPr>
        <w:t> </w:t>
      </w:r>
      <w:r>
        <w:rPr>
          <w:color w:val="231F20"/>
          <w:w w:val="105"/>
        </w:rPr>
        <w:t>Compa- ñía</w:t>
      </w:r>
      <w:r>
        <w:rPr>
          <w:color w:val="231F20"/>
          <w:spacing w:val="-11"/>
          <w:w w:val="105"/>
        </w:rPr>
        <w:t> </w:t>
      </w:r>
      <w:r>
        <w:rPr>
          <w:color w:val="231F20"/>
          <w:w w:val="105"/>
        </w:rPr>
        <w:t>de</w:t>
      </w:r>
      <w:r>
        <w:rPr>
          <w:color w:val="231F20"/>
          <w:spacing w:val="-11"/>
          <w:w w:val="105"/>
        </w:rPr>
        <w:t> </w:t>
      </w:r>
      <w:r>
        <w:rPr>
          <w:color w:val="231F20"/>
          <w:w w:val="105"/>
        </w:rPr>
        <w:t>Luz</w:t>
      </w:r>
      <w:r>
        <w:rPr>
          <w:color w:val="231F20"/>
          <w:spacing w:val="-11"/>
          <w:w w:val="105"/>
        </w:rPr>
        <w:t> </w:t>
      </w:r>
      <w:r>
        <w:rPr>
          <w:color w:val="231F20"/>
          <w:w w:val="105"/>
        </w:rPr>
        <w:t>y</w:t>
      </w:r>
      <w:r>
        <w:rPr>
          <w:color w:val="231F20"/>
          <w:spacing w:val="-11"/>
          <w:w w:val="105"/>
        </w:rPr>
        <w:t> </w:t>
      </w:r>
      <w:r>
        <w:rPr>
          <w:color w:val="231F20"/>
          <w:w w:val="105"/>
        </w:rPr>
        <w:t>hasta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Loba</w:t>
      </w:r>
      <w:r>
        <w:rPr>
          <w:color w:val="231F20"/>
          <w:spacing w:val="-11"/>
          <w:w w:val="105"/>
        </w:rPr>
        <w:t> </w:t>
      </w:r>
      <w:r>
        <w:rPr>
          <w:color w:val="231F20"/>
          <w:w w:val="105"/>
        </w:rPr>
        <w:t>–quien</w:t>
      </w:r>
      <w:r>
        <w:rPr>
          <w:color w:val="231F20"/>
          <w:spacing w:val="-11"/>
          <w:w w:val="105"/>
        </w:rPr>
        <w:t> </w:t>
      </w:r>
      <w:r>
        <w:rPr>
          <w:color w:val="231F20"/>
          <w:w w:val="105"/>
        </w:rPr>
        <w:t>les</w:t>
      </w:r>
      <w:r>
        <w:rPr>
          <w:color w:val="231F20"/>
          <w:spacing w:val="-11"/>
          <w:w w:val="105"/>
        </w:rPr>
        <w:t> </w:t>
      </w:r>
      <w:r>
        <w:rPr>
          <w:color w:val="231F20"/>
          <w:w w:val="105"/>
        </w:rPr>
        <w:t>vendió</w:t>
      </w:r>
      <w:r>
        <w:rPr>
          <w:color w:val="231F20"/>
          <w:spacing w:val="-11"/>
          <w:w w:val="105"/>
        </w:rPr>
        <w:t> </w:t>
      </w:r>
      <w:r>
        <w:rPr>
          <w:color w:val="231F20"/>
          <w:w w:val="105"/>
        </w:rPr>
        <w:t>los</w:t>
      </w:r>
      <w:r>
        <w:rPr>
          <w:color w:val="231F20"/>
          <w:spacing w:val="-11"/>
          <w:w w:val="105"/>
        </w:rPr>
        <w:t> </w:t>
      </w:r>
      <w:r>
        <w:rPr>
          <w:color w:val="231F20"/>
          <w:w w:val="105"/>
        </w:rPr>
        <w:t>terrenos–</w:t>
      </w:r>
      <w:r>
        <w:rPr>
          <w:color w:val="231F20"/>
          <w:spacing w:val="-11"/>
          <w:w w:val="105"/>
        </w:rPr>
        <w:t> </w:t>
      </w:r>
      <w:r>
        <w:rPr>
          <w:color w:val="231F20"/>
          <w:w w:val="105"/>
        </w:rPr>
        <w:t>consiguieron</w:t>
      </w:r>
      <w:r>
        <w:rPr>
          <w:color w:val="231F20"/>
          <w:spacing w:val="-11"/>
          <w:w w:val="105"/>
        </w:rPr>
        <w:t> </w:t>
      </w:r>
      <w:r>
        <w:rPr>
          <w:color w:val="231F20"/>
          <w:w w:val="105"/>
        </w:rPr>
        <w:t>que</w:t>
      </w:r>
      <w:r>
        <w:rPr>
          <w:color w:val="231F20"/>
          <w:spacing w:val="-11"/>
          <w:w w:val="105"/>
        </w:rPr>
        <w:t> </w:t>
      </w:r>
      <w:r>
        <w:rPr>
          <w:color w:val="231F20"/>
          <w:w w:val="105"/>
        </w:rPr>
        <w:t>se </w:t>
      </w:r>
      <w:r>
        <w:rPr>
          <w:color w:val="231F20"/>
          <w:spacing w:val="2"/>
          <w:w w:val="105"/>
        </w:rPr>
        <w:t>instalara</w:t>
      </w:r>
      <w:r>
        <w:rPr>
          <w:color w:val="231F20"/>
          <w:spacing w:val="-14"/>
          <w:w w:val="105"/>
        </w:rPr>
        <w:t> </w:t>
      </w:r>
      <w:r>
        <w:rPr>
          <w:color w:val="231F20"/>
          <w:w w:val="105"/>
        </w:rPr>
        <w:t>el</w:t>
      </w:r>
      <w:r>
        <w:rPr>
          <w:color w:val="231F20"/>
          <w:spacing w:val="-14"/>
          <w:w w:val="105"/>
        </w:rPr>
        <w:t> </w:t>
      </w:r>
      <w:r>
        <w:rPr>
          <w:color w:val="231F20"/>
          <w:w w:val="105"/>
        </w:rPr>
        <w:t>servicio</w:t>
      </w:r>
      <w:r>
        <w:rPr>
          <w:color w:val="231F20"/>
          <w:spacing w:val="-14"/>
          <w:w w:val="105"/>
        </w:rPr>
        <w:t> </w:t>
      </w:r>
      <w:r>
        <w:rPr>
          <w:color w:val="231F20"/>
          <w:w w:val="105"/>
        </w:rPr>
        <w:t>de</w:t>
      </w:r>
      <w:r>
        <w:rPr>
          <w:color w:val="231F20"/>
          <w:spacing w:val="-14"/>
          <w:w w:val="105"/>
        </w:rPr>
        <w:t> </w:t>
      </w:r>
      <w:r>
        <w:rPr>
          <w:color w:val="231F20"/>
          <w:w w:val="105"/>
        </w:rPr>
        <w:t>energía</w:t>
      </w:r>
      <w:r>
        <w:rPr>
          <w:color w:val="231F20"/>
          <w:spacing w:val="-14"/>
          <w:w w:val="105"/>
        </w:rPr>
        <w:t> </w:t>
      </w:r>
      <w:r>
        <w:rPr>
          <w:color w:val="231F20"/>
          <w:w w:val="105"/>
        </w:rPr>
        <w:t>eléctrica.</w:t>
      </w:r>
      <w:r>
        <w:rPr>
          <w:color w:val="231F20"/>
          <w:spacing w:val="-14"/>
          <w:w w:val="105"/>
        </w:rPr>
        <w:t> </w:t>
      </w:r>
      <w:r>
        <w:rPr>
          <w:color w:val="231F20"/>
          <w:w w:val="105"/>
        </w:rPr>
        <w:t>…</w:t>
      </w:r>
      <w:r>
        <w:rPr>
          <w:color w:val="231F20"/>
          <w:spacing w:val="-14"/>
          <w:w w:val="105"/>
        </w:rPr>
        <w:t> </w:t>
      </w:r>
      <w:r>
        <w:rPr>
          <w:color w:val="231F20"/>
          <w:w w:val="105"/>
        </w:rPr>
        <w:t>los</w:t>
      </w:r>
      <w:r>
        <w:rPr>
          <w:color w:val="231F20"/>
          <w:spacing w:val="-14"/>
          <w:w w:val="105"/>
        </w:rPr>
        <w:t> </w:t>
      </w:r>
      <w:r>
        <w:rPr>
          <w:color w:val="231F20"/>
          <w:w w:val="105"/>
        </w:rPr>
        <w:t>maestros</w:t>
      </w:r>
      <w:r>
        <w:rPr>
          <w:color w:val="231F20"/>
          <w:spacing w:val="-14"/>
          <w:w w:val="105"/>
        </w:rPr>
        <w:t> </w:t>
      </w:r>
      <w:r>
        <w:rPr>
          <w:color w:val="231F20"/>
          <w:w w:val="105"/>
        </w:rPr>
        <w:t>antorchistas</w:t>
      </w:r>
      <w:r>
        <w:rPr>
          <w:color w:val="231F20"/>
          <w:spacing w:val="-14"/>
          <w:w w:val="105"/>
        </w:rPr>
        <w:t> </w:t>
      </w:r>
      <w:r>
        <w:rPr>
          <w:color w:val="231F20"/>
          <w:w w:val="105"/>
        </w:rPr>
        <w:t>encargados de la labor social en la zona advirtieron que, si deseaban que la electricidad se quedara en sus casas debían </w:t>
      </w:r>
      <w:r>
        <w:rPr>
          <w:color w:val="231F20"/>
          <w:spacing w:val="2"/>
          <w:w w:val="105"/>
        </w:rPr>
        <w:t>afiliarse </w:t>
      </w:r>
      <w:r>
        <w:rPr>
          <w:color w:val="231F20"/>
          <w:w w:val="105"/>
        </w:rPr>
        <w:t>a la organización. </w:t>
      </w:r>
      <w:r>
        <w:rPr>
          <w:color w:val="231F20"/>
          <w:spacing w:val="3"/>
          <w:w w:val="105"/>
        </w:rPr>
        <w:t>Al </w:t>
      </w:r>
      <w:r>
        <w:rPr>
          <w:color w:val="231F20"/>
          <w:w w:val="105"/>
        </w:rPr>
        <w:t>principio, cuenta un vecino,</w:t>
      </w:r>
      <w:r>
        <w:rPr>
          <w:color w:val="231F20"/>
          <w:spacing w:val="-17"/>
          <w:w w:val="105"/>
        </w:rPr>
        <w:t> </w:t>
      </w:r>
      <w:r>
        <w:rPr>
          <w:color w:val="231F20"/>
          <w:spacing w:val="2"/>
          <w:w w:val="105"/>
        </w:rPr>
        <w:t>“la</w:t>
      </w:r>
      <w:r>
        <w:rPr>
          <w:color w:val="231F20"/>
          <w:spacing w:val="-17"/>
          <w:w w:val="105"/>
        </w:rPr>
        <w:t> </w:t>
      </w:r>
      <w:r>
        <w:rPr>
          <w:color w:val="231F20"/>
          <w:w w:val="105"/>
        </w:rPr>
        <w:t>gente</w:t>
      </w:r>
      <w:r>
        <w:rPr>
          <w:color w:val="231F20"/>
          <w:spacing w:val="-17"/>
          <w:w w:val="105"/>
        </w:rPr>
        <w:t> </w:t>
      </w:r>
      <w:r>
        <w:rPr>
          <w:color w:val="231F20"/>
          <w:w w:val="105"/>
        </w:rPr>
        <w:t>no</w:t>
      </w:r>
      <w:r>
        <w:rPr>
          <w:color w:val="231F20"/>
          <w:spacing w:val="-17"/>
          <w:w w:val="105"/>
        </w:rPr>
        <w:t> </w:t>
      </w:r>
      <w:r>
        <w:rPr>
          <w:color w:val="231F20"/>
          <w:w w:val="105"/>
        </w:rPr>
        <w:t>hizo</w:t>
      </w:r>
      <w:r>
        <w:rPr>
          <w:color w:val="231F20"/>
          <w:spacing w:val="-17"/>
          <w:w w:val="105"/>
        </w:rPr>
        <w:t> </w:t>
      </w:r>
      <w:r>
        <w:rPr>
          <w:color w:val="231F20"/>
          <w:w w:val="105"/>
        </w:rPr>
        <w:t>caso,</w:t>
      </w:r>
      <w:r>
        <w:rPr>
          <w:color w:val="231F20"/>
          <w:spacing w:val="-17"/>
          <w:w w:val="105"/>
        </w:rPr>
        <w:t> </w:t>
      </w:r>
      <w:r>
        <w:rPr>
          <w:color w:val="231F20"/>
          <w:w w:val="105"/>
        </w:rPr>
        <w:t>decían</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podía</w:t>
      </w:r>
      <w:r>
        <w:rPr>
          <w:color w:val="231F20"/>
          <w:spacing w:val="-17"/>
          <w:w w:val="105"/>
        </w:rPr>
        <w:t> </w:t>
      </w:r>
      <w:r>
        <w:rPr>
          <w:color w:val="231F20"/>
          <w:w w:val="105"/>
        </w:rPr>
        <w:t>ser</w:t>
      </w:r>
      <w:r>
        <w:rPr>
          <w:color w:val="231F20"/>
          <w:spacing w:val="-17"/>
          <w:w w:val="105"/>
        </w:rPr>
        <w:t> </w:t>
      </w:r>
      <w:r>
        <w:rPr>
          <w:color w:val="231F20"/>
          <w:w w:val="105"/>
        </w:rPr>
        <w:t>peor</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tiempos</w:t>
      </w:r>
      <w:r>
        <w:rPr>
          <w:color w:val="231F20"/>
          <w:spacing w:val="-17"/>
          <w:w w:val="105"/>
        </w:rPr>
        <w:t> </w:t>
      </w:r>
      <w:r>
        <w:rPr>
          <w:color w:val="231F20"/>
          <w:w w:val="105"/>
        </w:rPr>
        <w:t>de La</w:t>
      </w:r>
      <w:r>
        <w:rPr>
          <w:color w:val="231F20"/>
          <w:spacing w:val="-15"/>
          <w:w w:val="105"/>
        </w:rPr>
        <w:t> </w:t>
      </w:r>
      <w:r>
        <w:rPr>
          <w:color w:val="231F20"/>
          <w:w w:val="105"/>
        </w:rPr>
        <w:t>Loba.</w:t>
      </w:r>
      <w:r>
        <w:rPr>
          <w:color w:val="231F20"/>
          <w:spacing w:val="-15"/>
          <w:w w:val="105"/>
        </w:rPr>
        <w:t> </w:t>
      </w:r>
      <w:r>
        <w:rPr>
          <w:color w:val="231F20"/>
          <w:spacing w:val="-3"/>
          <w:w w:val="105"/>
        </w:rPr>
        <w:t>Pero</w:t>
      </w:r>
      <w:r>
        <w:rPr>
          <w:color w:val="231F20"/>
          <w:spacing w:val="-15"/>
          <w:w w:val="105"/>
        </w:rPr>
        <w:t> </w:t>
      </w:r>
      <w:r>
        <w:rPr>
          <w:color w:val="231F20"/>
          <w:w w:val="105"/>
        </w:rPr>
        <w:t>entonces</w:t>
      </w:r>
      <w:r>
        <w:rPr>
          <w:color w:val="231F20"/>
          <w:spacing w:val="-15"/>
          <w:w w:val="105"/>
        </w:rPr>
        <w:t> </w:t>
      </w:r>
      <w:r>
        <w:rPr>
          <w:color w:val="231F20"/>
          <w:w w:val="105"/>
        </w:rPr>
        <w:t>nos</w:t>
      </w:r>
      <w:r>
        <w:rPr>
          <w:color w:val="231F20"/>
          <w:spacing w:val="-15"/>
          <w:w w:val="105"/>
        </w:rPr>
        <w:t> </w:t>
      </w:r>
      <w:r>
        <w:rPr>
          <w:color w:val="231F20"/>
          <w:w w:val="105"/>
        </w:rPr>
        <w:t>cortaron</w:t>
      </w:r>
      <w:r>
        <w:rPr>
          <w:color w:val="231F20"/>
          <w:spacing w:val="-15"/>
          <w:w w:val="105"/>
        </w:rPr>
        <w:t> </w:t>
      </w:r>
      <w:r>
        <w:rPr>
          <w:color w:val="231F20"/>
          <w:w w:val="105"/>
        </w:rPr>
        <w:t>la</w:t>
      </w:r>
      <w:r>
        <w:rPr>
          <w:color w:val="231F20"/>
          <w:spacing w:val="-15"/>
          <w:w w:val="105"/>
        </w:rPr>
        <w:t> </w:t>
      </w:r>
      <w:r>
        <w:rPr>
          <w:color w:val="231F20"/>
          <w:w w:val="105"/>
        </w:rPr>
        <w:t>luz</w:t>
      </w:r>
      <w:r>
        <w:rPr>
          <w:color w:val="231F20"/>
          <w:spacing w:val="-15"/>
          <w:w w:val="105"/>
        </w:rPr>
        <w:t> </w:t>
      </w:r>
      <w:r>
        <w:rPr>
          <w:color w:val="231F20"/>
          <w:w w:val="105"/>
        </w:rPr>
        <w:t>y</w:t>
      </w:r>
      <w:r>
        <w:rPr>
          <w:color w:val="231F20"/>
          <w:spacing w:val="-15"/>
          <w:w w:val="105"/>
        </w:rPr>
        <w:t> </w:t>
      </w:r>
      <w:r>
        <w:rPr>
          <w:color w:val="231F20"/>
          <w:w w:val="105"/>
        </w:rPr>
        <w:t>ni</w:t>
      </w:r>
      <w:r>
        <w:rPr>
          <w:color w:val="231F20"/>
          <w:spacing w:val="-15"/>
          <w:w w:val="105"/>
        </w:rPr>
        <w:t> </w:t>
      </w:r>
      <w:r>
        <w:rPr>
          <w:color w:val="231F20"/>
          <w:w w:val="105"/>
        </w:rPr>
        <w:t>modo,</w:t>
      </w:r>
      <w:r>
        <w:rPr>
          <w:color w:val="231F20"/>
          <w:spacing w:val="-15"/>
          <w:w w:val="105"/>
        </w:rPr>
        <w:t> </w:t>
      </w:r>
      <w:r>
        <w:rPr>
          <w:color w:val="231F20"/>
          <w:w w:val="105"/>
        </w:rPr>
        <w:t>tuvimos</w:t>
      </w:r>
      <w:r>
        <w:rPr>
          <w:color w:val="231F20"/>
          <w:spacing w:val="-15"/>
          <w:w w:val="105"/>
        </w:rPr>
        <w:t> </w:t>
      </w:r>
      <w:r>
        <w:rPr>
          <w:color w:val="231F20"/>
          <w:w w:val="105"/>
        </w:rPr>
        <w:t>que</w:t>
      </w:r>
      <w:r>
        <w:rPr>
          <w:color w:val="231F20"/>
          <w:spacing w:val="-15"/>
          <w:w w:val="105"/>
        </w:rPr>
        <w:t> </w:t>
      </w:r>
      <w:r>
        <w:rPr>
          <w:color w:val="231F20"/>
          <w:w w:val="105"/>
        </w:rPr>
        <w:t>afiliarnos”.</w:t>
      </w:r>
      <w:r>
        <w:rPr>
          <w:color w:val="231F20"/>
          <w:w w:val="105"/>
          <w:position w:val="7"/>
          <w:sz w:val="13"/>
        </w:rPr>
        <w:t>6</w:t>
      </w:r>
    </w:p>
    <w:p>
      <w:pPr>
        <w:pStyle w:val="BodyText"/>
        <w:spacing w:before="1"/>
        <w:rPr>
          <w:sz w:val="26"/>
        </w:rPr>
      </w:pPr>
    </w:p>
    <w:p>
      <w:pPr>
        <w:pStyle w:val="BodyText"/>
        <w:spacing w:line="285" w:lineRule="auto"/>
        <w:ind w:left="110" w:right="108"/>
        <w:jc w:val="both"/>
      </w:pPr>
      <w:r>
        <w:rPr>
          <w:color w:val="231F20"/>
          <w:w w:val="105"/>
        </w:rPr>
        <w:t>Como bien lo notara </w:t>
      </w:r>
      <w:r>
        <w:rPr>
          <w:color w:val="231F20"/>
          <w:spacing w:val="-4"/>
          <w:w w:val="105"/>
        </w:rPr>
        <w:t>Wayne </w:t>
      </w:r>
      <w:r>
        <w:rPr>
          <w:color w:val="231F20"/>
          <w:w w:val="105"/>
        </w:rPr>
        <w:t>Cornelius, en el México contemporáneo la de cacique es una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pocas</w:t>
      </w:r>
      <w:r>
        <w:rPr>
          <w:color w:val="231F20"/>
          <w:spacing w:val="-8"/>
          <w:w w:val="105"/>
        </w:rPr>
        <w:t> </w:t>
      </w:r>
      <w:r>
        <w:rPr>
          <w:color w:val="231F20"/>
          <w:w w:val="105"/>
        </w:rPr>
        <w:t>posiciones</w:t>
      </w:r>
      <w:r>
        <w:rPr>
          <w:color w:val="231F20"/>
          <w:spacing w:val="-8"/>
          <w:w w:val="105"/>
        </w:rPr>
        <w:t> </w:t>
      </w:r>
      <w:r>
        <w:rPr>
          <w:color w:val="231F20"/>
          <w:w w:val="105"/>
        </w:rPr>
        <w:t>de</w:t>
      </w:r>
      <w:r>
        <w:rPr>
          <w:color w:val="231F20"/>
          <w:spacing w:val="-8"/>
          <w:w w:val="105"/>
        </w:rPr>
        <w:t> </w:t>
      </w:r>
      <w:r>
        <w:rPr>
          <w:color w:val="231F20"/>
          <w:w w:val="105"/>
        </w:rPr>
        <w:t>poder</w:t>
      </w:r>
      <w:r>
        <w:rPr>
          <w:color w:val="231F20"/>
          <w:spacing w:val="-8"/>
          <w:w w:val="105"/>
        </w:rPr>
        <w:t> </w:t>
      </w:r>
      <w:r>
        <w:rPr>
          <w:color w:val="231F20"/>
          <w:w w:val="105"/>
        </w:rPr>
        <w:t>político</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están</w:t>
      </w:r>
      <w:r>
        <w:rPr>
          <w:color w:val="231F20"/>
          <w:spacing w:val="-8"/>
          <w:w w:val="105"/>
        </w:rPr>
        <w:t> </w:t>
      </w:r>
      <w:r>
        <w:rPr>
          <w:color w:val="231F20"/>
          <w:w w:val="105"/>
        </w:rPr>
        <w:t>sujetas</w:t>
      </w:r>
      <w:r>
        <w:rPr>
          <w:color w:val="231F20"/>
          <w:spacing w:val="-8"/>
          <w:w w:val="105"/>
        </w:rPr>
        <w:t> </w:t>
      </w:r>
      <w:r>
        <w:rPr>
          <w:color w:val="231F20"/>
          <w:w w:val="105"/>
        </w:rPr>
        <w:t>ni</w:t>
      </w:r>
      <w:r>
        <w:rPr>
          <w:color w:val="231F20"/>
          <w:spacing w:val="-8"/>
          <w:w w:val="105"/>
        </w:rPr>
        <w:t> </w:t>
      </w:r>
      <w:r>
        <w:rPr>
          <w:color w:val="231F20"/>
          <w:spacing w:val="2"/>
          <w:w w:val="105"/>
        </w:rPr>
        <w:t>al</w:t>
      </w:r>
      <w:r>
        <w:rPr>
          <w:color w:val="231F20"/>
          <w:spacing w:val="-8"/>
          <w:w w:val="105"/>
        </w:rPr>
        <w:t> </w:t>
      </w:r>
      <w:r>
        <w:rPr>
          <w:color w:val="231F20"/>
          <w:w w:val="105"/>
        </w:rPr>
        <w:t>ciclo</w:t>
      </w:r>
      <w:r>
        <w:rPr>
          <w:color w:val="231F20"/>
          <w:spacing w:val="-8"/>
          <w:w w:val="105"/>
        </w:rPr>
        <w:t> </w:t>
      </w:r>
      <w:r>
        <w:rPr>
          <w:color w:val="231F20"/>
          <w:w w:val="105"/>
        </w:rPr>
        <w:t>sexenal</w:t>
      </w:r>
      <w:r>
        <w:rPr>
          <w:color w:val="231F20"/>
          <w:spacing w:val="-8"/>
          <w:w w:val="105"/>
        </w:rPr>
        <w:t> </w:t>
      </w:r>
      <w:r>
        <w:rPr>
          <w:color w:val="231F20"/>
          <w:w w:val="105"/>
        </w:rPr>
        <w:t>ni a</w:t>
      </w:r>
      <w:r>
        <w:rPr>
          <w:color w:val="231F20"/>
          <w:spacing w:val="-12"/>
          <w:w w:val="105"/>
        </w:rPr>
        <w:t> </w:t>
      </w:r>
      <w:r>
        <w:rPr>
          <w:color w:val="231F20"/>
          <w:w w:val="105"/>
        </w:rPr>
        <w:t>la</w:t>
      </w:r>
      <w:r>
        <w:rPr>
          <w:color w:val="231F20"/>
          <w:spacing w:val="-12"/>
          <w:w w:val="105"/>
        </w:rPr>
        <w:t> </w:t>
      </w:r>
      <w:r>
        <w:rPr>
          <w:color w:val="231F20"/>
          <w:w w:val="105"/>
        </w:rPr>
        <w:t>no</w:t>
      </w:r>
      <w:r>
        <w:rPr>
          <w:color w:val="231F20"/>
          <w:spacing w:val="-12"/>
          <w:w w:val="105"/>
        </w:rPr>
        <w:t> </w:t>
      </w:r>
      <w:r>
        <w:rPr>
          <w:color w:val="231F20"/>
          <w:w w:val="105"/>
        </w:rPr>
        <w:t>reelección.</w:t>
      </w:r>
      <w:r>
        <w:rPr>
          <w:color w:val="231F20"/>
          <w:spacing w:val="-12"/>
          <w:w w:val="105"/>
        </w:rPr>
        <w:t> </w:t>
      </w:r>
      <w:r>
        <w:rPr>
          <w:color w:val="231F20"/>
          <w:spacing w:val="-3"/>
          <w:w w:val="105"/>
        </w:rPr>
        <w:t>Por</w:t>
      </w:r>
      <w:r>
        <w:rPr>
          <w:color w:val="231F20"/>
          <w:spacing w:val="-12"/>
          <w:w w:val="105"/>
        </w:rPr>
        <w:t> </w:t>
      </w:r>
      <w:r>
        <w:rPr>
          <w:color w:val="231F20"/>
          <w:w w:val="105"/>
        </w:rPr>
        <w:t>ello</w:t>
      </w:r>
      <w:r>
        <w:rPr>
          <w:color w:val="231F20"/>
          <w:spacing w:val="-12"/>
          <w:w w:val="105"/>
        </w:rPr>
        <w:t> </w:t>
      </w:r>
      <w:r>
        <w:rPr>
          <w:color w:val="231F20"/>
          <w:w w:val="105"/>
        </w:rPr>
        <w:t>la</w:t>
      </w:r>
      <w:r>
        <w:rPr>
          <w:color w:val="231F20"/>
          <w:spacing w:val="-12"/>
          <w:w w:val="105"/>
        </w:rPr>
        <w:t> </w:t>
      </w:r>
      <w:r>
        <w:rPr>
          <w:color w:val="231F20"/>
          <w:w w:val="105"/>
        </w:rPr>
        <w:t>defensa</w:t>
      </w:r>
      <w:r>
        <w:rPr>
          <w:color w:val="231F20"/>
          <w:spacing w:val="-12"/>
          <w:w w:val="105"/>
        </w:rPr>
        <w:t> </w:t>
      </w:r>
      <w:r>
        <w:rPr>
          <w:color w:val="231F20"/>
          <w:w w:val="105"/>
        </w:rPr>
        <w:t>que</w:t>
      </w:r>
      <w:r>
        <w:rPr>
          <w:color w:val="231F20"/>
          <w:spacing w:val="-12"/>
          <w:w w:val="105"/>
        </w:rPr>
        <w:t> </w:t>
      </w:r>
      <w:r>
        <w:rPr>
          <w:color w:val="231F20"/>
          <w:w w:val="105"/>
        </w:rPr>
        <w:t>asume</w:t>
      </w:r>
      <w:r>
        <w:rPr>
          <w:color w:val="231F20"/>
          <w:spacing w:val="-12"/>
          <w:w w:val="105"/>
        </w:rPr>
        <w:t> </w:t>
      </w:r>
      <w:r>
        <w:rPr>
          <w:color w:val="231F20"/>
          <w:w w:val="105"/>
        </w:rPr>
        <w:t>el</w:t>
      </w:r>
      <w:r>
        <w:rPr>
          <w:color w:val="231F20"/>
          <w:spacing w:val="-12"/>
          <w:w w:val="105"/>
        </w:rPr>
        <w:t> </w:t>
      </w:r>
      <w:r>
        <w:rPr>
          <w:color w:val="231F20"/>
          <w:w w:val="105"/>
        </w:rPr>
        <w:t>cacique</w:t>
      </w:r>
      <w:r>
        <w:rPr>
          <w:color w:val="231F20"/>
          <w:spacing w:val="-12"/>
          <w:w w:val="105"/>
        </w:rPr>
        <w:t> </w:t>
      </w:r>
      <w:r>
        <w:rPr>
          <w:color w:val="231F20"/>
          <w:w w:val="105"/>
        </w:rPr>
        <w:t>va</w:t>
      </w:r>
      <w:r>
        <w:rPr>
          <w:color w:val="231F20"/>
          <w:spacing w:val="-12"/>
          <w:w w:val="105"/>
        </w:rPr>
        <w:t> </w:t>
      </w:r>
      <w:r>
        <w:rPr>
          <w:color w:val="231F20"/>
          <w:w w:val="105"/>
        </w:rPr>
        <w:t>en</w:t>
      </w:r>
      <w:r>
        <w:rPr>
          <w:color w:val="231F20"/>
          <w:spacing w:val="-12"/>
          <w:w w:val="105"/>
        </w:rPr>
        <w:t> </w:t>
      </w:r>
      <w:r>
        <w:rPr>
          <w:color w:val="231F20"/>
          <w:w w:val="105"/>
        </w:rPr>
        <w:t>función</w:t>
      </w:r>
      <w:r>
        <w:rPr>
          <w:color w:val="231F20"/>
          <w:spacing w:val="-12"/>
          <w:w w:val="105"/>
        </w:rPr>
        <w:t> </w:t>
      </w:r>
      <w:r>
        <w:rPr>
          <w:color w:val="231F20"/>
          <w:w w:val="105"/>
        </w:rPr>
        <w:t>del</w:t>
      </w:r>
      <w:r>
        <w:rPr>
          <w:color w:val="231F20"/>
          <w:spacing w:val="-12"/>
          <w:w w:val="105"/>
        </w:rPr>
        <w:t> </w:t>
      </w:r>
      <w:r>
        <w:rPr>
          <w:color w:val="231F20"/>
          <w:w w:val="105"/>
        </w:rPr>
        <w:t>uso</w:t>
      </w:r>
      <w:r>
        <w:rPr>
          <w:color w:val="231F20"/>
          <w:spacing w:val="-12"/>
          <w:w w:val="105"/>
        </w:rPr>
        <w:t> </w:t>
      </w:r>
      <w:r>
        <w:rPr>
          <w:color w:val="231F20"/>
          <w:w w:val="105"/>
        </w:rPr>
        <w:t>de</w:t>
      </w:r>
      <w:r>
        <w:rPr>
          <w:color w:val="231F20"/>
          <w:spacing w:val="-12"/>
          <w:w w:val="105"/>
        </w:rPr>
        <w:t> </w:t>
      </w:r>
      <w:r>
        <w:rPr>
          <w:color w:val="231F20"/>
          <w:w w:val="105"/>
        </w:rPr>
        <w:t>los espacios</w:t>
      </w:r>
      <w:r>
        <w:rPr>
          <w:color w:val="231F20"/>
          <w:spacing w:val="-13"/>
          <w:w w:val="105"/>
        </w:rPr>
        <w:t> </w:t>
      </w:r>
      <w:r>
        <w:rPr>
          <w:color w:val="231F20"/>
          <w:w w:val="105"/>
        </w:rPr>
        <w:t>políticos</w:t>
      </w:r>
      <w:r>
        <w:rPr>
          <w:color w:val="231F20"/>
          <w:spacing w:val="-13"/>
          <w:w w:val="105"/>
        </w:rPr>
        <w:t> </w:t>
      </w:r>
      <w:r>
        <w:rPr>
          <w:color w:val="231F20"/>
          <w:w w:val="105"/>
        </w:rPr>
        <w:t>que</w:t>
      </w:r>
      <w:r>
        <w:rPr>
          <w:color w:val="231F20"/>
          <w:spacing w:val="-13"/>
          <w:w w:val="105"/>
        </w:rPr>
        <w:t> </w:t>
      </w:r>
      <w:r>
        <w:rPr>
          <w:color w:val="231F20"/>
          <w:w w:val="105"/>
        </w:rPr>
        <w:t>le</w:t>
      </w:r>
      <w:r>
        <w:rPr>
          <w:color w:val="231F20"/>
          <w:spacing w:val="-13"/>
          <w:w w:val="105"/>
        </w:rPr>
        <w:t> </w:t>
      </w:r>
      <w:r>
        <w:rPr>
          <w:color w:val="231F20"/>
          <w:w w:val="105"/>
        </w:rPr>
        <w:t>permite</w:t>
      </w:r>
      <w:r>
        <w:rPr>
          <w:color w:val="231F20"/>
          <w:spacing w:val="-13"/>
          <w:w w:val="105"/>
        </w:rPr>
        <w:t> </w:t>
      </w:r>
      <w:r>
        <w:rPr>
          <w:color w:val="231F20"/>
          <w:w w:val="105"/>
        </w:rPr>
        <w:t>la</w:t>
      </w:r>
      <w:r>
        <w:rPr>
          <w:color w:val="231F20"/>
          <w:spacing w:val="-13"/>
          <w:w w:val="105"/>
        </w:rPr>
        <w:t> </w:t>
      </w:r>
      <w:r>
        <w:rPr>
          <w:color w:val="231F20"/>
          <w:spacing w:val="-4"/>
          <w:w w:val="105"/>
        </w:rPr>
        <w:t>ley.</w:t>
      </w:r>
      <w:r>
        <w:rPr>
          <w:color w:val="231F20"/>
          <w:spacing w:val="-13"/>
          <w:w w:val="105"/>
        </w:rPr>
        <w:t> </w:t>
      </w:r>
      <w:r>
        <w:rPr>
          <w:color w:val="231F20"/>
          <w:w w:val="105"/>
        </w:rPr>
        <w:t>Pese</w:t>
      </w:r>
      <w:r>
        <w:rPr>
          <w:color w:val="231F20"/>
          <w:spacing w:val="-13"/>
          <w:w w:val="105"/>
        </w:rPr>
        <w:t> </w:t>
      </w:r>
      <w:r>
        <w:rPr>
          <w:color w:val="231F20"/>
          <w:w w:val="105"/>
        </w:rPr>
        <w:t>a</w:t>
      </w:r>
      <w:r>
        <w:rPr>
          <w:color w:val="231F20"/>
          <w:spacing w:val="-13"/>
          <w:w w:val="105"/>
        </w:rPr>
        <w:t> </w:t>
      </w:r>
      <w:r>
        <w:rPr>
          <w:color w:val="231F20"/>
          <w:w w:val="105"/>
        </w:rPr>
        <w:t>todo,</w:t>
      </w:r>
      <w:r>
        <w:rPr>
          <w:color w:val="231F20"/>
          <w:spacing w:val="-13"/>
          <w:w w:val="105"/>
        </w:rPr>
        <w:t> </w:t>
      </w:r>
      <w:r>
        <w:rPr>
          <w:color w:val="231F20"/>
          <w:w w:val="105"/>
        </w:rPr>
        <w:t>el</w:t>
      </w:r>
      <w:r>
        <w:rPr>
          <w:color w:val="231F20"/>
          <w:spacing w:val="-13"/>
          <w:w w:val="105"/>
        </w:rPr>
        <w:t> </w:t>
      </w:r>
      <w:r>
        <w:rPr>
          <w:color w:val="231F20"/>
          <w:w w:val="105"/>
        </w:rPr>
        <w:t>presidente</w:t>
      </w:r>
      <w:r>
        <w:rPr>
          <w:color w:val="231F20"/>
          <w:spacing w:val="-13"/>
          <w:w w:val="105"/>
        </w:rPr>
        <w:t> </w:t>
      </w:r>
      <w:r>
        <w:rPr>
          <w:color w:val="231F20"/>
          <w:w w:val="105"/>
        </w:rPr>
        <w:t>municipal</w:t>
      </w:r>
      <w:r>
        <w:rPr>
          <w:color w:val="231F20"/>
          <w:spacing w:val="-13"/>
          <w:w w:val="105"/>
        </w:rPr>
        <w:t> </w:t>
      </w:r>
      <w:r>
        <w:rPr>
          <w:color w:val="231F20"/>
          <w:w w:val="105"/>
        </w:rPr>
        <w:t>rechaza</w:t>
      </w:r>
      <w:r>
        <w:rPr>
          <w:color w:val="231F20"/>
          <w:spacing w:val="-13"/>
          <w:w w:val="105"/>
        </w:rPr>
        <w:t> </w:t>
      </w:r>
      <w:r>
        <w:rPr>
          <w:color w:val="231F20"/>
          <w:w w:val="105"/>
        </w:rPr>
        <w:t>las acusaciones en su</w:t>
      </w:r>
      <w:r>
        <w:rPr>
          <w:color w:val="231F20"/>
          <w:spacing w:val="-44"/>
          <w:w w:val="105"/>
        </w:rPr>
        <w:t> </w:t>
      </w:r>
      <w:r>
        <w:rPr>
          <w:color w:val="231F20"/>
          <w:w w:val="105"/>
        </w:rPr>
        <w:t>contra:</w:t>
      </w:r>
    </w:p>
    <w:p>
      <w:pPr>
        <w:pStyle w:val="BodyText"/>
        <w:spacing w:line="285" w:lineRule="auto" w:before="1"/>
        <w:ind w:left="677" w:right="108" w:firstLine="55"/>
        <w:jc w:val="both"/>
      </w:pPr>
      <w:r>
        <w:rPr>
          <w:color w:val="231F20"/>
          <w:w w:val="105"/>
        </w:rPr>
        <w:t>“Calumnias”,</w:t>
      </w:r>
      <w:r>
        <w:rPr>
          <w:color w:val="231F20"/>
          <w:spacing w:val="-14"/>
          <w:w w:val="105"/>
        </w:rPr>
        <w:t> </w:t>
      </w:r>
      <w:r>
        <w:rPr>
          <w:color w:val="231F20"/>
          <w:w w:val="105"/>
        </w:rPr>
        <w:t>responde</w:t>
      </w:r>
      <w:r>
        <w:rPr>
          <w:color w:val="231F20"/>
          <w:spacing w:val="-14"/>
          <w:w w:val="105"/>
        </w:rPr>
        <w:t> </w:t>
      </w:r>
      <w:r>
        <w:rPr>
          <w:color w:val="231F20"/>
          <w:w w:val="105"/>
        </w:rPr>
        <w:t>el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spacing w:val="-4"/>
          <w:w w:val="105"/>
        </w:rPr>
        <w:t>Tolentino</w:t>
      </w:r>
      <w:r>
        <w:rPr>
          <w:color w:val="231F20"/>
          <w:spacing w:val="-14"/>
          <w:w w:val="105"/>
        </w:rPr>
        <w:t> </w:t>
      </w:r>
      <w:r>
        <w:rPr>
          <w:color w:val="231F20"/>
          <w:w w:val="105"/>
        </w:rPr>
        <w:t>Román</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acusacio- nes</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favorece</w:t>
      </w:r>
      <w:r>
        <w:rPr>
          <w:color w:val="231F20"/>
          <w:spacing w:val="-20"/>
          <w:w w:val="105"/>
        </w:rPr>
        <w:t> </w:t>
      </w:r>
      <w:r>
        <w:rPr>
          <w:color w:val="231F20"/>
          <w:w w:val="105"/>
        </w:rPr>
        <w:t>con</w:t>
      </w:r>
      <w:r>
        <w:rPr>
          <w:color w:val="231F20"/>
          <w:spacing w:val="-20"/>
          <w:w w:val="105"/>
        </w:rPr>
        <w:t> </w:t>
      </w:r>
      <w:r>
        <w:rPr>
          <w:color w:val="231F20"/>
          <w:w w:val="105"/>
        </w:rPr>
        <w:t>obras</w:t>
      </w:r>
      <w:r>
        <w:rPr>
          <w:color w:val="231F20"/>
          <w:spacing w:val="-20"/>
          <w:w w:val="105"/>
        </w:rPr>
        <w:t> </w:t>
      </w:r>
      <w:r>
        <w:rPr>
          <w:color w:val="231F20"/>
          <w:w w:val="105"/>
        </w:rPr>
        <w:t>a</w:t>
      </w:r>
      <w:r>
        <w:rPr>
          <w:color w:val="231F20"/>
          <w:spacing w:val="-20"/>
          <w:w w:val="105"/>
        </w:rPr>
        <w:t> </w:t>
      </w:r>
      <w:r>
        <w:rPr>
          <w:color w:val="231F20"/>
          <w:w w:val="105"/>
        </w:rPr>
        <w:t>su</w:t>
      </w:r>
      <w:r>
        <w:rPr>
          <w:color w:val="231F20"/>
          <w:spacing w:val="-20"/>
          <w:w w:val="105"/>
        </w:rPr>
        <w:t> </w:t>
      </w:r>
      <w:r>
        <w:rPr>
          <w:color w:val="231F20"/>
          <w:w w:val="105"/>
        </w:rPr>
        <w:t>grupo</w:t>
      </w:r>
      <w:r>
        <w:rPr>
          <w:color w:val="231F20"/>
          <w:spacing w:val="-20"/>
          <w:w w:val="105"/>
        </w:rPr>
        <w:t> </w:t>
      </w:r>
      <w:r>
        <w:rPr>
          <w:color w:val="231F20"/>
          <w:w w:val="105"/>
        </w:rPr>
        <w:t>político.</w:t>
      </w:r>
      <w:r>
        <w:rPr>
          <w:color w:val="231F20"/>
          <w:spacing w:val="-20"/>
          <w:w w:val="105"/>
        </w:rPr>
        <w:t> </w:t>
      </w:r>
      <w:r>
        <w:rPr>
          <w:color w:val="231F20"/>
          <w:w w:val="105"/>
        </w:rPr>
        <w:t>“Es</w:t>
      </w:r>
      <w:r>
        <w:rPr>
          <w:color w:val="231F20"/>
          <w:spacing w:val="-20"/>
          <w:w w:val="105"/>
        </w:rPr>
        <w:t> </w:t>
      </w:r>
      <w:r>
        <w:rPr>
          <w:color w:val="231F20"/>
          <w:w w:val="105"/>
        </w:rPr>
        <w:t>una</w:t>
      </w:r>
      <w:r>
        <w:rPr>
          <w:color w:val="231F20"/>
          <w:spacing w:val="-20"/>
          <w:w w:val="105"/>
        </w:rPr>
        <w:t> </w:t>
      </w:r>
      <w:r>
        <w:rPr>
          <w:color w:val="231F20"/>
          <w:w w:val="105"/>
        </w:rPr>
        <w:t>costumbre</w:t>
      </w:r>
      <w:r>
        <w:rPr>
          <w:color w:val="231F20"/>
          <w:spacing w:val="-20"/>
          <w:w w:val="105"/>
        </w:rPr>
        <w:t> </w:t>
      </w:r>
      <w:r>
        <w:rPr>
          <w:color w:val="231F20"/>
          <w:w w:val="105"/>
        </w:rPr>
        <w:t>del</w:t>
      </w:r>
      <w:r>
        <w:rPr>
          <w:color w:val="231F20"/>
          <w:spacing w:val="-20"/>
          <w:w w:val="105"/>
        </w:rPr>
        <w:t> </w:t>
      </w:r>
      <w:r>
        <w:rPr>
          <w:color w:val="231F20"/>
          <w:w w:val="105"/>
        </w:rPr>
        <w:t>PRD</w:t>
      </w:r>
      <w:r>
        <w:rPr>
          <w:color w:val="231F20"/>
          <w:spacing w:val="-20"/>
          <w:w w:val="105"/>
        </w:rPr>
        <w:t> </w:t>
      </w:r>
      <w:r>
        <w:rPr>
          <w:color w:val="231F20"/>
          <w:w w:val="105"/>
        </w:rPr>
        <w:t>po- nerse</w:t>
      </w:r>
      <w:r>
        <w:rPr>
          <w:color w:val="231F20"/>
          <w:spacing w:val="-10"/>
          <w:w w:val="105"/>
        </w:rPr>
        <w:t> </w:t>
      </w:r>
      <w:r>
        <w:rPr>
          <w:color w:val="231F20"/>
          <w:w w:val="105"/>
        </w:rPr>
        <w:t>el</w:t>
      </w:r>
      <w:r>
        <w:rPr>
          <w:color w:val="231F20"/>
          <w:spacing w:val="-10"/>
          <w:w w:val="105"/>
        </w:rPr>
        <w:t> </w:t>
      </w:r>
      <w:r>
        <w:rPr>
          <w:color w:val="231F20"/>
          <w:w w:val="105"/>
        </w:rPr>
        <w:t>huarache</w:t>
      </w:r>
      <w:r>
        <w:rPr>
          <w:color w:val="231F20"/>
          <w:spacing w:val="-10"/>
          <w:w w:val="105"/>
        </w:rPr>
        <w:t> </w:t>
      </w:r>
      <w:r>
        <w:rPr>
          <w:color w:val="231F20"/>
          <w:w w:val="105"/>
        </w:rPr>
        <w:t>antes</w:t>
      </w:r>
      <w:r>
        <w:rPr>
          <w:color w:val="231F20"/>
          <w:spacing w:val="-10"/>
          <w:w w:val="105"/>
        </w:rPr>
        <w:t> </w:t>
      </w:r>
      <w:r>
        <w:rPr>
          <w:color w:val="231F20"/>
          <w:w w:val="105"/>
        </w:rPr>
        <w:t>de</w:t>
      </w:r>
      <w:r>
        <w:rPr>
          <w:color w:val="231F20"/>
          <w:spacing w:val="-10"/>
          <w:w w:val="105"/>
        </w:rPr>
        <w:t> </w:t>
      </w:r>
      <w:r>
        <w:rPr>
          <w:color w:val="231F20"/>
          <w:w w:val="105"/>
        </w:rPr>
        <w:t>espinarse”.</w:t>
      </w:r>
      <w:r>
        <w:rPr>
          <w:color w:val="231F20"/>
          <w:spacing w:val="-10"/>
          <w:w w:val="105"/>
        </w:rPr>
        <w:t> </w:t>
      </w:r>
      <w:r>
        <w:rPr>
          <w:color w:val="231F20"/>
          <w:w w:val="105"/>
        </w:rPr>
        <w:t>Las</w:t>
      </w:r>
      <w:r>
        <w:rPr>
          <w:color w:val="231F20"/>
          <w:spacing w:val="-10"/>
          <w:w w:val="105"/>
        </w:rPr>
        <w:t> </w:t>
      </w:r>
      <w:r>
        <w:rPr>
          <w:color w:val="231F20"/>
          <w:w w:val="105"/>
        </w:rPr>
        <w:t>obras</w:t>
      </w:r>
      <w:r>
        <w:rPr>
          <w:color w:val="231F20"/>
          <w:spacing w:val="-10"/>
          <w:w w:val="105"/>
        </w:rPr>
        <w:t> </w:t>
      </w:r>
      <w:r>
        <w:rPr>
          <w:color w:val="231F20"/>
          <w:w w:val="105"/>
        </w:rPr>
        <w:t>públicas,</w:t>
      </w:r>
      <w:r>
        <w:rPr>
          <w:color w:val="231F20"/>
          <w:spacing w:val="-10"/>
          <w:w w:val="105"/>
        </w:rPr>
        <w:t> </w:t>
      </w:r>
      <w:r>
        <w:rPr>
          <w:color w:val="231F20"/>
          <w:w w:val="105"/>
        </w:rPr>
        <w:t>insiste,</w:t>
      </w:r>
      <w:r>
        <w:rPr>
          <w:color w:val="231F20"/>
          <w:spacing w:val="-10"/>
          <w:w w:val="105"/>
        </w:rPr>
        <w:t> </w:t>
      </w:r>
      <w:r>
        <w:rPr>
          <w:color w:val="231F20"/>
          <w:w w:val="105"/>
        </w:rPr>
        <w:t>se</w:t>
      </w:r>
      <w:r>
        <w:rPr>
          <w:color w:val="231F20"/>
          <w:spacing w:val="-10"/>
          <w:w w:val="105"/>
        </w:rPr>
        <w:t> </w:t>
      </w:r>
      <w:r>
        <w:rPr>
          <w:color w:val="231F20"/>
          <w:w w:val="105"/>
        </w:rPr>
        <w:t>realizan</w:t>
      </w:r>
      <w:r>
        <w:rPr>
          <w:color w:val="231F20"/>
          <w:spacing w:val="-10"/>
          <w:w w:val="105"/>
        </w:rPr>
        <w:t> </w:t>
      </w:r>
      <w:r>
        <w:rPr>
          <w:color w:val="231F20"/>
          <w:w w:val="105"/>
        </w:rPr>
        <w:t>con criterio municipal, </w:t>
      </w:r>
      <w:r>
        <w:rPr>
          <w:color w:val="231F20"/>
          <w:spacing w:val="-4"/>
          <w:w w:val="105"/>
        </w:rPr>
        <w:t>“no </w:t>
      </w:r>
      <w:r>
        <w:rPr>
          <w:color w:val="231F20"/>
          <w:w w:val="105"/>
        </w:rPr>
        <w:t>solamente </w:t>
      </w:r>
      <w:r>
        <w:rPr>
          <w:color w:val="231F20"/>
          <w:spacing w:val="2"/>
          <w:w w:val="105"/>
        </w:rPr>
        <w:t>al </w:t>
      </w:r>
      <w:r>
        <w:rPr>
          <w:color w:val="231F20"/>
          <w:w w:val="105"/>
        </w:rPr>
        <w:t>capricho de algunos”, como ocurría antes. “Sería</w:t>
      </w:r>
      <w:r>
        <w:rPr>
          <w:color w:val="231F20"/>
          <w:spacing w:val="-26"/>
          <w:w w:val="105"/>
        </w:rPr>
        <w:t> </w:t>
      </w:r>
      <w:r>
        <w:rPr>
          <w:color w:val="231F20"/>
          <w:w w:val="105"/>
        </w:rPr>
        <w:t>una</w:t>
      </w:r>
      <w:r>
        <w:rPr>
          <w:color w:val="231F20"/>
          <w:spacing w:val="-26"/>
          <w:w w:val="105"/>
        </w:rPr>
        <w:t> </w:t>
      </w:r>
      <w:r>
        <w:rPr>
          <w:color w:val="231F20"/>
          <w:w w:val="105"/>
        </w:rPr>
        <w:t>torpeza</w:t>
      </w:r>
      <w:r>
        <w:rPr>
          <w:color w:val="231F20"/>
          <w:spacing w:val="-26"/>
          <w:w w:val="105"/>
        </w:rPr>
        <w:t> </w:t>
      </w:r>
      <w:r>
        <w:rPr>
          <w:color w:val="231F20"/>
          <w:w w:val="105"/>
        </w:rPr>
        <w:t>política</w:t>
      </w:r>
      <w:r>
        <w:rPr>
          <w:color w:val="231F20"/>
          <w:spacing w:val="-26"/>
          <w:w w:val="105"/>
        </w:rPr>
        <w:t> </w:t>
      </w:r>
      <w:r>
        <w:rPr>
          <w:color w:val="231F20"/>
          <w:w w:val="105"/>
        </w:rPr>
        <w:t>hacer</w:t>
      </w:r>
      <w:r>
        <w:rPr>
          <w:color w:val="231F20"/>
          <w:spacing w:val="-26"/>
          <w:w w:val="105"/>
        </w:rPr>
        <w:t> </w:t>
      </w:r>
      <w:r>
        <w:rPr>
          <w:color w:val="231F20"/>
          <w:w w:val="105"/>
        </w:rPr>
        <w:t>facciosos</w:t>
      </w:r>
      <w:r>
        <w:rPr>
          <w:color w:val="231F20"/>
          <w:spacing w:val="-26"/>
          <w:w w:val="105"/>
        </w:rPr>
        <w:t> </w:t>
      </w:r>
      <w:r>
        <w:rPr>
          <w:color w:val="231F20"/>
          <w:w w:val="105"/>
        </w:rPr>
        <w:t>los</w:t>
      </w:r>
      <w:r>
        <w:rPr>
          <w:color w:val="231F20"/>
          <w:spacing w:val="-26"/>
          <w:w w:val="105"/>
        </w:rPr>
        <w:t> </w:t>
      </w:r>
      <w:r>
        <w:rPr>
          <w:color w:val="231F20"/>
          <w:w w:val="105"/>
        </w:rPr>
        <w:t>servicios</w:t>
      </w:r>
      <w:r>
        <w:rPr>
          <w:color w:val="231F20"/>
          <w:spacing w:val="-26"/>
          <w:w w:val="105"/>
        </w:rPr>
        <w:t> </w:t>
      </w:r>
      <w:r>
        <w:rPr>
          <w:color w:val="231F20"/>
          <w:spacing w:val="-3"/>
          <w:w w:val="105"/>
        </w:rPr>
        <w:t>públicos”.</w:t>
      </w:r>
    </w:p>
    <w:p>
      <w:pPr>
        <w:pStyle w:val="BodyText"/>
        <w:spacing w:before="1"/>
        <w:rPr>
          <w:sz w:val="26"/>
        </w:rPr>
      </w:pPr>
    </w:p>
    <w:p>
      <w:pPr>
        <w:pStyle w:val="BodyText"/>
        <w:spacing w:line="285" w:lineRule="auto"/>
        <w:ind w:left="110" w:right="107"/>
        <w:jc w:val="both"/>
        <w:rPr>
          <w:sz w:val="13"/>
        </w:rPr>
      </w:pPr>
      <w:r>
        <w:rPr>
          <w:color w:val="231F20"/>
          <w:w w:val="105"/>
        </w:rPr>
        <w:t>Así, en la sala de su casa, </w:t>
      </w:r>
      <w:r>
        <w:rPr>
          <w:color w:val="231F20"/>
          <w:spacing w:val="-4"/>
          <w:w w:val="105"/>
        </w:rPr>
        <w:t>Tolentino </w:t>
      </w:r>
      <w:r>
        <w:rPr>
          <w:color w:val="231F20"/>
          <w:w w:val="105"/>
        </w:rPr>
        <w:t>se lanza contra el </w:t>
      </w:r>
      <w:r>
        <w:rPr>
          <w:color w:val="231F20"/>
          <w:spacing w:val="-3"/>
          <w:w w:val="105"/>
        </w:rPr>
        <w:t>PRD. </w:t>
      </w:r>
      <w:r>
        <w:rPr>
          <w:color w:val="231F20"/>
          <w:w w:val="105"/>
        </w:rPr>
        <w:t>“Le puedo decir las obras que</w:t>
      </w:r>
      <w:r>
        <w:rPr>
          <w:color w:val="231F20"/>
          <w:spacing w:val="-8"/>
          <w:w w:val="105"/>
        </w:rPr>
        <w:t> </w:t>
      </w:r>
      <w:r>
        <w:rPr>
          <w:color w:val="231F20"/>
          <w:w w:val="105"/>
        </w:rPr>
        <w:t>les</w:t>
      </w:r>
      <w:r>
        <w:rPr>
          <w:color w:val="231F20"/>
          <w:spacing w:val="-8"/>
          <w:w w:val="105"/>
        </w:rPr>
        <w:t> </w:t>
      </w:r>
      <w:r>
        <w:rPr>
          <w:color w:val="231F20"/>
          <w:w w:val="105"/>
        </w:rPr>
        <w:t>he</w:t>
      </w:r>
      <w:r>
        <w:rPr>
          <w:color w:val="231F20"/>
          <w:spacing w:val="-8"/>
          <w:w w:val="105"/>
        </w:rPr>
        <w:t> </w:t>
      </w:r>
      <w:r>
        <w:rPr>
          <w:color w:val="231F20"/>
          <w:w w:val="105"/>
        </w:rPr>
        <w:t>dado,</w:t>
      </w:r>
      <w:r>
        <w:rPr>
          <w:color w:val="231F20"/>
          <w:spacing w:val="-8"/>
          <w:w w:val="105"/>
        </w:rPr>
        <w:t> </w:t>
      </w:r>
      <w:r>
        <w:rPr>
          <w:color w:val="231F20"/>
          <w:w w:val="105"/>
        </w:rPr>
        <w:t>del</w:t>
      </w:r>
      <w:r>
        <w:rPr>
          <w:color w:val="231F20"/>
          <w:spacing w:val="-8"/>
          <w:w w:val="105"/>
        </w:rPr>
        <w:t> </w:t>
      </w:r>
      <w:r>
        <w:rPr>
          <w:color w:val="231F20"/>
          <w:w w:val="105"/>
        </w:rPr>
        <w:t>drenaje</w:t>
      </w:r>
      <w:r>
        <w:rPr>
          <w:color w:val="231F20"/>
          <w:spacing w:val="-8"/>
          <w:w w:val="105"/>
        </w:rPr>
        <w:t> </w:t>
      </w:r>
      <w:r>
        <w:rPr>
          <w:color w:val="231F20"/>
          <w:w w:val="105"/>
        </w:rPr>
        <w:t>para</w:t>
      </w:r>
      <w:r>
        <w:rPr>
          <w:color w:val="231F20"/>
          <w:spacing w:val="-8"/>
          <w:w w:val="105"/>
        </w:rPr>
        <w:t> </w:t>
      </w:r>
      <w:r>
        <w:rPr>
          <w:color w:val="231F20"/>
          <w:w w:val="105"/>
        </w:rPr>
        <w:t>la</w:t>
      </w:r>
      <w:r>
        <w:rPr>
          <w:color w:val="231F20"/>
          <w:spacing w:val="-8"/>
          <w:w w:val="105"/>
        </w:rPr>
        <w:t> </w:t>
      </w:r>
      <w:r>
        <w:rPr>
          <w:color w:val="231F20"/>
          <w:w w:val="105"/>
        </w:rPr>
        <w:t>UPREZ</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colonia</w:t>
      </w:r>
      <w:r>
        <w:rPr>
          <w:color w:val="231F20"/>
          <w:spacing w:val="-8"/>
          <w:w w:val="105"/>
        </w:rPr>
        <w:t> </w:t>
      </w:r>
      <w:r>
        <w:rPr>
          <w:color w:val="231F20"/>
          <w:w w:val="105"/>
        </w:rPr>
        <w:t>Buenos</w:t>
      </w:r>
      <w:r>
        <w:rPr>
          <w:color w:val="231F20"/>
          <w:spacing w:val="-8"/>
          <w:w w:val="105"/>
        </w:rPr>
        <w:t> </w:t>
      </w:r>
      <w:r>
        <w:rPr>
          <w:color w:val="231F20"/>
          <w:w w:val="105"/>
        </w:rPr>
        <w:t>Aires,</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banque- tas</w:t>
      </w:r>
      <w:r>
        <w:rPr>
          <w:color w:val="231F20"/>
          <w:spacing w:val="-4"/>
          <w:w w:val="105"/>
        </w:rPr>
        <w:t> </w:t>
      </w:r>
      <w:r>
        <w:rPr>
          <w:color w:val="231F20"/>
          <w:w w:val="105"/>
        </w:rPr>
        <w:t>y</w:t>
      </w:r>
      <w:r>
        <w:rPr>
          <w:color w:val="231F20"/>
          <w:spacing w:val="-4"/>
          <w:w w:val="105"/>
        </w:rPr>
        <w:t> </w:t>
      </w:r>
      <w:r>
        <w:rPr>
          <w:color w:val="231F20"/>
          <w:w w:val="105"/>
        </w:rPr>
        <w:t>despensas</w:t>
      </w:r>
      <w:r>
        <w:rPr>
          <w:color w:val="231F20"/>
          <w:spacing w:val="-4"/>
          <w:w w:val="105"/>
        </w:rPr>
        <w:t> </w:t>
      </w:r>
      <w:r>
        <w:rPr>
          <w:color w:val="231F20"/>
          <w:w w:val="105"/>
        </w:rPr>
        <w:t>para</w:t>
      </w:r>
      <w:r>
        <w:rPr>
          <w:color w:val="231F20"/>
          <w:spacing w:val="-4"/>
          <w:w w:val="105"/>
        </w:rPr>
        <w:t> </w:t>
      </w:r>
      <w:r>
        <w:rPr>
          <w:color w:val="231F20"/>
          <w:w w:val="105"/>
        </w:rPr>
        <w:t>el</w:t>
      </w:r>
      <w:r>
        <w:rPr>
          <w:color w:val="231F20"/>
          <w:spacing w:val="-4"/>
          <w:w w:val="105"/>
        </w:rPr>
        <w:t> </w:t>
      </w:r>
      <w:r>
        <w:rPr>
          <w:color w:val="231F20"/>
          <w:w w:val="105"/>
        </w:rPr>
        <w:t>grupo</w:t>
      </w:r>
      <w:r>
        <w:rPr>
          <w:color w:val="231F20"/>
          <w:spacing w:val="-4"/>
          <w:w w:val="105"/>
        </w:rPr>
        <w:t> </w:t>
      </w:r>
      <w:r>
        <w:rPr>
          <w:color w:val="231F20"/>
          <w:w w:val="105"/>
        </w:rPr>
        <w:t>Xitle,</w:t>
      </w:r>
      <w:r>
        <w:rPr>
          <w:color w:val="231F20"/>
          <w:spacing w:val="-4"/>
          <w:w w:val="105"/>
        </w:rPr>
        <w:t> </w:t>
      </w:r>
      <w:r>
        <w:rPr>
          <w:color w:val="231F20"/>
          <w:w w:val="105"/>
        </w:rPr>
        <w:t>las</w:t>
      </w:r>
      <w:r>
        <w:rPr>
          <w:color w:val="231F20"/>
          <w:spacing w:val="-4"/>
          <w:w w:val="105"/>
        </w:rPr>
        <w:t> </w:t>
      </w:r>
      <w:r>
        <w:rPr>
          <w:color w:val="231F20"/>
          <w:w w:val="105"/>
        </w:rPr>
        <w:t>aulas</w:t>
      </w:r>
      <w:r>
        <w:rPr>
          <w:color w:val="231F20"/>
          <w:spacing w:val="-4"/>
          <w:w w:val="105"/>
        </w:rPr>
        <w:t> </w:t>
      </w:r>
      <w:r>
        <w:rPr>
          <w:color w:val="231F20"/>
          <w:w w:val="105"/>
        </w:rPr>
        <w:t>y</w:t>
      </w:r>
      <w:r>
        <w:rPr>
          <w:color w:val="231F20"/>
          <w:spacing w:val="-4"/>
          <w:w w:val="105"/>
        </w:rPr>
        <w:t> </w:t>
      </w:r>
      <w:r>
        <w:rPr>
          <w:color w:val="231F20"/>
          <w:w w:val="105"/>
        </w:rPr>
        <w:t>desayunos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UGOCM</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agua</w:t>
      </w:r>
      <w:r>
        <w:rPr>
          <w:color w:val="231F20"/>
          <w:spacing w:val="-4"/>
          <w:w w:val="105"/>
        </w:rPr>
        <w:t> </w:t>
      </w:r>
      <w:r>
        <w:rPr>
          <w:color w:val="231F20"/>
          <w:w w:val="105"/>
        </w:rPr>
        <w:t>y las banquetas para el </w:t>
      </w:r>
      <w:r>
        <w:rPr>
          <w:color w:val="231F20"/>
          <w:spacing w:val="-6"/>
          <w:w w:val="105"/>
        </w:rPr>
        <w:t>MCP, </w:t>
      </w:r>
      <w:r>
        <w:rPr>
          <w:color w:val="231F20"/>
          <w:w w:val="105"/>
        </w:rPr>
        <w:t>de David Magaña... es un trato muy distinto </w:t>
      </w:r>
      <w:r>
        <w:rPr>
          <w:color w:val="231F20"/>
          <w:spacing w:val="2"/>
          <w:w w:val="105"/>
        </w:rPr>
        <w:t>al </w:t>
      </w:r>
      <w:r>
        <w:rPr>
          <w:color w:val="231F20"/>
          <w:w w:val="105"/>
        </w:rPr>
        <w:t>que dieron Cuauhtémoc</w:t>
      </w:r>
      <w:r>
        <w:rPr>
          <w:color w:val="231F20"/>
          <w:spacing w:val="-20"/>
          <w:w w:val="105"/>
        </w:rPr>
        <w:t> </w:t>
      </w:r>
      <w:r>
        <w:rPr>
          <w:color w:val="231F20"/>
          <w:w w:val="105"/>
        </w:rPr>
        <w:t>Cárdenas</w:t>
      </w:r>
      <w:r>
        <w:rPr>
          <w:color w:val="231F20"/>
          <w:spacing w:val="-20"/>
          <w:w w:val="105"/>
        </w:rPr>
        <w:t> </w:t>
      </w:r>
      <w:r>
        <w:rPr>
          <w:color w:val="231F20"/>
          <w:w w:val="105"/>
        </w:rPr>
        <w:t>y</w:t>
      </w:r>
      <w:r>
        <w:rPr>
          <w:color w:val="231F20"/>
          <w:spacing w:val="-20"/>
          <w:w w:val="105"/>
        </w:rPr>
        <w:t> </w:t>
      </w:r>
      <w:r>
        <w:rPr>
          <w:color w:val="231F20"/>
          <w:w w:val="105"/>
        </w:rPr>
        <w:t>Rosario</w:t>
      </w:r>
      <w:r>
        <w:rPr>
          <w:color w:val="231F20"/>
          <w:spacing w:val="-20"/>
          <w:w w:val="105"/>
        </w:rPr>
        <w:t> </w:t>
      </w:r>
      <w:r>
        <w:rPr>
          <w:color w:val="231F20"/>
          <w:w w:val="105"/>
        </w:rPr>
        <w:t>Robles</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antorchistas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Distrito</w:t>
      </w:r>
      <w:r>
        <w:rPr>
          <w:color w:val="231F20"/>
          <w:spacing w:val="-20"/>
          <w:w w:val="105"/>
        </w:rPr>
        <w:t> </w:t>
      </w:r>
      <w:r>
        <w:rPr>
          <w:color w:val="231F20"/>
          <w:w w:val="105"/>
        </w:rPr>
        <w:t>Federal;</w:t>
      </w:r>
      <w:r>
        <w:rPr>
          <w:color w:val="231F20"/>
          <w:spacing w:val="-20"/>
          <w:w w:val="105"/>
        </w:rPr>
        <w:t> </w:t>
      </w:r>
      <w:r>
        <w:rPr>
          <w:color w:val="231F20"/>
          <w:w w:val="105"/>
        </w:rPr>
        <w:t>aquí</w:t>
      </w:r>
      <w:r>
        <w:rPr>
          <w:color w:val="231F20"/>
          <w:spacing w:val="-20"/>
          <w:w w:val="105"/>
        </w:rPr>
        <w:t> </w:t>
      </w:r>
      <w:r>
        <w:rPr>
          <w:color w:val="231F20"/>
          <w:w w:val="105"/>
        </w:rPr>
        <w:t>se respeta</w:t>
      </w:r>
      <w:r>
        <w:rPr>
          <w:color w:val="231F20"/>
          <w:spacing w:val="-16"/>
          <w:w w:val="105"/>
        </w:rPr>
        <w:t> </w:t>
      </w:r>
      <w:r>
        <w:rPr>
          <w:color w:val="231F20"/>
          <w:w w:val="105"/>
        </w:rPr>
        <w:t>el</w:t>
      </w:r>
      <w:r>
        <w:rPr>
          <w:color w:val="231F20"/>
          <w:spacing w:val="-16"/>
          <w:w w:val="105"/>
        </w:rPr>
        <w:t> </w:t>
      </w:r>
      <w:r>
        <w:rPr>
          <w:color w:val="231F20"/>
          <w:w w:val="105"/>
        </w:rPr>
        <w:t>derecho</w:t>
      </w:r>
      <w:r>
        <w:rPr>
          <w:color w:val="231F20"/>
          <w:spacing w:val="-16"/>
          <w:w w:val="105"/>
        </w:rPr>
        <w:t> </w:t>
      </w:r>
      <w:r>
        <w:rPr>
          <w:color w:val="231F20"/>
          <w:w w:val="105"/>
        </w:rPr>
        <w:t>de</w:t>
      </w:r>
      <w:r>
        <w:rPr>
          <w:color w:val="231F20"/>
          <w:spacing w:val="-16"/>
          <w:w w:val="105"/>
        </w:rPr>
        <w:t> </w:t>
      </w:r>
      <w:r>
        <w:rPr>
          <w:color w:val="231F20"/>
          <w:w w:val="105"/>
        </w:rPr>
        <w:t>manifestación,</w:t>
      </w:r>
      <w:r>
        <w:rPr>
          <w:color w:val="231F20"/>
          <w:spacing w:val="-16"/>
          <w:w w:val="105"/>
        </w:rPr>
        <w:t> </w:t>
      </w:r>
      <w:r>
        <w:rPr>
          <w:color w:val="231F20"/>
          <w:w w:val="105"/>
        </w:rPr>
        <w:t>por</w:t>
      </w:r>
      <w:r>
        <w:rPr>
          <w:color w:val="231F20"/>
          <w:spacing w:val="-16"/>
          <w:w w:val="105"/>
        </w:rPr>
        <w:t> </w:t>
      </w:r>
      <w:r>
        <w:rPr>
          <w:color w:val="231F20"/>
          <w:spacing w:val="-5"/>
          <w:w w:val="105"/>
        </w:rPr>
        <w:t>ejemplo”.</w:t>
      </w:r>
      <w:r>
        <w:rPr>
          <w:color w:val="231F20"/>
          <w:spacing w:val="-5"/>
          <w:w w:val="105"/>
          <w:position w:val="7"/>
          <w:sz w:val="13"/>
        </w:rPr>
        <w:t>7</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9520;mso-wrap-distance-left:0;mso-wrap-distance-right:0" from="42.519699pt,12.254642pt" to="114.519699pt,12.254642pt" stroked="true" strokeweight="1pt" strokecolor="#231f20">
            <w10:wrap type="topAndBottom"/>
          </v:line>
        </w:pict>
      </w:r>
    </w:p>
    <w:p>
      <w:pPr>
        <w:pStyle w:val="ListParagraph"/>
        <w:numPr>
          <w:ilvl w:val="0"/>
          <w:numId w:val="11"/>
        </w:numPr>
        <w:tabs>
          <w:tab w:pos="259" w:val="left" w:leader="none"/>
        </w:tabs>
        <w:spacing w:line="244" w:lineRule="auto" w:before="8" w:after="0"/>
        <w:ind w:left="110" w:right="7044" w:firstLine="0"/>
        <w:jc w:val="left"/>
        <w:rPr>
          <w:sz w:val="16"/>
        </w:rPr>
      </w:pPr>
      <w:r>
        <w:rPr>
          <w:color w:val="231F20"/>
          <w:w w:val="95"/>
          <w:sz w:val="16"/>
        </w:rPr>
        <w:t>Nájar, Op.</w:t>
      </w:r>
      <w:r>
        <w:rPr>
          <w:color w:val="231F20"/>
          <w:spacing w:val="-16"/>
          <w:w w:val="95"/>
          <w:sz w:val="16"/>
        </w:rPr>
        <w:t> </w:t>
      </w:r>
      <w:r>
        <w:rPr>
          <w:color w:val="231F20"/>
          <w:w w:val="95"/>
          <w:sz w:val="16"/>
        </w:rPr>
        <w:t>Cit. </w:t>
      </w:r>
      <w:r>
        <w:rPr>
          <w:color w:val="231F20"/>
          <w:sz w:val="16"/>
        </w:rPr>
        <w:t>7</w:t>
      </w:r>
      <w:r>
        <w:rPr>
          <w:color w:val="231F20"/>
          <w:spacing w:val="-17"/>
          <w:sz w:val="16"/>
        </w:rPr>
        <w:t> </w:t>
      </w:r>
      <w:r>
        <w:rPr>
          <w:color w:val="231F20"/>
          <w:sz w:val="16"/>
        </w:rPr>
        <w:t>Ídem.</w:t>
      </w:r>
    </w:p>
    <w:p>
      <w:pPr>
        <w:spacing w:after="0" w:line="244" w:lineRule="auto"/>
        <w:jc w:val="left"/>
        <w:rPr>
          <w:sz w:val="16"/>
        </w:rPr>
        <w:sectPr>
          <w:pgSz w:w="9640" w:h="12190"/>
          <w:pgMar w:header="0" w:footer="743" w:top="1120" w:bottom="940" w:left="740" w:right="740"/>
        </w:sectPr>
      </w:pPr>
    </w:p>
    <w:p>
      <w:pPr>
        <w:pStyle w:val="BodyText"/>
        <w:spacing w:before="6"/>
        <w:rPr>
          <w:rFonts w:ascii="Calibri"/>
          <w:sz w:val="8"/>
        </w:rPr>
      </w:pPr>
    </w:p>
    <w:p>
      <w:pPr>
        <w:pStyle w:val="Heading4"/>
        <w:spacing w:line="345" w:lineRule="exact"/>
        <w:rPr>
          <w:i/>
        </w:rPr>
      </w:pPr>
      <w:r>
        <w:rPr>
          <w:i/>
          <w:color w:val="231F20"/>
          <w:w w:val="110"/>
        </w:rPr>
        <w:t>La Realidad</w:t>
      </w:r>
    </w:p>
    <w:p>
      <w:pPr>
        <w:pStyle w:val="BodyText"/>
        <w:spacing w:line="285" w:lineRule="auto" w:before="16"/>
        <w:ind w:left="110" w:right="107"/>
        <w:jc w:val="both"/>
      </w:pPr>
      <w:r>
        <w:rPr>
          <w:color w:val="231F20"/>
          <w:w w:val="105"/>
        </w:rPr>
        <w:t>El ejercicio de gobierno de cada localidad se sujeta </w:t>
      </w:r>
      <w:r>
        <w:rPr>
          <w:color w:val="231F20"/>
          <w:spacing w:val="2"/>
          <w:w w:val="105"/>
        </w:rPr>
        <w:t>al </w:t>
      </w:r>
      <w:r>
        <w:rPr>
          <w:color w:val="231F20"/>
          <w:w w:val="105"/>
        </w:rPr>
        <w:t>plan municipal de desarrollo, el que</w:t>
      </w:r>
      <w:r>
        <w:rPr>
          <w:color w:val="231F20"/>
          <w:spacing w:val="-16"/>
          <w:w w:val="105"/>
        </w:rPr>
        <w:t> </w:t>
      </w:r>
      <w:r>
        <w:rPr>
          <w:color w:val="231F20"/>
          <w:w w:val="105"/>
        </w:rPr>
        <w:t>a</w:t>
      </w:r>
      <w:r>
        <w:rPr>
          <w:color w:val="231F20"/>
          <w:spacing w:val="-16"/>
          <w:w w:val="105"/>
        </w:rPr>
        <w:t> </w:t>
      </w:r>
      <w:r>
        <w:rPr>
          <w:color w:val="231F20"/>
          <w:w w:val="105"/>
        </w:rPr>
        <w:t>su</w:t>
      </w:r>
      <w:r>
        <w:rPr>
          <w:color w:val="231F20"/>
          <w:spacing w:val="-16"/>
          <w:w w:val="105"/>
        </w:rPr>
        <w:t> </w:t>
      </w:r>
      <w:r>
        <w:rPr>
          <w:color w:val="231F20"/>
          <w:w w:val="105"/>
        </w:rPr>
        <w:t>vez</w:t>
      </w:r>
      <w:r>
        <w:rPr>
          <w:color w:val="231F20"/>
          <w:spacing w:val="-16"/>
          <w:w w:val="105"/>
        </w:rPr>
        <w:t> </w:t>
      </w:r>
      <w:r>
        <w:rPr>
          <w:color w:val="231F20"/>
          <w:w w:val="105"/>
        </w:rPr>
        <w:t>tiene</w:t>
      </w:r>
      <w:r>
        <w:rPr>
          <w:color w:val="231F20"/>
          <w:spacing w:val="-16"/>
          <w:w w:val="105"/>
        </w:rPr>
        <w:t> </w:t>
      </w:r>
      <w:r>
        <w:rPr>
          <w:color w:val="231F20"/>
          <w:w w:val="105"/>
        </w:rPr>
        <w:t>como</w:t>
      </w:r>
      <w:r>
        <w:rPr>
          <w:color w:val="231F20"/>
          <w:spacing w:val="-16"/>
          <w:w w:val="105"/>
        </w:rPr>
        <w:t> </w:t>
      </w:r>
      <w:r>
        <w:rPr>
          <w:color w:val="231F20"/>
          <w:w w:val="105"/>
        </w:rPr>
        <w:t>sustento</w:t>
      </w:r>
      <w:r>
        <w:rPr>
          <w:color w:val="231F20"/>
          <w:spacing w:val="-16"/>
          <w:w w:val="105"/>
        </w:rPr>
        <w:t> </w:t>
      </w:r>
      <w:r>
        <w:rPr>
          <w:color w:val="231F20"/>
          <w:spacing w:val="2"/>
          <w:w w:val="105"/>
        </w:rPr>
        <w:t>al</w:t>
      </w:r>
      <w:r>
        <w:rPr>
          <w:color w:val="231F20"/>
          <w:spacing w:val="-16"/>
          <w:w w:val="105"/>
        </w:rPr>
        <w:t> </w:t>
      </w:r>
      <w:r>
        <w:rPr>
          <w:color w:val="231F20"/>
          <w:w w:val="105"/>
        </w:rPr>
        <w:t>plan</w:t>
      </w:r>
      <w:r>
        <w:rPr>
          <w:color w:val="231F20"/>
          <w:spacing w:val="-16"/>
          <w:w w:val="105"/>
        </w:rPr>
        <w:t> </w:t>
      </w:r>
      <w:r>
        <w:rPr>
          <w:color w:val="231F20"/>
          <w:w w:val="105"/>
        </w:rPr>
        <w:t>estatal,</w:t>
      </w:r>
      <w:r>
        <w:rPr>
          <w:color w:val="231F20"/>
          <w:spacing w:val="-16"/>
          <w:w w:val="105"/>
        </w:rPr>
        <w:t> </w:t>
      </w:r>
      <w:r>
        <w:rPr>
          <w:color w:val="231F20"/>
          <w:w w:val="105"/>
        </w:rPr>
        <w:t>mismo</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supedita</w:t>
      </w:r>
      <w:r>
        <w:rPr>
          <w:color w:val="231F20"/>
          <w:spacing w:val="-16"/>
          <w:w w:val="105"/>
        </w:rPr>
        <w:t> </w:t>
      </w:r>
      <w:r>
        <w:rPr>
          <w:color w:val="231F20"/>
          <w:spacing w:val="2"/>
          <w:w w:val="105"/>
        </w:rPr>
        <w:t>al</w:t>
      </w:r>
      <w:r>
        <w:rPr>
          <w:color w:val="231F20"/>
          <w:spacing w:val="-16"/>
          <w:w w:val="105"/>
        </w:rPr>
        <w:t> </w:t>
      </w:r>
      <w:r>
        <w:rPr>
          <w:color w:val="231F20"/>
          <w:w w:val="105"/>
        </w:rPr>
        <w:t>plan</w:t>
      </w:r>
      <w:r>
        <w:rPr>
          <w:color w:val="231F20"/>
          <w:spacing w:val="-16"/>
          <w:w w:val="105"/>
        </w:rPr>
        <w:t> </w:t>
      </w:r>
      <w:r>
        <w:rPr>
          <w:color w:val="231F20"/>
          <w:w w:val="105"/>
        </w:rPr>
        <w:t>nacional. La justificación política-jurídica de esta observancia la encontramos en el artículo 26 de</w:t>
      </w:r>
      <w:r>
        <w:rPr>
          <w:color w:val="231F20"/>
          <w:spacing w:val="-12"/>
          <w:w w:val="105"/>
        </w:rPr>
        <w:t> </w:t>
      </w:r>
      <w:r>
        <w:rPr>
          <w:color w:val="231F20"/>
          <w:w w:val="105"/>
        </w:rPr>
        <w:t>la</w:t>
      </w:r>
      <w:r>
        <w:rPr>
          <w:color w:val="231F20"/>
          <w:spacing w:val="-12"/>
          <w:w w:val="105"/>
        </w:rPr>
        <w:t> </w:t>
      </w:r>
      <w:r>
        <w:rPr>
          <w:color w:val="231F20"/>
          <w:w w:val="105"/>
        </w:rPr>
        <w:t>Constitución</w:t>
      </w:r>
      <w:r>
        <w:rPr>
          <w:color w:val="231F20"/>
          <w:spacing w:val="-12"/>
          <w:w w:val="105"/>
        </w:rPr>
        <w:t> </w:t>
      </w:r>
      <w:r>
        <w:rPr>
          <w:color w:val="231F20"/>
          <w:w w:val="105"/>
        </w:rPr>
        <w:t>Política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Estados</w:t>
      </w:r>
      <w:r>
        <w:rPr>
          <w:color w:val="231F20"/>
          <w:spacing w:val="-12"/>
          <w:w w:val="105"/>
        </w:rPr>
        <w:t> </w:t>
      </w:r>
      <w:r>
        <w:rPr>
          <w:color w:val="231F20"/>
          <w:w w:val="105"/>
        </w:rPr>
        <w:t>Unidos</w:t>
      </w:r>
      <w:r>
        <w:rPr>
          <w:color w:val="231F20"/>
          <w:spacing w:val="-12"/>
          <w:w w:val="105"/>
        </w:rPr>
        <w:t> </w:t>
      </w:r>
      <w:r>
        <w:rPr>
          <w:color w:val="231F20"/>
          <w:w w:val="105"/>
        </w:rPr>
        <w:t>Mexicanos</w:t>
      </w:r>
      <w:r>
        <w:rPr>
          <w:color w:val="231F20"/>
          <w:spacing w:val="-12"/>
          <w:w w:val="105"/>
        </w:rPr>
        <w:t> </w:t>
      </w:r>
      <w:r>
        <w:rPr>
          <w:color w:val="231F20"/>
          <w:w w:val="105"/>
        </w:rPr>
        <w:t>y</w:t>
      </w:r>
      <w:r>
        <w:rPr>
          <w:color w:val="231F20"/>
          <w:spacing w:val="-12"/>
          <w:w w:val="105"/>
        </w:rPr>
        <w:t> </w:t>
      </w:r>
      <w:r>
        <w:rPr>
          <w:color w:val="231F20"/>
          <w:w w:val="105"/>
        </w:rPr>
        <w:t>su</w:t>
      </w:r>
      <w:r>
        <w:rPr>
          <w:color w:val="231F20"/>
          <w:spacing w:val="-12"/>
          <w:w w:val="105"/>
        </w:rPr>
        <w:t> </w:t>
      </w:r>
      <w:r>
        <w:rPr>
          <w:color w:val="231F20"/>
          <w:w w:val="105"/>
        </w:rPr>
        <w:t>Ley</w:t>
      </w:r>
      <w:r>
        <w:rPr>
          <w:color w:val="231F20"/>
          <w:spacing w:val="-12"/>
          <w:w w:val="105"/>
        </w:rPr>
        <w:t> </w:t>
      </w:r>
      <w:r>
        <w:rPr>
          <w:color w:val="231F20"/>
          <w:w w:val="105"/>
        </w:rPr>
        <w:t>Reglamentaria</w:t>
      </w:r>
      <w:r>
        <w:rPr>
          <w:color w:val="231F20"/>
          <w:spacing w:val="-12"/>
          <w:w w:val="105"/>
        </w:rPr>
        <w:t> </w:t>
      </w:r>
      <w:r>
        <w:rPr>
          <w:color w:val="231F20"/>
          <w:w w:val="105"/>
        </w:rPr>
        <w:t>y en la estructura misma del Estado Mexicano que se cimienta democrática. Luego en- tonces,</w:t>
      </w:r>
      <w:r>
        <w:rPr>
          <w:color w:val="231F20"/>
          <w:spacing w:val="-14"/>
          <w:w w:val="105"/>
        </w:rPr>
        <w:t> </w:t>
      </w:r>
      <w:r>
        <w:rPr>
          <w:color w:val="231F20"/>
          <w:w w:val="105"/>
        </w:rPr>
        <w:t>la</w:t>
      </w:r>
      <w:r>
        <w:rPr>
          <w:color w:val="231F20"/>
          <w:spacing w:val="-14"/>
          <w:w w:val="105"/>
        </w:rPr>
        <w:t> </w:t>
      </w:r>
      <w:r>
        <w:rPr>
          <w:color w:val="231F20"/>
          <w:w w:val="105"/>
        </w:rPr>
        <w:t>ejecución</w:t>
      </w:r>
      <w:r>
        <w:rPr>
          <w:color w:val="231F20"/>
          <w:spacing w:val="-14"/>
          <w:w w:val="105"/>
        </w:rPr>
        <w:t> </w:t>
      </w:r>
      <w:r>
        <w:rPr>
          <w:color w:val="231F20"/>
          <w:w w:val="105"/>
        </w:rPr>
        <w:t>de</w:t>
      </w:r>
      <w:r>
        <w:rPr>
          <w:color w:val="231F20"/>
          <w:spacing w:val="-14"/>
          <w:w w:val="105"/>
        </w:rPr>
        <w:t> </w:t>
      </w:r>
      <w:r>
        <w:rPr>
          <w:color w:val="231F20"/>
          <w:w w:val="105"/>
        </w:rPr>
        <w:t>obras</w:t>
      </w:r>
      <w:r>
        <w:rPr>
          <w:color w:val="231F20"/>
          <w:spacing w:val="-14"/>
          <w:w w:val="105"/>
        </w:rPr>
        <w:t> </w:t>
      </w:r>
      <w:r>
        <w:rPr>
          <w:color w:val="231F20"/>
          <w:w w:val="105"/>
        </w:rPr>
        <w:t>tiende</w:t>
      </w:r>
      <w:r>
        <w:rPr>
          <w:color w:val="231F20"/>
          <w:spacing w:val="-14"/>
          <w:w w:val="105"/>
        </w:rPr>
        <w:t> </w:t>
      </w:r>
      <w:r>
        <w:rPr>
          <w:color w:val="231F20"/>
          <w:w w:val="105"/>
        </w:rPr>
        <w:t>a</w:t>
      </w:r>
      <w:r>
        <w:rPr>
          <w:color w:val="231F20"/>
          <w:spacing w:val="-14"/>
          <w:w w:val="105"/>
        </w:rPr>
        <w:t> </w:t>
      </w:r>
      <w:r>
        <w:rPr>
          <w:color w:val="231F20"/>
          <w:w w:val="105"/>
        </w:rPr>
        <w:t>seguir</w:t>
      </w:r>
      <w:r>
        <w:rPr>
          <w:color w:val="231F20"/>
          <w:spacing w:val="-14"/>
          <w:w w:val="105"/>
        </w:rPr>
        <w:t> </w:t>
      </w:r>
      <w:r>
        <w:rPr>
          <w:color w:val="231F20"/>
          <w:w w:val="105"/>
        </w:rPr>
        <w:t>esquemas</w:t>
      </w:r>
      <w:r>
        <w:rPr>
          <w:color w:val="231F20"/>
          <w:spacing w:val="-14"/>
          <w:w w:val="105"/>
        </w:rPr>
        <w:t> </w:t>
      </w:r>
      <w:r>
        <w:rPr>
          <w:color w:val="231F20"/>
          <w:w w:val="105"/>
        </w:rPr>
        <w:t>predeterminados</w:t>
      </w:r>
      <w:r>
        <w:rPr>
          <w:color w:val="231F20"/>
          <w:spacing w:val="-14"/>
          <w:w w:val="105"/>
        </w:rPr>
        <w:t> </w:t>
      </w: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 los programas y metas que se establecen en los citados planes y la ejecución del gasto público a través de presupuestaciones, </w:t>
      </w:r>
      <w:r>
        <w:rPr>
          <w:color w:val="231F20"/>
          <w:spacing w:val="-3"/>
          <w:w w:val="105"/>
        </w:rPr>
        <w:t>donde </w:t>
      </w:r>
      <w:r>
        <w:rPr>
          <w:color w:val="231F20"/>
          <w:w w:val="105"/>
        </w:rPr>
        <w:t>los recursos pueden estar etiquetados, si son</w:t>
      </w:r>
      <w:r>
        <w:rPr>
          <w:color w:val="231F20"/>
          <w:spacing w:val="-9"/>
          <w:w w:val="105"/>
        </w:rPr>
        <w:t> </w:t>
      </w:r>
      <w:r>
        <w:rPr>
          <w:color w:val="231F20"/>
          <w:w w:val="105"/>
        </w:rPr>
        <w:t>aportaciones,</w:t>
      </w:r>
      <w:r>
        <w:rPr>
          <w:color w:val="231F20"/>
          <w:spacing w:val="-9"/>
          <w:w w:val="105"/>
        </w:rPr>
        <w:t> </w:t>
      </w:r>
      <w:r>
        <w:rPr>
          <w:color w:val="231F20"/>
          <w:w w:val="105"/>
        </w:rPr>
        <w:t>o</w:t>
      </w:r>
      <w:r>
        <w:rPr>
          <w:color w:val="231F20"/>
          <w:spacing w:val="-9"/>
          <w:w w:val="105"/>
        </w:rPr>
        <w:t> </w:t>
      </w:r>
      <w:r>
        <w:rPr>
          <w:color w:val="231F20"/>
          <w:w w:val="105"/>
        </w:rPr>
        <w:t>no,</w:t>
      </w:r>
      <w:r>
        <w:rPr>
          <w:color w:val="231F20"/>
          <w:spacing w:val="-9"/>
          <w:w w:val="105"/>
        </w:rPr>
        <w:t> </w:t>
      </w:r>
      <w:r>
        <w:rPr>
          <w:color w:val="231F20"/>
          <w:w w:val="105"/>
        </w:rPr>
        <w:t>cuando</w:t>
      </w:r>
      <w:r>
        <w:rPr>
          <w:color w:val="231F20"/>
          <w:spacing w:val="-9"/>
          <w:w w:val="105"/>
        </w:rPr>
        <w:t> </w:t>
      </w:r>
      <w:r>
        <w:rPr>
          <w:color w:val="231F20"/>
          <w:w w:val="105"/>
        </w:rPr>
        <w:t>se</w:t>
      </w:r>
      <w:r>
        <w:rPr>
          <w:color w:val="231F20"/>
          <w:spacing w:val="-9"/>
          <w:w w:val="105"/>
        </w:rPr>
        <w:t> </w:t>
      </w:r>
      <w:r>
        <w:rPr>
          <w:color w:val="231F20"/>
          <w:w w:val="105"/>
        </w:rPr>
        <w:t>trata</w:t>
      </w:r>
      <w:r>
        <w:rPr>
          <w:color w:val="231F20"/>
          <w:spacing w:val="-9"/>
          <w:w w:val="105"/>
        </w:rPr>
        <w:t> </w:t>
      </w:r>
      <w:r>
        <w:rPr>
          <w:color w:val="231F20"/>
          <w:w w:val="105"/>
        </w:rPr>
        <w:t>de</w:t>
      </w:r>
      <w:r>
        <w:rPr>
          <w:color w:val="231F20"/>
          <w:spacing w:val="-9"/>
          <w:w w:val="105"/>
        </w:rPr>
        <w:t> </w:t>
      </w:r>
      <w:r>
        <w:rPr>
          <w:color w:val="231F20"/>
          <w:w w:val="105"/>
        </w:rPr>
        <w:t>participaciones.</w:t>
      </w:r>
    </w:p>
    <w:p>
      <w:pPr>
        <w:pStyle w:val="BodyText"/>
        <w:spacing w:line="285" w:lineRule="auto" w:before="1"/>
        <w:ind w:left="677" w:right="108"/>
        <w:jc w:val="both"/>
        <w:rPr>
          <w:sz w:val="13"/>
        </w:rPr>
      </w:pPr>
      <w:r>
        <w:rPr>
          <w:color w:val="231F20"/>
          <w:w w:val="105"/>
        </w:rPr>
        <w:t>“Para</w:t>
      </w:r>
      <w:r>
        <w:rPr>
          <w:color w:val="231F20"/>
          <w:spacing w:val="-23"/>
          <w:w w:val="105"/>
        </w:rPr>
        <w:t> </w:t>
      </w:r>
      <w:r>
        <w:rPr>
          <w:color w:val="231F20"/>
          <w:w w:val="105"/>
        </w:rPr>
        <w:t>lograr</w:t>
      </w:r>
      <w:r>
        <w:rPr>
          <w:color w:val="231F20"/>
          <w:spacing w:val="-23"/>
          <w:w w:val="105"/>
        </w:rPr>
        <w:t> </w:t>
      </w:r>
      <w:r>
        <w:rPr>
          <w:color w:val="231F20"/>
          <w:w w:val="105"/>
        </w:rPr>
        <w:t>estos</w:t>
      </w:r>
      <w:r>
        <w:rPr>
          <w:color w:val="231F20"/>
          <w:spacing w:val="-23"/>
          <w:w w:val="105"/>
        </w:rPr>
        <w:t> </w:t>
      </w:r>
      <w:r>
        <w:rPr>
          <w:color w:val="231F20"/>
          <w:w w:val="105"/>
        </w:rPr>
        <w:t>niveles</w:t>
      </w:r>
      <w:r>
        <w:rPr>
          <w:color w:val="231F20"/>
          <w:spacing w:val="-23"/>
          <w:w w:val="105"/>
        </w:rPr>
        <w:t> </w:t>
      </w:r>
      <w:r>
        <w:rPr>
          <w:color w:val="231F20"/>
          <w:w w:val="105"/>
        </w:rPr>
        <w:t>de</w:t>
      </w:r>
      <w:r>
        <w:rPr>
          <w:color w:val="231F20"/>
          <w:spacing w:val="-23"/>
          <w:w w:val="105"/>
        </w:rPr>
        <w:t> </w:t>
      </w:r>
      <w:r>
        <w:rPr>
          <w:color w:val="231F20"/>
          <w:w w:val="105"/>
        </w:rPr>
        <w:t>atención,</w:t>
      </w:r>
      <w:r>
        <w:rPr>
          <w:color w:val="231F20"/>
          <w:spacing w:val="-23"/>
          <w:w w:val="105"/>
        </w:rPr>
        <w:t> </w:t>
      </w:r>
      <w:r>
        <w:rPr>
          <w:color w:val="231F20"/>
          <w:w w:val="105"/>
        </w:rPr>
        <w:t>el</w:t>
      </w:r>
      <w:r>
        <w:rPr>
          <w:color w:val="231F20"/>
          <w:spacing w:val="-23"/>
          <w:w w:val="105"/>
        </w:rPr>
        <w:t> </w:t>
      </w:r>
      <w:r>
        <w:rPr>
          <w:color w:val="231F20"/>
          <w:w w:val="105"/>
        </w:rPr>
        <w:t>gobierno</w:t>
      </w:r>
      <w:r>
        <w:rPr>
          <w:color w:val="231F20"/>
          <w:spacing w:val="-23"/>
          <w:w w:val="105"/>
        </w:rPr>
        <w:t> </w:t>
      </w:r>
      <w:r>
        <w:rPr>
          <w:color w:val="231F20"/>
          <w:w w:val="105"/>
        </w:rPr>
        <w:t>municipal</w:t>
      </w:r>
      <w:r>
        <w:rPr>
          <w:color w:val="231F20"/>
          <w:spacing w:val="-23"/>
          <w:w w:val="105"/>
        </w:rPr>
        <w:t> </w:t>
      </w:r>
      <w:r>
        <w:rPr>
          <w:color w:val="231F20"/>
          <w:w w:val="105"/>
        </w:rPr>
        <w:t>invirtió</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periodo que se informa, en construcción, equipamiento, operación de los centros muni- cipales y en la ejecución de jornadas comunitarias más de 23 millones de</w:t>
      </w:r>
      <w:r>
        <w:rPr>
          <w:color w:val="231F20"/>
          <w:spacing w:val="-32"/>
          <w:w w:val="105"/>
        </w:rPr>
        <w:t> </w:t>
      </w:r>
      <w:r>
        <w:rPr>
          <w:color w:val="231F20"/>
          <w:w w:val="105"/>
        </w:rPr>
        <w:t>pesos, provenientes</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ramos</w:t>
      </w:r>
      <w:r>
        <w:rPr>
          <w:color w:val="231F20"/>
          <w:spacing w:val="-27"/>
          <w:w w:val="105"/>
        </w:rPr>
        <w:t> </w:t>
      </w:r>
      <w:r>
        <w:rPr>
          <w:color w:val="231F20"/>
          <w:w w:val="105"/>
        </w:rPr>
        <w:t>33,</w:t>
      </w:r>
      <w:r>
        <w:rPr>
          <w:color w:val="231F20"/>
          <w:spacing w:val="-27"/>
          <w:w w:val="105"/>
        </w:rPr>
        <w:t> </w:t>
      </w:r>
      <w:r>
        <w:rPr>
          <w:color w:val="231F20"/>
          <w:w w:val="105"/>
        </w:rPr>
        <w:t>20,</w:t>
      </w:r>
      <w:r>
        <w:rPr>
          <w:color w:val="231F20"/>
          <w:spacing w:val="-27"/>
          <w:w w:val="105"/>
        </w:rPr>
        <w:t> </w:t>
      </w:r>
      <w:r>
        <w:rPr>
          <w:color w:val="231F20"/>
          <w:w w:val="105"/>
        </w:rPr>
        <w:t>28</w:t>
      </w:r>
      <w:r>
        <w:rPr>
          <w:color w:val="231F20"/>
          <w:spacing w:val="-27"/>
          <w:w w:val="105"/>
        </w:rPr>
        <w:t> </w:t>
      </w:r>
      <w:r>
        <w:rPr>
          <w:color w:val="231F20"/>
          <w:w w:val="105"/>
        </w:rPr>
        <w:t>y</w:t>
      </w:r>
      <w:r>
        <w:rPr>
          <w:color w:val="231F20"/>
          <w:spacing w:val="-27"/>
          <w:w w:val="105"/>
        </w:rPr>
        <w:t> </w:t>
      </w:r>
      <w:r>
        <w:rPr>
          <w:color w:val="231F20"/>
          <w:w w:val="105"/>
        </w:rPr>
        <w:t>de</w:t>
      </w:r>
      <w:r>
        <w:rPr>
          <w:color w:val="231F20"/>
          <w:spacing w:val="-27"/>
          <w:w w:val="105"/>
        </w:rPr>
        <w:t> </w:t>
      </w:r>
      <w:r>
        <w:rPr>
          <w:color w:val="231F20"/>
          <w:w w:val="105"/>
        </w:rPr>
        <w:t>recursos</w:t>
      </w:r>
      <w:r>
        <w:rPr>
          <w:color w:val="231F20"/>
          <w:spacing w:val="-27"/>
          <w:w w:val="105"/>
        </w:rPr>
        <w:t> </w:t>
      </w:r>
      <w:r>
        <w:rPr>
          <w:color w:val="231F20"/>
          <w:w w:val="105"/>
        </w:rPr>
        <w:t>municipales</w:t>
      </w:r>
      <w:r>
        <w:rPr>
          <w:color w:val="231F20"/>
          <w:spacing w:val="-27"/>
          <w:w w:val="105"/>
        </w:rPr>
        <w:t> </w:t>
      </w:r>
      <w:r>
        <w:rPr>
          <w:color w:val="231F20"/>
          <w:spacing w:val="-3"/>
          <w:w w:val="105"/>
        </w:rPr>
        <w:t>propios.”</w:t>
      </w:r>
      <w:r>
        <w:rPr>
          <w:color w:val="231F20"/>
          <w:spacing w:val="-27"/>
          <w:w w:val="105"/>
        </w:rPr>
        <w:t> </w:t>
      </w:r>
      <w:r>
        <w:rPr>
          <w:color w:val="231F20"/>
          <w:w w:val="105"/>
        </w:rPr>
        <w:t>(Informe; </w:t>
      </w:r>
      <w:r>
        <w:rPr>
          <w:color w:val="231F20"/>
        </w:rPr>
        <w:t>2007:</w:t>
      </w:r>
      <w:r>
        <w:rPr>
          <w:color w:val="231F20"/>
          <w:spacing w:val="-25"/>
        </w:rPr>
        <w:t> </w:t>
      </w:r>
      <w:r>
        <w:rPr>
          <w:color w:val="231F20"/>
        </w:rPr>
        <w:t>03)</w:t>
      </w:r>
      <w:r>
        <w:rPr>
          <w:color w:val="231F20"/>
          <w:position w:val="7"/>
          <w:sz w:val="13"/>
        </w:rPr>
        <w:t>8</w:t>
      </w:r>
    </w:p>
    <w:p>
      <w:pPr>
        <w:pStyle w:val="BodyText"/>
        <w:rPr>
          <w:sz w:val="26"/>
        </w:rPr>
      </w:pPr>
    </w:p>
    <w:p>
      <w:pPr>
        <w:pStyle w:val="BodyText"/>
        <w:spacing w:line="285" w:lineRule="auto"/>
        <w:ind w:left="110" w:right="107"/>
        <w:jc w:val="both"/>
      </w:pPr>
      <w:r>
        <w:rPr>
          <w:color w:val="231F20"/>
          <w:w w:val="105"/>
        </w:rPr>
        <w:t>“Nuevo</w:t>
      </w:r>
      <w:r>
        <w:rPr>
          <w:color w:val="231F20"/>
          <w:spacing w:val="-14"/>
          <w:w w:val="105"/>
        </w:rPr>
        <w:t> </w:t>
      </w:r>
      <w:r>
        <w:rPr>
          <w:color w:val="231F20"/>
          <w:w w:val="105"/>
        </w:rPr>
        <w:t>Chimalhuacán</w:t>
      </w:r>
      <w:r>
        <w:rPr>
          <w:color w:val="231F20"/>
          <w:spacing w:val="-14"/>
          <w:w w:val="105"/>
        </w:rPr>
        <w:t> </w:t>
      </w:r>
      <w:r>
        <w:rPr>
          <w:color w:val="231F20"/>
          <w:w w:val="105"/>
        </w:rPr>
        <w:t>seguro</w:t>
      </w:r>
      <w:r>
        <w:rPr>
          <w:color w:val="231F20"/>
          <w:spacing w:val="-14"/>
          <w:w w:val="105"/>
        </w:rPr>
        <w:t> </w:t>
      </w:r>
      <w:r>
        <w:rPr>
          <w:color w:val="231F20"/>
          <w:w w:val="105"/>
        </w:rPr>
        <w:t>2006–2009”,</w:t>
      </w:r>
      <w:r>
        <w:rPr>
          <w:color w:val="231F20"/>
          <w:spacing w:val="-14"/>
          <w:w w:val="105"/>
        </w:rPr>
        <w:t> </w:t>
      </w:r>
      <w:r>
        <w:rPr>
          <w:color w:val="231F20"/>
          <w:w w:val="105"/>
        </w:rPr>
        <w:t>es</w:t>
      </w:r>
      <w:r>
        <w:rPr>
          <w:color w:val="231F20"/>
          <w:spacing w:val="-14"/>
          <w:w w:val="105"/>
        </w:rPr>
        <w:t> </w:t>
      </w:r>
      <w:r>
        <w:rPr>
          <w:color w:val="231F20"/>
          <w:w w:val="105"/>
        </w:rPr>
        <w:t>el</w:t>
      </w:r>
      <w:r>
        <w:rPr>
          <w:color w:val="231F20"/>
          <w:spacing w:val="-14"/>
          <w:w w:val="105"/>
        </w:rPr>
        <w:t> </w:t>
      </w:r>
      <w:r>
        <w:rPr>
          <w:color w:val="231F20"/>
          <w:w w:val="105"/>
        </w:rPr>
        <w:t>lema</w:t>
      </w:r>
      <w:r>
        <w:rPr>
          <w:color w:val="231F20"/>
          <w:spacing w:val="-14"/>
          <w:w w:val="105"/>
        </w:rPr>
        <w:t> </w:t>
      </w:r>
      <w:r>
        <w:rPr>
          <w:color w:val="231F20"/>
          <w:w w:val="105"/>
        </w:rPr>
        <w:t>del</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municipal en el</w:t>
      </w:r>
      <w:r>
        <w:rPr>
          <w:color w:val="231F20"/>
          <w:spacing w:val="-37"/>
          <w:w w:val="105"/>
        </w:rPr>
        <w:t> </w:t>
      </w:r>
      <w:r>
        <w:rPr>
          <w:color w:val="231F20"/>
          <w:w w:val="105"/>
        </w:rPr>
        <w:t>que:</w:t>
      </w:r>
    </w:p>
    <w:p>
      <w:pPr>
        <w:pStyle w:val="BodyText"/>
        <w:spacing w:line="285" w:lineRule="auto" w:before="1"/>
        <w:ind w:left="677" w:right="106"/>
        <w:jc w:val="both"/>
      </w:pPr>
      <w:r>
        <w:rPr>
          <w:color w:val="231F20"/>
          <w:w w:val="105"/>
        </w:rPr>
        <w:t>Se</w:t>
      </w:r>
      <w:r>
        <w:rPr>
          <w:color w:val="231F20"/>
          <w:spacing w:val="-15"/>
          <w:w w:val="105"/>
        </w:rPr>
        <w:t> </w:t>
      </w:r>
      <w:r>
        <w:rPr>
          <w:color w:val="231F20"/>
          <w:w w:val="105"/>
        </w:rPr>
        <w:t>busca</w:t>
      </w:r>
      <w:r>
        <w:rPr>
          <w:color w:val="231F20"/>
          <w:spacing w:val="-15"/>
          <w:w w:val="105"/>
        </w:rPr>
        <w:t> </w:t>
      </w:r>
      <w:r>
        <w:rPr>
          <w:color w:val="231F20"/>
          <w:spacing w:val="2"/>
          <w:w w:val="105"/>
        </w:rPr>
        <w:t>alcanzar</w:t>
      </w:r>
      <w:r>
        <w:rPr>
          <w:color w:val="231F20"/>
          <w:spacing w:val="-15"/>
          <w:w w:val="105"/>
        </w:rPr>
        <w:t> </w:t>
      </w:r>
      <w:r>
        <w:rPr>
          <w:color w:val="231F20"/>
          <w:w w:val="105"/>
        </w:rPr>
        <w:t>la</w:t>
      </w:r>
      <w:r>
        <w:rPr>
          <w:color w:val="231F20"/>
          <w:spacing w:val="-15"/>
          <w:w w:val="105"/>
        </w:rPr>
        <w:t> </w:t>
      </w:r>
      <w:r>
        <w:rPr>
          <w:color w:val="231F20"/>
          <w:w w:val="105"/>
        </w:rPr>
        <w:t>eficacia</w:t>
      </w:r>
      <w:r>
        <w:rPr>
          <w:color w:val="231F20"/>
          <w:spacing w:val="-15"/>
          <w:w w:val="105"/>
        </w:rPr>
        <w:t> </w:t>
      </w:r>
      <w:r>
        <w:rPr>
          <w:color w:val="231F20"/>
          <w:w w:val="105"/>
        </w:rPr>
        <w:t>para</w:t>
      </w:r>
      <w:r>
        <w:rPr>
          <w:color w:val="231F20"/>
          <w:spacing w:val="-15"/>
          <w:w w:val="105"/>
        </w:rPr>
        <w:t> </w:t>
      </w:r>
      <w:r>
        <w:rPr>
          <w:color w:val="231F20"/>
          <w:w w:val="105"/>
        </w:rPr>
        <w:t>cumplir</w:t>
      </w:r>
      <w:r>
        <w:rPr>
          <w:color w:val="231F20"/>
          <w:spacing w:val="-15"/>
          <w:w w:val="105"/>
        </w:rPr>
        <w:t> </w:t>
      </w:r>
      <w:r>
        <w:rPr>
          <w:color w:val="231F20"/>
          <w:w w:val="105"/>
        </w:rPr>
        <w:t>los</w:t>
      </w:r>
      <w:r>
        <w:rPr>
          <w:color w:val="231F20"/>
          <w:spacing w:val="-15"/>
          <w:w w:val="105"/>
        </w:rPr>
        <w:t> </w:t>
      </w:r>
      <w:r>
        <w:rPr>
          <w:color w:val="231F20"/>
          <w:w w:val="105"/>
        </w:rPr>
        <w:t>objetivos</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w w:val="105"/>
        </w:rPr>
        <w:t>metas</w:t>
      </w:r>
      <w:r>
        <w:rPr>
          <w:color w:val="231F20"/>
          <w:spacing w:val="-15"/>
          <w:w w:val="105"/>
        </w:rPr>
        <w:t> </w:t>
      </w:r>
      <w:r>
        <w:rPr>
          <w:color w:val="231F20"/>
          <w:w w:val="105"/>
        </w:rPr>
        <w:t>programadas, con</w:t>
      </w:r>
      <w:r>
        <w:rPr>
          <w:color w:val="231F20"/>
          <w:spacing w:val="-15"/>
          <w:w w:val="105"/>
        </w:rPr>
        <w:t> </w:t>
      </w:r>
      <w:r>
        <w:rPr>
          <w:color w:val="231F20"/>
          <w:w w:val="105"/>
        </w:rPr>
        <w:t>el</w:t>
      </w:r>
      <w:r>
        <w:rPr>
          <w:color w:val="231F20"/>
          <w:spacing w:val="-15"/>
          <w:w w:val="105"/>
        </w:rPr>
        <w:t> </w:t>
      </w:r>
      <w:r>
        <w:rPr>
          <w:color w:val="231F20"/>
          <w:w w:val="105"/>
        </w:rPr>
        <w:t>mínimo</w:t>
      </w:r>
      <w:r>
        <w:rPr>
          <w:color w:val="231F20"/>
          <w:spacing w:val="-15"/>
          <w:w w:val="105"/>
        </w:rPr>
        <w:t> </w:t>
      </w:r>
      <w:r>
        <w:rPr>
          <w:color w:val="231F20"/>
          <w:w w:val="105"/>
        </w:rPr>
        <w:t>de</w:t>
      </w:r>
      <w:r>
        <w:rPr>
          <w:color w:val="231F20"/>
          <w:spacing w:val="-15"/>
          <w:w w:val="105"/>
        </w:rPr>
        <w:t> </w:t>
      </w:r>
      <w:r>
        <w:rPr>
          <w:color w:val="231F20"/>
          <w:w w:val="105"/>
        </w:rPr>
        <w:t>recursos</w:t>
      </w:r>
      <w:r>
        <w:rPr>
          <w:color w:val="231F20"/>
          <w:spacing w:val="-15"/>
          <w:w w:val="105"/>
        </w:rPr>
        <w:t> </w:t>
      </w:r>
      <w:r>
        <w:rPr>
          <w:color w:val="231F20"/>
          <w:w w:val="105"/>
        </w:rPr>
        <w:t>asignados</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menor</w:t>
      </w:r>
      <w:r>
        <w:rPr>
          <w:color w:val="231F20"/>
          <w:spacing w:val="-15"/>
          <w:w w:val="105"/>
        </w:rPr>
        <w:t> </w:t>
      </w:r>
      <w:r>
        <w:rPr>
          <w:color w:val="231F20"/>
          <w:w w:val="105"/>
        </w:rPr>
        <w:t>tiempo</w:t>
      </w:r>
      <w:r>
        <w:rPr>
          <w:color w:val="231F20"/>
          <w:spacing w:val="-15"/>
          <w:w w:val="105"/>
        </w:rPr>
        <w:t> </w:t>
      </w:r>
      <w:r>
        <w:rPr>
          <w:color w:val="231F20"/>
          <w:w w:val="105"/>
        </w:rPr>
        <w:t>posible,</w:t>
      </w:r>
      <w:r>
        <w:rPr>
          <w:color w:val="231F20"/>
          <w:spacing w:val="-15"/>
          <w:w w:val="105"/>
        </w:rPr>
        <w:t> </w:t>
      </w:r>
      <w:r>
        <w:rPr>
          <w:color w:val="231F20"/>
          <w:w w:val="105"/>
        </w:rPr>
        <w:t>buscando</w:t>
      </w:r>
      <w:r>
        <w:rPr>
          <w:color w:val="231F20"/>
          <w:spacing w:val="-15"/>
          <w:w w:val="105"/>
        </w:rPr>
        <w:t> </w:t>
      </w:r>
      <w:r>
        <w:rPr>
          <w:color w:val="231F20"/>
          <w:w w:val="105"/>
        </w:rPr>
        <w:t>con ello,</w:t>
      </w:r>
      <w:r>
        <w:rPr>
          <w:color w:val="231F20"/>
          <w:spacing w:val="-13"/>
          <w:w w:val="105"/>
        </w:rPr>
        <w:t> </w:t>
      </w:r>
      <w:r>
        <w:rPr>
          <w:color w:val="231F20"/>
          <w:w w:val="105"/>
        </w:rPr>
        <w:t>dar</w:t>
      </w:r>
      <w:r>
        <w:rPr>
          <w:color w:val="231F20"/>
          <w:spacing w:val="-13"/>
          <w:w w:val="105"/>
        </w:rPr>
        <w:t> </w:t>
      </w:r>
      <w:r>
        <w:rPr>
          <w:color w:val="231F20"/>
          <w:w w:val="105"/>
        </w:rPr>
        <w:t>eficiencia,</w:t>
      </w:r>
      <w:r>
        <w:rPr>
          <w:color w:val="231F20"/>
          <w:spacing w:val="-13"/>
          <w:w w:val="105"/>
        </w:rPr>
        <w:t> </w:t>
      </w:r>
      <w:r>
        <w:rPr>
          <w:color w:val="231F20"/>
          <w:w w:val="105"/>
        </w:rPr>
        <w:t>para</w:t>
      </w:r>
      <w:r>
        <w:rPr>
          <w:color w:val="231F20"/>
          <w:spacing w:val="-13"/>
          <w:w w:val="105"/>
        </w:rPr>
        <w:t> </w:t>
      </w:r>
      <w:r>
        <w:rPr>
          <w:color w:val="231F20"/>
          <w:w w:val="105"/>
        </w:rPr>
        <w:t>cumplir</w:t>
      </w:r>
      <w:r>
        <w:rPr>
          <w:color w:val="231F20"/>
          <w:spacing w:val="-13"/>
          <w:w w:val="105"/>
        </w:rPr>
        <w:t> </w:t>
      </w:r>
      <w:r>
        <w:rPr>
          <w:color w:val="231F20"/>
          <w:w w:val="105"/>
        </w:rPr>
        <w:t>los</w:t>
      </w:r>
      <w:r>
        <w:rPr>
          <w:color w:val="231F20"/>
          <w:spacing w:val="-13"/>
          <w:w w:val="105"/>
        </w:rPr>
        <w:t> </w:t>
      </w:r>
      <w:r>
        <w:rPr>
          <w:color w:val="231F20"/>
          <w:w w:val="105"/>
        </w:rPr>
        <w:t>objetivos</w:t>
      </w:r>
      <w:r>
        <w:rPr>
          <w:color w:val="231F20"/>
          <w:spacing w:val="-13"/>
          <w:w w:val="105"/>
        </w:rPr>
        <w:t> </w:t>
      </w:r>
      <w:r>
        <w:rPr>
          <w:color w:val="231F20"/>
          <w:w w:val="105"/>
        </w:rPr>
        <w:t>y</w:t>
      </w:r>
      <w:r>
        <w:rPr>
          <w:color w:val="231F20"/>
          <w:spacing w:val="-13"/>
          <w:w w:val="105"/>
        </w:rPr>
        <w:t> </w:t>
      </w:r>
      <w:r>
        <w:rPr>
          <w:color w:val="231F20"/>
          <w:w w:val="105"/>
        </w:rPr>
        <w:t>las</w:t>
      </w:r>
      <w:r>
        <w:rPr>
          <w:color w:val="231F20"/>
          <w:spacing w:val="-13"/>
          <w:w w:val="105"/>
        </w:rPr>
        <w:t> </w:t>
      </w:r>
      <w:r>
        <w:rPr>
          <w:color w:val="231F20"/>
          <w:w w:val="105"/>
        </w:rPr>
        <w:t>metas</w:t>
      </w:r>
      <w:r>
        <w:rPr>
          <w:color w:val="231F20"/>
          <w:spacing w:val="-13"/>
          <w:w w:val="105"/>
        </w:rPr>
        <w:t> </w:t>
      </w:r>
      <w:r>
        <w:rPr>
          <w:color w:val="231F20"/>
          <w:w w:val="105"/>
        </w:rPr>
        <w:t>programadas,</w:t>
      </w:r>
      <w:r>
        <w:rPr>
          <w:color w:val="231F20"/>
          <w:spacing w:val="-13"/>
          <w:w w:val="105"/>
        </w:rPr>
        <w:t> </w:t>
      </w:r>
      <w:r>
        <w:rPr>
          <w:color w:val="231F20"/>
          <w:w w:val="105"/>
        </w:rPr>
        <w:t>con</w:t>
      </w:r>
      <w:r>
        <w:rPr>
          <w:color w:val="231F20"/>
          <w:spacing w:val="-13"/>
          <w:w w:val="105"/>
        </w:rPr>
        <w:t> </w:t>
      </w:r>
      <w:r>
        <w:rPr>
          <w:color w:val="231F20"/>
          <w:w w:val="105"/>
        </w:rPr>
        <w:t>base en</w:t>
      </w:r>
      <w:r>
        <w:rPr>
          <w:color w:val="231F20"/>
          <w:spacing w:val="-11"/>
          <w:w w:val="105"/>
        </w:rPr>
        <w:t> </w:t>
      </w:r>
      <w:r>
        <w:rPr>
          <w:color w:val="231F20"/>
          <w:w w:val="105"/>
        </w:rPr>
        <w:t>el</w:t>
      </w:r>
      <w:r>
        <w:rPr>
          <w:color w:val="231F20"/>
          <w:spacing w:val="-11"/>
          <w:w w:val="105"/>
        </w:rPr>
        <w:t> </w:t>
      </w:r>
      <w:r>
        <w:rPr>
          <w:color w:val="231F20"/>
          <w:w w:val="105"/>
        </w:rPr>
        <w:t>uso</w:t>
      </w:r>
      <w:r>
        <w:rPr>
          <w:color w:val="231F20"/>
          <w:spacing w:val="-11"/>
          <w:w w:val="105"/>
        </w:rPr>
        <w:t> </w:t>
      </w:r>
      <w:r>
        <w:rPr>
          <w:color w:val="231F20"/>
          <w:w w:val="105"/>
        </w:rPr>
        <w:t>racional</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recursos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tienen</w:t>
      </w:r>
      <w:r>
        <w:rPr>
          <w:color w:val="231F20"/>
          <w:spacing w:val="-11"/>
          <w:w w:val="105"/>
        </w:rPr>
        <w:t> </w:t>
      </w:r>
      <w:r>
        <w:rPr>
          <w:color w:val="231F20"/>
          <w:w w:val="105"/>
        </w:rPr>
        <w:t>asignados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menor</w:t>
      </w:r>
      <w:r>
        <w:rPr>
          <w:color w:val="231F20"/>
          <w:spacing w:val="-11"/>
          <w:w w:val="105"/>
        </w:rPr>
        <w:t> </w:t>
      </w:r>
      <w:r>
        <w:rPr>
          <w:color w:val="231F20"/>
          <w:w w:val="105"/>
        </w:rPr>
        <w:t>tiempo</w:t>
      </w:r>
      <w:r>
        <w:rPr>
          <w:color w:val="231F20"/>
          <w:spacing w:val="-11"/>
          <w:w w:val="105"/>
        </w:rPr>
        <w:t> </w:t>
      </w:r>
      <w:r>
        <w:rPr>
          <w:color w:val="231F20"/>
          <w:w w:val="105"/>
        </w:rPr>
        <w:t>po- sible.</w:t>
      </w:r>
      <w:r>
        <w:rPr>
          <w:color w:val="231F20"/>
          <w:spacing w:val="-39"/>
          <w:w w:val="105"/>
        </w:rPr>
        <w:t> </w:t>
      </w:r>
      <w:r>
        <w:rPr>
          <w:color w:val="231F20"/>
          <w:w w:val="105"/>
        </w:rPr>
        <w:t>(Plan</w:t>
      </w:r>
      <w:r>
        <w:rPr>
          <w:color w:val="231F20"/>
          <w:spacing w:val="-39"/>
          <w:w w:val="105"/>
        </w:rPr>
        <w:t> </w:t>
      </w:r>
      <w:r>
        <w:rPr>
          <w:color w:val="231F20"/>
          <w:w w:val="105"/>
        </w:rPr>
        <w:t>Municipal;</w:t>
      </w:r>
      <w:r>
        <w:rPr>
          <w:color w:val="231F20"/>
          <w:spacing w:val="-39"/>
          <w:w w:val="105"/>
        </w:rPr>
        <w:t> </w:t>
      </w:r>
      <w:r>
        <w:rPr>
          <w:color w:val="231F20"/>
          <w:w w:val="105"/>
        </w:rPr>
        <w:t>2007:</w:t>
      </w:r>
      <w:r>
        <w:rPr>
          <w:color w:val="231F20"/>
          <w:spacing w:val="-39"/>
          <w:w w:val="105"/>
        </w:rPr>
        <w:t> </w:t>
      </w:r>
      <w:r>
        <w:rPr>
          <w:color w:val="231F20"/>
          <w:spacing w:val="-5"/>
          <w:w w:val="105"/>
        </w:rPr>
        <w:t>10)</w:t>
      </w:r>
    </w:p>
    <w:p>
      <w:pPr>
        <w:pStyle w:val="BodyText"/>
        <w:spacing w:before="1"/>
        <w:rPr>
          <w:sz w:val="26"/>
        </w:rPr>
      </w:pPr>
    </w:p>
    <w:p>
      <w:pPr>
        <w:pStyle w:val="BodyText"/>
        <w:spacing w:line="285" w:lineRule="auto"/>
        <w:ind w:left="110" w:right="107"/>
        <w:jc w:val="both"/>
      </w:pPr>
      <w:r>
        <w:rPr>
          <w:color w:val="231F20"/>
          <w:w w:val="105"/>
        </w:rPr>
        <w:t>Suponer que la administración pública se refleja estrictamente con la construcción de obras</w:t>
      </w:r>
      <w:r>
        <w:rPr>
          <w:color w:val="231F20"/>
          <w:spacing w:val="-18"/>
          <w:w w:val="105"/>
        </w:rPr>
        <w:t> </w:t>
      </w:r>
      <w:r>
        <w:rPr>
          <w:color w:val="231F20"/>
          <w:w w:val="105"/>
        </w:rPr>
        <w:t>públicas</w:t>
      </w:r>
      <w:r>
        <w:rPr>
          <w:color w:val="231F20"/>
          <w:spacing w:val="-18"/>
          <w:w w:val="105"/>
        </w:rPr>
        <w:t> </w:t>
      </w:r>
      <w:r>
        <w:rPr>
          <w:color w:val="231F20"/>
          <w:w w:val="105"/>
        </w:rPr>
        <w:t>nos</w:t>
      </w:r>
      <w:r>
        <w:rPr>
          <w:color w:val="231F20"/>
          <w:spacing w:val="-18"/>
          <w:w w:val="105"/>
        </w:rPr>
        <w:t> </w:t>
      </w:r>
      <w:r>
        <w:rPr>
          <w:color w:val="231F20"/>
          <w:spacing w:val="-3"/>
          <w:w w:val="105"/>
        </w:rPr>
        <w:t>conduce</w:t>
      </w:r>
      <w:r>
        <w:rPr>
          <w:color w:val="231F20"/>
          <w:spacing w:val="-18"/>
          <w:w w:val="105"/>
        </w:rPr>
        <w:t> </w:t>
      </w:r>
      <w:r>
        <w:rPr>
          <w:color w:val="231F20"/>
          <w:w w:val="105"/>
        </w:rPr>
        <w:t>a</w:t>
      </w:r>
      <w:r>
        <w:rPr>
          <w:color w:val="231F20"/>
          <w:spacing w:val="-18"/>
          <w:w w:val="105"/>
        </w:rPr>
        <w:t> </w:t>
      </w:r>
      <w:r>
        <w:rPr>
          <w:color w:val="231F20"/>
          <w:w w:val="105"/>
        </w:rPr>
        <w:t>errar</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observación.</w:t>
      </w:r>
      <w:r>
        <w:rPr>
          <w:color w:val="231F20"/>
          <w:spacing w:val="-18"/>
          <w:w w:val="105"/>
        </w:rPr>
        <w:t> </w:t>
      </w:r>
      <w:r>
        <w:rPr>
          <w:color w:val="231F20"/>
          <w:w w:val="105"/>
        </w:rPr>
        <w:t>La</w:t>
      </w:r>
      <w:r>
        <w:rPr>
          <w:color w:val="231F20"/>
          <w:spacing w:val="-18"/>
          <w:w w:val="105"/>
        </w:rPr>
        <w:t> </w:t>
      </w:r>
      <w:r>
        <w:rPr>
          <w:color w:val="231F20"/>
          <w:w w:val="105"/>
        </w:rPr>
        <w:t>tarea</w:t>
      </w:r>
      <w:r>
        <w:rPr>
          <w:color w:val="231F20"/>
          <w:spacing w:val="-18"/>
          <w:w w:val="105"/>
        </w:rPr>
        <w:t> </w:t>
      </w:r>
      <w:r>
        <w:rPr>
          <w:color w:val="231F20"/>
          <w:w w:val="105"/>
        </w:rPr>
        <w:t>del</w:t>
      </w:r>
      <w:r>
        <w:rPr>
          <w:color w:val="231F20"/>
          <w:spacing w:val="-18"/>
          <w:w w:val="105"/>
        </w:rPr>
        <w:t> </w:t>
      </w:r>
      <w:r>
        <w:rPr>
          <w:color w:val="231F20"/>
          <w:w w:val="105"/>
        </w:rPr>
        <w:t>gobierno</w:t>
      </w:r>
      <w:r>
        <w:rPr>
          <w:color w:val="231F20"/>
          <w:spacing w:val="-18"/>
          <w:w w:val="105"/>
        </w:rPr>
        <w:t> </w:t>
      </w:r>
      <w:r>
        <w:rPr>
          <w:color w:val="231F20"/>
          <w:w w:val="105"/>
        </w:rPr>
        <w:t>municipal</w:t>
      </w:r>
      <w:r>
        <w:rPr>
          <w:color w:val="231F20"/>
          <w:spacing w:val="-18"/>
          <w:w w:val="105"/>
        </w:rPr>
        <w:t> </w:t>
      </w:r>
      <w:r>
        <w:rPr>
          <w:color w:val="231F20"/>
          <w:w w:val="105"/>
        </w:rPr>
        <w:t>se centra</w:t>
      </w:r>
      <w:r>
        <w:rPr>
          <w:color w:val="231F20"/>
          <w:spacing w:val="-19"/>
          <w:w w:val="105"/>
        </w:rPr>
        <w:t> </w:t>
      </w:r>
      <w:r>
        <w:rPr>
          <w:color w:val="231F20"/>
          <w:w w:val="105"/>
        </w:rPr>
        <w:t>en</w:t>
      </w:r>
      <w:r>
        <w:rPr>
          <w:color w:val="231F20"/>
          <w:spacing w:val="-19"/>
          <w:w w:val="105"/>
        </w:rPr>
        <w:t> </w:t>
      </w:r>
      <w:r>
        <w:rPr>
          <w:color w:val="231F20"/>
          <w:w w:val="105"/>
        </w:rPr>
        <w:t>cuatro</w:t>
      </w:r>
      <w:r>
        <w:rPr>
          <w:color w:val="231F20"/>
          <w:spacing w:val="-19"/>
          <w:w w:val="105"/>
        </w:rPr>
        <w:t> </w:t>
      </w:r>
      <w:r>
        <w:rPr>
          <w:color w:val="231F20"/>
          <w:w w:val="105"/>
        </w:rPr>
        <w:t>vertientes:</w:t>
      </w:r>
      <w:r>
        <w:rPr>
          <w:color w:val="231F20"/>
          <w:spacing w:val="-19"/>
          <w:w w:val="105"/>
        </w:rPr>
        <w:t> </w:t>
      </w:r>
      <w:r>
        <w:rPr>
          <w:color w:val="231F20"/>
          <w:w w:val="105"/>
        </w:rPr>
        <w:t>Seguridad</w:t>
      </w:r>
      <w:r>
        <w:rPr>
          <w:color w:val="231F20"/>
          <w:spacing w:val="-19"/>
          <w:w w:val="105"/>
        </w:rPr>
        <w:t> </w:t>
      </w:r>
      <w:r>
        <w:rPr>
          <w:color w:val="231F20"/>
          <w:w w:val="105"/>
        </w:rPr>
        <w:t>Social,</w:t>
      </w:r>
      <w:r>
        <w:rPr>
          <w:color w:val="231F20"/>
          <w:spacing w:val="-19"/>
          <w:w w:val="105"/>
        </w:rPr>
        <w:t> </w:t>
      </w:r>
      <w:r>
        <w:rPr>
          <w:color w:val="231F20"/>
          <w:w w:val="105"/>
        </w:rPr>
        <w:t>Seguridad</w:t>
      </w:r>
      <w:r>
        <w:rPr>
          <w:color w:val="231F20"/>
          <w:spacing w:val="-19"/>
          <w:w w:val="105"/>
        </w:rPr>
        <w:t> </w:t>
      </w:r>
      <w:r>
        <w:rPr>
          <w:color w:val="231F20"/>
          <w:w w:val="105"/>
        </w:rPr>
        <w:t>Económica,</w:t>
      </w:r>
      <w:r>
        <w:rPr>
          <w:color w:val="231F20"/>
          <w:spacing w:val="-19"/>
          <w:w w:val="105"/>
        </w:rPr>
        <w:t> </w:t>
      </w:r>
      <w:r>
        <w:rPr>
          <w:color w:val="231F20"/>
          <w:w w:val="105"/>
        </w:rPr>
        <w:t>Seguridad</w:t>
      </w:r>
      <w:r>
        <w:rPr>
          <w:color w:val="231F20"/>
          <w:spacing w:val="-19"/>
          <w:w w:val="105"/>
        </w:rPr>
        <w:t> </w:t>
      </w:r>
      <w:r>
        <w:rPr>
          <w:color w:val="231F20"/>
          <w:w w:val="105"/>
        </w:rPr>
        <w:t>Pública </w:t>
      </w:r>
      <w:r>
        <w:rPr>
          <w:color w:val="231F20"/>
          <w:w w:val="105"/>
          <w:u w:val="single" w:color="231F20"/>
        </w:rPr>
        <w:t>y</w:t>
      </w:r>
      <w:r>
        <w:rPr>
          <w:color w:val="231F20"/>
          <w:spacing w:val="-14"/>
          <w:w w:val="105"/>
          <w:u w:val="single" w:color="231F20"/>
        </w:rPr>
        <w:t> </w:t>
      </w:r>
      <w:r>
        <w:rPr>
          <w:color w:val="231F20"/>
          <w:w w:val="105"/>
          <w:u w:val="single" w:color="231F20"/>
        </w:rPr>
        <w:t>Cimiento</w:t>
      </w:r>
      <w:r>
        <w:rPr>
          <w:color w:val="231F20"/>
          <w:spacing w:val="-14"/>
          <w:w w:val="105"/>
          <w:u w:val="single" w:color="231F20"/>
        </w:rPr>
        <w:t> </w:t>
      </w:r>
      <w:r>
        <w:rPr>
          <w:color w:val="231F20"/>
          <w:w w:val="105"/>
          <w:u w:val="single" w:color="231F20"/>
        </w:rPr>
        <w:t>para</w:t>
      </w:r>
      <w:r>
        <w:rPr>
          <w:color w:val="231F20"/>
          <w:spacing w:val="-14"/>
          <w:w w:val="105"/>
          <w:u w:val="single" w:color="231F20"/>
        </w:rPr>
        <w:t> </w:t>
      </w:r>
      <w:r>
        <w:rPr>
          <w:color w:val="231F20"/>
          <w:w w:val="105"/>
        </w:rPr>
        <w:t>la</w:t>
      </w:r>
      <w:r>
        <w:rPr>
          <w:color w:val="231F20"/>
          <w:spacing w:val="-14"/>
          <w:w w:val="105"/>
        </w:rPr>
        <w:t> </w:t>
      </w:r>
      <w:r>
        <w:rPr>
          <w:color w:val="231F20"/>
          <w:w w:val="105"/>
        </w:rPr>
        <w:t>Seguridad</w:t>
      </w:r>
      <w:r>
        <w:rPr>
          <w:color w:val="231F20"/>
          <w:spacing w:val="-14"/>
          <w:w w:val="105"/>
        </w:rPr>
        <w:t> </w:t>
      </w:r>
      <w:r>
        <w:rPr>
          <w:color w:val="231F20"/>
          <w:w w:val="105"/>
        </w:rPr>
        <w:t>Integral.</w:t>
      </w:r>
    </w:p>
    <w:p>
      <w:pPr>
        <w:spacing w:line="244" w:lineRule="auto" w:before="49"/>
        <w:ind w:left="110" w:right="107" w:firstLine="0"/>
        <w:jc w:val="both"/>
        <w:rPr>
          <w:rFonts w:ascii="Calibri" w:hAnsi="Calibri"/>
          <w:sz w:val="16"/>
        </w:rPr>
      </w:pPr>
      <w:r>
        <w:rPr>
          <w:rFonts w:ascii="Calibri" w:hAnsi="Calibri"/>
          <w:color w:val="231F20"/>
          <w:sz w:val="16"/>
        </w:rPr>
        <w:t>8 La Ley de Coordinación Fiscal establece en el artículo 33 que el Fondo de Aportaciones para la Infraestructura Social que reciben los Estados y los Municipios, se destinará exclusivamente al financiamiento de obras, acciones sociales básicas y a inversiones que beneficien directamente a sectores de su población que se encuentren en condiciones de rezago social y pobreza extrema. (No hay ramos 20 y 28)</w:t>
      </w:r>
    </w:p>
    <w:p>
      <w:pPr>
        <w:spacing w:after="0" w:line="244" w:lineRule="auto"/>
        <w:jc w:val="both"/>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right="1661"/>
      </w:pPr>
      <w:r>
        <w:rPr>
          <w:color w:val="231F20"/>
          <w:w w:val="105"/>
        </w:rPr>
        <w:t>De ahí en adelante los rubros se dividen en:</w:t>
      </w:r>
    </w:p>
    <w:p>
      <w:pPr>
        <w:pStyle w:val="BodyText"/>
        <w:spacing w:line="285" w:lineRule="auto" w:before="47"/>
        <w:ind w:left="677" w:right="1661"/>
      </w:pPr>
      <w:r>
        <w:rPr>
          <w:color w:val="231F20"/>
          <w:w w:val="105"/>
        </w:rPr>
        <w:t>Desarrollo, Infraestructura y Equipamiento Social: Educación, Cultura, Recreación y Deporte.</w:t>
      </w:r>
    </w:p>
    <w:p>
      <w:pPr>
        <w:pStyle w:val="BodyText"/>
        <w:spacing w:line="285" w:lineRule="auto" w:before="1"/>
        <w:ind w:left="677" w:right="4089"/>
      </w:pPr>
      <w:r>
        <w:rPr>
          <w:color w:val="231F20"/>
        </w:rPr>
        <w:t>Salud y Asistencia Social. Abasto.</w:t>
      </w:r>
    </w:p>
    <w:p>
      <w:pPr>
        <w:pStyle w:val="BodyText"/>
        <w:spacing w:line="285" w:lineRule="auto" w:before="1"/>
        <w:ind w:left="677" w:right="5318"/>
      </w:pPr>
      <w:r>
        <w:rPr>
          <w:color w:val="231F20"/>
          <w:w w:val="105"/>
        </w:rPr>
        <w:t>Vivienda. Grupos Étnicos.</w:t>
      </w:r>
    </w:p>
    <w:p>
      <w:pPr>
        <w:pStyle w:val="BodyText"/>
        <w:spacing w:line="285" w:lineRule="auto" w:before="1"/>
        <w:ind w:left="677" w:right="3231"/>
      </w:pPr>
      <w:r>
        <w:rPr>
          <w:color w:val="231F20"/>
        </w:rPr>
        <w:t>Ocupación del Uso del Suelo. Actividades Económicas del Municipio. Empleo Municipal.</w:t>
      </w:r>
    </w:p>
    <w:p>
      <w:pPr>
        <w:pStyle w:val="BodyText"/>
        <w:spacing w:before="1"/>
        <w:rPr>
          <w:sz w:val="26"/>
        </w:rPr>
      </w:pPr>
    </w:p>
    <w:p>
      <w:pPr>
        <w:pStyle w:val="BodyText"/>
        <w:ind w:left="110" w:right="1661"/>
      </w:pPr>
      <w:r>
        <w:rPr>
          <w:color w:val="231F20"/>
        </w:rPr>
        <w:t>Servicios Públicos:</w:t>
      </w:r>
    </w:p>
    <w:p>
      <w:pPr>
        <w:pStyle w:val="BodyText"/>
        <w:spacing w:before="47"/>
        <w:ind w:left="677" w:right="1661"/>
      </w:pPr>
      <w:r>
        <w:rPr>
          <w:color w:val="231F20"/>
        </w:rPr>
        <w:t>Agua Potable.</w:t>
      </w:r>
    </w:p>
    <w:p>
      <w:pPr>
        <w:pStyle w:val="BodyText"/>
        <w:spacing w:line="285" w:lineRule="auto" w:before="47"/>
        <w:ind w:left="677" w:right="1661"/>
      </w:pPr>
      <w:r>
        <w:rPr>
          <w:color w:val="231F20"/>
        </w:rPr>
        <w:t>Drenaje, Alcantarillado y Tratamiento de Aguas Servidas. Electrificación y Alumbrado  Público.</w:t>
      </w:r>
    </w:p>
    <w:p>
      <w:pPr>
        <w:pStyle w:val="BodyText"/>
        <w:spacing w:line="285" w:lineRule="auto" w:before="1"/>
        <w:ind w:left="677" w:right="1661"/>
      </w:pPr>
      <w:r>
        <w:rPr>
          <w:color w:val="231F20"/>
        </w:rPr>
        <w:t>Limpia, Recolección y Disposición de Desechos. Comercio.</w:t>
      </w:r>
    </w:p>
    <w:p>
      <w:pPr>
        <w:pStyle w:val="BodyText"/>
        <w:spacing w:line="285" w:lineRule="auto" w:before="1"/>
        <w:ind w:left="677" w:right="5868"/>
      </w:pPr>
      <w:r>
        <w:rPr>
          <w:color w:val="231F20"/>
          <w:w w:val="105"/>
        </w:rPr>
        <w:t>Panteones. Rastro.</w:t>
      </w:r>
    </w:p>
    <w:p>
      <w:pPr>
        <w:pStyle w:val="BodyText"/>
        <w:spacing w:before="1"/>
        <w:ind w:left="677" w:right="1661"/>
      </w:pPr>
      <w:r>
        <w:rPr>
          <w:color w:val="231F20"/>
        </w:rPr>
        <w:t>Parques, Jardines, Áreas Verdes y  Recreativas.</w:t>
      </w:r>
    </w:p>
    <w:p>
      <w:pPr>
        <w:pStyle w:val="BodyText"/>
        <w:spacing w:line="285" w:lineRule="auto" w:before="47"/>
        <w:ind w:left="677" w:right="20"/>
      </w:pPr>
      <w:r>
        <w:rPr>
          <w:color w:val="231F20"/>
          <w:w w:val="105"/>
        </w:rPr>
        <w:t>Situación e Infraestructura de las Comunicaciones y el Transporte. Sistema de localidades de los Asentamientos Humanos.</w:t>
      </w:r>
    </w:p>
    <w:p>
      <w:pPr>
        <w:pStyle w:val="BodyText"/>
        <w:spacing w:line="285" w:lineRule="auto" w:before="1"/>
        <w:ind w:left="677" w:right="3231"/>
      </w:pPr>
      <w:r>
        <w:rPr>
          <w:color w:val="231F20"/>
          <w:w w:val="105"/>
        </w:rPr>
        <w:t>Imagen Urbana y Turismo. Conservación del Medio Natural.</w:t>
      </w:r>
    </w:p>
    <w:p>
      <w:pPr>
        <w:pStyle w:val="BodyText"/>
        <w:spacing w:line="285" w:lineRule="auto" w:before="1"/>
        <w:ind w:left="677" w:right="2406"/>
      </w:pPr>
      <w:r>
        <w:rPr>
          <w:color w:val="231F20"/>
        </w:rPr>
        <w:t>Parques de Recreación y Áreas Naturales. Recursos Forestales.</w:t>
      </w:r>
    </w:p>
    <w:p>
      <w:pPr>
        <w:pStyle w:val="BodyText"/>
        <w:spacing w:line="285" w:lineRule="auto" w:before="1"/>
        <w:ind w:left="677" w:right="1661"/>
      </w:pPr>
      <w:r>
        <w:rPr>
          <w:color w:val="231F20"/>
          <w:w w:val="105"/>
        </w:rPr>
        <w:t>Contaminación</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Aire,</w:t>
      </w:r>
      <w:r>
        <w:rPr>
          <w:color w:val="231F20"/>
          <w:spacing w:val="-19"/>
          <w:w w:val="105"/>
        </w:rPr>
        <w:t> </w:t>
      </w:r>
      <w:r>
        <w:rPr>
          <w:color w:val="231F20"/>
          <w:w w:val="105"/>
        </w:rPr>
        <w:t>Agua</w:t>
      </w:r>
      <w:r>
        <w:rPr>
          <w:color w:val="231F20"/>
          <w:spacing w:val="-19"/>
          <w:w w:val="105"/>
        </w:rPr>
        <w:t> </w:t>
      </w:r>
      <w:r>
        <w:rPr>
          <w:color w:val="231F20"/>
          <w:w w:val="105"/>
        </w:rPr>
        <w:t>y</w:t>
      </w:r>
      <w:r>
        <w:rPr>
          <w:color w:val="231F20"/>
          <w:spacing w:val="-19"/>
          <w:w w:val="105"/>
        </w:rPr>
        <w:t> </w:t>
      </w:r>
      <w:r>
        <w:rPr>
          <w:color w:val="231F20"/>
          <w:spacing w:val="-3"/>
          <w:w w:val="105"/>
        </w:rPr>
        <w:t>Suelo. </w:t>
      </w:r>
      <w:r>
        <w:rPr>
          <w:color w:val="231F20"/>
          <w:w w:val="105"/>
        </w:rPr>
        <w:t>Seguridad</w:t>
      </w:r>
      <w:r>
        <w:rPr>
          <w:color w:val="231F20"/>
          <w:spacing w:val="-24"/>
          <w:w w:val="105"/>
        </w:rPr>
        <w:t> </w:t>
      </w:r>
      <w:r>
        <w:rPr>
          <w:color w:val="231F20"/>
          <w:w w:val="105"/>
        </w:rPr>
        <w:t>Pública</w:t>
      </w:r>
      <w:r>
        <w:rPr>
          <w:color w:val="231F20"/>
          <w:spacing w:val="-24"/>
          <w:w w:val="105"/>
        </w:rPr>
        <w:t> </w:t>
      </w:r>
      <w:r>
        <w:rPr>
          <w:color w:val="231F20"/>
          <w:w w:val="105"/>
        </w:rPr>
        <w:t>y</w:t>
      </w:r>
      <w:r>
        <w:rPr>
          <w:color w:val="231F20"/>
          <w:spacing w:val="-24"/>
          <w:w w:val="105"/>
        </w:rPr>
        <w:t> </w:t>
      </w:r>
      <w:r>
        <w:rPr>
          <w:color w:val="231F20"/>
          <w:w w:val="105"/>
        </w:rPr>
        <w:t>Procuración</w:t>
      </w:r>
      <w:r>
        <w:rPr>
          <w:color w:val="231F20"/>
          <w:spacing w:val="-24"/>
          <w:w w:val="105"/>
        </w:rPr>
        <w:t> </w:t>
      </w:r>
      <w:r>
        <w:rPr>
          <w:color w:val="231F20"/>
          <w:w w:val="105"/>
        </w:rPr>
        <w:t>de</w:t>
      </w:r>
      <w:r>
        <w:rPr>
          <w:color w:val="231F20"/>
          <w:spacing w:val="-24"/>
          <w:w w:val="105"/>
        </w:rPr>
        <w:t> </w:t>
      </w:r>
      <w:r>
        <w:rPr>
          <w:color w:val="231F20"/>
          <w:w w:val="105"/>
        </w:rPr>
        <w:t>Justicia.</w:t>
      </w:r>
    </w:p>
    <w:p>
      <w:pPr>
        <w:pStyle w:val="BodyText"/>
        <w:spacing w:line="285" w:lineRule="auto" w:before="1"/>
        <w:ind w:left="677" w:right="4089"/>
      </w:pPr>
      <w:r>
        <w:rPr>
          <w:color w:val="231F20"/>
          <w:w w:val="105"/>
        </w:rPr>
        <w:t>Derechos Humanos. </w:t>
      </w:r>
      <w:r>
        <w:rPr>
          <w:color w:val="231F20"/>
        </w:rPr>
        <w:t>Protección Civil.</w:t>
      </w:r>
    </w:p>
    <w:p>
      <w:pPr>
        <w:spacing w:after="0" w:line="285" w:lineRule="auto"/>
        <w:sectPr>
          <w:pgSz w:w="9640" w:h="12190"/>
          <w:pgMar w:header="0" w:footer="743" w:top="1120" w:bottom="940" w:left="740" w:right="1340"/>
        </w:sectPr>
      </w:pPr>
    </w:p>
    <w:p>
      <w:pPr>
        <w:pStyle w:val="BodyText"/>
        <w:spacing w:before="3"/>
        <w:rPr>
          <w:sz w:val="11"/>
        </w:rPr>
      </w:pPr>
    </w:p>
    <w:p>
      <w:pPr>
        <w:pStyle w:val="BodyText"/>
        <w:spacing w:line="285" w:lineRule="auto" w:before="36"/>
        <w:ind w:left="110" w:right="574"/>
      </w:pPr>
      <w:r>
        <w:rPr>
          <w:color w:val="231F20"/>
          <w:w w:val="105"/>
        </w:rPr>
        <w:t>Administración</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Procesos</w:t>
      </w:r>
      <w:r>
        <w:rPr>
          <w:color w:val="231F20"/>
          <w:spacing w:val="-19"/>
          <w:w w:val="105"/>
        </w:rPr>
        <w:t> </w:t>
      </w:r>
      <w:r>
        <w:rPr>
          <w:color w:val="231F20"/>
          <w:w w:val="105"/>
        </w:rPr>
        <w:t>de</w:t>
      </w:r>
      <w:r>
        <w:rPr>
          <w:color w:val="231F20"/>
          <w:spacing w:val="-19"/>
          <w:w w:val="105"/>
        </w:rPr>
        <w:t> </w:t>
      </w:r>
      <w:r>
        <w:rPr>
          <w:color w:val="231F20"/>
          <w:w w:val="105"/>
        </w:rPr>
        <w:t>Gestión</w:t>
      </w:r>
      <w:r>
        <w:rPr>
          <w:color w:val="231F20"/>
          <w:spacing w:val="-19"/>
          <w:w w:val="105"/>
        </w:rPr>
        <w:t> </w:t>
      </w:r>
      <w:r>
        <w:rPr>
          <w:color w:val="231F20"/>
          <w:w w:val="105"/>
        </w:rPr>
        <w:t>Pública</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Servicio</w:t>
      </w:r>
      <w:r>
        <w:rPr>
          <w:color w:val="231F20"/>
          <w:spacing w:val="-19"/>
          <w:w w:val="105"/>
        </w:rPr>
        <w:t> </w:t>
      </w:r>
      <w:r>
        <w:rPr>
          <w:color w:val="231F20"/>
          <w:w w:val="105"/>
        </w:rPr>
        <w:t>Públicos Estructura Administrativa del Gobierno</w:t>
      </w:r>
      <w:r>
        <w:rPr>
          <w:color w:val="231F20"/>
          <w:spacing w:val="-22"/>
          <w:w w:val="105"/>
        </w:rPr>
        <w:t> </w:t>
      </w:r>
      <w:r>
        <w:rPr>
          <w:color w:val="231F20"/>
          <w:w w:val="105"/>
        </w:rPr>
        <w:t>Municipal.</w:t>
      </w:r>
    </w:p>
    <w:p>
      <w:pPr>
        <w:pStyle w:val="BodyText"/>
        <w:spacing w:before="1"/>
        <w:ind w:left="110" w:right="574"/>
      </w:pPr>
      <w:r>
        <w:rPr>
          <w:color w:val="231F20"/>
          <w:w w:val="105"/>
        </w:rPr>
        <w:t>Manual de Organización y Procedimientos.</w:t>
      </w:r>
    </w:p>
    <w:p>
      <w:pPr>
        <w:pStyle w:val="BodyText"/>
        <w:spacing w:line="285" w:lineRule="auto" w:before="47"/>
        <w:ind w:left="110" w:right="1712"/>
      </w:pPr>
      <w:r>
        <w:rPr>
          <w:color w:val="231F20"/>
          <w:w w:val="105"/>
        </w:rPr>
        <w:t>Perfil</w:t>
      </w:r>
      <w:r>
        <w:rPr>
          <w:color w:val="231F20"/>
          <w:spacing w:val="-25"/>
          <w:w w:val="105"/>
        </w:rPr>
        <w:t> </w:t>
      </w:r>
      <w:r>
        <w:rPr>
          <w:color w:val="231F20"/>
          <w:spacing w:val="-3"/>
          <w:w w:val="105"/>
        </w:rPr>
        <w:t>Técnico</w:t>
      </w:r>
      <w:r>
        <w:rPr>
          <w:color w:val="231F20"/>
          <w:spacing w:val="-25"/>
          <w:w w:val="105"/>
        </w:rPr>
        <w:t> </w:t>
      </w:r>
      <w:r>
        <w:rPr>
          <w:color w:val="231F20"/>
          <w:w w:val="105"/>
        </w:rPr>
        <w:t>Profesional</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Servidores</w:t>
      </w:r>
      <w:r>
        <w:rPr>
          <w:color w:val="231F20"/>
          <w:spacing w:val="-25"/>
          <w:w w:val="105"/>
        </w:rPr>
        <w:t> </w:t>
      </w:r>
      <w:r>
        <w:rPr>
          <w:color w:val="231F20"/>
          <w:w w:val="105"/>
        </w:rPr>
        <w:t>Públicos</w:t>
      </w:r>
      <w:r>
        <w:rPr>
          <w:color w:val="231F20"/>
          <w:spacing w:val="-25"/>
          <w:w w:val="105"/>
        </w:rPr>
        <w:t> </w:t>
      </w:r>
      <w:r>
        <w:rPr>
          <w:color w:val="231F20"/>
          <w:w w:val="105"/>
        </w:rPr>
        <w:t>Municipales. Mecanismos</w:t>
      </w:r>
      <w:r>
        <w:rPr>
          <w:color w:val="231F20"/>
          <w:spacing w:val="-15"/>
          <w:w w:val="105"/>
        </w:rPr>
        <w:t> </w:t>
      </w:r>
      <w:r>
        <w:rPr>
          <w:color w:val="231F20"/>
          <w:w w:val="105"/>
        </w:rPr>
        <w:t>Permanentes</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Participación</w:t>
      </w:r>
      <w:r>
        <w:rPr>
          <w:color w:val="231F20"/>
          <w:spacing w:val="-15"/>
          <w:w w:val="105"/>
        </w:rPr>
        <w:t> </w:t>
      </w:r>
      <w:r>
        <w:rPr>
          <w:color w:val="231F20"/>
          <w:w w:val="105"/>
        </w:rPr>
        <w:t>Social.</w:t>
      </w:r>
    </w:p>
    <w:p>
      <w:pPr>
        <w:pStyle w:val="BodyText"/>
        <w:spacing w:line="285" w:lineRule="auto" w:before="1"/>
        <w:ind w:left="110" w:right="4568"/>
      </w:pPr>
      <w:r>
        <w:rPr>
          <w:color w:val="231F20"/>
          <w:w w:val="105"/>
        </w:rPr>
        <w:t>Reglamentación Municipal. Financiamiento para el Desarrollo. Autonomía Financiera.</w:t>
      </w:r>
    </w:p>
    <w:p>
      <w:pPr>
        <w:pStyle w:val="BodyText"/>
        <w:spacing w:line="285" w:lineRule="auto" w:before="1"/>
        <w:ind w:left="110" w:right="4148"/>
      </w:pPr>
      <w:r>
        <w:rPr>
          <w:color w:val="231F20"/>
          <w:w w:val="105"/>
        </w:rPr>
        <w:t>Recaudación y Padrón de Contribuyentes. Estructura de Egresos.</w:t>
      </w:r>
    </w:p>
    <w:p>
      <w:pPr>
        <w:spacing w:before="53"/>
        <w:ind w:left="0" w:right="108" w:firstLine="0"/>
        <w:jc w:val="right"/>
        <w:rPr>
          <w:rFonts w:ascii="Calibri"/>
          <w:sz w:val="16"/>
        </w:rPr>
      </w:pPr>
      <w:r>
        <w:rPr>
          <w:rFonts w:ascii="Calibri"/>
          <w:color w:val="231F20"/>
          <w:w w:val="95"/>
          <w:sz w:val="16"/>
        </w:rPr>
        <w:t>Fuente: Plan; 2007: 130-139.</w:t>
      </w:r>
    </w:p>
    <w:p>
      <w:pPr>
        <w:pStyle w:val="BodyText"/>
        <w:rPr>
          <w:rFonts w:ascii="Calibri"/>
          <w:sz w:val="16"/>
        </w:rPr>
      </w:pPr>
    </w:p>
    <w:p>
      <w:pPr>
        <w:pStyle w:val="BodyText"/>
        <w:spacing w:before="9"/>
        <w:rPr>
          <w:rFonts w:ascii="Calibri"/>
          <w:sz w:val="12"/>
        </w:rPr>
      </w:pPr>
    </w:p>
    <w:p>
      <w:pPr>
        <w:pStyle w:val="BodyText"/>
        <w:spacing w:before="1"/>
        <w:ind w:left="110"/>
        <w:jc w:val="both"/>
      </w:pPr>
      <w:r>
        <w:rPr>
          <w:color w:val="231F20"/>
          <w:w w:val="105"/>
        </w:rPr>
        <w:t>Los  ingresos  con  que  contaba  el  municipio  para  el  año  2008  son  del  orden de</w:t>
      </w:r>
    </w:p>
    <w:p>
      <w:pPr>
        <w:pStyle w:val="BodyText"/>
        <w:spacing w:line="285" w:lineRule="auto" w:before="47"/>
        <w:ind w:left="110" w:right="108"/>
        <w:jc w:val="both"/>
      </w:pPr>
      <w:r>
        <w:rPr>
          <w:color w:val="231F20"/>
        </w:rPr>
        <w:t>$685’581,554.45, de los que el 68.4% son federales y se asignan a obra pública el 27.3%, quedando en el gasto corriente el mayor porcentaje de los egresos (68.1%), el resto se aplica a los servicios de deuda pública.</w:t>
      </w:r>
    </w:p>
    <w:p>
      <w:pPr>
        <w:pStyle w:val="BodyText"/>
        <w:spacing w:before="1"/>
        <w:rPr>
          <w:sz w:val="26"/>
        </w:rPr>
      </w:pPr>
    </w:p>
    <w:p>
      <w:pPr>
        <w:pStyle w:val="BodyText"/>
        <w:spacing w:line="285" w:lineRule="auto"/>
        <w:ind w:left="110" w:right="107"/>
        <w:jc w:val="both"/>
      </w:pPr>
      <w:r>
        <w:rPr>
          <w:color w:val="231F20"/>
          <w:w w:val="105"/>
        </w:rPr>
        <w:t>La idea básica de Antorcha Popular es hablar de un nuevo Chimalhuacán en </w:t>
      </w:r>
      <w:r>
        <w:rPr>
          <w:color w:val="231F20"/>
          <w:spacing w:val="-3"/>
          <w:w w:val="105"/>
        </w:rPr>
        <w:t>donde   </w:t>
      </w:r>
      <w:r>
        <w:rPr>
          <w:color w:val="231F20"/>
          <w:w w:val="105"/>
        </w:rPr>
        <w:t>se ha concluido con el cacicazgo de la señora Guadalupe Buendía, cambiar la imagen de esta localidad y darle un cariz eminentemente de control político por parte de esta agrupación,</w:t>
      </w:r>
      <w:r>
        <w:rPr>
          <w:color w:val="231F20"/>
          <w:spacing w:val="-6"/>
          <w:w w:val="105"/>
        </w:rPr>
        <w:t> </w:t>
      </w:r>
      <w:r>
        <w:rPr>
          <w:color w:val="231F20"/>
          <w:w w:val="105"/>
        </w:rPr>
        <w:t>así</w:t>
      </w:r>
      <w:r>
        <w:rPr>
          <w:color w:val="231F20"/>
          <w:spacing w:val="-6"/>
          <w:w w:val="105"/>
        </w:rPr>
        <w:t> </w:t>
      </w:r>
      <w:r>
        <w:rPr>
          <w:color w:val="231F20"/>
          <w:w w:val="105"/>
        </w:rPr>
        <w:t>lo</w:t>
      </w:r>
      <w:r>
        <w:rPr>
          <w:color w:val="231F20"/>
          <w:spacing w:val="-6"/>
          <w:w w:val="105"/>
        </w:rPr>
        <w:t> </w:t>
      </w:r>
      <w:r>
        <w:rPr>
          <w:color w:val="231F20"/>
          <w:w w:val="105"/>
        </w:rPr>
        <w:t>pretende</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Plan</w:t>
      </w:r>
      <w:r>
        <w:rPr>
          <w:color w:val="231F20"/>
          <w:spacing w:val="-6"/>
          <w:w w:val="105"/>
        </w:rPr>
        <w:t> </w:t>
      </w:r>
      <w:r>
        <w:rPr>
          <w:color w:val="231F20"/>
          <w:w w:val="105"/>
        </w:rPr>
        <w:t>Municipal</w:t>
      </w:r>
      <w:r>
        <w:rPr>
          <w:color w:val="231F20"/>
          <w:spacing w:val="-6"/>
          <w:w w:val="105"/>
        </w:rPr>
        <w:t> </w:t>
      </w:r>
      <w:r>
        <w:rPr>
          <w:color w:val="231F20"/>
          <w:w w:val="105"/>
        </w:rPr>
        <w:t>de</w:t>
      </w:r>
      <w:r>
        <w:rPr>
          <w:color w:val="231F20"/>
          <w:spacing w:val="-6"/>
          <w:w w:val="105"/>
        </w:rPr>
        <w:t> </w:t>
      </w:r>
      <w:r>
        <w:rPr>
          <w:color w:val="231F20"/>
          <w:w w:val="105"/>
        </w:rPr>
        <w:t>Desarrollo</w:t>
      </w:r>
      <w:r>
        <w:rPr>
          <w:color w:val="231F20"/>
          <w:spacing w:val="-6"/>
          <w:w w:val="105"/>
        </w:rPr>
        <w:t> </w:t>
      </w:r>
      <w:r>
        <w:rPr>
          <w:color w:val="231F20"/>
          <w:w w:val="105"/>
        </w:rPr>
        <w:t>el</w:t>
      </w:r>
      <w:r>
        <w:rPr>
          <w:color w:val="231F20"/>
          <w:spacing w:val="-6"/>
          <w:w w:val="105"/>
        </w:rPr>
        <w:t> </w:t>
      </w:r>
      <w:r>
        <w:rPr>
          <w:color w:val="231F20"/>
          <w:w w:val="105"/>
        </w:rPr>
        <w:t>cual</w:t>
      </w:r>
      <w:r>
        <w:rPr>
          <w:color w:val="231F20"/>
          <w:spacing w:val="-6"/>
          <w:w w:val="105"/>
        </w:rPr>
        <w:t> </w:t>
      </w:r>
      <w:r>
        <w:rPr>
          <w:color w:val="231F20"/>
          <w:w w:val="105"/>
        </w:rPr>
        <w:t>manifiesta</w:t>
      </w:r>
      <w:r>
        <w:rPr>
          <w:color w:val="231F20"/>
          <w:spacing w:val="-6"/>
          <w:w w:val="105"/>
        </w:rPr>
        <w:t> </w:t>
      </w:r>
      <w:r>
        <w:rPr>
          <w:color w:val="231F20"/>
          <w:w w:val="105"/>
        </w:rPr>
        <w:t>que se</w:t>
      </w:r>
      <w:r>
        <w:rPr>
          <w:color w:val="231F20"/>
          <w:spacing w:val="-12"/>
          <w:w w:val="105"/>
        </w:rPr>
        <w:t> </w:t>
      </w:r>
      <w:r>
        <w:rPr>
          <w:color w:val="231F20"/>
          <w:w w:val="105"/>
        </w:rPr>
        <w:t>toman</w:t>
      </w:r>
      <w:r>
        <w:rPr>
          <w:color w:val="231F20"/>
          <w:spacing w:val="-12"/>
          <w:w w:val="105"/>
        </w:rPr>
        <w:t> </w:t>
      </w:r>
      <w:r>
        <w:rPr>
          <w:color w:val="231F20"/>
          <w:w w:val="105"/>
        </w:rPr>
        <w:t>en</w:t>
      </w:r>
      <w:r>
        <w:rPr>
          <w:color w:val="231F20"/>
          <w:spacing w:val="-12"/>
          <w:w w:val="105"/>
        </w:rPr>
        <w:t> </w:t>
      </w:r>
      <w:r>
        <w:rPr>
          <w:color w:val="231F20"/>
          <w:w w:val="105"/>
        </w:rPr>
        <w:t>cuenta</w:t>
      </w:r>
      <w:r>
        <w:rPr>
          <w:color w:val="231F20"/>
          <w:spacing w:val="-12"/>
          <w:w w:val="105"/>
        </w:rPr>
        <w:t> </w:t>
      </w:r>
      <w:r>
        <w:rPr>
          <w:color w:val="231F20"/>
          <w:w w:val="105"/>
        </w:rPr>
        <w:t>todas</w:t>
      </w:r>
      <w:r>
        <w:rPr>
          <w:color w:val="231F20"/>
          <w:spacing w:val="-12"/>
          <w:w w:val="105"/>
        </w:rPr>
        <w:t> </w:t>
      </w:r>
      <w:r>
        <w:rPr>
          <w:color w:val="231F20"/>
          <w:w w:val="105"/>
        </w:rPr>
        <w:t>las</w:t>
      </w:r>
      <w:r>
        <w:rPr>
          <w:color w:val="231F20"/>
          <w:spacing w:val="-12"/>
          <w:w w:val="105"/>
        </w:rPr>
        <w:t> </w:t>
      </w:r>
      <w:r>
        <w:rPr>
          <w:color w:val="231F20"/>
          <w:w w:val="105"/>
        </w:rPr>
        <w:t>corrientes</w:t>
      </w:r>
      <w:r>
        <w:rPr>
          <w:color w:val="231F20"/>
          <w:spacing w:val="-12"/>
          <w:w w:val="105"/>
        </w:rPr>
        <w:t> </w:t>
      </w:r>
      <w:r>
        <w:rPr>
          <w:color w:val="231F20"/>
          <w:w w:val="105"/>
        </w:rPr>
        <w:t>de</w:t>
      </w:r>
      <w:r>
        <w:rPr>
          <w:color w:val="231F20"/>
          <w:spacing w:val="-12"/>
          <w:w w:val="105"/>
        </w:rPr>
        <w:t> </w:t>
      </w:r>
      <w:r>
        <w:rPr>
          <w:color w:val="231F20"/>
          <w:w w:val="105"/>
        </w:rPr>
        <w:t>pensamiento</w:t>
      </w:r>
      <w:r>
        <w:rPr>
          <w:color w:val="231F20"/>
          <w:spacing w:val="-12"/>
          <w:w w:val="105"/>
        </w:rPr>
        <w:t> </w:t>
      </w:r>
      <w:r>
        <w:rPr>
          <w:color w:val="231F20"/>
          <w:w w:val="105"/>
        </w:rPr>
        <w:t>de</w:t>
      </w:r>
      <w:r>
        <w:rPr>
          <w:color w:val="231F20"/>
          <w:spacing w:val="-12"/>
          <w:w w:val="105"/>
        </w:rPr>
        <w:t> </w:t>
      </w:r>
      <w:r>
        <w:rPr>
          <w:color w:val="231F20"/>
          <w:w w:val="105"/>
        </w:rPr>
        <w:t>Chimalhuacán,</w:t>
      </w:r>
      <w:r>
        <w:rPr>
          <w:color w:val="231F20"/>
          <w:spacing w:val="-12"/>
          <w:w w:val="105"/>
        </w:rPr>
        <w:t> </w:t>
      </w:r>
      <w:r>
        <w:rPr>
          <w:color w:val="231F20"/>
          <w:w w:val="105"/>
        </w:rPr>
        <w:t>discurso</w:t>
      </w:r>
      <w:r>
        <w:rPr>
          <w:color w:val="231F20"/>
          <w:spacing w:val="-12"/>
          <w:w w:val="105"/>
        </w:rPr>
        <w:t> </w:t>
      </w:r>
      <w:r>
        <w:rPr>
          <w:color w:val="231F20"/>
          <w:w w:val="105"/>
        </w:rPr>
        <w:t>que tiende</w:t>
      </w:r>
      <w:r>
        <w:rPr>
          <w:color w:val="231F20"/>
          <w:spacing w:val="-11"/>
          <w:w w:val="105"/>
        </w:rPr>
        <w:t> </w:t>
      </w:r>
      <w:r>
        <w:rPr>
          <w:color w:val="231F20"/>
          <w:w w:val="105"/>
        </w:rPr>
        <w:t>a</w:t>
      </w:r>
      <w:r>
        <w:rPr>
          <w:color w:val="231F20"/>
          <w:spacing w:val="-11"/>
          <w:w w:val="105"/>
        </w:rPr>
        <w:t> </w:t>
      </w:r>
      <w:r>
        <w:rPr>
          <w:color w:val="231F20"/>
          <w:w w:val="105"/>
        </w:rPr>
        <w:t>resaltar</w:t>
      </w:r>
      <w:r>
        <w:rPr>
          <w:color w:val="231F20"/>
          <w:spacing w:val="-11"/>
          <w:w w:val="105"/>
        </w:rPr>
        <w:t> </w:t>
      </w:r>
      <w:r>
        <w:rPr>
          <w:color w:val="231F20"/>
          <w:w w:val="105"/>
        </w:rPr>
        <w:t>“una</w:t>
      </w:r>
      <w:r>
        <w:rPr>
          <w:color w:val="231F20"/>
          <w:spacing w:val="-11"/>
          <w:w w:val="105"/>
        </w:rPr>
        <w:t> </w:t>
      </w:r>
      <w:r>
        <w:rPr>
          <w:color w:val="231F20"/>
          <w:w w:val="105"/>
        </w:rPr>
        <w:t>estrategia</w:t>
      </w:r>
      <w:r>
        <w:rPr>
          <w:color w:val="231F20"/>
          <w:spacing w:val="-11"/>
          <w:w w:val="105"/>
        </w:rPr>
        <w:t> </w:t>
      </w:r>
      <w:r>
        <w:rPr>
          <w:color w:val="231F20"/>
          <w:w w:val="105"/>
        </w:rPr>
        <w:t>de</w:t>
      </w:r>
      <w:r>
        <w:rPr>
          <w:color w:val="231F20"/>
          <w:spacing w:val="-11"/>
          <w:w w:val="105"/>
        </w:rPr>
        <w:t> </w:t>
      </w:r>
      <w:r>
        <w:rPr>
          <w:color w:val="231F20"/>
          <w:w w:val="105"/>
        </w:rPr>
        <w:t>desarrollo</w:t>
      </w:r>
      <w:r>
        <w:rPr>
          <w:color w:val="231F20"/>
          <w:spacing w:val="-11"/>
          <w:w w:val="105"/>
        </w:rPr>
        <w:t> </w:t>
      </w:r>
      <w:r>
        <w:rPr>
          <w:color w:val="231F20"/>
          <w:w w:val="105"/>
        </w:rPr>
        <w:t>basada</w:t>
      </w:r>
      <w:r>
        <w:rPr>
          <w:color w:val="231F20"/>
          <w:spacing w:val="-11"/>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w w:val="105"/>
        </w:rPr>
        <w:t>gobierno</w:t>
      </w:r>
      <w:r>
        <w:rPr>
          <w:color w:val="231F20"/>
          <w:spacing w:val="-11"/>
          <w:w w:val="105"/>
        </w:rPr>
        <w:t> </w:t>
      </w:r>
      <w:r>
        <w:rPr>
          <w:color w:val="231F20"/>
          <w:w w:val="105"/>
        </w:rPr>
        <w:t>municipal</w:t>
      </w:r>
      <w:r>
        <w:rPr>
          <w:color w:val="231F20"/>
          <w:spacing w:val="-11"/>
          <w:w w:val="105"/>
        </w:rPr>
        <w:t> </w:t>
      </w:r>
      <w:r>
        <w:rPr>
          <w:color w:val="231F20"/>
          <w:w w:val="105"/>
        </w:rPr>
        <w:t>respon- sable</w:t>
      </w:r>
      <w:r>
        <w:rPr>
          <w:color w:val="231F20"/>
          <w:spacing w:val="-10"/>
          <w:w w:val="105"/>
        </w:rPr>
        <w:t> </w:t>
      </w:r>
      <w:r>
        <w:rPr>
          <w:color w:val="231F20"/>
          <w:w w:val="105"/>
        </w:rPr>
        <w:t>y</w:t>
      </w:r>
      <w:r>
        <w:rPr>
          <w:color w:val="231F20"/>
          <w:spacing w:val="-10"/>
          <w:w w:val="105"/>
        </w:rPr>
        <w:t> </w:t>
      </w:r>
      <w:r>
        <w:rPr>
          <w:color w:val="231F20"/>
          <w:w w:val="105"/>
        </w:rPr>
        <w:t>moderno,</w:t>
      </w:r>
      <w:r>
        <w:rPr>
          <w:color w:val="231F20"/>
          <w:spacing w:val="-10"/>
          <w:w w:val="105"/>
        </w:rPr>
        <w:t> </w:t>
      </w:r>
      <w:r>
        <w:rPr>
          <w:color w:val="231F20"/>
          <w:w w:val="105"/>
        </w:rPr>
        <w:t>capaz</w:t>
      </w:r>
      <w:r>
        <w:rPr>
          <w:color w:val="231F20"/>
          <w:spacing w:val="-10"/>
          <w:w w:val="105"/>
        </w:rPr>
        <w:t> </w:t>
      </w:r>
      <w:r>
        <w:rPr>
          <w:color w:val="231F20"/>
          <w:w w:val="105"/>
        </w:rPr>
        <w:t>de</w:t>
      </w:r>
      <w:r>
        <w:rPr>
          <w:color w:val="231F20"/>
          <w:spacing w:val="-10"/>
          <w:w w:val="105"/>
        </w:rPr>
        <w:t> </w:t>
      </w:r>
      <w:r>
        <w:rPr>
          <w:color w:val="231F20"/>
          <w:w w:val="105"/>
        </w:rPr>
        <w:t>propiciar</w:t>
      </w:r>
      <w:r>
        <w:rPr>
          <w:color w:val="231F20"/>
          <w:spacing w:val="-10"/>
          <w:w w:val="105"/>
        </w:rPr>
        <w:t> </w:t>
      </w:r>
      <w:r>
        <w:rPr>
          <w:color w:val="231F20"/>
          <w:w w:val="105"/>
        </w:rPr>
        <w:t>e</w:t>
      </w:r>
      <w:r>
        <w:rPr>
          <w:color w:val="231F20"/>
          <w:spacing w:val="-10"/>
          <w:w w:val="105"/>
        </w:rPr>
        <w:t> </w:t>
      </w:r>
      <w:r>
        <w:rPr>
          <w:color w:val="231F20"/>
          <w:w w:val="105"/>
        </w:rPr>
        <w:t>impulsar</w:t>
      </w:r>
      <w:r>
        <w:rPr>
          <w:color w:val="231F20"/>
          <w:spacing w:val="-10"/>
          <w:w w:val="105"/>
        </w:rPr>
        <w:t> </w:t>
      </w:r>
      <w:r>
        <w:rPr>
          <w:color w:val="231F20"/>
          <w:w w:val="105"/>
        </w:rPr>
        <w:t>un</w:t>
      </w:r>
      <w:r>
        <w:rPr>
          <w:color w:val="231F20"/>
          <w:spacing w:val="-10"/>
          <w:w w:val="105"/>
        </w:rPr>
        <w:t> </w:t>
      </w:r>
      <w:r>
        <w:rPr>
          <w:color w:val="231F20"/>
          <w:w w:val="105"/>
        </w:rPr>
        <w:t>ambiente</w:t>
      </w:r>
      <w:r>
        <w:rPr>
          <w:color w:val="231F20"/>
          <w:spacing w:val="-10"/>
          <w:w w:val="105"/>
        </w:rPr>
        <w:t> </w:t>
      </w:r>
      <w:r>
        <w:rPr>
          <w:color w:val="231F20"/>
          <w:w w:val="105"/>
        </w:rPr>
        <w:t>de</w:t>
      </w:r>
      <w:r>
        <w:rPr>
          <w:color w:val="231F20"/>
          <w:spacing w:val="-10"/>
          <w:w w:val="105"/>
        </w:rPr>
        <w:t> </w:t>
      </w:r>
      <w:r>
        <w:rPr>
          <w:color w:val="231F20"/>
          <w:w w:val="105"/>
        </w:rPr>
        <w:t>acuerdos</w:t>
      </w:r>
      <w:r>
        <w:rPr>
          <w:color w:val="231F20"/>
          <w:spacing w:val="-10"/>
          <w:w w:val="105"/>
        </w:rPr>
        <w:t> </w:t>
      </w:r>
      <w:r>
        <w:rPr>
          <w:color w:val="231F20"/>
          <w:w w:val="105"/>
        </w:rPr>
        <w:t>y</w:t>
      </w:r>
      <w:r>
        <w:rPr>
          <w:color w:val="231F20"/>
          <w:spacing w:val="-10"/>
          <w:w w:val="105"/>
        </w:rPr>
        <w:t> </w:t>
      </w:r>
      <w:r>
        <w:rPr>
          <w:color w:val="231F20"/>
          <w:w w:val="105"/>
        </w:rPr>
        <w:t>consensos:” </w:t>
      </w:r>
      <w:r>
        <w:rPr>
          <w:color w:val="231F20"/>
        </w:rPr>
        <w:t>(Plan; 2007:</w:t>
      </w:r>
      <w:r>
        <w:rPr>
          <w:color w:val="231F20"/>
          <w:spacing w:val="-29"/>
        </w:rPr>
        <w:t> </w:t>
      </w:r>
      <w:r>
        <w:rPr>
          <w:color w:val="231F20"/>
          <w:spacing w:val="-7"/>
        </w:rPr>
        <w:t>21).</w:t>
      </w:r>
    </w:p>
    <w:p>
      <w:pPr>
        <w:pStyle w:val="BodyText"/>
        <w:spacing w:before="1"/>
        <w:rPr>
          <w:sz w:val="26"/>
        </w:rPr>
      </w:pPr>
    </w:p>
    <w:p>
      <w:pPr>
        <w:pStyle w:val="BodyText"/>
        <w:spacing w:line="285" w:lineRule="auto"/>
        <w:ind w:left="677" w:right="108"/>
        <w:jc w:val="both"/>
      </w:pPr>
      <w:r>
        <w:rPr>
          <w:color w:val="231F20"/>
          <w:spacing w:val="-5"/>
          <w:w w:val="105"/>
        </w:rPr>
        <w:t>Vemos</w:t>
      </w:r>
      <w:r>
        <w:rPr>
          <w:color w:val="231F20"/>
          <w:spacing w:val="-9"/>
          <w:w w:val="105"/>
        </w:rPr>
        <w:t> </w:t>
      </w:r>
      <w:r>
        <w:rPr>
          <w:color w:val="231F20"/>
          <w:w w:val="105"/>
        </w:rPr>
        <w:t>como</w:t>
      </w:r>
      <w:r>
        <w:rPr>
          <w:color w:val="231F20"/>
          <w:spacing w:val="-9"/>
          <w:w w:val="105"/>
        </w:rPr>
        <w:t> </w:t>
      </w:r>
      <w:r>
        <w:rPr>
          <w:color w:val="231F20"/>
          <w:w w:val="105"/>
        </w:rPr>
        <w:t>se</w:t>
      </w:r>
      <w:r>
        <w:rPr>
          <w:color w:val="231F20"/>
          <w:spacing w:val="-9"/>
          <w:w w:val="105"/>
        </w:rPr>
        <w:t> </w:t>
      </w:r>
      <w:r>
        <w:rPr>
          <w:color w:val="231F20"/>
          <w:w w:val="105"/>
        </w:rPr>
        <w:t>adjudica</w:t>
      </w:r>
      <w:r>
        <w:rPr>
          <w:color w:val="231F20"/>
          <w:spacing w:val="-9"/>
          <w:w w:val="105"/>
        </w:rPr>
        <w:t> </w:t>
      </w:r>
      <w:r>
        <w:rPr>
          <w:color w:val="231F20"/>
          <w:spacing w:val="2"/>
          <w:w w:val="105"/>
        </w:rPr>
        <w:t>al</w:t>
      </w:r>
      <w:r>
        <w:rPr>
          <w:color w:val="231F20"/>
          <w:spacing w:val="-9"/>
          <w:w w:val="105"/>
        </w:rPr>
        <w:t> </w:t>
      </w:r>
      <w:r>
        <w:rPr>
          <w:color w:val="231F20"/>
          <w:w w:val="105"/>
        </w:rPr>
        <w:t>gobierno</w:t>
      </w:r>
      <w:r>
        <w:rPr>
          <w:color w:val="231F20"/>
          <w:spacing w:val="-9"/>
          <w:w w:val="105"/>
        </w:rPr>
        <w:t> </w:t>
      </w:r>
      <w:r>
        <w:rPr>
          <w:color w:val="231F20"/>
          <w:w w:val="105"/>
        </w:rPr>
        <w:t>municipal</w:t>
      </w:r>
      <w:r>
        <w:rPr>
          <w:color w:val="231F20"/>
          <w:spacing w:val="-9"/>
          <w:w w:val="105"/>
        </w:rPr>
        <w:t> </w:t>
      </w:r>
      <w:r>
        <w:rPr>
          <w:color w:val="231F20"/>
          <w:w w:val="105"/>
        </w:rPr>
        <w:t>la</w:t>
      </w:r>
      <w:r>
        <w:rPr>
          <w:color w:val="231F20"/>
          <w:spacing w:val="-9"/>
          <w:w w:val="105"/>
        </w:rPr>
        <w:t> </w:t>
      </w:r>
      <w:r>
        <w:rPr>
          <w:color w:val="231F20"/>
          <w:w w:val="105"/>
        </w:rPr>
        <w:t>realización</w:t>
      </w:r>
      <w:r>
        <w:rPr>
          <w:color w:val="231F20"/>
          <w:spacing w:val="-9"/>
          <w:w w:val="105"/>
        </w:rPr>
        <w:t> </w:t>
      </w:r>
      <w:r>
        <w:rPr>
          <w:color w:val="231F20"/>
          <w:w w:val="105"/>
        </w:rPr>
        <w:t>de</w:t>
      </w:r>
      <w:r>
        <w:rPr>
          <w:color w:val="231F20"/>
          <w:spacing w:val="-9"/>
          <w:w w:val="105"/>
        </w:rPr>
        <w:t> </w:t>
      </w:r>
      <w:r>
        <w:rPr>
          <w:color w:val="231F20"/>
          <w:w w:val="105"/>
        </w:rPr>
        <w:t>obras</w:t>
      </w:r>
      <w:r>
        <w:rPr>
          <w:color w:val="231F20"/>
          <w:spacing w:val="-9"/>
          <w:w w:val="105"/>
        </w:rPr>
        <w:t> </w:t>
      </w:r>
      <w:r>
        <w:rPr>
          <w:color w:val="231F20"/>
          <w:w w:val="105"/>
        </w:rPr>
        <w:t>que</w:t>
      </w:r>
      <w:r>
        <w:rPr>
          <w:color w:val="231F20"/>
          <w:spacing w:val="-9"/>
          <w:w w:val="105"/>
        </w:rPr>
        <w:t> </w:t>
      </w:r>
      <w:r>
        <w:rPr>
          <w:color w:val="231F20"/>
          <w:w w:val="105"/>
        </w:rPr>
        <w:t>desa- rrollan tanto el estado como la Federación, presentándolos como hechos de go- bierno</w:t>
      </w:r>
      <w:r>
        <w:rPr>
          <w:color w:val="231F20"/>
          <w:spacing w:val="-21"/>
          <w:w w:val="105"/>
        </w:rPr>
        <w:t> </w:t>
      </w:r>
      <w:r>
        <w:rPr>
          <w:color w:val="231F20"/>
          <w:spacing w:val="-3"/>
          <w:w w:val="105"/>
        </w:rPr>
        <w:t>propios</w:t>
      </w:r>
      <w:r>
        <w:rPr>
          <w:color w:val="231F20"/>
          <w:spacing w:val="-21"/>
          <w:w w:val="105"/>
        </w:rPr>
        <w:t> </w:t>
      </w:r>
      <w:r>
        <w:rPr>
          <w:color w:val="231F20"/>
          <w:w w:val="105"/>
        </w:rPr>
        <w:t>“El</w:t>
      </w:r>
      <w:r>
        <w:rPr>
          <w:color w:val="231F20"/>
          <w:spacing w:val="-21"/>
          <w:w w:val="105"/>
        </w:rPr>
        <w:t> </w:t>
      </w:r>
      <w:r>
        <w:rPr>
          <w:color w:val="231F20"/>
          <w:w w:val="105"/>
        </w:rPr>
        <w:t>H.</w:t>
      </w:r>
      <w:r>
        <w:rPr>
          <w:color w:val="231F20"/>
          <w:spacing w:val="-21"/>
          <w:w w:val="105"/>
        </w:rPr>
        <w:t> </w:t>
      </w:r>
      <w:r>
        <w:rPr>
          <w:color w:val="231F20"/>
          <w:w w:val="105"/>
        </w:rPr>
        <w:t>Ayuntamiento</w:t>
      </w:r>
      <w:r>
        <w:rPr>
          <w:color w:val="231F20"/>
          <w:spacing w:val="-21"/>
          <w:w w:val="105"/>
        </w:rPr>
        <w:t> </w:t>
      </w:r>
      <w:r>
        <w:rPr>
          <w:color w:val="231F20"/>
          <w:w w:val="105"/>
        </w:rPr>
        <w:t>efectuó</w:t>
      </w:r>
      <w:r>
        <w:rPr>
          <w:color w:val="231F20"/>
          <w:spacing w:val="-21"/>
          <w:w w:val="105"/>
        </w:rPr>
        <w:t> </w:t>
      </w:r>
      <w:r>
        <w:rPr>
          <w:color w:val="231F20"/>
          <w:w w:val="105"/>
        </w:rPr>
        <w:t>la</w:t>
      </w:r>
      <w:r>
        <w:rPr>
          <w:color w:val="231F20"/>
          <w:spacing w:val="-21"/>
          <w:w w:val="105"/>
        </w:rPr>
        <w:t> </w:t>
      </w:r>
      <w:r>
        <w:rPr>
          <w:color w:val="231F20"/>
          <w:w w:val="105"/>
        </w:rPr>
        <w:t>donación</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predio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mismo barrio para la construcción de un Hospital Regional de Especialidades, compro- miso firmado por Ud., </w:t>
      </w:r>
      <w:r>
        <w:rPr>
          <w:color w:val="231F20"/>
          <w:spacing w:val="-4"/>
          <w:w w:val="105"/>
        </w:rPr>
        <w:t>Sr. </w:t>
      </w:r>
      <w:r>
        <w:rPr>
          <w:color w:val="231F20"/>
          <w:spacing w:val="-3"/>
          <w:w w:val="105"/>
        </w:rPr>
        <w:t>Gobernador, </w:t>
      </w:r>
      <w:r>
        <w:rPr>
          <w:color w:val="231F20"/>
          <w:w w:val="105"/>
        </w:rPr>
        <w:t>y que estamos informados se   </w:t>
      </w:r>
      <w:r>
        <w:rPr>
          <w:color w:val="231F20"/>
          <w:spacing w:val="8"/>
          <w:w w:val="105"/>
        </w:rPr>
        <w:t> </w:t>
      </w:r>
      <w:r>
        <w:rPr>
          <w:color w:val="231F20"/>
          <w:w w:val="105"/>
        </w:rPr>
        <w:t>ejecutará</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7"/>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2009.”</w:t>
      </w:r>
      <w:r>
        <w:rPr>
          <w:color w:val="231F20"/>
          <w:spacing w:val="-14"/>
          <w:w w:val="105"/>
        </w:rPr>
        <w:t> </w:t>
      </w:r>
      <w:r>
        <w:rPr>
          <w:color w:val="231F20"/>
          <w:w w:val="105"/>
        </w:rPr>
        <w:t>(Informe;</w:t>
      </w:r>
      <w:r>
        <w:rPr>
          <w:color w:val="231F20"/>
          <w:spacing w:val="-14"/>
          <w:w w:val="105"/>
        </w:rPr>
        <w:t> </w:t>
      </w:r>
      <w:r>
        <w:rPr>
          <w:color w:val="231F20"/>
          <w:spacing w:val="2"/>
          <w:w w:val="105"/>
        </w:rPr>
        <w:t>2008:</w:t>
      </w:r>
      <w:r>
        <w:rPr>
          <w:color w:val="231F20"/>
          <w:spacing w:val="-14"/>
          <w:w w:val="105"/>
        </w:rPr>
        <w:t> </w:t>
      </w:r>
      <w:r>
        <w:rPr>
          <w:color w:val="231F20"/>
          <w:spacing w:val="-3"/>
          <w:w w:val="105"/>
        </w:rPr>
        <w:t>03)</w:t>
      </w:r>
      <w:r>
        <w:rPr>
          <w:color w:val="231F20"/>
          <w:spacing w:val="-14"/>
          <w:w w:val="105"/>
        </w:rPr>
        <w:t> </w:t>
      </w:r>
      <w:r>
        <w:rPr>
          <w:color w:val="231F20"/>
          <w:w w:val="105"/>
        </w:rPr>
        <w:t>la</w:t>
      </w:r>
      <w:r>
        <w:rPr>
          <w:color w:val="231F20"/>
          <w:spacing w:val="-14"/>
          <w:w w:val="105"/>
        </w:rPr>
        <w:t> </w:t>
      </w:r>
      <w:r>
        <w:rPr>
          <w:color w:val="231F20"/>
          <w:w w:val="105"/>
        </w:rPr>
        <w:t>ubicación</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obras</w:t>
      </w:r>
      <w:r>
        <w:rPr>
          <w:color w:val="231F20"/>
          <w:spacing w:val="-14"/>
          <w:w w:val="105"/>
        </w:rPr>
        <w:t> </w:t>
      </w:r>
      <w:r>
        <w:rPr>
          <w:color w:val="231F20"/>
          <w:w w:val="105"/>
        </w:rPr>
        <w:t>es</w:t>
      </w:r>
      <w:r>
        <w:rPr>
          <w:color w:val="231F20"/>
          <w:spacing w:val="-14"/>
          <w:w w:val="105"/>
        </w:rPr>
        <w:t> </w:t>
      </w:r>
      <w:r>
        <w:rPr>
          <w:color w:val="231F20"/>
          <w:w w:val="105"/>
        </w:rPr>
        <w:t>de</w:t>
      </w:r>
      <w:r>
        <w:rPr>
          <w:color w:val="231F20"/>
          <w:spacing w:val="-14"/>
          <w:w w:val="105"/>
        </w:rPr>
        <w:t> </w:t>
      </w:r>
      <w:r>
        <w:rPr>
          <w:color w:val="231F20"/>
          <w:w w:val="105"/>
        </w:rPr>
        <w:t>destacarse</w:t>
      </w:r>
      <w:r>
        <w:rPr>
          <w:color w:val="231F20"/>
          <w:spacing w:val="-14"/>
          <w:w w:val="105"/>
        </w:rPr>
        <w:t> </w:t>
      </w:r>
      <w:r>
        <w:rPr>
          <w:color w:val="231F20"/>
          <w:w w:val="105"/>
        </w:rPr>
        <w:t>ya</w:t>
      </w:r>
      <w:r>
        <w:rPr>
          <w:color w:val="231F20"/>
          <w:spacing w:val="-14"/>
          <w:w w:val="105"/>
        </w:rPr>
        <w:t> </w:t>
      </w:r>
      <w:r>
        <w:rPr>
          <w:color w:val="231F20"/>
          <w:w w:val="105"/>
        </w:rPr>
        <w:t>que los barrios elegidos son precisamente aquellos </w:t>
      </w:r>
      <w:r>
        <w:rPr>
          <w:color w:val="231F20"/>
          <w:spacing w:val="-3"/>
          <w:w w:val="105"/>
        </w:rPr>
        <w:t>donde </w:t>
      </w:r>
      <w:r>
        <w:rPr>
          <w:color w:val="231F20"/>
          <w:w w:val="105"/>
        </w:rPr>
        <w:t>la influencia de Antorcha Popular es</w:t>
      </w:r>
      <w:r>
        <w:rPr>
          <w:color w:val="231F20"/>
          <w:spacing w:val="-37"/>
          <w:w w:val="105"/>
        </w:rPr>
        <w:t> </w:t>
      </w:r>
      <w:r>
        <w:rPr>
          <w:color w:val="231F20"/>
          <w:w w:val="105"/>
        </w:rPr>
        <w:t>superior.</w:t>
      </w:r>
    </w:p>
    <w:p>
      <w:pPr>
        <w:pStyle w:val="BodyText"/>
        <w:spacing w:before="1"/>
        <w:rPr>
          <w:sz w:val="26"/>
        </w:rPr>
      </w:pPr>
    </w:p>
    <w:p>
      <w:pPr>
        <w:pStyle w:val="BodyText"/>
        <w:spacing w:line="285" w:lineRule="auto"/>
        <w:ind w:left="110" w:right="108"/>
        <w:jc w:val="both"/>
      </w:pPr>
      <w:r>
        <w:rPr>
          <w:color w:val="231F20"/>
        </w:rPr>
        <w:t>La atención de la autoridad municipal a los diferentes rubros de gobierno se encamina     </w:t>
      </w:r>
      <w:r>
        <w:rPr>
          <w:color w:val="231F20"/>
          <w:spacing w:val="2"/>
        </w:rPr>
        <w:t>al </w:t>
      </w:r>
      <w:r>
        <w:rPr>
          <w:color w:val="231F20"/>
        </w:rPr>
        <w:t>sostenimiento de la hegemonía política del Partido Revolucionario Institucional en   esta localidad </w:t>
      </w:r>
      <w:r>
        <w:rPr>
          <w:color w:val="231F20"/>
          <w:spacing w:val="-7"/>
        </w:rPr>
        <w:t>y, </w:t>
      </w:r>
      <w:r>
        <w:rPr>
          <w:color w:val="231F20"/>
          <w:spacing w:val="2"/>
        </w:rPr>
        <w:t>al </w:t>
      </w:r>
      <w:r>
        <w:rPr>
          <w:color w:val="231F20"/>
        </w:rPr>
        <w:t>mismo tiempo, encauza el impulso del cacicazgo </w:t>
      </w:r>
      <w:r>
        <w:rPr>
          <w:color w:val="231F20"/>
          <w:spacing w:val="2"/>
        </w:rPr>
        <w:t>al </w:t>
      </w:r>
      <w:r>
        <w:rPr>
          <w:color w:val="231F20"/>
        </w:rPr>
        <w:t>interior del </w:t>
      </w:r>
      <w:r>
        <w:rPr>
          <w:color w:val="231F20"/>
          <w:spacing w:val="-3"/>
        </w:rPr>
        <w:t>propio </w:t>
      </w:r>
      <w:r>
        <w:rPr>
          <w:color w:val="231F20"/>
        </w:rPr>
        <w:t>instituto </w:t>
      </w:r>
      <w:r>
        <w:rPr>
          <w:color w:val="231F20"/>
          <w:spacing w:val="18"/>
        </w:rPr>
        <w:t> </w:t>
      </w:r>
      <w:r>
        <w:rPr>
          <w:color w:val="231F20"/>
        </w:rPr>
        <w:t>político.</w:t>
      </w:r>
    </w:p>
    <w:p>
      <w:pPr>
        <w:pStyle w:val="BodyText"/>
        <w:spacing w:before="1"/>
        <w:rPr>
          <w:sz w:val="26"/>
        </w:rPr>
      </w:pPr>
    </w:p>
    <w:p>
      <w:pPr>
        <w:pStyle w:val="BodyText"/>
        <w:spacing w:line="285" w:lineRule="auto"/>
        <w:ind w:left="110" w:right="107"/>
        <w:jc w:val="both"/>
      </w:pPr>
      <w:r>
        <w:rPr>
          <w:color w:val="231F20"/>
          <w:w w:val="105"/>
        </w:rPr>
        <w:t>Las propuestas de programas de beneficio social se reciben en primer término por la autoridad</w:t>
      </w:r>
      <w:r>
        <w:rPr>
          <w:color w:val="231F20"/>
          <w:spacing w:val="-4"/>
          <w:w w:val="105"/>
        </w:rPr>
        <w:t> </w:t>
      </w:r>
      <w:r>
        <w:rPr>
          <w:color w:val="231F20"/>
          <w:w w:val="105"/>
        </w:rPr>
        <w:t>municipal</w:t>
      </w:r>
      <w:r>
        <w:rPr>
          <w:color w:val="231F20"/>
          <w:spacing w:val="-4"/>
          <w:w w:val="105"/>
        </w:rPr>
        <w:t> </w:t>
      </w:r>
      <w:r>
        <w:rPr>
          <w:color w:val="231F20"/>
          <w:w w:val="105"/>
        </w:rPr>
        <w:t>que</w:t>
      </w:r>
      <w:r>
        <w:rPr>
          <w:color w:val="231F20"/>
          <w:spacing w:val="-4"/>
          <w:w w:val="105"/>
        </w:rPr>
        <w:t> </w:t>
      </w:r>
      <w:r>
        <w:rPr>
          <w:color w:val="231F20"/>
          <w:w w:val="105"/>
        </w:rPr>
        <w:t>las</w:t>
      </w:r>
      <w:r>
        <w:rPr>
          <w:color w:val="231F20"/>
          <w:spacing w:val="-4"/>
          <w:w w:val="105"/>
        </w:rPr>
        <w:t> </w:t>
      </w:r>
      <w:r>
        <w:rPr>
          <w:color w:val="231F20"/>
          <w:w w:val="105"/>
        </w:rPr>
        <w:t>dirige</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movimientos</w:t>
      </w:r>
      <w:r>
        <w:rPr>
          <w:color w:val="231F20"/>
          <w:spacing w:val="-4"/>
          <w:w w:val="105"/>
        </w:rPr>
        <w:t> </w:t>
      </w:r>
      <w:r>
        <w:rPr>
          <w:color w:val="231F20"/>
          <w:w w:val="105"/>
        </w:rPr>
        <w:t>sociales</w:t>
      </w:r>
      <w:r>
        <w:rPr>
          <w:color w:val="231F20"/>
          <w:spacing w:val="-4"/>
          <w:w w:val="105"/>
        </w:rPr>
        <w:t> </w:t>
      </w:r>
      <w:r>
        <w:rPr>
          <w:color w:val="231F20"/>
          <w:w w:val="105"/>
        </w:rPr>
        <w:t>que</w:t>
      </w:r>
      <w:r>
        <w:rPr>
          <w:color w:val="231F20"/>
          <w:spacing w:val="-4"/>
          <w:w w:val="105"/>
        </w:rPr>
        <w:t> </w:t>
      </w:r>
      <w:r>
        <w:rPr>
          <w:color w:val="231F20"/>
          <w:w w:val="105"/>
        </w:rPr>
        <w:t>están</w:t>
      </w:r>
      <w:r>
        <w:rPr>
          <w:color w:val="231F20"/>
          <w:spacing w:val="-4"/>
          <w:w w:val="105"/>
        </w:rPr>
        <w:t> </w:t>
      </w:r>
      <w:r>
        <w:rPr>
          <w:color w:val="231F20"/>
          <w:w w:val="105"/>
        </w:rPr>
        <w:t>alojados</w:t>
      </w:r>
      <w:r>
        <w:rPr>
          <w:color w:val="231F20"/>
          <w:spacing w:val="-4"/>
          <w:w w:val="105"/>
        </w:rPr>
        <w:t> </w:t>
      </w:r>
      <w:r>
        <w:rPr>
          <w:color w:val="231F20"/>
          <w:w w:val="105"/>
        </w:rPr>
        <w:t>en</w:t>
      </w:r>
      <w:r>
        <w:rPr>
          <w:color w:val="231F20"/>
          <w:spacing w:val="-4"/>
          <w:w w:val="105"/>
        </w:rPr>
        <w:t> </w:t>
      </w:r>
      <w:r>
        <w:rPr>
          <w:color w:val="231F20"/>
          <w:w w:val="105"/>
        </w:rPr>
        <w:t>la administración </w:t>
      </w:r>
      <w:r>
        <w:rPr>
          <w:color w:val="231F20"/>
          <w:spacing w:val="-7"/>
          <w:w w:val="105"/>
        </w:rPr>
        <w:t>y, </w:t>
      </w:r>
      <w:r>
        <w:rPr>
          <w:color w:val="231F20"/>
          <w:w w:val="105"/>
        </w:rPr>
        <w:t>a </w:t>
      </w:r>
      <w:r>
        <w:rPr>
          <w:color w:val="231F20"/>
          <w:spacing w:val="2"/>
          <w:w w:val="105"/>
        </w:rPr>
        <w:t>partir </w:t>
      </w:r>
      <w:r>
        <w:rPr>
          <w:color w:val="231F20"/>
          <w:w w:val="105"/>
        </w:rPr>
        <w:t>de ahí, se les encamina para condicionar su patrocinio a la colectividad</w:t>
      </w:r>
      <w:r>
        <w:rPr>
          <w:color w:val="231F20"/>
          <w:spacing w:val="-16"/>
          <w:w w:val="105"/>
        </w:rPr>
        <w:t> </w:t>
      </w:r>
      <w:r>
        <w:rPr>
          <w:color w:val="231F20"/>
          <w:w w:val="105"/>
        </w:rPr>
        <w:t>de</w:t>
      </w:r>
      <w:r>
        <w:rPr>
          <w:color w:val="231F20"/>
          <w:spacing w:val="-16"/>
          <w:w w:val="105"/>
        </w:rPr>
        <w:t> </w:t>
      </w:r>
      <w:r>
        <w:rPr>
          <w:color w:val="231F20"/>
          <w:w w:val="105"/>
        </w:rPr>
        <w:t>antorchistas.</w:t>
      </w:r>
      <w:r>
        <w:rPr>
          <w:color w:val="231F20"/>
          <w:spacing w:val="-16"/>
          <w:w w:val="105"/>
        </w:rPr>
        <w:t> </w:t>
      </w:r>
      <w:r>
        <w:rPr>
          <w:color w:val="231F20"/>
          <w:spacing w:val="-3"/>
          <w:w w:val="105"/>
        </w:rPr>
        <w:t>Por</w:t>
      </w:r>
      <w:r>
        <w:rPr>
          <w:color w:val="231F20"/>
          <w:spacing w:val="-16"/>
          <w:w w:val="105"/>
        </w:rPr>
        <w:t> </w:t>
      </w:r>
      <w:r>
        <w:rPr>
          <w:color w:val="231F20"/>
          <w:spacing w:val="-3"/>
          <w:w w:val="105"/>
        </w:rPr>
        <w:t>ejemplo:</w:t>
      </w:r>
    </w:p>
    <w:p>
      <w:pPr>
        <w:pStyle w:val="BodyText"/>
        <w:spacing w:before="1"/>
        <w:ind w:left="677"/>
        <w:jc w:val="both"/>
      </w:pPr>
      <w:r>
        <w:rPr>
          <w:color w:val="231F20"/>
          <w:w w:val="105"/>
        </w:rPr>
        <w:t>En coordinación con SEDESOL, FONAHAPO, C.D.I e IMEVIS, se  aplicaron</w:t>
      </w:r>
    </w:p>
    <w:p>
      <w:pPr>
        <w:pStyle w:val="BodyText"/>
        <w:spacing w:line="285" w:lineRule="auto" w:before="47"/>
        <w:ind w:left="677" w:right="108"/>
        <w:jc w:val="both"/>
      </w:pPr>
      <w:r>
        <w:rPr>
          <w:color w:val="231F20"/>
          <w:w w:val="105"/>
        </w:rPr>
        <w:t>$5’225,600.00 para la construcción de 142 pies de casa para familias indíge- nas residentes en Chimalhuacán. Cada una de estas acciones tuvo un costo    de</w:t>
      </w:r>
    </w:p>
    <w:p>
      <w:pPr>
        <w:pStyle w:val="BodyText"/>
        <w:spacing w:line="285" w:lineRule="auto" w:before="1"/>
        <w:ind w:left="677" w:right="107"/>
        <w:jc w:val="both"/>
      </w:pPr>
      <w:r>
        <w:rPr>
          <w:color w:val="231F20"/>
          <w:spacing w:val="2"/>
          <w:w w:val="105"/>
        </w:rPr>
        <w:t>$38,000.00;</w:t>
      </w:r>
      <w:r>
        <w:rPr>
          <w:color w:val="231F20"/>
          <w:spacing w:val="-17"/>
          <w:w w:val="105"/>
        </w:rPr>
        <w:t> </w:t>
      </w:r>
      <w:r>
        <w:rPr>
          <w:color w:val="231F20"/>
          <w:w w:val="105"/>
        </w:rPr>
        <w:t>incluyó</w:t>
      </w:r>
      <w:r>
        <w:rPr>
          <w:color w:val="231F20"/>
          <w:spacing w:val="-17"/>
          <w:w w:val="105"/>
        </w:rPr>
        <w:t> </w:t>
      </w:r>
      <w:r>
        <w:rPr>
          <w:color w:val="231F20"/>
          <w:w w:val="105"/>
        </w:rPr>
        <w:t>la</w:t>
      </w:r>
      <w:r>
        <w:rPr>
          <w:color w:val="231F20"/>
          <w:spacing w:val="-17"/>
          <w:w w:val="105"/>
        </w:rPr>
        <w:t> </w:t>
      </w:r>
      <w:r>
        <w:rPr>
          <w:color w:val="231F20"/>
          <w:w w:val="105"/>
        </w:rPr>
        <w:t>construcción</w:t>
      </w:r>
      <w:r>
        <w:rPr>
          <w:color w:val="231F20"/>
          <w:spacing w:val="-17"/>
          <w:w w:val="105"/>
        </w:rPr>
        <w:t> </w:t>
      </w:r>
      <w:r>
        <w:rPr>
          <w:color w:val="231F20"/>
          <w:w w:val="105"/>
        </w:rPr>
        <w:t>de</w:t>
      </w:r>
      <w:r>
        <w:rPr>
          <w:color w:val="231F20"/>
          <w:spacing w:val="-17"/>
          <w:w w:val="105"/>
        </w:rPr>
        <w:t> </w:t>
      </w:r>
      <w:r>
        <w:rPr>
          <w:color w:val="231F20"/>
          <w:w w:val="105"/>
        </w:rPr>
        <w:t>1</w:t>
      </w:r>
      <w:r>
        <w:rPr>
          <w:color w:val="231F20"/>
          <w:spacing w:val="-17"/>
          <w:w w:val="105"/>
        </w:rPr>
        <w:t> </w:t>
      </w:r>
      <w:r>
        <w:rPr>
          <w:color w:val="231F20"/>
          <w:w w:val="105"/>
        </w:rPr>
        <w:t>recámara,</w:t>
      </w:r>
      <w:r>
        <w:rPr>
          <w:color w:val="231F20"/>
          <w:spacing w:val="-17"/>
          <w:w w:val="105"/>
        </w:rPr>
        <w:t> </w:t>
      </w:r>
      <w:r>
        <w:rPr>
          <w:color w:val="231F20"/>
          <w:w w:val="105"/>
        </w:rPr>
        <w:t>baño</w:t>
      </w:r>
      <w:r>
        <w:rPr>
          <w:color w:val="231F20"/>
          <w:spacing w:val="-17"/>
          <w:w w:val="105"/>
        </w:rPr>
        <w:t> </w:t>
      </w:r>
      <w:r>
        <w:rPr>
          <w:color w:val="231F20"/>
          <w:w w:val="105"/>
        </w:rPr>
        <w:t>y</w:t>
      </w:r>
      <w:r>
        <w:rPr>
          <w:color w:val="231F20"/>
          <w:spacing w:val="-17"/>
          <w:w w:val="105"/>
        </w:rPr>
        <w:t> </w:t>
      </w:r>
      <w:r>
        <w:rPr>
          <w:color w:val="231F20"/>
          <w:w w:val="105"/>
        </w:rPr>
        <w:t>cocina,</w:t>
      </w:r>
      <w:r>
        <w:rPr>
          <w:color w:val="231F20"/>
          <w:spacing w:val="-17"/>
          <w:w w:val="105"/>
        </w:rPr>
        <w:t> </w:t>
      </w:r>
      <w:r>
        <w:rPr>
          <w:color w:val="231F20"/>
          <w:w w:val="105"/>
        </w:rPr>
        <w:t>herrería</w:t>
      </w:r>
      <w:r>
        <w:rPr>
          <w:color w:val="231F20"/>
          <w:spacing w:val="-17"/>
          <w:w w:val="105"/>
        </w:rPr>
        <w:t> </w:t>
      </w:r>
      <w:r>
        <w:rPr>
          <w:color w:val="231F20"/>
          <w:w w:val="105"/>
        </w:rPr>
        <w:t>y</w:t>
      </w:r>
      <w:r>
        <w:rPr>
          <w:color w:val="231F20"/>
          <w:spacing w:val="-17"/>
          <w:w w:val="105"/>
        </w:rPr>
        <w:t> </w:t>
      </w:r>
      <w:r>
        <w:rPr>
          <w:color w:val="231F20"/>
          <w:w w:val="105"/>
        </w:rPr>
        <w:t>loza de concreto. El recurso se aplicó a </w:t>
      </w:r>
      <w:r>
        <w:rPr>
          <w:color w:val="231F20"/>
          <w:spacing w:val="-3"/>
          <w:w w:val="105"/>
        </w:rPr>
        <w:t>fondo </w:t>
      </w:r>
      <w:r>
        <w:rPr>
          <w:color w:val="231F20"/>
          <w:w w:val="105"/>
        </w:rPr>
        <w:t>perdido y fue para los materiales de construcción</w:t>
      </w:r>
      <w:r>
        <w:rPr>
          <w:color w:val="231F20"/>
          <w:spacing w:val="-7"/>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mano</w:t>
      </w:r>
      <w:r>
        <w:rPr>
          <w:color w:val="231F20"/>
          <w:spacing w:val="-7"/>
          <w:w w:val="105"/>
        </w:rPr>
        <w:t> </w:t>
      </w:r>
      <w:r>
        <w:rPr>
          <w:color w:val="231F20"/>
          <w:w w:val="105"/>
        </w:rPr>
        <w:t>de</w:t>
      </w:r>
      <w:r>
        <w:rPr>
          <w:color w:val="231F20"/>
          <w:spacing w:val="-7"/>
          <w:w w:val="105"/>
        </w:rPr>
        <w:t> </w:t>
      </w:r>
      <w:r>
        <w:rPr>
          <w:color w:val="231F20"/>
          <w:w w:val="105"/>
        </w:rPr>
        <w:t>obra.</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construcción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viviendas participaron</w:t>
      </w:r>
      <w:r>
        <w:rPr>
          <w:color w:val="231F20"/>
          <w:spacing w:val="-10"/>
          <w:w w:val="105"/>
        </w:rPr>
        <w:t> </w:t>
      </w:r>
      <w:r>
        <w:rPr>
          <w:color w:val="231F20"/>
          <w:w w:val="105"/>
        </w:rPr>
        <w:t>dos</w:t>
      </w:r>
      <w:r>
        <w:rPr>
          <w:color w:val="231F20"/>
          <w:spacing w:val="-10"/>
          <w:w w:val="105"/>
        </w:rPr>
        <w:t> </w:t>
      </w:r>
      <w:r>
        <w:rPr>
          <w:color w:val="231F20"/>
          <w:w w:val="105"/>
        </w:rPr>
        <w:t>ONG:</w:t>
      </w:r>
      <w:r>
        <w:rPr>
          <w:color w:val="231F20"/>
          <w:spacing w:val="-10"/>
          <w:w w:val="105"/>
        </w:rPr>
        <w:t> </w:t>
      </w:r>
      <w:r>
        <w:rPr>
          <w:color w:val="231F20"/>
          <w:w w:val="105"/>
        </w:rPr>
        <w:t>Hábitat</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Humanidad</w:t>
      </w:r>
      <w:r>
        <w:rPr>
          <w:color w:val="231F20"/>
          <w:spacing w:val="-10"/>
          <w:w w:val="105"/>
        </w:rPr>
        <w:t> </w:t>
      </w:r>
      <w:r>
        <w:rPr>
          <w:color w:val="231F20"/>
          <w:w w:val="105"/>
        </w:rPr>
        <w:t>y</w:t>
      </w:r>
      <w:r>
        <w:rPr>
          <w:color w:val="231F20"/>
          <w:spacing w:val="-10"/>
          <w:w w:val="105"/>
        </w:rPr>
        <w:t> </w:t>
      </w:r>
      <w:r>
        <w:rPr>
          <w:color w:val="231F20"/>
          <w:w w:val="105"/>
        </w:rPr>
        <w:t>Jóvenes</w:t>
      </w:r>
      <w:r>
        <w:rPr>
          <w:color w:val="231F20"/>
          <w:spacing w:val="-10"/>
          <w:w w:val="105"/>
        </w:rPr>
        <w:t> </w:t>
      </w:r>
      <w:r>
        <w:rPr>
          <w:color w:val="231F20"/>
          <w:w w:val="105"/>
        </w:rPr>
        <w:t>Constructores.</w:t>
      </w:r>
    </w:p>
    <w:p>
      <w:pPr>
        <w:pStyle w:val="BodyText"/>
        <w:spacing w:line="285" w:lineRule="auto" w:before="1"/>
        <w:ind w:left="677" w:right="108"/>
        <w:jc w:val="both"/>
      </w:pPr>
      <w:r>
        <w:rPr>
          <w:color w:val="231F20"/>
          <w:w w:val="105"/>
        </w:rPr>
        <w:t>Las</w:t>
      </w:r>
      <w:r>
        <w:rPr>
          <w:color w:val="231F20"/>
          <w:spacing w:val="-25"/>
          <w:w w:val="105"/>
        </w:rPr>
        <w:t> </w:t>
      </w:r>
      <w:r>
        <w:rPr>
          <w:color w:val="231F20"/>
          <w:spacing w:val="2"/>
          <w:w w:val="105"/>
        </w:rPr>
        <w:t>familias</w:t>
      </w:r>
      <w:r>
        <w:rPr>
          <w:color w:val="231F20"/>
          <w:spacing w:val="-25"/>
          <w:w w:val="105"/>
        </w:rPr>
        <w:t> </w:t>
      </w:r>
      <w:r>
        <w:rPr>
          <w:color w:val="231F20"/>
          <w:w w:val="105"/>
        </w:rPr>
        <w:t>beneficias</w:t>
      </w:r>
      <w:r>
        <w:rPr>
          <w:color w:val="231F20"/>
          <w:spacing w:val="-25"/>
          <w:w w:val="105"/>
        </w:rPr>
        <w:t> </w:t>
      </w:r>
      <w:r>
        <w:rPr>
          <w:color w:val="231F20"/>
          <w:w w:val="105"/>
        </w:rPr>
        <w:t>son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barrios</w:t>
      </w:r>
      <w:r>
        <w:rPr>
          <w:color w:val="231F20"/>
          <w:spacing w:val="-25"/>
          <w:w w:val="105"/>
        </w:rPr>
        <w:t> </w:t>
      </w:r>
      <w:r>
        <w:rPr>
          <w:color w:val="231F20"/>
          <w:w w:val="105"/>
        </w:rPr>
        <w:t>Acuitlapilco,</w:t>
      </w:r>
      <w:r>
        <w:rPr>
          <w:color w:val="231F20"/>
          <w:spacing w:val="-25"/>
          <w:w w:val="105"/>
        </w:rPr>
        <w:t> </w:t>
      </w:r>
      <w:r>
        <w:rPr>
          <w:color w:val="231F20"/>
          <w:w w:val="105"/>
        </w:rPr>
        <w:t>Santo</w:t>
      </w:r>
      <w:r>
        <w:rPr>
          <w:color w:val="231F20"/>
          <w:spacing w:val="-25"/>
          <w:w w:val="105"/>
        </w:rPr>
        <w:t> </w:t>
      </w:r>
      <w:r>
        <w:rPr>
          <w:color w:val="231F20"/>
          <w:w w:val="105"/>
        </w:rPr>
        <w:t>Domingo,</w:t>
      </w:r>
      <w:r>
        <w:rPr>
          <w:color w:val="231F20"/>
          <w:spacing w:val="-25"/>
          <w:w w:val="105"/>
        </w:rPr>
        <w:t> </w:t>
      </w:r>
      <w:r>
        <w:rPr>
          <w:color w:val="231F20"/>
          <w:w w:val="105"/>
        </w:rPr>
        <w:t>Lomas</w:t>
      </w:r>
      <w:r>
        <w:rPr>
          <w:color w:val="231F20"/>
          <w:spacing w:val="-25"/>
          <w:w w:val="105"/>
        </w:rPr>
        <w:t> </w:t>
      </w:r>
      <w:r>
        <w:rPr>
          <w:color w:val="231F20"/>
          <w:w w:val="105"/>
        </w:rPr>
        <w:t>de Chimalhuacán,</w:t>
      </w:r>
      <w:r>
        <w:rPr>
          <w:color w:val="231F20"/>
          <w:spacing w:val="-17"/>
          <w:w w:val="105"/>
        </w:rPr>
        <w:t> </w:t>
      </w:r>
      <w:r>
        <w:rPr>
          <w:color w:val="231F20"/>
          <w:w w:val="105"/>
        </w:rPr>
        <w:t>Franja</w:t>
      </w:r>
      <w:r>
        <w:rPr>
          <w:color w:val="231F20"/>
          <w:spacing w:val="-17"/>
          <w:w w:val="105"/>
        </w:rPr>
        <w:t> </w:t>
      </w:r>
      <w:r>
        <w:rPr>
          <w:color w:val="231F20"/>
          <w:w w:val="105"/>
        </w:rPr>
        <w:t>4</w:t>
      </w:r>
      <w:r>
        <w:rPr>
          <w:color w:val="231F20"/>
          <w:spacing w:val="-17"/>
          <w:w w:val="105"/>
        </w:rPr>
        <w:t> </w:t>
      </w:r>
      <w:r>
        <w:rPr>
          <w:color w:val="231F20"/>
          <w:w w:val="105"/>
        </w:rPr>
        <w:t>de</w:t>
      </w:r>
      <w:r>
        <w:rPr>
          <w:color w:val="231F20"/>
          <w:spacing w:val="-17"/>
          <w:w w:val="105"/>
        </w:rPr>
        <w:t> </w:t>
      </w:r>
      <w:r>
        <w:rPr>
          <w:color w:val="231F20"/>
          <w:spacing w:val="-3"/>
          <w:w w:val="105"/>
        </w:rPr>
        <w:t>febrero</w:t>
      </w:r>
      <w:r>
        <w:rPr>
          <w:color w:val="231F20"/>
          <w:spacing w:val="-17"/>
          <w:w w:val="105"/>
        </w:rPr>
        <w:t> </w:t>
      </w:r>
      <w:r>
        <w:rPr>
          <w:color w:val="231F20"/>
          <w:w w:val="105"/>
        </w:rPr>
        <w:t>y</w:t>
      </w:r>
      <w:r>
        <w:rPr>
          <w:color w:val="231F20"/>
          <w:spacing w:val="-17"/>
          <w:w w:val="105"/>
        </w:rPr>
        <w:t> </w:t>
      </w:r>
      <w:r>
        <w:rPr>
          <w:color w:val="231F20"/>
          <w:w w:val="105"/>
        </w:rPr>
        <w:t>colonia</w:t>
      </w:r>
      <w:r>
        <w:rPr>
          <w:color w:val="231F20"/>
          <w:spacing w:val="-17"/>
          <w:w w:val="105"/>
        </w:rPr>
        <w:t> </w:t>
      </w:r>
      <w:r>
        <w:rPr>
          <w:color w:val="231F20"/>
          <w:spacing w:val="-6"/>
          <w:w w:val="105"/>
        </w:rPr>
        <w:t>17</w:t>
      </w:r>
      <w:r>
        <w:rPr>
          <w:color w:val="231F20"/>
          <w:spacing w:val="-17"/>
          <w:w w:val="105"/>
        </w:rPr>
        <w:t> </w:t>
      </w:r>
      <w:r>
        <w:rPr>
          <w:color w:val="231F20"/>
          <w:w w:val="105"/>
        </w:rPr>
        <w:t>de</w:t>
      </w:r>
      <w:r>
        <w:rPr>
          <w:color w:val="231F20"/>
          <w:spacing w:val="-17"/>
          <w:w w:val="105"/>
        </w:rPr>
        <w:t> </w:t>
      </w:r>
      <w:r>
        <w:rPr>
          <w:color w:val="231F20"/>
          <w:w w:val="105"/>
        </w:rPr>
        <w:t>marzo.</w:t>
      </w:r>
      <w:r>
        <w:rPr>
          <w:color w:val="231F20"/>
          <w:spacing w:val="-17"/>
          <w:w w:val="105"/>
        </w:rPr>
        <w:t> </w:t>
      </w:r>
      <w:r>
        <w:rPr>
          <w:color w:val="231F20"/>
          <w:w w:val="105"/>
        </w:rPr>
        <w:t>(Informe;</w:t>
      </w:r>
      <w:r>
        <w:rPr>
          <w:color w:val="231F20"/>
          <w:spacing w:val="-17"/>
          <w:w w:val="105"/>
        </w:rPr>
        <w:t> </w:t>
      </w:r>
      <w:r>
        <w:rPr>
          <w:color w:val="231F20"/>
          <w:w w:val="105"/>
        </w:rPr>
        <w:t>2007:</w:t>
      </w:r>
      <w:r>
        <w:rPr>
          <w:color w:val="231F20"/>
          <w:spacing w:val="-17"/>
          <w:w w:val="105"/>
        </w:rPr>
        <w:t> </w:t>
      </w:r>
      <w:r>
        <w:rPr>
          <w:color w:val="231F20"/>
          <w:spacing w:val="-5"/>
          <w:w w:val="105"/>
        </w:rPr>
        <w:t>10)</w:t>
      </w:r>
    </w:p>
    <w:p>
      <w:pPr>
        <w:pStyle w:val="BodyText"/>
        <w:spacing w:before="1"/>
        <w:rPr>
          <w:sz w:val="26"/>
        </w:rPr>
      </w:pPr>
    </w:p>
    <w:p>
      <w:pPr>
        <w:pStyle w:val="BodyText"/>
        <w:spacing w:line="285" w:lineRule="auto"/>
        <w:ind w:left="110" w:right="109"/>
        <w:jc w:val="both"/>
      </w:pPr>
      <w:r>
        <w:rPr>
          <w:color w:val="231F20"/>
          <w:w w:val="105"/>
        </w:rPr>
        <w:t>Se trata de sitios </w:t>
      </w:r>
      <w:r>
        <w:rPr>
          <w:color w:val="231F20"/>
          <w:spacing w:val="-3"/>
          <w:w w:val="105"/>
        </w:rPr>
        <w:t>donde </w:t>
      </w:r>
      <w:r>
        <w:rPr>
          <w:color w:val="231F20"/>
          <w:w w:val="105"/>
        </w:rPr>
        <w:t>la influencia de Antorcha Popular es definitiva para que sus afiliados obtengan la seguridad social que por derecho les corresponde, sin embargo, recibirla los ata a la obligación de asistir a mítines o marchas de protesta, nada nuevo bajo</w:t>
      </w:r>
      <w:r>
        <w:rPr>
          <w:color w:val="231F20"/>
          <w:spacing w:val="-17"/>
          <w:w w:val="105"/>
        </w:rPr>
        <w:t> </w:t>
      </w:r>
      <w:r>
        <w:rPr>
          <w:color w:val="231F20"/>
          <w:w w:val="105"/>
        </w:rPr>
        <w:t>el</w:t>
      </w:r>
      <w:r>
        <w:rPr>
          <w:color w:val="231F20"/>
          <w:spacing w:val="-17"/>
          <w:w w:val="105"/>
        </w:rPr>
        <w:t> </w:t>
      </w:r>
      <w:r>
        <w:rPr>
          <w:color w:val="231F20"/>
          <w:w w:val="105"/>
        </w:rPr>
        <w:t>sol.</w:t>
      </w:r>
      <w:r>
        <w:rPr>
          <w:color w:val="231F20"/>
          <w:spacing w:val="-17"/>
          <w:w w:val="105"/>
        </w:rPr>
        <w:t> </w:t>
      </w:r>
      <w:r>
        <w:rPr>
          <w:color w:val="231F20"/>
          <w:w w:val="105"/>
        </w:rPr>
        <w:t>En</w:t>
      </w:r>
      <w:r>
        <w:rPr>
          <w:color w:val="231F20"/>
          <w:spacing w:val="-17"/>
          <w:w w:val="105"/>
        </w:rPr>
        <w:t> </w:t>
      </w:r>
      <w:r>
        <w:rPr>
          <w:color w:val="231F20"/>
          <w:w w:val="105"/>
        </w:rPr>
        <w:t>realidad</w:t>
      </w:r>
      <w:r>
        <w:rPr>
          <w:color w:val="231F20"/>
          <w:spacing w:val="-17"/>
          <w:w w:val="105"/>
        </w:rPr>
        <w:t> </w:t>
      </w:r>
      <w:r>
        <w:rPr>
          <w:color w:val="231F20"/>
          <w:w w:val="105"/>
        </w:rPr>
        <w:t>los</w:t>
      </w:r>
      <w:r>
        <w:rPr>
          <w:color w:val="231F20"/>
          <w:spacing w:val="-17"/>
          <w:w w:val="105"/>
        </w:rPr>
        <w:t> </w:t>
      </w:r>
      <w:r>
        <w:rPr>
          <w:color w:val="231F20"/>
          <w:w w:val="105"/>
        </w:rPr>
        <w:t>famosos</w:t>
      </w:r>
      <w:r>
        <w:rPr>
          <w:color w:val="231F20"/>
          <w:spacing w:val="-17"/>
          <w:w w:val="105"/>
        </w:rPr>
        <w:t> </w:t>
      </w:r>
      <w:r>
        <w:rPr>
          <w:color w:val="231F20"/>
          <w:spacing w:val="-3"/>
          <w:w w:val="105"/>
        </w:rPr>
        <w:t>fondos</w:t>
      </w:r>
      <w:r>
        <w:rPr>
          <w:color w:val="231F20"/>
          <w:spacing w:val="-17"/>
          <w:w w:val="105"/>
        </w:rPr>
        <w:t> </w:t>
      </w:r>
      <w:r>
        <w:rPr>
          <w:color w:val="231F20"/>
          <w:w w:val="105"/>
        </w:rPr>
        <w:t>perdidos</w:t>
      </w:r>
      <w:r>
        <w:rPr>
          <w:color w:val="231F20"/>
          <w:spacing w:val="-17"/>
          <w:w w:val="105"/>
        </w:rPr>
        <w:t> </w:t>
      </w:r>
      <w:r>
        <w:rPr>
          <w:color w:val="231F20"/>
          <w:w w:val="105"/>
        </w:rPr>
        <w:t>son</w:t>
      </w:r>
      <w:r>
        <w:rPr>
          <w:color w:val="231F20"/>
          <w:spacing w:val="-17"/>
          <w:w w:val="105"/>
        </w:rPr>
        <w:t> </w:t>
      </w:r>
      <w:r>
        <w:rPr>
          <w:color w:val="231F20"/>
          <w:w w:val="105"/>
        </w:rPr>
        <w:t>créditos</w:t>
      </w:r>
      <w:r>
        <w:rPr>
          <w:color w:val="231F20"/>
          <w:spacing w:val="-17"/>
          <w:w w:val="105"/>
        </w:rPr>
        <w:t> </w:t>
      </w:r>
      <w:r>
        <w:rPr>
          <w:color w:val="231F20"/>
          <w:w w:val="105"/>
        </w:rPr>
        <w:t>concedidos</w:t>
      </w:r>
      <w:r>
        <w:rPr>
          <w:color w:val="231F20"/>
          <w:spacing w:val="-17"/>
          <w:w w:val="105"/>
        </w:rPr>
        <w:t> </w:t>
      </w:r>
      <w:r>
        <w:rPr>
          <w:color w:val="231F20"/>
          <w:w w:val="105"/>
        </w:rPr>
        <w:t>a</w:t>
      </w:r>
      <w:r>
        <w:rPr>
          <w:color w:val="231F20"/>
          <w:spacing w:val="-17"/>
          <w:w w:val="105"/>
        </w:rPr>
        <w:t> </w:t>
      </w:r>
      <w:r>
        <w:rPr>
          <w:color w:val="231F20"/>
          <w:w w:val="105"/>
        </w:rPr>
        <w:t>buena</w:t>
      </w:r>
      <w:r>
        <w:rPr>
          <w:color w:val="231F20"/>
          <w:spacing w:val="-17"/>
          <w:w w:val="105"/>
        </w:rPr>
        <w:t> </w:t>
      </w:r>
      <w:r>
        <w:rPr>
          <w:color w:val="231F20"/>
          <w:w w:val="105"/>
        </w:rPr>
        <w:t>fe, que</w:t>
      </w:r>
      <w:r>
        <w:rPr>
          <w:color w:val="231F20"/>
          <w:spacing w:val="-15"/>
          <w:w w:val="105"/>
        </w:rPr>
        <w:t> </w:t>
      </w:r>
      <w:r>
        <w:rPr>
          <w:color w:val="231F20"/>
          <w:w w:val="105"/>
        </w:rPr>
        <w:t>la</w:t>
      </w:r>
      <w:r>
        <w:rPr>
          <w:color w:val="231F20"/>
          <w:spacing w:val="-15"/>
          <w:w w:val="105"/>
        </w:rPr>
        <w:t> </w:t>
      </w:r>
      <w:r>
        <w:rPr>
          <w:color w:val="231F20"/>
          <w:w w:val="105"/>
        </w:rPr>
        <w:t>mayoría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ocasiones</w:t>
      </w:r>
      <w:r>
        <w:rPr>
          <w:color w:val="231F20"/>
          <w:spacing w:val="-15"/>
          <w:w w:val="105"/>
        </w:rPr>
        <w:t> </w:t>
      </w:r>
      <w:r>
        <w:rPr>
          <w:color w:val="231F20"/>
          <w:w w:val="105"/>
        </w:rPr>
        <w:t>son</w:t>
      </w:r>
      <w:r>
        <w:rPr>
          <w:color w:val="231F20"/>
          <w:spacing w:val="-15"/>
          <w:w w:val="105"/>
        </w:rPr>
        <w:t> </w:t>
      </w:r>
      <w:r>
        <w:rPr>
          <w:color w:val="231F20"/>
          <w:w w:val="105"/>
        </w:rPr>
        <w:t>irrecuperables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22"/>
          <w:w w:val="105"/>
        </w:rPr>
        <w:t> </w:t>
      </w:r>
      <w:r>
        <w:rPr>
          <w:color w:val="231F20"/>
          <w:w w:val="105"/>
        </w:rPr>
        <w:t>servicios</w:t>
      </w:r>
      <w:r>
        <w:rPr>
          <w:color w:val="231F20"/>
          <w:spacing w:val="-22"/>
          <w:w w:val="105"/>
        </w:rPr>
        <w:t> </w:t>
      </w:r>
      <w:r>
        <w:rPr>
          <w:color w:val="231F20"/>
          <w:w w:val="105"/>
        </w:rPr>
        <w:t>públicos</w:t>
      </w:r>
      <w:r>
        <w:rPr>
          <w:color w:val="231F20"/>
          <w:spacing w:val="-22"/>
          <w:w w:val="105"/>
        </w:rPr>
        <w:t> </w:t>
      </w:r>
      <w:r>
        <w:rPr>
          <w:color w:val="231F20"/>
          <w:w w:val="105"/>
        </w:rPr>
        <w:t>tienen</w:t>
      </w:r>
      <w:r>
        <w:rPr>
          <w:color w:val="231F20"/>
          <w:spacing w:val="-22"/>
          <w:w w:val="105"/>
        </w:rPr>
        <w:t> </w:t>
      </w:r>
      <w:r>
        <w:rPr>
          <w:color w:val="231F20"/>
          <w:w w:val="105"/>
        </w:rPr>
        <w:t>principios</w:t>
      </w:r>
      <w:r>
        <w:rPr>
          <w:color w:val="231F20"/>
          <w:spacing w:val="-22"/>
          <w:w w:val="105"/>
        </w:rPr>
        <w:t> </w:t>
      </w:r>
      <w:r>
        <w:rPr>
          <w:color w:val="231F20"/>
          <w:w w:val="105"/>
        </w:rPr>
        <w:t>que</w:t>
      </w:r>
      <w:r>
        <w:rPr>
          <w:color w:val="231F20"/>
          <w:spacing w:val="-22"/>
          <w:w w:val="105"/>
        </w:rPr>
        <w:t> </w:t>
      </w:r>
      <w:r>
        <w:rPr>
          <w:color w:val="231F20"/>
          <w:w w:val="105"/>
        </w:rPr>
        <w:t>los</w:t>
      </w:r>
      <w:r>
        <w:rPr>
          <w:color w:val="231F20"/>
          <w:spacing w:val="-22"/>
          <w:w w:val="105"/>
        </w:rPr>
        <w:t> </w:t>
      </w:r>
      <w:r>
        <w:rPr>
          <w:color w:val="231F20"/>
          <w:w w:val="105"/>
        </w:rPr>
        <w:t>singularizan:</w:t>
      </w:r>
      <w:r>
        <w:rPr>
          <w:color w:val="231F20"/>
          <w:spacing w:val="-22"/>
          <w:w w:val="105"/>
        </w:rPr>
        <w:t> </w:t>
      </w:r>
      <w:r>
        <w:rPr>
          <w:color w:val="231F20"/>
          <w:w w:val="105"/>
        </w:rPr>
        <w:t>la</w:t>
      </w:r>
      <w:r>
        <w:rPr>
          <w:color w:val="231F20"/>
          <w:spacing w:val="-22"/>
          <w:w w:val="105"/>
        </w:rPr>
        <w:t> </w:t>
      </w:r>
      <w:r>
        <w:rPr>
          <w:color w:val="231F20"/>
          <w:w w:val="105"/>
        </w:rPr>
        <w:t>obligatoriedad</w:t>
      </w:r>
      <w:r>
        <w:rPr>
          <w:color w:val="231F20"/>
          <w:spacing w:val="-22"/>
          <w:w w:val="105"/>
        </w:rPr>
        <w:t> </w:t>
      </w:r>
      <w:r>
        <w:rPr>
          <w:color w:val="231F20"/>
          <w:w w:val="105"/>
        </w:rPr>
        <w:t>por</w:t>
      </w:r>
      <w:r>
        <w:rPr>
          <w:color w:val="231F20"/>
          <w:spacing w:val="-22"/>
          <w:w w:val="105"/>
        </w:rPr>
        <w:t> </w:t>
      </w:r>
      <w:r>
        <w:rPr>
          <w:color w:val="231F20"/>
          <w:w w:val="105"/>
        </w:rPr>
        <w:t>parte del estado, la gratuidad, la generalidad, la permanencia, impiden que su</w:t>
      </w:r>
      <w:r>
        <w:rPr>
          <w:color w:val="231F20"/>
          <w:spacing w:val="2"/>
          <w:w w:val="105"/>
        </w:rPr>
        <w:t> </w:t>
      </w:r>
      <w:r>
        <w:rPr>
          <w:color w:val="231F20"/>
          <w:w w:val="105"/>
        </w:rPr>
        <w:t>otorgamiento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pueda soslayarse; empero, la posibilidad de manipulación política la vemos en todos los ámbitos y por todos los partidos políticos. Sin embargo, las bases de otorgamiento siguen presentes:</w:t>
      </w:r>
    </w:p>
    <w:p>
      <w:pPr>
        <w:pStyle w:val="BodyText"/>
        <w:spacing w:line="285" w:lineRule="auto" w:before="1"/>
        <w:ind w:left="677" w:right="107"/>
        <w:jc w:val="both"/>
      </w:pPr>
      <w:r>
        <w:rPr>
          <w:color w:val="231F20"/>
          <w:w w:val="105"/>
        </w:rPr>
        <w:t>Hago notar a los presentes, que la suma de las </w:t>
      </w:r>
      <w:r>
        <w:rPr>
          <w:color w:val="231F20"/>
          <w:spacing w:val="2"/>
          <w:w w:val="105"/>
        </w:rPr>
        <w:t>familias </w:t>
      </w:r>
      <w:r>
        <w:rPr>
          <w:color w:val="231F20"/>
          <w:w w:val="105"/>
        </w:rPr>
        <w:t>directamente beneficia- das con obras de infraestructura urbana, hidráulica y sanitaria, asciende a más </w:t>
      </w:r>
      <w:r>
        <w:rPr>
          <w:color w:val="231F20"/>
          <w:spacing w:val="2"/>
          <w:w w:val="105"/>
        </w:rPr>
        <w:t>35,000,</w:t>
      </w:r>
      <w:r>
        <w:rPr>
          <w:color w:val="231F20"/>
          <w:spacing w:val="-9"/>
          <w:w w:val="105"/>
        </w:rPr>
        <w:t> </w:t>
      </w:r>
      <w:r>
        <w:rPr>
          <w:color w:val="231F20"/>
          <w:w w:val="105"/>
        </w:rPr>
        <w:t>esto</w:t>
      </w:r>
      <w:r>
        <w:rPr>
          <w:color w:val="231F20"/>
          <w:spacing w:val="-9"/>
          <w:w w:val="105"/>
        </w:rPr>
        <w:t> </w:t>
      </w:r>
      <w:r>
        <w:rPr>
          <w:color w:val="231F20"/>
          <w:w w:val="105"/>
        </w:rPr>
        <w:t>es,</w:t>
      </w:r>
      <w:r>
        <w:rPr>
          <w:color w:val="231F20"/>
          <w:spacing w:val="-9"/>
          <w:w w:val="105"/>
        </w:rPr>
        <w:t> </w:t>
      </w:r>
      <w:r>
        <w:rPr>
          <w:color w:val="231F20"/>
          <w:w w:val="105"/>
        </w:rPr>
        <w:t>a</w:t>
      </w:r>
      <w:r>
        <w:rPr>
          <w:color w:val="231F20"/>
          <w:spacing w:val="-9"/>
          <w:w w:val="105"/>
        </w:rPr>
        <w:t> </w:t>
      </w:r>
      <w:r>
        <w:rPr>
          <w:color w:val="231F20"/>
          <w:w w:val="105"/>
        </w:rPr>
        <w:t>más</w:t>
      </w:r>
      <w:r>
        <w:rPr>
          <w:color w:val="231F20"/>
          <w:spacing w:val="-9"/>
          <w:w w:val="105"/>
        </w:rPr>
        <w:t> </w:t>
      </w:r>
      <w:r>
        <w:rPr>
          <w:color w:val="231F20"/>
          <w:w w:val="105"/>
        </w:rPr>
        <w:t>de</w:t>
      </w:r>
      <w:r>
        <w:rPr>
          <w:color w:val="231F20"/>
          <w:spacing w:val="-9"/>
          <w:w w:val="105"/>
        </w:rPr>
        <w:t> </w:t>
      </w:r>
      <w:r>
        <w:rPr>
          <w:color w:val="231F20"/>
          <w:w w:val="105"/>
        </w:rPr>
        <w:t>175,000</w:t>
      </w:r>
      <w:r>
        <w:rPr>
          <w:color w:val="231F20"/>
          <w:spacing w:val="-9"/>
          <w:w w:val="105"/>
        </w:rPr>
        <w:t> </w:t>
      </w:r>
      <w:r>
        <w:rPr>
          <w:color w:val="231F20"/>
          <w:w w:val="105"/>
        </w:rPr>
        <w:t>habitantes</w:t>
      </w:r>
      <w:r>
        <w:rPr>
          <w:color w:val="231F20"/>
          <w:spacing w:val="-9"/>
          <w:w w:val="105"/>
        </w:rPr>
        <w:t> </w:t>
      </w:r>
      <w:r>
        <w:rPr>
          <w:color w:val="231F20"/>
          <w:w w:val="105"/>
        </w:rPr>
        <w:t>que</w:t>
      </w:r>
      <w:r>
        <w:rPr>
          <w:color w:val="231F20"/>
          <w:spacing w:val="-9"/>
          <w:w w:val="105"/>
        </w:rPr>
        <w:t> </w:t>
      </w:r>
      <w:r>
        <w:rPr>
          <w:color w:val="231F20"/>
          <w:w w:val="105"/>
        </w:rPr>
        <w:t>recibieron,</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casa,</w:t>
      </w:r>
      <w:r>
        <w:rPr>
          <w:color w:val="231F20"/>
          <w:spacing w:val="-9"/>
          <w:w w:val="105"/>
        </w:rPr>
        <w:t> </w:t>
      </w:r>
      <w:r>
        <w:rPr>
          <w:color w:val="231F20"/>
          <w:w w:val="105"/>
        </w:rPr>
        <w:t>una</w:t>
      </w:r>
      <w:r>
        <w:rPr>
          <w:color w:val="231F20"/>
          <w:spacing w:val="-9"/>
          <w:w w:val="105"/>
        </w:rPr>
        <w:t> </w:t>
      </w:r>
      <w:r>
        <w:rPr>
          <w:color w:val="231F20"/>
          <w:w w:val="105"/>
        </w:rPr>
        <w:t>obra de luz, de pavimento, de agua o de drenaje; lo que equivale a haber llevado una obra</w:t>
      </w:r>
      <w:r>
        <w:rPr>
          <w:color w:val="231F20"/>
          <w:spacing w:val="-22"/>
          <w:w w:val="105"/>
        </w:rPr>
        <w:t> </w:t>
      </w:r>
      <w:r>
        <w:rPr>
          <w:color w:val="231F20"/>
          <w:w w:val="105"/>
        </w:rPr>
        <w:t>a</w:t>
      </w:r>
      <w:r>
        <w:rPr>
          <w:color w:val="231F20"/>
          <w:spacing w:val="-22"/>
          <w:w w:val="105"/>
        </w:rPr>
        <w:t> </w:t>
      </w:r>
      <w:r>
        <w:rPr>
          <w:color w:val="231F20"/>
          <w:w w:val="105"/>
        </w:rPr>
        <w:t>todas</w:t>
      </w:r>
      <w:r>
        <w:rPr>
          <w:color w:val="231F20"/>
          <w:spacing w:val="-22"/>
          <w:w w:val="105"/>
        </w:rPr>
        <w:t> </w:t>
      </w:r>
      <w:r>
        <w:rPr>
          <w:color w:val="231F20"/>
          <w:w w:val="105"/>
        </w:rPr>
        <w:t>las</w:t>
      </w:r>
      <w:r>
        <w:rPr>
          <w:color w:val="231F20"/>
          <w:spacing w:val="-22"/>
          <w:w w:val="105"/>
        </w:rPr>
        <w:t> </w:t>
      </w:r>
      <w:r>
        <w:rPr>
          <w:color w:val="231F20"/>
          <w:spacing w:val="2"/>
          <w:w w:val="105"/>
        </w:rPr>
        <w:t>familias</w:t>
      </w:r>
      <w:r>
        <w:rPr>
          <w:color w:val="231F20"/>
          <w:spacing w:val="-22"/>
          <w:w w:val="105"/>
        </w:rPr>
        <w:t> </w:t>
      </w:r>
      <w:r>
        <w:rPr>
          <w:color w:val="231F20"/>
          <w:w w:val="105"/>
        </w:rPr>
        <w:t>de</w:t>
      </w:r>
      <w:r>
        <w:rPr>
          <w:color w:val="231F20"/>
          <w:spacing w:val="-22"/>
          <w:w w:val="105"/>
        </w:rPr>
        <w:t> </w:t>
      </w:r>
      <w:r>
        <w:rPr>
          <w:color w:val="231F20"/>
          <w:w w:val="105"/>
        </w:rPr>
        <w:t>Cuautla,</w:t>
      </w:r>
      <w:r>
        <w:rPr>
          <w:color w:val="231F20"/>
          <w:spacing w:val="-22"/>
          <w:w w:val="105"/>
        </w:rPr>
        <w:t> </w:t>
      </w:r>
      <w:r>
        <w:rPr>
          <w:color w:val="231F20"/>
          <w:w w:val="105"/>
        </w:rPr>
        <w:t>Morelos.</w:t>
      </w:r>
      <w:r>
        <w:rPr>
          <w:color w:val="231F20"/>
          <w:spacing w:val="-22"/>
          <w:w w:val="105"/>
        </w:rPr>
        <w:t> </w:t>
      </w:r>
      <w:r>
        <w:rPr>
          <w:color w:val="231F20"/>
          <w:w w:val="105"/>
        </w:rPr>
        <w:t>(Informe;</w:t>
      </w:r>
      <w:r>
        <w:rPr>
          <w:color w:val="231F20"/>
          <w:spacing w:val="-22"/>
          <w:w w:val="105"/>
        </w:rPr>
        <w:t> </w:t>
      </w:r>
      <w:r>
        <w:rPr>
          <w:color w:val="231F20"/>
          <w:spacing w:val="2"/>
          <w:w w:val="105"/>
        </w:rPr>
        <w:t>2008:</w:t>
      </w:r>
      <w:r>
        <w:rPr>
          <w:color w:val="231F20"/>
          <w:spacing w:val="-22"/>
          <w:w w:val="105"/>
        </w:rPr>
        <w:t> </w:t>
      </w:r>
      <w:r>
        <w:rPr>
          <w:color w:val="231F20"/>
          <w:spacing w:val="-3"/>
          <w:w w:val="105"/>
        </w:rPr>
        <w:t>12)</w:t>
      </w:r>
    </w:p>
    <w:p>
      <w:pPr>
        <w:pStyle w:val="BodyText"/>
        <w:spacing w:before="1"/>
        <w:rPr>
          <w:sz w:val="26"/>
        </w:rPr>
      </w:pPr>
    </w:p>
    <w:p>
      <w:pPr>
        <w:pStyle w:val="BodyText"/>
        <w:spacing w:line="285" w:lineRule="auto"/>
        <w:ind w:left="110" w:right="107"/>
        <w:jc w:val="both"/>
      </w:pPr>
      <w:r>
        <w:rPr>
          <w:color w:val="231F20"/>
          <w:w w:val="105"/>
        </w:rPr>
        <w:t>Prolijo sería el estudio de cada una de las acciones de gobierno que se realizan dentro del nuevo status implantado por Antorcha Popular, ya que para poder determinar sin asomo</w:t>
      </w:r>
      <w:r>
        <w:rPr>
          <w:color w:val="231F20"/>
          <w:spacing w:val="-13"/>
          <w:w w:val="105"/>
        </w:rPr>
        <w:t> </w:t>
      </w:r>
      <w:r>
        <w:rPr>
          <w:color w:val="231F20"/>
          <w:w w:val="105"/>
        </w:rPr>
        <w:t>de</w:t>
      </w:r>
      <w:r>
        <w:rPr>
          <w:color w:val="231F20"/>
          <w:spacing w:val="-13"/>
          <w:w w:val="105"/>
        </w:rPr>
        <w:t> </w:t>
      </w:r>
      <w:r>
        <w:rPr>
          <w:color w:val="231F20"/>
          <w:w w:val="105"/>
        </w:rPr>
        <w:t>duda</w:t>
      </w:r>
      <w:r>
        <w:rPr>
          <w:color w:val="231F20"/>
          <w:spacing w:val="-13"/>
          <w:w w:val="105"/>
        </w:rPr>
        <w:t> </w:t>
      </w:r>
      <w:r>
        <w:rPr>
          <w:color w:val="231F20"/>
          <w:w w:val="105"/>
        </w:rPr>
        <w:t>la</w:t>
      </w:r>
      <w:r>
        <w:rPr>
          <w:color w:val="231F20"/>
          <w:spacing w:val="-13"/>
          <w:w w:val="105"/>
        </w:rPr>
        <w:t> </w:t>
      </w:r>
      <w:r>
        <w:rPr>
          <w:color w:val="231F20"/>
          <w:w w:val="105"/>
        </w:rPr>
        <w:t>claridad</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aplicación</w:t>
      </w:r>
      <w:r>
        <w:rPr>
          <w:color w:val="231F20"/>
          <w:spacing w:val="-13"/>
          <w:w w:val="105"/>
        </w:rPr>
        <w:t> </w:t>
      </w:r>
      <w:r>
        <w:rPr>
          <w:color w:val="231F20"/>
          <w:w w:val="105"/>
        </w:rPr>
        <w:t>del</w:t>
      </w:r>
      <w:r>
        <w:rPr>
          <w:color w:val="231F20"/>
          <w:spacing w:val="-13"/>
          <w:w w:val="105"/>
        </w:rPr>
        <w:t> </w:t>
      </w:r>
      <w:r>
        <w:rPr>
          <w:color w:val="231F20"/>
          <w:w w:val="105"/>
        </w:rPr>
        <w:t>recurso</w:t>
      </w:r>
      <w:r>
        <w:rPr>
          <w:color w:val="231F20"/>
          <w:spacing w:val="-13"/>
          <w:w w:val="105"/>
        </w:rPr>
        <w:t> </w:t>
      </w:r>
      <w:r>
        <w:rPr>
          <w:color w:val="231F20"/>
          <w:w w:val="105"/>
        </w:rPr>
        <w:t>sin</w:t>
      </w:r>
      <w:r>
        <w:rPr>
          <w:color w:val="231F20"/>
          <w:spacing w:val="-13"/>
          <w:w w:val="105"/>
        </w:rPr>
        <w:t> </w:t>
      </w:r>
      <w:r>
        <w:rPr>
          <w:color w:val="231F20"/>
          <w:w w:val="105"/>
        </w:rPr>
        <w:t>orientaciones</w:t>
      </w:r>
      <w:r>
        <w:rPr>
          <w:color w:val="231F20"/>
          <w:spacing w:val="-13"/>
          <w:w w:val="105"/>
        </w:rPr>
        <w:t> </w:t>
      </w:r>
      <w:r>
        <w:rPr>
          <w:color w:val="231F20"/>
          <w:w w:val="105"/>
        </w:rPr>
        <w:t>partidistas</w:t>
      </w:r>
      <w:r>
        <w:rPr>
          <w:color w:val="231F20"/>
          <w:spacing w:val="-13"/>
          <w:w w:val="105"/>
        </w:rPr>
        <w:t> </w:t>
      </w:r>
      <w:r>
        <w:rPr>
          <w:color w:val="231F20"/>
          <w:w w:val="105"/>
        </w:rPr>
        <w:t>o</w:t>
      </w:r>
      <w:r>
        <w:rPr>
          <w:color w:val="231F20"/>
          <w:spacing w:val="-13"/>
          <w:w w:val="105"/>
        </w:rPr>
        <w:t> </w:t>
      </w:r>
      <w:r>
        <w:rPr>
          <w:color w:val="231F20"/>
          <w:w w:val="105"/>
        </w:rPr>
        <w:t>de cacicazgos,</w:t>
      </w:r>
      <w:r>
        <w:rPr>
          <w:color w:val="231F20"/>
          <w:spacing w:val="-7"/>
          <w:w w:val="105"/>
        </w:rPr>
        <w:t> </w:t>
      </w:r>
      <w:r>
        <w:rPr>
          <w:color w:val="231F20"/>
          <w:w w:val="105"/>
        </w:rPr>
        <w:t>en</w:t>
      </w:r>
      <w:r>
        <w:rPr>
          <w:color w:val="231F20"/>
          <w:spacing w:val="-7"/>
          <w:w w:val="105"/>
        </w:rPr>
        <w:t> </w:t>
      </w:r>
      <w:r>
        <w:rPr>
          <w:color w:val="231F20"/>
          <w:w w:val="105"/>
        </w:rPr>
        <w:t>primer</w:t>
      </w:r>
      <w:r>
        <w:rPr>
          <w:color w:val="231F20"/>
          <w:spacing w:val="-7"/>
          <w:w w:val="105"/>
        </w:rPr>
        <w:t> </w:t>
      </w:r>
      <w:r>
        <w:rPr>
          <w:color w:val="231F20"/>
          <w:w w:val="105"/>
        </w:rPr>
        <w:t>término</w:t>
      </w:r>
      <w:r>
        <w:rPr>
          <w:color w:val="231F20"/>
          <w:spacing w:val="-7"/>
          <w:w w:val="105"/>
        </w:rPr>
        <w:t> </w:t>
      </w:r>
      <w:r>
        <w:rPr>
          <w:color w:val="231F20"/>
          <w:w w:val="105"/>
        </w:rPr>
        <w:t>habríamos</w:t>
      </w:r>
      <w:r>
        <w:rPr>
          <w:color w:val="231F20"/>
          <w:spacing w:val="-7"/>
          <w:w w:val="105"/>
        </w:rPr>
        <w:t> </w:t>
      </w:r>
      <w:r>
        <w:rPr>
          <w:color w:val="231F20"/>
          <w:w w:val="105"/>
        </w:rPr>
        <w:t>de</w:t>
      </w:r>
      <w:r>
        <w:rPr>
          <w:color w:val="231F20"/>
          <w:spacing w:val="-7"/>
          <w:w w:val="105"/>
        </w:rPr>
        <w:t> </w:t>
      </w:r>
      <w:r>
        <w:rPr>
          <w:color w:val="231F20"/>
          <w:w w:val="105"/>
        </w:rPr>
        <w:t>precisar</w:t>
      </w:r>
      <w:r>
        <w:rPr>
          <w:color w:val="231F20"/>
          <w:spacing w:val="-7"/>
          <w:w w:val="105"/>
        </w:rPr>
        <w:t> </w:t>
      </w:r>
      <w:r>
        <w:rPr>
          <w:color w:val="231F20"/>
          <w:w w:val="105"/>
        </w:rPr>
        <w:t>los</w:t>
      </w:r>
      <w:r>
        <w:rPr>
          <w:color w:val="231F20"/>
          <w:spacing w:val="-7"/>
          <w:w w:val="105"/>
        </w:rPr>
        <w:t> </w:t>
      </w:r>
      <w:r>
        <w:rPr>
          <w:color w:val="231F20"/>
          <w:w w:val="105"/>
        </w:rPr>
        <w:t>seguidores</w:t>
      </w:r>
      <w:r>
        <w:rPr>
          <w:color w:val="231F20"/>
          <w:spacing w:val="-7"/>
          <w:w w:val="105"/>
        </w:rPr>
        <w:t> </w:t>
      </w:r>
      <w:r>
        <w:rPr>
          <w:color w:val="231F20"/>
          <w:w w:val="105"/>
        </w:rPr>
        <w:t>de</w:t>
      </w:r>
      <w:r>
        <w:rPr>
          <w:color w:val="231F20"/>
          <w:spacing w:val="-7"/>
          <w:w w:val="105"/>
        </w:rPr>
        <w:t> </w:t>
      </w:r>
      <w:r>
        <w:rPr>
          <w:color w:val="231F20"/>
          <w:w w:val="105"/>
        </w:rPr>
        <w:t>Antorcha,</w:t>
      </w:r>
      <w:r>
        <w:rPr>
          <w:color w:val="231F20"/>
          <w:spacing w:val="-7"/>
          <w:w w:val="105"/>
        </w:rPr>
        <w:t> </w:t>
      </w:r>
      <w:r>
        <w:rPr>
          <w:color w:val="231F20"/>
          <w:w w:val="105"/>
        </w:rPr>
        <w:t>pues como</w:t>
      </w:r>
      <w:r>
        <w:rPr>
          <w:color w:val="231F20"/>
          <w:spacing w:val="-12"/>
          <w:w w:val="105"/>
        </w:rPr>
        <w:t> </w:t>
      </w:r>
      <w:r>
        <w:rPr>
          <w:color w:val="231F20"/>
          <w:w w:val="105"/>
        </w:rPr>
        <w:t>queda</w:t>
      </w:r>
      <w:r>
        <w:rPr>
          <w:color w:val="231F20"/>
          <w:spacing w:val="-12"/>
          <w:w w:val="105"/>
        </w:rPr>
        <w:t> </w:t>
      </w:r>
      <w:r>
        <w:rPr>
          <w:color w:val="231F20"/>
          <w:w w:val="105"/>
        </w:rPr>
        <w:t>anotado</w:t>
      </w:r>
      <w:r>
        <w:rPr>
          <w:color w:val="231F20"/>
          <w:spacing w:val="-12"/>
          <w:w w:val="105"/>
        </w:rPr>
        <w:t> </w:t>
      </w:r>
      <w:r>
        <w:rPr>
          <w:color w:val="231F20"/>
          <w:w w:val="105"/>
        </w:rPr>
        <w:t>con</w:t>
      </w:r>
      <w:r>
        <w:rPr>
          <w:color w:val="231F20"/>
          <w:spacing w:val="-12"/>
          <w:w w:val="105"/>
        </w:rPr>
        <w:t> </w:t>
      </w:r>
      <w:r>
        <w:rPr>
          <w:color w:val="231F20"/>
          <w:w w:val="105"/>
        </w:rPr>
        <w:t>antelación</w:t>
      </w:r>
      <w:r>
        <w:rPr>
          <w:color w:val="231F20"/>
          <w:spacing w:val="-12"/>
          <w:w w:val="105"/>
        </w:rPr>
        <w:t> </w:t>
      </w:r>
      <w:r>
        <w:rPr>
          <w:color w:val="231F20"/>
          <w:w w:val="105"/>
        </w:rPr>
        <w:t>el</w:t>
      </w:r>
      <w:r>
        <w:rPr>
          <w:color w:val="231F20"/>
          <w:spacing w:val="-12"/>
          <w:w w:val="105"/>
        </w:rPr>
        <w:t> </w:t>
      </w:r>
      <w:r>
        <w:rPr>
          <w:color w:val="231F20"/>
          <w:w w:val="105"/>
        </w:rPr>
        <w:t>desarrollo</w:t>
      </w:r>
      <w:r>
        <w:rPr>
          <w:color w:val="231F20"/>
          <w:spacing w:val="-12"/>
          <w:w w:val="105"/>
        </w:rPr>
        <w:t> </w:t>
      </w:r>
      <w:r>
        <w:rPr>
          <w:color w:val="231F20"/>
          <w:w w:val="105"/>
        </w:rPr>
        <w:t>anómalo</w:t>
      </w:r>
      <w:r>
        <w:rPr>
          <w:color w:val="231F20"/>
          <w:spacing w:val="-12"/>
          <w:w w:val="105"/>
        </w:rPr>
        <w:t> </w:t>
      </w:r>
      <w:r>
        <w:rPr>
          <w:color w:val="231F20"/>
          <w:w w:val="105"/>
        </w:rPr>
        <w:t>del</w:t>
      </w:r>
      <w:r>
        <w:rPr>
          <w:color w:val="231F20"/>
          <w:spacing w:val="-12"/>
          <w:w w:val="105"/>
        </w:rPr>
        <w:t> </w:t>
      </w:r>
      <w:r>
        <w:rPr>
          <w:color w:val="231F20"/>
          <w:w w:val="105"/>
        </w:rPr>
        <w:t>uso</w:t>
      </w:r>
      <w:r>
        <w:rPr>
          <w:color w:val="231F20"/>
          <w:spacing w:val="-12"/>
          <w:w w:val="105"/>
        </w:rPr>
        <w:t> </w:t>
      </w:r>
      <w:r>
        <w:rPr>
          <w:color w:val="231F20"/>
          <w:w w:val="105"/>
        </w:rPr>
        <w:t>del</w:t>
      </w:r>
      <w:r>
        <w:rPr>
          <w:color w:val="231F20"/>
          <w:spacing w:val="-12"/>
          <w:w w:val="105"/>
        </w:rPr>
        <w:t> </w:t>
      </w:r>
      <w:r>
        <w:rPr>
          <w:color w:val="231F20"/>
          <w:w w:val="105"/>
        </w:rPr>
        <w:t>suelo</w:t>
      </w:r>
      <w:r>
        <w:rPr>
          <w:color w:val="231F20"/>
          <w:spacing w:val="-12"/>
          <w:w w:val="105"/>
        </w:rPr>
        <w:t> </w:t>
      </w:r>
      <w:r>
        <w:rPr>
          <w:color w:val="231F20"/>
          <w:w w:val="105"/>
        </w:rPr>
        <w:t>en</w:t>
      </w:r>
      <w:r>
        <w:rPr>
          <w:color w:val="231F20"/>
          <w:spacing w:val="-12"/>
          <w:w w:val="105"/>
        </w:rPr>
        <w:t> </w:t>
      </w:r>
      <w:r>
        <w:rPr>
          <w:color w:val="231F20"/>
          <w:w w:val="105"/>
        </w:rPr>
        <w:t>Chimal- huacán fue producto de fraccionamientos irregulares, en los que los nuevos </w:t>
      </w:r>
      <w:r>
        <w:rPr>
          <w:color w:val="231F20"/>
          <w:spacing w:val="-4"/>
          <w:w w:val="105"/>
        </w:rPr>
        <w:t>“colonos” </w:t>
      </w:r>
      <w:r>
        <w:rPr>
          <w:color w:val="231F20"/>
          <w:w w:val="105"/>
        </w:rPr>
        <w:t>debían</w:t>
      </w:r>
      <w:r>
        <w:rPr>
          <w:color w:val="231F20"/>
          <w:spacing w:val="-22"/>
          <w:w w:val="105"/>
        </w:rPr>
        <w:t> </w:t>
      </w:r>
      <w:r>
        <w:rPr>
          <w:color w:val="231F20"/>
          <w:w w:val="105"/>
        </w:rPr>
        <w:t>sujetarse</w:t>
      </w:r>
      <w:r>
        <w:rPr>
          <w:color w:val="231F20"/>
          <w:spacing w:val="-22"/>
          <w:w w:val="105"/>
        </w:rPr>
        <w:t> </w:t>
      </w:r>
      <w:r>
        <w:rPr>
          <w:color w:val="231F20"/>
          <w:w w:val="105"/>
        </w:rPr>
        <w:t>a</w:t>
      </w:r>
      <w:r>
        <w:rPr>
          <w:color w:val="231F20"/>
          <w:spacing w:val="-22"/>
          <w:w w:val="105"/>
        </w:rPr>
        <w:t> </w:t>
      </w:r>
      <w:r>
        <w:rPr>
          <w:color w:val="231F20"/>
          <w:w w:val="105"/>
        </w:rPr>
        <w:t>“ismos”</w:t>
      </w:r>
      <w:r>
        <w:rPr>
          <w:color w:val="231F20"/>
          <w:spacing w:val="-22"/>
          <w:w w:val="105"/>
        </w:rPr>
        <w:t> </w:t>
      </w:r>
      <w:r>
        <w:rPr>
          <w:color w:val="231F20"/>
          <w:w w:val="105"/>
        </w:rPr>
        <w:t>que</w:t>
      </w:r>
      <w:r>
        <w:rPr>
          <w:color w:val="231F20"/>
          <w:spacing w:val="-22"/>
          <w:w w:val="105"/>
        </w:rPr>
        <w:t> </w:t>
      </w:r>
      <w:r>
        <w:rPr>
          <w:color w:val="231F20"/>
          <w:w w:val="105"/>
        </w:rPr>
        <w:t>les</w:t>
      </w:r>
      <w:r>
        <w:rPr>
          <w:color w:val="231F20"/>
          <w:spacing w:val="-22"/>
          <w:w w:val="105"/>
        </w:rPr>
        <w:t> </w:t>
      </w:r>
      <w:r>
        <w:rPr>
          <w:color w:val="231F20"/>
          <w:w w:val="105"/>
        </w:rPr>
        <w:t>impusieron</w:t>
      </w:r>
      <w:r>
        <w:rPr>
          <w:color w:val="231F20"/>
          <w:spacing w:val="-22"/>
          <w:w w:val="105"/>
        </w:rPr>
        <w:t> </w:t>
      </w:r>
      <w:r>
        <w:rPr>
          <w:color w:val="231F20"/>
          <w:w w:val="105"/>
        </w:rPr>
        <w:t>los</w:t>
      </w:r>
      <w:r>
        <w:rPr>
          <w:color w:val="231F20"/>
          <w:spacing w:val="-22"/>
          <w:w w:val="105"/>
        </w:rPr>
        <w:t> </w:t>
      </w:r>
      <w:r>
        <w:rPr>
          <w:color w:val="231F20"/>
          <w:w w:val="105"/>
        </w:rPr>
        <w:t>fraccionadores.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21"/>
          <w:w w:val="105"/>
        </w:rPr>
        <w:t> </w:t>
      </w:r>
      <w:r>
        <w:rPr>
          <w:color w:val="231F20"/>
          <w:w w:val="105"/>
        </w:rPr>
        <w:t>segundo</w:t>
      </w:r>
      <w:r>
        <w:rPr>
          <w:color w:val="231F20"/>
          <w:spacing w:val="-21"/>
          <w:w w:val="105"/>
        </w:rPr>
        <w:t> </w:t>
      </w:r>
      <w:r>
        <w:rPr>
          <w:color w:val="231F20"/>
          <w:spacing w:val="-3"/>
          <w:w w:val="105"/>
        </w:rPr>
        <w:t>lugar,</w:t>
      </w:r>
      <w:r>
        <w:rPr>
          <w:color w:val="231F20"/>
          <w:spacing w:val="-21"/>
          <w:w w:val="105"/>
        </w:rPr>
        <w:t> </w:t>
      </w:r>
      <w:r>
        <w:rPr>
          <w:color w:val="231F20"/>
          <w:w w:val="105"/>
        </w:rPr>
        <w:t>cada</w:t>
      </w:r>
      <w:r>
        <w:rPr>
          <w:color w:val="231F20"/>
          <w:spacing w:val="-21"/>
          <w:w w:val="105"/>
        </w:rPr>
        <w:t> </w:t>
      </w:r>
      <w:r>
        <w:rPr>
          <w:color w:val="231F20"/>
          <w:w w:val="105"/>
        </w:rPr>
        <w:t>acción</w:t>
      </w:r>
      <w:r>
        <w:rPr>
          <w:color w:val="231F20"/>
          <w:spacing w:val="-21"/>
          <w:w w:val="105"/>
        </w:rPr>
        <w:t> </w:t>
      </w:r>
      <w:r>
        <w:rPr>
          <w:color w:val="231F20"/>
          <w:w w:val="105"/>
        </w:rPr>
        <w:t>de</w:t>
      </w:r>
      <w:r>
        <w:rPr>
          <w:color w:val="231F20"/>
          <w:spacing w:val="-21"/>
          <w:w w:val="105"/>
        </w:rPr>
        <w:t> </w:t>
      </w:r>
      <w:r>
        <w:rPr>
          <w:color w:val="231F20"/>
          <w:w w:val="105"/>
        </w:rPr>
        <w:t>gobierno</w:t>
      </w:r>
      <w:r>
        <w:rPr>
          <w:color w:val="231F20"/>
          <w:spacing w:val="-21"/>
          <w:w w:val="105"/>
        </w:rPr>
        <w:t> </w:t>
      </w:r>
      <w:r>
        <w:rPr>
          <w:color w:val="231F20"/>
          <w:w w:val="105"/>
        </w:rPr>
        <w:t>se</w:t>
      </w:r>
      <w:r>
        <w:rPr>
          <w:color w:val="231F20"/>
          <w:spacing w:val="-21"/>
          <w:w w:val="105"/>
        </w:rPr>
        <w:t> </w:t>
      </w:r>
      <w:r>
        <w:rPr>
          <w:color w:val="231F20"/>
          <w:w w:val="105"/>
        </w:rPr>
        <w:t>encuadra</w:t>
      </w:r>
      <w:r>
        <w:rPr>
          <w:color w:val="231F20"/>
          <w:spacing w:val="-21"/>
          <w:w w:val="105"/>
        </w:rPr>
        <w:t> </w:t>
      </w:r>
      <w:r>
        <w:rPr>
          <w:color w:val="231F20"/>
          <w:w w:val="105"/>
        </w:rPr>
        <w:t>dentro</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esquema</w:t>
      </w:r>
      <w:r>
        <w:rPr>
          <w:color w:val="231F20"/>
          <w:spacing w:val="-21"/>
          <w:w w:val="105"/>
        </w:rPr>
        <w:t> </w:t>
      </w:r>
      <w:r>
        <w:rPr>
          <w:color w:val="231F20"/>
          <w:w w:val="105"/>
        </w:rPr>
        <w:t>de</w:t>
      </w:r>
      <w:r>
        <w:rPr>
          <w:color w:val="231F20"/>
          <w:spacing w:val="-21"/>
          <w:w w:val="105"/>
        </w:rPr>
        <w:t> </w:t>
      </w:r>
      <w:r>
        <w:rPr>
          <w:color w:val="231F20"/>
          <w:w w:val="105"/>
        </w:rPr>
        <w:t>planea- ción,</w:t>
      </w:r>
      <w:r>
        <w:rPr>
          <w:color w:val="231F20"/>
          <w:spacing w:val="-11"/>
          <w:w w:val="105"/>
        </w:rPr>
        <w:t> </w:t>
      </w:r>
      <w:r>
        <w:rPr>
          <w:color w:val="231F20"/>
          <w:w w:val="105"/>
        </w:rPr>
        <w:t>programas</w:t>
      </w:r>
      <w:r>
        <w:rPr>
          <w:color w:val="231F20"/>
          <w:spacing w:val="-11"/>
          <w:w w:val="105"/>
        </w:rPr>
        <w:t> </w:t>
      </w:r>
      <w:r>
        <w:rPr>
          <w:color w:val="231F20"/>
          <w:w w:val="105"/>
        </w:rPr>
        <w:t>y</w:t>
      </w:r>
      <w:r>
        <w:rPr>
          <w:color w:val="231F20"/>
          <w:spacing w:val="-11"/>
          <w:w w:val="105"/>
        </w:rPr>
        <w:t> </w:t>
      </w:r>
      <w:r>
        <w:rPr>
          <w:color w:val="231F20"/>
          <w:w w:val="105"/>
        </w:rPr>
        <w:t>metas</w:t>
      </w:r>
      <w:r>
        <w:rPr>
          <w:color w:val="231F20"/>
          <w:spacing w:val="-11"/>
          <w:w w:val="105"/>
        </w:rPr>
        <w:t> </w:t>
      </w:r>
      <w:r>
        <w:rPr>
          <w:color w:val="231F20"/>
          <w:w w:val="105"/>
        </w:rPr>
        <w:t>que</w:t>
      </w:r>
      <w:r>
        <w:rPr>
          <w:color w:val="231F20"/>
          <w:spacing w:val="-11"/>
          <w:w w:val="105"/>
        </w:rPr>
        <w:t> </w:t>
      </w:r>
      <w:r>
        <w:rPr>
          <w:color w:val="231F20"/>
          <w:w w:val="105"/>
        </w:rPr>
        <w:t>tienen</w:t>
      </w:r>
      <w:r>
        <w:rPr>
          <w:color w:val="231F20"/>
          <w:spacing w:val="-11"/>
          <w:w w:val="105"/>
        </w:rPr>
        <w:t> </w:t>
      </w:r>
      <w:r>
        <w:rPr>
          <w:color w:val="231F20"/>
          <w:w w:val="105"/>
        </w:rPr>
        <w:t>como</w:t>
      </w:r>
      <w:r>
        <w:rPr>
          <w:color w:val="231F20"/>
          <w:spacing w:val="-11"/>
          <w:w w:val="105"/>
        </w:rPr>
        <w:t> </w:t>
      </w:r>
      <w:r>
        <w:rPr>
          <w:color w:val="231F20"/>
          <w:w w:val="105"/>
        </w:rPr>
        <w:t>condicionante</w:t>
      </w:r>
      <w:r>
        <w:rPr>
          <w:color w:val="231F20"/>
          <w:spacing w:val="-11"/>
          <w:w w:val="105"/>
        </w:rPr>
        <w:t> </w:t>
      </w:r>
      <w:r>
        <w:rPr>
          <w:color w:val="231F20"/>
          <w:w w:val="105"/>
        </w:rPr>
        <w:t>la</w:t>
      </w:r>
      <w:r>
        <w:rPr>
          <w:color w:val="231F20"/>
          <w:spacing w:val="-11"/>
          <w:w w:val="105"/>
        </w:rPr>
        <w:t> </w:t>
      </w:r>
      <w:r>
        <w:rPr>
          <w:color w:val="231F20"/>
          <w:w w:val="105"/>
        </w:rPr>
        <w:t>presupuestación</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conse- cuente</w:t>
      </w:r>
      <w:r>
        <w:rPr>
          <w:color w:val="231F20"/>
          <w:spacing w:val="-5"/>
          <w:w w:val="105"/>
        </w:rPr>
        <w:t> </w:t>
      </w:r>
      <w:r>
        <w:rPr>
          <w:color w:val="231F20"/>
          <w:w w:val="105"/>
        </w:rPr>
        <w:t>gasto</w:t>
      </w:r>
      <w:r>
        <w:rPr>
          <w:color w:val="231F20"/>
          <w:spacing w:val="-5"/>
          <w:w w:val="105"/>
        </w:rPr>
        <w:t> </w:t>
      </w:r>
      <w:r>
        <w:rPr>
          <w:color w:val="231F20"/>
          <w:w w:val="105"/>
        </w:rPr>
        <w:t>público.</w:t>
      </w:r>
      <w:r>
        <w:rPr>
          <w:color w:val="231F20"/>
          <w:spacing w:val="-5"/>
          <w:w w:val="105"/>
        </w:rPr>
        <w:t> </w:t>
      </w:r>
      <w:r>
        <w:rPr>
          <w:color w:val="231F20"/>
          <w:w w:val="105"/>
        </w:rPr>
        <w:t>Recordemos</w:t>
      </w:r>
      <w:r>
        <w:rPr>
          <w:color w:val="231F20"/>
          <w:spacing w:val="-5"/>
          <w:w w:val="105"/>
        </w:rPr>
        <w:t> </w:t>
      </w:r>
      <w:r>
        <w:rPr>
          <w:color w:val="231F20"/>
          <w:w w:val="105"/>
        </w:rPr>
        <w:t>que</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carece</w:t>
      </w:r>
      <w:r>
        <w:rPr>
          <w:color w:val="231F20"/>
          <w:spacing w:val="-5"/>
          <w:w w:val="105"/>
        </w:rPr>
        <w:t> </w:t>
      </w:r>
      <w:r>
        <w:rPr>
          <w:color w:val="231F20"/>
          <w:w w:val="105"/>
        </w:rPr>
        <w:t>de</w:t>
      </w:r>
      <w:r>
        <w:rPr>
          <w:color w:val="231F20"/>
          <w:spacing w:val="-5"/>
          <w:w w:val="105"/>
        </w:rPr>
        <w:t> </w:t>
      </w:r>
      <w:r>
        <w:rPr>
          <w:color w:val="231F20"/>
          <w:w w:val="105"/>
        </w:rPr>
        <w:t>facultades</w:t>
      </w:r>
      <w:r>
        <w:rPr>
          <w:color w:val="231F20"/>
          <w:spacing w:val="-5"/>
          <w:w w:val="105"/>
        </w:rPr>
        <w:t> </w:t>
      </w:r>
      <w:r>
        <w:rPr>
          <w:color w:val="231F20"/>
          <w:w w:val="105"/>
        </w:rPr>
        <w:t>legislativas</w:t>
      </w:r>
      <w:r>
        <w:rPr>
          <w:color w:val="231F20"/>
          <w:spacing w:val="-5"/>
          <w:w w:val="105"/>
        </w:rPr>
        <w:t> </w:t>
      </w:r>
      <w:r>
        <w:rPr>
          <w:color w:val="231F20"/>
          <w:w w:val="105"/>
        </w:rPr>
        <w:t>y por ende no puede sino </w:t>
      </w:r>
      <w:r>
        <w:rPr>
          <w:color w:val="231F20"/>
          <w:spacing w:val="-3"/>
          <w:w w:val="105"/>
        </w:rPr>
        <w:t>proponer </w:t>
      </w:r>
      <w:r>
        <w:rPr>
          <w:color w:val="231F20"/>
          <w:w w:val="105"/>
        </w:rPr>
        <w:t>su presupuesto; el problema es más de </w:t>
      </w:r>
      <w:r>
        <w:rPr>
          <w:color w:val="231F20"/>
          <w:spacing w:val="-3"/>
          <w:w w:val="105"/>
        </w:rPr>
        <w:t>fondo </w:t>
      </w:r>
      <w:r>
        <w:rPr>
          <w:color w:val="231F20"/>
          <w:w w:val="105"/>
        </w:rPr>
        <w:t>pues la inadecuada</w:t>
      </w:r>
      <w:r>
        <w:rPr>
          <w:color w:val="231F20"/>
          <w:spacing w:val="-22"/>
          <w:w w:val="105"/>
        </w:rPr>
        <w:t> </w:t>
      </w:r>
      <w:r>
        <w:rPr>
          <w:color w:val="231F20"/>
          <w:w w:val="105"/>
        </w:rPr>
        <w:t>estructura</w:t>
      </w:r>
      <w:r>
        <w:rPr>
          <w:color w:val="231F20"/>
          <w:spacing w:val="-22"/>
          <w:w w:val="105"/>
        </w:rPr>
        <w:t> </w:t>
      </w:r>
      <w:r>
        <w:rPr>
          <w:color w:val="231F20"/>
          <w:w w:val="105"/>
        </w:rPr>
        <w:t>del</w:t>
      </w:r>
      <w:r>
        <w:rPr>
          <w:color w:val="231F20"/>
          <w:spacing w:val="-22"/>
          <w:w w:val="105"/>
        </w:rPr>
        <w:t> </w:t>
      </w:r>
      <w:r>
        <w:rPr>
          <w:color w:val="231F20"/>
          <w:w w:val="105"/>
        </w:rPr>
        <w:t>sistema</w:t>
      </w:r>
      <w:r>
        <w:rPr>
          <w:color w:val="231F20"/>
          <w:spacing w:val="-22"/>
          <w:w w:val="105"/>
        </w:rPr>
        <w:t> </w:t>
      </w:r>
      <w:r>
        <w:rPr>
          <w:color w:val="231F20"/>
          <w:w w:val="105"/>
        </w:rPr>
        <w:t>federal</w:t>
      </w:r>
      <w:r>
        <w:rPr>
          <w:color w:val="231F20"/>
          <w:spacing w:val="-22"/>
          <w:w w:val="105"/>
        </w:rPr>
        <w:t> </w:t>
      </w:r>
      <w:r>
        <w:rPr>
          <w:color w:val="231F20"/>
          <w:w w:val="105"/>
        </w:rPr>
        <w:t>deja</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municipios</w:t>
      </w:r>
      <w:r>
        <w:rPr>
          <w:color w:val="231F20"/>
          <w:spacing w:val="-22"/>
          <w:w w:val="105"/>
        </w:rPr>
        <w:t> </w:t>
      </w:r>
      <w:r>
        <w:rPr>
          <w:color w:val="231F20"/>
          <w:w w:val="105"/>
        </w:rPr>
        <w:t>supeditados</w:t>
      </w:r>
      <w:r>
        <w:rPr>
          <w:color w:val="231F20"/>
          <w:spacing w:val="-22"/>
          <w:w w:val="105"/>
        </w:rPr>
        <w:t> </w:t>
      </w:r>
      <w:r>
        <w:rPr>
          <w:color w:val="231F20"/>
          <w:w w:val="105"/>
        </w:rPr>
        <w:t>a</w:t>
      </w:r>
      <w:r>
        <w:rPr>
          <w:color w:val="231F20"/>
          <w:spacing w:val="-22"/>
          <w:w w:val="105"/>
        </w:rPr>
        <w:t> </w:t>
      </w:r>
      <w:r>
        <w:rPr>
          <w:color w:val="231F20"/>
          <w:w w:val="105"/>
        </w:rPr>
        <w:t>decisiones cupulares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decisiones</w:t>
      </w:r>
      <w:r>
        <w:rPr>
          <w:color w:val="231F20"/>
          <w:spacing w:val="-5"/>
          <w:w w:val="105"/>
        </w:rPr>
        <w:t> </w:t>
      </w:r>
      <w:r>
        <w:rPr>
          <w:color w:val="231F20"/>
          <w:w w:val="105"/>
        </w:rPr>
        <w:t>respecto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obras</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general,</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esquemas de</w:t>
      </w:r>
      <w:r>
        <w:rPr>
          <w:color w:val="231F20"/>
          <w:spacing w:val="-14"/>
          <w:w w:val="105"/>
        </w:rPr>
        <w:t> </w:t>
      </w:r>
      <w:r>
        <w:rPr>
          <w:color w:val="231F20"/>
          <w:w w:val="105"/>
        </w:rPr>
        <w:t>seguridad</w:t>
      </w:r>
      <w:r>
        <w:rPr>
          <w:color w:val="231F20"/>
          <w:spacing w:val="-14"/>
          <w:w w:val="105"/>
        </w:rPr>
        <w:t> </w:t>
      </w:r>
      <w:r>
        <w:rPr>
          <w:color w:val="231F20"/>
          <w:w w:val="105"/>
        </w:rPr>
        <w:t>que</w:t>
      </w:r>
      <w:r>
        <w:rPr>
          <w:color w:val="231F20"/>
          <w:spacing w:val="-14"/>
          <w:w w:val="105"/>
        </w:rPr>
        <w:t> </w:t>
      </w:r>
      <w:r>
        <w:rPr>
          <w:color w:val="231F20"/>
          <w:w w:val="105"/>
        </w:rPr>
        <w:t>hemos</w:t>
      </w:r>
      <w:r>
        <w:rPr>
          <w:color w:val="231F20"/>
          <w:spacing w:val="-14"/>
          <w:w w:val="105"/>
        </w:rPr>
        <w:t> </w:t>
      </w:r>
      <w:r>
        <w:rPr>
          <w:color w:val="231F20"/>
          <w:w w:val="105"/>
        </w:rPr>
        <w:t>citado.</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1"/>
          <w:w w:val="105"/>
        </w:rPr>
        <w:t> </w:t>
      </w:r>
      <w:r>
        <w:rPr>
          <w:color w:val="231F20"/>
          <w:w w:val="105"/>
        </w:rPr>
        <w:t>Ley</w:t>
      </w:r>
      <w:r>
        <w:rPr>
          <w:color w:val="231F20"/>
          <w:spacing w:val="-11"/>
          <w:w w:val="105"/>
        </w:rPr>
        <w:t> </w:t>
      </w:r>
      <w:r>
        <w:rPr>
          <w:color w:val="231F20"/>
          <w:w w:val="105"/>
        </w:rPr>
        <w:t>Orgánica</w:t>
      </w:r>
      <w:r>
        <w:rPr>
          <w:color w:val="231F20"/>
          <w:spacing w:val="-11"/>
          <w:w w:val="105"/>
        </w:rPr>
        <w:t> </w:t>
      </w:r>
      <w:r>
        <w:rPr>
          <w:color w:val="231F20"/>
          <w:w w:val="105"/>
        </w:rPr>
        <w:t>Municipal</w:t>
      </w:r>
      <w:r>
        <w:rPr>
          <w:color w:val="231F20"/>
          <w:spacing w:val="-11"/>
          <w:w w:val="105"/>
        </w:rPr>
        <w:t> </w:t>
      </w:r>
      <w:r>
        <w:rPr>
          <w:color w:val="231F20"/>
          <w:w w:val="105"/>
        </w:rPr>
        <w:t>del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por</w:t>
      </w:r>
      <w:r>
        <w:rPr>
          <w:color w:val="231F20"/>
          <w:spacing w:val="-11"/>
          <w:w w:val="105"/>
        </w:rPr>
        <w:t> </w:t>
      </w:r>
      <w:r>
        <w:rPr>
          <w:color w:val="231F20"/>
          <w:w w:val="105"/>
        </w:rPr>
        <w:t>su</w:t>
      </w:r>
      <w:r>
        <w:rPr>
          <w:color w:val="231F20"/>
          <w:spacing w:val="-11"/>
          <w:w w:val="105"/>
        </w:rPr>
        <w:t> </w:t>
      </w:r>
      <w:r>
        <w:rPr>
          <w:color w:val="231F20"/>
          <w:w w:val="105"/>
        </w:rPr>
        <w:t>parte</w:t>
      </w:r>
      <w:r>
        <w:rPr>
          <w:color w:val="231F20"/>
          <w:spacing w:val="-11"/>
          <w:w w:val="105"/>
        </w:rPr>
        <w:t> </w:t>
      </w:r>
      <w:r>
        <w:rPr>
          <w:color w:val="231F20"/>
          <w:w w:val="105"/>
        </w:rPr>
        <w:t>señala</w:t>
      </w:r>
      <w:r>
        <w:rPr>
          <w:color w:val="231F20"/>
          <w:spacing w:val="-11"/>
          <w:w w:val="105"/>
        </w:rPr>
        <w:t> </w:t>
      </w:r>
      <w:r>
        <w:rPr>
          <w:color w:val="231F20"/>
          <w:w w:val="105"/>
        </w:rPr>
        <w:t>como</w:t>
      </w:r>
      <w:r>
        <w:rPr>
          <w:color w:val="231F20"/>
          <w:spacing w:val="-11"/>
          <w:w w:val="105"/>
        </w:rPr>
        <w:t> </w:t>
      </w:r>
      <w:r>
        <w:rPr>
          <w:color w:val="231F20"/>
          <w:w w:val="105"/>
        </w:rPr>
        <w:t>atribución del ayuntamiento celebrar convenios, cuando así fuere necesario, con las autoridades gubernamentales;</w:t>
      </w:r>
      <w:r>
        <w:rPr>
          <w:color w:val="231F20"/>
          <w:spacing w:val="-22"/>
          <w:w w:val="105"/>
        </w:rPr>
        <w:t> </w:t>
      </w:r>
      <w:r>
        <w:rPr>
          <w:color w:val="231F20"/>
          <w:w w:val="105"/>
        </w:rPr>
        <w:t>en</w:t>
      </w:r>
      <w:r>
        <w:rPr>
          <w:color w:val="231F20"/>
          <w:spacing w:val="-22"/>
          <w:w w:val="105"/>
        </w:rPr>
        <w:t> </w:t>
      </w:r>
      <w:r>
        <w:rPr>
          <w:color w:val="231F20"/>
          <w:w w:val="105"/>
        </w:rPr>
        <w:t>relación</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prestación</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servicios</w:t>
      </w:r>
      <w:r>
        <w:rPr>
          <w:color w:val="231F20"/>
          <w:spacing w:val="-22"/>
          <w:w w:val="105"/>
        </w:rPr>
        <w:t> </w:t>
      </w:r>
      <w:r>
        <w:rPr>
          <w:color w:val="231F20"/>
          <w:w w:val="105"/>
        </w:rPr>
        <w:t>públicos</w:t>
      </w:r>
      <w:r>
        <w:rPr>
          <w:color w:val="231F20"/>
          <w:spacing w:val="-22"/>
          <w:w w:val="105"/>
        </w:rPr>
        <w:t> </w:t>
      </w:r>
      <w:r>
        <w:rPr>
          <w:color w:val="231F20"/>
          <w:w w:val="105"/>
        </w:rPr>
        <w:t>y</w:t>
      </w:r>
      <w:r>
        <w:rPr>
          <w:color w:val="231F20"/>
          <w:spacing w:val="-22"/>
          <w:w w:val="105"/>
        </w:rPr>
        <w:t> </w:t>
      </w:r>
      <w:r>
        <w:rPr>
          <w:color w:val="231F20"/>
          <w:w w:val="105"/>
        </w:rPr>
        <w:t>en</w:t>
      </w:r>
      <w:r>
        <w:rPr>
          <w:color w:val="231F20"/>
          <w:spacing w:val="-22"/>
          <w:w w:val="105"/>
        </w:rPr>
        <w:t> </w:t>
      </w:r>
      <w:r>
        <w:rPr>
          <w:color w:val="231F20"/>
          <w:w w:val="105"/>
        </w:rPr>
        <w:t>lo</w:t>
      </w:r>
      <w:r>
        <w:rPr>
          <w:color w:val="231F20"/>
          <w:spacing w:val="-22"/>
          <w:w w:val="105"/>
        </w:rPr>
        <w:t> </w:t>
      </w:r>
      <w:r>
        <w:rPr>
          <w:color w:val="231F20"/>
          <w:spacing w:val="-3"/>
          <w:w w:val="105"/>
        </w:rPr>
        <w:t>referente </w:t>
      </w:r>
      <w:r>
        <w:rPr>
          <w:color w:val="231F20"/>
          <w:w w:val="105"/>
        </w:rPr>
        <w:t>a la administración de contribuciones fiscales. El Convenio de coordinación es el ins- trumento</w:t>
      </w:r>
      <w:r>
        <w:rPr>
          <w:color w:val="231F20"/>
          <w:spacing w:val="-17"/>
          <w:w w:val="105"/>
        </w:rPr>
        <w:t> </w:t>
      </w:r>
      <w:r>
        <w:rPr>
          <w:color w:val="231F20"/>
          <w:w w:val="105"/>
        </w:rPr>
        <w:t>de</w:t>
      </w:r>
      <w:r>
        <w:rPr>
          <w:color w:val="231F20"/>
          <w:spacing w:val="-17"/>
          <w:w w:val="105"/>
        </w:rPr>
        <w:t> </w:t>
      </w:r>
      <w:r>
        <w:rPr>
          <w:color w:val="231F20"/>
          <w:w w:val="105"/>
        </w:rPr>
        <w:t>orden</w:t>
      </w:r>
      <w:r>
        <w:rPr>
          <w:color w:val="231F20"/>
          <w:spacing w:val="-17"/>
          <w:w w:val="105"/>
        </w:rPr>
        <w:t> </w:t>
      </w:r>
      <w:r>
        <w:rPr>
          <w:color w:val="231F20"/>
          <w:w w:val="105"/>
        </w:rPr>
        <w:t>público</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ayuntamiento</w:t>
      </w:r>
      <w:r>
        <w:rPr>
          <w:color w:val="231F20"/>
          <w:spacing w:val="-17"/>
          <w:w w:val="105"/>
        </w:rPr>
        <w:t> </w:t>
      </w:r>
      <w:r>
        <w:rPr>
          <w:color w:val="231F20"/>
          <w:w w:val="105"/>
        </w:rPr>
        <w:t>celebra</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gobierno</w:t>
      </w:r>
      <w:r>
        <w:rPr>
          <w:color w:val="231F20"/>
          <w:spacing w:val="-17"/>
          <w:w w:val="105"/>
        </w:rPr>
        <w:t> </w:t>
      </w:r>
      <w:r>
        <w:rPr>
          <w:color w:val="231F20"/>
          <w:w w:val="105"/>
        </w:rPr>
        <w:t>estatal</w:t>
      </w:r>
      <w:r>
        <w:rPr>
          <w:color w:val="231F20"/>
          <w:spacing w:val="-17"/>
          <w:w w:val="105"/>
        </w:rPr>
        <w:t> </w:t>
      </w:r>
      <w:r>
        <w:rPr>
          <w:color w:val="231F20"/>
          <w:w w:val="105"/>
        </w:rPr>
        <w:t>y</w:t>
      </w:r>
      <w:r>
        <w:rPr>
          <w:color w:val="231F20"/>
          <w:spacing w:val="-17"/>
          <w:w w:val="105"/>
        </w:rPr>
        <w:t> </w:t>
      </w:r>
      <w:r>
        <w:rPr>
          <w:color w:val="231F20"/>
          <w:w w:val="105"/>
        </w:rPr>
        <w:t>federal para</w:t>
      </w:r>
      <w:r>
        <w:rPr>
          <w:color w:val="231F20"/>
          <w:spacing w:val="-7"/>
          <w:w w:val="105"/>
        </w:rPr>
        <w:t> </w:t>
      </w:r>
      <w:r>
        <w:rPr>
          <w:color w:val="231F20"/>
          <w:w w:val="105"/>
        </w:rPr>
        <w:t>coordinar</w:t>
      </w:r>
      <w:r>
        <w:rPr>
          <w:color w:val="231F20"/>
          <w:spacing w:val="-7"/>
          <w:w w:val="105"/>
        </w:rPr>
        <w:t> </w:t>
      </w:r>
      <w:r>
        <w:rPr>
          <w:color w:val="231F20"/>
          <w:w w:val="105"/>
        </w:rPr>
        <w:t>la</w:t>
      </w:r>
      <w:r>
        <w:rPr>
          <w:color w:val="231F20"/>
          <w:spacing w:val="-7"/>
          <w:w w:val="105"/>
        </w:rPr>
        <w:t> </w:t>
      </w:r>
      <w:r>
        <w:rPr>
          <w:color w:val="231F20"/>
          <w:w w:val="105"/>
        </w:rPr>
        <w:t>ejecución</w:t>
      </w:r>
      <w:r>
        <w:rPr>
          <w:color w:val="231F20"/>
          <w:spacing w:val="-7"/>
          <w:w w:val="105"/>
        </w:rPr>
        <w:t> </w:t>
      </w:r>
      <w:r>
        <w:rPr>
          <w:color w:val="231F20"/>
          <w:w w:val="105"/>
        </w:rPr>
        <w:t>de</w:t>
      </w:r>
      <w:r>
        <w:rPr>
          <w:color w:val="231F20"/>
          <w:spacing w:val="-7"/>
          <w:w w:val="105"/>
        </w:rPr>
        <w:t> </w:t>
      </w:r>
      <w:r>
        <w:rPr>
          <w:color w:val="231F20"/>
          <w:w w:val="105"/>
        </w:rPr>
        <w:t>acciones</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aplicación</w:t>
      </w:r>
      <w:r>
        <w:rPr>
          <w:color w:val="231F20"/>
          <w:spacing w:val="-7"/>
          <w:w w:val="105"/>
        </w:rPr>
        <w:t> </w:t>
      </w:r>
      <w:r>
        <w:rPr>
          <w:color w:val="231F20"/>
          <w:w w:val="105"/>
        </w:rPr>
        <w:t>de</w:t>
      </w:r>
      <w:r>
        <w:rPr>
          <w:color w:val="231F20"/>
          <w:spacing w:val="-7"/>
          <w:w w:val="105"/>
        </w:rPr>
        <w:t> </w:t>
      </w:r>
      <w:r>
        <w:rPr>
          <w:color w:val="231F20"/>
          <w:w w:val="105"/>
        </w:rPr>
        <w:t>recursos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realización</w:t>
      </w:r>
      <w:r>
        <w:rPr>
          <w:color w:val="231F20"/>
          <w:spacing w:val="-7"/>
          <w:w w:val="105"/>
        </w:rPr>
        <w:t> </w:t>
      </w:r>
      <w:r>
        <w:rPr>
          <w:color w:val="231F20"/>
          <w:w w:val="105"/>
        </w:rPr>
        <w:t>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rPr>
        <w:t>obras públicas y proyectos a fin de impulsar el desarrollo del   municipio.</w:t>
      </w:r>
    </w:p>
    <w:p>
      <w:pPr>
        <w:pStyle w:val="BodyText"/>
        <w:spacing w:before="2"/>
        <w:rPr>
          <w:sz w:val="30"/>
        </w:rPr>
      </w:pPr>
    </w:p>
    <w:p>
      <w:pPr>
        <w:pStyle w:val="BodyText"/>
        <w:spacing w:line="285" w:lineRule="auto"/>
        <w:ind w:left="110" w:right="107"/>
        <w:jc w:val="both"/>
      </w:pPr>
      <w:r>
        <w:rPr>
          <w:color w:val="231F20"/>
          <w:w w:val="105"/>
        </w:rPr>
        <w:t>Los mecanismos de coordinación, se dan de manera institucional y de acuerdo a las características propias se otorgan formas de financiamiento. (Plan; 2007: 178)</w:t>
      </w:r>
    </w:p>
    <w:p>
      <w:pPr>
        <w:pStyle w:val="BodyText"/>
        <w:spacing w:before="1"/>
        <w:rPr>
          <w:sz w:val="26"/>
        </w:rPr>
      </w:pPr>
    </w:p>
    <w:p>
      <w:pPr>
        <w:pStyle w:val="BodyText"/>
        <w:spacing w:line="285" w:lineRule="auto"/>
        <w:ind w:left="110" w:right="107"/>
        <w:jc w:val="both"/>
      </w:pPr>
      <w:r>
        <w:rPr>
          <w:color w:val="231F20"/>
          <w:w w:val="105"/>
        </w:rPr>
        <w:t>Si</w:t>
      </w:r>
      <w:r>
        <w:rPr>
          <w:color w:val="231F20"/>
          <w:spacing w:val="-9"/>
          <w:w w:val="105"/>
        </w:rPr>
        <w:t> </w:t>
      </w:r>
      <w:r>
        <w:rPr>
          <w:color w:val="231F20"/>
          <w:w w:val="105"/>
        </w:rPr>
        <w:t>a</w:t>
      </w:r>
      <w:r>
        <w:rPr>
          <w:color w:val="231F20"/>
          <w:spacing w:val="-9"/>
          <w:w w:val="105"/>
        </w:rPr>
        <w:t> </w:t>
      </w:r>
      <w:r>
        <w:rPr>
          <w:color w:val="231F20"/>
          <w:w w:val="105"/>
        </w:rPr>
        <w:t>esto</w:t>
      </w:r>
      <w:r>
        <w:rPr>
          <w:color w:val="231F20"/>
          <w:spacing w:val="-9"/>
          <w:w w:val="105"/>
        </w:rPr>
        <w:t> </w:t>
      </w:r>
      <w:r>
        <w:rPr>
          <w:color w:val="231F20"/>
          <w:w w:val="105"/>
        </w:rPr>
        <w:t>le</w:t>
      </w:r>
      <w:r>
        <w:rPr>
          <w:color w:val="231F20"/>
          <w:spacing w:val="-9"/>
          <w:w w:val="105"/>
        </w:rPr>
        <w:t> </w:t>
      </w:r>
      <w:r>
        <w:rPr>
          <w:color w:val="231F20"/>
          <w:w w:val="105"/>
        </w:rPr>
        <w:t>adicionamos</w:t>
      </w:r>
      <w:r>
        <w:rPr>
          <w:color w:val="231F20"/>
          <w:spacing w:val="-9"/>
          <w:w w:val="105"/>
        </w:rPr>
        <w:t> </w:t>
      </w:r>
      <w:r>
        <w:rPr>
          <w:color w:val="231F20"/>
          <w:w w:val="105"/>
        </w:rPr>
        <w:t>las</w:t>
      </w:r>
      <w:r>
        <w:rPr>
          <w:color w:val="231F20"/>
          <w:spacing w:val="-9"/>
          <w:w w:val="105"/>
        </w:rPr>
        <w:t> </w:t>
      </w:r>
      <w:r>
        <w:rPr>
          <w:color w:val="231F20"/>
          <w:w w:val="105"/>
        </w:rPr>
        <w:t>luchas</w:t>
      </w:r>
      <w:r>
        <w:rPr>
          <w:color w:val="231F20"/>
          <w:spacing w:val="-9"/>
          <w:w w:val="105"/>
        </w:rPr>
        <w:t> </w:t>
      </w:r>
      <w:r>
        <w:rPr>
          <w:color w:val="231F20"/>
          <w:w w:val="105"/>
        </w:rPr>
        <w:t>políticas</w:t>
      </w:r>
      <w:r>
        <w:rPr>
          <w:color w:val="231F20"/>
          <w:spacing w:val="-9"/>
          <w:w w:val="105"/>
        </w:rPr>
        <w:t> </w:t>
      </w:r>
      <w:r>
        <w:rPr>
          <w:color w:val="231F20"/>
          <w:w w:val="105"/>
        </w:rPr>
        <w:t>tanto</w:t>
      </w:r>
      <w:r>
        <w:rPr>
          <w:color w:val="231F20"/>
          <w:spacing w:val="-9"/>
          <w:w w:val="105"/>
        </w:rPr>
        <w:t> </w:t>
      </w:r>
      <w:r>
        <w:rPr>
          <w:color w:val="231F20"/>
          <w:spacing w:val="2"/>
          <w:w w:val="105"/>
        </w:rPr>
        <w:t>al</w:t>
      </w:r>
      <w:r>
        <w:rPr>
          <w:color w:val="231F20"/>
          <w:spacing w:val="-9"/>
          <w:w w:val="105"/>
        </w:rPr>
        <w:t> </w:t>
      </w:r>
      <w:r>
        <w:rPr>
          <w:color w:val="231F20"/>
          <w:w w:val="105"/>
        </w:rPr>
        <w:t>interior</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partidos</w:t>
      </w:r>
      <w:r>
        <w:rPr>
          <w:color w:val="231F20"/>
          <w:spacing w:val="-9"/>
          <w:w w:val="105"/>
        </w:rPr>
        <w:t> </w:t>
      </w:r>
      <w:r>
        <w:rPr>
          <w:color w:val="231F20"/>
          <w:w w:val="105"/>
        </w:rPr>
        <w:t>como</w:t>
      </w:r>
      <w:r>
        <w:rPr>
          <w:color w:val="231F20"/>
          <w:spacing w:val="-9"/>
          <w:w w:val="105"/>
        </w:rPr>
        <w:t> </w:t>
      </w:r>
      <w:r>
        <w:rPr>
          <w:color w:val="231F20"/>
          <w:w w:val="105"/>
        </w:rPr>
        <w:t>entre los</w:t>
      </w:r>
      <w:r>
        <w:rPr>
          <w:color w:val="231F20"/>
          <w:spacing w:val="-15"/>
          <w:w w:val="105"/>
        </w:rPr>
        <w:t> </w:t>
      </w:r>
      <w:r>
        <w:rPr>
          <w:color w:val="231F20"/>
          <w:w w:val="105"/>
        </w:rPr>
        <w:t>demás</w:t>
      </w:r>
      <w:r>
        <w:rPr>
          <w:color w:val="231F20"/>
          <w:spacing w:val="-15"/>
          <w:w w:val="105"/>
        </w:rPr>
        <w:t> </w:t>
      </w:r>
      <w:r>
        <w:rPr>
          <w:color w:val="231F20"/>
          <w:w w:val="105"/>
        </w:rPr>
        <w:t>partidos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control</w:t>
      </w:r>
      <w:r>
        <w:rPr>
          <w:color w:val="231F20"/>
          <w:spacing w:val="-15"/>
          <w:w w:val="105"/>
        </w:rPr>
        <w:t> </w:t>
      </w:r>
      <w:r>
        <w:rPr>
          <w:color w:val="231F20"/>
          <w:w w:val="105"/>
        </w:rPr>
        <w:t>del</w:t>
      </w:r>
      <w:r>
        <w:rPr>
          <w:color w:val="231F20"/>
          <w:spacing w:val="-15"/>
          <w:w w:val="105"/>
        </w:rPr>
        <w:t> </w:t>
      </w:r>
      <w:r>
        <w:rPr>
          <w:color w:val="231F20"/>
          <w:spacing w:val="-3"/>
          <w:w w:val="105"/>
        </w:rPr>
        <w:t>poder,</w:t>
      </w:r>
      <w:r>
        <w:rPr>
          <w:color w:val="231F20"/>
          <w:spacing w:val="-15"/>
          <w:w w:val="105"/>
        </w:rPr>
        <w:t> </w:t>
      </w:r>
      <w:r>
        <w:rPr>
          <w:color w:val="231F20"/>
          <w:w w:val="105"/>
        </w:rPr>
        <w:t>entendemos</w:t>
      </w:r>
      <w:r>
        <w:rPr>
          <w:color w:val="231F20"/>
          <w:spacing w:val="-15"/>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se</w:t>
      </w:r>
      <w:r>
        <w:rPr>
          <w:color w:val="231F20"/>
          <w:spacing w:val="-15"/>
          <w:w w:val="105"/>
        </w:rPr>
        <w:t> </w:t>
      </w:r>
      <w:r>
        <w:rPr>
          <w:color w:val="231F20"/>
          <w:w w:val="105"/>
        </w:rPr>
        <w:t>justifica</w:t>
      </w:r>
      <w:r>
        <w:rPr>
          <w:color w:val="231F20"/>
          <w:spacing w:val="-15"/>
          <w:w w:val="105"/>
        </w:rPr>
        <w:t> </w:t>
      </w:r>
      <w:r>
        <w:rPr>
          <w:color w:val="231F20"/>
          <w:w w:val="105"/>
        </w:rPr>
        <w:t>el</w:t>
      </w:r>
      <w:r>
        <w:rPr>
          <w:color w:val="231F20"/>
          <w:spacing w:val="-15"/>
          <w:w w:val="105"/>
        </w:rPr>
        <w:t> </w:t>
      </w:r>
      <w:r>
        <w:rPr>
          <w:color w:val="231F20"/>
          <w:w w:val="105"/>
        </w:rPr>
        <w:t>manejo</w:t>
      </w:r>
      <w:r>
        <w:rPr>
          <w:color w:val="231F20"/>
          <w:spacing w:val="-15"/>
          <w:w w:val="105"/>
        </w:rPr>
        <w:t> </w:t>
      </w:r>
      <w:r>
        <w:rPr>
          <w:color w:val="231F20"/>
          <w:w w:val="105"/>
        </w:rPr>
        <w:t>de programas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lleva</w:t>
      </w:r>
      <w:r>
        <w:rPr>
          <w:color w:val="231F20"/>
          <w:spacing w:val="-5"/>
          <w:w w:val="105"/>
        </w:rPr>
        <w:t> </w:t>
      </w:r>
      <w:r>
        <w:rPr>
          <w:color w:val="231F20"/>
          <w:w w:val="105"/>
        </w:rPr>
        <w:t>a</w:t>
      </w:r>
      <w:r>
        <w:rPr>
          <w:color w:val="231F20"/>
          <w:spacing w:val="-5"/>
          <w:w w:val="105"/>
        </w:rPr>
        <w:t> </w:t>
      </w:r>
      <w:r>
        <w:rPr>
          <w:color w:val="231F20"/>
          <w:w w:val="105"/>
        </w:rPr>
        <w:t>cabo</w:t>
      </w:r>
      <w:r>
        <w:rPr>
          <w:color w:val="231F20"/>
          <w:spacing w:val="-5"/>
          <w:w w:val="105"/>
        </w:rPr>
        <w:t> </w:t>
      </w:r>
      <w:r>
        <w:rPr>
          <w:color w:val="231F20"/>
          <w:w w:val="105"/>
        </w:rPr>
        <w:t>por</w:t>
      </w:r>
      <w:r>
        <w:rPr>
          <w:color w:val="231F20"/>
          <w:spacing w:val="-5"/>
          <w:w w:val="105"/>
        </w:rPr>
        <w:t> </w:t>
      </w:r>
      <w:r>
        <w:rPr>
          <w:color w:val="231F20"/>
          <w:w w:val="105"/>
        </w:rPr>
        <w:t>parte</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autoridades</w:t>
      </w:r>
      <w:r>
        <w:rPr>
          <w:color w:val="231F20"/>
          <w:spacing w:val="-5"/>
          <w:w w:val="105"/>
        </w:rPr>
        <w:t> </w:t>
      </w:r>
      <w:r>
        <w:rPr>
          <w:color w:val="231F20"/>
          <w:w w:val="105"/>
        </w:rPr>
        <w:t>municipales,</w:t>
      </w:r>
      <w:r>
        <w:rPr>
          <w:color w:val="231F20"/>
          <w:spacing w:val="-5"/>
          <w:w w:val="105"/>
        </w:rPr>
        <w:t> </w:t>
      </w:r>
      <w:r>
        <w:rPr>
          <w:color w:val="231F20"/>
          <w:w w:val="105"/>
        </w:rPr>
        <w:t>sobre</w:t>
      </w:r>
      <w:r>
        <w:rPr>
          <w:color w:val="231F20"/>
          <w:spacing w:val="-5"/>
          <w:w w:val="105"/>
        </w:rPr>
        <w:t> </w:t>
      </w:r>
      <w:r>
        <w:rPr>
          <w:color w:val="231F20"/>
          <w:w w:val="105"/>
        </w:rPr>
        <w:t>todo</w:t>
      </w:r>
      <w:r>
        <w:rPr>
          <w:color w:val="231F20"/>
          <w:spacing w:val="-5"/>
          <w:w w:val="105"/>
        </w:rPr>
        <w:t> </w:t>
      </w:r>
      <w:r>
        <w:rPr>
          <w:color w:val="231F20"/>
          <w:w w:val="105"/>
        </w:rPr>
        <w:t>los de</w:t>
      </w:r>
      <w:r>
        <w:rPr>
          <w:color w:val="231F20"/>
          <w:spacing w:val="-11"/>
          <w:w w:val="105"/>
        </w:rPr>
        <w:t> </w:t>
      </w:r>
      <w:r>
        <w:rPr>
          <w:color w:val="231F20"/>
          <w:w w:val="105"/>
        </w:rPr>
        <w:t>seguridad</w:t>
      </w:r>
      <w:r>
        <w:rPr>
          <w:color w:val="231F20"/>
          <w:spacing w:val="-11"/>
          <w:w w:val="105"/>
        </w:rPr>
        <w:t> </w:t>
      </w:r>
      <w:r>
        <w:rPr>
          <w:color w:val="231F20"/>
          <w:w w:val="105"/>
        </w:rPr>
        <w:t>social</w:t>
      </w:r>
      <w:r>
        <w:rPr>
          <w:color w:val="231F20"/>
          <w:spacing w:val="-11"/>
          <w:w w:val="105"/>
        </w:rPr>
        <w:t> </w:t>
      </w:r>
      <w:r>
        <w:rPr>
          <w:color w:val="231F20"/>
          <w:w w:val="105"/>
        </w:rPr>
        <w:t>en</w:t>
      </w:r>
      <w:r>
        <w:rPr>
          <w:color w:val="231F20"/>
          <w:spacing w:val="-11"/>
          <w:w w:val="105"/>
        </w:rPr>
        <w:t> </w:t>
      </w:r>
      <w:r>
        <w:rPr>
          <w:color w:val="231F20"/>
          <w:w w:val="105"/>
        </w:rPr>
        <w:t>aras</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mejor</w:t>
      </w:r>
      <w:r>
        <w:rPr>
          <w:color w:val="231F20"/>
          <w:spacing w:val="-11"/>
          <w:w w:val="105"/>
        </w:rPr>
        <w:t> </w:t>
      </w:r>
      <w:r>
        <w:rPr>
          <w:color w:val="231F20"/>
          <w:w w:val="105"/>
        </w:rPr>
        <w:t>control</w:t>
      </w:r>
      <w:r>
        <w:rPr>
          <w:color w:val="231F20"/>
          <w:spacing w:val="-11"/>
          <w:w w:val="105"/>
        </w:rPr>
        <w:t> </w:t>
      </w:r>
      <w:r>
        <w:rPr>
          <w:color w:val="231F20"/>
          <w:w w:val="105"/>
        </w:rPr>
        <w:t>político.</w:t>
      </w:r>
    </w:p>
    <w:p>
      <w:pPr>
        <w:pStyle w:val="BodyText"/>
        <w:spacing w:before="1"/>
        <w:rPr>
          <w:sz w:val="26"/>
        </w:rPr>
      </w:pPr>
    </w:p>
    <w:p>
      <w:pPr>
        <w:pStyle w:val="BodyText"/>
        <w:spacing w:line="285" w:lineRule="auto"/>
        <w:ind w:left="110" w:right="107"/>
        <w:jc w:val="both"/>
      </w:pPr>
      <w:r>
        <w:rPr>
          <w:color w:val="231F20"/>
          <w:spacing w:val="-3"/>
          <w:w w:val="105"/>
        </w:rPr>
        <w:t>Hoy </w:t>
      </w:r>
      <w:r>
        <w:rPr>
          <w:color w:val="231F20"/>
          <w:w w:val="105"/>
        </w:rPr>
        <w:t>es Antorcha Popular la que desde el año </w:t>
      </w:r>
      <w:r>
        <w:rPr>
          <w:color w:val="231F20"/>
          <w:spacing w:val="4"/>
          <w:w w:val="105"/>
        </w:rPr>
        <w:t>2000 </w:t>
      </w:r>
      <w:r>
        <w:rPr>
          <w:color w:val="231F20"/>
          <w:w w:val="105"/>
        </w:rPr>
        <w:t>tiene el manejo del poder político en Chimalhuacán, tanto como sinónimo de gobierno, como el control de los diversos grupos de poder de esta comunidad. Las formas son las mismas que desarrolló en su </w:t>
      </w:r>
      <w:r>
        <w:rPr>
          <w:color w:val="231F20"/>
          <w:spacing w:val="-3"/>
          <w:w w:val="105"/>
        </w:rPr>
        <w:t>momento</w:t>
      </w:r>
      <w:r>
        <w:rPr>
          <w:color w:val="231F20"/>
          <w:spacing w:val="-13"/>
          <w:w w:val="105"/>
        </w:rPr>
        <w:t> </w:t>
      </w:r>
      <w:r>
        <w:rPr>
          <w:color w:val="231F20"/>
          <w:w w:val="105"/>
        </w:rPr>
        <w:t>la</w:t>
      </w:r>
      <w:r>
        <w:rPr>
          <w:color w:val="231F20"/>
          <w:spacing w:val="-13"/>
          <w:w w:val="105"/>
        </w:rPr>
        <w:t> </w:t>
      </w:r>
      <w:r>
        <w:rPr>
          <w:color w:val="231F20"/>
          <w:w w:val="105"/>
        </w:rPr>
        <w:t>OPC</w:t>
      </w:r>
      <w:r>
        <w:rPr>
          <w:color w:val="231F20"/>
          <w:spacing w:val="-13"/>
          <w:w w:val="105"/>
        </w:rPr>
        <w:t> </w:t>
      </w:r>
      <w:r>
        <w:rPr>
          <w:color w:val="231F20"/>
          <w:spacing w:val="2"/>
          <w:w w:val="105"/>
        </w:rPr>
        <w:t>al</w:t>
      </w:r>
      <w:r>
        <w:rPr>
          <w:color w:val="231F20"/>
          <w:spacing w:val="-13"/>
          <w:w w:val="105"/>
        </w:rPr>
        <w:t> </w:t>
      </w:r>
      <w:r>
        <w:rPr>
          <w:color w:val="231F20"/>
          <w:w w:val="105"/>
        </w:rPr>
        <w:t>mando</w:t>
      </w:r>
      <w:r>
        <w:rPr>
          <w:color w:val="231F20"/>
          <w:spacing w:val="-13"/>
          <w:w w:val="105"/>
        </w:rPr>
        <w:t> </w:t>
      </w:r>
      <w:r>
        <w:rPr>
          <w:color w:val="231F20"/>
          <w:w w:val="105"/>
        </w:rPr>
        <w:t>de</w:t>
      </w:r>
      <w:r>
        <w:rPr>
          <w:color w:val="231F20"/>
          <w:spacing w:val="-13"/>
          <w:w w:val="105"/>
        </w:rPr>
        <w:t> </w:t>
      </w:r>
      <w:r>
        <w:rPr>
          <w:color w:val="231F20"/>
          <w:w w:val="105"/>
        </w:rPr>
        <w:t>Guadalupe</w:t>
      </w:r>
      <w:r>
        <w:rPr>
          <w:color w:val="231F20"/>
          <w:spacing w:val="-13"/>
          <w:w w:val="105"/>
        </w:rPr>
        <w:t> </w:t>
      </w:r>
      <w:r>
        <w:rPr>
          <w:color w:val="231F20"/>
          <w:w w:val="105"/>
        </w:rPr>
        <w:t>Buendía,</w:t>
      </w:r>
      <w:r>
        <w:rPr>
          <w:color w:val="231F20"/>
          <w:spacing w:val="-13"/>
          <w:w w:val="105"/>
        </w:rPr>
        <w:t> </w:t>
      </w:r>
      <w:r>
        <w:rPr>
          <w:color w:val="231F20"/>
          <w:w w:val="105"/>
        </w:rPr>
        <w:t>o</w:t>
      </w:r>
      <w:r>
        <w:rPr>
          <w:color w:val="231F20"/>
          <w:spacing w:val="-13"/>
          <w:w w:val="105"/>
        </w:rPr>
        <w:t> </w:t>
      </w:r>
      <w:r>
        <w:rPr>
          <w:color w:val="231F20"/>
          <w:w w:val="105"/>
        </w:rPr>
        <w:t>las</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spacing w:val="-3"/>
          <w:w w:val="105"/>
        </w:rPr>
        <w:t>momento</w:t>
      </w:r>
      <w:r>
        <w:rPr>
          <w:color w:val="231F20"/>
          <w:spacing w:val="-13"/>
          <w:w w:val="105"/>
        </w:rPr>
        <w:t> </w:t>
      </w:r>
      <w:r>
        <w:rPr>
          <w:color w:val="231F20"/>
          <w:w w:val="105"/>
        </w:rPr>
        <w:t>emplearon “los</w:t>
      </w:r>
      <w:r>
        <w:rPr>
          <w:color w:val="231F20"/>
          <w:spacing w:val="-4"/>
          <w:w w:val="105"/>
        </w:rPr>
        <w:t> </w:t>
      </w:r>
      <w:r>
        <w:rPr>
          <w:color w:val="231F20"/>
          <w:w w:val="105"/>
        </w:rPr>
        <w:t>sepultureros”</w:t>
      </w:r>
      <w:r>
        <w:rPr>
          <w:color w:val="231F20"/>
          <w:spacing w:val="-4"/>
          <w:w w:val="105"/>
        </w:rPr>
        <w:t> </w:t>
      </w:r>
      <w:r>
        <w:rPr>
          <w:color w:val="231F20"/>
          <w:w w:val="105"/>
        </w:rPr>
        <w:t>de</w:t>
      </w:r>
      <w:r>
        <w:rPr>
          <w:color w:val="231F20"/>
          <w:spacing w:val="-4"/>
          <w:w w:val="105"/>
        </w:rPr>
        <w:t> </w:t>
      </w:r>
      <w:r>
        <w:rPr>
          <w:color w:val="231F20"/>
          <w:w w:val="105"/>
        </w:rPr>
        <w:t>forma</w:t>
      </w:r>
      <w:r>
        <w:rPr>
          <w:color w:val="231F20"/>
          <w:spacing w:val="-4"/>
          <w:w w:val="105"/>
        </w:rPr>
        <w:t> </w:t>
      </w:r>
      <w:r>
        <w:rPr>
          <w:color w:val="231F20"/>
          <w:w w:val="105"/>
        </w:rPr>
        <w:t>cimarrona;</w:t>
      </w:r>
      <w:r>
        <w:rPr>
          <w:color w:val="231F20"/>
          <w:spacing w:val="-4"/>
          <w:w w:val="105"/>
        </w:rPr>
        <w:t> </w:t>
      </w:r>
      <w:r>
        <w:rPr>
          <w:color w:val="231F20"/>
          <w:w w:val="105"/>
        </w:rPr>
        <w:t>la</w:t>
      </w:r>
      <w:r>
        <w:rPr>
          <w:color w:val="231F20"/>
          <w:spacing w:val="-4"/>
          <w:w w:val="105"/>
        </w:rPr>
        <w:t> </w:t>
      </w:r>
      <w:r>
        <w:rPr>
          <w:color w:val="231F20"/>
          <w:w w:val="105"/>
        </w:rPr>
        <w:t>cuestión</w:t>
      </w:r>
      <w:r>
        <w:rPr>
          <w:color w:val="231F20"/>
          <w:spacing w:val="-4"/>
          <w:w w:val="105"/>
        </w:rPr>
        <w:t> </w:t>
      </w:r>
      <w:r>
        <w:rPr>
          <w:color w:val="231F20"/>
          <w:w w:val="105"/>
        </w:rPr>
        <w:t>es</w:t>
      </w:r>
      <w:r>
        <w:rPr>
          <w:color w:val="231F20"/>
          <w:spacing w:val="-4"/>
          <w:w w:val="105"/>
        </w:rPr>
        <w:t> </w:t>
      </w:r>
      <w:r>
        <w:rPr>
          <w:color w:val="231F20"/>
          <w:w w:val="105"/>
        </w:rPr>
        <w:t>que</w:t>
      </w:r>
      <w:r>
        <w:rPr>
          <w:color w:val="231F20"/>
          <w:spacing w:val="-4"/>
          <w:w w:val="105"/>
        </w:rPr>
        <w:t> </w:t>
      </w:r>
      <w:r>
        <w:rPr>
          <w:color w:val="231F20"/>
          <w:spacing w:val="2"/>
          <w:w w:val="105"/>
        </w:rPr>
        <w:t>van</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cuarto</w:t>
      </w:r>
      <w:r>
        <w:rPr>
          <w:color w:val="231F20"/>
          <w:spacing w:val="-4"/>
          <w:w w:val="105"/>
        </w:rPr>
        <w:t> </w:t>
      </w:r>
      <w:r>
        <w:rPr>
          <w:color w:val="231F20"/>
          <w:w w:val="105"/>
        </w:rPr>
        <w:t>periodo</w:t>
      </w:r>
      <w:r>
        <w:rPr>
          <w:color w:val="231F20"/>
          <w:spacing w:val="-4"/>
          <w:w w:val="105"/>
        </w:rPr>
        <w:t> </w:t>
      </w:r>
      <w:r>
        <w:rPr>
          <w:color w:val="231F20"/>
          <w:w w:val="105"/>
        </w:rPr>
        <w:t>de gobierno</w:t>
      </w:r>
      <w:r>
        <w:rPr>
          <w:color w:val="231F20"/>
          <w:spacing w:val="-14"/>
          <w:w w:val="105"/>
        </w:rPr>
        <w:t> </w:t>
      </w:r>
      <w:r>
        <w:rPr>
          <w:color w:val="231F20"/>
          <w:w w:val="105"/>
        </w:rPr>
        <w:t>municipal,</w:t>
      </w:r>
      <w:r>
        <w:rPr>
          <w:color w:val="231F20"/>
          <w:spacing w:val="-14"/>
          <w:w w:val="105"/>
        </w:rPr>
        <w:t> </w:t>
      </w:r>
      <w:r>
        <w:rPr>
          <w:color w:val="231F20"/>
          <w:spacing w:val="2"/>
          <w:w w:val="105"/>
        </w:rPr>
        <w:t>al</w:t>
      </w:r>
      <w:r>
        <w:rPr>
          <w:color w:val="231F20"/>
          <w:spacing w:val="-14"/>
          <w:w w:val="105"/>
        </w:rPr>
        <w:t> </w:t>
      </w:r>
      <w:r>
        <w:rPr>
          <w:color w:val="231F20"/>
          <w:w w:val="105"/>
        </w:rPr>
        <w:t>viejo</w:t>
      </w:r>
      <w:r>
        <w:rPr>
          <w:color w:val="231F20"/>
          <w:spacing w:val="-14"/>
          <w:w w:val="105"/>
        </w:rPr>
        <w:t> </w:t>
      </w:r>
      <w:r>
        <w:rPr>
          <w:color w:val="231F20"/>
          <w:w w:val="105"/>
        </w:rPr>
        <w:t>estilo</w:t>
      </w:r>
      <w:r>
        <w:rPr>
          <w:color w:val="231F20"/>
          <w:spacing w:val="-14"/>
          <w:w w:val="105"/>
        </w:rPr>
        <w:t> </w:t>
      </w:r>
      <w:r>
        <w:rPr>
          <w:color w:val="231F20"/>
          <w:w w:val="105"/>
        </w:rPr>
        <w:t>priísta</w:t>
      </w:r>
      <w:r>
        <w:rPr>
          <w:color w:val="231F20"/>
          <w:spacing w:val="-14"/>
          <w:w w:val="105"/>
        </w:rPr>
        <w:t> </w:t>
      </w:r>
      <w:r>
        <w:rPr>
          <w:color w:val="231F20"/>
          <w:w w:val="105"/>
        </w:rPr>
        <w:t>de</w:t>
      </w:r>
      <w:r>
        <w:rPr>
          <w:color w:val="231F20"/>
          <w:spacing w:val="-14"/>
          <w:w w:val="105"/>
        </w:rPr>
        <w:t> </w:t>
      </w:r>
      <w:r>
        <w:rPr>
          <w:color w:val="231F20"/>
          <w:w w:val="105"/>
        </w:rPr>
        <w:t>dominio</w:t>
      </w:r>
      <w:r>
        <w:rPr>
          <w:color w:val="231F20"/>
          <w:spacing w:val="-14"/>
          <w:w w:val="105"/>
        </w:rPr>
        <w:t> </w:t>
      </w:r>
      <w:r>
        <w:rPr>
          <w:color w:val="231F20"/>
          <w:w w:val="105"/>
        </w:rPr>
        <w:t>pero</w:t>
      </w:r>
      <w:r>
        <w:rPr>
          <w:color w:val="231F20"/>
          <w:spacing w:val="-14"/>
          <w:w w:val="105"/>
        </w:rPr>
        <w:t> </w:t>
      </w:r>
      <w:r>
        <w:rPr>
          <w:color w:val="231F20"/>
          <w:w w:val="105"/>
        </w:rPr>
        <w:t>no</w:t>
      </w:r>
      <w:r>
        <w:rPr>
          <w:color w:val="231F20"/>
          <w:spacing w:val="-14"/>
          <w:w w:val="105"/>
        </w:rPr>
        <w:t> </w:t>
      </w:r>
      <w:r>
        <w:rPr>
          <w:color w:val="231F20"/>
          <w:w w:val="105"/>
        </w:rPr>
        <w:t>democrático.</w:t>
      </w:r>
    </w:p>
    <w:p>
      <w:pPr>
        <w:pStyle w:val="BodyText"/>
        <w:spacing w:before="9"/>
      </w:pPr>
    </w:p>
    <w:p>
      <w:pPr>
        <w:pStyle w:val="Heading3"/>
        <w:spacing w:before="1"/>
      </w:pPr>
      <w:r>
        <w:rPr>
          <w:color w:val="231F20"/>
          <w:w w:val="105"/>
        </w:rPr>
        <w:t>Conclusiones</w:t>
      </w:r>
    </w:p>
    <w:p>
      <w:pPr>
        <w:pStyle w:val="BodyText"/>
        <w:spacing w:line="285" w:lineRule="auto" w:before="38"/>
        <w:ind w:left="110" w:right="108"/>
        <w:jc w:val="both"/>
      </w:pPr>
      <w:r>
        <w:rPr>
          <w:color w:val="231F20"/>
          <w:w w:val="105"/>
        </w:rPr>
        <w:t>Desde los orígenes del PRI en Chimalhuacán el cacicazgo es sinónimo de fortaleza</w:t>
      </w:r>
      <w:r>
        <w:rPr>
          <w:color w:val="231F20"/>
          <w:spacing w:val="-34"/>
          <w:w w:val="105"/>
        </w:rPr>
        <w:t> </w:t>
      </w:r>
      <w:r>
        <w:rPr>
          <w:color w:val="231F20"/>
          <w:w w:val="105"/>
        </w:rPr>
        <w:t>en el</w:t>
      </w:r>
      <w:r>
        <w:rPr>
          <w:color w:val="231F20"/>
          <w:spacing w:val="-4"/>
          <w:w w:val="105"/>
        </w:rPr>
        <w:t> </w:t>
      </w:r>
      <w:r>
        <w:rPr>
          <w:color w:val="231F20"/>
          <w:w w:val="105"/>
        </w:rPr>
        <w:t>ejercicio</w:t>
      </w:r>
      <w:r>
        <w:rPr>
          <w:color w:val="231F20"/>
          <w:spacing w:val="-4"/>
          <w:w w:val="105"/>
        </w:rPr>
        <w:t> </w:t>
      </w:r>
      <w:r>
        <w:rPr>
          <w:color w:val="231F20"/>
          <w:w w:val="105"/>
        </w:rPr>
        <w:t>del</w:t>
      </w:r>
      <w:r>
        <w:rPr>
          <w:color w:val="231F20"/>
          <w:spacing w:val="-4"/>
          <w:w w:val="105"/>
        </w:rPr>
        <w:t> </w:t>
      </w:r>
      <w:r>
        <w:rPr>
          <w:color w:val="231F20"/>
          <w:w w:val="105"/>
        </w:rPr>
        <w:t>poder</w:t>
      </w:r>
      <w:r>
        <w:rPr>
          <w:color w:val="231F20"/>
          <w:spacing w:val="-4"/>
          <w:w w:val="105"/>
        </w:rPr>
        <w:t> </w:t>
      </w:r>
      <w:r>
        <w:rPr>
          <w:color w:val="231F20"/>
          <w:w w:val="105"/>
        </w:rPr>
        <w:t>político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pasado,</w:t>
      </w:r>
      <w:r>
        <w:rPr>
          <w:color w:val="231F20"/>
          <w:spacing w:val="-4"/>
          <w:w w:val="105"/>
        </w:rPr>
        <w:t> </w:t>
      </w:r>
      <w:r>
        <w:rPr>
          <w:color w:val="231F20"/>
          <w:w w:val="105"/>
        </w:rPr>
        <w:t>aquel</w:t>
      </w:r>
      <w:r>
        <w:rPr>
          <w:color w:val="231F20"/>
          <w:spacing w:val="-4"/>
          <w:w w:val="105"/>
        </w:rPr>
        <w:t> </w:t>
      </w:r>
      <w:r>
        <w:rPr>
          <w:color w:val="231F20"/>
          <w:w w:val="105"/>
        </w:rPr>
        <w:t>de</w:t>
      </w:r>
      <w:r>
        <w:rPr>
          <w:color w:val="231F20"/>
          <w:spacing w:val="-4"/>
          <w:w w:val="105"/>
        </w:rPr>
        <w:t> </w:t>
      </w:r>
      <w:r>
        <w:rPr>
          <w:color w:val="231F20"/>
          <w:w w:val="105"/>
        </w:rPr>
        <w:t>corte</w:t>
      </w:r>
      <w:r>
        <w:rPr>
          <w:color w:val="231F20"/>
          <w:spacing w:val="-4"/>
          <w:w w:val="105"/>
        </w:rPr>
        <w:t> </w:t>
      </w:r>
      <w:r>
        <w:rPr>
          <w:color w:val="231F20"/>
          <w:spacing w:val="2"/>
          <w:w w:val="105"/>
        </w:rPr>
        <w:t>rural</w:t>
      </w:r>
      <w:r>
        <w:rPr>
          <w:color w:val="231F20"/>
          <w:spacing w:val="-4"/>
          <w:w w:val="105"/>
        </w:rPr>
        <w:t> </w:t>
      </w:r>
      <w:r>
        <w:rPr>
          <w:color w:val="231F20"/>
          <w:spacing w:val="-3"/>
          <w:w w:val="105"/>
        </w:rPr>
        <w:t>donde</w:t>
      </w:r>
      <w:r>
        <w:rPr>
          <w:color w:val="231F20"/>
          <w:spacing w:val="-4"/>
          <w:w w:val="105"/>
        </w:rPr>
        <w:t> </w:t>
      </w:r>
      <w:r>
        <w:rPr>
          <w:color w:val="231F20"/>
          <w:w w:val="105"/>
        </w:rPr>
        <w:t>hasta</w:t>
      </w:r>
      <w:r>
        <w:rPr>
          <w:color w:val="231F20"/>
          <w:spacing w:val="-4"/>
          <w:w w:val="105"/>
        </w:rPr>
        <w:t> </w:t>
      </w:r>
      <w:r>
        <w:rPr>
          <w:color w:val="231F20"/>
          <w:w w:val="105"/>
        </w:rPr>
        <w:t>con</w:t>
      </w:r>
      <w:r>
        <w:rPr>
          <w:color w:val="231F20"/>
          <w:spacing w:val="-4"/>
          <w:w w:val="105"/>
        </w:rPr>
        <w:t> </w:t>
      </w:r>
      <w:r>
        <w:rPr>
          <w:color w:val="231F20"/>
          <w:w w:val="105"/>
        </w:rPr>
        <w:t>cierta sencillez</w:t>
      </w:r>
      <w:r>
        <w:rPr>
          <w:color w:val="231F20"/>
          <w:spacing w:val="-8"/>
          <w:w w:val="105"/>
        </w:rPr>
        <w:t> </w:t>
      </w:r>
      <w:r>
        <w:rPr>
          <w:color w:val="231F20"/>
          <w:w w:val="105"/>
        </w:rPr>
        <w:t>se</w:t>
      </w:r>
      <w:r>
        <w:rPr>
          <w:color w:val="231F20"/>
          <w:spacing w:val="-8"/>
          <w:w w:val="105"/>
        </w:rPr>
        <w:t> </w:t>
      </w:r>
      <w:r>
        <w:rPr>
          <w:color w:val="231F20"/>
          <w:w w:val="105"/>
        </w:rPr>
        <w:t>reunían</w:t>
      </w:r>
      <w:r>
        <w:rPr>
          <w:color w:val="231F20"/>
          <w:spacing w:val="-8"/>
          <w:w w:val="105"/>
        </w:rPr>
        <w:t> </w:t>
      </w:r>
      <w:r>
        <w:rPr>
          <w:color w:val="231F20"/>
          <w:w w:val="105"/>
        </w:rPr>
        <w:t>los</w:t>
      </w:r>
      <w:r>
        <w:rPr>
          <w:color w:val="231F20"/>
          <w:spacing w:val="-8"/>
          <w:w w:val="105"/>
        </w:rPr>
        <w:t> </w:t>
      </w:r>
      <w:r>
        <w:rPr>
          <w:color w:val="231F20"/>
          <w:spacing w:val="-4"/>
          <w:w w:val="105"/>
        </w:rPr>
        <w:t>“ex”</w:t>
      </w:r>
      <w:r>
        <w:rPr>
          <w:color w:val="231F20"/>
          <w:spacing w:val="-8"/>
          <w:w w:val="105"/>
        </w:rPr>
        <w:t> </w:t>
      </w:r>
      <w:r>
        <w:rPr>
          <w:color w:val="231F20"/>
          <w:w w:val="105"/>
        </w:rPr>
        <w:t>para</w:t>
      </w:r>
      <w:r>
        <w:rPr>
          <w:color w:val="231F20"/>
          <w:spacing w:val="-8"/>
          <w:w w:val="105"/>
        </w:rPr>
        <w:t> </w:t>
      </w:r>
      <w:r>
        <w:rPr>
          <w:color w:val="231F20"/>
          <w:w w:val="105"/>
        </w:rPr>
        <w:t>decidir</w:t>
      </w:r>
      <w:r>
        <w:rPr>
          <w:color w:val="231F20"/>
          <w:spacing w:val="-8"/>
          <w:w w:val="105"/>
        </w:rPr>
        <w:t> </w:t>
      </w:r>
      <w:r>
        <w:rPr>
          <w:color w:val="231F20"/>
          <w:w w:val="105"/>
        </w:rPr>
        <w:t>el</w:t>
      </w:r>
      <w:r>
        <w:rPr>
          <w:color w:val="231F20"/>
          <w:spacing w:val="-8"/>
          <w:w w:val="105"/>
        </w:rPr>
        <w:t> </w:t>
      </w:r>
      <w:r>
        <w:rPr>
          <w:color w:val="231F20"/>
          <w:w w:val="105"/>
        </w:rPr>
        <w:t>futuro</w:t>
      </w:r>
      <w:r>
        <w:rPr>
          <w:color w:val="231F20"/>
          <w:spacing w:val="-8"/>
          <w:w w:val="105"/>
        </w:rPr>
        <w:t> </w:t>
      </w:r>
      <w:r>
        <w:rPr>
          <w:color w:val="231F20"/>
          <w:w w:val="105"/>
        </w:rPr>
        <w:t>del</w:t>
      </w:r>
      <w:r>
        <w:rPr>
          <w:color w:val="231F20"/>
          <w:spacing w:val="-8"/>
          <w:w w:val="105"/>
        </w:rPr>
        <w:t> </w:t>
      </w:r>
      <w:r>
        <w:rPr>
          <w:color w:val="231F20"/>
          <w:w w:val="105"/>
        </w:rPr>
        <w:t>gobierno</w:t>
      </w:r>
      <w:r>
        <w:rPr>
          <w:color w:val="231F20"/>
          <w:spacing w:val="-8"/>
          <w:w w:val="105"/>
        </w:rPr>
        <w:t> </w:t>
      </w:r>
      <w:r>
        <w:rPr>
          <w:color w:val="231F20"/>
          <w:w w:val="105"/>
        </w:rPr>
        <w:t>y</w:t>
      </w:r>
      <w:r>
        <w:rPr>
          <w:color w:val="231F20"/>
          <w:spacing w:val="-8"/>
          <w:w w:val="105"/>
        </w:rPr>
        <w:t> </w:t>
      </w:r>
      <w:r>
        <w:rPr>
          <w:color w:val="231F20"/>
          <w:spacing w:val="-3"/>
          <w:w w:val="105"/>
        </w:rPr>
        <w:t>donde</w:t>
      </w:r>
      <w:r>
        <w:rPr>
          <w:color w:val="231F20"/>
          <w:spacing w:val="-8"/>
          <w:w w:val="105"/>
        </w:rPr>
        <w:t> </w:t>
      </w:r>
      <w:r>
        <w:rPr>
          <w:color w:val="231F20"/>
          <w:w w:val="105"/>
        </w:rPr>
        <w:t>el</w:t>
      </w:r>
      <w:r>
        <w:rPr>
          <w:color w:val="231F20"/>
          <w:spacing w:val="-8"/>
          <w:w w:val="105"/>
        </w:rPr>
        <w:t> </w:t>
      </w:r>
      <w:r>
        <w:rPr>
          <w:color w:val="231F20"/>
          <w:w w:val="105"/>
        </w:rPr>
        <w:t>recurso</w:t>
      </w:r>
      <w:r>
        <w:rPr>
          <w:color w:val="231F20"/>
          <w:spacing w:val="-8"/>
          <w:w w:val="105"/>
        </w:rPr>
        <w:t> </w:t>
      </w:r>
      <w:r>
        <w:rPr>
          <w:color w:val="231F20"/>
          <w:w w:val="105"/>
        </w:rPr>
        <w:t>eco- nómico</w:t>
      </w:r>
      <w:r>
        <w:rPr>
          <w:color w:val="231F20"/>
          <w:spacing w:val="-7"/>
          <w:w w:val="105"/>
        </w:rPr>
        <w:t> </w:t>
      </w:r>
      <w:r>
        <w:rPr>
          <w:color w:val="231F20"/>
          <w:w w:val="105"/>
        </w:rPr>
        <w:t>del</w:t>
      </w:r>
      <w:r>
        <w:rPr>
          <w:color w:val="231F20"/>
          <w:spacing w:val="-7"/>
          <w:w w:val="105"/>
        </w:rPr>
        <w:t> </w:t>
      </w:r>
      <w:r>
        <w:rPr>
          <w:color w:val="231F20"/>
          <w:w w:val="105"/>
        </w:rPr>
        <w:t>erario</w:t>
      </w:r>
      <w:r>
        <w:rPr>
          <w:color w:val="231F20"/>
          <w:spacing w:val="-7"/>
          <w:w w:val="105"/>
        </w:rPr>
        <w:t> </w:t>
      </w:r>
      <w:r>
        <w:rPr>
          <w:color w:val="231F20"/>
          <w:w w:val="105"/>
        </w:rPr>
        <w:t>municipal</w:t>
      </w:r>
      <w:r>
        <w:rPr>
          <w:color w:val="231F20"/>
          <w:spacing w:val="-7"/>
          <w:w w:val="105"/>
        </w:rPr>
        <w:t> </w:t>
      </w:r>
      <w:r>
        <w:rPr>
          <w:color w:val="231F20"/>
          <w:w w:val="105"/>
        </w:rPr>
        <w:t>era</w:t>
      </w:r>
      <w:r>
        <w:rPr>
          <w:color w:val="231F20"/>
          <w:spacing w:val="-7"/>
          <w:w w:val="105"/>
        </w:rPr>
        <w:t> </w:t>
      </w:r>
      <w:r>
        <w:rPr>
          <w:color w:val="231F20"/>
          <w:w w:val="105"/>
        </w:rPr>
        <w:t>raquítico</w:t>
      </w:r>
      <w:r>
        <w:rPr>
          <w:color w:val="231F20"/>
          <w:spacing w:val="-7"/>
          <w:w w:val="105"/>
        </w:rPr>
        <w:t> </w:t>
      </w:r>
      <w:r>
        <w:rPr>
          <w:color w:val="231F20"/>
          <w:w w:val="105"/>
        </w:rPr>
        <w:t>por</w:t>
      </w:r>
      <w:r>
        <w:rPr>
          <w:color w:val="231F20"/>
          <w:spacing w:val="-7"/>
          <w:w w:val="105"/>
        </w:rPr>
        <w:t> </w:t>
      </w:r>
      <w:r>
        <w:rPr>
          <w:color w:val="231F20"/>
          <w:w w:val="105"/>
        </w:rPr>
        <w:t>antonomasia.</w:t>
      </w:r>
    </w:p>
    <w:p>
      <w:pPr>
        <w:pStyle w:val="BodyText"/>
        <w:spacing w:before="1"/>
        <w:rPr>
          <w:sz w:val="26"/>
        </w:rPr>
      </w:pPr>
    </w:p>
    <w:p>
      <w:pPr>
        <w:pStyle w:val="BodyText"/>
        <w:spacing w:line="285" w:lineRule="auto"/>
        <w:ind w:left="110" w:right="107"/>
        <w:jc w:val="both"/>
      </w:pPr>
      <w:r>
        <w:rPr>
          <w:color w:val="231F20"/>
          <w:w w:val="105"/>
        </w:rPr>
        <w:t>El traslado de </w:t>
      </w:r>
      <w:r>
        <w:rPr>
          <w:color w:val="231F20"/>
          <w:spacing w:val="-3"/>
          <w:w w:val="105"/>
        </w:rPr>
        <w:t>los fraccionamientos </w:t>
      </w:r>
      <w:r>
        <w:rPr>
          <w:color w:val="231F20"/>
          <w:w w:val="105"/>
        </w:rPr>
        <w:t>irregulares de </w:t>
      </w:r>
      <w:r>
        <w:rPr>
          <w:color w:val="231F20"/>
          <w:spacing w:val="-3"/>
          <w:w w:val="105"/>
        </w:rPr>
        <w:t>terrenos </w:t>
      </w:r>
      <w:r>
        <w:rPr>
          <w:color w:val="231F20"/>
          <w:w w:val="105"/>
        </w:rPr>
        <w:t>y sus </w:t>
      </w:r>
      <w:r>
        <w:rPr>
          <w:color w:val="231F20"/>
          <w:spacing w:val="-2"/>
          <w:w w:val="105"/>
        </w:rPr>
        <w:t>consecuencias </w:t>
      </w:r>
      <w:r>
        <w:rPr>
          <w:color w:val="231F20"/>
          <w:spacing w:val="-3"/>
          <w:w w:val="105"/>
        </w:rPr>
        <w:t>con </w:t>
      </w:r>
      <w:r>
        <w:rPr>
          <w:color w:val="231F20"/>
          <w:w w:val="105"/>
        </w:rPr>
        <w:t>in- </w:t>
      </w:r>
      <w:r>
        <w:rPr>
          <w:color w:val="231F20"/>
          <w:spacing w:val="-3"/>
          <w:w w:val="105"/>
        </w:rPr>
        <w:t>vasiones,</w:t>
      </w:r>
      <w:r>
        <w:rPr>
          <w:color w:val="231F20"/>
          <w:spacing w:val="-15"/>
          <w:w w:val="105"/>
        </w:rPr>
        <w:t> </w:t>
      </w:r>
      <w:r>
        <w:rPr>
          <w:color w:val="231F20"/>
          <w:spacing w:val="-3"/>
          <w:w w:val="105"/>
        </w:rPr>
        <w:t>ventas</w:t>
      </w:r>
      <w:r>
        <w:rPr>
          <w:color w:val="231F20"/>
          <w:spacing w:val="-15"/>
          <w:w w:val="105"/>
        </w:rPr>
        <w:t> </w:t>
      </w:r>
      <w:r>
        <w:rPr>
          <w:color w:val="231F20"/>
          <w:spacing w:val="-4"/>
          <w:w w:val="105"/>
        </w:rPr>
        <w:t>dobles</w:t>
      </w:r>
      <w:r>
        <w:rPr>
          <w:color w:val="231F20"/>
          <w:spacing w:val="-15"/>
          <w:w w:val="105"/>
        </w:rPr>
        <w:t> </w:t>
      </w:r>
      <w:r>
        <w:rPr>
          <w:color w:val="231F20"/>
          <w:w w:val="105"/>
        </w:rPr>
        <w:t>de</w:t>
      </w:r>
      <w:r>
        <w:rPr>
          <w:color w:val="231F20"/>
          <w:spacing w:val="-15"/>
          <w:w w:val="105"/>
        </w:rPr>
        <w:t> </w:t>
      </w:r>
      <w:r>
        <w:rPr>
          <w:color w:val="231F20"/>
          <w:spacing w:val="-3"/>
          <w:w w:val="105"/>
        </w:rPr>
        <w:t>lotes,</w:t>
      </w:r>
      <w:r>
        <w:rPr>
          <w:color w:val="231F20"/>
          <w:spacing w:val="-15"/>
          <w:w w:val="105"/>
        </w:rPr>
        <w:t> </w:t>
      </w:r>
      <w:r>
        <w:rPr>
          <w:color w:val="231F20"/>
          <w:spacing w:val="-3"/>
          <w:w w:val="105"/>
        </w:rPr>
        <w:t>violencia</w:t>
      </w:r>
      <w:r>
        <w:rPr>
          <w:color w:val="231F20"/>
          <w:spacing w:val="-15"/>
          <w:w w:val="105"/>
        </w:rPr>
        <w:t> </w:t>
      </w:r>
      <w:r>
        <w:rPr>
          <w:color w:val="231F20"/>
          <w:w w:val="105"/>
        </w:rPr>
        <w:t>y</w:t>
      </w:r>
      <w:r>
        <w:rPr>
          <w:color w:val="231F20"/>
          <w:spacing w:val="-15"/>
          <w:w w:val="105"/>
        </w:rPr>
        <w:t> </w:t>
      </w:r>
      <w:r>
        <w:rPr>
          <w:color w:val="231F20"/>
          <w:spacing w:val="-3"/>
          <w:w w:val="105"/>
        </w:rPr>
        <w:t>aparición</w:t>
      </w:r>
      <w:r>
        <w:rPr>
          <w:color w:val="231F20"/>
          <w:spacing w:val="-15"/>
          <w:w w:val="105"/>
        </w:rPr>
        <w:t> </w:t>
      </w:r>
      <w:r>
        <w:rPr>
          <w:color w:val="231F20"/>
          <w:w w:val="105"/>
        </w:rPr>
        <w:t>de</w:t>
      </w:r>
      <w:r>
        <w:rPr>
          <w:color w:val="231F20"/>
          <w:spacing w:val="-15"/>
          <w:w w:val="105"/>
        </w:rPr>
        <w:t> </w:t>
      </w:r>
      <w:r>
        <w:rPr>
          <w:color w:val="231F20"/>
          <w:spacing w:val="-3"/>
          <w:w w:val="105"/>
        </w:rPr>
        <w:t>organizaciones</w:t>
      </w:r>
      <w:r>
        <w:rPr>
          <w:color w:val="231F20"/>
          <w:spacing w:val="-15"/>
          <w:w w:val="105"/>
        </w:rPr>
        <w:t> </w:t>
      </w:r>
      <w:r>
        <w:rPr>
          <w:color w:val="231F20"/>
          <w:w w:val="105"/>
        </w:rPr>
        <w:t>reales</w:t>
      </w:r>
      <w:r>
        <w:rPr>
          <w:color w:val="231F20"/>
          <w:spacing w:val="-15"/>
          <w:w w:val="105"/>
        </w:rPr>
        <w:t> </w:t>
      </w:r>
      <w:r>
        <w:rPr>
          <w:color w:val="231F20"/>
          <w:w w:val="105"/>
        </w:rPr>
        <w:t>o</w:t>
      </w:r>
      <w:r>
        <w:rPr>
          <w:color w:val="231F20"/>
          <w:spacing w:val="-15"/>
          <w:w w:val="105"/>
        </w:rPr>
        <w:t> </w:t>
      </w:r>
      <w:r>
        <w:rPr>
          <w:color w:val="231F20"/>
          <w:w w:val="105"/>
        </w:rPr>
        <w:t>ficticias </w:t>
      </w:r>
      <w:r>
        <w:rPr>
          <w:color w:val="231F20"/>
          <w:spacing w:val="-3"/>
          <w:w w:val="105"/>
        </w:rPr>
        <w:t>que</w:t>
      </w:r>
      <w:r>
        <w:rPr>
          <w:color w:val="231F20"/>
          <w:spacing w:val="-17"/>
          <w:w w:val="105"/>
        </w:rPr>
        <w:t> </w:t>
      </w:r>
      <w:r>
        <w:rPr>
          <w:color w:val="231F20"/>
          <w:w w:val="105"/>
        </w:rPr>
        <w:t>se</w:t>
      </w:r>
      <w:r>
        <w:rPr>
          <w:color w:val="231F20"/>
          <w:spacing w:val="-17"/>
          <w:w w:val="105"/>
        </w:rPr>
        <w:t> </w:t>
      </w:r>
      <w:r>
        <w:rPr>
          <w:color w:val="231F20"/>
          <w:spacing w:val="-3"/>
          <w:w w:val="105"/>
        </w:rPr>
        <w:t>subsumieron</w:t>
      </w:r>
      <w:r>
        <w:rPr>
          <w:color w:val="231F20"/>
          <w:spacing w:val="-17"/>
          <w:w w:val="105"/>
        </w:rPr>
        <w:t> </w:t>
      </w:r>
      <w:r>
        <w:rPr>
          <w:color w:val="231F20"/>
          <w:spacing w:val="-3"/>
          <w:w w:val="105"/>
        </w:rPr>
        <w:t>bajo</w:t>
      </w:r>
      <w:r>
        <w:rPr>
          <w:color w:val="231F20"/>
          <w:spacing w:val="-17"/>
          <w:w w:val="105"/>
        </w:rPr>
        <w:t> </w:t>
      </w:r>
      <w:r>
        <w:rPr>
          <w:color w:val="231F20"/>
          <w:w w:val="105"/>
        </w:rPr>
        <w:t>la</w:t>
      </w:r>
      <w:r>
        <w:rPr>
          <w:color w:val="231F20"/>
          <w:spacing w:val="-17"/>
          <w:w w:val="105"/>
        </w:rPr>
        <w:t> </w:t>
      </w:r>
      <w:r>
        <w:rPr>
          <w:color w:val="231F20"/>
          <w:w w:val="105"/>
        </w:rPr>
        <w:t>férula</w:t>
      </w:r>
      <w:r>
        <w:rPr>
          <w:color w:val="231F20"/>
          <w:spacing w:val="-17"/>
          <w:w w:val="105"/>
        </w:rPr>
        <w:t> </w:t>
      </w:r>
      <w:r>
        <w:rPr>
          <w:color w:val="231F20"/>
          <w:spacing w:val="-3"/>
          <w:w w:val="105"/>
        </w:rPr>
        <w:t>del</w:t>
      </w:r>
      <w:r>
        <w:rPr>
          <w:color w:val="231F20"/>
          <w:spacing w:val="-17"/>
          <w:w w:val="105"/>
        </w:rPr>
        <w:t> </w:t>
      </w:r>
      <w:r>
        <w:rPr>
          <w:color w:val="231F20"/>
          <w:w w:val="105"/>
        </w:rPr>
        <w:t>Partido</w:t>
      </w:r>
      <w:r>
        <w:rPr>
          <w:color w:val="231F20"/>
          <w:spacing w:val="-17"/>
          <w:w w:val="105"/>
        </w:rPr>
        <w:t> </w:t>
      </w:r>
      <w:r>
        <w:rPr>
          <w:color w:val="231F20"/>
          <w:spacing w:val="-4"/>
          <w:w w:val="105"/>
        </w:rPr>
        <w:t>Revolucionario</w:t>
      </w:r>
      <w:r>
        <w:rPr>
          <w:color w:val="231F20"/>
          <w:spacing w:val="-17"/>
          <w:w w:val="105"/>
        </w:rPr>
        <w:t> </w:t>
      </w:r>
      <w:r>
        <w:rPr>
          <w:color w:val="231F20"/>
          <w:w w:val="105"/>
        </w:rPr>
        <w:t>Institucional,</w:t>
      </w:r>
      <w:r>
        <w:rPr>
          <w:color w:val="231F20"/>
          <w:spacing w:val="-17"/>
          <w:w w:val="105"/>
        </w:rPr>
        <w:t> </w:t>
      </w:r>
      <w:r>
        <w:rPr>
          <w:color w:val="231F20"/>
          <w:spacing w:val="-3"/>
          <w:w w:val="105"/>
        </w:rPr>
        <w:t>dieron</w:t>
      </w:r>
      <w:r>
        <w:rPr>
          <w:color w:val="231F20"/>
          <w:spacing w:val="-17"/>
          <w:w w:val="105"/>
        </w:rPr>
        <w:t> </w:t>
      </w:r>
      <w:r>
        <w:rPr>
          <w:color w:val="231F20"/>
          <w:spacing w:val="-3"/>
          <w:w w:val="105"/>
        </w:rPr>
        <w:t>lugar</w:t>
      </w:r>
      <w:r>
        <w:rPr>
          <w:color w:val="231F20"/>
          <w:spacing w:val="-17"/>
          <w:w w:val="105"/>
        </w:rPr>
        <w:t> </w:t>
      </w:r>
      <w:r>
        <w:rPr>
          <w:color w:val="231F20"/>
          <w:w w:val="105"/>
        </w:rPr>
        <w:t>a una</w:t>
      </w:r>
      <w:r>
        <w:rPr>
          <w:color w:val="231F20"/>
          <w:spacing w:val="-22"/>
          <w:w w:val="105"/>
        </w:rPr>
        <w:t> </w:t>
      </w:r>
      <w:r>
        <w:rPr>
          <w:color w:val="231F20"/>
          <w:spacing w:val="-3"/>
          <w:w w:val="105"/>
        </w:rPr>
        <w:t>nueva</w:t>
      </w:r>
      <w:r>
        <w:rPr>
          <w:color w:val="231F20"/>
          <w:spacing w:val="-22"/>
          <w:w w:val="105"/>
        </w:rPr>
        <w:t> </w:t>
      </w:r>
      <w:r>
        <w:rPr>
          <w:color w:val="231F20"/>
          <w:spacing w:val="-3"/>
          <w:w w:val="105"/>
        </w:rPr>
        <w:t>forma</w:t>
      </w:r>
      <w:r>
        <w:rPr>
          <w:color w:val="231F20"/>
          <w:spacing w:val="-22"/>
          <w:w w:val="105"/>
        </w:rPr>
        <w:t> </w:t>
      </w:r>
      <w:r>
        <w:rPr>
          <w:color w:val="231F20"/>
          <w:w w:val="105"/>
        </w:rPr>
        <w:t>de</w:t>
      </w:r>
      <w:r>
        <w:rPr>
          <w:color w:val="231F20"/>
          <w:spacing w:val="-22"/>
          <w:w w:val="105"/>
        </w:rPr>
        <w:t> </w:t>
      </w:r>
      <w:r>
        <w:rPr>
          <w:color w:val="231F20"/>
          <w:w w:val="105"/>
        </w:rPr>
        <w:t>dominio</w:t>
      </w:r>
      <w:r>
        <w:rPr>
          <w:color w:val="231F20"/>
          <w:spacing w:val="-22"/>
          <w:w w:val="105"/>
        </w:rPr>
        <w:t> </w:t>
      </w:r>
      <w:r>
        <w:rPr>
          <w:color w:val="231F20"/>
          <w:spacing w:val="-3"/>
          <w:w w:val="105"/>
        </w:rPr>
        <w:t>político:</w:t>
      </w:r>
      <w:r>
        <w:rPr>
          <w:color w:val="231F20"/>
          <w:spacing w:val="-22"/>
          <w:w w:val="105"/>
        </w:rPr>
        <w:t> </w:t>
      </w:r>
      <w:r>
        <w:rPr>
          <w:color w:val="231F20"/>
          <w:w w:val="105"/>
        </w:rPr>
        <w:t>la</w:t>
      </w:r>
      <w:r>
        <w:rPr>
          <w:color w:val="231F20"/>
          <w:spacing w:val="-22"/>
          <w:w w:val="105"/>
        </w:rPr>
        <w:t> </w:t>
      </w:r>
      <w:r>
        <w:rPr>
          <w:color w:val="231F20"/>
          <w:spacing w:val="-3"/>
          <w:w w:val="105"/>
        </w:rPr>
        <w:t>del</w:t>
      </w:r>
      <w:r>
        <w:rPr>
          <w:color w:val="231F20"/>
          <w:spacing w:val="-22"/>
          <w:w w:val="105"/>
        </w:rPr>
        <w:t> </w:t>
      </w:r>
      <w:r>
        <w:rPr>
          <w:color w:val="231F20"/>
          <w:spacing w:val="-3"/>
          <w:w w:val="105"/>
        </w:rPr>
        <w:t>cacique</w:t>
      </w:r>
      <w:r>
        <w:rPr>
          <w:color w:val="231F20"/>
          <w:spacing w:val="-22"/>
          <w:w w:val="105"/>
        </w:rPr>
        <w:t> </w:t>
      </w:r>
      <w:r>
        <w:rPr>
          <w:color w:val="231F20"/>
          <w:spacing w:val="-3"/>
          <w:w w:val="105"/>
        </w:rPr>
        <w:t>urbano.</w:t>
      </w:r>
      <w:r>
        <w:rPr>
          <w:color w:val="231F20"/>
          <w:spacing w:val="-22"/>
          <w:w w:val="105"/>
        </w:rPr>
        <w:t> </w:t>
      </w:r>
      <w:r>
        <w:rPr>
          <w:color w:val="231F20"/>
          <w:w w:val="105"/>
        </w:rPr>
        <w:t>A</w:t>
      </w:r>
      <w:r>
        <w:rPr>
          <w:color w:val="231F20"/>
          <w:spacing w:val="-22"/>
          <w:w w:val="105"/>
        </w:rPr>
        <w:t> </w:t>
      </w:r>
      <w:r>
        <w:rPr>
          <w:color w:val="231F20"/>
          <w:spacing w:val="-3"/>
          <w:w w:val="105"/>
        </w:rPr>
        <w:t>diferencia</w:t>
      </w:r>
      <w:r>
        <w:rPr>
          <w:color w:val="231F20"/>
          <w:spacing w:val="-22"/>
          <w:w w:val="105"/>
        </w:rPr>
        <w:t> </w:t>
      </w:r>
      <w:r>
        <w:rPr>
          <w:color w:val="231F20"/>
          <w:w w:val="105"/>
        </w:rPr>
        <w:t>de</w:t>
      </w:r>
      <w:r>
        <w:rPr>
          <w:color w:val="231F20"/>
          <w:spacing w:val="-22"/>
          <w:w w:val="105"/>
        </w:rPr>
        <w:t> </w:t>
      </w:r>
      <w:r>
        <w:rPr>
          <w:color w:val="231F20"/>
          <w:spacing w:val="-3"/>
          <w:w w:val="105"/>
        </w:rPr>
        <w:t>aquellos</w:t>
      </w:r>
      <w:r>
        <w:rPr>
          <w:color w:val="231F20"/>
          <w:spacing w:val="-22"/>
          <w:w w:val="105"/>
        </w:rPr>
        <w:t> </w:t>
      </w:r>
      <w:r>
        <w:rPr>
          <w:color w:val="231F20"/>
          <w:spacing w:val="-8"/>
          <w:w w:val="105"/>
        </w:rPr>
        <w:t>“ex”, </w:t>
      </w:r>
      <w:r>
        <w:rPr>
          <w:color w:val="231F20"/>
          <w:w w:val="105"/>
        </w:rPr>
        <w:t>éste</w:t>
      </w:r>
      <w:r>
        <w:rPr>
          <w:color w:val="231F20"/>
          <w:spacing w:val="-13"/>
          <w:w w:val="105"/>
        </w:rPr>
        <w:t> </w:t>
      </w:r>
      <w:r>
        <w:rPr>
          <w:color w:val="231F20"/>
          <w:w w:val="105"/>
        </w:rPr>
        <w:t>ha</w:t>
      </w:r>
      <w:r>
        <w:rPr>
          <w:color w:val="231F20"/>
          <w:spacing w:val="-13"/>
          <w:w w:val="105"/>
        </w:rPr>
        <w:t> </w:t>
      </w:r>
      <w:r>
        <w:rPr>
          <w:color w:val="231F20"/>
          <w:w w:val="105"/>
        </w:rPr>
        <w:t>recurrido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3"/>
          <w:w w:val="105"/>
        </w:rPr>
        <w:t>intimidación</w:t>
      </w:r>
      <w:r>
        <w:rPr>
          <w:color w:val="231F20"/>
          <w:spacing w:val="-13"/>
          <w:w w:val="105"/>
        </w:rPr>
        <w:t> </w:t>
      </w:r>
      <w:r>
        <w:rPr>
          <w:color w:val="231F20"/>
          <w:w w:val="105"/>
        </w:rPr>
        <w:t>para</w:t>
      </w:r>
      <w:r>
        <w:rPr>
          <w:color w:val="231F20"/>
          <w:spacing w:val="-13"/>
          <w:w w:val="105"/>
        </w:rPr>
        <w:t> </w:t>
      </w:r>
      <w:r>
        <w:rPr>
          <w:color w:val="231F20"/>
          <w:spacing w:val="-3"/>
          <w:w w:val="105"/>
        </w:rPr>
        <w:t>someter</w:t>
      </w:r>
      <w:r>
        <w:rPr>
          <w:color w:val="231F20"/>
          <w:spacing w:val="-13"/>
          <w:w w:val="105"/>
        </w:rPr>
        <w:t> </w:t>
      </w:r>
      <w:r>
        <w:rPr>
          <w:color w:val="231F20"/>
          <w:w w:val="105"/>
        </w:rPr>
        <w:t>al</w:t>
      </w:r>
      <w:r>
        <w:rPr>
          <w:color w:val="231F20"/>
          <w:spacing w:val="-13"/>
          <w:w w:val="105"/>
        </w:rPr>
        <w:t> </w:t>
      </w:r>
      <w:r>
        <w:rPr>
          <w:color w:val="231F20"/>
          <w:w w:val="105"/>
        </w:rPr>
        <w:t>grupo</w:t>
      </w:r>
      <w:r>
        <w:rPr>
          <w:color w:val="231F20"/>
          <w:spacing w:val="-13"/>
          <w:w w:val="105"/>
        </w:rPr>
        <w:t> </w:t>
      </w:r>
      <w:r>
        <w:rPr>
          <w:color w:val="231F20"/>
          <w:w w:val="105"/>
        </w:rPr>
        <w:t>social.</w:t>
      </w:r>
      <w:r>
        <w:rPr>
          <w:color w:val="231F20"/>
          <w:spacing w:val="-13"/>
          <w:w w:val="105"/>
        </w:rPr>
        <w:t> </w:t>
      </w:r>
      <w:r>
        <w:rPr>
          <w:color w:val="231F20"/>
          <w:w w:val="105"/>
        </w:rPr>
        <w:t>Y</w:t>
      </w:r>
      <w:r>
        <w:rPr>
          <w:color w:val="231F20"/>
          <w:spacing w:val="-13"/>
          <w:w w:val="105"/>
        </w:rPr>
        <w:t> </w:t>
      </w:r>
      <w:r>
        <w:rPr>
          <w:color w:val="231F20"/>
          <w:w w:val="105"/>
        </w:rPr>
        <w:t>cuando</w:t>
      </w:r>
      <w:r>
        <w:rPr>
          <w:color w:val="231F20"/>
          <w:spacing w:val="-13"/>
          <w:w w:val="105"/>
        </w:rPr>
        <w:t> </w:t>
      </w:r>
      <w:r>
        <w:rPr>
          <w:color w:val="231F20"/>
          <w:w w:val="105"/>
        </w:rPr>
        <w:t>ha</w:t>
      </w:r>
      <w:r>
        <w:rPr>
          <w:color w:val="231F20"/>
          <w:spacing w:val="-13"/>
          <w:w w:val="105"/>
        </w:rPr>
        <w:t> </w:t>
      </w:r>
      <w:r>
        <w:rPr>
          <w:color w:val="231F20"/>
          <w:spacing w:val="-4"/>
          <w:w w:val="105"/>
        </w:rPr>
        <w:t>encontrado oposición,</w:t>
      </w:r>
      <w:r>
        <w:rPr>
          <w:color w:val="231F20"/>
          <w:spacing w:val="-16"/>
          <w:w w:val="105"/>
        </w:rPr>
        <w:t> </w:t>
      </w:r>
      <w:r>
        <w:rPr>
          <w:color w:val="231F20"/>
          <w:w w:val="105"/>
        </w:rPr>
        <w:t>la</w:t>
      </w:r>
      <w:r>
        <w:rPr>
          <w:color w:val="231F20"/>
          <w:spacing w:val="-16"/>
          <w:w w:val="105"/>
        </w:rPr>
        <w:t> </w:t>
      </w:r>
      <w:r>
        <w:rPr>
          <w:color w:val="231F20"/>
          <w:w w:val="105"/>
        </w:rPr>
        <w:t>amenaza</w:t>
      </w:r>
      <w:r>
        <w:rPr>
          <w:color w:val="231F20"/>
          <w:spacing w:val="-16"/>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spacing w:val="-3"/>
          <w:w w:val="105"/>
        </w:rPr>
        <w:t>hecho</w:t>
      </w:r>
      <w:r>
        <w:rPr>
          <w:color w:val="231F20"/>
          <w:spacing w:val="-16"/>
          <w:w w:val="105"/>
        </w:rPr>
        <w:t> </w:t>
      </w:r>
      <w:r>
        <w:rPr>
          <w:color w:val="231F20"/>
          <w:spacing w:val="-3"/>
          <w:w w:val="105"/>
        </w:rPr>
        <w:t>realidad,</w:t>
      </w:r>
      <w:r>
        <w:rPr>
          <w:color w:val="231F20"/>
          <w:spacing w:val="-16"/>
          <w:w w:val="105"/>
        </w:rPr>
        <w:t> </w:t>
      </w:r>
      <w:r>
        <w:rPr>
          <w:color w:val="231F20"/>
          <w:spacing w:val="-3"/>
          <w:w w:val="105"/>
        </w:rPr>
        <w:t>con</w:t>
      </w:r>
      <w:r>
        <w:rPr>
          <w:color w:val="231F20"/>
          <w:spacing w:val="-16"/>
          <w:w w:val="105"/>
        </w:rPr>
        <w:t> </w:t>
      </w:r>
      <w:r>
        <w:rPr>
          <w:color w:val="231F20"/>
          <w:w w:val="105"/>
        </w:rPr>
        <w:t>la</w:t>
      </w:r>
      <w:r>
        <w:rPr>
          <w:color w:val="231F20"/>
          <w:spacing w:val="-16"/>
          <w:w w:val="105"/>
        </w:rPr>
        <w:t> </w:t>
      </w:r>
      <w:r>
        <w:rPr>
          <w:color w:val="231F20"/>
          <w:spacing w:val="-4"/>
          <w:w w:val="105"/>
        </w:rPr>
        <w:t>plena</w:t>
      </w:r>
      <w:r>
        <w:rPr>
          <w:color w:val="231F20"/>
          <w:spacing w:val="-16"/>
          <w:w w:val="105"/>
        </w:rPr>
        <w:t> </w:t>
      </w:r>
      <w:r>
        <w:rPr>
          <w:color w:val="231F20"/>
          <w:w w:val="105"/>
        </w:rPr>
        <w:t>confianza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impunidad.</w:t>
      </w:r>
    </w:p>
    <w:p>
      <w:pPr>
        <w:pStyle w:val="BodyText"/>
        <w:spacing w:before="1"/>
        <w:rPr>
          <w:sz w:val="26"/>
        </w:rPr>
      </w:pPr>
    </w:p>
    <w:p>
      <w:pPr>
        <w:pStyle w:val="BodyText"/>
        <w:ind w:left="110"/>
        <w:jc w:val="both"/>
      </w:pPr>
      <w:r>
        <w:rPr>
          <w:color w:val="231F20"/>
          <w:w w:val="105"/>
        </w:rPr>
        <w:t>Los caciques, no obstante su misma militancia partidista, luchan ferozmente por impo-</w:t>
      </w:r>
    </w:p>
    <w:p>
      <w:pPr>
        <w:spacing w:after="0"/>
        <w:jc w:val="both"/>
        <w:sectPr>
          <w:footerReference w:type="default" r:id="rId589"/>
          <w:pgSz w:w="9640" w:h="12190"/>
          <w:pgMar w:footer="743" w:header="0" w:top="1120" w:bottom="940" w:left="740" w:right="740"/>
          <w:pgNumType w:start="200"/>
        </w:sectPr>
      </w:pPr>
    </w:p>
    <w:p>
      <w:pPr>
        <w:pStyle w:val="BodyText"/>
        <w:spacing w:before="3"/>
        <w:rPr>
          <w:sz w:val="11"/>
        </w:rPr>
      </w:pPr>
    </w:p>
    <w:p>
      <w:pPr>
        <w:pStyle w:val="BodyText"/>
        <w:spacing w:line="285" w:lineRule="auto" w:before="36"/>
        <w:ind w:left="110" w:right="108"/>
        <w:jc w:val="both"/>
      </w:pPr>
      <w:r>
        <w:rPr>
          <w:color w:val="231F20"/>
          <w:w w:val="105"/>
        </w:rPr>
        <w:t>nerse recurriendo a todo tipo de recursos, legales o no, haciendo que el poder público se</w:t>
      </w:r>
      <w:r>
        <w:rPr>
          <w:color w:val="231F20"/>
          <w:spacing w:val="-6"/>
          <w:w w:val="105"/>
        </w:rPr>
        <w:t> </w:t>
      </w:r>
      <w:r>
        <w:rPr>
          <w:color w:val="231F20"/>
          <w:w w:val="105"/>
        </w:rPr>
        <w:t>sujete</w:t>
      </w:r>
      <w:r>
        <w:rPr>
          <w:color w:val="231F20"/>
          <w:spacing w:val="-6"/>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presiones,</w:t>
      </w:r>
      <w:r>
        <w:rPr>
          <w:color w:val="231F20"/>
          <w:spacing w:val="-6"/>
          <w:w w:val="105"/>
        </w:rPr>
        <w:t> </w:t>
      </w:r>
      <w:r>
        <w:rPr>
          <w:color w:val="231F20"/>
          <w:w w:val="105"/>
        </w:rPr>
        <w:t>pesos</w:t>
      </w:r>
      <w:r>
        <w:rPr>
          <w:color w:val="231F20"/>
          <w:spacing w:val="-6"/>
          <w:w w:val="105"/>
        </w:rPr>
        <w:t> </w:t>
      </w:r>
      <w:r>
        <w:rPr>
          <w:color w:val="231F20"/>
          <w:w w:val="105"/>
        </w:rPr>
        <w:t>y</w:t>
      </w:r>
      <w:r>
        <w:rPr>
          <w:color w:val="231F20"/>
          <w:spacing w:val="-6"/>
          <w:w w:val="105"/>
        </w:rPr>
        <w:t> </w:t>
      </w:r>
      <w:r>
        <w:rPr>
          <w:color w:val="231F20"/>
          <w:w w:val="105"/>
        </w:rPr>
        <w:t>contrapesos</w:t>
      </w:r>
      <w:r>
        <w:rPr>
          <w:color w:val="231F20"/>
          <w:spacing w:val="-6"/>
          <w:w w:val="105"/>
        </w:rPr>
        <w:t> </w:t>
      </w:r>
      <w:r>
        <w:rPr>
          <w:color w:val="231F20"/>
          <w:spacing w:val="-7"/>
          <w:w w:val="105"/>
        </w:rPr>
        <w:t>y,</w:t>
      </w:r>
      <w:r>
        <w:rPr>
          <w:color w:val="231F20"/>
          <w:spacing w:val="-6"/>
          <w:w w:val="105"/>
        </w:rPr>
        <w:t> </w:t>
      </w:r>
      <w:r>
        <w:rPr>
          <w:color w:val="231F20"/>
          <w:w w:val="105"/>
        </w:rPr>
        <w:t>en</w:t>
      </w:r>
      <w:r>
        <w:rPr>
          <w:color w:val="231F20"/>
          <w:spacing w:val="-6"/>
          <w:w w:val="105"/>
        </w:rPr>
        <w:t> </w:t>
      </w:r>
      <w:r>
        <w:rPr>
          <w:color w:val="231F20"/>
          <w:w w:val="105"/>
        </w:rPr>
        <w:t>su</w:t>
      </w:r>
      <w:r>
        <w:rPr>
          <w:color w:val="231F20"/>
          <w:spacing w:val="-6"/>
          <w:w w:val="105"/>
        </w:rPr>
        <w:t> </w:t>
      </w:r>
      <w:r>
        <w:rPr>
          <w:color w:val="231F20"/>
          <w:w w:val="105"/>
        </w:rPr>
        <w:t>caso,</w:t>
      </w:r>
      <w:r>
        <w:rPr>
          <w:color w:val="231F20"/>
          <w:spacing w:val="-6"/>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condiciones</w:t>
      </w:r>
      <w:r>
        <w:rPr>
          <w:color w:val="231F20"/>
          <w:spacing w:val="-6"/>
          <w:w w:val="105"/>
        </w:rPr>
        <w:t> </w:t>
      </w:r>
      <w:r>
        <w:rPr>
          <w:color w:val="231F20"/>
          <w:w w:val="105"/>
        </w:rPr>
        <w:t>del</w:t>
      </w:r>
      <w:r>
        <w:rPr>
          <w:color w:val="231F20"/>
          <w:spacing w:val="-6"/>
          <w:w w:val="105"/>
        </w:rPr>
        <w:t> </w:t>
      </w:r>
      <w:r>
        <w:rPr>
          <w:color w:val="231F20"/>
          <w:w w:val="105"/>
        </w:rPr>
        <w:t>grupo vencedor</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partido</w:t>
      </w:r>
      <w:r>
        <w:rPr>
          <w:color w:val="231F20"/>
          <w:spacing w:val="-12"/>
          <w:w w:val="105"/>
        </w:rPr>
        <w:t> </w:t>
      </w:r>
      <w:r>
        <w:rPr>
          <w:color w:val="231F20"/>
          <w:spacing w:val="-7"/>
          <w:w w:val="105"/>
        </w:rPr>
        <w:t>y,</w:t>
      </w:r>
      <w:r>
        <w:rPr>
          <w:color w:val="231F20"/>
          <w:spacing w:val="-12"/>
          <w:w w:val="105"/>
        </w:rPr>
        <w:t> </w:t>
      </w:r>
      <w:r>
        <w:rPr>
          <w:color w:val="231F20"/>
          <w:w w:val="105"/>
        </w:rPr>
        <w:t>por</w:t>
      </w:r>
      <w:r>
        <w:rPr>
          <w:color w:val="231F20"/>
          <w:spacing w:val="-12"/>
          <w:w w:val="105"/>
        </w:rPr>
        <w:t> </w:t>
      </w:r>
      <w:r>
        <w:rPr>
          <w:color w:val="231F20"/>
          <w:w w:val="105"/>
        </w:rPr>
        <w:t>ende,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2"/>
          <w:w w:val="105"/>
        </w:rPr>
        <w:t>poder.</w:t>
      </w:r>
    </w:p>
    <w:p>
      <w:pPr>
        <w:pStyle w:val="BodyText"/>
        <w:spacing w:before="1"/>
        <w:rPr>
          <w:sz w:val="26"/>
        </w:rPr>
      </w:pPr>
    </w:p>
    <w:p>
      <w:pPr>
        <w:pStyle w:val="BodyText"/>
        <w:spacing w:line="285" w:lineRule="auto"/>
        <w:ind w:left="110" w:right="108"/>
        <w:jc w:val="both"/>
      </w:pPr>
      <w:r>
        <w:rPr>
          <w:color w:val="231F20"/>
        </w:rPr>
        <w:t>La </w:t>
      </w:r>
      <w:r>
        <w:rPr>
          <w:color w:val="231F20"/>
          <w:spacing w:val="-4"/>
        </w:rPr>
        <w:t>oposición, </w:t>
      </w:r>
      <w:r>
        <w:rPr>
          <w:color w:val="231F20"/>
        </w:rPr>
        <w:t>más </w:t>
      </w:r>
      <w:r>
        <w:rPr>
          <w:color w:val="231F20"/>
          <w:spacing w:val="-3"/>
        </w:rPr>
        <w:t>preocupada por </w:t>
      </w:r>
      <w:r>
        <w:rPr>
          <w:color w:val="231F20"/>
          <w:spacing w:val="-4"/>
        </w:rPr>
        <w:t>resolver </w:t>
      </w:r>
      <w:r>
        <w:rPr>
          <w:color w:val="231F20"/>
        </w:rPr>
        <w:t>las </w:t>
      </w:r>
      <w:r>
        <w:rPr>
          <w:color w:val="231F20"/>
          <w:spacing w:val="-3"/>
        </w:rPr>
        <w:t>diferencias </w:t>
      </w:r>
      <w:r>
        <w:rPr>
          <w:color w:val="231F20"/>
        </w:rPr>
        <w:t>internas y </w:t>
      </w:r>
      <w:r>
        <w:rPr>
          <w:color w:val="231F20"/>
          <w:spacing w:val="-3"/>
        </w:rPr>
        <w:t>por imponer </w:t>
      </w:r>
      <w:r>
        <w:rPr>
          <w:color w:val="231F20"/>
        </w:rPr>
        <w:t>su </w:t>
      </w:r>
      <w:r>
        <w:rPr>
          <w:color w:val="231F20"/>
          <w:spacing w:val="-5"/>
        </w:rPr>
        <w:t>propio </w:t>
      </w:r>
      <w:r>
        <w:rPr>
          <w:color w:val="231F20"/>
          <w:spacing w:val="-3"/>
        </w:rPr>
        <w:t>cacicazgo </w:t>
      </w:r>
      <w:r>
        <w:rPr>
          <w:color w:val="231F20"/>
        </w:rPr>
        <w:t>partidista, </w:t>
      </w:r>
      <w:r>
        <w:rPr>
          <w:color w:val="231F20"/>
          <w:spacing w:val="-3"/>
        </w:rPr>
        <w:t>no </w:t>
      </w:r>
      <w:r>
        <w:rPr>
          <w:color w:val="231F20"/>
        </w:rPr>
        <w:t>vacila en pactar </w:t>
      </w:r>
      <w:r>
        <w:rPr>
          <w:color w:val="231F20"/>
          <w:spacing w:val="-3"/>
        </w:rPr>
        <w:t>con los caciques del </w:t>
      </w:r>
      <w:r>
        <w:rPr>
          <w:color w:val="231F20"/>
          <w:spacing w:val="-4"/>
        </w:rPr>
        <w:t>Revolucionario </w:t>
      </w:r>
      <w:r>
        <w:rPr>
          <w:color w:val="231F20"/>
        </w:rPr>
        <w:t>Institucional, amén de </w:t>
      </w:r>
      <w:r>
        <w:rPr>
          <w:color w:val="231F20"/>
          <w:spacing w:val="-3"/>
        </w:rPr>
        <w:t>que </w:t>
      </w:r>
      <w:r>
        <w:rPr>
          <w:color w:val="231F20"/>
        </w:rPr>
        <w:t>carece de la </w:t>
      </w:r>
      <w:r>
        <w:rPr>
          <w:color w:val="231F20"/>
          <w:spacing w:val="-3"/>
        </w:rPr>
        <w:t>organización suficiente </w:t>
      </w:r>
      <w:r>
        <w:rPr>
          <w:color w:val="231F20"/>
        </w:rPr>
        <w:t>para cumplir </w:t>
      </w:r>
      <w:r>
        <w:rPr>
          <w:color w:val="231F20"/>
          <w:spacing w:val="-3"/>
        </w:rPr>
        <w:t>con </w:t>
      </w:r>
      <w:r>
        <w:rPr>
          <w:color w:val="231F20"/>
        </w:rPr>
        <w:t>el fin </w:t>
      </w:r>
      <w:r>
        <w:rPr>
          <w:color w:val="231F20"/>
          <w:spacing w:val="-3"/>
        </w:rPr>
        <w:t>teleológico </w:t>
      </w:r>
      <w:r>
        <w:rPr>
          <w:color w:val="231F20"/>
        </w:rPr>
        <w:t>de </w:t>
      </w:r>
      <w:r>
        <w:rPr>
          <w:color w:val="231F20"/>
          <w:spacing w:val="-3"/>
        </w:rPr>
        <w:t>todo </w:t>
      </w:r>
      <w:r>
        <w:rPr>
          <w:color w:val="231F20"/>
        </w:rPr>
        <w:t>partido </w:t>
      </w:r>
      <w:r>
        <w:rPr>
          <w:color w:val="231F20"/>
          <w:spacing w:val="-3"/>
        </w:rPr>
        <w:t>político, </w:t>
      </w:r>
      <w:r>
        <w:rPr>
          <w:color w:val="231F20"/>
        </w:rPr>
        <w:t>esto es, llevar al </w:t>
      </w:r>
      <w:r>
        <w:rPr>
          <w:color w:val="231F20"/>
          <w:spacing w:val="-4"/>
        </w:rPr>
        <w:t>pueblo </w:t>
      </w:r>
      <w:r>
        <w:rPr>
          <w:color w:val="231F20"/>
        </w:rPr>
        <w:t>a </w:t>
      </w:r>
      <w:r>
        <w:rPr>
          <w:color w:val="231F20"/>
          <w:spacing w:val="-4"/>
        </w:rPr>
        <w:t>acceder </w:t>
      </w:r>
      <w:r>
        <w:rPr>
          <w:color w:val="231F20"/>
        </w:rPr>
        <w:t>al </w:t>
      </w:r>
      <w:r>
        <w:rPr>
          <w:color w:val="231F20"/>
          <w:spacing w:val="-4"/>
        </w:rPr>
        <w:t>ejercicio </w:t>
      </w:r>
      <w:r>
        <w:rPr>
          <w:color w:val="231F20"/>
          <w:spacing w:val="-3"/>
        </w:rPr>
        <w:t>del  </w:t>
      </w:r>
      <w:r>
        <w:rPr>
          <w:color w:val="231F20"/>
          <w:spacing w:val="42"/>
        </w:rPr>
        <w:t> </w:t>
      </w:r>
      <w:r>
        <w:rPr>
          <w:color w:val="231F20"/>
          <w:spacing w:val="-4"/>
        </w:rPr>
        <w:t>poder.</w:t>
      </w:r>
    </w:p>
    <w:p>
      <w:pPr>
        <w:pStyle w:val="BodyText"/>
        <w:spacing w:before="1"/>
        <w:rPr>
          <w:sz w:val="26"/>
        </w:rPr>
      </w:pPr>
    </w:p>
    <w:p>
      <w:pPr>
        <w:pStyle w:val="BodyText"/>
        <w:spacing w:line="285" w:lineRule="auto"/>
        <w:ind w:left="110" w:right="108"/>
        <w:jc w:val="both"/>
      </w:pPr>
      <w:r>
        <w:rPr>
          <w:color w:val="231F20"/>
          <w:w w:val="105"/>
        </w:rPr>
        <w:t>Chimalhuacán</w:t>
      </w:r>
      <w:r>
        <w:rPr>
          <w:color w:val="231F20"/>
          <w:spacing w:val="-12"/>
          <w:w w:val="105"/>
        </w:rPr>
        <w:t> </w:t>
      </w:r>
      <w:r>
        <w:rPr>
          <w:color w:val="231F20"/>
          <w:w w:val="105"/>
        </w:rPr>
        <w:t>ha</w:t>
      </w:r>
      <w:r>
        <w:rPr>
          <w:color w:val="231F20"/>
          <w:spacing w:val="-12"/>
          <w:w w:val="105"/>
        </w:rPr>
        <w:t> </w:t>
      </w:r>
      <w:r>
        <w:rPr>
          <w:color w:val="231F20"/>
          <w:w w:val="105"/>
        </w:rPr>
        <w:t>sido</w:t>
      </w:r>
      <w:r>
        <w:rPr>
          <w:color w:val="231F20"/>
          <w:spacing w:val="-12"/>
          <w:w w:val="105"/>
        </w:rPr>
        <w:t> </w:t>
      </w:r>
      <w:r>
        <w:rPr>
          <w:color w:val="231F20"/>
          <w:w w:val="105"/>
        </w:rPr>
        <w:t>un</w:t>
      </w:r>
      <w:r>
        <w:rPr>
          <w:color w:val="231F20"/>
          <w:spacing w:val="-12"/>
          <w:w w:val="105"/>
        </w:rPr>
        <w:t> </w:t>
      </w:r>
      <w:r>
        <w:rPr>
          <w:color w:val="231F20"/>
          <w:w w:val="105"/>
        </w:rPr>
        <w:t>municipio</w:t>
      </w:r>
      <w:r>
        <w:rPr>
          <w:color w:val="231F20"/>
          <w:spacing w:val="-12"/>
          <w:w w:val="105"/>
        </w:rPr>
        <w:t> </w:t>
      </w:r>
      <w:r>
        <w:rPr>
          <w:color w:val="231F20"/>
          <w:w w:val="105"/>
        </w:rPr>
        <w:t>de</w:t>
      </w:r>
      <w:r>
        <w:rPr>
          <w:color w:val="231F20"/>
          <w:spacing w:val="-12"/>
          <w:w w:val="105"/>
        </w:rPr>
        <w:t> </w:t>
      </w:r>
      <w:r>
        <w:rPr>
          <w:color w:val="231F20"/>
          <w:w w:val="105"/>
        </w:rPr>
        <w:t>cacicazgos</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cambiará</w:t>
      </w:r>
      <w:r>
        <w:rPr>
          <w:color w:val="231F20"/>
          <w:spacing w:val="-12"/>
          <w:w w:val="105"/>
        </w:rPr>
        <w:t> </w:t>
      </w:r>
      <w:r>
        <w:rPr>
          <w:color w:val="231F20"/>
          <w:w w:val="105"/>
        </w:rPr>
        <w:t>de</w:t>
      </w:r>
      <w:r>
        <w:rPr>
          <w:color w:val="231F20"/>
          <w:spacing w:val="-12"/>
          <w:w w:val="105"/>
        </w:rPr>
        <w:t> </w:t>
      </w:r>
      <w:r>
        <w:rPr>
          <w:color w:val="231F20"/>
          <w:w w:val="105"/>
        </w:rPr>
        <w:t>opción</w:t>
      </w:r>
      <w:r>
        <w:rPr>
          <w:color w:val="231F20"/>
          <w:spacing w:val="-12"/>
          <w:w w:val="105"/>
        </w:rPr>
        <w:t> </w:t>
      </w:r>
      <w:r>
        <w:rPr>
          <w:color w:val="231F20"/>
          <w:w w:val="105"/>
        </w:rPr>
        <w:t>partidis- ta</w:t>
      </w:r>
      <w:r>
        <w:rPr>
          <w:color w:val="231F20"/>
          <w:spacing w:val="-17"/>
          <w:w w:val="105"/>
        </w:rPr>
        <w:t> </w:t>
      </w:r>
      <w:r>
        <w:rPr>
          <w:color w:val="231F20"/>
          <w:w w:val="105"/>
        </w:rPr>
        <w:t>en</w:t>
      </w:r>
      <w:r>
        <w:rPr>
          <w:color w:val="231F20"/>
          <w:spacing w:val="-17"/>
          <w:w w:val="105"/>
        </w:rPr>
        <w:t> </w:t>
      </w:r>
      <w:r>
        <w:rPr>
          <w:color w:val="231F20"/>
          <w:w w:val="105"/>
        </w:rPr>
        <w:t>tanto</w:t>
      </w:r>
      <w:r>
        <w:rPr>
          <w:color w:val="231F20"/>
          <w:spacing w:val="-17"/>
          <w:w w:val="105"/>
        </w:rPr>
        <w:t> </w:t>
      </w:r>
      <w:r>
        <w:rPr>
          <w:color w:val="231F20"/>
          <w:w w:val="105"/>
        </w:rPr>
        <w:t>los</w:t>
      </w:r>
      <w:r>
        <w:rPr>
          <w:color w:val="231F20"/>
          <w:spacing w:val="-17"/>
          <w:w w:val="105"/>
        </w:rPr>
        <w:t> </w:t>
      </w:r>
      <w:r>
        <w:rPr>
          <w:color w:val="231F20"/>
          <w:w w:val="105"/>
        </w:rPr>
        <w:t>caciques</w:t>
      </w:r>
      <w:r>
        <w:rPr>
          <w:color w:val="231F20"/>
          <w:spacing w:val="-17"/>
          <w:w w:val="105"/>
        </w:rPr>
        <w:t> </w:t>
      </w:r>
      <w:r>
        <w:rPr>
          <w:color w:val="231F20"/>
          <w:w w:val="105"/>
        </w:rPr>
        <w:t>sigan</w:t>
      </w:r>
      <w:r>
        <w:rPr>
          <w:color w:val="231F20"/>
          <w:spacing w:val="-17"/>
          <w:w w:val="105"/>
        </w:rPr>
        <w:t> </w:t>
      </w:r>
      <w:r>
        <w:rPr>
          <w:color w:val="231F20"/>
          <w:w w:val="105"/>
        </w:rPr>
        <w:t>teniendo</w:t>
      </w:r>
      <w:r>
        <w:rPr>
          <w:color w:val="231F20"/>
          <w:spacing w:val="-17"/>
          <w:w w:val="105"/>
        </w:rPr>
        <w:t> </w:t>
      </w:r>
      <w:r>
        <w:rPr>
          <w:color w:val="231F20"/>
          <w:w w:val="105"/>
        </w:rPr>
        <w:t>el</w:t>
      </w:r>
      <w:r>
        <w:rPr>
          <w:color w:val="231F20"/>
          <w:spacing w:val="-17"/>
          <w:w w:val="105"/>
        </w:rPr>
        <w:t> </w:t>
      </w:r>
      <w:r>
        <w:rPr>
          <w:color w:val="231F20"/>
          <w:w w:val="105"/>
        </w:rPr>
        <w:t>control</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servicios</w:t>
      </w:r>
      <w:r>
        <w:rPr>
          <w:color w:val="231F20"/>
          <w:spacing w:val="-17"/>
          <w:w w:val="105"/>
        </w:rPr>
        <w:t> </w:t>
      </w:r>
      <w:r>
        <w:rPr>
          <w:color w:val="231F20"/>
          <w:w w:val="105"/>
        </w:rPr>
        <w:t>públicos</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adminis- tración</w:t>
      </w:r>
      <w:r>
        <w:rPr>
          <w:color w:val="231F20"/>
          <w:spacing w:val="-24"/>
          <w:w w:val="105"/>
        </w:rPr>
        <w:t> </w:t>
      </w:r>
      <w:r>
        <w:rPr>
          <w:color w:val="231F20"/>
          <w:w w:val="105"/>
        </w:rPr>
        <w:t>pública</w:t>
      </w:r>
      <w:r>
        <w:rPr>
          <w:color w:val="231F20"/>
          <w:spacing w:val="-24"/>
          <w:w w:val="105"/>
        </w:rPr>
        <w:t> </w:t>
      </w:r>
      <w:r>
        <w:rPr>
          <w:color w:val="231F20"/>
          <w:w w:val="105"/>
        </w:rPr>
        <w:t>municipal</w:t>
      </w:r>
      <w:r>
        <w:rPr>
          <w:color w:val="231F20"/>
          <w:spacing w:val="-24"/>
          <w:w w:val="105"/>
        </w:rPr>
        <w:t> </w:t>
      </w:r>
      <w:r>
        <w:rPr>
          <w:color w:val="231F20"/>
          <w:w w:val="105"/>
        </w:rPr>
        <w:t>y</w:t>
      </w:r>
      <w:r>
        <w:rPr>
          <w:color w:val="231F20"/>
          <w:spacing w:val="-24"/>
          <w:w w:val="105"/>
        </w:rPr>
        <w:t> </w:t>
      </w:r>
      <w:r>
        <w:rPr>
          <w:color w:val="231F20"/>
          <w:w w:val="105"/>
        </w:rPr>
        <w:t>del</w:t>
      </w:r>
      <w:r>
        <w:rPr>
          <w:color w:val="231F20"/>
          <w:spacing w:val="-24"/>
          <w:w w:val="105"/>
        </w:rPr>
        <w:t> </w:t>
      </w:r>
      <w:r>
        <w:rPr>
          <w:color w:val="231F20"/>
          <w:w w:val="105"/>
        </w:rPr>
        <w:t>Organismo</w:t>
      </w:r>
      <w:r>
        <w:rPr>
          <w:color w:val="231F20"/>
          <w:spacing w:val="-24"/>
          <w:w w:val="105"/>
        </w:rPr>
        <w:t> </w:t>
      </w:r>
      <w:r>
        <w:rPr>
          <w:color w:val="231F20"/>
          <w:w w:val="105"/>
        </w:rPr>
        <w:t>Público</w:t>
      </w:r>
      <w:r>
        <w:rPr>
          <w:color w:val="231F20"/>
          <w:spacing w:val="-24"/>
          <w:w w:val="105"/>
        </w:rPr>
        <w:t> </w:t>
      </w:r>
      <w:r>
        <w:rPr>
          <w:color w:val="231F20"/>
          <w:w w:val="105"/>
        </w:rPr>
        <w:t>Descentralizado</w:t>
      </w:r>
      <w:r>
        <w:rPr>
          <w:color w:val="231F20"/>
          <w:spacing w:val="-24"/>
          <w:w w:val="105"/>
        </w:rPr>
        <w:t> </w:t>
      </w:r>
      <w:r>
        <w:rPr>
          <w:color w:val="231F20"/>
          <w:w w:val="105"/>
        </w:rPr>
        <w:t>Agua</w:t>
      </w:r>
      <w:r>
        <w:rPr>
          <w:color w:val="231F20"/>
          <w:spacing w:val="-24"/>
          <w:w w:val="105"/>
        </w:rPr>
        <w:t> </w:t>
      </w:r>
      <w:r>
        <w:rPr>
          <w:color w:val="231F20"/>
          <w:w w:val="105"/>
        </w:rPr>
        <w:t>y</w:t>
      </w:r>
      <w:r>
        <w:rPr>
          <w:color w:val="231F20"/>
          <w:spacing w:val="-24"/>
          <w:w w:val="105"/>
        </w:rPr>
        <w:t> </w:t>
      </w:r>
      <w:r>
        <w:rPr>
          <w:color w:val="231F20"/>
          <w:w w:val="105"/>
        </w:rPr>
        <w:t>Saneamien- to</w:t>
      </w:r>
      <w:r>
        <w:rPr>
          <w:color w:val="231F20"/>
          <w:spacing w:val="-12"/>
          <w:w w:val="105"/>
        </w:rPr>
        <w:t> </w:t>
      </w:r>
      <w:r>
        <w:rPr>
          <w:color w:val="231F20"/>
          <w:w w:val="105"/>
        </w:rPr>
        <w:t>de</w:t>
      </w:r>
      <w:r>
        <w:rPr>
          <w:color w:val="231F20"/>
          <w:spacing w:val="-12"/>
          <w:w w:val="105"/>
        </w:rPr>
        <w:t> </w:t>
      </w:r>
      <w:r>
        <w:rPr>
          <w:color w:val="231F20"/>
          <w:w w:val="105"/>
        </w:rPr>
        <w:t>Chimalhuacán</w:t>
      </w:r>
      <w:r>
        <w:rPr>
          <w:color w:val="231F20"/>
          <w:spacing w:val="-12"/>
          <w:w w:val="105"/>
        </w:rPr>
        <w:t> </w:t>
      </w:r>
      <w:r>
        <w:rPr>
          <w:color w:val="231F20"/>
          <w:spacing w:val="-6"/>
          <w:w w:val="105"/>
        </w:rPr>
        <w:t>(OPDAPAS),</w:t>
      </w:r>
      <w:r>
        <w:rPr>
          <w:color w:val="231F20"/>
          <w:spacing w:val="-12"/>
          <w:w w:val="105"/>
        </w:rPr>
        <w:t> </w:t>
      </w:r>
      <w:r>
        <w:rPr>
          <w:color w:val="231F20"/>
          <w:w w:val="105"/>
        </w:rPr>
        <w:t>moneda</w:t>
      </w:r>
      <w:r>
        <w:rPr>
          <w:color w:val="231F20"/>
          <w:spacing w:val="-12"/>
          <w:w w:val="105"/>
        </w:rPr>
        <w:t> </w:t>
      </w:r>
      <w:r>
        <w:rPr>
          <w:color w:val="231F20"/>
          <w:w w:val="105"/>
        </w:rPr>
        <w:t>de</w:t>
      </w:r>
      <w:r>
        <w:rPr>
          <w:color w:val="231F20"/>
          <w:spacing w:val="-12"/>
          <w:w w:val="105"/>
        </w:rPr>
        <w:t> </w:t>
      </w:r>
      <w:r>
        <w:rPr>
          <w:color w:val="231F20"/>
          <w:w w:val="105"/>
        </w:rPr>
        <w:t>cambio</w:t>
      </w:r>
      <w:r>
        <w:rPr>
          <w:color w:val="231F20"/>
          <w:spacing w:val="-12"/>
          <w:w w:val="105"/>
        </w:rPr>
        <w:t> </w:t>
      </w:r>
      <w:r>
        <w:rPr>
          <w:color w:val="231F20"/>
          <w:w w:val="105"/>
        </w:rPr>
        <w:t>entre</w:t>
      </w:r>
      <w:r>
        <w:rPr>
          <w:color w:val="231F20"/>
          <w:spacing w:val="-12"/>
          <w:w w:val="105"/>
        </w:rPr>
        <w:t> </w:t>
      </w:r>
      <w:r>
        <w:rPr>
          <w:color w:val="231F20"/>
          <w:w w:val="105"/>
        </w:rPr>
        <w:t>dos</w:t>
      </w:r>
      <w:r>
        <w:rPr>
          <w:color w:val="231F20"/>
          <w:spacing w:val="-12"/>
          <w:w w:val="105"/>
        </w:rPr>
        <w:t> </w:t>
      </w:r>
      <w:r>
        <w:rPr>
          <w:color w:val="231F20"/>
          <w:w w:val="105"/>
        </w:rPr>
        <w:t>entidades</w:t>
      </w:r>
      <w:r>
        <w:rPr>
          <w:color w:val="231F20"/>
          <w:spacing w:val="-12"/>
          <w:w w:val="105"/>
        </w:rPr>
        <w:t> </w:t>
      </w:r>
      <w:r>
        <w:rPr>
          <w:color w:val="231F20"/>
          <w:spacing w:val="-3"/>
          <w:w w:val="105"/>
        </w:rPr>
        <w:t>donde</w:t>
      </w:r>
      <w:r>
        <w:rPr>
          <w:color w:val="231F20"/>
          <w:spacing w:val="-12"/>
          <w:w w:val="105"/>
        </w:rPr>
        <w:t> </w:t>
      </w:r>
      <w:r>
        <w:rPr>
          <w:color w:val="231F20"/>
          <w:w w:val="105"/>
        </w:rPr>
        <w:t>una</w:t>
      </w:r>
      <w:r>
        <w:rPr>
          <w:color w:val="231F20"/>
          <w:spacing w:val="-12"/>
          <w:w w:val="105"/>
        </w:rPr>
        <w:t> </w:t>
      </w:r>
      <w:r>
        <w:rPr>
          <w:color w:val="231F20"/>
          <w:w w:val="105"/>
        </w:rPr>
        <w:t>-el gobierno- tiene el poder y otra -el pueblo- la necesidad. La conseja popular es mutatis mutandis,</w:t>
      </w:r>
      <w:r>
        <w:rPr>
          <w:color w:val="231F20"/>
          <w:spacing w:val="-13"/>
          <w:w w:val="105"/>
        </w:rPr>
        <w:t> </w:t>
      </w:r>
      <w:r>
        <w:rPr>
          <w:color w:val="231F20"/>
          <w:w w:val="105"/>
        </w:rPr>
        <w:t>o</w:t>
      </w:r>
      <w:r>
        <w:rPr>
          <w:color w:val="231F20"/>
          <w:spacing w:val="-13"/>
          <w:w w:val="105"/>
        </w:rPr>
        <w:t> </w:t>
      </w:r>
      <w:r>
        <w:rPr>
          <w:color w:val="231F20"/>
          <w:w w:val="105"/>
        </w:rPr>
        <w:t>sea</w:t>
      </w:r>
      <w:r>
        <w:rPr>
          <w:color w:val="231F20"/>
          <w:spacing w:val="-13"/>
          <w:w w:val="105"/>
        </w:rPr>
        <w:t> </w:t>
      </w:r>
      <w:r>
        <w:rPr>
          <w:color w:val="231F20"/>
          <w:w w:val="105"/>
        </w:rPr>
        <w:t>cambiando</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debe</w:t>
      </w:r>
      <w:r>
        <w:rPr>
          <w:color w:val="231F20"/>
          <w:spacing w:val="-13"/>
          <w:w w:val="105"/>
        </w:rPr>
        <w:t> </w:t>
      </w:r>
      <w:r>
        <w:rPr>
          <w:color w:val="231F20"/>
          <w:w w:val="105"/>
        </w:rPr>
        <w:t>cambiar.</w:t>
      </w:r>
      <w:r>
        <w:rPr>
          <w:color w:val="231F20"/>
          <w:spacing w:val="-13"/>
          <w:w w:val="105"/>
        </w:rPr>
        <w:t> </w:t>
      </w:r>
      <w:r>
        <w:rPr>
          <w:color w:val="231F20"/>
          <w:w w:val="105"/>
        </w:rPr>
        <w:t>Empero,</w:t>
      </w:r>
      <w:r>
        <w:rPr>
          <w:color w:val="231F20"/>
          <w:spacing w:val="-13"/>
          <w:w w:val="105"/>
        </w:rPr>
        <w:t> </w:t>
      </w:r>
      <w:r>
        <w:rPr>
          <w:color w:val="231F20"/>
          <w:w w:val="105"/>
        </w:rPr>
        <w:t>el</w:t>
      </w:r>
      <w:r>
        <w:rPr>
          <w:color w:val="231F20"/>
          <w:spacing w:val="-13"/>
          <w:w w:val="105"/>
        </w:rPr>
        <w:t> </w:t>
      </w:r>
      <w:r>
        <w:rPr>
          <w:color w:val="231F20"/>
          <w:w w:val="105"/>
        </w:rPr>
        <w:t>cacicazgo</w:t>
      </w:r>
      <w:r>
        <w:rPr>
          <w:color w:val="231F20"/>
          <w:spacing w:val="-13"/>
          <w:w w:val="105"/>
        </w:rPr>
        <w:t> </w:t>
      </w:r>
      <w:r>
        <w:rPr>
          <w:color w:val="231F20"/>
          <w:w w:val="105"/>
        </w:rPr>
        <w:t>no</w:t>
      </w:r>
      <w:r>
        <w:rPr>
          <w:color w:val="231F20"/>
          <w:spacing w:val="-13"/>
          <w:w w:val="105"/>
        </w:rPr>
        <w:t> </w:t>
      </w:r>
      <w:r>
        <w:rPr>
          <w:color w:val="231F20"/>
          <w:w w:val="105"/>
        </w:rPr>
        <w:t>está</w:t>
      </w:r>
      <w:r>
        <w:rPr>
          <w:color w:val="231F20"/>
          <w:spacing w:val="-13"/>
          <w:w w:val="105"/>
        </w:rPr>
        <w:t> </w:t>
      </w:r>
      <w:r>
        <w:rPr>
          <w:color w:val="231F20"/>
          <w:w w:val="105"/>
        </w:rPr>
        <w:t>sujeto a</w:t>
      </w:r>
      <w:r>
        <w:rPr>
          <w:color w:val="231F20"/>
          <w:spacing w:val="-18"/>
          <w:w w:val="105"/>
        </w:rPr>
        <w:t> </w:t>
      </w:r>
      <w:r>
        <w:rPr>
          <w:color w:val="231F20"/>
          <w:w w:val="105"/>
        </w:rPr>
        <w:t>las</w:t>
      </w:r>
      <w:r>
        <w:rPr>
          <w:color w:val="231F20"/>
          <w:spacing w:val="-18"/>
          <w:w w:val="105"/>
        </w:rPr>
        <w:t> </w:t>
      </w:r>
      <w:r>
        <w:rPr>
          <w:color w:val="231F20"/>
          <w:w w:val="105"/>
        </w:rPr>
        <w:t>reglas</w:t>
      </w:r>
      <w:r>
        <w:rPr>
          <w:color w:val="231F20"/>
          <w:spacing w:val="-18"/>
          <w:w w:val="105"/>
        </w:rPr>
        <w:t> </w:t>
      </w:r>
      <w:r>
        <w:rPr>
          <w:color w:val="231F20"/>
          <w:w w:val="105"/>
        </w:rPr>
        <w:t>institucionales.</w:t>
      </w:r>
    </w:p>
    <w:p>
      <w:pPr>
        <w:pStyle w:val="BodyText"/>
        <w:spacing w:before="1"/>
        <w:rPr>
          <w:sz w:val="26"/>
        </w:rPr>
      </w:pPr>
    </w:p>
    <w:p>
      <w:pPr>
        <w:pStyle w:val="BodyText"/>
        <w:spacing w:line="285" w:lineRule="auto"/>
        <w:ind w:left="110" w:right="108"/>
        <w:jc w:val="both"/>
      </w:pPr>
      <w:r>
        <w:rPr>
          <w:color w:val="231F20"/>
          <w:w w:val="105"/>
        </w:rPr>
        <w:t>La realidad es </w:t>
      </w:r>
      <w:r>
        <w:rPr>
          <w:color w:val="231F20"/>
          <w:spacing w:val="-3"/>
          <w:w w:val="105"/>
        </w:rPr>
        <w:t>que </w:t>
      </w:r>
      <w:r>
        <w:rPr>
          <w:color w:val="231F20"/>
          <w:w w:val="105"/>
        </w:rPr>
        <w:t>se </w:t>
      </w:r>
      <w:r>
        <w:rPr>
          <w:color w:val="231F20"/>
          <w:spacing w:val="-3"/>
          <w:w w:val="105"/>
        </w:rPr>
        <w:t>requieren cambios </w:t>
      </w:r>
      <w:r>
        <w:rPr>
          <w:color w:val="231F20"/>
          <w:w w:val="105"/>
        </w:rPr>
        <w:t>estructurales </w:t>
      </w:r>
      <w:r>
        <w:rPr>
          <w:color w:val="231F20"/>
          <w:spacing w:val="-3"/>
          <w:w w:val="105"/>
        </w:rPr>
        <w:t>del Estado mexicano. </w:t>
      </w:r>
      <w:r>
        <w:rPr>
          <w:color w:val="231F20"/>
          <w:w w:val="105"/>
        </w:rPr>
        <w:t>El </w:t>
      </w:r>
      <w:r>
        <w:rPr>
          <w:color w:val="231F20"/>
          <w:spacing w:val="-4"/>
          <w:w w:val="105"/>
        </w:rPr>
        <w:t>presente </w:t>
      </w:r>
      <w:r>
        <w:rPr>
          <w:color w:val="231F20"/>
          <w:w w:val="105"/>
        </w:rPr>
        <w:t>caso es </w:t>
      </w:r>
      <w:r>
        <w:rPr>
          <w:color w:val="231F20"/>
          <w:spacing w:val="-3"/>
          <w:w w:val="105"/>
        </w:rPr>
        <w:t>sólo </w:t>
      </w:r>
      <w:r>
        <w:rPr>
          <w:color w:val="231F20"/>
          <w:w w:val="105"/>
        </w:rPr>
        <w:t>uno de </w:t>
      </w:r>
      <w:r>
        <w:rPr>
          <w:color w:val="231F20"/>
          <w:spacing w:val="-3"/>
          <w:w w:val="105"/>
        </w:rPr>
        <w:t>los </w:t>
      </w:r>
      <w:r>
        <w:rPr>
          <w:color w:val="231F20"/>
          <w:w w:val="105"/>
        </w:rPr>
        <w:t>más </w:t>
      </w:r>
      <w:r>
        <w:rPr>
          <w:color w:val="231F20"/>
          <w:spacing w:val="-3"/>
          <w:w w:val="105"/>
        </w:rPr>
        <w:t>conspicuos del </w:t>
      </w:r>
      <w:r>
        <w:rPr>
          <w:color w:val="231F20"/>
          <w:w w:val="105"/>
        </w:rPr>
        <w:t>país, sin </w:t>
      </w:r>
      <w:r>
        <w:rPr>
          <w:color w:val="231F20"/>
          <w:spacing w:val="-3"/>
          <w:w w:val="105"/>
        </w:rPr>
        <w:t>embargo, </w:t>
      </w:r>
      <w:r>
        <w:rPr>
          <w:color w:val="231F20"/>
          <w:w w:val="105"/>
        </w:rPr>
        <w:t>el </w:t>
      </w:r>
      <w:r>
        <w:rPr>
          <w:color w:val="231F20"/>
          <w:spacing w:val="-3"/>
          <w:w w:val="105"/>
        </w:rPr>
        <w:t>esquema </w:t>
      </w:r>
      <w:r>
        <w:rPr>
          <w:color w:val="231F20"/>
          <w:w w:val="105"/>
        </w:rPr>
        <w:t>caciquil está </w:t>
      </w:r>
      <w:r>
        <w:rPr>
          <w:color w:val="231F20"/>
          <w:spacing w:val="-3"/>
          <w:w w:val="105"/>
        </w:rPr>
        <w:t>rebasando</w:t>
      </w:r>
      <w:r>
        <w:rPr>
          <w:color w:val="231F20"/>
          <w:spacing w:val="-23"/>
          <w:w w:val="105"/>
        </w:rPr>
        <w:t> </w:t>
      </w:r>
      <w:r>
        <w:rPr>
          <w:color w:val="231F20"/>
          <w:w w:val="105"/>
        </w:rPr>
        <w:t>a</w:t>
      </w:r>
      <w:r>
        <w:rPr>
          <w:color w:val="231F20"/>
          <w:spacing w:val="-23"/>
          <w:w w:val="105"/>
        </w:rPr>
        <w:t> </w:t>
      </w:r>
      <w:r>
        <w:rPr>
          <w:color w:val="231F20"/>
          <w:w w:val="105"/>
        </w:rPr>
        <w:t>las</w:t>
      </w:r>
      <w:r>
        <w:rPr>
          <w:color w:val="231F20"/>
          <w:spacing w:val="-23"/>
          <w:w w:val="105"/>
        </w:rPr>
        <w:t> </w:t>
      </w:r>
      <w:r>
        <w:rPr>
          <w:color w:val="231F20"/>
          <w:w w:val="105"/>
        </w:rPr>
        <w:t>instituciones.</w:t>
      </w:r>
      <w:r>
        <w:rPr>
          <w:color w:val="231F20"/>
          <w:spacing w:val="-23"/>
          <w:w w:val="105"/>
        </w:rPr>
        <w:t> </w:t>
      </w:r>
      <w:r>
        <w:rPr>
          <w:color w:val="231F20"/>
          <w:w w:val="105"/>
        </w:rPr>
        <w:t>La</w:t>
      </w:r>
      <w:r>
        <w:rPr>
          <w:color w:val="231F20"/>
          <w:spacing w:val="-23"/>
          <w:w w:val="105"/>
        </w:rPr>
        <w:t> </w:t>
      </w:r>
      <w:r>
        <w:rPr>
          <w:color w:val="231F20"/>
          <w:spacing w:val="-4"/>
          <w:w w:val="105"/>
        </w:rPr>
        <w:t>reforma</w:t>
      </w:r>
      <w:r>
        <w:rPr>
          <w:color w:val="231F20"/>
          <w:spacing w:val="-23"/>
          <w:w w:val="105"/>
        </w:rPr>
        <w:t> </w:t>
      </w:r>
      <w:r>
        <w:rPr>
          <w:color w:val="231F20"/>
          <w:spacing w:val="-3"/>
          <w:w w:val="105"/>
        </w:rPr>
        <w:t>del</w:t>
      </w:r>
      <w:r>
        <w:rPr>
          <w:color w:val="231F20"/>
          <w:spacing w:val="-23"/>
          <w:w w:val="105"/>
        </w:rPr>
        <w:t> </w:t>
      </w:r>
      <w:r>
        <w:rPr>
          <w:color w:val="231F20"/>
          <w:spacing w:val="-3"/>
          <w:w w:val="105"/>
        </w:rPr>
        <w:t>Estado</w:t>
      </w:r>
      <w:r>
        <w:rPr>
          <w:color w:val="231F20"/>
          <w:spacing w:val="-23"/>
          <w:w w:val="105"/>
        </w:rPr>
        <w:t> </w:t>
      </w:r>
      <w:r>
        <w:rPr>
          <w:color w:val="231F20"/>
          <w:w w:val="105"/>
        </w:rPr>
        <w:t>es</w:t>
      </w:r>
      <w:r>
        <w:rPr>
          <w:color w:val="231F20"/>
          <w:spacing w:val="-23"/>
          <w:w w:val="105"/>
        </w:rPr>
        <w:t> </w:t>
      </w:r>
      <w:r>
        <w:rPr>
          <w:color w:val="231F20"/>
          <w:w w:val="105"/>
        </w:rPr>
        <w:t>imperativa,</w:t>
      </w:r>
      <w:r>
        <w:rPr>
          <w:color w:val="231F20"/>
          <w:spacing w:val="-23"/>
          <w:w w:val="105"/>
        </w:rPr>
        <w:t> </w:t>
      </w:r>
      <w:r>
        <w:rPr>
          <w:color w:val="231F20"/>
          <w:spacing w:val="-4"/>
          <w:w w:val="105"/>
        </w:rPr>
        <w:t>porque</w:t>
      </w:r>
      <w:r>
        <w:rPr>
          <w:color w:val="231F20"/>
          <w:spacing w:val="-23"/>
          <w:w w:val="105"/>
        </w:rPr>
        <w:t> </w:t>
      </w:r>
      <w:r>
        <w:rPr>
          <w:color w:val="231F20"/>
          <w:w w:val="105"/>
        </w:rPr>
        <w:t>así</w:t>
      </w:r>
      <w:r>
        <w:rPr>
          <w:color w:val="231F20"/>
          <w:spacing w:val="-23"/>
          <w:w w:val="105"/>
        </w:rPr>
        <w:t> </w:t>
      </w:r>
      <w:r>
        <w:rPr>
          <w:color w:val="231F20"/>
          <w:spacing w:val="-4"/>
          <w:w w:val="105"/>
        </w:rPr>
        <w:t>como</w:t>
      </w:r>
      <w:r>
        <w:rPr>
          <w:color w:val="231F20"/>
          <w:spacing w:val="-23"/>
          <w:w w:val="105"/>
        </w:rPr>
        <w:t> </w:t>
      </w:r>
      <w:r>
        <w:rPr>
          <w:color w:val="231F20"/>
          <w:w w:val="105"/>
        </w:rPr>
        <w:t>se</w:t>
      </w:r>
      <w:r>
        <w:rPr>
          <w:color w:val="231F20"/>
          <w:spacing w:val="-23"/>
          <w:w w:val="105"/>
        </w:rPr>
        <w:t> </w:t>
      </w:r>
      <w:r>
        <w:rPr>
          <w:color w:val="231F20"/>
          <w:spacing w:val="-3"/>
          <w:w w:val="105"/>
        </w:rPr>
        <w:t>de- </w:t>
      </w:r>
      <w:r>
        <w:rPr>
          <w:color w:val="231F20"/>
          <w:w w:val="105"/>
        </w:rPr>
        <w:t>rrumbó</w:t>
      </w:r>
      <w:r>
        <w:rPr>
          <w:color w:val="231F20"/>
          <w:spacing w:val="-12"/>
          <w:w w:val="105"/>
        </w:rPr>
        <w:t> </w:t>
      </w:r>
      <w:r>
        <w:rPr>
          <w:color w:val="231F20"/>
          <w:w w:val="105"/>
        </w:rPr>
        <w:t>a</w:t>
      </w:r>
      <w:r>
        <w:rPr>
          <w:color w:val="231F20"/>
          <w:spacing w:val="-12"/>
          <w:w w:val="105"/>
        </w:rPr>
        <w:t> </w:t>
      </w:r>
      <w:r>
        <w:rPr>
          <w:color w:val="231F20"/>
          <w:w w:val="105"/>
        </w:rPr>
        <w:t>un</w:t>
      </w:r>
      <w:r>
        <w:rPr>
          <w:color w:val="231F20"/>
          <w:spacing w:val="-12"/>
          <w:w w:val="105"/>
        </w:rPr>
        <w:t> </w:t>
      </w:r>
      <w:r>
        <w:rPr>
          <w:color w:val="231F20"/>
          <w:w w:val="105"/>
        </w:rPr>
        <w:t>grupo</w:t>
      </w:r>
      <w:r>
        <w:rPr>
          <w:color w:val="231F20"/>
          <w:spacing w:val="-12"/>
          <w:w w:val="105"/>
        </w:rPr>
        <w:t> </w:t>
      </w:r>
      <w:r>
        <w:rPr>
          <w:color w:val="231F20"/>
          <w:w w:val="105"/>
        </w:rPr>
        <w:t>en</w:t>
      </w:r>
      <w:r>
        <w:rPr>
          <w:color w:val="231F20"/>
          <w:spacing w:val="-12"/>
          <w:w w:val="105"/>
        </w:rPr>
        <w:t> </w:t>
      </w:r>
      <w:r>
        <w:rPr>
          <w:color w:val="231F20"/>
          <w:w w:val="105"/>
        </w:rPr>
        <w:t>Chimalhuacán</w:t>
      </w:r>
      <w:r>
        <w:rPr>
          <w:color w:val="231F20"/>
          <w:spacing w:val="-12"/>
          <w:w w:val="105"/>
        </w:rPr>
        <w:t> </w:t>
      </w:r>
      <w:r>
        <w:rPr>
          <w:color w:val="231F20"/>
          <w:w w:val="105"/>
        </w:rPr>
        <w:t>a</w:t>
      </w:r>
      <w:r>
        <w:rPr>
          <w:color w:val="231F20"/>
          <w:spacing w:val="-12"/>
          <w:w w:val="105"/>
        </w:rPr>
        <w:t> </w:t>
      </w:r>
      <w:r>
        <w:rPr>
          <w:color w:val="231F20"/>
          <w:spacing w:val="-3"/>
          <w:w w:val="105"/>
        </w:rPr>
        <w:t>través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3"/>
          <w:w w:val="105"/>
        </w:rPr>
        <w:t>violencia</w:t>
      </w:r>
      <w:r>
        <w:rPr>
          <w:color w:val="231F20"/>
          <w:spacing w:val="-12"/>
          <w:w w:val="105"/>
        </w:rPr>
        <w:t> </w:t>
      </w:r>
      <w:r>
        <w:rPr>
          <w:color w:val="231F20"/>
          <w:spacing w:val="-3"/>
          <w:w w:val="105"/>
        </w:rPr>
        <w:t>con</w:t>
      </w:r>
      <w:r>
        <w:rPr>
          <w:color w:val="231F20"/>
          <w:spacing w:val="-12"/>
          <w:w w:val="105"/>
        </w:rPr>
        <w:t> </w:t>
      </w:r>
      <w:r>
        <w:rPr>
          <w:color w:val="231F20"/>
          <w:w w:val="105"/>
        </w:rPr>
        <w:t>el</w:t>
      </w:r>
      <w:r>
        <w:rPr>
          <w:color w:val="231F20"/>
          <w:spacing w:val="-12"/>
          <w:w w:val="105"/>
        </w:rPr>
        <w:t> </w:t>
      </w:r>
      <w:r>
        <w:rPr>
          <w:color w:val="231F20"/>
          <w:spacing w:val="-3"/>
          <w:w w:val="105"/>
        </w:rPr>
        <w:t>resultado</w:t>
      </w:r>
      <w:r>
        <w:rPr>
          <w:color w:val="231F20"/>
          <w:spacing w:val="-12"/>
          <w:w w:val="105"/>
        </w:rPr>
        <w:t> </w:t>
      </w:r>
      <w:r>
        <w:rPr>
          <w:color w:val="231F20"/>
          <w:w w:val="105"/>
        </w:rPr>
        <w:t>ya</w:t>
      </w:r>
      <w:r>
        <w:rPr>
          <w:color w:val="231F20"/>
          <w:spacing w:val="-12"/>
          <w:w w:val="105"/>
        </w:rPr>
        <w:t> </w:t>
      </w:r>
      <w:r>
        <w:rPr>
          <w:color w:val="231F20"/>
          <w:spacing w:val="-3"/>
          <w:w w:val="105"/>
        </w:rPr>
        <w:t>mencio- </w:t>
      </w:r>
      <w:r>
        <w:rPr>
          <w:color w:val="231F20"/>
          <w:spacing w:val="-4"/>
          <w:w w:val="105"/>
        </w:rPr>
        <w:t>nado</w:t>
      </w:r>
      <w:r>
        <w:rPr>
          <w:color w:val="231F20"/>
          <w:spacing w:val="-15"/>
          <w:w w:val="105"/>
        </w:rPr>
        <w:t> </w:t>
      </w:r>
      <w:r>
        <w:rPr>
          <w:color w:val="231F20"/>
          <w:spacing w:val="-4"/>
          <w:w w:val="105"/>
        </w:rPr>
        <w:t>(“pocos</w:t>
      </w:r>
      <w:r>
        <w:rPr>
          <w:color w:val="231F20"/>
          <w:spacing w:val="-15"/>
          <w:w w:val="105"/>
        </w:rPr>
        <w:t> </w:t>
      </w:r>
      <w:r>
        <w:rPr>
          <w:color w:val="231F20"/>
          <w:spacing w:val="-3"/>
          <w:w w:val="105"/>
        </w:rPr>
        <w:t>muertos”</w:t>
      </w:r>
      <w:r>
        <w:rPr>
          <w:color w:val="231F20"/>
          <w:spacing w:val="-15"/>
          <w:w w:val="105"/>
        </w:rPr>
        <w:t> </w:t>
      </w:r>
      <w:r>
        <w:rPr>
          <w:color w:val="231F20"/>
          <w:w w:val="105"/>
        </w:rPr>
        <w:t>dice</w:t>
      </w:r>
      <w:r>
        <w:rPr>
          <w:color w:val="231F20"/>
          <w:spacing w:val="-15"/>
          <w:w w:val="105"/>
        </w:rPr>
        <w:t> </w:t>
      </w:r>
      <w:r>
        <w:rPr>
          <w:color w:val="231F20"/>
          <w:w w:val="105"/>
        </w:rPr>
        <w:t>la</w:t>
      </w:r>
      <w:r>
        <w:rPr>
          <w:color w:val="231F20"/>
          <w:spacing w:val="-15"/>
          <w:w w:val="105"/>
        </w:rPr>
        <w:t> </w:t>
      </w:r>
      <w:r>
        <w:rPr>
          <w:color w:val="231F20"/>
          <w:spacing w:val="-5"/>
          <w:w w:val="105"/>
        </w:rPr>
        <w:t>autoridad),</w:t>
      </w:r>
      <w:r>
        <w:rPr>
          <w:color w:val="231F20"/>
          <w:spacing w:val="-15"/>
          <w:w w:val="105"/>
        </w:rPr>
        <w:t> </w:t>
      </w:r>
      <w:r>
        <w:rPr>
          <w:color w:val="231F20"/>
          <w:w w:val="105"/>
        </w:rPr>
        <w:t>es</w:t>
      </w:r>
      <w:r>
        <w:rPr>
          <w:color w:val="231F20"/>
          <w:spacing w:val="-15"/>
          <w:w w:val="105"/>
        </w:rPr>
        <w:t> </w:t>
      </w:r>
      <w:r>
        <w:rPr>
          <w:color w:val="231F20"/>
          <w:spacing w:val="-3"/>
          <w:w w:val="105"/>
        </w:rPr>
        <w:t>preocupante</w:t>
      </w:r>
      <w:r>
        <w:rPr>
          <w:color w:val="231F20"/>
          <w:spacing w:val="-15"/>
          <w:w w:val="105"/>
        </w:rPr>
        <w:t> </w:t>
      </w:r>
      <w:r>
        <w:rPr>
          <w:color w:val="231F20"/>
          <w:w w:val="105"/>
        </w:rPr>
        <w:t>pensar</w:t>
      </w:r>
      <w:r>
        <w:rPr>
          <w:color w:val="231F20"/>
          <w:spacing w:val="-15"/>
          <w:w w:val="105"/>
        </w:rPr>
        <w:t> </w:t>
      </w:r>
      <w:r>
        <w:rPr>
          <w:color w:val="231F20"/>
          <w:w w:val="105"/>
        </w:rPr>
        <w:t>cuantos</w:t>
      </w:r>
      <w:r>
        <w:rPr>
          <w:color w:val="231F20"/>
          <w:spacing w:val="-15"/>
          <w:w w:val="105"/>
        </w:rPr>
        <w:t> </w:t>
      </w:r>
      <w:r>
        <w:rPr>
          <w:color w:val="231F20"/>
          <w:w w:val="105"/>
        </w:rPr>
        <w:t>más</w:t>
      </w:r>
      <w:r>
        <w:rPr>
          <w:color w:val="231F20"/>
          <w:spacing w:val="-15"/>
          <w:w w:val="105"/>
        </w:rPr>
        <w:t> </w:t>
      </w:r>
      <w:r>
        <w:rPr>
          <w:color w:val="231F20"/>
          <w:w w:val="105"/>
        </w:rPr>
        <w:t>serán</w:t>
      </w:r>
      <w:r>
        <w:rPr>
          <w:color w:val="231F20"/>
          <w:spacing w:val="-15"/>
          <w:w w:val="105"/>
        </w:rPr>
        <w:t> </w:t>
      </w:r>
      <w:r>
        <w:rPr>
          <w:color w:val="231F20"/>
          <w:spacing w:val="-3"/>
          <w:w w:val="105"/>
        </w:rPr>
        <w:t>nece- </w:t>
      </w:r>
      <w:r>
        <w:rPr>
          <w:color w:val="231F20"/>
          <w:w w:val="105"/>
        </w:rPr>
        <w:t>sarios</w:t>
      </w:r>
      <w:r>
        <w:rPr>
          <w:color w:val="231F20"/>
          <w:spacing w:val="-17"/>
          <w:w w:val="105"/>
        </w:rPr>
        <w:t> </w:t>
      </w:r>
      <w:r>
        <w:rPr>
          <w:color w:val="231F20"/>
          <w:spacing w:val="-3"/>
          <w:w w:val="105"/>
        </w:rPr>
        <w:t>con</w:t>
      </w:r>
      <w:r>
        <w:rPr>
          <w:color w:val="231F20"/>
          <w:spacing w:val="-17"/>
          <w:w w:val="105"/>
        </w:rPr>
        <w:t> </w:t>
      </w:r>
      <w:r>
        <w:rPr>
          <w:color w:val="231F20"/>
          <w:w w:val="105"/>
        </w:rPr>
        <w:t>otra</w:t>
      </w:r>
      <w:r>
        <w:rPr>
          <w:color w:val="231F20"/>
          <w:spacing w:val="-17"/>
          <w:w w:val="105"/>
        </w:rPr>
        <w:t> </w:t>
      </w:r>
      <w:r>
        <w:rPr>
          <w:color w:val="231F20"/>
          <w:spacing w:val="-3"/>
          <w:w w:val="105"/>
        </w:rPr>
        <w:t>permuta,</w:t>
      </w:r>
      <w:r>
        <w:rPr>
          <w:color w:val="231F20"/>
          <w:spacing w:val="-17"/>
          <w:w w:val="105"/>
        </w:rPr>
        <w:t> </w:t>
      </w:r>
      <w:r>
        <w:rPr>
          <w:color w:val="231F20"/>
          <w:w w:val="105"/>
        </w:rPr>
        <w:t>si</w:t>
      </w:r>
      <w:r>
        <w:rPr>
          <w:color w:val="231F20"/>
          <w:spacing w:val="-17"/>
          <w:w w:val="105"/>
        </w:rPr>
        <w:t> </w:t>
      </w:r>
      <w:r>
        <w:rPr>
          <w:color w:val="231F20"/>
          <w:w w:val="105"/>
        </w:rPr>
        <w:t>ésta</w:t>
      </w:r>
      <w:r>
        <w:rPr>
          <w:color w:val="231F20"/>
          <w:spacing w:val="-17"/>
          <w:w w:val="105"/>
        </w:rPr>
        <w:t> </w:t>
      </w:r>
      <w:r>
        <w:rPr>
          <w:color w:val="231F20"/>
          <w:spacing w:val="-3"/>
          <w:w w:val="105"/>
        </w:rPr>
        <w:t>no</w:t>
      </w:r>
      <w:r>
        <w:rPr>
          <w:color w:val="231F20"/>
          <w:spacing w:val="-17"/>
          <w:w w:val="105"/>
        </w:rPr>
        <w:t> </w:t>
      </w:r>
      <w:r>
        <w:rPr>
          <w:color w:val="231F20"/>
          <w:w w:val="105"/>
        </w:rPr>
        <w:t>se</w:t>
      </w:r>
      <w:r>
        <w:rPr>
          <w:color w:val="231F20"/>
          <w:spacing w:val="-17"/>
          <w:w w:val="105"/>
        </w:rPr>
        <w:t> </w:t>
      </w:r>
      <w:r>
        <w:rPr>
          <w:color w:val="231F20"/>
          <w:w w:val="105"/>
        </w:rPr>
        <w:t>realiza</w:t>
      </w:r>
      <w:r>
        <w:rPr>
          <w:color w:val="231F20"/>
          <w:spacing w:val="-17"/>
          <w:w w:val="105"/>
        </w:rPr>
        <w:t> </w:t>
      </w:r>
      <w:r>
        <w:rPr>
          <w:color w:val="231F20"/>
          <w:spacing w:val="-3"/>
          <w:w w:val="105"/>
        </w:rPr>
        <w:t>dentro</w:t>
      </w:r>
      <w:r>
        <w:rPr>
          <w:color w:val="231F20"/>
          <w:spacing w:val="-17"/>
          <w:w w:val="105"/>
        </w:rPr>
        <w:t> </w:t>
      </w:r>
      <w:r>
        <w:rPr>
          <w:color w:val="231F20"/>
          <w:w w:val="105"/>
        </w:rPr>
        <w:t>de</w:t>
      </w:r>
      <w:r>
        <w:rPr>
          <w:color w:val="231F20"/>
          <w:spacing w:val="-17"/>
          <w:w w:val="105"/>
        </w:rPr>
        <w:t> </w:t>
      </w:r>
      <w:r>
        <w:rPr>
          <w:color w:val="231F20"/>
          <w:spacing w:val="-3"/>
          <w:w w:val="105"/>
        </w:rPr>
        <w:t>cauces</w:t>
      </w:r>
      <w:r>
        <w:rPr>
          <w:color w:val="231F20"/>
          <w:spacing w:val="-17"/>
          <w:w w:val="105"/>
        </w:rPr>
        <w:t> </w:t>
      </w:r>
      <w:r>
        <w:rPr>
          <w:color w:val="231F20"/>
          <w:w w:val="105"/>
        </w:rPr>
        <w:t>institucionales</w:t>
      </w:r>
      <w:r>
        <w:rPr>
          <w:color w:val="231F20"/>
          <w:spacing w:val="-17"/>
          <w:w w:val="105"/>
        </w:rPr>
        <w:t> </w:t>
      </w:r>
      <w:r>
        <w:rPr>
          <w:color w:val="231F20"/>
          <w:w w:val="105"/>
        </w:rPr>
        <w:t>existentes.</w:t>
      </w:r>
    </w:p>
    <w:p>
      <w:pPr>
        <w:pStyle w:val="BodyText"/>
        <w:spacing w:before="9"/>
      </w:pPr>
    </w:p>
    <w:p>
      <w:pPr>
        <w:pStyle w:val="Heading3"/>
        <w:spacing w:line="284" w:lineRule="exact"/>
      </w:pPr>
      <w:r>
        <w:rPr>
          <w:color w:val="231F20"/>
          <w:w w:val="105"/>
        </w:rPr>
        <w:t>Fuentes de consulta</w:t>
      </w:r>
    </w:p>
    <w:p>
      <w:pPr>
        <w:pStyle w:val="Heading4"/>
        <w:spacing w:line="336" w:lineRule="exact"/>
        <w:rPr>
          <w:i/>
        </w:rPr>
      </w:pPr>
      <w:r>
        <w:rPr>
          <w:i/>
          <w:color w:val="231F20"/>
          <w:w w:val="105"/>
        </w:rPr>
        <w:t>Bibliografía</w:t>
      </w:r>
    </w:p>
    <w:p>
      <w:pPr>
        <w:spacing w:before="54"/>
        <w:ind w:left="110" w:right="0" w:firstLine="0"/>
        <w:jc w:val="both"/>
        <w:rPr>
          <w:sz w:val="18"/>
        </w:rPr>
      </w:pPr>
      <w:r>
        <w:rPr>
          <w:color w:val="231F20"/>
          <w:sz w:val="18"/>
        </w:rPr>
        <w:t>ACOSTA SILVA, Adrián (2000), Etcétera, México, núm.  395.</w:t>
      </w:r>
    </w:p>
    <w:p>
      <w:pPr>
        <w:spacing w:line="348" w:lineRule="auto" w:before="93"/>
        <w:ind w:left="393" w:right="509" w:hanging="284"/>
        <w:jc w:val="left"/>
        <w:rPr>
          <w:sz w:val="18"/>
        </w:rPr>
      </w:pPr>
      <w:r>
        <w:rPr>
          <w:color w:val="231F20"/>
          <w:w w:val="105"/>
          <w:sz w:val="18"/>
        </w:rPr>
        <w:t>AVENDAÑO DÍAZ (2008), Eduardo, Entrevista con el ex-presidente Municipal de Chimalhuacán, Estado de México. Fecha de realización: 24 octubre de 2008</w:t>
      </w:r>
    </w:p>
    <w:p>
      <w:pPr>
        <w:spacing w:line="348" w:lineRule="auto" w:before="3"/>
        <w:ind w:left="393" w:right="-2" w:hanging="284"/>
        <w:jc w:val="left"/>
        <w:rPr>
          <w:sz w:val="18"/>
        </w:rPr>
      </w:pPr>
      <w:r>
        <w:rPr>
          <w:color w:val="231F20"/>
          <w:spacing w:val="2"/>
          <w:w w:val="105"/>
          <w:sz w:val="18"/>
        </w:rPr>
        <w:t>MARTÍNEZ</w:t>
      </w:r>
      <w:r>
        <w:rPr>
          <w:color w:val="231F20"/>
          <w:spacing w:val="-18"/>
          <w:w w:val="105"/>
          <w:sz w:val="18"/>
        </w:rPr>
        <w:t> </w:t>
      </w:r>
      <w:r>
        <w:rPr>
          <w:color w:val="231F20"/>
          <w:w w:val="105"/>
          <w:sz w:val="18"/>
        </w:rPr>
        <w:t>GALICIA,</w:t>
      </w:r>
      <w:r>
        <w:rPr>
          <w:color w:val="231F20"/>
          <w:spacing w:val="-18"/>
          <w:w w:val="105"/>
          <w:sz w:val="18"/>
        </w:rPr>
        <w:t> </w:t>
      </w:r>
      <w:r>
        <w:rPr>
          <w:color w:val="231F20"/>
          <w:w w:val="105"/>
          <w:sz w:val="18"/>
        </w:rPr>
        <w:t>Javier</w:t>
      </w:r>
      <w:r>
        <w:rPr>
          <w:color w:val="231F20"/>
          <w:spacing w:val="-18"/>
          <w:w w:val="105"/>
          <w:sz w:val="18"/>
        </w:rPr>
        <w:t> </w:t>
      </w:r>
      <w:r>
        <w:rPr>
          <w:color w:val="231F20"/>
          <w:spacing w:val="2"/>
          <w:w w:val="105"/>
          <w:sz w:val="18"/>
        </w:rPr>
        <w:t>E.</w:t>
      </w:r>
      <w:r>
        <w:rPr>
          <w:color w:val="231F20"/>
          <w:spacing w:val="-18"/>
          <w:w w:val="105"/>
          <w:sz w:val="18"/>
        </w:rPr>
        <w:t> </w:t>
      </w:r>
      <w:r>
        <w:rPr>
          <w:color w:val="231F20"/>
          <w:w w:val="105"/>
          <w:sz w:val="18"/>
        </w:rPr>
        <w:t>(2008),</w:t>
      </w:r>
      <w:r>
        <w:rPr>
          <w:color w:val="231F20"/>
          <w:spacing w:val="-18"/>
          <w:w w:val="105"/>
          <w:sz w:val="18"/>
        </w:rPr>
        <w:t> </w:t>
      </w:r>
      <w:r>
        <w:rPr>
          <w:color w:val="231F20"/>
          <w:w w:val="105"/>
          <w:sz w:val="18"/>
        </w:rPr>
        <w:t>Entrevista</w:t>
      </w:r>
      <w:r>
        <w:rPr>
          <w:color w:val="231F20"/>
          <w:spacing w:val="-18"/>
          <w:w w:val="105"/>
          <w:sz w:val="18"/>
        </w:rPr>
        <w:t> </w:t>
      </w:r>
      <w:r>
        <w:rPr>
          <w:color w:val="231F20"/>
          <w:w w:val="105"/>
          <w:sz w:val="18"/>
        </w:rPr>
        <w:t>con</w:t>
      </w:r>
      <w:r>
        <w:rPr>
          <w:color w:val="231F20"/>
          <w:spacing w:val="-18"/>
          <w:w w:val="105"/>
          <w:sz w:val="18"/>
        </w:rPr>
        <w:t> </w:t>
      </w:r>
      <w:r>
        <w:rPr>
          <w:color w:val="231F20"/>
          <w:w w:val="105"/>
          <w:sz w:val="18"/>
        </w:rPr>
        <w:t>el</w:t>
      </w:r>
      <w:r>
        <w:rPr>
          <w:color w:val="231F20"/>
          <w:spacing w:val="-18"/>
          <w:w w:val="105"/>
          <w:sz w:val="18"/>
        </w:rPr>
        <w:t> </w:t>
      </w:r>
      <w:r>
        <w:rPr>
          <w:color w:val="231F20"/>
          <w:w w:val="105"/>
          <w:sz w:val="18"/>
        </w:rPr>
        <w:t>ex-presidente</w:t>
      </w:r>
      <w:r>
        <w:rPr>
          <w:color w:val="231F20"/>
          <w:spacing w:val="-18"/>
          <w:w w:val="105"/>
          <w:sz w:val="18"/>
        </w:rPr>
        <w:t> </w:t>
      </w:r>
      <w:r>
        <w:rPr>
          <w:color w:val="231F20"/>
          <w:w w:val="105"/>
          <w:sz w:val="18"/>
        </w:rPr>
        <w:t>Municipal</w:t>
      </w:r>
      <w:r>
        <w:rPr>
          <w:color w:val="231F20"/>
          <w:spacing w:val="-18"/>
          <w:w w:val="105"/>
          <w:sz w:val="18"/>
        </w:rPr>
        <w:t> </w:t>
      </w:r>
      <w:r>
        <w:rPr>
          <w:color w:val="231F20"/>
          <w:w w:val="105"/>
          <w:sz w:val="18"/>
        </w:rPr>
        <w:t>de</w:t>
      </w:r>
      <w:r>
        <w:rPr>
          <w:color w:val="231F20"/>
          <w:spacing w:val="-18"/>
          <w:w w:val="105"/>
          <w:sz w:val="18"/>
        </w:rPr>
        <w:t> </w:t>
      </w:r>
      <w:r>
        <w:rPr>
          <w:color w:val="231F20"/>
          <w:spacing w:val="2"/>
          <w:w w:val="105"/>
          <w:sz w:val="18"/>
        </w:rPr>
        <w:t>Chimalhuacán, </w:t>
      </w:r>
      <w:r>
        <w:rPr>
          <w:color w:val="231F20"/>
          <w:w w:val="105"/>
          <w:sz w:val="18"/>
        </w:rPr>
        <w:t>Estado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México.</w:t>
      </w:r>
      <w:r>
        <w:rPr>
          <w:color w:val="231F20"/>
          <w:spacing w:val="-10"/>
          <w:w w:val="105"/>
          <w:sz w:val="18"/>
        </w:rPr>
        <w:t> </w:t>
      </w:r>
      <w:r>
        <w:rPr>
          <w:color w:val="231F20"/>
          <w:w w:val="105"/>
          <w:sz w:val="18"/>
        </w:rPr>
        <w:t>Fecha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realización:</w:t>
      </w:r>
      <w:r>
        <w:rPr>
          <w:color w:val="231F20"/>
          <w:spacing w:val="-10"/>
          <w:w w:val="105"/>
          <w:sz w:val="18"/>
        </w:rPr>
        <w:t> </w:t>
      </w:r>
      <w:r>
        <w:rPr>
          <w:color w:val="231F20"/>
          <w:w w:val="105"/>
          <w:sz w:val="18"/>
        </w:rPr>
        <w:t>6</w:t>
      </w:r>
      <w:r>
        <w:rPr>
          <w:color w:val="231F20"/>
          <w:spacing w:val="-10"/>
          <w:w w:val="105"/>
          <w:sz w:val="18"/>
        </w:rPr>
        <w:t> </w:t>
      </w:r>
      <w:r>
        <w:rPr>
          <w:color w:val="231F20"/>
          <w:w w:val="105"/>
          <w:sz w:val="18"/>
        </w:rPr>
        <w:t>octubre</w:t>
      </w:r>
      <w:r>
        <w:rPr>
          <w:color w:val="231F20"/>
          <w:spacing w:val="-10"/>
          <w:w w:val="105"/>
          <w:sz w:val="18"/>
        </w:rPr>
        <w:t> </w:t>
      </w:r>
      <w:r>
        <w:rPr>
          <w:color w:val="231F20"/>
          <w:w w:val="105"/>
          <w:sz w:val="18"/>
        </w:rPr>
        <w:t>de</w:t>
      </w:r>
      <w:r>
        <w:rPr>
          <w:color w:val="231F20"/>
          <w:spacing w:val="-10"/>
          <w:w w:val="105"/>
          <w:sz w:val="18"/>
        </w:rPr>
        <w:t> </w:t>
      </w:r>
      <w:r>
        <w:rPr>
          <w:color w:val="231F20"/>
          <w:spacing w:val="3"/>
          <w:w w:val="105"/>
          <w:sz w:val="18"/>
        </w:rPr>
        <w:t>2008</w:t>
      </w:r>
    </w:p>
    <w:p>
      <w:pPr>
        <w:spacing w:after="0" w:line="348" w:lineRule="auto"/>
        <w:jc w:val="left"/>
        <w:rPr>
          <w:sz w:val="18"/>
        </w:rPr>
        <w:sectPr>
          <w:pgSz w:w="9640" w:h="12190"/>
          <w:pgMar w:header="0" w:footer="743" w:top="1120" w:bottom="940" w:left="740" w:right="740"/>
        </w:sectPr>
      </w:pPr>
    </w:p>
    <w:p>
      <w:pPr>
        <w:pStyle w:val="BodyText"/>
        <w:spacing w:before="6"/>
        <w:rPr>
          <w:sz w:val="13"/>
        </w:rPr>
      </w:pPr>
    </w:p>
    <w:p>
      <w:pPr>
        <w:spacing w:before="47"/>
        <w:ind w:left="110" w:right="0" w:firstLine="0"/>
        <w:jc w:val="left"/>
        <w:rPr>
          <w:sz w:val="18"/>
        </w:rPr>
      </w:pPr>
      <w:r>
        <w:rPr>
          <w:color w:val="231F20"/>
          <w:sz w:val="18"/>
        </w:rPr>
        <w:t>MEYER, Lorenzo (2000), “Los caciques: Ayer, hoy ¿y mañana?”, en: Letras Libres, México, Núm. 200.</w:t>
      </w:r>
    </w:p>
    <w:p>
      <w:pPr>
        <w:spacing w:line="348" w:lineRule="auto" w:before="93"/>
        <w:ind w:left="393" w:right="1151" w:hanging="284"/>
        <w:jc w:val="left"/>
        <w:rPr>
          <w:sz w:val="18"/>
        </w:rPr>
      </w:pPr>
      <w:r>
        <w:rPr>
          <w:color w:val="231F20"/>
          <w:w w:val="105"/>
          <w:sz w:val="18"/>
        </w:rPr>
        <w:t>PABELLO</w:t>
      </w:r>
      <w:r>
        <w:rPr>
          <w:color w:val="231F20"/>
          <w:spacing w:val="-20"/>
          <w:w w:val="105"/>
          <w:sz w:val="18"/>
        </w:rPr>
        <w:t> </w:t>
      </w:r>
      <w:r>
        <w:rPr>
          <w:color w:val="231F20"/>
          <w:spacing w:val="3"/>
          <w:w w:val="105"/>
          <w:sz w:val="18"/>
        </w:rPr>
        <w:t>JIMÉNEZ,</w:t>
      </w:r>
      <w:r>
        <w:rPr>
          <w:color w:val="231F20"/>
          <w:spacing w:val="-20"/>
          <w:w w:val="105"/>
          <w:sz w:val="18"/>
        </w:rPr>
        <w:t> </w:t>
      </w:r>
      <w:r>
        <w:rPr>
          <w:color w:val="231F20"/>
          <w:spacing w:val="3"/>
          <w:w w:val="105"/>
          <w:sz w:val="18"/>
        </w:rPr>
        <w:t>Martín</w:t>
      </w:r>
      <w:r>
        <w:rPr>
          <w:color w:val="231F20"/>
          <w:spacing w:val="-20"/>
          <w:w w:val="105"/>
          <w:sz w:val="18"/>
        </w:rPr>
        <w:t> </w:t>
      </w:r>
      <w:r>
        <w:rPr>
          <w:color w:val="231F20"/>
          <w:w w:val="105"/>
          <w:sz w:val="18"/>
        </w:rPr>
        <w:t>Carlos</w:t>
      </w:r>
      <w:r>
        <w:rPr>
          <w:color w:val="231F20"/>
          <w:spacing w:val="-20"/>
          <w:w w:val="105"/>
          <w:sz w:val="18"/>
        </w:rPr>
        <w:t> </w:t>
      </w:r>
      <w:r>
        <w:rPr>
          <w:color w:val="231F20"/>
          <w:w w:val="105"/>
          <w:sz w:val="18"/>
        </w:rPr>
        <w:t>(2008),</w:t>
      </w:r>
      <w:r>
        <w:rPr>
          <w:color w:val="231F20"/>
          <w:spacing w:val="-20"/>
          <w:w w:val="105"/>
          <w:sz w:val="18"/>
        </w:rPr>
        <w:t> </w:t>
      </w:r>
      <w:r>
        <w:rPr>
          <w:color w:val="231F20"/>
          <w:w w:val="105"/>
          <w:sz w:val="18"/>
        </w:rPr>
        <w:t>Entrevista</w:t>
      </w:r>
      <w:r>
        <w:rPr>
          <w:color w:val="231F20"/>
          <w:spacing w:val="-20"/>
          <w:w w:val="105"/>
          <w:sz w:val="18"/>
        </w:rPr>
        <w:t> </w:t>
      </w:r>
      <w:r>
        <w:rPr>
          <w:color w:val="231F20"/>
          <w:w w:val="105"/>
          <w:sz w:val="18"/>
        </w:rPr>
        <w:t>con</w:t>
      </w:r>
      <w:r>
        <w:rPr>
          <w:color w:val="231F20"/>
          <w:spacing w:val="-20"/>
          <w:w w:val="105"/>
          <w:sz w:val="18"/>
        </w:rPr>
        <w:t> </w:t>
      </w:r>
      <w:r>
        <w:rPr>
          <w:color w:val="231F20"/>
          <w:w w:val="105"/>
          <w:sz w:val="18"/>
        </w:rPr>
        <w:t>el</w:t>
      </w:r>
      <w:r>
        <w:rPr>
          <w:color w:val="231F20"/>
          <w:spacing w:val="-20"/>
          <w:w w:val="105"/>
          <w:sz w:val="18"/>
        </w:rPr>
        <w:t> </w:t>
      </w:r>
      <w:r>
        <w:rPr>
          <w:color w:val="231F20"/>
          <w:w w:val="105"/>
          <w:sz w:val="18"/>
        </w:rPr>
        <w:t>ex-presidente</w:t>
      </w:r>
      <w:r>
        <w:rPr>
          <w:color w:val="231F20"/>
          <w:spacing w:val="-20"/>
          <w:w w:val="105"/>
          <w:sz w:val="18"/>
        </w:rPr>
        <w:t> </w:t>
      </w:r>
      <w:r>
        <w:rPr>
          <w:color w:val="231F20"/>
          <w:w w:val="105"/>
          <w:sz w:val="18"/>
        </w:rPr>
        <w:t>Municipal de</w:t>
      </w:r>
      <w:r>
        <w:rPr>
          <w:color w:val="231F20"/>
          <w:spacing w:val="-10"/>
          <w:w w:val="105"/>
          <w:sz w:val="18"/>
        </w:rPr>
        <w:t> </w:t>
      </w:r>
      <w:r>
        <w:rPr>
          <w:color w:val="231F20"/>
          <w:spacing w:val="2"/>
          <w:w w:val="105"/>
          <w:sz w:val="18"/>
        </w:rPr>
        <w:t>Chimalhuacán,</w:t>
      </w:r>
      <w:r>
        <w:rPr>
          <w:color w:val="231F20"/>
          <w:spacing w:val="-10"/>
          <w:w w:val="105"/>
          <w:sz w:val="18"/>
        </w:rPr>
        <w:t> </w:t>
      </w:r>
      <w:r>
        <w:rPr>
          <w:color w:val="231F20"/>
          <w:w w:val="105"/>
          <w:sz w:val="18"/>
        </w:rPr>
        <w:t>Estado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México.</w:t>
      </w:r>
      <w:r>
        <w:rPr>
          <w:color w:val="231F20"/>
          <w:spacing w:val="-10"/>
          <w:w w:val="105"/>
          <w:sz w:val="18"/>
        </w:rPr>
        <w:t> </w:t>
      </w:r>
      <w:r>
        <w:rPr>
          <w:color w:val="231F20"/>
          <w:w w:val="105"/>
          <w:sz w:val="18"/>
        </w:rPr>
        <w:t>Fecha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realización:</w:t>
      </w:r>
      <w:r>
        <w:rPr>
          <w:color w:val="231F20"/>
          <w:spacing w:val="-10"/>
          <w:w w:val="105"/>
          <w:sz w:val="18"/>
        </w:rPr>
        <w:t> </w:t>
      </w:r>
      <w:r>
        <w:rPr>
          <w:color w:val="231F20"/>
          <w:spacing w:val="-4"/>
          <w:w w:val="105"/>
          <w:sz w:val="18"/>
        </w:rPr>
        <w:t>17</w:t>
      </w:r>
      <w:r>
        <w:rPr>
          <w:color w:val="231F20"/>
          <w:spacing w:val="-10"/>
          <w:w w:val="105"/>
          <w:sz w:val="18"/>
        </w:rPr>
        <w:t> </w:t>
      </w:r>
      <w:r>
        <w:rPr>
          <w:color w:val="231F20"/>
          <w:w w:val="105"/>
          <w:sz w:val="18"/>
        </w:rPr>
        <w:t>octubre</w:t>
      </w:r>
      <w:r>
        <w:rPr>
          <w:color w:val="231F20"/>
          <w:spacing w:val="-10"/>
          <w:w w:val="105"/>
          <w:sz w:val="18"/>
        </w:rPr>
        <w:t> </w:t>
      </w:r>
      <w:r>
        <w:rPr>
          <w:color w:val="231F20"/>
          <w:w w:val="105"/>
          <w:sz w:val="18"/>
        </w:rPr>
        <w:t>de</w:t>
      </w:r>
      <w:r>
        <w:rPr>
          <w:color w:val="231F20"/>
          <w:spacing w:val="-10"/>
          <w:w w:val="105"/>
          <w:sz w:val="18"/>
        </w:rPr>
        <w:t> </w:t>
      </w:r>
      <w:r>
        <w:rPr>
          <w:color w:val="231F20"/>
          <w:spacing w:val="3"/>
          <w:w w:val="105"/>
          <w:sz w:val="18"/>
        </w:rPr>
        <w:t>2008</w:t>
      </w:r>
    </w:p>
    <w:p>
      <w:pPr>
        <w:spacing w:line="348" w:lineRule="auto" w:before="3"/>
        <w:ind w:left="110" w:right="2897" w:firstLine="0"/>
        <w:jc w:val="left"/>
        <w:rPr>
          <w:sz w:val="18"/>
        </w:rPr>
      </w:pPr>
      <w:r>
        <w:rPr>
          <w:color w:val="231F20"/>
          <w:w w:val="105"/>
          <w:sz w:val="18"/>
        </w:rPr>
        <w:t>Plan de desarrollo municipal de </w:t>
      </w:r>
      <w:r>
        <w:rPr>
          <w:color w:val="231F20"/>
          <w:spacing w:val="2"/>
          <w:w w:val="105"/>
          <w:sz w:val="18"/>
        </w:rPr>
        <w:t>Chimalhuacán 2006-2009 </w:t>
      </w:r>
      <w:r>
        <w:rPr>
          <w:color w:val="231F20"/>
          <w:w w:val="105"/>
          <w:sz w:val="18"/>
        </w:rPr>
        <w:t>Primer Informe de gobierno municipal de </w:t>
      </w:r>
      <w:r>
        <w:rPr>
          <w:color w:val="231F20"/>
          <w:spacing w:val="2"/>
          <w:w w:val="105"/>
          <w:sz w:val="18"/>
        </w:rPr>
        <w:t>Chimalhuacán 2007 </w:t>
      </w:r>
      <w:r>
        <w:rPr>
          <w:color w:val="231F20"/>
          <w:w w:val="105"/>
          <w:sz w:val="18"/>
        </w:rPr>
        <w:t>Segundo Informe de gobierno municipal de </w:t>
      </w:r>
      <w:r>
        <w:rPr>
          <w:color w:val="231F20"/>
          <w:spacing w:val="2"/>
          <w:w w:val="105"/>
          <w:sz w:val="18"/>
        </w:rPr>
        <w:t>Chimalhuacán </w:t>
      </w:r>
      <w:r>
        <w:rPr>
          <w:color w:val="231F20"/>
          <w:spacing w:val="3"/>
          <w:w w:val="105"/>
          <w:sz w:val="18"/>
        </w:rPr>
        <w:t>2008 </w:t>
      </w:r>
      <w:r>
        <w:rPr>
          <w:color w:val="231F20"/>
          <w:w w:val="105"/>
          <w:sz w:val="18"/>
        </w:rPr>
        <w:t>RECASENS,</w:t>
      </w:r>
      <w:r>
        <w:rPr>
          <w:color w:val="231F20"/>
          <w:spacing w:val="-26"/>
          <w:w w:val="105"/>
          <w:sz w:val="18"/>
        </w:rPr>
        <w:t> </w:t>
      </w:r>
      <w:r>
        <w:rPr>
          <w:color w:val="231F20"/>
          <w:w w:val="105"/>
          <w:sz w:val="18"/>
        </w:rPr>
        <w:t>Luis</w:t>
      </w:r>
      <w:r>
        <w:rPr>
          <w:color w:val="231F20"/>
          <w:spacing w:val="-26"/>
          <w:w w:val="105"/>
          <w:sz w:val="18"/>
        </w:rPr>
        <w:t> </w:t>
      </w:r>
      <w:r>
        <w:rPr>
          <w:color w:val="231F20"/>
          <w:spacing w:val="-3"/>
          <w:w w:val="105"/>
          <w:sz w:val="18"/>
        </w:rPr>
        <w:t>(1970),</w:t>
      </w:r>
      <w:r>
        <w:rPr>
          <w:color w:val="231F20"/>
          <w:spacing w:val="-26"/>
          <w:w w:val="105"/>
          <w:sz w:val="18"/>
        </w:rPr>
        <w:t> </w:t>
      </w:r>
      <w:r>
        <w:rPr>
          <w:color w:val="231F20"/>
          <w:w w:val="105"/>
          <w:sz w:val="18"/>
        </w:rPr>
        <w:t>Sociología,</w:t>
      </w:r>
      <w:r>
        <w:rPr>
          <w:color w:val="231F20"/>
          <w:spacing w:val="-26"/>
          <w:w w:val="105"/>
          <w:sz w:val="18"/>
        </w:rPr>
        <w:t> </w:t>
      </w:r>
      <w:r>
        <w:rPr>
          <w:color w:val="231F20"/>
          <w:w w:val="105"/>
          <w:sz w:val="18"/>
        </w:rPr>
        <w:t>México</w:t>
      </w:r>
      <w:r>
        <w:rPr>
          <w:color w:val="231F20"/>
          <w:spacing w:val="-26"/>
          <w:w w:val="105"/>
          <w:sz w:val="18"/>
        </w:rPr>
        <w:t> </w:t>
      </w:r>
      <w:r>
        <w:rPr>
          <w:color w:val="231F20"/>
          <w:w w:val="105"/>
          <w:sz w:val="18"/>
        </w:rPr>
        <w:t>Edit.</w:t>
      </w:r>
      <w:r>
        <w:rPr>
          <w:color w:val="231F20"/>
          <w:spacing w:val="-26"/>
          <w:w w:val="105"/>
          <w:sz w:val="18"/>
        </w:rPr>
        <w:t> </w:t>
      </w:r>
      <w:r>
        <w:rPr>
          <w:color w:val="231F20"/>
          <w:w w:val="105"/>
          <w:sz w:val="18"/>
        </w:rPr>
        <w:t>Porrúa,</w:t>
      </w:r>
      <w:r>
        <w:rPr>
          <w:color w:val="231F20"/>
          <w:spacing w:val="-26"/>
          <w:w w:val="105"/>
          <w:sz w:val="18"/>
        </w:rPr>
        <w:t> </w:t>
      </w:r>
      <w:r>
        <w:rPr>
          <w:color w:val="231F20"/>
          <w:w w:val="105"/>
          <w:sz w:val="18"/>
        </w:rPr>
        <w:t>10ª</w:t>
      </w:r>
      <w:r>
        <w:rPr>
          <w:color w:val="231F20"/>
          <w:spacing w:val="-26"/>
          <w:w w:val="105"/>
          <w:sz w:val="18"/>
        </w:rPr>
        <w:t> </w:t>
      </w:r>
      <w:r>
        <w:rPr>
          <w:color w:val="231F20"/>
          <w:w w:val="105"/>
          <w:sz w:val="18"/>
        </w:rPr>
        <w:t>ed.</w:t>
      </w:r>
    </w:p>
    <w:p>
      <w:pPr>
        <w:spacing w:line="348" w:lineRule="auto" w:before="3"/>
        <w:ind w:left="393" w:right="0" w:hanging="284"/>
        <w:jc w:val="left"/>
        <w:rPr>
          <w:sz w:val="18"/>
        </w:rPr>
      </w:pPr>
      <w:r>
        <w:rPr>
          <w:color w:val="231F20"/>
          <w:sz w:val="18"/>
        </w:rPr>
        <w:t>SÁNCHEZ RAMOS, Miguel Ángel (2005), “Los bastiones regionales del Partido de la Revolución Democrática”, en: REVELES VÁZQUEZ, Francisco (coord.),</w:t>
      </w:r>
    </w:p>
    <w:p>
      <w:pPr>
        <w:spacing w:before="3"/>
        <w:ind w:left="393" w:right="0" w:firstLine="0"/>
        <w:jc w:val="left"/>
        <w:rPr>
          <w:sz w:val="18"/>
        </w:rPr>
      </w:pPr>
      <w:r>
        <w:rPr>
          <w:color w:val="231F20"/>
          <w:w w:val="105"/>
          <w:sz w:val="18"/>
        </w:rPr>
        <w:t>Los Partidos Políticos en México: ¿crisis, adaptación o transformación?, México, UNAM-Gernika.</w:t>
      </w:r>
    </w:p>
    <w:p>
      <w:pPr>
        <w:spacing w:line="348" w:lineRule="auto" w:before="93"/>
        <w:ind w:left="110" w:right="287" w:firstLine="0"/>
        <w:jc w:val="left"/>
        <w:rPr>
          <w:sz w:val="18"/>
        </w:rPr>
      </w:pPr>
      <w:r>
        <w:rPr>
          <w:color w:val="231F20"/>
          <w:sz w:val="18"/>
        </w:rPr>
        <w:t>SOTELO, Greco (2000), “Arqueología de la Ilegalidad”, en: Letras Libres, México, Núm. 200. TORRES COLLADO, Alejandro, Movimiento Antorchista, 23 de abril de    2007.</w:t>
      </w:r>
    </w:p>
    <w:p>
      <w:pPr>
        <w:spacing w:before="3"/>
        <w:ind w:left="110" w:right="0" w:firstLine="0"/>
        <w:jc w:val="left"/>
        <w:rPr>
          <w:sz w:val="18"/>
        </w:rPr>
      </w:pPr>
      <w:r>
        <w:rPr>
          <w:color w:val="231F20"/>
          <w:sz w:val="18"/>
        </w:rPr>
        <w:t>WEBER, Max (1984), Economía y Sociedad, México, Fondo de Cultura Económica, 7ª    reimpresión.</w:t>
      </w:r>
    </w:p>
    <w:p>
      <w:pPr>
        <w:pStyle w:val="BodyText"/>
        <w:rPr>
          <w:sz w:val="25"/>
        </w:rPr>
      </w:pPr>
    </w:p>
    <w:p>
      <w:pPr>
        <w:pStyle w:val="Heading4"/>
        <w:jc w:val="left"/>
        <w:rPr>
          <w:i/>
        </w:rPr>
      </w:pPr>
      <w:r>
        <w:rPr>
          <w:i/>
          <w:color w:val="231F20"/>
        </w:rPr>
        <w:t>Entrevistas</w:t>
      </w:r>
    </w:p>
    <w:p>
      <w:pPr>
        <w:spacing w:line="348" w:lineRule="auto" w:before="54"/>
        <w:ind w:left="393" w:right="269" w:hanging="284"/>
        <w:jc w:val="left"/>
        <w:rPr>
          <w:sz w:val="18"/>
        </w:rPr>
      </w:pPr>
      <w:r>
        <w:rPr>
          <w:color w:val="231F20"/>
          <w:w w:val="105"/>
          <w:sz w:val="18"/>
        </w:rPr>
        <w:t>AVENDAÑO DÍAZ (2008), Eduardo, Entrevista con el ex-presidente Municipal de Chimalhuacán, Estado de México. Fecha de realización: 24 octubre de 2008.</w:t>
      </w:r>
    </w:p>
    <w:p>
      <w:pPr>
        <w:spacing w:line="348" w:lineRule="auto" w:before="3"/>
        <w:ind w:left="393" w:right="0" w:hanging="284"/>
        <w:jc w:val="left"/>
        <w:rPr>
          <w:sz w:val="18"/>
        </w:rPr>
      </w:pPr>
      <w:r>
        <w:rPr>
          <w:color w:val="231F20"/>
          <w:spacing w:val="2"/>
          <w:w w:val="105"/>
          <w:sz w:val="18"/>
        </w:rPr>
        <w:t>MARTÍNEZ</w:t>
      </w:r>
      <w:r>
        <w:rPr>
          <w:color w:val="231F20"/>
          <w:spacing w:val="-18"/>
          <w:w w:val="105"/>
          <w:sz w:val="18"/>
        </w:rPr>
        <w:t> </w:t>
      </w:r>
      <w:r>
        <w:rPr>
          <w:color w:val="231F20"/>
          <w:w w:val="105"/>
          <w:sz w:val="18"/>
        </w:rPr>
        <w:t>GALICIA,</w:t>
      </w:r>
      <w:r>
        <w:rPr>
          <w:color w:val="231F20"/>
          <w:spacing w:val="-18"/>
          <w:w w:val="105"/>
          <w:sz w:val="18"/>
        </w:rPr>
        <w:t> </w:t>
      </w:r>
      <w:r>
        <w:rPr>
          <w:color w:val="231F20"/>
          <w:w w:val="105"/>
          <w:sz w:val="18"/>
        </w:rPr>
        <w:t>Javier</w:t>
      </w:r>
      <w:r>
        <w:rPr>
          <w:color w:val="231F20"/>
          <w:spacing w:val="-18"/>
          <w:w w:val="105"/>
          <w:sz w:val="18"/>
        </w:rPr>
        <w:t> </w:t>
      </w:r>
      <w:r>
        <w:rPr>
          <w:color w:val="231F20"/>
          <w:spacing w:val="2"/>
          <w:w w:val="105"/>
          <w:sz w:val="18"/>
        </w:rPr>
        <w:t>E.</w:t>
      </w:r>
      <w:r>
        <w:rPr>
          <w:color w:val="231F20"/>
          <w:spacing w:val="-18"/>
          <w:w w:val="105"/>
          <w:sz w:val="18"/>
        </w:rPr>
        <w:t> </w:t>
      </w:r>
      <w:r>
        <w:rPr>
          <w:color w:val="231F20"/>
          <w:w w:val="105"/>
          <w:sz w:val="18"/>
        </w:rPr>
        <w:t>(2008),</w:t>
      </w:r>
      <w:r>
        <w:rPr>
          <w:color w:val="231F20"/>
          <w:spacing w:val="-18"/>
          <w:w w:val="105"/>
          <w:sz w:val="18"/>
        </w:rPr>
        <w:t> </w:t>
      </w:r>
      <w:r>
        <w:rPr>
          <w:color w:val="231F20"/>
          <w:w w:val="105"/>
          <w:sz w:val="18"/>
        </w:rPr>
        <w:t>Entrevista</w:t>
      </w:r>
      <w:r>
        <w:rPr>
          <w:color w:val="231F20"/>
          <w:spacing w:val="-18"/>
          <w:w w:val="105"/>
          <w:sz w:val="18"/>
        </w:rPr>
        <w:t> </w:t>
      </w:r>
      <w:r>
        <w:rPr>
          <w:color w:val="231F20"/>
          <w:w w:val="105"/>
          <w:sz w:val="18"/>
        </w:rPr>
        <w:t>con</w:t>
      </w:r>
      <w:r>
        <w:rPr>
          <w:color w:val="231F20"/>
          <w:spacing w:val="-18"/>
          <w:w w:val="105"/>
          <w:sz w:val="18"/>
        </w:rPr>
        <w:t> </w:t>
      </w:r>
      <w:r>
        <w:rPr>
          <w:color w:val="231F20"/>
          <w:w w:val="105"/>
          <w:sz w:val="18"/>
        </w:rPr>
        <w:t>el</w:t>
      </w:r>
      <w:r>
        <w:rPr>
          <w:color w:val="231F20"/>
          <w:spacing w:val="-18"/>
          <w:w w:val="105"/>
          <w:sz w:val="18"/>
        </w:rPr>
        <w:t> </w:t>
      </w:r>
      <w:r>
        <w:rPr>
          <w:color w:val="231F20"/>
          <w:w w:val="105"/>
          <w:sz w:val="18"/>
        </w:rPr>
        <w:t>ex-presidente</w:t>
      </w:r>
      <w:r>
        <w:rPr>
          <w:color w:val="231F20"/>
          <w:spacing w:val="-18"/>
          <w:w w:val="105"/>
          <w:sz w:val="18"/>
        </w:rPr>
        <w:t> </w:t>
      </w:r>
      <w:r>
        <w:rPr>
          <w:color w:val="231F20"/>
          <w:w w:val="105"/>
          <w:sz w:val="18"/>
        </w:rPr>
        <w:t>Municipal</w:t>
      </w:r>
      <w:r>
        <w:rPr>
          <w:color w:val="231F20"/>
          <w:spacing w:val="-18"/>
          <w:w w:val="105"/>
          <w:sz w:val="18"/>
        </w:rPr>
        <w:t> </w:t>
      </w:r>
      <w:r>
        <w:rPr>
          <w:color w:val="231F20"/>
          <w:w w:val="105"/>
          <w:sz w:val="18"/>
        </w:rPr>
        <w:t>de</w:t>
      </w:r>
      <w:r>
        <w:rPr>
          <w:color w:val="231F20"/>
          <w:spacing w:val="-18"/>
          <w:w w:val="105"/>
          <w:sz w:val="18"/>
        </w:rPr>
        <w:t> </w:t>
      </w:r>
      <w:r>
        <w:rPr>
          <w:color w:val="231F20"/>
          <w:spacing w:val="2"/>
          <w:w w:val="105"/>
          <w:sz w:val="18"/>
        </w:rPr>
        <w:t>Chimalhuacán, </w:t>
      </w:r>
      <w:r>
        <w:rPr>
          <w:color w:val="231F20"/>
          <w:w w:val="105"/>
          <w:sz w:val="18"/>
        </w:rPr>
        <w:t>Estado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México.</w:t>
      </w:r>
      <w:r>
        <w:rPr>
          <w:color w:val="231F20"/>
          <w:spacing w:val="-11"/>
          <w:w w:val="105"/>
          <w:sz w:val="18"/>
        </w:rPr>
        <w:t> </w:t>
      </w:r>
      <w:r>
        <w:rPr>
          <w:color w:val="231F20"/>
          <w:w w:val="105"/>
          <w:sz w:val="18"/>
        </w:rPr>
        <w:t>Fecha</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realización:</w:t>
      </w:r>
      <w:r>
        <w:rPr>
          <w:color w:val="231F20"/>
          <w:spacing w:val="-11"/>
          <w:w w:val="105"/>
          <w:sz w:val="18"/>
        </w:rPr>
        <w:t> </w:t>
      </w:r>
      <w:r>
        <w:rPr>
          <w:color w:val="231F20"/>
          <w:w w:val="105"/>
          <w:sz w:val="18"/>
        </w:rPr>
        <w:t>6</w:t>
      </w:r>
      <w:r>
        <w:rPr>
          <w:color w:val="231F20"/>
          <w:spacing w:val="-11"/>
          <w:w w:val="105"/>
          <w:sz w:val="18"/>
        </w:rPr>
        <w:t> </w:t>
      </w:r>
      <w:r>
        <w:rPr>
          <w:color w:val="231F20"/>
          <w:w w:val="105"/>
          <w:sz w:val="18"/>
        </w:rPr>
        <w:t>octubre</w:t>
      </w:r>
      <w:r>
        <w:rPr>
          <w:color w:val="231F20"/>
          <w:spacing w:val="-11"/>
          <w:w w:val="105"/>
          <w:sz w:val="18"/>
        </w:rPr>
        <w:t> </w:t>
      </w:r>
      <w:r>
        <w:rPr>
          <w:color w:val="231F20"/>
          <w:w w:val="105"/>
          <w:sz w:val="18"/>
        </w:rPr>
        <w:t>de</w:t>
      </w:r>
      <w:r>
        <w:rPr>
          <w:color w:val="231F20"/>
          <w:spacing w:val="-11"/>
          <w:w w:val="105"/>
          <w:sz w:val="18"/>
        </w:rPr>
        <w:t> </w:t>
      </w:r>
      <w:r>
        <w:rPr>
          <w:color w:val="231F20"/>
          <w:spacing w:val="3"/>
          <w:w w:val="105"/>
          <w:sz w:val="18"/>
        </w:rPr>
        <w:t>2008.</w:t>
      </w:r>
    </w:p>
    <w:p>
      <w:pPr>
        <w:spacing w:line="348" w:lineRule="auto" w:before="3"/>
        <w:ind w:left="393" w:right="1151" w:hanging="284"/>
        <w:jc w:val="left"/>
        <w:rPr>
          <w:sz w:val="18"/>
        </w:rPr>
      </w:pPr>
      <w:r>
        <w:rPr>
          <w:color w:val="231F20"/>
          <w:w w:val="105"/>
          <w:sz w:val="18"/>
        </w:rPr>
        <w:t>PABELLO</w:t>
      </w:r>
      <w:r>
        <w:rPr>
          <w:color w:val="231F20"/>
          <w:spacing w:val="-20"/>
          <w:w w:val="105"/>
          <w:sz w:val="18"/>
        </w:rPr>
        <w:t> </w:t>
      </w:r>
      <w:r>
        <w:rPr>
          <w:color w:val="231F20"/>
          <w:spacing w:val="3"/>
          <w:w w:val="105"/>
          <w:sz w:val="18"/>
        </w:rPr>
        <w:t>JIMÉNEZ,</w:t>
      </w:r>
      <w:r>
        <w:rPr>
          <w:color w:val="231F20"/>
          <w:spacing w:val="-20"/>
          <w:w w:val="105"/>
          <w:sz w:val="18"/>
        </w:rPr>
        <w:t> </w:t>
      </w:r>
      <w:r>
        <w:rPr>
          <w:color w:val="231F20"/>
          <w:spacing w:val="3"/>
          <w:w w:val="105"/>
          <w:sz w:val="18"/>
        </w:rPr>
        <w:t>Martín</w:t>
      </w:r>
      <w:r>
        <w:rPr>
          <w:color w:val="231F20"/>
          <w:spacing w:val="-20"/>
          <w:w w:val="105"/>
          <w:sz w:val="18"/>
        </w:rPr>
        <w:t> </w:t>
      </w:r>
      <w:r>
        <w:rPr>
          <w:color w:val="231F20"/>
          <w:w w:val="105"/>
          <w:sz w:val="18"/>
        </w:rPr>
        <w:t>Carlos</w:t>
      </w:r>
      <w:r>
        <w:rPr>
          <w:color w:val="231F20"/>
          <w:spacing w:val="-20"/>
          <w:w w:val="105"/>
          <w:sz w:val="18"/>
        </w:rPr>
        <w:t> </w:t>
      </w:r>
      <w:r>
        <w:rPr>
          <w:color w:val="231F20"/>
          <w:w w:val="105"/>
          <w:sz w:val="18"/>
        </w:rPr>
        <w:t>(2008),</w:t>
      </w:r>
      <w:r>
        <w:rPr>
          <w:color w:val="231F20"/>
          <w:spacing w:val="-20"/>
          <w:w w:val="105"/>
          <w:sz w:val="18"/>
        </w:rPr>
        <w:t> </w:t>
      </w:r>
      <w:r>
        <w:rPr>
          <w:color w:val="231F20"/>
          <w:w w:val="105"/>
          <w:sz w:val="18"/>
        </w:rPr>
        <w:t>Entrevista</w:t>
      </w:r>
      <w:r>
        <w:rPr>
          <w:color w:val="231F20"/>
          <w:spacing w:val="-20"/>
          <w:w w:val="105"/>
          <w:sz w:val="18"/>
        </w:rPr>
        <w:t> </w:t>
      </w:r>
      <w:r>
        <w:rPr>
          <w:color w:val="231F20"/>
          <w:w w:val="105"/>
          <w:sz w:val="18"/>
        </w:rPr>
        <w:t>con</w:t>
      </w:r>
      <w:r>
        <w:rPr>
          <w:color w:val="231F20"/>
          <w:spacing w:val="-20"/>
          <w:w w:val="105"/>
          <w:sz w:val="18"/>
        </w:rPr>
        <w:t> </w:t>
      </w:r>
      <w:r>
        <w:rPr>
          <w:color w:val="231F20"/>
          <w:w w:val="105"/>
          <w:sz w:val="18"/>
        </w:rPr>
        <w:t>el</w:t>
      </w:r>
      <w:r>
        <w:rPr>
          <w:color w:val="231F20"/>
          <w:spacing w:val="-20"/>
          <w:w w:val="105"/>
          <w:sz w:val="18"/>
        </w:rPr>
        <w:t> </w:t>
      </w:r>
      <w:r>
        <w:rPr>
          <w:color w:val="231F20"/>
          <w:w w:val="105"/>
          <w:sz w:val="18"/>
        </w:rPr>
        <w:t>ex-presidente</w:t>
      </w:r>
      <w:r>
        <w:rPr>
          <w:color w:val="231F20"/>
          <w:spacing w:val="-20"/>
          <w:w w:val="105"/>
          <w:sz w:val="18"/>
        </w:rPr>
        <w:t> </w:t>
      </w:r>
      <w:r>
        <w:rPr>
          <w:color w:val="231F20"/>
          <w:w w:val="105"/>
          <w:sz w:val="18"/>
        </w:rPr>
        <w:t>Municipal de</w:t>
      </w:r>
      <w:r>
        <w:rPr>
          <w:color w:val="231F20"/>
          <w:spacing w:val="-10"/>
          <w:w w:val="105"/>
          <w:sz w:val="18"/>
        </w:rPr>
        <w:t> </w:t>
      </w:r>
      <w:r>
        <w:rPr>
          <w:color w:val="231F20"/>
          <w:spacing w:val="2"/>
          <w:w w:val="105"/>
          <w:sz w:val="18"/>
        </w:rPr>
        <w:t>Chimalhuacán,</w:t>
      </w:r>
      <w:r>
        <w:rPr>
          <w:color w:val="231F20"/>
          <w:spacing w:val="-10"/>
          <w:w w:val="105"/>
          <w:sz w:val="18"/>
        </w:rPr>
        <w:t> </w:t>
      </w:r>
      <w:r>
        <w:rPr>
          <w:color w:val="231F20"/>
          <w:w w:val="105"/>
          <w:sz w:val="18"/>
        </w:rPr>
        <w:t>Estado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México.</w:t>
      </w:r>
      <w:r>
        <w:rPr>
          <w:color w:val="231F20"/>
          <w:spacing w:val="-10"/>
          <w:w w:val="105"/>
          <w:sz w:val="18"/>
        </w:rPr>
        <w:t> </w:t>
      </w:r>
      <w:r>
        <w:rPr>
          <w:color w:val="231F20"/>
          <w:w w:val="105"/>
          <w:sz w:val="18"/>
        </w:rPr>
        <w:t>Fecha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realización:</w:t>
      </w:r>
      <w:r>
        <w:rPr>
          <w:color w:val="231F20"/>
          <w:spacing w:val="-10"/>
          <w:w w:val="105"/>
          <w:sz w:val="18"/>
        </w:rPr>
        <w:t> </w:t>
      </w:r>
      <w:r>
        <w:rPr>
          <w:color w:val="231F20"/>
          <w:spacing w:val="-4"/>
          <w:w w:val="105"/>
          <w:sz w:val="18"/>
        </w:rPr>
        <w:t>17</w:t>
      </w:r>
      <w:r>
        <w:rPr>
          <w:color w:val="231F20"/>
          <w:spacing w:val="-10"/>
          <w:w w:val="105"/>
          <w:sz w:val="18"/>
        </w:rPr>
        <w:t> </w:t>
      </w:r>
      <w:r>
        <w:rPr>
          <w:color w:val="231F20"/>
          <w:w w:val="105"/>
          <w:sz w:val="18"/>
        </w:rPr>
        <w:t>octubre</w:t>
      </w:r>
      <w:r>
        <w:rPr>
          <w:color w:val="231F20"/>
          <w:spacing w:val="-10"/>
          <w:w w:val="105"/>
          <w:sz w:val="18"/>
        </w:rPr>
        <w:t> </w:t>
      </w:r>
      <w:r>
        <w:rPr>
          <w:color w:val="231F20"/>
          <w:w w:val="105"/>
          <w:sz w:val="18"/>
        </w:rPr>
        <w:t>de</w:t>
      </w:r>
      <w:r>
        <w:rPr>
          <w:color w:val="231F20"/>
          <w:spacing w:val="-10"/>
          <w:w w:val="105"/>
          <w:sz w:val="18"/>
        </w:rPr>
        <w:t> </w:t>
      </w:r>
      <w:r>
        <w:rPr>
          <w:color w:val="231F20"/>
          <w:spacing w:val="3"/>
          <w:w w:val="105"/>
          <w:sz w:val="18"/>
        </w:rPr>
        <w:t>2008.</w:t>
      </w:r>
    </w:p>
    <w:p>
      <w:pPr>
        <w:spacing w:after="0" w:line="348" w:lineRule="auto"/>
        <w:jc w:val="left"/>
        <w:rPr>
          <w:sz w:val="18"/>
        </w:rPr>
        <w:sectPr>
          <w:pgSz w:w="9640" w:h="12190"/>
          <w:pgMar w:header="0" w:footer="743" w:top="1120" w:bottom="940" w:left="74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pPr>
      <w:r>
        <w:rPr>
          <w:color w:val="231F20"/>
          <w:w w:val="105"/>
        </w:rPr>
        <w:t>El PRI en la administración pública municipal:</w:t>
      </w:r>
    </w:p>
    <w:p>
      <w:pPr>
        <w:spacing w:before="209"/>
        <w:ind w:left="102" w:right="102" w:firstLine="0"/>
        <w:jc w:val="center"/>
        <w:rPr>
          <w:b/>
          <w:sz w:val="34"/>
        </w:rPr>
      </w:pPr>
      <w:r>
        <w:rPr>
          <w:b/>
          <w:color w:val="231F20"/>
          <w:w w:val="105"/>
          <w:sz w:val="34"/>
        </w:rPr>
        <w:t>Tepotzotlán</w:t>
      </w:r>
    </w:p>
    <w:p>
      <w:pPr>
        <w:spacing w:before="39"/>
        <w:ind w:left="0" w:right="108" w:firstLine="0"/>
        <w:jc w:val="right"/>
        <w:rPr>
          <w:i/>
          <w:sz w:val="20"/>
        </w:rPr>
      </w:pPr>
      <w:r>
        <w:rPr>
          <w:i/>
          <w:color w:val="231F20"/>
          <w:sz w:val="20"/>
        </w:rPr>
        <w:t>Francisco Martínez Martínez</w:t>
      </w:r>
    </w:p>
    <w:p>
      <w:pPr>
        <w:pStyle w:val="BodyText"/>
        <w:spacing w:before="3"/>
        <w:rPr>
          <w:i/>
          <w:sz w:val="27"/>
        </w:rPr>
      </w:pPr>
    </w:p>
    <w:p>
      <w:pPr>
        <w:pStyle w:val="Heading3"/>
      </w:pPr>
      <w:r>
        <w:rPr>
          <w:color w:val="231F20"/>
          <w:w w:val="105"/>
        </w:rPr>
        <w:t>Introducción</w:t>
      </w:r>
    </w:p>
    <w:p>
      <w:pPr>
        <w:pStyle w:val="BodyText"/>
        <w:spacing w:line="285" w:lineRule="auto" w:before="38"/>
        <w:ind w:left="110" w:right="107"/>
        <w:jc w:val="both"/>
      </w:pPr>
      <w:r>
        <w:rPr>
          <w:color w:val="231F20"/>
          <w:w w:val="105"/>
        </w:rPr>
        <w:t>El</w:t>
      </w:r>
      <w:r>
        <w:rPr>
          <w:color w:val="231F20"/>
          <w:spacing w:val="-4"/>
          <w:w w:val="105"/>
        </w:rPr>
        <w:t> </w:t>
      </w:r>
      <w:r>
        <w:rPr>
          <w:color w:val="231F20"/>
          <w:w w:val="105"/>
        </w:rPr>
        <w:t>presente</w:t>
      </w:r>
      <w:r>
        <w:rPr>
          <w:color w:val="231F20"/>
          <w:spacing w:val="-4"/>
          <w:w w:val="105"/>
        </w:rPr>
        <w:t> </w:t>
      </w:r>
      <w:r>
        <w:rPr>
          <w:color w:val="231F20"/>
          <w:w w:val="105"/>
        </w:rPr>
        <w:t>trabajo</w:t>
      </w:r>
      <w:r>
        <w:rPr>
          <w:color w:val="231F20"/>
          <w:spacing w:val="-4"/>
          <w:w w:val="105"/>
        </w:rPr>
        <w:t> </w:t>
      </w:r>
      <w:r>
        <w:rPr>
          <w:color w:val="231F20"/>
          <w:w w:val="105"/>
        </w:rPr>
        <w:t>refiere</w:t>
      </w:r>
      <w:r>
        <w:rPr>
          <w:color w:val="231F20"/>
          <w:spacing w:val="-4"/>
          <w:w w:val="105"/>
        </w:rPr>
        <w:t> </w:t>
      </w:r>
      <w:r>
        <w:rPr>
          <w:color w:val="231F20"/>
          <w:w w:val="105"/>
        </w:rPr>
        <w:t>la</w:t>
      </w:r>
      <w:r>
        <w:rPr>
          <w:color w:val="231F20"/>
          <w:spacing w:val="-4"/>
          <w:w w:val="105"/>
        </w:rPr>
        <w:t> </w:t>
      </w:r>
      <w:r>
        <w:rPr>
          <w:color w:val="231F20"/>
          <w:w w:val="105"/>
        </w:rPr>
        <w:t>manera</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que</w:t>
      </w:r>
      <w:r>
        <w:rPr>
          <w:color w:val="231F20"/>
          <w:spacing w:val="-4"/>
          <w:w w:val="105"/>
        </w:rPr>
        <w:t> </w:t>
      </w:r>
      <w:r>
        <w:rPr>
          <w:color w:val="231F20"/>
          <w:w w:val="105"/>
        </w:rPr>
        <w:t>es</w:t>
      </w:r>
      <w:r>
        <w:rPr>
          <w:color w:val="231F20"/>
          <w:spacing w:val="-4"/>
          <w:w w:val="105"/>
        </w:rPr>
        <w:t> </w:t>
      </w:r>
      <w:r>
        <w:rPr>
          <w:color w:val="231F20"/>
          <w:w w:val="105"/>
        </w:rPr>
        <w:t>ejercido</w:t>
      </w:r>
      <w:r>
        <w:rPr>
          <w:color w:val="231F20"/>
          <w:spacing w:val="-4"/>
          <w:w w:val="105"/>
        </w:rPr>
        <w:t> </w:t>
      </w:r>
      <w:r>
        <w:rPr>
          <w:color w:val="231F20"/>
          <w:w w:val="105"/>
        </w:rPr>
        <w:t>el</w:t>
      </w:r>
      <w:r>
        <w:rPr>
          <w:color w:val="231F20"/>
          <w:spacing w:val="-4"/>
          <w:w w:val="105"/>
        </w:rPr>
        <w:t> </w:t>
      </w:r>
      <w:r>
        <w:rPr>
          <w:color w:val="231F20"/>
          <w:w w:val="105"/>
        </w:rPr>
        <w:t>poder</w:t>
      </w:r>
      <w:r>
        <w:rPr>
          <w:color w:val="231F20"/>
          <w:spacing w:val="-4"/>
          <w:w w:val="105"/>
        </w:rPr>
        <w:t> </w:t>
      </w:r>
      <w:r>
        <w:rPr>
          <w:color w:val="231F20"/>
          <w:w w:val="105"/>
        </w:rPr>
        <w:t>público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muni- cipio</w:t>
      </w:r>
      <w:r>
        <w:rPr>
          <w:color w:val="231F20"/>
          <w:spacing w:val="-11"/>
          <w:w w:val="105"/>
        </w:rPr>
        <w:t> </w:t>
      </w:r>
      <w:r>
        <w:rPr>
          <w:color w:val="231F20"/>
          <w:w w:val="105"/>
        </w:rPr>
        <w:t>de</w:t>
      </w:r>
      <w:r>
        <w:rPr>
          <w:color w:val="231F20"/>
          <w:spacing w:val="-11"/>
          <w:w w:val="105"/>
        </w:rPr>
        <w:t> </w:t>
      </w:r>
      <w:r>
        <w:rPr>
          <w:color w:val="231F20"/>
          <w:w w:val="105"/>
        </w:rPr>
        <w:t>Tepotzotlán</w:t>
      </w:r>
      <w:r>
        <w:rPr>
          <w:color w:val="231F20"/>
          <w:spacing w:val="-11"/>
          <w:w w:val="105"/>
        </w:rPr>
        <w:t> </w:t>
      </w:r>
      <w:r>
        <w:rPr>
          <w:color w:val="231F20"/>
          <w:w w:val="105"/>
        </w:rPr>
        <w:t>por</w:t>
      </w:r>
      <w:r>
        <w:rPr>
          <w:color w:val="231F20"/>
          <w:spacing w:val="-11"/>
          <w:w w:val="105"/>
        </w:rPr>
        <w:t> </w:t>
      </w:r>
      <w:r>
        <w:rPr>
          <w:color w:val="231F20"/>
          <w:w w:val="105"/>
        </w:rPr>
        <w:t>parte</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gobierno</w:t>
      </w:r>
      <w:r>
        <w:rPr>
          <w:color w:val="231F20"/>
          <w:spacing w:val="-11"/>
          <w:w w:val="105"/>
        </w:rPr>
        <w:t> </w:t>
      </w:r>
      <w:r>
        <w:rPr>
          <w:color w:val="231F20"/>
          <w:w w:val="105"/>
        </w:rPr>
        <w:t>que</w:t>
      </w:r>
      <w:r>
        <w:rPr>
          <w:color w:val="231F20"/>
          <w:spacing w:val="-11"/>
          <w:w w:val="105"/>
        </w:rPr>
        <w:t> </w:t>
      </w:r>
      <w:r>
        <w:rPr>
          <w:color w:val="231F20"/>
          <w:w w:val="105"/>
        </w:rPr>
        <w:t>proviene</w:t>
      </w:r>
      <w:r>
        <w:rPr>
          <w:color w:val="231F20"/>
          <w:spacing w:val="-11"/>
          <w:w w:val="105"/>
        </w:rPr>
        <w:t> </w:t>
      </w:r>
      <w:r>
        <w:rPr>
          <w:color w:val="231F20"/>
          <w:w w:val="105"/>
        </w:rPr>
        <w:t>del</w:t>
      </w:r>
      <w:r>
        <w:rPr>
          <w:color w:val="231F20"/>
          <w:spacing w:val="-11"/>
          <w:w w:val="105"/>
        </w:rPr>
        <w:t> </w:t>
      </w:r>
      <w:r>
        <w:rPr>
          <w:color w:val="231F20"/>
          <w:w w:val="105"/>
        </w:rPr>
        <w:t>Partido</w:t>
      </w:r>
      <w:r>
        <w:rPr>
          <w:color w:val="231F20"/>
          <w:spacing w:val="-11"/>
          <w:w w:val="105"/>
        </w:rPr>
        <w:t> </w:t>
      </w:r>
      <w:r>
        <w:rPr>
          <w:color w:val="231F20"/>
          <w:w w:val="105"/>
        </w:rPr>
        <w:t>Revolucionario Institucional </w:t>
      </w:r>
      <w:r>
        <w:rPr>
          <w:color w:val="231F20"/>
          <w:spacing w:val="-3"/>
          <w:w w:val="105"/>
        </w:rPr>
        <w:t>(PRI). </w:t>
      </w:r>
      <w:r>
        <w:rPr>
          <w:color w:val="231F20"/>
          <w:w w:val="105"/>
        </w:rPr>
        <w:t>La centralidad del argumento recae en la observación que se hace </w:t>
      </w:r>
      <w:r>
        <w:rPr>
          <w:color w:val="231F20"/>
          <w:spacing w:val="2"/>
          <w:w w:val="105"/>
        </w:rPr>
        <w:t>al </w:t>
      </w:r>
      <w:r>
        <w:rPr>
          <w:color w:val="231F20"/>
          <w:w w:val="105"/>
        </w:rPr>
        <w:t>trabajo del </w:t>
      </w:r>
      <w:r>
        <w:rPr>
          <w:color w:val="231F20"/>
          <w:spacing w:val="-3"/>
          <w:w w:val="105"/>
        </w:rPr>
        <w:t>propio </w:t>
      </w:r>
      <w:r>
        <w:rPr>
          <w:color w:val="231F20"/>
          <w:w w:val="105"/>
        </w:rPr>
        <w:t>gobierno y la administración pública del municipio, en particular sobre</w:t>
      </w:r>
      <w:r>
        <w:rPr>
          <w:color w:val="231F20"/>
          <w:spacing w:val="-23"/>
          <w:w w:val="105"/>
        </w:rPr>
        <w:t> </w:t>
      </w:r>
      <w:r>
        <w:rPr>
          <w:color w:val="231F20"/>
          <w:w w:val="105"/>
        </w:rPr>
        <w:t>el</w:t>
      </w:r>
      <w:r>
        <w:rPr>
          <w:color w:val="231F20"/>
          <w:spacing w:val="-23"/>
          <w:w w:val="105"/>
        </w:rPr>
        <w:t> </w:t>
      </w:r>
      <w:r>
        <w:rPr>
          <w:color w:val="231F20"/>
          <w:w w:val="105"/>
        </w:rPr>
        <w:t>funcionamiento</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atribuciones</w:t>
      </w:r>
      <w:r>
        <w:rPr>
          <w:color w:val="231F20"/>
          <w:spacing w:val="-23"/>
          <w:w w:val="105"/>
        </w:rPr>
        <w:t> </w:t>
      </w:r>
      <w:r>
        <w:rPr>
          <w:color w:val="231F20"/>
          <w:w w:val="105"/>
        </w:rPr>
        <w:t>y</w:t>
      </w:r>
      <w:r>
        <w:rPr>
          <w:color w:val="231F20"/>
          <w:spacing w:val="-23"/>
          <w:w w:val="105"/>
        </w:rPr>
        <w:t> </w:t>
      </w:r>
      <w:r>
        <w:rPr>
          <w:color w:val="231F20"/>
          <w:w w:val="105"/>
        </w:rPr>
        <w:t>responsabilidades</w:t>
      </w:r>
      <w:r>
        <w:rPr>
          <w:color w:val="231F20"/>
          <w:spacing w:val="-23"/>
          <w:w w:val="105"/>
        </w:rPr>
        <w:t> </w:t>
      </w:r>
      <w:r>
        <w:rPr>
          <w:color w:val="231F20"/>
          <w:w w:val="105"/>
        </w:rPr>
        <w:t>que</w:t>
      </w:r>
      <w:r>
        <w:rPr>
          <w:color w:val="231F20"/>
          <w:spacing w:val="-23"/>
          <w:w w:val="105"/>
        </w:rPr>
        <w:t> </w:t>
      </w:r>
      <w:r>
        <w:rPr>
          <w:color w:val="231F20"/>
          <w:w w:val="105"/>
        </w:rPr>
        <w:t>le</w:t>
      </w:r>
      <w:r>
        <w:rPr>
          <w:color w:val="231F20"/>
          <w:spacing w:val="-23"/>
          <w:w w:val="105"/>
        </w:rPr>
        <w:t> </w:t>
      </w:r>
      <w:r>
        <w:rPr>
          <w:color w:val="231F20"/>
          <w:w w:val="105"/>
        </w:rPr>
        <w:t>son</w:t>
      </w:r>
      <w:r>
        <w:rPr>
          <w:color w:val="231F20"/>
          <w:spacing w:val="-23"/>
          <w:w w:val="105"/>
        </w:rPr>
        <w:t> </w:t>
      </w:r>
      <w:r>
        <w:rPr>
          <w:color w:val="231F20"/>
          <w:w w:val="105"/>
        </w:rPr>
        <w:t>conferidas</w:t>
      </w:r>
      <w:r>
        <w:rPr>
          <w:color w:val="231F20"/>
          <w:spacing w:val="-23"/>
          <w:w w:val="105"/>
        </w:rPr>
        <w:t> </w:t>
      </w:r>
      <w:r>
        <w:rPr>
          <w:color w:val="231F20"/>
          <w:w w:val="105"/>
        </w:rPr>
        <w:t>de acuerdo</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artículo</w:t>
      </w:r>
      <w:r>
        <w:rPr>
          <w:color w:val="231F20"/>
          <w:spacing w:val="-10"/>
          <w:w w:val="105"/>
        </w:rPr>
        <w:t> </w:t>
      </w:r>
      <w:r>
        <w:rPr>
          <w:color w:val="231F20"/>
          <w:spacing w:val="-4"/>
          <w:w w:val="105"/>
        </w:rPr>
        <w:t>115</w:t>
      </w:r>
      <w:r>
        <w:rPr>
          <w:color w:val="231F20"/>
          <w:spacing w:val="-10"/>
          <w:w w:val="105"/>
        </w:rPr>
        <w:t> </w:t>
      </w:r>
      <w:r>
        <w:rPr>
          <w:color w:val="231F20"/>
          <w:w w:val="105"/>
        </w:rPr>
        <w:t>constitucional.</w:t>
      </w:r>
    </w:p>
    <w:p>
      <w:pPr>
        <w:pStyle w:val="BodyText"/>
        <w:spacing w:before="1"/>
        <w:rPr>
          <w:sz w:val="26"/>
        </w:rPr>
      </w:pPr>
    </w:p>
    <w:p>
      <w:pPr>
        <w:pStyle w:val="BodyText"/>
        <w:spacing w:line="285" w:lineRule="auto"/>
        <w:ind w:left="110" w:right="107"/>
        <w:jc w:val="both"/>
      </w:pPr>
      <w:r>
        <w:rPr>
          <w:color w:val="231F20"/>
          <w:spacing w:val="-3"/>
          <w:w w:val="105"/>
        </w:rPr>
        <w:t>En</w:t>
      </w:r>
      <w:r>
        <w:rPr>
          <w:color w:val="231F20"/>
          <w:spacing w:val="-18"/>
          <w:w w:val="105"/>
        </w:rPr>
        <w:t> </w:t>
      </w:r>
      <w:r>
        <w:rPr>
          <w:color w:val="231F20"/>
          <w:w w:val="105"/>
        </w:rPr>
        <w:t>tal</w:t>
      </w:r>
      <w:r>
        <w:rPr>
          <w:color w:val="231F20"/>
          <w:spacing w:val="-18"/>
          <w:w w:val="105"/>
        </w:rPr>
        <w:t> </w:t>
      </w:r>
      <w:r>
        <w:rPr>
          <w:color w:val="231F20"/>
          <w:spacing w:val="-6"/>
          <w:w w:val="105"/>
        </w:rPr>
        <w:t>sentido,</w:t>
      </w:r>
      <w:r>
        <w:rPr>
          <w:color w:val="231F20"/>
          <w:spacing w:val="-18"/>
          <w:w w:val="105"/>
        </w:rPr>
        <w:t> </w:t>
      </w:r>
      <w:r>
        <w:rPr>
          <w:color w:val="231F20"/>
          <w:spacing w:val="-5"/>
          <w:w w:val="105"/>
        </w:rPr>
        <w:t>principalmente</w:t>
      </w:r>
      <w:r>
        <w:rPr>
          <w:color w:val="231F20"/>
          <w:spacing w:val="-18"/>
          <w:w w:val="105"/>
        </w:rPr>
        <w:t> </w:t>
      </w:r>
      <w:r>
        <w:rPr>
          <w:color w:val="231F20"/>
          <w:w w:val="105"/>
        </w:rPr>
        <w:t>se</w:t>
      </w:r>
      <w:r>
        <w:rPr>
          <w:color w:val="231F20"/>
          <w:spacing w:val="-18"/>
          <w:w w:val="105"/>
        </w:rPr>
        <w:t> </w:t>
      </w:r>
      <w:r>
        <w:rPr>
          <w:color w:val="231F20"/>
          <w:w w:val="105"/>
        </w:rPr>
        <w:t>examina</w:t>
      </w:r>
      <w:r>
        <w:rPr>
          <w:color w:val="231F20"/>
          <w:spacing w:val="-18"/>
          <w:w w:val="105"/>
        </w:rPr>
        <w:t> </w:t>
      </w:r>
      <w:r>
        <w:rPr>
          <w:color w:val="231F20"/>
          <w:w w:val="105"/>
        </w:rPr>
        <w:t>la</w:t>
      </w:r>
      <w:r>
        <w:rPr>
          <w:color w:val="231F20"/>
          <w:spacing w:val="-18"/>
          <w:w w:val="105"/>
        </w:rPr>
        <w:t> </w:t>
      </w:r>
      <w:r>
        <w:rPr>
          <w:color w:val="231F20"/>
          <w:spacing w:val="-4"/>
          <w:w w:val="105"/>
        </w:rPr>
        <w:t>manera</w:t>
      </w:r>
      <w:r>
        <w:rPr>
          <w:color w:val="231F20"/>
          <w:spacing w:val="-18"/>
          <w:w w:val="105"/>
        </w:rPr>
        <w:t> </w:t>
      </w:r>
      <w:r>
        <w:rPr>
          <w:color w:val="231F20"/>
          <w:spacing w:val="-4"/>
          <w:w w:val="105"/>
        </w:rPr>
        <w:t>en</w:t>
      </w:r>
      <w:r>
        <w:rPr>
          <w:color w:val="231F20"/>
          <w:spacing w:val="-18"/>
          <w:w w:val="105"/>
        </w:rPr>
        <w:t> </w:t>
      </w:r>
      <w:r>
        <w:rPr>
          <w:color w:val="231F20"/>
          <w:spacing w:val="-4"/>
          <w:w w:val="105"/>
        </w:rPr>
        <w:t>que</w:t>
      </w:r>
      <w:r>
        <w:rPr>
          <w:color w:val="231F20"/>
          <w:spacing w:val="-18"/>
          <w:w w:val="105"/>
        </w:rPr>
        <w:t> </w:t>
      </w:r>
      <w:r>
        <w:rPr>
          <w:color w:val="231F20"/>
          <w:w w:val="105"/>
        </w:rPr>
        <w:t>es</w:t>
      </w:r>
      <w:r>
        <w:rPr>
          <w:color w:val="231F20"/>
          <w:spacing w:val="-18"/>
          <w:w w:val="105"/>
        </w:rPr>
        <w:t> </w:t>
      </w:r>
      <w:r>
        <w:rPr>
          <w:color w:val="231F20"/>
          <w:spacing w:val="-7"/>
          <w:w w:val="105"/>
        </w:rPr>
        <w:t>conducido</w:t>
      </w:r>
      <w:r>
        <w:rPr>
          <w:color w:val="231F20"/>
          <w:spacing w:val="-18"/>
          <w:w w:val="105"/>
        </w:rPr>
        <w:t> </w:t>
      </w:r>
      <w:r>
        <w:rPr>
          <w:color w:val="231F20"/>
          <w:spacing w:val="-3"/>
          <w:w w:val="105"/>
        </w:rPr>
        <w:t>el</w:t>
      </w:r>
      <w:r>
        <w:rPr>
          <w:color w:val="231F20"/>
          <w:spacing w:val="-18"/>
          <w:w w:val="105"/>
        </w:rPr>
        <w:t> </w:t>
      </w:r>
      <w:r>
        <w:rPr>
          <w:color w:val="231F20"/>
          <w:spacing w:val="-6"/>
          <w:w w:val="105"/>
        </w:rPr>
        <w:t>ejercicio</w:t>
      </w:r>
      <w:r>
        <w:rPr>
          <w:color w:val="231F20"/>
          <w:spacing w:val="-18"/>
          <w:w w:val="105"/>
        </w:rPr>
        <w:t> </w:t>
      </w:r>
      <w:r>
        <w:rPr>
          <w:color w:val="231F20"/>
          <w:spacing w:val="-4"/>
          <w:w w:val="105"/>
        </w:rPr>
        <w:t>de</w:t>
      </w:r>
      <w:r>
        <w:rPr>
          <w:color w:val="231F20"/>
          <w:spacing w:val="-18"/>
          <w:w w:val="105"/>
        </w:rPr>
        <w:t> </w:t>
      </w:r>
      <w:r>
        <w:rPr>
          <w:color w:val="231F20"/>
          <w:spacing w:val="-3"/>
          <w:w w:val="105"/>
        </w:rPr>
        <w:t>go- </w:t>
      </w:r>
      <w:r>
        <w:rPr>
          <w:color w:val="231F20"/>
          <w:spacing w:val="-6"/>
          <w:w w:val="105"/>
        </w:rPr>
        <w:t>bierno</w:t>
      </w:r>
      <w:r>
        <w:rPr>
          <w:color w:val="231F20"/>
          <w:spacing w:val="-13"/>
          <w:w w:val="105"/>
        </w:rPr>
        <w:t> </w:t>
      </w:r>
      <w:r>
        <w:rPr>
          <w:color w:val="231F20"/>
          <w:spacing w:val="-4"/>
          <w:w w:val="105"/>
        </w:rPr>
        <w:t>en</w:t>
      </w:r>
      <w:r>
        <w:rPr>
          <w:color w:val="231F20"/>
          <w:spacing w:val="-13"/>
          <w:w w:val="105"/>
        </w:rPr>
        <w:t> </w:t>
      </w:r>
      <w:r>
        <w:rPr>
          <w:color w:val="231F20"/>
          <w:spacing w:val="-5"/>
          <w:w w:val="105"/>
        </w:rPr>
        <w:t>materia</w:t>
      </w:r>
      <w:r>
        <w:rPr>
          <w:color w:val="231F20"/>
          <w:spacing w:val="-13"/>
          <w:w w:val="105"/>
        </w:rPr>
        <w:t> </w:t>
      </w:r>
      <w:r>
        <w:rPr>
          <w:color w:val="231F20"/>
          <w:spacing w:val="-4"/>
          <w:w w:val="105"/>
        </w:rPr>
        <w:t>de</w:t>
      </w:r>
      <w:r>
        <w:rPr>
          <w:color w:val="231F20"/>
          <w:spacing w:val="-13"/>
          <w:w w:val="105"/>
        </w:rPr>
        <w:t> </w:t>
      </w:r>
      <w:r>
        <w:rPr>
          <w:color w:val="231F20"/>
          <w:spacing w:val="-4"/>
          <w:w w:val="105"/>
        </w:rPr>
        <w:t>obra</w:t>
      </w:r>
      <w:r>
        <w:rPr>
          <w:color w:val="231F20"/>
          <w:spacing w:val="-13"/>
          <w:w w:val="105"/>
        </w:rPr>
        <w:t> </w:t>
      </w:r>
      <w:r>
        <w:rPr>
          <w:color w:val="231F20"/>
          <w:spacing w:val="-5"/>
          <w:w w:val="105"/>
        </w:rPr>
        <w:t>pública</w:t>
      </w:r>
      <w:r>
        <w:rPr>
          <w:color w:val="231F20"/>
          <w:spacing w:val="-13"/>
          <w:w w:val="105"/>
        </w:rPr>
        <w:t> </w:t>
      </w:r>
      <w:r>
        <w:rPr>
          <w:color w:val="231F20"/>
          <w:w w:val="105"/>
        </w:rPr>
        <w:t>y</w:t>
      </w:r>
      <w:r>
        <w:rPr>
          <w:color w:val="231F20"/>
          <w:spacing w:val="-13"/>
          <w:w w:val="105"/>
        </w:rPr>
        <w:t> </w:t>
      </w:r>
      <w:r>
        <w:rPr>
          <w:color w:val="231F20"/>
          <w:spacing w:val="-4"/>
          <w:w w:val="105"/>
        </w:rPr>
        <w:t>servicios</w:t>
      </w:r>
      <w:r>
        <w:rPr>
          <w:color w:val="231F20"/>
          <w:spacing w:val="-13"/>
          <w:w w:val="105"/>
        </w:rPr>
        <w:t> </w:t>
      </w:r>
      <w:r>
        <w:rPr>
          <w:color w:val="231F20"/>
          <w:spacing w:val="-5"/>
          <w:w w:val="105"/>
        </w:rPr>
        <w:t>públicos,</w:t>
      </w:r>
      <w:r>
        <w:rPr>
          <w:color w:val="231F20"/>
          <w:spacing w:val="-13"/>
          <w:w w:val="105"/>
        </w:rPr>
        <w:t> </w:t>
      </w:r>
      <w:r>
        <w:rPr>
          <w:color w:val="231F20"/>
          <w:spacing w:val="-4"/>
          <w:w w:val="105"/>
        </w:rPr>
        <w:t>que</w:t>
      </w:r>
      <w:r>
        <w:rPr>
          <w:color w:val="231F20"/>
          <w:spacing w:val="-13"/>
          <w:w w:val="105"/>
        </w:rPr>
        <w:t> </w:t>
      </w:r>
      <w:r>
        <w:rPr>
          <w:color w:val="231F20"/>
          <w:spacing w:val="-4"/>
          <w:w w:val="105"/>
        </w:rPr>
        <w:t>admite</w:t>
      </w:r>
      <w:r>
        <w:rPr>
          <w:color w:val="231F20"/>
          <w:spacing w:val="-13"/>
          <w:w w:val="105"/>
        </w:rPr>
        <w:t> </w:t>
      </w:r>
      <w:r>
        <w:rPr>
          <w:color w:val="231F20"/>
          <w:w w:val="105"/>
        </w:rPr>
        <w:t>la</w:t>
      </w:r>
      <w:r>
        <w:rPr>
          <w:color w:val="231F20"/>
          <w:spacing w:val="-13"/>
          <w:w w:val="105"/>
        </w:rPr>
        <w:t> </w:t>
      </w:r>
      <w:r>
        <w:rPr>
          <w:color w:val="231F20"/>
          <w:spacing w:val="-6"/>
          <w:w w:val="105"/>
        </w:rPr>
        <w:t>concreción</w:t>
      </w:r>
      <w:r>
        <w:rPr>
          <w:color w:val="231F20"/>
          <w:spacing w:val="-13"/>
          <w:w w:val="105"/>
        </w:rPr>
        <w:t> </w:t>
      </w:r>
      <w:r>
        <w:rPr>
          <w:color w:val="231F20"/>
          <w:spacing w:val="-4"/>
          <w:w w:val="105"/>
        </w:rPr>
        <w:t>de</w:t>
      </w:r>
      <w:r>
        <w:rPr>
          <w:color w:val="231F20"/>
          <w:spacing w:val="-13"/>
          <w:w w:val="105"/>
        </w:rPr>
        <w:t> </w:t>
      </w:r>
      <w:r>
        <w:rPr>
          <w:color w:val="231F20"/>
          <w:spacing w:val="-5"/>
          <w:w w:val="105"/>
        </w:rPr>
        <w:t>aquello </w:t>
      </w:r>
      <w:r>
        <w:rPr>
          <w:color w:val="231F20"/>
          <w:spacing w:val="-4"/>
          <w:w w:val="105"/>
        </w:rPr>
        <w:t>que</w:t>
      </w:r>
      <w:r>
        <w:rPr>
          <w:color w:val="231F20"/>
          <w:spacing w:val="-21"/>
          <w:w w:val="105"/>
        </w:rPr>
        <w:t> </w:t>
      </w:r>
      <w:r>
        <w:rPr>
          <w:color w:val="231F20"/>
          <w:spacing w:val="-6"/>
          <w:w w:val="105"/>
        </w:rPr>
        <w:t>contenga</w:t>
      </w:r>
      <w:r>
        <w:rPr>
          <w:color w:val="231F20"/>
          <w:spacing w:val="-21"/>
          <w:w w:val="105"/>
        </w:rPr>
        <w:t> </w:t>
      </w:r>
      <w:r>
        <w:rPr>
          <w:color w:val="231F20"/>
          <w:w w:val="105"/>
        </w:rPr>
        <w:t>un</w:t>
      </w:r>
      <w:r>
        <w:rPr>
          <w:color w:val="231F20"/>
          <w:spacing w:val="-21"/>
          <w:w w:val="105"/>
        </w:rPr>
        <w:t> </w:t>
      </w:r>
      <w:r>
        <w:rPr>
          <w:color w:val="231F20"/>
          <w:spacing w:val="-5"/>
          <w:w w:val="105"/>
        </w:rPr>
        <w:t>beneficio</w:t>
      </w:r>
      <w:r>
        <w:rPr>
          <w:color w:val="231F20"/>
          <w:spacing w:val="-21"/>
          <w:w w:val="105"/>
        </w:rPr>
        <w:t> </w:t>
      </w:r>
      <w:r>
        <w:rPr>
          <w:color w:val="231F20"/>
          <w:spacing w:val="-5"/>
          <w:w w:val="105"/>
        </w:rPr>
        <w:t>colectivo,</w:t>
      </w:r>
      <w:r>
        <w:rPr>
          <w:color w:val="231F20"/>
          <w:spacing w:val="-21"/>
          <w:w w:val="105"/>
        </w:rPr>
        <w:t> </w:t>
      </w:r>
      <w:r>
        <w:rPr>
          <w:color w:val="231F20"/>
          <w:spacing w:val="-5"/>
          <w:w w:val="105"/>
        </w:rPr>
        <w:t>llevado</w:t>
      </w:r>
      <w:r>
        <w:rPr>
          <w:color w:val="231F20"/>
          <w:spacing w:val="-21"/>
          <w:w w:val="105"/>
        </w:rPr>
        <w:t> </w:t>
      </w:r>
      <w:r>
        <w:rPr>
          <w:color w:val="231F20"/>
          <w:w w:val="105"/>
        </w:rPr>
        <w:t>a</w:t>
      </w:r>
      <w:r>
        <w:rPr>
          <w:color w:val="231F20"/>
          <w:spacing w:val="-21"/>
          <w:w w:val="105"/>
        </w:rPr>
        <w:t> </w:t>
      </w:r>
      <w:r>
        <w:rPr>
          <w:color w:val="231F20"/>
          <w:spacing w:val="-4"/>
          <w:w w:val="105"/>
        </w:rPr>
        <w:t>cabo</w:t>
      </w:r>
      <w:r>
        <w:rPr>
          <w:color w:val="231F20"/>
          <w:spacing w:val="-21"/>
          <w:w w:val="105"/>
        </w:rPr>
        <w:t> </w:t>
      </w:r>
      <w:r>
        <w:rPr>
          <w:color w:val="231F20"/>
          <w:spacing w:val="-5"/>
          <w:w w:val="105"/>
        </w:rPr>
        <w:t>con</w:t>
      </w:r>
      <w:r>
        <w:rPr>
          <w:color w:val="231F20"/>
          <w:spacing w:val="-21"/>
          <w:w w:val="105"/>
        </w:rPr>
        <w:t> </w:t>
      </w:r>
      <w:r>
        <w:rPr>
          <w:color w:val="231F20"/>
          <w:spacing w:val="-5"/>
          <w:w w:val="105"/>
        </w:rPr>
        <w:t>apego</w:t>
      </w:r>
      <w:r>
        <w:rPr>
          <w:color w:val="231F20"/>
          <w:spacing w:val="-21"/>
          <w:w w:val="105"/>
        </w:rPr>
        <w:t> </w:t>
      </w:r>
      <w:r>
        <w:rPr>
          <w:color w:val="231F20"/>
          <w:w w:val="105"/>
        </w:rPr>
        <w:t>a</w:t>
      </w:r>
      <w:r>
        <w:rPr>
          <w:color w:val="231F20"/>
          <w:spacing w:val="-21"/>
          <w:w w:val="105"/>
        </w:rPr>
        <w:t> </w:t>
      </w:r>
      <w:r>
        <w:rPr>
          <w:color w:val="231F20"/>
          <w:spacing w:val="-3"/>
          <w:w w:val="105"/>
        </w:rPr>
        <w:t>su</w:t>
      </w:r>
      <w:r>
        <w:rPr>
          <w:color w:val="231F20"/>
          <w:spacing w:val="-21"/>
          <w:w w:val="105"/>
        </w:rPr>
        <w:t> </w:t>
      </w:r>
      <w:r>
        <w:rPr>
          <w:color w:val="231F20"/>
          <w:spacing w:val="-5"/>
          <w:w w:val="105"/>
        </w:rPr>
        <w:t>reglamentación.</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6"/>
          <w:w w:val="105"/>
        </w:rPr>
        <w:t> </w:t>
      </w:r>
      <w:r>
        <w:rPr>
          <w:color w:val="231F20"/>
          <w:w w:val="105"/>
        </w:rPr>
        <w:t>trabajo</w:t>
      </w:r>
      <w:r>
        <w:rPr>
          <w:color w:val="231F20"/>
          <w:spacing w:val="-16"/>
          <w:w w:val="105"/>
        </w:rPr>
        <w:t> </w:t>
      </w:r>
      <w:r>
        <w:rPr>
          <w:color w:val="231F20"/>
          <w:w w:val="105"/>
        </w:rPr>
        <w:t>contiene</w:t>
      </w:r>
      <w:r>
        <w:rPr>
          <w:color w:val="231F20"/>
          <w:spacing w:val="-16"/>
          <w:w w:val="105"/>
        </w:rPr>
        <w:t> </w:t>
      </w:r>
      <w:r>
        <w:rPr>
          <w:color w:val="231F20"/>
          <w:w w:val="105"/>
        </w:rPr>
        <w:t>una</w:t>
      </w:r>
      <w:r>
        <w:rPr>
          <w:color w:val="231F20"/>
          <w:spacing w:val="-16"/>
          <w:w w:val="105"/>
        </w:rPr>
        <w:t> </w:t>
      </w:r>
      <w:r>
        <w:rPr>
          <w:color w:val="231F20"/>
          <w:w w:val="105"/>
        </w:rPr>
        <w:t>primera</w:t>
      </w:r>
      <w:r>
        <w:rPr>
          <w:color w:val="231F20"/>
          <w:spacing w:val="-16"/>
          <w:w w:val="105"/>
        </w:rPr>
        <w:t> </w:t>
      </w:r>
      <w:r>
        <w:rPr>
          <w:color w:val="231F20"/>
          <w:w w:val="105"/>
        </w:rPr>
        <w:t>parte</w:t>
      </w:r>
      <w:r>
        <w:rPr>
          <w:color w:val="231F20"/>
          <w:spacing w:val="-16"/>
          <w:w w:val="105"/>
        </w:rPr>
        <w:t> </w:t>
      </w:r>
      <w:r>
        <w:rPr>
          <w:color w:val="231F20"/>
          <w:spacing w:val="-3"/>
          <w:w w:val="105"/>
        </w:rPr>
        <w:t>donde</w:t>
      </w:r>
      <w:r>
        <w:rPr>
          <w:color w:val="231F20"/>
          <w:spacing w:val="-16"/>
          <w:w w:val="105"/>
        </w:rPr>
        <w:t> </w:t>
      </w:r>
      <w:r>
        <w:rPr>
          <w:color w:val="231F20"/>
          <w:w w:val="105"/>
        </w:rPr>
        <w:t>se</w:t>
      </w:r>
      <w:r>
        <w:rPr>
          <w:color w:val="231F20"/>
          <w:spacing w:val="-16"/>
          <w:w w:val="105"/>
        </w:rPr>
        <w:t> </w:t>
      </w:r>
      <w:r>
        <w:rPr>
          <w:color w:val="231F20"/>
          <w:w w:val="105"/>
        </w:rPr>
        <w:t>anotan</w:t>
      </w:r>
      <w:r>
        <w:rPr>
          <w:color w:val="231F20"/>
          <w:spacing w:val="-16"/>
          <w:w w:val="105"/>
        </w:rPr>
        <w:t> </w:t>
      </w:r>
      <w:r>
        <w:rPr>
          <w:color w:val="231F20"/>
          <w:w w:val="105"/>
        </w:rPr>
        <w:t>de</w:t>
      </w:r>
      <w:r>
        <w:rPr>
          <w:color w:val="231F20"/>
          <w:spacing w:val="-16"/>
          <w:w w:val="105"/>
        </w:rPr>
        <w:t> </w:t>
      </w:r>
      <w:r>
        <w:rPr>
          <w:color w:val="231F20"/>
          <w:w w:val="105"/>
        </w:rPr>
        <w:t>forma</w:t>
      </w:r>
      <w:r>
        <w:rPr>
          <w:color w:val="231F20"/>
          <w:spacing w:val="-16"/>
          <w:w w:val="105"/>
        </w:rPr>
        <w:t> </w:t>
      </w:r>
      <w:r>
        <w:rPr>
          <w:color w:val="231F20"/>
          <w:w w:val="105"/>
        </w:rPr>
        <w:t>sintética</w:t>
      </w:r>
      <w:r>
        <w:rPr>
          <w:color w:val="231F20"/>
          <w:spacing w:val="-16"/>
          <w:w w:val="105"/>
        </w:rPr>
        <w:t> </w:t>
      </w:r>
      <w:r>
        <w:rPr>
          <w:color w:val="231F20"/>
          <w:w w:val="105"/>
        </w:rPr>
        <w:t>los</w:t>
      </w:r>
      <w:r>
        <w:rPr>
          <w:color w:val="231F20"/>
          <w:spacing w:val="-16"/>
          <w:w w:val="105"/>
        </w:rPr>
        <w:t> </w:t>
      </w:r>
      <w:r>
        <w:rPr>
          <w:color w:val="231F20"/>
          <w:w w:val="105"/>
        </w:rPr>
        <w:t>datos</w:t>
      </w:r>
      <w:r>
        <w:rPr>
          <w:color w:val="231F20"/>
          <w:spacing w:val="-16"/>
          <w:w w:val="105"/>
        </w:rPr>
        <w:t> </w:t>
      </w:r>
      <w:r>
        <w:rPr>
          <w:color w:val="231F20"/>
          <w:w w:val="105"/>
        </w:rPr>
        <w:t>y</w:t>
      </w:r>
      <w:r>
        <w:rPr>
          <w:color w:val="231F20"/>
          <w:spacing w:val="-16"/>
          <w:w w:val="105"/>
        </w:rPr>
        <w:t> </w:t>
      </w:r>
      <w:r>
        <w:rPr>
          <w:color w:val="231F20"/>
          <w:w w:val="105"/>
        </w:rPr>
        <w:t>ras- gos característicos del municipio de Tepotzotlán. </w:t>
      </w:r>
      <w:r>
        <w:rPr>
          <w:color w:val="231F20"/>
          <w:spacing w:val="-3"/>
          <w:w w:val="105"/>
        </w:rPr>
        <w:t>También </w:t>
      </w:r>
      <w:r>
        <w:rPr>
          <w:color w:val="231F20"/>
          <w:w w:val="105"/>
        </w:rPr>
        <w:t>se describen las tendencias electorales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actuación</w:t>
      </w:r>
      <w:r>
        <w:rPr>
          <w:color w:val="231F20"/>
          <w:spacing w:val="-15"/>
          <w:w w:val="105"/>
        </w:rPr>
        <w:t> </w:t>
      </w:r>
      <w:r>
        <w:rPr>
          <w:color w:val="231F20"/>
          <w:w w:val="105"/>
        </w:rPr>
        <w:t>política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principales</w:t>
      </w:r>
      <w:r>
        <w:rPr>
          <w:color w:val="231F20"/>
          <w:spacing w:val="-15"/>
          <w:w w:val="105"/>
        </w:rPr>
        <w:t> </w:t>
      </w:r>
      <w:r>
        <w:rPr>
          <w:color w:val="231F20"/>
          <w:w w:val="105"/>
        </w:rPr>
        <w:t>partidos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región.</w:t>
      </w:r>
    </w:p>
    <w:p>
      <w:pPr>
        <w:pStyle w:val="BodyText"/>
        <w:spacing w:before="1"/>
        <w:rPr>
          <w:sz w:val="26"/>
        </w:rPr>
      </w:pPr>
    </w:p>
    <w:p>
      <w:pPr>
        <w:pStyle w:val="BodyText"/>
        <w:spacing w:line="285" w:lineRule="auto"/>
        <w:ind w:left="110" w:right="107"/>
        <w:jc w:val="both"/>
      </w:pPr>
      <w:r>
        <w:rPr>
          <w:color w:val="231F20"/>
          <w:w w:val="105"/>
        </w:rPr>
        <w:t>A continuación otro elemento sustancial que se aborda es la planeación, pues es una actividad</w:t>
      </w:r>
      <w:r>
        <w:rPr>
          <w:color w:val="231F20"/>
          <w:spacing w:val="-6"/>
          <w:w w:val="105"/>
        </w:rPr>
        <w:t> </w:t>
      </w:r>
      <w:r>
        <w:rPr>
          <w:color w:val="231F20"/>
          <w:w w:val="105"/>
        </w:rPr>
        <w:t>que</w:t>
      </w:r>
      <w:r>
        <w:rPr>
          <w:color w:val="231F20"/>
          <w:spacing w:val="-6"/>
          <w:w w:val="105"/>
        </w:rPr>
        <w:t> </w:t>
      </w:r>
      <w:r>
        <w:rPr>
          <w:color w:val="231F20"/>
          <w:w w:val="105"/>
        </w:rPr>
        <w:t>tiene</w:t>
      </w:r>
      <w:r>
        <w:rPr>
          <w:color w:val="231F20"/>
          <w:spacing w:val="-6"/>
          <w:w w:val="105"/>
        </w:rPr>
        <w:t> </w:t>
      </w:r>
      <w:r>
        <w:rPr>
          <w:color w:val="231F20"/>
          <w:w w:val="105"/>
        </w:rPr>
        <w:t>una</w:t>
      </w:r>
      <w:r>
        <w:rPr>
          <w:color w:val="231F20"/>
          <w:spacing w:val="-6"/>
          <w:w w:val="105"/>
        </w:rPr>
        <w:t> </w:t>
      </w:r>
      <w:r>
        <w:rPr>
          <w:color w:val="231F20"/>
          <w:w w:val="105"/>
        </w:rPr>
        <w:t>directriz</w:t>
      </w:r>
      <w:r>
        <w:rPr>
          <w:color w:val="231F20"/>
          <w:spacing w:val="-6"/>
          <w:w w:val="105"/>
        </w:rPr>
        <w:t> </w:t>
      </w:r>
      <w:r>
        <w:rPr>
          <w:color w:val="231F20"/>
          <w:w w:val="105"/>
        </w:rPr>
        <w:t>de</w:t>
      </w:r>
      <w:r>
        <w:rPr>
          <w:color w:val="231F20"/>
          <w:spacing w:val="-6"/>
          <w:w w:val="105"/>
        </w:rPr>
        <w:t> </w:t>
      </w:r>
      <w:r>
        <w:rPr>
          <w:color w:val="231F20"/>
          <w:w w:val="105"/>
        </w:rPr>
        <w:t>obligatoriedad</w:t>
      </w:r>
      <w:r>
        <w:rPr>
          <w:color w:val="231F20"/>
          <w:spacing w:val="-6"/>
          <w:w w:val="105"/>
        </w:rPr>
        <w:t> </w:t>
      </w:r>
      <w:r>
        <w:rPr>
          <w:color w:val="231F20"/>
          <w:w w:val="105"/>
        </w:rPr>
        <w:t>constitucional</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tres</w:t>
      </w:r>
      <w:r>
        <w:rPr>
          <w:color w:val="231F20"/>
          <w:spacing w:val="-6"/>
          <w:w w:val="105"/>
        </w:rPr>
        <w:t> </w:t>
      </w:r>
      <w:r>
        <w:rPr>
          <w:color w:val="231F20"/>
          <w:w w:val="105"/>
        </w:rPr>
        <w:t>niveles</w:t>
      </w:r>
      <w:r>
        <w:rPr>
          <w:color w:val="231F20"/>
          <w:spacing w:val="-6"/>
          <w:w w:val="105"/>
        </w:rPr>
        <w:t> </w:t>
      </w:r>
      <w:r>
        <w:rPr>
          <w:color w:val="231F20"/>
          <w:w w:val="105"/>
        </w:rPr>
        <w:t>de </w:t>
      </w:r>
      <w:r>
        <w:rPr>
          <w:color w:val="231F20"/>
          <w:spacing w:val="-2"/>
          <w:w w:val="105"/>
        </w:rPr>
        <w:t>gobierno.</w:t>
      </w:r>
      <w:r>
        <w:rPr>
          <w:color w:val="231F20"/>
          <w:spacing w:val="-15"/>
          <w:w w:val="105"/>
        </w:rPr>
        <w:t> </w:t>
      </w:r>
      <w:r>
        <w:rPr>
          <w:color w:val="231F20"/>
          <w:w w:val="105"/>
        </w:rPr>
        <w:t>En</w:t>
      </w:r>
      <w:r>
        <w:rPr>
          <w:color w:val="231F20"/>
          <w:spacing w:val="-15"/>
          <w:w w:val="105"/>
        </w:rPr>
        <w:t> </w:t>
      </w:r>
      <w:r>
        <w:rPr>
          <w:color w:val="231F20"/>
          <w:spacing w:val="2"/>
          <w:w w:val="105"/>
        </w:rPr>
        <w:t>al</w:t>
      </w:r>
      <w:r>
        <w:rPr>
          <w:color w:val="231F20"/>
          <w:spacing w:val="-15"/>
          <w:w w:val="105"/>
        </w:rPr>
        <w:t> </w:t>
      </w:r>
      <w:r>
        <w:rPr>
          <w:color w:val="231F20"/>
          <w:w w:val="105"/>
        </w:rPr>
        <w:t>ámbito</w:t>
      </w:r>
      <w:r>
        <w:rPr>
          <w:color w:val="231F20"/>
          <w:spacing w:val="-15"/>
          <w:w w:val="105"/>
        </w:rPr>
        <w:t> </w:t>
      </w:r>
      <w:r>
        <w:rPr>
          <w:color w:val="231F20"/>
          <w:w w:val="105"/>
        </w:rPr>
        <w:t>municipal</w:t>
      </w:r>
      <w:r>
        <w:rPr>
          <w:color w:val="231F20"/>
          <w:spacing w:val="-15"/>
          <w:w w:val="105"/>
        </w:rPr>
        <w:t> </w:t>
      </w:r>
      <w:r>
        <w:rPr>
          <w:color w:val="231F20"/>
          <w:w w:val="105"/>
        </w:rPr>
        <w:t>se</w:t>
      </w:r>
      <w:r>
        <w:rPr>
          <w:color w:val="231F20"/>
          <w:spacing w:val="-15"/>
          <w:w w:val="105"/>
        </w:rPr>
        <w:t> </w:t>
      </w:r>
      <w:r>
        <w:rPr>
          <w:color w:val="231F20"/>
          <w:w w:val="105"/>
        </w:rPr>
        <w:t>concreta</w:t>
      </w:r>
      <w:r>
        <w:rPr>
          <w:color w:val="231F20"/>
          <w:spacing w:val="-15"/>
          <w:w w:val="105"/>
        </w:rPr>
        <w:t> </w:t>
      </w:r>
      <w:r>
        <w:rPr>
          <w:color w:val="231F20"/>
          <w:w w:val="105"/>
        </w:rPr>
        <w:t>a</w:t>
      </w:r>
      <w:r>
        <w:rPr>
          <w:color w:val="231F20"/>
          <w:spacing w:val="-15"/>
          <w:w w:val="105"/>
        </w:rPr>
        <w:t> </w:t>
      </w:r>
      <w:r>
        <w:rPr>
          <w:color w:val="231F20"/>
          <w:spacing w:val="2"/>
          <w:w w:val="105"/>
        </w:rPr>
        <w:t>partir</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Ley</w:t>
      </w:r>
      <w:r>
        <w:rPr>
          <w:color w:val="231F20"/>
          <w:spacing w:val="-15"/>
          <w:w w:val="105"/>
        </w:rPr>
        <w:t> </w:t>
      </w:r>
      <w:r>
        <w:rPr>
          <w:color w:val="231F20"/>
          <w:w w:val="105"/>
        </w:rPr>
        <w:t>de</w:t>
      </w:r>
      <w:r>
        <w:rPr>
          <w:color w:val="231F20"/>
          <w:spacing w:val="-15"/>
          <w:w w:val="105"/>
        </w:rPr>
        <w:t> </w:t>
      </w:r>
      <w:r>
        <w:rPr>
          <w:color w:val="231F20"/>
          <w:w w:val="105"/>
        </w:rPr>
        <w:t>Planeación</w:t>
      </w:r>
      <w:r>
        <w:rPr>
          <w:color w:val="231F20"/>
          <w:spacing w:val="-15"/>
          <w:w w:val="105"/>
        </w:rPr>
        <w:t> </w:t>
      </w:r>
      <w:r>
        <w:rPr>
          <w:color w:val="231F20"/>
          <w:w w:val="105"/>
        </w:rPr>
        <w:t>de</w:t>
      </w:r>
      <w:r>
        <w:rPr>
          <w:color w:val="231F20"/>
          <w:spacing w:val="-15"/>
          <w:w w:val="105"/>
        </w:rPr>
        <w:t> </w:t>
      </w:r>
      <w:r>
        <w:rPr>
          <w:color w:val="231F20"/>
          <w:w w:val="105"/>
        </w:rPr>
        <w:t>Estado de</w:t>
      </w:r>
      <w:r>
        <w:rPr>
          <w:color w:val="231F20"/>
          <w:spacing w:val="-25"/>
          <w:w w:val="105"/>
        </w:rPr>
        <w:t> </w:t>
      </w:r>
      <w:r>
        <w:rPr>
          <w:color w:val="231F20"/>
          <w:w w:val="105"/>
        </w:rPr>
        <w:t>México</w:t>
      </w:r>
      <w:r>
        <w:rPr>
          <w:color w:val="231F20"/>
          <w:spacing w:val="-25"/>
          <w:w w:val="105"/>
        </w:rPr>
        <w:t> </w:t>
      </w:r>
      <w:r>
        <w:rPr>
          <w:color w:val="231F20"/>
          <w:w w:val="105"/>
        </w:rPr>
        <w:t>y</w:t>
      </w:r>
      <w:r>
        <w:rPr>
          <w:color w:val="231F20"/>
          <w:spacing w:val="-25"/>
          <w:w w:val="105"/>
        </w:rPr>
        <w:t> </w:t>
      </w:r>
      <w:r>
        <w:rPr>
          <w:color w:val="231F20"/>
          <w:w w:val="105"/>
        </w:rPr>
        <w:t>se</w:t>
      </w:r>
      <w:r>
        <w:rPr>
          <w:color w:val="231F20"/>
          <w:spacing w:val="-25"/>
          <w:w w:val="105"/>
        </w:rPr>
        <w:t> </w:t>
      </w:r>
      <w:r>
        <w:rPr>
          <w:color w:val="231F20"/>
          <w:w w:val="105"/>
        </w:rPr>
        <w:t>manifiesta</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Plan</w:t>
      </w:r>
      <w:r>
        <w:rPr>
          <w:color w:val="231F20"/>
          <w:spacing w:val="-25"/>
          <w:w w:val="105"/>
        </w:rPr>
        <w:t> </w:t>
      </w:r>
      <w:r>
        <w:rPr>
          <w:color w:val="231F20"/>
          <w:w w:val="105"/>
        </w:rPr>
        <w:t>de</w:t>
      </w:r>
      <w:r>
        <w:rPr>
          <w:color w:val="231F20"/>
          <w:spacing w:val="-25"/>
          <w:w w:val="105"/>
        </w:rPr>
        <w:t> </w:t>
      </w:r>
      <w:r>
        <w:rPr>
          <w:color w:val="231F20"/>
          <w:w w:val="105"/>
        </w:rPr>
        <w:t>Desarrollo</w:t>
      </w:r>
      <w:r>
        <w:rPr>
          <w:color w:val="231F20"/>
          <w:spacing w:val="-25"/>
          <w:w w:val="105"/>
        </w:rPr>
        <w:t> </w:t>
      </w:r>
      <w:r>
        <w:rPr>
          <w:color w:val="231F20"/>
          <w:w w:val="105"/>
        </w:rPr>
        <w:t>Municipal</w:t>
      </w:r>
      <w:r>
        <w:rPr>
          <w:color w:val="231F20"/>
          <w:spacing w:val="-25"/>
          <w:w w:val="105"/>
        </w:rPr>
        <w:t> </w:t>
      </w:r>
      <w:r>
        <w:rPr>
          <w:color w:val="231F20"/>
          <w:w w:val="105"/>
        </w:rPr>
        <w:t>de</w:t>
      </w:r>
      <w:r>
        <w:rPr>
          <w:color w:val="231F20"/>
          <w:spacing w:val="-25"/>
          <w:w w:val="105"/>
        </w:rPr>
        <w:t> </w:t>
      </w:r>
      <w:r>
        <w:rPr>
          <w:color w:val="231F20"/>
          <w:w w:val="105"/>
        </w:rPr>
        <w:t>Tepotzotlán</w:t>
      </w:r>
      <w:r>
        <w:rPr>
          <w:color w:val="231F20"/>
          <w:spacing w:val="-25"/>
          <w:w w:val="105"/>
        </w:rPr>
        <w:t> </w:t>
      </w:r>
      <w:r>
        <w:rPr>
          <w:color w:val="231F20"/>
          <w:spacing w:val="2"/>
          <w:w w:val="105"/>
        </w:rPr>
        <w:t>2006-2009</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spacing w:val="-4"/>
          <w:w w:val="105"/>
        </w:rPr>
        <w:t>(PDM),</w:t>
      </w:r>
      <w:r>
        <w:rPr>
          <w:color w:val="231F20"/>
          <w:spacing w:val="-9"/>
          <w:w w:val="105"/>
        </w:rPr>
        <w:t> </w:t>
      </w:r>
      <w:r>
        <w:rPr>
          <w:color w:val="231F20"/>
          <w:w w:val="105"/>
        </w:rPr>
        <w:t>mismo</w:t>
      </w:r>
      <w:r>
        <w:rPr>
          <w:color w:val="231F20"/>
          <w:spacing w:val="-9"/>
          <w:w w:val="105"/>
        </w:rPr>
        <w:t> </w:t>
      </w:r>
      <w:r>
        <w:rPr>
          <w:color w:val="231F20"/>
          <w:w w:val="105"/>
        </w:rPr>
        <w:t>que</w:t>
      </w:r>
      <w:r>
        <w:rPr>
          <w:color w:val="231F20"/>
          <w:spacing w:val="-9"/>
          <w:w w:val="105"/>
        </w:rPr>
        <w:t> </w:t>
      </w:r>
      <w:r>
        <w:rPr>
          <w:color w:val="231F20"/>
          <w:w w:val="105"/>
        </w:rPr>
        <w:t>contiene</w:t>
      </w:r>
      <w:r>
        <w:rPr>
          <w:color w:val="231F20"/>
          <w:spacing w:val="-9"/>
          <w:w w:val="105"/>
        </w:rPr>
        <w:t> </w:t>
      </w:r>
      <w:r>
        <w:rPr>
          <w:color w:val="231F20"/>
          <w:w w:val="105"/>
        </w:rPr>
        <w:t>un</w:t>
      </w:r>
      <w:r>
        <w:rPr>
          <w:color w:val="231F20"/>
          <w:spacing w:val="-9"/>
          <w:w w:val="105"/>
        </w:rPr>
        <w:t> </w:t>
      </w:r>
      <w:r>
        <w:rPr>
          <w:color w:val="231F20"/>
          <w:w w:val="105"/>
        </w:rPr>
        <w:t>diagnóstico</w:t>
      </w:r>
      <w:r>
        <w:rPr>
          <w:color w:val="231F20"/>
          <w:spacing w:val="-9"/>
          <w:w w:val="105"/>
        </w:rPr>
        <w:t> </w:t>
      </w:r>
      <w:r>
        <w:rPr>
          <w:color w:val="231F20"/>
          <w:w w:val="105"/>
        </w:rPr>
        <w:t>y</w:t>
      </w:r>
      <w:r>
        <w:rPr>
          <w:color w:val="231F20"/>
          <w:spacing w:val="-9"/>
          <w:w w:val="105"/>
        </w:rPr>
        <w:t> </w:t>
      </w:r>
      <w:r>
        <w:rPr>
          <w:color w:val="231F20"/>
          <w:w w:val="105"/>
        </w:rPr>
        <w:t>los</w:t>
      </w:r>
      <w:r>
        <w:rPr>
          <w:color w:val="231F20"/>
          <w:spacing w:val="-9"/>
          <w:w w:val="105"/>
        </w:rPr>
        <w:t> </w:t>
      </w:r>
      <w:r>
        <w:rPr>
          <w:color w:val="231F20"/>
          <w:w w:val="105"/>
        </w:rPr>
        <w:t>argumentos</w:t>
      </w:r>
      <w:r>
        <w:rPr>
          <w:color w:val="231F20"/>
          <w:spacing w:val="-9"/>
          <w:w w:val="105"/>
        </w:rPr>
        <w:t> </w:t>
      </w:r>
      <w:r>
        <w:rPr>
          <w:color w:val="231F20"/>
          <w:w w:val="105"/>
        </w:rPr>
        <w:t>sobre</w:t>
      </w:r>
      <w:r>
        <w:rPr>
          <w:color w:val="231F20"/>
          <w:spacing w:val="-9"/>
          <w:w w:val="105"/>
        </w:rPr>
        <w:t> </w:t>
      </w:r>
      <w:r>
        <w:rPr>
          <w:color w:val="231F20"/>
          <w:w w:val="105"/>
        </w:rPr>
        <w:t>los</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plantean los</w:t>
      </w:r>
      <w:r>
        <w:rPr>
          <w:color w:val="231F20"/>
          <w:spacing w:val="-12"/>
          <w:w w:val="105"/>
        </w:rPr>
        <w:t> </w:t>
      </w:r>
      <w:r>
        <w:rPr>
          <w:color w:val="231F20"/>
          <w:w w:val="105"/>
        </w:rPr>
        <w:t>retos</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color w:val="231F20"/>
          <w:w w:val="105"/>
        </w:rPr>
        <w:t>metas</w:t>
      </w:r>
      <w:r>
        <w:rPr>
          <w:color w:val="231F20"/>
          <w:spacing w:val="-12"/>
          <w:w w:val="105"/>
        </w:rPr>
        <w:t> </w:t>
      </w:r>
      <w:r>
        <w:rPr>
          <w:color w:val="231F20"/>
          <w:w w:val="105"/>
        </w:rPr>
        <w:t>que</w:t>
      </w:r>
      <w:r>
        <w:rPr>
          <w:color w:val="231F20"/>
          <w:spacing w:val="-12"/>
          <w:w w:val="105"/>
        </w:rPr>
        <w:t> </w:t>
      </w:r>
      <w:r>
        <w:rPr>
          <w:color w:val="231F20"/>
          <w:w w:val="105"/>
        </w:rPr>
        <w:t>habrá</w:t>
      </w:r>
      <w:r>
        <w:rPr>
          <w:color w:val="231F20"/>
          <w:spacing w:val="-12"/>
          <w:w w:val="105"/>
        </w:rPr>
        <w:t> </w:t>
      </w:r>
      <w:r>
        <w:rPr>
          <w:color w:val="231F20"/>
          <w:w w:val="105"/>
        </w:rPr>
        <w:t>de</w:t>
      </w:r>
      <w:r>
        <w:rPr>
          <w:color w:val="231F20"/>
          <w:spacing w:val="-12"/>
          <w:w w:val="105"/>
        </w:rPr>
        <w:t> </w:t>
      </w:r>
      <w:r>
        <w:rPr>
          <w:color w:val="231F20"/>
          <w:w w:val="105"/>
        </w:rPr>
        <w:t>perseguir</w:t>
      </w:r>
      <w:r>
        <w:rPr>
          <w:color w:val="231F20"/>
          <w:spacing w:val="-12"/>
          <w:w w:val="105"/>
        </w:rPr>
        <w:t> </w:t>
      </w:r>
      <w:r>
        <w:rPr>
          <w:color w:val="231F20"/>
          <w:w w:val="105"/>
        </w:rPr>
        <w:t>el</w:t>
      </w:r>
      <w:r>
        <w:rPr>
          <w:color w:val="231F20"/>
          <w:spacing w:val="-12"/>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Finalmente</w:t>
      </w:r>
      <w:r>
        <w:rPr>
          <w:color w:val="231F20"/>
          <w:spacing w:val="-11"/>
          <w:w w:val="105"/>
        </w:rPr>
        <w:t> </w:t>
      </w:r>
      <w:r>
        <w:rPr>
          <w:color w:val="231F20"/>
          <w:w w:val="105"/>
        </w:rPr>
        <w:t>se</w:t>
      </w:r>
      <w:r>
        <w:rPr>
          <w:color w:val="231F20"/>
          <w:spacing w:val="-11"/>
          <w:w w:val="105"/>
        </w:rPr>
        <w:t> </w:t>
      </w:r>
      <w:r>
        <w:rPr>
          <w:color w:val="231F20"/>
          <w:w w:val="105"/>
        </w:rPr>
        <w:t>consideran</w:t>
      </w:r>
      <w:r>
        <w:rPr>
          <w:color w:val="231F20"/>
          <w:spacing w:val="-11"/>
          <w:w w:val="105"/>
        </w:rPr>
        <w:t> </w:t>
      </w:r>
      <w:r>
        <w:rPr>
          <w:color w:val="231F20"/>
          <w:w w:val="105"/>
        </w:rPr>
        <w:t>los</w:t>
      </w:r>
      <w:r>
        <w:rPr>
          <w:color w:val="231F20"/>
          <w:spacing w:val="-11"/>
          <w:w w:val="105"/>
        </w:rPr>
        <w:t> </w:t>
      </w:r>
      <w:r>
        <w:rPr>
          <w:color w:val="231F20"/>
          <w:w w:val="105"/>
        </w:rPr>
        <w:t>datos</w:t>
      </w:r>
      <w:r>
        <w:rPr>
          <w:color w:val="231F20"/>
          <w:spacing w:val="-11"/>
          <w:w w:val="105"/>
        </w:rPr>
        <w:t> </w:t>
      </w:r>
      <w:r>
        <w:rPr>
          <w:color w:val="231F20"/>
          <w:w w:val="105"/>
        </w:rPr>
        <w:t>y</w:t>
      </w:r>
      <w:r>
        <w:rPr>
          <w:color w:val="231F20"/>
          <w:spacing w:val="-11"/>
          <w:w w:val="105"/>
        </w:rPr>
        <w:t> </w:t>
      </w:r>
      <w:r>
        <w:rPr>
          <w:color w:val="231F20"/>
          <w:w w:val="105"/>
        </w:rPr>
        <w:t>cuantificaciones</w:t>
      </w:r>
      <w:r>
        <w:rPr>
          <w:color w:val="231F20"/>
          <w:spacing w:val="-11"/>
          <w:w w:val="105"/>
        </w:rPr>
        <w:t> </w:t>
      </w:r>
      <w:r>
        <w:rPr>
          <w:color w:val="231F20"/>
          <w:w w:val="105"/>
        </w:rPr>
        <w:t>sobre</w:t>
      </w:r>
      <w:r>
        <w:rPr>
          <w:color w:val="231F20"/>
          <w:spacing w:val="-11"/>
          <w:w w:val="105"/>
        </w:rPr>
        <w:t> </w:t>
      </w:r>
      <w:r>
        <w:rPr>
          <w:color w:val="231F20"/>
          <w:w w:val="105"/>
        </w:rPr>
        <w:t>las</w:t>
      </w:r>
      <w:r>
        <w:rPr>
          <w:color w:val="231F20"/>
          <w:spacing w:val="-11"/>
          <w:w w:val="105"/>
        </w:rPr>
        <w:t> </w:t>
      </w:r>
      <w:r>
        <w:rPr>
          <w:color w:val="231F20"/>
          <w:w w:val="105"/>
        </w:rPr>
        <w:t>principales</w:t>
      </w:r>
      <w:r>
        <w:rPr>
          <w:color w:val="231F20"/>
          <w:spacing w:val="-11"/>
          <w:w w:val="105"/>
        </w:rPr>
        <w:t> </w:t>
      </w:r>
      <w:r>
        <w:rPr>
          <w:color w:val="231F20"/>
          <w:w w:val="105"/>
        </w:rPr>
        <w:t>acciones</w:t>
      </w:r>
      <w:r>
        <w:rPr>
          <w:color w:val="231F20"/>
          <w:spacing w:val="-11"/>
          <w:w w:val="105"/>
        </w:rPr>
        <w:t> </w:t>
      </w:r>
      <w:r>
        <w:rPr>
          <w:color w:val="231F20"/>
          <w:w w:val="105"/>
        </w:rPr>
        <w:t>de gobierno, en cuanto a participación ciudadana y respecto de la operación e instrumen- tación</w:t>
      </w:r>
      <w:r>
        <w:rPr>
          <w:color w:val="231F20"/>
          <w:spacing w:val="-14"/>
          <w:w w:val="105"/>
        </w:rPr>
        <w:t> </w:t>
      </w:r>
      <w:r>
        <w:rPr>
          <w:color w:val="231F20"/>
          <w:w w:val="105"/>
        </w:rPr>
        <w:t>del</w:t>
      </w:r>
      <w:r>
        <w:rPr>
          <w:color w:val="231F20"/>
          <w:spacing w:val="-14"/>
          <w:w w:val="105"/>
        </w:rPr>
        <w:t> </w:t>
      </w:r>
      <w:r>
        <w:rPr>
          <w:color w:val="231F20"/>
          <w:w w:val="105"/>
        </w:rPr>
        <w:t>presupuesto</w:t>
      </w:r>
      <w:r>
        <w:rPr>
          <w:color w:val="231F20"/>
          <w:spacing w:val="-14"/>
          <w:w w:val="105"/>
        </w:rPr>
        <w:t> </w:t>
      </w:r>
      <w:r>
        <w:rPr>
          <w:color w:val="231F20"/>
          <w:w w:val="105"/>
        </w:rPr>
        <w:t>público</w:t>
      </w:r>
      <w:r>
        <w:rPr>
          <w:color w:val="231F20"/>
          <w:spacing w:val="-14"/>
          <w:w w:val="105"/>
        </w:rPr>
        <w:t> </w:t>
      </w:r>
      <w:r>
        <w:rPr>
          <w:color w:val="231F20"/>
          <w:w w:val="105"/>
        </w:rPr>
        <w:t>en</w:t>
      </w:r>
      <w:r>
        <w:rPr>
          <w:color w:val="231F20"/>
          <w:spacing w:val="-14"/>
          <w:w w:val="105"/>
        </w:rPr>
        <w:t> </w:t>
      </w:r>
      <w:r>
        <w:rPr>
          <w:color w:val="231F20"/>
          <w:w w:val="105"/>
        </w:rPr>
        <w:t>obras</w:t>
      </w:r>
      <w:r>
        <w:rPr>
          <w:color w:val="231F20"/>
          <w:spacing w:val="-14"/>
          <w:w w:val="105"/>
        </w:rPr>
        <w:t> </w:t>
      </w:r>
      <w:r>
        <w:rPr>
          <w:color w:val="231F20"/>
          <w:w w:val="105"/>
        </w:rPr>
        <w:t>y</w:t>
      </w:r>
      <w:r>
        <w:rPr>
          <w:color w:val="231F20"/>
          <w:spacing w:val="-14"/>
          <w:w w:val="105"/>
        </w:rPr>
        <w:t> </w:t>
      </w:r>
      <w:r>
        <w:rPr>
          <w:color w:val="231F20"/>
          <w:w w:val="105"/>
        </w:rPr>
        <w:t>ampliación</w:t>
      </w:r>
      <w:r>
        <w:rPr>
          <w:color w:val="231F20"/>
          <w:spacing w:val="-14"/>
          <w:w w:val="105"/>
        </w:rPr>
        <w:t> </w:t>
      </w:r>
      <w:r>
        <w:rPr>
          <w:color w:val="231F20"/>
          <w:w w:val="105"/>
        </w:rPr>
        <w:t>de</w:t>
      </w:r>
      <w:r>
        <w:rPr>
          <w:color w:val="231F20"/>
          <w:spacing w:val="-14"/>
          <w:w w:val="105"/>
        </w:rPr>
        <w:t> </w:t>
      </w:r>
      <w:r>
        <w:rPr>
          <w:color w:val="231F20"/>
          <w:w w:val="105"/>
        </w:rPr>
        <w:t>servicios</w:t>
      </w:r>
      <w:r>
        <w:rPr>
          <w:color w:val="231F20"/>
          <w:spacing w:val="-14"/>
          <w:w w:val="105"/>
        </w:rPr>
        <w:t> </w:t>
      </w:r>
      <w:r>
        <w:rPr>
          <w:color w:val="231F20"/>
          <w:w w:val="105"/>
        </w:rPr>
        <w:t>públicos</w:t>
      </w:r>
      <w:r>
        <w:rPr>
          <w:color w:val="231F20"/>
          <w:spacing w:val="-14"/>
          <w:w w:val="105"/>
        </w:rPr>
        <w:t> </w:t>
      </w:r>
      <w:r>
        <w:rPr>
          <w:color w:val="231F20"/>
          <w:w w:val="105"/>
        </w:rPr>
        <w:t>operados</w:t>
      </w:r>
      <w:r>
        <w:rPr>
          <w:color w:val="231F20"/>
          <w:spacing w:val="-14"/>
          <w:w w:val="105"/>
        </w:rPr>
        <w:t> </w:t>
      </w:r>
      <w:r>
        <w:rPr>
          <w:color w:val="231F20"/>
          <w:w w:val="105"/>
        </w:rPr>
        <w:t>en el</w:t>
      </w:r>
      <w:r>
        <w:rPr>
          <w:color w:val="231F20"/>
          <w:spacing w:val="-15"/>
          <w:w w:val="105"/>
        </w:rPr>
        <w:t> </w:t>
      </w:r>
      <w:r>
        <w:rPr>
          <w:color w:val="231F20"/>
          <w:w w:val="105"/>
        </w:rPr>
        <w:t>municipio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periodo</w:t>
      </w:r>
      <w:r>
        <w:rPr>
          <w:color w:val="231F20"/>
          <w:spacing w:val="-15"/>
          <w:w w:val="105"/>
        </w:rPr>
        <w:t> </w:t>
      </w:r>
      <w:r>
        <w:rPr>
          <w:color w:val="231F20"/>
          <w:w w:val="105"/>
        </w:rPr>
        <w:t>2006-2009.</w:t>
      </w:r>
      <w:r>
        <w:rPr>
          <w:color w:val="231F20"/>
          <w:spacing w:val="-15"/>
          <w:w w:val="105"/>
        </w:rPr>
        <w:t> </w:t>
      </w:r>
      <w:r>
        <w:rPr>
          <w:color w:val="231F20"/>
          <w:w w:val="105"/>
        </w:rPr>
        <w:t>La</w:t>
      </w:r>
      <w:r>
        <w:rPr>
          <w:color w:val="231F20"/>
          <w:spacing w:val="-15"/>
          <w:w w:val="105"/>
        </w:rPr>
        <w:t> </w:t>
      </w:r>
      <w:r>
        <w:rPr>
          <w:color w:val="231F20"/>
          <w:w w:val="105"/>
        </w:rPr>
        <w:t>intención</w:t>
      </w:r>
      <w:r>
        <w:rPr>
          <w:color w:val="231F20"/>
          <w:spacing w:val="-15"/>
          <w:w w:val="105"/>
        </w:rPr>
        <w:t> </w:t>
      </w:r>
      <w:r>
        <w:rPr>
          <w:color w:val="231F20"/>
          <w:w w:val="105"/>
        </w:rPr>
        <w:t>es</w:t>
      </w:r>
      <w:r>
        <w:rPr>
          <w:color w:val="231F20"/>
          <w:spacing w:val="-15"/>
          <w:w w:val="105"/>
        </w:rPr>
        <w:t> </w:t>
      </w:r>
      <w:r>
        <w:rPr>
          <w:color w:val="231F20"/>
          <w:w w:val="105"/>
        </w:rPr>
        <w:t>cotejar</w:t>
      </w:r>
      <w:r>
        <w:rPr>
          <w:color w:val="231F20"/>
          <w:spacing w:val="-15"/>
          <w:w w:val="105"/>
        </w:rPr>
        <w:t> </w:t>
      </w:r>
      <w:r>
        <w:rPr>
          <w:color w:val="231F20"/>
          <w:w w:val="105"/>
        </w:rPr>
        <w:t>la</w:t>
      </w:r>
      <w:r>
        <w:rPr>
          <w:color w:val="231F20"/>
          <w:spacing w:val="-15"/>
          <w:w w:val="105"/>
        </w:rPr>
        <w:t> </w:t>
      </w:r>
      <w:r>
        <w:rPr>
          <w:color w:val="231F20"/>
          <w:w w:val="105"/>
        </w:rPr>
        <w:t>coincidencia</w:t>
      </w:r>
      <w:r>
        <w:rPr>
          <w:color w:val="231F20"/>
          <w:spacing w:val="-15"/>
          <w:w w:val="105"/>
        </w:rPr>
        <w:t> </w:t>
      </w:r>
      <w:r>
        <w:rPr>
          <w:color w:val="231F20"/>
          <w:w w:val="105"/>
        </w:rPr>
        <w:t>o</w:t>
      </w:r>
      <w:r>
        <w:rPr>
          <w:color w:val="231F20"/>
          <w:spacing w:val="-15"/>
          <w:w w:val="105"/>
        </w:rPr>
        <w:t> </w:t>
      </w:r>
      <w:r>
        <w:rPr>
          <w:color w:val="231F20"/>
          <w:w w:val="105"/>
        </w:rPr>
        <w:t>la</w:t>
      </w:r>
      <w:r>
        <w:rPr>
          <w:color w:val="231F20"/>
          <w:spacing w:val="-15"/>
          <w:w w:val="105"/>
        </w:rPr>
        <w:t> </w:t>
      </w:r>
      <w:r>
        <w:rPr>
          <w:color w:val="231F20"/>
          <w:w w:val="105"/>
        </w:rPr>
        <w:t>pecu- liaridad</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tiene</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Plan</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Municipal</w:t>
      </w:r>
      <w:r>
        <w:rPr>
          <w:color w:val="231F20"/>
          <w:spacing w:val="-13"/>
          <w:w w:val="105"/>
        </w:rPr>
        <w:t> </w:t>
      </w:r>
      <w:r>
        <w:rPr>
          <w:color w:val="231F20"/>
          <w:w w:val="105"/>
        </w:rPr>
        <w:t>correspondiente.</w:t>
      </w:r>
    </w:p>
    <w:p>
      <w:pPr>
        <w:pStyle w:val="BodyText"/>
        <w:spacing w:before="2"/>
        <w:rPr>
          <w:sz w:val="20"/>
        </w:rPr>
      </w:pPr>
    </w:p>
    <w:p>
      <w:pPr>
        <w:pStyle w:val="Heading4"/>
        <w:spacing w:before="1"/>
        <w:rPr>
          <w:i/>
        </w:rPr>
      </w:pPr>
      <w:r>
        <w:rPr>
          <w:i/>
          <w:color w:val="231F20"/>
          <w:w w:val="105"/>
        </w:rPr>
        <w:t>Características generales del municipio</w:t>
      </w:r>
    </w:p>
    <w:p>
      <w:pPr>
        <w:pStyle w:val="BodyText"/>
        <w:spacing w:line="285" w:lineRule="auto" w:before="16"/>
        <w:ind w:left="110" w:right="107"/>
        <w:jc w:val="both"/>
      </w:pPr>
      <w:r>
        <w:rPr>
          <w:color w:val="231F20"/>
          <w:w w:val="105"/>
        </w:rPr>
        <w:t>Tepotzotlán</w:t>
      </w:r>
      <w:r>
        <w:rPr>
          <w:color w:val="231F20"/>
          <w:spacing w:val="-22"/>
          <w:w w:val="105"/>
        </w:rPr>
        <w:t> </w:t>
      </w:r>
      <w:r>
        <w:rPr>
          <w:color w:val="231F20"/>
          <w:w w:val="105"/>
        </w:rPr>
        <w:t>es</w:t>
      </w:r>
      <w:r>
        <w:rPr>
          <w:color w:val="231F20"/>
          <w:spacing w:val="-22"/>
          <w:w w:val="105"/>
        </w:rPr>
        <w:t> </w:t>
      </w:r>
      <w:r>
        <w:rPr>
          <w:color w:val="231F20"/>
          <w:w w:val="105"/>
        </w:rPr>
        <w:t>el</w:t>
      </w:r>
      <w:r>
        <w:rPr>
          <w:color w:val="231F20"/>
          <w:spacing w:val="-22"/>
          <w:w w:val="105"/>
        </w:rPr>
        <w:t> </w:t>
      </w:r>
      <w:r>
        <w:rPr>
          <w:color w:val="231F20"/>
          <w:w w:val="105"/>
        </w:rPr>
        <w:t>municipio</w:t>
      </w:r>
      <w:r>
        <w:rPr>
          <w:color w:val="231F20"/>
          <w:spacing w:val="-22"/>
          <w:w w:val="105"/>
        </w:rPr>
        <w:t> </w:t>
      </w:r>
      <w:r>
        <w:rPr>
          <w:color w:val="231F20"/>
          <w:w w:val="105"/>
        </w:rPr>
        <w:t>95</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w w:val="105"/>
        </w:rPr>
        <w:t>México,</w:t>
      </w:r>
      <w:r>
        <w:rPr>
          <w:color w:val="231F20"/>
          <w:spacing w:val="-22"/>
          <w:w w:val="105"/>
        </w:rPr>
        <w:t> </w:t>
      </w:r>
      <w:r>
        <w:rPr>
          <w:color w:val="231F20"/>
          <w:w w:val="105"/>
        </w:rPr>
        <w:t>administrativamente</w:t>
      </w:r>
      <w:r>
        <w:rPr>
          <w:color w:val="231F20"/>
          <w:spacing w:val="-22"/>
          <w:w w:val="105"/>
        </w:rPr>
        <w:t> </w:t>
      </w:r>
      <w:r>
        <w:rPr>
          <w:color w:val="231F20"/>
          <w:w w:val="105"/>
        </w:rPr>
        <w:t>se</w:t>
      </w:r>
      <w:r>
        <w:rPr>
          <w:color w:val="231F20"/>
          <w:spacing w:val="-22"/>
          <w:w w:val="105"/>
        </w:rPr>
        <w:t> </w:t>
      </w:r>
      <w:r>
        <w:rPr>
          <w:color w:val="231F20"/>
          <w:w w:val="105"/>
        </w:rPr>
        <w:t>encuentra asentado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Región</w:t>
      </w:r>
      <w:r>
        <w:rPr>
          <w:color w:val="231F20"/>
          <w:spacing w:val="-13"/>
          <w:w w:val="105"/>
        </w:rPr>
        <w:t> </w:t>
      </w:r>
      <w:r>
        <w:rPr>
          <w:color w:val="231F20"/>
          <w:w w:val="105"/>
        </w:rPr>
        <w:t>II.</w:t>
      </w:r>
      <w:r>
        <w:rPr>
          <w:color w:val="231F20"/>
          <w:spacing w:val="-13"/>
          <w:w w:val="105"/>
        </w:rPr>
        <w:t> </w:t>
      </w:r>
      <w:r>
        <w:rPr>
          <w:color w:val="231F20"/>
          <w:w w:val="105"/>
        </w:rPr>
        <w:t>(Mapa</w:t>
      </w:r>
      <w:r>
        <w:rPr>
          <w:color w:val="231F20"/>
          <w:spacing w:val="-13"/>
          <w:w w:val="105"/>
        </w:rPr>
        <w:t> </w:t>
      </w:r>
      <w:r>
        <w:rPr>
          <w:color w:val="231F20"/>
          <w:spacing w:val="-7"/>
          <w:w w:val="105"/>
        </w:rPr>
        <w:t>1)</w:t>
      </w:r>
      <w:r>
        <w:rPr>
          <w:color w:val="231F20"/>
          <w:spacing w:val="-13"/>
          <w:w w:val="105"/>
        </w:rPr>
        <w:t> </w:t>
      </w:r>
      <w:r>
        <w:rPr>
          <w:color w:val="231F20"/>
          <w:w w:val="105"/>
        </w:rPr>
        <w:t>Limita</w:t>
      </w:r>
      <w:r>
        <w:rPr>
          <w:color w:val="231F20"/>
          <w:spacing w:val="-13"/>
          <w:w w:val="105"/>
        </w:rPr>
        <w:t> </w:t>
      </w:r>
      <w:r>
        <w:rPr>
          <w:color w:val="231F20"/>
          <w:spacing w:val="2"/>
          <w:w w:val="105"/>
        </w:rPr>
        <w:t>al</w:t>
      </w:r>
      <w:r>
        <w:rPr>
          <w:color w:val="231F20"/>
          <w:spacing w:val="-13"/>
          <w:w w:val="105"/>
        </w:rPr>
        <w:t> </w:t>
      </w:r>
      <w:r>
        <w:rPr>
          <w:color w:val="231F20"/>
          <w:w w:val="105"/>
        </w:rPr>
        <w:t>el</w:t>
      </w:r>
      <w:r>
        <w:rPr>
          <w:color w:val="231F20"/>
          <w:spacing w:val="-13"/>
          <w:w w:val="105"/>
        </w:rPr>
        <w:t> </w:t>
      </w:r>
      <w:r>
        <w:rPr>
          <w:color w:val="231F20"/>
          <w:w w:val="105"/>
        </w:rPr>
        <w:t>norte</w:t>
      </w:r>
      <w:r>
        <w:rPr>
          <w:color w:val="231F20"/>
          <w:spacing w:val="-13"/>
          <w:w w:val="105"/>
        </w:rPr>
        <w:t> </w:t>
      </w:r>
      <w:r>
        <w:rPr>
          <w:color w:val="231F20"/>
          <w:w w:val="105"/>
        </w:rPr>
        <w:t>con</w:t>
      </w:r>
      <w:r>
        <w:rPr>
          <w:color w:val="231F20"/>
          <w:spacing w:val="-13"/>
          <w:w w:val="105"/>
        </w:rPr>
        <w:t> </w:t>
      </w:r>
      <w:r>
        <w:rPr>
          <w:color w:val="231F20"/>
          <w:w w:val="105"/>
        </w:rPr>
        <w:t>los</w:t>
      </w:r>
      <w:r>
        <w:rPr>
          <w:color w:val="231F20"/>
          <w:spacing w:val="-13"/>
          <w:w w:val="105"/>
        </w:rPr>
        <w:t> </w:t>
      </w:r>
      <w:r>
        <w:rPr>
          <w:color w:val="231F20"/>
          <w:w w:val="105"/>
        </w:rPr>
        <w:t>municipios</w:t>
      </w:r>
      <w:r>
        <w:rPr>
          <w:color w:val="231F20"/>
          <w:spacing w:val="-13"/>
          <w:w w:val="105"/>
        </w:rPr>
        <w:t> </w:t>
      </w:r>
      <w:r>
        <w:rPr>
          <w:color w:val="231F20"/>
          <w:w w:val="105"/>
        </w:rPr>
        <w:t>de</w:t>
      </w:r>
      <w:r>
        <w:rPr>
          <w:color w:val="231F20"/>
          <w:spacing w:val="-13"/>
          <w:w w:val="105"/>
        </w:rPr>
        <w:t> </w:t>
      </w:r>
      <w:r>
        <w:rPr>
          <w:color w:val="231F20"/>
          <w:w w:val="105"/>
        </w:rPr>
        <w:t>Huehuetoca y</w:t>
      </w:r>
      <w:r>
        <w:rPr>
          <w:color w:val="231F20"/>
          <w:spacing w:val="-25"/>
          <w:w w:val="105"/>
        </w:rPr>
        <w:t> </w:t>
      </w:r>
      <w:r>
        <w:rPr>
          <w:color w:val="231F20"/>
          <w:w w:val="105"/>
        </w:rPr>
        <w:t>Coyotepec,</w:t>
      </w:r>
      <w:r>
        <w:rPr>
          <w:color w:val="231F20"/>
          <w:spacing w:val="-25"/>
          <w:w w:val="105"/>
        </w:rPr>
        <w:t> </w:t>
      </w:r>
      <w:r>
        <w:rPr>
          <w:color w:val="231F20"/>
          <w:spacing w:val="2"/>
          <w:w w:val="105"/>
        </w:rPr>
        <w:t>al</w:t>
      </w:r>
      <w:r>
        <w:rPr>
          <w:color w:val="231F20"/>
          <w:spacing w:val="-25"/>
          <w:w w:val="105"/>
        </w:rPr>
        <w:t> </w:t>
      </w:r>
      <w:r>
        <w:rPr>
          <w:color w:val="231F20"/>
          <w:w w:val="105"/>
        </w:rPr>
        <w:t>sur</w:t>
      </w:r>
      <w:r>
        <w:rPr>
          <w:color w:val="231F20"/>
          <w:spacing w:val="-25"/>
          <w:w w:val="105"/>
        </w:rPr>
        <w:t> </w:t>
      </w:r>
      <w:r>
        <w:rPr>
          <w:color w:val="231F20"/>
          <w:w w:val="105"/>
        </w:rPr>
        <w:t>con</w:t>
      </w:r>
      <w:r>
        <w:rPr>
          <w:color w:val="231F20"/>
          <w:spacing w:val="-25"/>
          <w:w w:val="105"/>
        </w:rPr>
        <w:t> </w:t>
      </w:r>
      <w:r>
        <w:rPr>
          <w:color w:val="231F20"/>
          <w:w w:val="105"/>
        </w:rPr>
        <w:t>los</w:t>
      </w:r>
      <w:r>
        <w:rPr>
          <w:color w:val="231F20"/>
          <w:spacing w:val="-25"/>
          <w:w w:val="105"/>
        </w:rPr>
        <w:t> </w:t>
      </w:r>
      <w:r>
        <w:rPr>
          <w:color w:val="231F20"/>
          <w:w w:val="105"/>
        </w:rPr>
        <w:t>municipios</w:t>
      </w:r>
      <w:r>
        <w:rPr>
          <w:color w:val="231F20"/>
          <w:spacing w:val="-25"/>
          <w:w w:val="105"/>
        </w:rPr>
        <w:t> </w:t>
      </w:r>
      <w:r>
        <w:rPr>
          <w:color w:val="231F20"/>
          <w:w w:val="105"/>
        </w:rPr>
        <w:t>de</w:t>
      </w:r>
      <w:r>
        <w:rPr>
          <w:color w:val="231F20"/>
          <w:spacing w:val="-25"/>
          <w:w w:val="105"/>
        </w:rPr>
        <w:t> </w:t>
      </w:r>
      <w:r>
        <w:rPr>
          <w:color w:val="231F20"/>
          <w:w w:val="105"/>
        </w:rPr>
        <w:t>Cuautitlán</w:t>
      </w:r>
      <w:r>
        <w:rPr>
          <w:color w:val="231F20"/>
          <w:spacing w:val="-25"/>
          <w:w w:val="105"/>
        </w:rPr>
        <w:t> </w:t>
      </w:r>
      <w:r>
        <w:rPr>
          <w:color w:val="231F20"/>
          <w:spacing w:val="2"/>
          <w:w w:val="105"/>
        </w:rPr>
        <w:t>Izcalli</w:t>
      </w:r>
      <w:r>
        <w:rPr>
          <w:color w:val="231F20"/>
          <w:spacing w:val="-25"/>
          <w:w w:val="105"/>
        </w:rPr>
        <w:t> </w:t>
      </w:r>
      <w:r>
        <w:rPr>
          <w:color w:val="231F20"/>
          <w:w w:val="105"/>
        </w:rPr>
        <w:t>y</w:t>
      </w:r>
      <w:r>
        <w:rPr>
          <w:color w:val="231F20"/>
          <w:spacing w:val="-25"/>
          <w:w w:val="105"/>
        </w:rPr>
        <w:t> </w:t>
      </w:r>
      <w:r>
        <w:rPr>
          <w:color w:val="231F20"/>
          <w:w w:val="105"/>
        </w:rPr>
        <w:t>Nicolás</w:t>
      </w:r>
      <w:r>
        <w:rPr>
          <w:color w:val="231F20"/>
          <w:spacing w:val="-25"/>
          <w:w w:val="105"/>
        </w:rPr>
        <w:t> </w:t>
      </w:r>
      <w:r>
        <w:rPr>
          <w:color w:val="231F20"/>
          <w:spacing w:val="-3"/>
          <w:w w:val="105"/>
        </w:rPr>
        <w:t>Romero;</w:t>
      </w:r>
      <w:r>
        <w:rPr>
          <w:color w:val="231F20"/>
          <w:spacing w:val="-25"/>
          <w:w w:val="105"/>
        </w:rPr>
        <w:t> </w:t>
      </w:r>
      <w:r>
        <w:rPr>
          <w:color w:val="231F20"/>
          <w:spacing w:val="2"/>
          <w:w w:val="105"/>
        </w:rPr>
        <w:t>al</w:t>
      </w:r>
      <w:r>
        <w:rPr>
          <w:color w:val="231F20"/>
          <w:spacing w:val="-25"/>
          <w:w w:val="105"/>
        </w:rPr>
        <w:t> </w:t>
      </w:r>
      <w:r>
        <w:rPr>
          <w:color w:val="231F20"/>
          <w:w w:val="105"/>
        </w:rPr>
        <w:t>oriente con</w:t>
      </w:r>
      <w:r>
        <w:rPr>
          <w:color w:val="231F20"/>
          <w:spacing w:val="-7"/>
          <w:w w:val="105"/>
        </w:rPr>
        <w:t> </w:t>
      </w:r>
      <w:r>
        <w:rPr>
          <w:color w:val="231F20"/>
          <w:w w:val="105"/>
        </w:rPr>
        <w:t>Coyotepec,</w:t>
      </w:r>
      <w:r>
        <w:rPr>
          <w:color w:val="231F20"/>
          <w:spacing w:val="-7"/>
          <w:w w:val="105"/>
        </w:rPr>
        <w:t> </w:t>
      </w:r>
      <w:r>
        <w:rPr>
          <w:color w:val="231F20"/>
          <w:w w:val="105"/>
        </w:rPr>
        <w:t>Teoloyucan</w:t>
      </w:r>
      <w:r>
        <w:rPr>
          <w:color w:val="231F20"/>
          <w:spacing w:val="-7"/>
          <w:w w:val="105"/>
        </w:rPr>
        <w:t> </w:t>
      </w:r>
      <w:r>
        <w:rPr>
          <w:color w:val="231F20"/>
          <w:w w:val="105"/>
        </w:rPr>
        <w:t>y</w:t>
      </w:r>
      <w:r>
        <w:rPr>
          <w:color w:val="231F20"/>
          <w:spacing w:val="-7"/>
          <w:w w:val="105"/>
        </w:rPr>
        <w:t> </w:t>
      </w:r>
      <w:r>
        <w:rPr>
          <w:color w:val="231F20"/>
          <w:w w:val="105"/>
        </w:rPr>
        <w:t>Cuautitlán</w:t>
      </w:r>
      <w:r>
        <w:rPr>
          <w:color w:val="231F20"/>
          <w:spacing w:val="-7"/>
          <w:w w:val="105"/>
        </w:rPr>
        <w:t> </w:t>
      </w:r>
      <w:r>
        <w:rPr>
          <w:color w:val="231F20"/>
          <w:w w:val="105"/>
        </w:rPr>
        <w:t>Izcalli;</w:t>
      </w:r>
      <w:r>
        <w:rPr>
          <w:color w:val="231F20"/>
          <w:spacing w:val="-7"/>
          <w:w w:val="105"/>
        </w:rPr>
        <w:t> </w:t>
      </w:r>
      <w:r>
        <w:rPr>
          <w:color w:val="231F20"/>
          <w:spacing w:val="2"/>
          <w:w w:val="105"/>
        </w:rPr>
        <w:t>al</w:t>
      </w:r>
      <w:r>
        <w:rPr>
          <w:color w:val="231F20"/>
          <w:spacing w:val="-7"/>
          <w:w w:val="105"/>
        </w:rPr>
        <w:t> </w:t>
      </w:r>
      <w:r>
        <w:rPr>
          <w:color w:val="231F20"/>
          <w:w w:val="105"/>
        </w:rPr>
        <w:t>oeste</w:t>
      </w:r>
      <w:r>
        <w:rPr>
          <w:color w:val="231F20"/>
          <w:spacing w:val="-7"/>
          <w:w w:val="105"/>
        </w:rPr>
        <w:t> </w:t>
      </w:r>
      <w:r>
        <w:rPr>
          <w:color w:val="231F20"/>
          <w:w w:val="105"/>
        </w:rPr>
        <w:t>con</w:t>
      </w:r>
      <w:r>
        <w:rPr>
          <w:color w:val="231F20"/>
          <w:spacing w:val="-7"/>
          <w:w w:val="105"/>
        </w:rPr>
        <w:t> </w:t>
      </w:r>
      <w:r>
        <w:rPr>
          <w:color w:val="231F20"/>
          <w:w w:val="105"/>
        </w:rPr>
        <w:t>Villa</w:t>
      </w:r>
      <w:r>
        <w:rPr>
          <w:color w:val="231F20"/>
          <w:spacing w:val="-7"/>
          <w:w w:val="105"/>
        </w:rPr>
        <w:t> </w:t>
      </w:r>
      <w:r>
        <w:rPr>
          <w:color w:val="231F20"/>
          <w:w w:val="105"/>
        </w:rPr>
        <w:t>del</w:t>
      </w:r>
      <w:r>
        <w:rPr>
          <w:color w:val="231F20"/>
          <w:spacing w:val="-7"/>
          <w:w w:val="105"/>
        </w:rPr>
        <w:t> </w:t>
      </w:r>
      <w:r>
        <w:rPr>
          <w:color w:val="231F20"/>
          <w:w w:val="105"/>
        </w:rPr>
        <w:t>Carbón.</w:t>
      </w:r>
      <w:r>
        <w:rPr>
          <w:color w:val="231F20"/>
          <w:spacing w:val="-7"/>
          <w:w w:val="105"/>
        </w:rPr>
        <w:t> </w:t>
      </w:r>
      <w:r>
        <w:rPr>
          <w:color w:val="231F20"/>
          <w:w w:val="105"/>
        </w:rPr>
        <w:t>Su</w:t>
      </w:r>
      <w:r>
        <w:rPr>
          <w:color w:val="231F20"/>
          <w:spacing w:val="-7"/>
          <w:w w:val="105"/>
        </w:rPr>
        <w:t> </w:t>
      </w:r>
      <w:r>
        <w:rPr>
          <w:color w:val="231F20"/>
          <w:w w:val="105"/>
        </w:rPr>
        <w:t>dis- tancia</w:t>
      </w:r>
      <w:r>
        <w:rPr>
          <w:color w:val="231F20"/>
          <w:spacing w:val="-15"/>
          <w:w w:val="105"/>
        </w:rPr>
        <w:t> </w:t>
      </w:r>
      <w:r>
        <w:rPr>
          <w:color w:val="231F20"/>
          <w:w w:val="105"/>
        </w:rPr>
        <w:t>aproximada</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capital</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es</w:t>
      </w:r>
      <w:r>
        <w:rPr>
          <w:color w:val="231F20"/>
          <w:spacing w:val="-15"/>
          <w:w w:val="105"/>
        </w:rPr>
        <w:t> </w:t>
      </w:r>
      <w:r>
        <w:rPr>
          <w:color w:val="231F20"/>
          <w:w w:val="105"/>
        </w:rPr>
        <w:t>de</w:t>
      </w:r>
      <w:r>
        <w:rPr>
          <w:color w:val="231F20"/>
          <w:spacing w:val="-15"/>
          <w:w w:val="105"/>
        </w:rPr>
        <w:t> </w:t>
      </w:r>
      <w:r>
        <w:rPr>
          <w:color w:val="231F20"/>
          <w:spacing w:val="-4"/>
          <w:w w:val="105"/>
        </w:rPr>
        <w:t>115</w:t>
      </w:r>
      <w:r>
        <w:rPr>
          <w:color w:val="231F20"/>
          <w:spacing w:val="-15"/>
          <w:w w:val="105"/>
        </w:rPr>
        <w:t> </w:t>
      </w:r>
      <w:r>
        <w:rPr>
          <w:color w:val="231F20"/>
          <w:w w:val="105"/>
        </w:rPr>
        <w:t>kilómetros.</w:t>
      </w:r>
      <w:r>
        <w:rPr>
          <w:color w:val="231F20"/>
          <w:spacing w:val="-15"/>
          <w:w w:val="105"/>
        </w:rPr>
        <w:t> </w:t>
      </w:r>
      <w:r>
        <w:rPr>
          <w:color w:val="231F20"/>
          <w:w w:val="105"/>
        </w:rPr>
        <w:t>(Mapa</w:t>
      </w:r>
      <w:r>
        <w:rPr>
          <w:color w:val="231F20"/>
          <w:spacing w:val="-15"/>
          <w:w w:val="105"/>
        </w:rPr>
        <w:t> </w:t>
      </w:r>
      <w:r>
        <w:rPr>
          <w:color w:val="231F20"/>
          <w:spacing w:val="-4"/>
          <w:w w:val="105"/>
        </w:rPr>
        <w:t>2)</w:t>
      </w:r>
    </w:p>
    <w:p>
      <w:pPr>
        <w:pStyle w:val="BodyText"/>
        <w:spacing w:before="1"/>
        <w:rPr>
          <w:sz w:val="26"/>
        </w:rPr>
      </w:pPr>
    </w:p>
    <w:p>
      <w:pPr>
        <w:pStyle w:val="Heading5"/>
        <w:ind w:left="1336"/>
      </w:pPr>
      <w:r>
        <w:rPr>
          <w:color w:val="231F20"/>
          <w:w w:val="105"/>
        </w:rPr>
        <w:t>Mapa 1 Regiones administrativas en el Estado de México</w:t>
      </w:r>
    </w:p>
    <w:p>
      <w:pPr>
        <w:pStyle w:val="BodyText"/>
        <w:spacing w:before="2"/>
        <w:rPr>
          <w:b/>
          <w:sz w:val="27"/>
        </w:rPr>
      </w:pPr>
      <w:r>
        <w:rPr/>
        <w:drawing>
          <wp:anchor distT="0" distB="0" distL="0" distR="0" allowOverlap="1" layoutInCell="1" locked="0" behindDoc="0" simplePos="0" relativeHeight="9544">
            <wp:simplePos x="0" y="0"/>
            <wp:positionH relativeFrom="page">
              <wp:posOffset>832103</wp:posOffset>
            </wp:positionH>
            <wp:positionV relativeFrom="paragraph">
              <wp:posOffset>223626</wp:posOffset>
            </wp:positionV>
            <wp:extent cx="4392229" cy="2112264"/>
            <wp:effectExtent l="0" t="0" r="0" b="0"/>
            <wp:wrapTopAndBottom/>
            <wp:docPr id="279" name="image529.jpeg" descr=""/>
            <wp:cNvGraphicFramePr>
              <a:graphicFrameLocks noChangeAspect="1"/>
            </wp:cNvGraphicFramePr>
            <a:graphic>
              <a:graphicData uri="http://schemas.openxmlformats.org/drawingml/2006/picture">
                <pic:pic>
                  <pic:nvPicPr>
                    <pic:cNvPr id="280" name="image529.jpeg"/>
                    <pic:cNvPicPr/>
                  </pic:nvPicPr>
                  <pic:blipFill>
                    <a:blip r:embed="rId590" cstate="print"/>
                    <a:stretch>
                      <a:fillRect/>
                    </a:stretch>
                  </pic:blipFill>
                  <pic:spPr>
                    <a:xfrm>
                      <a:off x="0" y="0"/>
                      <a:ext cx="4392229" cy="2112264"/>
                    </a:xfrm>
                    <a:prstGeom prst="rect">
                      <a:avLst/>
                    </a:prstGeom>
                  </pic:spPr>
                </pic:pic>
              </a:graphicData>
            </a:graphic>
          </wp:anchor>
        </w:drawing>
      </w:r>
    </w:p>
    <w:p>
      <w:pPr>
        <w:spacing w:after="0"/>
        <w:rPr>
          <w:sz w:val="27"/>
        </w:rPr>
        <w:sectPr>
          <w:pgSz w:w="9640" w:h="12190"/>
          <w:pgMar w:header="0" w:footer="743" w:top="1120" w:bottom="940" w:left="740" w:right="740"/>
        </w:sectPr>
      </w:pPr>
    </w:p>
    <w:p>
      <w:pPr>
        <w:spacing w:before="27"/>
        <w:ind w:left="1921" w:right="574" w:firstLine="0"/>
        <w:jc w:val="left"/>
        <w:rPr>
          <w:b/>
          <w:sz w:val="22"/>
        </w:rPr>
      </w:pPr>
      <w:r>
        <w:rPr>
          <w:b/>
          <w:color w:val="231F20"/>
          <w:w w:val="105"/>
          <w:sz w:val="22"/>
        </w:rPr>
        <w:t>Mapa 2. Ubicación geográfica y colindancias</w:t>
      </w:r>
    </w:p>
    <w:p>
      <w:pPr>
        <w:pStyle w:val="BodyText"/>
        <w:spacing w:before="7"/>
        <w:rPr>
          <w:b/>
          <w:sz w:val="16"/>
        </w:rPr>
      </w:pPr>
      <w:r>
        <w:rPr/>
        <w:drawing>
          <wp:anchor distT="0" distB="0" distL="0" distR="0" allowOverlap="1" layoutInCell="1" locked="0" behindDoc="0" simplePos="0" relativeHeight="9568">
            <wp:simplePos x="0" y="0"/>
            <wp:positionH relativeFrom="page">
              <wp:posOffset>601600</wp:posOffset>
            </wp:positionH>
            <wp:positionV relativeFrom="paragraph">
              <wp:posOffset>146505</wp:posOffset>
            </wp:positionV>
            <wp:extent cx="4918329" cy="2188464"/>
            <wp:effectExtent l="0" t="0" r="0" b="0"/>
            <wp:wrapTopAndBottom/>
            <wp:docPr id="281" name="image530.jpeg" descr=""/>
            <wp:cNvGraphicFramePr>
              <a:graphicFrameLocks noChangeAspect="1"/>
            </wp:cNvGraphicFramePr>
            <a:graphic>
              <a:graphicData uri="http://schemas.openxmlformats.org/drawingml/2006/picture">
                <pic:pic>
                  <pic:nvPicPr>
                    <pic:cNvPr id="282" name="image530.jpeg"/>
                    <pic:cNvPicPr/>
                  </pic:nvPicPr>
                  <pic:blipFill>
                    <a:blip r:embed="rId591" cstate="print"/>
                    <a:stretch>
                      <a:fillRect/>
                    </a:stretch>
                  </pic:blipFill>
                  <pic:spPr>
                    <a:xfrm>
                      <a:off x="0" y="0"/>
                      <a:ext cx="4918329" cy="2188464"/>
                    </a:xfrm>
                    <a:prstGeom prst="rect">
                      <a:avLst/>
                    </a:prstGeom>
                  </pic:spPr>
                </pic:pic>
              </a:graphicData>
            </a:graphic>
          </wp:anchor>
        </w:drawing>
      </w:r>
    </w:p>
    <w:p>
      <w:pPr>
        <w:pStyle w:val="BodyText"/>
        <w:spacing w:before="11"/>
        <w:rPr>
          <w:b/>
          <w:sz w:val="32"/>
        </w:rPr>
      </w:pPr>
    </w:p>
    <w:p>
      <w:pPr>
        <w:pStyle w:val="BodyText"/>
        <w:spacing w:line="285" w:lineRule="auto"/>
        <w:ind w:left="110" w:right="107"/>
        <w:jc w:val="both"/>
      </w:pPr>
      <w:r>
        <w:rPr>
          <w:color w:val="231F20"/>
          <w:w w:val="105"/>
        </w:rPr>
        <w:t>Su distribución política es de ocho delegaciones, compuesto de ocho pueblos, en los cuales se asientan 17 barrios, 18 ejidos, 15 colonias, 6 fraccionamientos, 1 unidad ha- bitacional y 2 reservas naturales (mapa 3). Ahí viven 67,724 personas. Su territorio es principalmente rural con un 91.1% de territorio municipal y el 8.9% es urbano en una extensión de 208.83 km</w:t>
      </w:r>
      <w:r>
        <w:rPr>
          <w:color w:val="231F20"/>
          <w:w w:val="105"/>
          <w:position w:val="7"/>
          <w:sz w:val="13"/>
        </w:rPr>
        <w:t>2</w:t>
      </w:r>
      <w:r>
        <w:rPr>
          <w:color w:val="231F20"/>
          <w:w w:val="105"/>
        </w:rPr>
        <w:t>.</w:t>
      </w:r>
      <w:r>
        <w:rPr>
          <w:color w:val="231F20"/>
          <w:w w:val="105"/>
          <w:position w:val="7"/>
          <w:sz w:val="13"/>
        </w:rPr>
        <w:t>1</w:t>
      </w:r>
      <w:r>
        <w:rPr>
          <w:color w:val="231F20"/>
          <w:w w:val="105"/>
        </w:rPr>
        <w:t>, con una densidad de población de 392 habitantes por kiló- metro cuadrado. 39,374 personas viven en un ámbito urbano, 28,350 en una zona no urbana, 1,643 en zonas mixtas con y 8,707 habitantes en zonas rurales.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9592;mso-wrap-distance-left:0;mso-wrap-distance-right:0" from="42.519699pt,10.307757pt" to="114.519699pt,10.307757pt" stroked="true" strokeweight="1pt" strokecolor="#231f20">
            <w10:wrap type="topAndBottom"/>
          </v:line>
        </w:pict>
      </w:r>
    </w:p>
    <w:p>
      <w:pPr>
        <w:pStyle w:val="ListParagraph"/>
        <w:numPr>
          <w:ilvl w:val="0"/>
          <w:numId w:val="12"/>
        </w:numPr>
        <w:tabs>
          <w:tab w:pos="298" w:val="left" w:leader="none"/>
        </w:tabs>
        <w:spacing w:line="244" w:lineRule="auto" w:before="8" w:after="0"/>
        <w:ind w:left="110" w:right="107" w:firstLine="0"/>
        <w:jc w:val="left"/>
        <w:rPr>
          <w:sz w:val="16"/>
        </w:rPr>
      </w:pPr>
      <w:r>
        <w:rPr>
          <w:color w:val="231F20"/>
          <w:sz w:val="16"/>
        </w:rPr>
        <w:t>Instituto de Información e Investigación Geográfica Estadística y Catastral del Estado de México (IGECEM): Estadística </w:t>
      </w:r>
      <w:r>
        <w:rPr>
          <w:color w:val="231F20"/>
          <w:w w:val="95"/>
          <w:sz w:val="16"/>
        </w:rPr>
        <w:t>Básica Municipal,</w:t>
      </w:r>
      <w:r>
        <w:rPr>
          <w:color w:val="231F20"/>
          <w:spacing w:val="12"/>
          <w:w w:val="95"/>
          <w:sz w:val="16"/>
        </w:rPr>
        <w:t> </w:t>
      </w:r>
      <w:r>
        <w:rPr>
          <w:color w:val="231F20"/>
          <w:w w:val="95"/>
          <w:sz w:val="16"/>
        </w:rPr>
        <w:t>2004.</w:t>
      </w:r>
    </w:p>
    <w:p>
      <w:pPr>
        <w:spacing w:after="0" w:line="244" w:lineRule="auto"/>
        <w:jc w:val="left"/>
        <w:rPr>
          <w:sz w:val="16"/>
        </w:rPr>
        <w:sectPr>
          <w:pgSz w:w="9640" w:h="12190"/>
          <w:pgMar w:header="0" w:footer="743" w:top="1120" w:bottom="940" w:left="740" w:right="740"/>
        </w:sectPr>
      </w:pPr>
    </w:p>
    <w:p>
      <w:pPr>
        <w:pStyle w:val="Heading5"/>
        <w:spacing w:before="27"/>
        <w:ind w:left="144" w:right="125"/>
        <w:jc w:val="center"/>
      </w:pPr>
      <w:r>
        <w:rPr>
          <w:color w:val="231F20"/>
          <w:w w:val="105"/>
        </w:rPr>
        <w:t>Mapa 3. División administrativa del municipio</w:t>
      </w:r>
    </w:p>
    <w:p>
      <w:pPr>
        <w:pStyle w:val="BodyText"/>
        <w:rPr>
          <w:b/>
          <w:sz w:val="20"/>
        </w:rPr>
      </w:pPr>
    </w:p>
    <w:p>
      <w:pPr>
        <w:pStyle w:val="BodyText"/>
        <w:spacing w:before="7"/>
        <w:rPr>
          <w:b/>
          <w:sz w:val="12"/>
        </w:rPr>
      </w:pPr>
      <w:r>
        <w:rPr/>
        <w:drawing>
          <wp:anchor distT="0" distB="0" distL="0" distR="0" allowOverlap="1" layoutInCell="1" locked="0" behindDoc="0" simplePos="0" relativeHeight="9616">
            <wp:simplePos x="0" y="0"/>
            <wp:positionH relativeFrom="page">
              <wp:posOffset>532803</wp:posOffset>
            </wp:positionH>
            <wp:positionV relativeFrom="paragraph">
              <wp:posOffset>117076</wp:posOffset>
            </wp:positionV>
            <wp:extent cx="5057753" cy="3157728"/>
            <wp:effectExtent l="0" t="0" r="0" b="0"/>
            <wp:wrapTopAndBottom/>
            <wp:docPr id="283" name="image531.jpeg" descr=""/>
            <wp:cNvGraphicFramePr>
              <a:graphicFrameLocks noChangeAspect="1"/>
            </wp:cNvGraphicFramePr>
            <a:graphic>
              <a:graphicData uri="http://schemas.openxmlformats.org/drawingml/2006/picture">
                <pic:pic>
                  <pic:nvPicPr>
                    <pic:cNvPr id="284" name="image531.jpeg"/>
                    <pic:cNvPicPr/>
                  </pic:nvPicPr>
                  <pic:blipFill>
                    <a:blip r:embed="rId592" cstate="print"/>
                    <a:stretch>
                      <a:fillRect/>
                    </a:stretch>
                  </pic:blipFill>
                  <pic:spPr>
                    <a:xfrm>
                      <a:off x="0" y="0"/>
                      <a:ext cx="5057753" cy="3157728"/>
                    </a:xfrm>
                    <a:prstGeom prst="rect">
                      <a:avLst/>
                    </a:prstGeom>
                  </pic:spPr>
                </pic:pic>
              </a:graphicData>
            </a:graphic>
          </wp:anchor>
        </w:drawing>
      </w:r>
    </w:p>
    <w:p>
      <w:pPr>
        <w:pStyle w:val="BodyText"/>
        <w:spacing w:before="3"/>
        <w:rPr>
          <w:b/>
          <w:sz w:val="19"/>
        </w:rPr>
      </w:pPr>
    </w:p>
    <w:p>
      <w:pPr>
        <w:spacing w:before="0"/>
        <w:ind w:left="5010" w:right="-3" w:firstLine="0"/>
        <w:jc w:val="left"/>
        <w:rPr>
          <w:rFonts w:ascii="Calibri"/>
          <w:sz w:val="16"/>
        </w:rPr>
      </w:pPr>
      <w:r>
        <w:rPr>
          <w:rFonts w:ascii="Calibri"/>
          <w:color w:val="231F20"/>
          <w:sz w:val="16"/>
        </w:rPr>
        <w:t>Fuente: Plan de Desarrollo Municipal 2006-2009</w:t>
      </w:r>
    </w:p>
    <w:p>
      <w:pPr>
        <w:pStyle w:val="BodyText"/>
        <w:rPr>
          <w:rFonts w:ascii="Calibri"/>
          <w:sz w:val="16"/>
        </w:rPr>
      </w:pPr>
    </w:p>
    <w:p>
      <w:pPr>
        <w:pStyle w:val="BodyText"/>
        <w:spacing w:before="9"/>
        <w:rPr>
          <w:rFonts w:ascii="Calibri"/>
          <w:sz w:val="12"/>
        </w:rPr>
      </w:pPr>
    </w:p>
    <w:p>
      <w:pPr>
        <w:pStyle w:val="BodyText"/>
        <w:spacing w:line="285" w:lineRule="auto" w:before="1"/>
        <w:ind w:left="130" w:right="107"/>
        <w:jc w:val="both"/>
      </w:pPr>
      <w:r>
        <w:rPr>
          <w:color w:val="231F20"/>
          <w:w w:val="105"/>
        </w:rPr>
        <w:t>La</w:t>
      </w:r>
      <w:r>
        <w:rPr>
          <w:color w:val="231F20"/>
          <w:spacing w:val="-21"/>
          <w:w w:val="105"/>
        </w:rPr>
        <w:t> </w:t>
      </w:r>
      <w:r>
        <w:rPr>
          <w:color w:val="231F20"/>
          <w:w w:val="105"/>
        </w:rPr>
        <w:t>temperatura</w:t>
      </w:r>
      <w:r>
        <w:rPr>
          <w:color w:val="231F20"/>
          <w:spacing w:val="-21"/>
          <w:w w:val="105"/>
        </w:rPr>
        <w:t> </w:t>
      </w:r>
      <w:r>
        <w:rPr>
          <w:color w:val="231F20"/>
          <w:w w:val="105"/>
        </w:rPr>
        <w:t>media</w:t>
      </w:r>
      <w:r>
        <w:rPr>
          <w:color w:val="231F20"/>
          <w:spacing w:val="-21"/>
          <w:w w:val="105"/>
        </w:rPr>
        <w:t> </w:t>
      </w:r>
      <w:r>
        <w:rPr>
          <w:color w:val="231F20"/>
          <w:w w:val="105"/>
        </w:rPr>
        <w:t>oscila</w:t>
      </w:r>
      <w:r>
        <w:rPr>
          <w:color w:val="231F20"/>
          <w:spacing w:val="-21"/>
          <w:w w:val="105"/>
        </w:rPr>
        <w:t> </w:t>
      </w:r>
      <w:r>
        <w:rPr>
          <w:color w:val="231F20"/>
          <w:w w:val="105"/>
        </w:rPr>
        <w:t>entre</w:t>
      </w:r>
      <w:r>
        <w:rPr>
          <w:color w:val="231F20"/>
          <w:spacing w:val="-21"/>
          <w:w w:val="105"/>
        </w:rPr>
        <w:t> </w:t>
      </w:r>
      <w:r>
        <w:rPr>
          <w:color w:val="231F20"/>
          <w:w w:val="105"/>
        </w:rPr>
        <w:t>-3°</w:t>
      </w:r>
      <w:r>
        <w:rPr>
          <w:color w:val="231F20"/>
          <w:spacing w:val="-21"/>
          <w:w w:val="105"/>
        </w:rPr>
        <w:t> </w:t>
      </w:r>
      <w:r>
        <w:rPr>
          <w:color w:val="231F20"/>
          <w:w w:val="105"/>
        </w:rPr>
        <w:t>y</w:t>
      </w:r>
      <w:r>
        <w:rPr>
          <w:color w:val="231F20"/>
          <w:spacing w:val="-21"/>
          <w:w w:val="105"/>
        </w:rPr>
        <w:t> </w:t>
      </w:r>
      <w:r>
        <w:rPr>
          <w:color w:val="231F20"/>
          <w:spacing w:val="-2"/>
          <w:w w:val="105"/>
        </w:rPr>
        <w:t>18°</w:t>
      </w:r>
      <w:r>
        <w:rPr>
          <w:color w:val="231F20"/>
          <w:spacing w:val="-21"/>
          <w:w w:val="105"/>
        </w:rPr>
        <w:t> </w:t>
      </w:r>
      <w:r>
        <w:rPr>
          <w:color w:val="231F20"/>
          <w:w w:val="105"/>
        </w:rPr>
        <w:t>C,</w:t>
      </w:r>
      <w:r>
        <w:rPr>
          <w:color w:val="231F20"/>
          <w:spacing w:val="-21"/>
          <w:w w:val="105"/>
        </w:rPr>
        <w:t> </w:t>
      </w:r>
      <w:r>
        <w:rPr>
          <w:color w:val="231F20"/>
          <w:w w:val="105"/>
        </w:rPr>
        <w:t>acorde</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temporada</w:t>
      </w:r>
      <w:r>
        <w:rPr>
          <w:color w:val="231F20"/>
          <w:spacing w:val="-21"/>
          <w:w w:val="105"/>
        </w:rPr>
        <w:t> </w:t>
      </w:r>
      <w:r>
        <w:rPr>
          <w:color w:val="231F20"/>
          <w:w w:val="105"/>
        </w:rPr>
        <w:t>del</w:t>
      </w:r>
      <w:r>
        <w:rPr>
          <w:color w:val="231F20"/>
          <w:spacing w:val="-21"/>
          <w:w w:val="105"/>
        </w:rPr>
        <w:t> </w:t>
      </w:r>
      <w:r>
        <w:rPr>
          <w:color w:val="231F20"/>
          <w:w w:val="105"/>
        </w:rPr>
        <w:t>año.</w:t>
      </w:r>
      <w:r>
        <w:rPr>
          <w:color w:val="231F20"/>
          <w:spacing w:val="-21"/>
          <w:w w:val="105"/>
        </w:rPr>
        <w:t> </w:t>
      </w:r>
      <w:r>
        <w:rPr>
          <w:color w:val="231F20"/>
          <w:w w:val="105"/>
        </w:rPr>
        <w:t>Es</w:t>
      </w:r>
      <w:r>
        <w:rPr>
          <w:color w:val="231F20"/>
          <w:spacing w:val="-21"/>
          <w:w w:val="105"/>
        </w:rPr>
        <w:t> </w:t>
      </w:r>
      <w:r>
        <w:rPr>
          <w:color w:val="231F20"/>
          <w:w w:val="105"/>
        </w:rPr>
        <w:t>un</w:t>
      </w:r>
      <w:r>
        <w:rPr>
          <w:color w:val="231F20"/>
          <w:spacing w:val="-21"/>
          <w:w w:val="105"/>
        </w:rPr>
        <w:t> </w:t>
      </w:r>
      <w:r>
        <w:rPr>
          <w:color w:val="231F20"/>
          <w:w w:val="105"/>
        </w:rPr>
        <w:t>valle con</w:t>
      </w:r>
      <w:r>
        <w:rPr>
          <w:color w:val="231F20"/>
          <w:spacing w:val="-22"/>
          <w:w w:val="105"/>
        </w:rPr>
        <w:t> </w:t>
      </w:r>
      <w:r>
        <w:rPr>
          <w:color w:val="231F20"/>
          <w:w w:val="105"/>
        </w:rPr>
        <w:t>50.59%</w:t>
      </w:r>
      <w:r>
        <w:rPr>
          <w:color w:val="231F20"/>
          <w:spacing w:val="-22"/>
          <w:w w:val="105"/>
        </w:rPr>
        <w:t> </w:t>
      </w:r>
      <w:r>
        <w:rPr>
          <w:color w:val="231F20"/>
          <w:w w:val="105"/>
        </w:rPr>
        <w:t>de</w:t>
      </w:r>
      <w:r>
        <w:rPr>
          <w:color w:val="231F20"/>
          <w:spacing w:val="-22"/>
          <w:w w:val="105"/>
        </w:rPr>
        <w:t> </w:t>
      </w:r>
      <w:r>
        <w:rPr>
          <w:color w:val="231F20"/>
          <w:w w:val="105"/>
        </w:rPr>
        <w:t>su</w:t>
      </w:r>
      <w:r>
        <w:rPr>
          <w:color w:val="231F20"/>
          <w:spacing w:val="-22"/>
          <w:w w:val="105"/>
        </w:rPr>
        <w:t> </w:t>
      </w:r>
      <w:r>
        <w:rPr>
          <w:color w:val="231F20"/>
          <w:w w:val="105"/>
        </w:rPr>
        <w:t>suelo</w:t>
      </w:r>
      <w:r>
        <w:rPr>
          <w:color w:val="231F20"/>
          <w:spacing w:val="-22"/>
          <w:w w:val="105"/>
        </w:rPr>
        <w:t> </w:t>
      </w:r>
      <w:r>
        <w:rPr>
          <w:color w:val="231F20"/>
          <w:w w:val="105"/>
        </w:rPr>
        <w:t>arcilloso</w:t>
      </w:r>
      <w:r>
        <w:rPr>
          <w:color w:val="231F20"/>
          <w:spacing w:val="-22"/>
          <w:w w:val="105"/>
        </w:rPr>
        <w:t> </w:t>
      </w:r>
      <w:r>
        <w:rPr>
          <w:color w:val="231F20"/>
          <w:w w:val="105"/>
        </w:rPr>
        <w:t>que</w:t>
      </w:r>
      <w:r>
        <w:rPr>
          <w:color w:val="231F20"/>
          <w:spacing w:val="-22"/>
          <w:w w:val="105"/>
        </w:rPr>
        <w:t> </w:t>
      </w:r>
      <w:r>
        <w:rPr>
          <w:color w:val="231F20"/>
          <w:w w:val="105"/>
        </w:rPr>
        <w:t>va</w:t>
      </w:r>
      <w:r>
        <w:rPr>
          <w:color w:val="231F20"/>
          <w:spacing w:val="-22"/>
          <w:w w:val="105"/>
        </w:rPr>
        <w:t> </w:t>
      </w:r>
      <w:r>
        <w:rPr>
          <w:color w:val="231F20"/>
          <w:w w:val="105"/>
        </w:rPr>
        <w:t>de</w:t>
      </w:r>
      <w:r>
        <w:rPr>
          <w:color w:val="231F20"/>
          <w:spacing w:val="-22"/>
          <w:w w:val="105"/>
        </w:rPr>
        <w:t> </w:t>
      </w:r>
      <w:r>
        <w:rPr>
          <w:color w:val="231F20"/>
          <w:w w:val="105"/>
        </w:rPr>
        <w:t>lo</w:t>
      </w:r>
      <w:r>
        <w:rPr>
          <w:color w:val="231F20"/>
          <w:spacing w:val="-22"/>
          <w:w w:val="105"/>
        </w:rPr>
        <w:t> </w:t>
      </w:r>
      <w:r>
        <w:rPr>
          <w:color w:val="231F20"/>
          <w:w w:val="105"/>
        </w:rPr>
        <w:t>semiárido</w:t>
      </w:r>
      <w:r>
        <w:rPr>
          <w:color w:val="231F20"/>
          <w:spacing w:val="-22"/>
          <w:w w:val="105"/>
        </w:rPr>
        <w:t> </w:t>
      </w:r>
      <w:r>
        <w:rPr>
          <w:color w:val="231F20"/>
          <w:w w:val="105"/>
        </w:rPr>
        <w:t>a</w:t>
      </w:r>
      <w:r>
        <w:rPr>
          <w:color w:val="231F20"/>
          <w:spacing w:val="-22"/>
          <w:w w:val="105"/>
        </w:rPr>
        <w:t> </w:t>
      </w:r>
      <w:r>
        <w:rPr>
          <w:color w:val="231F20"/>
          <w:w w:val="105"/>
        </w:rPr>
        <w:t>subhúmedo</w:t>
      </w:r>
      <w:r>
        <w:rPr>
          <w:color w:val="231F20"/>
          <w:spacing w:val="-22"/>
          <w:w w:val="105"/>
        </w:rPr>
        <w:t> </w:t>
      </w:r>
      <w:r>
        <w:rPr>
          <w:color w:val="231F20"/>
          <w:w w:val="105"/>
        </w:rPr>
        <w:t>ya</w:t>
      </w:r>
      <w:r>
        <w:rPr>
          <w:color w:val="231F20"/>
          <w:spacing w:val="-22"/>
          <w:w w:val="105"/>
        </w:rPr>
        <w:t> </w:t>
      </w:r>
      <w:r>
        <w:rPr>
          <w:color w:val="231F20"/>
          <w:w w:val="105"/>
        </w:rPr>
        <w:t>que</w:t>
      </w:r>
      <w:r>
        <w:rPr>
          <w:color w:val="231F20"/>
          <w:spacing w:val="-22"/>
          <w:w w:val="105"/>
        </w:rPr>
        <w:t> </w:t>
      </w:r>
      <w:r>
        <w:rPr>
          <w:color w:val="231F20"/>
          <w:w w:val="105"/>
        </w:rPr>
        <w:t>genera</w:t>
      </w:r>
      <w:r>
        <w:rPr>
          <w:color w:val="231F20"/>
          <w:spacing w:val="-22"/>
          <w:w w:val="105"/>
        </w:rPr>
        <w:t> </w:t>
      </w:r>
      <w:r>
        <w:rPr>
          <w:color w:val="231F20"/>
          <w:w w:val="105"/>
        </w:rPr>
        <w:t>pro- fundas</w:t>
      </w:r>
      <w:r>
        <w:rPr>
          <w:color w:val="231F20"/>
          <w:spacing w:val="-19"/>
          <w:w w:val="105"/>
        </w:rPr>
        <w:t> </w:t>
      </w:r>
      <w:r>
        <w:rPr>
          <w:color w:val="231F20"/>
          <w:w w:val="105"/>
        </w:rPr>
        <w:t>grietas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estación</w:t>
      </w:r>
      <w:r>
        <w:rPr>
          <w:color w:val="231F20"/>
          <w:spacing w:val="-19"/>
          <w:w w:val="105"/>
        </w:rPr>
        <w:t> </w:t>
      </w:r>
      <w:r>
        <w:rPr>
          <w:color w:val="231F20"/>
          <w:w w:val="105"/>
        </w:rPr>
        <w:t>seca</w:t>
      </w:r>
      <w:r>
        <w:rPr>
          <w:color w:val="231F20"/>
          <w:spacing w:val="-19"/>
          <w:w w:val="105"/>
        </w:rPr>
        <w:t> </w:t>
      </w:r>
      <w:r>
        <w:rPr>
          <w:color w:val="231F20"/>
          <w:w w:val="105"/>
        </w:rPr>
        <w:t>y</w:t>
      </w:r>
      <w:r>
        <w:rPr>
          <w:color w:val="231F20"/>
          <w:spacing w:val="-19"/>
          <w:w w:val="105"/>
        </w:rPr>
        <w:t> </w:t>
      </w:r>
      <w:r>
        <w:rPr>
          <w:color w:val="231F20"/>
          <w:w w:val="105"/>
        </w:rPr>
        <w:t>es</w:t>
      </w:r>
      <w:r>
        <w:rPr>
          <w:color w:val="231F20"/>
          <w:spacing w:val="-19"/>
          <w:w w:val="105"/>
        </w:rPr>
        <w:t> </w:t>
      </w:r>
      <w:r>
        <w:rPr>
          <w:color w:val="231F20"/>
          <w:w w:val="105"/>
        </w:rPr>
        <w:t>muy</w:t>
      </w:r>
      <w:r>
        <w:rPr>
          <w:color w:val="231F20"/>
          <w:spacing w:val="-19"/>
          <w:w w:val="105"/>
        </w:rPr>
        <w:t> </w:t>
      </w:r>
      <w:r>
        <w:rPr>
          <w:color w:val="231F20"/>
          <w:w w:val="105"/>
        </w:rPr>
        <w:t>plástico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húmeda,</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lo</w:t>
      </w:r>
      <w:r>
        <w:rPr>
          <w:color w:val="231F20"/>
          <w:spacing w:val="-19"/>
          <w:w w:val="105"/>
        </w:rPr>
        <w:t> </w:t>
      </w:r>
      <w:r>
        <w:rPr>
          <w:color w:val="231F20"/>
          <w:w w:val="105"/>
        </w:rPr>
        <w:t>vuelve</w:t>
      </w:r>
      <w:r>
        <w:rPr>
          <w:color w:val="231F20"/>
          <w:spacing w:val="-19"/>
          <w:w w:val="105"/>
        </w:rPr>
        <w:t> </w:t>
      </w:r>
      <w:r>
        <w:rPr>
          <w:color w:val="231F20"/>
          <w:w w:val="105"/>
        </w:rPr>
        <w:t>difícil de ser labrado, excepto en los cortos periodos de transición entre ambas estaciones. Asimismo,</w:t>
      </w:r>
      <w:r>
        <w:rPr>
          <w:color w:val="231F20"/>
          <w:spacing w:val="-20"/>
          <w:w w:val="105"/>
        </w:rPr>
        <w:t> </w:t>
      </w:r>
      <w:r>
        <w:rPr>
          <w:color w:val="231F20"/>
          <w:w w:val="105"/>
        </w:rPr>
        <w:t>el</w:t>
      </w:r>
      <w:r>
        <w:rPr>
          <w:color w:val="231F20"/>
          <w:spacing w:val="-20"/>
          <w:w w:val="105"/>
        </w:rPr>
        <w:t> </w:t>
      </w:r>
      <w:r>
        <w:rPr>
          <w:color w:val="231F20"/>
          <w:w w:val="105"/>
        </w:rPr>
        <w:t>45.34%</w:t>
      </w:r>
      <w:r>
        <w:rPr>
          <w:color w:val="231F20"/>
          <w:spacing w:val="-20"/>
          <w:w w:val="105"/>
        </w:rPr>
        <w:t> </w:t>
      </w:r>
      <w:r>
        <w:rPr>
          <w:color w:val="231F20"/>
          <w:w w:val="105"/>
        </w:rPr>
        <w:t>del</w:t>
      </w:r>
      <w:r>
        <w:rPr>
          <w:color w:val="231F20"/>
          <w:spacing w:val="-20"/>
          <w:w w:val="105"/>
        </w:rPr>
        <w:t> </w:t>
      </w:r>
      <w:r>
        <w:rPr>
          <w:color w:val="231F20"/>
          <w:w w:val="105"/>
        </w:rPr>
        <w:t>suelo</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ubica</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parte</w:t>
      </w:r>
      <w:r>
        <w:rPr>
          <w:color w:val="231F20"/>
          <w:spacing w:val="-20"/>
          <w:w w:val="105"/>
        </w:rPr>
        <w:t> </w:t>
      </w:r>
      <w:r>
        <w:rPr>
          <w:color w:val="231F20"/>
          <w:w w:val="105"/>
        </w:rPr>
        <w:t>alta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sierra</w:t>
      </w:r>
      <w:r>
        <w:rPr>
          <w:color w:val="231F20"/>
          <w:spacing w:val="-20"/>
          <w:w w:val="105"/>
        </w:rPr>
        <w:t> </w:t>
      </w:r>
      <w:r>
        <w:rPr>
          <w:color w:val="231F20"/>
          <w:w w:val="105"/>
        </w:rPr>
        <w:t>de</w:t>
      </w:r>
      <w:r>
        <w:rPr>
          <w:color w:val="231F20"/>
          <w:spacing w:val="-20"/>
          <w:w w:val="105"/>
        </w:rPr>
        <w:t> </w:t>
      </w:r>
      <w:r>
        <w:rPr>
          <w:color w:val="231F20"/>
          <w:w w:val="105"/>
        </w:rPr>
        <w:t>Tepotzotlán</w:t>
      </w:r>
      <w:r>
        <w:rPr>
          <w:color w:val="231F20"/>
          <w:spacing w:val="-20"/>
          <w:w w:val="105"/>
        </w:rPr>
        <w:t> </w:t>
      </w:r>
      <w:r>
        <w:rPr>
          <w:color w:val="231F20"/>
          <w:w w:val="105"/>
        </w:rPr>
        <w:t>es fértil,</w:t>
      </w:r>
      <w:r>
        <w:rPr>
          <w:color w:val="231F20"/>
          <w:spacing w:val="-14"/>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tierra</w:t>
      </w:r>
      <w:r>
        <w:rPr>
          <w:color w:val="231F20"/>
          <w:spacing w:val="-14"/>
          <w:w w:val="105"/>
        </w:rPr>
        <w:t> </w:t>
      </w:r>
      <w:r>
        <w:rPr>
          <w:color w:val="231F20"/>
          <w:w w:val="105"/>
        </w:rPr>
        <w:t>negra</w:t>
      </w:r>
      <w:r>
        <w:rPr>
          <w:color w:val="231F20"/>
          <w:spacing w:val="-14"/>
          <w:w w:val="105"/>
        </w:rPr>
        <w:t> </w:t>
      </w:r>
      <w:r>
        <w:rPr>
          <w:color w:val="231F20"/>
          <w:w w:val="105"/>
        </w:rPr>
        <w:t>suele</w:t>
      </w:r>
      <w:r>
        <w:rPr>
          <w:color w:val="231F20"/>
          <w:spacing w:val="-14"/>
          <w:w w:val="105"/>
        </w:rPr>
        <w:t> </w:t>
      </w:r>
      <w:r>
        <w:rPr>
          <w:color w:val="231F20"/>
          <w:w w:val="105"/>
        </w:rPr>
        <w:t>ser</w:t>
      </w:r>
      <w:r>
        <w:rPr>
          <w:color w:val="231F20"/>
          <w:spacing w:val="-14"/>
          <w:w w:val="105"/>
        </w:rPr>
        <w:t> </w:t>
      </w:r>
      <w:r>
        <w:rPr>
          <w:color w:val="231F20"/>
          <w:w w:val="105"/>
        </w:rPr>
        <w:t>productiva,</w:t>
      </w:r>
      <w:r>
        <w:rPr>
          <w:color w:val="231F20"/>
          <w:spacing w:val="-14"/>
          <w:w w:val="105"/>
        </w:rPr>
        <w:t> </w:t>
      </w:r>
      <w:r>
        <w:rPr>
          <w:color w:val="231F20"/>
          <w:w w:val="105"/>
        </w:rPr>
        <w:t>sin</w:t>
      </w:r>
      <w:r>
        <w:rPr>
          <w:color w:val="231F20"/>
          <w:spacing w:val="-14"/>
          <w:w w:val="105"/>
        </w:rPr>
        <w:t> </w:t>
      </w:r>
      <w:r>
        <w:rPr>
          <w:color w:val="231F20"/>
          <w:w w:val="105"/>
        </w:rPr>
        <w:t>embargo,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su</w:t>
      </w:r>
      <w:r>
        <w:rPr>
          <w:color w:val="231F20"/>
          <w:spacing w:val="-14"/>
          <w:w w:val="105"/>
        </w:rPr>
        <w:t> </w:t>
      </w:r>
      <w:r>
        <w:rPr>
          <w:color w:val="231F20"/>
          <w:w w:val="105"/>
        </w:rPr>
        <w:t>uso</w:t>
      </w:r>
      <w:r>
        <w:rPr>
          <w:color w:val="231F20"/>
          <w:spacing w:val="-14"/>
          <w:w w:val="105"/>
        </w:rPr>
        <w:t> </w:t>
      </w:r>
      <w:r>
        <w:rPr>
          <w:color w:val="231F20"/>
          <w:w w:val="105"/>
        </w:rPr>
        <w:t>se ha</w:t>
      </w:r>
      <w:r>
        <w:rPr>
          <w:color w:val="231F20"/>
          <w:spacing w:val="-14"/>
          <w:w w:val="105"/>
        </w:rPr>
        <w:t> </w:t>
      </w:r>
      <w:r>
        <w:rPr>
          <w:color w:val="231F20"/>
          <w:w w:val="105"/>
        </w:rPr>
        <w:t>limitado</w:t>
      </w:r>
      <w:r>
        <w:rPr>
          <w:color w:val="231F20"/>
          <w:spacing w:val="-14"/>
          <w:w w:val="105"/>
        </w:rPr>
        <w:t> </w:t>
      </w:r>
      <w:r>
        <w:rPr>
          <w:color w:val="231F20"/>
          <w:w w:val="105"/>
        </w:rPr>
        <w:t>por</w:t>
      </w:r>
      <w:r>
        <w:rPr>
          <w:color w:val="231F20"/>
          <w:spacing w:val="-14"/>
          <w:w w:val="105"/>
        </w:rPr>
        <w:t> </w:t>
      </w:r>
      <w:r>
        <w:rPr>
          <w:color w:val="231F20"/>
          <w:w w:val="105"/>
        </w:rPr>
        <w:t>mala</w:t>
      </w:r>
      <w:r>
        <w:rPr>
          <w:color w:val="231F20"/>
          <w:spacing w:val="-14"/>
          <w:w w:val="105"/>
        </w:rPr>
        <w:t> </w:t>
      </w:r>
      <w:r>
        <w:rPr>
          <w:color w:val="231F20"/>
          <w:w w:val="105"/>
        </w:rPr>
        <w:t>o</w:t>
      </w:r>
      <w:r>
        <w:rPr>
          <w:color w:val="231F20"/>
          <w:spacing w:val="-14"/>
          <w:w w:val="105"/>
        </w:rPr>
        <w:t> </w:t>
      </w:r>
      <w:r>
        <w:rPr>
          <w:color w:val="231F20"/>
          <w:w w:val="105"/>
        </w:rPr>
        <w:t>nula</w:t>
      </w:r>
      <w:r>
        <w:rPr>
          <w:color w:val="231F20"/>
          <w:spacing w:val="-14"/>
          <w:w w:val="105"/>
        </w:rPr>
        <w:t> </w:t>
      </w:r>
      <w:r>
        <w:rPr>
          <w:color w:val="231F20"/>
          <w:w w:val="105"/>
        </w:rPr>
        <w:t>tecnología,</w:t>
      </w:r>
      <w:r>
        <w:rPr>
          <w:color w:val="231F20"/>
          <w:spacing w:val="-14"/>
          <w:w w:val="105"/>
        </w:rPr>
        <w:t> </w:t>
      </w:r>
      <w:r>
        <w:rPr>
          <w:color w:val="231F20"/>
          <w:w w:val="105"/>
        </w:rPr>
        <w:t>las</w:t>
      </w:r>
      <w:r>
        <w:rPr>
          <w:color w:val="231F20"/>
          <w:spacing w:val="-14"/>
          <w:w w:val="105"/>
        </w:rPr>
        <w:t> </w:t>
      </w:r>
      <w:r>
        <w:rPr>
          <w:color w:val="231F20"/>
          <w:w w:val="105"/>
        </w:rPr>
        <w:t>inundaciones</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erosión.</w:t>
      </w:r>
    </w:p>
    <w:p>
      <w:pPr>
        <w:pStyle w:val="BodyText"/>
        <w:spacing w:before="1"/>
        <w:rPr>
          <w:sz w:val="26"/>
        </w:rPr>
      </w:pPr>
    </w:p>
    <w:p>
      <w:pPr>
        <w:pStyle w:val="BodyText"/>
        <w:spacing w:line="285" w:lineRule="auto"/>
        <w:ind w:left="130" w:right="108"/>
        <w:jc w:val="both"/>
      </w:pPr>
      <w:r>
        <w:rPr>
          <w:color w:val="231F20"/>
          <w:w w:val="105"/>
        </w:rPr>
        <w:t>Su</w:t>
      </w:r>
      <w:r>
        <w:rPr>
          <w:color w:val="231F20"/>
          <w:spacing w:val="-12"/>
          <w:w w:val="105"/>
        </w:rPr>
        <w:t> </w:t>
      </w:r>
      <w:r>
        <w:rPr>
          <w:color w:val="231F20"/>
          <w:w w:val="105"/>
        </w:rPr>
        <w:t>fuente</w:t>
      </w:r>
      <w:r>
        <w:rPr>
          <w:color w:val="231F20"/>
          <w:spacing w:val="-12"/>
          <w:w w:val="105"/>
        </w:rPr>
        <w:t> </w:t>
      </w:r>
      <w:r>
        <w:rPr>
          <w:color w:val="231F20"/>
          <w:w w:val="105"/>
        </w:rPr>
        <w:t>de</w:t>
      </w:r>
      <w:r>
        <w:rPr>
          <w:color w:val="231F20"/>
          <w:spacing w:val="-12"/>
          <w:w w:val="105"/>
        </w:rPr>
        <w:t> </w:t>
      </w:r>
      <w:r>
        <w:rPr>
          <w:color w:val="231F20"/>
          <w:w w:val="105"/>
        </w:rPr>
        <w:t>abastecimiento</w:t>
      </w:r>
      <w:r>
        <w:rPr>
          <w:color w:val="231F20"/>
          <w:spacing w:val="-12"/>
          <w:w w:val="105"/>
        </w:rPr>
        <w:t> </w:t>
      </w:r>
      <w:r>
        <w:rPr>
          <w:color w:val="231F20"/>
          <w:w w:val="105"/>
        </w:rPr>
        <w:t>de</w:t>
      </w:r>
      <w:r>
        <w:rPr>
          <w:color w:val="231F20"/>
          <w:spacing w:val="-12"/>
          <w:w w:val="105"/>
        </w:rPr>
        <w:t> </w:t>
      </w:r>
      <w:r>
        <w:rPr>
          <w:color w:val="231F20"/>
          <w:w w:val="105"/>
        </w:rPr>
        <w:t>agua</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acuífero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Cuenca</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del</w:t>
      </w:r>
      <w:r>
        <w:rPr>
          <w:color w:val="231F20"/>
          <w:spacing w:val="-12"/>
          <w:w w:val="105"/>
        </w:rPr>
        <w:t> </w:t>
      </w:r>
      <w:r>
        <w:rPr>
          <w:color w:val="231F20"/>
          <w:w w:val="105"/>
        </w:rPr>
        <w:t>Panuco, que</w:t>
      </w:r>
      <w:r>
        <w:rPr>
          <w:color w:val="231F20"/>
          <w:spacing w:val="-15"/>
          <w:w w:val="105"/>
        </w:rPr>
        <w:t> </w:t>
      </w:r>
      <w:r>
        <w:rPr>
          <w:color w:val="231F20"/>
          <w:w w:val="105"/>
        </w:rPr>
        <w:t>aporta</w:t>
      </w:r>
      <w:r>
        <w:rPr>
          <w:color w:val="231F20"/>
          <w:spacing w:val="-15"/>
          <w:w w:val="105"/>
        </w:rPr>
        <w:t> </w:t>
      </w:r>
      <w:r>
        <w:rPr>
          <w:color w:val="231F20"/>
          <w:spacing w:val="2"/>
          <w:w w:val="105"/>
        </w:rPr>
        <w:t>500</w:t>
      </w:r>
      <w:r>
        <w:rPr>
          <w:color w:val="231F20"/>
          <w:spacing w:val="-15"/>
          <w:w w:val="105"/>
        </w:rPr>
        <w:t> </w:t>
      </w:r>
      <w:r>
        <w:rPr>
          <w:color w:val="231F20"/>
          <w:w w:val="105"/>
        </w:rPr>
        <w:t>millones</w:t>
      </w:r>
      <w:r>
        <w:rPr>
          <w:color w:val="231F20"/>
          <w:spacing w:val="-15"/>
          <w:w w:val="105"/>
        </w:rPr>
        <w:t> </w:t>
      </w:r>
      <w:r>
        <w:rPr>
          <w:color w:val="231F20"/>
          <w:w w:val="105"/>
        </w:rPr>
        <w:t>de</w:t>
      </w:r>
      <w:r>
        <w:rPr>
          <w:color w:val="231F20"/>
          <w:spacing w:val="-15"/>
          <w:w w:val="105"/>
        </w:rPr>
        <w:t> </w:t>
      </w:r>
      <w:r>
        <w:rPr>
          <w:color w:val="231F20"/>
          <w:spacing w:val="-5"/>
          <w:w w:val="105"/>
        </w:rPr>
        <w:t>m³</w:t>
      </w:r>
      <w:r>
        <w:rPr>
          <w:color w:val="231F20"/>
          <w:spacing w:val="-15"/>
          <w:w w:val="105"/>
        </w:rPr>
        <w:t> </w:t>
      </w:r>
      <w:r>
        <w:rPr>
          <w:color w:val="231F20"/>
          <w:w w:val="105"/>
        </w:rPr>
        <w:t>de</w:t>
      </w:r>
      <w:r>
        <w:rPr>
          <w:color w:val="231F20"/>
          <w:spacing w:val="-15"/>
          <w:w w:val="105"/>
        </w:rPr>
        <w:t> </w:t>
      </w:r>
      <w:r>
        <w:rPr>
          <w:color w:val="231F20"/>
          <w:w w:val="105"/>
        </w:rPr>
        <w:t>agua</w:t>
      </w:r>
      <w:r>
        <w:rPr>
          <w:color w:val="231F20"/>
          <w:spacing w:val="-15"/>
          <w:w w:val="105"/>
        </w:rPr>
        <w:t> </w:t>
      </w:r>
      <w:r>
        <w:rPr>
          <w:color w:val="231F20"/>
          <w:spacing w:val="2"/>
          <w:w w:val="105"/>
        </w:rPr>
        <w:t>al</w:t>
      </w:r>
      <w:r>
        <w:rPr>
          <w:color w:val="231F20"/>
          <w:spacing w:val="-15"/>
          <w:w w:val="105"/>
        </w:rPr>
        <w:t> </w:t>
      </w:r>
      <w:r>
        <w:rPr>
          <w:color w:val="231F20"/>
          <w:w w:val="105"/>
        </w:rPr>
        <w:t>operar</w:t>
      </w:r>
      <w:r>
        <w:rPr>
          <w:color w:val="231F20"/>
          <w:spacing w:val="-15"/>
          <w:w w:val="105"/>
        </w:rPr>
        <w:t> </w:t>
      </w:r>
      <w:r>
        <w:rPr>
          <w:color w:val="231F20"/>
          <w:w w:val="105"/>
        </w:rPr>
        <w:t>más</w:t>
      </w:r>
      <w:r>
        <w:rPr>
          <w:color w:val="231F20"/>
          <w:spacing w:val="-15"/>
          <w:w w:val="105"/>
        </w:rPr>
        <w:t> </w:t>
      </w:r>
      <w:r>
        <w:rPr>
          <w:color w:val="231F20"/>
          <w:w w:val="105"/>
        </w:rPr>
        <w:t>de</w:t>
      </w:r>
      <w:r>
        <w:rPr>
          <w:color w:val="231F20"/>
          <w:spacing w:val="-15"/>
          <w:w w:val="105"/>
        </w:rPr>
        <w:t> </w:t>
      </w:r>
      <w:r>
        <w:rPr>
          <w:color w:val="231F20"/>
          <w:w w:val="105"/>
        </w:rPr>
        <w:t>100</w:t>
      </w:r>
      <w:r>
        <w:rPr>
          <w:color w:val="231F20"/>
          <w:spacing w:val="-15"/>
          <w:w w:val="105"/>
        </w:rPr>
        <w:t> </w:t>
      </w:r>
      <w:r>
        <w:rPr>
          <w:color w:val="231F20"/>
          <w:w w:val="105"/>
        </w:rPr>
        <w:t>pozos.</w:t>
      </w:r>
      <w:r>
        <w:rPr>
          <w:color w:val="231F20"/>
          <w:spacing w:val="-15"/>
          <w:w w:val="105"/>
        </w:rPr>
        <w:t> </w:t>
      </w:r>
      <w:r>
        <w:rPr>
          <w:color w:val="231F20"/>
          <w:w w:val="105"/>
        </w:rPr>
        <w:t>Sin</w:t>
      </w:r>
      <w:r>
        <w:rPr>
          <w:color w:val="231F20"/>
          <w:spacing w:val="-15"/>
          <w:w w:val="105"/>
        </w:rPr>
        <w:t> </w:t>
      </w:r>
      <w:r>
        <w:rPr>
          <w:color w:val="231F20"/>
          <w:w w:val="105"/>
        </w:rPr>
        <w:t>embargo,</w:t>
      </w:r>
      <w:r>
        <w:rPr>
          <w:color w:val="231F20"/>
          <w:spacing w:val="-15"/>
          <w:w w:val="105"/>
        </w:rPr>
        <w:t> </w:t>
      </w:r>
      <w:r>
        <w:rPr>
          <w:color w:val="231F20"/>
          <w:w w:val="105"/>
        </w:rPr>
        <w:t>el</w:t>
      </w:r>
      <w:r>
        <w:rPr>
          <w:color w:val="231F20"/>
          <w:spacing w:val="-15"/>
          <w:w w:val="105"/>
        </w:rPr>
        <w:t> </w:t>
      </w:r>
      <w:r>
        <w:rPr>
          <w:color w:val="231F20"/>
          <w:w w:val="105"/>
        </w:rPr>
        <w:t>mo-</w:t>
      </w:r>
    </w:p>
    <w:p>
      <w:pPr>
        <w:spacing w:after="0" w:line="285" w:lineRule="auto"/>
        <w:jc w:val="both"/>
        <w:sectPr>
          <w:pgSz w:w="9640" w:h="12190"/>
          <w:pgMar w:header="0" w:footer="743" w:top="1120" w:bottom="940" w:left="720" w:right="740"/>
        </w:sectPr>
      </w:pPr>
    </w:p>
    <w:p>
      <w:pPr>
        <w:pStyle w:val="BodyText"/>
        <w:spacing w:before="3"/>
        <w:rPr>
          <w:sz w:val="11"/>
        </w:rPr>
      </w:pPr>
    </w:p>
    <w:p>
      <w:pPr>
        <w:pStyle w:val="BodyText"/>
        <w:spacing w:line="285" w:lineRule="auto" w:before="36"/>
        <w:ind w:left="110" w:right="107"/>
        <w:jc w:val="both"/>
      </w:pPr>
      <w:r>
        <w:rPr>
          <w:color w:val="231F20"/>
          <w:w w:val="105"/>
        </w:rPr>
        <w:t>vimiento,</w:t>
      </w:r>
      <w:r>
        <w:rPr>
          <w:color w:val="231F20"/>
          <w:spacing w:val="-11"/>
          <w:w w:val="105"/>
        </w:rPr>
        <w:t> </w:t>
      </w:r>
      <w:r>
        <w:rPr>
          <w:color w:val="231F20"/>
          <w:w w:val="105"/>
        </w:rPr>
        <w:t>la</w:t>
      </w:r>
      <w:r>
        <w:rPr>
          <w:color w:val="231F20"/>
          <w:spacing w:val="-11"/>
          <w:w w:val="105"/>
        </w:rPr>
        <w:t> </w:t>
      </w:r>
      <w:r>
        <w:rPr>
          <w:color w:val="231F20"/>
          <w:w w:val="105"/>
        </w:rPr>
        <w:t>distribución,</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calidad</w:t>
      </w:r>
      <w:r>
        <w:rPr>
          <w:color w:val="231F20"/>
          <w:spacing w:val="-11"/>
          <w:w w:val="105"/>
        </w:rPr>
        <w:t> </w:t>
      </w:r>
      <w:r>
        <w:rPr>
          <w:color w:val="231F20"/>
          <w:w w:val="105"/>
        </w:rPr>
        <w:t>de</w:t>
      </w:r>
      <w:r>
        <w:rPr>
          <w:color w:val="231F20"/>
          <w:spacing w:val="-11"/>
          <w:w w:val="105"/>
        </w:rPr>
        <w:t> </w:t>
      </w:r>
      <w:r>
        <w:rPr>
          <w:color w:val="231F20"/>
          <w:w w:val="105"/>
        </w:rPr>
        <w:t>agua</w:t>
      </w:r>
      <w:r>
        <w:rPr>
          <w:color w:val="231F20"/>
          <w:spacing w:val="-11"/>
          <w:w w:val="105"/>
        </w:rPr>
        <w:t> </w:t>
      </w:r>
      <w:r>
        <w:rPr>
          <w:color w:val="231F20"/>
          <w:w w:val="105"/>
        </w:rPr>
        <w:t>es</w:t>
      </w:r>
      <w:r>
        <w:rPr>
          <w:color w:val="231F20"/>
          <w:spacing w:val="-11"/>
          <w:w w:val="105"/>
        </w:rPr>
        <w:t> </w:t>
      </w:r>
      <w:r>
        <w:rPr>
          <w:color w:val="231F20"/>
          <w:w w:val="105"/>
        </w:rPr>
        <w:t>baja</w:t>
      </w:r>
      <w:r>
        <w:rPr>
          <w:color w:val="231F20"/>
          <w:spacing w:val="-11"/>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spacing w:val="2"/>
          <w:w w:val="105"/>
        </w:rPr>
        <w:t>al</w:t>
      </w:r>
      <w:r>
        <w:rPr>
          <w:color w:val="231F20"/>
          <w:spacing w:val="-11"/>
          <w:w w:val="105"/>
        </w:rPr>
        <w:t> </w:t>
      </w:r>
      <w:r>
        <w:rPr>
          <w:color w:val="231F20"/>
          <w:w w:val="105"/>
        </w:rPr>
        <w:t>requerirse</w:t>
      </w:r>
      <w:r>
        <w:rPr>
          <w:color w:val="231F20"/>
          <w:spacing w:val="-11"/>
          <w:w w:val="105"/>
        </w:rPr>
        <w:t> </w:t>
      </w:r>
      <w:r>
        <w:rPr>
          <w:color w:val="231F20"/>
          <w:w w:val="105"/>
        </w:rPr>
        <w:t>la</w:t>
      </w:r>
      <w:r>
        <w:rPr>
          <w:color w:val="231F20"/>
          <w:spacing w:val="-11"/>
          <w:w w:val="105"/>
        </w:rPr>
        <w:t> </w:t>
      </w:r>
      <w:r>
        <w:rPr>
          <w:color w:val="231F20"/>
          <w:w w:val="105"/>
        </w:rPr>
        <w:t>recarga</w:t>
      </w:r>
      <w:r>
        <w:rPr>
          <w:color w:val="231F20"/>
          <w:spacing w:val="-11"/>
          <w:w w:val="105"/>
        </w:rPr>
        <w:t> </w:t>
      </w:r>
      <w:r>
        <w:rPr>
          <w:color w:val="231F20"/>
          <w:w w:val="105"/>
        </w:rPr>
        <w:t>de los</w:t>
      </w:r>
      <w:r>
        <w:rPr>
          <w:color w:val="231F20"/>
          <w:spacing w:val="-13"/>
          <w:w w:val="105"/>
        </w:rPr>
        <w:t> </w:t>
      </w:r>
      <w:r>
        <w:rPr>
          <w:color w:val="231F20"/>
          <w:w w:val="105"/>
        </w:rPr>
        <w:t>acuíferos,</w:t>
      </w:r>
      <w:r>
        <w:rPr>
          <w:color w:val="231F20"/>
          <w:spacing w:val="-13"/>
          <w:w w:val="105"/>
        </w:rPr>
        <w:t> </w:t>
      </w:r>
      <w:r>
        <w:rPr>
          <w:color w:val="231F20"/>
          <w:w w:val="105"/>
        </w:rPr>
        <w:t>estos</w:t>
      </w:r>
      <w:r>
        <w:rPr>
          <w:color w:val="231F20"/>
          <w:spacing w:val="-13"/>
          <w:w w:val="105"/>
        </w:rPr>
        <w:t> </w:t>
      </w:r>
      <w:r>
        <w:rPr>
          <w:color w:val="231F20"/>
          <w:w w:val="105"/>
        </w:rPr>
        <w:t>lo</w:t>
      </w:r>
      <w:r>
        <w:rPr>
          <w:color w:val="231F20"/>
          <w:spacing w:val="-13"/>
          <w:w w:val="105"/>
        </w:rPr>
        <w:t> </w:t>
      </w:r>
      <w:r>
        <w:rPr>
          <w:color w:val="231F20"/>
          <w:w w:val="105"/>
        </w:rPr>
        <w:t>hacen</w:t>
      </w:r>
      <w:r>
        <w:rPr>
          <w:color w:val="231F20"/>
          <w:spacing w:val="-13"/>
          <w:w w:val="105"/>
        </w:rPr>
        <w:t> </w:t>
      </w:r>
      <w:r>
        <w:rPr>
          <w:color w:val="231F20"/>
          <w:w w:val="105"/>
        </w:rPr>
        <w:t>en</w:t>
      </w:r>
      <w:r>
        <w:rPr>
          <w:color w:val="231F20"/>
          <w:spacing w:val="-13"/>
          <w:w w:val="105"/>
        </w:rPr>
        <w:t> </w:t>
      </w:r>
      <w:r>
        <w:rPr>
          <w:color w:val="231F20"/>
          <w:w w:val="105"/>
        </w:rPr>
        <w:t>suelos</w:t>
      </w:r>
      <w:r>
        <w:rPr>
          <w:color w:val="231F20"/>
          <w:spacing w:val="-13"/>
          <w:w w:val="105"/>
        </w:rPr>
        <w:t> </w:t>
      </w:r>
      <w:r>
        <w:rPr>
          <w:color w:val="231F20"/>
          <w:spacing w:val="-3"/>
          <w:w w:val="105"/>
        </w:rPr>
        <w:t>donde</w:t>
      </w:r>
      <w:r>
        <w:rPr>
          <w:color w:val="231F20"/>
          <w:spacing w:val="-13"/>
          <w:w w:val="105"/>
        </w:rPr>
        <w:t> </w:t>
      </w:r>
      <w:r>
        <w:rPr>
          <w:color w:val="231F20"/>
          <w:spacing w:val="2"/>
          <w:w w:val="105"/>
        </w:rPr>
        <w:t>“la</w:t>
      </w:r>
      <w:r>
        <w:rPr>
          <w:color w:val="231F20"/>
          <w:spacing w:val="-13"/>
          <w:w w:val="105"/>
        </w:rPr>
        <w:t> </w:t>
      </w:r>
      <w:r>
        <w:rPr>
          <w:color w:val="231F20"/>
          <w:w w:val="105"/>
        </w:rPr>
        <w:t>mayoría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ríos</w:t>
      </w:r>
      <w:r>
        <w:rPr>
          <w:color w:val="231F20"/>
          <w:spacing w:val="-13"/>
          <w:w w:val="105"/>
        </w:rPr>
        <w:t> </w:t>
      </w:r>
      <w:r>
        <w:rPr>
          <w:color w:val="231F20"/>
          <w:w w:val="105"/>
        </w:rPr>
        <w:t>y</w:t>
      </w:r>
      <w:r>
        <w:rPr>
          <w:color w:val="231F20"/>
          <w:spacing w:val="-13"/>
          <w:w w:val="105"/>
        </w:rPr>
        <w:t> </w:t>
      </w:r>
      <w:r>
        <w:rPr>
          <w:color w:val="231F20"/>
          <w:w w:val="105"/>
        </w:rPr>
        <w:t>zanjas</w:t>
      </w:r>
      <w:r>
        <w:rPr>
          <w:color w:val="231F20"/>
          <w:spacing w:val="-13"/>
          <w:w w:val="105"/>
        </w:rPr>
        <w:t> </w:t>
      </w:r>
      <w:r>
        <w:rPr>
          <w:color w:val="231F20"/>
          <w:w w:val="105"/>
        </w:rPr>
        <w:t>se</w:t>
      </w:r>
      <w:r>
        <w:rPr>
          <w:color w:val="231F20"/>
          <w:spacing w:val="-13"/>
          <w:w w:val="105"/>
        </w:rPr>
        <w:t> </w:t>
      </w:r>
      <w:r>
        <w:rPr>
          <w:color w:val="231F20"/>
          <w:w w:val="105"/>
        </w:rPr>
        <w:t>encuen- tran contaminados en niveles desde baja contaminación, hasta prácticamente canales de</w:t>
      </w:r>
      <w:r>
        <w:rPr>
          <w:color w:val="231F20"/>
          <w:spacing w:val="-24"/>
          <w:w w:val="105"/>
        </w:rPr>
        <w:t> </w:t>
      </w:r>
      <w:r>
        <w:rPr>
          <w:color w:val="231F20"/>
          <w:w w:val="105"/>
        </w:rPr>
        <w:t>aguas</w:t>
      </w:r>
      <w:r>
        <w:rPr>
          <w:color w:val="231F20"/>
          <w:spacing w:val="-24"/>
          <w:w w:val="105"/>
        </w:rPr>
        <w:t> </w:t>
      </w:r>
      <w:r>
        <w:rPr>
          <w:color w:val="231F20"/>
          <w:w w:val="105"/>
        </w:rPr>
        <w:t>negras”</w:t>
      </w:r>
      <w:r>
        <w:rPr>
          <w:color w:val="231F20"/>
          <w:spacing w:val="-24"/>
          <w:w w:val="105"/>
        </w:rPr>
        <w:t> </w:t>
      </w:r>
      <w:r>
        <w:rPr>
          <w:color w:val="231F20"/>
          <w:spacing w:val="-3"/>
          <w:w w:val="105"/>
        </w:rPr>
        <w:t>PDM.</w:t>
      </w:r>
    </w:p>
    <w:p>
      <w:pPr>
        <w:pStyle w:val="BodyText"/>
        <w:spacing w:before="1"/>
        <w:rPr>
          <w:sz w:val="26"/>
        </w:rPr>
      </w:pPr>
    </w:p>
    <w:p>
      <w:pPr>
        <w:pStyle w:val="BodyText"/>
        <w:spacing w:line="285" w:lineRule="auto"/>
        <w:ind w:left="110" w:right="107"/>
        <w:jc w:val="both"/>
      </w:pPr>
      <w:r>
        <w:rPr>
          <w:color w:val="231F20"/>
          <w:w w:val="105"/>
        </w:rPr>
        <w:t>Tepotzotlán</w:t>
      </w:r>
      <w:r>
        <w:rPr>
          <w:color w:val="231F20"/>
          <w:spacing w:val="-6"/>
          <w:w w:val="105"/>
        </w:rPr>
        <w:t> </w:t>
      </w:r>
      <w:r>
        <w:rPr>
          <w:color w:val="231F20"/>
          <w:w w:val="105"/>
        </w:rPr>
        <w:t>tiene</w:t>
      </w:r>
      <w:r>
        <w:rPr>
          <w:color w:val="231F20"/>
          <w:spacing w:val="-6"/>
          <w:w w:val="105"/>
        </w:rPr>
        <w:t> </w:t>
      </w:r>
      <w:r>
        <w:rPr>
          <w:color w:val="231F20"/>
          <w:w w:val="105"/>
        </w:rPr>
        <w:t>un</w:t>
      </w:r>
      <w:r>
        <w:rPr>
          <w:color w:val="231F20"/>
          <w:spacing w:val="-6"/>
          <w:w w:val="105"/>
        </w:rPr>
        <w:t> </w:t>
      </w:r>
      <w:r>
        <w:rPr>
          <w:color w:val="231F20"/>
          <w:w w:val="105"/>
        </w:rPr>
        <w:t>alto</w:t>
      </w:r>
      <w:r>
        <w:rPr>
          <w:color w:val="231F20"/>
          <w:spacing w:val="-6"/>
          <w:w w:val="105"/>
        </w:rPr>
        <w:t> </w:t>
      </w:r>
      <w:r>
        <w:rPr>
          <w:color w:val="231F20"/>
          <w:w w:val="105"/>
        </w:rPr>
        <w:t>porcentaje</w:t>
      </w:r>
      <w:r>
        <w:rPr>
          <w:color w:val="231F20"/>
          <w:spacing w:val="-6"/>
          <w:w w:val="105"/>
        </w:rPr>
        <w:t> </w:t>
      </w:r>
      <w:r>
        <w:rPr>
          <w:color w:val="231F20"/>
          <w:w w:val="105"/>
        </w:rPr>
        <w:t>de</w:t>
      </w:r>
      <w:r>
        <w:rPr>
          <w:color w:val="231F20"/>
          <w:spacing w:val="-6"/>
          <w:w w:val="105"/>
        </w:rPr>
        <w:t> </w:t>
      </w:r>
      <w:r>
        <w:rPr>
          <w:color w:val="231F20"/>
          <w:w w:val="105"/>
        </w:rPr>
        <w:t>gente</w:t>
      </w:r>
      <w:r>
        <w:rPr>
          <w:color w:val="231F20"/>
          <w:spacing w:val="-6"/>
          <w:w w:val="105"/>
        </w:rPr>
        <w:t> </w:t>
      </w:r>
      <w:r>
        <w:rPr>
          <w:color w:val="231F20"/>
          <w:w w:val="105"/>
        </w:rPr>
        <w:t>joven,</w:t>
      </w:r>
      <w:r>
        <w:rPr>
          <w:color w:val="231F20"/>
          <w:spacing w:val="-6"/>
          <w:w w:val="105"/>
        </w:rPr>
        <w:t> </w:t>
      </w:r>
      <w:r>
        <w:rPr>
          <w:color w:val="231F20"/>
          <w:w w:val="105"/>
        </w:rPr>
        <w:t>concentrada</w:t>
      </w:r>
      <w:r>
        <w:rPr>
          <w:color w:val="231F20"/>
          <w:spacing w:val="-6"/>
          <w:w w:val="105"/>
        </w:rPr>
        <w:t> </w:t>
      </w:r>
      <w:r>
        <w:rPr>
          <w:color w:val="231F20"/>
          <w:w w:val="105"/>
        </w:rPr>
        <w:t>entre</w:t>
      </w:r>
      <w:r>
        <w:rPr>
          <w:color w:val="231F20"/>
          <w:spacing w:val="-6"/>
          <w:w w:val="105"/>
        </w:rPr>
        <w:t> </w:t>
      </w:r>
      <w:r>
        <w:rPr>
          <w:color w:val="231F20"/>
          <w:w w:val="105"/>
        </w:rPr>
        <w:t>9</w:t>
      </w:r>
      <w:r>
        <w:rPr>
          <w:color w:val="231F20"/>
          <w:spacing w:val="-6"/>
          <w:w w:val="105"/>
        </w:rPr>
        <w:t> </w:t>
      </w:r>
      <w:r>
        <w:rPr>
          <w:color w:val="231F20"/>
          <w:w w:val="105"/>
        </w:rPr>
        <w:t>y</w:t>
      </w:r>
      <w:r>
        <w:rPr>
          <w:color w:val="231F20"/>
          <w:spacing w:val="-6"/>
          <w:w w:val="105"/>
        </w:rPr>
        <w:t> </w:t>
      </w:r>
      <w:r>
        <w:rPr>
          <w:color w:val="231F20"/>
          <w:w w:val="105"/>
        </w:rPr>
        <w:t>30</w:t>
      </w:r>
      <w:r>
        <w:rPr>
          <w:color w:val="231F20"/>
          <w:spacing w:val="-6"/>
          <w:w w:val="105"/>
        </w:rPr>
        <w:t> </w:t>
      </w:r>
      <w:r>
        <w:rPr>
          <w:color w:val="231F20"/>
          <w:w w:val="105"/>
        </w:rPr>
        <w:t>años</w:t>
      </w:r>
      <w:r>
        <w:rPr>
          <w:color w:val="231F20"/>
          <w:spacing w:val="-6"/>
          <w:w w:val="105"/>
        </w:rPr>
        <w:t> </w:t>
      </w:r>
      <w:r>
        <w:rPr>
          <w:color w:val="231F20"/>
          <w:w w:val="105"/>
        </w:rPr>
        <w:t>con una</w:t>
      </w:r>
      <w:r>
        <w:rPr>
          <w:color w:val="231F20"/>
          <w:spacing w:val="-11"/>
          <w:w w:val="105"/>
        </w:rPr>
        <w:t> </w:t>
      </w:r>
      <w:r>
        <w:rPr>
          <w:color w:val="231F20"/>
          <w:w w:val="105"/>
        </w:rPr>
        <w:t>población</w:t>
      </w:r>
      <w:r>
        <w:rPr>
          <w:color w:val="231F20"/>
          <w:spacing w:val="-11"/>
          <w:w w:val="105"/>
        </w:rPr>
        <w:t> </w:t>
      </w:r>
      <w:r>
        <w:rPr>
          <w:color w:val="231F20"/>
          <w:w w:val="105"/>
        </w:rPr>
        <w:t>33,366</w:t>
      </w:r>
      <w:r>
        <w:rPr>
          <w:color w:val="231F20"/>
          <w:spacing w:val="-11"/>
          <w:w w:val="105"/>
        </w:rPr>
        <w:t> </w:t>
      </w:r>
      <w:r>
        <w:rPr>
          <w:color w:val="231F20"/>
          <w:w w:val="105"/>
        </w:rPr>
        <w:t>personas,</w:t>
      </w:r>
      <w:r>
        <w:rPr>
          <w:color w:val="231F20"/>
          <w:spacing w:val="-11"/>
          <w:w w:val="105"/>
        </w:rPr>
        <w:t> </w:t>
      </w:r>
      <w:r>
        <w:rPr>
          <w:color w:val="231F20"/>
          <w:w w:val="105"/>
        </w:rPr>
        <w:t>el</w:t>
      </w:r>
      <w:r>
        <w:rPr>
          <w:color w:val="231F20"/>
          <w:spacing w:val="-11"/>
          <w:w w:val="105"/>
        </w:rPr>
        <w:t> </w:t>
      </w:r>
      <w:r>
        <w:rPr>
          <w:color w:val="231F20"/>
          <w:w w:val="105"/>
        </w:rPr>
        <w:t>otro</w:t>
      </w:r>
      <w:r>
        <w:rPr>
          <w:color w:val="231F20"/>
          <w:spacing w:val="-11"/>
          <w:w w:val="105"/>
        </w:rPr>
        <w:t> </w:t>
      </w:r>
      <w:r>
        <w:rPr>
          <w:color w:val="231F20"/>
          <w:w w:val="105"/>
        </w:rPr>
        <w:t>cincuenta</w:t>
      </w:r>
      <w:r>
        <w:rPr>
          <w:color w:val="231F20"/>
          <w:spacing w:val="-11"/>
          <w:w w:val="105"/>
        </w:rPr>
        <w:t> </w:t>
      </w:r>
      <w:r>
        <w:rPr>
          <w:color w:val="231F20"/>
          <w:w w:val="105"/>
        </w:rPr>
        <w:t>por</w:t>
      </w:r>
      <w:r>
        <w:rPr>
          <w:color w:val="231F20"/>
          <w:spacing w:val="-11"/>
          <w:w w:val="105"/>
        </w:rPr>
        <w:t> </w:t>
      </w:r>
      <w:r>
        <w:rPr>
          <w:color w:val="231F20"/>
          <w:w w:val="105"/>
        </w:rPr>
        <w:t>ciento</w:t>
      </w:r>
      <w:r>
        <w:rPr>
          <w:color w:val="231F20"/>
          <w:spacing w:val="-11"/>
          <w:w w:val="105"/>
        </w:rPr>
        <w:t> </w:t>
      </w:r>
      <w:r>
        <w:rPr>
          <w:color w:val="231F20"/>
          <w:w w:val="105"/>
        </w:rPr>
        <w:t>se</w:t>
      </w:r>
      <w:r>
        <w:rPr>
          <w:color w:val="231F20"/>
          <w:spacing w:val="-11"/>
          <w:w w:val="105"/>
        </w:rPr>
        <w:t> </w:t>
      </w:r>
      <w:r>
        <w:rPr>
          <w:color w:val="231F20"/>
          <w:w w:val="105"/>
        </w:rPr>
        <w:t>ubica</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personas</w:t>
      </w:r>
      <w:r>
        <w:rPr>
          <w:color w:val="231F20"/>
          <w:spacing w:val="-11"/>
          <w:w w:val="105"/>
        </w:rPr>
        <w:t> </w:t>
      </w:r>
      <w:r>
        <w:rPr>
          <w:color w:val="231F20"/>
          <w:w w:val="105"/>
        </w:rPr>
        <w:t>de </w:t>
      </w:r>
      <w:r>
        <w:rPr>
          <w:color w:val="231F20"/>
          <w:spacing w:val="-5"/>
          <w:w w:val="105"/>
        </w:rPr>
        <w:t>31</w:t>
      </w:r>
      <w:r>
        <w:rPr>
          <w:color w:val="231F20"/>
          <w:spacing w:val="-6"/>
          <w:w w:val="105"/>
        </w:rPr>
        <w:t> </w:t>
      </w:r>
      <w:r>
        <w:rPr>
          <w:color w:val="231F20"/>
          <w:w w:val="105"/>
        </w:rPr>
        <w:t>a</w:t>
      </w:r>
      <w:r>
        <w:rPr>
          <w:color w:val="231F20"/>
          <w:spacing w:val="-6"/>
          <w:w w:val="105"/>
        </w:rPr>
        <w:t> </w:t>
      </w:r>
      <w:r>
        <w:rPr>
          <w:color w:val="231F20"/>
          <w:w w:val="105"/>
        </w:rPr>
        <w:t>69</w:t>
      </w:r>
      <w:r>
        <w:rPr>
          <w:color w:val="231F20"/>
          <w:spacing w:val="-6"/>
          <w:w w:val="105"/>
        </w:rPr>
        <w:t> </w:t>
      </w:r>
      <w:r>
        <w:rPr>
          <w:color w:val="231F20"/>
          <w:w w:val="105"/>
        </w:rPr>
        <w:t>años</w:t>
      </w:r>
      <w:r>
        <w:rPr>
          <w:color w:val="231F20"/>
          <w:spacing w:val="-6"/>
          <w:w w:val="105"/>
        </w:rPr>
        <w:t> </w:t>
      </w:r>
      <w:r>
        <w:rPr>
          <w:color w:val="231F20"/>
          <w:w w:val="105"/>
        </w:rPr>
        <w:t>con</w:t>
      </w:r>
      <w:r>
        <w:rPr>
          <w:color w:val="231F20"/>
          <w:spacing w:val="-6"/>
          <w:w w:val="105"/>
        </w:rPr>
        <w:t> </w:t>
      </w:r>
      <w:r>
        <w:rPr>
          <w:color w:val="231F20"/>
          <w:w w:val="105"/>
        </w:rPr>
        <w:t>25,372</w:t>
      </w:r>
      <w:r>
        <w:rPr>
          <w:color w:val="231F20"/>
          <w:spacing w:val="-6"/>
          <w:w w:val="105"/>
        </w:rPr>
        <w:t> </w:t>
      </w:r>
      <w:r>
        <w:rPr>
          <w:color w:val="231F20"/>
          <w:w w:val="105"/>
        </w:rPr>
        <w:t>casos.</w:t>
      </w:r>
      <w:r>
        <w:rPr>
          <w:color w:val="231F20"/>
          <w:spacing w:val="-6"/>
          <w:w w:val="105"/>
        </w:rPr>
        <w:t> </w:t>
      </w:r>
      <w:r>
        <w:rPr>
          <w:color w:val="231F20"/>
          <w:w w:val="105"/>
        </w:rPr>
        <w:t>(Gráfica</w:t>
      </w:r>
      <w:r>
        <w:rPr>
          <w:color w:val="231F20"/>
          <w:spacing w:val="-6"/>
          <w:w w:val="105"/>
        </w:rPr>
        <w:t> 1,). </w:t>
      </w:r>
      <w:r>
        <w:rPr>
          <w:color w:val="231F20"/>
          <w:w w:val="105"/>
        </w:rPr>
        <w:t>Esta</w:t>
      </w:r>
      <w:r>
        <w:rPr>
          <w:color w:val="231F20"/>
          <w:spacing w:val="-6"/>
          <w:w w:val="105"/>
        </w:rPr>
        <w:t> </w:t>
      </w:r>
      <w:r>
        <w:rPr>
          <w:color w:val="231F20"/>
          <w:w w:val="105"/>
        </w:rPr>
        <w:t>dinámica</w:t>
      </w:r>
      <w:r>
        <w:rPr>
          <w:color w:val="231F20"/>
          <w:spacing w:val="-6"/>
          <w:w w:val="105"/>
        </w:rPr>
        <w:t> </w:t>
      </w:r>
      <w:r>
        <w:rPr>
          <w:color w:val="231F20"/>
          <w:w w:val="105"/>
        </w:rPr>
        <w:t>poblacional</w:t>
      </w:r>
      <w:r>
        <w:rPr>
          <w:color w:val="231F20"/>
          <w:spacing w:val="-6"/>
          <w:w w:val="105"/>
        </w:rPr>
        <w:t> </w:t>
      </w:r>
      <w:r>
        <w:rPr>
          <w:color w:val="231F20"/>
          <w:w w:val="105"/>
        </w:rPr>
        <w:t>le</w:t>
      </w:r>
      <w:r>
        <w:rPr>
          <w:color w:val="231F20"/>
          <w:spacing w:val="-6"/>
          <w:w w:val="105"/>
        </w:rPr>
        <w:t> </w:t>
      </w:r>
      <w:r>
        <w:rPr>
          <w:color w:val="231F20"/>
          <w:w w:val="105"/>
        </w:rPr>
        <w:t>significa</w:t>
      </w:r>
      <w:r>
        <w:rPr>
          <w:color w:val="231F20"/>
          <w:spacing w:val="-6"/>
          <w:w w:val="105"/>
        </w:rPr>
        <w:t> </w:t>
      </w:r>
      <w:r>
        <w:rPr>
          <w:color w:val="231F20"/>
          <w:w w:val="105"/>
        </w:rPr>
        <w:t>una </w:t>
      </w:r>
      <w:r>
        <w:rPr>
          <w:color w:val="231F20"/>
          <w:spacing w:val="-3"/>
          <w:w w:val="105"/>
        </w:rPr>
        <w:t>Población </w:t>
      </w:r>
      <w:r>
        <w:rPr>
          <w:color w:val="231F20"/>
          <w:w w:val="105"/>
        </w:rPr>
        <w:t>Económicamente Activa </w:t>
      </w:r>
      <w:r>
        <w:rPr>
          <w:color w:val="231F20"/>
          <w:spacing w:val="-3"/>
          <w:w w:val="105"/>
        </w:rPr>
        <w:t>(PEA) </w:t>
      </w:r>
      <w:r>
        <w:rPr>
          <w:color w:val="231F20"/>
          <w:w w:val="105"/>
        </w:rPr>
        <w:t>de 12 años o más de 52%. Además de tener una tasa de natalidad de </w:t>
      </w:r>
      <w:r>
        <w:rPr>
          <w:color w:val="231F20"/>
          <w:spacing w:val="2"/>
          <w:w w:val="105"/>
        </w:rPr>
        <w:t>20,004 </w:t>
      </w:r>
      <w:r>
        <w:rPr>
          <w:color w:val="231F20"/>
          <w:w w:val="105"/>
        </w:rPr>
        <w:t>habitantes por año. La tasa bruta de mortalidad es de 3,2</w:t>
      </w:r>
      <w:r>
        <w:rPr>
          <w:color w:val="231F20"/>
          <w:spacing w:val="-15"/>
          <w:w w:val="105"/>
        </w:rPr>
        <w:t> </w:t>
      </w:r>
      <w:r>
        <w:rPr>
          <w:color w:val="231F20"/>
          <w:spacing w:val="2"/>
          <w:w w:val="105"/>
        </w:rPr>
        <w:t>mil</w:t>
      </w:r>
      <w:r>
        <w:rPr>
          <w:color w:val="231F20"/>
          <w:spacing w:val="-15"/>
          <w:w w:val="105"/>
        </w:rPr>
        <w:t> </w:t>
      </w:r>
      <w:r>
        <w:rPr>
          <w:color w:val="231F20"/>
          <w:w w:val="105"/>
        </w:rPr>
        <w:t>habitantes</w:t>
      </w:r>
      <w:r>
        <w:rPr>
          <w:color w:val="231F20"/>
          <w:spacing w:val="-15"/>
          <w:w w:val="105"/>
        </w:rPr>
        <w:t> </w:t>
      </w:r>
      <w:r>
        <w:rPr>
          <w:color w:val="231F20"/>
          <w:spacing w:val="2"/>
          <w:w w:val="105"/>
        </w:rPr>
        <w:t>al</w:t>
      </w:r>
      <w:r>
        <w:rPr>
          <w:color w:val="231F20"/>
          <w:spacing w:val="-15"/>
          <w:w w:val="105"/>
        </w:rPr>
        <w:t> </w:t>
      </w:r>
      <w:r>
        <w:rPr>
          <w:color w:val="231F20"/>
          <w:w w:val="105"/>
        </w:rPr>
        <w:t>año</w:t>
      </w:r>
      <w:r>
        <w:rPr>
          <w:color w:val="231F20"/>
          <w:spacing w:val="-15"/>
          <w:w w:val="105"/>
        </w:rPr>
        <w:t> </w:t>
      </w:r>
      <w:r>
        <w:rPr>
          <w:color w:val="231F20"/>
          <w:w w:val="105"/>
        </w:rPr>
        <w:t>mientras</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de</w:t>
      </w:r>
      <w:r>
        <w:rPr>
          <w:color w:val="231F20"/>
          <w:spacing w:val="-15"/>
          <w:w w:val="105"/>
        </w:rPr>
        <w:t> </w:t>
      </w:r>
      <w:r>
        <w:rPr>
          <w:color w:val="231F20"/>
          <w:w w:val="105"/>
        </w:rPr>
        <w:t>mortalidad</w:t>
      </w:r>
      <w:r>
        <w:rPr>
          <w:color w:val="231F20"/>
          <w:spacing w:val="-15"/>
          <w:w w:val="105"/>
        </w:rPr>
        <w:t> </w:t>
      </w:r>
      <w:r>
        <w:rPr>
          <w:color w:val="231F20"/>
          <w:w w:val="105"/>
        </w:rPr>
        <w:t>infantil</w:t>
      </w:r>
      <w:r>
        <w:rPr>
          <w:color w:val="231F20"/>
          <w:spacing w:val="-15"/>
          <w:w w:val="105"/>
        </w:rPr>
        <w:t> </w:t>
      </w:r>
      <w:r>
        <w:rPr>
          <w:color w:val="231F20"/>
          <w:w w:val="105"/>
        </w:rPr>
        <w:t>es</w:t>
      </w:r>
      <w:r>
        <w:rPr>
          <w:color w:val="231F20"/>
          <w:spacing w:val="-15"/>
          <w:w w:val="105"/>
        </w:rPr>
        <w:t> </w:t>
      </w:r>
      <w:r>
        <w:rPr>
          <w:color w:val="231F20"/>
          <w:w w:val="105"/>
        </w:rPr>
        <w:t>de</w:t>
      </w:r>
      <w:r>
        <w:rPr>
          <w:color w:val="231F20"/>
          <w:spacing w:val="-15"/>
          <w:w w:val="105"/>
        </w:rPr>
        <w:t> </w:t>
      </w:r>
      <w:r>
        <w:rPr>
          <w:color w:val="231F20"/>
          <w:w w:val="105"/>
        </w:rPr>
        <w:t>5,7</w:t>
      </w:r>
      <w:r>
        <w:rPr>
          <w:color w:val="231F20"/>
          <w:spacing w:val="-15"/>
          <w:w w:val="105"/>
        </w:rPr>
        <w:t> </w:t>
      </w:r>
      <w:r>
        <w:rPr>
          <w:color w:val="231F20"/>
          <w:w w:val="105"/>
        </w:rPr>
        <w:t>infantes</w:t>
      </w:r>
      <w:r>
        <w:rPr>
          <w:color w:val="231F20"/>
          <w:spacing w:val="-15"/>
          <w:w w:val="105"/>
        </w:rPr>
        <w:t> </w:t>
      </w:r>
      <w:r>
        <w:rPr>
          <w:color w:val="231F20"/>
          <w:spacing w:val="2"/>
          <w:w w:val="105"/>
        </w:rPr>
        <w:t>al</w:t>
      </w:r>
      <w:r>
        <w:rPr>
          <w:color w:val="231F20"/>
          <w:spacing w:val="-15"/>
          <w:w w:val="105"/>
        </w:rPr>
        <w:t> </w:t>
      </w:r>
      <w:r>
        <w:rPr>
          <w:color w:val="231F20"/>
          <w:w w:val="105"/>
        </w:rPr>
        <w:t>año. Esta</w:t>
      </w:r>
      <w:r>
        <w:rPr>
          <w:color w:val="231F20"/>
          <w:spacing w:val="-16"/>
          <w:w w:val="105"/>
        </w:rPr>
        <w:t> </w:t>
      </w:r>
      <w:r>
        <w:rPr>
          <w:color w:val="231F20"/>
          <w:w w:val="105"/>
        </w:rPr>
        <w:t>dinámica</w:t>
      </w:r>
      <w:r>
        <w:rPr>
          <w:color w:val="231F20"/>
          <w:spacing w:val="-16"/>
          <w:w w:val="105"/>
        </w:rPr>
        <w:t> </w:t>
      </w:r>
      <w:r>
        <w:rPr>
          <w:color w:val="231F20"/>
          <w:w w:val="105"/>
        </w:rPr>
        <w:t>afecta</w:t>
      </w:r>
      <w:r>
        <w:rPr>
          <w:color w:val="231F20"/>
          <w:spacing w:val="-16"/>
          <w:w w:val="105"/>
        </w:rPr>
        <w:t> </w:t>
      </w:r>
      <w:r>
        <w:rPr>
          <w:color w:val="231F20"/>
          <w:w w:val="105"/>
        </w:rPr>
        <w:t>los</w:t>
      </w:r>
      <w:r>
        <w:rPr>
          <w:color w:val="231F20"/>
          <w:spacing w:val="-16"/>
          <w:w w:val="105"/>
        </w:rPr>
        <w:t> </w:t>
      </w:r>
      <w:r>
        <w:rPr>
          <w:color w:val="231F20"/>
          <w:w w:val="105"/>
        </w:rPr>
        <w:t>siguientes</w:t>
      </w:r>
      <w:r>
        <w:rPr>
          <w:color w:val="231F20"/>
          <w:spacing w:val="-16"/>
          <w:w w:val="105"/>
        </w:rPr>
        <w:t> </w:t>
      </w:r>
      <w:r>
        <w:rPr>
          <w:color w:val="231F20"/>
          <w:w w:val="105"/>
        </w:rPr>
        <w:t>aspectos.</w:t>
      </w:r>
    </w:p>
    <w:p>
      <w:pPr>
        <w:pStyle w:val="BodyText"/>
        <w:spacing w:before="6"/>
      </w:pPr>
      <w:r>
        <w:rPr/>
        <w:drawing>
          <wp:anchor distT="0" distB="0" distL="0" distR="0" allowOverlap="1" layoutInCell="1" locked="0" behindDoc="0" simplePos="0" relativeHeight="9640">
            <wp:simplePos x="0" y="0"/>
            <wp:positionH relativeFrom="page">
              <wp:posOffset>1666824</wp:posOffset>
            </wp:positionH>
            <wp:positionV relativeFrom="paragraph">
              <wp:posOffset>195068</wp:posOffset>
            </wp:positionV>
            <wp:extent cx="414054" cy="100584"/>
            <wp:effectExtent l="0" t="0" r="0" b="0"/>
            <wp:wrapTopAndBottom/>
            <wp:docPr id="285" name="image532.png" descr=""/>
            <wp:cNvGraphicFramePr>
              <a:graphicFrameLocks noChangeAspect="1"/>
            </wp:cNvGraphicFramePr>
            <a:graphic>
              <a:graphicData uri="http://schemas.openxmlformats.org/drawingml/2006/picture">
                <pic:pic>
                  <pic:nvPicPr>
                    <pic:cNvPr id="286" name="image532.png"/>
                    <pic:cNvPicPr/>
                  </pic:nvPicPr>
                  <pic:blipFill>
                    <a:blip r:embed="rId593" cstate="print"/>
                    <a:stretch>
                      <a:fillRect/>
                    </a:stretch>
                  </pic:blipFill>
                  <pic:spPr>
                    <a:xfrm>
                      <a:off x="0" y="0"/>
                      <a:ext cx="414054" cy="100584"/>
                    </a:xfrm>
                    <a:prstGeom prst="rect">
                      <a:avLst/>
                    </a:prstGeom>
                  </pic:spPr>
                </pic:pic>
              </a:graphicData>
            </a:graphic>
          </wp:anchor>
        </w:drawing>
      </w:r>
      <w:r>
        <w:rPr/>
        <w:pict>
          <v:shape style="position:absolute;margin-left:167.666107pt;margin-top:15.767302pt;width:3pt;height:6.9pt;mso-position-horizontal-relative:page;mso-position-vertical-relative:paragraph;z-index:9664;mso-wrap-distance-left:0;mso-wrap-distance-right:0" coordorigin="3353,315" coordsize="60,138" path="m3413,315l3391,315,3391,317,3390,318,3353,340,3353,358,3386,358,3386,453,3413,453,3413,315xe" filled="true" fillcolor="#231f20" stroked="false">
            <v:path arrowok="t"/>
            <v:fill type="solid"/>
            <w10:wrap type="topAndBottom"/>
          </v:shape>
        </w:pict>
      </w:r>
      <w:r>
        <w:rPr/>
        <w:pict>
          <v:group style="position:absolute;margin-left:175.827896pt;margin-top:14.910895pt;width:55.3pt;height:8.450pt;mso-position-horizontal-relative:page;mso-position-vertical-relative:paragraph;z-index:9688;mso-wrap-distance-left:0;mso-wrap-distance-right:0" coordorigin="3517,298" coordsize="1106,169">
            <v:shape style="position:absolute;left:3517;top:313;width:119;height:140" coordorigin="3517,313" coordsize="119,140" path="m3517,313l3517,453,3577,453,3592,451,3604,446,3615,438,3622,429,3545,429,3545,337,3625,337,3622,334,3616,325,3608,319,3593,314,3585,313,3517,313xm3625,337l3585,337,3594,341,3603,356,3605,367,3605,393,3604,401,3595,422,3586,429,3622,429,3624,427,3629,417,3632,405,3634,393,3635,380,3635,372,3634,364,3630,348,3627,341,3625,337xe" filled="true" fillcolor="#231f20" stroked="false">
              <v:path arrowok="t"/>
              <v:fill type="solid"/>
            </v:shape>
            <v:line style="position:absolute" from="3669,312" to="3669,453" stroked="true" strokeweight="1.371pt" strokecolor="#231f20"/>
            <v:shape style="position:absolute;left:3702;top:347;width:95;height:110" coordorigin="3702,347" coordsize="95,110" path="m3729,420l3702,420,3702,430,3706,439,3721,453,3733,456,3766,456,3777,453,3793,440,3795,435,3743,435,3737,434,3731,428,3730,425,3729,420xm3761,347l3734,347,3724,350,3709,364,3705,372,3705,390,3708,396,3712,400,3717,404,3725,408,3737,411,3753,415,3763,417,3768,421,3769,423,3769,429,3768,431,3761,435,3757,435,3795,435,3797,432,3797,414,3794,407,3789,402,3783,397,3775,393,3764,391,3748,387,3739,385,3734,382,3732,379,3732,374,3733,372,3738,368,3743,367,3792,367,3788,359,3772,349,3761,347xm3792,367l3756,367,3761,369,3764,373,3765,375,3766,377,3767,381,3794,381,3793,369,3792,368,3792,367xe" filled="true" fillcolor="#231f20" stroked="false">
              <v:path arrowok="t"/>
              <v:fill type="solid"/>
            </v:shape>
            <v:shape style="position:absolute;left:3806;top:322;width:58;height:133" coordorigin="3806,322" coordsize="58,133" path="m3847,370l3820,370,3820,440,3822,444,3825,448,3829,452,3838,455,3864,454,3864,434,3853,434,3850,433,3849,432,3848,431,3847,428,3847,370xm3864,434l3853,434,3864,434,3864,434xm3864,350l3806,350,3806,370,3864,370,3864,350xm3847,322l3820,322,3820,350,3847,350,3847,322xe" filled="true" fillcolor="#231f20" stroked="false">
              <v:path arrowok="t"/>
              <v:fill type="solid"/>
            </v:shape>
            <v:shape style="position:absolute;left:3881;top:347;width:60;height:106" coordorigin="3881,347" coordsize="60,106" path="m3907,349l3881,349,3881,453,3908,453,3908,395,3909,389,3911,385,3915,378,3922,374,3941,374,3941,367,3907,367,3907,349xm3941,374l3922,374,3938,375,3941,375,3941,374xm3929,347l3923,349,3918,353,3914,356,3911,361,3907,367,3941,367,3941,347,3939,347,3929,347xe" filled="true" fillcolor="#231f20" stroked="false">
              <v:path arrowok="t"/>
              <v:fill type="solid"/>
            </v:shape>
            <v:line style="position:absolute" from="3971,312" to="3971,453" stroked="true" strokeweight="1.372pt" strokecolor="#231f20"/>
            <v:shape style="position:absolute;left:4010;top:313;width:101;height:143" coordorigin="4010,313" coordsize="101,143" path="m4099,440l4036,440,4040,445,4043,448,4052,454,4058,456,4081,456,4091,450,4099,440xm4037,313l4010,313,4010,453,4036,453,4036,440,4099,440,4103,433,4052,433,4046,430,4038,419,4036,412,4036,395,4037,389,4042,375,4049,371,4106,371,4100,363,4037,363,4037,313xm4106,371l4069,371,4076,375,4081,389,4082,395,4082,412,4080,419,4072,430,4067,433,4103,433,4104,431,4108,422,4110,411,4110,400,4110,384,4107,372,4106,371xm4080,347l4059,347,4053,349,4048,352,4044,354,4040,358,4037,363,4100,363,4091,352,4080,347xe" filled="true" fillcolor="#231f20" stroked="false">
              <v:path arrowok="t"/>
              <v:fill type="solid"/>
            </v:shape>
            <v:shape style="position:absolute;left:4128;top:349;width:94;height:106" coordorigin="4128,349" coordsize="94,106" path="m4156,349l4128,349,4128,424,4130,433,4133,439,4138,450,4148,455,4169,455,4174,454,4181,452,4186,449,4190,445,4191,444,4192,443,4195,439,4195,438,4222,438,4222,433,4165,433,4161,430,4157,422,4156,418,4156,349xm4222,438l4195,438,4195,453,4222,453,4222,438xm4222,349l4194,349,4194,412,4193,418,4191,422,4188,429,4182,433,4222,433,4222,349xe" filled="true" fillcolor="#231f20" stroked="false">
              <v:path arrowok="t"/>
              <v:fill type="solid"/>
            </v:shape>
            <v:shape style="position:absolute;left:4242;top:347;width:96;height:110" coordorigin="4242,347" coordsize="96,110" path="m4304,347l4276,347,4264,352,4255,362,4249,370,4245,380,4243,391,4242,403,4243,414,4245,425,4249,434,4254,442,4261,451,4274,456,4290,456,4302,455,4312,452,4321,446,4328,439,4332,434,4282,434,4276,429,4273,421,4271,416,4270,410,4270,395,4271,388,4276,374,4282,370,4335,370,4331,362,4314,350,4304,347xm4337,415l4309,415,4309,421,4307,425,4302,432,4297,434,4332,434,4333,431,4336,423,4337,415xm4335,370l4298,370,4303,372,4306,376,4308,379,4309,383,4310,387,4337,387,4336,372,4335,370xe" filled="true" fillcolor="#231f20" stroked="false">
              <v:path arrowok="t"/>
              <v:fill type="solid"/>
            </v:shape>
            <v:line style="position:absolute" from="4370,312" to="4370,453" stroked="true" strokeweight="1.372pt" strokecolor="#231f20"/>
            <v:shape style="position:absolute;left:4403;top:307;width:106;height:150" coordorigin="4403,307" coordsize="106,150" path="m4456,346l4444,347,4433,350,4424,355,4416,363,4411,371,4407,380,4404,390,4403,401,4404,412,4407,422,4411,432,4416,440,4424,447,4433,452,4444,455,4456,456,4469,455,4479,452,4488,447,4496,440,4500,434,4448,434,4442,431,4434,420,4432,412,4432,390,4434,383,4442,372,4448,369,4500,369,4496,363,4488,355,4479,350,4469,347,4456,346xm4500,369l4464,369,4470,372,4478,383,4480,390,4480,412,4478,420,4470,431,4464,434,4500,434,4502,432,4506,422,4508,412,4509,401,4508,390,4506,380,4502,371,4500,369xm4488,307l4458,307,4440,336,4460,336,4488,307xe" filled="true" fillcolor="#231f20" stroked="false">
              <v:path arrowok="t"/>
              <v:fill type="solid"/>
            </v:shape>
            <v:shape style="position:absolute;left:4528;top:347;width:94;height:106" coordorigin="4528,347" coordsize="94,106" path="m4555,350l4528,350,4528,453,4555,453,4555,390,4556,385,4561,373,4568,369,4621,369,4620,365,4555,365,4555,350xm4621,369l4584,369,4589,372,4593,380,4594,385,4594,453,4622,453,4622,370,4621,369xm4596,347l4577,347,4570,349,4561,356,4558,359,4555,365,4620,365,4618,361,4605,350,4596,347xe" filled="true" fillcolor="#231f20" stroked="false">
              <v:path arrowok="t"/>
              <v:fill type="solid"/>
            </v:shape>
            <w10:wrap type="topAndBottom"/>
          </v:group>
        </w:pict>
      </w:r>
      <w:r>
        <w:rPr/>
        <w:pict>
          <v:group style="position:absolute;margin-left:234.707001pt;margin-top:14.978896pt;width:21.6pt;height:8.35pt;mso-position-horizontal-relative:page;mso-position-vertical-relative:paragraph;z-index:9712;mso-wrap-distance-left:0;mso-wrap-distance-right:0" coordorigin="4694,300" coordsize="432,167">
            <v:shape style="position:absolute;left:4694;top:313;width:220;height:143" type="#_x0000_t75" stroked="false">
              <v:imagedata r:id="rId594" o:title=""/>
            </v:shape>
            <v:shape style="position:absolute;left:4982;top:300;width:143;height:167" type="#_x0000_t75" stroked="false">
              <v:imagedata r:id="rId595" o:title=""/>
            </v:shape>
            <w10:wrap type="topAndBottom"/>
          </v:group>
        </w:pict>
      </w:r>
      <w:r>
        <w:rPr/>
        <w:pict>
          <v:group style="position:absolute;margin-left:259.818115pt;margin-top:14.978395pt;width:44.65pt;height:9.7pt;mso-position-horizontal-relative:page;mso-position-vertical-relative:paragraph;z-index:9736;mso-wrap-distance-left:0;mso-wrap-distance-right:0" coordorigin="5196,300" coordsize="893,194">
            <v:shape style="position:absolute;left:5196;top:313;width:338;height:180" type="#_x0000_t75" stroked="false">
              <v:imagedata r:id="rId596" o:title=""/>
            </v:shape>
            <v:shape style="position:absolute;left:5553;top:300;width:535;height:167" type="#_x0000_t75" stroked="false">
              <v:imagedata r:id="rId597" o:title=""/>
            </v:shape>
            <w10:wrap type="topAndBottom"/>
          </v:group>
        </w:pict>
      </w:r>
      <w:r>
        <w:rPr/>
        <w:drawing>
          <wp:anchor distT="0" distB="0" distL="0" distR="0" allowOverlap="1" layoutInCell="1" locked="0" behindDoc="0" simplePos="0" relativeHeight="9760">
            <wp:simplePos x="0" y="0"/>
            <wp:positionH relativeFrom="page">
              <wp:posOffset>3911352</wp:posOffset>
            </wp:positionH>
            <wp:positionV relativeFrom="paragraph">
              <wp:posOffset>220172</wp:posOffset>
            </wp:positionV>
            <wp:extent cx="132610" cy="69341"/>
            <wp:effectExtent l="0" t="0" r="0" b="0"/>
            <wp:wrapTopAndBottom/>
            <wp:docPr id="287" name="image537.png" descr=""/>
            <wp:cNvGraphicFramePr>
              <a:graphicFrameLocks noChangeAspect="1"/>
            </wp:cNvGraphicFramePr>
            <a:graphic>
              <a:graphicData uri="http://schemas.openxmlformats.org/drawingml/2006/picture">
                <pic:pic>
                  <pic:nvPicPr>
                    <pic:cNvPr id="288" name="image537.png"/>
                    <pic:cNvPicPr/>
                  </pic:nvPicPr>
                  <pic:blipFill>
                    <a:blip r:embed="rId598" cstate="print"/>
                    <a:stretch>
                      <a:fillRect/>
                    </a:stretch>
                  </pic:blipFill>
                  <pic:spPr>
                    <a:xfrm>
                      <a:off x="0" y="0"/>
                      <a:ext cx="132610" cy="69341"/>
                    </a:xfrm>
                    <a:prstGeom prst="rect">
                      <a:avLst/>
                    </a:prstGeom>
                  </pic:spPr>
                </pic:pic>
              </a:graphicData>
            </a:graphic>
          </wp:anchor>
        </w:drawing>
      </w:r>
      <w:r>
        <w:rPr/>
        <w:drawing>
          <wp:anchor distT="0" distB="0" distL="0" distR="0" allowOverlap="1" layoutInCell="1" locked="0" behindDoc="0" simplePos="0" relativeHeight="9784">
            <wp:simplePos x="0" y="0"/>
            <wp:positionH relativeFrom="page">
              <wp:posOffset>4089458</wp:posOffset>
            </wp:positionH>
            <wp:positionV relativeFrom="paragraph">
              <wp:posOffset>190225</wp:posOffset>
            </wp:positionV>
            <wp:extent cx="90618" cy="105155"/>
            <wp:effectExtent l="0" t="0" r="0" b="0"/>
            <wp:wrapTopAndBottom/>
            <wp:docPr id="289" name="image538.png" descr=""/>
            <wp:cNvGraphicFramePr>
              <a:graphicFrameLocks noChangeAspect="1"/>
            </wp:cNvGraphicFramePr>
            <a:graphic>
              <a:graphicData uri="http://schemas.openxmlformats.org/drawingml/2006/picture">
                <pic:pic>
                  <pic:nvPicPr>
                    <pic:cNvPr id="290" name="image538.png"/>
                    <pic:cNvPicPr/>
                  </pic:nvPicPr>
                  <pic:blipFill>
                    <a:blip r:embed="rId599" cstate="print"/>
                    <a:stretch>
                      <a:fillRect/>
                    </a:stretch>
                  </pic:blipFill>
                  <pic:spPr>
                    <a:xfrm>
                      <a:off x="0" y="0"/>
                      <a:ext cx="90618" cy="105155"/>
                    </a:xfrm>
                    <a:prstGeom prst="rect">
                      <a:avLst/>
                    </a:prstGeom>
                  </pic:spPr>
                </pic:pic>
              </a:graphicData>
            </a:graphic>
          </wp:anchor>
        </w:drawing>
      </w:r>
      <w:r>
        <w:rPr/>
        <w:pict>
          <v:group style="position:absolute;margin-left:333.179901pt;margin-top:14.910895pt;width:44.9pt;height:9.8pt;mso-position-horizontal-relative:page;mso-position-vertical-relative:paragraph;z-index:9808;mso-wrap-distance-left:0;mso-wrap-distance-right:0" coordorigin="6664,298" coordsize="898,196">
            <v:shape style="position:absolute;left:6664;top:347;width:149;height:106" coordorigin="6664,347" coordsize="149,106" path="m6690,350l6664,350,6664,453,6691,453,6691,385,6692,381,6693,378,6696,373,6701,370,6761,370,6761,370,6810,370,6810,367,6809,365,6748,365,6748,365,6690,365,6690,350xm6761,370l6715,370,6720,373,6723,381,6724,385,6724,453,6751,453,6751,387,6752,383,6753,379,6756,373,6761,370xm6810,370l6775,370,6780,373,6783,380,6784,383,6784,453,6812,453,6812,376,6811,372,6810,370xm6784,347l6773,347,6767,349,6761,351,6756,354,6751,359,6748,365,6809,365,6808,363,6801,355,6797,352,6789,348,6784,347xm6728,347l6711,347,6705,349,6696,356,6693,359,6690,365,6748,365,6746,360,6743,356,6739,352,6734,349,6728,347xe" filled="true" fillcolor="#231f20" stroked="false">
              <v:path arrowok="t"/>
              <v:fill type="solid"/>
            </v:shape>
            <v:shape style="position:absolute;left:6836;top:349;width:94;height:106" coordorigin="6836,349" coordsize="94,106" path="m6864,349l6836,349,6836,424,6837,433,6840,439,6846,450,6856,455,6876,455,6881,454,6889,452,6893,449,6897,445,6899,444,6900,443,6902,439,6903,438,6929,438,6929,433,6873,433,6868,430,6864,422,6864,418,6864,349xm6929,438l6903,438,6903,453,6929,453,6929,438xm6929,349l6902,349,6902,412,6901,418,6899,422,6896,429,6889,433,6929,433,6929,349xe" filled="true" fillcolor="#231f20" stroked="false">
              <v:path arrowok="t"/>
              <v:fill type="solid"/>
            </v:shape>
            <v:shape style="position:absolute;left:6955;top:347;width:94;height:106" coordorigin="6955,347" coordsize="94,106" path="m6982,350l6955,350,6955,453,6982,453,6982,390,6983,385,6985,381,6988,373,6995,369,7048,369,7047,365,6982,365,6982,350xm7048,369l7011,369,7016,372,7020,380,7021,385,7021,453,7049,453,7049,370,7048,369xm7023,347l7004,347,6997,349,6988,356,6985,359,6982,365,7047,365,7045,361,7032,350,7023,347xe" filled="true" fillcolor="#231f20" stroked="false">
              <v:path arrowok="t"/>
              <v:fill type="solid"/>
            </v:shape>
            <v:line style="position:absolute" from="7088,312" to="7088,453" stroked="true" strokeweight="1.371pt" strokecolor="#231f20"/>
            <v:shape style="position:absolute;left:7122;top:347;width:96;height:110" coordorigin="7122,347" coordsize="96,110" path="m7184,347l7156,347,7144,352,7135,362,7129,370,7125,380,7123,391,7122,403,7123,414,7125,425,7129,434,7134,442,7142,451,7154,456,7170,456,7182,455,7192,452,7201,446,7208,439,7212,434,7162,434,7156,429,7151,416,7150,410,7150,395,7151,388,7156,374,7162,370,7215,370,7211,362,7194,350,7184,347xm7217,415l7189,415,7189,421,7187,425,7182,432,7177,434,7212,434,7213,431,7216,423,7217,415xm7215,370l7178,370,7183,372,7186,376,7188,379,7189,383,7190,387,7217,387,7216,372,7215,370xe" filled="true" fillcolor="#231f20" stroked="false">
              <v:path arrowok="t"/>
              <v:fill type="solid"/>
            </v:shape>
            <v:line style="position:absolute" from="7250,312" to="7250,453" stroked="true" strokeweight="1.371pt" strokecolor="#231f20"/>
            <v:shape style="position:absolute;left:7289;top:347;width:101;height:147" coordorigin="7289,347" coordsize="101,147" path="m7315,349l7289,349,7289,493,7316,493,7316,440,7378,440,7382,433,7382,433,7333,433,7328,432,7324,429,7318,424,7315,416,7315,396,7316,390,7318,385,7321,375,7328,371,7383,371,7382,368,7380,365,7315,365,7315,349xm7378,440l7316,440,7319,444,7321,447,7324,450,7330,454,7337,456,7358,456,7369,451,7377,441,7378,440xm7383,371l7346,371,7352,374,7360,386,7361,393,7361,411,7359,419,7351,430,7346,433,7382,433,7386,424,7388,413,7389,400,7388,388,7386,377,7383,371xm7358,347l7337,347,7330,350,7324,354,7321,357,7318,360,7315,365,7380,365,7377,361,7368,352,7358,347xe" filled="true" fillcolor="#231f20" stroked="false">
              <v:path arrowok="t"/>
              <v:fill type="solid"/>
            </v:shape>
            <v:line style="position:absolute" from="7422,312" to="7422,453" stroked="true" strokeweight="1.37pt" strokecolor="#231f20"/>
            <v:shape style="position:absolute;left:7456;top:346;width:106;height:111" coordorigin="7456,346" coordsize="106,111" path="m7509,346l7496,347,7485,350,7476,355,7469,363,7463,371,7459,380,7457,390,7456,401,7457,412,7459,422,7463,432,7469,440,7476,447,7485,452,7496,455,7509,456,7521,455,7532,452,7541,447,7548,440,7553,434,7501,434,7495,431,7486,420,7484,412,7484,390,7486,383,7495,372,7501,369,7553,369,7548,363,7541,355,7532,350,7521,347,7509,346xm7553,369l7516,369,7523,372,7531,383,7533,390,7533,412,7531,420,7523,431,7516,434,7553,434,7554,432,7558,422,7561,412,7561,401,7561,390,7558,380,7554,371,7553,369xe" filled="true" fillcolor="#231f20" stroked="false">
              <v:path arrowok="t"/>
              <v:fill type="solid"/>
            </v:shape>
            <w10:wrap type="topAndBottom"/>
          </v:group>
        </w:pict>
      </w:r>
      <w:r>
        <w:rPr/>
        <w:pict>
          <v:group style="position:absolute;margin-left:42.580799pt;margin-top:43.091888pt;width:386.35pt;height:5.4pt;mso-position-horizontal-relative:page;mso-position-vertical-relative:paragraph;z-index:9832;mso-wrap-distance-left:0;mso-wrap-distance-right:0" coordorigin="852,862" coordsize="7727,108">
            <v:line style="position:absolute" from="1205,897" to="8573,897" stroked="true" strokeweight=".5pt" strokecolor="#231f20"/>
            <v:shape style="position:absolute;left:852;top:862;width:319;height:107" type="#_x0000_t75" stroked="false">
              <v:imagedata r:id="rId600" o:title=""/>
            </v:shape>
            <w10:wrap type="topAndBottom"/>
          </v:group>
        </w:pict>
      </w:r>
      <w:r>
        <w:rPr/>
        <w:pict>
          <v:group style="position:absolute;margin-left:42.519402pt;margin-top:63.479099pt;width:386.65pt;height:147.950pt;mso-position-horizontal-relative:page;mso-position-vertical-relative:paragraph;z-index:9856;mso-wrap-distance-left:0;mso-wrap-distance-right:0" coordorigin="850,1270" coordsize="7733,2959">
            <v:line style="position:absolute" from="1205,1310" to="8573,1310" stroked="true" strokeweight=".5pt" strokecolor="#231f20"/>
            <v:shape style="position:absolute;left:852;top:1270;width:319;height:107" type="#_x0000_t75" stroked="false">
              <v:imagedata r:id="rId601" o:title=""/>
            </v:shape>
            <v:line style="position:absolute" from="1205,1717" to="8573,1717" stroked="true" strokeweight=".5pt" strokecolor="#231f20"/>
            <v:shape style="position:absolute;left:852;top:1677;width:318;height:107" type="#_x0000_t75" stroked="false">
              <v:imagedata r:id="rId602" o:title=""/>
            </v:shape>
            <v:line style="position:absolute" from="1205,2124" to="8573,2124" stroked="true" strokeweight=".5pt" strokecolor="#231f20"/>
            <v:shape style="position:absolute;left:852;top:2084;width:319;height:107" type="#_x0000_t75" stroked="false">
              <v:imagedata r:id="rId603" o:title=""/>
            </v:shape>
            <v:line style="position:absolute" from="1205,2544" to="8573,2544" stroked="true" strokeweight=".5pt" strokecolor="#231f20"/>
            <v:shape style="position:absolute;left:851;top:2492;width:320;height:107" type="#_x0000_t75" stroked="false">
              <v:imagedata r:id="rId604" o:title=""/>
            </v:shape>
            <v:line style="position:absolute" from="1205,2931" to="8573,2931" stroked="true" strokeweight=".5pt" strokecolor="#231f20"/>
            <v:shape style="position:absolute;left:850;top:2899;width:320;height:107" type="#_x0000_t75" stroked="false">
              <v:imagedata r:id="rId605" o:title=""/>
            </v:shape>
            <v:line style="position:absolute" from="1205,3351" to="8573,3351" stroked="true" strokeweight=".5pt" strokecolor="#231f20"/>
            <v:shape style="position:absolute;left:851;top:3306;width:319;height:107" type="#_x0000_t75" stroked="false">
              <v:imagedata r:id="rId606" o:title=""/>
            </v:shape>
            <v:line style="position:absolute" from="1205,3751" to="8573,3751" stroked="true" strokeweight=".5pt" strokecolor="#231f20"/>
            <v:shape style="position:absolute;left:861;top:3714;width:310;height:107" type="#_x0000_t75" stroked="false">
              <v:imagedata r:id="rId607" o:title=""/>
            </v:shape>
            <v:line style="position:absolute" from="1251,1488" to="1251,4164" stroked="true" strokeweight="1.968pt" strokecolor="#b28abf"/>
            <v:line style="position:absolute" from="1691,1343" to="1691,4164" stroked="true" strokeweight="1.968pt" strokecolor="#be1e2d"/>
            <v:line style="position:absolute" from="2117,1376" to="2117,4164" stroked="true" strokeweight="1.968pt" strokecolor="#fff450"/>
            <v:line style="position:absolute" from="2531,1527" to="2531,4164" stroked="true" strokeweight="1.968pt" strokecolor="#c4df9b"/>
            <v:line style="position:absolute" from="2964,1868" to="2964,4164" stroked="true" strokeweight="1.968pt" strokecolor="#662d91"/>
            <v:line style="position:absolute" from="3397,1967" to="3397,4164" stroked="true" strokeweight="1.968pt" strokecolor="#f3703a"/>
            <v:line style="position:absolute" from="3823,2170" to="3823,4164" stroked="true" strokeweight="1.968pt" strokecolor="#1b75bc"/>
            <v:line style="position:absolute" from="4256,2308" to="4256,4164" stroked="true" strokeweight="1.968pt" strokecolor="#c7bbdc"/>
            <v:line style="position:absolute" from="4676,2662" to="4676,4164" stroked="true" strokeweight="1.968pt" strokecolor="#231f20"/>
            <v:line style="position:absolute" from="5122,3095" to="5122,4164" stroked="true" strokeweight="1.968pt" strokecolor="#da1c5c"/>
            <v:line style="position:absolute" from="5555,3413" to="5555,4164" stroked="true" strokeweight="1.968pt" strokecolor="#fbb040"/>
            <v:line style="position:absolute" from="5982,3581" to="5982,4164" stroked="true" strokeweight="1.968pt" strokecolor="#00a79d"/>
            <v:line style="position:absolute" from="6402,3712" to="6402,4164" stroked="true" strokeweight="1.968pt" strokecolor="#92278f"/>
            <v:line style="position:absolute" from="6841,3872" to="6841,4164" stroked="true" strokeweight="1.968pt" strokecolor="#603813"/>
            <v:line style="position:absolute" from="7687,4018" to="7687,4164" stroked="true" strokeweight="1.968pt" strokecolor="#1b75bc"/>
            <v:line style="position:absolute" from="8120,4051" to="8120,4164" stroked="true" strokeweight="1.968pt" strokecolor="#2ab673"/>
            <v:line style="position:absolute" from="8534,3541" to="8534,4164" stroked="true" strokeweight="1.968pt" strokecolor="#cce7d3"/>
            <v:line style="position:absolute" from="7274,3938" to="7274,4164" stroked="true" strokeweight="1.968pt" strokecolor="#006738"/>
            <v:shape style="position:absolute;left:1099;top:4122;width:72;height:107" coordorigin="1099,4122" coordsize="72,107" path="m1148,4122l1120,4122,1109,4130,1101,4154,1099,4164,1099,4191,1102,4203,1113,4223,1122,4228,1148,4228,1158,4222,1161,4216,1126,4216,1120,4211,1114,4195,1113,4187,1113,4162,1115,4151,1122,4137,1128,4133,1161,4133,1158,4127,1148,4122xm1161,4133l1144,4133,1149,4137,1155,4152,1157,4162,1157,4191,1155,4201,1147,4213,1141,4216,1161,4216,1165,4208,1169,4199,1171,4187,1171,4159,1168,4147,1161,4133xe" filled="true" fillcolor="#231f20" stroked="false">
              <v:path arrowok="t"/>
              <v:fill type="solid"/>
            </v:shape>
            <v:line style="position:absolute" from="1205,4164" to="8573,4164" stroked="true" strokeweight="1pt" strokecolor="#231f20"/>
            <w10:wrap type="topAndBottom"/>
          </v:group>
        </w:pict>
      </w:r>
    </w:p>
    <w:p>
      <w:pPr>
        <w:pStyle w:val="BodyText"/>
        <w:spacing w:before="1"/>
        <w:rPr>
          <w:sz w:val="26"/>
        </w:rPr>
      </w:pPr>
    </w:p>
    <w:p>
      <w:pPr>
        <w:pStyle w:val="BodyText"/>
        <w:spacing w:before="2"/>
        <w:rPr>
          <w:sz w:val="20"/>
        </w:rPr>
      </w:pPr>
    </w:p>
    <w:p>
      <w:pPr>
        <w:pStyle w:val="BodyText"/>
        <w:spacing w:before="10"/>
        <w:rPr>
          <w:sz w:val="4"/>
        </w:rPr>
      </w:pPr>
    </w:p>
    <w:p>
      <w:pPr>
        <w:spacing w:line="240" w:lineRule="auto"/>
        <w:ind w:left="387" w:right="-2" w:firstLine="0"/>
        <w:rPr>
          <w:sz w:val="20"/>
        </w:rPr>
      </w:pPr>
      <w:r>
        <w:rPr>
          <w:position w:val="2"/>
          <w:sz w:val="20"/>
        </w:rPr>
        <w:drawing>
          <wp:inline distT="0" distB="0" distL="0" distR="0">
            <wp:extent cx="156077" cy="142875"/>
            <wp:effectExtent l="0" t="0" r="0" b="0"/>
            <wp:docPr id="291" name="image547.png" descr=""/>
            <wp:cNvGraphicFramePr>
              <a:graphicFrameLocks noChangeAspect="1"/>
            </wp:cNvGraphicFramePr>
            <a:graphic>
              <a:graphicData uri="http://schemas.openxmlformats.org/drawingml/2006/picture">
                <pic:pic>
                  <pic:nvPicPr>
                    <pic:cNvPr id="292" name="image547.png"/>
                    <pic:cNvPicPr/>
                  </pic:nvPicPr>
                  <pic:blipFill>
                    <a:blip r:embed="rId608" cstate="print"/>
                    <a:stretch>
                      <a:fillRect/>
                    </a:stretch>
                  </pic:blipFill>
                  <pic:spPr>
                    <a:xfrm>
                      <a:off x="0" y="0"/>
                      <a:ext cx="156077" cy="142875"/>
                    </a:xfrm>
                    <a:prstGeom prst="rect">
                      <a:avLst/>
                    </a:prstGeom>
                  </pic:spPr>
                </pic:pic>
              </a:graphicData>
            </a:graphic>
          </wp:inline>
        </w:drawing>
      </w:r>
      <w:r>
        <w:rPr>
          <w:position w:val="2"/>
          <w:sz w:val="20"/>
        </w:rPr>
      </w:r>
      <w:r>
        <w:rPr>
          <w:spacing w:val="88"/>
          <w:position w:val="2"/>
          <w:sz w:val="20"/>
        </w:rPr>
        <w:t> </w:t>
      </w:r>
      <w:r>
        <w:rPr>
          <w:spacing w:val="88"/>
          <w:position w:val="2"/>
          <w:sz w:val="20"/>
        </w:rPr>
        <w:pict>
          <v:group style="width:14.35pt;height:11.35pt;mso-position-horizontal-relative:char;mso-position-vertical-relative:line" coordorigin="0,0" coordsize="287,227">
            <v:shape style="position:absolute;left:0;top:1;width:31;height:83" coordorigin="0,1" coordsize="31,83" path="m31,1l22,1,21,7,19,11,13,14,8,16,0,16,0,24,19,24,19,83,31,83,31,1xe" filled="true" fillcolor="#231f20" stroked="false">
              <v:path arrowok="t"/>
              <v:fill type="solid"/>
            </v:shape>
            <v:shape style="position:absolute;left:58;top:0;width:57;height:85" coordorigin="58,0" coordsize="57,85" path="m97,0l74,0,66,6,59,26,58,34,58,55,60,65,69,81,76,85,97,85,105,80,107,76,79,76,75,72,70,59,69,53,69,32,71,24,76,12,81,10,107,10,105,5,97,0xm107,10l94,10,98,13,103,25,104,32,104,55,102,64,96,73,92,76,107,76,113,62,115,53,115,30,113,20,107,10xe" filled="true" fillcolor="#231f20" stroked="false">
              <v:path arrowok="t"/>
              <v:fill type="solid"/>
            </v:shape>
            <v:line style="position:absolute" from="125,50" to="154,50" stroked="true" strokeweight=".533pt" strokecolor="#231f20"/>
            <v:shape style="position:absolute;left:171;top:1;width:31;height:83" coordorigin="171,1" coordsize="31,83" path="m201,1l193,1,192,7,189,11,183,14,178,16,171,16,171,24,190,24,190,83,201,83,201,1xe" filled="true" fillcolor="#231f20" stroked="false">
              <v:path arrowok="t"/>
              <v:fill type="solid"/>
            </v:shape>
            <v:shape style="position:absolute;left:228;top:0;width:59;height:83" coordorigin="228,0" coordsize="59,83" path="m275,63l264,63,264,83,275,83,275,63xm275,0l266,0,228,52,228,63,287,63,287,54,238,54,264,16,275,16,275,0xm275,16l264,16,264,54,275,54,275,16xe" filled="true" fillcolor="#231f20" stroked="false">
              <v:path arrowok="t"/>
              <v:fill type="solid"/>
            </v:shape>
            <v:shape style="position:absolute;left:16;top:161;width:59;height:66" coordorigin="16,161" coordsize="59,66" path="m67,170l48,170,52,171,57,174,58,177,58,182,58,183,56,186,55,187,30,190,25,192,18,198,16,203,16,214,18,218,25,225,30,227,41,227,45,226,53,221,56,219,57,218,35,218,33,217,28,213,27,211,27,204,29,201,34,198,37,198,47,196,49,196,51,196,55,195,56,194,58,193,68,193,68,172,67,170xm69,216l58,216,58,219,59,221,62,225,64,226,70,226,72,226,73,225,75,225,75,217,70,217,69,217,69,216xm68,193l58,193,58,208,55,212,49,215,46,217,42,218,57,218,58,216,69,216,68,216,68,215,68,193xm75,217l74,217,70,217,75,217,75,217xm51,161l37,161,32,163,22,169,20,174,20,182,29,182,30,178,31,176,34,171,38,170,67,170,66,168,57,163,51,161xe" filled="true" fillcolor="#231f20" stroked="false">
              <v:path arrowok="t"/>
              <v:fill type="solid"/>
            </v:shape>
            <v:shape style="position:absolute;left:85;top:140;width:51;height:85" coordorigin="85,140" coordsize="51,85" path="m95,163l85,163,85,225,95,225,95,188,96,185,97,181,98,179,102,174,104,172,107,172,95,172,95,163xm133,171l118,171,121,173,124,179,125,182,125,225,135,225,135,179,134,174,133,171xm124,161l111,161,107,162,101,165,98,168,95,172,107,172,109,171,111,171,133,171,130,164,124,161xm100,141l97,143,94,148,93,150,92,153,98,153,98,152,99,150,101,149,102,148,130,148,131,148,132,145,123,145,119,145,118,144,117,144,113,142,111,142,107,141,100,141xm130,148l102,148,105,148,107,149,109,149,114,151,115,152,116,152,119,153,123,153,126,152,130,148xm133,140l127,140,127,141,126,142,126,142,125,144,123,145,132,145,132,145,133,140xe" filled="true" fillcolor="#231f20" stroked="false">
              <v:path arrowok="t"/>
              <v:fill type="solid"/>
            </v:shape>
            <v:shape style="position:absolute;left:146;top:161;width:58;height:66" coordorigin="146,161" coordsize="58,66" path="m183,161l167,161,160,164,149,176,146,185,146,205,149,212,159,224,166,227,184,227,192,223,196,218,169,218,164,216,159,207,157,201,157,188,159,182,164,172,169,170,197,170,190,164,183,161xm197,170l182,170,187,173,192,182,193,187,193,199,191,205,186,215,182,218,196,218,201,210,204,202,204,182,201,174,197,170xe" filled="true" fillcolor="#231f20" stroked="false">
              <v:path arrowok="t"/>
              <v:fill type="solid"/>
            </v:shape>
            <v:shape style="position:absolute;left:213;top:161;width:52;height:66" coordorigin="213,161" coordsize="52,66" path="m223,205l213,205,213,211,215,216,223,225,229,227,247,227,254,225,261,218,232,218,228,216,224,211,223,209,223,205xm247,161l231,161,225,163,216,170,214,175,214,186,217,190,224,194,228,195,246,200,249,201,253,203,254,205,254,211,252,214,246,217,243,218,261,218,262,217,264,212,264,201,262,197,256,192,250,191,233,186,230,186,229,185,226,183,225,181,225,176,226,174,230,171,233,170,259,170,254,164,247,161xm259,170l243,170,247,171,250,174,251,176,252,178,252,181,262,181,262,176,261,173,259,170xe" filled="true" fillcolor="#231f20" stroked="false">
              <v:path arrowok="t"/>
              <v:fill type="solid"/>
            </v:shape>
          </v:group>
        </w:pict>
      </w:r>
      <w:r>
        <w:rPr>
          <w:spacing w:val="88"/>
          <w:position w:val="2"/>
          <w:sz w:val="20"/>
        </w:rPr>
      </w:r>
      <w:r>
        <w:rPr>
          <w:spacing w:val="106"/>
          <w:position w:val="2"/>
          <w:sz w:val="20"/>
        </w:rPr>
        <w:t> </w:t>
      </w:r>
      <w:r>
        <w:rPr>
          <w:spacing w:val="106"/>
          <w:position w:val="2"/>
          <w:sz w:val="20"/>
        </w:rPr>
        <w:drawing>
          <wp:inline distT="0" distB="0" distL="0" distR="0">
            <wp:extent cx="179615" cy="142875"/>
            <wp:effectExtent l="0" t="0" r="0" b="0"/>
            <wp:docPr id="293" name="image548.png" descr=""/>
            <wp:cNvGraphicFramePr>
              <a:graphicFrameLocks noChangeAspect="1"/>
            </wp:cNvGraphicFramePr>
            <a:graphic>
              <a:graphicData uri="http://schemas.openxmlformats.org/drawingml/2006/picture">
                <pic:pic>
                  <pic:nvPicPr>
                    <pic:cNvPr id="294" name="image548.png"/>
                    <pic:cNvPicPr/>
                  </pic:nvPicPr>
                  <pic:blipFill>
                    <a:blip r:embed="rId609" cstate="print"/>
                    <a:stretch>
                      <a:fillRect/>
                    </a:stretch>
                  </pic:blipFill>
                  <pic:spPr>
                    <a:xfrm>
                      <a:off x="0" y="0"/>
                      <a:ext cx="179615" cy="142875"/>
                    </a:xfrm>
                    <a:prstGeom prst="rect">
                      <a:avLst/>
                    </a:prstGeom>
                  </pic:spPr>
                </pic:pic>
              </a:graphicData>
            </a:graphic>
          </wp:inline>
        </w:drawing>
      </w:r>
      <w:r>
        <w:rPr>
          <w:spacing w:val="106"/>
          <w:position w:val="2"/>
          <w:sz w:val="20"/>
        </w:rPr>
      </w:r>
      <w:r>
        <w:rPr>
          <w:spacing w:val="72"/>
          <w:position w:val="2"/>
          <w:sz w:val="20"/>
        </w:rPr>
        <w:t> </w:t>
      </w:r>
      <w:r>
        <w:rPr>
          <w:spacing w:val="72"/>
          <w:position w:val="2"/>
          <w:sz w:val="20"/>
        </w:rPr>
        <w:drawing>
          <wp:inline distT="0" distB="0" distL="0" distR="0">
            <wp:extent cx="185358" cy="142875"/>
            <wp:effectExtent l="0" t="0" r="0" b="0"/>
            <wp:docPr id="295" name="image549.png" descr=""/>
            <wp:cNvGraphicFramePr>
              <a:graphicFrameLocks noChangeAspect="1"/>
            </wp:cNvGraphicFramePr>
            <a:graphic>
              <a:graphicData uri="http://schemas.openxmlformats.org/drawingml/2006/picture">
                <pic:pic>
                  <pic:nvPicPr>
                    <pic:cNvPr id="296" name="image549.png"/>
                    <pic:cNvPicPr/>
                  </pic:nvPicPr>
                  <pic:blipFill>
                    <a:blip r:embed="rId610" cstate="print"/>
                    <a:stretch>
                      <a:fillRect/>
                    </a:stretch>
                  </pic:blipFill>
                  <pic:spPr>
                    <a:xfrm>
                      <a:off x="0" y="0"/>
                      <a:ext cx="185358" cy="142875"/>
                    </a:xfrm>
                    <a:prstGeom prst="rect">
                      <a:avLst/>
                    </a:prstGeom>
                  </pic:spPr>
                </pic:pic>
              </a:graphicData>
            </a:graphic>
          </wp:inline>
        </w:drawing>
      </w:r>
      <w:r>
        <w:rPr>
          <w:spacing w:val="72"/>
          <w:position w:val="2"/>
          <w:sz w:val="20"/>
        </w:rPr>
      </w:r>
      <w:r>
        <w:rPr>
          <w:spacing w:val="91"/>
          <w:position w:val="2"/>
          <w:sz w:val="20"/>
        </w:rPr>
        <w:t> </w:t>
      </w:r>
      <w:r>
        <w:rPr>
          <w:spacing w:val="91"/>
          <w:position w:val="2"/>
          <w:sz w:val="20"/>
        </w:rPr>
        <w:drawing>
          <wp:inline distT="0" distB="0" distL="0" distR="0">
            <wp:extent cx="185362" cy="142875"/>
            <wp:effectExtent l="0" t="0" r="0" b="0"/>
            <wp:docPr id="297" name="image550.png" descr=""/>
            <wp:cNvGraphicFramePr>
              <a:graphicFrameLocks noChangeAspect="1"/>
            </wp:cNvGraphicFramePr>
            <a:graphic>
              <a:graphicData uri="http://schemas.openxmlformats.org/drawingml/2006/picture">
                <pic:pic>
                  <pic:nvPicPr>
                    <pic:cNvPr id="298" name="image550.png"/>
                    <pic:cNvPicPr/>
                  </pic:nvPicPr>
                  <pic:blipFill>
                    <a:blip r:embed="rId611" cstate="print"/>
                    <a:stretch>
                      <a:fillRect/>
                    </a:stretch>
                  </pic:blipFill>
                  <pic:spPr>
                    <a:xfrm>
                      <a:off x="0" y="0"/>
                      <a:ext cx="185362" cy="142875"/>
                    </a:xfrm>
                    <a:prstGeom prst="rect">
                      <a:avLst/>
                    </a:prstGeom>
                  </pic:spPr>
                </pic:pic>
              </a:graphicData>
            </a:graphic>
          </wp:inline>
        </w:drawing>
      </w:r>
      <w:r>
        <w:rPr>
          <w:spacing w:val="91"/>
          <w:position w:val="2"/>
          <w:sz w:val="20"/>
        </w:rPr>
      </w:r>
      <w:r>
        <w:rPr>
          <w:spacing w:val="91"/>
          <w:position w:val="2"/>
          <w:sz w:val="20"/>
        </w:rPr>
        <w:t> </w:t>
      </w:r>
      <w:r>
        <w:rPr>
          <w:spacing w:val="91"/>
          <w:position w:val="2"/>
          <w:sz w:val="20"/>
        </w:rPr>
        <w:drawing>
          <wp:inline distT="0" distB="0" distL="0" distR="0">
            <wp:extent cx="185352" cy="142875"/>
            <wp:effectExtent l="0" t="0" r="0" b="0"/>
            <wp:docPr id="299" name="image551.png" descr=""/>
            <wp:cNvGraphicFramePr>
              <a:graphicFrameLocks noChangeAspect="1"/>
            </wp:cNvGraphicFramePr>
            <a:graphic>
              <a:graphicData uri="http://schemas.openxmlformats.org/drawingml/2006/picture">
                <pic:pic>
                  <pic:nvPicPr>
                    <pic:cNvPr id="300" name="image551.png"/>
                    <pic:cNvPicPr/>
                  </pic:nvPicPr>
                  <pic:blipFill>
                    <a:blip r:embed="rId612" cstate="print"/>
                    <a:stretch>
                      <a:fillRect/>
                    </a:stretch>
                  </pic:blipFill>
                  <pic:spPr>
                    <a:xfrm>
                      <a:off x="0" y="0"/>
                      <a:ext cx="185352" cy="142875"/>
                    </a:xfrm>
                    <a:prstGeom prst="rect">
                      <a:avLst/>
                    </a:prstGeom>
                  </pic:spPr>
                </pic:pic>
              </a:graphicData>
            </a:graphic>
          </wp:inline>
        </w:drawing>
      </w:r>
      <w:r>
        <w:rPr>
          <w:spacing w:val="91"/>
          <w:position w:val="2"/>
          <w:sz w:val="20"/>
        </w:rPr>
      </w:r>
      <w:r>
        <w:rPr>
          <w:spacing w:val="83"/>
          <w:position w:val="2"/>
          <w:sz w:val="20"/>
        </w:rPr>
        <w:t> </w:t>
      </w:r>
      <w:r>
        <w:rPr>
          <w:spacing w:val="83"/>
          <w:position w:val="2"/>
          <w:sz w:val="20"/>
        </w:rPr>
        <w:drawing>
          <wp:inline distT="0" distB="0" distL="0" distR="0">
            <wp:extent cx="184960" cy="142875"/>
            <wp:effectExtent l="0" t="0" r="0" b="0"/>
            <wp:docPr id="301" name="image552.png" descr=""/>
            <wp:cNvGraphicFramePr>
              <a:graphicFrameLocks noChangeAspect="1"/>
            </wp:cNvGraphicFramePr>
            <a:graphic>
              <a:graphicData uri="http://schemas.openxmlformats.org/drawingml/2006/picture">
                <pic:pic>
                  <pic:nvPicPr>
                    <pic:cNvPr id="302" name="image552.png"/>
                    <pic:cNvPicPr/>
                  </pic:nvPicPr>
                  <pic:blipFill>
                    <a:blip r:embed="rId613" cstate="print"/>
                    <a:stretch>
                      <a:fillRect/>
                    </a:stretch>
                  </pic:blipFill>
                  <pic:spPr>
                    <a:xfrm>
                      <a:off x="0" y="0"/>
                      <a:ext cx="184960" cy="142875"/>
                    </a:xfrm>
                    <a:prstGeom prst="rect">
                      <a:avLst/>
                    </a:prstGeom>
                  </pic:spPr>
                </pic:pic>
              </a:graphicData>
            </a:graphic>
          </wp:inline>
        </w:drawing>
      </w:r>
      <w:r>
        <w:rPr>
          <w:spacing w:val="83"/>
          <w:position w:val="2"/>
          <w:sz w:val="20"/>
        </w:rPr>
      </w:r>
      <w:r>
        <w:rPr>
          <w:spacing w:val="91"/>
          <w:position w:val="2"/>
          <w:sz w:val="20"/>
        </w:rPr>
        <w:t> </w:t>
      </w:r>
      <w:r>
        <w:rPr>
          <w:spacing w:val="91"/>
          <w:position w:val="2"/>
          <w:sz w:val="20"/>
        </w:rPr>
        <w:pict>
          <v:group style="width:14.8pt;height:11.35pt;mso-position-horizontal-relative:char;mso-position-vertical-relative:line" coordorigin="0,0" coordsize="296,227">
            <v:shape style="position:absolute;left:0;top:0;width:59;height:83" coordorigin="0,0" coordsize="59,83" path="m47,63l36,63,36,83,47,83,47,63xm47,0l38,0,0,52,0,63,59,63,59,54,10,54,36,16,47,16,47,0xm47,16l36,16,36,54,47,54,47,16xe" filled="true" fillcolor="#231f20" stroked="false">
              <v:path arrowok="t"/>
              <v:fill type="solid"/>
            </v:shape>
            <v:shape style="position:absolute;left:66;top:0;width:57;height:85" coordorigin="66,0" coordsize="57,85" path="m105,0l83,0,75,6,68,26,66,34,66,55,68,65,77,81,85,85,106,85,113,80,115,76,88,76,83,72,78,59,78,53,78,32,79,24,85,12,89,10,116,10,113,5,105,0xm116,10l102,10,106,13,111,25,112,32,112,55,111,64,104,73,100,76,115,76,122,62,123,53,123,30,122,20,116,10xe" filled="true" fillcolor="#231f20" stroked="false">
              <v:path arrowok="t"/>
              <v:fill type="solid"/>
            </v:shape>
            <v:line style="position:absolute" from="133,50" to="162,50" stroked="true" strokeweight=".533pt" strokecolor="#231f20"/>
            <v:shape style="position:absolute;left:171;top:0;width:59;height:83" coordorigin="171,0" coordsize="59,83" path="m217,63l207,63,207,83,217,83,217,63xm217,0l209,0,171,52,171,63,229,63,229,54,180,54,207,16,217,16,217,0xm217,16l207,16,207,54,217,54,217,16xe" filled="true" fillcolor="#231f20" stroked="false">
              <v:path arrowok="t"/>
              <v:fill type="solid"/>
            </v:shape>
            <v:shape style="position:absolute;left:236;top:0;width:59;height:83" coordorigin="236,0" coordsize="59,83" path="m283,63l273,63,273,83,283,83,283,63xm283,0l274,0,236,52,236,63,295,63,295,54,246,54,272,16,283,16,283,0xm283,16l272,16,272,54,283,54,283,16xe" filled="true" fillcolor="#231f20" stroked="false">
              <v:path arrowok="t"/>
              <v:fill type="solid"/>
            </v:shape>
            <v:shape style="position:absolute;left:25;top:161;width:59;height:66" coordorigin="25,161" coordsize="59,66" path="m75,170l56,170,60,171,65,174,66,177,66,182,66,183,65,186,63,187,38,190,34,192,27,198,25,203,25,214,27,218,34,225,38,227,49,227,53,226,61,221,64,219,65,218,44,218,41,217,37,213,36,211,36,204,37,201,42,198,45,198,55,196,57,196,59,196,63,195,65,194,66,193,76,193,76,172,75,170xm77,216l66,216,67,219,67,221,70,225,72,226,79,226,80,226,82,225,83,225,83,217,78,217,77,217,77,216xm76,193l66,193,66,208,63,212,57,215,54,217,50,218,65,218,66,216,77,216,76,216,76,215,76,193xm83,217l82,217,78,217,83,217,83,217xm59,161l46,161,40,163,31,169,28,174,28,182,38,182,38,178,39,176,42,171,46,170,75,170,74,168,65,163,59,161xe" filled="true" fillcolor="#231f20" stroked="false">
              <v:path arrowok="t"/>
              <v:fill type="solid"/>
            </v:shape>
            <v:shape style="position:absolute;left:93;top:140;width:51;height:85" coordorigin="93,140" coordsize="51,85" path="m103,163l93,163,93,225,104,225,104,188,104,185,105,181,106,179,110,174,112,172,115,172,103,172,103,163xm141,171l126,171,130,173,133,179,133,182,133,225,144,225,144,179,143,174,141,171xm132,161l119,161,116,162,109,165,106,168,103,172,115,172,117,171,119,171,141,171,138,164,132,161xm109,141l105,143,102,148,101,150,101,153,106,153,107,152,107,150,109,149,110,148,139,148,139,148,140,145,132,145,128,145,126,144,125,144,121,142,119,142,116,141,109,141xm139,148l110,148,114,148,115,149,117,149,122,151,123,152,124,152,127,153,132,153,134,152,139,148xm141,140l135,140,135,141,135,142,135,142,133,144,132,145,140,145,140,145,141,140xe" filled="true" fillcolor="#231f20" stroked="false">
              <v:path arrowok="t"/>
              <v:fill type="solid"/>
            </v:shape>
            <v:shape style="position:absolute;left:155;top:161;width:58;height:66" coordorigin="155,161" coordsize="58,66" path="m192,161l175,161,168,164,157,176,155,185,155,205,157,212,167,224,174,227,192,227,200,223,204,218,177,218,173,216,167,207,165,201,165,188,167,182,173,172,177,170,205,170,198,164,192,161xm205,170l190,170,195,173,200,182,201,187,201,199,200,205,195,215,190,218,204,218,209,210,212,202,212,182,209,174,205,170xe" filled="true" fillcolor="#231f20" stroked="false">
              <v:path arrowok="t"/>
              <v:fill type="solid"/>
            </v:shape>
            <v:shape style="position:absolute;left:221;top:161;width:52;height:66" coordorigin="221,161" coordsize="52,66" path="m231,205l221,205,221,211,223,216,227,221,231,225,238,227,255,227,262,225,269,218,241,218,236,216,232,211,231,209,231,205xm256,161l239,161,233,163,225,170,223,175,223,186,225,190,232,194,236,195,254,200,257,201,261,203,262,205,262,211,261,214,255,217,251,218,269,218,270,217,272,212,272,201,270,197,264,192,259,191,241,186,239,186,237,185,234,183,233,181,233,176,234,174,238,171,241,170,267,170,262,164,256,161xm267,170l251,170,256,171,258,174,260,176,260,178,261,181,270,181,270,176,269,173,267,170xe" filled="true" fillcolor="#231f20" stroked="false">
              <v:path arrowok="t"/>
              <v:fill type="solid"/>
            </v:shape>
          </v:group>
        </w:pict>
      </w:r>
      <w:r>
        <w:rPr>
          <w:spacing w:val="91"/>
          <w:position w:val="2"/>
          <w:sz w:val="20"/>
        </w:rPr>
      </w:r>
      <w:r>
        <w:rPr>
          <w:spacing w:val="60"/>
          <w:position w:val="2"/>
          <w:sz w:val="20"/>
        </w:rPr>
        <w:t> </w:t>
      </w:r>
      <w:r>
        <w:rPr>
          <w:spacing w:val="60"/>
          <w:position w:val="2"/>
          <w:sz w:val="20"/>
        </w:rPr>
        <w:drawing>
          <wp:inline distT="0" distB="0" distL="0" distR="0">
            <wp:extent cx="184761" cy="142875"/>
            <wp:effectExtent l="0" t="0" r="0" b="0"/>
            <wp:docPr id="303" name="image553.png" descr=""/>
            <wp:cNvGraphicFramePr>
              <a:graphicFrameLocks noChangeAspect="1"/>
            </wp:cNvGraphicFramePr>
            <a:graphic>
              <a:graphicData uri="http://schemas.openxmlformats.org/drawingml/2006/picture">
                <pic:pic>
                  <pic:nvPicPr>
                    <pic:cNvPr id="304" name="image553.png"/>
                    <pic:cNvPicPr/>
                  </pic:nvPicPr>
                  <pic:blipFill>
                    <a:blip r:embed="rId614" cstate="print"/>
                    <a:stretch>
                      <a:fillRect/>
                    </a:stretch>
                  </pic:blipFill>
                  <pic:spPr>
                    <a:xfrm>
                      <a:off x="0" y="0"/>
                      <a:ext cx="184761" cy="142875"/>
                    </a:xfrm>
                    <a:prstGeom prst="rect">
                      <a:avLst/>
                    </a:prstGeom>
                  </pic:spPr>
                </pic:pic>
              </a:graphicData>
            </a:graphic>
          </wp:inline>
        </w:drawing>
      </w:r>
      <w:r>
        <w:rPr>
          <w:spacing w:val="60"/>
          <w:position w:val="2"/>
          <w:sz w:val="20"/>
        </w:rPr>
      </w:r>
      <w:r>
        <w:rPr>
          <w:spacing w:val="106"/>
          <w:position w:val="2"/>
          <w:sz w:val="20"/>
        </w:rPr>
        <w:t> </w:t>
      </w:r>
      <w:r>
        <w:rPr>
          <w:spacing w:val="106"/>
          <w:position w:val="2"/>
          <w:sz w:val="20"/>
        </w:rPr>
        <w:drawing>
          <wp:inline distT="0" distB="0" distL="0" distR="0">
            <wp:extent cx="185333" cy="142875"/>
            <wp:effectExtent l="0" t="0" r="0" b="0"/>
            <wp:docPr id="305" name="image554.png" descr=""/>
            <wp:cNvGraphicFramePr>
              <a:graphicFrameLocks noChangeAspect="1"/>
            </wp:cNvGraphicFramePr>
            <a:graphic>
              <a:graphicData uri="http://schemas.openxmlformats.org/drawingml/2006/picture">
                <pic:pic>
                  <pic:nvPicPr>
                    <pic:cNvPr id="306" name="image554.png"/>
                    <pic:cNvPicPr/>
                  </pic:nvPicPr>
                  <pic:blipFill>
                    <a:blip r:embed="rId615" cstate="print"/>
                    <a:stretch>
                      <a:fillRect/>
                    </a:stretch>
                  </pic:blipFill>
                  <pic:spPr>
                    <a:xfrm>
                      <a:off x="0" y="0"/>
                      <a:ext cx="185333" cy="142875"/>
                    </a:xfrm>
                    <a:prstGeom prst="rect">
                      <a:avLst/>
                    </a:prstGeom>
                  </pic:spPr>
                </pic:pic>
              </a:graphicData>
            </a:graphic>
          </wp:inline>
        </w:drawing>
      </w:r>
      <w:r>
        <w:rPr>
          <w:spacing w:val="106"/>
          <w:position w:val="2"/>
          <w:sz w:val="20"/>
        </w:rPr>
      </w:r>
      <w:r>
        <w:rPr>
          <w:spacing w:val="91"/>
          <w:position w:val="2"/>
          <w:sz w:val="20"/>
        </w:rPr>
        <w:t> </w:t>
      </w:r>
      <w:r>
        <w:rPr>
          <w:spacing w:val="91"/>
          <w:position w:val="2"/>
          <w:sz w:val="20"/>
        </w:rPr>
        <w:drawing>
          <wp:inline distT="0" distB="0" distL="0" distR="0">
            <wp:extent cx="184334" cy="142875"/>
            <wp:effectExtent l="0" t="0" r="0" b="0"/>
            <wp:docPr id="307" name="image555.png" descr=""/>
            <wp:cNvGraphicFramePr>
              <a:graphicFrameLocks noChangeAspect="1"/>
            </wp:cNvGraphicFramePr>
            <a:graphic>
              <a:graphicData uri="http://schemas.openxmlformats.org/drawingml/2006/picture">
                <pic:pic>
                  <pic:nvPicPr>
                    <pic:cNvPr id="308" name="image555.png"/>
                    <pic:cNvPicPr/>
                  </pic:nvPicPr>
                  <pic:blipFill>
                    <a:blip r:embed="rId616" cstate="print"/>
                    <a:stretch>
                      <a:fillRect/>
                    </a:stretch>
                  </pic:blipFill>
                  <pic:spPr>
                    <a:xfrm>
                      <a:off x="0" y="0"/>
                      <a:ext cx="184334" cy="142875"/>
                    </a:xfrm>
                    <a:prstGeom prst="rect">
                      <a:avLst/>
                    </a:prstGeom>
                  </pic:spPr>
                </pic:pic>
              </a:graphicData>
            </a:graphic>
          </wp:inline>
        </w:drawing>
      </w:r>
      <w:r>
        <w:rPr>
          <w:spacing w:val="91"/>
          <w:position w:val="2"/>
          <w:sz w:val="20"/>
        </w:rPr>
      </w:r>
      <w:r>
        <w:rPr>
          <w:spacing w:val="86"/>
          <w:position w:val="2"/>
          <w:sz w:val="20"/>
        </w:rPr>
        <w:t> </w:t>
      </w:r>
      <w:r>
        <w:rPr>
          <w:spacing w:val="86"/>
          <w:position w:val="2"/>
          <w:sz w:val="20"/>
        </w:rPr>
        <w:drawing>
          <wp:inline distT="0" distB="0" distL="0" distR="0">
            <wp:extent cx="184843" cy="142875"/>
            <wp:effectExtent l="0" t="0" r="0" b="0"/>
            <wp:docPr id="309" name="image556.png" descr=""/>
            <wp:cNvGraphicFramePr>
              <a:graphicFrameLocks noChangeAspect="1"/>
            </wp:cNvGraphicFramePr>
            <a:graphic>
              <a:graphicData uri="http://schemas.openxmlformats.org/drawingml/2006/picture">
                <pic:pic>
                  <pic:nvPicPr>
                    <pic:cNvPr id="310" name="image556.png"/>
                    <pic:cNvPicPr/>
                  </pic:nvPicPr>
                  <pic:blipFill>
                    <a:blip r:embed="rId617" cstate="print"/>
                    <a:stretch>
                      <a:fillRect/>
                    </a:stretch>
                  </pic:blipFill>
                  <pic:spPr>
                    <a:xfrm>
                      <a:off x="0" y="0"/>
                      <a:ext cx="184843" cy="142875"/>
                    </a:xfrm>
                    <a:prstGeom prst="rect">
                      <a:avLst/>
                    </a:prstGeom>
                  </pic:spPr>
                </pic:pic>
              </a:graphicData>
            </a:graphic>
          </wp:inline>
        </w:drawing>
      </w:r>
      <w:r>
        <w:rPr>
          <w:spacing w:val="86"/>
          <w:position w:val="2"/>
          <w:sz w:val="20"/>
        </w:rPr>
      </w:r>
      <w:r>
        <w:rPr>
          <w:spacing w:val="78"/>
          <w:position w:val="2"/>
          <w:sz w:val="20"/>
        </w:rPr>
        <w:t> </w:t>
      </w:r>
      <w:r>
        <w:rPr>
          <w:spacing w:val="78"/>
          <w:position w:val="2"/>
          <w:sz w:val="20"/>
        </w:rPr>
        <w:drawing>
          <wp:inline distT="0" distB="0" distL="0" distR="0">
            <wp:extent cx="184083" cy="142875"/>
            <wp:effectExtent l="0" t="0" r="0" b="0"/>
            <wp:docPr id="311" name="image557.png" descr=""/>
            <wp:cNvGraphicFramePr>
              <a:graphicFrameLocks noChangeAspect="1"/>
            </wp:cNvGraphicFramePr>
            <a:graphic>
              <a:graphicData uri="http://schemas.openxmlformats.org/drawingml/2006/picture">
                <pic:pic>
                  <pic:nvPicPr>
                    <pic:cNvPr id="312" name="image557.png"/>
                    <pic:cNvPicPr/>
                  </pic:nvPicPr>
                  <pic:blipFill>
                    <a:blip r:embed="rId618" cstate="print"/>
                    <a:stretch>
                      <a:fillRect/>
                    </a:stretch>
                  </pic:blipFill>
                  <pic:spPr>
                    <a:xfrm>
                      <a:off x="0" y="0"/>
                      <a:ext cx="184083" cy="142875"/>
                    </a:xfrm>
                    <a:prstGeom prst="rect">
                      <a:avLst/>
                    </a:prstGeom>
                  </pic:spPr>
                </pic:pic>
              </a:graphicData>
            </a:graphic>
          </wp:inline>
        </w:drawing>
      </w:r>
      <w:r>
        <w:rPr>
          <w:spacing w:val="78"/>
          <w:position w:val="2"/>
          <w:sz w:val="20"/>
        </w:rPr>
      </w:r>
      <w:r>
        <w:rPr>
          <w:spacing w:val="99"/>
          <w:position w:val="2"/>
          <w:sz w:val="20"/>
        </w:rPr>
        <w:t> </w:t>
      </w:r>
      <w:r>
        <w:rPr>
          <w:spacing w:val="99"/>
          <w:position w:val="2"/>
          <w:sz w:val="20"/>
        </w:rPr>
        <w:drawing>
          <wp:inline distT="0" distB="0" distL="0" distR="0">
            <wp:extent cx="184843" cy="142875"/>
            <wp:effectExtent l="0" t="0" r="0" b="0"/>
            <wp:docPr id="313" name="image558.png" descr=""/>
            <wp:cNvGraphicFramePr>
              <a:graphicFrameLocks noChangeAspect="1"/>
            </wp:cNvGraphicFramePr>
            <a:graphic>
              <a:graphicData uri="http://schemas.openxmlformats.org/drawingml/2006/picture">
                <pic:pic>
                  <pic:nvPicPr>
                    <pic:cNvPr id="314" name="image558.png"/>
                    <pic:cNvPicPr/>
                  </pic:nvPicPr>
                  <pic:blipFill>
                    <a:blip r:embed="rId619" cstate="print"/>
                    <a:stretch>
                      <a:fillRect/>
                    </a:stretch>
                  </pic:blipFill>
                  <pic:spPr>
                    <a:xfrm>
                      <a:off x="0" y="0"/>
                      <a:ext cx="184843" cy="142875"/>
                    </a:xfrm>
                    <a:prstGeom prst="rect">
                      <a:avLst/>
                    </a:prstGeom>
                  </pic:spPr>
                </pic:pic>
              </a:graphicData>
            </a:graphic>
          </wp:inline>
        </w:drawing>
      </w:r>
      <w:r>
        <w:rPr>
          <w:spacing w:val="99"/>
          <w:position w:val="2"/>
          <w:sz w:val="20"/>
        </w:rPr>
      </w:r>
      <w:r>
        <w:rPr>
          <w:spacing w:val="91"/>
          <w:position w:val="2"/>
          <w:sz w:val="20"/>
        </w:rPr>
        <w:t> </w:t>
      </w:r>
      <w:r>
        <w:rPr>
          <w:spacing w:val="91"/>
          <w:position w:val="2"/>
          <w:sz w:val="20"/>
        </w:rPr>
        <w:drawing>
          <wp:inline distT="0" distB="0" distL="0" distR="0">
            <wp:extent cx="184015" cy="142875"/>
            <wp:effectExtent l="0" t="0" r="0" b="0"/>
            <wp:docPr id="315" name="image559.png" descr=""/>
            <wp:cNvGraphicFramePr>
              <a:graphicFrameLocks noChangeAspect="1"/>
            </wp:cNvGraphicFramePr>
            <a:graphic>
              <a:graphicData uri="http://schemas.openxmlformats.org/drawingml/2006/picture">
                <pic:pic>
                  <pic:nvPicPr>
                    <pic:cNvPr id="316" name="image559.png"/>
                    <pic:cNvPicPr/>
                  </pic:nvPicPr>
                  <pic:blipFill>
                    <a:blip r:embed="rId620" cstate="print"/>
                    <a:stretch>
                      <a:fillRect/>
                    </a:stretch>
                  </pic:blipFill>
                  <pic:spPr>
                    <a:xfrm>
                      <a:off x="0" y="0"/>
                      <a:ext cx="184015" cy="142875"/>
                    </a:xfrm>
                    <a:prstGeom prst="rect">
                      <a:avLst/>
                    </a:prstGeom>
                  </pic:spPr>
                </pic:pic>
              </a:graphicData>
            </a:graphic>
          </wp:inline>
        </w:drawing>
      </w:r>
      <w:r>
        <w:rPr>
          <w:spacing w:val="91"/>
          <w:position w:val="2"/>
          <w:sz w:val="20"/>
        </w:rPr>
      </w:r>
      <w:r>
        <w:rPr>
          <w:spacing w:val="73"/>
          <w:position w:val="2"/>
          <w:sz w:val="20"/>
        </w:rPr>
        <w:t> </w:t>
      </w:r>
      <w:r>
        <w:rPr>
          <w:spacing w:val="73"/>
          <w:sz w:val="20"/>
        </w:rPr>
        <w:pict>
          <v:group style="width:62.4pt;height:12.65pt;mso-position-horizontal-relative:char;mso-position-vertical-relative:line" coordorigin="0,0" coordsize="1248,253">
            <v:shape style="position:absolute;left:0;top:0;width:774;height:231" type="#_x0000_t75" stroked="false">
              <v:imagedata r:id="rId621" o:title=""/>
            </v:shape>
            <v:shape style="position:absolute;left:927;top:2;width:67;height:85" coordorigin="927,2" coordsize="67,85" path="m941,2l927,2,927,87,938,87,938,18,951,18,941,2xm951,18l938,18,981,87,994,87,994,70,983,70,951,18xm994,2l983,2,983,70,994,70,994,2xe" filled="true" fillcolor="#231f20" stroked="false">
              <v:path arrowok="t"/>
              <v:fill type="solid"/>
            </v:shape>
            <v:shape style="position:absolute;left:1007;top:23;width:58;height:66" coordorigin="1007,23" coordsize="58,66" path="m1044,23l1027,23,1020,26,1009,38,1007,47,1007,67,1009,74,1019,86,1026,89,1044,89,1052,86,1056,80,1029,80,1025,78,1019,69,1017,63,1017,50,1019,44,1025,35,1029,32,1057,32,1050,26,1044,23xm1057,32l1042,32,1047,35,1052,44,1053,49,1053,61,1052,67,1047,77,1042,80,1056,80,1062,73,1064,64,1064,44,1061,36,1057,32xe" filled="true" fillcolor="#231f20" stroked="false">
              <v:path arrowok="t"/>
              <v:fill type="solid"/>
            </v:shape>
            <v:shape style="position:absolute;left:742;top:142;width:506;height:111" type="#_x0000_t75" stroked="false">
              <v:imagedata r:id="rId622" o:title=""/>
            </v:shape>
          </v:group>
        </w:pict>
      </w:r>
      <w:r>
        <w:rPr>
          <w:spacing w:val="73"/>
          <w:sz w:val="20"/>
        </w:rPr>
      </w:r>
    </w:p>
    <w:p>
      <w:pPr>
        <w:pStyle w:val="BodyText"/>
      </w:pPr>
    </w:p>
    <w:p>
      <w:pPr>
        <w:pStyle w:val="BodyText"/>
        <w:spacing w:before="1"/>
      </w:pPr>
    </w:p>
    <w:p>
      <w:pPr>
        <w:pStyle w:val="BodyText"/>
        <w:spacing w:line="285" w:lineRule="auto"/>
        <w:ind w:left="110" w:right="108"/>
        <w:jc w:val="both"/>
      </w:pPr>
      <w:r>
        <w:rPr>
          <w:color w:val="231F20"/>
          <w:w w:val="105"/>
        </w:rPr>
        <w:t>En materia de salud, su infraestructura pública consta de </w:t>
      </w:r>
      <w:r>
        <w:rPr>
          <w:color w:val="231F20"/>
          <w:spacing w:val="-4"/>
          <w:w w:val="105"/>
        </w:rPr>
        <w:t>11 </w:t>
      </w:r>
      <w:r>
        <w:rPr>
          <w:color w:val="231F20"/>
          <w:w w:val="105"/>
        </w:rPr>
        <w:t>centros de salud y el</w:t>
      </w:r>
      <w:r>
        <w:rPr>
          <w:color w:val="231F20"/>
          <w:spacing w:val="-39"/>
          <w:w w:val="105"/>
        </w:rPr>
        <w:t> </w:t>
      </w:r>
      <w:r>
        <w:rPr>
          <w:color w:val="231F20"/>
          <w:w w:val="105"/>
        </w:rPr>
        <w:t>resto de</w:t>
      </w:r>
      <w:r>
        <w:rPr>
          <w:color w:val="231F20"/>
          <w:spacing w:val="-7"/>
          <w:w w:val="105"/>
        </w:rPr>
        <w:t> </w:t>
      </w:r>
      <w:r>
        <w:rPr>
          <w:color w:val="231F20"/>
          <w:w w:val="105"/>
        </w:rPr>
        <w:t>la</w:t>
      </w:r>
      <w:r>
        <w:rPr>
          <w:color w:val="231F20"/>
          <w:spacing w:val="-7"/>
          <w:w w:val="105"/>
        </w:rPr>
        <w:t> </w:t>
      </w:r>
      <w:r>
        <w:rPr>
          <w:color w:val="231F20"/>
          <w:w w:val="105"/>
        </w:rPr>
        <w:t>infraestructura</w:t>
      </w:r>
      <w:r>
        <w:rPr>
          <w:color w:val="231F20"/>
          <w:spacing w:val="-7"/>
          <w:w w:val="105"/>
        </w:rPr>
        <w:t> </w:t>
      </w:r>
      <w:r>
        <w:rPr>
          <w:color w:val="231F20"/>
          <w:w w:val="105"/>
        </w:rPr>
        <w:t>es</w:t>
      </w:r>
      <w:r>
        <w:rPr>
          <w:color w:val="231F20"/>
          <w:spacing w:val="-7"/>
          <w:w w:val="105"/>
        </w:rPr>
        <w:t> </w:t>
      </w:r>
      <w:r>
        <w:rPr>
          <w:color w:val="231F20"/>
          <w:w w:val="105"/>
        </w:rPr>
        <w:t>privada.</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corresponde</w:t>
      </w:r>
      <w:r>
        <w:rPr>
          <w:color w:val="231F20"/>
          <w:spacing w:val="-7"/>
          <w:w w:val="105"/>
        </w:rPr>
        <w:t> </w:t>
      </w:r>
      <w:r>
        <w:rPr>
          <w:color w:val="231F20"/>
          <w:w w:val="105"/>
        </w:rPr>
        <w:t>a</w:t>
      </w:r>
      <w:r>
        <w:rPr>
          <w:color w:val="231F20"/>
          <w:spacing w:val="-7"/>
          <w:w w:val="105"/>
        </w:rPr>
        <w:t> </w:t>
      </w:r>
      <w:r>
        <w:rPr>
          <w:color w:val="231F20"/>
          <w:w w:val="105"/>
        </w:rPr>
        <w:t>6,878</w:t>
      </w:r>
      <w:r>
        <w:rPr>
          <w:color w:val="231F20"/>
          <w:spacing w:val="-7"/>
          <w:w w:val="105"/>
        </w:rPr>
        <w:t> </w:t>
      </w:r>
      <w:r>
        <w:rPr>
          <w:color w:val="231F20"/>
          <w:w w:val="105"/>
        </w:rPr>
        <w:t>habitantes</w:t>
      </w:r>
      <w:r>
        <w:rPr>
          <w:color w:val="231F20"/>
          <w:spacing w:val="-7"/>
          <w:w w:val="105"/>
        </w:rPr>
        <w:t> </w:t>
      </w:r>
      <w:r>
        <w:rPr>
          <w:color w:val="231F20"/>
          <w:w w:val="105"/>
        </w:rPr>
        <w:t>por</w:t>
      </w:r>
      <w:r>
        <w:rPr>
          <w:color w:val="231F20"/>
          <w:spacing w:val="-7"/>
          <w:w w:val="105"/>
        </w:rPr>
        <w:t> </w:t>
      </w:r>
      <w:r>
        <w:rPr>
          <w:color w:val="231F20"/>
          <w:w w:val="105"/>
        </w:rPr>
        <w:t>unidad</w:t>
      </w:r>
      <w:r>
        <w:rPr>
          <w:color w:val="231F20"/>
          <w:spacing w:val="-7"/>
          <w:w w:val="105"/>
        </w:rPr>
        <w:t> </w:t>
      </w:r>
      <w:r>
        <w:rPr>
          <w:color w:val="231F20"/>
          <w:w w:val="105"/>
        </w:rPr>
        <w:t>mé-</w:t>
      </w:r>
    </w:p>
    <w:p>
      <w:pPr>
        <w:spacing w:after="0" w:line="285" w:lineRule="auto"/>
        <w:jc w:val="both"/>
        <w:sectPr>
          <w:pgSz w:w="9640" w:h="12190"/>
          <w:pgMar w:header="0" w:footer="743" w:top="1120" w:bottom="940" w:left="740" w:right="740"/>
        </w:sectPr>
      </w:pPr>
    </w:p>
    <w:p>
      <w:pPr>
        <w:pStyle w:val="BodyText"/>
        <w:rPr>
          <w:sz w:val="10"/>
        </w:rPr>
      </w:pPr>
    </w:p>
    <w:p>
      <w:pPr>
        <w:pStyle w:val="BodyText"/>
        <w:spacing w:line="285" w:lineRule="auto" w:before="50"/>
        <w:ind w:left="110" w:right="107"/>
        <w:jc w:val="both"/>
      </w:pPr>
      <w:r>
        <w:rPr>
          <w:color w:val="231F20"/>
          <w:w w:val="105"/>
        </w:rPr>
        <w:t>dica,</w:t>
      </w:r>
      <w:r>
        <w:rPr>
          <w:color w:val="231F20"/>
          <w:spacing w:val="-14"/>
          <w:w w:val="105"/>
        </w:rPr>
        <w:t> </w:t>
      </w:r>
      <w:r>
        <w:rPr>
          <w:color w:val="231F20"/>
          <w:w w:val="105"/>
        </w:rPr>
        <w:t>y</w:t>
      </w:r>
      <w:r>
        <w:rPr>
          <w:color w:val="231F20"/>
          <w:spacing w:val="-14"/>
          <w:w w:val="105"/>
        </w:rPr>
        <w:t> </w:t>
      </w:r>
      <w:r>
        <w:rPr>
          <w:color w:val="231F20"/>
          <w:w w:val="105"/>
        </w:rPr>
        <w:t>2,219</w:t>
      </w:r>
      <w:r>
        <w:rPr>
          <w:color w:val="231F20"/>
          <w:spacing w:val="-14"/>
          <w:w w:val="105"/>
        </w:rPr>
        <w:t> </w:t>
      </w:r>
      <w:r>
        <w:rPr>
          <w:color w:val="231F20"/>
          <w:w w:val="105"/>
        </w:rPr>
        <w:t>por</w:t>
      </w:r>
      <w:r>
        <w:rPr>
          <w:color w:val="231F20"/>
          <w:spacing w:val="-14"/>
          <w:w w:val="105"/>
        </w:rPr>
        <w:t> </w:t>
      </w:r>
      <w:r>
        <w:rPr>
          <w:color w:val="231F20"/>
          <w:w w:val="105"/>
        </w:rPr>
        <w:t>médico.</w:t>
      </w:r>
      <w:r>
        <w:rPr>
          <w:color w:val="231F20"/>
          <w:w w:val="105"/>
          <w:position w:val="7"/>
          <w:sz w:val="13"/>
        </w:rPr>
        <w:t>2</w:t>
      </w:r>
      <w:r>
        <w:rPr>
          <w:color w:val="231F20"/>
          <w:spacing w:val="9"/>
          <w:w w:val="105"/>
          <w:position w:val="7"/>
          <w:sz w:val="13"/>
        </w:rPr>
        <w:t> </w:t>
      </w:r>
      <w:r>
        <w:rPr>
          <w:color w:val="231F20"/>
          <w:spacing w:val="-3"/>
          <w:w w:val="105"/>
        </w:rPr>
        <w:t>Uno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problemas</w:t>
      </w:r>
      <w:r>
        <w:rPr>
          <w:color w:val="231F20"/>
          <w:spacing w:val="-14"/>
          <w:w w:val="105"/>
        </w:rPr>
        <w:t> </w:t>
      </w:r>
      <w:r>
        <w:rPr>
          <w:color w:val="231F20"/>
          <w:w w:val="105"/>
        </w:rPr>
        <w:t>observados</w:t>
      </w:r>
      <w:r>
        <w:rPr>
          <w:color w:val="231F20"/>
          <w:spacing w:val="-14"/>
          <w:w w:val="105"/>
        </w:rPr>
        <w:t> </w:t>
      </w:r>
      <w:r>
        <w:rPr>
          <w:color w:val="231F20"/>
          <w:w w:val="105"/>
        </w:rPr>
        <w:t>directamente</w:t>
      </w:r>
      <w:r>
        <w:rPr>
          <w:color w:val="231F20"/>
          <w:spacing w:val="-14"/>
          <w:w w:val="105"/>
        </w:rPr>
        <w:t> </w:t>
      </w:r>
      <w:r>
        <w:rPr>
          <w:color w:val="231F20"/>
          <w:w w:val="105"/>
        </w:rPr>
        <w:t>coincide</w:t>
      </w:r>
      <w:r>
        <w:rPr>
          <w:color w:val="231F20"/>
          <w:spacing w:val="-14"/>
          <w:w w:val="105"/>
        </w:rPr>
        <w:t> </w:t>
      </w:r>
      <w:r>
        <w:rPr>
          <w:color w:val="231F20"/>
          <w:w w:val="105"/>
        </w:rPr>
        <w:t>con lo</w:t>
      </w:r>
      <w:r>
        <w:rPr>
          <w:color w:val="231F20"/>
          <w:spacing w:val="-11"/>
          <w:w w:val="105"/>
        </w:rPr>
        <w:t> </w:t>
      </w:r>
      <w:r>
        <w:rPr>
          <w:color w:val="231F20"/>
          <w:w w:val="105"/>
        </w:rPr>
        <w:t>anotado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spacing w:val="-4"/>
          <w:w w:val="105"/>
        </w:rPr>
        <w:t>PDM</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trata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deficiencia</w:t>
      </w:r>
      <w:r>
        <w:rPr>
          <w:color w:val="231F20"/>
          <w:spacing w:val="-11"/>
          <w:w w:val="105"/>
        </w:rPr>
        <w:t> </w:t>
      </w:r>
      <w:r>
        <w:rPr>
          <w:color w:val="231F20"/>
          <w:w w:val="105"/>
        </w:rPr>
        <w:t>de</w:t>
      </w:r>
      <w:r>
        <w:rPr>
          <w:color w:val="231F20"/>
          <w:spacing w:val="-11"/>
          <w:w w:val="105"/>
        </w:rPr>
        <w:t> </w:t>
      </w:r>
      <w:r>
        <w:rPr>
          <w:color w:val="231F20"/>
          <w:w w:val="105"/>
        </w:rPr>
        <w:t>atención,</w:t>
      </w:r>
      <w:r>
        <w:rPr>
          <w:color w:val="231F20"/>
          <w:spacing w:val="-11"/>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demanda</w:t>
      </w:r>
      <w:r>
        <w:rPr>
          <w:color w:val="231F20"/>
          <w:spacing w:val="-11"/>
          <w:w w:val="105"/>
        </w:rPr>
        <w:t> </w:t>
      </w:r>
      <w:r>
        <w:rPr>
          <w:color w:val="231F20"/>
          <w:w w:val="105"/>
        </w:rPr>
        <w:t>rebasa la</w:t>
      </w:r>
      <w:r>
        <w:rPr>
          <w:color w:val="231F20"/>
          <w:spacing w:val="-16"/>
          <w:w w:val="105"/>
        </w:rPr>
        <w:t> </w:t>
      </w:r>
      <w:r>
        <w:rPr>
          <w:color w:val="231F20"/>
          <w:w w:val="105"/>
        </w:rPr>
        <w:t>capacidad</w:t>
      </w:r>
      <w:r>
        <w:rPr>
          <w:color w:val="231F20"/>
          <w:spacing w:val="-16"/>
          <w:w w:val="105"/>
        </w:rPr>
        <w:t> </w:t>
      </w:r>
      <w:r>
        <w:rPr>
          <w:color w:val="231F20"/>
          <w:w w:val="105"/>
        </w:rPr>
        <w:t>de</w:t>
      </w:r>
      <w:r>
        <w:rPr>
          <w:color w:val="231F20"/>
          <w:spacing w:val="-16"/>
          <w:w w:val="105"/>
        </w:rPr>
        <w:t> </w:t>
      </w:r>
      <w:r>
        <w:rPr>
          <w:color w:val="231F20"/>
          <w:w w:val="105"/>
        </w:rPr>
        <w:t>atención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centros</w:t>
      </w:r>
      <w:r>
        <w:rPr>
          <w:color w:val="231F20"/>
          <w:spacing w:val="-16"/>
          <w:w w:val="105"/>
        </w:rPr>
        <w:t> </w:t>
      </w:r>
      <w:r>
        <w:rPr>
          <w:color w:val="231F20"/>
          <w:w w:val="105"/>
        </w:rPr>
        <w:t>de</w:t>
      </w:r>
      <w:r>
        <w:rPr>
          <w:color w:val="231F20"/>
          <w:spacing w:val="-16"/>
          <w:w w:val="105"/>
        </w:rPr>
        <w:t> </w:t>
      </w:r>
      <w:r>
        <w:rPr>
          <w:color w:val="231F20"/>
          <w:w w:val="105"/>
        </w:rPr>
        <w:t>salud,</w:t>
      </w:r>
      <w:r>
        <w:rPr>
          <w:color w:val="231F20"/>
          <w:spacing w:val="-16"/>
          <w:w w:val="105"/>
        </w:rPr>
        <w:t> </w:t>
      </w:r>
      <w:r>
        <w:rPr>
          <w:color w:val="231F20"/>
          <w:w w:val="105"/>
        </w:rPr>
        <w:t>ya</w:t>
      </w:r>
      <w:r>
        <w:rPr>
          <w:color w:val="231F20"/>
          <w:spacing w:val="-16"/>
          <w:w w:val="105"/>
        </w:rPr>
        <w:t> </w:t>
      </w:r>
      <w:r>
        <w:rPr>
          <w:color w:val="231F20"/>
          <w:w w:val="105"/>
        </w:rPr>
        <w:t>que</w:t>
      </w:r>
      <w:r>
        <w:rPr>
          <w:color w:val="231F20"/>
          <w:spacing w:val="-16"/>
          <w:w w:val="105"/>
        </w:rPr>
        <w:t> </w:t>
      </w:r>
      <w:r>
        <w:rPr>
          <w:color w:val="231F20"/>
          <w:w w:val="105"/>
        </w:rPr>
        <w:t>éstos</w:t>
      </w:r>
      <w:r>
        <w:rPr>
          <w:color w:val="231F20"/>
          <w:spacing w:val="-16"/>
          <w:w w:val="105"/>
        </w:rPr>
        <w:t> </w:t>
      </w:r>
      <w:r>
        <w:rPr>
          <w:color w:val="231F20"/>
          <w:w w:val="105"/>
        </w:rPr>
        <w:t>no</w:t>
      </w:r>
      <w:r>
        <w:rPr>
          <w:color w:val="231F20"/>
          <w:spacing w:val="-16"/>
          <w:w w:val="105"/>
        </w:rPr>
        <w:t> </w:t>
      </w:r>
      <w:r>
        <w:rPr>
          <w:color w:val="231F20"/>
          <w:w w:val="105"/>
        </w:rPr>
        <w:t>tienen</w:t>
      </w:r>
      <w:r>
        <w:rPr>
          <w:color w:val="231F20"/>
          <w:spacing w:val="-16"/>
          <w:w w:val="105"/>
        </w:rPr>
        <w:t> </w:t>
      </w:r>
      <w:r>
        <w:rPr>
          <w:color w:val="231F20"/>
          <w:w w:val="105"/>
        </w:rPr>
        <w:t>las</w:t>
      </w:r>
      <w:r>
        <w:rPr>
          <w:color w:val="231F20"/>
          <w:spacing w:val="-16"/>
          <w:w w:val="105"/>
        </w:rPr>
        <w:t> </w:t>
      </w:r>
      <w:r>
        <w:rPr>
          <w:color w:val="231F20"/>
          <w:w w:val="105"/>
        </w:rPr>
        <w:t>instalaciones de</w:t>
      </w:r>
      <w:r>
        <w:rPr>
          <w:color w:val="231F20"/>
          <w:spacing w:val="-18"/>
          <w:w w:val="105"/>
        </w:rPr>
        <w:t> </w:t>
      </w:r>
      <w:r>
        <w:rPr>
          <w:color w:val="231F20"/>
          <w:w w:val="105"/>
        </w:rPr>
        <w:t>hospitalización</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atención</w:t>
      </w:r>
      <w:r>
        <w:rPr>
          <w:color w:val="231F20"/>
          <w:spacing w:val="-18"/>
          <w:w w:val="105"/>
        </w:rPr>
        <w:t> </w:t>
      </w:r>
      <w:r>
        <w:rPr>
          <w:color w:val="231F20"/>
          <w:w w:val="105"/>
        </w:rPr>
        <w:t>especializada,</w:t>
      </w:r>
      <w:r>
        <w:rPr>
          <w:color w:val="231F20"/>
          <w:spacing w:val="-18"/>
          <w:w w:val="105"/>
        </w:rPr>
        <w:t> </w:t>
      </w:r>
      <w:r>
        <w:rPr>
          <w:color w:val="231F20"/>
          <w:w w:val="105"/>
        </w:rPr>
        <w:t>además</w:t>
      </w:r>
      <w:r>
        <w:rPr>
          <w:color w:val="231F20"/>
          <w:spacing w:val="-18"/>
          <w:w w:val="105"/>
        </w:rPr>
        <w:t> </w:t>
      </w:r>
      <w:r>
        <w:rPr>
          <w:color w:val="231F20"/>
          <w:w w:val="105"/>
        </w:rPr>
        <w:t>del</w:t>
      </w:r>
      <w:r>
        <w:rPr>
          <w:color w:val="231F20"/>
          <w:spacing w:val="-18"/>
          <w:w w:val="105"/>
        </w:rPr>
        <w:t> </w:t>
      </w:r>
      <w:r>
        <w:rPr>
          <w:color w:val="231F20"/>
          <w:w w:val="105"/>
        </w:rPr>
        <w:t>desabasto</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medicinas.</w:t>
      </w:r>
    </w:p>
    <w:p>
      <w:pPr>
        <w:pStyle w:val="BodyText"/>
        <w:spacing w:before="1"/>
        <w:rPr>
          <w:sz w:val="26"/>
        </w:rPr>
      </w:pPr>
    </w:p>
    <w:p>
      <w:pPr>
        <w:pStyle w:val="BodyText"/>
        <w:spacing w:line="285" w:lineRule="auto"/>
        <w:ind w:left="110" w:right="108"/>
        <w:jc w:val="both"/>
      </w:pPr>
      <w:r>
        <w:rPr>
          <w:color w:val="231F20"/>
          <w:spacing w:val="-3"/>
          <w:w w:val="105"/>
        </w:rPr>
        <w:t>Por </w:t>
      </w:r>
      <w:r>
        <w:rPr>
          <w:color w:val="231F20"/>
          <w:w w:val="105"/>
        </w:rPr>
        <w:t>el contrario en el ámbito educativo su infraestructura cubre </w:t>
      </w:r>
      <w:r>
        <w:rPr>
          <w:color w:val="231F20"/>
          <w:spacing w:val="2"/>
          <w:w w:val="105"/>
        </w:rPr>
        <w:t>al </w:t>
      </w:r>
      <w:r>
        <w:rPr>
          <w:color w:val="231F20"/>
          <w:w w:val="105"/>
        </w:rPr>
        <w:t>100 % la demanda, incluso</w:t>
      </w:r>
      <w:r>
        <w:rPr>
          <w:color w:val="231F20"/>
          <w:spacing w:val="-10"/>
          <w:w w:val="105"/>
        </w:rPr>
        <w:t> </w:t>
      </w:r>
      <w:r>
        <w:rPr>
          <w:color w:val="231F20"/>
          <w:w w:val="105"/>
        </w:rPr>
        <w:t>la</w:t>
      </w:r>
      <w:r>
        <w:rPr>
          <w:color w:val="231F20"/>
          <w:spacing w:val="-10"/>
          <w:w w:val="105"/>
        </w:rPr>
        <w:t> </w:t>
      </w:r>
      <w:r>
        <w:rPr>
          <w:color w:val="231F20"/>
          <w:w w:val="105"/>
        </w:rPr>
        <w:t>rebasa.</w:t>
      </w:r>
      <w:r>
        <w:rPr>
          <w:color w:val="231F20"/>
          <w:spacing w:val="-10"/>
          <w:w w:val="105"/>
        </w:rPr>
        <w:t> </w:t>
      </w:r>
      <w:r>
        <w:rPr>
          <w:color w:val="231F20"/>
          <w:w w:val="105"/>
        </w:rPr>
        <w:t>Este</w:t>
      </w:r>
      <w:r>
        <w:rPr>
          <w:color w:val="231F20"/>
          <w:spacing w:val="-10"/>
          <w:w w:val="105"/>
        </w:rPr>
        <w:t> </w:t>
      </w:r>
      <w:r>
        <w:rPr>
          <w:color w:val="231F20"/>
          <w:w w:val="105"/>
        </w:rPr>
        <w:t>aspecto</w:t>
      </w:r>
      <w:r>
        <w:rPr>
          <w:color w:val="231F20"/>
          <w:spacing w:val="-10"/>
          <w:w w:val="105"/>
        </w:rPr>
        <w:t> </w:t>
      </w:r>
      <w:r>
        <w:rPr>
          <w:color w:val="231F20"/>
          <w:w w:val="105"/>
        </w:rPr>
        <w:t>baja</w:t>
      </w:r>
      <w:r>
        <w:rPr>
          <w:color w:val="231F20"/>
          <w:spacing w:val="-10"/>
          <w:w w:val="105"/>
        </w:rPr>
        <w:t> </w:t>
      </w:r>
      <w:r>
        <w:rPr>
          <w:color w:val="231F20"/>
          <w:w w:val="105"/>
        </w:rPr>
        <w:t>conforme</w:t>
      </w:r>
      <w:r>
        <w:rPr>
          <w:color w:val="231F20"/>
          <w:spacing w:val="-10"/>
          <w:w w:val="105"/>
        </w:rPr>
        <w:t> </w:t>
      </w:r>
      <w:r>
        <w:rPr>
          <w:color w:val="231F20"/>
          <w:w w:val="105"/>
        </w:rPr>
        <w:t>se</w:t>
      </w:r>
      <w:r>
        <w:rPr>
          <w:color w:val="231F20"/>
          <w:spacing w:val="-10"/>
          <w:w w:val="105"/>
        </w:rPr>
        <w:t> </w:t>
      </w:r>
      <w:r>
        <w:rPr>
          <w:color w:val="231F20"/>
          <w:w w:val="105"/>
        </w:rPr>
        <w:t>aproximan</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educación</w:t>
      </w:r>
      <w:r>
        <w:rPr>
          <w:color w:val="231F20"/>
          <w:spacing w:val="-10"/>
          <w:w w:val="105"/>
        </w:rPr>
        <w:t> </w:t>
      </w:r>
      <w:r>
        <w:rPr>
          <w:color w:val="231F20"/>
          <w:w w:val="105"/>
        </w:rPr>
        <w:t>media</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la superior.</w:t>
      </w:r>
      <w:r>
        <w:rPr>
          <w:color w:val="231F20"/>
          <w:w w:val="105"/>
          <w:position w:val="7"/>
          <w:sz w:val="13"/>
        </w:rPr>
        <w:t>3 </w:t>
      </w:r>
      <w:r>
        <w:rPr>
          <w:color w:val="231F20"/>
          <w:w w:val="105"/>
        </w:rPr>
        <w:t>Enfrentado un rezago de </w:t>
      </w:r>
      <w:r>
        <w:rPr>
          <w:color w:val="231F20"/>
          <w:spacing w:val="-3"/>
          <w:w w:val="105"/>
        </w:rPr>
        <w:t>6% </w:t>
      </w:r>
      <w:r>
        <w:rPr>
          <w:color w:val="231F20"/>
          <w:w w:val="105"/>
        </w:rPr>
        <w:t>de analfabetas, aproximadamente </w:t>
      </w:r>
      <w:r>
        <w:rPr>
          <w:color w:val="231F20"/>
          <w:spacing w:val="2"/>
          <w:w w:val="105"/>
        </w:rPr>
        <w:t>2,284 </w:t>
      </w:r>
      <w:r>
        <w:rPr>
          <w:color w:val="231F20"/>
          <w:w w:val="105"/>
        </w:rPr>
        <w:t>perso- nas, contra 46,010 alfabetas. Ello en 42 planteles de nivel preescolar, 38 primarias, </w:t>
      </w:r>
      <w:r>
        <w:rPr>
          <w:color w:val="231F20"/>
          <w:spacing w:val="-6"/>
          <w:w w:val="105"/>
        </w:rPr>
        <w:t>17 </w:t>
      </w:r>
      <w:r>
        <w:rPr>
          <w:color w:val="231F20"/>
          <w:w w:val="105"/>
        </w:rPr>
        <w:t>secundarias,</w:t>
      </w:r>
      <w:r>
        <w:rPr>
          <w:color w:val="231F20"/>
          <w:spacing w:val="-8"/>
          <w:w w:val="105"/>
        </w:rPr>
        <w:t> </w:t>
      </w:r>
      <w:r>
        <w:rPr>
          <w:color w:val="231F20"/>
          <w:w w:val="105"/>
        </w:rPr>
        <w:t>6</w:t>
      </w:r>
      <w:r>
        <w:rPr>
          <w:color w:val="231F20"/>
          <w:spacing w:val="-8"/>
          <w:w w:val="105"/>
        </w:rPr>
        <w:t> </w:t>
      </w:r>
      <w:r>
        <w:rPr>
          <w:color w:val="231F20"/>
          <w:w w:val="105"/>
        </w:rPr>
        <w:t>tele</w:t>
      </w:r>
      <w:r>
        <w:rPr>
          <w:color w:val="231F20"/>
          <w:spacing w:val="-8"/>
          <w:w w:val="105"/>
        </w:rPr>
        <w:t> </w:t>
      </w:r>
      <w:r>
        <w:rPr>
          <w:color w:val="231F20"/>
          <w:w w:val="105"/>
        </w:rPr>
        <w:t>secundarias</w:t>
      </w:r>
      <w:r>
        <w:rPr>
          <w:color w:val="231F20"/>
          <w:spacing w:val="-8"/>
          <w:w w:val="105"/>
        </w:rPr>
        <w:t> </w:t>
      </w:r>
      <w:r>
        <w:rPr>
          <w:color w:val="231F20"/>
          <w:w w:val="105"/>
        </w:rPr>
        <w:t>y</w:t>
      </w:r>
      <w:r>
        <w:rPr>
          <w:color w:val="231F20"/>
          <w:spacing w:val="-8"/>
          <w:w w:val="105"/>
        </w:rPr>
        <w:t> </w:t>
      </w:r>
      <w:r>
        <w:rPr>
          <w:color w:val="231F20"/>
          <w:w w:val="105"/>
        </w:rPr>
        <w:t>8</w:t>
      </w:r>
      <w:r>
        <w:rPr>
          <w:color w:val="231F20"/>
          <w:spacing w:val="-8"/>
          <w:w w:val="105"/>
        </w:rPr>
        <w:t> </w:t>
      </w:r>
      <w:r>
        <w:rPr>
          <w:color w:val="231F20"/>
          <w:w w:val="105"/>
        </w:rPr>
        <w:t>preparatorias.</w:t>
      </w:r>
      <w:r>
        <w:rPr>
          <w:color w:val="231F20"/>
          <w:spacing w:val="-8"/>
          <w:w w:val="105"/>
        </w:rPr>
        <w:t> </w:t>
      </w:r>
      <w:r>
        <w:rPr>
          <w:color w:val="231F20"/>
          <w:w w:val="105"/>
        </w:rPr>
        <w:t>Respecto</w:t>
      </w:r>
      <w:r>
        <w:rPr>
          <w:color w:val="231F20"/>
          <w:spacing w:val="-8"/>
          <w:w w:val="105"/>
        </w:rPr>
        <w:t> </w:t>
      </w:r>
      <w:r>
        <w:rPr>
          <w:color w:val="231F20"/>
          <w:w w:val="105"/>
        </w:rPr>
        <w:t>de</w:t>
      </w:r>
      <w:r>
        <w:rPr>
          <w:color w:val="231F20"/>
          <w:spacing w:val="-8"/>
          <w:w w:val="105"/>
        </w:rPr>
        <w:t> </w:t>
      </w:r>
      <w:r>
        <w:rPr>
          <w:color w:val="231F20"/>
          <w:w w:val="105"/>
        </w:rPr>
        <w:t>otros</w:t>
      </w:r>
      <w:r>
        <w:rPr>
          <w:color w:val="231F20"/>
          <w:spacing w:val="-8"/>
          <w:w w:val="105"/>
        </w:rPr>
        <w:t> </w:t>
      </w:r>
      <w:r>
        <w:rPr>
          <w:color w:val="231F20"/>
          <w:w w:val="105"/>
        </w:rPr>
        <w:t>servicios</w:t>
      </w:r>
      <w:r>
        <w:rPr>
          <w:color w:val="231F20"/>
          <w:spacing w:val="-8"/>
          <w:w w:val="105"/>
        </w:rPr>
        <w:t> </w:t>
      </w:r>
      <w:r>
        <w:rPr>
          <w:color w:val="231F20"/>
          <w:w w:val="105"/>
        </w:rPr>
        <w:t>públicos, el</w:t>
      </w:r>
      <w:r>
        <w:rPr>
          <w:color w:val="231F20"/>
          <w:spacing w:val="-18"/>
          <w:w w:val="105"/>
        </w:rPr>
        <w:t> </w:t>
      </w:r>
      <w:r>
        <w:rPr>
          <w:color w:val="231F20"/>
          <w:w w:val="105"/>
        </w:rPr>
        <w:t>Plan</w:t>
      </w:r>
      <w:r>
        <w:rPr>
          <w:color w:val="231F20"/>
          <w:spacing w:val="-18"/>
          <w:w w:val="105"/>
        </w:rPr>
        <w:t> </w:t>
      </w:r>
      <w:r>
        <w:rPr>
          <w:color w:val="231F20"/>
          <w:w w:val="105"/>
        </w:rPr>
        <w:t>registra</w:t>
      </w:r>
      <w:r>
        <w:rPr>
          <w:color w:val="231F20"/>
          <w:spacing w:val="-18"/>
          <w:w w:val="105"/>
        </w:rPr>
        <w:t> </w:t>
      </w:r>
      <w:r>
        <w:rPr>
          <w:color w:val="231F20"/>
          <w:w w:val="105"/>
        </w:rPr>
        <w:t>los</w:t>
      </w:r>
      <w:r>
        <w:rPr>
          <w:color w:val="231F20"/>
          <w:spacing w:val="-18"/>
          <w:w w:val="105"/>
        </w:rPr>
        <w:t> </w:t>
      </w:r>
      <w:r>
        <w:rPr>
          <w:color w:val="231F20"/>
          <w:w w:val="105"/>
        </w:rPr>
        <w:t>siguientes</w:t>
      </w:r>
      <w:r>
        <w:rPr>
          <w:color w:val="231F20"/>
          <w:spacing w:val="-18"/>
          <w:w w:val="105"/>
        </w:rPr>
        <w:t> </w:t>
      </w:r>
      <w:r>
        <w:rPr>
          <w:color w:val="231F20"/>
          <w:w w:val="105"/>
        </w:rPr>
        <w:t>datos</w:t>
      </w:r>
      <w:r>
        <w:rPr>
          <w:color w:val="231F20"/>
          <w:spacing w:val="-18"/>
          <w:w w:val="105"/>
        </w:rPr>
        <w:t> </w:t>
      </w:r>
      <w:r>
        <w:rPr>
          <w:color w:val="231F20"/>
          <w:w w:val="105"/>
        </w:rPr>
        <w:t>(cuadro</w:t>
      </w:r>
      <w:r>
        <w:rPr>
          <w:color w:val="231F20"/>
          <w:spacing w:val="-18"/>
          <w:w w:val="105"/>
        </w:rPr>
        <w:t> </w:t>
      </w:r>
      <w:r>
        <w:rPr>
          <w:color w:val="231F20"/>
          <w:spacing w:val="-6"/>
          <w:w w:val="105"/>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9952;mso-wrap-distance-left:0;mso-wrap-distance-right:0" from="42.519699pt,19.297792pt" to="114.519699pt,19.297792pt" stroked="true" strokeweight="1pt" strokecolor="#231f20">
            <w10:wrap type="topAndBottom"/>
          </v:line>
        </w:pict>
      </w:r>
    </w:p>
    <w:p>
      <w:pPr>
        <w:pStyle w:val="ListParagraph"/>
        <w:numPr>
          <w:ilvl w:val="0"/>
          <w:numId w:val="12"/>
        </w:numPr>
        <w:tabs>
          <w:tab w:pos="250" w:val="left" w:leader="none"/>
        </w:tabs>
        <w:spacing w:line="244" w:lineRule="auto" w:before="8" w:after="0"/>
        <w:ind w:left="110" w:right="107" w:firstLine="0"/>
        <w:jc w:val="both"/>
        <w:rPr>
          <w:sz w:val="16"/>
        </w:rPr>
      </w:pPr>
      <w:r>
        <w:rPr>
          <w:color w:val="231F20"/>
          <w:sz w:val="16"/>
        </w:rPr>
        <w:t>Otro</w:t>
      </w:r>
      <w:r>
        <w:rPr>
          <w:color w:val="231F20"/>
          <w:spacing w:val="-15"/>
          <w:sz w:val="16"/>
        </w:rPr>
        <w:t> </w:t>
      </w:r>
      <w:r>
        <w:rPr>
          <w:color w:val="231F20"/>
          <w:sz w:val="16"/>
        </w:rPr>
        <w:t>ejemplo</w:t>
      </w:r>
      <w:r>
        <w:rPr>
          <w:color w:val="231F20"/>
          <w:spacing w:val="-15"/>
          <w:sz w:val="16"/>
        </w:rPr>
        <w:t> </w:t>
      </w:r>
      <w:r>
        <w:rPr>
          <w:color w:val="231F20"/>
          <w:sz w:val="16"/>
        </w:rPr>
        <w:t>es</w:t>
      </w:r>
      <w:r>
        <w:rPr>
          <w:color w:val="231F20"/>
          <w:spacing w:val="-15"/>
          <w:sz w:val="16"/>
        </w:rPr>
        <w:t> </w:t>
      </w:r>
      <w:r>
        <w:rPr>
          <w:color w:val="231F20"/>
          <w:sz w:val="16"/>
        </w:rPr>
        <w:t>lo</w:t>
      </w:r>
      <w:r>
        <w:rPr>
          <w:color w:val="231F20"/>
          <w:spacing w:val="-15"/>
          <w:sz w:val="16"/>
        </w:rPr>
        <w:t> </w:t>
      </w:r>
      <w:r>
        <w:rPr>
          <w:color w:val="231F20"/>
          <w:sz w:val="16"/>
        </w:rPr>
        <w:t>que</w:t>
      </w:r>
      <w:r>
        <w:rPr>
          <w:color w:val="231F20"/>
          <w:spacing w:val="-15"/>
          <w:sz w:val="16"/>
        </w:rPr>
        <w:t> </w:t>
      </w:r>
      <w:r>
        <w:rPr>
          <w:color w:val="231F20"/>
          <w:sz w:val="16"/>
        </w:rPr>
        <w:t>manifiesta</w:t>
      </w:r>
      <w:r>
        <w:rPr>
          <w:color w:val="231F20"/>
          <w:spacing w:val="-15"/>
          <w:sz w:val="16"/>
        </w:rPr>
        <w:t> </w:t>
      </w:r>
      <w:r>
        <w:rPr>
          <w:color w:val="231F20"/>
          <w:sz w:val="16"/>
        </w:rPr>
        <w:t>directamente</w:t>
      </w:r>
      <w:r>
        <w:rPr>
          <w:color w:val="231F20"/>
          <w:spacing w:val="-15"/>
          <w:sz w:val="16"/>
        </w:rPr>
        <w:t> </w:t>
      </w:r>
      <w:r>
        <w:rPr>
          <w:color w:val="231F20"/>
          <w:sz w:val="16"/>
        </w:rPr>
        <w:t>en</w:t>
      </w:r>
      <w:r>
        <w:rPr>
          <w:color w:val="231F20"/>
          <w:spacing w:val="-15"/>
          <w:sz w:val="16"/>
        </w:rPr>
        <w:t> </w:t>
      </w:r>
      <w:r>
        <w:rPr>
          <w:color w:val="231F20"/>
          <w:sz w:val="16"/>
        </w:rPr>
        <w:t>entrevista</w:t>
      </w:r>
      <w:r>
        <w:rPr>
          <w:color w:val="231F20"/>
          <w:spacing w:val="-15"/>
          <w:sz w:val="16"/>
        </w:rPr>
        <w:t> </w:t>
      </w:r>
      <w:r>
        <w:rPr>
          <w:color w:val="231F20"/>
          <w:sz w:val="16"/>
        </w:rPr>
        <w:t>el</w:t>
      </w:r>
      <w:r>
        <w:rPr>
          <w:color w:val="231F20"/>
          <w:spacing w:val="-15"/>
          <w:sz w:val="16"/>
        </w:rPr>
        <w:t> </w:t>
      </w:r>
      <w:r>
        <w:rPr>
          <w:color w:val="231F20"/>
          <w:sz w:val="16"/>
        </w:rPr>
        <w:t>presidente</w:t>
      </w:r>
      <w:r>
        <w:rPr>
          <w:color w:val="231F20"/>
          <w:spacing w:val="-15"/>
          <w:sz w:val="16"/>
        </w:rPr>
        <w:t> </w:t>
      </w:r>
      <w:r>
        <w:rPr>
          <w:color w:val="231F20"/>
          <w:sz w:val="16"/>
        </w:rPr>
        <w:t>municipal.</w:t>
      </w:r>
      <w:r>
        <w:rPr>
          <w:color w:val="231F20"/>
          <w:spacing w:val="-15"/>
          <w:sz w:val="16"/>
        </w:rPr>
        <w:t> </w:t>
      </w:r>
      <w:r>
        <w:rPr>
          <w:color w:val="231F20"/>
          <w:sz w:val="16"/>
        </w:rPr>
        <w:t>“El</w:t>
      </w:r>
      <w:r>
        <w:rPr>
          <w:color w:val="231F20"/>
          <w:spacing w:val="-15"/>
          <w:sz w:val="16"/>
        </w:rPr>
        <w:t> </w:t>
      </w:r>
      <w:r>
        <w:rPr>
          <w:color w:val="231F20"/>
          <w:sz w:val="16"/>
        </w:rPr>
        <w:t>DIF</w:t>
      </w:r>
      <w:r>
        <w:rPr>
          <w:color w:val="231F20"/>
          <w:spacing w:val="-15"/>
          <w:sz w:val="16"/>
        </w:rPr>
        <w:t> </w:t>
      </w:r>
      <w:r>
        <w:rPr>
          <w:color w:val="231F20"/>
          <w:sz w:val="16"/>
        </w:rPr>
        <w:t>atiende,</w:t>
      </w:r>
      <w:r>
        <w:rPr>
          <w:color w:val="231F20"/>
          <w:spacing w:val="-15"/>
          <w:sz w:val="16"/>
        </w:rPr>
        <w:t> </w:t>
      </w:r>
      <w:r>
        <w:rPr>
          <w:color w:val="231F20"/>
          <w:sz w:val="16"/>
        </w:rPr>
        <w:t>en</w:t>
      </w:r>
      <w:r>
        <w:rPr>
          <w:color w:val="231F20"/>
          <w:spacing w:val="-15"/>
          <w:sz w:val="16"/>
        </w:rPr>
        <w:t> </w:t>
      </w:r>
      <w:r>
        <w:rPr>
          <w:color w:val="231F20"/>
          <w:sz w:val="16"/>
        </w:rPr>
        <w:t>la</w:t>
      </w:r>
      <w:r>
        <w:rPr>
          <w:color w:val="231F20"/>
          <w:spacing w:val="-15"/>
          <w:sz w:val="16"/>
        </w:rPr>
        <w:t> </w:t>
      </w:r>
      <w:r>
        <w:rPr>
          <w:color w:val="231F20"/>
          <w:sz w:val="16"/>
        </w:rPr>
        <w:t>colonia</w:t>
      </w:r>
      <w:r>
        <w:rPr>
          <w:color w:val="231F20"/>
          <w:spacing w:val="-15"/>
          <w:sz w:val="16"/>
        </w:rPr>
        <w:t> </w:t>
      </w:r>
      <w:r>
        <w:rPr>
          <w:color w:val="231F20"/>
          <w:sz w:val="16"/>
        </w:rPr>
        <w:t>Ricardo Flores</w:t>
      </w:r>
      <w:r>
        <w:rPr>
          <w:color w:val="231F20"/>
          <w:spacing w:val="-12"/>
          <w:sz w:val="16"/>
        </w:rPr>
        <w:t> </w:t>
      </w:r>
      <w:r>
        <w:rPr>
          <w:color w:val="231F20"/>
          <w:sz w:val="16"/>
        </w:rPr>
        <w:t>Magón,</w:t>
      </w:r>
      <w:r>
        <w:rPr>
          <w:color w:val="231F20"/>
          <w:spacing w:val="-12"/>
          <w:sz w:val="16"/>
        </w:rPr>
        <w:t> </w:t>
      </w:r>
      <w:r>
        <w:rPr>
          <w:color w:val="231F20"/>
          <w:sz w:val="16"/>
        </w:rPr>
        <w:t>una</w:t>
      </w:r>
      <w:r>
        <w:rPr>
          <w:color w:val="231F20"/>
          <w:spacing w:val="-12"/>
          <w:sz w:val="16"/>
        </w:rPr>
        <w:t> </w:t>
      </w:r>
      <w:r>
        <w:rPr>
          <w:color w:val="231F20"/>
          <w:sz w:val="16"/>
        </w:rPr>
        <w:t>clínica</w:t>
      </w:r>
      <w:r>
        <w:rPr>
          <w:color w:val="231F20"/>
          <w:spacing w:val="-12"/>
          <w:sz w:val="16"/>
        </w:rPr>
        <w:t> </w:t>
      </w:r>
      <w:r>
        <w:rPr>
          <w:color w:val="231F20"/>
          <w:sz w:val="16"/>
        </w:rPr>
        <w:t>que</w:t>
      </w:r>
      <w:r>
        <w:rPr>
          <w:color w:val="231F20"/>
          <w:spacing w:val="-12"/>
          <w:sz w:val="16"/>
        </w:rPr>
        <w:t> </w:t>
      </w:r>
      <w:r>
        <w:rPr>
          <w:color w:val="231F20"/>
          <w:sz w:val="16"/>
        </w:rPr>
        <w:t>tenía</w:t>
      </w:r>
      <w:r>
        <w:rPr>
          <w:color w:val="231F20"/>
          <w:spacing w:val="-12"/>
          <w:sz w:val="16"/>
        </w:rPr>
        <w:t> </w:t>
      </w:r>
      <w:r>
        <w:rPr>
          <w:color w:val="231F20"/>
          <w:sz w:val="16"/>
        </w:rPr>
        <w:t>8</w:t>
      </w:r>
      <w:r>
        <w:rPr>
          <w:color w:val="231F20"/>
          <w:spacing w:val="-12"/>
          <w:sz w:val="16"/>
        </w:rPr>
        <w:t> </w:t>
      </w:r>
      <w:r>
        <w:rPr>
          <w:color w:val="231F20"/>
          <w:sz w:val="16"/>
        </w:rPr>
        <w:t>años</w:t>
      </w:r>
      <w:r>
        <w:rPr>
          <w:color w:val="231F20"/>
          <w:spacing w:val="-12"/>
          <w:sz w:val="16"/>
        </w:rPr>
        <w:t> </w:t>
      </w:r>
      <w:r>
        <w:rPr>
          <w:color w:val="231F20"/>
          <w:sz w:val="16"/>
        </w:rPr>
        <w:t>de</w:t>
      </w:r>
      <w:r>
        <w:rPr>
          <w:color w:val="231F20"/>
          <w:spacing w:val="-12"/>
          <w:sz w:val="16"/>
        </w:rPr>
        <w:t> </w:t>
      </w:r>
      <w:r>
        <w:rPr>
          <w:color w:val="231F20"/>
          <w:sz w:val="16"/>
        </w:rPr>
        <w:t>existencia</w:t>
      </w:r>
      <w:r>
        <w:rPr>
          <w:color w:val="231F20"/>
          <w:spacing w:val="-12"/>
          <w:sz w:val="16"/>
        </w:rPr>
        <w:t> </w:t>
      </w:r>
      <w:r>
        <w:rPr>
          <w:color w:val="231F20"/>
          <w:sz w:val="16"/>
        </w:rPr>
        <w:t>y</w:t>
      </w:r>
      <w:r>
        <w:rPr>
          <w:color w:val="231F20"/>
          <w:spacing w:val="-12"/>
          <w:sz w:val="16"/>
        </w:rPr>
        <w:t> </w:t>
      </w:r>
      <w:r>
        <w:rPr>
          <w:color w:val="231F20"/>
          <w:sz w:val="16"/>
        </w:rPr>
        <w:t>había</w:t>
      </w:r>
      <w:r>
        <w:rPr>
          <w:color w:val="231F20"/>
          <w:spacing w:val="-12"/>
          <w:sz w:val="16"/>
        </w:rPr>
        <w:t> </w:t>
      </w:r>
      <w:r>
        <w:rPr>
          <w:color w:val="231F20"/>
          <w:sz w:val="16"/>
        </w:rPr>
        <w:t>nacido</w:t>
      </w:r>
      <w:r>
        <w:rPr>
          <w:color w:val="231F20"/>
          <w:spacing w:val="-12"/>
          <w:sz w:val="16"/>
        </w:rPr>
        <w:t> </w:t>
      </w:r>
      <w:r>
        <w:rPr>
          <w:color w:val="231F20"/>
          <w:sz w:val="16"/>
        </w:rPr>
        <w:t>solamente</w:t>
      </w:r>
      <w:r>
        <w:rPr>
          <w:color w:val="231F20"/>
          <w:spacing w:val="-12"/>
          <w:sz w:val="16"/>
        </w:rPr>
        <w:t> </w:t>
      </w:r>
      <w:r>
        <w:rPr>
          <w:color w:val="231F20"/>
          <w:sz w:val="16"/>
        </w:rPr>
        <w:t>un</w:t>
      </w:r>
      <w:r>
        <w:rPr>
          <w:color w:val="231F20"/>
          <w:spacing w:val="-12"/>
          <w:sz w:val="16"/>
        </w:rPr>
        <w:t> </w:t>
      </w:r>
      <w:r>
        <w:rPr>
          <w:color w:val="231F20"/>
          <w:sz w:val="16"/>
        </w:rPr>
        <w:t>ciudadano</w:t>
      </w:r>
      <w:r>
        <w:rPr>
          <w:color w:val="231F20"/>
          <w:spacing w:val="-12"/>
          <w:sz w:val="16"/>
        </w:rPr>
        <w:t> </w:t>
      </w:r>
      <w:r>
        <w:rPr>
          <w:color w:val="231F20"/>
          <w:sz w:val="16"/>
        </w:rPr>
        <w:t>en</w:t>
      </w:r>
      <w:r>
        <w:rPr>
          <w:color w:val="231F20"/>
          <w:spacing w:val="-12"/>
          <w:sz w:val="16"/>
        </w:rPr>
        <w:t> </w:t>
      </w:r>
      <w:r>
        <w:rPr>
          <w:color w:val="231F20"/>
          <w:sz w:val="16"/>
        </w:rPr>
        <w:t>esos</w:t>
      </w:r>
      <w:r>
        <w:rPr>
          <w:color w:val="231F20"/>
          <w:spacing w:val="-12"/>
          <w:sz w:val="16"/>
        </w:rPr>
        <w:t> </w:t>
      </w:r>
      <w:r>
        <w:rPr>
          <w:color w:val="231F20"/>
          <w:sz w:val="16"/>
        </w:rPr>
        <w:t>8</w:t>
      </w:r>
      <w:r>
        <w:rPr>
          <w:color w:val="231F20"/>
          <w:spacing w:val="-12"/>
          <w:sz w:val="16"/>
        </w:rPr>
        <w:t> </w:t>
      </w:r>
      <w:r>
        <w:rPr>
          <w:color w:val="231F20"/>
          <w:sz w:val="16"/>
        </w:rPr>
        <w:t>años;</w:t>
      </w:r>
      <w:r>
        <w:rPr>
          <w:color w:val="231F20"/>
          <w:spacing w:val="-12"/>
          <w:sz w:val="16"/>
        </w:rPr>
        <w:t> </w:t>
      </w:r>
      <w:r>
        <w:rPr>
          <w:color w:val="231F20"/>
          <w:sz w:val="16"/>
        </w:rPr>
        <w:t>en</w:t>
      </w:r>
      <w:r>
        <w:rPr>
          <w:color w:val="231F20"/>
          <w:spacing w:val="-12"/>
          <w:sz w:val="16"/>
        </w:rPr>
        <w:t> </w:t>
      </w:r>
      <w:r>
        <w:rPr>
          <w:color w:val="231F20"/>
          <w:sz w:val="16"/>
        </w:rPr>
        <w:t>2</w:t>
      </w:r>
      <w:r>
        <w:rPr>
          <w:color w:val="231F20"/>
          <w:spacing w:val="-12"/>
          <w:sz w:val="16"/>
        </w:rPr>
        <w:t> </w:t>
      </w:r>
      <w:r>
        <w:rPr>
          <w:color w:val="231F20"/>
          <w:sz w:val="16"/>
        </w:rPr>
        <w:t>años</w:t>
      </w:r>
      <w:r>
        <w:rPr>
          <w:color w:val="231F20"/>
          <w:spacing w:val="-12"/>
          <w:sz w:val="16"/>
        </w:rPr>
        <w:t> </w:t>
      </w:r>
      <w:r>
        <w:rPr>
          <w:color w:val="231F20"/>
          <w:sz w:val="16"/>
        </w:rPr>
        <w:t>de </w:t>
      </w:r>
      <w:r>
        <w:rPr>
          <w:color w:val="231F20"/>
          <w:spacing w:val="1"/>
          <w:w w:val="115"/>
          <w:sz w:val="16"/>
        </w:rPr>
        <w:t>g</w:t>
      </w:r>
      <w:r>
        <w:rPr>
          <w:color w:val="231F20"/>
          <w:spacing w:val="1"/>
          <w:w w:val="100"/>
          <w:sz w:val="16"/>
        </w:rPr>
        <w:t>o</w:t>
      </w:r>
      <w:r>
        <w:rPr>
          <w:color w:val="231F20"/>
          <w:spacing w:val="1"/>
          <w:w w:val="105"/>
          <w:sz w:val="16"/>
        </w:rPr>
        <w:t>b</w:t>
      </w:r>
      <w:r>
        <w:rPr>
          <w:color w:val="231F20"/>
          <w:w w:val="91"/>
          <w:sz w:val="16"/>
        </w:rPr>
        <w:t>i</w:t>
      </w:r>
      <w:r>
        <w:rPr>
          <w:color w:val="231F20"/>
          <w:w w:val="97"/>
          <w:sz w:val="16"/>
        </w:rPr>
        <w:t>e</w:t>
      </w:r>
      <w:r>
        <w:rPr>
          <w:color w:val="231F20"/>
          <w:spacing w:val="1"/>
          <w:w w:val="84"/>
          <w:sz w:val="16"/>
        </w:rPr>
        <w:t>r</w:t>
      </w:r>
      <w:r>
        <w:rPr>
          <w:color w:val="231F20"/>
          <w:spacing w:val="1"/>
          <w:w w:val="102"/>
          <w:sz w:val="16"/>
        </w:rPr>
        <w:t>n</w:t>
      </w:r>
      <w:r>
        <w:rPr>
          <w:color w:val="231F20"/>
          <w:w w:val="100"/>
          <w:sz w:val="16"/>
        </w:rPr>
        <w:t>o</w:t>
      </w:r>
      <w:r>
        <w:rPr>
          <w:color w:val="231F20"/>
          <w:spacing w:val="-1"/>
          <w:sz w:val="16"/>
        </w:rPr>
        <w:t> </w:t>
      </w:r>
      <w:r>
        <w:rPr>
          <w:color w:val="231F20"/>
          <w:w w:val="102"/>
          <w:sz w:val="16"/>
        </w:rPr>
        <w:t>h</w:t>
      </w:r>
      <w:r>
        <w:rPr>
          <w:color w:val="231F20"/>
          <w:w w:val="94"/>
          <w:sz w:val="16"/>
        </w:rPr>
        <w:t>a</w:t>
      </w:r>
      <w:r>
        <w:rPr>
          <w:color w:val="231F20"/>
          <w:w w:val="102"/>
          <w:sz w:val="16"/>
        </w:rPr>
        <w:t>n</w:t>
      </w:r>
      <w:r>
        <w:rPr>
          <w:color w:val="231F20"/>
          <w:spacing w:val="-1"/>
          <w:sz w:val="16"/>
        </w:rPr>
        <w:t> </w:t>
      </w:r>
      <w:r>
        <w:rPr>
          <w:color w:val="231F20"/>
          <w:w w:val="102"/>
          <w:sz w:val="16"/>
        </w:rPr>
        <w:t>n</w:t>
      </w:r>
      <w:r>
        <w:rPr>
          <w:color w:val="231F20"/>
          <w:spacing w:val="1"/>
          <w:w w:val="94"/>
          <w:sz w:val="16"/>
        </w:rPr>
        <w:t>a</w:t>
      </w:r>
      <w:r>
        <w:rPr>
          <w:color w:val="231F20"/>
          <w:w w:val="105"/>
          <w:sz w:val="16"/>
        </w:rPr>
        <w:t>c</w:t>
      </w:r>
      <w:r>
        <w:rPr>
          <w:color w:val="231F20"/>
          <w:w w:val="91"/>
          <w:sz w:val="16"/>
        </w:rPr>
        <w:t>i</w:t>
      </w:r>
      <w:r>
        <w:rPr>
          <w:color w:val="231F20"/>
          <w:spacing w:val="1"/>
          <w:w w:val="103"/>
          <w:sz w:val="16"/>
        </w:rPr>
        <w:t>d</w:t>
      </w:r>
      <w:r>
        <w:rPr>
          <w:color w:val="231F20"/>
          <w:w w:val="100"/>
          <w:sz w:val="16"/>
        </w:rPr>
        <w:t>o</w:t>
      </w:r>
      <w:r>
        <w:rPr>
          <w:color w:val="231F20"/>
          <w:spacing w:val="-1"/>
          <w:sz w:val="16"/>
        </w:rPr>
        <w:t> </w:t>
      </w:r>
      <w:r>
        <w:rPr>
          <w:color w:val="231F20"/>
          <w:w w:val="102"/>
          <w:sz w:val="16"/>
        </w:rPr>
        <w:t>m</w:t>
      </w:r>
      <w:r>
        <w:rPr>
          <w:color w:val="231F20"/>
          <w:w w:val="94"/>
          <w:sz w:val="16"/>
        </w:rPr>
        <w:t>á</w:t>
      </w:r>
      <w:r>
        <w:rPr>
          <w:color w:val="231F20"/>
          <w:w w:val="95"/>
          <w:sz w:val="16"/>
        </w:rPr>
        <w:t>s</w:t>
      </w:r>
      <w:r>
        <w:rPr>
          <w:color w:val="231F20"/>
          <w:spacing w:val="-1"/>
          <w:sz w:val="16"/>
        </w:rPr>
        <w:t> </w:t>
      </w:r>
      <w:r>
        <w:rPr>
          <w:color w:val="231F20"/>
          <w:spacing w:val="1"/>
          <w:w w:val="103"/>
          <w:sz w:val="16"/>
        </w:rPr>
        <w:t>d</w:t>
      </w:r>
      <w:r>
        <w:rPr>
          <w:color w:val="231F20"/>
          <w:w w:val="97"/>
          <w:sz w:val="16"/>
        </w:rPr>
        <w:t>e</w:t>
      </w:r>
      <w:r>
        <w:rPr>
          <w:color w:val="231F20"/>
          <w:spacing w:val="-1"/>
          <w:sz w:val="16"/>
        </w:rPr>
        <w:t> </w:t>
      </w:r>
      <w:r>
        <w:rPr>
          <w:color w:val="231F20"/>
          <w:w w:val="96"/>
          <w:sz w:val="16"/>
        </w:rPr>
        <w:t>3</w:t>
      </w:r>
      <w:r>
        <w:rPr>
          <w:color w:val="231F20"/>
          <w:spacing w:val="3"/>
          <w:w w:val="96"/>
          <w:sz w:val="16"/>
        </w:rPr>
        <w:t>0</w:t>
      </w:r>
      <w:r>
        <w:rPr>
          <w:color w:val="231F20"/>
          <w:spacing w:val="-6"/>
          <w:w w:val="96"/>
          <w:sz w:val="16"/>
        </w:rPr>
        <w:t>0</w:t>
      </w:r>
      <w:r>
        <w:rPr>
          <w:color w:val="231F20"/>
          <w:spacing w:val="-6"/>
          <w:w w:val="144"/>
          <w:sz w:val="16"/>
        </w:rPr>
        <w:t>…</w:t>
      </w:r>
      <w:r>
        <w:rPr>
          <w:color w:val="231F20"/>
          <w:w w:val="69"/>
          <w:sz w:val="16"/>
        </w:rPr>
        <w:t>,</w:t>
      </w:r>
      <w:r>
        <w:rPr>
          <w:color w:val="231F20"/>
          <w:spacing w:val="-1"/>
          <w:sz w:val="16"/>
        </w:rPr>
        <w:t> </w:t>
      </w:r>
      <w:r>
        <w:rPr>
          <w:color w:val="231F20"/>
          <w:w w:val="105"/>
          <w:sz w:val="16"/>
        </w:rPr>
        <w:t>c</w:t>
      </w:r>
      <w:r>
        <w:rPr>
          <w:color w:val="231F20"/>
          <w:w w:val="91"/>
          <w:sz w:val="16"/>
        </w:rPr>
        <w:t>i</w:t>
      </w:r>
      <w:r>
        <w:rPr>
          <w:color w:val="231F20"/>
          <w:spacing w:val="1"/>
          <w:w w:val="84"/>
          <w:sz w:val="16"/>
        </w:rPr>
        <w:t>r</w:t>
      </w:r>
      <w:r>
        <w:rPr>
          <w:color w:val="231F20"/>
          <w:spacing w:val="1"/>
          <w:w w:val="101"/>
          <w:sz w:val="16"/>
        </w:rPr>
        <w:t>u</w:t>
      </w:r>
      <w:r>
        <w:rPr>
          <w:color w:val="231F20"/>
          <w:w w:val="115"/>
          <w:sz w:val="16"/>
        </w:rPr>
        <w:t>g</w:t>
      </w:r>
      <w:r>
        <w:rPr>
          <w:color w:val="231F20"/>
          <w:spacing w:val="-1"/>
          <w:w w:val="91"/>
          <w:sz w:val="16"/>
        </w:rPr>
        <w:t>í</w:t>
      </w:r>
      <w:r>
        <w:rPr>
          <w:color w:val="231F20"/>
          <w:w w:val="94"/>
          <w:sz w:val="16"/>
        </w:rPr>
        <w:t>a</w:t>
      </w:r>
      <w:r>
        <w:rPr>
          <w:color w:val="231F20"/>
          <w:w w:val="95"/>
          <w:sz w:val="16"/>
        </w:rPr>
        <w:t>s</w:t>
      </w:r>
      <w:r>
        <w:rPr>
          <w:color w:val="231F20"/>
          <w:spacing w:val="-1"/>
          <w:sz w:val="16"/>
        </w:rPr>
        <w:t> </w:t>
      </w:r>
      <w:r>
        <w:rPr>
          <w:color w:val="231F20"/>
          <w:w w:val="102"/>
          <w:sz w:val="16"/>
        </w:rPr>
        <w:t>m</w:t>
      </w:r>
      <w:r>
        <w:rPr>
          <w:color w:val="231F20"/>
          <w:spacing w:val="-1"/>
          <w:w w:val="94"/>
          <w:sz w:val="16"/>
        </w:rPr>
        <w:t>a</w:t>
      </w:r>
      <w:r>
        <w:rPr>
          <w:color w:val="231F20"/>
          <w:w w:val="97"/>
          <w:sz w:val="16"/>
        </w:rPr>
        <w:t>y</w:t>
      </w:r>
      <w:r>
        <w:rPr>
          <w:color w:val="231F20"/>
          <w:spacing w:val="1"/>
          <w:w w:val="100"/>
          <w:sz w:val="16"/>
        </w:rPr>
        <w:t>o</w:t>
      </w:r>
      <w:r>
        <w:rPr>
          <w:color w:val="231F20"/>
          <w:spacing w:val="-1"/>
          <w:w w:val="84"/>
          <w:sz w:val="16"/>
        </w:rPr>
        <w:t>r</w:t>
      </w:r>
      <w:r>
        <w:rPr>
          <w:color w:val="231F20"/>
          <w:w w:val="97"/>
          <w:sz w:val="16"/>
        </w:rPr>
        <w:t>e</w:t>
      </w:r>
      <w:r>
        <w:rPr>
          <w:color w:val="231F20"/>
          <w:w w:val="95"/>
          <w:sz w:val="16"/>
        </w:rPr>
        <w:t>s</w:t>
      </w:r>
      <w:r>
        <w:rPr>
          <w:color w:val="231F20"/>
          <w:spacing w:val="-1"/>
          <w:sz w:val="16"/>
        </w:rPr>
        <w:t> </w:t>
      </w:r>
      <w:r>
        <w:rPr>
          <w:color w:val="231F20"/>
          <w:w w:val="102"/>
          <w:sz w:val="16"/>
        </w:rPr>
        <w:t>m</w:t>
      </w:r>
      <w:r>
        <w:rPr>
          <w:color w:val="231F20"/>
          <w:w w:val="94"/>
          <w:sz w:val="16"/>
        </w:rPr>
        <w:t>á</w:t>
      </w:r>
      <w:r>
        <w:rPr>
          <w:color w:val="231F20"/>
          <w:w w:val="95"/>
          <w:sz w:val="16"/>
        </w:rPr>
        <w:t>s</w:t>
      </w:r>
      <w:r>
        <w:rPr>
          <w:color w:val="231F20"/>
          <w:spacing w:val="-1"/>
          <w:sz w:val="16"/>
        </w:rPr>
        <w:t> </w:t>
      </w:r>
      <w:r>
        <w:rPr>
          <w:color w:val="231F20"/>
          <w:spacing w:val="1"/>
          <w:w w:val="103"/>
          <w:sz w:val="16"/>
        </w:rPr>
        <w:t>d</w:t>
      </w:r>
      <w:r>
        <w:rPr>
          <w:color w:val="231F20"/>
          <w:w w:val="97"/>
          <w:sz w:val="16"/>
        </w:rPr>
        <w:t>e</w:t>
      </w:r>
      <w:r>
        <w:rPr>
          <w:color w:val="231F20"/>
          <w:spacing w:val="-1"/>
          <w:sz w:val="16"/>
        </w:rPr>
        <w:t> </w:t>
      </w:r>
      <w:r>
        <w:rPr>
          <w:color w:val="231F20"/>
          <w:w w:val="96"/>
          <w:sz w:val="16"/>
        </w:rPr>
        <w:t>3</w:t>
      </w:r>
      <w:r>
        <w:rPr>
          <w:color w:val="231F20"/>
          <w:spacing w:val="3"/>
          <w:w w:val="96"/>
          <w:sz w:val="16"/>
        </w:rPr>
        <w:t>0</w:t>
      </w:r>
      <w:r>
        <w:rPr>
          <w:color w:val="231F20"/>
          <w:spacing w:val="-1"/>
          <w:w w:val="96"/>
          <w:sz w:val="16"/>
        </w:rPr>
        <w:t>0</w:t>
      </w:r>
      <w:r>
        <w:rPr>
          <w:color w:val="231F20"/>
          <w:w w:val="69"/>
          <w:sz w:val="16"/>
        </w:rPr>
        <w:t>,</w:t>
      </w:r>
      <w:r>
        <w:rPr>
          <w:color w:val="231F20"/>
          <w:spacing w:val="-1"/>
          <w:sz w:val="16"/>
        </w:rPr>
        <w:t> </w:t>
      </w:r>
      <w:r>
        <w:rPr>
          <w:color w:val="231F20"/>
          <w:w w:val="97"/>
          <w:sz w:val="16"/>
        </w:rPr>
        <w:t>y</w:t>
      </w:r>
      <w:r>
        <w:rPr>
          <w:color w:val="231F20"/>
          <w:spacing w:val="-1"/>
          <w:sz w:val="16"/>
        </w:rPr>
        <w:t> </w:t>
      </w:r>
      <w:r>
        <w:rPr>
          <w:color w:val="231F20"/>
          <w:w w:val="101"/>
          <w:sz w:val="16"/>
        </w:rPr>
        <w:t>u</w:t>
      </w:r>
      <w:r>
        <w:rPr>
          <w:color w:val="231F20"/>
          <w:w w:val="102"/>
          <w:sz w:val="16"/>
        </w:rPr>
        <w:t>n</w:t>
      </w:r>
      <w:r>
        <w:rPr>
          <w:color w:val="231F20"/>
          <w:w w:val="94"/>
          <w:sz w:val="16"/>
        </w:rPr>
        <w:t>a</w:t>
      </w:r>
      <w:r>
        <w:rPr>
          <w:color w:val="231F20"/>
          <w:spacing w:val="-1"/>
          <w:sz w:val="16"/>
        </w:rPr>
        <w:t> </w:t>
      </w:r>
      <w:r>
        <w:rPr>
          <w:color w:val="231F20"/>
          <w:spacing w:val="-1"/>
          <w:w w:val="94"/>
          <w:sz w:val="16"/>
        </w:rPr>
        <w:t>a</w:t>
      </w:r>
      <w:r>
        <w:rPr>
          <w:color w:val="231F20"/>
          <w:spacing w:val="-2"/>
          <w:w w:val="92"/>
          <w:sz w:val="16"/>
        </w:rPr>
        <w:t>t</w:t>
      </w:r>
      <w:r>
        <w:rPr>
          <w:color w:val="231F20"/>
          <w:w w:val="97"/>
          <w:sz w:val="16"/>
        </w:rPr>
        <w:t>e</w:t>
      </w:r>
      <w:r>
        <w:rPr>
          <w:color w:val="231F20"/>
          <w:spacing w:val="1"/>
          <w:w w:val="102"/>
          <w:sz w:val="16"/>
        </w:rPr>
        <w:t>n</w:t>
      </w:r>
      <w:r>
        <w:rPr>
          <w:color w:val="231F20"/>
          <w:w w:val="105"/>
          <w:sz w:val="16"/>
        </w:rPr>
        <w:t>c</w:t>
      </w:r>
      <w:r>
        <w:rPr>
          <w:color w:val="231F20"/>
          <w:w w:val="91"/>
          <w:sz w:val="16"/>
        </w:rPr>
        <w:t>i</w:t>
      </w:r>
      <w:r>
        <w:rPr>
          <w:color w:val="231F20"/>
          <w:spacing w:val="1"/>
          <w:w w:val="100"/>
          <w:sz w:val="16"/>
        </w:rPr>
        <w:t>ó</w:t>
      </w:r>
      <w:r>
        <w:rPr>
          <w:color w:val="231F20"/>
          <w:w w:val="102"/>
          <w:sz w:val="16"/>
        </w:rPr>
        <w:t>n</w:t>
      </w:r>
      <w:r>
        <w:rPr>
          <w:color w:val="231F20"/>
          <w:spacing w:val="-1"/>
          <w:sz w:val="16"/>
        </w:rPr>
        <w:t> </w:t>
      </w:r>
      <w:r>
        <w:rPr>
          <w:color w:val="231F20"/>
          <w:w w:val="103"/>
          <w:sz w:val="16"/>
        </w:rPr>
        <w:t>d</w:t>
      </w:r>
      <w:r>
        <w:rPr>
          <w:color w:val="231F20"/>
          <w:spacing w:val="-1"/>
          <w:w w:val="91"/>
          <w:sz w:val="16"/>
        </w:rPr>
        <w:t>i</w:t>
      </w:r>
      <w:r>
        <w:rPr>
          <w:color w:val="231F20"/>
          <w:w w:val="94"/>
          <w:sz w:val="16"/>
        </w:rPr>
        <w:t>a</w:t>
      </w:r>
      <w:r>
        <w:rPr>
          <w:color w:val="231F20"/>
          <w:spacing w:val="1"/>
          <w:w w:val="84"/>
          <w:sz w:val="16"/>
        </w:rPr>
        <w:t>r</w:t>
      </w:r>
      <w:r>
        <w:rPr>
          <w:color w:val="231F20"/>
          <w:spacing w:val="-1"/>
          <w:w w:val="91"/>
          <w:sz w:val="16"/>
        </w:rPr>
        <w:t>i</w:t>
      </w:r>
      <w:r>
        <w:rPr>
          <w:color w:val="231F20"/>
          <w:w w:val="94"/>
          <w:sz w:val="16"/>
        </w:rPr>
        <w:t>a</w:t>
      </w:r>
      <w:r>
        <w:rPr>
          <w:color w:val="231F20"/>
          <w:spacing w:val="-1"/>
          <w:sz w:val="16"/>
        </w:rPr>
        <w:t> </w:t>
      </w:r>
      <w:r>
        <w:rPr>
          <w:color w:val="231F20"/>
          <w:spacing w:val="1"/>
          <w:w w:val="103"/>
          <w:sz w:val="16"/>
        </w:rPr>
        <w:t>d</w:t>
      </w:r>
      <w:r>
        <w:rPr>
          <w:color w:val="231F20"/>
          <w:w w:val="97"/>
          <w:sz w:val="16"/>
        </w:rPr>
        <w:t>e</w:t>
      </w:r>
      <w:r>
        <w:rPr>
          <w:color w:val="231F20"/>
          <w:spacing w:val="-1"/>
          <w:sz w:val="16"/>
        </w:rPr>
        <w:t> </w:t>
      </w:r>
      <w:r>
        <w:rPr>
          <w:color w:val="231F20"/>
          <w:w w:val="102"/>
          <w:sz w:val="16"/>
        </w:rPr>
        <w:t>m</w:t>
      </w:r>
      <w:r>
        <w:rPr>
          <w:color w:val="231F20"/>
          <w:w w:val="94"/>
          <w:sz w:val="16"/>
        </w:rPr>
        <w:t>á</w:t>
      </w:r>
      <w:r>
        <w:rPr>
          <w:color w:val="231F20"/>
          <w:w w:val="95"/>
          <w:sz w:val="16"/>
        </w:rPr>
        <w:t>s</w:t>
      </w:r>
      <w:r>
        <w:rPr>
          <w:color w:val="231F20"/>
          <w:spacing w:val="-1"/>
          <w:sz w:val="16"/>
        </w:rPr>
        <w:t> </w:t>
      </w:r>
      <w:r>
        <w:rPr>
          <w:color w:val="231F20"/>
          <w:spacing w:val="1"/>
          <w:w w:val="103"/>
          <w:sz w:val="16"/>
        </w:rPr>
        <w:t>d</w:t>
      </w:r>
      <w:r>
        <w:rPr>
          <w:color w:val="231F20"/>
          <w:w w:val="97"/>
          <w:sz w:val="16"/>
        </w:rPr>
        <w:t>e</w:t>
      </w:r>
      <w:r>
        <w:rPr>
          <w:color w:val="231F20"/>
          <w:spacing w:val="-1"/>
          <w:sz w:val="16"/>
        </w:rPr>
        <w:t> </w:t>
      </w:r>
      <w:r>
        <w:rPr>
          <w:color w:val="231F20"/>
          <w:spacing w:val="-11"/>
          <w:w w:val="96"/>
          <w:sz w:val="16"/>
        </w:rPr>
        <w:t>1</w:t>
      </w:r>
      <w:r>
        <w:rPr>
          <w:color w:val="231F20"/>
          <w:spacing w:val="-1"/>
          <w:w w:val="96"/>
          <w:sz w:val="16"/>
        </w:rPr>
        <w:t>5</w:t>
      </w:r>
      <w:r>
        <w:rPr>
          <w:color w:val="231F20"/>
          <w:w w:val="96"/>
          <w:sz w:val="16"/>
        </w:rPr>
        <w:t>0</w:t>
      </w:r>
      <w:r>
        <w:rPr>
          <w:color w:val="231F20"/>
          <w:spacing w:val="-1"/>
          <w:sz w:val="16"/>
        </w:rPr>
        <w:t> </w:t>
      </w:r>
      <w:r>
        <w:rPr>
          <w:color w:val="231F20"/>
          <w:spacing w:val="2"/>
          <w:w w:val="105"/>
          <w:sz w:val="16"/>
        </w:rPr>
        <w:t>p</w:t>
      </w:r>
      <w:r>
        <w:rPr>
          <w:color w:val="231F20"/>
          <w:w w:val="97"/>
          <w:sz w:val="16"/>
        </w:rPr>
        <w:t>e</w:t>
      </w:r>
      <w:r>
        <w:rPr>
          <w:color w:val="231F20"/>
          <w:spacing w:val="1"/>
          <w:w w:val="84"/>
          <w:sz w:val="16"/>
        </w:rPr>
        <w:t>r</w:t>
      </w:r>
      <w:r>
        <w:rPr>
          <w:color w:val="231F20"/>
          <w:spacing w:val="1"/>
          <w:w w:val="95"/>
          <w:sz w:val="16"/>
        </w:rPr>
        <w:t>s</w:t>
      </w:r>
      <w:r>
        <w:rPr>
          <w:color w:val="231F20"/>
          <w:spacing w:val="1"/>
          <w:w w:val="100"/>
          <w:sz w:val="16"/>
        </w:rPr>
        <w:t>o</w:t>
      </w:r>
      <w:r>
        <w:rPr>
          <w:color w:val="231F20"/>
          <w:w w:val="102"/>
          <w:sz w:val="16"/>
        </w:rPr>
        <w:t>n</w:t>
      </w:r>
      <w:r>
        <w:rPr>
          <w:color w:val="231F20"/>
          <w:w w:val="94"/>
          <w:sz w:val="16"/>
        </w:rPr>
        <w:t>a</w:t>
      </w:r>
      <w:r>
        <w:rPr>
          <w:color w:val="231F20"/>
          <w:spacing w:val="-4"/>
          <w:w w:val="95"/>
          <w:sz w:val="16"/>
        </w:rPr>
        <w:t>s</w:t>
      </w:r>
      <w:r>
        <w:rPr>
          <w:color w:val="231F20"/>
          <w:w w:val="144"/>
          <w:sz w:val="16"/>
        </w:rPr>
        <w:t>…</w:t>
      </w:r>
      <w:r>
        <w:rPr>
          <w:color w:val="231F20"/>
          <w:spacing w:val="-1"/>
          <w:sz w:val="16"/>
        </w:rPr>
        <w:t> </w:t>
      </w:r>
      <w:r>
        <w:rPr>
          <w:color w:val="231F20"/>
          <w:spacing w:val="-1"/>
          <w:w w:val="95"/>
          <w:sz w:val="16"/>
        </w:rPr>
        <w:t>E</w:t>
      </w:r>
      <w:r>
        <w:rPr>
          <w:color w:val="231F20"/>
          <w:w w:val="92"/>
          <w:sz w:val="16"/>
        </w:rPr>
        <w:t>l</w:t>
      </w:r>
      <w:r>
        <w:rPr>
          <w:color w:val="231F20"/>
          <w:spacing w:val="-1"/>
          <w:sz w:val="16"/>
        </w:rPr>
        <w:t> </w:t>
      </w:r>
      <w:r>
        <w:rPr>
          <w:color w:val="231F20"/>
          <w:spacing w:val="1"/>
          <w:w w:val="115"/>
          <w:sz w:val="16"/>
        </w:rPr>
        <w:t>g</w:t>
      </w:r>
      <w:r>
        <w:rPr>
          <w:color w:val="231F20"/>
          <w:spacing w:val="1"/>
          <w:w w:val="100"/>
          <w:sz w:val="16"/>
        </w:rPr>
        <w:t>o</w:t>
      </w:r>
      <w:r>
        <w:rPr>
          <w:color w:val="231F20"/>
          <w:spacing w:val="2"/>
          <w:w w:val="105"/>
          <w:sz w:val="16"/>
        </w:rPr>
        <w:t>b</w:t>
      </w:r>
      <w:r>
        <w:rPr>
          <w:color w:val="231F20"/>
          <w:w w:val="97"/>
          <w:sz w:val="16"/>
        </w:rPr>
        <w:t>e</w:t>
      </w:r>
      <w:r>
        <w:rPr>
          <w:color w:val="231F20"/>
          <w:spacing w:val="-4"/>
          <w:w w:val="84"/>
          <w:sz w:val="16"/>
        </w:rPr>
        <w:t>r</w:t>
      </w:r>
      <w:r>
        <w:rPr>
          <w:color w:val="231F20"/>
          <w:w w:val="97"/>
          <w:sz w:val="16"/>
        </w:rPr>
        <w:t>- </w:t>
      </w:r>
      <w:r>
        <w:rPr>
          <w:color w:val="231F20"/>
          <w:w w:val="102"/>
          <w:sz w:val="16"/>
        </w:rPr>
        <w:t>n</w:t>
      </w:r>
      <w:r>
        <w:rPr>
          <w:color w:val="231F20"/>
          <w:spacing w:val="1"/>
          <w:w w:val="94"/>
          <w:sz w:val="16"/>
        </w:rPr>
        <w:t>a</w:t>
      </w:r>
      <w:r>
        <w:rPr>
          <w:color w:val="231F20"/>
          <w:spacing w:val="1"/>
          <w:w w:val="103"/>
          <w:sz w:val="16"/>
        </w:rPr>
        <w:t>d</w:t>
      </w:r>
      <w:r>
        <w:rPr>
          <w:color w:val="231F20"/>
          <w:spacing w:val="1"/>
          <w:w w:val="100"/>
          <w:sz w:val="16"/>
        </w:rPr>
        <w:t>o</w:t>
      </w:r>
      <w:r>
        <w:rPr>
          <w:color w:val="231F20"/>
          <w:w w:val="84"/>
          <w:sz w:val="16"/>
        </w:rPr>
        <w:t>r</w:t>
      </w:r>
      <w:r>
        <w:rPr>
          <w:color w:val="231F20"/>
          <w:spacing w:val="-1"/>
          <w:sz w:val="16"/>
        </w:rPr>
        <w:t> </w:t>
      </w:r>
      <w:r>
        <w:rPr>
          <w:color w:val="231F20"/>
          <w:spacing w:val="-2"/>
          <w:w w:val="97"/>
          <w:sz w:val="16"/>
        </w:rPr>
        <w:t>P</w:t>
      </w:r>
      <w:r>
        <w:rPr>
          <w:color w:val="231F20"/>
          <w:w w:val="97"/>
          <w:sz w:val="16"/>
        </w:rPr>
        <w:t>e</w:t>
      </w:r>
      <w:r>
        <w:rPr>
          <w:color w:val="231F20"/>
          <w:w w:val="102"/>
          <w:sz w:val="16"/>
        </w:rPr>
        <w:t>ñ</w:t>
      </w:r>
      <w:r>
        <w:rPr>
          <w:color w:val="231F20"/>
          <w:w w:val="94"/>
          <w:sz w:val="16"/>
        </w:rPr>
        <w:t>a</w:t>
      </w:r>
      <w:r>
        <w:rPr>
          <w:color w:val="231F20"/>
          <w:spacing w:val="-1"/>
          <w:sz w:val="16"/>
        </w:rPr>
        <w:t> </w:t>
      </w:r>
      <w:r>
        <w:rPr>
          <w:color w:val="231F20"/>
          <w:w w:val="98"/>
          <w:sz w:val="16"/>
        </w:rPr>
        <w:t>N</w:t>
      </w:r>
      <w:r>
        <w:rPr>
          <w:color w:val="231F20"/>
          <w:w w:val="91"/>
          <w:sz w:val="16"/>
        </w:rPr>
        <w:t>i</w:t>
      </w:r>
      <w:r>
        <w:rPr>
          <w:color w:val="231F20"/>
          <w:w w:val="97"/>
          <w:sz w:val="16"/>
        </w:rPr>
        <w:t>e</w:t>
      </w:r>
      <w:r>
        <w:rPr>
          <w:color w:val="231F20"/>
          <w:spacing w:val="-2"/>
          <w:w w:val="92"/>
          <w:sz w:val="16"/>
        </w:rPr>
        <w:t>t</w:t>
      </w:r>
      <w:r>
        <w:rPr>
          <w:color w:val="231F20"/>
          <w:w w:val="100"/>
          <w:sz w:val="16"/>
        </w:rPr>
        <w:t>o</w:t>
      </w:r>
      <w:r>
        <w:rPr>
          <w:color w:val="231F20"/>
          <w:spacing w:val="-1"/>
          <w:sz w:val="16"/>
        </w:rPr>
        <w:t> </w:t>
      </w:r>
      <w:r>
        <w:rPr>
          <w:color w:val="231F20"/>
          <w:spacing w:val="-2"/>
          <w:w w:val="105"/>
          <w:sz w:val="16"/>
        </w:rPr>
        <w:t>c</w:t>
      </w:r>
      <w:r>
        <w:rPr>
          <w:color w:val="231F20"/>
          <w:spacing w:val="1"/>
          <w:w w:val="100"/>
          <w:sz w:val="16"/>
        </w:rPr>
        <w:t>o</w:t>
      </w:r>
      <w:r>
        <w:rPr>
          <w:color w:val="231F20"/>
          <w:w w:val="102"/>
          <w:sz w:val="16"/>
        </w:rPr>
        <w:t>m</w:t>
      </w:r>
      <w:r>
        <w:rPr>
          <w:color w:val="231F20"/>
          <w:spacing w:val="1"/>
          <w:w w:val="105"/>
          <w:sz w:val="16"/>
        </w:rPr>
        <w:t>p</w:t>
      </w:r>
      <w:r>
        <w:rPr>
          <w:color w:val="231F20"/>
          <w:spacing w:val="-1"/>
          <w:w w:val="84"/>
          <w:sz w:val="16"/>
        </w:rPr>
        <w:t>r</w:t>
      </w:r>
      <w:r>
        <w:rPr>
          <w:color w:val="231F20"/>
          <w:spacing w:val="1"/>
          <w:w w:val="100"/>
          <w:sz w:val="16"/>
        </w:rPr>
        <w:t>o</w:t>
      </w:r>
      <w:r>
        <w:rPr>
          <w:color w:val="231F20"/>
          <w:spacing w:val="1"/>
          <w:w w:val="102"/>
          <w:sz w:val="16"/>
        </w:rPr>
        <w:t>m</w:t>
      </w:r>
      <w:r>
        <w:rPr>
          <w:color w:val="231F20"/>
          <w:w w:val="97"/>
          <w:sz w:val="16"/>
        </w:rPr>
        <w:t>e</w:t>
      </w:r>
      <w:r>
        <w:rPr>
          <w:color w:val="231F20"/>
          <w:w w:val="92"/>
          <w:sz w:val="16"/>
        </w:rPr>
        <w:t>t</w:t>
      </w:r>
      <w:r>
        <w:rPr>
          <w:color w:val="231F20"/>
          <w:w w:val="91"/>
          <w:sz w:val="16"/>
        </w:rPr>
        <w:t>i</w:t>
      </w:r>
      <w:r>
        <w:rPr>
          <w:color w:val="231F20"/>
          <w:w w:val="100"/>
          <w:sz w:val="16"/>
        </w:rPr>
        <w:t>ó</w:t>
      </w:r>
      <w:r>
        <w:rPr>
          <w:color w:val="231F20"/>
          <w:spacing w:val="-1"/>
          <w:sz w:val="16"/>
        </w:rPr>
        <w:t> </w:t>
      </w:r>
      <w:r>
        <w:rPr>
          <w:color w:val="231F20"/>
          <w:w w:val="92"/>
          <w:sz w:val="16"/>
        </w:rPr>
        <w:t>l</w:t>
      </w:r>
      <w:r>
        <w:rPr>
          <w:color w:val="231F20"/>
          <w:w w:val="94"/>
          <w:sz w:val="16"/>
        </w:rPr>
        <w:t>a</w:t>
      </w:r>
      <w:r>
        <w:rPr>
          <w:color w:val="231F20"/>
          <w:spacing w:val="-1"/>
          <w:sz w:val="16"/>
        </w:rPr>
        <w:t> </w:t>
      </w:r>
      <w:r>
        <w:rPr>
          <w:color w:val="231F20"/>
          <w:spacing w:val="1"/>
          <w:w w:val="94"/>
          <w:sz w:val="16"/>
        </w:rPr>
        <w:t>a</w:t>
      </w:r>
      <w:r>
        <w:rPr>
          <w:color w:val="231F20"/>
          <w:spacing w:val="1"/>
          <w:w w:val="103"/>
          <w:sz w:val="16"/>
        </w:rPr>
        <w:t>d</w:t>
      </w:r>
      <w:r>
        <w:rPr>
          <w:color w:val="231F20"/>
          <w:spacing w:val="2"/>
          <w:w w:val="97"/>
          <w:sz w:val="16"/>
        </w:rPr>
        <w:t>e</w:t>
      </w:r>
      <w:r>
        <w:rPr>
          <w:color w:val="231F20"/>
          <w:w w:val="105"/>
          <w:sz w:val="16"/>
        </w:rPr>
        <w:t>c</w:t>
      </w:r>
      <w:r>
        <w:rPr>
          <w:color w:val="231F20"/>
          <w:w w:val="101"/>
          <w:sz w:val="16"/>
        </w:rPr>
        <w:t>u</w:t>
      </w:r>
      <w:r>
        <w:rPr>
          <w:color w:val="231F20"/>
          <w:spacing w:val="1"/>
          <w:w w:val="94"/>
          <w:sz w:val="16"/>
        </w:rPr>
        <w:t>a</w:t>
      </w:r>
      <w:r>
        <w:rPr>
          <w:color w:val="231F20"/>
          <w:w w:val="105"/>
          <w:sz w:val="16"/>
        </w:rPr>
        <w:t>c</w:t>
      </w:r>
      <w:r>
        <w:rPr>
          <w:color w:val="231F20"/>
          <w:w w:val="91"/>
          <w:sz w:val="16"/>
        </w:rPr>
        <w:t>i</w:t>
      </w:r>
      <w:r>
        <w:rPr>
          <w:color w:val="231F20"/>
          <w:spacing w:val="1"/>
          <w:w w:val="100"/>
          <w:sz w:val="16"/>
        </w:rPr>
        <w:t>ó</w:t>
      </w:r>
      <w:r>
        <w:rPr>
          <w:color w:val="231F20"/>
          <w:w w:val="102"/>
          <w:sz w:val="16"/>
        </w:rPr>
        <w:t>n</w:t>
      </w:r>
      <w:r>
        <w:rPr>
          <w:color w:val="231F20"/>
          <w:spacing w:val="-1"/>
          <w:sz w:val="16"/>
        </w:rPr>
        <w:t> </w:t>
      </w:r>
      <w:r>
        <w:rPr>
          <w:color w:val="231F20"/>
          <w:spacing w:val="1"/>
          <w:w w:val="103"/>
          <w:sz w:val="16"/>
        </w:rPr>
        <w:t>d</w:t>
      </w:r>
      <w:r>
        <w:rPr>
          <w:color w:val="231F20"/>
          <w:w w:val="97"/>
          <w:sz w:val="16"/>
        </w:rPr>
        <w:t>e</w:t>
      </w:r>
      <w:r>
        <w:rPr>
          <w:color w:val="231F20"/>
          <w:spacing w:val="-1"/>
          <w:sz w:val="16"/>
        </w:rPr>
        <w:t> </w:t>
      </w:r>
      <w:r>
        <w:rPr>
          <w:color w:val="231F20"/>
          <w:w w:val="101"/>
          <w:sz w:val="16"/>
        </w:rPr>
        <w:t>u</w:t>
      </w:r>
      <w:r>
        <w:rPr>
          <w:color w:val="231F20"/>
          <w:w w:val="102"/>
          <w:sz w:val="16"/>
        </w:rPr>
        <w:t>n</w:t>
      </w:r>
      <w:r>
        <w:rPr>
          <w:color w:val="231F20"/>
          <w:w w:val="94"/>
          <w:sz w:val="16"/>
        </w:rPr>
        <w:t>a</w:t>
      </w:r>
      <w:r>
        <w:rPr>
          <w:color w:val="231F20"/>
          <w:spacing w:val="-1"/>
          <w:sz w:val="16"/>
        </w:rPr>
        <w:t> </w:t>
      </w:r>
      <w:r>
        <w:rPr>
          <w:color w:val="231F20"/>
          <w:w w:val="105"/>
          <w:sz w:val="16"/>
        </w:rPr>
        <w:t>c</w:t>
      </w:r>
      <w:r>
        <w:rPr>
          <w:color w:val="231F20"/>
          <w:w w:val="91"/>
          <w:sz w:val="16"/>
        </w:rPr>
        <w:t>lí</w:t>
      </w:r>
      <w:r>
        <w:rPr>
          <w:color w:val="231F20"/>
          <w:w w:val="102"/>
          <w:sz w:val="16"/>
        </w:rPr>
        <w:t>n</w:t>
      </w:r>
      <w:r>
        <w:rPr>
          <w:color w:val="231F20"/>
          <w:w w:val="91"/>
          <w:sz w:val="16"/>
        </w:rPr>
        <w:t>i</w:t>
      </w:r>
      <w:r>
        <w:rPr>
          <w:color w:val="231F20"/>
          <w:spacing w:val="1"/>
          <w:w w:val="105"/>
          <w:sz w:val="16"/>
        </w:rPr>
        <w:t>c</w:t>
      </w:r>
      <w:r>
        <w:rPr>
          <w:color w:val="231F20"/>
          <w:w w:val="94"/>
          <w:sz w:val="16"/>
        </w:rPr>
        <w:t>a</w:t>
      </w:r>
      <w:r>
        <w:rPr>
          <w:color w:val="231F20"/>
          <w:spacing w:val="-5"/>
          <w:w w:val="69"/>
          <w:sz w:val="16"/>
        </w:rPr>
        <w:t>,</w:t>
      </w:r>
      <w:r>
        <w:rPr>
          <w:color w:val="231F20"/>
          <w:spacing w:val="-11"/>
          <w:w w:val="144"/>
          <w:sz w:val="16"/>
        </w:rPr>
        <w:t>…</w:t>
      </w:r>
      <w:r>
        <w:rPr>
          <w:color w:val="231F20"/>
          <w:w w:val="97"/>
          <w:sz w:val="16"/>
        </w:rPr>
        <w:t>y</w:t>
      </w:r>
      <w:r>
        <w:rPr>
          <w:color w:val="231F20"/>
          <w:spacing w:val="-1"/>
          <w:sz w:val="16"/>
        </w:rPr>
        <w:t> </w:t>
      </w:r>
      <w:r>
        <w:rPr>
          <w:color w:val="231F20"/>
          <w:w w:val="101"/>
          <w:sz w:val="16"/>
        </w:rPr>
        <w:t>u</w:t>
      </w:r>
      <w:r>
        <w:rPr>
          <w:color w:val="231F20"/>
          <w:w w:val="102"/>
          <w:sz w:val="16"/>
        </w:rPr>
        <w:t>n</w:t>
      </w:r>
      <w:r>
        <w:rPr>
          <w:color w:val="231F20"/>
          <w:w w:val="94"/>
          <w:sz w:val="16"/>
        </w:rPr>
        <w:t>a</w:t>
      </w:r>
      <w:r>
        <w:rPr>
          <w:color w:val="231F20"/>
          <w:spacing w:val="-1"/>
          <w:sz w:val="16"/>
        </w:rPr>
        <w:t> </w:t>
      </w:r>
      <w:r>
        <w:rPr>
          <w:color w:val="231F20"/>
          <w:spacing w:val="-2"/>
          <w:w w:val="105"/>
          <w:sz w:val="16"/>
        </w:rPr>
        <w:t>c</w:t>
      </w:r>
      <w:r>
        <w:rPr>
          <w:color w:val="231F20"/>
          <w:spacing w:val="1"/>
          <w:w w:val="100"/>
          <w:sz w:val="16"/>
        </w:rPr>
        <w:t>o</w:t>
      </w:r>
      <w:r>
        <w:rPr>
          <w:color w:val="231F20"/>
          <w:spacing w:val="-1"/>
          <w:w w:val="102"/>
          <w:sz w:val="16"/>
        </w:rPr>
        <w:t>n</w:t>
      </w:r>
      <w:r>
        <w:rPr>
          <w:color w:val="231F20"/>
          <w:spacing w:val="2"/>
          <w:w w:val="95"/>
          <w:sz w:val="16"/>
        </w:rPr>
        <w:t>s</w:t>
      </w:r>
      <w:r>
        <w:rPr>
          <w:color w:val="231F20"/>
          <w:spacing w:val="1"/>
          <w:w w:val="92"/>
          <w:sz w:val="16"/>
        </w:rPr>
        <w:t>t</w:t>
      </w:r>
      <w:r>
        <w:rPr>
          <w:color w:val="231F20"/>
          <w:spacing w:val="1"/>
          <w:w w:val="84"/>
          <w:sz w:val="16"/>
        </w:rPr>
        <w:t>r</w:t>
      </w:r>
      <w:r>
        <w:rPr>
          <w:color w:val="231F20"/>
          <w:spacing w:val="1"/>
          <w:w w:val="101"/>
          <w:sz w:val="16"/>
        </w:rPr>
        <w:t>u</w:t>
      </w:r>
      <w:r>
        <w:rPr>
          <w:color w:val="231F20"/>
          <w:spacing w:val="-2"/>
          <w:w w:val="105"/>
          <w:sz w:val="16"/>
        </w:rPr>
        <w:t>c</w:t>
      </w:r>
      <w:r>
        <w:rPr>
          <w:color w:val="231F20"/>
          <w:w w:val="105"/>
          <w:sz w:val="16"/>
        </w:rPr>
        <w:t>c</w:t>
      </w:r>
      <w:r>
        <w:rPr>
          <w:color w:val="231F20"/>
          <w:w w:val="91"/>
          <w:sz w:val="16"/>
        </w:rPr>
        <w:t>i</w:t>
      </w:r>
      <w:r>
        <w:rPr>
          <w:color w:val="231F20"/>
          <w:spacing w:val="1"/>
          <w:w w:val="100"/>
          <w:sz w:val="16"/>
        </w:rPr>
        <w:t>ó</w:t>
      </w:r>
      <w:r>
        <w:rPr>
          <w:color w:val="231F20"/>
          <w:w w:val="102"/>
          <w:sz w:val="16"/>
        </w:rPr>
        <w:t>n</w:t>
      </w:r>
      <w:r>
        <w:rPr>
          <w:color w:val="231F20"/>
          <w:spacing w:val="-1"/>
          <w:sz w:val="16"/>
        </w:rPr>
        <w:t> </w:t>
      </w:r>
      <w:r>
        <w:rPr>
          <w:color w:val="231F20"/>
          <w:spacing w:val="1"/>
          <w:w w:val="103"/>
          <w:sz w:val="16"/>
        </w:rPr>
        <w:t>d</w:t>
      </w:r>
      <w:r>
        <w:rPr>
          <w:color w:val="231F20"/>
          <w:w w:val="97"/>
          <w:sz w:val="16"/>
        </w:rPr>
        <w:t>e</w:t>
      </w:r>
      <w:r>
        <w:rPr>
          <w:color w:val="231F20"/>
          <w:spacing w:val="-1"/>
          <w:sz w:val="16"/>
        </w:rPr>
        <w:t> </w:t>
      </w:r>
      <w:r>
        <w:rPr>
          <w:color w:val="231F20"/>
          <w:spacing w:val="-1"/>
          <w:w w:val="100"/>
          <w:sz w:val="16"/>
        </w:rPr>
        <w:t>o</w:t>
      </w:r>
      <w:r>
        <w:rPr>
          <w:color w:val="231F20"/>
          <w:spacing w:val="1"/>
          <w:w w:val="92"/>
          <w:sz w:val="16"/>
        </w:rPr>
        <w:t>t</w:t>
      </w:r>
      <w:r>
        <w:rPr>
          <w:color w:val="231F20"/>
          <w:spacing w:val="2"/>
          <w:w w:val="84"/>
          <w:sz w:val="16"/>
        </w:rPr>
        <w:t>r</w:t>
      </w:r>
      <w:r>
        <w:rPr>
          <w:color w:val="231F20"/>
          <w:w w:val="94"/>
          <w:sz w:val="16"/>
        </w:rPr>
        <w:t>a</w:t>
      </w:r>
      <w:r>
        <w:rPr>
          <w:color w:val="231F20"/>
          <w:spacing w:val="-1"/>
          <w:sz w:val="16"/>
        </w:rPr>
        <w:t> </w:t>
      </w:r>
      <w:r>
        <w:rPr>
          <w:color w:val="231F20"/>
          <w:w w:val="97"/>
          <w:sz w:val="16"/>
        </w:rPr>
        <w:t>e</w:t>
      </w:r>
      <w:r>
        <w:rPr>
          <w:color w:val="231F20"/>
          <w:w w:val="102"/>
          <w:sz w:val="16"/>
        </w:rPr>
        <w:t>n</w:t>
      </w:r>
      <w:r>
        <w:rPr>
          <w:color w:val="231F20"/>
          <w:spacing w:val="-1"/>
          <w:sz w:val="16"/>
        </w:rPr>
        <w:t> </w:t>
      </w:r>
      <w:r>
        <w:rPr>
          <w:color w:val="231F20"/>
          <w:w w:val="97"/>
          <w:sz w:val="16"/>
        </w:rPr>
        <w:t>e</w:t>
      </w:r>
      <w:r>
        <w:rPr>
          <w:color w:val="231F20"/>
          <w:w w:val="92"/>
          <w:sz w:val="16"/>
        </w:rPr>
        <w:t>l</w:t>
      </w:r>
      <w:r>
        <w:rPr>
          <w:color w:val="231F20"/>
          <w:spacing w:val="-1"/>
          <w:sz w:val="16"/>
        </w:rPr>
        <w:t> </w:t>
      </w:r>
      <w:r>
        <w:rPr>
          <w:color w:val="231F20"/>
          <w:spacing w:val="-9"/>
          <w:w w:val="95"/>
          <w:sz w:val="16"/>
        </w:rPr>
        <w:t>T</w:t>
      </w:r>
      <w:r>
        <w:rPr>
          <w:color w:val="231F20"/>
          <w:spacing w:val="-1"/>
          <w:w w:val="84"/>
          <w:sz w:val="16"/>
        </w:rPr>
        <w:t>r</w:t>
      </w:r>
      <w:r>
        <w:rPr>
          <w:color w:val="231F20"/>
          <w:w w:val="97"/>
          <w:sz w:val="16"/>
        </w:rPr>
        <w:t>é</w:t>
      </w:r>
      <w:r>
        <w:rPr>
          <w:color w:val="231F20"/>
          <w:spacing w:val="2"/>
          <w:w w:val="105"/>
          <w:sz w:val="16"/>
        </w:rPr>
        <w:t>b</w:t>
      </w:r>
      <w:r>
        <w:rPr>
          <w:color w:val="231F20"/>
          <w:spacing w:val="1"/>
          <w:w w:val="100"/>
          <w:sz w:val="16"/>
        </w:rPr>
        <w:t>o</w:t>
      </w:r>
      <w:r>
        <w:rPr>
          <w:color w:val="231F20"/>
          <w:spacing w:val="-1"/>
          <w:w w:val="92"/>
          <w:sz w:val="16"/>
        </w:rPr>
        <w:t>l</w:t>
      </w:r>
      <w:r>
        <w:rPr>
          <w:color w:val="231F20"/>
          <w:w w:val="69"/>
          <w:sz w:val="16"/>
        </w:rPr>
        <w:t>,</w:t>
      </w:r>
      <w:r>
        <w:rPr>
          <w:color w:val="231F20"/>
          <w:spacing w:val="-1"/>
          <w:sz w:val="16"/>
        </w:rPr>
        <w:t> </w:t>
      </w:r>
      <w:r>
        <w:rPr>
          <w:color w:val="231F20"/>
          <w:w w:val="97"/>
          <w:sz w:val="16"/>
        </w:rPr>
        <w:t>e</w:t>
      </w:r>
      <w:r>
        <w:rPr>
          <w:color w:val="231F20"/>
          <w:spacing w:val="2"/>
          <w:w w:val="95"/>
          <w:sz w:val="16"/>
        </w:rPr>
        <w:t>s</w:t>
      </w:r>
      <w:r>
        <w:rPr>
          <w:color w:val="231F20"/>
          <w:spacing w:val="1"/>
          <w:w w:val="92"/>
          <w:sz w:val="16"/>
        </w:rPr>
        <w:t>t</w:t>
      </w:r>
      <w:r>
        <w:rPr>
          <w:color w:val="231F20"/>
          <w:w w:val="94"/>
          <w:sz w:val="16"/>
        </w:rPr>
        <w:t>á</w:t>
      </w:r>
      <w:r>
        <w:rPr>
          <w:color w:val="231F20"/>
          <w:w w:val="102"/>
          <w:sz w:val="16"/>
        </w:rPr>
        <w:t>n</w:t>
      </w:r>
      <w:r>
        <w:rPr>
          <w:color w:val="231F20"/>
          <w:spacing w:val="-1"/>
          <w:sz w:val="16"/>
        </w:rPr>
        <w:t> </w:t>
      </w:r>
      <w:r>
        <w:rPr>
          <w:color w:val="231F20"/>
          <w:w w:val="94"/>
          <w:sz w:val="16"/>
        </w:rPr>
        <w:t>a</w:t>
      </w:r>
      <w:r>
        <w:rPr>
          <w:color w:val="231F20"/>
          <w:spacing w:val="-1"/>
          <w:sz w:val="16"/>
        </w:rPr>
        <w:t> </w:t>
      </w:r>
      <w:r>
        <w:rPr>
          <w:color w:val="231F20"/>
          <w:w w:val="101"/>
          <w:sz w:val="16"/>
        </w:rPr>
        <w:t>u</w:t>
      </w:r>
      <w:r>
        <w:rPr>
          <w:color w:val="231F20"/>
          <w:w w:val="102"/>
          <w:sz w:val="16"/>
        </w:rPr>
        <w:t>n</w:t>
      </w:r>
      <w:r>
        <w:rPr>
          <w:color w:val="231F20"/>
          <w:spacing w:val="-1"/>
          <w:sz w:val="16"/>
        </w:rPr>
        <w:t> </w:t>
      </w:r>
      <w:r>
        <w:rPr>
          <w:color w:val="231F20"/>
          <w:spacing w:val="-4"/>
          <w:w w:val="96"/>
          <w:sz w:val="16"/>
        </w:rPr>
        <w:t>7</w:t>
      </w:r>
      <w:r>
        <w:rPr>
          <w:color w:val="231F20"/>
          <w:w w:val="96"/>
          <w:sz w:val="16"/>
        </w:rPr>
        <w:t>0</w:t>
      </w:r>
      <w:r>
        <w:rPr>
          <w:color w:val="231F20"/>
          <w:spacing w:val="-1"/>
          <w:sz w:val="16"/>
        </w:rPr>
        <w:t> </w:t>
      </w:r>
      <w:r>
        <w:rPr>
          <w:color w:val="231F20"/>
          <w:w w:val="101"/>
          <w:sz w:val="16"/>
        </w:rPr>
        <w:t>u</w:t>
      </w:r>
      <w:r>
        <w:rPr>
          <w:color w:val="231F20"/>
          <w:spacing w:val="-1"/>
          <w:sz w:val="16"/>
        </w:rPr>
        <w:t> </w:t>
      </w:r>
      <w:r>
        <w:rPr>
          <w:color w:val="231F20"/>
          <w:spacing w:val="1"/>
          <w:w w:val="96"/>
          <w:sz w:val="16"/>
        </w:rPr>
        <w:t>8</w:t>
      </w:r>
      <w:r>
        <w:rPr>
          <w:color w:val="231F20"/>
          <w:spacing w:val="2"/>
          <w:w w:val="96"/>
          <w:sz w:val="16"/>
        </w:rPr>
        <w:t>0</w:t>
      </w:r>
      <w:r>
        <w:rPr>
          <w:color w:val="231F20"/>
          <w:w w:val="103"/>
          <w:sz w:val="16"/>
        </w:rPr>
        <w:t>% </w:t>
      </w:r>
      <w:r>
        <w:rPr>
          <w:color w:val="231F20"/>
          <w:sz w:val="16"/>
        </w:rPr>
        <w:t>en</w:t>
      </w:r>
      <w:r>
        <w:rPr>
          <w:color w:val="231F20"/>
          <w:spacing w:val="-7"/>
          <w:sz w:val="16"/>
        </w:rPr>
        <w:t> </w:t>
      </w:r>
      <w:r>
        <w:rPr>
          <w:color w:val="231F20"/>
          <w:sz w:val="16"/>
        </w:rPr>
        <w:t>los</w:t>
      </w:r>
      <w:r>
        <w:rPr>
          <w:color w:val="231F20"/>
          <w:spacing w:val="-7"/>
          <w:sz w:val="16"/>
        </w:rPr>
        <w:t> </w:t>
      </w:r>
      <w:r>
        <w:rPr>
          <w:color w:val="231F20"/>
          <w:sz w:val="16"/>
        </w:rPr>
        <w:t>ambos</w:t>
      </w:r>
      <w:r>
        <w:rPr>
          <w:color w:val="231F20"/>
          <w:spacing w:val="-7"/>
          <w:sz w:val="16"/>
        </w:rPr>
        <w:t> </w:t>
      </w:r>
      <w:r>
        <w:rPr>
          <w:color w:val="231F20"/>
          <w:sz w:val="16"/>
        </w:rPr>
        <w:t>casos.</w:t>
      </w:r>
      <w:r>
        <w:rPr>
          <w:color w:val="231F20"/>
          <w:spacing w:val="-7"/>
          <w:sz w:val="16"/>
        </w:rPr>
        <w:t> </w:t>
      </w:r>
      <w:r>
        <w:rPr>
          <w:color w:val="231F20"/>
          <w:sz w:val="16"/>
        </w:rPr>
        <w:t>En</w:t>
      </w:r>
      <w:r>
        <w:rPr>
          <w:color w:val="231F20"/>
          <w:spacing w:val="-7"/>
          <w:sz w:val="16"/>
        </w:rPr>
        <w:t> </w:t>
      </w:r>
      <w:r>
        <w:rPr>
          <w:color w:val="231F20"/>
          <w:sz w:val="16"/>
        </w:rPr>
        <w:t>San</w:t>
      </w:r>
      <w:r>
        <w:rPr>
          <w:color w:val="231F20"/>
          <w:spacing w:val="-7"/>
          <w:sz w:val="16"/>
        </w:rPr>
        <w:t> </w:t>
      </w:r>
      <w:r>
        <w:rPr>
          <w:color w:val="231F20"/>
          <w:sz w:val="16"/>
        </w:rPr>
        <w:t>Mateo,</w:t>
      </w:r>
      <w:r>
        <w:rPr>
          <w:color w:val="231F20"/>
          <w:spacing w:val="-7"/>
          <w:sz w:val="16"/>
        </w:rPr>
        <w:t> </w:t>
      </w:r>
      <w:r>
        <w:rPr>
          <w:color w:val="231F20"/>
          <w:sz w:val="16"/>
        </w:rPr>
        <w:t>en</w:t>
      </w:r>
      <w:r>
        <w:rPr>
          <w:color w:val="231F20"/>
          <w:spacing w:val="-7"/>
          <w:sz w:val="16"/>
        </w:rPr>
        <w:t> </w:t>
      </w:r>
      <w:r>
        <w:rPr>
          <w:color w:val="231F20"/>
          <w:sz w:val="16"/>
        </w:rPr>
        <w:t>Santa</w:t>
      </w:r>
      <w:r>
        <w:rPr>
          <w:color w:val="231F20"/>
          <w:spacing w:val="-7"/>
          <w:sz w:val="16"/>
        </w:rPr>
        <w:t> </w:t>
      </w:r>
      <w:r>
        <w:rPr>
          <w:color w:val="231F20"/>
          <w:sz w:val="16"/>
        </w:rPr>
        <w:t>Cruz,</w:t>
      </w:r>
      <w:r>
        <w:rPr>
          <w:color w:val="231F20"/>
          <w:spacing w:val="-7"/>
          <w:sz w:val="16"/>
        </w:rPr>
        <w:t> </w:t>
      </w:r>
      <w:r>
        <w:rPr>
          <w:color w:val="231F20"/>
          <w:sz w:val="16"/>
        </w:rPr>
        <w:t>en</w:t>
      </w:r>
      <w:r>
        <w:rPr>
          <w:color w:val="231F20"/>
          <w:spacing w:val="-7"/>
          <w:sz w:val="16"/>
        </w:rPr>
        <w:t> </w:t>
      </w:r>
      <w:r>
        <w:rPr>
          <w:color w:val="231F20"/>
          <w:sz w:val="16"/>
        </w:rPr>
        <w:t>Santiago,</w:t>
      </w:r>
      <w:r>
        <w:rPr>
          <w:color w:val="231F20"/>
          <w:spacing w:val="-7"/>
          <w:sz w:val="16"/>
        </w:rPr>
        <w:t> </w:t>
      </w:r>
      <w:r>
        <w:rPr>
          <w:color w:val="231F20"/>
          <w:sz w:val="16"/>
        </w:rPr>
        <w:t>en</w:t>
      </w:r>
      <w:r>
        <w:rPr>
          <w:color w:val="231F20"/>
          <w:spacing w:val="-7"/>
          <w:sz w:val="16"/>
        </w:rPr>
        <w:t> </w:t>
      </w:r>
      <w:r>
        <w:rPr>
          <w:color w:val="231F20"/>
          <w:sz w:val="16"/>
        </w:rPr>
        <w:t>Cañadas</w:t>
      </w:r>
      <w:r>
        <w:rPr>
          <w:color w:val="231F20"/>
          <w:spacing w:val="-7"/>
          <w:sz w:val="16"/>
        </w:rPr>
        <w:t> </w:t>
      </w:r>
      <w:r>
        <w:rPr>
          <w:color w:val="231F20"/>
          <w:sz w:val="16"/>
        </w:rPr>
        <w:t>donde</w:t>
      </w:r>
      <w:r>
        <w:rPr>
          <w:color w:val="231F20"/>
          <w:spacing w:val="-7"/>
          <w:sz w:val="16"/>
        </w:rPr>
        <w:t> </w:t>
      </w:r>
      <w:r>
        <w:rPr>
          <w:color w:val="231F20"/>
          <w:sz w:val="16"/>
        </w:rPr>
        <w:t>se</w:t>
      </w:r>
      <w:r>
        <w:rPr>
          <w:color w:val="231F20"/>
          <w:spacing w:val="-7"/>
          <w:sz w:val="16"/>
        </w:rPr>
        <w:t> </w:t>
      </w:r>
      <w:r>
        <w:rPr>
          <w:color w:val="231F20"/>
          <w:sz w:val="16"/>
        </w:rPr>
        <w:t>está</w:t>
      </w:r>
      <w:r>
        <w:rPr>
          <w:color w:val="231F20"/>
          <w:spacing w:val="-7"/>
          <w:sz w:val="16"/>
        </w:rPr>
        <w:t> </w:t>
      </w:r>
      <w:r>
        <w:rPr>
          <w:color w:val="231F20"/>
          <w:sz w:val="16"/>
        </w:rPr>
        <w:t>brindando</w:t>
      </w:r>
      <w:r>
        <w:rPr>
          <w:color w:val="231F20"/>
          <w:spacing w:val="-7"/>
          <w:sz w:val="16"/>
        </w:rPr>
        <w:t> </w:t>
      </w:r>
      <w:r>
        <w:rPr>
          <w:color w:val="231F20"/>
          <w:sz w:val="16"/>
        </w:rPr>
        <w:t>el</w:t>
      </w:r>
      <w:r>
        <w:rPr>
          <w:color w:val="231F20"/>
          <w:spacing w:val="-7"/>
          <w:sz w:val="16"/>
        </w:rPr>
        <w:t> </w:t>
      </w:r>
      <w:r>
        <w:rPr>
          <w:color w:val="231F20"/>
          <w:sz w:val="16"/>
        </w:rPr>
        <w:t>servicio.</w:t>
      </w:r>
      <w:r>
        <w:rPr>
          <w:color w:val="231F20"/>
          <w:spacing w:val="-7"/>
          <w:sz w:val="16"/>
        </w:rPr>
        <w:t> </w:t>
      </w:r>
      <w:r>
        <w:rPr>
          <w:color w:val="231F20"/>
          <w:sz w:val="16"/>
        </w:rPr>
        <w:t>En</w:t>
      </w:r>
      <w:r>
        <w:rPr>
          <w:color w:val="231F20"/>
          <w:spacing w:val="-7"/>
          <w:sz w:val="16"/>
        </w:rPr>
        <w:t> </w:t>
      </w:r>
      <w:r>
        <w:rPr>
          <w:color w:val="231F20"/>
          <w:sz w:val="16"/>
        </w:rPr>
        <w:t>Santiago Cuatlalpan donde damos atención y la de la cabecera municipal, son tres espacios donde estamos brindando un servicio… por</w:t>
      </w:r>
      <w:r>
        <w:rPr>
          <w:color w:val="231F20"/>
          <w:spacing w:val="-11"/>
          <w:sz w:val="16"/>
        </w:rPr>
        <w:t> </w:t>
      </w:r>
      <w:r>
        <w:rPr>
          <w:color w:val="231F20"/>
          <w:sz w:val="16"/>
        </w:rPr>
        <w:t>lo</w:t>
      </w:r>
      <w:r>
        <w:rPr>
          <w:color w:val="231F20"/>
          <w:spacing w:val="-11"/>
          <w:sz w:val="16"/>
        </w:rPr>
        <w:t> </w:t>
      </w:r>
      <w:r>
        <w:rPr>
          <w:color w:val="231F20"/>
          <w:sz w:val="16"/>
        </w:rPr>
        <w:t>menos</w:t>
      </w:r>
      <w:r>
        <w:rPr>
          <w:color w:val="231F20"/>
          <w:spacing w:val="-11"/>
          <w:sz w:val="16"/>
        </w:rPr>
        <w:t> </w:t>
      </w:r>
      <w:r>
        <w:rPr>
          <w:color w:val="231F20"/>
          <w:sz w:val="16"/>
        </w:rPr>
        <w:t>para</w:t>
      </w:r>
      <w:r>
        <w:rPr>
          <w:color w:val="231F20"/>
          <w:spacing w:val="-11"/>
          <w:sz w:val="16"/>
        </w:rPr>
        <w:t> </w:t>
      </w:r>
      <w:r>
        <w:rPr>
          <w:color w:val="231F20"/>
          <w:sz w:val="16"/>
        </w:rPr>
        <w:t>la</w:t>
      </w:r>
      <w:r>
        <w:rPr>
          <w:color w:val="231F20"/>
          <w:spacing w:val="-11"/>
          <w:sz w:val="16"/>
        </w:rPr>
        <w:t> </w:t>
      </w:r>
      <w:r>
        <w:rPr>
          <w:color w:val="231F20"/>
          <w:sz w:val="16"/>
        </w:rPr>
        <w:t>atención</w:t>
      </w:r>
      <w:r>
        <w:rPr>
          <w:color w:val="231F20"/>
          <w:spacing w:val="-11"/>
          <w:sz w:val="16"/>
        </w:rPr>
        <w:t> </w:t>
      </w:r>
      <w:r>
        <w:rPr>
          <w:color w:val="231F20"/>
          <w:sz w:val="16"/>
        </w:rPr>
        <w:t>primaria...</w:t>
      </w:r>
      <w:r>
        <w:rPr>
          <w:color w:val="231F20"/>
          <w:spacing w:val="-11"/>
          <w:sz w:val="16"/>
        </w:rPr>
        <w:t> </w:t>
      </w:r>
      <w:r>
        <w:rPr>
          <w:color w:val="231F20"/>
          <w:sz w:val="16"/>
        </w:rPr>
        <w:t>La</w:t>
      </w:r>
      <w:r>
        <w:rPr>
          <w:color w:val="231F20"/>
          <w:spacing w:val="-11"/>
          <w:sz w:val="16"/>
        </w:rPr>
        <w:t> </w:t>
      </w:r>
      <w:r>
        <w:rPr>
          <w:color w:val="231F20"/>
          <w:sz w:val="16"/>
        </w:rPr>
        <w:t>idea</w:t>
      </w:r>
      <w:r>
        <w:rPr>
          <w:color w:val="231F20"/>
          <w:spacing w:val="-11"/>
          <w:sz w:val="16"/>
        </w:rPr>
        <w:t> </w:t>
      </w:r>
      <w:r>
        <w:rPr>
          <w:color w:val="231F20"/>
          <w:sz w:val="16"/>
        </w:rPr>
        <w:t>es</w:t>
      </w:r>
      <w:r>
        <w:rPr>
          <w:color w:val="231F20"/>
          <w:spacing w:val="-11"/>
          <w:sz w:val="16"/>
        </w:rPr>
        <w:t> </w:t>
      </w:r>
      <w:r>
        <w:rPr>
          <w:color w:val="231F20"/>
          <w:sz w:val="16"/>
        </w:rPr>
        <w:t>que</w:t>
      </w:r>
      <w:r>
        <w:rPr>
          <w:color w:val="231F20"/>
          <w:spacing w:val="-11"/>
          <w:sz w:val="16"/>
        </w:rPr>
        <w:t> </w:t>
      </w:r>
      <w:r>
        <w:rPr>
          <w:color w:val="231F20"/>
          <w:sz w:val="16"/>
        </w:rPr>
        <w:t>precisamente</w:t>
      </w:r>
      <w:r>
        <w:rPr>
          <w:color w:val="231F20"/>
          <w:spacing w:val="-11"/>
          <w:sz w:val="16"/>
        </w:rPr>
        <w:t> </w:t>
      </w:r>
      <w:r>
        <w:rPr>
          <w:color w:val="231F20"/>
          <w:sz w:val="16"/>
        </w:rPr>
        <w:t>ya</w:t>
      </w:r>
      <w:r>
        <w:rPr>
          <w:color w:val="231F20"/>
          <w:spacing w:val="-11"/>
          <w:sz w:val="16"/>
        </w:rPr>
        <w:t> </w:t>
      </w:r>
      <w:r>
        <w:rPr>
          <w:color w:val="231F20"/>
          <w:sz w:val="16"/>
        </w:rPr>
        <w:t>con</w:t>
      </w:r>
      <w:r>
        <w:rPr>
          <w:color w:val="231F20"/>
          <w:spacing w:val="-11"/>
          <w:sz w:val="16"/>
        </w:rPr>
        <w:t> </w:t>
      </w:r>
      <w:r>
        <w:rPr>
          <w:color w:val="231F20"/>
          <w:sz w:val="16"/>
        </w:rPr>
        <w:t>la</w:t>
      </w:r>
      <w:r>
        <w:rPr>
          <w:color w:val="231F20"/>
          <w:spacing w:val="-11"/>
          <w:sz w:val="16"/>
        </w:rPr>
        <w:t> </w:t>
      </w:r>
      <w:r>
        <w:rPr>
          <w:color w:val="231F20"/>
          <w:sz w:val="16"/>
        </w:rPr>
        <w:t>apertura</w:t>
      </w:r>
      <w:r>
        <w:rPr>
          <w:color w:val="231F20"/>
          <w:spacing w:val="-11"/>
          <w:sz w:val="16"/>
        </w:rPr>
        <w:t> </w:t>
      </w:r>
      <w:r>
        <w:rPr>
          <w:color w:val="231F20"/>
          <w:sz w:val="16"/>
        </w:rPr>
        <w:t>de</w:t>
      </w:r>
      <w:r>
        <w:rPr>
          <w:color w:val="231F20"/>
          <w:spacing w:val="-11"/>
          <w:sz w:val="16"/>
        </w:rPr>
        <w:t> </w:t>
      </w:r>
      <w:r>
        <w:rPr>
          <w:color w:val="231F20"/>
          <w:sz w:val="16"/>
        </w:rPr>
        <w:t>esta</w:t>
      </w:r>
      <w:r>
        <w:rPr>
          <w:color w:val="231F20"/>
          <w:spacing w:val="-11"/>
          <w:sz w:val="16"/>
        </w:rPr>
        <w:t> </w:t>
      </w:r>
      <w:r>
        <w:rPr>
          <w:color w:val="231F20"/>
          <w:sz w:val="16"/>
        </w:rPr>
        <w:t>clínica</w:t>
      </w:r>
      <w:r>
        <w:rPr>
          <w:color w:val="231F20"/>
          <w:spacing w:val="-11"/>
          <w:sz w:val="16"/>
        </w:rPr>
        <w:t> </w:t>
      </w:r>
      <w:r>
        <w:rPr>
          <w:color w:val="231F20"/>
          <w:sz w:val="16"/>
        </w:rPr>
        <w:t>podamos</w:t>
      </w:r>
      <w:r>
        <w:rPr>
          <w:color w:val="231F20"/>
          <w:spacing w:val="-11"/>
          <w:sz w:val="16"/>
        </w:rPr>
        <w:t> </w:t>
      </w:r>
      <w:r>
        <w:rPr>
          <w:color w:val="231F20"/>
          <w:sz w:val="16"/>
        </w:rPr>
        <w:t>dar</w:t>
      </w:r>
      <w:r>
        <w:rPr>
          <w:color w:val="231F20"/>
          <w:spacing w:val="-11"/>
          <w:sz w:val="16"/>
        </w:rPr>
        <w:t> </w:t>
      </w:r>
      <w:r>
        <w:rPr>
          <w:color w:val="231F20"/>
          <w:sz w:val="16"/>
        </w:rPr>
        <w:t>el</w:t>
      </w:r>
      <w:r>
        <w:rPr>
          <w:color w:val="231F20"/>
          <w:spacing w:val="-11"/>
          <w:sz w:val="16"/>
        </w:rPr>
        <w:t> </w:t>
      </w:r>
      <w:r>
        <w:rPr>
          <w:color w:val="231F20"/>
          <w:sz w:val="16"/>
        </w:rPr>
        <w:t>servi- cio</w:t>
      </w:r>
      <w:r>
        <w:rPr>
          <w:color w:val="231F20"/>
          <w:spacing w:val="-13"/>
          <w:sz w:val="16"/>
        </w:rPr>
        <w:t> </w:t>
      </w:r>
      <w:r>
        <w:rPr>
          <w:color w:val="231F20"/>
          <w:sz w:val="16"/>
        </w:rPr>
        <w:t>a</w:t>
      </w:r>
      <w:r>
        <w:rPr>
          <w:color w:val="231F20"/>
          <w:spacing w:val="-13"/>
          <w:sz w:val="16"/>
        </w:rPr>
        <w:t> </w:t>
      </w:r>
      <w:r>
        <w:rPr>
          <w:color w:val="231F20"/>
          <w:sz w:val="16"/>
        </w:rPr>
        <w:t>los</w:t>
      </w:r>
      <w:r>
        <w:rPr>
          <w:color w:val="231F20"/>
          <w:spacing w:val="-13"/>
          <w:sz w:val="16"/>
        </w:rPr>
        <w:t> </w:t>
      </w:r>
      <w:r>
        <w:rPr>
          <w:color w:val="231F20"/>
          <w:sz w:val="16"/>
        </w:rPr>
        <w:t>ciudadanos</w:t>
      </w:r>
      <w:r>
        <w:rPr>
          <w:color w:val="231F20"/>
          <w:spacing w:val="-13"/>
          <w:sz w:val="16"/>
        </w:rPr>
        <w:t> </w:t>
      </w:r>
      <w:r>
        <w:rPr>
          <w:color w:val="231F20"/>
          <w:sz w:val="16"/>
        </w:rPr>
        <w:t>de</w:t>
      </w:r>
      <w:r>
        <w:rPr>
          <w:color w:val="231F20"/>
          <w:spacing w:val="-13"/>
          <w:sz w:val="16"/>
        </w:rPr>
        <w:t> </w:t>
      </w:r>
      <w:r>
        <w:rPr>
          <w:color w:val="231F20"/>
          <w:sz w:val="16"/>
        </w:rPr>
        <w:t>Tepotzotlán</w:t>
      </w:r>
      <w:r>
        <w:rPr>
          <w:color w:val="231F20"/>
          <w:spacing w:val="-13"/>
          <w:sz w:val="16"/>
        </w:rPr>
        <w:t> </w:t>
      </w:r>
      <w:r>
        <w:rPr>
          <w:color w:val="231F20"/>
          <w:sz w:val="16"/>
        </w:rPr>
        <w:t>pero</w:t>
      </w:r>
      <w:r>
        <w:rPr>
          <w:color w:val="231F20"/>
          <w:spacing w:val="-13"/>
          <w:sz w:val="16"/>
        </w:rPr>
        <w:t> </w:t>
      </w:r>
      <w:r>
        <w:rPr>
          <w:color w:val="231F20"/>
          <w:sz w:val="16"/>
        </w:rPr>
        <w:t>aquí”</w:t>
      </w:r>
      <w:r>
        <w:rPr>
          <w:color w:val="231F20"/>
          <w:spacing w:val="-13"/>
          <w:sz w:val="16"/>
        </w:rPr>
        <w:t> </w:t>
      </w:r>
      <w:r>
        <w:rPr>
          <w:color w:val="231F20"/>
          <w:sz w:val="16"/>
        </w:rPr>
        <w:t>Entrevista</w:t>
      </w:r>
      <w:r>
        <w:rPr>
          <w:color w:val="231F20"/>
          <w:spacing w:val="-13"/>
          <w:sz w:val="16"/>
        </w:rPr>
        <w:t> </w:t>
      </w:r>
      <w:r>
        <w:rPr>
          <w:color w:val="231F20"/>
          <w:sz w:val="16"/>
        </w:rPr>
        <w:t>a</w:t>
      </w:r>
      <w:r>
        <w:rPr>
          <w:color w:val="231F20"/>
          <w:spacing w:val="-13"/>
          <w:sz w:val="16"/>
        </w:rPr>
        <w:t> </w:t>
      </w:r>
      <w:r>
        <w:rPr>
          <w:color w:val="231F20"/>
          <w:sz w:val="16"/>
        </w:rPr>
        <w:t>Marcos</w:t>
      </w:r>
      <w:r>
        <w:rPr>
          <w:color w:val="231F20"/>
          <w:spacing w:val="-13"/>
          <w:sz w:val="16"/>
        </w:rPr>
        <w:t> </w:t>
      </w:r>
      <w:r>
        <w:rPr>
          <w:color w:val="231F20"/>
          <w:sz w:val="16"/>
        </w:rPr>
        <w:t>Márquez</w:t>
      </w:r>
      <w:r>
        <w:rPr>
          <w:color w:val="231F20"/>
          <w:spacing w:val="-13"/>
          <w:sz w:val="16"/>
        </w:rPr>
        <w:t> </w:t>
      </w:r>
      <w:r>
        <w:rPr>
          <w:color w:val="231F20"/>
          <w:sz w:val="16"/>
        </w:rPr>
        <w:t>Mercado,</w:t>
      </w:r>
      <w:r>
        <w:rPr>
          <w:color w:val="231F20"/>
          <w:spacing w:val="-13"/>
          <w:sz w:val="16"/>
        </w:rPr>
        <w:t> </w:t>
      </w:r>
      <w:r>
        <w:rPr>
          <w:color w:val="231F20"/>
          <w:sz w:val="16"/>
        </w:rPr>
        <w:t>presidente</w:t>
      </w:r>
      <w:r>
        <w:rPr>
          <w:color w:val="231F20"/>
          <w:spacing w:val="-13"/>
          <w:sz w:val="16"/>
        </w:rPr>
        <w:t> </w:t>
      </w:r>
      <w:r>
        <w:rPr>
          <w:color w:val="231F20"/>
          <w:sz w:val="16"/>
        </w:rPr>
        <w:t>municipal</w:t>
      </w:r>
      <w:r>
        <w:rPr>
          <w:color w:val="231F20"/>
          <w:spacing w:val="-13"/>
          <w:sz w:val="16"/>
        </w:rPr>
        <w:t> </w:t>
      </w:r>
      <w:r>
        <w:rPr>
          <w:color w:val="231F20"/>
          <w:sz w:val="16"/>
        </w:rPr>
        <w:t>de</w:t>
      </w:r>
      <w:r>
        <w:rPr>
          <w:color w:val="231F20"/>
          <w:spacing w:val="-13"/>
          <w:sz w:val="16"/>
        </w:rPr>
        <w:t> </w:t>
      </w:r>
      <w:r>
        <w:rPr>
          <w:color w:val="231F20"/>
          <w:sz w:val="16"/>
        </w:rPr>
        <w:t>Tepotzotlán, Estado</w:t>
      </w:r>
      <w:r>
        <w:rPr>
          <w:color w:val="231F20"/>
          <w:spacing w:val="-11"/>
          <w:sz w:val="16"/>
        </w:rPr>
        <w:t> </w:t>
      </w:r>
      <w:r>
        <w:rPr>
          <w:color w:val="231F20"/>
          <w:sz w:val="16"/>
        </w:rPr>
        <w:t>de</w:t>
      </w:r>
      <w:r>
        <w:rPr>
          <w:color w:val="231F20"/>
          <w:spacing w:val="-11"/>
          <w:sz w:val="16"/>
        </w:rPr>
        <w:t> </w:t>
      </w:r>
      <w:r>
        <w:rPr>
          <w:color w:val="231F20"/>
          <w:sz w:val="16"/>
        </w:rPr>
        <w:t>México,</w:t>
      </w:r>
      <w:r>
        <w:rPr>
          <w:color w:val="231F20"/>
          <w:spacing w:val="-11"/>
          <w:sz w:val="16"/>
        </w:rPr>
        <w:t> </w:t>
      </w:r>
      <w:r>
        <w:rPr>
          <w:color w:val="231F20"/>
          <w:sz w:val="16"/>
        </w:rPr>
        <w:t>20</w:t>
      </w:r>
      <w:r>
        <w:rPr>
          <w:color w:val="231F20"/>
          <w:spacing w:val="-11"/>
          <w:sz w:val="16"/>
        </w:rPr>
        <w:t> </w:t>
      </w:r>
      <w:r>
        <w:rPr>
          <w:color w:val="231F20"/>
          <w:sz w:val="16"/>
        </w:rPr>
        <w:t>de</w:t>
      </w:r>
      <w:r>
        <w:rPr>
          <w:color w:val="231F20"/>
          <w:spacing w:val="-11"/>
          <w:sz w:val="16"/>
        </w:rPr>
        <w:t> </w:t>
      </w:r>
      <w:r>
        <w:rPr>
          <w:color w:val="231F20"/>
          <w:sz w:val="16"/>
        </w:rPr>
        <w:t>octubre</w:t>
      </w:r>
      <w:r>
        <w:rPr>
          <w:color w:val="231F20"/>
          <w:spacing w:val="-11"/>
          <w:sz w:val="16"/>
        </w:rPr>
        <w:t> </w:t>
      </w:r>
      <w:r>
        <w:rPr>
          <w:color w:val="231F20"/>
          <w:sz w:val="16"/>
        </w:rPr>
        <w:t>de</w:t>
      </w:r>
      <w:r>
        <w:rPr>
          <w:color w:val="231F20"/>
          <w:spacing w:val="-11"/>
          <w:sz w:val="16"/>
        </w:rPr>
        <w:t> </w:t>
      </w:r>
      <w:r>
        <w:rPr>
          <w:color w:val="231F20"/>
          <w:sz w:val="16"/>
        </w:rPr>
        <w:t>2008,</w:t>
      </w:r>
      <w:r>
        <w:rPr>
          <w:color w:val="231F20"/>
          <w:spacing w:val="-11"/>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oficina</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Presidencia</w:t>
      </w:r>
      <w:r>
        <w:rPr>
          <w:color w:val="231F20"/>
          <w:spacing w:val="-11"/>
          <w:sz w:val="16"/>
        </w:rPr>
        <w:t> </w:t>
      </w:r>
      <w:r>
        <w:rPr>
          <w:color w:val="231F20"/>
          <w:sz w:val="16"/>
        </w:rPr>
        <w:t>Municipal</w:t>
      </w:r>
      <w:r>
        <w:rPr>
          <w:color w:val="231F20"/>
          <w:spacing w:val="-11"/>
          <w:sz w:val="16"/>
        </w:rPr>
        <w:t> </w:t>
      </w:r>
      <w:r>
        <w:rPr>
          <w:color w:val="231F20"/>
          <w:sz w:val="16"/>
        </w:rPr>
        <w:t>de</w:t>
      </w:r>
      <w:r>
        <w:rPr>
          <w:color w:val="231F20"/>
          <w:spacing w:val="-11"/>
          <w:sz w:val="16"/>
        </w:rPr>
        <w:t> </w:t>
      </w:r>
      <w:r>
        <w:rPr>
          <w:color w:val="231F20"/>
          <w:sz w:val="16"/>
        </w:rPr>
        <w:t>Tepotzotlán,</w:t>
      </w:r>
      <w:r>
        <w:rPr>
          <w:color w:val="231F20"/>
          <w:spacing w:val="-11"/>
          <w:sz w:val="16"/>
        </w:rPr>
        <w:t> </w:t>
      </w:r>
      <w:r>
        <w:rPr>
          <w:color w:val="231F20"/>
          <w:sz w:val="16"/>
        </w:rPr>
        <w:t>Estado</w:t>
      </w:r>
      <w:r>
        <w:rPr>
          <w:color w:val="231F20"/>
          <w:spacing w:val="-11"/>
          <w:sz w:val="16"/>
        </w:rPr>
        <w:t> </w:t>
      </w:r>
      <w:r>
        <w:rPr>
          <w:color w:val="231F20"/>
          <w:sz w:val="16"/>
        </w:rPr>
        <w:t>de</w:t>
      </w:r>
      <w:r>
        <w:rPr>
          <w:color w:val="231F20"/>
          <w:spacing w:val="-11"/>
          <w:sz w:val="16"/>
        </w:rPr>
        <w:t> </w:t>
      </w:r>
      <w:r>
        <w:rPr>
          <w:color w:val="231F20"/>
          <w:sz w:val="16"/>
        </w:rPr>
        <w:t>México.</w:t>
      </w:r>
    </w:p>
    <w:p>
      <w:pPr>
        <w:pStyle w:val="ListParagraph"/>
        <w:numPr>
          <w:ilvl w:val="0"/>
          <w:numId w:val="12"/>
        </w:numPr>
        <w:tabs>
          <w:tab w:pos="228" w:val="left" w:leader="none"/>
        </w:tabs>
        <w:spacing w:line="244" w:lineRule="auto" w:before="0" w:after="0"/>
        <w:ind w:left="110" w:right="107" w:firstLine="0"/>
        <w:jc w:val="both"/>
        <w:rPr>
          <w:sz w:val="16"/>
        </w:rPr>
      </w:pPr>
      <w:r>
        <w:rPr>
          <w:color w:val="231F20"/>
          <w:sz w:val="16"/>
        </w:rPr>
        <w:t>A</w:t>
      </w:r>
      <w:r>
        <w:rPr>
          <w:color w:val="231F20"/>
          <w:spacing w:val="-6"/>
          <w:sz w:val="16"/>
        </w:rPr>
        <w:t> </w:t>
      </w:r>
      <w:r>
        <w:rPr>
          <w:color w:val="231F20"/>
          <w:sz w:val="16"/>
        </w:rPr>
        <w:t>pregunta</w:t>
      </w:r>
      <w:r>
        <w:rPr>
          <w:color w:val="231F20"/>
          <w:spacing w:val="-6"/>
          <w:sz w:val="16"/>
        </w:rPr>
        <w:t> </w:t>
      </w:r>
      <w:r>
        <w:rPr>
          <w:color w:val="231F20"/>
          <w:sz w:val="16"/>
        </w:rPr>
        <w:t>expresa</w:t>
      </w:r>
      <w:r>
        <w:rPr>
          <w:color w:val="231F20"/>
          <w:spacing w:val="-6"/>
          <w:sz w:val="16"/>
        </w:rPr>
        <w:t> </w:t>
      </w:r>
      <w:r>
        <w:rPr>
          <w:color w:val="231F20"/>
          <w:sz w:val="16"/>
        </w:rPr>
        <w:t>sobre</w:t>
      </w:r>
      <w:r>
        <w:rPr>
          <w:color w:val="231F20"/>
          <w:spacing w:val="-6"/>
          <w:sz w:val="16"/>
        </w:rPr>
        <w:t> </w:t>
      </w:r>
      <w:r>
        <w:rPr>
          <w:color w:val="231F20"/>
          <w:sz w:val="16"/>
        </w:rPr>
        <w:t>los</w:t>
      </w:r>
      <w:r>
        <w:rPr>
          <w:color w:val="231F20"/>
          <w:spacing w:val="-6"/>
          <w:sz w:val="16"/>
        </w:rPr>
        <w:t> </w:t>
      </w:r>
      <w:r>
        <w:rPr>
          <w:color w:val="231F20"/>
          <w:sz w:val="16"/>
        </w:rPr>
        <w:t>retos</w:t>
      </w:r>
      <w:r>
        <w:rPr>
          <w:color w:val="231F20"/>
          <w:spacing w:val="-6"/>
          <w:sz w:val="16"/>
        </w:rPr>
        <w:t> </w:t>
      </w:r>
      <w:r>
        <w:rPr>
          <w:color w:val="231F20"/>
          <w:sz w:val="16"/>
        </w:rPr>
        <w:t>para</w:t>
      </w:r>
      <w:r>
        <w:rPr>
          <w:color w:val="231F20"/>
          <w:spacing w:val="-6"/>
          <w:sz w:val="16"/>
        </w:rPr>
        <w:t> </w:t>
      </w:r>
      <w:r>
        <w:rPr>
          <w:color w:val="231F20"/>
          <w:sz w:val="16"/>
        </w:rPr>
        <w:t>ofrecer</w:t>
      </w:r>
      <w:r>
        <w:rPr>
          <w:color w:val="231F20"/>
          <w:spacing w:val="-6"/>
          <w:sz w:val="16"/>
        </w:rPr>
        <w:t> </w:t>
      </w:r>
      <w:r>
        <w:rPr>
          <w:color w:val="231F20"/>
          <w:sz w:val="16"/>
        </w:rPr>
        <w:t>educación</w:t>
      </w:r>
      <w:r>
        <w:rPr>
          <w:color w:val="231F20"/>
          <w:spacing w:val="-6"/>
          <w:sz w:val="16"/>
        </w:rPr>
        <w:t> </w:t>
      </w:r>
      <w:r>
        <w:rPr>
          <w:color w:val="231F20"/>
          <w:sz w:val="16"/>
        </w:rPr>
        <w:t>superior,</w:t>
      </w:r>
      <w:r>
        <w:rPr>
          <w:color w:val="231F20"/>
          <w:spacing w:val="-6"/>
          <w:sz w:val="16"/>
        </w:rPr>
        <w:t> </w:t>
      </w:r>
      <w:r>
        <w:rPr>
          <w:color w:val="231F20"/>
          <w:sz w:val="16"/>
        </w:rPr>
        <w:t>el</w:t>
      </w:r>
      <w:r>
        <w:rPr>
          <w:color w:val="231F20"/>
          <w:spacing w:val="-6"/>
          <w:sz w:val="16"/>
        </w:rPr>
        <w:t> </w:t>
      </w:r>
      <w:r>
        <w:rPr>
          <w:color w:val="231F20"/>
          <w:sz w:val="16"/>
        </w:rPr>
        <w:t>actual</w:t>
      </w:r>
      <w:r>
        <w:rPr>
          <w:color w:val="231F20"/>
          <w:spacing w:val="-6"/>
          <w:sz w:val="16"/>
        </w:rPr>
        <w:t> </w:t>
      </w:r>
      <w:r>
        <w:rPr>
          <w:color w:val="231F20"/>
          <w:sz w:val="16"/>
        </w:rPr>
        <w:t>presidente</w:t>
      </w:r>
      <w:r>
        <w:rPr>
          <w:color w:val="231F20"/>
          <w:spacing w:val="-6"/>
          <w:sz w:val="16"/>
        </w:rPr>
        <w:t> </w:t>
      </w:r>
      <w:r>
        <w:rPr>
          <w:color w:val="231F20"/>
          <w:sz w:val="16"/>
        </w:rPr>
        <w:t>municipal</w:t>
      </w:r>
      <w:r>
        <w:rPr>
          <w:color w:val="231F20"/>
          <w:spacing w:val="-6"/>
          <w:sz w:val="16"/>
        </w:rPr>
        <w:t> </w:t>
      </w:r>
      <w:r>
        <w:rPr>
          <w:color w:val="231F20"/>
          <w:sz w:val="16"/>
        </w:rPr>
        <w:t>contesta</w:t>
      </w:r>
      <w:r>
        <w:rPr>
          <w:color w:val="231F20"/>
          <w:spacing w:val="-6"/>
          <w:sz w:val="16"/>
        </w:rPr>
        <w:t> </w:t>
      </w:r>
      <w:r>
        <w:rPr>
          <w:color w:val="231F20"/>
          <w:sz w:val="16"/>
        </w:rPr>
        <w:t>que</w:t>
      </w:r>
      <w:r>
        <w:rPr>
          <w:color w:val="231F20"/>
          <w:spacing w:val="-6"/>
          <w:sz w:val="16"/>
        </w:rPr>
        <w:t> </w:t>
      </w:r>
      <w:r>
        <w:rPr>
          <w:color w:val="231F20"/>
          <w:sz w:val="16"/>
        </w:rPr>
        <w:t>no</w:t>
      </w:r>
      <w:r>
        <w:rPr>
          <w:color w:val="231F20"/>
          <w:spacing w:val="-6"/>
          <w:sz w:val="16"/>
        </w:rPr>
        <w:t> </w:t>
      </w:r>
      <w:r>
        <w:rPr>
          <w:color w:val="231F20"/>
          <w:sz w:val="16"/>
        </w:rPr>
        <w:t>tiene problemas ya que el municipio “geográficamente [está] muy cerca de municipios que tienen la posibilidad de recibir alum- nos en educación media y media superior, es el caso de Cuautitlán México y de Cuautitlán Izcalli. Tenemos cuatro campus de</w:t>
      </w:r>
      <w:r>
        <w:rPr>
          <w:color w:val="231F20"/>
          <w:spacing w:val="-9"/>
          <w:sz w:val="16"/>
        </w:rPr>
        <w:t> </w:t>
      </w:r>
      <w:r>
        <w:rPr>
          <w:color w:val="231F20"/>
          <w:sz w:val="16"/>
        </w:rPr>
        <w:t>la</w:t>
      </w:r>
      <w:r>
        <w:rPr>
          <w:color w:val="231F20"/>
          <w:spacing w:val="-9"/>
          <w:sz w:val="16"/>
        </w:rPr>
        <w:t> </w:t>
      </w:r>
      <w:r>
        <w:rPr>
          <w:color w:val="231F20"/>
          <w:sz w:val="16"/>
        </w:rPr>
        <w:t>UNAM</w:t>
      </w:r>
      <w:r>
        <w:rPr>
          <w:color w:val="231F20"/>
          <w:spacing w:val="-9"/>
          <w:sz w:val="16"/>
        </w:rPr>
        <w:t> </w:t>
      </w:r>
      <w:r>
        <w:rPr>
          <w:color w:val="231F20"/>
          <w:sz w:val="16"/>
        </w:rPr>
        <w:t>en</w:t>
      </w:r>
      <w:r>
        <w:rPr>
          <w:color w:val="231F20"/>
          <w:spacing w:val="-9"/>
          <w:sz w:val="16"/>
        </w:rPr>
        <w:t> </w:t>
      </w:r>
      <w:r>
        <w:rPr>
          <w:color w:val="231F20"/>
          <w:sz w:val="16"/>
        </w:rPr>
        <w:t>lo</w:t>
      </w:r>
      <w:r>
        <w:rPr>
          <w:color w:val="231F20"/>
          <w:spacing w:val="-9"/>
          <w:sz w:val="16"/>
        </w:rPr>
        <w:t> </w:t>
      </w:r>
      <w:r>
        <w:rPr>
          <w:color w:val="231F20"/>
          <w:sz w:val="16"/>
        </w:rPr>
        <w:t>que</w:t>
      </w:r>
      <w:r>
        <w:rPr>
          <w:color w:val="231F20"/>
          <w:spacing w:val="-9"/>
          <w:sz w:val="16"/>
        </w:rPr>
        <w:t> </w:t>
      </w:r>
      <w:r>
        <w:rPr>
          <w:color w:val="231F20"/>
          <w:sz w:val="16"/>
        </w:rPr>
        <w:t>se</w:t>
      </w:r>
      <w:r>
        <w:rPr>
          <w:color w:val="231F20"/>
          <w:spacing w:val="-9"/>
          <w:sz w:val="16"/>
        </w:rPr>
        <w:t> </w:t>
      </w:r>
      <w:r>
        <w:rPr>
          <w:color w:val="231F20"/>
          <w:sz w:val="16"/>
        </w:rPr>
        <w:t>refiere</w:t>
      </w:r>
      <w:r>
        <w:rPr>
          <w:color w:val="231F20"/>
          <w:spacing w:val="-9"/>
          <w:sz w:val="16"/>
        </w:rPr>
        <w:t> </w:t>
      </w:r>
      <w:r>
        <w:rPr>
          <w:color w:val="231F20"/>
          <w:sz w:val="16"/>
        </w:rPr>
        <w:t>a</w:t>
      </w:r>
      <w:r>
        <w:rPr>
          <w:color w:val="231F20"/>
          <w:spacing w:val="-9"/>
          <w:sz w:val="16"/>
        </w:rPr>
        <w:t> </w:t>
      </w:r>
      <w:r>
        <w:rPr>
          <w:color w:val="231F20"/>
          <w:sz w:val="16"/>
        </w:rPr>
        <w:t>educación</w:t>
      </w:r>
      <w:r>
        <w:rPr>
          <w:color w:val="231F20"/>
          <w:spacing w:val="-9"/>
          <w:sz w:val="16"/>
        </w:rPr>
        <w:t> </w:t>
      </w:r>
      <w:r>
        <w:rPr>
          <w:color w:val="231F20"/>
          <w:sz w:val="16"/>
        </w:rPr>
        <w:t>superior</w:t>
      </w:r>
      <w:r>
        <w:rPr>
          <w:color w:val="231F20"/>
          <w:spacing w:val="-9"/>
          <w:sz w:val="16"/>
        </w:rPr>
        <w:t> </w:t>
      </w:r>
      <w:r>
        <w:rPr>
          <w:color w:val="231F20"/>
          <w:sz w:val="16"/>
        </w:rPr>
        <w:t>y</w:t>
      </w:r>
      <w:r>
        <w:rPr>
          <w:color w:val="231F20"/>
          <w:spacing w:val="-9"/>
          <w:sz w:val="16"/>
        </w:rPr>
        <w:t> </w:t>
      </w:r>
      <w:r>
        <w:rPr>
          <w:color w:val="231F20"/>
          <w:sz w:val="16"/>
        </w:rPr>
        <w:t>aquí</w:t>
      </w:r>
      <w:r>
        <w:rPr>
          <w:color w:val="231F20"/>
          <w:spacing w:val="-9"/>
          <w:sz w:val="16"/>
        </w:rPr>
        <w:t> </w:t>
      </w:r>
      <w:r>
        <w:rPr>
          <w:color w:val="231F20"/>
          <w:sz w:val="16"/>
        </w:rPr>
        <w:t>en</w:t>
      </w:r>
      <w:r>
        <w:rPr>
          <w:color w:val="231F20"/>
          <w:spacing w:val="-9"/>
          <w:sz w:val="16"/>
        </w:rPr>
        <w:t> </w:t>
      </w:r>
      <w:r>
        <w:rPr>
          <w:color w:val="231F20"/>
          <w:sz w:val="16"/>
        </w:rPr>
        <w:t>el</w:t>
      </w:r>
      <w:r>
        <w:rPr>
          <w:color w:val="231F20"/>
          <w:spacing w:val="-9"/>
          <w:sz w:val="16"/>
        </w:rPr>
        <w:t> </w:t>
      </w:r>
      <w:r>
        <w:rPr>
          <w:color w:val="231F20"/>
          <w:sz w:val="16"/>
        </w:rPr>
        <w:t>municipio</w:t>
      </w:r>
      <w:r>
        <w:rPr>
          <w:color w:val="231F20"/>
          <w:spacing w:val="-9"/>
          <w:sz w:val="16"/>
        </w:rPr>
        <w:t> </w:t>
      </w:r>
      <w:r>
        <w:rPr>
          <w:color w:val="231F20"/>
          <w:sz w:val="16"/>
        </w:rPr>
        <w:t>tenemos</w:t>
      </w:r>
      <w:r>
        <w:rPr>
          <w:color w:val="231F20"/>
          <w:spacing w:val="-9"/>
          <w:sz w:val="16"/>
        </w:rPr>
        <w:t> </w:t>
      </w:r>
      <w:r>
        <w:rPr>
          <w:color w:val="231F20"/>
          <w:sz w:val="16"/>
        </w:rPr>
        <w:t>el</w:t>
      </w:r>
      <w:r>
        <w:rPr>
          <w:color w:val="231F20"/>
          <w:spacing w:val="-9"/>
          <w:sz w:val="16"/>
        </w:rPr>
        <w:t> </w:t>
      </w:r>
      <w:r>
        <w:rPr>
          <w:color w:val="231F20"/>
          <w:sz w:val="16"/>
        </w:rPr>
        <w:t>CECYTEM,</w:t>
      </w:r>
      <w:r>
        <w:rPr>
          <w:color w:val="231F20"/>
          <w:spacing w:val="-9"/>
          <w:sz w:val="16"/>
        </w:rPr>
        <w:t> </w:t>
      </w:r>
      <w:r>
        <w:rPr>
          <w:color w:val="231F20"/>
          <w:sz w:val="16"/>
        </w:rPr>
        <w:t>2</w:t>
      </w:r>
      <w:r>
        <w:rPr>
          <w:color w:val="231F20"/>
          <w:spacing w:val="-9"/>
          <w:sz w:val="16"/>
        </w:rPr>
        <w:t> </w:t>
      </w:r>
      <w:r>
        <w:rPr>
          <w:color w:val="231F20"/>
          <w:sz w:val="16"/>
        </w:rPr>
        <w:t>preparatorias,</w:t>
      </w:r>
      <w:r>
        <w:rPr>
          <w:color w:val="231F20"/>
          <w:spacing w:val="-9"/>
          <w:sz w:val="16"/>
        </w:rPr>
        <w:t> </w:t>
      </w:r>
      <w:r>
        <w:rPr>
          <w:color w:val="231F20"/>
          <w:sz w:val="16"/>
        </w:rPr>
        <w:t>tenemos una universidad privada con preparatoria y realmente estamos limitados, debemos reconocerlo. No tenemos un posible crecimiento</w:t>
      </w:r>
      <w:r>
        <w:rPr>
          <w:color w:val="231F20"/>
          <w:spacing w:val="-4"/>
          <w:sz w:val="16"/>
        </w:rPr>
        <w:t> </w:t>
      </w:r>
      <w:r>
        <w:rPr>
          <w:color w:val="231F20"/>
          <w:sz w:val="16"/>
        </w:rPr>
        <w:t>o</w:t>
      </w:r>
      <w:r>
        <w:rPr>
          <w:color w:val="231F20"/>
          <w:spacing w:val="-4"/>
          <w:sz w:val="16"/>
        </w:rPr>
        <w:t> </w:t>
      </w:r>
      <w:r>
        <w:rPr>
          <w:color w:val="231F20"/>
          <w:sz w:val="16"/>
        </w:rPr>
        <w:t>una</w:t>
      </w:r>
      <w:r>
        <w:rPr>
          <w:color w:val="231F20"/>
          <w:spacing w:val="-4"/>
          <w:sz w:val="16"/>
        </w:rPr>
        <w:t> </w:t>
      </w:r>
      <w:r>
        <w:rPr>
          <w:color w:val="231F20"/>
          <w:sz w:val="16"/>
        </w:rPr>
        <w:t>posible</w:t>
      </w:r>
      <w:r>
        <w:rPr>
          <w:color w:val="231F20"/>
          <w:spacing w:val="-4"/>
          <w:sz w:val="16"/>
        </w:rPr>
        <w:t> </w:t>
      </w:r>
      <w:r>
        <w:rPr>
          <w:color w:val="231F20"/>
          <w:sz w:val="16"/>
        </w:rPr>
        <w:t>alternativa</w:t>
      </w:r>
      <w:r>
        <w:rPr>
          <w:color w:val="231F20"/>
          <w:spacing w:val="-4"/>
          <w:sz w:val="16"/>
        </w:rPr>
        <w:t> </w:t>
      </w:r>
      <w:r>
        <w:rPr>
          <w:color w:val="231F20"/>
          <w:sz w:val="16"/>
        </w:rPr>
        <w:t>de</w:t>
      </w:r>
      <w:r>
        <w:rPr>
          <w:color w:val="231F20"/>
          <w:spacing w:val="-4"/>
          <w:sz w:val="16"/>
        </w:rPr>
        <w:t> </w:t>
      </w:r>
      <w:r>
        <w:rPr>
          <w:color w:val="231F20"/>
          <w:sz w:val="16"/>
        </w:rPr>
        <w:t>solución.</w:t>
      </w:r>
      <w:r>
        <w:rPr>
          <w:color w:val="231F20"/>
          <w:spacing w:val="-4"/>
          <w:sz w:val="16"/>
        </w:rPr>
        <w:t> </w:t>
      </w:r>
      <w:r>
        <w:rPr>
          <w:color w:val="231F20"/>
          <w:sz w:val="16"/>
        </w:rPr>
        <w:t>Estamos</w:t>
      </w:r>
      <w:r>
        <w:rPr>
          <w:color w:val="231F20"/>
          <w:spacing w:val="-4"/>
          <w:sz w:val="16"/>
        </w:rPr>
        <w:t> </w:t>
      </w:r>
      <w:r>
        <w:rPr>
          <w:color w:val="231F20"/>
          <w:sz w:val="16"/>
        </w:rPr>
        <w:t>apostándole</w:t>
      </w:r>
      <w:r>
        <w:rPr>
          <w:color w:val="231F20"/>
          <w:spacing w:val="-4"/>
          <w:sz w:val="16"/>
        </w:rPr>
        <w:t> </w:t>
      </w:r>
      <w:r>
        <w:rPr>
          <w:color w:val="231F20"/>
          <w:sz w:val="16"/>
        </w:rPr>
        <w:t>precisamente</w:t>
      </w:r>
      <w:r>
        <w:rPr>
          <w:color w:val="231F20"/>
          <w:spacing w:val="-4"/>
          <w:sz w:val="16"/>
        </w:rPr>
        <w:t> </w:t>
      </w:r>
      <w:r>
        <w:rPr>
          <w:color w:val="231F20"/>
          <w:sz w:val="16"/>
        </w:rPr>
        <w:t>al</w:t>
      </w:r>
      <w:r>
        <w:rPr>
          <w:color w:val="231F20"/>
          <w:spacing w:val="-4"/>
          <w:sz w:val="16"/>
        </w:rPr>
        <w:t> </w:t>
      </w:r>
      <w:r>
        <w:rPr>
          <w:color w:val="231F20"/>
          <w:sz w:val="16"/>
        </w:rPr>
        <w:t>crecimiento</w:t>
      </w:r>
      <w:r>
        <w:rPr>
          <w:color w:val="231F20"/>
          <w:spacing w:val="-4"/>
          <w:sz w:val="16"/>
        </w:rPr>
        <w:t> </w:t>
      </w:r>
      <w:r>
        <w:rPr>
          <w:color w:val="231F20"/>
          <w:sz w:val="16"/>
        </w:rPr>
        <w:t>que</w:t>
      </w:r>
      <w:r>
        <w:rPr>
          <w:color w:val="231F20"/>
          <w:spacing w:val="-4"/>
          <w:sz w:val="16"/>
        </w:rPr>
        <w:t> </w:t>
      </w:r>
      <w:r>
        <w:rPr>
          <w:color w:val="231F20"/>
          <w:sz w:val="16"/>
        </w:rPr>
        <w:t>puedan</w:t>
      </w:r>
      <w:r>
        <w:rPr>
          <w:color w:val="231F20"/>
          <w:spacing w:val="-4"/>
          <w:sz w:val="16"/>
        </w:rPr>
        <w:t> </w:t>
      </w:r>
      <w:r>
        <w:rPr>
          <w:color w:val="231F20"/>
          <w:sz w:val="16"/>
        </w:rPr>
        <w:t>tener</w:t>
      </w:r>
      <w:r>
        <w:rPr>
          <w:color w:val="231F20"/>
          <w:spacing w:val="-4"/>
          <w:sz w:val="16"/>
        </w:rPr>
        <w:t> </w:t>
      </w:r>
      <w:r>
        <w:rPr>
          <w:color w:val="231F20"/>
          <w:sz w:val="16"/>
        </w:rPr>
        <w:t>las escuelas de los municipios conurbados, a corto plazo no se vislumbra una posibilidad de una universidad y de alguna otra preparatoria.</w:t>
      </w:r>
      <w:r>
        <w:rPr>
          <w:color w:val="231F20"/>
          <w:spacing w:val="-3"/>
          <w:sz w:val="16"/>
        </w:rPr>
        <w:t> </w:t>
      </w:r>
      <w:r>
        <w:rPr>
          <w:color w:val="231F20"/>
          <w:sz w:val="16"/>
        </w:rPr>
        <w:t>Sin</w:t>
      </w:r>
      <w:r>
        <w:rPr>
          <w:color w:val="231F20"/>
          <w:spacing w:val="-3"/>
          <w:sz w:val="16"/>
        </w:rPr>
        <w:t> </w:t>
      </w:r>
      <w:r>
        <w:rPr>
          <w:color w:val="231F20"/>
          <w:sz w:val="16"/>
        </w:rPr>
        <w:t>embargo</w:t>
      </w:r>
      <w:r>
        <w:rPr>
          <w:color w:val="231F20"/>
          <w:spacing w:val="-3"/>
          <w:sz w:val="16"/>
        </w:rPr>
        <w:t> </w:t>
      </w:r>
      <w:r>
        <w:rPr>
          <w:color w:val="231F20"/>
          <w:sz w:val="16"/>
        </w:rPr>
        <w:t>en</w:t>
      </w:r>
      <w:r>
        <w:rPr>
          <w:color w:val="231F20"/>
          <w:spacing w:val="-3"/>
          <w:sz w:val="16"/>
        </w:rPr>
        <w:t> </w:t>
      </w:r>
      <w:r>
        <w:rPr>
          <w:color w:val="231F20"/>
          <w:sz w:val="16"/>
        </w:rPr>
        <w:t>el</w:t>
      </w:r>
      <w:r>
        <w:rPr>
          <w:color w:val="231F20"/>
          <w:spacing w:val="-3"/>
          <w:sz w:val="16"/>
        </w:rPr>
        <w:t> </w:t>
      </w:r>
      <w:r>
        <w:rPr>
          <w:color w:val="231F20"/>
          <w:sz w:val="16"/>
        </w:rPr>
        <w:t>caso</w:t>
      </w:r>
      <w:r>
        <w:rPr>
          <w:color w:val="231F20"/>
          <w:spacing w:val="-3"/>
          <w:sz w:val="16"/>
        </w:rPr>
        <w:t> </w:t>
      </w:r>
      <w:r>
        <w:rPr>
          <w:color w:val="231F20"/>
          <w:sz w:val="16"/>
        </w:rPr>
        <w:t>de</w:t>
      </w:r>
      <w:r>
        <w:rPr>
          <w:color w:val="231F20"/>
          <w:spacing w:val="-3"/>
          <w:sz w:val="16"/>
        </w:rPr>
        <w:t> </w:t>
      </w:r>
      <w:r>
        <w:rPr>
          <w:color w:val="231F20"/>
          <w:sz w:val="16"/>
        </w:rPr>
        <w:t>la</w:t>
      </w:r>
      <w:r>
        <w:rPr>
          <w:color w:val="231F20"/>
          <w:spacing w:val="-3"/>
          <w:sz w:val="16"/>
        </w:rPr>
        <w:t> </w:t>
      </w:r>
      <w:r>
        <w:rPr>
          <w:color w:val="231F20"/>
          <w:sz w:val="16"/>
        </w:rPr>
        <w:t>preparatoria</w:t>
      </w:r>
      <w:r>
        <w:rPr>
          <w:color w:val="231F20"/>
          <w:spacing w:val="-3"/>
          <w:sz w:val="16"/>
        </w:rPr>
        <w:t> </w:t>
      </w:r>
      <w:r>
        <w:rPr>
          <w:color w:val="231F20"/>
          <w:sz w:val="16"/>
        </w:rPr>
        <w:t>la</w:t>
      </w:r>
      <w:r>
        <w:rPr>
          <w:color w:val="231F20"/>
          <w:spacing w:val="-3"/>
          <w:sz w:val="16"/>
        </w:rPr>
        <w:t> </w:t>
      </w:r>
      <w:r>
        <w:rPr>
          <w:color w:val="231F20"/>
          <w:sz w:val="16"/>
        </w:rPr>
        <w:t>idea</w:t>
      </w:r>
      <w:r>
        <w:rPr>
          <w:color w:val="231F20"/>
          <w:spacing w:val="-3"/>
          <w:sz w:val="16"/>
        </w:rPr>
        <w:t> </w:t>
      </w:r>
      <w:r>
        <w:rPr>
          <w:color w:val="231F20"/>
          <w:sz w:val="16"/>
        </w:rPr>
        <w:t>es</w:t>
      </w:r>
      <w:r>
        <w:rPr>
          <w:color w:val="231F20"/>
          <w:spacing w:val="-3"/>
          <w:sz w:val="16"/>
        </w:rPr>
        <w:t> </w:t>
      </w:r>
      <w:r>
        <w:rPr>
          <w:color w:val="231F20"/>
          <w:sz w:val="16"/>
        </w:rPr>
        <w:t>apoyarles</w:t>
      </w:r>
      <w:r>
        <w:rPr>
          <w:color w:val="231F20"/>
          <w:spacing w:val="-3"/>
          <w:sz w:val="16"/>
        </w:rPr>
        <w:t> </w:t>
      </w:r>
      <w:r>
        <w:rPr>
          <w:color w:val="231F20"/>
          <w:sz w:val="16"/>
        </w:rPr>
        <w:t>con</w:t>
      </w:r>
      <w:r>
        <w:rPr>
          <w:color w:val="231F20"/>
          <w:spacing w:val="-3"/>
          <w:sz w:val="16"/>
        </w:rPr>
        <w:t> </w:t>
      </w:r>
      <w:r>
        <w:rPr>
          <w:color w:val="231F20"/>
          <w:sz w:val="16"/>
        </w:rPr>
        <w:t>la</w:t>
      </w:r>
      <w:r>
        <w:rPr>
          <w:color w:val="231F20"/>
          <w:spacing w:val="-3"/>
          <w:sz w:val="16"/>
        </w:rPr>
        <w:t> </w:t>
      </w:r>
      <w:r>
        <w:rPr>
          <w:color w:val="231F20"/>
          <w:sz w:val="16"/>
        </w:rPr>
        <w:t>construcción</w:t>
      </w:r>
      <w:r>
        <w:rPr>
          <w:color w:val="231F20"/>
          <w:spacing w:val="-3"/>
          <w:sz w:val="16"/>
        </w:rPr>
        <w:t> </w:t>
      </w:r>
      <w:r>
        <w:rPr>
          <w:color w:val="231F20"/>
          <w:sz w:val="16"/>
        </w:rPr>
        <w:t>de</w:t>
      </w:r>
      <w:r>
        <w:rPr>
          <w:color w:val="231F20"/>
          <w:spacing w:val="-3"/>
          <w:sz w:val="16"/>
        </w:rPr>
        <w:t> </w:t>
      </w:r>
      <w:r>
        <w:rPr>
          <w:color w:val="231F20"/>
          <w:sz w:val="16"/>
        </w:rPr>
        <w:t>aulas,</w:t>
      </w:r>
      <w:r>
        <w:rPr>
          <w:color w:val="231F20"/>
          <w:spacing w:val="-3"/>
          <w:sz w:val="16"/>
        </w:rPr>
        <w:t> </w:t>
      </w:r>
      <w:r>
        <w:rPr>
          <w:color w:val="231F20"/>
          <w:sz w:val="16"/>
        </w:rPr>
        <w:t>con</w:t>
      </w:r>
      <w:r>
        <w:rPr>
          <w:color w:val="231F20"/>
          <w:spacing w:val="-3"/>
          <w:sz w:val="16"/>
        </w:rPr>
        <w:t> </w:t>
      </w:r>
      <w:r>
        <w:rPr>
          <w:color w:val="231F20"/>
          <w:sz w:val="16"/>
        </w:rPr>
        <w:t>la</w:t>
      </w:r>
      <w:r>
        <w:rPr>
          <w:color w:val="231F20"/>
          <w:spacing w:val="-3"/>
          <w:sz w:val="16"/>
        </w:rPr>
        <w:t> </w:t>
      </w:r>
      <w:r>
        <w:rPr>
          <w:color w:val="231F20"/>
          <w:sz w:val="16"/>
        </w:rPr>
        <w:t>compra</w:t>
      </w:r>
      <w:r>
        <w:rPr>
          <w:color w:val="231F20"/>
          <w:spacing w:val="-3"/>
          <w:sz w:val="16"/>
        </w:rPr>
        <w:t> </w:t>
      </w:r>
      <w:r>
        <w:rPr>
          <w:color w:val="231F20"/>
          <w:sz w:val="16"/>
        </w:rPr>
        <w:t>de predios</w:t>
      </w:r>
      <w:r>
        <w:rPr>
          <w:color w:val="231F20"/>
          <w:spacing w:val="-3"/>
          <w:sz w:val="16"/>
        </w:rPr>
        <w:t> </w:t>
      </w:r>
      <w:r>
        <w:rPr>
          <w:color w:val="231F20"/>
          <w:sz w:val="16"/>
        </w:rPr>
        <w:t>como</w:t>
      </w:r>
      <w:r>
        <w:rPr>
          <w:color w:val="231F20"/>
          <w:spacing w:val="-3"/>
          <w:sz w:val="16"/>
        </w:rPr>
        <w:t> </w:t>
      </w:r>
      <w:r>
        <w:rPr>
          <w:color w:val="231F20"/>
          <w:sz w:val="16"/>
        </w:rPr>
        <w:t>es</w:t>
      </w:r>
      <w:r>
        <w:rPr>
          <w:color w:val="231F20"/>
          <w:spacing w:val="-3"/>
          <w:sz w:val="16"/>
        </w:rPr>
        <w:t> </w:t>
      </w:r>
      <w:r>
        <w:rPr>
          <w:color w:val="231F20"/>
          <w:sz w:val="16"/>
        </w:rPr>
        <w:t>el</w:t>
      </w:r>
      <w:r>
        <w:rPr>
          <w:color w:val="231F20"/>
          <w:spacing w:val="-3"/>
          <w:sz w:val="16"/>
        </w:rPr>
        <w:t> </w:t>
      </w:r>
      <w:r>
        <w:rPr>
          <w:color w:val="231F20"/>
          <w:sz w:val="16"/>
        </w:rPr>
        <w:t>caso</w:t>
      </w:r>
      <w:r>
        <w:rPr>
          <w:color w:val="231F20"/>
          <w:spacing w:val="-3"/>
          <w:sz w:val="16"/>
        </w:rPr>
        <w:t> </w:t>
      </w:r>
      <w:r>
        <w:rPr>
          <w:color w:val="231F20"/>
          <w:sz w:val="16"/>
        </w:rPr>
        <w:t>de</w:t>
      </w:r>
      <w:r>
        <w:rPr>
          <w:color w:val="231F20"/>
          <w:spacing w:val="-3"/>
          <w:sz w:val="16"/>
        </w:rPr>
        <w:t> </w:t>
      </w:r>
      <w:r>
        <w:rPr>
          <w:color w:val="231F20"/>
          <w:sz w:val="16"/>
        </w:rPr>
        <w:t>la</w:t>
      </w:r>
      <w:r>
        <w:rPr>
          <w:color w:val="231F20"/>
          <w:spacing w:val="-3"/>
          <w:sz w:val="16"/>
        </w:rPr>
        <w:t> </w:t>
      </w:r>
      <w:r>
        <w:rPr>
          <w:color w:val="231F20"/>
          <w:sz w:val="16"/>
        </w:rPr>
        <w:t>preparatoria</w:t>
      </w:r>
      <w:r>
        <w:rPr>
          <w:color w:val="231F20"/>
          <w:spacing w:val="-3"/>
          <w:sz w:val="16"/>
        </w:rPr>
        <w:t> </w:t>
      </w:r>
      <w:r>
        <w:rPr>
          <w:color w:val="231F20"/>
          <w:sz w:val="16"/>
        </w:rPr>
        <w:t>27</w:t>
      </w:r>
      <w:r>
        <w:rPr>
          <w:color w:val="231F20"/>
          <w:spacing w:val="-3"/>
          <w:sz w:val="16"/>
        </w:rPr>
        <w:t> </w:t>
      </w:r>
      <w:r>
        <w:rPr>
          <w:color w:val="231F20"/>
          <w:sz w:val="16"/>
        </w:rPr>
        <w:t>que</w:t>
      </w:r>
      <w:r>
        <w:rPr>
          <w:color w:val="231F20"/>
          <w:spacing w:val="-3"/>
          <w:sz w:val="16"/>
        </w:rPr>
        <w:t> </w:t>
      </w:r>
      <w:r>
        <w:rPr>
          <w:color w:val="231F20"/>
          <w:sz w:val="16"/>
        </w:rPr>
        <w:t>acabamos</w:t>
      </w:r>
      <w:r>
        <w:rPr>
          <w:color w:val="231F20"/>
          <w:spacing w:val="-3"/>
          <w:sz w:val="16"/>
        </w:rPr>
        <w:t> </w:t>
      </w:r>
      <w:r>
        <w:rPr>
          <w:color w:val="231F20"/>
          <w:sz w:val="16"/>
        </w:rPr>
        <w:t>de</w:t>
      </w:r>
      <w:r>
        <w:rPr>
          <w:color w:val="231F20"/>
          <w:spacing w:val="-3"/>
          <w:sz w:val="16"/>
        </w:rPr>
        <w:t> </w:t>
      </w:r>
      <w:r>
        <w:rPr>
          <w:color w:val="231F20"/>
          <w:sz w:val="16"/>
        </w:rPr>
        <w:t>donar</w:t>
      </w:r>
      <w:r>
        <w:rPr>
          <w:color w:val="231F20"/>
          <w:spacing w:val="-3"/>
          <w:sz w:val="16"/>
        </w:rPr>
        <w:t> </w:t>
      </w:r>
      <w:r>
        <w:rPr>
          <w:color w:val="231F20"/>
          <w:sz w:val="16"/>
        </w:rPr>
        <w:t>un</w:t>
      </w:r>
      <w:r>
        <w:rPr>
          <w:color w:val="231F20"/>
          <w:spacing w:val="-3"/>
          <w:sz w:val="16"/>
        </w:rPr>
        <w:t> </w:t>
      </w:r>
      <w:r>
        <w:rPr>
          <w:color w:val="231F20"/>
          <w:sz w:val="16"/>
        </w:rPr>
        <w:t>predio</w:t>
      </w:r>
      <w:r>
        <w:rPr>
          <w:color w:val="231F20"/>
          <w:spacing w:val="-3"/>
          <w:sz w:val="16"/>
        </w:rPr>
        <w:t> </w:t>
      </w:r>
      <w:r>
        <w:rPr>
          <w:color w:val="231F20"/>
          <w:sz w:val="16"/>
        </w:rPr>
        <w:t>de</w:t>
      </w:r>
      <w:r>
        <w:rPr>
          <w:color w:val="231F20"/>
          <w:spacing w:val="-3"/>
          <w:sz w:val="16"/>
        </w:rPr>
        <w:t> </w:t>
      </w:r>
      <w:r>
        <w:rPr>
          <w:color w:val="231F20"/>
          <w:sz w:val="16"/>
        </w:rPr>
        <w:t>6</w:t>
      </w:r>
      <w:r>
        <w:rPr>
          <w:color w:val="231F20"/>
          <w:spacing w:val="-3"/>
          <w:sz w:val="16"/>
        </w:rPr>
        <w:t> </w:t>
      </w:r>
      <w:r>
        <w:rPr>
          <w:color w:val="231F20"/>
          <w:sz w:val="16"/>
        </w:rPr>
        <w:t>mil</w:t>
      </w:r>
      <w:r>
        <w:rPr>
          <w:color w:val="231F20"/>
          <w:spacing w:val="-3"/>
          <w:sz w:val="16"/>
        </w:rPr>
        <w:t> </w:t>
      </w:r>
      <w:r>
        <w:rPr>
          <w:color w:val="231F20"/>
          <w:sz w:val="16"/>
        </w:rPr>
        <w:t>metros</w:t>
      </w:r>
      <w:r>
        <w:rPr>
          <w:color w:val="231F20"/>
          <w:spacing w:val="-3"/>
          <w:sz w:val="16"/>
        </w:rPr>
        <w:t> </w:t>
      </w:r>
      <w:r>
        <w:rPr>
          <w:color w:val="231F20"/>
          <w:sz w:val="16"/>
        </w:rPr>
        <w:t>y</w:t>
      </w:r>
      <w:r>
        <w:rPr>
          <w:color w:val="231F20"/>
          <w:spacing w:val="-3"/>
          <w:sz w:val="16"/>
        </w:rPr>
        <w:t> </w:t>
      </w:r>
      <w:r>
        <w:rPr>
          <w:color w:val="231F20"/>
          <w:sz w:val="16"/>
        </w:rPr>
        <w:t>que</w:t>
      </w:r>
      <w:r>
        <w:rPr>
          <w:color w:val="231F20"/>
          <w:spacing w:val="-3"/>
          <w:sz w:val="16"/>
        </w:rPr>
        <w:t> </w:t>
      </w:r>
      <w:r>
        <w:rPr>
          <w:color w:val="231F20"/>
          <w:sz w:val="16"/>
        </w:rPr>
        <w:t>vamos</w:t>
      </w:r>
      <w:r>
        <w:rPr>
          <w:color w:val="231F20"/>
          <w:spacing w:val="-3"/>
          <w:sz w:val="16"/>
        </w:rPr>
        <w:t> </w:t>
      </w:r>
      <w:r>
        <w:rPr>
          <w:color w:val="231F20"/>
          <w:sz w:val="16"/>
        </w:rPr>
        <w:t>a</w:t>
      </w:r>
      <w:r>
        <w:rPr>
          <w:color w:val="231F20"/>
          <w:spacing w:val="-3"/>
          <w:sz w:val="16"/>
        </w:rPr>
        <w:t> </w:t>
      </w:r>
      <w:r>
        <w:rPr>
          <w:color w:val="231F20"/>
          <w:sz w:val="16"/>
        </w:rPr>
        <w:t>construir</w:t>
      </w:r>
      <w:r>
        <w:rPr>
          <w:color w:val="231F20"/>
          <w:spacing w:val="-3"/>
          <w:sz w:val="16"/>
        </w:rPr>
        <w:t> </w:t>
      </w:r>
      <w:r>
        <w:rPr>
          <w:color w:val="231F20"/>
          <w:sz w:val="16"/>
        </w:rPr>
        <w:t>3 aulas</w:t>
      </w:r>
      <w:r>
        <w:rPr>
          <w:color w:val="231F20"/>
          <w:spacing w:val="-13"/>
          <w:sz w:val="16"/>
        </w:rPr>
        <w:t> </w:t>
      </w:r>
      <w:r>
        <w:rPr>
          <w:color w:val="231F20"/>
          <w:sz w:val="16"/>
        </w:rPr>
        <w:t>en</w:t>
      </w:r>
      <w:r>
        <w:rPr>
          <w:color w:val="231F20"/>
          <w:spacing w:val="-13"/>
          <w:sz w:val="16"/>
        </w:rPr>
        <w:t> </w:t>
      </w:r>
      <w:r>
        <w:rPr>
          <w:color w:val="231F20"/>
          <w:sz w:val="16"/>
        </w:rPr>
        <w:t>este</w:t>
      </w:r>
      <w:r>
        <w:rPr>
          <w:color w:val="231F20"/>
          <w:spacing w:val="-13"/>
          <w:sz w:val="16"/>
        </w:rPr>
        <w:t> </w:t>
      </w:r>
      <w:r>
        <w:rPr>
          <w:color w:val="231F20"/>
          <w:sz w:val="16"/>
        </w:rPr>
        <w:t>fin</w:t>
      </w:r>
      <w:r>
        <w:rPr>
          <w:color w:val="231F20"/>
          <w:spacing w:val="-13"/>
          <w:sz w:val="16"/>
        </w:rPr>
        <w:t> </w:t>
      </w:r>
      <w:r>
        <w:rPr>
          <w:color w:val="231F20"/>
          <w:sz w:val="16"/>
        </w:rPr>
        <w:t>de</w:t>
      </w:r>
      <w:r>
        <w:rPr>
          <w:color w:val="231F20"/>
          <w:spacing w:val="-13"/>
          <w:sz w:val="16"/>
        </w:rPr>
        <w:t> </w:t>
      </w:r>
      <w:r>
        <w:rPr>
          <w:color w:val="231F20"/>
          <w:sz w:val="16"/>
        </w:rPr>
        <w:t>año.</w:t>
      </w:r>
      <w:r>
        <w:rPr>
          <w:color w:val="231F20"/>
          <w:spacing w:val="-13"/>
          <w:sz w:val="16"/>
        </w:rPr>
        <w:t> </w:t>
      </w:r>
      <w:r>
        <w:rPr>
          <w:color w:val="231F20"/>
          <w:sz w:val="16"/>
        </w:rPr>
        <w:t>En</w:t>
      </w:r>
      <w:r>
        <w:rPr>
          <w:color w:val="231F20"/>
          <w:spacing w:val="-13"/>
          <w:sz w:val="16"/>
        </w:rPr>
        <w:t> </w:t>
      </w:r>
      <w:r>
        <w:rPr>
          <w:color w:val="231F20"/>
          <w:sz w:val="16"/>
        </w:rPr>
        <w:t>el</w:t>
      </w:r>
      <w:r>
        <w:rPr>
          <w:color w:val="231F20"/>
          <w:spacing w:val="-13"/>
          <w:sz w:val="16"/>
        </w:rPr>
        <w:t> </w:t>
      </w:r>
      <w:r>
        <w:rPr>
          <w:color w:val="231F20"/>
          <w:sz w:val="16"/>
        </w:rPr>
        <w:t>caso</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preparatoria</w:t>
      </w:r>
      <w:r>
        <w:rPr>
          <w:color w:val="231F20"/>
          <w:spacing w:val="-13"/>
          <w:sz w:val="16"/>
        </w:rPr>
        <w:t> </w:t>
      </w:r>
      <w:r>
        <w:rPr>
          <w:color w:val="231F20"/>
          <w:spacing w:val="-5"/>
          <w:sz w:val="16"/>
        </w:rPr>
        <w:t>153</w:t>
      </w:r>
      <w:r>
        <w:rPr>
          <w:color w:val="231F20"/>
          <w:spacing w:val="-13"/>
          <w:sz w:val="16"/>
        </w:rPr>
        <w:t> </w:t>
      </w:r>
      <w:r>
        <w:rPr>
          <w:color w:val="231F20"/>
          <w:sz w:val="16"/>
        </w:rPr>
        <w:t>de</w:t>
      </w:r>
      <w:r>
        <w:rPr>
          <w:color w:val="231F20"/>
          <w:spacing w:val="-13"/>
          <w:sz w:val="16"/>
        </w:rPr>
        <w:t> </w:t>
      </w:r>
      <w:r>
        <w:rPr>
          <w:color w:val="231F20"/>
          <w:sz w:val="16"/>
        </w:rPr>
        <w:t>igual</w:t>
      </w:r>
      <w:r>
        <w:rPr>
          <w:color w:val="231F20"/>
          <w:spacing w:val="-13"/>
          <w:sz w:val="16"/>
        </w:rPr>
        <w:t> </w:t>
      </w:r>
      <w:r>
        <w:rPr>
          <w:color w:val="231F20"/>
          <w:sz w:val="16"/>
        </w:rPr>
        <w:t>manera</w:t>
      </w:r>
      <w:r>
        <w:rPr>
          <w:color w:val="231F20"/>
          <w:spacing w:val="-13"/>
          <w:sz w:val="16"/>
        </w:rPr>
        <w:t> </w:t>
      </w:r>
      <w:r>
        <w:rPr>
          <w:color w:val="231F20"/>
          <w:sz w:val="16"/>
        </w:rPr>
        <w:t>apoyarle</w:t>
      </w:r>
      <w:r>
        <w:rPr>
          <w:color w:val="231F20"/>
          <w:spacing w:val="-13"/>
          <w:sz w:val="16"/>
        </w:rPr>
        <w:t> </w:t>
      </w:r>
      <w:r>
        <w:rPr>
          <w:color w:val="231F20"/>
          <w:sz w:val="16"/>
        </w:rPr>
        <w:t>con</w:t>
      </w:r>
      <w:r>
        <w:rPr>
          <w:color w:val="231F20"/>
          <w:spacing w:val="-13"/>
          <w:sz w:val="16"/>
        </w:rPr>
        <w:t> </w:t>
      </w:r>
      <w:r>
        <w:rPr>
          <w:color w:val="231F20"/>
          <w:sz w:val="16"/>
        </w:rPr>
        <w:t>la</w:t>
      </w:r>
      <w:r>
        <w:rPr>
          <w:color w:val="231F20"/>
          <w:spacing w:val="-13"/>
          <w:sz w:val="16"/>
        </w:rPr>
        <w:t> </w:t>
      </w:r>
      <w:r>
        <w:rPr>
          <w:color w:val="231F20"/>
          <w:sz w:val="16"/>
        </w:rPr>
        <w:t>construcción</w:t>
      </w:r>
      <w:r>
        <w:rPr>
          <w:color w:val="231F20"/>
          <w:spacing w:val="-13"/>
          <w:sz w:val="16"/>
        </w:rPr>
        <w:t> </w:t>
      </w:r>
      <w:r>
        <w:rPr>
          <w:color w:val="231F20"/>
          <w:sz w:val="16"/>
        </w:rPr>
        <w:t>de</w:t>
      </w:r>
      <w:r>
        <w:rPr>
          <w:color w:val="231F20"/>
          <w:spacing w:val="-13"/>
          <w:sz w:val="16"/>
        </w:rPr>
        <w:t> </w:t>
      </w:r>
      <w:r>
        <w:rPr>
          <w:color w:val="231F20"/>
          <w:sz w:val="16"/>
        </w:rPr>
        <w:t>un</w:t>
      </w:r>
      <w:r>
        <w:rPr>
          <w:color w:val="231F20"/>
          <w:spacing w:val="-13"/>
          <w:sz w:val="16"/>
        </w:rPr>
        <w:t> </w:t>
      </w:r>
      <w:r>
        <w:rPr>
          <w:color w:val="231F20"/>
          <w:sz w:val="16"/>
        </w:rPr>
        <w:t>par</w:t>
      </w:r>
      <w:r>
        <w:rPr>
          <w:color w:val="231F20"/>
          <w:spacing w:val="-13"/>
          <w:sz w:val="16"/>
        </w:rPr>
        <w:t> </w:t>
      </w:r>
      <w:r>
        <w:rPr>
          <w:color w:val="231F20"/>
          <w:sz w:val="16"/>
        </w:rPr>
        <w:t>de</w:t>
      </w:r>
      <w:r>
        <w:rPr>
          <w:color w:val="231F20"/>
          <w:spacing w:val="-13"/>
          <w:sz w:val="16"/>
        </w:rPr>
        <w:t> </w:t>
      </w:r>
      <w:r>
        <w:rPr>
          <w:color w:val="231F20"/>
          <w:sz w:val="16"/>
        </w:rPr>
        <w:t>aulas</w:t>
      </w:r>
      <w:r>
        <w:rPr>
          <w:color w:val="231F20"/>
          <w:spacing w:val="-13"/>
          <w:sz w:val="16"/>
        </w:rPr>
        <w:t> </w:t>
      </w:r>
      <w:r>
        <w:rPr>
          <w:color w:val="231F20"/>
          <w:sz w:val="16"/>
        </w:rPr>
        <w:t>y</w:t>
      </w:r>
      <w:r>
        <w:rPr>
          <w:color w:val="231F20"/>
          <w:spacing w:val="-13"/>
          <w:sz w:val="16"/>
        </w:rPr>
        <w:t> </w:t>
      </w:r>
      <w:r>
        <w:rPr>
          <w:color w:val="231F20"/>
          <w:sz w:val="16"/>
        </w:rPr>
        <w:t>es para</w:t>
      </w:r>
      <w:r>
        <w:rPr>
          <w:color w:val="231F20"/>
          <w:spacing w:val="-8"/>
          <w:sz w:val="16"/>
        </w:rPr>
        <w:t> </w:t>
      </w:r>
      <w:r>
        <w:rPr>
          <w:color w:val="231F20"/>
          <w:sz w:val="16"/>
        </w:rPr>
        <w:t>lo</w:t>
      </w:r>
      <w:r>
        <w:rPr>
          <w:color w:val="231F20"/>
          <w:spacing w:val="-8"/>
          <w:sz w:val="16"/>
        </w:rPr>
        <w:t> </w:t>
      </w:r>
      <w:r>
        <w:rPr>
          <w:color w:val="231F20"/>
          <w:sz w:val="16"/>
        </w:rPr>
        <w:t>que</w:t>
      </w:r>
      <w:r>
        <w:rPr>
          <w:color w:val="231F20"/>
          <w:spacing w:val="-8"/>
          <w:sz w:val="16"/>
        </w:rPr>
        <w:t> </w:t>
      </w:r>
      <w:r>
        <w:rPr>
          <w:color w:val="231F20"/>
          <w:sz w:val="16"/>
        </w:rPr>
        <w:t>los</w:t>
      </w:r>
      <w:r>
        <w:rPr>
          <w:color w:val="231F20"/>
          <w:spacing w:val="-8"/>
          <w:sz w:val="16"/>
        </w:rPr>
        <w:t> </w:t>
      </w:r>
      <w:r>
        <w:rPr>
          <w:color w:val="231F20"/>
          <w:sz w:val="16"/>
        </w:rPr>
        <w:t>recursos</w:t>
      </w:r>
      <w:r>
        <w:rPr>
          <w:color w:val="231F20"/>
          <w:spacing w:val="-8"/>
          <w:sz w:val="16"/>
        </w:rPr>
        <w:t> </w:t>
      </w:r>
      <w:r>
        <w:rPr>
          <w:color w:val="231F20"/>
          <w:sz w:val="16"/>
        </w:rPr>
        <w:t>municipales</w:t>
      </w:r>
      <w:r>
        <w:rPr>
          <w:color w:val="231F20"/>
          <w:spacing w:val="-8"/>
          <w:sz w:val="16"/>
        </w:rPr>
        <w:t> </w:t>
      </w:r>
      <w:r>
        <w:rPr>
          <w:color w:val="231F20"/>
          <w:sz w:val="16"/>
        </w:rPr>
        <w:t>nos</w:t>
      </w:r>
      <w:r>
        <w:rPr>
          <w:color w:val="231F20"/>
          <w:spacing w:val="-8"/>
          <w:sz w:val="16"/>
        </w:rPr>
        <w:t> </w:t>
      </w:r>
      <w:r>
        <w:rPr>
          <w:color w:val="231F20"/>
          <w:sz w:val="16"/>
        </w:rPr>
        <w:t>alcanza…</w:t>
      </w:r>
      <w:r>
        <w:rPr>
          <w:color w:val="231F20"/>
          <w:spacing w:val="-8"/>
          <w:sz w:val="16"/>
        </w:rPr>
        <w:t> </w:t>
      </w:r>
      <w:r>
        <w:rPr>
          <w:color w:val="231F20"/>
          <w:sz w:val="16"/>
        </w:rPr>
        <w:t>También</w:t>
      </w:r>
      <w:r>
        <w:rPr>
          <w:color w:val="231F20"/>
          <w:spacing w:val="-8"/>
          <w:sz w:val="16"/>
        </w:rPr>
        <w:t> </w:t>
      </w:r>
      <w:r>
        <w:rPr>
          <w:color w:val="231F20"/>
          <w:sz w:val="16"/>
        </w:rPr>
        <w:t>tenemos</w:t>
      </w:r>
      <w:r>
        <w:rPr>
          <w:color w:val="231F20"/>
          <w:spacing w:val="-8"/>
          <w:sz w:val="16"/>
        </w:rPr>
        <w:t> </w:t>
      </w:r>
      <w:r>
        <w:rPr>
          <w:color w:val="231F20"/>
          <w:sz w:val="16"/>
        </w:rPr>
        <w:t>el</w:t>
      </w:r>
      <w:r>
        <w:rPr>
          <w:color w:val="231F20"/>
          <w:spacing w:val="-8"/>
          <w:sz w:val="16"/>
        </w:rPr>
        <w:t> </w:t>
      </w:r>
      <w:r>
        <w:rPr>
          <w:color w:val="231F20"/>
          <w:sz w:val="16"/>
        </w:rPr>
        <w:t>ofrecimiento</w:t>
      </w:r>
      <w:r>
        <w:rPr>
          <w:color w:val="231F20"/>
          <w:spacing w:val="-8"/>
          <w:sz w:val="16"/>
        </w:rPr>
        <w:t> </w:t>
      </w:r>
      <w:r>
        <w:rPr>
          <w:color w:val="231F20"/>
          <w:sz w:val="16"/>
        </w:rPr>
        <w:t>del</w:t>
      </w:r>
      <w:r>
        <w:rPr>
          <w:color w:val="231F20"/>
          <w:spacing w:val="-8"/>
          <w:sz w:val="16"/>
        </w:rPr>
        <w:t> </w:t>
      </w:r>
      <w:r>
        <w:rPr>
          <w:color w:val="231F20"/>
          <w:sz w:val="16"/>
        </w:rPr>
        <w:t>secretario</w:t>
      </w:r>
      <w:r>
        <w:rPr>
          <w:color w:val="231F20"/>
          <w:spacing w:val="-8"/>
          <w:sz w:val="16"/>
        </w:rPr>
        <w:t> </w:t>
      </w:r>
      <w:r>
        <w:rPr>
          <w:color w:val="231F20"/>
          <w:sz w:val="16"/>
        </w:rPr>
        <w:t>del</w:t>
      </w:r>
      <w:r>
        <w:rPr>
          <w:color w:val="231F20"/>
          <w:spacing w:val="-8"/>
          <w:sz w:val="16"/>
        </w:rPr>
        <w:t> </w:t>
      </w:r>
      <w:r>
        <w:rPr>
          <w:color w:val="231F20"/>
          <w:sz w:val="16"/>
        </w:rPr>
        <w:t>trabajo</w:t>
      </w:r>
      <w:r>
        <w:rPr>
          <w:color w:val="231F20"/>
          <w:spacing w:val="-8"/>
          <w:sz w:val="16"/>
        </w:rPr>
        <w:t> </w:t>
      </w:r>
      <w:r>
        <w:rPr>
          <w:color w:val="231F20"/>
          <w:sz w:val="16"/>
        </w:rPr>
        <w:t>para</w:t>
      </w:r>
      <w:r>
        <w:rPr>
          <w:color w:val="231F20"/>
          <w:spacing w:val="-8"/>
          <w:sz w:val="16"/>
        </w:rPr>
        <w:t> </w:t>
      </w:r>
      <w:r>
        <w:rPr>
          <w:color w:val="231F20"/>
          <w:sz w:val="16"/>
        </w:rPr>
        <w:t>la</w:t>
      </w:r>
      <w:r>
        <w:rPr>
          <w:color w:val="231F20"/>
          <w:spacing w:val="-8"/>
          <w:sz w:val="16"/>
        </w:rPr>
        <w:t> </w:t>
      </w:r>
      <w:r>
        <w:rPr>
          <w:color w:val="231F20"/>
          <w:sz w:val="16"/>
        </w:rPr>
        <w:t>cons- trucción</w:t>
      </w:r>
      <w:r>
        <w:rPr>
          <w:color w:val="231F20"/>
          <w:spacing w:val="-11"/>
          <w:sz w:val="16"/>
        </w:rPr>
        <w:t> </w:t>
      </w:r>
      <w:r>
        <w:rPr>
          <w:color w:val="231F20"/>
          <w:sz w:val="16"/>
        </w:rPr>
        <w:t>de</w:t>
      </w:r>
      <w:r>
        <w:rPr>
          <w:color w:val="231F20"/>
          <w:spacing w:val="-11"/>
          <w:sz w:val="16"/>
        </w:rPr>
        <w:t> </w:t>
      </w:r>
      <w:r>
        <w:rPr>
          <w:color w:val="231F20"/>
          <w:sz w:val="16"/>
        </w:rPr>
        <w:t>una</w:t>
      </w:r>
      <w:r>
        <w:rPr>
          <w:color w:val="231F20"/>
          <w:spacing w:val="-11"/>
          <w:sz w:val="16"/>
        </w:rPr>
        <w:t> </w:t>
      </w:r>
      <w:r>
        <w:rPr>
          <w:color w:val="231F20"/>
          <w:sz w:val="16"/>
        </w:rPr>
        <w:t>escuela</w:t>
      </w:r>
      <w:r>
        <w:rPr>
          <w:color w:val="231F20"/>
          <w:spacing w:val="-11"/>
          <w:sz w:val="16"/>
        </w:rPr>
        <w:t> </w:t>
      </w:r>
      <w:r>
        <w:rPr>
          <w:color w:val="231F20"/>
          <w:sz w:val="16"/>
        </w:rPr>
        <w:t>de</w:t>
      </w:r>
      <w:r>
        <w:rPr>
          <w:color w:val="231F20"/>
          <w:spacing w:val="-11"/>
          <w:sz w:val="16"/>
        </w:rPr>
        <w:t> </w:t>
      </w:r>
      <w:r>
        <w:rPr>
          <w:color w:val="231F20"/>
          <w:sz w:val="16"/>
        </w:rPr>
        <w:t>artes</w:t>
      </w:r>
      <w:r>
        <w:rPr>
          <w:color w:val="231F20"/>
          <w:spacing w:val="-11"/>
          <w:sz w:val="16"/>
        </w:rPr>
        <w:t> </w:t>
      </w:r>
      <w:r>
        <w:rPr>
          <w:color w:val="231F20"/>
          <w:sz w:val="16"/>
        </w:rPr>
        <w:t>y</w:t>
      </w:r>
      <w:r>
        <w:rPr>
          <w:color w:val="231F20"/>
          <w:spacing w:val="-11"/>
          <w:sz w:val="16"/>
        </w:rPr>
        <w:t> </w:t>
      </w:r>
      <w:r>
        <w:rPr>
          <w:color w:val="231F20"/>
          <w:sz w:val="16"/>
        </w:rPr>
        <w:t>oficios</w:t>
      </w:r>
      <w:r>
        <w:rPr>
          <w:color w:val="231F20"/>
          <w:spacing w:val="-11"/>
          <w:sz w:val="16"/>
        </w:rPr>
        <w:t> </w:t>
      </w:r>
      <w:r>
        <w:rPr>
          <w:color w:val="231F20"/>
          <w:sz w:val="16"/>
        </w:rPr>
        <w:t>aquí</w:t>
      </w:r>
      <w:r>
        <w:rPr>
          <w:color w:val="231F20"/>
          <w:spacing w:val="-11"/>
          <w:sz w:val="16"/>
        </w:rPr>
        <w:t> </w:t>
      </w:r>
      <w:r>
        <w:rPr>
          <w:color w:val="231F20"/>
          <w:sz w:val="16"/>
        </w:rPr>
        <w:t>en</w:t>
      </w:r>
      <w:r>
        <w:rPr>
          <w:color w:val="231F20"/>
          <w:spacing w:val="-11"/>
          <w:sz w:val="16"/>
        </w:rPr>
        <w:t> </w:t>
      </w:r>
      <w:r>
        <w:rPr>
          <w:color w:val="231F20"/>
          <w:sz w:val="16"/>
        </w:rPr>
        <w:t>Tepotzotlán.</w:t>
      </w:r>
      <w:r>
        <w:rPr>
          <w:color w:val="231F20"/>
          <w:spacing w:val="-11"/>
          <w:sz w:val="16"/>
        </w:rPr>
        <w:t> </w:t>
      </w:r>
      <w:r>
        <w:rPr>
          <w:color w:val="231F20"/>
          <w:sz w:val="16"/>
        </w:rPr>
        <w:t>Nosotros</w:t>
      </w:r>
      <w:r>
        <w:rPr>
          <w:color w:val="231F20"/>
          <w:spacing w:val="-11"/>
          <w:sz w:val="16"/>
        </w:rPr>
        <w:t> </w:t>
      </w:r>
      <w:r>
        <w:rPr>
          <w:color w:val="231F20"/>
          <w:sz w:val="16"/>
        </w:rPr>
        <w:t>ya</w:t>
      </w:r>
      <w:r>
        <w:rPr>
          <w:color w:val="231F20"/>
          <w:spacing w:val="-11"/>
          <w:sz w:val="16"/>
        </w:rPr>
        <w:t> </w:t>
      </w:r>
      <w:r>
        <w:rPr>
          <w:color w:val="231F20"/>
          <w:sz w:val="16"/>
        </w:rPr>
        <w:t>pusimos</w:t>
      </w:r>
      <w:r>
        <w:rPr>
          <w:color w:val="231F20"/>
          <w:spacing w:val="-11"/>
          <w:sz w:val="16"/>
        </w:rPr>
        <w:t> </w:t>
      </w:r>
      <w:r>
        <w:rPr>
          <w:color w:val="231F20"/>
          <w:sz w:val="16"/>
        </w:rPr>
        <w:t>a</w:t>
      </w:r>
      <w:r>
        <w:rPr>
          <w:color w:val="231F20"/>
          <w:spacing w:val="-11"/>
          <w:sz w:val="16"/>
        </w:rPr>
        <w:t> </w:t>
      </w:r>
      <w:r>
        <w:rPr>
          <w:color w:val="231F20"/>
          <w:sz w:val="16"/>
        </w:rPr>
        <w:t>disposición</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Secretaría</w:t>
      </w:r>
      <w:r>
        <w:rPr>
          <w:color w:val="231F20"/>
          <w:spacing w:val="-11"/>
          <w:sz w:val="16"/>
        </w:rPr>
        <w:t> </w:t>
      </w:r>
      <w:r>
        <w:rPr>
          <w:color w:val="231F20"/>
          <w:sz w:val="16"/>
        </w:rPr>
        <w:t>del</w:t>
      </w:r>
      <w:r>
        <w:rPr>
          <w:color w:val="231F20"/>
          <w:spacing w:val="-11"/>
          <w:sz w:val="16"/>
        </w:rPr>
        <w:t> </w:t>
      </w:r>
      <w:r>
        <w:rPr>
          <w:color w:val="231F20"/>
          <w:sz w:val="16"/>
        </w:rPr>
        <w:t>Trabajo un</w:t>
      </w:r>
      <w:r>
        <w:rPr>
          <w:color w:val="231F20"/>
          <w:spacing w:val="-9"/>
          <w:sz w:val="16"/>
        </w:rPr>
        <w:t> </w:t>
      </w:r>
      <w:r>
        <w:rPr>
          <w:color w:val="231F20"/>
          <w:sz w:val="16"/>
        </w:rPr>
        <w:t>predio</w:t>
      </w:r>
      <w:r>
        <w:rPr>
          <w:color w:val="231F20"/>
          <w:spacing w:val="-9"/>
          <w:sz w:val="16"/>
        </w:rPr>
        <w:t> </w:t>
      </w:r>
      <w:r>
        <w:rPr>
          <w:color w:val="231F20"/>
          <w:sz w:val="16"/>
        </w:rPr>
        <w:t>de</w:t>
      </w:r>
      <w:r>
        <w:rPr>
          <w:color w:val="231F20"/>
          <w:spacing w:val="-9"/>
          <w:sz w:val="16"/>
        </w:rPr>
        <w:t> </w:t>
      </w:r>
      <w:r>
        <w:rPr>
          <w:color w:val="231F20"/>
          <w:spacing w:val="-4"/>
          <w:sz w:val="16"/>
        </w:rPr>
        <w:t>10</w:t>
      </w:r>
      <w:r>
        <w:rPr>
          <w:color w:val="231F20"/>
          <w:spacing w:val="-9"/>
          <w:sz w:val="16"/>
        </w:rPr>
        <w:t> </w:t>
      </w:r>
      <w:r>
        <w:rPr>
          <w:color w:val="231F20"/>
          <w:sz w:val="16"/>
        </w:rPr>
        <w:t>mil</w:t>
      </w:r>
      <w:r>
        <w:rPr>
          <w:color w:val="231F20"/>
          <w:spacing w:val="-9"/>
          <w:sz w:val="16"/>
        </w:rPr>
        <w:t> </w:t>
      </w:r>
      <w:r>
        <w:rPr>
          <w:color w:val="231F20"/>
          <w:sz w:val="16"/>
        </w:rPr>
        <w:t>metros</w:t>
      </w:r>
      <w:r>
        <w:rPr>
          <w:color w:val="231F20"/>
          <w:spacing w:val="-9"/>
          <w:sz w:val="16"/>
        </w:rPr>
        <w:t> </w:t>
      </w:r>
      <w:r>
        <w:rPr>
          <w:color w:val="231F20"/>
          <w:sz w:val="16"/>
        </w:rPr>
        <w:t>ubicado</w:t>
      </w:r>
      <w:r>
        <w:rPr>
          <w:color w:val="231F20"/>
          <w:spacing w:val="-9"/>
          <w:sz w:val="16"/>
        </w:rPr>
        <w:t> </w:t>
      </w:r>
      <w:r>
        <w:rPr>
          <w:color w:val="231F20"/>
          <w:sz w:val="16"/>
        </w:rPr>
        <w:t>en</w:t>
      </w:r>
      <w:r>
        <w:rPr>
          <w:color w:val="231F20"/>
          <w:spacing w:val="-9"/>
          <w:sz w:val="16"/>
        </w:rPr>
        <w:t> </w:t>
      </w:r>
      <w:r>
        <w:rPr>
          <w:color w:val="231F20"/>
          <w:sz w:val="16"/>
        </w:rPr>
        <w:t>el</w:t>
      </w:r>
      <w:r>
        <w:rPr>
          <w:color w:val="231F20"/>
          <w:spacing w:val="-9"/>
          <w:sz w:val="16"/>
        </w:rPr>
        <w:t> </w:t>
      </w:r>
      <w:r>
        <w:rPr>
          <w:color w:val="231F20"/>
          <w:sz w:val="16"/>
        </w:rPr>
        <w:t>Credo</w:t>
      </w:r>
      <w:r>
        <w:rPr>
          <w:color w:val="231F20"/>
          <w:spacing w:val="-9"/>
          <w:sz w:val="16"/>
        </w:rPr>
        <w:t> </w:t>
      </w:r>
      <w:r>
        <w:rPr>
          <w:color w:val="231F20"/>
          <w:sz w:val="16"/>
        </w:rPr>
        <w:t>y</w:t>
      </w:r>
      <w:r>
        <w:rPr>
          <w:color w:val="231F20"/>
          <w:spacing w:val="-9"/>
          <w:sz w:val="16"/>
        </w:rPr>
        <w:t> </w:t>
      </w:r>
      <w:r>
        <w:rPr>
          <w:color w:val="231F20"/>
          <w:sz w:val="16"/>
        </w:rPr>
        <w:t>con</w:t>
      </w:r>
      <w:r>
        <w:rPr>
          <w:color w:val="231F20"/>
          <w:spacing w:val="-9"/>
          <w:sz w:val="16"/>
        </w:rPr>
        <w:t> </w:t>
      </w:r>
      <w:r>
        <w:rPr>
          <w:color w:val="231F20"/>
          <w:sz w:val="16"/>
        </w:rPr>
        <w:t>esto</w:t>
      </w:r>
      <w:r>
        <w:rPr>
          <w:color w:val="231F20"/>
          <w:spacing w:val="-9"/>
          <w:sz w:val="16"/>
        </w:rPr>
        <w:t> </w:t>
      </w:r>
      <w:r>
        <w:rPr>
          <w:color w:val="231F20"/>
          <w:sz w:val="16"/>
        </w:rPr>
        <w:t>estamos</w:t>
      </w:r>
      <w:r>
        <w:rPr>
          <w:color w:val="231F20"/>
          <w:spacing w:val="-9"/>
          <w:sz w:val="16"/>
        </w:rPr>
        <w:t> </w:t>
      </w:r>
      <w:r>
        <w:rPr>
          <w:color w:val="231F20"/>
          <w:sz w:val="16"/>
        </w:rPr>
        <w:t>apostándole</w:t>
      </w:r>
      <w:r>
        <w:rPr>
          <w:color w:val="231F20"/>
          <w:spacing w:val="-9"/>
          <w:sz w:val="16"/>
        </w:rPr>
        <w:t> </w:t>
      </w:r>
      <w:r>
        <w:rPr>
          <w:color w:val="231F20"/>
          <w:sz w:val="16"/>
        </w:rPr>
        <w:t>a</w:t>
      </w:r>
      <w:r>
        <w:rPr>
          <w:color w:val="231F20"/>
          <w:spacing w:val="-9"/>
          <w:sz w:val="16"/>
        </w:rPr>
        <w:t> </w:t>
      </w:r>
      <w:r>
        <w:rPr>
          <w:color w:val="231F20"/>
          <w:sz w:val="16"/>
        </w:rPr>
        <w:t>la</w:t>
      </w:r>
      <w:r>
        <w:rPr>
          <w:color w:val="231F20"/>
          <w:spacing w:val="-9"/>
          <w:sz w:val="16"/>
        </w:rPr>
        <w:t> </w:t>
      </w:r>
      <w:r>
        <w:rPr>
          <w:color w:val="231F20"/>
          <w:sz w:val="16"/>
        </w:rPr>
        <w:t>educación,</w:t>
      </w:r>
      <w:r>
        <w:rPr>
          <w:color w:val="231F20"/>
          <w:spacing w:val="-9"/>
          <w:sz w:val="16"/>
        </w:rPr>
        <w:t> </w:t>
      </w:r>
      <w:r>
        <w:rPr>
          <w:color w:val="231F20"/>
          <w:sz w:val="16"/>
        </w:rPr>
        <w:t>le</w:t>
      </w:r>
      <w:r>
        <w:rPr>
          <w:color w:val="231F20"/>
          <w:spacing w:val="-9"/>
          <w:sz w:val="16"/>
        </w:rPr>
        <w:t> </w:t>
      </w:r>
      <w:r>
        <w:rPr>
          <w:color w:val="231F20"/>
          <w:sz w:val="16"/>
        </w:rPr>
        <w:t>estamos</w:t>
      </w:r>
      <w:r>
        <w:rPr>
          <w:color w:val="231F20"/>
          <w:spacing w:val="-9"/>
          <w:sz w:val="16"/>
        </w:rPr>
        <w:t> </w:t>
      </w:r>
      <w:r>
        <w:rPr>
          <w:color w:val="231F20"/>
          <w:sz w:val="16"/>
        </w:rPr>
        <w:t>apostando</w:t>
      </w:r>
      <w:r>
        <w:rPr>
          <w:color w:val="231F20"/>
          <w:spacing w:val="-9"/>
          <w:sz w:val="16"/>
        </w:rPr>
        <w:t> </w:t>
      </w:r>
      <w:r>
        <w:rPr>
          <w:color w:val="231F20"/>
          <w:sz w:val="16"/>
        </w:rPr>
        <w:t>a</w:t>
      </w:r>
      <w:r>
        <w:rPr>
          <w:color w:val="231F20"/>
          <w:spacing w:val="-9"/>
          <w:sz w:val="16"/>
        </w:rPr>
        <w:t> </w:t>
      </w:r>
      <w:r>
        <w:rPr>
          <w:color w:val="231F20"/>
          <w:sz w:val="16"/>
        </w:rPr>
        <w:t>que los</w:t>
      </w:r>
      <w:r>
        <w:rPr>
          <w:color w:val="231F20"/>
          <w:spacing w:val="-15"/>
          <w:sz w:val="16"/>
        </w:rPr>
        <w:t> </w:t>
      </w:r>
      <w:r>
        <w:rPr>
          <w:color w:val="231F20"/>
          <w:sz w:val="16"/>
        </w:rPr>
        <w:t>jóvenes</w:t>
      </w:r>
      <w:r>
        <w:rPr>
          <w:color w:val="231F20"/>
          <w:spacing w:val="-15"/>
          <w:sz w:val="16"/>
        </w:rPr>
        <w:t> </w:t>
      </w:r>
      <w:r>
        <w:rPr>
          <w:color w:val="231F20"/>
          <w:sz w:val="16"/>
        </w:rPr>
        <w:t>se</w:t>
      </w:r>
      <w:r>
        <w:rPr>
          <w:color w:val="231F20"/>
          <w:spacing w:val="-15"/>
          <w:sz w:val="16"/>
        </w:rPr>
        <w:t> </w:t>
      </w:r>
      <w:r>
        <w:rPr>
          <w:color w:val="231F20"/>
          <w:sz w:val="16"/>
        </w:rPr>
        <w:t>preparen</w:t>
      </w:r>
      <w:r>
        <w:rPr>
          <w:color w:val="231F20"/>
          <w:spacing w:val="-15"/>
          <w:sz w:val="16"/>
        </w:rPr>
        <w:t> </w:t>
      </w:r>
      <w:r>
        <w:rPr>
          <w:color w:val="231F20"/>
          <w:sz w:val="16"/>
        </w:rPr>
        <w:t>pero</w:t>
      </w:r>
      <w:r>
        <w:rPr>
          <w:color w:val="231F20"/>
          <w:spacing w:val="-15"/>
          <w:sz w:val="16"/>
        </w:rPr>
        <w:t> </w:t>
      </w:r>
      <w:r>
        <w:rPr>
          <w:color w:val="231F20"/>
          <w:sz w:val="16"/>
        </w:rPr>
        <w:t>sería</w:t>
      </w:r>
      <w:r>
        <w:rPr>
          <w:color w:val="231F20"/>
          <w:spacing w:val="-15"/>
          <w:sz w:val="16"/>
        </w:rPr>
        <w:t> </w:t>
      </w:r>
      <w:r>
        <w:rPr>
          <w:color w:val="231F20"/>
          <w:sz w:val="16"/>
        </w:rPr>
        <w:t>en</w:t>
      </w:r>
      <w:r>
        <w:rPr>
          <w:color w:val="231F20"/>
          <w:spacing w:val="-15"/>
          <w:sz w:val="16"/>
        </w:rPr>
        <w:t> </w:t>
      </w:r>
      <w:r>
        <w:rPr>
          <w:color w:val="231F20"/>
          <w:sz w:val="16"/>
        </w:rPr>
        <w:t>media</w:t>
      </w:r>
      <w:r>
        <w:rPr>
          <w:color w:val="231F20"/>
          <w:spacing w:val="-15"/>
          <w:sz w:val="16"/>
        </w:rPr>
        <w:t> </w:t>
      </w:r>
      <w:r>
        <w:rPr>
          <w:color w:val="231F20"/>
          <w:sz w:val="16"/>
        </w:rPr>
        <w:t>superior,</w:t>
      </w:r>
      <w:r>
        <w:rPr>
          <w:color w:val="231F20"/>
          <w:spacing w:val="-15"/>
          <w:sz w:val="16"/>
        </w:rPr>
        <w:t> </w:t>
      </w:r>
      <w:r>
        <w:rPr>
          <w:color w:val="231F20"/>
          <w:sz w:val="16"/>
        </w:rPr>
        <w:t>no</w:t>
      </w:r>
      <w:r>
        <w:rPr>
          <w:color w:val="231F20"/>
          <w:spacing w:val="-15"/>
          <w:sz w:val="16"/>
        </w:rPr>
        <w:t> </w:t>
      </w:r>
      <w:r>
        <w:rPr>
          <w:color w:val="231F20"/>
          <w:sz w:val="16"/>
        </w:rPr>
        <w:t>en</w:t>
      </w:r>
      <w:r>
        <w:rPr>
          <w:color w:val="231F20"/>
          <w:spacing w:val="-15"/>
          <w:sz w:val="16"/>
        </w:rPr>
        <w:t> </w:t>
      </w:r>
      <w:r>
        <w:rPr>
          <w:color w:val="231F20"/>
          <w:sz w:val="16"/>
        </w:rPr>
        <w:t>superior”.</w:t>
      </w:r>
      <w:r>
        <w:rPr>
          <w:color w:val="231F20"/>
          <w:spacing w:val="-15"/>
          <w:sz w:val="16"/>
        </w:rPr>
        <w:t> </w:t>
      </w:r>
      <w:r>
        <w:rPr>
          <w:color w:val="231F20"/>
          <w:sz w:val="16"/>
        </w:rPr>
        <w:t>Ídem.</w:t>
      </w:r>
    </w:p>
    <w:p>
      <w:pPr>
        <w:spacing w:after="0" w:line="244" w:lineRule="auto"/>
        <w:jc w:val="both"/>
        <w:rPr>
          <w:sz w:val="16"/>
        </w:rPr>
        <w:sectPr>
          <w:pgSz w:w="9640" w:h="12190"/>
          <w:pgMar w:header="0" w:footer="743" w:top="1120" w:bottom="940" w:left="740" w:right="740"/>
        </w:sectPr>
      </w:pPr>
    </w:p>
    <w:p>
      <w:pPr>
        <w:pStyle w:val="Heading5"/>
        <w:spacing w:before="27"/>
        <w:ind w:left="559" w:right="-2"/>
      </w:pPr>
      <w:r>
        <w:rPr>
          <w:color w:val="231F20"/>
          <w:w w:val="105"/>
        </w:rPr>
        <w:t>Cuadro 1 Infraestructura básica de los servicios públicos en el municipio</w:t>
      </w:r>
    </w:p>
    <w:p>
      <w:pPr>
        <w:pStyle w:val="BodyText"/>
        <w:rPr>
          <w:b/>
          <w:sz w:val="20"/>
        </w:rPr>
      </w:pPr>
    </w:p>
    <w:p>
      <w:pPr>
        <w:pStyle w:val="BodyText"/>
        <w:spacing w:before="11"/>
        <w:rPr>
          <w:b/>
          <w:sz w:val="18"/>
        </w:rPr>
      </w:pPr>
    </w:p>
    <w:p>
      <w:pPr>
        <w:spacing w:line="163" w:lineRule="exact" w:before="0"/>
        <w:ind w:left="140" w:right="3228" w:firstLine="0"/>
        <w:jc w:val="center"/>
        <w:rPr>
          <w:rFonts w:ascii="Calibri"/>
          <w:b/>
          <w:sz w:val="16"/>
        </w:rPr>
      </w:pPr>
      <w:r>
        <w:rPr/>
        <w:pict>
          <v:shape style="position:absolute;margin-left:42.519699pt;margin-top:1.115189pt;width:397.1pt;height:123.7pt;mso-position-horizontal-relative:page;mso-position-vertical-relative:paragraph;z-index:997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51"/>
                    <w:gridCol w:w="792"/>
                    <w:gridCol w:w="743"/>
                    <w:gridCol w:w="4741"/>
                  </w:tblGrid>
                  <w:tr>
                    <w:trPr>
                      <w:trHeight w:val="130" w:hRule="exact"/>
                    </w:trPr>
                    <w:tc>
                      <w:tcPr>
                        <w:tcW w:w="1651" w:type="dxa"/>
                        <w:vMerge w:val="restart"/>
                      </w:tcPr>
                      <w:p>
                        <w:pPr>
                          <w:pStyle w:val="TableParagraph"/>
                          <w:spacing w:before="32"/>
                          <w:ind w:left="369"/>
                          <w:rPr>
                            <w:b/>
                            <w:sz w:val="16"/>
                          </w:rPr>
                        </w:pPr>
                        <w:r>
                          <w:rPr>
                            <w:b/>
                            <w:color w:val="231F20"/>
                            <w:w w:val="85"/>
                            <w:sz w:val="16"/>
                          </w:rPr>
                          <w:t>Servicio público</w:t>
                        </w:r>
                      </w:p>
                    </w:tc>
                    <w:tc>
                      <w:tcPr>
                        <w:tcW w:w="792" w:type="dxa"/>
                        <w:tcBorders>
                          <w:right w:val="nil"/>
                        </w:tcBorders>
                      </w:tcPr>
                      <w:p>
                        <w:pPr/>
                      </w:p>
                    </w:tc>
                    <w:tc>
                      <w:tcPr>
                        <w:tcW w:w="743" w:type="dxa"/>
                        <w:tcBorders>
                          <w:left w:val="nil"/>
                        </w:tcBorders>
                      </w:tcPr>
                      <w:p>
                        <w:pPr/>
                      </w:p>
                    </w:tc>
                    <w:tc>
                      <w:tcPr>
                        <w:tcW w:w="4741" w:type="dxa"/>
                        <w:vMerge w:val="restart"/>
                      </w:tcPr>
                      <w:p>
                        <w:pPr>
                          <w:pStyle w:val="TableParagraph"/>
                          <w:spacing w:before="32"/>
                          <w:ind w:left="10" w:right="8"/>
                          <w:jc w:val="center"/>
                          <w:rPr>
                            <w:b/>
                            <w:sz w:val="16"/>
                          </w:rPr>
                        </w:pPr>
                        <w:r>
                          <w:rPr>
                            <w:b/>
                            <w:color w:val="231F20"/>
                            <w:w w:val="90"/>
                            <w:sz w:val="16"/>
                          </w:rPr>
                          <w:t>Observaciones</w:t>
                        </w:r>
                      </w:p>
                    </w:tc>
                  </w:tr>
                  <w:tr>
                    <w:trPr>
                      <w:trHeight w:val="130" w:hRule="exact"/>
                    </w:trPr>
                    <w:tc>
                      <w:tcPr>
                        <w:tcW w:w="1651" w:type="dxa"/>
                        <w:vMerge/>
                      </w:tcPr>
                      <w:p>
                        <w:pPr/>
                      </w:p>
                    </w:tc>
                    <w:tc>
                      <w:tcPr>
                        <w:tcW w:w="792" w:type="dxa"/>
                      </w:tcPr>
                      <w:p>
                        <w:pPr>
                          <w:pStyle w:val="TableParagraph"/>
                          <w:spacing w:line="160" w:lineRule="exact"/>
                          <w:ind w:left="329"/>
                          <w:rPr>
                            <w:b/>
                            <w:sz w:val="16"/>
                          </w:rPr>
                        </w:pPr>
                        <w:r>
                          <w:rPr>
                            <w:b/>
                            <w:color w:val="231F20"/>
                            <w:w w:val="95"/>
                            <w:sz w:val="16"/>
                          </w:rPr>
                          <w:t>endas</w:t>
                        </w:r>
                      </w:p>
                    </w:tc>
                    <w:tc>
                      <w:tcPr>
                        <w:tcW w:w="743" w:type="dxa"/>
                      </w:tcPr>
                      <w:p>
                        <w:pPr>
                          <w:pStyle w:val="TableParagraph"/>
                          <w:spacing w:line="160" w:lineRule="exact"/>
                          <w:ind w:left="107"/>
                          <w:rPr>
                            <w:b/>
                            <w:sz w:val="16"/>
                          </w:rPr>
                        </w:pPr>
                        <w:r>
                          <w:rPr>
                            <w:b/>
                            <w:color w:val="231F20"/>
                            <w:w w:val="95"/>
                            <w:sz w:val="16"/>
                          </w:rPr>
                          <w:t>Pers</w:t>
                        </w:r>
                      </w:p>
                    </w:tc>
                    <w:tc>
                      <w:tcPr>
                        <w:tcW w:w="4741" w:type="dxa"/>
                        <w:vMerge/>
                      </w:tcPr>
                      <w:p>
                        <w:pPr/>
                      </w:p>
                    </w:tc>
                  </w:tr>
                  <w:tr>
                    <w:trPr>
                      <w:trHeight w:val="322" w:hRule="exact"/>
                    </w:trPr>
                    <w:tc>
                      <w:tcPr>
                        <w:tcW w:w="1651" w:type="dxa"/>
                      </w:tcPr>
                      <w:p>
                        <w:pPr>
                          <w:pStyle w:val="TableParagraph"/>
                          <w:spacing w:before="63"/>
                          <w:ind w:left="153" w:right="153"/>
                          <w:jc w:val="center"/>
                          <w:rPr>
                            <w:sz w:val="16"/>
                          </w:rPr>
                        </w:pPr>
                        <w:r>
                          <w:rPr>
                            <w:color w:val="231F20"/>
                            <w:w w:val="90"/>
                            <w:sz w:val="16"/>
                          </w:rPr>
                          <w:t>Agua</w:t>
                        </w:r>
                      </w:p>
                    </w:tc>
                    <w:tc>
                      <w:tcPr>
                        <w:tcW w:w="792" w:type="dxa"/>
                      </w:tcPr>
                      <w:p>
                        <w:pPr>
                          <w:pStyle w:val="TableParagraph"/>
                          <w:spacing w:before="63"/>
                          <w:ind w:left="225"/>
                          <w:rPr>
                            <w:sz w:val="16"/>
                          </w:rPr>
                        </w:pPr>
                        <w:r>
                          <w:rPr>
                            <w:color w:val="231F20"/>
                            <w:w w:val="75"/>
                            <w:sz w:val="16"/>
                          </w:rPr>
                          <w:t>13 985</w:t>
                        </w:r>
                      </w:p>
                    </w:tc>
                    <w:tc>
                      <w:tcPr>
                        <w:tcW w:w="743" w:type="dxa"/>
                      </w:tcPr>
                      <w:p>
                        <w:pPr>
                          <w:pStyle w:val="TableParagraph"/>
                          <w:spacing w:before="63"/>
                          <w:ind w:left="0" w:right="199"/>
                          <w:jc w:val="right"/>
                          <w:rPr>
                            <w:sz w:val="16"/>
                          </w:rPr>
                        </w:pPr>
                        <w:r>
                          <w:rPr>
                            <w:color w:val="231F20"/>
                            <w:w w:val="75"/>
                            <w:sz w:val="16"/>
                          </w:rPr>
                          <w:t>59 959</w:t>
                        </w:r>
                      </w:p>
                    </w:tc>
                    <w:tc>
                      <w:tcPr>
                        <w:tcW w:w="4741" w:type="dxa"/>
                      </w:tcPr>
                      <w:p>
                        <w:pPr>
                          <w:pStyle w:val="TableParagraph"/>
                          <w:spacing w:line="161" w:lineRule="exact"/>
                          <w:ind w:left="10" w:right="10"/>
                          <w:jc w:val="center"/>
                          <w:rPr>
                            <w:sz w:val="16"/>
                          </w:rPr>
                        </w:pPr>
                        <w:r>
                          <w:rPr>
                            <w:color w:val="231F20"/>
                            <w:w w:val="80"/>
                            <w:sz w:val="16"/>
                          </w:rPr>
                          <w:t>Su abastecimiento principalmente es federal, seguida de la estatal, deshielos y pozo</w:t>
                        </w:r>
                      </w:p>
                      <w:p>
                        <w:pPr>
                          <w:pStyle w:val="TableParagraph"/>
                          <w:spacing w:line="191" w:lineRule="exact"/>
                          <w:ind w:left="10" w:right="10"/>
                          <w:jc w:val="center"/>
                          <w:rPr>
                            <w:sz w:val="16"/>
                          </w:rPr>
                        </w:pPr>
                        <w:r>
                          <w:rPr>
                            <w:color w:val="231F20"/>
                            <w:w w:val="80"/>
                            <w:sz w:val="16"/>
                          </w:rPr>
                          <w:t>profundo. La cobertura es del 92.52% (PDM 2006-2009)</w:t>
                        </w:r>
                      </w:p>
                    </w:tc>
                  </w:tr>
                  <w:tr>
                    <w:trPr>
                      <w:trHeight w:val="130" w:hRule="exact"/>
                    </w:trPr>
                    <w:tc>
                      <w:tcPr>
                        <w:tcW w:w="1651" w:type="dxa"/>
                      </w:tcPr>
                      <w:p>
                        <w:pPr>
                          <w:pStyle w:val="TableParagraph"/>
                          <w:spacing w:line="160" w:lineRule="exact"/>
                          <w:ind w:left="153" w:right="152"/>
                          <w:jc w:val="center"/>
                          <w:rPr>
                            <w:sz w:val="16"/>
                          </w:rPr>
                        </w:pPr>
                        <w:r>
                          <w:rPr>
                            <w:color w:val="231F20"/>
                            <w:w w:val="85"/>
                            <w:sz w:val="16"/>
                          </w:rPr>
                          <w:t>Drenaje</w:t>
                        </w:r>
                      </w:p>
                    </w:tc>
                    <w:tc>
                      <w:tcPr>
                        <w:tcW w:w="792" w:type="dxa"/>
                      </w:tcPr>
                      <w:p>
                        <w:pPr>
                          <w:pStyle w:val="TableParagraph"/>
                          <w:spacing w:line="160" w:lineRule="exact"/>
                          <w:ind w:left="225"/>
                          <w:rPr>
                            <w:sz w:val="16"/>
                          </w:rPr>
                        </w:pPr>
                        <w:r>
                          <w:rPr>
                            <w:color w:val="231F20"/>
                            <w:w w:val="75"/>
                            <w:sz w:val="16"/>
                          </w:rPr>
                          <w:t>14 207</w:t>
                        </w:r>
                      </w:p>
                    </w:tc>
                    <w:tc>
                      <w:tcPr>
                        <w:tcW w:w="743" w:type="dxa"/>
                      </w:tcPr>
                      <w:p>
                        <w:pPr>
                          <w:pStyle w:val="TableParagraph"/>
                          <w:spacing w:line="160" w:lineRule="exact"/>
                          <w:ind w:left="0" w:right="197"/>
                          <w:jc w:val="right"/>
                          <w:rPr>
                            <w:sz w:val="16"/>
                          </w:rPr>
                        </w:pPr>
                        <w:r>
                          <w:rPr>
                            <w:color w:val="231F20"/>
                            <w:w w:val="75"/>
                            <w:sz w:val="16"/>
                          </w:rPr>
                          <w:t>61 065</w:t>
                        </w:r>
                      </w:p>
                    </w:tc>
                    <w:tc>
                      <w:tcPr>
                        <w:tcW w:w="4741" w:type="dxa"/>
                      </w:tcPr>
                      <w:p>
                        <w:pPr>
                          <w:pStyle w:val="TableParagraph"/>
                          <w:spacing w:line="160" w:lineRule="exact"/>
                          <w:ind w:left="10" w:right="10"/>
                          <w:jc w:val="center"/>
                          <w:rPr>
                            <w:sz w:val="16"/>
                          </w:rPr>
                        </w:pPr>
                        <w:r>
                          <w:rPr>
                            <w:color w:val="231F20"/>
                            <w:w w:val="80"/>
                            <w:sz w:val="16"/>
                          </w:rPr>
                          <w:t>Según el PDM 2006-2009 se tiene una cobertura del 82.63%</w:t>
                        </w:r>
                      </w:p>
                    </w:tc>
                  </w:tr>
                  <w:tr>
                    <w:trPr>
                      <w:trHeight w:val="514" w:hRule="exact"/>
                    </w:trPr>
                    <w:tc>
                      <w:tcPr>
                        <w:tcW w:w="1651" w:type="dxa"/>
                      </w:tcPr>
                      <w:p>
                        <w:pPr>
                          <w:pStyle w:val="TableParagraph"/>
                          <w:spacing w:before="10"/>
                          <w:ind w:left="0"/>
                          <w:rPr>
                            <w:rFonts w:ascii="Times New Roman"/>
                            <w:sz w:val="13"/>
                          </w:rPr>
                        </w:pPr>
                      </w:p>
                      <w:p>
                        <w:pPr>
                          <w:pStyle w:val="TableParagraph"/>
                          <w:ind w:left="153" w:right="153"/>
                          <w:jc w:val="center"/>
                          <w:rPr>
                            <w:sz w:val="16"/>
                          </w:rPr>
                        </w:pPr>
                        <w:r>
                          <w:rPr>
                            <w:color w:val="231F20"/>
                            <w:w w:val="75"/>
                            <w:sz w:val="16"/>
                          </w:rPr>
                          <w:t>Energía eléctrica</w:t>
                        </w:r>
                      </w:p>
                    </w:tc>
                    <w:tc>
                      <w:tcPr>
                        <w:tcW w:w="792" w:type="dxa"/>
                      </w:tcPr>
                      <w:p>
                        <w:pPr>
                          <w:pStyle w:val="TableParagraph"/>
                          <w:spacing w:before="10"/>
                          <w:ind w:left="0"/>
                          <w:rPr>
                            <w:rFonts w:ascii="Times New Roman"/>
                            <w:sz w:val="13"/>
                          </w:rPr>
                        </w:pPr>
                      </w:p>
                      <w:p>
                        <w:pPr>
                          <w:pStyle w:val="TableParagraph"/>
                          <w:ind w:left="229"/>
                          <w:rPr>
                            <w:sz w:val="16"/>
                          </w:rPr>
                        </w:pPr>
                        <w:r>
                          <w:rPr>
                            <w:color w:val="231F20"/>
                            <w:w w:val="75"/>
                            <w:sz w:val="16"/>
                          </w:rPr>
                          <w:t>15 121</w:t>
                        </w:r>
                      </w:p>
                    </w:tc>
                    <w:tc>
                      <w:tcPr>
                        <w:tcW w:w="743" w:type="dxa"/>
                      </w:tcPr>
                      <w:p>
                        <w:pPr>
                          <w:pStyle w:val="TableParagraph"/>
                          <w:spacing w:before="10"/>
                          <w:ind w:left="0"/>
                          <w:rPr>
                            <w:rFonts w:ascii="Times New Roman"/>
                            <w:sz w:val="13"/>
                          </w:rPr>
                        </w:pPr>
                      </w:p>
                      <w:p>
                        <w:pPr>
                          <w:pStyle w:val="TableParagraph"/>
                          <w:ind w:left="0" w:right="193"/>
                          <w:jc w:val="right"/>
                          <w:rPr>
                            <w:sz w:val="16"/>
                          </w:rPr>
                        </w:pPr>
                        <w:r>
                          <w:rPr>
                            <w:color w:val="231F20"/>
                            <w:w w:val="80"/>
                            <w:sz w:val="16"/>
                          </w:rPr>
                          <w:t>64 984</w:t>
                        </w:r>
                      </w:p>
                    </w:tc>
                    <w:tc>
                      <w:tcPr>
                        <w:tcW w:w="4741" w:type="dxa"/>
                      </w:tcPr>
                      <w:p>
                        <w:pPr>
                          <w:pStyle w:val="TableParagraph"/>
                          <w:spacing w:line="161" w:lineRule="exact"/>
                          <w:ind w:left="133" w:right="31" w:hanging="25"/>
                          <w:rPr>
                            <w:sz w:val="16"/>
                          </w:rPr>
                        </w:pPr>
                        <w:r>
                          <w:rPr>
                            <w:color w:val="231F20"/>
                            <w:w w:val="80"/>
                            <w:sz w:val="16"/>
                          </w:rPr>
                          <w:t>Consumo</w:t>
                        </w:r>
                        <w:r>
                          <w:rPr>
                            <w:color w:val="231F20"/>
                            <w:spacing w:val="-21"/>
                            <w:w w:val="80"/>
                            <w:sz w:val="16"/>
                          </w:rPr>
                          <w:t> </w:t>
                        </w:r>
                        <w:r>
                          <w:rPr>
                            <w:color w:val="231F20"/>
                            <w:w w:val="80"/>
                            <w:sz w:val="16"/>
                          </w:rPr>
                          <w:t>de</w:t>
                        </w:r>
                        <w:r>
                          <w:rPr>
                            <w:color w:val="231F20"/>
                            <w:spacing w:val="-21"/>
                            <w:w w:val="80"/>
                            <w:sz w:val="16"/>
                          </w:rPr>
                          <w:t> </w:t>
                        </w:r>
                        <w:r>
                          <w:rPr>
                            <w:color w:val="231F20"/>
                            <w:w w:val="80"/>
                            <w:sz w:val="16"/>
                          </w:rPr>
                          <w:t>energía</w:t>
                        </w:r>
                        <w:r>
                          <w:rPr>
                            <w:color w:val="231F20"/>
                            <w:spacing w:val="-21"/>
                            <w:w w:val="80"/>
                            <w:sz w:val="16"/>
                          </w:rPr>
                          <w:t> </w:t>
                        </w:r>
                        <w:r>
                          <w:rPr>
                            <w:color w:val="231F20"/>
                            <w:w w:val="80"/>
                            <w:sz w:val="16"/>
                          </w:rPr>
                          <w:t>eléctrica</w:t>
                        </w:r>
                        <w:r>
                          <w:rPr>
                            <w:color w:val="231F20"/>
                            <w:spacing w:val="-21"/>
                            <w:w w:val="80"/>
                            <w:sz w:val="16"/>
                          </w:rPr>
                          <w:t> </w:t>
                        </w:r>
                        <w:r>
                          <w:rPr>
                            <w:color w:val="231F20"/>
                            <w:w w:val="80"/>
                            <w:sz w:val="16"/>
                          </w:rPr>
                          <w:t>per</w:t>
                        </w:r>
                        <w:r>
                          <w:rPr>
                            <w:color w:val="231F20"/>
                            <w:spacing w:val="-21"/>
                            <w:w w:val="80"/>
                            <w:sz w:val="16"/>
                          </w:rPr>
                          <w:t> </w:t>
                        </w:r>
                        <w:r>
                          <w:rPr>
                            <w:color w:val="231F20"/>
                            <w:w w:val="80"/>
                            <w:sz w:val="16"/>
                          </w:rPr>
                          <w:t>cápita</w:t>
                        </w:r>
                        <w:r>
                          <w:rPr>
                            <w:color w:val="231F20"/>
                            <w:spacing w:val="-21"/>
                            <w:w w:val="80"/>
                            <w:sz w:val="16"/>
                          </w:rPr>
                          <w:t> </w:t>
                        </w:r>
                        <w:r>
                          <w:rPr>
                            <w:color w:val="231F20"/>
                            <w:w w:val="80"/>
                            <w:sz w:val="16"/>
                          </w:rPr>
                          <w:t>es</w:t>
                        </w:r>
                        <w:r>
                          <w:rPr>
                            <w:color w:val="231F20"/>
                            <w:spacing w:val="-21"/>
                            <w:w w:val="80"/>
                            <w:sz w:val="16"/>
                          </w:rPr>
                          <w:t> </w:t>
                        </w:r>
                        <w:r>
                          <w:rPr>
                            <w:color w:val="231F20"/>
                            <w:w w:val="80"/>
                            <w:sz w:val="16"/>
                          </w:rPr>
                          <w:t>de</w:t>
                        </w:r>
                        <w:r>
                          <w:rPr>
                            <w:color w:val="231F20"/>
                            <w:spacing w:val="-21"/>
                            <w:w w:val="80"/>
                            <w:sz w:val="16"/>
                          </w:rPr>
                          <w:t> </w:t>
                        </w:r>
                        <w:r>
                          <w:rPr>
                            <w:color w:val="231F20"/>
                            <w:w w:val="80"/>
                            <w:sz w:val="16"/>
                          </w:rPr>
                          <w:t>Mw/hora/habitante.</w:t>
                        </w:r>
                        <w:r>
                          <w:rPr>
                            <w:color w:val="231F20"/>
                            <w:spacing w:val="-21"/>
                            <w:w w:val="80"/>
                            <w:sz w:val="16"/>
                          </w:rPr>
                          <w:t> </w:t>
                        </w:r>
                        <w:r>
                          <w:rPr>
                            <w:color w:val="231F20"/>
                            <w:w w:val="80"/>
                            <w:sz w:val="16"/>
                          </w:rPr>
                          <w:t>Se</w:t>
                        </w:r>
                        <w:r>
                          <w:rPr>
                            <w:color w:val="231F20"/>
                            <w:spacing w:val="-21"/>
                            <w:w w:val="80"/>
                            <w:sz w:val="16"/>
                          </w:rPr>
                          <w:t> </w:t>
                        </w:r>
                        <w:r>
                          <w:rPr>
                            <w:color w:val="231F20"/>
                            <w:w w:val="80"/>
                            <w:sz w:val="16"/>
                          </w:rPr>
                          <w:t>tiene</w:t>
                        </w:r>
                        <w:r>
                          <w:rPr>
                            <w:color w:val="231F20"/>
                            <w:spacing w:val="-21"/>
                            <w:w w:val="80"/>
                            <w:sz w:val="16"/>
                          </w:rPr>
                          <w:t> </w:t>
                        </w:r>
                        <w:r>
                          <w:rPr>
                            <w:color w:val="231F20"/>
                            <w:w w:val="80"/>
                            <w:sz w:val="16"/>
                          </w:rPr>
                          <w:t>una</w:t>
                        </w:r>
                        <w:r>
                          <w:rPr>
                            <w:color w:val="231F20"/>
                            <w:spacing w:val="-21"/>
                            <w:w w:val="80"/>
                            <w:sz w:val="16"/>
                          </w:rPr>
                          <w:t> </w:t>
                        </w:r>
                        <w:r>
                          <w:rPr>
                            <w:color w:val="231F20"/>
                            <w:w w:val="80"/>
                            <w:sz w:val="16"/>
                          </w:rPr>
                          <w:t>cobertura</w:t>
                        </w:r>
                      </w:p>
                      <w:p>
                        <w:pPr>
                          <w:pStyle w:val="TableParagraph"/>
                          <w:spacing w:line="235" w:lineRule="auto" w:before="1"/>
                          <w:ind w:left="719" w:right="31" w:hanging="587"/>
                          <w:rPr>
                            <w:sz w:val="16"/>
                          </w:rPr>
                        </w:pPr>
                        <w:r>
                          <w:rPr>
                            <w:color w:val="231F20"/>
                            <w:w w:val="80"/>
                            <w:sz w:val="16"/>
                          </w:rPr>
                          <w:t>del</w:t>
                        </w:r>
                        <w:r>
                          <w:rPr>
                            <w:color w:val="231F20"/>
                            <w:spacing w:val="-17"/>
                            <w:w w:val="80"/>
                            <w:sz w:val="16"/>
                          </w:rPr>
                          <w:t> </w:t>
                        </w:r>
                        <w:r>
                          <w:rPr>
                            <w:color w:val="231F20"/>
                            <w:w w:val="80"/>
                            <w:sz w:val="16"/>
                          </w:rPr>
                          <w:t>98.37%.</w:t>
                        </w:r>
                        <w:r>
                          <w:rPr>
                            <w:color w:val="231F20"/>
                            <w:spacing w:val="-17"/>
                            <w:w w:val="80"/>
                            <w:sz w:val="16"/>
                          </w:rPr>
                          <w:t> </w:t>
                        </w:r>
                        <w:r>
                          <w:rPr>
                            <w:color w:val="231F20"/>
                            <w:w w:val="80"/>
                            <w:sz w:val="16"/>
                          </w:rPr>
                          <w:t>Es</w:t>
                        </w:r>
                        <w:r>
                          <w:rPr>
                            <w:color w:val="231F20"/>
                            <w:spacing w:val="-17"/>
                            <w:w w:val="80"/>
                            <w:sz w:val="16"/>
                          </w:rPr>
                          <w:t> </w:t>
                        </w:r>
                        <w:r>
                          <w:rPr>
                            <w:color w:val="231F20"/>
                            <w:w w:val="80"/>
                            <w:sz w:val="16"/>
                          </w:rPr>
                          <w:t>un</w:t>
                        </w:r>
                        <w:r>
                          <w:rPr>
                            <w:color w:val="231F20"/>
                            <w:spacing w:val="-17"/>
                            <w:w w:val="80"/>
                            <w:sz w:val="16"/>
                          </w:rPr>
                          <w:t> </w:t>
                        </w:r>
                        <w:r>
                          <w:rPr>
                            <w:color w:val="231F20"/>
                            <w:w w:val="80"/>
                            <w:sz w:val="16"/>
                          </w:rPr>
                          <w:t>apoyo</w:t>
                        </w:r>
                        <w:r>
                          <w:rPr>
                            <w:color w:val="231F20"/>
                            <w:spacing w:val="-17"/>
                            <w:w w:val="80"/>
                            <w:sz w:val="16"/>
                          </w:rPr>
                          <w:t> </w:t>
                        </w:r>
                        <w:r>
                          <w:rPr>
                            <w:color w:val="231F20"/>
                            <w:w w:val="80"/>
                            <w:sz w:val="16"/>
                          </w:rPr>
                          <w:t>para</w:t>
                        </w:r>
                        <w:r>
                          <w:rPr>
                            <w:color w:val="231F20"/>
                            <w:spacing w:val="-17"/>
                            <w:w w:val="80"/>
                            <w:sz w:val="16"/>
                          </w:rPr>
                          <w:t> </w:t>
                        </w:r>
                        <w:r>
                          <w:rPr>
                            <w:color w:val="231F20"/>
                            <w:w w:val="80"/>
                            <w:sz w:val="16"/>
                          </w:rPr>
                          <w:t>actividades</w:t>
                        </w:r>
                        <w:r>
                          <w:rPr>
                            <w:color w:val="231F20"/>
                            <w:spacing w:val="-17"/>
                            <w:w w:val="80"/>
                            <w:sz w:val="16"/>
                          </w:rPr>
                          <w:t> </w:t>
                        </w:r>
                        <w:r>
                          <w:rPr>
                            <w:color w:val="231F20"/>
                            <w:w w:val="80"/>
                            <w:sz w:val="16"/>
                          </w:rPr>
                          <w:t>económicas</w:t>
                        </w:r>
                        <w:r>
                          <w:rPr>
                            <w:color w:val="231F20"/>
                            <w:spacing w:val="-17"/>
                            <w:w w:val="80"/>
                            <w:sz w:val="16"/>
                          </w:rPr>
                          <w:t> </w:t>
                        </w:r>
                        <w:r>
                          <w:rPr>
                            <w:color w:val="231F20"/>
                            <w:w w:val="80"/>
                            <w:sz w:val="16"/>
                          </w:rPr>
                          <w:t>preponderantes,</w:t>
                        </w:r>
                        <w:r>
                          <w:rPr>
                            <w:color w:val="231F20"/>
                            <w:spacing w:val="-17"/>
                            <w:w w:val="80"/>
                            <w:sz w:val="16"/>
                          </w:rPr>
                          <w:t> </w:t>
                        </w:r>
                        <w:r>
                          <w:rPr>
                            <w:color w:val="231F20"/>
                            <w:w w:val="80"/>
                            <w:sz w:val="16"/>
                          </w:rPr>
                          <w:t>como</w:t>
                        </w:r>
                        <w:r>
                          <w:rPr>
                            <w:color w:val="231F20"/>
                            <w:spacing w:val="-17"/>
                            <w:w w:val="80"/>
                            <w:sz w:val="16"/>
                          </w:rPr>
                          <w:t> </w:t>
                        </w:r>
                        <w:r>
                          <w:rPr>
                            <w:color w:val="231F20"/>
                            <w:w w:val="80"/>
                            <w:sz w:val="16"/>
                          </w:rPr>
                          <w:t>el</w:t>
                        </w:r>
                        <w:r>
                          <w:rPr>
                            <w:color w:val="231F20"/>
                            <w:spacing w:val="-17"/>
                            <w:w w:val="80"/>
                            <w:sz w:val="16"/>
                          </w:rPr>
                          <w:t> </w:t>
                        </w:r>
                        <w:r>
                          <w:rPr>
                            <w:color w:val="231F20"/>
                            <w:w w:val="80"/>
                            <w:sz w:val="16"/>
                          </w:rPr>
                          <w:t>turismo</w:t>
                        </w:r>
                        <w:r>
                          <w:rPr>
                            <w:color w:val="231F20"/>
                            <w:spacing w:val="-17"/>
                            <w:w w:val="80"/>
                            <w:sz w:val="16"/>
                          </w:rPr>
                          <w:t> </w:t>
                        </w:r>
                        <w:r>
                          <w:rPr>
                            <w:color w:val="231F20"/>
                            <w:w w:val="80"/>
                            <w:sz w:val="16"/>
                          </w:rPr>
                          <w:t>y los</w:t>
                        </w:r>
                        <w:r>
                          <w:rPr>
                            <w:color w:val="231F20"/>
                            <w:spacing w:val="-21"/>
                            <w:w w:val="80"/>
                            <w:sz w:val="16"/>
                          </w:rPr>
                          <w:t> </w:t>
                        </w:r>
                        <w:r>
                          <w:rPr>
                            <w:color w:val="231F20"/>
                            <w:w w:val="80"/>
                            <w:sz w:val="16"/>
                          </w:rPr>
                          <w:t>servicios</w:t>
                        </w:r>
                        <w:r>
                          <w:rPr>
                            <w:color w:val="231F20"/>
                            <w:spacing w:val="-21"/>
                            <w:w w:val="80"/>
                            <w:sz w:val="16"/>
                          </w:rPr>
                          <w:t> </w:t>
                        </w:r>
                        <w:r>
                          <w:rPr>
                            <w:color w:val="231F20"/>
                            <w:w w:val="80"/>
                            <w:sz w:val="16"/>
                          </w:rPr>
                          <w:t>que</w:t>
                        </w:r>
                        <w:r>
                          <w:rPr>
                            <w:color w:val="231F20"/>
                            <w:spacing w:val="-21"/>
                            <w:w w:val="80"/>
                            <w:sz w:val="16"/>
                          </w:rPr>
                          <w:t> </w:t>
                        </w:r>
                        <w:r>
                          <w:rPr>
                            <w:color w:val="231F20"/>
                            <w:w w:val="80"/>
                            <w:sz w:val="16"/>
                          </w:rPr>
                          <w:t>se</w:t>
                        </w:r>
                        <w:r>
                          <w:rPr>
                            <w:color w:val="231F20"/>
                            <w:spacing w:val="-21"/>
                            <w:w w:val="80"/>
                            <w:sz w:val="16"/>
                          </w:rPr>
                          <w:t> </w:t>
                        </w:r>
                        <w:r>
                          <w:rPr>
                            <w:color w:val="231F20"/>
                            <w:w w:val="80"/>
                            <w:sz w:val="16"/>
                          </w:rPr>
                          <w:t>requieren</w:t>
                        </w:r>
                        <w:r>
                          <w:rPr>
                            <w:color w:val="231F20"/>
                            <w:spacing w:val="-21"/>
                            <w:w w:val="80"/>
                            <w:sz w:val="16"/>
                          </w:rPr>
                          <w:t> </w:t>
                        </w:r>
                        <w:r>
                          <w:rPr>
                            <w:color w:val="231F20"/>
                            <w:w w:val="80"/>
                            <w:sz w:val="16"/>
                          </w:rPr>
                          <w:t>para</w:t>
                        </w:r>
                        <w:r>
                          <w:rPr>
                            <w:color w:val="231F20"/>
                            <w:spacing w:val="-21"/>
                            <w:w w:val="80"/>
                            <w:sz w:val="16"/>
                          </w:rPr>
                          <w:t> </w:t>
                        </w:r>
                        <w:r>
                          <w:rPr>
                            <w:color w:val="231F20"/>
                            <w:w w:val="80"/>
                            <w:sz w:val="16"/>
                          </w:rPr>
                          <w:t>su</w:t>
                        </w:r>
                        <w:r>
                          <w:rPr>
                            <w:color w:val="231F20"/>
                            <w:spacing w:val="-21"/>
                            <w:w w:val="80"/>
                            <w:sz w:val="16"/>
                          </w:rPr>
                          <w:t> </w:t>
                        </w:r>
                        <w:r>
                          <w:rPr>
                            <w:color w:val="231F20"/>
                            <w:w w:val="80"/>
                            <w:sz w:val="16"/>
                          </w:rPr>
                          <w:t>operación</w:t>
                        </w:r>
                        <w:r>
                          <w:rPr>
                            <w:color w:val="231F20"/>
                            <w:spacing w:val="-21"/>
                            <w:w w:val="80"/>
                            <w:sz w:val="16"/>
                          </w:rPr>
                          <w:t> </w:t>
                        </w:r>
                        <w:r>
                          <w:rPr>
                            <w:color w:val="231F20"/>
                            <w:w w:val="80"/>
                            <w:sz w:val="16"/>
                          </w:rPr>
                          <w:t>(PDM</w:t>
                        </w:r>
                        <w:r>
                          <w:rPr>
                            <w:color w:val="231F20"/>
                            <w:spacing w:val="-21"/>
                            <w:w w:val="80"/>
                            <w:sz w:val="16"/>
                          </w:rPr>
                          <w:t> </w:t>
                        </w:r>
                        <w:r>
                          <w:rPr>
                            <w:color w:val="231F20"/>
                            <w:w w:val="80"/>
                            <w:sz w:val="16"/>
                          </w:rPr>
                          <w:t>2006-2009)</w:t>
                        </w:r>
                      </w:p>
                    </w:tc>
                  </w:tr>
                  <w:tr>
                    <w:trPr>
                      <w:trHeight w:val="514" w:hRule="exact"/>
                    </w:trPr>
                    <w:tc>
                      <w:tcPr>
                        <w:tcW w:w="1651" w:type="dxa"/>
                      </w:tcPr>
                      <w:p>
                        <w:pPr>
                          <w:pStyle w:val="TableParagraph"/>
                          <w:spacing w:line="161" w:lineRule="exact"/>
                          <w:ind w:left="134" w:firstLine="92"/>
                          <w:rPr>
                            <w:sz w:val="16"/>
                          </w:rPr>
                        </w:pPr>
                        <w:r>
                          <w:rPr>
                            <w:color w:val="231F20"/>
                            <w:w w:val="75"/>
                            <w:sz w:val="16"/>
                          </w:rPr>
                          <w:t>Recolección de basura y</w:t>
                        </w:r>
                      </w:p>
                      <w:p>
                        <w:pPr>
                          <w:pStyle w:val="TableParagraph"/>
                          <w:spacing w:line="235" w:lineRule="auto" w:before="1"/>
                          <w:ind w:left="674" w:hanging="541"/>
                          <w:rPr>
                            <w:sz w:val="16"/>
                          </w:rPr>
                        </w:pPr>
                        <w:r>
                          <w:rPr>
                            <w:color w:val="231F20"/>
                            <w:w w:val="75"/>
                            <w:sz w:val="16"/>
                          </w:rPr>
                          <w:t>confinamiento de desechos </w:t>
                        </w:r>
                        <w:r>
                          <w:rPr>
                            <w:color w:val="231F20"/>
                            <w:w w:val="85"/>
                            <w:sz w:val="16"/>
                          </w:rPr>
                          <w:t>100%</w:t>
                        </w:r>
                      </w:p>
                    </w:tc>
                    <w:tc>
                      <w:tcPr>
                        <w:tcW w:w="1535" w:type="dxa"/>
                        <w:gridSpan w:val="2"/>
                      </w:tcPr>
                      <w:p>
                        <w:pPr>
                          <w:pStyle w:val="TableParagraph"/>
                          <w:spacing w:before="10"/>
                          <w:ind w:left="0"/>
                          <w:rPr>
                            <w:rFonts w:ascii="Times New Roman"/>
                            <w:sz w:val="13"/>
                          </w:rPr>
                        </w:pPr>
                      </w:p>
                      <w:p>
                        <w:pPr>
                          <w:pStyle w:val="TableParagraph"/>
                          <w:ind w:left="440"/>
                          <w:rPr>
                            <w:sz w:val="16"/>
                          </w:rPr>
                        </w:pPr>
                        <w:r>
                          <w:rPr>
                            <w:color w:val="231F20"/>
                            <w:w w:val="75"/>
                            <w:sz w:val="16"/>
                          </w:rPr>
                          <w:t>No hay datos</w:t>
                        </w:r>
                      </w:p>
                    </w:tc>
                    <w:tc>
                      <w:tcPr>
                        <w:tcW w:w="4741" w:type="dxa"/>
                      </w:tcPr>
                      <w:p>
                        <w:pPr>
                          <w:pStyle w:val="TableParagraph"/>
                          <w:spacing w:before="10"/>
                          <w:ind w:left="0"/>
                          <w:rPr>
                            <w:rFonts w:ascii="Times New Roman"/>
                            <w:sz w:val="13"/>
                          </w:rPr>
                        </w:pPr>
                      </w:p>
                      <w:p>
                        <w:pPr>
                          <w:pStyle w:val="TableParagraph"/>
                          <w:ind w:left="10" w:right="10"/>
                          <w:jc w:val="center"/>
                          <w:rPr>
                            <w:sz w:val="16"/>
                          </w:rPr>
                        </w:pPr>
                        <w:r>
                          <w:rPr>
                            <w:color w:val="231F20"/>
                            <w:w w:val="80"/>
                            <w:sz w:val="16"/>
                          </w:rPr>
                          <w:t>Se tiene cobertura al 100% (PDM 2006-2009)</w:t>
                        </w:r>
                      </w:p>
                    </w:tc>
                  </w:tr>
                  <w:tr>
                    <w:trPr>
                      <w:trHeight w:val="130" w:hRule="exact"/>
                    </w:trPr>
                    <w:tc>
                      <w:tcPr>
                        <w:tcW w:w="1651" w:type="dxa"/>
                      </w:tcPr>
                      <w:p>
                        <w:pPr>
                          <w:pStyle w:val="TableParagraph"/>
                          <w:spacing w:line="160" w:lineRule="exact"/>
                          <w:ind w:left="153" w:right="153"/>
                          <w:jc w:val="center"/>
                          <w:rPr>
                            <w:sz w:val="16"/>
                          </w:rPr>
                        </w:pPr>
                        <w:r>
                          <w:rPr>
                            <w:color w:val="231F20"/>
                            <w:w w:val="75"/>
                            <w:sz w:val="16"/>
                          </w:rPr>
                          <w:t>Seguridad  pública</w:t>
                        </w:r>
                      </w:p>
                    </w:tc>
                    <w:tc>
                      <w:tcPr>
                        <w:tcW w:w="1535" w:type="dxa"/>
                        <w:gridSpan w:val="2"/>
                      </w:tcPr>
                      <w:p>
                        <w:pPr>
                          <w:pStyle w:val="TableParagraph"/>
                          <w:spacing w:line="160" w:lineRule="exact"/>
                          <w:ind w:left="440"/>
                          <w:rPr>
                            <w:sz w:val="16"/>
                          </w:rPr>
                        </w:pPr>
                        <w:r>
                          <w:rPr>
                            <w:color w:val="231F20"/>
                            <w:w w:val="75"/>
                            <w:sz w:val="16"/>
                          </w:rPr>
                          <w:t>No hay datos</w:t>
                        </w:r>
                      </w:p>
                    </w:tc>
                    <w:tc>
                      <w:tcPr>
                        <w:tcW w:w="4741" w:type="dxa"/>
                      </w:tcPr>
                      <w:p>
                        <w:pPr>
                          <w:pStyle w:val="TableParagraph"/>
                          <w:spacing w:line="160" w:lineRule="exact"/>
                          <w:ind w:left="10" w:right="10"/>
                          <w:jc w:val="center"/>
                          <w:rPr>
                            <w:sz w:val="16"/>
                          </w:rPr>
                        </w:pPr>
                        <w:r>
                          <w:rPr>
                            <w:color w:val="231F20"/>
                            <w:w w:val="80"/>
                            <w:sz w:val="16"/>
                          </w:rPr>
                          <w:t>Se tiene cobertura al 80% (PDM 2006-2009)</w:t>
                        </w:r>
                      </w:p>
                    </w:tc>
                  </w:tr>
                  <w:tr>
                    <w:trPr>
                      <w:trHeight w:val="322" w:hRule="exact"/>
                    </w:trPr>
                    <w:tc>
                      <w:tcPr>
                        <w:tcW w:w="1651" w:type="dxa"/>
                      </w:tcPr>
                      <w:p>
                        <w:pPr>
                          <w:pStyle w:val="TableParagraph"/>
                          <w:spacing w:line="161" w:lineRule="exact"/>
                          <w:ind w:left="153" w:right="153"/>
                          <w:jc w:val="center"/>
                          <w:rPr>
                            <w:sz w:val="16"/>
                          </w:rPr>
                        </w:pPr>
                        <w:r>
                          <w:rPr>
                            <w:color w:val="231F20"/>
                            <w:w w:val="75"/>
                            <w:sz w:val="16"/>
                          </w:rPr>
                          <w:t>Pavimentación,  guarnicio-</w:t>
                        </w:r>
                      </w:p>
                      <w:p>
                        <w:pPr>
                          <w:pStyle w:val="TableParagraph"/>
                          <w:spacing w:line="191" w:lineRule="exact"/>
                          <w:ind w:left="153" w:right="153"/>
                          <w:jc w:val="center"/>
                          <w:rPr>
                            <w:sz w:val="16"/>
                          </w:rPr>
                        </w:pPr>
                        <w:r>
                          <w:rPr>
                            <w:color w:val="231F20"/>
                            <w:w w:val="80"/>
                            <w:sz w:val="16"/>
                          </w:rPr>
                          <w:t>nes y banquetas</w:t>
                        </w:r>
                      </w:p>
                    </w:tc>
                    <w:tc>
                      <w:tcPr>
                        <w:tcW w:w="1535" w:type="dxa"/>
                        <w:gridSpan w:val="2"/>
                      </w:tcPr>
                      <w:p>
                        <w:pPr>
                          <w:pStyle w:val="TableParagraph"/>
                          <w:spacing w:before="63"/>
                          <w:ind w:left="440"/>
                          <w:rPr>
                            <w:sz w:val="16"/>
                          </w:rPr>
                        </w:pPr>
                        <w:r>
                          <w:rPr>
                            <w:color w:val="231F20"/>
                            <w:w w:val="75"/>
                            <w:sz w:val="16"/>
                          </w:rPr>
                          <w:t>No hay datos</w:t>
                        </w:r>
                      </w:p>
                    </w:tc>
                    <w:tc>
                      <w:tcPr>
                        <w:tcW w:w="4741" w:type="dxa"/>
                      </w:tcPr>
                      <w:p>
                        <w:pPr>
                          <w:pStyle w:val="TableParagraph"/>
                          <w:spacing w:line="161" w:lineRule="exact"/>
                          <w:ind w:left="10" w:right="10"/>
                          <w:jc w:val="center"/>
                          <w:rPr>
                            <w:sz w:val="16"/>
                          </w:rPr>
                        </w:pPr>
                        <w:r>
                          <w:rPr>
                            <w:color w:val="231F20"/>
                            <w:w w:val="80"/>
                            <w:sz w:val="16"/>
                          </w:rPr>
                          <w:t>Se tiene cobertura al 75%, anotando que tiene 60 Km de carreteras pavimentadas, en una</w:t>
                        </w:r>
                      </w:p>
                      <w:p>
                        <w:pPr>
                          <w:pStyle w:val="TableParagraph"/>
                          <w:spacing w:line="191" w:lineRule="exact"/>
                          <w:ind w:left="10" w:right="10"/>
                          <w:jc w:val="center"/>
                          <w:rPr>
                            <w:sz w:val="16"/>
                          </w:rPr>
                        </w:pPr>
                        <w:r>
                          <w:rPr>
                            <w:color w:val="231F20"/>
                            <w:w w:val="80"/>
                            <w:sz w:val="16"/>
                          </w:rPr>
                          <w:t>razón de 023 km2 por cada mil habitantes. (PDM 2006-2009)</w:t>
                        </w:r>
                      </w:p>
                    </w:tc>
                  </w:tr>
                  <w:tr>
                    <w:trPr>
                      <w:trHeight w:val="130" w:hRule="exact"/>
                    </w:trPr>
                    <w:tc>
                      <w:tcPr>
                        <w:tcW w:w="1651" w:type="dxa"/>
                      </w:tcPr>
                      <w:p>
                        <w:pPr>
                          <w:pStyle w:val="TableParagraph"/>
                          <w:spacing w:line="160" w:lineRule="exact"/>
                          <w:ind w:left="153" w:right="153"/>
                          <w:jc w:val="center"/>
                          <w:rPr>
                            <w:sz w:val="16"/>
                          </w:rPr>
                        </w:pPr>
                        <w:r>
                          <w:rPr>
                            <w:color w:val="231F20"/>
                            <w:w w:val="80"/>
                            <w:sz w:val="16"/>
                          </w:rPr>
                          <w:t>Alumbrado público 70%</w:t>
                        </w:r>
                      </w:p>
                    </w:tc>
                    <w:tc>
                      <w:tcPr>
                        <w:tcW w:w="1535" w:type="dxa"/>
                        <w:gridSpan w:val="2"/>
                      </w:tcPr>
                      <w:p>
                        <w:pPr>
                          <w:pStyle w:val="TableParagraph"/>
                          <w:spacing w:line="160" w:lineRule="exact"/>
                          <w:ind w:left="440"/>
                          <w:rPr>
                            <w:sz w:val="16"/>
                          </w:rPr>
                        </w:pPr>
                        <w:r>
                          <w:rPr>
                            <w:color w:val="231F20"/>
                            <w:w w:val="75"/>
                            <w:sz w:val="16"/>
                          </w:rPr>
                          <w:t>No hay datos</w:t>
                        </w:r>
                      </w:p>
                    </w:tc>
                    <w:tc>
                      <w:tcPr>
                        <w:tcW w:w="4741" w:type="dxa"/>
                      </w:tcPr>
                      <w:p>
                        <w:pPr>
                          <w:pStyle w:val="TableParagraph"/>
                          <w:spacing w:line="160" w:lineRule="exact"/>
                          <w:ind w:left="10" w:right="10"/>
                          <w:jc w:val="center"/>
                          <w:rPr>
                            <w:sz w:val="16"/>
                          </w:rPr>
                        </w:pPr>
                        <w:r>
                          <w:rPr>
                            <w:color w:val="231F20"/>
                            <w:w w:val="80"/>
                            <w:sz w:val="16"/>
                          </w:rPr>
                          <w:t>Se tiene cobertura al 70% (PDM 2006-2009)</w:t>
                        </w:r>
                      </w:p>
                    </w:tc>
                  </w:tr>
                  <w:tr>
                    <w:trPr>
                      <w:trHeight w:val="141" w:hRule="exact"/>
                    </w:trPr>
                    <w:tc>
                      <w:tcPr>
                        <w:tcW w:w="1651" w:type="dxa"/>
                      </w:tcPr>
                      <w:p>
                        <w:pPr>
                          <w:pStyle w:val="TableParagraph"/>
                          <w:spacing w:line="168" w:lineRule="exact"/>
                          <w:ind w:left="153" w:right="150"/>
                          <w:jc w:val="center"/>
                          <w:rPr>
                            <w:sz w:val="16"/>
                          </w:rPr>
                        </w:pPr>
                        <w:r>
                          <w:rPr>
                            <w:color w:val="231F20"/>
                            <w:w w:val="75"/>
                            <w:sz w:val="16"/>
                          </w:rPr>
                          <w:t>Panteones  100%</w:t>
                        </w:r>
                      </w:p>
                    </w:tc>
                    <w:tc>
                      <w:tcPr>
                        <w:tcW w:w="1535" w:type="dxa"/>
                        <w:gridSpan w:val="2"/>
                      </w:tcPr>
                      <w:p>
                        <w:pPr>
                          <w:pStyle w:val="TableParagraph"/>
                          <w:spacing w:line="168" w:lineRule="exact"/>
                          <w:ind w:left="440"/>
                          <w:rPr>
                            <w:sz w:val="16"/>
                          </w:rPr>
                        </w:pPr>
                        <w:r>
                          <w:rPr>
                            <w:color w:val="231F20"/>
                            <w:w w:val="75"/>
                            <w:sz w:val="16"/>
                          </w:rPr>
                          <w:t>No hay datos</w:t>
                        </w:r>
                      </w:p>
                    </w:tc>
                    <w:tc>
                      <w:tcPr>
                        <w:tcW w:w="4741" w:type="dxa"/>
                      </w:tcPr>
                      <w:p>
                        <w:pPr>
                          <w:pStyle w:val="TableParagraph"/>
                          <w:spacing w:line="168" w:lineRule="exact"/>
                          <w:ind w:left="10" w:right="10"/>
                          <w:jc w:val="center"/>
                          <w:rPr>
                            <w:sz w:val="16"/>
                          </w:rPr>
                        </w:pPr>
                        <w:r>
                          <w:rPr>
                            <w:color w:val="231F20"/>
                            <w:w w:val="80"/>
                            <w:sz w:val="16"/>
                          </w:rPr>
                          <w:t>Se tiene cobertura al 100% (PDM 2006-2009)</w:t>
                        </w:r>
                      </w:p>
                    </w:tc>
                  </w:tr>
                </w:tbl>
                <w:p>
                  <w:pPr>
                    <w:pStyle w:val="BodyText"/>
                  </w:pPr>
                </w:p>
              </w:txbxContent>
            </v:textbox>
            <w10:wrap type="none"/>
          </v:shape>
        </w:pict>
      </w:r>
      <w:r>
        <w:rPr>
          <w:rFonts w:ascii="Calibri"/>
          <w:b/>
          <w:color w:val="231F20"/>
          <w:w w:val="95"/>
          <w:sz w:val="16"/>
        </w:rPr>
        <w:t>Beneficiados</w:t>
      </w:r>
    </w:p>
    <w:p>
      <w:pPr>
        <w:tabs>
          <w:tab w:pos="1036" w:val="left" w:leader="none"/>
        </w:tabs>
        <w:spacing w:line="163" w:lineRule="exact" w:before="0"/>
        <w:ind w:left="0" w:right="3082" w:firstLine="0"/>
        <w:jc w:val="center"/>
        <w:rPr>
          <w:rFonts w:ascii="Calibri"/>
          <w:b/>
          <w:sz w:val="16"/>
        </w:rPr>
      </w:pPr>
      <w:r>
        <w:rPr>
          <w:rFonts w:ascii="Calibri"/>
          <w:b/>
          <w:color w:val="231F20"/>
          <w:w w:val="95"/>
          <w:sz w:val="16"/>
        </w:rPr>
        <w:t>Vivi</w:t>
        <w:tab/>
        <w:t>onas</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
        <w:rPr>
          <w:rFonts w:ascii="Calibri"/>
          <w:b/>
          <w:sz w:val="15"/>
        </w:rPr>
      </w:pPr>
    </w:p>
    <w:p>
      <w:pPr>
        <w:spacing w:line="369" w:lineRule="auto" w:before="74"/>
        <w:ind w:left="814" w:right="-2" w:hanging="426"/>
        <w:jc w:val="left"/>
        <w:rPr>
          <w:rFonts w:ascii="Calibri" w:hAnsi="Calibri"/>
          <w:sz w:val="16"/>
        </w:rPr>
      </w:pPr>
      <w:r>
        <w:rPr>
          <w:rFonts w:ascii="Calibri" w:hAnsi="Calibri"/>
          <w:color w:val="231F20"/>
          <w:sz w:val="16"/>
        </w:rPr>
        <w:t>FUENTE:</w:t>
      </w:r>
      <w:r>
        <w:rPr>
          <w:rFonts w:ascii="Calibri" w:hAnsi="Calibri"/>
          <w:color w:val="231F20"/>
          <w:spacing w:val="-13"/>
          <w:sz w:val="16"/>
        </w:rPr>
        <w:t> </w:t>
      </w:r>
      <w:r>
        <w:rPr>
          <w:rFonts w:ascii="Calibri" w:hAnsi="Calibri"/>
          <w:color w:val="231F20"/>
          <w:sz w:val="16"/>
        </w:rPr>
        <w:t>Instituto</w:t>
      </w:r>
      <w:r>
        <w:rPr>
          <w:rFonts w:ascii="Calibri" w:hAnsi="Calibri"/>
          <w:color w:val="231F20"/>
          <w:spacing w:val="-13"/>
          <w:sz w:val="16"/>
        </w:rPr>
        <w:t> </w:t>
      </w:r>
      <w:r>
        <w:rPr>
          <w:rFonts w:ascii="Calibri" w:hAnsi="Calibri"/>
          <w:color w:val="231F20"/>
          <w:sz w:val="16"/>
        </w:rPr>
        <w:t>de</w:t>
      </w:r>
      <w:r>
        <w:rPr>
          <w:rFonts w:ascii="Calibri" w:hAnsi="Calibri"/>
          <w:color w:val="231F20"/>
          <w:spacing w:val="-13"/>
          <w:sz w:val="16"/>
        </w:rPr>
        <w:t> </w:t>
      </w:r>
      <w:r>
        <w:rPr>
          <w:rFonts w:ascii="Calibri" w:hAnsi="Calibri"/>
          <w:color w:val="231F20"/>
          <w:sz w:val="16"/>
        </w:rPr>
        <w:t>Información</w:t>
      </w:r>
      <w:r>
        <w:rPr>
          <w:rFonts w:ascii="Calibri" w:hAnsi="Calibri"/>
          <w:color w:val="231F20"/>
          <w:spacing w:val="-13"/>
          <w:sz w:val="16"/>
        </w:rPr>
        <w:t> </w:t>
      </w:r>
      <w:r>
        <w:rPr>
          <w:rFonts w:ascii="Calibri" w:hAnsi="Calibri"/>
          <w:color w:val="231F20"/>
          <w:sz w:val="16"/>
        </w:rPr>
        <w:t>e</w:t>
      </w:r>
      <w:r>
        <w:rPr>
          <w:rFonts w:ascii="Calibri" w:hAnsi="Calibri"/>
          <w:color w:val="231F20"/>
          <w:spacing w:val="-13"/>
          <w:sz w:val="16"/>
        </w:rPr>
        <w:t> </w:t>
      </w:r>
      <w:r>
        <w:rPr>
          <w:rFonts w:ascii="Calibri" w:hAnsi="Calibri"/>
          <w:color w:val="231F20"/>
          <w:sz w:val="16"/>
        </w:rPr>
        <w:t>Investigación</w:t>
      </w:r>
      <w:r>
        <w:rPr>
          <w:rFonts w:ascii="Calibri" w:hAnsi="Calibri"/>
          <w:color w:val="231F20"/>
          <w:spacing w:val="-13"/>
          <w:sz w:val="16"/>
        </w:rPr>
        <w:t> </w:t>
      </w:r>
      <w:r>
        <w:rPr>
          <w:rFonts w:ascii="Calibri" w:hAnsi="Calibri"/>
          <w:color w:val="231F20"/>
          <w:sz w:val="16"/>
        </w:rPr>
        <w:t>Geográfica,</w:t>
      </w:r>
      <w:r>
        <w:rPr>
          <w:rFonts w:ascii="Calibri" w:hAnsi="Calibri"/>
          <w:color w:val="231F20"/>
          <w:spacing w:val="-13"/>
          <w:sz w:val="16"/>
        </w:rPr>
        <w:t> </w:t>
      </w:r>
      <w:r>
        <w:rPr>
          <w:rFonts w:ascii="Calibri" w:hAnsi="Calibri"/>
          <w:color w:val="231F20"/>
          <w:sz w:val="16"/>
        </w:rPr>
        <w:t>Estadística</w:t>
      </w:r>
      <w:r>
        <w:rPr>
          <w:rFonts w:ascii="Calibri" w:hAnsi="Calibri"/>
          <w:color w:val="231F20"/>
          <w:spacing w:val="-13"/>
          <w:sz w:val="16"/>
        </w:rPr>
        <w:t> </w:t>
      </w:r>
      <w:r>
        <w:rPr>
          <w:rFonts w:ascii="Calibri" w:hAnsi="Calibri"/>
          <w:color w:val="231F20"/>
          <w:sz w:val="16"/>
        </w:rPr>
        <w:t>y</w:t>
      </w:r>
      <w:r>
        <w:rPr>
          <w:rFonts w:ascii="Calibri" w:hAnsi="Calibri"/>
          <w:color w:val="231F20"/>
          <w:spacing w:val="-13"/>
          <w:sz w:val="16"/>
        </w:rPr>
        <w:t> </w:t>
      </w:r>
      <w:r>
        <w:rPr>
          <w:rFonts w:ascii="Calibri" w:hAnsi="Calibri"/>
          <w:color w:val="231F20"/>
          <w:sz w:val="16"/>
        </w:rPr>
        <w:t>Catastral</w:t>
      </w:r>
      <w:r>
        <w:rPr>
          <w:rFonts w:ascii="Calibri" w:hAnsi="Calibri"/>
          <w:color w:val="231F20"/>
          <w:spacing w:val="-13"/>
          <w:sz w:val="16"/>
        </w:rPr>
        <w:t> </w:t>
      </w:r>
      <w:r>
        <w:rPr>
          <w:rFonts w:ascii="Calibri" w:hAnsi="Calibri"/>
          <w:color w:val="231F20"/>
          <w:sz w:val="16"/>
        </w:rPr>
        <w:t>del</w:t>
      </w:r>
      <w:r>
        <w:rPr>
          <w:rFonts w:ascii="Calibri" w:hAnsi="Calibri"/>
          <w:color w:val="231F20"/>
          <w:spacing w:val="-13"/>
          <w:sz w:val="16"/>
        </w:rPr>
        <w:t> </w:t>
      </w:r>
      <w:r>
        <w:rPr>
          <w:rFonts w:ascii="Calibri" w:hAnsi="Calibri"/>
          <w:color w:val="231F20"/>
          <w:sz w:val="16"/>
        </w:rPr>
        <w:t>Estado</w:t>
      </w:r>
      <w:r>
        <w:rPr>
          <w:rFonts w:ascii="Calibri" w:hAnsi="Calibri"/>
          <w:color w:val="231F20"/>
          <w:spacing w:val="-13"/>
          <w:sz w:val="16"/>
        </w:rPr>
        <w:t> </w:t>
      </w:r>
      <w:r>
        <w:rPr>
          <w:rFonts w:ascii="Calibri" w:hAnsi="Calibri"/>
          <w:color w:val="231F20"/>
          <w:sz w:val="16"/>
        </w:rPr>
        <w:t>de</w:t>
      </w:r>
      <w:r>
        <w:rPr>
          <w:rFonts w:ascii="Calibri" w:hAnsi="Calibri"/>
          <w:color w:val="231F20"/>
          <w:spacing w:val="-13"/>
          <w:sz w:val="16"/>
        </w:rPr>
        <w:t> </w:t>
      </w:r>
      <w:r>
        <w:rPr>
          <w:rFonts w:ascii="Calibri" w:hAnsi="Calibri"/>
          <w:color w:val="231F20"/>
          <w:sz w:val="16"/>
        </w:rPr>
        <w:t>México</w:t>
      </w:r>
      <w:r>
        <w:rPr>
          <w:rFonts w:ascii="Calibri" w:hAnsi="Calibri"/>
          <w:color w:val="231F20"/>
          <w:spacing w:val="-13"/>
          <w:sz w:val="16"/>
        </w:rPr>
        <w:t> </w:t>
      </w:r>
      <w:r>
        <w:rPr>
          <w:rFonts w:ascii="Calibri" w:hAnsi="Calibri"/>
          <w:color w:val="231F20"/>
          <w:sz w:val="16"/>
        </w:rPr>
        <w:t>(IGECEM).</w:t>
      </w:r>
      <w:r>
        <w:rPr>
          <w:rFonts w:ascii="Calibri" w:hAnsi="Calibri"/>
          <w:color w:val="231F20"/>
          <w:spacing w:val="-13"/>
          <w:sz w:val="16"/>
        </w:rPr>
        <w:t> </w:t>
      </w:r>
      <w:r>
        <w:rPr>
          <w:rFonts w:ascii="Calibri" w:hAnsi="Calibri"/>
          <w:color w:val="231F20"/>
          <w:sz w:val="16"/>
        </w:rPr>
        <w:t>Con base</w:t>
      </w:r>
      <w:r>
        <w:rPr>
          <w:rFonts w:ascii="Calibri" w:hAnsi="Calibri"/>
          <w:color w:val="231F20"/>
          <w:spacing w:val="-12"/>
          <w:sz w:val="16"/>
        </w:rPr>
        <w:t> </w:t>
      </w:r>
      <w:r>
        <w:rPr>
          <w:rFonts w:ascii="Calibri" w:hAnsi="Calibri"/>
          <w:color w:val="231F20"/>
          <w:sz w:val="16"/>
        </w:rPr>
        <w:t>en</w:t>
      </w:r>
      <w:r>
        <w:rPr>
          <w:rFonts w:ascii="Calibri" w:hAnsi="Calibri"/>
          <w:color w:val="231F20"/>
          <w:spacing w:val="-12"/>
          <w:sz w:val="16"/>
        </w:rPr>
        <w:t> </w:t>
      </w:r>
      <w:r>
        <w:rPr>
          <w:rFonts w:ascii="Calibri" w:hAnsi="Calibri"/>
          <w:color w:val="231F20"/>
          <w:sz w:val="16"/>
        </w:rPr>
        <w:t>información</w:t>
      </w:r>
      <w:r>
        <w:rPr>
          <w:rFonts w:ascii="Calibri" w:hAnsi="Calibri"/>
          <w:color w:val="231F20"/>
          <w:spacing w:val="-12"/>
          <w:sz w:val="16"/>
        </w:rPr>
        <w:t> </w:t>
      </w:r>
      <w:r>
        <w:rPr>
          <w:rFonts w:ascii="Calibri" w:hAnsi="Calibri"/>
          <w:color w:val="231F20"/>
          <w:sz w:val="16"/>
        </w:rPr>
        <w:t>proporcionada</w:t>
      </w:r>
      <w:r>
        <w:rPr>
          <w:rFonts w:ascii="Calibri" w:hAnsi="Calibri"/>
          <w:color w:val="231F20"/>
          <w:spacing w:val="-12"/>
          <w:sz w:val="16"/>
        </w:rPr>
        <w:t> </w:t>
      </w:r>
      <w:r>
        <w:rPr>
          <w:rFonts w:ascii="Calibri" w:hAnsi="Calibri"/>
          <w:color w:val="231F20"/>
          <w:sz w:val="16"/>
        </w:rPr>
        <w:t>por</w:t>
      </w:r>
      <w:r>
        <w:rPr>
          <w:rFonts w:ascii="Calibri" w:hAnsi="Calibri"/>
          <w:color w:val="231F20"/>
          <w:spacing w:val="-12"/>
          <w:sz w:val="16"/>
        </w:rPr>
        <w:t> </w:t>
      </w:r>
      <w:r>
        <w:rPr>
          <w:rFonts w:ascii="Calibri" w:hAnsi="Calibri"/>
          <w:color w:val="231F20"/>
          <w:sz w:val="16"/>
        </w:rPr>
        <w:t>las</w:t>
      </w:r>
      <w:r>
        <w:rPr>
          <w:rFonts w:ascii="Calibri" w:hAnsi="Calibri"/>
          <w:color w:val="231F20"/>
          <w:spacing w:val="-12"/>
          <w:sz w:val="16"/>
        </w:rPr>
        <w:t> </w:t>
      </w:r>
      <w:r>
        <w:rPr>
          <w:rFonts w:ascii="Calibri" w:hAnsi="Calibri"/>
          <w:color w:val="231F20"/>
          <w:sz w:val="16"/>
        </w:rPr>
        <w:t>Dependencias</w:t>
      </w:r>
      <w:r>
        <w:rPr>
          <w:rFonts w:ascii="Calibri" w:hAnsi="Calibri"/>
          <w:color w:val="231F20"/>
          <w:spacing w:val="-12"/>
          <w:sz w:val="16"/>
        </w:rPr>
        <w:t> </w:t>
      </w:r>
      <w:r>
        <w:rPr>
          <w:rFonts w:ascii="Calibri" w:hAnsi="Calibri"/>
          <w:color w:val="231F20"/>
          <w:sz w:val="16"/>
        </w:rPr>
        <w:t>Federales</w:t>
      </w:r>
      <w:r>
        <w:rPr>
          <w:rFonts w:ascii="Calibri" w:hAnsi="Calibri"/>
          <w:color w:val="231F20"/>
          <w:spacing w:val="-12"/>
          <w:sz w:val="16"/>
        </w:rPr>
        <w:t> </w:t>
      </w:r>
      <w:r>
        <w:rPr>
          <w:rFonts w:ascii="Calibri" w:hAnsi="Calibri"/>
          <w:color w:val="231F20"/>
          <w:sz w:val="16"/>
        </w:rPr>
        <w:t>y</w:t>
      </w:r>
      <w:r>
        <w:rPr>
          <w:rFonts w:ascii="Calibri" w:hAnsi="Calibri"/>
          <w:color w:val="231F20"/>
          <w:spacing w:val="-12"/>
          <w:sz w:val="16"/>
        </w:rPr>
        <w:t> </w:t>
      </w:r>
      <w:r>
        <w:rPr>
          <w:rFonts w:ascii="Calibri" w:hAnsi="Calibri"/>
          <w:color w:val="231F20"/>
          <w:sz w:val="16"/>
        </w:rPr>
        <w:t>Estatales,</w:t>
      </w:r>
      <w:r>
        <w:rPr>
          <w:rFonts w:ascii="Calibri" w:hAnsi="Calibri"/>
          <w:color w:val="231F20"/>
          <w:spacing w:val="-12"/>
          <w:sz w:val="16"/>
        </w:rPr>
        <w:t> </w:t>
      </w:r>
      <w:r>
        <w:rPr>
          <w:rFonts w:ascii="Calibri" w:hAnsi="Calibri"/>
          <w:color w:val="231F20"/>
          <w:sz w:val="16"/>
        </w:rPr>
        <w:t>contenida</w:t>
      </w:r>
      <w:r>
        <w:rPr>
          <w:rFonts w:ascii="Calibri" w:hAnsi="Calibri"/>
          <w:color w:val="231F20"/>
          <w:spacing w:val="-12"/>
          <w:sz w:val="16"/>
        </w:rPr>
        <w:t> </w:t>
      </w:r>
      <w:r>
        <w:rPr>
          <w:rFonts w:ascii="Calibri" w:hAnsi="Calibri"/>
          <w:color w:val="231F20"/>
          <w:sz w:val="16"/>
        </w:rPr>
        <w:t>en</w:t>
      </w:r>
      <w:r>
        <w:rPr>
          <w:rFonts w:ascii="Calibri" w:hAnsi="Calibri"/>
          <w:color w:val="231F20"/>
          <w:spacing w:val="-12"/>
          <w:sz w:val="16"/>
        </w:rPr>
        <w:t> </w:t>
      </w:r>
      <w:r>
        <w:rPr>
          <w:rFonts w:ascii="Calibri" w:hAnsi="Calibri"/>
          <w:color w:val="231F20"/>
          <w:sz w:val="16"/>
        </w:rPr>
        <w:t>el</w:t>
      </w:r>
      <w:r>
        <w:rPr>
          <w:rFonts w:ascii="Calibri" w:hAnsi="Calibri"/>
          <w:color w:val="231F20"/>
          <w:spacing w:val="-12"/>
          <w:sz w:val="16"/>
        </w:rPr>
        <w:t> </w:t>
      </w:r>
      <w:r>
        <w:rPr>
          <w:rFonts w:ascii="Calibri" w:hAnsi="Calibri"/>
          <w:color w:val="231F20"/>
          <w:sz w:val="16"/>
        </w:rPr>
        <w:t>PDM</w:t>
      </w:r>
      <w:r>
        <w:rPr>
          <w:rFonts w:ascii="Calibri" w:hAnsi="Calibri"/>
          <w:color w:val="231F20"/>
          <w:spacing w:val="-12"/>
          <w:sz w:val="16"/>
        </w:rPr>
        <w:t> </w:t>
      </w:r>
      <w:r>
        <w:rPr>
          <w:rFonts w:ascii="Calibri" w:hAnsi="Calibri"/>
          <w:color w:val="231F20"/>
          <w:sz w:val="16"/>
        </w:rPr>
        <w:t>2006-2009.</w:t>
      </w:r>
    </w:p>
    <w:p>
      <w:pPr>
        <w:pStyle w:val="BodyText"/>
        <w:spacing w:before="2"/>
        <w:rPr>
          <w:rFonts w:ascii="Calibri"/>
          <w:sz w:val="20"/>
        </w:rPr>
      </w:pPr>
    </w:p>
    <w:p>
      <w:pPr>
        <w:pStyle w:val="BodyText"/>
        <w:spacing w:line="285" w:lineRule="auto"/>
        <w:ind w:left="110" w:right="108"/>
        <w:jc w:val="both"/>
      </w:pPr>
      <w:r>
        <w:rPr>
          <w:color w:val="231F20"/>
          <w:spacing w:val="2"/>
          <w:w w:val="105"/>
        </w:rPr>
        <w:t>Algunas </w:t>
      </w:r>
      <w:r>
        <w:rPr>
          <w:color w:val="231F20"/>
          <w:w w:val="105"/>
        </w:rPr>
        <w:t>atribuciones conferidas en el artículo </w:t>
      </w:r>
      <w:r>
        <w:rPr>
          <w:color w:val="231F20"/>
          <w:spacing w:val="-4"/>
          <w:w w:val="105"/>
        </w:rPr>
        <w:t>115 </w:t>
      </w:r>
      <w:r>
        <w:rPr>
          <w:color w:val="231F20"/>
          <w:w w:val="105"/>
        </w:rPr>
        <w:t>constitucional no se instrumentan, por</w:t>
      </w:r>
      <w:r>
        <w:rPr>
          <w:color w:val="231F20"/>
          <w:spacing w:val="-8"/>
          <w:w w:val="105"/>
        </w:rPr>
        <w:t> </w:t>
      </w:r>
      <w:r>
        <w:rPr>
          <w:color w:val="231F20"/>
          <w:spacing w:val="-3"/>
          <w:w w:val="105"/>
        </w:rPr>
        <w:t>ejemplo</w:t>
      </w:r>
      <w:r>
        <w:rPr>
          <w:color w:val="231F20"/>
          <w:spacing w:val="-8"/>
          <w:w w:val="105"/>
        </w:rPr>
        <w:t> </w:t>
      </w:r>
      <w:r>
        <w:rPr>
          <w:color w:val="231F20"/>
          <w:w w:val="105"/>
        </w:rPr>
        <w:t>el</w:t>
      </w:r>
      <w:r>
        <w:rPr>
          <w:color w:val="231F20"/>
          <w:spacing w:val="-8"/>
          <w:w w:val="105"/>
        </w:rPr>
        <w:t> </w:t>
      </w:r>
      <w:r>
        <w:rPr>
          <w:color w:val="231F20"/>
          <w:spacing w:val="-4"/>
          <w:w w:val="105"/>
        </w:rPr>
        <w:t>PDM</w:t>
      </w:r>
      <w:r>
        <w:rPr>
          <w:color w:val="231F20"/>
          <w:spacing w:val="-8"/>
          <w:w w:val="105"/>
        </w:rPr>
        <w:t> </w:t>
      </w:r>
      <w:r>
        <w:rPr>
          <w:color w:val="231F20"/>
          <w:w w:val="105"/>
        </w:rPr>
        <w:t>anota</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carece</w:t>
      </w:r>
      <w:r>
        <w:rPr>
          <w:color w:val="231F20"/>
          <w:spacing w:val="-8"/>
          <w:w w:val="105"/>
        </w:rPr>
        <w:t> </w:t>
      </w:r>
      <w:r>
        <w:rPr>
          <w:color w:val="231F20"/>
          <w:w w:val="105"/>
        </w:rPr>
        <w:t>de</w:t>
      </w:r>
      <w:r>
        <w:rPr>
          <w:color w:val="231F20"/>
          <w:spacing w:val="-8"/>
          <w:w w:val="105"/>
        </w:rPr>
        <w:t> </w:t>
      </w:r>
      <w:r>
        <w:rPr>
          <w:color w:val="231F20"/>
          <w:w w:val="105"/>
        </w:rPr>
        <w:t>Rastro</w:t>
      </w:r>
      <w:r>
        <w:rPr>
          <w:color w:val="231F20"/>
          <w:spacing w:val="-8"/>
          <w:w w:val="105"/>
        </w:rPr>
        <w:t> </w:t>
      </w:r>
      <w:r>
        <w:rPr>
          <w:color w:val="231F20"/>
          <w:w w:val="105"/>
        </w:rPr>
        <w:t>por</w:t>
      </w:r>
      <w:r>
        <w:rPr>
          <w:color w:val="231F20"/>
          <w:spacing w:val="-8"/>
          <w:w w:val="105"/>
        </w:rPr>
        <w:t> </w:t>
      </w:r>
      <w:r>
        <w:rPr>
          <w:color w:val="231F20"/>
          <w:w w:val="105"/>
        </w:rPr>
        <w:t>falta</w:t>
      </w:r>
      <w:r>
        <w:rPr>
          <w:color w:val="231F20"/>
          <w:spacing w:val="-8"/>
          <w:w w:val="105"/>
        </w:rPr>
        <w:t> </w:t>
      </w:r>
      <w:r>
        <w:rPr>
          <w:color w:val="231F20"/>
          <w:w w:val="105"/>
        </w:rPr>
        <w:t>de</w:t>
      </w:r>
      <w:r>
        <w:rPr>
          <w:color w:val="231F20"/>
          <w:spacing w:val="-8"/>
          <w:w w:val="105"/>
        </w:rPr>
        <w:t> </w:t>
      </w:r>
      <w:r>
        <w:rPr>
          <w:color w:val="231F20"/>
          <w:w w:val="105"/>
        </w:rPr>
        <w:t>infraestructura.</w:t>
      </w:r>
      <w:r>
        <w:rPr>
          <w:color w:val="231F20"/>
          <w:spacing w:val="-8"/>
          <w:w w:val="105"/>
        </w:rPr>
        <w:t> </w:t>
      </w:r>
      <w:r>
        <w:rPr>
          <w:color w:val="231F20"/>
          <w:w w:val="105"/>
        </w:rPr>
        <w:t>Asimis- mo,</w:t>
      </w:r>
      <w:r>
        <w:rPr>
          <w:color w:val="231F20"/>
          <w:spacing w:val="-10"/>
          <w:w w:val="105"/>
        </w:rPr>
        <w:t> </w:t>
      </w:r>
      <w:r>
        <w:rPr>
          <w:color w:val="231F20"/>
          <w:w w:val="105"/>
        </w:rPr>
        <w:t>carece</w:t>
      </w:r>
      <w:r>
        <w:rPr>
          <w:color w:val="231F20"/>
          <w:spacing w:val="-10"/>
          <w:w w:val="105"/>
        </w:rPr>
        <w:t> </w:t>
      </w:r>
      <w:r>
        <w:rPr>
          <w:color w:val="231F20"/>
          <w:w w:val="105"/>
        </w:rPr>
        <w:t>de</w:t>
      </w:r>
      <w:r>
        <w:rPr>
          <w:color w:val="231F20"/>
          <w:spacing w:val="-10"/>
          <w:w w:val="105"/>
        </w:rPr>
        <w:t> </w:t>
      </w:r>
      <w:r>
        <w:rPr>
          <w:color w:val="231F20"/>
          <w:w w:val="105"/>
        </w:rPr>
        <w:t>parques</w:t>
      </w:r>
      <w:r>
        <w:rPr>
          <w:color w:val="231F20"/>
          <w:spacing w:val="-10"/>
          <w:w w:val="105"/>
        </w:rPr>
        <w:t> </w:t>
      </w:r>
      <w:r>
        <w:rPr>
          <w:color w:val="231F20"/>
          <w:w w:val="105"/>
        </w:rPr>
        <w:t>y</w:t>
      </w:r>
      <w:r>
        <w:rPr>
          <w:color w:val="231F20"/>
          <w:spacing w:val="-10"/>
          <w:w w:val="105"/>
        </w:rPr>
        <w:t> </w:t>
      </w:r>
      <w:r>
        <w:rPr>
          <w:color w:val="231F20"/>
          <w:w w:val="105"/>
        </w:rPr>
        <w:t>jardines,</w:t>
      </w:r>
      <w:r>
        <w:rPr>
          <w:color w:val="231F20"/>
          <w:spacing w:val="-10"/>
          <w:w w:val="105"/>
        </w:rPr>
        <w:t> </w:t>
      </w:r>
      <w:r>
        <w:rPr>
          <w:color w:val="231F20"/>
          <w:w w:val="105"/>
        </w:rPr>
        <w:t>salvo</w:t>
      </w:r>
      <w:r>
        <w:rPr>
          <w:color w:val="231F20"/>
          <w:spacing w:val="-10"/>
          <w:w w:val="105"/>
        </w:rPr>
        <w:t> </w:t>
      </w:r>
      <w:r>
        <w:rPr>
          <w:color w:val="231F20"/>
          <w:w w:val="105"/>
        </w:rPr>
        <w:t>el</w:t>
      </w:r>
      <w:r>
        <w:rPr>
          <w:color w:val="231F20"/>
          <w:spacing w:val="-10"/>
          <w:w w:val="105"/>
        </w:rPr>
        <w:t> </w:t>
      </w:r>
      <w:r>
        <w:rPr>
          <w:color w:val="231F20"/>
          <w:w w:val="105"/>
        </w:rPr>
        <w:t>mobiliario</w:t>
      </w:r>
      <w:r>
        <w:rPr>
          <w:color w:val="231F20"/>
          <w:spacing w:val="-10"/>
          <w:w w:val="105"/>
        </w:rPr>
        <w:t> </w:t>
      </w:r>
      <w:r>
        <w:rPr>
          <w:color w:val="231F20"/>
          <w:w w:val="105"/>
        </w:rPr>
        <w:t>(jardineras,</w:t>
      </w:r>
      <w:r>
        <w:rPr>
          <w:color w:val="231F20"/>
          <w:spacing w:val="-10"/>
          <w:w w:val="105"/>
        </w:rPr>
        <w:t> </w:t>
      </w:r>
      <w:r>
        <w:rPr>
          <w:color w:val="231F20"/>
          <w:w w:val="105"/>
        </w:rPr>
        <w:t>setos,</w:t>
      </w:r>
      <w:r>
        <w:rPr>
          <w:color w:val="231F20"/>
          <w:spacing w:val="-10"/>
          <w:w w:val="105"/>
        </w:rPr>
        <w:t> </w:t>
      </w:r>
      <w:r>
        <w:rPr>
          <w:color w:val="231F20"/>
          <w:w w:val="105"/>
        </w:rPr>
        <w:t>entre</w:t>
      </w:r>
      <w:r>
        <w:rPr>
          <w:color w:val="231F20"/>
          <w:spacing w:val="-10"/>
          <w:w w:val="105"/>
        </w:rPr>
        <w:t> </w:t>
      </w:r>
      <w:r>
        <w:rPr>
          <w:color w:val="231F20"/>
          <w:w w:val="105"/>
        </w:rPr>
        <w:t>otras)</w:t>
      </w:r>
      <w:r>
        <w:rPr>
          <w:color w:val="231F20"/>
          <w:spacing w:val="-10"/>
          <w:w w:val="105"/>
        </w:rPr>
        <w:t> </w:t>
      </w:r>
      <w:r>
        <w:rPr>
          <w:color w:val="231F20"/>
          <w:w w:val="105"/>
        </w:rPr>
        <w:t>que atiende como parte de su actividad cotidiana el personal adscrito </w:t>
      </w:r>
      <w:r>
        <w:rPr>
          <w:color w:val="231F20"/>
          <w:spacing w:val="2"/>
          <w:w w:val="105"/>
        </w:rPr>
        <w:t>al </w:t>
      </w:r>
      <w:r>
        <w:rPr>
          <w:color w:val="231F20"/>
          <w:w w:val="105"/>
        </w:rPr>
        <w:t>área de Servicios Generales.</w:t>
      </w:r>
      <w:r>
        <w:rPr>
          <w:color w:val="231F20"/>
          <w:spacing w:val="-19"/>
          <w:w w:val="105"/>
        </w:rPr>
        <w:t> </w:t>
      </w:r>
      <w:r>
        <w:rPr>
          <w:color w:val="231F20"/>
          <w:spacing w:val="-3"/>
          <w:w w:val="105"/>
        </w:rPr>
        <w:t>Por</w:t>
      </w:r>
      <w:r>
        <w:rPr>
          <w:color w:val="231F20"/>
          <w:spacing w:val="-19"/>
          <w:w w:val="105"/>
        </w:rPr>
        <w:t> </w:t>
      </w:r>
      <w:r>
        <w:rPr>
          <w:color w:val="231F20"/>
          <w:w w:val="105"/>
        </w:rPr>
        <w:t>lo</w:t>
      </w:r>
      <w:r>
        <w:rPr>
          <w:color w:val="231F20"/>
          <w:spacing w:val="-19"/>
          <w:w w:val="105"/>
        </w:rPr>
        <w:t> </w:t>
      </w:r>
      <w:r>
        <w:rPr>
          <w:color w:val="231F20"/>
          <w:w w:val="105"/>
        </w:rPr>
        <w:t>demás,</w:t>
      </w:r>
      <w:r>
        <w:rPr>
          <w:color w:val="231F20"/>
          <w:spacing w:val="-19"/>
          <w:w w:val="105"/>
        </w:rPr>
        <w:t> </w:t>
      </w:r>
      <w:r>
        <w:rPr>
          <w:color w:val="231F20"/>
          <w:w w:val="105"/>
        </w:rPr>
        <w:t>los</w:t>
      </w:r>
      <w:r>
        <w:rPr>
          <w:color w:val="231F20"/>
          <w:spacing w:val="-19"/>
          <w:w w:val="105"/>
        </w:rPr>
        <w:t> </w:t>
      </w:r>
      <w:r>
        <w:rPr>
          <w:color w:val="231F20"/>
          <w:w w:val="105"/>
        </w:rPr>
        <w:t>servicios</w:t>
      </w:r>
      <w:r>
        <w:rPr>
          <w:color w:val="231F20"/>
          <w:spacing w:val="-19"/>
          <w:w w:val="105"/>
        </w:rPr>
        <w:t> </w:t>
      </w:r>
      <w:r>
        <w:rPr>
          <w:color w:val="231F20"/>
          <w:w w:val="105"/>
        </w:rPr>
        <w:t>públicos</w:t>
      </w:r>
      <w:r>
        <w:rPr>
          <w:color w:val="231F20"/>
          <w:spacing w:val="-19"/>
          <w:w w:val="105"/>
        </w:rPr>
        <w:t> </w:t>
      </w:r>
      <w:r>
        <w:rPr>
          <w:color w:val="231F20"/>
          <w:w w:val="105"/>
        </w:rPr>
        <w:t>por</w:t>
      </w:r>
      <w:r>
        <w:rPr>
          <w:color w:val="231F20"/>
          <w:spacing w:val="-19"/>
          <w:w w:val="105"/>
        </w:rPr>
        <w:t> </w:t>
      </w:r>
      <w:r>
        <w:rPr>
          <w:color w:val="231F20"/>
          <w:w w:val="105"/>
        </w:rPr>
        <w:t>atender</w:t>
      </w:r>
      <w:r>
        <w:rPr>
          <w:color w:val="231F20"/>
          <w:spacing w:val="-19"/>
          <w:w w:val="105"/>
        </w:rPr>
        <w:t> </w:t>
      </w:r>
      <w:r>
        <w:rPr>
          <w:color w:val="231F20"/>
          <w:w w:val="105"/>
        </w:rPr>
        <w:t>que</w:t>
      </w:r>
      <w:r>
        <w:rPr>
          <w:color w:val="231F20"/>
          <w:spacing w:val="-19"/>
          <w:w w:val="105"/>
        </w:rPr>
        <w:t> </w:t>
      </w:r>
      <w:r>
        <w:rPr>
          <w:color w:val="231F20"/>
          <w:w w:val="105"/>
        </w:rPr>
        <w:t>marca</w:t>
      </w:r>
      <w:r>
        <w:rPr>
          <w:color w:val="231F20"/>
          <w:spacing w:val="-19"/>
          <w:w w:val="105"/>
        </w:rPr>
        <w:t> </w:t>
      </w:r>
      <w:r>
        <w:rPr>
          <w:color w:val="231F20"/>
          <w:w w:val="105"/>
        </w:rPr>
        <w:t>el</w:t>
      </w:r>
      <w:r>
        <w:rPr>
          <w:color w:val="231F20"/>
          <w:spacing w:val="-19"/>
          <w:w w:val="105"/>
        </w:rPr>
        <w:t> </w:t>
      </w:r>
      <w:r>
        <w:rPr>
          <w:color w:val="231F20"/>
          <w:w w:val="105"/>
        </w:rPr>
        <w:t>Bando</w:t>
      </w:r>
      <w:r>
        <w:rPr>
          <w:color w:val="231F20"/>
          <w:spacing w:val="-19"/>
          <w:w w:val="105"/>
        </w:rPr>
        <w:t> </w:t>
      </w:r>
      <w:r>
        <w:rPr>
          <w:color w:val="231F20"/>
          <w:w w:val="105"/>
        </w:rPr>
        <w:t>si</w:t>
      </w:r>
      <w:r>
        <w:rPr>
          <w:color w:val="231F20"/>
          <w:spacing w:val="-19"/>
          <w:w w:val="105"/>
        </w:rPr>
        <w:t> </w:t>
      </w:r>
      <w:r>
        <w:rPr>
          <w:color w:val="231F20"/>
          <w:w w:val="105"/>
        </w:rPr>
        <w:t>tienen cabida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propuesta</w:t>
      </w:r>
      <w:r>
        <w:rPr>
          <w:color w:val="231F20"/>
          <w:spacing w:val="-12"/>
          <w:w w:val="105"/>
        </w:rPr>
        <w:t> </w:t>
      </w:r>
      <w:r>
        <w:rPr>
          <w:color w:val="231F20"/>
          <w:w w:val="105"/>
        </w:rPr>
        <w:t>rectora</w:t>
      </w:r>
      <w:r>
        <w:rPr>
          <w:color w:val="231F20"/>
          <w:spacing w:val="-12"/>
          <w:w w:val="105"/>
        </w:rPr>
        <w:t> </w:t>
      </w:r>
      <w:r>
        <w:rPr>
          <w:color w:val="231F20"/>
          <w:w w:val="105"/>
        </w:rPr>
        <w:t>del</w:t>
      </w:r>
      <w:r>
        <w:rPr>
          <w:color w:val="231F20"/>
          <w:spacing w:val="-12"/>
          <w:w w:val="105"/>
        </w:rPr>
        <w:t> </w:t>
      </w:r>
      <w:r>
        <w:rPr>
          <w:color w:val="231F20"/>
          <w:w w:val="105"/>
        </w:rPr>
        <w:t>ejercicio</w:t>
      </w:r>
      <w:r>
        <w:rPr>
          <w:color w:val="231F20"/>
          <w:spacing w:val="-12"/>
          <w:w w:val="105"/>
        </w:rPr>
        <w:t> </w:t>
      </w:r>
      <w:r>
        <w:rPr>
          <w:color w:val="231F20"/>
          <w:w w:val="105"/>
        </w:rPr>
        <w:t>administrativo</w:t>
      </w:r>
      <w:r>
        <w:rPr>
          <w:color w:val="231F20"/>
          <w:spacing w:val="-12"/>
          <w:w w:val="105"/>
        </w:rPr>
        <w:t> </w:t>
      </w:r>
      <w:r>
        <w:rPr>
          <w:color w:val="231F20"/>
          <w:w w:val="105"/>
        </w:rPr>
        <w:t>del</w:t>
      </w:r>
      <w:r>
        <w:rPr>
          <w:color w:val="231F20"/>
          <w:spacing w:val="-12"/>
          <w:w w:val="105"/>
        </w:rPr>
        <w:t> </w:t>
      </w:r>
      <w:r>
        <w:rPr>
          <w:color w:val="231F20"/>
          <w:w w:val="105"/>
        </w:rPr>
        <w:t>ayuntamiento.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8"/>
          <w:w w:val="105"/>
        </w:rPr>
        <w:t> </w:t>
      </w:r>
      <w:r>
        <w:rPr>
          <w:color w:val="231F20"/>
          <w:w w:val="105"/>
        </w:rPr>
        <w:t>cuanto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pobreza,</w:t>
      </w:r>
      <w:r>
        <w:rPr>
          <w:color w:val="231F20"/>
          <w:spacing w:val="-18"/>
          <w:w w:val="105"/>
        </w:rPr>
        <w:t> </w:t>
      </w:r>
      <w:r>
        <w:rPr>
          <w:color w:val="231F20"/>
          <w:w w:val="105"/>
        </w:rPr>
        <w:t>misma</w:t>
      </w:r>
      <w:r>
        <w:rPr>
          <w:color w:val="231F20"/>
          <w:spacing w:val="-18"/>
          <w:w w:val="105"/>
        </w:rPr>
        <w:t> </w:t>
      </w:r>
      <w:r>
        <w:rPr>
          <w:color w:val="231F20"/>
          <w:w w:val="105"/>
        </w:rPr>
        <w:t>que</w:t>
      </w:r>
      <w:r>
        <w:rPr>
          <w:color w:val="231F20"/>
          <w:spacing w:val="-18"/>
          <w:w w:val="105"/>
        </w:rPr>
        <w:t> </w:t>
      </w:r>
      <w:r>
        <w:rPr>
          <w:color w:val="231F20"/>
          <w:w w:val="105"/>
        </w:rPr>
        <w:t>no</w:t>
      </w:r>
      <w:r>
        <w:rPr>
          <w:color w:val="231F20"/>
          <w:spacing w:val="-18"/>
          <w:w w:val="105"/>
        </w:rPr>
        <w:t> </w:t>
      </w:r>
      <w:r>
        <w:rPr>
          <w:color w:val="231F20"/>
          <w:w w:val="105"/>
        </w:rPr>
        <w:t>es</w:t>
      </w:r>
      <w:r>
        <w:rPr>
          <w:color w:val="231F20"/>
          <w:spacing w:val="-18"/>
          <w:w w:val="105"/>
        </w:rPr>
        <w:t> </w:t>
      </w:r>
      <w:r>
        <w:rPr>
          <w:color w:val="231F20"/>
          <w:w w:val="105"/>
        </w:rPr>
        <w:t>referida</w:t>
      </w:r>
      <w:r>
        <w:rPr>
          <w:color w:val="231F20"/>
          <w:spacing w:val="-18"/>
          <w:w w:val="105"/>
        </w:rPr>
        <w:t> </w:t>
      </w:r>
      <w:r>
        <w:rPr>
          <w:color w:val="231F20"/>
          <w:w w:val="105"/>
        </w:rPr>
        <w:t>de</w:t>
      </w:r>
      <w:r>
        <w:rPr>
          <w:color w:val="231F20"/>
          <w:spacing w:val="-18"/>
          <w:w w:val="105"/>
        </w:rPr>
        <w:t> </w:t>
      </w:r>
      <w:r>
        <w:rPr>
          <w:color w:val="231F20"/>
          <w:w w:val="105"/>
        </w:rPr>
        <w:t>forma</w:t>
      </w:r>
      <w:r>
        <w:rPr>
          <w:color w:val="231F20"/>
          <w:spacing w:val="-18"/>
          <w:w w:val="105"/>
        </w:rPr>
        <w:t> </w:t>
      </w:r>
      <w:r>
        <w:rPr>
          <w:color w:val="231F20"/>
          <w:w w:val="105"/>
        </w:rPr>
        <w:t>directa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PDM,</w:t>
      </w:r>
      <w:r>
        <w:rPr>
          <w:color w:val="231F20"/>
          <w:spacing w:val="-18"/>
          <w:w w:val="105"/>
        </w:rPr>
        <w:t> </w:t>
      </w:r>
      <w:r>
        <w:rPr>
          <w:color w:val="231F20"/>
          <w:w w:val="105"/>
        </w:rPr>
        <w:t>el</w:t>
      </w:r>
      <w:r>
        <w:rPr>
          <w:color w:val="231F20"/>
          <w:spacing w:val="-18"/>
          <w:w w:val="105"/>
        </w:rPr>
        <w:t> </w:t>
      </w:r>
      <w:r>
        <w:rPr>
          <w:color w:val="231F20"/>
          <w:w w:val="105"/>
        </w:rPr>
        <w:t>número de</w:t>
      </w:r>
      <w:r>
        <w:rPr>
          <w:color w:val="231F20"/>
          <w:spacing w:val="-5"/>
          <w:w w:val="105"/>
        </w:rPr>
        <w:t> </w:t>
      </w:r>
      <w:r>
        <w:rPr>
          <w:color w:val="231F20"/>
          <w:w w:val="105"/>
        </w:rPr>
        <w:t>pobres</w:t>
      </w:r>
      <w:r>
        <w:rPr>
          <w:color w:val="231F20"/>
          <w:spacing w:val="-5"/>
          <w:w w:val="105"/>
        </w:rPr>
        <w:t> </w:t>
      </w:r>
      <w:r>
        <w:rPr>
          <w:color w:val="231F20"/>
          <w:w w:val="105"/>
        </w:rPr>
        <w:t>en</w:t>
      </w:r>
      <w:r>
        <w:rPr>
          <w:color w:val="231F20"/>
          <w:spacing w:val="-5"/>
          <w:w w:val="105"/>
        </w:rPr>
        <w:t> </w:t>
      </w:r>
      <w:r>
        <w:rPr>
          <w:color w:val="231F20"/>
          <w:spacing w:val="3"/>
          <w:w w:val="105"/>
        </w:rPr>
        <w:t>2005</w:t>
      </w:r>
      <w:r>
        <w:rPr>
          <w:color w:val="231F20"/>
          <w:spacing w:val="-5"/>
          <w:w w:val="105"/>
        </w:rPr>
        <w:t> </w:t>
      </w:r>
      <w:r>
        <w:rPr>
          <w:color w:val="231F20"/>
          <w:w w:val="105"/>
        </w:rPr>
        <w:t>fue</w:t>
      </w:r>
      <w:r>
        <w:rPr>
          <w:color w:val="231F20"/>
          <w:spacing w:val="-5"/>
          <w:w w:val="105"/>
        </w:rPr>
        <w:t> </w:t>
      </w:r>
      <w:r>
        <w:rPr>
          <w:color w:val="231F20"/>
          <w:w w:val="105"/>
        </w:rPr>
        <w:t>de</w:t>
      </w:r>
      <w:r>
        <w:rPr>
          <w:color w:val="231F20"/>
          <w:spacing w:val="-5"/>
          <w:w w:val="105"/>
        </w:rPr>
        <w:t> </w:t>
      </w:r>
      <w:r>
        <w:rPr>
          <w:color w:val="231F20"/>
          <w:w w:val="105"/>
        </w:rPr>
        <w:t>4,443</w:t>
      </w:r>
      <w:r>
        <w:rPr>
          <w:color w:val="231F20"/>
          <w:spacing w:val="-5"/>
          <w:w w:val="105"/>
        </w:rPr>
        <w:t> </w:t>
      </w:r>
      <w:r>
        <w:rPr>
          <w:color w:val="231F20"/>
          <w:w w:val="105"/>
        </w:rPr>
        <w:t>hogares</w:t>
      </w:r>
      <w:r>
        <w:rPr>
          <w:color w:val="231F20"/>
          <w:spacing w:val="-5"/>
          <w:w w:val="105"/>
        </w:rPr>
        <w:t> </w:t>
      </w:r>
      <w:r>
        <w:rPr>
          <w:color w:val="231F20"/>
          <w:w w:val="105"/>
        </w:rPr>
        <w:t>que</w:t>
      </w:r>
      <w:r>
        <w:rPr>
          <w:color w:val="231F20"/>
          <w:spacing w:val="-5"/>
          <w:w w:val="105"/>
        </w:rPr>
        <w:t> </w:t>
      </w:r>
      <w:r>
        <w:rPr>
          <w:color w:val="231F20"/>
          <w:w w:val="105"/>
        </w:rPr>
        <w:t>suman</w:t>
      </w:r>
      <w:r>
        <w:rPr>
          <w:color w:val="231F20"/>
          <w:spacing w:val="-5"/>
          <w:w w:val="105"/>
        </w:rPr>
        <w:t> </w:t>
      </w:r>
      <w:r>
        <w:rPr>
          <w:color w:val="231F20"/>
          <w:w w:val="105"/>
        </w:rPr>
        <w:t>19,343</w:t>
      </w:r>
      <w:r>
        <w:rPr>
          <w:color w:val="231F20"/>
          <w:spacing w:val="-5"/>
          <w:w w:val="105"/>
        </w:rPr>
        <w:t> </w:t>
      </w:r>
      <w:r>
        <w:rPr>
          <w:color w:val="231F20"/>
          <w:w w:val="105"/>
        </w:rPr>
        <w:t>personas,</w:t>
      </w:r>
      <w:r>
        <w:rPr>
          <w:color w:val="231F20"/>
          <w:spacing w:val="-5"/>
          <w:w w:val="105"/>
        </w:rPr>
        <w:t> </w:t>
      </w:r>
      <w:r>
        <w:rPr>
          <w:color w:val="231F20"/>
          <w:w w:val="105"/>
        </w:rPr>
        <w:t>en</w:t>
      </w:r>
      <w:r>
        <w:rPr>
          <w:color w:val="231F20"/>
          <w:spacing w:val="-5"/>
          <w:w w:val="105"/>
        </w:rPr>
        <w:t> </w:t>
      </w:r>
      <w:r>
        <w:rPr>
          <w:color w:val="231F20"/>
          <w:w w:val="105"/>
        </w:rPr>
        <w:t>contrapartida, los</w:t>
      </w:r>
      <w:r>
        <w:rPr>
          <w:color w:val="231F20"/>
          <w:spacing w:val="-24"/>
          <w:w w:val="105"/>
        </w:rPr>
        <w:t> </w:t>
      </w:r>
      <w:r>
        <w:rPr>
          <w:color w:val="231F20"/>
          <w:w w:val="105"/>
        </w:rPr>
        <w:t>no</w:t>
      </w:r>
      <w:r>
        <w:rPr>
          <w:color w:val="231F20"/>
          <w:spacing w:val="-23"/>
          <w:w w:val="105"/>
        </w:rPr>
        <w:t> </w:t>
      </w:r>
      <w:r>
        <w:rPr>
          <w:color w:val="231F20"/>
          <w:w w:val="105"/>
        </w:rPr>
        <w:t>pobres</w:t>
      </w:r>
      <w:r>
        <w:rPr>
          <w:color w:val="231F20"/>
          <w:spacing w:val="-23"/>
          <w:w w:val="105"/>
        </w:rPr>
        <w:t> </w:t>
      </w:r>
      <w:r>
        <w:rPr>
          <w:color w:val="231F20"/>
          <w:w w:val="105"/>
        </w:rPr>
        <w:t>pero</w:t>
      </w:r>
      <w:r>
        <w:rPr>
          <w:color w:val="231F20"/>
          <w:spacing w:val="-23"/>
          <w:w w:val="105"/>
        </w:rPr>
        <w:t> </w:t>
      </w:r>
      <w:r>
        <w:rPr>
          <w:color w:val="231F20"/>
          <w:w w:val="105"/>
        </w:rPr>
        <w:t>que</w:t>
      </w:r>
      <w:r>
        <w:rPr>
          <w:color w:val="231F20"/>
          <w:spacing w:val="-24"/>
          <w:w w:val="105"/>
        </w:rPr>
        <w:t> </w:t>
      </w:r>
      <w:r>
        <w:rPr>
          <w:color w:val="231F20"/>
          <w:w w:val="105"/>
        </w:rPr>
        <w:t>tienen</w:t>
      </w:r>
      <w:r>
        <w:rPr>
          <w:color w:val="231F20"/>
          <w:spacing w:val="-24"/>
          <w:w w:val="105"/>
        </w:rPr>
        <w:t> </w:t>
      </w:r>
      <w:r>
        <w:rPr>
          <w:color w:val="231F20"/>
          <w:w w:val="105"/>
        </w:rPr>
        <w:t>necesidades</w:t>
      </w:r>
      <w:r>
        <w:rPr>
          <w:color w:val="231F20"/>
          <w:spacing w:val="-24"/>
          <w:w w:val="105"/>
        </w:rPr>
        <w:t> </w:t>
      </w:r>
      <w:r>
        <w:rPr>
          <w:color w:val="231F20"/>
          <w:w w:val="105"/>
        </w:rPr>
        <w:t>básicas</w:t>
      </w:r>
      <w:r>
        <w:rPr>
          <w:color w:val="231F20"/>
          <w:spacing w:val="-24"/>
          <w:w w:val="105"/>
        </w:rPr>
        <w:t> </w:t>
      </w:r>
      <w:r>
        <w:rPr>
          <w:color w:val="231F20"/>
          <w:w w:val="105"/>
        </w:rPr>
        <w:t>insatisfechas,</w:t>
      </w:r>
      <w:r>
        <w:rPr>
          <w:color w:val="231F20"/>
          <w:spacing w:val="-24"/>
          <w:w w:val="105"/>
        </w:rPr>
        <w:t> </w:t>
      </w:r>
      <w:r>
        <w:rPr>
          <w:color w:val="231F20"/>
          <w:w w:val="105"/>
        </w:rPr>
        <w:t>las</w:t>
      </w:r>
      <w:r>
        <w:rPr>
          <w:color w:val="231F20"/>
          <w:spacing w:val="-24"/>
          <w:w w:val="105"/>
        </w:rPr>
        <w:t> </w:t>
      </w:r>
      <w:r>
        <w:rPr>
          <w:color w:val="231F20"/>
          <w:w w:val="105"/>
        </w:rPr>
        <w:t>cuales</w:t>
      </w:r>
      <w:r>
        <w:rPr>
          <w:color w:val="231F20"/>
          <w:spacing w:val="-24"/>
          <w:w w:val="105"/>
        </w:rPr>
        <w:t> </w:t>
      </w:r>
      <w:r>
        <w:rPr>
          <w:color w:val="231F20"/>
          <w:w w:val="105"/>
        </w:rPr>
        <w:t>se</w:t>
      </w:r>
      <w:r>
        <w:rPr>
          <w:color w:val="231F20"/>
          <w:spacing w:val="-24"/>
          <w:w w:val="105"/>
        </w:rPr>
        <w:t> </w:t>
      </w:r>
      <w:r>
        <w:rPr>
          <w:color w:val="231F20"/>
          <w:w w:val="105"/>
        </w:rPr>
        <w:t>aprecian</w:t>
      </w:r>
      <w:r>
        <w:rPr>
          <w:color w:val="231F20"/>
          <w:spacing w:val="-24"/>
          <w:w w:val="105"/>
        </w:rPr>
        <w:t> </w:t>
      </w:r>
      <w:r>
        <w:rPr>
          <w:color w:val="231F20"/>
          <w:w w:val="105"/>
        </w:rPr>
        <w:t>en el</w:t>
      </w:r>
      <w:r>
        <w:rPr>
          <w:color w:val="231F20"/>
          <w:spacing w:val="-22"/>
          <w:w w:val="105"/>
        </w:rPr>
        <w:t> </w:t>
      </w:r>
      <w:r>
        <w:rPr>
          <w:color w:val="231F20"/>
          <w:w w:val="105"/>
        </w:rPr>
        <w:t>cuadro</w:t>
      </w:r>
      <w:r>
        <w:rPr>
          <w:color w:val="231F20"/>
          <w:spacing w:val="-22"/>
          <w:w w:val="105"/>
        </w:rPr>
        <w:t> </w:t>
      </w:r>
      <w:r>
        <w:rPr>
          <w:color w:val="231F20"/>
          <w:spacing w:val="2"/>
          <w:w w:val="105"/>
        </w:rPr>
        <w:t>2,</w:t>
      </w:r>
      <w:r>
        <w:rPr>
          <w:color w:val="231F20"/>
          <w:spacing w:val="-22"/>
          <w:w w:val="105"/>
        </w:rPr>
        <w:t> </w:t>
      </w:r>
      <w:r>
        <w:rPr>
          <w:color w:val="231F20"/>
          <w:w w:val="105"/>
        </w:rPr>
        <w:t>es</w:t>
      </w:r>
      <w:r>
        <w:rPr>
          <w:color w:val="231F20"/>
          <w:spacing w:val="-22"/>
          <w:w w:val="105"/>
        </w:rPr>
        <w:t> </w:t>
      </w:r>
      <w:r>
        <w:rPr>
          <w:color w:val="231F20"/>
          <w:w w:val="105"/>
        </w:rPr>
        <w:t>de</w:t>
      </w:r>
      <w:r>
        <w:rPr>
          <w:color w:val="231F20"/>
          <w:spacing w:val="-22"/>
          <w:w w:val="105"/>
        </w:rPr>
        <w:t> </w:t>
      </w:r>
      <w:r>
        <w:rPr>
          <w:color w:val="231F20"/>
          <w:w w:val="105"/>
        </w:rPr>
        <w:t>12,031</w:t>
      </w:r>
      <w:r>
        <w:rPr>
          <w:color w:val="231F20"/>
          <w:spacing w:val="-22"/>
          <w:w w:val="105"/>
        </w:rPr>
        <w:t> </w:t>
      </w:r>
      <w:r>
        <w:rPr>
          <w:color w:val="231F20"/>
          <w:w w:val="105"/>
        </w:rPr>
        <w:t>hogares</w:t>
      </w:r>
      <w:r>
        <w:rPr>
          <w:color w:val="231F20"/>
          <w:spacing w:val="-22"/>
          <w:w w:val="105"/>
        </w:rPr>
        <w:t> </w:t>
      </w:r>
      <w:r>
        <w:rPr>
          <w:color w:val="231F20"/>
          <w:w w:val="105"/>
        </w:rPr>
        <w:t>que</w:t>
      </w:r>
      <w:r>
        <w:rPr>
          <w:color w:val="231F20"/>
          <w:spacing w:val="-22"/>
          <w:w w:val="105"/>
        </w:rPr>
        <w:t> </w:t>
      </w:r>
      <w:r>
        <w:rPr>
          <w:color w:val="231F20"/>
          <w:w w:val="105"/>
        </w:rPr>
        <w:t>contemplan</w:t>
      </w:r>
      <w:r>
        <w:rPr>
          <w:color w:val="231F20"/>
          <w:spacing w:val="-22"/>
          <w:w w:val="105"/>
        </w:rPr>
        <w:t> </w:t>
      </w:r>
      <w:r>
        <w:rPr>
          <w:color w:val="231F20"/>
          <w:w w:val="105"/>
        </w:rPr>
        <w:t>a</w:t>
      </w:r>
      <w:r>
        <w:rPr>
          <w:color w:val="231F20"/>
          <w:spacing w:val="-22"/>
          <w:w w:val="105"/>
        </w:rPr>
        <w:t> </w:t>
      </w:r>
      <w:r>
        <w:rPr>
          <w:color w:val="231F20"/>
          <w:w w:val="105"/>
        </w:rPr>
        <w:t>48,391</w:t>
      </w:r>
      <w:r>
        <w:rPr>
          <w:color w:val="231F20"/>
          <w:spacing w:val="-22"/>
          <w:w w:val="105"/>
        </w:rPr>
        <w:t> </w:t>
      </w:r>
      <w:r>
        <w:rPr>
          <w:color w:val="231F20"/>
          <w:w w:val="105"/>
        </w:rPr>
        <w:t>personas.</w:t>
      </w:r>
      <w:r>
        <w:rPr>
          <w:color w:val="231F20"/>
          <w:spacing w:val="-22"/>
          <w:w w:val="105"/>
        </w:rPr>
        <w:t> </w:t>
      </w:r>
      <w:r>
        <w:rPr>
          <w:color w:val="231F20"/>
          <w:w w:val="105"/>
        </w:rPr>
        <w:t>(IGECEM,</w:t>
      </w:r>
      <w:r>
        <w:rPr>
          <w:color w:val="231F20"/>
          <w:spacing w:val="-22"/>
          <w:w w:val="105"/>
        </w:rPr>
        <w:t> </w:t>
      </w:r>
      <w:r>
        <w:rPr>
          <w:color w:val="231F20"/>
          <w:w w:val="105"/>
        </w:rPr>
        <w:t>2006)</w:t>
      </w:r>
    </w:p>
    <w:p>
      <w:pPr>
        <w:spacing w:after="0" w:line="285" w:lineRule="auto"/>
        <w:jc w:val="both"/>
        <w:sectPr>
          <w:pgSz w:w="9640" w:h="12190"/>
          <w:pgMar w:header="0" w:footer="743" w:top="1120" w:bottom="940" w:left="740" w:right="740"/>
        </w:sectPr>
      </w:pPr>
    </w:p>
    <w:p>
      <w:pPr>
        <w:pStyle w:val="Heading5"/>
        <w:spacing w:before="27"/>
        <w:ind w:left="1265"/>
      </w:pPr>
      <w:r>
        <w:rPr>
          <w:color w:val="231F20"/>
          <w:w w:val="105"/>
        </w:rPr>
        <w:t>Cuadro 2 Indicadores de necesidades básicas insatisfechas</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10"/>
        <w:gridCol w:w="2806"/>
        <w:gridCol w:w="3484"/>
      </w:tblGrid>
      <w:tr>
        <w:trPr>
          <w:trHeight w:val="322" w:hRule="exact"/>
        </w:trPr>
        <w:tc>
          <w:tcPr>
            <w:tcW w:w="1610" w:type="dxa"/>
          </w:tcPr>
          <w:p>
            <w:pPr>
              <w:pStyle w:val="TableParagraph"/>
              <w:spacing w:line="161" w:lineRule="exact"/>
              <w:ind w:left="344" w:right="344"/>
              <w:jc w:val="center"/>
              <w:rPr>
                <w:sz w:val="16"/>
              </w:rPr>
            </w:pPr>
            <w:r>
              <w:rPr>
                <w:color w:val="231F20"/>
                <w:w w:val="85"/>
                <w:sz w:val="16"/>
              </w:rPr>
              <w:t>NECESIDADES</w:t>
            </w:r>
          </w:p>
          <w:p>
            <w:pPr>
              <w:pStyle w:val="TableParagraph"/>
              <w:spacing w:line="191" w:lineRule="exact"/>
              <w:ind w:left="344" w:right="341"/>
              <w:jc w:val="center"/>
              <w:rPr>
                <w:sz w:val="16"/>
              </w:rPr>
            </w:pPr>
            <w:r>
              <w:rPr>
                <w:color w:val="231F20"/>
                <w:w w:val="85"/>
                <w:sz w:val="16"/>
              </w:rPr>
              <w:t>BÁSICAS</w:t>
            </w:r>
          </w:p>
        </w:tc>
        <w:tc>
          <w:tcPr>
            <w:tcW w:w="2806" w:type="dxa"/>
          </w:tcPr>
          <w:p>
            <w:pPr>
              <w:pStyle w:val="TableParagraph"/>
              <w:spacing w:line="163" w:lineRule="exact"/>
              <w:ind w:left="62" w:right="62"/>
              <w:jc w:val="center"/>
              <w:rPr>
                <w:sz w:val="16"/>
              </w:rPr>
            </w:pPr>
            <w:r>
              <w:rPr>
                <w:color w:val="231F20"/>
                <w:w w:val="85"/>
                <w:sz w:val="16"/>
              </w:rPr>
              <w:t>DIMENSIONES</w:t>
            </w:r>
          </w:p>
        </w:tc>
        <w:tc>
          <w:tcPr>
            <w:tcW w:w="3484" w:type="dxa"/>
          </w:tcPr>
          <w:p>
            <w:pPr>
              <w:pStyle w:val="TableParagraph"/>
              <w:spacing w:line="163" w:lineRule="exact"/>
              <w:ind w:left="153" w:right="153"/>
              <w:jc w:val="center"/>
              <w:rPr>
                <w:sz w:val="16"/>
              </w:rPr>
            </w:pPr>
            <w:r>
              <w:rPr>
                <w:color w:val="231F20"/>
                <w:w w:val="85"/>
                <w:sz w:val="16"/>
              </w:rPr>
              <w:t>VARIABLES</w:t>
            </w:r>
          </w:p>
        </w:tc>
      </w:tr>
      <w:tr>
        <w:trPr>
          <w:trHeight w:val="210" w:hRule="exact"/>
        </w:trPr>
        <w:tc>
          <w:tcPr>
            <w:tcW w:w="1610" w:type="dxa"/>
            <w:vMerge w:val="restart"/>
          </w:tcPr>
          <w:p>
            <w:pPr>
              <w:pStyle w:val="TableParagraph"/>
              <w:spacing w:line="161" w:lineRule="exact"/>
              <w:ind w:left="344" w:right="344"/>
              <w:jc w:val="center"/>
              <w:rPr>
                <w:sz w:val="16"/>
              </w:rPr>
            </w:pPr>
            <w:r>
              <w:rPr>
                <w:color w:val="231F20"/>
                <w:w w:val="80"/>
                <w:sz w:val="16"/>
              </w:rPr>
              <w:t>Acceso a la</w:t>
            </w:r>
          </w:p>
          <w:p>
            <w:pPr>
              <w:pStyle w:val="TableParagraph"/>
              <w:spacing w:line="194" w:lineRule="exact"/>
              <w:ind w:left="344" w:right="344"/>
              <w:jc w:val="center"/>
              <w:rPr>
                <w:sz w:val="16"/>
              </w:rPr>
            </w:pPr>
            <w:r>
              <w:rPr>
                <w:color w:val="231F20"/>
                <w:w w:val="85"/>
                <w:sz w:val="16"/>
              </w:rPr>
              <w:t>vivienda</w:t>
            </w:r>
          </w:p>
        </w:tc>
        <w:tc>
          <w:tcPr>
            <w:tcW w:w="2806" w:type="dxa"/>
          </w:tcPr>
          <w:p>
            <w:pPr>
              <w:pStyle w:val="TableParagraph"/>
              <w:spacing w:line="163" w:lineRule="exact"/>
              <w:ind w:left="62" w:right="62"/>
              <w:jc w:val="center"/>
              <w:rPr>
                <w:sz w:val="16"/>
              </w:rPr>
            </w:pPr>
            <w:r>
              <w:rPr>
                <w:color w:val="231F20"/>
                <w:w w:val="80"/>
                <w:sz w:val="16"/>
              </w:rPr>
              <w:t>Calidad de la vivienda</w:t>
            </w:r>
          </w:p>
        </w:tc>
        <w:tc>
          <w:tcPr>
            <w:tcW w:w="3484" w:type="dxa"/>
          </w:tcPr>
          <w:p>
            <w:pPr>
              <w:pStyle w:val="TableParagraph"/>
              <w:spacing w:line="163" w:lineRule="exact"/>
              <w:ind w:left="153" w:right="153"/>
              <w:jc w:val="center"/>
              <w:rPr>
                <w:sz w:val="16"/>
              </w:rPr>
            </w:pPr>
            <w:r>
              <w:rPr>
                <w:color w:val="231F20"/>
                <w:w w:val="75"/>
                <w:sz w:val="16"/>
              </w:rPr>
              <w:t>Materiales de construcción utilizados en  piso</w:t>
            </w:r>
          </w:p>
        </w:tc>
      </w:tr>
      <w:tr>
        <w:trPr>
          <w:trHeight w:val="210" w:hRule="exact"/>
        </w:trPr>
        <w:tc>
          <w:tcPr>
            <w:tcW w:w="1610" w:type="dxa"/>
            <w:vMerge/>
          </w:tcPr>
          <w:p>
            <w:pPr/>
          </w:p>
        </w:tc>
        <w:tc>
          <w:tcPr>
            <w:tcW w:w="2806" w:type="dxa"/>
          </w:tcPr>
          <w:p>
            <w:pPr>
              <w:pStyle w:val="TableParagraph"/>
              <w:spacing w:line="163" w:lineRule="exact"/>
              <w:ind w:left="62" w:right="62"/>
              <w:jc w:val="center"/>
              <w:rPr>
                <w:sz w:val="16"/>
              </w:rPr>
            </w:pPr>
            <w:r>
              <w:rPr>
                <w:color w:val="231F20"/>
                <w:w w:val="85"/>
                <w:sz w:val="16"/>
              </w:rPr>
              <w:t>Hacinamiento</w:t>
            </w:r>
          </w:p>
        </w:tc>
        <w:tc>
          <w:tcPr>
            <w:tcW w:w="3484" w:type="dxa"/>
          </w:tcPr>
          <w:p>
            <w:pPr>
              <w:pStyle w:val="TableParagraph"/>
              <w:spacing w:line="163" w:lineRule="exact"/>
              <w:ind w:left="153" w:right="153"/>
              <w:jc w:val="center"/>
              <w:rPr>
                <w:sz w:val="16"/>
              </w:rPr>
            </w:pPr>
            <w:r>
              <w:rPr>
                <w:color w:val="231F20"/>
                <w:w w:val="80"/>
                <w:sz w:val="16"/>
              </w:rPr>
              <w:t>Número de personas por de cuartos de la vivienda</w:t>
            </w:r>
          </w:p>
        </w:tc>
      </w:tr>
      <w:tr>
        <w:trPr>
          <w:trHeight w:val="210" w:hRule="exact"/>
        </w:trPr>
        <w:tc>
          <w:tcPr>
            <w:tcW w:w="1610" w:type="dxa"/>
            <w:vMerge w:val="restart"/>
          </w:tcPr>
          <w:p>
            <w:pPr>
              <w:pStyle w:val="TableParagraph"/>
              <w:spacing w:line="161" w:lineRule="exact"/>
              <w:ind w:left="344" w:right="344"/>
              <w:jc w:val="center"/>
              <w:rPr>
                <w:sz w:val="16"/>
              </w:rPr>
            </w:pPr>
            <w:r>
              <w:rPr>
                <w:color w:val="231F20"/>
                <w:w w:val="75"/>
                <w:sz w:val="16"/>
              </w:rPr>
              <w:t>Acceso a servicios</w:t>
            </w:r>
          </w:p>
          <w:p>
            <w:pPr>
              <w:pStyle w:val="TableParagraph"/>
              <w:spacing w:line="194" w:lineRule="exact"/>
              <w:ind w:left="344" w:right="344"/>
              <w:jc w:val="center"/>
              <w:rPr>
                <w:sz w:val="16"/>
              </w:rPr>
            </w:pPr>
            <w:r>
              <w:rPr>
                <w:color w:val="231F20"/>
                <w:w w:val="85"/>
                <w:sz w:val="16"/>
              </w:rPr>
              <w:t>sanitarios</w:t>
            </w:r>
          </w:p>
        </w:tc>
        <w:tc>
          <w:tcPr>
            <w:tcW w:w="2806" w:type="dxa"/>
          </w:tcPr>
          <w:p>
            <w:pPr>
              <w:pStyle w:val="TableParagraph"/>
              <w:spacing w:line="163" w:lineRule="exact"/>
              <w:ind w:left="62" w:right="62"/>
              <w:jc w:val="center"/>
              <w:rPr>
                <w:sz w:val="16"/>
              </w:rPr>
            </w:pPr>
            <w:r>
              <w:rPr>
                <w:color w:val="231F20"/>
                <w:w w:val="80"/>
                <w:sz w:val="16"/>
              </w:rPr>
              <w:t>Disponibilidad de agua potable</w:t>
            </w:r>
          </w:p>
        </w:tc>
        <w:tc>
          <w:tcPr>
            <w:tcW w:w="3484" w:type="dxa"/>
          </w:tcPr>
          <w:p>
            <w:pPr>
              <w:pStyle w:val="TableParagraph"/>
              <w:spacing w:line="163" w:lineRule="exact"/>
              <w:ind w:left="153" w:right="152"/>
              <w:jc w:val="center"/>
              <w:rPr>
                <w:sz w:val="16"/>
              </w:rPr>
            </w:pPr>
            <w:r>
              <w:rPr>
                <w:color w:val="231F20"/>
                <w:w w:val="80"/>
                <w:sz w:val="16"/>
              </w:rPr>
              <w:t>Fuente de abastecimiento en la vivienda</w:t>
            </w:r>
          </w:p>
        </w:tc>
      </w:tr>
      <w:tr>
        <w:trPr>
          <w:trHeight w:val="210" w:hRule="exact"/>
        </w:trPr>
        <w:tc>
          <w:tcPr>
            <w:tcW w:w="1610" w:type="dxa"/>
            <w:vMerge/>
          </w:tcPr>
          <w:p>
            <w:pPr/>
          </w:p>
        </w:tc>
        <w:tc>
          <w:tcPr>
            <w:tcW w:w="2806" w:type="dxa"/>
          </w:tcPr>
          <w:p>
            <w:pPr>
              <w:pStyle w:val="TableParagraph"/>
              <w:spacing w:line="163" w:lineRule="exact"/>
              <w:ind w:left="62" w:right="62"/>
              <w:jc w:val="center"/>
              <w:rPr>
                <w:sz w:val="16"/>
              </w:rPr>
            </w:pPr>
            <w:r>
              <w:rPr>
                <w:color w:val="231F20"/>
                <w:w w:val="80"/>
                <w:sz w:val="16"/>
              </w:rPr>
              <w:t>Tipo de sistema de eliminación de excretas</w:t>
            </w:r>
          </w:p>
        </w:tc>
        <w:tc>
          <w:tcPr>
            <w:tcW w:w="3484" w:type="dxa"/>
          </w:tcPr>
          <w:p>
            <w:pPr>
              <w:pStyle w:val="TableParagraph"/>
              <w:spacing w:line="163" w:lineRule="exact"/>
              <w:ind w:left="153" w:right="153"/>
              <w:jc w:val="center"/>
              <w:rPr>
                <w:sz w:val="16"/>
              </w:rPr>
            </w:pPr>
            <w:r>
              <w:rPr>
                <w:color w:val="231F20"/>
                <w:w w:val="80"/>
                <w:sz w:val="16"/>
              </w:rPr>
              <w:t>Hogares sin drenaje o fosa séptica</w:t>
            </w:r>
          </w:p>
        </w:tc>
      </w:tr>
      <w:tr>
        <w:trPr>
          <w:trHeight w:val="322" w:hRule="exact"/>
        </w:trPr>
        <w:tc>
          <w:tcPr>
            <w:tcW w:w="1610" w:type="dxa"/>
          </w:tcPr>
          <w:p>
            <w:pPr>
              <w:pStyle w:val="TableParagraph"/>
              <w:spacing w:line="161" w:lineRule="exact"/>
              <w:ind w:left="344" w:right="344"/>
              <w:jc w:val="center"/>
              <w:rPr>
                <w:sz w:val="16"/>
              </w:rPr>
            </w:pPr>
            <w:r>
              <w:rPr>
                <w:color w:val="231F20"/>
                <w:w w:val="80"/>
                <w:sz w:val="16"/>
              </w:rPr>
              <w:t>Acceso a la</w:t>
            </w:r>
          </w:p>
          <w:p>
            <w:pPr>
              <w:pStyle w:val="TableParagraph"/>
              <w:spacing w:line="191" w:lineRule="exact"/>
              <w:ind w:left="344" w:right="344"/>
              <w:jc w:val="center"/>
              <w:rPr>
                <w:sz w:val="16"/>
              </w:rPr>
            </w:pPr>
            <w:r>
              <w:rPr>
                <w:color w:val="231F20"/>
                <w:w w:val="85"/>
                <w:sz w:val="16"/>
              </w:rPr>
              <w:t>educación</w:t>
            </w:r>
          </w:p>
        </w:tc>
        <w:tc>
          <w:tcPr>
            <w:tcW w:w="2806" w:type="dxa"/>
          </w:tcPr>
          <w:p>
            <w:pPr>
              <w:pStyle w:val="TableParagraph"/>
              <w:spacing w:line="161" w:lineRule="exact"/>
              <w:ind w:left="62" w:right="62"/>
              <w:jc w:val="center"/>
              <w:rPr>
                <w:sz w:val="16"/>
              </w:rPr>
            </w:pPr>
            <w:r>
              <w:rPr>
                <w:color w:val="231F20"/>
                <w:w w:val="80"/>
                <w:sz w:val="16"/>
              </w:rPr>
              <w:t>Asistencia de los niños en edad escolar a un</w:t>
            </w:r>
          </w:p>
          <w:p>
            <w:pPr>
              <w:pStyle w:val="TableParagraph"/>
              <w:spacing w:line="191" w:lineRule="exact"/>
              <w:ind w:left="62" w:right="62"/>
              <w:jc w:val="center"/>
              <w:rPr>
                <w:sz w:val="16"/>
              </w:rPr>
            </w:pPr>
            <w:r>
              <w:rPr>
                <w:color w:val="231F20"/>
                <w:w w:val="75"/>
                <w:sz w:val="16"/>
              </w:rPr>
              <w:t>establecimiento  educativo</w:t>
            </w:r>
          </w:p>
        </w:tc>
        <w:tc>
          <w:tcPr>
            <w:tcW w:w="3484" w:type="dxa"/>
          </w:tcPr>
          <w:p>
            <w:pPr>
              <w:pStyle w:val="TableParagraph"/>
              <w:spacing w:line="161" w:lineRule="exact"/>
              <w:ind w:left="153" w:right="153"/>
              <w:jc w:val="center"/>
              <w:rPr>
                <w:sz w:val="16"/>
              </w:rPr>
            </w:pPr>
            <w:r>
              <w:rPr>
                <w:color w:val="231F20"/>
                <w:w w:val="80"/>
                <w:sz w:val="16"/>
              </w:rPr>
              <w:t>Niños entre 6 a 14 años que no asisten a un establecimiento</w:t>
            </w:r>
          </w:p>
          <w:p>
            <w:pPr>
              <w:pStyle w:val="TableParagraph"/>
              <w:spacing w:line="191" w:lineRule="exact"/>
              <w:ind w:left="153" w:right="153"/>
              <w:jc w:val="center"/>
              <w:rPr>
                <w:sz w:val="16"/>
              </w:rPr>
            </w:pPr>
            <w:r>
              <w:rPr>
                <w:color w:val="231F20"/>
                <w:w w:val="85"/>
                <w:sz w:val="16"/>
              </w:rPr>
              <w:t>educativo</w:t>
            </w:r>
          </w:p>
        </w:tc>
      </w:tr>
      <w:tr>
        <w:trPr>
          <w:trHeight w:val="322" w:hRule="exact"/>
        </w:trPr>
        <w:tc>
          <w:tcPr>
            <w:tcW w:w="1610" w:type="dxa"/>
          </w:tcPr>
          <w:p>
            <w:pPr>
              <w:pStyle w:val="TableParagraph"/>
              <w:spacing w:line="161" w:lineRule="exact"/>
              <w:ind w:left="527" w:firstLine="12"/>
              <w:rPr>
                <w:sz w:val="16"/>
              </w:rPr>
            </w:pPr>
            <w:r>
              <w:rPr>
                <w:color w:val="231F20"/>
                <w:w w:val="85"/>
                <w:sz w:val="16"/>
              </w:rPr>
              <w:t>Capacidad</w:t>
            </w:r>
          </w:p>
          <w:p>
            <w:pPr>
              <w:pStyle w:val="TableParagraph"/>
              <w:spacing w:line="191" w:lineRule="exact"/>
              <w:ind w:left="527"/>
              <w:rPr>
                <w:sz w:val="16"/>
              </w:rPr>
            </w:pPr>
            <w:r>
              <w:rPr>
                <w:color w:val="231F20"/>
                <w:w w:val="85"/>
                <w:sz w:val="16"/>
              </w:rPr>
              <w:t>económica</w:t>
            </w:r>
          </w:p>
        </w:tc>
        <w:tc>
          <w:tcPr>
            <w:tcW w:w="2806" w:type="dxa"/>
          </w:tcPr>
          <w:p>
            <w:pPr>
              <w:pStyle w:val="TableParagraph"/>
              <w:spacing w:line="163" w:lineRule="exact"/>
              <w:ind w:left="63" w:right="62"/>
              <w:jc w:val="center"/>
              <w:rPr>
                <w:sz w:val="16"/>
              </w:rPr>
            </w:pPr>
            <w:r>
              <w:rPr>
                <w:color w:val="231F20"/>
                <w:w w:val="80"/>
                <w:sz w:val="16"/>
              </w:rPr>
              <w:t>Probabilidad de insuficiencia de ingresos del hogar</w:t>
            </w:r>
          </w:p>
        </w:tc>
        <w:tc>
          <w:tcPr>
            <w:tcW w:w="3484" w:type="dxa"/>
          </w:tcPr>
          <w:p>
            <w:pPr>
              <w:pStyle w:val="TableParagraph"/>
              <w:spacing w:line="161" w:lineRule="exact"/>
              <w:ind w:left="153" w:right="152"/>
              <w:jc w:val="center"/>
              <w:rPr>
                <w:sz w:val="16"/>
              </w:rPr>
            </w:pPr>
            <w:r>
              <w:rPr>
                <w:color w:val="231F20"/>
                <w:w w:val="80"/>
                <w:sz w:val="16"/>
              </w:rPr>
              <w:t>Escolaridad del jefe del hogar menor a la primaria</w:t>
            </w:r>
          </w:p>
          <w:p>
            <w:pPr>
              <w:pStyle w:val="TableParagraph"/>
              <w:spacing w:line="191" w:lineRule="exact"/>
              <w:ind w:left="153" w:right="153"/>
              <w:jc w:val="center"/>
              <w:rPr>
                <w:sz w:val="16"/>
              </w:rPr>
            </w:pPr>
            <w:r>
              <w:rPr>
                <w:color w:val="231F20"/>
                <w:w w:val="85"/>
                <w:sz w:val="16"/>
              </w:rPr>
              <w:t>Completa</w:t>
            </w:r>
          </w:p>
        </w:tc>
      </w:tr>
    </w:tbl>
    <w:p>
      <w:pPr>
        <w:spacing w:line="369" w:lineRule="auto" w:before="51"/>
        <w:ind w:left="1219" w:right="-2" w:hanging="476"/>
        <w:jc w:val="left"/>
        <w:rPr>
          <w:rFonts w:ascii="Calibri" w:hAnsi="Calibri"/>
          <w:sz w:val="16"/>
        </w:rPr>
      </w:pPr>
      <w:r>
        <w:rPr>
          <w:rFonts w:ascii="Calibri" w:hAnsi="Calibri"/>
          <w:color w:val="231F20"/>
          <w:sz w:val="16"/>
        </w:rPr>
        <w:t>Fuente:</w:t>
      </w:r>
      <w:r>
        <w:rPr>
          <w:rFonts w:ascii="Calibri" w:hAnsi="Calibri"/>
          <w:color w:val="231F20"/>
          <w:spacing w:val="-14"/>
          <w:sz w:val="16"/>
        </w:rPr>
        <w:t> </w:t>
      </w:r>
      <w:r>
        <w:rPr>
          <w:rFonts w:ascii="Calibri" w:hAnsi="Calibri"/>
          <w:color w:val="231F20"/>
          <w:sz w:val="16"/>
        </w:rPr>
        <w:t>Instituto</w:t>
      </w:r>
      <w:r>
        <w:rPr>
          <w:rFonts w:ascii="Calibri" w:hAnsi="Calibri"/>
          <w:color w:val="231F20"/>
          <w:spacing w:val="-14"/>
          <w:sz w:val="16"/>
        </w:rPr>
        <w:t> </w:t>
      </w:r>
      <w:r>
        <w:rPr>
          <w:rFonts w:ascii="Calibri" w:hAnsi="Calibri"/>
          <w:color w:val="231F20"/>
          <w:sz w:val="16"/>
        </w:rPr>
        <w:t>de</w:t>
      </w:r>
      <w:r>
        <w:rPr>
          <w:rFonts w:ascii="Calibri" w:hAnsi="Calibri"/>
          <w:color w:val="231F20"/>
          <w:spacing w:val="-14"/>
          <w:sz w:val="16"/>
        </w:rPr>
        <w:t> </w:t>
      </w:r>
      <w:r>
        <w:rPr>
          <w:rFonts w:ascii="Calibri" w:hAnsi="Calibri"/>
          <w:color w:val="231F20"/>
          <w:sz w:val="16"/>
        </w:rPr>
        <w:t>Información</w:t>
      </w:r>
      <w:r>
        <w:rPr>
          <w:rFonts w:ascii="Calibri" w:hAnsi="Calibri"/>
          <w:color w:val="231F20"/>
          <w:spacing w:val="-14"/>
          <w:sz w:val="16"/>
        </w:rPr>
        <w:t> </w:t>
      </w:r>
      <w:r>
        <w:rPr>
          <w:rFonts w:ascii="Calibri" w:hAnsi="Calibri"/>
          <w:color w:val="231F20"/>
          <w:sz w:val="16"/>
        </w:rPr>
        <w:t>e</w:t>
      </w:r>
      <w:r>
        <w:rPr>
          <w:rFonts w:ascii="Calibri" w:hAnsi="Calibri"/>
          <w:color w:val="231F20"/>
          <w:spacing w:val="-14"/>
          <w:sz w:val="16"/>
        </w:rPr>
        <w:t> </w:t>
      </w:r>
      <w:r>
        <w:rPr>
          <w:rFonts w:ascii="Calibri" w:hAnsi="Calibri"/>
          <w:color w:val="231F20"/>
          <w:sz w:val="16"/>
        </w:rPr>
        <w:t>Investigación</w:t>
      </w:r>
      <w:r>
        <w:rPr>
          <w:rFonts w:ascii="Calibri" w:hAnsi="Calibri"/>
          <w:color w:val="231F20"/>
          <w:spacing w:val="-14"/>
          <w:sz w:val="16"/>
        </w:rPr>
        <w:t> </w:t>
      </w:r>
      <w:r>
        <w:rPr>
          <w:rFonts w:ascii="Calibri" w:hAnsi="Calibri"/>
          <w:color w:val="231F20"/>
          <w:sz w:val="16"/>
        </w:rPr>
        <w:t>Geográfica,</w:t>
      </w:r>
      <w:r>
        <w:rPr>
          <w:rFonts w:ascii="Calibri" w:hAnsi="Calibri"/>
          <w:color w:val="231F20"/>
          <w:spacing w:val="-14"/>
          <w:sz w:val="16"/>
        </w:rPr>
        <w:t> </w:t>
      </w:r>
      <w:r>
        <w:rPr>
          <w:rFonts w:ascii="Calibri" w:hAnsi="Calibri"/>
          <w:color w:val="231F20"/>
          <w:sz w:val="16"/>
        </w:rPr>
        <w:t>Estadística</w:t>
      </w:r>
      <w:r>
        <w:rPr>
          <w:rFonts w:ascii="Calibri" w:hAnsi="Calibri"/>
          <w:color w:val="231F20"/>
          <w:spacing w:val="-14"/>
          <w:sz w:val="16"/>
        </w:rPr>
        <w:t> </w:t>
      </w:r>
      <w:r>
        <w:rPr>
          <w:rFonts w:ascii="Calibri" w:hAnsi="Calibri"/>
          <w:color w:val="231F20"/>
          <w:sz w:val="16"/>
        </w:rPr>
        <w:t>y</w:t>
      </w:r>
      <w:r>
        <w:rPr>
          <w:rFonts w:ascii="Calibri" w:hAnsi="Calibri"/>
          <w:color w:val="231F20"/>
          <w:spacing w:val="-14"/>
          <w:sz w:val="16"/>
        </w:rPr>
        <w:t> </w:t>
      </w:r>
      <w:r>
        <w:rPr>
          <w:rFonts w:ascii="Calibri" w:hAnsi="Calibri"/>
          <w:color w:val="231F20"/>
          <w:sz w:val="16"/>
        </w:rPr>
        <w:t>Catastral</w:t>
      </w:r>
      <w:r>
        <w:rPr>
          <w:rFonts w:ascii="Calibri" w:hAnsi="Calibri"/>
          <w:color w:val="231F20"/>
          <w:spacing w:val="-14"/>
          <w:sz w:val="16"/>
        </w:rPr>
        <w:t> </w:t>
      </w:r>
      <w:r>
        <w:rPr>
          <w:rFonts w:ascii="Calibri" w:hAnsi="Calibri"/>
          <w:color w:val="231F20"/>
          <w:sz w:val="16"/>
        </w:rPr>
        <w:t>del</w:t>
      </w:r>
      <w:r>
        <w:rPr>
          <w:rFonts w:ascii="Calibri" w:hAnsi="Calibri"/>
          <w:color w:val="231F20"/>
          <w:spacing w:val="-14"/>
          <w:sz w:val="16"/>
        </w:rPr>
        <w:t> </w:t>
      </w:r>
      <w:r>
        <w:rPr>
          <w:rFonts w:ascii="Calibri" w:hAnsi="Calibri"/>
          <w:color w:val="231F20"/>
          <w:sz w:val="16"/>
        </w:rPr>
        <w:t>Estado</w:t>
      </w:r>
      <w:r>
        <w:rPr>
          <w:rFonts w:ascii="Calibri" w:hAnsi="Calibri"/>
          <w:color w:val="231F20"/>
          <w:spacing w:val="-14"/>
          <w:sz w:val="16"/>
        </w:rPr>
        <w:t> </w:t>
      </w:r>
      <w:r>
        <w:rPr>
          <w:rFonts w:ascii="Calibri" w:hAnsi="Calibri"/>
          <w:color w:val="231F20"/>
          <w:sz w:val="16"/>
        </w:rPr>
        <w:t>de</w:t>
      </w:r>
      <w:r>
        <w:rPr>
          <w:rFonts w:ascii="Calibri" w:hAnsi="Calibri"/>
          <w:color w:val="231F20"/>
          <w:spacing w:val="-14"/>
          <w:sz w:val="16"/>
        </w:rPr>
        <w:t> </w:t>
      </w:r>
      <w:r>
        <w:rPr>
          <w:rFonts w:ascii="Calibri" w:hAnsi="Calibri"/>
          <w:color w:val="231F20"/>
          <w:sz w:val="16"/>
        </w:rPr>
        <w:t>México</w:t>
      </w:r>
      <w:r>
        <w:rPr>
          <w:rFonts w:ascii="Calibri" w:hAnsi="Calibri"/>
          <w:color w:val="231F20"/>
          <w:spacing w:val="-14"/>
          <w:sz w:val="16"/>
        </w:rPr>
        <w:t> </w:t>
      </w:r>
      <w:r>
        <w:rPr>
          <w:rFonts w:ascii="Calibri" w:hAnsi="Calibri"/>
          <w:color w:val="231F20"/>
          <w:sz w:val="16"/>
        </w:rPr>
        <w:t>(IGECEM), con</w:t>
      </w:r>
      <w:r>
        <w:rPr>
          <w:rFonts w:ascii="Calibri" w:hAnsi="Calibri"/>
          <w:color w:val="231F20"/>
          <w:spacing w:val="-7"/>
          <w:sz w:val="16"/>
        </w:rPr>
        <w:t> </w:t>
      </w:r>
      <w:r>
        <w:rPr>
          <w:rFonts w:ascii="Calibri" w:hAnsi="Calibri"/>
          <w:color w:val="231F20"/>
          <w:sz w:val="16"/>
        </w:rPr>
        <w:t>base</w:t>
      </w:r>
      <w:r>
        <w:rPr>
          <w:rFonts w:ascii="Calibri" w:hAnsi="Calibri"/>
          <w:color w:val="231F20"/>
          <w:spacing w:val="-7"/>
          <w:sz w:val="16"/>
        </w:rPr>
        <w:t> </w:t>
      </w:r>
      <w:r>
        <w:rPr>
          <w:rFonts w:ascii="Calibri" w:hAnsi="Calibri"/>
          <w:color w:val="231F20"/>
          <w:sz w:val="16"/>
        </w:rPr>
        <w:t>en</w:t>
      </w:r>
      <w:r>
        <w:rPr>
          <w:rFonts w:ascii="Calibri" w:hAnsi="Calibri"/>
          <w:color w:val="231F20"/>
          <w:spacing w:val="-7"/>
          <w:sz w:val="16"/>
        </w:rPr>
        <w:t> </w:t>
      </w:r>
      <w:r>
        <w:rPr>
          <w:rFonts w:ascii="Calibri" w:hAnsi="Calibri"/>
          <w:color w:val="231F20"/>
          <w:sz w:val="16"/>
        </w:rPr>
        <w:t>el</w:t>
      </w:r>
      <w:r>
        <w:rPr>
          <w:rFonts w:ascii="Calibri" w:hAnsi="Calibri"/>
          <w:color w:val="231F20"/>
          <w:spacing w:val="-7"/>
          <w:sz w:val="16"/>
        </w:rPr>
        <w:t> </w:t>
      </w:r>
      <w:r>
        <w:rPr>
          <w:rFonts w:ascii="Calibri" w:hAnsi="Calibri"/>
          <w:color w:val="231F20"/>
          <w:sz w:val="16"/>
        </w:rPr>
        <w:t>XII</w:t>
      </w:r>
      <w:r>
        <w:rPr>
          <w:rFonts w:ascii="Calibri" w:hAnsi="Calibri"/>
          <w:color w:val="231F20"/>
          <w:spacing w:val="-7"/>
          <w:sz w:val="16"/>
        </w:rPr>
        <w:t> </w:t>
      </w:r>
      <w:r>
        <w:rPr>
          <w:rFonts w:ascii="Calibri" w:hAnsi="Calibri"/>
          <w:color w:val="231F20"/>
          <w:sz w:val="16"/>
        </w:rPr>
        <w:t>Censo</w:t>
      </w:r>
      <w:r>
        <w:rPr>
          <w:rFonts w:ascii="Calibri" w:hAnsi="Calibri"/>
          <w:color w:val="231F20"/>
          <w:spacing w:val="-7"/>
          <w:sz w:val="16"/>
        </w:rPr>
        <w:t> </w:t>
      </w:r>
      <w:r>
        <w:rPr>
          <w:rFonts w:ascii="Calibri" w:hAnsi="Calibri"/>
          <w:color w:val="231F20"/>
          <w:sz w:val="16"/>
        </w:rPr>
        <w:t>General</w:t>
      </w:r>
      <w:r>
        <w:rPr>
          <w:rFonts w:ascii="Calibri" w:hAnsi="Calibri"/>
          <w:color w:val="231F20"/>
          <w:spacing w:val="-7"/>
          <w:sz w:val="16"/>
        </w:rPr>
        <w:t> </w:t>
      </w:r>
      <w:r>
        <w:rPr>
          <w:rFonts w:ascii="Calibri" w:hAnsi="Calibri"/>
          <w:color w:val="231F20"/>
          <w:sz w:val="16"/>
        </w:rPr>
        <w:t>de</w:t>
      </w:r>
      <w:r>
        <w:rPr>
          <w:rFonts w:ascii="Calibri" w:hAnsi="Calibri"/>
          <w:color w:val="231F20"/>
          <w:spacing w:val="-7"/>
          <w:sz w:val="16"/>
        </w:rPr>
        <w:t> </w:t>
      </w:r>
      <w:r>
        <w:rPr>
          <w:rFonts w:ascii="Calibri" w:hAnsi="Calibri"/>
          <w:color w:val="231F20"/>
          <w:sz w:val="16"/>
        </w:rPr>
        <w:t>Población</w:t>
      </w:r>
      <w:r>
        <w:rPr>
          <w:rFonts w:ascii="Calibri" w:hAnsi="Calibri"/>
          <w:color w:val="231F20"/>
          <w:spacing w:val="-7"/>
          <w:sz w:val="16"/>
        </w:rPr>
        <w:t> </w:t>
      </w:r>
      <w:r>
        <w:rPr>
          <w:rFonts w:ascii="Calibri" w:hAnsi="Calibri"/>
          <w:color w:val="231F20"/>
          <w:sz w:val="16"/>
        </w:rPr>
        <w:t>y</w:t>
      </w:r>
      <w:r>
        <w:rPr>
          <w:rFonts w:ascii="Calibri" w:hAnsi="Calibri"/>
          <w:color w:val="231F20"/>
          <w:spacing w:val="-7"/>
          <w:sz w:val="16"/>
        </w:rPr>
        <w:t> </w:t>
      </w:r>
      <w:r>
        <w:rPr>
          <w:rFonts w:ascii="Calibri" w:hAnsi="Calibri"/>
          <w:color w:val="231F20"/>
          <w:sz w:val="16"/>
        </w:rPr>
        <w:t>Vivienda</w:t>
      </w:r>
      <w:r>
        <w:rPr>
          <w:rFonts w:ascii="Calibri" w:hAnsi="Calibri"/>
          <w:color w:val="231F20"/>
          <w:spacing w:val="-7"/>
          <w:sz w:val="16"/>
        </w:rPr>
        <w:t> </w:t>
      </w:r>
      <w:r>
        <w:rPr>
          <w:rFonts w:ascii="Calibri" w:hAnsi="Calibri"/>
          <w:color w:val="231F20"/>
          <w:sz w:val="16"/>
        </w:rPr>
        <w:t>2000</w:t>
      </w:r>
      <w:r>
        <w:rPr>
          <w:rFonts w:ascii="Calibri" w:hAnsi="Calibri"/>
          <w:color w:val="231F20"/>
          <w:spacing w:val="-7"/>
          <w:sz w:val="16"/>
        </w:rPr>
        <w:t> </w:t>
      </w:r>
      <w:r>
        <w:rPr>
          <w:rFonts w:ascii="Calibri" w:hAnsi="Calibri"/>
          <w:color w:val="231F20"/>
          <w:sz w:val="16"/>
        </w:rPr>
        <w:t>y</w:t>
      </w:r>
      <w:r>
        <w:rPr>
          <w:rFonts w:ascii="Calibri" w:hAnsi="Calibri"/>
          <w:color w:val="231F20"/>
          <w:spacing w:val="-7"/>
          <w:sz w:val="16"/>
        </w:rPr>
        <w:t> </w:t>
      </w:r>
      <w:r>
        <w:rPr>
          <w:rFonts w:ascii="Calibri" w:hAnsi="Calibri"/>
          <w:color w:val="231F20"/>
          <w:sz w:val="16"/>
        </w:rPr>
        <w:t>el</w:t>
      </w:r>
      <w:r>
        <w:rPr>
          <w:rFonts w:ascii="Calibri" w:hAnsi="Calibri"/>
          <w:color w:val="231F20"/>
          <w:spacing w:val="-7"/>
          <w:sz w:val="16"/>
        </w:rPr>
        <w:t> </w:t>
      </w:r>
      <w:r>
        <w:rPr>
          <w:rFonts w:ascii="Calibri" w:hAnsi="Calibri"/>
          <w:color w:val="231F20"/>
          <w:sz w:val="16"/>
        </w:rPr>
        <w:t>II</w:t>
      </w:r>
      <w:r>
        <w:rPr>
          <w:rFonts w:ascii="Calibri" w:hAnsi="Calibri"/>
          <w:color w:val="231F20"/>
          <w:spacing w:val="-7"/>
          <w:sz w:val="16"/>
        </w:rPr>
        <w:t> </w:t>
      </w:r>
      <w:r>
        <w:rPr>
          <w:rFonts w:ascii="Calibri" w:hAnsi="Calibri"/>
          <w:color w:val="231F20"/>
          <w:sz w:val="16"/>
        </w:rPr>
        <w:t>Conteo</w:t>
      </w:r>
      <w:r>
        <w:rPr>
          <w:rFonts w:ascii="Calibri" w:hAnsi="Calibri"/>
          <w:color w:val="231F20"/>
          <w:spacing w:val="-7"/>
          <w:sz w:val="16"/>
        </w:rPr>
        <w:t> </w:t>
      </w:r>
      <w:r>
        <w:rPr>
          <w:rFonts w:ascii="Calibri" w:hAnsi="Calibri"/>
          <w:color w:val="231F20"/>
          <w:sz w:val="16"/>
        </w:rPr>
        <w:t>de</w:t>
      </w:r>
      <w:r>
        <w:rPr>
          <w:rFonts w:ascii="Calibri" w:hAnsi="Calibri"/>
          <w:color w:val="231F20"/>
          <w:spacing w:val="-7"/>
          <w:sz w:val="16"/>
        </w:rPr>
        <w:t> </w:t>
      </w:r>
      <w:r>
        <w:rPr>
          <w:rFonts w:ascii="Calibri" w:hAnsi="Calibri"/>
          <w:color w:val="231F20"/>
          <w:sz w:val="16"/>
        </w:rPr>
        <w:t>Población</w:t>
      </w:r>
      <w:r>
        <w:rPr>
          <w:rFonts w:ascii="Calibri" w:hAnsi="Calibri"/>
          <w:color w:val="231F20"/>
          <w:spacing w:val="-7"/>
          <w:sz w:val="16"/>
        </w:rPr>
        <w:t> </w:t>
      </w:r>
      <w:r>
        <w:rPr>
          <w:rFonts w:ascii="Calibri" w:hAnsi="Calibri"/>
          <w:color w:val="231F20"/>
          <w:sz w:val="16"/>
        </w:rPr>
        <w:t>y</w:t>
      </w:r>
      <w:r>
        <w:rPr>
          <w:rFonts w:ascii="Calibri" w:hAnsi="Calibri"/>
          <w:color w:val="231F20"/>
          <w:spacing w:val="-7"/>
          <w:sz w:val="16"/>
        </w:rPr>
        <w:t> </w:t>
      </w:r>
      <w:r>
        <w:rPr>
          <w:rFonts w:ascii="Calibri" w:hAnsi="Calibri"/>
          <w:color w:val="231F20"/>
          <w:sz w:val="16"/>
        </w:rPr>
        <w:t>Vivienda</w:t>
      </w:r>
      <w:r>
        <w:rPr>
          <w:rFonts w:ascii="Calibri" w:hAnsi="Calibri"/>
          <w:color w:val="231F20"/>
          <w:spacing w:val="-7"/>
          <w:sz w:val="16"/>
        </w:rPr>
        <w:t> </w:t>
      </w:r>
      <w:r>
        <w:rPr>
          <w:rFonts w:ascii="Calibri" w:hAnsi="Calibri"/>
          <w:color w:val="231F20"/>
          <w:sz w:val="16"/>
        </w:rPr>
        <w:t>2005.</w:t>
      </w:r>
    </w:p>
    <w:p>
      <w:pPr>
        <w:pStyle w:val="BodyText"/>
        <w:spacing w:before="2"/>
        <w:rPr>
          <w:rFonts w:ascii="Calibri"/>
          <w:sz w:val="20"/>
        </w:rPr>
      </w:pPr>
    </w:p>
    <w:p>
      <w:pPr>
        <w:pStyle w:val="BodyText"/>
        <w:spacing w:line="285" w:lineRule="auto"/>
        <w:ind w:left="110" w:right="108"/>
        <w:jc w:val="both"/>
      </w:pPr>
      <w:r>
        <w:rPr>
          <w:color w:val="231F20"/>
          <w:w w:val="105"/>
        </w:rPr>
        <w:t>El</w:t>
      </w:r>
      <w:r>
        <w:rPr>
          <w:color w:val="231F20"/>
          <w:spacing w:val="-4"/>
          <w:w w:val="105"/>
        </w:rPr>
        <w:t> </w:t>
      </w:r>
      <w:r>
        <w:rPr>
          <w:color w:val="231F20"/>
          <w:w w:val="105"/>
        </w:rPr>
        <w:t>punto</w:t>
      </w:r>
      <w:r>
        <w:rPr>
          <w:color w:val="231F20"/>
          <w:spacing w:val="-4"/>
          <w:w w:val="105"/>
        </w:rPr>
        <w:t> </w:t>
      </w:r>
      <w:r>
        <w:rPr>
          <w:color w:val="231F20"/>
          <w:w w:val="105"/>
        </w:rPr>
        <w:t>es</w:t>
      </w:r>
      <w:r>
        <w:rPr>
          <w:color w:val="231F20"/>
          <w:spacing w:val="-4"/>
          <w:w w:val="105"/>
        </w:rPr>
        <w:t> </w:t>
      </w:r>
      <w:r>
        <w:rPr>
          <w:color w:val="231F20"/>
          <w:w w:val="105"/>
        </w:rPr>
        <w:t>cotejar</w:t>
      </w:r>
      <w:r>
        <w:rPr>
          <w:color w:val="231F20"/>
          <w:spacing w:val="-4"/>
          <w:w w:val="105"/>
        </w:rPr>
        <w:t> </w:t>
      </w:r>
      <w:r>
        <w:rPr>
          <w:color w:val="231F20"/>
          <w:w w:val="105"/>
        </w:rPr>
        <w:t>en</w:t>
      </w:r>
      <w:r>
        <w:rPr>
          <w:color w:val="231F20"/>
          <w:spacing w:val="-4"/>
          <w:w w:val="105"/>
        </w:rPr>
        <w:t> </w:t>
      </w:r>
      <w:r>
        <w:rPr>
          <w:color w:val="231F20"/>
          <w:w w:val="105"/>
        </w:rPr>
        <w:t>qué</w:t>
      </w:r>
      <w:r>
        <w:rPr>
          <w:color w:val="231F20"/>
          <w:spacing w:val="-4"/>
          <w:w w:val="105"/>
        </w:rPr>
        <w:t> </w:t>
      </w:r>
      <w:r>
        <w:rPr>
          <w:color w:val="231F20"/>
          <w:w w:val="105"/>
        </w:rPr>
        <w:t>medida</w:t>
      </w:r>
      <w:r>
        <w:rPr>
          <w:color w:val="231F20"/>
          <w:spacing w:val="-4"/>
          <w:w w:val="105"/>
        </w:rPr>
        <w:t> </w:t>
      </w:r>
      <w:r>
        <w:rPr>
          <w:color w:val="231F20"/>
          <w:w w:val="105"/>
        </w:rPr>
        <w:t>se</w:t>
      </w:r>
      <w:r>
        <w:rPr>
          <w:color w:val="231F20"/>
          <w:spacing w:val="-4"/>
          <w:w w:val="105"/>
        </w:rPr>
        <w:t> </w:t>
      </w:r>
      <w:r>
        <w:rPr>
          <w:color w:val="231F20"/>
          <w:w w:val="105"/>
        </w:rPr>
        <w:t>aplican</w:t>
      </w:r>
      <w:r>
        <w:rPr>
          <w:color w:val="231F20"/>
          <w:spacing w:val="-4"/>
          <w:w w:val="105"/>
        </w:rPr>
        <w:t> </w:t>
      </w:r>
      <w:r>
        <w:rPr>
          <w:color w:val="231F20"/>
          <w:w w:val="105"/>
        </w:rPr>
        <w:t>los</w:t>
      </w:r>
      <w:r>
        <w:rPr>
          <w:color w:val="231F20"/>
          <w:spacing w:val="-4"/>
          <w:w w:val="105"/>
        </w:rPr>
        <w:t> </w:t>
      </w:r>
      <w:r>
        <w:rPr>
          <w:color w:val="231F20"/>
          <w:w w:val="105"/>
        </w:rPr>
        <w:t>recursos</w:t>
      </w:r>
      <w:r>
        <w:rPr>
          <w:color w:val="231F20"/>
          <w:spacing w:val="-4"/>
          <w:w w:val="105"/>
        </w:rPr>
        <w:t> </w:t>
      </w:r>
      <w:r>
        <w:rPr>
          <w:color w:val="231F20"/>
          <w:w w:val="105"/>
        </w:rPr>
        <w:t>públicos</w:t>
      </w:r>
      <w:r>
        <w:rPr>
          <w:color w:val="231F20"/>
          <w:spacing w:val="-4"/>
          <w:w w:val="105"/>
        </w:rPr>
        <w:t> </w:t>
      </w:r>
      <w:r>
        <w:rPr>
          <w:color w:val="231F20"/>
          <w:w w:val="105"/>
        </w:rPr>
        <w:t>para</w:t>
      </w:r>
      <w:r>
        <w:rPr>
          <w:color w:val="231F20"/>
          <w:spacing w:val="-4"/>
          <w:w w:val="105"/>
        </w:rPr>
        <w:t> </w:t>
      </w:r>
      <w:r>
        <w:rPr>
          <w:color w:val="231F20"/>
          <w:w w:val="105"/>
        </w:rPr>
        <w:t>reconocerlos</w:t>
      </w:r>
      <w:r>
        <w:rPr>
          <w:color w:val="231F20"/>
          <w:spacing w:val="-4"/>
          <w:w w:val="105"/>
        </w:rPr>
        <w:t> </w:t>
      </w:r>
      <w:r>
        <w:rPr>
          <w:color w:val="231F20"/>
          <w:w w:val="105"/>
        </w:rPr>
        <w:t>y ubicarlos en los puntos anotados</w:t>
      </w:r>
      <w:r>
        <w:rPr>
          <w:color w:val="231F20"/>
          <w:spacing w:val="-41"/>
          <w:w w:val="105"/>
        </w:rPr>
        <w:t> </w:t>
      </w:r>
      <w:r>
        <w:rPr>
          <w:color w:val="231F20"/>
          <w:w w:val="105"/>
        </w:rPr>
        <w:t>arriba.</w:t>
      </w:r>
    </w:p>
    <w:p>
      <w:pPr>
        <w:pStyle w:val="BodyText"/>
        <w:spacing w:before="1"/>
        <w:rPr>
          <w:sz w:val="26"/>
        </w:rPr>
      </w:pPr>
    </w:p>
    <w:p>
      <w:pPr>
        <w:pStyle w:val="BodyText"/>
        <w:spacing w:line="285" w:lineRule="auto"/>
        <w:ind w:left="110" w:right="108"/>
        <w:jc w:val="both"/>
      </w:pPr>
      <w:r>
        <w:rPr>
          <w:color w:val="231F20"/>
          <w:w w:val="105"/>
        </w:rPr>
        <w:t>De</w:t>
      </w:r>
      <w:r>
        <w:rPr>
          <w:color w:val="231F20"/>
          <w:spacing w:val="-8"/>
          <w:w w:val="105"/>
        </w:rPr>
        <w:t> </w:t>
      </w:r>
      <w:r>
        <w:rPr>
          <w:color w:val="231F20"/>
          <w:w w:val="105"/>
        </w:rPr>
        <w:t>una</w:t>
      </w:r>
      <w:r>
        <w:rPr>
          <w:color w:val="231F20"/>
          <w:spacing w:val="-8"/>
          <w:w w:val="105"/>
        </w:rPr>
        <w:t> </w:t>
      </w:r>
      <w:r>
        <w:rPr>
          <w:color w:val="231F20"/>
          <w:spacing w:val="-3"/>
          <w:w w:val="105"/>
        </w:rPr>
        <w:t>Población</w:t>
      </w:r>
      <w:r>
        <w:rPr>
          <w:color w:val="231F20"/>
          <w:spacing w:val="-8"/>
          <w:w w:val="105"/>
        </w:rPr>
        <w:t> </w:t>
      </w:r>
      <w:r>
        <w:rPr>
          <w:color w:val="231F20"/>
          <w:w w:val="105"/>
        </w:rPr>
        <w:t>Económicamente</w:t>
      </w:r>
      <w:r>
        <w:rPr>
          <w:color w:val="231F20"/>
          <w:spacing w:val="-8"/>
          <w:w w:val="105"/>
        </w:rPr>
        <w:t> </w:t>
      </w:r>
      <w:r>
        <w:rPr>
          <w:color w:val="231F20"/>
          <w:w w:val="105"/>
        </w:rPr>
        <w:t>Activa</w:t>
      </w:r>
      <w:r>
        <w:rPr>
          <w:color w:val="231F20"/>
          <w:spacing w:val="-8"/>
          <w:w w:val="105"/>
        </w:rPr>
        <w:t> </w:t>
      </w:r>
      <w:r>
        <w:rPr>
          <w:color w:val="231F20"/>
          <w:w w:val="105"/>
        </w:rPr>
        <w:t>de</w:t>
      </w:r>
      <w:r>
        <w:rPr>
          <w:color w:val="231F20"/>
          <w:spacing w:val="-8"/>
          <w:w w:val="105"/>
        </w:rPr>
        <w:t> </w:t>
      </w:r>
      <w:r>
        <w:rPr>
          <w:color w:val="231F20"/>
          <w:w w:val="105"/>
        </w:rPr>
        <w:t>43,274,</w:t>
      </w:r>
      <w:r>
        <w:rPr>
          <w:color w:val="231F20"/>
          <w:spacing w:val="-8"/>
          <w:w w:val="105"/>
        </w:rPr>
        <w:t> </w:t>
      </w:r>
      <w:r>
        <w:rPr>
          <w:color w:val="231F20"/>
          <w:w w:val="105"/>
        </w:rPr>
        <w:t>se</w:t>
      </w:r>
      <w:r>
        <w:rPr>
          <w:color w:val="231F20"/>
          <w:spacing w:val="-8"/>
          <w:w w:val="105"/>
        </w:rPr>
        <w:t> </w:t>
      </w:r>
      <w:r>
        <w:rPr>
          <w:color w:val="231F20"/>
          <w:w w:val="105"/>
        </w:rPr>
        <w:t>encuentran</w:t>
      </w:r>
      <w:r>
        <w:rPr>
          <w:color w:val="231F20"/>
          <w:spacing w:val="-8"/>
          <w:w w:val="105"/>
        </w:rPr>
        <w:t> </w:t>
      </w:r>
      <w:r>
        <w:rPr>
          <w:color w:val="231F20"/>
          <w:w w:val="105"/>
        </w:rPr>
        <w:t>ocupados</w:t>
      </w:r>
      <w:r>
        <w:rPr>
          <w:color w:val="231F20"/>
          <w:spacing w:val="-8"/>
          <w:w w:val="105"/>
        </w:rPr>
        <w:t> </w:t>
      </w:r>
      <w:r>
        <w:rPr>
          <w:color w:val="231F20"/>
          <w:w w:val="105"/>
        </w:rPr>
        <w:t>22,195, mientras</w:t>
      </w:r>
      <w:r>
        <w:rPr>
          <w:color w:val="231F20"/>
          <w:spacing w:val="-13"/>
          <w:w w:val="105"/>
        </w:rPr>
        <w:t> </w:t>
      </w:r>
      <w:r>
        <w:rPr>
          <w:color w:val="231F20"/>
          <w:w w:val="105"/>
        </w:rPr>
        <w:t>las</w:t>
      </w:r>
      <w:r>
        <w:rPr>
          <w:color w:val="231F20"/>
          <w:spacing w:val="-13"/>
          <w:w w:val="105"/>
        </w:rPr>
        <w:t> </w:t>
      </w:r>
      <w:r>
        <w:rPr>
          <w:color w:val="231F20"/>
          <w:w w:val="105"/>
        </w:rPr>
        <w:t>personas</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mantienen</w:t>
      </w:r>
      <w:r>
        <w:rPr>
          <w:color w:val="231F20"/>
          <w:spacing w:val="-13"/>
          <w:w w:val="105"/>
        </w:rPr>
        <w:t> </w:t>
      </w:r>
      <w:r>
        <w:rPr>
          <w:color w:val="231F20"/>
          <w:w w:val="105"/>
        </w:rPr>
        <w:t>inactivas</w:t>
      </w:r>
      <w:r>
        <w:rPr>
          <w:color w:val="231F20"/>
          <w:spacing w:val="-13"/>
          <w:w w:val="105"/>
        </w:rPr>
        <w:t> </w:t>
      </w:r>
      <w:r>
        <w:rPr>
          <w:color w:val="231F20"/>
          <w:spacing w:val="-8"/>
          <w:w w:val="105"/>
        </w:rPr>
        <w:t>y/o</w:t>
      </w:r>
      <w:r>
        <w:rPr>
          <w:color w:val="231F20"/>
          <w:spacing w:val="-13"/>
          <w:w w:val="105"/>
        </w:rPr>
        <w:t> </w:t>
      </w:r>
      <w:r>
        <w:rPr>
          <w:color w:val="231F20"/>
          <w:w w:val="105"/>
        </w:rPr>
        <w:t>desocupadas</w:t>
      </w:r>
      <w:r>
        <w:rPr>
          <w:color w:val="231F20"/>
          <w:spacing w:val="-13"/>
          <w:w w:val="105"/>
        </w:rPr>
        <w:t> </w:t>
      </w:r>
      <w:r>
        <w:rPr>
          <w:color w:val="231F20"/>
          <w:w w:val="105"/>
        </w:rPr>
        <w:t>son</w:t>
      </w:r>
      <w:r>
        <w:rPr>
          <w:color w:val="231F20"/>
          <w:spacing w:val="-13"/>
          <w:w w:val="105"/>
        </w:rPr>
        <w:t> </w:t>
      </w:r>
      <w:r>
        <w:rPr>
          <w:color w:val="231F20"/>
          <w:spacing w:val="-4"/>
          <w:w w:val="105"/>
        </w:rPr>
        <w:t>21,079.</w:t>
      </w:r>
      <w:r>
        <w:rPr>
          <w:color w:val="231F20"/>
          <w:spacing w:val="-13"/>
          <w:w w:val="105"/>
        </w:rPr>
        <w:t> </w:t>
      </w:r>
      <w:r>
        <w:rPr>
          <w:color w:val="231F20"/>
          <w:w w:val="105"/>
        </w:rPr>
        <w:t>Los</w:t>
      </w:r>
      <w:r>
        <w:rPr>
          <w:color w:val="231F20"/>
          <w:spacing w:val="-13"/>
          <w:w w:val="105"/>
        </w:rPr>
        <w:t> </w:t>
      </w:r>
      <w:r>
        <w:rPr>
          <w:color w:val="231F20"/>
          <w:w w:val="105"/>
        </w:rPr>
        <w:t>ocu- pados</w:t>
      </w:r>
      <w:r>
        <w:rPr>
          <w:color w:val="231F20"/>
          <w:spacing w:val="-18"/>
          <w:w w:val="105"/>
        </w:rPr>
        <w:t> </w:t>
      </w:r>
      <w:r>
        <w:rPr>
          <w:color w:val="231F20"/>
          <w:w w:val="105"/>
        </w:rPr>
        <w:t>se</w:t>
      </w:r>
      <w:r>
        <w:rPr>
          <w:color w:val="231F20"/>
          <w:spacing w:val="-18"/>
          <w:w w:val="105"/>
        </w:rPr>
        <w:t> </w:t>
      </w:r>
      <w:r>
        <w:rPr>
          <w:color w:val="231F20"/>
          <w:w w:val="105"/>
        </w:rPr>
        <w:t>encentran</w:t>
      </w:r>
      <w:r>
        <w:rPr>
          <w:color w:val="231F20"/>
          <w:spacing w:val="-18"/>
          <w:w w:val="105"/>
        </w:rPr>
        <w:t> </w:t>
      </w:r>
      <w:r>
        <w:rPr>
          <w:color w:val="231F20"/>
          <w:w w:val="105"/>
        </w:rPr>
        <w:t>activos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sector</w:t>
      </w:r>
      <w:r>
        <w:rPr>
          <w:color w:val="231F20"/>
          <w:spacing w:val="-18"/>
          <w:w w:val="105"/>
        </w:rPr>
        <w:t> </w:t>
      </w:r>
      <w:r>
        <w:rPr>
          <w:color w:val="231F20"/>
          <w:w w:val="105"/>
        </w:rPr>
        <w:t>servicios</w:t>
      </w:r>
      <w:r>
        <w:rPr>
          <w:color w:val="231F20"/>
          <w:spacing w:val="-18"/>
          <w:w w:val="105"/>
        </w:rPr>
        <w:t> </w:t>
      </w:r>
      <w:r>
        <w:rPr>
          <w:color w:val="231F20"/>
          <w:w w:val="105"/>
        </w:rPr>
        <w:t>con</w:t>
      </w:r>
      <w:r>
        <w:rPr>
          <w:color w:val="231F20"/>
          <w:spacing w:val="-18"/>
          <w:w w:val="105"/>
        </w:rPr>
        <w:t> </w:t>
      </w:r>
      <w:r>
        <w:rPr>
          <w:color w:val="231F20"/>
          <w:spacing w:val="-3"/>
          <w:w w:val="105"/>
        </w:rPr>
        <w:t>11,037</w:t>
      </w:r>
      <w:r>
        <w:rPr>
          <w:color w:val="231F20"/>
          <w:spacing w:val="-18"/>
          <w:w w:val="105"/>
        </w:rPr>
        <w:t> </w:t>
      </w:r>
      <w:r>
        <w:rPr>
          <w:color w:val="231F20"/>
          <w:w w:val="105"/>
        </w:rPr>
        <w:t>personas,</w:t>
      </w:r>
      <w:r>
        <w:rPr>
          <w:color w:val="231F20"/>
          <w:spacing w:val="-18"/>
          <w:w w:val="105"/>
        </w:rPr>
        <w:t> </w:t>
      </w:r>
      <w:r>
        <w:rPr>
          <w:color w:val="231F20"/>
          <w:w w:val="105"/>
        </w:rPr>
        <w:t>seguida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gen- </w:t>
      </w:r>
      <w:r>
        <w:rPr>
          <w:color w:val="231F20"/>
          <w:w w:val="105"/>
        </w:rPr>
        <w:t>te</w:t>
      </w:r>
      <w:r>
        <w:rPr>
          <w:color w:val="231F20"/>
          <w:spacing w:val="-4"/>
          <w:w w:val="105"/>
        </w:rPr>
        <w:t> </w:t>
      </w:r>
      <w:r>
        <w:rPr>
          <w:color w:val="231F20"/>
          <w:w w:val="105"/>
        </w:rPr>
        <w:t>trabajando</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industria</w:t>
      </w:r>
      <w:r>
        <w:rPr>
          <w:color w:val="231F20"/>
          <w:spacing w:val="-4"/>
          <w:w w:val="105"/>
        </w:rPr>
        <w:t> </w:t>
      </w:r>
      <w:r>
        <w:rPr>
          <w:color w:val="231F20"/>
          <w:w w:val="105"/>
        </w:rPr>
        <w:t>con</w:t>
      </w:r>
      <w:r>
        <w:rPr>
          <w:color w:val="231F20"/>
          <w:spacing w:val="-4"/>
          <w:w w:val="105"/>
        </w:rPr>
        <w:t> </w:t>
      </w:r>
      <w:r>
        <w:rPr>
          <w:color w:val="231F20"/>
          <w:w w:val="105"/>
        </w:rPr>
        <w:t>9,293.</w:t>
      </w:r>
      <w:r>
        <w:rPr>
          <w:color w:val="231F20"/>
          <w:spacing w:val="-4"/>
          <w:w w:val="105"/>
        </w:rPr>
        <w:t> </w:t>
      </w:r>
      <w:r>
        <w:rPr>
          <w:color w:val="231F20"/>
          <w:w w:val="105"/>
        </w:rPr>
        <w:t>Se</w:t>
      </w:r>
      <w:r>
        <w:rPr>
          <w:color w:val="231F20"/>
          <w:spacing w:val="-4"/>
          <w:w w:val="105"/>
        </w:rPr>
        <w:t> </w:t>
      </w:r>
      <w:r>
        <w:rPr>
          <w:color w:val="231F20"/>
          <w:w w:val="105"/>
        </w:rPr>
        <w:t>pude</w:t>
      </w:r>
      <w:r>
        <w:rPr>
          <w:color w:val="231F20"/>
          <w:spacing w:val="-4"/>
          <w:w w:val="105"/>
        </w:rPr>
        <w:t> </w:t>
      </w:r>
      <w:r>
        <w:rPr>
          <w:color w:val="231F20"/>
          <w:w w:val="105"/>
        </w:rPr>
        <w:t>apreciar</w:t>
      </w:r>
      <w:r>
        <w:rPr>
          <w:color w:val="231F20"/>
          <w:spacing w:val="-4"/>
          <w:w w:val="105"/>
        </w:rPr>
        <w:t> </w:t>
      </w:r>
      <w:r>
        <w:rPr>
          <w:color w:val="231F20"/>
          <w:w w:val="105"/>
        </w:rPr>
        <w:t>la</w:t>
      </w:r>
      <w:r>
        <w:rPr>
          <w:color w:val="231F20"/>
          <w:spacing w:val="-4"/>
          <w:w w:val="105"/>
        </w:rPr>
        <w:t> </w:t>
      </w:r>
      <w:r>
        <w:rPr>
          <w:color w:val="231F20"/>
          <w:w w:val="105"/>
        </w:rPr>
        <w:t>importancia</w:t>
      </w:r>
      <w:r>
        <w:rPr>
          <w:color w:val="231F20"/>
          <w:spacing w:val="-4"/>
          <w:w w:val="105"/>
        </w:rPr>
        <w:t> </w:t>
      </w:r>
      <w:r>
        <w:rPr>
          <w:color w:val="231F20"/>
          <w:w w:val="105"/>
        </w:rPr>
        <w:t>que</w:t>
      </w:r>
      <w:r>
        <w:rPr>
          <w:color w:val="231F20"/>
          <w:spacing w:val="-4"/>
          <w:w w:val="105"/>
        </w:rPr>
        <w:t> </w:t>
      </w:r>
      <w:r>
        <w:rPr>
          <w:color w:val="231F20"/>
          <w:w w:val="105"/>
        </w:rPr>
        <w:t>tiene,</w:t>
      </w:r>
      <w:r>
        <w:rPr>
          <w:color w:val="231F20"/>
          <w:spacing w:val="-4"/>
          <w:w w:val="105"/>
        </w:rPr>
        <w:t> </w:t>
      </w:r>
      <w:r>
        <w:rPr>
          <w:color w:val="231F20"/>
          <w:w w:val="105"/>
        </w:rPr>
        <w:t>par- ticularmente</w:t>
      </w:r>
      <w:r>
        <w:rPr>
          <w:color w:val="231F20"/>
          <w:spacing w:val="-9"/>
          <w:w w:val="105"/>
        </w:rPr>
        <w:t> </w:t>
      </w:r>
      <w:r>
        <w:rPr>
          <w:color w:val="231F20"/>
          <w:w w:val="105"/>
        </w:rPr>
        <w:t>el</w:t>
      </w:r>
      <w:r>
        <w:rPr>
          <w:color w:val="231F20"/>
          <w:spacing w:val="-9"/>
          <w:w w:val="105"/>
        </w:rPr>
        <w:t> </w:t>
      </w:r>
      <w:r>
        <w:rPr>
          <w:color w:val="231F20"/>
          <w:w w:val="105"/>
        </w:rPr>
        <w:t>turismo</w:t>
      </w:r>
      <w:r>
        <w:rPr>
          <w:color w:val="231F20"/>
          <w:spacing w:val="-9"/>
          <w:w w:val="105"/>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acciones</w:t>
      </w:r>
      <w:r>
        <w:rPr>
          <w:color w:val="231F20"/>
          <w:spacing w:val="-9"/>
          <w:w w:val="105"/>
        </w:rPr>
        <w:t> </w:t>
      </w:r>
      <w:r>
        <w:rPr>
          <w:color w:val="231F20"/>
          <w:w w:val="105"/>
        </w:rPr>
        <w:t>tendientes</w:t>
      </w:r>
      <w:r>
        <w:rPr>
          <w:color w:val="231F20"/>
          <w:spacing w:val="-9"/>
          <w:w w:val="105"/>
        </w:rPr>
        <w:t> </w:t>
      </w:r>
      <w:r>
        <w:rPr>
          <w:color w:val="231F20"/>
          <w:w w:val="105"/>
        </w:rPr>
        <w:t>a</w:t>
      </w:r>
      <w:r>
        <w:rPr>
          <w:color w:val="231F20"/>
          <w:spacing w:val="-9"/>
          <w:w w:val="105"/>
        </w:rPr>
        <w:t> </w:t>
      </w:r>
      <w:r>
        <w:rPr>
          <w:color w:val="231F20"/>
          <w:w w:val="105"/>
        </w:rPr>
        <w:t>su</w:t>
      </w:r>
      <w:r>
        <w:rPr>
          <w:color w:val="231F20"/>
          <w:spacing w:val="-9"/>
          <w:w w:val="105"/>
        </w:rPr>
        <w:t> </w:t>
      </w:r>
      <w:r>
        <w:rPr>
          <w:color w:val="231F20"/>
          <w:spacing w:val="-3"/>
          <w:w w:val="105"/>
        </w:rPr>
        <w:t>fomento</w:t>
      </w:r>
      <w:r>
        <w:rPr>
          <w:color w:val="231F20"/>
          <w:spacing w:val="-9"/>
          <w:w w:val="105"/>
        </w:rPr>
        <w:t> </w:t>
      </w:r>
      <w:r>
        <w:rPr>
          <w:color w:val="231F20"/>
          <w:w w:val="105"/>
        </w:rPr>
        <w:t>y</w:t>
      </w:r>
      <w:r>
        <w:rPr>
          <w:color w:val="231F20"/>
          <w:spacing w:val="-9"/>
          <w:w w:val="105"/>
        </w:rPr>
        <w:t> </w:t>
      </w:r>
      <w:r>
        <w:rPr>
          <w:color w:val="231F20"/>
          <w:w w:val="105"/>
        </w:rPr>
        <w:t>promoción,</w:t>
      </w:r>
      <w:r>
        <w:rPr>
          <w:color w:val="231F20"/>
          <w:spacing w:val="-9"/>
          <w:w w:val="105"/>
        </w:rPr>
        <w:t> </w:t>
      </w:r>
      <w:r>
        <w:rPr>
          <w:color w:val="231F20"/>
          <w:w w:val="105"/>
        </w:rPr>
        <w:t>ya</w:t>
      </w:r>
      <w:r>
        <w:rPr>
          <w:color w:val="231F20"/>
          <w:spacing w:val="-9"/>
          <w:w w:val="105"/>
        </w:rPr>
        <w:t> </w:t>
      </w:r>
      <w:r>
        <w:rPr>
          <w:color w:val="231F20"/>
          <w:w w:val="105"/>
        </w:rPr>
        <w:t>que</w:t>
      </w:r>
      <w:r>
        <w:rPr>
          <w:color w:val="231F20"/>
          <w:spacing w:val="-9"/>
          <w:w w:val="105"/>
        </w:rPr>
        <w:t> </w:t>
      </w:r>
      <w:r>
        <w:rPr>
          <w:color w:val="231F20"/>
          <w:w w:val="105"/>
        </w:rPr>
        <w:t>por ser</w:t>
      </w:r>
      <w:r>
        <w:rPr>
          <w:color w:val="231F20"/>
          <w:spacing w:val="-10"/>
          <w:w w:val="105"/>
        </w:rPr>
        <w:t> </w:t>
      </w:r>
      <w:r>
        <w:rPr>
          <w:color w:val="231F20"/>
          <w:w w:val="105"/>
        </w:rPr>
        <w:t>parte</w:t>
      </w:r>
      <w:r>
        <w:rPr>
          <w:color w:val="231F20"/>
          <w:spacing w:val="-10"/>
          <w:w w:val="105"/>
        </w:rPr>
        <w:t> </w:t>
      </w:r>
      <w:r>
        <w:rPr>
          <w:color w:val="231F20"/>
          <w:w w:val="105"/>
        </w:rPr>
        <w:t>del</w:t>
      </w:r>
      <w:r>
        <w:rPr>
          <w:color w:val="231F20"/>
          <w:spacing w:val="-10"/>
          <w:w w:val="105"/>
        </w:rPr>
        <w:t> </w:t>
      </w:r>
      <w:r>
        <w:rPr>
          <w:color w:val="231F20"/>
          <w:w w:val="105"/>
        </w:rPr>
        <w:t>corredor</w:t>
      </w:r>
      <w:r>
        <w:rPr>
          <w:color w:val="231F20"/>
          <w:spacing w:val="-10"/>
          <w:w w:val="105"/>
        </w:rPr>
        <w:t> </w:t>
      </w:r>
      <w:r>
        <w:rPr>
          <w:color w:val="231F20"/>
          <w:w w:val="105"/>
        </w:rPr>
        <w:t>turístico</w:t>
      </w:r>
      <w:r>
        <w:rPr>
          <w:color w:val="231F20"/>
          <w:spacing w:val="-10"/>
          <w:w w:val="105"/>
        </w:rPr>
        <w:t> </w:t>
      </w:r>
      <w:r>
        <w:rPr>
          <w:color w:val="231F20"/>
          <w:w w:val="105"/>
        </w:rPr>
        <w:t>del</w:t>
      </w:r>
      <w:r>
        <w:rPr>
          <w:color w:val="231F20"/>
          <w:spacing w:val="-10"/>
          <w:w w:val="105"/>
        </w:rPr>
        <w:t> </w:t>
      </w:r>
      <w:r>
        <w:rPr>
          <w:color w:val="231F20"/>
          <w:w w:val="105"/>
        </w:rPr>
        <w:t>norte</w:t>
      </w:r>
      <w:r>
        <w:rPr>
          <w:color w:val="231F20"/>
          <w:spacing w:val="-10"/>
          <w:w w:val="105"/>
        </w:rPr>
        <w:t> </w:t>
      </w:r>
      <w:r>
        <w:rPr>
          <w:color w:val="231F20"/>
          <w:w w:val="105"/>
        </w:rPr>
        <w:t>se</w:t>
      </w:r>
      <w:r>
        <w:rPr>
          <w:color w:val="231F20"/>
          <w:spacing w:val="-10"/>
          <w:w w:val="105"/>
        </w:rPr>
        <w:t> </w:t>
      </w:r>
      <w:r>
        <w:rPr>
          <w:color w:val="231F20"/>
          <w:w w:val="105"/>
        </w:rPr>
        <w:t>atiende</w:t>
      </w:r>
      <w:r>
        <w:rPr>
          <w:color w:val="231F20"/>
          <w:spacing w:val="-10"/>
          <w:w w:val="105"/>
        </w:rPr>
        <w:t> </w:t>
      </w:r>
      <w:r>
        <w:rPr>
          <w:color w:val="231F20"/>
          <w:w w:val="105"/>
        </w:rPr>
        <w:t>a</w:t>
      </w:r>
      <w:r>
        <w:rPr>
          <w:color w:val="231F20"/>
          <w:spacing w:val="-10"/>
          <w:w w:val="105"/>
        </w:rPr>
        <w:t> </w:t>
      </w:r>
      <w:r>
        <w:rPr>
          <w:color w:val="231F20"/>
          <w:w w:val="105"/>
        </w:rPr>
        <w:t>un</w:t>
      </w:r>
      <w:r>
        <w:rPr>
          <w:color w:val="231F20"/>
          <w:spacing w:val="-10"/>
          <w:w w:val="105"/>
        </w:rPr>
        <w:t> </w:t>
      </w:r>
      <w:r>
        <w:rPr>
          <w:color w:val="231F20"/>
          <w:w w:val="105"/>
        </w:rPr>
        <w:t>promedio</w:t>
      </w:r>
      <w:r>
        <w:rPr>
          <w:color w:val="231F20"/>
          <w:spacing w:val="-10"/>
          <w:w w:val="105"/>
        </w:rPr>
        <w:t> </w:t>
      </w:r>
      <w:r>
        <w:rPr>
          <w:color w:val="231F20"/>
          <w:w w:val="105"/>
        </w:rPr>
        <w:t>de</w:t>
      </w:r>
      <w:r>
        <w:rPr>
          <w:color w:val="231F20"/>
          <w:spacing w:val="-10"/>
          <w:w w:val="105"/>
        </w:rPr>
        <w:t> </w:t>
      </w:r>
      <w:r>
        <w:rPr>
          <w:color w:val="231F20"/>
          <w:w w:val="105"/>
        </w:rPr>
        <w:t>725,343</w:t>
      </w:r>
      <w:r>
        <w:rPr>
          <w:color w:val="231F20"/>
          <w:spacing w:val="-10"/>
          <w:w w:val="105"/>
        </w:rPr>
        <w:t> </w:t>
      </w:r>
      <w:r>
        <w:rPr>
          <w:color w:val="231F20"/>
          <w:w w:val="105"/>
        </w:rPr>
        <w:t>visitantes anuales, que representa un ingreso de 144,700 pesos en ese lapso. </w:t>
      </w:r>
      <w:r>
        <w:rPr>
          <w:color w:val="231F20"/>
          <w:spacing w:val="-3"/>
          <w:w w:val="105"/>
        </w:rPr>
        <w:t>Por </w:t>
      </w:r>
      <w:r>
        <w:rPr>
          <w:color w:val="231F20"/>
          <w:w w:val="105"/>
        </w:rPr>
        <w:t>tanto el egreso que</w:t>
      </w:r>
      <w:r>
        <w:rPr>
          <w:color w:val="231F20"/>
          <w:spacing w:val="-10"/>
          <w:w w:val="105"/>
        </w:rPr>
        <w:t> </w:t>
      </w:r>
      <w:r>
        <w:rPr>
          <w:color w:val="231F20"/>
          <w:w w:val="105"/>
        </w:rPr>
        <w:t>representa</w:t>
      </w:r>
      <w:r>
        <w:rPr>
          <w:color w:val="231F20"/>
          <w:spacing w:val="-10"/>
          <w:w w:val="105"/>
        </w:rPr>
        <w:t> </w:t>
      </w:r>
      <w:r>
        <w:rPr>
          <w:color w:val="231F20"/>
          <w:w w:val="105"/>
        </w:rPr>
        <w:t>la</w:t>
      </w:r>
      <w:r>
        <w:rPr>
          <w:color w:val="231F20"/>
          <w:spacing w:val="-10"/>
          <w:w w:val="105"/>
        </w:rPr>
        <w:t> </w:t>
      </w:r>
      <w:r>
        <w:rPr>
          <w:color w:val="231F20"/>
          <w:w w:val="105"/>
        </w:rPr>
        <w:t>obra</w:t>
      </w:r>
      <w:r>
        <w:rPr>
          <w:color w:val="231F20"/>
          <w:spacing w:val="-10"/>
          <w:w w:val="105"/>
        </w:rPr>
        <w:t> </w:t>
      </w:r>
      <w:r>
        <w:rPr>
          <w:color w:val="231F20"/>
          <w:w w:val="105"/>
        </w:rPr>
        <w:t>pública</w:t>
      </w:r>
      <w:r>
        <w:rPr>
          <w:color w:val="231F20"/>
          <w:spacing w:val="-10"/>
          <w:w w:val="105"/>
        </w:rPr>
        <w:t> </w:t>
      </w:r>
      <w:r>
        <w:rPr>
          <w:color w:val="231F20"/>
          <w:w w:val="105"/>
        </w:rPr>
        <w:t>para</w:t>
      </w:r>
      <w:r>
        <w:rPr>
          <w:color w:val="231F20"/>
          <w:spacing w:val="-10"/>
          <w:w w:val="105"/>
        </w:rPr>
        <w:t> </w:t>
      </w:r>
      <w:r>
        <w:rPr>
          <w:color w:val="231F20"/>
          <w:w w:val="105"/>
        </w:rPr>
        <w:t>los</w:t>
      </w:r>
      <w:r>
        <w:rPr>
          <w:color w:val="231F20"/>
          <w:spacing w:val="-10"/>
          <w:w w:val="105"/>
        </w:rPr>
        <w:t> </w:t>
      </w:r>
      <w:r>
        <w:rPr>
          <w:color w:val="231F20"/>
          <w:w w:val="105"/>
        </w:rPr>
        <w:t>asuntos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infraestructura,</w:t>
      </w:r>
      <w:r>
        <w:rPr>
          <w:color w:val="231F20"/>
          <w:spacing w:val="-10"/>
          <w:w w:val="105"/>
        </w:rPr>
        <w:t> </w:t>
      </w:r>
      <w:r>
        <w:rPr>
          <w:color w:val="231F20"/>
          <w:w w:val="105"/>
        </w:rPr>
        <w:t>particularmente</w:t>
      </w:r>
      <w:r>
        <w:rPr>
          <w:color w:val="231F20"/>
          <w:spacing w:val="-10"/>
          <w:w w:val="105"/>
        </w:rPr>
        <w:t> </w:t>
      </w:r>
      <w:r>
        <w:rPr>
          <w:color w:val="231F20"/>
          <w:w w:val="105"/>
        </w:rPr>
        <w:t>la de</w:t>
      </w:r>
      <w:r>
        <w:rPr>
          <w:color w:val="231F20"/>
          <w:spacing w:val="-16"/>
          <w:w w:val="105"/>
        </w:rPr>
        <w:t> </w:t>
      </w:r>
      <w:r>
        <w:rPr>
          <w:color w:val="231F20"/>
          <w:w w:val="105"/>
        </w:rPr>
        <w:t>las</w:t>
      </w:r>
      <w:r>
        <w:rPr>
          <w:color w:val="231F20"/>
          <w:spacing w:val="-16"/>
          <w:w w:val="105"/>
        </w:rPr>
        <w:t> </w:t>
      </w:r>
      <w:r>
        <w:rPr>
          <w:color w:val="231F20"/>
          <w:w w:val="105"/>
        </w:rPr>
        <w:t>vías</w:t>
      </w:r>
      <w:r>
        <w:rPr>
          <w:color w:val="231F20"/>
          <w:spacing w:val="-16"/>
          <w:w w:val="105"/>
        </w:rPr>
        <w:t> </w:t>
      </w:r>
      <w:r>
        <w:rPr>
          <w:color w:val="231F20"/>
          <w:w w:val="105"/>
        </w:rPr>
        <w:t>de</w:t>
      </w:r>
      <w:r>
        <w:rPr>
          <w:color w:val="231F20"/>
          <w:spacing w:val="-16"/>
          <w:w w:val="105"/>
        </w:rPr>
        <w:t> </w:t>
      </w:r>
      <w:r>
        <w:rPr>
          <w:color w:val="231F20"/>
          <w:w w:val="105"/>
        </w:rPr>
        <w:t>comunicación,</w:t>
      </w:r>
      <w:r>
        <w:rPr>
          <w:color w:val="231F20"/>
          <w:spacing w:val="-16"/>
          <w:w w:val="105"/>
        </w:rPr>
        <w:t> </w:t>
      </w:r>
      <w:r>
        <w:rPr>
          <w:color w:val="231F20"/>
          <w:w w:val="105"/>
        </w:rPr>
        <w:t>se</w:t>
      </w:r>
      <w:r>
        <w:rPr>
          <w:color w:val="231F20"/>
          <w:spacing w:val="-16"/>
          <w:w w:val="105"/>
        </w:rPr>
        <w:t> </w:t>
      </w:r>
      <w:r>
        <w:rPr>
          <w:color w:val="231F20"/>
          <w:w w:val="105"/>
        </w:rPr>
        <w:t>manifiesta</w:t>
      </w:r>
      <w:r>
        <w:rPr>
          <w:color w:val="231F20"/>
          <w:spacing w:val="-16"/>
          <w:w w:val="105"/>
        </w:rPr>
        <w:t> </w:t>
      </w:r>
      <w:r>
        <w:rPr>
          <w:color w:val="231F20"/>
          <w:spacing w:val="2"/>
          <w:w w:val="105"/>
        </w:rPr>
        <w:t>al</w:t>
      </w:r>
      <w:r>
        <w:rPr>
          <w:color w:val="231F20"/>
          <w:spacing w:val="-16"/>
          <w:w w:val="105"/>
        </w:rPr>
        <w:t> </w:t>
      </w:r>
      <w:r>
        <w:rPr>
          <w:color w:val="231F20"/>
          <w:w w:val="105"/>
        </w:rPr>
        <w:t>observar</w:t>
      </w:r>
      <w:r>
        <w:rPr>
          <w:color w:val="231F20"/>
          <w:spacing w:val="-16"/>
          <w:w w:val="105"/>
        </w:rPr>
        <w:t> </w:t>
      </w:r>
      <w:r>
        <w:rPr>
          <w:color w:val="231F20"/>
          <w:w w:val="105"/>
        </w:rPr>
        <w:t>el</w:t>
      </w:r>
      <w:r>
        <w:rPr>
          <w:color w:val="231F20"/>
          <w:spacing w:val="-16"/>
          <w:w w:val="105"/>
        </w:rPr>
        <w:t> </w:t>
      </w:r>
      <w:r>
        <w:rPr>
          <w:color w:val="231F20"/>
          <w:spacing w:val="-3"/>
          <w:w w:val="105"/>
        </w:rPr>
        <w:t>monto</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aplica</w:t>
      </w:r>
      <w:r>
        <w:rPr>
          <w:color w:val="231F20"/>
          <w:spacing w:val="-16"/>
          <w:w w:val="105"/>
        </w:rPr>
        <w:t> </w:t>
      </w:r>
      <w:r>
        <w:rPr>
          <w:color w:val="231F20"/>
          <w:spacing w:val="2"/>
          <w:w w:val="105"/>
        </w:rPr>
        <w:t>al</w:t>
      </w:r>
      <w:r>
        <w:rPr>
          <w:color w:val="231F20"/>
          <w:spacing w:val="-16"/>
          <w:w w:val="105"/>
        </w:rPr>
        <w:t> </w:t>
      </w:r>
      <w:r>
        <w:rPr>
          <w:color w:val="231F20"/>
          <w:w w:val="105"/>
        </w:rPr>
        <w:t>capítulo </w:t>
      </w:r>
      <w:r>
        <w:rPr>
          <w:color w:val="231F20"/>
          <w:spacing w:val="3"/>
          <w:w w:val="105"/>
        </w:rPr>
        <w:t>6,000</w:t>
      </w:r>
      <w:r>
        <w:rPr>
          <w:color w:val="231F20"/>
          <w:spacing w:val="-15"/>
          <w:w w:val="105"/>
        </w:rPr>
        <w:t> </w:t>
      </w:r>
      <w:r>
        <w:rPr>
          <w:color w:val="231F20"/>
          <w:w w:val="105"/>
        </w:rPr>
        <w:t>del</w:t>
      </w:r>
      <w:r>
        <w:rPr>
          <w:color w:val="231F20"/>
          <w:spacing w:val="-15"/>
          <w:w w:val="105"/>
        </w:rPr>
        <w:t> </w:t>
      </w:r>
      <w:r>
        <w:rPr>
          <w:color w:val="231F20"/>
          <w:w w:val="105"/>
        </w:rPr>
        <w:t>clasificador</w:t>
      </w:r>
      <w:r>
        <w:rPr>
          <w:color w:val="231F20"/>
          <w:spacing w:val="-15"/>
          <w:w w:val="105"/>
        </w:rPr>
        <w:t> </w:t>
      </w:r>
      <w:r>
        <w:rPr>
          <w:color w:val="231F20"/>
          <w:w w:val="105"/>
        </w:rPr>
        <w:t>por</w:t>
      </w:r>
      <w:r>
        <w:rPr>
          <w:color w:val="231F20"/>
          <w:spacing w:val="-15"/>
          <w:w w:val="105"/>
        </w:rPr>
        <w:t> </w:t>
      </w:r>
      <w:r>
        <w:rPr>
          <w:color w:val="231F20"/>
          <w:w w:val="105"/>
        </w:rPr>
        <w:t>objeto</w:t>
      </w:r>
      <w:r>
        <w:rPr>
          <w:color w:val="231F20"/>
          <w:spacing w:val="-15"/>
          <w:w w:val="105"/>
        </w:rPr>
        <w:t> </w:t>
      </w:r>
      <w:r>
        <w:rPr>
          <w:color w:val="231F20"/>
          <w:w w:val="105"/>
        </w:rPr>
        <w:t>del</w:t>
      </w:r>
      <w:r>
        <w:rPr>
          <w:color w:val="231F20"/>
          <w:spacing w:val="-15"/>
          <w:w w:val="105"/>
        </w:rPr>
        <w:t> </w:t>
      </w:r>
      <w:r>
        <w:rPr>
          <w:color w:val="231F20"/>
          <w:w w:val="105"/>
        </w:rPr>
        <w:t>gasto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muestra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Cuadro</w:t>
      </w:r>
      <w:r>
        <w:rPr>
          <w:color w:val="231F20"/>
          <w:spacing w:val="-15"/>
          <w:w w:val="105"/>
        </w:rPr>
        <w:t> </w:t>
      </w:r>
      <w:r>
        <w:rPr>
          <w:color w:val="231F20"/>
          <w:w w:val="105"/>
        </w:rPr>
        <w:t>3.</w:t>
      </w:r>
    </w:p>
    <w:p>
      <w:pPr>
        <w:spacing w:after="0" w:line="285" w:lineRule="auto"/>
        <w:jc w:val="both"/>
        <w:sectPr>
          <w:footerReference w:type="default" r:id="rId623"/>
          <w:pgSz w:w="9640" w:h="12190"/>
          <w:pgMar w:footer="743" w:header="0" w:top="1120" w:bottom="940" w:left="740" w:right="740"/>
          <w:pgNumType w:start="210"/>
        </w:sectPr>
      </w:pPr>
    </w:p>
    <w:p>
      <w:pPr>
        <w:pStyle w:val="Heading5"/>
        <w:spacing w:before="27"/>
        <w:ind w:left="1927"/>
      </w:pPr>
      <w:r>
        <w:rPr>
          <w:color w:val="231F20"/>
          <w:w w:val="105"/>
        </w:rPr>
        <w:t>Cuadro 3 Presupuesto por concepto de gasto</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80"/>
        <w:gridCol w:w="2527"/>
        <w:gridCol w:w="1037"/>
        <w:gridCol w:w="1245"/>
        <w:gridCol w:w="1029"/>
        <w:gridCol w:w="1211"/>
      </w:tblGrid>
      <w:tr>
        <w:trPr>
          <w:trHeight w:val="160" w:hRule="exact"/>
        </w:trPr>
        <w:tc>
          <w:tcPr>
            <w:tcW w:w="880" w:type="dxa"/>
            <w:vMerge w:val="restart"/>
          </w:tcPr>
          <w:p>
            <w:pPr>
              <w:pStyle w:val="TableParagraph"/>
              <w:spacing w:line="204" w:lineRule="exact"/>
              <w:ind w:left="177"/>
              <w:rPr>
                <w:sz w:val="20"/>
              </w:rPr>
            </w:pPr>
            <w:r>
              <w:rPr>
                <w:color w:val="231F20"/>
                <w:w w:val="85"/>
                <w:sz w:val="20"/>
              </w:rPr>
              <w:t>Capítulo</w:t>
            </w:r>
          </w:p>
        </w:tc>
        <w:tc>
          <w:tcPr>
            <w:tcW w:w="2527" w:type="dxa"/>
            <w:vMerge w:val="restart"/>
          </w:tcPr>
          <w:p>
            <w:pPr>
              <w:pStyle w:val="TableParagraph"/>
              <w:spacing w:line="204" w:lineRule="exact"/>
              <w:ind w:left="187" w:right="187"/>
              <w:jc w:val="center"/>
              <w:rPr>
                <w:sz w:val="20"/>
              </w:rPr>
            </w:pPr>
            <w:r>
              <w:rPr>
                <w:color w:val="231F20"/>
                <w:w w:val="85"/>
                <w:sz w:val="20"/>
              </w:rPr>
              <w:t>Concepto</w:t>
            </w:r>
          </w:p>
        </w:tc>
        <w:tc>
          <w:tcPr>
            <w:tcW w:w="4521" w:type="dxa"/>
            <w:gridSpan w:val="4"/>
          </w:tcPr>
          <w:p>
            <w:pPr>
              <w:pStyle w:val="TableParagraph"/>
              <w:spacing w:line="190" w:lineRule="exact"/>
              <w:ind w:left="2084" w:right="2084"/>
              <w:jc w:val="center"/>
              <w:rPr>
                <w:sz w:val="20"/>
              </w:rPr>
            </w:pPr>
            <w:r>
              <w:rPr>
                <w:color w:val="231F20"/>
                <w:w w:val="80"/>
                <w:sz w:val="20"/>
              </w:rPr>
              <w:t>AÑO</w:t>
            </w:r>
          </w:p>
        </w:tc>
      </w:tr>
      <w:tr>
        <w:trPr>
          <w:trHeight w:val="210" w:hRule="exact"/>
        </w:trPr>
        <w:tc>
          <w:tcPr>
            <w:tcW w:w="880" w:type="dxa"/>
            <w:vMerge/>
          </w:tcPr>
          <w:p>
            <w:pPr/>
          </w:p>
        </w:tc>
        <w:tc>
          <w:tcPr>
            <w:tcW w:w="2527" w:type="dxa"/>
            <w:vMerge/>
          </w:tcPr>
          <w:p>
            <w:pPr/>
          </w:p>
        </w:tc>
        <w:tc>
          <w:tcPr>
            <w:tcW w:w="1037" w:type="dxa"/>
          </w:tcPr>
          <w:p>
            <w:pPr>
              <w:pStyle w:val="TableParagraph"/>
              <w:spacing w:line="163" w:lineRule="exact"/>
              <w:ind w:left="355" w:right="355"/>
              <w:jc w:val="center"/>
              <w:rPr>
                <w:sz w:val="16"/>
              </w:rPr>
            </w:pPr>
            <w:r>
              <w:rPr>
                <w:color w:val="231F20"/>
                <w:w w:val="85"/>
                <w:sz w:val="16"/>
              </w:rPr>
              <w:t>2005</w:t>
            </w:r>
          </w:p>
        </w:tc>
        <w:tc>
          <w:tcPr>
            <w:tcW w:w="1245" w:type="dxa"/>
          </w:tcPr>
          <w:p>
            <w:pPr>
              <w:pStyle w:val="TableParagraph"/>
              <w:spacing w:line="163" w:lineRule="exact"/>
              <w:ind w:left="191" w:right="191"/>
              <w:jc w:val="center"/>
              <w:rPr>
                <w:sz w:val="16"/>
              </w:rPr>
            </w:pPr>
            <w:r>
              <w:rPr>
                <w:color w:val="231F20"/>
                <w:w w:val="85"/>
                <w:sz w:val="16"/>
              </w:rPr>
              <w:t>2006</w:t>
            </w:r>
          </w:p>
        </w:tc>
        <w:tc>
          <w:tcPr>
            <w:tcW w:w="1029" w:type="dxa"/>
          </w:tcPr>
          <w:p>
            <w:pPr>
              <w:pStyle w:val="TableParagraph"/>
              <w:spacing w:line="204" w:lineRule="exact"/>
              <w:ind w:left="83" w:right="83"/>
              <w:jc w:val="center"/>
              <w:rPr>
                <w:sz w:val="20"/>
              </w:rPr>
            </w:pPr>
            <w:r>
              <w:rPr>
                <w:color w:val="231F20"/>
                <w:w w:val="85"/>
                <w:sz w:val="20"/>
              </w:rPr>
              <w:t>2007</w:t>
            </w:r>
          </w:p>
        </w:tc>
        <w:tc>
          <w:tcPr>
            <w:tcW w:w="1211" w:type="dxa"/>
          </w:tcPr>
          <w:p>
            <w:pPr>
              <w:pStyle w:val="TableParagraph"/>
              <w:spacing w:line="204" w:lineRule="exact"/>
              <w:ind w:left="174" w:right="174"/>
              <w:jc w:val="center"/>
              <w:rPr>
                <w:sz w:val="20"/>
              </w:rPr>
            </w:pPr>
            <w:r>
              <w:rPr>
                <w:color w:val="231F20"/>
                <w:w w:val="85"/>
                <w:sz w:val="20"/>
              </w:rPr>
              <w:t>2008</w:t>
            </w:r>
          </w:p>
        </w:tc>
      </w:tr>
      <w:tr>
        <w:trPr>
          <w:trHeight w:val="145" w:hRule="exact"/>
        </w:trPr>
        <w:tc>
          <w:tcPr>
            <w:tcW w:w="880" w:type="dxa"/>
          </w:tcPr>
          <w:p>
            <w:pPr>
              <w:pStyle w:val="TableParagraph"/>
              <w:spacing w:line="163" w:lineRule="exact"/>
              <w:ind w:left="278" w:right="275"/>
              <w:jc w:val="center"/>
              <w:rPr>
                <w:sz w:val="16"/>
              </w:rPr>
            </w:pPr>
            <w:r>
              <w:rPr>
                <w:color w:val="231F20"/>
                <w:w w:val="85"/>
                <w:sz w:val="16"/>
              </w:rPr>
              <w:t>1000</w:t>
            </w:r>
          </w:p>
        </w:tc>
        <w:tc>
          <w:tcPr>
            <w:tcW w:w="2527" w:type="dxa"/>
          </w:tcPr>
          <w:p>
            <w:pPr>
              <w:pStyle w:val="TableParagraph"/>
              <w:spacing w:line="163" w:lineRule="exact"/>
              <w:ind w:left="187" w:right="187"/>
              <w:jc w:val="center"/>
              <w:rPr>
                <w:sz w:val="16"/>
              </w:rPr>
            </w:pPr>
            <w:r>
              <w:rPr>
                <w:color w:val="231F20"/>
                <w:w w:val="75"/>
                <w:sz w:val="16"/>
              </w:rPr>
              <w:t>Servicios Personales</w:t>
            </w:r>
          </w:p>
        </w:tc>
        <w:tc>
          <w:tcPr>
            <w:tcW w:w="1037" w:type="dxa"/>
          </w:tcPr>
          <w:p>
            <w:pPr>
              <w:pStyle w:val="TableParagraph"/>
              <w:spacing w:line="175" w:lineRule="exact"/>
              <w:ind w:left="210"/>
              <w:rPr>
                <w:sz w:val="18"/>
              </w:rPr>
            </w:pPr>
            <w:r>
              <w:rPr>
                <w:color w:val="231F20"/>
                <w:w w:val="85"/>
                <w:sz w:val="18"/>
              </w:rPr>
              <w:t>51’915.267</w:t>
            </w:r>
          </w:p>
        </w:tc>
        <w:tc>
          <w:tcPr>
            <w:tcW w:w="1245" w:type="dxa"/>
          </w:tcPr>
          <w:p>
            <w:pPr>
              <w:pStyle w:val="TableParagraph"/>
              <w:spacing w:line="175" w:lineRule="exact"/>
              <w:ind w:left="191" w:right="191"/>
              <w:jc w:val="center"/>
              <w:rPr>
                <w:sz w:val="18"/>
              </w:rPr>
            </w:pPr>
            <w:r>
              <w:rPr>
                <w:color w:val="231F20"/>
                <w:w w:val="85"/>
                <w:sz w:val="18"/>
              </w:rPr>
              <w:t>60’972,701</w:t>
            </w:r>
          </w:p>
        </w:tc>
        <w:tc>
          <w:tcPr>
            <w:tcW w:w="1029" w:type="dxa"/>
          </w:tcPr>
          <w:p>
            <w:pPr>
              <w:pStyle w:val="TableParagraph"/>
              <w:spacing w:line="175" w:lineRule="exact"/>
              <w:ind w:left="83" w:right="83"/>
              <w:jc w:val="center"/>
              <w:rPr>
                <w:sz w:val="18"/>
              </w:rPr>
            </w:pPr>
            <w:r>
              <w:rPr>
                <w:color w:val="231F20"/>
                <w:w w:val="85"/>
                <w:sz w:val="18"/>
              </w:rPr>
              <w:t>64’550,752</w:t>
            </w:r>
          </w:p>
        </w:tc>
        <w:tc>
          <w:tcPr>
            <w:tcW w:w="1211" w:type="dxa"/>
          </w:tcPr>
          <w:p>
            <w:pPr>
              <w:pStyle w:val="TableParagraph"/>
              <w:spacing w:line="175" w:lineRule="exact"/>
              <w:ind w:left="174" w:right="174"/>
              <w:jc w:val="center"/>
              <w:rPr>
                <w:sz w:val="18"/>
              </w:rPr>
            </w:pPr>
            <w:r>
              <w:rPr>
                <w:color w:val="231F20"/>
                <w:w w:val="85"/>
                <w:sz w:val="18"/>
              </w:rPr>
              <w:t>88’230,408</w:t>
            </w:r>
          </w:p>
        </w:tc>
      </w:tr>
      <w:tr>
        <w:trPr>
          <w:trHeight w:val="145" w:hRule="exact"/>
        </w:trPr>
        <w:tc>
          <w:tcPr>
            <w:tcW w:w="880" w:type="dxa"/>
          </w:tcPr>
          <w:p>
            <w:pPr>
              <w:pStyle w:val="TableParagraph"/>
              <w:spacing w:line="163" w:lineRule="exact"/>
              <w:ind w:left="278" w:right="275"/>
              <w:jc w:val="center"/>
              <w:rPr>
                <w:sz w:val="16"/>
              </w:rPr>
            </w:pPr>
            <w:r>
              <w:rPr>
                <w:color w:val="231F20"/>
                <w:w w:val="85"/>
                <w:sz w:val="16"/>
              </w:rPr>
              <w:t>2000</w:t>
            </w:r>
          </w:p>
        </w:tc>
        <w:tc>
          <w:tcPr>
            <w:tcW w:w="2527" w:type="dxa"/>
          </w:tcPr>
          <w:p>
            <w:pPr>
              <w:pStyle w:val="TableParagraph"/>
              <w:spacing w:line="163" w:lineRule="exact"/>
              <w:ind w:left="187" w:right="187"/>
              <w:jc w:val="center"/>
              <w:rPr>
                <w:sz w:val="16"/>
              </w:rPr>
            </w:pPr>
            <w:r>
              <w:rPr>
                <w:color w:val="231F20"/>
                <w:w w:val="75"/>
                <w:sz w:val="16"/>
              </w:rPr>
              <w:t>Materiales y Suministros</w:t>
            </w:r>
          </w:p>
        </w:tc>
        <w:tc>
          <w:tcPr>
            <w:tcW w:w="1037" w:type="dxa"/>
          </w:tcPr>
          <w:p>
            <w:pPr>
              <w:pStyle w:val="TableParagraph"/>
              <w:spacing w:line="175" w:lineRule="exact"/>
              <w:ind w:left="250"/>
              <w:rPr>
                <w:sz w:val="18"/>
              </w:rPr>
            </w:pPr>
            <w:r>
              <w:rPr>
                <w:color w:val="231F20"/>
                <w:w w:val="85"/>
                <w:sz w:val="18"/>
              </w:rPr>
              <w:t>7’411.855</w:t>
            </w:r>
          </w:p>
        </w:tc>
        <w:tc>
          <w:tcPr>
            <w:tcW w:w="1245" w:type="dxa"/>
          </w:tcPr>
          <w:p>
            <w:pPr>
              <w:pStyle w:val="TableParagraph"/>
              <w:spacing w:line="175" w:lineRule="exact"/>
              <w:ind w:left="191" w:right="191"/>
              <w:jc w:val="center"/>
              <w:rPr>
                <w:sz w:val="18"/>
              </w:rPr>
            </w:pPr>
            <w:r>
              <w:rPr>
                <w:color w:val="231F20"/>
                <w:w w:val="85"/>
                <w:sz w:val="18"/>
              </w:rPr>
              <w:t>8’,073,140</w:t>
            </w:r>
          </w:p>
        </w:tc>
        <w:tc>
          <w:tcPr>
            <w:tcW w:w="1029" w:type="dxa"/>
          </w:tcPr>
          <w:p>
            <w:pPr>
              <w:pStyle w:val="TableParagraph"/>
              <w:spacing w:line="175" w:lineRule="exact"/>
              <w:ind w:left="79" w:right="83"/>
              <w:jc w:val="center"/>
              <w:rPr>
                <w:sz w:val="18"/>
              </w:rPr>
            </w:pPr>
            <w:r>
              <w:rPr>
                <w:color w:val="231F20"/>
                <w:w w:val="85"/>
                <w:sz w:val="18"/>
              </w:rPr>
              <w:t>9’903,617</w:t>
            </w:r>
          </w:p>
        </w:tc>
        <w:tc>
          <w:tcPr>
            <w:tcW w:w="1211" w:type="dxa"/>
          </w:tcPr>
          <w:p>
            <w:pPr>
              <w:pStyle w:val="TableParagraph"/>
              <w:spacing w:line="175" w:lineRule="exact"/>
              <w:ind w:left="174" w:right="174"/>
              <w:jc w:val="center"/>
              <w:rPr>
                <w:sz w:val="18"/>
              </w:rPr>
            </w:pPr>
            <w:r>
              <w:rPr>
                <w:color w:val="231F20"/>
                <w:w w:val="85"/>
                <w:sz w:val="18"/>
              </w:rPr>
              <w:t>11’287,140</w:t>
            </w:r>
          </w:p>
        </w:tc>
      </w:tr>
      <w:tr>
        <w:trPr>
          <w:trHeight w:val="146" w:hRule="exact"/>
        </w:trPr>
        <w:tc>
          <w:tcPr>
            <w:tcW w:w="880" w:type="dxa"/>
          </w:tcPr>
          <w:p>
            <w:pPr>
              <w:pStyle w:val="TableParagraph"/>
              <w:spacing w:line="163" w:lineRule="exact"/>
              <w:ind w:left="278" w:right="275"/>
              <w:jc w:val="center"/>
              <w:rPr>
                <w:sz w:val="16"/>
              </w:rPr>
            </w:pPr>
            <w:r>
              <w:rPr>
                <w:color w:val="231F20"/>
                <w:w w:val="85"/>
                <w:sz w:val="16"/>
              </w:rPr>
              <w:t>3000</w:t>
            </w:r>
          </w:p>
        </w:tc>
        <w:tc>
          <w:tcPr>
            <w:tcW w:w="2527" w:type="dxa"/>
          </w:tcPr>
          <w:p>
            <w:pPr>
              <w:pStyle w:val="TableParagraph"/>
              <w:spacing w:line="163" w:lineRule="exact"/>
              <w:ind w:left="187" w:right="187"/>
              <w:jc w:val="center"/>
              <w:rPr>
                <w:sz w:val="16"/>
              </w:rPr>
            </w:pPr>
            <w:r>
              <w:rPr>
                <w:color w:val="231F20"/>
                <w:w w:val="75"/>
                <w:sz w:val="16"/>
              </w:rPr>
              <w:t>Servicios Generales</w:t>
            </w:r>
          </w:p>
        </w:tc>
        <w:tc>
          <w:tcPr>
            <w:tcW w:w="1037" w:type="dxa"/>
          </w:tcPr>
          <w:p>
            <w:pPr>
              <w:pStyle w:val="TableParagraph"/>
              <w:spacing w:line="176" w:lineRule="exact"/>
              <w:ind w:left="210"/>
              <w:rPr>
                <w:sz w:val="18"/>
              </w:rPr>
            </w:pPr>
            <w:r>
              <w:rPr>
                <w:color w:val="231F20"/>
                <w:w w:val="85"/>
                <w:sz w:val="18"/>
              </w:rPr>
              <w:t>18’911.654</w:t>
            </w:r>
          </w:p>
        </w:tc>
        <w:tc>
          <w:tcPr>
            <w:tcW w:w="1245" w:type="dxa"/>
          </w:tcPr>
          <w:p>
            <w:pPr>
              <w:pStyle w:val="TableParagraph"/>
              <w:spacing w:line="176" w:lineRule="exact"/>
              <w:ind w:left="191" w:right="191"/>
              <w:jc w:val="center"/>
              <w:rPr>
                <w:sz w:val="18"/>
              </w:rPr>
            </w:pPr>
            <w:r>
              <w:rPr>
                <w:color w:val="231F20"/>
                <w:w w:val="85"/>
                <w:sz w:val="18"/>
              </w:rPr>
              <w:t>20’099,070</w:t>
            </w:r>
          </w:p>
        </w:tc>
        <w:tc>
          <w:tcPr>
            <w:tcW w:w="1029" w:type="dxa"/>
          </w:tcPr>
          <w:p>
            <w:pPr>
              <w:pStyle w:val="TableParagraph"/>
              <w:spacing w:line="176" w:lineRule="exact"/>
              <w:ind w:left="83" w:right="83"/>
              <w:jc w:val="center"/>
              <w:rPr>
                <w:sz w:val="18"/>
              </w:rPr>
            </w:pPr>
            <w:r>
              <w:rPr>
                <w:color w:val="231F20"/>
                <w:w w:val="85"/>
                <w:sz w:val="18"/>
              </w:rPr>
              <w:t>31’195,490</w:t>
            </w:r>
          </w:p>
        </w:tc>
        <w:tc>
          <w:tcPr>
            <w:tcW w:w="1211" w:type="dxa"/>
          </w:tcPr>
          <w:p>
            <w:pPr>
              <w:pStyle w:val="TableParagraph"/>
              <w:spacing w:line="176" w:lineRule="exact"/>
              <w:ind w:left="174" w:right="174"/>
              <w:jc w:val="center"/>
              <w:rPr>
                <w:sz w:val="18"/>
              </w:rPr>
            </w:pPr>
            <w:r>
              <w:rPr>
                <w:color w:val="231F20"/>
                <w:w w:val="85"/>
                <w:sz w:val="18"/>
              </w:rPr>
              <w:t>31’661,625</w:t>
            </w:r>
          </w:p>
        </w:tc>
      </w:tr>
      <w:tr>
        <w:trPr>
          <w:trHeight w:val="130" w:hRule="exact"/>
        </w:trPr>
        <w:tc>
          <w:tcPr>
            <w:tcW w:w="880" w:type="dxa"/>
          </w:tcPr>
          <w:p>
            <w:pPr>
              <w:pStyle w:val="TableParagraph"/>
              <w:spacing w:line="160" w:lineRule="exact"/>
              <w:ind w:left="278" w:right="275"/>
              <w:jc w:val="center"/>
              <w:rPr>
                <w:sz w:val="16"/>
              </w:rPr>
            </w:pPr>
            <w:r>
              <w:rPr>
                <w:color w:val="231F20"/>
                <w:w w:val="85"/>
                <w:sz w:val="16"/>
              </w:rPr>
              <w:t>4000</w:t>
            </w:r>
          </w:p>
        </w:tc>
        <w:tc>
          <w:tcPr>
            <w:tcW w:w="2527" w:type="dxa"/>
          </w:tcPr>
          <w:p>
            <w:pPr>
              <w:pStyle w:val="TableParagraph"/>
              <w:spacing w:line="160" w:lineRule="exact"/>
              <w:ind w:left="187" w:right="187"/>
              <w:jc w:val="center"/>
              <w:rPr>
                <w:sz w:val="16"/>
              </w:rPr>
            </w:pPr>
            <w:r>
              <w:rPr>
                <w:color w:val="231F20"/>
                <w:w w:val="85"/>
                <w:sz w:val="16"/>
              </w:rPr>
              <w:t>Transferencias</w:t>
            </w:r>
          </w:p>
        </w:tc>
        <w:tc>
          <w:tcPr>
            <w:tcW w:w="1037" w:type="dxa"/>
          </w:tcPr>
          <w:p>
            <w:pPr>
              <w:pStyle w:val="TableParagraph"/>
              <w:spacing w:line="160" w:lineRule="exact"/>
              <w:ind w:left="244"/>
              <w:rPr>
                <w:sz w:val="16"/>
              </w:rPr>
            </w:pPr>
            <w:r>
              <w:rPr>
                <w:color w:val="231F20"/>
                <w:w w:val="85"/>
                <w:sz w:val="16"/>
              </w:rPr>
              <w:t>18’542.161</w:t>
            </w:r>
          </w:p>
        </w:tc>
        <w:tc>
          <w:tcPr>
            <w:tcW w:w="1245" w:type="dxa"/>
          </w:tcPr>
          <w:p>
            <w:pPr>
              <w:pStyle w:val="TableParagraph"/>
              <w:spacing w:line="160" w:lineRule="exact"/>
              <w:ind w:left="191" w:right="191"/>
              <w:jc w:val="center"/>
              <w:rPr>
                <w:sz w:val="16"/>
              </w:rPr>
            </w:pPr>
            <w:r>
              <w:rPr>
                <w:color w:val="231F20"/>
                <w:w w:val="85"/>
                <w:sz w:val="16"/>
              </w:rPr>
              <w:t>19’337,243</w:t>
            </w:r>
          </w:p>
        </w:tc>
        <w:tc>
          <w:tcPr>
            <w:tcW w:w="1029" w:type="dxa"/>
          </w:tcPr>
          <w:p>
            <w:pPr>
              <w:pStyle w:val="TableParagraph"/>
              <w:spacing w:line="160" w:lineRule="exact"/>
              <w:ind w:left="83" w:right="83"/>
              <w:jc w:val="center"/>
              <w:rPr>
                <w:sz w:val="16"/>
              </w:rPr>
            </w:pPr>
            <w:r>
              <w:rPr>
                <w:color w:val="231F20"/>
                <w:w w:val="85"/>
                <w:sz w:val="16"/>
              </w:rPr>
              <w:t>17’118,.784</w:t>
            </w:r>
          </w:p>
        </w:tc>
        <w:tc>
          <w:tcPr>
            <w:tcW w:w="1211" w:type="dxa"/>
          </w:tcPr>
          <w:p>
            <w:pPr>
              <w:pStyle w:val="TableParagraph"/>
              <w:spacing w:line="160" w:lineRule="exact"/>
              <w:ind w:left="174" w:right="174"/>
              <w:jc w:val="center"/>
              <w:rPr>
                <w:sz w:val="16"/>
              </w:rPr>
            </w:pPr>
            <w:r>
              <w:rPr>
                <w:color w:val="231F20"/>
                <w:w w:val="85"/>
                <w:sz w:val="16"/>
              </w:rPr>
              <w:t>21’551,229</w:t>
            </w:r>
          </w:p>
        </w:tc>
      </w:tr>
      <w:tr>
        <w:trPr>
          <w:trHeight w:val="145" w:hRule="exact"/>
        </w:trPr>
        <w:tc>
          <w:tcPr>
            <w:tcW w:w="880" w:type="dxa"/>
          </w:tcPr>
          <w:p>
            <w:pPr>
              <w:pStyle w:val="TableParagraph"/>
              <w:spacing w:line="163" w:lineRule="exact"/>
              <w:ind w:left="278" w:right="275"/>
              <w:jc w:val="center"/>
              <w:rPr>
                <w:sz w:val="16"/>
              </w:rPr>
            </w:pPr>
            <w:r>
              <w:rPr>
                <w:color w:val="231F20"/>
                <w:w w:val="85"/>
                <w:sz w:val="16"/>
              </w:rPr>
              <w:t>5000</w:t>
            </w:r>
          </w:p>
        </w:tc>
        <w:tc>
          <w:tcPr>
            <w:tcW w:w="2527" w:type="dxa"/>
          </w:tcPr>
          <w:p>
            <w:pPr>
              <w:pStyle w:val="TableParagraph"/>
              <w:spacing w:line="163" w:lineRule="exact"/>
              <w:ind w:left="187" w:right="187"/>
              <w:jc w:val="center"/>
              <w:rPr>
                <w:sz w:val="16"/>
              </w:rPr>
            </w:pPr>
            <w:r>
              <w:rPr>
                <w:color w:val="231F20"/>
                <w:w w:val="75"/>
                <w:sz w:val="16"/>
              </w:rPr>
              <w:t>Bienes Muebles e Inmuebles</w:t>
            </w:r>
          </w:p>
        </w:tc>
        <w:tc>
          <w:tcPr>
            <w:tcW w:w="1037" w:type="dxa"/>
          </w:tcPr>
          <w:p>
            <w:pPr>
              <w:pStyle w:val="TableParagraph"/>
              <w:spacing w:line="175" w:lineRule="exact"/>
              <w:ind w:left="245"/>
              <w:rPr>
                <w:sz w:val="18"/>
              </w:rPr>
            </w:pPr>
            <w:r>
              <w:rPr>
                <w:color w:val="231F20"/>
                <w:w w:val="85"/>
                <w:sz w:val="18"/>
              </w:rPr>
              <w:t>7’118.450</w:t>
            </w:r>
          </w:p>
        </w:tc>
        <w:tc>
          <w:tcPr>
            <w:tcW w:w="1245" w:type="dxa"/>
          </w:tcPr>
          <w:p>
            <w:pPr>
              <w:pStyle w:val="TableParagraph"/>
              <w:spacing w:line="175" w:lineRule="exact"/>
              <w:ind w:left="191" w:right="191"/>
              <w:jc w:val="center"/>
              <w:rPr>
                <w:sz w:val="18"/>
              </w:rPr>
            </w:pPr>
            <w:r>
              <w:rPr>
                <w:color w:val="231F20"/>
                <w:w w:val="85"/>
                <w:sz w:val="18"/>
              </w:rPr>
              <w:t>8’635,535</w:t>
            </w:r>
          </w:p>
        </w:tc>
        <w:tc>
          <w:tcPr>
            <w:tcW w:w="1029" w:type="dxa"/>
          </w:tcPr>
          <w:p>
            <w:pPr>
              <w:pStyle w:val="TableParagraph"/>
              <w:spacing w:line="175" w:lineRule="exact"/>
              <w:ind w:left="82" w:right="83"/>
              <w:jc w:val="center"/>
              <w:rPr>
                <w:sz w:val="18"/>
              </w:rPr>
            </w:pPr>
            <w:r>
              <w:rPr>
                <w:color w:val="231F20"/>
                <w:w w:val="85"/>
                <w:sz w:val="18"/>
              </w:rPr>
              <w:t>12’890,570</w:t>
            </w:r>
          </w:p>
        </w:tc>
        <w:tc>
          <w:tcPr>
            <w:tcW w:w="1211" w:type="dxa"/>
          </w:tcPr>
          <w:p>
            <w:pPr>
              <w:pStyle w:val="TableParagraph"/>
              <w:spacing w:line="175" w:lineRule="exact"/>
              <w:ind w:left="174" w:right="174"/>
              <w:jc w:val="center"/>
              <w:rPr>
                <w:sz w:val="18"/>
              </w:rPr>
            </w:pPr>
            <w:r>
              <w:rPr>
                <w:color w:val="231F20"/>
                <w:w w:val="85"/>
                <w:sz w:val="18"/>
              </w:rPr>
              <w:t>9’054,856</w:t>
            </w:r>
          </w:p>
        </w:tc>
      </w:tr>
      <w:tr>
        <w:trPr>
          <w:trHeight w:val="145" w:hRule="exact"/>
        </w:trPr>
        <w:tc>
          <w:tcPr>
            <w:tcW w:w="880" w:type="dxa"/>
          </w:tcPr>
          <w:p>
            <w:pPr>
              <w:pStyle w:val="TableParagraph"/>
              <w:spacing w:line="163" w:lineRule="exact"/>
              <w:ind w:left="278" w:right="275"/>
              <w:jc w:val="center"/>
              <w:rPr>
                <w:sz w:val="16"/>
              </w:rPr>
            </w:pPr>
            <w:r>
              <w:rPr>
                <w:color w:val="231F20"/>
                <w:w w:val="85"/>
                <w:sz w:val="16"/>
              </w:rPr>
              <w:t>6000</w:t>
            </w:r>
          </w:p>
        </w:tc>
        <w:tc>
          <w:tcPr>
            <w:tcW w:w="2527" w:type="dxa"/>
          </w:tcPr>
          <w:p>
            <w:pPr>
              <w:pStyle w:val="TableParagraph"/>
              <w:spacing w:line="163" w:lineRule="exact"/>
              <w:ind w:left="187" w:right="187"/>
              <w:jc w:val="center"/>
              <w:rPr>
                <w:sz w:val="16"/>
              </w:rPr>
            </w:pPr>
            <w:r>
              <w:rPr>
                <w:color w:val="231F20"/>
                <w:w w:val="75"/>
                <w:sz w:val="16"/>
              </w:rPr>
              <w:t>Obra Pública</w:t>
            </w:r>
          </w:p>
        </w:tc>
        <w:tc>
          <w:tcPr>
            <w:tcW w:w="1037" w:type="dxa"/>
          </w:tcPr>
          <w:p>
            <w:pPr>
              <w:pStyle w:val="TableParagraph"/>
              <w:spacing w:line="175" w:lineRule="exact"/>
              <w:ind w:left="204"/>
              <w:rPr>
                <w:sz w:val="18"/>
              </w:rPr>
            </w:pPr>
            <w:r>
              <w:rPr>
                <w:color w:val="231F20"/>
                <w:w w:val="85"/>
                <w:sz w:val="18"/>
              </w:rPr>
              <w:t>26’570.684</w:t>
            </w:r>
          </w:p>
        </w:tc>
        <w:tc>
          <w:tcPr>
            <w:tcW w:w="1245" w:type="dxa"/>
          </w:tcPr>
          <w:p>
            <w:pPr>
              <w:pStyle w:val="TableParagraph"/>
              <w:spacing w:line="175" w:lineRule="exact"/>
              <w:ind w:left="191" w:right="191"/>
              <w:jc w:val="center"/>
              <w:rPr>
                <w:sz w:val="18"/>
              </w:rPr>
            </w:pPr>
            <w:r>
              <w:rPr>
                <w:color w:val="231F20"/>
                <w:w w:val="85"/>
                <w:sz w:val="18"/>
              </w:rPr>
              <w:t>29’479,884</w:t>
            </w:r>
          </w:p>
        </w:tc>
        <w:tc>
          <w:tcPr>
            <w:tcW w:w="1029" w:type="dxa"/>
          </w:tcPr>
          <w:p>
            <w:pPr>
              <w:pStyle w:val="TableParagraph"/>
              <w:spacing w:line="175" w:lineRule="exact"/>
              <w:ind w:left="83" w:right="83"/>
              <w:jc w:val="center"/>
              <w:rPr>
                <w:sz w:val="18"/>
              </w:rPr>
            </w:pPr>
            <w:r>
              <w:rPr>
                <w:color w:val="231F20"/>
                <w:w w:val="85"/>
                <w:sz w:val="18"/>
              </w:rPr>
              <w:t>38’763,649</w:t>
            </w:r>
          </w:p>
        </w:tc>
        <w:tc>
          <w:tcPr>
            <w:tcW w:w="1211" w:type="dxa"/>
          </w:tcPr>
          <w:p>
            <w:pPr>
              <w:pStyle w:val="TableParagraph"/>
              <w:spacing w:line="175" w:lineRule="exact"/>
              <w:ind w:left="174" w:right="174"/>
              <w:jc w:val="center"/>
              <w:rPr>
                <w:sz w:val="18"/>
              </w:rPr>
            </w:pPr>
            <w:r>
              <w:rPr>
                <w:color w:val="231F20"/>
                <w:w w:val="85"/>
                <w:sz w:val="18"/>
              </w:rPr>
              <w:t>28’522,733</w:t>
            </w:r>
          </w:p>
        </w:tc>
      </w:tr>
      <w:tr>
        <w:trPr>
          <w:trHeight w:val="130" w:hRule="exact"/>
        </w:trPr>
        <w:tc>
          <w:tcPr>
            <w:tcW w:w="880" w:type="dxa"/>
          </w:tcPr>
          <w:p>
            <w:pPr>
              <w:pStyle w:val="TableParagraph"/>
              <w:spacing w:line="160" w:lineRule="exact"/>
              <w:ind w:left="278" w:right="275"/>
              <w:jc w:val="center"/>
              <w:rPr>
                <w:sz w:val="16"/>
              </w:rPr>
            </w:pPr>
            <w:r>
              <w:rPr>
                <w:color w:val="231F20"/>
                <w:w w:val="85"/>
                <w:sz w:val="16"/>
              </w:rPr>
              <w:t>7000</w:t>
            </w:r>
          </w:p>
        </w:tc>
        <w:tc>
          <w:tcPr>
            <w:tcW w:w="2527" w:type="dxa"/>
          </w:tcPr>
          <w:p>
            <w:pPr>
              <w:pStyle w:val="TableParagraph"/>
              <w:spacing w:line="160" w:lineRule="exact"/>
              <w:ind w:left="187" w:right="187"/>
              <w:jc w:val="center"/>
              <w:rPr>
                <w:sz w:val="16"/>
              </w:rPr>
            </w:pPr>
            <w:r>
              <w:rPr>
                <w:color w:val="231F20"/>
                <w:w w:val="75"/>
                <w:sz w:val="16"/>
              </w:rPr>
              <w:t>Inversiones Financieras</w:t>
            </w:r>
          </w:p>
        </w:tc>
        <w:tc>
          <w:tcPr>
            <w:tcW w:w="1037" w:type="dxa"/>
          </w:tcPr>
          <w:p>
            <w:pPr/>
          </w:p>
        </w:tc>
        <w:tc>
          <w:tcPr>
            <w:tcW w:w="1245" w:type="dxa"/>
          </w:tcPr>
          <w:p>
            <w:pPr/>
          </w:p>
        </w:tc>
        <w:tc>
          <w:tcPr>
            <w:tcW w:w="1029" w:type="dxa"/>
          </w:tcPr>
          <w:p>
            <w:pPr/>
          </w:p>
        </w:tc>
        <w:tc>
          <w:tcPr>
            <w:tcW w:w="1211" w:type="dxa"/>
          </w:tcPr>
          <w:p>
            <w:pPr/>
          </w:p>
        </w:tc>
      </w:tr>
      <w:tr>
        <w:trPr>
          <w:trHeight w:val="322" w:hRule="exact"/>
        </w:trPr>
        <w:tc>
          <w:tcPr>
            <w:tcW w:w="880" w:type="dxa"/>
          </w:tcPr>
          <w:p>
            <w:pPr>
              <w:pStyle w:val="TableParagraph"/>
              <w:spacing w:line="163" w:lineRule="exact"/>
              <w:ind w:left="278" w:right="275"/>
              <w:jc w:val="center"/>
              <w:rPr>
                <w:sz w:val="16"/>
              </w:rPr>
            </w:pPr>
            <w:r>
              <w:rPr>
                <w:color w:val="231F20"/>
                <w:w w:val="85"/>
                <w:sz w:val="16"/>
              </w:rPr>
              <w:t>8000</w:t>
            </w:r>
          </w:p>
        </w:tc>
        <w:tc>
          <w:tcPr>
            <w:tcW w:w="2527" w:type="dxa"/>
          </w:tcPr>
          <w:p>
            <w:pPr>
              <w:pStyle w:val="TableParagraph"/>
              <w:spacing w:line="161" w:lineRule="exact"/>
              <w:ind w:left="187" w:right="187"/>
              <w:jc w:val="center"/>
              <w:rPr>
                <w:sz w:val="16"/>
              </w:rPr>
            </w:pPr>
            <w:r>
              <w:rPr>
                <w:color w:val="231F20"/>
                <w:w w:val="75"/>
                <w:sz w:val="16"/>
              </w:rPr>
              <w:t>Participaciones y Aportaciones Federales  y</w:t>
            </w:r>
          </w:p>
          <w:p>
            <w:pPr>
              <w:pStyle w:val="TableParagraph"/>
              <w:spacing w:line="191" w:lineRule="exact"/>
              <w:ind w:left="187" w:right="187"/>
              <w:jc w:val="center"/>
              <w:rPr>
                <w:sz w:val="16"/>
              </w:rPr>
            </w:pPr>
            <w:r>
              <w:rPr>
                <w:color w:val="231F20"/>
                <w:w w:val="85"/>
                <w:sz w:val="16"/>
              </w:rPr>
              <w:t>Municipales</w:t>
            </w:r>
          </w:p>
        </w:tc>
        <w:tc>
          <w:tcPr>
            <w:tcW w:w="1037" w:type="dxa"/>
          </w:tcPr>
          <w:p>
            <w:pPr/>
          </w:p>
        </w:tc>
        <w:tc>
          <w:tcPr>
            <w:tcW w:w="1245" w:type="dxa"/>
          </w:tcPr>
          <w:p>
            <w:pPr/>
          </w:p>
        </w:tc>
        <w:tc>
          <w:tcPr>
            <w:tcW w:w="1029" w:type="dxa"/>
          </w:tcPr>
          <w:p>
            <w:pPr/>
          </w:p>
        </w:tc>
        <w:tc>
          <w:tcPr>
            <w:tcW w:w="1211" w:type="dxa"/>
          </w:tcPr>
          <w:p>
            <w:pPr/>
          </w:p>
        </w:tc>
      </w:tr>
      <w:tr>
        <w:trPr>
          <w:trHeight w:val="145" w:hRule="exact"/>
        </w:trPr>
        <w:tc>
          <w:tcPr>
            <w:tcW w:w="880" w:type="dxa"/>
          </w:tcPr>
          <w:p>
            <w:pPr>
              <w:pStyle w:val="TableParagraph"/>
              <w:spacing w:line="163" w:lineRule="exact"/>
              <w:ind w:left="278" w:right="275"/>
              <w:jc w:val="center"/>
              <w:rPr>
                <w:sz w:val="16"/>
              </w:rPr>
            </w:pPr>
            <w:r>
              <w:rPr>
                <w:color w:val="231F20"/>
                <w:w w:val="85"/>
                <w:sz w:val="16"/>
              </w:rPr>
              <w:t>9000</w:t>
            </w:r>
          </w:p>
        </w:tc>
        <w:tc>
          <w:tcPr>
            <w:tcW w:w="2527" w:type="dxa"/>
          </w:tcPr>
          <w:p>
            <w:pPr>
              <w:pStyle w:val="TableParagraph"/>
              <w:spacing w:line="163" w:lineRule="exact"/>
              <w:ind w:left="187" w:right="187"/>
              <w:jc w:val="center"/>
              <w:rPr>
                <w:sz w:val="16"/>
              </w:rPr>
            </w:pPr>
            <w:r>
              <w:rPr>
                <w:color w:val="231F20"/>
                <w:w w:val="75"/>
                <w:sz w:val="16"/>
              </w:rPr>
              <w:t>Deuda Pública</w:t>
            </w:r>
          </w:p>
        </w:tc>
        <w:tc>
          <w:tcPr>
            <w:tcW w:w="1037" w:type="dxa"/>
          </w:tcPr>
          <w:p>
            <w:pPr/>
          </w:p>
        </w:tc>
        <w:tc>
          <w:tcPr>
            <w:tcW w:w="1245" w:type="dxa"/>
          </w:tcPr>
          <w:p>
            <w:pPr/>
          </w:p>
        </w:tc>
        <w:tc>
          <w:tcPr>
            <w:tcW w:w="1029" w:type="dxa"/>
          </w:tcPr>
          <w:p>
            <w:pPr>
              <w:pStyle w:val="TableParagraph"/>
              <w:spacing w:line="175" w:lineRule="exact"/>
              <w:ind w:left="83" w:right="83"/>
              <w:jc w:val="center"/>
              <w:rPr>
                <w:sz w:val="18"/>
              </w:rPr>
            </w:pPr>
            <w:r>
              <w:rPr>
                <w:color w:val="231F20"/>
                <w:w w:val="85"/>
                <w:sz w:val="18"/>
              </w:rPr>
              <w:t>5’995.000</w:t>
            </w:r>
          </w:p>
        </w:tc>
        <w:tc>
          <w:tcPr>
            <w:tcW w:w="1211" w:type="dxa"/>
          </w:tcPr>
          <w:p>
            <w:pPr>
              <w:pStyle w:val="TableParagraph"/>
              <w:spacing w:line="175" w:lineRule="exact"/>
              <w:ind w:left="174" w:right="174"/>
              <w:jc w:val="center"/>
              <w:rPr>
                <w:sz w:val="18"/>
              </w:rPr>
            </w:pPr>
            <w:r>
              <w:rPr>
                <w:color w:val="231F20"/>
                <w:w w:val="85"/>
                <w:sz w:val="18"/>
              </w:rPr>
              <w:t>21’,432,097</w:t>
            </w:r>
          </w:p>
        </w:tc>
      </w:tr>
      <w:tr>
        <w:trPr>
          <w:trHeight w:val="145" w:hRule="exact"/>
        </w:trPr>
        <w:tc>
          <w:tcPr>
            <w:tcW w:w="880" w:type="dxa"/>
          </w:tcPr>
          <w:p>
            <w:pPr/>
          </w:p>
        </w:tc>
        <w:tc>
          <w:tcPr>
            <w:tcW w:w="2527" w:type="dxa"/>
          </w:tcPr>
          <w:p>
            <w:pPr>
              <w:pStyle w:val="TableParagraph"/>
              <w:spacing w:line="175" w:lineRule="exact"/>
              <w:ind w:left="187" w:right="187"/>
              <w:jc w:val="center"/>
              <w:rPr>
                <w:sz w:val="18"/>
              </w:rPr>
            </w:pPr>
            <w:r>
              <w:rPr>
                <w:color w:val="231F20"/>
                <w:w w:val="85"/>
                <w:sz w:val="18"/>
              </w:rPr>
              <w:t>TOTAL</w:t>
            </w:r>
          </w:p>
        </w:tc>
        <w:tc>
          <w:tcPr>
            <w:tcW w:w="1037" w:type="dxa"/>
          </w:tcPr>
          <w:p>
            <w:pPr>
              <w:pStyle w:val="TableParagraph"/>
              <w:spacing w:line="175" w:lineRule="exact"/>
              <w:ind w:left="173"/>
              <w:rPr>
                <w:sz w:val="18"/>
              </w:rPr>
            </w:pPr>
            <w:r>
              <w:rPr>
                <w:color w:val="231F20"/>
                <w:w w:val="85"/>
                <w:sz w:val="18"/>
              </w:rPr>
              <w:t>130,470,071</w:t>
            </w:r>
          </w:p>
        </w:tc>
        <w:tc>
          <w:tcPr>
            <w:tcW w:w="1245" w:type="dxa"/>
          </w:tcPr>
          <w:p>
            <w:pPr>
              <w:pStyle w:val="TableParagraph"/>
              <w:spacing w:line="175" w:lineRule="exact"/>
              <w:ind w:left="191" w:right="191"/>
              <w:jc w:val="center"/>
              <w:rPr>
                <w:sz w:val="18"/>
              </w:rPr>
            </w:pPr>
            <w:r>
              <w:rPr>
                <w:color w:val="231F20"/>
                <w:w w:val="85"/>
                <w:sz w:val="18"/>
              </w:rPr>
              <w:t>145’,972,701</w:t>
            </w:r>
          </w:p>
        </w:tc>
        <w:tc>
          <w:tcPr>
            <w:tcW w:w="1029" w:type="dxa"/>
          </w:tcPr>
          <w:p>
            <w:pPr>
              <w:pStyle w:val="TableParagraph"/>
              <w:spacing w:line="175" w:lineRule="exact"/>
              <w:ind w:left="83" w:right="83"/>
              <w:jc w:val="center"/>
              <w:rPr>
                <w:sz w:val="18"/>
              </w:rPr>
            </w:pPr>
            <w:r>
              <w:rPr>
                <w:color w:val="231F20"/>
                <w:w w:val="85"/>
                <w:sz w:val="18"/>
              </w:rPr>
              <w:t>180’,550,752</w:t>
            </w:r>
          </w:p>
        </w:tc>
        <w:tc>
          <w:tcPr>
            <w:tcW w:w="1211" w:type="dxa"/>
          </w:tcPr>
          <w:p>
            <w:pPr>
              <w:pStyle w:val="TableParagraph"/>
              <w:spacing w:line="175" w:lineRule="exact"/>
              <w:ind w:left="174" w:right="174"/>
              <w:jc w:val="center"/>
              <w:rPr>
                <w:sz w:val="18"/>
              </w:rPr>
            </w:pPr>
            <w:r>
              <w:rPr>
                <w:color w:val="231F20"/>
                <w:w w:val="85"/>
                <w:sz w:val="18"/>
              </w:rPr>
              <w:t>211’,740,088</w:t>
            </w:r>
          </w:p>
        </w:tc>
      </w:tr>
    </w:tbl>
    <w:p>
      <w:pPr>
        <w:pStyle w:val="BodyText"/>
        <w:spacing w:before="11"/>
        <w:rPr>
          <w:b/>
          <w:sz w:val="10"/>
        </w:rPr>
      </w:pPr>
    </w:p>
    <w:p>
      <w:pPr>
        <w:spacing w:before="47"/>
        <w:ind w:left="677" w:right="-2" w:firstLine="1488"/>
        <w:jc w:val="left"/>
        <w:rPr>
          <w:sz w:val="18"/>
        </w:rPr>
      </w:pPr>
      <w:r>
        <w:rPr>
          <w:color w:val="231F20"/>
          <w:w w:val="105"/>
          <w:sz w:val="18"/>
        </w:rPr>
        <w:t>Fuente: Ejercicio del Gasto Público Municipal. Ayuntamiento de Tepotzotlán.</w:t>
      </w:r>
    </w:p>
    <w:p>
      <w:pPr>
        <w:pStyle w:val="BodyText"/>
        <w:rPr>
          <w:sz w:val="18"/>
        </w:rPr>
      </w:pPr>
    </w:p>
    <w:p>
      <w:pPr>
        <w:pStyle w:val="BodyText"/>
        <w:spacing w:line="285" w:lineRule="auto" w:before="148"/>
        <w:ind w:left="677" w:right="106"/>
        <w:jc w:val="both"/>
        <w:rPr>
          <w:sz w:val="13"/>
        </w:rPr>
      </w:pPr>
      <w:r>
        <w:rPr>
          <w:color w:val="231F20"/>
          <w:spacing w:val="-6"/>
          <w:w w:val="105"/>
        </w:rPr>
        <w:t>“…se </w:t>
      </w:r>
      <w:r>
        <w:rPr>
          <w:color w:val="231F20"/>
          <w:w w:val="105"/>
        </w:rPr>
        <w:t>cuenta con un presupuesto muy limitado con el cual se debe hacer frente primeramente a la prestación de los servicios que por ley deben otorgarse a los ciudadanos</w:t>
      </w:r>
      <w:r>
        <w:rPr>
          <w:color w:val="231F20"/>
          <w:spacing w:val="-18"/>
          <w:w w:val="105"/>
        </w:rPr>
        <w:t> </w:t>
      </w:r>
      <w:r>
        <w:rPr>
          <w:color w:val="231F20"/>
          <w:w w:val="105"/>
        </w:rPr>
        <w:t>y</w:t>
      </w:r>
      <w:r>
        <w:rPr>
          <w:color w:val="231F20"/>
          <w:spacing w:val="-18"/>
          <w:w w:val="105"/>
        </w:rPr>
        <w:t> </w:t>
      </w:r>
      <w:r>
        <w:rPr>
          <w:color w:val="231F20"/>
          <w:w w:val="105"/>
        </w:rPr>
        <w:t>también</w:t>
      </w:r>
      <w:r>
        <w:rPr>
          <w:color w:val="231F20"/>
          <w:spacing w:val="-18"/>
          <w:w w:val="105"/>
        </w:rPr>
        <w:t> </w:t>
      </w:r>
      <w:r>
        <w:rPr>
          <w:color w:val="231F20"/>
          <w:w w:val="105"/>
        </w:rPr>
        <w:t>contribuir</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programas</w:t>
      </w:r>
      <w:r>
        <w:rPr>
          <w:color w:val="231F20"/>
          <w:spacing w:val="-18"/>
          <w:w w:val="105"/>
        </w:rPr>
        <w:t> </w:t>
      </w:r>
      <w:r>
        <w:rPr>
          <w:color w:val="231F20"/>
          <w:w w:val="105"/>
        </w:rPr>
        <w:t>Federales</w:t>
      </w:r>
      <w:r>
        <w:rPr>
          <w:color w:val="231F20"/>
          <w:spacing w:val="-18"/>
          <w:w w:val="105"/>
        </w:rPr>
        <w:t> </w:t>
      </w:r>
      <w:r>
        <w:rPr>
          <w:color w:val="231F20"/>
          <w:w w:val="105"/>
        </w:rPr>
        <w:t>y</w:t>
      </w:r>
      <w:r>
        <w:rPr>
          <w:color w:val="231F20"/>
          <w:spacing w:val="-18"/>
          <w:w w:val="105"/>
        </w:rPr>
        <w:t> </w:t>
      </w:r>
      <w:r>
        <w:rPr>
          <w:color w:val="231F20"/>
          <w:w w:val="105"/>
        </w:rPr>
        <w:t>Estatales</w:t>
      </w:r>
      <w:r>
        <w:rPr>
          <w:color w:val="231F20"/>
          <w:spacing w:val="-18"/>
          <w:w w:val="105"/>
        </w:rPr>
        <w:t> </w:t>
      </w:r>
      <w:r>
        <w:rPr>
          <w:color w:val="231F20"/>
          <w:w w:val="105"/>
        </w:rPr>
        <w:t>para</w:t>
      </w:r>
      <w:r>
        <w:rPr>
          <w:color w:val="231F20"/>
          <w:spacing w:val="-18"/>
          <w:w w:val="105"/>
        </w:rPr>
        <w:t> </w:t>
      </w:r>
      <w:r>
        <w:rPr>
          <w:color w:val="231F20"/>
          <w:w w:val="105"/>
        </w:rPr>
        <w:t>abatir el rezago en materia de infraestructura, servicios de salud y educación. Lo ante- rior</w:t>
      </w:r>
      <w:r>
        <w:rPr>
          <w:color w:val="231F20"/>
          <w:spacing w:val="-7"/>
          <w:w w:val="105"/>
        </w:rPr>
        <w:t> </w:t>
      </w:r>
      <w:r>
        <w:rPr>
          <w:color w:val="231F20"/>
          <w:w w:val="105"/>
        </w:rPr>
        <w:t>obliga</w:t>
      </w:r>
      <w:r>
        <w:rPr>
          <w:color w:val="231F20"/>
          <w:spacing w:val="-7"/>
          <w:w w:val="105"/>
        </w:rPr>
        <w:t> </w:t>
      </w:r>
      <w:r>
        <w:rPr>
          <w:color w:val="231F20"/>
          <w:w w:val="105"/>
        </w:rPr>
        <w:t>a</w:t>
      </w:r>
      <w:r>
        <w:rPr>
          <w:color w:val="231F20"/>
          <w:spacing w:val="-7"/>
          <w:w w:val="105"/>
        </w:rPr>
        <w:t> </w:t>
      </w:r>
      <w:r>
        <w:rPr>
          <w:color w:val="231F20"/>
          <w:w w:val="105"/>
        </w:rPr>
        <w:t>instrumentar</w:t>
      </w:r>
      <w:r>
        <w:rPr>
          <w:color w:val="231F20"/>
          <w:spacing w:val="-7"/>
          <w:w w:val="105"/>
        </w:rPr>
        <w:t> </w:t>
      </w:r>
      <w:r>
        <w:rPr>
          <w:color w:val="231F20"/>
          <w:w w:val="105"/>
        </w:rPr>
        <w:t>una</w:t>
      </w:r>
      <w:r>
        <w:rPr>
          <w:color w:val="231F20"/>
          <w:spacing w:val="-7"/>
          <w:w w:val="105"/>
        </w:rPr>
        <w:t> </w:t>
      </w:r>
      <w:r>
        <w:rPr>
          <w:color w:val="231F20"/>
          <w:w w:val="105"/>
        </w:rPr>
        <w:t>política</w:t>
      </w:r>
      <w:r>
        <w:rPr>
          <w:color w:val="231F20"/>
          <w:spacing w:val="-7"/>
          <w:w w:val="105"/>
        </w:rPr>
        <w:t> </w:t>
      </w:r>
      <w:r>
        <w:rPr>
          <w:color w:val="231F20"/>
          <w:w w:val="105"/>
        </w:rPr>
        <w:t>de</w:t>
      </w:r>
      <w:r>
        <w:rPr>
          <w:color w:val="231F20"/>
          <w:spacing w:val="-7"/>
          <w:w w:val="105"/>
        </w:rPr>
        <w:t> </w:t>
      </w:r>
      <w:r>
        <w:rPr>
          <w:color w:val="231F20"/>
          <w:w w:val="105"/>
        </w:rPr>
        <w:t>disciplina</w:t>
      </w:r>
      <w:r>
        <w:rPr>
          <w:color w:val="231F20"/>
          <w:spacing w:val="-7"/>
          <w:w w:val="105"/>
        </w:rPr>
        <w:t> </w:t>
      </w:r>
      <w:r>
        <w:rPr>
          <w:color w:val="231F20"/>
          <w:w w:val="105"/>
        </w:rPr>
        <w:t>y</w:t>
      </w:r>
      <w:r>
        <w:rPr>
          <w:color w:val="231F20"/>
          <w:spacing w:val="-7"/>
          <w:w w:val="105"/>
        </w:rPr>
        <w:t> </w:t>
      </w:r>
      <w:r>
        <w:rPr>
          <w:color w:val="231F20"/>
          <w:w w:val="105"/>
        </w:rPr>
        <w:t>austeridad</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aplicación del</w:t>
      </w:r>
      <w:r>
        <w:rPr>
          <w:color w:val="231F20"/>
          <w:spacing w:val="-21"/>
          <w:w w:val="105"/>
        </w:rPr>
        <w:t> </w:t>
      </w:r>
      <w:r>
        <w:rPr>
          <w:color w:val="231F20"/>
          <w:w w:val="105"/>
        </w:rPr>
        <w:t>gasto</w:t>
      </w:r>
      <w:r>
        <w:rPr>
          <w:color w:val="231F20"/>
          <w:spacing w:val="-21"/>
          <w:w w:val="105"/>
        </w:rPr>
        <w:t> </w:t>
      </w:r>
      <w:r>
        <w:rPr>
          <w:color w:val="231F20"/>
          <w:w w:val="105"/>
        </w:rPr>
        <w:t>público</w:t>
      </w:r>
      <w:r>
        <w:rPr>
          <w:color w:val="231F20"/>
          <w:spacing w:val="-21"/>
          <w:w w:val="105"/>
        </w:rPr>
        <w:t> </w:t>
      </w:r>
      <w:r>
        <w:rPr>
          <w:color w:val="231F20"/>
          <w:w w:val="105"/>
        </w:rPr>
        <w:t>y</w:t>
      </w:r>
      <w:r>
        <w:rPr>
          <w:color w:val="231F20"/>
          <w:spacing w:val="-21"/>
          <w:w w:val="105"/>
        </w:rPr>
        <w:t> </w:t>
      </w:r>
      <w:r>
        <w:rPr>
          <w:color w:val="231F20"/>
          <w:w w:val="105"/>
        </w:rPr>
        <w:t>asimismo</w:t>
      </w:r>
      <w:r>
        <w:rPr>
          <w:color w:val="231F20"/>
          <w:spacing w:val="-21"/>
          <w:w w:val="105"/>
        </w:rPr>
        <w:t> </w:t>
      </w:r>
      <w:r>
        <w:rPr>
          <w:color w:val="231F20"/>
          <w:w w:val="105"/>
        </w:rPr>
        <w:t>eficientar</w:t>
      </w:r>
      <w:r>
        <w:rPr>
          <w:color w:val="231F20"/>
          <w:spacing w:val="-21"/>
          <w:w w:val="105"/>
        </w:rPr>
        <w:t> </w:t>
      </w:r>
      <w:r>
        <w:rPr>
          <w:color w:val="231F20"/>
          <w:w w:val="105"/>
        </w:rPr>
        <w:t>la</w:t>
      </w:r>
      <w:r>
        <w:rPr>
          <w:color w:val="231F20"/>
          <w:spacing w:val="-21"/>
          <w:w w:val="105"/>
        </w:rPr>
        <w:t> </w:t>
      </w:r>
      <w:r>
        <w:rPr>
          <w:color w:val="231F20"/>
          <w:spacing w:val="-3"/>
          <w:w w:val="105"/>
        </w:rPr>
        <w:t>recaudación.”</w:t>
      </w:r>
      <w:r>
        <w:rPr>
          <w:color w:val="231F20"/>
          <w:spacing w:val="-3"/>
          <w:w w:val="105"/>
          <w:position w:val="7"/>
          <w:sz w:val="13"/>
        </w:rPr>
        <w:t>4</w:t>
      </w:r>
    </w:p>
    <w:p>
      <w:pPr>
        <w:pStyle w:val="BodyText"/>
        <w:spacing w:before="1"/>
        <w:rPr>
          <w:sz w:val="26"/>
        </w:rPr>
      </w:pPr>
    </w:p>
    <w:p>
      <w:pPr>
        <w:pStyle w:val="BodyText"/>
        <w:spacing w:line="285" w:lineRule="auto"/>
        <w:ind w:left="110" w:right="108"/>
        <w:jc w:val="both"/>
      </w:pPr>
      <w:r>
        <w:rPr>
          <w:color w:val="231F20"/>
        </w:rPr>
        <w:t>Podemos anotar que la inversión pública y la ejercida por el gasto municipal apenas consiguen un monto anual de $3,375.00 pesos por habitante, aspecto que denota dudas sobre la posibilidad de incluirlos en programas de seguridad, abasto, comunales, entre otros. En el otro extremo, la protección al infante y el suministro de leche se deja a los recursos que el DIF municipal recibe vía federal o   estatal.</w:t>
      </w:r>
    </w:p>
    <w:p>
      <w:pPr>
        <w:pStyle w:val="BodyText"/>
        <w:spacing w:before="2"/>
        <w:rPr>
          <w:sz w:val="20"/>
        </w:rPr>
      </w:pPr>
    </w:p>
    <w:p>
      <w:pPr>
        <w:pStyle w:val="Heading4"/>
        <w:spacing w:before="1"/>
        <w:rPr>
          <w:i/>
        </w:rPr>
      </w:pPr>
      <w:r>
        <w:rPr>
          <w:i/>
          <w:color w:val="231F20"/>
          <w:w w:val="105"/>
        </w:rPr>
        <w:t>Aspectos político electorales del municipio</w:t>
      </w:r>
    </w:p>
    <w:p>
      <w:pPr>
        <w:pStyle w:val="BodyText"/>
        <w:spacing w:line="285" w:lineRule="auto" w:before="16"/>
        <w:ind w:left="110" w:right="110"/>
        <w:jc w:val="both"/>
      </w:pPr>
      <w:r>
        <w:rPr>
          <w:color w:val="231F20"/>
          <w:w w:val="105"/>
        </w:rPr>
        <w:t>El</w:t>
      </w:r>
      <w:r>
        <w:rPr>
          <w:color w:val="231F20"/>
          <w:spacing w:val="-18"/>
          <w:w w:val="105"/>
        </w:rPr>
        <w:t> </w:t>
      </w:r>
      <w:r>
        <w:rPr>
          <w:color w:val="231F20"/>
          <w:w w:val="105"/>
        </w:rPr>
        <w:t>proceso</w:t>
      </w:r>
      <w:r>
        <w:rPr>
          <w:color w:val="231F20"/>
          <w:spacing w:val="-18"/>
          <w:w w:val="105"/>
        </w:rPr>
        <w:t> </w:t>
      </w:r>
      <w:r>
        <w:rPr>
          <w:color w:val="231F20"/>
          <w:w w:val="105"/>
        </w:rPr>
        <w:t>que</w:t>
      </w:r>
      <w:r>
        <w:rPr>
          <w:color w:val="231F20"/>
          <w:spacing w:val="-18"/>
          <w:w w:val="105"/>
        </w:rPr>
        <w:t> </w:t>
      </w:r>
      <w:r>
        <w:rPr>
          <w:color w:val="231F20"/>
          <w:w w:val="105"/>
        </w:rPr>
        <w:t>ha</w:t>
      </w:r>
      <w:r>
        <w:rPr>
          <w:color w:val="231F20"/>
          <w:spacing w:val="-18"/>
          <w:w w:val="105"/>
        </w:rPr>
        <w:t> </w:t>
      </w:r>
      <w:r>
        <w:rPr>
          <w:color w:val="231F20"/>
          <w:w w:val="105"/>
        </w:rPr>
        <w:t>seguido</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política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municipio</w:t>
      </w:r>
      <w:r>
        <w:rPr>
          <w:color w:val="231F20"/>
          <w:spacing w:val="-18"/>
          <w:w w:val="105"/>
        </w:rPr>
        <w:t> </w:t>
      </w:r>
      <w:r>
        <w:rPr>
          <w:color w:val="231F20"/>
          <w:w w:val="105"/>
        </w:rPr>
        <w:t>se</w:t>
      </w:r>
      <w:r>
        <w:rPr>
          <w:color w:val="231F20"/>
          <w:spacing w:val="-18"/>
          <w:w w:val="105"/>
        </w:rPr>
        <w:t> </w:t>
      </w:r>
      <w:r>
        <w:rPr>
          <w:color w:val="231F20"/>
          <w:w w:val="105"/>
        </w:rPr>
        <w:t>caracteriza</w:t>
      </w:r>
      <w:r>
        <w:rPr>
          <w:color w:val="231F20"/>
          <w:spacing w:val="-18"/>
          <w:w w:val="105"/>
        </w:rPr>
        <w:t> </w:t>
      </w:r>
      <w:r>
        <w:rPr>
          <w:color w:val="231F20"/>
          <w:w w:val="105"/>
        </w:rPr>
        <w:t>por</w:t>
      </w:r>
      <w:r>
        <w:rPr>
          <w:color w:val="231F20"/>
          <w:spacing w:val="-18"/>
          <w:w w:val="105"/>
        </w:rPr>
        <w:t> </w:t>
      </w:r>
      <w:r>
        <w:rPr>
          <w:color w:val="231F20"/>
          <w:w w:val="105"/>
        </w:rPr>
        <w:t>un</w:t>
      </w:r>
      <w:r>
        <w:rPr>
          <w:color w:val="231F20"/>
          <w:spacing w:val="-18"/>
          <w:w w:val="105"/>
        </w:rPr>
        <w:t> </w:t>
      </w:r>
      <w:r>
        <w:rPr>
          <w:color w:val="231F20"/>
          <w:w w:val="105"/>
        </w:rPr>
        <w:t>ejercicio del</w:t>
      </w:r>
      <w:r>
        <w:rPr>
          <w:color w:val="231F20"/>
          <w:spacing w:val="-17"/>
          <w:w w:val="105"/>
        </w:rPr>
        <w:t> </w:t>
      </w:r>
      <w:r>
        <w:rPr>
          <w:color w:val="231F20"/>
          <w:w w:val="105"/>
        </w:rPr>
        <w:t>poder</w:t>
      </w:r>
      <w:r>
        <w:rPr>
          <w:color w:val="231F20"/>
          <w:spacing w:val="-17"/>
          <w:w w:val="105"/>
        </w:rPr>
        <w:t> </w:t>
      </w:r>
      <w:r>
        <w:rPr>
          <w:color w:val="231F20"/>
          <w:w w:val="105"/>
        </w:rPr>
        <w:t>público</w:t>
      </w:r>
      <w:r>
        <w:rPr>
          <w:color w:val="231F20"/>
          <w:spacing w:val="-17"/>
          <w:w w:val="105"/>
        </w:rPr>
        <w:t> </w:t>
      </w:r>
      <w:r>
        <w:rPr>
          <w:color w:val="231F20"/>
          <w:w w:val="105"/>
        </w:rPr>
        <w:t>dominado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spacing w:val="-4"/>
          <w:w w:val="105"/>
        </w:rPr>
        <w:t>PAN</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PRI.</w:t>
      </w:r>
      <w:r>
        <w:rPr>
          <w:color w:val="231F20"/>
          <w:spacing w:val="-17"/>
          <w:w w:val="105"/>
        </w:rPr>
        <w:t> </w:t>
      </w:r>
      <w:r>
        <w:rPr>
          <w:color w:val="231F20"/>
          <w:w w:val="105"/>
        </w:rPr>
        <w:t>Así</w:t>
      </w:r>
      <w:r>
        <w:rPr>
          <w:color w:val="231F20"/>
          <w:spacing w:val="-17"/>
          <w:w w:val="105"/>
        </w:rPr>
        <w:t> </w:t>
      </w:r>
      <w:r>
        <w:rPr>
          <w:color w:val="231F20"/>
          <w:w w:val="105"/>
        </w:rPr>
        <w:t>se</w:t>
      </w:r>
      <w:r>
        <w:rPr>
          <w:color w:val="231F20"/>
          <w:spacing w:val="-17"/>
          <w:w w:val="105"/>
        </w:rPr>
        <w:t> </w:t>
      </w:r>
      <w:r>
        <w:rPr>
          <w:color w:val="231F20"/>
          <w:w w:val="105"/>
        </w:rPr>
        <w:t>observa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cuadro</w:t>
      </w:r>
      <w:r>
        <w:rPr>
          <w:color w:val="231F20"/>
          <w:spacing w:val="-17"/>
          <w:w w:val="105"/>
        </w:rPr>
        <w:t> </w:t>
      </w:r>
      <w:r>
        <w:rPr>
          <w:color w:val="231F20"/>
          <w:w w:val="105"/>
        </w:rPr>
        <w:t>siguiente:</w:t>
      </w: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10000;mso-wrap-distance-left:0;mso-wrap-distance-right:0" from="42.519699pt,10.804812pt" to="114.519699pt,10.804812pt" stroked="true" strokeweight="1pt" strokecolor="#231f20">
            <w10:wrap type="topAndBottom"/>
          </v:line>
        </w:pict>
      </w:r>
    </w:p>
    <w:p>
      <w:pPr>
        <w:pStyle w:val="ListParagraph"/>
        <w:numPr>
          <w:ilvl w:val="0"/>
          <w:numId w:val="12"/>
        </w:numPr>
        <w:tabs>
          <w:tab w:pos="224" w:val="left" w:leader="none"/>
        </w:tabs>
        <w:spacing w:line="240" w:lineRule="auto" w:before="8" w:after="0"/>
        <w:ind w:left="223" w:right="0" w:hanging="113"/>
        <w:jc w:val="left"/>
        <w:rPr>
          <w:sz w:val="16"/>
        </w:rPr>
      </w:pPr>
      <w:r>
        <w:rPr>
          <w:color w:val="231F20"/>
          <w:sz w:val="16"/>
        </w:rPr>
        <w:t>Ídem.</w:t>
      </w:r>
    </w:p>
    <w:p>
      <w:pPr>
        <w:spacing w:after="0" w:line="240" w:lineRule="auto"/>
        <w:jc w:val="left"/>
        <w:rPr>
          <w:sz w:val="16"/>
        </w:rPr>
        <w:sectPr>
          <w:pgSz w:w="9640" w:h="12190"/>
          <w:pgMar w:header="0" w:footer="743" w:top="1120" w:bottom="940" w:left="740" w:right="740"/>
        </w:sectPr>
      </w:pPr>
    </w:p>
    <w:p>
      <w:pPr>
        <w:pStyle w:val="Heading5"/>
        <w:spacing w:before="27"/>
        <w:ind w:left="2483"/>
      </w:pPr>
      <w:r>
        <w:rPr>
          <w:color w:val="231F20"/>
          <w:w w:val="105"/>
        </w:rPr>
        <w:t>Cuadro 4. Resultados Electorales</w:t>
      </w:r>
    </w:p>
    <w:p>
      <w:pPr>
        <w:pStyle w:val="BodyText"/>
        <w:rPr>
          <w:b/>
          <w:sz w:val="20"/>
        </w:rPr>
      </w:pPr>
    </w:p>
    <w:p>
      <w:pPr>
        <w:pStyle w:val="BodyText"/>
        <w:spacing w:before="10"/>
        <w:rPr>
          <w:b/>
          <w:sz w:val="20"/>
        </w:rPr>
      </w:pPr>
    </w:p>
    <w:tbl>
      <w:tblPr>
        <w:tblW w:w="0" w:type="auto"/>
        <w:jc w:val="left"/>
        <w:tblInd w:w="110" w:type="dxa"/>
        <w:tblBorders>
          <w:top w:val="thickThinMediumGap" w:sz="3" w:space="0" w:color="EBE5DA"/>
          <w:left w:val="thickThinMediumGap" w:sz="3" w:space="0" w:color="EBE5DA"/>
          <w:bottom w:val="thickThinMediumGap" w:sz="3" w:space="0" w:color="EBE5DA"/>
          <w:right w:val="thickThinMediumGap" w:sz="3" w:space="0" w:color="EBE5DA"/>
          <w:insideH w:val="thickThinMediumGap" w:sz="3" w:space="0" w:color="EBE5DA"/>
          <w:insideV w:val="thickThinMediumGap" w:sz="3" w:space="0" w:color="EBE5DA"/>
        </w:tblBorders>
        <w:tblLayout w:type="fixed"/>
        <w:tblCellMar>
          <w:top w:w="0" w:type="dxa"/>
          <w:left w:w="0" w:type="dxa"/>
          <w:bottom w:w="0" w:type="dxa"/>
          <w:right w:w="0" w:type="dxa"/>
        </w:tblCellMar>
        <w:tblLook w:val="01E0"/>
      </w:tblPr>
      <w:tblGrid>
        <w:gridCol w:w="659"/>
        <w:gridCol w:w="1150"/>
        <w:gridCol w:w="1198"/>
        <w:gridCol w:w="1133"/>
        <w:gridCol w:w="1053"/>
        <w:gridCol w:w="962"/>
        <w:gridCol w:w="1149"/>
        <w:gridCol w:w="618"/>
      </w:tblGrid>
      <w:tr>
        <w:trPr>
          <w:trHeight w:val="643" w:hRule="exact"/>
        </w:trPr>
        <w:tc>
          <w:tcPr>
            <w:tcW w:w="659" w:type="dxa"/>
            <w:tcBorders>
              <w:top w:val="thinThickMediumGap" w:sz="3" w:space="0" w:color="EBE5DA"/>
              <w:left w:val="thinThickMediumGap" w:sz="3" w:space="0" w:color="EBE5DA"/>
            </w:tcBorders>
          </w:tcPr>
          <w:p>
            <w:pPr>
              <w:pStyle w:val="TableParagraph"/>
              <w:spacing w:before="3"/>
              <w:ind w:left="0"/>
              <w:rPr>
                <w:rFonts w:ascii="Times New Roman"/>
                <w:b/>
                <w:sz w:val="19"/>
              </w:rPr>
            </w:pPr>
          </w:p>
          <w:p>
            <w:pPr>
              <w:pStyle w:val="TableParagraph"/>
              <w:ind w:left="74" w:right="74"/>
              <w:jc w:val="center"/>
              <w:rPr>
                <w:sz w:val="16"/>
              </w:rPr>
            </w:pPr>
            <w:r>
              <w:rPr>
                <w:color w:val="231F20"/>
                <w:w w:val="85"/>
                <w:sz w:val="16"/>
              </w:rPr>
              <w:t>Elección</w:t>
            </w:r>
          </w:p>
        </w:tc>
        <w:tc>
          <w:tcPr>
            <w:tcW w:w="1150" w:type="dxa"/>
            <w:tcBorders>
              <w:top w:val="thinThickMediumGap" w:sz="3" w:space="0" w:color="EBE5DA"/>
              <w:left w:val="thinThickMediumGap" w:sz="3" w:space="0" w:color="EBE5DA"/>
              <w:bottom w:val="single" w:sz="6" w:space="0" w:color="FFFFFF"/>
            </w:tcBorders>
          </w:tcPr>
          <w:p>
            <w:pPr>
              <w:pStyle w:val="TableParagraph"/>
              <w:ind w:left="261"/>
              <w:rPr>
                <w:rFonts w:ascii="Times New Roman"/>
                <w:sz w:val="20"/>
              </w:rPr>
            </w:pPr>
            <w:r>
              <w:rPr>
                <w:rFonts w:ascii="Times New Roman"/>
                <w:sz w:val="20"/>
              </w:rPr>
              <w:drawing>
                <wp:inline distT="0" distB="0" distL="0" distR="0">
                  <wp:extent cx="387072" cy="384048"/>
                  <wp:effectExtent l="0" t="0" r="0" b="0"/>
                  <wp:docPr id="317" name="image523.jpeg" descr=""/>
                  <wp:cNvGraphicFramePr>
                    <a:graphicFrameLocks noChangeAspect="1"/>
                  </wp:cNvGraphicFramePr>
                  <a:graphic>
                    <a:graphicData uri="http://schemas.openxmlformats.org/drawingml/2006/picture">
                      <pic:pic>
                        <pic:nvPicPr>
                          <pic:cNvPr id="318" name="image523.jpeg"/>
                          <pic:cNvPicPr/>
                        </pic:nvPicPr>
                        <pic:blipFill>
                          <a:blip r:embed="rId581" cstate="print"/>
                          <a:stretch>
                            <a:fillRect/>
                          </a:stretch>
                        </pic:blipFill>
                        <pic:spPr>
                          <a:xfrm>
                            <a:off x="0" y="0"/>
                            <a:ext cx="387072" cy="384048"/>
                          </a:xfrm>
                          <a:prstGeom prst="rect">
                            <a:avLst/>
                          </a:prstGeom>
                        </pic:spPr>
                      </pic:pic>
                    </a:graphicData>
                  </a:graphic>
                </wp:inline>
              </w:drawing>
            </w:r>
            <w:r>
              <w:rPr>
                <w:rFonts w:ascii="Times New Roman"/>
                <w:sz w:val="20"/>
              </w:rPr>
            </w:r>
          </w:p>
        </w:tc>
        <w:tc>
          <w:tcPr>
            <w:tcW w:w="1198" w:type="dxa"/>
            <w:tcBorders>
              <w:top w:val="thinThickMediumGap" w:sz="3" w:space="0" w:color="EBE5DA"/>
              <w:left w:val="thinThickMediumGap" w:sz="3" w:space="0" w:color="EBE5DA"/>
            </w:tcBorders>
          </w:tcPr>
          <w:p>
            <w:pPr>
              <w:pStyle w:val="TableParagraph"/>
              <w:ind w:left="276"/>
              <w:rPr>
                <w:rFonts w:ascii="Times New Roman"/>
                <w:sz w:val="20"/>
              </w:rPr>
            </w:pPr>
            <w:r>
              <w:rPr>
                <w:rFonts w:ascii="Times New Roman"/>
                <w:sz w:val="20"/>
              </w:rPr>
              <w:drawing>
                <wp:inline distT="0" distB="0" distL="0" distR="0">
                  <wp:extent cx="400959" cy="390144"/>
                  <wp:effectExtent l="0" t="0" r="0" b="0"/>
                  <wp:docPr id="319" name="image524.jpeg" descr=""/>
                  <wp:cNvGraphicFramePr>
                    <a:graphicFrameLocks noChangeAspect="1"/>
                  </wp:cNvGraphicFramePr>
                  <a:graphic>
                    <a:graphicData uri="http://schemas.openxmlformats.org/drawingml/2006/picture">
                      <pic:pic>
                        <pic:nvPicPr>
                          <pic:cNvPr id="320" name="image524.jpeg"/>
                          <pic:cNvPicPr/>
                        </pic:nvPicPr>
                        <pic:blipFill>
                          <a:blip r:embed="rId582" cstate="print"/>
                          <a:stretch>
                            <a:fillRect/>
                          </a:stretch>
                        </pic:blipFill>
                        <pic:spPr>
                          <a:xfrm>
                            <a:off x="0" y="0"/>
                            <a:ext cx="400959" cy="390144"/>
                          </a:xfrm>
                          <a:prstGeom prst="rect">
                            <a:avLst/>
                          </a:prstGeom>
                        </pic:spPr>
                      </pic:pic>
                    </a:graphicData>
                  </a:graphic>
                </wp:inline>
              </w:drawing>
            </w:r>
            <w:r>
              <w:rPr>
                <w:rFonts w:ascii="Times New Roman"/>
                <w:sz w:val="20"/>
              </w:rPr>
            </w:r>
          </w:p>
        </w:tc>
        <w:tc>
          <w:tcPr>
            <w:tcW w:w="1133" w:type="dxa"/>
            <w:tcBorders>
              <w:top w:val="thinThickMediumGap" w:sz="3" w:space="0" w:color="EBE5DA"/>
              <w:left w:val="thinThickMediumGap" w:sz="3" w:space="0" w:color="EBE5DA"/>
            </w:tcBorders>
          </w:tcPr>
          <w:p>
            <w:pPr>
              <w:pStyle w:val="TableParagraph"/>
              <w:ind w:left="252"/>
              <w:rPr>
                <w:rFonts w:ascii="Times New Roman"/>
                <w:sz w:val="20"/>
              </w:rPr>
            </w:pPr>
            <w:r>
              <w:rPr>
                <w:rFonts w:ascii="Times New Roman"/>
                <w:sz w:val="20"/>
              </w:rPr>
              <w:drawing>
                <wp:inline distT="0" distB="0" distL="0" distR="0">
                  <wp:extent cx="390138" cy="388620"/>
                  <wp:effectExtent l="0" t="0" r="0" b="0"/>
                  <wp:docPr id="321" name="image525.jpeg" descr=""/>
                  <wp:cNvGraphicFramePr>
                    <a:graphicFrameLocks noChangeAspect="1"/>
                  </wp:cNvGraphicFramePr>
                  <a:graphic>
                    <a:graphicData uri="http://schemas.openxmlformats.org/drawingml/2006/picture">
                      <pic:pic>
                        <pic:nvPicPr>
                          <pic:cNvPr id="322" name="image525.jpeg"/>
                          <pic:cNvPicPr/>
                        </pic:nvPicPr>
                        <pic:blipFill>
                          <a:blip r:embed="rId583" cstate="print"/>
                          <a:stretch>
                            <a:fillRect/>
                          </a:stretch>
                        </pic:blipFill>
                        <pic:spPr>
                          <a:xfrm>
                            <a:off x="0" y="0"/>
                            <a:ext cx="390138" cy="388620"/>
                          </a:xfrm>
                          <a:prstGeom prst="rect">
                            <a:avLst/>
                          </a:prstGeom>
                        </pic:spPr>
                      </pic:pic>
                    </a:graphicData>
                  </a:graphic>
                </wp:inline>
              </w:drawing>
            </w:r>
            <w:r>
              <w:rPr>
                <w:rFonts w:ascii="Times New Roman"/>
                <w:sz w:val="20"/>
              </w:rPr>
            </w:r>
          </w:p>
        </w:tc>
        <w:tc>
          <w:tcPr>
            <w:tcW w:w="1053" w:type="dxa"/>
            <w:tcBorders>
              <w:top w:val="thinThickMediumGap" w:sz="3" w:space="0" w:color="EBE5DA"/>
              <w:left w:val="thinThickMediumGap" w:sz="3" w:space="0" w:color="EBE5DA"/>
            </w:tcBorders>
          </w:tcPr>
          <w:p>
            <w:pPr>
              <w:pStyle w:val="TableParagraph"/>
              <w:ind w:left="218"/>
              <w:rPr>
                <w:rFonts w:ascii="Times New Roman"/>
                <w:sz w:val="20"/>
              </w:rPr>
            </w:pPr>
            <w:r>
              <w:rPr>
                <w:rFonts w:ascii="Times New Roman"/>
                <w:sz w:val="20"/>
              </w:rPr>
              <w:drawing>
                <wp:inline distT="0" distB="0" distL="0" distR="0">
                  <wp:extent cx="378041" cy="378047"/>
                  <wp:effectExtent l="0" t="0" r="0" b="0"/>
                  <wp:docPr id="323" name="image526.jpeg" descr=""/>
                  <wp:cNvGraphicFramePr>
                    <a:graphicFrameLocks noChangeAspect="1"/>
                  </wp:cNvGraphicFramePr>
                  <a:graphic>
                    <a:graphicData uri="http://schemas.openxmlformats.org/drawingml/2006/picture">
                      <pic:pic>
                        <pic:nvPicPr>
                          <pic:cNvPr id="324" name="image526.jpeg"/>
                          <pic:cNvPicPr/>
                        </pic:nvPicPr>
                        <pic:blipFill>
                          <a:blip r:embed="rId584" cstate="print"/>
                          <a:stretch>
                            <a:fillRect/>
                          </a:stretch>
                        </pic:blipFill>
                        <pic:spPr>
                          <a:xfrm>
                            <a:off x="0" y="0"/>
                            <a:ext cx="378041" cy="378047"/>
                          </a:xfrm>
                          <a:prstGeom prst="rect">
                            <a:avLst/>
                          </a:prstGeom>
                        </pic:spPr>
                      </pic:pic>
                    </a:graphicData>
                  </a:graphic>
                </wp:inline>
              </w:drawing>
            </w:r>
            <w:r>
              <w:rPr>
                <w:rFonts w:ascii="Times New Roman"/>
                <w:sz w:val="20"/>
              </w:rPr>
            </w:r>
          </w:p>
        </w:tc>
        <w:tc>
          <w:tcPr>
            <w:tcW w:w="962" w:type="dxa"/>
            <w:tcBorders>
              <w:top w:val="thinThickMediumGap" w:sz="3" w:space="0" w:color="EBE5DA"/>
              <w:left w:val="thinThickMediumGap" w:sz="3" w:space="0" w:color="EBE5DA"/>
            </w:tcBorders>
          </w:tcPr>
          <w:p>
            <w:pPr>
              <w:pStyle w:val="TableParagraph"/>
              <w:ind w:left="167"/>
              <w:rPr>
                <w:rFonts w:ascii="Times New Roman"/>
                <w:sz w:val="20"/>
              </w:rPr>
            </w:pPr>
            <w:r>
              <w:rPr>
                <w:rFonts w:ascii="Times New Roman"/>
                <w:sz w:val="20"/>
              </w:rPr>
              <w:drawing>
                <wp:inline distT="0" distB="0" distL="0" distR="0">
                  <wp:extent cx="387072" cy="384048"/>
                  <wp:effectExtent l="0" t="0" r="0" b="0"/>
                  <wp:docPr id="325" name="image527.jpeg" descr=""/>
                  <wp:cNvGraphicFramePr>
                    <a:graphicFrameLocks noChangeAspect="1"/>
                  </wp:cNvGraphicFramePr>
                  <a:graphic>
                    <a:graphicData uri="http://schemas.openxmlformats.org/drawingml/2006/picture">
                      <pic:pic>
                        <pic:nvPicPr>
                          <pic:cNvPr id="326" name="image527.jpeg"/>
                          <pic:cNvPicPr/>
                        </pic:nvPicPr>
                        <pic:blipFill>
                          <a:blip r:embed="rId585" cstate="print"/>
                          <a:stretch>
                            <a:fillRect/>
                          </a:stretch>
                        </pic:blipFill>
                        <pic:spPr>
                          <a:xfrm>
                            <a:off x="0" y="0"/>
                            <a:ext cx="387072" cy="384048"/>
                          </a:xfrm>
                          <a:prstGeom prst="rect">
                            <a:avLst/>
                          </a:prstGeom>
                        </pic:spPr>
                      </pic:pic>
                    </a:graphicData>
                  </a:graphic>
                </wp:inline>
              </w:drawing>
            </w:r>
            <w:r>
              <w:rPr>
                <w:rFonts w:ascii="Times New Roman"/>
                <w:sz w:val="20"/>
              </w:rPr>
            </w:r>
          </w:p>
        </w:tc>
        <w:tc>
          <w:tcPr>
            <w:tcW w:w="1149" w:type="dxa"/>
            <w:tcBorders>
              <w:top w:val="thinThickMediumGap" w:sz="3" w:space="0" w:color="EBE5DA"/>
              <w:left w:val="thinThickMediumGap" w:sz="3" w:space="0" w:color="EBE5DA"/>
            </w:tcBorders>
          </w:tcPr>
          <w:p>
            <w:pPr>
              <w:pStyle w:val="TableParagraph"/>
              <w:spacing w:before="9"/>
              <w:ind w:left="0"/>
              <w:rPr>
                <w:rFonts w:ascii="Times New Roman"/>
                <w:b/>
                <w:sz w:val="3"/>
              </w:rPr>
            </w:pPr>
          </w:p>
          <w:p>
            <w:pPr>
              <w:pStyle w:val="TableParagraph"/>
              <w:ind w:left="170"/>
              <w:rPr>
                <w:rFonts w:ascii="Times New Roman"/>
                <w:sz w:val="20"/>
              </w:rPr>
            </w:pPr>
            <w:r>
              <w:rPr>
                <w:rFonts w:ascii="Times New Roman"/>
                <w:sz w:val="20"/>
              </w:rPr>
              <w:drawing>
                <wp:inline distT="0" distB="0" distL="0" distR="0">
                  <wp:extent cx="503268" cy="342042"/>
                  <wp:effectExtent l="0" t="0" r="0" b="0"/>
                  <wp:docPr id="327" name="image528.jpeg" descr=""/>
                  <wp:cNvGraphicFramePr>
                    <a:graphicFrameLocks noChangeAspect="1"/>
                  </wp:cNvGraphicFramePr>
                  <a:graphic>
                    <a:graphicData uri="http://schemas.openxmlformats.org/drawingml/2006/picture">
                      <pic:pic>
                        <pic:nvPicPr>
                          <pic:cNvPr id="328" name="image528.jpeg"/>
                          <pic:cNvPicPr/>
                        </pic:nvPicPr>
                        <pic:blipFill>
                          <a:blip r:embed="rId586" cstate="print"/>
                          <a:stretch>
                            <a:fillRect/>
                          </a:stretch>
                        </pic:blipFill>
                        <pic:spPr>
                          <a:xfrm>
                            <a:off x="0" y="0"/>
                            <a:ext cx="503268" cy="342042"/>
                          </a:xfrm>
                          <a:prstGeom prst="rect">
                            <a:avLst/>
                          </a:prstGeom>
                        </pic:spPr>
                      </pic:pic>
                    </a:graphicData>
                  </a:graphic>
                </wp:inline>
              </w:drawing>
            </w:r>
            <w:r>
              <w:rPr>
                <w:rFonts w:ascii="Times New Roman"/>
                <w:sz w:val="20"/>
              </w:rPr>
            </w:r>
          </w:p>
        </w:tc>
        <w:tc>
          <w:tcPr>
            <w:tcW w:w="618" w:type="dxa"/>
            <w:tcBorders>
              <w:top w:val="thinThickMediumGap" w:sz="3" w:space="0" w:color="EBE5DA"/>
              <w:left w:val="thinThickMediumGap" w:sz="3" w:space="0" w:color="EBE5DA"/>
            </w:tcBorders>
          </w:tcPr>
          <w:p>
            <w:pPr>
              <w:pStyle w:val="TableParagraph"/>
              <w:spacing w:before="3"/>
              <w:ind w:left="0"/>
              <w:rPr>
                <w:rFonts w:ascii="Times New Roman"/>
                <w:b/>
                <w:sz w:val="19"/>
              </w:rPr>
            </w:pPr>
          </w:p>
          <w:p>
            <w:pPr>
              <w:pStyle w:val="TableParagraph"/>
              <w:ind w:left="92" w:right="92"/>
              <w:jc w:val="center"/>
              <w:rPr>
                <w:sz w:val="16"/>
              </w:rPr>
            </w:pPr>
            <w:r>
              <w:rPr>
                <w:color w:val="231F20"/>
                <w:w w:val="85"/>
                <w:sz w:val="16"/>
              </w:rPr>
              <w:t>Total</w:t>
            </w:r>
          </w:p>
        </w:tc>
      </w:tr>
      <w:tr>
        <w:trPr>
          <w:trHeight w:val="150" w:hRule="exact"/>
        </w:trPr>
        <w:tc>
          <w:tcPr>
            <w:tcW w:w="659" w:type="dxa"/>
            <w:tcBorders>
              <w:top w:val="thinThickMediumGap" w:sz="3" w:space="0" w:color="EBE5DA"/>
              <w:left w:val="thinThickMediumGap" w:sz="3" w:space="0" w:color="EBE5DA"/>
              <w:right w:val="single" w:sz="6" w:space="0" w:color="FFFFFF"/>
            </w:tcBorders>
          </w:tcPr>
          <w:p>
            <w:pPr>
              <w:pStyle w:val="TableParagraph"/>
              <w:spacing w:line="170" w:lineRule="exact"/>
              <w:ind w:left="74" w:right="74"/>
              <w:jc w:val="center"/>
              <w:rPr>
                <w:sz w:val="16"/>
              </w:rPr>
            </w:pPr>
            <w:r>
              <w:rPr>
                <w:color w:val="231F20"/>
                <w:w w:val="85"/>
                <w:sz w:val="16"/>
              </w:rPr>
              <w:t>1996</w:t>
            </w:r>
          </w:p>
        </w:tc>
        <w:tc>
          <w:tcPr>
            <w:tcW w:w="1150" w:type="dxa"/>
            <w:tcBorders>
              <w:top w:val="single" w:sz="6" w:space="0" w:color="FFFFFF"/>
              <w:left w:val="single" w:sz="6" w:space="0" w:color="FFFFFF"/>
              <w:bottom w:val="single" w:sz="6" w:space="0" w:color="FFFFFF"/>
              <w:right w:val="single" w:sz="6" w:space="0" w:color="FFFFFF"/>
            </w:tcBorders>
            <w:shd w:val="clear" w:color="auto" w:fill="578CC9"/>
          </w:tcPr>
          <w:p>
            <w:pPr>
              <w:pStyle w:val="TableParagraph"/>
              <w:spacing w:line="170" w:lineRule="exact"/>
              <w:ind w:left="358" w:right="358"/>
              <w:jc w:val="center"/>
              <w:rPr>
                <w:sz w:val="16"/>
              </w:rPr>
            </w:pPr>
            <w:r>
              <w:rPr>
                <w:color w:val="231F20"/>
                <w:w w:val="85"/>
                <w:sz w:val="16"/>
              </w:rPr>
              <w:t>8,914</w:t>
            </w:r>
          </w:p>
        </w:tc>
        <w:tc>
          <w:tcPr>
            <w:tcW w:w="1198" w:type="dxa"/>
            <w:tcBorders>
              <w:top w:val="thinThickMediumGap" w:sz="3" w:space="0" w:color="EBE5DA"/>
              <w:left w:val="single" w:sz="6" w:space="0" w:color="FFFFFF"/>
            </w:tcBorders>
          </w:tcPr>
          <w:p>
            <w:pPr>
              <w:pStyle w:val="TableParagraph"/>
              <w:spacing w:line="170" w:lineRule="exact"/>
              <w:ind w:left="348" w:right="348"/>
              <w:jc w:val="center"/>
              <w:rPr>
                <w:sz w:val="16"/>
              </w:rPr>
            </w:pPr>
            <w:r>
              <w:rPr>
                <w:color w:val="231F20"/>
                <w:w w:val="85"/>
                <w:sz w:val="16"/>
              </w:rPr>
              <w:t>5,423</w:t>
            </w:r>
          </w:p>
        </w:tc>
        <w:tc>
          <w:tcPr>
            <w:tcW w:w="1133" w:type="dxa"/>
            <w:tcBorders>
              <w:top w:val="thinThickMediumGap" w:sz="3" w:space="0" w:color="EBE5DA"/>
              <w:left w:val="thinThickMediumGap" w:sz="3" w:space="0" w:color="EBE5DA"/>
            </w:tcBorders>
          </w:tcPr>
          <w:p>
            <w:pPr>
              <w:pStyle w:val="TableParagraph"/>
              <w:spacing w:line="170" w:lineRule="exact"/>
              <w:ind w:left="0" w:right="416"/>
              <w:jc w:val="right"/>
              <w:rPr>
                <w:sz w:val="16"/>
              </w:rPr>
            </w:pPr>
            <w:r>
              <w:rPr>
                <w:color w:val="231F20"/>
                <w:w w:val="75"/>
                <w:sz w:val="16"/>
              </w:rPr>
              <w:t>2,425</w:t>
            </w:r>
          </w:p>
        </w:tc>
        <w:tc>
          <w:tcPr>
            <w:tcW w:w="1053" w:type="dxa"/>
            <w:tcBorders>
              <w:top w:val="thinThickMediumGap" w:sz="3" w:space="0" w:color="EBE5DA"/>
              <w:left w:val="thinThickMediumGap" w:sz="3" w:space="0" w:color="EBE5DA"/>
            </w:tcBorders>
          </w:tcPr>
          <w:p>
            <w:pPr>
              <w:pStyle w:val="TableParagraph"/>
              <w:spacing w:line="170" w:lineRule="exact"/>
              <w:ind w:left="426"/>
              <w:rPr>
                <w:sz w:val="16"/>
              </w:rPr>
            </w:pPr>
            <w:r>
              <w:rPr>
                <w:color w:val="231F20"/>
                <w:w w:val="85"/>
                <w:sz w:val="16"/>
              </w:rPr>
              <w:t>395</w:t>
            </w:r>
          </w:p>
        </w:tc>
        <w:tc>
          <w:tcPr>
            <w:tcW w:w="962" w:type="dxa"/>
            <w:tcBorders>
              <w:top w:val="thinThickMediumGap" w:sz="3" w:space="0" w:color="EBE5DA"/>
              <w:left w:val="thinThickMediumGap" w:sz="3" w:space="0" w:color="EBE5DA"/>
            </w:tcBorders>
          </w:tcPr>
          <w:p>
            <w:pPr>
              <w:pStyle w:val="TableParagraph"/>
              <w:spacing w:line="170" w:lineRule="exact"/>
              <w:ind w:left="298" w:right="298"/>
              <w:jc w:val="center"/>
              <w:rPr>
                <w:sz w:val="16"/>
              </w:rPr>
            </w:pPr>
            <w:r>
              <w:rPr>
                <w:color w:val="231F20"/>
                <w:w w:val="85"/>
                <w:sz w:val="16"/>
              </w:rPr>
              <w:t>648</w:t>
            </w:r>
          </w:p>
        </w:tc>
        <w:tc>
          <w:tcPr>
            <w:tcW w:w="1149" w:type="dxa"/>
            <w:tcBorders>
              <w:top w:val="thinThickMediumGap" w:sz="3" w:space="0" w:color="EBE5DA"/>
              <w:left w:val="thinThickMediumGap" w:sz="3" w:space="0" w:color="EBE5DA"/>
            </w:tcBorders>
          </w:tcPr>
          <w:p>
            <w:pPr>
              <w:pStyle w:val="TableParagraph"/>
              <w:spacing w:line="170" w:lineRule="exact"/>
              <w:ind w:left="0"/>
              <w:jc w:val="center"/>
              <w:rPr>
                <w:sz w:val="16"/>
              </w:rPr>
            </w:pPr>
            <w:r>
              <w:rPr>
                <w:color w:val="231F20"/>
                <w:w w:val="91"/>
                <w:sz w:val="16"/>
              </w:rPr>
              <w:t>-</w:t>
            </w:r>
          </w:p>
        </w:tc>
        <w:tc>
          <w:tcPr>
            <w:tcW w:w="618" w:type="dxa"/>
            <w:tcBorders>
              <w:top w:val="thinThickMediumGap" w:sz="3" w:space="0" w:color="EBE5DA"/>
              <w:left w:val="thinThickMediumGap" w:sz="3" w:space="0" w:color="EBE5DA"/>
            </w:tcBorders>
          </w:tcPr>
          <w:p>
            <w:pPr>
              <w:pStyle w:val="TableParagraph"/>
              <w:spacing w:line="170" w:lineRule="exact"/>
              <w:ind w:left="92" w:right="92"/>
              <w:jc w:val="center"/>
              <w:rPr>
                <w:sz w:val="16"/>
              </w:rPr>
            </w:pPr>
            <w:r>
              <w:rPr>
                <w:color w:val="231F20"/>
                <w:w w:val="85"/>
                <w:sz w:val="16"/>
              </w:rPr>
              <w:t>18,404</w:t>
            </w:r>
          </w:p>
        </w:tc>
      </w:tr>
      <w:tr>
        <w:trPr>
          <w:trHeight w:val="150" w:hRule="exact"/>
        </w:trPr>
        <w:tc>
          <w:tcPr>
            <w:tcW w:w="659" w:type="dxa"/>
            <w:tcBorders>
              <w:top w:val="thinThickMediumGap" w:sz="3" w:space="0" w:color="EBE5DA"/>
              <w:left w:val="thinThickMediumGap" w:sz="3" w:space="0" w:color="EBE5DA"/>
              <w:right w:val="single" w:sz="6" w:space="0" w:color="FFFFFF"/>
            </w:tcBorders>
          </w:tcPr>
          <w:p>
            <w:pPr>
              <w:pStyle w:val="TableParagraph"/>
              <w:spacing w:line="170" w:lineRule="exact"/>
              <w:ind w:left="74" w:right="70"/>
              <w:jc w:val="center"/>
              <w:rPr>
                <w:sz w:val="16"/>
              </w:rPr>
            </w:pPr>
            <w:r>
              <w:rPr>
                <w:color w:val="231F20"/>
                <w:w w:val="85"/>
                <w:sz w:val="16"/>
              </w:rPr>
              <w:t>2000</w:t>
            </w:r>
          </w:p>
        </w:tc>
        <w:tc>
          <w:tcPr>
            <w:tcW w:w="1150" w:type="dxa"/>
            <w:tcBorders>
              <w:top w:val="single" w:sz="6" w:space="0" w:color="FFFFFF"/>
              <w:left w:val="single" w:sz="6" w:space="0" w:color="FFFFFF"/>
              <w:bottom w:val="single" w:sz="6" w:space="0" w:color="FFFFFF"/>
              <w:right w:val="single" w:sz="6" w:space="0" w:color="FFFFFF"/>
            </w:tcBorders>
            <w:shd w:val="clear" w:color="auto" w:fill="578CC9"/>
          </w:tcPr>
          <w:p>
            <w:pPr>
              <w:pStyle w:val="TableParagraph"/>
              <w:spacing w:line="170" w:lineRule="exact"/>
              <w:ind w:left="358" w:right="358"/>
              <w:jc w:val="center"/>
              <w:rPr>
                <w:sz w:val="16"/>
              </w:rPr>
            </w:pPr>
            <w:r>
              <w:rPr>
                <w:color w:val="231F20"/>
                <w:w w:val="85"/>
                <w:sz w:val="16"/>
              </w:rPr>
              <w:t>9,301</w:t>
            </w:r>
          </w:p>
        </w:tc>
        <w:tc>
          <w:tcPr>
            <w:tcW w:w="1198" w:type="dxa"/>
            <w:tcBorders>
              <w:top w:val="thinThickMediumGap" w:sz="3" w:space="0" w:color="EBE5DA"/>
              <w:left w:val="single" w:sz="6" w:space="0" w:color="FFFFFF"/>
            </w:tcBorders>
          </w:tcPr>
          <w:p>
            <w:pPr>
              <w:pStyle w:val="TableParagraph"/>
              <w:spacing w:line="170" w:lineRule="exact"/>
              <w:ind w:left="348" w:right="348"/>
              <w:jc w:val="center"/>
              <w:rPr>
                <w:sz w:val="16"/>
              </w:rPr>
            </w:pPr>
            <w:r>
              <w:rPr>
                <w:color w:val="231F20"/>
                <w:w w:val="85"/>
                <w:sz w:val="16"/>
              </w:rPr>
              <w:t>7,673</w:t>
            </w:r>
          </w:p>
        </w:tc>
        <w:tc>
          <w:tcPr>
            <w:tcW w:w="1133" w:type="dxa"/>
            <w:tcBorders>
              <w:top w:val="thinThickMediumGap" w:sz="3" w:space="0" w:color="EBE5DA"/>
              <w:left w:val="thinThickMediumGap" w:sz="3" w:space="0" w:color="EBE5DA"/>
            </w:tcBorders>
          </w:tcPr>
          <w:p>
            <w:pPr>
              <w:pStyle w:val="TableParagraph"/>
              <w:spacing w:line="170" w:lineRule="exact"/>
              <w:ind w:left="0" w:right="426"/>
              <w:jc w:val="right"/>
              <w:rPr>
                <w:sz w:val="16"/>
              </w:rPr>
            </w:pPr>
            <w:r>
              <w:rPr>
                <w:color w:val="231F20"/>
                <w:w w:val="75"/>
                <w:sz w:val="16"/>
              </w:rPr>
              <w:t>2,811</w:t>
            </w:r>
          </w:p>
        </w:tc>
        <w:tc>
          <w:tcPr>
            <w:tcW w:w="1053" w:type="dxa"/>
            <w:tcBorders>
              <w:top w:val="thinThickMediumGap" w:sz="3" w:space="0" w:color="EBE5DA"/>
              <w:left w:val="thinThickMediumGap" w:sz="3" w:space="0" w:color="EBE5DA"/>
            </w:tcBorders>
          </w:tcPr>
          <w:p>
            <w:pPr>
              <w:pStyle w:val="TableParagraph"/>
              <w:spacing w:line="170" w:lineRule="exact"/>
              <w:ind w:left="384"/>
              <w:rPr>
                <w:sz w:val="16"/>
              </w:rPr>
            </w:pPr>
            <w:r>
              <w:rPr>
                <w:color w:val="231F20"/>
                <w:w w:val="85"/>
                <w:sz w:val="16"/>
              </w:rPr>
              <w:t>1,215</w:t>
            </w:r>
          </w:p>
        </w:tc>
        <w:tc>
          <w:tcPr>
            <w:tcW w:w="962" w:type="dxa"/>
            <w:tcBorders>
              <w:top w:val="thinThickMediumGap" w:sz="3" w:space="0" w:color="EBE5DA"/>
              <w:left w:val="thinThickMediumGap" w:sz="3" w:space="0" w:color="EBE5DA"/>
            </w:tcBorders>
          </w:tcPr>
          <w:p>
            <w:pPr>
              <w:pStyle w:val="TableParagraph"/>
              <w:spacing w:line="170" w:lineRule="exact"/>
              <w:ind w:left="298" w:right="298"/>
              <w:jc w:val="center"/>
              <w:rPr>
                <w:sz w:val="16"/>
              </w:rPr>
            </w:pPr>
            <w:r>
              <w:rPr>
                <w:color w:val="231F20"/>
                <w:w w:val="85"/>
                <w:sz w:val="16"/>
              </w:rPr>
              <w:t>1,702</w:t>
            </w:r>
          </w:p>
        </w:tc>
        <w:tc>
          <w:tcPr>
            <w:tcW w:w="1149" w:type="dxa"/>
            <w:tcBorders>
              <w:top w:val="thinThickMediumGap" w:sz="3" w:space="0" w:color="EBE5DA"/>
              <w:left w:val="thinThickMediumGap" w:sz="3" w:space="0" w:color="EBE5DA"/>
            </w:tcBorders>
          </w:tcPr>
          <w:p>
            <w:pPr>
              <w:pStyle w:val="TableParagraph"/>
              <w:spacing w:line="170" w:lineRule="exact"/>
              <w:ind w:left="443" w:right="443"/>
              <w:jc w:val="center"/>
              <w:rPr>
                <w:sz w:val="16"/>
              </w:rPr>
            </w:pPr>
            <w:r>
              <w:rPr>
                <w:color w:val="231F20"/>
                <w:w w:val="85"/>
                <w:sz w:val="16"/>
              </w:rPr>
              <w:t>41</w:t>
            </w:r>
          </w:p>
        </w:tc>
        <w:tc>
          <w:tcPr>
            <w:tcW w:w="618" w:type="dxa"/>
            <w:tcBorders>
              <w:top w:val="thinThickMediumGap" w:sz="3" w:space="0" w:color="EBE5DA"/>
              <w:left w:val="thinThickMediumGap" w:sz="3" w:space="0" w:color="EBE5DA"/>
            </w:tcBorders>
          </w:tcPr>
          <w:p>
            <w:pPr>
              <w:pStyle w:val="TableParagraph"/>
              <w:spacing w:line="170" w:lineRule="exact"/>
              <w:ind w:left="92" w:right="92"/>
              <w:jc w:val="center"/>
              <w:rPr>
                <w:sz w:val="16"/>
              </w:rPr>
            </w:pPr>
            <w:r>
              <w:rPr>
                <w:color w:val="231F20"/>
                <w:w w:val="85"/>
                <w:sz w:val="16"/>
              </w:rPr>
              <w:t>24,251</w:t>
            </w:r>
          </w:p>
        </w:tc>
      </w:tr>
      <w:tr>
        <w:trPr>
          <w:trHeight w:val="150" w:hRule="exact"/>
        </w:trPr>
        <w:tc>
          <w:tcPr>
            <w:tcW w:w="659" w:type="dxa"/>
            <w:tcBorders>
              <w:top w:val="thinThickMediumGap" w:sz="3" w:space="0" w:color="EBE5DA"/>
              <w:left w:val="thinThickMediumGap" w:sz="3" w:space="0" w:color="EBE5DA"/>
              <w:right w:val="single" w:sz="6" w:space="0" w:color="FFFFFF"/>
            </w:tcBorders>
          </w:tcPr>
          <w:p>
            <w:pPr>
              <w:pStyle w:val="TableParagraph"/>
              <w:spacing w:line="170" w:lineRule="exact"/>
              <w:ind w:left="74" w:right="74"/>
              <w:jc w:val="center"/>
              <w:rPr>
                <w:sz w:val="16"/>
              </w:rPr>
            </w:pPr>
            <w:r>
              <w:rPr>
                <w:color w:val="231F20"/>
                <w:w w:val="85"/>
                <w:sz w:val="16"/>
              </w:rPr>
              <w:t>2003</w:t>
            </w:r>
          </w:p>
        </w:tc>
        <w:tc>
          <w:tcPr>
            <w:tcW w:w="1150" w:type="dxa"/>
            <w:tcBorders>
              <w:top w:val="single" w:sz="6" w:space="0" w:color="FFFFFF"/>
              <w:left w:val="single" w:sz="6" w:space="0" w:color="FFFFFF"/>
              <w:bottom w:val="single" w:sz="6" w:space="0" w:color="FFFFFF"/>
              <w:right w:val="single" w:sz="6" w:space="0" w:color="FFFFFF"/>
            </w:tcBorders>
            <w:shd w:val="clear" w:color="auto" w:fill="578CC9"/>
          </w:tcPr>
          <w:p>
            <w:pPr>
              <w:pStyle w:val="TableParagraph"/>
              <w:spacing w:line="170" w:lineRule="exact"/>
              <w:ind w:left="358" w:right="358"/>
              <w:jc w:val="center"/>
              <w:rPr>
                <w:sz w:val="16"/>
              </w:rPr>
            </w:pPr>
            <w:r>
              <w:rPr>
                <w:color w:val="231F20"/>
                <w:w w:val="85"/>
                <w:sz w:val="16"/>
              </w:rPr>
              <w:t>10,822</w:t>
            </w:r>
          </w:p>
        </w:tc>
        <w:tc>
          <w:tcPr>
            <w:tcW w:w="1198" w:type="dxa"/>
            <w:tcBorders>
              <w:top w:val="thinThickMediumGap" w:sz="3" w:space="0" w:color="EBE5DA"/>
              <w:left w:val="single" w:sz="6" w:space="0" w:color="FFFFFF"/>
              <w:bottom w:val="single" w:sz="6" w:space="0" w:color="FFFFFF"/>
            </w:tcBorders>
          </w:tcPr>
          <w:p>
            <w:pPr>
              <w:pStyle w:val="TableParagraph"/>
              <w:spacing w:line="170" w:lineRule="exact"/>
              <w:ind w:left="348" w:right="349"/>
              <w:jc w:val="center"/>
              <w:rPr>
                <w:sz w:val="16"/>
              </w:rPr>
            </w:pPr>
            <w:r>
              <w:rPr>
                <w:color w:val="231F20"/>
                <w:w w:val="85"/>
                <w:sz w:val="16"/>
              </w:rPr>
              <w:t>10,775*</w:t>
            </w:r>
          </w:p>
        </w:tc>
        <w:tc>
          <w:tcPr>
            <w:tcW w:w="1133" w:type="dxa"/>
            <w:tcBorders>
              <w:top w:val="thinThickMediumGap" w:sz="3" w:space="0" w:color="EBE5DA"/>
              <w:left w:val="thinThickMediumGap" w:sz="3" w:space="0" w:color="EBE5DA"/>
            </w:tcBorders>
          </w:tcPr>
          <w:p>
            <w:pPr>
              <w:pStyle w:val="TableParagraph"/>
              <w:spacing w:line="170" w:lineRule="exact"/>
              <w:ind w:left="0" w:right="464"/>
              <w:jc w:val="right"/>
              <w:rPr>
                <w:sz w:val="16"/>
              </w:rPr>
            </w:pPr>
            <w:r>
              <w:rPr>
                <w:color w:val="231F20"/>
                <w:w w:val="75"/>
                <w:sz w:val="16"/>
              </w:rPr>
              <w:t>427</w:t>
            </w:r>
          </w:p>
        </w:tc>
        <w:tc>
          <w:tcPr>
            <w:tcW w:w="1053" w:type="dxa"/>
            <w:tcBorders>
              <w:top w:val="thinThickMediumGap" w:sz="3" w:space="0" w:color="EBE5DA"/>
              <w:left w:val="thinThickMediumGap" w:sz="3" w:space="0" w:color="EBE5DA"/>
            </w:tcBorders>
          </w:tcPr>
          <w:p>
            <w:pPr>
              <w:pStyle w:val="TableParagraph"/>
              <w:spacing w:line="170" w:lineRule="exact"/>
              <w:ind w:left="431"/>
              <w:rPr>
                <w:sz w:val="16"/>
              </w:rPr>
            </w:pPr>
            <w:r>
              <w:rPr>
                <w:color w:val="231F20"/>
                <w:w w:val="85"/>
                <w:sz w:val="16"/>
              </w:rPr>
              <w:t>211</w:t>
            </w:r>
          </w:p>
        </w:tc>
        <w:tc>
          <w:tcPr>
            <w:tcW w:w="962" w:type="dxa"/>
            <w:tcBorders>
              <w:top w:val="thinThickMediumGap" w:sz="3" w:space="0" w:color="EBE5DA"/>
              <w:left w:val="thinThickMediumGap" w:sz="3" w:space="0" w:color="EBE5DA"/>
            </w:tcBorders>
          </w:tcPr>
          <w:p>
            <w:pPr>
              <w:pStyle w:val="TableParagraph"/>
              <w:spacing w:line="170" w:lineRule="exact"/>
              <w:ind w:left="0"/>
              <w:jc w:val="center"/>
              <w:rPr>
                <w:sz w:val="16"/>
              </w:rPr>
            </w:pPr>
            <w:r>
              <w:rPr>
                <w:color w:val="231F20"/>
                <w:w w:val="91"/>
                <w:sz w:val="16"/>
              </w:rPr>
              <w:t>-</w:t>
            </w:r>
          </w:p>
        </w:tc>
        <w:tc>
          <w:tcPr>
            <w:tcW w:w="1149" w:type="dxa"/>
            <w:tcBorders>
              <w:top w:val="thinThickMediumGap" w:sz="3" w:space="0" w:color="EBE5DA"/>
              <w:left w:val="thinThickMediumGap" w:sz="3" w:space="0" w:color="EBE5DA"/>
            </w:tcBorders>
          </w:tcPr>
          <w:p>
            <w:pPr>
              <w:pStyle w:val="TableParagraph"/>
              <w:spacing w:line="170" w:lineRule="exact"/>
              <w:ind w:left="443" w:right="443"/>
              <w:jc w:val="center"/>
              <w:rPr>
                <w:sz w:val="16"/>
              </w:rPr>
            </w:pPr>
            <w:r>
              <w:rPr>
                <w:color w:val="231F20"/>
                <w:w w:val="85"/>
                <w:sz w:val="16"/>
              </w:rPr>
              <w:t>179</w:t>
            </w:r>
          </w:p>
        </w:tc>
        <w:tc>
          <w:tcPr>
            <w:tcW w:w="618" w:type="dxa"/>
            <w:tcBorders>
              <w:top w:val="thinThickMediumGap" w:sz="3" w:space="0" w:color="EBE5DA"/>
              <w:left w:val="thinThickMediumGap" w:sz="3" w:space="0" w:color="EBE5DA"/>
            </w:tcBorders>
          </w:tcPr>
          <w:p>
            <w:pPr>
              <w:pStyle w:val="TableParagraph"/>
              <w:spacing w:line="170" w:lineRule="exact"/>
              <w:ind w:left="92" w:right="92"/>
              <w:jc w:val="center"/>
              <w:rPr>
                <w:sz w:val="16"/>
              </w:rPr>
            </w:pPr>
            <w:r>
              <w:rPr>
                <w:color w:val="231F20"/>
                <w:w w:val="85"/>
                <w:sz w:val="16"/>
              </w:rPr>
              <w:t>23,181</w:t>
            </w:r>
          </w:p>
        </w:tc>
      </w:tr>
      <w:tr>
        <w:trPr>
          <w:trHeight w:val="150" w:hRule="exact"/>
        </w:trPr>
        <w:tc>
          <w:tcPr>
            <w:tcW w:w="659" w:type="dxa"/>
            <w:tcBorders>
              <w:top w:val="thinThickMediumGap" w:sz="3" w:space="0" w:color="EBE5DA"/>
              <w:left w:val="thinThickMediumGap" w:sz="3" w:space="0" w:color="EBE5DA"/>
            </w:tcBorders>
          </w:tcPr>
          <w:p>
            <w:pPr>
              <w:pStyle w:val="TableParagraph"/>
              <w:spacing w:line="170" w:lineRule="exact"/>
              <w:ind w:left="74" w:right="74"/>
              <w:jc w:val="center"/>
              <w:rPr>
                <w:sz w:val="16"/>
              </w:rPr>
            </w:pPr>
            <w:r>
              <w:rPr>
                <w:color w:val="231F20"/>
                <w:w w:val="85"/>
                <w:sz w:val="16"/>
              </w:rPr>
              <w:t>2006</w:t>
            </w:r>
          </w:p>
        </w:tc>
        <w:tc>
          <w:tcPr>
            <w:tcW w:w="1150" w:type="dxa"/>
            <w:tcBorders>
              <w:top w:val="single" w:sz="6" w:space="0" w:color="FFFFFF"/>
              <w:left w:val="thinThickMediumGap" w:sz="3" w:space="0" w:color="EBE5DA"/>
              <w:right w:val="single" w:sz="6" w:space="0" w:color="FFFFFF"/>
            </w:tcBorders>
          </w:tcPr>
          <w:p>
            <w:pPr>
              <w:pStyle w:val="TableParagraph"/>
              <w:spacing w:line="170" w:lineRule="exact"/>
              <w:ind w:left="358" w:right="358"/>
              <w:jc w:val="center"/>
              <w:rPr>
                <w:sz w:val="16"/>
              </w:rPr>
            </w:pPr>
            <w:r>
              <w:rPr>
                <w:color w:val="231F20"/>
                <w:w w:val="85"/>
                <w:sz w:val="16"/>
              </w:rPr>
              <w:t>8,120</w:t>
            </w:r>
          </w:p>
        </w:tc>
        <w:tc>
          <w:tcPr>
            <w:tcW w:w="1198" w:type="dxa"/>
            <w:tcBorders>
              <w:top w:val="single" w:sz="6" w:space="0" w:color="FFFFFF"/>
              <w:left w:val="single" w:sz="6" w:space="0" w:color="FFFFFF"/>
              <w:bottom w:val="single" w:sz="6" w:space="0" w:color="FFFFFF"/>
              <w:right w:val="single" w:sz="6" w:space="0" w:color="FFFFFF"/>
            </w:tcBorders>
            <w:shd w:val="clear" w:color="auto" w:fill="ED1F24"/>
          </w:tcPr>
          <w:p>
            <w:pPr>
              <w:pStyle w:val="TableParagraph"/>
              <w:spacing w:line="170" w:lineRule="exact"/>
              <w:ind w:left="348" w:right="348"/>
              <w:jc w:val="center"/>
              <w:rPr>
                <w:sz w:val="16"/>
              </w:rPr>
            </w:pPr>
            <w:r>
              <w:rPr>
                <w:color w:val="231F20"/>
                <w:w w:val="75"/>
                <w:sz w:val="16"/>
              </w:rPr>
              <w:t>10,517 *</w:t>
            </w:r>
          </w:p>
        </w:tc>
        <w:tc>
          <w:tcPr>
            <w:tcW w:w="1133" w:type="dxa"/>
            <w:tcBorders>
              <w:top w:val="thinThickMediumGap" w:sz="3" w:space="0" w:color="EBE5DA"/>
              <w:left w:val="single" w:sz="6" w:space="0" w:color="FFFFFF"/>
            </w:tcBorders>
          </w:tcPr>
          <w:p>
            <w:pPr>
              <w:pStyle w:val="TableParagraph"/>
              <w:spacing w:line="170" w:lineRule="exact"/>
              <w:ind w:left="0" w:right="415"/>
              <w:jc w:val="right"/>
              <w:rPr>
                <w:sz w:val="16"/>
              </w:rPr>
            </w:pPr>
            <w:r>
              <w:rPr>
                <w:color w:val="231F20"/>
                <w:w w:val="75"/>
                <w:sz w:val="16"/>
              </w:rPr>
              <w:t>2,003</w:t>
            </w:r>
          </w:p>
        </w:tc>
        <w:tc>
          <w:tcPr>
            <w:tcW w:w="1053" w:type="dxa"/>
            <w:tcBorders>
              <w:top w:val="thinThickMediumGap" w:sz="3" w:space="0" w:color="EBE5DA"/>
              <w:left w:val="thinThickMediumGap" w:sz="3" w:space="0" w:color="EBE5DA"/>
            </w:tcBorders>
          </w:tcPr>
          <w:p>
            <w:pPr>
              <w:pStyle w:val="TableParagraph"/>
              <w:spacing w:line="170" w:lineRule="exact"/>
              <w:ind w:left="430"/>
              <w:rPr>
                <w:sz w:val="16"/>
              </w:rPr>
            </w:pPr>
            <w:r>
              <w:rPr>
                <w:color w:val="231F20"/>
                <w:w w:val="85"/>
                <w:sz w:val="16"/>
              </w:rPr>
              <w:t>124</w:t>
            </w:r>
          </w:p>
        </w:tc>
        <w:tc>
          <w:tcPr>
            <w:tcW w:w="962" w:type="dxa"/>
            <w:tcBorders>
              <w:top w:val="thinThickMediumGap" w:sz="3" w:space="0" w:color="EBE5DA"/>
              <w:left w:val="thinThickMediumGap" w:sz="3" w:space="0" w:color="EBE5DA"/>
            </w:tcBorders>
          </w:tcPr>
          <w:p>
            <w:pPr>
              <w:pStyle w:val="TableParagraph"/>
              <w:spacing w:line="170" w:lineRule="exact"/>
              <w:ind w:left="0"/>
              <w:jc w:val="center"/>
              <w:rPr>
                <w:sz w:val="16"/>
              </w:rPr>
            </w:pPr>
            <w:r>
              <w:rPr>
                <w:color w:val="231F20"/>
                <w:w w:val="91"/>
                <w:sz w:val="16"/>
              </w:rPr>
              <w:t>-</w:t>
            </w:r>
          </w:p>
        </w:tc>
        <w:tc>
          <w:tcPr>
            <w:tcW w:w="1149" w:type="dxa"/>
            <w:tcBorders>
              <w:top w:val="thinThickMediumGap" w:sz="3" w:space="0" w:color="EBE5DA"/>
              <w:left w:val="thinThickMediumGap" w:sz="3" w:space="0" w:color="EBE5DA"/>
            </w:tcBorders>
          </w:tcPr>
          <w:p>
            <w:pPr>
              <w:pStyle w:val="TableParagraph"/>
              <w:spacing w:line="170" w:lineRule="exact"/>
              <w:ind w:left="443" w:right="443"/>
              <w:jc w:val="center"/>
              <w:rPr>
                <w:sz w:val="16"/>
              </w:rPr>
            </w:pPr>
            <w:r>
              <w:rPr>
                <w:color w:val="231F20"/>
                <w:w w:val="85"/>
                <w:sz w:val="16"/>
              </w:rPr>
              <w:t>449</w:t>
            </w:r>
          </w:p>
        </w:tc>
        <w:tc>
          <w:tcPr>
            <w:tcW w:w="618" w:type="dxa"/>
            <w:tcBorders>
              <w:top w:val="thinThickMediumGap" w:sz="3" w:space="0" w:color="EBE5DA"/>
              <w:left w:val="thinThickMediumGap" w:sz="3" w:space="0" w:color="EBE5DA"/>
            </w:tcBorders>
          </w:tcPr>
          <w:p>
            <w:pPr>
              <w:pStyle w:val="TableParagraph"/>
              <w:spacing w:line="170" w:lineRule="exact"/>
              <w:ind w:left="92" w:right="92"/>
              <w:jc w:val="center"/>
              <w:rPr>
                <w:sz w:val="16"/>
              </w:rPr>
            </w:pPr>
            <w:r>
              <w:rPr>
                <w:color w:val="231F20"/>
                <w:w w:val="85"/>
                <w:sz w:val="16"/>
              </w:rPr>
              <w:t>21,586</w:t>
            </w:r>
          </w:p>
        </w:tc>
      </w:tr>
    </w:tbl>
    <w:p>
      <w:pPr>
        <w:pStyle w:val="BodyText"/>
        <w:spacing w:before="5"/>
        <w:rPr>
          <w:b/>
          <w:sz w:val="20"/>
        </w:rPr>
      </w:pPr>
    </w:p>
    <w:p>
      <w:pPr>
        <w:spacing w:before="74"/>
        <w:ind w:left="0" w:right="107" w:firstLine="0"/>
        <w:jc w:val="right"/>
        <w:rPr>
          <w:rFonts w:ascii="Calibri"/>
          <w:sz w:val="16"/>
        </w:rPr>
      </w:pPr>
      <w:r>
        <w:rPr>
          <w:rFonts w:ascii="Calibri"/>
          <w:color w:val="231F20"/>
          <w:w w:val="95"/>
          <w:sz w:val="16"/>
        </w:rPr>
        <w:t>Fuente: IEEM</w:t>
      </w:r>
    </w:p>
    <w:p>
      <w:pPr>
        <w:pStyle w:val="BodyText"/>
        <w:spacing w:before="11"/>
        <w:rPr>
          <w:rFonts w:ascii="Calibri"/>
          <w:sz w:val="25"/>
        </w:rPr>
      </w:pPr>
    </w:p>
    <w:p>
      <w:pPr>
        <w:pStyle w:val="BodyText"/>
        <w:spacing w:line="285" w:lineRule="auto" w:before="35"/>
        <w:ind w:left="110" w:right="107"/>
        <w:jc w:val="both"/>
      </w:pPr>
      <w:r>
        <w:rPr>
          <w:color w:val="231F20"/>
          <w:w w:val="105"/>
        </w:rPr>
        <w:t>Hasta</w:t>
      </w:r>
      <w:r>
        <w:rPr>
          <w:color w:val="231F20"/>
          <w:spacing w:val="-11"/>
          <w:w w:val="105"/>
        </w:rPr>
        <w:t> </w:t>
      </w:r>
      <w:r>
        <w:rPr>
          <w:color w:val="231F20"/>
          <w:w w:val="105"/>
        </w:rPr>
        <w:t>antes</w:t>
      </w:r>
      <w:r>
        <w:rPr>
          <w:color w:val="231F20"/>
          <w:spacing w:val="-11"/>
          <w:w w:val="105"/>
        </w:rPr>
        <w:t> </w:t>
      </w:r>
      <w:r>
        <w:rPr>
          <w:color w:val="231F20"/>
          <w:w w:val="105"/>
        </w:rPr>
        <w:t>de</w:t>
      </w:r>
      <w:r>
        <w:rPr>
          <w:color w:val="231F20"/>
          <w:spacing w:val="-11"/>
          <w:w w:val="105"/>
        </w:rPr>
        <w:t> </w:t>
      </w:r>
      <w:r>
        <w:rPr>
          <w:color w:val="231F20"/>
          <w:w w:val="105"/>
        </w:rPr>
        <w:t>1996</w:t>
      </w:r>
      <w:r>
        <w:rPr>
          <w:color w:val="231F20"/>
          <w:spacing w:val="-11"/>
          <w:w w:val="105"/>
        </w:rPr>
        <w:t> </w:t>
      </w:r>
      <w:r>
        <w:rPr>
          <w:color w:val="231F20"/>
          <w:w w:val="105"/>
        </w:rPr>
        <w:t>el</w:t>
      </w:r>
      <w:r>
        <w:rPr>
          <w:color w:val="231F20"/>
          <w:spacing w:val="-11"/>
          <w:w w:val="105"/>
        </w:rPr>
        <w:t> </w:t>
      </w:r>
      <w:r>
        <w:rPr>
          <w:color w:val="231F20"/>
          <w:w w:val="105"/>
        </w:rPr>
        <w:t>Partido</w:t>
      </w:r>
      <w:r>
        <w:rPr>
          <w:color w:val="231F20"/>
          <w:spacing w:val="-11"/>
          <w:w w:val="105"/>
        </w:rPr>
        <w:t> </w:t>
      </w:r>
      <w:r>
        <w:rPr>
          <w:color w:val="231F20"/>
          <w:w w:val="105"/>
        </w:rPr>
        <w:t>Revolucionario</w:t>
      </w:r>
      <w:r>
        <w:rPr>
          <w:color w:val="231F20"/>
          <w:spacing w:val="-11"/>
          <w:w w:val="105"/>
        </w:rPr>
        <w:t> </w:t>
      </w:r>
      <w:r>
        <w:rPr>
          <w:color w:val="231F20"/>
          <w:w w:val="105"/>
        </w:rPr>
        <w:t>Institucional</w:t>
      </w:r>
      <w:r>
        <w:rPr>
          <w:color w:val="231F20"/>
          <w:spacing w:val="-11"/>
          <w:w w:val="105"/>
        </w:rPr>
        <w:t> </w:t>
      </w:r>
      <w:r>
        <w:rPr>
          <w:color w:val="231F20"/>
          <w:w w:val="105"/>
        </w:rPr>
        <w:t>(PRI)</w:t>
      </w:r>
      <w:r>
        <w:rPr>
          <w:color w:val="231F20"/>
          <w:spacing w:val="-11"/>
          <w:w w:val="105"/>
        </w:rPr>
        <w:t> </w:t>
      </w:r>
      <w:r>
        <w:rPr>
          <w:color w:val="231F20"/>
          <w:w w:val="105"/>
        </w:rPr>
        <w:t>mantuvo</w:t>
      </w:r>
      <w:r>
        <w:rPr>
          <w:color w:val="231F20"/>
          <w:spacing w:val="-11"/>
          <w:w w:val="105"/>
        </w:rPr>
        <w:t> </w:t>
      </w:r>
      <w:r>
        <w:rPr>
          <w:color w:val="231F20"/>
          <w:w w:val="105"/>
        </w:rPr>
        <w:t>la</w:t>
      </w:r>
      <w:r>
        <w:rPr>
          <w:color w:val="231F20"/>
          <w:spacing w:val="-11"/>
          <w:w w:val="105"/>
        </w:rPr>
        <w:t> </w:t>
      </w:r>
      <w:r>
        <w:rPr>
          <w:color w:val="231F20"/>
          <w:w w:val="105"/>
        </w:rPr>
        <w:t>hegemo- nía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municipio.</w:t>
      </w:r>
      <w:r>
        <w:rPr>
          <w:color w:val="231F20"/>
          <w:spacing w:val="-24"/>
          <w:w w:val="105"/>
        </w:rPr>
        <w:t> </w:t>
      </w:r>
      <w:r>
        <w:rPr>
          <w:color w:val="231F20"/>
          <w:w w:val="105"/>
        </w:rPr>
        <w:t>Sin</w:t>
      </w:r>
      <w:r>
        <w:rPr>
          <w:color w:val="231F20"/>
          <w:spacing w:val="-24"/>
          <w:w w:val="105"/>
        </w:rPr>
        <w:t> </w:t>
      </w:r>
      <w:r>
        <w:rPr>
          <w:color w:val="231F20"/>
          <w:w w:val="105"/>
        </w:rPr>
        <w:t>embargo</w:t>
      </w:r>
      <w:r>
        <w:rPr>
          <w:color w:val="231F20"/>
          <w:spacing w:val="-24"/>
          <w:w w:val="105"/>
        </w:rPr>
        <w:t> </w:t>
      </w:r>
      <w:r>
        <w:rPr>
          <w:color w:val="231F20"/>
          <w:w w:val="105"/>
        </w:rPr>
        <w:t>después</w:t>
      </w:r>
      <w:r>
        <w:rPr>
          <w:color w:val="231F20"/>
          <w:spacing w:val="-24"/>
          <w:w w:val="105"/>
        </w:rPr>
        <w:t> </w:t>
      </w:r>
      <w:r>
        <w:rPr>
          <w:color w:val="231F20"/>
          <w:w w:val="105"/>
        </w:rPr>
        <w:t>la</w:t>
      </w:r>
      <w:r>
        <w:rPr>
          <w:color w:val="231F20"/>
          <w:spacing w:val="-24"/>
          <w:w w:val="105"/>
        </w:rPr>
        <w:t> </w:t>
      </w:r>
      <w:r>
        <w:rPr>
          <w:color w:val="231F20"/>
          <w:w w:val="105"/>
        </w:rPr>
        <w:t>mayoría</w:t>
      </w:r>
      <w:r>
        <w:rPr>
          <w:color w:val="231F20"/>
          <w:spacing w:val="-24"/>
          <w:w w:val="105"/>
        </w:rPr>
        <w:t> </w:t>
      </w:r>
      <w:r>
        <w:rPr>
          <w:color w:val="231F20"/>
          <w:w w:val="105"/>
        </w:rPr>
        <w:t>fue</w:t>
      </w:r>
      <w:r>
        <w:rPr>
          <w:color w:val="231F20"/>
          <w:spacing w:val="-24"/>
          <w:w w:val="105"/>
        </w:rPr>
        <w:t> </w:t>
      </w:r>
      <w:r>
        <w:rPr>
          <w:color w:val="231F20"/>
          <w:spacing w:val="3"/>
          <w:w w:val="105"/>
        </w:rPr>
        <w:t>afín</w:t>
      </w:r>
      <w:r>
        <w:rPr>
          <w:color w:val="231F20"/>
          <w:spacing w:val="-24"/>
          <w:w w:val="105"/>
        </w:rPr>
        <w:t> </w:t>
      </w:r>
      <w:r>
        <w:rPr>
          <w:color w:val="231F20"/>
          <w:spacing w:val="2"/>
          <w:w w:val="105"/>
        </w:rPr>
        <w:t>al</w:t>
      </w:r>
      <w:r>
        <w:rPr>
          <w:color w:val="231F20"/>
          <w:spacing w:val="-24"/>
          <w:w w:val="105"/>
        </w:rPr>
        <w:t> </w:t>
      </w:r>
      <w:r>
        <w:rPr>
          <w:color w:val="231F20"/>
          <w:w w:val="105"/>
        </w:rPr>
        <w:t>Partido</w:t>
      </w:r>
      <w:r>
        <w:rPr>
          <w:color w:val="231F20"/>
          <w:spacing w:val="-24"/>
          <w:w w:val="105"/>
        </w:rPr>
        <w:t> </w:t>
      </w:r>
      <w:r>
        <w:rPr>
          <w:color w:val="231F20"/>
          <w:w w:val="105"/>
        </w:rPr>
        <w:t>Acción</w:t>
      </w:r>
      <w:r>
        <w:rPr>
          <w:color w:val="231F20"/>
          <w:spacing w:val="-24"/>
          <w:w w:val="105"/>
        </w:rPr>
        <w:t> </w:t>
      </w:r>
      <w:r>
        <w:rPr>
          <w:color w:val="231F20"/>
          <w:w w:val="105"/>
        </w:rPr>
        <w:t>Nacional </w:t>
      </w:r>
      <w:r>
        <w:rPr>
          <w:color w:val="231F20"/>
          <w:spacing w:val="-3"/>
          <w:w w:val="105"/>
        </w:rPr>
        <w:t>(PAN) </w:t>
      </w:r>
      <w:r>
        <w:rPr>
          <w:color w:val="231F20"/>
          <w:w w:val="105"/>
        </w:rPr>
        <w:t>durante 9 años en el gobierno municipal. </w:t>
      </w:r>
      <w:r>
        <w:rPr>
          <w:color w:val="231F20"/>
          <w:spacing w:val="-3"/>
          <w:w w:val="105"/>
        </w:rPr>
        <w:t>Por </w:t>
      </w:r>
      <w:r>
        <w:rPr>
          <w:color w:val="231F20"/>
          <w:w w:val="105"/>
        </w:rPr>
        <w:t>ello, el porcentaje de diferencia entre</w:t>
      </w:r>
      <w:r>
        <w:rPr>
          <w:color w:val="231F20"/>
          <w:spacing w:val="-4"/>
          <w:w w:val="105"/>
        </w:rPr>
        <w:t> PAN </w:t>
      </w:r>
      <w:r>
        <w:rPr>
          <w:color w:val="231F20"/>
          <w:w w:val="105"/>
        </w:rPr>
        <w:t>y</w:t>
      </w:r>
      <w:r>
        <w:rPr>
          <w:color w:val="231F20"/>
          <w:spacing w:val="-4"/>
          <w:w w:val="105"/>
        </w:rPr>
        <w:t> </w:t>
      </w:r>
      <w:r>
        <w:rPr>
          <w:color w:val="231F20"/>
          <w:w w:val="105"/>
        </w:rPr>
        <w:t>PRI</w:t>
      </w:r>
      <w:r>
        <w:rPr>
          <w:color w:val="231F20"/>
          <w:spacing w:val="-4"/>
          <w:w w:val="105"/>
        </w:rPr>
        <w:t> </w:t>
      </w:r>
      <w:r>
        <w:rPr>
          <w:color w:val="231F20"/>
          <w:w w:val="105"/>
        </w:rPr>
        <w:t>se</w:t>
      </w:r>
      <w:r>
        <w:rPr>
          <w:color w:val="231F20"/>
          <w:spacing w:val="-4"/>
          <w:w w:val="105"/>
        </w:rPr>
        <w:t> </w:t>
      </w:r>
      <w:r>
        <w:rPr>
          <w:color w:val="231F20"/>
          <w:w w:val="105"/>
        </w:rPr>
        <w:t>fue</w:t>
      </w:r>
      <w:r>
        <w:rPr>
          <w:color w:val="231F20"/>
          <w:spacing w:val="-4"/>
          <w:w w:val="105"/>
        </w:rPr>
        <w:t> </w:t>
      </w:r>
      <w:r>
        <w:rPr>
          <w:color w:val="231F20"/>
          <w:w w:val="105"/>
        </w:rPr>
        <w:t>reduciendo</w:t>
      </w:r>
      <w:r>
        <w:rPr>
          <w:color w:val="231F20"/>
          <w:spacing w:val="-4"/>
          <w:w w:val="105"/>
        </w:rPr>
        <w:t> </w:t>
      </w:r>
      <w:r>
        <w:rPr>
          <w:color w:val="231F20"/>
          <w:w w:val="105"/>
        </w:rPr>
        <w:t>en</w:t>
      </w:r>
      <w:r>
        <w:rPr>
          <w:color w:val="231F20"/>
          <w:spacing w:val="-4"/>
          <w:w w:val="105"/>
        </w:rPr>
        <w:t> </w:t>
      </w:r>
      <w:r>
        <w:rPr>
          <w:color w:val="231F20"/>
          <w:w w:val="105"/>
        </w:rPr>
        <w:t>cada</w:t>
      </w:r>
      <w:r>
        <w:rPr>
          <w:color w:val="231F20"/>
          <w:spacing w:val="-4"/>
          <w:w w:val="105"/>
        </w:rPr>
        <w:t> </w:t>
      </w:r>
      <w:r>
        <w:rPr>
          <w:color w:val="231F20"/>
          <w:w w:val="105"/>
        </w:rPr>
        <w:t>elección.</w:t>
      </w:r>
      <w:r>
        <w:rPr>
          <w:color w:val="231F20"/>
          <w:spacing w:val="-4"/>
          <w:w w:val="105"/>
        </w:rPr>
        <w:t> </w:t>
      </w:r>
      <w:r>
        <w:rPr>
          <w:color w:val="231F20"/>
          <w:w w:val="105"/>
        </w:rPr>
        <w:t>Lo</w:t>
      </w:r>
      <w:r>
        <w:rPr>
          <w:color w:val="231F20"/>
          <w:spacing w:val="-4"/>
          <w:w w:val="105"/>
        </w:rPr>
        <w:t> </w:t>
      </w:r>
      <w:r>
        <w:rPr>
          <w:color w:val="231F20"/>
          <w:w w:val="105"/>
        </w:rPr>
        <w:t>anterior</w:t>
      </w:r>
      <w:r>
        <w:rPr>
          <w:color w:val="231F20"/>
          <w:spacing w:val="-4"/>
          <w:w w:val="105"/>
        </w:rPr>
        <w:t> </w:t>
      </w:r>
      <w:r>
        <w:rPr>
          <w:color w:val="231F20"/>
          <w:w w:val="105"/>
        </w:rPr>
        <w:t>indica</w:t>
      </w:r>
      <w:r>
        <w:rPr>
          <w:color w:val="231F20"/>
          <w:spacing w:val="-4"/>
          <w:w w:val="105"/>
        </w:rPr>
        <w:t> </w:t>
      </w:r>
      <w:r>
        <w:rPr>
          <w:color w:val="231F20"/>
          <w:w w:val="105"/>
        </w:rPr>
        <w:t>una</w:t>
      </w:r>
      <w:r>
        <w:rPr>
          <w:color w:val="231F20"/>
          <w:spacing w:val="-4"/>
          <w:w w:val="105"/>
        </w:rPr>
        <w:t> </w:t>
      </w:r>
      <w:r>
        <w:rPr>
          <w:color w:val="231F20"/>
          <w:w w:val="105"/>
        </w:rPr>
        <w:t>caída</w:t>
      </w:r>
      <w:r>
        <w:rPr>
          <w:color w:val="231F20"/>
          <w:spacing w:val="-4"/>
          <w:w w:val="105"/>
        </w:rPr>
        <w:t> </w:t>
      </w:r>
      <w:r>
        <w:rPr>
          <w:color w:val="231F20"/>
          <w:spacing w:val="-3"/>
          <w:w w:val="105"/>
        </w:rPr>
        <w:t>per- </w:t>
      </w:r>
      <w:r>
        <w:rPr>
          <w:color w:val="231F20"/>
          <w:w w:val="105"/>
        </w:rPr>
        <w:t>manente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voto</w:t>
      </w:r>
      <w:r>
        <w:rPr>
          <w:color w:val="231F20"/>
          <w:spacing w:val="-12"/>
          <w:w w:val="105"/>
        </w:rPr>
        <w:t> </w:t>
      </w:r>
      <w:r>
        <w:rPr>
          <w:color w:val="231F20"/>
          <w:w w:val="105"/>
        </w:rPr>
        <w:t>del</w:t>
      </w:r>
      <w:r>
        <w:rPr>
          <w:color w:val="231F20"/>
          <w:spacing w:val="-12"/>
          <w:w w:val="105"/>
        </w:rPr>
        <w:t> </w:t>
      </w:r>
      <w:r>
        <w:rPr>
          <w:color w:val="231F20"/>
          <w:spacing w:val="-4"/>
          <w:w w:val="105"/>
        </w:rPr>
        <w:t>PAN,</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recuperación</w:t>
      </w:r>
      <w:r>
        <w:rPr>
          <w:color w:val="231F20"/>
          <w:spacing w:val="-12"/>
          <w:w w:val="105"/>
        </w:rPr>
        <w:t> </w:t>
      </w:r>
      <w:r>
        <w:rPr>
          <w:color w:val="231F20"/>
          <w:w w:val="105"/>
        </w:rPr>
        <w:t>de</w:t>
      </w:r>
      <w:r>
        <w:rPr>
          <w:color w:val="231F20"/>
          <w:spacing w:val="-12"/>
          <w:w w:val="105"/>
        </w:rPr>
        <w:t> </w:t>
      </w:r>
      <w:r>
        <w:rPr>
          <w:color w:val="231F20"/>
          <w:w w:val="105"/>
        </w:rPr>
        <w:t>votación</w:t>
      </w:r>
      <w:r>
        <w:rPr>
          <w:color w:val="231F20"/>
          <w:spacing w:val="-12"/>
          <w:w w:val="105"/>
        </w:rPr>
        <w:t> </w:t>
      </w:r>
      <w:r>
        <w:rPr>
          <w:color w:val="231F20"/>
          <w:w w:val="105"/>
        </w:rPr>
        <w:t>del</w:t>
      </w:r>
      <w:r>
        <w:rPr>
          <w:color w:val="231F20"/>
          <w:spacing w:val="-12"/>
          <w:w w:val="105"/>
        </w:rPr>
        <w:t> </w:t>
      </w:r>
      <w:r>
        <w:rPr>
          <w:color w:val="231F20"/>
          <w:w w:val="105"/>
        </w:rPr>
        <w:t>PRI.</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proceso</w:t>
      </w:r>
      <w:r>
        <w:rPr>
          <w:color w:val="231F20"/>
          <w:spacing w:val="-12"/>
          <w:w w:val="105"/>
        </w:rPr>
        <w:t> </w:t>
      </w:r>
      <w:r>
        <w:rPr>
          <w:color w:val="231F20"/>
          <w:w w:val="105"/>
        </w:rPr>
        <w:t>en </w:t>
      </w:r>
      <w:r>
        <w:rPr>
          <w:color w:val="231F20"/>
          <w:spacing w:val="-3"/>
          <w:w w:val="105"/>
        </w:rPr>
        <w:t>donde </w:t>
      </w:r>
      <w:r>
        <w:rPr>
          <w:color w:val="231F20"/>
          <w:w w:val="105"/>
        </w:rPr>
        <w:t>el manejo y exposición de los mensajes de los candidatos priístas, son cada vez más</w:t>
      </w:r>
      <w:r>
        <w:rPr>
          <w:color w:val="231F20"/>
          <w:spacing w:val="-20"/>
          <w:w w:val="105"/>
        </w:rPr>
        <w:t> </w:t>
      </w:r>
      <w:r>
        <w:rPr>
          <w:color w:val="231F20"/>
          <w:w w:val="105"/>
        </w:rPr>
        <w:t>cercanos</w:t>
      </w:r>
      <w:r>
        <w:rPr>
          <w:color w:val="231F20"/>
          <w:spacing w:val="-20"/>
          <w:w w:val="105"/>
        </w:rPr>
        <w:t> </w:t>
      </w:r>
      <w:r>
        <w:rPr>
          <w:color w:val="231F20"/>
          <w:spacing w:val="2"/>
          <w:w w:val="105"/>
        </w:rPr>
        <w:t>al</w:t>
      </w:r>
      <w:r>
        <w:rPr>
          <w:color w:val="231F20"/>
          <w:spacing w:val="-20"/>
          <w:w w:val="105"/>
        </w:rPr>
        <w:t> </w:t>
      </w:r>
      <w:r>
        <w:rPr>
          <w:color w:val="231F20"/>
          <w:w w:val="105"/>
        </w:rPr>
        <w:t>sistema</w:t>
      </w:r>
      <w:r>
        <w:rPr>
          <w:color w:val="231F20"/>
          <w:spacing w:val="-20"/>
          <w:w w:val="105"/>
        </w:rPr>
        <w:t> </w:t>
      </w:r>
      <w:r>
        <w:rPr>
          <w:color w:val="231F20"/>
          <w:w w:val="105"/>
        </w:rPr>
        <w:t>político</w:t>
      </w:r>
      <w:r>
        <w:rPr>
          <w:color w:val="231F20"/>
          <w:spacing w:val="-20"/>
          <w:w w:val="105"/>
        </w:rPr>
        <w:t> </w:t>
      </w:r>
      <w:r>
        <w:rPr>
          <w:color w:val="231F20"/>
          <w:w w:val="105"/>
        </w:rPr>
        <w:t>local,</w:t>
      </w:r>
      <w:r>
        <w:rPr>
          <w:color w:val="231F20"/>
          <w:spacing w:val="-20"/>
          <w:w w:val="105"/>
        </w:rPr>
        <w:t> </w:t>
      </w:r>
      <w:r>
        <w:rPr>
          <w:color w:val="231F20"/>
          <w:w w:val="105"/>
        </w:rPr>
        <w:t>es</w:t>
      </w:r>
      <w:r>
        <w:rPr>
          <w:color w:val="231F20"/>
          <w:spacing w:val="-20"/>
          <w:w w:val="105"/>
        </w:rPr>
        <w:t> </w:t>
      </w:r>
      <w:r>
        <w:rPr>
          <w:color w:val="231F20"/>
          <w:w w:val="105"/>
        </w:rPr>
        <w:t>decir,</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interrelación</w:t>
      </w:r>
      <w:r>
        <w:rPr>
          <w:color w:val="231F20"/>
          <w:spacing w:val="-20"/>
          <w:w w:val="105"/>
        </w:rPr>
        <w:t> </w:t>
      </w:r>
      <w:r>
        <w:rPr>
          <w:color w:val="231F20"/>
          <w:w w:val="105"/>
        </w:rPr>
        <w:t>entre</w:t>
      </w:r>
      <w:r>
        <w:rPr>
          <w:color w:val="231F20"/>
          <w:spacing w:val="-20"/>
          <w:w w:val="105"/>
        </w:rPr>
        <w:t> </w:t>
      </w:r>
      <w:r>
        <w:rPr>
          <w:color w:val="231F20"/>
          <w:w w:val="105"/>
        </w:rPr>
        <w:t>la</w:t>
      </w:r>
      <w:r>
        <w:rPr>
          <w:color w:val="231F20"/>
          <w:spacing w:val="-20"/>
          <w:w w:val="105"/>
        </w:rPr>
        <w:t> </w:t>
      </w:r>
      <w:r>
        <w:rPr>
          <w:color w:val="231F20"/>
          <w:w w:val="105"/>
        </w:rPr>
        <w:t>decisión</w:t>
      </w:r>
      <w:r>
        <w:rPr>
          <w:color w:val="231F20"/>
          <w:spacing w:val="-20"/>
          <w:w w:val="105"/>
        </w:rPr>
        <w:t> </w:t>
      </w:r>
      <w:r>
        <w:rPr>
          <w:color w:val="231F20"/>
          <w:w w:val="105"/>
        </w:rPr>
        <w:t>políti- ca</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problemas</w:t>
      </w:r>
      <w:r>
        <w:rPr>
          <w:color w:val="231F20"/>
          <w:spacing w:val="-21"/>
          <w:w w:val="105"/>
        </w:rPr>
        <w:t> </w:t>
      </w:r>
      <w:r>
        <w:rPr>
          <w:color w:val="231F20"/>
          <w:w w:val="105"/>
        </w:rPr>
        <w:t>públicos,</w:t>
      </w:r>
      <w:r>
        <w:rPr>
          <w:color w:val="231F20"/>
          <w:spacing w:val="-21"/>
          <w:w w:val="105"/>
        </w:rPr>
        <w:t> </w:t>
      </w:r>
      <w:r>
        <w:rPr>
          <w:color w:val="231F20"/>
          <w:w w:val="105"/>
        </w:rPr>
        <w:t>particularmente</w:t>
      </w:r>
      <w:r>
        <w:rPr>
          <w:color w:val="231F20"/>
          <w:spacing w:val="-21"/>
          <w:w w:val="105"/>
        </w:rPr>
        <w:t> </w:t>
      </w:r>
      <w:r>
        <w:rPr>
          <w:color w:val="231F20"/>
          <w:w w:val="105"/>
        </w:rPr>
        <w:t>la</w:t>
      </w:r>
      <w:r>
        <w:rPr>
          <w:color w:val="231F20"/>
          <w:spacing w:val="-21"/>
          <w:w w:val="105"/>
        </w:rPr>
        <w:t> </w:t>
      </w:r>
      <w:r>
        <w:rPr>
          <w:color w:val="231F20"/>
          <w:w w:val="105"/>
        </w:rPr>
        <w:t>crisis</w:t>
      </w:r>
      <w:r>
        <w:rPr>
          <w:color w:val="231F20"/>
          <w:spacing w:val="-21"/>
          <w:w w:val="105"/>
        </w:rPr>
        <w:t> </w:t>
      </w:r>
      <w:r>
        <w:rPr>
          <w:color w:val="231F20"/>
          <w:w w:val="105"/>
        </w:rPr>
        <w:t>económica</w:t>
      </w:r>
      <w:r>
        <w:rPr>
          <w:color w:val="231F20"/>
          <w:spacing w:val="-21"/>
          <w:w w:val="105"/>
        </w:rPr>
        <w:t> </w:t>
      </w:r>
      <w:r>
        <w:rPr>
          <w:color w:val="231F20"/>
          <w:w w:val="105"/>
        </w:rPr>
        <w:t>que</w:t>
      </w:r>
      <w:r>
        <w:rPr>
          <w:color w:val="231F20"/>
          <w:spacing w:val="-21"/>
          <w:w w:val="105"/>
        </w:rPr>
        <w:t> </w:t>
      </w:r>
      <w:r>
        <w:rPr>
          <w:color w:val="231F20"/>
          <w:w w:val="105"/>
        </w:rPr>
        <w:t>golpea</w:t>
      </w:r>
      <w:r>
        <w:rPr>
          <w:color w:val="231F20"/>
          <w:spacing w:val="-21"/>
          <w:w w:val="105"/>
        </w:rPr>
        <w:t> </w:t>
      </w:r>
      <w:r>
        <w:rPr>
          <w:color w:val="231F20"/>
          <w:w w:val="105"/>
        </w:rPr>
        <w:t>la</w:t>
      </w:r>
      <w:r>
        <w:rPr>
          <w:color w:val="231F20"/>
          <w:spacing w:val="-21"/>
          <w:w w:val="105"/>
        </w:rPr>
        <w:t> </w:t>
      </w:r>
      <w:r>
        <w:rPr>
          <w:color w:val="231F20"/>
          <w:w w:val="105"/>
        </w:rPr>
        <w:t>inserción a</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productiva</w:t>
      </w:r>
      <w:r>
        <w:rPr>
          <w:color w:val="231F20"/>
          <w:spacing w:val="-18"/>
          <w:w w:val="105"/>
        </w:rPr>
        <w:t> </w:t>
      </w:r>
      <w:r>
        <w:rPr>
          <w:color w:val="231F20"/>
          <w:w w:val="105"/>
        </w:rPr>
        <w:t>formal</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población</w:t>
      </w:r>
      <w:r>
        <w:rPr>
          <w:color w:val="231F20"/>
          <w:spacing w:val="-18"/>
          <w:w w:val="105"/>
        </w:rPr>
        <w:t> </w:t>
      </w:r>
      <w:r>
        <w:rPr>
          <w:color w:val="231F20"/>
          <w:w w:val="105"/>
        </w:rPr>
        <w:t>joven.</w:t>
      </w:r>
    </w:p>
    <w:p>
      <w:pPr>
        <w:pStyle w:val="BodyText"/>
        <w:spacing w:before="1"/>
        <w:rPr>
          <w:sz w:val="26"/>
        </w:rPr>
      </w:pPr>
    </w:p>
    <w:p>
      <w:pPr>
        <w:pStyle w:val="BodyText"/>
        <w:spacing w:line="285" w:lineRule="auto"/>
        <w:ind w:left="110" w:right="107"/>
        <w:jc w:val="both"/>
      </w:pPr>
      <w:r>
        <w:rPr>
          <w:color w:val="231F20"/>
          <w:w w:val="105"/>
        </w:rPr>
        <w:t>Su</w:t>
      </w:r>
      <w:r>
        <w:rPr>
          <w:color w:val="231F20"/>
          <w:spacing w:val="-14"/>
          <w:w w:val="105"/>
        </w:rPr>
        <w:t> </w:t>
      </w:r>
      <w:r>
        <w:rPr>
          <w:color w:val="231F20"/>
          <w:w w:val="105"/>
        </w:rPr>
        <w:t>reconversión</w:t>
      </w:r>
      <w:r>
        <w:rPr>
          <w:color w:val="231F20"/>
          <w:spacing w:val="-14"/>
          <w:w w:val="105"/>
        </w:rPr>
        <w:t> </w:t>
      </w:r>
      <w:r>
        <w:rPr>
          <w:color w:val="231F20"/>
          <w:w w:val="105"/>
        </w:rPr>
        <w:t>inicia</w:t>
      </w:r>
      <w:r>
        <w:rPr>
          <w:color w:val="231F20"/>
          <w:spacing w:val="-14"/>
          <w:w w:val="105"/>
        </w:rPr>
        <w:t> </w:t>
      </w:r>
      <w:r>
        <w:rPr>
          <w:color w:val="231F20"/>
          <w:w w:val="105"/>
        </w:rPr>
        <w:t>en</w:t>
      </w:r>
      <w:r>
        <w:rPr>
          <w:color w:val="231F20"/>
          <w:spacing w:val="-14"/>
          <w:w w:val="105"/>
        </w:rPr>
        <w:t> </w:t>
      </w:r>
      <w:r>
        <w:rPr>
          <w:color w:val="231F20"/>
          <w:spacing w:val="-3"/>
          <w:w w:val="105"/>
        </w:rPr>
        <w:t>1999,</w:t>
      </w:r>
      <w:r>
        <w:rPr>
          <w:color w:val="231F20"/>
          <w:spacing w:val="-14"/>
          <w:w w:val="105"/>
        </w:rPr>
        <w:t> </w:t>
      </w:r>
      <w:r>
        <w:rPr>
          <w:color w:val="231F20"/>
          <w:w w:val="105"/>
        </w:rPr>
        <w:t>campaña</w:t>
      </w:r>
      <w:r>
        <w:rPr>
          <w:color w:val="231F20"/>
          <w:spacing w:val="-14"/>
          <w:w w:val="105"/>
        </w:rPr>
        <w:t> </w:t>
      </w:r>
      <w:r>
        <w:rPr>
          <w:color w:val="231F20"/>
          <w:w w:val="105"/>
        </w:rPr>
        <w:t>que</w:t>
      </w:r>
      <w:r>
        <w:rPr>
          <w:color w:val="231F20"/>
          <w:spacing w:val="-14"/>
          <w:w w:val="105"/>
        </w:rPr>
        <w:t> </w:t>
      </w:r>
      <w:r>
        <w:rPr>
          <w:color w:val="231F20"/>
          <w:w w:val="105"/>
        </w:rPr>
        <w:t>afronta</w:t>
      </w:r>
      <w:r>
        <w:rPr>
          <w:color w:val="231F20"/>
          <w:spacing w:val="-14"/>
          <w:w w:val="105"/>
        </w:rPr>
        <w:t> </w:t>
      </w:r>
      <w:r>
        <w:rPr>
          <w:color w:val="231F20"/>
          <w:w w:val="105"/>
        </w:rPr>
        <w:t>las</w:t>
      </w:r>
      <w:r>
        <w:rPr>
          <w:color w:val="231F20"/>
          <w:spacing w:val="-14"/>
          <w:w w:val="105"/>
        </w:rPr>
        <w:t> </w:t>
      </w:r>
      <w:r>
        <w:rPr>
          <w:color w:val="231F20"/>
          <w:w w:val="105"/>
        </w:rPr>
        <w:t>elecciones</w:t>
      </w:r>
      <w:r>
        <w:rPr>
          <w:color w:val="231F20"/>
          <w:spacing w:val="-14"/>
          <w:w w:val="105"/>
        </w:rPr>
        <w:t> </w:t>
      </w:r>
      <w:r>
        <w:rPr>
          <w:color w:val="231F20"/>
          <w:w w:val="105"/>
        </w:rPr>
        <w:t>locales,</w:t>
      </w:r>
      <w:r>
        <w:rPr>
          <w:color w:val="231F20"/>
          <w:spacing w:val="-14"/>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la campaña</w:t>
      </w:r>
      <w:r>
        <w:rPr>
          <w:color w:val="231F20"/>
          <w:spacing w:val="-15"/>
          <w:w w:val="105"/>
        </w:rPr>
        <w:t> </w:t>
      </w:r>
      <w:r>
        <w:rPr>
          <w:color w:val="231F20"/>
          <w:w w:val="105"/>
        </w:rPr>
        <w:t>federal</w:t>
      </w:r>
      <w:r>
        <w:rPr>
          <w:color w:val="231F20"/>
          <w:spacing w:val="-15"/>
          <w:w w:val="105"/>
        </w:rPr>
        <w:t> </w:t>
      </w:r>
      <w:r>
        <w:rPr>
          <w:color w:val="231F20"/>
          <w:w w:val="105"/>
        </w:rPr>
        <w:t>del</w:t>
      </w:r>
      <w:r>
        <w:rPr>
          <w:color w:val="231F20"/>
          <w:spacing w:val="-15"/>
          <w:w w:val="105"/>
        </w:rPr>
        <w:t> </w:t>
      </w:r>
      <w:r>
        <w:rPr>
          <w:color w:val="231F20"/>
          <w:w w:val="105"/>
        </w:rPr>
        <w:t>año</w:t>
      </w:r>
      <w:r>
        <w:rPr>
          <w:color w:val="231F20"/>
          <w:spacing w:val="-15"/>
          <w:w w:val="105"/>
        </w:rPr>
        <w:t> </w:t>
      </w:r>
      <w:r>
        <w:rPr>
          <w:color w:val="231F20"/>
          <w:spacing w:val="3"/>
          <w:w w:val="105"/>
        </w:rPr>
        <w:t>2000.</w:t>
      </w:r>
      <w:r>
        <w:rPr>
          <w:color w:val="231F20"/>
          <w:spacing w:val="-15"/>
          <w:w w:val="105"/>
        </w:rPr>
        <w:t> </w:t>
      </w:r>
      <w:r>
        <w:rPr>
          <w:color w:val="231F20"/>
          <w:spacing w:val="-3"/>
          <w:w w:val="105"/>
        </w:rPr>
        <w:t>Pero</w:t>
      </w:r>
      <w:r>
        <w:rPr>
          <w:color w:val="231F20"/>
          <w:spacing w:val="-15"/>
          <w:w w:val="105"/>
        </w:rPr>
        <w:t> </w:t>
      </w:r>
      <w:r>
        <w:rPr>
          <w:color w:val="231F20"/>
          <w:w w:val="105"/>
        </w:rPr>
        <w:t>es</w:t>
      </w:r>
      <w:r>
        <w:rPr>
          <w:color w:val="231F20"/>
          <w:spacing w:val="-15"/>
          <w:w w:val="105"/>
        </w:rPr>
        <w:t> </w:t>
      </w:r>
      <w:r>
        <w:rPr>
          <w:color w:val="231F20"/>
          <w:w w:val="105"/>
        </w:rPr>
        <w:t>particularmente</w:t>
      </w:r>
      <w:r>
        <w:rPr>
          <w:color w:val="231F20"/>
          <w:spacing w:val="-15"/>
          <w:w w:val="105"/>
        </w:rPr>
        <w:t> </w:t>
      </w:r>
      <w:r>
        <w:rPr>
          <w:color w:val="231F20"/>
          <w:w w:val="105"/>
        </w:rPr>
        <w:t>la</w:t>
      </w:r>
      <w:r>
        <w:rPr>
          <w:color w:val="231F20"/>
          <w:spacing w:val="-15"/>
          <w:w w:val="105"/>
        </w:rPr>
        <w:t> </w:t>
      </w:r>
      <w:r>
        <w:rPr>
          <w:color w:val="231F20"/>
          <w:w w:val="105"/>
        </w:rPr>
        <w:t>campaña</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gubernatura, </w:t>
      </w:r>
      <w:r>
        <w:rPr>
          <w:color w:val="231F20"/>
          <w:spacing w:val="-3"/>
          <w:w w:val="105"/>
        </w:rPr>
        <w:t>donde</w:t>
      </w:r>
      <w:r>
        <w:rPr>
          <w:color w:val="231F20"/>
          <w:spacing w:val="-10"/>
          <w:w w:val="105"/>
        </w:rPr>
        <w:t> </w:t>
      </w:r>
      <w:r>
        <w:rPr>
          <w:color w:val="231F20"/>
          <w:w w:val="105"/>
        </w:rPr>
        <w:t>el</w:t>
      </w:r>
      <w:r>
        <w:rPr>
          <w:color w:val="231F20"/>
          <w:spacing w:val="-10"/>
          <w:w w:val="105"/>
        </w:rPr>
        <w:t> </w:t>
      </w:r>
      <w:r>
        <w:rPr>
          <w:color w:val="231F20"/>
          <w:w w:val="105"/>
        </w:rPr>
        <w:t>PRI</w:t>
      </w:r>
      <w:r>
        <w:rPr>
          <w:color w:val="231F20"/>
          <w:spacing w:val="-10"/>
          <w:w w:val="105"/>
        </w:rPr>
        <w:t> </w:t>
      </w:r>
      <w:r>
        <w:rPr>
          <w:color w:val="231F20"/>
          <w:w w:val="105"/>
        </w:rPr>
        <w:t>se</w:t>
      </w:r>
      <w:r>
        <w:rPr>
          <w:color w:val="231F20"/>
          <w:spacing w:val="-10"/>
          <w:w w:val="105"/>
        </w:rPr>
        <w:t> </w:t>
      </w:r>
      <w:r>
        <w:rPr>
          <w:color w:val="231F20"/>
          <w:w w:val="105"/>
        </w:rPr>
        <w:t>basa</w:t>
      </w:r>
      <w:r>
        <w:rPr>
          <w:color w:val="231F20"/>
          <w:spacing w:val="-10"/>
          <w:w w:val="105"/>
        </w:rPr>
        <w:t> </w:t>
      </w:r>
      <w:r>
        <w:rPr>
          <w:color w:val="231F20"/>
          <w:w w:val="105"/>
        </w:rPr>
        <w:t>en</w:t>
      </w:r>
      <w:r>
        <w:rPr>
          <w:color w:val="231F20"/>
          <w:spacing w:val="-10"/>
          <w:w w:val="105"/>
        </w:rPr>
        <w:t> </w:t>
      </w:r>
      <w:r>
        <w:rPr>
          <w:color w:val="231F20"/>
          <w:w w:val="105"/>
        </w:rPr>
        <w:t>una</w:t>
      </w:r>
      <w:r>
        <w:rPr>
          <w:color w:val="231F20"/>
          <w:spacing w:val="-10"/>
          <w:w w:val="105"/>
        </w:rPr>
        <w:t> </w:t>
      </w:r>
      <w:r>
        <w:rPr>
          <w:color w:val="231F20"/>
          <w:w w:val="105"/>
        </w:rPr>
        <w:t>serie</w:t>
      </w:r>
      <w:r>
        <w:rPr>
          <w:color w:val="231F20"/>
          <w:spacing w:val="-10"/>
          <w:w w:val="105"/>
        </w:rPr>
        <w:t> </w:t>
      </w:r>
      <w:r>
        <w:rPr>
          <w:color w:val="231F20"/>
          <w:w w:val="105"/>
        </w:rPr>
        <w:t>de</w:t>
      </w:r>
      <w:r>
        <w:rPr>
          <w:color w:val="231F20"/>
          <w:spacing w:val="-10"/>
          <w:w w:val="105"/>
        </w:rPr>
        <w:t> </w:t>
      </w:r>
      <w:r>
        <w:rPr>
          <w:color w:val="231F20"/>
          <w:w w:val="105"/>
        </w:rPr>
        <w:t>estrategias</w:t>
      </w:r>
      <w:r>
        <w:rPr>
          <w:color w:val="231F20"/>
          <w:spacing w:val="-10"/>
          <w:w w:val="105"/>
        </w:rPr>
        <w:t> </w:t>
      </w:r>
      <w:r>
        <w:rPr>
          <w:color w:val="231F20"/>
          <w:w w:val="105"/>
        </w:rPr>
        <w:t>entre</w:t>
      </w:r>
      <w:r>
        <w:rPr>
          <w:color w:val="231F20"/>
          <w:spacing w:val="-10"/>
          <w:w w:val="105"/>
        </w:rPr>
        <w:t> </w:t>
      </w:r>
      <w:r>
        <w:rPr>
          <w:color w:val="231F20"/>
          <w:w w:val="105"/>
        </w:rPr>
        <w:t>las</w:t>
      </w:r>
      <w:r>
        <w:rPr>
          <w:color w:val="231F20"/>
          <w:spacing w:val="-10"/>
          <w:w w:val="105"/>
        </w:rPr>
        <w:t> </w:t>
      </w:r>
      <w:r>
        <w:rPr>
          <w:color w:val="231F20"/>
          <w:w w:val="105"/>
        </w:rPr>
        <w:t>que</w:t>
      </w:r>
      <w:r>
        <w:rPr>
          <w:color w:val="231F20"/>
          <w:spacing w:val="-10"/>
          <w:w w:val="105"/>
        </w:rPr>
        <w:t> </w:t>
      </w:r>
      <w:r>
        <w:rPr>
          <w:color w:val="231F20"/>
          <w:w w:val="105"/>
        </w:rPr>
        <w:t>destacan:</w:t>
      </w:r>
    </w:p>
    <w:p>
      <w:pPr>
        <w:pStyle w:val="BodyText"/>
        <w:spacing w:line="285" w:lineRule="auto" w:before="1"/>
        <w:ind w:left="677" w:right="574"/>
      </w:pPr>
      <w:r>
        <w:rPr>
          <w:color w:val="231F20"/>
          <w:w w:val="105"/>
        </w:rPr>
        <w:t>Consolidación de zonas que tradicionalmente son su mercado político. </w:t>
      </w:r>
      <w:r>
        <w:rPr>
          <w:color w:val="231F20"/>
          <w:spacing w:val="-3"/>
          <w:w w:val="105"/>
        </w:rPr>
        <w:t>Mayor</w:t>
      </w:r>
      <w:r>
        <w:rPr>
          <w:color w:val="231F20"/>
          <w:spacing w:val="-17"/>
          <w:w w:val="105"/>
        </w:rPr>
        <w:t> </w:t>
      </w:r>
      <w:r>
        <w:rPr>
          <w:color w:val="231F20"/>
          <w:w w:val="105"/>
        </w:rPr>
        <w:t>actividad</w:t>
      </w:r>
      <w:r>
        <w:rPr>
          <w:color w:val="231F20"/>
          <w:spacing w:val="-17"/>
          <w:w w:val="105"/>
        </w:rPr>
        <w:t> </w:t>
      </w:r>
      <w:r>
        <w:rPr>
          <w:color w:val="231F20"/>
          <w:w w:val="105"/>
        </w:rPr>
        <w:t>en</w:t>
      </w:r>
      <w:r>
        <w:rPr>
          <w:color w:val="231F20"/>
          <w:spacing w:val="-17"/>
          <w:w w:val="105"/>
        </w:rPr>
        <w:t> </w:t>
      </w:r>
      <w:r>
        <w:rPr>
          <w:color w:val="231F20"/>
          <w:w w:val="105"/>
        </w:rPr>
        <w:t>aquellas</w:t>
      </w:r>
      <w:r>
        <w:rPr>
          <w:color w:val="231F20"/>
          <w:spacing w:val="-17"/>
          <w:w w:val="105"/>
        </w:rPr>
        <w:t> </w:t>
      </w:r>
      <w:r>
        <w:rPr>
          <w:color w:val="231F20"/>
          <w:w w:val="105"/>
        </w:rPr>
        <w:t>donde,</w:t>
      </w:r>
      <w:r>
        <w:rPr>
          <w:color w:val="231F20"/>
          <w:spacing w:val="-17"/>
          <w:w w:val="105"/>
        </w:rPr>
        <w:t> </w:t>
      </w:r>
      <w:r>
        <w:rPr>
          <w:color w:val="231F20"/>
          <w:w w:val="105"/>
        </w:rPr>
        <w:t>particularmente</w:t>
      </w:r>
      <w:r>
        <w:rPr>
          <w:color w:val="231F20"/>
          <w:spacing w:val="-17"/>
          <w:w w:val="105"/>
        </w:rPr>
        <w:t> </w:t>
      </w:r>
      <w:r>
        <w:rPr>
          <w:color w:val="231F20"/>
          <w:w w:val="105"/>
        </w:rPr>
        <w:t>el</w:t>
      </w:r>
      <w:r>
        <w:rPr>
          <w:color w:val="231F20"/>
          <w:spacing w:val="-17"/>
          <w:w w:val="105"/>
        </w:rPr>
        <w:t> </w:t>
      </w:r>
      <w:r>
        <w:rPr>
          <w:color w:val="231F20"/>
          <w:w w:val="105"/>
        </w:rPr>
        <w:t>PRD</w:t>
      </w:r>
      <w:r>
        <w:rPr>
          <w:color w:val="231F20"/>
          <w:spacing w:val="-17"/>
          <w:w w:val="105"/>
        </w:rPr>
        <w:t> </w:t>
      </w:r>
      <w:r>
        <w:rPr>
          <w:color w:val="231F20"/>
          <w:w w:val="105"/>
        </w:rPr>
        <w:t>gana</w:t>
      </w:r>
      <w:r>
        <w:rPr>
          <w:color w:val="231F20"/>
          <w:spacing w:val="-17"/>
          <w:w w:val="105"/>
        </w:rPr>
        <w:t> </w:t>
      </w:r>
      <w:r>
        <w:rPr>
          <w:color w:val="231F20"/>
          <w:w w:val="105"/>
        </w:rPr>
        <w:t>espacios.</w:t>
      </w:r>
    </w:p>
    <w:p>
      <w:pPr>
        <w:pStyle w:val="BodyText"/>
        <w:spacing w:line="285" w:lineRule="auto" w:before="1"/>
        <w:ind w:left="677" w:right="107"/>
        <w:jc w:val="both"/>
      </w:pPr>
      <w:r>
        <w:rPr>
          <w:color w:val="231F20"/>
          <w:w w:val="105"/>
        </w:rPr>
        <w:t>Obviar </w:t>
      </w:r>
      <w:r>
        <w:rPr>
          <w:color w:val="231F20"/>
          <w:spacing w:val="-8"/>
          <w:w w:val="105"/>
        </w:rPr>
        <w:t>y/o </w:t>
      </w:r>
      <w:r>
        <w:rPr>
          <w:color w:val="231F20"/>
          <w:w w:val="105"/>
        </w:rPr>
        <w:t>no invertir recursos en </w:t>
      </w:r>
      <w:r>
        <w:rPr>
          <w:color w:val="231F20"/>
          <w:spacing w:val="-3"/>
          <w:w w:val="105"/>
        </w:rPr>
        <w:t>donde </w:t>
      </w:r>
      <w:r>
        <w:rPr>
          <w:color w:val="231F20"/>
          <w:w w:val="105"/>
        </w:rPr>
        <w:t>el </w:t>
      </w:r>
      <w:r>
        <w:rPr>
          <w:color w:val="231F20"/>
          <w:spacing w:val="-4"/>
          <w:w w:val="105"/>
        </w:rPr>
        <w:t>PAN </w:t>
      </w:r>
      <w:r>
        <w:rPr>
          <w:color w:val="231F20"/>
          <w:w w:val="105"/>
        </w:rPr>
        <w:t>es fuerza importante, pues lo encuentra</w:t>
      </w:r>
      <w:r>
        <w:rPr>
          <w:color w:val="231F20"/>
          <w:spacing w:val="-17"/>
          <w:w w:val="105"/>
        </w:rPr>
        <w:t> </w:t>
      </w:r>
      <w:r>
        <w:rPr>
          <w:color w:val="231F20"/>
          <w:w w:val="105"/>
        </w:rPr>
        <w:t>muy</w:t>
      </w:r>
      <w:r>
        <w:rPr>
          <w:color w:val="231F20"/>
          <w:spacing w:val="-17"/>
          <w:w w:val="105"/>
        </w:rPr>
        <w:t> </w:t>
      </w:r>
      <w:r>
        <w:rPr>
          <w:color w:val="231F20"/>
          <w:w w:val="105"/>
        </w:rPr>
        <w:t>consolidado</w:t>
      </w:r>
      <w:r>
        <w:rPr>
          <w:color w:val="231F20"/>
          <w:spacing w:val="-17"/>
          <w:w w:val="105"/>
        </w:rPr>
        <w:t> </w:t>
      </w:r>
      <w:r>
        <w:rPr>
          <w:color w:val="231F20"/>
          <w:w w:val="105"/>
        </w:rPr>
        <w:t>y</w:t>
      </w:r>
      <w:r>
        <w:rPr>
          <w:color w:val="231F20"/>
          <w:spacing w:val="-17"/>
          <w:w w:val="105"/>
        </w:rPr>
        <w:t> </w:t>
      </w:r>
      <w:r>
        <w:rPr>
          <w:color w:val="231F20"/>
          <w:w w:val="105"/>
        </w:rPr>
        <w:t>a</w:t>
      </w:r>
      <w:r>
        <w:rPr>
          <w:color w:val="231F20"/>
          <w:spacing w:val="-17"/>
          <w:w w:val="105"/>
        </w:rPr>
        <w:t> </w:t>
      </w:r>
      <w:r>
        <w:rPr>
          <w:color w:val="231F20"/>
          <w:w w:val="105"/>
        </w:rPr>
        <w:t>sus</w:t>
      </w:r>
      <w:r>
        <w:rPr>
          <w:color w:val="231F20"/>
          <w:spacing w:val="-17"/>
          <w:w w:val="105"/>
        </w:rPr>
        <w:t> </w:t>
      </w:r>
      <w:r>
        <w:rPr>
          <w:color w:val="231F20"/>
          <w:w w:val="105"/>
        </w:rPr>
        <w:t>electores</w:t>
      </w:r>
      <w:r>
        <w:rPr>
          <w:color w:val="231F20"/>
          <w:spacing w:val="-17"/>
          <w:w w:val="105"/>
        </w:rPr>
        <w:t> </w:t>
      </w:r>
      <w:r>
        <w:rPr>
          <w:color w:val="231F20"/>
          <w:w w:val="105"/>
        </w:rPr>
        <w:t>con</w:t>
      </w:r>
      <w:r>
        <w:rPr>
          <w:color w:val="231F20"/>
          <w:spacing w:val="-17"/>
          <w:w w:val="105"/>
        </w:rPr>
        <w:t> </w:t>
      </w:r>
      <w:r>
        <w:rPr>
          <w:color w:val="231F20"/>
          <w:w w:val="105"/>
        </w:rPr>
        <w:t>mayor</w:t>
      </w:r>
      <w:r>
        <w:rPr>
          <w:color w:val="231F20"/>
          <w:spacing w:val="-17"/>
          <w:w w:val="105"/>
        </w:rPr>
        <w:t> </w:t>
      </w:r>
      <w:r>
        <w:rPr>
          <w:color w:val="231F20"/>
          <w:w w:val="105"/>
        </w:rPr>
        <w:t>capacidad</w:t>
      </w:r>
      <w:r>
        <w:rPr>
          <w:color w:val="231F20"/>
          <w:spacing w:val="-17"/>
          <w:w w:val="105"/>
        </w:rPr>
        <w:t> </w:t>
      </w:r>
      <w:r>
        <w:rPr>
          <w:color w:val="231F20"/>
          <w:w w:val="105"/>
        </w:rPr>
        <w:t>crítica,</w:t>
      </w:r>
      <w:r>
        <w:rPr>
          <w:color w:val="231F20"/>
          <w:spacing w:val="-17"/>
          <w:w w:val="105"/>
        </w:rPr>
        <w:t> </w:t>
      </w:r>
      <w:r>
        <w:rPr>
          <w:color w:val="231F20"/>
          <w:w w:val="105"/>
        </w:rPr>
        <w:t>dado</w:t>
      </w:r>
      <w:r>
        <w:rPr>
          <w:color w:val="231F20"/>
          <w:spacing w:val="-17"/>
          <w:w w:val="105"/>
        </w:rPr>
        <w:t> </w:t>
      </w:r>
      <w:r>
        <w:rPr>
          <w:color w:val="231F20"/>
          <w:w w:val="105"/>
        </w:rPr>
        <w:t>el nivel</w:t>
      </w:r>
      <w:r>
        <w:rPr>
          <w:color w:val="231F20"/>
          <w:spacing w:val="-12"/>
          <w:w w:val="105"/>
        </w:rPr>
        <w:t> </w:t>
      </w:r>
      <w:r>
        <w:rPr>
          <w:color w:val="231F20"/>
          <w:spacing w:val="2"/>
          <w:w w:val="105"/>
        </w:rPr>
        <w:t>cultural</w:t>
      </w:r>
      <w:r>
        <w:rPr>
          <w:color w:val="231F20"/>
          <w:spacing w:val="-12"/>
          <w:w w:val="105"/>
        </w:rPr>
        <w:t> </w:t>
      </w:r>
      <w:r>
        <w:rPr>
          <w:color w:val="231F20"/>
          <w:w w:val="105"/>
        </w:rPr>
        <w:t>y</w:t>
      </w:r>
      <w:r>
        <w:rPr>
          <w:color w:val="231F20"/>
          <w:spacing w:val="-12"/>
          <w:w w:val="105"/>
        </w:rPr>
        <w:t> </w:t>
      </w:r>
      <w:r>
        <w:rPr>
          <w:color w:val="231F20"/>
          <w:w w:val="105"/>
        </w:rPr>
        <w:t>económico</w:t>
      </w:r>
      <w:r>
        <w:rPr>
          <w:color w:val="231F20"/>
          <w:spacing w:val="-12"/>
          <w:w w:val="105"/>
        </w:rPr>
        <w:t> </w:t>
      </w:r>
      <w:r>
        <w:rPr>
          <w:color w:val="231F20"/>
          <w:w w:val="105"/>
        </w:rPr>
        <w:t>de</w:t>
      </w:r>
      <w:r>
        <w:rPr>
          <w:color w:val="231F20"/>
          <w:spacing w:val="-12"/>
          <w:w w:val="105"/>
        </w:rPr>
        <w:t> </w:t>
      </w:r>
      <w:r>
        <w:rPr>
          <w:color w:val="231F20"/>
          <w:w w:val="105"/>
        </w:rPr>
        <w:t>esa</w:t>
      </w:r>
      <w:r>
        <w:rPr>
          <w:color w:val="231F20"/>
          <w:spacing w:val="-12"/>
          <w:w w:val="105"/>
        </w:rPr>
        <w:t> </w:t>
      </w:r>
      <w:r>
        <w:rPr>
          <w:color w:val="231F20"/>
          <w:w w:val="105"/>
        </w:rPr>
        <w:t>masa</w:t>
      </w:r>
      <w:r>
        <w:rPr>
          <w:color w:val="231F20"/>
          <w:spacing w:val="-12"/>
          <w:w w:val="105"/>
        </w:rPr>
        <w:t> </w:t>
      </w:r>
      <w:r>
        <w:rPr>
          <w:color w:val="231F20"/>
          <w:w w:val="105"/>
        </w:rPr>
        <w:t>poblacional,</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hace</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recursos sean</w:t>
      </w:r>
      <w:r>
        <w:rPr>
          <w:color w:val="231F20"/>
          <w:spacing w:val="-10"/>
          <w:w w:val="105"/>
        </w:rPr>
        <w:t> </w:t>
      </w:r>
      <w:r>
        <w:rPr>
          <w:color w:val="231F20"/>
          <w:w w:val="105"/>
        </w:rPr>
        <w:t>poco</w:t>
      </w:r>
      <w:r>
        <w:rPr>
          <w:color w:val="231F20"/>
          <w:spacing w:val="-10"/>
          <w:w w:val="105"/>
        </w:rPr>
        <w:t> </w:t>
      </w:r>
      <w:r>
        <w:rPr>
          <w:color w:val="231F20"/>
          <w:w w:val="105"/>
        </w:rPr>
        <w:t>redituables</w:t>
      </w:r>
      <w:r>
        <w:rPr>
          <w:color w:val="231F20"/>
          <w:spacing w:val="-10"/>
          <w:w w:val="105"/>
        </w:rPr>
        <w:t> </w:t>
      </w:r>
      <w:r>
        <w:rPr>
          <w:color w:val="231F20"/>
          <w:w w:val="105"/>
        </w:rPr>
        <w:t>en</w:t>
      </w:r>
      <w:r>
        <w:rPr>
          <w:color w:val="231F20"/>
          <w:spacing w:val="-10"/>
          <w:w w:val="105"/>
        </w:rPr>
        <w:t> </w:t>
      </w:r>
      <w:r>
        <w:rPr>
          <w:color w:val="231F20"/>
          <w:w w:val="105"/>
        </w:rPr>
        <w:t>esa</w:t>
      </w:r>
      <w:r>
        <w:rPr>
          <w:color w:val="231F20"/>
          <w:spacing w:val="-10"/>
          <w:w w:val="105"/>
        </w:rPr>
        <w:t> </w:t>
      </w:r>
      <w:r>
        <w:rPr>
          <w:color w:val="231F20"/>
          <w:w w:val="105"/>
        </w:rPr>
        <w:t>zona.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rPr>
        <w:t>Sus acciones son:</w:t>
      </w:r>
    </w:p>
    <w:p>
      <w:pPr>
        <w:pStyle w:val="BodyText"/>
        <w:spacing w:line="285" w:lineRule="auto" w:before="47"/>
        <w:ind w:left="677" w:right="107"/>
        <w:jc w:val="both"/>
      </w:pPr>
      <w:r>
        <w:rPr>
          <w:color w:val="231F20"/>
          <w:w w:val="105"/>
        </w:rPr>
        <w:t>Acordar con grupos marginales, con quienes pude “renovar periódicamente su pacto</w:t>
      </w:r>
      <w:r>
        <w:rPr>
          <w:color w:val="231F20"/>
          <w:spacing w:val="-7"/>
          <w:w w:val="105"/>
        </w:rPr>
        <w:t> </w:t>
      </w:r>
      <w:r>
        <w:rPr>
          <w:color w:val="231F20"/>
          <w:w w:val="105"/>
        </w:rPr>
        <w:t>partidista</w:t>
      </w:r>
      <w:r>
        <w:rPr>
          <w:color w:val="231F20"/>
          <w:spacing w:val="-7"/>
          <w:w w:val="105"/>
        </w:rPr>
        <w:t> </w:t>
      </w:r>
      <w:r>
        <w:rPr>
          <w:color w:val="231F20"/>
          <w:w w:val="105"/>
        </w:rPr>
        <w:t>mediante</w:t>
      </w:r>
      <w:r>
        <w:rPr>
          <w:color w:val="231F20"/>
          <w:spacing w:val="-7"/>
          <w:w w:val="105"/>
        </w:rPr>
        <w:t> </w:t>
      </w:r>
      <w:r>
        <w:rPr>
          <w:color w:val="231F20"/>
          <w:w w:val="105"/>
        </w:rPr>
        <w:t>el</w:t>
      </w:r>
      <w:r>
        <w:rPr>
          <w:color w:val="231F20"/>
          <w:spacing w:val="-7"/>
          <w:w w:val="105"/>
        </w:rPr>
        <w:t> </w:t>
      </w:r>
      <w:r>
        <w:rPr>
          <w:color w:val="231F20"/>
          <w:w w:val="105"/>
        </w:rPr>
        <w:t>reparto</w:t>
      </w:r>
      <w:r>
        <w:rPr>
          <w:color w:val="231F20"/>
          <w:spacing w:val="-7"/>
          <w:w w:val="105"/>
        </w:rPr>
        <w:t> </w:t>
      </w:r>
      <w:r>
        <w:rPr>
          <w:color w:val="231F20"/>
          <w:w w:val="105"/>
        </w:rPr>
        <w:t>de</w:t>
      </w:r>
      <w:r>
        <w:rPr>
          <w:color w:val="231F20"/>
          <w:spacing w:val="-7"/>
          <w:w w:val="105"/>
        </w:rPr>
        <w:t> </w:t>
      </w:r>
      <w:r>
        <w:rPr>
          <w:color w:val="231F20"/>
          <w:w w:val="105"/>
        </w:rPr>
        <w:t>obras,</w:t>
      </w:r>
      <w:r>
        <w:rPr>
          <w:color w:val="231F20"/>
          <w:spacing w:val="-7"/>
          <w:w w:val="105"/>
        </w:rPr>
        <w:t> </w:t>
      </w:r>
      <w:r>
        <w:rPr>
          <w:color w:val="231F20"/>
          <w:w w:val="105"/>
        </w:rPr>
        <w:t>expectativas,</w:t>
      </w:r>
      <w:r>
        <w:rPr>
          <w:color w:val="231F20"/>
          <w:spacing w:val="-7"/>
          <w:w w:val="105"/>
        </w:rPr>
        <w:t> </w:t>
      </w:r>
      <w:r>
        <w:rPr>
          <w:color w:val="231F20"/>
          <w:w w:val="105"/>
        </w:rPr>
        <w:t>etcétera”</w:t>
      </w:r>
      <w:r>
        <w:rPr>
          <w:color w:val="231F20"/>
          <w:spacing w:val="-7"/>
          <w:w w:val="105"/>
        </w:rPr>
        <w:t> </w:t>
      </w:r>
      <w:r>
        <w:rPr>
          <w:color w:val="231F20"/>
          <w:w w:val="105"/>
        </w:rPr>
        <w:t>(PRI,</w:t>
      </w:r>
      <w:r>
        <w:rPr>
          <w:color w:val="231F20"/>
          <w:spacing w:val="-7"/>
          <w:w w:val="105"/>
        </w:rPr>
        <w:t> </w:t>
      </w:r>
      <w:r>
        <w:rPr>
          <w:color w:val="231F20"/>
          <w:spacing w:val="-3"/>
          <w:w w:val="105"/>
        </w:rPr>
        <w:t>1999,</w:t>
      </w:r>
    </w:p>
    <w:p>
      <w:pPr>
        <w:pStyle w:val="BodyText"/>
        <w:spacing w:before="1"/>
        <w:ind w:left="677"/>
        <w:jc w:val="both"/>
      </w:pPr>
      <w:r>
        <w:rPr>
          <w:color w:val="231F20"/>
        </w:rPr>
        <w:t>13) y,</w:t>
      </w:r>
    </w:p>
    <w:p>
      <w:pPr>
        <w:pStyle w:val="BodyText"/>
        <w:spacing w:before="47"/>
        <w:ind w:left="677"/>
        <w:jc w:val="both"/>
      </w:pPr>
      <w:r>
        <w:rPr>
          <w:color w:val="231F20"/>
          <w:w w:val="105"/>
        </w:rPr>
        <w:t>Polarización del discurso contra el PAN, (Ibíd.)</w:t>
      </w:r>
    </w:p>
    <w:p>
      <w:pPr>
        <w:pStyle w:val="BodyText"/>
        <w:spacing w:before="2"/>
        <w:rPr>
          <w:sz w:val="30"/>
        </w:rPr>
      </w:pPr>
    </w:p>
    <w:p>
      <w:pPr>
        <w:pStyle w:val="BodyText"/>
        <w:spacing w:line="285" w:lineRule="auto"/>
        <w:ind w:left="110" w:right="108"/>
        <w:jc w:val="both"/>
      </w:pPr>
      <w:r>
        <w:rPr>
          <w:color w:val="231F20"/>
          <w:w w:val="105"/>
        </w:rPr>
        <w:t>Estas acciones son el preámbulo para que, en las elecciones locales de </w:t>
      </w:r>
      <w:r>
        <w:rPr>
          <w:color w:val="231F20"/>
          <w:spacing w:val="2"/>
          <w:w w:val="105"/>
        </w:rPr>
        <w:t>2003, </w:t>
      </w:r>
      <w:r>
        <w:rPr>
          <w:color w:val="231F20"/>
          <w:w w:val="105"/>
        </w:rPr>
        <w:t>el actual presidente municipal haya competido para regidor por la </w:t>
      </w:r>
      <w:r>
        <w:rPr>
          <w:color w:val="231F20"/>
          <w:spacing w:val="2"/>
          <w:w w:val="105"/>
        </w:rPr>
        <w:t>Alianza </w:t>
      </w:r>
      <w:r>
        <w:rPr>
          <w:color w:val="231F20"/>
          <w:w w:val="105"/>
        </w:rPr>
        <w:t>Para </w:t>
      </w:r>
      <w:r>
        <w:rPr>
          <w:color w:val="231F20"/>
          <w:spacing w:val="-5"/>
          <w:w w:val="105"/>
        </w:rPr>
        <w:t>Todos </w:t>
      </w:r>
      <w:r>
        <w:rPr>
          <w:color w:val="231F20"/>
          <w:spacing w:val="-4"/>
          <w:w w:val="105"/>
        </w:rPr>
        <w:t>(APT, </w:t>
      </w:r>
      <w:r>
        <w:rPr>
          <w:color w:val="231F20"/>
          <w:w w:val="105"/>
        </w:rPr>
        <w:t>misma</w:t>
      </w:r>
      <w:r>
        <w:rPr>
          <w:color w:val="231F20"/>
          <w:spacing w:val="-18"/>
          <w:w w:val="105"/>
        </w:rPr>
        <w:t> </w:t>
      </w:r>
      <w:r>
        <w:rPr>
          <w:color w:val="231F20"/>
          <w:w w:val="105"/>
        </w:rPr>
        <w:t>que</w:t>
      </w:r>
      <w:r>
        <w:rPr>
          <w:color w:val="231F20"/>
          <w:spacing w:val="-18"/>
          <w:w w:val="105"/>
        </w:rPr>
        <w:t> </w:t>
      </w:r>
      <w:r>
        <w:rPr>
          <w:color w:val="231F20"/>
          <w:w w:val="105"/>
        </w:rPr>
        <w:t>incluyó</w:t>
      </w:r>
      <w:r>
        <w:rPr>
          <w:color w:val="231F20"/>
          <w:spacing w:val="-18"/>
          <w:w w:val="105"/>
        </w:rPr>
        <w:t> </w:t>
      </w:r>
      <w:r>
        <w:rPr>
          <w:color w:val="231F20"/>
          <w:spacing w:val="2"/>
          <w:w w:val="105"/>
        </w:rPr>
        <w:t>al</w:t>
      </w:r>
      <w:r>
        <w:rPr>
          <w:color w:val="231F20"/>
          <w:spacing w:val="-18"/>
          <w:w w:val="105"/>
        </w:rPr>
        <w:t> </w:t>
      </w:r>
      <w:r>
        <w:rPr>
          <w:color w:val="231F20"/>
          <w:w w:val="105"/>
        </w:rPr>
        <w:t>PRI).</w:t>
      </w:r>
      <w:r>
        <w:rPr>
          <w:color w:val="231F20"/>
          <w:spacing w:val="-18"/>
          <w:w w:val="105"/>
        </w:rPr>
        <w:t> </w:t>
      </w:r>
      <w:r>
        <w:rPr>
          <w:color w:val="231F20"/>
          <w:w w:val="105"/>
        </w:rPr>
        <w:t>Sin</w:t>
      </w:r>
      <w:r>
        <w:rPr>
          <w:color w:val="231F20"/>
          <w:spacing w:val="-18"/>
          <w:w w:val="105"/>
        </w:rPr>
        <w:t> </w:t>
      </w:r>
      <w:r>
        <w:rPr>
          <w:color w:val="231F20"/>
          <w:w w:val="105"/>
        </w:rPr>
        <w:t>embargo</w:t>
      </w:r>
      <w:r>
        <w:rPr>
          <w:color w:val="231F20"/>
          <w:spacing w:val="-18"/>
          <w:w w:val="105"/>
        </w:rPr>
        <w:t> </w:t>
      </w:r>
      <w:r>
        <w:rPr>
          <w:color w:val="231F20"/>
          <w:w w:val="105"/>
        </w:rPr>
        <w:t>el</w:t>
      </w:r>
      <w:r>
        <w:rPr>
          <w:color w:val="231F20"/>
          <w:spacing w:val="-18"/>
          <w:w w:val="105"/>
        </w:rPr>
        <w:t> </w:t>
      </w:r>
      <w:r>
        <w:rPr>
          <w:color w:val="231F20"/>
          <w:w w:val="105"/>
        </w:rPr>
        <w:t>nueve</w:t>
      </w:r>
      <w:r>
        <w:rPr>
          <w:color w:val="231F20"/>
          <w:spacing w:val="-18"/>
          <w:w w:val="105"/>
        </w:rPr>
        <w:t> </w:t>
      </w:r>
      <w:r>
        <w:rPr>
          <w:color w:val="231F20"/>
          <w:w w:val="105"/>
        </w:rPr>
        <w:t>de</w:t>
      </w:r>
      <w:r>
        <w:rPr>
          <w:color w:val="231F20"/>
          <w:spacing w:val="-18"/>
          <w:w w:val="105"/>
        </w:rPr>
        <w:t> </w:t>
      </w:r>
      <w:r>
        <w:rPr>
          <w:color w:val="231F20"/>
          <w:w w:val="105"/>
        </w:rPr>
        <w:t>marzo</w:t>
      </w:r>
      <w:r>
        <w:rPr>
          <w:color w:val="231F20"/>
          <w:spacing w:val="-18"/>
          <w:w w:val="105"/>
        </w:rPr>
        <w:t> </w:t>
      </w:r>
      <w:r>
        <w:rPr>
          <w:color w:val="231F20"/>
          <w:w w:val="105"/>
        </w:rPr>
        <w:t>en</w:t>
      </w:r>
      <w:r>
        <w:rPr>
          <w:color w:val="231F20"/>
          <w:spacing w:val="-18"/>
          <w:w w:val="105"/>
        </w:rPr>
        <w:t> </w:t>
      </w:r>
      <w:r>
        <w:rPr>
          <w:color w:val="231F20"/>
          <w:w w:val="105"/>
        </w:rPr>
        <w:t>Tepotzotlán</w:t>
      </w:r>
      <w:r>
        <w:rPr>
          <w:color w:val="231F20"/>
          <w:spacing w:val="-18"/>
          <w:w w:val="105"/>
        </w:rPr>
        <w:t> </w:t>
      </w:r>
      <w:r>
        <w:rPr>
          <w:color w:val="231F20"/>
          <w:w w:val="105"/>
        </w:rPr>
        <w:t>solo</w:t>
      </w:r>
      <w:r>
        <w:rPr>
          <w:color w:val="231F20"/>
          <w:spacing w:val="-18"/>
          <w:w w:val="105"/>
        </w:rPr>
        <w:t> </w:t>
      </w:r>
      <w:r>
        <w:rPr>
          <w:color w:val="231F20"/>
          <w:w w:val="105"/>
        </w:rPr>
        <w:t>se</w:t>
      </w:r>
      <w:r>
        <w:rPr>
          <w:color w:val="231F20"/>
          <w:spacing w:val="-18"/>
          <w:w w:val="105"/>
        </w:rPr>
        <w:t> </w:t>
      </w:r>
      <w:r>
        <w:rPr>
          <w:color w:val="231F20"/>
          <w:w w:val="105"/>
        </w:rPr>
        <w:t>pudo </w:t>
      </w:r>
      <w:r>
        <w:rPr>
          <w:color w:val="231F20"/>
          <w:spacing w:val="2"/>
          <w:w w:val="105"/>
        </w:rPr>
        <w:t>instalar </w:t>
      </w:r>
      <w:r>
        <w:rPr>
          <w:color w:val="231F20"/>
          <w:w w:val="105"/>
        </w:rPr>
        <w:t>una pequeña cantidad de casillas, hecho que </w:t>
      </w:r>
      <w:r>
        <w:rPr>
          <w:color w:val="231F20"/>
          <w:spacing w:val="2"/>
          <w:w w:val="105"/>
        </w:rPr>
        <w:t>al final </w:t>
      </w:r>
      <w:r>
        <w:rPr>
          <w:color w:val="231F20"/>
          <w:w w:val="105"/>
        </w:rPr>
        <w:t>fue la causa de su anula- ción.</w:t>
      </w:r>
      <w:r>
        <w:rPr>
          <w:color w:val="231F20"/>
          <w:spacing w:val="-19"/>
          <w:w w:val="105"/>
        </w:rPr>
        <w:t> </w:t>
      </w:r>
      <w:r>
        <w:rPr>
          <w:color w:val="231F20"/>
          <w:w w:val="105"/>
        </w:rPr>
        <w:t>La</w:t>
      </w:r>
      <w:r>
        <w:rPr>
          <w:color w:val="231F20"/>
          <w:spacing w:val="-19"/>
          <w:w w:val="105"/>
        </w:rPr>
        <w:t> </w:t>
      </w:r>
      <w:r>
        <w:rPr>
          <w:color w:val="231F20"/>
          <w:w w:val="105"/>
        </w:rPr>
        <w:t>nueva</w:t>
      </w:r>
      <w:r>
        <w:rPr>
          <w:color w:val="231F20"/>
          <w:spacing w:val="-19"/>
          <w:w w:val="105"/>
        </w:rPr>
        <w:t> </w:t>
      </w:r>
      <w:r>
        <w:rPr>
          <w:color w:val="231F20"/>
          <w:w w:val="105"/>
        </w:rPr>
        <w:t>elección</w:t>
      </w:r>
      <w:r>
        <w:rPr>
          <w:color w:val="231F20"/>
          <w:spacing w:val="-19"/>
          <w:w w:val="105"/>
        </w:rPr>
        <w:t> </w:t>
      </w:r>
      <w:r>
        <w:rPr>
          <w:color w:val="231F20"/>
          <w:w w:val="105"/>
        </w:rPr>
        <w:t>se</w:t>
      </w:r>
      <w:r>
        <w:rPr>
          <w:color w:val="231F20"/>
          <w:spacing w:val="-19"/>
          <w:w w:val="105"/>
        </w:rPr>
        <w:t> </w:t>
      </w:r>
      <w:r>
        <w:rPr>
          <w:color w:val="231F20"/>
          <w:w w:val="105"/>
        </w:rPr>
        <w:t>realizó</w:t>
      </w:r>
      <w:r>
        <w:rPr>
          <w:color w:val="231F20"/>
          <w:spacing w:val="-19"/>
          <w:w w:val="105"/>
        </w:rPr>
        <w:t> </w:t>
      </w:r>
      <w:r>
        <w:rPr>
          <w:color w:val="231F20"/>
          <w:w w:val="105"/>
        </w:rPr>
        <w:t>el</w:t>
      </w:r>
      <w:r>
        <w:rPr>
          <w:color w:val="231F20"/>
          <w:spacing w:val="-19"/>
          <w:w w:val="105"/>
        </w:rPr>
        <w:t> </w:t>
      </w:r>
      <w:r>
        <w:rPr>
          <w:color w:val="231F20"/>
          <w:w w:val="105"/>
        </w:rPr>
        <w:t>12</w:t>
      </w:r>
      <w:r>
        <w:rPr>
          <w:color w:val="231F20"/>
          <w:spacing w:val="-19"/>
          <w:w w:val="105"/>
        </w:rPr>
        <w:t> </w:t>
      </w:r>
      <w:r>
        <w:rPr>
          <w:color w:val="231F20"/>
          <w:w w:val="105"/>
        </w:rPr>
        <w:t>de</w:t>
      </w:r>
      <w:r>
        <w:rPr>
          <w:color w:val="231F20"/>
          <w:spacing w:val="-19"/>
          <w:w w:val="105"/>
        </w:rPr>
        <w:t> </w:t>
      </w:r>
      <w:r>
        <w:rPr>
          <w:color w:val="231F20"/>
          <w:w w:val="105"/>
        </w:rPr>
        <w:t>octubre</w:t>
      </w:r>
      <w:r>
        <w:rPr>
          <w:color w:val="231F20"/>
          <w:spacing w:val="-19"/>
          <w:w w:val="105"/>
        </w:rPr>
        <w:t> </w:t>
      </w:r>
      <w:r>
        <w:rPr>
          <w:color w:val="231F20"/>
          <w:w w:val="105"/>
        </w:rPr>
        <w:t>(Emmerich,</w:t>
      </w:r>
      <w:r>
        <w:rPr>
          <w:color w:val="231F20"/>
          <w:spacing w:val="-19"/>
          <w:w w:val="105"/>
        </w:rPr>
        <w:t> </w:t>
      </w:r>
      <w:r>
        <w:rPr>
          <w:color w:val="231F20"/>
          <w:spacing w:val="2"/>
          <w:w w:val="105"/>
        </w:rPr>
        <w:t>2005:</w:t>
      </w:r>
      <w:r>
        <w:rPr>
          <w:color w:val="231F20"/>
          <w:spacing w:val="-19"/>
          <w:w w:val="105"/>
        </w:rPr>
        <w:t> </w:t>
      </w:r>
      <w:r>
        <w:rPr>
          <w:color w:val="231F20"/>
          <w:spacing w:val="-8"/>
          <w:w w:val="105"/>
        </w:rPr>
        <w:t>181)</w:t>
      </w:r>
      <w:r>
        <w:rPr>
          <w:color w:val="231F20"/>
          <w:spacing w:val="-19"/>
          <w:w w:val="105"/>
        </w:rPr>
        <w:t> </w:t>
      </w:r>
      <w:r>
        <w:rPr>
          <w:color w:val="231F20"/>
          <w:w w:val="105"/>
        </w:rPr>
        <w:t>en</w:t>
      </w:r>
      <w:r>
        <w:rPr>
          <w:color w:val="231F20"/>
          <w:spacing w:val="-19"/>
          <w:w w:val="105"/>
        </w:rPr>
        <w:t> </w:t>
      </w:r>
      <w:r>
        <w:rPr>
          <w:color w:val="231F20"/>
          <w:w w:val="105"/>
        </w:rPr>
        <w:t>ella</w:t>
      </w:r>
      <w:r>
        <w:rPr>
          <w:color w:val="231F20"/>
          <w:spacing w:val="-19"/>
          <w:w w:val="105"/>
        </w:rPr>
        <w:t> </w:t>
      </w:r>
      <w:r>
        <w:rPr>
          <w:color w:val="231F20"/>
          <w:w w:val="105"/>
        </w:rPr>
        <w:t>perdió el aludido. A </w:t>
      </w:r>
      <w:r>
        <w:rPr>
          <w:color w:val="231F20"/>
          <w:spacing w:val="2"/>
          <w:w w:val="105"/>
        </w:rPr>
        <w:t>partir </w:t>
      </w:r>
      <w:r>
        <w:rPr>
          <w:color w:val="231F20"/>
          <w:w w:val="105"/>
        </w:rPr>
        <w:t>de entonces el ahora presidente municipal </w:t>
      </w:r>
      <w:r>
        <w:rPr>
          <w:color w:val="231F20"/>
          <w:spacing w:val="2"/>
          <w:w w:val="105"/>
        </w:rPr>
        <w:t>canalizó </w:t>
      </w:r>
      <w:r>
        <w:rPr>
          <w:color w:val="231F20"/>
          <w:w w:val="105"/>
        </w:rPr>
        <w:t>el descontento de</w:t>
      </w:r>
      <w:r>
        <w:rPr>
          <w:color w:val="231F20"/>
          <w:spacing w:val="-15"/>
          <w:w w:val="105"/>
        </w:rPr>
        <w:t> </w:t>
      </w:r>
      <w:r>
        <w:rPr>
          <w:color w:val="231F20"/>
          <w:w w:val="105"/>
        </w:rPr>
        <w:t>miembros</w:t>
      </w:r>
      <w:r>
        <w:rPr>
          <w:color w:val="231F20"/>
          <w:spacing w:val="-15"/>
          <w:w w:val="105"/>
        </w:rPr>
        <w:t> </w:t>
      </w:r>
      <w:r>
        <w:rPr>
          <w:color w:val="231F20"/>
          <w:w w:val="105"/>
        </w:rPr>
        <w:t>de</w:t>
      </w:r>
      <w:r>
        <w:rPr>
          <w:color w:val="231F20"/>
          <w:spacing w:val="-15"/>
          <w:w w:val="105"/>
        </w:rPr>
        <w:t> </w:t>
      </w:r>
      <w:r>
        <w:rPr>
          <w:color w:val="231F20"/>
          <w:w w:val="105"/>
        </w:rPr>
        <w:t>otros</w:t>
      </w:r>
      <w:r>
        <w:rPr>
          <w:color w:val="231F20"/>
          <w:spacing w:val="-15"/>
          <w:w w:val="105"/>
        </w:rPr>
        <w:t> </w:t>
      </w:r>
      <w:r>
        <w:rPr>
          <w:color w:val="231F20"/>
          <w:w w:val="105"/>
        </w:rPr>
        <w:t>partidos</w:t>
      </w:r>
      <w:r>
        <w:rPr>
          <w:color w:val="231F20"/>
          <w:spacing w:val="-15"/>
          <w:w w:val="105"/>
        </w:rPr>
        <w:t> </w:t>
      </w:r>
      <w:r>
        <w:rPr>
          <w:color w:val="231F20"/>
          <w:w w:val="105"/>
        </w:rPr>
        <w:t>para</w:t>
      </w:r>
      <w:r>
        <w:rPr>
          <w:color w:val="231F20"/>
          <w:spacing w:val="-15"/>
          <w:w w:val="105"/>
        </w:rPr>
        <w:t> </w:t>
      </w:r>
      <w:r>
        <w:rPr>
          <w:color w:val="231F20"/>
          <w:w w:val="105"/>
        </w:rPr>
        <w:t>comenzar</w:t>
      </w:r>
      <w:r>
        <w:rPr>
          <w:color w:val="231F20"/>
          <w:spacing w:val="-15"/>
          <w:w w:val="105"/>
        </w:rPr>
        <w:t> </w:t>
      </w:r>
      <w:r>
        <w:rPr>
          <w:color w:val="231F20"/>
          <w:w w:val="105"/>
        </w:rPr>
        <w:t>una</w:t>
      </w:r>
      <w:r>
        <w:rPr>
          <w:color w:val="231F20"/>
          <w:spacing w:val="-15"/>
          <w:w w:val="105"/>
        </w:rPr>
        <w:t> </w:t>
      </w:r>
      <w:r>
        <w:rPr>
          <w:color w:val="231F20"/>
          <w:w w:val="105"/>
        </w:rPr>
        <w:t>composición</w:t>
      </w:r>
      <w:r>
        <w:rPr>
          <w:color w:val="231F20"/>
          <w:spacing w:val="-15"/>
          <w:w w:val="105"/>
        </w:rPr>
        <w:t> </w:t>
      </w:r>
      <w:r>
        <w:rPr>
          <w:color w:val="231F20"/>
          <w:w w:val="105"/>
        </w:rPr>
        <w:t>heterogénea</w:t>
      </w:r>
      <w:r>
        <w:rPr>
          <w:color w:val="231F20"/>
          <w:spacing w:val="-15"/>
          <w:w w:val="105"/>
        </w:rPr>
        <w:t> </w:t>
      </w:r>
      <w:r>
        <w:rPr>
          <w:color w:val="231F20"/>
          <w:w w:val="105"/>
        </w:rPr>
        <w:t>e</w:t>
      </w:r>
      <w:r>
        <w:rPr>
          <w:color w:val="231F20"/>
          <w:spacing w:val="-15"/>
          <w:w w:val="105"/>
        </w:rPr>
        <w:t> </w:t>
      </w:r>
      <w:r>
        <w:rPr>
          <w:color w:val="231F20"/>
          <w:w w:val="105"/>
        </w:rPr>
        <w:t>ideológi- camente</w:t>
      </w:r>
      <w:r>
        <w:rPr>
          <w:color w:val="231F20"/>
          <w:spacing w:val="-9"/>
          <w:w w:val="105"/>
        </w:rPr>
        <w:t> </w:t>
      </w:r>
      <w:r>
        <w:rPr>
          <w:color w:val="231F20"/>
          <w:w w:val="105"/>
        </w:rPr>
        <w:t>dispar</w:t>
      </w:r>
      <w:r>
        <w:rPr>
          <w:color w:val="231F20"/>
          <w:spacing w:val="-9"/>
          <w:w w:val="105"/>
        </w:rPr>
        <w:t> </w:t>
      </w:r>
      <w:r>
        <w:rPr>
          <w:color w:val="231F20"/>
          <w:w w:val="105"/>
        </w:rPr>
        <w:t>(tal</w:t>
      </w:r>
      <w:r>
        <w:rPr>
          <w:color w:val="231F20"/>
          <w:spacing w:val="-9"/>
          <w:w w:val="105"/>
        </w:rPr>
        <w:t> </w:t>
      </w:r>
      <w:r>
        <w:rPr>
          <w:color w:val="231F20"/>
          <w:w w:val="105"/>
        </w:rPr>
        <w:t>como</w:t>
      </w:r>
      <w:r>
        <w:rPr>
          <w:color w:val="231F20"/>
          <w:spacing w:val="-9"/>
          <w:w w:val="105"/>
        </w:rPr>
        <w:t> </w:t>
      </w:r>
      <w:r>
        <w:rPr>
          <w:color w:val="231F20"/>
          <w:w w:val="105"/>
        </w:rPr>
        <w:t>se</w:t>
      </w:r>
      <w:r>
        <w:rPr>
          <w:color w:val="231F20"/>
          <w:spacing w:val="-9"/>
          <w:w w:val="105"/>
        </w:rPr>
        <w:t> </w:t>
      </w:r>
      <w:r>
        <w:rPr>
          <w:color w:val="231F20"/>
          <w:w w:val="105"/>
        </w:rPr>
        <w:t>anota</w:t>
      </w:r>
      <w:r>
        <w:rPr>
          <w:color w:val="231F20"/>
          <w:spacing w:val="-9"/>
          <w:w w:val="105"/>
        </w:rPr>
        <w:t> </w:t>
      </w:r>
      <w:r>
        <w:rPr>
          <w:color w:val="231F20"/>
          <w:w w:val="105"/>
        </w:rPr>
        <w:t>más</w:t>
      </w:r>
      <w:r>
        <w:rPr>
          <w:color w:val="231F20"/>
          <w:spacing w:val="-9"/>
          <w:w w:val="105"/>
        </w:rPr>
        <w:t> </w:t>
      </w:r>
      <w:r>
        <w:rPr>
          <w:color w:val="231F20"/>
          <w:spacing w:val="-3"/>
          <w:w w:val="105"/>
        </w:rPr>
        <w:t>adelante),</w:t>
      </w:r>
      <w:r>
        <w:rPr>
          <w:color w:val="231F20"/>
          <w:spacing w:val="-9"/>
          <w:w w:val="105"/>
        </w:rPr>
        <w:t> </w:t>
      </w:r>
      <w:r>
        <w:rPr>
          <w:color w:val="231F20"/>
          <w:w w:val="105"/>
        </w:rPr>
        <w:t>que</w:t>
      </w:r>
      <w:r>
        <w:rPr>
          <w:color w:val="231F20"/>
          <w:spacing w:val="-9"/>
          <w:w w:val="105"/>
        </w:rPr>
        <w:t> </w:t>
      </w:r>
      <w:r>
        <w:rPr>
          <w:color w:val="231F20"/>
          <w:w w:val="105"/>
        </w:rPr>
        <w:t>fue</w:t>
      </w:r>
      <w:r>
        <w:rPr>
          <w:color w:val="231F20"/>
          <w:spacing w:val="-9"/>
          <w:w w:val="105"/>
        </w:rPr>
        <w:t> </w:t>
      </w:r>
      <w:r>
        <w:rPr>
          <w:color w:val="231F20"/>
          <w:w w:val="105"/>
        </w:rPr>
        <w:t>la</w:t>
      </w:r>
      <w:r>
        <w:rPr>
          <w:color w:val="231F20"/>
          <w:spacing w:val="-9"/>
          <w:w w:val="105"/>
        </w:rPr>
        <w:t> </w:t>
      </w:r>
      <w:r>
        <w:rPr>
          <w:color w:val="231F20"/>
          <w:w w:val="105"/>
        </w:rPr>
        <w:t>base</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ascenso</w:t>
      </w:r>
      <w:r>
        <w:rPr>
          <w:color w:val="231F20"/>
          <w:spacing w:val="-9"/>
          <w:w w:val="105"/>
        </w:rPr>
        <w:t> </w:t>
      </w:r>
      <w:r>
        <w:rPr>
          <w:color w:val="231F20"/>
          <w:w w:val="105"/>
        </w:rPr>
        <w:t>y</w:t>
      </w:r>
      <w:r>
        <w:rPr>
          <w:color w:val="231F20"/>
          <w:spacing w:val="-9"/>
          <w:w w:val="105"/>
        </w:rPr>
        <w:t> </w:t>
      </w:r>
      <w:r>
        <w:rPr>
          <w:color w:val="231F20"/>
          <w:w w:val="105"/>
        </w:rPr>
        <w:t>apoyo en</w:t>
      </w:r>
      <w:r>
        <w:rPr>
          <w:color w:val="231F20"/>
          <w:spacing w:val="-25"/>
          <w:w w:val="105"/>
        </w:rPr>
        <w:t> </w:t>
      </w:r>
      <w:r>
        <w:rPr>
          <w:color w:val="231F20"/>
          <w:w w:val="105"/>
        </w:rPr>
        <w:t>las</w:t>
      </w:r>
      <w:r>
        <w:rPr>
          <w:color w:val="231F20"/>
          <w:spacing w:val="-25"/>
          <w:w w:val="105"/>
        </w:rPr>
        <w:t> </w:t>
      </w:r>
      <w:r>
        <w:rPr>
          <w:color w:val="231F20"/>
          <w:w w:val="105"/>
        </w:rPr>
        <w:t>elecciones</w:t>
      </w:r>
      <w:r>
        <w:rPr>
          <w:color w:val="231F20"/>
          <w:spacing w:val="-25"/>
          <w:w w:val="105"/>
        </w:rPr>
        <w:t> </w:t>
      </w:r>
      <w:r>
        <w:rPr>
          <w:color w:val="231F20"/>
          <w:w w:val="105"/>
        </w:rPr>
        <w:t>de</w:t>
      </w:r>
      <w:r>
        <w:rPr>
          <w:color w:val="231F20"/>
          <w:spacing w:val="-25"/>
          <w:w w:val="105"/>
        </w:rPr>
        <w:t> </w:t>
      </w:r>
      <w:r>
        <w:rPr>
          <w:color w:val="231F20"/>
          <w:spacing w:val="2"/>
          <w:w w:val="105"/>
        </w:rPr>
        <w:t>2005.</w:t>
      </w:r>
    </w:p>
    <w:p>
      <w:pPr>
        <w:pStyle w:val="BodyText"/>
        <w:spacing w:before="1"/>
        <w:rPr>
          <w:sz w:val="26"/>
        </w:rPr>
      </w:pPr>
    </w:p>
    <w:p>
      <w:pPr>
        <w:pStyle w:val="BodyText"/>
        <w:spacing w:line="285" w:lineRule="auto"/>
        <w:ind w:left="110" w:right="108"/>
        <w:jc w:val="both"/>
      </w:pPr>
      <w:r>
        <w:rPr>
          <w:color w:val="231F20"/>
          <w:w w:val="105"/>
        </w:rPr>
        <w:t>Para el proceso del año 2005, año de campaña donde se fraguó el triunfo del PRI y del actual presidente municipal de Tepotzotlán, se hace bajo el cobijo de las acciones siguientes:</w:t>
      </w:r>
    </w:p>
    <w:p>
      <w:pPr>
        <w:pStyle w:val="BodyText"/>
        <w:spacing w:before="1"/>
        <w:ind w:left="677"/>
        <w:jc w:val="both"/>
      </w:pPr>
      <w:r>
        <w:rPr>
          <w:color w:val="231F20"/>
          <w:w w:val="105"/>
        </w:rPr>
        <w:t>Campaña gigantesca de propaganda de imagen de Enrique Peña Nieto.</w:t>
      </w:r>
    </w:p>
    <w:p>
      <w:pPr>
        <w:pStyle w:val="BodyText"/>
        <w:spacing w:line="285" w:lineRule="auto" w:before="47"/>
        <w:ind w:left="677" w:right="108"/>
        <w:jc w:val="both"/>
      </w:pPr>
      <w:r>
        <w:rPr>
          <w:color w:val="231F20"/>
          <w:w w:val="105"/>
        </w:rPr>
        <w:t>Matizar</w:t>
      </w:r>
      <w:r>
        <w:rPr>
          <w:color w:val="231F20"/>
          <w:spacing w:val="-9"/>
          <w:w w:val="105"/>
        </w:rPr>
        <w:t> </w:t>
      </w:r>
      <w:r>
        <w:rPr>
          <w:color w:val="231F20"/>
          <w:w w:val="105"/>
        </w:rPr>
        <w:t>la</w:t>
      </w:r>
      <w:r>
        <w:rPr>
          <w:color w:val="231F20"/>
          <w:spacing w:val="-9"/>
          <w:w w:val="105"/>
        </w:rPr>
        <w:t> </w:t>
      </w:r>
      <w:r>
        <w:rPr>
          <w:color w:val="231F20"/>
          <w:w w:val="105"/>
        </w:rPr>
        <w:t>imagen</w:t>
      </w:r>
      <w:r>
        <w:rPr>
          <w:color w:val="231F20"/>
          <w:spacing w:val="-9"/>
          <w:w w:val="105"/>
        </w:rPr>
        <w:t> </w:t>
      </w:r>
      <w:r>
        <w:rPr>
          <w:color w:val="231F20"/>
          <w:w w:val="105"/>
        </w:rPr>
        <w:t>con</w:t>
      </w:r>
      <w:r>
        <w:rPr>
          <w:color w:val="231F20"/>
          <w:spacing w:val="-9"/>
          <w:w w:val="105"/>
        </w:rPr>
        <w:t> </w:t>
      </w:r>
      <w:r>
        <w:rPr>
          <w:color w:val="231F20"/>
          <w:w w:val="105"/>
        </w:rPr>
        <w:t>apoyo</w:t>
      </w:r>
      <w:r>
        <w:rPr>
          <w:color w:val="231F20"/>
          <w:spacing w:val="-9"/>
          <w:w w:val="105"/>
        </w:rPr>
        <w:t> </w:t>
      </w:r>
      <w:r>
        <w:rPr>
          <w:color w:val="231F20"/>
          <w:w w:val="105"/>
        </w:rPr>
        <w:t>directo</w:t>
      </w:r>
      <w:r>
        <w:rPr>
          <w:color w:val="231F20"/>
          <w:spacing w:val="-9"/>
          <w:w w:val="105"/>
        </w:rPr>
        <w:t> </w:t>
      </w:r>
      <w:r>
        <w:rPr>
          <w:color w:val="231F20"/>
          <w:w w:val="105"/>
        </w:rPr>
        <w:t>del</w:t>
      </w:r>
      <w:r>
        <w:rPr>
          <w:color w:val="231F20"/>
          <w:spacing w:val="-9"/>
          <w:w w:val="105"/>
        </w:rPr>
        <w:t> </w:t>
      </w:r>
      <w:r>
        <w:rPr>
          <w:color w:val="231F20"/>
          <w:w w:val="105"/>
        </w:rPr>
        <w:t>programa</w:t>
      </w:r>
      <w:r>
        <w:rPr>
          <w:color w:val="231F20"/>
          <w:spacing w:val="-9"/>
          <w:w w:val="105"/>
        </w:rPr>
        <w:t> </w:t>
      </w:r>
      <w:r>
        <w:rPr>
          <w:color w:val="231F20"/>
          <w:w w:val="105"/>
        </w:rPr>
        <w:t>de</w:t>
      </w:r>
      <w:r>
        <w:rPr>
          <w:color w:val="231F20"/>
          <w:spacing w:val="-9"/>
          <w:w w:val="105"/>
        </w:rPr>
        <w:t> </w:t>
      </w:r>
      <w:r>
        <w:rPr>
          <w:color w:val="231F20"/>
          <w:w w:val="105"/>
        </w:rPr>
        <w:t>Regionalización,</w:t>
      </w:r>
      <w:r>
        <w:rPr>
          <w:color w:val="231F20"/>
          <w:spacing w:val="-9"/>
          <w:w w:val="105"/>
        </w:rPr>
        <w:t> </w:t>
      </w:r>
      <w:r>
        <w:rPr>
          <w:color w:val="231F20"/>
          <w:w w:val="105"/>
        </w:rPr>
        <w:t>se</w:t>
      </w:r>
      <w:r>
        <w:rPr>
          <w:color w:val="231F20"/>
          <w:spacing w:val="-9"/>
          <w:w w:val="105"/>
        </w:rPr>
        <w:t> </w:t>
      </w:r>
      <w:r>
        <w:rPr>
          <w:color w:val="231F20"/>
          <w:w w:val="105"/>
        </w:rPr>
        <w:t>regala diario</w:t>
      </w:r>
      <w:r>
        <w:rPr>
          <w:color w:val="231F20"/>
          <w:spacing w:val="-15"/>
          <w:w w:val="105"/>
        </w:rPr>
        <w:t> </w:t>
      </w:r>
      <w:r>
        <w:rPr>
          <w:color w:val="231F20"/>
          <w:w w:val="105"/>
        </w:rPr>
        <w:t>material</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construcción</w:t>
      </w:r>
      <w:r>
        <w:rPr>
          <w:color w:val="231F20"/>
          <w:spacing w:val="-15"/>
          <w:w w:val="105"/>
        </w:rPr>
        <w:t> </w:t>
      </w:r>
      <w:r>
        <w:rPr>
          <w:color w:val="231F20"/>
          <w:w w:val="105"/>
        </w:rPr>
        <w:t>y</w:t>
      </w:r>
      <w:r>
        <w:rPr>
          <w:color w:val="231F20"/>
          <w:spacing w:val="-15"/>
          <w:w w:val="105"/>
        </w:rPr>
        <w:t> </w:t>
      </w:r>
      <w:r>
        <w:rPr>
          <w:color w:val="231F20"/>
          <w:w w:val="105"/>
        </w:rPr>
        <w:t>específicamente</w:t>
      </w:r>
      <w:r>
        <w:rPr>
          <w:color w:val="231F20"/>
          <w:spacing w:val="-15"/>
          <w:w w:val="105"/>
        </w:rPr>
        <w:t> </w:t>
      </w:r>
      <w:r>
        <w:rPr>
          <w:color w:val="231F20"/>
          <w:w w:val="105"/>
        </w:rPr>
        <w:t>esto</w:t>
      </w:r>
      <w:r>
        <w:rPr>
          <w:color w:val="231F20"/>
          <w:spacing w:val="-15"/>
          <w:w w:val="105"/>
        </w:rPr>
        <w:t> </w:t>
      </w:r>
      <w:r>
        <w:rPr>
          <w:color w:val="231F20"/>
          <w:w w:val="105"/>
        </w:rPr>
        <w:t>se</w:t>
      </w:r>
      <w:r>
        <w:rPr>
          <w:color w:val="231F20"/>
          <w:spacing w:val="-15"/>
          <w:w w:val="105"/>
        </w:rPr>
        <w:t> </w:t>
      </w:r>
      <w:r>
        <w:rPr>
          <w:color w:val="231F20"/>
          <w:w w:val="105"/>
        </w:rPr>
        <w:t>desarrolla</w:t>
      </w:r>
      <w:r>
        <w:rPr>
          <w:color w:val="231F20"/>
          <w:spacing w:val="-15"/>
          <w:w w:val="105"/>
        </w:rPr>
        <w:t> </w:t>
      </w:r>
      <w:r>
        <w:rPr>
          <w:color w:val="231F20"/>
          <w:w w:val="105"/>
        </w:rPr>
        <w:t>en</w:t>
      </w:r>
      <w:r>
        <w:rPr>
          <w:color w:val="231F20"/>
          <w:spacing w:val="-15"/>
          <w:w w:val="105"/>
        </w:rPr>
        <w:t> </w:t>
      </w:r>
      <w:r>
        <w:rPr>
          <w:color w:val="231F20"/>
          <w:w w:val="105"/>
        </w:rPr>
        <w:t>zonas de influencia</w:t>
      </w:r>
      <w:r>
        <w:rPr>
          <w:color w:val="231F20"/>
          <w:spacing w:val="-22"/>
          <w:w w:val="105"/>
        </w:rPr>
        <w:t> </w:t>
      </w:r>
      <w:r>
        <w:rPr>
          <w:color w:val="231F20"/>
          <w:w w:val="105"/>
        </w:rPr>
        <w:t>priísta.</w:t>
      </w:r>
    </w:p>
    <w:p>
      <w:pPr>
        <w:pStyle w:val="BodyText"/>
        <w:spacing w:before="1"/>
        <w:rPr>
          <w:sz w:val="26"/>
        </w:rPr>
      </w:pPr>
    </w:p>
    <w:p>
      <w:pPr>
        <w:pStyle w:val="BodyText"/>
        <w:spacing w:line="285" w:lineRule="auto"/>
        <w:ind w:left="110" w:right="107"/>
        <w:jc w:val="both"/>
      </w:pPr>
      <w:r>
        <w:rPr>
          <w:color w:val="231F20"/>
          <w:w w:val="105"/>
        </w:rPr>
        <w:t>Los</w:t>
      </w:r>
      <w:r>
        <w:rPr>
          <w:color w:val="231F20"/>
          <w:spacing w:val="-14"/>
          <w:w w:val="105"/>
        </w:rPr>
        <w:t> </w:t>
      </w:r>
      <w:r>
        <w:rPr>
          <w:color w:val="231F20"/>
          <w:w w:val="105"/>
        </w:rPr>
        <w:t>hechos</w:t>
      </w:r>
      <w:r>
        <w:rPr>
          <w:color w:val="231F20"/>
          <w:spacing w:val="-14"/>
          <w:w w:val="105"/>
        </w:rPr>
        <w:t> </w:t>
      </w:r>
      <w:r>
        <w:rPr>
          <w:color w:val="231F20"/>
          <w:w w:val="105"/>
        </w:rPr>
        <w:t>constatados</w:t>
      </w:r>
      <w:r>
        <w:rPr>
          <w:color w:val="231F20"/>
          <w:spacing w:val="-14"/>
          <w:w w:val="105"/>
        </w:rPr>
        <w:t> </w:t>
      </w:r>
      <w:r>
        <w:rPr>
          <w:color w:val="231F20"/>
          <w:w w:val="105"/>
        </w:rPr>
        <w:t>por</w:t>
      </w:r>
      <w:r>
        <w:rPr>
          <w:color w:val="231F20"/>
          <w:spacing w:val="-14"/>
          <w:w w:val="105"/>
        </w:rPr>
        <w:t> </w:t>
      </w:r>
      <w:r>
        <w:rPr>
          <w:color w:val="231F20"/>
          <w:w w:val="105"/>
        </w:rPr>
        <w:t>las</w:t>
      </w:r>
      <w:r>
        <w:rPr>
          <w:color w:val="231F20"/>
          <w:spacing w:val="-14"/>
          <w:w w:val="105"/>
        </w:rPr>
        <w:t> </w:t>
      </w:r>
      <w:r>
        <w:rPr>
          <w:color w:val="231F20"/>
          <w:w w:val="105"/>
        </w:rPr>
        <w:t>prensa</w:t>
      </w:r>
      <w:r>
        <w:rPr>
          <w:color w:val="231F20"/>
          <w:spacing w:val="-14"/>
          <w:w w:val="105"/>
        </w:rPr>
        <w:t> </w:t>
      </w:r>
      <w:r>
        <w:rPr>
          <w:color w:val="231F20"/>
          <w:w w:val="105"/>
        </w:rPr>
        <w:t>local</w:t>
      </w:r>
      <w:r>
        <w:rPr>
          <w:color w:val="231F20"/>
          <w:spacing w:val="-14"/>
          <w:w w:val="105"/>
        </w:rPr>
        <w:t> </w:t>
      </w:r>
      <w:r>
        <w:rPr>
          <w:color w:val="231F20"/>
          <w:w w:val="105"/>
        </w:rPr>
        <w:t>y</w:t>
      </w:r>
      <w:r>
        <w:rPr>
          <w:color w:val="231F20"/>
          <w:spacing w:val="-14"/>
          <w:w w:val="105"/>
        </w:rPr>
        <w:t> </w:t>
      </w:r>
      <w:r>
        <w:rPr>
          <w:color w:val="231F20"/>
          <w:w w:val="105"/>
        </w:rPr>
        <w:t>nacional</w:t>
      </w:r>
      <w:r>
        <w:rPr>
          <w:color w:val="231F20"/>
          <w:spacing w:val="-14"/>
          <w:w w:val="105"/>
        </w:rPr>
        <w:t> </w:t>
      </w:r>
      <w:r>
        <w:rPr>
          <w:color w:val="231F20"/>
          <w:w w:val="105"/>
        </w:rPr>
        <w:t>indican</w:t>
      </w:r>
      <w:r>
        <w:rPr>
          <w:color w:val="231F20"/>
          <w:spacing w:val="-14"/>
          <w:w w:val="105"/>
        </w:rPr>
        <w:t> </w:t>
      </w:r>
      <w:r>
        <w:rPr>
          <w:color w:val="231F20"/>
          <w:w w:val="105"/>
        </w:rPr>
        <w:t>la</w:t>
      </w:r>
      <w:r>
        <w:rPr>
          <w:color w:val="231F20"/>
          <w:spacing w:val="-14"/>
          <w:w w:val="105"/>
        </w:rPr>
        <w:t> </w:t>
      </w:r>
      <w:r>
        <w:rPr>
          <w:color w:val="231F20"/>
          <w:w w:val="105"/>
        </w:rPr>
        <w:t>búsqueda</w:t>
      </w:r>
      <w:r>
        <w:rPr>
          <w:color w:val="231F20"/>
          <w:spacing w:val="-14"/>
          <w:w w:val="105"/>
        </w:rPr>
        <w:t> </w:t>
      </w:r>
      <w:r>
        <w:rPr>
          <w:color w:val="231F20"/>
          <w:w w:val="105"/>
        </w:rPr>
        <w:t>de</w:t>
      </w:r>
      <w:r>
        <w:rPr>
          <w:color w:val="231F20"/>
          <w:spacing w:val="-14"/>
          <w:w w:val="105"/>
        </w:rPr>
        <w:t> </w:t>
      </w:r>
      <w:r>
        <w:rPr>
          <w:color w:val="231F20"/>
          <w:w w:val="105"/>
        </w:rPr>
        <w:t>control</w:t>
      </w:r>
      <w:r>
        <w:rPr>
          <w:color w:val="231F20"/>
          <w:spacing w:val="-14"/>
          <w:w w:val="105"/>
        </w:rPr>
        <w:t> </w:t>
      </w:r>
      <w:r>
        <w:rPr>
          <w:color w:val="231F20"/>
          <w:w w:val="105"/>
        </w:rPr>
        <w:t>y de una estrategia frontal de posicionamiento: para captar votos se reparten materiales de construcción y despensas, se condicionan los programas de apoyo municipal, hay entrega</w:t>
      </w:r>
      <w:r>
        <w:rPr>
          <w:color w:val="231F20"/>
          <w:spacing w:val="-27"/>
          <w:w w:val="105"/>
        </w:rPr>
        <w:t> </w:t>
      </w:r>
      <w:r>
        <w:rPr>
          <w:color w:val="231F20"/>
          <w:w w:val="105"/>
        </w:rPr>
        <w:t>anticipada</w:t>
      </w:r>
      <w:r>
        <w:rPr>
          <w:color w:val="231F20"/>
          <w:spacing w:val="-27"/>
          <w:w w:val="105"/>
        </w:rPr>
        <w:t> </w:t>
      </w:r>
      <w:r>
        <w:rPr>
          <w:color w:val="231F20"/>
          <w:w w:val="105"/>
        </w:rPr>
        <w:t>de</w:t>
      </w:r>
      <w:r>
        <w:rPr>
          <w:color w:val="231F20"/>
          <w:spacing w:val="-27"/>
          <w:w w:val="105"/>
        </w:rPr>
        <w:t> </w:t>
      </w:r>
      <w:r>
        <w:rPr>
          <w:color w:val="231F20"/>
          <w:w w:val="105"/>
        </w:rPr>
        <w:t>útiles</w:t>
      </w:r>
      <w:r>
        <w:rPr>
          <w:color w:val="231F20"/>
          <w:spacing w:val="-27"/>
          <w:w w:val="105"/>
        </w:rPr>
        <w:t> </w:t>
      </w:r>
      <w:r>
        <w:rPr>
          <w:color w:val="231F20"/>
          <w:w w:val="105"/>
        </w:rPr>
        <w:t>escolares</w:t>
      </w:r>
      <w:r>
        <w:rPr>
          <w:color w:val="231F20"/>
          <w:spacing w:val="-27"/>
          <w:w w:val="105"/>
        </w:rPr>
        <w:t> </w:t>
      </w:r>
      <w:r>
        <w:rPr>
          <w:color w:val="231F20"/>
          <w:w w:val="105"/>
        </w:rPr>
        <w:t>y</w:t>
      </w:r>
      <w:r>
        <w:rPr>
          <w:color w:val="231F20"/>
          <w:spacing w:val="-27"/>
          <w:w w:val="105"/>
        </w:rPr>
        <w:t> </w:t>
      </w:r>
      <w:r>
        <w:rPr>
          <w:color w:val="231F20"/>
          <w:w w:val="105"/>
        </w:rPr>
        <w:t>utilización</w:t>
      </w:r>
      <w:r>
        <w:rPr>
          <w:color w:val="231F20"/>
          <w:spacing w:val="-27"/>
          <w:w w:val="105"/>
        </w:rPr>
        <w:t> </w:t>
      </w:r>
      <w:r>
        <w:rPr>
          <w:color w:val="231F20"/>
          <w:w w:val="105"/>
        </w:rPr>
        <w:t>de</w:t>
      </w:r>
      <w:r>
        <w:rPr>
          <w:color w:val="231F20"/>
          <w:spacing w:val="-27"/>
          <w:w w:val="105"/>
        </w:rPr>
        <w:t> </w:t>
      </w:r>
      <w:r>
        <w:rPr>
          <w:color w:val="231F20"/>
          <w:w w:val="105"/>
        </w:rPr>
        <w:t>sindicatos,</w:t>
      </w:r>
      <w:r>
        <w:rPr>
          <w:color w:val="231F20"/>
          <w:spacing w:val="-27"/>
          <w:w w:val="105"/>
        </w:rPr>
        <w:t> </w:t>
      </w:r>
      <w:r>
        <w:rPr>
          <w:color w:val="231F20"/>
          <w:w w:val="105"/>
        </w:rPr>
        <w:t>organizaciones</w:t>
      </w:r>
      <w:r>
        <w:rPr>
          <w:color w:val="231F20"/>
          <w:spacing w:val="-27"/>
          <w:w w:val="105"/>
        </w:rPr>
        <w:t> </w:t>
      </w:r>
      <w:r>
        <w:rPr>
          <w:color w:val="231F20"/>
          <w:w w:val="105"/>
        </w:rPr>
        <w:t>sociales y de transporte, además de visitas recurrentes del gobernador </w:t>
      </w:r>
      <w:r>
        <w:rPr>
          <w:color w:val="231F20"/>
          <w:spacing w:val="2"/>
          <w:w w:val="105"/>
        </w:rPr>
        <w:t>Arturo </w:t>
      </w:r>
      <w:r>
        <w:rPr>
          <w:color w:val="231F20"/>
          <w:w w:val="105"/>
        </w:rPr>
        <w:t>Montiel Rojas, mientras</w:t>
      </w:r>
      <w:r>
        <w:rPr>
          <w:color w:val="231F20"/>
          <w:spacing w:val="-8"/>
          <w:w w:val="105"/>
        </w:rPr>
        <w:t> </w:t>
      </w:r>
      <w:r>
        <w:rPr>
          <w:color w:val="231F20"/>
          <w:w w:val="105"/>
        </w:rPr>
        <w:t>el</w:t>
      </w:r>
      <w:r>
        <w:rPr>
          <w:color w:val="231F20"/>
          <w:spacing w:val="-8"/>
          <w:w w:val="105"/>
        </w:rPr>
        <w:t> </w:t>
      </w:r>
      <w:r>
        <w:rPr>
          <w:color w:val="231F20"/>
          <w:w w:val="105"/>
        </w:rPr>
        <w:t>candidato</w:t>
      </w:r>
      <w:r>
        <w:rPr>
          <w:color w:val="231F20"/>
          <w:spacing w:val="-8"/>
          <w:w w:val="105"/>
        </w:rPr>
        <w:t> </w:t>
      </w:r>
      <w:r>
        <w:rPr>
          <w:color w:val="231F20"/>
          <w:w w:val="105"/>
        </w:rPr>
        <w:t>del</w:t>
      </w:r>
      <w:r>
        <w:rPr>
          <w:color w:val="231F20"/>
          <w:spacing w:val="-8"/>
          <w:w w:val="105"/>
        </w:rPr>
        <w:t> </w:t>
      </w:r>
      <w:r>
        <w:rPr>
          <w:color w:val="231F20"/>
          <w:w w:val="105"/>
        </w:rPr>
        <w:t>tricolor</w:t>
      </w:r>
      <w:r>
        <w:rPr>
          <w:color w:val="231F20"/>
          <w:spacing w:val="-8"/>
          <w:w w:val="105"/>
        </w:rPr>
        <w:t> </w:t>
      </w:r>
      <w:r>
        <w:rPr>
          <w:color w:val="231F20"/>
          <w:w w:val="105"/>
        </w:rPr>
        <w:t>visita</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menos</w:t>
      </w:r>
      <w:r>
        <w:rPr>
          <w:color w:val="231F20"/>
          <w:spacing w:val="-8"/>
          <w:w w:val="105"/>
        </w:rPr>
        <w:t> </w:t>
      </w:r>
      <w:r>
        <w:rPr>
          <w:color w:val="231F20"/>
          <w:w w:val="105"/>
        </w:rPr>
        <w:t>una</w:t>
      </w:r>
      <w:r>
        <w:rPr>
          <w:color w:val="231F20"/>
          <w:spacing w:val="-8"/>
          <w:w w:val="105"/>
        </w:rPr>
        <w:t> </w:t>
      </w:r>
      <w:r>
        <w:rPr>
          <w:color w:val="231F20"/>
          <w:w w:val="105"/>
        </w:rPr>
        <w:t>vez</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semana</w:t>
      </w:r>
      <w:r>
        <w:rPr>
          <w:color w:val="231F20"/>
          <w:spacing w:val="-8"/>
          <w:w w:val="105"/>
        </w:rPr>
        <w:t> </w:t>
      </w:r>
      <w:r>
        <w:rPr>
          <w:color w:val="231F20"/>
          <w:w w:val="105"/>
        </w:rPr>
        <w:t>la</w:t>
      </w:r>
      <w:r>
        <w:rPr>
          <w:color w:val="231F20"/>
          <w:spacing w:val="-8"/>
          <w:w w:val="105"/>
        </w:rPr>
        <w:t> </w:t>
      </w:r>
      <w:r>
        <w:rPr>
          <w:color w:val="231F20"/>
          <w:w w:val="105"/>
        </w:rPr>
        <w:t>localidad” (La</w:t>
      </w:r>
      <w:r>
        <w:rPr>
          <w:color w:val="231F20"/>
          <w:spacing w:val="-40"/>
          <w:w w:val="105"/>
        </w:rPr>
        <w:t> </w:t>
      </w:r>
      <w:r>
        <w:rPr>
          <w:color w:val="231F20"/>
          <w:w w:val="105"/>
        </w:rPr>
        <w:t>Jornada,</w:t>
      </w:r>
      <w:r>
        <w:rPr>
          <w:color w:val="231F20"/>
          <w:spacing w:val="-40"/>
          <w:w w:val="105"/>
        </w:rPr>
        <w:t> </w:t>
      </w:r>
      <w:r>
        <w:rPr>
          <w:color w:val="231F20"/>
          <w:w w:val="105"/>
        </w:rPr>
        <w:t>2005)</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El PRI mantiene consistencia en su finalidad primaria, que es ganar votos. El proceso que sigue no es nuevo en la historia reciente en el Estado de México, sin embargo re- vela la disciplina e integración organizacional de sus bases, territoriales y de cuadros. Se pueden argumentar que es la disputa por el “botín electoral”, donde los liderazgos, más que preocupados por consolidar un proyecto de gobierno, tratan de mantener sus </w:t>
      </w:r>
      <w:r>
        <w:rPr>
          <w:color w:val="231F20"/>
        </w:rPr>
        <w:t>posiciones. (La Jornada, 2006).</w:t>
      </w:r>
    </w:p>
    <w:p>
      <w:pPr>
        <w:pStyle w:val="BodyText"/>
        <w:spacing w:before="1"/>
        <w:rPr>
          <w:sz w:val="26"/>
        </w:rPr>
      </w:pPr>
    </w:p>
    <w:p>
      <w:pPr>
        <w:pStyle w:val="BodyText"/>
        <w:spacing w:line="285" w:lineRule="auto"/>
        <w:ind w:left="110" w:right="107"/>
        <w:jc w:val="both"/>
      </w:pPr>
      <w:r>
        <w:rPr>
          <w:color w:val="231F20"/>
          <w:w w:val="105"/>
        </w:rPr>
        <w:t>Es posible reconocer que en zonas donde la importancia del número, -electoral y eco- nómica-, tiene incidencia es donde la influencia se deja sentir. Con ello se puede esta- blecer que quien tiene poder maneja recursos con los que puede influir en el curso de la acción política.</w:t>
      </w:r>
    </w:p>
    <w:p>
      <w:pPr>
        <w:pStyle w:val="BodyText"/>
        <w:spacing w:before="1"/>
        <w:rPr>
          <w:sz w:val="26"/>
        </w:rPr>
      </w:pPr>
    </w:p>
    <w:p>
      <w:pPr>
        <w:pStyle w:val="BodyText"/>
        <w:spacing w:line="285" w:lineRule="auto"/>
        <w:ind w:left="110" w:right="107"/>
        <w:jc w:val="both"/>
      </w:pPr>
      <w:r>
        <w:rPr>
          <w:color w:val="231F20"/>
          <w:spacing w:val="-3"/>
          <w:w w:val="105"/>
        </w:rPr>
        <w:t>Por </w:t>
      </w:r>
      <w:r>
        <w:rPr>
          <w:color w:val="231F20"/>
          <w:w w:val="105"/>
        </w:rPr>
        <w:t>su parte el Partido Acción Nacional </w:t>
      </w:r>
      <w:r>
        <w:rPr>
          <w:color w:val="231F20"/>
          <w:spacing w:val="-3"/>
          <w:w w:val="105"/>
        </w:rPr>
        <w:t>(PAN) </w:t>
      </w:r>
      <w:r>
        <w:rPr>
          <w:color w:val="231F20"/>
          <w:w w:val="105"/>
        </w:rPr>
        <w:t>en coalición con el Partido </w:t>
      </w:r>
      <w:r>
        <w:rPr>
          <w:color w:val="231F20"/>
          <w:spacing w:val="-5"/>
          <w:w w:val="105"/>
        </w:rPr>
        <w:t>Verde </w:t>
      </w:r>
      <w:r>
        <w:rPr>
          <w:color w:val="231F20"/>
          <w:w w:val="105"/>
        </w:rPr>
        <w:t>Eco- logista</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ganó</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elecciones</w:t>
      </w:r>
      <w:r>
        <w:rPr>
          <w:color w:val="231F20"/>
          <w:spacing w:val="-11"/>
          <w:w w:val="105"/>
        </w:rPr>
        <w:t> </w:t>
      </w:r>
      <w:r>
        <w:rPr>
          <w:color w:val="231F20"/>
          <w:w w:val="105"/>
        </w:rPr>
        <w:t>de</w:t>
      </w:r>
      <w:r>
        <w:rPr>
          <w:color w:val="231F20"/>
          <w:spacing w:val="-11"/>
          <w:w w:val="105"/>
        </w:rPr>
        <w:t> </w:t>
      </w:r>
      <w:r>
        <w:rPr>
          <w:color w:val="231F20"/>
          <w:spacing w:val="3"/>
          <w:w w:val="105"/>
        </w:rPr>
        <w:t>2000.</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spacing w:val="2"/>
          <w:w w:val="105"/>
        </w:rPr>
        <w:t>2003</w:t>
      </w:r>
      <w:r>
        <w:rPr>
          <w:color w:val="231F20"/>
          <w:spacing w:val="-11"/>
          <w:w w:val="105"/>
        </w:rPr>
        <w:t> </w:t>
      </w:r>
      <w:r>
        <w:rPr>
          <w:color w:val="231F20"/>
          <w:w w:val="105"/>
        </w:rPr>
        <w:t>nuevamente</w:t>
      </w:r>
      <w:r>
        <w:rPr>
          <w:color w:val="231F20"/>
          <w:spacing w:val="-11"/>
          <w:w w:val="105"/>
        </w:rPr>
        <w:t> </w:t>
      </w:r>
      <w:r>
        <w:rPr>
          <w:color w:val="231F20"/>
          <w:w w:val="105"/>
        </w:rPr>
        <w:t>lo</w:t>
      </w:r>
      <w:r>
        <w:rPr>
          <w:color w:val="231F20"/>
          <w:spacing w:val="-11"/>
          <w:w w:val="105"/>
        </w:rPr>
        <w:t> </w:t>
      </w:r>
      <w:r>
        <w:rPr>
          <w:color w:val="231F20"/>
          <w:w w:val="105"/>
        </w:rPr>
        <w:t>hizo. </w:t>
      </w:r>
      <w:r>
        <w:rPr>
          <w:color w:val="231F20"/>
          <w:spacing w:val="-3"/>
          <w:w w:val="105"/>
        </w:rPr>
        <w:t>Pero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spacing w:val="2"/>
          <w:w w:val="105"/>
        </w:rPr>
        <w:t>análisis</w:t>
      </w:r>
      <w:r>
        <w:rPr>
          <w:color w:val="231F20"/>
          <w:spacing w:val="-10"/>
          <w:w w:val="105"/>
        </w:rPr>
        <w:t> </w:t>
      </w:r>
      <w:r>
        <w:rPr>
          <w:color w:val="231F20"/>
          <w:w w:val="105"/>
        </w:rPr>
        <w:t>se</w:t>
      </w:r>
      <w:r>
        <w:rPr>
          <w:color w:val="231F20"/>
          <w:spacing w:val="-10"/>
          <w:w w:val="105"/>
        </w:rPr>
        <w:t> </w:t>
      </w:r>
      <w:r>
        <w:rPr>
          <w:color w:val="231F20"/>
          <w:w w:val="105"/>
        </w:rPr>
        <w:t>observa</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spacing w:val="-4"/>
          <w:w w:val="105"/>
        </w:rPr>
        <w:t>PAN</w:t>
      </w:r>
      <w:r>
        <w:rPr>
          <w:color w:val="231F20"/>
          <w:spacing w:val="-10"/>
          <w:w w:val="105"/>
        </w:rPr>
        <w:t> </w:t>
      </w:r>
      <w:r>
        <w:rPr>
          <w:color w:val="231F20"/>
          <w:w w:val="105"/>
        </w:rPr>
        <w:t>comienza</w:t>
      </w:r>
      <w:r>
        <w:rPr>
          <w:color w:val="231F20"/>
          <w:spacing w:val="-10"/>
          <w:w w:val="105"/>
        </w:rPr>
        <w:t> </w:t>
      </w:r>
      <w:r>
        <w:rPr>
          <w:color w:val="231F20"/>
          <w:spacing w:val="2"/>
          <w:w w:val="105"/>
        </w:rPr>
        <w:t>mirar</w:t>
      </w:r>
      <w:r>
        <w:rPr>
          <w:color w:val="231F20"/>
          <w:spacing w:val="-10"/>
          <w:w w:val="105"/>
        </w:rPr>
        <w:t> </w:t>
      </w:r>
      <w:r>
        <w:rPr>
          <w:color w:val="231F20"/>
          <w:w w:val="105"/>
        </w:rPr>
        <w:t>una</w:t>
      </w:r>
      <w:r>
        <w:rPr>
          <w:color w:val="231F20"/>
          <w:spacing w:val="-10"/>
          <w:w w:val="105"/>
        </w:rPr>
        <w:t> </w:t>
      </w:r>
      <w:r>
        <w:rPr>
          <w:color w:val="231F20"/>
          <w:w w:val="105"/>
        </w:rPr>
        <w:t>realidad</w:t>
      </w:r>
      <w:r>
        <w:rPr>
          <w:color w:val="231F20"/>
          <w:spacing w:val="-10"/>
          <w:w w:val="105"/>
        </w:rPr>
        <w:t> </w:t>
      </w:r>
      <w:r>
        <w:rPr>
          <w:color w:val="231F20"/>
          <w:w w:val="105"/>
        </w:rPr>
        <w:t>contrastante:</w:t>
      </w:r>
    </w:p>
    <w:p>
      <w:pPr>
        <w:pStyle w:val="BodyText"/>
        <w:spacing w:line="285" w:lineRule="auto" w:before="1"/>
        <w:ind w:left="677" w:right="107"/>
        <w:jc w:val="both"/>
      </w:pPr>
      <w:r>
        <w:rPr>
          <w:color w:val="231F20"/>
          <w:w w:val="105"/>
        </w:rPr>
        <w:t>Una</w:t>
      </w:r>
      <w:r>
        <w:rPr>
          <w:color w:val="231F20"/>
          <w:spacing w:val="-5"/>
          <w:w w:val="105"/>
        </w:rPr>
        <w:t> </w:t>
      </w:r>
      <w:r>
        <w:rPr>
          <w:color w:val="231F20"/>
          <w:w w:val="105"/>
        </w:rPr>
        <w:t>pérdida</w:t>
      </w:r>
      <w:r>
        <w:rPr>
          <w:color w:val="231F20"/>
          <w:spacing w:val="-5"/>
          <w:w w:val="105"/>
        </w:rPr>
        <w:t> </w:t>
      </w:r>
      <w:r>
        <w:rPr>
          <w:color w:val="231F20"/>
          <w:w w:val="105"/>
        </w:rPr>
        <w:t>de</w:t>
      </w:r>
      <w:r>
        <w:rPr>
          <w:color w:val="231F20"/>
          <w:spacing w:val="-5"/>
          <w:w w:val="105"/>
        </w:rPr>
        <w:t> </w:t>
      </w:r>
      <w:r>
        <w:rPr>
          <w:color w:val="231F20"/>
          <w:w w:val="105"/>
        </w:rPr>
        <w:t>votos</w:t>
      </w:r>
      <w:r>
        <w:rPr>
          <w:color w:val="231F20"/>
          <w:spacing w:val="-5"/>
          <w:w w:val="105"/>
        </w:rPr>
        <w:t> </w:t>
      </w:r>
      <w:r>
        <w:rPr>
          <w:color w:val="231F20"/>
          <w:w w:val="105"/>
        </w:rPr>
        <w:t>a</w:t>
      </w:r>
      <w:r>
        <w:rPr>
          <w:color w:val="231F20"/>
          <w:spacing w:val="-5"/>
          <w:w w:val="105"/>
        </w:rPr>
        <w:t> </w:t>
      </w:r>
      <w:r>
        <w:rPr>
          <w:color w:val="231F20"/>
          <w:w w:val="105"/>
        </w:rPr>
        <w:t>favor</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candidato,</w:t>
      </w:r>
      <w:r>
        <w:rPr>
          <w:color w:val="231F20"/>
          <w:spacing w:val="-5"/>
          <w:w w:val="105"/>
        </w:rPr>
        <w:t> </w:t>
      </w:r>
      <w:r>
        <w:rPr>
          <w:color w:val="231F20"/>
          <w:w w:val="105"/>
        </w:rPr>
        <w:t>Rubén</w:t>
      </w:r>
      <w:r>
        <w:rPr>
          <w:color w:val="231F20"/>
          <w:spacing w:val="-5"/>
          <w:w w:val="105"/>
        </w:rPr>
        <w:t> </w:t>
      </w:r>
      <w:r>
        <w:rPr>
          <w:color w:val="231F20"/>
          <w:w w:val="105"/>
        </w:rPr>
        <w:t>Mendoza</w:t>
      </w:r>
      <w:r>
        <w:rPr>
          <w:color w:val="231F20"/>
          <w:spacing w:val="-5"/>
          <w:w w:val="105"/>
        </w:rPr>
        <w:t> </w:t>
      </w:r>
      <w:r>
        <w:rPr>
          <w:color w:val="231F20"/>
          <w:w w:val="105"/>
        </w:rPr>
        <w:t>Ayala,</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en- cuestas preelectorales de la elección de </w:t>
      </w:r>
      <w:r>
        <w:rPr>
          <w:color w:val="231F20"/>
          <w:spacing w:val="-3"/>
          <w:w w:val="105"/>
        </w:rPr>
        <w:t>gobernador, </w:t>
      </w:r>
      <w:r>
        <w:rPr>
          <w:color w:val="231F20"/>
          <w:w w:val="105"/>
        </w:rPr>
        <w:t>debido a que no tiene una guía temática</w:t>
      </w:r>
      <w:r>
        <w:rPr>
          <w:color w:val="231F20"/>
          <w:spacing w:val="-26"/>
          <w:w w:val="105"/>
        </w:rPr>
        <w:t> </w:t>
      </w:r>
      <w:r>
        <w:rPr>
          <w:color w:val="231F20"/>
          <w:w w:val="105"/>
        </w:rPr>
        <w:t>coherente.</w:t>
      </w:r>
    </w:p>
    <w:p>
      <w:pPr>
        <w:pStyle w:val="BodyText"/>
        <w:spacing w:line="285" w:lineRule="auto" w:before="1"/>
        <w:ind w:left="677" w:right="109"/>
        <w:jc w:val="both"/>
      </w:pPr>
      <w:r>
        <w:rPr>
          <w:color w:val="231F20"/>
          <w:w w:val="105"/>
        </w:rPr>
        <w:t>La polémica desatada por la incorporación de Isidro Pastor Medrano, ex líder estatal del PRI.</w:t>
      </w:r>
    </w:p>
    <w:p>
      <w:pPr>
        <w:pStyle w:val="BodyText"/>
        <w:spacing w:before="1"/>
        <w:ind w:left="677"/>
        <w:jc w:val="both"/>
      </w:pPr>
      <w:r>
        <w:rPr>
          <w:color w:val="231F20"/>
          <w:w w:val="105"/>
        </w:rPr>
        <w:t>La ausencia de coordinación entre la estructura partidista local y la nacional.</w:t>
      </w:r>
    </w:p>
    <w:p>
      <w:pPr>
        <w:pStyle w:val="BodyText"/>
        <w:spacing w:before="2"/>
        <w:rPr>
          <w:sz w:val="30"/>
        </w:rPr>
      </w:pPr>
    </w:p>
    <w:p>
      <w:pPr>
        <w:pStyle w:val="BodyText"/>
        <w:ind w:left="110"/>
        <w:jc w:val="both"/>
      </w:pPr>
      <w:r>
        <w:rPr>
          <w:color w:val="231F20"/>
          <w:w w:val="105"/>
        </w:rPr>
        <w:t>En los hechos, el PAN adoptó estrategias que tiene que ver con:</w:t>
      </w:r>
    </w:p>
    <w:p>
      <w:pPr>
        <w:pStyle w:val="BodyText"/>
        <w:spacing w:line="285" w:lineRule="auto" w:before="47"/>
        <w:ind w:left="677" w:right="108"/>
        <w:jc w:val="both"/>
        <w:rPr>
          <w:sz w:val="13"/>
        </w:rPr>
      </w:pPr>
      <w:r>
        <w:rPr>
          <w:color w:val="231F20"/>
          <w:w w:val="105"/>
        </w:rPr>
        <w:t>Revertir los excesos de algunas de sus figuras públicas, para recuperar simpati- zantes</w:t>
      </w:r>
      <w:r>
        <w:rPr>
          <w:color w:val="231F20"/>
          <w:w w:val="105"/>
          <w:position w:val="7"/>
          <w:sz w:val="13"/>
        </w:rPr>
        <w:t>5</w:t>
      </w:r>
    </w:p>
    <w:p>
      <w:pPr>
        <w:pStyle w:val="BodyText"/>
        <w:spacing w:line="253" w:lineRule="exact"/>
        <w:ind w:left="677"/>
        <w:jc w:val="both"/>
      </w:pPr>
      <w:r>
        <w:rPr>
          <w:color w:val="231F20"/>
          <w:w w:val="105"/>
        </w:rPr>
        <w:t>Formar cuadros amplios y con una imagen incluyente.</w:t>
      </w:r>
    </w:p>
    <w:p>
      <w:pPr>
        <w:pStyle w:val="BodyText"/>
        <w:spacing w:before="47"/>
        <w:ind w:left="677"/>
        <w:jc w:val="both"/>
      </w:pPr>
      <w:r>
        <w:rPr>
          <w:color w:val="231F20"/>
          <w:w w:val="105"/>
        </w:rPr>
        <w:t>Consolidar los espacios ganados en elecciones previas con la confrontación  de</w:t>
      </w:r>
    </w:p>
    <w:p>
      <w:pPr>
        <w:pStyle w:val="BodyText"/>
        <w:spacing w:before="47"/>
        <w:ind w:left="110"/>
        <w:jc w:val="both"/>
      </w:pPr>
      <w:r>
        <w:rPr>
          <w:color w:val="231F20"/>
          <w:w w:val="94"/>
          <w:u w:val="single" w:color="231F20"/>
        </w:rPr>
        <w:t> </w:t>
      </w:r>
      <w:r>
        <w:rPr>
          <w:color w:val="231F20"/>
          <w:u w:val="single" w:color="231F20"/>
        </w:rPr>
        <w:t>         ideas y po</w:t>
      </w:r>
      <w:r>
        <w:rPr>
          <w:color w:val="231F20"/>
        </w:rPr>
        <w:t>sturas ante el</w:t>
      </w:r>
      <w:r>
        <w:rPr>
          <w:color w:val="231F20"/>
          <w:spacing w:val="53"/>
        </w:rPr>
        <w:t> </w:t>
      </w:r>
      <w:r>
        <w:rPr>
          <w:color w:val="231F20"/>
        </w:rPr>
        <w:t>PRI.</w:t>
      </w:r>
    </w:p>
    <w:p>
      <w:pPr>
        <w:pStyle w:val="ListParagraph"/>
        <w:numPr>
          <w:ilvl w:val="0"/>
          <w:numId w:val="12"/>
        </w:numPr>
        <w:tabs>
          <w:tab w:pos="219" w:val="left" w:leader="none"/>
        </w:tabs>
        <w:spacing w:line="244" w:lineRule="auto" w:before="100" w:after="0"/>
        <w:ind w:left="110" w:right="108" w:firstLine="0"/>
        <w:jc w:val="both"/>
        <w:rPr>
          <w:sz w:val="16"/>
        </w:rPr>
      </w:pPr>
      <w:r>
        <w:rPr>
          <w:color w:val="231F20"/>
          <w:sz w:val="16"/>
        </w:rPr>
        <w:t>El</w:t>
      </w:r>
      <w:r>
        <w:rPr>
          <w:color w:val="231F20"/>
          <w:spacing w:val="-11"/>
          <w:sz w:val="16"/>
        </w:rPr>
        <w:t> </w:t>
      </w:r>
      <w:r>
        <w:rPr>
          <w:color w:val="231F20"/>
          <w:spacing w:val="-4"/>
          <w:sz w:val="16"/>
        </w:rPr>
        <w:t>PAN</w:t>
      </w:r>
      <w:r>
        <w:rPr>
          <w:color w:val="231F20"/>
          <w:spacing w:val="-11"/>
          <w:sz w:val="16"/>
        </w:rPr>
        <w:t> </w:t>
      </w:r>
      <w:r>
        <w:rPr>
          <w:color w:val="231F20"/>
          <w:sz w:val="16"/>
        </w:rPr>
        <w:t>apuesta</w:t>
      </w:r>
      <w:r>
        <w:rPr>
          <w:color w:val="231F20"/>
          <w:spacing w:val="-11"/>
          <w:sz w:val="16"/>
        </w:rPr>
        <w:t> </w:t>
      </w:r>
      <w:r>
        <w:rPr>
          <w:color w:val="231F20"/>
          <w:sz w:val="16"/>
        </w:rPr>
        <w:t>a</w:t>
      </w:r>
      <w:r>
        <w:rPr>
          <w:color w:val="231F20"/>
          <w:spacing w:val="-11"/>
          <w:sz w:val="16"/>
        </w:rPr>
        <w:t> </w:t>
      </w:r>
      <w:r>
        <w:rPr>
          <w:color w:val="231F20"/>
          <w:sz w:val="16"/>
        </w:rPr>
        <w:t>recuperar</w:t>
      </w:r>
      <w:r>
        <w:rPr>
          <w:color w:val="231F20"/>
          <w:spacing w:val="-11"/>
          <w:sz w:val="16"/>
        </w:rPr>
        <w:t> </w:t>
      </w:r>
      <w:r>
        <w:rPr>
          <w:color w:val="231F20"/>
          <w:sz w:val="16"/>
        </w:rPr>
        <w:t>a</w:t>
      </w:r>
      <w:r>
        <w:rPr>
          <w:color w:val="231F20"/>
          <w:spacing w:val="-11"/>
          <w:sz w:val="16"/>
        </w:rPr>
        <w:t> </w:t>
      </w:r>
      <w:r>
        <w:rPr>
          <w:color w:val="231F20"/>
          <w:sz w:val="16"/>
        </w:rPr>
        <w:t>los</w:t>
      </w:r>
      <w:r>
        <w:rPr>
          <w:color w:val="231F20"/>
          <w:spacing w:val="-11"/>
          <w:sz w:val="16"/>
        </w:rPr>
        <w:t> </w:t>
      </w:r>
      <w:r>
        <w:rPr>
          <w:color w:val="231F20"/>
          <w:sz w:val="16"/>
        </w:rPr>
        <w:t>simpatizantes</w:t>
      </w:r>
      <w:r>
        <w:rPr>
          <w:color w:val="231F20"/>
          <w:spacing w:val="-11"/>
          <w:sz w:val="16"/>
        </w:rPr>
        <w:t> </w:t>
      </w:r>
      <w:r>
        <w:rPr>
          <w:color w:val="231F20"/>
          <w:sz w:val="16"/>
        </w:rPr>
        <w:t>que</w:t>
      </w:r>
      <w:r>
        <w:rPr>
          <w:color w:val="231F20"/>
          <w:spacing w:val="-11"/>
          <w:sz w:val="16"/>
        </w:rPr>
        <w:t> </w:t>
      </w:r>
      <w:r>
        <w:rPr>
          <w:color w:val="231F20"/>
          <w:sz w:val="16"/>
        </w:rPr>
        <w:t>perdió</w:t>
      </w:r>
      <w:r>
        <w:rPr>
          <w:color w:val="231F20"/>
          <w:spacing w:val="-11"/>
          <w:sz w:val="16"/>
        </w:rPr>
        <w:t> </w:t>
      </w:r>
      <w:r>
        <w:rPr>
          <w:color w:val="231F20"/>
          <w:sz w:val="16"/>
        </w:rPr>
        <w:t>con</w:t>
      </w:r>
      <w:r>
        <w:rPr>
          <w:color w:val="231F20"/>
          <w:spacing w:val="-11"/>
          <w:sz w:val="16"/>
        </w:rPr>
        <w:t> </w:t>
      </w:r>
      <w:r>
        <w:rPr>
          <w:color w:val="231F20"/>
          <w:sz w:val="16"/>
        </w:rPr>
        <w:t>el</w:t>
      </w:r>
      <w:r>
        <w:rPr>
          <w:color w:val="231F20"/>
          <w:spacing w:val="-11"/>
          <w:sz w:val="16"/>
        </w:rPr>
        <w:t> </w:t>
      </w:r>
      <w:r>
        <w:rPr>
          <w:color w:val="231F20"/>
          <w:sz w:val="16"/>
        </w:rPr>
        <w:t>gobierno</w:t>
      </w:r>
      <w:r>
        <w:rPr>
          <w:color w:val="231F20"/>
          <w:spacing w:val="-11"/>
          <w:sz w:val="16"/>
        </w:rPr>
        <w:t> </w:t>
      </w:r>
      <w:r>
        <w:rPr>
          <w:color w:val="231F20"/>
          <w:sz w:val="16"/>
        </w:rPr>
        <w:t>municipal</w:t>
      </w:r>
      <w:r>
        <w:rPr>
          <w:color w:val="231F20"/>
          <w:spacing w:val="-11"/>
          <w:sz w:val="16"/>
        </w:rPr>
        <w:t> </w:t>
      </w:r>
      <w:r>
        <w:rPr>
          <w:color w:val="231F20"/>
          <w:sz w:val="16"/>
        </w:rPr>
        <w:t>del</w:t>
      </w:r>
      <w:r>
        <w:rPr>
          <w:color w:val="231F20"/>
          <w:spacing w:val="-11"/>
          <w:sz w:val="16"/>
        </w:rPr>
        <w:t> </w:t>
      </w:r>
      <w:r>
        <w:rPr>
          <w:color w:val="231F20"/>
          <w:sz w:val="16"/>
        </w:rPr>
        <w:t>alcalde</w:t>
      </w:r>
      <w:r>
        <w:rPr>
          <w:color w:val="231F20"/>
          <w:spacing w:val="-11"/>
          <w:sz w:val="16"/>
        </w:rPr>
        <w:t> </w:t>
      </w:r>
      <w:r>
        <w:rPr>
          <w:color w:val="231F20"/>
          <w:sz w:val="16"/>
        </w:rPr>
        <w:t>Agustín</w:t>
      </w:r>
      <w:r>
        <w:rPr>
          <w:color w:val="231F20"/>
          <w:spacing w:val="-11"/>
          <w:sz w:val="16"/>
        </w:rPr>
        <w:t> </w:t>
      </w:r>
      <w:r>
        <w:rPr>
          <w:color w:val="231F20"/>
          <w:sz w:val="16"/>
        </w:rPr>
        <w:t>Hernández</w:t>
      </w:r>
      <w:r>
        <w:rPr>
          <w:color w:val="231F20"/>
          <w:spacing w:val="-11"/>
          <w:sz w:val="16"/>
        </w:rPr>
        <w:t> </w:t>
      </w:r>
      <w:r>
        <w:rPr>
          <w:color w:val="231F20"/>
          <w:sz w:val="16"/>
        </w:rPr>
        <w:t>Pastra- na,</w:t>
      </w:r>
      <w:r>
        <w:rPr>
          <w:color w:val="231F20"/>
          <w:spacing w:val="-12"/>
          <w:sz w:val="16"/>
        </w:rPr>
        <w:t> </w:t>
      </w:r>
      <w:r>
        <w:rPr>
          <w:color w:val="231F20"/>
          <w:sz w:val="16"/>
        </w:rPr>
        <w:t>uno</w:t>
      </w:r>
      <w:r>
        <w:rPr>
          <w:color w:val="231F20"/>
          <w:spacing w:val="-12"/>
          <w:sz w:val="16"/>
        </w:rPr>
        <w:t> </w:t>
      </w:r>
      <w:r>
        <w:rPr>
          <w:color w:val="231F20"/>
          <w:sz w:val="16"/>
        </w:rPr>
        <w:t>de</w:t>
      </w:r>
      <w:r>
        <w:rPr>
          <w:color w:val="231F20"/>
          <w:spacing w:val="-12"/>
          <w:sz w:val="16"/>
        </w:rPr>
        <w:t> </w:t>
      </w:r>
      <w:r>
        <w:rPr>
          <w:color w:val="231F20"/>
          <w:sz w:val="16"/>
        </w:rPr>
        <w:t>los</w:t>
      </w:r>
      <w:r>
        <w:rPr>
          <w:color w:val="231F20"/>
          <w:spacing w:val="-12"/>
          <w:sz w:val="16"/>
        </w:rPr>
        <w:t> </w:t>
      </w:r>
      <w:r>
        <w:rPr>
          <w:color w:val="231F20"/>
          <w:sz w:val="16"/>
        </w:rPr>
        <w:t>fundadores</w:t>
      </w:r>
      <w:r>
        <w:rPr>
          <w:color w:val="231F20"/>
          <w:spacing w:val="-12"/>
          <w:sz w:val="16"/>
        </w:rPr>
        <w:t> </w:t>
      </w:r>
      <w:r>
        <w:rPr>
          <w:color w:val="231F20"/>
          <w:sz w:val="16"/>
        </w:rPr>
        <w:t>del</w:t>
      </w:r>
      <w:r>
        <w:rPr>
          <w:color w:val="231F20"/>
          <w:spacing w:val="-12"/>
          <w:sz w:val="16"/>
        </w:rPr>
        <w:t> </w:t>
      </w:r>
      <w:r>
        <w:rPr>
          <w:color w:val="231F20"/>
          <w:sz w:val="16"/>
        </w:rPr>
        <w:t>blanquiazul</w:t>
      </w:r>
      <w:r>
        <w:rPr>
          <w:color w:val="231F20"/>
          <w:spacing w:val="-12"/>
          <w:sz w:val="16"/>
        </w:rPr>
        <w:t> </w:t>
      </w:r>
      <w:r>
        <w:rPr>
          <w:color w:val="231F20"/>
          <w:sz w:val="16"/>
        </w:rPr>
        <w:t>en</w:t>
      </w:r>
      <w:r>
        <w:rPr>
          <w:color w:val="231F20"/>
          <w:spacing w:val="-12"/>
          <w:sz w:val="16"/>
        </w:rPr>
        <w:t> </w:t>
      </w:r>
      <w:r>
        <w:rPr>
          <w:color w:val="231F20"/>
          <w:sz w:val="16"/>
        </w:rPr>
        <w:t>la</w:t>
      </w:r>
      <w:r>
        <w:rPr>
          <w:color w:val="231F20"/>
          <w:spacing w:val="-12"/>
          <w:sz w:val="16"/>
        </w:rPr>
        <w:t> </w:t>
      </w:r>
      <w:r>
        <w:rPr>
          <w:color w:val="231F20"/>
          <w:sz w:val="16"/>
        </w:rPr>
        <w:t>entidad,</w:t>
      </w:r>
      <w:r>
        <w:rPr>
          <w:color w:val="231F20"/>
          <w:spacing w:val="-12"/>
          <w:sz w:val="16"/>
        </w:rPr>
        <w:t> </w:t>
      </w:r>
      <w:r>
        <w:rPr>
          <w:color w:val="231F20"/>
          <w:sz w:val="16"/>
        </w:rPr>
        <w:t>quien</w:t>
      </w:r>
      <w:r>
        <w:rPr>
          <w:color w:val="231F20"/>
          <w:spacing w:val="-12"/>
          <w:sz w:val="16"/>
        </w:rPr>
        <w:t> </w:t>
      </w:r>
      <w:r>
        <w:rPr>
          <w:color w:val="231F20"/>
          <w:sz w:val="16"/>
        </w:rPr>
        <w:t>se</w:t>
      </w:r>
      <w:r>
        <w:rPr>
          <w:color w:val="231F20"/>
          <w:spacing w:val="-12"/>
          <w:sz w:val="16"/>
        </w:rPr>
        <w:t> </w:t>
      </w:r>
      <w:r>
        <w:rPr>
          <w:color w:val="231F20"/>
          <w:sz w:val="16"/>
        </w:rPr>
        <w:t>asignó</w:t>
      </w:r>
      <w:r>
        <w:rPr>
          <w:color w:val="231F20"/>
          <w:spacing w:val="-12"/>
          <w:sz w:val="16"/>
        </w:rPr>
        <w:t> </w:t>
      </w:r>
      <w:r>
        <w:rPr>
          <w:color w:val="231F20"/>
          <w:sz w:val="16"/>
        </w:rPr>
        <w:t>un</w:t>
      </w:r>
      <w:r>
        <w:rPr>
          <w:color w:val="231F20"/>
          <w:spacing w:val="-12"/>
          <w:sz w:val="16"/>
        </w:rPr>
        <w:t> </w:t>
      </w:r>
      <w:r>
        <w:rPr>
          <w:color w:val="231F20"/>
          <w:sz w:val="16"/>
        </w:rPr>
        <w:t>salario</w:t>
      </w:r>
      <w:r>
        <w:rPr>
          <w:color w:val="231F20"/>
          <w:spacing w:val="-12"/>
          <w:sz w:val="16"/>
        </w:rPr>
        <w:t> </w:t>
      </w:r>
      <w:r>
        <w:rPr>
          <w:color w:val="231F20"/>
          <w:sz w:val="16"/>
        </w:rPr>
        <w:t>mensual</w:t>
      </w:r>
      <w:r>
        <w:rPr>
          <w:color w:val="231F20"/>
          <w:spacing w:val="-12"/>
          <w:sz w:val="16"/>
        </w:rPr>
        <w:t> </w:t>
      </w:r>
      <w:r>
        <w:rPr>
          <w:color w:val="231F20"/>
          <w:sz w:val="16"/>
        </w:rPr>
        <w:t>de</w:t>
      </w:r>
      <w:r>
        <w:rPr>
          <w:color w:val="231F20"/>
          <w:spacing w:val="-12"/>
          <w:sz w:val="16"/>
        </w:rPr>
        <w:t> </w:t>
      </w:r>
      <w:r>
        <w:rPr>
          <w:color w:val="231F20"/>
          <w:sz w:val="16"/>
        </w:rPr>
        <w:t>más</w:t>
      </w:r>
      <w:r>
        <w:rPr>
          <w:color w:val="231F20"/>
          <w:spacing w:val="-12"/>
          <w:sz w:val="16"/>
        </w:rPr>
        <w:t> </w:t>
      </w:r>
      <w:r>
        <w:rPr>
          <w:color w:val="231F20"/>
          <w:sz w:val="16"/>
        </w:rPr>
        <w:t>de</w:t>
      </w:r>
      <w:r>
        <w:rPr>
          <w:color w:val="231F20"/>
          <w:spacing w:val="-12"/>
          <w:sz w:val="16"/>
        </w:rPr>
        <w:t> </w:t>
      </w:r>
      <w:r>
        <w:rPr>
          <w:color w:val="231F20"/>
          <w:sz w:val="16"/>
        </w:rPr>
        <w:t>400</w:t>
      </w:r>
      <w:r>
        <w:rPr>
          <w:color w:val="231F20"/>
          <w:spacing w:val="-12"/>
          <w:sz w:val="16"/>
        </w:rPr>
        <w:t> </w:t>
      </w:r>
      <w:r>
        <w:rPr>
          <w:color w:val="231F20"/>
          <w:sz w:val="16"/>
        </w:rPr>
        <w:t>mil</w:t>
      </w:r>
      <w:r>
        <w:rPr>
          <w:color w:val="231F20"/>
          <w:spacing w:val="-12"/>
          <w:sz w:val="16"/>
        </w:rPr>
        <w:t> </w:t>
      </w:r>
      <w:r>
        <w:rPr>
          <w:color w:val="231F20"/>
          <w:sz w:val="16"/>
        </w:rPr>
        <w:t>pesos,</w:t>
      </w:r>
      <w:r>
        <w:rPr>
          <w:color w:val="231F20"/>
          <w:spacing w:val="-12"/>
          <w:sz w:val="16"/>
        </w:rPr>
        <w:t> </w:t>
      </w:r>
      <w:r>
        <w:rPr>
          <w:color w:val="231F20"/>
          <w:sz w:val="16"/>
        </w:rPr>
        <w:t>además de</w:t>
      </w:r>
      <w:r>
        <w:rPr>
          <w:color w:val="231F20"/>
          <w:spacing w:val="-6"/>
          <w:sz w:val="16"/>
        </w:rPr>
        <w:t> </w:t>
      </w:r>
      <w:r>
        <w:rPr>
          <w:color w:val="231F20"/>
          <w:sz w:val="16"/>
        </w:rPr>
        <w:t>que</w:t>
      </w:r>
      <w:r>
        <w:rPr>
          <w:color w:val="231F20"/>
          <w:spacing w:val="-6"/>
          <w:sz w:val="16"/>
        </w:rPr>
        <w:t> </w:t>
      </w:r>
      <w:r>
        <w:rPr>
          <w:color w:val="231F20"/>
          <w:sz w:val="16"/>
        </w:rPr>
        <w:t>en</w:t>
      </w:r>
      <w:r>
        <w:rPr>
          <w:color w:val="231F20"/>
          <w:spacing w:val="-6"/>
          <w:sz w:val="16"/>
        </w:rPr>
        <w:t> </w:t>
      </w:r>
      <w:r>
        <w:rPr>
          <w:color w:val="231F20"/>
          <w:sz w:val="16"/>
        </w:rPr>
        <w:t>2002</w:t>
      </w:r>
      <w:r>
        <w:rPr>
          <w:color w:val="231F20"/>
          <w:spacing w:val="-6"/>
          <w:sz w:val="16"/>
        </w:rPr>
        <w:t> </w:t>
      </w:r>
      <w:r>
        <w:rPr>
          <w:color w:val="231F20"/>
          <w:sz w:val="16"/>
        </w:rPr>
        <w:t>canceló</w:t>
      </w:r>
      <w:r>
        <w:rPr>
          <w:color w:val="231F20"/>
          <w:spacing w:val="-6"/>
          <w:sz w:val="16"/>
        </w:rPr>
        <w:t> </w:t>
      </w:r>
      <w:r>
        <w:rPr>
          <w:color w:val="231F20"/>
          <w:sz w:val="16"/>
        </w:rPr>
        <w:t>la</w:t>
      </w:r>
      <w:r>
        <w:rPr>
          <w:color w:val="231F20"/>
          <w:spacing w:val="-6"/>
          <w:sz w:val="16"/>
        </w:rPr>
        <w:t> </w:t>
      </w:r>
      <w:r>
        <w:rPr>
          <w:color w:val="231F20"/>
          <w:sz w:val="16"/>
        </w:rPr>
        <w:t>realización</w:t>
      </w:r>
      <w:r>
        <w:rPr>
          <w:color w:val="231F20"/>
          <w:spacing w:val="-6"/>
          <w:sz w:val="16"/>
        </w:rPr>
        <w:t> </w:t>
      </w:r>
      <w:r>
        <w:rPr>
          <w:color w:val="231F20"/>
          <w:sz w:val="16"/>
        </w:rPr>
        <w:t>de</w:t>
      </w:r>
      <w:r>
        <w:rPr>
          <w:color w:val="231F20"/>
          <w:spacing w:val="-6"/>
          <w:sz w:val="16"/>
        </w:rPr>
        <w:t> </w:t>
      </w:r>
      <w:r>
        <w:rPr>
          <w:color w:val="231F20"/>
          <w:sz w:val="16"/>
        </w:rPr>
        <w:t>obras</w:t>
      </w:r>
      <w:r>
        <w:rPr>
          <w:color w:val="231F20"/>
          <w:spacing w:val="-6"/>
          <w:sz w:val="16"/>
        </w:rPr>
        <w:t> </w:t>
      </w:r>
      <w:r>
        <w:rPr>
          <w:color w:val="231F20"/>
          <w:sz w:val="16"/>
        </w:rPr>
        <w:t>públicas.</w:t>
      </w:r>
      <w:r>
        <w:rPr>
          <w:color w:val="231F20"/>
          <w:spacing w:val="-6"/>
          <w:sz w:val="16"/>
        </w:rPr>
        <w:t> </w:t>
      </w:r>
      <w:r>
        <w:rPr>
          <w:color w:val="231F20"/>
          <w:sz w:val="16"/>
        </w:rPr>
        <w:t>Su</w:t>
      </w:r>
      <w:r>
        <w:rPr>
          <w:color w:val="231F20"/>
          <w:spacing w:val="-6"/>
          <w:sz w:val="16"/>
        </w:rPr>
        <w:t> </w:t>
      </w:r>
      <w:r>
        <w:rPr>
          <w:color w:val="231F20"/>
          <w:sz w:val="16"/>
        </w:rPr>
        <w:t>familia</w:t>
      </w:r>
      <w:r>
        <w:rPr>
          <w:color w:val="231F20"/>
          <w:spacing w:val="-6"/>
          <w:sz w:val="16"/>
        </w:rPr>
        <w:t> </w:t>
      </w:r>
      <w:r>
        <w:rPr>
          <w:color w:val="231F20"/>
          <w:sz w:val="16"/>
        </w:rPr>
        <w:t>también</w:t>
      </w:r>
      <w:r>
        <w:rPr>
          <w:color w:val="231F20"/>
          <w:spacing w:val="-6"/>
          <w:sz w:val="16"/>
        </w:rPr>
        <w:t> </w:t>
      </w:r>
      <w:r>
        <w:rPr>
          <w:color w:val="231F20"/>
          <w:sz w:val="16"/>
        </w:rPr>
        <w:t>se</w:t>
      </w:r>
      <w:r>
        <w:rPr>
          <w:color w:val="231F20"/>
          <w:spacing w:val="-6"/>
          <w:sz w:val="16"/>
        </w:rPr>
        <w:t> </w:t>
      </w:r>
      <w:r>
        <w:rPr>
          <w:color w:val="231F20"/>
          <w:sz w:val="16"/>
        </w:rPr>
        <w:t>vio</w:t>
      </w:r>
      <w:r>
        <w:rPr>
          <w:color w:val="231F20"/>
          <w:spacing w:val="-6"/>
          <w:sz w:val="16"/>
        </w:rPr>
        <w:t> </w:t>
      </w:r>
      <w:r>
        <w:rPr>
          <w:color w:val="231F20"/>
          <w:sz w:val="16"/>
        </w:rPr>
        <w:t>envuelta</w:t>
      </w:r>
      <w:r>
        <w:rPr>
          <w:color w:val="231F20"/>
          <w:spacing w:val="-6"/>
          <w:sz w:val="16"/>
        </w:rPr>
        <w:t> </w:t>
      </w:r>
      <w:r>
        <w:rPr>
          <w:color w:val="231F20"/>
          <w:sz w:val="16"/>
        </w:rPr>
        <w:t>en</w:t>
      </w:r>
      <w:r>
        <w:rPr>
          <w:color w:val="231F20"/>
          <w:spacing w:val="-6"/>
          <w:sz w:val="16"/>
        </w:rPr>
        <w:t> </w:t>
      </w:r>
      <w:r>
        <w:rPr>
          <w:color w:val="231F20"/>
          <w:sz w:val="16"/>
        </w:rPr>
        <w:t>el</w:t>
      </w:r>
      <w:r>
        <w:rPr>
          <w:color w:val="231F20"/>
          <w:spacing w:val="-6"/>
          <w:sz w:val="16"/>
        </w:rPr>
        <w:t> </w:t>
      </w:r>
      <w:r>
        <w:rPr>
          <w:color w:val="231F20"/>
          <w:sz w:val="16"/>
        </w:rPr>
        <w:t>escándalo</w:t>
      </w:r>
      <w:r>
        <w:rPr>
          <w:color w:val="231F20"/>
          <w:spacing w:val="-6"/>
          <w:sz w:val="16"/>
        </w:rPr>
        <w:t> </w:t>
      </w:r>
      <w:r>
        <w:rPr>
          <w:color w:val="231F20"/>
          <w:sz w:val="16"/>
        </w:rPr>
        <w:t>cuando</w:t>
      </w:r>
      <w:r>
        <w:rPr>
          <w:color w:val="231F20"/>
          <w:spacing w:val="-6"/>
          <w:sz w:val="16"/>
        </w:rPr>
        <w:t> </w:t>
      </w:r>
      <w:r>
        <w:rPr>
          <w:color w:val="231F20"/>
          <w:sz w:val="16"/>
        </w:rPr>
        <w:t>su</w:t>
      </w:r>
      <w:r>
        <w:rPr>
          <w:color w:val="231F20"/>
          <w:spacing w:val="-6"/>
          <w:sz w:val="16"/>
        </w:rPr>
        <w:t> </w:t>
      </w:r>
      <w:r>
        <w:rPr>
          <w:color w:val="231F20"/>
          <w:sz w:val="16"/>
        </w:rPr>
        <w:t>hija</w:t>
      </w:r>
      <w:r>
        <w:rPr>
          <w:color w:val="231F20"/>
          <w:spacing w:val="-6"/>
          <w:sz w:val="16"/>
        </w:rPr>
        <w:t> </w:t>
      </w:r>
      <w:r>
        <w:rPr>
          <w:color w:val="231F20"/>
          <w:sz w:val="16"/>
        </w:rPr>
        <w:t>y otros</w:t>
      </w:r>
      <w:r>
        <w:rPr>
          <w:color w:val="231F20"/>
          <w:spacing w:val="-15"/>
          <w:sz w:val="16"/>
        </w:rPr>
        <w:t> </w:t>
      </w:r>
      <w:r>
        <w:rPr>
          <w:color w:val="231F20"/>
          <w:sz w:val="16"/>
        </w:rPr>
        <w:t>familiares</w:t>
      </w:r>
      <w:r>
        <w:rPr>
          <w:color w:val="231F20"/>
          <w:spacing w:val="-15"/>
          <w:sz w:val="16"/>
        </w:rPr>
        <w:t> </w:t>
      </w:r>
      <w:r>
        <w:rPr>
          <w:color w:val="231F20"/>
          <w:sz w:val="16"/>
        </w:rPr>
        <w:t>fueron</w:t>
      </w:r>
      <w:r>
        <w:rPr>
          <w:color w:val="231F20"/>
          <w:spacing w:val="-15"/>
          <w:sz w:val="16"/>
        </w:rPr>
        <w:t> </w:t>
      </w:r>
      <w:r>
        <w:rPr>
          <w:color w:val="231F20"/>
          <w:sz w:val="16"/>
        </w:rPr>
        <w:t>acusados</w:t>
      </w:r>
      <w:r>
        <w:rPr>
          <w:color w:val="231F20"/>
          <w:spacing w:val="-15"/>
          <w:sz w:val="16"/>
        </w:rPr>
        <w:t> </w:t>
      </w:r>
      <w:r>
        <w:rPr>
          <w:color w:val="231F20"/>
          <w:sz w:val="16"/>
        </w:rPr>
        <w:t>de</w:t>
      </w:r>
      <w:r>
        <w:rPr>
          <w:color w:val="231F20"/>
          <w:spacing w:val="-15"/>
          <w:sz w:val="16"/>
        </w:rPr>
        <w:t> </w:t>
      </w:r>
      <w:r>
        <w:rPr>
          <w:color w:val="231F20"/>
          <w:sz w:val="16"/>
        </w:rPr>
        <w:t>vender</w:t>
      </w:r>
      <w:r>
        <w:rPr>
          <w:color w:val="231F20"/>
          <w:spacing w:val="-15"/>
          <w:sz w:val="16"/>
        </w:rPr>
        <w:t> </w:t>
      </w:r>
      <w:r>
        <w:rPr>
          <w:color w:val="231F20"/>
          <w:sz w:val="16"/>
        </w:rPr>
        <w:t>autos</w:t>
      </w:r>
      <w:r>
        <w:rPr>
          <w:color w:val="231F20"/>
          <w:spacing w:val="-15"/>
          <w:sz w:val="16"/>
        </w:rPr>
        <w:t> </w:t>
      </w:r>
      <w:r>
        <w:rPr>
          <w:color w:val="231F20"/>
          <w:sz w:val="16"/>
        </w:rPr>
        <w:t>robados.</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Sonaría simplista decir que lo anterior modificó el recambio en la presidencia de Te- potzotlán, pero estos hechos demuestran la manera en que los eventos se entrelazan efectuando cambios (ver cuadros 5 y 6) que, en un momento dado parecían sólidos.</w:t>
      </w:r>
    </w:p>
    <w:p>
      <w:pPr>
        <w:pStyle w:val="BodyText"/>
        <w:spacing w:before="1"/>
        <w:rPr>
          <w:sz w:val="26"/>
        </w:rPr>
      </w:pPr>
    </w:p>
    <w:p>
      <w:pPr>
        <w:pStyle w:val="Heading5"/>
        <w:ind w:left="101" w:right="102"/>
        <w:jc w:val="center"/>
      </w:pPr>
      <w:r>
        <w:rPr>
          <w:color w:val="231F20"/>
          <w:w w:val="105"/>
        </w:rPr>
        <w:t>Cuadro 5 Proceso Electorales 2005 – 2006 Municipio 96</w:t>
      </w:r>
    </w:p>
    <w:p>
      <w:pPr>
        <w:spacing w:before="47"/>
        <w:ind w:left="102" w:right="102" w:firstLine="0"/>
        <w:jc w:val="center"/>
        <w:rPr>
          <w:b/>
          <w:sz w:val="22"/>
        </w:rPr>
      </w:pPr>
      <w:r>
        <w:rPr>
          <w:b/>
          <w:color w:val="231F20"/>
          <w:w w:val="105"/>
          <w:sz w:val="22"/>
        </w:rPr>
        <w:t>– Tepotzotlán Partido: Apm - Coalicion Alianza Por Mexico</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06"/>
        <w:gridCol w:w="3115"/>
        <w:gridCol w:w="3506"/>
      </w:tblGrid>
      <w:tr>
        <w:trPr>
          <w:trHeight w:val="158" w:hRule="exact"/>
        </w:trPr>
        <w:tc>
          <w:tcPr>
            <w:tcW w:w="1306" w:type="dxa"/>
            <w:shd w:val="clear" w:color="auto" w:fill="EBE5DA"/>
          </w:tcPr>
          <w:p>
            <w:pPr>
              <w:pStyle w:val="TableParagraph"/>
              <w:spacing w:line="183" w:lineRule="exact"/>
              <w:ind w:left="288" w:right="288"/>
              <w:jc w:val="center"/>
              <w:rPr>
                <w:sz w:val="17"/>
              </w:rPr>
            </w:pPr>
            <w:r>
              <w:rPr>
                <w:color w:val="231F20"/>
                <w:w w:val="85"/>
                <w:sz w:val="17"/>
              </w:rPr>
              <w:t>Cargo</w:t>
            </w:r>
          </w:p>
        </w:tc>
        <w:tc>
          <w:tcPr>
            <w:tcW w:w="3115" w:type="dxa"/>
            <w:shd w:val="clear" w:color="auto" w:fill="EBE5DA"/>
          </w:tcPr>
          <w:p>
            <w:pPr>
              <w:pStyle w:val="TableParagraph"/>
              <w:spacing w:line="183" w:lineRule="exact"/>
              <w:ind w:left="635" w:right="635"/>
              <w:jc w:val="center"/>
              <w:rPr>
                <w:sz w:val="17"/>
              </w:rPr>
            </w:pPr>
            <w:r>
              <w:rPr>
                <w:color w:val="231F20"/>
                <w:w w:val="85"/>
                <w:sz w:val="17"/>
              </w:rPr>
              <w:t>Propietario</w:t>
            </w:r>
          </w:p>
        </w:tc>
        <w:tc>
          <w:tcPr>
            <w:tcW w:w="3506" w:type="dxa"/>
            <w:shd w:val="clear" w:color="auto" w:fill="EBE5DA"/>
          </w:tcPr>
          <w:p>
            <w:pPr>
              <w:pStyle w:val="TableParagraph"/>
              <w:spacing w:line="183" w:lineRule="exact"/>
              <w:ind w:left="738" w:right="738"/>
              <w:jc w:val="center"/>
              <w:rPr>
                <w:sz w:val="17"/>
              </w:rPr>
            </w:pPr>
            <w:r>
              <w:rPr>
                <w:color w:val="231F20"/>
                <w:w w:val="85"/>
                <w:sz w:val="17"/>
              </w:rPr>
              <w:t>Suplente</w:t>
            </w:r>
          </w:p>
        </w:tc>
      </w:tr>
      <w:tr>
        <w:trPr>
          <w:trHeight w:val="150" w:hRule="exact"/>
        </w:trPr>
        <w:tc>
          <w:tcPr>
            <w:tcW w:w="1306" w:type="dxa"/>
          </w:tcPr>
          <w:p>
            <w:pPr>
              <w:pStyle w:val="TableParagraph"/>
              <w:spacing w:line="173" w:lineRule="exact"/>
              <w:ind w:left="288" w:right="288"/>
              <w:jc w:val="center"/>
              <w:rPr>
                <w:sz w:val="16"/>
              </w:rPr>
            </w:pPr>
            <w:r>
              <w:rPr>
                <w:color w:val="231F20"/>
                <w:w w:val="85"/>
                <w:sz w:val="16"/>
              </w:rPr>
              <w:t>PRESIDENTE</w:t>
            </w:r>
          </w:p>
        </w:tc>
        <w:tc>
          <w:tcPr>
            <w:tcW w:w="3115" w:type="dxa"/>
          </w:tcPr>
          <w:p>
            <w:pPr>
              <w:pStyle w:val="TableParagraph"/>
              <w:spacing w:line="173" w:lineRule="exact"/>
              <w:ind w:left="635" w:right="635"/>
              <w:jc w:val="center"/>
              <w:rPr>
                <w:sz w:val="16"/>
              </w:rPr>
            </w:pPr>
            <w:r>
              <w:rPr>
                <w:color w:val="231F20"/>
                <w:w w:val="70"/>
                <w:sz w:val="16"/>
              </w:rPr>
              <w:t>MARCOS MARQUEZ  MERCADO</w:t>
            </w:r>
          </w:p>
        </w:tc>
        <w:tc>
          <w:tcPr>
            <w:tcW w:w="3506" w:type="dxa"/>
          </w:tcPr>
          <w:p>
            <w:pPr>
              <w:pStyle w:val="TableParagraph"/>
              <w:spacing w:line="173" w:lineRule="exact"/>
              <w:ind w:left="738" w:right="738"/>
              <w:jc w:val="center"/>
              <w:rPr>
                <w:sz w:val="16"/>
              </w:rPr>
            </w:pPr>
            <w:r>
              <w:rPr>
                <w:color w:val="231F20"/>
                <w:w w:val="75"/>
                <w:sz w:val="16"/>
              </w:rPr>
              <w:t>CARLOS ALMAZÁN ZAPATA</w:t>
            </w:r>
          </w:p>
        </w:tc>
      </w:tr>
      <w:tr>
        <w:trPr>
          <w:trHeight w:val="150" w:hRule="exact"/>
        </w:trPr>
        <w:tc>
          <w:tcPr>
            <w:tcW w:w="1306" w:type="dxa"/>
          </w:tcPr>
          <w:p>
            <w:pPr>
              <w:pStyle w:val="TableParagraph"/>
              <w:spacing w:line="173" w:lineRule="exact"/>
              <w:ind w:left="288" w:right="288"/>
              <w:jc w:val="center"/>
              <w:rPr>
                <w:sz w:val="16"/>
              </w:rPr>
            </w:pPr>
            <w:r>
              <w:rPr>
                <w:color w:val="231F20"/>
                <w:w w:val="75"/>
                <w:sz w:val="16"/>
              </w:rPr>
              <w:t>SINDICO 1</w:t>
            </w:r>
          </w:p>
        </w:tc>
        <w:tc>
          <w:tcPr>
            <w:tcW w:w="3115" w:type="dxa"/>
          </w:tcPr>
          <w:p>
            <w:pPr>
              <w:pStyle w:val="TableParagraph"/>
              <w:spacing w:line="173" w:lineRule="exact"/>
              <w:ind w:left="635" w:right="635"/>
              <w:jc w:val="center"/>
              <w:rPr>
                <w:sz w:val="16"/>
              </w:rPr>
            </w:pPr>
            <w:r>
              <w:rPr>
                <w:color w:val="231F20"/>
                <w:w w:val="75"/>
                <w:sz w:val="16"/>
              </w:rPr>
              <w:t>JUAN DELGADO ÁLVAREZ</w:t>
            </w:r>
          </w:p>
        </w:tc>
        <w:tc>
          <w:tcPr>
            <w:tcW w:w="3506" w:type="dxa"/>
          </w:tcPr>
          <w:p>
            <w:pPr>
              <w:pStyle w:val="TableParagraph"/>
              <w:spacing w:line="173" w:lineRule="exact"/>
              <w:ind w:left="738" w:right="738"/>
              <w:jc w:val="center"/>
              <w:rPr>
                <w:sz w:val="16"/>
              </w:rPr>
            </w:pPr>
            <w:r>
              <w:rPr>
                <w:color w:val="231F20"/>
                <w:w w:val="75"/>
                <w:sz w:val="16"/>
              </w:rPr>
              <w:t>JOSÉ MANUEL MARISCAL TORRES</w:t>
            </w:r>
          </w:p>
        </w:tc>
      </w:tr>
      <w:tr>
        <w:trPr>
          <w:trHeight w:val="150" w:hRule="exact"/>
        </w:trPr>
        <w:tc>
          <w:tcPr>
            <w:tcW w:w="1306" w:type="dxa"/>
          </w:tcPr>
          <w:p>
            <w:pPr>
              <w:pStyle w:val="TableParagraph"/>
              <w:spacing w:line="173" w:lineRule="exact"/>
              <w:ind w:left="288" w:right="288"/>
              <w:jc w:val="center"/>
              <w:rPr>
                <w:sz w:val="16"/>
              </w:rPr>
            </w:pPr>
            <w:r>
              <w:rPr>
                <w:color w:val="231F20"/>
                <w:w w:val="75"/>
                <w:sz w:val="16"/>
              </w:rPr>
              <w:t>REGIDOR 1</w:t>
            </w:r>
          </w:p>
        </w:tc>
        <w:tc>
          <w:tcPr>
            <w:tcW w:w="3115" w:type="dxa"/>
          </w:tcPr>
          <w:p>
            <w:pPr>
              <w:pStyle w:val="TableParagraph"/>
              <w:spacing w:line="173" w:lineRule="exact"/>
              <w:ind w:left="635" w:right="635"/>
              <w:jc w:val="center"/>
              <w:rPr>
                <w:sz w:val="16"/>
              </w:rPr>
            </w:pPr>
            <w:r>
              <w:rPr>
                <w:color w:val="231F20"/>
                <w:w w:val="75"/>
                <w:sz w:val="16"/>
              </w:rPr>
              <w:t>HERMINIO REYES SÁNCHEZ</w:t>
            </w:r>
          </w:p>
        </w:tc>
        <w:tc>
          <w:tcPr>
            <w:tcW w:w="3506" w:type="dxa"/>
          </w:tcPr>
          <w:p>
            <w:pPr>
              <w:pStyle w:val="TableParagraph"/>
              <w:spacing w:line="173" w:lineRule="exact"/>
              <w:ind w:left="738" w:right="738"/>
              <w:jc w:val="center"/>
              <w:rPr>
                <w:sz w:val="16"/>
              </w:rPr>
            </w:pPr>
            <w:r>
              <w:rPr>
                <w:color w:val="231F20"/>
                <w:w w:val="75"/>
                <w:sz w:val="16"/>
              </w:rPr>
              <w:t>JUANA VALADEZ JIMÉNEZ</w:t>
            </w:r>
          </w:p>
        </w:tc>
      </w:tr>
      <w:tr>
        <w:trPr>
          <w:trHeight w:val="150" w:hRule="exact"/>
        </w:trPr>
        <w:tc>
          <w:tcPr>
            <w:tcW w:w="1306" w:type="dxa"/>
          </w:tcPr>
          <w:p>
            <w:pPr>
              <w:pStyle w:val="TableParagraph"/>
              <w:spacing w:line="173" w:lineRule="exact"/>
              <w:ind w:left="288" w:right="288"/>
              <w:jc w:val="center"/>
              <w:rPr>
                <w:sz w:val="16"/>
              </w:rPr>
            </w:pPr>
            <w:r>
              <w:rPr>
                <w:color w:val="231F20"/>
                <w:w w:val="75"/>
                <w:sz w:val="16"/>
              </w:rPr>
              <w:t>REGIDOR 2</w:t>
            </w:r>
          </w:p>
        </w:tc>
        <w:tc>
          <w:tcPr>
            <w:tcW w:w="3115" w:type="dxa"/>
          </w:tcPr>
          <w:p>
            <w:pPr>
              <w:pStyle w:val="TableParagraph"/>
              <w:spacing w:line="173" w:lineRule="exact"/>
              <w:ind w:left="635" w:right="635"/>
              <w:jc w:val="center"/>
              <w:rPr>
                <w:sz w:val="16"/>
              </w:rPr>
            </w:pPr>
            <w:r>
              <w:rPr>
                <w:color w:val="231F20"/>
                <w:w w:val="75"/>
                <w:sz w:val="16"/>
              </w:rPr>
              <w:t>ANGEL SOLÍS BARRETO</w:t>
            </w:r>
          </w:p>
        </w:tc>
        <w:tc>
          <w:tcPr>
            <w:tcW w:w="3506" w:type="dxa"/>
          </w:tcPr>
          <w:p>
            <w:pPr>
              <w:pStyle w:val="TableParagraph"/>
              <w:spacing w:line="173" w:lineRule="exact"/>
              <w:ind w:left="738" w:right="738"/>
              <w:jc w:val="center"/>
              <w:rPr>
                <w:sz w:val="16"/>
              </w:rPr>
            </w:pPr>
            <w:r>
              <w:rPr>
                <w:color w:val="231F20"/>
                <w:w w:val="75"/>
                <w:sz w:val="16"/>
              </w:rPr>
              <w:t>GRISELDA VILLALOBOS GARCÍA</w:t>
            </w:r>
          </w:p>
        </w:tc>
      </w:tr>
      <w:tr>
        <w:trPr>
          <w:trHeight w:val="150" w:hRule="exact"/>
        </w:trPr>
        <w:tc>
          <w:tcPr>
            <w:tcW w:w="1306" w:type="dxa"/>
          </w:tcPr>
          <w:p>
            <w:pPr>
              <w:pStyle w:val="TableParagraph"/>
              <w:spacing w:line="173" w:lineRule="exact"/>
              <w:ind w:left="288" w:right="288"/>
              <w:jc w:val="center"/>
              <w:rPr>
                <w:sz w:val="16"/>
              </w:rPr>
            </w:pPr>
            <w:r>
              <w:rPr>
                <w:color w:val="231F20"/>
                <w:w w:val="75"/>
                <w:sz w:val="16"/>
              </w:rPr>
              <w:t>REGIDOR 3</w:t>
            </w:r>
          </w:p>
        </w:tc>
        <w:tc>
          <w:tcPr>
            <w:tcW w:w="3115" w:type="dxa"/>
          </w:tcPr>
          <w:p>
            <w:pPr>
              <w:pStyle w:val="TableParagraph"/>
              <w:spacing w:line="173" w:lineRule="exact"/>
              <w:ind w:left="635" w:right="635"/>
              <w:jc w:val="center"/>
              <w:rPr>
                <w:sz w:val="16"/>
              </w:rPr>
            </w:pPr>
            <w:r>
              <w:rPr>
                <w:color w:val="231F20"/>
                <w:w w:val="75"/>
                <w:sz w:val="16"/>
              </w:rPr>
              <w:t>JUAN ROGELIO ESCALONA SÁNCHEZ</w:t>
            </w:r>
          </w:p>
        </w:tc>
        <w:tc>
          <w:tcPr>
            <w:tcW w:w="3506" w:type="dxa"/>
          </w:tcPr>
          <w:p>
            <w:pPr>
              <w:pStyle w:val="TableParagraph"/>
              <w:spacing w:line="173" w:lineRule="exact"/>
              <w:ind w:left="738" w:right="738"/>
              <w:jc w:val="center"/>
              <w:rPr>
                <w:sz w:val="16"/>
              </w:rPr>
            </w:pPr>
            <w:r>
              <w:rPr>
                <w:color w:val="231F20"/>
                <w:w w:val="75"/>
                <w:sz w:val="16"/>
              </w:rPr>
              <w:t>FELIPE LOZANO JUÁREZ</w:t>
            </w:r>
          </w:p>
        </w:tc>
      </w:tr>
      <w:tr>
        <w:trPr>
          <w:trHeight w:val="150" w:hRule="exact"/>
        </w:trPr>
        <w:tc>
          <w:tcPr>
            <w:tcW w:w="1306" w:type="dxa"/>
          </w:tcPr>
          <w:p>
            <w:pPr>
              <w:pStyle w:val="TableParagraph"/>
              <w:spacing w:line="173" w:lineRule="exact"/>
              <w:ind w:left="288" w:right="288"/>
              <w:jc w:val="center"/>
              <w:rPr>
                <w:sz w:val="16"/>
              </w:rPr>
            </w:pPr>
            <w:r>
              <w:rPr>
                <w:color w:val="231F20"/>
                <w:w w:val="75"/>
                <w:sz w:val="16"/>
              </w:rPr>
              <w:t>REGIDOR 4</w:t>
            </w:r>
          </w:p>
        </w:tc>
        <w:tc>
          <w:tcPr>
            <w:tcW w:w="3115" w:type="dxa"/>
          </w:tcPr>
          <w:p>
            <w:pPr>
              <w:pStyle w:val="TableParagraph"/>
              <w:spacing w:line="173" w:lineRule="exact"/>
              <w:ind w:left="635" w:right="635"/>
              <w:jc w:val="center"/>
              <w:rPr>
                <w:sz w:val="16"/>
              </w:rPr>
            </w:pPr>
            <w:r>
              <w:rPr>
                <w:color w:val="231F20"/>
                <w:w w:val="75"/>
                <w:sz w:val="16"/>
              </w:rPr>
              <w:t>RUBICELIA GARCÍA CUEVAS</w:t>
            </w:r>
          </w:p>
        </w:tc>
        <w:tc>
          <w:tcPr>
            <w:tcW w:w="3506" w:type="dxa"/>
          </w:tcPr>
          <w:p>
            <w:pPr>
              <w:pStyle w:val="TableParagraph"/>
              <w:spacing w:line="173" w:lineRule="exact"/>
              <w:ind w:left="738" w:right="738"/>
              <w:jc w:val="center"/>
              <w:rPr>
                <w:sz w:val="16"/>
              </w:rPr>
            </w:pPr>
            <w:r>
              <w:rPr>
                <w:color w:val="231F20"/>
                <w:w w:val="75"/>
                <w:sz w:val="16"/>
              </w:rPr>
              <w:t>ALEJANDRO LÓPEZ CAMACHO</w:t>
            </w:r>
          </w:p>
        </w:tc>
      </w:tr>
      <w:tr>
        <w:trPr>
          <w:trHeight w:val="150" w:hRule="exact"/>
        </w:trPr>
        <w:tc>
          <w:tcPr>
            <w:tcW w:w="1306" w:type="dxa"/>
          </w:tcPr>
          <w:p>
            <w:pPr>
              <w:pStyle w:val="TableParagraph"/>
              <w:spacing w:line="172" w:lineRule="exact"/>
              <w:ind w:left="288" w:right="288"/>
              <w:jc w:val="center"/>
              <w:rPr>
                <w:sz w:val="16"/>
              </w:rPr>
            </w:pPr>
            <w:r>
              <w:rPr>
                <w:color w:val="231F20"/>
                <w:w w:val="75"/>
                <w:sz w:val="16"/>
              </w:rPr>
              <w:t>REGIDOR 5</w:t>
            </w:r>
          </w:p>
        </w:tc>
        <w:tc>
          <w:tcPr>
            <w:tcW w:w="3115" w:type="dxa"/>
          </w:tcPr>
          <w:p>
            <w:pPr>
              <w:pStyle w:val="TableParagraph"/>
              <w:spacing w:line="172" w:lineRule="exact"/>
              <w:ind w:left="635" w:right="635"/>
              <w:jc w:val="center"/>
              <w:rPr>
                <w:sz w:val="16"/>
              </w:rPr>
            </w:pPr>
            <w:r>
              <w:rPr>
                <w:color w:val="231F20"/>
                <w:w w:val="75"/>
                <w:sz w:val="16"/>
              </w:rPr>
              <w:t>MARÍA ELVA HERNÁNDEZ MARTÍNEZ</w:t>
            </w:r>
          </w:p>
        </w:tc>
        <w:tc>
          <w:tcPr>
            <w:tcW w:w="3506" w:type="dxa"/>
          </w:tcPr>
          <w:p>
            <w:pPr>
              <w:pStyle w:val="TableParagraph"/>
              <w:spacing w:line="172" w:lineRule="exact"/>
              <w:ind w:left="738" w:right="738"/>
              <w:jc w:val="center"/>
              <w:rPr>
                <w:sz w:val="16"/>
              </w:rPr>
            </w:pPr>
            <w:r>
              <w:rPr>
                <w:color w:val="231F20"/>
                <w:w w:val="75"/>
                <w:sz w:val="16"/>
              </w:rPr>
              <w:t>MARÍA TERESA CONTRERAS RAYMUNDO</w:t>
            </w:r>
          </w:p>
        </w:tc>
      </w:tr>
      <w:tr>
        <w:trPr>
          <w:trHeight w:val="150" w:hRule="exact"/>
        </w:trPr>
        <w:tc>
          <w:tcPr>
            <w:tcW w:w="1306" w:type="dxa"/>
          </w:tcPr>
          <w:p>
            <w:pPr>
              <w:pStyle w:val="TableParagraph"/>
              <w:spacing w:line="172" w:lineRule="exact"/>
              <w:ind w:left="288" w:right="288"/>
              <w:jc w:val="center"/>
              <w:rPr>
                <w:sz w:val="16"/>
              </w:rPr>
            </w:pPr>
            <w:r>
              <w:rPr>
                <w:color w:val="231F20"/>
                <w:w w:val="75"/>
                <w:sz w:val="16"/>
              </w:rPr>
              <w:t>REGIDOR 6</w:t>
            </w:r>
          </w:p>
        </w:tc>
        <w:tc>
          <w:tcPr>
            <w:tcW w:w="3115" w:type="dxa"/>
          </w:tcPr>
          <w:p>
            <w:pPr>
              <w:pStyle w:val="TableParagraph"/>
              <w:spacing w:line="172" w:lineRule="exact"/>
              <w:ind w:left="635" w:right="635"/>
              <w:jc w:val="center"/>
              <w:rPr>
                <w:sz w:val="16"/>
              </w:rPr>
            </w:pPr>
            <w:r>
              <w:rPr>
                <w:color w:val="231F20"/>
                <w:w w:val="75"/>
                <w:sz w:val="16"/>
              </w:rPr>
              <w:t>ARTURO RINCÓN HERRERA</w:t>
            </w:r>
          </w:p>
        </w:tc>
        <w:tc>
          <w:tcPr>
            <w:tcW w:w="3506" w:type="dxa"/>
          </w:tcPr>
          <w:p>
            <w:pPr>
              <w:pStyle w:val="TableParagraph"/>
              <w:spacing w:line="172" w:lineRule="exact"/>
              <w:ind w:left="738" w:right="738"/>
              <w:jc w:val="center"/>
              <w:rPr>
                <w:sz w:val="16"/>
              </w:rPr>
            </w:pPr>
            <w:r>
              <w:rPr>
                <w:color w:val="231F20"/>
                <w:w w:val="75"/>
                <w:sz w:val="16"/>
              </w:rPr>
              <w:t>ELSA LETICIA SUÁREZ GARCÍA</w:t>
            </w:r>
          </w:p>
        </w:tc>
      </w:tr>
    </w:tbl>
    <w:p>
      <w:pPr>
        <w:pStyle w:val="BodyText"/>
        <w:rPr>
          <w:b/>
          <w:sz w:val="20"/>
        </w:rPr>
      </w:pPr>
    </w:p>
    <w:p>
      <w:pPr>
        <w:pStyle w:val="BodyText"/>
        <w:spacing w:before="10"/>
        <w:rPr>
          <w:b/>
          <w:sz w:val="15"/>
        </w:rPr>
      </w:pPr>
    </w:p>
    <w:p>
      <w:pPr>
        <w:spacing w:before="34"/>
        <w:ind w:left="319" w:right="-2" w:firstLine="0"/>
        <w:jc w:val="left"/>
        <w:rPr>
          <w:b/>
          <w:sz w:val="22"/>
        </w:rPr>
      </w:pPr>
      <w:r>
        <w:rPr>
          <w:b/>
          <w:color w:val="231F20"/>
          <w:w w:val="105"/>
          <w:sz w:val="22"/>
        </w:rPr>
        <w:t>Cuadro 6 Asignación de Síndicos y Regidores de Representación Proporcional</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49"/>
        <w:gridCol w:w="1154"/>
        <w:gridCol w:w="3194"/>
        <w:gridCol w:w="2224"/>
      </w:tblGrid>
      <w:tr>
        <w:trPr>
          <w:trHeight w:val="150" w:hRule="exact"/>
        </w:trPr>
        <w:tc>
          <w:tcPr>
            <w:tcW w:w="1349" w:type="dxa"/>
            <w:shd w:val="clear" w:color="auto" w:fill="EBE5DA"/>
          </w:tcPr>
          <w:p>
            <w:pPr>
              <w:pStyle w:val="TableParagraph"/>
              <w:spacing w:line="173" w:lineRule="exact"/>
              <w:ind w:left="448" w:right="448"/>
              <w:jc w:val="center"/>
              <w:rPr>
                <w:sz w:val="16"/>
              </w:rPr>
            </w:pPr>
            <w:r>
              <w:rPr>
                <w:color w:val="231F20"/>
                <w:w w:val="85"/>
                <w:sz w:val="16"/>
              </w:rPr>
              <w:t>Partido</w:t>
            </w:r>
          </w:p>
        </w:tc>
        <w:tc>
          <w:tcPr>
            <w:tcW w:w="1154" w:type="dxa"/>
            <w:shd w:val="clear" w:color="auto" w:fill="EBE5DA"/>
          </w:tcPr>
          <w:p>
            <w:pPr>
              <w:pStyle w:val="TableParagraph"/>
              <w:spacing w:line="173" w:lineRule="exact"/>
              <w:ind w:left="233" w:right="233"/>
              <w:jc w:val="center"/>
              <w:rPr>
                <w:sz w:val="16"/>
              </w:rPr>
            </w:pPr>
            <w:r>
              <w:rPr>
                <w:color w:val="231F20"/>
                <w:w w:val="85"/>
                <w:sz w:val="16"/>
              </w:rPr>
              <w:t>Cargo</w:t>
            </w:r>
          </w:p>
        </w:tc>
        <w:tc>
          <w:tcPr>
            <w:tcW w:w="3194" w:type="dxa"/>
            <w:shd w:val="clear" w:color="auto" w:fill="EBE5DA"/>
          </w:tcPr>
          <w:p>
            <w:pPr>
              <w:pStyle w:val="TableParagraph"/>
              <w:spacing w:line="173" w:lineRule="exact"/>
              <w:ind w:left="903" w:right="903"/>
              <w:jc w:val="center"/>
              <w:rPr>
                <w:sz w:val="16"/>
              </w:rPr>
            </w:pPr>
            <w:r>
              <w:rPr>
                <w:color w:val="231F20"/>
                <w:w w:val="85"/>
                <w:sz w:val="16"/>
              </w:rPr>
              <w:t>Propietario</w:t>
            </w:r>
          </w:p>
        </w:tc>
        <w:tc>
          <w:tcPr>
            <w:tcW w:w="2224" w:type="dxa"/>
            <w:shd w:val="clear" w:color="auto" w:fill="EBE5DA"/>
          </w:tcPr>
          <w:p>
            <w:pPr>
              <w:pStyle w:val="TableParagraph"/>
              <w:spacing w:line="173" w:lineRule="exact"/>
              <w:ind w:left="295" w:right="295"/>
              <w:jc w:val="center"/>
              <w:rPr>
                <w:sz w:val="16"/>
              </w:rPr>
            </w:pPr>
            <w:r>
              <w:rPr>
                <w:color w:val="231F20"/>
                <w:w w:val="85"/>
                <w:sz w:val="16"/>
              </w:rPr>
              <w:t>Suplente</w:t>
            </w:r>
          </w:p>
        </w:tc>
      </w:tr>
      <w:tr>
        <w:trPr>
          <w:trHeight w:val="150" w:hRule="exact"/>
        </w:trPr>
        <w:tc>
          <w:tcPr>
            <w:tcW w:w="1349" w:type="dxa"/>
          </w:tcPr>
          <w:p>
            <w:pPr>
              <w:pStyle w:val="TableParagraph"/>
              <w:spacing w:line="173" w:lineRule="exact"/>
              <w:ind w:left="448" w:right="448"/>
              <w:jc w:val="center"/>
              <w:rPr>
                <w:sz w:val="16"/>
              </w:rPr>
            </w:pPr>
            <w:r>
              <w:rPr>
                <w:color w:val="231F20"/>
                <w:w w:val="85"/>
                <w:sz w:val="16"/>
              </w:rPr>
              <w:t>PAN</w:t>
            </w:r>
          </w:p>
        </w:tc>
        <w:tc>
          <w:tcPr>
            <w:tcW w:w="1154" w:type="dxa"/>
          </w:tcPr>
          <w:p>
            <w:pPr>
              <w:pStyle w:val="TableParagraph"/>
              <w:spacing w:line="173" w:lineRule="exact"/>
              <w:ind w:left="233" w:right="233"/>
              <w:jc w:val="center"/>
              <w:rPr>
                <w:sz w:val="16"/>
              </w:rPr>
            </w:pPr>
            <w:r>
              <w:rPr>
                <w:color w:val="231F20"/>
                <w:w w:val="75"/>
                <w:sz w:val="16"/>
              </w:rPr>
              <w:t>7° REGIDOR</w:t>
            </w:r>
          </w:p>
        </w:tc>
        <w:tc>
          <w:tcPr>
            <w:tcW w:w="3194" w:type="dxa"/>
          </w:tcPr>
          <w:p>
            <w:pPr>
              <w:pStyle w:val="TableParagraph"/>
              <w:spacing w:line="173" w:lineRule="exact"/>
              <w:ind w:left="903" w:right="903"/>
              <w:jc w:val="center"/>
              <w:rPr>
                <w:sz w:val="16"/>
              </w:rPr>
            </w:pPr>
            <w:r>
              <w:rPr>
                <w:color w:val="231F20"/>
                <w:w w:val="75"/>
                <w:sz w:val="16"/>
              </w:rPr>
              <w:t>JOSÉ FELIX ALVARADO</w:t>
            </w:r>
          </w:p>
        </w:tc>
        <w:tc>
          <w:tcPr>
            <w:tcW w:w="2224" w:type="dxa"/>
          </w:tcPr>
          <w:p>
            <w:pPr>
              <w:pStyle w:val="TableParagraph"/>
              <w:spacing w:line="173" w:lineRule="exact"/>
              <w:ind w:left="295" w:right="295"/>
              <w:jc w:val="center"/>
              <w:rPr>
                <w:sz w:val="16"/>
              </w:rPr>
            </w:pPr>
            <w:r>
              <w:rPr>
                <w:color w:val="231F20"/>
                <w:w w:val="75"/>
                <w:sz w:val="16"/>
              </w:rPr>
              <w:t>ROBERTO SANTILLÁN MARTÍNEZ</w:t>
            </w:r>
          </w:p>
        </w:tc>
      </w:tr>
      <w:tr>
        <w:trPr>
          <w:trHeight w:val="150" w:hRule="exact"/>
        </w:trPr>
        <w:tc>
          <w:tcPr>
            <w:tcW w:w="1349" w:type="dxa"/>
          </w:tcPr>
          <w:p>
            <w:pPr>
              <w:pStyle w:val="TableParagraph"/>
              <w:spacing w:line="173" w:lineRule="exact"/>
              <w:ind w:left="448" w:right="448"/>
              <w:jc w:val="center"/>
              <w:rPr>
                <w:sz w:val="16"/>
              </w:rPr>
            </w:pPr>
            <w:r>
              <w:rPr>
                <w:color w:val="231F20"/>
                <w:w w:val="85"/>
                <w:sz w:val="16"/>
              </w:rPr>
              <w:t>PAN</w:t>
            </w:r>
          </w:p>
        </w:tc>
        <w:tc>
          <w:tcPr>
            <w:tcW w:w="1154" w:type="dxa"/>
          </w:tcPr>
          <w:p>
            <w:pPr>
              <w:pStyle w:val="TableParagraph"/>
              <w:spacing w:line="173" w:lineRule="exact"/>
              <w:ind w:left="233" w:right="233"/>
              <w:jc w:val="center"/>
              <w:rPr>
                <w:sz w:val="16"/>
              </w:rPr>
            </w:pPr>
            <w:r>
              <w:rPr>
                <w:color w:val="231F20"/>
                <w:w w:val="75"/>
                <w:sz w:val="16"/>
              </w:rPr>
              <w:t>8° REGIDOR</w:t>
            </w:r>
          </w:p>
        </w:tc>
        <w:tc>
          <w:tcPr>
            <w:tcW w:w="3194" w:type="dxa"/>
          </w:tcPr>
          <w:p>
            <w:pPr>
              <w:pStyle w:val="TableParagraph"/>
              <w:spacing w:line="173" w:lineRule="exact"/>
              <w:ind w:left="903" w:right="903"/>
              <w:jc w:val="center"/>
              <w:rPr>
                <w:sz w:val="16"/>
              </w:rPr>
            </w:pPr>
            <w:r>
              <w:rPr>
                <w:color w:val="231F20"/>
                <w:w w:val="75"/>
                <w:sz w:val="16"/>
              </w:rPr>
              <w:t>ROSENDO NIETO GARCÍA</w:t>
            </w:r>
          </w:p>
        </w:tc>
        <w:tc>
          <w:tcPr>
            <w:tcW w:w="2224" w:type="dxa"/>
          </w:tcPr>
          <w:p>
            <w:pPr>
              <w:pStyle w:val="TableParagraph"/>
              <w:spacing w:line="173" w:lineRule="exact"/>
              <w:ind w:left="295" w:right="295"/>
              <w:jc w:val="center"/>
              <w:rPr>
                <w:sz w:val="16"/>
              </w:rPr>
            </w:pPr>
            <w:r>
              <w:rPr>
                <w:color w:val="231F20"/>
                <w:w w:val="75"/>
                <w:sz w:val="16"/>
              </w:rPr>
              <w:t>LUIS HERNÁNDEZ ORTEGA</w:t>
            </w:r>
          </w:p>
        </w:tc>
      </w:tr>
      <w:tr>
        <w:trPr>
          <w:trHeight w:val="150" w:hRule="exact"/>
        </w:trPr>
        <w:tc>
          <w:tcPr>
            <w:tcW w:w="1349" w:type="dxa"/>
          </w:tcPr>
          <w:p>
            <w:pPr>
              <w:pStyle w:val="TableParagraph"/>
              <w:spacing w:line="173" w:lineRule="exact"/>
              <w:ind w:left="448" w:right="448"/>
              <w:jc w:val="center"/>
              <w:rPr>
                <w:sz w:val="16"/>
              </w:rPr>
            </w:pPr>
            <w:r>
              <w:rPr>
                <w:color w:val="231F20"/>
                <w:w w:val="85"/>
                <w:sz w:val="16"/>
              </w:rPr>
              <w:t>PAN</w:t>
            </w:r>
          </w:p>
        </w:tc>
        <w:tc>
          <w:tcPr>
            <w:tcW w:w="1154" w:type="dxa"/>
          </w:tcPr>
          <w:p>
            <w:pPr>
              <w:pStyle w:val="TableParagraph"/>
              <w:spacing w:line="173" w:lineRule="exact"/>
              <w:ind w:left="233" w:right="233"/>
              <w:jc w:val="center"/>
              <w:rPr>
                <w:sz w:val="16"/>
              </w:rPr>
            </w:pPr>
            <w:r>
              <w:rPr>
                <w:color w:val="231F20"/>
                <w:w w:val="75"/>
                <w:sz w:val="16"/>
              </w:rPr>
              <w:t>9° REGIDOR</w:t>
            </w:r>
          </w:p>
        </w:tc>
        <w:tc>
          <w:tcPr>
            <w:tcW w:w="3194" w:type="dxa"/>
          </w:tcPr>
          <w:p>
            <w:pPr>
              <w:pStyle w:val="TableParagraph"/>
              <w:spacing w:line="173" w:lineRule="exact"/>
              <w:ind w:left="903" w:right="903"/>
              <w:jc w:val="center"/>
              <w:rPr>
                <w:sz w:val="16"/>
              </w:rPr>
            </w:pPr>
            <w:r>
              <w:rPr>
                <w:color w:val="231F20"/>
                <w:w w:val="75"/>
                <w:sz w:val="16"/>
              </w:rPr>
              <w:t>REGINALDO PÉREZ REYES</w:t>
            </w:r>
          </w:p>
        </w:tc>
        <w:tc>
          <w:tcPr>
            <w:tcW w:w="2224" w:type="dxa"/>
          </w:tcPr>
          <w:p>
            <w:pPr>
              <w:pStyle w:val="TableParagraph"/>
              <w:spacing w:line="173" w:lineRule="exact"/>
              <w:ind w:left="295" w:right="295"/>
              <w:jc w:val="center"/>
              <w:rPr>
                <w:sz w:val="16"/>
              </w:rPr>
            </w:pPr>
            <w:r>
              <w:rPr>
                <w:color w:val="231F20"/>
                <w:w w:val="75"/>
                <w:sz w:val="16"/>
              </w:rPr>
              <w:t>AGUSTÍN RODRÍGUEZ SÁNCHEZ</w:t>
            </w:r>
          </w:p>
        </w:tc>
      </w:tr>
      <w:tr>
        <w:trPr>
          <w:trHeight w:val="150" w:hRule="exact"/>
        </w:trPr>
        <w:tc>
          <w:tcPr>
            <w:tcW w:w="1349" w:type="dxa"/>
          </w:tcPr>
          <w:p>
            <w:pPr>
              <w:pStyle w:val="TableParagraph"/>
              <w:spacing w:line="173" w:lineRule="exact"/>
              <w:ind w:left="448" w:right="448"/>
              <w:jc w:val="center"/>
              <w:rPr>
                <w:sz w:val="16"/>
              </w:rPr>
            </w:pPr>
            <w:r>
              <w:rPr>
                <w:color w:val="231F20"/>
                <w:w w:val="85"/>
                <w:sz w:val="16"/>
              </w:rPr>
              <w:t>PRD</w:t>
            </w:r>
          </w:p>
        </w:tc>
        <w:tc>
          <w:tcPr>
            <w:tcW w:w="1154" w:type="dxa"/>
          </w:tcPr>
          <w:p>
            <w:pPr>
              <w:pStyle w:val="TableParagraph"/>
              <w:spacing w:line="173" w:lineRule="exact"/>
              <w:ind w:left="233" w:right="233"/>
              <w:jc w:val="center"/>
              <w:rPr>
                <w:sz w:val="16"/>
              </w:rPr>
            </w:pPr>
            <w:r>
              <w:rPr>
                <w:color w:val="231F20"/>
                <w:w w:val="75"/>
                <w:sz w:val="16"/>
              </w:rPr>
              <w:t>10° REGIDOR</w:t>
            </w:r>
          </w:p>
        </w:tc>
        <w:tc>
          <w:tcPr>
            <w:tcW w:w="3194" w:type="dxa"/>
          </w:tcPr>
          <w:p>
            <w:pPr>
              <w:pStyle w:val="TableParagraph"/>
              <w:spacing w:line="173" w:lineRule="exact"/>
              <w:ind w:left="903" w:right="903"/>
              <w:jc w:val="center"/>
              <w:rPr>
                <w:sz w:val="16"/>
              </w:rPr>
            </w:pPr>
            <w:r>
              <w:rPr>
                <w:color w:val="231F20"/>
                <w:w w:val="75"/>
                <w:sz w:val="16"/>
              </w:rPr>
              <w:t>JOSÉ LUIS AGUILAR GARCÍA</w:t>
            </w:r>
          </w:p>
        </w:tc>
        <w:tc>
          <w:tcPr>
            <w:tcW w:w="2224" w:type="dxa"/>
          </w:tcPr>
          <w:p>
            <w:pPr>
              <w:pStyle w:val="TableParagraph"/>
              <w:spacing w:line="173" w:lineRule="exact"/>
              <w:ind w:left="295" w:right="295"/>
              <w:jc w:val="center"/>
              <w:rPr>
                <w:sz w:val="16"/>
              </w:rPr>
            </w:pPr>
            <w:r>
              <w:rPr>
                <w:color w:val="231F20"/>
                <w:w w:val="75"/>
                <w:sz w:val="16"/>
              </w:rPr>
              <w:t>JANET GONZÁLEZ RESÉNDIZ</w:t>
            </w:r>
          </w:p>
        </w:tc>
      </w:tr>
    </w:tbl>
    <w:p>
      <w:pPr>
        <w:pStyle w:val="BodyText"/>
        <w:spacing w:before="6"/>
        <w:rPr>
          <w:b/>
          <w:sz w:val="11"/>
        </w:rPr>
      </w:pPr>
    </w:p>
    <w:p>
      <w:pPr>
        <w:spacing w:before="75"/>
        <w:ind w:left="0" w:right="108" w:firstLine="0"/>
        <w:jc w:val="right"/>
        <w:rPr>
          <w:rFonts w:ascii="Calibri"/>
          <w:sz w:val="16"/>
        </w:rPr>
      </w:pPr>
      <w:r>
        <w:rPr>
          <w:rFonts w:ascii="Calibri"/>
          <w:color w:val="231F20"/>
          <w:w w:val="95"/>
          <w:sz w:val="16"/>
        </w:rPr>
        <w:t>Fuente: IEEM</w:t>
      </w:r>
    </w:p>
    <w:p>
      <w:pPr>
        <w:pStyle w:val="BodyText"/>
        <w:rPr>
          <w:rFonts w:ascii="Calibri"/>
          <w:sz w:val="16"/>
        </w:rPr>
      </w:pPr>
    </w:p>
    <w:p>
      <w:pPr>
        <w:pStyle w:val="BodyText"/>
        <w:spacing w:before="10"/>
        <w:rPr>
          <w:rFonts w:ascii="Calibri"/>
          <w:sz w:val="12"/>
        </w:rPr>
      </w:pPr>
    </w:p>
    <w:p>
      <w:pPr>
        <w:pStyle w:val="BodyText"/>
        <w:spacing w:line="285" w:lineRule="auto"/>
        <w:ind w:left="110" w:right="107"/>
        <w:jc w:val="both"/>
      </w:pPr>
      <w:r>
        <w:rPr>
          <w:color w:val="231F20"/>
          <w:w w:val="105"/>
        </w:rPr>
        <w:t>Dos hechos destacan en los cuadros anteriores: primero el nivel de competitividad se apunta</w:t>
      </w:r>
      <w:r>
        <w:rPr>
          <w:color w:val="231F20"/>
          <w:spacing w:val="-9"/>
          <w:w w:val="105"/>
        </w:rPr>
        <w:t> </w:t>
      </w:r>
      <w:r>
        <w:rPr>
          <w:color w:val="231F20"/>
          <w:w w:val="105"/>
        </w:rPr>
        <w:t>como</w:t>
      </w:r>
      <w:r>
        <w:rPr>
          <w:color w:val="231F20"/>
          <w:spacing w:val="-9"/>
          <w:w w:val="105"/>
        </w:rPr>
        <w:t> </w:t>
      </w:r>
      <w:r>
        <w:rPr>
          <w:color w:val="231F20"/>
          <w:w w:val="105"/>
        </w:rPr>
        <w:t>medio</w:t>
      </w:r>
      <w:r>
        <w:rPr>
          <w:color w:val="231F20"/>
          <w:spacing w:val="-9"/>
          <w:w w:val="105"/>
        </w:rPr>
        <w:t> </w:t>
      </w:r>
      <w:r>
        <w:rPr>
          <w:color w:val="231F20"/>
          <w:w w:val="105"/>
        </w:rPr>
        <w:t>desde</w:t>
      </w:r>
      <w:r>
        <w:rPr>
          <w:color w:val="231F20"/>
          <w:spacing w:val="-9"/>
          <w:w w:val="105"/>
        </w:rPr>
        <w:t> </w:t>
      </w:r>
      <w:r>
        <w:rPr>
          <w:color w:val="231F20"/>
          <w:w w:val="105"/>
        </w:rPr>
        <w:t>1996</w:t>
      </w:r>
      <w:r>
        <w:rPr>
          <w:color w:val="231F20"/>
          <w:spacing w:val="-9"/>
          <w:w w:val="105"/>
        </w:rPr>
        <w:t> </w:t>
      </w:r>
      <w:r>
        <w:rPr>
          <w:color w:val="231F20"/>
          <w:w w:val="105"/>
        </w:rPr>
        <w:t>(Sánchez,</w:t>
      </w:r>
      <w:r>
        <w:rPr>
          <w:color w:val="231F20"/>
          <w:spacing w:val="-9"/>
          <w:w w:val="105"/>
        </w:rPr>
        <w:t> </w:t>
      </w:r>
      <w:r>
        <w:rPr>
          <w:color w:val="231F20"/>
          <w:spacing w:val="2"/>
          <w:w w:val="105"/>
        </w:rPr>
        <w:t>2008:</w:t>
      </w:r>
      <w:r>
        <w:rPr>
          <w:color w:val="231F20"/>
          <w:spacing w:val="-9"/>
          <w:w w:val="105"/>
        </w:rPr>
        <w:t> </w:t>
      </w:r>
      <w:r>
        <w:rPr>
          <w:color w:val="231F20"/>
          <w:spacing w:val="-3"/>
          <w:w w:val="105"/>
        </w:rPr>
        <w:t>62-63).</w:t>
      </w:r>
      <w:r>
        <w:rPr>
          <w:color w:val="231F20"/>
          <w:spacing w:val="-9"/>
          <w:w w:val="105"/>
        </w:rPr>
        <w:t> </w:t>
      </w:r>
      <w:r>
        <w:rPr>
          <w:color w:val="231F20"/>
          <w:w w:val="105"/>
        </w:rPr>
        <w:t>Lo</w:t>
      </w:r>
      <w:r>
        <w:rPr>
          <w:color w:val="231F20"/>
          <w:spacing w:val="-9"/>
          <w:w w:val="105"/>
        </w:rPr>
        <w:t> </w:t>
      </w:r>
      <w:r>
        <w:rPr>
          <w:color w:val="231F20"/>
          <w:w w:val="105"/>
        </w:rPr>
        <w:t>anterior</w:t>
      </w:r>
      <w:r>
        <w:rPr>
          <w:color w:val="231F20"/>
          <w:spacing w:val="-9"/>
          <w:w w:val="105"/>
        </w:rPr>
        <w:t> </w:t>
      </w:r>
      <w:r>
        <w:rPr>
          <w:color w:val="231F20"/>
          <w:w w:val="105"/>
        </w:rPr>
        <w:t>significa</w:t>
      </w:r>
      <w:r>
        <w:rPr>
          <w:color w:val="231F20"/>
          <w:spacing w:val="-9"/>
          <w:w w:val="105"/>
        </w:rPr>
        <w:t> </w:t>
      </w:r>
      <w:r>
        <w:rPr>
          <w:color w:val="231F20"/>
          <w:w w:val="105"/>
        </w:rPr>
        <w:t>la</w:t>
      </w:r>
      <w:r>
        <w:rPr>
          <w:color w:val="231F20"/>
          <w:spacing w:val="-9"/>
          <w:w w:val="105"/>
        </w:rPr>
        <w:t> </w:t>
      </w:r>
      <w:r>
        <w:rPr>
          <w:color w:val="231F20"/>
          <w:w w:val="105"/>
        </w:rPr>
        <w:t>conse- cuencia de la representación en la estructura del cabildo, ya que a pesar de la cantidad de votos del </w:t>
      </w:r>
      <w:r>
        <w:rPr>
          <w:color w:val="231F20"/>
          <w:spacing w:val="-4"/>
          <w:w w:val="105"/>
        </w:rPr>
        <w:t>PAN </w:t>
      </w:r>
      <w:r>
        <w:rPr>
          <w:color w:val="231F20"/>
          <w:w w:val="105"/>
        </w:rPr>
        <w:t>solo ganó tres regidores, lo que constituye una desproporcionalidad en la asignación de representantes con respecto del PRI. </w:t>
      </w:r>
      <w:r>
        <w:rPr>
          <w:color w:val="231F20"/>
          <w:spacing w:val="-3"/>
          <w:w w:val="105"/>
        </w:rPr>
        <w:t>Por </w:t>
      </w:r>
      <w:r>
        <w:rPr>
          <w:color w:val="231F20"/>
          <w:w w:val="105"/>
        </w:rPr>
        <w:t>otro lado, se observa la ampliación</w:t>
      </w:r>
      <w:r>
        <w:rPr>
          <w:color w:val="231F20"/>
          <w:spacing w:val="-16"/>
          <w:w w:val="105"/>
        </w:rPr>
        <w:t> </w:t>
      </w:r>
      <w:r>
        <w:rPr>
          <w:color w:val="231F20"/>
          <w:w w:val="105"/>
        </w:rPr>
        <w:t>del</w:t>
      </w:r>
      <w:r>
        <w:rPr>
          <w:color w:val="231F20"/>
          <w:spacing w:val="-16"/>
          <w:w w:val="105"/>
        </w:rPr>
        <w:t> </w:t>
      </w:r>
      <w:r>
        <w:rPr>
          <w:color w:val="231F20"/>
          <w:w w:val="105"/>
        </w:rPr>
        <w:t>voto</w:t>
      </w:r>
      <w:r>
        <w:rPr>
          <w:color w:val="231F20"/>
          <w:spacing w:val="-16"/>
          <w:w w:val="105"/>
        </w:rPr>
        <w:t> </w:t>
      </w:r>
      <w:r>
        <w:rPr>
          <w:color w:val="231F20"/>
          <w:w w:val="105"/>
        </w:rPr>
        <w:t>del</w:t>
      </w:r>
      <w:r>
        <w:rPr>
          <w:color w:val="231F20"/>
          <w:spacing w:val="-16"/>
          <w:w w:val="105"/>
        </w:rPr>
        <w:t> </w:t>
      </w:r>
      <w:r>
        <w:rPr>
          <w:color w:val="231F20"/>
          <w:w w:val="105"/>
        </w:rPr>
        <w:t>Partido</w:t>
      </w:r>
      <w:r>
        <w:rPr>
          <w:color w:val="231F20"/>
          <w:spacing w:val="-16"/>
          <w:w w:val="105"/>
        </w:rPr>
        <w:t> </w:t>
      </w:r>
      <w:r>
        <w:rPr>
          <w:color w:val="231F20"/>
          <w:w w:val="105"/>
        </w:rPr>
        <w:t>del</w:t>
      </w:r>
      <w:r>
        <w:rPr>
          <w:color w:val="231F20"/>
          <w:spacing w:val="-16"/>
          <w:w w:val="105"/>
        </w:rPr>
        <w:t> </w:t>
      </w:r>
      <w:r>
        <w:rPr>
          <w:color w:val="231F20"/>
          <w:spacing w:val="-3"/>
          <w:w w:val="105"/>
        </w:rPr>
        <w:t>Revolución</w:t>
      </w:r>
      <w:r>
        <w:rPr>
          <w:color w:val="231F20"/>
          <w:spacing w:val="-16"/>
          <w:w w:val="105"/>
        </w:rPr>
        <w:t> </w:t>
      </w:r>
      <w:r>
        <w:rPr>
          <w:color w:val="231F20"/>
          <w:w w:val="105"/>
        </w:rPr>
        <w:t>Democrática</w:t>
      </w:r>
      <w:r>
        <w:rPr>
          <w:color w:val="231F20"/>
          <w:spacing w:val="-16"/>
          <w:w w:val="105"/>
        </w:rPr>
        <w:t> </w:t>
      </w:r>
      <w:r>
        <w:rPr>
          <w:color w:val="231F20"/>
          <w:spacing w:val="-3"/>
          <w:w w:val="105"/>
        </w:rPr>
        <w:t>(PRD)</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elecciones</w:t>
      </w:r>
      <w:r>
        <w:rPr>
          <w:color w:val="231F20"/>
          <w:spacing w:val="-16"/>
          <w:w w:val="105"/>
        </w:rPr>
        <w:t> </w:t>
      </w:r>
      <w:r>
        <w:rPr>
          <w:color w:val="231F20"/>
          <w:w w:val="105"/>
        </w:rPr>
        <w:t>de 1996</w:t>
      </w:r>
      <w:r>
        <w:rPr>
          <w:color w:val="231F20"/>
          <w:spacing w:val="-40"/>
          <w:w w:val="105"/>
        </w:rPr>
        <w:t> </w:t>
      </w:r>
      <w:r>
        <w:rPr>
          <w:color w:val="231F20"/>
          <w:w w:val="105"/>
        </w:rPr>
        <w:t>y</w:t>
      </w:r>
      <w:r>
        <w:rPr>
          <w:color w:val="231F20"/>
          <w:spacing w:val="-40"/>
          <w:w w:val="105"/>
        </w:rPr>
        <w:t> </w:t>
      </w:r>
      <w:r>
        <w:rPr>
          <w:color w:val="231F20"/>
          <w:spacing w:val="3"/>
          <w:w w:val="105"/>
        </w:rPr>
        <w:t>2000.</w:t>
      </w:r>
    </w:p>
    <w:p>
      <w:pPr>
        <w:pStyle w:val="BodyText"/>
        <w:spacing w:line="285" w:lineRule="auto" w:before="1"/>
        <w:ind w:left="677" w:right="108"/>
        <w:jc w:val="both"/>
      </w:pPr>
      <w:r>
        <w:rPr>
          <w:color w:val="231F20"/>
          <w:spacing w:val="-4"/>
          <w:w w:val="105"/>
        </w:rPr>
        <w:t>“…cuando</w:t>
      </w:r>
      <w:r>
        <w:rPr>
          <w:color w:val="231F20"/>
          <w:spacing w:val="-18"/>
          <w:w w:val="105"/>
        </w:rPr>
        <w:t> </w:t>
      </w:r>
      <w:r>
        <w:rPr>
          <w:color w:val="231F20"/>
          <w:w w:val="105"/>
        </w:rPr>
        <w:t>se</w:t>
      </w:r>
      <w:r>
        <w:rPr>
          <w:color w:val="231F20"/>
          <w:spacing w:val="-18"/>
          <w:w w:val="105"/>
        </w:rPr>
        <w:t> </w:t>
      </w:r>
      <w:r>
        <w:rPr>
          <w:color w:val="231F20"/>
          <w:w w:val="105"/>
        </w:rPr>
        <w:t>evalúa</w:t>
      </w:r>
      <w:r>
        <w:rPr>
          <w:color w:val="231F20"/>
          <w:spacing w:val="-18"/>
          <w:w w:val="105"/>
        </w:rPr>
        <w:t> </w:t>
      </w:r>
      <w:r>
        <w:rPr>
          <w:color w:val="231F20"/>
          <w:w w:val="105"/>
        </w:rPr>
        <w:t>en</w:t>
      </w:r>
      <w:r>
        <w:rPr>
          <w:color w:val="231F20"/>
          <w:spacing w:val="-18"/>
          <w:w w:val="105"/>
        </w:rPr>
        <w:t> </w:t>
      </w:r>
      <w:r>
        <w:rPr>
          <w:color w:val="231F20"/>
          <w:w w:val="105"/>
        </w:rPr>
        <w:t>lo</w:t>
      </w:r>
      <w:r>
        <w:rPr>
          <w:color w:val="231F20"/>
          <w:spacing w:val="-18"/>
          <w:w w:val="105"/>
        </w:rPr>
        <w:t> </w:t>
      </w:r>
      <w:r>
        <w:rPr>
          <w:color w:val="231F20"/>
          <w:w w:val="105"/>
        </w:rPr>
        <w:t>particular</w:t>
      </w:r>
      <w:r>
        <w:rPr>
          <w:color w:val="231F20"/>
          <w:spacing w:val="-18"/>
          <w:w w:val="105"/>
        </w:rPr>
        <w:t> </w:t>
      </w:r>
      <w:r>
        <w:rPr>
          <w:color w:val="231F20"/>
          <w:w w:val="105"/>
        </w:rPr>
        <w:t>un</w:t>
      </w:r>
      <w:r>
        <w:rPr>
          <w:color w:val="231F20"/>
          <w:spacing w:val="-18"/>
          <w:w w:val="105"/>
        </w:rPr>
        <w:t> </w:t>
      </w:r>
      <w:r>
        <w:rPr>
          <w:color w:val="231F20"/>
          <w:w w:val="105"/>
        </w:rPr>
        <w:t>municipio</w:t>
      </w:r>
      <w:r>
        <w:rPr>
          <w:color w:val="231F20"/>
          <w:spacing w:val="-18"/>
          <w:w w:val="105"/>
        </w:rPr>
        <w:t> </w:t>
      </w:r>
      <w:r>
        <w:rPr>
          <w:color w:val="231F20"/>
          <w:w w:val="105"/>
        </w:rPr>
        <w:t>mexiquense,</w:t>
      </w:r>
      <w:r>
        <w:rPr>
          <w:color w:val="231F20"/>
          <w:spacing w:val="-18"/>
          <w:w w:val="105"/>
        </w:rPr>
        <w:t> </w:t>
      </w:r>
      <w:r>
        <w:rPr>
          <w:color w:val="231F20"/>
          <w:w w:val="105"/>
        </w:rPr>
        <w:t>debido</w:t>
      </w:r>
      <w:r>
        <w:rPr>
          <w:color w:val="231F20"/>
          <w:spacing w:val="-18"/>
          <w:w w:val="105"/>
        </w:rPr>
        <w:t> </w:t>
      </w:r>
      <w:r>
        <w:rPr>
          <w:color w:val="231F20"/>
          <w:w w:val="105"/>
        </w:rPr>
        <w:t>a</w:t>
      </w:r>
      <w:r>
        <w:rPr>
          <w:color w:val="231F20"/>
          <w:spacing w:val="-18"/>
          <w:w w:val="105"/>
        </w:rPr>
        <w:t> </w:t>
      </w:r>
      <w:r>
        <w:rPr>
          <w:color w:val="231F20"/>
          <w:w w:val="105"/>
        </w:rPr>
        <w:t>que</w:t>
      </w:r>
      <w:r>
        <w:rPr>
          <w:color w:val="231F20"/>
          <w:spacing w:val="-18"/>
          <w:w w:val="105"/>
        </w:rPr>
        <w:t> </w:t>
      </w:r>
      <w:r>
        <w:rPr>
          <w:color w:val="231F20"/>
          <w:w w:val="105"/>
        </w:rPr>
        <w:t>inte- gran</w:t>
      </w:r>
      <w:r>
        <w:rPr>
          <w:color w:val="231F20"/>
          <w:spacing w:val="-11"/>
          <w:w w:val="105"/>
        </w:rPr>
        <w:t> </w:t>
      </w: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ayuntamiento,</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principio</w:t>
      </w:r>
      <w:r>
        <w:rPr>
          <w:color w:val="231F20"/>
          <w:spacing w:val="-11"/>
          <w:w w:val="105"/>
        </w:rPr>
        <w:t> </w:t>
      </w:r>
      <w:r>
        <w:rPr>
          <w:color w:val="231F20"/>
          <w:w w:val="105"/>
        </w:rPr>
        <w:t>de</w:t>
      </w:r>
      <w:r>
        <w:rPr>
          <w:color w:val="231F20"/>
          <w:spacing w:val="-11"/>
          <w:w w:val="105"/>
        </w:rPr>
        <w:t> </w:t>
      </w:r>
      <w:r>
        <w:rPr>
          <w:color w:val="231F20"/>
          <w:w w:val="105"/>
        </w:rPr>
        <w:t>mayoría</w:t>
      </w:r>
      <w:r>
        <w:rPr>
          <w:color w:val="231F20"/>
          <w:spacing w:val="-11"/>
          <w:w w:val="105"/>
        </w:rPr>
        <w:t> </w:t>
      </w:r>
      <w:r>
        <w:rPr>
          <w:color w:val="231F20"/>
          <w:w w:val="105"/>
        </w:rPr>
        <w:t>relativa,</w:t>
      </w:r>
      <w:r>
        <w:rPr>
          <w:color w:val="231F20"/>
          <w:spacing w:val="-11"/>
          <w:w w:val="105"/>
        </w:rPr>
        <w:t> </w:t>
      </w:r>
      <w:r>
        <w:rPr>
          <w:color w:val="231F20"/>
          <w:w w:val="105"/>
        </w:rPr>
        <w:t>60%</w:t>
      </w:r>
      <w:r>
        <w:rPr>
          <w:color w:val="231F20"/>
          <w:spacing w:val="-11"/>
          <w:w w:val="105"/>
        </w:rPr>
        <w:t> </w:t>
      </w:r>
      <w:r>
        <w:rPr>
          <w:color w:val="231F20"/>
          <w:w w:val="105"/>
        </w:rPr>
        <w:t>de</w:t>
      </w:r>
      <w:r>
        <w:rPr>
          <w:color w:val="231F20"/>
          <w:spacing w:val="-11"/>
          <w:w w:val="105"/>
        </w:rPr>
        <w:t> </w:t>
      </w:r>
      <w:r>
        <w:rPr>
          <w:color w:val="231F20"/>
          <w:w w:val="105"/>
        </w:rPr>
        <w:t>miembros del</w:t>
      </w:r>
      <w:r>
        <w:rPr>
          <w:color w:val="231F20"/>
          <w:spacing w:val="-8"/>
          <w:w w:val="105"/>
        </w:rPr>
        <w:t> </w:t>
      </w:r>
      <w:r>
        <w:rPr>
          <w:color w:val="231F20"/>
          <w:w w:val="105"/>
        </w:rPr>
        <w:t>ayuntamiento</w:t>
      </w:r>
      <w:r>
        <w:rPr>
          <w:color w:val="231F20"/>
          <w:spacing w:val="-8"/>
          <w:w w:val="105"/>
        </w:rPr>
        <w:t> </w:t>
      </w:r>
      <w:r>
        <w:rPr>
          <w:color w:val="231F20"/>
          <w:w w:val="105"/>
        </w:rPr>
        <w:t>y</w:t>
      </w:r>
      <w:r>
        <w:rPr>
          <w:color w:val="231F20"/>
          <w:spacing w:val="-8"/>
          <w:w w:val="105"/>
        </w:rPr>
        <w:t> </w:t>
      </w:r>
      <w:r>
        <w:rPr>
          <w:color w:val="231F20"/>
          <w:w w:val="105"/>
        </w:rPr>
        <w:t>sólo</w:t>
      </w:r>
      <w:r>
        <w:rPr>
          <w:color w:val="231F20"/>
          <w:spacing w:val="-8"/>
          <w:w w:val="105"/>
        </w:rPr>
        <w:t> </w:t>
      </w:r>
      <w:r>
        <w:rPr>
          <w:color w:val="231F20"/>
          <w:w w:val="105"/>
        </w:rPr>
        <w:t>el</w:t>
      </w:r>
      <w:r>
        <w:rPr>
          <w:color w:val="231F20"/>
          <w:spacing w:val="-8"/>
          <w:w w:val="105"/>
        </w:rPr>
        <w:t> </w:t>
      </w:r>
      <w:r>
        <w:rPr>
          <w:color w:val="231F20"/>
          <w:w w:val="105"/>
        </w:rPr>
        <w:t>resto,</w:t>
      </w:r>
      <w:r>
        <w:rPr>
          <w:color w:val="231F20"/>
          <w:spacing w:val="-8"/>
          <w:w w:val="105"/>
        </w:rPr>
        <w:t> </w:t>
      </w:r>
      <w:r>
        <w:rPr>
          <w:color w:val="231F20"/>
          <w:spacing w:val="2"/>
          <w:w w:val="105"/>
        </w:rPr>
        <w:t>40%,</w:t>
      </w:r>
      <w:r>
        <w:rPr>
          <w:color w:val="231F20"/>
          <w:spacing w:val="-8"/>
          <w:w w:val="105"/>
        </w:rPr>
        <w:t> </w:t>
      </w:r>
      <w:r>
        <w:rPr>
          <w:color w:val="231F20"/>
          <w:w w:val="105"/>
        </w:rPr>
        <w:t>se</w:t>
      </w:r>
      <w:r>
        <w:rPr>
          <w:color w:val="231F20"/>
          <w:spacing w:val="-8"/>
          <w:w w:val="105"/>
        </w:rPr>
        <w:t> </w:t>
      </w:r>
      <w:r>
        <w:rPr>
          <w:color w:val="231F20"/>
          <w:w w:val="105"/>
        </w:rPr>
        <w:t>distribuye</w:t>
      </w:r>
      <w:r>
        <w:rPr>
          <w:color w:val="231F20"/>
          <w:spacing w:val="-8"/>
          <w:w w:val="105"/>
        </w:rPr>
        <w:t> </w:t>
      </w:r>
      <w:r>
        <w:rPr>
          <w:color w:val="231F20"/>
          <w:w w:val="105"/>
        </w:rPr>
        <w:t>entre</w:t>
      </w:r>
      <w:r>
        <w:rPr>
          <w:color w:val="231F20"/>
          <w:spacing w:val="-8"/>
          <w:w w:val="105"/>
        </w:rPr>
        <w:t> </w:t>
      </w:r>
      <w:r>
        <w:rPr>
          <w:color w:val="231F20"/>
          <w:w w:val="105"/>
        </w:rPr>
        <w:t>los</w:t>
      </w:r>
      <w:r>
        <w:rPr>
          <w:color w:val="231F20"/>
          <w:spacing w:val="-8"/>
          <w:w w:val="105"/>
        </w:rPr>
        <w:t> </w:t>
      </w:r>
      <w:r>
        <w:rPr>
          <w:color w:val="231F20"/>
          <w:w w:val="105"/>
        </w:rPr>
        <w:t>partidos</w:t>
      </w:r>
      <w:r>
        <w:rPr>
          <w:color w:val="231F20"/>
          <w:spacing w:val="-8"/>
          <w:w w:val="105"/>
        </w:rPr>
        <w:t> </w:t>
      </w:r>
      <w:r>
        <w:rPr>
          <w:color w:val="231F20"/>
          <w:w w:val="105"/>
        </w:rPr>
        <w:t>que</w:t>
      </w:r>
      <w:r>
        <w:rPr>
          <w:color w:val="231F20"/>
          <w:spacing w:val="-8"/>
          <w:w w:val="105"/>
        </w:rPr>
        <w:t> </w:t>
      </w:r>
      <w:r>
        <w:rPr>
          <w:color w:val="231F20"/>
          <w:w w:val="105"/>
        </w:rPr>
        <w:t>tienen derecho a la representación proporcional. Desde aquí se asume una </w:t>
      </w:r>
      <w:r>
        <w:rPr>
          <w:color w:val="231F20"/>
          <w:spacing w:val="54"/>
          <w:w w:val="105"/>
        </w:rPr>
        <w:t> </w:t>
      </w:r>
      <w:r>
        <w:rPr>
          <w:color w:val="231F20"/>
          <w:spacing w:val="-3"/>
          <w:w w:val="105"/>
        </w:rPr>
        <w:t>despropor-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7"/>
        <w:jc w:val="both"/>
      </w:pPr>
      <w:r>
        <w:rPr>
          <w:color w:val="231F20"/>
          <w:w w:val="105"/>
        </w:rPr>
        <w:t>cionalidad.</w:t>
      </w:r>
      <w:r>
        <w:rPr>
          <w:color w:val="231F20"/>
          <w:spacing w:val="-7"/>
          <w:w w:val="105"/>
        </w:rPr>
        <w:t> </w:t>
      </w:r>
      <w:r>
        <w:rPr>
          <w:color w:val="231F20"/>
          <w:w w:val="105"/>
        </w:rPr>
        <w:t>Aunado</w:t>
      </w:r>
      <w:r>
        <w:rPr>
          <w:color w:val="231F20"/>
          <w:spacing w:val="-7"/>
          <w:w w:val="105"/>
        </w:rPr>
        <w:t> </w:t>
      </w:r>
      <w:r>
        <w:rPr>
          <w:color w:val="231F20"/>
          <w:w w:val="105"/>
        </w:rPr>
        <w:t>a</w:t>
      </w:r>
      <w:r>
        <w:rPr>
          <w:color w:val="231F20"/>
          <w:spacing w:val="-7"/>
          <w:w w:val="105"/>
        </w:rPr>
        <w:t> </w:t>
      </w:r>
      <w:r>
        <w:rPr>
          <w:color w:val="231F20"/>
          <w:w w:val="105"/>
        </w:rPr>
        <w:t>esta</w:t>
      </w:r>
      <w:r>
        <w:rPr>
          <w:color w:val="231F20"/>
          <w:spacing w:val="-7"/>
          <w:w w:val="105"/>
        </w:rPr>
        <w:t> </w:t>
      </w:r>
      <w:r>
        <w:rPr>
          <w:color w:val="231F20"/>
          <w:w w:val="105"/>
        </w:rPr>
        <w:t>circunstancia</w:t>
      </w:r>
      <w:r>
        <w:rPr>
          <w:color w:val="231F20"/>
          <w:spacing w:val="-7"/>
          <w:w w:val="105"/>
        </w:rPr>
        <w:t> </w:t>
      </w:r>
      <w:r>
        <w:rPr>
          <w:color w:val="231F20"/>
          <w:w w:val="105"/>
        </w:rPr>
        <w:t>subrayamos</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elecciones,</w:t>
      </w:r>
      <w:r>
        <w:rPr>
          <w:color w:val="231F20"/>
          <w:spacing w:val="-7"/>
          <w:w w:val="105"/>
        </w:rPr>
        <w:t> </w:t>
      </w:r>
      <w:r>
        <w:rPr>
          <w:color w:val="231F20"/>
          <w:w w:val="105"/>
        </w:rPr>
        <w:t>muy pocos municipios disfrutan que el partido ganador supere 50% de los votos, lo cual</w:t>
      </w:r>
      <w:r>
        <w:rPr>
          <w:color w:val="231F20"/>
          <w:spacing w:val="-30"/>
          <w:w w:val="105"/>
        </w:rPr>
        <w:t> </w:t>
      </w:r>
      <w:r>
        <w:rPr>
          <w:color w:val="231F20"/>
          <w:w w:val="105"/>
        </w:rPr>
        <w:t>es</w:t>
      </w:r>
      <w:r>
        <w:rPr>
          <w:color w:val="231F20"/>
          <w:spacing w:val="-30"/>
          <w:w w:val="105"/>
        </w:rPr>
        <w:t> </w:t>
      </w:r>
      <w:r>
        <w:rPr>
          <w:color w:val="231F20"/>
          <w:w w:val="105"/>
        </w:rPr>
        <w:t>la</w:t>
      </w:r>
      <w:r>
        <w:rPr>
          <w:color w:val="231F20"/>
          <w:spacing w:val="-30"/>
          <w:w w:val="105"/>
        </w:rPr>
        <w:t> </w:t>
      </w:r>
      <w:r>
        <w:rPr>
          <w:color w:val="231F20"/>
          <w:spacing w:val="-4"/>
          <w:w w:val="105"/>
        </w:rPr>
        <w:t>excepción”.</w:t>
      </w:r>
      <w:r>
        <w:rPr>
          <w:color w:val="231F20"/>
          <w:spacing w:val="-30"/>
          <w:w w:val="105"/>
        </w:rPr>
        <w:t> </w:t>
      </w:r>
      <w:r>
        <w:rPr>
          <w:color w:val="231F20"/>
          <w:w w:val="105"/>
        </w:rPr>
        <w:t>(Sánchez,</w:t>
      </w:r>
      <w:r>
        <w:rPr>
          <w:color w:val="231F20"/>
          <w:spacing w:val="-30"/>
          <w:w w:val="105"/>
        </w:rPr>
        <w:t> </w:t>
      </w:r>
      <w:r>
        <w:rPr>
          <w:color w:val="231F20"/>
          <w:spacing w:val="3"/>
          <w:w w:val="105"/>
        </w:rPr>
        <w:t>2008,</w:t>
      </w:r>
      <w:r>
        <w:rPr>
          <w:color w:val="231F20"/>
          <w:spacing w:val="-30"/>
          <w:w w:val="105"/>
        </w:rPr>
        <w:t> </w:t>
      </w:r>
      <w:r>
        <w:rPr>
          <w:color w:val="231F20"/>
          <w:spacing w:val="-5"/>
          <w:w w:val="105"/>
        </w:rPr>
        <w:t>79),</w:t>
      </w:r>
    </w:p>
    <w:p>
      <w:pPr>
        <w:pStyle w:val="BodyText"/>
        <w:spacing w:before="1"/>
        <w:rPr>
          <w:sz w:val="26"/>
        </w:rPr>
      </w:pPr>
    </w:p>
    <w:p>
      <w:pPr>
        <w:pStyle w:val="BodyText"/>
        <w:spacing w:line="285" w:lineRule="auto"/>
        <w:ind w:left="110" w:right="108"/>
        <w:jc w:val="both"/>
      </w:pPr>
      <w:r>
        <w:rPr>
          <w:color w:val="231F20"/>
          <w:w w:val="105"/>
        </w:rPr>
        <w:t>Lo </w:t>
      </w:r>
      <w:r>
        <w:rPr>
          <w:color w:val="231F20"/>
          <w:spacing w:val="-3"/>
          <w:w w:val="105"/>
        </w:rPr>
        <w:t>anterior </w:t>
      </w:r>
      <w:r>
        <w:rPr>
          <w:color w:val="231F20"/>
          <w:w w:val="105"/>
        </w:rPr>
        <w:t>es una </w:t>
      </w:r>
      <w:r>
        <w:rPr>
          <w:color w:val="231F20"/>
          <w:spacing w:val="-3"/>
          <w:w w:val="105"/>
        </w:rPr>
        <w:t>evidencia </w:t>
      </w:r>
      <w:r>
        <w:rPr>
          <w:color w:val="231F20"/>
          <w:w w:val="105"/>
        </w:rPr>
        <w:t>de </w:t>
      </w:r>
      <w:r>
        <w:rPr>
          <w:color w:val="231F20"/>
          <w:spacing w:val="-3"/>
          <w:w w:val="105"/>
        </w:rPr>
        <w:t>que </w:t>
      </w:r>
      <w:r>
        <w:rPr>
          <w:color w:val="231F20"/>
          <w:w w:val="105"/>
        </w:rPr>
        <w:t>la alternancia en el </w:t>
      </w:r>
      <w:r>
        <w:rPr>
          <w:color w:val="231F20"/>
          <w:spacing w:val="-3"/>
          <w:w w:val="105"/>
        </w:rPr>
        <w:t>territorio mexiquense no </w:t>
      </w:r>
      <w:r>
        <w:rPr>
          <w:color w:val="231F20"/>
          <w:w w:val="105"/>
        </w:rPr>
        <w:t>es un </w:t>
      </w:r>
      <w:r>
        <w:rPr>
          <w:color w:val="231F20"/>
          <w:spacing w:val="-5"/>
          <w:w w:val="105"/>
        </w:rPr>
        <w:t>fenómeno </w:t>
      </w:r>
      <w:r>
        <w:rPr>
          <w:color w:val="231F20"/>
          <w:spacing w:val="-3"/>
          <w:w w:val="105"/>
        </w:rPr>
        <w:t>aislado. </w:t>
      </w:r>
      <w:r>
        <w:rPr>
          <w:color w:val="231F20"/>
          <w:spacing w:val="-5"/>
          <w:w w:val="105"/>
        </w:rPr>
        <w:t>Por </w:t>
      </w:r>
      <w:r>
        <w:rPr>
          <w:color w:val="231F20"/>
          <w:w w:val="105"/>
        </w:rPr>
        <w:t>el </w:t>
      </w:r>
      <w:r>
        <w:rPr>
          <w:color w:val="231F20"/>
          <w:spacing w:val="-3"/>
          <w:w w:val="105"/>
        </w:rPr>
        <w:t>contrario, </w:t>
      </w:r>
      <w:r>
        <w:rPr>
          <w:color w:val="231F20"/>
          <w:w w:val="105"/>
        </w:rPr>
        <w:t>a </w:t>
      </w:r>
      <w:r>
        <w:rPr>
          <w:color w:val="231F20"/>
          <w:spacing w:val="-3"/>
          <w:w w:val="105"/>
        </w:rPr>
        <w:t>lo </w:t>
      </w:r>
      <w:r>
        <w:rPr>
          <w:color w:val="231F20"/>
          <w:w w:val="105"/>
        </w:rPr>
        <w:t>largo de la última </w:t>
      </w:r>
      <w:r>
        <w:rPr>
          <w:color w:val="231F20"/>
          <w:spacing w:val="-3"/>
          <w:w w:val="105"/>
        </w:rPr>
        <w:t>década, </w:t>
      </w:r>
      <w:r>
        <w:rPr>
          <w:color w:val="231F20"/>
          <w:w w:val="105"/>
        </w:rPr>
        <w:t>un </w:t>
      </w:r>
      <w:r>
        <w:rPr>
          <w:color w:val="231F20"/>
          <w:spacing w:val="-3"/>
          <w:w w:val="105"/>
        </w:rPr>
        <w:t>amplio número </w:t>
      </w:r>
      <w:r>
        <w:rPr>
          <w:color w:val="231F20"/>
          <w:w w:val="105"/>
        </w:rPr>
        <w:t>de </w:t>
      </w:r>
      <w:r>
        <w:rPr>
          <w:color w:val="231F20"/>
          <w:spacing w:val="-3"/>
          <w:w w:val="105"/>
        </w:rPr>
        <w:t>municipios</w:t>
      </w:r>
      <w:r>
        <w:rPr>
          <w:color w:val="231F20"/>
          <w:spacing w:val="-15"/>
          <w:w w:val="105"/>
        </w:rPr>
        <w:t> </w:t>
      </w:r>
      <w:r>
        <w:rPr>
          <w:color w:val="231F20"/>
          <w:w w:val="105"/>
        </w:rPr>
        <w:t>y</w:t>
      </w:r>
      <w:r>
        <w:rPr>
          <w:color w:val="231F20"/>
          <w:spacing w:val="-15"/>
          <w:w w:val="105"/>
        </w:rPr>
        <w:t> </w:t>
      </w:r>
      <w:r>
        <w:rPr>
          <w:color w:val="231F20"/>
          <w:w w:val="105"/>
        </w:rPr>
        <w:t>distritos</w:t>
      </w:r>
      <w:r>
        <w:rPr>
          <w:color w:val="231F20"/>
          <w:spacing w:val="-15"/>
          <w:w w:val="105"/>
        </w:rPr>
        <w:t> </w:t>
      </w:r>
      <w:r>
        <w:rPr>
          <w:color w:val="231F20"/>
          <w:w w:val="105"/>
        </w:rPr>
        <w:t>han</w:t>
      </w:r>
      <w:r>
        <w:rPr>
          <w:color w:val="231F20"/>
          <w:spacing w:val="-15"/>
          <w:w w:val="105"/>
        </w:rPr>
        <w:t> </w:t>
      </w:r>
      <w:r>
        <w:rPr>
          <w:color w:val="231F20"/>
          <w:spacing w:val="-4"/>
          <w:w w:val="105"/>
        </w:rPr>
        <w:t>sido</w:t>
      </w:r>
      <w:r>
        <w:rPr>
          <w:color w:val="231F20"/>
          <w:spacing w:val="-15"/>
          <w:w w:val="105"/>
        </w:rPr>
        <w:t> </w:t>
      </w:r>
      <w:r>
        <w:rPr>
          <w:color w:val="231F20"/>
          <w:spacing w:val="-4"/>
          <w:w w:val="105"/>
        </w:rPr>
        <w:t>gobernados</w:t>
      </w:r>
      <w:r>
        <w:rPr>
          <w:color w:val="231F20"/>
          <w:spacing w:val="-15"/>
          <w:w w:val="105"/>
        </w:rPr>
        <w:t> </w:t>
      </w:r>
      <w:r>
        <w:rPr>
          <w:color w:val="231F20"/>
          <w:spacing w:val="-3"/>
          <w:w w:val="105"/>
        </w:rPr>
        <w:t>por</w:t>
      </w:r>
      <w:r>
        <w:rPr>
          <w:color w:val="231F20"/>
          <w:spacing w:val="-15"/>
          <w:w w:val="105"/>
        </w:rPr>
        <w:t> </w:t>
      </w:r>
      <w:r>
        <w:rPr>
          <w:color w:val="231F20"/>
          <w:w w:val="105"/>
        </w:rPr>
        <w:t>partidos</w:t>
      </w:r>
      <w:r>
        <w:rPr>
          <w:color w:val="231F20"/>
          <w:spacing w:val="-15"/>
          <w:w w:val="105"/>
        </w:rPr>
        <w:t> </w:t>
      </w:r>
      <w:r>
        <w:rPr>
          <w:color w:val="231F20"/>
          <w:w w:val="105"/>
        </w:rPr>
        <w:t>de</w:t>
      </w:r>
      <w:r>
        <w:rPr>
          <w:color w:val="231F20"/>
          <w:spacing w:val="-15"/>
          <w:w w:val="105"/>
        </w:rPr>
        <w:t> </w:t>
      </w:r>
      <w:r>
        <w:rPr>
          <w:color w:val="231F20"/>
          <w:spacing w:val="-3"/>
          <w:w w:val="105"/>
        </w:rPr>
        <w:t>diversos</w:t>
      </w:r>
      <w:r>
        <w:rPr>
          <w:color w:val="231F20"/>
          <w:spacing w:val="-15"/>
          <w:w w:val="105"/>
        </w:rPr>
        <w:t> </w:t>
      </w:r>
      <w:r>
        <w:rPr>
          <w:color w:val="231F20"/>
          <w:spacing w:val="-4"/>
          <w:w w:val="105"/>
        </w:rPr>
        <w:t>colores</w:t>
      </w:r>
      <w:r>
        <w:rPr>
          <w:color w:val="231F20"/>
          <w:spacing w:val="-15"/>
          <w:w w:val="105"/>
        </w:rPr>
        <w:t> </w:t>
      </w:r>
      <w:r>
        <w:rPr>
          <w:color w:val="231F20"/>
          <w:w w:val="105"/>
        </w:rPr>
        <w:t>y</w:t>
      </w:r>
      <w:r>
        <w:rPr>
          <w:color w:val="231F20"/>
          <w:spacing w:val="-15"/>
          <w:w w:val="105"/>
        </w:rPr>
        <w:t> </w:t>
      </w:r>
      <w:r>
        <w:rPr>
          <w:color w:val="231F20"/>
          <w:spacing w:val="-3"/>
          <w:w w:val="105"/>
        </w:rPr>
        <w:t>principios.</w:t>
      </w:r>
    </w:p>
    <w:p>
      <w:pPr>
        <w:pStyle w:val="BodyText"/>
        <w:spacing w:before="2"/>
        <w:rPr>
          <w:sz w:val="20"/>
        </w:rPr>
      </w:pPr>
    </w:p>
    <w:p>
      <w:pPr>
        <w:pStyle w:val="Heading4"/>
        <w:spacing w:before="1"/>
        <w:rPr>
          <w:i/>
        </w:rPr>
      </w:pPr>
      <w:r>
        <w:rPr>
          <w:i/>
          <w:color w:val="231F20"/>
          <w:w w:val="105"/>
        </w:rPr>
        <w:t>Política y desarrollo en la administración gubernamental</w:t>
      </w:r>
    </w:p>
    <w:p>
      <w:pPr>
        <w:pStyle w:val="BodyText"/>
        <w:spacing w:line="285" w:lineRule="auto" w:before="16"/>
        <w:ind w:left="110" w:right="107"/>
        <w:jc w:val="both"/>
      </w:pPr>
      <w:r>
        <w:rPr>
          <w:color w:val="231F20"/>
          <w:w w:val="105"/>
        </w:rPr>
        <w:t>La</w:t>
      </w:r>
      <w:r>
        <w:rPr>
          <w:color w:val="231F20"/>
          <w:spacing w:val="-12"/>
          <w:w w:val="105"/>
        </w:rPr>
        <w:t> </w:t>
      </w:r>
      <w:r>
        <w:rPr>
          <w:color w:val="231F20"/>
          <w:w w:val="105"/>
        </w:rPr>
        <w:t>integración</w:t>
      </w:r>
      <w:r>
        <w:rPr>
          <w:color w:val="231F20"/>
          <w:spacing w:val="-12"/>
          <w:w w:val="105"/>
        </w:rPr>
        <w:t> </w:t>
      </w:r>
      <w:r>
        <w:rPr>
          <w:color w:val="231F20"/>
          <w:w w:val="105"/>
        </w:rPr>
        <w:t>de</w:t>
      </w:r>
      <w:r>
        <w:rPr>
          <w:color w:val="231F20"/>
          <w:spacing w:val="-12"/>
          <w:w w:val="105"/>
        </w:rPr>
        <w:t> </w:t>
      </w:r>
      <w:r>
        <w:rPr>
          <w:color w:val="231F20"/>
          <w:w w:val="105"/>
        </w:rPr>
        <w:t>cada</w:t>
      </w:r>
      <w:r>
        <w:rPr>
          <w:color w:val="231F20"/>
          <w:spacing w:val="-12"/>
          <w:w w:val="105"/>
        </w:rPr>
        <w:t> </w:t>
      </w:r>
      <w:r>
        <w:rPr>
          <w:color w:val="231F20"/>
          <w:w w:val="105"/>
        </w:rPr>
        <w:t>aspecto</w:t>
      </w:r>
      <w:r>
        <w:rPr>
          <w:color w:val="231F20"/>
          <w:spacing w:val="-12"/>
          <w:w w:val="105"/>
        </w:rPr>
        <w:t> </w:t>
      </w:r>
      <w:r>
        <w:rPr>
          <w:color w:val="231F20"/>
          <w:w w:val="105"/>
        </w:rPr>
        <w:t>del</w:t>
      </w:r>
      <w:r>
        <w:rPr>
          <w:color w:val="231F20"/>
          <w:spacing w:val="-12"/>
          <w:w w:val="105"/>
        </w:rPr>
        <w:t> </w:t>
      </w:r>
      <w:r>
        <w:rPr>
          <w:color w:val="231F20"/>
          <w:w w:val="105"/>
        </w:rPr>
        <w:t>desarrollo</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contiene</w:t>
      </w:r>
      <w:r>
        <w:rPr>
          <w:color w:val="231F20"/>
          <w:spacing w:val="-12"/>
          <w:w w:val="105"/>
        </w:rPr>
        <w:t> </w:t>
      </w:r>
      <w:r>
        <w:rPr>
          <w:color w:val="231F20"/>
          <w:w w:val="105"/>
        </w:rPr>
        <w:t>un</w:t>
      </w:r>
      <w:r>
        <w:rPr>
          <w:color w:val="231F20"/>
          <w:spacing w:val="-12"/>
          <w:w w:val="105"/>
        </w:rPr>
        <w:t> </w:t>
      </w:r>
      <w:r>
        <w:rPr>
          <w:color w:val="231F20"/>
          <w:w w:val="105"/>
        </w:rPr>
        <w:t>marco</w:t>
      </w:r>
      <w:r>
        <w:rPr>
          <w:color w:val="231F20"/>
          <w:spacing w:val="-12"/>
          <w:w w:val="105"/>
        </w:rPr>
        <w:t> </w:t>
      </w:r>
      <w:r>
        <w:rPr>
          <w:color w:val="231F20"/>
          <w:w w:val="105"/>
        </w:rPr>
        <w:t>legal</w:t>
      </w:r>
      <w:r>
        <w:rPr>
          <w:color w:val="231F20"/>
          <w:spacing w:val="-12"/>
          <w:w w:val="105"/>
        </w:rPr>
        <w:t> </w:t>
      </w:r>
      <w:r>
        <w:rPr>
          <w:color w:val="231F20"/>
          <w:w w:val="105"/>
        </w:rPr>
        <w:t>que es definido como </w:t>
      </w:r>
      <w:r>
        <w:rPr>
          <w:color w:val="231F20"/>
          <w:spacing w:val="2"/>
          <w:w w:val="105"/>
        </w:rPr>
        <w:t>“la </w:t>
      </w:r>
      <w:r>
        <w:rPr>
          <w:color w:val="231F20"/>
          <w:w w:val="105"/>
        </w:rPr>
        <w:t>igualdad de oportunidades sociales, políticas, económicas y de desarrollo en un medio ambiente adecuado para los habitantes de una delimitación te- rritorial,</w:t>
      </w:r>
      <w:r>
        <w:rPr>
          <w:color w:val="231F20"/>
          <w:spacing w:val="-19"/>
          <w:w w:val="105"/>
        </w:rPr>
        <w:t> </w:t>
      </w:r>
      <w:r>
        <w:rPr>
          <w:color w:val="231F20"/>
          <w:w w:val="105"/>
        </w:rPr>
        <w:t>todo</w:t>
      </w:r>
      <w:r>
        <w:rPr>
          <w:color w:val="231F20"/>
          <w:spacing w:val="-19"/>
          <w:w w:val="105"/>
        </w:rPr>
        <w:t> </w:t>
      </w:r>
      <w:r>
        <w:rPr>
          <w:color w:val="231F20"/>
          <w:w w:val="105"/>
        </w:rPr>
        <w:t>ello</w:t>
      </w:r>
      <w:r>
        <w:rPr>
          <w:color w:val="231F20"/>
          <w:spacing w:val="-19"/>
          <w:w w:val="105"/>
        </w:rPr>
        <w:t> </w:t>
      </w:r>
      <w:r>
        <w:rPr>
          <w:color w:val="231F20"/>
          <w:w w:val="105"/>
        </w:rPr>
        <w:t>a</w:t>
      </w:r>
      <w:r>
        <w:rPr>
          <w:color w:val="231F20"/>
          <w:spacing w:val="-19"/>
          <w:w w:val="105"/>
        </w:rPr>
        <w:t> </w:t>
      </w:r>
      <w:r>
        <w:rPr>
          <w:color w:val="231F20"/>
          <w:spacing w:val="2"/>
          <w:w w:val="105"/>
        </w:rPr>
        <w:t>partir</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“descripción,</w:t>
      </w:r>
      <w:r>
        <w:rPr>
          <w:color w:val="231F20"/>
          <w:spacing w:val="-19"/>
          <w:w w:val="105"/>
        </w:rPr>
        <w:t> </w:t>
      </w:r>
      <w:r>
        <w:rPr>
          <w:color w:val="231F20"/>
          <w:w w:val="105"/>
        </w:rPr>
        <w:t>evaluación</w:t>
      </w:r>
      <w:r>
        <w:rPr>
          <w:color w:val="231F20"/>
          <w:spacing w:val="-19"/>
          <w:w w:val="105"/>
        </w:rPr>
        <w:t> </w:t>
      </w:r>
      <w:r>
        <w:rPr>
          <w:color w:val="231F20"/>
          <w:w w:val="105"/>
        </w:rPr>
        <w:t>y</w:t>
      </w:r>
      <w:r>
        <w:rPr>
          <w:color w:val="231F20"/>
          <w:spacing w:val="-19"/>
          <w:w w:val="105"/>
        </w:rPr>
        <w:t> </w:t>
      </w:r>
      <w:r>
        <w:rPr>
          <w:color w:val="231F20"/>
          <w:spacing w:val="2"/>
          <w:w w:val="105"/>
        </w:rPr>
        <w:t>análisis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situación</w:t>
      </w:r>
      <w:r>
        <w:rPr>
          <w:color w:val="231F20"/>
          <w:spacing w:val="-19"/>
          <w:w w:val="105"/>
        </w:rPr>
        <w:t> </w:t>
      </w:r>
      <w:r>
        <w:rPr>
          <w:color w:val="231F20"/>
          <w:w w:val="105"/>
        </w:rPr>
        <w:t>actual y</w:t>
      </w:r>
      <w:r>
        <w:rPr>
          <w:color w:val="231F20"/>
          <w:spacing w:val="-12"/>
          <w:w w:val="105"/>
        </w:rPr>
        <w:t> </w:t>
      </w:r>
      <w:r>
        <w:rPr>
          <w:color w:val="231F20"/>
          <w:w w:val="105"/>
        </w:rPr>
        <w:t>la</w:t>
      </w:r>
      <w:r>
        <w:rPr>
          <w:color w:val="231F20"/>
          <w:spacing w:val="-12"/>
          <w:w w:val="105"/>
        </w:rPr>
        <w:t> </w:t>
      </w:r>
      <w:r>
        <w:rPr>
          <w:color w:val="231F20"/>
          <w:w w:val="105"/>
        </w:rPr>
        <w:t>trayectoria</w:t>
      </w:r>
      <w:r>
        <w:rPr>
          <w:color w:val="231F20"/>
          <w:spacing w:val="-12"/>
          <w:w w:val="105"/>
        </w:rPr>
        <w:t> </w:t>
      </w:r>
      <w:r>
        <w:rPr>
          <w:color w:val="231F20"/>
          <w:w w:val="105"/>
        </w:rPr>
        <w:t>histórica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realidad</w:t>
      </w:r>
      <w:r>
        <w:rPr>
          <w:color w:val="231F20"/>
          <w:spacing w:val="-12"/>
          <w:w w:val="105"/>
        </w:rPr>
        <w:t> </w:t>
      </w:r>
      <w:r>
        <w:rPr>
          <w:color w:val="231F20"/>
          <w:w w:val="105"/>
        </w:rPr>
        <w:t>económica,</w:t>
      </w:r>
      <w:r>
        <w:rPr>
          <w:color w:val="231F20"/>
          <w:spacing w:val="-12"/>
          <w:w w:val="105"/>
        </w:rPr>
        <w:t> </w:t>
      </w:r>
      <w:r>
        <w:rPr>
          <w:color w:val="231F20"/>
          <w:w w:val="105"/>
        </w:rPr>
        <w:t>ambiental,</w:t>
      </w:r>
      <w:r>
        <w:rPr>
          <w:color w:val="231F20"/>
          <w:spacing w:val="-12"/>
          <w:w w:val="105"/>
        </w:rPr>
        <w:t> </w:t>
      </w:r>
      <w:r>
        <w:rPr>
          <w:color w:val="231F20"/>
          <w:w w:val="105"/>
        </w:rPr>
        <w:t>política</w:t>
      </w:r>
      <w:r>
        <w:rPr>
          <w:color w:val="231F20"/>
          <w:spacing w:val="-12"/>
          <w:w w:val="105"/>
        </w:rPr>
        <w:t> </w:t>
      </w:r>
      <w:r>
        <w:rPr>
          <w:color w:val="231F20"/>
          <w:w w:val="105"/>
        </w:rPr>
        <w:t>y</w:t>
      </w:r>
      <w:r>
        <w:rPr>
          <w:color w:val="231F20"/>
          <w:spacing w:val="-12"/>
          <w:w w:val="105"/>
        </w:rPr>
        <w:t> </w:t>
      </w:r>
      <w:r>
        <w:rPr>
          <w:color w:val="231F20"/>
          <w:w w:val="105"/>
        </w:rPr>
        <w:t>social</w:t>
      </w:r>
      <w:r>
        <w:rPr>
          <w:color w:val="231F20"/>
          <w:spacing w:val="-12"/>
          <w:w w:val="105"/>
        </w:rPr>
        <w:t> </w:t>
      </w:r>
      <w:r>
        <w:rPr>
          <w:color w:val="231F20"/>
          <w:w w:val="105"/>
        </w:rPr>
        <w:t>de</w:t>
      </w:r>
      <w:r>
        <w:rPr>
          <w:color w:val="231F20"/>
          <w:spacing w:val="-12"/>
          <w:w w:val="105"/>
        </w:rPr>
        <w:t> </w:t>
      </w:r>
      <w:r>
        <w:rPr>
          <w:color w:val="231F20"/>
          <w:w w:val="105"/>
        </w:rPr>
        <w:t>algún </w:t>
      </w:r>
      <w:r>
        <w:rPr>
          <w:color w:val="231F20"/>
          <w:spacing w:val="-3"/>
          <w:w w:val="105"/>
        </w:rPr>
        <w:t>fenómeno </w:t>
      </w:r>
      <w:r>
        <w:rPr>
          <w:color w:val="231F20"/>
          <w:w w:val="105"/>
        </w:rPr>
        <w:t>o variable”</w:t>
      </w:r>
      <w:r>
        <w:rPr>
          <w:color w:val="231F20"/>
          <w:w w:val="105"/>
          <w:position w:val="7"/>
          <w:sz w:val="13"/>
        </w:rPr>
        <w:t>6</w:t>
      </w:r>
      <w:r>
        <w:rPr>
          <w:color w:val="231F20"/>
          <w:w w:val="105"/>
        </w:rPr>
        <w:t>. Se establece constitucionalmente la necesidad de vinculación entre los tres niveles de gobierno, (Cuadro 7) sirve para contrastar la gestión guberna- mental,</w:t>
      </w:r>
      <w:r>
        <w:rPr>
          <w:color w:val="231F20"/>
          <w:spacing w:val="-16"/>
          <w:w w:val="105"/>
        </w:rPr>
        <w:t> </w:t>
      </w:r>
      <w:r>
        <w:rPr>
          <w:color w:val="231F20"/>
          <w:w w:val="105"/>
        </w:rPr>
        <w:t>entre</w:t>
      </w:r>
      <w:r>
        <w:rPr>
          <w:color w:val="231F20"/>
          <w:spacing w:val="-16"/>
          <w:w w:val="105"/>
        </w:rPr>
        <w:t> </w:t>
      </w:r>
      <w:r>
        <w:rPr>
          <w:color w:val="231F20"/>
          <w:w w:val="105"/>
        </w:rPr>
        <w:t>sus</w:t>
      </w:r>
      <w:r>
        <w:rPr>
          <w:color w:val="231F20"/>
          <w:spacing w:val="-16"/>
          <w:w w:val="105"/>
        </w:rPr>
        <w:t> </w:t>
      </w:r>
      <w:r>
        <w:rPr>
          <w:color w:val="231F20"/>
          <w:w w:val="105"/>
        </w:rPr>
        <w:t>dichos</w:t>
      </w:r>
      <w:r>
        <w:rPr>
          <w:color w:val="231F20"/>
          <w:spacing w:val="-16"/>
          <w:w w:val="105"/>
        </w:rPr>
        <w:t> </w:t>
      </w:r>
      <w:r>
        <w:rPr>
          <w:color w:val="231F20"/>
          <w:w w:val="105"/>
        </w:rPr>
        <w:t>y</w:t>
      </w:r>
      <w:r>
        <w:rPr>
          <w:color w:val="231F20"/>
          <w:spacing w:val="-16"/>
          <w:w w:val="105"/>
        </w:rPr>
        <w:t> </w:t>
      </w:r>
      <w:r>
        <w:rPr>
          <w:color w:val="231F20"/>
          <w:w w:val="105"/>
        </w:rPr>
        <w:t>consecuencias</w:t>
      </w:r>
      <w:r>
        <w:rPr>
          <w:color w:val="231F20"/>
          <w:spacing w:val="-16"/>
          <w:w w:val="105"/>
        </w:rPr>
        <w:t> </w:t>
      </w:r>
      <w:r>
        <w:rPr>
          <w:color w:val="231F20"/>
          <w:w w:val="105"/>
        </w:rPr>
        <w:t>operacionales.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0024;mso-wrap-distance-left:0;mso-wrap-distance-right:0" from="42.519699pt,11.31351pt" to="114.519699pt,11.31351pt" stroked="true" strokeweight="1pt" strokecolor="#231f20">
            <w10:wrap type="topAndBottom"/>
          </v:line>
        </w:pict>
      </w:r>
    </w:p>
    <w:p>
      <w:pPr>
        <w:pStyle w:val="ListParagraph"/>
        <w:numPr>
          <w:ilvl w:val="0"/>
          <w:numId w:val="12"/>
        </w:numPr>
        <w:tabs>
          <w:tab w:pos="259" w:val="left" w:leader="none"/>
        </w:tabs>
        <w:spacing w:line="240" w:lineRule="auto" w:before="8" w:after="0"/>
        <w:ind w:left="258" w:right="0" w:hanging="148"/>
        <w:jc w:val="left"/>
        <w:rPr>
          <w:sz w:val="16"/>
        </w:rPr>
      </w:pPr>
      <w:r>
        <w:rPr>
          <w:color w:val="231F20"/>
          <w:sz w:val="16"/>
        </w:rPr>
        <w:t>Ley</w:t>
      </w:r>
      <w:r>
        <w:rPr>
          <w:color w:val="231F20"/>
          <w:spacing w:val="-8"/>
          <w:sz w:val="16"/>
        </w:rPr>
        <w:t> </w:t>
      </w:r>
      <w:r>
        <w:rPr>
          <w:color w:val="231F20"/>
          <w:sz w:val="16"/>
        </w:rPr>
        <w:t>de</w:t>
      </w:r>
      <w:r>
        <w:rPr>
          <w:color w:val="231F20"/>
          <w:spacing w:val="-8"/>
          <w:sz w:val="16"/>
        </w:rPr>
        <w:t> </w:t>
      </w:r>
      <w:r>
        <w:rPr>
          <w:color w:val="231F20"/>
          <w:sz w:val="16"/>
        </w:rPr>
        <w:t>Planeación</w:t>
      </w:r>
      <w:r>
        <w:rPr>
          <w:color w:val="231F20"/>
          <w:spacing w:val="-8"/>
          <w:sz w:val="16"/>
        </w:rPr>
        <w:t> </w:t>
      </w:r>
      <w:r>
        <w:rPr>
          <w:color w:val="231F20"/>
          <w:sz w:val="16"/>
        </w:rPr>
        <w:t>del</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y</w:t>
      </w:r>
      <w:r>
        <w:rPr>
          <w:color w:val="231F20"/>
          <w:spacing w:val="-8"/>
          <w:sz w:val="16"/>
        </w:rPr>
        <w:t> </w:t>
      </w:r>
      <w:r>
        <w:rPr>
          <w:color w:val="231F20"/>
          <w:sz w:val="16"/>
        </w:rPr>
        <w:t>Municipios.</w:t>
      </w:r>
    </w:p>
    <w:p>
      <w:pPr>
        <w:spacing w:after="0" w:line="240" w:lineRule="auto"/>
        <w:jc w:val="left"/>
        <w:rPr>
          <w:sz w:val="16"/>
        </w:rPr>
        <w:sectPr>
          <w:pgSz w:w="9640" w:h="12190"/>
          <w:pgMar w:header="0" w:footer="743" w:top="1120" w:bottom="940" w:left="740" w:right="740"/>
        </w:sectPr>
      </w:pPr>
    </w:p>
    <w:p>
      <w:pPr>
        <w:pStyle w:val="Heading5"/>
        <w:spacing w:line="285" w:lineRule="auto" w:before="27"/>
        <w:ind w:left="1656" w:right="534" w:hanging="1051"/>
      </w:pPr>
      <w:r>
        <w:rPr>
          <w:color w:val="231F20"/>
          <w:w w:val="105"/>
        </w:rPr>
        <w:t>Cuadro 7 Vinculación de los Planes de Desarrollo Municipal 2006-2009 con los Sistemas de Planeación Nacional y Estatal.</w:t>
      </w:r>
    </w:p>
    <w:p>
      <w:pPr>
        <w:pStyle w:val="BodyText"/>
        <w:rPr>
          <w:b/>
          <w:sz w:val="20"/>
        </w:rPr>
      </w:pPr>
    </w:p>
    <w:p>
      <w:pPr>
        <w:pStyle w:val="BodyText"/>
        <w:spacing w:before="10"/>
        <w:rPr>
          <w:b/>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27"/>
        <w:gridCol w:w="1855"/>
        <w:gridCol w:w="1743"/>
        <w:gridCol w:w="2803"/>
      </w:tblGrid>
      <w:tr>
        <w:trPr>
          <w:trHeight w:val="130" w:hRule="exact"/>
        </w:trPr>
        <w:tc>
          <w:tcPr>
            <w:tcW w:w="1527" w:type="dxa"/>
            <w:tcBorders>
              <w:right w:val="nil"/>
            </w:tcBorders>
          </w:tcPr>
          <w:p>
            <w:pPr>
              <w:pStyle w:val="TableParagraph"/>
              <w:spacing w:line="160" w:lineRule="exact"/>
              <w:ind w:left="0"/>
              <w:jc w:val="right"/>
              <w:rPr>
                <w:sz w:val="16"/>
              </w:rPr>
            </w:pPr>
            <w:r>
              <w:rPr>
                <w:color w:val="231F20"/>
                <w:w w:val="75"/>
                <w:sz w:val="16"/>
              </w:rPr>
              <w:t>F</w:t>
            </w:r>
          </w:p>
        </w:tc>
        <w:tc>
          <w:tcPr>
            <w:tcW w:w="1855" w:type="dxa"/>
            <w:tcBorders>
              <w:left w:val="nil"/>
            </w:tcBorders>
          </w:tcPr>
          <w:p>
            <w:pPr>
              <w:pStyle w:val="TableParagraph"/>
              <w:spacing w:line="160" w:lineRule="exact"/>
              <w:ind w:left="0"/>
              <w:rPr>
                <w:sz w:val="16"/>
              </w:rPr>
            </w:pPr>
            <w:r>
              <w:rPr>
                <w:color w:val="231F20"/>
                <w:w w:val="85"/>
                <w:sz w:val="16"/>
              </w:rPr>
              <w:t>EDERAL</w:t>
            </w:r>
          </w:p>
        </w:tc>
        <w:tc>
          <w:tcPr>
            <w:tcW w:w="1743" w:type="dxa"/>
          </w:tcPr>
          <w:p>
            <w:pPr>
              <w:pStyle w:val="TableParagraph"/>
              <w:spacing w:line="160" w:lineRule="exact"/>
              <w:ind w:left="174" w:right="174"/>
              <w:jc w:val="center"/>
              <w:rPr>
                <w:sz w:val="16"/>
              </w:rPr>
            </w:pPr>
            <w:r>
              <w:rPr>
                <w:color w:val="231F20"/>
                <w:w w:val="85"/>
                <w:sz w:val="16"/>
              </w:rPr>
              <w:t>ESTATAL</w:t>
            </w:r>
          </w:p>
        </w:tc>
        <w:tc>
          <w:tcPr>
            <w:tcW w:w="2803" w:type="dxa"/>
          </w:tcPr>
          <w:p>
            <w:pPr>
              <w:pStyle w:val="TableParagraph"/>
              <w:spacing w:line="160" w:lineRule="exact"/>
              <w:ind w:left="148" w:right="147"/>
              <w:jc w:val="center"/>
              <w:rPr>
                <w:sz w:val="16"/>
              </w:rPr>
            </w:pPr>
            <w:r>
              <w:rPr>
                <w:color w:val="231F20"/>
                <w:w w:val="85"/>
                <w:sz w:val="16"/>
              </w:rPr>
              <w:t>MUNICIPAL</w:t>
            </w:r>
          </w:p>
        </w:tc>
      </w:tr>
      <w:tr>
        <w:trPr>
          <w:trHeight w:val="130" w:hRule="exact"/>
        </w:trPr>
        <w:tc>
          <w:tcPr>
            <w:tcW w:w="1527" w:type="dxa"/>
          </w:tcPr>
          <w:p>
            <w:pPr>
              <w:pStyle w:val="TableParagraph"/>
              <w:spacing w:line="160" w:lineRule="exact"/>
              <w:ind w:left="263"/>
              <w:rPr>
                <w:sz w:val="16"/>
              </w:rPr>
            </w:pPr>
            <w:r>
              <w:rPr>
                <w:color w:val="231F20"/>
                <w:w w:val="75"/>
                <w:sz w:val="16"/>
              </w:rPr>
              <w:t>Objetivos generales</w:t>
            </w:r>
          </w:p>
        </w:tc>
        <w:tc>
          <w:tcPr>
            <w:tcW w:w="1855" w:type="dxa"/>
          </w:tcPr>
          <w:p>
            <w:pPr>
              <w:pStyle w:val="TableParagraph"/>
              <w:spacing w:line="160" w:lineRule="exact"/>
              <w:ind w:left="293" w:right="100"/>
              <w:rPr>
                <w:sz w:val="16"/>
              </w:rPr>
            </w:pPr>
            <w:r>
              <w:rPr>
                <w:color w:val="231F20"/>
                <w:w w:val="75"/>
                <w:sz w:val="16"/>
              </w:rPr>
              <w:t>Ejes rectores particulares</w:t>
            </w:r>
          </w:p>
        </w:tc>
        <w:tc>
          <w:tcPr>
            <w:tcW w:w="1743" w:type="dxa"/>
          </w:tcPr>
          <w:p>
            <w:pPr>
              <w:pStyle w:val="TableParagraph"/>
              <w:spacing w:line="160" w:lineRule="exact"/>
              <w:ind w:left="174" w:right="174"/>
              <w:jc w:val="center"/>
              <w:rPr>
                <w:sz w:val="16"/>
              </w:rPr>
            </w:pPr>
            <w:r>
              <w:rPr>
                <w:color w:val="231F20"/>
                <w:w w:val="75"/>
                <w:sz w:val="16"/>
              </w:rPr>
              <w:t>Pilares y cimientos</w:t>
            </w:r>
          </w:p>
        </w:tc>
        <w:tc>
          <w:tcPr>
            <w:tcW w:w="2803" w:type="dxa"/>
          </w:tcPr>
          <w:p>
            <w:pPr>
              <w:pStyle w:val="TableParagraph"/>
              <w:spacing w:line="160" w:lineRule="exact"/>
              <w:ind w:left="148" w:right="148"/>
              <w:jc w:val="center"/>
              <w:rPr>
                <w:sz w:val="16"/>
              </w:rPr>
            </w:pPr>
            <w:r>
              <w:rPr>
                <w:color w:val="231F20"/>
                <w:w w:val="75"/>
                <w:sz w:val="16"/>
              </w:rPr>
              <w:t>Objetivos Municipales (OM)</w:t>
            </w:r>
          </w:p>
        </w:tc>
      </w:tr>
      <w:tr>
        <w:trPr>
          <w:trHeight w:val="898" w:hRule="exact"/>
        </w:trPr>
        <w:tc>
          <w:tcPr>
            <w:tcW w:w="1527" w:type="dxa"/>
          </w:tcPr>
          <w:p>
            <w:pPr>
              <w:pStyle w:val="TableParagraph"/>
              <w:spacing w:before="1"/>
              <w:ind w:left="0"/>
              <w:rPr>
                <w:rFonts w:ascii="Times New Roman"/>
                <w:b/>
                <w:sz w:val="22"/>
              </w:rPr>
            </w:pPr>
          </w:p>
          <w:p>
            <w:pPr>
              <w:pStyle w:val="TableParagraph"/>
              <w:spacing w:line="192" w:lineRule="exact"/>
              <w:ind w:left="548" w:hanging="244"/>
              <w:rPr>
                <w:sz w:val="16"/>
              </w:rPr>
            </w:pPr>
            <w:r>
              <w:rPr>
                <w:color w:val="231F20"/>
                <w:w w:val="80"/>
                <w:sz w:val="16"/>
              </w:rPr>
              <w:t>Desarrollo social y </w:t>
            </w:r>
            <w:r>
              <w:rPr>
                <w:color w:val="231F20"/>
                <w:w w:val="85"/>
                <w:sz w:val="16"/>
              </w:rPr>
              <w:t>humano</w:t>
            </w:r>
          </w:p>
        </w:tc>
        <w:tc>
          <w:tcPr>
            <w:tcW w:w="1855" w:type="dxa"/>
          </w:tcPr>
          <w:p>
            <w:pPr>
              <w:pStyle w:val="TableParagraph"/>
              <w:spacing w:line="163" w:lineRule="exact"/>
              <w:ind w:left="170" w:right="100" w:firstLine="67"/>
              <w:rPr>
                <w:sz w:val="16"/>
              </w:rPr>
            </w:pPr>
            <w:r>
              <w:rPr>
                <w:color w:val="231F20"/>
                <w:w w:val="75"/>
                <w:sz w:val="16"/>
              </w:rPr>
              <w:t>Sustentabilidad  ambiental.</w:t>
            </w:r>
          </w:p>
          <w:p>
            <w:pPr>
              <w:pStyle w:val="TableParagraph"/>
              <w:spacing w:before="3"/>
              <w:ind w:left="0"/>
              <w:rPr>
                <w:rFonts w:ascii="Times New Roman"/>
                <w:b/>
                <w:sz w:val="16"/>
              </w:rPr>
            </w:pPr>
          </w:p>
          <w:p>
            <w:pPr>
              <w:pStyle w:val="TableParagraph"/>
              <w:spacing w:line="192" w:lineRule="exact"/>
              <w:ind w:left="389" w:right="100" w:hanging="219"/>
              <w:rPr>
                <w:sz w:val="16"/>
              </w:rPr>
            </w:pPr>
            <w:r>
              <w:rPr>
                <w:color w:val="231F20"/>
                <w:w w:val="80"/>
                <w:sz w:val="16"/>
              </w:rPr>
              <w:t>Democracia efectiva y política </w:t>
            </w:r>
            <w:r>
              <w:rPr>
                <w:color w:val="231F20"/>
                <w:w w:val="75"/>
                <w:sz w:val="16"/>
              </w:rPr>
              <w:t>exterior responsable.</w:t>
            </w:r>
          </w:p>
        </w:tc>
        <w:tc>
          <w:tcPr>
            <w:tcW w:w="1743" w:type="dxa"/>
          </w:tcPr>
          <w:p>
            <w:pPr>
              <w:pStyle w:val="TableParagraph"/>
              <w:spacing w:before="2"/>
              <w:ind w:left="0"/>
              <w:rPr>
                <w:rFonts w:ascii="Times New Roman"/>
                <w:b/>
                <w:sz w:val="22"/>
              </w:rPr>
            </w:pPr>
          </w:p>
          <w:p>
            <w:pPr>
              <w:pStyle w:val="TableParagraph"/>
              <w:ind w:left="174" w:right="174"/>
              <w:jc w:val="center"/>
              <w:rPr>
                <w:sz w:val="16"/>
              </w:rPr>
            </w:pPr>
            <w:r>
              <w:rPr>
                <w:color w:val="231F20"/>
                <w:w w:val="75"/>
                <w:sz w:val="16"/>
              </w:rPr>
              <w:t>Seguridad  social.</w:t>
            </w:r>
          </w:p>
        </w:tc>
        <w:tc>
          <w:tcPr>
            <w:tcW w:w="2803" w:type="dxa"/>
          </w:tcPr>
          <w:p>
            <w:pPr>
              <w:pStyle w:val="TableParagraph"/>
              <w:spacing w:before="2"/>
              <w:ind w:left="0"/>
              <w:rPr>
                <w:rFonts w:ascii="Times New Roman"/>
                <w:b/>
                <w:sz w:val="22"/>
              </w:rPr>
            </w:pPr>
          </w:p>
          <w:p>
            <w:pPr>
              <w:pStyle w:val="TableParagraph"/>
              <w:ind w:left="148" w:right="148"/>
              <w:jc w:val="center"/>
              <w:rPr>
                <w:sz w:val="16"/>
              </w:rPr>
            </w:pPr>
            <w:r>
              <w:rPr>
                <w:color w:val="231F20"/>
                <w:w w:val="75"/>
                <w:sz w:val="16"/>
              </w:rPr>
              <w:t>OM1.-Desarrollo social y combate a la pobreza.</w:t>
            </w:r>
          </w:p>
        </w:tc>
      </w:tr>
      <w:tr>
        <w:trPr>
          <w:trHeight w:val="1303" w:hRule="exact"/>
        </w:trPr>
        <w:tc>
          <w:tcPr>
            <w:tcW w:w="1527" w:type="dxa"/>
          </w:tcPr>
          <w:p>
            <w:pPr>
              <w:pStyle w:val="TableParagraph"/>
              <w:ind w:left="0"/>
              <w:rPr>
                <w:rFonts w:ascii="Times New Roman"/>
                <w:b/>
                <w:sz w:val="16"/>
              </w:rPr>
            </w:pPr>
          </w:p>
          <w:p>
            <w:pPr>
              <w:pStyle w:val="TableParagraph"/>
              <w:ind w:left="0"/>
              <w:rPr>
                <w:rFonts w:ascii="Times New Roman"/>
                <w:b/>
                <w:sz w:val="16"/>
              </w:rPr>
            </w:pPr>
          </w:p>
          <w:p>
            <w:pPr>
              <w:pStyle w:val="TableParagraph"/>
              <w:spacing w:before="2"/>
              <w:ind w:left="0"/>
              <w:rPr>
                <w:rFonts w:ascii="Times New Roman"/>
                <w:b/>
                <w:sz w:val="16"/>
              </w:rPr>
            </w:pPr>
          </w:p>
          <w:p>
            <w:pPr>
              <w:pStyle w:val="TableParagraph"/>
              <w:ind w:left="142"/>
              <w:rPr>
                <w:sz w:val="16"/>
              </w:rPr>
            </w:pPr>
            <w:r>
              <w:rPr>
                <w:color w:val="231F20"/>
                <w:w w:val="75"/>
                <w:sz w:val="16"/>
              </w:rPr>
              <w:t>Crecimiento con calidad.</w:t>
            </w:r>
          </w:p>
        </w:tc>
        <w:tc>
          <w:tcPr>
            <w:tcW w:w="1855" w:type="dxa"/>
          </w:tcPr>
          <w:p>
            <w:pPr>
              <w:pStyle w:val="TableParagraph"/>
              <w:ind w:left="0"/>
              <w:rPr>
                <w:rFonts w:ascii="Times New Roman"/>
                <w:b/>
                <w:sz w:val="16"/>
              </w:rPr>
            </w:pPr>
          </w:p>
          <w:p>
            <w:pPr>
              <w:pStyle w:val="TableParagraph"/>
              <w:spacing w:before="4"/>
              <w:ind w:left="0"/>
              <w:rPr>
                <w:rFonts w:ascii="Times New Roman"/>
                <w:b/>
                <w:sz w:val="15"/>
              </w:rPr>
            </w:pPr>
          </w:p>
          <w:p>
            <w:pPr>
              <w:pStyle w:val="TableParagraph"/>
              <w:spacing w:line="192" w:lineRule="exact"/>
              <w:ind w:left="77" w:right="75"/>
              <w:jc w:val="center"/>
              <w:rPr>
                <w:sz w:val="16"/>
              </w:rPr>
            </w:pPr>
            <w:r>
              <w:rPr>
                <w:color w:val="231F20"/>
                <w:w w:val="80"/>
                <w:sz w:val="16"/>
              </w:rPr>
              <w:t>Economía competitiva y genera- </w:t>
            </w:r>
            <w:r>
              <w:rPr>
                <w:color w:val="231F20"/>
                <w:w w:val="75"/>
                <w:sz w:val="16"/>
              </w:rPr>
              <w:t>dora de empleos.</w:t>
            </w:r>
          </w:p>
          <w:p>
            <w:pPr>
              <w:pStyle w:val="TableParagraph"/>
              <w:spacing w:before="1"/>
              <w:ind w:left="75" w:right="75"/>
              <w:jc w:val="center"/>
              <w:rPr>
                <w:sz w:val="16"/>
              </w:rPr>
            </w:pPr>
            <w:r>
              <w:rPr>
                <w:color w:val="231F20"/>
                <w:w w:val="75"/>
                <w:sz w:val="16"/>
              </w:rPr>
              <w:t>Igualdad de oportunidades.</w:t>
            </w:r>
          </w:p>
        </w:tc>
        <w:tc>
          <w:tcPr>
            <w:tcW w:w="1743" w:type="dxa"/>
          </w:tcPr>
          <w:p>
            <w:pPr>
              <w:pStyle w:val="TableParagraph"/>
              <w:spacing w:before="9"/>
              <w:ind w:left="0"/>
              <w:rPr>
                <w:rFonts w:ascii="Times New Roman"/>
                <w:b/>
                <w:sz w:val="14"/>
              </w:rPr>
            </w:pPr>
          </w:p>
          <w:p>
            <w:pPr>
              <w:pStyle w:val="TableParagraph"/>
              <w:spacing w:line="472" w:lineRule="auto"/>
              <w:ind w:left="177" w:right="174"/>
              <w:jc w:val="center"/>
              <w:rPr>
                <w:sz w:val="16"/>
              </w:rPr>
            </w:pPr>
            <w:r>
              <w:rPr>
                <w:color w:val="231F20"/>
                <w:w w:val="75"/>
                <w:sz w:val="16"/>
              </w:rPr>
              <w:t>Igualdad de oportunidades. </w:t>
            </w:r>
            <w:r>
              <w:rPr>
                <w:color w:val="231F20"/>
                <w:w w:val="85"/>
                <w:sz w:val="16"/>
              </w:rPr>
              <w:t>Seguridad económica. </w:t>
            </w:r>
            <w:r>
              <w:rPr>
                <w:color w:val="231F20"/>
                <w:w w:val="75"/>
                <w:sz w:val="16"/>
              </w:rPr>
              <w:t>Desarrollo sustentable.</w:t>
            </w:r>
          </w:p>
        </w:tc>
        <w:tc>
          <w:tcPr>
            <w:tcW w:w="2803" w:type="dxa"/>
          </w:tcPr>
          <w:p>
            <w:pPr>
              <w:pStyle w:val="TableParagraph"/>
              <w:ind w:left="0"/>
              <w:rPr>
                <w:rFonts w:ascii="Times New Roman"/>
                <w:b/>
                <w:sz w:val="16"/>
              </w:rPr>
            </w:pPr>
          </w:p>
          <w:p>
            <w:pPr>
              <w:pStyle w:val="TableParagraph"/>
              <w:spacing w:before="5"/>
              <w:ind w:left="0"/>
              <w:rPr>
                <w:rFonts w:ascii="Times New Roman"/>
                <w:b/>
                <w:sz w:val="15"/>
              </w:rPr>
            </w:pPr>
          </w:p>
          <w:p>
            <w:pPr>
              <w:pStyle w:val="TableParagraph"/>
              <w:ind w:left="148" w:right="148"/>
              <w:jc w:val="center"/>
              <w:rPr>
                <w:sz w:val="16"/>
              </w:rPr>
            </w:pPr>
            <w:r>
              <w:rPr>
                <w:color w:val="231F20"/>
                <w:w w:val="75"/>
                <w:sz w:val="16"/>
              </w:rPr>
              <w:t>OM2.-Fomento al desarrollo económico y empleo.</w:t>
            </w:r>
          </w:p>
          <w:p>
            <w:pPr>
              <w:pStyle w:val="TableParagraph"/>
              <w:spacing w:before="4"/>
              <w:ind w:left="0"/>
              <w:rPr>
                <w:rFonts w:ascii="Times New Roman"/>
                <w:b/>
                <w:sz w:val="16"/>
              </w:rPr>
            </w:pPr>
          </w:p>
          <w:p>
            <w:pPr>
              <w:pStyle w:val="TableParagraph"/>
              <w:ind w:left="148" w:right="148"/>
              <w:jc w:val="center"/>
              <w:rPr>
                <w:sz w:val="16"/>
              </w:rPr>
            </w:pPr>
            <w:r>
              <w:rPr>
                <w:color w:val="231F20"/>
                <w:w w:val="75"/>
                <w:sz w:val="16"/>
              </w:rPr>
              <w:t>Desarrollo urbano sustentable.</w:t>
            </w:r>
          </w:p>
        </w:tc>
      </w:tr>
      <w:tr>
        <w:trPr>
          <w:trHeight w:val="940" w:hRule="exact"/>
        </w:trPr>
        <w:tc>
          <w:tcPr>
            <w:tcW w:w="1527" w:type="dxa"/>
          </w:tcPr>
          <w:p>
            <w:pPr>
              <w:pStyle w:val="TableParagraph"/>
              <w:ind w:left="0"/>
              <w:rPr>
                <w:rFonts w:ascii="Times New Roman"/>
                <w:b/>
                <w:sz w:val="16"/>
              </w:rPr>
            </w:pPr>
          </w:p>
          <w:p>
            <w:pPr>
              <w:pStyle w:val="TableParagraph"/>
              <w:spacing w:before="4"/>
              <w:ind w:left="0"/>
              <w:rPr>
                <w:rFonts w:ascii="Times New Roman"/>
                <w:b/>
                <w:sz w:val="16"/>
              </w:rPr>
            </w:pPr>
          </w:p>
          <w:p>
            <w:pPr>
              <w:pStyle w:val="TableParagraph"/>
              <w:ind w:left="347"/>
              <w:rPr>
                <w:sz w:val="16"/>
              </w:rPr>
            </w:pPr>
            <w:r>
              <w:rPr>
                <w:color w:val="231F20"/>
                <w:w w:val="75"/>
                <w:sz w:val="16"/>
              </w:rPr>
              <w:t>Orden y respeto:</w:t>
            </w:r>
          </w:p>
        </w:tc>
        <w:tc>
          <w:tcPr>
            <w:tcW w:w="1855" w:type="dxa"/>
          </w:tcPr>
          <w:p>
            <w:pPr>
              <w:pStyle w:val="TableParagraph"/>
              <w:ind w:left="0"/>
              <w:rPr>
                <w:rFonts w:ascii="Times New Roman"/>
                <w:b/>
                <w:sz w:val="16"/>
              </w:rPr>
            </w:pPr>
          </w:p>
          <w:p>
            <w:pPr>
              <w:pStyle w:val="TableParagraph"/>
              <w:spacing w:before="4"/>
              <w:ind w:left="0"/>
              <w:rPr>
                <w:rFonts w:ascii="Times New Roman"/>
                <w:b/>
                <w:sz w:val="16"/>
              </w:rPr>
            </w:pPr>
          </w:p>
          <w:p>
            <w:pPr>
              <w:pStyle w:val="TableParagraph"/>
              <w:ind w:left="141"/>
              <w:rPr>
                <w:sz w:val="16"/>
              </w:rPr>
            </w:pPr>
            <w:r>
              <w:rPr>
                <w:color w:val="231F20"/>
                <w:w w:val="80"/>
                <w:sz w:val="16"/>
              </w:rPr>
              <w:t>Estado de derecho y seguridad.</w:t>
            </w:r>
          </w:p>
        </w:tc>
        <w:tc>
          <w:tcPr>
            <w:tcW w:w="1743" w:type="dxa"/>
          </w:tcPr>
          <w:p>
            <w:pPr>
              <w:pStyle w:val="TableParagraph"/>
              <w:spacing w:before="84"/>
              <w:ind w:left="174" w:right="174"/>
              <w:jc w:val="center"/>
              <w:rPr>
                <w:sz w:val="16"/>
              </w:rPr>
            </w:pPr>
            <w:r>
              <w:rPr>
                <w:color w:val="231F20"/>
                <w:w w:val="75"/>
                <w:sz w:val="16"/>
              </w:rPr>
              <w:t>Seguridad  pública.</w:t>
            </w:r>
          </w:p>
          <w:p>
            <w:pPr>
              <w:pStyle w:val="TableParagraph"/>
              <w:spacing w:before="3"/>
              <w:ind w:left="0"/>
              <w:rPr>
                <w:rFonts w:ascii="Times New Roman"/>
                <w:b/>
                <w:sz w:val="16"/>
              </w:rPr>
            </w:pPr>
          </w:p>
          <w:p>
            <w:pPr>
              <w:pStyle w:val="TableParagraph"/>
              <w:spacing w:line="192" w:lineRule="exact"/>
              <w:ind w:left="177" w:right="173"/>
              <w:jc w:val="center"/>
              <w:rPr>
                <w:sz w:val="16"/>
              </w:rPr>
            </w:pPr>
            <w:r>
              <w:rPr>
                <w:color w:val="231F20"/>
                <w:w w:val="75"/>
                <w:sz w:val="16"/>
              </w:rPr>
              <w:t>Cimiento para seguridad </w:t>
            </w:r>
            <w:r>
              <w:rPr>
                <w:color w:val="231F20"/>
                <w:w w:val="85"/>
                <w:sz w:val="16"/>
              </w:rPr>
              <w:t>integral.</w:t>
            </w:r>
          </w:p>
        </w:tc>
        <w:tc>
          <w:tcPr>
            <w:tcW w:w="2803" w:type="dxa"/>
          </w:tcPr>
          <w:p>
            <w:pPr>
              <w:pStyle w:val="TableParagraph"/>
              <w:ind w:left="0"/>
              <w:rPr>
                <w:rFonts w:ascii="Times New Roman"/>
                <w:b/>
                <w:sz w:val="16"/>
              </w:rPr>
            </w:pPr>
          </w:p>
          <w:p>
            <w:pPr>
              <w:pStyle w:val="TableParagraph"/>
              <w:spacing w:before="92"/>
              <w:ind w:left="148" w:right="148"/>
              <w:jc w:val="center"/>
              <w:rPr>
                <w:sz w:val="16"/>
              </w:rPr>
            </w:pPr>
            <w:r>
              <w:rPr>
                <w:color w:val="231F20"/>
                <w:w w:val="75"/>
                <w:sz w:val="16"/>
              </w:rPr>
              <w:t>OM3.-Seguridad pública y procuración de  justicia.</w:t>
            </w:r>
          </w:p>
        </w:tc>
      </w:tr>
    </w:tbl>
    <w:p>
      <w:pPr>
        <w:pStyle w:val="BodyText"/>
        <w:spacing w:before="10"/>
        <w:rPr>
          <w:b/>
          <w:sz w:val="15"/>
        </w:rPr>
      </w:pPr>
    </w:p>
    <w:p>
      <w:pPr>
        <w:spacing w:before="74"/>
        <w:ind w:left="2529" w:right="-2" w:firstLine="0"/>
        <w:jc w:val="left"/>
        <w:rPr>
          <w:rFonts w:ascii="Calibri" w:hAnsi="Calibri"/>
          <w:sz w:val="16"/>
        </w:rPr>
      </w:pPr>
      <w:r>
        <w:rPr>
          <w:rFonts w:ascii="Calibri" w:hAnsi="Calibri"/>
          <w:color w:val="231F20"/>
          <w:sz w:val="16"/>
        </w:rPr>
        <w:t>Fuente: Elaboración propia con la información pública de los tras planes de desarrollo.</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Otro instrumento útil para el reconocimiento de las acciones de gobierno es el Bando Municipal,</w:t>
      </w:r>
      <w:r>
        <w:rPr>
          <w:color w:val="231F20"/>
          <w:spacing w:val="-14"/>
          <w:w w:val="105"/>
        </w:rPr>
        <w:t> </w:t>
      </w:r>
      <w:r>
        <w:rPr>
          <w:color w:val="231F20"/>
          <w:w w:val="105"/>
        </w:rPr>
        <w:t>mismo</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artículo</w:t>
      </w:r>
      <w:r>
        <w:rPr>
          <w:color w:val="231F20"/>
          <w:spacing w:val="-14"/>
          <w:w w:val="105"/>
        </w:rPr>
        <w:t> </w:t>
      </w:r>
      <w:r>
        <w:rPr>
          <w:color w:val="231F20"/>
          <w:w w:val="105"/>
        </w:rPr>
        <w:t>9</w:t>
      </w:r>
      <w:r>
        <w:rPr>
          <w:color w:val="231F20"/>
          <w:spacing w:val="-14"/>
          <w:w w:val="105"/>
        </w:rPr>
        <w:t> </w:t>
      </w:r>
      <w:r>
        <w:rPr>
          <w:color w:val="231F20"/>
          <w:w w:val="105"/>
        </w:rPr>
        <w:t>señala</w:t>
      </w:r>
      <w:r>
        <w:rPr>
          <w:color w:val="231F20"/>
          <w:spacing w:val="-14"/>
          <w:w w:val="105"/>
        </w:rPr>
        <w:t> </w:t>
      </w:r>
      <w:r>
        <w:rPr>
          <w:color w:val="231F20"/>
          <w:w w:val="105"/>
        </w:rPr>
        <w:t>las</w:t>
      </w:r>
      <w:r>
        <w:rPr>
          <w:color w:val="231F20"/>
          <w:spacing w:val="-14"/>
          <w:w w:val="105"/>
        </w:rPr>
        <w:t> </w:t>
      </w:r>
      <w:r>
        <w:rPr>
          <w:color w:val="231F20"/>
          <w:w w:val="105"/>
        </w:rPr>
        <w:t>actividades</w:t>
      </w:r>
      <w:r>
        <w:rPr>
          <w:color w:val="231F20"/>
          <w:spacing w:val="-14"/>
          <w:w w:val="105"/>
        </w:rPr>
        <w:t> </w:t>
      </w:r>
      <w:r>
        <w:rPr>
          <w:color w:val="231F20"/>
          <w:w w:val="105"/>
        </w:rPr>
        <w:t>del</w:t>
      </w:r>
      <w:r>
        <w:rPr>
          <w:color w:val="231F20"/>
          <w:spacing w:val="-14"/>
          <w:w w:val="105"/>
        </w:rPr>
        <w:t> </w:t>
      </w:r>
      <w:r>
        <w:rPr>
          <w:color w:val="231F20"/>
          <w:w w:val="105"/>
        </w:rPr>
        <w:t>ayuntamiento</w:t>
      </w:r>
      <w:r>
        <w:rPr>
          <w:color w:val="231F20"/>
          <w:spacing w:val="-14"/>
          <w:w w:val="105"/>
        </w:rPr>
        <w:t> </w:t>
      </w:r>
      <w:r>
        <w:rPr>
          <w:color w:val="231F20"/>
          <w:w w:val="105"/>
        </w:rPr>
        <w:t>de</w:t>
      </w:r>
      <w:r>
        <w:rPr>
          <w:color w:val="231F20"/>
          <w:spacing w:val="-14"/>
          <w:w w:val="105"/>
        </w:rPr>
        <w:t> </w:t>
      </w:r>
      <w:r>
        <w:rPr>
          <w:color w:val="231F20"/>
          <w:spacing w:val="-5"/>
          <w:w w:val="105"/>
        </w:rPr>
        <w:t>Tepo- </w:t>
      </w:r>
      <w:r>
        <w:rPr>
          <w:color w:val="231F20"/>
          <w:w w:val="105"/>
        </w:rPr>
        <w:t>tzotlán,</w:t>
      </w:r>
      <w:r>
        <w:rPr>
          <w:color w:val="231F20"/>
          <w:spacing w:val="-10"/>
          <w:w w:val="105"/>
        </w:rPr>
        <w:t> </w:t>
      </w:r>
      <w:r>
        <w:rPr>
          <w:color w:val="231F20"/>
          <w:w w:val="105"/>
        </w:rPr>
        <w:t>entre</w:t>
      </w:r>
      <w:r>
        <w:rPr>
          <w:color w:val="231F20"/>
          <w:spacing w:val="-10"/>
          <w:w w:val="105"/>
        </w:rPr>
        <w:t> </w:t>
      </w:r>
      <w:r>
        <w:rPr>
          <w:color w:val="231F20"/>
          <w:w w:val="105"/>
        </w:rPr>
        <w:t>las</w:t>
      </w:r>
      <w:r>
        <w:rPr>
          <w:color w:val="231F20"/>
          <w:spacing w:val="-10"/>
          <w:w w:val="105"/>
        </w:rPr>
        <w:t> </w:t>
      </w:r>
      <w:r>
        <w:rPr>
          <w:color w:val="231F20"/>
          <w:w w:val="105"/>
        </w:rPr>
        <w:t>cuales</w:t>
      </w:r>
      <w:r>
        <w:rPr>
          <w:color w:val="231F20"/>
          <w:spacing w:val="-10"/>
          <w:w w:val="105"/>
        </w:rPr>
        <w:t> </w:t>
      </w:r>
      <w:r>
        <w:rPr>
          <w:color w:val="231F20"/>
          <w:w w:val="105"/>
        </w:rPr>
        <w:t>destacan</w:t>
      </w:r>
      <w:r>
        <w:rPr>
          <w:color w:val="231F20"/>
          <w:spacing w:val="-10"/>
          <w:w w:val="105"/>
        </w:rPr>
        <w:t> </w:t>
      </w:r>
      <w:r>
        <w:rPr>
          <w:color w:val="231F20"/>
          <w:w w:val="105"/>
        </w:rPr>
        <w:t>las</w:t>
      </w:r>
      <w:r>
        <w:rPr>
          <w:color w:val="231F20"/>
          <w:spacing w:val="-10"/>
          <w:w w:val="105"/>
        </w:rPr>
        <w:t> </w:t>
      </w:r>
      <w:r>
        <w:rPr>
          <w:color w:val="231F20"/>
          <w:w w:val="105"/>
        </w:rPr>
        <w:t>indicadas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Cuadro</w:t>
      </w:r>
      <w:r>
        <w:rPr>
          <w:color w:val="231F20"/>
          <w:spacing w:val="-10"/>
          <w:w w:val="105"/>
        </w:rPr>
        <w:t> </w:t>
      </w:r>
      <w:r>
        <w:rPr>
          <w:color w:val="231F20"/>
          <w:w w:val="105"/>
        </w:rPr>
        <w:t>8:</w:t>
      </w:r>
    </w:p>
    <w:p>
      <w:pPr>
        <w:spacing w:after="0" w:line="285" w:lineRule="auto"/>
        <w:jc w:val="both"/>
        <w:sectPr>
          <w:pgSz w:w="9640" w:h="12190"/>
          <w:pgMar w:header="0" w:footer="743" w:top="1120" w:bottom="940" w:left="740" w:right="740"/>
        </w:sectPr>
      </w:pPr>
    </w:p>
    <w:p>
      <w:pPr>
        <w:pStyle w:val="Heading5"/>
        <w:spacing w:before="27"/>
        <w:ind w:left="272" w:right="-2"/>
      </w:pPr>
      <w:r>
        <w:rPr>
          <w:color w:val="231F20"/>
          <w:w w:val="105"/>
        </w:rPr>
        <w:t>Cuadro 8 Atribuciones conferidas a la acción municipal en el Bando Municipal</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35"/>
        <w:gridCol w:w="6992"/>
      </w:tblGrid>
      <w:tr>
        <w:trPr>
          <w:trHeight w:val="322" w:hRule="exact"/>
        </w:trPr>
        <w:tc>
          <w:tcPr>
            <w:tcW w:w="935" w:type="dxa"/>
          </w:tcPr>
          <w:p>
            <w:pPr>
              <w:pStyle w:val="TableParagraph"/>
              <w:spacing w:line="161" w:lineRule="exact"/>
              <w:ind w:left="122" w:right="122"/>
              <w:jc w:val="center"/>
              <w:rPr>
                <w:sz w:val="16"/>
              </w:rPr>
            </w:pPr>
            <w:r>
              <w:rPr>
                <w:color w:val="231F20"/>
                <w:w w:val="75"/>
                <w:sz w:val="16"/>
              </w:rPr>
              <w:t>Objetivos del</w:t>
            </w:r>
          </w:p>
          <w:p>
            <w:pPr>
              <w:pStyle w:val="TableParagraph"/>
              <w:spacing w:line="191" w:lineRule="exact"/>
              <w:ind w:left="122" w:right="122"/>
              <w:jc w:val="center"/>
              <w:rPr>
                <w:sz w:val="16"/>
              </w:rPr>
            </w:pPr>
            <w:r>
              <w:rPr>
                <w:color w:val="231F20"/>
                <w:w w:val="85"/>
                <w:sz w:val="16"/>
              </w:rPr>
              <w:t>PDM</w:t>
            </w:r>
          </w:p>
        </w:tc>
        <w:tc>
          <w:tcPr>
            <w:tcW w:w="6992" w:type="dxa"/>
          </w:tcPr>
          <w:p>
            <w:pPr>
              <w:pStyle w:val="TableParagraph"/>
              <w:spacing w:line="163" w:lineRule="exact"/>
              <w:ind w:left="2605" w:right="2604"/>
              <w:jc w:val="center"/>
              <w:rPr>
                <w:b/>
                <w:sz w:val="16"/>
              </w:rPr>
            </w:pPr>
            <w:r>
              <w:rPr>
                <w:b/>
                <w:color w:val="231F20"/>
                <w:w w:val="110"/>
                <w:sz w:val="16"/>
              </w:rPr>
              <w:t>Acciones de vinculación</w:t>
            </w:r>
          </w:p>
        </w:tc>
      </w:tr>
      <w:tr>
        <w:trPr>
          <w:trHeight w:val="130" w:hRule="exact"/>
        </w:trPr>
        <w:tc>
          <w:tcPr>
            <w:tcW w:w="935" w:type="dxa"/>
            <w:vMerge w:val="restart"/>
          </w:tcPr>
          <w:p>
            <w:pPr>
              <w:pStyle w:val="TableParagraph"/>
              <w:spacing w:before="5"/>
              <w:ind w:left="0"/>
              <w:rPr>
                <w:rFonts w:ascii="Times New Roman"/>
                <w:b/>
                <w:sz w:val="22"/>
              </w:rPr>
            </w:pPr>
          </w:p>
          <w:p>
            <w:pPr>
              <w:pStyle w:val="TableParagraph"/>
              <w:ind w:left="122" w:right="122"/>
              <w:jc w:val="center"/>
              <w:rPr>
                <w:sz w:val="16"/>
              </w:rPr>
            </w:pPr>
            <w:r>
              <w:rPr>
                <w:color w:val="231F20"/>
                <w:w w:val="80"/>
                <w:sz w:val="16"/>
              </w:rPr>
              <w:t>OM1</w:t>
            </w:r>
          </w:p>
        </w:tc>
        <w:tc>
          <w:tcPr>
            <w:tcW w:w="6992" w:type="dxa"/>
          </w:tcPr>
          <w:p>
            <w:pPr>
              <w:pStyle w:val="TableParagraph"/>
              <w:spacing w:line="160" w:lineRule="exact"/>
              <w:rPr>
                <w:sz w:val="16"/>
              </w:rPr>
            </w:pPr>
            <w:r>
              <w:rPr>
                <w:color w:val="231F20"/>
                <w:w w:val="80"/>
                <w:sz w:val="16"/>
              </w:rPr>
              <w:t>Promover y fomentar el desarrollo económico, social, educativo y cultural de los habitantes del Municipio.</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Promover la salud e higiene pública.</w:t>
            </w:r>
          </w:p>
        </w:tc>
      </w:tr>
      <w:tr>
        <w:trPr>
          <w:trHeight w:val="322" w:hRule="exact"/>
        </w:trPr>
        <w:tc>
          <w:tcPr>
            <w:tcW w:w="935" w:type="dxa"/>
            <w:vMerge/>
          </w:tcPr>
          <w:p>
            <w:pPr/>
          </w:p>
        </w:tc>
        <w:tc>
          <w:tcPr>
            <w:tcW w:w="6992" w:type="dxa"/>
          </w:tcPr>
          <w:p>
            <w:pPr>
              <w:pStyle w:val="TableParagraph"/>
              <w:spacing w:line="161" w:lineRule="exact"/>
              <w:rPr>
                <w:sz w:val="16"/>
              </w:rPr>
            </w:pPr>
            <w:r>
              <w:rPr>
                <w:color w:val="231F20"/>
                <w:w w:val="80"/>
                <w:sz w:val="16"/>
              </w:rPr>
              <w:t>Fomentar</w:t>
            </w:r>
            <w:r>
              <w:rPr>
                <w:color w:val="231F20"/>
                <w:spacing w:val="-19"/>
                <w:w w:val="80"/>
                <w:sz w:val="16"/>
              </w:rPr>
              <w:t> </w:t>
            </w:r>
            <w:r>
              <w:rPr>
                <w:color w:val="231F20"/>
                <w:w w:val="80"/>
                <w:sz w:val="16"/>
              </w:rPr>
              <w:t>una</w:t>
            </w:r>
            <w:r>
              <w:rPr>
                <w:color w:val="231F20"/>
                <w:spacing w:val="-19"/>
                <w:w w:val="80"/>
                <w:sz w:val="16"/>
              </w:rPr>
              <w:t> </w:t>
            </w:r>
            <w:r>
              <w:rPr>
                <w:color w:val="231F20"/>
                <w:w w:val="80"/>
                <w:sz w:val="16"/>
              </w:rPr>
              <w:t>cultura</w:t>
            </w:r>
            <w:r>
              <w:rPr>
                <w:color w:val="231F20"/>
                <w:spacing w:val="-19"/>
                <w:w w:val="80"/>
                <w:sz w:val="16"/>
              </w:rPr>
              <w:t> </w:t>
            </w:r>
            <w:r>
              <w:rPr>
                <w:color w:val="231F20"/>
                <w:w w:val="80"/>
                <w:sz w:val="16"/>
              </w:rPr>
              <w:t>de</w:t>
            </w:r>
            <w:r>
              <w:rPr>
                <w:color w:val="231F20"/>
                <w:spacing w:val="-19"/>
                <w:w w:val="80"/>
                <w:sz w:val="16"/>
              </w:rPr>
              <w:t> </w:t>
            </w:r>
            <w:r>
              <w:rPr>
                <w:color w:val="231F20"/>
                <w:w w:val="80"/>
                <w:sz w:val="16"/>
              </w:rPr>
              <w:t>respeto</w:t>
            </w:r>
            <w:r>
              <w:rPr>
                <w:color w:val="231F20"/>
                <w:spacing w:val="-19"/>
                <w:w w:val="80"/>
                <w:sz w:val="16"/>
              </w:rPr>
              <w:t> </w:t>
            </w:r>
            <w:r>
              <w:rPr>
                <w:color w:val="231F20"/>
                <w:w w:val="80"/>
                <w:sz w:val="16"/>
              </w:rPr>
              <w:t>a</w:t>
            </w:r>
            <w:r>
              <w:rPr>
                <w:color w:val="231F20"/>
                <w:spacing w:val="-19"/>
                <w:w w:val="80"/>
                <w:sz w:val="16"/>
              </w:rPr>
              <w:t> </w:t>
            </w:r>
            <w:r>
              <w:rPr>
                <w:color w:val="231F20"/>
                <w:w w:val="80"/>
                <w:sz w:val="16"/>
              </w:rPr>
              <w:t>los</w:t>
            </w:r>
            <w:r>
              <w:rPr>
                <w:color w:val="231F20"/>
                <w:spacing w:val="-19"/>
                <w:w w:val="80"/>
                <w:sz w:val="16"/>
              </w:rPr>
              <w:t> </w:t>
            </w:r>
            <w:r>
              <w:rPr>
                <w:color w:val="231F20"/>
                <w:w w:val="80"/>
                <w:sz w:val="16"/>
              </w:rPr>
              <w:t>Derechos</w:t>
            </w:r>
            <w:r>
              <w:rPr>
                <w:color w:val="231F20"/>
                <w:spacing w:val="-19"/>
                <w:w w:val="80"/>
                <w:sz w:val="16"/>
              </w:rPr>
              <w:t> </w:t>
            </w:r>
            <w:r>
              <w:rPr>
                <w:color w:val="231F20"/>
                <w:w w:val="80"/>
                <w:sz w:val="16"/>
              </w:rPr>
              <w:t>Humanos</w:t>
            </w:r>
            <w:r>
              <w:rPr>
                <w:color w:val="231F20"/>
                <w:spacing w:val="-19"/>
                <w:w w:val="80"/>
                <w:sz w:val="16"/>
              </w:rPr>
              <w:t> </w:t>
            </w:r>
            <w:r>
              <w:rPr>
                <w:color w:val="231F20"/>
                <w:w w:val="80"/>
                <w:sz w:val="16"/>
              </w:rPr>
              <w:t>y</w:t>
            </w:r>
            <w:r>
              <w:rPr>
                <w:color w:val="231F20"/>
                <w:spacing w:val="-19"/>
                <w:w w:val="80"/>
                <w:sz w:val="16"/>
              </w:rPr>
              <w:t> </w:t>
            </w:r>
            <w:r>
              <w:rPr>
                <w:color w:val="231F20"/>
                <w:w w:val="80"/>
                <w:sz w:val="16"/>
              </w:rPr>
              <w:t>Libertades</w:t>
            </w:r>
            <w:r>
              <w:rPr>
                <w:color w:val="231F20"/>
                <w:spacing w:val="-19"/>
                <w:w w:val="80"/>
                <w:sz w:val="16"/>
              </w:rPr>
              <w:t> </w:t>
            </w:r>
            <w:r>
              <w:rPr>
                <w:color w:val="231F20"/>
                <w:w w:val="80"/>
                <w:sz w:val="16"/>
              </w:rPr>
              <w:t>fundamentales,</w:t>
            </w:r>
            <w:r>
              <w:rPr>
                <w:color w:val="231F20"/>
                <w:spacing w:val="-19"/>
                <w:w w:val="80"/>
                <w:sz w:val="16"/>
              </w:rPr>
              <w:t> </w:t>
            </w:r>
            <w:r>
              <w:rPr>
                <w:color w:val="231F20"/>
                <w:w w:val="80"/>
                <w:sz w:val="16"/>
              </w:rPr>
              <w:t>inculcando</w:t>
            </w:r>
            <w:r>
              <w:rPr>
                <w:color w:val="231F20"/>
                <w:spacing w:val="-19"/>
                <w:w w:val="80"/>
                <w:sz w:val="16"/>
              </w:rPr>
              <w:t> </w:t>
            </w:r>
            <w:r>
              <w:rPr>
                <w:color w:val="231F20"/>
                <w:w w:val="80"/>
                <w:sz w:val="16"/>
              </w:rPr>
              <w:t>el</w:t>
            </w:r>
            <w:r>
              <w:rPr>
                <w:color w:val="231F20"/>
                <w:spacing w:val="-19"/>
                <w:w w:val="80"/>
                <w:sz w:val="16"/>
              </w:rPr>
              <w:t> </w:t>
            </w:r>
            <w:r>
              <w:rPr>
                <w:color w:val="231F20"/>
                <w:w w:val="80"/>
                <w:sz w:val="16"/>
              </w:rPr>
              <w:t>respeto</w:t>
            </w:r>
            <w:r>
              <w:rPr>
                <w:color w:val="231F20"/>
                <w:spacing w:val="-19"/>
                <w:w w:val="80"/>
                <w:sz w:val="16"/>
              </w:rPr>
              <w:t> </w:t>
            </w:r>
            <w:r>
              <w:rPr>
                <w:color w:val="231F20"/>
                <w:w w:val="80"/>
                <w:sz w:val="16"/>
              </w:rPr>
              <w:t>a</w:t>
            </w:r>
            <w:r>
              <w:rPr>
                <w:color w:val="231F20"/>
                <w:spacing w:val="-19"/>
                <w:w w:val="80"/>
                <w:sz w:val="16"/>
              </w:rPr>
              <w:t> </w:t>
            </w:r>
            <w:r>
              <w:rPr>
                <w:color w:val="231F20"/>
                <w:w w:val="80"/>
                <w:sz w:val="16"/>
              </w:rPr>
              <w:t>los</w:t>
            </w:r>
            <w:r>
              <w:rPr>
                <w:color w:val="231F20"/>
                <w:spacing w:val="-19"/>
                <w:w w:val="80"/>
                <w:sz w:val="16"/>
              </w:rPr>
              <w:t> </w:t>
            </w:r>
            <w:r>
              <w:rPr>
                <w:color w:val="231F20"/>
                <w:w w:val="80"/>
                <w:sz w:val="16"/>
              </w:rPr>
              <w:t>adultos</w:t>
            </w:r>
            <w:r>
              <w:rPr>
                <w:color w:val="231F20"/>
                <w:spacing w:val="-19"/>
                <w:w w:val="80"/>
                <w:sz w:val="16"/>
              </w:rPr>
              <w:t> </w:t>
            </w:r>
            <w:r>
              <w:rPr>
                <w:color w:val="231F20"/>
                <w:w w:val="80"/>
                <w:sz w:val="16"/>
              </w:rPr>
              <w:t>mayores,</w:t>
            </w:r>
            <w:r>
              <w:rPr>
                <w:color w:val="231F20"/>
                <w:spacing w:val="-19"/>
                <w:w w:val="80"/>
                <w:sz w:val="16"/>
              </w:rPr>
              <w:t> </w:t>
            </w:r>
            <w:r>
              <w:rPr>
                <w:color w:val="231F20"/>
                <w:w w:val="80"/>
                <w:sz w:val="16"/>
              </w:rPr>
              <w:t>a</w:t>
            </w:r>
          </w:p>
          <w:p>
            <w:pPr>
              <w:pStyle w:val="TableParagraph"/>
              <w:spacing w:line="191" w:lineRule="exact"/>
              <w:rPr>
                <w:sz w:val="16"/>
              </w:rPr>
            </w:pPr>
            <w:r>
              <w:rPr>
                <w:color w:val="231F20"/>
                <w:w w:val="80"/>
                <w:sz w:val="16"/>
              </w:rPr>
              <w:t>personas con capacidades diferentes, a los niños y el valor de la integración familiar.</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Promover los valores cívicos, las tradiciones y la cultura para acrecentar la identidad municipal de sus ciudadanos.</w:t>
            </w:r>
          </w:p>
        </w:tc>
      </w:tr>
      <w:tr>
        <w:trPr>
          <w:trHeight w:val="322" w:hRule="exact"/>
        </w:trPr>
        <w:tc>
          <w:tcPr>
            <w:tcW w:w="935" w:type="dxa"/>
            <w:vMerge w:val="restart"/>
          </w:tcPr>
          <w:p>
            <w:pPr>
              <w:pStyle w:val="TableParagraph"/>
              <w:ind w:left="0"/>
              <w:rPr>
                <w:rFonts w:ascii="Times New Roman"/>
                <w:b/>
                <w:sz w:val="16"/>
              </w:rPr>
            </w:pPr>
          </w:p>
          <w:p>
            <w:pPr>
              <w:pStyle w:val="TableParagraph"/>
              <w:spacing w:before="105"/>
              <w:ind w:left="122" w:right="122"/>
              <w:jc w:val="center"/>
              <w:rPr>
                <w:sz w:val="16"/>
              </w:rPr>
            </w:pPr>
            <w:r>
              <w:rPr>
                <w:color w:val="231F20"/>
                <w:w w:val="80"/>
                <w:sz w:val="16"/>
              </w:rPr>
              <w:t>OM2</w:t>
            </w:r>
          </w:p>
        </w:tc>
        <w:tc>
          <w:tcPr>
            <w:tcW w:w="6992" w:type="dxa"/>
          </w:tcPr>
          <w:p>
            <w:pPr>
              <w:pStyle w:val="TableParagraph"/>
              <w:spacing w:line="161" w:lineRule="exact"/>
              <w:rPr>
                <w:sz w:val="16"/>
              </w:rPr>
            </w:pPr>
            <w:r>
              <w:rPr>
                <w:color w:val="231F20"/>
                <w:w w:val="75"/>
                <w:sz w:val="16"/>
              </w:rPr>
              <w:t>Promover el desarrollo de las actividades ambientales, económicas, culturales, deportivas, turísticas, comerciales y demás que se</w:t>
            </w:r>
          </w:p>
          <w:p>
            <w:pPr>
              <w:pStyle w:val="TableParagraph"/>
              <w:spacing w:line="191" w:lineRule="exact"/>
              <w:rPr>
                <w:sz w:val="16"/>
              </w:rPr>
            </w:pPr>
            <w:r>
              <w:rPr>
                <w:color w:val="231F20"/>
                <w:w w:val="80"/>
                <w:sz w:val="16"/>
              </w:rPr>
              <w:t>señalan en la Ley Orgánica Municipal o que acuerde el ayuntamiento con la participación de los sectores sociales y privado.</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75"/>
                <w:sz w:val="16"/>
              </w:rPr>
              <w:t>Prestar servicios públicos municipales.</w:t>
            </w:r>
          </w:p>
        </w:tc>
      </w:tr>
      <w:tr>
        <w:trPr>
          <w:trHeight w:val="322" w:hRule="exact"/>
        </w:trPr>
        <w:tc>
          <w:tcPr>
            <w:tcW w:w="935" w:type="dxa"/>
            <w:vMerge/>
          </w:tcPr>
          <w:p>
            <w:pPr/>
          </w:p>
        </w:tc>
        <w:tc>
          <w:tcPr>
            <w:tcW w:w="6992" w:type="dxa"/>
          </w:tcPr>
          <w:p>
            <w:pPr>
              <w:pStyle w:val="TableParagraph"/>
              <w:spacing w:line="161" w:lineRule="exact"/>
              <w:rPr>
                <w:sz w:val="16"/>
              </w:rPr>
            </w:pPr>
            <w:r>
              <w:rPr>
                <w:color w:val="231F20"/>
                <w:w w:val="75"/>
                <w:sz w:val="16"/>
              </w:rPr>
              <w:t>Procurar la administración, conservación, incremento, promoción y rescate del Patrimonio Cultural del municipio que incluye las</w:t>
            </w:r>
          </w:p>
          <w:p>
            <w:pPr>
              <w:pStyle w:val="TableParagraph"/>
              <w:spacing w:line="191" w:lineRule="exact"/>
              <w:rPr>
                <w:sz w:val="16"/>
              </w:rPr>
            </w:pPr>
            <w:r>
              <w:rPr>
                <w:color w:val="231F20"/>
                <w:w w:val="75"/>
                <w:sz w:val="16"/>
              </w:rPr>
              <w:t>expresiones artísticas, populares, históricas y   arqueológicas.</w:t>
            </w:r>
          </w:p>
        </w:tc>
      </w:tr>
      <w:tr>
        <w:trPr>
          <w:trHeight w:val="130" w:hRule="exact"/>
        </w:trPr>
        <w:tc>
          <w:tcPr>
            <w:tcW w:w="935" w:type="dxa"/>
            <w:vMerge w:val="restart"/>
          </w:tcPr>
          <w:p>
            <w:pPr>
              <w:pStyle w:val="TableParagraph"/>
              <w:ind w:left="0"/>
              <w:rPr>
                <w:rFonts w:ascii="Times New Roman"/>
                <w:b/>
                <w:sz w:val="16"/>
              </w:rPr>
            </w:pPr>
          </w:p>
          <w:p>
            <w:pPr>
              <w:pStyle w:val="TableParagraph"/>
              <w:spacing w:before="4"/>
              <w:ind w:left="0"/>
              <w:rPr>
                <w:rFonts w:ascii="Times New Roman"/>
                <w:b/>
                <w:sz w:val="23"/>
              </w:rPr>
            </w:pPr>
          </w:p>
          <w:p>
            <w:pPr>
              <w:pStyle w:val="TableParagraph"/>
              <w:ind w:left="122" w:right="122"/>
              <w:jc w:val="center"/>
              <w:rPr>
                <w:sz w:val="16"/>
              </w:rPr>
            </w:pPr>
            <w:r>
              <w:rPr>
                <w:color w:val="231F20"/>
                <w:w w:val="80"/>
                <w:sz w:val="16"/>
              </w:rPr>
              <w:t>OM3</w:t>
            </w:r>
          </w:p>
        </w:tc>
        <w:tc>
          <w:tcPr>
            <w:tcW w:w="6992" w:type="dxa"/>
          </w:tcPr>
          <w:p>
            <w:pPr>
              <w:pStyle w:val="TableParagraph"/>
              <w:spacing w:line="160" w:lineRule="exact"/>
              <w:rPr>
                <w:sz w:val="16"/>
              </w:rPr>
            </w:pPr>
            <w:r>
              <w:rPr>
                <w:color w:val="231F20"/>
                <w:w w:val="80"/>
                <w:sz w:val="16"/>
              </w:rPr>
              <w:t>Garantizar el derecho a la seguridad, tranquilidad y el orden público.</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Garantizar la seguridad del territorio, personas, bienes y su entorno.</w:t>
            </w:r>
          </w:p>
        </w:tc>
      </w:tr>
      <w:tr>
        <w:trPr>
          <w:trHeight w:val="322" w:hRule="exact"/>
        </w:trPr>
        <w:tc>
          <w:tcPr>
            <w:tcW w:w="935" w:type="dxa"/>
            <w:vMerge/>
          </w:tcPr>
          <w:p>
            <w:pPr/>
          </w:p>
        </w:tc>
        <w:tc>
          <w:tcPr>
            <w:tcW w:w="6992" w:type="dxa"/>
          </w:tcPr>
          <w:p>
            <w:pPr>
              <w:pStyle w:val="TableParagraph"/>
              <w:spacing w:line="161" w:lineRule="exact"/>
              <w:rPr>
                <w:sz w:val="16"/>
              </w:rPr>
            </w:pPr>
            <w:r>
              <w:rPr>
                <w:color w:val="231F20"/>
                <w:w w:val="80"/>
                <w:sz w:val="16"/>
              </w:rPr>
              <w:t>Cumplir</w:t>
            </w:r>
            <w:r>
              <w:rPr>
                <w:color w:val="231F20"/>
                <w:spacing w:val="-19"/>
                <w:w w:val="80"/>
                <w:sz w:val="16"/>
              </w:rPr>
              <w:t> </w:t>
            </w:r>
            <w:r>
              <w:rPr>
                <w:color w:val="231F20"/>
                <w:w w:val="80"/>
                <w:sz w:val="16"/>
              </w:rPr>
              <w:t>y</w:t>
            </w:r>
            <w:r>
              <w:rPr>
                <w:color w:val="231F20"/>
                <w:spacing w:val="-19"/>
                <w:w w:val="80"/>
                <w:sz w:val="16"/>
              </w:rPr>
              <w:t> </w:t>
            </w:r>
            <w:r>
              <w:rPr>
                <w:color w:val="231F20"/>
                <w:w w:val="80"/>
                <w:sz w:val="16"/>
              </w:rPr>
              <w:t>hacer</w:t>
            </w:r>
            <w:r>
              <w:rPr>
                <w:color w:val="231F20"/>
                <w:spacing w:val="-19"/>
                <w:w w:val="80"/>
                <w:sz w:val="16"/>
              </w:rPr>
              <w:t> </w:t>
            </w:r>
            <w:r>
              <w:rPr>
                <w:color w:val="231F20"/>
                <w:w w:val="80"/>
                <w:sz w:val="16"/>
              </w:rPr>
              <w:t>cumplir</w:t>
            </w:r>
            <w:r>
              <w:rPr>
                <w:color w:val="231F20"/>
                <w:spacing w:val="-19"/>
                <w:w w:val="80"/>
                <w:sz w:val="16"/>
              </w:rPr>
              <w:t> </w:t>
            </w:r>
            <w:r>
              <w:rPr>
                <w:color w:val="231F20"/>
                <w:w w:val="80"/>
                <w:sz w:val="16"/>
              </w:rPr>
              <w:t>las</w:t>
            </w:r>
            <w:r>
              <w:rPr>
                <w:color w:val="231F20"/>
                <w:spacing w:val="-19"/>
                <w:w w:val="80"/>
                <w:sz w:val="16"/>
              </w:rPr>
              <w:t> </w:t>
            </w:r>
            <w:r>
              <w:rPr>
                <w:color w:val="231F20"/>
                <w:w w:val="80"/>
                <w:sz w:val="16"/>
              </w:rPr>
              <w:t>Leyes</w:t>
            </w:r>
            <w:r>
              <w:rPr>
                <w:color w:val="231F20"/>
                <w:spacing w:val="-19"/>
                <w:w w:val="80"/>
                <w:sz w:val="16"/>
              </w:rPr>
              <w:t> </w:t>
            </w:r>
            <w:r>
              <w:rPr>
                <w:color w:val="231F20"/>
                <w:w w:val="80"/>
                <w:sz w:val="16"/>
              </w:rPr>
              <w:t>y</w:t>
            </w:r>
            <w:r>
              <w:rPr>
                <w:color w:val="231F20"/>
                <w:spacing w:val="-19"/>
                <w:w w:val="80"/>
                <w:sz w:val="16"/>
              </w:rPr>
              <w:t> </w:t>
            </w:r>
            <w:r>
              <w:rPr>
                <w:color w:val="231F20"/>
                <w:w w:val="80"/>
                <w:sz w:val="16"/>
              </w:rPr>
              <w:t>Reglamentos</w:t>
            </w:r>
            <w:r>
              <w:rPr>
                <w:color w:val="231F20"/>
                <w:spacing w:val="-19"/>
                <w:w w:val="80"/>
                <w:sz w:val="16"/>
              </w:rPr>
              <w:t> </w:t>
            </w:r>
            <w:r>
              <w:rPr>
                <w:color w:val="231F20"/>
                <w:w w:val="80"/>
                <w:sz w:val="16"/>
              </w:rPr>
              <w:t>emanados</w:t>
            </w:r>
            <w:r>
              <w:rPr>
                <w:color w:val="231F20"/>
                <w:spacing w:val="-19"/>
                <w:w w:val="80"/>
                <w:sz w:val="16"/>
              </w:rPr>
              <w:t> </w:t>
            </w:r>
            <w:r>
              <w:rPr>
                <w:color w:val="231F20"/>
                <w:w w:val="80"/>
                <w:sz w:val="16"/>
              </w:rPr>
              <w:t>de</w:t>
            </w:r>
            <w:r>
              <w:rPr>
                <w:color w:val="231F20"/>
                <w:spacing w:val="-19"/>
                <w:w w:val="80"/>
                <w:sz w:val="16"/>
              </w:rPr>
              <w:t> </w:t>
            </w:r>
            <w:r>
              <w:rPr>
                <w:color w:val="231F20"/>
                <w:w w:val="80"/>
                <w:sz w:val="16"/>
              </w:rPr>
              <w:t>la</w:t>
            </w:r>
            <w:r>
              <w:rPr>
                <w:color w:val="231F20"/>
                <w:spacing w:val="-19"/>
                <w:w w:val="80"/>
                <w:sz w:val="16"/>
              </w:rPr>
              <w:t> </w:t>
            </w:r>
            <w:r>
              <w:rPr>
                <w:color w:val="231F20"/>
                <w:w w:val="80"/>
                <w:sz w:val="16"/>
              </w:rPr>
              <w:t>Constitución</w:t>
            </w:r>
            <w:r>
              <w:rPr>
                <w:color w:val="231F20"/>
                <w:spacing w:val="-19"/>
                <w:w w:val="80"/>
                <w:sz w:val="16"/>
              </w:rPr>
              <w:t> </w:t>
            </w:r>
            <w:r>
              <w:rPr>
                <w:color w:val="231F20"/>
                <w:w w:val="80"/>
                <w:sz w:val="16"/>
              </w:rPr>
              <w:t>Política</w:t>
            </w:r>
            <w:r>
              <w:rPr>
                <w:color w:val="231F20"/>
                <w:spacing w:val="-19"/>
                <w:w w:val="80"/>
                <w:sz w:val="16"/>
              </w:rPr>
              <w:t> </w:t>
            </w:r>
            <w:r>
              <w:rPr>
                <w:color w:val="231F20"/>
                <w:w w:val="80"/>
                <w:sz w:val="16"/>
              </w:rPr>
              <w:t>de</w:t>
            </w:r>
            <w:r>
              <w:rPr>
                <w:color w:val="231F20"/>
                <w:spacing w:val="-19"/>
                <w:w w:val="80"/>
                <w:sz w:val="16"/>
              </w:rPr>
              <w:t> </w:t>
            </w:r>
            <w:r>
              <w:rPr>
                <w:color w:val="231F20"/>
                <w:w w:val="80"/>
                <w:sz w:val="16"/>
              </w:rPr>
              <w:t>los</w:t>
            </w:r>
            <w:r>
              <w:rPr>
                <w:color w:val="231F20"/>
                <w:spacing w:val="-19"/>
                <w:w w:val="80"/>
                <w:sz w:val="16"/>
              </w:rPr>
              <w:t> </w:t>
            </w:r>
            <w:r>
              <w:rPr>
                <w:color w:val="231F20"/>
                <w:w w:val="80"/>
                <w:sz w:val="16"/>
              </w:rPr>
              <w:t>Estados</w:t>
            </w:r>
            <w:r>
              <w:rPr>
                <w:color w:val="231F20"/>
                <w:spacing w:val="-19"/>
                <w:w w:val="80"/>
                <w:sz w:val="16"/>
              </w:rPr>
              <w:t> </w:t>
            </w:r>
            <w:r>
              <w:rPr>
                <w:color w:val="231F20"/>
                <w:w w:val="80"/>
                <w:sz w:val="16"/>
              </w:rPr>
              <w:t>Unidos</w:t>
            </w:r>
            <w:r>
              <w:rPr>
                <w:color w:val="231F20"/>
                <w:spacing w:val="-19"/>
                <w:w w:val="80"/>
                <w:sz w:val="16"/>
              </w:rPr>
              <w:t> </w:t>
            </w:r>
            <w:r>
              <w:rPr>
                <w:color w:val="231F20"/>
                <w:w w:val="80"/>
                <w:sz w:val="16"/>
              </w:rPr>
              <w:t>Mexicanos;</w:t>
            </w:r>
            <w:r>
              <w:rPr>
                <w:color w:val="231F20"/>
                <w:spacing w:val="-19"/>
                <w:w w:val="80"/>
                <w:sz w:val="16"/>
              </w:rPr>
              <w:t> </w:t>
            </w:r>
            <w:r>
              <w:rPr>
                <w:color w:val="231F20"/>
                <w:w w:val="80"/>
                <w:sz w:val="16"/>
              </w:rPr>
              <w:t>la</w:t>
            </w:r>
            <w:r>
              <w:rPr>
                <w:color w:val="231F20"/>
                <w:spacing w:val="-19"/>
                <w:w w:val="80"/>
                <w:sz w:val="16"/>
              </w:rPr>
              <w:t> </w:t>
            </w:r>
            <w:r>
              <w:rPr>
                <w:color w:val="231F20"/>
                <w:w w:val="80"/>
                <w:sz w:val="16"/>
              </w:rPr>
              <w:t>Constitución</w:t>
            </w:r>
          </w:p>
          <w:p>
            <w:pPr>
              <w:pStyle w:val="TableParagraph"/>
              <w:spacing w:line="191" w:lineRule="exact"/>
              <w:rPr>
                <w:sz w:val="16"/>
              </w:rPr>
            </w:pPr>
            <w:r>
              <w:rPr>
                <w:color w:val="231F20"/>
                <w:w w:val="80"/>
                <w:sz w:val="16"/>
              </w:rPr>
              <w:t>Política del Estado Libre y Soberano de México, la Ley Orgánica Municipal y los acuerdos del Ayuntamiento.</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Salvaguardar las garantías individuales. Garantizar el Estado de derecho y salvaguardar la soberanía municipal.</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Promover la comunicación con la ciudadanía y los servidores públicos municipales que permita proponer acciones al ayuntamiento.</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Promover la eficiencia en el desempeño de la función pública a través de la transparencia honradez y espíritu de servicio.</w:t>
            </w:r>
          </w:p>
        </w:tc>
      </w:tr>
      <w:tr>
        <w:trPr>
          <w:trHeight w:val="130" w:hRule="exact"/>
        </w:trPr>
        <w:tc>
          <w:tcPr>
            <w:tcW w:w="935" w:type="dxa"/>
            <w:vMerge/>
          </w:tcPr>
          <w:p>
            <w:pPr/>
          </w:p>
        </w:tc>
        <w:tc>
          <w:tcPr>
            <w:tcW w:w="6992" w:type="dxa"/>
          </w:tcPr>
          <w:p>
            <w:pPr>
              <w:pStyle w:val="TableParagraph"/>
              <w:spacing w:line="160" w:lineRule="exact"/>
              <w:rPr>
                <w:sz w:val="16"/>
              </w:rPr>
            </w:pPr>
            <w:r>
              <w:rPr>
                <w:color w:val="231F20"/>
                <w:w w:val="80"/>
                <w:sz w:val="16"/>
              </w:rPr>
              <w:t>Colaborar con las autoridades federales y estatales en el cumplimiento de sus funciones.</w:t>
            </w:r>
          </w:p>
        </w:tc>
      </w:tr>
    </w:tbl>
    <w:p>
      <w:pPr>
        <w:pStyle w:val="BodyText"/>
        <w:spacing w:before="3"/>
        <w:rPr>
          <w:b/>
          <w:sz w:val="6"/>
        </w:rPr>
      </w:pPr>
    </w:p>
    <w:p>
      <w:pPr>
        <w:spacing w:before="74"/>
        <w:ind w:left="2446" w:right="-2" w:firstLine="0"/>
        <w:jc w:val="left"/>
        <w:rPr>
          <w:rFonts w:ascii="Calibri" w:hAnsi="Calibri"/>
          <w:sz w:val="16"/>
        </w:rPr>
      </w:pPr>
      <w:r>
        <w:rPr>
          <w:rFonts w:ascii="Calibri" w:hAnsi="Calibri"/>
          <w:color w:val="231F20"/>
          <w:sz w:val="16"/>
        </w:rPr>
        <w:t>Fuente: Bando de Policía y Buen Gobierno del Ayuntamiento de Tepotzotlán 2006-2009</w:t>
      </w:r>
    </w:p>
    <w:p>
      <w:pPr>
        <w:pStyle w:val="BodyText"/>
        <w:rPr>
          <w:rFonts w:ascii="Calibri"/>
          <w:sz w:val="16"/>
        </w:rPr>
      </w:pPr>
    </w:p>
    <w:p>
      <w:pPr>
        <w:pStyle w:val="BodyText"/>
        <w:spacing w:before="11"/>
        <w:rPr>
          <w:rFonts w:ascii="Calibri"/>
          <w:sz w:val="12"/>
        </w:rPr>
      </w:pPr>
    </w:p>
    <w:p>
      <w:pPr>
        <w:pStyle w:val="BodyText"/>
        <w:spacing w:line="285" w:lineRule="auto"/>
        <w:ind w:left="110" w:right="-2"/>
      </w:pPr>
      <w:r>
        <w:rPr>
          <w:color w:val="231F20"/>
          <w:w w:val="105"/>
        </w:rPr>
        <w:t>Conjuntando ambos instrumentos de análisis (bando y plan de desarrollo), se plantean los siguientes objetivos generales del quehacer gubernamental en Tepotzotlán.</w:t>
      </w:r>
    </w:p>
    <w:p>
      <w:pPr>
        <w:pStyle w:val="BodyText"/>
        <w:spacing w:before="1"/>
        <w:ind w:left="677"/>
        <w:jc w:val="both"/>
      </w:pPr>
      <w:r>
        <w:rPr>
          <w:color w:val="231F20"/>
          <w:w w:val="105"/>
        </w:rPr>
        <w:t>Gestión más cercana al ciudadano.</w:t>
      </w:r>
    </w:p>
    <w:p>
      <w:pPr>
        <w:pStyle w:val="BodyText"/>
        <w:spacing w:line="285" w:lineRule="auto" w:before="47"/>
        <w:ind w:left="677" w:right="1712"/>
      </w:pPr>
      <w:r>
        <w:rPr>
          <w:color w:val="231F20"/>
          <w:w w:val="105"/>
        </w:rPr>
        <w:t>Identificar</w:t>
      </w:r>
      <w:r>
        <w:rPr>
          <w:color w:val="231F20"/>
          <w:spacing w:val="-13"/>
          <w:w w:val="105"/>
        </w:rPr>
        <w:t> </w:t>
      </w:r>
      <w:r>
        <w:rPr>
          <w:color w:val="231F20"/>
          <w:w w:val="105"/>
        </w:rPr>
        <w:t>la</w:t>
      </w:r>
      <w:r>
        <w:rPr>
          <w:color w:val="231F20"/>
          <w:spacing w:val="-13"/>
          <w:w w:val="105"/>
        </w:rPr>
        <w:t> </w:t>
      </w:r>
      <w:r>
        <w:rPr>
          <w:color w:val="231F20"/>
          <w:w w:val="105"/>
        </w:rPr>
        <w:t>problemática</w:t>
      </w:r>
      <w:r>
        <w:rPr>
          <w:color w:val="231F20"/>
          <w:spacing w:val="-13"/>
          <w:w w:val="105"/>
        </w:rPr>
        <w:t> </w:t>
      </w:r>
      <w:r>
        <w:rPr>
          <w:color w:val="231F20"/>
          <w:w w:val="105"/>
        </w:rPr>
        <w:t>mediante</w:t>
      </w:r>
      <w:r>
        <w:rPr>
          <w:color w:val="231F20"/>
          <w:spacing w:val="-13"/>
          <w:w w:val="105"/>
        </w:rPr>
        <w:t> </w:t>
      </w:r>
      <w:r>
        <w:rPr>
          <w:color w:val="231F20"/>
          <w:w w:val="105"/>
        </w:rPr>
        <w:t>pilares</w:t>
      </w:r>
      <w:r>
        <w:rPr>
          <w:color w:val="231F20"/>
          <w:spacing w:val="-13"/>
          <w:w w:val="105"/>
        </w:rPr>
        <w:t> </w:t>
      </w:r>
      <w:r>
        <w:rPr>
          <w:color w:val="231F20"/>
          <w:w w:val="105"/>
        </w:rPr>
        <w:t>y</w:t>
      </w:r>
      <w:r>
        <w:rPr>
          <w:color w:val="231F20"/>
          <w:spacing w:val="-13"/>
          <w:w w:val="105"/>
        </w:rPr>
        <w:t> </w:t>
      </w:r>
      <w:r>
        <w:rPr>
          <w:color w:val="231F20"/>
          <w:w w:val="105"/>
        </w:rPr>
        <w:t>cimientos. Acciones</w:t>
      </w:r>
      <w:r>
        <w:rPr>
          <w:color w:val="231F20"/>
          <w:spacing w:val="-16"/>
          <w:w w:val="105"/>
        </w:rPr>
        <w:t> </w:t>
      </w:r>
      <w:r>
        <w:rPr>
          <w:color w:val="231F20"/>
          <w:w w:val="105"/>
        </w:rPr>
        <w:t>de</w:t>
      </w:r>
      <w:r>
        <w:rPr>
          <w:color w:val="231F20"/>
          <w:spacing w:val="-16"/>
          <w:w w:val="105"/>
        </w:rPr>
        <w:t> </w:t>
      </w:r>
      <w:r>
        <w:rPr>
          <w:color w:val="231F20"/>
          <w:w w:val="105"/>
        </w:rPr>
        <w:t>desarrollo</w:t>
      </w:r>
      <w:r>
        <w:rPr>
          <w:color w:val="231F20"/>
          <w:spacing w:val="-16"/>
          <w:w w:val="105"/>
        </w:rPr>
        <w:t> </w:t>
      </w:r>
      <w:r>
        <w:rPr>
          <w:color w:val="231F20"/>
          <w:w w:val="105"/>
        </w:rPr>
        <w:t>social</w:t>
      </w:r>
      <w:r>
        <w:rPr>
          <w:color w:val="231F20"/>
          <w:spacing w:val="-16"/>
          <w:w w:val="105"/>
        </w:rPr>
        <w:t> </w:t>
      </w:r>
      <w:r>
        <w:rPr>
          <w:color w:val="231F20"/>
          <w:w w:val="105"/>
        </w:rPr>
        <w:t>para</w:t>
      </w:r>
      <w:r>
        <w:rPr>
          <w:color w:val="231F20"/>
          <w:spacing w:val="-16"/>
          <w:w w:val="105"/>
        </w:rPr>
        <w:t> </w:t>
      </w:r>
      <w:r>
        <w:rPr>
          <w:color w:val="231F20"/>
          <w:w w:val="105"/>
        </w:rPr>
        <w:t>incidir</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bienestar.</w:t>
      </w:r>
    </w:p>
    <w:p>
      <w:pPr>
        <w:pStyle w:val="BodyText"/>
        <w:spacing w:line="285" w:lineRule="auto" w:before="1"/>
        <w:ind w:left="677" w:right="574"/>
      </w:pPr>
      <w:r>
        <w:rPr>
          <w:color w:val="231F20"/>
          <w:spacing w:val="-3"/>
          <w:w w:val="105"/>
        </w:rPr>
        <w:t>Mayor</w:t>
      </w:r>
      <w:r>
        <w:rPr>
          <w:color w:val="231F20"/>
          <w:spacing w:val="-30"/>
          <w:w w:val="105"/>
        </w:rPr>
        <w:t> </w:t>
      </w:r>
      <w:r>
        <w:rPr>
          <w:color w:val="231F20"/>
          <w:w w:val="105"/>
        </w:rPr>
        <w:t>eficacia,</w:t>
      </w:r>
      <w:r>
        <w:rPr>
          <w:color w:val="231F20"/>
          <w:spacing w:val="-30"/>
          <w:w w:val="105"/>
        </w:rPr>
        <w:t> </w:t>
      </w:r>
      <w:r>
        <w:rPr>
          <w:color w:val="231F20"/>
          <w:w w:val="105"/>
        </w:rPr>
        <w:t>eficiencia</w:t>
      </w:r>
      <w:r>
        <w:rPr>
          <w:color w:val="231F20"/>
          <w:spacing w:val="-30"/>
          <w:w w:val="105"/>
        </w:rPr>
        <w:t> </w:t>
      </w:r>
      <w:r>
        <w:rPr>
          <w:color w:val="231F20"/>
          <w:w w:val="105"/>
        </w:rPr>
        <w:t>y</w:t>
      </w:r>
      <w:r>
        <w:rPr>
          <w:color w:val="231F20"/>
          <w:spacing w:val="-30"/>
          <w:w w:val="105"/>
        </w:rPr>
        <w:t> </w:t>
      </w:r>
      <w:r>
        <w:rPr>
          <w:color w:val="231F20"/>
          <w:w w:val="105"/>
        </w:rPr>
        <w:t>efectividad</w:t>
      </w:r>
      <w:r>
        <w:rPr>
          <w:color w:val="231F20"/>
          <w:spacing w:val="-30"/>
          <w:w w:val="105"/>
        </w:rPr>
        <w:t> </w:t>
      </w:r>
      <w:r>
        <w:rPr>
          <w:color w:val="231F20"/>
          <w:w w:val="105"/>
        </w:rPr>
        <w:t>de</w:t>
      </w:r>
      <w:r>
        <w:rPr>
          <w:color w:val="231F20"/>
          <w:spacing w:val="-30"/>
          <w:w w:val="105"/>
        </w:rPr>
        <w:t> </w:t>
      </w:r>
      <w:r>
        <w:rPr>
          <w:color w:val="231F20"/>
          <w:w w:val="105"/>
        </w:rPr>
        <w:t>servicios</w:t>
      </w:r>
      <w:r>
        <w:rPr>
          <w:color w:val="231F20"/>
          <w:spacing w:val="-30"/>
          <w:w w:val="105"/>
        </w:rPr>
        <w:t> </w:t>
      </w:r>
      <w:r>
        <w:rPr>
          <w:color w:val="231F20"/>
          <w:w w:val="105"/>
        </w:rPr>
        <w:t>públicos</w:t>
      </w:r>
      <w:r>
        <w:rPr>
          <w:color w:val="231F20"/>
          <w:spacing w:val="-30"/>
          <w:w w:val="105"/>
        </w:rPr>
        <w:t> </w:t>
      </w:r>
      <w:r>
        <w:rPr>
          <w:color w:val="231F20"/>
          <w:w w:val="105"/>
        </w:rPr>
        <w:t>municipales. </w:t>
      </w:r>
      <w:r>
        <w:rPr>
          <w:color w:val="231F20"/>
          <w:spacing w:val="2"/>
          <w:w w:val="105"/>
        </w:rPr>
        <w:t>Agilizar</w:t>
      </w:r>
      <w:r>
        <w:rPr>
          <w:color w:val="231F20"/>
          <w:spacing w:val="-22"/>
          <w:w w:val="105"/>
        </w:rPr>
        <w:t> </w:t>
      </w:r>
      <w:r>
        <w:rPr>
          <w:color w:val="231F20"/>
          <w:w w:val="105"/>
        </w:rPr>
        <w:t>los</w:t>
      </w:r>
      <w:r>
        <w:rPr>
          <w:color w:val="231F20"/>
          <w:spacing w:val="-22"/>
          <w:w w:val="105"/>
        </w:rPr>
        <w:t> </w:t>
      </w:r>
      <w:r>
        <w:rPr>
          <w:color w:val="231F20"/>
          <w:w w:val="105"/>
        </w:rPr>
        <w:t>mecanismos</w:t>
      </w:r>
      <w:r>
        <w:rPr>
          <w:color w:val="231F20"/>
          <w:spacing w:val="-22"/>
          <w:w w:val="105"/>
        </w:rPr>
        <w:t> </w:t>
      </w:r>
      <w:r>
        <w:rPr>
          <w:color w:val="231F20"/>
          <w:w w:val="105"/>
        </w:rPr>
        <w:t>administrativos.</w:t>
      </w:r>
    </w:p>
    <w:p>
      <w:pPr>
        <w:pStyle w:val="BodyText"/>
        <w:spacing w:line="285" w:lineRule="auto" w:before="1"/>
        <w:ind w:left="677" w:right="2042"/>
      </w:pPr>
      <w:r>
        <w:rPr>
          <w:color w:val="231F20"/>
          <w:w w:val="105"/>
        </w:rPr>
        <w:t>Eficientar los recursos públicos en programas estratégicos. Gobierno promotor.</w:t>
      </w:r>
    </w:p>
    <w:p>
      <w:pPr>
        <w:pStyle w:val="BodyText"/>
        <w:spacing w:before="1"/>
        <w:ind w:left="677"/>
        <w:jc w:val="both"/>
      </w:pPr>
      <w:r>
        <w:rPr>
          <w:color w:val="231F20"/>
          <w:w w:val="105"/>
        </w:rPr>
        <w:t>Concertación para el logro de objetivos comunes.</w:t>
      </w:r>
    </w:p>
    <w:p>
      <w:pPr>
        <w:pStyle w:val="BodyText"/>
        <w:spacing w:before="47"/>
        <w:ind w:left="677"/>
        <w:jc w:val="both"/>
      </w:pPr>
      <w:r>
        <w:rPr>
          <w:color w:val="231F20"/>
          <w:w w:val="105"/>
        </w:rPr>
        <w:t>Promover el desarrollo urbano sustentable y sostenible (PDM 2006-2009).</w:t>
      </w:r>
    </w:p>
    <w:p>
      <w:pPr>
        <w:pStyle w:val="BodyText"/>
        <w:spacing w:before="2"/>
        <w:rPr>
          <w:sz w:val="30"/>
        </w:rPr>
      </w:pPr>
    </w:p>
    <w:p>
      <w:pPr>
        <w:pStyle w:val="BodyText"/>
        <w:spacing w:line="285" w:lineRule="auto"/>
        <w:ind w:left="110" w:right="-2"/>
      </w:pP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reglamentación</w:t>
      </w:r>
      <w:r>
        <w:rPr>
          <w:color w:val="231F20"/>
          <w:spacing w:val="-15"/>
          <w:w w:val="105"/>
        </w:rPr>
        <w:t> </w:t>
      </w:r>
      <w:r>
        <w:rPr>
          <w:color w:val="231F20"/>
          <w:w w:val="105"/>
        </w:rPr>
        <w:t>del</w:t>
      </w:r>
      <w:r>
        <w:rPr>
          <w:color w:val="231F20"/>
          <w:spacing w:val="-15"/>
          <w:w w:val="105"/>
        </w:rPr>
        <w:t> </w:t>
      </w:r>
      <w:r>
        <w:rPr>
          <w:color w:val="231F20"/>
          <w:w w:val="105"/>
        </w:rPr>
        <w:t>municipio,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Plan</w:t>
      </w:r>
      <w:r>
        <w:rPr>
          <w:color w:val="231F20"/>
          <w:spacing w:val="-15"/>
          <w:w w:val="105"/>
        </w:rPr>
        <w:t> </w:t>
      </w:r>
      <w:r>
        <w:rPr>
          <w:color w:val="231F20"/>
          <w:w w:val="105"/>
        </w:rPr>
        <w:t>de</w:t>
      </w:r>
      <w:r>
        <w:rPr>
          <w:color w:val="231F20"/>
          <w:spacing w:val="-15"/>
          <w:w w:val="105"/>
        </w:rPr>
        <w:t> </w:t>
      </w:r>
      <w:r>
        <w:rPr>
          <w:color w:val="231F20"/>
          <w:w w:val="105"/>
        </w:rPr>
        <w:t>Desarrollo</w:t>
      </w:r>
      <w:r>
        <w:rPr>
          <w:color w:val="231F20"/>
          <w:spacing w:val="-15"/>
          <w:w w:val="105"/>
        </w:rPr>
        <w:t> </w:t>
      </w:r>
      <w:r>
        <w:rPr>
          <w:color w:val="231F20"/>
          <w:w w:val="105"/>
        </w:rPr>
        <w:t>Municipal</w:t>
      </w:r>
      <w:r>
        <w:rPr>
          <w:color w:val="231F20"/>
          <w:spacing w:val="-15"/>
          <w:w w:val="105"/>
        </w:rPr>
        <w:t> </w:t>
      </w:r>
      <w:r>
        <w:rPr>
          <w:color w:val="231F20"/>
          <w:spacing w:val="4"/>
          <w:w w:val="105"/>
        </w:rPr>
        <w:t>2006- </w:t>
      </w:r>
      <w:r>
        <w:rPr>
          <w:color w:val="231F20"/>
          <w:spacing w:val="2"/>
          <w:w w:val="105"/>
        </w:rPr>
        <w:t>2009</w:t>
      </w:r>
      <w:r>
        <w:rPr>
          <w:color w:val="231F20"/>
          <w:spacing w:val="-23"/>
          <w:w w:val="105"/>
        </w:rPr>
        <w:t> </w:t>
      </w:r>
      <w:r>
        <w:rPr>
          <w:color w:val="231F20"/>
          <w:w w:val="105"/>
        </w:rPr>
        <w:t>se</w:t>
      </w:r>
      <w:r>
        <w:rPr>
          <w:color w:val="231F20"/>
          <w:spacing w:val="-23"/>
          <w:w w:val="105"/>
        </w:rPr>
        <w:t> </w:t>
      </w:r>
      <w:r>
        <w:rPr>
          <w:color w:val="231F20"/>
          <w:w w:val="105"/>
        </w:rPr>
        <w:t>señaló</w:t>
      </w:r>
      <w:r>
        <w:rPr>
          <w:color w:val="231F20"/>
          <w:spacing w:val="-23"/>
          <w:w w:val="105"/>
        </w:rPr>
        <w:t> </w:t>
      </w:r>
      <w:r>
        <w:rPr>
          <w:color w:val="231F20"/>
          <w:w w:val="105"/>
        </w:rPr>
        <w:t>que:</w:t>
      </w:r>
    </w:p>
    <w:p>
      <w:pPr>
        <w:pStyle w:val="BodyText"/>
        <w:spacing w:line="285" w:lineRule="auto" w:before="1"/>
        <w:ind w:left="677" w:right="107"/>
        <w:jc w:val="both"/>
      </w:pPr>
      <w:r>
        <w:rPr>
          <w:color w:val="231F20"/>
          <w:w w:val="105"/>
        </w:rPr>
        <w:t>“nunca se instrumentaron manuales de organización y procedimientos, por lo que</w:t>
      </w:r>
      <w:r>
        <w:rPr>
          <w:color w:val="231F20"/>
          <w:spacing w:val="-7"/>
          <w:w w:val="105"/>
        </w:rPr>
        <w:t> </w:t>
      </w:r>
      <w:r>
        <w:rPr>
          <w:color w:val="231F20"/>
          <w:w w:val="105"/>
        </w:rPr>
        <w:t>las</w:t>
      </w:r>
      <w:r>
        <w:rPr>
          <w:color w:val="231F20"/>
          <w:spacing w:val="-7"/>
          <w:w w:val="105"/>
        </w:rPr>
        <w:t> </w:t>
      </w:r>
      <w:r>
        <w:rPr>
          <w:color w:val="231F20"/>
          <w:w w:val="105"/>
        </w:rPr>
        <w:t>actividades</w:t>
      </w:r>
      <w:r>
        <w:rPr>
          <w:color w:val="231F20"/>
          <w:spacing w:val="-7"/>
          <w:w w:val="105"/>
        </w:rPr>
        <w:t> </w:t>
      </w:r>
      <w:r>
        <w:rPr>
          <w:color w:val="231F20"/>
          <w:w w:val="105"/>
        </w:rPr>
        <w:t>administrativas</w:t>
      </w:r>
      <w:r>
        <w:rPr>
          <w:color w:val="231F20"/>
          <w:spacing w:val="-7"/>
          <w:w w:val="105"/>
        </w:rPr>
        <w:t> </w:t>
      </w:r>
      <w:r>
        <w:rPr>
          <w:color w:val="231F20"/>
          <w:w w:val="105"/>
        </w:rPr>
        <w:t>se</w:t>
      </w:r>
      <w:r>
        <w:rPr>
          <w:color w:val="231F20"/>
          <w:spacing w:val="-7"/>
          <w:w w:val="105"/>
        </w:rPr>
        <w:t> </w:t>
      </w:r>
      <w:r>
        <w:rPr>
          <w:color w:val="231F20"/>
          <w:w w:val="105"/>
        </w:rPr>
        <w:t>llevaron</w:t>
      </w:r>
      <w:r>
        <w:rPr>
          <w:color w:val="231F20"/>
          <w:spacing w:val="-7"/>
          <w:w w:val="105"/>
        </w:rPr>
        <w:t> </w:t>
      </w:r>
      <w:r>
        <w:rPr>
          <w:color w:val="231F20"/>
          <w:w w:val="105"/>
        </w:rPr>
        <w:t>a</w:t>
      </w:r>
      <w:r>
        <w:rPr>
          <w:color w:val="231F20"/>
          <w:spacing w:val="-7"/>
          <w:w w:val="105"/>
        </w:rPr>
        <w:t> </w:t>
      </w:r>
      <w:r>
        <w:rPr>
          <w:color w:val="231F20"/>
          <w:w w:val="105"/>
        </w:rPr>
        <w:t>cabo</w:t>
      </w:r>
      <w:r>
        <w:rPr>
          <w:color w:val="231F20"/>
          <w:spacing w:val="-7"/>
          <w:w w:val="105"/>
        </w:rPr>
        <w:t> </w:t>
      </w:r>
      <w:r>
        <w:rPr>
          <w:color w:val="231F20"/>
          <w:w w:val="105"/>
        </w:rPr>
        <w:t>a</w:t>
      </w:r>
      <w:r>
        <w:rPr>
          <w:color w:val="231F20"/>
          <w:spacing w:val="-7"/>
          <w:w w:val="105"/>
        </w:rPr>
        <w:t> </w:t>
      </w:r>
      <w:r>
        <w:rPr>
          <w:color w:val="231F20"/>
          <w:w w:val="105"/>
        </w:rPr>
        <w:t>través</w:t>
      </w:r>
      <w:r>
        <w:rPr>
          <w:color w:val="231F20"/>
          <w:spacing w:val="-7"/>
          <w:w w:val="105"/>
        </w:rPr>
        <w:t> </w:t>
      </w:r>
      <w:r>
        <w:rPr>
          <w:color w:val="231F20"/>
          <w:w w:val="105"/>
        </w:rPr>
        <w:t>de</w:t>
      </w:r>
      <w:r>
        <w:rPr>
          <w:color w:val="231F20"/>
          <w:spacing w:val="-7"/>
          <w:w w:val="105"/>
        </w:rPr>
        <w:t> </w:t>
      </w:r>
      <w:r>
        <w:rPr>
          <w:color w:val="231F20"/>
          <w:w w:val="105"/>
        </w:rPr>
        <w:t>funciones</w:t>
      </w:r>
      <w:r>
        <w:rPr>
          <w:color w:val="231F20"/>
          <w:spacing w:val="-7"/>
          <w:w w:val="105"/>
        </w:rPr>
        <w:t> </w:t>
      </w:r>
      <w:r>
        <w:rPr>
          <w:color w:val="231F20"/>
          <w:w w:val="105"/>
        </w:rPr>
        <w:t>esta- blecidas en el marco normativo y circulares emitidas por la Contraloría</w:t>
      </w:r>
      <w:r>
        <w:rPr>
          <w:color w:val="231F20"/>
          <w:spacing w:val="-9"/>
          <w:w w:val="105"/>
        </w:rPr>
        <w:t> </w:t>
      </w:r>
      <w:r>
        <w:rPr>
          <w:color w:val="231F20"/>
          <w:w w:val="105"/>
        </w:rPr>
        <w:t>Interna.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spacing w:val="-3"/>
          <w:w w:val="105"/>
        </w:rPr>
        <w:t>Por</w:t>
      </w:r>
      <w:r>
        <w:rPr>
          <w:color w:val="231F20"/>
          <w:spacing w:val="-9"/>
          <w:w w:val="105"/>
        </w:rPr>
        <w:t> </w:t>
      </w:r>
      <w:r>
        <w:rPr>
          <w:color w:val="231F20"/>
          <w:w w:val="105"/>
        </w:rPr>
        <w:t>lo</w:t>
      </w:r>
      <w:r>
        <w:rPr>
          <w:color w:val="231F20"/>
          <w:spacing w:val="-9"/>
          <w:w w:val="105"/>
        </w:rPr>
        <w:t> </w:t>
      </w:r>
      <w:r>
        <w:rPr>
          <w:color w:val="231F20"/>
          <w:w w:val="105"/>
        </w:rPr>
        <w:t>anterior</w:t>
      </w:r>
      <w:r>
        <w:rPr>
          <w:color w:val="231F20"/>
          <w:spacing w:val="-9"/>
          <w:w w:val="105"/>
        </w:rPr>
        <w:t> </w:t>
      </w:r>
      <w:r>
        <w:rPr>
          <w:color w:val="231F20"/>
          <w:w w:val="105"/>
        </w:rPr>
        <w:t>es</w:t>
      </w:r>
      <w:r>
        <w:rPr>
          <w:color w:val="231F20"/>
          <w:spacing w:val="-9"/>
          <w:w w:val="105"/>
        </w:rPr>
        <w:t> </w:t>
      </w:r>
      <w:r>
        <w:rPr>
          <w:color w:val="231F20"/>
          <w:w w:val="105"/>
        </w:rPr>
        <w:t>necesario</w:t>
      </w:r>
      <w:r>
        <w:rPr>
          <w:color w:val="231F20"/>
          <w:spacing w:val="-9"/>
          <w:w w:val="105"/>
        </w:rPr>
        <w:t> </w:t>
      </w:r>
      <w:r>
        <w:rPr>
          <w:color w:val="231F20"/>
          <w:w w:val="105"/>
        </w:rPr>
        <w:t>que</w:t>
      </w:r>
      <w:r>
        <w:rPr>
          <w:color w:val="231F20"/>
          <w:spacing w:val="-9"/>
          <w:w w:val="105"/>
        </w:rPr>
        <w:t> </w:t>
      </w:r>
      <w:r>
        <w:rPr>
          <w:color w:val="231F20"/>
          <w:w w:val="105"/>
        </w:rPr>
        <w:t>este</w:t>
      </w:r>
      <w:r>
        <w:rPr>
          <w:color w:val="231F20"/>
          <w:spacing w:val="-9"/>
          <w:w w:val="105"/>
        </w:rPr>
        <w:t> </w:t>
      </w:r>
      <w:r>
        <w:rPr>
          <w:color w:val="231F20"/>
          <w:w w:val="105"/>
        </w:rPr>
        <w:t>gobierno</w:t>
      </w:r>
      <w:r>
        <w:rPr>
          <w:color w:val="231F20"/>
          <w:spacing w:val="-9"/>
          <w:w w:val="105"/>
        </w:rPr>
        <w:t> </w:t>
      </w:r>
      <w:r>
        <w:rPr>
          <w:color w:val="231F20"/>
          <w:w w:val="105"/>
        </w:rPr>
        <w:t>se</w:t>
      </w:r>
      <w:r>
        <w:rPr>
          <w:color w:val="231F20"/>
          <w:spacing w:val="-9"/>
          <w:w w:val="105"/>
        </w:rPr>
        <w:t> </w:t>
      </w:r>
      <w:r>
        <w:rPr>
          <w:color w:val="231F20"/>
          <w:w w:val="105"/>
        </w:rPr>
        <w:t>dé</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tarea,</w:t>
      </w:r>
      <w:r>
        <w:rPr>
          <w:color w:val="231F20"/>
          <w:spacing w:val="-9"/>
          <w:w w:val="105"/>
        </w:rPr>
        <w:t> </w:t>
      </w:r>
      <w:r>
        <w:rPr>
          <w:color w:val="231F20"/>
          <w:w w:val="105"/>
        </w:rPr>
        <w:t>en</w:t>
      </w:r>
      <w:r>
        <w:rPr>
          <w:color w:val="231F20"/>
          <w:spacing w:val="-9"/>
          <w:w w:val="105"/>
        </w:rPr>
        <w:t> </w:t>
      </w:r>
      <w:r>
        <w:rPr>
          <w:color w:val="231F20"/>
          <w:w w:val="105"/>
        </w:rPr>
        <w:t>base</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estruc- </w:t>
      </w:r>
      <w:r>
        <w:rPr>
          <w:color w:val="231F20"/>
          <w:spacing w:val="2"/>
          <w:w w:val="105"/>
        </w:rPr>
        <w:t>tura</w:t>
      </w:r>
      <w:r>
        <w:rPr>
          <w:color w:val="231F20"/>
          <w:spacing w:val="-13"/>
          <w:w w:val="105"/>
        </w:rPr>
        <w:t> </w:t>
      </w:r>
      <w:r>
        <w:rPr>
          <w:color w:val="231F20"/>
          <w:w w:val="105"/>
        </w:rPr>
        <w:t>administrativa,</w:t>
      </w:r>
      <w:r>
        <w:rPr>
          <w:color w:val="231F20"/>
          <w:spacing w:val="-13"/>
          <w:w w:val="105"/>
        </w:rPr>
        <w:t> </w:t>
      </w:r>
      <w:r>
        <w:rPr>
          <w:color w:val="231F20"/>
          <w:w w:val="105"/>
        </w:rPr>
        <w:t>de</w:t>
      </w:r>
      <w:r>
        <w:rPr>
          <w:color w:val="231F20"/>
          <w:spacing w:val="-13"/>
          <w:w w:val="105"/>
        </w:rPr>
        <w:t> </w:t>
      </w:r>
      <w:r>
        <w:rPr>
          <w:color w:val="231F20"/>
          <w:w w:val="105"/>
        </w:rPr>
        <w:t>elaborar</w:t>
      </w:r>
      <w:r>
        <w:rPr>
          <w:color w:val="231F20"/>
          <w:spacing w:val="-13"/>
          <w:w w:val="105"/>
        </w:rPr>
        <w:t> </w:t>
      </w:r>
      <w:r>
        <w:rPr>
          <w:color w:val="231F20"/>
          <w:w w:val="105"/>
        </w:rPr>
        <w:t>manuales</w:t>
      </w:r>
      <w:r>
        <w:rPr>
          <w:color w:val="231F20"/>
          <w:spacing w:val="-13"/>
          <w:w w:val="105"/>
        </w:rPr>
        <w:t> </w:t>
      </w:r>
      <w:r>
        <w:rPr>
          <w:color w:val="231F20"/>
          <w:w w:val="105"/>
        </w:rPr>
        <w:t>de</w:t>
      </w:r>
      <w:r>
        <w:rPr>
          <w:color w:val="231F20"/>
          <w:spacing w:val="-13"/>
          <w:w w:val="105"/>
        </w:rPr>
        <w:t> </w:t>
      </w:r>
      <w:r>
        <w:rPr>
          <w:color w:val="231F20"/>
          <w:w w:val="105"/>
        </w:rPr>
        <w:t>organización</w:t>
      </w:r>
      <w:r>
        <w:rPr>
          <w:color w:val="231F20"/>
          <w:spacing w:val="-13"/>
          <w:w w:val="105"/>
        </w:rPr>
        <w:t> </w:t>
      </w:r>
      <w:r>
        <w:rPr>
          <w:color w:val="231F20"/>
          <w:w w:val="105"/>
        </w:rPr>
        <w:t>y</w:t>
      </w:r>
      <w:r>
        <w:rPr>
          <w:color w:val="231F20"/>
          <w:spacing w:val="-13"/>
          <w:w w:val="105"/>
        </w:rPr>
        <w:t> </w:t>
      </w:r>
      <w:r>
        <w:rPr>
          <w:color w:val="231F20"/>
          <w:w w:val="105"/>
        </w:rPr>
        <w:t>procedimientos”.</w:t>
      </w:r>
    </w:p>
    <w:p>
      <w:pPr>
        <w:pStyle w:val="BodyText"/>
        <w:spacing w:before="1"/>
        <w:rPr>
          <w:sz w:val="26"/>
        </w:rPr>
      </w:pPr>
    </w:p>
    <w:p>
      <w:pPr>
        <w:pStyle w:val="BodyText"/>
        <w:spacing w:line="285" w:lineRule="auto"/>
        <w:ind w:left="110" w:right="-2"/>
      </w:pP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hasta</w:t>
      </w:r>
      <w:r>
        <w:rPr>
          <w:color w:val="231F20"/>
          <w:spacing w:val="-10"/>
          <w:w w:val="105"/>
        </w:rPr>
        <w:t> </w:t>
      </w:r>
      <w:r>
        <w:rPr>
          <w:color w:val="231F20"/>
          <w:w w:val="105"/>
        </w:rPr>
        <w:t>el</w:t>
      </w:r>
      <w:r>
        <w:rPr>
          <w:color w:val="231F20"/>
          <w:spacing w:val="-10"/>
          <w:w w:val="105"/>
        </w:rPr>
        <w:t> </w:t>
      </w:r>
      <w:r>
        <w:rPr>
          <w:color w:val="231F20"/>
          <w:w w:val="105"/>
        </w:rPr>
        <w:t>30</w:t>
      </w:r>
      <w:r>
        <w:rPr>
          <w:color w:val="231F20"/>
          <w:spacing w:val="-10"/>
          <w:w w:val="105"/>
        </w:rPr>
        <w:t> </w:t>
      </w:r>
      <w:r>
        <w:rPr>
          <w:color w:val="231F20"/>
          <w:w w:val="105"/>
        </w:rPr>
        <w:t>de</w:t>
      </w:r>
      <w:r>
        <w:rPr>
          <w:color w:val="231F20"/>
          <w:spacing w:val="-10"/>
          <w:w w:val="105"/>
        </w:rPr>
        <w:t> </w:t>
      </w:r>
      <w:r>
        <w:rPr>
          <w:color w:val="231F20"/>
          <w:w w:val="105"/>
        </w:rPr>
        <w:t>septiembre</w:t>
      </w:r>
      <w:r>
        <w:rPr>
          <w:color w:val="231F20"/>
          <w:spacing w:val="-10"/>
          <w:w w:val="105"/>
        </w:rPr>
        <w:t> </w:t>
      </w:r>
      <w:r>
        <w:rPr>
          <w:color w:val="231F20"/>
          <w:w w:val="105"/>
        </w:rPr>
        <w:t>de</w:t>
      </w:r>
      <w:r>
        <w:rPr>
          <w:color w:val="231F20"/>
          <w:spacing w:val="-10"/>
          <w:w w:val="105"/>
        </w:rPr>
        <w:t> </w:t>
      </w:r>
      <w:r>
        <w:rPr>
          <w:color w:val="231F20"/>
          <w:spacing w:val="3"/>
          <w:w w:val="105"/>
        </w:rPr>
        <w:t>2008,</w:t>
      </w:r>
      <w:r>
        <w:rPr>
          <w:color w:val="231F20"/>
          <w:spacing w:val="-10"/>
          <w:w w:val="105"/>
        </w:rPr>
        <w:t> </w:t>
      </w:r>
      <w:r>
        <w:rPr>
          <w:color w:val="231F20"/>
          <w:w w:val="105"/>
        </w:rPr>
        <w:t>de</w:t>
      </w:r>
      <w:r>
        <w:rPr>
          <w:color w:val="231F20"/>
          <w:spacing w:val="-10"/>
          <w:w w:val="105"/>
        </w:rPr>
        <w:t> </w:t>
      </w:r>
      <w:r>
        <w:rPr>
          <w:color w:val="231F20"/>
          <w:w w:val="105"/>
        </w:rPr>
        <w:t>acuerdo</w:t>
      </w:r>
      <w:r>
        <w:rPr>
          <w:color w:val="231F20"/>
          <w:spacing w:val="-10"/>
          <w:w w:val="105"/>
        </w:rPr>
        <w:t> </w:t>
      </w:r>
      <w:r>
        <w:rPr>
          <w:color w:val="231F20"/>
          <w:w w:val="105"/>
        </w:rPr>
        <w:t>con</w:t>
      </w:r>
      <w:r>
        <w:rPr>
          <w:color w:val="231F20"/>
          <w:spacing w:val="-10"/>
          <w:w w:val="105"/>
        </w:rPr>
        <w:t> </w:t>
      </w:r>
      <w:r>
        <w:rPr>
          <w:color w:val="231F20"/>
          <w:w w:val="105"/>
        </w:rPr>
        <w:t>documentos</w:t>
      </w:r>
      <w:r>
        <w:rPr>
          <w:color w:val="231F20"/>
          <w:spacing w:val="-10"/>
          <w:w w:val="105"/>
        </w:rPr>
        <w:t> </w:t>
      </w:r>
      <w:r>
        <w:rPr>
          <w:color w:val="231F20"/>
          <w:w w:val="105"/>
        </w:rPr>
        <w:t>del</w:t>
      </w:r>
      <w:r>
        <w:rPr>
          <w:color w:val="231F20"/>
          <w:spacing w:val="-10"/>
          <w:w w:val="105"/>
        </w:rPr>
        <w:t> </w:t>
      </w:r>
      <w:r>
        <w:rPr>
          <w:color w:val="231F20"/>
          <w:spacing w:val="-3"/>
          <w:w w:val="105"/>
        </w:rPr>
        <w:t>propio </w:t>
      </w:r>
      <w:r>
        <w:rPr>
          <w:color w:val="231F20"/>
          <w:w w:val="105"/>
        </w:rPr>
        <w:t>ayuntamiento,</w:t>
      </w:r>
      <w:r>
        <w:rPr>
          <w:color w:val="231F20"/>
          <w:spacing w:val="-12"/>
          <w:w w:val="105"/>
        </w:rPr>
        <w:t> </w:t>
      </w:r>
      <w:r>
        <w:rPr>
          <w:color w:val="231F20"/>
          <w:w w:val="105"/>
        </w:rPr>
        <w:t>se</w:t>
      </w:r>
      <w:r>
        <w:rPr>
          <w:color w:val="231F20"/>
          <w:spacing w:val="-12"/>
          <w:w w:val="105"/>
        </w:rPr>
        <w:t> </w:t>
      </w:r>
      <w:r>
        <w:rPr>
          <w:color w:val="231F20"/>
          <w:w w:val="105"/>
        </w:rPr>
        <w:t>manifiesta</w:t>
      </w:r>
      <w:r>
        <w:rPr>
          <w:color w:val="231F20"/>
          <w:spacing w:val="-12"/>
          <w:w w:val="105"/>
        </w:rPr>
        <w:t> </w:t>
      </w:r>
      <w:r>
        <w:rPr>
          <w:color w:val="231F20"/>
          <w:w w:val="105"/>
        </w:rPr>
        <w:t>que</w:t>
      </w:r>
      <w:r>
        <w:rPr>
          <w:color w:val="231F20"/>
          <w:spacing w:val="-12"/>
          <w:w w:val="105"/>
        </w:rPr>
        <w:t> </w:t>
      </w:r>
      <w:r>
        <w:rPr>
          <w:color w:val="231F20"/>
          <w:w w:val="105"/>
        </w:rPr>
        <w:t>el:</w:t>
      </w:r>
    </w:p>
    <w:p>
      <w:pPr>
        <w:pStyle w:val="BodyText"/>
        <w:spacing w:line="285" w:lineRule="auto" w:before="1"/>
        <w:ind w:left="677" w:right="107" w:firstLine="41"/>
        <w:jc w:val="both"/>
      </w:pPr>
      <w:r>
        <w:rPr>
          <w:color w:val="231F20"/>
          <w:w w:val="105"/>
        </w:rPr>
        <w:t>“H.</w:t>
      </w:r>
      <w:r>
        <w:rPr>
          <w:color w:val="231F20"/>
          <w:spacing w:val="-20"/>
          <w:w w:val="105"/>
        </w:rPr>
        <w:t> </w:t>
      </w:r>
      <w:r>
        <w:rPr>
          <w:color w:val="231F20"/>
          <w:w w:val="105"/>
        </w:rPr>
        <w:t>Ayuntamiento</w:t>
      </w:r>
      <w:r>
        <w:rPr>
          <w:color w:val="231F20"/>
          <w:spacing w:val="-20"/>
          <w:w w:val="105"/>
        </w:rPr>
        <w:t> </w:t>
      </w:r>
      <w:r>
        <w:rPr>
          <w:color w:val="231F20"/>
          <w:w w:val="105"/>
        </w:rPr>
        <w:t>no</w:t>
      </w:r>
      <w:r>
        <w:rPr>
          <w:color w:val="231F20"/>
          <w:spacing w:val="-20"/>
          <w:w w:val="105"/>
        </w:rPr>
        <w:t> </w:t>
      </w:r>
      <w:r>
        <w:rPr>
          <w:color w:val="231F20"/>
          <w:w w:val="105"/>
        </w:rPr>
        <w:t>cuenta</w:t>
      </w:r>
      <w:r>
        <w:rPr>
          <w:color w:val="231F20"/>
          <w:spacing w:val="-20"/>
          <w:w w:val="105"/>
        </w:rPr>
        <w:t> </w:t>
      </w:r>
      <w:r>
        <w:rPr>
          <w:color w:val="231F20"/>
          <w:w w:val="105"/>
        </w:rPr>
        <w:t>con</w:t>
      </w:r>
      <w:r>
        <w:rPr>
          <w:color w:val="231F20"/>
          <w:spacing w:val="-20"/>
          <w:w w:val="105"/>
        </w:rPr>
        <w:t> </w:t>
      </w:r>
      <w:r>
        <w:rPr>
          <w:color w:val="231F20"/>
          <w:w w:val="105"/>
        </w:rPr>
        <w:t>reglamento</w:t>
      </w:r>
      <w:r>
        <w:rPr>
          <w:color w:val="231F20"/>
          <w:spacing w:val="-20"/>
          <w:w w:val="105"/>
        </w:rPr>
        <w:t> </w:t>
      </w:r>
      <w:r>
        <w:rPr>
          <w:color w:val="231F20"/>
          <w:w w:val="105"/>
        </w:rPr>
        <w:t>de</w:t>
      </w:r>
      <w:r>
        <w:rPr>
          <w:color w:val="231F20"/>
          <w:spacing w:val="-20"/>
          <w:w w:val="105"/>
        </w:rPr>
        <w:t> </w:t>
      </w:r>
      <w:r>
        <w:rPr>
          <w:color w:val="231F20"/>
          <w:w w:val="105"/>
        </w:rPr>
        <w:t>Administración</w:t>
      </w:r>
      <w:r>
        <w:rPr>
          <w:color w:val="231F20"/>
          <w:spacing w:val="-20"/>
          <w:w w:val="105"/>
        </w:rPr>
        <w:t> </w:t>
      </w:r>
      <w:r>
        <w:rPr>
          <w:color w:val="231F20"/>
          <w:w w:val="105"/>
        </w:rPr>
        <w:t>Pública</w:t>
      </w:r>
      <w:r>
        <w:rPr>
          <w:color w:val="231F20"/>
          <w:spacing w:val="-20"/>
          <w:w w:val="105"/>
        </w:rPr>
        <w:t> </w:t>
      </w:r>
      <w:r>
        <w:rPr>
          <w:color w:val="231F20"/>
          <w:w w:val="105"/>
        </w:rPr>
        <w:t>Munici- pal,</w:t>
      </w:r>
      <w:r>
        <w:rPr>
          <w:color w:val="231F20"/>
          <w:spacing w:val="-12"/>
          <w:w w:val="105"/>
        </w:rPr>
        <w:t> </w:t>
      </w:r>
      <w:r>
        <w:rPr>
          <w:color w:val="231F20"/>
          <w:w w:val="105"/>
        </w:rPr>
        <w:t>ni</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Manual</w:t>
      </w:r>
      <w:r>
        <w:rPr>
          <w:color w:val="231F20"/>
          <w:spacing w:val="-12"/>
          <w:w w:val="105"/>
        </w:rPr>
        <w:t> </w:t>
      </w:r>
      <w:r>
        <w:rPr>
          <w:color w:val="231F20"/>
          <w:w w:val="105"/>
        </w:rPr>
        <w:t>de</w:t>
      </w:r>
      <w:r>
        <w:rPr>
          <w:color w:val="231F20"/>
          <w:spacing w:val="-12"/>
          <w:w w:val="105"/>
        </w:rPr>
        <w:t> </w:t>
      </w:r>
      <w:r>
        <w:rPr>
          <w:color w:val="231F20"/>
          <w:w w:val="105"/>
        </w:rPr>
        <w:t>Organización</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Procedimientos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Administración Pública Municipal, sobre los reglamentos emitidos por este H. Ayuntamiento </w:t>
      </w:r>
      <w:r>
        <w:rPr>
          <w:color w:val="231F20"/>
          <w:spacing w:val="2"/>
          <w:w w:val="105"/>
        </w:rPr>
        <w:t>2006-2009</w:t>
      </w:r>
      <w:r>
        <w:rPr>
          <w:color w:val="231F20"/>
          <w:spacing w:val="-6"/>
          <w:w w:val="105"/>
        </w:rPr>
        <w:t> </w:t>
      </w:r>
      <w:r>
        <w:rPr>
          <w:color w:val="231F20"/>
          <w:w w:val="105"/>
        </w:rPr>
        <w:t>son</w:t>
      </w:r>
      <w:r>
        <w:rPr>
          <w:color w:val="231F20"/>
          <w:spacing w:val="-6"/>
          <w:w w:val="105"/>
        </w:rPr>
        <w:t> </w:t>
      </w:r>
      <w:r>
        <w:rPr>
          <w:color w:val="231F20"/>
          <w:w w:val="105"/>
        </w:rPr>
        <w:t>el</w:t>
      </w:r>
      <w:r>
        <w:rPr>
          <w:color w:val="231F20"/>
          <w:spacing w:val="-6"/>
          <w:w w:val="105"/>
        </w:rPr>
        <w:t> </w:t>
      </w:r>
      <w:r>
        <w:rPr>
          <w:color w:val="231F20"/>
          <w:w w:val="105"/>
        </w:rPr>
        <w:t>de</w:t>
      </w:r>
      <w:r>
        <w:rPr>
          <w:color w:val="231F20"/>
          <w:spacing w:val="-6"/>
          <w:w w:val="105"/>
        </w:rPr>
        <w:t> </w:t>
      </w:r>
      <w:r>
        <w:rPr>
          <w:color w:val="231F20"/>
          <w:w w:val="105"/>
        </w:rPr>
        <w:t>Reglamento</w:t>
      </w:r>
      <w:r>
        <w:rPr>
          <w:color w:val="231F20"/>
          <w:spacing w:val="-6"/>
          <w:w w:val="105"/>
        </w:rPr>
        <w:t> </w:t>
      </w:r>
      <w:r>
        <w:rPr>
          <w:color w:val="231F20"/>
          <w:w w:val="105"/>
        </w:rPr>
        <w:t>de</w:t>
      </w:r>
      <w:r>
        <w:rPr>
          <w:color w:val="231F20"/>
          <w:spacing w:val="-6"/>
          <w:w w:val="105"/>
        </w:rPr>
        <w:t> </w:t>
      </w:r>
      <w:r>
        <w:rPr>
          <w:color w:val="231F20"/>
          <w:w w:val="105"/>
        </w:rPr>
        <w:t>Cabildo,</w:t>
      </w:r>
      <w:r>
        <w:rPr>
          <w:color w:val="231F20"/>
          <w:spacing w:val="-6"/>
          <w:w w:val="105"/>
        </w:rPr>
        <w:t> </w:t>
      </w:r>
      <w:r>
        <w:rPr>
          <w:color w:val="231F20"/>
          <w:w w:val="105"/>
        </w:rPr>
        <w:t>Reglamento</w:t>
      </w:r>
      <w:r>
        <w:rPr>
          <w:color w:val="231F20"/>
          <w:spacing w:val="-6"/>
          <w:w w:val="105"/>
        </w:rPr>
        <w:t> </w:t>
      </w:r>
      <w:r>
        <w:rPr>
          <w:color w:val="231F20"/>
          <w:w w:val="105"/>
        </w:rPr>
        <w:t>de</w:t>
      </w:r>
      <w:r>
        <w:rPr>
          <w:color w:val="231F20"/>
          <w:spacing w:val="-6"/>
          <w:w w:val="105"/>
        </w:rPr>
        <w:t> </w:t>
      </w:r>
      <w:r>
        <w:rPr>
          <w:color w:val="231F20"/>
          <w:w w:val="105"/>
        </w:rPr>
        <w:t>Transparencia</w:t>
      </w:r>
      <w:r>
        <w:rPr>
          <w:color w:val="231F20"/>
          <w:spacing w:val="-6"/>
          <w:w w:val="105"/>
        </w:rPr>
        <w:t> </w:t>
      </w:r>
      <w:r>
        <w:rPr>
          <w:color w:val="231F20"/>
          <w:w w:val="105"/>
        </w:rPr>
        <w:t>y</w:t>
      </w:r>
      <w:r>
        <w:rPr>
          <w:color w:val="231F20"/>
          <w:spacing w:val="-6"/>
          <w:w w:val="105"/>
        </w:rPr>
        <w:t> </w:t>
      </w:r>
      <w:r>
        <w:rPr>
          <w:color w:val="231F20"/>
          <w:w w:val="105"/>
        </w:rPr>
        <w:t>el Reglamento</w:t>
      </w:r>
      <w:r>
        <w:rPr>
          <w:color w:val="231F20"/>
          <w:spacing w:val="-23"/>
          <w:w w:val="105"/>
        </w:rPr>
        <w:t> </w:t>
      </w:r>
      <w:r>
        <w:rPr>
          <w:color w:val="231F20"/>
          <w:w w:val="105"/>
        </w:rPr>
        <w:t>de</w:t>
      </w:r>
      <w:r>
        <w:rPr>
          <w:color w:val="231F20"/>
          <w:spacing w:val="-23"/>
          <w:w w:val="105"/>
        </w:rPr>
        <w:t> </w:t>
      </w:r>
      <w:r>
        <w:rPr>
          <w:color w:val="231F20"/>
          <w:w w:val="105"/>
        </w:rPr>
        <w:t>Panteones”</w:t>
      </w:r>
      <w:r>
        <w:rPr>
          <w:color w:val="231F20"/>
          <w:spacing w:val="-23"/>
          <w:w w:val="105"/>
        </w:rPr>
        <w:t> </w:t>
      </w:r>
      <w:r>
        <w:rPr>
          <w:color w:val="231F20"/>
          <w:w w:val="105"/>
        </w:rPr>
        <w:t>(Oficio:</w:t>
      </w:r>
      <w:r>
        <w:rPr>
          <w:color w:val="231F20"/>
          <w:spacing w:val="-23"/>
          <w:w w:val="105"/>
        </w:rPr>
        <w:t> </w:t>
      </w:r>
      <w:r>
        <w:rPr>
          <w:color w:val="231F20"/>
          <w:w w:val="105"/>
        </w:rPr>
        <w:t>HAT</w:t>
      </w:r>
      <w:r>
        <w:rPr>
          <w:color w:val="231F20"/>
          <w:spacing w:val="-23"/>
          <w:w w:val="105"/>
        </w:rPr>
        <w:t> </w:t>
      </w:r>
      <w:r>
        <w:rPr>
          <w:color w:val="231F20"/>
          <w:w w:val="105"/>
        </w:rPr>
        <w:t>/TUI/</w:t>
      </w:r>
      <w:r>
        <w:rPr>
          <w:color w:val="231F20"/>
          <w:spacing w:val="-23"/>
          <w:w w:val="105"/>
        </w:rPr>
        <w:t> </w:t>
      </w:r>
      <w:r>
        <w:rPr>
          <w:color w:val="231F20"/>
          <w:spacing w:val="-4"/>
          <w:w w:val="105"/>
        </w:rPr>
        <w:t>158).</w:t>
      </w:r>
    </w:p>
    <w:p>
      <w:pPr>
        <w:pStyle w:val="BodyText"/>
        <w:spacing w:before="1"/>
        <w:rPr>
          <w:sz w:val="26"/>
        </w:rPr>
      </w:pPr>
    </w:p>
    <w:p>
      <w:pPr>
        <w:pStyle w:val="BodyText"/>
        <w:ind w:left="110" w:right="574"/>
      </w:pPr>
      <w:r>
        <w:rPr>
          <w:color w:val="231F20"/>
          <w:w w:val="105"/>
        </w:rPr>
        <w:t>Lo anterior denota contradicción, particularmente porque a decir del PDM:</w:t>
      </w:r>
    </w:p>
    <w:p>
      <w:pPr>
        <w:pStyle w:val="BodyText"/>
        <w:spacing w:line="285" w:lineRule="auto" w:before="47"/>
        <w:ind w:left="677" w:right="107"/>
        <w:jc w:val="both"/>
        <w:rPr>
          <w:sz w:val="13"/>
        </w:rPr>
      </w:pPr>
      <w:r>
        <w:rPr>
          <w:color w:val="231F20"/>
          <w:spacing w:val="2"/>
          <w:w w:val="105"/>
        </w:rPr>
        <w:t>“la</w:t>
      </w:r>
      <w:r>
        <w:rPr>
          <w:color w:val="231F20"/>
          <w:spacing w:val="-8"/>
          <w:w w:val="105"/>
        </w:rPr>
        <w:t> </w:t>
      </w:r>
      <w:r>
        <w:rPr>
          <w:color w:val="231F20"/>
          <w:w w:val="105"/>
        </w:rPr>
        <w:t>filosofía</w:t>
      </w:r>
      <w:r>
        <w:rPr>
          <w:color w:val="231F20"/>
          <w:spacing w:val="-8"/>
          <w:w w:val="105"/>
        </w:rPr>
        <w:t> </w:t>
      </w:r>
      <w:r>
        <w:rPr>
          <w:color w:val="231F20"/>
          <w:w w:val="105"/>
        </w:rPr>
        <w:t>política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cual</w:t>
      </w:r>
      <w:r>
        <w:rPr>
          <w:color w:val="231F20"/>
          <w:spacing w:val="-8"/>
          <w:w w:val="105"/>
        </w:rPr>
        <w:t> </w:t>
      </w:r>
      <w:r>
        <w:rPr>
          <w:color w:val="231F20"/>
          <w:w w:val="105"/>
        </w:rPr>
        <w:t>descansa</w:t>
      </w:r>
      <w:r>
        <w:rPr>
          <w:color w:val="231F20"/>
          <w:spacing w:val="-8"/>
          <w:w w:val="105"/>
        </w:rPr>
        <w:t> </w:t>
      </w:r>
      <w:r>
        <w:rPr>
          <w:color w:val="231F20"/>
          <w:w w:val="105"/>
        </w:rPr>
        <w:t>la</w:t>
      </w:r>
      <w:r>
        <w:rPr>
          <w:color w:val="231F20"/>
          <w:spacing w:val="-8"/>
          <w:w w:val="105"/>
        </w:rPr>
        <w:t> </w:t>
      </w:r>
      <w:r>
        <w:rPr>
          <w:color w:val="231F20"/>
          <w:w w:val="105"/>
        </w:rPr>
        <w:t>gestión</w:t>
      </w:r>
      <w:r>
        <w:rPr>
          <w:color w:val="231F20"/>
          <w:spacing w:val="-8"/>
          <w:w w:val="105"/>
        </w:rPr>
        <w:t> </w:t>
      </w:r>
      <w:r>
        <w:rPr>
          <w:color w:val="231F20"/>
          <w:w w:val="105"/>
        </w:rPr>
        <w:t>pública</w:t>
      </w:r>
      <w:r>
        <w:rPr>
          <w:color w:val="231F20"/>
          <w:spacing w:val="-8"/>
          <w:w w:val="105"/>
        </w:rPr>
        <w:t> </w:t>
      </w:r>
      <w:r>
        <w:rPr>
          <w:color w:val="231F20"/>
          <w:w w:val="105"/>
        </w:rPr>
        <w:t>municipal,</w:t>
      </w:r>
      <w:r>
        <w:rPr>
          <w:color w:val="231F20"/>
          <w:spacing w:val="-8"/>
          <w:w w:val="105"/>
        </w:rPr>
        <w:t> </w:t>
      </w:r>
      <w:r>
        <w:rPr>
          <w:color w:val="231F20"/>
          <w:w w:val="105"/>
        </w:rPr>
        <w:t>señala</w:t>
      </w:r>
      <w:r>
        <w:rPr>
          <w:color w:val="231F20"/>
          <w:spacing w:val="-8"/>
          <w:w w:val="105"/>
        </w:rPr>
        <w:t> </w:t>
      </w:r>
      <w:r>
        <w:rPr>
          <w:color w:val="231F20"/>
          <w:w w:val="105"/>
        </w:rPr>
        <w:t>que deben</w:t>
      </w:r>
      <w:r>
        <w:rPr>
          <w:color w:val="231F20"/>
          <w:spacing w:val="-5"/>
          <w:w w:val="105"/>
        </w:rPr>
        <w:t> </w:t>
      </w:r>
      <w:r>
        <w:rPr>
          <w:color w:val="231F20"/>
          <w:w w:val="105"/>
        </w:rPr>
        <w:t>darse</w:t>
      </w:r>
      <w:r>
        <w:rPr>
          <w:color w:val="231F20"/>
          <w:spacing w:val="-5"/>
          <w:w w:val="105"/>
        </w:rPr>
        <w:t> </w:t>
      </w:r>
      <w:r>
        <w:rPr>
          <w:color w:val="231F20"/>
          <w:w w:val="105"/>
        </w:rPr>
        <w:t>pasos</w:t>
      </w:r>
      <w:r>
        <w:rPr>
          <w:color w:val="231F20"/>
          <w:spacing w:val="-5"/>
          <w:w w:val="105"/>
        </w:rPr>
        <w:t> </w:t>
      </w:r>
      <w:r>
        <w:rPr>
          <w:color w:val="231F20"/>
          <w:w w:val="105"/>
        </w:rPr>
        <w:t>consistentes</w:t>
      </w:r>
      <w:r>
        <w:rPr>
          <w:color w:val="231F20"/>
          <w:spacing w:val="-5"/>
          <w:w w:val="105"/>
        </w:rPr>
        <w:t> </w:t>
      </w:r>
      <w:r>
        <w:rPr>
          <w:color w:val="231F20"/>
          <w:w w:val="105"/>
        </w:rPr>
        <w:t>hacia</w:t>
      </w:r>
      <w:r>
        <w:rPr>
          <w:color w:val="231F20"/>
          <w:spacing w:val="-5"/>
          <w:w w:val="105"/>
        </w:rPr>
        <w:t> </w:t>
      </w:r>
      <w:r>
        <w:rPr>
          <w:color w:val="231F20"/>
          <w:w w:val="105"/>
        </w:rPr>
        <w:t>un</w:t>
      </w:r>
      <w:r>
        <w:rPr>
          <w:color w:val="231F20"/>
          <w:spacing w:val="-5"/>
          <w:w w:val="105"/>
        </w:rPr>
        <w:t> </w:t>
      </w:r>
      <w:r>
        <w:rPr>
          <w:color w:val="231F20"/>
          <w:w w:val="105"/>
        </w:rPr>
        <w:t>modelo</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social</w:t>
      </w:r>
      <w:r>
        <w:rPr>
          <w:color w:val="231F20"/>
          <w:spacing w:val="-5"/>
          <w:w w:val="105"/>
        </w:rPr>
        <w:t> </w:t>
      </w:r>
      <w:r>
        <w:rPr>
          <w:color w:val="231F20"/>
          <w:w w:val="105"/>
        </w:rPr>
        <w:t>integral,</w:t>
      </w:r>
      <w:r>
        <w:rPr>
          <w:color w:val="231F20"/>
          <w:spacing w:val="-5"/>
          <w:w w:val="105"/>
        </w:rPr>
        <w:t> </w:t>
      </w:r>
      <w:r>
        <w:rPr>
          <w:color w:val="231F20"/>
          <w:w w:val="105"/>
        </w:rPr>
        <w:t>de modernización administrativa de la gestión pública, la cual debe orientarse por criterios</w:t>
      </w:r>
      <w:r>
        <w:rPr>
          <w:color w:val="231F20"/>
          <w:spacing w:val="-9"/>
          <w:w w:val="105"/>
        </w:rPr>
        <w:t> </w:t>
      </w:r>
      <w:r>
        <w:rPr>
          <w:color w:val="231F20"/>
          <w:w w:val="105"/>
        </w:rPr>
        <w:t>y</w:t>
      </w:r>
      <w:r>
        <w:rPr>
          <w:color w:val="231F20"/>
          <w:spacing w:val="-9"/>
          <w:w w:val="105"/>
        </w:rPr>
        <w:t> </w:t>
      </w:r>
      <w:r>
        <w:rPr>
          <w:color w:val="231F20"/>
          <w:w w:val="105"/>
        </w:rPr>
        <w:t>principios</w:t>
      </w:r>
      <w:r>
        <w:rPr>
          <w:color w:val="231F20"/>
          <w:spacing w:val="-9"/>
          <w:w w:val="105"/>
        </w:rPr>
        <w:t> </w:t>
      </w:r>
      <w:r>
        <w:rPr>
          <w:color w:val="231F20"/>
          <w:w w:val="105"/>
        </w:rPr>
        <w:t>que</w:t>
      </w:r>
      <w:r>
        <w:rPr>
          <w:color w:val="231F20"/>
          <w:spacing w:val="-9"/>
          <w:w w:val="105"/>
        </w:rPr>
        <w:t> </w:t>
      </w:r>
      <w:r>
        <w:rPr>
          <w:color w:val="231F20"/>
          <w:w w:val="105"/>
        </w:rPr>
        <w:t>le</w:t>
      </w:r>
      <w:r>
        <w:rPr>
          <w:color w:val="231F20"/>
          <w:spacing w:val="-9"/>
          <w:w w:val="105"/>
        </w:rPr>
        <w:t> </w:t>
      </w:r>
      <w:r>
        <w:rPr>
          <w:color w:val="231F20"/>
          <w:w w:val="105"/>
        </w:rPr>
        <w:t>otorguen</w:t>
      </w:r>
      <w:r>
        <w:rPr>
          <w:color w:val="231F20"/>
          <w:spacing w:val="-9"/>
          <w:w w:val="105"/>
        </w:rPr>
        <w:t> </w:t>
      </w:r>
      <w:r>
        <w:rPr>
          <w:color w:val="231F20"/>
          <w:w w:val="105"/>
        </w:rPr>
        <w:t>calidad,</w:t>
      </w:r>
      <w:r>
        <w:rPr>
          <w:color w:val="231F20"/>
          <w:spacing w:val="-9"/>
          <w:w w:val="105"/>
        </w:rPr>
        <w:t> </w:t>
      </w:r>
      <w:r>
        <w:rPr>
          <w:color w:val="231F20"/>
          <w:w w:val="105"/>
        </w:rPr>
        <w:t>eficiencia,</w:t>
      </w:r>
      <w:r>
        <w:rPr>
          <w:color w:val="231F20"/>
          <w:spacing w:val="-9"/>
          <w:w w:val="105"/>
        </w:rPr>
        <w:t> </w:t>
      </w:r>
      <w:r>
        <w:rPr>
          <w:color w:val="231F20"/>
          <w:w w:val="105"/>
        </w:rPr>
        <w:t>eficacia</w:t>
      </w:r>
      <w:r>
        <w:rPr>
          <w:color w:val="231F20"/>
          <w:spacing w:val="-9"/>
          <w:w w:val="105"/>
        </w:rPr>
        <w:t> </w:t>
      </w:r>
      <w:r>
        <w:rPr>
          <w:color w:val="231F20"/>
          <w:w w:val="105"/>
        </w:rPr>
        <w:t>y</w:t>
      </w:r>
      <w:r>
        <w:rPr>
          <w:color w:val="231F20"/>
          <w:spacing w:val="-9"/>
          <w:w w:val="105"/>
        </w:rPr>
        <w:t> </w:t>
      </w:r>
      <w:r>
        <w:rPr>
          <w:color w:val="231F20"/>
          <w:w w:val="105"/>
        </w:rPr>
        <w:t>relevancia</w:t>
      </w:r>
      <w:r>
        <w:rPr>
          <w:color w:val="231F20"/>
          <w:spacing w:val="-9"/>
          <w:w w:val="105"/>
        </w:rPr>
        <w:t> </w:t>
      </w:r>
      <w:r>
        <w:rPr>
          <w:color w:val="231F20"/>
          <w:w w:val="105"/>
        </w:rPr>
        <w:t>en </w:t>
      </w:r>
      <w:r>
        <w:rPr>
          <w:color w:val="231F20"/>
        </w:rPr>
        <w:t>los servicios</w:t>
      </w:r>
      <w:r>
        <w:rPr>
          <w:color w:val="231F20"/>
          <w:spacing w:val="7"/>
        </w:rPr>
        <w:t> </w:t>
      </w:r>
      <w:r>
        <w:rPr>
          <w:color w:val="231F20"/>
          <w:spacing w:val="-3"/>
        </w:rPr>
        <w:t>públicos”.</w:t>
      </w:r>
      <w:r>
        <w:rPr>
          <w:color w:val="231F20"/>
          <w:spacing w:val="-3"/>
          <w:position w:val="7"/>
          <w:sz w:val="13"/>
        </w:rPr>
        <w:t>7</w:t>
      </w:r>
    </w:p>
    <w:p>
      <w:pPr>
        <w:pStyle w:val="BodyText"/>
        <w:rPr>
          <w:sz w:val="26"/>
        </w:rPr>
      </w:pPr>
    </w:p>
    <w:p>
      <w:pPr>
        <w:pStyle w:val="BodyText"/>
        <w:spacing w:before="1"/>
        <w:ind w:left="110" w:right="574"/>
      </w:pPr>
      <w:r>
        <w:rPr>
          <w:color w:val="231F20"/>
          <w:w w:val="105"/>
        </w:rPr>
        <w:t>Y manifiesta como una problemática:</w:t>
      </w:r>
    </w:p>
    <w:p>
      <w:pPr>
        <w:pStyle w:val="BodyText"/>
        <w:spacing w:line="285" w:lineRule="auto" w:before="47"/>
        <w:ind w:left="677" w:right="107"/>
        <w:jc w:val="both"/>
      </w:pPr>
      <w:r>
        <w:rPr>
          <w:color w:val="231F20"/>
          <w:spacing w:val="2"/>
          <w:w w:val="105"/>
        </w:rPr>
        <w:t>“la </w:t>
      </w:r>
      <w:r>
        <w:rPr>
          <w:color w:val="231F20"/>
          <w:w w:val="105"/>
        </w:rPr>
        <w:t>falta de actualización de sus programas operativos y de servicios en mate- ria informática, así como el impulso hacia la innovación de método de trabajo y aprovechamiento</w:t>
      </w:r>
      <w:r>
        <w:rPr>
          <w:color w:val="231F20"/>
          <w:spacing w:val="-6"/>
          <w:w w:val="105"/>
        </w:rPr>
        <w:t> </w:t>
      </w:r>
      <w:r>
        <w:rPr>
          <w:color w:val="231F20"/>
          <w:w w:val="105"/>
        </w:rPr>
        <w:t>de</w:t>
      </w:r>
      <w:r>
        <w:rPr>
          <w:color w:val="231F20"/>
          <w:spacing w:val="-6"/>
          <w:w w:val="105"/>
        </w:rPr>
        <w:t> </w:t>
      </w:r>
      <w:r>
        <w:rPr>
          <w:color w:val="231F20"/>
          <w:w w:val="105"/>
        </w:rPr>
        <w:t>tecnología</w:t>
      </w:r>
      <w:r>
        <w:rPr>
          <w:color w:val="231F20"/>
          <w:spacing w:val="-6"/>
          <w:w w:val="105"/>
        </w:rPr>
        <w:t> </w:t>
      </w:r>
      <w:r>
        <w:rPr>
          <w:color w:val="231F20"/>
          <w:w w:val="105"/>
        </w:rPr>
        <w:t>de</w:t>
      </w:r>
      <w:r>
        <w:rPr>
          <w:color w:val="231F20"/>
          <w:spacing w:val="-6"/>
          <w:w w:val="105"/>
        </w:rPr>
        <w:t> </w:t>
      </w:r>
      <w:r>
        <w:rPr>
          <w:color w:val="231F20"/>
          <w:w w:val="105"/>
        </w:rPr>
        <w:t>vanguardia,</w:t>
      </w:r>
      <w:r>
        <w:rPr>
          <w:color w:val="231F20"/>
          <w:spacing w:val="-6"/>
          <w:w w:val="105"/>
        </w:rPr>
        <w:t> </w:t>
      </w:r>
      <w:r>
        <w:rPr>
          <w:color w:val="231F20"/>
          <w:w w:val="105"/>
        </w:rPr>
        <w:t>capacitación</w:t>
      </w:r>
      <w:r>
        <w:rPr>
          <w:color w:val="231F20"/>
          <w:spacing w:val="-6"/>
          <w:w w:val="105"/>
        </w:rPr>
        <w:t> </w:t>
      </w:r>
      <w:r>
        <w:rPr>
          <w:color w:val="231F20"/>
          <w:w w:val="105"/>
        </w:rPr>
        <w:t>y</w:t>
      </w:r>
      <w:r>
        <w:rPr>
          <w:color w:val="231F20"/>
          <w:spacing w:val="-6"/>
          <w:w w:val="105"/>
        </w:rPr>
        <w:t> </w:t>
      </w:r>
      <w:r>
        <w:rPr>
          <w:color w:val="231F20"/>
          <w:w w:val="105"/>
        </w:rPr>
        <w:t>motivación</w:t>
      </w:r>
      <w:r>
        <w:rPr>
          <w:color w:val="231F20"/>
          <w:spacing w:val="-6"/>
          <w:w w:val="105"/>
        </w:rPr>
        <w:t> </w:t>
      </w:r>
      <w:r>
        <w:rPr>
          <w:color w:val="231F20"/>
          <w:w w:val="105"/>
        </w:rPr>
        <w:t>de</w:t>
      </w:r>
      <w:r>
        <w:rPr>
          <w:color w:val="231F20"/>
          <w:spacing w:val="-6"/>
          <w:w w:val="105"/>
        </w:rPr>
        <w:t> </w:t>
      </w:r>
      <w:r>
        <w:rPr>
          <w:color w:val="231F20"/>
          <w:w w:val="105"/>
        </w:rPr>
        <w:t>los servidores públicos con salarios dignos y su involucramiento en el proyecto de </w:t>
      </w:r>
      <w:r>
        <w:rPr>
          <w:color w:val="231F20"/>
          <w:spacing w:val="-6"/>
          <w:w w:val="105"/>
        </w:rPr>
        <w:t>gobierno”.</w:t>
      </w:r>
    </w:p>
    <w:p>
      <w:pPr>
        <w:pStyle w:val="BodyText"/>
        <w:spacing w:before="1"/>
        <w:rPr>
          <w:sz w:val="26"/>
        </w:rPr>
      </w:pPr>
    </w:p>
    <w:p>
      <w:pPr>
        <w:pStyle w:val="BodyText"/>
        <w:ind w:left="110" w:right="574"/>
      </w:pPr>
      <w:r>
        <w:rPr>
          <w:color w:val="231F20"/>
        </w:rPr>
        <w:t>En el Plan de Desarrollo Municipal se indica  que:</w:t>
      </w:r>
    </w:p>
    <w:p>
      <w:pPr>
        <w:pStyle w:val="BodyText"/>
        <w:spacing w:line="285" w:lineRule="auto" w:before="47"/>
        <w:ind w:left="677" w:right="107"/>
        <w:jc w:val="both"/>
      </w:pPr>
      <w:r>
        <w:rPr>
          <w:color w:val="231F20"/>
          <w:spacing w:val="-8"/>
          <w:w w:val="105"/>
        </w:rPr>
        <w:t>“(se)</w:t>
      </w:r>
      <w:r>
        <w:rPr>
          <w:color w:val="231F20"/>
          <w:spacing w:val="-27"/>
          <w:w w:val="105"/>
        </w:rPr>
        <w:t> </w:t>
      </w:r>
      <w:r>
        <w:rPr>
          <w:color w:val="231F20"/>
          <w:w w:val="105"/>
        </w:rPr>
        <w:t>tuvo</w:t>
      </w:r>
      <w:r>
        <w:rPr>
          <w:color w:val="231F20"/>
          <w:spacing w:val="-27"/>
          <w:w w:val="105"/>
        </w:rPr>
        <w:t> </w:t>
      </w:r>
      <w:r>
        <w:rPr>
          <w:color w:val="231F20"/>
          <w:w w:val="105"/>
        </w:rPr>
        <w:t>especial</w:t>
      </w:r>
      <w:r>
        <w:rPr>
          <w:color w:val="231F20"/>
          <w:spacing w:val="-27"/>
          <w:w w:val="105"/>
        </w:rPr>
        <w:t> </w:t>
      </w:r>
      <w:r>
        <w:rPr>
          <w:color w:val="231F20"/>
          <w:spacing w:val="-3"/>
          <w:w w:val="105"/>
        </w:rPr>
        <w:t>cuidado</w:t>
      </w:r>
      <w:r>
        <w:rPr>
          <w:color w:val="231F20"/>
          <w:spacing w:val="-27"/>
          <w:w w:val="105"/>
        </w:rPr>
        <w:t> </w:t>
      </w:r>
      <w:r>
        <w:rPr>
          <w:color w:val="231F20"/>
          <w:w w:val="105"/>
        </w:rPr>
        <w:t>en</w:t>
      </w:r>
      <w:r>
        <w:rPr>
          <w:color w:val="231F20"/>
          <w:spacing w:val="-27"/>
          <w:w w:val="105"/>
        </w:rPr>
        <w:t> </w:t>
      </w:r>
      <w:r>
        <w:rPr>
          <w:color w:val="231F20"/>
          <w:spacing w:val="-3"/>
          <w:w w:val="105"/>
        </w:rPr>
        <w:t>reclutar</w:t>
      </w:r>
      <w:r>
        <w:rPr>
          <w:color w:val="231F20"/>
          <w:spacing w:val="-27"/>
          <w:w w:val="105"/>
        </w:rPr>
        <w:t> </w:t>
      </w:r>
      <w:r>
        <w:rPr>
          <w:color w:val="231F20"/>
          <w:w w:val="105"/>
        </w:rPr>
        <w:t>y</w:t>
      </w:r>
      <w:r>
        <w:rPr>
          <w:color w:val="231F20"/>
          <w:spacing w:val="-27"/>
          <w:w w:val="105"/>
        </w:rPr>
        <w:t> </w:t>
      </w:r>
      <w:r>
        <w:rPr>
          <w:color w:val="231F20"/>
          <w:spacing w:val="-3"/>
          <w:w w:val="105"/>
        </w:rPr>
        <w:t>seleccionar</w:t>
      </w:r>
      <w:r>
        <w:rPr>
          <w:color w:val="231F20"/>
          <w:spacing w:val="-27"/>
          <w:w w:val="105"/>
        </w:rPr>
        <w:t> </w:t>
      </w:r>
      <w:r>
        <w:rPr>
          <w:color w:val="231F20"/>
          <w:w w:val="105"/>
        </w:rPr>
        <w:t>al</w:t>
      </w:r>
      <w:r>
        <w:rPr>
          <w:color w:val="231F20"/>
          <w:spacing w:val="-27"/>
          <w:w w:val="105"/>
        </w:rPr>
        <w:t> </w:t>
      </w:r>
      <w:r>
        <w:rPr>
          <w:color w:val="231F20"/>
          <w:w w:val="105"/>
        </w:rPr>
        <w:t>personal</w:t>
      </w:r>
      <w:r>
        <w:rPr>
          <w:color w:val="231F20"/>
          <w:spacing w:val="-27"/>
          <w:w w:val="105"/>
        </w:rPr>
        <w:t> </w:t>
      </w:r>
      <w:r>
        <w:rPr>
          <w:color w:val="231F20"/>
          <w:spacing w:val="-3"/>
          <w:w w:val="105"/>
        </w:rPr>
        <w:t>adecuado</w:t>
      </w:r>
      <w:r>
        <w:rPr>
          <w:color w:val="231F20"/>
          <w:spacing w:val="-27"/>
          <w:w w:val="105"/>
        </w:rPr>
        <w:t> </w:t>
      </w:r>
      <w:r>
        <w:rPr>
          <w:color w:val="231F20"/>
          <w:spacing w:val="-4"/>
          <w:w w:val="105"/>
        </w:rPr>
        <w:t>como</w:t>
      </w:r>
      <w:r>
        <w:rPr>
          <w:color w:val="231F20"/>
          <w:spacing w:val="-27"/>
          <w:w w:val="105"/>
        </w:rPr>
        <w:t> </w:t>
      </w:r>
      <w:r>
        <w:rPr>
          <w:color w:val="231F20"/>
          <w:w w:val="105"/>
        </w:rPr>
        <w:t>titu- lares</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spacing w:val="-3"/>
          <w:w w:val="105"/>
        </w:rPr>
        <w:t>diferentes</w:t>
      </w:r>
      <w:r>
        <w:rPr>
          <w:color w:val="231F20"/>
          <w:spacing w:val="-12"/>
          <w:w w:val="105"/>
        </w:rPr>
        <w:t> </w:t>
      </w:r>
      <w:r>
        <w:rPr>
          <w:color w:val="231F20"/>
          <w:w w:val="105"/>
        </w:rPr>
        <w:t>áreas</w:t>
      </w:r>
      <w:r>
        <w:rPr>
          <w:color w:val="231F20"/>
          <w:spacing w:val="-12"/>
          <w:w w:val="105"/>
        </w:rPr>
        <w:t> </w:t>
      </w:r>
      <w:r>
        <w:rPr>
          <w:color w:val="231F20"/>
          <w:w w:val="105"/>
        </w:rPr>
        <w:t>administrativas,</w:t>
      </w:r>
      <w:r>
        <w:rPr>
          <w:color w:val="231F20"/>
          <w:spacing w:val="-12"/>
          <w:w w:val="105"/>
        </w:rPr>
        <w:t> </w:t>
      </w:r>
      <w:r>
        <w:rPr>
          <w:color w:val="231F20"/>
          <w:w w:val="105"/>
        </w:rPr>
        <w:t>analizando</w:t>
      </w:r>
      <w:r>
        <w:rPr>
          <w:color w:val="231F20"/>
          <w:spacing w:val="-12"/>
          <w:w w:val="105"/>
        </w:rPr>
        <w:t> </w:t>
      </w:r>
      <w:r>
        <w:rPr>
          <w:color w:val="231F20"/>
          <w:w w:val="105"/>
        </w:rPr>
        <w:t>su</w:t>
      </w:r>
      <w:r>
        <w:rPr>
          <w:color w:val="231F20"/>
          <w:spacing w:val="-12"/>
          <w:w w:val="105"/>
        </w:rPr>
        <w:t> </w:t>
      </w:r>
      <w:r>
        <w:rPr>
          <w:color w:val="231F20"/>
          <w:w w:val="105"/>
        </w:rPr>
        <w:t>trayectoria</w:t>
      </w:r>
      <w:r>
        <w:rPr>
          <w:color w:val="231F20"/>
          <w:spacing w:val="-12"/>
          <w:w w:val="105"/>
        </w:rPr>
        <w:t> </w:t>
      </w:r>
      <w:r>
        <w:rPr>
          <w:color w:val="231F20"/>
          <w:spacing w:val="-4"/>
          <w:w w:val="105"/>
        </w:rPr>
        <w:t>profesional </w:t>
      </w:r>
      <w:r>
        <w:rPr>
          <w:color w:val="231F20"/>
          <w:w w:val="105"/>
        </w:rPr>
        <w:t>y</w:t>
      </w:r>
      <w:r>
        <w:rPr>
          <w:color w:val="231F20"/>
          <w:spacing w:val="-23"/>
          <w:w w:val="105"/>
        </w:rPr>
        <w:t> </w:t>
      </w:r>
      <w:r>
        <w:rPr>
          <w:color w:val="231F20"/>
          <w:w w:val="105"/>
        </w:rPr>
        <w:t>laboral</w:t>
      </w:r>
      <w:r>
        <w:rPr>
          <w:color w:val="231F20"/>
          <w:spacing w:val="-23"/>
          <w:w w:val="105"/>
        </w:rPr>
        <w:t> </w:t>
      </w:r>
      <w:r>
        <w:rPr>
          <w:color w:val="231F20"/>
          <w:spacing w:val="-3"/>
          <w:w w:val="105"/>
        </w:rPr>
        <w:t>considerando</w:t>
      </w:r>
      <w:r>
        <w:rPr>
          <w:color w:val="231F20"/>
          <w:spacing w:val="-23"/>
          <w:w w:val="105"/>
        </w:rPr>
        <w:t> </w:t>
      </w:r>
      <w:r>
        <w:rPr>
          <w:color w:val="231F20"/>
          <w:w w:val="105"/>
        </w:rPr>
        <w:t>la</w:t>
      </w:r>
      <w:r>
        <w:rPr>
          <w:color w:val="231F20"/>
          <w:spacing w:val="-23"/>
          <w:w w:val="105"/>
        </w:rPr>
        <w:t> </w:t>
      </w:r>
      <w:r>
        <w:rPr>
          <w:color w:val="231F20"/>
          <w:spacing w:val="-3"/>
          <w:w w:val="105"/>
        </w:rPr>
        <w:t>inclusión</w:t>
      </w:r>
      <w:r>
        <w:rPr>
          <w:color w:val="231F20"/>
          <w:spacing w:val="-23"/>
          <w:w w:val="105"/>
        </w:rPr>
        <w:t> </w:t>
      </w:r>
      <w:r>
        <w:rPr>
          <w:color w:val="231F20"/>
          <w:w w:val="105"/>
        </w:rPr>
        <w:t>de</w:t>
      </w:r>
      <w:r>
        <w:rPr>
          <w:color w:val="231F20"/>
          <w:spacing w:val="-23"/>
          <w:w w:val="105"/>
        </w:rPr>
        <w:t> </w:t>
      </w:r>
      <w:r>
        <w:rPr>
          <w:color w:val="231F20"/>
          <w:w w:val="105"/>
        </w:rPr>
        <w:t>servidores</w:t>
      </w:r>
      <w:r>
        <w:rPr>
          <w:color w:val="231F20"/>
          <w:spacing w:val="-23"/>
          <w:w w:val="105"/>
        </w:rPr>
        <w:t> </w:t>
      </w:r>
      <w:r>
        <w:rPr>
          <w:color w:val="231F20"/>
          <w:spacing w:val="-3"/>
          <w:w w:val="105"/>
        </w:rPr>
        <w:t>públicos</w:t>
      </w:r>
      <w:r>
        <w:rPr>
          <w:color w:val="231F20"/>
          <w:spacing w:val="-23"/>
          <w:w w:val="105"/>
        </w:rPr>
        <w:t> </w:t>
      </w:r>
      <w:r>
        <w:rPr>
          <w:color w:val="231F20"/>
          <w:spacing w:val="-3"/>
          <w:w w:val="105"/>
        </w:rPr>
        <w:t>con</w:t>
      </w:r>
      <w:r>
        <w:rPr>
          <w:color w:val="231F20"/>
          <w:spacing w:val="-23"/>
          <w:w w:val="105"/>
        </w:rPr>
        <w:t> </w:t>
      </w:r>
      <w:r>
        <w:rPr>
          <w:color w:val="231F20"/>
          <w:spacing w:val="-3"/>
          <w:w w:val="105"/>
        </w:rPr>
        <w:t>diferentes</w:t>
      </w:r>
      <w:r>
        <w:rPr>
          <w:color w:val="231F20"/>
          <w:spacing w:val="-23"/>
          <w:w w:val="105"/>
        </w:rPr>
        <w:t> </w:t>
      </w:r>
      <w:r>
        <w:rPr>
          <w:color w:val="231F20"/>
          <w:spacing w:val="-3"/>
          <w:w w:val="105"/>
        </w:rPr>
        <w:t>ideologías</w:t>
      </w:r>
    </w:p>
    <w:p>
      <w:pPr>
        <w:pStyle w:val="BodyText"/>
        <w:tabs>
          <w:tab w:pos="677" w:val="left" w:leader="none"/>
        </w:tabs>
        <w:spacing w:before="1"/>
        <w:ind w:left="110" w:right="378"/>
      </w:pPr>
      <w:r>
        <w:rPr>
          <w:color w:val="231F20"/>
          <w:w w:val="94"/>
          <w:u w:val="single" w:color="231F20"/>
        </w:rPr>
        <w:t> </w:t>
      </w:r>
      <w:r>
        <w:rPr>
          <w:color w:val="231F20"/>
          <w:u w:val="single" w:color="231F20"/>
        </w:rPr>
        <w:tab/>
      </w:r>
      <w:r>
        <w:rPr>
          <w:color w:val="231F20"/>
          <w:spacing w:val="-3"/>
          <w:w w:val="105"/>
          <w:u w:val="single" w:color="231F20"/>
        </w:rPr>
        <w:t>pero</w:t>
      </w:r>
      <w:r>
        <w:rPr>
          <w:color w:val="231F20"/>
          <w:spacing w:val="-17"/>
          <w:w w:val="105"/>
          <w:u w:val="single" w:color="231F20"/>
        </w:rPr>
        <w:t> </w:t>
      </w:r>
      <w:r>
        <w:rPr>
          <w:color w:val="231F20"/>
          <w:spacing w:val="-3"/>
          <w:w w:val="105"/>
          <w:u w:val="single" w:color="231F20"/>
        </w:rPr>
        <w:t>con</w:t>
      </w:r>
      <w:r>
        <w:rPr>
          <w:color w:val="231F20"/>
          <w:spacing w:val="-17"/>
          <w:w w:val="105"/>
          <w:u w:val="single" w:color="231F20"/>
        </w:rPr>
        <w:t> </w:t>
      </w:r>
      <w:r>
        <w:rPr>
          <w:color w:val="231F20"/>
          <w:w w:val="105"/>
        </w:rPr>
        <w:t>el</w:t>
      </w:r>
      <w:r>
        <w:rPr>
          <w:color w:val="231F20"/>
          <w:spacing w:val="-17"/>
          <w:w w:val="105"/>
        </w:rPr>
        <w:t> </w:t>
      </w:r>
      <w:r>
        <w:rPr>
          <w:color w:val="231F20"/>
          <w:spacing w:val="-3"/>
          <w:w w:val="105"/>
        </w:rPr>
        <w:t>compromiso</w:t>
      </w:r>
      <w:r>
        <w:rPr>
          <w:color w:val="231F20"/>
          <w:spacing w:val="-17"/>
          <w:w w:val="105"/>
        </w:rPr>
        <w:t> </w:t>
      </w:r>
      <w:r>
        <w:rPr>
          <w:color w:val="231F20"/>
          <w:w w:val="105"/>
        </w:rPr>
        <w:t>de</w:t>
      </w:r>
      <w:r>
        <w:rPr>
          <w:color w:val="231F20"/>
          <w:spacing w:val="-17"/>
          <w:w w:val="105"/>
        </w:rPr>
        <w:t> </w:t>
      </w:r>
      <w:r>
        <w:rPr>
          <w:color w:val="231F20"/>
          <w:w w:val="105"/>
        </w:rPr>
        <w:t>contribuir</w:t>
      </w:r>
      <w:r>
        <w:rPr>
          <w:color w:val="231F20"/>
          <w:spacing w:val="-17"/>
          <w:w w:val="105"/>
        </w:rPr>
        <w:t> </w:t>
      </w:r>
      <w:r>
        <w:rPr>
          <w:color w:val="231F20"/>
          <w:w w:val="105"/>
        </w:rPr>
        <w:t>activamente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spacing w:val="-3"/>
          <w:w w:val="105"/>
        </w:rPr>
        <w:t>proyecto</w:t>
      </w:r>
      <w:r>
        <w:rPr>
          <w:color w:val="231F20"/>
          <w:spacing w:val="-17"/>
          <w:w w:val="105"/>
        </w:rPr>
        <w:t> </w:t>
      </w:r>
      <w:r>
        <w:rPr>
          <w:color w:val="231F20"/>
          <w:w w:val="105"/>
        </w:rPr>
        <w:t>de</w:t>
      </w:r>
      <w:r>
        <w:rPr>
          <w:color w:val="231F20"/>
          <w:spacing w:val="-17"/>
          <w:w w:val="105"/>
        </w:rPr>
        <w:t> </w:t>
      </w:r>
      <w:r>
        <w:rPr>
          <w:color w:val="231F20"/>
          <w:spacing w:val="-6"/>
          <w:w w:val="105"/>
        </w:rPr>
        <w:t>gobierno”.</w:t>
      </w:r>
    </w:p>
    <w:p>
      <w:pPr>
        <w:pStyle w:val="ListParagraph"/>
        <w:numPr>
          <w:ilvl w:val="0"/>
          <w:numId w:val="12"/>
        </w:numPr>
        <w:tabs>
          <w:tab w:pos="259" w:val="left" w:leader="none"/>
        </w:tabs>
        <w:spacing w:line="240" w:lineRule="auto" w:before="99" w:after="0"/>
        <w:ind w:left="258" w:right="0" w:hanging="148"/>
        <w:jc w:val="left"/>
        <w:rPr>
          <w:sz w:val="16"/>
        </w:rPr>
      </w:pPr>
      <w:r>
        <w:rPr>
          <w:color w:val="231F20"/>
          <w:sz w:val="16"/>
        </w:rPr>
        <w:t>Entrevista</w:t>
      </w:r>
      <w:r>
        <w:rPr>
          <w:color w:val="231F20"/>
          <w:spacing w:val="-23"/>
          <w:sz w:val="16"/>
        </w:rPr>
        <w:t> </w:t>
      </w:r>
      <w:r>
        <w:rPr>
          <w:color w:val="231F20"/>
          <w:sz w:val="16"/>
        </w:rPr>
        <w:t>realizada</w:t>
      </w:r>
      <w:r>
        <w:rPr>
          <w:color w:val="231F20"/>
          <w:spacing w:val="-23"/>
          <w:sz w:val="16"/>
        </w:rPr>
        <w:t> </w:t>
      </w:r>
      <w:r>
        <w:rPr>
          <w:color w:val="231F20"/>
          <w:sz w:val="16"/>
        </w:rPr>
        <w:t>a</w:t>
      </w:r>
      <w:r>
        <w:rPr>
          <w:color w:val="231F20"/>
          <w:spacing w:val="-23"/>
          <w:sz w:val="16"/>
        </w:rPr>
        <w:t> </w:t>
      </w:r>
      <w:r>
        <w:rPr>
          <w:color w:val="231F20"/>
          <w:sz w:val="16"/>
        </w:rPr>
        <w:t>Marcos</w:t>
      </w:r>
      <w:r>
        <w:rPr>
          <w:color w:val="231F20"/>
          <w:spacing w:val="-23"/>
          <w:sz w:val="16"/>
        </w:rPr>
        <w:t> </w:t>
      </w:r>
      <w:r>
        <w:rPr>
          <w:color w:val="231F20"/>
          <w:sz w:val="16"/>
        </w:rPr>
        <w:t>Márquez</w:t>
      </w:r>
      <w:r>
        <w:rPr>
          <w:color w:val="231F20"/>
          <w:spacing w:val="-23"/>
          <w:sz w:val="16"/>
        </w:rPr>
        <w:t> </w:t>
      </w:r>
      <w:r>
        <w:rPr>
          <w:color w:val="231F20"/>
          <w:sz w:val="16"/>
        </w:rPr>
        <w:t>Mercado,</w:t>
      </w:r>
      <w:r>
        <w:rPr>
          <w:color w:val="231F20"/>
          <w:spacing w:val="-23"/>
          <w:sz w:val="16"/>
        </w:rPr>
        <w:t> </w:t>
      </w:r>
      <w:r>
        <w:rPr>
          <w:color w:val="231F20"/>
          <w:sz w:val="16"/>
        </w:rPr>
        <w:t>op</w:t>
      </w:r>
      <w:r>
        <w:rPr>
          <w:color w:val="231F20"/>
          <w:spacing w:val="-23"/>
          <w:sz w:val="16"/>
        </w:rPr>
        <w:t> </w:t>
      </w:r>
      <w:r>
        <w:rPr>
          <w:color w:val="231F20"/>
          <w:sz w:val="16"/>
        </w:rPr>
        <w:t>cit.</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w w:val="105"/>
        </w:rPr>
        <w:t>Al respecto, es el propio presidente municipal quien dice:</w:t>
      </w:r>
    </w:p>
    <w:p>
      <w:pPr>
        <w:pStyle w:val="BodyText"/>
        <w:spacing w:line="285" w:lineRule="auto" w:before="47"/>
        <w:ind w:left="677" w:right="108"/>
        <w:jc w:val="both"/>
        <w:rPr>
          <w:sz w:val="13"/>
        </w:rPr>
      </w:pPr>
      <w:r>
        <w:rPr>
          <w:color w:val="231F20"/>
          <w:spacing w:val="-10"/>
          <w:w w:val="105"/>
        </w:rPr>
        <w:t>“…</w:t>
      </w:r>
      <w:r>
        <w:rPr>
          <w:color w:val="231F20"/>
          <w:spacing w:val="-24"/>
          <w:w w:val="105"/>
        </w:rPr>
        <w:t> </w:t>
      </w:r>
      <w:r>
        <w:rPr>
          <w:color w:val="231F20"/>
          <w:spacing w:val="-5"/>
          <w:w w:val="105"/>
        </w:rPr>
        <w:t>(tener)</w:t>
      </w:r>
      <w:r>
        <w:rPr>
          <w:color w:val="231F20"/>
          <w:spacing w:val="-24"/>
          <w:w w:val="105"/>
        </w:rPr>
        <w:t> </w:t>
      </w:r>
      <w:r>
        <w:rPr>
          <w:color w:val="231F20"/>
          <w:w w:val="105"/>
        </w:rPr>
        <w:t>fobia</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colores</w:t>
      </w:r>
      <w:r>
        <w:rPr>
          <w:color w:val="231F20"/>
          <w:spacing w:val="-24"/>
          <w:w w:val="105"/>
        </w:rPr>
        <w:t> </w:t>
      </w:r>
      <w:r>
        <w:rPr>
          <w:color w:val="231F20"/>
          <w:w w:val="105"/>
        </w:rPr>
        <w:t>por</w:t>
      </w:r>
      <w:r>
        <w:rPr>
          <w:color w:val="231F20"/>
          <w:spacing w:val="-24"/>
          <w:w w:val="105"/>
        </w:rPr>
        <w:t> </w:t>
      </w:r>
      <w:r>
        <w:rPr>
          <w:color w:val="231F20"/>
          <w:w w:val="105"/>
        </w:rPr>
        <w:t>el</w:t>
      </w:r>
      <w:r>
        <w:rPr>
          <w:color w:val="231F20"/>
          <w:spacing w:val="-24"/>
          <w:w w:val="105"/>
        </w:rPr>
        <w:t> </w:t>
      </w:r>
      <w:r>
        <w:rPr>
          <w:color w:val="231F20"/>
          <w:w w:val="105"/>
        </w:rPr>
        <w:t>contrario,</w:t>
      </w:r>
      <w:r>
        <w:rPr>
          <w:color w:val="231F20"/>
          <w:spacing w:val="-24"/>
          <w:w w:val="105"/>
        </w:rPr>
        <w:t> </w:t>
      </w:r>
      <w:r>
        <w:rPr>
          <w:color w:val="231F20"/>
          <w:w w:val="105"/>
        </w:rPr>
        <w:t>estoy</w:t>
      </w:r>
      <w:r>
        <w:rPr>
          <w:color w:val="231F20"/>
          <w:spacing w:val="-24"/>
          <w:w w:val="105"/>
        </w:rPr>
        <w:t> </w:t>
      </w:r>
      <w:r>
        <w:rPr>
          <w:color w:val="231F20"/>
          <w:spacing w:val="-3"/>
          <w:w w:val="105"/>
        </w:rPr>
        <w:t>convencido</w:t>
      </w:r>
      <w:r>
        <w:rPr>
          <w:color w:val="231F20"/>
          <w:spacing w:val="-24"/>
          <w:w w:val="105"/>
        </w:rPr>
        <w:t> </w:t>
      </w:r>
      <w:r>
        <w:rPr>
          <w:color w:val="231F20"/>
          <w:w w:val="105"/>
        </w:rPr>
        <w:t>de</w:t>
      </w:r>
      <w:r>
        <w:rPr>
          <w:color w:val="231F20"/>
          <w:spacing w:val="-24"/>
          <w:w w:val="105"/>
        </w:rPr>
        <w:t> </w:t>
      </w:r>
      <w:r>
        <w:rPr>
          <w:color w:val="231F20"/>
          <w:w w:val="105"/>
        </w:rPr>
        <w:t>que</w:t>
      </w:r>
      <w:r>
        <w:rPr>
          <w:color w:val="231F20"/>
          <w:spacing w:val="-24"/>
          <w:w w:val="105"/>
        </w:rPr>
        <w:t> </w:t>
      </w:r>
      <w:r>
        <w:rPr>
          <w:color w:val="231F20"/>
          <w:w w:val="105"/>
        </w:rPr>
        <w:t>así</w:t>
      </w:r>
      <w:r>
        <w:rPr>
          <w:color w:val="231F20"/>
          <w:spacing w:val="-24"/>
          <w:w w:val="105"/>
        </w:rPr>
        <w:t> </w:t>
      </w:r>
      <w:r>
        <w:rPr>
          <w:color w:val="231F20"/>
          <w:w w:val="105"/>
        </w:rPr>
        <w:t>tenemos que gobernar en la pluralidad. Me critican algunos… porque creen que</w:t>
      </w:r>
      <w:r>
        <w:rPr>
          <w:color w:val="231F20"/>
          <w:spacing w:val="-36"/>
          <w:w w:val="105"/>
        </w:rPr>
        <w:t> </w:t>
      </w:r>
      <w:r>
        <w:rPr>
          <w:color w:val="231F20"/>
          <w:w w:val="105"/>
        </w:rPr>
        <w:t>espacios que le corresponden directamente a mi partido los están usando o usurpando algunos</w:t>
      </w:r>
      <w:r>
        <w:rPr>
          <w:color w:val="231F20"/>
          <w:spacing w:val="-11"/>
          <w:w w:val="105"/>
        </w:rPr>
        <w:t> </w:t>
      </w:r>
      <w:r>
        <w:rPr>
          <w:color w:val="231F20"/>
          <w:w w:val="105"/>
        </w:rPr>
        <w:t>compañeros</w:t>
      </w:r>
      <w:r>
        <w:rPr>
          <w:color w:val="231F20"/>
          <w:spacing w:val="-11"/>
          <w:w w:val="105"/>
        </w:rPr>
        <w:t> </w:t>
      </w:r>
      <w:r>
        <w:rPr>
          <w:color w:val="231F20"/>
          <w:w w:val="105"/>
        </w:rPr>
        <w:t>de</w:t>
      </w:r>
      <w:r>
        <w:rPr>
          <w:color w:val="231F20"/>
          <w:spacing w:val="-11"/>
          <w:w w:val="105"/>
        </w:rPr>
        <w:t> </w:t>
      </w:r>
      <w:r>
        <w:rPr>
          <w:color w:val="231F20"/>
          <w:w w:val="105"/>
        </w:rPr>
        <w:t>otros</w:t>
      </w:r>
      <w:r>
        <w:rPr>
          <w:color w:val="231F20"/>
          <w:spacing w:val="-11"/>
          <w:w w:val="105"/>
        </w:rPr>
        <w:t> </w:t>
      </w:r>
      <w:r>
        <w:rPr>
          <w:color w:val="231F20"/>
          <w:w w:val="105"/>
        </w:rPr>
        <w:t>colores.</w:t>
      </w:r>
      <w:r>
        <w:rPr>
          <w:color w:val="231F20"/>
          <w:spacing w:val="-11"/>
          <w:w w:val="105"/>
        </w:rPr>
        <w:t> </w:t>
      </w:r>
      <w:r>
        <w:rPr>
          <w:color w:val="231F20"/>
          <w:spacing w:val="-9"/>
          <w:w w:val="105"/>
        </w:rPr>
        <w:t>Yo</w:t>
      </w:r>
      <w:r>
        <w:rPr>
          <w:color w:val="231F20"/>
          <w:spacing w:val="-11"/>
          <w:w w:val="105"/>
        </w:rPr>
        <w:t> </w:t>
      </w:r>
      <w:r>
        <w:rPr>
          <w:color w:val="231F20"/>
          <w:w w:val="105"/>
        </w:rPr>
        <w:t>creo</w:t>
      </w:r>
      <w:r>
        <w:rPr>
          <w:color w:val="231F20"/>
          <w:spacing w:val="-11"/>
          <w:w w:val="105"/>
        </w:rPr>
        <w:t> </w:t>
      </w:r>
      <w:r>
        <w:rPr>
          <w:color w:val="231F20"/>
          <w:w w:val="105"/>
        </w:rPr>
        <w:t>que</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única</w:t>
      </w:r>
      <w:r>
        <w:rPr>
          <w:color w:val="231F20"/>
          <w:spacing w:val="-11"/>
          <w:w w:val="105"/>
        </w:rPr>
        <w:t> </w:t>
      </w:r>
      <w:r>
        <w:rPr>
          <w:color w:val="231F20"/>
          <w:w w:val="105"/>
        </w:rPr>
        <w:t>manera</w:t>
      </w:r>
      <w:r>
        <w:rPr>
          <w:color w:val="231F20"/>
          <w:spacing w:val="-11"/>
          <w:w w:val="105"/>
        </w:rPr>
        <w:t> </w:t>
      </w:r>
      <w:r>
        <w:rPr>
          <w:color w:val="231F20"/>
          <w:w w:val="105"/>
        </w:rPr>
        <w:t>de</w:t>
      </w:r>
      <w:r>
        <w:rPr>
          <w:color w:val="231F20"/>
          <w:spacing w:val="-11"/>
          <w:w w:val="105"/>
        </w:rPr>
        <w:t> </w:t>
      </w:r>
      <w:r>
        <w:rPr>
          <w:color w:val="231F20"/>
          <w:w w:val="105"/>
        </w:rPr>
        <w:t>transpa- rentar mi</w:t>
      </w:r>
      <w:r>
        <w:rPr>
          <w:color w:val="231F20"/>
          <w:spacing w:val="-12"/>
          <w:w w:val="105"/>
        </w:rPr>
        <w:t> </w:t>
      </w:r>
      <w:r>
        <w:rPr>
          <w:color w:val="231F20"/>
          <w:spacing w:val="-4"/>
          <w:w w:val="105"/>
        </w:rPr>
        <w:t>gobierno”.</w:t>
      </w:r>
      <w:r>
        <w:rPr>
          <w:color w:val="231F20"/>
          <w:spacing w:val="-4"/>
          <w:w w:val="105"/>
          <w:position w:val="7"/>
          <w:sz w:val="13"/>
        </w:rPr>
        <w:t>8</w:t>
      </w:r>
    </w:p>
    <w:p>
      <w:pPr>
        <w:pStyle w:val="BodyText"/>
        <w:spacing w:before="1"/>
        <w:rPr>
          <w:sz w:val="26"/>
        </w:rPr>
      </w:pPr>
    </w:p>
    <w:p>
      <w:pPr>
        <w:pStyle w:val="BodyText"/>
        <w:spacing w:line="285" w:lineRule="auto"/>
        <w:ind w:left="110" w:right="108"/>
        <w:jc w:val="both"/>
      </w:pPr>
      <w:r>
        <w:rPr>
          <w:color w:val="231F20"/>
          <w:w w:val="105"/>
        </w:rPr>
        <w:t>Como</w:t>
      </w:r>
      <w:r>
        <w:rPr>
          <w:color w:val="231F20"/>
          <w:spacing w:val="-6"/>
          <w:w w:val="105"/>
        </w:rPr>
        <w:t> </w:t>
      </w:r>
      <w:r>
        <w:rPr>
          <w:color w:val="231F20"/>
          <w:w w:val="105"/>
        </w:rPr>
        <w:t>resultado</w:t>
      </w:r>
      <w:r>
        <w:rPr>
          <w:color w:val="231F20"/>
          <w:spacing w:val="-6"/>
          <w:w w:val="105"/>
        </w:rPr>
        <w:t> </w:t>
      </w:r>
      <w:r>
        <w:rPr>
          <w:color w:val="231F20"/>
          <w:w w:val="105"/>
        </w:rPr>
        <w:t>de</w:t>
      </w:r>
      <w:r>
        <w:rPr>
          <w:color w:val="231F20"/>
          <w:spacing w:val="-6"/>
          <w:w w:val="105"/>
        </w:rPr>
        <w:t> </w:t>
      </w:r>
      <w:r>
        <w:rPr>
          <w:color w:val="231F20"/>
          <w:w w:val="105"/>
        </w:rPr>
        <w:t>lo</w:t>
      </w:r>
      <w:r>
        <w:rPr>
          <w:color w:val="231F20"/>
          <w:spacing w:val="-6"/>
          <w:w w:val="105"/>
        </w:rPr>
        <w:t> </w:t>
      </w:r>
      <w:r>
        <w:rPr>
          <w:color w:val="231F20"/>
          <w:spacing w:val="-3"/>
          <w:w w:val="105"/>
        </w:rPr>
        <w:t>anterior,</w:t>
      </w:r>
      <w:r>
        <w:rPr>
          <w:color w:val="231F20"/>
          <w:spacing w:val="-6"/>
          <w:w w:val="105"/>
        </w:rPr>
        <w:t> </w:t>
      </w:r>
      <w:r>
        <w:rPr>
          <w:color w:val="231F20"/>
          <w:w w:val="105"/>
        </w:rPr>
        <w:t>la</w:t>
      </w:r>
      <w:r>
        <w:rPr>
          <w:color w:val="231F20"/>
          <w:spacing w:val="-6"/>
          <w:w w:val="105"/>
        </w:rPr>
        <w:t> </w:t>
      </w:r>
      <w:r>
        <w:rPr>
          <w:color w:val="231F20"/>
          <w:w w:val="105"/>
        </w:rPr>
        <w:t>estructura</w:t>
      </w:r>
      <w:r>
        <w:rPr>
          <w:color w:val="231F20"/>
          <w:spacing w:val="-6"/>
          <w:w w:val="105"/>
        </w:rPr>
        <w:t> </w:t>
      </w:r>
      <w:r>
        <w:rPr>
          <w:color w:val="231F20"/>
          <w:w w:val="105"/>
        </w:rPr>
        <w:t>administrativa</w:t>
      </w:r>
      <w:r>
        <w:rPr>
          <w:color w:val="231F20"/>
          <w:spacing w:val="-6"/>
          <w:w w:val="105"/>
        </w:rPr>
        <w:t> </w:t>
      </w:r>
      <w:r>
        <w:rPr>
          <w:color w:val="231F20"/>
          <w:w w:val="105"/>
        </w:rPr>
        <w:t>quedó</w:t>
      </w:r>
      <w:r>
        <w:rPr>
          <w:color w:val="231F20"/>
          <w:spacing w:val="-6"/>
          <w:w w:val="105"/>
        </w:rPr>
        <w:t> </w:t>
      </w:r>
      <w:r>
        <w:rPr>
          <w:color w:val="231F20"/>
          <w:w w:val="105"/>
        </w:rPr>
        <w:t>conformada</w:t>
      </w:r>
      <w:r>
        <w:rPr>
          <w:color w:val="231F20"/>
          <w:spacing w:val="-6"/>
          <w:w w:val="105"/>
        </w:rPr>
        <w:t> </w:t>
      </w:r>
      <w:r>
        <w:rPr>
          <w:color w:val="231F20"/>
          <w:w w:val="105"/>
        </w:rPr>
        <w:t>con</w:t>
      </w:r>
      <w:r>
        <w:rPr>
          <w:color w:val="231F20"/>
          <w:spacing w:val="-6"/>
          <w:w w:val="105"/>
        </w:rPr>
        <w:t> </w:t>
      </w:r>
      <w:r>
        <w:rPr>
          <w:color w:val="231F20"/>
          <w:spacing w:val="-3"/>
          <w:w w:val="105"/>
        </w:rPr>
        <w:t>per- </w:t>
      </w:r>
      <w:r>
        <w:rPr>
          <w:color w:val="231F20"/>
          <w:w w:val="105"/>
        </w:rPr>
        <w:t>sonal</w:t>
      </w:r>
      <w:r>
        <w:rPr>
          <w:color w:val="231F20"/>
          <w:spacing w:val="-14"/>
          <w:w w:val="105"/>
        </w:rPr>
        <w:t> </w:t>
      </w:r>
      <w:r>
        <w:rPr>
          <w:color w:val="231F20"/>
          <w:w w:val="105"/>
        </w:rPr>
        <w:t>de</w:t>
      </w:r>
      <w:r>
        <w:rPr>
          <w:color w:val="231F20"/>
          <w:spacing w:val="-14"/>
          <w:w w:val="105"/>
        </w:rPr>
        <w:t> </w:t>
      </w:r>
      <w:r>
        <w:rPr>
          <w:color w:val="231F20"/>
          <w:w w:val="105"/>
        </w:rPr>
        <w:t>nivel</w:t>
      </w:r>
      <w:r>
        <w:rPr>
          <w:color w:val="231F20"/>
          <w:spacing w:val="-14"/>
          <w:w w:val="105"/>
        </w:rPr>
        <w:t> </w:t>
      </w:r>
      <w:r>
        <w:rPr>
          <w:color w:val="231F20"/>
          <w:w w:val="105"/>
        </w:rPr>
        <w:t>de</w:t>
      </w:r>
      <w:r>
        <w:rPr>
          <w:color w:val="231F20"/>
          <w:spacing w:val="-14"/>
          <w:w w:val="105"/>
        </w:rPr>
        <w:t> </w:t>
      </w:r>
      <w:r>
        <w:rPr>
          <w:color w:val="231F20"/>
          <w:w w:val="105"/>
        </w:rPr>
        <w:t>licenciatura,</w:t>
      </w:r>
      <w:r>
        <w:rPr>
          <w:color w:val="231F20"/>
          <w:spacing w:val="-14"/>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de</w:t>
      </w:r>
      <w:r>
        <w:rPr>
          <w:color w:val="231F20"/>
          <w:spacing w:val="-14"/>
          <w:w w:val="105"/>
        </w:rPr>
        <w:t> </w:t>
      </w:r>
      <w:r>
        <w:rPr>
          <w:color w:val="231F20"/>
          <w:w w:val="105"/>
        </w:rPr>
        <w:t>nivel</w:t>
      </w:r>
      <w:r>
        <w:rPr>
          <w:color w:val="231F20"/>
          <w:spacing w:val="-14"/>
          <w:w w:val="105"/>
        </w:rPr>
        <w:t> </w:t>
      </w:r>
      <w:r>
        <w:rPr>
          <w:color w:val="231F20"/>
          <w:w w:val="105"/>
        </w:rPr>
        <w:t>técnico,</w:t>
      </w:r>
      <w:r>
        <w:rPr>
          <w:color w:val="231F20"/>
          <w:spacing w:val="-14"/>
          <w:w w:val="105"/>
        </w:rPr>
        <w:t> </w:t>
      </w:r>
      <w:r>
        <w:rPr>
          <w:color w:val="231F20"/>
          <w:w w:val="105"/>
        </w:rPr>
        <w:t>con</w:t>
      </w:r>
      <w:r>
        <w:rPr>
          <w:color w:val="231F20"/>
          <w:spacing w:val="-14"/>
          <w:w w:val="105"/>
        </w:rPr>
        <w:t> </w:t>
      </w:r>
      <w:r>
        <w:rPr>
          <w:color w:val="231F20"/>
          <w:w w:val="105"/>
        </w:rPr>
        <w:t>experiencia</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adminis- tración</w:t>
      </w:r>
      <w:r>
        <w:rPr>
          <w:color w:val="231F20"/>
          <w:spacing w:val="-15"/>
          <w:w w:val="105"/>
        </w:rPr>
        <w:t> </w:t>
      </w:r>
      <w:r>
        <w:rPr>
          <w:color w:val="231F20"/>
          <w:w w:val="105"/>
        </w:rPr>
        <w:t>pública</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ámbitos</w:t>
      </w:r>
      <w:r>
        <w:rPr>
          <w:color w:val="231F20"/>
          <w:spacing w:val="-15"/>
          <w:w w:val="105"/>
        </w:rPr>
        <w:t> </w:t>
      </w:r>
      <w:r>
        <w:rPr>
          <w:color w:val="231F20"/>
          <w:w w:val="105"/>
        </w:rPr>
        <w:t>federal,</w:t>
      </w:r>
      <w:r>
        <w:rPr>
          <w:color w:val="231F20"/>
          <w:spacing w:val="-15"/>
          <w:w w:val="105"/>
        </w:rPr>
        <w:t> </w:t>
      </w:r>
      <w:r>
        <w:rPr>
          <w:color w:val="231F20"/>
          <w:w w:val="105"/>
        </w:rPr>
        <w:t>estatal</w:t>
      </w:r>
      <w:r>
        <w:rPr>
          <w:color w:val="231F20"/>
          <w:spacing w:val="-15"/>
          <w:w w:val="105"/>
        </w:rPr>
        <w:t> </w:t>
      </w:r>
      <w:r>
        <w:rPr>
          <w:color w:val="231F20"/>
          <w:w w:val="105"/>
        </w:rPr>
        <w:t>y</w:t>
      </w:r>
      <w:r>
        <w:rPr>
          <w:color w:val="231F20"/>
          <w:spacing w:val="-15"/>
          <w:w w:val="105"/>
        </w:rPr>
        <w:t> </w:t>
      </w:r>
      <w:r>
        <w:rPr>
          <w:color w:val="231F20"/>
          <w:w w:val="105"/>
        </w:rPr>
        <w:t>municipal.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10048;mso-wrap-distance-left:0;mso-wrap-distance-right:0" from="42.519699pt,9.709277pt" to="114.519699pt,9.709277pt" stroked="true" strokeweight="1pt" strokecolor="#231f20">
            <w10:wrap type="topAndBottom"/>
          </v:line>
        </w:pict>
      </w:r>
    </w:p>
    <w:p>
      <w:pPr>
        <w:pStyle w:val="ListParagraph"/>
        <w:numPr>
          <w:ilvl w:val="0"/>
          <w:numId w:val="12"/>
        </w:numPr>
        <w:tabs>
          <w:tab w:pos="259" w:val="left" w:leader="none"/>
        </w:tabs>
        <w:spacing w:line="240" w:lineRule="auto" w:before="8" w:after="0"/>
        <w:ind w:left="258" w:right="0" w:hanging="148"/>
        <w:jc w:val="left"/>
        <w:rPr>
          <w:sz w:val="16"/>
        </w:rPr>
      </w:pPr>
      <w:r>
        <w:rPr>
          <w:color w:val="231F20"/>
          <w:sz w:val="16"/>
        </w:rPr>
        <w:t>Ídem.</w:t>
      </w:r>
    </w:p>
    <w:p>
      <w:pPr>
        <w:spacing w:after="0" w:line="240" w:lineRule="auto"/>
        <w:jc w:val="left"/>
        <w:rPr>
          <w:sz w:val="16"/>
        </w:rPr>
        <w:sectPr>
          <w:footerReference w:type="default" r:id="rId624"/>
          <w:pgSz w:w="9640" w:h="12190"/>
          <w:pgMar w:footer="743" w:header="0" w:top="1120" w:bottom="940" w:left="740" w:right="740"/>
          <w:pgNumType w:start="220"/>
        </w:sectPr>
      </w:pPr>
    </w:p>
    <w:p>
      <w:pPr>
        <w:pStyle w:val="Heading5"/>
        <w:spacing w:before="27"/>
        <w:ind w:left="1676" w:right="0"/>
      </w:pPr>
      <w:r>
        <w:rPr/>
        <w:drawing>
          <wp:anchor distT="0" distB="0" distL="0" distR="0" allowOverlap="1" layoutInCell="1" locked="0" behindDoc="0" simplePos="0" relativeHeight="10072">
            <wp:simplePos x="0" y="0"/>
            <wp:positionH relativeFrom="page">
              <wp:posOffset>540004</wp:posOffset>
            </wp:positionH>
            <wp:positionV relativeFrom="paragraph">
              <wp:posOffset>425901</wp:posOffset>
            </wp:positionV>
            <wp:extent cx="5039995" cy="3619487"/>
            <wp:effectExtent l="0" t="0" r="0" b="0"/>
            <wp:wrapNone/>
            <wp:docPr id="329" name="image562.png" descr=""/>
            <wp:cNvGraphicFramePr>
              <a:graphicFrameLocks noChangeAspect="1"/>
            </wp:cNvGraphicFramePr>
            <a:graphic>
              <a:graphicData uri="http://schemas.openxmlformats.org/drawingml/2006/picture">
                <pic:pic>
                  <pic:nvPicPr>
                    <pic:cNvPr id="330" name="image562.png"/>
                    <pic:cNvPicPr/>
                  </pic:nvPicPr>
                  <pic:blipFill>
                    <a:blip r:embed="rId625" cstate="print"/>
                    <a:stretch>
                      <a:fillRect/>
                    </a:stretch>
                  </pic:blipFill>
                  <pic:spPr>
                    <a:xfrm>
                      <a:off x="0" y="0"/>
                      <a:ext cx="5039995" cy="3619487"/>
                    </a:xfrm>
                    <a:prstGeom prst="rect">
                      <a:avLst/>
                    </a:prstGeom>
                  </pic:spPr>
                </pic:pic>
              </a:graphicData>
            </a:graphic>
          </wp:anchor>
        </w:drawing>
      </w:r>
      <w:r>
        <w:rPr>
          <w:color w:val="231F20"/>
          <w:w w:val="105"/>
        </w:rPr>
        <w:t>Organigrama</w:t>
      </w:r>
      <w:r>
        <w:rPr>
          <w:color w:val="231F20"/>
          <w:spacing w:val="-34"/>
          <w:w w:val="105"/>
        </w:rPr>
        <w:t> </w:t>
      </w:r>
      <w:r>
        <w:rPr>
          <w:color w:val="231F20"/>
          <w:spacing w:val="-3"/>
          <w:w w:val="105"/>
        </w:rPr>
        <w:t>1.</w:t>
      </w:r>
      <w:r>
        <w:rPr>
          <w:color w:val="231F20"/>
          <w:spacing w:val="-34"/>
          <w:w w:val="105"/>
        </w:rPr>
        <w:t> </w:t>
      </w:r>
      <w:r>
        <w:rPr>
          <w:color w:val="231F20"/>
          <w:w w:val="105"/>
        </w:rPr>
        <w:t>Organigrama</w:t>
      </w:r>
      <w:r>
        <w:rPr>
          <w:color w:val="231F20"/>
          <w:spacing w:val="-34"/>
          <w:w w:val="105"/>
        </w:rPr>
        <w:t> </w:t>
      </w:r>
      <w:r>
        <w:rPr>
          <w:color w:val="231F20"/>
          <w:w w:val="105"/>
        </w:rPr>
        <w:t>por</w:t>
      </w:r>
      <w:r>
        <w:rPr>
          <w:color w:val="231F20"/>
          <w:spacing w:val="-34"/>
          <w:w w:val="105"/>
        </w:rPr>
        <w:t> </w:t>
      </w:r>
      <w:r>
        <w:rPr>
          <w:color w:val="231F20"/>
          <w:w w:val="105"/>
        </w:rPr>
        <w:t>departamentos</w:t>
      </w:r>
    </w:p>
    <w:p>
      <w:pPr>
        <w:pStyle w:val="BodyText"/>
        <w:rPr>
          <w:b/>
          <w:sz w:val="16"/>
        </w:rPr>
      </w:pPr>
      <w:r>
        <w:rPr/>
        <w:br w:type="column"/>
      </w:r>
      <w:r>
        <w:rPr>
          <w:b/>
          <w:sz w:val="16"/>
        </w:rPr>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11"/>
        <w:rPr>
          <w:b/>
          <w:sz w:val="16"/>
        </w:rPr>
      </w:pPr>
    </w:p>
    <w:p>
      <w:pPr>
        <w:spacing w:before="0"/>
        <w:ind w:left="709" w:right="0" w:firstLine="0"/>
        <w:jc w:val="left"/>
        <w:rPr>
          <w:rFonts w:ascii="Calibri"/>
          <w:sz w:val="16"/>
        </w:rPr>
      </w:pPr>
      <w:r>
        <w:rPr>
          <w:rFonts w:ascii="Calibri"/>
          <w:color w:val="231F20"/>
          <w:w w:val="95"/>
          <w:sz w:val="16"/>
        </w:rPr>
        <w:t>Fuente: PDM</w:t>
      </w:r>
    </w:p>
    <w:p>
      <w:pPr>
        <w:spacing w:after="0"/>
        <w:jc w:val="left"/>
        <w:rPr>
          <w:rFonts w:ascii="Calibri"/>
          <w:sz w:val="16"/>
        </w:rPr>
        <w:sectPr>
          <w:pgSz w:w="9640" w:h="12190"/>
          <w:pgMar w:header="0" w:footer="743" w:top="1120" w:bottom="940" w:left="740" w:right="740"/>
          <w:cols w:num="2" w:equalWidth="0">
            <w:col w:w="6481" w:space="40"/>
            <w:col w:w="1639"/>
          </w:cols>
        </w:sectPr>
      </w:pPr>
    </w:p>
    <w:p>
      <w:pPr>
        <w:pStyle w:val="Heading5"/>
        <w:spacing w:before="27"/>
        <w:ind w:left="1809" w:right="0"/>
      </w:pPr>
      <w:r>
        <w:rPr>
          <w:color w:val="231F20"/>
          <w:w w:val="105"/>
        </w:rPr>
        <w:t>Organigrama</w:t>
      </w:r>
      <w:r>
        <w:rPr>
          <w:color w:val="231F20"/>
          <w:spacing w:val="-29"/>
          <w:w w:val="105"/>
        </w:rPr>
        <w:t> </w:t>
      </w:r>
      <w:r>
        <w:rPr>
          <w:color w:val="231F20"/>
          <w:w w:val="105"/>
        </w:rPr>
        <w:t>2</w:t>
      </w:r>
      <w:r>
        <w:rPr>
          <w:color w:val="231F20"/>
          <w:spacing w:val="-29"/>
          <w:w w:val="105"/>
        </w:rPr>
        <w:t> </w:t>
      </w:r>
      <w:r>
        <w:rPr>
          <w:color w:val="231F20"/>
          <w:w w:val="105"/>
        </w:rPr>
        <w:t>Organización</w:t>
      </w:r>
      <w:r>
        <w:rPr>
          <w:color w:val="231F20"/>
          <w:spacing w:val="-29"/>
          <w:w w:val="105"/>
        </w:rPr>
        <w:t> </w:t>
      </w:r>
      <w:r>
        <w:rPr>
          <w:color w:val="231F20"/>
          <w:w w:val="105"/>
        </w:rPr>
        <w:t>por</w:t>
      </w:r>
      <w:r>
        <w:rPr>
          <w:color w:val="231F20"/>
          <w:spacing w:val="-29"/>
          <w:w w:val="105"/>
        </w:rPr>
        <w:t> </w:t>
      </w:r>
      <w:r>
        <w:rPr>
          <w:color w:val="231F20"/>
          <w:w w:val="105"/>
        </w:rPr>
        <w:t>responsables</w:t>
      </w:r>
    </w:p>
    <w:p>
      <w:pPr>
        <w:pStyle w:val="BodyText"/>
        <w:rPr>
          <w:b/>
          <w:sz w:val="16"/>
        </w:rPr>
      </w:pPr>
      <w:r>
        <w:rPr/>
        <w:br w:type="column"/>
      </w:r>
      <w:r>
        <w:rPr>
          <w:b/>
          <w:sz w:val="16"/>
        </w:rPr>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5"/>
        <w:rPr>
          <w:b/>
          <w:sz w:val="13"/>
        </w:rPr>
      </w:pPr>
    </w:p>
    <w:p>
      <w:pPr>
        <w:spacing w:before="1"/>
        <w:ind w:left="842" w:right="0" w:firstLine="0"/>
        <w:jc w:val="left"/>
        <w:rPr>
          <w:rFonts w:ascii="Calibri"/>
          <w:sz w:val="16"/>
        </w:rPr>
      </w:pPr>
      <w:r>
        <w:rPr/>
        <w:drawing>
          <wp:anchor distT="0" distB="0" distL="0" distR="0" allowOverlap="1" layoutInCell="1" locked="0" behindDoc="0" simplePos="0" relativeHeight="10096">
            <wp:simplePos x="0" y="0"/>
            <wp:positionH relativeFrom="page">
              <wp:posOffset>540004</wp:posOffset>
            </wp:positionH>
            <wp:positionV relativeFrom="paragraph">
              <wp:posOffset>-5046127</wp:posOffset>
            </wp:positionV>
            <wp:extent cx="5039995" cy="4891593"/>
            <wp:effectExtent l="0" t="0" r="0" b="0"/>
            <wp:wrapNone/>
            <wp:docPr id="331" name="image563.jpeg" descr=""/>
            <wp:cNvGraphicFramePr>
              <a:graphicFrameLocks noChangeAspect="1"/>
            </wp:cNvGraphicFramePr>
            <a:graphic>
              <a:graphicData uri="http://schemas.openxmlformats.org/drawingml/2006/picture">
                <pic:pic>
                  <pic:nvPicPr>
                    <pic:cNvPr id="332" name="image563.jpeg"/>
                    <pic:cNvPicPr/>
                  </pic:nvPicPr>
                  <pic:blipFill>
                    <a:blip r:embed="rId626" cstate="print"/>
                    <a:stretch>
                      <a:fillRect/>
                    </a:stretch>
                  </pic:blipFill>
                  <pic:spPr>
                    <a:xfrm>
                      <a:off x="0" y="0"/>
                      <a:ext cx="5039995" cy="4891593"/>
                    </a:xfrm>
                    <a:prstGeom prst="rect">
                      <a:avLst/>
                    </a:prstGeom>
                  </pic:spPr>
                </pic:pic>
              </a:graphicData>
            </a:graphic>
          </wp:anchor>
        </w:drawing>
      </w:r>
      <w:r>
        <w:rPr>
          <w:rFonts w:ascii="Calibri"/>
          <w:color w:val="231F20"/>
          <w:w w:val="95"/>
          <w:sz w:val="16"/>
        </w:rPr>
        <w:t>Fuente: PDM</w:t>
      </w:r>
    </w:p>
    <w:p>
      <w:pPr>
        <w:spacing w:after="0"/>
        <w:jc w:val="left"/>
        <w:rPr>
          <w:rFonts w:ascii="Calibri"/>
          <w:sz w:val="16"/>
        </w:rPr>
        <w:sectPr>
          <w:pgSz w:w="9640" w:h="12190"/>
          <w:pgMar w:header="0" w:footer="743" w:top="1120" w:bottom="940" w:left="740" w:right="740"/>
          <w:cols w:num="2" w:equalWidth="0">
            <w:col w:w="6349" w:space="40"/>
            <w:col w:w="1771"/>
          </w:cols>
        </w:sectPr>
      </w:pPr>
    </w:p>
    <w:p>
      <w:pPr>
        <w:pStyle w:val="BodyText"/>
        <w:spacing w:before="8"/>
        <w:rPr>
          <w:rFonts w:ascii="Calibri"/>
          <w:sz w:val="10"/>
        </w:rPr>
      </w:pPr>
    </w:p>
    <w:p>
      <w:pPr>
        <w:pStyle w:val="BodyText"/>
        <w:spacing w:line="285" w:lineRule="auto" w:before="35"/>
        <w:ind w:left="110" w:right="107"/>
        <w:jc w:val="both"/>
      </w:pPr>
      <w:r>
        <w:rPr>
          <w:color w:val="231F20"/>
          <w:spacing w:val="3"/>
          <w:w w:val="105"/>
        </w:rPr>
        <w:t>Al </w:t>
      </w:r>
      <w:r>
        <w:rPr>
          <w:color w:val="231F20"/>
          <w:w w:val="105"/>
        </w:rPr>
        <w:t>primer organigrama se le incorporaron las áreas de Secretaría </w:t>
      </w:r>
      <w:r>
        <w:rPr>
          <w:color w:val="231F20"/>
          <w:spacing w:val="-3"/>
          <w:w w:val="105"/>
        </w:rPr>
        <w:t>Técnica, </w:t>
      </w:r>
      <w:r>
        <w:rPr>
          <w:color w:val="231F20"/>
          <w:w w:val="105"/>
        </w:rPr>
        <w:t>Secretario Particular, un área encargada de Gobierno y otra de Mantenimiento Vial. En los si- guientes cuadros se anotan sus nombres y cargos. El primero se refiere a la estructura organizativa</w:t>
      </w:r>
      <w:r>
        <w:rPr>
          <w:color w:val="231F20"/>
          <w:spacing w:val="-6"/>
          <w:w w:val="105"/>
        </w:rPr>
        <w:t> </w:t>
      </w:r>
      <w:r>
        <w:rPr>
          <w:color w:val="231F20"/>
          <w:w w:val="105"/>
        </w:rPr>
        <w:t>y</w:t>
      </w:r>
      <w:r>
        <w:rPr>
          <w:color w:val="231F20"/>
          <w:spacing w:val="-6"/>
          <w:w w:val="105"/>
        </w:rPr>
        <w:t> </w:t>
      </w:r>
      <w:r>
        <w:rPr>
          <w:color w:val="231F20"/>
          <w:w w:val="105"/>
        </w:rPr>
        <w:t>administrativa</w:t>
      </w:r>
      <w:r>
        <w:rPr>
          <w:color w:val="231F20"/>
          <w:spacing w:val="-6"/>
          <w:w w:val="105"/>
        </w:rPr>
        <w:t> </w:t>
      </w:r>
      <w:r>
        <w:rPr>
          <w:color w:val="231F20"/>
          <w:w w:val="105"/>
        </w:rPr>
        <w:t>del</w:t>
      </w:r>
      <w:r>
        <w:rPr>
          <w:color w:val="231F20"/>
          <w:spacing w:val="-6"/>
          <w:w w:val="105"/>
        </w:rPr>
        <w:t> </w:t>
      </w:r>
      <w:r>
        <w:rPr>
          <w:color w:val="231F20"/>
          <w:w w:val="105"/>
        </w:rPr>
        <w:t>ayuntamiento</w:t>
      </w:r>
      <w:r>
        <w:rPr>
          <w:color w:val="231F20"/>
          <w:spacing w:val="-6"/>
          <w:w w:val="105"/>
        </w:rPr>
        <w:t> </w:t>
      </w:r>
      <w:r>
        <w:rPr>
          <w:color w:val="231F20"/>
          <w:w w:val="105"/>
        </w:rPr>
        <w:t>2006-2009.</w:t>
      </w:r>
      <w:r>
        <w:rPr>
          <w:color w:val="231F20"/>
          <w:spacing w:val="-6"/>
          <w:w w:val="105"/>
        </w:rPr>
        <w:t> </w:t>
      </w:r>
      <w:r>
        <w:rPr>
          <w:color w:val="231F20"/>
          <w:w w:val="105"/>
        </w:rPr>
        <w:t>Las</w:t>
      </w:r>
      <w:r>
        <w:rPr>
          <w:color w:val="231F20"/>
          <w:spacing w:val="-6"/>
          <w:w w:val="105"/>
        </w:rPr>
        <w:t> </w:t>
      </w:r>
      <w:r>
        <w:rPr>
          <w:color w:val="231F20"/>
          <w:w w:val="105"/>
        </w:rPr>
        <w:t>líneas</w:t>
      </w:r>
      <w:r>
        <w:rPr>
          <w:color w:val="231F20"/>
          <w:spacing w:val="-6"/>
          <w:w w:val="105"/>
        </w:rPr>
        <w:t> </w:t>
      </w:r>
      <w:r>
        <w:rPr>
          <w:color w:val="231F20"/>
          <w:w w:val="105"/>
        </w:rPr>
        <w:t>apuntan</w:t>
      </w:r>
      <w:r>
        <w:rPr>
          <w:color w:val="231F20"/>
          <w:spacing w:val="-6"/>
          <w:w w:val="105"/>
        </w:rPr>
        <w:t> </w:t>
      </w:r>
      <w:r>
        <w:rPr>
          <w:color w:val="231F20"/>
          <w:w w:val="105"/>
        </w:rPr>
        <w:t>su</w:t>
      </w:r>
      <w:r>
        <w:rPr>
          <w:color w:val="231F20"/>
          <w:spacing w:val="-6"/>
          <w:w w:val="105"/>
        </w:rPr>
        <w:t> </w:t>
      </w:r>
      <w:r>
        <w:rPr>
          <w:color w:val="231F20"/>
          <w:w w:val="105"/>
        </w:rPr>
        <w:t>sub- ordinación</w:t>
      </w:r>
      <w:r>
        <w:rPr>
          <w:color w:val="231F20"/>
          <w:spacing w:val="-15"/>
          <w:w w:val="105"/>
        </w:rPr>
        <w:t> </w:t>
      </w:r>
      <w:r>
        <w:rPr>
          <w:color w:val="231F20"/>
          <w:w w:val="105"/>
        </w:rPr>
        <w:t>jerárquica.</w:t>
      </w:r>
    </w:p>
    <w:p>
      <w:pPr>
        <w:pStyle w:val="BodyText"/>
        <w:spacing w:before="1"/>
        <w:rPr>
          <w:sz w:val="26"/>
        </w:rPr>
      </w:pPr>
    </w:p>
    <w:p>
      <w:pPr>
        <w:pStyle w:val="Heading5"/>
        <w:ind w:left="1572"/>
      </w:pPr>
      <w:r>
        <w:rPr>
          <w:color w:val="231F20"/>
          <w:w w:val="105"/>
        </w:rPr>
        <w:t>Cuadro 9 Estructura organizativa del ayuntamiento</w:t>
      </w:r>
    </w:p>
    <w:p>
      <w:pPr>
        <w:pStyle w:val="BodyText"/>
        <w:spacing w:before="6"/>
        <w:rPr>
          <w:b/>
          <w:sz w:val="18"/>
        </w:rPr>
      </w:pPr>
      <w:r>
        <w:rPr/>
        <w:drawing>
          <wp:anchor distT="0" distB="0" distL="0" distR="0" allowOverlap="1" layoutInCell="1" locked="0" behindDoc="0" simplePos="0" relativeHeight="10120">
            <wp:simplePos x="0" y="0"/>
            <wp:positionH relativeFrom="page">
              <wp:posOffset>539999</wp:posOffset>
            </wp:positionH>
            <wp:positionV relativeFrom="paragraph">
              <wp:posOffset>160116</wp:posOffset>
            </wp:positionV>
            <wp:extent cx="5041774" cy="3204972"/>
            <wp:effectExtent l="0" t="0" r="0" b="0"/>
            <wp:wrapTopAndBottom/>
            <wp:docPr id="333" name="image564.png" descr=""/>
            <wp:cNvGraphicFramePr>
              <a:graphicFrameLocks noChangeAspect="1"/>
            </wp:cNvGraphicFramePr>
            <a:graphic>
              <a:graphicData uri="http://schemas.openxmlformats.org/drawingml/2006/picture">
                <pic:pic>
                  <pic:nvPicPr>
                    <pic:cNvPr id="334" name="image564.png"/>
                    <pic:cNvPicPr/>
                  </pic:nvPicPr>
                  <pic:blipFill>
                    <a:blip r:embed="rId627" cstate="print"/>
                    <a:stretch>
                      <a:fillRect/>
                    </a:stretch>
                  </pic:blipFill>
                  <pic:spPr>
                    <a:xfrm>
                      <a:off x="0" y="0"/>
                      <a:ext cx="5041774" cy="3204972"/>
                    </a:xfrm>
                    <a:prstGeom prst="rect">
                      <a:avLst/>
                    </a:prstGeom>
                  </pic:spPr>
                </pic:pic>
              </a:graphicData>
            </a:graphic>
          </wp:anchor>
        </w:drawing>
      </w:r>
    </w:p>
    <w:p>
      <w:pPr>
        <w:pStyle w:val="BodyText"/>
        <w:rPr>
          <w:b/>
        </w:rPr>
      </w:pPr>
    </w:p>
    <w:p>
      <w:pPr>
        <w:pStyle w:val="BodyText"/>
        <w:spacing w:before="11"/>
        <w:rPr>
          <w:b/>
          <w:sz w:val="18"/>
        </w:rPr>
      </w:pPr>
    </w:p>
    <w:p>
      <w:pPr>
        <w:spacing w:before="0"/>
        <w:ind w:left="0" w:right="108" w:firstLine="0"/>
        <w:jc w:val="right"/>
        <w:rPr>
          <w:rFonts w:ascii="Calibri"/>
          <w:sz w:val="16"/>
        </w:rPr>
      </w:pPr>
      <w:r>
        <w:rPr>
          <w:rFonts w:ascii="Calibri"/>
          <w:color w:val="231F20"/>
          <w:w w:val="95"/>
          <w:sz w:val="16"/>
        </w:rPr>
        <w:t>Fuente: PDM</w:t>
      </w:r>
    </w:p>
    <w:p>
      <w:pPr>
        <w:spacing w:after="0"/>
        <w:jc w:val="right"/>
        <w:rPr>
          <w:rFonts w:ascii="Calibri"/>
          <w:sz w:val="16"/>
        </w:rPr>
        <w:sectPr>
          <w:pgSz w:w="9640" w:h="12190"/>
          <w:pgMar w:header="0" w:footer="743" w:top="1120" w:bottom="940" w:left="740" w:right="740"/>
        </w:sectPr>
      </w:pPr>
    </w:p>
    <w:p>
      <w:pPr>
        <w:pStyle w:val="Heading5"/>
        <w:spacing w:before="27"/>
        <w:ind w:left="107" w:right="518"/>
      </w:pPr>
      <w:r>
        <w:rPr>
          <w:color w:val="231F20"/>
          <w:w w:val="105"/>
        </w:rPr>
        <w:t>Cuadro 10 Organización administrativa de la presidencia</w:t>
      </w:r>
    </w:p>
    <w:p>
      <w:pPr>
        <w:pStyle w:val="BodyText"/>
        <w:rPr>
          <w:b/>
          <w:sz w:val="20"/>
        </w:rPr>
      </w:pPr>
    </w:p>
    <w:p>
      <w:pPr>
        <w:pStyle w:val="BodyText"/>
        <w:spacing w:before="10"/>
        <w:rPr>
          <w:b/>
          <w:sz w:val="20"/>
        </w:rPr>
      </w:pPr>
    </w:p>
    <w:tbl>
      <w:tblPr>
        <w:tblW w:w="0" w:type="auto"/>
        <w:jc w:val="left"/>
        <w:tblInd w:w="85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260"/>
        <w:gridCol w:w="3119"/>
      </w:tblGrid>
      <w:tr>
        <w:trPr>
          <w:trHeight w:val="284" w:hRule="exact"/>
        </w:trPr>
        <w:tc>
          <w:tcPr>
            <w:tcW w:w="3260" w:type="dxa"/>
          </w:tcPr>
          <w:p>
            <w:pPr>
              <w:pStyle w:val="TableParagraph"/>
              <w:spacing w:line="163" w:lineRule="exact"/>
              <w:ind w:left="102"/>
              <w:rPr>
                <w:sz w:val="16"/>
              </w:rPr>
            </w:pPr>
            <w:r>
              <w:rPr>
                <w:color w:val="231F20"/>
                <w:w w:val="85"/>
                <w:sz w:val="16"/>
              </w:rPr>
              <w:t>Nombre</w:t>
            </w:r>
          </w:p>
        </w:tc>
        <w:tc>
          <w:tcPr>
            <w:tcW w:w="3119" w:type="dxa"/>
          </w:tcPr>
          <w:p>
            <w:pPr>
              <w:pStyle w:val="TableParagraph"/>
              <w:spacing w:line="163" w:lineRule="exact"/>
              <w:ind w:left="102"/>
              <w:rPr>
                <w:sz w:val="16"/>
              </w:rPr>
            </w:pPr>
            <w:r>
              <w:rPr>
                <w:color w:val="231F20"/>
                <w:w w:val="85"/>
                <w:sz w:val="16"/>
              </w:rPr>
              <w:t>Cargo</w:t>
            </w:r>
          </w:p>
        </w:tc>
      </w:tr>
      <w:tr>
        <w:trPr>
          <w:trHeight w:val="284" w:hRule="exact"/>
        </w:trPr>
        <w:tc>
          <w:tcPr>
            <w:tcW w:w="3260" w:type="dxa"/>
          </w:tcPr>
          <w:p>
            <w:pPr>
              <w:pStyle w:val="TableParagraph"/>
              <w:spacing w:before="44"/>
              <w:ind w:left="102"/>
              <w:rPr>
                <w:sz w:val="16"/>
              </w:rPr>
            </w:pPr>
            <w:r>
              <w:rPr>
                <w:color w:val="231F20"/>
                <w:w w:val="75"/>
                <w:sz w:val="16"/>
              </w:rPr>
              <w:t>C. Marcos Márquez Mercado</w:t>
            </w:r>
          </w:p>
        </w:tc>
        <w:tc>
          <w:tcPr>
            <w:tcW w:w="3119" w:type="dxa"/>
          </w:tcPr>
          <w:p>
            <w:pPr>
              <w:pStyle w:val="TableParagraph"/>
              <w:spacing w:before="44"/>
              <w:ind w:left="102"/>
              <w:rPr>
                <w:sz w:val="16"/>
              </w:rPr>
            </w:pPr>
            <w:r>
              <w:rPr>
                <w:color w:val="231F20"/>
                <w:w w:val="75"/>
                <w:sz w:val="16"/>
              </w:rPr>
              <w:t>Presidente Municipal Constitucional</w:t>
            </w:r>
          </w:p>
        </w:tc>
      </w:tr>
      <w:tr>
        <w:trPr>
          <w:trHeight w:val="284" w:hRule="exact"/>
        </w:trPr>
        <w:tc>
          <w:tcPr>
            <w:tcW w:w="3260" w:type="dxa"/>
          </w:tcPr>
          <w:p>
            <w:pPr>
              <w:pStyle w:val="TableParagraph"/>
              <w:spacing w:before="44"/>
              <w:ind w:left="102"/>
              <w:rPr>
                <w:sz w:val="16"/>
              </w:rPr>
            </w:pPr>
            <w:r>
              <w:rPr>
                <w:color w:val="231F20"/>
                <w:w w:val="75"/>
                <w:sz w:val="16"/>
              </w:rPr>
              <w:t>Lic. Gerardo Orozco Aguilar</w:t>
            </w:r>
          </w:p>
        </w:tc>
        <w:tc>
          <w:tcPr>
            <w:tcW w:w="3119" w:type="dxa"/>
          </w:tcPr>
          <w:p>
            <w:pPr>
              <w:pStyle w:val="TableParagraph"/>
              <w:spacing w:before="44"/>
              <w:ind w:left="102"/>
              <w:rPr>
                <w:sz w:val="16"/>
              </w:rPr>
            </w:pPr>
            <w:r>
              <w:rPr>
                <w:color w:val="231F20"/>
                <w:w w:val="75"/>
                <w:sz w:val="16"/>
              </w:rPr>
              <w:t>Coordinador de Oficialía Calificadora</w:t>
            </w:r>
          </w:p>
        </w:tc>
      </w:tr>
      <w:tr>
        <w:trPr>
          <w:trHeight w:val="284" w:hRule="exact"/>
        </w:trPr>
        <w:tc>
          <w:tcPr>
            <w:tcW w:w="3260" w:type="dxa"/>
          </w:tcPr>
          <w:p>
            <w:pPr>
              <w:pStyle w:val="TableParagraph"/>
              <w:spacing w:before="44"/>
              <w:ind w:left="102"/>
              <w:rPr>
                <w:sz w:val="16"/>
              </w:rPr>
            </w:pPr>
            <w:r>
              <w:rPr>
                <w:color w:val="231F20"/>
                <w:w w:val="75"/>
                <w:sz w:val="16"/>
              </w:rPr>
              <w:t>Lic. Genoveva Carreón Espinosa</w:t>
            </w:r>
          </w:p>
        </w:tc>
        <w:tc>
          <w:tcPr>
            <w:tcW w:w="3119" w:type="dxa"/>
          </w:tcPr>
          <w:p>
            <w:pPr>
              <w:pStyle w:val="TableParagraph"/>
              <w:spacing w:before="44"/>
              <w:ind w:left="102"/>
              <w:rPr>
                <w:sz w:val="16"/>
              </w:rPr>
            </w:pPr>
            <w:r>
              <w:rPr>
                <w:color w:val="231F20"/>
                <w:w w:val="75"/>
                <w:sz w:val="16"/>
              </w:rPr>
              <w:t>Jefatura de Jurídico</w:t>
            </w:r>
          </w:p>
        </w:tc>
      </w:tr>
      <w:tr>
        <w:trPr>
          <w:trHeight w:val="284" w:hRule="exact"/>
        </w:trPr>
        <w:tc>
          <w:tcPr>
            <w:tcW w:w="3260" w:type="dxa"/>
          </w:tcPr>
          <w:p>
            <w:pPr>
              <w:pStyle w:val="TableParagraph"/>
              <w:spacing w:before="44"/>
              <w:ind w:left="102"/>
              <w:rPr>
                <w:sz w:val="16"/>
              </w:rPr>
            </w:pPr>
            <w:r>
              <w:rPr>
                <w:color w:val="231F20"/>
                <w:w w:val="80"/>
                <w:sz w:val="16"/>
              </w:rPr>
              <w:t>C.P José Ismael Castillo Gómez</w:t>
            </w:r>
          </w:p>
        </w:tc>
        <w:tc>
          <w:tcPr>
            <w:tcW w:w="3119" w:type="dxa"/>
          </w:tcPr>
          <w:p>
            <w:pPr>
              <w:pStyle w:val="TableParagraph"/>
              <w:spacing w:before="44"/>
              <w:ind w:left="102"/>
              <w:rPr>
                <w:sz w:val="16"/>
              </w:rPr>
            </w:pPr>
            <w:r>
              <w:rPr>
                <w:color w:val="231F20"/>
                <w:w w:val="75"/>
                <w:sz w:val="16"/>
              </w:rPr>
              <w:t>Contralor Interno</w:t>
            </w:r>
          </w:p>
        </w:tc>
      </w:tr>
      <w:tr>
        <w:trPr>
          <w:trHeight w:val="284" w:hRule="exact"/>
        </w:trPr>
        <w:tc>
          <w:tcPr>
            <w:tcW w:w="3260" w:type="dxa"/>
          </w:tcPr>
          <w:p>
            <w:pPr>
              <w:pStyle w:val="TableParagraph"/>
              <w:spacing w:before="44"/>
              <w:ind w:left="102"/>
              <w:rPr>
                <w:sz w:val="16"/>
              </w:rPr>
            </w:pPr>
            <w:r>
              <w:rPr>
                <w:color w:val="231F20"/>
                <w:w w:val="80"/>
                <w:sz w:val="16"/>
              </w:rPr>
              <w:t>C. Luis Horacio Gil Medina</w:t>
            </w:r>
          </w:p>
        </w:tc>
        <w:tc>
          <w:tcPr>
            <w:tcW w:w="3119" w:type="dxa"/>
          </w:tcPr>
          <w:p>
            <w:pPr>
              <w:pStyle w:val="TableParagraph"/>
              <w:spacing w:before="44"/>
              <w:ind w:left="102"/>
              <w:rPr>
                <w:sz w:val="16"/>
              </w:rPr>
            </w:pPr>
            <w:r>
              <w:rPr>
                <w:color w:val="231F20"/>
                <w:w w:val="75"/>
                <w:sz w:val="16"/>
              </w:rPr>
              <w:t>Secretario del H. Ayuntamiento</w:t>
            </w:r>
          </w:p>
        </w:tc>
      </w:tr>
      <w:tr>
        <w:trPr>
          <w:trHeight w:val="284" w:hRule="exact"/>
        </w:trPr>
        <w:tc>
          <w:tcPr>
            <w:tcW w:w="3260" w:type="dxa"/>
          </w:tcPr>
          <w:p>
            <w:pPr>
              <w:pStyle w:val="TableParagraph"/>
              <w:spacing w:before="44"/>
              <w:ind w:left="102"/>
              <w:rPr>
                <w:sz w:val="16"/>
              </w:rPr>
            </w:pPr>
            <w:r>
              <w:rPr>
                <w:color w:val="231F20"/>
                <w:w w:val="75"/>
                <w:sz w:val="16"/>
              </w:rPr>
              <w:t>Lic. Ma. de Lourdes Castro Hernández</w:t>
            </w:r>
          </w:p>
        </w:tc>
        <w:tc>
          <w:tcPr>
            <w:tcW w:w="3119" w:type="dxa"/>
          </w:tcPr>
          <w:p>
            <w:pPr>
              <w:pStyle w:val="TableParagraph"/>
              <w:spacing w:before="44"/>
              <w:ind w:left="102"/>
              <w:rPr>
                <w:sz w:val="16"/>
              </w:rPr>
            </w:pPr>
            <w:r>
              <w:rPr>
                <w:color w:val="231F20"/>
                <w:w w:val="75"/>
                <w:sz w:val="16"/>
              </w:rPr>
              <w:t>Comunicación Social</w:t>
            </w:r>
          </w:p>
        </w:tc>
      </w:tr>
      <w:tr>
        <w:trPr>
          <w:trHeight w:val="284" w:hRule="exact"/>
        </w:trPr>
        <w:tc>
          <w:tcPr>
            <w:tcW w:w="3260" w:type="dxa"/>
          </w:tcPr>
          <w:p>
            <w:pPr>
              <w:pStyle w:val="TableParagraph"/>
              <w:spacing w:before="44"/>
              <w:ind w:left="102"/>
              <w:rPr>
                <w:sz w:val="16"/>
              </w:rPr>
            </w:pPr>
            <w:r>
              <w:rPr>
                <w:color w:val="231F20"/>
                <w:w w:val="80"/>
                <w:sz w:val="16"/>
              </w:rPr>
              <w:t>Lic. Ma. del Rocío Fragoso</w:t>
            </w:r>
          </w:p>
        </w:tc>
        <w:tc>
          <w:tcPr>
            <w:tcW w:w="3119" w:type="dxa"/>
          </w:tcPr>
          <w:p>
            <w:pPr>
              <w:pStyle w:val="TableParagraph"/>
              <w:spacing w:before="44"/>
              <w:ind w:left="102"/>
              <w:rPr>
                <w:sz w:val="16"/>
              </w:rPr>
            </w:pPr>
            <w:r>
              <w:rPr>
                <w:color w:val="231F20"/>
                <w:w w:val="75"/>
                <w:sz w:val="16"/>
              </w:rPr>
              <w:t>Directora de Derechos Humanos</w:t>
            </w:r>
          </w:p>
        </w:tc>
      </w:tr>
      <w:tr>
        <w:trPr>
          <w:trHeight w:val="284" w:hRule="exact"/>
        </w:trPr>
        <w:tc>
          <w:tcPr>
            <w:tcW w:w="3260" w:type="dxa"/>
          </w:tcPr>
          <w:p>
            <w:pPr>
              <w:pStyle w:val="TableParagraph"/>
              <w:spacing w:before="44"/>
              <w:ind w:left="102"/>
              <w:rPr>
                <w:sz w:val="16"/>
              </w:rPr>
            </w:pPr>
            <w:r>
              <w:rPr>
                <w:color w:val="231F20"/>
                <w:w w:val="75"/>
                <w:sz w:val="16"/>
              </w:rPr>
              <w:t>C. Eder Lozano</w:t>
            </w:r>
          </w:p>
        </w:tc>
        <w:tc>
          <w:tcPr>
            <w:tcW w:w="3119" w:type="dxa"/>
          </w:tcPr>
          <w:p>
            <w:pPr>
              <w:pStyle w:val="TableParagraph"/>
              <w:spacing w:before="44"/>
              <w:ind w:left="102"/>
              <w:rPr>
                <w:sz w:val="16"/>
              </w:rPr>
            </w:pPr>
            <w:r>
              <w:rPr>
                <w:color w:val="231F20"/>
                <w:w w:val="80"/>
                <w:sz w:val="16"/>
              </w:rPr>
              <w:t>Unidad de logística</w:t>
            </w:r>
          </w:p>
        </w:tc>
      </w:tr>
      <w:tr>
        <w:trPr>
          <w:trHeight w:val="284" w:hRule="exact"/>
        </w:trPr>
        <w:tc>
          <w:tcPr>
            <w:tcW w:w="3260" w:type="dxa"/>
          </w:tcPr>
          <w:p>
            <w:pPr>
              <w:pStyle w:val="TableParagraph"/>
              <w:spacing w:before="44"/>
              <w:ind w:left="102"/>
              <w:rPr>
                <w:sz w:val="16"/>
              </w:rPr>
            </w:pPr>
            <w:r>
              <w:rPr>
                <w:color w:val="231F20"/>
                <w:w w:val="80"/>
                <w:sz w:val="16"/>
              </w:rPr>
              <w:t>Lic. Miguel Barrón Olmos</w:t>
            </w:r>
          </w:p>
        </w:tc>
        <w:tc>
          <w:tcPr>
            <w:tcW w:w="3119" w:type="dxa"/>
          </w:tcPr>
          <w:p>
            <w:pPr>
              <w:pStyle w:val="TableParagraph"/>
              <w:spacing w:before="44"/>
              <w:ind w:left="102"/>
              <w:rPr>
                <w:sz w:val="16"/>
              </w:rPr>
            </w:pPr>
            <w:r>
              <w:rPr>
                <w:color w:val="231F20"/>
                <w:w w:val="75"/>
                <w:sz w:val="16"/>
              </w:rPr>
              <w:t>Secretario Particular</w:t>
            </w:r>
          </w:p>
        </w:tc>
      </w:tr>
      <w:tr>
        <w:trPr>
          <w:trHeight w:val="240" w:hRule="exact"/>
        </w:trPr>
        <w:tc>
          <w:tcPr>
            <w:tcW w:w="3260" w:type="dxa"/>
          </w:tcPr>
          <w:p>
            <w:pPr>
              <w:pStyle w:val="TableParagraph"/>
              <w:spacing w:before="22"/>
              <w:ind w:left="102"/>
              <w:rPr>
                <w:sz w:val="16"/>
              </w:rPr>
            </w:pPr>
            <w:r>
              <w:rPr>
                <w:color w:val="231F20"/>
                <w:w w:val="75"/>
                <w:sz w:val="16"/>
              </w:rPr>
              <w:t>Lic. Carlos Castro</w:t>
            </w:r>
          </w:p>
        </w:tc>
        <w:tc>
          <w:tcPr>
            <w:tcW w:w="3119" w:type="dxa"/>
          </w:tcPr>
          <w:p>
            <w:pPr>
              <w:pStyle w:val="TableParagraph"/>
              <w:spacing w:before="22"/>
              <w:ind w:left="102"/>
              <w:rPr>
                <w:sz w:val="16"/>
              </w:rPr>
            </w:pPr>
            <w:r>
              <w:rPr>
                <w:color w:val="231F20"/>
                <w:w w:val="80"/>
                <w:sz w:val="16"/>
              </w:rPr>
              <w:t>Jefe de Logística</w:t>
            </w:r>
          </w:p>
        </w:tc>
      </w:tr>
    </w:tbl>
    <w:p>
      <w:pPr>
        <w:pStyle w:val="BodyText"/>
        <w:rPr>
          <w:b/>
          <w:sz w:val="20"/>
        </w:rPr>
      </w:pPr>
    </w:p>
    <w:p>
      <w:pPr>
        <w:pStyle w:val="BodyText"/>
        <w:spacing w:before="6"/>
        <w:rPr>
          <w:b/>
        </w:rPr>
      </w:pPr>
    </w:p>
    <w:p>
      <w:pPr>
        <w:pStyle w:val="BodyText"/>
        <w:spacing w:line="285" w:lineRule="auto" w:before="35"/>
        <w:ind w:left="107" w:right="107"/>
        <w:jc w:val="both"/>
      </w:pPr>
      <w:r>
        <w:rPr>
          <w:color w:val="231F20"/>
          <w:w w:val="105"/>
        </w:rPr>
        <w:t>Es</w:t>
      </w:r>
      <w:r>
        <w:rPr>
          <w:color w:val="231F20"/>
          <w:spacing w:val="-4"/>
          <w:w w:val="105"/>
        </w:rPr>
        <w:t> </w:t>
      </w:r>
      <w:r>
        <w:rPr>
          <w:color w:val="231F20"/>
          <w:w w:val="105"/>
        </w:rPr>
        <w:t>de</w:t>
      </w:r>
      <w:r>
        <w:rPr>
          <w:color w:val="231F20"/>
          <w:spacing w:val="-4"/>
          <w:w w:val="105"/>
        </w:rPr>
        <w:t> </w:t>
      </w:r>
      <w:r>
        <w:rPr>
          <w:color w:val="231F20"/>
          <w:w w:val="105"/>
        </w:rPr>
        <w:t>destacar</w:t>
      </w:r>
      <w:r>
        <w:rPr>
          <w:color w:val="231F20"/>
          <w:spacing w:val="-4"/>
          <w:w w:val="105"/>
        </w:rPr>
        <w:t> </w:t>
      </w:r>
      <w:r>
        <w:rPr>
          <w:color w:val="231F20"/>
          <w:w w:val="105"/>
        </w:rPr>
        <w:t>el</w:t>
      </w:r>
      <w:r>
        <w:rPr>
          <w:color w:val="231F20"/>
          <w:spacing w:val="-4"/>
          <w:w w:val="105"/>
        </w:rPr>
        <w:t> </w:t>
      </w:r>
      <w:r>
        <w:rPr>
          <w:color w:val="231F20"/>
          <w:w w:val="105"/>
        </w:rPr>
        <w:t>cambio</w:t>
      </w:r>
      <w:r>
        <w:rPr>
          <w:color w:val="231F20"/>
          <w:spacing w:val="-4"/>
          <w:w w:val="105"/>
        </w:rPr>
        <w:t> </w:t>
      </w:r>
      <w:r>
        <w:rPr>
          <w:color w:val="231F20"/>
          <w:w w:val="105"/>
        </w:rPr>
        <w:t>del</w:t>
      </w:r>
      <w:r>
        <w:rPr>
          <w:color w:val="231F20"/>
          <w:spacing w:val="-4"/>
          <w:w w:val="105"/>
        </w:rPr>
        <w:t> </w:t>
      </w:r>
      <w:r>
        <w:rPr>
          <w:color w:val="231F20"/>
          <w:w w:val="105"/>
        </w:rPr>
        <w:t>Secretario</w:t>
      </w:r>
      <w:r>
        <w:rPr>
          <w:color w:val="231F20"/>
          <w:spacing w:val="-4"/>
          <w:w w:val="105"/>
        </w:rPr>
        <w:t> </w:t>
      </w:r>
      <w:r>
        <w:rPr>
          <w:color w:val="231F20"/>
          <w:w w:val="105"/>
        </w:rPr>
        <w:t>del</w:t>
      </w:r>
      <w:r>
        <w:rPr>
          <w:color w:val="231F20"/>
          <w:spacing w:val="-4"/>
          <w:w w:val="105"/>
        </w:rPr>
        <w:t> </w:t>
      </w:r>
      <w:r>
        <w:rPr>
          <w:color w:val="231F20"/>
          <w:w w:val="105"/>
        </w:rPr>
        <w:t>Ayuntamiento</w:t>
      </w:r>
      <w:r>
        <w:rPr>
          <w:color w:val="231F20"/>
          <w:spacing w:val="-4"/>
          <w:w w:val="105"/>
        </w:rPr>
        <w:t> </w:t>
      </w:r>
      <w:r>
        <w:rPr>
          <w:color w:val="231F20"/>
          <w:w w:val="105"/>
        </w:rPr>
        <w:t>Emigdio</w:t>
      </w:r>
      <w:r>
        <w:rPr>
          <w:color w:val="231F20"/>
          <w:spacing w:val="-4"/>
          <w:w w:val="105"/>
        </w:rPr>
        <w:t> </w:t>
      </w:r>
      <w:r>
        <w:rPr>
          <w:color w:val="231F20"/>
          <w:w w:val="105"/>
        </w:rPr>
        <w:t>Oswaldo</w:t>
      </w:r>
      <w:r>
        <w:rPr>
          <w:color w:val="231F20"/>
          <w:spacing w:val="-4"/>
          <w:w w:val="105"/>
        </w:rPr>
        <w:t> </w:t>
      </w:r>
      <w:r>
        <w:rPr>
          <w:color w:val="231F20"/>
          <w:w w:val="105"/>
        </w:rPr>
        <w:t>Sánchez (BOLETÍN </w:t>
      </w:r>
      <w:r>
        <w:rPr>
          <w:color w:val="231F20"/>
          <w:spacing w:val="-4"/>
          <w:w w:val="105"/>
        </w:rPr>
        <w:t>218, </w:t>
      </w:r>
      <w:r>
        <w:rPr>
          <w:color w:val="231F20"/>
          <w:w w:val="105"/>
        </w:rPr>
        <w:t>26 de marzo de 2008). El responsable de la Unidad de Logística no existe en el directorio</w:t>
      </w:r>
      <w:r>
        <w:rPr>
          <w:color w:val="231F20"/>
          <w:spacing w:val="-39"/>
          <w:w w:val="105"/>
        </w:rPr>
        <w:t> </w:t>
      </w:r>
      <w:r>
        <w:rPr>
          <w:color w:val="231F20"/>
          <w:w w:val="105"/>
        </w:rPr>
        <w:t>municipal.</w:t>
      </w:r>
    </w:p>
    <w:p>
      <w:pPr>
        <w:spacing w:after="0" w:line="285" w:lineRule="auto"/>
        <w:jc w:val="both"/>
        <w:sectPr>
          <w:pgSz w:w="9640" w:h="12190"/>
          <w:pgMar w:header="0" w:footer="743" w:top="1120" w:bottom="940" w:left="800" w:right="740"/>
        </w:sectPr>
      </w:pPr>
    </w:p>
    <w:p>
      <w:pPr>
        <w:pStyle w:val="Heading5"/>
        <w:spacing w:before="27"/>
        <w:ind w:left="740" w:right="-2"/>
      </w:pPr>
      <w:r>
        <w:rPr>
          <w:color w:val="231F20"/>
          <w:w w:val="105"/>
        </w:rPr>
        <w:t>Cuadro 11 Organización estructural administrativa de la presidencia</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56"/>
        <w:gridCol w:w="4871"/>
      </w:tblGrid>
      <w:tr>
        <w:trPr>
          <w:trHeight w:val="130" w:hRule="exact"/>
        </w:trPr>
        <w:tc>
          <w:tcPr>
            <w:tcW w:w="3056" w:type="dxa"/>
          </w:tcPr>
          <w:p>
            <w:pPr>
              <w:pStyle w:val="TableParagraph"/>
              <w:spacing w:line="160" w:lineRule="exact"/>
              <w:rPr>
                <w:sz w:val="16"/>
              </w:rPr>
            </w:pPr>
            <w:r>
              <w:rPr>
                <w:color w:val="231F20"/>
                <w:w w:val="80"/>
                <w:sz w:val="16"/>
              </w:rPr>
              <w:t>NOMBRE</w:t>
            </w:r>
          </w:p>
        </w:tc>
        <w:tc>
          <w:tcPr>
            <w:tcW w:w="4871" w:type="dxa"/>
          </w:tcPr>
          <w:p>
            <w:pPr>
              <w:pStyle w:val="TableParagraph"/>
              <w:spacing w:line="160" w:lineRule="exact"/>
              <w:rPr>
                <w:sz w:val="16"/>
              </w:rPr>
            </w:pPr>
            <w:r>
              <w:rPr>
                <w:color w:val="231F20"/>
                <w:w w:val="80"/>
                <w:sz w:val="16"/>
              </w:rPr>
              <w:t>CARGO</w:t>
            </w:r>
          </w:p>
        </w:tc>
      </w:tr>
      <w:tr>
        <w:trPr>
          <w:trHeight w:val="130" w:hRule="exact"/>
        </w:trPr>
        <w:tc>
          <w:tcPr>
            <w:tcW w:w="3056" w:type="dxa"/>
          </w:tcPr>
          <w:p>
            <w:pPr>
              <w:pStyle w:val="TableParagraph"/>
              <w:spacing w:line="160" w:lineRule="exact"/>
              <w:rPr>
                <w:sz w:val="16"/>
              </w:rPr>
            </w:pPr>
            <w:r>
              <w:rPr>
                <w:color w:val="231F20"/>
                <w:w w:val="80"/>
                <w:sz w:val="16"/>
              </w:rPr>
              <w:t>C. Jesús Elmo Rodríguez López</w:t>
            </w:r>
          </w:p>
        </w:tc>
        <w:tc>
          <w:tcPr>
            <w:tcW w:w="4871" w:type="dxa"/>
          </w:tcPr>
          <w:p>
            <w:pPr>
              <w:pStyle w:val="TableParagraph"/>
              <w:spacing w:line="160" w:lineRule="exact"/>
              <w:rPr>
                <w:sz w:val="16"/>
              </w:rPr>
            </w:pPr>
            <w:r>
              <w:rPr>
                <w:color w:val="231F20"/>
                <w:w w:val="75"/>
                <w:sz w:val="16"/>
              </w:rPr>
              <w:t>Tesorero Municipal</w:t>
            </w:r>
          </w:p>
        </w:tc>
      </w:tr>
      <w:tr>
        <w:trPr>
          <w:trHeight w:val="130" w:hRule="exact"/>
        </w:trPr>
        <w:tc>
          <w:tcPr>
            <w:tcW w:w="3056" w:type="dxa"/>
          </w:tcPr>
          <w:p>
            <w:pPr>
              <w:pStyle w:val="TableParagraph"/>
              <w:spacing w:line="160" w:lineRule="exact"/>
              <w:rPr>
                <w:sz w:val="16"/>
              </w:rPr>
            </w:pPr>
            <w:r>
              <w:rPr>
                <w:color w:val="231F20"/>
                <w:w w:val="75"/>
                <w:sz w:val="16"/>
              </w:rPr>
              <w:t>C. Horacio Benjamín Reyes Schiavon</w:t>
            </w:r>
          </w:p>
        </w:tc>
        <w:tc>
          <w:tcPr>
            <w:tcW w:w="4871" w:type="dxa"/>
          </w:tcPr>
          <w:p>
            <w:pPr>
              <w:pStyle w:val="TableParagraph"/>
              <w:spacing w:line="160" w:lineRule="exact"/>
              <w:rPr>
                <w:sz w:val="16"/>
              </w:rPr>
            </w:pPr>
            <w:r>
              <w:rPr>
                <w:color w:val="231F20"/>
                <w:w w:val="75"/>
                <w:sz w:val="16"/>
              </w:rPr>
              <w:t>Director de Servicios Públicos  Municipales</w:t>
            </w:r>
          </w:p>
        </w:tc>
      </w:tr>
      <w:tr>
        <w:trPr>
          <w:trHeight w:val="130" w:hRule="exact"/>
        </w:trPr>
        <w:tc>
          <w:tcPr>
            <w:tcW w:w="3056" w:type="dxa"/>
          </w:tcPr>
          <w:p>
            <w:pPr>
              <w:pStyle w:val="TableParagraph"/>
              <w:spacing w:line="160" w:lineRule="exact"/>
              <w:rPr>
                <w:sz w:val="16"/>
              </w:rPr>
            </w:pPr>
            <w:r>
              <w:rPr>
                <w:color w:val="231F20"/>
                <w:w w:val="80"/>
                <w:sz w:val="16"/>
              </w:rPr>
              <w:t>Prof. Adolfo de Jesús Ruiz Iturbe</w:t>
            </w:r>
          </w:p>
        </w:tc>
        <w:tc>
          <w:tcPr>
            <w:tcW w:w="4871" w:type="dxa"/>
          </w:tcPr>
          <w:p>
            <w:pPr>
              <w:pStyle w:val="TableParagraph"/>
              <w:spacing w:line="160" w:lineRule="exact"/>
              <w:rPr>
                <w:sz w:val="16"/>
              </w:rPr>
            </w:pPr>
            <w:r>
              <w:rPr>
                <w:color w:val="231F20"/>
                <w:w w:val="75"/>
                <w:sz w:val="16"/>
              </w:rPr>
              <w:t>Director de Desarrollo Humano  Integral</w:t>
            </w:r>
          </w:p>
        </w:tc>
      </w:tr>
      <w:tr>
        <w:trPr>
          <w:trHeight w:val="130" w:hRule="exact"/>
        </w:trPr>
        <w:tc>
          <w:tcPr>
            <w:tcW w:w="3056" w:type="dxa"/>
          </w:tcPr>
          <w:p>
            <w:pPr>
              <w:pStyle w:val="TableParagraph"/>
              <w:spacing w:line="160" w:lineRule="exact"/>
              <w:rPr>
                <w:sz w:val="16"/>
              </w:rPr>
            </w:pPr>
            <w:r>
              <w:rPr>
                <w:color w:val="231F20"/>
                <w:w w:val="75"/>
                <w:sz w:val="16"/>
              </w:rPr>
              <w:t>Ing. Fernando E. Castro Covarrubias</w:t>
            </w:r>
          </w:p>
        </w:tc>
        <w:tc>
          <w:tcPr>
            <w:tcW w:w="4871" w:type="dxa"/>
          </w:tcPr>
          <w:p>
            <w:pPr>
              <w:pStyle w:val="TableParagraph"/>
              <w:spacing w:line="160" w:lineRule="exact"/>
              <w:rPr>
                <w:sz w:val="16"/>
              </w:rPr>
            </w:pPr>
            <w:r>
              <w:rPr>
                <w:color w:val="231F20"/>
                <w:w w:val="75"/>
                <w:sz w:val="16"/>
              </w:rPr>
              <w:t>Director de Desarrollo Urbano y Obras Públicas</w:t>
            </w:r>
          </w:p>
        </w:tc>
      </w:tr>
      <w:tr>
        <w:trPr>
          <w:trHeight w:val="130" w:hRule="exact"/>
        </w:trPr>
        <w:tc>
          <w:tcPr>
            <w:tcW w:w="3056" w:type="dxa"/>
          </w:tcPr>
          <w:p>
            <w:pPr>
              <w:pStyle w:val="TableParagraph"/>
              <w:spacing w:line="160" w:lineRule="exact"/>
              <w:rPr>
                <w:sz w:val="16"/>
              </w:rPr>
            </w:pPr>
            <w:r>
              <w:rPr>
                <w:color w:val="231F20"/>
                <w:w w:val="75"/>
                <w:sz w:val="16"/>
              </w:rPr>
              <w:t>Arq. Rogelio Hernández Ojeda</w:t>
            </w:r>
          </w:p>
        </w:tc>
        <w:tc>
          <w:tcPr>
            <w:tcW w:w="4871" w:type="dxa"/>
          </w:tcPr>
          <w:p>
            <w:pPr>
              <w:pStyle w:val="TableParagraph"/>
              <w:spacing w:line="160" w:lineRule="exact"/>
              <w:rPr>
                <w:sz w:val="16"/>
              </w:rPr>
            </w:pPr>
            <w:r>
              <w:rPr>
                <w:color w:val="231F20"/>
                <w:w w:val="80"/>
                <w:sz w:val="16"/>
              </w:rPr>
              <w:t>Sub. de Obras Públicas</w:t>
            </w:r>
          </w:p>
        </w:tc>
      </w:tr>
      <w:tr>
        <w:trPr>
          <w:trHeight w:val="130" w:hRule="exact"/>
        </w:trPr>
        <w:tc>
          <w:tcPr>
            <w:tcW w:w="3056" w:type="dxa"/>
          </w:tcPr>
          <w:p>
            <w:pPr>
              <w:pStyle w:val="TableParagraph"/>
              <w:spacing w:line="160" w:lineRule="exact"/>
              <w:rPr>
                <w:sz w:val="16"/>
              </w:rPr>
            </w:pPr>
            <w:r>
              <w:rPr>
                <w:color w:val="231F20"/>
                <w:w w:val="75"/>
                <w:sz w:val="16"/>
              </w:rPr>
              <w:t>C. Abraham Marín López</w:t>
            </w:r>
          </w:p>
        </w:tc>
        <w:tc>
          <w:tcPr>
            <w:tcW w:w="4871" w:type="dxa"/>
          </w:tcPr>
          <w:p>
            <w:pPr>
              <w:pStyle w:val="TableParagraph"/>
              <w:spacing w:line="160" w:lineRule="exact"/>
              <w:rPr>
                <w:sz w:val="16"/>
              </w:rPr>
            </w:pPr>
            <w:r>
              <w:rPr>
                <w:color w:val="231F20"/>
                <w:w w:val="75"/>
                <w:sz w:val="16"/>
              </w:rPr>
              <w:t>Jefe de Adquisiciones</w:t>
            </w:r>
          </w:p>
        </w:tc>
      </w:tr>
      <w:tr>
        <w:trPr>
          <w:trHeight w:val="130" w:hRule="exact"/>
        </w:trPr>
        <w:tc>
          <w:tcPr>
            <w:tcW w:w="3056" w:type="dxa"/>
          </w:tcPr>
          <w:p>
            <w:pPr>
              <w:pStyle w:val="TableParagraph"/>
              <w:spacing w:line="160" w:lineRule="exact"/>
              <w:rPr>
                <w:sz w:val="16"/>
              </w:rPr>
            </w:pPr>
            <w:r>
              <w:rPr>
                <w:color w:val="231F20"/>
                <w:w w:val="80"/>
                <w:sz w:val="16"/>
              </w:rPr>
              <w:t>P.D.. Carlos Almazán Zapata</w:t>
            </w:r>
          </w:p>
        </w:tc>
        <w:tc>
          <w:tcPr>
            <w:tcW w:w="4871" w:type="dxa"/>
          </w:tcPr>
          <w:p>
            <w:pPr>
              <w:pStyle w:val="TableParagraph"/>
              <w:spacing w:line="160" w:lineRule="exact"/>
              <w:rPr>
                <w:sz w:val="16"/>
              </w:rPr>
            </w:pPr>
            <w:r>
              <w:rPr>
                <w:color w:val="231F20"/>
                <w:w w:val="75"/>
                <w:sz w:val="16"/>
              </w:rPr>
              <w:t>Jefe de Catastro</w:t>
            </w:r>
          </w:p>
        </w:tc>
      </w:tr>
      <w:tr>
        <w:trPr>
          <w:trHeight w:val="130" w:hRule="exact"/>
        </w:trPr>
        <w:tc>
          <w:tcPr>
            <w:tcW w:w="3056" w:type="dxa"/>
          </w:tcPr>
          <w:p>
            <w:pPr>
              <w:pStyle w:val="TableParagraph"/>
              <w:spacing w:line="160" w:lineRule="exact"/>
              <w:rPr>
                <w:sz w:val="16"/>
              </w:rPr>
            </w:pPr>
            <w:r>
              <w:rPr>
                <w:color w:val="231F20"/>
                <w:w w:val="80"/>
                <w:sz w:val="16"/>
              </w:rPr>
              <w:t>Lic. Enrique Paz Romero</w:t>
            </w:r>
          </w:p>
        </w:tc>
        <w:tc>
          <w:tcPr>
            <w:tcW w:w="4871" w:type="dxa"/>
          </w:tcPr>
          <w:p>
            <w:pPr>
              <w:pStyle w:val="TableParagraph"/>
              <w:spacing w:line="160" w:lineRule="exact"/>
              <w:rPr>
                <w:sz w:val="16"/>
              </w:rPr>
            </w:pPr>
            <w:r>
              <w:rPr>
                <w:color w:val="231F20"/>
                <w:w w:val="75"/>
                <w:sz w:val="16"/>
              </w:rPr>
              <w:t>Jefe de Recursos Humanos</w:t>
            </w:r>
          </w:p>
        </w:tc>
      </w:tr>
      <w:tr>
        <w:trPr>
          <w:trHeight w:val="130" w:hRule="exact"/>
        </w:trPr>
        <w:tc>
          <w:tcPr>
            <w:tcW w:w="3056" w:type="dxa"/>
          </w:tcPr>
          <w:p>
            <w:pPr>
              <w:pStyle w:val="TableParagraph"/>
              <w:spacing w:line="160" w:lineRule="exact"/>
              <w:rPr>
                <w:sz w:val="16"/>
              </w:rPr>
            </w:pPr>
            <w:r>
              <w:rPr>
                <w:color w:val="231F20"/>
                <w:w w:val="75"/>
                <w:sz w:val="16"/>
              </w:rPr>
              <w:t>Ing. Guillermo Hernández  Reyes</w:t>
            </w:r>
          </w:p>
        </w:tc>
        <w:tc>
          <w:tcPr>
            <w:tcW w:w="4871" w:type="dxa"/>
          </w:tcPr>
          <w:p>
            <w:pPr>
              <w:pStyle w:val="TableParagraph"/>
              <w:spacing w:line="160" w:lineRule="exact"/>
              <w:rPr>
                <w:sz w:val="16"/>
              </w:rPr>
            </w:pPr>
            <w:r>
              <w:rPr>
                <w:color w:val="231F20"/>
                <w:w w:val="80"/>
                <w:sz w:val="16"/>
              </w:rPr>
              <w:t>Jefe de Sistemas</w:t>
            </w:r>
          </w:p>
        </w:tc>
      </w:tr>
      <w:tr>
        <w:trPr>
          <w:trHeight w:val="130" w:hRule="exact"/>
        </w:trPr>
        <w:tc>
          <w:tcPr>
            <w:tcW w:w="3056" w:type="dxa"/>
          </w:tcPr>
          <w:p>
            <w:pPr>
              <w:pStyle w:val="TableParagraph"/>
              <w:spacing w:line="160" w:lineRule="exact"/>
              <w:rPr>
                <w:sz w:val="16"/>
              </w:rPr>
            </w:pPr>
            <w:r>
              <w:rPr>
                <w:color w:val="231F20"/>
                <w:w w:val="80"/>
                <w:sz w:val="16"/>
              </w:rPr>
              <w:t>C. Eder Rafael Lozano Peña</w:t>
            </w:r>
          </w:p>
        </w:tc>
        <w:tc>
          <w:tcPr>
            <w:tcW w:w="4871" w:type="dxa"/>
          </w:tcPr>
          <w:p>
            <w:pPr>
              <w:pStyle w:val="TableParagraph"/>
              <w:spacing w:line="160" w:lineRule="exact"/>
              <w:rPr>
                <w:sz w:val="16"/>
              </w:rPr>
            </w:pPr>
            <w:r>
              <w:rPr>
                <w:color w:val="231F20"/>
                <w:w w:val="80"/>
                <w:sz w:val="16"/>
              </w:rPr>
              <w:t>Jefe de IFAI</w:t>
            </w:r>
          </w:p>
        </w:tc>
      </w:tr>
      <w:tr>
        <w:trPr>
          <w:trHeight w:val="130" w:hRule="exact"/>
        </w:trPr>
        <w:tc>
          <w:tcPr>
            <w:tcW w:w="3056" w:type="dxa"/>
          </w:tcPr>
          <w:p>
            <w:pPr>
              <w:pStyle w:val="TableParagraph"/>
              <w:spacing w:line="160" w:lineRule="exact"/>
              <w:rPr>
                <w:sz w:val="16"/>
              </w:rPr>
            </w:pPr>
            <w:r>
              <w:rPr>
                <w:color w:val="231F20"/>
                <w:w w:val="80"/>
                <w:sz w:val="16"/>
              </w:rPr>
              <w:t>C. Julio Portillo Montiel</w:t>
            </w:r>
          </w:p>
        </w:tc>
        <w:tc>
          <w:tcPr>
            <w:tcW w:w="4871" w:type="dxa"/>
          </w:tcPr>
          <w:p>
            <w:pPr>
              <w:pStyle w:val="TableParagraph"/>
              <w:spacing w:line="160" w:lineRule="exact"/>
              <w:rPr>
                <w:sz w:val="16"/>
              </w:rPr>
            </w:pPr>
            <w:r>
              <w:rPr>
                <w:color w:val="231F20"/>
                <w:w w:val="75"/>
                <w:sz w:val="16"/>
              </w:rPr>
              <w:t>Jefe de Comercio</w:t>
            </w:r>
          </w:p>
        </w:tc>
      </w:tr>
      <w:tr>
        <w:trPr>
          <w:trHeight w:val="130" w:hRule="exact"/>
        </w:trPr>
        <w:tc>
          <w:tcPr>
            <w:tcW w:w="3056" w:type="dxa"/>
          </w:tcPr>
          <w:p>
            <w:pPr>
              <w:pStyle w:val="TableParagraph"/>
              <w:spacing w:line="160" w:lineRule="exact"/>
              <w:rPr>
                <w:sz w:val="16"/>
              </w:rPr>
            </w:pPr>
            <w:r>
              <w:rPr>
                <w:color w:val="231F20"/>
                <w:w w:val="75"/>
                <w:sz w:val="16"/>
              </w:rPr>
              <w:t>Lic. Guillermo Carreño Barreto</w:t>
            </w:r>
          </w:p>
        </w:tc>
        <w:tc>
          <w:tcPr>
            <w:tcW w:w="4871" w:type="dxa"/>
          </w:tcPr>
          <w:p>
            <w:pPr>
              <w:pStyle w:val="TableParagraph"/>
              <w:spacing w:line="160" w:lineRule="exact"/>
              <w:rPr>
                <w:sz w:val="16"/>
              </w:rPr>
            </w:pPr>
            <w:r>
              <w:rPr>
                <w:color w:val="231F20"/>
                <w:w w:val="75"/>
                <w:sz w:val="16"/>
              </w:rPr>
              <w:t>Jefe de Patrimonio Municipal</w:t>
            </w:r>
          </w:p>
        </w:tc>
      </w:tr>
      <w:tr>
        <w:trPr>
          <w:trHeight w:val="130" w:hRule="exact"/>
        </w:trPr>
        <w:tc>
          <w:tcPr>
            <w:tcW w:w="3056" w:type="dxa"/>
          </w:tcPr>
          <w:p>
            <w:pPr>
              <w:pStyle w:val="TableParagraph"/>
              <w:spacing w:line="160" w:lineRule="exact"/>
              <w:rPr>
                <w:sz w:val="16"/>
              </w:rPr>
            </w:pPr>
            <w:r>
              <w:rPr>
                <w:color w:val="231F20"/>
                <w:w w:val="75"/>
                <w:sz w:val="16"/>
              </w:rPr>
              <w:t>C. Enrique Trejo Hernández</w:t>
            </w:r>
          </w:p>
        </w:tc>
        <w:tc>
          <w:tcPr>
            <w:tcW w:w="4871" w:type="dxa"/>
          </w:tcPr>
          <w:p>
            <w:pPr>
              <w:pStyle w:val="TableParagraph"/>
              <w:spacing w:line="160" w:lineRule="exact"/>
              <w:rPr>
                <w:sz w:val="16"/>
              </w:rPr>
            </w:pPr>
            <w:r>
              <w:rPr>
                <w:color w:val="231F20"/>
                <w:w w:val="75"/>
                <w:sz w:val="16"/>
              </w:rPr>
              <w:t>Encargado del despacho de  Ingresos</w:t>
            </w:r>
          </w:p>
        </w:tc>
      </w:tr>
      <w:tr>
        <w:trPr>
          <w:trHeight w:val="130" w:hRule="exact"/>
        </w:trPr>
        <w:tc>
          <w:tcPr>
            <w:tcW w:w="3056" w:type="dxa"/>
          </w:tcPr>
          <w:p>
            <w:pPr>
              <w:pStyle w:val="TableParagraph"/>
              <w:spacing w:line="160" w:lineRule="exact"/>
              <w:rPr>
                <w:sz w:val="16"/>
              </w:rPr>
            </w:pPr>
            <w:r>
              <w:rPr>
                <w:color w:val="231F20"/>
                <w:w w:val="75"/>
                <w:sz w:val="16"/>
              </w:rPr>
              <w:t>C. Ernesto Olguín</w:t>
            </w:r>
          </w:p>
        </w:tc>
        <w:tc>
          <w:tcPr>
            <w:tcW w:w="4871" w:type="dxa"/>
          </w:tcPr>
          <w:p>
            <w:pPr>
              <w:pStyle w:val="TableParagraph"/>
              <w:spacing w:line="160" w:lineRule="exact"/>
              <w:rPr>
                <w:sz w:val="16"/>
              </w:rPr>
            </w:pPr>
            <w:r>
              <w:rPr>
                <w:color w:val="231F20"/>
                <w:w w:val="75"/>
                <w:sz w:val="16"/>
              </w:rPr>
              <w:t>Jefe de Servicios Generales</w:t>
            </w:r>
          </w:p>
        </w:tc>
      </w:tr>
      <w:tr>
        <w:trPr>
          <w:trHeight w:val="130" w:hRule="exact"/>
        </w:trPr>
        <w:tc>
          <w:tcPr>
            <w:tcW w:w="3056" w:type="dxa"/>
          </w:tcPr>
          <w:p>
            <w:pPr>
              <w:pStyle w:val="TableParagraph"/>
              <w:spacing w:line="160" w:lineRule="exact"/>
              <w:rPr>
                <w:sz w:val="16"/>
              </w:rPr>
            </w:pPr>
            <w:r>
              <w:rPr>
                <w:color w:val="231F20"/>
                <w:w w:val="75"/>
                <w:sz w:val="16"/>
              </w:rPr>
              <w:t>C. Vicente Ramírez Robles</w:t>
            </w:r>
          </w:p>
        </w:tc>
        <w:tc>
          <w:tcPr>
            <w:tcW w:w="4871" w:type="dxa"/>
          </w:tcPr>
          <w:p>
            <w:pPr>
              <w:pStyle w:val="TableParagraph"/>
              <w:spacing w:line="160" w:lineRule="exact"/>
              <w:rPr>
                <w:sz w:val="16"/>
              </w:rPr>
            </w:pPr>
            <w:r>
              <w:rPr>
                <w:color w:val="231F20"/>
                <w:w w:val="75"/>
                <w:sz w:val="16"/>
              </w:rPr>
              <w:t>Jefe de Parque Vehicular</w:t>
            </w:r>
          </w:p>
        </w:tc>
      </w:tr>
      <w:tr>
        <w:trPr>
          <w:trHeight w:val="130" w:hRule="exact"/>
        </w:trPr>
        <w:tc>
          <w:tcPr>
            <w:tcW w:w="3056" w:type="dxa"/>
          </w:tcPr>
          <w:p>
            <w:pPr>
              <w:pStyle w:val="TableParagraph"/>
              <w:spacing w:line="160" w:lineRule="exact"/>
              <w:rPr>
                <w:sz w:val="16"/>
              </w:rPr>
            </w:pPr>
            <w:r>
              <w:rPr>
                <w:color w:val="231F20"/>
                <w:w w:val="80"/>
                <w:sz w:val="16"/>
              </w:rPr>
              <w:t>C. Pedro Juan Reyes</w:t>
            </w:r>
          </w:p>
        </w:tc>
        <w:tc>
          <w:tcPr>
            <w:tcW w:w="4871" w:type="dxa"/>
          </w:tcPr>
          <w:p>
            <w:pPr>
              <w:pStyle w:val="TableParagraph"/>
              <w:spacing w:line="160" w:lineRule="exact"/>
              <w:rPr>
                <w:sz w:val="16"/>
              </w:rPr>
            </w:pPr>
            <w:r>
              <w:rPr>
                <w:color w:val="231F20"/>
                <w:w w:val="80"/>
                <w:sz w:val="16"/>
              </w:rPr>
              <w:t>Jefe de Limpia</w:t>
            </w:r>
          </w:p>
        </w:tc>
      </w:tr>
      <w:tr>
        <w:trPr>
          <w:trHeight w:val="130" w:hRule="exact"/>
        </w:trPr>
        <w:tc>
          <w:tcPr>
            <w:tcW w:w="3056" w:type="dxa"/>
          </w:tcPr>
          <w:p>
            <w:pPr>
              <w:pStyle w:val="TableParagraph"/>
              <w:spacing w:line="160" w:lineRule="exact"/>
              <w:rPr>
                <w:sz w:val="16"/>
              </w:rPr>
            </w:pPr>
            <w:r>
              <w:rPr>
                <w:color w:val="231F20"/>
                <w:w w:val="80"/>
                <w:sz w:val="16"/>
              </w:rPr>
              <w:t>C. Hugo Martínez Salas</w:t>
            </w:r>
          </w:p>
        </w:tc>
        <w:tc>
          <w:tcPr>
            <w:tcW w:w="4871" w:type="dxa"/>
          </w:tcPr>
          <w:p>
            <w:pPr>
              <w:pStyle w:val="TableParagraph"/>
              <w:spacing w:line="160" w:lineRule="exact"/>
              <w:rPr>
                <w:sz w:val="16"/>
              </w:rPr>
            </w:pPr>
            <w:r>
              <w:rPr>
                <w:color w:val="231F20"/>
                <w:w w:val="80"/>
                <w:sz w:val="16"/>
              </w:rPr>
              <w:t>Jefe de Parques, Jardines y Control Canino</w:t>
            </w:r>
          </w:p>
        </w:tc>
      </w:tr>
      <w:tr>
        <w:trPr>
          <w:trHeight w:val="130" w:hRule="exact"/>
        </w:trPr>
        <w:tc>
          <w:tcPr>
            <w:tcW w:w="3056" w:type="dxa"/>
          </w:tcPr>
          <w:p>
            <w:pPr>
              <w:pStyle w:val="TableParagraph"/>
              <w:spacing w:line="160" w:lineRule="exact"/>
              <w:rPr>
                <w:sz w:val="16"/>
              </w:rPr>
            </w:pPr>
            <w:r>
              <w:rPr>
                <w:color w:val="231F20"/>
                <w:w w:val="75"/>
                <w:sz w:val="16"/>
              </w:rPr>
              <w:t>C. Martín Blanco</w:t>
            </w:r>
          </w:p>
        </w:tc>
        <w:tc>
          <w:tcPr>
            <w:tcW w:w="4871" w:type="dxa"/>
          </w:tcPr>
          <w:p>
            <w:pPr>
              <w:pStyle w:val="TableParagraph"/>
              <w:spacing w:line="160" w:lineRule="exact"/>
              <w:rPr>
                <w:sz w:val="16"/>
              </w:rPr>
            </w:pPr>
            <w:r>
              <w:rPr>
                <w:color w:val="231F20"/>
                <w:w w:val="75"/>
                <w:sz w:val="16"/>
              </w:rPr>
              <w:t>Jefe de Panteones</w:t>
            </w:r>
          </w:p>
        </w:tc>
      </w:tr>
      <w:tr>
        <w:trPr>
          <w:trHeight w:val="130" w:hRule="exact"/>
        </w:trPr>
        <w:tc>
          <w:tcPr>
            <w:tcW w:w="3056" w:type="dxa"/>
          </w:tcPr>
          <w:p>
            <w:pPr>
              <w:pStyle w:val="TableParagraph"/>
              <w:spacing w:line="160" w:lineRule="exact"/>
              <w:rPr>
                <w:sz w:val="16"/>
              </w:rPr>
            </w:pPr>
            <w:r>
              <w:rPr>
                <w:color w:val="231F20"/>
                <w:w w:val="75"/>
                <w:sz w:val="16"/>
              </w:rPr>
              <w:t>C. Francisco Torres Torres</w:t>
            </w:r>
          </w:p>
        </w:tc>
        <w:tc>
          <w:tcPr>
            <w:tcW w:w="4871" w:type="dxa"/>
          </w:tcPr>
          <w:p>
            <w:pPr>
              <w:pStyle w:val="TableParagraph"/>
              <w:spacing w:line="160" w:lineRule="exact"/>
              <w:rPr>
                <w:sz w:val="16"/>
              </w:rPr>
            </w:pPr>
            <w:r>
              <w:rPr>
                <w:color w:val="231F20"/>
                <w:w w:val="75"/>
                <w:sz w:val="16"/>
              </w:rPr>
              <w:t>Jefe de Alumbrado Público</w:t>
            </w:r>
          </w:p>
        </w:tc>
      </w:tr>
      <w:tr>
        <w:trPr>
          <w:trHeight w:val="130" w:hRule="exact"/>
        </w:trPr>
        <w:tc>
          <w:tcPr>
            <w:tcW w:w="3056" w:type="dxa"/>
          </w:tcPr>
          <w:p>
            <w:pPr>
              <w:pStyle w:val="TableParagraph"/>
              <w:spacing w:line="160" w:lineRule="exact"/>
              <w:rPr>
                <w:sz w:val="16"/>
              </w:rPr>
            </w:pPr>
            <w:r>
              <w:rPr>
                <w:color w:val="231F20"/>
                <w:w w:val="80"/>
                <w:sz w:val="16"/>
              </w:rPr>
              <w:t>C. Jorge Ávila Hernández</w:t>
            </w:r>
          </w:p>
        </w:tc>
        <w:tc>
          <w:tcPr>
            <w:tcW w:w="4871" w:type="dxa"/>
          </w:tcPr>
          <w:p>
            <w:pPr>
              <w:pStyle w:val="TableParagraph"/>
              <w:spacing w:line="160" w:lineRule="exact"/>
              <w:rPr>
                <w:sz w:val="16"/>
              </w:rPr>
            </w:pPr>
            <w:r>
              <w:rPr>
                <w:color w:val="231F20"/>
                <w:w w:val="75"/>
                <w:sz w:val="16"/>
              </w:rPr>
              <w:t>Jefe de Almacén</w:t>
            </w:r>
          </w:p>
        </w:tc>
      </w:tr>
      <w:tr>
        <w:trPr>
          <w:trHeight w:val="130" w:hRule="exact"/>
        </w:trPr>
        <w:tc>
          <w:tcPr>
            <w:tcW w:w="3056" w:type="dxa"/>
          </w:tcPr>
          <w:p>
            <w:pPr>
              <w:pStyle w:val="TableParagraph"/>
              <w:spacing w:line="160" w:lineRule="exact"/>
              <w:rPr>
                <w:sz w:val="16"/>
              </w:rPr>
            </w:pPr>
            <w:r>
              <w:rPr>
                <w:color w:val="231F20"/>
                <w:w w:val="75"/>
                <w:sz w:val="16"/>
              </w:rPr>
              <w:t>Arq. Víctor Manuel Castro Hernández</w:t>
            </w:r>
          </w:p>
        </w:tc>
        <w:tc>
          <w:tcPr>
            <w:tcW w:w="4871" w:type="dxa"/>
          </w:tcPr>
          <w:p>
            <w:pPr>
              <w:pStyle w:val="TableParagraph"/>
              <w:spacing w:line="160" w:lineRule="exact"/>
              <w:rPr>
                <w:sz w:val="16"/>
              </w:rPr>
            </w:pPr>
            <w:r>
              <w:rPr>
                <w:color w:val="231F20"/>
                <w:w w:val="75"/>
                <w:sz w:val="16"/>
              </w:rPr>
              <w:t>Coordinador general de  Supervisión</w:t>
            </w:r>
          </w:p>
        </w:tc>
      </w:tr>
      <w:tr>
        <w:trPr>
          <w:trHeight w:val="130" w:hRule="exact"/>
        </w:trPr>
        <w:tc>
          <w:tcPr>
            <w:tcW w:w="3056" w:type="dxa"/>
          </w:tcPr>
          <w:p>
            <w:pPr>
              <w:pStyle w:val="TableParagraph"/>
              <w:spacing w:line="160" w:lineRule="exact"/>
              <w:rPr>
                <w:sz w:val="16"/>
              </w:rPr>
            </w:pPr>
            <w:r>
              <w:rPr>
                <w:color w:val="231F20"/>
                <w:w w:val="80"/>
                <w:sz w:val="16"/>
              </w:rPr>
              <w:t>C. León Peza Achaval</w:t>
            </w:r>
          </w:p>
        </w:tc>
        <w:tc>
          <w:tcPr>
            <w:tcW w:w="4871" w:type="dxa"/>
          </w:tcPr>
          <w:p>
            <w:pPr>
              <w:pStyle w:val="TableParagraph"/>
              <w:spacing w:line="160" w:lineRule="exact"/>
              <w:rPr>
                <w:sz w:val="16"/>
              </w:rPr>
            </w:pPr>
            <w:r>
              <w:rPr>
                <w:color w:val="231F20"/>
                <w:w w:val="80"/>
                <w:sz w:val="16"/>
              </w:rPr>
              <w:t>Jefe de programa de becas</w:t>
            </w:r>
          </w:p>
        </w:tc>
      </w:tr>
      <w:tr>
        <w:trPr>
          <w:trHeight w:val="130" w:hRule="exact"/>
        </w:trPr>
        <w:tc>
          <w:tcPr>
            <w:tcW w:w="3056" w:type="dxa"/>
          </w:tcPr>
          <w:p>
            <w:pPr>
              <w:pStyle w:val="TableParagraph"/>
              <w:spacing w:line="160" w:lineRule="exact"/>
              <w:rPr>
                <w:sz w:val="16"/>
              </w:rPr>
            </w:pPr>
            <w:r>
              <w:rPr>
                <w:color w:val="231F20"/>
                <w:w w:val="75"/>
                <w:sz w:val="16"/>
              </w:rPr>
              <w:t>C. Severiano Padilla Fabela</w:t>
            </w:r>
          </w:p>
        </w:tc>
        <w:tc>
          <w:tcPr>
            <w:tcW w:w="4871" w:type="dxa"/>
          </w:tcPr>
          <w:p>
            <w:pPr>
              <w:pStyle w:val="TableParagraph"/>
              <w:spacing w:line="160" w:lineRule="exact"/>
              <w:rPr>
                <w:sz w:val="16"/>
              </w:rPr>
            </w:pPr>
            <w:r>
              <w:rPr>
                <w:color w:val="231F20"/>
                <w:w w:val="75"/>
                <w:sz w:val="16"/>
              </w:rPr>
              <w:t>Encargado del suministro de  combustible</w:t>
            </w:r>
          </w:p>
        </w:tc>
      </w:tr>
      <w:tr>
        <w:trPr>
          <w:trHeight w:val="130" w:hRule="exact"/>
        </w:trPr>
        <w:tc>
          <w:tcPr>
            <w:tcW w:w="3056" w:type="dxa"/>
          </w:tcPr>
          <w:p>
            <w:pPr>
              <w:pStyle w:val="TableParagraph"/>
              <w:spacing w:line="160" w:lineRule="exact"/>
              <w:rPr>
                <w:sz w:val="16"/>
              </w:rPr>
            </w:pPr>
            <w:r>
              <w:rPr>
                <w:color w:val="231F20"/>
                <w:w w:val="75"/>
                <w:sz w:val="16"/>
              </w:rPr>
              <w:t>Lic. Edith Chávez Montes</w:t>
            </w:r>
          </w:p>
        </w:tc>
        <w:tc>
          <w:tcPr>
            <w:tcW w:w="4871" w:type="dxa"/>
          </w:tcPr>
          <w:p>
            <w:pPr>
              <w:pStyle w:val="TableParagraph"/>
              <w:spacing w:line="160" w:lineRule="exact"/>
              <w:rPr>
                <w:sz w:val="16"/>
              </w:rPr>
            </w:pPr>
            <w:r>
              <w:rPr>
                <w:color w:val="231F20"/>
                <w:w w:val="75"/>
                <w:sz w:val="16"/>
              </w:rPr>
              <w:t>Encargada del Archivo y  correspondencia</w:t>
            </w:r>
          </w:p>
        </w:tc>
      </w:tr>
      <w:tr>
        <w:trPr>
          <w:trHeight w:val="130" w:hRule="exact"/>
        </w:trPr>
        <w:tc>
          <w:tcPr>
            <w:tcW w:w="3056" w:type="dxa"/>
          </w:tcPr>
          <w:p>
            <w:pPr>
              <w:pStyle w:val="TableParagraph"/>
              <w:spacing w:line="160" w:lineRule="exact"/>
              <w:rPr>
                <w:sz w:val="16"/>
              </w:rPr>
            </w:pPr>
            <w:r>
              <w:rPr>
                <w:color w:val="231F20"/>
                <w:w w:val="80"/>
                <w:sz w:val="16"/>
              </w:rPr>
              <w:t>C. Martha Espinoza Solís</w:t>
            </w:r>
          </w:p>
        </w:tc>
        <w:tc>
          <w:tcPr>
            <w:tcW w:w="4871" w:type="dxa"/>
          </w:tcPr>
          <w:p>
            <w:pPr>
              <w:pStyle w:val="TableParagraph"/>
              <w:spacing w:line="160" w:lineRule="exact"/>
              <w:rPr>
                <w:sz w:val="16"/>
              </w:rPr>
            </w:pPr>
            <w:r>
              <w:rPr>
                <w:color w:val="231F20"/>
                <w:w w:val="80"/>
                <w:sz w:val="16"/>
              </w:rPr>
              <w:t>Encargada de Atención Ciudadana y Oficialía de partes</w:t>
            </w:r>
          </w:p>
        </w:tc>
      </w:tr>
      <w:tr>
        <w:trPr>
          <w:trHeight w:val="130" w:hRule="exact"/>
        </w:trPr>
        <w:tc>
          <w:tcPr>
            <w:tcW w:w="3056" w:type="dxa"/>
          </w:tcPr>
          <w:p>
            <w:pPr>
              <w:pStyle w:val="TableParagraph"/>
              <w:spacing w:line="160" w:lineRule="exact"/>
              <w:rPr>
                <w:sz w:val="16"/>
              </w:rPr>
            </w:pPr>
            <w:r>
              <w:rPr>
                <w:color w:val="231F20"/>
                <w:w w:val="80"/>
                <w:sz w:val="16"/>
              </w:rPr>
              <w:t>Lic. Edmundo O. Castro Cid del Prado</w:t>
            </w:r>
          </w:p>
        </w:tc>
        <w:tc>
          <w:tcPr>
            <w:tcW w:w="4871" w:type="dxa"/>
          </w:tcPr>
          <w:p>
            <w:pPr>
              <w:pStyle w:val="TableParagraph"/>
              <w:spacing w:line="160" w:lineRule="exact"/>
              <w:rPr>
                <w:sz w:val="16"/>
              </w:rPr>
            </w:pPr>
            <w:r>
              <w:rPr>
                <w:color w:val="231F20"/>
                <w:w w:val="75"/>
                <w:sz w:val="16"/>
              </w:rPr>
              <w:t>Director de Desarrollo Económico</w:t>
            </w:r>
          </w:p>
        </w:tc>
      </w:tr>
      <w:tr>
        <w:trPr>
          <w:trHeight w:val="130" w:hRule="exact"/>
        </w:trPr>
        <w:tc>
          <w:tcPr>
            <w:tcW w:w="3056" w:type="dxa"/>
          </w:tcPr>
          <w:p>
            <w:pPr>
              <w:pStyle w:val="TableParagraph"/>
              <w:spacing w:line="160" w:lineRule="exact"/>
              <w:rPr>
                <w:sz w:val="16"/>
              </w:rPr>
            </w:pPr>
            <w:r>
              <w:rPr>
                <w:color w:val="231F20"/>
                <w:w w:val="75"/>
                <w:sz w:val="16"/>
              </w:rPr>
              <w:t>C. Melitón Almazán Martínez</w:t>
            </w:r>
          </w:p>
        </w:tc>
        <w:tc>
          <w:tcPr>
            <w:tcW w:w="4871" w:type="dxa"/>
          </w:tcPr>
          <w:p>
            <w:pPr>
              <w:pStyle w:val="TableParagraph"/>
              <w:spacing w:line="160" w:lineRule="exact"/>
              <w:rPr>
                <w:sz w:val="16"/>
              </w:rPr>
            </w:pPr>
            <w:r>
              <w:rPr>
                <w:color w:val="231F20"/>
                <w:w w:val="80"/>
                <w:sz w:val="16"/>
              </w:rPr>
              <w:t>Jefe de Bolsa de Trabajo</w:t>
            </w:r>
          </w:p>
        </w:tc>
      </w:tr>
      <w:tr>
        <w:trPr>
          <w:trHeight w:val="130" w:hRule="exact"/>
        </w:trPr>
        <w:tc>
          <w:tcPr>
            <w:tcW w:w="3056" w:type="dxa"/>
          </w:tcPr>
          <w:p>
            <w:pPr>
              <w:pStyle w:val="TableParagraph"/>
              <w:spacing w:line="160" w:lineRule="exact"/>
              <w:rPr>
                <w:sz w:val="16"/>
              </w:rPr>
            </w:pPr>
            <w:r>
              <w:rPr>
                <w:color w:val="231F20"/>
                <w:w w:val="75"/>
                <w:sz w:val="16"/>
              </w:rPr>
              <w:t>MVZ. Aimeé Zavala</w:t>
            </w:r>
          </w:p>
        </w:tc>
        <w:tc>
          <w:tcPr>
            <w:tcW w:w="4871" w:type="dxa"/>
          </w:tcPr>
          <w:p>
            <w:pPr>
              <w:pStyle w:val="TableParagraph"/>
              <w:spacing w:line="160" w:lineRule="exact"/>
              <w:rPr>
                <w:sz w:val="16"/>
              </w:rPr>
            </w:pPr>
            <w:r>
              <w:rPr>
                <w:color w:val="231F20"/>
                <w:w w:val="75"/>
                <w:sz w:val="16"/>
              </w:rPr>
              <w:t>Jefe de Fomento Agropecuario</w:t>
            </w:r>
          </w:p>
        </w:tc>
      </w:tr>
      <w:tr>
        <w:trPr>
          <w:trHeight w:val="130" w:hRule="exact"/>
        </w:trPr>
        <w:tc>
          <w:tcPr>
            <w:tcW w:w="3056" w:type="dxa"/>
          </w:tcPr>
          <w:p>
            <w:pPr>
              <w:pStyle w:val="TableParagraph"/>
              <w:spacing w:line="160" w:lineRule="exact"/>
              <w:rPr>
                <w:sz w:val="16"/>
              </w:rPr>
            </w:pPr>
            <w:r>
              <w:rPr>
                <w:color w:val="231F20"/>
                <w:w w:val="75"/>
                <w:sz w:val="16"/>
              </w:rPr>
              <w:t>C. Guadalupe González  Sánchez</w:t>
            </w:r>
          </w:p>
        </w:tc>
        <w:tc>
          <w:tcPr>
            <w:tcW w:w="4871" w:type="dxa"/>
          </w:tcPr>
          <w:p>
            <w:pPr>
              <w:pStyle w:val="TableParagraph"/>
              <w:spacing w:line="160" w:lineRule="exact"/>
              <w:rPr>
                <w:sz w:val="16"/>
              </w:rPr>
            </w:pPr>
            <w:r>
              <w:rPr>
                <w:color w:val="231F20"/>
                <w:w w:val="75"/>
                <w:sz w:val="16"/>
              </w:rPr>
              <w:t>Jefe de Turismo</w:t>
            </w:r>
          </w:p>
        </w:tc>
      </w:tr>
      <w:tr>
        <w:trPr>
          <w:trHeight w:val="130" w:hRule="exact"/>
        </w:trPr>
        <w:tc>
          <w:tcPr>
            <w:tcW w:w="3056" w:type="dxa"/>
          </w:tcPr>
          <w:p>
            <w:pPr>
              <w:pStyle w:val="TableParagraph"/>
              <w:spacing w:line="160" w:lineRule="exact"/>
              <w:rPr>
                <w:sz w:val="16"/>
              </w:rPr>
            </w:pPr>
            <w:r>
              <w:rPr>
                <w:color w:val="231F20"/>
                <w:w w:val="75"/>
                <w:sz w:val="16"/>
              </w:rPr>
              <w:t>Dr. Rodolfo Sixto Contreras</w:t>
            </w:r>
          </w:p>
        </w:tc>
        <w:tc>
          <w:tcPr>
            <w:tcW w:w="4871" w:type="dxa"/>
          </w:tcPr>
          <w:p>
            <w:pPr>
              <w:pStyle w:val="TableParagraph"/>
              <w:spacing w:line="160" w:lineRule="exact"/>
              <w:rPr>
                <w:sz w:val="16"/>
              </w:rPr>
            </w:pPr>
            <w:r>
              <w:rPr>
                <w:color w:val="231F20"/>
                <w:w w:val="80"/>
                <w:sz w:val="16"/>
              </w:rPr>
              <w:t>Jefe de Protección Civil</w:t>
            </w:r>
          </w:p>
        </w:tc>
      </w:tr>
      <w:tr>
        <w:trPr>
          <w:trHeight w:val="130" w:hRule="exact"/>
        </w:trPr>
        <w:tc>
          <w:tcPr>
            <w:tcW w:w="3056" w:type="dxa"/>
          </w:tcPr>
          <w:p>
            <w:pPr>
              <w:pStyle w:val="TableParagraph"/>
              <w:spacing w:line="160" w:lineRule="exact"/>
              <w:rPr>
                <w:sz w:val="16"/>
              </w:rPr>
            </w:pPr>
            <w:r>
              <w:rPr>
                <w:color w:val="231F20"/>
                <w:w w:val="75"/>
                <w:sz w:val="16"/>
              </w:rPr>
              <w:t>Cmdte. Adán Olascoaga Flores</w:t>
            </w:r>
          </w:p>
        </w:tc>
        <w:tc>
          <w:tcPr>
            <w:tcW w:w="4871" w:type="dxa"/>
          </w:tcPr>
          <w:p>
            <w:pPr>
              <w:pStyle w:val="TableParagraph"/>
              <w:spacing w:line="160" w:lineRule="exact"/>
              <w:rPr>
                <w:sz w:val="16"/>
              </w:rPr>
            </w:pPr>
            <w:r>
              <w:rPr>
                <w:color w:val="231F20"/>
                <w:w w:val="75"/>
                <w:sz w:val="16"/>
              </w:rPr>
              <w:t>Director de Seguridad Pública, Tránsito Municipal, Protección Civil y  Bomberos</w:t>
            </w:r>
          </w:p>
        </w:tc>
      </w:tr>
      <w:tr>
        <w:trPr>
          <w:trHeight w:val="130" w:hRule="exact"/>
        </w:trPr>
        <w:tc>
          <w:tcPr>
            <w:tcW w:w="3056" w:type="dxa"/>
          </w:tcPr>
          <w:p>
            <w:pPr>
              <w:pStyle w:val="TableParagraph"/>
              <w:spacing w:line="160" w:lineRule="exact"/>
              <w:rPr>
                <w:sz w:val="16"/>
              </w:rPr>
            </w:pPr>
            <w:r>
              <w:rPr>
                <w:color w:val="231F20"/>
                <w:w w:val="75"/>
                <w:sz w:val="16"/>
              </w:rPr>
              <w:t>C. José Manuel Mariscal Torres</w:t>
            </w:r>
          </w:p>
        </w:tc>
        <w:tc>
          <w:tcPr>
            <w:tcW w:w="4871" w:type="dxa"/>
          </w:tcPr>
          <w:p>
            <w:pPr>
              <w:pStyle w:val="TableParagraph"/>
              <w:spacing w:line="160" w:lineRule="exact"/>
              <w:rPr>
                <w:sz w:val="16"/>
              </w:rPr>
            </w:pPr>
            <w:r>
              <w:rPr>
                <w:color w:val="231F20"/>
                <w:w w:val="80"/>
                <w:sz w:val="16"/>
              </w:rPr>
              <w:t>Jefe de Gobierno y Asuntos Políticos</w:t>
            </w:r>
          </w:p>
        </w:tc>
      </w:tr>
      <w:tr>
        <w:trPr>
          <w:trHeight w:val="130" w:hRule="exact"/>
        </w:trPr>
        <w:tc>
          <w:tcPr>
            <w:tcW w:w="3056" w:type="dxa"/>
          </w:tcPr>
          <w:p>
            <w:pPr>
              <w:pStyle w:val="TableParagraph"/>
              <w:spacing w:line="160" w:lineRule="exact"/>
              <w:rPr>
                <w:sz w:val="16"/>
              </w:rPr>
            </w:pPr>
            <w:r>
              <w:rPr>
                <w:color w:val="231F20"/>
                <w:w w:val="80"/>
                <w:sz w:val="16"/>
              </w:rPr>
              <w:t>Lic. Juan Herminio Sánchez Morlán</w:t>
            </w:r>
          </w:p>
        </w:tc>
        <w:tc>
          <w:tcPr>
            <w:tcW w:w="4871" w:type="dxa"/>
          </w:tcPr>
          <w:p>
            <w:pPr>
              <w:pStyle w:val="TableParagraph"/>
              <w:spacing w:line="160" w:lineRule="exact"/>
              <w:rPr>
                <w:sz w:val="16"/>
              </w:rPr>
            </w:pPr>
            <w:r>
              <w:rPr>
                <w:color w:val="231F20"/>
                <w:w w:val="75"/>
                <w:sz w:val="16"/>
              </w:rPr>
              <w:t>Juez Conciliador</w:t>
            </w:r>
          </w:p>
        </w:tc>
      </w:tr>
      <w:tr>
        <w:trPr>
          <w:trHeight w:val="130" w:hRule="exact"/>
        </w:trPr>
        <w:tc>
          <w:tcPr>
            <w:tcW w:w="3056" w:type="dxa"/>
          </w:tcPr>
          <w:p>
            <w:pPr>
              <w:pStyle w:val="TableParagraph"/>
              <w:spacing w:line="160" w:lineRule="exact"/>
              <w:rPr>
                <w:sz w:val="16"/>
              </w:rPr>
            </w:pPr>
            <w:r>
              <w:rPr>
                <w:color w:val="231F20"/>
                <w:w w:val="75"/>
                <w:sz w:val="16"/>
              </w:rPr>
              <w:t>Lic. Ma. del Rocío Fragoso Torres</w:t>
            </w:r>
          </w:p>
        </w:tc>
        <w:tc>
          <w:tcPr>
            <w:tcW w:w="4871" w:type="dxa"/>
          </w:tcPr>
          <w:p>
            <w:pPr>
              <w:pStyle w:val="TableParagraph"/>
              <w:spacing w:line="160" w:lineRule="exact"/>
              <w:rPr>
                <w:sz w:val="16"/>
              </w:rPr>
            </w:pPr>
            <w:r>
              <w:rPr>
                <w:color w:val="231F20"/>
                <w:w w:val="75"/>
                <w:sz w:val="16"/>
              </w:rPr>
              <w:t>Directora de Derechos Humanos</w:t>
            </w:r>
          </w:p>
        </w:tc>
      </w:tr>
      <w:tr>
        <w:trPr>
          <w:trHeight w:val="130" w:hRule="exact"/>
        </w:trPr>
        <w:tc>
          <w:tcPr>
            <w:tcW w:w="3056" w:type="dxa"/>
          </w:tcPr>
          <w:p>
            <w:pPr>
              <w:pStyle w:val="TableParagraph"/>
              <w:spacing w:line="160" w:lineRule="exact"/>
              <w:rPr>
                <w:sz w:val="16"/>
              </w:rPr>
            </w:pPr>
            <w:r>
              <w:rPr>
                <w:color w:val="231F20"/>
                <w:w w:val="80"/>
                <w:sz w:val="16"/>
              </w:rPr>
              <w:t>C. Miguel Ángel Ortega Ríos</w:t>
            </w:r>
          </w:p>
        </w:tc>
        <w:tc>
          <w:tcPr>
            <w:tcW w:w="4871" w:type="dxa"/>
          </w:tcPr>
          <w:p>
            <w:pPr>
              <w:pStyle w:val="TableParagraph"/>
              <w:spacing w:line="160" w:lineRule="exact"/>
              <w:rPr>
                <w:sz w:val="16"/>
              </w:rPr>
            </w:pPr>
            <w:r>
              <w:rPr>
                <w:color w:val="231F20"/>
                <w:w w:val="75"/>
                <w:sz w:val="16"/>
              </w:rPr>
              <w:t>Director de Agua Potable</w:t>
            </w:r>
          </w:p>
        </w:tc>
      </w:tr>
      <w:tr>
        <w:trPr>
          <w:trHeight w:val="130" w:hRule="exact"/>
        </w:trPr>
        <w:tc>
          <w:tcPr>
            <w:tcW w:w="3056" w:type="dxa"/>
          </w:tcPr>
          <w:p>
            <w:pPr>
              <w:pStyle w:val="TableParagraph"/>
              <w:spacing w:line="160" w:lineRule="exact"/>
              <w:rPr>
                <w:sz w:val="16"/>
              </w:rPr>
            </w:pPr>
            <w:r>
              <w:rPr>
                <w:color w:val="231F20"/>
                <w:w w:val="75"/>
                <w:sz w:val="16"/>
              </w:rPr>
              <w:t>C. Griselda Villalobos García</w:t>
            </w:r>
          </w:p>
        </w:tc>
        <w:tc>
          <w:tcPr>
            <w:tcW w:w="4871" w:type="dxa"/>
          </w:tcPr>
          <w:p>
            <w:pPr>
              <w:pStyle w:val="TableParagraph"/>
              <w:spacing w:line="160" w:lineRule="exact"/>
              <w:rPr>
                <w:sz w:val="16"/>
              </w:rPr>
            </w:pPr>
            <w:r>
              <w:rPr>
                <w:color w:val="231F20"/>
                <w:w w:val="75"/>
                <w:sz w:val="16"/>
              </w:rPr>
              <w:t>Coordinadora de Bibliotecas</w:t>
            </w:r>
          </w:p>
        </w:tc>
      </w:tr>
      <w:tr>
        <w:trPr>
          <w:trHeight w:val="130" w:hRule="exact"/>
        </w:trPr>
        <w:tc>
          <w:tcPr>
            <w:tcW w:w="3056" w:type="dxa"/>
          </w:tcPr>
          <w:p>
            <w:pPr>
              <w:pStyle w:val="TableParagraph"/>
              <w:spacing w:line="160" w:lineRule="exact"/>
              <w:rPr>
                <w:sz w:val="16"/>
              </w:rPr>
            </w:pPr>
            <w:r>
              <w:rPr>
                <w:color w:val="231F20"/>
                <w:w w:val="75"/>
                <w:sz w:val="16"/>
              </w:rPr>
              <w:t>C. Armando Orozco Garza</w:t>
            </w:r>
          </w:p>
        </w:tc>
        <w:tc>
          <w:tcPr>
            <w:tcW w:w="4871" w:type="dxa"/>
          </w:tcPr>
          <w:p>
            <w:pPr>
              <w:pStyle w:val="TableParagraph"/>
              <w:spacing w:line="160" w:lineRule="exact"/>
              <w:rPr>
                <w:sz w:val="16"/>
              </w:rPr>
            </w:pPr>
            <w:r>
              <w:rPr>
                <w:color w:val="231F20"/>
                <w:w w:val="75"/>
                <w:sz w:val="16"/>
              </w:rPr>
              <w:t>Coordinador de Casa de Cultura</w:t>
            </w:r>
          </w:p>
        </w:tc>
      </w:tr>
      <w:tr>
        <w:trPr>
          <w:trHeight w:val="130" w:hRule="exact"/>
        </w:trPr>
        <w:tc>
          <w:tcPr>
            <w:tcW w:w="3056" w:type="dxa"/>
          </w:tcPr>
          <w:p>
            <w:pPr>
              <w:pStyle w:val="TableParagraph"/>
              <w:spacing w:line="160" w:lineRule="exact"/>
              <w:rPr>
                <w:sz w:val="16"/>
              </w:rPr>
            </w:pPr>
            <w:r>
              <w:rPr>
                <w:color w:val="231F20"/>
                <w:w w:val="75"/>
                <w:sz w:val="16"/>
              </w:rPr>
              <w:t>C. Verónica Sánchez</w:t>
            </w:r>
          </w:p>
        </w:tc>
        <w:tc>
          <w:tcPr>
            <w:tcW w:w="4871" w:type="dxa"/>
          </w:tcPr>
          <w:p>
            <w:pPr>
              <w:pStyle w:val="TableParagraph"/>
              <w:spacing w:line="160" w:lineRule="exact"/>
              <w:rPr>
                <w:sz w:val="16"/>
              </w:rPr>
            </w:pPr>
            <w:r>
              <w:rPr>
                <w:color w:val="231F20"/>
                <w:w w:val="75"/>
                <w:sz w:val="16"/>
              </w:rPr>
              <w:t>Jefatura del Deporte</w:t>
            </w:r>
          </w:p>
        </w:tc>
      </w:tr>
    </w:tbl>
    <w:p>
      <w:pPr>
        <w:pStyle w:val="BodyText"/>
        <w:spacing w:before="11"/>
        <w:rPr>
          <w:b/>
          <w:sz w:val="12"/>
        </w:rPr>
      </w:pPr>
    </w:p>
    <w:p>
      <w:pPr>
        <w:spacing w:before="74"/>
        <w:ind w:left="0" w:right="108" w:firstLine="0"/>
        <w:jc w:val="right"/>
        <w:rPr>
          <w:rFonts w:ascii="Calibri"/>
          <w:sz w:val="16"/>
        </w:rPr>
      </w:pPr>
      <w:r>
        <w:rPr>
          <w:rFonts w:ascii="Calibri"/>
          <w:color w:val="231F20"/>
          <w:w w:val="95"/>
          <w:sz w:val="16"/>
        </w:rPr>
        <w:t>Fuente: PDM</w:t>
      </w:r>
    </w:p>
    <w:p>
      <w:pPr>
        <w:pStyle w:val="BodyText"/>
        <w:rPr>
          <w:rFonts w:ascii="Calibri"/>
          <w:sz w:val="16"/>
        </w:rPr>
      </w:pPr>
    </w:p>
    <w:p>
      <w:pPr>
        <w:pStyle w:val="BodyText"/>
        <w:rPr>
          <w:rFonts w:ascii="Calibri"/>
          <w:sz w:val="13"/>
        </w:rPr>
      </w:pPr>
    </w:p>
    <w:p>
      <w:pPr>
        <w:pStyle w:val="BodyText"/>
        <w:spacing w:line="285" w:lineRule="auto"/>
        <w:ind w:left="110" w:right="108"/>
        <w:jc w:val="both"/>
      </w:pPr>
      <w:r>
        <w:rPr>
          <w:color w:val="231F20"/>
          <w:w w:val="105"/>
        </w:rPr>
        <w:t>Algunos</w:t>
      </w:r>
      <w:r>
        <w:rPr>
          <w:color w:val="231F20"/>
          <w:spacing w:val="-11"/>
          <w:w w:val="105"/>
        </w:rPr>
        <w:t> </w:t>
      </w:r>
      <w:r>
        <w:rPr>
          <w:color w:val="231F20"/>
          <w:w w:val="105"/>
        </w:rPr>
        <w:t>aspectos</w:t>
      </w:r>
      <w:r>
        <w:rPr>
          <w:color w:val="231F20"/>
          <w:spacing w:val="-11"/>
          <w:w w:val="105"/>
        </w:rPr>
        <w:t> </w:t>
      </w:r>
      <w:r>
        <w:rPr>
          <w:color w:val="231F20"/>
          <w:w w:val="105"/>
        </w:rPr>
        <w:t>habría</w:t>
      </w:r>
      <w:r>
        <w:rPr>
          <w:color w:val="231F20"/>
          <w:spacing w:val="-11"/>
          <w:w w:val="105"/>
        </w:rPr>
        <w:t> </w:t>
      </w:r>
      <w:r>
        <w:rPr>
          <w:color w:val="231F20"/>
          <w:spacing w:val="-3"/>
          <w:w w:val="105"/>
        </w:rPr>
        <w:t>que</w:t>
      </w:r>
      <w:r>
        <w:rPr>
          <w:color w:val="231F20"/>
          <w:spacing w:val="-11"/>
          <w:w w:val="105"/>
        </w:rPr>
        <w:t> </w:t>
      </w:r>
      <w:r>
        <w:rPr>
          <w:color w:val="231F20"/>
          <w:spacing w:val="-4"/>
          <w:w w:val="105"/>
        </w:rPr>
        <w:t>rescatar,</w:t>
      </w:r>
      <w:r>
        <w:rPr>
          <w:color w:val="231F20"/>
          <w:spacing w:val="-11"/>
          <w:w w:val="105"/>
        </w:rPr>
        <w:t> </w:t>
      </w:r>
      <w:r>
        <w:rPr>
          <w:color w:val="231F20"/>
          <w:spacing w:val="-3"/>
          <w:w w:val="105"/>
        </w:rPr>
        <w:t>por</w:t>
      </w:r>
      <w:r>
        <w:rPr>
          <w:color w:val="231F20"/>
          <w:spacing w:val="-11"/>
          <w:w w:val="105"/>
        </w:rPr>
        <w:t> </w:t>
      </w:r>
      <w:r>
        <w:rPr>
          <w:color w:val="231F20"/>
          <w:spacing w:val="-4"/>
          <w:w w:val="105"/>
        </w:rPr>
        <w:t>ejemplo</w:t>
      </w:r>
      <w:r>
        <w:rPr>
          <w:color w:val="231F20"/>
          <w:spacing w:val="-11"/>
          <w:w w:val="105"/>
        </w:rPr>
        <w:t> </w:t>
      </w:r>
      <w:r>
        <w:rPr>
          <w:color w:val="231F20"/>
          <w:w w:val="105"/>
        </w:rPr>
        <w:t>la</w:t>
      </w:r>
      <w:r>
        <w:rPr>
          <w:color w:val="231F20"/>
          <w:spacing w:val="-11"/>
          <w:w w:val="105"/>
        </w:rPr>
        <w:t> </w:t>
      </w:r>
      <w:r>
        <w:rPr>
          <w:color w:val="231F20"/>
          <w:spacing w:val="-3"/>
          <w:w w:val="105"/>
        </w:rPr>
        <w:t>responsable</w:t>
      </w:r>
      <w:r>
        <w:rPr>
          <w:color w:val="231F20"/>
          <w:spacing w:val="-11"/>
          <w:w w:val="105"/>
        </w:rPr>
        <w:t> </w:t>
      </w:r>
      <w:r>
        <w:rPr>
          <w:color w:val="231F20"/>
          <w:w w:val="105"/>
        </w:rPr>
        <w:t>de</w:t>
      </w:r>
      <w:r>
        <w:rPr>
          <w:color w:val="231F20"/>
          <w:spacing w:val="-11"/>
          <w:w w:val="105"/>
        </w:rPr>
        <w:t> </w:t>
      </w:r>
      <w:r>
        <w:rPr>
          <w:color w:val="231F20"/>
          <w:spacing w:val="-3"/>
          <w:w w:val="105"/>
        </w:rPr>
        <w:t>Derechos</w:t>
      </w:r>
      <w:r>
        <w:rPr>
          <w:color w:val="231F20"/>
          <w:spacing w:val="-11"/>
          <w:w w:val="105"/>
        </w:rPr>
        <w:t> </w:t>
      </w:r>
      <w:r>
        <w:rPr>
          <w:color w:val="231F20"/>
          <w:spacing w:val="-3"/>
          <w:w w:val="105"/>
        </w:rPr>
        <w:t>Humanos </w:t>
      </w:r>
      <w:r>
        <w:rPr>
          <w:color w:val="231F20"/>
          <w:w w:val="105"/>
        </w:rPr>
        <w:t>es una </w:t>
      </w:r>
      <w:r>
        <w:rPr>
          <w:color w:val="231F20"/>
          <w:spacing w:val="-3"/>
          <w:w w:val="105"/>
        </w:rPr>
        <w:t>ex-candidata del </w:t>
      </w:r>
      <w:r>
        <w:rPr>
          <w:color w:val="231F20"/>
          <w:spacing w:val="-4"/>
          <w:w w:val="105"/>
        </w:rPr>
        <w:t>PRD. </w:t>
      </w:r>
      <w:r>
        <w:rPr>
          <w:color w:val="231F20"/>
          <w:w w:val="105"/>
        </w:rPr>
        <w:t>El </w:t>
      </w:r>
      <w:r>
        <w:rPr>
          <w:color w:val="231F20"/>
          <w:spacing w:val="-3"/>
          <w:w w:val="105"/>
        </w:rPr>
        <w:t>contralor </w:t>
      </w:r>
      <w:r>
        <w:rPr>
          <w:color w:val="231F20"/>
          <w:w w:val="105"/>
        </w:rPr>
        <w:t>municipal estuvo a </w:t>
      </w:r>
      <w:r>
        <w:rPr>
          <w:color w:val="231F20"/>
          <w:spacing w:val="-3"/>
          <w:w w:val="105"/>
        </w:rPr>
        <w:t>punto </w:t>
      </w:r>
      <w:r>
        <w:rPr>
          <w:color w:val="231F20"/>
          <w:w w:val="105"/>
        </w:rPr>
        <w:t>de </w:t>
      </w:r>
      <w:r>
        <w:rPr>
          <w:color w:val="231F20"/>
          <w:spacing w:val="-2"/>
          <w:w w:val="105"/>
        </w:rPr>
        <w:t>ser </w:t>
      </w:r>
      <w:r>
        <w:rPr>
          <w:color w:val="231F20"/>
          <w:w w:val="105"/>
        </w:rPr>
        <w:t>el candidato municipal</w:t>
      </w:r>
      <w:r>
        <w:rPr>
          <w:color w:val="231F20"/>
          <w:spacing w:val="-25"/>
          <w:w w:val="105"/>
        </w:rPr>
        <w:t> </w:t>
      </w:r>
      <w:r>
        <w:rPr>
          <w:color w:val="231F20"/>
          <w:w w:val="105"/>
        </w:rPr>
        <w:t>y</w:t>
      </w:r>
      <w:r>
        <w:rPr>
          <w:color w:val="231F20"/>
          <w:spacing w:val="-25"/>
          <w:w w:val="105"/>
        </w:rPr>
        <w:t> </w:t>
      </w:r>
      <w:r>
        <w:rPr>
          <w:color w:val="231F20"/>
          <w:spacing w:val="-4"/>
          <w:w w:val="105"/>
        </w:rPr>
        <w:t>renunció</w:t>
      </w:r>
      <w:r>
        <w:rPr>
          <w:color w:val="231F20"/>
          <w:spacing w:val="-25"/>
          <w:w w:val="105"/>
        </w:rPr>
        <w:t> </w:t>
      </w:r>
      <w:r>
        <w:rPr>
          <w:color w:val="231F20"/>
          <w:w w:val="105"/>
        </w:rPr>
        <w:t>al</w:t>
      </w:r>
      <w:r>
        <w:rPr>
          <w:color w:val="231F20"/>
          <w:spacing w:val="-25"/>
          <w:w w:val="105"/>
        </w:rPr>
        <w:t> </w:t>
      </w:r>
      <w:r>
        <w:rPr>
          <w:color w:val="231F20"/>
          <w:spacing w:val="-5"/>
          <w:w w:val="105"/>
        </w:rPr>
        <w:t>PAN.</w:t>
      </w:r>
      <w:r>
        <w:rPr>
          <w:color w:val="231F20"/>
          <w:spacing w:val="-25"/>
          <w:w w:val="105"/>
        </w:rPr>
        <w:t> </w:t>
      </w:r>
      <w:r>
        <w:rPr>
          <w:color w:val="231F20"/>
          <w:w w:val="105"/>
        </w:rPr>
        <w:t>El</w:t>
      </w:r>
      <w:r>
        <w:rPr>
          <w:color w:val="231F20"/>
          <w:spacing w:val="-25"/>
          <w:w w:val="105"/>
        </w:rPr>
        <w:t> </w:t>
      </w:r>
      <w:r>
        <w:rPr>
          <w:color w:val="231F20"/>
          <w:w w:val="105"/>
        </w:rPr>
        <w:t>oficial</w:t>
      </w:r>
      <w:r>
        <w:rPr>
          <w:color w:val="231F20"/>
          <w:spacing w:val="-25"/>
          <w:w w:val="105"/>
        </w:rPr>
        <w:t> </w:t>
      </w:r>
      <w:r>
        <w:rPr>
          <w:color w:val="231F20"/>
          <w:spacing w:val="-6"/>
          <w:w w:val="105"/>
        </w:rPr>
        <w:t>mayor,</w:t>
      </w:r>
      <w:r>
        <w:rPr>
          <w:color w:val="231F20"/>
          <w:spacing w:val="-25"/>
          <w:w w:val="105"/>
        </w:rPr>
        <w:t> </w:t>
      </w:r>
      <w:r>
        <w:rPr>
          <w:color w:val="231F20"/>
          <w:spacing w:val="-3"/>
          <w:w w:val="105"/>
        </w:rPr>
        <w:t>responsable</w:t>
      </w:r>
      <w:r>
        <w:rPr>
          <w:color w:val="231F20"/>
          <w:spacing w:val="-25"/>
          <w:w w:val="105"/>
        </w:rPr>
        <w:t> </w:t>
      </w:r>
      <w:r>
        <w:rPr>
          <w:color w:val="231F20"/>
          <w:spacing w:val="-3"/>
          <w:w w:val="105"/>
        </w:rPr>
        <w:t>del</w:t>
      </w:r>
      <w:r>
        <w:rPr>
          <w:color w:val="231F20"/>
          <w:spacing w:val="-25"/>
          <w:w w:val="105"/>
        </w:rPr>
        <w:t> </w:t>
      </w:r>
      <w:r>
        <w:rPr>
          <w:color w:val="231F20"/>
          <w:w w:val="105"/>
        </w:rPr>
        <w:t>personal</w:t>
      </w:r>
      <w:r>
        <w:rPr>
          <w:color w:val="231F20"/>
          <w:spacing w:val="-25"/>
          <w:w w:val="105"/>
        </w:rPr>
        <w:t> </w:t>
      </w:r>
      <w:r>
        <w:rPr>
          <w:color w:val="231F20"/>
          <w:w w:val="105"/>
        </w:rPr>
        <w:t>es</w:t>
      </w:r>
      <w:r>
        <w:rPr>
          <w:color w:val="231F20"/>
          <w:spacing w:val="-25"/>
          <w:w w:val="105"/>
        </w:rPr>
        <w:t> </w:t>
      </w:r>
      <w:r>
        <w:rPr>
          <w:color w:val="231F20"/>
          <w:w w:val="105"/>
        </w:rPr>
        <w:t>un</w:t>
      </w:r>
      <w:r>
        <w:rPr>
          <w:color w:val="231F20"/>
          <w:spacing w:val="-25"/>
          <w:w w:val="105"/>
        </w:rPr>
        <w:t> </w:t>
      </w:r>
      <w:r>
        <w:rPr>
          <w:color w:val="231F20"/>
          <w:w w:val="105"/>
        </w:rPr>
        <w:t>ex</w:t>
      </w:r>
      <w:r>
        <w:rPr>
          <w:color w:val="231F20"/>
          <w:spacing w:val="-25"/>
          <w:w w:val="105"/>
        </w:rPr>
        <w:t> </w:t>
      </w:r>
      <w:r>
        <w:rPr>
          <w:color w:val="231F20"/>
          <w:w w:val="105"/>
        </w:rPr>
        <w:t>candida- to de </w:t>
      </w:r>
      <w:r>
        <w:rPr>
          <w:color w:val="231F20"/>
          <w:spacing w:val="-3"/>
          <w:w w:val="105"/>
        </w:rPr>
        <w:t>Parlamento </w:t>
      </w:r>
      <w:r>
        <w:rPr>
          <w:color w:val="231F20"/>
          <w:spacing w:val="-4"/>
          <w:w w:val="105"/>
        </w:rPr>
        <w:t>Ciudadano </w:t>
      </w:r>
      <w:r>
        <w:rPr>
          <w:color w:val="231F20"/>
          <w:spacing w:val="-5"/>
          <w:w w:val="105"/>
        </w:rPr>
        <w:t>(un </w:t>
      </w:r>
      <w:r>
        <w:rPr>
          <w:color w:val="231F20"/>
          <w:w w:val="105"/>
        </w:rPr>
        <w:t>partido </w:t>
      </w:r>
      <w:r>
        <w:rPr>
          <w:color w:val="231F20"/>
          <w:spacing w:val="-3"/>
          <w:w w:val="105"/>
        </w:rPr>
        <w:t>político </w:t>
      </w:r>
      <w:r>
        <w:rPr>
          <w:color w:val="231F20"/>
          <w:w w:val="105"/>
        </w:rPr>
        <w:t>local </w:t>
      </w:r>
      <w:r>
        <w:rPr>
          <w:color w:val="231F20"/>
          <w:spacing w:val="-3"/>
          <w:w w:val="105"/>
        </w:rPr>
        <w:t>que no </w:t>
      </w:r>
      <w:r>
        <w:rPr>
          <w:color w:val="231F20"/>
          <w:spacing w:val="-4"/>
          <w:w w:val="105"/>
        </w:rPr>
        <w:t>pudo </w:t>
      </w:r>
      <w:r>
        <w:rPr>
          <w:color w:val="231F20"/>
          <w:spacing w:val="-3"/>
          <w:w w:val="105"/>
        </w:rPr>
        <w:t>refrendar </w:t>
      </w:r>
      <w:r>
        <w:rPr>
          <w:color w:val="231F20"/>
          <w:w w:val="105"/>
        </w:rPr>
        <w:t>su registro años</w:t>
      </w:r>
      <w:r>
        <w:rPr>
          <w:color w:val="231F20"/>
          <w:spacing w:val="-19"/>
          <w:w w:val="105"/>
        </w:rPr>
        <w:t> </w:t>
      </w:r>
      <w:r>
        <w:rPr>
          <w:color w:val="231F20"/>
          <w:spacing w:val="-4"/>
          <w:w w:val="105"/>
        </w:rPr>
        <w:t>atrás).</w:t>
      </w:r>
      <w:r>
        <w:rPr>
          <w:color w:val="231F20"/>
          <w:spacing w:val="-19"/>
          <w:w w:val="105"/>
        </w:rPr>
        <w:t> </w:t>
      </w:r>
      <w:r>
        <w:rPr>
          <w:color w:val="231F20"/>
          <w:w w:val="105"/>
        </w:rPr>
        <w:t>El</w:t>
      </w:r>
      <w:r>
        <w:rPr>
          <w:color w:val="231F20"/>
          <w:spacing w:val="-19"/>
          <w:w w:val="105"/>
        </w:rPr>
        <w:t> </w:t>
      </w:r>
      <w:r>
        <w:rPr>
          <w:color w:val="231F20"/>
          <w:w w:val="105"/>
        </w:rPr>
        <w:t>secretario</w:t>
      </w:r>
      <w:r>
        <w:rPr>
          <w:color w:val="231F20"/>
          <w:spacing w:val="-19"/>
          <w:w w:val="105"/>
        </w:rPr>
        <w:t> </w:t>
      </w:r>
      <w:r>
        <w:rPr>
          <w:color w:val="231F20"/>
          <w:w w:val="105"/>
        </w:rPr>
        <w:t>técnico</w:t>
      </w:r>
      <w:r>
        <w:rPr>
          <w:color w:val="231F20"/>
          <w:spacing w:val="-19"/>
          <w:w w:val="105"/>
        </w:rPr>
        <w:t> </w:t>
      </w:r>
      <w:r>
        <w:rPr>
          <w:color w:val="231F20"/>
          <w:w w:val="105"/>
        </w:rPr>
        <w:t>militó</w:t>
      </w:r>
      <w:r>
        <w:rPr>
          <w:color w:val="231F20"/>
          <w:spacing w:val="-19"/>
          <w:w w:val="105"/>
        </w:rPr>
        <w:t> </w:t>
      </w:r>
      <w:r>
        <w:rPr>
          <w:color w:val="231F20"/>
          <w:w w:val="105"/>
        </w:rPr>
        <w:t>tanto</w:t>
      </w:r>
      <w:r>
        <w:rPr>
          <w:color w:val="231F20"/>
          <w:spacing w:val="-19"/>
          <w:w w:val="105"/>
        </w:rPr>
        <w:t> </w:t>
      </w:r>
      <w:r>
        <w:rPr>
          <w:color w:val="231F20"/>
          <w:w w:val="105"/>
        </w:rPr>
        <w:t>en</w:t>
      </w:r>
      <w:r>
        <w:rPr>
          <w:color w:val="231F20"/>
          <w:spacing w:val="-19"/>
          <w:w w:val="105"/>
        </w:rPr>
        <w:t> </w:t>
      </w:r>
      <w:r>
        <w:rPr>
          <w:color w:val="231F20"/>
          <w:spacing w:val="-4"/>
          <w:w w:val="105"/>
        </w:rPr>
        <w:t>Acción</w:t>
      </w:r>
      <w:r>
        <w:rPr>
          <w:color w:val="231F20"/>
          <w:spacing w:val="-19"/>
          <w:w w:val="105"/>
        </w:rPr>
        <w:t> </w:t>
      </w:r>
      <w:r>
        <w:rPr>
          <w:color w:val="231F20"/>
          <w:spacing w:val="-3"/>
          <w:w w:val="105"/>
        </w:rPr>
        <w:t>Nacional</w:t>
      </w:r>
      <w:r>
        <w:rPr>
          <w:color w:val="231F20"/>
          <w:spacing w:val="-19"/>
          <w:w w:val="105"/>
        </w:rPr>
        <w:t> </w:t>
      </w:r>
      <w:r>
        <w:rPr>
          <w:color w:val="231F20"/>
          <w:spacing w:val="-4"/>
          <w:w w:val="105"/>
        </w:rPr>
        <w:t>como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4"/>
          <w:w w:val="105"/>
        </w:rPr>
        <w:t>PRD.</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5"/>
          <w:w w:val="105"/>
        </w:rPr>
        <w:t> </w:t>
      </w:r>
      <w:r>
        <w:rPr>
          <w:color w:val="231F20"/>
          <w:w w:val="105"/>
        </w:rPr>
        <w:t>supuesto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puede</w:t>
      </w:r>
      <w:r>
        <w:rPr>
          <w:color w:val="231F20"/>
          <w:spacing w:val="-15"/>
          <w:w w:val="105"/>
        </w:rPr>
        <w:t> </w:t>
      </w:r>
      <w:r>
        <w:rPr>
          <w:color w:val="231F20"/>
          <w:w w:val="105"/>
        </w:rPr>
        <w:t>exponer</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idea</w:t>
      </w:r>
      <w:r>
        <w:rPr>
          <w:color w:val="231F20"/>
          <w:spacing w:val="-15"/>
          <w:w w:val="105"/>
        </w:rPr>
        <w:t> </w:t>
      </w:r>
      <w:r>
        <w:rPr>
          <w:color w:val="231F20"/>
          <w:w w:val="105"/>
        </w:rPr>
        <w:t>de</w:t>
      </w:r>
      <w:r>
        <w:rPr>
          <w:color w:val="231F20"/>
          <w:spacing w:val="-15"/>
          <w:w w:val="105"/>
        </w:rPr>
        <w:t> </w:t>
      </w:r>
      <w:r>
        <w:rPr>
          <w:color w:val="231F20"/>
          <w:w w:val="105"/>
        </w:rPr>
        <w:t>profesionalización</w:t>
      </w:r>
      <w:r>
        <w:rPr>
          <w:color w:val="231F20"/>
          <w:spacing w:val="-15"/>
          <w:w w:val="105"/>
        </w:rPr>
        <w:t> </w:t>
      </w:r>
      <w:r>
        <w:rPr>
          <w:color w:val="231F20"/>
          <w:w w:val="105"/>
        </w:rPr>
        <w:t>del</w:t>
      </w:r>
      <w:r>
        <w:rPr>
          <w:color w:val="231F20"/>
          <w:spacing w:val="-15"/>
          <w:w w:val="105"/>
        </w:rPr>
        <w:t> </w:t>
      </w:r>
      <w:r>
        <w:rPr>
          <w:color w:val="231F20"/>
          <w:w w:val="105"/>
        </w:rPr>
        <w:t>partido,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sen- tido</w:t>
      </w:r>
      <w:r>
        <w:rPr>
          <w:color w:val="231F20"/>
          <w:spacing w:val="-10"/>
          <w:w w:val="105"/>
        </w:rPr>
        <w:t> </w:t>
      </w:r>
      <w:r>
        <w:rPr>
          <w:color w:val="231F20"/>
          <w:w w:val="105"/>
        </w:rPr>
        <w:t>de</w:t>
      </w:r>
      <w:r>
        <w:rPr>
          <w:color w:val="231F20"/>
          <w:spacing w:val="-10"/>
          <w:w w:val="105"/>
        </w:rPr>
        <w:t> </w:t>
      </w:r>
      <w:r>
        <w:rPr>
          <w:color w:val="231F20"/>
          <w:w w:val="105"/>
        </w:rPr>
        <w:t>consolidar</w:t>
      </w:r>
      <w:r>
        <w:rPr>
          <w:color w:val="231F20"/>
          <w:spacing w:val="-10"/>
          <w:w w:val="105"/>
        </w:rPr>
        <w:t> </w:t>
      </w:r>
      <w:r>
        <w:rPr>
          <w:color w:val="231F20"/>
          <w:w w:val="105"/>
        </w:rPr>
        <w:t>su</w:t>
      </w:r>
      <w:r>
        <w:rPr>
          <w:color w:val="231F20"/>
          <w:spacing w:val="-10"/>
          <w:w w:val="105"/>
        </w:rPr>
        <w:t> </w:t>
      </w:r>
      <w:r>
        <w:rPr>
          <w:color w:val="231F20"/>
          <w:w w:val="105"/>
        </w:rPr>
        <w:t>esquema</w:t>
      </w:r>
      <w:r>
        <w:rPr>
          <w:color w:val="231F20"/>
          <w:spacing w:val="-10"/>
          <w:w w:val="105"/>
        </w:rPr>
        <w:t> </w:t>
      </w:r>
      <w:r>
        <w:rPr>
          <w:color w:val="231F20"/>
          <w:w w:val="105"/>
        </w:rPr>
        <w:t>de</w:t>
      </w:r>
      <w:r>
        <w:rPr>
          <w:color w:val="231F20"/>
          <w:spacing w:val="-10"/>
          <w:w w:val="105"/>
        </w:rPr>
        <w:t> </w:t>
      </w:r>
      <w:r>
        <w:rPr>
          <w:color w:val="231F20"/>
          <w:w w:val="105"/>
        </w:rPr>
        <w:t>integración</w:t>
      </w:r>
      <w:r>
        <w:rPr>
          <w:color w:val="231F20"/>
          <w:spacing w:val="-10"/>
          <w:w w:val="105"/>
        </w:rPr>
        <w:t> </w:t>
      </w:r>
      <w:r>
        <w:rPr>
          <w:color w:val="231F20"/>
          <w:w w:val="105"/>
        </w:rPr>
        <w:t>de</w:t>
      </w:r>
      <w:r>
        <w:rPr>
          <w:color w:val="231F20"/>
          <w:spacing w:val="-10"/>
          <w:w w:val="105"/>
        </w:rPr>
        <w:t> </w:t>
      </w:r>
      <w:r>
        <w:rPr>
          <w:color w:val="231F20"/>
          <w:w w:val="105"/>
        </w:rPr>
        <w:t>cuadros</w:t>
      </w:r>
      <w:r>
        <w:rPr>
          <w:color w:val="231F20"/>
          <w:spacing w:val="-10"/>
          <w:w w:val="105"/>
        </w:rPr>
        <w:t> </w:t>
      </w:r>
      <w:r>
        <w:rPr>
          <w:color w:val="231F20"/>
          <w:w w:val="105"/>
        </w:rPr>
        <w:t>suficientes</w:t>
      </w:r>
      <w:r>
        <w:rPr>
          <w:color w:val="231F20"/>
          <w:spacing w:val="-10"/>
          <w:w w:val="105"/>
        </w:rPr>
        <w:t> </w:t>
      </w:r>
      <w:r>
        <w:rPr>
          <w:color w:val="231F20"/>
          <w:w w:val="105"/>
        </w:rPr>
        <w:t>para</w:t>
      </w:r>
      <w:r>
        <w:rPr>
          <w:color w:val="231F20"/>
          <w:spacing w:val="-10"/>
          <w:w w:val="105"/>
        </w:rPr>
        <w:t> </w:t>
      </w:r>
      <w:r>
        <w:rPr>
          <w:color w:val="231F20"/>
          <w:w w:val="105"/>
        </w:rPr>
        <w:t>conformar</w:t>
      </w:r>
      <w:r>
        <w:rPr>
          <w:color w:val="231F20"/>
          <w:spacing w:val="-10"/>
          <w:w w:val="105"/>
        </w:rPr>
        <w:t> </w:t>
      </w:r>
      <w:r>
        <w:rPr>
          <w:color w:val="231F20"/>
          <w:w w:val="105"/>
        </w:rPr>
        <w:t>no solo</w:t>
      </w:r>
      <w:r>
        <w:rPr>
          <w:color w:val="231F20"/>
          <w:spacing w:val="-4"/>
          <w:w w:val="105"/>
        </w:rPr>
        <w:t> </w:t>
      </w:r>
      <w:r>
        <w:rPr>
          <w:color w:val="231F20"/>
          <w:w w:val="105"/>
        </w:rPr>
        <w:t>gobiernos,</w:t>
      </w:r>
      <w:r>
        <w:rPr>
          <w:color w:val="231F20"/>
          <w:spacing w:val="-4"/>
          <w:w w:val="105"/>
        </w:rPr>
        <w:t> </w:t>
      </w:r>
      <w:r>
        <w:rPr>
          <w:color w:val="231F20"/>
          <w:w w:val="105"/>
        </w:rPr>
        <w:t>sino</w:t>
      </w:r>
      <w:r>
        <w:rPr>
          <w:color w:val="231F20"/>
          <w:spacing w:val="-4"/>
          <w:w w:val="105"/>
        </w:rPr>
        <w:t> </w:t>
      </w:r>
      <w:r>
        <w:rPr>
          <w:color w:val="231F20"/>
          <w:w w:val="105"/>
        </w:rPr>
        <w:t>la</w:t>
      </w:r>
      <w:r>
        <w:rPr>
          <w:color w:val="231F20"/>
          <w:spacing w:val="-4"/>
          <w:w w:val="105"/>
        </w:rPr>
        <w:t> </w:t>
      </w:r>
      <w:r>
        <w:rPr>
          <w:color w:val="231F20"/>
          <w:w w:val="105"/>
        </w:rPr>
        <w:t>amplitud</w:t>
      </w:r>
      <w:r>
        <w:rPr>
          <w:color w:val="231F20"/>
          <w:spacing w:val="-4"/>
          <w:w w:val="105"/>
        </w:rPr>
        <w:t> </w:t>
      </w:r>
      <w:r>
        <w:rPr>
          <w:color w:val="231F20"/>
          <w:w w:val="105"/>
        </w:rPr>
        <w:t>de</w:t>
      </w:r>
      <w:r>
        <w:rPr>
          <w:color w:val="231F20"/>
          <w:spacing w:val="-4"/>
          <w:w w:val="105"/>
        </w:rPr>
        <w:t> </w:t>
      </w:r>
      <w:r>
        <w:rPr>
          <w:color w:val="231F20"/>
          <w:w w:val="105"/>
        </w:rPr>
        <w:t>actos</w:t>
      </w:r>
      <w:r>
        <w:rPr>
          <w:color w:val="231F20"/>
          <w:spacing w:val="-4"/>
          <w:w w:val="105"/>
        </w:rPr>
        <w:t> </w:t>
      </w:r>
      <w:r>
        <w:rPr>
          <w:color w:val="231F20"/>
          <w:w w:val="105"/>
        </w:rPr>
        <w:t>que</w:t>
      </w:r>
      <w:r>
        <w:rPr>
          <w:color w:val="231F20"/>
          <w:spacing w:val="-4"/>
          <w:w w:val="105"/>
        </w:rPr>
        <w:t> </w:t>
      </w:r>
      <w:r>
        <w:rPr>
          <w:color w:val="231F20"/>
          <w:w w:val="105"/>
        </w:rPr>
        <w:t>abarca</w:t>
      </w:r>
      <w:r>
        <w:rPr>
          <w:color w:val="231F20"/>
          <w:spacing w:val="-4"/>
          <w:w w:val="105"/>
        </w:rPr>
        <w:t> </w:t>
      </w:r>
      <w:r>
        <w:rPr>
          <w:color w:val="231F20"/>
          <w:w w:val="105"/>
        </w:rPr>
        <w:t>el</w:t>
      </w:r>
      <w:r>
        <w:rPr>
          <w:color w:val="231F20"/>
          <w:spacing w:val="-4"/>
          <w:w w:val="105"/>
        </w:rPr>
        <w:t> </w:t>
      </w:r>
      <w:r>
        <w:rPr>
          <w:color w:val="231F20"/>
          <w:w w:val="105"/>
        </w:rPr>
        <w:t>ejercicio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función</w:t>
      </w:r>
      <w:r>
        <w:rPr>
          <w:color w:val="231F20"/>
          <w:spacing w:val="-4"/>
          <w:w w:val="105"/>
        </w:rPr>
        <w:t> </w:t>
      </w:r>
      <w:r>
        <w:rPr>
          <w:color w:val="231F20"/>
          <w:w w:val="105"/>
        </w:rPr>
        <w:t>pública. </w:t>
      </w:r>
      <w:r>
        <w:rPr>
          <w:color w:val="231F20"/>
          <w:spacing w:val="-3"/>
          <w:w w:val="105"/>
        </w:rPr>
        <w:t>Por </w:t>
      </w:r>
      <w:r>
        <w:rPr>
          <w:color w:val="231F20"/>
          <w:spacing w:val="2"/>
          <w:w w:val="105"/>
        </w:rPr>
        <w:t>tal </w:t>
      </w:r>
      <w:r>
        <w:rPr>
          <w:color w:val="231F20"/>
          <w:w w:val="105"/>
        </w:rPr>
        <w:t>motivo, se refiere </w:t>
      </w:r>
      <w:r>
        <w:rPr>
          <w:color w:val="231F20"/>
          <w:spacing w:val="2"/>
          <w:w w:val="105"/>
        </w:rPr>
        <w:t>al </w:t>
      </w:r>
      <w:r>
        <w:rPr>
          <w:color w:val="231F20"/>
          <w:w w:val="105"/>
        </w:rPr>
        <w:t>papel del PRI y a su interacción en la arena política</w:t>
      </w:r>
      <w:r>
        <w:rPr>
          <w:color w:val="231F20"/>
          <w:spacing w:val="20"/>
          <w:w w:val="105"/>
        </w:rPr>
        <w:t> </w:t>
      </w:r>
      <w:r>
        <w:rPr>
          <w:color w:val="231F20"/>
          <w:w w:val="105"/>
        </w:rPr>
        <w:t>local.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Con ello quiero decir que tales miembros de la administración municipal no eran ni militantes</w:t>
      </w:r>
      <w:r>
        <w:rPr>
          <w:color w:val="231F20"/>
          <w:spacing w:val="-18"/>
          <w:w w:val="105"/>
        </w:rPr>
        <w:t> </w:t>
      </w:r>
      <w:r>
        <w:rPr>
          <w:color w:val="231F20"/>
          <w:w w:val="105"/>
        </w:rPr>
        <w:t>ni</w:t>
      </w:r>
      <w:r>
        <w:rPr>
          <w:color w:val="231F20"/>
          <w:spacing w:val="-18"/>
          <w:w w:val="105"/>
        </w:rPr>
        <w:t> </w:t>
      </w:r>
      <w:r>
        <w:rPr>
          <w:color w:val="231F20"/>
          <w:w w:val="105"/>
        </w:rPr>
        <w:t>miembros</w:t>
      </w:r>
      <w:r>
        <w:rPr>
          <w:color w:val="231F20"/>
          <w:spacing w:val="-18"/>
          <w:w w:val="105"/>
        </w:rPr>
        <w:t> </w:t>
      </w:r>
      <w:r>
        <w:rPr>
          <w:color w:val="231F20"/>
          <w:w w:val="105"/>
        </w:rPr>
        <w:t>del</w:t>
      </w:r>
      <w:r>
        <w:rPr>
          <w:color w:val="231F20"/>
          <w:spacing w:val="-18"/>
          <w:w w:val="105"/>
        </w:rPr>
        <w:t> </w:t>
      </w:r>
      <w:r>
        <w:rPr>
          <w:color w:val="231F20"/>
          <w:w w:val="105"/>
        </w:rPr>
        <w:t>PRI,</w:t>
      </w:r>
      <w:r>
        <w:rPr>
          <w:color w:val="231F20"/>
          <w:spacing w:val="-18"/>
          <w:w w:val="105"/>
        </w:rPr>
        <w:t> </w:t>
      </w:r>
      <w:r>
        <w:rPr>
          <w:color w:val="231F20"/>
          <w:w w:val="105"/>
        </w:rPr>
        <w:t>sin</w:t>
      </w:r>
      <w:r>
        <w:rPr>
          <w:color w:val="231F20"/>
          <w:spacing w:val="-18"/>
          <w:w w:val="105"/>
        </w:rPr>
        <w:t> </w:t>
      </w:r>
      <w:r>
        <w:rPr>
          <w:color w:val="231F20"/>
          <w:w w:val="105"/>
        </w:rPr>
        <w:t>embargo,</w:t>
      </w:r>
      <w:r>
        <w:rPr>
          <w:color w:val="231F20"/>
          <w:spacing w:val="-18"/>
          <w:w w:val="105"/>
        </w:rPr>
        <w:t> </w:t>
      </w:r>
      <w:r>
        <w:rPr>
          <w:color w:val="231F20"/>
          <w:w w:val="105"/>
        </w:rPr>
        <w:t>la</w:t>
      </w:r>
      <w:r>
        <w:rPr>
          <w:color w:val="231F20"/>
          <w:spacing w:val="-18"/>
          <w:w w:val="105"/>
        </w:rPr>
        <w:t> </w:t>
      </w:r>
      <w:r>
        <w:rPr>
          <w:color w:val="231F20"/>
          <w:w w:val="105"/>
        </w:rPr>
        <w:t>preocupación</w:t>
      </w:r>
      <w:r>
        <w:rPr>
          <w:color w:val="231F20"/>
          <w:spacing w:val="-18"/>
          <w:w w:val="105"/>
        </w:rPr>
        <w:t> </w:t>
      </w:r>
      <w:r>
        <w:rPr>
          <w:color w:val="231F20"/>
          <w:w w:val="105"/>
        </w:rPr>
        <w:t>es</w:t>
      </w:r>
      <w:r>
        <w:rPr>
          <w:color w:val="231F20"/>
          <w:spacing w:val="-18"/>
          <w:w w:val="105"/>
        </w:rPr>
        <w:t> </w:t>
      </w:r>
      <w:r>
        <w:rPr>
          <w:color w:val="231F20"/>
          <w:w w:val="105"/>
        </w:rPr>
        <w:t>ganar</w:t>
      </w:r>
      <w:r>
        <w:rPr>
          <w:color w:val="231F20"/>
          <w:spacing w:val="-18"/>
          <w:w w:val="105"/>
        </w:rPr>
        <w:t> </w:t>
      </w:r>
      <w:r>
        <w:rPr>
          <w:color w:val="231F20"/>
          <w:w w:val="105"/>
        </w:rPr>
        <w:t>votos,</w:t>
      </w:r>
      <w:r>
        <w:rPr>
          <w:color w:val="231F20"/>
          <w:spacing w:val="-18"/>
          <w:w w:val="105"/>
        </w:rPr>
        <w:t> </w:t>
      </w:r>
      <w:r>
        <w:rPr>
          <w:color w:val="231F20"/>
          <w:w w:val="105"/>
        </w:rPr>
        <w:t>por</w:t>
      </w:r>
      <w:r>
        <w:rPr>
          <w:color w:val="231F20"/>
          <w:spacing w:val="-18"/>
          <w:w w:val="105"/>
        </w:rPr>
        <w:t> </w:t>
      </w:r>
      <w:r>
        <w:rPr>
          <w:color w:val="231F20"/>
          <w:w w:val="105"/>
        </w:rPr>
        <w:t>lo</w:t>
      </w:r>
      <w:r>
        <w:rPr>
          <w:color w:val="231F20"/>
          <w:spacing w:val="-18"/>
          <w:w w:val="105"/>
        </w:rPr>
        <w:t> </w:t>
      </w:r>
      <w:r>
        <w:rPr>
          <w:color w:val="231F20"/>
          <w:w w:val="105"/>
        </w:rPr>
        <w:t>que es</w:t>
      </w:r>
      <w:r>
        <w:rPr>
          <w:color w:val="231F20"/>
          <w:spacing w:val="-11"/>
          <w:w w:val="105"/>
        </w:rPr>
        <w:t> </w:t>
      </w:r>
      <w:r>
        <w:rPr>
          <w:color w:val="231F20"/>
          <w:w w:val="105"/>
        </w:rPr>
        <w:t>importante</w:t>
      </w:r>
      <w:r>
        <w:rPr>
          <w:color w:val="231F20"/>
          <w:spacing w:val="-11"/>
          <w:w w:val="105"/>
        </w:rPr>
        <w:t> </w:t>
      </w:r>
      <w:r>
        <w:rPr>
          <w:color w:val="231F20"/>
          <w:w w:val="105"/>
        </w:rPr>
        <w:t>establecer</w:t>
      </w:r>
      <w:r>
        <w:rPr>
          <w:color w:val="231F20"/>
          <w:spacing w:val="-11"/>
          <w:w w:val="105"/>
        </w:rPr>
        <w:t> </w:t>
      </w:r>
      <w:r>
        <w:rPr>
          <w:color w:val="231F20"/>
          <w:spacing w:val="2"/>
          <w:w w:val="105"/>
        </w:rPr>
        <w:t>alianzas</w:t>
      </w:r>
      <w:r>
        <w:rPr>
          <w:color w:val="231F20"/>
          <w:spacing w:val="-11"/>
          <w:w w:val="105"/>
        </w:rPr>
        <w:t> </w:t>
      </w:r>
      <w:r>
        <w:rPr>
          <w:color w:val="231F20"/>
          <w:w w:val="105"/>
        </w:rPr>
        <w:t>durante</w:t>
      </w:r>
      <w:r>
        <w:rPr>
          <w:color w:val="231F20"/>
          <w:spacing w:val="-11"/>
          <w:w w:val="105"/>
        </w:rPr>
        <w:t> </w:t>
      </w:r>
      <w:r>
        <w:rPr>
          <w:color w:val="231F20"/>
          <w:w w:val="105"/>
        </w:rPr>
        <w:t>el</w:t>
      </w:r>
      <w:r>
        <w:rPr>
          <w:color w:val="231F20"/>
          <w:spacing w:val="-11"/>
          <w:w w:val="105"/>
        </w:rPr>
        <w:t> </w:t>
      </w:r>
      <w:r>
        <w:rPr>
          <w:color w:val="231F20"/>
          <w:w w:val="105"/>
        </w:rPr>
        <w:t>ejercicio</w:t>
      </w:r>
      <w:r>
        <w:rPr>
          <w:color w:val="231F20"/>
          <w:spacing w:val="-11"/>
          <w:w w:val="105"/>
        </w:rPr>
        <w:t> </w:t>
      </w:r>
      <w:r>
        <w:rPr>
          <w:color w:val="231F20"/>
          <w:w w:val="105"/>
        </w:rPr>
        <w:t>de</w:t>
      </w:r>
      <w:r>
        <w:rPr>
          <w:color w:val="231F20"/>
          <w:spacing w:val="-11"/>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w w:val="105"/>
        </w:rPr>
        <w:t>Solo</w:t>
      </w:r>
      <w:r>
        <w:rPr>
          <w:color w:val="231F20"/>
          <w:spacing w:val="-24"/>
          <w:w w:val="105"/>
        </w:rPr>
        <w:t> </w:t>
      </w:r>
      <w:r>
        <w:rPr>
          <w:color w:val="231F20"/>
          <w:w w:val="105"/>
        </w:rPr>
        <w:t>el</w:t>
      </w:r>
      <w:r>
        <w:rPr>
          <w:color w:val="231F20"/>
          <w:spacing w:val="-24"/>
          <w:w w:val="105"/>
        </w:rPr>
        <w:t> </w:t>
      </w:r>
      <w:r>
        <w:rPr>
          <w:color w:val="231F20"/>
          <w:w w:val="105"/>
        </w:rPr>
        <w:t>presidente</w:t>
      </w:r>
      <w:r>
        <w:rPr>
          <w:color w:val="231F20"/>
          <w:spacing w:val="-24"/>
          <w:w w:val="105"/>
        </w:rPr>
        <w:t> </w:t>
      </w:r>
      <w:r>
        <w:rPr>
          <w:color w:val="231F20"/>
          <w:w w:val="105"/>
        </w:rPr>
        <w:t>municipal,</w:t>
      </w:r>
      <w:r>
        <w:rPr>
          <w:color w:val="231F20"/>
          <w:spacing w:val="-24"/>
          <w:w w:val="105"/>
        </w:rPr>
        <w:t> </w:t>
      </w:r>
      <w:r>
        <w:rPr>
          <w:color w:val="231F20"/>
          <w:w w:val="105"/>
        </w:rPr>
        <w:t>quien</w:t>
      </w:r>
      <w:r>
        <w:rPr>
          <w:color w:val="231F20"/>
          <w:spacing w:val="-24"/>
          <w:w w:val="105"/>
        </w:rPr>
        <w:t> </w:t>
      </w:r>
      <w:r>
        <w:rPr>
          <w:color w:val="231F20"/>
          <w:w w:val="105"/>
        </w:rPr>
        <w:t>se</w:t>
      </w:r>
      <w:r>
        <w:rPr>
          <w:color w:val="231F20"/>
          <w:spacing w:val="-24"/>
          <w:w w:val="105"/>
        </w:rPr>
        <w:t> </w:t>
      </w:r>
      <w:r>
        <w:rPr>
          <w:color w:val="231F20"/>
          <w:w w:val="105"/>
        </w:rPr>
        <w:t>encuentra</w:t>
      </w:r>
      <w:r>
        <w:rPr>
          <w:color w:val="231F20"/>
          <w:spacing w:val="-24"/>
          <w:w w:val="105"/>
        </w:rPr>
        <w:t> </w:t>
      </w:r>
      <w:r>
        <w:rPr>
          <w:color w:val="231F20"/>
          <w:w w:val="105"/>
        </w:rPr>
        <w:t>afiliado</w:t>
      </w:r>
      <w:r>
        <w:rPr>
          <w:color w:val="231F20"/>
          <w:spacing w:val="-24"/>
          <w:w w:val="105"/>
        </w:rPr>
        <w:t> </w:t>
      </w:r>
      <w:r>
        <w:rPr>
          <w:color w:val="231F20"/>
          <w:w w:val="105"/>
        </w:rPr>
        <w:t>PRI</w:t>
      </w:r>
      <w:r>
        <w:rPr>
          <w:color w:val="231F20"/>
          <w:spacing w:val="-24"/>
          <w:w w:val="105"/>
        </w:rPr>
        <w:t> </w:t>
      </w:r>
      <w:r>
        <w:rPr>
          <w:color w:val="231F20"/>
          <w:w w:val="105"/>
        </w:rPr>
        <w:t>desde</w:t>
      </w:r>
      <w:r>
        <w:rPr>
          <w:color w:val="231F20"/>
          <w:spacing w:val="-24"/>
          <w:w w:val="105"/>
        </w:rPr>
        <w:t> </w:t>
      </w:r>
      <w:r>
        <w:rPr>
          <w:color w:val="231F20"/>
          <w:w w:val="105"/>
        </w:rPr>
        <w:t>hace</w:t>
      </w:r>
      <w:r>
        <w:rPr>
          <w:color w:val="231F20"/>
          <w:spacing w:val="-24"/>
          <w:w w:val="105"/>
        </w:rPr>
        <w:t> </w:t>
      </w:r>
      <w:r>
        <w:rPr>
          <w:color w:val="231F20"/>
          <w:w w:val="105"/>
        </w:rPr>
        <w:t>más</w:t>
      </w:r>
      <w:r>
        <w:rPr>
          <w:color w:val="231F20"/>
          <w:spacing w:val="-24"/>
          <w:w w:val="105"/>
        </w:rPr>
        <w:t> </w:t>
      </w:r>
      <w:r>
        <w:rPr>
          <w:color w:val="231F20"/>
          <w:w w:val="105"/>
        </w:rPr>
        <w:t>de</w:t>
      </w:r>
      <w:r>
        <w:rPr>
          <w:color w:val="231F20"/>
          <w:spacing w:val="-24"/>
          <w:w w:val="105"/>
        </w:rPr>
        <w:t> </w:t>
      </w:r>
      <w:r>
        <w:rPr>
          <w:color w:val="231F20"/>
          <w:spacing w:val="-6"/>
          <w:w w:val="105"/>
        </w:rPr>
        <w:t>16</w:t>
      </w:r>
      <w:r>
        <w:rPr>
          <w:color w:val="231F20"/>
          <w:spacing w:val="-24"/>
          <w:w w:val="105"/>
        </w:rPr>
        <w:t> </w:t>
      </w:r>
      <w:r>
        <w:rPr>
          <w:color w:val="231F20"/>
          <w:w w:val="105"/>
        </w:rPr>
        <w:t>años, ha participado en elecciones como candidato en tres ocasiones para presidente muni- cipal en 1996, en el </w:t>
      </w:r>
      <w:r>
        <w:rPr>
          <w:color w:val="231F20"/>
          <w:spacing w:val="2"/>
          <w:w w:val="105"/>
        </w:rPr>
        <w:t>2003 </w:t>
      </w:r>
      <w:r>
        <w:rPr>
          <w:color w:val="231F20"/>
          <w:w w:val="105"/>
        </w:rPr>
        <w:t>en elecciones extraordinarias se postuló como síndico y por último, el 12 de marzo del </w:t>
      </w:r>
      <w:r>
        <w:rPr>
          <w:color w:val="231F20"/>
          <w:spacing w:val="3"/>
          <w:w w:val="105"/>
        </w:rPr>
        <w:t>2006 </w:t>
      </w:r>
      <w:r>
        <w:rPr>
          <w:color w:val="231F20"/>
          <w:w w:val="105"/>
        </w:rPr>
        <w:t>ganó la elección como presidente municipal. Ha sido líder</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5"/>
          <w:w w:val="105"/>
        </w:rPr>
        <w:t>CNOP,</w:t>
      </w:r>
      <w:r>
        <w:rPr>
          <w:color w:val="231F20"/>
          <w:spacing w:val="-16"/>
          <w:w w:val="105"/>
        </w:rPr>
        <w:t> </w:t>
      </w:r>
      <w:r>
        <w:rPr>
          <w:color w:val="231F20"/>
          <w:w w:val="105"/>
        </w:rPr>
        <w:t>comerciante</w:t>
      </w:r>
      <w:r>
        <w:rPr>
          <w:color w:val="231F20"/>
          <w:spacing w:val="-16"/>
          <w:w w:val="105"/>
        </w:rPr>
        <w:t> </w:t>
      </w:r>
      <w:r>
        <w:rPr>
          <w:color w:val="231F20"/>
          <w:w w:val="105"/>
        </w:rPr>
        <w:t>y</w:t>
      </w:r>
      <w:r>
        <w:rPr>
          <w:color w:val="231F20"/>
          <w:spacing w:val="-16"/>
          <w:w w:val="105"/>
        </w:rPr>
        <w:t> </w:t>
      </w:r>
      <w:r>
        <w:rPr>
          <w:color w:val="231F20"/>
          <w:w w:val="105"/>
        </w:rPr>
        <w:t>empresario,</w:t>
      </w:r>
      <w:r>
        <w:rPr>
          <w:color w:val="231F20"/>
          <w:spacing w:val="-16"/>
          <w:w w:val="105"/>
        </w:rPr>
        <w:t> </w:t>
      </w:r>
      <w:r>
        <w:rPr>
          <w:color w:val="231F20"/>
          <w:w w:val="105"/>
        </w:rPr>
        <w:t>su</w:t>
      </w:r>
      <w:r>
        <w:rPr>
          <w:color w:val="231F20"/>
          <w:spacing w:val="-16"/>
          <w:w w:val="105"/>
        </w:rPr>
        <w:t> </w:t>
      </w:r>
      <w:r>
        <w:rPr>
          <w:color w:val="231F20"/>
          <w:w w:val="105"/>
        </w:rPr>
        <w:t>nivel</w:t>
      </w:r>
      <w:r>
        <w:rPr>
          <w:color w:val="231F20"/>
          <w:spacing w:val="-16"/>
          <w:w w:val="105"/>
        </w:rPr>
        <w:t> </w:t>
      </w:r>
      <w:r>
        <w:rPr>
          <w:color w:val="231F20"/>
          <w:w w:val="105"/>
        </w:rPr>
        <w:t>educativo</w:t>
      </w:r>
      <w:r>
        <w:rPr>
          <w:color w:val="231F20"/>
          <w:spacing w:val="-16"/>
          <w:w w:val="105"/>
        </w:rPr>
        <w:t> </w:t>
      </w:r>
      <w:r>
        <w:rPr>
          <w:color w:val="231F20"/>
          <w:w w:val="105"/>
        </w:rPr>
        <w:t>es</w:t>
      </w:r>
      <w:r>
        <w:rPr>
          <w:color w:val="231F20"/>
          <w:spacing w:val="-16"/>
          <w:w w:val="105"/>
        </w:rPr>
        <w:t> </w:t>
      </w:r>
      <w:r>
        <w:rPr>
          <w:color w:val="231F20"/>
          <w:w w:val="105"/>
        </w:rPr>
        <w:t>de</w:t>
      </w:r>
      <w:r>
        <w:rPr>
          <w:color w:val="231F20"/>
          <w:spacing w:val="-16"/>
          <w:w w:val="105"/>
        </w:rPr>
        <w:t> </w:t>
      </w:r>
      <w:r>
        <w:rPr>
          <w:color w:val="231F20"/>
          <w:w w:val="105"/>
        </w:rPr>
        <w:t>secundaria.</w:t>
      </w:r>
    </w:p>
    <w:p>
      <w:pPr>
        <w:pStyle w:val="BodyText"/>
        <w:spacing w:before="1"/>
        <w:rPr>
          <w:sz w:val="26"/>
        </w:rPr>
      </w:pPr>
    </w:p>
    <w:p>
      <w:pPr>
        <w:pStyle w:val="BodyText"/>
        <w:spacing w:line="285" w:lineRule="auto"/>
        <w:ind w:left="110" w:right="108"/>
        <w:jc w:val="both"/>
      </w:pPr>
      <w:r>
        <w:rPr>
          <w:color w:val="231F20"/>
          <w:w w:val="105"/>
        </w:rPr>
        <w:t>A</w:t>
      </w:r>
      <w:r>
        <w:rPr>
          <w:color w:val="231F20"/>
          <w:spacing w:val="-9"/>
          <w:w w:val="105"/>
        </w:rPr>
        <w:t> </w:t>
      </w:r>
      <w:r>
        <w:rPr>
          <w:color w:val="231F20"/>
          <w:w w:val="105"/>
        </w:rPr>
        <w:t>pesar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pluralidad</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conformación</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equipo,</w:t>
      </w:r>
      <w:r>
        <w:rPr>
          <w:color w:val="231F20"/>
          <w:spacing w:val="-9"/>
          <w:w w:val="105"/>
        </w:rPr>
        <w:t> </w:t>
      </w:r>
      <w:r>
        <w:rPr>
          <w:color w:val="231F20"/>
          <w:w w:val="105"/>
        </w:rPr>
        <w:t>se</w:t>
      </w:r>
      <w:r>
        <w:rPr>
          <w:color w:val="231F20"/>
          <w:spacing w:val="-9"/>
          <w:w w:val="105"/>
        </w:rPr>
        <w:t> </w:t>
      </w:r>
      <w:r>
        <w:rPr>
          <w:color w:val="231F20"/>
          <w:w w:val="105"/>
        </w:rPr>
        <w:t>mantienen</w:t>
      </w:r>
      <w:r>
        <w:rPr>
          <w:color w:val="231F20"/>
          <w:spacing w:val="-9"/>
          <w:w w:val="105"/>
        </w:rPr>
        <w:t> </w:t>
      </w:r>
      <w:r>
        <w:rPr>
          <w:color w:val="231F20"/>
          <w:w w:val="105"/>
        </w:rPr>
        <w:t>rezagos</w:t>
      </w:r>
      <w:r>
        <w:rPr>
          <w:color w:val="231F20"/>
          <w:spacing w:val="-9"/>
          <w:w w:val="105"/>
        </w:rPr>
        <w:t> </w:t>
      </w:r>
      <w:r>
        <w:rPr>
          <w:color w:val="231F20"/>
          <w:w w:val="105"/>
        </w:rPr>
        <w:t>que</w:t>
      </w:r>
      <w:r>
        <w:rPr>
          <w:color w:val="231F20"/>
          <w:spacing w:val="-9"/>
          <w:w w:val="105"/>
        </w:rPr>
        <w:t> </w:t>
      </w:r>
      <w:r>
        <w:rPr>
          <w:color w:val="231F20"/>
          <w:w w:val="105"/>
        </w:rPr>
        <w:t>ya han</w:t>
      </w:r>
      <w:r>
        <w:rPr>
          <w:color w:val="231F20"/>
          <w:spacing w:val="-11"/>
          <w:w w:val="105"/>
        </w:rPr>
        <w:t> </w:t>
      </w:r>
      <w:r>
        <w:rPr>
          <w:color w:val="231F20"/>
          <w:w w:val="105"/>
        </w:rPr>
        <w:t>sido</w:t>
      </w:r>
      <w:r>
        <w:rPr>
          <w:color w:val="231F20"/>
          <w:spacing w:val="-11"/>
          <w:w w:val="105"/>
        </w:rPr>
        <w:t> </w:t>
      </w:r>
      <w:r>
        <w:rPr>
          <w:color w:val="231F20"/>
          <w:w w:val="105"/>
        </w:rPr>
        <w:t>anotados,</w:t>
      </w:r>
      <w:r>
        <w:rPr>
          <w:color w:val="231F20"/>
          <w:spacing w:val="-11"/>
          <w:w w:val="105"/>
        </w:rPr>
        <w:t> </w:t>
      </w:r>
      <w:r>
        <w:rPr>
          <w:color w:val="231F20"/>
          <w:w w:val="105"/>
        </w:rPr>
        <w:t>por</w:t>
      </w:r>
      <w:r>
        <w:rPr>
          <w:color w:val="231F20"/>
          <w:spacing w:val="-11"/>
          <w:w w:val="105"/>
        </w:rPr>
        <w:t> </w:t>
      </w:r>
      <w:r>
        <w:rPr>
          <w:color w:val="231F20"/>
          <w:spacing w:val="-3"/>
          <w:w w:val="105"/>
        </w:rPr>
        <w:t>ejemplo,</w:t>
      </w:r>
      <w:r>
        <w:rPr>
          <w:color w:val="231F20"/>
          <w:spacing w:val="-11"/>
          <w:w w:val="105"/>
        </w:rPr>
        <w:t> </w:t>
      </w:r>
      <w:r>
        <w:rPr>
          <w:color w:val="231F20"/>
          <w:w w:val="105"/>
        </w:rPr>
        <w:t>el</w:t>
      </w:r>
      <w:r>
        <w:rPr>
          <w:color w:val="231F20"/>
          <w:spacing w:val="-11"/>
          <w:w w:val="105"/>
        </w:rPr>
        <w:t> </w:t>
      </w:r>
      <w:r>
        <w:rPr>
          <w:color w:val="231F20"/>
          <w:w w:val="105"/>
        </w:rPr>
        <w:t>hecho</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existan</w:t>
      </w:r>
      <w:r>
        <w:rPr>
          <w:color w:val="231F20"/>
          <w:spacing w:val="-11"/>
          <w:w w:val="105"/>
        </w:rPr>
        <w:t> </w:t>
      </w:r>
      <w:r>
        <w:rPr>
          <w:color w:val="231F20"/>
          <w:w w:val="105"/>
        </w:rPr>
        <w:t>manuales</w:t>
      </w:r>
      <w:r>
        <w:rPr>
          <w:color w:val="231F20"/>
          <w:spacing w:val="-11"/>
          <w:w w:val="105"/>
        </w:rPr>
        <w:t> </w:t>
      </w:r>
      <w:r>
        <w:rPr>
          <w:color w:val="231F20"/>
          <w:w w:val="105"/>
        </w:rPr>
        <w:t>de</w:t>
      </w:r>
      <w:r>
        <w:rPr>
          <w:color w:val="231F20"/>
          <w:spacing w:val="-11"/>
          <w:w w:val="105"/>
        </w:rPr>
        <w:t> </w:t>
      </w:r>
      <w:r>
        <w:rPr>
          <w:color w:val="231F20"/>
          <w:w w:val="105"/>
        </w:rPr>
        <w:t>administración y</w:t>
      </w:r>
      <w:r>
        <w:rPr>
          <w:color w:val="231F20"/>
          <w:spacing w:val="-23"/>
          <w:w w:val="105"/>
        </w:rPr>
        <w:t> </w:t>
      </w:r>
      <w:r>
        <w:rPr>
          <w:color w:val="231F20"/>
          <w:w w:val="105"/>
        </w:rPr>
        <w:t>de</w:t>
      </w:r>
      <w:r>
        <w:rPr>
          <w:color w:val="231F20"/>
          <w:spacing w:val="-23"/>
          <w:w w:val="105"/>
        </w:rPr>
        <w:t> </w:t>
      </w:r>
      <w:r>
        <w:rPr>
          <w:color w:val="231F20"/>
          <w:w w:val="105"/>
        </w:rPr>
        <w:t>organización</w:t>
      </w:r>
      <w:r>
        <w:rPr>
          <w:color w:val="231F20"/>
          <w:spacing w:val="-23"/>
          <w:w w:val="105"/>
        </w:rPr>
        <w:t> </w:t>
      </w:r>
      <w:r>
        <w:rPr>
          <w:color w:val="231F20"/>
          <w:w w:val="105"/>
        </w:rPr>
        <w:t>y</w:t>
      </w:r>
      <w:r>
        <w:rPr>
          <w:color w:val="231F20"/>
          <w:spacing w:val="-23"/>
          <w:w w:val="105"/>
        </w:rPr>
        <w:t> </w:t>
      </w:r>
      <w:r>
        <w:rPr>
          <w:color w:val="231F20"/>
          <w:w w:val="105"/>
        </w:rPr>
        <w:t>procedimientos.</w:t>
      </w:r>
      <w:r>
        <w:rPr>
          <w:color w:val="231F20"/>
          <w:spacing w:val="-23"/>
          <w:w w:val="105"/>
        </w:rPr>
        <w:t> </w:t>
      </w:r>
      <w:r>
        <w:rPr>
          <w:color w:val="231F20"/>
          <w:w w:val="105"/>
        </w:rPr>
        <w:t>Únicamente</w:t>
      </w:r>
      <w:r>
        <w:rPr>
          <w:color w:val="231F20"/>
          <w:spacing w:val="-23"/>
          <w:w w:val="105"/>
        </w:rPr>
        <w:t> </w:t>
      </w:r>
      <w:r>
        <w:rPr>
          <w:color w:val="231F20"/>
          <w:w w:val="105"/>
        </w:rPr>
        <w:t>existen</w:t>
      </w:r>
      <w:r>
        <w:rPr>
          <w:color w:val="231F20"/>
          <w:spacing w:val="-23"/>
          <w:w w:val="105"/>
        </w:rPr>
        <w:t> </w:t>
      </w:r>
      <w:r>
        <w:rPr>
          <w:color w:val="231F20"/>
          <w:w w:val="105"/>
        </w:rPr>
        <w:t>los</w:t>
      </w:r>
      <w:r>
        <w:rPr>
          <w:color w:val="231F20"/>
          <w:spacing w:val="-23"/>
          <w:w w:val="105"/>
        </w:rPr>
        <w:t> </w:t>
      </w:r>
      <w:r>
        <w:rPr>
          <w:color w:val="231F20"/>
          <w:w w:val="105"/>
        </w:rPr>
        <w:t>reglamentos</w:t>
      </w:r>
      <w:r>
        <w:rPr>
          <w:color w:val="231F20"/>
          <w:spacing w:val="-23"/>
          <w:w w:val="105"/>
        </w:rPr>
        <w:t> </w:t>
      </w:r>
      <w:r>
        <w:rPr>
          <w:color w:val="231F20"/>
          <w:w w:val="105"/>
        </w:rPr>
        <w:t>de</w:t>
      </w:r>
      <w:r>
        <w:rPr>
          <w:color w:val="231F20"/>
          <w:spacing w:val="-23"/>
          <w:w w:val="105"/>
        </w:rPr>
        <w:t> </w:t>
      </w:r>
      <w:r>
        <w:rPr>
          <w:color w:val="231F20"/>
          <w:w w:val="105"/>
        </w:rPr>
        <w:t>Cabildo,</w:t>
      </w:r>
      <w:r>
        <w:rPr>
          <w:color w:val="231F20"/>
          <w:spacing w:val="-23"/>
          <w:w w:val="105"/>
        </w:rPr>
        <w:t> </w:t>
      </w:r>
      <w:r>
        <w:rPr>
          <w:color w:val="231F20"/>
          <w:w w:val="105"/>
        </w:rPr>
        <w:t>de Transparencia</w:t>
      </w:r>
      <w:r>
        <w:rPr>
          <w:color w:val="231F20"/>
          <w:spacing w:val="-5"/>
          <w:w w:val="105"/>
        </w:rPr>
        <w:t> </w:t>
      </w:r>
      <w:r>
        <w:rPr>
          <w:color w:val="231F20"/>
          <w:w w:val="105"/>
        </w:rPr>
        <w:t>y</w:t>
      </w:r>
      <w:r>
        <w:rPr>
          <w:color w:val="231F20"/>
          <w:spacing w:val="-5"/>
          <w:w w:val="105"/>
        </w:rPr>
        <w:t> </w:t>
      </w:r>
      <w:r>
        <w:rPr>
          <w:color w:val="231F20"/>
          <w:w w:val="105"/>
        </w:rPr>
        <w:t>de</w:t>
      </w:r>
      <w:r>
        <w:rPr>
          <w:color w:val="231F20"/>
          <w:spacing w:val="-5"/>
          <w:w w:val="105"/>
        </w:rPr>
        <w:t> </w:t>
      </w:r>
      <w:r>
        <w:rPr>
          <w:color w:val="231F20"/>
          <w:w w:val="105"/>
        </w:rPr>
        <w:t>Panteones.</w:t>
      </w:r>
      <w:r>
        <w:rPr>
          <w:color w:val="231F20"/>
          <w:spacing w:val="-5"/>
          <w:w w:val="105"/>
        </w:rPr>
        <w:t> </w:t>
      </w:r>
      <w:r>
        <w:rPr>
          <w:color w:val="231F20"/>
          <w:spacing w:val="-3"/>
          <w:w w:val="105"/>
        </w:rPr>
        <w:t>Por</w:t>
      </w:r>
      <w:r>
        <w:rPr>
          <w:color w:val="231F20"/>
          <w:spacing w:val="-5"/>
          <w:w w:val="105"/>
        </w:rPr>
        <w:t> </w:t>
      </w:r>
      <w:r>
        <w:rPr>
          <w:color w:val="231F20"/>
          <w:w w:val="105"/>
        </w:rPr>
        <w:t>lo</w:t>
      </w:r>
      <w:r>
        <w:rPr>
          <w:color w:val="231F20"/>
          <w:spacing w:val="-5"/>
          <w:w w:val="105"/>
        </w:rPr>
        <w:t> </w:t>
      </w:r>
      <w:r>
        <w:rPr>
          <w:color w:val="231F20"/>
          <w:w w:val="105"/>
        </w:rPr>
        <w:t>anterior</w:t>
      </w:r>
      <w:r>
        <w:rPr>
          <w:color w:val="231F20"/>
          <w:spacing w:val="-5"/>
          <w:w w:val="105"/>
        </w:rPr>
        <w:t> </w:t>
      </w:r>
      <w:r>
        <w:rPr>
          <w:color w:val="231F20"/>
          <w:w w:val="105"/>
        </w:rPr>
        <w:t>es</w:t>
      </w:r>
      <w:r>
        <w:rPr>
          <w:color w:val="231F20"/>
          <w:spacing w:val="-5"/>
          <w:w w:val="105"/>
        </w:rPr>
        <w:t> </w:t>
      </w:r>
      <w:r>
        <w:rPr>
          <w:color w:val="231F20"/>
          <w:w w:val="105"/>
        </w:rPr>
        <w:t>necesario</w:t>
      </w:r>
      <w:r>
        <w:rPr>
          <w:color w:val="231F20"/>
          <w:spacing w:val="-5"/>
          <w:w w:val="105"/>
        </w:rPr>
        <w:t> </w:t>
      </w:r>
      <w:r>
        <w:rPr>
          <w:color w:val="231F20"/>
          <w:w w:val="105"/>
        </w:rPr>
        <w:t>que</w:t>
      </w:r>
      <w:r>
        <w:rPr>
          <w:color w:val="231F20"/>
          <w:spacing w:val="-5"/>
          <w:w w:val="105"/>
        </w:rPr>
        <w:t> </w:t>
      </w:r>
      <w:r>
        <w:rPr>
          <w:color w:val="231F20"/>
          <w:w w:val="105"/>
        </w:rPr>
        <w:t>este</w:t>
      </w:r>
      <w:r>
        <w:rPr>
          <w:color w:val="231F20"/>
          <w:spacing w:val="-5"/>
          <w:w w:val="105"/>
        </w:rPr>
        <w:t> </w:t>
      </w:r>
      <w:r>
        <w:rPr>
          <w:color w:val="231F20"/>
          <w:w w:val="105"/>
        </w:rPr>
        <w:t>gobierno</w:t>
      </w:r>
      <w:r>
        <w:rPr>
          <w:color w:val="231F20"/>
          <w:spacing w:val="-5"/>
          <w:w w:val="105"/>
        </w:rPr>
        <w:t> </w:t>
      </w:r>
      <w:r>
        <w:rPr>
          <w:color w:val="231F20"/>
          <w:w w:val="105"/>
        </w:rPr>
        <w:t>se</w:t>
      </w:r>
      <w:r>
        <w:rPr>
          <w:color w:val="231F20"/>
          <w:spacing w:val="-5"/>
          <w:w w:val="105"/>
        </w:rPr>
        <w:t> </w:t>
      </w:r>
      <w:r>
        <w:rPr>
          <w:color w:val="231F20"/>
          <w:w w:val="105"/>
        </w:rPr>
        <w:t>dé</w:t>
      </w:r>
      <w:r>
        <w:rPr>
          <w:color w:val="231F20"/>
          <w:spacing w:val="-5"/>
          <w:w w:val="105"/>
        </w:rPr>
        <w:t> </w:t>
      </w:r>
      <w:r>
        <w:rPr>
          <w:color w:val="231F20"/>
          <w:w w:val="105"/>
        </w:rPr>
        <w:t>a</w:t>
      </w:r>
      <w:r>
        <w:rPr>
          <w:color w:val="231F20"/>
          <w:spacing w:val="-5"/>
          <w:w w:val="105"/>
        </w:rPr>
        <w:t> </w:t>
      </w:r>
      <w:r>
        <w:rPr>
          <w:color w:val="231F20"/>
          <w:w w:val="105"/>
        </w:rPr>
        <w:t>la tarea</w:t>
      </w:r>
      <w:r>
        <w:rPr>
          <w:color w:val="231F20"/>
          <w:spacing w:val="-10"/>
          <w:w w:val="105"/>
        </w:rPr>
        <w:t> </w:t>
      </w:r>
      <w:r>
        <w:rPr>
          <w:color w:val="231F20"/>
          <w:w w:val="105"/>
        </w:rPr>
        <w:t>de</w:t>
      </w:r>
      <w:r>
        <w:rPr>
          <w:color w:val="231F20"/>
          <w:spacing w:val="-10"/>
          <w:w w:val="105"/>
        </w:rPr>
        <w:t> </w:t>
      </w:r>
      <w:r>
        <w:rPr>
          <w:color w:val="231F20"/>
          <w:w w:val="105"/>
        </w:rPr>
        <w:t>elaborar</w:t>
      </w:r>
      <w:r>
        <w:rPr>
          <w:color w:val="231F20"/>
          <w:spacing w:val="-10"/>
          <w:w w:val="105"/>
        </w:rPr>
        <w:t> </w:t>
      </w:r>
      <w:r>
        <w:rPr>
          <w:color w:val="231F20"/>
          <w:w w:val="105"/>
        </w:rPr>
        <w:t>manuales</w:t>
      </w:r>
      <w:r>
        <w:rPr>
          <w:color w:val="231F20"/>
          <w:spacing w:val="-10"/>
          <w:w w:val="105"/>
        </w:rPr>
        <w:t> </w:t>
      </w:r>
      <w:r>
        <w:rPr>
          <w:color w:val="231F20"/>
          <w:w w:val="105"/>
        </w:rPr>
        <w:t>de</w:t>
      </w:r>
      <w:r>
        <w:rPr>
          <w:color w:val="231F20"/>
          <w:spacing w:val="-10"/>
          <w:w w:val="105"/>
        </w:rPr>
        <w:t> </w:t>
      </w:r>
      <w:r>
        <w:rPr>
          <w:color w:val="231F20"/>
          <w:w w:val="105"/>
        </w:rPr>
        <w:t>organización</w:t>
      </w:r>
      <w:r>
        <w:rPr>
          <w:color w:val="231F20"/>
          <w:spacing w:val="-10"/>
          <w:w w:val="105"/>
        </w:rPr>
        <w:t> </w:t>
      </w:r>
      <w:r>
        <w:rPr>
          <w:color w:val="231F20"/>
          <w:w w:val="105"/>
        </w:rPr>
        <w:t>y</w:t>
      </w:r>
      <w:r>
        <w:rPr>
          <w:color w:val="231F20"/>
          <w:spacing w:val="-10"/>
          <w:w w:val="105"/>
        </w:rPr>
        <w:t> </w:t>
      </w:r>
      <w:r>
        <w:rPr>
          <w:color w:val="231F20"/>
          <w:w w:val="105"/>
        </w:rPr>
        <w:t>procedimientos.</w:t>
      </w:r>
    </w:p>
    <w:p>
      <w:pPr>
        <w:pStyle w:val="BodyText"/>
        <w:spacing w:before="1"/>
        <w:rPr>
          <w:sz w:val="26"/>
        </w:rPr>
      </w:pPr>
    </w:p>
    <w:p>
      <w:pPr>
        <w:pStyle w:val="BodyText"/>
        <w:spacing w:line="285" w:lineRule="auto"/>
        <w:ind w:left="110" w:right="108"/>
        <w:jc w:val="both"/>
      </w:pPr>
      <w:r>
        <w:rPr>
          <w:color w:val="231F20"/>
          <w:w w:val="105"/>
        </w:rPr>
        <w:t>También se requiere mejorar los esquemas organizacionales de la estructura adminis- trativa, toda vez que subsisten áreas con marcada indefinición en la conformación de responsabilidades y de atribuciones.</w:t>
      </w:r>
    </w:p>
    <w:p>
      <w:pPr>
        <w:pStyle w:val="BodyText"/>
        <w:spacing w:before="2"/>
        <w:rPr>
          <w:sz w:val="20"/>
        </w:rPr>
      </w:pPr>
    </w:p>
    <w:p>
      <w:pPr>
        <w:pStyle w:val="Heading4"/>
        <w:rPr>
          <w:i/>
        </w:rPr>
      </w:pPr>
      <w:r>
        <w:rPr>
          <w:i/>
          <w:color w:val="231F20"/>
        </w:rPr>
        <w:t>Participación</w:t>
      </w:r>
      <w:r>
        <w:rPr>
          <w:i/>
          <w:color w:val="231F20"/>
          <w:spacing w:val="52"/>
        </w:rPr>
        <w:t> </w:t>
      </w:r>
      <w:r>
        <w:rPr>
          <w:i/>
          <w:color w:val="231F20"/>
        </w:rPr>
        <w:t>Social</w:t>
      </w:r>
    </w:p>
    <w:p>
      <w:pPr>
        <w:pStyle w:val="BodyText"/>
        <w:spacing w:line="285" w:lineRule="auto" w:before="16"/>
        <w:ind w:left="110" w:right="107"/>
        <w:jc w:val="both"/>
      </w:pPr>
      <w:r>
        <w:rPr>
          <w:color w:val="231F20"/>
          <w:spacing w:val="3"/>
          <w:w w:val="105"/>
        </w:rPr>
        <w:t>Al </w:t>
      </w:r>
      <w:r>
        <w:rPr>
          <w:color w:val="231F20"/>
          <w:w w:val="105"/>
        </w:rPr>
        <w:t>respecto se pueden evidenciar dos formas que combinadas dan el perfil a la toma de decisiones en el municipio. La primera tiene que ver con la apertura de canales de comunicación en el gobierno municipal. La segunda, con la toma de decisiones parti- cipativa. Ello no resulta difícil de observar en razón de la integración entre partido y líderes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organizaciones,</w:t>
      </w:r>
      <w:r>
        <w:rPr>
          <w:color w:val="231F20"/>
          <w:spacing w:val="-23"/>
          <w:w w:val="105"/>
        </w:rPr>
        <w:t> </w:t>
      </w:r>
      <w:r>
        <w:rPr>
          <w:color w:val="231F20"/>
          <w:w w:val="105"/>
        </w:rPr>
        <w:t>ya</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varias</w:t>
      </w:r>
      <w:r>
        <w:rPr>
          <w:color w:val="231F20"/>
          <w:spacing w:val="-23"/>
          <w:w w:val="105"/>
        </w:rPr>
        <w:t> </w:t>
      </w:r>
      <w:r>
        <w:rPr>
          <w:color w:val="231F20"/>
          <w:w w:val="105"/>
        </w:rPr>
        <w:t>de</w:t>
      </w:r>
      <w:r>
        <w:rPr>
          <w:color w:val="231F20"/>
          <w:spacing w:val="-23"/>
          <w:w w:val="105"/>
        </w:rPr>
        <w:t> </w:t>
      </w:r>
      <w:r>
        <w:rPr>
          <w:color w:val="231F20"/>
          <w:w w:val="105"/>
        </w:rPr>
        <w:t>ellas</w:t>
      </w:r>
      <w:r>
        <w:rPr>
          <w:color w:val="231F20"/>
          <w:spacing w:val="-23"/>
          <w:w w:val="105"/>
        </w:rPr>
        <w:t> </w:t>
      </w:r>
      <w:r>
        <w:rPr>
          <w:color w:val="231F20"/>
          <w:w w:val="105"/>
        </w:rPr>
        <w:t>su</w:t>
      </w:r>
      <w:r>
        <w:rPr>
          <w:color w:val="231F20"/>
          <w:spacing w:val="-23"/>
          <w:w w:val="105"/>
        </w:rPr>
        <w:t> </w:t>
      </w:r>
      <w:r>
        <w:rPr>
          <w:color w:val="231F20"/>
          <w:w w:val="105"/>
        </w:rPr>
        <w:t>marcaje</w:t>
      </w:r>
      <w:r>
        <w:rPr>
          <w:color w:val="231F20"/>
          <w:spacing w:val="-23"/>
          <w:w w:val="105"/>
        </w:rPr>
        <w:t> </w:t>
      </w:r>
      <w:r>
        <w:rPr>
          <w:color w:val="231F20"/>
          <w:w w:val="105"/>
        </w:rPr>
        <w:t>político</w:t>
      </w:r>
      <w:r>
        <w:rPr>
          <w:color w:val="231F20"/>
          <w:spacing w:val="-23"/>
          <w:w w:val="105"/>
        </w:rPr>
        <w:t> </w:t>
      </w:r>
      <w:r>
        <w:rPr>
          <w:color w:val="231F20"/>
          <w:w w:val="105"/>
        </w:rPr>
        <w:t>es</w:t>
      </w:r>
      <w:r>
        <w:rPr>
          <w:color w:val="231F20"/>
          <w:spacing w:val="-23"/>
          <w:w w:val="105"/>
        </w:rPr>
        <w:t> </w:t>
      </w:r>
      <w:r>
        <w:rPr>
          <w:color w:val="231F20"/>
          <w:w w:val="105"/>
        </w:rPr>
        <w:t>evidente.</w:t>
      </w:r>
      <w:r>
        <w:rPr>
          <w:color w:val="231F20"/>
          <w:spacing w:val="-23"/>
          <w:w w:val="105"/>
        </w:rPr>
        <w:t> </w:t>
      </w:r>
      <w:r>
        <w:rPr>
          <w:color w:val="231F20"/>
          <w:w w:val="105"/>
        </w:rPr>
        <w:t>El gobierno</w:t>
      </w:r>
      <w:r>
        <w:rPr>
          <w:color w:val="231F20"/>
          <w:spacing w:val="-8"/>
          <w:w w:val="105"/>
        </w:rPr>
        <w:t> </w:t>
      </w:r>
      <w:r>
        <w:rPr>
          <w:color w:val="231F20"/>
          <w:w w:val="105"/>
        </w:rPr>
        <w:t>municipal,</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Boletín</w:t>
      </w:r>
      <w:r>
        <w:rPr>
          <w:color w:val="231F20"/>
          <w:spacing w:val="-8"/>
          <w:w w:val="105"/>
        </w:rPr>
        <w:t> </w:t>
      </w:r>
      <w:r>
        <w:rPr>
          <w:color w:val="231F20"/>
          <w:w w:val="105"/>
        </w:rPr>
        <w:t>Informativo</w:t>
      </w:r>
      <w:r>
        <w:rPr>
          <w:color w:val="231F20"/>
          <w:spacing w:val="-8"/>
          <w:w w:val="105"/>
        </w:rPr>
        <w:t> </w:t>
      </w:r>
      <w:r>
        <w:rPr>
          <w:color w:val="231F20"/>
          <w:w w:val="105"/>
        </w:rPr>
        <w:t>196,</w:t>
      </w:r>
      <w:r>
        <w:rPr>
          <w:color w:val="231F20"/>
          <w:spacing w:val="-8"/>
          <w:w w:val="105"/>
        </w:rPr>
        <w:t> </w:t>
      </w:r>
      <w:r>
        <w:rPr>
          <w:color w:val="231F20"/>
          <w:w w:val="105"/>
        </w:rPr>
        <w:t>del</w:t>
      </w:r>
      <w:r>
        <w:rPr>
          <w:color w:val="231F20"/>
          <w:spacing w:val="-8"/>
          <w:w w:val="105"/>
        </w:rPr>
        <w:t> </w:t>
      </w:r>
      <w:r>
        <w:rPr>
          <w:color w:val="231F20"/>
          <w:w w:val="105"/>
        </w:rPr>
        <w:t>15</w:t>
      </w:r>
      <w:r>
        <w:rPr>
          <w:color w:val="231F20"/>
          <w:spacing w:val="-8"/>
          <w:w w:val="105"/>
        </w:rPr>
        <w:t> </w:t>
      </w:r>
      <w:r>
        <w:rPr>
          <w:color w:val="231F20"/>
          <w:w w:val="105"/>
        </w:rPr>
        <w:t>de</w:t>
      </w:r>
      <w:r>
        <w:rPr>
          <w:color w:val="231F20"/>
          <w:spacing w:val="-8"/>
          <w:w w:val="105"/>
        </w:rPr>
        <w:t> </w:t>
      </w:r>
      <w:r>
        <w:rPr>
          <w:color w:val="231F20"/>
          <w:w w:val="105"/>
        </w:rPr>
        <w:t>enero</w:t>
      </w:r>
      <w:r>
        <w:rPr>
          <w:color w:val="231F20"/>
          <w:spacing w:val="-8"/>
          <w:w w:val="105"/>
        </w:rPr>
        <w:t> </w:t>
      </w:r>
      <w:r>
        <w:rPr>
          <w:color w:val="231F20"/>
          <w:w w:val="105"/>
        </w:rPr>
        <w:t>de</w:t>
      </w:r>
      <w:r>
        <w:rPr>
          <w:color w:val="231F20"/>
          <w:spacing w:val="-8"/>
          <w:w w:val="105"/>
        </w:rPr>
        <w:t> </w:t>
      </w:r>
      <w:r>
        <w:rPr>
          <w:color w:val="231F20"/>
          <w:spacing w:val="3"/>
          <w:w w:val="105"/>
        </w:rPr>
        <w:t>2008</w:t>
      </w:r>
      <w:r>
        <w:rPr>
          <w:color w:val="231F20"/>
          <w:spacing w:val="-8"/>
          <w:w w:val="105"/>
        </w:rPr>
        <w:t> </w:t>
      </w:r>
      <w:r>
        <w:rPr>
          <w:color w:val="231F20"/>
          <w:w w:val="105"/>
        </w:rPr>
        <w:t>incluye</w:t>
      </w:r>
      <w:r>
        <w:rPr>
          <w:color w:val="231F20"/>
          <w:spacing w:val="-8"/>
          <w:w w:val="105"/>
        </w:rPr>
        <w:t> </w:t>
      </w:r>
      <w:r>
        <w:rPr>
          <w:color w:val="231F20"/>
          <w:w w:val="105"/>
        </w:rPr>
        <w:t>la nota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renovación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plenos</w:t>
      </w:r>
      <w:r>
        <w:rPr>
          <w:color w:val="231F20"/>
          <w:spacing w:val="-12"/>
          <w:w w:val="105"/>
        </w:rPr>
        <w:t> </w:t>
      </w:r>
      <w:r>
        <w:rPr>
          <w:color w:val="231F20"/>
          <w:w w:val="105"/>
        </w:rPr>
        <w:t>municipales,</w:t>
      </w:r>
      <w:r>
        <w:rPr>
          <w:color w:val="231F20"/>
          <w:spacing w:val="-12"/>
          <w:w w:val="105"/>
        </w:rPr>
        <w:t> </w:t>
      </w:r>
      <w:r>
        <w:rPr>
          <w:color w:val="231F20"/>
          <w:spacing w:val="-3"/>
          <w:w w:val="105"/>
        </w:rPr>
        <w:t>donde</w:t>
      </w:r>
      <w:r>
        <w:rPr>
          <w:color w:val="231F20"/>
          <w:spacing w:val="-12"/>
          <w:w w:val="105"/>
        </w:rPr>
        <w:t> </w:t>
      </w:r>
      <w:r>
        <w:rPr>
          <w:color w:val="231F20"/>
          <w:w w:val="105"/>
        </w:rPr>
        <w:t>quedó</w:t>
      </w:r>
      <w:r>
        <w:rPr>
          <w:color w:val="231F20"/>
          <w:spacing w:val="-12"/>
          <w:w w:val="105"/>
        </w:rPr>
        <w:t> </w:t>
      </w:r>
      <w:r>
        <w:rPr>
          <w:color w:val="231F20"/>
          <w:w w:val="105"/>
        </w:rPr>
        <w:t>de</w:t>
      </w:r>
      <w:r>
        <w:rPr>
          <w:color w:val="231F20"/>
          <w:spacing w:val="-12"/>
          <w:w w:val="105"/>
        </w:rPr>
        <w:t> </w:t>
      </w:r>
      <w:r>
        <w:rPr>
          <w:color w:val="231F20"/>
          <w:w w:val="105"/>
        </w:rPr>
        <w:t>manifiesto</w:t>
      </w:r>
      <w:r>
        <w:rPr>
          <w:color w:val="231F20"/>
          <w:spacing w:val="-12"/>
          <w:w w:val="105"/>
        </w:rPr>
        <w:t> </w:t>
      </w:r>
      <w:r>
        <w:rPr>
          <w:color w:val="231F20"/>
          <w:w w:val="105"/>
        </w:rPr>
        <w:t>la</w:t>
      </w:r>
      <w:r>
        <w:rPr>
          <w:color w:val="231F20"/>
          <w:spacing w:val="-12"/>
          <w:w w:val="105"/>
        </w:rPr>
        <w:t> </w:t>
      </w:r>
      <w:r>
        <w:rPr>
          <w:color w:val="231F20"/>
          <w:w w:val="105"/>
        </w:rPr>
        <w:t>afinidad entre</w:t>
      </w:r>
      <w:r>
        <w:rPr>
          <w:color w:val="231F20"/>
          <w:spacing w:val="-9"/>
          <w:w w:val="105"/>
        </w:rPr>
        <w:t> </w:t>
      </w:r>
      <w:r>
        <w:rPr>
          <w:color w:val="231F20"/>
          <w:w w:val="105"/>
        </w:rPr>
        <w:t>el</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y</w:t>
      </w:r>
      <w:r>
        <w:rPr>
          <w:color w:val="231F20"/>
          <w:spacing w:val="-9"/>
          <w:w w:val="105"/>
        </w:rPr>
        <w:t> </w:t>
      </w:r>
      <w:r>
        <w:rPr>
          <w:color w:val="231F20"/>
          <w:w w:val="105"/>
        </w:rPr>
        <w:t>una</w:t>
      </w:r>
      <w:r>
        <w:rPr>
          <w:color w:val="231F20"/>
          <w:spacing w:val="-9"/>
          <w:w w:val="105"/>
        </w:rPr>
        <w:t> </w:t>
      </w:r>
      <w:r>
        <w:rPr>
          <w:color w:val="231F20"/>
          <w:w w:val="105"/>
        </w:rPr>
        <w:t>organización</w:t>
      </w:r>
      <w:r>
        <w:rPr>
          <w:color w:val="231F20"/>
          <w:spacing w:val="-9"/>
          <w:w w:val="105"/>
        </w:rPr>
        <w:t> </w:t>
      </w:r>
      <w:r>
        <w:rPr>
          <w:color w:val="231F20"/>
          <w:w w:val="105"/>
        </w:rPr>
        <w:t>priísta,</w:t>
      </w:r>
      <w:r>
        <w:rPr>
          <w:color w:val="231F20"/>
          <w:spacing w:val="-9"/>
          <w:w w:val="105"/>
        </w:rPr>
        <w:t> </w:t>
      </w:r>
      <w:r>
        <w:rPr>
          <w:color w:val="231F20"/>
          <w:w w:val="105"/>
        </w:rPr>
        <w:t>la</w:t>
      </w:r>
      <w:r>
        <w:rPr>
          <w:color w:val="231F20"/>
          <w:spacing w:val="-9"/>
          <w:w w:val="105"/>
        </w:rPr>
        <w:t> </w:t>
      </w:r>
      <w:r>
        <w:rPr>
          <w:color w:val="231F20"/>
          <w:w w:val="105"/>
        </w:rPr>
        <w:t>Confederación</w:t>
      </w:r>
      <w:r>
        <w:rPr>
          <w:color w:val="231F20"/>
          <w:spacing w:val="-9"/>
          <w:w w:val="105"/>
        </w:rPr>
        <w:t> </w:t>
      </w:r>
      <w:r>
        <w:rPr>
          <w:color w:val="231F20"/>
          <w:w w:val="105"/>
        </w:rPr>
        <w:t>Nacional</w:t>
      </w:r>
      <w:r>
        <w:rPr>
          <w:color w:val="231F20"/>
          <w:spacing w:val="-9"/>
          <w:w w:val="105"/>
        </w:rPr>
        <w:t> </w:t>
      </w:r>
      <w:r>
        <w:rPr>
          <w:color w:val="231F20"/>
          <w:w w:val="105"/>
        </w:rPr>
        <w:t>de Organizaciones</w:t>
      </w:r>
      <w:r>
        <w:rPr>
          <w:color w:val="231F20"/>
          <w:spacing w:val="-28"/>
          <w:w w:val="105"/>
        </w:rPr>
        <w:t> </w:t>
      </w:r>
      <w:r>
        <w:rPr>
          <w:color w:val="231F20"/>
          <w:w w:val="105"/>
        </w:rPr>
        <w:t>Populares</w:t>
      </w:r>
      <w:r>
        <w:rPr>
          <w:color w:val="231F20"/>
          <w:spacing w:val="-28"/>
          <w:w w:val="105"/>
        </w:rPr>
        <w:t> </w:t>
      </w:r>
      <w:r>
        <w:rPr>
          <w:color w:val="231F20"/>
          <w:spacing w:val="-4"/>
          <w:w w:val="105"/>
        </w:rPr>
        <w:t>(CNOP).</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spacing w:val="-5"/>
          <w:w w:val="105"/>
        </w:rPr>
        <w:t>“Ante </w:t>
      </w:r>
      <w:r>
        <w:rPr>
          <w:color w:val="231F20"/>
          <w:w w:val="105"/>
        </w:rPr>
        <w:t>más de </w:t>
      </w:r>
      <w:r>
        <w:rPr>
          <w:color w:val="231F20"/>
          <w:spacing w:val="2"/>
          <w:w w:val="105"/>
        </w:rPr>
        <w:t>500 </w:t>
      </w:r>
      <w:r>
        <w:rPr>
          <w:color w:val="231F20"/>
          <w:w w:val="105"/>
        </w:rPr>
        <w:t>militantes y simpatizantes, Fernando Zamora Morales, secre- tario general del sector popular en la entidad, tomó protesta a Javier Castro Cid del Prado, quien fue electo en sesión ordinaria del pleno municipal de la </w:t>
      </w:r>
      <w:r>
        <w:rPr>
          <w:color w:val="231F20"/>
          <w:spacing w:val="-5"/>
          <w:w w:val="105"/>
        </w:rPr>
        <w:t>CNOP. </w:t>
      </w:r>
      <w:r>
        <w:rPr>
          <w:color w:val="231F20"/>
          <w:w w:val="105"/>
        </w:rPr>
        <w:t>Acompañado</w:t>
      </w:r>
      <w:r>
        <w:rPr>
          <w:color w:val="231F20"/>
          <w:spacing w:val="-12"/>
          <w:w w:val="105"/>
        </w:rPr>
        <w:t> </w:t>
      </w:r>
      <w:r>
        <w:rPr>
          <w:color w:val="231F20"/>
          <w:w w:val="105"/>
        </w:rPr>
        <w:t>del</w:t>
      </w:r>
      <w:r>
        <w:rPr>
          <w:color w:val="231F20"/>
          <w:spacing w:val="-12"/>
          <w:w w:val="105"/>
        </w:rPr>
        <w:t> </w:t>
      </w:r>
      <w:r>
        <w:rPr>
          <w:color w:val="231F20"/>
          <w:w w:val="105"/>
        </w:rPr>
        <w:t>presidente</w:t>
      </w:r>
      <w:r>
        <w:rPr>
          <w:color w:val="231F20"/>
          <w:spacing w:val="-12"/>
          <w:w w:val="105"/>
        </w:rPr>
        <w:t> </w:t>
      </w:r>
      <w:r>
        <w:rPr>
          <w:color w:val="231F20"/>
          <w:w w:val="105"/>
        </w:rPr>
        <w:t>municipal</w:t>
      </w:r>
      <w:r>
        <w:rPr>
          <w:color w:val="231F20"/>
          <w:spacing w:val="-12"/>
          <w:w w:val="105"/>
        </w:rPr>
        <w:t> </w:t>
      </w:r>
      <w:r>
        <w:rPr>
          <w:color w:val="231F20"/>
          <w:w w:val="105"/>
        </w:rPr>
        <w:t>Marcos</w:t>
      </w:r>
      <w:r>
        <w:rPr>
          <w:color w:val="231F20"/>
          <w:spacing w:val="-12"/>
          <w:w w:val="105"/>
        </w:rPr>
        <w:t> </w:t>
      </w:r>
      <w:r>
        <w:rPr>
          <w:color w:val="231F20"/>
          <w:w w:val="105"/>
        </w:rPr>
        <w:t>Márquez</w:t>
      </w:r>
      <w:r>
        <w:rPr>
          <w:color w:val="231F20"/>
          <w:spacing w:val="-12"/>
          <w:w w:val="105"/>
        </w:rPr>
        <w:t> </w:t>
      </w:r>
      <w:r>
        <w:rPr>
          <w:color w:val="231F20"/>
          <w:w w:val="105"/>
        </w:rPr>
        <w:t>Mercado</w:t>
      </w:r>
      <w:r>
        <w:rPr>
          <w:color w:val="231F20"/>
          <w:spacing w:val="-12"/>
          <w:w w:val="105"/>
        </w:rPr>
        <w:t> </w:t>
      </w:r>
      <w:r>
        <w:rPr>
          <w:color w:val="231F20"/>
          <w:w w:val="105"/>
        </w:rPr>
        <w:t>y</w:t>
      </w:r>
      <w:r>
        <w:rPr>
          <w:color w:val="231F20"/>
          <w:spacing w:val="-12"/>
          <w:w w:val="105"/>
        </w:rPr>
        <w:t> </w:t>
      </w:r>
      <w:r>
        <w:rPr>
          <w:color w:val="231F20"/>
          <w:w w:val="105"/>
        </w:rPr>
        <w:t>del</w:t>
      </w:r>
      <w:r>
        <w:rPr>
          <w:color w:val="231F20"/>
          <w:spacing w:val="-12"/>
          <w:w w:val="105"/>
        </w:rPr>
        <w:t> </w:t>
      </w:r>
      <w:r>
        <w:rPr>
          <w:color w:val="231F20"/>
          <w:w w:val="105"/>
        </w:rPr>
        <w:t>diputado local</w:t>
      </w:r>
      <w:r>
        <w:rPr>
          <w:color w:val="231F20"/>
          <w:spacing w:val="-32"/>
          <w:w w:val="105"/>
        </w:rPr>
        <w:t> </w:t>
      </w:r>
      <w:r>
        <w:rPr>
          <w:color w:val="231F20"/>
          <w:w w:val="105"/>
        </w:rPr>
        <w:t>por</w:t>
      </w:r>
      <w:r>
        <w:rPr>
          <w:color w:val="231F20"/>
          <w:spacing w:val="-32"/>
          <w:w w:val="105"/>
        </w:rPr>
        <w:t> </w:t>
      </w:r>
      <w:r>
        <w:rPr>
          <w:color w:val="231F20"/>
          <w:w w:val="105"/>
        </w:rPr>
        <w:t>el</w:t>
      </w:r>
      <w:r>
        <w:rPr>
          <w:color w:val="231F20"/>
          <w:spacing w:val="-32"/>
          <w:w w:val="105"/>
        </w:rPr>
        <w:t> </w:t>
      </w:r>
      <w:r>
        <w:rPr>
          <w:color w:val="231F20"/>
          <w:w w:val="105"/>
        </w:rPr>
        <w:t>distrito</w:t>
      </w:r>
      <w:r>
        <w:rPr>
          <w:color w:val="231F20"/>
          <w:spacing w:val="-32"/>
          <w:w w:val="105"/>
        </w:rPr>
        <w:t> </w:t>
      </w:r>
      <w:r>
        <w:rPr>
          <w:color w:val="231F20"/>
          <w:spacing w:val="3"/>
          <w:w w:val="105"/>
        </w:rPr>
        <w:t>XXXVI</w:t>
      </w:r>
      <w:r>
        <w:rPr>
          <w:color w:val="231F20"/>
          <w:spacing w:val="-32"/>
          <w:w w:val="105"/>
        </w:rPr>
        <w:t> </w:t>
      </w:r>
      <w:r>
        <w:rPr>
          <w:color w:val="231F20"/>
          <w:w w:val="105"/>
        </w:rPr>
        <w:t>Everardo</w:t>
      </w:r>
      <w:r>
        <w:rPr>
          <w:color w:val="231F20"/>
          <w:spacing w:val="-32"/>
          <w:w w:val="105"/>
        </w:rPr>
        <w:t> </w:t>
      </w:r>
      <w:r>
        <w:rPr>
          <w:color w:val="231F20"/>
          <w:w w:val="105"/>
        </w:rPr>
        <w:t>Pedro</w:t>
      </w:r>
      <w:r>
        <w:rPr>
          <w:color w:val="231F20"/>
          <w:spacing w:val="-32"/>
          <w:w w:val="105"/>
        </w:rPr>
        <w:t> </w:t>
      </w:r>
      <w:r>
        <w:rPr>
          <w:color w:val="231F20"/>
          <w:w w:val="105"/>
        </w:rPr>
        <w:t>Vargas</w:t>
      </w:r>
      <w:r>
        <w:rPr>
          <w:color w:val="231F20"/>
          <w:spacing w:val="-32"/>
          <w:w w:val="105"/>
        </w:rPr>
        <w:t> </w:t>
      </w:r>
      <w:r>
        <w:rPr>
          <w:color w:val="231F20"/>
          <w:spacing w:val="-3"/>
          <w:w w:val="105"/>
        </w:rPr>
        <w:t>Reyes...”</w:t>
      </w:r>
    </w:p>
    <w:p>
      <w:pPr>
        <w:pStyle w:val="BodyText"/>
        <w:spacing w:before="1"/>
        <w:rPr>
          <w:sz w:val="26"/>
        </w:rPr>
      </w:pPr>
    </w:p>
    <w:p>
      <w:pPr>
        <w:pStyle w:val="BodyText"/>
        <w:ind w:left="110" w:right="574"/>
      </w:pPr>
      <w:r>
        <w:rPr>
          <w:color w:val="231F20"/>
        </w:rPr>
        <w:t>Es el propio presidente municipal quien afirma   que:</w:t>
      </w:r>
    </w:p>
    <w:p>
      <w:pPr>
        <w:pStyle w:val="BodyText"/>
        <w:spacing w:line="285" w:lineRule="auto" w:before="47"/>
        <w:ind w:left="677" w:right="107"/>
        <w:jc w:val="both"/>
        <w:rPr>
          <w:sz w:val="13"/>
        </w:rPr>
      </w:pPr>
      <w:r>
        <w:rPr>
          <w:color w:val="231F20"/>
          <w:spacing w:val="2"/>
          <w:w w:val="105"/>
        </w:rPr>
        <w:t>“la</w:t>
      </w:r>
      <w:r>
        <w:rPr>
          <w:color w:val="231F20"/>
          <w:spacing w:val="-12"/>
          <w:w w:val="105"/>
        </w:rPr>
        <w:t> </w:t>
      </w:r>
      <w:r>
        <w:rPr>
          <w:color w:val="231F20"/>
          <w:w w:val="105"/>
        </w:rPr>
        <w:t>modalidad</w:t>
      </w:r>
      <w:r>
        <w:rPr>
          <w:color w:val="231F20"/>
          <w:spacing w:val="-12"/>
          <w:w w:val="105"/>
        </w:rPr>
        <w:t> </w:t>
      </w:r>
      <w:r>
        <w:rPr>
          <w:color w:val="231F20"/>
          <w:w w:val="105"/>
        </w:rPr>
        <w:t>más</w:t>
      </w:r>
      <w:r>
        <w:rPr>
          <w:color w:val="231F20"/>
          <w:spacing w:val="-12"/>
          <w:w w:val="105"/>
        </w:rPr>
        <w:t> </w:t>
      </w:r>
      <w:r>
        <w:rPr>
          <w:color w:val="231F20"/>
          <w:w w:val="105"/>
        </w:rPr>
        <w:t>recurrente</w:t>
      </w:r>
      <w:r>
        <w:rPr>
          <w:color w:val="231F20"/>
          <w:spacing w:val="-12"/>
          <w:w w:val="105"/>
        </w:rPr>
        <w:t> </w:t>
      </w:r>
      <w:r>
        <w:rPr>
          <w:color w:val="231F20"/>
          <w:w w:val="105"/>
        </w:rPr>
        <w:t>fue</w:t>
      </w:r>
      <w:r>
        <w:rPr>
          <w:color w:val="231F20"/>
          <w:spacing w:val="-12"/>
          <w:w w:val="105"/>
        </w:rPr>
        <w:t> </w:t>
      </w:r>
      <w:r>
        <w:rPr>
          <w:color w:val="231F20"/>
          <w:w w:val="105"/>
        </w:rPr>
        <w:t>la</w:t>
      </w:r>
      <w:r>
        <w:rPr>
          <w:color w:val="231F20"/>
          <w:spacing w:val="-12"/>
          <w:w w:val="105"/>
        </w:rPr>
        <w:t> </w:t>
      </w:r>
      <w:r>
        <w:rPr>
          <w:color w:val="231F20"/>
          <w:w w:val="105"/>
        </w:rPr>
        <w:t>conformación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Consejos</w:t>
      </w:r>
      <w:r>
        <w:rPr>
          <w:color w:val="231F20"/>
          <w:spacing w:val="-12"/>
          <w:w w:val="105"/>
        </w:rPr>
        <w:t> </w:t>
      </w:r>
      <w:r>
        <w:rPr>
          <w:color w:val="231F20"/>
          <w:w w:val="105"/>
        </w:rPr>
        <w:t>de</w:t>
      </w:r>
      <w:r>
        <w:rPr>
          <w:color w:val="231F20"/>
          <w:spacing w:val="-12"/>
          <w:w w:val="105"/>
        </w:rPr>
        <w:t> </w:t>
      </w:r>
      <w:r>
        <w:rPr>
          <w:color w:val="231F20"/>
          <w:w w:val="105"/>
        </w:rPr>
        <w:t>Desarrollo Municipal (CODEMUN) con el </w:t>
      </w:r>
      <w:r>
        <w:rPr>
          <w:color w:val="231F20"/>
          <w:spacing w:val="2"/>
          <w:w w:val="105"/>
        </w:rPr>
        <w:t>fin </w:t>
      </w:r>
      <w:r>
        <w:rPr>
          <w:color w:val="231F20"/>
          <w:w w:val="105"/>
        </w:rPr>
        <w:t>de cumplir con uno de los requisitos prima- rios</w:t>
      </w:r>
      <w:r>
        <w:rPr>
          <w:color w:val="231F20"/>
          <w:spacing w:val="-6"/>
          <w:w w:val="10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w w:val="105"/>
        </w:rPr>
        <w:t>transferencia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recursos</w:t>
      </w:r>
      <w:r>
        <w:rPr>
          <w:color w:val="231F20"/>
          <w:spacing w:val="-6"/>
          <w:w w:val="105"/>
        </w:rPr>
        <w:t> </w:t>
      </w:r>
      <w:r>
        <w:rPr>
          <w:color w:val="231F20"/>
          <w:w w:val="105"/>
        </w:rPr>
        <w:t>del</w:t>
      </w:r>
      <w:r>
        <w:rPr>
          <w:color w:val="231F20"/>
          <w:spacing w:val="-6"/>
          <w:w w:val="105"/>
        </w:rPr>
        <w:t> </w:t>
      </w:r>
      <w:r>
        <w:rPr>
          <w:color w:val="231F20"/>
          <w:w w:val="105"/>
        </w:rPr>
        <w:t>Ramo</w:t>
      </w:r>
      <w:r>
        <w:rPr>
          <w:color w:val="231F20"/>
          <w:spacing w:val="-6"/>
          <w:w w:val="105"/>
        </w:rPr>
        <w:t> </w:t>
      </w:r>
      <w:r>
        <w:rPr>
          <w:color w:val="231F20"/>
          <w:spacing w:val="3"/>
          <w:w w:val="105"/>
        </w:rPr>
        <w:t>XXVI</w:t>
      </w:r>
      <w:r>
        <w:rPr>
          <w:color w:val="231F20"/>
          <w:spacing w:val="-6"/>
          <w:w w:val="105"/>
        </w:rPr>
        <w:t> </w:t>
      </w:r>
      <w:r>
        <w:rPr>
          <w:color w:val="231F20"/>
          <w:spacing w:val="-5"/>
          <w:w w:val="105"/>
        </w:rPr>
        <w:t>(de</w:t>
      </w:r>
      <w:r>
        <w:rPr>
          <w:color w:val="231F20"/>
          <w:spacing w:val="-6"/>
          <w:w w:val="105"/>
        </w:rPr>
        <w:t> </w:t>
      </w:r>
      <w:r>
        <w:rPr>
          <w:color w:val="231F20"/>
          <w:w w:val="105"/>
        </w:rPr>
        <w:t>apoyo</w:t>
      </w:r>
      <w:r>
        <w:rPr>
          <w:color w:val="231F20"/>
          <w:spacing w:val="-6"/>
          <w:w w:val="105"/>
        </w:rPr>
        <w:t> </w:t>
      </w:r>
      <w:r>
        <w:rPr>
          <w:color w:val="231F20"/>
          <w:w w:val="105"/>
        </w:rPr>
        <w:t>prioritario</w:t>
      </w:r>
      <w:r>
        <w:rPr>
          <w:color w:val="231F20"/>
          <w:spacing w:val="-6"/>
          <w:w w:val="105"/>
        </w:rPr>
        <w:t> </w:t>
      </w:r>
      <w:r>
        <w:rPr>
          <w:color w:val="231F20"/>
          <w:w w:val="105"/>
        </w:rPr>
        <w:t>a la pobreza extrema y las necesidades básicas). La participación se tradujo como supervisión</w:t>
      </w:r>
      <w:r>
        <w:rPr>
          <w:color w:val="231F20"/>
          <w:spacing w:val="-20"/>
          <w:w w:val="105"/>
        </w:rPr>
        <w:t> </w:t>
      </w:r>
      <w:r>
        <w:rPr>
          <w:color w:val="231F20"/>
          <w:w w:val="105"/>
        </w:rPr>
        <w:t>de</w:t>
      </w:r>
      <w:r>
        <w:rPr>
          <w:color w:val="231F20"/>
          <w:spacing w:val="-20"/>
          <w:w w:val="105"/>
        </w:rPr>
        <w:t> </w:t>
      </w:r>
      <w:r>
        <w:rPr>
          <w:color w:val="231F20"/>
          <w:w w:val="105"/>
        </w:rPr>
        <w:t>obras</w:t>
      </w:r>
      <w:r>
        <w:rPr>
          <w:color w:val="231F20"/>
          <w:spacing w:val="-20"/>
          <w:w w:val="105"/>
        </w:rPr>
        <w:t> </w:t>
      </w:r>
      <w:r>
        <w:rPr>
          <w:color w:val="231F20"/>
          <w:w w:val="105"/>
        </w:rPr>
        <w:t>y</w:t>
      </w:r>
      <w:r>
        <w:rPr>
          <w:color w:val="231F20"/>
          <w:spacing w:val="-20"/>
          <w:w w:val="105"/>
        </w:rPr>
        <w:t> </w:t>
      </w:r>
      <w:r>
        <w:rPr>
          <w:color w:val="231F20"/>
          <w:w w:val="105"/>
        </w:rPr>
        <w:t>monitoreo</w:t>
      </w:r>
      <w:r>
        <w:rPr>
          <w:color w:val="231F20"/>
          <w:spacing w:val="-20"/>
          <w:w w:val="105"/>
        </w:rPr>
        <w:t> </w:t>
      </w:r>
      <w:r>
        <w:rPr>
          <w:color w:val="231F20"/>
          <w:w w:val="105"/>
        </w:rPr>
        <w:t>de</w:t>
      </w:r>
      <w:r>
        <w:rPr>
          <w:color w:val="231F20"/>
          <w:spacing w:val="-20"/>
          <w:w w:val="105"/>
        </w:rPr>
        <w:t> </w:t>
      </w:r>
      <w:r>
        <w:rPr>
          <w:color w:val="231F20"/>
          <w:w w:val="105"/>
        </w:rPr>
        <w:t>recursos.</w:t>
      </w:r>
      <w:r>
        <w:rPr>
          <w:color w:val="231F20"/>
          <w:spacing w:val="-20"/>
          <w:w w:val="105"/>
        </w:rPr>
        <w:t> </w:t>
      </w:r>
      <w:r>
        <w:rPr>
          <w:color w:val="231F20"/>
          <w:w w:val="105"/>
        </w:rPr>
        <w:t>…</w:t>
      </w:r>
      <w:r>
        <w:rPr>
          <w:color w:val="231F20"/>
          <w:spacing w:val="-20"/>
          <w:w w:val="105"/>
        </w:rPr>
        <w:t> </w:t>
      </w:r>
      <w:r>
        <w:rPr>
          <w:color w:val="231F20"/>
          <w:w w:val="105"/>
        </w:rPr>
        <w:t>el</w:t>
      </w:r>
      <w:r>
        <w:rPr>
          <w:color w:val="231F20"/>
          <w:spacing w:val="-20"/>
          <w:w w:val="105"/>
        </w:rPr>
        <w:t> </w:t>
      </w:r>
      <w:r>
        <w:rPr>
          <w:color w:val="231F20"/>
          <w:w w:val="105"/>
        </w:rPr>
        <w:t>gobierno</w:t>
      </w:r>
      <w:r>
        <w:rPr>
          <w:color w:val="231F20"/>
          <w:spacing w:val="-20"/>
          <w:w w:val="105"/>
        </w:rPr>
        <w:t> </w:t>
      </w:r>
      <w:r>
        <w:rPr>
          <w:color w:val="231F20"/>
          <w:w w:val="105"/>
        </w:rPr>
        <w:t>municipal</w:t>
      </w:r>
      <w:r>
        <w:rPr>
          <w:color w:val="231F20"/>
          <w:spacing w:val="-20"/>
          <w:w w:val="105"/>
        </w:rPr>
        <w:t> </w:t>
      </w:r>
      <w:r>
        <w:rPr>
          <w:color w:val="231F20"/>
          <w:w w:val="105"/>
        </w:rPr>
        <w:t>considera que quienes deben planear, coordinar y </w:t>
      </w:r>
      <w:r>
        <w:rPr>
          <w:color w:val="231F20"/>
          <w:spacing w:val="2"/>
          <w:w w:val="105"/>
        </w:rPr>
        <w:t>dirigir </w:t>
      </w:r>
      <w:r>
        <w:rPr>
          <w:color w:val="231F20"/>
          <w:w w:val="105"/>
        </w:rPr>
        <w:t>los trabajos en obra pública son los</w:t>
      </w:r>
      <w:r>
        <w:rPr>
          <w:color w:val="231F20"/>
          <w:spacing w:val="-15"/>
          <w:w w:val="105"/>
        </w:rPr>
        <w:t> </w:t>
      </w:r>
      <w:r>
        <w:rPr>
          <w:color w:val="231F20"/>
          <w:spacing w:val="-3"/>
          <w:w w:val="105"/>
        </w:rPr>
        <w:t>propios</w:t>
      </w:r>
      <w:r>
        <w:rPr>
          <w:color w:val="231F20"/>
          <w:spacing w:val="-15"/>
          <w:w w:val="105"/>
        </w:rPr>
        <w:t> </w:t>
      </w:r>
      <w:r>
        <w:rPr>
          <w:color w:val="231F20"/>
          <w:w w:val="105"/>
        </w:rPr>
        <w:t>pobladores.</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sentido,</w:t>
      </w:r>
      <w:r>
        <w:rPr>
          <w:color w:val="231F20"/>
          <w:spacing w:val="-15"/>
          <w:w w:val="105"/>
        </w:rPr>
        <w:t> </w:t>
      </w:r>
      <w:r>
        <w:rPr>
          <w:color w:val="231F20"/>
          <w:w w:val="105"/>
        </w:rPr>
        <w:t>se</w:t>
      </w:r>
      <w:r>
        <w:rPr>
          <w:color w:val="231F20"/>
          <w:spacing w:val="-15"/>
          <w:w w:val="105"/>
        </w:rPr>
        <w:t> </w:t>
      </w:r>
      <w:r>
        <w:rPr>
          <w:color w:val="231F20"/>
          <w:w w:val="105"/>
        </w:rPr>
        <w:t>priorizó</w:t>
      </w:r>
      <w:r>
        <w:rPr>
          <w:color w:val="231F20"/>
          <w:spacing w:val="-15"/>
          <w:w w:val="105"/>
        </w:rPr>
        <w:t> </w:t>
      </w:r>
      <w:r>
        <w:rPr>
          <w:color w:val="231F20"/>
          <w:w w:val="105"/>
        </w:rPr>
        <w:t>la</w:t>
      </w:r>
      <w:r>
        <w:rPr>
          <w:color w:val="231F20"/>
          <w:spacing w:val="-15"/>
          <w:w w:val="105"/>
        </w:rPr>
        <w:t> </w:t>
      </w:r>
      <w:r>
        <w:rPr>
          <w:color w:val="231F20"/>
          <w:w w:val="105"/>
        </w:rPr>
        <w:t>participación</w:t>
      </w:r>
      <w:r>
        <w:rPr>
          <w:color w:val="231F20"/>
          <w:spacing w:val="-15"/>
          <w:w w:val="105"/>
        </w:rPr>
        <w:t> </w:t>
      </w:r>
      <w:r>
        <w:rPr>
          <w:color w:val="231F20"/>
          <w:w w:val="105"/>
        </w:rPr>
        <w:t>ciudadana,</w:t>
      </w:r>
      <w:r>
        <w:rPr>
          <w:color w:val="231F20"/>
          <w:spacing w:val="-15"/>
          <w:w w:val="105"/>
        </w:rPr>
        <w:t> </w:t>
      </w:r>
      <w:r>
        <w:rPr>
          <w:color w:val="231F20"/>
          <w:w w:val="105"/>
        </w:rPr>
        <w:t>en tanto</w:t>
      </w:r>
      <w:r>
        <w:rPr>
          <w:color w:val="231F20"/>
          <w:spacing w:val="-24"/>
          <w:w w:val="105"/>
        </w:rPr>
        <w:t> </w:t>
      </w:r>
      <w:r>
        <w:rPr>
          <w:color w:val="231F20"/>
          <w:w w:val="105"/>
        </w:rPr>
        <w:t>participación</w:t>
      </w:r>
      <w:r>
        <w:rPr>
          <w:color w:val="231F20"/>
          <w:spacing w:val="-24"/>
          <w:w w:val="105"/>
        </w:rPr>
        <w:t> </w:t>
      </w:r>
      <w:r>
        <w:rPr>
          <w:color w:val="231F20"/>
          <w:w w:val="105"/>
        </w:rPr>
        <w:t>individual</w:t>
      </w:r>
      <w:r>
        <w:rPr>
          <w:color w:val="231F20"/>
          <w:spacing w:val="-24"/>
          <w:w w:val="105"/>
        </w:rPr>
        <w:t> </w:t>
      </w:r>
      <w:r>
        <w:rPr>
          <w:color w:val="231F20"/>
          <w:w w:val="105"/>
        </w:rPr>
        <w:t>con</w:t>
      </w:r>
      <w:r>
        <w:rPr>
          <w:color w:val="231F20"/>
          <w:spacing w:val="-24"/>
          <w:w w:val="105"/>
        </w:rPr>
        <w:t> </w:t>
      </w:r>
      <w:r>
        <w:rPr>
          <w:color w:val="231F20"/>
          <w:w w:val="105"/>
        </w:rPr>
        <w:t>el</w:t>
      </w:r>
      <w:r>
        <w:rPr>
          <w:color w:val="231F20"/>
          <w:spacing w:val="-24"/>
          <w:w w:val="105"/>
        </w:rPr>
        <w:t> </w:t>
      </w:r>
      <w:r>
        <w:rPr>
          <w:color w:val="231F20"/>
          <w:w w:val="105"/>
        </w:rPr>
        <w:t>gobierno</w:t>
      </w:r>
      <w:r>
        <w:rPr>
          <w:color w:val="231F20"/>
          <w:spacing w:val="-24"/>
          <w:w w:val="105"/>
        </w:rPr>
        <w:t> </w:t>
      </w:r>
      <w:r>
        <w:rPr>
          <w:color w:val="231F20"/>
          <w:spacing w:val="-3"/>
          <w:w w:val="105"/>
        </w:rPr>
        <w:t>local”…</w:t>
      </w:r>
      <w:r>
        <w:rPr>
          <w:color w:val="231F20"/>
          <w:spacing w:val="-3"/>
          <w:w w:val="105"/>
          <w:position w:val="7"/>
          <w:sz w:val="13"/>
        </w:rPr>
        <w:t>9</w:t>
      </w:r>
    </w:p>
    <w:p>
      <w:pPr>
        <w:pStyle w:val="BodyText"/>
        <w:rPr>
          <w:sz w:val="26"/>
        </w:rPr>
      </w:pPr>
    </w:p>
    <w:p>
      <w:pPr>
        <w:pStyle w:val="BodyText"/>
        <w:spacing w:before="1"/>
        <w:ind w:left="110" w:right="574"/>
      </w:pPr>
      <w:r>
        <w:rPr>
          <w:color w:val="231F20"/>
          <w:w w:val="105"/>
        </w:rPr>
        <w:t>Un ejemplo de lo anterior fue la modalidad de entrega de las obras públicas: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10144;mso-wrap-distance-left:0;mso-wrap-distance-right:0" from="42.519699pt,13.635925pt" to="114.519699pt,13.635925pt" stroked="true" strokeweight="1pt" strokecolor="#231f20">
            <w10:wrap type="topAndBottom"/>
          </v:line>
        </w:pict>
      </w:r>
    </w:p>
    <w:p>
      <w:pPr>
        <w:pStyle w:val="ListParagraph"/>
        <w:numPr>
          <w:ilvl w:val="0"/>
          <w:numId w:val="12"/>
        </w:numPr>
        <w:tabs>
          <w:tab w:pos="224" w:val="left" w:leader="none"/>
        </w:tabs>
        <w:spacing w:line="204" w:lineRule="exact" w:before="0" w:after="0"/>
        <w:ind w:left="223" w:right="0" w:hanging="113"/>
        <w:jc w:val="left"/>
        <w:rPr>
          <w:rFonts w:ascii="Arial" w:hAnsi="Arial"/>
          <w:sz w:val="20"/>
        </w:rPr>
      </w:pPr>
      <w:r>
        <w:rPr>
          <w:color w:val="231F20"/>
          <w:sz w:val="16"/>
        </w:rPr>
        <w:t>Ídem</w:t>
      </w:r>
      <w:r>
        <w:rPr>
          <w:rFonts w:ascii="Arial" w:hAnsi="Arial"/>
          <w:color w:val="231F20"/>
          <w:sz w:val="20"/>
        </w:rPr>
        <w:t>.</w:t>
      </w:r>
    </w:p>
    <w:p>
      <w:pPr>
        <w:spacing w:after="0" w:line="204" w:lineRule="exact"/>
        <w:jc w:val="left"/>
        <w:rPr>
          <w:rFonts w:ascii="Arial" w:hAnsi="Arial"/>
          <w:sz w:val="20"/>
        </w:rPr>
        <w:sectPr>
          <w:pgSz w:w="9640" w:h="12190"/>
          <w:pgMar w:header="0" w:footer="743" w:top="1120" w:bottom="940" w:left="740" w:right="740"/>
        </w:sectPr>
      </w:pPr>
    </w:p>
    <w:p>
      <w:pPr>
        <w:pStyle w:val="Heading5"/>
        <w:spacing w:before="27"/>
        <w:ind w:left="1849"/>
      </w:pPr>
      <w:r>
        <w:rPr>
          <w:color w:val="231F20"/>
          <w:w w:val="105"/>
        </w:rPr>
        <w:t>Cuadro 12 Participación social y obra pública.</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626"/>
        <w:gridCol w:w="1004"/>
        <w:gridCol w:w="6297"/>
      </w:tblGrid>
      <w:tr>
        <w:trPr>
          <w:trHeight w:val="135" w:hRule="exact"/>
        </w:trPr>
        <w:tc>
          <w:tcPr>
            <w:tcW w:w="626" w:type="dxa"/>
            <w:tcBorders>
              <w:bottom w:val="single" w:sz="8" w:space="0" w:color="231F20"/>
            </w:tcBorders>
          </w:tcPr>
          <w:p>
            <w:pPr>
              <w:pStyle w:val="TableParagraph"/>
              <w:spacing w:line="160" w:lineRule="exact"/>
              <w:ind w:left="137" w:right="136"/>
              <w:jc w:val="center"/>
              <w:rPr>
                <w:sz w:val="16"/>
              </w:rPr>
            </w:pPr>
            <w:r>
              <w:rPr>
                <w:color w:val="231F20"/>
                <w:w w:val="85"/>
                <w:sz w:val="16"/>
              </w:rPr>
              <w:t>Núm.</w:t>
            </w:r>
          </w:p>
        </w:tc>
        <w:tc>
          <w:tcPr>
            <w:tcW w:w="1004" w:type="dxa"/>
            <w:tcBorders>
              <w:bottom w:val="single" w:sz="8" w:space="0" w:color="231F20"/>
            </w:tcBorders>
          </w:tcPr>
          <w:p>
            <w:pPr>
              <w:pStyle w:val="TableParagraph"/>
              <w:spacing w:line="160" w:lineRule="exact"/>
              <w:ind w:left="278" w:right="120"/>
              <w:rPr>
                <w:sz w:val="16"/>
              </w:rPr>
            </w:pPr>
            <w:r>
              <w:rPr>
                <w:color w:val="231F20"/>
                <w:w w:val="85"/>
                <w:sz w:val="16"/>
              </w:rPr>
              <w:t>Mes/año</w:t>
            </w:r>
          </w:p>
        </w:tc>
        <w:tc>
          <w:tcPr>
            <w:tcW w:w="6297" w:type="dxa"/>
            <w:tcBorders>
              <w:bottom w:val="single" w:sz="8" w:space="0" w:color="231F20"/>
            </w:tcBorders>
          </w:tcPr>
          <w:p>
            <w:pPr>
              <w:pStyle w:val="TableParagraph"/>
              <w:spacing w:line="160" w:lineRule="exact"/>
              <w:ind w:left="3003" w:right="3003"/>
              <w:jc w:val="center"/>
              <w:rPr>
                <w:sz w:val="16"/>
              </w:rPr>
            </w:pPr>
            <w:r>
              <w:rPr>
                <w:color w:val="231F20"/>
                <w:w w:val="85"/>
                <w:sz w:val="16"/>
              </w:rPr>
              <w:t>Tipo</w:t>
            </w:r>
          </w:p>
        </w:tc>
      </w:tr>
      <w:tr>
        <w:trPr>
          <w:trHeight w:val="711" w:hRule="exact"/>
        </w:trPr>
        <w:tc>
          <w:tcPr>
            <w:tcW w:w="626" w:type="dxa"/>
            <w:tcBorders>
              <w:top w:val="single" w:sz="8" w:space="0" w:color="231F20"/>
            </w:tcBorders>
          </w:tcPr>
          <w:p>
            <w:pPr>
              <w:pStyle w:val="TableParagraph"/>
              <w:spacing w:before="2"/>
              <w:ind w:left="0"/>
              <w:rPr>
                <w:rFonts w:ascii="Times New Roman"/>
                <w:b/>
                <w:sz w:val="22"/>
              </w:rPr>
            </w:pPr>
          </w:p>
          <w:p>
            <w:pPr>
              <w:pStyle w:val="TableParagraph"/>
              <w:ind w:left="0"/>
              <w:jc w:val="center"/>
              <w:rPr>
                <w:sz w:val="16"/>
              </w:rPr>
            </w:pPr>
            <w:r>
              <w:rPr>
                <w:color w:val="231F20"/>
                <w:w w:val="75"/>
                <w:sz w:val="16"/>
              </w:rPr>
              <w:t>1</w:t>
            </w:r>
          </w:p>
        </w:tc>
        <w:tc>
          <w:tcPr>
            <w:tcW w:w="1004" w:type="dxa"/>
            <w:vMerge w:val="restart"/>
            <w:tcBorders>
              <w:top w:val="single" w:sz="8" w:space="0" w:color="231F20"/>
            </w:tcBorders>
          </w:tcPr>
          <w:p>
            <w:pPr>
              <w:pStyle w:val="TableParagraph"/>
              <w:ind w:left="0"/>
              <w:rPr>
                <w:rFonts w:ascii="Times New Roman"/>
                <w:b/>
                <w:sz w:val="16"/>
              </w:rPr>
            </w:pPr>
          </w:p>
          <w:p>
            <w:pPr>
              <w:pStyle w:val="TableParagraph"/>
              <w:ind w:left="0"/>
              <w:rPr>
                <w:rFonts w:ascii="Times New Roman"/>
                <w:b/>
                <w:sz w:val="16"/>
              </w:rPr>
            </w:pPr>
          </w:p>
          <w:p>
            <w:pPr>
              <w:pStyle w:val="TableParagraph"/>
              <w:spacing w:before="5"/>
              <w:ind w:left="0"/>
              <w:rPr>
                <w:rFonts w:ascii="Times New Roman"/>
                <w:b/>
                <w:sz w:val="15"/>
              </w:rPr>
            </w:pPr>
          </w:p>
          <w:p>
            <w:pPr>
              <w:pStyle w:val="TableParagraph"/>
              <w:spacing w:line="192" w:lineRule="exact"/>
              <w:ind w:right="120"/>
              <w:rPr>
                <w:sz w:val="16"/>
              </w:rPr>
            </w:pPr>
            <w:r>
              <w:rPr>
                <w:color w:val="231F20"/>
                <w:w w:val="85"/>
                <w:sz w:val="16"/>
              </w:rPr>
              <w:t>Boletín 191 </w:t>
            </w:r>
            <w:r>
              <w:rPr>
                <w:color w:val="231F20"/>
                <w:w w:val="80"/>
                <w:sz w:val="16"/>
              </w:rPr>
              <w:t>del 6 de enero </w:t>
            </w:r>
            <w:r>
              <w:rPr>
                <w:color w:val="231F20"/>
                <w:w w:val="85"/>
                <w:sz w:val="16"/>
              </w:rPr>
              <w:t>2008</w:t>
            </w:r>
          </w:p>
        </w:tc>
        <w:tc>
          <w:tcPr>
            <w:tcW w:w="6297" w:type="dxa"/>
            <w:tcBorders>
              <w:top w:val="single" w:sz="8" w:space="0" w:color="231F20"/>
            </w:tcBorders>
          </w:tcPr>
          <w:p>
            <w:pPr>
              <w:pStyle w:val="TableParagraph"/>
              <w:spacing w:line="161" w:lineRule="exact"/>
              <w:ind w:right="96"/>
              <w:rPr>
                <w:sz w:val="16"/>
              </w:rPr>
            </w:pPr>
            <w:r>
              <w:rPr>
                <w:color w:val="231F20"/>
                <w:w w:val="80"/>
                <w:sz w:val="16"/>
              </w:rPr>
              <w:t>Trabajos</w:t>
            </w:r>
            <w:r>
              <w:rPr>
                <w:color w:val="231F20"/>
                <w:spacing w:val="-19"/>
                <w:w w:val="80"/>
                <w:sz w:val="16"/>
              </w:rPr>
              <w:t> </w:t>
            </w:r>
            <w:r>
              <w:rPr>
                <w:color w:val="231F20"/>
                <w:w w:val="80"/>
                <w:sz w:val="16"/>
              </w:rPr>
              <w:t>de</w:t>
            </w:r>
            <w:r>
              <w:rPr>
                <w:color w:val="231F20"/>
                <w:spacing w:val="-19"/>
                <w:w w:val="80"/>
                <w:sz w:val="16"/>
              </w:rPr>
              <w:t> </w:t>
            </w:r>
            <w:r>
              <w:rPr>
                <w:color w:val="231F20"/>
                <w:w w:val="80"/>
                <w:sz w:val="16"/>
              </w:rPr>
              <w:t>pavimentación</w:t>
            </w:r>
            <w:r>
              <w:rPr>
                <w:color w:val="231F20"/>
                <w:spacing w:val="-19"/>
                <w:w w:val="80"/>
                <w:sz w:val="16"/>
              </w:rPr>
              <w:t> </w:t>
            </w:r>
            <w:r>
              <w:rPr>
                <w:color w:val="231F20"/>
                <w:w w:val="80"/>
                <w:sz w:val="16"/>
              </w:rPr>
              <w:t>de</w:t>
            </w:r>
            <w:r>
              <w:rPr>
                <w:color w:val="231F20"/>
                <w:spacing w:val="-19"/>
                <w:w w:val="80"/>
                <w:sz w:val="16"/>
              </w:rPr>
              <w:t> </w:t>
            </w:r>
            <w:r>
              <w:rPr>
                <w:color w:val="231F20"/>
                <w:w w:val="80"/>
                <w:sz w:val="16"/>
              </w:rPr>
              <w:t>la</w:t>
            </w:r>
            <w:r>
              <w:rPr>
                <w:color w:val="231F20"/>
                <w:spacing w:val="-19"/>
                <w:w w:val="80"/>
                <w:sz w:val="16"/>
              </w:rPr>
              <w:t> </w:t>
            </w:r>
            <w:r>
              <w:rPr>
                <w:color w:val="231F20"/>
                <w:w w:val="80"/>
                <w:sz w:val="16"/>
              </w:rPr>
              <w:t>calle</w:t>
            </w:r>
            <w:r>
              <w:rPr>
                <w:color w:val="231F20"/>
                <w:spacing w:val="-19"/>
                <w:w w:val="80"/>
                <w:sz w:val="16"/>
              </w:rPr>
              <w:t> </w:t>
            </w:r>
            <w:r>
              <w:rPr>
                <w:color w:val="231F20"/>
                <w:w w:val="80"/>
                <w:sz w:val="16"/>
              </w:rPr>
              <w:t>Rincón</w:t>
            </w:r>
            <w:r>
              <w:rPr>
                <w:color w:val="231F20"/>
                <w:spacing w:val="-19"/>
                <w:w w:val="80"/>
                <w:sz w:val="16"/>
              </w:rPr>
              <w:t> </w:t>
            </w:r>
            <w:r>
              <w:rPr>
                <w:color w:val="231F20"/>
                <w:w w:val="80"/>
                <w:sz w:val="16"/>
              </w:rPr>
              <w:t>de</w:t>
            </w:r>
            <w:r>
              <w:rPr>
                <w:color w:val="231F20"/>
                <w:spacing w:val="-19"/>
                <w:w w:val="80"/>
                <w:sz w:val="16"/>
              </w:rPr>
              <w:t> </w:t>
            </w:r>
            <w:r>
              <w:rPr>
                <w:color w:val="231F20"/>
                <w:w w:val="80"/>
                <w:sz w:val="16"/>
              </w:rPr>
              <w:t>Garrido</w:t>
            </w:r>
            <w:r>
              <w:rPr>
                <w:color w:val="231F20"/>
                <w:spacing w:val="-19"/>
                <w:w w:val="80"/>
                <w:sz w:val="16"/>
              </w:rPr>
              <w:t> </w:t>
            </w:r>
            <w:r>
              <w:rPr>
                <w:color w:val="231F20"/>
                <w:w w:val="80"/>
                <w:sz w:val="16"/>
              </w:rPr>
              <w:t>en</w:t>
            </w:r>
            <w:r>
              <w:rPr>
                <w:color w:val="231F20"/>
                <w:spacing w:val="-19"/>
                <w:w w:val="80"/>
                <w:sz w:val="16"/>
              </w:rPr>
              <w:t> </w:t>
            </w:r>
            <w:r>
              <w:rPr>
                <w:color w:val="231F20"/>
                <w:w w:val="80"/>
                <w:sz w:val="16"/>
              </w:rPr>
              <w:t>el</w:t>
            </w:r>
            <w:r>
              <w:rPr>
                <w:color w:val="231F20"/>
                <w:spacing w:val="-19"/>
                <w:w w:val="80"/>
                <w:sz w:val="16"/>
              </w:rPr>
              <w:t> </w:t>
            </w:r>
            <w:r>
              <w:rPr>
                <w:color w:val="231F20"/>
                <w:w w:val="80"/>
                <w:sz w:val="16"/>
              </w:rPr>
              <w:t>barrio</w:t>
            </w:r>
            <w:r>
              <w:rPr>
                <w:color w:val="231F20"/>
                <w:spacing w:val="-19"/>
                <w:w w:val="80"/>
                <w:sz w:val="16"/>
              </w:rPr>
              <w:t> </w:t>
            </w:r>
            <w:r>
              <w:rPr>
                <w:color w:val="231F20"/>
                <w:w w:val="80"/>
                <w:sz w:val="16"/>
              </w:rPr>
              <w:t>de</w:t>
            </w:r>
            <w:r>
              <w:rPr>
                <w:color w:val="231F20"/>
                <w:spacing w:val="-19"/>
                <w:w w:val="80"/>
                <w:sz w:val="16"/>
              </w:rPr>
              <w:t> </w:t>
            </w:r>
            <w:r>
              <w:rPr>
                <w:color w:val="231F20"/>
                <w:w w:val="80"/>
                <w:sz w:val="16"/>
              </w:rPr>
              <w:t>San</w:t>
            </w:r>
            <w:r>
              <w:rPr>
                <w:color w:val="231F20"/>
                <w:spacing w:val="-19"/>
                <w:w w:val="80"/>
                <w:sz w:val="16"/>
              </w:rPr>
              <w:t> </w:t>
            </w:r>
            <w:r>
              <w:rPr>
                <w:color w:val="231F20"/>
                <w:w w:val="80"/>
                <w:sz w:val="16"/>
              </w:rPr>
              <w:t>Martín</w:t>
            </w:r>
            <w:r>
              <w:rPr>
                <w:color w:val="231F20"/>
                <w:spacing w:val="-19"/>
                <w:w w:val="80"/>
                <w:sz w:val="16"/>
              </w:rPr>
              <w:t> </w:t>
            </w:r>
            <w:r>
              <w:rPr>
                <w:color w:val="231F20"/>
                <w:w w:val="80"/>
                <w:sz w:val="16"/>
              </w:rPr>
              <w:t>con</w:t>
            </w:r>
            <w:r>
              <w:rPr>
                <w:color w:val="231F20"/>
                <w:spacing w:val="-19"/>
                <w:w w:val="80"/>
                <w:sz w:val="16"/>
              </w:rPr>
              <w:t> </w:t>
            </w:r>
            <w:r>
              <w:rPr>
                <w:color w:val="231F20"/>
                <w:w w:val="80"/>
                <w:sz w:val="16"/>
              </w:rPr>
              <w:t>concreto</w:t>
            </w:r>
            <w:r>
              <w:rPr>
                <w:color w:val="231F20"/>
                <w:spacing w:val="-19"/>
                <w:w w:val="80"/>
                <w:sz w:val="16"/>
              </w:rPr>
              <w:t> </w:t>
            </w:r>
            <w:r>
              <w:rPr>
                <w:color w:val="231F20"/>
                <w:w w:val="80"/>
                <w:sz w:val="16"/>
              </w:rPr>
              <w:t>hidráulico</w:t>
            </w:r>
            <w:r>
              <w:rPr>
                <w:color w:val="231F20"/>
                <w:spacing w:val="-19"/>
                <w:w w:val="80"/>
                <w:sz w:val="16"/>
              </w:rPr>
              <w:t> </w:t>
            </w:r>
            <w:r>
              <w:rPr>
                <w:color w:val="231F20"/>
                <w:w w:val="80"/>
                <w:sz w:val="16"/>
              </w:rPr>
              <w:t>de</w:t>
            </w:r>
            <w:r>
              <w:rPr>
                <w:color w:val="231F20"/>
                <w:spacing w:val="-19"/>
                <w:w w:val="80"/>
                <w:sz w:val="16"/>
              </w:rPr>
              <w:t> </w:t>
            </w:r>
            <w:r>
              <w:rPr>
                <w:color w:val="231F20"/>
                <w:w w:val="80"/>
                <w:sz w:val="16"/>
              </w:rPr>
              <w:t>doscientos</w:t>
            </w:r>
          </w:p>
          <w:p>
            <w:pPr>
              <w:pStyle w:val="TableParagraph"/>
              <w:spacing w:line="235" w:lineRule="auto" w:before="1"/>
              <w:ind w:right="96"/>
              <w:rPr>
                <w:sz w:val="16"/>
              </w:rPr>
            </w:pPr>
            <w:r>
              <w:rPr>
                <w:color w:val="231F20"/>
                <w:w w:val="80"/>
                <w:sz w:val="16"/>
              </w:rPr>
              <w:t>treinta</w:t>
            </w:r>
            <w:r>
              <w:rPr>
                <w:color w:val="231F20"/>
                <w:spacing w:val="-16"/>
                <w:w w:val="80"/>
                <w:sz w:val="16"/>
              </w:rPr>
              <w:t> </w:t>
            </w:r>
            <w:r>
              <w:rPr>
                <w:color w:val="231F20"/>
                <w:w w:val="80"/>
                <w:sz w:val="16"/>
              </w:rPr>
              <w:t>y</w:t>
            </w:r>
            <w:r>
              <w:rPr>
                <w:color w:val="231F20"/>
                <w:spacing w:val="-16"/>
                <w:w w:val="80"/>
                <w:sz w:val="16"/>
              </w:rPr>
              <w:t> </w:t>
            </w:r>
            <w:r>
              <w:rPr>
                <w:color w:val="231F20"/>
                <w:w w:val="80"/>
                <w:sz w:val="16"/>
              </w:rPr>
              <w:t>nueve</w:t>
            </w:r>
            <w:r>
              <w:rPr>
                <w:color w:val="231F20"/>
                <w:spacing w:val="-16"/>
                <w:w w:val="80"/>
                <w:sz w:val="16"/>
              </w:rPr>
              <w:t> </w:t>
            </w:r>
            <w:r>
              <w:rPr>
                <w:color w:val="231F20"/>
                <w:w w:val="80"/>
                <w:sz w:val="16"/>
              </w:rPr>
              <w:t>metros</w:t>
            </w:r>
            <w:r>
              <w:rPr>
                <w:color w:val="231F20"/>
                <w:spacing w:val="-16"/>
                <w:w w:val="80"/>
                <w:sz w:val="16"/>
              </w:rPr>
              <w:t> </w:t>
            </w:r>
            <w:r>
              <w:rPr>
                <w:color w:val="231F20"/>
                <w:w w:val="80"/>
                <w:sz w:val="16"/>
              </w:rPr>
              <w:t>cuadrados</w:t>
            </w:r>
            <w:r>
              <w:rPr>
                <w:color w:val="231F20"/>
                <w:spacing w:val="-16"/>
                <w:w w:val="80"/>
                <w:sz w:val="16"/>
              </w:rPr>
              <w:t> </w:t>
            </w:r>
            <w:r>
              <w:rPr>
                <w:color w:val="231F20"/>
                <w:w w:val="80"/>
                <w:sz w:val="16"/>
              </w:rPr>
              <w:t>con</w:t>
            </w:r>
            <w:r>
              <w:rPr>
                <w:color w:val="231F20"/>
                <w:spacing w:val="-16"/>
                <w:w w:val="80"/>
                <w:sz w:val="16"/>
              </w:rPr>
              <w:t> </w:t>
            </w:r>
            <w:r>
              <w:rPr>
                <w:color w:val="231F20"/>
                <w:w w:val="80"/>
                <w:sz w:val="16"/>
              </w:rPr>
              <w:t>valor</w:t>
            </w:r>
            <w:r>
              <w:rPr>
                <w:color w:val="231F20"/>
                <w:spacing w:val="-16"/>
                <w:w w:val="80"/>
                <w:sz w:val="16"/>
              </w:rPr>
              <w:t> </w:t>
            </w:r>
            <w:r>
              <w:rPr>
                <w:color w:val="231F20"/>
                <w:w w:val="80"/>
                <w:sz w:val="16"/>
              </w:rPr>
              <w:t>aproximado</w:t>
            </w:r>
            <w:r>
              <w:rPr>
                <w:color w:val="231F20"/>
                <w:spacing w:val="-16"/>
                <w:w w:val="80"/>
                <w:sz w:val="16"/>
              </w:rPr>
              <w:t> </w:t>
            </w:r>
            <w:r>
              <w:rPr>
                <w:color w:val="231F20"/>
                <w:w w:val="80"/>
                <w:sz w:val="16"/>
              </w:rPr>
              <w:t>de</w:t>
            </w:r>
            <w:r>
              <w:rPr>
                <w:color w:val="231F20"/>
                <w:spacing w:val="-16"/>
                <w:w w:val="80"/>
                <w:sz w:val="16"/>
              </w:rPr>
              <w:t> </w:t>
            </w:r>
            <w:r>
              <w:rPr>
                <w:color w:val="231F20"/>
                <w:w w:val="80"/>
                <w:sz w:val="16"/>
              </w:rPr>
              <w:t>40</w:t>
            </w:r>
            <w:r>
              <w:rPr>
                <w:color w:val="231F20"/>
                <w:spacing w:val="-16"/>
                <w:w w:val="80"/>
                <w:sz w:val="16"/>
              </w:rPr>
              <w:t> </w:t>
            </w:r>
            <w:r>
              <w:rPr>
                <w:color w:val="231F20"/>
                <w:w w:val="80"/>
                <w:sz w:val="16"/>
              </w:rPr>
              <w:t>mil</w:t>
            </w:r>
            <w:r>
              <w:rPr>
                <w:color w:val="231F20"/>
                <w:spacing w:val="-16"/>
                <w:w w:val="80"/>
                <w:sz w:val="16"/>
              </w:rPr>
              <w:t> </w:t>
            </w:r>
            <w:r>
              <w:rPr>
                <w:color w:val="231F20"/>
                <w:w w:val="80"/>
                <w:sz w:val="16"/>
              </w:rPr>
              <w:t>pesos,</w:t>
            </w:r>
            <w:r>
              <w:rPr>
                <w:color w:val="231F20"/>
                <w:spacing w:val="-16"/>
                <w:w w:val="80"/>
                <w:sz w:val="16"/>
              </w:rPr>
              <w:t> </w:t>
            </w:r>
            <w:r>
              <w:rPr>
                <w:color w:val="231F20"/>
                <w:w w:val="80"/>
                <w:sz w:val="16"/>
              </w:rPr>
              <w:t>de</w:t>
            </w:r>
            <w:r>
              <w:rPr>
                <w:color w:val="231F20"/>
                <w:spacing w:val="-16"/>
                <w:w w:val="80"/>
                <w:sz w:val="16"/>
              </w:rPr>
              <w:t> </w:t>
            </w:r>
            <w:r>
              <w:rPr>
                <w:color w:val="231F20"/>
                <w:w w:val="80"/>
                <w:sz w:val="16"/>
              </w:rPr>
              <w:t>los</w:t>
            </w:r>
            <w:r>
              <w:rPr>
                <w:color w:val="231F20"/>
                <w:spacing w:val="-16"/>
                <w:w w:val="80"/>
                <w:sz w:val="16"/>
              </w:rPr>
              <w:t> </w:t>
            </w:r>
            <w:r>
              <w:rPr>
                <w:color w:val="231F20"/>
                <w:w w:val="80"/>
                <w:sz w:val="16"/>
              </w:rPr>
              <w:t>cuales</w:t>
            </w:r>
            <w:r>
              <w:rPr>
                <w:color w:val="231F20"/>
                <w:spacing w:val="-16"/>
                <w:w w:val="80"/>
                <w:sz w:val="16"/>
              </w:rPr>
              <w:t> </w:t>
            </w:r>
            <w:r>
              <w:rPr>
                <w:color w:val="231F20"/>
                <w:w w:val="80"/>
                <w:sz w:val="16"/>
              </w:rPr>
              <w:t>veinticinco</w:t>
            </w:r>
            <w:r>
              <w:rPr>
                <w:color w:val="231F20"/>
                <w:spacing w:val="-16"/>
                <w:w w:val="80"/>
                <w:sz w:val="16"/>
              </w:rPr>
              <w:t> </w:t>
            </w:r>
            <w:r>
              <w:rPr>
                <w:color w:val="231F20"/>
                <w:w w:val="80"/>
                <w:sz w:val="16"/>
              </w:rPr>
              <w:t>mil</w:t>
            </w:r>
            <w:r>
              <w:rPr>
                <w:color w:val="231F20"/>
                <w:spacing w:val="-16"/>
                <w:w w:val="80"/>
                <w:sz w:val="16"/>
              </w:rPr>
              <w:t> </w:t>
            </w:r>
            <w:r>
              <w:rPr>
                <w:color w:val="231F20"/>
                <w:w w:val="80"/>
                <w:sz w:val="16"/>
              </w:rPr>
              <w:t>fueron</w:t>
            </w:r>
            <w:r>
              <w:rPr>
                <w:color w:val="231F20"/>
                <w:spacing w:val="-16"/>
                <w:w w:val="80"/>
                <w:sz w:val="16"/>
              </w:rPr>
              <w:t> </w:t>
            </w:r>
            <w:r>
              <w:rPr>
                <w:color w:val="231F20"/>
                <w:w w:val="80"/>
                <w:sz w:val="16"/>
              </w:rPr>
              <w:t>de</w:t>
            </w:r>
            <w:r>
              <w:rPr>
                <w:color w:val="231F20"/>
                <w:spacing w:val="-16"/>
                <w:w w:val="80"/>
                <w:sz w:val="16"/>
              </w:rPr>
              <w:t> </w:t>
            </w:r>
            <w:r>
              <w:rPr>
                <w:color w:val="231F20"/>
                <w:w w:val="80"/>
                <w:sz w:val="16"/>
              </w:rPr>
              <w:t>materia- les</w:t>
            </w:r>
            <w:r>
              <w:rPr>
                <w:color w:val="231F20"/>
                <w:spacing w:val="-15"/>
                <w:w w:val="80"/>
                <w:sz w:val="16"/>
              </w:rPr>
              <w:t> </w:t>
            </w:r>
            <w:r>
              <w:rPr>
                <w:color w:val="231F20"/>
                <w:w w:val="80"/>
                <w:sz w:val="16"/>
              </w:rPr>
              <w:t>y</w:t>
            </w:r>
            <w:r>
              <w:rPr>
                <w:color w:val="231F20"/>
                <w:spacing w:val="-15"/>
                <w:w w:val="80"/>
                <w:sz w:val="16"/>
              </w:rPr>
              <w:t> </w:t>
            </w:r>
            <w:r>
              <w:rPr>
                <w:color w:val="231F20"/>
                <w:w w:val="80"/>
                <w:sz w:val="16"/>
              </w:rPr>
              <w:t>el</w:t>
            </w:r>
            <w:r>
              <w:rPr>
                <w:color w:val="231F20"/>
                <w:spacing w:val="-15"/>
                <w:w w:val="80"/>
                <w:sz w:val="16"/>
              </w:rPr>
              <w:t> </w:t>
            </w:r>
            <w:r>
              <w:rPr>
                <w:color w:val="231F20"/>
                <w:w w:val="80"/>
                <w:sz w:val="16"/>
              </w:rPr>
              <w:t>resto</w:t>
            </w:r>
            <w:r>
              <w:rPr>
                <w:color w:val="231F20"/>
                <w:spacing w:val="-15"/>
                <w:w w:val="80"/>
                <w:sz w:val="16"/>
              </w:rPr>
              <w:t> </w:t>
            </w:r>
            <w:r>
              <w:rPr>
                <w:color w:val="231F20"/>
                <w:w w:val="80"/>
                <w:sz w:val="16"/>
              </w:rPr>
              <w:t>de</w:t>
            </w:r>
            <w:r>
              <w:rPr>
                <w:color w:val="231F20"/>
                <w:spacing w:val="-15"/>
                <w:w w:val="80"/>
                <w:sz w:val="16"/>
              </w:rPr>
              <w:t> </w:t>
            </w:r>
            <w:r>
              <w:rPr>
                <w:color w:val="231F20"/>
                <w:w w:val="80"/>
                <w:sz w:val="16"/>
              </w:rPr>
              <w:t>mano</w:t>
            </w:r>
            <w:r>
              <w:rPr>
                <w:color w:val="231F20"/>
                <w:spacing w:val="-15"/>
                <w:w w:val="80"/>
                <w:sz w:val="16"/>
              </w:rPr>
              <w:t> </w:t>
            </w:r>
            <w:r>
              <w:rPr>
                <w:color w:val="231F20"/>
                <w:w w:val="80"/>
                <w:sz w:val="16"/>
              </w:rPr>
              <w:t>de</w:t>
            </w:r>
            <w:r>
              <w:rPr>
                <w:color w:val="231F20"/>
                <w:spacing w:val="-15"/>
                <w:w w:val="80"/>
                <w:sz w:val="16"/>
              </w:rPr>
              <w:t> </w:t>
            </w:r>
            <w:r>
              <w:rPr>
                <w:color w:val="231F20"/>
                <w:w w:val="80"/>
                <w:sz w:val="16"/>
              </w:rPr>
              <w:t>obra,</w:t>
            </w:r>
            <w:r>
              <w:rPr>
                <w:color w:val="231F20"/>
                <w:spacing w:val="-15"/>
                <w:w w:val="80"/>
                <w:sz w:val="16"/>
              </w:rPr>
              <w:t> </w:t>
            </w:r>
            <w:r>
              <w:rPr>
                <w:color w:val="231F20"/>
                <w:w w:val="80"/>
                <w:sz w:val="16"/>
              </w:rPr>
              <w:t>cabe</w:t>
            </w:r>
            <w:r>
              <w:rPr>
                <w:color w:val="231F20"/>
                <w:spacing w:val="-15"/>
                <w:w w:val="80"/>
                <w:sz w:val="16"/>
              </w:rPr>
              <w:t> </w:t>
            </w:r>
            <w:r>
              <w:rPr>
                <w:color w:val="231F20"/>
                <w:w w:val="80"/>
                <w:sz w:val="16"/>
              </w:rPr>
              <w:t>destacar</w:t>
            </w:r>
            <w:r>
              <w:rPr>
                <w:color w:val="231F20"/>
                <w:spacing w:val="-15"/>
                <w:w w:val="80"/>
                <w:sz w:val="16"/>
              </w:rPr>
              <w:t> </w:t>
            </w:r>
            <w:r>
              <w:rPr>
                <w:color w:val="231F20"/>
                <w:w w:val="80"/>
                <w:sz w:val="16"/>
              </w:rPr>
              <w:t>que</w:t>
            </w:r>
            <w:r>
              <w:rPr>
                <w:color w:val="231F20"/>
                <w:spacing w:val="-15"/>
                <w:w w:val="80"/>
                <w:sz w:val="16"/>
              </w:rPr>
              <w:t> </w:t>
            </w:r>
            <w:r>
              <w:rPr>
                <w:color w:val="231F20"/>
                <w:w w:val="80"/>
                <w:sz w:val="16"/>
              </w:rPr>
              <w:t>el</w:t>
            </w:r>
            <w:r>
              <w:rPr>
                <w:color w:val="231F20"/>
                <w:spacing w:val="-15"/>
                <w:w w:val="80"/>
                <w:sz w:val="16"/>
              </w:rPr>
              <w:t> </w:t>
            </w:r>
            <w:r>
              <w:rPr>
                <w:color w:val="231F20"/>
                <w:w w:val="80"/>
                <w:sz w:val="16"/>
              </w:rPr>
              <w:t>diputado</w:t>
            </w:r>
            <w:r>
              <w:rPr>
                <w:color w:val="231F20"/>
                <w:spacing w:val="-15"/>
                <w:w w:val="80"/>
                <w:sz w:val="16"/>
              </w:rPr>
              <w:t> </w:t>
            </w:r>
            <w:r>
              <w:rPr>
                <w:color w:val="231F20"/>
                <w:w w:val="80"/>
                <w:sz w:val="16"/>
              </w:rPr>
              <w:t>Everardo</w:t>
            </w:r>
            <w:r>
              <w:rPr>
                <w:color w:val="231F20"/>
                <w:spacing w:val="-15"/>
                <w:w w:val="80"/>
                <w:sz w:val="16"/>
              </w:rPr>
              <w:t> </w:t>
            </w:r>
            <w:r>
              <w:rPr>
                <w:color w:val="231F20"/>
                <w:w w:val="80"/>
                <w:sz w:val="16"/>
              </w:rPr>
              <w:t>Reyes</w:t>
            </w:r>
            <w:r>
              <w:rPr>
                <w:color w:val="231F20"/>
                <w:spacing w:val="-15"/>
                <w:w w:val="80"/>
                <w:sz w:val="16"/>
              </w:rPr>
              <w:t> </w:t>
            </w:r>
            <w:r>
              <w:rPr>
                <w:color w:val="231F20"/>
                <w:w w:val="80"/>
                <w:sz w:val="16"/>
              </w:rPr>
              <w:t>Vargas</w:t>
            </w:r>
            <w:r>
              <w:rPr>
                <w:color w:val="231F20"/>
                <w:spacing w:val="-15"/>
                <w:w w:val="80"/>
                <w:sz w:val="16"/>
              </w:rPr>
              <w:t> </w:t>
            </w:r>
            <w:r>
              <w:rPr>
                <w:color w:val="231F20"/>
                <w:w w:val="80"/>
                <w:sz w:val="16"/>
              </w:rPr>
              <w:t>dio</w:t>
            </w:r>
            <w:r>
              <w:rPr>
                <w:color w:val="231F20"/>
                <w:spacing w:val="-15"/>
                <w:w w:val="80"/>
                <w:sz w:val="16"/>
              </w:rPr>
              <w:t> </w:t>
            </w:r>
            <w:r>
              <w:rPr>
                <w:color w:val="231F20"/>
                <w:w w:val="80"/>
                <w:sz w:val="16"/>
              </w:rPr>
              <w:t>10</w:t>
            </w:r>
            <w:r>
              <w:rPr>
                <w:color w:val="231F20"/>
                <w:spacing w:val="-15"/>
                <w:w w:val="80"/>
                <w:sz w:val="16"/>
              </w:rPr>
              <w:t> </w:t>
            </w:r>
            <w:r>
              <w:rPr>
                <w:color w:val="231F20"/>
                <w:w w:val="80"/>
                <w:sz w:val="16"/>
              </w:rPr>
              <w:t>toneladas</w:t>
            </w:r>
            <w:r>
              <w:rPr>
                <w:color w:val="231F20"/>
                <w:spacing w:val="-15"/>
                <w:w w:val="80"/>
                <w:sz w:val="16"/>
              </w:rPr>
              <w:t> </w:t>
            </w:r>
            <w:r>
              <w:rPr>
                <w:color w:val="231F20"/>
                <w:w w:val="80"/>
                <w:sz w:val="16"/>
              </w:rPr>
              <w:t>de</w:t>
            </w:r>
            <w:r>
              <w:rPr>
                <w:color w:val="231F20"/>
                <w:spacing w:val="-15"/>
                <w:w w:val="80"/>
                <w:sz w:val="16"/>
              </w:rPr>
              <w:t> </w:t>
            </w:r>
            <w:r>
              <w:rPr>
                <w:color w:val="231F20"/>
                <w:w w:val="80"/>
                <w:sz w:val="16"/>
              </w:rPr>
              <w:t>cemento</w:t>
            </w:r>
            <w:r>
              <w:rPr>
                <w:color w:val="231F20"/>
                <w:spacing w:val="-15"/>
                <w:w w:val="80"/>
                <w:sz w:val="16"/>
              </w:rPr>
              <w:t> </w:t>
            </w:r>
            <w:r>
              <w:rPr>
                <w:color w:val="231F20"/>
                <w:w w:val="80"/>
                <w:sz w:val="16"/>
              </w:rPr>
              <w:t>para </w:t>
            </w:r>
            <w:r>
              <w:rPr>
                <w:color w:val="231F20"/>
                <w:w w:val="75"/>
                <w:sz w:val="16"/>
              </w:rPr>
              <w:t>realizar la obra, en colaboración con el Consejo de Participación Ciudadana</w:t>
            </w:r>
            <w:r>
              <w:rPr>
                <w:color w:val="231F20"/>
                <w:spacing w:val="24"/>
                <w:w w:val="75"/>
                <w:sz w:val="16"/>
              </w:rPr>
              <w:t> </w:t>
            </w:r>
            <w:r>
              <w:rPr>
                <w:color w:val="231F20"/>
                <w:w w:val="75"/>
                <w:sz w:val="16"/>
              </w:rPr>
              <w:t>(COPACI).</w:t>
            </w:r>
          </w:p>
        </w:tc>
      </w:tr>
      <w:tr>
        <w:trPr>
          <w:trHeight w:val="322" w:hRule="exact"/>
        </w:trPr>
        <w:tc>
          <w:tcPr>
            <w:tcW w:w="626" w:type="dxa"/>
          </w:tcPr>
          <w:p>
            <w:pPr>
              <w:pStyle w:val="TableParagraph"/>
              <w:spacing w:before="63"/>
              <w:ind w:left="0"/>
              <w:jc w:val="center"/>
              <w:rPr>
                <w:sz w:val="16"/>
              </w:rPr>
            </w:pPr>
            <w:r>
              <w:rPr>
                <w:color w:val="231F20"/>
                <w:w w:val="75"/>
                <w:sz w:val="16"/>
              </w:rPr>
              <w:t>2</w:t>
            </w:r>
          </w:p>
        </w:tc>
        <w:tc>
          <w:tcPr>
            <w:tcW w:w="1004" w:type="dxa"/>
            <w:vMerge/>
          </w:tcPr>
          <w:p>
            <w:pPr/>
          </w:p>
        </w:tc>
        <w:tc>
          <w:tcPr>
            <w:tcW w:w="6297" w:type="dxa"/>
          </w:tcPr>
          <w:p>
            <w:pPr>
              <w:pStyle w:val="TableParagraph"/>
              <w:spacing w:line="161" w:lineRule="exact"/>
              <w:ind w:right="96"/>
              <w:rPr>
                <w:sz w:val="16"/>
              </w:rPr>
            </w:pPr>
            <w:r>
              <w:rPr>
                <w:color w:val="231F20"/>
                <w:w w:val="80"/>
                <w:sz w:val="16"/>
              </w:rPr>
              <w:t>Segunda</w:t>
            </w:r>
            <w:r>
              <w:rPr>
                <w:color w:val="231F20"/>
                <w:spacing w:val="-17"/>
                <w:w w:val="80"/>
                <w:sz w:val="16"/>
              </w:rPr>
              <w:t> </w:t>
            </w:r>
            <w:r>
              <w:rPr>
                <w:color w:val="231F20"/>
                <w:w w:val="80"/>
                <w:sz w:val="16"/>
              </w:rPr>
              <w:t>fase</w:t>
            </w:r>
            <w:r>
              <w:rPr>
                <w:color w:val="231F20"/>
                <w:spacing w:val="-17"/>
                <w:w w:val="80"/>
                <w:sz w:val="16"/>
              </w:rPr>
              <w:t> </w:t>
            </w:r>
            <w:r>
              <w:rPr>
                <w:color w:val="231F20"/>
                <w:w w:val="80"/>
                <w:sz w:val="16"/>
              </w:rPr>
              <w:t>de</w:t>
            </w:r>
            <w:r>
              <w:rPr>
                <w:color w:val="231F20"/>
                <w:spacing w:val="-17"/>
                <w:w w:val="80"/>
                <w:sz w:val="16"/>
              </w:rPr>
              <w:t> </w:t>
            </w:r>
            <w:r>
              <w:rPr>
                <w:color w:val="231F20"/>
                <w:w w:val="80"/>
                <w:sz w:val="16"/>
              </w:rPr>
              <w:t>los</w:t>
            </w:r>
            <w:r>
              <w:rPr>
                <w:color w:val="231F20"/>
                <w:spacing w:val="-17"/>
                <w:w w:val="80"/>
                <w:sz w:val="16"/>
              </w:rPr>
              <w:t> </w:t>
            </w:r>
            <w:r>
              <w:rPr>
                <w:color w:val="231F20"/>
                <w:w w:val="80"/>
                <w:sz w:val="16"/>
              </w:rPr>
              <w:t>trabajos</w:t>
            </w:r>
            <w:r>
              <w:rPr>
                <w:color w:val="231F20"/>
                <w:spacing w:val="-17"/>
                <w:w w:val="80"/>
                <w:sz w:val="16"/>
              </w:rPr>
              <w:t> </w:t>
            </w:r>
            <w:r>
              <w:rPr>
                <w:color w:val="231F20"/>
                <w:w w:val="80"/>
                <w:sz w:val="16"/>
              </w:rPr>
              <w:t>de</w:t>
            </w:r>
            <w:r>
              <w:rPr>
                <w:color w:val="231F20"/>
                <w:spacing w:val="-17"/>
                <w:w w:val="80"/>
                <w:sz w:val="16"/>
              </w:rPr>
              <w:t> </w:t>
            </w:r>
            <w:r>
              <w:rPr>
                <w:color w:val="231F20"/>
                <w:w w:val="80"/>
                <w:sz w:val="16"/>
              </w:rPr>
              <w:t>pavimentación</w:t>
            </w:r>
            <w:r>
              <w:rPr>
                <w:color w:val="231F20"/>
                <w:spacing w:val="-17"/>
                <w:w w:val="80"/>
                <w:sz w:val="16"/>
              </w:rPr>
              <w:t> </w:t>
            </w:r>
            <w:r>
              <w:rPr>
                <w:color w:val="231F20"/>
                <w:w w:val="80"/>
                <w:sz w:val="16"/>
              </w:rPr>
              <w:t>con</w:t>
            </w:r>
            <w:r>
              <w:rPr>
                <w:color w:val="231F20"/>
                <w:spacing w:val="-17"/>
                <w:w w:val="80"/>
                <w:sz w:val="16"/>
              </w:rPr>
              <w:t> </w:t>
            </w:r>
            <w:r>
              <w:rPr>
                <w:color w:val="231F20"/>
                <w:w w:val="80"/>
                <w:sz w:val="16"/>
              </w:rPr>
              <w:t>piedra</w:t>
            </w:r>
            <w:r>
              <w:rPr>
                <w:color w:val="231F20"/>
                <w:spacing w:val="-17"/>
                <w:w w:val="80"/>
                <w:sz w:val="16"/>
              </w:rPr>
              <w:t> </w:t>
            </w:r>
            <w:r>
              <w:rPr>
                <w:color w:val="231F20"/>
                <w:w w:val="80"/>
                <w:sz w:val="16"/>
              </w:rPr>
              <w:t>laja</w:t>
            </w:r>
            <w:r>
              <w:rPr>
                <w:color w:val="231F20"/>
                <w:spacing w:val="-17"/>
                <w:w w:val="80"/>
                <w:sz w:val="16"/>
              </w:rPr>
              <w:t> </w:t>
            </w:r>
            <w:r>
              <w:rPr>
                <w:color w:val="231F20"/>
                <w:w w:val="80"/>
                <w:sz w:val="16"/>
              </w:rPr>
              <w:t>y</w:t>
            </w:r>
            <w:r>
              <w:rPr>
                <w:color w:val="231F20"/>
                <w:spacing w:val="-17"/>
                <w:w w:val="80"/>
                <w:sz w:val="16"/>
              </w:rPr>
              <w:t> </w:t>
            </w:r>
            <w:r>
              <w:rPr>
                <w:color w:val="231F20"/>
                <w:w w:val="80"/>
                <w:sz w:val="16"/>
              </w:rPr>
              <w:t>guarniciones</w:t>
            </w:r>
            <w:r>
              <w:rPr>
                <w:color w:val="231F20"/>
                <w:spacing w:val="-17"/>
                <w:w w:val="80"/>
                <w:sz w:val="16"/>
              </w:rPr>
              <w:t> </w:t>
            </w:r>
            <w:r>
              <w:rPr>
                <w:color w:val="231F20"/>
                <w:w w:val="80"/>
                <w:sz w:val="16"/>
              </w:rPr>
              <w:t>en</w:t>
            </w:r>
            <w:r>
              <w:rPr>
                <w:color w:val="231F20"/>
                <w:spacing w:val="-17"/>
                <w:w w:val="80"/>
                <w:sz w:val="16"/>
              </w:rPr>
              <w:t> </w:t>
            </w:r>
            <w:r>
              <w:rPr>
                <w:color w:val="231F20"/>
                <w:w w:val="80"/>
                <w:sz w:val="16"/>
              </w:rPr>
              <w:t>la</w:t>
            </w:r>
            <w:r>
              <w:rPr>
                <w:color w:val="231F20"/>
                <w:spacing w:val="-17"/>
                <w:w w:val="80"/>
                <w:sz w:val="16"/>
              </w:rPr>
              <w:t> </w:t>
            </w:r>
            <w:r>
              <w:rPr>
                <w:color w:val="231F20"/>
                <w:w w:val="80"/>
                <w:sz w:val="16"/>
              </w:rPr>
              <w:t>calle</w:t>
            </w:r>
            <w:r>
              <w:rPr>
                <w:color w:val="231F20"/>
                <w:spacing w:val="-17"/>
                <w:w w:val="80"/>
                <w:sz w:val="16"/>
              </w:rPr>
              <w:t> </w:t>
            </w:r>
            <w:r>
              <w:rPr>
                <w:color w:val="231F20"/>
                <w:w w:val="80"/>
                <w:sz w:val="16"/>
              </w:rPr>
              <w:t>Calvario</w:t>
            </w:r>
            <w:r>
              <w:rPr>
                <w:color w:val="231F20"/>
                <w:spacing w:val="-17"/>
                <w:w w:val="80"/>
                <w:sz w:val="16"/>
              </w:rPr>
              <w:t> </w:t>
            </w:r>
            <w:r>
              <w:rPr>
                <w:color w:val="231F20"/>
                <w:w w:val="80"/>
                <w:sz w:val="16"/>
              </w:rPr>
              <w:t>con</w:t>
            </w:r>
            <w:r>
              <w:rPr>
                <w:color w:val="231F20"/>
                <w:spacing w:val="-17"/>
                <w:w w:val="80"/>
                <w:sz w:val="16"/>
              </w:rPr>
              <w:t> </w:t>
            </w:r>
            <w:r>
              <w:rPr>
                <w:color w:val="231F20"/>
                <w:w w:val="80"/>
                <w:sz w:val="16"/>
              </w:rPr>
              <w:t>valor</w:t>
            </w:r>
            <w:r>
              <w:rPr>
                <w:color w:val="231F20"/>
                <w:spacing w:val="-17"/>
                <w:w w:val="80"/>
                <w:sz w:val="16"/>
              </w:rPr>
              <w:t> </w:t>
            </w:r>
            <w:r>
              <w:rPr>
                <w:color w:val="231F20"/>
                <w:w w:val="80"/>
                <w:sz w:val="16"/>
              </w:rPr>
              <w:t>de</w:t>
            </w:r>
            <w:r>
              <w:rPr>
                <w:color w:val="231F20"/>
                <w:spacing w:val="-17"/>
                <w:w w:val="80"/>
                <w:sz w:val="16"/>
              </w:rPr>
              <w:t> </w:t>
            </w:r>
            <w:r>
              <w:rPr>
                <w:color w:val="231F20"/>
                <w:w w:val="80"/>
                <w:sz w:val="16"/>
              </w:rPr>
              <w:t>doscientos</w:t>
            </w:r>
          </w:p>
          <w:p>
            <w:pPr>
              <w:pStyle w:val="TableParagraph"/>
              <w:spacing w:line="191" w:lineRule="exact"/>
              <w:ind w:right="96"/>
              <w:rPr>
                <w:sz w:val="16"/>
              </w:rPr>
            </w:pPr>
            <w:r>
              <w:rPr>
                <w:color w:val="231F20"/>
                <w:w w:val="75"/>
                <w:sz w:val="16"/>
              </w:rPr>
              <w:t>cuatro mil cuatrocientos cuarenta y siete pesos.</w:t>
            </w:r>
          </w:p>
        </w:tc>
      </w:tr>
      <w:tr>
        <w:trPr>
          <w:trHeight w:val="322" w:hRule="exact"/>
        </w:trPr>
        <w:tc>
          <w:tcPr>
            <w:tcW w:w="626" w:type="dxa"/>
          </w:tcPr>
          <w:p>
            <w:pPr>
              <w:pStyle w:val="TableParagraph"/>
              <w:spacing w:before="64"/>
              <w:ind w:left="0"/>
              <w:jc w:val="center"/>
              <w:rPr>
                <w:sz w:val="16"/>
              </w:rPr>
            </w:pPr>
            <w:r>
              <w:rPr>
                <w:color w:val="231F20"/>
                <w:w w:val="75"/>
                <w:sz w:val="16"/>
              </w:rPr>
              <w:t>3</w:t>
            </w:r>
          </w:p>
        </w:tc>
        <w:tc>
          <w:tcPr>
            <w:tcW w:w="1004" w:type="dxa"/>
            <w:vMerge/>
          </w:tcPr>
          <w:p>
            <w:pPr/>
          </w:p>
        </w:tc>
        <w:tc>
          <w:tcPr>
            <w:tcW w:w="6297" w:type="dxa"/>
          </w:tcPr>
          <w:p>
            <w:pPr>
              <w:pStyle w:val="TableParagraph"/>
              <w:spacing w:line="161" w:lineRule="exact"/>
              <w:ind w:right="-9"/>
              <w:rPr>
                <w:sz w:val="16"/>
              </w:rPr>
            </w:pPr>
            <w:r>
              <w:rPr>
                <w:color w:val="231F20"/>
                <w:w w:val="80"/>
                <w:sz w:val="16"/>
              </w:rPr>
              <w:t>Calle Cristóbal Colón en el barrio Texcacoa con un valor de 361,379 pesos, donde los trabajos realizados fueron la pavi-</w:t>
            </w:r>
          </w:p>
          <w:p>
            <w:pPr>
              <w:pStyle w:val="TableParagraph"/>
              <w:spacing w:line="191" w:lineRule="exact"/>
              <w:ind w:right="96"/>
              <w:rPr>
                <w:sz w:val="16"/>
              </w:rPr>
            </w:pPr>
            <w:r>
              <w:rPr>
                <w:color w:val="231F20"/>
                <w:w w:val="80"/>
                <w:sz w:val="16"/>
              </w:rPr>
              <w:t>mentación con concreto hidráulico en una superficie de 630 metros lineales.</w:t>
            </w:r>
          </w:p>
        </w:tc>
      </w:tr>
      <w:tr>
        <w:trPr>
          <w:trHeight w:val="322" w:hRule="exact"/>
        </w:trPr>
        <w:tc>
          <w:tcPr>
            <w:tcW w:w="626" w:type="dxa"/>
          </w:tcPr>
          <w:p>
            <w:pPr>
              <w:pStyle w:val="TableParagraph"/>
              <w:spacing w:before="64"/>
              <w:ind w:left="0"/>
              <w:jc w:val="center"/>
              <w:rPr>
                <w:sz w:val="16"/>
              </w:rPr>
            </w:pPr>
            <w:r>
              <w:rPr>
                <w:color w:val="231F20"/>
                <w:w w:val="75"/>
                <w:sz w:val="16"/>
              </w:rPr>
              <w:t>4</w:t>
            </w:r>
          </w:p>
        </w:tc>
        <w:tc>
          <w:tcPr>
            <w:tcW w:w="1004" w:type="dxa"/>
            <w:vMerge/>
          </w:tcPr>
          <w:p>
            <w:pPr/>
          </w:p>
        </w:tc>
        <w:tc>
          <w:tcPr>
            <w:tcW w:w="6297" w:type="dxa"/>
          </w:tcPr>
          <w:p>
            <w:pPr>
              <w:pStyle w:val="TableParagraph"/>
              <w:spacing w:line="162" w:lineRule="exact"/>
              <w:ind w:right="96"/>
              <w:rPr>
                <w:sz w:val="16"/>
              </w:rPr>
            </w:pPr>
            <w:r>
              <w:rPr>
                <w:color w:val="231F20"/>
                <w:w w:val="80"/>
                <w:sz w:val="16"/>
              </w:rPr>
              <w:t>Cerrada</w:t>
            </w:r>
            <w:r>
              <w:rPr>
                <w:color w:val="231F20"/>
                <w:spacing w:val="-17"/>
                <w:w w:val="80"/>
                <w:sz w:val="16"/>
              </w:rPr>
              <w:t> </w:t>
            </w:r>
            <w:r>
              <w:rPr>
                <w:color w:val="231F20"/>
                <w:w w:val="80"/>
                <w:sz w:val="16"/>
              </w:rPr>
              <w:t>de</w:t>
            </w:r>
            <w:r>
              <w:rPr>
                <w:color w:val="231F20"/>
                <w:spacing w:val="-17"/>
                <w:w w:val="80"/>
                <w:sz w:val="16"/>
              </w:rPr>
              <w:t> </w:t>
            </w:r>
            <w:r>
              <w:rPr>
                <w:color w:val="231F20"/>
                <w:w w:val="80"/>
                <w:sz w:val="16"/>
              </w:rPr>
              <w:t>Pino</w:t>
            </w:r>
            <w:r>
              <w:rPr>
                <w:color w:val="231F20"/>
                <w:spacing w:val="-17"/>
                <w:w w:val="80"/>
                <w:sz w:val="16"/>
              </w:rPr>
              <w:t> </w:t>
            </w:r>
            <w:r>
              <w:rPr>
                <w:color w:val="231F20"/>
                <w:w w:val="80"/>
                <w:sz w:val="16"/>
              </w:rPr>
              <w:t>Suárez</w:t>
            </w:r>
            <w:r>
              <w:rPr>
                <w:color w:val="231F20"/>
                <w:spacing w:val="-17"/>
                <w:w w:val="80"/>
                <w:sz w:val="16"/>
              </w:rPr>
              <w:t> </w:t>
            </w:r>
            <w:r>
              <w:rPr>
                <w:color w:val="231F20"/>
                <w:w w:val="80"/>
                <w:sz w:val="16"/>
              </w:rPr>
              <w:t>en</w:t>
            </w:r>
            <w:r>
              <w:rPr>
                <w:color w:val="231F20"/>
                <w:spacing w:val="-17"/>
                <w:w w:val="80"/>
                <w:sz w:val="16"/>
              </w:rPr>
              <w:t> </w:t>
            </w:r>
            <w:r>
              <w:rPr>
                <w:color w:val="231F20"/>
                <w:w w:val="80"/>
                <w:sz w:val="16"/>
              </w:rPr>
              <w:t>el</w:t>
            </w:r>
            <w:r>
              <w:rPr>
                <w:color w:val="231F20"/>
                <w:spacing w:val="-17"/>
                <w:w w:val="80"/>
                <w:sz w:val="16"/>
              </w:rPr>
              <w:t> </w:t>
            </w:r>
            <w:r>
              <w:rPr>
                <w:color w:val="231F20"/>
                <w:w w:val="80"/>
                <w:sz w:val="16"/>
              </w:rPr>
              <w:t>barrio</w:t>
            </w:r>
            <w:r>
              <w:rPr>
                <w:color w:val="231F20"/>
                <w:spacing w:val="-17"/>
                <w:w w:val="80"/>
                <w:sz w:val="16"/>
              </w:rPr>
              <w:t> </w:t>
            </w:r>
            <w:r>
              <w:rPr>
                <w:color w:val="231F20"/>
                <w:w w:val="80"/>
                <w:sz w:val="16"/>
              </w:rPr>
              <w:t>de</w:t>
            </w:r>
            <w:r>
              <w:rPr>
                <w:color w:val="231F20"/>
                <w:spacing w:val="-17"/>
                <w:w w:val="80"/>
                <w:sz w:val="16"/>
              </w:rPr>
              <w:t> </w:t>
            </w:r>
            <w:r>
              <w:rPr>
                <w:color w:val="231F20"/>
                <w:w w:val="80"/>
                <w:sz w:val="16"/>
              </w:rPr>
              <w:t>Capula</w:t>
            </w:r>
            <w:r>
              <w:rPr>
                <w:color w:val="231F20"/>
                <w:spacing w:val="-17"/>
                <w:w w:val="80"/>
                <w:sz w:val="16"/>
              </w:rPr>
              <w:t> </w:t>
            </w:r>
            <w:r>
              <w:rPr>
                <w:color w:val="231F20"/>
                <w:w w:val="80"/>
                <w:sz w:val="16"/>
              </w:rPr>
              <w:t>con</w:t>
            </w:r>
            <w:r>
              <w:rPr>
                <w:color w:val="231F20"/>
                <w:spacing w:val="-17"/>
                <w:w w:val="80"/>
                <w:sz w:val="16"/>
              </w:rPr>
              <w:t> </w:t>
            </w:r>
            <w:r>
              <w:rPr>
                <w:color w:val="231F20"/>
                <w:w w:val="80"/>
                <w:sz w:val="16"/>
              </w:rPr>
              <w:t>un</w:t>
            </w:r>
            <w:r>
              <w:rPr>
                <w:color w:val="231F20"/>
                <w:spacing w:val="-17"/>
                <w:w w:val="80"/>
                <w:sz w:val="16"/>
              </w:rPr>
              <w:t> </w:t>
            </w:r>
            <w:r>
              <w:rPr>
                <w:color w:val="231F20"/>
                <w:w w:val="80"/>
                <w:sz w:val="16"/>
              </w:rPr>
              <w:t>valor</w:t>
            </w:r>
            <w:r>
              <w:rPr>
                <w:color w:val="231F20"/>
                <w:spacing w:val="-17"/>
                <w:w w:val="80"/>
                <w:sz w:val="16"/>
              </w:rPr>
              <w:t> </w:t>
            </w:r>
            <w:r>
              <w:rPr>
                <w:color w:val="231F20"/>
                <w:w w:val="80"/>
                <w:sz w:val="16"/>
              </w:rPr>
              <w:t>de</w:t>
            </w:r>
            <w:r>
              <w:rPr>
                <w:color w:val="231F20"/>
                <w:spacing w:val="-17"/>
                <w:w w:val="80"/>
                <w:sz w:val="16"/>
              </w:rPr>
              <w:t> </w:t>
            </w:r>
            <w:r>
              <w:rPr>
                <w:color w:val="231F20"/>
                <w:w w:val="80"/>
                <w:sz w:val="16"/>
              </w:rPr>
              <w:t>694,503</w:t>
            </w:r>
            <w:r>
              <w:rPr>
                <w:color w:val="231F20"/>
                <w:spacing w:val="-17"/>
                <w:w w:val="80"/>
                <w:sz w:val="16"/>
              </w:rPr>
              <w:t> </w:t>
            </w:r>
            <w:r>
              <w:rPr>
                <w:color w:val="231F20"/>
                <w:w w:val="80"/>
                <w:sz w:val="16"/>
              </w:rPr>
              <w:t>pesos,</w:t>
            </w:r>
            <w:r>
              <w:rPr>
                <w:color w:val="231F20"/>
                <w:spacing w:val="-17"/>
                <w:w w:val="80"/>
                <w:sz w:val="16"/>
              </w:rPr>
              <w:t> </w:t>
            </w:r>
            <w:r>
              <w:rPr>
                <w:color w:val="231F20"/>
                <w:w w:val="80"/>
                <w:sz w:val="16"/>
              </w:rPr>
              <w:t>donde</w:t>
            </w:r>
            <w:r>
              <w:rPr>
                <w:color w:val="231F20"/>
                <w:spacing w:val="-17"/>
                <w:w w:val="80"/>
                <w:sz w:val="16"/>
              </w:rPr>
              <w:t> </w:t>
            </w:r>
            <w:r>
              <w:rPr>
                <w:color w:val="231F20"/>
                <w:w w:val="80"/>
                <w:sz w:val="16"/>
              </w:rPr>
              <w:t>los</w:t>
            </w:r>
            <w:r>
              <w:rPr>
                <w:color w:val="231F20"/>
                <w:spacing w:val="-17"/>
                <w:w w:val="80"/>
                <w:sz w:val="16"/>
              </w:rPr>
              <w:t> </w:t>
            </w:r>
            <w:r>
              <w:rPr>
                <w:color w:val="231F20"/>
                <w:w w:val="80"/>
                <w:sz w:val="16"/>
              </w:rPr>
              <w:t>trabajos</w:t>
            </w:r>
            <w:r>
              <w:rPr>
                <w:color w:val="231F20"/>
                <w:spacing w:val="-17"/>
                <w:w w:val="80"/>
                <w:sz w:val="16"/>
              </w:rPr>
              <w:t> </w:t>
            </w:r>
            <w:r>
              <w:rPr>
                <w:color w:val="231F20"/>
                <w:w w:val="80"/>
                <w:sz w:val="16"/>
              </w:rPr>
              <w:t>que</w:t>
            </w:r>
            <w:r>
              <w:rPr>
                <w:color w:val="231F20"/>
                <w:spacing w:val="-17"/>
                <w:w w:val="80"/>
                <w:sz w:val="16"/>
              </w:rPr>
              <w:t> </w:t>
            </w:r>
            <w:r>
              <w:rPr>
                <w:color w:val="231F20"/>
                <w:w w:val="80"/>
                <w:sz w:val="16"/>
              </w:rPr>
              <w:t>se</w:t>
            </w:r>
            <w:r>
              <w:rPr>
                <w:color w:val="231F20"/>
                <w:spacing w:val="-17"/>
                <w:w w:val="80"/>
                <w:sz w:val="16"/>
              </w:rPr>
              <w:t> </w:t>
            </w:r>
            <w:r>
              <w:rPr>
                <w:color w:val="231F20"/>
                <w:w w:val="80"/>
                <w:sz w:val="16"/>
              </w:rPr>
              <w:t>realizaron</w:t>
            </w:r>
            <w:r>
              <w:rPr>
                <w:color w:val="231F20"/>
                <w:spacing w:val="-17"/>
                <w:w w:val="80"/>
                <w:sz w:val="16"/>
              </w:rPr>
              <w:t> </w:t>
            </w:r>
            <w:r>
              <w:rPr>
                <w:color w:val="231F20"/>
                <w:w w:val="80"/>
                <w:sz w:val="16"/>
              </w:rPr>
              <w:t>fue</w:t>
            </w:r>
            <w:r>
              <w:rPr>
                <w:color w:val="231F20"/>
                <w:spacing w:val="-17"/>
                <w:w w:val="80"/>
                <w:sz w:val="16"/>
              </w:rPr>
              <w:t> </w:t>
            </w:r>
            <w:r>
              <w:rPr>
                <w:color w:val="231F20"/>
                <w:w w:val="80"/>
                <w:sz w:val="16"/>
              </w:rPr>
              <w:t>la</w:t>
            </w:r>
          </w:p>
          <w:p>
            <w:pPr>
              <w:pStyle w:val="TableParagraph"/>
              <w:spacing w:line="190" w:lineRule="exact"/>
              <w:ind w:right="96"/>
              <w:rPr>
                <w:sz w:val="16"/>
              </w:rPr>
            </w:pPr>
            <w:r>
              <w:rPr>
                <w:color w:val="231F20"/>
                <w:w w:val="80"/>
                <w:sz w:val="16"/>
              </w:rPr>
              <w:t>pavimentación con piedra laja y guarniciones en una superficie de 139 metros cuadrados.</w:t>
            </w:r>
          </w:p>
        </w:tc>
      </w:tr>
      <w:tr>
        <w:trPr>
          <w:trHeight w:val="514" w:hRule="exact"/>
        </w:trPr>
        <w:tc>
          <w:tcPr>
            <w:tcW w:w="626" w:type="dxa"/>
          </w:tcPr>
          <w:p>
            <w:pPr>
              <w:pStyle w:val="TableParagraph"/>
              <w:spacing w:before="10"/>
              <w:ind w:left="0"/>
              <w:rPr>
                <w:rFonts w:ascii="Times New Roman"/>
                <w:b/>
                <w:sz w:val="13"/>
              </w:rPr>
            </w:pPr>
          </w:p>
          <w:p>
            <w:pPr>
              <w:pStyle w:val="TableParagraph"/>
              <w:ind w:left="0"/>
              <w:jc w:val="center"/>
              <w:rPr>
                <w:sz w:val="16"/>
              </w:rPr>
            </w:pPr>
            <w:r>
              <w:rPr>
                <w:color w:val="231F20"/>
                <w:w w:val="75"/>
                <w:sz w:val="16"/>
              </w:rPr>
              <w:t>5</w:t>
            </w:r>
          </w:p>
        </w:tc>
        <w:tc>
          <w:tcPr>
            <w:tcW w:w="1004" w:type="dxa"/>
          </w:tcPr>
          <w:p>
            <w:pPr>
              <w:pStyle w:val="TableParagraph"/>
              <w:spacing w:line="162" w:lineRule="exact"/>
              <w:ind w:right="86"/>
              <w:rPr>
                <w:sz w:val="16"/>
              </w:rPr>
            </w:pPr>
            <w:r>
              <w:rPr>
                <w:color w:val="231F20"/>
                <w:w w:val="80"/>
                <w:sz w:val="16"/>
              </w:rPr>
              <w:t>Boletín 198 de</w:t>
            </w:r>
          </w:p>
          <w:p>
            <w:pPr>
              <w:pStyle w:val="TableParagraph"/>
              <w:spacing w:line="192" w:lineRule="exact"/>
              <w:ind w:right="120"/>
              <w:rPr>
                <w:sz w:val="16"/>
              </w:rPr>
            </w:pPr>
            <w:r>
              <w:rPr>
                <w:color w:val="231F20"/>
                <w:w w:val="75"/>
                <w:sz w:val="16"/>
              </w:rPr>
              <w:t>19 enero de</w:t>
            </w:r>
          </w:p>
          <w:p>
            <w:pPr>
              <w:pStyle w:val="TableParagraph"/>
              <w:spacing w:line="190" w:lineRule="exact"/>
              <w:ind w:right="120"/>
              <w:rPr>
                <w:sz w:val="16"/>
              </w:rPr>
            </w:pPr>
            <w:r>
              <w:rPr>
                <w:color w:val="231F20"/>
                <w:w w:val="85"/>
                <w:sz w:val="16"/>
              </w:rPr>
              <w:t>2008</w:t>
            </w:r>
          </w:p>
        </w:tc>
        <w:tc>
          <w:tcPr>
            <w:tcW w:w="6297" w:type="dxa"/>
          </w:tcPr>
          <w:p>
            <w:pPr>
              <w:pStyle w:val="TableParagraph"/>
              <w:spacing w:line="162" w:lineRule="exact"/>
              <w:ind w:right="96"/>
              <w:rPr>
                <w:sz w:val="16"/>
              </w:rPr>
            </w:pPr>
            <w:r>
              <w:rPr>
                <w:color w:val="231F20"/>
                <w:w w:val="75"/>
                <w:sz w:val="16"/>
              </w:rPr>
              <w:t>En la tercera reunión ordinaria del Comité de Planeación para el Desarrollo Municipal (COPLADEMUN), se rechazó por  una-</w:t>
            </w:r>
          </w:p>
          <w:p>
            <w:pPr>
              <w:pStyle w:val="TableParagraph"/>
              <w:spacing w:line="235" w:lineRule="auto" w:before="1"/>
              <w:ind w:right="96"/>
              <w:rPr>
                <w:sz w:val="16"/>
              </w:rPr>
            </w:pPr>
            <w:r>
              <w:rPr>
                <w:color w:val="231F20"/>
                <w:w w:val="80"/>
                <w:sz w:val="16"/>
              </w:rPr>
              <w:t>nimidad</w:t>
            </w:r>
            <w:r>
              <w:rPr>
                <w:color w:val="231F20"/>
                <w:spacing w:val="-17"/>
                <w:w w:val="80"/>
                <w:sz w:val="16"/>
              </w:rPr>
              <w:t> </w:t>
            </w:r>
            <w:r>
              <w:rPr>
                <w:color w:val="231F20"/>
                <w:w w:val="80"/>
                <w:sz w:val="16"/>
              </w:rPr>
              <w:t>el</w:t>
            </w:r>
            <w:r>
              <w:rPr>
                <w:color w:val="231F20"/>
                <w:spacing w:val="-17"/>
                <w:w w:val="80"/>
                <w:sz w:val="16"/>
              </w:rPr>
              <w:t> </w:t>
            </w:r>
            <w:r>
              <w:rPr>
                <w:color w:val="231F20"/>
                <w:w w:val="80"/>
                <w:sz w:val="16"/>
              </w:rPr>
              <w:t>único</w:t>
            </w:r>
            <w:r>
              <w:rPr>
                <w:color w:val="231F20"/>
                <w:spacing w:val="-17"/>
                <w:w w:val="80"/>
                <w:sz w:val="16"/>
              </w:rPr>
              <w:t> </w:t>
            </w:r>
            <w:r>
              <w:rPr>
                <w:color w:val="231F20"/>
                <w:w w:val="80"/>
                <w:sz w:val="16"/>
              </w:rPr>
              <w:t>punto</w:t>
            </w:r>
            <w:r>
              <w:rPr>
                <w:color w:val="231F20"/>
                <w:spacing w:val="-17"/>
                <w:w w:val="80"/>
                <w:sz w:val="16"/>
              </w:rPr>
              <w:t> </w:t>
            </w:r>
            <w:r>
              <w:rPr>
                <w:color w:val="231F20"/>
                <w:w w:val="80"/>
                <w:sz w:val="16"/>
              </w:rPr>
              <w:t>del</w:t>
            </w:r>
            <w:r>
              <w:rPr>
                <w:color w:val="231F20"/>
                <w:spacing w:val="-17"/>
                <w:w w:val="80"/>
                <w:sz w:val="16"/>
              </w:rPr>
              <w:t> </w:t>
            </w:r>
            <w:r>
              <w:rPr>
                <w:color w:val="231F20"/>
                <w:w w:val="80"/>
                <w:sz w:val="16"/>
              </w:rPr>
              <w:t>orden</w:t>
            </w:r>
            <w:r>
              <w:rPr>
                <w:color w:val="231F20"/>
                <w:spacing w:val="-17"/>
                <w:w w:val="80"/>
                <w:sz w:val="16"/>
              </w:rPr>
              <w:t> </w:t>
            </w:r>
            <w:r>
              <w:rPr>
                <w:color w:val="231F20"/>
                <w:w w:val="80"/>
                <w:sz w:val="16"/>
              </w:rPr>
              <w:t>del</w:t>
            </w:r>
            <w:r>
              <w:rPr>
                <w:color w:val="231F20"/>
                <w:spacing w:val="-17"/>
                <w:w w:val="80"/>
                <w:sz w:val="16"/>
              </w:rPr>
              <w:t> </w:t>
            </w:r>
            <w:r>
              <w:rPr>
                <w:color w:val="231F20"/>
                <w:w w:val="80"/>
                <w:sz w:val="16"/>
              </w:rPr>
              <w:t>día</w:t>
            </w:r>
            <w:r>
              <w:rPr>
                <w:color w:val="231F20"/>
                <w:spacing w:val="-17"/>
                <w:w w:val="80"/>
                <w:sz w:val="16"/>
              </w:rPr>
              <w:t> </w:t>
            </w:r>
            <w:r>
              <w:rPr>
                <w:color w:val="231F20"/>
                <w:w w:val="80"/>
                <w:sz w:val="16"/>
              </w:rPr>
              <w:t>referente</w:t>
            </w:r>
            <w:r>
              <w:rPr>
                <w:color w:val="231F20"/>
                <w:spacing w:val="-17"/>
                <w:w w:val="80"/>
                <w:sz w:val="16"/>
              </w:rPr>
              <w:t> </w:t>
            </w:r>
            <w:r>
              <w:rPr>
                <w:color w:val="231F20"/>
                <w:w w:val="80"/>
                <w:sz w:val="16"/>
              </w:rPr>
              <w:t>a</w:t>
            </w:r>
            <w:r>
              <w:rPr>
                <w:color w:val="231F20"/>
                <w:spacing w:val="-17"/>
                <w:w w:val="80"/>
                <w:sz w:val="16"/>
              </w:rPr>
              <w:t> </w:t>
            </w:r>
            <w:r>
              <w:rPr>
                <w:color w:val="231F20"/>
                <w:w w:val="80"/>
                <w:sz w:val="16"/>
              </w:rPr>
              <w:t>la</w:t>
            </w:r>
            <w:r>
              <w:rPr>
                <w:color w:val="231F20"/>
                <w:spacing w:val="-17"/>
                <w:w w:val="80"/>
                <w:sz w:val="16"/>
              </w:rPr>
              <w:t> </w:t>
            </w:r>
            <w:r>
              <w:rPr>
                <w:color w:val="231F20"/>
                <w:w w:val="80"/>
                <w:sz w:val="16"/>
              </w:rPr>
              <w:t>construcción</w:t>
            </w:r>
            <w:r>
              <w:rPr>
                <w:color w:val="231F20"/>
                <w:spacing w:val="-17"/>
                <w:w w:val="80"/>
                <w:sz w:val="16"/>
              </w:rPr>
              <w:t> </w:t>
            </w:r>
            <w:r>
              <w:rPr>
                <w:color w:val="231F20"/>
                <w:w w:val="80"/>
                <w:sz w:val="16"/>
              </w:rPr>
              <w:t>de</w:t>
            </w:r>
            <w:r>
              <w:rPr>
                <w:color w:val="231F20"/>
                <w:spacing w:val="-17"/>
                <w:w w:val="80"/>
                <w:sz w:val="16"/>
              </w:rPr>
              <w:t> </w:t>
            </w:r>
            <w:r>
              <w:rPr>
                <w:color w:val="231F20"/>
                <w:w w:val="80"/>
                <w:sz w:val="16"/>
              </w:rPr>
              <w:t>una</w:t>
            </w:r>
            <w:r>
              <w:rPr>
                <w:color w:val="231F20"/>
                <w:spacing w:val="-17"/>
                <w:w w:val="80"/>
                <w:sz w:val="16"/>
              </w:rPr>
              <w:t> </w:t>
            </w:r>
            <w:r>
              <w:rPr>
                <w:color w:val="231F20"/>
                <w:w w:val="80"/>
                <w:sz w:val="16"/>
              </w:rPr>
              <w:t>tienda</w:t>
            </w:r>
            <w:r>
              <w:rPr>
                <w:color w:val="231F20"/>
                <w:spacing w:val="-17"/>
                <w:w w:val="80"/>
                <w:sz w:val="16"/>
              </w:rPr>
              <w:t> </w:t>
            </w:r>
            <w:r>
              <w:rPr>
                <w:color w:val="231F20"/>
                <w:w w:val="80"/>
                <w:sz w:val="16"/>
              </w:rPr>
              <w:t>comercial</w:t>
            </w:r>
            <w:r>
              <w:rPr>
                <w:color w:val="231F20"/>
                <w:spacing w:val="-17"/>
                <w:w w:val="80"/>
                <w:sz w:val="16"/>
              </w:rPr>
              <w:t> </w:t>
            </w:r>
            <w:r>
              <w:rPr>
                <w:color w:val="231F20"/>
                <w:w w:val="80"/>
                <w:sz w:val="16"/>
              </w:rPr>
              <w:t>(AURRERA),</w:t>
            </w:r>
            <w:r>
              <w:rPr>
                <w:color w:val="231F20"/>
                <w:spacing w:val="-17"/>
                <w:w w:val="80"/>
                <w:sz w:val="16"/>
              </w:rPr>
              <w:t> </w:t>
            </w:r>
            <w:r>
              <w:rPr>
                <w:color w:val="231F20"/>
                <w:w w:val="80"/>
                <w:sz w:val="16"/>
              </w:rPr>
              <w:t>perteneciente</w:t>
            </w:r>
            <w:r>
              <w:rPr>
                <w:color w:val="231F20"/>
                <w:spacing w:val="-17"/>
                <w:w w:val="80"/>
                <w:sz w:val="16"/>
              </w:rPr>
              <w:t> </w:t>
            </w:r>
            <w:r>
              <w:rPr>
                <w:color w:val="231F20"/>
                <w:w w:val="80"/>
                <w:sz w:val="16"/>
              </w:rPr>
              <w:t>al grupo</w:t>
            </w:r>
            <w:r>
              <w:rPr>
                <w:color w:val="231F20"/>
                <w:spacing w:val="-17"/>
                <w:w w:val="80"/>
                <w:sz w:val="16"/>
              </w:rPr>
              <w:t> </w:t>
            </w:r>
            <w:r>
              <w:rPr>
                <w:color w:val="231F20"/>
                <w:w w:val="80"/>
                <w:sz w:val="16"/>
              </w:rPr>
              <w:t>Wall</w:t>
            </w:r>
            <w:r>
              <w:rPr>
                <w:color w:val="231F20"/>
                <w:spacing w:val="-17"/>
                <w:w w:val="80"/>
                <w:sz w:val="16"/>
              </w:rPr>
              <w:t> </w:t>
            </w:r>
            <w:r>
              <w:rPr>
                <w:color w:val="231F20"/>
                <w:w w:val="80"/>
                <w:sz w:val="16"/>
              </w:rPr>
              <w:t>Mart,</w:t>
            </w:r>
            <w:r>
              <w:rPr>
                <w:color w:val="231F20"/>
                <w:spacing w:val="-17"/>
                <w:w w:val="80"/>
                <w:sz w:val="16"/>
              </w:rPr>
              <w:t> </w:t>
            </w:r>
            <w:r>
              <w:rPr>
                <w:color w:val="231F20"/>
                <w:w w:val="80"/>
                <w:sz w:val="16"/>
              </w:rPr>
              <w:t>esto</w:t>
            </w:r>
            <w:r>
              <w:rPr>
                <w:color w:val="231F20"/>
                <w:spacing w:val="-17"/>
                <w:w w:val="80"/>
                <w:sz w:val="16"/>
              </w:rPr>
              <w:t> </w:t>
            </w:r>
            <w:r>
              <w:rPr>
                <w:color w:val="231F20"/>
                <w:w w:val="80"/>
                <w:sz w:val="16"/>
              </w:rPr>
              <w:t>sobre</w:t>
            </w:r>
            <w:r>
              <w:rPr>
                <w:color w:val="231F20"/>
                <w:spacing w:val="-17"/>
                <w:w w:val="80"/>
                <w:sz w:val="16"/>
              </w:rPr>
              <w:t> </w:t>
            </w:r>
            <w:r>
              <w:rPr>
                <w:color w:val="231F20"/>
                <w:w w:val="80"/>
                <w:sz w:val="16"/>
              </w:rPr>
              <w:t>la</w:t>
            </w:r>
            <w:r>
              <w:rPr>
                <w:color w:val="231F20"/>
                <w:spacing w:val="-17"/>
                <w:w w:val="80"/>
                <w:sz w:val="16"/>
              </w:rPr>
              <w:t> </w:t>
            </w:r>
            <w:r>
              <w:rPr>
                <w:color w:val="231F20"/>
                <w:w w:val="80"/>
                <w:sz w:val="16"/>
              </w:rPr>
              <w:t>avenida</w:t>
            </w:r>
            <w:r>
              <w:rPr>
                <w:color w:val="231F20"/>
                <w:spacing w:val="-17"/>
                <w:w w:val="80"/>
                <w:sz w:val="16"/>
              </w:rPr>
              <w:t> </w:t>
            </w:r>
            <w:r>
              <w:rPr>
                <w:color w:val="231F20"/>
                <w:w w:val="80"/>
                <w:sz w:val="16"/>
              </w:rPr>
              <w:t>Insurgentes</w:t>
            </w:r>
            <w:r>
              <w:rPr>
                <w:color w:val="231F20"/>
                <w:spacing w:val="-17"/>
                <w:w w:val="80"/>
                <w:sz w:val="16"/>
              </w:rPr>
              <w:t> </w:t>
            </w:r>
            <w:r>
              <w:rPr>
                <w:color w:val="231F20"/>
                <w:w w:val="80"/>
                <w:sz w:val="16"/>
              </w:rPr>
              <w:t>en</w:t>
            </w:r>
            <w:r>
              <w:rPr>
                <w:color w:val="231F20"/>
                <w:spacing w:val="-17"/>
                <w:w w:val="80"/>
                <w:sz w:val="16"/>
              </w:rPr>
              <w:t> </w:t>
            </w:r>
            <w:r>
              <w:rPr>
                <w:color w:val="231F20"/>
                <w:w w:val="80"/>
                <w:sz w:val="16"/>
              </w:rPr>
              <w:t>un</w:t>
            </w:r>
            <w:r>
              <w:rPr>
                <w:color w:val="231F20"/>
                <w:spacing w:val="-17"/>
                <w:w w:val="80"/>
                <w:sz w:val="16"/>
              </w:rPr>
              <w:t> </w:t>
            </w:r>
            <w:r>
              <w:rPr>
                <w:color w:val="231F20"/>
                <w:w w:val="80"/>
                <w:sz w:val="16"/>
              </w:rPr>
              <w:t>predio</w:t>
            </w:r>
            <w:r>
              <w:rPr>
                <w:color w:val="231F20"/>
                <w:spacing w:val="-17"/>
                <w:w w:val="80"/>
                <w:sz w:val="16"/>
              </w:rPr>
              <w:t> </w:t>
            </w:r>
            <w:r>
              <w:rPr>
                <w:color w:val="231F20"/>
                <w:w w:val="80"/>
                <w:sz w:val="16"/>
              </w:rPr>
              <w:t>de</w:t>
            </w:r>
            <w:r>
              <w:rPr>
                <w:color w:val="231F20"/>
                <w:spacing w:val="-17"/>
                <w:w w:val="80"/>
                <w:sz w:val="16"/>
              </w:rPr>
              <w:t> </w:t>
            </w:r>
            <w:r>
              <w:rPr>
                <w:color w:val="231F20"/>
                <w:w w:val="80"/>
                <w:sz w:val="16"/>
              </w:rPr>
              <w:t>5,200</w:t>
            </w:r>
            <w:r>
              <w:rPr>
                <w:color w:val="231F20"/>
                <w:spacing w:val="-17"/>
                <w:w w:val="80"/>
                <w:sz w:val="16"/>
              </w:rPr>
              <w:t> </w:t>
            </w:r>
            <w:r>
              <w:rPr>
                <w:color w:val="231F20"/>
                <w:w w:val="80"/>
                <w:sz w:val="16"/>
              </w:rPr>
              <w:t>mts</w:t>
            </w:r>
            <w:r>
              <w:rPr>
                <w:color w:val="231F20"/>
                <w:w w:val="80"/>
                <w:position w:val="5"/>
                <w:sz w:val="9"/>
              </w:rPr>
              <w:t>2</w:t>
            </w:r>
            <w:r>
              <w:rPr>
                <w:color w:val="231F20"/>
                <w:w w:val="80"/>
                <w:sz w:val="16"/>
              </w:rPr>
              <w:t>.</w:t>
            </w:r>
          </w:p>
        </w:tc>
      </w:tr>
      <w:tr>
        <w:trPr>
          <w:trHeight w:val="706" w:hRule="exact"/>
        </w:trPr>
        <w:tc>
          <w:tcPr>
            <w:tcW w:w="626" w:type="dxa"/>
          </w:tcPr>
          <w:p>
            <w:pPr>
              <w:pStyle w:val="TableParagraph"/>
              <w:spacing w:before="2"/>
              <w:ind w:left="0"/>
              <w:rPr>
                <w:rFonts w:ascii="Times New Roman"/>
                <w:b/>
                <w:sz w:val="22"/>
              </w:rPr>
            </w:pPr>
          </w:p>
          <w:p>
            <w:pPr>
              <w:pStyle w:val="TableParagraph"/>
              <w:ind w:left="0"/>
              <w:jc w:val="center"/>
              <w:rPr>
                <w:sz w:val="16"/>
              </w:rPr>
            </w:pPr>
            <w:r>
              <w:rPr>
                <w:color w:val="231F20"/>
                <w:w w:val="75"/>
                <w:sz w:val="16"/>
              </w:rPr>
              <w:t>6</w:t>
            </w:r>
          </w:p>
        </w:tc>
        <w:tc>
          <w:tcPr>
            <w:tcW w:w="1004" w:type="dxa"/>
          </w:tcPr>
          <w:p>
            <w:pPr>
              <w:pStyle w:val="TableParagraph"/>
              <w:spacing w:line="194" w:lineRule="exact" w:before="63"/>
              <w:ind w:left="102" w:right="120"/>
              <w:rPr>
                <w:sz w:val="16"/>
              </w:rPr>
            </w:pPr>
            <w:r>
              <w:rPr>
                <w:color w:val="231F20"/>
                <w:w w:val="75"/>
                <w:sz w:val="16"/>
              </w:rPr>
              <w:t>BOLETÍN 199</w:t>
            </w:r>
          </w:p>
          <w:p>
            <w:pPr>
              <w:pStyle w:val="TableParagraph"/>
              <w:spacing w:line="235" w:lineRule="auto" w:before="1"/>
              <w:ind w:left="102" w:right="86"/>
              <w:rPr>
                <w:sz w:val="16"/>
              </w:rPr>
            </w:pPr>
            <w:r>
              <w:rPr>
                <w:color w:val="231F20"/>
                <w:w w:val="80"/>
                <w:sz w:val="16"/>
              </w:rPr>
              <w:t>20 de enero de </w:t>
            </w:r>
            <w:r>
              <w:rPr>
                <w:color w:val="231F20"/>
                <w:w w:val="85"/>
                <w:sz w:val="16"/>
              </w:rPr>
              <w:t>2008</w:t>
            </w:r>
          </w:p>
        </w:tc>
        <w:tc>
          <w:tcPr>
            <w:tcW w:w="6297" w:type="dxa"/>
          </w:tcPr>
          <w:p>
            <w:pPr>
              <w:pStyle w:val="TableParagraph"/>
              <w:spacing w:line="161" w:lineRule="exact"/>
              <w:ind w:right="96"/>
              <w:rPr>
                <w:sz w:val="16"/>
              </w:rPr>
            </w:pPr>
            <w:r>
              <w:rPr>
                <w:color w:val="231F20"/>
                <w:w w:val="80"/>
                <w:sz w:val="16"/>
              </w:rPr>
              <w:t>Entrega</w:t>
            </w:r>
            <w:r>
              <w:rPr>
                <w:color w:val="231F20"/>
                <w:spacing w:val="-17"/>
                <w:w w:val="80"/>
                <w:sz w:val="16"/>
              </w:rPr>
              <w:t> </w:t>
            </w:r>
            <w:r>
              <w:rPr>
                <w:color w:val="231F20"/>
                <w:w w:val="80"/>
                <w:sz w:val="16"/>
              </w:rPr>
              <w:t>de</w:t>
            </w:r>
            <w:r>
              <w:rPr>
                <w:color w:val="231F20"/>
                <w:spacing w:val="-17"/>
                <w:w w:val="80"/>
                <w:sz w:val="16"/>
              </w:rPr>
              <w:t> </w:t>
            </w:r>
            <w:r>
              <w:rPr>
                <w:color w:val="231F20"/>
                <w:w w:val="80"/>
                <w:sz w:val="16"/>
              </w:rPr>
              <w:t>dos</w:t>
            </w:r>
            <w:r>
              <w:rPr>
                <w:color w:val="231F20"/>
                <w:spacing w:val="-17"/>
                <w:w w:val="80"/>
                <w:sz w:val="16"/>
              </w:rPr>
              <w:t> </w:t>
            </w:r>
            <w:r>
              <w:rPr>
                <w:color w:val="231F20"/>
                <w:w w:val="80"/>
                <w:sz w:val="16"/>
              </w:rPr>
              <w:t>calles</w:t>
            </w:r>
            <w:r>
              <w:rPr>
                <w:color w:val="231F20"/>
                <w:spacing w:val="-17"/>
                <w:w w:val="80"/>
                <w:sz w:val="16"/>
              </w:rPr>
              <w:t> </w:t>
            </w:r>
            <w:r>
              <w:rPr>
                <w:color w:val="231F20"/>
                <w:w w:val="80"/>
                <w:sz w:val="16"/>
              </w:rPr>
              <w:t>más:</w:t>
            </w:r>
            <w:r>
              <w:rPr>
                <w:color w:val="231F20"/>
                <w:spacing w:val="-17"/>
                <w:w w:val="80"/>
                <w:sz w:val="16"/>
              </w:rPr>
              <w:t> </w:t>
            </w:r>
            <w:r>
              <w:rPr>
                <w:color w:val="231F20"/>
                <w:w w:val="80"/>
                <w:sz w:val="16"/>
              </w:rPr>
              <w:t>Orquídeas</w:t>
            </w:r>
            <w:r>
              <w:rPr>
                <w:color w:val="231F20"/>
                <w:spacing w:val="-17"/>
                <w:w w:val="80"/>
                <w:sz w:val="16"/>
              </w:rPr>
              <w:t> </w:t>
            </w:r>
            <w:r>
              <w:rPr>
                <w:color w:val="231F20"/>
                <w:w w:val="80"/>
                <w:sz w:val="16"/>
              </w:rPr>
              <w:t>y</w:t>
            </w:r>
            <w:r>
              <w:rPr>
                <w:color w:val="231F20"/>
                <w:spacing w:val="-17"/>
                <w:w w:val="80"/>
                <w:sz w:val="16"/>
              </w:rPr>
              <w:t> </w:t>
            </w:r>
            <w:r>
              <w:rPr>
                <w:color w:val="231F20"/>
                <w:w w:val="80"/>
                <w:sz w:val="16"/>
              </w:rPr>
              <w:t>Lirios,</w:t>
            </w:r>
            <w:r>
              <w:rPr>
                <w:color w:val="231F20"/>
                <w:spacing w:val="-17"/>
                <w:w w:val="80"/>
                <w:sz w:val="16"/>
              </w:rPr>
              <w:t> </w:t>
            </w:r>
            <w:r>
              <w:rPr>
                <w:color w:val="231F20"/>
                <w:w w:val="80"/>
                <w:sz w:val="16"/>
              </w:rPr>
              <w:t>con</w:t>
            </w:r>
            <w:r>
              <w:rPr>
                <w:color w:val="231F20"/>
                <w:spacing w:val="-17"/>
                <w:w w:val="80"/>
                <w:sz w:val="16"/>
              </w:rPr>
              <w:t> </w:t>
            </w:r>
            <w:r>
              <w:rPr>
                <w:color w:val="231F20"/>
                <w:w w:val="80"/>
                <w:sz w:val="16"/>
              </w:rPr>
              <w:t>un</w:t>
            </w:r>
            <w:r>
              <w:rPr>
                <w:color w:val="231F20"/>
                <w:spacing w:val="-17"/>
                <w:w w:val="80"/>
                <w:sz w:val="16"/>
              </w:rPr>
              <w:t> </w:t>
            </w:r>
            <w:r>
              <w:rPr>
                <w:color w:val="231F20"/>
                <w:w w:val="80"/>
                <w:sz w:val="16"/>
              </w:rPr>
              <w:t>valor</w:t>
            </w:r>
            <w:r>
              <w:rPr>
                <w:color w:val="231F20"/>
                <w:spacing w:val="-17"/>
                <w:w w:val="80"/>
                <w:sz w:val="16"/>
              </w:rPr>
              <w:t> </w:t>
            </w:r>
            <w:r>
              <w:rPr>
                <w:color w:val="231F20"/>
                <w:w w:val="80"/>
                <w:sz w:val="16"/>
              </w:rPr>
              <w:t>de</w:t>
            </w:r>
            <w:r>
              <w:rPr>
                <w:color w:val="231F20"/>
                <w:spacing w:val="-17"/>
                <w:w w:val="80"/>
                <w:sz w:val="16"/>
              </w:rPr>
              <w:t> </w:t>
            </w:r>
            <w:r>
              <w:rPr>
                <w:color w:val="231F20"/>
                <w:w w:val="80"/>
                <w:sz w:val="16"/>
              </w:rPr>
              <w:t>un</w:t>
            </w:r>
            <w:r>
              <w:rPr>
                <w:color w:val="231F20"/>
                <w:spacing w:val="-17"/>
                <w:w w:val="80"/>
                <w:sz w:val="16"/>
              </w:rPr>
              <w:t> </w:t>
            </w:r>
            <w:r>
              <w:rPr>
                <w:color w:val="231F20"/>
                <w:w w:val="80"/>
                <w:sz w:val="16"/>
              </w:rPr>
              <w:t>millón</w:t>
            </w:r>
            <w:r>
              <w:rPr>
                <w:color w:val="231F20"/>
                <w:spacing w:val="-17"/>
                <w:w w:val="80"/>
                <w:sz w:val="16"/>
              </w:rPr>
              <w:t> </w:t>
            </w:r>
            <w:r>
              <w:rPr>
                <w:color w:val="231F20"/>
                <w:w w:val="80"/>
                <w:sz w:val="16"/>
              </w:rPr>
              <w:t>ochocientos</w:t>
            </w:r>
            <w:r>
              <w:rPr>
                <w:color w:val="231F20"/>
                <w:spacing w:val="-17"/>
                <w:w w:val="80"/>
                <w:sz w:val="16"/>
              </w:rPr>
              <w:t> </w:t>
            </w:r>
            <w:r>
              <w:rPr>
                <w:color w:val="231F20"/>
                <w:w w:val="80"/>
                <w:sz w:val="16"/>
              </w:rPr>
              <w:t>veintiún</w:t>
            </w:r>
            <w:r>
              <w:rPr>
                <w:color w:val="231F20"/>
                <w:spacing w:val="-17"/>
                <w:w w:val="80"/>
                <w:sz w:val="16"/>
              </w:rPr>
              <w:t> </w:t>
            </w:r>
            <w:r>
              <w:rPr>
                <w:color w:val="231F20"/>
                <w:w w:val="80"/>
                <w:sz w:val="16"/>
              </w:rPr>
              <w:t>mil</w:t>
            </w:r>
            <w:r>
              <w:rPr>
                <w:color w:val="231F20"/>
                <w:spacing w:val="-17"/>
                <w:w w:val="80"/>
                <w:sz w:val="16"/>
              </w:rPr>
              <w:t> </w:t>
            </w:r>
            <w:r>
              <w:rPr>
                <w:color w:val="231F20"/>
                <w:w w:val="80"/>
                <w:sz w:val="16"/>
              </w:rPr>
              <w:t>doscientos</w:t>
            </w:r>
            <w:r>
              <w:rPr>
                <w:color w:val="231F20"/>
                <w:spacing w:val="-17"/>
                <w:w w:val="80"/>
                <w:sz w:val="16"/>
              </w:rPr>
              <w:t> </w:t>
            </w:r>
            <w:r>
              <w:rPr>
                <w:color w:val="231F20"/>
                <w:w w:val="80"/>
                <w:sz w:val="16"/>
              </w:rPr>
              <w:t>setenta</w:t>
            </w:r>
            <w:r>
              <w:rPr>
                <w:color w:val="231F20"/>
                <w:spacing w:val="-17"/>
                <w:w w:val="80"/>
                <w:sz w:val="16"/>
              </w:rPr>
              <w:t> </w:t>
            </w:r>
            <w:r>
              <w:rPr>
                <w:color w:val="231F20"/>
                <w:w w:val="80"/>
                <w:sz w:val="16"/>
              </w:rPr>
              <w:t>y</w:t>
            </w:r>
            <w:r>
              <w:rPr>
                <w:color w:val="231F20"/>
                <w:spacing w:val="-17"/>
                <w:w w:val="80"/>
                <w:sz w:val="16"/>
              </w:rPr>
              <w:t> </w:t>
            </w:r>
            <w:r>
              <w:rPr>
                <w:color w:val="231F20"/>
                <w:w w:val="80"/>
                <w:sz w:val="16"/>
              </w:rPr>
              <w:t>un</w:t>
            </w:r>
          </w:p>
          <w:p>
            <w:pPr>
              <w:pStyle w:val="TableParagraph"/>
              <w:spacing w:line="235" w:lineRule="auto" w:before="1"/>
              <w:ind w:right="96"/>
              <w:rPr>
                <w:sz w:val="16"/>
              </w:rPr>
            </w:pPr>
            <w:r>
              <w:rPr>
                <w:color w:val="231F20"/>
                <w:w w:val="80"/>
                <w:sz w:val="16"/>
              </w:rPr>
              <w:t>pesos.</w:t>
            </w:r>
            <w:r>
              <w:rPr>
                <w:color w:val="231F20"/>
                <w:spacing w:val="-18"/>
                <w:w w:val="80"/>
                <w:sz w:val="16"/>
              </w:rPr>
              <w:t> </w:t>
            </w:r>
            <w:r>
              <w:rPr>
                <w:color w:val="231F20"/>
                <w:w w:val="80"/>
                <w:sz w:val="16"/>
              </w:rPr>
              <w:t>Por</w:t>
            </w:r>
            <w:r>
              <w:rPr>
                <w:color w:val="231F20"/>
                <w:spacing w:val="-18"/>
                <w:w w:val="80"/>
                <w:sz w:val="16"/>
              </w:rPr>
              <w:t> </w:t>
            </w:r>
            <w:r>
              <w:rPr>
                <w:color w:val="231F20"/>
                <w:w w:val="80"/>
                <w:sz w:val="16"/>
              </w:rPr>
              <w:t>ello,</w:t>
            </w:r>
            <w:r>
              <w:rPr>
                <w:color w:val="231F20"/>
                <w:spacing w:val="-18"/>
                <w:w w:val="80"/>
                <w:sz w:val="16"/>
              </w:rPr>
              <w:t> </w:t>
            </w:r>
            <w:r>
              <w:rPr>
                <w:color w:val="231F20"/>
                <w:w w:val="80"/>
                <w:sz w:val="16"/>
              </w:rPr>
              <w:t>Márquez</w:t>
            </w:r>
            <w:r>
              <w:rPr>
                <w:color w:val="231F20"/>
                <w:spacing w:val="-18"/>
                <w:w w:val="80"/>
                <w:sz w:val="16"/>
              </w:rPr>
              <w:t> </w:t>
            </w:r>
            <w:r>
              <w:rPr>
                <w:color w:val="231F20"/>
                <w:w w:val="80"/>
                <w:sz w:val="16"/>
              </w:rPr>
              <w:t>Mercado</w:t>
            </w:r>
            <w:r>
              <w:rPr>
                <w:color w:val="231F20"/>
                <w:spacing w:val="-18"/>
                <w:w w:val="80"/>
                <w:sz w:val="16"/>
              </w:rPr>
              <w:t> </w:t>
            </w:r>
            <w:r>
              <w:rPr>
                <w:color w:val="231F20"/>
                <w:w w:val="80"/>
                <w:sz w:val="16"/>
              </w:rPr>
              <w:t>señaló:</w:t>
            </w:r>
            <w:r>
              <w:rPr>
                <w:color w:val="231F20"/>
                <w:spacing w:val="-18"/>
                <w:w w:val="80"/>
                <w:sz w:val="16"/>
              </w:rPr>
              <w:t> </w:t>
            </w:r>
            <w:r>
              <w:rPr>
                <w:color w:val="231F20"/>
                <w:w w:val="80"/>
                <w:sz w:val="16"/>
              </w:rPr>
              <w:t>“El</w:t>
            </w:r>
            <w:r>
              <w:rPr>
                <w:color w:val="231F20"/>
                <w:spacing w:val="-18"/>
                <w:w w:val="80"/>
                <w:sz w:val="16"/>
              </w:rPr>
              <w:t> </w:t>
            </w:r>
            <w:r>
              <w:rPr>
                <w:color w:val="231F20"/>
                <w:w w:val="80"/>
                <w:sz w:val="16"/>
              </w:rPr>
              <w:t>compromiso</w:t>
            </w:r>
            <w:r>
              <w:rPr>
                <w:color w:val="231F20"/>
                <w:spacing w:val="-18"/>
                <w:w w:val="80"/>
                <w:sz w:val="16"/>
              </w:rPr>
              <w:t> </w:t>
            </w:r>
            <w:r>
              <w:rPr>
                <w:color w:val="231F20"/>
                <w:w w:val="80"/>
                <w:sz w:val="16"/>
              </w:rPr>
              <w:t>es</w:t>
            </w:r>
            <w:r>
              <w:rPr>
                <w:color w:val="231F20"/>
                <w:spacing w:val="-18"/>
                <w:w w:val="80"/>
                <w:sz w:val="16"/>
              </w:rPr>
              <w:t> </w:t>
            </w:r>
            <w:r>
              <w:rPr>
                <w:color w:val="231F20"/>
                <w:w w:val="80"/>
                <w:sz w:val="16"/>
              </w:rPr>
              <w:t>con</w:t>
            </w:r>
            <w:r>
              <w:rPr>
                <w:color w:val="231F20"/>
                <w:spacing w:val="-18"/>
                <w:w w:val="80"/>
                <w:sz w:val="16"/>
              </w:rPr>
              <w:t> </w:t>
            </w:r>
            <w:r>
              <w:rPr>
                <w:color w:val="231F20"/>
                <w:w w:val="80"/>
                <w:sz w:val="16"/>
              </w:rPr>
              <w:t>todos</w:t>
            </w:r>
            <w:r>
              <w:rPr>
                <w:color w:val="231F20"/>
                <w:spacing w:val="-18"/>
                <w:w w:val="80"/>
                <w:sz w:val="16"/>
              </w:rPr>
              <w:t> </w:t>
            </w:r>
            <w:r>
              <w:rPr>
                <w:color w:val="231F20"/>
                <w:w w:val="80"/>
                <w:sz w:val="16"/>
              </w:rPr>
              <w:t>y</w:t>
            </w:r>
            <w:r>
              <w:rPr>
                <w:color w:val="231F20"/>
                <w:spacing w:val="-18"/>
                <w:w w:val="80"/>
                <w:sz w:val="16"/>
              </w:rPr>
              <w:t> </w:t>
            </w:r>
            <w:r>
              <w:rPr>
                <w:color w:val="231F20"/>
                <w:w w:val="80"/>
                <w:sz w:val="16"/>
              </w:rPr>
              <w:t>hemos</w:t>
            </w:r>
            <w:r>
              <w:rPr>
                <w:color w:val="231F20"/>
                <w:spacing w:val="-18"/>
                <w:w w:val="80"/>
                <w:sz w:val="16"/>
              </w:rPr>
              <w:t> </w:t>
            </w:r>
            <w:r>
              <w:rPr>
                <w:color w:val="231F20"/>
                <w:w w:val="80"/>
                <w:sz w:val="16"/>
              </w:rPr>
              <w:t>antepuesto</w:t>
            </w:r>
            <w:r>
              <w:rPr>
                <w:color w:val="231F20"/>
                <w:spacing w:val="-18"/>
                <w:w w:val="80"/>
                <w:sz w:val="16"/>
              </w:rPr>
              <w:t> </w:t>
            </w:r>
            <w:r>
              <w:rPr>
                <w:color w:val="231F20"/>
                <w:w w:val="80"/>
                <w:sz w:val="16"/>
              </w:rPr>
              <w:t>nuestros</w:t>
            </w:r>
            <w:r>
              <w:rPr>
                <w:color w:val="231F20"/>
                <w:spacing w:val="-18"/>
                <w:w w:val="80"/>
                <w:sz w:val="16"/>
              </w:rPr>
              <w:t> </w:t>
            </w:r>
            <w:r>
              <w:rPr>
                <w:color w:val="231F20"/>
                <w:w w:val="80"/>
                <w:sz w:val="16"/>
              </w:rPr>
              <w:t>colores</w:t>
            </w:r>
            <w:r>
              <w:rPr>
                <w:color w:val="231F20"/>
                <w:spacing w:val="-18"/>
                <w:w w:val="80"/>
                <w:sz w:val="16"/>
              </w:rPr>
              <w:t> </w:t>
            </w:r>
            <w:r>
              <w:rPr>
                <w:color w:val="231F20"/>
                <w:w w:val="80"/>
                <w:sz w:val="16"/>
              </w:rPr>
              <w:t>partidarios por</w:t>
            </w:r>
            <w:r>
              <w:rPr>
                <w:color w:val="231F20"/>
                <w:spacing w:val="-17"/>
                <w:w w:val="80"/>
                <w:sz w:val="16"/>
              </w:rPr>
              <w:t> </w:t>
            </w:r>
            <w:r>
              <w:rPr>
                <w:color w:val="231F20"/>
                <w:w w:val="80"/>
                <w:sz w:val="16"/>
              </w:rPr>
              <w:t>el</w:t>
            </w:r>
            <w:r>
              <w:rPr>
                <w:color w:val="231F20"/>
                <w:spacing w:val="-17"/>
                <w:w w:val="80"/>
                <w:sz w:val="16"/>
              </w:rPr>
              <w:t> </w:t>
            </w:r>
            <w:r>
              <w:rPr>
                <w:color w:val="231F20"/>
                <w:w w:val="80"/>
                <w:sz w:val="16"/>
              </w:rPr>
              <w:t>bien</w:t>
            </w:r>
            <w:r>
              <w:rPr>
                <w:color w:val="231F20"/>
                <w:spacing w:val="-17"/>
                <w:w w:val="80"/>
                <w:sz w:val="16"/>
              </w:rPr>
              <w:t> </w:t>
            </w:r>
            <w:r>
              <w:rPr>
                <w:color w:val="231F20"/>
                <w:w w:val="80"/>
                <w:sz w:val="16"/>
              </w:rPr>
              <w:t>de</w:t>
            </w:r>
            <w:r>
              <w:rPr>
                <w:color w:val="231F20"/>
                <w:spacing w:val="-17"/>
                <w:w w:val="80"/>
                <w:sz w:val="16"/>
              </w:rPr>
              <w:t> </w:t>
            </w:r>
            <w:r>
              <w:rPr>
                <w:color w:val="231F20"/>
                <w:w w:val="80"/>
                <w:sz w:val="16"/>
              </w:rPr>
              <w:t>Tepotzotlán,</w:t>
            </w:r>
            <w:r>
              <w:rPr>
                <w:color w:val="231F20"/>
                <w:spacing w:val="-17"/>
                <w:w w:val="80"/>
                <w:sz w:val="16"/>
              </w:rPr>
              <w:t> </w:t>
            </w:r>
            <w:r>
              <w:rPr>
                <w:color w:val="231F20"/>
                <w:w w:val="80"/>
                <w:sz w:val="16"/>
              </w:rPr>
              <w:t>sumado</w:t>
            </w:r>
            <w:r>
              <w:rPr>
                <w:color w:val="231F20"/>
                <w:spacing w:val="-17"/>
                <w:w w:val="80"/>
                <w:sz w:val="16"/>
              </w:rPr>
              <w:t> </w:t>
            </w:r>
            <w:r>
              <w:rPr>
                <w:color w:val="231F20"/>
                <w:w w:val="80"/>
                <w:sz w:val="16"/>
              </w:rPr>
              <w:t>a</w:t>
            </w:r>
            <w:r>
              <w:rPr>
                <w:color w:val="231F20"/>
                <w:spacing w:val="-17"/>
                <w:w w:val="80"/>
                <w:sz w:val="16"/>
              </w:rPr>
              <w:t> </w:t>
            </w:r>
            <w:r>
              <w:rPr>
                <w:color w:val="231F20"/>
                <w:w w:val="80"/>
                <w:sz w:val="16"/>
              </w:rPr>
              <w:t>que</w:t>
            </w:r>
            <w:r>
              <w:rPr>
                <w:color w:val="231F20"/>
                <w:spacing w:val="-17"/>
                <w:w w:val="80"/>
                <w:sz w:val="16"/>
              </w:rPr>
              <w:t> </w:t>
            </w:r>
            <w:r>
              <w:rPr>
                <w:color w:val="231F20"/>
                <w:w w:val="80"/>
                <w:sz w:val="16"/>
              </w:rPr>
              <w:t>ustedes</w:t>
            </w:r>
            <w:r>
              <w:rPr>
                <w:color w:val="231F20"/>
                <w:spacing w:val="-17"/>
                <w:w w:val="80"/>
                <w:sz w:val="16"/>
              </w:rPr>
              <w:t> </w:t>
            </w:r>
            <w:r>
              <w:rPr>
                <w:color w:val="231F20"/>
                <w:w w:val="80"/>
                <w:sz w:val="16"/>
              </w:rPr>
              <w:t>(vecinos)</w:t>
            </w:r>
            <w:r>
              <w:rPr>
                <w:color w:val="231F20"/>
                <w:spacing w:val="-17"/>
                <w:w w:val="80"/>
                <w:sz w:val="16"/>
              </w:rPr>
              <w:t> </w:t>
            </w:r>
            <w:r>
              <w:rPr>
                <w:color w:val="231F20"/>
                <w:w w:val="80"/>
                <w:sz w:val="16"/>
              </w:rPr>
              <w:t>nunca</w:t>
            </w:r>
            <w:r>
              <w:rPr>
                <w:color w:val="231F20"/>
                <w:spacing w:val="-17"/>
                <w:w w:val="80"/>
                <w:sz w:val="16"/>
              </w:rPr>
              <w:t> </w:t>
            </w:r>
            <w:r>
              <w:rPr>
                <w:color w:val="231F20"/>
                <w:w w:val="80"/>
                <w:sz w:val="16"/>
              </w:rPr>
              <w:t>nos</w:t>
            </w:r>
            <w:r>
              <w:rPr>
                <w:color w:val="231F20"/>
                <w:spacing w:val="-17"/>
                <w:w w:val="80"/>
                <w:sz w:val="16"/>
              </w:rPr>
              <w:t> </w:t>
            </w:r>
            <w:r>
              <w:rPr>
                <w:color w:val="231F20"/>
                <w:w w:val="80"/>
                <w:sz w:val="16"/>
              </w:rPr>
              <w:t>dejaron</w:t>
            </w:r>
            <w:r>
              <w:rPr>
                <w:color w:val="231F20"/>
                <w:spacing w:val="-17"/>
                <w:w w:val="80"/>
                <w:sz w:val="16"/>
              </w:rPr>
              <w:t> </w:t>
            </w:r>
            <w:r>
              <w:rPr>
                <w:color w:val="231F20"/>
                <w:w w:val="80"/>
                <w:sz w:val="16"/>
              </w:rPr>
              <w:t>solos</w:t>
            </w:r>
            <w:r>
              <w:rPr>
                <w:color w:val="231F20"/>
                <w:spacing w:val="-17"/>
                <w:w w:val="80"/>
                <w:sz w:val="16"/>
              </w:rPr>
              <w:t> </w:t>
            </w:r>
            <w:r>
              <w:rPr>
                <w:color w:val="231F20"/>
                <w:w w:val="80"/>
                <w:sz w:val="16"/>
              </w:rPr>
              <w:t>en</w:t>
            </w:r>
            <w:r>
              <w:rPr>
                <w:color w:val="231F20"/>
                <w:spacing w:val="-17"/>
                <w:w w:val="80"/>
                <w:sz w:val="16"/>
              </w:rPr>
              <w:t> </w:t>
            </w:r>
            <w:r>
              <w:rPr>
                <w:color w:val="231F20"/>
                <w:w w:val="80"/>
                <w:sz w:val="16"/>
              </w:rPr>
              <w:t>estos</w:t>
            </w:r>
            <w:r>
              <w:rPr>
                <w:color w:val="231F20"/>
                <w:spacing w:val="-17"/>
                <w:w w:val="80"/>
                <w:sz w:val="16"/>
              </w:rPr>
              <w:t> </w:t>
            </w:r>
            <w:r>
              <w:rPr>
                <w:color w:val="231F20"/>
                <w:w w:val="80"/>
                <w:sz w:val="16"/>
              </w:rPr>
              <w:t>trabajos,</w:t>
            </w:r>
            <w:r>
              <w:rPr>
                <w:color w:val="231F20"/>
                <w:spacing w:val="-17"/>
                <w:w w:val="80"/>
                <w:sz w:val="16"/>
              </w:rPr>
              <w:t> </w:t>
            </w:r>
            <w:r>
              <w:rPr>
                <w:color w:val="231F20"/>
                <w:w w:val="80"/>
                <w:sz w:val="16"/>
              </w:rPr>
              <w:t>ahora</w:t>
            </w:r>
            <w:r>
              <w:rPr>
                <w:color w:val="231F20"/>
                <w:spacing w:val="-17"/>
                <w:w w:val="80"/>
                <w:sz w:val="16"/>
              </w:rPr>
              <w:t> </w:t>
            </w:r>
            <w:r>
              <w:rPr>
                <w:color w:val="231F20"/>
                <w:w w:val="80"/>
                <w:sz w:val="16"/>
              </w:rPr>
              <w:t>ustedes</w:t>
            </w:r>
            <w:r>
              <w:rPr>
                <w:color w:val="231F20"/>
                <w:spacing w:val="-17"/>
                <w:w w:val="80"/>
                <w:sz w:val="16"/>
              </w:rPr>
              <w:t> </w:t>
            </w:r>
            <w:r>
              <w:rPr>
                <w:color w:val="231F20"/>
                <w:w w:val="80"/>
                <w:sz w:val="16"/>
              </w:rPr>
              <w:t>pue- den</w:t>
            </w:r>
            <w:r>
              <w:rPr>
                <w:color w:val="231F20"/>
                <w:spacing w:val="-20"/>
                <w:w w:val="80"/>
                <w:sz w:val="16"/>
              </w:rPr>
              <w:t> </w:t>
            </w:r>
            <w:r>
              <w:rPr>
                <w:color w:val="231F20"/>
                <w:w w:val="80"/>
                <w:sz w:val="16"/>
              </w:rPr>
              <w:t>ver</w:t>
            </w:r>
            <w:r>
              <w:rPr>
                <w:color w:val="231F20"/>
                <w:spacing w:val="-20"/>
                <w:w w:val="80"/>
                <w:sz w:val="16"/>
              </w:rPr>
              <w:t> </w:t>
            </w:r>
            <w:r>
              <w:rPr>
                <w:color w:val="231F20"/>
                <w:w w:val="80"/>
                <w:sz w:val="16"/>
              </w:rPr>
              <w:t>los</w:t>
            </w:r>
            <w:r>
              <w:rPr>
                <w:color w:val="231F20"/>
                <w:spacing w:val="-20"/>
                <w:w w:val="80"/>
                <w:sz w:val="16"/>
              </w:rPr>
              <w:t> </w:t>
            </w:r>
            <w:r>
              <w:rPr>
                <w:color w:val="231F20"/>
                <w:w w:val="80"/>
                <w:sz w:val="16"/>
              </w:rPr>
              <w:t>resultados”.</w:t>
            </w:r>
            <w:r>
              <w:rPr>
                <w:color w:val="231F20"/>
                <w:spacing w:val="-20"/>
                <w:w w:val="80"/>
                <w:sz w:val="16"/>
              </w:rPr>
              <w:t> </w:t>
            </w:r>
            <w:r>
              <w:rPr>
                <w:color w:val="231F20"/>
                <w:w w:val="80"/>
                <w:sz w:val="16"/>
              </w:rPr>
              <w:t>La</w:t>
            </w:r>
            <w:r>
              <w:rPr>
                <w:color w:val="231F20"/>
                <w:spacing w:val="-20"/>
                <w:w w:val="80"/>
                <w:sz w:val="16"/>
              </w:rPr>
              <w:t> </w:t>
            </w:r>
            <w:r>
              <w:rPr>
                <w:color w:val="231F20"/>
                <w:w w:val="80"/>
                <w:sz w:val="16"/>
              </w:rPr>
              <w:t>construcción</w:t>
            </w:r>
            <w:r>
              <w:rPr>
                <w:color w:val="231F20"/>
                <w:spacing w:val="-20"/>
                <w:w w:val="80"/>
                <w:sz w:val="16"/>
              </w:rPr>
              <w:t> </w:t>
            </w:r>
            <w:r>
              <w:rPr>
                <w:color w:val="231F20"/>
                <w:w w:val="80"/>
                <w:sz w:val="16"/>
              </w:rPr>
              <w:t>de</w:t>
            </w:r>
            <w:r>
              <w:rPr>
                <w:color w:val="231F20"/>
                <w:spacing w:val="-20"/>
                <w:w w:val="80"/>
                <w:sz w:val="16"/>
              </w:rPr>
              <w:t> </w:t>
            </w:r>
            <w:r>
              <w:rPr>
                <w:color w:val="231F20"/>
                <w:w w:val="80"/>
                <w:sz w:val="16"/>
              </w:rPr>
              <w:t>guarniciones,</w:t>
            </w:r>
            <w:r>
              <w:rPr>
                <w:color w:val="231F20"/>
                <w:spacing w:val="-20"/>
                <w:w w:val="80"/>
                <w:sz w:val="16"/>
              </w:rPr>
              <w:t> </w:t>
            </w:r>
            <w:r>
              <w:rPr>
                <w:color w:val="231F20"/>
                <w:w w:val="80"/>
                <w:sz w:val="16"/>
              </w:rPr>
              <w:t>banquetas</w:t>
            </w:r>
            <w:r>
              <w:rPr>
                <w:color w:val="231F20"/>
                <w:spacing w:val="-20"/>
                <w:w w:val="80"/>
                <w:sz w:val="16"/>
              </w:rPr>
              <w:t> </w:t>
            </w:r>
            <w:r>
              <w:rPr>
                <w:color w:val="231F20"/>
                <w:w w:val="80"/>
                <w:sz w:val="16"/>
              </w:rPr>
              <w:t>y</w:t>
            </w:r>
            <w:r>
              <w:rPr>
                <w:color w:val="231F20"/>
                <w:spacing w:val="-20"/>
                <w:w w:val="80"/>
                <w:sz w:val="16"/>
              </w:rPr>
              <w:t> </w:t>
            </w:r>
            <w:r>
              <w:rPr>
                <w:color w:val="231F20"/>
                <w:w w:val="80"/>
                <w:sz w:val="16"/>
              </w:rPr>
              <w:t>pavimentación</w:t>
            </w:r>
            <w:r>
              <w:rPr>
                <w:color w:val="231F20"/>
                <w:spacing w:val="-20"/>
                <w:w w:val="80"/>
                <w:sz w:val="16"/>
              </w:rPr>
              <w:t> </w:t>
            </w:r>
            <w:r>
              <w:rPr>
                <w:color w:val="231F20"/>
                <w:w w:val="80"/>
                <w:sz w:val="16"/>
              </w:rPr>
              <w:t>de</w:t>
            </w:r>
            <w:r>
              <w:rPr>
                <w:color w:val="231F20"/>
                <w:spacing w:val="-20"/>
                <w:w w:val="80"/>
                <w:sz w:val="16"/>
              </w:rPr>
              <w:t> </w:t>
            </w:r>
            <w:r>
              <w:rPr>
                <w:color w:val="231F20"/>
                <w:w w:val="80"/>
                <w:sz w:val="16"/>
              </w:rPr>
              <w:t>concreto</w:t>
            </w:r>
            <w:r>
              <w:rPr>
                <w:color w:val="231F20"/>
                <w:spacing w:val="-20"/>
                <w:w w:val="80"/>
                <w:sz w:val="16"/>
              </w:rPr>
              <w:t> </w:t>
            </w:r>
            <w:r>
              <w:rPr>
                <w:color w:val="231F20"/>
                <w:w w:val="80"/>
                <w:sz w:val="16"/>
              </w:rPr>
              <w:t>mixto</w:t>
            </w:r>
            <w:r>
              <w:rPr>
                <w:color w:val="231F20"/>
                <w:spacing w:val="-20"/>
                <w:w w:val="80"/>
                <w:sz w:val="16"/>
              </w:rPr>
              <w:t> </w:t>
            </w:r>
            <w:r>
              <w:rPr>
                <w:color w:val="231F20"/>
                <w:w w:val="80"/>
                <w:sz w:val="16"/>
              </w:rPr>
              <w:t>en</w:t>
            </w:r>
            <w:r>
              <w:rPr>
                <w:color w:val="231F20"/>
                <w:spacing w:val="-20"/>
                <w:w w:val="80"/>
                <w:sz w:val="16"/>
              </w:rPr>
              <w:t> </w:t>
            </w:r>
            <w:r>
              <w:rPr>
                <w:color w:val="231F20"/>
                <w:w w:val="80"/>
                <w:sz w:val="16"/>
              </w:rPr>
              <w:t>piedra</w:t>
            </w:r>
            <w:r>
              <w:rPr>
                <w:color w:val="231F20"/>
                <w:spacing w:val="-20"/>
                <w:w w:val="80"/>
                <w:sz w:val="16"/>
              </w:rPr>
              <w:t> </w:t>
            </w:r>
            <w:r>
              <w:rPr>
                <w:color w:val="231F20"/>
                <w:w w:val="80"/>
                <w:sz w:val="16"/>
              </w:rPr>
              <w:t>laja.</w:t>
            </w:r>
          </w:p>
        </w:tc>
      </w:tr>
      <w:tr>
        <w:trPr>
          <w:trHeight w:val="514" w:hRule="exact"/>
        </w:trPr>
        <w:tc>
          <w:tcPr>
            <w:tcW w:w="626" w:type="dxa"/>
          </w:tcPr>
          <w:p>
            <w:pPr>
              <w:pStyle w:val="TableParagraph"/>
              <w:spacing w:before="10"/>
              <w:ind w:left="0"/>
              <w:rPr>
                <w:rFonts w:ascii="Times New Roman"/>
                <w:b/>
                <w:sz w:val="13"/>
              </w:rPr>
            </w:pPr>
          </w:p>
          <w:p>
            <w:pPr>
              <w:pStyle w:val="TableParagraph"/>
              <w:ind w:left="0"/>
              <w:jc w:val="center"/>
              <w:rPr>
                <w:sz w:val="16"/>
              </w:rPr>
            </w:pPr>
            <w:r>
              <w:rPr>
                <w:color w:val="231F20"/>
                <w:w w:val="75"/>
                <w:sz w:val="16"/>
              </w:rPr>
              <w:t>7</w:t>
            </w:r>
          </w:p>
        </w:tc>
        <w:tc>
          <w:tcPr>
            <w:tcW w:w="1004" w:type="dxa"/>
          </w:tcPr>
          <w:p>
            <w:pPr>
              <w:pStyle w:val="TableParagraph"/>
              <w:spacing w:line="161" w:lineRule="exact"/>
              <w:ind w:left="102"/>
              <w:rPr>
                <w:sz w:val="16"/>
              </w:rPr>
            </w:pPr>
            <w:r>
              <w:rPr>
                <w:color w:val="231F20"/>
                <w:w w:val="75"/>
                <w:sz w:val="16"/>
              </w:rPr>
              <w:t>BOLETIN 209 26</w:t>
            </w:r>
          </w:p>
          <w:p>
            <w:pPr>
              <w:pStyle w:val="TableParagraph"/>
              <w:spacing w:line="235" w:lineRule="auto" w:before="1"/>
              <w:ind w:left="102" w:right="205"/>
              <w:rPr>
                <w:sz w:val="16"/>
              </w:rPr>
            </w:pPr>
            <w:r>
              <w:rPr>
                <w:color w:val="231F20"/>
                <w:w w:val="75"/>
                <w:sz w:val="16"/>
              </w:rPr>
              <w:t>de febrero de </w:t>
            </w:r>
            <w:r>
              <w:rPr>
                <w:color w:val="231F20"/>
                <w:w w:val="85"/>
                <w:sz w:val="16"/>
              </w:rPr>
              <w:t>2008</w:t>
            </w:r>
          </w:p>
        </w:tc>
        <w:tc>
          <w:tcPr>
            <w:tcW w:w="6297" w:type="dxa"/>
          </w:tcPr>
          <w:p>
            <w:pPr>
              <w:pStyle w:val="TableParagraph"/>
              <w:spacing w:line="163" w:lineRule="exact"/>
              <w:ind w:right="96"/>
              <w:rPr>
                <w:sz w:val="16"/>
              </w:rPr>
            </w:pPr>
            <w:r>
              <w:rPr>
                <w:color w:val="231F20"/>
                <w:w w:val="80"/>
                <w:sz w:val="16"/>
              </w:rPr>
              <w:t>Servicio de consulta gratuita en el DIF, las 24 horas</w:t>
            </w:r>
          </w:p>
        </w:tc>
      </w:tr>
      <w:tr>
        <w:trPr>
          <w:trHeight w:val="706" w:hRule="exact"/>
        </w:trPr>
        <w:tc>
          <w:tcPr>
            <w:tcW w:w="626" w:type="dxa"/>
          </w:tcPr>
          <w:p>
            <w:pPr>
              <w:pStyle w:val="TableParagraph"/>
              <w:spacing w:before="2"/>
              <w:ind w:left="0"/>
              <w:rPr>
                <w:rFonts w:ascii="Times New Roman"/>
                <w:b/>
                <w:sz w:val="22"/>
              </w:rPr>
            </w:pPr>
          </w:p>
          <w:p>
            <w:pPr>
              <w:pStyle w:val="TableParagraph"/>
              <w:ind w:left="0"/>
              <w:jc w:val="center"/>
              <w:rPr>
                <w:sz w:val="16"/>
              </w:rPr>
            </w:pPr>
            <w:r>
              <w:rPr>
                <w:color w:val="231F20"/>
                <w:w w:val="75"/>
                <w:sz w:val="16"/>
              </w:rPr>
              <w:t>8</w:t>
            </w:r>
          </w:p>
        </w:tc>
        <w:tc>
          <w:tcPr>
            <w:tcW w:w="1004" w:type="dxa"/>
          </w:tcPr>
          <w:p>
            <w:pPr>
              <w:pStyle w:val="TableParagraph"/>
              <w:spacing w:line="194" w:lineRule="exact" w:before="63"/>
              <w:ind w:left="102" w:right="120"/>
              <w:rPr>
                <w:sz w:val="16"/>
              </w:rPr>
            </w:pPr>
            <w:r>
              <w:rPr>
                <w:color w:val="231F20"/>
                <w:w w:val="75"/>
                <w:sz w:val="16"/>
              </w:rPr>
              <w:t>BOLETÍN 212</w:t>
            </w:r>
          </w:p>
          <w:p>
            <w:pPr>
              <w:pStyle w:val="TableParagraph"/>
              <w:spacing w:line="235" w:lineRule="auto" w:before="1"/>
              <w:ind w:left="102"/>
              <w:rPr>
                <w:sz w:val="16"/>
              </w:rPr>
            </w:pPr>
            <w:r>
              <w:rPr>
                <w:color w:val="231F20"/>
                <w:w w:val="80"/>
                <w:sz w:val="16"/>
              </w:rPr>
              <w:t>04 de marzo de </w:t>
            </w:r>
            <w:r>
              <w:rPr>
                <w:color w:val="231F20"/>
                <w:w w:val="85"/>
                <w:sz w:val="16"/>
              </w:rPr>
              <w:t>2008</w:t>
            </w:r>
          </w:p>
        </w:tc>
        <w:tc>
          <w:tcPr>
            <w:tcW w:w="6297" w:type="dxa"/>
          </w:tcPr>
          <w:p>
            <w:pPr>
              <w:pStyle w:val="TableParagraph"/>
              <w:spacing w:line="161" w:lineRule="exact"/>
              <w:jc w:val="both"/>
              <w:rPr>
                <w:sz w:val="16"/>
              </w:rPr>
            </w:pPr>
            <w:r>
              <w:rPr>
                <w:color w:val="231F20"/>
                <w:w w:val="80"/>
                <w:sz w:val="16"/>
              </w:rPr>
              <w:t>Núcleos sanitarios de la escuela secundaria federal 20, Rafael Ramírez, con una inversión de 360 mil pesos. Se compro-</w:t>
            </w:r>
          </w:p>
          <w:p>
            <w:pPr>
              <w:pStyle w:val="TableParagraph"/>
              <w:spacing w:line="235" w:lineRule="auto" w:before="1"/>
              <w:ind w:right="143"/>
              <w:jc w:val="both"/>
              <w:rPr>
                <w:sz w:val="16"/>
              </w:rPr>
            </w:pPr>
            <w:r>
              <w:rPr>
                <w:color w:val="231F20"/>
                <w:w w:val="80"/>
                <w:sz w:val="16"/>
              </w:rPr>
              <w:t>metió</w:t>
            </w:r>
            <w:r>
              <w:rPr>
                <w:color w:val="231F20"/>
                <w:spacing w:val="-15"/>
                <w:w w:val="80"/>
                <w:sz w:val="16"/>
              </w:rPr>
              <w:t> </w:t>
            </w:r>
            <w:r>
              <w:rPr>
                <w:color w:val="231F20"/>
                <w:w w:val="80"/>
                <w:sz w:val="16"/>
              </w:rPr>
              <w:t>a</w:t>
            </w:r>
            <w:r>
              <w:rPr>
                <w:color w:val="231F20"/>
                <w:spacing w:val="-15"/>
                <w:w w:val="80"/>
                <w:sz w:val="16"/>
              </w:rPr>
              <w:t> </w:t>
            </w:r>
            <w:r>
              <w:rPr>
                <w:color w:val="231F20"/>
                <w:w w:val="80"/>
                <w:sz w:val="16"/>
              </w:rPr>
              <w:t>dar</w:t>
            </w:r>
            <w:r>
              <w:rPr>
                <w:color w:val="231F20"/>
                <w:spacing w:val="-15"/>
                <w:w w:val="80"/>
                <w:sz w:val="16"/>
              </w:rPr>
              <w:t> </w:t>
            </w:r>
            <w:r>
              <w:rPr>
                <w:color w:val="231F20"/>
                <w:w w:val="80"/>
                <w:sz w:val="16"/>
              </w:rPr>
              <w:t>los</w:t>
            </w:r>
            <w:r>
              <w:rPr>
                <w:color w:val="231F20"/>
                <w:spacing w:val="-15"/>
                <w:w w:val="80"/>
                <w:sz w:val="16"/>
              </w:rPr>
              <w:t> </w:t>
            </w:r>
            <w:r>
              <w:rPr>
                <w:color w:val="231F20"/>
                <w:w w:val="80"/>
                <w:sz w:val="16"/>
              </w:rPr>
              <w:t>materiales</w:t>
            </w:r>
            <w:r>
              <w:rPr>
                <w:color w:val="231F20"/>
                <w:spacing w:val="-15"/>
                <w:w w:val="80"/>
                <w:sz w:val="16"/>
              </w:rPr>
              <w:t> </w:t>
            </w:r>
            <w:r>
              <w:rPr>
                <w:color w:val="231F20"/>
                <w:w w:val="80"/>
                <w:sz w:val="16"/>
              </w:rPr>
              <w:t>para</w:t>
            </w:r>
            <w:r>
              <w:rPr>
                <w:color w:val="231F20"/>
                <w:spacing w:val="-15"/>
                <w:w w:val="80"/>
                <w:sz w:val="16"/>
              </w:rPr>
              <w:t> </w:t>
            </w:r>
            <w:r>
              <w:rPr>
                <w:color w:val="231F20"/>
                <w:w w:val="80"/>
                <w:sz w:val="16"/>
              </w:rPr>
              <w:t>la</w:t>
            </w:r>
            <w:r>
              <w:rPr>
                <w:color w:val="231F20"/>
                <w:spacing w:val="-15"/>
                <w:w w:val="80"/>
                <w:sz w:val="16"/>
              </w:rPr>
              <w:t> </w:t>
            </w:r>
            <w:r>
              <w:rPr>
                <w:color w:val="231F20"/>
                <w:w w:val="80"/>
                <w:sz w:val="16"/>
              </w:rPr>
              <w:t>construcción</w:t>
            </w:r>
            <w:r>
              <w:rPr>
                <w:color w:val="231F20"/>
                <w:spacing w:val="-15"/>
                <w:w w:val="80"/>
                <w:sz w:val="16"/>
              </w:rPr>
              <w:t> </w:t>
            </w:r>
            <w:r>
              <w:rPr>
                <w:color w:val="231F20"/>
                <w:w w:val="80"/>
                <w:sz w:val="16"/>
              </w:rPr>
              <w:t>de</w:t>
            </w:r>
            <w:r>
              <w:rPr>
                <w:color w:val="231F20"/>
                <w:spacing w:val="-15"/>
                <w:w w:val="80"/>
                <w:sz w:val="16"/>
              </w:rPr>
              <w:t> </w:t>
            </w:r>
            <w:r>
              <w:rPr>
                <w:color w:val="231F20"/>
                <w:w w:val="80"/>
                <w:sz w:val="16"/>
              </w:rPr>
              <w:t>la</w:t>
            </w:r>
            <w:r>
              <w:rPr>
                <w:color w:val="231F20"/>
                <w:spacing w:val="-15"/>
                <w:w w:val="80"/>
                <w:sz w:val="16"/>
              </w:rPr>
              <w:t> </w:t>
            </w:r>
            <w:r>
              <w:rPr>
                <w:color w:val="231F20"/>
                <w:w w:val="80"/>
                <w:sz w:val="16"/>
              </w:rPr>
              <w:t>cancha</w:t>
            </w:r>
            <w:r>
              <w:rPr>
                <w:color w:val="231F20"/>
                <w:spacing w:val="-15"/>
                <w:w w:val="80"/>
                <w:sz w:val="16"/>
              </w:rPr>
              <w:t> </w:t>
            </w:r>
            <w:r>
              <w:rPr>
                <w:color w:val="231F20"/>
                <w:w w:val="80"/>
                <w:sz w:val="16"/>
              </w:rPr>
              <w:t>de</w:t>
            </w:r>
            <w:r>
              <w:rPr>
                <w:color w:val="231F20"/>
                <w:spacing w:val="-15"/>
                <w:w w:val="80"/>
                <w:sz w:val="16"/>
              </w:rPr>
              <w:t> </w:t>
            </w:r>
            <w:r>
              <w:rPr>
                <w:color w:val="231F20"/>
                <w:w w:val="80"/>
                <w:sz w:val="16"/>
              </w:rPr>
              <w:t>futbol,</w:t>
            </w:r>
            <w:r>
              <w:rPr>
                <w:color w:val="231F20"/>
                <w:spacing w:val="-15"/>
                <w:w w:val="80"/>
                <w:sz w:val="16"/>
              </w:rPr>
              <w:t> </w:t>
            </w:r>
            <w:r>
              <w:rPr>
                <w:color w:val="231F20"/>
                <w:w w:val="80"/>
                <w:sz w:val="16"/>
              </w:rPr>
              <w:t>siempre</w:t>
            </w:r>
            <w:r>
              <w:rPr>
                <w:color w:val="231F20"/>
                <w:spacing w:val="-15"/>
                <w:w w:val="80"/>
                <w:sz w:val="16"/>
              </w:rPr>
              <w:t> </w:t>
            </w:r>
            <w:r>
              <w:rPr>
                <w:color w:val="231F20"/>
                <w:w w:val="80"/>
                <w:sz w:val="16"/>
              </w:rPr>
              <w:t>y</w:t>
            </w:r>
            <w:r>
              <w:rPr>
                <w:color w:val="231F20"/>
                <w:spacing w:val="-15"/>
                <w:w w:val="80"/>
                <w:sz w:val="16"/>
              </w:rPr>
              <w:t> </w:t>
            </w:r>
            <w:r>
              <w:rPr>
                <w:color w:val="231F20"/>
                <w:w w:val="80"/>
                <w:sz w:val="16"/>
              </w:rPr>
              <w:t>cuando</w:t>
            </w:r>
            <w:r>
              <w:rPr>
                <w:color w:val="231F20"/>
                <w:spacing w:val="-15"/>
                <w:w w:val="80"/>
                <w:sz w:val="16"/>
              </w:rPr>
              <w:t> </w:t>
            </w:r>
            <w:r>
              <w:rPr>
                <w:color w:val="231F20"/>
                <w:w w:val="80"/>
                <w:sz w:val="16"/>
              </w:rPr>
              <w:t>la</w:t>
            </w:r>
            <w:r>
              <w:rPr>
                <w:color w:val="231F20"/>
                <w:spacing w:val="-15"/>
                <w:w w:val="80"/>
                <w:sz w:val="16"/>
              </w:rPr>
              <w:t> </w:t>
            </w:r>
            <w:r>
              <w:rPr>
                <w:color w:val="231F20"/>
                <w:w w:val="80"/>
                <w:sz w:val="16"/>
              </w:rPr>
              <w:t>Sociedad</w:t>
            </w:r>
            <w:r>
              <w:rPr>
                <w:color w:val="231F20"/>
                <w:spacing w:val="-15"/>
                <w:w w:val="80"/>
                <w:sz w:val="16"/>
              </w:rPr>
              <w:t> </w:t>
            </w:r>
            <w:r>
              <w:rPr>
                <w:color w:val="231F20"/>
                <w:w w:val="80"/>
                <w:sz w:val="16"/>
              </w:rPr>
              <w:t>de</w:t>
            </w:r>
            <w:r>
              <w:rPr>
                <w:color w:val="231F20"/>
                <w:spacing w:val="-15"/>
                <w:w w:val="80"/>
                <w:sz w:val="16"/>
              </w:rPr>
              <w:t> </w:t>
            </w:r>
            <w:r>
              <w:rPr>
                <w:color w:val="231F20"/>
                <w:w w:val="80"/>
                <w:sz w:val="16"/>
              </w:rPr>
              <w:t>Padres</w:t>
            </w:r>
            <w:r>
              <w:rPr>
                <w:color w:val="231F20"/>
                <w:spacing w:val="-15"/>
                <w:w w:val="80"/>
                <w:sz w:val="16"/>
              </w:rPr>
              <w:t> </w:t>
            </w:r>
            <w:r>
              <w:rPr>
                <w:color w:val="231F20"/>
                <w:w w:val="80"/>
                <w:sz w:val="16"/>
              </w:rPr>
              <w:t>de</w:t>
            </w:r>
            <w:r>
              <w:rPr>
                <w:color w:val="231F20"/>
                <w:spacing w:val="-15"/>
                <w:w w:val="80"/>
                <w:sz w:val="16"/>
              </w:rPr>
              <w:t> </w:t>
            </w:r>
            <w:r>
              <w:rPr>
                <w:color w:val="231F20"/>
                <w:w w:val="80"/>
                <w:sz w:val="16"/>
              </w:rPr>
              <w:t>Familia ponga</w:t>
            </w:r>
            <w:r>
              <w:rPr>
                <w:color w:val="231F20"/>
                <w:spacing w:val="-16"/>
                <w:w w:val="80"/>
                <w:sz w:val="16"/>
              </w:rPr>
              <w:t> </w:t>
            </w:r>
            <w:r>
              <w:rPr>
                <w:color w:val="231F20"/>
                <w:w w:val="80"/>
                <w:sz w:val="16"/>
              </w:rPr>
              <w:t>la</w:t>
            </w:r>
            <w:r>
              <w:rPr>
                <w:color w:val="231F20"/>
                <w:spacing w:val="-16"/>
                <w:w w:val="80"/>
                <w:sz w:val="16"/>
              </w:rPr>
              <w:t> </w:t>
            </w:r>
            <w:r>
              <w:rPr>
                <w:color w:val="231F20"/>
                <w:w w:val="80"/>
                <w:sz w:val="16"/>
              </w:rPr>
              <w:t>mano</w:t>
            </w:r>
            <w:r>
              <w:rPr>
                <w:color w:val="231F20"/>
                <w:spacing w:val="-16"/>
                <w:w w:val="80"/>
                <w:sz w:val="16"/>
              </w:rPr>
              <w:t> </w:t>
            </w:r>
            <w:r>
              <w:rPr>
                <w:color w:val="231F20"/>
                <w:w w:val="80"/>
                <w:sz w:val="16"/>
              </w:rPr>
              <w:t>de</w:t>
            </w:r>
            <w:r>
              <w:rPr>
                <w:color w:val="231F20"/>
                <w:spacing w:val="-16"/>
                <w:w w:val="80"/>
                <w:sz w:val="16"/>
              </w:rPr>
              <w:t> </w:t>
            </w:r>
            <w:r>
              <w:rPr>
                <w:color w:val="231F20"/>
                <w:w w:val="80"/>
                <w:sz w:val="16"/>
              </w:rPr>
              <w:t>obra,</w:t>
            </w:r>
            <w:r>
              <w:rPr>
                <w:color w:val="231F20"/>
                <w:spacing w:val="-16"/>
                <w:w w:val="80"/>
                <w:sz w:val="16"/>
              </w:rPr>
              <w:t> </w:t>
            </w:r>
            <w:r>
              <w:rPr>
                <w:color w:val="231F20"/>
                <w:w w:val="80"/>
                <w:sz w:val="16"/>
              </w:rPr>
              <w:t>“no</w:t>
            </w:r>
            <w:r>
              <w:rPr>
                <w:color w:val="231F20"/>
                <w:spacing w:val="-16"/>
                <w:w w:val="80"/>
                <w:sz w:val="16"/>
              </w:rPr>
              <w:t> </w:t>
            </w:r>
            <w:r>
              <w:rPr>
                <w:color w:val="231F20"/>
                <w:w w:val="80"/>
                <w:sz w:val="16"/>
              </w:rPr>
              <w:t>podemos</w:t>
            </w:r>
            <w:r>
              <w:rPr>
                <w:color w:val="231F20"/>
                <w:spacing w:val="-16"/>
                <w:w w:val="80"/>
                <w:sz w:val="16"/>
              </w:rPr>
              <w:t> </w:t>
            </w:r>
            <w:r>
              <w:rPr>
                <w:color w:val="231F20"/>
                <w:w w:val="80"/>
                <w:sz w:val="16"/>
              </w:rPr>
              <w:t>las</w:t>
            </w:r>
            <w:r>
              <w:rPr>
                <w:color w:val="231F20"/>
                <w:spacing w:val="-16"/>
                <w:w w:val="80"/>
                <w:sz w:val="16"/>
              </w:rPr>
              <w:t> </w:t>
            </w:r>
            <w:r>
              <w:rPr>
                <w:color w:val="231F20"/>
                <w:w w:val="80"/>
                <w:sz w:val="16"/>
              </w:rPr>
              <w:t>autoridades</w:t>
            </w:r>
            <w:r>
              <w:rPr>
                <w:color w:val="231F20"/>
                <w:spacing w:val="-16"/>
                <w:w w:val="80"/>
                <w:sz w:val="16"/>
              </w:rPr>
              <w:t> </w:t>
            </w:r>
            <w:r>
              <w:rPr>
                <w:color w:val="231F20"/>
                <w:w w:val="80"/>
                <w:sz w:val="16"/>
              </w:rPr>
              <w:t>escolares</w:t>
            </w:r>
            <w:r>
              <w:rPr>
                <w:color w:val="231F20"/>
                <w:spacing w:val="-16"/>
                <w:w w:val="80"/>
                <w:sz w:val="16"/>
              </w:rPr>
              <w:t> </w:t>
            </w:r>
            <w:r>
              <w:rPr>
                <w:color w:val="231F20"/>
                <w:w w:val="80"/>
                <w:sz w:val="16"/>
              </w:rPr>
              <w:t>ni</w:t>
            </w:r>
            <w:r>
              <w:rPr>
                <w:color w:val="231F20"/>
                <w:spacing w:val="-16"/>
                <w:w w:val="80"/>
                <w:sz w:val="16"/>
              </w:rPr>
              <w:t> </w:t>
            </w:r>
            <w:r>
              <w:rPr>
                <w:color w:val="231F20"/>
                <w:w w:val="80"/>
                <w:sz w:val="16"/>
              </w:rPr>
              <w:t>municipales</w:t>
            </w:r>
            <w:r>
              <w:rPr>
                <w:color w:val="231F20"/>
                <w:spacing w:val="-16"/>
                <w:w w:val="80"/>
                <w:sz w:val="16"/>
              </w:rPr>
              <w:t> </w:t>
            </w:r>
            <w:r>
              <w:rPr>
                <w:color w:val="231F20"/>
                <w:w w:val="80"/>
                <w:sz w:val="16"/>
              </w:rPr>
              <w:t>ir</w:t>
            </w:r>
            <w:r>
              <w:rPr>
                <w:color w:val="231F20"/>
                <w:spacing w:val="-16"/>
                <w:w w:val="80"/>
                <w:sz w:val="16"/>
              </w:rPr>
              <w:t> </w:t>
            </w:r>
            <w:r>
              <w:rPr>
                <w:color w:val="231F20"/>
                <w:w w:val="80"/>
                <w:sz w:val="16"/>
              </w:rPr>
              <w:t>cada</w:t>
            </w:r>
            <w:r>
              <w:rPr>
                <w:color w:val="231F20"/>
                <w:spacing w:val="-16"/>
                <w:w w:val="80"/>
                <w:sz w:val="16"/>
              </w:rPr>
              <w:t> </w:t>
            </w:r>
            <w:r>
              <w:rPr>
                <w:color w:val="231F20"/>
                <w:w w:val="80"/>
                <w:sz w:val="16"/>
              </w:rPr>
              <w:t>quien</w:t>
            </w:r>
            <w:r>
              <w:rPr>
                <w:color w:val="231F20"/>
                <w:spacing w:val="-16"/>
                <w:w w:val="80"/>
                <w:sz w:val="16"/>
              </w:rPr>
              <w:t> </w:t>
            </w:r>
            <w:r>
              <w:rPr>
                <w:color w:val="231F20"/>
                <w:w w:val="80"/>
                <w:sz w:val="16"/>
              </w:rPr>
              <w:t>por</w:t>
            </w:r>
            <w:r>
              <w:rPr>
                <w:color w:val="231F20"/>
                <w:spacing w:val="-16"/>
                <w:w w:val="80"/>
                <w:sz w:val="16"/>
              </w:rPr>
              <w:t> </w:t>
            </w:r>
            <w:r>
              <w:rPr>
                <w:color w:val="231F20"/>
                <w:w w:val="80"/>
                <w:sz w:val="16"/>
              </w:rPr>
              <w:t>su</w:t>
            </w:r>
            <w:r>
              <w:rPr>
                <w:color w:val="231F20"/>
                <w:spacing w:val="-16"/>
                <w:w w:val="80"/>
                <w:sz w:val="16"/>
              </w:rPr>
              <w:t> </w:t>
            </w:r>
            <w:r>
              <w:rPr>
                <w:color w:val="231F20"/>
                <w:w w:val="80"/>
                <w:sz w:val="16"/>
              </w:rPr>
              <w:t>camino,</w:t>
            </w:r>
            <w:r>
              <w:rPr>
                <w:color w:val="231F20"/>
                <w:spacing w:val="-16"/>
                <w:w w:val="80"/>
                <w:sz w:val="16"/>
              </w:rPr>
              <w:t> </w:t>
            </w:r>
            <w:r>
              <w:rPr>
                <w:color w:val="231F20"/>
                <w:w w:val="80"/>
                <w:sz w:val="16"/>
              </w:rPr>
              <w:t>hoy</w:t>
            </w:r>
            <w:r>
              <w:rPr>
                <w:color w:val="231F20"/>
                <w:spacing w:val="-16"/>
                <w:w w:val="80"/>
                <w:sz w:val="16"/>
              </w:rPr>
              <w:t> </w:t>
            </w:r>
            <w:r>
              <w:rPr>
                <w:color w:val="231F20"/>
                <w:w w:val="80"/>
                <w:sz w:val="16"/>
              </w:rPr>
              <w:t>debemos </w:t>
            </w:r>
            <w:r>
              <w:rPr>
                <w:color w:val="231F20"/>
                <w:w w:val="75"/>
                <w:sz w:val="16"/>
              </w:rPr>
              <w:t>dar resultados con el trabajo</w:t>
            </w:r>
            <w:r>
              <w:rPr>
                <w:color w:val="231F20"/>
                <w:spacing w:val="9"/>
                <w:w w:val="75"/>
                <w:sz w:val="16"/>
              </w:rPr>
              <w:t> </w:t>
            </w:r>
            <w:r>
              <w:rPr>
                <w:color w:val="231F20"/>
                <w:w w:val="75"/>
                <w:sz w:val="16"/>
              </w:rPr>
              <w:t>conjunto”.</w:t>
            </w:r>
          </w:p>
        </w:tc>
      </w:tr>
      <w:tr>
        <w:trPr>
          <w:trHeight w:val="514" w:hRule="exact"/>
        </w:trPr>
        <w:tc>
          <w:tcPr>
            <w:tcW w:w="626" w:type="dxa"/>
          </w:tcPr>
          <w:p>
            <w:pPr>
              <w:pStyle w:val="TableParagraph"/>
              <w:spacing w:before="10"/>
              <w:ind w:left="0"/>
              <w:rPr>
                <w:rFonts w:ascii="Times New Roman"/>
                <w:b/>
                <w:sz w:val="13"/>
              </w:rPr>
            </w:pPr>
          </w:p>
          <w:p>
            <w:pPr>
              <w:pStyle w:val="TableParagraph"/>
              <w:ind w:left="0"/>
              <w:jc w:val="center"/>
              <w:rPr>
                <w:sz w:val="16"/>
              </w:rPr>
            </w:pPr>
            <w:r>
              <w:rPr>
                <w:color w:val="231F20"/>
                <w:w w:val="75"/>
                <w:sz w:val="16"/>
              </w:rPr>
              <w:t>9</w:t>
            </w:r>
          </w:p>
        </w:tc>
        <w:tc>
          <w:tcPr>
            <w:tcW w:w="1004" w:type="dxa"/>
          </w:tcPr>
          <w:p>
            <w:pPr>
              <w:pStyle w:val="TableParagraph"/>
              <w:spacing w:line="161" w:lineRule="exact"/>
              <w:ind w:left="102" w:right="120"/>
              <w:rPr>
                <w:sz w:val="16"/>
              </w:rPr>
            </w:pPr>
            <w:r>
              <w:rPr>
                <w:color w:val="231F20"/>
                <w:w w:val="75"/>
                <w:sz w:val="16"/>
              </w:rPr>
              <w:t>BOLETÍN 224</w:t>
            </w:r>
          </w:p>
          <w:p>
            <w:pPr>
              <w:pStyle w:val="TableParagraph"/>
              <w:spacing w:line="235" w:lineRule="auto" w:before="1"/>
              <w:ind w:left="102" w:right="120"/>
              <w:rPr>
                <w:sz w:val="16"/>
              </w:rPr>
            </w:pPr>
            <w:r>
              <w:rPr>
                <w:color w:val="231F20"/>
                <w:w w:val="80"/>
                <w:sz w:val="16"/>
              </w:rPr>
              <w:t>11 de abril de </w:t>
            </w:r>
            <w:r>
              <w:rPr>
                <w:color w:val="231F20"/>
                <w:w w:val="85"/>
                <w:sz w:val="16"/>
              </w:rPr>
              <w:t>2008</w:t>
            </w:r>
          </w:p>
        </w:tc>
        <w:tc>
          <w:tcPr>
            <w:tcW w:w="6297" w:type="dxa"/>
          </w:tcPr>
          <w:p>
            <w:pPr>
              <w:pStyle w:val="TableParagraph"/>
              <w:spacing w:line="161" w:lineRule="exact"/>
              <w:ind w:right="-9"/>
              <w:rPr>
                <w:sz w:val="16"/>
              </w:rPr>
            </w:pPr>
            <w:r>
              <w:rPr>
                <w:color w:val="231F20"/>
                <w:w w:val="80"/>
                <w:sz w:val="16"/>
              </w:rPr>
              <w:t>El edil de Tepotzotlán, Marcos Márquez Mercado en conjunto con la empresa Mogul cortaron el listón inaugural de los</w:t>
            </w:r>
          </w:p>
          <w:p>
            <w:pPr>
              <w:pStyle w:val="TableParagraph"/>
              <w:spacing w:line="235" w:lineRule="auto" w:before="1"/>
              <w:ind w:right="96"/>
              <w:rPr>
                <w:sz w:val="16"/>
              </w:rPr>
            </w:pPr>
            <w:r>
              <w:rPr>
                <w:color w:val="231F20"/>
                <w:w w:val="80"/>
                <w:sz w:val="16"/>
              </w:rPr>
              <w:t>trabajos</w:t>
            </w:r>
            <w:r>
              <w:rPr>
                <w:color w:val="231F20"/>
                <w:spacing w:val="-18"/>
                <w:w w:val="80"/>
                <w:sz w:val="16"/>
              </w:rPr>
              <w:t> </w:t>
            </w:r>
            <w:r>
              <w:rPr>
                <w:color w:val="231F20"/>
                <w:w w:val="80"/>
                <w:sz w:val="16"/>
              </w:rPr>
              <w:t>de</w:t>
            </w:r>
            <w:r>
              <w:rPr>
                <w:color w:val="231F20"/>
                <w:spacing w:val="-18"/>
                <w:w w:val="80"/>
                <w:sz w:val="16"/>
              </w:rPr>
              <w:t> </w:t>
            </w:r>
            <w:r>
              <w:rPr>
                <w:color w:val="231F20"/>
                <w:w w:val="80"/>
                <w:sz w:val="16"/>
              </w:rPr>
              <w:t>pavimentación</w:t>
            </w:r>
            <w:r>
              <w:rPr>
                <w:color w:val="231F20"/>
                <w:spacing w:val="-18"/>
                <w:w w:val="80"/>
                <w:sz w:val="16"/>
              </w:rPr>
              <w:t> </w:t>
            </w:r>
            <w:r>
              <w:rPr>
                <w:color w:val="231F20"/>
                <w:w w:val="80"/>
                <w:sz w:val="16"/>
              </w:rPr>
              <w:t>de</w:t>
            </w:r>
            <w:r>
              <w:rPr>
                <w:color w:val="231F20"/>
                <w:spacing w:val="-18"/>
                <w:w w:val="80"/>
                <w:sz w:val="16"/>
              </w:rPr>
              <w:t> </w:t>
            </w:r>
            <w:r>
              <w:rPr>
                <w:color w:val="231F20"/>
                <w:w w:val="80"/>
                <w:sz w:val="16"/>
              </w:rPr>
              <w:t>la</w:t>
            </w:r>
            <w:r>
              <w:rPr>
                <w:color w:val="231F20"/>
                <w:spacing w:val="-18"/>
                <w:w w:val="80"/>
                <w:sz w:val="16"/>
              </w:rPr>
              <w:t> </w:t>
            </w:r>
            <w:r>
              <w:rPr>
                <w:color w:val="231F20"/>
                <w:w w:val="80"/>
                <w:sz w:val="16"/>
              </w:rPr>
              <w:t>calle</w:t>
            </w:r>
            <w:r>
              <w:rPr>
                <w:color w:val="231F20"/>
                <w:spacing w:val="-18"/>
                <w:w w:val="80"/>
                <w:sz w:val="16"/>
              </w:rPr>
              <w:t> </w:t>
            </w:r>
            <w:r>
              <w:rPr>
                <w:color w:val="231F20"/>
                <w:w w:val="80"/>
                <w:sz w:val="16"/>
              </w:rPr>
              <w:t>Tejocote,</w:t>
            </w:r>
            <w:r>
              <w:rPr>
                <w:color w:val="231F20"/>
                <w:spacing w:val="-18"/>
                <w:w w:val="80"/>
                <w:sz w:val="16"/>
              </w:rPr>
              <w:t> </w:t>
            </w:r>
            <w:r>
              <w:rPr>
                <w:color w:val="231F20"/>
                <w:w w:val="80"/>
                <w:sz w:val="16"/>
              </w:rPr>
              <w:t>del</w:t>
            </w:r>
            <w:r>
              <w:rPr>
                <w:color w:val="231F20"/>
                <w:spacing w:val="-18"/>
                <w:w w:val="80"/>
                <w:sz w:val="16"/>
              </w:rPr>
              <w:t> </w:t>
            </w:r>
            <w:r>
              <w:rPr>
                <w:color w:val="231F20"/>
                <w:w w:val="80"/>
                <w:sz w:val="16"/>
              </w:rPr>
              <w:t>barrio</w:t>
            </w:r>
            <w:r>
              <w:rPr>
                <w:color w:val="231F20"/>
                <w:spacing w:val="-18"/>
                <w:w w:val="80"/>
                <w:sz w:val="16"/>
              </w:rPr>
              <w:t> </w:t>
            </w:r>
            <w:r>
              <w:rPr>
                <w:color w:val="231F20"/>
                <w:w w:val="80"/>
                <w:sz w:val="16"/>
              </w:rPr>
              <w:t>de</w:t>
            </w:r>
            <w:r>
              <w:rPr>
                <w:color w:val="231F20"/>
                <w:spacing w:val="-18"/>
                <w:w w:val="80"/>
                <w:sz w:val="16"/>
              </w:rPr>
              <w:t> </w:t>
            </w:r>
            <w:r>
              <w:rPr>
                <w:color w:val="231F20"/>
                <w:w w:val="80"/>
                <w:sz w:val="16"/>
              </w:rPr>
              <w:t>Texcacoa,</w:t>
            </w:r>
            <w:r>
              <w:rPr>
                <w:color w:val="231F20"/>
                <w:spacing w:val="-18"/>
                <w:w w:val="80"/>
                <w:sz w:val="16"/>
              </w:rPr>
              <w:t> </w:t>
            </w:r>
            <w:r>
              <w:rPr>
                <w:color w:val="231F20"/>
                <w:w w:val="80"/>
                <w:sz w:val="16"/>
              </w:rPr>
              <w:t>con</w:t>
            </w:r>
            <w:r>
              <w:rPr>
                <w:color w:val="231F20"/>
                <w:spacing w:val="-18"/>
                <w:w w:val="80"/>
                <w:sz w:val="16"/>
              </w:rPr>
              <w:t> </w:t>
            </w:r>
            <w:r>
              <w:rPr>
                <w:color w:val="231F20"/>
                <w:w w:val="80"/>
                <w:sz w:val="16"/>
              </w:rPr>
              <w:t>una</w:t>
            </w:r>
            <w:r>
              <w:rPr>
                <w:color w:val="231F20"/>
                <w:spacing w:val="-18"/>
                <w:w w:val="80"/>
                <w:sz w:val="16"/>
              </w:rPr>
              <w:t> </w:t>
            </w:r>
            <w:r>
              <w:rPr>
                <w:color w:val="231F20"/>
                <w:w w:val="80"/>
                <w:sz w:val="16"/>
              </w:rPr>
              <w:t>inversión</w:t>
            </w:r>
            <w:r>
              <w:rPr>
                <w:color w:val="231F20"/>
                <w:spacing w:val="-18"/>
                <w:w w:val="80"/>
                <w:sz w:val="16"/>
              </w:rPr>
              <w:t> </w:t>
            </w:r>
            <w:r>
              <w:rPr>
                <w:color w:val="231F20"/>
                <w:w w:val="80"/>
                <w:sz w:val="16"/>
              </w:rPr>
              <w:t>de</w:t>
            </w:r>
            <w:r>
              <w:rPr>
                <w:color w:val="231F20"/>
                <w:spacing w:val="-18"/>
                <w:w w:val="80"/>
                <w:sz w:val="16"/>
              </w:rPr>
              <w:t> </w:t>
            </w:r>
            <w:r>
              <w:rPr>
                <w:color w:val="231F20"/>
                <w:w w:val="80"/>
                <w:sz w:val="16"/>
              </w:rPr>
              <w:t>trescientos</w:t>
            </w:r>
            <w:r>
              <w:rPr>
                <w:color w:val="231F20"/>
                <w:spacing w:val="-18"/>
                <w:w w:val="80"/>
                <w:sz w:val="16"/>
              </w:rPr>
              <w:t> </w:t>
            </w:r>
            <w:r>
              <w:rPr>
                <w:color w:val="231F20"/>
                <w:w w:val="80"/>
                <w:sz w:val="16"/>
              </w:rPr>
              <w:t>sesenta</w:t>
            </w:r>
            <w:r>
              <w:rPr>
                <w:color w:val="231F20"/>
                <w:spacing w:val="-18"/>
                <w:w w:val="80"/>
                <w:sz w:val="16"/>
              </w:rPr>
              <w:t> </w:t>
            </w:r>
            <w:r>
              <w:rPr>
                <w:color w:val="231F20"/>
                <w:w w:val="80"/>
                <w:sz w:val="16"/>
              </w:rPr>
              <w:t>mil</w:t>
            </w:r>
            <w:r>
              <w:rPr>
                <w:color w:val="231F20"/>
                <w:spacing w:val="-18"/>
                <w:w w:val="80"/>
                <w:sz w:val="16"/>
              </w:rPr>
              <w:t> </w:t>
            </w:r>
            <w:r>
              <w:rPr>
                <w:color w:val="231F20"/>
                <w:w w:val="80"/>
                <w:sz w:val="16"/>
              </w:rPr>
              <w:t>pesos. Los</w:t>
            </w:r>
            <w:r>
              <w:rPr>
                <w:color w:val="231F20"/>
                <w:spacing w:val="-17"/>
                <w:w w:val="80"/>
                <w:sz w:val="16"/>
              </w:rPr>
              <w:t> </w:t>
            </w:r>
            <w:r>
              <w:rPr>
                <w:color w:val="231F20"/>
                <w:w w:val="80"/>
                <w:sz w:val="16"/>
              </w:rPr>
              <w:t>empresarios</w:t>
            </w:r>
            <w:r>
              <w:rPr>
                <w:color w:val="231F20"/>
                <w:spacing w:val="-17"/>
                <w:w w:val="80"/>
                <w:sz w:val="16"/>
              </w:rPr>
              <w:t> </w:t>
            </w:r>
            <w:r>
              <w:rPr>
                <w:color w:val="231F20"/>
                <w:w w:val="80"/>
                <w:sz w:val="16"/>
              </w:rPr>
              <w:t>dieron</w:t>
            </w:r>
            <w:r>
              <w:rPr>
                <w:color w:val="231F20"/>
                <w:spacing w:val="-17"/>
                <w:w w:val="80"/>
                <w:sz w:val="16"/>
              </w:rPr>
              <w:t> </w:t>
            </w:r>
            <w:r>
              <w:rPr>
                <w:color w:val="231F20"/>
                <w:w w:val="80"/>
                <w:sz w:val="16"/>
              </w:rPr>
              <w:t>la</w:t>
            </w:r>
            <w:r>
              <w:rPr>
                <w:color w:val="231F20"/>
                <w:spacing w:val="-17"/>
                <w:w w:val="80"/>
                <w:sz w:val="16"/>
              </w:rPr>
              <w:t> </w:t>
            </w:r>
            <w:r>
              <w:rPr>
                <w:color w:val="231F20"/>
                <w:w w:val="80"/>
                <w:sz w:val="16"/>
              </w:rPr>
              <w:t>cantidad</w:t>
            </w:r>
            <w:r>
              <w:rPr>
                <w:color w:val="231F20"/>
                <w:spacing w:val="-17"/>
                <w:w w:val="80"/>
                <w:sz w:val="16"/>
              </w:rPr>
              <w:t> </w:t>
            </w:r>
            <w:r>
              <w:rPr>
                <w:color w:val="231F20"/>
                <w:w w:val="80"/>
                <w:sz w:val="16"/>
              </w:rPr>
              <w:t>de</w:t>
            </w:r>
            <w:r>
              <w:rPr>
                <w:color w:val="231F20"/>
                <w:spacing w:val="-17"/>
                <w:w w:val="80"/>
                <w:sz w:val="16"/>
              </w:rPr>
              <w:t> </w:t>
            </w:r>
            <w:r>
              <w:rPr>
                <w:color w:val="231F20"/>
                <w:w w:val="80"/>
                <w:sz w:val="16"/>
              </w:rPr>
              <w:t>180</w:t>
            </w:r>
            <w:r>
              <w:rPr>
                <w:color w:val="231F20"/>
                <w:spacing w:val="-17"/>
                <w:w w:val="80"/>
                <w:sz w:val="16"/>
              </w:rPr>
              <w:t> </w:t>
            </w:r>
            <w:r>
              <w:rPr>
                <w:color w:val="231F20"/>
                <w:w w:val="80"/>
                <w:sz w:val="16"/>
              </w:rPr>
              <w:t>mil</w:t>
            </w:r>
            <w:r>
              <w:rPr>
                <w:color w:val="231F20"/>
                <w:spacing w:val="-17"/>
                <w:w w:val="80"/>
                <w:sz w:val="16"/>
              </w:rPr>
              <w:t> </w:t>
            </w:r>
            <w:r>
              <w:rPr>
                <w:color w:val="231F20"/>
                <w:w w:val="80"/>
                <w:sz w:val="16"/>
              </w:rPr>
              <w:t>pesos</w:t>
            </w:r>
            <w:r>
              <w:rPr>
                <w:color w:val="231F20"/>
                <w:spacing w:val="-17"/>
                <w:w w:val="80"/>
                <w:sz w:val="16"/>
              </w:rPr>
              <w:t> </w:t>
            </w:r>
            <w:r>
              <w:rPr>
                <w:color w:val="231F20"/>
                <w:w w:val="80"/>
                <w:sz w:val="16"/>
              </w:rPr>
              <w:t>para</w:t>
            </w:r>
            <w:r>
              <w:rPr>
                <w:color w:val="231F20"/>
                <w:spacing w:val="-17"/>
                <w:w w:val="80"/>
                <w:sz w:val="16"/>
              </w:rPr>
              <w:t> </w:t>
            </w:r>
            <w:r>
              <w:rPr>
                <w:color w:val="231F20"/>
                <w:w w:val="80"/>
                <w:sz w:val="16"/>
              </w:rPr>
              <w:t>la</w:t>
            </w:r>
            <w:r>
              <w:rPr>
                <w:color w:val="231F20"/>
                <w:spacing w:val="-17"/>
                <w:w w:val="80"/>
                <w:sz w:val="16"/>
              </w:rPr>
              <w:t> </w:t>
            </w:r>
            <w:r>
              <w:rPr>
                <w:color w:val="231F20"/>
                <w:w w:val="80"/>
                <w:sz w:val="16"/>
              </w:rPr>
              <w:t>construcción</w:t>
            </w:r>
            <w:r>
              <w:rPr>
                <w:color w:val="231F20"/>
                <w:spacing w:val="-17"/>
                <w:w w:val="80"/>
                <w:sz w:val="16"/>
              </w:rPr>
              <w:t> </w:t>
            </w:r>
            <w:r>
              <w:rPr>
                <w:color w:val="231F20"/>
                <w:w w:val="80"/>
                <w:sz w:val="16"/>
              </w:rPr>
              <w:t>de</w:t>
            </w:r>
            <w:r>
              <w:rPr>
                <w:color w:val="231F20"/>
                <w:spacing w:val="-17"/>
                <w:w w:val="80"/>
                <w:sz w:val="16"/>
              </w:rPr>
              <w:t> </w:t>
            </w:r>
            <w:r>
              <w:rPr>
                <w:color w:val="231F20"/>
                <w:w w:val="80"/>
                <w:sz w:val="16"/>
              </w:rPr>
              <w:t>la</w:t>
            </w:r>
            <w:r>
              <w:rPr>
                <w:color w:val="231F20"/>
                <w:spacing w:val="-17"/>
                <w:w w:val="80"/>
                <w:sz w:val="16"/>
              </w:rPr>
              <w:t> </w:t>
            </w:r>
            <w:r>
              <w:rPr>
                <w:color w:val="231F20"/>
                <w:w w:val="80"/>
                <w:sz w:val="16"/>
              </w:rPr>
              <w:t>obra.</w:t>
            </w:r>
          </w:p>
        </w:tc>
      </w:tr>
      <w:tr>
        <w:trPr>
          <w:trHeight w:val="898" w:hRule="exact"/>
        </w:trPr>
        <w:tc>
          <w:tcPr>
            <w:tcW w:w="626" w:type="dxa"/>
          </w:tcPr>
          <w:p>
            <w:pPr>
              <w:pStyle w:val="TableParagraph"/>
              <w:ind w:left="0"/>
              <w:rPr>
                <w:rFonts w:ascii="Times New Roman"/>
                <w:b/>
                <w:sz w:val="16"/>
              </w:rPr>
            </w:pPr>
          </w:p>
          <w:p>
            <w:pPr>
              <w:pStyle w:val="TableParagraph"/>
              <w:spacing w:before="6"/>
              <w:ind w:left="0"/>
              <w:rPr>
                <w:rFonts w:ascii="Times New Roman"/>
                <w:b/>
                <w:sz w:val="14"/>
              </w:rPr>
            </w:pPr>
          </w:p>
          <w:p>
            <w:pPr>
              <w:pStyle w:val="TableParagraph"/>
              <w:ind w:left="136" w:right="136"/>
              <w:jc w:val="center"/>
              <w:rPr>
                <w:sz w:val="16"/>
              </w:rPr>
            </w:pPr>
            <w:r>
              <w:rPr>
                <w:color w:val="231F20"/>
                <w:w w:val="85"/>
                <w:sz w:val="16"/>
              </w:rPr>
              <w:t>10</w:t>
            </w:r>
          </w:p>
        </w:tc>
        <w:tc>
          <w:tcPr>
            <w:tcW w:w="1004" w:type="dxa"/>
          </w:tcPr>
          <w:p>
            <w:pPr>
              <w:pStyle w:val="TableParagraph"/>
              <w:spacing w:before="10"/>
              <w:ind w:left="0"/>
              <w:rPr>
                <w:rFonts w:ascii="Times New Roman"/>
                <w:b/>
                <w:sz w:val="13"/>
              </w:rPr>
            </w:pPr>
          </w:p>
          <w:p>
            <w:pPr>
              <w:pStyle w:val="TableParagraph"/>
              <w:spacing w:line="194" w:lineRule="exact"/>
              <w:ind w:left="102" w:right="120"/>
              <w:rPr>
                <w:sz w:val="16"/>
              </w:rPr>
            </w:pPr>
            <w:r>
              <w:rPr>
                <w:color w:val="231F20"/>
                <w:w w:val="75"/>
                <w:sz w:val="16"/>
              </w:rPr>
              <w:t>BOLETÍN 225</w:t>
            </w:r>
          </w:p>
          <w:p>
            <w:pPr>
              <w:pStyle w:val="TableParagraph"/>
              <w:spacing w:line="235" w:lineRule="auto" w:before="1"/>
              <w:ind w:left="102" w:right="120"/>
              <w:rPr>
                <w:sz w:val="16"/>
              </w:rPr>
            </w:pPr>
            <w:r>
              <w:rPr>
                <w:color w:val="231F20"/>
                <w:w w:val="80"/>
                <w:sz w:val="16"/>
              </w:rPr>
              <w:t>12 de abril de </w:t>
            </w:r>
            <w:r>
              <w:rPr>
                <w:color w:val="231F20"/>
                <w:w w:val="85"/>
                <w:sz w:val="16"/>
              </w:rPr>
              <w:t>2008</w:t>
            </w:r>
          </w:p>
        </w:tc>
        <w:tc>
          <w:tcPr>
            <w:tcW w:w="6297" w:type="dxa"/>
          </w:tcPr>
          <w:p>
            <w:pPr>
              <w:pStyle w:val="TableParagraph"/>
              <w:spacing w:line="161" w:lineRule="exact"/>
              <w:ind w:right="-9"/>
              <w:rPr>
                <w:sz w:val="16"/>
              </w:rPr>
            </w:pPr>
            <w:r>
              <w:rPr>
                <w:color w:val="231F20"/>
                <w:w w:val="80"/>
                <w:sz w:val="16"/>
              </w:rPr>
              <w:t>Los vales que recibieron los habitantes de las colonias Ricardo Flores Magón, Cañada de Cisneros y San Mateo Xolocasí</w:t>
            </w:r>
          </w:p>
          <w:p>
            <w:pPr>
              <w:pStyle w:val="TableParagraph"/>
              <w:spacing w:line="235" w:lineRule="auto" w:before="1"/>
              <w:ind w:right="96"/>
              <w:rPr>
                <w:sz w:val="16"/>
              </w:rPr>
            </w:pPr>
            <w:r>
              <w:rPr>
                <w:color w:val="231F20"/>
                <w:w w:val="80"/>
                <w:sz w:val="16"/>
              </w:rPr>
              <w:t>como</w:t>
            </w:r>
            <w:r>
              <w:rPr>
                <w:color w:val="231F20"/>
                <w:spacing w:val="-17"/>
                <w:w w:val="80"/>
                <w:sz w:val="16"/>
              </w:rPr>
              <w:t> </w:t>
            </w:r>
            <w:r>
              <w:rPr>
                <w:color w:val="231F20"/>
                <w:w w:val="80"/>
                <w:sz w:val="16"/>
              </w:rPr>
              <w:t>habitantes</w:t>
            </w:r>
            <w:r>
              <w:rPr>
                <w:color w:val="231F20"/>
                <w:spacing w:val="-17"/>
                <w:w w:val="80"/>
                <w:sz w:val="16"/>
              </w:rPr>
              <w:t> </w:t>
            </w:r>
            <w:r>
              <w:rPr>
                <w:color w:val="231F20"/>
                <w:w w:val="80"/>
                <w:sz w:val="16"/>
              </w:rPr>
              <w:t>del</w:t>
            </w:r>
            <w:r>
              <w:rPr>
                <w:color w:val="231F20"/>
                <w:spacing w:val="-17"/>
                <w:w w:val="80"/>
                <w:sz w:val="16"/>
              </w:rPr>
              <w:t> </w:t>
            </w:r>
            <w:r>
              <w:rPr>
                <w:color w:val="231F20"/>
                <w:w w:val="80"/>
                <w:sz w:val="16"/>
              </w:rPr>
              <w:t>municipio</w:t>
            </w:r>
            <w:r>
              <w:rPr>
                <w:color w:val="231F20"/>
                <w:spacing w:val="-17"/>
                <w:w w:val="80"/>
                <w:sz w:val="16"/>
              </w:rPr>
              <w:t> </w:t>
            </w:r>
            <w:r>
              <w:rPr>
                <w:color w:val="231F20"/>
                <w:w w:val="80"/>
                <w:sz w:val="16"/>
              </w:rPr>
              <w:t>de</w:t>
            </w:r>
            <w:r>
              <w:rPr>
                <w:color w:val="231F20"/>
                <w:spacing w:val="-17"/>
                <w:w w:val="80"/>
                <w:sz w:val="16"/>
              </w:rPr>
              <w:t> </w:t>
            </w:r>
            <w:r>
              <w:rPr>
                <w:color w:val="231F20"/>
                <w:w w:val="80"/>
                <w:sz w:val="16"/>
              </w:rPr>
              <w:t>Coyotepec.,</w:t>
            </w:r>
            <w:r>
              <w:rPr>
                <w:color w:val="231F20"/>
                <w:spacing w:val="-17"/>
                <w:w w:val="80"/>
                <w:sz w:val="16"/>
              </w:rPr>
              <w:t> </w:t>
            </w:r>
            <w:r>
              <w:rPr>
                <w:color w:val="231F20"/>
                <w:w w:val="80"/>
                <w:sz w:val="16"/>
              </w:rPr>
              <w:t>los</w:t>
            </w:r>
            <w:r>
              <w:rPr>
                <w:color w:val="231F20"/>
                <w:spacing w:val="-17"/>
                <w:w w:val="80"/>
                <w:sz w:val="16"/>
              </w:rPr>
              <w:t> </w:t>
            </w:r>
            <w:r>
              <w:rPr>
                <w:color w:val="231F20"/>
                <w:w w:val="80"/>
                <w:sz w:val="16"/>
              </w:rPr>
              <w:t>podrán</w:t>
            </w:r>
            <w:r>
              <w:rPr>
                <w:color w:val="231F20"/>
                <w:spacing w:val="-17"/>
                <w:w w:val="80"/>
                <w:sz w:val="16"/>
              </w:rPr>
              <w:t> </w:t>
            </w:r>
            <w:r>
              <w:rPr>
                <w:color w:val="231F20"/>
                <w:w w:val="80"/>
                <w:sz w:val="16"/>
              </w:rPr>
              <w:t>cambiar</w:t>
            </w:r>
            <w:r>
              <w:rPr>
                <w:color w:val="231F20"/>
                <w:spacing w:val="-17"/>
                <w:w w:val="80"/>
                <w:sz w:val="16"/>
              </w:rPr>
              <w:t> </w:t>
            </w:r>
            <w:r>
              <w:rPr>
                <w:color w:val="231F20"/>
                <w:w w:val="80"/>
                <w:sz w:val="16"/>
              </w:rPr>
              <w:t>por</w:t>
            </w:r>
            <w:r>
              <w:rPr>
                <w:color w:val="231F20"/>
                <w:spacing w:val="-17"/>
                <w:w w:val="80"/>
                <w:sz w:val="16"/>
              </w:rPr>
              <w:t> </w:t>
            </w:r>
            <w:r>
              <w:rPr>
                <w:color w:val="231F20"/>
                <w:w w:val="80"/>
                <w:sz w:val="16"/>
              </w:rPr>
              <w:t>cemento,</w:t>
            </w:r>
            <w:r>
              <w:rPr>
                <w:color w:val="231F20"/>
                <w:spacing w:val="-17"/>
                <w:w w:val="80"/>
                <w:sz w:val="16"/>
              </w:rPr>
              <w:t> </w:t>
            </w:r>
            <w:r>
              <w:rPr>
                <w:color w:val="231F20"/>
                <w:w w:val="80"/>
                <w:sz w:val="16"/>
              </w:rPr>
              <w:t>varilla,</w:t>
            </w:r>
            <w:r>
              <w:rPr>
                <w:color w:val="231F20"/>
                <w:spacing w:val="-17"/>
                <w:w w:val="80"/>
                <w:sz w:val="16"/>
              </w:rPr>
              <w:t> </w:t>
            </w:r>
            <w:r>
              <w:rPr>
                <w:color w:val="231F20"/>
                <w:w w:val="80"/>
                <w:sz w:val="16"/>
              </w:rPr>
              <w:t>impermeabilizantes</w:t>
            </w:r>
            <w:r>
              <w:rPr>
                <w:color w:val="231F20"/>
                <w:spacing w:val="-17"/>
                <w:w w:val="80"/>
                <w:sz w:val="16"/>
              </w:rPr>
              <w:t> </w:t>
            </w:r>
            <w:r>
              <w:rPr>
                <w:color w:val="231F20"/>
                <w:w w:val="80"/>
                <w:sz w:val="16"/>
              </w:rPr>
              <w:t>y</w:t>
            </w:r>
            <w:r>
              <w:rPr>
                <w:color w:val="231F20"/>
                <w:spacing w:val="-17"/>
                <w:w w:val="80"/>
                <w:sz w:val="16"/>
              </w:rPr>
              <w:t> </w:t>
            </w:r>
            <w:r>
              <w:rPr>
                <w:color w:val="231F20"/>
                <w:w w:val="80"/>
                <w:sz w:val="16"/>
              </w:rPr>
              <w:t>malla</w:t>
            </w:r>
            <w:r>
              <w:rPr>
                <w:color w:val="231F20"/>
                <w:spacing w:val="-17"/>
                <w:w w:val="80"/>
                <w:sz w:val="16"/>
              </w:rPr>
              <w:t> </w:t>
            </w:r>
            <w:r>
              <w:rPr>
                <w:color w:val="231F20"/>
                <w:w w:val="80"/>
                <w:sz w:val="16"/>
              </w:rPr>
              <w:t>cicló- nica,</w:t>
            </w:r>
            <w:r>
              <w:rPr>
                <w:color w:val="231F20"/>
                <w:spacing w:val="-17"/>
                <w:w w:val="80"/>
                <w:sz w:val="16"/>
              </w:rPr>
              <w:t> </w:t>
            </w:r>
            <w:r>
              <w:rPr>
                <w:color w:val="231F20"/>
                <w:w w:val="80"/>
                <w:sz w:val="16"/>
              </w:rPr>
              <w:t>tubos</w:t>
            </w:r>
            <w:r>
              <w:rPr>
                <w:color w:val="231F20"/>
                <w:spacing w:val="-17"/>
                <w:w w:val="80"/>
                <w:sz w:val="16"/>
              </w:rPr>
              <w:t> </w:t>
            </w:r>
            <w:r>
              <w:rPr>
                <w:color w:val="231F20"/>
                <w:w w:val="80"/>
                <w:sz w:val="16"/>
              </w:rPr>
              <w:t>para</w:t>
            </w:r>
            <w:r>
              <w:rPr>
                <w:color w:val="231F20"/>
                <w:spacing w:val="-17"/>
                <w:w w:val="80"/>
                <w:sz w:val="16"/>
              </w:rPr>
              <w:t> </w:t>
            </w:r>
            <w:r>
              <w:rPr>
                <w:color w:val="231F20"/>
                <w:w w:val="80"/>
                <w:sz w:val="16"/>
              </w:rPr>
              <w:t>drenaje,</w:t>
            </w:r>
            <w:r>
              <w:rPr>
                <w:color w:val="231F20"/>
                <w:spacing w:val="-17"/>
                <w:w w:val="80"/>
                <w:sz w:val="16"/>
              </w:rPr>
              <w:t> </w:t>
            </w:r>
            <w:r>
              <w:rPr>
                <w:color w:val="231F20"/>
                <w:w w:val="80"/>
                <w:sz w:val="16"/>
              </w:rPr>
              <w:t>que</w:t>
            </w:r>
            <w:r>
              <w:rPr>
                <w:color w:val="231F20"/>
                <w:spacing w:val="-17"/>
                <w:w w:val="80"/>
                <w:sz w:val="16"/>
              </w:rPr>
              <w:t> </w:t>
            </w:r>
            <w:r>
              <w:rPr>
                <w:color w:val="231F20"/>
                <w:w w:val="80"/>
                <w:sz w:val="16"/>
              </w:rPr>
              <w:t>permitirá</w:t>
            </w:r>
            <w:r>
              <w:rPr>
                <w:color w:val="231F20"/>
                <w:spacing w:val="-17"/>
                <w:w w:val="80"/>
                <w:sz w:val="16"/>
              </w:rPr>
              <w:t> </w:t>
            </w:r>
            <w:r>
              <w:rPr>
                <w:color w:val="231F20"/>
                <w:w w:val="80"/>
                <w:sz w:val="16"/>
              </w:rPr>
              <w:t>hacer</w:t>
            </w:r>
            <w:r>
              <w:rPr>
                <w:color w:val="231F20"/>
                <w:spacing w:val="-17"/>
                <w:w w:val="80"/>
                <w:sz w:val="16"/>
              </w:rPr>
              <w:t> </w:t>
            </w:r>
            <w:r>
              <w:rPr>
                <w:color w:val="231F20"/>
                <w:w w:val="80"/>
                <w:sz w:val="16"/>
              </w:rPr>
              <w:t>diversas</w:t>
            </w:r>
            <w:r>
              <w:rPr>
                <w:color w:val="231F20"/>
                <w:spacing w:val="-17"/>
                <w:w w:val="80"/>
                <w:sz w:val="16"/>
              </w:rPr>
              <w:t> </w:t>
            </w:r>
            <w:r>
              <w:rPr>
                <w:color w:val="231F20"/>
                <w:w w:val="80"/>
                <w:sz w:val="16"/>
              </w:rPr>
              <w:t>obras</w:t>
            </w:r>
            <w:r>
              <w:rPr>
                <w:color w:val="231F20"/>
                <w:spacing w:val="-17"/>
                <w:w w:val="80"/>
                <w:sz w:val="16"/>
              </w:rPr>
              <w:t> </w:t>
            </w:r>
            <w:r>
              <w:rPr>
                <w:color w:val="231F20"/>
                <w:w w:val="80"/>
                <w:sz w:val="16"/>
              </w:rPr>
              <w:t>o</w:t>
            </w:r>
            <w:r>
              <w:rPr>
                <w:color w:val="231F20"/>
                <w:spacing w:val="-17"/>
                <w:w w:val="80"/>
                <w:sz w:val="16"/>
              </w:rPr>
              <w:t> </w:t>
            </w:r>
            <w:r>
              <w:rPr>
                <w:color w:val="231F20"/>
                <w:w w:val="80"/>
                <w:sz w:val="16"/>
              </w:rPr>
              <w:t>complementarlas.</w:t>
            </w:r>
            <w:r>
              <w:rPr>
                <w:color w:val="231F20"/>
                <w:spacing w:val="-17"/>
                <w:w w:val="80"/>
                <w:sz w:val="16"/>
              </w:rPr>
              <w:t> </w:t>
            </w:r>
            <w:r>
              <w:rPr>
                <w:color w:val="231F20"/>
                <w:w w:val="80"/>
                <w:sz w:val="16"/>
              </w:rPr>
              <w:t>Participan,</w:t>
            </w:r>
            <w:r>
              <w:rPr>
                <w:color w:val="231F20"/>
                <w:spacing w:val="-17"/>
                <w:w w:val="80"/>
                <w:sz w:val="16"/>
              </w:rPr>
              <w:t> </w:t>
            </w:r>
            <w:r>
              <w:rPr>
                <w:color w:val="231F20"/>
                <w:w w:val="80"/>
                <w:sz w:val="16"/>
              </w:rPr>
              <w:t>Marcos</w:t>
            </w:r>
            <w:r>
              <w:rPr>
                <w:color w:val="231F20"/>
                <w:spacing w:val="-17"/>
                <w:w w:val="80"/>
                <w:sz w:val="16"/>
              </w:rPr>
              <w:t> </w:t>
            </w:r>
            <w:r>
              <w:rPr>
                <w:color w:val="231F20"/>
                <w:w w:val="80"/>
                <w:sz w:val="16"/>
              </w:rPr>
              <w:t>Márquez</w:t>
            </w:r>
            <w:r>
              <w:rPr>
                <w:color w:val="231F20"/>
                <w:spacing w:val="-17"/>
                <w:w w:val="80"/>
                <w:sz w:val="16"/>
              </w:rPr>
              <w:t> </w:t>
            </w:r>
            <w:r>
              <w:rPr>
                <w:color w:val="231F20"/>
                <w:w w:val="80"/>
                <w:sz w:val="16"/>
              </w:rPr>
              <w:t>Mercado, presidente</w:t>
            </w:r>
            <w:r>
              <w:rPr>
                <w:color w:val="231F20"/>
                <w:spacing w:val="-15"/>
                <w:w w:val="80"/>
                <w:sz w:val="16"/>
              </w:rPr>
              <w:t> </w:t>
            </w:r>
            <w:r>
              <w:rPr>
                <w:color w:val="231F20"/>
                <w:w w:val="80"/>
                <w:sz w:val="16"/>
              </w:rPr>
              <w:t>municipal</w:t>
            </w:r>
            <w:r>
              <w:rPr>
                <w:color w:val="231F20"/>
                <w:spacing w:val="-15"/>
                <w:w w:val="80"/>
                <w:sz w:val="16"/>
              </w:rPr>
              <w:t> </w:t>
            </w:r>
            <w:r>
              <w:rPr>
                <w:color w:val="231F20"/>
                <w:w w:val="80"/>
                <w:sz w:val="16"/>
              </w:rPr>
              <w:t>de</w:t>
            </w:r>
            <w:r>
              <w:rPr>
                <w:color w:val="231F20"/>
                <w:spacing w:val="-15"/>
                <w:w w:val="80"/>
                <w:sz w:val="16"/>
              </w:rPr>
              <w:t> </w:t>
            </w:r>
            <w:r>
              <w:rPr>
                <w:color w:val="231F20"/>
                <w:w w:val="80"/>
                <w:sz w:val="16"/>
              </w:rPr>
              <w:t>Tepotzotlán</w:t>
            </w:r>
            <w:r>
              <w:rPr>
                <w:color w:val="231F20"/>
                <w:spacing w:val="-15"/>
                <w:w w:val="80"/>
                <w:sz w:val="16"/>
              </w:rPr>
              <w:t> </w:t>
            </w:r>
            <w:r>
              <w:rPr>
                <w:color w:val="231F20"/>
                <w:w w:val="80"/>
                <w:sz w:val="16"/>
              </w:rPr>
              <w:t>y</w:t>
            </w:r>
            <w:r>
              <w:rPr>
                <w:color w:val="231F20"/>
                <w:spacing w:val="-15"/>
                <w:w w:val="80"/>
                <w:sz w:val="16"/>
              </w:rPr>
              <w:t> </w:t>
            </w:r>
            <w:r>
              <w:rPr>
                <w:color w:val="231F20"/>
                <w:w w:val="80"/>
                <w:sz w:val="16"/>
              </w:rPr>
              <w:t>el</w:t>
            </w:r>
            <w:r>
              <w:rPr>
                <w:color w:val="231F20"/>
                <w:spacing w:val="-15"/>
                <w:w w:val="80"/>
                <w:sz w:val="16"/>
              </w:rPr>
              <w:t> </w:t>
            </w:r>
            <w:r>
              <w:rPr>
                <w:color w:val="231F20"/>
                <w:w w:val="80"/>
                <w:sz w:val="16"/>
              </w:rPr>
              <w:t>diputado</w:t>
            </w:r>
            <w:r>
              <w:rPr>
                <w:color w:val="231F20"/>
                <w:spacing w:val="-15"/>
                <w:w w:val="80"/>
                <w:sz w:val="16"/>
              </w:rPr>
              <w:t> </w:t>
            </w:r>
            <w:r>
              <w:rPr>
                <w:color w:val="231F20"/>
                <w:w w:val="80"/>
                <w:sz w:val="16"/>
              </w:rPr>
              <w:t>local</w:t>
            </w:r>
            <w:r>
              <w:rPr>
                <w:color w:val="231F20"/>
                <w:spacing w:val="-15"/>
                <w:w w:val="80"/>
                <w:sz w:val="16"/>
              </w:rPr>
              <w:t> </w:t>
            </w:r>
            <w:r>
              <w:rPr>
                <w:color w:val="231F20"/>
                <w:w w:val="80"/>
                <w:sz w:val="16"/>
              </w:rPr>
              <w:t>del</w:t>
            </w:r>
            <w:r>
              <w:rPr>
                <w:color w:val="231F20"/>
                <w:spacing w:val="-15"/>
                <w:w w:val="80"/>
                <w:sz w:val="16"/>
              </w:rPr>
              <w:t> </w:t>
            </w:r>
            <w:r>
              <w:rPr>
                <w:color w:val="231F20"/>
                <w:w w:val="80"/>
                <w:sz w:val="16"/>
              </w:rPr>
              <w:t>distrito</w:t>
            </w:r>
            <w:r>
              <w:rPr>
                <w:color w:val="231F20"/>
                <w:spacing w:val="-15"/>
                <w:w w:val="80"/>
                <w:sz w:val="16"/>
              </w:rPr>
              <w:t> </w:t>
            </w:r>
            <w:r>
              <w:rPr>
                <w:color w:val="231F20"/>
                <w:spacing w:val="2"/>
                <w:w w:val="80"/>
                <w:sz w:val="16"/>
              </w:rPr>
              <w:t>XXXVI,</w:t>
            </w:r>
            <w:r>
              <w:rPr>
                <w:color w:val="231F20"/>
                <w:spacing w:val="-15"/>
                <w:w w:val="80"/>
                <w:sz w:val="16"/>
              </w:rPr>
              <w:t> </w:t>
            </w:r>
            <w:r>
              <w:rPr>
                <w:color w:val="231F20"/>
                <w:w w:val="80"/>
                <w:sz w:val="16"/>
              </w:rPr>
              <w:t>Everardo</w:t>
            </w:r>
            <w:r>
              <w:rPr>
                <w:color w:val="231F20"/>
                <w:spacing w:val="-15"/>
                <w:w w:val="80"/>
                <w:sz w:val="16"/>
              </w:rPr>
              <w:t> </w:t>
            </w:r>
            <w:r>
              <w:rPr>
                <w:color w:val="231F20"/>
                <w:w w:val="80"/>
                <w:sz w:val="16"/>
              </w:rPr>
              <w:t>Pedro</w:t>
            </w:r>
            <w:r>
              <w:rPr>
                <w:color w:val="231F20"/>
                <w:spacing w:val="-15"/>
                <w:w w:val="80"/>
                <w:sz w:val="16"/>
              </w:rPr>
              <w:t> </w:t>
            </w:r>
            <w:r>
              <w:rPr>
                <w:color w:val="231F20"/>
                <w:w w:val="80"/>
                <w:sz w:val="16"/>
              </w:rPr>
              <w:t>Vargas</w:t>
            </w:r>
            <w:r>
              <w:rPr>
                <w:color w:val="231F20"/>
                <w:spacing w:val="-15"/>
                <w:w w:val="80"/>
                <w:sz w:val="16"/>
              </w:rPr>
              <w:t> </w:t>
            </w:r>
            <w:r>
              <w:rPr>
                <w:color w:val="231F20"/>
                <w:w w:val="80"/>
                <w:sz w:val="16"/>
              </w:rPr>
              <w:t>y</w:t>
            </w:r>
            <w:r>
              <w:rPr>
                <w:color w:val="231F20"/>
                <w:spacing w:val="-15"/>
                <w:w w:val="80"/>
                <w:sz w:val="16"/>
              </w:rPr>
              <w:t> </w:t>
            </w:r>
            <w:r>
              <w:rPr>
                <w:color w:val="231F20"/>
                <w:w w:val="80"/>
                <w:sz w:val="16"/>
              </w:rPr>
              <w:t>Amanda</w:t>
            </w:r>
            <w:r>
              <w:rPr>
                <w:color w:val="231F20"/>
                <w:spacing w:val="-15"/>
                <w:w w:val="80"/>
                <w:sz w:val="16"/>
              </w:rPr>
              <w:t> </w:t>
            </w:r>
            <w:r>
              <w:rPr>
                <w:color w:val="231F20"/>
                <w:w w:val="80"/>
                <w:sz w:val="16"/>
              </w:rPr>
              <w:t>Hernández </w:t>
            </w:r>
            <w:r>
              <w:rPr>
                <w:color w:val="231F20"/>
                <w:w w:val="75"/>
                <w:sz w:val="16"/>
              </w:rPr>
              <w:t>Roberto, presidenta del</w:t>
            </w:r>
            <w:r>
              <w:rPr>
                <w:color w:val="231F20"/>
                <w:spacing w:val="-3"/>
                <w:w w:val="75"/>
                <w:sz w:val="16"/>
              </w:rPr>
              <w:t> </w:t>
            </w:r>
            <w:r>
              <w:rPr>
                <w:color w:val="231F20"/>
                <w:w w:val="75"/>
                <w:sz w:val="16"/>
              </w:rPr>
              <w:t>COPACI</w:t>
            </w:r>
          </w:p>
        </w:tc>
      </w:tr>
      <w:tr>
        <w:trPr>
          <w:trHeight w:val="514" w:hRule="exact"/>
        </w:trPr>
        <w:tc>
          <w:tcPr>
            <w:tcW w:w="626" w:type="dxa"/>
          </w:tcPr>
          <w:p>
            <w:pPr>
              <w:pStyle w:val="TableParagraph"/>
              <w:spacing w:before="10"/>
              <w:ind w:left="0"/>
              <w:rPr>
                <w:rFonts w:ascii="Times New Roman"/>
                <w:b/>
                <w:sz w:val="13"/>
              </w:rPr>
            </w:pPr>
          </w:p>
          <w:p>
            <w:pPr>
              <w:pStyle w:val="TableParagraph"/>
              <w:ind w:left="132" w:right="136"/>
              <w:jc w:val="center"/>
              <w:rPr>
                <w:sz w:val="16"/>
              </w:rPr>
            </w:pPr>
            <w:r>
              <w:rPr>
                <w:color w:val="231F20"/>
                <w:w w:val="85"/>
                <w:sz w:val="16"/>
              </w:rPr>
              <w:t>11</w:t>
            </w:r>
          </w:p>
        </w:tc>
        <w:tc>
          <w:tcPr>
            <w:tcW w:w="1004" w:type="dxa"/>
          </w:tcPr>
          <w:p>
            <w:pPr>
              <w:pStyle w:val="TableParagraph"/>
              <w:spacing w:line="161" w:lineRule="exact"/>
              <w:ind w:left="102" w:right="120"/>
              <w:rPr>
                <w:sz w:val="16"/>
              </w:rPr>
            </w:pPr>
            <w:r>
              <w:rPr>
                <w:color w:val="231F20"/>
                <w:w w:val="75"/>
                <w:sz w:val="16"/>
              </w:rPr>
              <w:t>BOLETÍN 226</w:t>
            </w:r>
          </w:p>
          <w:p>
            <w:pPr>
              <w:pStyle w:val="TableParagraph"/>
              <w:spacing w:line="235" w:lineRule="auto" w:before="1"/>
              <w:ind w:left="102" w:right="120"/>
              <w:rPr>
                <w:sz w:val="16"/>
              </w:rPr>
            </w:pPr>
            <w:r>
              <w:rPr>
                <w:color w:val="231F20"/>
                <w:w w:val="80"/>
                <w:sz w:val="16"/>
              </w:rPr>
              <w:t>14 de abril de </w:t>
            </w:r>
            <w:r>
              <w:rPr>
                <w:color w:val="231F20"/>
                <w:w w:val="85"/>
                <w:sz w:val="16"/>
              </w:rPr>
              <w:t>2008</w:t>
            </w:r>
          </w:p>
        </w:tc>
        <w:tc>
          <w:tcPr>
            <w:tcW w:w="6297" w:type="dxa"/>
          </w:tcPr>
          <w:p>
            <w:pPr>
              <w:pStyle w:val="TableParagraph"/>
              <w:spacing w:line="161" w:lineRule="exact"/>
              <w:ind w:right="96"/>
              <w:rPr>
                <w:sz w:val="16"/>
              </w:rPr>
            </w:pPr>
            <w:r>
              <w:rPr>
                <w:color w:val="231F20"/>
                <w:w w:val="80"/>
                <w:sz w:val="16"/>
              </w:rPr>
              <w:t>Sanitarios</w:t>
            </w:r>
            <w:r>
              <w:rPr>
                <w:color w:val="231F20"/>
                <w:spacing w:val="-17"/>
                <w:w w:val="80"/>
                <w:sz w:val="16"/>
              </w:rPr>
              <w:t> </w:t>
            </w:r>
            <w:r>
              <w:rPr>
                <w:color w:val="231F20"/>
                <w:w w:val="80"/>
                <w:sz w:val="16"/>
              </w:rPr>
              <w:t>para</w:t>
            </w:r>
            <w:r>
              <w:rPr>
                <w:color w:val="231F20"/>
                <w:spacing w:val="-17"/>
                <w:w w:val="80"/>
                <w:sz w:val="16"/>
              </w:rPr>
              <w:t> </w:t>
            </w:r>
            <w:r>
              <w:rPr>
                <w:color w:val="231F20"/>
                <w:w w:val="80"/>
                <w:sz w:val="16"/>
              </w:rPr>
              <w:t>la</w:t>
            </w:r>
            <w:r>
              <w:rPr>
                <w:color w:val="231F20"/>
                <w:spacing w:val="-17"/>
                <w:w w:val="80"/>
                <w:sz w:val="16"/>
              </w:rPr>
              <w:t> </w:t>
            </w:r>
            <w:r>
              <w:rPr>
                <w:color w:val="231F20"/>
                <w:w w:val="80"/>
                <w:sz w:val="16"/>
              </w:rPr>
              <w:t>escuela</w:t>
            </w:r>
            <w:r>
              <w:rPr>
                <w:color w:val="231F20"/>
                <w:spacing w:val="-17"/>
                <w:w w:val="80"/>
                <w:sz w:val="16"/>
              </w:rPr>
              <w:t> </w:t>
            </w:r>
            <w:r>
              <w:rPr>
                <w:color w:val="231F20"/>
                <w:w w:val="80"/>
                <w:sz w:val="16"/>
              </w:rPr>
              <w:t>Morelos,</w:t>
            </w:r>
            <w:r>
              <w:rPr>
                <w:color w:val="231F20"/>
                <w:spacing w:val="-17"/>
                <w:w w:val="80"/>
                <w:sz w:val="16"/>
              </w:rPr>
              <w:t> </w:t>
            </w:r>
            <w:r>
              <w:rPr>
                <w:color w:val="231F20"/>
                <w:w w:val="80"/>
                <w:sz w:val="16"/>
              </w:rPr>
              <w:t>en</w:t>
            </w:r>
            <w:r>
              <w:rPr>
                <w:color w:val="231F20"/>
                <w:spacing w:val="-17"/>
                <w:w w:val="80"/>
                <w:sz w:val="16"/>
              </w:rPr>
              <w:t> </w:t>
            </w:r>
            <w:r>
              <w:rPr>
                <w:color w:val="231F20"/>
                <w:w w:val="80"/>
                <w:sz w:val="16"/>
              </w:rPr>
              <w:t>la</w:t>
            </w:r>
            <w:r>
              <w:rPr>
                <w:color w:val="231F20"/>
                <w:spacing w:val="-17"/>
                <w:w w:val="80"/>
                <w:sz w:val="16"/>
              </w:rPr>
              <w:t> </w:t>
            </w:r>
            <w:r>
              <w:rPr>
                <w:color w:val="231F20"/>
                <w:w w:val="80"/>
                <w:sz w:val="16"/>
              </w:rPr>
              <w:t>comunidad</w:t>
            </w:r>
            <w:r>
              <w:rPr>
                <w:color w:val="231F20"/>
                <w:spacing w:val="-17"/>
                <w:w w:val="80"/>
                <w:sz w:val="16"/>
              </w:rPr>
              <w:t> </w:t>
            </w:r>
            <w:r>
              <w:rPr>
                <w:color w:val="231F20"/>
                <w:w w:val="80"/>
                <w:sz w:val="16"/>
              </w:rPr>
              <w:t>de</w:t>
            </w:r>
            <w:r>
              <w:rPr>
                <w:color w:val="231F20"/>
                <w:spacing w:val="-17"/>
                <w:w w:val="80"/>
                <w:sz w:val="16"/>
              </w:rPr>
              <w:t> </w:t>
            </w:r>
            <w:r>
              <w:rPr>
                <w:color w:val="231F20"/>
                <w:w w:val="80"/>
                <w:sz w:val="16"/>
              </w:rPr>
              <w:t>Santiago</w:t>
            </w:r>
            <w:r>
              <w:rPr>
                <w:color w:val="231F20"/>
                <w:spacing w:val="-17"/>
                <w:w w:val="80"/>
                <w:sz w:val="16"/>
              </w:rPr>
              <w:t> </w:t>
            </w:r>
            <w:r>
              <w:rPr>
                <w:color w:val="231F20"/>
                <w:w w:val="80"/>
                <w:sz w:val="16"/>
              </w:rPr>
              <w:t>Cuautlalpan</w:t>
            </w:r>
            <w:r>
              <w:rPr>
                <w:color w:val="231F20"/>
                <w:spacing w:val="-17"/>
                <w:w w:val="80"/>
                <w:sz w:val="16"/>
              </w:rPr>
              <w:t> </w:t>
            </w:r>
            <w:r>
              <w:rPr>
                <w:color w:val="231F20"/>
                <w:w w:val="80"/>
                <w:sz w:val="16"/>
              </w:rPr>
              <w:t>con</w:t>
            </w:r>
            <w:r>
              <w:rPr>
                <w:color w:val="231F20"/>
                <w:spacing w:val="-17"/>
                <w:w w:val="80"/>
                <w:sz w:val="16"/>
              </w:rPr>
              <w:t> </w:t>
            </w:r>
            <w:r>
              <w:rPr>
                <w:color w:val="231F20"/>
                <w:w w:val="80"/>
                <w:sz w:val="16"/>
              </w:rPr>
              <w:t>una</w:t>
            </w:r>
            <w:r>
              <w:rPr>
                <w:color w:val="231F20"/>
                <w:spacing w:val="-17"/>
                <w:w w:val="80"/>
                <w:sz w:val="16"/>
              </w:rPr>
              <w:t> </w:t>
            </w:r>
            <w:r>
              <w:rPr>
                <w:color w:val="231F20"/>
                <w:w w:val="80"/>
                <w:sz w:val="16"/>
              </w:rPr>
              <w:t>inversión</w:t>
            </w:r>
            <w:r>
              <w:rPr>
                <w:color w:val="231F20"/>
                <w:spacing w:val="-17"/>
                <w:w w:val="80"/>
                <w:sz w:val="16"/>
              </w:rPr>
              <w:t> </w:t>
            </w:r>
            <w:r>
              <w:rPr>
                <w:color w:val="231F20"/>
                <w:w w:val="80"/>
                <w:sz w:val="16"/>
              </w:rPr>
              <w:t>de</w:t>
            </w:r>
            <w:r>
              <w:rPr>
                <w:color w:val="231F20"/>
                <w:spacing w:val="-17"/>
                <w:w w:val="80"/>
                <w:sz w:val="16"/>
              </w:rPr>
              <w:t> </w:t>
            </w:r>
            <w:r>
              <w:rPr>
                <w:color w:val="231F20"/>
                <w:w w:val="80"/>
                <w:sz w:val="16"/>
              </w:rPr>
              <w:t>700</w:t>
            </w:r>
            <w:r>
              <w:rPr>
                <w:color w:val="231F20"/>
                <w:spacing w:val="-17"/>
                <w:w w:val="80"/>
                <w:sz w:val="16"/>
              </w:rPr>
              <w:t> </w:t>
            </w:r>
            <w:r>
              <w:rPr>
                <w:color w:val="231F20"/>
                <w:w w:val="80"/>
                <w:sz w:val="16"/>
              </w:rPr>
              <w:t>mil</w:t>
            </w:r>
            <w:r>
              <w:rPr>
                <w:color w:val="231F20"/>
                <w:spacing w:val="-17"/>
                <w:w w:val="80"/>
                <w:sz w:val="16"/>
              </w:rPr>
              <w:t> </w:t>
            </w:r>
            <w:r>
              <w:rPr>
                <w:color w:val="231F20"/>
                <w:w w:val="80"/>
                <w:sz w:val="16"/>
              </w:rPr>
              <w:t>pesos,</w:t>
            </w:r>
            <w:r>
              <w:rPr>
                <w:color w:val="231F20"/>
                <w:spacing w:val="-17"/>
                <w:w w:val="80"/>
                <w:sz w:val="16"/>
              </w:rPr>
              <w:t> </w:t>
            </w:r>
            <w:r>
              <w:rPr>
                <w:color w:val="231F20"/>
                <w:w w:val="80"/>
                <w:sz w:val="16"/>
              </w:rPr>
              <w:t>conjun-</w:t>
            </w:r>
          </w:p>
          <w:p>
            <w:pPr>
              <w:pStyle w:val="TableParagraph"/>
              <w:spacing w:line="235" w:lineRule="auto" w:before="1"/>
              <w:ind w:right="96"/>
              <w:rPr>
                <w:sz w:val="16"/>
              </w:rPr>
            </w:pPr>
            <w:r>
              <w:rPr>
                <w:color w:val="231F20"/>
                <w:w w:val="80"/>
                <w:sz w:val="16"/>
              </w:rPr>
              <w:t>tamente</w:t>
            </w:r>
            <w:r>
              <w:rPr>
                <w:color w:val="231F20"/>
                <w:spacing w:val="-19"/>
                <w:w w:val="80"/>
                <w:sz w:val="16"/>
              </w:rPr>
              <w:t> </w:t>
            </w:r>
            <w:r>
              <w:rPr>
                <w:color w:val="231F20"/>
                <w:w w:val="80"/>
                <w:sz w:val="16"/>
              </w:rPr>
              <w:t>con</w:t>
            </w:r>
            <w:r>
              <w:rPr>
                <w:color w:val="231F20"/>
                <w:spacing w:val="-19"/>
                <w:w w:val="80"/>
                <w:sz w:val="16"/>
              </w:rPr>
              <w:t> </w:t>
            </w:r>
            <w:r>
              <w:rPr>
                <w:color w:val="231F20"/>
                <w:w w:val="80"/>
                <w:sz w:val="16"/>
              </w:rPr>
              <w:t>Alejandra</w:t>
            </w:r>
            <w:r>
              <w:rPr>
                <w:color w:val="231F20"/>
                <w:spacing w:val="-19"/>
                <w:w w:val="80"/>
                <w:sz w:val="16"/>
              </w:rPr>
              <w:t> </w:t>
            </w:r>
            <w:r>
              <w:rPr>
                <w:color w:val="231F20"/>
                <w:w w:val="80"/>
                <w:sz w:val="16"/>
              </w:rPr>
              <w:t>Patricia</w:t>
            </w:r>
            <w:r>
              <w:rPr>
                <w:color w:val="231F20"/>
                <w:spacing w:val="-19"/>
                <w:w w:val="80"/>
                <w:sz w:val="16"/>
              </w:rPr>
              <w:t> </w:t>
            </w:r>
            <w:r>
              <w:rPr>
                <w:color w:val="231F20"/>
                <w:w w:val="80"/>
                <w:sz w:val="16"/>
              </w:rPr>
              <w:t>Reyes</w:t>
            </w:r>
            <w:r>
              <w:rPr>
                <w:color w:val="231F20"/>
                <w:spacing w:val="-19"/>
                <w:w w:val="80"/>
                <w:sz w:val="16"/>
              </w:rPr>
              <w:t> </w:t>
            </w:r>
            <w:r>
              <w:rPr>
                <w:color w:val="231F20"/>
                <w:w w:val="80"/>
                <w:sz w:val="16"/>
              </w:rPr>
              <w:t>Velázquez</w:t>
            </w:r>
            <w:r>
              <w:rPr>
                <w:color w:val="231F20"/>
                <w:spacing w:val="-19"/>
                <w:w w:val="80"/>
                <w:sz w:val="16"/>
              </w:rPr>
              <w:t> </w:t>
            </w:r>
            <w:r>
              <w:rPr>
                <w:color w:val="231F20"/>
                <w:w w:val="80"/>
                <w:sz w:val="16"/>
              </w:rPr>
              <w:t>presidenta</w:t>
            </w:r>
            <w:r>
              <w:rPr>
                <w:color w:val="231F20"/>
                <w:spacing w:val="-19"/>
                <w:w w:val="80"/>
                <w:sz w:val="16"/>
              </w:rPr>
              <w:t> </w:t>
            </w:r>
            <w:r>
              <w:rPr>
                <w:color w:val="231F20"/>
                <w:w w:val="80"/>
                <w:sz w:val="16"/>
              </w:rPr>
              <w:t>del</w:t>
            </w:r>
            <w:r>
              <w:rPr>
                <w:color w:val="231F20"/>
                <w:spacing w:val="-19"/>
                <w:w w:val="80"/>
                <w:sz w:val="16"/>
              </w:rPr>
              <w:t> </w:t>
            </w:r>
            <w:r>
              <w:rPr>
                <w:color w:val="231F20"/>
                <w:w w:val="80"/>
                <w:sz w:val="16"/>
              </w:rPr>
              <w:t>COCICOVIS</w:t>
            </w:r>
            <w:r>
              <w:rPr>
                <w:color w:val="231F20"/>
                <w:spacing w:val="-19"/>
                <w:w w:val="80"/>
                <w:sz w:val="16"/>
              </w:rPr>
              <w:t> </w:t>
            </w:r>
            <w:r>
              <w:rPr>
                <w:color w:val="231F20"/>
                <w:w w:val="80"/>
                <w:sz w:val="16"/>
              </w:rPr>
              <w:t>y</w:t>
            </w:r>
            <w:r>
              <w:rPr>
                <w:color w:val="231F20"/>
                <w:spacing w:val="-19"/>
                <w:w w:val="80"/>
                <w:sz w:val="16"/>
              </w:rPr>
              <w:t> </w:t>
            </w:r>
            <w:r>
              <w:rPr>
                <w:color w:val="231F20"/>
                <w:w w:val="80"/>
                <w:sz w:val="16"/>
              </w:rPr>
              <w:t>el</w:t>
            </w:r>
            <w:r>
              <w:rPr>
                <w:color w:val="231F20"/>
                <w:spacing w:val="-19"/>
                <w:w w:val="80"/>
                <w:sz w:val="16"/>
              </w:rPr>
              <w:t> </w:t>
            </w:r>
            <w:r>
              <w:rPr>
                <w:color w:val="231F20"/>
                <w:w w:val="80"/>
                <w:sz w:val="16"/>
              </w:rPr>
              <w:t>diputado</w:t>
            </w:r>
            <w:r>
              <w:rPr>
                <w:color w:val="231F20"/>
                <w:spacing w:val="-19"/>
                <w:w w:val="80"/>
                <w:sz w:val="16"/>
              </w:rPr>
              <w:t> </w:t>
            </w:r>
            <w:r>
              <w:rPr>
                <w:color w:val="231F20"/>
                <w:w w:val="80"/>
                <w:sz w:val="16"/>
              </w:rPr>
              <w:t>local</w:t>
            </w:r>
            <w:r>
              <w:rPr>
                <w:color w:val="231F20"/>
                <w:spacing w:val="-19"/>
                <w:w w:val="80"/>
                <w:sz w:val="16"/>
              </w:rPr>
              <w:t> </w:t>
            </w:r>
            <w:r>
              <w:rPr>
                <w:color w:val="231F20"/>
                <w:w w:val="80"/>
                <w:sz w:val="16"/>
              </w:rPr>
              <w:t>del</w:t>
            </w:r>
            <w:r>
              <w:rPr>
                <w:color w:val="231F20"/>
                <w:spacing w:val="-19"/>
                <w:w w:val="80"/>
                <w:sz w:val="16"/>
              </w:rPr>
              <w:t> </w:t>
            </w:r>
            <w:r>
              <w:rPr>
                <w:color w:val="231F20"/>
                <w:w w:val="80"/>
                <w:sz w:val="16"/>
              </w:rPr>
              <w:t>distrito</w:t>
            </w:r>
            <w:r>
              <w:rPr>
                <w:color w:val="231F20"/>
                <w:spacing w:val="-19"/>
                <w:w w:val="80"/>
                <w:sz w:val="16"/>
              </w:rPr>
              <w:t> </w:t>
            </w:r>
            <w:r>
              <w:rPr>
                <w:color w:val="231F20"/>
                <w:spacing w:val="2"/>
                <w:w w:val="80"/>
                <w:sz w:val="16"/>
              </w:rPr>
              <w:t>XXXVI,</w:t>
            </w:r>
            <w:r>
              <w:rPr>
                <w:color w:val="231F20"/>
                <w:spacing w:val="-19"/>
                <w:w w:val="80"/>
                <w:sz w:val="16"/>
              </w:rPr>
              <w:t> </w:t>
            </w:r>
            <w:r>
              <w:rPr>
                <w:color w:val="231F20"/>
                <w:w w:val="80"/>
                <w:sz w:val="16"/>
              </w:rPr>
              <w:t>Everardo Pedro</w:t>
            </w:r>
            <w:r>
              <w:rPr>
                <w:color w:val="231F20"/>
                <w:spacing w:val="-20"/>
                <w:w w:val="80"/>
                <w:sz w:val="16"/>
              </w:rPr>
              <w:t> </w:t>
            </w:r>
            <w:r>
              <w:rPr>
                <w:color w:val="231F20"/>
                <w:w w:val="80"/>
                <w:sz w:val="16"/>
              </w:rPr>
              <w:t>Vargas</w:t>
            </w:r>
            <w:r>
              <w:rPr>
                <w:color w:val="231F20"/>
                <w:spacing w:val="-20"/>
                <w:w w:val="80"/>
                <w:sz w:val="16"/>
              </w:rPr>
              <w:t> </w:t>
            </w:r>
            <w:r>
              <w:rPr>
                <w:color w:val="231F20"/>
                <w:w w:val="80"/>
                <w:sz w:val="16"/>
              </w:rPr>
              <w:t>Reyes</w:t>
            </w:r>
            <w:r>
              <w:rPr>
                <w:color w:val="231F20"/>
                <w:spacing w:val="-20"/>
                <w:w w:val="80"/>
                <w:sz w:val="16"/>
              </w:rPr>
              <w:t> </w:t>
            </w:r>
            <w:r>
              <w:rPr>
                <w:color w:val="231F20"/>
                <w:w w:val="80"/>
                <w:sz w:val="16"/>
              </w:rPr>
              <w:t>aportó</w:t>
            </w:r>
            <w:r>
              <w:rPr>
                <w:color w:val="231F20"/>
                <w:spacing w:val="-20"/>
                <w:w w:val="80"/>
                <w:sz w:val="16"/>
              </w:rPr>
              <w:t> </w:t>
            </w:r>
            <w:r>
              <w:rPr>
                <w:color w:val="231F20"/>
                <w:w w:val="80"/>
                <w:sz w:val="16"/>
              </w:rPr>
              <w:t>material</w:t>
            </w:r>
            <w:r>
              <w:rPr>
                <w:color w:val="231F20"/>
                <w:spacing w:val="-20"/>
                <w:w w:val="80"/>
                <w:sz w:val="16"/>
              </w:rPr>
              <w:t> </w:t>
            </w:r>
            <w:r>
              <w:rPr>
                <w:color w:val="231F20"/>
                <w:w w:val="80"/>
                <w:sz w:val="16"/>
              </w:rPr>
              <w:t>para</w:t>
            </w:r>
            <w:r>
              <w:rPr>
                <w:color w:val="231F20"/>
                <w:spacing w:val="-20"/>
                <w:w w:val="80"/>
                <w:sz w:val="16"/>
              </w:rPr>
              <w:t> </w:t>
            </w:r>
            <w:r>
              <w:rPr>
                <w:color w:val="231F20"/>
                <w:w w:val="80"/>
                <w:sz w:val="16"/>
              </w:rPr>
              <w:t>la</w:t>
            </w:r>
            <w:r>
              <w:rPr>
                <w:color w:val="231F20"/>
                <w:spacing w:val="-20"/>
                <w:w w:val="80"/>
                <w:sz w:val="16"/>
              </w:rPr>
              <w:t> </w:t>
            </w:r>
            <w:r>
              <w:rPr>
                <w:color w:val="231F20"/>
                <w:w w:val="80"/>
                <w:sz w:val="16"/>
              </w:rPr>
              <w:t>construcción</w:t>
            </w:r>
            <w:r>
              <w:rPr>
                <w:color w:val="231F20"/>
                <w:spacing w:val="-20"/>
                <w:w w:val="80"/>
                <w:sz w:val="16"/>
              </w:rPr>
              <w:t> </w:t>
            </w:r>
            <w:r>
              <w:rPr>
                <w:color w:val="231F20"/>
                <w:w w:val="80"/>
                <w:sz w:val="16"/>
              </w:rPr>
              <w:t>de</w:t>
            </w:r>
            <w:r>
              <w:rPr>
                <w:color w:val="231F20"/>
                <w:spacing w:val="-20"/>
                <w:w w:val="80"/>
                <w:sz w:val="16"/>
              </w:rPr>
              <w:t> </w:t>
            </w:r>
            <w:r>
              <w:rPr>
                <w:color w:val="231F20"/>
                <w:w w:val="80"/>
                <w:sz w:val="16"/>
              </w:rPr>
              <w:t>la</w:t>
            </w:r>
            <w:r>
              <w:rPr>
                <w:color w:val="231F20"/>
                <w:spacing w:val="-20"/>
                <w:w w:val="80"/>
                <w:sz w:val="16"/>
              </w:rPr>
              <w:t> </w:t>
            </w:r>
            <w:r>
              <w:rPr>
                <w:color w:val="231F20"/>
                <w:w w:val="80"/>
                <w:sz w:val="16"/>
              </w:rPr>
              <w:t>obra.</w:t>
            </w:r>
          </w:p>
        </w:tc>
      </w:tr>
      <w:tr>
        <w:trPr>
          <w:trHeight w:val="514" w:hRule="exact"/>
        </w:trPr>
        <w:tc>
          <w:tcPr>
            <w:tcW w:w="626" w:type="dxa"/>
          </w:tcPr>
          <w:p>
            <w:pPr>
              <w:pStyle w:val="TableParagraph"/>
              <w:spacing w:before="10"/>
              <w:ind w:left="0"/>
              <w:rPr>
                <w:rFonts w:ascii="Times New Roman"/>
                <w:b/>
                <w:sz w:val="13"/>
              </w:rPr>
            </w:pPr>
          </w:p>
          <w:p>
            <w:pPr>
              <w:pStyle w:val="TableParagraph"/>
              <w:ind w:left="134" w:right="136"/>
              <w:jc w:val="center"/>
              <w:rPr>
                <w:sz w:val="16"/>
              </w:rPr>
            </w:pPr>
            <w:r>
              <w:rPr>
                <w:color w:val="231F20"/>
                <w:w w:val="85"/>
                <w:sz w:val="16"/>
              </w:rPr>
              <w:t>12</w:t>
            </w:r>
          </w:p>
        </w:tc>
        <w:tc>
          <w:tcPr>
            <w:tcW w:w="1004" w:type="dxa"/>
          </w:tcPr>
          <w:p>
            <w:pPr>
              <w:pStyle w:val="TableParagraph"/>
              <w:spacing w:line="162" w:lineRule="exact"/>
              <w:ind w:left="102" w:right="120"/>
              <w:rPr>
                <w:sz w:val="16"/>
              </w:rPr>
            </w:pPr>
            <w:r>
              <w:rPr>
                <w:color w:val="231F20"/>
                <w:w w:val="75"/>
                <w:sz w:val="16"/>
              </w:rPr>
              <w:t>BOLETÍN 229</w:t>
            </w:r>
          </w:p>
          <w:p>
            <w:pPr>
              <w:pStyle w:val="TableParagraph"/>
              <w:spacing w:line="235" w:lineRule="auto" w:before="1"/>
              <w:ind w:left="102" w:right="120"/>
              <w:rPr>
                <w:sz w:val="16"/>
              </w:rPr>
            </w:pPr>
            <w:r>
              <w:rPr>
                <w:color w:val="231F20"/>
                <w:w w:val="80"/>
                <w:sz w:val="16"/>
              </w:rPr>
              <w:t>24 de abril de </w:t>
            </w:r>
            <w:r>
              <w:rPr>
                <w:color w:val="231F20"/>
                <w:w w:val="85"/>
                <w:sz w:val="16"/>
              </w:rPr>
              <w:t>2007</w:t>
            </w:r>
          </w:p>
        </w:tc>
        <w:tc>
          <w:tcPr>
            <w:tcW w:w="6297" w:type="dxa"/>
          </w:tcPr>
          <w:p>
            <w:pPr>
              <w:pStyle w:val="TableParagraph"/>
              <w:spacing w:line="162" w:lineRule="exact"/>
              <w:ind w:right="96"/>
              <w:rPr>
                <w:sz w:val="16"/>
              </w:rPr>
            </w:pPr>
            <w:r>
              <w:rPr>
                <w:color w:val="231F20"/>
                <w:w w:val="75"/>
                <w:sz w:val="16"/>
              </w:rPr>
              <w:t>Se entregaron 19 computadoras que fueron compradas con los recursos obtenidos del evento “Cabalgando por la   Educa-</w:t>
            </w:r>
          </w:p>
          <w:p>
            <w:pPr>
              <w:pStyle w:val="TableParagraph"/>
              <w:spacing w:line="194" w:lineRule="exact"/>
              <w:ind w:right="96"/>
              <w:rPr>
                <w:sz w:val="16"/>
              </w:rPr>
            </w:pPr>
            <w:r>
              <w:rPr>
                <w:color w:val="231F20"/>
                <w:w w:val="80"/>
                <w:sz w:val="16"/>
              </w:rPr>
              <w:t>ción” realizado en octubre del año pasado.</w:t>
            </w:r>
          </w:p>
        </w:tc>
      </w:tr>
      <w:tr>
        <w:trPr>
          <w:trHeight w:val="514" w:hRule="exact"/>
        </w:trPr>
        <w:tc>
          <w:tcPr>
            <w:tcW w:w="626" w:type="dxa"/>
          </w:tcPr>
          <w:p>
            <w:pPr>
              <w:pStyle w:val="TableParagraph"/>
              <w:spacing w:before="10"/>
              <w:ind w:left="0"/>
              <w:rPr>
                <w:rFonts w:ascii="Times New Roman"/>
                <w:b/>
                <w:sz w:val="13"/>
              </w:rPr>
            </w:pPr>
          </w:p>
          <w:p>
            <w:pPr>
              <w:pStyle w:val="TableParagraph"/>
              <w:ind w:left="136" w:right="136"/>
              <w:jc w:val="center"/>
              <w:rPr>
                <w:sz w:val="16"/>
              </w:rPr>
            </w:pPr>
            <w:r>
              <w:rPr>
                <w:color w:val="231F20"/>
                <w:w w:val="85"/>
                <w:sz w:val="16"/>
              </w:rPr>
              <w:t>13</w:t>
            </w:r>
          </w:p>
        </w:tc>
        <w:tc>
          <w:tcPr>
            <w:tcW w:w="1004" w:type="dxa"/>
          </w:tcPr>
          <w:p>
            <w:pPr>
              <w:pStyle w:val="TableParagraph"/>
              <w:spacing w:line="162" w:lineRule="exact"/>
              <w:ind w:left="102" w:right="120"/>
              <w:rPr>
                <w:sz w:val="16"/>
              </w:rPr>
            </w:pPr>
            <w:r>
              <w:rPr>
                <w:color w:val="231F20"/>
                <w:w w:val="75"/>
                <w:sz w:val="16"/>
              </w:rPr>
              <w:t>BOLETIN 230</w:t>
            </w:r>
          </w:p>
          <w:p>
            <w:pPr>
              <w:pStyle w:val="TableParagraph"/>
              <w:spacing w:line="235" w:lineRule="auto" w:before="1"/>
              <w:ind w:left="102" w:right="120"/>
              <w:rPr>
                <w:sz w:val="16"/>
              </w:rPr>
            </w:pPr>
            <w:r>
              <w:rPr>
                <w:color w:val="231F20"/>
                <w:w w:val="80"/>
                <w:sz w:val="16"/>
              </w:rPr>
              <w:t>30 de abril de </w:t>
            </w:r>
            <w:r>
              <w:rPr>
                <w:color w:val="231F20"/>
                <w:w w:val="85"/>
                <w:sz w:val="16"/>
              </w:rPr>
              <w:t>2008</w:t>
            </w:r>
          </w:p>
        </w:tc>
        <w:tc>
          <w:tcPr>
            <w:tcW w:w="6297" w:type="dxa"/>
          </w:tcPr>
          <w:p>
            <w:pPr>
              <w:pStyle w:val="TableParagraph"/>
              <w:spacing w:line="162" w:lineRule="exact"/>
              <w:ind w:right="-9"/>
              <w:rPr>
                <w:sz w:val="16"/>
              </w:rPr>
            </w:pPr>
            <w:r>
              <w:rPr>
                <w:color w:val="231F20"/>
                <w:w w:val="80"/>
                <w:sz w:val="16"/>
              </w:rPr>
              <w:t>Inaugura la pavimentación con la aplicación de material fresado en la calle Emiliano Zapata del barrio La Luz. Se estará</w:t>
            </w:r>
          </w:p>
          <w:p>
            <w:pPr>
              <w:pStyle w:val="TableParagraph"/>
              <w:spacing w:line="194" w:lineRule="exact"/>
              <w:ind w:right="96"/>
              <w:rPr>
                <w:sz w:val="16"/>
              </w:rPr>
            </w:pPr>
            <w:r>
              <w:rPr>
                <w:color w:val="231F20"/>
                <w:w w:val="80"/>
                <w:sz w:val="16"/>
              </w:rPr>
              <w:t>beneficiando a más de 11,184 habitantes de la localidad.</w:t>
            </w:r>
          </w:p>
        </w:tc>
      </w:tr>
      <w:tr>
        <w:trPr>
          <w:trHeight w:val="514" w:hRule="exact"/>
        </w:trPr>
        <w:tc>
          <w:tcPr>
            <w:tcW w:w="626" w:type="dxa"/>
          </w:tcPr>
          <w:p>
            <w:pPr>
              <w:pStyle w:val="TableParagraph"/>
              <w:spacing w:before="10"/>
              <w:ind w:left="0"/>
              <w:rPr>
                <w:rFonts w:ascii="Times New Roman"/>
                <w:b/>
                <w:sz w:val="13"/>
              </w:rPr>
            </w:pPr>
          </w:p>
          <w:p>
            <w:pPr>
              <w:pStyle w:val="TableParagraph"/>
              <w:ind w:left="135" w:right="136"/>
              <w:jc w:val="center"/>
              <w:rPr>
                <w:sz w:val="16"/>
              </w:rPr>
            </w:pPr>
            <w:r>
              <w:rPr>
                <w:color w:val="231F20"/>
                <w:w w:val="85"/>
                <w:sz w:val="16"/>
              </w:rPr>
              <w:t>14</w:t>
            </w:r>
          </w:p>
        </w:tc>
        <w:tc>
          <w:tcPr>
            <w:tcW w:w="1004" w:type="dxa"/>
          </w:tcPr>
          <w:p>
            <w:pPr>
              <w:pStyle w:val="TableParagraph"/>
              <w:spacing w:line="162" w:lineRule="exact"/>
              <w:ind w:left="102" w:right="120"/>
              <w:rPr>
                <w:sz w:val="16"/>
              </w:rPr>
            </w:pPr>
            <w:r>
              <w:rPr>
                <w:color w:val="231F20"/>
                <w:w w:val="75"/>
                <w:sz w:val="16"/>
              </w:rPr>
              <w:t>BOLETÍN 233</w:t>
            </w:r>
          </w:p>
          <w:p>
            <w:pPr>
              <w:pStyle w:val="TableParagraph"/>
              <w:spacing w:line="235" w:lineRule="auto" w:before="1"/>
              <w:ind w:left="102" w:right="104"/>
              <w:rPr>
                <w:sz w:val="16"/>
              </w:rPr>
            </w:pPr>
            <w:r>
              <w:rPr>
                <w:color w:val="231F20"/>
                <w:w w:val="80"/>
                <w:sz w:val="16"/>
              </w:rPr>
              <w:t>10 de mayo de </w:t>
            </w:r>
            <w:r>
              <w:rPr>
                <w:color w:val="231F20"/>
                <w:w w:val="85"/>
                <w:sz w:val="16"/>
              </w:rPr>
              <w:t>2008</w:t>
            </w:r>
          </w:p>
        </w:tc>
        <w:tc>
          <w:tcPr>
            <w:tcW w:w="6297" w:type="dxa"/>
          </w:tcPr>
          <w:p>
            <w:pPr>
              <w:pStyle w:val="TableParagraph"/>
              <w:spacing w:line="162" w:lineRule="exact"/>
              <w:ind w:right="96"/>
              <w:rPr>
                <w:sz w:val="16"/>
              </w:rPr>
            </w:pPr>
            <w:r>
              <w:rPr>
                <w:color w:val="231F20"/>
                <w:w w:val="80"/>
                <w:sz w:val="16"/>
              </w:rPr>
              <w:t>Entrega</w:t>
            </w:r>
            <w:r>
              <w:rPr>
                <w:color w:val="231F20"/>
                <w:spacing w:val="-17"/>
                <w:w w:val="80"/>
                <w:sz w:val="16"/>
              </w:rPr>
              <w:t> </w:t>
            </w:r>
            <w:r>
              <w:rPr>
                <w:color w:val="231F20"/>
                <w:w w:val="80"/>
                <w:sz w:val="16"/>
              </w:rPr>
              <w:t>de</w:t>
            </w:r>
            <w:r>
              <w:rPr>
                <w:color w:val="231F20"/>
                <w:spacing w:val="-17"/>
                <w:w w:val="80"/>
                <w:sz w:val="16"/>
              </w:rPr>
              <w:t> </w:t>
            </w:r>
            <w:r>
              <w:rPr>
                <w:color w:val="231F20"/>
                <w:w w:val="80"/>
                <w:sz w:val="16"/>
              </w:rPr>
              <w:t>35</w:t>
            </w:r>
            <w:r>
              <w:rPr>
                <w:color w:val="231F20"/>
                <w:spacing w:val="-17"/>
                <w:w w:val="80"/>
                <w:sz w:val="16"/>
              </w:rPr>
              <w:t> </w:t>
            </w:r>
            <w:r>
              <w:rPr>
                <w:color w:val="231F20"/>
                <w:w w:val="80"/>
                <w:sz w:val="16"/>
              </w:rPr>
              <w:t>toneladas</w:t>
            </w:r>
            <w:r>
              <w:rPr>
                <w:color w:val="231F20"/>
                <w:spacing w:val="-17"/>
                <w:w w:val="80"/>
                <w:sz w:val="16"/>
              </w:rPr>
              <w:t> </w:t>
            </w:r>
            <w:r>
              <w:rPr>
                <w:color w:val="231F20"/>
                <w:w w:val="80"/>
                <w:sz w:val="16"/>
              </w:rPr>
              <w:t>de</w:t>
            </w:r>
            <w:r>
              <w:rPr>
                <w:color w:val="231F20"/>
                <w:spacing w:val="-17"/>
                <w:w w:val="80"/>
                <w:sz w:val="16"/>
              </w:rPr>
              <w:t> </w:t>
            </w:r>
            <w:r>
              <w:rPr>
                <w:color w:val="231F20"/>
                <w:w w:val="80"/>
                <w:sz w:val="16"/>
              </w:rPr>
              <w:t>fertilizante</w:t>
            </w:r>
            <w:r>
              <w:rPr>
                <w:color w:val="231F20"/>
                <w:spacing w:val="-17"/>
                <w:w w:val="80"/>
                <w:sz w:val="16"/>
              </w:rPr>
              <w:t> </w:t>
            </w:r>
            <w:r>
              <w:rPr>
                <w:color w:val="231F20"/>
                <w:w w:val="80"/>
                <w:sz w:val="16"/>
              </w:rPr>
              <w:t>para</w:t>
            </w:r>
            <w:r>
              <w:rPr>
                <w:color w:val="231F20"/>
                <w:spacing w:val="-17"/>
                <w:w w:val="80"/>
                <w:sz w:val="16"/>
              </w:rPr>
              <w:t> </w:t>
            </w:r>
            <w:r>
              <w:rPr>
                <w:color w:val="231F20"/>
                <w:w w:val="80"/>
                <w:sz w:val="16"/>
              </w:rPr>
              <w:t>campesinos</w:t>
            </w:r>
            <w:r>
              <w:rPr>
                <w:color w:val="231F20"/>
                <w:spacing w:val="-17"/>
                <w:w w:val="80"/>
                <w:sz w:val="16"/>
              </w:rPr>
              <w:t> </w:t>
            </w:r>
            <w:r>
              <w:rPr>
                <w:color w:val="231F20"/>
                <w:w w:val="80"/>
                <w:sz w:val="16"/>
              </w:rPr>
              <w:t>de</w:t>
            </w:r>
            <w:r>
              <w:rPr>
                <w:color w:val="231F20"/>
                <w:spacing w:val="-17"/>
                <w:w w:val="80"/>
                <w:sz w:val="16"/>
              </w:rPr>
              <w:t> </w:t>
            </w:r>
            <w:r>
              <w:rPr>
                <w:color w:val="231F20"/>
                <w:w w:val="80"/>
                <w:sz w:val="16"/>
              </w:rPr>
              <w:t>este</w:t>
            </w:r>
            <w:r>
              <w:rPr>
                <w:color w:val="231F20"/>
                <w:spacing w:val="-17"/>
                <w:w w:val="80"/>
                <w:sz w:val="16"/>
              </w:rPr>
              <w:t> </w:t>
            </w:r>
            <w:r>
              <w:rPr>
                <w:color w:val="231F20"/>
                <w:w w:val="80"/>
                <w:sz w:val="16"/>
              </w:rPr>
              <w:t>Pueblo</w:t>
            </w:r>
            <w:r>
              <w:rPr>
                <w:color w:val="231F20"/>
                <w:spacing w:val="-17"/>
                <w:w w:val="80"/>
                <w:sz w:val="16"/>
              </w:rPr>
              <w:t> </w:t>
            </w:r>
            <w:r>
              <w:rPr>
                <w:color w:val="231F20"/>
                <w:w w:val="80"/>
                <w:sz w:val="16"/>
              </w:rPr>
              <w:t>Mágico.</w:t>
            </w:r>
            <w:r>
              <w:rPr>
                <w:color w:val="231F20"/>
                <w:spacing w:val="-17"/>
                <w:w w:val="80"/>
                <w:sz w:val="16"/>
              </w:rPr>
              <w:t> </w:t>
            </w:r>
            <w:r>
              <w:rPr>
                <w:color w:val="231F20"/>
                <w:w w:val="80"/>
                <w:sz w:val="16"/>
              </w:rPr>
              <w:t>El</w:t>
            </w:r>
            <w:r>
              <w:rPr>
                <w:color w:val="231F20"/>
                <w:spacing w:val="-17"/>
                <w:w w:val="80"/>
                <w:sz w:val="16"/>
              </w:rPr>
              <w:t> </w:t>
            </w:r>
            <w:r>
              <w:rPr>
                <w:color w:val="231F20"/>
                <w:w w:val="80"/>
                <w:sz w:val="16"/>
              </w:rPr>
              <w:t>gobierno</w:t>
            </w:r>
            <w:r>
              <w:rPr>
                <w:color w:val="231F20"/>
                <w:spacing w:val="-17"/>
                <w:w w:val="80"/>
                <w:sz w:val="16"/>
              </w:rPr>
              <w:t> </w:t>
            </w:r>
            <w:r>
              <w:rPr>
                <w:color w:val="231F20"/>
                <w:w w:val="80"/>
                <w:sz w:val="16"/>
              </w:rPr>
              <w:t>estatal</w:t>
            </w:r>
            <w:r>
              <w:rPr>
                <w:color w:val="231F20"/>
                <w:spacing w:val="-17"/>
                <w:w w:val="80"/>
                <w:sz w:val="16"/>
              </w:rPr>
              <w:t> </w:t>
            </w:r>
            <w:r>
              <w:rPr>
                <w:color w:val="231F20"/>
                <w:w w:val="80"/>
                <w:sz w:val="16"/>
              </w:rPr>
              <w:t>apoya</w:t>
            </w:r>
            <w:r>
              <w:rPr>
                <w:color w:val="231F20"/>
                <w:spacing w:val="-17"/>
                <w:w w:val="80"/>
                <w:sz w:val="16"/>
              </w:rPr>
              <w:t> </w:t>
            </w:r>
            <w:r>
              <w:rPr>
                <w:color w:val="231F20"/>
                <w:w w:val="80"/>
                <w:sz w:val="16"/>
              </w:rPr>
              <w:t>a</w:t>
            </w:r>
            <w:r>
              <w:rPr>
                <w:color w:val="231F20"/>
                <w:spacing w:val="-17"/>
                <w:w w:val="80"/>
                <w:sz w:val="16"/>
              </w:rPr>
              <w:t> </w:t>
            </w:r>
            <w:r>
              <w:rPr>
                <w:color w:val="231F20"/>
                <w:w w:val="80"/>
                <w:sz w:val="16"/>
              </w:rPr>
              <w:t>cada</w:t>
            </w:r>
            <w:r>
              <w:rPr>
                <w:color w:val="231F20"/>
                <w:spacing w:val="-17"/>
                <w:w w:val="80"/>
                <w:sz w:val="16"/>
              </w:rPr>
              <w:t> </w:t>
            </w:r>
            <w:r>
              <w:rPr>
                <w:color w:val="231F20"/>
                <w:w w:val="80"/>
                <w:sz w:val="16"/>
              </w:rPr>
              <w:t>campe-</w:t>
            </w:r>
          </w:p>
          <w:p>
            <w:pPr>
              <w:pStyle w:val="TableParagraph"/>
              <w:spacing w:line="235" w:lineRule="auto" w:before="1"/>
              <w:ind w:right="96"/>
              <w:rPr>
                <w:sz w:val="16"/>
              </w:rPr>
            </w:pPr>
            <w:r>
              <w:rPr>
                <w:color w:val="231F20"/>
                <w:w w:val="80"/>
                <w:sz w:val="16"/>
              </w:rPr>
              <w:t>sino</w:t>
            </w:r>
            <w:r>
              <w:rPr>
                <w:color w:val="231F20"/>
                <w:spacing w:val="-13"/>
                <w:w w:val="80"/>
                <w:sz w:val="16"/>
              </w:rPr>
              <w:t> </w:t>
            </w:r>
            <w:r>
              <w:rPr>
                <w:color w:val="231F20"/>
                <w:w w:val="80"/>
                <w:sz w:val="16"/>
              </w:rPr>
              <w:t>con</w:t>
            </w:r>
            <w:r>
              <w:rPr>
                <w:color w:val="231F20"/>
                <w:spacing w:val="-13"/>
                <w:w w:val="80"/>
                <w:sz w:val="16"/>
              </w:rPr>
              <w:t> </w:t>
            </w:r>
            <w:r>
              <w:rPr>
                <w:color w:val="231F20"/>
                <w:w w:val="80"/>
                <w:sz w:val="16"/>
              </w:rPr>
              <w:t>la</w:t>
            </w:r>
            <w:r>
              <w:rPr>
                <w:color w:val="231F20"/>
                <w:spacing w:val="-13"/>
                <w:w w:val="80"/>
                <w:sz w:val="16"/>
              </w:rPr>
              <w:t> </w:t>
            </w:r>
            <w:r>
              <w:rPr>
                <w:color w:val="231F20"/>
                <w:w w:val="80"/>
                <w:sz w:val="16"/>
              </w:rPr>
              <w:t>cantidad</w:t>
            </w:r>
            <w:r>
              <w:rPr>
                <w:color w:val="231F20"/>
                <w:spacing w:val="-13"/>
                <w:w w:val="80"/>
                <w:sz w:val="16"/>
              </w:rPr>
              <w:t> </w:t>
            </w:r>
            <w:r>
              <w:rPr>
                <w:color w:val="231F20"/>
                <w:w w:val="80"/>
                <w:sz w:val="16"/>
              </w:rPr>
              <w:t>de</w:t>
            </w:r>
            <w:r>
              <w:rPr>
                <w:color w:val="231F20"/>
                <w:spacing w:val="-13"/>
                <w:w w:val="80"/>
                <w:sz w:val="16"/>
              </w:rPr>
              <w:t> </w:t>
            </w:r>
            <w:r>
              <w:rPr>
                <w:color w:val="231F20"/>
                <w:w w:val="80"/>
                <w:sz w:val="16"/>
              </w:rPr>
              <w:t>mil</w:t>
            </w:r>
            <w:r>
              <w:rPr>
                <w:color w:val="231F20"/>
                <w:spacing w:val="-13"/>
                <w:w w:val="80"/>
                <w:sz w:val="16"/>
              </w:rPr>
              <w:t> </w:t>
            </w:r>
            <w:r>
              <w:rPr>
                <w:color w:val="231F20"/>
                <w:w w:val="80"/>
                <w:sz w:val="16"/>
              </w:rPr>
              <w:t>a</w:t>
            </w:r>
            <w:r>
              <w:rPr>
                <w:color w:val="231F20"/>
                <w:spacing w:val="-13"/>
                <w:w w:val="80"/>
                <w:sz w:val="16"/>
              </w:rPr>
              <w:t> </w:t>
            </w:r>
            <w:r>
              <w:rPr>
                <w:color w:val="231F20"/>
                <w:w w:val="80"/>
                <w:sz w:val="16"/>
              </w:rPr>
              <w:t>mil</w:t>
            </w:r>
            <w:r>
              <w:rPr>
                <w:color w:val="231F20"/>
                <w:spacing w:val="-13"/>
                <w:w w:val="80"/>
                <w:sz w:val="16"/>
              </w:rPr>
              <w:t> </w:t>
            </w:r>
            <w:r>
              <w:rPr>
                <w:color w:val="231F20"/>
                <w:w w:val="80"/>
                <w:sz w:val="16"/>
              </w:rPr>
              <w:t>quinientos</w:t>
            </w:r>
            <w:r>
              <w:rPr>
                <w:color w:val="231F20"/>
                <w:spacing w:val="-13"/>
                <w:w w:val="80"/>
                <w:sz w:val="16"/>
              </w:rPr>
              <w:t> </w:t>
            </w:r>
            <w:r>
              <w:rPr>
                <w:color w:val="231F20"/>
                <w:w w:val="80"/>
                <w:sz w:val="16"/>
              </w:rPr>
              <w:t>pesos</w:t>
            </w:r>
            <w:r>
              <w:rPr>
                <w:color w:val="231F20"/>
                <w:spacing w:val="-13"/>
                <w:w w:val="80"/>
                <w:sz w:val="16"/>
              </w:rPr>
              <w:t> </w:t>
            </w:r>
            <w:r>
              <w:rPr>
                <w:color w:val="231F20"/>
                <w:w w:val="80"/>
                <w:sz w:val="16"/>
              </w:rPr>
              <w:t>en</w:t>
            </w:r>
            <w:r>
              <w:rPr>
                <w:color w:val="231F20"/>
                <w:spacing w:val="-13"/>
                <w:w w:val="80"/>
                <w:sz w:val="16"/>
              </w:rPr>
              <w:t> </w:t>
            </w:r>
            <w:r>
              <w:rPr>
                <w:color w:val="231F20"/>
                <w:w w:val="80"/>
                <w:sz w:val="16"/>
              </w:rPr>
              <w:t>reembolso,</w:t>
            </w:r>
            <w:r>
              <w:rPr>
                <w:color w:val="231F20"/>
                <w:spacing w:val="-13"/>
                <w:w w:val="80"/>
                <w:sz w:val="16"/>
              </w:rPr>
              <w:t> </w:t>
            </w:r>
            <w:r>
              <w:rPr>
                <w:color w:val="231F20"/>
                <w:w w:val="80"/>
                <w:sz w:val="16"/>
              </w:rPr>
              <w:t>mismos</w:t>
            </w:r>
            <w:r>
              <w:rPr>
                <w:color w:val="231F20"/>
                <w:spacing w:val="-13"/>
                <w:w w:val="80"/>
                <w:sz w:val="16"/>
              </w:rPr>
              <w:t> </w:t>
            </w:r>
            <w:r>
              <w:rPr>
                <w:color w:val="231F20"/>
                <w:w w:val="80"/>
                <w:sz w:val="16"/>
              </w:rPr>
              <w:t>que</w:t>
            </w:r>
            <w:r>
              <w:rPr>
                <w:color w:val="231F20"/>
                <w:spacing w:val="-13"/>
                <w:w w:val="80"/>
                <w:sz w:val="16"/>
              </w:rPr>
              <w:t> </w:t>
            </w:r>
            <w:r>
              <w:rPr>
                <w:color w:val="231F20"/>
                <w:w w:val="80"/>
                <w:sz w:val="16"/>
              </w:rPr>
              <w:t>se</w:t>
            </w:r>
            <w:r>
              <w:rPr>
                <w:color w:val="231F20"/>
                <w:spacing w:val="-13"/>
                <w:w w:val="80"/>
                <w:sz w:val="16"/>
              </w:rPr>
              <w:t> </w:t>
            </w:r>
            <w:r>
              <w:rPr>
                <w:color w:val="231F20"/>
                <w:w w:val="80"/>
                <w:sz w:val="16"/>
              </w:rPr>
              <w:t>suman</w:t>
            </w:r>
            <w:r>
              <w:rPr>
                <w:color w:val="231F20"/>
                <w:spacing w:val="-13"/>
                <w:w w:val="80"/>
                <w:sz w:val="16"/>
              </w:rPr>
              <w:t> </w:t>
            </w:r>
            <w:r>
              <w:rPr>
                <w:color w:val="231F20"/>
                <w:w w:val="80"/>
                <w:sz w:val="16"/>
              </w:rPr>
              <w:t>al</w:t>
            </w:r>
            <w:r>
              <w:rPr>
                <w:color w:val="231F20"/>
                <w:spacing w:val="-13"/>
                <w:w w:val="80"/>
                <w:sz w:val="16"/>
              </w:rPr>
              <w:t> </w:t>
            </w:r>
            <w:r>
              <w:rPr>
                <w:color w:val="231F20"/>
                <w:w w:val="80"/>
                <w:sz w:val="16"/>
              </w:rPr>
              <w:t>subsidio</w:t>
            </w:r>
            <w:r>
              <w:rPr>
                <w:color w:val="231F20"/>
                <w:spacing w:val="-13"/>
                <w:w w:val="80"/>
                <w:sz w:val="16"/>
              </w:rPr>
              <w:t> </w:t>
            </w:r>
            <w:r>
              <w:rPr>
                <w:color w:val="231F20"/>
                <w:w w:val="80"/>
                <w:sz w:val="16"/>
              </w:rPr>
              <w:t>del</w:t>
            </w:r>
            <w:r>
              <w:rPr>
                <w:color w:val="231F20"/>
                <w:spacing w:val="-13"/>
                <w:w w:val="80"/>
                <w:sz w:val="16"/>
              </w:rPr>
              <w:t> </w:t>
            </w:r>
            <w:r>
              <w:rPr>
                <w:color w:val="231F20"/>
                <w:w w:val="80"/>
                <w:sz w:val="16"/>
              </w:rPr>
              <w:t>20%</w:t>
            </w:r>
            <w:r>
              <w:rPr>
                <w:color w:val="231F20"/>
                <w:spacing w:val="-13"/>
                <w:w w:val="80"/>
                <w:sz w:val="16"/>
              </w:rPr>
              <w:t> </w:t>
            </w:r>
            <w:r>
              <w:rPr>
                <w:color w:val="231F20"/>
                <w:w w:val="80"/>
                <w:sz w:val="16"/>
              </w:rPr>
              <w:t>del</w:t>
            </w:r>
            <w:r>
              <w:rPr>
                <w:color w:val="231F20"/>
                <w:spacing w:val="-13"/>
                <w:w w:val="80"/>
                <w:sz w:val="16"/>
              </w:rPr>
              <w:t> </w:t>
            </w:r>
            <w:r>
              <w:rPr>
                <w:color w:val="231F20"/>
                <w:w w:val="80"/>
                <w:sz w:val="16"/>
              </w:rPr>
              <w:t>gobierno municipal,</w:t>
            </w:r>
            <w:r>
              <w:rPr>
                <w:color w:val="231F20"/>
                <w:spacing w:val="-18"/>
                <w:w w:val="80"/>
                <w:sz w:val="16"/>
              </w:rPr>
              <w:t> </w:t>
            </w:r>
            <w:r>
              <w:rPr>
                <w:color w:val="231F20"/>
                <w:w w:val="80"/>
                <w:sz w:val="16"/>
              </w:rPr>
              <w:t>lo</w:t>
            </w:r>
            <w:r>
              <w:rPr>
                <w:color w:val="231F20"/>
                <w:spacing w:val="-18"/>
                <w:w w:val="80"/>
                <w:sz w:val="16"/>
              </w:rPr>
              <w:t> </w:t>
            </w:r>
            <w:r>
              <w:rPr>
                <w:color w:val="231F20"/>
                <w:w w:val="80"/>
                <w:sz w:val="16"/>
              </w:rPr>
              <w:t>cual</w:t>
            </w:r>
            <w:r>
              <w:rPr>
                <w:color w:val="231F20"/>
                <w:spacing w:val="-18"/>
                <w:w w:val="80"/>
                <w:sz w:val="16"/>
              </w:rPr>
              <w:t> </w:t>
            </w:r>
            <w:r>
              <w:rPr>
                <w:color w:val="231F20"/>
                <w:w w:val="80"/>
                <w:sz w:val="16"/>
              </w:rPr>
              <w:t>representa</w:t>
            </w:r>
            <w:r>
              <w:rPr>
                <w:color w:val="231F20"/>
                <w:spacing w:val="-18"/>
                <w:w w:val="80"/>
                <w:sz w:val="16"/>
              </w:rPr>
              <w:t> </w:t>
            </w:r>
            <w:r>
              <w:rPr>
                <w:color w:val="231F20"/>
                <w:w w:val="80"/>
                <w:sz w:val="16"/>
              </w:rPr>
              <w:t>un</w:t>
            </w:r>
            <w:r>
              <w:rPr>
                <w:color w:val="231F20"/>
                <w:spacing w:val="-18"/>
                <w:w w:val="80"/>
                <w:sz w:val="16"/>
              </w:rPr>
              <w:t> </w:t>
            </w:r>
            <w:r>
              <w:rPr>
                <w:color w:val="231F20"/>
                <w:w w:val="80"/>
                <w:sz w:val="16"/>
              </w:rPr>
              <w:t>ahorro</w:t>
            </w:r>
            <w:r>
              <w:rPr>
                <w:color w:val="231F20"/>
                <w:spacing w:val="-18"/>
                <w:w w:val="80"/>
                <w:sz w:val="16"/>
              </w:rPr>
              <w:t> </w:t>
            </w:r>
            <w:r>
              <w:rPr>
                <w:color w:val="231F20"/>
                <w:w w:val="80"/>
                <w:sz w:val="16"/>
              </w:rPr>
              <w:t>total</w:t>
            </w:r>
            <w:r>
              <w:rPr>
                <w:color w:val="231F20"/>
                <w:spacing w:val="-18"/>
                <w:w w:val="80"/>
                <w:sz w:val="16"/>
              </w:rPr>
              <w:t> </w:t>
            </w:r>
            <w:r>
              <w:rPr>
                <w:color w:val="231F20"/>
                <w:w w:val="80"/>
                <w:sz w:val="16"/>
              </w:rPr>
              <w:t>de</w:t>
            </w:r>
            <w:r>
              <w:rPr>
                <w:color w:val="231F20"/>
                <w:spacing w:val="-18"/>
                <w:w w:val="80"/>
                <w:sz w:val="16"/>
              </w:rPr>
              <w:t> </w:t>
            </w:r>
            <w:r>
              <w:rPr>
                <w:color w:val="231F20"/>
                <w:w w:val="80"/>
                <w:sz w:val="16"/>
              </w:rPr>
              <w:t>mil</w:t>
            </w:r>
            <w:r>
              <w:rPr>
                <w:color w:val="231F20"/>
                <w:spacing w:val="-18"/>
                <w:w w:val="80"/>
                <w:sz w:val="16"/>
              </w:rPr>
              <w:t> </w:t>
            </w:r>
            <w:r>
              <w:rPr>
                <w:color w:val="231F20"/>
                <w:w w:val="80"/>
                <w:sz w:val="16"/>
              </w:rPr>
              <w:t>novecientos</w:t>
            </w:r>
            <w:r>
              <w:rPr>
                <w:color w:val="231F20"/>
                <w:spacing w:val="-18"/>
                <w:w w:val="80"/>
                <w:sz w:val="16"/>
              </w:rPr>
              <w:t> </w:t>
            </w:r>
            <w:r>
              <w:rPr>
                <w:color w:val="231F20"/>
                <w:w w:val="80"/>
                <w:sz w:val="16"/>
              </w:rPr>
              <w:t>treinta</w:t>
            </w:r>
            <w:r>
              <w:rPr>
                <w:color w:val="231F20"/>
                <w:spacing w:val="-18"/>
                <w:w w:val="80"/>
                <w:sz w:val="16"/>
              </w:rPr>
              <w:t> </w:t>
            </w:r>
            <w:r>
              <w:rPr>
                <w:color w:val="231F20"/>
                <w:w w:val="80"/>
                <w:sz w:val="16"/>
              </w:rPr>
              <w:t>y</w:t>
            </w:r>
            <w:r>
              <w:rPr>
                <w:color w:val="231F20"/>
                <w:spacing w:val="-18"/>
                <w:w w:val="80"/>
                <w:sz w:val="16"/>
              </w:rPr>
              <w:t> </w:t>
            </w:r>
            <w:r>
              <w:rPr>
                <w:color w:val="231F20"/>
                <w:w w:val="80"/>
                <w:sz w:val="16"/>
              </w:rPr>
              <w:t>cuatro</w:t>
            </w:r>
            <w:r>
              <w:rPr>
                <w:color w:val="231F20"/>
                <w:spacing w:val="-18"/>
                <w:w w:val="80"/>
                <w:sz w:val="16"/>
              </w:rPr>
              <w:t> </w:t>
            </w:r>
            <w:r>
              <w:rPr>
                <w:color w:val="231F20"/>
                <w:w w:val="80"/>
                <w:sz w:val="16"/>
              </w:rPr>
              <w:t>pesos.</w:t>
            </w:r>
          </w:p>
        </w:tc>
      </w:tr>
    </w:tbl>
    <w:p>
      <w:pPr>
        <w:pStyle w:val="BodyText"/>
        <w:rPr>
          <w:b/>
          <w:sz w:val="20"/>
        </w:rPr>
      </w:pPr>
    </w:p>
    <w:p>
      <w:pPr>
        <w:pStyle w:val="BodyText"/>
        <w:spacing w:line="285" w:lineRule="auto" w:before="154"/>
        <w:ind w:left="110" w:right="-2"/>
      </w:pPr>
      <w:r>
        <w:rPr>
          <w:color w:val="231F20"/>
        </w:rPr>
        <w:t>En todas las acciones de entrega de obra pública el presidente municipal reiteró que “las obras  entregadas  son  sin  tintes  partidistas  ni  ideológicos,  cuando  llegamos  al poder,</w:t>
      </w:r>
    </w:p>
    <w:p>
      <w:pPr>
        <w:spacing w:after="0" w:line="285" w:lineRule="auto"/>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dejamos de lado los colores y ahora somos gobierno, un gobierno de resultados”.</w:t>
      </w:r>
    </w:p>
    <w:p>
      <w:pPr>
        <w:pStyle w:val="BodyText"/>
        <w:spacing w:before="2"/>
        <w:rPr>
          <w:sz w:val="30"/>
        </w:rPr>
      </w:pPr>
    </w:p>
    <w:p>
      <w:pPr>
        <w:pStyle w:val="BodyText"/>
        <w:spacing w:line="285" w:lineRule="auto"/>
        <w:ind w:left="110" w:right="107"/>
        <w:jc w:val="both"/>
      </w:pPr>
      <w:r>
        <w:rPr>
          <w:color w:val="231F20"/>
          <w:w w:val="105"/>
        </w:rPr>
        <w:t>Podemos concluir que en la demarcación existen desacuerdos entre organizaciones y autoridades,</w:t>
      </w:r>
      <w:r>
        <w:rPr>
          <w:color w:val="231F20"/>
          <w:spacing w:val="-12"/>
          <w:w w:val="105"/>
        </w:rPr>
        <w:t> </w:t>
      </w:r>
      <w:r>
        <w:rPr>
          <w:color w:val="231F20"/>
          <w:w w:val="105"/>
        </w:rPr>
        <w:t>sin</w:t>
      </w:r>
      <w:r>
        <w:rPr>
          <w:color w:val="231F20"/>
          <w:spacing w:val="-12"/>
          <w:w w:val="105"/>
        </w:rPr>
        <w:t> </w:t>
      </w:r>
      <w:r>
        <w:rPr>
          <w:color w:val="231F20"/>
          <w:w w:val="105"/>
        </w:rPr>
        <w:t>embargo</w:t>
      </w:r>
      <w:r>
        <w:rPr>
          <w:color w:val="231F20"/>
          <w:spacing w:val="-12"/>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privilegiado</w:t>
      </w:r>
      <w:r>
        <w:rPr>
          <w:color w:val="231F20"/>
          <w:spacing w:val="-12"/>
          <w:w w:val="105"/>
        </w:rPr>
        <w:t> </w:t>
      </w:r>
      <w:r>
        <w:rPr>
          <w:color w:val="231F20"/>
          <w:w w:val="105"/>
        </w:rPr>
        <w:t>un</w:t>
      </w:r>
      <w:r>
        <w:rPr>
          <w:color w:val="231F20"/>
          <w:spacing w:val="-12"/>
          <w:w w:val="105"/>
        </w:rPr>
        <w:t> </w:t>
      </w:r>
      <w:r>
        <w:rPr>
          <w:color w:val="231F20"/>
          <w:w w:val="105"/>
        </w:rPr>
        <w:t>acercamiento</w:t>
      </w:r>
      <w:r>
        <w:rPr>
          <w:color w:val="231F20"/>
          <w:spacing w:val="-12"/>
          <w:w w:val="105"/>
        </w:rPr>
        <w:t> </w:t>
      </w:r>
      <w:r>
        <w:rPr>
          <w:color w:val="231F20"/>
          <w:w w:val="105"/>
        </w:rPr>
        <w:t>de</w:t>
      </w:r>
      <w:r>
        <w:rPr>
          <w:color w:val="231F20"/>
          <w:spacing w:val="-12"/>
          <w:w w:val="105"/>
        </w:rPr>
        <w:t> </w:t>
      </w:r>
      <w:r>
        <w:rPr>
          <w:color w:val="231F20"/>
          <w:w w:val="105"/>
        </w:rPr>
        <w:t>interés</w:t>
      </w:r>
      <w:r>
        <w:rPr>
          <w:color w:val="231F20"/>
          <w:spacing w:val="-12"/>
          <w:w w:val="105"/>
        </w:rPr>
        <w:t> </w:t>
      </w:r>
      <w:r>
        <w:rPr>
          <w:color w:val="231F20"/>
          <w:w w:val="105"/>
        </w:rPr>
        <w:t>mutuo.</w:t>
      </w:r>
      <w:r>
        <w:rPr>
          <w:color w:val="231F20"/>
          <w:spacing w:val="-12"/>
          <w:w w:val="105"/>
        </w:rPr>
        <w:t> </w:t>
      </w:r>
      <w:r>
        <w:rPr>
          <w:color w:val="231F20"/>
          <w:spacing w:val="-3"/>
          <w:w w:val="105"/>
        </w:rPr>
        <w:t>Por</w:t>
      </w:r>
      <w:r>
        <w:rPr>
          <w:color w:val="231F20"/>
          <w:spacing w:val="-12"/>
          <w:w w:val="105"/>
        </w:rPr>
        <w:t> </w:t>
      </w:r>
      <w:r>
        <w:rPr>
          <w:color w:val="231F20"/>
          <w:w w:val="105"/>
        </w:rPr>
        <w:t>tan- to</w:t>
      </w:r>
      <w:r>
        <w:rPr>
          <w:color w:val="231F20"/>
          <w:spacing w:val="-8"/>
          <w:w w:val="105"/>
        </w:rPr>
        <w:t> </w:t>
      </w:r>
      <w:r>
        <w:rPr>
          <w:color w:val="231F20"/>
          <w:w w:val="105"/>
        </w:rPr>
        <w:t>los</w:t>
      </w:r>
      <w:r>
        <w:rPr>
          <w:color w:val="231F20"/>
          <w:spacing w:val="-8"/>
          <w:w w:val="105"/>
        </w:rPr>
        <w:t> </w:t>
      </w:r>
      <w:r>
        <w:rPr>
          <w:color w:val="231F20"/>
          <w:w w:val="105"/>
        </w:rPr>
        <w:t>puntos</w:t>
      </w:r>
      <w:r>
        <w:rPr>
          <w:color w:val="231F20"/>
          <w:spacing w:val="-8"/>
          <w:w w:val="105"/>
        </w:rPr>
        <w:t> </w:t>
      </w:r>
      <w:r>
        <w:rPr>
          <w:color w:val="231F20"/>
          <w:w w:val="105"/>
        </w:rPr>
        <w:t>que</w:t>
      </w:r>
      <w:r>
        <w:rPr>
          <w:color w:val="231F20"/>
          <w:spacing w:val="-8"/>
          <w:w w:val="105"/>
        </w:rPr>
        <w:t> </w:t>
      </w:r>
      <w:r>
        <w:rPr>
          <w:color w:val="231F20"/>
          <w:w w:val="105"/>
        </w:rPr>
        <w:t>anotamos</w:t>
      </w:r>
      <w:r>
        <w:rPr>
          <w:color w:val="231F20"/>
          <w:spacing w:val="-8"/>
          <w:w w:val="105"/>
        </w:rPr>
        <w:t> </w:t>
      </w:r>
      <w:r>
        <w:rPr>
          <w:color w:val="231F20"/>
          <w:w w:val="105"/>
        </w:rPr>
        <w:t>señalan</w:t>
      </w:r>
      <w:r>
        <w:rPr>
          <w:color w:val="231F20"/>
          <w:spacing w:val="-8"/>
          <w:w w:val="105"/>
        </w:rPr>
        <w:t> </w:t>
      </w:r>
      <w:r>
        <w:rPr>
          <w:color w:val="231F20"/>
          <w:w w:val="105"/>
        </w:rPr>
        <w:t>hacia</w:t>
      </w:r>
      <w:r>
        <w:rPr>
          <w:color w:val="231F20"/>
          <w:spacing w:val="-8"/>
          <w:w w:val="105"/>
        </w:rPr>
        <w:t> </w:t>
      </w:r>
      <w:r>
        <w:rPr>
          <w:color w:val="231F20"/>
          <w:w w:val="105"/>
        </w:rPr>
        <w:t>una</w:t>
      </w:r>
      <w:r>
        <w:rPr>
          <w:color w:val="231F20"/>
          <w:spacing w:val="-8"/>
          <w:w w:val="105"/>
        </w:rPr>
        <w:t> </w:t>
      </w:r>
      <w:r>
        <w:rPr>
          <w:color w:val="231F20"/>
          <w:w w:val="105"/>
        </w:rPr>
        <w:t>participación</w:t>
      </w:r>
      <w:r>
        <w:rPr>
          <w:color w:val="231F20"/>
          <w:spacing w:val="-8"/>
          <w:w w:val="105"/>
        </w:rPr>
        <w:t> </w:t>
      </w:r>
      <w:r>
        <w:rPr>
          <w:color w:val="231F20"/>
          <w:w w:val="105"/>
        </w:rPr>
        <w:t>institucionalizada,</w:t>
      </w:r>
      <w:r>
        <w:rPr>
          <w:color w:val="231F20"/>
          <w:spacing w:val="-8"/>
          <w:w w:val="105"/>
        </w:rPr>
        <w:t> </w:t>
      </w:r>
      <w:r>
        <w:rPr>
          <w:color w:val="231F20"/>
          <w:w w:val="105"/>
        </w:rPr>
        <w:t>es</w:t>
      </w:r>
      <w:r>
        <w:rPr>
          <w:color w:val="231F20"/>
          <w:spacing w:val="-8"/>
          <w:w w:val="105"/>
        </w:rPr>
        <w:t> </w:t>
      </w:r>
      <w:r>
        <w:rPr>
          <w:color w:val="231F20"/>
          <w:w w:val="105"/>
        </w:rPr>
        <w:t>decir partidaria</w:t>
      </w:r>
      <w:r>
        <w:rPr>
          <w:color w:val="231F20"/>
          <w:spacing w:val="-16"/>
          <w:w w:val="105"/>
        </w:rPr>
        <w:t> </w:t>
      </w:r>
      <w:r>
        <w:rPr>
          <w:color w:val="231F20"/>
          <w:w w:val="105"/>
        </w:rPr>
        <w:t>y</w:t>
      </w:r>
      <w:r>
        <w:rPr>
          <w:color w:val="231F20"/>
          <w:spacing w:val="-16"/>
          <w:w w:val="105"/>
        </w:rPr>
        <w:t> </w:t>
      </w:r>
      <w:r>
        <w:rPr>
          <w:color w:val="231F20"/>
          <w:w w:val="105"/>
        </w:rPr>
        <w:t>gremial,</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siguientes</w:t>
      </w:r>
      <w:r>
        <w:rPr>
          <w:color w:val="231F20"/>
          <w:spacing w:val="-16"/>
          <w:w w:val="105"/>
        </w:rPr>
        <w:t> </w:t>
      </w:r>
      <w:r>
        <w:rPr>
          <w:color w:val="231F20"/>
          <w:w w:val="105"/>
        </w:rPr>
        <w:t>tipos:</w:t>
      </w:r>
    </w:p>
    <w:p>
      <w:pPr>
        <w:pStyle w:val="BodyText"/>
        <w:spacing w:before="1"/>
        <w:ind w:left="677"/>
        <w:jc w:val="both"/>
      </w:pPr>
      <w:r>
        <w:rPr>
          <w:color w:val="231F20"/>
        </w:rPr>
        <w:t>Solidaridad colectiva.</w:t>
      </w:r>
    </w:p>
    <w:p>
      <w:pPr>
        <w:pStyle w:val="BodyText"/>
        <w:spacing w:line="285" w:lineRule="auto" w:before="47"/>
        <w:ind w:left="677" w:right="3205"/>
      </w:pPr>
      <w:r>
        <w:rPr>
          <w:color w:val="231F20"/>
          <w:w w:val="105"/>
        </w:rPr>
        <w:t>Iniciativa que surge de la comunidad. Sustentada en organizaciones comunitarias.</w:t>
      </w:r>
    </w:p>
    <w:p>
      <w:pPr>
        <w:pStyle w:val="BodyText"/>
        <w:spacing w:line="285" w:lineRule="auto" w:before="1"/>
        <w:ind w:left="677" w:right="1235"/>
      </w:pPr>
      <w:r>
        <w:rPr>
          <w:color w:val="231F20"/>
          <w:w w:val="105"/>
        </w:rPr>
        <w:t>Intereses colectivos, políticos y económicos de corto y largo plazo. Colaboración en trabajo e implementación de políticas de </w:t>
      </w:r>
      <w:r>
        <w:rPr>
          <w:color w:val="231F20"/>
          <w:spacing w:val="-3"/>
          <w:w w:val="105"/>
        </w:rPr>
        <w:t>gobierno.</w:t>
      </w:r>
    </w:p>
    <w:p>
      <w:pPr>
        <w:pStyle w:val="BodyText"/>
        <w:spacing w:before="1"/>
        <w:rPr>
          <w:sz w:val="26"/>
        </w:rPr>
      </w:pPr>
    </w:p>
    <w:p>
      <w:pPr>
        <w:pStyle w:val="BodyText"/>
        <w:spacing w:line="285" w:lineRule="auto"/>
        <w:ind w:left="677" w:right="1712" w:hanging="567"/>
      </w:pPr>
      <w:r>
        <w:rPr>
          <w:color w:val="231F20"/>
          <w:w w:val="105"/>
        </w:rPr>
        <w:t>Donde</w:t>
      </w:r>
      <w:r>
        <w:rPr>
          <w:color w:val="231F20"/>
          <w:spacing w:val="-15"/>
          <w:w w:val="105"/>
        </w:rPr>
        <w:t> </w:t>
      </w:r>
      <w:r>
        <w:rPr>
          <w:color w:val="231F20"/>
          <w:w w:val="105"/>
        </w:rPr>
        <w:t>las</w:t>
      </w:r>
      <w:r>
        <w:rPr>
          <w:color w:val="231F20"/>
          <w:spacing w:val="-15"/>
          <w:w w:val="105"/>
        </w:rPr>
        <w:t> </w:t>
      </w:r>
      <w:r>
        <w:rPr>
          <w:color w:val="231F20"/>
          <w:w w:val="105"/>
        </w:rPr>
        <w:t>organizaciones</w:t>
      </w:r>
      <w:r>
        <w:rPr>
          <w:color w:val="231F20"/>
          <w:spacing w:val="-15"/>
          <w:w w:val="105"/>
        </w:rPr>
        <w:t> </w:t>
      </w:r>
      <w:r>
        <w:rPr>
          <w:color w:val="231F20"/>
          <w:w w:val="105"/>
        </w:rPr>
        <w:t>colaboran</w:t>
      </w:r>
      <w:r>
        <w:rPr>
          <w:color w:val="231F20"/>
          <w:spacing w:val="-15"/>
          <w:w w:val="105"/>
        </w:rPr>
        <w:t> </w:t>
      </w:r>
      <w:r>
        <w:rPr>
          <w:color w:val="231F20"/>
          <w:w w:val="105"/>
        </w:rPr>
        <w:t>con</w:t>
      </w:r>
      <w:r>
        <w:rPr>
          <w:color w:val="231F20"/>
          <w:spacing w:val="-15"/>
          <w:w w:val="105"/>
        </w:rPr>
        <w:t> </w:t>
      </w:r>
      <w:r>
        <w:rPr>
          <w:color w:val="231F20"/>
          <w:w w:val="105"/>
        </w:rPr>
        <w:t>las</w:t>
      </w:r>
      <w:r>
        <w:rPr>
          <w:color w:val="231F20"/>
          <w:spacing w:val="-15"/>
          <w:w w:val="105"/>
        </w:rPr>
        <w:t> </w:t>
      </w:r>
      <w:r>
        <w:rPr>
          <w:color w:val="231F20"/>
          <w:w w:val="105"/>
        </w:rPr>
        <w:t>autoridades</w:t>
      </w:r>
      <w:r>
        <w:rPr>
          <w:color w:val="231F20"/>
          <w:spacing w:val="-15"/>
          <w:w w:val="105"/>
        </w:rPr>
        <w:t> </w:t>
      </w:r>
      <w:r>
        <w:rPr>
          <w:color w:val="231F20"/>
          <w:w w:val="105"/>
        </w:rPr>
        <w:t>con</w:t>
      </w:r>
      <w:r>
        <w:rPr>
          <w:color w:val="231F20"/>
          <w:spacing w:val="-15"/>
          <w:w w:val="105"/>
        </w:rPr>
        <w:t> </w:t>
      </w:r>
      <w:r>
        <w:rPr>
          <w:color w:val="231F20"/>
          <w:w w:val="105"/>
        </w:rPr>
        <w:t>base</w:t>
      </w:r>
      <w:r>
        <w:rPr>
          <w:color w:val="231F20"/>
          <w:spacing w:val="-15"/>
          <w:w w:val="105"/>
        </w:rPr>
        <w:t> </w:t>
      </w:r>
      <w:r>
        <w:rPr>
          <w:color w:val="231F20"/>
          <w:w w:val="105"/>
        </w:rPr>
        <w:t>en: Inducción</w:t>
      </w:r>
      <w:r>
        <w:rPr>
          <w:color w:val="231F20"/>
          <w:spacing w:val="-18"/>
          <w:w w:val="105"/>
        </w:rPr>
        <w:t> </w:t>
      </w:r>
      <w:r>
        <w:rPr>
          <w:color w:val="231F20"/>
          <w:w w:val="105"/>
        </w:rPr>
        <w:t>de</w:t>
      </w:r>
      <w:r>
        <w:rPr>
          <w:color w:val="231F20"/>
          <w:spacing w:val="-18"/>
          <w:w w:val="105"/>
        </w:rPr>
        <w:t> </w:t>
      </w:r>
      <w:r>
        <w:rPr>
          <w:color w:val="231F20"/>
          <w:w w:val="105"/>
        </w:rPr>
        <w:t>actividades</w:t>
      </w:r>
      <w:r>
        <w:rPr>
          <w:color w:val="231F20"/>
          <w:spacing w:val="-18"/>
          <w:w w:val="105"/>
        </w:rPr>
        <w:t> </w:t>
      </w:r>
      <w:r>
        <w:rPr>
          <w:color w:val="231F20"/>
          <w:w w:val="105"/>
        </w:rPr>
        <w:t>por</w:t>
      </w:r>
      <w:r>
        <w:rPr>
          <w:color w:val="231F20"/>
          <w:spacing w:val="-18"/>
          <w:w w:val="105"/>
        </w:rPr>
        <w:t> </w:t>
      </w:r>
      <w:r>
        <w:rPr>
          <w:color w:val="231F20"/>
          <w:w w:val="105"/>
        </w:rPr>
        <w:t>autoridades.</w:t>
      </w:r>
    </w:p>
    <w:p>
      <w:pPr>
        <w:pStyle w:val="BodyText"/>
        <w:spacing w:line="285" w:lineRule="auto" w:before="1"/>
        <w:ind w:left="677" w:right="108"/>
        <w:jc w:val="both"/>
      </w:pPr>
      <w:r>
        <w:rPr>
          <w:color w:val="231F20"/>
          <w:w w:val="105"/>
        </w:rPr>
        <w:t>Participación democrática insertada en estructuras municipales (COPLADEM, Consejo de Participación Ciudadana (COPACI).</w:t>
      </w:r>
    </w:p>
    <w:p>
      <w:pPr>
        <w:pStyle w:val="BodyText"/>
        <w:spacing w:before="1"/>
        <w:rPr>
          <w:sz w:val="26"/>
        </w:rPr>
      </w:pPr>
    </w:p>
    <w:p>
      <w:pPr>
        <w:pStyle w:val="BodyText"/>
        <w:ind w:left="110"/>
        <w:jc w:val="both"/>
      </w:pPr>
      <w:r>
        <w:rPr>
          <w:color w:val="231F20"/>
        </w:rPr>
        <w:t>El  presidente  municipal comentó:</w:t>
      </w:r>
    </w:p>
    <w:p>
      <w:pPr>
        <w:pStyle w:val="BodyText"/>
        <w:spacing w:line="285" w:lineRule="auto" w:before="47"/>
        <w:ind w:left="677" w:right="107"/>
        <w:jc w:val="both"/>
      </w:pPr>
      <w:r>
        <w:rPr>
          <w:color w:val="231F20"/>
          <w:spacing w:val="-10"/>
          <w:w w:val="105"/>
        </w:rPr>
        <w:t>“…</w:t>
      </w:r>
      <w:r>
        <w:rPr>
          <w:color w:val="231F20"/>
          <w:spacing w:val="-12"/>
          <w:w w:val="105"/>
        </w:rPr>
        <w:t> </w:t>
      </w:r>
      <w:r>
        <w:rPr>
          <w:color w:val="231F20"/>
          <w:w w:val="105"/>
        </w:rPr>
        <w:t>si</w:t>
      </w:r>
      <w:r>
        <w:rPr>
          <w:color w:val="231F20"/>
          <w:spacing w:val="-12"/>
          <w:w w:val="105"/>
        </w:rPr>
        <w:t> </w:t>
      </w:r>
      <w:r>
        <w:rPr>
          <w:color w:val="231F20"/>
          <w:w w:val="105"/>
        </w:rPr>
        <w:t>le</w:t>
      </w:r>
      <w:r>
        <w:rPr>
          <w:color w:val="231F20"/>
          <w:spacing w:val="-12"/>
          <w:w w:val="105"/>
        </w:rPr>
        <w:t> </w:t>
      </w:r>
      <w:r>
        <w:rPr>
          <w:color w:val="231F20"/>
          <w:w w:val="105"/>
        </w:rPr>
        <w:t>hablo</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somos</w:t>
      </w:r>
      <w:r>
        <w:rPr>
          <w:color w:val="231F20"/>
          <w:spacing w:val="-12"/>
          <w:w w:val="105"/>
        </w:rPr>
        <w:t> </w:t>
      </w:r>
      <w:r>
        <w:rPr>
          <w:color w:val="231F20"/>
          <w:w w:val="105"/>
        </w:rPr>
        <w:t>un</w:t>
      </w:r>
      <w:r>
        <w:rPr>
          <w:color w:val="231F20"/>
          <w:spacing w:val="-12"/>
          <w:w w:val="105"/>
        </w:rPr>
        <w:t> </w:t>
      </w:r>
      <w:r>
        <w:rPr>
          <w:color w:val="231F20"/>
          <w:w w:val="105"/>
        </w:rPr>
        <w:t>gobierno</w:t>
      </w:r>
      <w:r>
        <w:rPr>
          <w:color w:val="231F20"/>
          <w:spacing w:val="-12"/>
          <w:w w:val="105"/>
        </w:rPr>
        <w:t> </w:t>
      </w:r>
      <w:r>
        <w:rPr>
          <w:color w:val="231F20"/>
          <w:w w:val="105"/>
        </w:rPr>
        <w:t>incluyente</w:t>
      </w:r>
      <w:r>
        <w:rPr>
          <w:color w:val="231F20"/>
          <w:spacing w:val="-12"/>
          <w:w w:val="105"/>
        </w:rPr>
        <w:t> </w:t>
      </w:r>
      <w:r>
        <w:rPr>
          <w:color w:val="231F20"/>
          <w:w w:val="105"/>
        </w:rPr>
        <w:t>no</w:t>
      </w:r>
      <w:r>
        <w:rPr>
          <w:color w:val="231F20"/>
          <w:spacing w:val="-12"/>
          <w:w w:val="105"/>
        </w:rPr>
        <w:t> </w:t>
      </w:r>
      <w:r>
        <w:rPr>
          <w:color w:val="231F20"/>
          <w:w w:val="105"/>
        </w:rPr>
        <w:t>podemos</w:t>
      </w:r>
      <w:r>
        <w:rPr>
          <w:color w:val="231F20"/>
          <w:spacing w:val="-12"/>
          <w:w w:val="105"/>
        </w:rPr>
        <w:t> </w:t>
      </w:r>
      <w:r>
        <w:rPr>
          <w:color w:val="231F20"/>
          <w:w w:val="105"/>
        </w:rPr>
        <w:t>allegarnos</w:t>
      </w:r>
      <w:r>
        <w:rPr>
          <w:color w:val="231F20"/>
          <w:spacing w:val="-12"/>
          <w:w w:val="105"/>
        </w:rPr>
        <w:t> </w:t>
      </w:r>
      <w:r>
        <w:rPr>
          <w:color w:val="231F20"/>
          <w:w w:val="105"/>
        </w:rPr>
        <w:t>de</w:t>
      </w:r>
      <w:r>
        <w:rPr>
          <w:color w:val="231F20"/>
          <w:spacing w:val="-12"/>
          <w:w w:val="105"/>
        </w:rPr>
        <w:t> </w:t>
      </w:r>
      <w:r>
        <w:rPr>
          <w:color w:val="231F20"/>
          <w:w w:val="105"/>
        </w:rPr>
        <w:t>la estructura del partido camuflado, no funcionaría, usted no puede nombrar líder  a</w:t>
      </w:r>
      <w:r>
        <w:rPr>
          <w:color w:val="231F20"/>
          <w:spacing w:val="-20"/>
          <w:w w:val="105"/>
        </w:rPr>
        <w:t> </w:t>
      </w:r>
      <w:r>
        <w:rPr>
          <w:color w:val="231F20"/>
          <w:w w:val="105"/>
        </w:rPr>
        <w:t>su</w:t>
      </w:r>
      <w:r>
        <w:rPr>
          <w:color w:val="231F20"/>
          <w:spacing w:val="-20"/>
          <w:w w:val="105"/>
        </w:rPr>
        <w:t> </w:t>
      </w:r>
      <w:r>
        <w:rPr>
          <w:color w:val="231F20"/>
          <w:w w:val="105"/>
        </w:rPr>
        <w:t>compadre...</w:t>
      </w:r>
      <w:r>
        <w:rPr>
          <w:color w:val="231F20"/>
          <w:spacing w:val="-20"/>
          <w:w w:val="105"/>
        </w:rPr>
        <w:t> </w:t>
      </w:r>
      <w:r>
        <w:rPr>
          <w:color w:val="231F20"/>
          <w:spacing w:val="-9"/>
          <w:w w:val="105"/>
        </w:rPr>
        <w:t>Yo</w:t>
      </w:r>
      <w:r>
        <w:rPr>
          <w:color w:val="231F20"/>
          <w:spacing w:val="-20"/>
          <w:w w:val="105"/>
        </w:rPr>
        <w:t> </w:t>
      </w:r>
      <w:r>
        <w:rPr>
          <w:color w:val="231F20"/>
          <w:w w:val="105"/>
        </w:rPr>
        <w:t>he</w:t>
      </w:r>
      <w:r>
        <w:rPr>
          <w:color w:val="231F20"/>
          <w:spacing w:val="-20"/>
          <w:w w:val="105"/>
        </w:rPr>
        <w:t> </w:t>
      </w:r>
      <w:r>
        <w:rPr>
          <w:color w:val="231F20"/>
          <w:w w:val="105"/>
        </w:rPr>
        <w:t>sido</w:t>
      </w:r>
      <w:r>
        <w:rPr>
          <w:color w:val="231F20"/>
          <w:spacing w:val="-20"/>
          <w:w w:val="105"/>
        </w:rPr>
        <w:t> </w:t>
      </w:r>
      <w:r>
        <w:rPr>
          <w:color w:val="231F20"/>
          <w:w w:val="105"/>
        </w:rPr>
        <w:t>abierto.</w:t>
      </w:r>
      <w:r>
        <w:rPr>
          <w:color w:val="231F20"/>
          <w:spacing w:val="-20"/>
          <w:w w:val="105"/>
        </w:rPr>
        <w:t> </w:t>
      </w:r>
      <w:r>
        <w:rPr>
          <w:color w:val="231F20"/>
          <w:w w:val="105"/>
        </w:rPr>
        <w:t>Llegando</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administración</w:t>
      </w:r>
      <w:r>
        <w:rPr>
          <w:color w:val="231F20"/>
          <w:spacing w:val="-20"/>
          <w:w w:val="105"/>
        </w:rPr>
        <w:t> </w:t>
      </w:r>
      <w:r>
        <w:rPr>
          <w:color w:val="231F20"/>
          <w:w w:val="105"/>
        </w:rPr>
        <w:t>la</w:t>
      </w:r>
      <w:r>
        <w:rPr>
          <w:color w:val="231F20"/>
          <w:spacing w:val="-20"/>
          <w:w w:val="105"/>
        </w:rPr>
        <w:t> </w:t>
      </w:r>
      <w:r>
        <w:rPr>
          <w:color w:val="231F20"/>
          <w:w w:val="105"/>
        </w:rPr>
        <w:t>ley</w:t>
      </w:r>
      <w:r>
        <w:rPr>
          <w:color w:val="231F20"/>
          <w:spacing w:val="-20"/>
          <w:w w:val="105"/>
        </w:rPr>
        <w:t> </w:t>
      </w:r>
      <w:r>
        <w:rPr>
          <w:color w:val="231F20"/>
          <w:w w:val="105"/>
        </w:rPr>
        <w:t>marca</w:t>
      </w:r>
      <w:r>
        <w:rPr>
          <w:color w:val="231F20"/>
          <w:spacing w:val="-20"/>
          <w:w w:val="105"/>
        </w:rPr>
        <w:t> </w:t>
      </w:r>
      <w:r>
        <w:rPr>
          <w:color w:val="231F20"/>
          <w:w w:val="105"/>
        </w:rPr>
        <w:t>que se</w:t>
      </w:r>
      <w:r>
        <w:rPr>
          <w:color w:val="231F20"/>
          <w:spacing w:val="-6"/>
          <w:w w:val="105"/>
        </w:rPr>
        <w:t> </w:t>
      </w:r>
      <w:r>
        <w:rPr>
          <w:color w:val="231F20"/>
          <w:w w:val="105"/>
        </w:rPr>
        <w:t>tienen</w:t>
      </w:r>
      <w:r>
        <w:rPr>
          <w:color w:val="231F20"/>
          <w:spacing w:val="-6"/>
          <w:w w:val="105"/>
        </w:rPr>
        <w:t> </w:t>
      </w:r>
      <w:r>
        <w:rPr>
          <w:color w:val="231F20"/>
          <w:w w:val="105"/>
        </w:rPr>
        <w:t>que</w:t>
      </w:r>
      <w:r>
        <w:rPr>
          <w:color w:val="231F20"/>
          <w:spacing w:val="-6"/>
          <w:w w:val="105"/>
        </w:rPr>
        <w:t> </w:t>
      </w:r>
      <w:r>
        <w:rPr>
          <w:color w:val="231F20"/>
          <w:w w:val="105"/>
        </w:rPr>
        <w:t>nombrar</w:t>
      </w:r>
      <w:r>
        <w:rPr>
          <w:color w:val="231F20"/>
          <w:spacing w:val="-6"/>
          <w:w w:val="105"/>
        </w:rPr>
        <w:t> </w:t>
      </w:r>
      <w:r>
        <w:rPr>
          <w:color w:val="231F20"/>
          <w:w w:val="105"/>
        </w:rPr>
        <w:t>a</w:t>
      </w:r>
      <w:r>
        <w:rPr>
          <w:color w:val="231F20"/>
          <w:spacing w:val="-6"/>
          <w:w w:val="105"/>
        </w:rPr>
        <w:t> </w:t>
      </w:r>
      <w:r>
        <w:rPr>
          <w:color w:val="231F20"/>
          <w:w w:val="105"/>
        </w:rPr>
        <w:t>autoridades</w:t>
      </w:r>
      <w:r>
        <w:rPr>
          <w:color w:val="231F20"/>
          <w:spacing w:val="-6"/>
          <w:w w:val="105"/>
        </w:rPr>
        <w:t> </w:t>
      </w:r>
      <w:r>
        <w:rPr>
          <w:color w:val="231F20"/>
          <w:w w:val="105"/>
        </w:rPr>
        <w:t>auxiliares,</w:t>
      </w:r>
      <w:r>
        <w:rPr>
          <w:color w:val="231F20"/>
          <w:spacing w:val="-6"/>
          <w:w w:val="105"/>
        </w:rPr>
        <w:t> </w:t>
      </w:r>
      <w:r>
        <w:rPr>
          <w:color w:val="231F20"/>
          <w:w w:val="105"/>
        </w:rPr>
        <w:t>los</w:t>
      </w:r>
      <w:r>
        <w:rPr>
          <w:color w:val="231F20"/>
          <w:spacing w:val="-6"/>
          <w:w w:val="105"/>
        </w:rPr>
        <w:t> </w:t>
      </w:r>
      <w:r>
        <w:rPr>
          <w:color w:val="231F20"/>
          <w:spacing w:val="-5"/>
          <w:w w:val="105"/>
        </w:rPr>
        <w:t>COPACIS</w:t>
      </w:r>
      <w:r>
        <w:rPr>
          <w:color w:val="231F20"/>
          <w:spacing w:val="-6"/>
          <w:w w:val="105"/>
        </w:rPr>
        <w:t> </w:t>
      </w:r>
      <w:r>
        <w:rPr>
          <w:color w:val="231F20"/>
          <w:w w:val="105"/>
        </w:rPr>
        <w:t>y</w:t>
      </w:r>
      <w:r>
        <w:rPr>
          <w:color w:val="231F20"/>
          <w:spacing w:val="-6"/>
          <w:w w:val="105"/>
        </w:rPr>
        <w:t> </w:t>
      </w:r>
      <w:r>
        <w:rPr>
          <w:color w:val="231F20"/>
          <w:w w:val="105"/>
        </w:rPr>
        <w:t>las</w:t>
      </w:r>
      <w:r>
        <w:rPr>
          <w:color w:val="231F20"/>
          <w:spacing w:val="-6"/>
          <w:w w:val="105"/>
        </w:rPr>
        <w:t> </w:t>
      </w:r>
      <w:r>
        <w:rPr>
          <w:color w:val="231F20"/>
          <w:w w:val="105"/>
        </w:rPr>
        <w:t>delegaciones </w:t>
      </w:r>
      <w:r>
        <w:rPr>
          <w:color w:val="231F20"/>
          <w:spacing w:val="-3"/>
          <w:w w:val="105"/>
        </w:rPr>
        <w:t>donde</w:t>
      </w:r>
      <w:r>
        <w:rPr>
          <w:color w:val="231F20"/>
          <w:spacing w:val="-13"/>
          <w:w w:val="105"/>
        </w:rPr>
        <w:t> </w:t>
      </w:r>
      <w:r>
        <w:rPr>
          <w:color w:val="231F20"/>
          <w:w w:val="105"/>
        </w:rPr>
        <w:t>se</w:t>
      </w:r>
      <w:r>
        <w:rPr>
          <w:color w:val="231F20"/>
          <w:spacing w:val="-13"/>
          <w:w w:val="105"/>
        </w:rPr>
        <w:t> </w:t>
      </w:r>
      <w:r>
        <w:rPr>
          <w:color w:val="231F20"/>
          <w:w w:val="105"/>
        </w:rPr>
        <w:t>publicó</w:t>
      </w:r>
      <w:r>
        <w:rPr>
          <w:color w:val="231F20"/>
          <w:spacing w:val="-13"/>
          <w:w w:val="105"/>
        </w:rPr>
        <w:t> </w:t>
      </w:r>
      <w:r>
        <w:rPr>
          <w:color w:val="231F20"/>
          <w:w w:val="105"/>
        </w:rPr>
        <w:t>una</w:t>
      </w:r>
      <w:r>
        <w:rPr>
          <w:color w:val="231F20"/>
          <w:spacing w:val="-13"/>
          <w:w w:val="105"/>
        </w:rPr>
        <w:t> </w:t>
      </w:r>
      <w:r>
        <w:rPr>
          <w:color w:val="231F20"/>
          <w:w w:val="105"/>
        </w:rPr>
        <w:t>convocatoria</w:t>
      </w:r>
      <w:r>
        <w:rPr>
          <w:color w:val="231F20"/>
          <w:spacing w:val="-13"/>
          <w:w w:val="105"/>
        </w:rPr>
        <w:t> </w:t>
      </w:r>
      <w:r>
        <w:rPr>
          <w:color w:val="231F20"/>
          <w:w w:val="105"/>
        </w:rPr>
        <w:t>y</w:t>
      </w:r>
      <w:r>
        <w:rPr>
          <w:color w:val="231F20"/>
          <w:spacing w:val="-13"/>
          <w:w w:val="105"/>
        </w:rPr>
        <w:t> </w:t>
      </w:r>
      <w:r>
        <w:rPr>
          <w:color w:val="231F20"/>
          <w:w w:val="105"/>
        </w:rPr>
        <w:t>se</w:t>
      </w:r>
      <w:r>
        <w:rPr>
          <w:color w:val="231F20"/>
          <w:spacing w:val="-13"/>
          <w:w w:val="105"/>
        </w:rPr>
        <w:t> </w:t>
      </w:r>
      <w:r>
        <w:rPr>
          <w:color w:val="231F20"/>
          <w:w w:val="105"/>
        </w:rPr>
        <w:t>anotaron</w:t>
      </w:r>
      <w:r>
        <w:rPr>
          <w:color w:val="231F20"/>
          <w:spacing w:val="-13"/>
          <w:w w:val="105"/>
        </w:rPr>
        <w:t> </w:t>
      </w:r>
      <w:r>
        <w:rPr>
          <w:color w:val="231F20"/>
          <w:w w:val="105"/>
        </w:rPr>
        <w:t>quienes</w:t>
      </w:r>
      <w:r>
        <w:rPr>
          <w:color w:val="231F20"/>
          <w:spacing w:val="-13"/>
          <w:w w:val="105"/>
        </w:rPr>
        <w:t> </w:t>
      </w:r>
      <w:r>
        <w:rPr>
          <w:color w:val="231F20"/>
          <w:w w:val="105"/>
        </w:rPr>
        <w:t>quisieron</w:t>
      </w:r>
      <w:r>
        <w:rPr>
          <w:color w:val="231F20"/>
          <w:spacing w:val="-13"/>
          <w:w w:val="105"/>
        </w:rPr>
        <w:t> </w:t>
      </w:r>
      <w:r>
        <w:rPr>
          <w:color w:val="231F20"/>
          <w:w w:val="105"/>
        </w:rPr>
        <w:t>hacerlo</w:t>
      </w:r>
      <w:r>
        <w:rPr>
          <w:color w:val="231F20"/>
          <w:spacing w:val="-13"/>
          <w:w w:val="105"/>
        </w:rPr>
        <w:t> </w:t>
      </w:r>
      <w:r>
        <w:rPr>
          <w:color w:val="231F20"/>
          <w:w w:val="105"/>
        </w:rPr>
        <w:t>en</w:t>
      </w:r>
      <w:r>
        <w:rPr>
          <w:color w:val="231F20"/>
          <w:spacing w:val="-13"/>
          <w:w w:val="105"/>
        </w:rPr>
        <w:t> </w:t>
      </w:r>
      <w:r>
        <w:rPr>
          <w:color w:val="231F20"/>
          <w:w w:val="105"/>
        </w:rPr>
        <w:t>to- dos</w:t>
      </w:r>
      <w:r>
        <w:rPr>
          <w:color w:val="231F20"/>
          <w:spacing w:val="-10"/>
          <w:w w:val="105"/>
        </w:rPr>
        <w:t> </w:t>
      </w:r>
      <w:r>
        <w:rPr>
          <w:color w:val="231F20"/>
          <w:w w:val="105"/>
        </w:rPr>
        <w:t>los</w:t>
      </w:r>
      <w:r>
        <w:rPr>
          <w:color w:val="231F20"/>
          <w:spacing w:val="-10"/>
          <w:w w:val="105"/>
        </w:rPr>
        <w:t> </w:t>
      </w:r>
      <w:r>
        <w:rPr>
          <w:color w:val="231F20"/>
          <w:w w:val="105"/>
        </w:rPr>
        <w:t>pueblos</w:t>
      </w:r>
      <w:r>
        <w:rPr>
          <w:color w:val="231F20"/>
          <w:spacing w:val="-10"/>
          <w:w w:val="105"/>
        </w:rPr>
        <w:t> </w:t>
      </w:r>
      <w:r>
        <w:rPr>
          <w:color w:val="231F20"/>
          <w:w w:val="105"/>
        </w:rPr>
        <w:t>que</w:t>
      </w:r>
      <w:r>
        <w:rPr>
          <w:color w:val="231F20"/>
          <w:spacing w:val="-10"/>
          <w:w w:val="105"/>
        </w:rPr>
        <w:t> </w:t>
      </w:r>
      <w:r>
        <w:rPr>
          <w:color w:val="231F20"/>
          <w:w w:val="105"/>
        </w:rPr>
        <w:t>conforman</w:t>
      </w:r>
      <w:r>
        <w:rPr>
          <w:color w:val="231F20"/>
          <w:spacing w:val="-10"/>
          <w:w w:val="105"/>
        </w:rPr>
        <w:t> </w:t>
      </w:r>
      <w:r>
        <w:rPr>
          <w:color w:val="231F20"/>
          <w:w w:val="105"/>
        </w:rPr>
        <w:t>el</w:t>
      </w:r>
      <w:r>
        <w:rPr>
          <w:color w:val="231F20"/>
          <w:spacing w:val="-10"/>
          <w:w w:val="105"/>
        </w:rPr>
        <w:t> </w:t>
      </w:r>
      <w:r>
        <w:rPr>
          <w:color w:val="231F20"/>
          <w:w w:val="105"/>
        </w:rPr>
        <w:t>territorio</w:t>
      </w:r>
      <w:r>
        <w:rPr>
          <w:color w:val="231F20"/>
          <w:spacing w:val="-10"/>
          <w:w w:val="105"/>
        </w:rPr>
        <w:t> </w:t>
      </w:r>
      <w:r>
        <w:rPr>
          <w:color w:val="231F20"/>
          <w:w w:val="105"/>
        </w:rPr>
        <w:t>municipal,</w:t>
      </w:r>
      <w:r>
        <w:rPr>
          <w:color w:val="231F20"/>
          <w:spacing w:val="-10"/>
          <w:w w:val="105"/>
        </w:rPr>
        <w:t> </w:t>
      </w:r>
      <w:r>
        <w:rPr>
          <w:color w:val="231F20"/>
          <w:w w:val="105"/>
        </w:rPr>
        <w:t>tenemos</w:t>
      </w:r>
      <w:r>
        <w:rPr>
          <w:color w:val="231F20"/>
          <w:spacing w:val="-10"/>
          <w:w w:val="105"/>
        </w:rPr>
        <w:t> </w:t>
      </w:r>
      <w:r>
        <w:rPr>
          <w:color w:val="231F20"/>
          <w:spacing w:val="-3"/>
          <w:w w:val="105"/>
        </w:rPr>
        <w:t>19</w:t>
      </w:r>
      <w:r>
        <w:rPr>
          <w:color w:val="231F20"/>
          <w:spacing w:val="-10"/>
          <w:w w:val="105"/>
        </w:rPr>
        <w:t> </w:t>
      </w:r>
      <w:r>
        <w:rPr>
          <w:color w:val="231F20"/>
          <w:w w:val="105"/>
        </w:rPr>
        <w:t>delegaciones, había</w:t>
      </w:r>
      <w:r>
        <w:rPr>
          <w:color w:val="231F20"/>
          <w:spacing w:val="-16"/>
          <w:w w:val="105"/>
        </w:rPr>
        <w:t> </w:t>
      </w:r>
      <w:r>
        <w:rPr>
          <w:color w:val="231F20"/>
          <w:spacing w:val="-6"/>
          <w:w w:val="105"/>
        </w:rPr>
        <w:t>16</w:t>
      </w:r>
      <w:r>
        <w:rPr>
          <w:color w:val="231F20"/>
          <w:spacing w:val="-16"/>
          <w:w w:val="105"/>
        </w:rPr>
        <w:t> </w:t>
      </w:r>
      <w:r>
        <w:rPr>
          <w:color w:val="231F20"/>
          <w:w w:val="105"/>
        </w:rPr>
        <w:t>cuando</w:t>
      </w:r>
      <w:r>
        <w:rPr>
          <w:color w:val="231F20"/>
          <w:spacing w:val="-16"/>
          <w:w w:val="105"/>
        </w:rPr>
        <w:t> </w:t>
      </w:r>
      <w:r>
        <w:rPr>
          <w:color w:val="231F20"/>
          <w:w w:val="105"/>
        </w:rPr>
        <w:t>nosotros</w:t>
      </w:r>
      <w:r>
        <w:rPr>
          <w:color w:val="231F20"/>
          <w:spacing w:val="-16"/>
          <w:w w:val="105"/>
        </w:rPr>
        <w:t> </w:t>
      </w:r>
      <w:r>
        <w:rPr>
          <w:color w:val="231F20"/>
          <w:w w:val="105"/>
        </w:rPr>
        <w:t>llegamos</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administración…</w:t>
      </w:r>
    </w:p>
    <w:p>
      <w:pPr>
        <w:pStyle w:val="BodyText"/>
        <w:spacing w:line="285" w:lineRule="auto" w:before="1"/>
        <w:ind w:left="677" w:right="108"/>
        <w:jc w:val="both"/>
      </w:pPr>
      <w:r>
        <w:rPr>
          <w:color w:val="231F20"/>
          <w:w w:val="105"/>
        </w:rPr>
        <w:t>“Si</w:t>
      </w:r>
      <w:r>
        <w:rPr>
          <w:color w:val="231F20"/>
          <w:spacing w:val="-4"/>
          <w:w w:val="105"/>
        </w:rPr>
        <w:t> </w:t>
      </w:r>
      <w:r>
        <w:rPr>
          <w:color w:val="231F20"/>
          <w:w w:val="105"/>
        </w:rPr>
        <w:t>la</w:t>
      </w:r>
      <w:r>
        <w:rPr>
          <w:color w:val="231F20"/>
          <w:spacing w:val="-4"/>
          <w:w w:val="105"/>
        </w:rPr>
        <w:t> </w:t>
      </w:r>
      <w:r>
        <w:rPr>
          <w:color w:val="231F20"/>
          <w:w w:val="105"/>
        </w:rPr>
        <w:t>pregunta</w:t>
      </w:r>
      <w:r>
        <w:rPr>
          <w:color w:val="231F20"/>
          <w:spacing w:val="-4"/>
          <w:w w:val="105"/>
        </w:rPr>
        <w:t> </w:t>
      </w:r>
      <w:r>
        <w:rPr>
          <w:color w:val="231F20"/>
          <w:w w:val="105"/>
        </w:rPr>
        <w:t>es</w:t>
      </w:r>
      <w:r>
        <w:rPr>
          <w:color w:val="231F20"/>
          <w:spacing w:val="-4"/>
          <w:w w:val="105"/>
        </w:rPr>
        <w:t> </w:t>
      </w:r>
      <w:r>
        <w:rPr>
          <w:color w:val="231F20"/>
          <w:w w:val="105"/>
        </w:rPr>
        <w:t>si</w:t>
      </w:r>
      <w:r>
        <w:rPr>
          <w:color w:val="231F20"/>
          <w:spacing w:val="-4"/>
          <w:w w:val="105"/>
        </w:rPr>
        <w:t> </w:t>
      </w:r>
      <w:r>
        <w:rPr>
          <w:color w:val="231F20"/>
          <w:spacing w:val="2"/>
          <w:w w:val="105"/>
        </w:rPr>
        <w:t>mis</w:t>
      </w:r>
      <w:r>
        <w:rPr>
          <w:color w:val="231F20"/>
          <w:spacing w:val="-4"/>
          <w:w w:val="105"/>
        </w:rPr>
        <w:t> </w:t>
      </w:r>
      <w:r>
        <w:rPr>
          <w:color w:val="231F20"/>
          <w:w w:val="105"/>
        </w:rPr>
        <w:t>compañeros</w:t>
      </w:r>
      <w:r>
        <w:rPr>
          <w:color w:val="231F20"/>
          <w:spacing w:val="-4"/>
          <w:w w:val="105"/>
        </w:rPr>
        <w:t> </w:t>
      </w:r>
      <w:r>
        <w:rPr>
          <w:color w:val="231F20"/>
          <w:w w:val="105"/>
        </w:rPr>
        <w:t>de</w:t>
      </w:r>
      <w:r>
        <w:rPr>
          <w:color w:val="231F20"/>
          <w:spacing w:val="-4"/>
          <w:w w:val="105"/>
        </w:rPr>
        <w:t> </w:t>
      </w:r>
      <w:r>
        <w:rPr>
          <w:color w:val="231F20"/>
          <w:w w:val="105"/>
        </w:rPr>
        <w:t>partido</w:t>
      </w:r>
      <w:r>
        <w:rPr>
          <w:color w:val="231F20"/>
          <w:spacing w:val="-4"/>
          <w:w w:val="105"/>
        </w:rPr>
        <w:t> </w:t>
      </w:r>
      <w:r>
        <w:rPr>
          <w:color w:val="231F20"/>
          <w:w w:val="105"/>
        </w:rPr>
        <w:t>tuvieron</w:t>
      </w:r>
      <w:r>
        <w:rPr>
          <w:color w:val="231F20"/>
          <w:spacing w:val="-4"/>
          <w:w w:val="105"/>
        </w:rPr>
        <w:t> </w:t>
      </w:r>
      <w:r>
        <w:rPr>
          <w:color w:val="231F20"/>
          <w:w w:val="105"/>
        </w:rPr>
        <w:t>la</w:t>
      </w:r>
      <w:r>
        <w:rPr>
          <w:color w:val="231F20"/>
          <w:spacing w:val="-4"/>
          <w:w w:val="105"/>
        </w:rPr>
        <w:t> </w:t>
      </w:r>
      <w:r>
        <w:rPr>
          <w:color w:val="231F20"/>
          <w:w w:val="105"/>
        </w:rPr>
        <w:t>intención</w:t>
      </w:r>
      <w:r>
        <w:rPr>
          <w:color w:val="231F20"/>
          <w:spacing w:val="-4"/>
          <w:w w:val="105"/>
        </w:rPr>
        <w:t> </w:t>
      </w:r>
      <w:r>
        <w:rPr>
          <w:color w:val="231F20"/>
          <w:w w:val="105"/>
        </w:rPr>
        <w:t>de</w:t>
      </w:r>
      <w:r>
        <w:rPr>
          <w:color w:val="231F20"/>
          <w:spacing w:val="-4"/>
          <w:w w:val="105"/>
        </w:rPr>
        <w:t> </w:t>
      </w:r>
      <w:r>
        <w:rPr>
          <w:color w:val="231F20"/>
          <w:w w:val="105"/>
        </w:rPr>
        <w:t>partici- </w:t>
      </w:r>
      <w:r>
        <w:rPr>
          <w:color w:val="231F20"/>
          <w:spacing w:val="-3"/>
          <w:w w:val="105"/>
        </w:rPr>
        <w:t>par,</w:t>
      </w:r>
      <w:r>
        <w:rPr>
          <w:color w:val="231F20"/>
          <w:spacing w:val="-15"/>
          <w:w w:val="105"/>
        </w:rPr>
        <w:t> </w:t>
      </w:r>
      <w:r>
        <w:rPr>
          <w:color w:val="231F20"/>
          <w:w w:val="105"/>
        </w:rPr>
        <w:t>por</w:t>
      </w:r>
      <w:r>
        <w:rPr>
          <w:color w:val="231F20"/>
          <w:spacing w:val="-15"/>
          <w:w w:val="105"/>
        </w:rPr>
        <w:t> </w:t>
      </w:r>
      <w:r>
        <w:rPr>
          <w:color w:val="231F20"/>
          <w:w w:val="105"/>
        </w:rPr>
        <w:t>supuesto</w:t>
      </w:r>
      <w:r>
        <w:rPr>
          <w:color w:val="231F20"/>
          <w:spacing w:val="-15"/>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les</w:t>
      </w:r>
      <w:r>
        <w:rPr>
          <w:color w:val="231F20"/>
          <w:spacing w:val="-15"/>
          <w:w w:val="105"/>
        </w:rPr>
        <w:t> </w:t>
      </w:r>
      <w:r>
        <w:rPr>
          <w:color w:val="231F20"/>
          <w:w w:val="105"/>
        </w:rPr>
        <w:t>coartamos</w:t>
      </w:r>
      <w:r>
        <w:rPr>
          <w:color w:val="231F20"/>
          <w:spacing w:val="-15"/>
          <w:w w:val="105"/>
        </w:rPr>
        <w:t> </w:t>
      </w:r>
      <w:r>
        <w:rPr>
          <w:color w:val="231F20"/>
          <w:w w:val="105"/>
        </w:rPr>
        <w:t>la</w:t>
      </w:r>
      <w:r>
        <w:rPr>
          <w:color w:val="231F20"/>
          <w:spacing w:val="-15"/>
          <w:w w:val="105"/>
        </w:rPr>
        <w:t> </w:t>
      </w:r>
      <w:r>
        <w:rPr>
          <w:color w:val="231F20"/>
          <w:w w:val="105"/>
        </w:rPr>
        <w:t>participación…</w:t>
      </w:r>
      <w:r>
        <w:rPr>
          <w:color w:val="231F20"/>
          <w:spacing w:val="-15"/>
          <w:w w:val="105"/>
        </w:rPr>
        <w:t> </w:t>
      </w:r>
      <w:r>
        <w:rPr>
          <w:color w:val="231F20"/>
          <w:w w:val="105"/>
        </w:rPr>
        <w:t>tampoco</w:t>
      </w:r>
      <w:r>
        <w:rPr>
          <w:color w:val="231F20"/>
          <w:spacing w:val="-15"/>
          <w:w w:val="105"/>
        </w:rPr>
        <w:t> </w:t>
      </w:r>
      <w:r>
        <w:rPr>
          <w:color w:val="231F20"/>
          <w:w w:val="105"/>
        </w:rPr>
        <w:t>se</w:t>
      </w:r>
      <w:r>
        <w:rPr>
          <w:color w:val="231F20"/>
          <w:spacing w:val="-15"/>
          <w:w w:val="105"/>
        </w:rPr>
        <w:t> </w:t>
      </w:r>
      <w:r>
        <w:rPr>
          <w:color w:val="231F20"/>
          <w:w w:val="105"/>
        </w:rPr>
        <w:t>privilegió</w:t>
      </w:r>
      <w:r>
        <w:rPr>
          <w:color w:val="231F20"/>
          <w:spacing w:val="-15"/>
          <w:w w:val="105"/>
        </w:rPr>
        <w:t> </w:t>
      </w:r>
      <w:r>
        <w:rPr>
          <w:color w:val="231F20"/>
          <w:w w:val="105"/>
        </w:rPr>
        <w:t>a la estructura del partido para convertirse en estructura de gobierno en el sentido de</w:t>
      </w:r>
      <w:r>
        <w:rPr>
          <w:color w:val="231F20"/>
          <w:spacing w:val="-26"/>
          <w:w w:val="105"/>
        </w:rPr>
        <w:t> </w:t>
      </w:r>
      <w:r>
        <w:rPr>
          <w:color w:val="231F20"/>
          <w:w w:val="105"/>
        </w:rPr>
        <w:t>ser</w:t>
      </w:r>
      <w:r>
        <w:rPr>
          <w:color w:val="231F20"/>
          <w:spacing w:val="-26"/>
          <w:w w:val="105"/>
        </w:rPr>
        <w:t> </w:t>
      </w:r>
      <w:r>
        <w:rPr>
          <w:color w:val="231F20"/>
          <w:w w:val="105"/>
        </w:rPr>
        <w:t>autoridad</w:t>
      </w:r>
      <w:r>
        <w:rPr>
          <w:color w:val="231F20"/>
          <w:spacing w:val="-26"/>
          <w:w w:val="105"/>
        </w:rPr>
        <w:t> </w:t>
      </w:r>
      <w:r>
        <w:rPr>
          <w:color w:val="231F20"/>
          <w:w w:val="105"/>
        </w:rPr>
        <w:t>auxiliar…</w:t>
      </w:r>
    </w:p>
    <w:p>
      <w:pPr>
        <w:pStyle w:val="BodyText"/>
        <w:spacing w:line="285" w:lineRule="auto" w:before="1"/>
        <w:ind w:left="677" w:right="108"/>
        <w:jc w:val="both"/>
      </w:pPr>
      <w:r>
        <w:rPr>
          <w:color w:val="231F20"/>
          <w:spacing w:val="-4"/>
          <w:w w:val="105"/>
        </w:rPr>
        <w:t>“Tenemos</w:t>
      </w:r>
      <w:r>
        <w:rPr>
          <w:color w:val="231F20"/>
          <w:spacing w:val="-14"/>
          <w:w w:val="105"/>
        </w:rPr>
        <w:t> </w:t>
      </w:r>
      <w:r>
        <w:rPr>
          <w:color w:val="231F20"/>
          <w:w w:val="105"/>
        </w:rPr>
        <w:t>varias</w:t>
      </w:r>
      <w:r>
        <w:rPr>
          <w:color w:val="231F20"/>
          <w:spacing w:val="-14"/>
          <w:w w:val="105"/>
        </w:rPr>
        <w:t> </w:t>
      </w:r>
      <w:r>
        <w:rPr>
          <w:color w:val="231F20"/>
          <w:w w:val="105"/>
        </w:rPr>
        <w:t>autoridades</w:t>
      </w:r>
      <w:r>
        <w:rPr>
          <w:color w:val="231F20"/>
          <w:spacing w:val="-14"/>
          <w:w w:val="105"/>
        </w:rPr>
        <w:t> </w:t>
      </w:r>
      <w:r>
        <w:rPr>
          <w:color w:val="231F20"/>
          <w:w w:val="105"/>
        </w:rPr>
        <w:t>bien</w:t>
      </w:r>
      <w:r>
        <w:rPr>
          <w:color w:val="231F20"/>
          <w:spacing w:val="-14"/>
          <w:w w:val="105"/>
        </w:rPr>
        <w:t> </w:t>
      </w:r>
      <w:r>
        <w:rPr>
          <w:color w:val="231F20"/>
          <w:w w:val="105"/>
        </w:rPr>
        <w:t>conformadas</w:t>
      </w:r>
      <w:r>
        <w:rPr>
          <w:color w:val="231F20"/>
          <w:spacing w:val="-14"/>
          <w:w w:val="105"/>
        </w:rPr>
        <w:t> </w:t>
      </w:r>
      <w:r>
        <w:rPr>
          <w:color w:val="231F20"/>
          <w:w w:val="105"/>
        </w:rPr>
        <w:t>precisamente</w:t>
      </w:r>
      <w:r>
        <w:rPr>
          <w:color w:val="231F20"/>
          <w:spacing w:val="-14"/>
          <w:w w:val="105"/>
        </w:rPr>
        <w:t> </w:t>
      </w:r>
      <w:r>
        <w:rPr>
          <w:color w:val="231F20"/>
          <w:w w:val="105"/>
        </w:rPr>
        <w:t>porque</w:t>
      </w:r>
      <w:r>
        <w:rPr>
          <w:color w:val="231F20"/>
          <w:spacing w:val="-14"/>
          <w:w w:val="105"/>
        </w:rPr>
        <w:t> </w:t>
      </w:r>
      <w:r>
        <w:rPr>
          <w:color w:val="231F20"/>
          <w:w w:val="105"/>
        </w:rPr>
        <w:t>permitimos </w:t>
      </w:r>
      <w:r>
        <w:rPr>
          <w:color w:val="231F20"/>
          <w:spacing w:val="-6"/>
          <w:w w:val="105"/>
        </w:rPr>
        <w:t>(a</w:t>
      </w:r>
      <w:r>
        <w:rPr>
          <w:color w:val="231F20"/>
          <w:spacing w:val="-29"/>
          <w:w w:val="105"/>
        </w:rPr>
        <w:t> </w:t>
      </w:r>
      <w:r>
        <w:rPr>
          <w:color w:val="231F20"/>
          <w:w w:val="105"/>
        </w:rPr>
        <w:t>las</w:t>
      </w:r>
      <w:r>
        <w:rPr>
          <w:color w:val="231F20"/>
          <w:spacing w:val="-29"/>
          <w:w w:val="105"/>
        </w:rPr>
        <w:t> </w:t>
      </w:r>
      <w:r>
        <w:rPr>
          <w:color w:val="231F20"/>
          <w:w w:val="105"/>
        </w:rPr>
        <w:t>comunidades)</w:t>
      </w:r>
      <w:r>
        <w:rPr>
          <w:color w:val="231F20"/>
          <w:spacing w:val="-29"/>
          <w:w w:val="105"/>
        </w:rPr>
        <w:t> </w:t>
      </w:r>
      <w:r>
        <w:rPr>
          <w:color w:val="231F20"/>
          <w:spacing w:val="3"/>
          <w:w w:val="105"/>
        </w:rPr>
        <w:t>queconformaransus</w:t>
      </w:r>
      <w:r>
        <w:rPr>
          <w:color w:val="231F20"/>
          <w:spacing w:val="-29"/>
          <w:w w:val="105"/>
        </w:rPr>
        <w:t> </w:t>
      </w:r>
      <w:r>
        <w:rPr>
          <w:color w:val="231F20"/>
          <w:w w:val="105"/>
        </w:rPr>
        <w:t>planillas,</w:t>
      </w:r>
      <w:r>
        <w:rPr>
          <w:color w:val="231F20"/>
          <w:spacing w:val="-29"/>
          <w:w w:val="105"/>
        </w:rPr>
        <w:t> </w:t>
      </w:r>
      <w:r>
        <w:rPr>
          <w:color w:val="231F20"/>
          <w:spacing w:val="3"/>
          <w:w w:val="105"/>
        </w:rPr>
        <w:t>quedecidieranconquientraba-</w:t>
      </w:r>
    </w:p>
    <w:p>
      <w:pPr>
        <w:spacing w:after="0" w:line="285" w:lineRule="auto"/>
        <w:jc w:val="both"/>
        <w:sectPr>
          <w:pgSz w:w="9640" w:h="12190"/>
          <w:pgMar w:header="0" w:footer="743" w:top="1120" w:bottom="940" w:left="740" w:right="740"/>
        </w:sectPr>
      </w:pPr>
    </w:p>
    <w:p>
      <w:pPr>
        <w:pStyle w:val="BodyText"/>
        <w:rPr>
          <w:sz w:val="10"/>
        </w:rPr>
      </w:pPr>
    </w:p>
    <w:p>
      <w:pPr>
        <w:pStyle w:val="BodyText"/>
        <w:spacing w:before="50"/>
        <w:ind w:left="677" w:right="-2"/>
        <w:rPr>
          <w:sz w:val="13"/>
        </w:rPr>
      </w:pPr>
      <w:r>
        <w:rPr>
          <w:color w:val="231F20"/>
          <w:w w:val="105"/>
        </w:rPr>
        <w:t>jar y nos ha funcionado. Tenemos autoridades auxiliares muy comprometidas.”</w:t>
      </w:r>
      <w:r>
        <w:rPr>
          <w:color w:val="231F20"/>
          <w:w w:val="105"/>
          <w:position w:val="7"/>
          <w:sz w:val="13"/>
        </w:rPr>
        <w:t>10</w:t>
      </w:r>
    </w:p>
    <w:p>
      <w:pPr>
        <w:pStyle w:val="BodyText"/>
        <w:spacing w:before="2"/>
        <w:rPr>
          <w:sz w:val="30"/>
        </w:rPr>
      </w:pPr>
    </w:p>
    <w:p>
      <w:pPr>
        <w:pStyle w:val="BodyText"/>
        <w:spacing w:line="285" w:lineRule="auto"/>
        <w:ind w:left="110" w:right="107"/>
        <w:jc w:val="both"/>
      </w:pP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puede</w:t>
      </w:r>
      <w:r>
        <w:rPr>
          <w:color w:val="231F20"/>
          <w:spacing w:val="-11"/>
          <w:w w:val="105"/>
        </w:rPr>
        <w:t> </w:t>
      </w:r>
      <w:r>
        <w:rPr>
          <w:color w:val="231F20"/>
          <w:w w:val="105"/>
        </w:rPr>
        <w:t>añadir</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participación</w:t>
      </w:r>
      <w:r>
        <w:rPr>
          <w:color w:val="231F20"/>
          <w:spacing w:val="-11"/>
          <w:w w:val="105"/>
        </w:rPr>
        <w:t> </w:t>
      </w:r>
      <w:r>
        <w:rPr>
          <w:color w:val="231F20"/>
          <w:w w:val="105"/>
        </w:rPr>
        <w:t>ciudadana</w:t>
      </w:r>
      <w:r>
        <w:rPr>
          <w:color w:val="231F20"/>
          <w:spacing w:val="-11"/>
          <w:w w:val="105"/>
        </w:rPr>
        <w:t> </w:t>
      </w:r>
      <w:r>
        <w:rPr>
          <w:color w:val="231F20"/>
          <w:w w:val="105"/>
        </w:rPr>
        <w:t>tiene</w:t>
      </w:r>
      <w:r>
        <w:rPr>
          <w:color w:val="231F20"/>
          <w:spacing w:val="-11"/>
          <w:w w:val="105"/>
        </w:rPr>
        <w:t> </w:t>
      </w:r>
      <w:r>
        <w:rPr>
          <w:color w:val="231F20"/>
          <w:w w:val="105"/>
        </w:rPr>
        <w:t>dos</w:t>
      </w:r>
      <w:r>
        <w:rPr>
          <w:color w:val="231F20"/>
          <w:spacing w:val="-11"/>
          <w:w w:val="105"/>
        </w:rPr>
        <w:t> </w:t>
      </w:r>
      <w:r>
        <w:rPr>
          <w:color w:val="231F20"/>
          <w:w w:val="105"/>
        </w:rPr>
        <w:t>caras,</w:t>
      </w:r>
      <w:r>
        <w:rPr>
          <w:color w:val="231F20"/>
          <w:spacing w:val="-11"/>
          <w:w w:val="105"/>
        </w:rPr>
        <w:t> </w:t>
      </w:r>
      <w:r>
        <w:rPr>
          <w:color w:val="231F20"/>
          <w:w w:val="105"/>
        </w:rPr>
        <w:t>una</w:t>
      </w:r>
      <w:r>
        <w:rPr>
          <w:color w:val="231F20"/>
          <w:spacing w:val="-11"/>
          <w:w w:val="105"/>
        </w:rPr>
        <w:t> </w:t>
      </w:r>
      <w:r>
        <w:rPr>
          <w:color w:val="231F20"/>
          <w:w w:val="105"/>
        </w:rPr>
        <w:t>formal</w:t>
      </w:r>
      <w:r>
        <w:rPr>
          <w:color w:val="231F20"/>
          <w:spacing w:val="-11"/>
          <w:w w:val="105"/>
        </w:rPr>
        <w:t> </w:t>
      </w:r>
      <w:r>
        <w:rPr>
          <w:color w:val="231F20"/>
          <w:w w:val="105"/>
        </w:rPr>
        <w:t>y</w:t>
      </w:r>
      <w:r>
        <w:rPr>
          <w:color w:val="231F20"/>
          <w:spacing w:val="-11"/>
          <w:w w:val="105"/>
        </w:rPr>
        <w:t> </w:t>
      </w:r>
      <w:r>
        <w:rPr>
          <w:color w:val="231F20"/>
          <w:w w:val="105"/>
        </w:rPr>
        <w:t>otra material. En la primera se destaca el uso de los instrumentos normativos, </w:t>
      </w:r>
      <w:r>
        <w:rPr>
          <w:color w:val="231F20"/>
          <w:spacing w:val="2"/>
          <w:w w:val="105"/>
        </w:rPr>
        <w:t>tal </w:t>
      </w:r>
      <w:r>
        <w:rPr>
          <w:color w:val="231F20"/>
          <w:w w:val="105"/>
        </w:rPr>
        <w:t>como la Ley</w:t>
      </w:r>
      <w:r>
        <w:rPr>
          <w:color w:val="231F20"/>
          <w:spacing w:val="-16"/>
          <w:w w:val="105"/>
        </w:rPr>
        <w:t> </w:t>
      </w:r>
      <w:r>
        <w:rPr>
          <w:color w:val="231F20"/>
          <w:w w:val="105"/>
        </w:rPr>
        <w:t>Orgánica</w:t>
      </w:r>
      <w:r>
        <w:rPr>
          <w:color w:val="231F20"/>
          <w:spacing w:val="-16"/>
          <w:w w:val="105"/>
        </w:rPr>
        <w:t> </w:t>
      </w:r>
      <w:r>
        <w:rPr>
          <w:color w:val="231F20"/>
          <w:w w:val="105"/>
        </w:rPr>
        <w:t>Municipal</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sus</w:t>
      </w:r>
      <w:r>
        <w:rPr>
          <w:color w:val="231F20"/>
          <w:spacing w:val="-16"/>
          <w:w w:val="105"/>
        </w:rPr>
        <w:t> </w:t>
      </w:r>
      <w:r>
        <w:rPr>
          <w:color w:val="231F20"/>
          <w:w w:val="105"/>
        </w:rPr>
        <w:t>capítulos</w:t>
      </w:r>
      <w:r>
        <w:rPr>
          <w:color w:val="231F20"/>
          <w:spacing w:val="-16"/>
          <w:w w:val="105"/>
        </w:rPr>
        <w:t> </w:t>
      </w:r>
      <w:r>
        <w:rPr>
          <w:color w:val="231F20"/>
          <w:w w:val="105"/>
        </w:rPr>
        <w:t>que</w:t>
      </w:r>
      <w:r>
        <w:rPr>
          <w:color w:val="231F20"/>
          <w:spacing w:val="-16"/>
          <w:w w:val="105"/>
        </w:rPr>
        <w:t> </w:t>
      </w:r>
      <w:r>
        <w:rPr>
          <w:color w:val="231F20"/>
          <w:spacing w:val="2"/>
          <w:w w:val="105"/>
        </w:rPr>
        <w:t>van</w:t>
      </w:r>
      <w:r>
        <w:rPr>
          <w:color w:val="231F20"/>
          <w:spacing w:val="-16"/>
          <w:w w:val="105"/>
        </w:rPr>
        <w:t> </w:t>
      </w:r>
      <w:r>
        <w:rPr>
          <w:color w:val="231F20"/>
          <w:w w:val="105"/>
        </w:rPr>
        <w:t>del</w:t>
      </w:r>
      <w:r>
        <w:rPr>
          <w:color w:val="231F20"/>
          <w:spacing w:val="-16"/>
          <w:w w:val="105"/>
        </w:rPr>
        <w:t> </w:t>
      </w:r>
      <w:r>
        <w:rPr>
          <w:color w:val="231F20"/>
          <w:w w:val="105"/>
        </w:rPr>
        <w:t>tercero </w:t>
      </w:r>
      <w:r>
        <w:rPr>
          <w:color w:val="231F20"/>
          <w:spacing w:val="2"/>
          <w:w w:val="105"/>
        </w:rPr>
        <w:t>al</w:t>
      </w:r>
      <w:r>
        <w:rPr>
          <w:color w:val="231F20"/>
          <w:spacing w:val="-14"/>
          <w:w w:val="105"/>
        </w:rPr>
        <w:t> </w:t>
      </w:r>
      <w:r>
        <w:rPr>
          <w:color w:val="231F20"/>
          <w:w w:val="105"/>
        </w:rPr>
        <w:t>quinto</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séptimo,</w:t>
      </w:r>
      <w:r>
        <w:rPr>
          <w:color w:val="231F20"/>
          <w:spacing w:val="-14"/>
          <w:w w:val="105"/>
        </w:rPr>
        <w:t> </w:t>
      </w:r>
      <w:r>
        <w:rPr>
          <w:color w:val="231F20"/>
          <w:w w:val="105"/>
        </w:rPr>
        <w:t>delinea</w:t>
      </w:r>
      <w:r>
        <w:rPr>
          <w:color w:val="231F20"/>
          <w:spacing w:val="-14"/>
          <w:w w:val="105"/>
        </w:rPr>
        <w:t> </w:t>
      </w:r>
      <w:r>
        <w:rPr>
          <w:color w:val="231F20"/>
          <w:w w:val="105"/>
        </w:rPr>
        <w:t>la</w:t>
      </w:r>
      <w:r>
        <w:rPr>
          <w:color w:val="231F20"/>
          <w:spacing w:val="-14"/>
          <w:w w:val="105"/>
        </w:rPr>
        <w:t> </w:t>
      </w:r>
      <w:r>
        <w:rPr>
          <w:color w:val="231F20"/>
          <w:w w:val="105"/>
        </w:rPr>
        <w:t>participación</w:t>
      </w:r>
      <w:r>
        <w:rPr>
          <w:color w:val="231F20"/>
          <w:spacing w:val="-14"/>
          <w:w w:val="105"/>
        </w:rPr>
        <w:t> </w:t>
      </w:r>
      <w:r>
        <w:rPr>
          <w:color w:val="231F20"/>
          <w:w w:val="105"/>
        </w:rPr>
        <w:t>ciudadana.</w:t>
      </w:r>
    </w:p>
    <w:p>
      <w:pPr>
        <w:pStyle w:val="BodyText"/>
        <w:spacing w:before="1"/>
        <w:rPr>
          <w:sz w:val="26"/>
        </w:rPr>
      </w:pPr>
    </w:p>
    <w:p>
      <w:pPr>
        <w:pStyle w:val="BodyText"/>
        <w:spacing w:line="285" w:lineRule="auto"/>
        <w:ind w:left="110" w:right="108"/>
        <w:jc w:val="both"/>
      </w:pPr>
      <w:r>
        <w:rPr>
          <w:color w:val="231F20"/>
          <w:w w:val="105"/>
        </w:rPr>
        <w:t>Es menester aclarar que se ha construido una organización de participación, el asunto es</w:t>
      </w:r>
      <w:r>
        <w:rPr>
          <w:color w:val="231F20"/>
          <w:spacing w:val="-21"/>
          <w:w w:val="105"/>
        </w:rPr>
        <w:t> </w:t>
      </w:r>
      <w:r>
        <w:rPr>
          <w:color w:val="231F20"/>
          <w:w w:val="105"/>
        </w:rPr>
        <w:t>la</w:t>
      </w:r>
      <w:r>
        <w:rPr>
          <w:color w:val="231F20"/>
          <w:spacing w:val="-21"/>
          <w:w w:val="105"/>
        </w:rPr>
        <w:t> </w:t>
      </w:r>
      <w:r>
        <w:rPr>
          <w:color w:val="231F20"/>
          <w:w w:val="105"/>
        </w:rPr>
        <w:t>necesidad</w:t>
      </w:r>
      <w:r>
        <w:rPr>
          <w:color w:val="231F20"/>
          <w:spacing w:val="-21"/>
          <w:w w:val="105"/>
        </w:rPr>
        <w:t> </w:t>
      </w:r>
      <w:r>
        <w:rPr>
          <w:color w:val="231F20"/>
          <w:w w:val="105"/>
        </w:rPr>
        <w:t>de</w:t>
      </w:r>
      <w:r>
        <w:rPr>
          <w:color w:val="231F20"/>
          <w:spacing w:val="-21"/>
          <w:w w:val="105"/>
        </w:rPr>
        <w:t> </w:t>
      </w:r>
      <w:r>
        <w:rPr>
          <w:color w:val="231F20"/>
          <w:w w:val="105"/>
        </w:rPr>
        <w:t>incorporar</w:t>
      </w:r>
      <w:r>
        <w:rPr>
          <w:color w:val="231F20"/>
          <w:spacing w:val="-21"/>
          <w:w w:val="105"/>
        </w:rPr>
        <w:t> </w:t>
      </w:r>
      <w:r>
        <w:rPr>
          <w:color w:val="231F20"/>
          <w:w w:val="105"/>
        </w:rPr>
        <w:t>a</w:t>
      </w:r>
      <w:r>
        <w:rPr>
          <w:color w:val="231F20"/>
          <w:spacing w:val="-21"/>
          <w:w w:val="105"/>
        </w:rPr>
        <w:t> </w:t>
      </w:r>
      <w:r>
        <w:rPr>
          <w:color w:val="231F20"/>
          <w:w w:val="105"/>
        </w:rPr>
        <w:t>todos</w:t>
      </w:r>
      <w:r>
        <w:rPr>
          <w:color w:val="231F20"/>
          <w:spacing w:val="-21"/>
          <w:w w:val="105"/>
        </w:rPr>
        <w:t> </w:t>
      </w:r>
      <w:r>
        <w:rPr>
          <w:color w:val="231F20"/>
          <w:w w:val="105"/>
        </w:rPr>
        <w:t>los</w:t>
      </w:r>
      <w:r>
        <w:rPr>
          <w:color w:val="231F20"/>
          <w:spacing w:val="-21"/>
          <w:w w:val="105"/>
        </w:rPr>
        <w:t> </w:t>
      </w:r>
      <w:r>
        <w:rPr>
          <w:color w:val="231F20"/>
          <w:w w:val="105"/>
        </w:rPr>
        <w:t>grupos</w:t>
      </w:r>
      <w:r>
        <w:rPr>
          <w:color w:val="231F20"/>
          <w:spacing w:val="-21"/>
          <w:w w:val="105"/>
        </w:rPr>
        <w:t> </w:t>
      </w:r>
      <w:r>
        <w:rPr>
          <w:color w:val="231F20"/>
          <w:w w:val="105"/>
        </w:rPr>
        <w:t>gremiales</w:t>
      </w:r>
      <w:r>
        <w:rPr>
          <w:color w:val="231F20"/>
          <w:spacing w:val="-21"/>
          <w:w w:val="105"/>
        </w:rPr>
        <w:t> </w:t>
      </w:r>
      <w:r>
        <w:rPr>
          <w:color w:val="231F20"/>
          <w:w w:val="105"/>
        </w:rPr>
        <w:t>y</w:t>
      </w:r>
      <w:r>
        <w:rPr>
          <w:color w:val="231F20"/>
          <w:spacing w:val="-21"/>
          <w:w w:val="105"/>
        </w:rPr>
        <w:t> </w:t>
      </w:r>
      <w:r>
        <w:rPr>
          <w:color w:val="231F20"/>
          <w:w w:val="105"/>
        </w:rPr>
        <w:t>ciudadanos,</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finalidad de</w:t>
      </w:r>
      <w:r>
        <w:rPr>
          <w:color w:val="231F20"/>
          <w:spacing w:val="-7"/>
          <w:w w:val="105"/>
        </w:rPr>
        <w:t> </w:t>
      </w:r>
      <w:r>
        <w:rPr>
          <w:color w:val="231F20"/>
          <w:w w:val="105"/>
        </w:rPr>
        <w:t>mantener</w:t>
      </w:r>
      <w:r>
        <w:rPr>
          <w:color w:val="231F20"/>
          <w:spacing w:val="-7"/>
          <w:w w:val="105"/>
        </w:rPr>
        <w:t> </w:t>
      </w:r>
      <w:r>
        <w:rPr>
          <w:color w:val="231F20"/>
          <w:w w:val="105"/>
        </w:rPr>
        <w:t>la</w:t>
      </w:r>
      <w:r>
        <w:rPr>
          <w:color w:val="231F20"/>
          <w:spacing w:val="-7"/>
          <w:w w:val="105"/>
        </w:rPr>
        <w:t> </w:t>
      </w:r>
      <w:r>
        <w:rPr>
          <w:color w:val="231F20"/>
          <w:w w:val="105"/>
        </w:rPr>
        <w:t>estructura</w:t>
      </w:r>
      <w:r>
        <w:rPr>
          <w:color w:val="231F20"/>
          <w:spacing w:val="-7"/>
          <w:w w:val="105"/>
        </w:rPr>
        <w:t> </w:t>
      </w:r>
      <w:r>
        <w:rPr>
          <w:color w:val="231F20"/>
          <w:w w:val="105"/>
        </w:rPr>
        <w:t>política</w:t>
      </w:r>
      <w:r>
        <w:rPr>
          <w:color w:val="231F20"/>
          <w:spacing w:val="-7"/>
          <w:w w:val="105"/>
        </w:rPr>
        <w:t> </w:t>
      </w:r>
      <w:r>
        <w:rPr>
          <w:color w:val="231F20"/>
          <w:w w:val="105"/>
        </w:rPr>
        <w:t>presta</w:t>
      </w:r>
      <w:r>
        <w:rPr>
          <w:color w:val="231F20"/>
          <w:spacing w:val="-7"/>
          <w:w w:val="105"/>
        </w:rPr>
        <w:t> </w:t>
      </w:r>
      <w:r>
        <w:rPr>
          <w:color w:val="231F20"/>
          <w:w w:val="105"/>
        </w:rPr>
        <w:t>a</w:t>
      </w:r>
      <w:r>
        <w:rPr>
          <w:color w:val="231F20"/>
          <w:spacing w:val="-7"/>
          <w:w w:val="105"/>
        </w:rPr>
        <w:t> </w:t>
      </w:r>
      <w:r>
        <w:rPr>
          <w:color w:val="231F20"/>
          <w:spacing w:val="2"/>
          <w:w w:val="105"/>
        </w:rPr>
        <w:t>futuras</w:t>
      </w:r>
      <w:r>
        <w:rPr>
          <w:color w:val="231F20"/>
          <w:spacing w:val="-7"/>
          <w:w w:val="105"/>
        </w:rPr>
        <w:t> </w:t>
      </w:r>
      <w:r>
        <w:rPr>
          <w:color w:val="231F20"/>
          <w:w w:val="105"/>
        </w:rPr>
        <w:t>contiendas.</w:t>
      </w:r>
      <w:r>
        <w:rPr>
          <w:color w:val="231F20"/>
          <w:spacing w:val="-7"/>
          <w:w w:val="105"/>
        </w:rPr>
        <w:t> </w:t>
      </w:r>
      <w:r>
        <w:rPr>
          <w:color w:val="231F20"/>
          <w:w w:val="105"/>
        </w:rPr>
        <w:t>Para</w:t>
      </w:r>
      <w:r>
        <w:rPr>
          <w:color w:val="231F20"/>
          <w:spacing w:val="-7"/>
          <w:w w:val="105"/>
        </w:rPr>
        <w:t> </w:t>
      </w:r>
      <w:r>
        <w:rPr>
          <w:color w:val="231F20"/>
          <w:w w:val="105"/>
        </w:rPr>
        <w:t>reconocer</w:t>
      </w:r>
      <w:r>
        <w:rPr>
          <w:color w:val="231F20"/>
          <w:spacing w:val="-7"/>
          <w:w w:val="105"/>
        </w:rPr>
        <w:t> </w:t>
      </w:r>
      <w:r>
        <w:rPr>
          <w:color w:val="231F20"/>
          <w:w w:val="105"/>
        </w:rPr>
        <w:t>cada</w:t>
      </w:r>
      <w:r>
        <w:rPr>
          <w:color w:val="231F20"/>
          <w:spacing w:val="-7"/>
          <w:w w:val="105"/>
        </w:rPr>
        <w:t> </w:t>
      </w:r>
      <w:r>
        <w:rPr>
          <w:color w:val="231F20"/>
          <w:w w:val="105"/>
        </w:rPr>
        <w:t>una de</w:t>
      </w:r>
      <w:r>
        <w:rPr>
          <w:color w:val="231F20"/>
          <w:spacing w:val="-7"/>
          <w:w w:val="105"/>
        </w:rPr>
        <w:t> </w:t>
      </w:r>
      <w:r>
        <w:rPr>
          <w:color w:val="231F20"/>
          <w:w w:val="105"/>
        </w:rPr>
        <w:t>las</w:t>
      </w:r>
      <w:r>
        <w:rPr>
          <w:color w:val="231F20"/>
          <w:spacing w:val="-7"/>
          <w:w w:val="105"/>
        </w:rPr>
        <w:t> </w:t>
      </w:r>
      <w:r>
        <w:rPr>
          <w:color w:val="231F20"/>
          <w:w w:val="105"/>
        </w:rPr>
        <w:t>estructuras</w:t>
      </w:r>
      <w:r>
        <w:rPr>
          <w:color w:val="231F20"/>
          <w:spacing w:val="-7"/>
          <w:w w:val="105"/>
        </w:rPr>
        <w:t> </w:t>
      </w:r>
      <w:r>
        <w:rPr>
          <w:color w:val="231F20"/>
          <w:w w:val="105"/>
        </w:rPr>
        <w:t>se</w:t>
      </w:r>
      <w:r>
        <w:rPr>
          <w:color w:val="231F20"/>
          <w:spacing w:val="-7"/>
          <w:w w:val="105"/>
        </w:rPr>
        <w:t> </w:t>
      </w:r>
      <w:r>
        <w:rPr>
          <w:color w:val="231F20"/>
          <w:w w:val="105"/>
        </w:rPr>
        <w:t>ubican</w:t>
      </w:r>
      <w:r>
        <w:rPr>
          <w:color w:val="231F20"/>
          <w:spacing w:val="-7"/>
          <w:w w:val="105"/>
        </w:rPr>
        <w:t> </w:t>
      </w:r>
      <w:r>
        <w:rPr>
          <w:color w:val="231F20"/>
          <w:w w:val="105"/>
        </w:rPr>
        <w:t>visualmente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siguiente</w:t>
      </w:r>
      <w:r>
        <w:rPr>
          <w:color w:val="231F20"/>
          <w:spacing w:val="-7"/>
          <w:w w:val="105"/>
        </w:rPr>
        <w:t> </w:t>
      </w:r>
      <w:r>
        <w:rPr>
          <w:color w:val="231F20"/>
          <w:w w:val="105"/>
        </w:rPr>
        <w:t>manera.</w:t>
      </w:r>
    </w:p>
    <w:p>
      <w:pPr>
        <w:pStyle w:val="BodyText"/>
        <w:spacing w:before="1"/>
        <w:rPr>
          <w:sz w:val="26"/>
        </w:rPr>
      </w:pPr>
    </w:p>
    <w:p>
      <w:pPr>
        <w:pStyle w:val="BodyText"/>
        <w:ind w:left="110"/>
        <w:jc w:val="both"/>
      </w:pPr>
      <w:r>
        <w:rPr>
          <w:color w:val="231F20"/>
          <w:w w:val="105"/>
        </w:rPr>
        <w:t>Cuadro 13 Participación ciudadana vinculada con ley orgánica y ramo 33</w:t>
      </w:r>
    </w:p>
    <w:p>
      <w:pPr>
        <w:pStyle w:val="BodyText"/>
        <w:spacing w:before="10"/>
        <w:rPr>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126"/>
        <w:gridCol w:w="3801"/>
      </w:tblGrid>
      <w:tr>
        <w:trPr>
          <w:trHeight w:val="130" w:hRule="exact"/>
        </w:trPr>
        <w:tc>
          <w:tcPr>
            <w:tcW w:w="4126" w:type="dxa"/>
          </w:tcPr>
          <w:p>
            <w:pPr>
              <w:pStyle w:val="TableParagraph"/>
              <w:spacing w:line="160" w:lineRule="exact"/>
              <w:rPr>
                <w:sz w:val="16"/>
              </w:rPr>
            </w:pPr>
            <w:r>
              <w:rPr>
                <w:color w:val="231F20"/>
                <w:w w:val="80"/>
                <w:sz w:val="16"/>
              </w:rPr>
              <w:t>Derivados de la Ley Orgánica</w:t>
            </w:r>
          </w:p>
        </w:tc>
        <w:tc>
          <w:tcPr>
            <w:tcW w:w="3801" w:type="dxa"/>
          </w:tcPr>
          <w:p>
            <w:pPr>
              <w:pStyle w:val="TableParagraph"/>
              <w:spacing w:line="160" w:lineRule="exact"/>
              <w:rPr>
                <w:sz w:val="16"/>
              </w:rPr>
            </w:pPr>
            <w:r>
              <w:rPr>
                <w:color w:val="231F20"/>
                <w:w w:val="75"/>
                <w:sz w:val="16"/>
              </w:rPr>
              <w:t>Derivadas del Ramo 33</w:t>
            </w:r>
          </w:p>
        </w:tc>
      </w:tr>
      <w:tr>
        <w:trPr>
          <w:trHeight w:val="130" w:hRule="exact"/>
        </w:trPr>
        <w:tc>
          <w:tcPr>
            <w:tcW w:w="4126" w:type="dxa"/>
          </w:tcPr>
          <w:p>
            <w:pPr>
              <w:pStyle w:val="TableParagraph"/>
              <w:spacing w:line="160" w:lineRule="exact"/>
              <w:rPr>
                <w:sz w:val="16"/>
              </w:rPr>
            </w:pPr>
            <w:r>
              <w:rPr>
                <w:color w:val="231F20"/>
                <w:w w:val="80"/>
                <w:sz w:val="16"/>
              </w:rPr>
              <w:t>Jefes de sector, sección o manzana</w:t>
            </w:r>
          </w:p>
        </w:tc>
        <w:tc>
          <w:tcPr>
            <w:tcW w:w="3801" w:type="dxa"/>
          </w:tcPr>
          <w:p>
            <w:pPr>
              <w:pStyle w:val="TableParagraph"/>
              <w:spacing w:line="160" w:lineRule="exact"/>
              <w:rPr>
                <w:sz w:val="16"/>
              </w:rPr>
            </w:pPr>
            <w:r>
              <w:rPr>
                <w:color w:val="231F20"/>
                <w:w w:val="75"/>
                <w:sz w:val="16"/>
              </w:rPr>
              <w:t>Consejos de Participación  Ciudadana</w:t>
            </w:r>
          </w:p>
        </w:tc>
      </w:tr>
      <w:tr>
        <w:trPr>
          <w:trHeight w:val="130" w:hRule="exact"/>
        </w:trPr>
        <w:tc>
          <w:tcPr>
            <w:tcW w:w="4126" w:type="dxa"/>
          </w:tcPr>
          <w:p>
            <w:pPr>
              <w:pStyle w:val="TableParagraph"/>
              <w:spacing w:line="160" w:lineRule="exact"/>
              <w:rPr>
                <w:sz w:val="16"/>
              </w:rPr>
            </w:pPr>
            <w:r>
              <w:rPr>
                <w:color w:val="231F20"/>
                <w:w w:val="75"/>
                <w:sz w:val="16"/>
              </w:rPr>
              <w:t>Consejos de Participación  Ciudadana</w:t>
            </w:r>
          </w:p>
        </w:tc>
        <w:tc>
          <w:tcPr>
            <w:tcW w:w="3801" w:type="dxa"/>
          </w:tcPr>
          <w:p>
            <w:pPr>
              <w:pStyle w:val="TableParagraph"/>
              <w:spacing w:line="160" w:lineRule="exact"/>
              <w:rPr>
                <w:sz w:val="16"/>
              </w:rPr>
            </w:pPr>
            <w:r>
              <w:rPr>
                <w:color w:val="231F20"/>
                <w:w w:val="75"/>
                <w:sz w:val="16"/>
              </w:rPr>
              <w:t>Consejo de Desarrollo Municipal</w:t>
            </w:r>
          </w:p>
        </w:tc>
      </w:tr>
      <w:tr>
        <w:trPr>
          <w:trHeight w:val="130" w:hRule="exact"/>
        </w:trPr>
        <w:tc>
          <w:tcPr>
            <w:tcW w:w="4126" w:type="dxa"/>
          </w:tcPr>
          <w:p>
            <w:pPr>
              <w:pStyle w:val="TableParagraph"/>
              <w:spacing w:line="160" w:lineRule="exact"/>
              <w:rPr>
                <w:sz w:val="16"/>
              </w:rPr>
            </w:pPr>
            <w:r>
              <w:rPr>
                <w:color w:val="231F20"/>
                <w:w w:val="75"/>
                <w:sz w:val="16"/>
              </w:rPr>
              <w:t>Organizaciones  Sociales</w:t>
            </w:r>
          </w:p>
        </w:tc>
        <w:tc>
          <w:tcPr>
            <w:tcW w:w="3801" w:type="dxa"/>
          </w:tcPr>
          <w:p>
            <w:pPr>
              <w:pStyle w:val="TableParagraph"/>
              <w:spacing w:line="160" w:lineRule="exact"/>
              <w:rPr>
                <w:sz w:val="16"/>
              </w:rPr>
            </w:pPr>
            <w:r>
              <w:rPr>
                <w:color w:val="231F20"/>
                <w:w w:val="75"/>
                <w:sz w:val="16"/>
              </w:rPr>
              <w:t>Comité Comunitario</w:t>
            </w:r>
          </w:p>
        </w:tc>
      </w:tr>
      <w:tr>
        <w:trPr>
          <w:trHeight w:val="130" w:hRule="exact"/>
        </w:trPr>
        <w:tc>
          <w:tcPr>
            <w:tcW w:w="4126" w:type="dxa"/>
          </w:tcPr>
          <w:p>
            <w:pPr>
              <w:pStyle w:val="TableParagraph"/>
              <w:spacing w:line="160" w:lineRule="exact"/>
              <w:rPr>
                <w:sz w:val="16"/>
              </w:rPr>
            </w:pPr>
            <w:r>
              <w:rPr>
                <w:color w:val="231F20"/>
                <w:w w:val="75"/>
                <w:sz w:val="16"/>
              </w:rPr>
              <w:t>Consejo Municipal de Protección Civil</w:t>
            </w:r>
          </w:p>
        </w:tc>
        <w:tc>
          <w:tcPr>
            <w:tcW w:w="3801" w:type="dxa"/>
          </w:tcPr>
          <w:p>
            <w:pPr>
              <w:pStyle w:val="TableParagraph"/>
              <w:spacing w:line="160" w:lineRule="exact"/>
              <w:rPr>
                <w:sz w:val="16"/>
              </w:rPr>
            </w:pPr>
            <w:r>
              <w:rPr>
                <w:color w:val="231F20"/>
                <w:w w:val="75"/>
                <w:sz w:val="16"/>
              </w:rPr>
              <w:t>Comité Ciudadano de Control y  Vigilancia</w:t>
            </w:r>
          </w:p>
        </w:tc>
      </w:tr>
      <w:tr>
        <w:trPr>
          <w:trHeight w:val="130" w:hRule="exact"/>
        </w:trPr>
        <w:tc>
          <w:tcPr>
            <w:tcW w:w="4126" w:type="dxa"/>
          </w:tcPr>
          <w:p>
            <w:pPr>
              <w:pStyle w:val="TableParagraph"/>
              <w:spacing w:line="160" w:lineRule="exact"/>
              <w:rPr>
                <w:sz w:val="16"/>
              </w:rPr>
            </w:pPr>
            <w:r>
              <w:rPr>
                <w:color w:val="231F20"/>
                <w:w w:val="75"/>
                <w:sz w:val="16"/>
              </w:rPr>
              <w:t>Comisión de Planeación para el Desarrollo  Municipal</w:t>
            </w:r>
          </w:p>
        </w:tc>
        <w:tc>
          <w:tcPr>
            <w:tcW w:w="3801" w:type="dxa"/>
          </w:tcPr>
          <w:p>
            <w:pPr/>
          </w:p>
        </w:tc>
      </w:tr>
      <w:tr>
        <w:trPr>
          <w:trHeight w:val="130" w:hRule="exact"/>
        </w:trPr>
        <w:tc>
          <w:tcPr>
            <w:tcW w:w="4126" w:type="dxa"/>
          </w:tcPr>
          <w:p>
            <w:pPr>
              <w:pStyle w:val="TableParagraph"/>
              <w:spacing w:line="160" w:lineRule="exact"/>
              <w:rPr>
                <w:sz w:val="16"/>
              </w:rPr>
            </w:pPr>
            <w:r>
              <w:rPr>
                <w:color w:val="231F20"/>
                <w:w w:val="75"/>
                <w:sz w:val="16"/>
              </w:rPr>
              <w:t>Comité Ciudadano de Control y  Vigilancia</w:t>
            </w:r>
          </w:p>
        </w:tc>
        <w:tc>
          <w:tcPr>
            <w:tcW w:w="3801" w:type="dxa"/>
          </w:tcPr>
          <w:p>
            <w:pPr/>
          </w:p>
        </w:tc>
      </w:tr>
    </w:tbl>
    <w:p>
      <w:pPr>
        <w:pStyle w:val="BodyText"/>
        <w:spacing w:before="8"/>
        <w:rPr>
          <w:sz w:val="23"/>
        </w:rPr>
      </w:pPr>
    </w:p>
    <w:p>
      <w:pPr>
        <w:spacing w:before="74"/>
        <w:ind w:left="3533" w:right="-2" w:firstLine="0"/>
        <w:jc w:val="left"/>
        <w:rPr>
          <w:rFonts w:ascii="Calibri" w:hAnsi="Calibri"/>
          <w:sz w:val="16"/>
        </w:rPr>
      </w:pPr>
      <w:r>
        <w:rPr>
          <w:rFonts w:ascii="Calibri" w:hAnsi="Calibri"/>
          <w:color w:val="231F20"/>
          <w:sz w:val="16"/>
        </w:rPr>
        <w:t>Fuente: Ley Orgánica Municipal y Manual de Operación Ramo 33, 1999</w:t>
      </w:r>
    </w:p>
    <w:p>
      <w:pPr>
        <w:pStyle w:val="BodyText"/>
        <w:rPr>
          <w:rFonts w:ascii="Calibri"/>
          <w:sz w:val="16"/>
        </w:rPr>
      </w:pPr>
    </w:p>
    <w:p>
      <w:pPr>
        <w:pStyle w:val="BodyText"/>
        <w:spacing w:before="10"/>
        <w:rPr>
          <w:rFonts w:ascii="Calibri"/>
          <w:sz w:val="12"/>
        </w:rPr>
      </w:pPr>
    </w:p>
    <w:p>
      <w:pPr>
        <w:pStyle w:val="BodyText"/>
        <w:spacing w:line="285" w:lineRule="auto"/>
        <w:ind w:left="110" w:right="108"/>
        <w:jc w:val="both"/>
      </w:pPr>
      <w:r>
        <w:rPr>
          <w:color w:val="231F20"/>
          <w:spacing w:val="-4"/>
          <w:w w:val="105"/>
        </w:rPr>
        <w:t>Podemos </w:t>
      </w:r>
      <w:r>
        <w:rPr>
          <w:color w:val="231F20"/>
          <w:w w:val="105"/>
        </w:rPr>
        <w:t>decir </w:t>
      </w:r>
      <w:r>
        <w:rPr>
          <w:color w:val="231F20"/>
          <w:spacing w:val="-3"/>
          <w:w w:val="105"/>
        </w:rPr>
        <w:t>que </w:t>
      </w:r>
      <w:r>
        <w:rPr>
          <w:color w:val="231F20"/>
          <w:w w:val="105"/>
        </w:rPr>
        <w:t>existe un </w:t>
      </w:r>
      <w:r>
        <w:rPr>
          <w:color w:val="231F20"/>
          <w:spacing w:val="-4"/>
          <w:w w:val="105"/>
        </w:rPr>
        <w:t>nexo </w:t>
      </w:r>
      <w:r>
        <w:rPr>
          <w:color w:val="231F20"/>
          <w:w w:val="105"/>
        </w:rPr>
        <w:t>directo </w:t>
      </w:r>
      <w:r>
        <w:rPr>
          <w:color w:val="231F20"/>
          <w:spacing w:val="-3"/>
          <w:w w:val="105"/>
        </w:rPr>
        <w:t>entre </w:t>
      </w:r>
      <w:r>
        <w:rPr>
          <w:color w:val="231F20"/>
          <w:w w:val="105"/>
        </w:rPr>
        <w:t>partido </w:t>
      </w:r>
      <w:r>
        <w:rPr>
          <w:color w:val="231F20"/>
          <w:spacing w:val="-3"/>
          <w:w w:val="105"/>
        </w:rPr>
        <w:t>político </w:t>
      </w:r>
      <w:r>
        <w:rPr>
          <w:color w:val="231F20"/>
          <w:w w:val="105"/>
        </w:rPr>
        <w:t>e instancias institucio- nales</w:t>
      </w:r>
      <w:r>
        <w:rPr>
          <w:color w:val="231F20"/>
          <w:spacing w:val="-19"/>
          <w:w w:val="105"/>
        </w:rPr>
        <w:t> </w:t>
      </w:r>
      <w:r>
        <w:rPr>
          <w:color w:val="231F20"/>
          <w:w w:val="105"/>
        </w:rPr>
        <w:t>de</w:t>
      </w:r>
      <w:r>
        <w:rPr>
          <w:color w:val="231F20"/>
          <w:spacing w:val="-19"/>
          <w:w w:val="105"/>
        </w:rPr>
        <w:t> </w:t>
      </w:r>
      <w:r>
        <w:rPr>
          <w:color w:val="231F20"/>
          <w:spacing w:val="-3"/>
          <w:w w:val="105"/>
        </w:rPr>
        <w:t>participación,</w:t>
      </w:r>
      <w:r>
        <w:rPr>
          <w:color w:val="231F20"/>
          <w:spacing w:val="-19"/>
          <w:w w:val="105"/>
        </w:rPr>
        <w:t> </w:t>
      </w:r>
      <w:r>
        <w:rPr>
          <w:color w:val="231F20"/>
          <w:w w:val="105"/>
        </w:rPr>
        <w:t>esto</w:t>
      </w:r>
      <w:r>
        <w:rPr>
          <w:color w:val="231F20"/>
          <w:spacing w:val="-19"/>
          <w:w w:val="105"/>
        </w:rPr>
        <w:t> </w:t>
      </w:r>
      <w:r>
        <w:rPr>
          <w:color w:val="231F20"/>
          <w:w w:val="105"/>
        </w:rPr>
        <w:t>se</w:t>
      </w:r>
      <w:r>
        <w:rPr>
          <w:color w:val="231F20"/>
          <w:spacing w:val="-19"/>
          <w:w w:val="105"/>
        </w:rPr>
        <w:t> </w:t>
      </w:r>
      <w:r>
        <w:rPr>
          <w:color w:val="231F20"/>
          <w:spacing w:val="-4"/>
          <w:w w:val="105"/>
        </w:rPr>
        <w:t>repite</w:t>
      </w:r>
      <w:r>
        <w:rPr>
          <w:color w:val="231F20"/>
          <w:spacing w:val="-19"/>
          <w:w w:val="105"/>
        </w:rPr>
        <w:t> </w:t>
      </w:r>
      <w:r>
        <w:rPr>
          <w:color w:val="231F20"/>
          <w:w w:val="105"/>
        </w:rPr>
        <w:t>en</w:t>
      </w:r>
      <w:r>
        <w:rPr>
          <w:color w:val="231F20"/>
          <w:spacing w:val="-19"/>
          <w:w w:val="105"/>
        </w:rPr>
        <w:t> </w:t>
      </w:r>
      <w:r>
        <w:rPr>
          <w:color w:val="231F20"/>
          <w:spacing w:val="-3"/>
          <w:w w:val="105"/>
        </w:rPr>
        <w:t>todos</w:t>
      </w:r>
      <w:r>
        <w:rPr>
          <w:color w:val="231F20"/>
          <w:spacing w:val="-19"/>
          <w:w w:val="105"/>
        </w:rPr>
        <w:t> </w:t>
      </w:r>
      <w:r>
        <w:rPr>
          <w:color w:val="231F20"/>
          <w:spacing w:val="-3"/>
          <w:w w:val="105"/>
        </w:rPr>
        <w:t>los</w:t>
      </w:r>
      <w:r>
        <w:rPr>
          <w:color w:val="231F20"/>
          <w:spacing w:val="-19"/>
          <w:w w:val="105"/>
        </w:rPr>
        <w:t> </w:t>
      </w:r>
      <w:r>
        <w:rPr>
          <w:color w:val="231F20"/>
          <w:w w:val="105"/>
        </w:rPr>
        <w:t>casos,</w:t>
      </w:r>
      <w:r>
        <w:rPr>
          <w:color w:val="231F20"/>
          <w:spacing w:val="-19"/>
          <w:w w:val="105"/>
        </w:rPr>
        <w:t> </w:t>
      </w:r>
      <w:r>
        <w:rPr>
          <w:color w:val="231F20"/>
          <w:w w:val="105"/>
        </w:rPr>
        <w:t>en</w:t>
      </w:r>
      <w:r>
        <w:rPr>
          <w:color w:val="231F20"/>
          <w:spacing w:val="-19"/>
          <w:w w:val="105"/>
        </w:rPr>
        <w:t> </w:t>
      </w:r>
      <w:r>
        <w:rPr>
          <w:color w:val="231F20"/>
          <w:spacing w:val="-4"/>
          <w:w w:val="105"/>
        </w:rPr>
        <w:t>gobiernos</w:t>
      </w:r>
      <w:r>
        <w:rPr>
          <w:color w:val="231F20"/>
          <w:spacing w:val="-19"/>
          <w:w w:val="105"/>
        </w:rPr>
        <w:t> </w:t>
      </w:r>
      <w:r>
        <w:rPr>
          <w:color w:val="231F20"/>
          <w:w w:val="105"/>
        </w:rPr>
        <w:t>de</w:t>
      </w:r>
      <w:r>
        <w:rPr>
          <w:color w:val="231F20"/>
          <w:spacing w:val="-19"/>
          <w:w w:val="105"/>
        </w:rPr>
        <w:t> </w:t>
      </w:r>
      <w:r>
        <w:rPr>
          <w:color w:val="231F20"/>
          <w:spacing w:val="-3"/>
          <w:w w:val="105"/>
        </w:rPr>
        <w:t>todos</w:t>
      </w:r>
      <w:r>
        <w:rPr>
          <w:color w:val="231F20"/>
          <w:spacing w:val="-19"/>
          <w:w w:val="105"/>
        </w:rPr>
        <w:t> </w:t>
      </w:r>
      <w:r>
        <w:rPr>
          <w:color w:val="231F20"/>
          <w:spacing w:val="-3"/>
          <w:w w:val="105"/>
        </w:rPr>
        <w:t>los</w:t>
      </w:r>
      <w:r>
        <w:rPr>
          <w:color w:val="231F20"/>
          <w:spacing w:val="-19"/>
          <w:w w:val="105"/>
        </w:rPr>
        <w:t> </w:t>
      </w:r>
      <w:r>
        <w:rPr>
          <w:color w:val="231F20"/>
          <w:w w:val="105"/>
        </w:rPr>
        <w:t>partidos </w:t>
      </w:r>
      <w:r>
        <w:rPr>
          <w:color w:val="231F20"/>
          <w:spacing w:val="-3"/>
          <w:w w:val="105"/>
        </w:rPr>
        <w:t>políticos, que </w:t>
      </w:r>
      <w:r>
        <w:rPr>
          <w:color w:val="231F20"/>
          <w:w w:val="105"/>
        </w:rPr>
        <w:t>cuando arriban al </w:t>
      </w:r>
      <w:r>
        <w:rPr>
          <w:color w:val="231F20"/>
          <w:spacing w:val="-3"/>
          <w:w w:val="105"/>
        </w:rPr>
        <w:t>poder </w:t>
      </w:r>
      <w:r>
        <w:rPr>
          <w:color w:val="231F20"/>
          <w:w w:val="105"/>
        </w:rPr>
        <w:t>se encargan de </w:t>
      </w:r>
      <w:r>
        <w:rPr>
          <w:color w:val="231F20"/>
          <w:spacing w:val="-3"/>
          <w:w w:val="105"/>
        </w:rPr>
        <w:t>generar </w:t>
      </w:r>
      <w:r>
        <w:rPr>
          <w:color w:val="231F20"/>
          <w:w w:val="105"/>
        </w:rPr>
        <w:t>una maquinaria </w:t>
      </w:r>
      <w:r>
        <w:rPr>
          <w:color w:val="231F20"/>
          <w:spacing w:val="-3"/>
          <w:w w:val="105"/>
        </w:rPr>
        <w:t>que les </w:t>
      </w:r>
      <w:r>
        <w:rPr>
          <w:color w:val="231F20"/>
          <w:w w:val="105"/>
        </w:rPr>
        <w:t>sirva</w:t>
      </w:r>
      <w:r>
        <w:rPr>
          <w:color w:val="231F20"/>
          <w:spacing w:val="-12"/>
          <w:w w:val="105"/>
        </w:rPr>
        <w:t> </w:t>
      </w:r>
      <w:r>
        <w:rPr>
          <w:color w:val="231F20"/>
          <w:w w:val="105"/>
        </w:rPr>
        <w:t>de</w:t>
      </w:r>
      <w:r>
        <w:rPr>
          <w:color w:val="231F20"/>
          <w:spacing w:val="-12"/>
          <w:w w:val="105"/>
        </w:rPr>
        <w:t> </w:t>
      </w:r>
      <w:r>
        <w:rPr>
          <w:color w:val="231F20"/>
          <w:spacing w:val="-3"/>
          <w:w w:val="105"/>
        </w:rPr>
        <w:t>respaldo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3"/>
          <w:w w:val="105"/>
        </w:rPr>
        <w:t>toma</w:t>
      </w:r>
      <w:r>
        <w:rPr>
          <w:color w:val="231F20"/>
          <w:spacing w:val="-12"/>
          <w:w w:val="105"/>
        </w:rPr>
        <w:t> </w:t>
      </w:r>
      <w:r>
        <w:rPr>
          <w:color w:val="231F20"/>
          <w:w w:val="105"/>
        </w:rPr>
        <w:t>de</w:t>
      </w:r>
      <w:r>
        <w:rPr>
          <w:color w:val="231F20"/>
          <w:spacing w:val="-12"/>
          <w:w w:val="105"/>
        </w:rPr>
        <w:t> </w:t>
      </w:r>
      <w:r>
        <w:rPr>
          <w:color w:val="231F20"/>
          <w:spacing w:val="-3"/>
          <w:w w:val="105"/>
        </w:rPr>
        <w:t>decisiones.</w:t>
      </w:r>
      <w:r>
        <w:rPr>
          <w:color w:val="231F20"/>
          <w:spacing w:val="-12"/>
          <w:w w:val="105"/>
        </w:rPr>
        <w:t> </w:t>
      </w:r>
      <w:r>
        <w:rPr>
          <w:color w:val="231F20"/>
          <w:w w:val="105"/>
        </w:rPr>
        <w:t>Aún</w:t>
      </w:r>
      <w:r>
        <w:rPr>
          <w:color w:val="231F20"/>
          <w:spacing w:val="-12"/>
          <w:w w:val="105"/>
        </w:rPr>
        <w:t> </w:t>
      </w:r>
      <w:r>
        <w:rPr>
          <w:color w:val="231F20"/>
          <w:spacing w:val="-3"/>
          <w:w w:val="105"/>
        </w:rPr>
        <w:t>no</w:t>
      </w:r>
      <w:r>
        <w:rPr>
          <w:color w:val="231F20"/>
          <w:spacing w:val="-12"/>
          <w:w w:val="105"/>
        </w:rPr>
        <w:t> </w:t>
      </w:r>
      <w:r>
        <w:rPr>
          <w:color w:val="231F20"/>
          <w:spacing w:val="-3"/>
          <w:w w:val="105"/>
        </w:rPr>
        <w:t>hay</w:t>
      </w:r>
      <w:r>
        <w:rPr>
          <w:color w:val="231F20"/>
          <w:spacing w:val="-12"/>
          <w:w w:val="105"/>
        </w:rPr>
        <w:t> </w:t>
      </w:r>
      <w:r>
        <w:rPr>
          <w:color w:val="231F20"/>
          <w:w w:val="105"/>
        </w:rPr>
        <w:t>una</w:t>
      </w:r>
      <w:r>
        <w:rPr>
          <w:color w:val="231F20"/>
          <w:spacing w:val="-12"/>
          <w:w w:val="105"/>
        </w:rPr>
        <w:t> </w:t>
      </w:r>
      <w:r>
        <w:rPr>
          <w:color w:val="231F20"/>
          <w:spacing w:val="-3"/>
          <w:w w:val="105"/>
        </w:rPr>
        <w:t>norma</w:t>
      </w:r>
      <w:r>
        <w:rPr>
          <w:color w:val="231F20"/>
          <w:spacing w:val="-12"/>
          <w:w w:val="105"/>
        </w:rPr>
        <w:t> </w:t>
      </w:r>
      <w:r>
        <w:rPr>
          <w:color w:val="231F20"/>
          <w:spacing w:val="-3"/>
          <w:w w:val="105"/>
        </w:rPr>
        <w:t>que</w:t>
      </w:r>
      <w:r>
        <w:rPr>
          <w:color w:val="231F20"/>
          <w:spacing w:val="-12"/>
          <w:w w:val="105"/>
        </w:rPr>
        <w:t> </w:t>
      </w:r>
      <w:r>
        <w:rPr>
          <w:color w:val="231F20"/>
          <w:w w:val="105"/>
        </w:rPr>
        <w:t>limite</w:t>
      </w:r>
      <w:r>
        <w:rPr>
          <w:color w:val="231F20"/>
          <w:spacing w:val="-12"/>
          <w:w w:val="105"/>
        </w:rPr>
        <w:t> </w:t>
      </w:r>
      <w:r>
        <w:rPr>
          <w:color w:val="231F20"/>
          <w:w w:val="105"/>
        </w:rPr>
        <w:t>la</w:t>
      </w:r>
      <w:r>
        <w:rPr>
          <w:color w:val="231F20"/>
          <w:spacing w:val="-12"/>
          <w:w w:val="105"/>
        </w:rPr>
        <w:t> </w:t>
      </w:r>
      <w:r>
        <w:rPr>
          <w:color w:val="231F20"/>
          <w:spacing w:val="-3"/>
          <w:w w:val="105"/>
        </w:rPr>
        <w:t>interven- ción</w:t>
      </w:r>
      <w:r>
        <w:rPr>
          <w:color w:val="231F20"/>
          <w:spacing w:val="-10"/>
          <w:w w:val="105"/>
        </w:rPr>
        <w:t> </w:t>
      </w:r>
      <w:r>
        <w:rPr>
          <w:color w:val="231F20"/>
          <w:w w:val="105"/>
        </w:rPr>
        <w:t>de</w:t>
      </w:r>
      <w:r>
        <w:rPr>
          <w:color w:val="231F20"/>
          <w:spacing w:val="-10"/>
          <w:w w:val="105"/>
        </w:rPr>
        <w:t> </w:t>
      </w:r>
      <w:r>
        <w:rPr>
          <w:color w:val="231F20"/>
          <w:spacing w:val="-3"/>
          <w:w w:val="105"/>
        </w:rPr>
        <w:t>los</w:t>
      </w:r>
      <w:r>
        <w:rPr>
          <w:color w:val="231F20"/>
          <w:spacing w:val="-10"/>
          <w:w w:val="105"/>
        </w:rPr>
        <w:t> </w:t>
      </w:r>
      <w:r>
        <w:rPr>
          <w:color w:val="231F20"/>
          <w:w w:val="105"/>
        </w:rPr>
        <w:t>partidos</w:t>
      </w:r>
      <w:r>
        <w:rPr>
          <w:color w:val="231F20"/>
          <w:spacing w:val="-10"/>
          <w:w w:val="105"/>
        </w:rPr>
        <w:t> </w:t>
      </w:r>
      <w:r>
        <w:rPr>
          <w:color w:val="231F20"/>
          <w:spacing w:val="-3"/>
          <w:w w:val="105"/>
        </w:rPr>
        <w:t>políticos</w:t>
      </w:r>
      <w:r>
        <w:rPr>
          <w:color w:val="231F20"/>
          <w:spacing w:val="-10"/>
          <w:w w:val="105"/>
        </w:rPr>
        <w:t> </w:t>
      </w:r>
      <w:r>
        <w:rPr>
          <w:color w:val="231F20"/>
          <w:w w:val="105"/>
        </w:rPr>
        <w:t>en</w:t>
      </w:r>
      <w:r>
        <w:rPr>
          <w:color w:val="231F20"/>
          <w:spacing w:val="-10"/>
          <w:w w:val="105"/>
        </w:rPr>
        <w:t> </w:t>
      </w:r>
      <w:r>
        <w:rPr>
          <w:color w:val="231F20"/>
          <w:w w:val="105"/>
        </w:rPr>
        <w:t>este</w:t>
      </w:r>
      <w:r>
        <w:rPr>
          <w:color w:val="231F20"/>
          <w:spacing w:val="-10"/>
          <w:w w:val="105"/>
        </w:rPr>
        <w:t> </w:t>
      </w:r>
      <w:r>
        <w:rPr>
          <w:color w:val="231F20"/>
          <w:spacing w:val="-3"/>
          <w:w w:val="105"/>
        </w:rPr>
        <w:t>nivel</w:t>
      </w:r>
      <w:r>
        <w:rPr>
          <w:color w:val="231F20"/>
          <w:spacing w:val="-10"/>
          <w:w w:val="105"/>
        </w:rPr>
        <w:t> </w:t>
      </w:r>
      <w:r>
        <w:rPr>
          <w:color w:val="231F20"/>
          <w:w w:val="105"/>
        </w:rPr>
        <w:t>de</w:t>
      </w:r>
      <w:r>
        <w:rPr>
          <w:color w:val="231F20"/>
          <w:spacing w:val="-10"/>
          <w:w w:val="105"/>
        </w:rPr>
        <w:t> </w:t>
      </w:r>
      <w:r>
        <w:rPr>
          <w:color w:val="231F20"/>
          <w:spacing w:val="-4"/>
          <w:w w:val="105"/>
        </w:rPr>
        <w:t>gobierno,</w:t>
      </w:r>
      <w:r>
        <w:rPr>
          <w:color w:val="231F20"/>
          <w:spacing w:val="-10"/>
          <w:w w:val="105"/>
        </w:rPr>
        <w:t> </w:t>
      </w:r>
      <w:r>
        <w:rPr>
          <w:color w:val="231F20"/>
          <w:spacing w:val="-3"/>
          <w:w w:val="105"/>
        </w:rPr>
        <w:t>por</w:t>
      </w:r>
      <w:r>
        <w:rPr>
          <w:color w:val="231F20"/>
          <w:spacing w:val="-10"/>
          <w:w w:val="105"/>
        </w:rPr>
        <w:t> </w:t>
      </w:r>
      <w:r>
        <w:rPr>
          <w:color w:val="231F20"/>
          <w:spacing w:val="-3"/>
          <w:w w:val="105"/>
        </w:rPr>
        <w:t>lo</w:t>
      </w:r>
      <w:r>
        <w:rPr>
          <w:color w:val="231F20"/>
          <w:spacing w:val="-10"/>
          <w:w w:val="105"/>
        </w:rPr>
        <w:t> </w:t>
      </w:r>
      <w:r>
        <w:rPr>
          <w:color w:val="231F20"/>
          <w:spacing w:val="-3"/>
          <w:w w:val="105"/>
        </w:rPr>
        <w:t>que</w:t>
      </w:r>
      <w:r>
        <w:rPr>
          <w:color w:val="231F20"/>
          <w:spacing w:val="-10"/>
          <w:w w:val="105"/>
        </w:rPr>
        <w:t> </w:t>
      </w:r>
      <w:r>
        <w:rPr>
          <w:color w:val="231F20"/>
          <w:w w:val="105"/>
        </w:rPr>
        <w:t>una</w:t>
      </w:r>
      <w:r>
        <w:rPr>
          <w:color w:val="231F20"/>
          <w:spacing w:val="-10"/>
          <w:w w:val="105"/>
        </w:rPr>
        <w:t> </w:t>
      </w:r>
      <w:r>
        <w:rPr>
          <w:color w:val="231F20"/>
          <w:spacing w:val="-3"/>
          <w:w w:val="105"/>
        </w:rPr>
        <w:t>nueva</w:t>
      </w:r>
      <w:r>
        <w:rPr>
          <w:color w:val="231F20"/>
          <w:spacing w:val="-10"/>
          <w:w w:val="105"/>
        </w:rPr>
        <w:t> </w:t>
      </w:r>
      <w:r>
        <w:rPr>
          <w:color w:val="231F20"/>
          <w:spacing w:val="-3"/>
          <w:w w:val="105"/>
        </w:rPr>
        <w:t>vertiente</w:t>
      </w:r>
      <w:r>
        <w:rPr>
          <w:color w:val="231F20"/>
          <w:spacing w:val="-10"/>
          <w:w w:val="105"/>
        </w:rPr>
        <w:t> </w:t>
      </w:r>
      <w:r>
        <w:rPr>
          <w:color w:val="231F20"/>
          <w:w w:val="105"/>
        </w:rPr>
        <w:t>de análisis</w:t>
      </w:r>
      <w:r>
        <w:rPr>
          <w:color w:val="231F20"/>
          <w:spacing w:val="-26"/>
          <w:w w:val="105"/>
        </w:rPr>
        <w:t> </w:t>
      </w:r>
      <w:r>
        <w:rPr>
          <w:color w:val="231F20"/>
          <w:w w:val="105"/>
        </w:rPr>
        <w:t>es</w:t>
      </w:r>
      <w:r>
        <w:rPr>
          <w:color w:val="231F20"/>
          <w:spacing w:val="-26"/>
          <w:w w:val="105"/>
        </w:rPr>
        <w:t> </w:t>
      </w:r>
      <w:r>
        <w:rPr>
          <w:color w:val="231F20"/>
          <w:spacing w:val="-3"/>
          <w:w w:val="105"/>
        </w:rPr>
        <w:t>replantear</w:t>
      </w:r>
      <w:r>
        <w:rPr>
          <w:color w:val="231F20"/>
          <w:spacing w:val="-26"/>
          <w:w w:val="105"/>
        </w:rPr>
        <w:t> </w:t>
      </w:r>
      <w:r>
        <w:rPr>
          <w:color w:val="231F20"/>
          <w:w w:val="105"/>
        </w:rPr>
        <w:t>la</w:t>
      </w:r>
      <w:r>
        <w:rPr>
          <w:color w:val="231F20"/>
          <w:spacing w:val="-26"/>
          <w:w w:val="105"/>
        </w:rPr>
        <w:t> </w:t>
      </w:r>
      <w:r>
        <w:rPr>
          <w:color w:val="231F20"/>
          <w:w w:val="105"/>
        </w:rPr>
        <w:t>utilidad</w:t>
      </w:r>
      <w:r>
        <w:rPr>
          <w:color w:val="231F20"/>
          <w:spacing w:val="-26"/>
          <w:w w:val="105"/>
        </w:rPr>
        <w:t> </w:t>
      </w:r>
      <w:r>
        <w:rPr>
          <w:color w:val="231F20"/>
          <w:w w:val="105"/>
        </w:rPr>
        <w:t>material</w:t>
      </w:r>
      <w:r>
        <w:rPr>
          <w:color w:val="231F20"/>
          <w:spacing w:val="-26"/>
          <w:w w:val="105"/>
        </w:rPr>
        <w:t> </w:t>
      </w:r>
      <w:r>
        <w:rPr>
          <w:color w:val="231F20"/>
          <w:w w:val="105"/>
        </w:rPr>
        <w:t>de</w:t>
      </w:r>
      <w:r>
        <w:rPr>
          <w:color w:val="231F20"/>
          <w:spacing w:val="-26"/>
          <w:w w:val="105"/>
        </w:rPr>
        <w:t> </w:t>
      </w:r>
      <w:r>
        <w:rPr>
          <w:color w:val="231F20"/>
          <w:w w:val="105"/>
        </w:rPr>
        <w:t>estas</w:t>
      </w:r>
      <w:r>
        <w:rPr>
          <w:color w:val="231F20"/>
          <w:spacing w:val="-26"/>
          <w:w w:val="105"/>
        </w:rPr>
        <w:t> </w:t>
      </w:r>
      <w:r>
        <w:rPr>
          <w:color w:val="231F20"/>
          <w:w w:val="105"/>
        </w:rPr>
        <w:t>instancias.</w:t>
      </w:r>
      <w:r>
        <w:rPr>
          <w:color w:val="231F20"/>
          <w:spacing w:val="-26"/>
          <w:w w:val="105"/>
        </w:rPr>
        <w:t> </w:t>
      </w:r>
      <w:r>
        <w:rPr>
          <w:color w:val="231F20"/>
          <w:w w:val="105"/>
        </w:rPr>
        <w:t>(Arzaluz,</w:t>
      </w:r>
      <w:r>
        <w:rPr>
          <w:color w:val="231F20"/>
          <w:spacing w:val="-26"/>
          <w:w w:val="105"/>
        </w:rPr>
        <w:t> </w:t>
      </w:r>
      <w:r>
        <w:rPr>
          <w:color w:val="231F20"/>
          <w:w w:val="105"/>
        </w:rPr>
        <w:t>2005:</w:t>
      </w:r>
      <w:r>
        <w:rPr>
          <w:color w:val="231F20"/>
          <w:spacing w:val="-26"/>
          <w:w w:val="105"/>
        </w:rPr>
        <w:t> </w:t>
      </w:r>
      <w:r>
        <w:rPr>
          <w:color w:val="231F20"/>
          <w:spacing w:val="-10"/>
          <w:w w:val="105"/>
        </w:rPr>
        <w:t>181)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10168;mso-wrap-distance-left:0;mso-wrap-distance-right:0" from="42.519699pt,14.289706pt" to="114.519699pt,14.289706pt" stroked="true" strokeweight="1pt" strokecolor="#231f20">
            <w10:wrap type="topAndBottom"/>
          </v:line>
        </w:pict>
      </w:r>
    </w:p>
    <w:p>
      <w:pPr>
        <w:pStyle w:val="ListParagraph"/>
        <w:numPr>
          <w:ilvl w:val="0"/>
          <w:numId w:val="12"/>
        </w:numPr>
        <w:tabs>
          <w:tab w:pos="330" w:val="left" w:leader="none"/>
        </w:tabs>
        <w:spacing w:line="204" w:lineRule="exact" w:before="0" w:after="0"/>
        <w:ind w:left="329" w:right="0" w:hanging="219"/>
        <w:jc w:val="left"/>
        <w:rPr>
          <w:rFonts w:ascii="Arial" w:hAnsi="Arial"/>
          <w:sz w:val="20"/>
        </w:rPr>
      </w:pPr>
      <w:r>
        <w:rPr>
          <w:color w:val="231F20"/>
          <w:sz w:val="16"/>
        </w:rPr>
        <w:t>Ídem</w:t>
      </w:r>
      <w:r>
        <w:rPr>
          <w:rFonts w:ascii="Arial" w:hAnsi="Arial"/>
          <w:color w:val="231F20"/>
          <w:sz w:val="20"/>
        </w:rPr>
        <w:t>.</w:t>
      </w:r>
    </w:p>
    <w:p>
      <w:pPr>
        <w:spacing w:after="0" w:line="204" w:lineRule="exact"/>
        <w:jc w:val="left"/>
        <w:rPr>
          <w:rFonts w:ascii="Arial" w:hAnsi="Arial"/>
          <w:sz w:val="20"/>
        </w:rPr>
        <w:sectPr>
          <w:footerReference w:type="default" r:id="rId628"/>
          <w:pgSz w:w="9640" w:h="12190"/>
          <w:pgMar w:footer="743" w:header="0" w:top="1120" w:bottom="940" w:left="740" w:right="740"/>
          <w:pgNumType w:start="230"/>
        </w:sectPr>
      </w:pPr>
    </w:p>
    <w:p>
      <w:pPr>
        <w:pStyle w:val="BodyText"/>
        <w:spacing w:before="3"/>
        <w:rPr>
          <w:rFonts w:ascii="Arial"/>
          <w:sz w:val="9"/>
        </w:rPr>
      </w:pPr>
    </w:p>
    <w:p>
      <w:pPr>
        <w:spacing w:before="21"/>
        <w:ind w:left="110" w:right="0" w:firstLine="0"/>
        <w:jc w:val="both"/>
        <w:rPr>
          <w:b/>
          <w:i/>
          <w:sz w:val="26"/>
        </w:rPr>
      </w:pPr>
      <w:r>
        <w:rPr>
          <w:b/>
          <w:i/>
          <w:color w:val="231F20"/>
          <w:w w:val="105"/>
          <w:sz w:val="26"/>
        </w:rPr>
        <w:t>Obras públicas</w:t>
      </w:r>
    </w:p>
    <w:p>
      <w:pPr>
        <w:pStyle w:val="BodyText"/>
        <w:spacing w:line="285" w:lineRule="auto" w:before="38"/>
        <w:ind w:left="110" w:right="107"/>
        <w:jc w:val="both"/>
      </w:pP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ejercicio</w:t>
      </w:r>
      <w:r>
        <w:rPr>
          <w:color w:val="231F20"/>
          <w:spacing w:val="-18"/>
          <w:w w:val="105"/>
        </w:rPr>
        <w:t> </w:t>
      </w:r>
      <w:r>
        <w:rPr>
          <w:color w:val="231F20"/>
          <w:spacing w:val="2"/>
          <w:w w:val="105"/>
        </w:rPr>
        <w:t>fiscal</w:t>
      </w:r>
      <w:r>
        <w:rPr>
          <w:color w:val="231F20"/>
          <w:spacing w:val="-18"/>
          <w:w w:val="105"/>
        </w:rPr>
        <w:t> </w:t>
      </w:r>
      <w:r>
        <w:rPr>
          <w:color w:val="231F20"/>
          <w:spacing w:val="2"/>
          <w:w w:val="105"/>
        </w:rPr>
        <w:t>2007</w:t>
      </w:r>
      <w:r>
        <w:rPr>
          <w:color w:val="231F20"/>
          <w:spacing w:val="-18"/>
          <w:w w:val="105"/>
        </w:rPr>
        <w:t> </w:t>
      </w:r>
      <w:r>
        <w:rPr>
          <w:color w:val="231F20"/>
          <w:w w:val="105"/>
        </w:rPr>
        <w:t>se</w:t>
      </w:r>
      <w:r>
        <w:rPr>
          <w:color w:val="231F20"/>
          <w:spacing w:val="-18"/>
          <w:w w:val="105"/>
        </w:rPr>
        <w:t> </w:t>
      </w:r>
      <w:r>
        <w:rPr>
          <w:color w:val="231F20"/>
          <w:w w:val="105"/>
        </w:rPr>
        <w:t>autorizó</w:t>
      </w:r>
      <w:r>
        <w:rPr>
          <w:color w:val="231F20"/>
          <w:spacing w:val="-18"/>
          <w:w w:val="105"/>
        </w:rPr>
        <w:t> </w:t>
      </w:r>
      <w:r>
        <w:rPr>
          <w:color w:val="231F20"/>
          <w:w w:val="105"/>
        </w:rPr>
        <w:t>un</w:t>
      </w:r>
      <w:r>
        <w:rPr>
          <w:color w:val="231F20"/>
          <w:spacing w:val="-18"/>
          <w:w w:val="105"/>
        </w:rPr>
        <w:t> </w:t>
      </w:r>
      <w:r>
        <w:rPr>
          <w:color w:val="231F20"/>
          <w:w w:val="105"/>
        </w:rPr>
        <w:t>presupuesto</w:t>
      </w:r>
      <w:r>
        <w:rPr>
          <w:color w:val="231F20"/>
          <w:spacing w:val="-18"/>
          <w:w w:val="105"/>
        </w:rPr>
        <w:t> </w:t>
      </w:r>
      <w:r>
        <w:rPr>
          <w:color w:val="231F20"/>
          <w:w w:val="105"/>
        </w:rPr>
        <w:t>de</w:t>
      </w:r>
      <w:r>
        <w:rPr>
          <w:color w:val="231F20"/>
          <w:spacing w:val="-18"/>
          <w:w w:val="105"/>
        </w:rPr>
        <w:t> </w:t>
      </w:r>
      <w:r>
        <w:rPr>
          <w:color w:val="231F20"/>
          <w:w w:val="105"/>
        </w:rPr>
        <w:t>38</w:t>
      </w:r>
      <w:r>
        <w:rPr>
          <w:color w:val="231F20"/>
          <w:spacing w:val="-18"/>
          <w:w w:val="105"/>
        </w:rPr>
        <w:t> </w:t>
      </w:r>
      <w:r>
        <w:rPr>
          <w:color w:val="231F20"/>
          <w:w w:val="105"/>
        </w:rPr>
        <w:t>millones</w:t>
      </w:r>
      <w:r>
        <w:rPr>
          <w:color w:val="231F20"/>
          <w:spacing w:val="-18"/>
          <w:w w:val="105"/>
        </w:rPr>
        <w:t> </w:t>
      </w:r>
      <w:r>
        <w:rPr>
          <w:color w:val="231F20"/>
          <w:spacing w:val="-4"/>
          <w:w w:val="105"/>
        </w:rPr>
        <w:t>763</w:t>
      </w:r>
      <w:r>
        <w:rPr>
          <w:color w:val="231F20"/>
          <w:spacing w:val="-18"/>
          <w:w w:val="105"/>
        </w:rPr>
        <w:t> </w:t>
      </w:r>
      <w:r>
        <w:rPr>
          <w:color w:val="231F20"/>
          <w:spacing w:val="2"/>
          <w:w w:val="105"/>
        </w:rPr>
        <w:t>mil</w:t>
      </w:r>
      <w:r>
        <w:rPr>
          <w:color w:val="231F20"/>
          <w:spacing w:val="-18"/>
          <w:w w:val="105"/>
        </w:rPr>
        <w:t> </w:t>
      </w:r>
      <w:r>
        <w:rPr>
          <w:color w:val="231F20"/>
          <w:spacing w:val="2"/>
          <w:w w:val="105"/>
        </w:rPr>
        <w:t>648</w:t>
      </w:r>
      <w:r>
        <w:rPr>
          <w:color w:val="231F20"/>
          <w:spacing w:val="-18"/>
          <w:w w:val="105"/>
        </w:rPr>
        <w:t> </w:t>
      </w:r>
      <w:r>
        <w:rPr>
          <w:color w:val="231F20"/>
          <w:w w:val="105"/>
        </w:rPr>
        <w:t>pesos, que</w:t>
      </w:r>
      <w:r>
        <w:rPr>
          <w:color w:val="231F20"/>
          <w:spacing w:val="-8"/>
          <w:w w:val="105"/>
        </w:rPr>
        <w:t> </w:t>
      </w:r>
      <w:r>
        <w:rPr>
          <w:color w:val="231F20"/>
          <w:w w:val="105"/>
        </w:rPr>
        <w:t>se</w:t>
      </w:r>
      <w:r>
        <w:rPr>
          <w:color w:val="231F20"/>
          <w:spacing w:val="-8"/>
          <w:w w:val="105"/>
        </w:rPr>
        <w:t> </w:t>
      </w:r>
      <w:r>
        <w:rPr>
          <w:color w:val="231F20"/>
          <w:w w:val="105"/>
        </w:rPr>
        <w:t>suma</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ingresos</w:t>
      </w:r>
      <w:r>
        <w:rPr>
          <w:color w:val="231F20"/>
          <w:spacing w:val="-8"/>
          <w:w w:val="105"/>
        </w:rPr>
        <w:t> </w:t>
      </w:r>
      <w:r>
        <w:rPr>
          <w:color w:val="231F20"/>
          <w:spacing w:val="-3"/>
          <w:w w:val="105"/>
        </w:rPr>
        <w:t>propios</w:t>
      </w:r>
      <w:r>
        <w:rPr>
          <w:color w:val="231F20"/>
          <w:spacing w:val="-8"/>
          <w:w w:val="105"/>
        </w:rPr>
        <w:t> </w:t>
      </w:r>
      <w:r>
        <w:rPr>
          <w:color w:val="231F20"/>
          <w:w w:val="105"/>
        </w:rPr>
        <w:t>de</w:t>
      </w:r>
      <w:r>
        <w:rPr>
          <w:color w:val="231F20"/>
          <w:spacing w:val="-8"/>
          <w:w w:val="105"/>
        </w:rPr>
        <w:t> </w:t>
      </w:r>
      <w:r>
        <w:rPr>
          <w:color w:val="231F20"/>
          <w:spacing w:val="-3"/>
          <w:w w:val="105"/>
        </w:rPr>
        <w:t>2007,</w:t>
      </w:r>
      <w:r>
        <w:rPr>
          <w:color w:val="231F20"/>
          <w:spacing w:val="-8"/>
          <w:w w:val="105"/>
        </w:rPr>
        <w:t> </w:t>
      </w:r>
      <w:r>
        <w:rPr>
          <w:color w:val="231F20"/>
          <w:w w:val="105"/>
        </w:rPr>
        <w:t>puntualizando</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primer</w:t>
      </w:r>
      <w:r>
        <w:rPr>
          <w:color w:val="231F20"/>
          <w:spacing w:val="-8"/>
          <w:w w:val="105"/>
        </w:rPr>
        <w:t> </w:t>
      </w:r>
      <w:r>
        <w:rPr>
          <w:color w:val="231F20"/>
          <w:w w:val="105"/>
        </w:rPr>
        <w:t>informe</w:t>
      </w:r>
      <w:r>
        <w:rPr>
          <w:color w:val="231F20"/>
          <w:spacing w:val="-8"/>
          <w:w w:val="105"/>
        </w:rPr>
        <w:t> </w:t>
      </w:r>
      <w:r>
        <w:rPr>
          <w:color w:val="231F20"/>
          <w:w w:val="105"/>
        </w:rPr>
        <w:t>de</w:t>
      </w:r>
      <w:r>
        <w:rPr>
          <w:color w:val="231F20"/>
          <w:spacing w:val="-8"/>
          <w:w w:val="105"/>
        </w:rPr>
        <w:t> </w:t>
      </w:r>
      <w:r>
        <w:rPr>
          <w:color w:val="231F20"/>
          <w:w w:val="105"/>
        </w:rPr>
        <w:t>go- bierno</w:t>
      </w:r>
      <w:r>
        <w:rPr>
          <w:color w:val="231F20"/>
          <w:spacing w:val="-11"/>
          <w:w w:val="105"/>
        </w:rPr>
        <w:t> </w:t>
      </w:r>
      <w:r>
        <w:rPr>
          <w:color w:val="231F20"/>
          <w:w w:val="105"/>
        </w:rPr>
        <w:t>la</w:t>
      </w:r>
      <w:r>
        <w:rPr>
          <w:color w:val="231F20"/>
          <w:spacing w:val="-11"/>
          <w:w w:val="105"/>
        </w:rPr>
        <w:t> </w:t>
      </w:r>
      <w:r>
        <w:rPr>
          <w:color w:val="231F20"/>
          <w:w w:val="105"/>
        </w:rPr>
        <w:t>erogación</w:t>
      </w:r>
      <w:r>
        <w:rPr>
          <w:color w:val="231F20"/>
          <w:spacing w:val="-11"/>
          <w:w w:val="105"/>
        </w:rPr>
        <w:t> </w:t>
      </w:r>
      <w:r>
        <w:rPr>
          <w:color w:val="231F20"/>
          <w:w w:val="105"/>
        </w:rPr>
        <w:t>de</w:t>
      </w:r>
      <w:r>
        <w:rPr>
          <w:color w:val="231F20"/>
          <w:spacing w:val="-11"/>
          <w:w w:val="105"/>
        </w:rPr>
        <w:t> </w:t>
      </w:r>
      <w:r>
        <w:rPr>
          <w:color w:val="231F20"/>
          <w:w w:val="105"/>
        </w:rPr>
        <w:t>50</w:t>
      </w:r>
      <w:r>
        <w:rPr>
          <w:color w:val="231F20"/>
          <w:spacing w:val="-11"/>
          <w:w w:val="105"/>
        </w:rPr>
        <w:t> </w:t>
      </w:r>
      <w:r>
        <w:rPr>
          <w:color w:val="231F20"/>
          <w:w w:val="105"/>
        </w:rPr>
        <w:t>millones</w:t>
      </w:r>
      <w:r>
        <w:rPr>
          <w:color w:val="231F20"/>
          <w:spacing w:val="-11"/>
          <w:w w:val="105"/>
        </w:rPr>
        <w:t> </w:t>
      </w:r>
      <w:r>
        <w:rPr>
          <w:color w:val="231F20"/>
          <w:w w:val="105"/>
        </w:rPr>
        <w:t>de</w:t>
      </w:r>
      <w:r>
        <w:rPr>
          <w:color w:val="231F20"/>
          <w:spacing w:val="-11"/>
          <w:w w:val="105"/>
        </w:rPr>
        <w:t> </w:t>
      </w:r>
      <w:r>
        <w:rPr>
          <w:color w:val="231F20"/>
          <w:w w:val="105"/>
        </w:rPr>
        <w:t>pesos</w:t>
      </w:r>
      <w:r>
        <w:rPr>
          <w:color w:val="231F20"/>
          <w:spacing w:val="-11"/>
          <w:w w:val="105"/>
        </w:rPr>
        <w:t> </w:t>
      </w:r>
      <w:r>
        <w:rPr>
          <w:color w:val="231F20"/>
          <w:w w:val="105"/>
        </w:rPr>
        <w:t>en</w:t>
      </w:r>
      <w:r>
        <w:rPr>
          <w:color w:val="231F20"/>
          <w:spacing w:val="-11"/>
          <w:w w:val="105"/>
        </w:rPr>
        <w:t> </w:t>
      </w:r>
      <w:r>
        <w:rPr>
          <w:color w:val="231F20"/>
          <w:w w:val="105"/>
        </w:rPr>
        <w:t>tales</w:t>
      </w:r>
      <w:r>
        <w:rPr>
          <w:color w:val="231F20"/>
          <w:spacing w:val="-11"/>
          <w:w w:val="105"/>
        </w:rPr>
        <w:t> </w:t>
      </w:r>
      <w:r>
        <w:rPr>
          <w:color w:val="231F20"/>
          <w:w w:val="105"/>
        </w:rPr>
        <w:t>obras,</w:t>
      </w:r>
      <w:r>
        <w:rPr>
          <w:color w:val="231F20"/>
          <w:spacing w:val="-11"/>
          <w:w w:val="105"/>
        </w:rPr>
        <w:t> </w:t>
      </w:r>
      <w:r>
        <w:rPr>
          <w:color w:val="231F20"/>
          <w:w w:val="105"/>
        </w:rPr>
        <w:t>particularmente</w:t>
      </w:r>
      <w:r>
        <w:rPr>
          <w:color w:val="231F20"/>
          <w:spacing w:val="-11"/>
          <w:w w:val="105"/>
        </w:rPr>
        <w:t> </w:t>
      </w:r>
      <w:r>
        <w:rPr>
          <w:color w:val="231F20"/>
          <w:w w:val="105"/>
        </w:rPr>
        <w:t>de</w:t>
      </w:r>
      <w:r>
        <w:rPr>
          <w:color w:val="231F20"/>
          <w:spacing w:val="-11"/>
          <w:w w:val="105"/>
        </w:rPr>
        <w:t> </w:t>
      </w:r>
      <w:r>
        <w:rPr>
          <w:color w:val="231F20"/>
          <w:w w:val="105"/>
        </w:rPr>
        <w:t>asfalto</w:t>
      </w:r>
      <w:r>
        <w:rPr>
          <w:color w:val="231F20"/>
          <w:spacing w:val="-11"/>
          <w:w w:val="105"/>
        </w:rPr>
        <w:t> </w:t>
      </w:r>
      <w:r>
        <w:rPr>
          <w:color w:val="231F20"/>
          <w:w w:val="105"/>
        </w:rPr>
        <w:t>y de</w:t>
      </w:r>
      <w:r>
        <w:rPr>
          <w:color w:val="231F20"/>
          <w:spacing w:val="-12"/>
          <w:w w:val="105"/>
        </w:rPr>
        <w:t> </w:t>
      </w:r>
      <w:r>
        <w:rPr>
          <w:color w:val="231F20"/>
          <w:w w:val="105"/>
        </w:rPr>
        <w:t>remodelación</w:t>
      </w:r>
      <w:r>
        <w:rPr>
          <w:color w:val="231F20"/>
          <w:spacing w:val="-12"/>
          <w:w w:val="105"/>
        </w:rPr>
        <w:t> </w:t>
      </w:r>
      <w:r>
        <w:rPr>
          <w:color w:val="231F20"/>
          <w:w w:val="105"/>
        </w:rPr>
        <w:t>de</w:t>
      </w:r>
      <w:r>
        <w:rPr>
          <w:color w:val="231F20"/>
          <w:spacing w:val="-12"/>
          <w:w w:val="105"/>
        </w:rPr>
        <w:t> </w:t>
      </w:r>
      <w:r>
        <w:rPr>
          <w:color w:val="231F20"/>
          <w:w w:val="105"/>
        </w:rPr>
        <w:t>caminos</w:t>
      </w:r>
      <w:r>
        <w:rPr>
          <w:color w:val="231F20"/>
          <w:spacing w:val="-12"/>
          <w:w w:val="105"/>
        </w:rPr>
        <w:t> </w:t>
      </w:r>
      <w:r>
        <w:rPr>
          <w:color w:val="231F20"/>
          <w:w w:val="105"/>
        </w:rPr>
        <w:t>y</w:t>
      </w:r>
      <w:r>
        <w:rPr>
          <w:color w:val="231F20"/>
          <w:spacing w:val="-12"/>
          <w:w w:val="105"/>
        </w:rPr>
        <w:t> </w:t>
      </w:r>
      <w:r>
        <w:rPr>
          <w:color w:val="231F20"/>
          <w:w w:val="105"/>
        </w:rPr>
        <w:t>carreteras.</w:t>
      </w:r>
    </w:p>
    <w:p>
      <w:pPr>
        <w:pStyle w:val="BodyText"/>
        <w:spacing w:before="1"/>
        <w:rPr>
          <w:sz w:val="26"/>
        </w:rPr>
      </w:pPr>
    </w:p>
    <w:p>
      <w:pPr>
        <w:pStyle w:val="Heading5"/>
        <w:ind w:left="1888"/>
      </w:pPr>
      <w:r>
        <w:rPr>
          <w:color w:val="231F20"/>
          <w:w w:val="105"/>
        </w:rPr>
        <w:t>Cuadro 14 Obra Pública en Tepotzotlán 2007</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69"/>
        <w:gridCol w:w="2160"/>
        <w:gridCol w:w="3098"/>
      </w:tblGrid>
      <w:tr>
        <w:trPr>
          <w:trHeight w:val="322" w:hRule="exact"/>
        </w:trPr>
        <w:tc>
          <w:tcPr>
            <w:tcW w:w="2669" w:type="dxa"/>
          </w:tcPr>
          <w:p>
            <w:pPr>
              <w:pStyle w:val="TableParagraph"/>
              <w:spacing w:line="161" w:lineRule="exact"/>
              <w:rPr>
                <w:sz w:val="16"/>
              </w:rPr>
            </w:pPr>
            <w:r>
              <w:rPr>
                <w:color w:val="231F20"/>
                <w:w w:val="80"/>
                <w:sz w:val="16"/>
              </w:rPr>
              <w:t>Monto asignado a la obra</w:t>
            </w:r>
          </w:p>
          <w:p>
            <w:pPr>
              <w:pStyle w:val="TableParagraph"/>
              <w:spacing w:line="191" w:lineRule="exact"/>
              <w:rPr>
                <w:sz w:val="16"/>
              </w:rPr>
            </w:pPr>
            <w:r>
              <w:rPr>
                <w:color w:val="231F20"/>
                <w:w w:val="85"/>
                <w:sz w:val="16"/>
              </w:rPr>
              <w:t>(pesos)</w:t>
            </w:r>
          </w:p>
        </w:tc>
        <w:tc>
          <w:tcPr>
            <w:tcW w:w="2160" w:type="dxa"/>
          </w:tcPr>
          <w:p>
            <w:pPr>
              <w:pStyle w:val="TableParagraph"/>
              <w:spacing w:line="163" w:lineRule="exact"/>
              <w:ind w:right="120"/>
              <w:rPr>
                <w:sz w:val="16"/>
              </w:rPr>
            </w:pPr>
            <w:r>
              <w:rPr>
                <w:color w:val="231F20"/>
                <w:w w:val="80"/>
                <w:sz w:val="16"/>
              </w:rPr>
              <w:t>Modalidad de la obra</w:t>
            </w:r>
          </w:p>
        </w:tc>
        <w:tc>
          <w:tcPr>
            <w:tcW w:w="3098" w:type="dxa"/>
          </w:tcPr>
          <w:p>
            <w:pPr>
              <w:pStyle w:val="TableParagraph"/>
              <w:spacing w:line="163" w:lineRule="exact"/>
              <w:ind w:left="102" w:right="1276"/>
              <w:rPr>
                <w:sz w:val="16"/>
              </w:rPr>
            </w:pPr>
            <w:r>
              <w:rPr>
                <w:color w:val="231F20"/>
                <w:w w:val="75"/>
                <w:sz w:val="16"/>
              </w:rPr>
              <w:t>Población beneficiada</w:t>
            </w:r>
          </w:p>
        </w:tc>
      </w:tr>
      <w:tr>
        <w:trPr>
          <w:trHeight w:val="514" w:hRule="exact"/>
        </w:trPr>
        <w:tc>
          <w:tcPr>
            <w:tcW w:w="2669" w:type="dxa"/>
          </w:tcPr>
          <w:p>
            <w:pPr>
              <w:pStyle w:val="TableParagraph"/>
              <w:spacing w:line="163" w:lineRule="exact"/>
              <w:rPr>
                <w:sz w:val="16"/>
              </w:rPr>
            </w:pPr>
            <w:r>
              <w:rPr>
                <w:color w:val="231F20"/>
                <w:w w:val="85"/>
                <w:sz w:val="16"/>
              </w:rPr>
              <w:t>467,767</w:t>
            </w:r>
          </w:p>
        </w:tc>
        <w:tc>
          <w:tcPr>
            <w:tcW w:w="2160" w:type="dxa"/>
          </w:tcPr>
          <w:p>
            <w:pPr>
              <w:pStyle w:val="TableParagraph"/>
              <w:spacing w:line="161" w:lineRule="exact"/>
              <w:ind w:right="120"/>
              <w:rPr>
                <w:sz w:val="16"/>
              </w:rPr>
            </w:pPr>
            <w:r>
              <w:rPr>
                <w:color w:val="231F20"/>
                <w:w w:val="75"/>
                <w:sz w:val="16"/>
              </w:rPr>
              <w:t>Terminar las 13 obras que quedaron</w:t>
            </w:r>
          </w:p>
          <w:p>
            <w:pPr>
              <w:pStyle w:val="TableParagraph"/>
              <w:spacing w:line="235" w:lineRule="auto" w:before="1"/>
              <w:ind w:right="362"/>
              <w:rPr>
                <w:sz w:val="16"/>
              </w:rPr>
            </w:pPr>
            <w:r>
              <w:rPr>
                <w:color w:val="231F20"/>
                <w:w w:val="80"/>
                <w:sz w:val="16"/>
              </w:rPr>
              <w:t>pendientes de la administración </w:t>
            </w:r>
            <w:r>
              <w:rPr>
                <w:color w:val="231F20"/>
                <w:w w:val="85"/>
                <w:sz w:val="16"/>
              </w:rPr>
              <w:t>anterior.</w:t>
            </w:r>
          </w:p>
        </w:tc>
        <w:tc>
          <w:tcPr>
            <w:tcW w:w="3098" w:type="dxa"/>
          </w:tcPr>
          <w:p>
            <w:pPr>
              <w:pStyle w:val="TableParagraph"/>
              <w:spacing w:line="163" w:lineRule="exact"/>
              <w:ind w:left="102" w:right="1276"/>
              <w:rPr>
                <w:sz w:val="16"/>
              </w:rPr>
            </w:pPr>
            <w:r>
              <w:rPr>
                <w:color w:val="231F20"/>
                <w:w w:val="75"/>
                <w:sz w:val="16"/>
              </w:rPr>
              <w:t>No hay datos</w:t>
            </w:r>
          </w:p>
        </w:tc>
      </w:tr>
      <w:tr>
        <w:trPr>
          <w:trHeight w:val="2470" w:hRule="exact"/>
        </w:trPr>
        <w:tc>
          <w:tcPr>
            <w:tcW w:w="2669" w:type="dxa"/>
          </w:tcPr>
          <w:p>
            <w:pPr>
              <w:pStyle w:val="TableParagraph"/>
              <w:spacing w:line="163" w:lineRule="exact"/>
              <w:rPr>
                <w:sz w:val="16"/>
              </w:rPr>
            </w:pPr>
            <w:r>
              <w:rPr>
                <w:color w:val="231F20"/>
                <w:w w:val="85"/>
                <w:sz w:val="16"/>
              </w:rPr>
              <w:t>13’914,222</w:t>
            </w:r>
          </w:p>
        </w:tc>
        <w:tc>
          <w:tcPr>
            <w:tcW w:w="2160" w:type="dxa"/>
          </w:tcPr>
          <w:p>
            <w:pPr>
              <w:pStyle w:val="TableParagraph"/>
              <w:spacing w:line="161" w:lineRule="exact"/>
              <w:ind w:right="120"/>
              <w:rPr>
                <w:sz w:val="16"/>
              </w:rPr>
            </w:pPr>
            <w:r>
              <w:rPr>
                <w:color w:val="231F20"/>
                <w:w w:val="75"/>
                <w:sz w:val="16"/>
              </w:rPr>
              <w:t>Construcción del puente vehicular del</w:t>
            </w:r>
          </w:p>
          <w:p>
            <w:pPr>
              <w:pStyle w:val="TableParagraph"/>
              <w:spacing w:line="194" w:lineRule="exact"/>
              <w:ind w:right="120"/>
              <w:rPr>
                <w:sz w:val="16"/>
              </w:rPr>
            </w:pPr>
            <w:r>
              <w:rPr>
                <w:color w:val="231F20"/>
                <w:w w:val="75"/>
                <w:sz w:val="16"/>
              </w:rPr>
              <w:t>Libramiento Sur.</w:t>
            </w:r>
          </w:p>
          <w:p>
            <w:pPr>
              <w:pStyle w:val="TableParagraph"/>
              <w:spacing w:before="3"/>
              <w:ind w:left="0"/>
              <w:rPr>
                <w:rFonts w:ascii="Times New Roman"/>
                <w:b/>
                <w:sz w:val="16"/>
              </w:rPr>
            </w:pPr>
          </w:p>
          <w:p>
            <w:pPr>
              <w:pStyle w:val="TableParagraph"/>
              <w:spacing w:line="192" w:lineRule="exact"/>
              <w:ind w:right="120"/>
              <w:rPr>
                <w:sz w:val="16"/>
              </w:rPr>
            </w:pPr>
            <w:r>
              <w:rPr>
                <w:color w:val="231F20"/>
                <w:w w:val="80"/>
                <w:sz w:val="16"/>
              </w:rPr>
              <w:t>Revestir</w:t>
            </w:r>
            <w:r>
              <w:rPr>
                <w:color w:val="231F20"/>
                <w:spacing w:val="-16"/>
                <w:w w:val="80"/>
                <w:sz w:val="16"/>
              </w:rPr>
              <w:t> </w:t>
            </w:r>
            <w:r>
              <w:rPr>
                <w:color w:val="231F20"/>
                <w:w w:val="80"/>
                <w:sz w:val="16"/>
              </w:rPr>
              <w:t>y</w:t>
            </w:r>
            <w:r>
              <w:rPr>
                <w:color w:val="231F20"/>
                <w:spacing w:val="-16"/>
                <w:w w:val="80"/>
                <w:sz w:val="16"/>
              </w:rPr>
              <w:t> </w:t>
            </w:r>
            <w:r>
              <w:rPr>
                <w:color w:val="231F20"/>
                <w:w w:val="80"/>
                <w:sz w:val="16"/>
              </w:rPr>
              <w:t>mejorar</w:t>
            </w:r>
            <w:r>
              <w:rPr>
                <w:color w:val="231F20"/>
                <w:spacing w:val="-16"/>
                <w:w w:val="80"/>
                <w:sz w:val="16"/>
              </w:rPr>
              <w:t> </w:t>
            </w:r>
            <w:r>
              <w:rPr>
                <w:color w:val="231F20"/>
                <w:w w:val="80"/>
                <w:sz w:val="16"/>
              </w:rPr>
              <w:t>30</w:t>
            </w:r>
            <w:r>
              <w:rPr>
                <w:color w:val="231F20"/>
                <w:spacing w:val="-16"/>
                <w:w w:val="80"/>
                <w:sz w:val="16"/>
              </w:rPr>
              <w:t> </w:t>
            </w:r>
            <w:r>
              <w:rPr>
                <w:color w:val="231F20"/>
                <w:w w:val="80"/>
                <w:sz w:val="16"/>
              </w:rPr>
              <w:t>kms.</w:t>
            </w:r>
            <w:r>
              <w:rPr>
                <w:color w:val="231F20"/>
                <w:spacing w:val="-16"/>
                <w:w w:val="80"/>
                <w:sz w:val="16"/>
              </w:rPr>
              <w:t> </w:t>
            </w:r>
            <w:r>
              <w:rPr>
                <w:color w:val="231F20"/>
                <w:w w:val="80"/>
                <w:sz w:val="16"/>
              </w:rPr>
              <w:t>de</w:t>
            </w:r>
            <w:r>
              <w:rPr>
                <w:color w:val="231F20"/>
                <w:spacing w:val="-16"/>
                <w:w w:val="80"/>
                <w:sz w:val="16"/>
              </w:rPr>
              <w:t> </w:t>
            </w:r>
            <w:r>
              <w:rPr>
                <w:color w:val="231F20"/>
                <w:w w:val="80"/>
                <w:sz w:val="16"/>
              </w:rPr>
              <w:t>caminos </w:t>
            </w:r>
            <w:r>
              <w:rPr>
                <w:color w:val="231F20"/>
                <w:w w:val="85"/>
                <w:sz w:val="16"/>
              </w:rPr>
              <w:t>rurales y nuevas brechas “saca- cosechas”.</w:t>
            </w:r>
          </w:p>
          <w:p>
            <w:pPr>
              <w:pStyle w:val="TableParagraph"/>
              <w:spacing w:before="9"/>
              <w:ind w:left="0"/>
              <w:rPr>
                <w:rFonts w:ascii="Times New Roman"/>
                <w:b/>
                <w:sz w:val="16"/>
              </w:rPr>
            </w:pPr>
          </w:p>
          <w:p>
            <w:pPr>
              <w:pStyle w:val="TableParagraph"/>
              <w:ind w:right="120"/>
              <w:rPr>
                <w:sz w:val="16"/>
              </w:rPr>
            </w:pPr>
            <w:r>
              <w:rPr>
                <w:color w:val="231F20"/>
                <w:w w:val="75"/>
                <w:sz w:val="16"/>
              </w:rPr>
              <w:t>75 mil metros de  pavimentaciones.</w:t>
            </w:r>
          </w:p>
          <w:p>
            <w:pPr>
              <w:pStyle w:val="TableParagraph"/>
              <w:spacing w:before="3"/>
              <w:ind w:left="0"/>
              <w:rPr>
                <w:rFonts w:ascii="Times New Roman"/>
                <w:b/>
                <w:sz w:val="16"/>
              </w:rPr>
            </w:pPr>
          </w:p>
          <w:p>
            <w:pPr>
              <w:pStyle w:val="TableParagraph"/>
              <w:spacing w:line="192" w:lineRule="exact"/>
              <w:ind w:right="143"/>
              <w:rPr>
                <w:sz w:val="16"/>
              </w:rPr>
            </w:pPr>
            <w:r>
              <w:rPr>
                <w:color w:val="231F20"/>
                <w:w w:val="80"/>
                <w:sz w:val="16"/>
              </w:rPr>
              <w:t>Rehabilitación de dos pozos de agua </w:t>
            </w:r>
            <w:r>
              <w:rPr>
                <w:color w:val="231F20"/>
                <w:w w:val="85"/>
                <w:sz w:val="16"/>
              </w:rPr>
              <w:t>potable.</w:t>
            </w:r>
          </w:p>
        </w:tc>
        <w:tc>
          <w:tcPr>
            <w:tcW w:w="3098" w:type="dxa"/>
          </w:tcPr>
          <w:p>
            <w:pPr>
              <w:pStyle w:val="TableParagraph"/>
              <w:spacing w:line="161" w:lineRule="exact"/>
              <w:ind w:left="102" w:right="1276"/>
              <w:rPr>
                <w:sz w:val="16"/>
              </w:rPr>
            </w:pPr>
            <w:r>
              <w:rPr>
                <w:color w:val="231F20"/>
                <w:w w:val="75"/>
                <w:sz w:val="16"/>
              </w:rPr>
              <w:t>Santiago  Cuautlalpan</w:t>
            </w:r>
          </w:p>
          <w:p>
            <w:pPr>
              <w:pStyle w:val="TableParagraph"/>
              <w:spacing w:line="235" w:lineRule="auto" w:before="1"/>
              <w:ind w:left="102" w:right="1938"/>
              <w:rPr>
                <w:sz w:val="16"/>
              </w:rPr>
            </w:pPr>
            <w:r>
              <w:rPr>
                <w:color w:val="231F20"/>
                <w:w w:val="75"/>
                <w:sz w:val="16"/>
              </w:rPr>
              <w:t>Bo. De la Concepción Cañada de Cisneros</w:t>
            </w:r>
          </w:p>
          <w:p>
            <w:pPr>
              <w:pStyle w:val="TableParagraph"/>
              <w:spacing w:line="235" w:lineRule="auto"/>
              <w:ind w:left="102" w:right="1276"/>
              <w:rPr>
                <w:sz w:val="16"/>
              </w:rPr>
            </w:pPr>
            <w:r>
              <w:rPr>
                <w:color w:val="231F20"/>
                <w:w w:val="75"/>
                <w:sz w:val="16"/>
              </w:rPr>
              <w:t>Fraccionamiento Petro-Huertos. </w:t>
            </w:r>
            <w:r>
              <w:rPr>
                <w:color w:val="231F20"/>
                <w:w w:val="80"/>
                <w:sz w:val="16"/>
              </w:rPr>
              <w:t>Poblado de San Miguel Cañadas.</w:t>
            </w:r>
          </w:p>
          <w:p>
            <w:pPr>
              <w:pStyle w:val="TableParagraph"/>
              <w:spacing w:before="4"/>
              <w:ind w:left="0"/>
              <w:rPr>
                <w:rFonts w:ascii="Times New Roman"/>
                <w:b/>
                <w:sz w:val="16"/>
              </w:rPr>
            </w:pPr>
          </w:p>
          <w:p>
            <w:pPr>
              <w:pStyle w:val="TableParagraph"/>
              <w:spacing w:line="192" w:lineRule="exact"/>
              <w:ind w:left="102" w:right="1632"/>
              <w:rPr>
                <w:sz w:val="16"/>
              </w:rPr>
            </w:pPr>
            <w:r>
              <w:rPr>
                <w:color w:val="231F20"/>
                <w:w w:val="80"/>
                <w:sz w:val="16"/>
              </w:rPr>
              <w:t>Así como de los ejidos de: </w:t>
            </w:r>
            <w:r>
              <w:rPr>
                <w:color w:val="231F20"/>
                <w:w w:val="85"/>
                <w:sz w:val="16"/>
              </w:rPr>
              <w:t>Santiago Cuautlalpan Cañada de Cisneros </w:t>
            </w:r>
            <w:r>
              <w:rPr>
                <w:color w:val="231F20"/>
                <w:w w:val="75"/>
                <w:sz w:val="16"/>
              </w:rPr>
              <w:t>Santa Cruz</w:t>
            </w:r>
          </w:p>
          <w:p>
            <w:pPr>
              <w:pStyle w:val="TableParagraph"/>
              <w:spacing w:line="192" w:lineRule="exact"/>
              <w:ind w:left="102" w:right="1938"/>
              <w:rPr>
                <w:sz w:val="16"/>
              </w:rPr>
            </w:pPr>
            <w:r>
              <w:rPr>
                <w:color w:val="231F20"/>
                <w:w w:val="85"/>
                <w:sz w:val="16"/>
              </w:rPr>
              <w:t>San Mateo Xoloc. </w:t>
            </w:r>
            <w:r>
              <w:rPr>
                <w:color w:val="231F20"/>
                <w:w w:val="75"/>
                <w:sz w:val="16"/>
              </w:rPr>
              <w:t>San Francisco Magú.</w:t>
            </w:r>
          </w:p>
        </w:tc>
      </w:tr>
      <w:tr>
        <w:trPr>
          <w:trHeight w:val="706" w:hRule="exact"/>
        </w:trPr>
        <w:tc>
          <w:tcPr>
            <w:tcW w:w="2669" w:type="dxa"/>
          </w:tcPr>
          <w:p>
            <w:pPr>
              <w:pStyle w:val="TableParagraph"/>
              <w:spacing w:line="161" w:lineRule="exact"/>
              <w:rPr>
                <w:sz w:val="16"/>
              </w:rPr>
            </w:pPr>
            <w:r>
              <w:rPr>
                <w:color w:val="231F20"/>
                <w:w w:val="85"/>
                <w:sz w:val="16"/>
              </w:rPr>
              <w:t>45’000,000</w:t>
            </w:r>
          </w:p>
          <w:p>
            <w:pPr>
              <w:pStyle w:val="TableParagraph"/>
              <w:spacing w:line="194" w:lineRule="exact"/>
              <w:rPr>
                <w:sz w:val="16"/>
              </w:rPr>
            </w:pPr>
            <w:r>
              <w:rPr>
                <w:color w:val="231F20"/>
                <w:w w:val="80"/>
                <w:sz w:val="16"/>
              </w:rPr>
              <w:t>con participación de la SCT</w:t>
            </w:r>
          </w:p>
        </w:tc>
        <w:tc>
          <w:tcPr>
            <w:tcW w:w="2160" w:type="dxa"/>
          </w:tcPr>
          <w:p>
            <w:pPr>
              <w:pStyle w:val="TableParagraph"/>
              <w:spacing w:line="161" w:lineRule="exact"/>
              <w:ind w:right="120"/>
              <w:rPr>
                <w:sz w:val="16"/>
              </w:rPr>
            </w:pPr>
            <w:r>
              <w:rPr>
                <w:color w:val="231F20"/>
                <w:w w:val="75"/>
                <w:sz w:val="16"/>
              </w:rPr>
              <w:t>Mejoramiento y modernización de 5</w:t>
            </w:r>
          </w:p>
          <w:p>
            <w:pPr>
              <w:pStyle w:val="TableParagraph"/>
              <w:spacing w:line="235" w:lineRule="auto" w:before="1"/>
              <w:ind w:right="47"/>
              <w:rPr>
                <w:sz w:val="16"/>
              </w:rPr>
            </w:pPr>
            <w:r>
              <w:rPr>
                <w:color w:val="231F20"/>
                <w:w w:val="80"/>
                <w:sz w:val="16"/>
              </w:rPr>
              <w:t>kilómetros de carpeta asfáltica en el tramo de San Miguel Cañadas hasta la </w:t>
            </w:r>
            <w:r>
              <w:rPr>
                <w:color w:val="231F20"/>
                <w:w w:val="75"/>
                <w:sz w:val="16"/>
              </w:rPr>
              <w:t>Colonia los Dolores</w:t>
            </w:r>
          </w:p>
        </w:tc>
        <w:tc>
          <w:tcPr>
            <w:tcW w:w="3098" w:type="dxa"/>
          </w:tcPr>
          <w:p>
            <w:pPr>
              <w:pStyle w:val="TableParagraph"/>
              <w:spacing w:line="163" w:lineRule="exact"/>
              <w:ind w:left="102" w:right="1276"/>
              <w:rPr>
                <w:sz w:val="16"/>
              </w:rPr>
            </w:pPr>
            <w:r>
              <w:rPr>
                <w:color w:val="231F20"/>
                <w:w w:val="75"/>
                <w:sz w:val="16"/>
              </w:rPr>
              <w:t>Colonia los Dolores.</w:t>
            </w:r>
          </w:p>
        </w:tc>
      </w:tr>
    </w:tbl>
    <w:p>
      <w:pPr>
        <w:pStyle w:val="BodyText"/>
        <w:spacing w:before="10"/>
        <w:rPr>
          <w:b/>
          <w:sz w:val="14"/>
        </w:rPr>
      </w:pPr>
    </w:p>
    <w:p>
      <w:pPr>
        <w:spacing w:before="74"/>
        <w:ind w:left="4710" w:right="-2" w:firstLine="0"/>
        <w:jc w:val="left"/>
        <w:rPr>
          <w:rFonts w:ascii="Calibri"/>
          <w:sz w:val="16"/>
        </w:rPr>
      </w:pPr>
      <w:r>
        <w:rPr>
          <w:rFonts w:ascii="Calibri"/>
          <w:color w:val="231F20"/>
          <w:sz w:val="16"/>
        </w:rPr>
        <w:t>Fuente: Primer Informe de Gobierno Municipal 2007</w:t>
      </w:r>
    </w:p>
    <w:p>
      <w:pPr>
        <w:pStyle w:val="BodyText"/>
        <w:rPr>
          <w:rFonts w:ascii="Calibri"/>
          <w:sz w:val="16"/>
        </w:rPr>
      </w:pPr>
    </w:p>
    <w:p>
      <w:pPr>
        <w:pStyle w:val="BodyText"/>
        <w:spacing w:before="9"/>
        <w:rPr>
          <w:rFonts w:ascii="Calibri"/>
          <w:sz w:val="12"/>
        </w:rPr>
      </w:pPr>
    </w:p>
    <w:p>
      <w:pPr>
        <w:pStyle w:val="BodyText"/>
        <w:spacing w:line="285" w:lineRule="auto"/>
        <w:ind w:left="110" w:right="108"/>
        <w:jc w:val="both"/>
      </w:pPr>
      <w:r>
        <w:rPr>
          <w:color w:val="231F20"/>
          <w:w w:val="105"/>
        </w:rPr>
        <w:t>En</w:t>
      </w:r>
      <w:r>
        <w:rPr>
          <w:color w:val="231F20"/>
          <w:spacing w:val="-14"/>
          <w:w w:val="105"/>
        </w:rPr>
        <w:t> </w:t>
      </w:r>
      <w:r>
        <w:rPr>
          <w:color w:val="231F20"/>
          <w:spacing w:val="3"/>
          <w:w w:val="105"/>
        </w:rPr>
        <w:t>2008</w:t>
      </w:r>
      <w:r>
        <w:rPr>
          <w:color w:val="231F20"/>
          <w:spacing w:val="-14"/>
          <w:w w:val="105"/>
        </w:rPr>
        <w:t> </w:t>
      </w:r>
      <w:r>
        <w:rPr>
          <w:color w:val="231F20"/>
          <w:w w:val="105"/>
        </w:rPr>
        <w:t>se</w:t>
      </w:r>
      <w:r>
        <w:rPr>
          <w:color w:val="231F20"/>
          <w:spacing w:val="-14"/>
          <w:w w:val="105"/>
        </w:rPr>
        <w:t> </w:t>
      </w:r>
      <w:r>
        <w:rPr>
          <w:color w:val="231F20"/>
          <w:w w:val="105"/>
        </w:rPr>
        <w:t>gastó</w:t>
      </w:r>
      <w:r>
        <w:rPr>
          <w:color w:val="231F20"/>
          <w:spacing w:val="-14"/>
          <w:w w:val="105"/>
        </w:rPr>
        <w:t> </w:t>
      </w:r>
      <w:r>
        <w:rPr>
          <w:color w:val="231F20"/>
          <w:w w:val="105"/>
        </w:rPr>
        <w:t>la</w:t>
      </w:r>
      <w:r>
        <w:rPr>
          <w:color w:val="231F20"/>
          <w:spacing w:val="-14"/>
          <w:w w:val="105"/>
        </w:rPr>
        <w:t> </w:t>
      </w:r>
      <w:r>
        <w:rPr>
          <w:color w:val="231F20"/>
          <w:w w:val="105"/>
        </w:rPr>
        <w:t>cantidad</w:t>
      </w:r>
      <w:r>
        <w:rPr>
          <w:color w:val="231F20"/>
          <w:spacing w:val="-14"/>
          <w:w w:val="105"/>
        </w:rPr>
        <w:t> </w:t>
      </w:r>
      <w:r>
        <w:rPr>
          <w:color w:val="231F20"/>
          <w:w w:val="105"/>
        </w:rPr>
        <w:t>de</w:t>
      </w:r>
      <w:r>
        <w:rPr>
          <w:color w:val="231F20"/>
          <w:spacing w:val="-14"/>
          <w:w w:val="105"/>
        </w:rPr>
        <w:t> </w:t>
      </w:r>
      <w:r>
        <w:rPr>
          <w:color w:val="231F20"/>
          <w:w w:val="105"/>
        </w:rPr>
        <w:t>28’522,733.00</w:t>
      </w:r>
      <w:r>
        <w:rPr>
          <w:color w:val="231F20"/>
          <w:spacing w:val="-14"/>
          <w:w w:val="105"/>
        </w:rPr>
        <w:t> </w:t>
      </w:r>
      <w:r>
        <w:rPr>
          <w:color w:val="231F20"/>
          <w:w w:val="105"/>
        </w:rPr>
        <w:t>de</w:t>
      </w:r>
      <w:r>
        <w:rPr>
          <w:color w:val="231F20"/>
          <w:spacing w:val="-14"/>
          <w:w w:val="105"/>
        </w:rPr>
        <w:t> </w:t>
      </w:r>
      <w:r>
        <w:rPr>
          <w:color w:val="231F20"/>
          <w:w w:val="105"/>
        </w:rPr>
        <w:t>pesos</w:t>
      </w:r>
      <w:r>
        <w:rPr>
          <w:color w:val="231F20"/>
          <w:spacing w:val="-14"/>
          <w:w w:val="105"/>
        </w:rPr>
        <w:t> </w:t>
      </w:r>
      <w:r>
        <w:rPr>
          <w:color w:val="231F20"/>
          <w:w w:val="105"/>
        </w:rPr>
        <w:t>en</w:t>
      </w:r>
      <w:r>
        <w:rPr>
          <w:color w:val="231F20"/>
          <w:spacing w:val="-14"/>
          <w:w w:val="105"/>
        </w:rPr>
        <w:t> </w:t>
      </w:r>
      <w:r>
        <w:rPr>
          <w:color w:val="231F20"/>
          <w:w w:val="105"/>
        </w:rPr>
        <w:t>diversas</w:t>
      </w:r>
      <w:r>
        <w:rPr>
          <w:color w:val="231F20"/>
          <w:spacing w:val="-14"/>
          <w:w w:val="105"/>
        </w:rPr>
        <w:t> </w:t>
      </w:r>
      <w:r>
        <w:rPr>
          <w:color w:val="231F20"/>
          <w:w w:val="105"/>
        </w:rPr>
        <w:t>obras,</w:t>
      </w:r>
      <w:r>
        <w:rPr>
          <w:color w:val="231F20"/>
          <w:spacing w:val="-14"/>
          <w:w w:val="105"/>
        </w:rPr>
        <w:t> </w:t>
      </w:r>
      <w:r>
        <w:rPr>
          <w:color w:val="231F20"/>
          <w:w w:val="105"/>
        </w:rPr>
        <w:t>entre</w:t>
      </w:r>
      <w:r>
        <w:rPr>
          <w:color w:val="231F20"/>
          <w:spacing w:val="-14"/>
          <w:w w:val="105"/>
        </w:rPr>
        <w:t> </w:t>
      </w:r>
      <w:r>
        <w:rPr>
          <w:color w:val="231F20"/>
          <w:w w:val="105"/>
        </w:rPr>
        <w:t>las</w:t>
      </w:r>
      <w:r>
        <w:rPr>
          <w:color w:val="231F20"/>
          <w:spacing w:val="-14"/>
          <w:w w:val="105"/>
        </w:rPr>
        <w:t> </w:t>
      </w:r>
      <w:r>
        <w:rPr>
          <w:color w:val="231F20"/>
          <w:w w:val="105"/>
        </w:rPr>
        <w:t>que destacaron predominantemente las de mantenimiento </w:t>
      </w:r>
      <w:r>
        <w:rPr>
          <w:color w:val="231F20"/>
          <w:spacing w:val="2"/>
          <w:w w:val="105"/>
        </w:rPr>
        <w:t>vial </w:t>
      </w:r>
      <w:r>
        <w:rPr>
          <w:color w:val="231F20"/>
          <w:w w:val="105"/>
        </w:rPr>
        <w:t>primario y secundario, se- guidas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de</w:t>
      </w:r>
      <w:r>
        <w:rPr>
          <w:color w:val="231F20"/>
          <w:spacing w:val="-9"/>
          <w:w w:val="105"/>
        </w:rPr>
        <w:t> </w:t>
      </w:r>
      <w:r>
        <w:rPr>
          <w:color w:val="231F20"/>
          <w:w w:val="105"/>
        </w:rPr>
        <w:t>mantenimiento</w:t>
      </w:r>
      <w:r>
        <w:rPr>
          <w:color w:val="231F20"/>
          <w:spacing w:val="-9"/>
          <w:w w:val="105"/>
        </w:rPr>
        <w:t> </w:t>
      </w:r>
      <w:r>
        <w:rPr>
          <w:color w:val="231F20"/>
          <w:w w:val="105"/>
        </w:rPr>
        <w:t>correctivo</w:t>
      </w:r>
      <w:r>
        <w:rPr>
          <w:color w:val="231F20"/>
          <w:spacing w:val="-9"/>
          <w:w w:val="105"/>
        </w:rPr>
        <w:t> </w:t>
      </w:r>
      <w:r>
        <w:rPr>
          <w:color w:val="231F20"/>
          <w:w w:val="105"/>
        </w:rPr>
        <w:t>y</w:t>
      </w:r>
      <w:r>
        <w:rPr>
          <w:color w:val="231F20"/>
          <w:spacing w:val="-9"/>
          <w:w w:val="105"/>
        </w:rPr>
        <w:t> </w:t>
      </w:r>
      <w:r>
        <w:rPr>
          <w:color w:val="231F20"/>
          <w:w w:val="105"/>
        </w:rPr>
        <w:t>preventivo</w:t>
      </w:r>
      <w:r>
        <w:rPr>
          <w:color w:val="231F20"/>
          <w:spacing w:val="-9"/>
          <w:w w:val="105"/>
        </w:rPr>
        <w:t> </w:t>
      </w:r>
      <w:r>
        <w:rPr>
          <w:color w:val="231F20"/>
          <w:w w:val="105"/>
        </w:rPr>
        <w:t>a</w:t>
      </w:r>
      <w:r>
        <w:rPr>
          <w:color w:val="231F20"/>
          <w:spacing w:val="-9"/>
          <w:w w:val="105"/>
        </w:rPr>
        <w:t> </w:t>
      </w:r>
      <w:r>
        <w:rPr>
          <w:color w:val="231F20"/>
          <w:w w:val="105"/>
        </w:rPr>
        <w:t>inmuebles</w:t>
      </w:r>
      <w:r>
        <w:rPr>
          <w:color w:val="231F20"/>
          <w:spacing w:val="-9"/>
          <w:w w:val="105"/>
        </w:rPr>
        <w:t> </w:t>
      </w:r>
      <w:r>
        <w:rPr>
          <w:color w:val="231F20"/>
          <w:w w:val="105"/>
        </w:rPr>
        <w:t>públicos.</w:t>
      </w:r>
      <w:r>
        <w:rPr>
          <w:color w:val="231F20"/>
          <w:spacing w:val="-9"/>
          <w:w w:val="105"/>
        </w:rPr>
        <w:t> </w:t>
      </w:r>
      <w:r>
        <w:rPr>
          <w:color w:val="231F20"/>
          <w:w w:val="105"/>
        </w:rPr>
        <w:t>A</w:t>
      </w:r>
      <w:r>
        <w:rPr>
          <w:color w:val="231F20"/>
          <w:spacing w:val="-9"/>
          <w:w w:val="105"/>
        </w:rPr>
        <w:t> </w:t>
      </w:r>
      <w:r>
        <w:rPr>
          <w:color w:val="231F20"/>
          <w:w w:val="105"/>
        </w:rPr>
        <w:t>conti- nuación</w:t>
      </w:r>
      <w:r>
        <w:rPr>
          <w:color w:val="231F20"/>
          <w:spacing w:val="-12"/>
          <w:w w:val="105"/>
        </w:rPr>
        <w:t> </w:t>
      </w:r>
      <w:r>
        <w:rPr>
          <w:color w:val="231F20"/>
          <w:w w:val="105"/>
        </w:rPr>
        <w:t>se</w:t>
      </w:r>
      <w:r>
        <w:rPr>
          <w:color w:val="231F20"/>
          <w:spacing w:val="-12"/>
          <w:w w:val="105"/>
        </w:rPr>
        <w:t> </w:t>
      </w:r>
      <w:r>
        <w:rPr>
          <w:color w:val="231F20"/>
          <w:w w:val="105"/>
        </w:rPr>
        <w:t>anotan</w:t>
      </w:r>
      <w:r>
        <w:rPr>
          <w:color w:val="231F20"/>
          <w:spacing w:val="-12"/>
          <w:w w:val="105"/>
        </w:rPr>
        <w:t> </w:t>
      </w:r>
      <w:r>
        <w:rPr>
          <w:color w:val="231F20"/>
          <w:w w:val="105"/>
        </w:rPr>
        <w:t>algunas</w:t>
      </w:r>
      <w:r>
        <w:rPr>
          <w:color w:val="231F20"/>
          <w:spacing w:val="-12"/>
          <w:w w:val="105"/>
        </w:rPr>
        <w:t> </w:t>
      </w:r>
      <w:r>
        <w:rPr>
          <w:color w:val="231F20"/>
          <w:w w:val="105"/>
        </w:rPr>
        <w:t>de</w:t>
      </w:r>
      <w:r>
        <w:rPr>
          <w:color w:val="231F20"/>
          <w:spacing w:val="-12"/>
          <w:w w:val="105"/>
        </w:rPr>
        <w:t> </w:t>
      </w:r>
      <w:r>
        <w:rPr>
          <w:color w:val="231F20"/>
          <w:w w:val="105"/>
        </w:rPr>
        <w:t>ellas:</w:t>
      </w:r>
    </w:p>
    <w:p>
      <w:pPr>
        <w:spacing w:after="0" w:line="285" w:lineRule="auto"/>
        <w:jc w:val="both"/>
        <w:sectPr>
          <w:pgSz w:w="9640" w:h="12190"/>
          <w:pgMar w:header="0" w:footer="743" w:top="1120" w:bottom="940" w:left="740" w:right="740"/>
        </w:sectPr>
      </w:pPr>
    </w:p>
    <w:p>
      <w:pPr>
        <w:pStyle w:val="Heading5"/>
        <w:spacing w:before="27"/>
        <w:ind w:left="1882"/>
      </w:pPr>
      <w:r>
        <w:rPr>
          <w:color w:val="231F20"/>
          <w:w w:val="105"/>
        </w:rPr>
        <w:t>Cuadro 15 Obra Pública en Tepotzotlán 2008</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96"/>
        <w:gridCol w:w="2991"/>
        <w:gridCol w:w="2340"/>
      </w:tblGrid>
      <w:tr>
        <w:trPr>
          <w:trHeight w:val="130" w:hRule="exact"/>
        </w:trPr>
        <w:tc>
          <w:tcPr>
            <w:tcW w:w="2596" w:type="dxa"/>
          </w:tcPr>
          <w:p>
            <w:pPr>
              <w:pStyle w:val="TableParagraph"/>
              <w:spacing w:line="160" w:lineRule="exact"/>
              <w:rPr>
                <w:sz w:val="16"/>
              </w:rPr>
            </w:pPr>
            <w:r>
              <w:rPr>
                <w:color w:val="231F20"/>
                <w:w w:val="80"/>
                <w:sz w:val="16"/>
              </w:rPr>
              <w:t>Monto asignado a la obra</w:t>
            </w:r>
          </w:p>
        </w:tc>
        <w:tc>
          <w:tcPr>
            <w:tcW w:w="2991" w:type="dxa"/>
          </w:tcPr>
          <w:p>
            <w:pPr>
              <w:pStyle w:val="TableParagraph"/>
              <w:spacing w:line="160" w:lineRule="exact"/>
              <w:rPr>
                <w:sz w:val="16"/>
              </w:rPr>
            </w:pPr>
            <w:r>
              <w:rPr>
                <w:color w:val="231F20"/>
                <w:w w:val="80"/>
                <w:sz w:val="16"/>
              </w:rPr>
              <w:t>Modalidad de la obra</w:t>
            </w:r>
          </w:p>
        </w:tc>
        <w:tc>
          <w:tcPr>
            <w:tcW w:w="2340" w:type="dxa"/>
          </w:tcPr>
          <w:p>
            <w:pPr>
              <w:pStyle w:val="TableParagraph"/>
              <w:spacing w:line="160" w:lineRule="exact"/>
              <w:rPr>
                <w:sz w:val="16"/>
              </w:rPr>
            </w:pPr>
            <w:r>
              <w:rPr>
                <w:color w:val="231F20"/>
                <w:w w:val="75"/>
                <w:sz w:val="16"/>
              </w:rPr>
              <w:t>Población beneficiada</w:t>
            </w:r>
          </w:p>
        </w:tc>
      </w:tr>
      <w:tr>
        <w:trPr>
          <w:trHeight w:val="322" w:hRule="exact"/>
        </w:trPr>
        <w:tc>
          <w:tcPr>
            <w:tcW w:w="2596" w:type="dxa"/>
            <w:vMerge w:val="restart"/>
          </w:tcPr>
          <w:p>
            <w:pPr>
              <w:pStyle w:val="TableParagraph"/>
              <w:spacing w:line="163" w:lineRule="exact"/>
              <w:rPr>
                <w:sz w:val="16"/>
              </w:rPr>
            </w:pPr>
            <w:r>
              <w:rPr>
                <w:color w:val="231F20"/>
                <w:w w:val="80"/>
                <w:sz w:val="16"/>
              </w:rPr>
              <w:t>44 ‘000,000</w:t>
            </w:r>
          </w:p>
        </w:tc>
        <w:tc>
          <w:tcPr>
            <w:tcW w:w="2991" w:type="dxa"/>
          </w:tcPr>
          <w:p>
            <w:pPr>
              <w:pStyle w:val="TableParagraph"/>
              <w:spacing w:line="161" w:lineRule="exact"/>
              <w:rPr>
                <w:sz w:val="16"/>
              </w:rPr>
            </w:pPr>
            <w:r>
              <w:rPr>
                <w:color w:val="231F20"/>
                <w:w w:val="80"/>
                <w:sz w:val="16"/>
              </w:rPr>
              <w:t>Carretera a Los Dolores con acceso a Villa del Carbón,</w:t>
            </w:r>
          </w:p>
          <w:p>
            <w:pPr>
              <w:pStyle w:val="TableParagraph"/>
              <w:spacing w:line="191" w:lineRule="exact"/>
              <w:rPr>
                <w:sz w:val="16"/>
              </w:rPr>
            </w:pPr>
            <w:r>
              <w:rPr>
                <w:color w:val="231F20"/>
                <w:w w:val="80"/>
                <w:sz w:val="16"/>
              </w:rPr>
              <w:t>14 Km.</w:t>
            </w:r>
          </w:p>
        </w:tc>
        <w:tc>
          <w:tcPr>
            <w:tcW w:w="2340" w:type="dxa"/>
            <w:vMerge w:val="restart"/>
          </w:tcPr>
          <w:p>
            <w:pPr>
              <w:pStyle w:val="TableParagraph"/>
              <w:spacing w:line="163" w:lineRule="exact"/>
              <w:rPr>
                <w:sz w:val="16"/>
              </w:rPr>
            </w:pPr>
            <w:r>
              <w:rPr>
                <w:color w:val="231F20"/>
                <w:w w:val="75"/>
                <w:sz w:val="16"/>
              </w:rPr>
              <w:t>14 comunidades</w:t>
            </w:r>
          </w:p>
        </w:tc>
      </w:tr>
      <w:tr>
        <w:trPr>
          <w:trHeight w:val="130" w:hRule="exact"/>
        </w:trPr>
        <w:tc>
          <w:tcPr>
            <w:tcW w:w="2596" w:type="dxa"/>
            <w:vMerge/>
          </w:tcPr>
          <w:p>
            <w:pPr/>
          </w:p>
        </w:tc>
        <w:tc>
          <w:tcPr>
            <w:tcW w:w="2991" w:type="dxa"/>
          </w:tcPr>
          <w:p>
            <w:pPr>
              <w:pStyle w:val="TableParagraph"/>
              <w:spacing w:line="160" w:lineRule="exact"/>
              <w:rPr>
                <w:sz w:val="16"/>
              </w:rPr>
            </w:pPr>
            <w:r>
              <w:rPr>
                <w:color w:val="231F20"/>
                <w:w w:val="75"/>
                <w:sz w:val="16"/>
              </w:rPr>
              <w:t>Andador Av. Benito Juárez.</w:t>
            </w:r>
          </w:p>
        </w:tc>
        <w:tc>
          <w:tcPr>
            <w:tcW w:w="2340" w:type="dxa"/>
            <w:vMerge/>
          </w:tcPr>
          <w:p>
            <w:pPr/>
          </w:p>
        </w:tc>
      </w:tr>
      <w:tr>
        <w:trPr>
          <w:trHeight w:val="130" w:hRule="exact"/>
        </w:trPr>
        <w:tc>
          <w:tcPr>
            <w:tcW w:w="2596" w:type="dxa"/>
            <w:vMerge/>
          </w:tcPr>
          <w:p>
            <w:pPr/>
          </w:p>
        </w:tc>
        <w:tc>
          <w:tcPr>
            <w:tcW w:w="2991" w:type="dxa"/>
          </w:tcPr>
          <w:p>
            <w:pPr>
              <w:pStyle w:val="TableParagraph"/>
              <w:spacing w:line="160" w:lineRule="exact"/>
              <w:rPr>
                <w:sz w:val="16"/>
              </w:rPr>
            </w:pPr>
            <w:r>
              <w:rPr>
                <w:color w:val="231F20"/>
                <w:w w:val="80"/>
                <w:sz w:val="16"/>
              </w:rPr>
              <w:t>115 mil m² de bases de pavimentación.</w:t>
            </w:r>
          </w:p>
        </w:tc>
        <w:tc>
          <w:tcPr>
            <w:tcW w:w="2340" w:type="dxa"/>
            <w:vMerge/>
          </w:tcPr>
          <w:p>
            <w:pPr/>
          </w:p>
        </w:tc>
      </w:tr>
      <w:tr>
        <w:trPr>
          <w:trHeight w:val="130" w:hRule="exact"/>
        </w:trPr>
        <w:tc>
          <w:tcPr>
            <w:tcW w:w="2596" w:type="dxa"/>
            <w:vMerge/>
          </w:tcPr>
          <w:p>
            <w:pPr/>
          </w:p>
        </w:tc>
        <w:tc>
          <w:tcPr>
            <w:tcW w:w="2991" w:type="dxa"/>
          </w:tcPr>
          <w:p>
            <w:pPr>
              <w:pStyle w:val="TableParagraph"/>
              <w:spacing w:line="160" w:lineRule="exact"/>
              <w:rPr>
                <w:sz w:val="16"/>
              </w:rPr>
            </w:pPr>
            <w:r>
              <w:rPr>
                <w:color w:val="231F20"/>
                <w:w w:val="80"/>
                <w:sz w:val="16"/>
              </w:rPr>
              <w:t>4 mil 883 metros lineales de drenajes.</w:t>
            </w:r>
          </w:p>
        </w:tc>
        <w:tc>
          <w:tcPr>
            <w:tcW w:w="2340" w:type="dxa"/>
            <w:vMerge/>
          </w:tcPr>
          <w:p>
            <w:pPr/>
          </w:p>
        </w:tc>
      </w:tr>
      <w:tr>
        <w:trPr>
          <w:trHeight w:val="130" w:hRule="exact"/>
        </w:trPr>
        <w:tc>
          <w:tcPr>
            <w:tcW w:w="2596" w:type="dxa"/>
            <w:vMerge/>
          </w:tcPr>
          <w:p>
            <w:pPr/>
          </w:p>
        </w:tc>
        <w:tc>
          <w:tcPr>
            <w:tcW w:w="2991" w:type="dxa"/>
          </w:tcPr>
          <w:p>
            <w:pPr>
              <w:pStyle w:val="TableParagraph"/>
              <w:spacing w:line="160" w:lineRule="exact"/>
              <w:rPr>
                <w:sz w:val="16"/>
              </w:rPr>
            </w:pPr>
            <w:r>
              <w:rPr>
                <w:color w:val="231F20"/>
                <w:w w:val="80"/>
                <w:sz w:val="16"/>
              </w:rPr>
              <w:t>4 mil 148 metros de cunetas.</w:t>
            </w:r>
          </w:p>
        </w:tc>
        <w:tc>
          <w:tcPr>
            <w:tcW w:w="2340" w:type="dxa"/>
            <w:vMerge/>
          </w:tcPr>
          <w:p>
            <w:pPr/>
          </w:p>
        </w:tc>
      </w:tr>
      <w:tr>
        <w:trPr>
          <w:trHeight w:val="130" w:hRule="exact"/>
        </w:trPr>
        <w:tc>
          <w:tcPr>
            <w:tcW w:w="2596" w:type="dxa"/>
            <w:vMerge/>
          </w:tcPr>
          <w:p>
            <w:pPr/>
          </w:p>
        </w:tc>
        <w:tc>
          <w:tcPr>
            <w:tcW w:w="2991" w:type="dxa"/>
          </w:tcPr>
          <w:p>
            <w:pPr>
              <w:pStyle w:val="TableParagraph"/>
              <w:spacing w:line="160" w:lineRule="exact"/>
              <w:rPr>
                <w:sz w:val="16"/>
              </w:rPr>
            </w:pPr>
            <w:r>
              <w:rPr>
                <w:color w:val="231F20"/>
                <w:w w:val="80"/>
                <w:sz w:val="16"/>
              </w:rPr>
              <w:t>18 mil 745 metros lineales de guarniciones.</w:t>
            </w:r>
          </w:p>
        </w:tc>
        <w:tc>
          <w:tcPr>
            <w:tcW w:w="2340" w:type="dxa"/>
            <w:vMerge/>
          </w:tcPr>
          <w:p>
            <w:pPr/>
          </w:p>
        </w:tc>
      </w:tr>
      <w:tr>
        <w:trPr>
          <w:trHeight w:val="333" w:hRule="exact"/>
        </w:trPr>
        <w:tc>
          <w:tcPr>
            <w:tcW w:w="2596" w:type="dxa"/>
            <w:vMerge/>
          </w:tcPr>
          <w:p>
            <w:pPr/>
          </w:p>
        </w:tc>
        <w:tc>
          <w:tcPr>
            <w:tcW w:w="2991" w:type="dxa"/>
          </w:tcPr>
          <w:p>
            <w:pPr>
              <w:pStyle w:val="TableParagraph"/>
              <w:spacing w:line="163" w:lineRule="exact"/>
              <w:rPr>
                <w:sz w:val="16"/>
              </w:rPr>
            </w:pPr>
            <w:r>
              <w:rPr>
                <w:color w:val="231F20"/>
                <w:w w:val="80"/>
                <w:sz w:val="16"/>
              </w:rPr>
              <w:t>10 mil 122 m² de banquetas.</w:t>
            </w:r>
          </w:p>
        </w:tc>
        <w:tc>
          <w:tcPr>
            <w:tcW w:w="2340" w:type="dxa"/>
            <w:vMerge/>
          </w:tcPr>
          <w:p>
            <w:pPr/>
          </w:p>
        </w:tc>
      </w:tr>
      <w:tr>
        <w:trPr>
          <w:trHeight w:val="381" w:hRule="exact"/>
        </w:trPr>
        <w:tc>
          <w:tcPr>
            <w:tcW w:w="2596" w:type="dxa"/>
            <w:vMerge/>
          </w:tcPr>
          <w:p>
            <w:pPr/>
          </w:p>
        </w:tc>
        <w:tc>
          <w:tcPr>
            <w:tcW w:w="2991" w:type="dxa"/>
          </w:tcPr>
          <w:p>
            <w:pPr>
              <w:pStyle w:val="TableParagraph"/>
              <w:spacing w:line="163" w:lineRule="exact"/>
              <w:rPr>
                <w:sz w:val="16"/>
              </w:rPr>
            </w:pPr>
            <w:r>
              <w:rPr>
                <w:color w:val="231F20"/>
                <w:w w:val="80"/>
                <w:sz w:val="16"/>
              </w:rPr>
              <w:t>61 mil 286 m² de pavimentaciones.</w:t>
            </w:r>
          </w:p>
        </w:tc>
        <w:tc>
          <w:tcPr>
            <w:tcW w:w="2340" w:type="dxa"/>
            <w:vMerge/>
          </w:tcPr>
          <w:p>
            <w:pPr/>
          </w:p>
        </w:tc>
      </w:tr>
    </w:tbl>
    <w:p>
      <w:pPr>
        <w:pStyle w:val="BodyText"/>
        <w:spacing w:before="2"/>
        <w:rPr>
          <w:b/>
          <w:sz w:val="23"/>
        </w:rPr>
      </w:pPr>
    </w:p>
    <w:p>
      <w:pPr>
        <w:spacing w:before="74"/>
        <w:ind w:left="4711" w:right="-2" w:firstLine="0"/>
        <w:jc w:val="left"/>
        <w:rPr>
          <w:rFonts w:ascii="Calibri"/>
          <w:sz w:val="16"/>
        </w:rPr>
      </w:pPr>
      <w:r>
        <w:rPr>
          <w:rFonts w:ascii="Calibri"/>
          <w:color w:val="231F20"/>
          <w:sz w:val="16"/>
        </w:rPr>
        <w:t>Fuente: Primer Informe de Gobierno Municipal 2007</w:t>
      </w:r>
    </w:p>
    <w:p>
      <w:pPr>
        <w:pStyle w:val="BodyText"/>
        <w:rPr>
          <w:rFonts w:ascii="Calibri"/>
          <w:sz w:val="16"/>
        </w:rPr>
      </w:pPr>
    </w:p>
    <w:p>
      <w:pPr>
        <w:pStyle w:val="BodyText"/>
        <w:spacing w:before="10"/>
        <w:rPr>
          <w:rFonts w:ascii="Calibri"/>
          <w:sz w:val="12"/>
        </w:rPr>
      </w:pPr>
    </w:p>
    <w:p>
      <w:pPr>
        <w:pStyle w:val="BodyText"/>
        <w:spacing w:line="285" w:lineRule="auto"/>
        <w:ind w:left="110" w:right="107"/>
        <w:jc w:val="both"/>
      </w:pPr>
      <w:r>
        <w:rPr>
          <w:color w:val="231F20"/>
          <w:w w:val="105"/>
        </w:rPr>
        <w:t>Se</w:t>
      </w:r>
      <w:r>
        <w:rPr>
          <w:color w:val="231F20"/>
          <w:spacing w:val="-8"/>
          <w:w w:val="105"/>
        </w:rPr>
        <w:t> </w:t>
      </w:r>
      <w:r>
        <w:rPr>
          <w:color w:val="231F20"/>
          <w:w w:val="105"/>
        </w:rPr>
        <w:t>benefició</w:t>
      </w:r>
      <w:r>
        <w:rPr>
          <w:color w:val="231F20"/>
          <w:spacing w:val="-8"/>
          <w:w w:val="105"/>
        </w:rPr>
        <w:t> </w:t>
      </w:r>
      <w:r>
        <w:rPr>
          <w:color w:val="231F20"/>
          <w:w w:val="105"/>
        </w:rPr>
        <w:t>a</w:t>
      </w:r>
      <w:r>
        <w:rPr>
          <w:color w:val="231F20"/>
          <w:spacing w:val="-8"/>
          <w:w w:val="105"/>
        </w:rPr>
        <w:t> </w:t>
      </w:r>
      <w:r>
        <w:rPr>
          <w:color w:val="231F20"/>
          <w:w w:val="105"/>
        </w:rPr>
        <w:t>más</w:t>
      </w:r>
      <w:r>
        <w:rPr>
          <w:color w:val="231F20"/>
          <w:spacing w:val="-8"/>
          <w:w w:val="105"/>
        </w:rPr>
        <w:t> </w:t>
      </w:r>
      <w:r>
        <w:rPr>
          <w:color w:val="231F20"/>
          <w:w w:val="105"/>
        </w:rPr>
        <w:t>de</w:t>
      </w:r>
      <w:r>
        <w:rPr>
          <w:color w:val="231F20"/>
          <w:spacing w:val="-8"/>
          <w:w w:val="105"/>
        </w:rPr>
        <w:t> </w:t>
      </w:r>
      <w:r>
        <w:rPr>
          <w:color w:val="231F20"/>
          <w:w w:val="105"/>
        </w:rPr>
        <w:t>25</w:t>
      </w:r>
      <w:r>
        <w:rPr>
          <w:color w:val="231F20"/>
          <w:spacing w:val="-8"/>
          <w:w w:val="105"/>
        </w:rPr>
        <w:t> </w:t>
      </w:r>
      <w:r>
        <w:rPr>
          <w:color w:val="231F20"/>
          <w:spacing w:val="2"/>
          <w:w w:val="105"/>
        </w:rPr>
        <w:t>mil</w:t>
      </w:r>
      <w:r>
        <w:rPr>
          <w:color w:val="231F20"/>
          <w:spacing w:val="-8"/>
          <w:w w:val="105"/>
        </w:rPr>
        <w:t> </w:t>
      </w:r>
      <w:r>
        <w:rPr>
          <w:color w:val="231F20"/>
          <w:w w:val="105"/>
        </w:rPr>
        <w:t>habitantes,</w:t>
      </w:r>
      <w:r>
        <w:rPr>
          <w:color w:val="231F20"/>
          <w:spacing w:val="-8"/>
          <w:w w:val="105"/>
        </w:rPr>
        <w:t> </w:t>
      </w:r>
      <w:r>
        <w:rPr>
          <w:color w:val="231F20"/>
          <w:w w:val="105"/>
        </w:rPr>
        <w:t>sin</w:t>
      </w:r>
      <w:r>
        <w:rPr>
          <w:color w:val="231F20"/>
          <w:spacing w:val="-8"/>
          <w:w w:val="105"/>
        </w:rPr>
        <w:t> </w:t>
      </w:r>
      <w:r>
        <w:rPr>
          <w:color w:val="231F20"/>
          <w:w w:val="105"/>
        </w:rPr>
        <w:t>embargo</w:t>
      </w:r>
      <w:r>
        <w:rPr>
          <w:color w:val="231F20"/>
          <w:spacing w:val="-8"/>
          <w:w w:val="105"/>
        </w:rPr>
        <w:t> </w:t>
      </w:r>
      <w:r>
        <w:rPr>
          <w:color w:val="231F20"/>
          <w:w w:val="105"/>
        </w:rPr>
        <w:t>la</w:t>
      </w:r>
      <w:r>
        <w:rPr>
          <w:color w:val="231F20"/>
          <w:spacing w:val="-8"/>
          <w:w w:val="105"/>
        </w:rPr>
        <w:t> </w:t>
      </w:r>
      <w:r>
        <w:rPr>
          <w:color w:val="231F20"/>
          <w:w w:val="105"/>
        </w:rPr>
        <w:t>demanda</w:t>
      </w:r>
      <w:r>
        <w:rPr>
          <w:color w:val="231F20"/>
          <w:spacing w:val="-8"/>
          <w:w w:val="105"/>
        </w:rPr>
        <w:t> </w:t>
      </w:r>
      <w:r>
        <w:rPr>
          <w:color w:val="231F20"/>
          <w:w w:val="105"/>
        </w:rPr>
        <w:t>supera</w:t>
      </w:r>
      <w:r>
        <w:rPr>
          <w:color w:val="231F20"/>
          <w:spacing w:val="-8"/>
          <w:w w:val="105"/>
        </w:rPr>
        <w:t> </w:t>
      </w:r>
      <w:r>
        <w:rPr>
          <w:color w:val="231F20"/>
          <w:w w:val="105"/>
        </w:rPr>
        <w:t>en</w:t>
      </w:r>
      <w:r>
        <w:rPr>
          <w:color w:val="231F20"/>
          <w:spacing w:val="-8"/>
          <w:w w:val="105"/>
        </w:rPr>
        <w:t> </w:t>
      </w:r>
      <w:r>
        <w:rPr>
          <w:color w:val="231F20"/>
          <w:spacing w:val="-3"/>
          <w:w w:val="105"/>
        </w:rPr>
        <w:t>mucho</w:t>
      </w:r>
      <w:r>
        <w:rPr>
          <w:color w:val="231F20"/>
          <w:spacing w:val="-8"/>
          <w:w w:val="105"/>
        </w:rPr>
        <w:t> </w:t>
      </w:r>
      <w:r>
        <w:rPr>
          <w:color w:val="231F20"/>
          <w:w w:val="105"/>
        </w:rPr>
        <w:t>a</w:t>
      </w:r>
      <w:r>
        <w:rPr>
          <w:color w:val="231F20"/>
          <w:spacing w:val="-8"/>
          <w:w w:val="105"/>
        </w:rPr>
        <w:t> </w:t>
      </w:r>
      <w:r>
        <w:rPr>
          <w:color w:val="231F20"/>
          <w:w w:val="105"/>
        </w:rPr>
        <w:t>la oferta de atención. </w:t>
      </w:r>
      <w:r>
        <w:rPr>
          <w:color w:val="231F20"/>
          <w:spacing w:val="-3"/>
          <w:w w:val="105"/>
        </w:rPr>
        <w:t>Por </w:t>
      </w:r>
      <w:r>
        <w:rPr>
          <w:color w:val="231F20"/>
          <w:w w:val="105"/>
        </w:rPr>
        <w:t>otro lado, es basado en la misma acción que se nota que, sobre todo</w:t>
      </w:r>
      <w:r>
        <w:rPr>
          <w:color w:val="231F20"/>
          <w:spacing w:val="-24"/>
          <w:w w:val="105"/>
        </w:rPr>
        <w:t> </w:t>
      </w:r>
      <w:r>
        <w:rPr>
          <w:color w:val="231F20"/>
          <w:w w:val="105"/>
        </w:rPr>
        <w:t>aquellos</w:t>
      </w:r>
      <w:r>
        <w:rPr>
          <w:color w:val="231F20"/>
          <w:spacing w:val="-24"/>
          <w:w w:val="105"/>
        </w:rPr>
        <w:t> </w:t>
      </w:r>
      <w:r>
        <w:rPr>
          <w:color w:val="231F20"/>
          <w:w w:val="105"/>
        </w:rPr>
        <w:t>espacios</w:t>
      </w:r>
      <w:r>
        <w:rPr>
          <w:color w:val="231F20"/>
          <w:spacing w:val="-24"/>
          <w:w w:val="105"/>
        </w:rPr>
        <w:t> </w:t>
      </w:r>
      <w:r>
        <w:rPr>
          <w:color w:val="231F20"/>
          <w:w w:val="105"/>
        </w:rPr>
        <w:t>y</w:t>
      </w:r>
      <w:r>
        <w:rPr>
          <w:color w:val="231F20"/>
          <w:spacing w:val="-24"/>
          <w:w w:val="105"/>
        </w:rPr>
        <w:t> </w:t>
      </w:r>
      <w:r>
        <w:rPr>
          <w:color w:val="231F20"/>
          <w:w w:val="105"/>
        </w:rPr>
        <w:t>lugares</w:t>
      </w:r>
      <w:r>
        <w:rPr>
          <w:color w:val="231F20"/>
          <w:spacing w:val="-24"/>
          <w:w w:val="105"/>
        </w:rPr>
        <w:t> </w:t>
      </w:r>
      <w:r>
        <w:rPr>
          <w:color w:val="231F20"/>
          <w:w w:val="105"/>
        </w:rPr>
        <w:t>que</w:t>
      </w:r>
      <w:r>
        <w:rPr>
          <w:color w:val="231F20"/>
          <w:spacing w:val="-24"/>
          <w:w w:val="105"/>
        </w:rPr>
        <w:t> </w:t>
      </w:r>
      <w:r>
        <w:rPr>
          <w:color w:val="231F20"/>
          <w:w w:val="105"/>
        </w:rPr>
        <w:t>tienen</w:t>
      </w:r>
      <w:r>
        <w:rPr>
          <w:color w:val="231F20"/>
          <w:spacing w:val="-24"/>
          <w:w w:val="105"/>
        </w:rPr>
        <w:t> </w:t>
      </w:r>
      <w:r>
        <w:rPr>
          <w:color w:val="231F20"/>
          <w:w w:val="105"/>
        </w:rPr>
        <w:t>una</w:t>
      </w:r>
      <w:r>
        <w:rPr>
          <w:color w:val="231F20"/>
          <w:spacing w:val="-24"/>
          <w:w w:val="105"/>
        </w:rPr>
        <w:t> </w:t>
      </w:r>
      <w:r>
        <w:rPr>
          <w:color w:val="231F20"/>
          <w:w w:val="105"/>
        </w:rPr>
        <w:t>afluencia</w:t>
      </w:r>
      <w:r>
        <w:rPr>
          <w:color w:val="231F20"/>
          <w:spacing w:val="-24"/>
          <w:w w:val="105"/>
        </w:rPr>
        <w:t> </w:t>
      </w:r>
      <w:r>
        <w:rPr>
          <w:color w:val="231F20"/>
          <w:w w:val="105"/>
        </w:rPr>
        <w:t>de</w:t>
      </w:r>
      <w:r>
        <w:rPr>
          <w:color w:val="231F20"/>
          <w:spacing w:val="-24"/>
          <w:w w:val="105"/>
        </w:rPr>
        <w:t> </w:t>
      </w:r>
      <w:r>
        <w:rPr>
          <w:color w:val="231F20"/>
          <w:w w:val="105"/>
        </w:rPr>
        <w:t>visitantes,</w:t>
      </w:r>
      <w:r>
        <w:rPr>
          <w:color w:val="231F20"/>
          <w:spacing w:val="-24"/>
          <w:w w:val="105"/>
        </w:rPr>
        <w:t> </w:t>
      </w:r>
      <w:r>
        <w:rPr>
          <w:color w:val="231F20"/>
          <w:w w:val="105"/>
        </w:rPr>
        <w:t>han</w:t>
      </w:r>
      <w:r>
        <w:rPr>
          <w:color w:val="231F20"/>
          <w:spacing w:val="-24"/>
          <w:w w:val="105"/>
        </w:rPr>
        <w:t> </w:t>
      </w:r>
      <w:r>
        <w:rPr>
          <w:color w:val="231F20"/>
          <w:w w:val="105"/>
        </w:rPr>
        <w:t>sido</w:t>
      </w:r>
      <w:r>
        <w:rPr>
          <w:color w:val="231F20"/>
          <w:spacing w:val="-24"/>
          <w:w w:val="105"/>
        </w:rPr>
        <w:t> </w:t>
      </w:r>
      <w:r>
        <w:rPr>
          <w:color w:val="231F20"/>
          <w:w w:val="105"/>
        </w:rPr>
        <w:t>el</w:t>
      </w:r>
      <w:r>
        <w:rPr>
          <w:color w:val="231F20"/>
          <w:spacing w:val="-24"/>
          <w:w w:val="105"/>
        </w:rPr>
        <w:t> </w:t>
      </w:r>
      <w:r>
        <w:rPr>
          <w:color w:val="231F20"/>
          <w:w w:val="105"/>
        </w:rPr>
        <w:t>objeto de</w:t>
      </w:r>
      <w:r>
        <w:rPr>
          <w:color w:val="231F20"/>
          <w:spacing w:val="-23"/>
          <w:w w:val="105"/>
        </w:rPr>
        <w:t> </w:t>
      </w:r>
      <w:r>
        <w:rPr>
          <w:color w:val="231F20"/>
          <w:w w:val="105"/>
        </w:rPr>
        <w:t>atención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obra</w:t>
      </w:r>
      <w:r>
        <w:rPr>
          <w:color w:val="231F20"/>
          <w:spacing w:val="-23"/>
          <w:w w:val="105"/>
        </w:rPr>
        <w:t> </w:t>
      </w:r>
      <w:r>
        <w:rPr>
          <w:color w:val="231F20"/>
          <w:w w:val="105"/>
        </w:rPr>
        <w:t>pública.</w:t>
      </w:r>
      <w:r>
        <w:rPr>
          <w:color w:val="231F20"/>
          <w:spacing w:val="-23"/>
          <w:w w:val="105"/>
        </w:rPr>
        <w:t> </w:t>
      </w:r>
      <w:r>
        <w:rPr>
          <w:color w:val="231F20"/>
          <w:w w:val="105"/>
        </w:rPr>
        <w:t>Es</w:t>
      </w:r>
      <w:r>
        <w:rPr>
          <w:color w:val="231F20"/>
          <w:spacing w:val="-23"/>
          <w:w w:val="105"/>
        </w:rPr>
        <w:t> </w:t>
      </w:r>
      <w:r>
        <w:rPr>
          <w:color w:val="231F20"/>
          <w:w w:val="105"/>
        </w:rPr>
        <w:t>perceptible</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necesidad</w:t>
      </w:r>
      <w:r>
        <w:rPr>
          <w:color w:val="231F20"/>
          <w:spacing w:val="-23"/>
          <w:w w:val="105"/>
        </w:rPr>
        <w:t> </w:t>
      </w:r>
      <w:r>
        <w:rPr>
          <w:color w:val="231F20"/>
          <w:w w:val="105"/>
        </w:rPr>
        <w:t>de</w:t>
      </w:r>
      <w:r>
        <w:rPr>
          <w:color w:val="231F20"/>
          <w:spacing w:val="-23"/>
          <w:w w:val="105"/>
        </w:rPr>
        <w:t> </w:t>
      </w:r>
      <w:r>
        <w:rPr>
          <w:color w:val="231F20"/>
          <w:w w:val="105"/>
        </w:rPr>
        <w:t>incorporar</w:t>
      </w:r>
      <w:r>
        <w:rPr>
          <w:color w:val="231F20"/>
          <w:spacing w:val="-23"/>
          <w:w w:val="105"/>
        </w:rPr>
        <w:t> </w:t>
      </w:r>
      <w:r>
        <w:rPr>
          <w:color w:val="231F20"/>
          <w:w w:val="105"/>
        </w:rPr>
        <w:t>más</w:t>
      </w:r>
      <w:r>
        <w:rPr>
          <w:color w:val="231F20"/>
          <w:spacing w:val="-23"/>
          <w:w w:val="105"/>
        </w:rPr>
        <w:t> </w:t>
      </w:r>
      <w:r>
        <w:rPr>
          <w:color w:val="231F20"/>
          <w:w w:val="105"/>
        </w:rPr>
        <w:t>fuentes y</w:t>
      </w:r>
      <w:r>
        <w:rPr>
          <w:color w:val="231F20"/>
          <w:spacing w:val="-13"/>
          <w:w w:val="105"/>
        </w:rPr>
        <w:t> </w:t>
      </w:r>
      <w:r>
        <w:rPr>
          <w:color w:val="231F20"/>
          <w:w w:val="105"/>
        </w:rPr>
        <w:t>opciones</w:t>
      </w:r>
      <w:r>
        <w:rPr>
          <w:color w:val="231F20"/>
          <w:spacing w:val="-13"/>
          <w:w w:val="105"/>
        </w:rPr>
        <w:t> </w:t>
      </w:r>
      <w:r>
        <w:rPr>
          <w:color w:val="231F20"/>
          <w:w w:val="105"/>
        </w:rPr>
        <w:t>de</w:t>
      </w:r>
      <w:r>
        <w:rPr>
          <w:color w:val="231F20"/>
          <w:spacing w:val="-13"/>
          <w:w w:val="105"/>
        </w:rPr>
        <w:t> </w:t>
      </w:r>
      <w:r>
        <w:rPr>
          <w:color w:val="231F20"/>
          <w:w w:val="105"/>
        </w:rPr>
        <w:t>actividad</w:t>
      </w:r>
      <w:r>
        <w:rPr>
          <w:color w:val="231F20"/>
          <w:spacing w:val="-13"/>
          <w:w w:val="105"/>
        </w:rPr>
        <w:t> </w:t>
      </w:r>
      <w:r>
        <w:rPr>
          <w:color w:val="231F20"/>
          <w:w w:val="105"/>
        </w:rPr>
        <w:t>económica</w:t>
      </w:r>
      <w:r>
        <w:rPr>
          <w:color w:val="231F20"/>
          <w:spacing w:val="-13"/>
          <w:w w:val="105"/>
        </w:rPr>
        <w:t> </w:t>
      </w:r>
      <w:r>
        <w:rPr>
          <w:color w:val="231F20"/>
          <w:w w:val="105"/>
        </w:rPr>
        <w:t>hace</w:t>
      </w:r>
      <w:r>
        <w:rPr>
          <w:color w:val="231F20"/>
          <w:spacing w:val="-13"/>
          <w:w w:val="105"/>
        </w:rPr>
        <w:t> </w:t>
      </w:r>
      <w:r>
        <w:rPr>
          <w:color w:val="231F20"/>
          <w:w w:val="105"/>
        </w:rPr>
        <w:t>imperioso</w:t>
      </w:r>
      <w:r>
        <w:rPr>
          <w:color w:val="231F20"/>
          <w:spacing w:val="-13"/>
          <w:w w:val="105"/>
        </w:rPr>
        <w:t> </w:t>
      </w:r>
      <w:r>
        <w:rPr>
          <w:color w:val="231F20"/>
          <w:w w:val="105"/>
        </w:rPr>
        <w:t>contar</w:t>
      </w:r>
      <w:r>
        <w:rPr>
          <w:color w:val="231F20"/>
          <w:spacing w:val="-13"/>
          <w:w w:val="105"/>
        </w:rPr>
        <w:t> </w:t>
      </w:r>
      <w:r>
        <w:rPr>
          <w:color w:val="231F20"/>
          <w:w w:val="105"/>
        </w:rPr>
        <w:t>con</w:t>
      </w:r>
      <w:r>
        <w:rPr>
          <w:color w:val="231F20"/>
          <w:spacing w:val="-13"/>
          <w:w w:val="105"/>
        </w:rPr>
        <w:t> </w:t>
      </w:r>
      <w:r>
        <w:rPr>
          <w:color w:val="231F20"/>
          <w:w w:val="105"/>
        </w:rPr>
        <w:t>una</w:t>
      </w:r>
      <w:r>
        <w:rPr>
          <w:color w:val="231F20"/>
          <w:spacing w:val="-13"/>
          <w:w w:val="105"/>
        </w:rPr>
        <w:t> </w:t>
      </w:r>
      <w:r>
        <w:rPr>
          <w:color w:val="231F20"/>
          <w:w w:val="105"/>
        </w:rPr>
        <w:t>apariencia</w:t>
      </w:r>
      <w:r>
        <w:rPr>
          <w:color w:val="231F20"/>
          <w:spacing w:val="-13"/>
          <w:w w:val="105"/>
        </w:rPr>
        <w:t> </w:t>
      </w:r>
      <w:r>
        <w:rPr>
          <w:color w:val="231F20"/>
          <w:w w:val="105"/>
        </w:rPr>
        <w:t>mejorada del</w:t>
      </w:r>
      <w:r>
        <w:rPr>
          <w:color w:val="231F20"/>
          <w:spacing w:val="-8"/>
          <w:w w:val="105"/>
        </w:rPr>
        <w:t> </w:t>
      </w:r>
      <w:r>
        <w:rPr>
          <w:color w:val="231F20"/>
          <w:w w:val="105"/>
        </w:rPr>
        <w:t>entorno</w:t>
      </w:r>
      <w:r>
        <w:rPr>
          <w:color w:val="231F20"/>
          <w:spacing w:val="-8"/>
          <w:w w:val="105"/>
        </w:rPr>
        <w:t> </w:t>
      </w:r>
      <w:r>
        <w:rPr>
          <w:color w:val="231F20"/>
          <w:w w:val="105"/>
        </w:rPr>
        <w:t>urbano.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misma</w:t>
      </w:r>
      <w:r>
        <w:rPr>
          <w:color w:val="231F20"/>
          <w:spacing w:val="-8"/>
          <w:w w:val="105"/>
        </w:rPr>
        <w:t> </w:t>
      </w:r>
      <w:r>
        <w:rPr>
          <w:color w:val="231F20"/>
          <w:w w:val="105"/>
        </w:rPr>
        <w:t>dimensión</w:t>
      </w:r>
      <w:r>
        <w:rPr>
          <w:color w:val="231F20"/>
          <w:spacing w:val="-8"/>
          <w:w w:val="105"/>
        </w:rPr>
        <w:t> </w:t>
      </w:r>
      <w:r>
        <w:rPr>
          <w:color w:val="231F20"/>
          <w:w w:val="105"/>
        </w:rPr>
        <w:t>se</w:t>
      </w:r>
      <w:r>
        <w:rPr>
          <w:color w:val="231F20"/>
          <w:spacing w:val="-8"/>
          <w:w w:val="105"/>
        </w:rPr>
        <w:t> </w:t>
      </w:r>
      <w:r>
        <w:rPr>
          <w:color w:val="231F20"/>
          <w:w w:val="105"/>
        </w:rPr>
        <w:t>advierte</w:t>
      </w:r>
      <w:r>
        <w:rPr>
          <w:color w:val="231F20"/>
          <w:spacing w:val="-8"/>
          <w:w w:val="105"/>
        </w:rPr>
        <w:t> </w:t>
      </w:r>
      <w:r>
        <w:rPr>
          <w:color w:val="231F20"/>
          <w:w w:val="105"/>
        </w:rPr>
        <w:t>la</w:t>
      </w:r>
      <w:r>
        <w:rPr>
          <w:color w:val="231F20"/>
          <w:spacing w:val="-8"/>
          <w:w w:val="105"/>
        </w:rPr>
        <w:t> </w:t>
      </w:r>
      <w:r>
        <w:rPr>
          <w:color w:val="231F20"/>
          <w:w w:val="105"/>
        </w:rPr>
        <w:t>integración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ánimos</w:t>
      </w:r>
      <w:r>
        <w:rPr>
          <w:color w:val="231F20"/>
          <w:spacing w:val="-8"/>
          <w:w w:val="105"/>
        </w:rPr>
        <w:t> </w:t>
      </w:r>
      <w:r>
        <w:rPr>
          <w:color w:val="231F20"/>
          <w:w w:val="105"/>
        </w:rPr>
        <w:t>de la población para con las autoridades, buscando mejorar la imagen de las mismas y el apoyo</w:t>
      </w:r>
      <w:r>
        <w:rPr>
          <w:color w:val="231F20"/>
          <w:spacing w:val="-12"/>
          <w:w w:val="105"/>
        </w:rPr>
        <w:t> </w:t>
      </w:r>
      <w:r>
        <w:rPr>
          <w:color w:val="231F20"/>
          <w:w w:val="105"/>
        </w:rPr>
        <w:t>tácito</w:t>
      </w:r>
      <w:r>
        <w:rPr>
          <w:color w:val="231F20"/>
          <w:spacing w:val="-12"/>
          <w:w w:val="105"/>
        </w:rPr>
        <w:t> </w:t>
      </w:r>
      <w:r>
        <w:rPr>
          <w:color w:val="231F20"/>
          <w:w w:val="105"/>
        </w:rPr>
        <w:t>en</w:t>
      </w:r>
      <w:r>
        <w:rPr>
          <w:color w:val="231F20"/>
          <w:spacing w:val="-12"/>
          <w:w w:val="105"/>
        </w:rPr>
        <w:t> </w:t>
      </w:r>
      <w:r>
        <w:rPr>
          <w:color w:val="231F20"/>
          <w:w w:val="105"/>
        </w:rPr>
        <w:t>algunos</w:t>
      </w:r>
      <w:r>
        <w:rPr>
          <w:color w:val="231F20"/>
          <w:spacing w:val="-12"/>
          <w:w w:val="105"/>
        </w:rPr>
        <w:t> </w:t>
      </w:r>
      <w:r>
        <w:rPr>
          <w:color w:val="231F20"/>
          <w:w w:val="105"/>
        </w:rPr>
        <w:t>casos,</w:t>
      </w:r>
      <w:r>
        <w:rPr>
          <w:color w:val="231F20"/>
          <w:spacing w:val="-12"/>
          <w:w w:val="105"/>
        </w:rPr>
        <w:t> </w:t>
      </w:r>
      <w:r>
        <w:rPr>
          <w:color w:val="231F20"/>
          <w:w w:val="105"/>
        </w:rPr>
        <w:t>(por</w:t>
      </w:r>
      <w:r>
        <w:rPr>
          <w:color w:val="231F20"/>
          <w:spacing w:val="-12"/>
          <w:w w:val="105"/>
        </w:rPr>
        <w:t> </w:t>
      </w:r>
      <w:r>
        <w:rPr>
          <w:color w:val="231F20"/>
          <w:spacing w:val="-3"/>
          <w:w w:val="105"/>
        </w:rPr>
        <w:t>ejemplo</w:t>
      </w:r>
      <w:r>
        <w:rPr>
          <w:color w:val="231F20"/>
          <w:spacing w:val="-12"/>
          <w:w w:val="105"/>
        </w:rPr>
        <w:t> </w:t>
      </w:r>
      <w:r>
        <w:rPr>
          <w:color w:val="231F20"/>
          <w:w w:val="105"/>
        </w:rPr>
        <w:t>los</w:t>
      </w:r>
      <w:r>
        <w:rPr>
          <w:color w:val="231F20"/>
          <w:spacing w:val="-12"/>
          <w:w w:val="105"/>
        </w:rPr>
        <w:t> </w:t>
      </w:r>
      <w:r>
        <w:rPr>
          <w:color w:val="231F20"/>
          <w:w w:val="105"/>
        </w:rPr>
        <w:t>comerciantes)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habitantes</w:t>
      </w:r>
      <w:r>
        <w:rPr>
          <w:color w:val="231F20"/>
          <w:spacing w:val="-12"/>
          <w:w w:val="105"/>
        </w:rPr>
        <w:t> </w:t>
      </w:r>
      <w:r>
        <w:rPr>
          <w:color w:val="231F20"/>
          <w:w w:val="105"/>
        </w:rPr>
        <w:t>de</w:t>
      </w:r>
      <w:r>
        <w:rPr>
          <w:color w:val="231F20"/>
          <w:spacing w:val="-12"/>
          <w:w w:val="105"/>
        </w:rPr>
        <w:t> </w:t>
      </w:r>
      <w:r>
        <w:rPr>
          <w:color w:val="231F20"/>
          <w:w w:val="105"/>
        </w:rPr>
        <w:t>las zonas más altamente</w:t>
      </w:r>
      <w:r>
        <w:rPr>
          <w:color w:val="231F20"/>
          <w:spacing w:val="-2"/>
          <w:w w:val="105"/>
        </w:rPr>
        <w:t> </w:t>
      </w:r>
      <w:r>
        <w:rPr>
          <w:color w:val="231F20"/>
          <w:w w:val="105"/>
        </w:rPr>
        <w:t>urbanizadas.</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8"/>
          <w:w w:val="105"/>
        </w:rPr>
        <w:t> </w:t>
      </w:r>
      <w:r>
        <w:rPr>
          <w:color w:val="231F20"/>
          <w:w w:val="105"/>
        </w:rPr>
        <w:t>suma,</w:t>
      </w:r>
      <w:r>
        <w:rPr>
          <w:color w:val="231F20"/>
          <w:spacing w:val="-18"/>
          <w:w w:val="105"/>
        </w:rPr>
        <w:t> </w:t>
      </w:r>
      <w:r>
        <w:rPr>
          <w:color w:val="231F20"/>
          <w:w w:val="105"/>
        </w:rPr>
        <w:t>el</w:t>
      </w:r>
      <w:r>
        <w:rPr>
          <w:color w:val="231F20"/>
          <w:spacing w:val="-18"/>
          <w:w w:val="105"/>
        </w:rPr>
        <w:t> </w:t>
      </w:r>
      <w:r>
        <w:rPr>
          <w:color w:val="231F20"/>
          <w:w w:val="105"/>
        </w:rPr>
        <w:t>aspecto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obra</w:t>
      </w:r>
      <w:r>
        <w:rPr>
          <w:color w:val="231F20"/>
          <w:spacing w:val="-18"/>
          <w:w w:val="105"/>
        </w:rPr>
        <w:t> </w:t>
      </w:r>
      <w:r>
        <w:rPr>
          <w:color w:val="231F20"/>
          <w:w w:val="105"/>
        </w:rPr>
        <w:t>pública</w:t>
      </w:r>
      <w:r>
        <w:rPr>
          <w:color w:val="231F20"/>
          <w:spacing w:val="-18"/>
          <w:w w:val="105"/>
        </w:rPr>
        <w:t> </w:t>
      </w:r>
      <w:r>
        <w:rPr>
          <w:color w:val="231F20"/>
          <w:w w:val="105"/>
        </w:rPr>
        <w:t>se</w:t>
      </w:r>
      <w:r>
        <w:rPr>
          <w:color w:val="231F20"/>
          <w:spacing w:val="-18"/>
          <w:w w:val="105"/>
        </w:rPr>
        <w:t> </w:t>
      </w:r>
      <w:r>
        <w:rPr>
          <w:color w:val="231F20"/>
          <w:w w:val="105"/>
        </w:rPr>
        <w:t>maneja</w:t>
      </w:r>
      <w:r>
        <w:rPr>
          <w:color w:val="231F20"/>
          <w:spacing w:val="-18"/>
          <w:w w:val="105"/>
        </w:rPr>
        <w:t> </w:t>
      </w:r>
      <w:r>
        <w:rPr>
          <w:color w:val="231F20"/>
          <w:w w:val="105"/>
        </w:rPr>
        <w:t>como</w:t>
      </w:r>
      <w:r>
        <w:rPr>
          <w:color w:val="231F20"/>
          <w:spacing w:val="-18"/>
          <w:w w:val="105"/>
        </w:rPr>
        <w:t> </w:t>
      </w:r>
      <w:r>
        <w:rPr>
          <w:color w:val="231F20"/>
          <w:w w:val="105"/>
        </w:rPr>
        <w:t>si</w:t>
      </w:r>
      <w:r>
        <w:rPr>
          <w:color w:val="231F20"/>
          <w:spacing w:val="-18"/>
          <w:w w:val="105"/>
        </w:rPr>
        <w:t> </w:t>
      </w:r>
      <w:r>
        <w:rPr>
          <w:color w:val="231F20"/>
          <w:w w:val="105"/>
        </w:rPr>
        <w:t>fuera</w:t>
      </w:r>
      <w:r>
        <w:rPr>
          <w:color w:val="231F20"/>
          <w:spacing w:val="-18"/>
          <w:w w:val="105"/>
        </w:rPr>
        <w:t> </w:t>
      </w:r>
      <w:r>
        <w:rPr>
          <w:color w:val="231F20"/>
          <w:w w:val="105"/>
        </w:rPr>
        <w:t>un</w:t>
      </w:r>
      <w:r>
        <w:rPr>
          <w:color w:val="231F20"/>
          <w:spacing w:val="-18"/>
          <w:w w:val="105"/>
        </w:rPr>
        <w:t> </w:t>
      </w:r>
      <w:r>
        <w:rPr>
          <w:color w:val="231F20"/>
          <w:w w:val="105"/>
        </w:rPr>
        <w:t>logro</w:t>
      </w:r>
      <w:r>
        <w:rPr>
          <w:color w:val="231F20"/>
          <w:spacing w:val="-18"/>
          <w:w w:val="105"/>
        </w:rPr>
        <w:t> </w:t>
      </w:r>
      <w:r>
        <w:rPr>
          <w:color w:val="231F20"/>
          <w:w w:val="105"/>
        </w:rPr>
        <w:t>casi</w:t>
      </w:r>
      <w:r>
        <w:rPr>
          <w:color w:val="231F20"/>
          <w:spacing w:val="-18"/>
          <w:w w:val="105"/>
        </w:rPr>
        <w:t> </w:t>
      </w:r>
      <w:r>
        <w:rPr>
          <w:color w:val="231F20"/>
          <w:w w:val="105"/>
        </w:rPr>
        <w:t>personal</w:t>
      </w:r>
      <w:r>
        <w:rPr>
          <w:color w:val="231F20"/>
          <w:spacing w:val="-18"/>
          <w:w w:val="105"/>
        </w:rPr>
        <w:t> </w:t>
      </w:r>
      <w:r>
        <w:rPr>
          <w:color w:val="231F20"/>
          <w:w w:val="105"/>
        </w:rPr>
        <w:t>de la</w:t>
      </w:r>
      <w:r>
        <w:rPr>
          <w:color w:val="231F20"/>
          <w:spacing w:val="-15"/>
          <w:w w:val="105"/>
        </w:rPr>
        <w:t> </w:t>
      </w:r>
      <w:r>
        <w:rPr>
          <w:color w:val="231F20"/>
          <w:w w:val="105"/>
        </w:rPr>
        <w:t>actual</w:t>
      </w:r>
      <w:r>
        <w:rPr>
          <w:color w:val="231F20"/>
          <w:spacing w:val="-15"/>
          <w:w w:val="105"/>
        </w:rPr>
        <w:t> </w:t>
      </w:r>
      <w:r>
        <w:rPr>
          <w:color w:val="231F20"/>
          <w:w w:val="105"/>
        </w:rPr>
        <w:t>administración,</w:t>
      </w:r>
      <w:r>
        <w:rPr>
          <w:color w:val="231F20"/>
          <w:spacing w:val="-15"/>
          <w:w w:val="105"/>
        </w:rPr>
        <w:t> </w:t>
      </w:r>
      <w:r>
        <w:rPr>
          <w:color w:val="231F20"/>
          <w:w w:val="105"/>
        </w:rPr>
        <w:t>cuando</w:t>
      </w:r>
      <w:r>
        <w:rPr>
          <w:color w:val="231F20"/>
          <w:spacing w:val="-15"/>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obligación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misma;</w:t>
      </w:r>
      <w:r>
        <w:rPr>
          <w:color w:val="231F20"/>
          <w:spacing w:val="-15"/>
          <w:w w:val="105"/>
        </w:rPr>
        <w:t> </w:t>
      </w:r>
      <w:r>
        <w:rPr>
          <w:color w:val="231F20"/>
          <w:w w:val="105"/>
        </w:rPr>
        <w:t>y</w:t>
      </w:r>
      <w:r>
        <w:rPr>
          <w:color w:val="231F20"/>
          <w:spacing w:val="-15"/>
          <w:w w:val="105"/>
        </w:rPr>
        <w:t> </w:t>
      </w:r>
      <w:r>
        <w:rPr>
          <w:color w:val="231F20"/>
          <w:w w:val="105"/>
        </w:rPr>
        <w:t>más</w:t>
      </w:r>
      <w:r>
        <w:rPr>
          <w:color w:val="231F20"/>
          <w:spacing w:val="-15"/>
          <w:w w:val="105"/>
        </w:rPr>
        <w:t> </w:t>
      </w:r>
      <w:r>
        <w:rPr>
          <w:color w:val="231F20"/>
          <w:w w:val="105"/>
        </w:rPr>
        <w:t>aún,</w:t>
      </w:r>
      <w:r>
        <w:rPr>
          <w:color w:val="231F20"/>
          <w:spacing w:val="-15"/>
          <w:w w:val="105"/>
        </w:rPr>
        <w:t> </w:t>
      </w:r>
      <w:r>
        <w:rPr>
          <w:color w:val="231F20"/>
          <w:w w:val="105"/>
        </w:rPr>
        <w:t>es</w:t>
      </w:r>
      <w:r>
        <w:rPr>
          <w:color w:val="231F20"/>
          <w:spacing w:val="-15"/>
          <w:w w:val="105"/>
        </w:rPr>
        <w:t> </w:t>
      </w:r>
      <w:r>
        <w:rPr>
          <w:color w:val="231F20"/>
          <w:w w:val="105"/>
        </w:rPr>
        <w:t>resultado de una estrategia estatal con </w:t>
      </w:r>
      <w:r>
        <w:rPr>
          <w:color w:val="231F20"/>
          <w:spacing w:val="2"/>
          <w:w w:val="105"/>
        </w:rPr>
        <w:t>miras </w:t>
      </w:r>
      <w:r>
        <w:rPr>
          <w:color w:val="231F20"/>
          <w:w w:val="105"/>
        </w:rPr>
        <w:t>a generar la mejor de las imágenes ante la opinión pública</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con</w:t>
      </w:r>
      <w:r>
        <w:rPr>
          <w:color w:val="231F20"/>
          <w:spacing w:val="-16"/>
          <w:w w:val="105"/>
        </w:rPr>
        <w:t> </w:t>
      </w:r>
      <w:r>
        <w:rPr>
          <w:color w:val="231F20"/>
          <w:w w:val="105"/>
        </w:rPr>
        <w:t>proyección</w:t>
      </w:r>
      <w:r>
        <w:rPr>
          <w:color w:val="231F20"/>
          <w:spacing w:val="-16"/>
          <w:w w:val="105"/>
        </w:rPr>
        <w:t> </w:t>
      </w:r>
      <w:r>
        <w:rPr>
          <w:color w:val="231F20"/>
          <w:w w:val="105"/>
        </w:rPr>
        <w:t>a</w:t>
      </w:r>
      <w:r>
        <w:rPr>
          <w:color w:val="231F20"/>
          <w:spacing w:val="-16"/>
          <w:w w:val="105"/>
        </w:rPr>
        <w:t> </w:t>
      </w:r>
      <w:r>
        <w:rPr>
          <w:color w:val="231F20"/>
          <w:spacing w:val="2"/>
          <w:w w:val="105"/>
        </w:rPr>
        <w:t>futuras</w:t>
      </w:r>
      <w:r>
        <w:rPr>
          <w:color w:val="231F20"/>
          <w:spacing w:val="-16"/>
          <w:w w:val="105"/>
        </w:rPr>
        <w:t> </w:t>
      </w:r>
      <w:r>
        <w:rPr>
          <w:color w:val="231F20"/>
          <w:w w:val="105"/>
        </w:rPr>
        <w:t>contiendas</w:t>
      </w:r>
      <w:r>
        <w:rPr>
          <w:color w:val="231F20"/>
          <w:spacing w:val="-16"/>
          <w:w w:val="105"/>
        </w:rPr>
        <w:t> </w:t>
      </w:r>
      <w:r>
        <w:rPr>
          <w:color w:val="231F20"/>
          <w:w w:val="105"/>
        </w:rPr>
        <w:t>políticas.</w:t>
      </w:r>
    </w:p>
    <w:p>
      <w:pPr>
        <w:pStyle w:val="BodyText"/>
        <w:spacing w:before="9"/>
      </w:pPr>
    </w:p>
    <w:p>
      <w:pPr>
        <w:pStyle w:val="Heading3"/>
      </w:pPr>
      <w:r>
        <w:rPr>
          <w:color w:val="231F20"/>
          <w:w w:val="105"/>
        </w:rPr>
        <w:t>Conclusiones</w:t>
      </w:r>
    </w:p>
    <w:p>
      <w:pPr>
        <w:pStyle w:val="BodyText"/>
        <w:spacing w:line="285" w:lineRule="auto" w:before="38"/>
        <w:ind w:left="110" w:right="107"/>
        <w:jc w:val="both"/>
      </w:pPr>
      <w:r>
        <w:rPr>
          <w:color w:val="231F20"/>
          <w:w w:val="105"/>
        </w:rPr>
        <w:t>La gestión gubernamental se caracteriza por tener una línea de trabajo que resalta los beneficios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acuerdos</w:t>
      </w:r>
      <w:r>
        <w:rPr>
          <w:color w:val="231F20"/>
          <w:spacing w:val="-16"/>
          <w:w w:val="105"/>
        </w:rPr>
        <w:t> </w:t>
      </w:r>
      <w:r>
        <w:rPr>
          <w:color w:val="231F20"/>
          <w:w w:val="105"/>
        </w:rPr>
        <w:t>entre</w:t>
      </w:r>
      <w:r>
        <w:rPr>
          <w:color w:val="231F20"/>
          <w:spacing w:val="-16"/>
          <w:w w:val="105"/>
        </w:rPr>
        <w:t> </w:t>
      </w:r>
      <w:r>
        <w:rPr>
          <w:color w:val="231F20"/>
          <w:w w:val="105"/>
        </w:rPr>
        <w:t>los</w:t>
      </w:r>
      <w:r>
        <w:rPr>
          <w:color w:val="231F20"/>
          <w:spacing w:val="-16"/>
          <w:w w:val="105"/>
        </w:rPr>
        <w:t> </w:t>
      </w:r>
      <w:r>
        <w:rPr>
          <w:color w:val="231F20"/>
          <w:w w:val="105"/>
        </w:rPr>
        <w:t>diferentes</w:t>
      </w:r>
      <w:r>
        <w:rPr>
          <w:color w:val="231F20"/>
          <w:spacing w:val="-16"/>
          <w:w w:val="105"/>
        </w:rPr>
        <w:t> </w:t>
      </w:r>
      <w:r>
        <w:rPr>
          <w:color w:val="231F20"/>
          <w:w w:val="105"/>
        </w:rPr>
        <w:t>actores</w:t>
      </w:r>
      <w:r>
        <w:rPr>
          <w:color w:val="231F20"/>
          <w:spacing w:val="-16"/>
          <w:w w:val="105"/>
        </w:rPr>
        <w:t> </w:t>
      </w:r>
      <w:r>
        <w:rPr>
          <w:color w:val="231F20"/>
          <w:w w:val="105"/>
        </w:rPr>
        <w:t>políticos</w:t>
      </w:r>
      <w:r>
        <w:rPr>
          <w:color w:val="231F20"/>
          <w:spacing w:val="-16"/>
          <w:w w:val="105"/>
        </w:rPr>
        <w:t> </w:t>
      </w:r>
      <w:r>
        <w:rPr>
          <w:color w:val="231F20"/>
          <w:w w:val="105"/>
        </w:rPr>
        <w:t>y</w:t>
      </w:r>
      <w:r>
        <w:rPr>
          <w:color w:val="231F20"/>
          <w:spacing w:val="-16"/>
          <w:w w:val="105"/>
        </w:rPr>
        <w:t> </w:t>
      </w:r>
      <w:r>
        <w:rPr>
          <w:color w:val="231F20"/>
          <w:w w:val="105"/>
        </w:rPr>
        <w:t>económicos</w:t>
      </w:r>
      <w:r>
        <w:rPr>
          <w:color w:val="231F20"/>
          <w:spacing w:val="-16"/>
          <w:w w:val="105"/>
        </w:rPr>
        <w:t> </w:t>
      </w:r>
      <w:r>
        <w:rPr>
          <w:color w:val="231F20"/>
          <w:w w:val="105"/>
        </w:rPr>
        <w:t>del</w:t>
      </w:r>
      <w:r>
        <w:rPr>
          <w:color w:val="231F20"/>
          <w:spacing w:val="-16"/>
          <w:w w:val="105"/>
        </w:rPr>
        <w:t> </w:t>
      </w:r>
      <w:r>
        <w:rPr>
          <w:color w:val="231F20"/>
          <w:w w:val="105"/>
        </w:rPr>
        <w:t>muni- </w:t>
      </w:r>
      <w:r>
        <w:rPr>
          <w:color w:val="231F20"/>
          <w:spacing w:val="-3"/>
          <w:w w:val="105"/>
        </w:rPr>
        <w:t>cipio. </w:t>
      </w:r>
      <w:r>
        <w:rPr>
          <w:color w:val="231F20"/>
          <w:w w:val="105"/>
        </w:rPr>
        <w:t>Contiene un sentido de la oportunidad que se manifiesta por la alta apreciación que</w:t>
      </w:r>
      <w:r>
        <w:rPr>
          <w:color w:val="231F20"/>
          <w:spacing w:val="-16"/>
          <w:w w:val="105"/>
        </w:rPr>
        <w:t> </w:t>
      </w:r>
      <w:r>
        <w:rPr>
          <w:color w:val="231F20"/>
          <w:w w:val="105"/>
        </w:rPr>
        <w:t>se</w:t>
      </w:r>
      <w:r>
        <w:rPr>
          <w:color w:val="231F20"/>
          <w:spacing w:val="-16"/>
          <w:w w:val="105"/>
        </w:rPr>
        <w:t> </w:t>
      </w:r>
      <w:r>
        <w:rPr>
          <w:color w:val="231F20"/>
          <w:w w:val="105"/>
        </w:rPr>
        <w:t>tiene</w:t>
      </w:r>
      <w:r>
        <w:rPr>
          <w:color w:val="231F20"/>
          <w:spacing w:val="-16"/>
          <w:w w:val="105"/>
        </w:rPr>
        <w:t> </w:t>
      </w:r>
      <w:r>
        <w:rPr>
          <w:color w:val="231F20"/>
          <w:spacing w:val="2"/>
          <w:w w:val="105"/>
        </w:rPr>
        <w:t>al</w:t>
      </w:r>
      <w:r>
        <w:rPr>
          <w:color w:val="231F20"/>
          <w:spacing w:val="-16"/>
          <w:w w:val="105"/>
        </w:rPr>
        <w:t> </w:t>
      </w:r>
      <w:r>
        <w:rPr>
          <w:color w:val="231F20"/>
          <w:w w:val="105"/>
        </w:rPr>
        <w:t>trabajo</w:t>
      </w:r>
      <w:r>
        <w:rPr>
          <w:color w:val="231F20"/>
          <w:spacing w:val="-16"/>
          <w:w w:val="105"/>
        </w:rPr>
        <w:t> </w:t>
      </w:r>
      <w:r>
        <w:rPr>
          <w:color w:val="231F20"/>
          <w:w w:val="105"/>
        </w:rPr>
        <w:t>público,</w:t>
      </w:r>
      <w:r>
        <w:rPr>
          <w:color w:val="231F20"/>
          <w:spacing w:val="-16"/>
          <w:w w:val="105"/>
        </w:rPr>
        <w:t> </w:t>
      </w:r>
      <w:r>
        <w:rPr>
          <w:color w:val="231F20"/>
          <w:w w:val="105"/>
        </w:rPr>
        <w:t>ya</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esboza</w:t>
      </w:r>
      <w:r>
        <w:rPr>
          <w:color w:val="231F20"/>
          <w:spacing w:val="-16"/>
          <w:w w:val="105"/>
        </w:rPr>
        <w:t> </w:t>
      </w:r>
      <w:r>
        <w:rPr>
          <w:color w:val="231F20"/>
          <w:w w:val="105"/>
        </w:rPr>
        <w:t>un</w:t>
      </w:r>
      <w:r>
        <w:rPr>
          <w:color w:val="231F20"/>
          <w:spacing w:val="-16"/>
          <w:w w:val="105"/>
        </w:rPr>
        <w:t> </w:t>
      </w:r>
      <w:r>
        <w:rPr>
          <w:color w:val="231F20"/>
          <w:w w:val="105"/>
        </w:rPr>
        <w:t>posicionamiento</w:t>
      </w:r>
      <w:r>
        <w:rPr>
          <w:color w:val="231F20"/>
          <w:spacing w:val="-16"/>
          <w:w w:val="105"/>
        </w:rPr>
        <w:t> </w:t>
      </w:r>
      <w:r>
        <w:rPr>
          <w:color w:val="231F20"/>
          <w:w w:val="105"/>
        </w:rPr>
        <w:t>político</w:t>
      </w:r>
      <w:r>
        <w:rPr>
          <w:color w:val="231F20"/>
          <w:spacing w:val="-16"/>
          <w:w w:val="105"/>
        </w:rPr>
        <w:t> </w:t>
      </w:r>
      <w:r>
        <w:rPr>
          <w:color w:val="231F20"/>
          <w:w w:val="105"/>
        </w:rPr>
        <w:t>del</w:t>
      </w:r>
      <w:r>
        <w:rPr>
          <w:color w:val="231F20"/>
          <w:spacing w:val="-16"/>
          <w:w w:val="105"/>
        </w:rPr>
        <w:t> </w:t>
      </w:r>
      <w:r>
        <w:rPr>
          <w:color w:val="231F20"/>
          <w:w w:val="105"/>
        </w:rPr>
        <w:t>trabajo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gubernamental asociado al del PRI, tanto local como del estado en general.</w:t>
      </w:r>
    </w:p>
    <w:p>
      <w:pPr>
        <w:pStyle w:val="BodyText"/>
        <w:spacing w:before="2"/>
        <w:rPr>
          <w:sz w:val="30"/>
        </w:rPr>
      </w:pPr>
    </w:p>
    <w:p>
      <w:pPr>
        <w:pStyle w:val="BodyText"/>
        <w:spacing w:line="285" w:lineRule="auto"/>
        <w:ind w:left="110" w:right="107"/>
        <w:jc w:val="both"/>
      </w:pPr>
      <w:r>
        <w:rPr>
          <w:color w:val="231F20"/>
          <w:w w:val="105"/>
        </w:rPr>
        <w:t>Se reconoce una integración de gente con sentido de la ubicación profesional, ello es ostensible por el trabajo administrativo que tiende a resaltar y publicitar las acciones administrativas.</w:t>
      </w:r>
      <w:r>
        <w:rPr>
          <w:color w:val="231F20"/>
          <w:spacing w:val="-9"/>
          <w:w w:val="105"/>
        </w:rPr>
        <w:t> </w:t>
      </w:r>
      <w:r>
        <w:rPr>
          <w:color w:val="231F20"/>
          <w:spacing w:val="-3"/>
          <w:w w:val="105"/>
        </w:rPr>
        <w:t>Por</w:t>
      </w:r>
      <w:r>
        <w:rPr>
          <w:color w:val="231F20"/>
          <w:spacing w:val="-9"/>
          <w:w w:val="105"/>
        </w:rPr>
        <w:t> </w:t>
      </w:r>
      <w:r>
        <w:rPr>
          <w:color w:val="231F20"/>
          <w:w w:val="105"/>
        </w:rPr>
        <w:t>otro</w:t>
      </w:r>
      <w:r>
        <w:rPr>
          <w:color w:val="231F20"/>
          <w:spacing w:val="-9"/>
          <w:w w:val="105"/>
        </w:rPr>
        <w:t> </w:t>
      </w:r>
      <w:r>
        <w:rPr>
          <w:color w:val="231F20"/>
          <w:w w:val="105"/>
        </w:rPr>
        <w:t>lado,</w:t>
      </w:r>
      <w:r>
        <w:rPr>
          <w:color w:val="231F20"/>
          <w:spacing w:val="-9"/>
          <w:w w:val="105"/>
        </w:rPr>
        <w:t> </w:t>
      </w:r>
      <w:r>
        <w:rPr>
          <w:color w:val="231F20"/>
          <w:w w:val="105"/>
        </w:rPr>
        <w:t>la</w:t>
      </w:r>
      <w:r>
        <w:rPr>
          <w:color w:val="231F20"/>
          <w:spacing w:val="-9"/>
          <w:w w:val="105"/>
        </w:rPr>
        <w:t> </w:t>
      </w:r>
      <w:r>
        <w:rPr>
          <w:color w:val="231F20"/>
          <w:w w:val="105"/>
        </w:rPr>
        <w:t>estructura</w:t>
      </w:r>
      <w:r>
        <w:rPr>
          <w:color w:val="231F20"/>
          <w:spacing w:val="-9"/>
          <w:w w:val="105"/>
        </w:rPr>
        <w:t> </w:t>
      </w:r>
      <w:r>
        <w:rPr>
          <w:color w:val="231F20"/>
          <w:w w:val="105"/>
        </w:rPr>
        <w:t>administrativa</w:t>
      </w:r>
      <w:r>
        <w:rPr>
          <w:color w:val="231F20"/>
          <w:spacing w:val="-9"/>
          <w:w w:val="105"/>
        </w:rPr>
        <w:t> </w:t>
      </w:r>
      <w:r>
        <w:rPr>
          <w:color w:val="231F20"/>
          <w:w w:val="105"/>
        </w:rPr>
        <w:t>aún</w:t>
      </w:r>
      <w:r>
        <w:rPr>
          <w:color w:val="231F20"/>
          <w:spacing w:val="-9"/>
          <w:w w:val="105"/>
        </w:rPr>
        <w:t> </w:t>
      </w:r>
      <w:r>
        <w:rPr>
          <w:color w:val="231F20"/>
          <w:w w:val="105"/>
        </w:rPr>
        <w:t>denota</w:t>
      </w:r>
      <w:r>
        <w:rPr>
          <w:color w:val="231F20"/>
          <w:spacing w:val="-9"/>
          <w:w w:val="105"/>
        </w:rPr>
        <w:t> </w:t>
      </w:r>
      <w:r>
        <w:rPr>
          <w:color w:val="231F20"/>
          <w:w w:val="105"/>
        </w:rPr>
        <w:t>fallas,</w:t>
      </w:r>
      <w:r>
        <w:rPr>
          <w:color w:val="231F20"/>
          <w:spacing w:val="-9"/>
          <w:w w:val="105"/>
        </w:rPr>
        <w:t> </w:t>
      </w:r>
      <w:r>
        <w:rPr>
          <w:color w:val="231F20"/>
          <w:w w:val="105"/>
        </w:rPr>
        <w:t>derivadas sobre</w:t>
      </w:r>
      <w:r>
        <w:rPr>
          <w:color w:val="231F20"/>
          <w:spacing w:val="-9"/>
          <w:w w:val="105"/>
        </w:rPr>
        <w:t> </w:t>
      </w:r>
      <w:r>
        <w:rPr>
          <w:color w:val="231F20"/>
          <w:w w:val="105"/>
        </w:rPr>
        <w:t>todo</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inexistencia</w:t>
      </w:r>
      <w:r>
        <w:rPr>
          <w:color w:val="231F20"/>
          <w:spacing w:val="-9"/>
          <w:w w:val="105"/>
        </w:rPr>
        <w:t> </w:t>
      </w:r>
      <w:r>
        <w:rPr>
          <w:color w:val="231F20"/>
          <w:w w:val="105"/>
        </w:rPr>
        <w:t>de</w:t>
      </w:r>
      <w:r>
        <w:rPr>
          <w:color w:val="231F20"/>
          <w:spacing w:val="-9"/>
          <w:w w:val="105"/>
        </w:rPr>
        <w:t> </w:t>
      </w:r>
      <w:r>
        <w:rPr>
          <w:color w:val="231F20"/>
          <w:w w:val="105"/>
        </w:rPr>
        <w:t>manuales</w:t>
      </w:r>
      <w:r>
        <w:rPr>
          <w:color w:val="231F20"/>
          <w:spacing w:val="-9"/>
          <w:w w:val="105"/>
        </w:rPr>
        <w:t> </w:t>
      </w:r>
      <w:r>
        <w:rPr>
          <w:color w:val="231F20"/>
          <w:w w:val="105"/>
        </w:rPr>
        <w:t>que</w:t>
      </w:r>
      <w:r>
        <w:rPr>
          <w:color w:val="231F20"/>
          <w:spacing w:val="-9"/>
          <w:w w:val="105"/>
        </w:rPr>
        <w:t> </w:t>
      </w:r>
      <w:r>
        <w:rPr>
          <w:color w:val="231F20"/>
          <w:w w:val="105"/>
        </w:rPr>
        <w:t>indiquen</w:t>
      </w:r>
      <w:r>
        <w:rPr>
          <w:color w:val="231F20"/>
          <w:spacing w:val="-9"/>
          <w:w w:val="105"/>
        </w:rPr>
        <w:t> </w:t>
      </w:r>
      <w:r>
        <w:rPr>
          <w:color w:val="231F20"/>
          <w:w w:val="105"/>
        </w:rPr>
        <w:t>y</w:t>
      </w:r>
      <w:r>
        <w:rPr>
          <w:color w:val="231F20"/>
          <w:spacing w:val="-8"/>
          <w:w w:val="105"/>
        </w:rPr>
        <w:t> </w:t>
      </w:r>
      <w:r>
        <w:rPr>
          <w:color w:val="231F20"/>
          <w:w w:val="105"/>
        </w:rPr>
        <w:t>precisen,</w:t>
      </w:r>
      <w:r>
        <w:rPr>
          <w:color w:val="231F20"/>
          <w:spacing w:val="-9"/>
          <w:w w:val="105"/>
        </w:rPr>
        <w:t> </w:t>
      </w:r>
      <w:r>
        <w:rPr>
          <w:color w:val="231F20"/>
          <w:w w:val="105"/>
        </w:rPr>
        <w:t>tanto</w:t>
      </w:r>
      <w:r>
        <w:rPr>
          <w:color w:val="231F20"/>
          <w:spacing w:val="-8"/>
          <w:w w:val="105"/>
        </w:rPr>
        <w:t> </w:t>
      </w:r>
      <w:r>
        <w:rPr>
          <w:color w:val="231F20"/>
          <w:w w:val="105"/>
        </w:rPr>
        <w:t>para</w:t>
      </w:r>
      <w:r>
        <w:rPr>
          <w:color w:val="231F20"/>
          <w:spacing w:val="-9"/>
          <w:w w:val="105"/>
        </w:rPr>
        <w:t> </w:t>
      </w:r>
      <w:r>
        <w:rPr>
          <w:color w:val="231F20"/>
          <w:w w:val="105"/>
        </w:rPr>
        <w:t>los</w:t>
      </w:r>
      <w:r>
        <w:rPr>
          <w:color w:val="231F20"/>
          <w:spacing w:val="-9"/>
          <w:w w:val="105"/>
        </w:rPr>
        <w:t> </w:t>
      </w:r>
      <w:r>
        <w:rPr>
          <w:color w:val="231F20"/>
          <w:spacing w:val="-3"/>
          <w:w w:val="105"/>
        </w:rPr>
        <w:t>ser- </w:t>
      </w:r>
      <w:r>
        <w:rPr>
          <w:color w:val="231F20"/>
          <w:w w:val="105"/>
        </w:rPr>
        <w:t>vidores</w:t>
      </w:r>
      <w:r>
        <w:rPr>
          <w:color w:val="231F20"/>
          <w:spacing w:val="-18"/>
          <w:w w:val="105"/>
        </w:rPr>
        <w:t> </w:t>
      </w:r>
      <w:r>
        <w:rPr>
          <w:color w:val="231F20"/>
          <w:w w:val="105"/>
        </w:rPr>
        <w:t>públicos</w:t>
      </w:r>
      <w:r>
        <w:rPr>
          <w:color w:val="231F20"/>
          <w:spacing w:val="-18"/>
          <w:w w:val="105"/>
        </w:rPr>
        <w:t> </w:t>
      </w:r>
      <w:r>
        <w:rPr>
          <w:color w:val="231F20"/>
          <w:w w:val="105"/>
        </w:rPr>
        <w:t>como</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usuario,</w:t>
      </w:r>
      <w:r>
        <w:rPr>
          <w:color w:val="231F20"/>
          <w:spacing w:val="-18"/>
          <w:w w:val="105"/>
        </w:rPr>
        <w:t> </w:t>
      </w:r>
      <w:r>
        <w:rPr>
          <w:color w:val="231F20"/>
          <w:w w:val="105"/>
        </w:rPr>
        <w:t>las</w:t>
      </w:r>
      <w:r>
        <w:rPr>
          <w:color w:val="231F20"/>
          <w:spacing w:val="-18"/>
          <w:w w:val="105"/>
        </w:rPr>
        <w:t> </w:t>
      </w:r>
      <w:r>
        <w:rPr>
          <w:color w:val="231F20"/>
          <w:w w:val="105"/>
        </w:rPr>
        <w:t>atribuciones</w:t>
      </w:r>
      <w:r>
        <w:rPr>
          <w:color w:val="231F20"/>
          <w:spacing w:val="-18"/>
          <w:w w:val="105"/>
        </w:rPr>
        <w:t> </w:t>
      </w:r>
      <w:r>
        <w:rPr>
          <w:color w:val="231F20"/>
          <w:w w:val="105"/>
        </w:rPr>
        <w:t>y</w:t>
      </w:r>
      <w:r>
        <w:rPr>
          <w:color w:val="231F20"/>
          <w:spacing w:val="-18"/>
          <w:w w:val="105"/>
        </w:rPr>
        <w:t> </w:t>
      </w:r>
      <w:r>
        <w:rPr>
          <w:color w:val="231F20"/>
          <w:w w:val="105"/>
        </w:rPr>
        <w:t>trabajos</w:t>
      </w:r>
      <w:r>
        <w:rPr>
          <w:color w:val="231F20"/>
          <w:spacing w:val="-18"/>
          <w:w w:val="105"/>
        </w:rPr>
        <w:t> </w:t>
      </w:r>
      <w:r>
        <w:rPr>
          <w:color w:val="231F20"/>
          <w:w w:val="105"/>
        </w:rPr>
        <w:t>encomendados.</w:t>
      </w:r>
    </w:p>
    <w:p>
      <w:pPr>
        <w:pStyle w:val="BodyText"/>
        <w:spacing w:before="1"/>
        <w:rPr>
          <w:sz w:val="26"/>
        </w:rPr>
      </w:pPr>
    </w:p>
    <w:p>
      <w:pPr>
        <w:pStyle w:val="BodyText"/>
        <w:spacing w:line="285" w:lineRule="auto"/>
        <w:ind w:left="110" w:right="108"/>
        <w:jc w:val="both"/>
      </w:pPr>
      <w:r>
        <w:rPr>
          <w:color w:val="231F20"/>
          <w:w w:val="105"/>
        </w:rPr>
        <w:t>A</w:t>
      </w:r>
      <w:r>
        <w:rPr>
          <w:color w:val="231F20"/>
          <w:spacing w:val="-7"/>
          <w:w w:val="105"/>
        </w:rPr>
        <w:t> </w:t>
      </w:r>
      <w:r>
        <w:rPr>
          <w:color w:val="231F20"/>
          <w:w w:val="105"/>
        </w:rPr>
        <w:t>pesar</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acciones</w:t>
      </w:r>
      <w:r>
        <w:rPr>
          <w:color w:val="231F20"/>
          <w:spacing w:val="-7"/>
          <w:w w:val="105"/>
        </w:rPr>
        <w:t> </w:t>
      </w:r>
      <w:r>
        <w:rPr>
          <w:color w:val="231F20"/>
          <w:w w:val="105"/>
        </w:rPr>
        <w:t>y</w:t>
      </w:r>
      <w:r>
        <w:rPr>
          <w:color w:val="231F20"/>
          <w:spacing w:val="-7"/>
          <w:w w:val="105"/>
        </w:rPr>
        <w:t> </w:t>
      </w:r>
      <w:r>
        <w:rPr>
          <w:color w:val="231F20"/>
          <w:w w:val="105"/>
        </w:rPr>
        <w:t>trabajos</w:t>
      </w:r>
      <w:r>
        <w:rPr>
          <w:color w:val="231F20"/>
          <w:spacing w:val="-7"/>
          <w:w w:val="105"/>
        </w:rPr>
        <w:t> </w:t>
      </w:r>
      <w:r>
        <w:rPr>
          <w:color w:val="231F20"/>
          <w:w w:val="105"/>
        </w:rPr>
        <w:t>de</w:t>
      </w:r>
      <w:r>
        <w:rPr>
          <w:color w:val="231F20"/>
          <w:spacing w:val="-7"/>
          <w:w w:val="105"/>
        </w:rPr>
        <w:t> </w:t>
      </w:r>
      <w:r>
        <w:rPr>
          <w:color w:val="231F20"/>
          <w:w w:val="105"/>
        </w:rPr>
        <w:t>ampliación</w:t>
      </w:r>
      <w:r>
        <w:rPr>
          <w:color w:val="231F20"/>
          <w:spacing w:val="-7"/>
          <w:w w:val="105"/>
        </w:rPr>
        <w:t> </w:t>
      </w:r>
      <w:r>
        <w:rPr>
          <w:color w:val="231F20"/>
          <w:w w:val="105"/>
        </w:rPr>
        <w:t>de</w:t>
      </w:r>
      <w:r>
        <w:rPr>
          <w:color w:val="231F20"/>
          <w:spacing w:val="-7"/>
          <w:w w:val="105"/>
        </w:rPr>
        <w:t> </w:t>
      </w:r>
      <w:r>
        <w:rPr>
          <w:color w:val="231F20"/>
          <w:w w:val="105"/>
        </w:rPr>
        <w:t>servicios,</w:t>
      </w:r>
      <w:r>
        <w:rPr>
          <w:color w:val="231F20"/>
          <w:spacing w:val="-7"/>
          <w:w w:val="105"/>
        </w:rPr>
        <w:t> </w:t>
      </w:r>
      <w:r>
        <w:rPr>
          <w:color w:val="231F20"/>
          <w:w w:val="105"/>
        </w:rPr>
        <w:t>se</w:t>
      </w:r>
      <w:r>
        <w:rPr>
          <w:color w:val="231F20"/>
          <w:spacing w:val="-7"/>
          <w:w w:val="105"/>
        </w:rPr>
        <w:t> </w:t>
      </w:r>
      <w:r>
        <w:rPr>
          <w:color w:val="231F20"/>
          <w:w w:val="105"/>
        </w:rPr>
        <w:t>sigue</w:t>
      </w:r>
      <w:r>
        <w:rPr>
          <w:color w:val="231F20"/>
          <w:spacing w:val="-7"/>
          <w:w w:val="105"/>
        </w:rPr>
        <w:t> </w:t>
      </w:r>
      <w:r>
        <w:rPr>
          <w:color w:val="231F20"/>
          <w:w w:val="105"/>
        </w:rPr>
        <w:t>dependiendo</w:t>
      </w:r>
      <w:r>
        <w:rPr>
          <w:color w:val="231F20"/>
          <w:spacing w:val="-7"/>
          <w:w w:val="105"/>
        </w:rPr>
        <w:t> </w:t>
      </w:r>
      <w:r>
        <w:rPr>
          <w:color w:val="231F20"/>
          <w:w w:val="105"/>
        </w:rPr>
        <w:t>de la infraestructura de otros municipios, por </w:t>
      </w:r>
      <w:r>
        <w:rPr>
          <w:color w:val="231F20"/>
          <w:spacing w:val="-3"/>
          <w:w w:val="105"/>
        </w:rPr>
        <w:t>ejemplo </w:t>
      </w:r>
      <w:r>
        <w:rPr>
          <w:color w:val="231F20"/>
          <w:w w:val="105"/>
        </w:rPr>
        <w:t>en materia de salud pública y edu- cación</w:t>
      </w:r>
      <w:r>
        <w:rPr>
          <w:color w:val="231F20"/>
          <w:spacing w:val="-37"/>
          <w:w w:val="105"/>
        </w:rPr>
        <w:t> </w:t>
      </w:r>
      <w:r>
        <w:rPr>
          <w:color w:val="231F20"/>
          <w:w w:val="105"/>
        </w:rPr>
        <w:t>superior.</w:t>
      </w:r>
    </w:p>
    <w:p>
      <w:pPr>
        <w:pStyle w:val="BodyText"/>
        <w:spacing w:before="1"/>
        <w:rPr>
          <w:sz w:val="26"/>
        </w:rPr>
      </w:pPr>
    </w:p>
    <w:p>
      <w:pPr>
        <w:pStyle w:val="BodyText"/>
        <w:spacing w:line="285" w:lineRule="auto"/>
        <w:ind w:left="110" w:right="108"/>
        <w:jc w:val="both"/>
      </w:pPr>
      <w:r>
        <w:rPr>
          <w:color w:val="231F20"/>
          <w:w w:val="105"/>
        </w:rPr>
        <w:t>Las carencias económicas se intentan remediar sobre todo con la ampliación de los centros de atracción turística, lo que comienza a generar la aparición de pequeños co- mercios, muchos de ellos no registrados o denominados como informales.</w:t>
      </w:r>
    </w:p>
    <w:p>
      <w:pPr>
        <w:pStyle w:val="BodyText"/>
        <w:spacing w:before="1"/>
        <w:rPr>
          <w:sz w:val="26"/>
        </w:rPr>
      </w:pPr>
    </w:p>
    <w:p>
      <w:pPr>
        <w:pStyle w:val="BodyText"/>
        <w:spacing w:line="285" w:lineRule="auto"/>
        <w:ind w:left="110" w:right="108"/>
        <w:jc w:val="both"/>
      </w:pPr>
      <w:r>
        <w:rPr>
          <w:color w:val="231F20"/>
          <w:w w:val="105"/>
        </w:rPr>
        <w:t>Una derivación de lo </w:t>
      </w:r>
      <w:r>
        <w:rPr>
          <w:color w:val="231F20"/>
          <w:spacing w:val="-3"/>
          <w:w w:val="105"/>
        </w:rPr>
        <w:t>anterior, </w:t>
      </w:r>
      <w:r>
        <w:rPr>
          <w:color w:val="231F20"/>
          <w:w w:val="105"/>
        </w:rPr>
        <w:t>es la aplicación de recursos en obra pública que destaca por su implementación a </w:t>
      </w:r>
      <w:r>
        <w:rPr>
          <w:color w:val="231F20"/>
          <w:spacing w:val="2"/>
          <w:w w:val="105"/>
        </w:rPr>
        <w:t>partir </w:t>
      </w:r>
      <w:r>
        <w:rPr>
          <w:color w:val="231F20"/>
          <w:w w:val="105"/>
        </w:rPr>
        <w:t>de una visión de mejora urbana y esencialmente de integración</w:t>
      </w:r>
      <w:r>
        <w:rPr>
          <w:color w:val="231F20"/>
          <w:spacing w:val="-9"/>
          <w:w w:val="105"/>
        </w:rPr>
        <w:t> </w:t>
      </w:r>
      <w:r>
        <w:rPr>
          <w:color w:val="231F20"/>
          <w:w w:val="105"/>
        </w:rPr>
        <w:t>de</w:t>
      </w:r>
      <w:r>
        <w:rPr>
          <w:color w:val="231F20"/>
          <w:spacing w:val="-9"/>
          <w:w w:val="105"/>
        </w:rPr>
        <w:t> </w:t>
      </w:r>
      <w:r>
        <w:rPr>
          <w:color w:val="231F20"/>
          <w:w w:val="105"/>
        </w:rPr>
        <w:t>vialidades</w:t>
      </w:r>
      <w:r>
        <w:rPr>
          <w:color w:val="231F20"/>
          <w:spacing w:val="-9"/>
          <w:w w:val="105"/>
        </w:rPr>
        <w:t> </w:t>
      </w:r>
      <w:r>
        <w:rPr>
          <w:color w:val="231F20"/>
          <w:w w:val="105"/>
        </w:rPr>
        <w:t>y</w:t>
      </w:r>
      <w:r>
        <w:rPr>
          <w:color w:val="231F20"/>
          <w:spacing w:val="-9"/>
          <w:w w:val="105"/>
        </w:rPr>
        <w:t> </w:t>
      </w:r>
      <w:r>
        <w:rPr>
          <w:color w:val="231F20"/>
          <w:w w:val="105"/>
        </w:rPr>
        <w:t>su</w:t>
      </w:r>
      <w:r>
        <w:rPr>
          <w:color w:val="231F20"/>
          <w:spacing w:val="-9"/>
          <w:w w:val="105"/>
        </w:rPr>
        <w:t> </w:t>
      </w:r>
      <w:r>
        <w:rPr>
          <w:color w:val="231F20"/>
          <w:w w:val="105"/>
        </w:rPr>
        <w:t>ampliación</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recorridos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visitantes</w:t>
      </w:r>
      <w:r>
        <w:rPr>
          <w:color w:val="231F20"/>
          <w:spacing w:val="-9"/>
          <w:w w:val="105"/>
        </w:rPr>
        <w:t> </w:t>
      </w:r>
      <w:r>
        <w:rPr>
          <w:color w:val="231F20"/>
          <w:w w:val="105"/>
        </w:rPr>
        <w:t>foráneos.</w:t>
      </w:r>
      <w:r>
        <w:rPr>
          <w:color w:val="231F20"/>
          <w:spacing w:val="-9"/>
          <w:w w:val="105"/>
        </w:rPr>
        <w:t> </w:t>
      </w:r>
      <w:r>
        <w:rPr>
          <w:color w:val="231F20"/>
          <w:w w:val="105"/>
        </w:rPr>
        <w:t>El asunto es positivo, pero aún existen zonas en </w:t>
      </w:r>
      <w:r>
        <w:rPr>
          <w:color w:val="231F20"/>
          <w:spacing w:val="-3"/>
          <w:w w:val="105"/>
        </w:rPr>
        <w:t>donde </w:t>
      </w:r>
      <w:r>
        <w:rPr>
          <w:color w:val="231F20"/>
          <w:w w:val="105"/>
        </w:rPr>
        <w:t>los servicios públicos no se han establecido,</w:t>
      </w:r>
      <w:r>
        <w:rPr>
          <w:color w:val="231F20"/>
          <w:spacing w:val="-14"/>
          <w:w w:val="105"/>
        </w:rPr>
        <w:t> </w:t>
      </w:r>
      <w:r>
        <w:rPr>
          <w:color w:val="231F20"/>
          <w:w w:val="105"/>
        </w:rPr>
        <w:t>a</w:t>
      </w:r>
      <w:r>
        <w:rPr>
          <w:color w:val="231F20"/>
          <w:spacing w:val="-14"/>
          <w:w w:val="105"/>
        </w:rPr>
        <w:t> </w:t>
      </w:r>
      <w:r>
        <w:rPr>
          <w:color w:val="231F20"/>
          <w:w w:val="105"/>
        </w:rPr>
        <w:t>pesar</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montos</w:t>
      </w:r>
      <w:r>
        <w:rPr>
          <w:color w:val="231F20"/>
          <w:spacing w:val="-14"/>
          <w:w w:val="105"/>
        </w:rPr>
        <w:t> </w:t>
      </w:r>
      <w:r>
        <w:rPr>
          <w:color w:val="231F20"/>
          <w:w w:val="105"/>
        </w:rPr>
        <w:t>presupuestales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erogan.</w:t>
      </w:r>
    </w:p>
    <w:p>
      <w:pPr>
        <w:pStyle w:val="BodyText"/>
        <w:spacing w:before="1"/>
        <w:rPr>
          <w:sz w:val="26"/>
        </w:rPr>
      </w:pPr>
    </w:p>
    <w:p>
      <w:pPr>
        <w:pStyle w:val="BodyText"/>
        <w:spacing w:line="285" w:lineRule="auto"/>
        <w:ind w:left="110" w:right="108"/>
        <w:jc w:val="both"/>
      </w:pPr>
      <w:r>
        <w:rPr>
          <w:color w:val="231F20"/>
          <w:w w:val="105"/>
        </w:rPr>
        <w:t>En suma, la gestión gubernamental es organizacionalmente eficiente, pues cumple el cometido principal de ofrecer la atención primaria a sus pobladores. </w:t>
      </w:r>
      <w:r>
        <w:rPr>
          <w:color w:val="231F20"/>
          <w:spacing w:val="-3"/>
          <w:w w:val="105"/>
        </w:rPr>
        <w:t>Por </w:t>
      </w:r>
      <w:r>
        <w:rPr>
          <w:color w:val="231F20"/>
          <w:w w:val="105"/>
        </w:rPr>
        <w:t>otro lado, el ejercicio</w:t>
      </w:r>
      <w:r>
        <w:rPr>
          <w:color w:val="231F20"/>
          <w:spacing w:val="-19"/>
          <w:w w:val="105"/>
        </w:rPr>
        <w:t> </w:t>
      </w:r>
      <w:r>
        <w:rPr>
          <w:color w:val="231F20"/>
          <w:w w:val="105"/>
        </w:rPr>
        <w:t>del</w:t>
      </w:r>
      <w:r>
        <w:rPr>
          <w:color w:val="231F20"/>
          <w:spacing w:val="-19"/>
          <w:w w:val="105"/>
        </w:rPr>
        <w:t> </w:t>
      </w:r>
      <w:r>
        <w:rPr>
          <w:color w:val="231F20"/>
          <w:w w:val="105"/>
        </w:rPr>
        <w:t>gasto</w:t>
      </w:r>
      <w:r>
        <w:rPr>
          <w:color w:val="231F20"/>
          <w:spacing w:val="-19"/>
          <w:w w:val="105"/>
        </w:rPr>
        <w:t> </w:t>
      </w:r>
      <w:r>
        <w:rPr>
          <w:color w:val="231F20"/>
          <w:w w:val="105"/>
        </w:rPr>
        <w:t>se</w:t>
      </w:r>
      <w:r>
        <w:rPr>
          <w:color w:val="231F20"/>
          <w:spacing w:val="-19"/>
          <w:w w:val="105"/>
        </w:rPr>
        <w:t> </w:t>
      </w:r>
      <w:r>
        <w:rPr>
          <w:color w:val="231F20"/>
          <w:w w:val="105"/>
        </w:rPr>
        <w:t>aplica</w:t>
      </w:r>
      <w:r>
        <w:rPr>
          <w:color w:val="231F20"/>
          <w:spacing w:val="-19"/>
          <w:w w:val="105"/>
        </w:rPr>
        <w:t> </w:t>
      </w:r>
      <w:r>
        <w:rPr>
          <w:color w:val="231F20"/>
          <w:w w:val="105"/>
        </w:rPr>
        <w:t>en</w:t>
      </w:r>
      <w:r>
        <w:rPr>
          <w:color w:val="231F20"/>
          <w:spacing w:val="-19"/>
          <w:w w:val="105"/>
        </w:rPr>
        <w:t> </w:t>
      </w:r>
      <w:r>
        <w:rPr>
          <w:color w:val="231F20"/>
          <w:w w:val="105"/>
        </w:rPr>
        <w:t>acciones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pueden</w:t>
      </w:r>
      <w:r>
        <w:rPr>
          <w:color w:val="231F20"/>
          <w:spacing w:val="-19"/>
          <w:w w:val="105"/>
        </w:rPr>
        <w:t> </w:t>
      </w:r>
      <w:r>
        <w:rPr>
          <w:color w:val="231F20"/>
          <w:spacing w:val="-5"/>
          <w:w w:val="105"/>
        </w:rPr>
        <w:t>ver,</w:t>
      </w:r>
      <w:r>
        <w:rPr>
          <w:color w:val="231F20"/>
          <w:spacing w:val="-19"/>
          <w:w w:val="105"/>
        </w:rPr>
        <w:t> </w:t>
      </w:r>
      <w:r>
        <w:rPr>
          <w:color w:val="231F20"/>
          <w:w w:val="105"/>
        </w:rPr>
        <w:t>es</w:t>
      </w:r>
      <w:r>
        <w:rPr>
          <w:color w:val="231F20"/>
          <w:spacing w:val="-19"/>
          <w:w w:val="105"/>
        </w:rPr>
        <w:t> </w:t>
      </w:r>
      <w:r>
        <w:rPr>
          <w:color w:val="231F20"/>
          <w:w w:val="105"/>
        </w:rPr>
        <w:t>decir,</w:t>
      </w:r>
      <w:r>
        <w:rPr>
          <w:color w:val="231F20"/>
          <w:spacing w:val="-19"/>
          <w:w w:val="105"/>
        </w:rPr>
        <w:t> </w:t>
      </w:r>
      <w:r>
        <w:rPr>
          <w:color w:val="231F20"/>
          <w:w w:val="105"/>
        </w:rPr>
        <w:t>que</w:t>
      </w:r>
      <w:r>
        <w:rPr>
          <w:color w:val="231F20"/>
          <w:spacing w:val="-19"/>
          <w:w w:val="105"/>
        </w:rPr>
        <w:t> </w:t>
      </w:r>
      <w:r>
        <w:rPr>
          <w:color w:val="231F20"/>
          <w:w w:val="105"/>
        </w:rPr>
        <w:t>tiene</w:t>
      </w:r>
      <w:r>
        <w:rPr>
          <w:color w:val="231F20"/>
          <w:spacing w:val="-19"/>
          <w:w w:val="105"/>
        </w:rPr>
        <w:t> </w:t>
      </w:r>
      <w:r>
        <w:rPr>
          <w:color w:val="231F20"/>
          <w:w w:val="105"/>
        </w:rPr>
        <w:t>un</w:t>
      </w:r>
      <w:r>
        <w:rPr>
          <w:color w:val="231F20"/>
          <w:spacing w:val="-19"/>
          <w:w w:val="105"/>
        </w:rPr>
        <w:t> </w:t>
      </w:r>
      <w:r>
        <w:rPr>
          <w:color w:val="231F20"/>
          <w:w w:val="105"/>
        </w:rPr>
        <w:t>compo- nente</w:t>
      </w:r>
      <w:r>
        <w:rPr>
          <w:color w:val="231F20"/>
          <w:spacing w:val="-8"/>
          <w:w w:val="105"/>
        </w:rPr>
        <w:t> </w:t>
      </w:r>
      <w:r>
        <w:rPr>
          <w:color w:val="231F20"/>
          <w:w w:val="105"/>
        </w:rPr>
        <w:t>de</w:t>
      </w:r>
      <w:r>
        <w:rPr>
          <w:color w:val="231F20"/>
          <w:spacing w:val="-8"/>
          <w:w w:val="105"/>
        </w:rPr>
        <w:t> </w:t>
      </w:r>
      <w:r>
        <w:rPr>
          <w:color w:val="231F20"/>
          <w:w w:val="105"/>
        </w:rPr>
        <w:t>mejorar</w:t>
      </w:r>
      <w:r>
        <w:rPr>
          <w:color w:val="231F20"/>
          <w:spacing w:val="-8"/>
          <w:w w:val="105"/>
        </w:rPr>
        <w:t> </w:t>
      </w:r>
      <w:r>
        <w:rPr>
          <w:color w:val="231F20"/>
          <w:w w:val="105"/>
        </w:rPr>
        <w:t>particularmente</w:t>
      </w:r>
      <w:r>
        <w:rPr>
          <w:color w:val="231F20"/>
          <w:spacing w:val="-8"/>
          <w:w w:val="105"/>
        </w:rPr>
        <w:t> </w:t>
      </w:r>
      <w:r>
        <w:rPr>
          <w:color w:val="231F20"/>
          <w:w w:val="105"/>
        </w:rPr>
        <w:t>el</w:t>
      </w:r>
      <w:r>
        <w:rPr>
          <w:color w:val="231F20"/>
          <w:spacing w:val="-8"/>
          <w:w w:val="105"/>
        </w:rPr>
        <w:t> </w:t>
      </w:r>
      <w:r>
        <w:rPr>
          <w:color w:val="231F20"/>
          <w:w w:val="105"/>
        </w:rPr>
        <w:t>entorno</w:t>
      </w:r>
      <w:r>
        <w:rPr>
          <w:color w:val="231F20"/>
          <w:spacing w:val="-8"/>
          <w:w w:val="105"/>
        </w:rPr>
        <w:t> </w:t>
      </w:r>
      <w:r>
        <w:rPr>
          <w:color w:val="231F20"/>
          <w:w w:val="105"/>
        </w:rPr>
        <w:t>urbano.</w:t>
      </w:r>
      <w:r>
        <w:rPr>
          <w:color w:val="231F20"/>
          <w:spacing w:val="-8"/>
          <w:w w:val="105"/>
        </w:rPr>
        <w:t> </w:t>
      </w:r>
      <w:r>
        <w:rPr>
          <w:color w:val="231F20"/>
          <w:w w:val="105"/>
        </w:rPr>
        <w:t>Es</w:t>
      </w:r>
      <w:r>
        <w:rPr>
          <w:color w:val="231F20"/>
          <w:spacing w:val="-8"/>
          <w:w w:val="105"/>
        </w:rPr>
        <w:t> </w:t>
      </w:r>
      <w:r>
        <w:rPr>
          <w:color w:val="231F20"/>
          <w:w w:val="105"/>
        </w:rPr>
        <w:t>finalmente,</w:t>
      </w:r>
      <w:r>
        <w:rPr>
          <w:color w:val="231F20"/>
          <w:spacing w:val="-8"/>
          <w:w w:val="105"/>
        </w:rPr>
        <w:t> </w:t>
      </w:r>
      <w:r>
        <w:rPr>
          <w:color w:val="231F20"/>
          <w:w w:val="105"/>
        </w:rPr>
        <w:t>una</w:t>
      </w:r>
      <w:r>
        <w:rPr>
          <w:color w:val="231F20"/>
          <w:spacing w:val="-8"/>
          <w:w w:val="105"/>
        </w:rPr>
        <w:t> </w:t>
      </w:r>
      <w:r>
        <w:rPr>
          <w:color w:val="231F20"/>
          <w:w w:val="105"/>
        </w:rPr>
        <w:t>gestión</w:t>
      </w:r>
      <w:r>
        <w:rPr>
          <w:color w:val="231F20"/>
          <w:spacing w:val="-8"/>
          <w:w w:val="105"/>
        </w:rPr>
        <w:t> </w:t>
      </w:r>
      <w:r>
        <w:rPr>
          <w:color w:val="231F20"/>
          <w:w w:val="105"/>
        </w:rPr>
        <w:t>guber- namental</w:t>
      </w:r>
      <w:r>
        <w:rPr>
          <w:color w:val="231F20"/>
          <w:spacing w:val="-9"/>
          <w:w w:val="105"/>
        </w:rPr>
        <w:t> </w:t>
      </w:r>
      <w:r>
        <w:rPr>
          <w:color w:val="231F20"/>
          <w:w w:val="105"/>
        </w:rPr>
        <w:t>con</w:t>
      </w:r>
      <w:r>
        <w:rPr>
          <w:color w:val="231F20"/>
          <w:spacing w:val="-9"/>
          <w:w w:val="105"/>
        </w:rPr>
        <w:t> </w:t>
      </w:r>
      <w:r>
        <w:rPr>
          <w:color w:val="231F20"/>
          <w:w w:val="105"/>
        </w:rPr>
        <w:t>un</w:t>
      </w:r>
      <w:r>
        <w:rPr>
          <w:color w:val="231F20"/>
          <w:spacing w:val="-9"/>
          <w:w w:val="105"/>
        </w:rPr>
        <w:t> </w:t>
      </w:r>
      <w:r>
        <w:rPr>
          <w:color w:val="231F20"/>
          <w:w w:val="105"/>
        </w:rPr>
        <w:t>mediano</w:t>
      </w:r>
      <w:r>
        <w:rPr>
          <w:color w:val="231F20"/>
          <w:spacing w:val="-9"/>
          <w:w w:val="105"/>
        </w:rPr>
        <w:t> </w:t>
      </w:r>
      <w:r>
        <w:rPr>
          <w:color w:val="231F20"/>
          <w:w w:val="105"/>
        </w:rPr>
        <w:t>grado</w:t>
      </w:r>
      <w:r>
        <w:rPr>
          <w:color w:val="231F20"/>
          <w:spacing w:val="-9"/>
          <w:w w:val="105"/>
        </w:rPr>
        <w:t> </w:t>
      </w:r>
      <w:r>
        <w:rPr>
          <w:color w:val="231F20"/>
          <w:w w:val="105"/>
        </w:rPr>
        <w:t>de</w:t>
      </w:r>
      <w:r>
        <w:rPr>
          <w:color w:val="231F20"/>
          <w:spacing w:val="-9"/>
          <w:w w:val="105"/>
        </w:rPr>
        <w:t> </w:t>
      </w:r>
      <w:r>
        <w:rPr>
          <w:color w:val="231F20"/>
          <w:w w:val="105"/>
        </w:rPr>
        <w:t>aceptación</w:t>
      </w:r>
      <w:r>
        <w:rPr>
          <w:color w:val="231F20"/>
          <w:spacing w:val="-9"/>
          <w:w w:val="105"/>
        </w:rPr>
        <w:t> </w:t>
      </w:r>
      <w:r>
        <w:rPr>
          <w:color w:val="231F20"/>
          <w:w w:val="105"/>
        </w:rPr>
        <w:t>colectiva.</w:t>
      </w:r>
    </w:p>
    <w:p>
      <w:pPr>
        <w:pStyle w:val="BodyText"/>
        <w:spacing w:before="9"/>
      </w:pPr>
    </w:p>
    <w:p>
      <w:pPr>
        <w:pStyle w:val="Heading3"/>
      </w:pPr>
      <w:r>
        <w:rPr>
          <w:color w:val="231F20"/>
          <w:w w:val="105"/>
        </w:rPr>
        <w:t>Fuentes de consulta</w:t>
      </w:r>
    </w:p>
    <w:p>
      <w:pPr>
        <w:spacing w:line="348" w:lineRule="auto" w:before="75"/>
        <w:ind w:left="110" w:right="3319" w:firstLine="0"/>
        <w:jc w:val="left"/>
        <w:rPr>
          <w:sz w:val="18"/>
        </w:rPr>
      </w:pPr>
      <w:r>
        <w:rPr>
          <w:color w:val="231F20"/>
          <w:w w:val="105"/>
          <w:sz w:val="18"/>
        </w:rPr>
        <w:t>1er Informe de Gobierno del Municipio de Tepotzotlán 2007 2º Informe de Gobierno del Municipio de Tepotzotlán 2008</w:t>
      </w:r>
    </w:p>
    <w:p>
      <w:pPr>
        <w:spacing w:after="0" w:line="348" w:lineRule="auto"/>
        <w:jc w:val="left"/>
        <w:rPr>
          <w:sz w:val="18"/>
        </w:rPr>
        <w:sectPr>
          <w:pgSz w:w="9640" w:h="12190"/>
          <w:pgMar w:header="0" w:footer="743" w:top="1120" w:bottom="940" w:left="740" w:right="740"/>
        </w:sectPr>
      </w:pPr>
    </w:p>
    <w:p>
      <w:pPr>
        <w:pStyle w:val="BodyText"/>
        <w:spacing w:before="6"/>
        <w:rPr>
          <w:sz w:val="13"/>
        </w:rPr>
      </w:pPr>
    </w:p>
    <w:p>
      <w:pPr>
        <w:spacing w:before="47"/>
        <w:ind w:left="110" w:right="1090" w:firstLine="0"/>
        <w:jc w:val="left"/>
        <w:rPr>
          <w:sz w:val="18"/>
        </w:rPr>
      </w:pPr>
      <w:r>
        <w:rPr>
          <w:color w:val="231F20"/>
          <w:w w:val="105"/>
          <w:sz w:val="18"/>
        </w:rPr>
        <w:t>ARZALUZ SOLANO, Socorro (2005) Experiencias de participación ciudadana</w:t>
      </w:r>
    </w:p>
    <w:p>
      <w:pPr>
        <w:spacing w:line="348" w:lineRule="auto" w:before="93"/>
        <w:ind w:left="110" w:right="1090" w:firstLine="283"/>
        <w:jc w:val="left"/>
        <w:rPr>
          <w:sz w:val="18"/>
        </w:rPr>
      </w:pPr>
      <w:r>
        <w:rPr>
          <w:color w:val="231F20"/>
          <w:w w:val="105"/>
          <w:sz w:val="18"/>
        </w:rPr>
        <w:t>en municipios metropolitanos del Estado de México y Nuevo León. México, UNAM. EMMERICH, Gustavo Ernesto (2005) “Las elecciones de 2003 en el Estado de México”</w:t>
      </w:r>
    </w:p>
    <w:p>
      <w:pPr>
        <w:spacing w:before="3"/>
        <w:ind w:left="393" w:right="0" w:firstLine="0"/>
        <w:jc w:val="both"/>
        <w:rPr>
          <w:sz w:val="18"/>
        </w:rPr>
      </w:pPr>
      <w:r>
        <w:rPr>
          <w:color w:val="231F20"/>
          <w:sz w:val="18"/>
        </w:rPr>
        <w:t>en Elecciones y partidos políticos en México, 2003. México, UAM-Plaza y   Valdés.</w:t>
      </w:r>
    </w:p>
    <w:p>
      <w:pPr>
        <w:spacing w:before="93"/>
        <w:ind w:left="110" w:right="159" w:firstLine="0"/>
        <w:jc w:val="left"/>
        <w:rPr>
          <w:sz w:val="18"/>
        </w:rPr>
      </w:pPr>
      <w:r>
        <w:rPr>
          <w:color w:val="231F20"/>
          <w:w w:val="105"/>
          <w:sz w:val="18"/>
        </w:rPr>
        <w:t>GOBIERNO DEL ESTADO DE MÉXICO, Secretaría de Finanzas. Instituto de Información</w:t>
      </w:r>
    </w:p>
    <w:p>
      <w:pPr>
        <w:spacing w:line="348" w:lineRule="auto" w:before="93"/>
        <w:ind w:left="393" w:right="106" w:firstLine="0"/>
        <w:jc w:val="both"/>
        <w:rPr>
          <w:sz w:val="18"/>
        </w:rPr>
      </w:pPr>
      <w:r>
        <w:rPr>
          <w:color w:val="231F20"/>
          <w:w w:val="105"/>
          <w:sz w:val="18"/>
        </w:rPr>
        <w:t>e</w:t>
      </w:r>
      <w:r>
        <w:rPr>
          <w:color w:val="231F20"/>
          <w:spacing w:val="-13"/>
          <w:w w:val="105"/>
          <w:sz w:val="18"/>
        </w:rPr>
        <w:t> </w:t>
      </w:r>
      <w:r>
        <w:rPr>
          <w:color w:val="231F20"/>
          <w:w w:val="105"/>
          <w:sz w:val="18"/>
        </w:rPr>
        <w:t>Investigación</w:t>
      </w:r>
      <w:r>
        <w:rPr>
          <w:color w:val="231F20"/>
          <w:spacing w:val="-13"/>
          <w:w w:val="105"/>
          <w:sz w:val="18"/>
        </w:rPr>
        <w:t> </w:t>
      </w:r>
      <w:r>
        <w:rPr>
          <w:color w:val="231F20"/>
          <w:w w:val="105"/>
          <w:sz w:val="18"/>
        </w:rPr>
        <w:t>Geográfica,</w:t>
      </w:r>
      <w:r>
        <w:rPr>
          <w:color w:val="231F20"/>
          <w:spacing w:val="-13"/>
          <w:w w:val="105"/>
          <w:sz w:val="18"/>
        </w:rPr>
        <w:t> </w:t>
      </w:r>
      <w:r>
        <w:rPr>
          <w:color w:val="231F20"/>
          <w:w w:val="105"/>
          <w:sz w:val="18"/>
        </w:rPr>
        <w:t>Estadística</w:t>
      </w:r>
      <w:r>
        <w:rPr>
          <w:color w:val="231F20"/>
          <w:spacing w:val="-13"/>
          <w:w w:val="105"/>
          <w:sz w:val="18"/>
        </w:rPr>
        <w:t> </w:t>
      </w:r>
      <w:r>
        <w:rPr>
          <w:color w:val="231F20"/>
          <w:w w:val="105"/>
          <w:sz w:val="18"/>
        </w:rPr>
        <w:t>y</w:t>
      </w:r>
      <w:r>
        <w:rPr>
          <w:color w:val="231F20"/>
          <w:spacing w:val="-13"/>
          <w:w w:val="105"/>
          <w:sz w:val="18"/>
        </w:rPr>
        <w:t> </w:t>
      </w:r>
      <w:r>
        <w:rPr>
          <w:color w:val="231F20"/>
          <w:spacing w:val="2"/>
          <w:w w:val="105"/>
          <w:sz w:val="18"/>
        </w:rPr>
        <w:t>Catastral</w:t>
      </w:r>
      <w:r>
        <w:rPr>
          <w:color w:val="231F20"/>
          <w:spacing w:val="-13"/>
          <w:w w:val="105"/>
          <w:sz w:val="18"/>
        </w:rPr>
        <w:t> </w:t>
      </w:r>
      <w:r>
        <w:rPr>
          <w:color w:val="231F20"/>
          <w:w w:val="105"/>
          <w:sz w:val="18"/>
        </w:rPr>
        <w:t>Niveles</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Pobreza</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Estado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México</w:t>
      </w:r>
      <w:r>
        <w:rPr>
          <w:color w:val="231F20"/>
          <w:spacing w:val="-13"/>
          <w:w w:val="105"/>
          <w:sz w:val="18"/>
        </w:rPr>
        <w:t> </w:t>
      </w:r>
      <w:r>
        <w:rPr>
          <w:color w:val="231F20"/>
          <w:spacing w:val="4"/>
          <w:w w:val="105"/>
          <w:sz w:val="18"/>
        </w:rPr>
        <w:t>2000 </w:t>
      </w:r>
      <w:r>
        <w:rPr>
          <w:color w:val="231F20"/>
          <w:w w:val="105"/>
          <w:sz w:val="18"/>
        </w:rPr>
        <w:t>y</w:t>
      </w:r>
      <w:r>
        <w:rPr>
          <w:color w:val="231F20"/>
          <w:spacing w:val="-14"/>
          <w:w w:val="105"/>
          <w:sz w:val="18"/>
        </w:rPr>
        <w:t> </w:t>
      </w:r>
      <w:r>
        <w:rPr>
          <w:color w:val="231F20"/>
          <w:spacing w:val="2"/>
          <w:w w:val="105"/>
          <w:sz w:val="18"/>
        </w:rPr>
        <w:t>2005.</w:t>
      </w:r>
      <w:r>
        <w:rPr>
          <w:color w:val="231F20"/>
          <w:spacing w:val="-14"/>
          <w:w w:val="105"/>
          <w:sz w:val="18"/>
        </w:rPr>
        <w:t> </w:t>
      </w:r>
      <w:r>
        <w:rPr>
          <w:color w:val="231F20"/>
          <w:w w:val="105"/>
          <w:sz w:val="18"/>
        </w:rPr>
        <w:t>(Método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Necesidades</w:t>
      </w:r>
      <w:r>
        <w:rPr>
          <w:color w:val="231F20"/>
          <w:spacing w:val="-14"/>
          <w:w w:val="105"/>
          <w:sz w:val="18"/>
        </w:rPr>
        <w:t> </w:t>
      </w:r>
      <w:r>
        <w:rPr>
          <w:color w:val="231F20"/>
          <w:w w:val="105"/>
          <w:sz w:val="18"/>
        </w:rPr>
        <w:t>Básicas</w:t>
      </w:r>
      <w:r>
        <w:rPr>
          <w:color w:val="231F20"/>
          <w:spacing w:val="-14"/>
          <w:w w:val="105"/>
          <w:sz w:val="18"/>
        </w:rPr>
        <w:t> </w:t>
      </w:r>
      <w:r>
        <w:rPr>
          <w:color w:val="231F20"/>
          <w:w w:val="105"/>
          <w:sz w:val="18"/>
        </w:rPr>
        <w:t>Insatisfechas).</w:t>
      </w:r>
      <w:r>
        <w:rPr>
          <w:color w:val="231F20"/>
          <w:spacing w:val="-14"/>
          <w:w w:val="105"/>
          <w:sz w:val="18"/>
        </w:rPr>
        <w:t> </w:t>
      </w:r>
      <w:hyperlink r:id="rId629">
        <w:r>
          <w:rPr>
            <w:color w:val="231F20"/>
            <w:w w:val="105"/>
            <w:sz w:val="18"/>
          </w:rPr>
          <w:t>http://iiigecem.edomex.gob.mx/descargas/</w:t>
        </w:r>
      </w:hyperlink>
      <w:r>
        <w:rPr>
          <w:color w:val="231F20"/>
          <w:w w:val="105"/>
          <w:sz w:val="18"/>
        </w:rPr>
        <w:t> </w:t>
      </w:r>
      <w:r>
        <w:rPr>
          <w:color w:val="231F20"/>
          <w:spacing w:val="2"/>
          <w:w w:val="105"/>
          <w:sz w:val="18"/>
        </w:rPr>
        <w:t>estadistica/NPEM/NPEM2000-2005.pdf</w:t>
      </w:r>
    </w:p>
    <w:p>
      <w:pPr>
        <w:spacing w:line="348" w:lineRule="auto" w:before="3"/>
        <w:ind w:left="393" w:right="159" w:hanging="284"/>
        <w:jc w:val="left"/>
        <w:rPr>
          <w:sz w:val="18"/>
        </w:rPr>
      </w:pPr>
      <w:r>
        <w:rPr>
          <w:color w:val="231F20"/>
          <w:sz w:val="18"/>
        </w:rPr>
        <w:t>Instituto de Información e Investigación Geográfica Estadística y Catastral del Estado de México (IGECEM): Estadística Básica Municipal, 2004 y 2006.</w:t>
      </w:r>
    </w:p>
    <w:p>
      <w:pPr>
        <w:spacing w:line="348" w:lineRule="auto" w:before="3"/>
        <w:ind w:left="110" w:right="3606" w:firstLine="0"/>
        <w:jc w:val="left"/>
        <w:rPr>
          <w:sz w:val="18"/>
        </w:rPr>
      </w:pPr>
      <w:r>
        <w:rPr>
          <w:color w:val="231F20"/>
          <w:sz w:val="18"/>
        </w:rPr>
        <w:t>Ley de Planeación del Estado de México y Municipios. Ley Orgánica Municipal del Estado de   México.</w:t>
      </w:r>
    </w:p>
    <w:p>
      <w:pPr>
        <w:spacing w:before="3"/>
        <w:ind w:left="110" w:right="1090" w:firstLine="0"/>
        <w:jc w:val="left"/>
        <w:rPr>
          <w:sz w:val="18"/>
        </w:rPr>
      </w:pPr>
      <w:r>
        <w:rPr>
          <w:color w:val="231F20"/>
          <w:w w:val="105"/>
          <w:sz w:val="18"/>
        </w:rPr>
        <w:t>Plan de Desarrollo Municipal del Municipio de Tepotzotlán 2006-2009.</w:t>
      </w:r>
    </w:p>
    <w:p>
      <w:pPr>
        <w:spacing w:before="93"/>
        <w:ind w:left="110" w:right="1090" w:firstLine="0"/>
        <w:jc w:val="left"/>
        <w:rPr>
          <w:sz w:val="18"/>
        </w:rPr>
      </w:pPr>
      <w:r>
        <w:rPr>
          <w:color w:val="231F20"/>
          <w:w w:val="105"/>
          <w:sz w:val="18"/>
        </w:rPr>
        <w:t>PRI (1999) Revista Política y Pensamiento, Número 13, México D.F. octubre.</w:t>
      </w:r>
    </w:p>
    <w:p>
      <w:pPr>
        <w:spacing w:before="93"/>
        <w:ind w:left="110" w:right="159" w:firstLine="0"/>
        <w:jc w:val="left"/>
        <w:rPr>
          <w:sz w:val="18"/>
        </w:rPr>
      </w:pPr>
      <w:r>
        <w:rPr>
          <w:color w:val="231F20"/>
          <w:w w:val="105"/>
          <w:sz w:val="18"/>
        </w:rPr>
        <w:t>SÁNCHEZ RAMOS, Miguel Ángel (2008) La democratización en el ámbito municipal en México.</w:t>
      </w:r>
    </w:p>
    <w:p>
      <w:pPr>
        <w:spacing w:before="92"/>
        <w:ind w:left="393" w:right="0" w:firstLine="0"/>
        <w:jc w:val="both"/>
        <w:rPr>
          <w:sz w:val="18"/>
        </w:rPr>
      </w:pPr>
      <w:r>
        <w:rPr>
          <w:color w:val="231F20"/>
          <w:sz w:val="18"/>
        </w:rPr>
        <w:t>El caso de los estados de México y Morelos, Estado de México,  IEEM.</w:t>
      </w:r>
    </w:p>
    <w:p>
      <w:pPr>
        <w:pStyle w:val="BodyText"/>
        <w:rPr>
          <w:sz w:val="18"/>
        </w:rPr>
      </w:pPr>
    </w:p>
    <w:p>
      <w:pPr>
        <w:pStyle w:val="Heading3"/>
        <w:spacing w:before="111"/>
        <w:ind w:right="1090"/>
        <w:jc w:val="left"/>
      </w:pPr>
      <w:r>
        <w:rPr>
          <w:color w:val="231F20"/>
          <w:w w:val="105"/>
        </w:rPr>
        <w:t>Anexo</w:t>
      </w:r>
    </w:p>
    <w:p>
      <w:pPr>
        <w:pStyle w:val="Heading6"/>
        <w:spacing w:before="38"/>
        <w:ind w:right="1090"/>
        <w:rPr>
          <w:i/>
        </w:rPr>
      </w:pPr>
      <w:r>
        <w:rPr>
          <w:i/>
          <w:color w:val="231F20"/>
          <w:w w:val="105"/>
        </w:rPr>
        <w:t>Organizaciones civiles existentes en el municipio.</w:t>
      </w:r>
    </w:p>
    <w:p>
      <w:pPr>
        <w:spacing w:line="348" w:lineRule="auto" w:before="84"/>
        <w:ind w:left="507" w:right="159" w:firstLine="0"/>
        <w:jc w:val="left"/>
        <w:rPr>
          <w:sz w:val="18"/>
        </w:rPr>
      </w:pPr>
      <w:r>
        <w:rPr>
          <w:color w:val="231F20"/>
          <w:w w:val="105"/>
          <w:sz w:val="18"/>
        </w:rPr>
        <w:t>Comerciantes Organizados de Tepotzotlán A.C. (COTAC); afiliados a la Cámara Nacional de la Industria de Restauranteros, A.C. (CANIRAC);</w:t>
      </w:r>
    </w:p>
    <w:p>
      <w:pPr>
        <w:spacing w:line="348" w:lineRule="auto" w:before="3"/>
        <w:ind w:left="507" w:right="1925" w:firstLine="0"/>
        <w:jc w:val="left"/>
        <w:rPr>
          <w:sz w:val="18"/>
        </w:rPr>
      </w:pPr>
      <w:r>
        <w:rPr>
          <w:color w:val="231F20"/>
          <w:sz w:val="18"/>
        </w:rPr>
        <w:t>La Unión de Comerciantes Cerro del Jorobado, A. C., con </w:t>
      </w:r>
      <w:r>
        <w:rPr>
          <w:color w:val="231F20"/>
          <w:spacing w:val="-4"/>
          <w:sz w:val="18"/>
        </w:rPr>
        <w:t>210 </w:t>
      </w:r>
      <w:r>
        <w:rPr>
          <w:color w:val="231F20"/>
          <w:sz w:val="18"/>
        </w:rPr>
        <w:t>agremiados; La Unión de Comerciantes El Ahuehuete, A.C., con </w:t>
      </w:r>
      <w:r>
        <w:rPr>
          <w:color w:val="231F20"/>
          <w:spacing w:val="-3"/>
          <w:sz w:val="18"/>
        </w:rPr>
        <w:t>163   </w:t>
      </w:r>
      <w:r>
        <w:rPr>
          <w:color w:val="231F20"/>
          <w:spacing w:val="24"/>
          <w:sz w:val="18"/>
        </w:rPr>
        <w:t> </w:t>
      </w:r>
      <w:r>
        <w:rPr>
          <w:color w:val="231F20"/>
          <w:sz w:val="18"/>
        </w:rPr>
        <w:t>miembros;</w:t>
      </w:r>
    </w:p>
    <w:p>
      <w:pPr>
        <w:spacing w:line="348" w:lineRule="auto" w:before="3"/>
        <w:ind w:left="507" w:right="1925" w:firstLine="0"/>
        <w:jc w:val="left"/>
        <w:rPr>
          <w:sz w:val="18"/>
        </w:rPr>
      </w:pPr>
      <w:r>
        <w:rPr>
          <w:color w:val="231F20"/>
          <w:w w:val="105"/>
          <w:sz w:val="18"/>
        </w:rPr>
        <w:t>La Unión de Artesanos de Tepotzotlán, A.C., con 32 comerciantes; Unión de Comerciantes de San Martín, con 72 miembros;</w:t>
      </w:r>
    </w:p>
    <w:p>
      <w:pPr>
        <w:spacing w:before="3"/>
        <w:ind w:left="507" w:right="1090" w:firstLine="0"/>
        <w:jc w:val="left"/>
        <w:rPr>
          <w:sz w:val="18"/>
        </w:rPr>
      </w:pPr>
      <w:r>
        <w:rPr>
          <w:color w:val="231F20"/>
          <w:w w:val="105"/>
          <w:sz w:val="18"/>
        </w:rPr>
        <w:t>Asociación de Comerciantes de Arcos del Sitio, A.C., con 25 miembros;</w:t>
      </w:r>
    </w:p>
    <w:p>
      <w:pPr>
        <w:spacing w:line="348" w:lineRule="auto" w:before="93"/>
        <w:ind w:left="507" w:right="1009" w:firstLine="0"/>
        <w:jc w:val="left"/>
        <w:rPr>
          <w:sz w:val="18"/>
        </w:rPr>
      </w:pPr>
      <w:r>
        <w:rPr>
          <w:color w:val="231F20"/>
          <w:w w:val="105"/>
          <w:sz w:val="18"/>
        </w:rPr>
        <w:t>Asociación Nacional de Abastecedores de la República Mexicana, con 27 miembros, Unión de Campesinos Revolucionarios de México (UNCARM), con 51 miembros.</w:t>
      </w:r>
    </w:p>
    <w:p>
      <w:pPr>
        <w:pStyle w:val="Heading6"/>
        <w:spacing w:line="218" w:lineRule="exact"/>
        <w:rPr>
          <w:i w:val="0"/>
        </w:rPr>
      </w:pPr>
      <w:r>
        <w:rPr>
          <w:i/>
          <w:color w:val="231F20"/>
          <w:w w:val="105"/>
        </w:rPr>
        <w:t>Organizaciones Sociales no gubernamentales existentes en el municipio</w:t>
      </w:r>
      <w:r>
        <w:rPr>
          <w:i w:val="0"/>
          <w:color w:val="231F20"/>
          <w:w w:val="105"/>
        </w:rPr>
        <w:t>.</w:t>
      </w:r>
    </w:p>
    <w:p>
      <w:pPr>
        <w:spacing w:line="348" w:lineRule="auto" w:before="84"/>
        <w:ind w:left="507" w:right="3454" w:firstLine="0"/>
        <w:jc w:val="left"/>
        <w:rPr>
          <w:sz w:val="18"/>
        </w:rPr>
      </w:pPr>
      <w:r>
        <w:rPr>
          <w:color w:val="231F20"/>
          <w:w w:val="105"/>
          <w:sz w:val="18"/>
        </w:rPr>
        <w:t>Asociación pro Pueblo Mágico de Tepotzotlán A.C.; Unión de Cerro del Jorobado;</w:t>
      </w:r>
    </w:p>
    <w:p>
      <w:pPr>
        <w:spacing w:after="0" w:line="348" w:lineRule="auto"/>
        <w:jc w:val="left"/>
        <w:rPr>
          <w:sz w:val="18"/>
        </w:rPr>
        <w:sectPr>
          <w:pgSz w:w="9640" w:h="12190"/>
          <w:pgMar w:header="0" w:footer="743" w:top="1120" w:bottom="940" w:left="740" w:right="940"/>
        </w:sectPr>
      </w:pPr>
    </w:p>
    <w:p>
      <w:pPr>
        <w:pStyle w:val="BodyText"/>
        <w:spacing w:before="6"/>
        <w:rPr>
          <w:sz w:val="13"/>
        </w:rPr>
      </w:pPr>
    </w:p>
    <w:p>
      <w:pPr>
        <w:spacing w:before="47"/>
        <w:ind w:left="107" w:right="0" w:firstLine="0"/>
        <w:jc w:val="left"/>
        <w:rPr>
          <w:sz w:val="18"/>
        </w:rPr>
      </w:pPr>
      <w:r>
        <w:rPr>
          <w:color w:val="231F20"/>
          <w:w w:val="105"/>
          <w:sz w:val="18"/>
        </w:rPr>
        <w:t>Jardín de Arte de Tepotzotlán;</w:t>
      </w:r>
    </w:p>
    <w:p>
      <w:pPr>
        <w:spacing w:line="348" w:lineRule="auto" w:before="93"/>
        <w:ind w:left="107" w:right="2606" w:firstLine="0"/>
        <w:jc w:val="left"/>
        <w:rPr>
          <w:sz w:val="18"/>
        </w:rPr>
      </w:pPr>
      <w:r>
        <w:rPr>
          <w:color w:val="231F20"/>
          <w:w w:val="105"/>
          <w:sz w:val="18"/>
        </w:rPr>
        <w:t>Empresarios y Comerciantes Unidos de Tepotzotlán; Unión de Artesanos;</w:t>
      </w:r>
    </w:p>
    <w:p>
      <w:pPr>
        <w:spacing w:line="348" w:lineRule="auto" w:before="3"/>
        <w:ind w:left="107" w:right="4268" w:firstLine="0"/>
        <w:jc w:val="left"/>
        <w:rPr>
          <w:sz w:val="18"/>
        </w:rPr>
      </w:pPr>
      <w:r>
        <w:rPr>
          <w:color w:val="231F20"/>
          <w:sz w:val="18"/>
        </w:rPr>
        <w:t>Fundación Xochitla A.C.; y Asociación Civil Ecologista A.C.</w:t>
      </w:r>
    </w:p>
    <w:p>
      <w:pPr>
        <w:spacing w:after="0" w:line="348" w:lineRule="auto"/>
        <w:jc w:val="left"/>
        <w:rPr>
          <w:sz w:val="18"/>
        </w:rPr>
        <w:sectPr>
          <w:pgSz w:w="9640" w:h="12190"/>
          <w:pgMar w:header="0" w:footer="743" w:top="1120" w:bottom="940" w:left="11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219"/>
      </w:pPr>
      <w:r>
        <w:rPr>
          <w:color w:val="231F20"/>
          <w:w w:val="125"/>
        </w:rPr>
        <w:t>Partido Acción Nacional</w:t>
      </w:r>
    </w:p>
    <w:p>
      <w:pPr>
        <w:spacing w:after="0"/>
        <w:sectPr>
          <w:footerReference w:type="default" r:id="rId630"/>
          <w:pgSz w:w="9640" w:h="12190"/>
          <w:pgMar w:footer="0" w:header="0" w:top="1120" w:bottom="280" w:left="1340" w:right="13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pStyle w:val="Heading2"/>
        <w:spacing w:line="367" w:lineRule="auto"/>
        <w:ind w:left="2337" w:right="1744" w:hanging="584"/>
        <w:jc w:val="left"/>
      </w:pPr>
      <w:r>
        <w:rPr>
          <w:color w:val="231F20"/>
          <w:spacing w:val="-4"/>
          <w:w w:val="105"/>
        </w:rPr>
        <w:t>Acción</w:t>
      </w:r>
      <w:r>
        <w:rPr>
          <w:color w:val="231F20"/>
          <w:spacing w:val="-41"/>
          <w:w w:val="105"/>
        </w:rPr>
        <w:t> </w:t>
      </w:r>
      <w:r>
        <w:rPr>
          <w:color w:val="231F20"/>
          <w:w w:val="105"/>
        </w:rPr>
        <w:t>Nacional</w:t>
      </w:r>
      <w:r>
        <w:rPr>
          <w:color w:val="231F20"/>
          <w:spacing w:val="-41"/>
          <w:w w:val="105"/>
        </w:rPr>
        <w:t> </w:t>
      </w:r>
      <w:r>
        <w:rPr>
          <w:color w:val="231F20"/>
          <w:w w:val="105"/>
        </w:rPr>
        <w:t>en</w:t>
      </w:r>
      <w:r>
        <w:rPr>
          <w:color w:val="231F20"/>
          <w:spacing w:val="-41"/>
          <w:w w:val="105"/>
        </w:rPr>
        <w:t> </w:t>
      </w:r>
      <w:r>
        <w:rPr>
          <w:color w:val="231F20"/>
          <w:w w:val="105"/>
        </w:rPr>
        <w:t>Naucalpan: </w:t>
      </w:r>
      <w:r>
        <w:rPr>
          <w:color w:val="231F20"/>
          <w:spacing w:val="-3"/>
          <w:w w:val="105"/>
        </w:rPr>
        <w:t>planeación </w:t>
      </w:r>
      <w:r>
        <w:rPr>
          <w:color w:val="231F20"/>
          <w:w w:val="105"/>
        </w:rPr>
        <w:t>y</w:t>
      </w:r>
      <w:r>
        <w:rPr>
          <w:color w:val="231F20"/>
          <w:spacing w:val="-35"/>
          <w:w w:val="105"/>
        </w:rPr>
        <w:t> </w:t>
      </w:r>
      <w:r>
        <w:rPr>
          <w:color w:val="231F20"/>
          <w:spacing w:val="-3"/>
          <w:w w:val="105"/>
        </w:rPr>
        <w:t>resultados</w:t>
      </w:r>
    </w:p>
    <w:p>
      <w:pPr>
        <w:spacing w:before="140"/>
        <w:ind w:left="0" w:right="108" w:firstLine="0"/>
        <w:jc w:val="right"/>
        <w:rPr>
          <w:i/>
          <w:sz w:val="20"/>
        </w:rPr>
      </w:pPr>
      <w:r>
        <w:rPr>
          <w:i/>
          <w:color w:val="231F20"/>
          <w:sz w:val="20"/>
        </w:rPr>
        <w:t>Francisco Reveles Vázquez</w:t>
      </w:r>
    </w:p>
    <w:p>
      <w:pPr>
        <w:pStyle w:val="BodyText"/>
        <w:spacing w:before="3"/>
        <w:rPr>
          <w:i/>
          <w:sz w:val="27"/>
        </w:rPr>
      </w:pPr>
    </w:p>
    <w:p>
      <w:pPr>
        <w:pStyle w:val="Heading3"/>
      </w:pPr>
      <w:r>
        <w:rPr>
          <w:color w:val="231F20"/>
          <w:w w:val="105"/>
        </w:rPr>
        <w:t>Introducción</w:t>
      </w:r>
    </w:p>
    <w:p>
      <w:pPr>
        <w:pStyle w:val="BodyText"/>
        <w:spacing w:line="285" w:lineRule="auto" w:before="38"/>
        <w:ind w:left="110" w:right="107"/>
        <w:jc w:val="both"/>
      </w:pPr>
      <w:r>
        <w:rPr>
          <w:color w:val="231F20"/>
          <w:w w:val="105"/>
        </w:rPr>
        <w:t>El</w:t>
      </w:r>
      <w:r>
        <w:rPr>
          <w:color w:val="231F20"/>
          <w:spacing w:val="-9"/>
          <w:w w:val="105"/>
        </w:rPr>
        <w:t> </w:t>
      </w:r>
      <w:r>
        <w:rPr>
          <w:color w:val="231F20"/>
          <w:w w:val="105"/>
        </w:rPr>
        <w:t>ejercicio</w:t>
      </w:r>
      <w:r>
        <w:rPr>
          <w:color w:val="231F20"/>
          <w:spacing w:val="-9"/>
          <w:w w:val="105"/>
        </w:rPr>
        <w:t> </w:t>
      </w:r>
      <w:r>
        <w:rPr>
          <w:color w:val="231F20"/>
          <w:w w:val="105"/>
        </w:rPr>
        <w:t>del</w:t>
      </w:r>
      <w:r>
        <w:rPr>
          <w:color w:val="231F20"/>
          <w:spacing w:val="-9"/>
          <w:w w:val="105"/>
        </w:rPr>
        <w:t> </w:t>
      </w:r>
      <w:r>
        <w:rPr>
          <w:color w:val="231F20"/>
          <w:w w:val="105"/>
        </w:rPr>
        <w:t>poder</w:t>
      </w:r>
      <w:r>
        <w:rPr>
          <w:color w:val="231F20"/>
          <w:spacing w:val="-9"/>
          <w:w w:val="105"/>
        </w:rPr>
        <w:t> </w:t>
      </w:r>
      <w:r>
        <w:rPr>
          <w:color w:val="231F20"/>
          <w:w w:val="105"/>
        </w:rPr>
        <w:t>de</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partidos</w:t>
      </w:r>
      <w:r>
        <w:rPr>
          <w:color w:val="231F20"/>
          <w:spacing w:val="-9"/>
          <w:w w:val="105"/>
        </w:rPr>
        <w:t> </w:t>
      </w:r>
      <w:r>
        <w:rPr>
          <w:color w:val="231F20"/>
          <w:w w:val="105"/>
        </w:rPr>
        <w:t>políticos</w:t>
      </w:r>
      <w:r>
        <w:rPr>
          <w:color w:val="231F20"/>
          <w:spacing w:val="-9"/>
          <w:w w:val="105"/>
        </w:rPr>
        <w:t> </w:t>
      </w:r>
      <w:r>
        <w:rPr>
          <w:color w:val="231F20"/>
          <w:w w:val="105"/>
        </w:rPr>
        <w:t>es</w:t>
      </w:r>
      <w:r>
        <w:rPr>
          <w:color w:val="231F20"/>
          <w:spacing w:val="-9"/>
          <w:w w:val="105"/>
        </w:rPr>
        <w:t> </w:t>
      </w:r>
      <w:r>
        <w:rPr>
          <w:color w:val="231F20"/>
          <w:w w:val="105"/>
        </w:rPr>
        <w:t>un</w:t>
      </w:r>
      <w:r>
        <w:rPr>
          <w:color w:val="231F20"/>
          <w:spacing w:val="-9"/>
          <w:w w:val="105"/>
        </w:rPr>
        <w:t> </w:t>
      </w:r>
      <w:r>
        <w:rPr>
          <w:color w:val="231F20"/>
          <w:w w:val="105"/>
        </w:rPr>
        <w:t>asunto</w:t>
      </w:r>
      <w:r>
        <w:rPr>
          <w:color w:val="231F20"/>
          <w:spacing w:val="-9"/>
          <w:w w:val="105"/>
        </w:rPr>
        <w:t> </w:t>
      </w:r>
      <w:r>
        <w:rPr>
          <w:color w:val="231F20"/>
          <w:w w:val="105"/>
        </w:rPr>
        <w:t>poco</w:t>
      </w:r>
      <w:r>
        <w:rPr>
          <w:color w:val="231F20"/>
          <w:spacing w:val="-9"/>
          <w:w w:val="105"/>
        </w:rPr>
        <w:t> </w:t>
      </w:r>
      <w:r>
        <w:rPr>
          <w:color w:val="231F20"/>
          <w:w w:val="105"/>
        </w:rPr>
        <w:t>estudiado.</w:t>
      </w:r>
      <w:r>
        <w:rPr>
          <w:color w:val="231F20"/>
          <w:spacing w:val="-9"/>
          <w:w w:val="105"/>
        </w:rPr>
        <w:t> </w:t>
      </w:r>
      <w:r>
        <w:rPr>
          <w:color w:val="231F20"/>
          <w:spacing w:val="3"/>
          <w:w w:val="105"/>
        </w:rPr>
        <w:t>Al </w:t>
      </w:r>
      <w:r>
        <w:rPr>
          <w:color w:val="231F20"/>
          <w:w w:val="105"/>
        </w:rPr>
        <w:t>menos para la Ciencia Política de nuestro país, ha sido una cuestión superada por te- mas</w:t>
      </w:r>
      <w:r>
        <w:rPr>
          <w:color w:val="231F20"/>
          <w:spacing w:val="-23"/>
          <w:w w:val="105"/>
        </w:rPr>
        <w:t> </w:t>
      </w:r>
      <w:r>
        <w:rPr>
          <w:color w:val="231F20"/>
          <w:w w:val="105"/>
        </w:rPr>
        <w:t>como</w:t>
      </w:r>
      <w:r>
        <w:rPr>
          <w:color w:val="231F20"/>
          <w:spacing w:val="-23"/>
          <w:w w:val="105"/>
        </w:rPr>
        <w:t> </w:t>
      </w:r>
      <w:r>
        <w:rPr>
          <w:color w:val="231F20"/>
          <w:w w:val="105"/>
        </w:rPr>
        <w:t>la</w:t>
      </w:r>
      <w:r>
        <w:rPr>
          <w:color w:val="231F20"/>
          <w:spacing w:val="-23"/>
          <w:w w:val="105"/>
        </w:rPr>
        <w:t> </w:t>
      </w:r>
      <w:r>
        <w:rPr>
          <w:color w:val="231F20"/>
          <w:w w:val="105"/>
        </w:rPr>
        <w:t>participación</w:t>
      </w:r>
      <w:r>
        <w:rPr>
          <w:color w:val="231F20"/>
          <w:spacing w:val="-23"/>
          <w:w w:val="105"/>
        </w:rPr>
        <w:t> </w:t>
      </w:r>
      <w:r>
        <w:rPr>
          <w:color w:val="231F20"/>
          <w:w w:val="105"/>
        </w:rPr>
        <w:t>electoral</w:t>
      </w:r>
      <w:r>
        <w:rPr>
          <w:color w:val="231F20"/>
          <w:spacing w:val="-23"/>
          <w:w w:val="105"/>
        </w:rPr>
        <w:t> </w:t>
      </w:r>
      <w:r>
        <w:rPr>
          <w:color w:val="231F20"/>
          <w:w w:val="105"/>
        </w:rPr>
        <w:t>o,</w:t>
      </w:r>
      <w:r>
        <w:rPr>
          <w:color w:val="231F20"/>
          <w:spacing w:val="-23"/>
          <w:w w:val="105"/>
        </w:rPr>
        <w:t> </w:t>
      </w:r>
      <w:r>
        <w:rPr>
          <w:color w:val="231F20"/>
          <w:w w:val="105"/>
        </w:rPr>
        <w:t>incluso,</w:t>
      </w:r>
      <w:r>
        <w:rPr>
          <w:color w:val="231F20"/>
          <w:spacing w:val="-23"/>
          <w:w w:val="105"/>
        </w:rPr>
        <w:t> </w:t>
      </w:r>
      <w:r>
        <w:rPr>
          <w:color w:val="231F20"/>
          <w:w w:val="105"/>
        </w:rPr>
        <w:t>los</w:t>
      </w:r>
      <w:r>
        <w:rPr>
          <w:color w:val="231F20"/>
          <w:spacing w:val="-23"/>
          <w:w w:val="105"/>
        </w:rPr>
        <w:t> </w:t>
      </w:r>
      <w:r>
        <w:rPr>
          <w:color w:val="231F20"/>
          <w:w w:val="105"/>
        </w:rPr>
        <w:t>partidos</w:t>
      </w:r>
      <w:r>
        <w:rPr>
          <w:color w:val="231F20"/>
          <w:spacing w:val="-23"/>
          <w:w w:val="105"/>
        </w:rPr>
        <w:t> </w:t>
      </w:r>
      <w:r>
        <w:rPr>
          <w:color w:val="231F20"/>
          <w:w w:val="105"/>
        </w:rPr>
        <w:t>propiamente</w:t>
      </w:r>
      <w:r>
        <w:rPr>
          <w:color w:val="231F20"/>
          <w:spacing w:val="-23"/>
          <w:w w:val="105"/>
        </w:rPr>
        <w:t> </w:t>
      </w:r>
      <w:r>
        <w:rPr>
          <w:color w:val="231F20"/>
          <w:w w:val="105"/>
        </w:rPr>
        <w:t>dichos.</w:t>
      </w:r>
      <w:r>
        <w:rPr>
          <w:color w:val="231F20"/>
          <w:spacing w:val="-23"/>
          <w:w w:val="105"/>
        </w:rPr>
        <w:t> </w:t>
      </w:r>
      <w:r>
        <w:rPr>
          <w:color w:val="231F20"/>
          <w:w w:val="105"/>
        </w:rPr>
        <w:t>Defecto fundamental,</w:t>
      </w:r>
      <w:r>
        <w:rPr>
          <w:color w:val="231F20"/>
          <w:spacing w:val="-8"/>
          <w:w w:val="105"/>
        </w:rPr>
        <w:t> </w:t>
      </w:r>
      <w:r>
        <w:rPr>
          <w:color w:val="231F20"/>
          <w:w w:val="105"/>
        </w:rPr>
        <w:t>pues</w:t>
      </w:r>
      <w:r>
        <w:rPr>
          <w:color w:val="231F20"/>
          <w:spacing w:val="-8"/>
          <w:w w:val="105"/>
        </w:rPr>
        <w:t> </w:t>
      </w:r>
      <w:r>
        <w:rPr>
          <w:color w:val="231F20"/>
          <w:w w:val="105"/>
        </w:rPr>
        <w:t>si</w:t>
      </w:r>
      <w:r>
        <w:rPr>
          <w:color w:val="231F20"/>
          <w:spacing w:val="-8"/>
          <w:w w:val="105"/>
        </w:rPr>
        <w:t> </w:t>
      </w:r>
      <w:r>
        <w:rPr>
          <w:color w:val="231F20"/>
          <w:w w:val="105"/>
        </w:rPr>
        <w:t>hay</w:t>
      </w:r>
      <w:r>
        <w:rPr>
          <w:color w:val="231F20"/>
          <w:spacing w:val="-8"/>
          <w:w w:val="105"/>
        </w:rPr>
        <w:t> </w:t>
      </w:r>
      <w:r>
        <w:rPr>
          <w:color w:val="231F20"/>
          <w:w w:val="105"/>
        </w:rPr>
        <w:t>algo</w:t>
      </w:r>
      <w:r>
        <w:rPr>
          <w:color w:val="231F20"/>
          <w:spacing w:val="-8"/>
          <w:w w:val="105"/>
        </w:rPr>
        <w:t> </w:t>
      </w:r>
      <w:r>
        <w:rPr>
          <w:color w:val="231F20"/>
          <w:w w:val="105"/>
        </w:rPr>
        <w:t>relevante</w:t>
      </w:r>
      <w:r>
        <w:rPr>
          <w:color w:val="231F20"/>
          <w:spacing w:val="-8"/>
          <w:w w:val="105"/>
        </w:rPr>
        <w:t> </w:t>
      </w:r>
      <w:r>
        <w:rPr>
          <w:color w:val="231F20"/>
          <w:w w:val="105"/>
        </w:rPr>
        <w:t>en</w:t>
      </w:r>
      <w:r>
        <w:rPr>
          <w:color w:val="231F20"/>
          <w:spacing w:val="-8"/>
          <w:w w:val="105"/>
        </w:rPr>
        <w:t> </w:t>
      </w:r>
      <w:r>
        <w:rPr>
          <w:color w:val="231F20"/>
          <w:w w:val="105"/>
        </w:rPr>
        <w:t>torno</w:t>
      </w:r>
      <w:r>
        <w:rPr>
          <w:color w:val="231F20"/>
          <w:spacing w:val="-8"/>
          <w:w w:val="105"/>
        </w:rPr>
        <w:t> </w:t>
      </w:r>
      <w:r>
        <w:rPr>
          <w:color w:val="231F20"/>
          <w:w w:val="105"/>
        </w:rPr>
        <w:t>a</w:t>
      </w:r>
      <w:r>
        <w:rPr>
          <w:color w:val="231F20"/>
          <w:spacing w:val="-8"/>
          <w:w w:val="105"/>
        </w:rPr>
        <w:t> </w:t>
      </w:r>
      <w:r>
        <w:rPr>
          <w:color w:val="231F20"/>
          <w:w w:val="105"/>
        </w:rPr>
        <w:t>este</w:t>
      </w:r>
      <w:r>
        <w:rPr>
          <w:color w:val="231F20"/>
          <w:spacing w:val="-8"/>
          <w:w w:val="105"/>
        </w:rPr>
        <w:t> </w:t>
      </w:r>
      <w:r>
        <w:rPr>
          <w:color w:val="231F20"/>
          <w:w w:val="105"/>
        </w:rPr>
        <w:t>tipo</w:t>
      </w:r>
      <w:r>
        <w:rPr>
          <w:color w:val="231F20"/>
          <w:spacing w:val="-8"/>
          <w:w w:val="105"/>
        </w:rPr>
        <w:t> </w:t>
      </w:r>
      <w:r>
        <w:rPr>
          <w:color w:val="231F20"/>
          <w:w w:val="105"/>
        </w:rPr>
        <w:t>de</w:t>
      </w:r>
      <w:r>
        <w:rPr>
          <w:color w:val="231F20"/>
          <w:spacing w:val="-8"/>
          <w:w w:val="105"/>
        </w:rPr>
        <w:t> </w:t>
      </w:r>
      <w:r>
        <w:rPr>
          <w:color w:val="231F20"/>
          <w:w w:val="105"/>
        </w:rPr>
        <w:t>organizaciones</w:t>
      </w:r>
      <w:r>
        <w:rPr>
          <w:color w:val="231F20"/>
          <w:spacing w:val="-8"/>
          <w:w w:val="105"/>
        </w:rPr>
        <w:t> </w:t>
      </w:r>
      <w:r>
        <w:rPr>
          <w:color w:val="231F20"/>
          <w:w w:val="105"/>
        </w:rPr>
        <w:t>es</w:t>
      </w:r>
      <w:r>
        <w:rPr>
          <w:color w:val="231F20"/>
          <w:spacing w:val="-8"/>
          <w:w w:val="105"/>
        </w:rPr>
        <w:t> </w:t>
      </w:r>
      <w:r>
        <w:rPr>
          <w:color w:val="231F20"/>
          <w:w w:val="105"/>
        </w:rPr>
        <w:t>cómo conservan</w:t>
      </w:r>
      <w:r>
        <w:rPr>
          <w:color w:val="231F20"/>
          <w:spacing w:val="-19"/>
          <w:w w:val="105"/>
        </w:rPr>
        <w:t> </w:t>
      </w:r>
      <w:r>
        <w:rPr>
          <w:color w:val="231F20"/>
          <w:w w:val="105"/>
        </w:rPr>
        <w:t>el</w:t>
      </w:r>
      <w:r>
        <w:rPr>
          <w:color w:val="231F20"/>
          <w:spacing w:val="-19"/>
          <w:w w:val="105"/>
        </w:rPr>
        <w:t> </w:t>
      </w:r>
      <w:r>
        <w:rPr>
          <w:color w:val="231F20"/>
          <w:spacing w:val="-2"/>
          <w:w w:val="105"/>
        </w:rPr>
        <w:t>poder.</w:t>
      </w:r>
      <w:r>
        <w:rPr>
          <w:color w:val="231F20"/>
          <w:spacing w:val="-19"/>
          <w:w w:val="105"/>
        </w:rPr>
        <w:t> </w:t>
      </w:r>
      <w:r>
        <w:rPr>
          <w:color w:val="231F20"/>
          <w:spacing w:val="3"/>
          <w:w w:val="105"/>
        </w:rPr>
        <w:t>Al</w:t>
      </w:r>
      <w:r>
        <w:rPr>
          <w:color w:val="231F20"/>
          <w:spacing w:val="-19"/>
          <w:w w:val="105"/>
        </w:rPr>
        <w:t> </w:t>
      </w:r>
      <w:r>
        <w:rPr>
          <w:color w:val="231F20"/>
          <w:w w:val="105"/>
        </w:rPr>
        <w:t>estudiar</w:t>
      </w:r>
      <w:r>
        <w:rPr>
          <w:color w:val="231F20"/>
          <w:spacing w:val="-19"/>
          <w:w w:val="105"/>
        </w:rPr>
        <w:t> </w:t>
      </w:r>
      <w:r>
        <w:rPr>
          <w:color w:val="231F20"/>
          <w:w w:val="105"/>
        </w:rPr>
        <w:t>las</w:t>
      </w:r>
      <w:r>
        <w:rPr>
          <w:color w:val="231F20"/>
          <w:spacing w:val="-19"/>
          <w:w w:val="105"/>
        </w:rPr>
        <w:t> </w:t>
      </w:r>
      <w:r>
        <w:rPr>
          <w:color w:val="231F20"/>
          <w:w w:val="105"/>
        </w:rPr>
        <w:t>elecciones,</w:t>
      </w:r>
      <w:r>
        <w:rPr>
          <w:color w:val="231F20"/>
          <w:spacing w:val="-19"/>
          <w:w w:val="105"/>
        </w:rPr>
        <w:t> </w:t>
      </w:r>
      <w:r>
        <w:rPr>
          <w:color w:val="231F20"/>
          <w:w w:val="105"/>
        </w:rPr>
        <w:t>se</w:t>
      </w:r>
      <w:r>
        <w:rPr>
          <w:color w:val="231F20"/>
          <w:spacing w:val="-19"/>
          <w:w w:val="105"/>
        </w:rPr>
        <w:t> </w:t>
      </w:r>
      <w:r>
        <w:rPr>
          <w:color w:val="231F20"/>
          <w:spacing w:val="2"/>
          <w:w w:val="105"/>
        </w:rPr>
        <w:t>analiza</w:t>
      </w:r>
      <w:r>
        <w:rPr>
          <w:color w:val="231F20"/>
          <w:spacing w:val="-19"/>
          <w:w w:val="105"/>
        </w:rPr>
        <w:t> </w:t>
      </w:r>
      <w:r>
        <w:rPr>
          <w:color w:val="231F20"/>
          <w:w w:val="105"/>
        </w:rPr>
        <w:t>solamente</w:t>
      </w:r>
      <w:r>
        <w:rPr>
          <w:color w:val="231F20"/>
          <w:spacing w:val="-19"/>
          <w:w w:val="105"/>
        </w:rPr>
        <w:t> </w:t>
      </w:r>
      <w:r>
        <w:rPr>
          <w:color w:val="231F20"/>
          <w:w w:val="105"/>
        </w:rPr>
        <w:t>una</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com- </w:t>
      </w:r>
      <w:r>
        <w:rPr>
          <w:color w:val="231F20"/>
          <w:w w:val="105"/>
        </w:rPr>
        <w:t>pleja lucha política, que es la correspondiente a la conquista; falta el asunto principal, que</w:t>
      </w:r>
      <w:r>
        <w:rPr>
          <w:color w:val="231F20"/>
          <w:spacing w:val="-12"/>
          <w:w w:val="105"/>
        </w:rPr>
        <w:t> </w:t>
      </w:r>
      <w:r>
        <w:rPr>
          <w:color w:val="231F20"/>
          <w:w w:val="105"/>
        </w:rPr>
        <w:t>es</w:t>
      </w:r>
      <w:r>
        <w:rPr>
          <w:color w:val="231F20"/>
          <w:spacing w:val="-12"/>
          <w:w w:val="105"/>
        </w:rPr>
        <w:t> </w:t>
      </w:r>
      <w:r>
        <w:rPr>
          <w:color w:val="231F20"/>
          <w:w w:val="105"/>
        </w:rPr>
        <w:t>su</w:t>
      </w:r>
      <w:r>
        <w:rPr>
          <w:color w:val="231F20"/>
          <w:spacing w:val="-12"/>
          <w:w w:val="105"/>
        </w:rPr>
        <w:t> </w:t>
      </w:r>
      <w:r>
        <w:rPr>
          <w:color w:val="231F20"/>
          <w:w w:val="105"/>
        </w:rPr>
        <w:t>conservación.</w:t>
      </w:r>
      <w:r>
        <w:rPr>
          <w:color w:val="231F20"/>
          <w:spacing w:val="-12"/>
          <w:w w:val="105"/>
        </w:rPr>
        <w:t> </w:t>
      </w:r>
      <w:r>
        <w:rPr>
          <w:color w:val="231F20"/>
          <w:w w:val="105"/>
        </w:rPr>
        <w:t>Para</w:t>
      </w:r>
      <w:r>
        <w:rPr>
          <w:color w:val="231F20"/>
          <w:spacing w:val="-12"/>
          <w:w w:val="105"/>
        </w:rPr>
        <w:t> </w:t>
      </w:r>
      <w:r>
        <w:rPr>
          <w:color w:val="231F20"/>
          <w:w w:val="105"/>
        </w:rPr>
        <w:t>ello</w:t>
      </w:r>
      <w:r>
        <w:rPr>
          <w:color w:val="231F20"/>
          <w:spacing w:val="-12"/>
          <w:w w:val="105"/>
        </w:rPr>
        <w:t> </w:t>
      </w:r>
      <w:r>
        <w:rPr>
          <w:color w:val="231F20"/>
          <w:w w:val="105"/>
        </w:rPr>
        <w:t>es</w:t>
      </w:r>
      <w:r>
        <w:rPr>
          <w:color w:val="231F20"/>
          <w:spacing w:val="-12"/>
          <w:w w:val="105"/>
        </w:rPr>
        <w:t> </w:t>
      </w:r>
      <w:r>
        <w:rPr>
          <w:color w:val="231F20"/>
          <w:w w:val="105"/>
        </w:rPr>
        <w:t>indispensable</w:t>
      </w:r>
      <w:r>
        <w:rPr>
          <w:color w:val="231F20"/>
          <w:spacing w:val="-12"/>
          <w:w w:val="105"/>
        </w:rPr>
        <w:t> </w:t>
      </w:r>
      <w:r>
        <w:rPr>
          <w:color w:val="231F20"/>
          <w:w w:val="105"/>
        </w:rPr>
        <w:t>hacer</w:t>
      </w:r>
      <w:r>
        <w:rPr>
          <w:color w:val="231F20"/>
          <w:spacing w:val="-12"/>
          <w:w w:val="105"/>
        </w:rPr>
        <w:t> </w:t>
      </w:r>
      <w:r>
        <w:rPr>
          <w:color w:val="231F20"/>
          <w:w w:val="105"/>
        </w:rPr>
        <w:t>el</w:t>
      </w:r>
      <w:r>
        <w:rPr>
          <w:color w:val="231F20"/>
          <w:spacing w:val="-12"/>
          <w:w w:val="105"/>
        </w:rPr>
        <w:t> </w:t>
      </w:r>
      <w:r>
        <w:rPr>
          <w:color w:val="231F20"/>
          <w:spacing w:val="2"/>
          <w:w w:val="105"/>
        </w:rPr>
        <w:t>análisis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partidos</w:t>
      </w:r>
      <w:r>
        <w:rPr>
          <w:color w:val="231F20"/>
          <w:spacing w:val="-12"/>
          <w:w w:val="105"/>
        </w:rPr>
        <w:t> </w:t>
      </w:r>
      <w:r>
        <w:rPr>
          <w:color w:val="231F20"/>
          <w:w w:val="105"/>
        </w:rPr>
        <w:t>en</w:t>
      </w:r>
      <w:r>
        <w:rPr>
          <w:color w:val="231F20"/>
          <w:spacing w:val="-12"/>
          <w:w w:val="105"/>
        </w:rPr>
        <w:t> </w:t>
      </w:r>
      <w:r>
        <w:rPr>
          <w:color w:val="231F20"/>
          <w:w w:val="105"/>
        </w:rPr>
        <w:t>el ejercicio</w:t>
      </w:r>
      <w:r>
        <w:rPr>
          <w:color w:val="231F20"/>
          <w:spacing w:val="-26"/>
          <w:w w:val="105"/>
        </w:rPr>
        <w:t> </w:t>
      </w:r>
      <w:r>
        <w:rPr>
          <w:color w:val="231F20"/>
          <w:w w:val="105"/>
        </w:rPr>
        <w:t>de</w:t>
      </w:r>
      <w:r>
        <w:rPr>
          <w:color w:val="231F20"/>
          <w:spacing w:val="-26"/>
          <w:w w:val="105"/>
        </w:rPr>
        <w:t> </w:t>
      </w:r>
      <w:r>
        <w:rPr>
          <w:color w:val="231F20"/>
          <w:w w:val="105"/>
        </w:rPr>
        <w:t>gobierno,</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spacing w:val="2"/>
          <w:w w:val="105"/>
        </w:rPr>
        <w:t>fin</w:t>
      </w:r>
      <w:r>
        <w:rPr>
          <w:color w:val="231F20"/>
          <w:spacing w:val="-26"/>
          <w:w w:val="105"/>
        </w:rPr>
        <w:t> </w:t>
      </w:r>
      <w:r>
        <w:rPr>
          <w:color w:val="231F20"/>
          <w:w w:val="105"/>
        </w:rPr>
        <w:t>de</w:t>
      </w:r>
      <w:r>
        <w:rPr>
          <w:color w:val="231F20"/>
          <w:spacing w:val="-26"/>
          <w:w w:val="105"/>
        </w:rPr>
        <w:t> </w:t>
      </w:r>
      <w:r>
        <w:rPr>
          <w:color w:val="231F20"/>
          <w:w w:val="105"/>
        </w:rPr>
        <w:t>establecer,</w:t>
      </w:r>
      <w:r>
        <w:rPr>
          <w:color w:val="231F20"/>
          <w:spacing w:val="-26"/>
          <w:w w:val="105"/>
        </w:rPr>
        <w:t> </w:t>
      </w:r>
      <w:r>
        <w:rPr>
          <w:color w:val="231F20"/>
          <w:w w:val="105"/>
        </w:rPr>
        <w:t>primero,</w:t>
      </w:r>
      <w:r>
        <w:rPr>
          <w:color w:val="231F20"/>
          <w:spacing w:val="-26"/>
          <w:w w:val="105"/>
        </w:rPr>
        <w:t> </w:t>
      </w:r>
      <w:r>
        <w:rPr>
          <w:color w:val="231F20"/>
          <w:w w:val="105"/>
        </w:rPr>
        <w:t>si</w:t>
      </w:r>
      <w:r>
        <w:rPr>
          <w:color w:val="231F20"/>
          <w:spacing w:val="-26"/>
          <w:w w:val="105"/>
        </w:rPr>
        <w:t> </w:t>
      </w:r>
      <w:r>
        <w:rPr>
          <w:color w:val="231F20"/>
          <w:w w:val="105"/>
        </w:rPr>
        <w:t>su</w:t>
      </w:r>
      <w:r>
        <w:rPr>
          <w:color w:val="231F20"/>
          <w:spacing w:val="-26"/>
          <w:w w:val="105"/>
        </w:rPr>
        <w:t> </w:t>
      </w:r>
      <w:r>
        <w:rPr>
          <w:color w:val="231F20"/>
          <w:w w:val="105"/>
        </w:rPr>
        <w:t>llegada</w:t>
      </w:r>
      <w:r>
        <w:rPr>
          <w:color w:val="231F20"/>
          <w:spacing w:val="-26"/>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w w:val="105"/>
        </w:rPr>
        <w:t>cargos</w:t>
      </w:r>
      <w:r>
        <w:rPr>
          <w:color w:val="231F20"/>
          <w:spacing w:val="-26"/>
          <w:w w:val="105"/>
        </w:rPr>
        <w:t> </w:t>
      </w:r>
      <w:r>
        <w:rPr>
          <w:color w:val="231F20"/>
          <w:w w:val="105"/>
        </w:rPr>
        <w:t>públicos constituye</w:t>
      </w:r>
      <w:r>
        <w:rPr>
          <w:color w:val="231F20"/>
          <w:spacing w:val="-12"/>
          <w:w w:val="105"/>
        </w:rPr>
        <w:t> </w:t>
      </w:r>
      <w:r>
        <w:rPr>
          <w:color w:val="231F20"/>
          <w:w w:val="105"/>
        </w:rPr>
        <w:t>el</w:t>
      </w:r>
      <w:r>
        <w:rPr>
          <w:color w:val="231F20"/>
          <w:spacing w:val="-12"/>
          <w:w w:val="105"/>
        </w:rPr>
        <w:t> </w:t>
      </w:r>
      <w:r>
        <w:rPr>
          <w:color w:val="231F20"/>
          <w:w w:val="105"/>
        </w:rPr>
        <w:t>punto</w:t>
      </w:r>
      <w:r>
        <w:rPr>
          <w:color w:val="231F20"/>
          <w:spacing w:val="-12"/>
          <w:w w:val="105"/>
        </w:rPr>
        <w:t> </w:t>
      </w:r>
      <w:r>
        <w:rPr>
          <w:color w:val="231F20"/>
          <w:w w:val="105"/>
        </w:rPr>
        <w:t>de</w:t>
      </w:r>
      <w:r>
        <w:rPr>
          <w:color w:val="231F20"/>
          <w:spacing w:val="-12"/>
          <w:w w:val="105"/>
        </w:rPr>
        <w:t> </w:t>
      </w:r>
      <w:r>
        <w:rPr>
          <w:color w:val="231F20"/>
          <w:w w:val="105"/>
        </w:rPr>
        <w:t>partida</w:t>
      </w:r>
      <w:r>
        <w:rPr>
          <w:color w:val="231F20"/>
          <w:spacing w:val="-12"/>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formulación</w:t>
      </w:r>
      <w:r>
        <w:rPr>
          <w:color w:val="231F20"/>
          <w:spacing w:val="-12"/>
          <w:w w:val="105"/>
        </w:rPr>
        <w:t> </w:t>
      </w:r>
      <w:r>
        <w:rPr>
          <w:color w:val="231F20"/>
          <w:w w:val="105"/>
        </w:rPr>
        <w:t>de</w:t>
      </w:r>
      <w:r>
        <w:rPr>
          <w:color w:val="231F20"/>
          <w:spacing w:val="-12"/>
          <w:w w:val="105"/>
        </w:rPr>
        <w:t> </w:t>
      </w:r>
      <w:r>
        <w:rPr>
          <w:color w:val="231F20"/>
          <w:w w:val="105"/>
        </w:rPr>
        <w:t>políticas</w:t>
      </w:r>
      <w:r>
        <w:rPr>
          <w:color w:val="231F20"/>
          <w:spacing w:val="-12"/>
          <w:w w:val="105"/>
        </w:rPr>
        <w:t> </w:t>
      </w:r>
      <w:r>
        <w:rPr>
          <w:color w:val="231F20"/>
          <w:w w:val="105"/>
        </w:rPr>
        <w:t>alternativas.</w:t>
      </w:r>
      <w:r>
        <w:rPr>
          <w:color w:val="231F20"/>
          <w:spacing w:val="-12"/>
          <w:w w:val="105"/>
        </w:rPr>
        <w:t> </w:t>
      </w:r>
      <w:r>
        <w:rPr>
          <w:color w:val="231F20"/>
          <w:w w:val="105"/>
        </w:rPr>
        <w:t>En</w:t>
      </w:r>
      <w:r>
        <w:rPr>
          <w:color w:val="231F20"/>
          <w:spacing w:val="-12"/>
          <w:w w:val="105"/>
        </w:rPr>
        <w:t> </w:t>
      </w:r>
      <w:r>
        <w:rPr>
          <w:color w:val="231F20"/>
          <w:w w:val="105"/>
        </w:rPr>
        <w:t>segundo </w:t>
      </w:r>
      <w:r>
        <w:rPr>
          <w:color w:val="231F20"/>
          <w:spacing w:val="-3"/>
          <w:w w:val="105"/>
        </w:rPr>
        <w:t>lugar,</w:t>
      </w:r>
      <w:r>
        <w:rPr>
          <w:color w:val="231F20"/>
          <w:spacing w:val="-5"/>
          <w:w w:val="105"/>
        </w:rPr>
        <w:t> </w:t>
      </w:r>
      <w:r>
        <w:rPr>
          <w:color w:val="231F20"/>
          <w:w w:val="105"/>
        </w:rPr>
        <w:t>para</w:t>
      </w:r>
      <w:r>
        <w:rPr>
          <w:color w:val="231F20"/>
          <w:spacing w:val="-5"/>
          <w:w w:val="105"/>
        </w:rPr>
        <w:t> </w:t>
      </w:r>
      <w:r>
        <w:rPr>
          <w:color w:val="231F20"/>
          <w:w w:val="105"/>
        </w:rPr>
        <w:t>conocer</w:t>
      </w:r>
      <w:r>
        <w:rPr>
          <w:color w:val="231F20"/>
          <w:spacing w:val="-5"/>
          <w:w w:val="105"/>
        </w:rPr>
        <w:t> </w:t>
      </w:r>
      <w:r>
        <w:rPr>
          <w:color w:val="231F20"/>
          <w:w w:val="105"/>
        </w:rPr>
        <w:t>los</w:t>
      </w:r>
      <w:r>
        <w:rPr>
          <w:color w:val="231F20"/>
          <w:spacing w:val="-5"/>
          <w:w w:val="105"/>
        </w:rPr>
        <w:t> </w:t>
      </w:r>
      <w:r>
        <w:rPr>
          <w:color w:val="231F20"/>
          <w:w w:val="105"/>
        </w:rPr>
        <w:t>modos</w:t>
      </w:r>
      <w:r>
        <w:rPr>
          <w:color w:val="231F20"/>
          <w:spacing w:val="-5"/>
          <w:w w:val="105"/>
        </w:rPr>
        <w:t> </w:t>
      </w:r>
      <w:r>
        <w:rPr>
          <w:color w:val="231F20"/>
          <w:w w:val="105"/>
        </w:rPr>
        <w:t>de</w:t>
      </w:r>
      <w:r>
        <w:rPr>
          <w:color w:val="231F20"/>
          <w:spacing w:val="-5"/>
          <w:w w:val="105"/>
        </w:rPr>
        <w:t> </w:t>
      </w:r>
      <w:r>
        <w:rPr>
          <w:color w:val="231F20"/>
          <w:w w:val="105"/>
        </w:rPr>
        <w:t>instrumentación,</w:t>
      </w:r>
      <w:r>
        <w:rPr>
          <w:color w:val="231F20"/>
          <w:spacing w:val="-5"/>
          <w:w w:val="105"/>
        </w:rPr>
        <w:t> </w:t>
      </w:r>
      <w:r>
        <w:rPr>
          <w:color w:val="231F20"/>
          <w:w w:val="105"/>
        </w:rPr>
        <w:t>el</w:t>
      </w:r>
      <w:r>
        <w:rPr>
          <w:color w:val="231F20"/>
          <w:spacing w:val="-5"/>
          <w:w w:val="105"/>
        </w:rPr>
        <w:t> </w:t>
      </w:r>
      <w:r>
        <w:rPr>
          <w:color w:val="231F20"/>
          <w:w w:val="105"/>
        </w:rPr>
        <w:t>manejo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tensiones,</w:t>
      </w:r>
      <w:r>
        <w:rPr>
          <w:color w:val="231F20"/>
          <w:spacing w:val="-5"/>
          <w:w w:val="105"/>
        </w:rPr>
        <w:t> </w:t>
      </w:r>
      <w:r>
        <w:rPr>
          <w:color w:val="231F20"/>
          <w:w w:val="105"/>
        </w:rPr>
        <w:t>las</w:t>
      </w:r>
      <w:r>
        <w:rPr>
          <w:color w:val="231F20"/>
          <w:spacing w:val="-5"/>
          <w:w w:val="105"/>
        </w:rPr>
        <w:t> </w:t>
      </w:r>
      <w:r>
        <w:rPr>
          <w:color w:val="231F20"/>
          <w:w w:val="105"/>
        </w:rPr>
        <w:t>rela- ciones</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y</w:t>
      </w:r>
      <w:r>
        <w:rPr>
          <w:color w:val="231F20"/>
          <w:spacing w:val="-15"/>
          <w:w w:val="105"/>
        </w:rPr>
        <w:t> </w:t>
      </w:r>
      <w:r>
        <w:rPr>
          <w:color w:val="231F20"/>
          <w:w w:val="105"/>
        </w:rPr>
        <w:t>con</w:t>
      </w:r>
      <w:r>
        <w:rPr>
          <w:color w:val="231F20"/>
          <w:spacing w:val="-15"/>
          <w:w w:val="105"/>
        </w:rPr>
        <w:t> </w:t>
      </w:r>
      <w:r>
        <w:rPr>
          <w:color w:val="231F20"/>
          <w:w w:val="105"/>
        </w:rPr>
        <w:t>sus</w:t>
      </w:r>
      <w:r>
        <w:rPr>
          <w:color w:val="231F20"/>
          <w:spacing w:val="-15"/>
          <w:w w:val="105"/>
        </w:rPr>
        <w:t> </w:t>
      </w:r>
      <w:r>
        <w:rPr>
          <w:color w:val="231F20"/>
          <w:w w:val="105"/>
        </w:rPr>
        <w:t>representantes</w:t>
      </w:r>
      <w:r>
        <w:rPr>
          <w:color w:val="231F20"/>
          <w:spacing w:val="-15"/>
          <w:w w:val="105"/>
        </w:rPr>
        <w:t> </w:t>
      </w:r>
      <w:r>
        <w:rPr>
          <w:color w:val="231F20"/>
          <w:w w:val="105"/>
        </w:rPr>
        <w:t>más</w:t>
      </w:r>
      <w:r>
        <w:rPr>
          <w:color w:val="231F20"/>
          <w:spacing w:val="-15"/>
          <w:w w:val="105"/>
        </w:rPr>
        <w:t> </w:t>
      </w:r>
      <w:r>
        <w:rPr>
          <w:color w:val="231F20"/>
          <w:w w:val="105"/>
        </w:rPr>
        <w:t>concretos,</w:t>
      </w:r>
      <w:r>
        <w:rPr>
          <w:color w:val="231F20"/>
          <w:spacing w:val="-15"/>
          <w:w w:val="105"/>
        </w:rPr>
        <w:t> </w:t>
      </w:r>
      <w:r>
        <w:rPr>
          <w:color w:val="231F20"/>
          <w:w w:val="105"/>
        </w:rPr>
        <w:t>los</w:t>
      </w:r>
      <w:r>
        <w:rPr>
          <w:color w:val="231F20"/>
          <w:spacing w:val="-15"/>
          <w:w w:val="105"/>
        </w:rPr>
        <w:t> </w:t>
      </w:r>
      <w:r>
        <w:rPr>
          <w:color w:val="231F20"/>
          <w:w w:val="105"/>
        </w:rPr>
        <w:t>límites</w:t>
      </w:r>
      <w:r>
        <w:rPr>
          <w:color w:val="231F20"/>
          <w:spacing w:val="-15"/>
          <w:w w:val="105"/>
        </w:rPr>
        <w:t> </w:t>
      </w:r>
      <w:r>
        <w:rPr>
          <w:color w:val="231F20"/>
          <w:w w:val="105"/>
        </w:rPr>
        <w:t>y</w:t>
      </w:r>
      <w:r>
        <w:rPr>
          <w:color w:val="231F20"/>
          <w:spacing w:val="-15"/>
          <w:w w:val="105"/>
        </w:rPr>
        <w:t> </w:t>
      </w:r>
      <w:r>
        <w:rPr>
          <w:color w:val="231F20"/>
          <w:w w:val="105"/>
        </w:rPr>
        <w:t>alcances</w:t>
      </w:r>
      <w:r>
        <w:rPr>
          <w:color w:val="231F20"/>
          <w:spacing w:val="-15"/>
          <w:w w:val="105"/>
        </w:rPr>
        <w:t> </w:t>
      </w:r>
      <w:r>
        <w:rPr>
          <w:color w:val="231F20"/>
          <w:w w:val="105"/>
        </w:rPr>
        <w:t>de su</w:t>
      </w:r>
      <w:r>
        <w:rPr>
          <w:color w:val="231F20"/>
          <w:spacing w:val="-9"/>
          <w:w w:val="105"/>
        </w:rPr>
        <w:t> </w:t>
      </w:r>
      <w:r>
        <w:rPr>
          <w:color w:val="231F20"/>
          <w:w w:val="105"/>
        </w:rPr>
        <w:t>toma</w:t>
      </w:r>
      <w:r>
        <w:rPr>
          <w:color w:val="231F20"/>
          <w:spacing w:val="-9"/>
          <w:w w:val="105"/>
        </w:rPr>
        <w:t> </w:t>
      </w:r>
      <w:r>
        <w:rPr>
          <w:color w:val="231F20"/>
          <w:w w:val="105"/>
        </w:rPr>
        <w:t>de</w:t>
      </w:r>
      <w:r>
        <w:rPr>
          <w:color w:val="231F20"/>
          <w:spacing w:val="-9"/>
          <w:w w:val="105"/>
        </w:rPr>
        <w:t> </w:t>
      </w:r>
      <w:r>
        <w:rPr>
          <w:color w:val="231F20"/>
          <w:w w:val="105"/>
        </w:rPr>
        <w:t>decisiones,</w:t>
      </w:r>
      <w:r>
        <w:rPr>
          <w:color w:val="231F20"/>
          <w:spacing w:val="-9"/>
          <w:w w:val="105"/>
        </w:rPr>
        <w:t> </w:t>
      </w:r>
      <w:r>
        <w:rPr>
          <w:color w:val="231F20"/>
          <w:w w:val="105"/>
        </w:rPr>
        <w:t>sus</w:t>
      </w:r>
      <w:r>
        <w:rPr>
          <w:color w:val="231F20"/>
          <w:spacing w:val="-9"/>
          <w:w w:val="105"/>
        </w:rPr>
        <w:t> </w:t>
      </w:r>
      <w:r>
        <w:rPr>
          <w:color w:val="231F20"/>
          <w:w w:val="105"/>
        </w:rPr>
        <w:t>resultados</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grado</w:t>
      </w:r>
      <w:r>
        <w:rPr>
          <w:color w:val="231F20"/>
          <w:spacing w:val="-9"/>
          <w:w w:val="105"/>
        </w:rPr>
        <w:t> </w:t>
      </w:r>
      <w:r>
        <w:rPr>
          <w:color w:val="231F20"/>
          <w:w w:val="105"/>
        </w:rPr>
        <w:t>de</w:t>
      </w:r>
      <w:r>
        <w:rPr>
          <w:color w:val="231F20"/>
          <w:spacing w:val="-9"/>
          <w:w w:val="105"/>
        </w:rPr>
        <w:t> </w:t>
      </w:r>
      <w:r>
        <w:rPr>
          <w:color w:val="231F20"/>
          <w:w w:val="105"/>
        </w:rPr>
        <w:t>legitimidad</w:t>
      </w:r>
      <w:r>
        <w:rPr>
          <w:color w:val="231F20"/>
          <w:spacing w:val="-9"/>
          <w:w w:val="105"/>
        </w:rPr>
        <w:t> </w:t>
      </w:r>
      <w:r>
        <w:rPr>
          <w:color w:val="231F20"/>
          <w:w w:val="105"/>
        </w:rPr>
        <w:t>que</w:t>
      </w:r>
      <w:r>
        <w:rPr>
          <w:color w:val="231F20"/>
          <w:spacing w:val="-9"/>
          <w:w w:val="105"/>
        </w:rPr>
        <w:t> </w:t>
      </w:r>
      <w:r>
        <w:rPr>
          <w:color w:val="231F20"/>
          <w:w w:val="105"/>
        </w:rPr>
        <w:t>tienen</w:t>
      </w:r>
      <w:r>
        <w:rPr>
          <w:color w:val="231F20"/>
          <w:spacing w:val="-9"/>
          <w:w w:val="105"/>
        </w:rPr>
        <w:t> </w:t>
      </w:r>
      <w:r>
        <w:rPr>
          <w:color w:val="231F20"/>
          <w:w w:val="105"/>
        </w:rPr>
        <w:t>a</w:t>
      </w:r>
      <w:r>
        <w:rPr>
          <w:color w:val="231F20"/>
          <w:spacing w:val="-9"/>
          <w:w w:val="105"/>
        </w:rPr>
        <w:t> </w:t>
      </w:r>
      <w:r>
        <w:rPr>
          <w:color w:val="231F20"/>
          <w:spacing w:val="2"/>
          <w:w w:val="105"/>
        </w:rPr>
        <w:t>partir</w:t>
      </w:r>
      <w:r>
        <w:rPr>
          <w:color w:val="231F20"/>
          <w:spacing w:val="-9"/>
          <w:w w:val="105"/>
        </w:rPr>
        <w:t> </w:t>
      </w:r>
      <w:r>
        <w:rPr>
          <w:color w:val="231F20"/>
          <w:w w:val="105"/>
        </w:rPr>
        <w:t>de</w:t>
      </w:r>
      <w:r>
        <w:rPr>
          <w:color w:val="231F20"/>
          <w:spacing w:val="-9"/>
          <w:w w:val="105"/>
        </w:rPr>
        <w:t> </w:t>
      </w:r>
      <w:r>
        <w:rPr>
          <w:color w:val="231F20"/>
          <w:w w:val="105"/>
        </w:rPr>
        <w:t>la respuesta</w:t>
      </w:r>
      <w:r>
        <w:rPr>
          <w:color w:val="231F20"/>
          <w:spacing w:val="-8"/>
          <w:w w:val="105"/>
        </w:rPr>
        <w:t> </w:t>
      </w:r>
      <w:r>
        <w:rPr>
          <w:color w:val="231F20"/>
          <w:w w:val="105"/>
        </w:rPr>
        <w:t>(amplia</w:t>
      </w:r>
      <w:r>
        <w:rPr>
          <w:color w:val="231F20"/>
          <w:spacing w:val="-8"/>
          <w:w w:val="105"/>
        </w:rPr>
        <w:t> </w:t>
      </w:r>
      <w:r>
        <w:rPr>
          <w:color w:val="231F20"/>
          <w:w w:val="105"/>
        </w:rPr>
        <w:t>o</w:t>
      </w:r>
      <w:r>
        <w:rPr>
          <w:color w:val="231F20"/>
          <w:spacing w:val="-8"/>
          <w:w w:val="105"/>
        </w:rPr>
        <w:t> </w:t>
      </w:r>
      <w:r>
        <w:rPr>
          <w:color w:val="231F20"/>
          <w:w w:val="105"/>
        </w:rPr>
        <w:t>limitada)</w:t>
      </w:r>
      <w:r>
        <w:rPr>
          <w:color w:val="231F20"/>
          <w:spacing w:val="-8"/>
          <w:w w:val="105"/>
        </w:rPr>
        <w:t> </w:t>
      </w:r>
      <w:r>
        <w:rPr>
          <w:color w:val="231F20"/>
          <w:w w:val="105"/>
        </w:rPr>
        <w:t>a</w:t>
      </w:r>
      <w:r>
        <w:rPr>
          <w:color w:val="231F20"/>
          <w:spacing w:val="-8"/>
          <w:w w:val="105"/>
        </w:rPr>
        <w:t> </w:t>
      </w:r>
      <w:r>
        <w:rPr>
          <w:color w:val="231F20"/>
          <w:w w:val="105"/>
        </w:rPr>
        <w:t>las</w:t>
      </w:r>
      <w:r>
        <w:rPr>
          <w:color w:val="231F20"/>
          <w:spacing w:val="-8"/>
          <w:w w:val="105"/>
        </w:rPr>
        <w:t> </w:t>
      </w:r>
      <w:r>
        <w:rPr>
          <w:color w:val="231F20"/>
          <w:w w:val="105"/>
        </w:rPr>
        <w:t>diversas</w:t>
      </w:r>
      <w:r>
        <w:rPr>
          <w:color w:val="231F20"/>
          <w:spacing w:val="-8"/>
          <w:w w:val="105"/>
        </w:rPr>
        <w:t> </w:t>
      </w:r>
      <w:r>
        <w:rPr>
          <w:color w:val="231F20"/>
          <w:w w:val="105"/>
        </w:rPr>
        <w:t>demandas</w:t>
      </w:r>
      <w:r>
        <w:rPr>
          <w:color w:val="231F20"/>
          <w:spacing w:val="-8"/>
          <w:w w:val="105"/>
        </w:rPr>
        <w:t> </w:t>
      </w:r>
      <w:r>
        <w:rPr>
          <w:color w:val="231F20"/>
          <w:w w:val="105"/>
        </w:rPr>
        <w:t>del</w:t>
      </w:r>
      <w:r>
        <w:rPr>
          <w:color w:val="231F20"/>
          <w:spacing w:val="-8"/>
          <w:w w:val="105"/>
        </w:rPr>
        <w:t> </w:t>
      </w:r>
      <w:r>
        <w:rPr>
          <w:color w:val="231F20"/>
          <w:w w:val="105"/>
        </w:rPr>
        <w:t>conjunto</w:t>
      </w:r>
      <w:r>
        <w:rPr>
          <w:color w:val="231F20"/>
          <w:spacing w:val="-8"/>
          <w:w w:val="105"/>
        </w:rPr>
        <w:t> </w:t>
      </w:r>
      <w:r>
        <w:rPr>
          <w:color w:val="231F20"/>
          <w:w w:val="105"/>
        </w:rPr>
        <w:t>social.</w:t>
      </w:r>
      <w:r>
        <w:rPr>
          <w:color w:val="231F20"/>
          <w:spacing w:val="-8"/>
          <w:w w:val="105"/>
        </w:rPr>
        <w:t> </w:t>
      </w:r>
      <w:r>
        <w:rPr>
          <w:color w:val="231F20"/>
          <w:w w:val="105"/>
        </w:rPr>
        <w:t>Con</w:t>
      </w:r>
      <w:r>
        <w:rPr>
          <w:color w:val="231F20"/>
          <w:spacing w:val="-8"/>
          <w:w w:val="105"/>
        </w:rPr>
        <w:t> </w:t>
      </w:r>
      <w:r>
        <w:rPr>
          <w:color w:val="231F20"/>
          <w:w w:val="105"/>
        </w:rPr>
        <w:t>base</w:t>
      </w:r>
      <w:r>
        <w:rPr>
          <w:color w:val="231F20"/>
          <w:spacing w:val="-8"/>
          <w:w w:val="105"/>
        </w:rPr>
        <w:t> </w:t>
      </w:r>
      <w:r>
        <w:rPr>
          <w:color w:val="231F20"/>
          <w:w w:val="105"/>
        </w:rPr>
        <w:t>en este</w:t>
      </w:r>
      <w:r>
        <w:rPr>
          <w:color w:val="231F20"/>
          <w:spacing w:val="-9"/>
          <w:w w:val="105"/>
        </w:rPr>
        <w:t> </w:t>
      </w:r>
      <w:r>
        <w:rPr>
          <w:color w:val="231F20"/>
          <w:w w:val="105"/>
        </w:rPr>
        <w:t>análisis,</w:t>
      </w:r>
      <w:r>
        <w:rPr>
          <w:color w:val="231F20"/>
          <w:spacing w:val="-9"/>
          <w:w w:val="105"/>
        </w:rPr>
        <w:t> </w:t>
      </w:r>
      <w:r>
        <w:rPr>
          <w:color w:val="231F20"/>
          <w:w w:val="105"/>
        </w:rPr>
        <w:t>será</w:t>
      </w:r>
      <w:r>
        <w:rPr>
          <w:color w:val="231F20"/>
          <w:spacing w:val="-9"/>
          <w:w w:val="105"/>
        </w:rPr>
        <w:t> </w:t>
      </w:r>
      <w:r>
        <w:rPr>
          <w:color w:val="231F20"/>
          <w:spacing w:val="-3"/>
          <w:w w:val="105"/>
        </w:rPr>
        <w:t>mucho</w:t>
      </w:r>
      <w:r>
        <w:rPr>
          <w:color w:val="231F20"/>
          <w:spacing w:val="-9"/>
          <w:w w:val="105"/>
        </w:rPr>
        <w:t> </w:t>
      </w:r>
      <w:r>
        <w:rPr>
          <w:color w:val="231F20"/>
          <w:w w:val="105"/>
        </w:rPr>
        <w:t>más</w:t>
      </w:r>
      <w:r>
        <w:rPr>
          <w:color w:val="231F20"/>
          <w:spacing w:val="-9"/>
          <w:w w:val="105"/>
        </w:rPr>
        <w:t> </w:t>
      </w:r>
      <w:r>
        <w:rPr>
          <w:color w:val="231F20"/>
          <w:w w:val="105"/>
        </w:rPr>
        <w:t>fácil</w:t>
      </w:r>
      <w:r>
        <w:rPr>
          <w:color w:val="231F20"/>
          <w:spacing w:val="-9"/>
          <w:w w:val="105"/>
        </w:rPr>
        <w:t> </w:t>
      </w:r>
      <w:r>
        <w:rPr>
          <w:color w:val="231F20"/>
          <w:w w:val="105"/>
        </w:rPr>
        <w:t>entender</w:t>
      </w:r>
      <w:r>
        <w:rPr>
          <w:color w:val="231F20"/>
          <w:spacing w:val="-9"/>
          <w:w w:val="105"/>
        </w:rPr>
        <w:t> </w:t>
      </w:r>
      <w:r>
        <w:rPr>
          <w:color w:val="231F20"/>
          <w:w w:val="105"/>
        </w:rPr>
        <w:t>el</w:t>
      </w:r>
      <w:r>
        <w:rPr>
          <w:color w:val="231F20"/>
          <w:spacing w:val="-9"/>
          <w:w w:val="105"/>
        </w:rPr>
        <w:t> </w:t>
      </w:r>
      <w:r>
        <w:rPr>
          <w:color w:val="231F20"/>
          <w:w w:val="105"/>
        </w:rPr>
        <w:t>derrotero</w:t>
      </w:r>
      <w:r>
        <w:rPr>
          <w:color w:val="231F20"/>
          <w:spacing w:val="-9"/>
          <w:w w:val="105"/>
        </w:rPr>
        <w:t> </w:t>
      </w:r>
      <w:r>
        <w:rPr>
          <w:color w:val="231F20"/>
          <w:w w:val="105"/>
        </w:rPr>
        <w:t>que</w:t>
      </w:r>
      <w:r>
        <w:rPr>
          <w:color w:val="231F20"/>
          <w:spacing w:val="-9"/>
          <w:w w:val="105"/>
        </w:rPr>
        <w:t> </w:t>
      </w:r>
      <w:r>
        <w:rPr>
          <w:color w:val="231F20"/>
          <w:w w:val="105"/>
        </w:rPr>
        <w:t>sigue</w:t>
      </w:r>
      <w:r>
        <w:rPr>
          <w:color w:val="231F20"/>
          <w:spacing w:val="-9"/>
          <w:w w:val="105"/>
        </w:rPr>
        <w:t> </w:t>
      </w:r>
      <w:r>
        <w:rPr>
          <w:color w:val="231F20"/>
          <w:w w:val="105"/>
        </w:rPr>
        <w:t>determinado</w:t>
      </w:r>
      <w:r>
        <w:rPr>
          <w:color w:val="231F20"/>
          <w:spacing w:val="-9"/>
          <w:w w:val="105"/>
        </w:rPr>
        <w:t> </w:t>
      </w:r>
      <w:r>
        <w:rPr>
          <w:color w:val="231F20"/>
          <w:w w:val="105"/>
        </w:rPr>
        <w:t>partido para</w:t>
      </w:r>
      <w:r>
        <w:rPr>
          <w:color w:val="231F20"/>
          <w:spacing w:val="-8"/>
          <w:w w:val="105"/>
        </w:rPr>
        <w:t> </w:t>
      </w:r>
      <w:r>
        <w:rPr>
          <w:color w:val="231F20"/>
          <w:w w:val="105"/>
        </w:rPr>
        <w:t>ganar</w:t>
      </w:r>
      <w:r>
        <w:rPr>
          <w:color w:val="231F20"/>
          <w:spacing w:val="-8"/>
          <w:w w:val="105"/>
        </w:rPr>
        <w:t> </w:t>
      </w:r>
      <w:r>
        <w:rPr>
          <w:color w:val="231F20"/>
          <w:w w:val="105"/>
        </w:rPr>
        <w:t>o</w:t>
      </w:r>
      <w:r>
        <w:rPr>
          <w:color w:val="231F20"/>
          <w:spacing w:val="-8"/>
          <w:w w:val="105"/>
        </w:rPr>
        <w:t> </w:t>
      </w:r>
      <w:r>
        <w:rPr>
          <w:color w:val="231F20"/>
          <w:w w:val="105"/>
        </w:rPr>
        <w:t>perder</w:t>
      </w:r>
      <w:r>
        <w:rPr>
          <w:color w:val="231F20"/>
          <w:spacing w:val="-8"/>
          <w:w w:val="105"/>
        </w:rPr>
        <w:t> </w:t>
      </w:r>
      <w:r>
        <w:rPr>
          <w:color w:val="231F20"/>
          <w:w w:val="105"/>
        </w:rPr>
        <w:t>una</w:t>
      </w:r>
      <w:r>
        <w:rPr>
          <w:color w:val="231F20"/>
          <w:spacing w:val="-8"/>
          <w:w w:val="105"/>
        </w:rPr>
        <w:t> </w:t>
      </w:r>
      <w:r>
        <w:rPr>
          <w:color w:val="231F20"/>
          <w:w w:val="105"/>
        </w:rPr>
        <w:t>elección.</w:t>
      </w:r>
      <w:r>
        <w:rPr>
          <w:color w:val="231F20"/>
          <w:spacing w:val="-8"/>
          <w:w w:val="105"/>
        </w:rPr>
        <w:t> </w:t>
      </w:r>
      <w:r>
        <w:rPr>
          <w:color w:val="231F20"/>
          <w:w w:val="105"/>
        </w:rPr>
        <w:t>Otros</w:t>
      </w:r>
      <w:r>
        <w:rPr>
          <w:color w:val="231F20"/>
          <w:spacing w:val="-8"/>
          <w:w w:val="105"/>
        </w:rPr>
        <w:t> </w:t>
      </w:r>
      <w:r>
        <w:rPr>
          <w:color w:val="231F20"/>
          <w:w w:val="105"/>
        </w:rPr>
        <w:t>factores</w:t>
      </w:r>
      <w:r>
        <w:rPr>
          <w:color w:val="231F20"/>
          <w:spacing w:val="-8"/>
          <w:w w:val="105"/>
        </w:rPr>
        <w:t> </w:t>
      </w:r>
      <w:r>
        <w:rPr>
          <w:color w:val="231F20"/>
          <w:w w:val="105"/>
        </w:rPr>
        <w:t>contribuirán</w:t>
      </w:r>
      <w:r>
        <w:rPr>
          <w:color w:val="231F20"/>
          <w:spacing w:val="-8"/>
          <w:w w:val="105"/>
        </w:rPr>
        <w:t> </w:t>
      </w:r>
      <w:r>
        <w:rPr>
          <w:color w:val="231F20"/>
          <w:w w:val="105"/>
        </w:rPr>
        <w:t>sin</w:t>
      </w:r>
      <w:r>
        <w:rPr>
          <w:color w:val="231F20"/>
          <w:spacing w:val="-8"/>
          <w:w w:val="105"/>
        </w:rPr>
        <w:t> </w:t>
      </w:r>
      <w:r>
        <w:rPr>
          <w:color w:val="231F20"/>
          <w:w w:val="105"/>
        </w:rPr>
        <w:t>duda</w:t>
      </w:r>
      <w:r>
        <w:rPr>
          <w:color w:val="231F20"/>
          <w:spacing w:val="-8"/>
          <w:w w:val="105"/>
        </w:rPr>
        <w:t> </w:t>
      </w:r>
      <w:r>
        <w:rPr>
          <w:color w:val="231F20"/>
          <w:w w:val="105"/>
        </w:rPr>
        <w:t>a</w:t>
      </w:r>
      <w:r>
        <w:rPr>
          <w:color w:val="231F20"/>
          <w:spacing w:val="-8"/>
          <w:w w:val="105"/>
        </w:rPr>
        <w:t> </w:t>
      </w:r>
      <w:r>
        <w:rPr>
          <w:color w:val="231F20"/>
          <w:w w:val="105"/>
        </w:rPr>
        <w:t>esclarecer</w:t>
      </w:r>
      <w:r>
        <w:rPr>
          <w:color w:val="231F20"/>
          <w:spacing w:val="-8"/>
          <w:w w:val="105"/>
        </w:rPr>
        <w:t> </w:t>
      </w:r>
      <w:r>
        <w:rPr>
          <w:color w:val="231F20"/>
          <w:w w:val="105"/>
        </w:rPr>
        <w:t>este asunto,</w:t>
      </w:r>
      <w:r>
        <w:rPr>
          <w:color w:val="231F20"/>
          <w:spacing w:val="-4"/>
          <w:w w:val="105"/>
        </w:rPr>
        <w:t> </w:t>
      </w:r>
      <w:r>
        <w:rPr>
          <w:color w:val="231F20"/>
          <w:w w:val="105"/>
        </w:rPr>
        <w:t>pero</w:t>
      </w:r>
      <w:r>
        <w:rPr>
          <w:color w:val="231F20"/>
          <w:spacing w:val="-4"/>
          <w:w w:val="105"/>
        </w:rPr>
        <w:t> </w:t>
      </w:r>
      <w:r>
        <w:rPr>
          <w:color w:val="231F20"/>
          <w:w w:val="105"/>
        </w:rPr>
        <w:t>la</w:t>
      </w:r>
      <w:r>
        <w:rPr>
          <w:color w:val="231F20"/>
          <w:spacing w:val="-4"/>
          <w:w w:val="105"/>
        </w:rPr>
        <w:t> </w:t>
      </w:r>
      <w:r>
        <w:rPr>
          <w:color w:val="231F20"/>
          <w:w w:val="105"/>
        </w:rPr>
        <w:t>importancia</w:t>
      </w:r>
      <w:r>
        <w:rPr>
          <w:color w:val="231F20"/>
          <w:spacing w:val="-4"/>
          <w:w w:val="105"/>
        </w:rPr>
        <w:t> </w:t>
      </w:r>
      <w:r>
        <w:rPr>
          <w:color w:val="231F20"/>
          <w:w w:val="105"/>
        </w:rPr>
        <w:t>del</w:t>
      </w:r>
      <w:r>
        <w:rPr>
          <w:color w:val="231F20"/>
          <w:spacing w:val="-4"/>
          <w:w w:val="105"/>
        </w:rPr>
        <w:t> </w:t>
      </w:r>
      <w:r>
        <w:rPr>
          <w:color w:val="231F20"/>
          <w:w w:val="105"/>
        </w:rPr>
        <w:t>ejercicio</w:t>
      </w:r>
      <w:r>
        <w:rPr>
          <w:color w:val="231F20"/>
          <w:spacing w:val="-4"/>
          <w:w w:val="105"/>
        </w:rPr>
        <w:t> </w:t>
      </w:r>
      <w:r>
        <w:rPr>
          <w:color w:val="231F20"/>
          <w:w w:val="105"/>
        </w:rPr>
        <w:t>del</w:t>
      </w:r>
      <w:r>
        <w:rPr>
          <w:color w:val="231F20"/>
          <w:spacing w:val="-4"/>
          <w:w w:val="105"/>
        </w:rPr>
        <w:t> </w:t>
      </w:r>
      <w:r>
        <w:rPr>
          <w:color w:val="231F20"/>
          <w:w w:val="105"/>
        </w:rPr>
        <w:t>poder</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definición</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resultado</w:t>
      </w:r>
      <w:r>
        <w:rPr>
          <w:color w:val="231F20"/>
          <w:spacing w:val="-4"/>
          <w:w w:val="105"/>
        </w:rPr>
        <w:t> </w:t>
      </w:r>
      <w:r>
        <w:rPr>
          <w:color w:val="231F20"/>
          <w:w w:val="105"/>
        </w:rPr>
        <w:t>co- micial</w:t>
      </w:r>
      <w:r>
        <w:rPr>
          <w:color w:val="231F20"/>
          <w:spacing w:val="-9"/>
          <w:w w:val="105"/>
        </w:rPr>
        <w:t> </w:t>
      </w:r>
      <w:r>
        <w:rPr>
          <w:color w:val="231F20"/>
          <w:w w:val="105"/>
        </w:rPr>
        <w:t>caerá</w:t>
      </w:r>
      <w:r>
        <w:rPr>
          <w:color w:val="231F20"/>
          <w:spacing w:val="-9"/>
          <w:w w:val="105"/>
        </w:rPr>
        <w:t> </w:t>
      </w:r>
      <w:r>
        <w:rPr>
          <w:color w:val="231F20"/>
          <w:spacing w:val="-3"/>
          <w:w w:val="105"/>
        </w:rPr>
        <w:t>siempre</w:t>
      </w:r>
      <w:r>
        <w:rPr>
          <w:color w:val="231F20"/>
          <w:spacing w:val="-9"/>
          <w:w w:val="105"/>
        </w:rPr>
        <w:t> </w:t>
      </w:r>
      <w:r>
        <w:rPr>
          <w:color w:val="231F20"/>
          <w:w w:val="105"/>
        </w:rPr>
        <w:t>por</w:t>
      </w:r>
      <w:r>
        <w:rPr>
          <w:color w:val="231F20"/>
          <w:spacing w:val="-9"/>
          <w:w w:val="105"/>
        </w:rPr>
        <w:t> </w:t>
      </w:r>
      <w:r>
        <w:rPr>
          <w:color w:val="231F20"/>
          <w:w w:val="105"/>
        </w:rPr>
        <w:t>su</w:t>
      </w:r>
      <w:r>
        <w:rPr>
          <w:color w:val="231F20"/>
          <w:spacing w:val="-9"/>
          <w:w w:val="105"/>
        </w:rPr>
        <w:t> </w:t>
      </w:r>
      <w:r>
        <w:rPr>
          <w:color w:val="231F20"/>
          <w:spacing w:val="-3"/>
          <w:w w:val="105"/>
        </w:rPr>
        <w:t>propio</w:t>
      </w:r>
      <w:r>
        <w:rPr>
          <w:color w:val="231F20"/>
          <w:spacing w:val="-9"/>
          <w:w w:val="105"/>
        </w:rPr>
        <w:t> </w:t>
      </w:r>
      <w:r>
        <w:rPr>
          <w:color w:val="231F20"/>
          <w:w w:val="105"/>
        </w:rPr>
        <w:t>peso.</w:t>
      </w:r>
    </w:p>
    <w:p>
      <w:pPr>
        <w:spacing w:after="0" w:line="285" w:lineRule="auto"/>
        <w:jc w:val="both"/>
        <w:sectPr>
          <w:footerReference w:type="default" r:id="rId631"/>
          <w:pgSz w:w="9640" w:h="12190"/>
          <w:pgMar w:footer="743" w:header="0" w:top="1120" w:bottom="940" w:left="740" w:right="740"/>
          <w:pgNumType w:start="237"/>
        </w:sectPr>
      </w:pPr>
    </w:p>
    <w:p>
      <w:pPr>
        <w:pStyle w:val="BodyText"/>
        <w:spacing w:before="3"/>
        <w:rPr>
          <w:sz w:val="11"/>
        </w:rPr>
      </w:pPr>
    </w:p>
    <w:p>
      <w:pPr>
        <w:pStyle w:val="BodyText"/>
        <w:spacing w:line="285" w:lineRule="auto" w:before="36"/>
        <w:ind w:left="110" w:right="107"/>
        <w:jc w:val="both"/>
      </w:pPr>
      <w:r>
        <w:rPr>
          <w:color w:val="231F20"/>
          <w:w w:val="105"/>
        </w:rPr>
        <w:t>Desde 1996, el panismo ha ganado importantes presidencias municipales en el Estado de</w:t>
      </w:r>
      <w:r>
        <w:rPr>
          <w:color w:val="231F20"/>
          <w:spacing w:val="-9"/>
          <w:w w:val="105"/>
        </w:rPr>
        <w:t> </w:t>
      </w:r>
      <w:r>
        <w:rPr>
          <w:color w:val="231F20"/>
          <w:w w:val="105"/>
        </w:rPr>
        <w:t>México.</w:t>
      </w:r>
      <w:r>
        <w:rPr>
          <w:color w:val="231F20"/>
          <w:spacing w:val="-9"/>
          <w:w w:val="105"/>
        </w:rPr>
        <w:t> </w:t>
      </w:r>
      <w:r>
        <w:rPr>
          <w:color w:val="231F20"/>
          <w:w w:val="105"/>
        </w:rPr>
        <w:t>Generalmente</w:t>
      </w:r>
      <w:r>
        <w:rPr>
          <w:color w:val="231F20"/>
          <w:spacing w:val="-9"/>
          <w:w w:val="105"/>
        </w:rPr>
        <w:t> </w:t>
      </w:r>
      <w:r>
        <w:rPr>
          <w:color w:val="231F20"/>
          <w:w w:val="105"/>
        </w:rPr>
        <w:t>son</w:t>
      </w:r>
      <w:r>
        <w:rPr>
          <w:color w:val="231F20"/>
          <w:spacing w:val="-9"/>
          <w:w w:val="105"/>
        </w:rPr>
        <w:t> </w:t>
      </w:r>
      <w:r>
        <w:rPr>
          <w:color w:val="231F20"/>
          <w:w w:val="105"/>
        </w:rPr>
        <w:t>municipios</w:t>
      </w:r>
      <w:r>
        <w:rPr>
          <w:color w:val="231F20"/>
          <w:spacing w:val="-9"/>
          <w:w w:val="105"/>
        </w:rPr>
        <w:t> </w:t>
      </w:r>
      <w:r>
        <w:rPr>
          <w:color w:val="231F20"/>
          <w:w w:val="105"/>
        </w:rPr>
        <w:t>conurbados</w:t>
      </w:r>
      <w:r>
        <w:rPr>
          <w:color w:val="231F20"/>
          <w:spacing w:val="-9"/>
          <w:w w:val="105"/>
        </w:rPr>
        <w:t> </w:t>
      </w:r>
      <w:r>
        <w:rPr>
          <w:color w:val="231F20"/>
          <w:spacing w:val="2"/>
          <w:w w:val="105"/>
        </w:rPr>
        <w:t>al</w:t>
      </w:r>
      <w:r>
        <w:rPr>
          <w:color w:val="231F20"/>
          <w:spacing w:val="-9"/>
          <w:w w:val="105"/>
        </w:rPr>
        <w:t> </w:t>
      </w:r>
      <w:r>
        <w:rPr>
          <w:color w:val="231F20"/>
          <w:w w:val="105"/>
        </w:rPr>
        <w:t>Distrito</w:t>
      </w:r>
      <w:r>
        <w:rPr>
          <w:color w:val="231F20"/>
          <w:spacing w:val="-9"/>
          <w:w w:val="105"/>
        </w:rPr>
        <w:t> </w:t>
      </w:r>
      <w:r>
        <w:rPr>
          <w:color w:val="231F20"/>
          <w:w w:val="105"/>
        </w:rPr>
        <w:t>Federal,</w:t>
      </w:r>
      <w:r>
        <w:rPr>
          <w:color w:val="231F20"/>
          <w:spacing w:val="-9"/>
          <w:w w:val="105"/>
        </w:rPr>
        <w:t> </w:t>
      </w:r>
      <w:r>
        <w:rPr>
          <w:color w:val="231F20"/>
          <w:w w:val="105"/>
        </w:rPr>
        <w:t>con</w:t>
      </w:r>
      <w:r>
        <w:rPr>
          <w:color w:val="231F20"/>
          <w:spacing w:val="-9"/>
          <w:w w:val="105"/>
        </w:rPr>
        <w:t> </w:t>
      </w:r>
      <w:r>
        <w:rPr>
          <w:color w:val="231F20"/>
          <w:w w:val="105"/>
        </w:rPr>
        <w:t>un</w:t>
      </w:r>
      <w:r>
        <w:rPr>
          <w:color w:val="231F20"/>
          <w:spacing w:val="-9"/>
          <w:w w:val="105"/>
        </w:rPr>
        <w:t> </w:t>
      </w:r>
      <w:r>
        <w:rPr>
          <w:color w:val="231F20"/>
          <w:w w:val="105"/>
        </w:rPr>
        <w:t>desa- rrollo boyante y potencialmente elevado. Densamente poblados, constituyen espacios de</w:t>
      </w:r>
      <w:r>
        <w:rPr>
          <w:color w:val="231F20"/>
          <w:spacing w:val="-6"/>
          <w:w w:val="105"/>
        </w:rPr>
        <w:t> </w:t>
      </w:r>
      <w:r>
        <w:rPr>
          <w:color w:val="231F20"/>
          <w:w w:val="105"/>
        </w:rPr>
        <w:t>acción</w:t>
      </w:r>
      <w:r>
        <w:rPr>
          <w:color w:val="231F20"/>
          <w:spacing w:val="-6"/>
          <w:w w:val="105"/>
        </w:rPr>
        <w:t> </w:t>
      </w:r>
      <w:r>
        <w:rPr>
          <w:color w:val="231F20"/>
          <w:w w:val="105"/>
        </w:rPr>
        <w:t>de</w:t>
      </w:r>
      <w:r>
        <w:rPr>
          <w:color w:val="231F20"/>
          <w:spacing w:val="-6"/>
          <w:w w:val="105"/>
        </w:rPr>
        <w:t> </w:t>
      </w:r>
      <w:r>
        <w:rPr>
          <w:color w:val="231F20"/>
          <w:w w:val="105"/>
        </w:rPr>
        <w:t>gobierno</w:t>
      </w:r>
      <w:r>
        <w:rPr>
          <w:color w:val="231F20"/>
          <w:spacing w:val="-6"/>
          <w:w w:val="105"/>
        </w:rPr>
        <w:t> </w:t>
      </w:r>
      <w:r>
        <w:rPr>
          <w:color w:val="231F20"/>
          <w:w w:val="105"/>
        </w:rPr>
        <w:t>de</w:t>
      </w:r>
      <w:r>
        <w:rPr>
          <w:color w:val="231F20"/>
          <w:spacing w:val="-6"/>
          <w:w w:val="105"/>
        </w:rPr>
        <w:t> </w:t>
      </w:r>
      <w:r>
        <w:rPr>
          <w:color w:val="231F20"/>
          <w:w w:val="105"/>
        </w:rPr>
        <w:t>gran</w:t>
      </w:r>
      <w:r>
        <w:rPr>
          <w:color w:val="231F20"/>
          <w:spacing w:val="-6"/>
          <w:w w:val="105"/>
        </w:rPr>
        <w:t> </w:t>
      </w:r>
      <w:r>
        <w:rPr>
          <w:color w:val="231F20"/>
          <w:spacing w:val="-2"/>
          <w:w w:val="105"/>
        </w:rPr>
        <w:t>valor,</w:t>
      </w:r>
      <w:r>
        <w:rPr>
          <w:color w:val="231F20"/>
          <w:spacing w:val="-6"/>
          <w:w w:val="105"/>
        </w:rPr>
        <w:t> </w:t>
      </w:r>
      <w:r>
        <w:rPr>
          <w:color w:val="231F20"/>
          <w:w w:val="105"/>
        </w:rPr>
        <w:t>tanto</w:t>
      </w:r>
      <w:r>
        <w:rPr>
          <w:color w:val="231F20"/>
          <w:spacing w:val="-6"/>
          <w:w w:val="105"/>
        </w:rPr>
        <w:t> </w:t>
      </w:r>
      <w:r>
        <w:rPr>
          <w:color w:val="231F20"/>
          <w:w w:val="105"/>
        </w:rPr>
        <w:t>por</w:t>
      </w:r>
      <w:r>
        <w:rPr>
          <w:color w:val="231F20"/>
          <w:spacing w:val="-6"/>
          <w:w w:val="105"/>
        </w:rPr>
        <w:t> </w:t>
      </w:r>
      <w:r>
        <w:rPr>
          <w:color w:val="231F20"/>
          <w:w w:val="105"/>
        </w:rPr>
        <w:t>su</w:t>
      </w:r>
      <w:r>
        <w:rPr>
          <w:color w:val="231F20"/>
          <w:spacing w:val="-6"/>
          <w:w w:val="105"/>
        </w:rPr>
        <w:t> </w:t>
      </w:r>
      <w:r>
        <w:rPr>
          <w:color w:val="231F20"/>
          <w:w w:val="105"/>
        </w:rPr>
        <w:t>peso</w:t>
      </w:r>
      <w:r>
        <w:rPr>
          <w:color w:val="231F20"/>
          <w:spacing w:val="-6"/>
          <w:w w:val="105"/>
        </w:rPr>
        <w:t> </w:t>
      </w:r>
      <w:r>
        <w:rPr>
          <w:color w:val="231F20"/>
          <w:w w:val="105"/>
        </w:rPr>
        <w:t>económico</w:t>
      </w:r>
      <w:r>
        <w:rPr>
          <w:color w:val="231F20"/>
          <w:spacing w:val="-6"/>
          <w:w w:val="105"/>
        </w:rPr>
        <w:t> </w:t>
      </w:r>
      <w:r>
        <w:rPr>
          <w:color w:val="231F20"/>
          <w:w w:val="105"/>
        </w:rPr>
        <w:t>como</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elevado número de ciudadanos registrados en su padrón electoral (susceptibles de ser atraídos en</w:t>
      </w:r>
      <w:r>
        <w:rPr>
          <w:color w:val="231F20"/>
          <w:spacing w:val="-19"/>
          <w:w w:val="105"/>
        </w:rPr>
        <w:t> </w:t>
      </w:r>
      <w:r>
        <w:rPr>
          <w:color w:val="231F20"/>
          <w:w w:val="105"/>
        </w:rPr>
        <w:t>cualquier</w:t>
      </w:r>
      <w:r>
        <w:rPr>
          <w:color w:val="231F20"/>
          <w:spacing w:val="-19"/>
          <w:w w:val="105"/>
        </w:rPr>
        <w:t> </w:t>
      </w:r>
      <w:r>
        <w:rPr>
          <w:color w:val="231F20"/>
          <w:w w:val="105"/>
        </w:rPr>
        <w:t>proceso</w:t>
      </w:r>
      <w:r>
        <w:rPr>
          <w:color w:val="231F20"/>
          <w:spacing w:val="-19"/>
          <w:w w:val="105"/>
        </w:rPr>
        <w:t> </w:t>
      </w:r>
      <w:r>
        <w:rPr>
          <w:color w:val="231F20"/>
          <w:w w:val="105"/>
        </w:rPr>
        <w:t>electoral,</w:t>
      </w:r>
      <w:r>
        <w:rPr>
          <w:color w:val="231F20"/>
          <w:spacing w:val="-19"/>
          <w:w w:val="105"/>
        </w:rPr>
        <w:t> </w:t>
      </w:r>
      <w:r>
        <w:rPr>
          <w:color w:val="231F20"/>
          <w:w w:val="105"/>
        </w:rPr>
        <w:t>sea</w:t>
      </w:r>
      <w:r>
        <w:rPr>
          <w:color w:val="231F20"/>
          <w:spacing w:val="-19"/>
          <w:w w:val="105"/>
        </w:rPr>
        <w:t> </w:t>
      </w:r>
      <w:r>
        <w:rPr>
          <w:color w:val="231F20"/>
          <w:w w:val="105"/>
        </w:rPr>
        <w:t>local</w:t>
      </w:r>
      <w:r>
        <w:rPr>
          <w:color w:val="231F20"/>
          <w:spacing w:val="-19"/>
          <w:w w:val="105"/>
        </w:rPr>
        <w:t> </w:t>
      </w:r>
      <w:r>
        <w:rPr>
          <w:color w:val="231F20"/>
          <w:w w:val="105"/>
        </w:rPr>
        <w:t>o</w:t>
      </w:r>
      <w:r>
        <w:rPr>
          <w:color w:val="231F20"/>
          <w:spacing w:val="-19"/>
          <w:w w:val="105"/>
        </w:rPr>
        <w:t> </w:t>
      </w:r>
      <w:r>
        <w:rPr>
          <w:color w:val="231F20"/>
          <w:w w:val="105"/>
        </w:rPr>
        <w:t>federal).</w:t>
      </w:r>
    </w:p>
    <w:p>
      <w:pPr>
        <w:pStyle w:val="BodyText"/>
        <w:spacing w:before="1"/>
        <w:rPr>
          <w:sz w:val="26"/>
        </w:rPr>
      </w:pPr>
    </w:p>
    <w:p>
      <w:pPr>
        <w:pStyle w:val="BodyText"/>
        <w:spacing w:line="285" w:lineRule="auto"/>
        <w:ind w:left="110" w:right="108"/>
        <w:jc w:val="both"/>
        <w:rPr>
          <w:sz w:val="13"/>
        </w:rPr>
      </w:pP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de</w:t>
      </w:r>
      <w:r>
        <w:rPr>
          <w:color w:val="231F20"/>
          <w:spacing w:val="-17"/>
          <w:w w:val="105"/>
        </w:rPr>
        <w:t> </w:t>
      </w:r>
      <w:r>
        <w:rPr>
          <w:color w:val="231F20"/>
          <w:w w:val="105"/>
        </w:rPr>
        <w:t>Naucalpan,</w:t>
      </w:r>
      <w:r>
        <w:rPr>
          <w:color w:val="231F20"/>
          <w:spacing w:val="-17"/>
          <w:w w:val="105"/>
        </w:rPr>
        <w:t> </w:t>
      </w:r>
      <w:r>
        <w:rPr>
          <w:color w:val="231F20"/>
          <w:w w:val="105"/>
        </w:rPr>
        <w:t>el</w:t>
      </w:r>
      <w:r>
        <w:rPr>
          <w:color w:val="231F20"/>
          <w:spacing w:val="-17"/>
          <w:w w:val="105"/>
        </w:rPr>
        <w:t> </w:t>
      </w:r>
      <w:r>
        <w:rPr>
          <w:color w:val="231F20"/>
          <w:w w:val="105"/>
        </w:rPr>
        <w:t>panismo</w:t>
      </w:r>
      <w:r>
        <w:rPr>
          <w:color w:val="231F20"/>
          <w:spacing w:val="-17"/>
          <w:w w:val="105"/>
        </w:rPr>
        <w:t> </w:t>
      </w:r>
      <w:r>
        <w:rPr>
          <w:color w:val="231F20"/>
          <w:w w:val="105"/>
        </w:rPr>
        <w:t>ha</w:t>
      </w:r>
      <w:r>
        <w:rPr>
          <w:color w:val="231F20"/>
          <w:spacing w:val="-17"/>
          <w:w w:val="105"/>
        </w:rPr>
        <w:t> </w:t>
      </w:r>
      <w:r>
        <w:rPr>
          <w:color w:val="231F20"/>
          <w:w w:val="105"/>
        </w:rPr>
        <w:t>ganado</w:t>
      </w:r>
      <w:r>
        <w:rPr>
          <w:color w:val="231F20"/>
          <w:spacing w:val="-17"/>
          <w:w w:val="105"/>
        </w:rPr>
        <w:t> </w:t>
      </w:r>
      <w:r>
        <w:rPr>
          <w:color w:val="231F20"/>
          <w:w w:val="105"/>
        </w:rPr>
        <w:t>la</w:t>
      </w:r>
      <w:r>
        <w:rPr>
          <w:color w:val="231F20"/>
          <w:spacing w:val="-17"/>
          <w:w w:val="105"/>
        </w:rPr>
        <w:t> </w:t>
      </w:r>
      <w:r>
        <w:rPr>
          <w:color w:val="231F20"/>
          <w:w w:val="105"/>
        </w:rPr>
        <w:t>presidencia</w:t>
      </w:r>
      <w:r>
        <w:rPr>
          <w:color w:val="231F20"/>
          <w:spacing w:val="-17"/>
          <w:w w:val="105"/>
        </w:rPr>
        <w:t> </w:t>
      </w:r>
      <w:r>
        <w:rPr>
          <w:color w:val="231F20"/>
          <w:w w:val="105"/>
        </w:rPr>
        <w:t>municipal</w:t>
      </w:r>
      <w:r>
        <w:rPr>
          <w:color w:val="231F20"/>
          <w:spacing w:val="-17"/>
          <w:w w:val="105"/>
        </w:rPr>
        <w:t> </w:t>
      </w:r>
      <w:r>
        <w:rPr>
          <w:color w:val="231F20"/>
          <w:w w:val="105"/>
        </w:rPr>
        <w:t>en</w:t>
      </w:r>
      <w:r>
        <w:rPr>
          <w:color w:val="231F20"/>
          <w:spacing w:val="-17"/>
          <w:w w:val="105"/>
        </w:rPr>
        <w:t> </w:t>
      </w:r>
      <w:r>
        <w:rPr>
          <w:color w:val="231F20"/>
          <w:w w:val="105"/>
        </w:rPr>
        <w:t>varias ocasiones.</w:t>
      </w:r>
      <w:r>
        <w:rPr>
          <w:color w:val="231F20"/>
          <w:spacing w:val="-12"/>
          <w:w w:val="105"/>
        </w:rPr>
        <w:t> </w:t>
      </w:r>
      <w:r>
        <w:rPr>
          <w:color w:val="231F20"/>
          <w:w w:val="105"/>
        </w:rPr>
        <w:t>En</w:t>
      </w:r>
      <w:r>
        <w:rPr>
          <w:color w:val="231F20"/>
          <w:spacing w:val="-12"/>
          <w:w w:val="105"/>
        </w:rPr>
        <w:t> </w:t>
      </w:r>
      <w:r>
        <w:rPr>
          <w:color w:val="231F20"/>
          <w:w w:val="105"/>
        </w:rPr>
        <w:t>dos</w:t>
      </w:r>
      <w:r>
        <w:rPr>
          <w:color w:val="231F20"/>
          <w:spacing w:val="-12"/>
          <w:w w:val="105"/>
        </w:rPr>
        <w:t> </w:t>
      </w:r>
      <w:r>
        <w:rPr>
          <w:color w:val="231F20"/>
          <w:w w:val="105"/>
        </w:rPr>
        <w:t>de</w:t>
      </w:r>
      <w:r>
        <w:rPr>
          <w:color w:val="231F20"/>
          <w:spacing w:val="-12"/>
          <w:w w:val="105"/>
        </w:rPr>
        <w:t> </w:t>
      </w:r>
      <w:r>
        <w:rPr>
          <w:color w:val="231F20"/>
          <w:w w:val="105"/>
        </w:rPr>
        <w:t>ellas</w:t>
      </w:r>
      <w:r>
        <w:rPr>
          <w:color w:val="231F20"/>
          <w:spacing w:val="-12"/>
          <w:w w:val="105"/>
        </w:rPr>
        <w:t> </w:t>
      </w:r>
      <w:r>
        <w:rPr>
          <w:color w:val="231F20"/>
          <w:w w:val="105"/>
        </w:rPr>
        <w:t>el</w:t>
      </w:r>
      <w:r>
        <w:rPr>
          <w:color w:val="231F20"/>
          <w:spacing w:val="-12"/>
          <w:w w:val="105"/>
        </w:rPr>
        <w:t> </w:t>
      </w:r>
      <w:r>
        <w:rPr>
          <w:color w:val="231F20"/>
          <w:w w:val="105"/>
        </w:rPr>
        <w:t>candidato</w:t>
      </w:r>
      <w:r>
        <w:rPr>
          <w:color w:val="231F20"/>
          <w:spacing w:val="-12"/>
          <w:w w:val="105"/>
        </w:rPr>
        <w:t> </w:t>
      </w:r>
      <w:r>
        <w:rPr>
          <w:color w:val="231F20"/>
          <w:w w:val="105"/>
        </w:rPr>
        <w:t>victorioso</w:t>
      </w:r>
      <w:r>
        <w:rPr>
          <w:color w:val="231F20"/>
          <w:spacing w:val="-12"/>
          <w:w w:val="105"/>
        </w:rPr>
        <w:t> </w:t>
      </w:r>
      <w:r>
        <w:rPr>
          <w:color w:val="231F20"/>
          <w:w w:val="105"/>
        </w:rPr>
        <w:t>fue</w:t>
      </w:r>
      <w:r>
        <w:rPr>
          <w:color w:val="231F20"/>
          <w:spacing w:val="-12"/>
          <w:w w:val="105"/>
        </w:rPr>
        <w:t> </w:t>
      </w:r>
      <w:r>
        <w:rPr>
          <w:color w:val="231F20"/>
          <w:w w:val="105"/>
        </w:rPr>
        <w:t>el</w:t>
      </w:r>
      <w:r>
        <w:rPr>
          <w:color w:val="231F20"/>
          <w:spacing w:val="-12"/>
          <w:w w:val="105"/>
        </w:rPr>
        <w:t> </w:t>
      </w:r>
      <w:r>
        <w:rPr>
          <w:color w:val="231F20"/>
          <w:w w:val="105"/>
        </w:rPr>
        <w:t>mismo:</w:t>
      </w:r>
      <w:r>
        <w:rPr>
          <w:color w:val="231F20"/>
          <w:spacing w:val="-12"/>
          <w:w w:val="105"/>
        </w:rPr>
        <w:t> </w:t>
      </w:r>
      <w:r>
        <w:rPr>
          <w:color w:val="231F20"/>
          <w:w w:val="105"/>
        </w:rPr>
        <w:t>José</w:t>
      </w:r>
      <w:r>
        <w:rPr>
          <w:color w:val="231F20"/>
          <w:spacing w:val="-12"/>
          <w:w w:val="105"/>
        </w:rPr>
        <w:t> </w:t>
      </w:r>
      <w:r>
        <w:rPr>
          <w:color w:val="231F20"/>
          <w:w w:val="105"/>
        </w:rPr>
        <w:t>Luis</w:t>
      </w:r>
      <w:r>
        <w:rPr>
          <w:color w:val="231F20"/>
          <w:spacing w:val="-12"/>
          <w:w w:val="105"/>
        </w:rPr>
        <w:t> </w:t>
      </w:r>
      <w:r>
        <w:rPr>
          <w:color w:val="231F20"/>
          <w:w w:val="105"/>
        </w:rPr>
        <w:t>Durán</w:t>
      </w:r>
      <w:r>
        <w:rPr>
          <w:color w:val="231F20"/>
          <w:spacing w:val="-12"/>
          <w:w w:val="105"/>
        </w:rPr>
        <w:t> </w:t>
      </w:r>
      <w:r>
        <w:rPr>
          <w:color w:val="231F20"/>
          <w:w w:val="105"/>
        </w:rPr>
        <w:t>Reve- les, quien es uno de los líderes más importantes del panismo en la entidad desde hace aproximadamente una</w:t>
      </w:r>
      <w:r>
        <w:rPr>
          <w:color w:val="231F20"/>
          <w:spacing w:val="-22"/>
          <w:w w:val="105"/>
        </w:rPr>
        <w:t> </w:t>
      </w:r>
      <w:r>
        <w:rPr>
          <w:color w:val="231F20"/>
          <w:w w:val="105"/>
        </w:rPr>
        <w:t>década.</w:t>
      </w:r>
      <w:r>
        <w:rPr>
          <w:color w:val="231F20"/>
          <w:w w:val="105"/>
          <w:position w:val="7"/>
          <w:sz w:val="13"/>
        </w:rPr>
        <w:t>1</w:t>
      </w:r>
    </w:p>
    <w:p>
      <w:pPr>
        <w:pStyle w:val="BodyText"/>
        <w:spacing w:before="1"/>
        <w:rPr>
          <w:sz w:val="26"/>
        </w:rPr>
      </w:pPr>
    </w:p>
    <w:p>
      <w:pPr>
        <w:pStyle w:val="BodyText"/>
        <w:spacing w:line="285" w:lineRule="auto"/>
        <w:ind w:left="110" w:right="107"/>
        <w:jc w:val="both"/>
      </w:pPr>
      <w:r>
        <w:rPr>
          <w:color w:val="231F20"/>
          <w:w w:val="105"/>
        </w:rPr>
        <w:t>En</w:t>
      </w:r>
      <w:r>
        <w:rPr>
          <w:color w:val="231F20"/>
          <w:spacing w:val="-20"/>
          <w:w w:val="105"/>
        </w:rPr>
        <w:t> </w:t>
      </w:r>
      <w:r>
        <w:rPr>
          <w:color w:val="231F20"/>
          <w:w w:val="105"/>
        </w:rPr>
        <w:t>este</w:t>
      </w:r>
      <w:r>
        <w:rPr>
          <w:color w:val="231F20"/>
          <w:spacing w:val="-20"/>
          <w:w w:val="105"/>
        </w:rPr>
        <w:t> </w:t>
      </w:r>
      <w:r>
        <w:rPr>
          <w:color w:val="231F20"/>
          <w:w w:val="105"/>
        </w:rPr>
        <w:t>trabajo</w:t>
      </w:r>
      <w:r>
        <w:rPr>
          <w:color w:val="231F20"/>
          <w:spacing w:val="-20"/>
          <w:w w:val="105"/>
        </w:rPr>
        <w:t> </w:t>
      </w:r>
      <w:r>
        <w:rPr>
          <w:color w:val="231F20"/>
          <w:w w:val="105"/>
        </w:rPr>
        <w:t>hacemos</w:t>
      </w:r>
      <w:r>
        <w:rPr>
          <w:color w:val="231F20"/>
          <w:spacing w:val="-20"/>
          <w:w w:val="105"/>
        </w:rPr>
        <w:t> </w:t>
      </w:r>
      <w:r>
        <w:rPr>
          <w:color w:val="231F20"/>
          <w:w w:val="105"/>
        </w:rPr>
        <w:t>el</w:t>
      </w:r>
      <w:r>
        <w:rPr>
          <w:color w:val="231F20"/>
          <w:spacing w:val="-20"/>
          <w:w w:val="105"/>
        </w:rPr>
        <w:t> </w:t>
      </w:r>
      <w:r>
        <w:rPr>
          <w:color w:val="231F20"/>
          <w:spacing w:val="2"/>
          <w:w w:val="105"/>
        </w:rPr>
        <w:t>análisis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segunda</w:t>
      </w:r>
      <w:r>
        <w:rPr>
          <w:color w:val="231F20"/>
          <w:spacing w:val="-20"/>
          <w:w w:val="105"/>
        </w:rPr>
        <w:t> </w:t>
      </w:r>
      <w:r>
        <w:rPr>
          <w:color w:val="231F20"/>
          <w:w w:val="105"/>
        </w:rPr>
        <w:t>gestión</w:t>
      </w:r>
      <w:r>
        <w:rPr>
          <w:color w:val="231F20"/>
          <w:spacing w:val="-20"/>
          <w:w w:val="105"/>
        </w:rPr>
        <w:t> </w:t>
      </w:r>
      <w:r>
        <w:rPr>
          <w:color w:val="231F20"/>
          <w:w w:val="105"/>
        </w:rPr>
        <w:t>de</w:t>
      </w:r>
      <w:r>
        <w:rPr>
          <w:color w:val="231F20"/>
          <w:spacing w:val="-20"/>
          <w:w w:val="105"/>
        </w:rPr>
        <w:t> </w:t>
      </w:r>
      <w:r>
        <w:rPr>
          <w:color w:val="231F20"/>
          <w:w w:val="105"/>
        </w:rPr>
        <w:t>Durán</w:t>
      </w:r>
      <w:r>
        <w:rPr>
          <w:color w:val="231F20"/>
          <w:spacing w:val="-20"/>
          <w:w w:val="105"/>
        </w:rPr>
        <w:t> </w:t>
      </w:r>
      <w:r>
        <w:rPr>
          <w:color w:val="231F20"/>
          <w:w w:val="105"/>
        </w:rPr>
        <w:t>como</w:t>
      </w:r>
      <w:r>
        <w:rPr>
          <w:color w:val="231F20"/>
          <w:spacing w:val="-20"/>
          <w:w w:val="105"/>
        </w:rPr>
        <w:t> </w:t>
      </w:r>
      <w:r>
        <w:rPr>
          <w:color w:val="231F20"/>
          <w:w w:val="105"/>
        </w:rPr>
        <w:t>presidente</w:t>
      </w:r>
      <w:r>
        <w:rPr>
          <w:color w:val="231F20"/>
          <w:spacing w:val="-20"/>
          <w:w w:val="105"/>
        </w:rPr>
        <w:t> </w:t>
      </w:r>
      <w:r>
        <w:rPr>
          <w:color w:val="231F20"/>
          <w:spacing w:val="-2"/>
          <w:w w:val="105"/>
        </w:rPr>
        <w:t>mu- </w:t>
      </w:r>
      <w:r>
        <w:rPr>
          <w:color w:val="231F20"/>
          <w:w w:val="105"/>
        </w:rPr>
        <w:t>nicipal</w:t>
      </w:r>
      <w:r>
        <w:rPr>
          <w:color w:val="231F20"/>
          <w:spacing w:val="-19"/>
          <w:w w:val="105"/>
        </w:rPr>
        <w:t> </w:t>
      </w:r>
      <w:r>
        <w:rPr>
          <w:color w:val="231F20"/>
          <w:w w:val="105"/>
        </w:rPr>
        <w:t>de</w:t>
      </w:r>
      <w:r>
        <w:rPr>
          <w:color w:val="231F20"/>
          <w:spacing w:val="-19"/>
          <w:w w:val="105"/>
        </w:rPr>
        <w:t> </w:t>
      </w:r>
      <w:r>
        <w:rPr>
          <w:color w:val="231F20"/>
          <w:w w:val="105"/>
        </w:rPr>
        <w:t>Naucalpan,</w:t>
      </w:r>
      <w:r>
        <w:rPr>
          <w:color w:val="231F20"/>
          <w:spacing w:val="-19"/>
          <w:w w:val="105"/>
        </w:rPr>
        <w:t> </w:t>
      </w:r>
      <w:r>
        <w:rPr>
          <w:color w:val="231F20"/>
          <w:w w:val="105"/>
        </w:rPr>
        <w:t>que</w:t>
      </w:r>
      <w:r>
        <w:rPr>
          <w:color w:val="231F20"/>
          <w:spacing w:val="-19"/>
          <w:w w:val="105"/>
        </w:rPr>
        <w:t> </w:t>
      </w:r>
      <w:r>
        <w:rPr>
          <w:color w:val="231F20"/>
          <w:w w:val="105"/>
        </w:rPr>
        <w:t>comenzó</w:t>
      </w:r>
      <w:r>
        <w:rPr>
          <w:color w:val="231F20"/>
          <w:spacing w:val="-19"/>
          <w:w w:val="105"/>
        </w:rPr>
        <w:t> </w:t>
      </w:r>
      <w:r>
        <w:rPr>
          <w:color w:val="231F20"/>
          <w:w w:val="105"/>
        </w:rPr>
        <w:t>en</w:t>
      </w:r>
      <w:r>
        <w:rPr>
          <w:color w:val="231F20"/>
          <w:spacing w:val="-19"/>
          <w:w w:val="105"/>
        </w:rPr>
        <w:t> </w:t>
      </w:r>
      <w:r>
        <w:rPr>
          <w:color w:val="231F20"/>
          <w:spacing w:val="3"/>
          <w:w w:val="105"/>
        </w:rPr>
        <w:t>2006</w:t>
      </w:r>
      <w:r>
        <w:rPr>
          <w:color w:val="231F20"/>
          <w:spacing w:val="-19"/>
          <w:w w:val="105"/>
        </w:rPr>
        <w:t> </w:t>
      </w:r>
      <w:r>
        <w:rPr>
          <w:color w:val="231F20"/>
          <w:w w:val="105"/>
        </w:rPr>
        <w:t>y</w:t>
      </w:r>
      <w:r>
        <w:rPr>
          <w:color w:val="231F20"/>
          <w:spacing w:val="-19"/>
          <w:w w:val="105"/>
        </w:rPr>
        <w:t> </w:t>
      </w:r>
      <w:r>
        <w:rPr>
          <w:color w:val="231F20"/>
          <w:spacing w:val="2"/>
          <w:w w:val="105"/>
        </w:rPr>
        <w:t>culmina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2009.</w:t>
      </w:r>
      <w:r>
        <w:rPr>
          <w:color w:val="231F20"/>
          <w:w w:val="105"/>
          <w:position w:val="7"/>
          <w:sz w:val="13"/>
        </w:rPr>
        <w:t>2</w:t>
      </w:r>
      <w:r>
        <w:rPr>
          <w:color w:val="231F20"/>
          <w:spacing w:val="4"/>
          <w:w w:val="105"/>
          <w:position w:val="7"/>
          <w:sz w:val="13"/>
        </w:rPr>
        <w:t> </w:t>
      </w:r>
      <w:r>
        <w:rPr>
          <w:color w:val="231F20"/>
          <w:w w:val="105"/>
        </w:rPr>
        <w:t>Como</w:t>
      </w:r>
      <w:r>
        <w:rPr>
          <w:color w:val="231F20"/>
          <w:spacing w:val="-19"/>
          <w:w w:val="105"/>
        </w:rPr>
        <w:t> </w:t>
      </w:r>
      <w:r>
        <w:rPr>
          <w:color w:val="231F20"/>
          <w:w w:val="105"/>
        </w:rPr>
        <w:t>antecedentes, presentamos</w:t>
      </w:r>
      <w:r>
        <w:rPr>
          <w:color w:val="231F20"/>
          <w:spacing w:val="-18"/>
          <w:w w:val="105"/>
        </w:rPr>
        <w:t> </w:t>
      </w:r>
      <w:r>
        <w:rPr>
          <w:color w:val="231F20"/>
          <w:w w:val="105"/>
        </w:rPr>
        <w:t>los</w:t>
      </w:r>
      <w:r>
        <w:rPr>
          <w:color w:val="231F20"/>
          <w:spacing w:val="-18"/>
          <w:w w:val="105"/>
        </w:rPr>
        <w:t> </w:t>
      </w:r>
      <w:r>
        <w:rPr>
          <w:color w:val="231F20"/>
          <w:w w:val="105"/>
        </w:rPr>
        <w:t>resultados</w:t>
      </w:r>
      <w:r>
        <w:rPr>
          <w:color w:val="231F20"/>
          <w:spacing w:val="-18"/>
          <w:w w:val="105"/>
        </w:rPr>
        <w:t> </w:t>
      </w:r>
      <w:r>
        <w:rPr>
          <w:color w:val="231F20"/>
          <w:w w:val="105"/>
        </w:rPr>
        <w:t>más</w:t>
      </w:r>
      <w:r>
        <w:rPr>
          <w:color w:val="231F20"/>
          <w:spacing w:val="-18"/>
          <w:w w:val="105"/>
        </w:rPr>
        <w:t> </w:t>
      </w:r>
      <w:r>
        <w:rPr>
          <w:color w:val="231F20"/>
          <w:w w:val="105"/>
        </w:rPr>
        <w:t>relevantes</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primer</w:t>
      </w:r>
      <w:r>
        <w:rPr>
          <w:color w:val="231F20"/>
          <w:spacing w:val="-18"/>
          <w:w w:val="105"/>
        </w:rPr>
        <w:t> </w:t>
      </w:r>
      <w:r>
        <w:rPr>
          <w:color w:val="231F20"/>
          <w:w w:val="105"/>
        </w:rPr>
        <w:t>gobierno</w:t>
      </w:r>
      <w:r>
        <w:rPr>
          <w:color w:val="231F20"/>
          <w:spacing w:val="-18"/>
          <w:w w:val="105"/>
        </w:rPr>
        <w:t> </w:t>
      </w:r>
      <w:r>
        <w:rPr>
          <w:color w:val="231F20"/>
          <w:spacing w:val="-4"/>
          <w:w w:val="105"/>
        </w:rPr>
        <w:t>(1997-2000),</w:t>
      </w:r>
      <w:r>
        <w:rPr>
          <w:color w:val="231F20"/>
          <w:spacing w:val="-18"/>
          <w:w w:val="105"/>
        </w:rPr>
        <w:t> </w:t>
      </w:r>
      <w:r>
        <w:rPr>
          <w:color w:val="231F20"/>
          <w:w w:val="105"/>
        </w:rPr>
        <w:t>así</w:t>
      </w:r>
      <w:r>
        <w:rPr>
          <w:color w:val="231F20"/>
          <w:spacing w:val="-18"/>
          <w:w w:val="105"/>
        </w:rPr>
        <w:t> </w:t>
      </w:r>
      <w:r>
        <w:rPr>
          <w:color w:val="231F20"/>
          <w:w w:val="105"/>
        </w:rPr>
        <w:t>como los indicadores económicos más importantes de los dos trienios siguientes. Esta</w:t>
      </w:r>
      <w:r>
        <w:rPr>
          <w:color w:val="231F20"/>
          <w:spacing w:val="-35"/>
          <w:w w:val="105"/>
        </w:rPr>
        <w:t> </w:t>
      </w:r>
      <w:r>
        <w:rPr>
          <w:color w:val="231F20"/>
          <w:w w:val="105"/>
        </w:rPr>
        <w:t>infor- mación ayudará hacer algunas comparaciones y contextualizará la gestión municipal más</w:t>
      </w:r>
      <w:r>
        <w:rPr>
          <w:color w:val="231F20"/>
          <w:spacing w:val="-10"/>
          <w:w w:val="105"/>
        </w:rPr>
        <w:t> </w:t>
      </w:r>
      <w:r>
        <w:rPr>
          <w:color w:val="231F20"/>
          <w:w w:val="105"/>
        </w:rPr>
        <w:t>reciente,</w:t>
      </w:r>
      <w:r>
        <w:rPr>
          <w:color w:val="231F20"/>
          <w:spacing w:val="-10"/>
          <w:w w:val="105"/>
        </w:rPr>
        <w:t> </w:t>
      </w:r>
      <w:r>
        <w:rPr>
          <w:color w:val="231F20"/>
          <w:w w:val="105"/>
        </w:rPr>
        <w:t>la</w:t>
      </w:r>
      <w:r>
        <w:rPr>
          <w:color w:val="231F20"/>
          <w:spacing w:val="-10"/>
          <w:w w:val="105"/>
        </w:rPr>
        <w:t> </w:t>
      </w:r>
      <w:r>
        <w:rPr>
          <w:color w:val="231F20"/>
          <w:w w:val="105"/>
        </w:rPr>
        <w:t>cual</w:t>
      </w:r>
      <w:r>
        <w:rPr>
          <w:color w:val="231F20"/>
          <w:spacing w:val="-10"/>
          <w:w w:val="105"/>
        </w:rPr>
        <w:t> </w:t>
      </w:r>
      <w:r>
        <w:rPr>
          <w:color w:val="231F20"/>
          <w:w w:val="105"/>
        </w:rPr>
        <w:t>es</w:t>
      </w:r>
      <w:r>
        <w:rPr>
          <w:color w:val="231F20"/>
          <w:spacing w:val="-10"/>
          <w:w w:val="105"/>
        </w:rPr>
        <w:t> </w:t>
      </w:r>
      <w:r>
        <w:rPr>
          <w:color w:val="231F20"/>
          <w:w w:val="105"/>
        </w:rPr>
        <w:t>la</w:t>
      </w:r>
      <w:r>
        <w:rPr>
          <w:color w:val="231F20"/>
          <w:spacing w:val="-10"/>
          <w:w w:val="105"/>
        </w:rPr>
        <w:t> </w:t>
      </w:r>
      <w:r>
        <w:rPr>
          <w:color w:val="231F20"/>
          <w:w w:val="105"/>
        </w:rPr>
        <w:t>materia</w:t>
      </w:r>
      <w:r>
        <w:rPr>
          <w:color w:val="231F20"/>
          <w:spacing w:val="-10"/>
          <w:w w:val="105"/>
        </w:rPr>
        <w:t> </w:t>
      </w:r>
      <w:r>
        <w:rPr>
          <w:color w:val="231F20"/>
          <w:w w:val="105"/>
        </w:rPr>
        <w:t>central</w:t>
      </w:r>
      <w:r>
        <w:rPr>
          <w:color w:val="231F20"/>
          <w:spacing w:val="-10"/>
          <w:w w:val="105"/>
        </w:rPr>
        <w:t> </w:t>
      </w:r>
      <w:r>
        <w:rPr>
          <w:color w:val="231F20"/>
          <w:w w:val="105"/>
        </w:rPr>
        <w:t>de</w:t>
      </w:r>
      <w:r>
        <w:rPr>
          <w:color w:val="231F20"/>
          <w:spacing w:val="-10"/>
          <w:w w:val="105"/>
        </w:rPr>
        <w:t> </w:t>
      </w:r>
      <w:r>
        <w:rPr>
          <w:color w:val="231F20"/>
          <w:w w:val="105"/>
        </w:rPr>
        <w:t>este</w:t>
      </w:r>
      <w:r>
        <w:rPr>
          <w:color w:val="231F20"/>
          <w:spacing w:val="-10"/>
          <w:w w:val="105"/>
        </w:rPr>
        <w:t> </w:t>
      </w:r>
      <w:r>
        <w:rPr>
          <w:color w:val="231F20"/>
          <w:w w:val="105"/>
        </w:rPr>
        <w:t>trabajo.</w:t>
      </w:r>
    </w:p>
    <w:p>
      <w:pPr>
        <w:pStyle w:val="BodyText"/>
        <w:spacing w:before="1"/>
        <w:rPr>
          <w:sz w:val="26"/>
        </w:rPr>
      </w:pPr>
    </w:p>
    <w:p>
      <w:pPr>
        <w:pStyle w:val="BodyText"/>
        <w:spacing w:line="285" w:lineRule="auto"/>
        <w:ind w:left="110" w:right="107"/>
        <w:jc w:val="both"/>
      </w:pPr>
      <w:r>
        <w:rPr>
          <w:color w:val="231F20"/>
          <w:w w:val="105"/>
        </w:rPr>
        <w:t>Se</w:t>
      </w:r>
      <w:r>
        <w:rPr>
          <w:color w:val="231F20"/>
          <w:spacing w:val="-21"/>
          <w:w w:val="105"/>
        </w:rPr>
        <w:t> </w:t>
      </w:r>
      <w:r>
        <w:rPr>
          <w:color w:val="231F20"/>
          <w:w w:val="105"/>
        </w:rPr>
        <w:t>aborda</w:t>
      </w:r>
      <w:r>
        <w:rPr>
          <w:color w:val="231F20"/>
          <w:spacing w:val="-21"/>
          <w:w w:val="105"/>
        </w:rPr>
        <w:t> </w:t>
      </w:r>
      <w:r>
        <w:rPr>
          <w:color w:val="231F20"/>
          <w:w w:val="105"/>
        </w:rPr>
        <w:t>primordialmente</w:t>
      </w:r>
      <w:r>
        <w:rPr>
          <w:color w:val="231F20"/>
          <w:spacing w:val="-21"/>
          <w:w w:val="105"/>
        </w:rPr>
        <w:t> </w:t>
      </w:r>
      <w:r>
        <w:rPr>
          <w:color w:val="231F20"/>
          <w:w w:val="105"/>
        </w:rPr>
        <w:t>el</w:t>
      </w:r>
      <w:r>
        <w:rPr>
          <w:color w:val="231F20"/>
          <w:spacing w:val="-21"/>
          <w:w w:val="105"/>
        </w:rPr>
        <w:t> </w:t>
      </w:r>
      <w:r>
        <w:rPr>
          <w:color w:val="231F20"/>
          <w:w w:val="105"/>
        </w:rPr>
        <w:t>Plan</w:t>
      </w:r>
      <w:r>
        <w:rPr>
          <w:color w:val="231F20"/>
          <w:spacing w:val="-21"/>
          <w:w w:val="105"/>
        </w:rPr>
        <w:t> </w:t>
      </w:r>
      <w:r>
        <w:rPr>
          <w:color w:val="231F20"/>
          <w:w w:val="105"/>
        </w:rPr>
        <w:t>de</w:t>
      </w:r>
      <w:r>
        <w:rPr>
          <w:color w:val="231F20"/>
          <w:spacing w:val="-21"/>
          <w:w w:val="105"/>
        </w:rPr>
        <w:t> </w:t>
      </w:r>
      <w:r>
        <w:rPr>
          <w:color w:val="231F20"/>
          <w:w w:val="105"/>
        </w:rPr>
        <w:t>Desarrollo</w:t>
      </w:r>
      <w:r>
        <w:rPr>
          <w:color w:val="231F20"/>
          <w:spacing w:val="-21"/>
          <w:w w:val="105"/>
        </w:rPr>
        <w:t> </w:t>
      </w:r>
      <w:r>
        <w:rPr>
          <w:color w:val="231F20"/>
          <w:w w:val="105"/>
        </w:rPr>
        <w:t>Municipal</w:t>
      </w:r>
      <w:r>
        <w:rPr>
          <w:color w:val="231F20"/>
          <w:spacing w:val="-21"/>
          <w:w w:val="105"/>
        </w:rPr>
        <w:t> </w:t>
      </w:r>
      <w:r>
        <w:rPr>
          <w:color w:val="231F20"/>
          <w:spacing w:val="2"/>
          <w:w w:val="105"/>
        </w:rPr>
        <w:t>2006-2009</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dos</w:t>
      </w:r>
      <w:r>
        <w:rPr>
          <w:color w:val="231F20"/>
          <w:spacing w:val="-21"/>
          <w:w w:val="105"/>
        </w:rPr>
        <w:t> </w:t>
      </w:r>
      <w:r>
        <w:rPr>
          <w:color w:val="231F20"/>
          <w:w w:val="105"/>
        </w:rPr>
        <w:t>prime- ros</w:t>
      </w:r>
      <w:r>
        <w:rPr>
          <w:color w:val="231F20"/>
          <w:spacing w:val="-6"/>
          <w:w w:val="105"/>
        </w:rPr>
        <w:t> </w:t>
      </w:r>
      <w:r>
        <w:rPr>
          <w:color w:val="231F20"/>
          <w:w w:val="105"/>
        </w:rPr>
        <w:t>informes</w:t>
      </w:r>
      <w:r>
        <w:rPr>
          <w:color w:val="231F20"/>
          <w:spacing w:val="-6"/>
          <w:w w:val="105"/>
        </w:rPr>
        <w:t> </w:t>
      </w:r>
      <w:r>
        <w:rPr>
          <w:color w:val="231F20"/>
          <w:w w:val="105"/>
        </w:rPr>
        <w:t>de</w:t>
      </w:r>
      <w:r>
        <w:rPr>
          <w:color w:val="231F20"/>
          <w:spacing w:val="-6"/>
          <w:w w:val="105"/>
        </w:rPr>
        <w:t> </w:t>
      </w:r>
      <w:r>
        <w:rPr>
          <w:color w:val="231F20"/>
          <w:w w:val="105"/>
        </w:rPr>
        <w:t>gobierno</w:t>
      </w:r>
      <w:r>
        <w:rPr>
          <w:color w:val="231F20"/>
          <w:spacing w:val="-6"/>
          <w:w w:val="105"/>
        </w:rPr>
        <w:t> </w:t>
      </w:r>
      <w:r>
        <w:rPr>
          <w:color w:val="231F20"/>
          <w:w w:val="105"/>
        </w:rPr>
        <w:t>del</w:t>
      </w:r>
      <w:r>
        <w:rPr>
          <w:color w:val="231F20"/>
          <w:spacing w:val="-6"/>
          <w:w w:val="105"/>
        </w:rPr>
        <w:t> </w:t>
      </w:r>
      <w:r>
        <w:rPr>
          <w:color w:val="231F20"/>
          <w:w w:val="105"/>
        </w:rPr>
        <w:t>alcalde</w:t>
      </w:r>
      <w:r>
        <w:rPr>
          <w:color w:val="231F20"/>
          <w:spacing w:val="-6"/>
          <w:w w:val="105"/>
        </w:rPr>
        <w:t> </w:t>
      </w:r>
      <w:r>
        <w:rPr>
          <w:color w:val="231F20"/>
          <w:w w:val="105"/>
        </w:rPr>
        <w:t>panista.</w:t>
      </w:r>
      <w:r>
        <w:rPr>
          <w:color w:val="231F20"/>
          <w:spacing w:val="-6"/>
          <w:w w:val="105"/>
        </w:rPr>
        <w:t> </w:t>
      </w:r>
      <w:r>
        <w:rPr>
          <w:color w:val="231F20"/>
          <w:w w:val="105"/>
        </w:rPr>
        <w:t>El</w:t>
      </w:r>
      <w:r>
        <w:rPr>
          <w:color w:val="231F20"/>
          <w:spacing w:val="-6"/>
          <w:w w:val="105"/>
        </w:rPr>
        <w:t> </w:t>
      </w:r>
      <w:r>
        <w:rPr>
          <w:color w:val="231F20"/>
          <w:spacing w:val="2"/>
          <w:w w:val="105"/>
        </w:rPr>
        <w:t>análisis</w:t>
      </w:r>
      <w:r>
        <w:rPr>
          <w:color w:val="231F20"/>
          <w:spacing w:val="-6"/>
          <w:w w:val="105"/>
        </w:rPr>
        <w:t> </w:t>
      </w:r>
      <w:r>
        <w:rPr>
          <w:color w:val="231F20"/>
          <w:w w:val="105"/>
        </w:rPr>
        <w:t>del</w:t>
      </w:r>
      <w:r>
        <w:rPr>
          <w:color w:val="231F20"/>
          <w:spacing w:val="-6"/>
          <w:w w:val="105"/>
        </w:rPr>
        <w:t> </w:t>
      </w:r>
      <w:r>
        <w:rPr>
          <w:color w:val="231F20"/>
          <w:w w:val="105"/>
        </w:rPr>
        <w:t>primero</w:t>
      </w:r>
      <w:r>
        <w:rPr>
          <w:color w:val="231F20"/>
          <w:spacing w:val="-6"/>
          <w:w w:val="105"/>
        </w:rPr>
        <w:t> </w:t>
      </w:r>
      <w:r>
        <w:rPr>
          <w:color w:val="231F20"/>
          <w:w w:val="105"/>
        </w:rPr>
        <w:t>permitirá</w:t>
      </w:r>
      <w:r>
        <w:rPr>
          <w:color w:val="231F20"/>
          <w:spacing w:val="-6"/>
          <w:w w:val="105"/>
        </w:rPr>
        <w:t> </w:t>
      </w:r>
      <w:r>
        <w:rPr>
          <w:color w:val="231F20"/>
          <w:w w:val="105"/>
        </w:rPr>
        <w:t>estable- cer</w:t>
      </w:r>
      <w:r>
        <w:rPr>
          <w:color w:val="231F20"/>
          <w:spacing w:val="-8"/>
          <w:w w:val="105"/>
        </w:rPr>
        <w:t> </w:t>
      </w:r>
      <w:r>
        <w:rPr>
          <w:color w:val="231F20"/>
          <w:w w:val="105"/>
        </w:rPr>
        <w:t>las</w:t>
      </w:r>
      <w:r>
        <w:rPr>
          <w:color w:val="231F20"/>
          <w:spacing w:val="-8"/>
          <w:w w:val="105"/>
        </w:rPr>
        <w:t> </w:t>
      </w:r>
      <w:r>
        <w:rPr>
          <w:color w:val="231F20"/>
          <w:w w:val="105"/>
        </w:rPr>
        <w:t>preocupaciones</w:t>
      </w:r>
      <w:r>
        <w:rPr>
          <w:color w:val="231F20"/>
          <w:spacing w:val="-8"/>
          <w:w w:val="105"/>
        </w:rPr>
        <w:t> </w:t>
      </w:r>
      <w:r>
        <w:rPr>
          <w:color w:val="231F20"/>
          <w:w w:val="105"/>
        </w:rPr>
        <w:t>del</w:t>
      </w:r>
      <w:r>
        <w:rPr>
          <w:color w:val="231F20"/>
          <w:spacing w:val="-8"/>
          <w:w w:val="105"/>
        </w:rPr>
        <w:t> </w:t>
      </w:r>
      <w:r>
        <w:rPr>
          <w:color w:val="231F20"/>
          <w:w w:val="105"/>
        </w:rPr>
        <w:t>panismo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spacing w:val="-3"/>
          <w:w w:val="105"/>
        </w:rPr>
        <w:t>momento</w:t>
      </w:r>
      <w:r>
        <w:rPr>
          <w:color w:val="231F20"/>
          <w:spacing w:val="-8"/>
          <w:w w:val="105"/>
        </w:rPr>
        <w:t> </w:t>
      </w:r>
      <w:r>
        <w:rPr>
          <w:color w:val="231F20"/>
          <w:w w:val="105"/>
        </w:rPr>
        <w:t>de</w:t>
      </w:r>
      <w:r>
        <w:rPr>
          <w:color w:val="231F20"/>
          <w:spacing w:val="-8"/>
          <w:w w:val="105"/>
        </w:rPr>
        <w:t> </w:t>
      </w:r>
      <w:r>
        <w:rPr>
          <w:color w:val="231F20"/>
          <w:w w:val="105"/>
        </w:rPr>
        <w:t>retener</w:t>
      </w:r>
      <w:r>
        <w:rPr>
          <w:color w:val="231F20"/>
          <w:spacing w:val="-8"/>
          <w:w w:val="105"/>
        </w:rPr>
        <w:t> </w:t>
      </w:r>
      <w:r>
        <w:rPr>
          <w:color w:val="231F20"/>
          <w:w w:val="105"/>
        </w:rPr>
        <w:t>el</w:t>
      </w:r>
      <w:r>
        <w:rPr>
          <w:color w:val="231F20"/>
          <w:spacing w:val="-8"/>
          <w:w w:val="105"/>
        </w:rPr>
        <w:t> </w:t>
      </w:r>
      <w:r>
        <w:rPr>
          <w:color w:val="231F20"/>
          <w:w w:val="105"/>
        </w:rPr>
        <w:t>poder</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municipio, así como la identificación de los problemas más apremiantes para sus habitantes. De ese modo, se podrá cotejar el alcance de sus resultados tanto en el primero como en el segundo</w:t>
      </w:r>
      <w:r>
        <w:rPr>
          <w:color w:val="231F20"/>
          <w:spacing w:val="-14"/>
          <w:w w:val="105"/>
        </w:rPr>
        <w:t> </w:t>
      </w:r>
      <w:r>
        <w:rPr>
          <w:color w:val="231F20"/>
          <w:w w:val="105"/>
        </w:rPr>
        <w:t>año</w:t>
      </w:r>
      <w:r>
        <w:rPr>
          <w:color w:val="231F20"/>
          <w:spacing w:val="-14"/>
          <w:w w:val="105"/>
        </w:rPr>
        <w:t> </w:t>
      </w:r>
      <w:r>
        <w:rPr>
          <w:color w:val="231F20"/>
          <w:w w:val="105"/>
        </w:rPr>
        <w:t>de</w:t>
      </w:r>
      <w:r>
        <w:rPr>
          <w:color w:val="231F20"/>
          <w:spacing w:val="-14"/>
          <w:w w:val="105"/>
        </w:rPr>
        <w:t> </w:t>
      </w:r>
      <w:r>
        <w:rPr>
          <w:color w:val="231F20"/>
          <w:w w:val="105"/>
        </w:rPr>
        <w:t>gobierno,</w:t>
      </w:r>
      <w:r>
        <w:rPr>
          <w:color w:val="231F20"/>
          <w:spacing w:val="-14"/>
          <w:w w:val="105"/>
        </w:rPr>
        <w:t> </w:t>
      </w:r>
      <w:r>
        <w:rPr>
          <w:color w:val="231F20"/>
          <w:w w:val="105"/>
        </w:rPr>
        <w:t>logrando</w:t>
      </w:r>
      <w:r>
        <w:rPr>
          <w:color w:val="231F20"/>
          <w:spacing w:val="-14"/>
          <w:w w:val="105"/>
        </w:rPr>
        <w:t> </w:t>
      </w:r>
      <w:r>
        <w:rPr>
          <w:color w:val="231F20"/>
          <w:w w:val="105"/>
        </w:rPr>
        <w:t>perfilar</w:t>
      </w:r>
      <w:r>
        <w:rPr>
          <w:color w:val="231F20"/>
          <w:spacing w:val="-14"/>
          <w:w w:val="105"/>
        </w:rPr>
        <w:t> </w:t>
      </w:r>
      <w:r>
        <w:rPr>
          <w:color w:val="231F20"/>
          <w:w w:val="105"/>
        </w:rPr>
        <w:t>una</w:t>
      </w:r>
      <w:r>
        <w:rPr>
          <w:color w:val="231F20"/>
          <w:spacing w:val="-14"/>
          <w:w w:val="105"/>
        </w:rPr>
        <w:t> </w:t>
      </w:r>
      <w:r>
        <w:rPr>
          <w:color w:val="231F20"/>
          <w:w w:val="105"/>
        </w:rPr>
        <w:t>visión</w:t>
      </w:r>
      <w:r>
        <w:rPr>
          <w:color w:val="231F20"/>
          <w:spacing w:val="-14"/>
          <w:w w:val="105"/>
        </w:rPr>
        <w:t> </w:t>
      </w:r>
      <w:r>
        <w:rPr>
          <w:color w:val="231F20"/>
          <w:w w:val="105"/>
        </w:rPr>
        <w:t>de</w:t>
      </w:r>
      <w:r>
        <w:rPr>
          <w:color w:val="231F20"/>
          <w:spacing w:val="-14"/>
          <w:w w:val="105"/>
        </w:rPr>
        <w:t> </w:t>
      </w:r>
      <w:r>
        <w:rPr>
          <w:color w:val="231F20"/>
          <w:w w:val="105"/>
        </w:rPr>
        <w:t>conjunto</w:t>
      </w:r>
      <w:r>
        <w:rPr>
          <w:color w:val="231F20"/>
          <w:spacing w:val="-14"/>
          <w:w w:val="105"/>
        </w:rPr>
        <w:t> </w:t>
      </w:r>
      <w:r>
        <w:rPr>
          <w:color w:val="231F20"/>
          <w:w w:val="105"/>
        </w:rPr>
        <w:t>respecto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admi- </w:t>
      </w:r>
      <w:r>
        <w:rPr>
          <w:color w:val="231F20"/>
          <w:w w:val="105"/>
          <w:u w:val="single" w:color="231F20"/>
        </w:rPr>
        <w:t>nistración</w:t>
      </w:r>
      <w:r>
        <w:rPr>
          <w:color w:val="231F20"/>
          <w:spacing w:val="-9"/>
          <w:w w:val="105"/>
          <w:u w:val="single" w:color="231F20"/>
        </w:rPr>
        <w:t> </w:t>
      </w:r>
      <w:r>
        <w:rPr>
          <w:color w:val="231F20"/>
          <w:w w:val="105"/>
          <w:u w:val="single" w:color="231F20"/>
        </w:rPr>
        <w:t>panis</w:t>
      </w:r>
      <w:r>
        <w:rPr>
          <w:color w:val="231F20"/>
          <w:w w:val="105"/>
        </w:rPr>
        <w:t>ta</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w w:val="105"/>
        </w:rPr>
        <w:t>municipio</w:t>
      </w:r>
      <w:r>
        <w:rPr>
          <w:color w:val="231F20"/>
          <w:spacing w:val="-9"/>
          <w:w w:val="105"/>
        </w:rPr>
        <w:t> </w:t>
      </w:r>
      <w:r>
        <w:rPr>
          <w:color w:val="231F20"/>
          <w:w w:val="105"/>
        </w:rPr>
        <w:t>de</w:t>
      </w:r>
      <w:r>
        <w:rPr>
          <w:color w:val="231F20"/>
          <w:spacing w:val="-9"/>
          <w:w w:val="105"/>
        </w:rPr>
        <w:t> </w:t>
      </w:r>
      <w:r>
        <w:rPr>
          <w:color w:val="231F20"/>
          <w:w w:val="105"/>
        </w:rPr>
        <w:t>indiscutible</w:t>
      </w:r>
      <w:r>
        <w:rPr>
          <w:color w:val="231F20"/>
          <w:spacing w:val="-9"/>
          <w:w w:val="105"/>
        </w:rPr>
        <w:t> </w:t>
      </w:r>
      <w:r>
        <w:rPr>
          <w:color w:val="231F20"/>
          <w:w w:val="105"/>
        </w:rPr>
        <w:t>relevancia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política</w:t>
      </w:r>
      <w:r>
        <w:rPr>
          <w:color w:val="231F20"/>
          <w:spacing w:val="-9"/>
          <w:w w:val="105"/>
        </w:rPr>
        <w:t> </w:t>
      </w:r>
      <w:r>
        <w:rPr>
          <w:color w:val="231F20"/>
          <w:w w:val="105"/>
        </w:rPr>
        <w:t>estatal.</w:t>
      </w:r>
    </w:p>
    <w:p>
      <w:pPr>
        <w:pStyle w:val="ListParagraph"/>
        <w:numPr>
          <w:ilvl w:val="0"/>
          <w:numId w:val="13"/>
        </w:numPr>
        <w:tabs>
          <w:tab w:pos="218" w:val="left" w:leader="none"/>
        </w:tabs>
        <w:spacing w:line="244" w:lineRule="auto" w:before="53" w:after="0"/>
        <w:ind w:left="110" w:right="108" w:firstLine="0"/>
        <w:jc w:val="both"/>
        <w:rPr>
          <w:sz w:val="16"/>
        </w:rPr>
      </w:pPr>
      <w:r>
        <w:rPr>
          <w:color w:val="231F20"/>
          <w:sz w:val="16"/>
        </w:rPr>
        <w:t>José</w:t>
      </w:r>
      <w:r>
        <w:rPr>
          <w:color w:val="231F20"/>
          <w:spacing w:val="-14"/>
          <w:sz w:val="16"/>
        </w:rPr>
        <w:t> </w:t>
      </w:r>
      <w:r>
        <w:rPr>
          <w:color w:val="231F20"/>
          <w:sz w:val="16"/>
        </w:rPr>
        <w:t>Luis</w:t>
      </w:r>
      <w:r>
        <w:rPr>
          <w:color w:val="231F20"/>
          <w:spacing w:val="-14"/>
          <w:sz w:val="16"/>
        </w:rPr>
        <w:t> </w:t>
      </w:r>
      <w:r>
        <w:rPr>
          <w:color w:val="231F20"/>
          <w:sz w:val="16"/>
        </w:rPr>
        <w:t>Durán</w:t>
      </w:r>
      <w:r>
        <w:rPr>
          <w:color w:val="231F20"/>
          <w:spacing w:val="-14"/>
          <w:sz w:val="16"/>
        </w:rPr>
        <w:t> </w:t>
      </w:r>
      <w:r>
        <w:rPr>
          <w:color w:val="231F20"/>
          <w:sz w:val="16"/>
        </w:rPr>
        <w:t>nació</w:t>
      </w:r>
      <w:r>
        <w:rPr>
          <w:color w:val="231F20"/>
          <w:spacing w:val="-14"/>
          <w:sz w:val="16"/>
        </w:rPr>
        <w:t> </w:t>
      </w:r>
      <w:r>
        <w:rPr>
          <w:color w:val="231F20"/>
          <w:sz w:val="16"/>
        </w:rPr>
        <w:t>en</w:t>
      </w:r>
      <w:r>
        <w:rPr>
          <w:color w:val="231F20"/>
          <w:spacing w:val="-14"/>
          <w:sz w:val="16"/>
        </w:rPr>
        <w:t> </w:t>
      </w:r>
      <w:r>
        <w:rPr>
          <w:color w:val="231F20"/>
          <w:spacing w:val="-5"/>
          <w:sz w:val="16"/>
        </w:rPr>
        <w:t>1961</w:t>
      </w:r>
      <w:r>
        <w:rPr>
          <w:color w:val="231F20"/>
          <w:spacing w:val="-14"/>
          <w:sz w:val="16"/>
        </w:rPr>
        <w:t> </w:t>
      </w:r>
      <w:r>
        <w:rPr>
          <w:color w:val="231F20"/>
          <w:sz w:val="16"/>
        </w:rPr>
        <w:t>en</w:t>
      </w:r>
      <w:r>
        <w:rPr>
          <w:color w:val="231F20"/>
          <w:spacing w:val="-14"/>
          <w:sz w:val="16"/>
        </w:rPr>
        <w:t> </w:t>
      </w:r>
      <w:r>
        <w:rPr>
          <w:color w:val="231F20"/>
          <w:sz w:val="16"/>
        </w:rPr>
        <w:t>el</w:t>
      </w:r>
      <w:r>
        <w:rPr>
          <w:color w:val="231F20"/>
          <w:spacing w:val="-14"/>
          <w:sz w:val="16"/>
        </w:rPr>
        <w:t> </w:t>
      </w:r>
      <w:r>
        <w:rPr>
          <w:color w:val="231F20"/>
          <w:spacing w:val="-5"/>
          <w:sz w:val="16"/>
        </w:rPr>
        <w:t>DF.</w:t>
      </w:r>
      <w:r>
        <w:rPr>
          <w:color w:val="231F20"/>
          <w:spacing w:val="-14"/>
          <w:sz w:val="16"/>
        </w:rPr>
        <w:t> </w:t>
      </w:r>
      <w:r>
        <w:rPr>
          <w:color w:val="231F20"/>
          <w:sz w:val="16"/>
        </w:rPr>
        <w:t>Estudió</w:t>
      </w:r>
      <w:r>
        <w:rPr>
          <w:color w:val="231F20"/>
          <w:spacing w:val="-14"/>
          <w:sz w:val="16"/>
        </w:rPr>
        <w:t> </w:t>
      </w:r>
      <w:r>
        <w:rPr>
          <w:color w:val="231F20"/>
          <w:sz w:val="16"/>
        </w:rPr>
        <w:t>ingeniería</w:t>
      </w:r>
      <w:r>
        <w:rPr>
          <w:color w:val="231F20"/>
          <w:spacing w:val="-14"/>
          <w:sz w:val="16"/>
        </w:rPr>
        <w:t> </w:t>
      </w:r>
      <w:r>
        <w:rPr>
          <w:color w:val="231F20"/>
          <w:sz w:val="16"/>
        </w:rPr>
        <w:t>industrial</w:t>
      </w:r>
      <w:r>
        <w:rPr>
          <w:color w:val="231F20"/>
          <w:spacing w:val="-14"/>
          <w:sz w:val="16"/>
        </w:rPr>
        <w:t> </w:t>
      </w:r>
      <w:r>
        <w:rPr>
          <w:color w:val="231F20"/>
          <w:sz w:val="16"/>
        </w:rPr>
        <w:t>en</w:t>
      </w:r>
      <w:r>
        <w:rPr>
          <w:color w:val="231F20"/>
          <w:spacing w:val="-14"/>
          <w:sz w:val="16"/>
        </w:rPr>
        <w:t> </w:t>
      </w:r>
      <w:r>
        <w:rPr>
          <w:color w:val="231F20"/>
          <w:sz w:val="16"/>
        </w:rPr>
        <w:t>la</w:t>
      </w:r>
      <w:r>
        <w:rPr>
          <w:color w:val="231F20"/>
          <w:spacing w:val="-14"/>
          <w:sz w:val="16"/>
        </w:rPr>
        <w:t> </w:t>
      </w:r>
      <w:r>
        <w:rPr>
          <w:color w:val="231F20"/>
          <w:sz w:val="16"/>
        </w:rPr>
        <w:t>Universidad</w:t>
      </w:r>
      <w:r>
        <w:rPr>
          <w:color w:val="231F20"/>
          <w:spacing w:val="-14"/>
          <w:sz w:val="16"/>
        </w:rPr>
        <w:t> </w:t>
      </w:r>
      <w:r>
        <w:rPr>
          <w:color w:val="231F20"/>
          <w:sz w:val="16"/>
        </w:rPr>
        <w:t>Nuevo</w:t>
      </w:r>
      <w:r>
        <w:rPr>
          <w:color w:val="231F20"/>
          <w:spacing w:val="-14"/>
          <w:sz w:val="16"/>
        </w:rPr>
        <w:t> </w:t>
      </w:r>
      <w:r>
        <w:rPr>
          <w:color w:val="231F20"/>
          <w:sz w:val="16"/>
        </w:rPr>
        <w:t>Mundo.</w:t>
      </w:r>
      <w:r>
        <w:rPr>
          <w:color w:val="231F20"/>
          <w:spacing w:val="-14"/>
          <w:sz w:val="16"/>
        </w:rPr>
        <w:t> </w:t>
      </w:r>
      <w:r>
        <w:rPr>
          <w:color w:val="231F20"/>
          <w:sz w:val="16"/>
        </w:rPr>
        <w:t>Fue</w:t>
      </w:r>
      <w:r>
        <w:rPr>
          <w:color w:val="231F20"/>
          <w:spacing w:val="-14"/>
          <w:sz w:val="16"/>
        </w:rPr>
        <w:t> </w:t>
      </w:r>
      <w:r>
        <w:rPr>
          <w:color w:val="231F20"/>
          <w:sz w:val="16"/>
        </w:rPr>
        <w:t>profesor</w:t>
      </w:r>
      <w:r>
        <w:rPr>
          <w:color w:val="231F20"/>
          <w:spacing w:val="-14"/>
          <w:sz w:val="16"/>
        </w:rPr>
        <w:t> </w:t>
      </w:r>
      <w:r>
        <w:rPr>
          <w:color w:val="231F20"/>
          <w:sz w:val="16"/>
        </w:rPr>
        <w:t>de</w:t>
      </w:r>
      <w:r>
        <w:rPr>
          <w:color w:val="231F20"/>
          <w:spacing w:val="-14"/>
          <w:sz w:val="16"/>
        </w:rPr>
        <w:t> </w:t>
      </w:r>
      <w:r>
        <w:rPr>
          <w:color w:val="231F20"/>
          <w:sz w:val="16"/>
        </w:rPr>
        <w:t>secun- daria</w:t>
      </w:r>
      <w:r>
        <w:rPr>
          <w:color w:val="231F20"/>
          <w:spacing w:val="-18"/>
          <w:sz w:val="16"/>
        </w:rPr>
        <w:t> </w:t>
      </w:r>
      <w:r>
        <w:rPr>
          <w:color w:val="231F20"/>
          <w:sz w:val="16"/>
        </w:rPr>
        <w:t>y</w:t>
      </w:r>
      <w:r>
        <w:rPr>
          <w:color w:val="231F20"/>
          <w:spacing w:val="-18"/>
          <w:sz w:val="16"/>
        </w:rPr>
        <w:t> </w:t>
      </w:r>
      <w:r>
        <w:rPr>
          <w:color w:val="231F20"/>
          <w:sz w:val="16"/>
        </w:rPr>
        <w:t>preparatoria.</w:t>
      </w:r>
      <w:r>
        <w:rPr>
          <w:color w:val="231F20"/>
          <w:spacing w:val="-18"/>
          <w:sz w:val="16"/>
        </w:rPr>
        <w:t> </w:t>
      </w:r>
      <w:r>
        <w:rPr>
          <w:color w:val="231F20"/>
          <w:sz w:val="16"/>
        </w:rPr>
        <w:t>Es</w:t>
      </w:r>
      <w:r>
        <w:rPr>
          <w:color w:val="231F20"/>
          <w:spacing w:val="-18"/>
          <w:sz w:val="16"/>
        </w:rPr>
        <w:t> </w:t>
      </w:r>
      <w:r>
        <w:rPr>
          <w:color w:val="231F20"/>
          <w:sz w:val="16"/>
        </w:rPr>
        <w:t>miembro</w:t>
      </w:r>
      <w:r>
        <w:rPr>
          <w:color w:val="231F20"/>
          <w:spacing w:val="-18"/>
          <w:sz w:val="16"/>
        </w:rPr>
        <w:t> </w:t>
      </w:r>
      <w:r>
        <w:rPr>
          <w:color w:val="231F20"/>
          <w:sz w:val="16"/>
        </w:rPr>
        <w:t>activo</w:t>
      </w:r>
      <w:r>
        <w:rPr>
          <w:color w:val="231F20"/>
          <w:spacing w:val="-18"/>
          <w:sz w:val="16"/>
        </w:rPr>
        <w:t> </w:t>
      </w:r>
      <w:r>
        <w:rPr>
          <w:color w:val="231F20"/>
          <w:sz w:val="16"/>
        </w:rPr>
        <w:t>del</w:t>
      </w:r>
      <w:r>
        <w:rPr>
          <w:color w:val="231F20"/>
          <w:spacing w:val="-18"/>
          <w:sz w:val="16"/>
        </w:rPr>
        <w:t> </w:t>
      </w:r>
      <w:r>
        <w:rPr>
          <w:color w:val="231F20"/>
          <w:spacing w:val="-4"/>
          <w:sz w:val="16"/>
        </w:rPr>
        <w:t>PAN</w:t>
      </w:r>
      <w:r>
        <w:rPr>
          <w:color w:val="231F20"/>
          <w:spacing w:val="-18"/>
          <w:sz w:val="16"/>
        </w:rPr>
        <w:t> </w:t>
      </w:r>
      <w:r>
        <w:rPr>
          <w:color w:val="231F20"/>
          <w:sz w:val="16"/>
        </w:rPr>
        <w:t>desde</w:t>
      </w:r>
      <w:r>
        <w:rPr>
          <w:color w:val="231F20"/>
          <w:spacing w:val="-18"/>
          <w:sz w:val="16"/>
        </w:rPr>
        <w:t> </w:t>
      </w:r>
      <w:r>
        <w:rPr>
          <w:color w:val="231F20"/>
          <w:spacing w:val="-3"/>
          <w:sz w:val="16"/>
        </w:rPr>
        <w:t>1985.</w:t>
      </w:r>
      <w:r>
        <w:rPr>
          <w:color w:val="231F20"/>
          <w:spacing w:val="-18"/>
          <w:sz w:val="16"/>
        </w:rPr>
        <w:t> </w:t>
      </w:r>
      <w:r>
        <w:rPr>
          <w:color w:val="231F20"/>
          <w:sz w:val="16"/>
        </w:rPr>
        <w:t>Fue</w:t>
      </w:r>
      <w:r>
        <w:rPr>
          <w:color w:val="231F20"/>
          <w:spacing w:val="-18"/>
          <w:sz w:val="16"/>
        </w:rPr>
        <w:t> </w:t>
      </w:r>
      <w:r>
        <w:rPr>
          <w:color w:val="231F20"/>
          <w:sz w:val="16"/>
        </w:rPr>
        <w:t>integrante</w:t>
      </w:r>
      <w:r>
        <w:rPr>
          <w:color w:val="231F20"/>
          <w:spacing w:val="-18"/>
          <w:sz w:val="16"/>
        </w:rPr>
        <w:t> </w:t>
      </w:r>
      <w:r>
        <w:rPr>
          <w:color w:val="231F20"/>
          <w:sz w:val="16"/>
        </w:rPr>
        <w:t>del</w:t>
      </w:r>
      <w:r>
        <w:rPr>
          <w:color w:val="231F20"/>
          <w:spacing w:val="-18"/>
          <w:sz w:val="16"/>
        </w:rPr>
        <w:t> </w:t>
      </w:r>
      <w:r>
        <w:rPr>
          <w:color w:val="231F20"/>
          <w:sz w:val="16"/>
        </w:rPr>
        <w:t>CEN</w:t>
      </w:r>
      <w:r>
        <w:rPr>
          <w:color w:val="231F20"/>
          <w:spacing w:val="-18"/>
          <w:sz w:val="16"/>
        </w:rPr>
        <w:t> </w:t>
      </w:r>
      <w:r>
        <w:rPr>
          <w:color w:val="231F20"/>
          <w:sz w:val="16"/>
        </w:rPr>
        <w:t>en</w:t>
      </w:r>
      <w:r>
        <w:rPr>
          <w:color w:val="231F20"/>
          <w:spacing w:val="-18"/>
          <w:sz w:val="16"/>
        </w:rPr>
        <w:t> </w:t>
      </w:r>
      <w:r>
        <w:rPr>
          <w:color w:val="231F20"/>
          <w:sz w:val="16"/>
        </w:rPr>
        <w:t>el</w:t>
      </w:r>
      <w:r>
        <w:rPr>
          <w:color w:val="231F20"/>
          <w:spacing w:val="-18"/>
          <w:sz w:val="16"/>
        </w:rPr>
        <w:t> </w:t>
      </w:r>
      <w:r>
        <w:rPr>
          <w:color w:val="231F20"/>
          <w:sz w:val="16"/>
        </w:rPr>
        <w:t>trienio</w:t>
      </w:r>
      <w:r>
        <w:rPr>
          <w:color w:val="231F20"/>
          <w:spacing w:val="-18"/>
          <w:sz w:val="16"/>
        </w:rPr>
        <w:t> </w:t>
      </w:r>
      <w:r>
        <w:rPr>
          <w:color w:val="231F20"/>
          <w:sz w:val="16"/>
        </w:rPr>
        <w:t>2002-2005.</w:t>
      </w:r>
      <w:r>
        <w:rPr>
          <w:color w:val="231F20"/>
          <w:spacing w:val="-18"/>
          <w:sz w:val="16"/>
        </w:rPr>
        <w:t> </w:t>
      </w:r>
      <w:r>
        <w:rPr>
          <w:color w:val="231F20"/>
          <w:sz w:val="16"/>
        </w:rPr>
        <w:t>Presidió</w:t>
      </w:r>
      <w:r>
        <w:rPr>
          <w:color w:val="231F20"/>
          <w:spacing w:val="-18"/>
          <w:sz w:val="16"/>
        </w:rPr>
        <w:t> </w:t>
      </w:r>
      <w:r>
        <w:rPr>
          <w:color w:val="231F20"/>
          <w:sz w:val="16"/>
        </w:rPr>
        <w:t>el</w:t>
      </w:r>
      <w:r>
        <w:rPr>
          <w:color w:val="231F20"/>
          <w:spacing w:val="-18"/>
          <w:sz w:val="16"/>
        </w:rPr>
        <w:t> </w:t>
      </w:r>
      <w:r>
        <w:rPr>
          <w:color w:val="231F20"/>
          <w:sz w:val="16"/>
        </w:rPr>
        <w:t>Comité Directivo</w:t>
      </w:r>
      <w:r>
        <w:rPr>
          <w:color w:val="231F20"/>
          <w:spacing w:val="-17"/>
          <w:sz w:val="16"/>
        </w:rPr>
        <w:t> </w:t>
      </w:r>
      <w:r>
        <w:rPr>
          <w:color w:val="231F20"/>
          <w:sz w:val="16"/>
        </w:rPr>
        <w:t>Estatal</w:t>
      </w:r>
      <w:r>
        <w:rPr>
          <w:color w:val="231F20"/>
          <w:spacing w:val="-17"/>
          <w:sz w:val="16"/>
        </w:rPr>
        <w:t> </w:t>
      </w:r>
      <w:r>
        <w:rPr>
          <w:color w:val="231F20"/>
          <w:sz w:val="16"/>
        </w:rPr>
        <w:t>en</w:t>
      </w:r>
      <w:r>
        <w:rPr>
          <w:color w:val="231F20"/>
          <w:spacing w:val="-17"/>
          <w:sz w:val="16"/>
        </w:rPr>
        <w:t> </w:t>
      </w:r>
      <w:r>
        <w:rPr>
          <w:color w:val="231F20"/>
          <w:sz w:val="16"/>
        </w:rPr>
        <w:t>el</w:t>
      </w:r>
      <w:r>
        <w:rPr>
          <w:color w:val="231F20"/>
          <w:spacing w:val="-17"/>
          <w:sz w:val="16"/>
        </w:rPr>
        <w:t> </w:t>
      </w:r>
      <w:r>
        <w:rPr>
          <w:color w:val="231F20"/>
          <w:sz w:val="16"/>
        </w:rPr>
        <w:t>periodo</w:t>
      </w:r>
      <w:r>
        <w:rPr>
          <w:color w:val="231F20"/>
          <w:spacing w:val="-17"/>
          <w:sz w:val="16"/>
        </w:rPr>
        <w:t> </w:t>
      </w:r>
      <w:r>
        <w:rPr>
          <w:color w:val="231F20"/>
          <w:spacing w:val="-4"/>
          <w:sz w:val="16"/>
        </w:rPr>
        <w:t>1991-1994;</w:t>
      </w:r>
      <w:r>
        <w:rPr>
          <w:color w:val="231F20"/>
          <w:spacing w:val="-17"/>
          <w:sz w:val="16"/>
        </w:rPr>
        <w:t> </w:t>
      </w:r>
      <w:r>
        <w:rPr>
          <w:color w:val="231F20"/>
          <w:sz w:val="16"/>
        </w:rPr>
        <w:t>fue</w:t>
      </w:r>
      <w:r>
        <w:rPr>
          <w:color w:val="231F20"/>
          <w:spacing w:val="-17"/>
          <w:sz w:val="16"/>
        </w:rPr>
        <w:t> </w:t>
      </w:r>
      <w:r>
        <w:rPr>
          <w:color w:val="231F20"/>
          <w:sz w:val="16"/>
        </w:rPr>
        <w:t>diputado</w:t>
      </w:r>
      <w:r>
        <w:rPr>
          <w:color w:val="231F20"/>
          <w:spacing w:val="-17"/>
          <w:sz w:val="16"/>
        </w:rPr>
        <w:t> </w:t>
      </w:r>
      <w:r>
        <w:rPr>
          <w:color w:val="231F20"/>
          <w:sz w:val="16"/>
        </w:rPr>
        <w:t>local</w:t>
      </w:r>
      <w:r>
        <w:rPr>
          <w:color w:val="231F20"/>
          <w:spacing w:val="-17"/>
          <w:sz w:val="16"/>
        </w:rPr>
        <w:t> </w:t>
      </w:r>
      <w:r>
        <w:rPr>
          <w:color w:val="231F20"/>
          <w:sz w:val="16"/>
        </w:rPr>
        <w:t>en</w:t>
      </w:r>
      <w:r>
        <w:rPr>
          <w:color w:val="231F20"/>
          <w:spacing w:val="-17"/>
          <w:sz w:val="16"/>
        </w:rPr>
        <w:t> </w:t>
      </w:r>
      <w:r>
        <w:rPr>
          <w:color w:val="231F20"/>
          <w:spacing w:val="-4"/>
          <w:sz w:val="16"/>
        </w:rPr>
        <w:t>1987-1990,</w:t>
      </w:r>
      <w:r>
        <w:rPr>
          <w:color w:val="231F20"/>
          <w:spacing w:val="-17"/>
          <w:sz w:val="16"/>
        </w:rPr>
        <w:t> </w:t>
      </w:r>
      <w:r>
        <w:rPr>
          <w:color w:val="231F20"/>
          <w:sz w:val="16"/>
        </w:rPr>
        <w:t>diputado</w:t>
      </w:r>
      <w:r>
        <w:rPr>
          <w:color w:val="231F20"/>
          <w:spacing w:val="-17"/>
          <w:sz w:val="16"/>
        </w:rPr>
        <w:t> </w:t>
      </w:r>
      <w:r>
        <w:rPr>
          <w:color w:val="231F20"/>
          <w:sz w:val="16"/>
        </w:rPr>
        <w:t>federal</w:t>
      </w:r>
      <w:r>
        <w:rPr>
          <w:color w:val="231F20"/>
          <w:spacing w:val="-17"/>
          <w:sz w:val="16"/>
        </w:rPr>
        <w:t> </w:t>
      </w:r>
      <w:r>
        <w:rPr>
          <w:color w:val="231F20"/>
          <w:spacing w:val="-5"/>
          <w:sz w:val="16"/>
        </w:rPr>
        <w:t>1991-1994</w:t>
      </w:r>
      <w:r>
        <w:rPr>
          <w:color w:val="231F20"/>
          <w:spacing w:val="-17"/>
          <w:sz w:val="16"/>
        </w:rPr>
        <w:t> </w:t>
      </w:r>
      <w:r>
        <w:rPr>
          <w:color w:val="231F20"/>
          <w:sz w:val="16"/>
        </w:rPr>
        <w:t>y</w:t>
      </w:r>
      <w:r>
        <w:rPr>
          <w:color w:val="231F20"/>
          <w:spacing w:val="-17"/>
          <w:sz w:val="16"/>
        </w:rPr>
        <w:t> </w:t>
      </w:r>
      <w:r>
        <w:rPr>
          <w:color w:val="231F20"/>
          <w:sz w:val="16"/>
        </w:rPr>
        <w:t>presidente</w:t>
      </w:r>
      <w:r>
        <w:rPr>
          <w:color w:val="231F20"/>
          <w:spacing w:val="-17"/>
          <w:sz w:val="16"/>
        </w:rPr>
        <w:t> </w:t>
      </w:r>
      <w:r>
        <w:rPr>
          <w:color w:val="231F20"/>
          <w:sz w:val="16"/>
        </w:rPr>
        <w:t>municipal en dos ocasiones, </w:t>
      </w:r>
      <w:r>
        <w:rPr>
          <w:color w:val="231F20"/>
          <w:spacing w:val="-3"/>
          <w:sz w:val="16"/>
        </w:rPr>
        <w:t>1997-2000 </w:t>
      </w:r>
      <w:r>
        <w:rPr>
          <w:color w:val="231F20"/>
          <w:sz w:val="16"/>
        </w:rPr>
        <w:t>y 2006-2009. Con el presidente Fox fungió como Subsecretario de Comunicación Social de la </w:t>
      </w:r>
      <w:r>
        <w:rPr>
          <w:color w:val="231F20"/>
          <w:w w:val="95"/>
          <w:sz w:val="16"/>
        </w:rPr>
        <w:t>Secretaría de Gobernación </w:t>
      </w:r>
      <w:r>
        <w:rPr>
          <w:color w:val="231F20"/>
          <w:spacing w:val="3"/>
          <w:w w:val="95"/>
          <w:sz w:val="16"/>
        </w:rPr>
        <w:t> </w:t>
      </w:r>
      <w:r>
        <w:rPr>
          <w:color w:val="231F20"/>
          <w:w w:val="95"/>
          <w:sz w:val="16"/>
        </w:rPr>
        <w:t>(2000-2003).</w:t>
      </w:r>
    </w:p>
    <w:p>
      <w:pPr>
        <w:pStyle w:val="ListParagraph"/>
        <w:numPr>
          <w:ilvl w:val="0"/>
          <w:numId w:val="13"/>
        </w:numPr>
        <w:tabs>
          <w:tab w:pos="229" w:val="left" w:leader="none"/>
        </w:tabs>
        <w:spacing w:line="244" w:lineRule="auto" w:before="0" w:after="0"/>
        <w:ind w:left="110" w:right="108" w:firstLine="0"/>
        <w:jc w:val="both"/>
        <w:rPr>
          <w:sz w:val="16"/>
        </w:rPr>
      </w:pPr>
      <w:r>
        <w:rPr>
          <w:color w:val="231F20"/>
          <w:sz w:val="16"/>
        </w:rPr>
        <w:t>En el momento en que se redactó este trabajo, el gobierno panista llevaba dos años cumplidos, por lo que solamente se estudia</w:t>
      </w:r>
      <w:r>
        <w:rPr>
          <w:color w:val="231F20"/>
          <w:spacing w:val="-19"/>
          <w:sz w:val="16"/>
        </w:rPr>
        <w:t> </w:t>
      </w:r>
      <w:r>
        <w:rPr>
          <w:color w:val="231F20"/>
          <w:sz w:val="16"/>
        </w:rPr>
        <w:t>este</w:t>
      </w:r>
      <w:r>
        <w:rPr>
          <w:color w:val="231F20"/>
          <w:spacing w:val="-19"/>
          <w:sz w:val="16"/>
        </w:rPr>
        <w:t> </w:t>
      </w:r>
      <w:r>
        <w:rPr>
          <w:color w:val="231F20"/>
          <w:sz w:val="16"/>
        </w:rPr>
        <w:t>periodo.</w:t>
      </w:r>
    </w:p>
    <w:p>
      <w:pPr>
        <w:spacing w:after="0" w:line="244" w:lineRule="auto"/>
        <w:jc w:val="both"/>
        <w:rPr>
          <w:sz w:val="16"/>
        </w:rPr>
        <w:sectPr>
          <w:pgSz w:w="9640" w:h="12190"/>
          <w:pgMar w:header="0" w:footer="743" w:top="1120" w:bottom="940" w:left="740" w:right="740"/>
        </w:sectPr>
      </w:pPr>
    </w:p>
    <w:p>
      <w:pPr>
        <w:pStyle w:val="BodyText"/>
        <w:spacing w:before="6"/>
        <w:rPr>
          <w:rFonts w:ascii="Calibri"/>
          <w:sz w:val="8"/>
        </w:rPr>
      </w:pPr>
    </w:p>
    <w:p>
      <w:pPr>
        <w:pStyle w:val="Heading4"/>
        <w:spacing w:line="345" w:lineRule="exact"/>
        <w:rPr>
          <w:i/>
        </w:rPr>
      </w:pPr>
      <w:r>
        <w:rPr>
          <w:i/>
          <w:color w:val="231F20"/>
          <w:w w:val="105"/>
        </w:rPr>
        <w:t>Datos del municipio</w:t>
      </w:r>
    </w:p>
    <w:p>
      <w:pPr>
        <w:pStyle w:val="BodyText"/>
        <w:spacing w:line="285" w:lineRule="auto" w:before="17"/>
        <w:ind w:left="110" w:right="108"/>
        <w:jc w:val="both"/>
      </w:pPr>
      <w:r>
        <w:rPr>
          <w:color w:val="231F20"/>
          <w:w w:val="105"/>
        </w:rPr>
        <w:t>Naucalpan</w:t>
      </w:r>
      <w:r>
        <w:rPr>
          <w:color w:val="231F20"/>
          <w:spacing w:val="-22"/>
          <w:w w:val="105"/>
        </w:rPr>
        <w:t> </w:t>
      </w:r>
      <w:r>
        <w:rPr>
          <w:color w:val="231F20"/>
          <w:spacing w:val="-4"/>
          <w:w w:val="105"/>
        </w:rPr>
        <w:t>(nombre</w:t>
      </w:r>
      <w:r>
        <w:rPr>
          <w:color w:val="231F20"/>
          <w:spacing w:val="-22"/>
          <w:w w:val="105"/>
        </w:rPr>
        <w:t> </w:t>
      </w:r>
      <w:r>
        <w:rPr>
          <w:color w:val="231F20"/>
          <w:w w:val="105"/>
        </w:rPr>
        <w:t>náhuatl</w:t>
      </w:r>
      <w:r>
        <w:rPr>
          <w:color w:val="231F20"/>
          <w:spacing w:val="-22"/>
          <w:w w:val="105"/>
        </w:rPr>
        <w:t> </w:t>
      </w:r>
      <w:r>
        <w:rPr>
          <w:color w:val="231F20"/>
          <w:w w:val="105"/>
        </w:rPr>
        <w:t>cuyo</w:t>
      </w:r>
      <w:r>
        <w:rPr>
          <w:color w:val="231F20"/>
          <w:spacing w:val="-22"/>
          <w:w w:val="105"/>
        </w:rPr>
        <w:t> </w:t>
      </w:r>
      <w:r>
        <w:rPr>
          <w:color w:val="231F20"/>
          <w:w w:val="105"/>
        </w:rPr>
        <w:t>significado</w:t>
      </w:r>
      <w:r>
        <w:rPr>
          <w:color w:val="231F20"/>
          <w:spacing w:val="-22"/>
          <w:w w:val="105"/>
        </w:rPr>
        <w:t> </w:t>
      </w:r>
      <w:r>
        <w:rPr>
          <w:color w:val="231F20"/>
          <w:w w:val="105"/>
        </w:rPr>
        <w:t>es</w:t>
      </w:r>
      <w:r>
        <w:rPr>
          <w:color w:val="231F20"/>
          <w:spacing w:val="-22"/>
          <w:w w:val="105"/>
        </w:rPr>
        <w:t> </w:t>
      </w:r>
      <w:r>
        <w:rPr>
          <w:color w:val="231F20"/>
          <w:w w:val="105"/>
        </w:rPr>
        <w:t>“lugar</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cuatro</w:t>
      </w:r>
      <w:r>
        <w:rPr>
          <w:color w:val="231F20"/>
          <w:spacing w:val="-22"/>
          <w:w w:val="105"/>
        </w:rPr>
        <w:t> </w:t>
      </w:r>
      <w:r>
        <w:rPr>
          <w:color w:val="231F20"/>
          <w:w w:val="105"/>
        </w:rPr>
        <w:t>casas”)</w:t>
      </w:r>
      <w:r>
        <w:rPr>
          <w:color w:val="231F20"/>
          <w:spacing w:val="-22"/>
          <w:w w:val="105"/>
        </w:rPr>
        <w:t> </w:t>
      </w:r>
      <w:r>
        <w:rPr>
          <w:color w:val="231F20"/>
          <w:w w:val="105"/>
        </w:rPr>
        <w:t>es</w:t>
      </w:r>
      <w:r>
        <w:rPr>
          <w:color w:val="231F20"/>
          <w:spacing w:val="-22"/>
          <w:w w:val="105"/>
        </w:rPr>
        <w:t> </w:t>
      </w:r>
      <w:r>
        <w:rPr>
          <w:color w:val="231F20"/>
          <w:w w:val="105"/>
        </w:rPr>
        <w:t>uno</w:t>
      </w:r>
      <w:r>
        <w:rPr>
          <w:color w:val="231F20"/>
          <w:spacing w:val="-22"/>
          <w:w w:val="105"/>
        </w:rPr>
        <w:t> </w:t>
      </w:r>
      <w:r>
        <w:rPr>
          <w:color w:val="231F20"/>
          <w:w w:val="105"/>
        </w:rPr>
        <w:t>de</w:t>
      </w:r>
      <w:r>
        <w:rPr>
          <w:color w:val="231F20"/>
          <w:spacing w:val="-22"/>
          <w:w w:val="105"/>
        </w:rPr>
        <w:t> </w:t>
      </w:r>
      <w:r>
        <w:rPr>
          <w:color w:val="231F20"/>
          <w:spacing w:val="-3"/>
          <w:w w:val="105"/>
        </w:rPr>
        <w:t>los </w:t>
      </w:r>
      <w:r>
        <w:rPr>
          <w:color w:val="231F20"/>
          <w:w w:val="105"/>
        </w:rPr>
        <w:t>municipios que colinda </w:t>
      </w:r>
      <w:r>
        <w:rPr>
          <w:color w:val="231F20"/>
          <w:spacing w:val="-2"/>
          <w:w w:val="105"/>
        </w:rPr>
        <w:t>con </w:t>
      </w:r>
      <w:r>
        <w:rPr>
          <w:color w:val="231F20"/>
          <w:w w:val="105"/>
        </w:rPr>
        <w:t>el </w:t>
      </w:r>
      <w:r>
        <w:rPr>
          <w:color w:val="231F20"/>
          <w:spacing w:val="-8"/>
          <w:w w:val="105"/>
        </w:rPr>
        <w:t>DF, </w:t>
      </w:r>
      <w:r>
        <w:rPr>
          <w:color w:val="231F20"/>
          <w:w w:val="105"/>
        </w:rPr>
        <w:t>por lo que sus </w:t>
      </w:r>
      <w:r>
        <w:rPr>
          <w:color w:val="231F20"/>
          <w:spacing w:val="-3"/>
          <w:w w:val="105"/>
        </w:rPr>
        <w:t>problemas </w:t>
      </w:r>
      <w:r>
        <w:rPr>
          <w:color w:val="231F20"/>
          <w:w w:val="105"/>
        </w:rPr>
        <w:t>son semejantes a </w:t>
      </w:r>
      <w:r>
        <w:rPr>
          <w:color w:val="231F20"/>
          <w:spacing w:val="-2"/>
          <w:w w:val="105"/>
        </w:rPr>
        <w:t>los </w:t>
      </w:r>
      <w:r>
        <w:rPr>
          <w:color w:val="231F20"/>
          <w:w w:val="105"/>
        </w:rPr>
        <w:t>de la zona</w:t>
      </w:r>
      <w:r>
        <w:rPr>
          <w:color w:val="231F20"/>
          <w:spacing w:val="-8"/>
          <w:w w:val="105"/>
        </w:rPr>
        <w:t> </w:t>
      </w:r>
      <w:r>
        <w:rPr>
          <w:color w:val="231F20"/>
          <w:w w:val="105"/>
        </w:rPr>
        <w:t>norte</w:t>
      </w:r>
      <w:r>
        <w:rPr>
          <w:color w:val="231F20"/>
          <w:spacing w:val="-8"/>
          <w:w w:val="105"/>
        </w:rPr>
        <w:t> </w:t>
      </w:r>
      <w:r>
        <w:rPr>
          <w:color w:val="231F20"/>
          <w:w w:val="105"/>
        </w:rPr>
        <w:t>del</w:t>
      </w:r>
      <w:r>
        <w:rPr>
          <w:color w:val="231F20"/>
          <w:spacing w:val="-8"/>
          <w:w w:val="105"/>
        </w:rPr>
        <w:t> DF. </w:t>
      </w:r>
      <w:r>
        <w:rPr>
          <w:color w:val="231F20"/>
          <w:w w:val="105"/>
        </w:rPr>
        <w:t>Está</w:t>
      </w:r>
      <w:r>
        <w:rPr>
          <w:color w:val="231F20"/>
          <w:spacing w:val="-8"/>
          <w:w w:val="105"/>
        </w:rPr>
        <w:t> </w:t>
      </w:r>
      <w:r>
        <w:rPr>
          <w:color w:val="231F20"/>
          <w:w w:val="105"/>
        </w:rPr>
        <w:t>conformado</w:t>
      </w:r>
      <w:r>
        <w:rPr>
          <w:color w:val="231F20"/>
          <w:spacing w:val="-8"/>
          <w:w w:val="105"/>
        </w:rPr>
        <w:t> </w:t>
      </w:r>
      <w:r>
        <w:rPr>
          <w:color w:val="231F20"/>
          <w:w w:val="105"/>
        </w:rPr>
        <w:t>por</w:t>
      </w:r>
      <w:r>
        <w:rPr>
          <w:color w:val="231F20"/>
          <w:spacing w:val="-8"/>
          <w:w w:val="105"/>
        </w:rPr>
        <w:t> </w:t>
      </w:r>
      <w:r>
        <w:rPr>
          <w:color w:val="231F20"/>
          <w:spacing w:val="-5"/>
          <w:w w:val="105"/>
        </w:rPr>
        <w:t>18</w:t>
      </w:r>
      <w:r>
        <w:rPr>
          <w:color w:val="231F20"/>
          <w:spacing w:val="-8"/>
          <w:w w:val="105"/>
        </w:rPr>
        <w:t> </w:t>
      </w:r>
      <w:r>
        <w:rPr>
          <w:color w:val="231F20"/>
          <w:spacing w:val="-3"/>
          <w:w w:val="105"/>
        </w:rPr>
        <w:t>pueblos,</w:t>
      </w:r>
      <w:r>
        <w:rPr>
          <w:color w:val="231F20"/>
          <w:spacing w:val="-8"/>
          <w:w w:val="105"/>
        </w:rPr>
        <w:t> </w:t>
      </w:r>
      <w:r>
        <w:rPr>
          <w:color w:val="231F20"/>
          <w:spacing w:val="-3"/>
          <w:w w:val="105"/>
        </w:rPr>
        <w:t>127</w:t>
      </w:r>
      <w:r>
        <w:rPr>
          <w:color w:val="231F20"/>
          <w:spacing w:val="-8"/>
          <w:w w:val="105"/>
        </w:rPr>
        <w:t> </w:t>
      </w:r>
      <w:r>
        <w:rPr>
          <w:color w:val="231F20"/>
          <w:w w:val="105"/>
        </w:rPr>
        <w:t>colonias,</w:t>
      </w:r>
      <w:r>
        <w:rPr>
          <w:color w:val="231F20"/>
          <w:spacing w:val="-8"/>
          <w:w w:val="105"/>
        </w:rPr>
        <w:t> </w:t>
      </w:r>
      <w:r>
        <w:rPr>
          <w:color w:val="231F20"/>
          <w:w w:val="105"/>
        </w:rPr>
        <w:t>84</w:t>
      </w:r>
      <w:r>
        <w:rPr>
          <w:color w:val="231F20"/>
          <w:spacing w:val="-8"/>
          <w:w w:val="105"/>
        </w:rPr>
        <w:t> </w:t>
      </w:r>
      <w:r>
        <w:rPr>
          <w:color w:val="231F20"/>
          <w:w w:val="105"/>
        </w:rPr>
        <w:t>fraccionamientos residenciales,</w:t>
      </w:r>
      <w:r>
        <w:rPr>
          <w:color w:val="231F20"/>
          <w:spacing w:val="-26"/>
          <w:w w:val="105"/>
        </w:rPr>
        <w:t> </w:t>
      </w:r>
      <w:r>
        <w:rPr>
          <w:color w:val="231F20"/>
          <w:w w:val="105"/>
        </w:rPr>
        <w:t>seis</w:t>
      </w:r>
      <w:r>
        <w:rPr>
          <w:color w:val="231F20"/>
          <w:spacing w:val="-26"/>
          <w:w w:val="105"/>
        </w:rPr>
        <w:t> </w:t>
      </w:r>
      <w:r>
        <w:rPr>
          <w:color w:val="231F20"/>
          <w:w w:val="105"/>
        </w:rPr>
        <w:t>fraccionamientos</w:t>
      </w:r>
      <w:r>
        <w:rPr>
          <w:color w:val="231F20"/>
          <w:spacing w:val="-26"/>
          <w:w w:val="105"/>
        </w:rPr>
        <w:t> </w:t>
      </w:r>
      <w:r>
        <w:rPr>
          <w:color w:val="231F20"/>
          <w:w w:val="105"/>
        </w:rPr>
        <w:t>industriales,</w:t>
      </w:r>
      <w:r>
        <w:rPr>
          <w:color w:val="231F20"/>
          <w:spacing w:val="-26"/>
          <w:w w:val="105"/>
        </w:rPr>
        <w:t> </w:t>
      </w:r>
      <w:r>
        <w:rPr>
          <w:color w:val="231F20"/>
          <w:w w:val="105"/>
        </w:rPr>
        <w:t>2</w:t>
      </w:r>
      <w:r>
        <w:rPr>
          <w:color w:val="231F20"/>
          <w:spacing w:val="-26"/>
          <w:w w:val="105"/>
        </w:rPr>
        <w:t> </w:t>
      </w:r>
      <w:r>
        <w:rPr>
          <w:color w:val="231F20"/>
          <w:w w:val="105"/>
        </w:rPr>
        <w:t>fraccionamientos</w:t>
      </w:r>
      <w:r>
        <w:rPr>
          <w:color w:val="231F20"/>
          <w:spacing w:val="-26"/>
          <w:w w:val="105"/>
        </w:rPr>
        <w:t> </w:t>
      </w:r>
      <w:r>
        <w:rPr>
          <w:color w:val="231F20"/>
          <w:w w:val="105"/>
        </w:rPr>
        <w:t>campestres</w:t>
      </w:r>
      <w:r>
        <w:rPr>
          <w:color w:val="231F20"/>
          <w:spacing w:val="-26"/>
          <w:w w:val="105"/>
        </w:rPr>
        <w:t> </w:t>
      </w:r>
      <w:r>
        <w:rPr>
          <w:color w:val="231F20"/>
          <w:spacing w:val="-2"/>
          <w:w w:val="105"/>
        </w:rPr>
        <w:t>dos</w:t>
      </w:r>
      <w:r>
        <w:rPr>
          <w:color w:val="231F20"/>
          <w:spacing w:val="-26"/>
          <w:w w:val="105"/>
        </w:rPr>
        <w:t> </w:t>
      </w:r>
      <w:r>
        <w:rPr>
          <w:color w:val="231F20"/>
          <w:spacing w:val="-4"/>
          <w:w w:val="105"/>
        </w:rPr>
        <w:t>nú- </w:t>
      </w:r>
      <w:r>
        <w:rPr>
          <w:color w:val="231F20"/>
          <w:w w:val="105"/>
        </w:rPr>
        <w:t>cleos</w:t>
      </w:r>
      <w:r>
        <w:rPr>
          <w:color w:val="231F20"/>
          <w:spacing w:val="-15"/>
          <w:w w:val="105"/>
        </w:rPr>
        <w:t> </w:t>
      </w:r>
      <w:r>
        <w:rPr>
          <w:color w:val="231F20"/>
          <w:w w:val="105"/>
        </w:rPr>
        <w:t>de</w:t>
      </w:r>
      <w:r>
        <w:rPr>
          <w:color w:val="231F20"/>
          <w:spacing w:val="-15"/>
          <w:w w:val="105"/>
        </w:rPr>
        <w:t> </w:t>
      </w:r>
      <w:r>
        <w:rPr>
          <w:color w:val="231F20"/>
          <w:spacing w:val="-3"/>
          <w:w w:val="105"/>
        </w:rPr>
        <w:t>población</w:t>
      </w:r>
      <w:r>
        <w:rPr>
          <w:color w:val="231F20"/>
          <w:spacing w:val="-15"/>
          <w:w w:val="105"/>
        </w:rPr>
        <w:t> </w:t>
      </w:r>
      <w:r>
        <w:rPr>
          <w:color w:val="231F20"/>
          <w:w w:val="105"/>
        </w:rPr>
        <w:t>ejidal.</w:t>
      </w:r>
      <w:r>
        <w:rPr>
          <w:color w:val="231F20"/>
          <w:spacing w:val="-15"/>
          <w:w w:val="105"/>
        </w:rPr>
        <w:t> </w:t>
      </w:r>
      <w:r>
        <w:rPr>
          <w:color w:val="231F20"/>
          <w:w w:val="105"/>
        </w:rPr>
        <w:t>De</w:t>
      </w:r>
      <w:r>
        <w:rPr>
          <w:color w:val="231F20"/>
          <w:spacing w:val="-15"/>
          <w:w w:val="105"/>
        </w:rPr>
        <w:t> </w:t>
      </w:r>
      <w:r>
        <w:rPr>
          <w:color w:val="231F20"/>
          <w:spacing w:val="-3"/>
          <w:w w:val="105"/>
        </w:rPr>
        <w:t>acuerdo</w:t>
      </w:r>
      <w:r>
        <w:rPr>
          <w:color w:val="231F20"/>
          <w:spacing w:val="-15"/>
          <w:w w:val="105"/>
        </w:rPr>
        <w:t> </w:t>
      </w:r>
      <w:r>
        <w:rPr>
          <w:color w:val="231F20"/>
          <w:spacing w:val="-2"/>
          <w:w w:val="105"/>
        </w:rPr>
        <w:t>con</w:t>
      </w:r>
      <w:r>
        <w:rPr>
          <w:color w:val="231F20"/>
          <w:spacing w:val="-15"/>
          <w:w w:val="105"/>
        </w:rPr>
        <w:t> </w:t>
      </w:r>
      <w:r>
        <w:rPr>
          <w:color w:val="231F20"/>
          <w:w w:val="105"/>
        </w:rPr>
        <w:t>las</w:t>
      </w:r>
      <w:r>
        <w:rPr>
          <w:color w:val="231F20"/>
          <w:spacing w:val="-15"/>
          <w:w w:val="105"/>
        </w:rPr>
        <w:t> </w:t>
      </w:r>
      <w:r>
        <w:rPr>
          <w:color w:val="231F20"/>
          <w:w w:val="105"/>
        </w:rPr>
        <w:t>mismas</w:t>
      </w:r>
      <w:r>
        <w:rPr>
          <w:color w:val="231F20"/>
          <w:spacing w:val="-15"/>
          <w:w w:val="105"/>
        </w:rPr>
        <w:t> </w:t>
      </w:r>
      <w:r>
        <w:rPr>
          <w:color w:val="231F20"/>
          <w:w w:val="105"/>
        </w:rPr>
        <w:t>fuentes</w:t>
      </w:r>
      <w:r>
        <w:rPr>
          <w:color w:val="231F20"/>
          <w:spacing w:val="-15"/>
          <w:w w:val="105"/>
        </w:rPr>
        <w:t> </w:t>
      </w:r>
      <w:r>
        <w:rPr>
          <w:color w:val="231F20"/>
          <w:w w:val="105"/>
        </w:rPr>
        <w:t>del</w:t>
      </w:r>
      <w:r>
        <w:rPr>
          <w:color w:val="231F20"/>
          <w:spacing w:val="-15"/>
          <w:w w:val="105"/>
        </w:rPr>
        <w:t> </w:t>
      </w:r>
      <w:r>
        <w:rPr>
          <w:color w:val="231F20"/>
          <w:spacing w:val="-3"/>
          <w:w w:val="105"/>
        </w:rPr>
        <w:t>gobierno</w:t>
      </w:r>
      <w:r>
        <w:rPr>
          <w:color w:val="231F20"/>
          <w:spacing w:val="-15"/>
          <w:w w:val="105"/>
        </w:rPr>
        <w:t> </w:t>
      </w:r>
      <w:r>
        <w:rPr>
          <w:color w:val="231F20"/>
          <w:w w:val="105"/>
        </w:rPr>
        <w:t>municipal</w:t>
      </w:r>
      <w:r>
        <w:rPr>
          <w:color w:val="231F20"/>
          <w:spacing w:val="-15"/>
          <w:w w:val="105"/>
        </w:rPr>
        <w:t> </w:t>
      </w:r>
      <w:r>
        <w:rPr>
          <w:color w:val="231F20"/>
          <w:spacing w:val="-3"/>
          <w:w w:val="105"/>
        </w:rPr>
        <w:t>los polos</w:t>
      </w:r>
      <w:r>
        <w:rPr>
          <w:color w:val="231F20"/>
          <w:spacing w:val="-24"/>
          <w:w w:val="105"/>
        </w:rPr>
        <w:t> </w:t>
      </w:r>
      <w:r>
        <w:rPr>
          <w:color w:val="231F20"/>
          <w:w w:val="105"/>
        </w:rPr>
        <w:t>de</w:t>
      </w:r>
      <w:r>
        <w:rPr>
          <w:color w:val="231F20"/>
          <w:spacing w:val="-24"/>
          <w:w w:val="105"/>
        </w:rPr>
        <w:t> </w:t>
      </w:r>
      <w:r>
        <w:rPr>
          <w:color w:val="231F20"/>
          <w:w w:val="105"/>
        </w:rPr>
        <w:t>desarrollo</w:t>
      </w:r>
      <w:r>
        <w:rPr>
          <w:color w:val="231F20"/>
          <w:spacing w:val="-24"/>
          <w:w w:val="105"/>
        </w:rPr>
        <w:t> </w:t>
      </w:r>
      <w:r>
        <w:rPr>
          <w:color w:val="231F20"/>
          <w:w w:val="105"/>
        </w:rPr>
        <w:t>son</w:t>
      </w:r>
      <w:r>
        <w:rPr>
          <w:color w:val="231F20"/>
          <w:spacing w:val="-24"/>
          <w:w w:val="105"/>
        </w:rPr>
        <w:t> </w:t>
      </w:r>
      <w:r>
        <w:rPr>
          <w:color w:val="231F20"/>
          <w:spacing w:val="-3"/>
          <w:w w:val="105"/>
        </w:rPr>
        <w:t>nueve:</w:t>
      </w:r>
      <w:r>
        <w:rPr>
          <w:color w:val="231F20"/>
          <w:spacing w:val="-24"/>
          <w:w w:val="105"/>
        </w:rPr>
        <w:t> </w:t>
      </w:r>
      <w:r>
        <w:rPr>
          <w:color w:val="231F20"/>
          <w:w w:val="105"/>
        </w:rPr>
        <w:t>la</w:t>
      </w:r>
      <w:r>
        <w:rPr>
          <w:color w:val="231F20"/>
          <w:spacing w:val="-24"/>
          <w:w w:val="105"/>
        </w:rPr>
        <w:t> </w:t>
      </w:r>
      <w:r>
        <w:rPr>
          <w:color w:val="231F20"/>
          <w:w w:val="105"/>
        </w:rPr>
        <w:t>cabecera</w:t>
      </w:r>
      <w:r>
        <w:rPr>
          <w:color w:val="231F20"/>
          <w:spacing w:val="-24"/>
          <w:w w:val="105"/>
        </w:rPr>
        <w:t> </w:t>
      </w:r>
      <w:r>
        <w:rPr>
          <w:color w:val="231F20"/>
          <w:w w:val="105"/>
        </w:rPr>
        <w:t>municipal,</w:t>
      </w:r>
      <w:r>
        <w:rPr>
          <w:color w:val="231F20"/>
          <w:spacing w:val="-24"/>
          <w:w w:val="105"/>
        </w:rPr>
        <w:t> </w:t>
      </w:r>
      <w:r>
        <w:rPr>
          <w:color w:val="231F20"/>
          <w:w w:val="105"/>
        </w:rPr>
        <w:t>la</w:t>
      </w:r>
      <w:r>
        <w:rPr>
          <w:color w:val="231F20"/>
          <w:spacing w:val="-24"/>
          <w:w w:val="105"/>
        </w:rPr>
        <w:t> </w:t>
      </w:r>
      <w:r>
        <w:rPr>
          <w:color w:val="231F20"/>
          <w:w w:val="105"/>
        </w:rPr>
        <w:t>zona</w:t>
      </w:r>
      <w:r>
        <w:rPr>
          <w:color w:val="231F20"/>
          <w:spacing w:val="-24"/>
          <w:w w:val="105"/>
        </w:rPr>
        <w:t> </w:t>
      </w:r>
      <w:r>
        <w:rPr>
          <w:color w:val="231F20"/>
          <w:w w:val="105"/>
        </w:rPr>
        <w:t>del</w:t>
      </w:r>
      <w:r>
        <w:rPr>
          <w:color w:val="231F20"/>
          <w:spacing w:val="-24"/>
          <w:w w:val="105"/>
        </w:rPr>
        <w:t> </w:t>
      </w:r>
      <w:r>
        <w:rPr>
          <w:color w:val="231F20"/>
          <w:spacing w:val="-7"/>
          <w:w w:val="105"/>
        </w:rPr>
        <w:t>Toreo</w:t>
      </w:r>
      <w:r>
        <w:rPr>
          <w:color w:val="231F20"/>
          <w:spacing w:val="-24"/>
          <w:w w:val="105"/>
        </w:rPr>
        <w:t> </w:t>
      </w:r>
      <w:r>
        <w:rPr>
          <w:color w:val="231F20"/>
          <w:w w:val="105"/>
        </w:rPr>
        <w:t>(hoy</w:t>
      </w:r>
      <w:r>
        <w:rPr>
          <w:color w:val="231F20"/>
          <w:spacing w:val="-24"/>
          <w:w w:val="105"/>
        </w:rPr>
        <w:t> </w:t>
      </w:r>
      <w:r>
        <w:rPr>
          <w:color w:val="231F20"/>
          <w:w w:val="105"/>
        </w:rPr>
        <w:t>ya</w:t>
      </w:r>
      <w:r>
        <w:rPr>
          <w:color w:val="231F20"/>
          <w:spacing w:val="-24"/>
          <w:w w:val="105"/>
        </w:rPr>
        <w:t> </w:t>
      </w:r>
      <w:r>
        <w:rPr>
          <w:color w:val="231F20"/>
          <w:w w:val="105"/>
        </w:rPr>
        <w:t>desapare- </w:t>
      </w:r>
      <w:r>
        <w:rPr>
          <w:color w:val="231F20"/>
          <w:spacing w:val="-5"/>
          <w:w w:val="105"/>
        </w:rPr>
        <w:t>cido),</w:t>
      </w:r>
      <w:r>
        <w:rPr>
          <w:color w:val="231F20"/>
          <w:spacing w:val="-21"/>
          <w:w w:val="105"/>
        </w:rPr>
        <w:t> </w:t>
      </w:r>
      <w:r>
        <w:rPr>
          <w:color w:val="231F20"/>
          <w:w w:val="105"/>
        </w:rPr>
        <w:t>el</w:t>
      </w:r>
      <w:r>
        <w:rPr>
          <w:color w:val="231F20"/>
          <w:spacing w:val="-21"/>
          <w:w w:val="105"/>
        </w:rPr>
        <w:t> </w:t>
      </w:r>
      <w:r>
        <w:rPr>
          <w:color w:val="231F20"/>
          <w:w w:val="105"/>
        </w:rPr>
        <w:t>Centro</w:t>
      </w:r>
      <w:r>
        <w:rPr>
          <w:color w:val="231F20"/>
          <w:spacing w:val="-21"/>
          <w:w w:val="105"/>
        </w:rPr>
        <w:t> </w:t>
      </w:r>
      <w:r>
        <w:rPr>
          <w:color w:val="231F20"/>
          <w:w w:val="105"/>
        </w:rPr>
        <w:t>Comercial</w:t>
      </w:r>
      <w:r>
        <w:rPr>
          <w:color w:val="231F20"/>
          <w:spacing w:val="-21"/>
          <w:w w:val="105"/>
        </w:rPr>
        <w:t> </w:t>
      </w:r>
      <w:r>
        <w:rPr>
          <w:color w:val="231F20"/>
          <w:w w:val="105"/>
        </w:rPr>
        <w:t>Plaza</w:t>
      </w:r>
      <w:r>
        <w:rPr>
          <w:color w:val="231F20"/>
          <w:spacing w:val="-21"/>
          <w:w w:val="105"/>
        </w:rPr>
        <w:t> </w:t>
      </w:r>
      <w:r>
        <w:rPr>
          <w:color w:val="231F20"/>
          <w:w w:val="105"/>
        </w:rPr>
        <w:t>Satélite</w:t>
      </w:r>
      <w:r>
        <w:rPr>
          <w:color w:val="231F20"/>
          <w:spacing w:val="-21"/>
          <w:w w:val="105"/>
        </w:rPr>
        <w:t> </w:t>
      </w:r>
      <w:r>
        <w:rPr>
          <w:color w:val="231F20"/>
          <w:w w:val="105"/>
        </w:rPr>
        <w:t>y</w:t>
      </w:r>
      <w:r>
        <w:rPr>
          <w:color w:val="231F20"/>
          <w:spacing w:val="-21"/>
          <w:w w:val="105"/>
        </w:rPr>
        <w:t> </w:t>
      </w:r>
      <w:r>
        <w:rPr>
          <w:color w:val="231F20"/>
          <w:spacing w:val="-2"/>
          <w:w w:val="105"/>
        </w:rPr>
        <w:t>los</w:t>
      </w:r>
      <w:r>
        <w:rPr>
          <w:color w:val="231F20"/>
          <w:spacing w:val="-21"/>
          <w:w w:val="105"/>
        </w:rPr>
        <w:t> </w:t>
      </w:r>
      <w:r>
        <w:rPr>
          <w:color w:val="231F20"/>
          <w:w w:val="105"/>
        </w:rPr>
        <w:t>seis</w:t>
      </w:r>
      <w:r>
        <w:rPr>
          <w:color w:val="231F20"/>
          <w:spacing w:val="-21"/>
          <w:w w:val="105"/>
        </w:rPr>
        <w:t> </w:t>
      </w:r>
      <w:r>
        <w:rPr>
          <w:color w:val="231F20"/>
          <w:w w:val="105"/>
        </w:rPr>
        <w:t>parques</w:t>
      </w:r>
      <w:r>
        <w:rPr>
          <w:color w:val="231F20"/>
          <w:spacing w:val="-21"/>
          <w:w w:val="105"/>
        </w:rPr>
        <w:t> </w:t>
      </w:r>
      <w:r>
        <w:rPr>
          <w:color w:val="231F20"/>
          <w:w w:val="105"/>
        </w:rPr>
        <w:t>industriales</w:t>
      </w:r>
      <w:r>
        <w:rPr>
          <w:color w:val="231F20"/>
          <w:spacing w:val="-21"/>
          <w:w w:val="105"/>
        </w:rPr>
        <w:t> </w:t>
      </w:r>
      <w:r>
        <w:rPr>
          <w:color w:val="231F20"/>
          <w:spacing w:val="-2"/>
          <w:w w:val="105"/>
        </w:rPr>
        <w:t>con</w:t>
      </w:r>
      <w:r>
        <w:rPr>
          <w:color w:val="231F20"/>
          <w:spacing w:val="-21"/>
          <w:w w:val="105"/>
        </w:rPr>
        <w:t> </w:t>
      </w:r>
      <w:r>
        <w:rPr>
          <w:color w:val="231F20"/>
          <w:w w:val="105"/>
        </w:rPr>
        <w:t>que</w:t>
      </w:r>
      <w:r>
        <w:rPr>
          <w:color w:val="231F20"/>
          <w:spacing w:val="-21"/>
          <w:w w:val="105"/>
        </w:rPr>
        <w:t> </w:t>
      </w:r>
      <w:r>
        <w:rPr>
          <w:color w:val="231F20"/>
          <w:w w:val="105"/>
        </w:rPr>
        <w:t>cuenta.</w:t>
      </w:r>
    </w:p>
    <w:p>
      <w:pPr>
        <w:pStyle w:val="BodyText"/>
        <w:spacing w:before="1"/>
        <w:rPr>
          <w:sz w:val="26"/>
        </w:rPr>
      </w:pPr>
    </w:p>
    <w:p>
      <w:pPr>
        <w:pStyle w:val="BodyText"/>
        <w:spacing w:line="285" w:lineRule="auto"/>
        <w:ind w:left="110" w:right="107"/>
        <w:jc w:val="both"/>
      </w:pPr>
      <w:r>
        <w:rPr>
          <w:color w:val="231F20"/>
        </w:rPr>
        <w:t>El municipio fue denominado como “Naucalpan de Juárez” por decisión de la Legisla- </w:t>
      </w:r>
      <w:r>
        <w:rPr>
          <w:color w:val="231F20"/>
          <w:spacing w:val="2"/>
        </w:rPr>
        <w:t>tura </w:t>
      </w:r>
      <w:r>
        <w:rPr>
          <w:color w:val="231F20"/>
        </w:rPr>
        <w:t>del Estado de México en </w:t>
      </w:r>
      <w:r>
        <w:rPr>
          <w:color w:val="231F20"/>
          <w:spacing w:val="-3"/>
        </w:rPr>
        <w:t>1976. </w:t>
      </w:r>
      <w:r>
        <w:rPr>
          <w:color w:val="231F20"/>
        </w:rPr>
        <w:t>De acuerdo con la Enciclopedia de Municipios de México (2005), Naucalpan “está ubicado en el Valle de México en la parte meridional      y pertenece a la región II Zumpango, </w:t>
      </w:r>
      <w:r>
        <w:rPr>
          <w:color w:val="231F20"/>
          <w:spacing w:val="2"/>
        </w:rPr>
        <w:t>al </w:t>
      </w:r>
      <w:r>
        <w:rPr>
          <w:color w:val="231F20"/>
        </w:rPr>
        <w:t>noroeste del </w:t>
      </w:r>
      <w:r>
        <w:rPr>
          <w:color w:val="231F20"/>
          <w:spacing w:val="-6"/>
        </w:rPr>
        <w:t>D.F.,  </w:t>
      </w:r>
      <w:r>
        <w:rPr>
          <w:color w:val="231F20"/>
        </w:rPr>
        <w:t>limita </w:t>
      </w:r>
      <w:r>
        <w:rPr>
          <w:color w:val="231F20"/>
          <w:spacing w:val="2"/>
        </w:rPr>
        <w:t>al </w:t>
      </w:r>
      <w:r>
        <w:rPr>
          <w:color w:val="231F20"/>
        </w:rPr>
        <w:t>norte con Atizapán   de Zaragoza, Tlalnepantla de Baz y Jilotzingo; </w:t>
      </w:r>
      <w:r>
        <w:rPr>
          <w:color w:val="231F20"/>
          <w:spacing w:val="2"/>
        </w:rPr>
        <w:t>al </w:t>
      </w:r>
      <w:r>
        <w:rPr>
          <w:color w:val="231F20"/>
        </w:rPr>
        <w:t>sur con Huixquilucan; </w:t>
      </w:r>
      <w:r>
        <w:rPr>
          <w:color w:val="231F20"/>
          <w:spacing w:val="2"/>
        </w:rPr>
        <w:t>al </w:t>
      </w:r>
      <w:r>
        <w:rPr>
          <w:color w:val="231F20"/>
        </w:rPr>
        <w:t>este y sureste con el Distrito Federal; </w:t>
      </w:r>
      <w:r>
        <w:rPr>
          <w:color w:val="231F20"/>
          <w:spacing w:val="2"/>
        </w:rPr>
        <w:t>al </w:t>
      </w:r>
      <w:r>
        <w:rPr>
          <w:color w:val="231F20"/>
        </w:rPr>
        <w:t>oeste nuevamente con Jilotzingo, y </w:t>
      </w:r>
      <w:r>
        <w:rPr>
          <w:color w:val="231F20"/>
          <w:spacing w:val="2"/>
        </w:rPr>
        <w:t>al </w:t>
      </w:r>
      <w:r>
        <w:rPr>
          <w:color w:val="231F20"/>
        </w:rPr>
        <w:t>suroeste con los munici- pios de Otzolotepec, Xonacatlán y Lerma, </w:t>
      </w:r>
      <w:r>
        <w:rPr>
          <w:color w:val="231F20"/>
          <w:spacing w:val="-6"/>
        </w:rPr>
        <w:t>(y)… </w:t>
      </w:r>
      <w:r>
        <w:rPr>
          <w:color w:val="231F20"/>
        </w:rPr>
        <w:t>tiene una extensión territorial de </w:t>
      </w:r>
      <w:r>
        <w:rPr>
          <w:color w:val="231F20"/>
          <w:spacing w:val="-4"/>
        </w:rPr>
        <w:t>149.86 </w:t>
      </w:r>
      <w:r>
        <w:rPr>
          <w:color w:val="231F20"/>
        </w:rPr>
        <w:t>kilómetros cuadrados”. (Enciclopedia,</w:t>
      </w:r>
      <w:r>
        <w:rPr>
          <w:color w:val="231F20"/>
          <w:spacing w:val="45"/>
        </w:rPr>
        <w:t> </w:t>
      </w:r>
      <w:r>
        <w:rPr>
          <w:color w:val="231F20"/>
        </w:rPr>
        <w:t>2005).</w:t>
      </w:r>
    </w:p>
    <w:p>
      <w:pPr>
        <w:pStyle w:val="BodyText"/>
        <w:spacing w:before="1"/>
        <w:rPr>
          <w:sz w:val="26"/>
        </w:rPr>
      </w:pPr>
    </w:p>
    <w:p>
      <w:pPr>
        <w:pStyle w:val="BodyText"/>
        <w:spacing w:line="285" w:lineRule="auto"/>
        <w:ind w:left="110" w:right="108"/>
        <w:jc w:val="both"/>
      </w:pPr>
      <w:r>
        <w:rPr>
          <w:color w:val="231F20"/>
          <w:w w:val="105"/>
        </w:rPr>
        <w:t>Es</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municipios</w:t>
      </w:r>
      <w:r>
        <w:rPr>
          <w:color w:val="231F20"/>
          <w:spacing w:val="-13"/>
          <w:w w:val="105"/>
        </w:rPr>
        <w:t> </w:t>
      </w:r>
      <w:r>
        <w:rPr>
          <w:color w:val="231F20"/>
          <w:w w:val="105"/>
        </w:rPr>
        <w:t>conurbados</w:t>
      </w:r>
      <w:r>
        <w:rPr>
          <w:color w:val="231F20"/>
          <w:spacing w:val="-13"/>
          <w:w w:val="105"/>
        </w:rPr>
        <w:t> </w:t>
      </w:r>
      <w:r>
        <w:rPr>
          <w:color w:val="231F20"/>
          <w:spacing w:val="2"/>
          <w:w w:val="105"/>
        </w:rPr>
        <w:t>al</w:t>
      </w:r>
      <w:r>
        <w:rPr>
          <w:color w:val="231F20"/>
          <w:spacing w:val="-13"/>
          <w:w w:val="105"/>
        </w:rPr>
        <w:t> </w:t>
      </w:r>
      <w:r>
        <w:rPr>
          <w:color w:val="231F20"/>
          <w:w w:val="105"/>
        </w:rPr>
        <w:t>norte</w:t>
      </w:r>
      <w:r>
        <w:rPr>
          <w:color w:val="231F20"/>
          <w:spacing w:val="-13"/>
          <w:w w:val="105"/>
        </w:rPr>
        <w:t> </w:t>
      </w:r>
      <w:r>
        <w:rPr>
          <w:color w:val="231F20"/>
          <w:w w:val="105"/>
        </w:rPr>
        <w:t>del</w:t>
      </w:r>
      <w:r>
        <w:rPr>
          <w:color w:val="231F20"/>
          <w:spacing w:val="-13"/>
          <w:w w:val="105"/>
        </w:rPr>
        <w:t> </w:t>
      </w:r>
      <w:r>
        <w:rPr>
          <w:color w:val="231F20"/>
          <w:spacing w:val="-7"/>
          <w:w w:val="105"/>
        </w:rPr>
        <w:t>DF.</w:t>
      </w:r>
      <w:r>
        <w:rPr>
          <w:color w:val="231F20"/>
          <w:spacing w:val="-13"/>
          <w:w w:val="105"/>
        </w:rPr>
        <w:t> </w:t>
      </w:r>
      <w:r>
        <w:rPr>
          <w:color w:val="231F20"/>
          <w:w w:val="105"/>
        </w:rPr>
        <w:t>Es</w:t>
      </w:r>
      <w:r>
        <w:rPr>
          <w:color w:val="231F20"/>
          <w:spacing w:val="-13"/>
          <w:w w:val="105"/>
        </w:rPr>
        <w:t> </w:t>
      </w:r>
      <w:r>
        <w:rPr>
          <w:color w:val="231F20"/>
          <w:w w:val="105"/>
        </w:rPr>
        <w:t>paso</w:t>
      </w:r>
      <w:r>
        <w:rPr>
          <w:color w:val="231F20"/>
          <w:spacing w:val="-13"/>
          <w:w w:val="105"/>
        </w:rPr>
        <w:t> </w:t>
      </w:r>
      <w:r>
        <w:rPr>
          <w:color w:val="231F20"/>
          <w:w w:val="105"/>
        </w:rPr>
        <w:t>obligado</w:t>
      </w:r>
      <w:r>
        <w:rPr>
          <w:color w:val="231F20"/>
          <w:spacing w:val="-13"/>
          <w:w w:val="105"/>
        </w:rPr>
        <w:t> </w:t>
      </w:r>
      <w:r>
        <w:rPr>
          <w:color w:val="231F20"/>
          <w:w w:val="105"/>
        </w:rPr>
        <w:t>para</w:t>
      </w:r>
      <w:r>
        <w:rPr>
          <w:color w:val="231F20"/>
          <w:spacing w:val="-13"/>
          <w:w w:val="105"/>
        </w:rPr>
        <w:t> </w:t>
      </w:r>
      <w:r>
        <w:rPr>
          <w:color w:val="231F20"/>
          <w:w w:val="105"/>
        </w:rPr>
        <w:t>viajar</w:t>
      </w:r>
      <w:r>
        <w:rPr>
          <w:color w:val="231F20"/>
          <w:spacing w:val="-13"/>
          <w:w w:val="105"/>
        </w:rPr>
        <w:t> </w:t>
      </w:r>
      <w:r>
        <w:rPr>
          <w:color w:val="231F20"/>
          <w:w w:val="105"/>
        </w:rPr>
        <w:t>de</w:t>
      </w:r>
      <w:r>
        <w:rPr>
          <w:color w:val="231F20"/>
          <w:spacing w:val="-13"/>
          <w:w w:val="105"/>
        </w:rPr>
        <w:t> </w:t>
      </w:r>
      <w:r>
        <w:rPr>
          <w:color w:val="231F20"/>
          <w:w w:val="105"/>
        </w:rPr>
        <w:t>la ciudad</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estados</w:t>
      </w:r>
      <w:r>
        <w:rPr>
          <w:color w:val="231F20"/>
          <w:spacing w:val="-18"/>
          <w:w w:val="105"/>
        </w:rPr>
        <w:t> </w:t>
      </w:r>
      <w:r>
        <w:rPr>
          <w:color w:val="231F20"/>
          <w:w w:val="105"/>
        </w:rPr>
        <w:t>del</w:t>
      </w:r>
      <w:r>
        <w:rPr>
          <w:color w:val="231F20"/>
          <w:spacing w:val="-18"/>
          <w:w w:val="105"/>
        </w:rPr>
        <w:t> </w:t>
      </w:r>
      <w:r>
        <w:rPr>
          <w:color w:val="231F20"/>
          <w:w w:val="105"/>
        </w:rPr>
        <w:t>norte</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República.</w:t>
      </w:r>
    </w:p>
    <w:p>
      <w:pPr>
        <w:spacing w:after="0" w:line="285" w:lineRule="auto"/>
        <w:jc w:val="both"/>
        <w:sectPr>
          <w:pgSz w:w="9640" w:h="12190"/>
          <w:pgMar w:header="0" w:footer="743" w:top="1120" w:bottom="940" w:left="740" w:right="740"/>
        </w:sectPr>
      </w:pPr>
    </w:p>
    <w:p>
      <w:pPr>
        <w:pStyle w:val="Heading5"/>
        <w:spacing w:before="27"/>
        <w:ind w:left="578" w:right="-2"/>
      </w:pPr>
      <w:r>
        <w:rPr/>
        <w:pict>
          <v:group style="position:absolute;margin-left:100.915009pt;margin-top:18.544418pt;width:279.150pt;height:240pt;mso-position-horizontal-relative:page;mso-position-vertical-relative:paragraph;z-index:10192;mso-wrap-distance-left:0;mso-wrap-distance-right:0" coordorigin="2018,371" coordsize="5583,4800">
            <v:shape style="position:absolute;left:2018;top:371;width:5553;height:4800" type="#_x0000_t75" stroked="false">
              <v:imagedata r:id="rId633" o:title=""/>
            </v:shape>
            <v:shape style="position:absolute;left:3017;top:3691;width:540;height:115" type="#_x0000_t75" stroked="false">
              <v:imagedata r:id="rId634" o:title=""/>
            </v:shape>
            <v:shape style="position:absolute;left:4570;top:3166;width:208;height:118" type="#_x0000_t75" stroked="false">
              <v:imagedata r:id="rId635" o:title=""/>
            </v:shape>
            <v:shape style="position:absolute;left:4805;top:3158;width:366;height:132" type="#_x0000_t75" stroked="false">
              <v:imagedata r:id="rId636" o:title=""/>
            </v:shape>
            <v:shape style="position:absolute;left:5198;top:3158;width:561;height:131" type="#_x0000_t75" stroked="false">
              <v:imagedata r:id="rId637" o:title=""/>
            </v:shape>
            <v:shape style="position:absolute;left:3873;top:1705;width:67;height:119" coordorigin="3873,1705" coordsize="67,119" path="m3888,1783l3873,1783,3873,1804,3876,1812,3888,1821,3896,1824,3919,1824,3930,1819,3934,1811,3899,1811,3895,1809,3889,1803,3888,1799,3888,1783xm3939,1705l3924,1705,3924,1792,3923,1799,3919,1808,3913,1811,3934,1811,3938,1804,3939,1796,3939,1705xe" filled="true" fillcolor="#231f20" stroked="false">
              <v:path arrowok="t"/>
              <v:fill type="solid"/>
            </v:shape>
            <v:line style="position:absolute" from="3974,1705" to="3974,1821" stroked="true" strokeweight=".788pt" strokecolor="#231f20"/>
            <v:shape style="position:absolute;left:4008;top:1705;width:74;height:116" coordorigin="4008,1705" coordsize="74,116" path="m4023,1705l4008,1705,4008,1821,4081,1821,4081,1807,4023,1807,4023,1705xe" filled="true" fillcolor="#231f20" stroked="false">
              <v:path arrowok="t"/>
              <v:fill type="solid"/>
            </v:shape>
            <v:shape style="position:absolute;left:4091;top:1702;width:113;height:122" coordorigin="4091,1702" coordsize="113,122" path="m4147,1702l4133,1704,4121,1708,4111,1714,4103,1724,4098,1732,4094,1742,4092,1752,4091,1764,4092,1776,4094,1787,4099,1797,4105,1806,4113,1814,4123,1820,4134,1823,4146,1824,4160,1823,4172,1819,4182,1813,4184,1810,4134,1810,4123,1806,4110,1788,4107,1777,4107,1749,4111,1737,4126,1720,4136,1716,4186,1716,4184,1713,4173,1707,4161,1703,4147,1702xm4186,1716l4160,1716,4170,1720,4184,1737,4187,1748,4187,1774,4184,1786,4172,1805,4162,1810,4184,1810,4190,1804,4196,1795,4200,1785,4203,1773,4203,1761,4203,1750,4201,1739,4197,1730,4192,1722,4186,1716xe" filled="true" fillcolor="#231f20" stroked="false">
              <v:path arrowok="t"/>
              <v:fill type="solid"/>
            </v:shape>
            <v:shape style="position:absolute;left:4212;top:1705;width:94;height:116" coordorigin="4212,1705" coordsize="94,116" path="m4267,1719l4251,1719,4251,1821,4267,1821,4267,1719xm4306,1705l4212,1705,4212,1719,4306,1719,4306,1705xe" filled="true" fillcolor="#231f20" stroked="false">
              <v:path arrowok="t"/>
              <v:fill type="solid"/>
            </v:shape>
            <v:shape style="position:absolute;left:4312;top:1705;width:92;height:116" coordorigin="4312,1705" coordsize="92,116" path="m4403,1705l4317,1705,4317,1719,4383,1719,4312,1808,4312,1821,4403,1821,4403,1807,4331,1807,4403,1719,4403,1705xe" filled="true" fillcolor="#231f20" stroked="false">
              <v:path arrowok="t"/>
              <v:fill type="solid"/>
            </v:shape>
            <v:line style="position:absolute" from="4430,1705" to="4430,1821" stroked="true" strokeweight=".788pt" strokecolor="#231f20"/>
            <v:shape style="position:absolute;left:4463;top:1705;width:91;height:116" coordorigin="4463,1705" coordsize="91,116" path="m4481,1705l4463,1705,4463,1821,4478,1821,4478,1728,4495,1728,4481,1705xm4495,1728l4478,1728,4536,1821,4554,1821,4554,1799,4539,1799,4495,1728xm4554,1705l4539,1705,4539,1799,4554,1799,4554,1705xe" filled="true" fillcolor="#231f20" stroked="false">
              <v:path arrowok="t"/>
              <v:fill type="solid"/>
            </v:shape>
            <v:shape style="position:absolute;left:4575;top:1702;width:104;height:122" coordorigin="4575,1702" coordsize="104,122" path="m4639,1702l4628,1702,4617,1703,4607,1707,4598,1712,4590,1719,4583,1728,4579,1739,4576,1751,4575,1765,4576,1779,4579,1791,4584,1801,4591,1811,4600,1819,4612,1824,4636,1824,4644,1822,4651,1818,4655,1816,4660,1812,4661,1810,4615,1810,4605,1806,4594,1789,4591,1778,4591,1748,4594,1736,4609,1720,4617,1716,4668,1716,4667,1715,4648,1705,4639,1702xm4679,1806l4665,1806,4668,1821,4679,1821,4679,1806xm4679,1759l4628,1759,4628,1772,4664,1772,4664,1785,4660,1795,4647,1807,4639,1810,4661,1810,4665,1806,4679,1806,4679,1759xm4668,1716l4637,1716,4644,1718,4656,1726,4659,1732,4661,1740,4677,1740,4674,1725,4668,1716xe" filled="true" fillcolor="#231f20" stroked="false">
              <v:path arrowok="t"/>
              <v:fill type="solid"/>
            </v:shape>
            <v:shape style="position:absolute;left:4698;top:1702;width:113;height:122" coordorigin="4698,1702" coordsize="113,122" path="m4754,1702l4740,1704,4728,1708,4718,1714,4710,1724,4705,1732,4701,1742,4699,1752,4698,1764,4699,1776,4702,1787,4706,1797,4712,1806,4720,1814,4730,1820,4741,1823,4754,1824,4767,1823,4779,1819,4789,1813,4792,1810,4741,1810,4731,1806,4718,1788,4714,1777,4714,1749,4718,1737,4733,1720,4743,1716,4794,1716,4791,1713,4781,1707,4768,1703,4754,1702xm4794,1716l4767,1716,4777,1720,4791,1737,4795,1748,4795,1774,4792,1786,4779,1805,4769,1810,4792,1810,4798,1804,4803,1795,4807,1785,4810,1773,4811,1761,4810,1750,4808,1739,4804,1730,4799,1722,4794,1716xe" filled="true" fillcolor="#231f20" stroked="false">
              <v:path arrowok="t"/>
              <v:fill type="solid"/>
            </v:shape>
            <v:shape style="position:absolute;left:5380;top:848;width:759;height:155" type="#_x0000_t75" stroked="false">
              <v:imagedata r:id="rId638" o:title=""/>
            </v:shape>
            <v:shape style="position:absolute;left:5228;top:1073;width:202;height:115" type="#_x0000_t75" stroked="false">
              <v:imagedata r:id="rId639" o:title=""/>
            </v:shape>
            <v:shape style="position:absolute;left:5487;top:1073;width:92;height:116" coordorigin="5487,1073" coordsize="92,116" path="m5578,1073l5492,1073,5492,1087,5558,1087,5487,1175,5487,1188,5578,1188,5578,1174,5507,1174,5578,1086,5578,1073xe" filled="true" fillcolor="#231f20" stroked="false">
              <v:path arrowok="t"/>
              <v:fill type="solid"/>
            </v:shape>
            <v:shape style="position:absolute;left:5584;top:1073;width:103;height:116" coordorigin="5584,1073" coordsize="103,116" path="m5645,1073l5627,1073,5584,1188,5600,1188,5612,1154,5674,1154,5670,1141,5617,1141,5635,1090,5651,1090,5645,1073xm5674,1154l5658,1154,5670,1188,5687,1188,5674,1154xm5651,1090l5635,1090,5653,1141,5670,1141,5651,1090xe" filled="true" fillcolor="#231f20" stroked="false">
              <v:path arrowok="t"/>
              <v:fill type="solid"/>
            </v:shape>
            <v:shape style="position:absolute;left:5703;top:1073;width:95;height:116" coordorigin="5703,1073" coordsize="95,116" path="m5764,1073l5703,1073,5703,1188,5718,1188,5718,1139,5786,1139,5784,1136,5781,1133,5776,1131,5781,1129,5785,1126,5718,1126,5718,1086,5790,1086,5787,1082,5771,1074,5764,1073xm5786,1139l5759,1139,5764,1139,5767,1141,5772,1143,5774,1148,5776,1180,5776,1183,5777,1186,5777,1187,5778,1188,5797,1188,5797,1185,5794,1184,5793,1182,5792,1178,5791,1176,5791,1173,5790,1146,5789,1142,5786,1139xm5790,1086l5761,1086,5765,1087,5774,1092,5777,1097,5777,1113,5775,1118,5766,1124,5761,1126,5785,1126,5785,1125,5791,1116,5792,1111,5792,1091,5790,1086xe" filled="true" fillcolor="#231f20" stroked="false">
              <v:path arrowok="t"/>
              <v:fill type="solid"/>
            </v:shape>
            <v:shape style="position:absolute;left:5807;top:1073;width:103;height:116" coordorigin="5807,1073" coordsize="103,116" path="m5868,1073l5851,1073,5807,1188,5823,1188,5836,1154,5898,1154,5893,1141,5840,1141,5859,1090,5874,1090,5868,1073xm5898,1154l5881,1154,5893,1188,5910,1188,5898,1154xm5874,1090l5859,1090,5876,1141,5893,1141,5874,1090xe" filled="true" fillcolor="#231f20" stroked="false">
              <v:path arrowok="t"/>
              <v:fill type="solid"/>
            </v:shape>
            <v:shape style="position:absolute;left:5920;top:1070;width:104;height:122" coordorigin="5920,1070" coordsize="104,122" path="m5984,1070l5973,1070,5962,1071,5952,1074,5943,1079,5935,1086,5928,1095,5924,1106,5921,1118,5920,1132,5921,1146,5924,1158,5929,1169,5936,1178,5945,1187,5957,1191,5981,1191,5989,1189,6000,1183,6005,1179,6006,1178,5960,1178,5950,1173,5945,1165,5939,1156,5936,1145,5936,1115,5939,1104,5954,1088,5962,1084,6013,1084,6012,1082,5993,1072,5984,1070xm6024,1173l6010,1173,6013,1188,6024,1188,6024,1173xm6024,1126l5973,1126,5973,1139,6009,1139,6009,1153,6005,1163,5992,1175,5984,1178,6006,1178,6010,1173,6024,1173,6024,1126xm6013,1084l5982,1084,5989,1085,6001,1093,6004,1099,6006,1108,6022,1108,6019,1093,6013,1084xe" filled="true" fillcolor="#231f20" stroked="false">
              <v:path arrowok="t"/>
              <v:fill type="solid"/>
            </v:shape>
            <v:shape style="position:absolute;left:6043;top:1070;width:113;height:122" coordorigin="6043,1070" coordsize="113,122" path="m6099,1070l6085,1071,6073,1075,6063,1082,6055,1091,6050,1100,6046,1109,6044,1120,6043,1131,6044,1143,6047,1155,6051,1165,6057,1174,6065,1182,6075,1187,6086,1190,6099,1191,6112,1190,6124,1186,6134,1180,6137,1178,6086,1178,6076,1173,6063,1156,6059,1145,6059,1116,6063,1104,6078,1088,6088,1084,6139,1084,6136,1081,6126,1075,6113,1071,6099,1070xm6139,1084l6112,1084,6122,1088,6136,1104,6140,1115,6140,1142,6137,1153,6124,1173,6114,1178,6137,1178,6143,1171,6148,1162,6152,1152,6155,1141,6156,1128,6155,1117,6153,1107,6149,1097,6144,1089,6139,1084xe" filled="true" fillcolor="#231f20" stroked="false">
              <v:path arrowok="t"/>
              <v:fill type="solid"/>
            </v:shape>
            <v:shape style="position:absolute;left:6166;top:1073;width:92;height:116" coordorigin="6166,1073" coordsize="92,116" path="m6257,1073l6171,1073,6171,1087,6237,1087,6166,1175,6166,1188,6257,1188,6257,1174,6185,1174,6257,1086,6257,1073xe" filled="true" fillcolor="#231f20" stroked="false">
              <v:path arrowok="t"/>
              <v:fill type="solid"/>
            </v:shape>
            <v:shape style="position:absolute;left:6263;top:1073;width:103;height:116" coordorigin="6263,1073" coordsize="103,116" path="m6324,1073l6306,1073,6263,1188,6279,1188,6291,1154,6353,1154,6348,1141,6296,1141,6314,1090,6330,1090,6324,1073xm6353,1154l6336,1154,6348,1188,6366,1188,6353,1154xm6330,1090l6314,1090,6332,1141,6348,1141,6330,1090xe" filled="true" fillcolor="#231f20" stroked="false">
              <v:path arrowok="t"/>
              <v:fill type="solid"/>
            </v:shape>
            <v:shape style="position:absolute;left:5054;top:2212;width:91;height:116" coordorigin="5054,2212" coordsize="91,116" path="m5072,2212l5054,2212,5054,2328,5069,2328,5069,2235,5086,2235,5072,2212xm5086,2235l5069,2235,5127,2328,5145,2328,5145,2305,5130,2305,5086,2235xm5145,2212l5130,2212,5130,2305,5145,2305,5145,2212xe" filled="true" fillcolor="#ffffff" stroked="false">
              <v:path arrowok="t"/>
              <v:fill type="solid"/>
            </v:shape>
            <v:shape style="position:absolute;left:5160;top:2212;width:103;height:116" coordorigin="5160,2212" coordsize="103,116" path="m5221,2212l5204,2212,5160,2328,5176,2328,5189,2293,5251,2293,5246,2280,5193,2280,5212,2229,5228,2229,5221,2212xm5251,2293l5234,2293,5246,2328,5263,2328,5251,2293xm5228,2229l5212,2229,5230,2280,5246,2280,5228,2229xe" filled="true" fillcolor="#ffffff" stroked="false">
              <v:path arrowok="t"/>
              <v:fill type="solid"/>
            </v:shape>
            <v:shape style="position:absolute;left:5278;top:2212;width:92;height:119" coordorigin="5278,2212" coordsize="92,119" path="m5294,2212l5278,2212,5279,2292,5280,2302,5284,2310,5291,2319,5299,2325,5310,2329,5324,2331,5337,2329,5349,2325,5357,2319,5359,2317,5312,2317,5304,2313,5299,2304,5296,2299,5294,2292,5294,2212xm5370,2212l5354,2212,5354,2292,5352,2298,5345,2312,5336,2317,5359,2317,5364,2310,5368,2302,5369,2292,5370,2212xe" filled="true" fillcolor="#ffffff" stroked="false">
              <v:path arrowok="t"/>
              <v:fill type="solid"/>
            </v:shape>
            <v:shape style="position:absolute;left:5388;top:2209;width:102;height:122" coordorigin="5388,2209" coordsize="102,122" path="m5456,2209l5441,2209,5429,2210,5419,2214,5409,2219,5402,2227,5396,2236,5392,2246,5389,2257,5388,2269,5389,2284,5393,2298,5398,2309,5406,2318,5415,2327,5426,2331,5455,2331,5467,2326,5475,2317,5429,2317,5420,2313,5407,2296,5404,2285,5404,2255,5408,2243,5421,2227,5430,2223,5477,2223,5467,2213,5456,2209xm5489,2285l5474,2285,5473,2293,5470,2299,5461,2312,5453,2317,5475,2317,5484,2308,5488,2297,5489,2285xm5477,2223l5451,2223,5458,2225,5468,2234,5471,2239,5473,2247,5488,2247,5487,2237,5483,2228,5477,2223xe" filled="true" fillcolor="#ffffff" stroked="false">
              <v:path arrowok="t"/>
              <v:fill type="solid"/>
            </v:shape>
            <v:shape style="position:absolute;left:5500;top:2212;width:103;height:116" coordorigin="5500,2212" coordsize="103,116" path="m5561,2212l5543,2212,5500,2328,5516,2328,5528,2293,5590,2293,5585,2280,5533,2280,5551,2229,5567,2229,5561,2212xm5590,2293l5573,2293,5586,2328,5603,2328,5590,2293xm5567,2229l5551,2229,5569,2280,5585,2280,5567,2229xe" filled="true" fillcolor="#ffffff" stroked="false">
              <v:path arrowok="t"/>
              <v:fill type="solid"/>
            </v:shape>
            <v:shape style="position:absolute;left:5617;top:2212;width:74;height:116" coordorigin="5617,2212" coordsize="74,116" path="m5632,2212l5617,2212,5617,2328,5690,2328,5690,2314,5632,2314,5632,2212xe" filled="true" fillcolor="#ffffff" stroked="false">
              <v:path arrowok="t"/>
              <v:fill type="solid"/>
            </v:shape>
            <v:shape style="position:absolute;left:5708;top:2212;width:86;height:116" coordorigin="5708,2212" coordsize="86,116" path="m5769,2212l5708,2212,5708,2328,5723,2328,5723,2279,5771,2279,5779,2276,5788,2266,5723,2266,5723,2226,5789,2226,5778,2215,5769,2212xm5789,2226l5760,2226,5765,2227,5768,2228,5774,2231,5778,2237,5778,2253,5775,2258,5767,2264,5761,2266,5788,2266,5791,2262,5793,2254,5793,2235,5790,2227,5789,2226xe" filled="true" fillcolor="#ffffff" stroked="false">
              <v:path arrowok="t"/>
              <v:fill type="solid"/>
            </v:shape>
            <v:shape style="position:absolute;left:5792;top:2212;width:103;height:116" coordorigin="5792,2212" coordsize="103,116" path="m5853,2212l5835,2212,5792,2328,5808,2328,5820,2293,5882,2293,5877,2280,5825,2280,5843,2229,5859,2229,5853,2212xm5882,2293l5865,2293,5878,2328,5895,2328,5882,2293xm5859,2229l5843,2229,5861,2280,5877,2280,5859,2229xe" filled="true" fillcolor="#ffffff" stroked="false">
              <v:path arrowok="t"/>
              <v:fill type="solid"/>
            </v:shape>
            <v:shape style="position:absolute;left:5909;top:2212;width:91;height:116" coordorigin="5909,2212" coordsize="91,116" path="m5927,2212l5909,2212,5909,2328,5924,2328,5924,2235,5941,2235,5927,2212xm5941,2235l5924,2235,5982,2328,5999,2328,5999,2305,5985,2305,5941,2235xm5999,2212l5985,2212,5985,2305,5999,2305,5999,2212xe" filled="true" fillcolor="#ffffff" stroked="false">
              <v:path arrowok="t"/>
              <v:fill type="solid"/>
            </v:shape>
            <v:shape style="position:absolute;left:6783;top:2738;width:95;height:116" coordorigin="6783,2738" coordsize="95,116" path="m6829,2738l6783,2738,6783,2853,6829,2853,6842,2851,6854,2846,6861,2840,6799,2840,6799,2751,6862,2751,6858,2747,6850,2742,6840,2739,6829,2738xm6862,2751l6838,2751,6847,2755,6858,2771,6861,2782,6861,2800,6860,2804,6860,2808,6858,2816,6856,2821,6849,2832,6845,2836,6839,2838,6835,2839,6831,2840,6861,2840,6863,2838,6870,2827,6875,2817,6877,2806,6877,2793,6876,2782,6874,2772,6870,2763,6865,2754,6862,2751xe" filled="true" fillcolor="#231f20" stroked="false">
              <v:path arrowok="t"/>
              <v:fill type="solid"/>
            </v:shape>
            <v:shape style="position:absolute;left:6902;top:2730;width:343;height:131" type="#_x0000_t75" stroked="false">
              <v:imagedata r:id="rId640" o:title=""/>
            </v:shape>
            <v:shape style="position:absolute;left:7268;top:2730;width:243;height:131" type="#_x0000_t75" stroked="false">
              <v:imagedata r:id="rId641" o:title=""/>
            </v:shape>
            <v:shape style="position:absolute;left:6790;top:2930;width:724;height:115" type="#_x0000_t75" stroked="false">
              <v:imagedata r:id="rId642" o:title=""/>
            </v:shape>
            <v:shape style="position:absolute;left:6384;top:1259;width:94;height:116" coordorigin="6384,1259" coordsize="94,116" path="m6439,1273l6423,1273,6423,1374,6439,1374,6439,1273xm6478,1259l6384,1259,6384,1273,6478,1273,6478,1259xe" filled="true" fillcolor="#231f20" stroked="false">
              <v:path arrowok="t"/>
              <v:fill type="solid"/>
            </v:shape>
            <v:shape style="position:absolute;left:6492;top:1259;width:74;height:116" coordorigin="6492,1259" coordsize="74,116" path="m6508,1259l6492,1259,6492,1374,6565,1374,6565,1361,6508,1361,6508,1259xe" filled="true" fillcolor="#231f20" stroked="false">
              <v:path arrowok="t"/>
              <v:fill type="solid"/>
            </v:shape>
            <v:shape style="position:absolute;left:6572;top:1259;width:103;height:116" coordorigin="6572,1259" coordsize="103,116" path="m6633,1259l6615,1259,6572,1374,6588,1374,6600,1340,6662,1340,6657,1327,6605,1327,6623,1276,6639,1276,6633,1259xm6662,1340l6645,1340,6657,1374,6675,1374,6662,1340xm6639,1276l6623,1276,6641,1327,6657,1327,6639,1276xe" filled="true" fillcolor="#231f20" stroked="false">
              <v:path arrowok="t"/>
              <v:fill type="solid"/>
            </v:shape>
            <v:shape style="position:absolute;left:6689;top:1259;width:74;height:116" coordorigin="6689,1259" coordsize="74,116" path="m6704,1259l6689,1259,6689,1374,6762,1374,6762,1361,6704,1361,6704,1259xe" filled="true" fillcolor="#231f20" stroked="false">
              <v:path arrowok="t"/>
              <v:fill type="solid"/>
            </v:shape>
            <v:shape style="position:absolute;left:6778;top:1259;width:91;height:116" coordorigin="6778,1259" coordsize="91,116" path="m6796,1259l6778,1259,6778,1374,6793,1374,6793,1281,6810,1281,6796,1259xm6810,1281l6793,1281,6851,1374,6869,1374,6869,1352,6854,1352,6810,1281xm6869,1259l6854,1259,6854,1352,6869,1352,6869,1259xe" filled="true" fillcolor="#231f20" stroked="false">
              <v:path arrowok="t"/>
              <v:fill type="solid"/>
            </v:shape>
            <v:shape style="position:absolute;left:6896;top:1259;width:85;height:116" coordorigin="6896,1259" coordsize="85,116" path="m6979,1259l6896,1259,6896,1374,6980,1374,6980,1361,6911,1361,6911,1321,6974,1321,6974,1308,6911,1308,6911,1273,6979,1273,6979,1259xe" filled="true" fillcolor="#231f20" stroked="false">
              <v:path arrowok="t"/>
              <v:fill type="solid"/>
            </v:shape>
            <v:shape style="position:absolute;left:7003;top:1259;width:86;height:116" coordorigin="7003,1259" coordsize="86,116" path="m7065,1259l7003,1259,7003,1374,7018,1374,7018,1326,7066,1326,7075,1322,7083,1312,7018,1312,7018,1272,7084,1272,7073,1262,7065,1259xm7084,1272l7055,1272,7060,1273,7070,1278,7073,1284,7073,1300,7071,1305,7062,1311,7056,1312,7083,1312,7086,1309,7089,1301,7089,1282,7085,1273,7084,1272xe" filled="true" fillcolor="#231f20" stroked="false">
              <v:path arrowok="t"/>
              <v:fill type="solid"/>
            </v:shape>
            <v:shape style="position:absolute;left:7087;top:1259;width:103;height:116" coordorigin="7087,1259" coordsize="103,116" path="m7148,1259l7130,1259,7087,1374,7103,1374,7115,1340,7177,1340,7173,1327,7120,1327,7138,1276,7154,1276,7148,1259xm7177,1340l7161,1340,7173,1374,7190,1374,7177,1340xm7154,1276l7138,1276,7156,1327,7173,1327,7154,1276xe" filled="true" fillcolor="#231f20" stroked="false">
              <v:path arrowok="t"/>
              <v:fill type="solid"/>
            </v:shape>
            <v:shape style="position:absolute;left:7204;top:1259;width:91;height:116" coordorigin="7204,1259" coordsize="91,116" path="m7222,1259l7204,1259,7204,1374,7219,1374,7219,1281,7236,1281,7222,1259xm7236,1281l7219,1281,7277,1374,7295,1374,7295,1352,7280,1352,7236,1281xm7295,1259l7280,1259,7280,1352,7295,1352,7295,1259xe" filled="true" fillcolor="#231f20" stroked="false">
              <v:path arrowok="t"/>
              <v:fill type="solid"/>
            </v:shape>
            <v:shape style="position:absolute;left:7310;top:1259;width:94;height:116" coordorigin="7310,1259" coordsize="94,116" path="m7365,1273l7349,1273,7349,1374,7365,1374,7365,1273xm7404,1259l7310,1259,7310,1273,7404,1273,7404,1259xe" filled="true" fillcolor="#231f20" stroked="false">
              <v:path arrowok="t"/>
              <v:fill type="solid"/>
            </v:shape>
            <v:shape style="position:absolute;left:7418;top:1259;width:74;height:116" coordorigin="7418,1259" coordsize="74,116" path="m7434,1259l7418,1259,7418,1374,7492,1374,7492,1361,7434,1361,7434,1259xe" filled="true" fillcolor="#231f20" stroked="false">
              <v:path arrowok="t"/>
              <v:fill type="solid"/>
            </v:shape>
            <v:shape style="position:absolute;left:7498;top:1259;width:103;height:116" coordorigin="7498,1259" coordsize="103,116" path="m7559,1259l7541,1259,7498,1374,7514,1374,7526,1340,7588,1340,7584,1327,7531,1327,7549,1276,7565,1276,7559,1259xm7588,1340l7572,1340,7584,1374,7601,1374,7588,1340xm7565,1276l7549,1276,7567,1327,7584,1327,7565,1276xe" filled="true" fillcolor="#231f20" stroked="false">
              <v:path arrowok="t"/>
              <v:fill type="solid"/>
            </v:shape>
            <w10:wrap type="topAndBottom"/>
          </v:group>
        </w:pict>
      </w:r>
      <w:r>
        <w:rPr>
          <w:color w:val="231F20"/>
          <w:w w:val="105"/>
        </w:rPr>
        <w:t>Mapa 1. Ubicación geográfica de Naucalpan de Juárez, Estado de México</w:t>
      </w:r>
    </w:p>
    <w:p>
      <w:pPr>
        <w:spacing w:line="369" w:lineRule="auto" w:before="118"/>
        <w:ind w:left="1877" w:right="-2" w:firstLine="2233"/>
        <w:jc w:val="left"/>
        <w:rPr>
          <w:rFonts w:ascii="Calibri" w:hAnsi="Calibri"/>
          <w:sz w:val="16"/>
        </w:rPr>
      </w:pPr>
      <w:r>
        <w:rPr>
          <w:rFonts w:ascii="Calibri" w:hAnsi="Calibri"/>
          <w:color w:val="231F20"/>
          <w:sz w:val="16"/>
        </w:rPr>
        <w:t>Fuente:</w:t>
      </w:r>
      <w:r>
        <w:rPr>
          <w:rFonts w:ascii="Calibri" w:hAnsi="Calibri"/>
          <w:color w:val="231F20"/>
          <w:spacing w:val="-8"/>
          <w:sz w:val="16"/>
        </w:rPr>
        <w:t> </w:t>
      </w:r>
      <w:r>
        <w:rPr>
          <w:rFonts w:ascii="Calibri" w:hAnsi="Calibri"/>
          <w:color w:val="231F20"/>
          <w:sz w:val="16"/>
        </w:rPr>
        <w:t>Enciclopedia</w:t>
      </w:r>
      <w:r>
        <w:rPr>
          <w:rFonts w:ascii="Calibri" w:hAnsi="Calibri"/>
          <w:color w:val="231F20"/>
          <w:spacing w:val="-8"/>
          <w:sz w:val="16"/>
        </w:rPr>
        <w:t> </w:t>
      </w:r>
      <w:r>
        <w:rPr>
          <w:rFonts w:ascii="Calibri" w:hAnsi="Calibri"/>
          <w:color w:val="231F20"/>
          <w:sz w:val="16"/>
        </w:rPr>
        <w:t>de</w:t>
      </w:r>
      <w:r>
        <w:rPr>
          <w:rFonts w:ascii="Calibri" w:hAnsi="Calibri"/>
          <w:color w:val="231F20"/>
          <w:spacing w:val="-8"/>
          <w:sz w:val="16"/>
        </w:rPr>
        <w:t> </w:t>
      </w:r>
      <w:r>
        <w:rPr>
          <w:rFonts w:ascii="Calibri" w:hAnsi="Calibri"/>
          <w:color w:val="231F20"/>
          <w:sz w:val="16"/>
        </w:rPr>
        <w:t>los</w:t>
      </w:r>
      <w:r>
        <w:rPr>
          <w:rFonts w:ascii="Calibri" w:hAnsi="Calibri"/>
          <w:color w:val="231F20"/>
          <w:spacing w:val="-8"/>
          <w:sz w:val="16"/>
        </w:rPr>
        <w:t> </w:t>
      </w:r>
      <w:r>
        <w:rPr>
          <w:rFonts w:ascii="Calibri" w:hAnsi="Calibri"/>
          <w:color w:val="231F20"/>
          <w:sz w:val="16"/>
        </w:rPr>
        <w:t>municipios</w:t>
      </w:r>
      <w:r>
        <w:rPr>
          <w:rFonts w:ascii="Calibri" w:hAnsi="Calibri"/>
          <w:color w:val="231F20"/>
          <w:spacing w:val="-8"/>
          <w:sz w:val="16"/>
        </w:rPr>
        <w:t> </w:t>
      </w:r>
      <w:r>
        <w:rPr>
          <w:rFonts w:ascii="Calibri" w:hAnsi="Calibri"/>
          <w:color w:val="231F20"/>
          <w:sz w:val="16"/>
        </w:rPr>
        <w:t>del</w:t>
      </w:r>
      <w:r>
        <w:rPr>
          <w:rFonts w:ascii="Calibri" w:hAnsi="Calibri"/>
          <w:color w:val="231F20"/>
          <w:spacing w:val="-8"/>
          <w:sz w:val="16"/>
        </w:rPr>
        <w:t> </w:t>
      </w:r>
      <w:r>
        <w:rPr>
          <w:rFonts w:ascii="Calibri" w:hAnsi="Calibri"/>
          <w:color w:val="231F20"/>
          <w:sz w:val="16"/>
        </w:rPr>
        <w:t>Estado</w:t>
      </w:r>
      <w:r>
        <w:rPr>
          <w:rFonts w:ascii="Calibri" w:hAnsi="Calibri"/>
          <w:color w:val="231F20"/>
          <w:spacing w:val="-8"/>
          <w:sz w:val="16"/>
        </w:rPr>
        <w:t> </w:t>
      </w:r>
      <w:r>
        <w:rPr>
          <w:rFonts w:ascii="Calibri" w:hAnsi="Calibri"/>
          <w:color w:val="231F20"/>
          <w:sz w:val="16"/>
        </w:rPr>
        <w:t>de</w:t>
      </w:r>
      <w:r>
        <w:rPr>
          <w:rFonts w:ascii="Calibri" w:hAnsi="Calibri"/>
          <w:color w:val="231F20"/>
          <w:spacing w:val="-8"/>
          <w:sz w:val="16"/>
        </w:rPr>
        <w:t> </w:t>
      </w:r>
      <w:r>
        <w:rPr>
          <w:rFonts w:ascii="Calibri" w:hAnsi="Calibri"/>
          <w:color w:val="231F20"/>
          <w:sz w:val="16"/>
        </w:rPr>
        <w:t>México, México,</w:t>
      </w:r>
      <w:r>
        <w:rPr>
          <w:rFonts w:ascii="Calibri" w:hAnsi="Calibri"/>
          <w:color w:val="231F20"/>
          <w:spacing w:val="-17"/>
          <w:sz w:val="16"/>
        </w:rPr>
        <w:t> </w:t>
      </w:r>
      <w:r>
        <w:rPr>
          <w:rFonts w:ascii="Calibri" w:hAnsi="Calibri"/>
          <w:color w:val="231F20"/>
          <w:sz w:val="16"/>
        </w:rPr>
        <w:t>Instituto</w:t>
      </w:r>
      <w:r>
        <w:rPr>
          <w:rFonts w:ascii="Calibri" w:hAnsi="Calibri"/>
          <w:color w:val="231F20"/>
          <w:spacing w:val="-17"/>
          <w:sz w:val="16"/>
        </w:rPr>
        <w:t> </w:t>
      </w:r>
      <w:r>
        <w:rPr>
          <w:rFonts w:ascii="Calibri" w:hAnsi="Calibri"/>
          <w:color w:val="231F20"/>
          <w:sz w:val="16"/>
        </w:rPr>
        <w:t>Nacional</w:t>
      </w:r>
      <w:r>
        <w:rPr>
          <w:rFonts w:ascii="Calibri" w:hAnsi="Calibri"/>
          <w:color w:val="231F20"/>
          <w:spacing w:val="-17"/>
          <w:sz w:val="16"/>
        </w:rPr>
        <w:t> </w:t>
      </w:r>
      <w:r>
        <w:rPr>
          <w:rFonts w:ascii="Calibri" w:hAnsi="Calibri"/>
          <w:color w:val="231F20"/>
          <w:sz w:val="16"/>
        </w:rPr>
        <w:t>para</w:t>
      </w:r>
      <w:r>
        <w:rPr>
          <w:rFonts w:ascii="Calibri" w:hAnsi="Calibri"/>
          <w:color w:val="231F20"/>
          <w:spacing w:val="-17"/>
          <w:sz w:val="16"/>
        </w:rPr>
        <w:t> </w:t>
      </w:r>
      <w:r>
        <w:rPr>
          <w:rFonts w:ascii="Calibri" w:hAnsi="Calibri"/>
          <w:color w:val="231F20"/>
          <w:sz w:val="16"/>
        </w:rPr>
        <w:t>el</w:t>
      </w:r>
      <w:r>
        <w:rPr>
          <w:rFonts w:ascii="Calibri" w:hAnsi="Calibri"/>
          <w:color w:val="231F20"/>
          <w:spacing w:val="-17"/>
          <w:sz w:val="16"/>
        </w:rPr>
        <w:t> </w:t>
      </w:r>
      <w:r>
        <w:rPr>
          <w:rFonts w:ascii="Calibri" w:hAnsi="Calibri"/>
          <w:color w:val="231F20"/>
          <w:sz w:val="16"/>
        </w:rPr>
        <w:t>Federalismo</w:t>
      </w:r>
      <w:r>
        <w:rPr>
          <w:rFonts w:ascii="Calibri" w:hAnsi="Calibri"/>
          <w:color w:val="231F20"/>
          <w:spacing w:val="-17"/>
          <w:sz w:val="16"/>
        </w:rPr>
        <w:t> </w:t>
      </w:r>
      <w:r>
        <w:rPr>
          <w:rFonts w:ascii="Calibri" w:hAnsi="Calibri"/>
          <w:color w:val="231F20"/>
          <w:sz w:val="16"/>
        </w:rPr>
        <w:t>y</w:t>
      </w:r>
      <w:r>
        <w:rPr>
          <w:rFonts w:ascii="Calibri" w:hAnsi="Calibri"/>
          <w:color w:val="231F20"/>
          <w:spacing w:val="-17"/>
          <w:sz w:val="16"/>
        </w:rPr>
        <w:t> </w:t>
      </w:r>
      <w:r>
        <w:rPr>
          <w:rFonts w:ascii="Calibri" w:hAnsi="Calibri"/>
          <w:color w:val="231F20"/>
          <w:sz w:val="16"/>
        </w:rPr>
        <w:t>el</w:t>
      </w:r>
      <w:r>
        <w:rPr>
          <w:rFonts w:ascii="Calibri" w:hAnsi="Calibri"/>
          <w:color w:val="231F20"/>
          <w:spacing w:val="-17"/>
          <w:sz w:val="16"/>
        </w:rPr>
        <w:t> </w:t>
      </w:r>
      <w:r>
        <w:rPr>
          <w:rFonts w:ascii="Calibri" w:hAnsi="Calibri"/>
          <w:color w:val="231F20"/>
          <w:sz w:val="16"/>
        </w:rPr>
        <w:t>Desarrollo</w:t>
      </w:r>
      <w:r>
        <w:rPr>
          <w:rFonts w:ascii="Calibri" w:hAnsi="Calibri"/>
          <w:color w:val="231F20"/>
          <w:spacing w:val="-17"/>
          <w:sz w:val="16"/>
        </w:rPr>
        <w:t> </w:t>
      </w:r>
      <w:r>
        <w:rPr>
          <w:rFonts w:ascii="Calibri" w:hAnsi="Calibri"/>
          <w:color w:val="231F20"/>
          <w:sz w:val="16"/>
        </w:rPr>
        <w:t>Municipal,</w:t>
      </w:r>
      <w:r>
        <w:rPr>
          <w:rFonts w:ascii="Calibri" w:hAnsi="Calibri"/>
          <w:color w:val="231F20"/>
          <w:spacing w:val="-17"/>
          <w:sz w:val="16"/>
        </w:rPr>
        <w:t> </w:t>
      </w:r>
      <w:r>
        <w:rPr>
          <w:rFonts w:ascii="Calibri" w:hAnsi="Calibri"/>
          <w:color w:val="231F20"/>
          <w:sz w:val="16"/>
        </w:rPr>
        <w:t>Estado</w:t>
      </w:r>
      <w:r>
        <w:rPr>
          <w:rFonts w:ascii="Calibri" w:hAnsi="Calibri"/>
          <w:color w:val="231F20"/>
          <w:spacing w:val="-17"/>
          <w:sz w:val="16"/>
        </w:rPr>
        <w:t> </w:t>
      </w:r>
      <w:r>
        <w:rPr>
          <w:rFonts w:ascii="Calibri" w:hAnsi="Calibri"/>
          <w:color w:val="231F20"/>
          <w:sz w:val="16"/>
        </w:rPr>
        <w:t>de</w:t>
      </w:r>
      <w:r>
        <w:rPr>
          <w:rFonts w:ascii="Calibri" w:hAnsi="Calibri"/>
          <w:color w:val="231F20"/>
          <w:spacing w:val="-17"/>
          <w:sz w:val="16"/>
        </w:rPr>
        <w:t> </w:t>
      </w:r>
      <w:r>
        <w:rPr>
          <w:rFonts w:ascii="Calibri" w:hAnsi="Calibri"/>
          <w:color w:val="231F20"/>
          <w:sz w:val="16"/>
        </w:rPr>
        <w:t>México,</w:t>
      </w:r>
      <w:r>
        <w:rPr>
          <w:rFonts w:ascii="Calibri" w:hAnsi="Calibri"/>
          <w:color w:val="231F20"/>
          <w:spacing w:val="-17"/>
          <w:sz w:val="16"/>
        </w:rPr>
        <w:t> </w:t>
      </w:r>
      <w:r>
        <w:rPr>
          <w:rFonts w:ascii="Calibri" w:hAnsi="Calibri"/>
          <w:color w:val="231F20"/>
          <w:sz w:val="16"/>
        </w:rPr>
        <w:t>2005.</w:t>
      </w:r>
    </w:p>
    <w:p>
      <w:pPr>
        <w:pStyle w:val="BodyText"/>
        <w:spacing w:before="2"/>
        <w:rPr>
          <w:rFonts w:ascii="Calibri"/>
          <w:sz w:val="20"/>
        </w:rPr>
      </w:pPr>
    </w:p>
    <w:p>
      <w:pPr>
        <w:pStyle w:val="BodyText"/>
        <w:spacing w:line="285" w:lineRule="auto"/>
        <w:ind w:left="110" w:right="108"/>
        <w:jc w:val="both"/>
      </w:pPr>
      <w:r>
        <w:rPr>
          <w:color w:val="231F20"/>
          <w:w w:val="105"/>
        </w:rPr>
        <w:t>De</w:t>
      </w:r>
      <w:r>
        <w:rPr>
          <w:color w:val="231F20"/>
          <w:spacing w:val="-23"/>
          <w:w w:val="105"/>
        </w:rPr>
        <w:t> </w:t>
      </w:r>
      <w:r>
        <w:rPr>
          <w:color w:val="231F20"/>
          <w:w w:val="105"/>
        </w:rPr>
        <w:t>acuerdo</w:t>
      </w:r>
      <w:r>
        <w:rPr>
          <w:color w:val="231F20"/>
          <w:spacing w:val="-23"/>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conteo</w:t>
      </w:r>
      <w:r>
        <w:rPr>
          <w:color w:val="231F20"/>
          <w:spacing w:val="-23"/>
          <w:w w:val="105"/>
        </w:rPr>
        <w:t> </w:t>
      </w:r>
      <w:r>
        <w:rPr>
          <w:color w:val="231F20"/>
          <w:w w:val="105"/>
        </w:rPr>
        <w:t>del</w:t>
      </w:r>
      <w:r>
        <w:rPr>
          <w:color w:val="231F20"/>
          <w:spacing w:val="-23"/>
          <w:w w:val="105"/>
        </w:rPr>
        <w:t> </w:t>
      </w:r>
      <w:r>
        <w:rPr>
          <w:color w:val="231F20"/>
          <w:w w:val="105"/>
        </w:rPr>
        <w:t>INEGI,</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spacing w:val="3"/>
          <w:w w:val="105"/>
        </w:rPr>
        <w:t>2005</w:t>
      </w:r>
      <w:r>
        <w:rPr>
          <w:color w:val="231F20"/>
          <w:spacing w:val="-23"/>
          <w:w w:val="105"/>
        </w:rPr>
        <w:t> </w:t>
      </w:r>
      <w:r>
        <w:rPr>
          <w:color w:val="231F20"/>
          <w:w w:val="105"/>
        </w:rPr>
        <w:t>había</w:t>
      </w:r>
      <w:r>
        <w:rPr>
          <w:color w:val="231F20"/>
          <w:spacing w:val="-23"/>
          <w:w w:val="105"/>
        </w:rPr>
        <w:t> </w:t>
      </w:r>
      <w:r>
        <w:rPr>
          <w:color w:val="231F20"/>
          <w:spacing w:val="-3"/>
          <w:w w:val="105"/>
        </w:rPr>
        <w:t>821</w:t>
      </w:r>
      <w:r>
        <w:rPr>
          <w:color w:val="231F20"/>
          <w:spacing w:val="-23"/>
          <w:w w:val="105"/>
        </w:rPr>
        <w:t> </w:t>
      </w:r>
      <w:r>
        <w:rPr>
          <w:color w:val="231F20"/>
          <w:spacing w:val="2"/>
          <w:w w:val="105"/>
        </w:rPr>
        <w:t>mil</w:t>
      </w:r>
      <w:r>
        <w:rPr>
          <w:color w:val="231F20"/>
          <w:spacing w:val="-23"/>
          <w:w w:val="105"/>
        </w:rPr>
        <w:t> </w:t>
      </w:r>
      <w:r>
        <w:rPr>
          <w:color w:val="231F20"/>
          <w:spacing w:val="2"/>
          <w:w w:val="105"/>
        </w:rPr>
        <w:t>442</w:t>
      </w:r>
      <w:r>
        <w:rPr>
          <w:color w:val="231F20"/>
          <w:spacing w:val="-23"/>
          <w:w w:val="105"/>
        </w:rPr>
        <w:t> </w:t>
      </w:r>
      <w:r>
        <w:rPr>
          <w:color w:val="231F20"/>
          <w:w w:val="105"/>
        </w:rPr>
        <w:t>habitantes</w:t>
      </w:r>
      <w:r>
        <w:rPr>
          <w:color w:val="231F20"/>
          <w:spacing w:val="-23"/>
          <w:w w:val="105"/>
        </w:rPr>
        <w:t> </w:t>
      </w:r>
      <w:r>
        <w:rPr>
          <w:color w:val="231F20"/>
          <w:w w:val="105"/>
        </w:rPr>
        <w:t>(cuando</w:t>
      </w:r>
      <w:r>
        <w:rPr>
          <w:color w:val="231F20"/>
          <w:spacing w:val="-23"/>
          <w:w w:val="105"/>
        </w:rPr>
        <w:t> </w:t>
      </w:r>
      <w:r>
        <w:rPr>
          <w:color w:val="231F20"/>
          <w:w w:val="105"/>
        </w:rPr>
        <w:t>en el</w:t>
      </w:r>
      <w:r>
        <w:rPr>
          <w:color w:val="231F20"/>
          <w:spacing w:val="-26"/>
          <w:w w:val="105"/>
        </w:rPr>
        <w:t> </w:t>
      </w:r>
      <w:r>
        <w:rPr>
          <w:color w:val="231F20"/>
          <w:w w:val="105"/>
        </w:rPr>
        <w:t>año</w:t>
      </w:r>
      <w:r>
        <w:rPr>
          <w:color w:val="231F20"/>
          <w:spacing w:val="-26"/>
          <w:w w:val="105"/>
        </w:rPr>
        <w:t> </w:t>
      </w:r>
      <w:r>
        <w:rPr>
          <w:color w:val="231F20"/>
          <w:spacing w:val="4"/>
          <w:w w:val="105"/>
        </w:rPr>
        <w:t>2000</w:t>
      </w:r>
      <w:r>
        <w:rPr>
          <w:color w:val="231F20"/>
          <w:spacing w:val="-26"/>
          <w:w w:val="105"/>
        </w:rPr>
        <w:t> </w:t>
      </w:r>
      <w:r>
        <w:rPr>
          <w:color w:val="231F20"/>
          <w:w w:val="105"/>
        </w:rPr>
        <w:t>el</w:t>
      </w:r>
      <w:r>
        <w:rPr>
          <w:color w:val="231F20"/>
          <w:spacing w:val="-26"/>
          <w:w w:val="105"/>
        </w:rPr>
        <w:t> </w:t>
      </w:r>
      <w:r>
        <w:rPr>
          <w:color w:val="231F20"/>
          <w:w w:val="105"/>
        </w:rPr>
        <w:t>6.56%</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población</w:t>
      </w:r>
      <w:r>
        <w:rPr>
          <w:color w:val="231F20"/>
          <w:spacing w:val="-26"/>
          <w:w w:val="105"/>
        </w:rPr>
        <w:t> </w:t>
      </w:r>
      <w:r>
        <w:rPr>
          <w:color w:val="231F20"/>
          <w:w w:val="105"/>
        </w:rPr>
        <w:t>mexiquense</w:t>
      </w:r>
      <w:r>
        <w:rPr>
          <w:color w:val="231F20"/>
          <w:spacing w:val="-26"/>
          <w:w w:val="105"/>
        </w:rPr>
        <w:t> </w:t>
      </w:r>
      <w:r>
        <w:rPr>
          <w:color w:val="231F20"/>
          <w:w w:val="105"/>
        </w:rPr>
        <w:t>vivía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municipio).</w:t>
      </w:r>
      <w:r>
        <w:rPr>
          <w:color w:val="231F20"/>
          <w:spacing w:val="-26"/>
          <w:w w:val="105"/>
        </w:rPr>
        <w:t> </w:t>
      </w:r>
      <w:r>
        <w:rPr>
          <w:color w:val="231F20"/>
          <w:w w:val="105"/>
        </w:rPr>
        <w:t>Sus</w:t>
      </w:r>
      <w:r>
        <w:rPr>
          <w:color w:val="231F20"/>
          <w:spacing w:val="-26"/>
          <w:w w:val="105"/>
        </w:rPr>
        <w:t> </w:t>
      </w:r>
      <w:r>
        <w:rPr>
          <w:color w:val="231F20"/>
          <w:w w:val="105"/>
        </w:rPr>
        <w:t>condiciones de</w:t>
      </w:r>
      <w:r>
        <w:rPr>
          <w:color w:val="231F20"/>
          <w:spacing w:val="-13"/>
          <w:w w:val="105"/>
        </w:rPr>
        <w:t> </w:t>
      </w:r>
      <w:r>
        <w:rPr>
          <w:color w:val="231F20"/>
          <w:w w:val="105"/>
        </w:rPr>
        <w:t>vida</w:t>
      </w:r>
      <w:r>
        <w:rPr>
          <w:color w:val="231F20"/>
          <w:spacing w:val="-13"/>
          <w:w w:val="105"/>
        </w:rPr>
        <w:t> </w:t>
      </w:r>
      <w:r>
        <w:rPr>
          <w:color w:val="231F20"/>
          <w:w w:val="105"/>
        </w:rPr>
        <w:t>eran</w:t>
      </w:r>
      <w:r>
        <w:rPr>
          <w:color w:val="231F20"/>
          <w:spacing w:val="-13"/>
          <w:w w:val="105"/>
        </w:rPr>
        <w:t> </w:t>
      </w:r>
      <w:r>
        <w:rPr>
          <w:color w:val="231F20"/>
          <w:w w:val="105"/>
        </w:rPr>
        <w:t>mejores</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del</w:t>
      </w:r>
      <w:r>
        <w:rPr>
          <w:color w:val="231F20"/>
          <w:spacing w:val="-13"/>
          <w:w w:val="105"/>
        </w:rPr>
        <w:t> </w:t>
      </w:r>
      <w:r>
        <w:rPr>
          <w:color w:val="231F20"/>
          <w:w w:val="105"/>
        </w:rPr>
        <w:t>promedio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entidad,</w:t>
      </w:r>
      <w:r>
        <w:rPr>
          <w:color w:val="231F20"/>
          <w:spacing w:val="-13"/>
          <w:w w:val="105"/>
        </w:rPr>
        <w:t> </w:t>
      </w:r>
      <w:r>
        <w:rPr>
          <w:color w:val="231F20"/>
          <w:w w:val="105"/>
        </w:rPr>
        <w:t>debido</w:t>
      </w:r>
      <w:r>
        <w:rPr>
          <w:color w:val="231F20"/>
          <w:spacing w:val="-13"/>
          <w:w w:val="105"/>
        </w:rPr>
        <w:t> </w:t>
      </w:r>
      <w:r>
        <w:rPr>
          <w:color w:val="231F20"/>
          <w:w w:val="105"/>
        </w:rPr>
        <w:t>a</w:t>
      </w:r>
      <w:r>
        <w:rPr>
          <w:color w:val="231F20"/>
          <w:spacing w:val="-13"/>
          <w:w w:val="105"/>
        </w:rPr>
        <w:t> </w:t>
      </w:r>
      <w:r>
        <w:rPr>
          <w:color w:val="231F20"/>
          <w:w w:val="105"/>
        </w:rPr>
        <w:t>su</w:t>
      </w:r>
      <w:r>
        <w:rPr>
          <w:color w:val="231F20"/>
          <w:spacing w:val="-13"/>
          <w:w w:val="105"/>
        </w:rPr>
        <w:t> </w:t>
      </w:r>
      <w:r>
        <w:rPr>
          <w:color w:val="231F20"/>
          <w:w w:val="105"/>
        </w:rPr>
        <w:t>carácter</w:t>
      </w:r>
      <w:r>
        <w:rPr>
          <w:color w:val="231F20"/>
          <w:spacing w:val="-13"/>
          <w:w w:val="105"/>
        </w:rPr>
        <w:t> </w:t>
      </w:r>
      <w:r>
        <w:rPr>
          <w:color w:val="231F20"/>
          <w:w w:val="105"/>
        </w:rPr>
        <w:t>de</w:t>
      </w:r>
      <w:r>
        <w:rPr>
          <w:color w:val="231F20"/>
          <w:spacing w:val="-13"/>
          <w:w w:val="105"/>
        </w:rPr>
        <w:t> </w:t>
      </w:r>
      <w:r>
        <w:rPr>
          <w:color w:val="231F20"/>
          <w:w w:val="105"/>
        </w:rPr>
        <w:t>polo</w:t>
      </w:r>
      <w:r>
        <w:rPr>
          <w:color w:val="231F20"/>
          <w:spacing w:val="-13"/>
          <w:w w:val="105"/>
        </w:rPr>
        <w:t> </w:t>
      </w:r>
      <w:r>
        <w:rPr>
          <w:color w:val="231F20"/>
          <w:w w:val="105"/>
        </w:rPr>
        <w:t>de desarrollo</w:t>
      </w:r>
      <w:r>
        <w:rPr>
          <w:color w:val="231F20"/>
          <w:spacing w:val="-22"/>
          <w:w w:val="105"/>
        </w:rPr>
        <w:t> </w:t>
      </w:r>
      <w:r>
        <w:rPr>
          <w:color w:val="231F20"/>
          <w:w w:val="105"/>
        </w:rPr>
        <w:t>comercial</w:t>
      </w:r>
      <w:r>
        <w:rPr>
          <w:color w:val="231F20"/>
          <w:spacing w:val="-22"/>
          <w:w w:val="105"/>
        </w:rPr>
        <w:t> </w:t>
      </w:r>
      <w:r>
        <w:rPr>
          <w:color w:val="231F20"/>
          <w:w w:val="105"/>
        </w:rPr>
        <w:t>y</w:t>
      </w:r>
      <w:r>
        <w:rPr>
          <w:color w:val="231F20"/>
          <w:spacing w:val="-22"/>
          <w:w w:val="105"/>
        </w:rPr>
        <w:t> </w:t>
      </w:r>
      <w:r>
        <w:rPr>
          <w:color w:val="231F20"/>
          <w:w w:val="105"/>
        </w:rPr>
        <w:t>fabril.</w:t>
      </w:r>
      <w:r>
        <w:rPr>
          <w:color w:val="231F20"/>
          <w:spacing w:val="-22"/>
          <w:w w:val="105"/>
        </w:rPr>
        <w:t> </w:t>
      </w:r>
      <w:r>
        <w:rPr>
          <w:color w:val="231F20"/>
          <w:w w:val="105"/>
        </w:rPr>
        <w:t>Esto</w:t>
      </w:r>
      <w:r>
        <w:rPr>
          <w:color w:val="231F20"/>
          <w:spacing w:val="-22"/>
          <w:w w:val="105"/>
        </w:rPr>
        <w:t> </w:t>
      </w:r>
      <w:r>
        <w:rPr>
          <w:color w:val="231F20"/>
          <w:w w:val="105"/>
        </w:rPr>
        <w:t>se</w:t>
      </w:r>
      <w:r>
        <w:rPr>
          <w:color w:val="231F20"/>
          <w:spacing w:val="-22"/>
          <w:w w:val="105"/>
        </w:rPr>
        <w:t> </w:t>
      </w:r>
      <w:r>
        <w:rPr>
          <w:color w:val="231F20"/>
          <w:w w:val="105"/>
        </w:rPr>
        <w:t>ejemplifica</w:t>
      </w:r>
      <w:r>
        <w:rPr>
          <w:color w:val="231F20"/>
          <w:spacing w:val="-22"/>
          <w:w w:val="105"/>
        </w:rPr>
        <w:t> </w:t>
      </w:r>
      <w:r>
        <w:rPr>
          <w:color w:val="231F20"/>
          <w:w w:val="105"/>
        </w:rPr>
        <w:t>con</w:t>
      </w:r>
      <w:r>
        <w:rPr>
          <w:color w:val="231F20"/>
          <w:spacing w:val="-22"/>
          <w:w w:val="105"/>
        </w:rPr>
        <w:t> </w:t>
      </w:r>
      <w:r>
        <w:rPr>
          <w:color w:val="231F20"/>
          <w:w w:val="105"/>
        </w:rPr>
        <w:t>el</w:t>
      </w:r>
      <w:r>
        <w:rPr>
          <w:color w:val="231F20"/>
          <w:spacing w:val="-22"/>
          <w:w w:val="105"/>
        </w:rPr>
        <w:t> </w:t>
      </w:r>
      <w:r>
        <w:rPr>
          <w:color w:val="231F20"/>
          <w:w w:val="105"/>
        </w:rPr>
        <w:t>hecho</w:t>
      </w:r>
      <w:r>
        <w:rPr>
          <w:color w:val="231F20"/>
          <w:spacing w:val="-22"/>
          <w:w w:val="105"/>
        </w:rPr>
        <w:t> </w:t>
      </w:r>
      <w:r>
        <w:rPr>
          <w:color w:val="231F20"/>
          <w:w w:val="105"/>
        </w:rPr>
        <w:t>de</w:t>
      </w:r>
      <w:r>
        <w:rPr>
          <w:color w:val="231F20"/>
          <w:spacing w:val="-22"/>
          <w:w w:val="105"/>
        </w:rPr>
        <w:t> </w:t>
      </w:r>
      <w:r>
        <w:rPr>
          <w:color w:val="231F20"/>
          <w:w w:val="105"/>
        </w:rPr>
        <w:t>que</w:t>
      </w:r>
      <w:r>
        <w:rPr>
          <w:color w:val="231F20"/>
          <w:spacing w:val="-22"/>
          <w:w w:val="105"/>
        </w:rPr>
        <w:t> </w:t>
      </w:r>
      <w:r>
        <w:rPr>
          <w:color w:val="231F20"/>
          <w:w w:val="105"/>
        </w:rPr>
        <w:t>casi</w:t>
      </w:r>
      <w:r>
        <w:rPr>
          <w:color w:val="231F20"/>
          <w:spacing w:val="-22"/>
          <w:w w:val="105"/>
        </w:rPr>
        <w:t> </w:t>
      </w:r>
      <w:r>
        <w:rPr>
          <w:color w:val="231F20"/>
          <w:w w:val="105"/>
        </w:rPr>
        <w:t>el</w:t>
      </w:r>
      <w:r>
        <w:rPr>
          <w:color w:val="231F20"/>
          <w:spacing w:val="-22"/>
          <w:w w:val="105"/>
        </w:rPr>
        <w:t> </w:t>
      </w:r>
      <w:r>
        <w:rPr>
          <w:color w:val="231F20"/>
          <w:w w:val="105"/>
        </w:rPr>
        <w:t>100%</w:t>
      </w:r>
      <w:r>
        <w:rPr>
          <w:color w:val="231F20"/>
          <w:spacing w:val="-22"/>
          <w:w w:val="105"/>
        </w:rPr>
        <w:t> </w:t>
      </w:r>
      <w:r>
        <w:rPr>
          <w:color w:val="231F20"/>
          <w:w w:val="105"/>
        </w:rPr>
        <w:t>de</w:t>
      </w:r>
      <w:r>
        <w:rPr>
          <w:color w:val="231F20"/>
          <w:spacing w:val="-22"/>
          <w:w w:val="105"/>
        </w:rPr>
        <w:t> </w:t>
      </w:r>
      <w:r>
        <w:rPr>
          <w:color w:val="231F20"/>
          <w:w w:val="105"/>
        </w:rPr>
        <w:t>sus habitantes</w:t>
      </w:r>
      <w:r>
        <w:rPr>
          <w:color w:val="231F20"/>
          <w:spacing w:val="-9"/>
          <w:w w:val="105"/>
        </w:rPr>
        <w:t> </w:t>
      </w:r>
      <w:r>
        <w:rPr>
          <w:color w:val="231F20"/>
          <w:w w:val="105"/>
        </w:rPr>
        <w:t>disfruta</w:t>
      </w:r>
      <w:r>
        <w:rPr>
          <w:color w:val="231F20"/>
          <w:spacing w:val="-9"/>
          <w:w w:val="105"/>
        </w:rPr>
        <w:t> </w:t>
      </w:r>
      <w:r>
        <w:rPr>
          <w:color w:val="231F20"/>
          <w:w w:val="105"/>
        </w:rPr>
        <w:t>de</w:t>
      </w:r>
      <w:r>
        <w:rPr>
          <w:color w:val="231F20"/>
          <w:spacing w:val="-9"/>
          <w:w w:val="105"/>
        </w:rPr>
        <w:t> </w:t>
      </w:r>
      <w:r>
        <w:rPr>
          <w:color w:val="231F20"/>
          <w:w w:val="105"/>
        </w:rPr>
        <w:t>servicios</w:t>
      </w:r>
      <w:r>
        <w:rPr>
          <w:color w:val="231F20"/>
          <w:spacing w:val="-9"/>
          <w:w w:val="105"/>
        </w:rPr>
        <w:t> </w:t>
      </w:r>
      <w:r>
        <w:rPr>
          <w:color w:val="231F20"/>
          <w:w w:val="105"/>
        </w:rPr>
        <w:t>públicos</w:t>
      </w:r>
      <w:r>
        <w:rPr>
          <w:color w:val="231F20"/>
          <w:spacing w:val="-9"/>
          <w:w w:val="105"/>
        </w:rPr>
        <w:t> </w:t>
      </w:r>
      <w:r>
        <w:rPr>
          <w:color w:val="231F20"/>
          <w:w w:val="105"/>
        </w:rPr>
        <w:t>(agua</w:t>
      </w:r>
      <w:r>
        <w:rPr>
          <w:color w:val="231F20"/>
          <w:spacing w:val="-9"/>
          <w:w w:val="105"/>
        </w:rPr>
        <w:t> </w:t>
      </w:r>
      <w:r>
        <w:rPr>
          <w:color w:val="231F20"/>
          <w:w w:val="105"/>
        </w:rPr>
        <w:t>potable,</w:t>
      </w:r>
      <w:r>
        <w:rPr>
          <w:color w:val="231F20"/>
          <w:spacing w:val="-9"/>
          <w:w w:val="105"/>
        </w:rPr>
        <w:t> </w:t>
      </w:r>
      <w:r>
        <w:rPr>
          <w:color w:val="231F20"/>
          <w:w w:val="105"/>
        </w:rPr>
        <w:t>drenaje</w:t>
      </w:r>
      <w:r>
        <w:rPr>
          <w:color w:val="231F20"/>
          <w:spacing w:val="-9"/>
          <w:w w:val="105"/>
        </w:rPr>
        <w:t> </w:t>
      </w:r>
      <w:r>
        <w:rPr>
          <w:color w:val="231F20"/>
          <w:w w:val="105"/>
        </w:rPr>
        <w:t>y</w:t>
      </w:r>
      <w:r>
        <w:rPr>
          <w:color w:val="231F20"/>
          <w:spacing w:val="-9"/>
          <w:w w:val="105"/>
        </w:rPr>
        <w:t> </w:t>
      </w:r>
      <w:r>
        <w:rPr>
          <w:color w:val="231F20"/>
          <w:w w:val="105"/>
        </w:rPr>
        <w:t>energía</w:t>
      </w:r>
      <w:r>
        <w:rPr>
          <w:color w:val="231F20"/>
          <w:spacing w:val="-9"/>
          <w:w w:val="105"/>
        </w:rPr>
        <w:t> </w:t>
      </w:r>
      <w:r>
        <w:rPr>
          <w:color w:val="231F20"/>
          <w:w w:val="105"/>
        </w:rPr>
        <w:t>eléctrica).</w:t>
      </w:r>
      <w:r>
        <w:rPr>
          <w:color w:val="231F20"/>
          <w:spacing w:val="-9"/>
          <w:w w:val="105"/>
        </w:rPr>
        <w:t> </w:t>
      </w:r>
      <w:r>
        <w:rPr>
          <w:color w:val="231F20"/>
          <w:w w:val="105"/>
        </w:rPr>
        <w:t>En el</w:t>
      </w:r>
      <w:r>
        <w:rPr>
          <w:color w:val="231F20"/>
          <w:spacing w:val="-8"/>
          <w:w w:val="105"/>
        </w:rPr>
        <w:t> </w:t>
      </w:r>
      <w:r>
        <w:rPr>
          <w:color w:val="231F20"/>
          <w:w w:val="105"/>
        </w:rPr>
        <w:t>año</w:t>
      </w:r>
      <w:r>
        <w:rPr>
          <w:color w:val="231F20"/>
          <w:spacing w:val="-8"/>
          <w:w w:val="105"/>
        </w:rPr>
        <w:t> </w:t>
      </w:r>
      <w:r>
        <w:rPr>
          <w:color w:val="231F20"/>
          <w:spacing w:val="3"/>
          <w:w w:val="105"/>
        </w:rPr>
        <w:t>2004,</w:t>
      </w:r>
      <w:r>
        <w:rPr>
          <w:color w:val="231F20"/>
          <w:spacing w:val="-8"/>
          <w:w w:val="105"/>
        </w:rPr>
        <w:t> </w:t>
      </w:r>
      <w:r>
        <w:rPr>
          <w:color w:val="231F20"/>
          <w:w w:val="105"/>
        </w:rPr>
        <w:t>el</w:t>
      </w:r>
      <w:r>
        <w:rPr>
          <w:color w:val="231F20"/>
          <w:spacing w:val="-8"/>
          <w:w w:val="105"/>
        </w:rPr>
        <w:t> </w:t>
      </w:r>
      <w:r>
        <w:rPr>
          <w:color w:val="231F20"/>
          <w:w w:val="105"/>
        </w:rPr>
        <w:t>ingreso</w:t>
      </w:r>
      <w:r>
        <w:rPr>
          <w:color w:val="231F20"/>
          <w:spacing w:val="-8"/>
          <w:w w:val="105"/>
        </w:rPr>
        <w:t> </w:t>
      </w:r>
      <w:r>
        <w:rPr>
          <w:color w:val="231F20"/>
          <w:w w:val="105"/>
        </w:rPr>
        <w:t>per</w:t>
      </w:r>
      <w:r>
        <w:rPr>
          <w:color w:val="231F20"/>
          <w:spacing w:val="-8"/>
          <w:w w:val="105"/>
        </w:rPr>
        <w:t> </w:t>
      </w:r>
      <w:r>
        <w:rPr>
          <w:color w:val="231F20"/>
          <w:w w:val="105"/>
        </w:rPr>
        <w:t>cápita</w:t>
      </w:r>
      <w:r>
        <w:rPr>
          <w:color w:val="231F20"/>
          <w:spacing w:val="-8"/>
          <w:w w:val="105"/>
        </w:rPr>
        <w:t> </w:t>
      </w:r>
      <w:r>
        <w:rPr>
          <w:color w:val="231F20"/>
          <w:w w:val="105"/>
        </w:rPr>
        <w:t>anual</w:t>
      </w:r>
      <w:r>
        <w:rPr>
          <w:color w:val="231F20"/>
          <w:spacing w:val="-8"/>
          <w:w w:val="105"/>
        </w:rPr>
        <w:t> </w:t>
      </w:r>
      <w:r>
        <w:rPr>
          <w:color w:val="231F20"/>
          <w:w w:val="105"/>
        </w:rPr>
        <w:t>fue</w:t>
      </w:r>
      <w:r>
        <w:rPr>
          <w:color w:val="231F20"/>
          <w:spacing w:val="-8"/>
          <w:w w:val="105"/>
        </w:rPr>
        <w:t> </w:t>
      </w:r>
      <w:r>
        <w:rPr>
          <w:color w:val="231F20"/>
          <w:w w:val="105"/>
        </w:rPr>
        <w:t>de</w:t>
      </w:r>
      <w:r>
        <w:rPr>
          <w:color w:val="231F20"/>
          <w:spacing w:val="-8"/>
          <w:w w:val="105"/>
        </w:rPr>
        <w:t> </w:t>
      </w:r>
      <w:r>
        <w:rPr>
          <w:color w:val="231F20"/>
          <w:spacing w:val="-5"/>
          <w:w w:val="105"/>
        </w:rPr>
        <w:t>81</w:t>
      </w:r>
      <w:r>
        <w:rPr>
          <w:color w:val="231F20"/>
          <w:spacing w:val="-8"/>
          <w:w w:val="105"/>
        </w:rPr>
        <w:t> </w:t>
      </w:r>
      <w:r>
        <w:rPr>
          <w:color w:val="231F20"/>
          <w:spacing w:val="2"/>
          <w:w w:val="105"/>
        </w:rPr>
        <w:t>mil</w:t>
      </w:r>
      <w:r>
        <w:rPr>
          <w:color w:val="231F20"/>
          <w:spacing w:val="-8"/>
          <w:w w:val="105"/>
        </w:rPr>
        <w:t> </w:t>
      </w:r>
      <w:r>
        <w:rPr>
          <w:color w:val="231F20"/>
          <w:spacing w:val="-3"/>
          <w:w w:val="105"/>
        </w:rPr>
        <w:t>159</w:t>
      </w:r>
      <w:r>
        <w:rPr>
          <w:color w:val="231F20"/>
          <w:spacing w:val="-8"/>
          <w:w w:val="105"/>
        </w:rPr>
        <w:t> </w:t>
      </w:r>
      <w:r>
        <w:rPr>
          <w:color w:val="231F20"/>
          <w:w w:val="105"/>
        </w:rPr>
        <w:t>pesos,</w:t>
      </w:r>
      <w:r>
        <w:rPr>
          <w:color w:val="231F20"/>
          <w:spacing w:val="-8"/>
          <w:w w:val="105"/>
        </w:rPr>
        <w:t> </w:t>
      </w:r>
      <w:r>
        <w:rPr>
          <w:color w:val="231F20"/>
          <w:w w:val="105"/>
        </w:rPr>
        <w:t>probablemente</w:t>
      </w:r>
      <w:r>
        <w:rPr>
          <w:color w:val="231F20"/>
          <w:spacing w:val="-8"/>
          <w:w w:val="105"/>
        </w:rPr>
        <w:t> </w:t>
      </w:r>
      <w:r>
        <w:rPr>
          <w:color w:val="231F20"/>
          <w:w w:val="105"/>
        </w:rPr>
        <w:t>el</w:t>
      </w:r>
      <w:r>
        <w:rPr>
          <w:color w:val="231F20"/>
          <w:spacing w:val="-8"/>
          <w:w w:val="105"/>
        </w:rPr>
        <w:t> </w:t>
      </w:r>
      <w:r>
        <w:rPr>
          <w:color w:val="231F20"/>
          <w:w w:val="105"/>
        </w:rPr>
        <w:t>más alto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entidad,</w:t>
      </w:r>
      <w:r>
        <w:rPr>
          <w:color w:val="231F20"/>
          <w:spacing w:val="-13"/>
          <w:w w:val="105"/>
        </w:rPr>
        <w:t> </w:t>
      </w:r>
      <w:r>
        <w:rPr>
          <w:color w:val="231F20"/>
          <w:w w:val="105"/>
        </w:rPr>
        <w:t>superando</w:t>
      </w:r>
      <w:r>
        <w:rPr>
          <w:color w:val="231F20"/>
          <w:spacing w:val="-13"/>
          <w:w w:val="105"/>
        </w:rPr>
        <w:t> </w:t>
      </w:r>
      <w:r>
        <w:rPr>
          <w:color w:val="231F20"/>
          <w:w w:val="105"/>
        </w:rPr>
        <w:t>incluso</w:t>
      </w:r>
      <w:r>
        <w:rPr>
          <w:color w:val="231F20"/>
          <w:spacing w:val="-13"/>
          <w:w w:val="105"/>
        </w:rPr>
        <w:t> </w:t>
      </w:r>
      <w:r>
        <w:rPr>
          <w:color w:val="231F20"/>
          <w:spacing w:val="2"/>
          <w:w w:val="105"/>
        </w:rPr>
        <w:t>al</w:t>
      </w:r>
      <w:r>
        <w:rPr>
          <w:color w:val="231F20"/>
          <w:spacing w:val="-13"/>
          <w:w w:val="105"/>
        </w:rPr>
        <w:t> </w:t>
      </w:r>
      <w:r>
        <w:rPr>
          <w:color w:val="231F20"/>
          <w:w w:val="105"/>
        </w:rPr>
        <w:t>de</w:t>
      </w:r>
      <w:r>
        <w:rPr>
          <w:color w:val="231F20"/>
          <w:spacing w:val="-13"/>
          <w:w w:val="105"/>
        </w:rPr>
        <w:t> </w:t>
      </w:r>
      <w:r>
        <w:rPr>
          <w:color w:val="231F20"/>
          <w:spacing w:val="-6"/>
          <w:w w:val="105"/>
        </w:rPr>
        <w:t>Toluca</w:t>
      </w:r>
      <w:r>
        <w:rPr>
          <w:color w:val="231F20"/>
          <w:spacing w:val="-13"/>
          <w:w w:val="105"/>
        </w:rPr>
        <w:t> </w:t>
      </w:r>
      <w:r>
        <w:rPr>
          <w:color w:val="231F20"/>
          <w:spacing w:val="-5"/>
          <w:w w:val="105"/>
        </w:rPr>
        <w:t>(de</w:t>
      </w:r>
      <w:r>
        <w:rPr>
          <w:color w:val="231F20"/>
          <w:spacing w:val="-13"/>
          <w:w w:val="105"/>
        </w:rPr>
        <w:t> </w:t>
      </w:r>
      <w:r>
        <w:rPr>
          <w:color w:val="231F20"/>
          <w:spacing w:val="-6"/>
          <w:w w:val="105"/>
        </w:rPr>
        <w:t>61</w:t>
      </w:r>
      <w:r>
        <w:rPr>
          <w:color w:val="231F20"/>
          <w:spacing w:val="-13"/>
          <w:w w:val="105"/>
        </w:rPr>
        <w:t> </w:t>
      </w:r>
      <w:r>
        <w:rPr>
          <w:color w:val="231F20"/>
          <w:spacing w:val="2"/>
          <w:w w:val="105"/>
        </w:rPr>
        <w:t>mil</w:t>
      </w:r>
      <w:r>
        <w:rPr>
          <w:color w:val="231F20"/>
          <w:spacing w:val="-13"/>
          <w:w w:val="105"/>
        </w:rPr>
        <w:t> </w:t>
      </w:r>
      <w:r>
        <w:rPr>
          <w:color w:val="231F20"/>
          <w:w w:val="105"/>
        </w:rPr>
        <w:t>839</w:t>
      </w:r>
      <w:r>
        <w:rPr>
          <w:color w:val="231F20"/>
          <w:spacing w:val="-13"/>
          <w:w w:val="105"/>
        </w:rPr>
        <w:t> </w:t>
      </w:r>
      <w:r>
        <w:rPr>
          <w:color w:val="231F20"/>
          <w:spacing w:val="-3"/>
          <w:w w:val="105"/>
        </w:rPr>
        <w:t>pesos).</w:t>
      </w:r>
    </w:p>
    <w:p>
      <w:pPr>
        <w:pStyle w:val="BodyText"/>
        <w:spacing w:before="1"/>
        <w:rPr>
          <w:sz w:val="26"/>
        </w:rPr>
      </w:pPr>
    </w:p>
    <w:p>
      <w:pPr>
        <w:pStyle w:val="BodyText"/>
        <w:spacing w:line="285" w:lineRule="auto"/>
        <w:ind w:left="110" w:right="107"/>
        <w:jc w:val="both"/>
      </w:pPr>
      <w:r>
        <w:rPr>
          <w:color w:val="231F20"/>
          <w:w w:val="105"/>
        </w:rPr>
        <w:t>Naucalpan es electoralmente importante por el número de empadronados que habita en su territorio. Las elecciones locales de 1996 marcaron un cambio sustancial en el predominio</w:t>
      </w:r>
      <w:r>
        <w:rPr>
          <w:color w:val="231F20"/>
          <w:spacing w:val="-7"/>
          <w:w w:val="105"/>
        </w:rPr>
        <w:t> </w:t>
      </w:r>
      <w:r>
        <w:rPr>
          <w:color w:val="231F20"/>
          <w:w w:val="105"/>
        </w:rPr>
        <w:t>electoral</w:t>
      </w:r>
      <w:r>
        <w:rPr>
          <w:color w:val="231F20"/>
          <w:spacing w:val="-7"/>
          <w:w w:val="105"/>
        </w:rPr>
        <w:t> </w:t>
      </w:r>
      <w:r>
        <w:rPr>
          <w:color w:val="231F20"/>
          <w:w w:val="105"/>
        </w:rPr>
        <w:t>del</w:t>
      </w:r>
      <w:r>
        <w:rPr>
          <w:color w:val="231F20"/>
          <w:spacing w:val="-7"/>
          <w:w w:val="105"/>
        </w:rPr>
        <w:t> </w:t>
      </w:r>
      <w:r>
        <w:rPr>
          <w:color w:val="231F20"/>
          <w:w w:val="105"/>
        </w:rPr>
        <w:t>Partido</w:t>
      </w:r>
      <w:r>
        <w:rPr>
          <w:color w:val="231F20"/>
          <w:spacing w:val="-7"/>
          <w:w w:val="105"/>
        </w:rPr>
        <w:t> </w:t>
      </w:r>
      <w:r>
        <w:rPr>
          <w:color w:val="231F20"/>
          <w:w w:val="105"/>
        </w:rPr>
        <w:t>Revolucionario</w:t>
      </w:r>
      <w:r>
        <w:rPr>
          <w:color w:val="231F20"/>
          <w:spacing w:val="-7"/>
          <w:w w:val="105"/>
        </w:rPr>
        <w:t> </w:t>
      </w:r>
      <w:r>
        <w:rPr>
          <w:color w:val="231F20"/>
          <w:w w:val="105"/>
        </w:rPr>
        <w:t>Institucional</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w:t>
      </w:r>
    </w:p>
    <w:p>
      <w:pPr>
        <w:spacing w:after="0" w:line="285" w:lineRule="auto"/>
        <w:jc w:val="both"/>
        <w:sectPr>
          <w:footerReference w:type="default" r:id="rId632"/>
          <w:pgSz w:w="9640" w:h="12190"/>
          <w:pgMar w:footer="743" w:header="0" w:top="1120" w:bottom="940" w:left="740" w:right="740"/>
          <w:pgNumType w:start="240"/>
        </w:sectPr>
      </w:pPr>
    </w:p>
    <w:p>
      <w:pPr>
        <w:pStyle w:val="BodyText"/>
        <w:spacing w:before="3"/>
        <w:rPr>
          <w:sz w:val="11"/>
        </w:rPr>
      </w:pPr>
    </w:p>
    <w:p>
      <w:pPr>
        <w:pStyle w:val="BodyText"/>
        <w:spacing w:line="285" w:lineRule="auto" w:before="36"/>
        <w:ind w:left="110" w:right="108"/>
        <w:jc w:val="both"/>
      </w:pPr>
      <w:r>
        <w:rPr>
          <w:color w:val="231F20"/>
        </w:rPr>
        <w:t>El </w:t>
      </w:r>
      <w:r>
        <w:rPr>
          <w:color w:val="231F20"/>
          <w:spacing w:val="-4"/>
        </w:rPr>
        <w:t>PAN </w:t>
      </w:r>
      <w:r>
        <w:rPr>
          <w:color w:val="231F20"/>
        </w:rPr>
        <w:t>y el PRD ganaron los más importantes y más poblados municipios. Acción Na- cional conquistó la presidencia municipal de Naucalpan con José Luis Durán Reveles, quien antes había sido diputado local y diputado federal. Su triunfo marca el comienzo   de la hegemonía panista en el </w:t>
      </w:r>
      <w:r>
        <w:rPr>
          <w:color w:val="231F20"/>
          <w:spacing w:val="44"/>
        </w:rPr>
        <w:t> </w:t>
      </w:r>
      <w:r>
        <w:rPr>
          <w:color w:val="231F20"/>
        </w:rPr>
        <w:t>municipio.</w:t>
      </w:r>
    </w:p>
    <w:p>
      <w:pPr>
        <w:pStyle w:val="BodyText"/>
        <w:spacing w:before="1"/>
        <w:rPr>
          <w:sz w:val="26"/>
        </w:rPr>
      </w:pPr>
    </w:p>
    <w:p>
      <w:pPr>
        <w:pStyle w:val="Heading5"/>
        <w:ind w:left="1327"/>
      </w:pPr>
      <w:r>
        <w:rPr>
          <w:color w:val="231F20"/>
          <w:w w:val="105"/>
        </w:rPr>
        <w:t>Tabla 1. Presidentes Municipales de Naucalpan de Juárez</w:t>
      </w:r>
    </w:p>
    <w:p>
      <w:pPr>
        <w:pStyle w:val="BodyText"/>
        <w:spacing w:before="10"/>
        <w:rPr>
          <w:b/>
          <w:sz w:val="28"/>
        </w:rPr>
      </w:pPr>
    </w:p>
    <w:tbl>
      <w:tblPr>
        <w:tblW w:w="0" w:type="auto"/>
        <w:jc w:val="left"/>
        <w:tblInd w:w="1896" w:type="dxa"/>
        <w:tblBorders>
          <w:top w:val="thickThinMediumGap" w:sz="3" w:space="0" w:color="C0C0BF"/>
          <w:left w:val="thickThinMediumGap" w:sz="3" w:space="0" w:color="C0C0BF"/>
          <w:bottom w:val="thickThinMediumGap" w:sz="3" w:space="0" w:color="C0C0BF"/>
          <w:right w:val="thickThinMediumGap" w:sz="3" w:space="0" w:color="C0C0BF"/>
          <w:insideH w:val="thickThinMediumGap" w:sz="3" w:space="0" w:color="C0C0BF"/>
          <w:insideV w:val="thickThinMediumGap" w:sz="3" w:space="0" w:color="C0C0BF"/>
        </w:tblBorders>
        <w:tblLayout w:type="fixed"/>
        <w:tblCellMar>
          <w:top w:w="0" w:type="dxa"/>
          <w:left w:w="0" w:type="dxa"/>
          <w:bottom w:w="0" w:type="dxa"/>
          <w:right w:w="0" w:type="dxa"/>
        </w:tblCellMar>
        <w:tblLook w:val="01E0"/>
      </w:tblPr>
      <w:tblGrid>
        <w:gridCol w:w="2899"/>
        <w:gridCol w:w="1451"/>
      </w:tblGrid>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5"/>
              <w:jc w:val="center"/>
              <w:rPr>
                <w:sz w:val="16"/>
              </w:rPr>
            </w:pPr>
            <w:r>
              <w:rPr>
                <w:color w:val="231F20"/>
                <w:w w:val="85"/>
                <w:sz w:val="16"/>
              </w:rPr>
              <w:t>PRESIDENTE</w:t>
            </w:r>
          </w:p>
        </w:tc>
        <w:tc>
          <w:tcPr>
            <w:tcW w:w="1451" w:type="dxa"/>
            <w:tcBorders>
              <w:top w:val="thinThickMediumGap" w:sz="3" w:space="0" w:color="C0C0BF"/>
              <w:left w:val="thinThickMediumGap" w:sz="3" w:space="0" w:color="C0C0BF"/>
            </w:tcBorders>
          </w:tcPr>
          <w:p>
            <w:pPr>
              <w:pStyle w:val="TableParagraph"/>
              <w:spacing w:line="170" w:lineRule="exact"/>
              <w:ind w:left="382" w:right="382"/>
              <w:jc w:val="center"/>
              <w:rPr>
                <w:sz w:val="16"/>
              </w:rPr>
            </w:pPr>
            <w:r>
              <w:rPr>
                <w:color w:val="231F20"/>
                <w:w w:val="85"/>
                <w:sz w:val="16"/>
              </w:rPr>
              <w:t>PERIODO</w:t>
            </w:r>
          </w:p>
        </w:tc>
      </w:tr>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5"/>
              <w:jc w:val="center"/>
              <w:rPr>
                <w:sz w:val="16"/>
              </w:rPr>
            </w:pPr>
            <w:r>
              <w:rPr>
                <w:color w:val="231F20"/>
                <w:w w:val="80"/>
                <w:sz w:val="16"/>
              </w:rPr>
              <w:t>Agustín Leñero Bores y Roberto Soto Prieto</w:t>
            </w:r>
          </w:p>
        </w:tc>
        <w:tc>
          <w:tcPr>
            <w:tcW w:w="1451" w:type="dxa"/>
            <w:tcBorders>
              <w:top w:val="thinThickMediumGap" w:sz="3" w:space="0" w:color="C0C0BF"/>
              <w:left w:val="thinThickMediumGap" w:sz="3" w:space="0" w:color="C0C0BF"/>
            </w:tcBorders>
          </w:tcPr>
          <w:p>
            <w:pPr>
              <w:pStyle w:val="TableParagraph"/>
              <w:spacing w:line="170" w:lineRule="exact"/>
              <w:ind w:left="382" w:right="382"/>
              <w:jc w:val="center"/>
              <w:rPr>
                <w:sz w:val="16"/>
              </w:rPr>
            </w:pPr>
            <w:r>
              <w:rPr>
                <w:color w:val="231F20"/>
                <w:w w:val="90"/>
                <w:sz w:val="16"/>
              </w:rPr>
              <w:t>1988-1990</w:t>
            </w:r>
          </w:p>
        </w:tc>
      </w:tr>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5"/>
              <w:jc w:val="center"/>
              <w:rPr>
                <w:sz w:val="16"/>
              </w:rPr>
            </w:pPr>
            <w:r>
              <w:rPr>
                <w:color w:val="231F20"/>
                <w:w w:val="75"/>
                <w:sz w:val="16"/>
              </w:rPr>
              <w:t>Mario Ruíz de Chávez</w:t>
            </w:r>
          </w:p>
        </w:tc>
        <w:tc>
          <w:tcPr>
            <w:tcW w:w="1451" w:type="dxa"/>
            <w:tcBorders>
              <w:top w:val="thinThickMediumGap" w:sz="3" w:space="0" w:color="C0C0BF"/>
              <w:left w:val="thinThickMediumGap" w:sz="3" w:space="0" w:color="C0C0BF"/>
            </w:tcBorders>
          </w:tcPr>
          <w:p>
            <w:pPr>
              <w:pStyle w:val="TableParagraph"/>
              <w:spacing w:line="170" w:lineRule="exact"/>
              <w:ind w:left="382" w:right="382"/>
              <w:jc w:val="center"/>
              <w:rPr>
                <w:sz w:val="16"/>
              </w:rPr>
            </w:pPr>
            <w:r>
              <w:rPr>
                <w:color w:val="231F20"/>
                <w:w w:val="90"/>
                <w:sz w:val="16"/>
              </w:rPr>
              <w:t>1991-1993</w:t>
            </w:r>
          </w:p>
        </w:tc>
      </w:tr>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4"/>
              <w:jc w:val="center"/>
              <w:rPr>
                <w:sz w:val="16"/>
              </w:rPr>
            </w:pPr>
            <w:r>
              <w:rPr>
                <w:color w:val="231F20"/>
                <w:w w:val="75"/>
                <w:sz w:val="16"/>
              </w:rPr>
              <w:t>Enrique Jacob Rocha</w:t>
            </w:r>
          </w:p>
        </w:tc>
        <w:tc>
          <w:tcPr>
            <w:tcW w:w="1451" w:type="dxa"/>
            <w:tcBorders>
              <w:top w:val="thinThickMediumGap" w:sz="3" w:space="0" w:color="C0C0BF"/>
              <w:left w:val="thinThickMediumGap" w:sz="3" w:space="0" w:color="C0C0BF"/>
            </w:tcBorders>
          </w:tcPr>
          <w:p>
            <w:pPr>
              <w:pStyle w:val="TableParagraph"/>
              <w:spacing w:line="170" w:lineRule="exact"/>
              <w:ind w:left="382" w:right="382"/>
              <w:jc w:val="center"/>
              <w:rPr>
                <w:sz w:val="16"/>
              </w:rPr>
            </w:pPr>
            <w:r>
              <w:rPr>
                <w:color w:val="231F20"/>
                <w:w w:val="90"/>
                <w:sz w:val="16"/>
              </w:rPr>
              <w:t>1994-1996</w:t>
            </w:r>
          </w:p>
        </w:tc>
      </w:tr>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5"/>
              <w:jc w:val="center"/>
              <w:rPr>
                <w:sz w:val="16"/>
              </w:rPr>
            </w:pPr>
            <w:r>
              <w:rPr>
                <w:color w:val="231F20"/>
                <w:w w:val="80"/>
                <w:sz w:val="16"/>
              </w:rPr>
              <w:t>José Luis Durán Reveles</w:t>
            </w:r>
          </w:p>
        </w:tc>
        <w:tc>
          <w:tcPr>
            <w:tcW w:w="1451" w:type="dxa"/>
            <w:tcBorders>
              <w:top w:val="thinThickMediumGap" w:sz="3" w:space="0" w:color="C0C0BF"/>
              <w:left w:val="thinThickMediumGap" w:sz="3" w:space="0" w:color="C0C0BF"/>
            </w:tcBorders>
          </w:tcPr>
          <w:p>
            <w:pPr>
              <w:pStyle w:val="TableParagraph"/>
              <w:spacing w:line="170" w:lineRule="exact"/>
              <w:ind w:left="384" w:right="381"/>
              <w:jc w:val="center"/>
              <w:rPr>
                <w:sz w:val="16"/>
              </w:rPr>
            </w:pPr>
            <w:r>
              <w:rPr>
                <w:color w:val="231F20"/>
                <w:w w:val="90"/>
                <w:sz w:val="16"/>
              </w:rPr>
              <w:t>1997-2000</w:t>
            </w:r>
          </w:p>
        </w:tc>
      </w:tr>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5"/>
              <w:jc w:val="center"/>
              <w:rPr>
                <w:sz w:val="16"/>
              </w:rPr>
            </w:pPr>
            <w:r>
              <w:rPr>
                <w:color w:val="231F20"/>
                <w:w w:val="75"/>
                <w:sz w:val="16"/>
              </w:rPr>
              <w:t>Eduardo Alfredo Contreras y Fernández</w:t>
            </w:r>
          </w:p>
        </w:tc>
        <w:tc>
          <w:tcPr>
            <w:tcW w:w="1451" w:type="dxa"/>
            <w:tcBorders>
              <w:top w:val="thinThickMediumGap" w:sz="3" w:space="0" w:color="C0C0BF"/>
              <w:left w:val="thinThickMediumGap" w:sz="3" w:space="0" w:color="C0C0BF"/>
            </w:tcBorders>
          </w:tcPr>
          <w:p>
            <w:pPr>
              <w:pStyle w:val="TableParagraph"/>
              <w:spacing w:line="170" w:lineRule="exact"/>
              <w:ind w:left="382" w:right="382"/>
              <w:jc w:val="center"/>
              <w:rPr>
                <w:sz w:val="16"/>
              </w:rPr>
            </w:pPr>
            <w:r>
              <w:rPr>
                <w:color w:val="231F20"/>
                <w:w w:val="90"/>
                <w:sz w:val="16"/>
              </w:rPr>
              <w:t>2000-2003</w:t>
            </w:r>
          </w:p>
        </w:tc>
      </w:tr>
      <w:tr>
        <w:trPr>
          <w:trHeight w:val="211" w:hRule="exact"/>
        </w:trPr>
        <w:tc>
          <w:tcPr>
            <w:tcW w:w="2899" w:type="dxa"/>
            <w:tcBorders>
              <w:top w:val="thinThickMediumGap" w:sz="3" w:space="0" w:color="C0C0BF"/>
              <w:left w:val="thinThickMediumGap" w:sz="3" w:space="0" w:color="C0C0BF"/>
            </w:tcBorders>
          </w:tcPr>
          <w:p>
            <w:pPr>
              <w:pStyle w:val="TableParagraph"/>
              <w:spacing w:before="5"/>
              <w:ind w:left="295" w:right="295"/>
              <w:jc w:val="center"/>
              <w:rPr>
                <w:sz w:val="16"/>
              </w:rPr>
            </w:pPr>
            <w:r>
              <w:rPr>
                <w:color w:val="231F20"/>
                <w:w w:val="75"/>
                <w:sz w:val="16"/>
              </w:rPr>
              <w:t>Angélica Moya Marín</w:t>
            </w:r>
          </w:p>
        </w:tc>
        <w:tc>
          <w:tcPr>
            <w:tcW w:w="1451" w:type="dxa"/>
            <w:tcBorders>
              <w:top w:val="thinThickMediumGap" w:sz="3" w:space="0" w:color="C0C0BF"/>
              <w:left w:val="thinThickMediumGap" w:sz="3" w:space="0" w:color="C0C0BF"/>
            </w:tcBorders>
          </w:tcPr>
          <w:p>
            <w:pPr>
              <w:pStyle w:val="TableParagraph"/>
              <w:spacing w:before="5"/>
              <w:ind w:left="382" w:right="382"/>
              <w:jc w:val="center"/>
              <w:rPr>
                <w:sz w:val="16"/>
              </w:rPr>
            </w:pPr>
            <w:r>
              <w:rPr>
                <w:color w:val="231F20"/>
                <w:w w:val="90"/>
                <w:sz w:val="16"/>
              </w:rPr>
              <w:t>2003-2006</w:t>
            </w:r>
          </w:p>
        </w:tc>
      </w:tr>
      <w:tr>
        <w:trPr>
          <w:trHeight w:val="150" w:hRule="exact"/>
        </w:trPr>
        <w:tc>
          <w:tcPr>
            <w:tcW w:w="2899" w:type="dxa"/>
            <w:tcBorders>
              <w:top w:val="thinThickMediumGap" w:sz="3" w:space="0" w:color="C0C0BF"/>
              <w:left w:val="thinThickMediumGap" w:sz="3" w:space="0" w:color="C0C0BF"/>
            </w:tcBorders>
          </w:tcPr>
          <w:p>
            <w:pPr>
              <w:pStyle w:val="TableParagraph"/>
              <w:spacing w:line="170" w:lineRule="exact"/>
              <w:ind w:left="295" w:right="295"/>
              <w:jc w:val="center"/>
              <w:rPr>
                <w:sz w:val="16"/>
              </w:rPr>
            </w:pPr>
            <w:r>
              <w:rPr>
                <w:color w:val="231F20"/>
                <w:w w:val="80"/>
                <w:sz w:val="16"/>
              </w:rPr>
              <w:t>José Luis Durán Reveles</w:t>
            </w:r>
          </w:p>
        </w:tc>
        <w:tc>
          <w:tcPr>
            <w:tcW w:w="1451" w:type="dxa"/>
            <w:tcBorders>
              <w:top w:val="thinThickMediumGap" w:sz="3" w:space="0" w:color="C0C0BF"/>
              <w:left w:val="thinThickMediumGap" w:sz="3" w:space="0" w:color="C0C0BF"/>
            </w:tcBorders>
          </w:tcPr>
          <w:p>
            <w:pPr>
              <w:pStyle w:val="TableParagraph"/>
              <w:spacing w:line="170" w:lineRule="exact"/>
              <w:ind w:left="382" w:right="382"/>
              <w:jc w:val="center"/>
              <w:rPr>
                <w:sz w:val="16"/>
              </w:rPr>
            </w:pPr>
            <w:r>
              <w:rPr>
                <w:color w:val="231F20"/>
                <w:w w:val="90"/>
                <w:sz w:val="16"/>
              </w:rPr>
              <w:t>2006-2009</w:t>
            </w:r>
          </w:p>
        </w:tc>
      </w:tr>
    </w:tbl>
    <w:p>
      <w:pPr>
        <w:pStyle w:val="BodyText"/>
        <w:spacing w:before="10"/>
        <w:rPr>
          <w:b/>
          <w:sz w:val="18"/>
        </w:rPr>
      </w:pPr>
    </w:p>
    <w:p>
      <w:pPr>
        <w:spacing w:line="369" w:lineRule="auto" w:before="74"/>
        <w:ind w:left="1877" w:right="-2" w:firstLine="2233"/>
        <w:jc w:val="left"/>
        <w:rPr>
          <w:rFonts w:ascii="Calibri" w:hAnsi="Calibri"/>
          <w:sz w:val="16"/>
        </w:rPr>
      </w:pPr>
      <w:r>
        <w:rPr>
          <w:rFonts w:ascii="Calibri" w:hAnsi="Calibri"/>
          <w:color w:val="231F20"/>
          <w:sz w:val="16"/>
        </w:rPr>
        <w:t>Fuente:</w:t>
      </w:r>
      <w:r>
        <w:rPr>
          <w:rFonts w:ascii="Calibri" w:hAnsi="Calibri"/>
          <w:color w:val="231F20"/>
          <w:spacing w:val="-8"/>
          <w:sz w:val="16"/>
        </w:rPr>
        <w:t> </w:t>
      </w:r>
      <w:r>
        <w:rPr>
          <w:rFonts w:ascii="Calibri" w:hAnsi="Calibri"/>
          <w:color w:val="231F20"/>
          <w:sz w:val="16"/>
        </w:rPr>
        <w:t>Enciclopedia</w:t>
      </w:r>
      <w:r>
        <w:rPr>
          <w:rFonts w:ascii="Calibri" w:hAnsi="Calibri"/>
          <w:color w:val="231F20"/>
          <w:spacing w:val="-8"/>
          <w:sz w:val="16"/>
        </w:rPr>
        <w:t> </w:t>
      </w:r>
      <w:r>
        <w:rPr>
          <w:rFonts w:ascii="Calibri" w:hAnsi="Calibri"/>
          <w:color w:val="231F20"/>
          <w:sz w:val="16"/>
        </w:rPr>
        <w:t>de</w:t>
      </w:r>
      <w:r>
        <w:rPr>
          <w:rFonts w:ascii="Calibri" w:hAnsi="Calibri"/>
          <w:color w:val="231F20"/>
          <w:spacing w:val="-8"/>
          <w:sz w:val="16"/>
        </w:rPr>
        <w:t> </w:t>
      </w:r>
      <w:r>
        <w:rPr>
          <w:rFonts w:ascii="Calibri" w:hAnsi="Calibri"/>
          <w:color w:val="231F20"/>
          <w:sz w:val="16"/>
        </w:rPr>
        <w:t>los</w:t>
      </w:r>
      <w:r>
        <w:rPr>
          <w:rFonts w:ascii="Calibri" w:hAnsi="Calibri"/>
          <w:color w:val="231F20"/>
          <w:spacing w:val="-8"/>
          <w:sz w:val="16"/>
        </w:rPr>
        <w:t> </w:t>
      </w:r>
      <w:r>
        <w:rPr>
          <w:rFonts w:ascii="Calibri" w:hAnsi="Calibri"/>
          <w:color w:val="231F20"/>
          <w:sz w:val="16"/>
        </w:rPr>
        <w:t>municipios</w:t>
      </w:r>
      <w:r>
        <w:rPr>
          <w:rFonts w:ascii="Calibri" w:hAnsi="Calibri"/>
          <w:color w:val="231F20"/>
          <w:spacing w:val="-8"/>
          <w:sz w:val="16"/>
        </w:rPr>
        <w:t> </w:t>
      </w:r>
      <w:r>
        <w:rPr>
          <w:rFonts w:ascii="Calibri" w:hAnsi="Calibri"/>
          <w:color w:val="231F20"/>
          <w:sz w:val="16"/>
        </w:rPr>
        <w:t>del</w:t>
      </w:r>
      <w:r>
        <w:rPr>
          <w:rFonts w:ascii="Calibri" w:hAnsi="Calibri"/>
          <w:color w:val="231F20"/>
          <w:spacing w:val="-8"/>
          <w:sz w:val="16"/>
        </w:rPr>
        <w:t> </w:t>
      </w:r>
      <w:r>
        <w:rPr>
          <w:rFonts w:ascii="Calibri" w:hAnsi="Calibri"/>
          <w:color w:val="231F20"/>
          <w:sz w:val="16"/>
        </w:rPr>
        <w:t>Estado</w:t>
      </w:r>
      <w:r>
        <w:rPr>
          <w:rFonts w:ascii="Calibri" w:hAnsi="Calibri"/>
          <w:color w:val="231F20"/>
          <w:spacing w:val="-8"/>
          <w:sz w:val="16"/>
        </w:rPr>
        <w:t> </w:t>
      </w:r>
      <w:r>
        <w:rPr>
          <w:rFonts w:ascii="Calibri" w:hAnsi="Calibri"/>
          <w:color w:val="231F20"/>
          <w:sz w:val="16"/>
        </w:rPr>
        <w:t>de</w:t>
      </w:r>
      <w:r>
        <w:rPr>
          <w:rFonts w:ascii="Calibri" w:hAnsi="Calibri"/>
          <w:color w:val="231F20"/>
          <w:spacing w:val="-8"/>
          <w:sz w:val="16"/>
        </w:rPr>
        <w:t> </w:t>
      </w:r>
      <w:r>
        <w:rPr>
          <w:rFonts w:ascii="Calibri" w:hAnsi="Calibri"/>
          <w:color w:val="231F20"/>
          <w:sz w:val="16"/>
        </w:rPr>
        <w:t>México, México,</w:t>
      </w:r>
      <w:r>
        <w:rPr>
          <w:rFonts w:ascii="Calibri" w:hAnsi="Calibri"/>
          <w:color w:val="231F20"/>
          <w:spacing w:val="-17"/>
          <w:sz w:val="16"/>
        </w:rPr>
        <w:t> </w:t>
      </w:r>
      <w:r>
        <w:rPr>
          <w:rFonts w:ascii="Calibri" w:hAnsi="Calibri"/>
          <w:color w:val="231F20"/>
          <w:sz w:val="16"/>
        </w:rPr>
        <w:t>Instituto</w:t>
      </w:r>
      <w:r>
        <w:rPr>
          <w:rFonts w:ascii="Calibri" w:hAnsi="Calibri"/>
          <w:color w:val="231F20"/>
          <w:spacing w:val="-17"/>
          <w:sz w:val="16"/>
        </w:rPr>
        <w:t> </w:t>
      </w:r>
      <w:r>
        <w:rPr>
          <w:rFonts w:ascii="Calibri" w:hAnsi="Calibri"/>
          <w:color w:val="231F20"/>
          <w:sz w:val="16"/>
        </w:rPr>
        <w:t>Nacional</w:t>
      </w:r>
      <w:r>
        <w:rPr>
          <w:rFonts w:ascii="Calibri" w:hAnsi="Calibri"/>
          <w:color w:val="231F20"/>
          <w:spacing w:val="-17"/>
          <w:sz w:val="16"/>
        </w:rPr>
        <w:t> </w:t>
      </w:r>
      <w:r>
        <w:rPr>
          <w:rFonts w:ascii="Calibri" w:hAnsi="Calibri"/>
          <w:color w:val="231F20"/>
          <w:sz w:val="16"/>
        </w:rPr>
        <w:t>para</w:t>
      </w:r>
      <w:r>
        <w:rPr>
          <w:rFonts w:ascii="Calibri" w:hAnsi="Calibri"/>
          <w:color w:val="231F20"/>
          <w:spacing w:val="-17"/>
          <w:sz w:val="16"/>
        </w:rPr>
        <w:t> </w:t>
      </w:r>
      <w:r>
        <w:rPr>
          <w:rFonts w:ascii="Calibri" w:hAnsi="Calibri"/>
          <w:color w:val="231F20"/>
          <w:sz w:val="16"/>
        </w:rPr>
        <w:t>el</w:t>
      </w:r>
      <w:r>
        <w:rPr>
          <w:rFonts w:ascii="Calibri" w:hAnsi="Calibri"/>
          <w:color w:val="231F20"/>
          <w:spacing w:val="-17"/>
          <w:sz w:val="16"/>
        </w:rPr>
        <w:t> </w:t>
      </w:r>
      <w:r>
        <w:rPr>
          <w:rFonts w:ascii="Calibri" w:hAnsi="Calibri"/>
          <w:color w:val="231F20"/>
          <w:sz w:val="16"/>
        </w:rPr>
        <w:t>Federalismo</w:t>
      </w:r>
      <w:r>
        <w:rPr>
          <w:rFonts w:ascii="Calibri" w:hAnsi="Calibri"/>
          <w:color w:val="231F20"/>
          <w:spacing w:val="-17"/>
          <w:sz w:val="16"/>
        </w:rPr>
        <w:t> </w:t>
      </w:r>
      <w:r>
        <w:rPr>
          <w:rFonts w:ascii="Calibri" w:hAnsi="Calibri"/>
          <w:color w:val="231F20"/>
          <w:sz w:val="16"/>
        </w:rPr>
        <w:t>y</w:t>
      </w:r>
      <w:r>
        <w:rPr>
          <w:rFonts w:ascii="Calibri" w:hAnsi="Calibri"/>
          <w:color w:val="231F20"/>
          <w:spacing w:val="-17"/>
          <w:sz w:val="16"/>
        </w:rPr>
        <w:t> </w:t>
      </w:r>
      <w:r>
        <w:rPr>
          <w:rFonts w:ascii="Calibri" w:hAnsi="Calibri"/>
          <w:color w:val="231F20"/>
          <w:sz w:val="16"/>
        </w:rPr>
        <w:t>el</w:t>
      </w:r>
      <w:r>
        <w:rPr>
          <w:rFonts w:ascii="Calibri" w:hAnsi="Calibri"/>
          <w:color w:val="231F20"/>
          <w:spacing w:val="-17"/>
          <w:sz w:val="16"/>
        </w:rPr>
        <w:t> </w:t>
      </w:r>
      <w:r>
        <w:rPr>
          <w:rFonts w:ascii="Calibri" w:hAnsi="Calibri"/>
          <w:color w:val="231F20"/>
          <w:sz w:val="16"/>
        </w:rPr>
        <w:t>Desarrollo</w:t>
      </w:r>
      <w:r>
        <w:rPr>
          <w:rFonts w:ascii="Calibri" w:hAnsi="Calibri"/>
          <w:color w:val="231F20"/>
          <w:spacing w:val="-17"/>
          <w:sz w:val="16"/>
        </w:rPr>
        <w:t> </w:t>
      </w:r>
      <w:r>
        <w:rPr>
          <w:rFonts w:ascii="Calibri" w:hAnsi="Calibri"/>
          <w:color w:val="231F20"/>
          <w:sz w:val="16"/>
        </w:rPr>
        <w:t>Municipal,</w:t>
      </w:r>
      <w:r>
        <w:rPr>
          <w:rFonts w:ascii="Calibri" w:hAnsi="Calibri"/>
          <w:color w:val="231F20"/>
          <w:spacing w:val="-17"/>
          <w:sz w:val="16"/>
        </w:rPr>
        <w:t> </w:t>
      </w:r>
      <w:r>
        <w:rPr>
          <w:rFonts w:ascii="Calibri" w:hAnsi="Calibri"/>
          <w:color w:val="231F20"/>
          <w:sz w:val="16"/>
        </w:rPr>
        <w:t>Estado</w:t>
      </w:r>
      <w:r>
        <w:rPr>
          <w:rFonts w:ascii="Calibri" w:hAnsi="Calibri"/>
          <w:color w:val="231F20"/>
          <w:spacing w:val="-17"/>
          <w:sz w:val="16"/>
        </w:rPr>
        <w:t> </w:t>
      </w:r>
      <w:r>
        <w:rPr>
          <w:rFonts w:ascii="Calibri" w:hAnsi="Calibri"/>
          <w:color w:val="231F20"/>
          <w:sz w:val="16"/>
        </w:rPr>
        <w:t>de</w:t>
      </w:r>
      <w:r>
        <w:rPr>
          <w:rFonts w:ascii="Calibri" w:hAnsi="Calibri"/>
          <w:color w:val="231F20"/>
          <w:spacing w:val="-17"/>
          <w:sz w:val="16"/>
        </w:rPr>
        <w:t> </w:t>
      </w:r>
      <w:r>
        <w:rPr>
          <w:rFonts w:ascii="Calibri" w:hAnsi="Calibri"/>
          <w:color w:val="231F20"/>
          <w:sz w:val="16"/>
        </w:rPr>
        <w:t>México,</w:t>
      </w:r>
      <w:r>
        <w:rPr>
          <w:rFonts w:ascii="Calibri" w:hAnsi="Calibri"/>
          <w:color w:val="231F20"/>
          <w:spacing w:val="-17"/>
          <w:sz w:val="16"/>
        </w:rPr>
        <w:t> </w:t>
      </w:r>
      <w:r>
        <w:rPr>
          <w:rFonts w:ascii="Calibri" w:hAnsi="Calibri"/>
          <w:color w:val="231F20"/>
          <w:sz w:val="16"/>
        </w:rPr>
        <w:t>2005.</w:t>
      </w:r>
    </w:p>
    <w:p>
      <w:pPr>
        <w:pStyle w:val="BodyText"/>
        <w:spacing w:before="7"/>
        <w:rPr>
          <w:rFonts w:ascii="Calibri"/>
          <w:sz w:val="14"/>
        </w:rPr>
      </w:pPr>
    </w:p>
    <w:p>
      <w:pPr>
        <w:pStyle w:val="Heading4"/>
        <w:spacing w:before="1"/>
        <w:rPr>
          <w:i/>
        </w:rPr>
      </w:pPr>
      <w:r>
        <w:rPr>
          <w:i/>
          <w:color w:val="231F20"/>
          <w:w w:val="105"/>
        </w:rPr>
        <w:t>La gestión 1997-2000 de Durán Reveles</w:t>
      </w:r>
    </w:p>
    <w:p>
      <w:pPr>
        <w:pStyle w:val="BodyText"/>
        <w:spacing w:line="285" w:lineRule="auto" w:before="17"/>
        <w:ind w:left="110" w:right="107"/>
        <w:jc w:val="both"/>
        <w:rPr>
          <w:sz w:val="13"/>
        </w:rPr>
      </w:pP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evaluación</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primera</w:t>
      </w:r>
      <w:r>
        <w:rPr>
          <w:color w:val="231F20"/>
          <w:spacing w:val="-21"/>
          <w:w w:val="105"/>
        </w:rPr>
        <w:t> </w:t>
      </w:r>
      <w:r>
        <w:rPr>
          <w:color w:val="231F20"/>
          <w:w w:val="105"/>
        </w:rPr>
        <w:t>gestión</w:t>
      </w:r>
      <w:r>
        <w:rPr>
          <w:color w:val="231F20"/>
          <w:spacing w:val="-21"/>
          <w:w w:val="105"/>
        </w:rPr>
        <w:t> </w:t>
      </w:r>
      <w:r>
        <w:rPr>
          <w:color w:val="231F20"/>
          <w:w w:val="105"/>
        </w:rPr>
        <w:t>como</w:t>
      </w:r>
      <w:r>
        <w:rPr>
          <w:color w:val="231F20"/>
          <w:spacing w:val="-21"/>
          <w:w w:val="105"/>
        </w:rPr>
        <w:t> </w:t>
      </w:r>
      <w:r>
        <w:rPr>
          <w:color w:val="231F20"/>
          <w:w w:val="105"/>
        </w:rPr>
        <w:t>presidente</w:t>
      </w:r>
      <w:r>
        <w:rPr>
          <w:color w:val="231F20"/>
          <w:spacing w:val="-21"/>
          <w:w w:val="105"/>
        </w:rPr>
        <w:t> </w:t>
      </w:r>
      <w:r>
        <w:rPr>
          <w:color w:val="231F20"/>
          <w:w w:val="105"/>
        </w:rPr>
        <w:t>municipal</w:t>
      </w:r>
      <w:r>
        <w:rPr>
          <w:color w:val="231F20"/>
          <w:spacing w:val="-21"/>
          <w:w w:val="105"/>
        </w:rPr>
        <w:t> </w:t>
      </w:r>
      <w:r>
        <w:rPr>
          <w:color w:val="231F20"/>
          <w:w w:val="105"/>
        </w:rPr>
        <w:t>de</w:t>
      </w:r>
      <w:r>
        <w:rPr>
          <w:color w:val="231F20"/>
          <w:spacing w:val="-21"/>
          <w:w w:val="105"/>
        </w:rPr>
        <w:t> </w:t>
      </w:r>
      <w:r>
        <w:rPr>
          <w:color w:val="231F20"/>
          <w:w w:val="105"/>
        </w:rPr>
        <w:t>Naucalpan,</w:t>
      </w:r>
      <w:r>
        <w:rPr>
          <w:color w:val="231F20"/>
          <w:spacing w:val="-21"/>
          <w:w w:val="105"/>
        </w:rPr>
        <w:t> </w:t>
      </w:r>
      <w:r>
        <w:rPr>
          <w:color w:val="231F20"/>
          <w:w w:val="105"/>
        </w:rPr>
        <w:t>Durán Reveles</w:t>
      </w:r>
      <w:r>
        <w:rPr>
          <w:color w:val="231F20"/>
          <w:spacing w:val="-29"/>
          <w:w w:val="105"/>
        </w:rPr>
        <w:t> </w:t>
      </w:r>
      <w:r>
        <w:rPr>
          <w:color w:val="231F20"/>
          <w:w w:val="105"/>
        </w:rPr>
        <w:t>señaló</w:t>
      </w:r>
      <w:r>
        <w:rPr>
          <w:color w:val="231F20"/>
          <w:spacing w:val="-29"/>
          <w:w w:val="105"/>
        </w:rPr>
        <w:t> </w:t>
      </w:r>
      <w:r>
        <w:rPr>
          <w:color w:val="231F20"/>
          <w:w w:val="105"/>
        </w:rPr>
        <w:t>que</w:t>
      </w:r>
      <w:r>
        <w:rPr>
          <w:color w:val="231F20"/>
          <w:spacing w:val="-29"/>
          <w:w w:val="105"/>
        </w:rPr>
        <w:t> </w:t>
      </w:r>
      <w:r>
        <w:rPr>
          <w:color w:val="231F20"/>
          <w:w w:val="105"/>
        </w:rPr>
        <w:t>los</w:t>
      </w:r>
      <w:r>
        <w:rPr>
          <w:color w:val="231F20"/>
          <w:spacing w:val="-29"/>
          <w:w w:val="105"/>
        </w:rPr>
        <w:t> </w:t>
      </w:r>
      <w:r>
        <w:rPr>
          <w:color w:val="231F20"/>
          <w:w w:val="105"/>
        </w:rPr>
        <w:t>ejes</w:t>
      </w:r>
      <w:r>
        <w:rPr>
          <w:color w:val="231F20"/>
          <w:spacing w:val="-29"/>
          <w:w w:val="105"/>
        </w:rPr>
        <w:t> </w:t>
      </w:r>
      <w:r>
        <w:rPr>
          <w:color w:val="231F20"/>
          <w:w w:val="105"/>
        </w:rPr>
        <w:t>de</w:t>
      </w:r>
      <w:r>
        <w:rPr>
          <w:color w:val="231F20"/>
          <w:spacing w:val="-29"/>
          <w:w w:val="105"/>
        </w:rPr>
        <w:t> </w:t>
      </w:r>
      <w:r>
        <w:rPr>
          <w:color w:val="231F20"/>
          <w:w w:val="105"/>
        </w:rPr>
        <w:t>su</w:t>
      </w:r>
      <w:r>
        <w:rPr>
          <w:color w:val="231F20"/>
          <w:spacing w:val="-29"/>
          <w:w w:val="105"/>
        </w:rPr>
        <w:t> </w:t>
      </w:r>
      <w:r>
        <w:rPr>
          <w:color w:val="231F20"/>
          <w:w w:val="105"/>
        </w:rPr>
        <w:t>gobierno</w:t>
      </w:r>
      <w:r>
        <w:rPr>
          <w:color w:val="231F20"/>
          <w:spacing w:val="-29"/>
          <w:w w:val="105"/>
        </w:rPr>
        <w:t> </w:t>
      </w:r>
      <w:r>
        <w:rPr>
          <w:color w:val="231F20"/>
          <w:w w:val="105"/>
        </w:rPr>
        <w:t>fueron</w:t>
      </w:r>
      <w:r>
        <w:rPr>
          <w:color w:val="231F20"/>
          <w:spacing w:val="-29"/>
          <w:w w:val="105"/>
        </w:rPr>
        <w:t> </w:t>
      </w:r>
      <w:r>
        <w:rPr>
          <w:color w:val="231F20"/>
          <w:w w:val="105"/>
        </w:rPr>
        <w:t>la</w:t>
      </w:r>
      <w:r>
        <w:rPr>
          <w:color w:val="231F20"/>
          <w:spacing w:val="-29"/>
          <w:w w:val="105"/>
        </w:rPr>
        <w:t> </w:t>
      </w:r>
      <w:r>
        <w:rPr>
          <w:color w:val="231F20"/>
          <w:w w:val="105"/>
        </w:rPr>
        <w:t>honestidad</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eficiencia.</w:t>
      </w:r>
      <w:r>
        <w:rPr>
          <w:color w:val="231F20"/>
          <w:spacing w:val="-29"/>
          <w:w w:val="105"/>
        </w:rPr>
        <w:t> </w:t>
      </w:r>
      <w:r>
        <w:rPr>
          <w:color w:val="231F20"/>
          <w:w w:val="105"/>
        </w:rPr>
        <w:t>A</w:t>
      </w:r>
      <w:r>
        <w:rPr>
          <w:color w:val="231F20"/>
          <w:spacing w:val="-29"/>
          <w:w w:val="105"/>
        </w:rPr>
        <w:t> </w:t>
      </w:r>
      <w:r>
        <w:rPr>
          <w:color w:val="231F20"/>
          <w:spacing w:val="2"/>
          <w:w w:val="105"/>
        </w:rPr>
        <w:t>partir</w:t>
      </w:r>
      <w:r>
        <w:rPr>
          <w:color w:val="231F20"/>
          <w:spacing w:val="-29"/>
          <w:w w:val="105"/>
        </w:rPr>
        <w:t> </w:t>
      </w:r>
      <w:r>
        <w:rPr>
          <w:color w:val="231F20"/>
          <w:w w:val="105"/>
        </w:rPr>
        <w:t>de </w:t>
      </w:r>
      <w:r>
        <w:rPr>
          <w:color w:val="231F20"/>
          <w:spacing w:val="2"/>
          <w:w w:val="105"/>
        </w:rPr>
        <w:t>ahí</w:t>
      </w:r>
      <w:r>
        <w:rPr>
          <w:color w:val="231F20"/>
          <w:spacing w:val="-18"/>
          <w:w w:val="105"/>
        </w:rPr>
        <w:t> </w:t>
      </w:r>
      <w:r>
        <w:rPr>
          <w:color w:val="231F20"/>
          <w:w w:val="105"/>
        </w:rPr>
        <w:t>se</w:t>
      </w:r>
      <w:r>
        <w:rPr>
          <w:color w:val="231F20"/>
          <w:spacing w:val="-18"/>
          <w:w w:val="105"/>
        </w:rPr>
        <w:t> </w:t>
      </w:r>
      <w:r>
        <w:rPr>
          <w:color w:val="231F20"/>
          <w:w w:val="105"/>
        </w:rPr>
        <w:t>planteó</w:t>
      </w:r>
      <w:r>
        <w:rPr>
          <w:color w:val="231F20"/>
          <w:spacing w:val="-18"/>
          <w:w w:val="105"/>
        </w:rPr>
        <w:t> </w:t>
      </w:r>
      <w:r>
        <w:rPr>
          <w:color w:val="231F20"/>
          <w:w w:val="105"/>
        </w:rPr>
        <w:t>el</w:t>
      </w:r>
      <w:r>
        <w:rPr>
          <w:color w:val="231F20"/>
          <w:spacing w:val="-18"/>
          <w:w w:val="105"/>
        </w:rPr>
        <w:t> </w:t>
      </w:r>
      <w:r>
        <w:rPr>
          <w:color w:val="231F20"/>
          <w:w w:val="105"/>
        </w:rPr>
        <w:t>cumplimiento</w:t>
      </w:r>
      <w:r>
        <w:rPr>
          <w:color w:val="231F20"/>
          <w:spacing w:val="-18"/>
          <w:w w:val="105"/>
        </w:rPr>
        <w:t> </w:t>
      </w:r>
      <w:r>
        <w:rPr>
          <w:color w:val="231F20"/>
          <w:w w:val="105"/>
        </w:rPr>
        <w:t>de</w:t>
      </w:r>
      <w:r>
        <w:rPr>
          <w:color w:val="231F20"/>
          <w:spacing w:val="-18"/>
          <w:w w:val="105"/>
        </w:rPr>
        <w:t> </w:t>
      </w:r>
      <w:r>
        <w:rPr>
          <w:color w:val="231F20"/>
          <w:w w:val="105"/>
        </w:rPr>
        <w:t>sus</w:t>
      </w:r>
      <w:r>
        <w:rPr>
          <w:color w:val="231F20"/>
          <w:spacing w:val="-18"/>
          <w:w w:val="105"/>
        </w:rPr>
        <w:t> </w:t>
      </w:r>
      <w:r>
        <w:rPr>
          <w:color w:val="231F20"/>
          <w:w w:val="105"/>
        </w:rPr>
        <w:t>funciones</w:t>
      </w:r>
      <w:r>
        <w:rPr>
          <w:color w:val="231F20"/>
          <w:spacing w:val="-18"/>
          <w:w w:val="105"/>
        </w:rPr>
        <w:t> </w:t>
      </w:r>
      <w:r>
        <w:rPr>
          <w:color w:val="231F20"/>
          <w:w w:val="105"/>
        </w:rPr>
        <w:t>para</w:t>
      </w:r>
      <w:r>
        <w:rPr>
          <w:color w:val="231F20"/>
          <w:spacing w:val="-18"/>
          <w:w w:val="105"/>
        </w:rPr>
        <w:t> </w:t>
      </w:r>
      <w:r>
        <w:rPr>
          <w:color w:val="231F20"/>
          <w:w w:val="105"/>
        </w:rPr>
        <w:t>obtener</w:t>
      </w:r>
      <w:r>
        <w:rPr>
          <w:color w:val="231F20"/>
          <w:spacing w:val="-18"/>
          <w:w w:val="105"/>
        </w:rPr>
        <w:t> </w:t>
      </w:r>
      <w:r>
        <w:rPr>
          <w:color w:val="231F20"/>
          <w:w w:val="105"/>
        </w:rPr>
        <w:t>el</w:t>
      </w:r>
      <w:r>
        <w:rPr>
          <w:color w:val="231F20"/>
          <w:spacing w:val="-18"/>
          <w:w w:val="105"/>
        </w:rPr>
        <w:t> </w:t>
      </w:r>
      <w:r>
        <w:rPr>
          <w:color w:val="231F20"/>
          <w:w w:val="105"/>
        </w:rPr>
        <w:t>bien</w:t>
      </w:r>
      <w:r>
        <w:rPr>
          <w:color w:val="231F20"/>
          <w:spacing w:val="-18"/>
          <w:w w:val="105"/>
        </w:rPr>
        <w:t> </w:t>
      </w:r>
      <w:r>
        <w:rPr>
          <w:color w:val="231F20"/>
          <w:w w:val="105"/>
        </w:rPr>
        <w:t>común</w:t>
      </w:r>
      <w:r>
        <w:rPr>
          <w:color w:val="231F20"/>
          <w:spacing w:val="-18"/>
          <w:w w:val="105"/>
        </w:rPr>
        <w:t> </w:t>
      </w:r>
      <w:r>
        <w:rPr>
          <w:color w:val="231F20"/>
          <w:w w:val="105"/>
        </w:rPr>
        <w:t>de</w:t>
      </w:r>
      <w:r>
        <w:rPr>
          <w:color w:val="231F20"/>
          <w:spacing w:val="-18"/>
          <w:w w:val="105"/>
        </w:rPr>
        <w:t> </w:t>
      </w:r>
      <w:r>
        <w:rPr>
          <w:color w:val="231F20"/>
          <w:w w:val="105"/>
        </w:rPr>
        <w:t>todos</w:t>
      </w:r>
      <w:r>
        <w:rPr>
          <w:color w:val="231F20"/>
          <w:spacing w:val="-18"/>
          <w:w w:val="105"/>
        </w:rPr>
        <w:t> </w:t>
      </w:r>
      <w:r>
        <w:rPr>
          <w:color w:val="231F20"/>
          <w:w w:val="105"/>
        </w:rPr>
        <w:t>los habitantes</w:t>
      </w:r>
      <w:r>
        <w:rPr>
          <w:color w:val="231F20"/>
          <w:spacing w:val="-10"/>
          <w:w w:val="105"/>
        </w:rPr>
        <w:t> </w:t>
      </w:r>
      <w:r>
        <w:rPr>
          <w:color w:val="231F20"/>
          <w:w w:val="105"/>
        </w:rPr>
        <w:t>del</w:t>
      </w:r>
      <w:r>
        <w:rPr>
          <w:color w:val="231F20"/>
          <w:spacing w:val="-10"/>
          <w:w w:val="105"/>
        </w:rPr>
        <w:t> </w:t>
      </w:r>
      <w:r>
        <w:rPr>
          <w:color w:val="231F20"/>
          <w:w w:val="105"/>
        </w:rPr>
        <w:t>municipio.</w:t>
      </w:r>
      <w:r>
        <w:rPr>
          <w:color w:val="231F20"/>
          <w:spacing w:val="-10"/>
          <w:w w:val="105"/>
        </w:rPr>
        <w:t> </w:t>
      </w:r>
      <w:r>
        <w:rPr>
          <w:color w:val="231F20"/>
          <w:w w:val="105"/>
        </w:rPr>
        <w:t>En</w:t>
      </w:r>
      <w:r>
        <w:rPr>
          <w:color w:val="231F20"/>
          <w:spacing w:val="-10"/>
          <w:w w:val="105"/>
        </w:rPr>
        <w:t> </w:t>
      </w:r>
      <w:r>
        <w:rPr>
          <w:color w:val="231F20"/>
          <w:w w:val="105"/>
        </w:rPr>
        <w:t>ese</w:t>
      </w:r>
      <w:r>
        <w:rPr>
          <w:color w:val="231F20"/>
          <w:spacing w:val="-10"/>
          <w:w w:val="105"/>
        </w:rPr>
        <w:t> </w:t>
      </w:r>
      <w:r>
        <w:rPr>
          <w:color w:val="231F20"/>
          <w:w w:val="105"/>
        </w:rPr>
        <w:t>entonces</w:t>
      </w:r>
      <w:r>
        <w:rPr>
          <w:color w:val="231F20"/>
          <w:spacing w:val="-10"/>
          <w:w w:val="105"/>
        </w:rPr>
        <w:t> </w:t>
      </w:r>
      <w:r>
        <w:rPr>
          <w:color w:val="231F20"/>
          <w:w w:val="105"/>
        </w:rPr>
        <w:t>una</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ideas</w:t>
      </w:r>
      <w:r>
        <w:rPr>
          <w:color w:val="231F20"/>
          <w:spacing w:val="-10"/>
          <w:w w:val="105"/>
        </w:rPr>
        <w:t> </w:t>
      </w:r>
      <w:r>
        <w:rPr>
          <w:color w:val="231F20"/>
          <w:w w:val="105"/>
        </w:rPr>
        <w:t>reiteradas</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gobernan- tes panistas era que se había hecho </w:t>
      </w:r>
      <w:r>
        <w:rPr>
          <w:color w:val="231F20"/>
          <w:spacing w:val="-3"/>
          <w:w w:val="105"/>
        </w:rPr>
        <w:t>mucho </w:t>
      </w:r>
      <w:r>
        <w:rPr>
          <w:color w:val="231F20"/>
          <w:w w:val="105"/>
        </w:rPr>
        <w:t>con poco presupuesto. </w:t>
      </w:r>
      <w:r>
        <w:rPr>
          <w:color w:val="231F20"/>
          <w:spacing w:val="-3"/>
          <w:w w:val="105"/>
        </w:rPr>
        <w:t>Por ejemplo </w:t>
      </w:r>
      <w:r>
        <w:rPr>
          <w:color w:val="231F20"/>
          <w:w w:val="105"/>
        </w:rPr>
        <w:t>el</w:t>
      </w:r>
      <w:r>
        <w:rPr>
          <w:color w:val="231F20"/>
          <w:spacing w:val="-39"/>
          <w:w w:val="105"/>
        </w:rPr>
        <w:t> </w:t>
      </w:r>
      <w:r>
        <w:rPr>
          <w:color w:val="231F20"/>
          <w:w w:val="105"/>
        </w:rPr>
        <w:t>tercer informe</w:t>
      </w:r>
      <w:r>
        <w:rPr>
          <w:color w:val="231F20"/>
          <w:spacing w:val="-21"/>
          <w:w w:val="105"/>
        </w:rPr>
        <w:t> </w:t>
      </w:r>
      <w:r>
        <w:rPr>
          <w:color w:val="231F20"/>
          <w:w w:val="105"/>
        </w:rPr>
        <w:t>de</w:t>
      </w:r>
      <w:r>
        <w:rPr>
          <w:color w:val="231F20"/>
          <w:spacing w:val="-21"/>
          <w:w w:val="105"/>
        </w:rPr>
        <w:t> </w:t>
      </w:r>
      <w:r>
        <w:rPr>
          <w:color w:val="231F20"/>
          <w:w w:val="105"/>
        </w:rPr>
        <w:t>gobierno</w:t>
      </w:r>
      <w:r>
        <w:rPr>
          <w:color w:val="231F20"/>
          <w:spacing w:val="-21"/>
          <w:w w:val="105"/>
        </w:rPr>
        <w:t> </w:t>
      </w:r>
      <w:r>
        <w:rPr>
          <w:color w:val="231F20"/>
          <w:w w:val="105"/>
        </w:rPr>
        <w:t>destacaba</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1999</w:t>
      </w:r>
      <w:r>
        <w:rPr>
          <w:color w:val="231F20"/>
          <w:spacing w:val="-21"/>
          <w:w w:val="105"/>
        </w:rPr>
        <w:t> </w:t>
      </w:r>
      <w:r>
        <w:rPr>
          <w:color w:val="231F20"/>
          <w:w w:val="105"/>
        </w:rPr>
        <w:t>los</w:t>
      </w:r>
      <w:r>
        <w:rPr>
          <w:color w:val="231F20"/>
          <w:spacing w:val="-21"/>
          <w:w w:val="105"/>
        </w:rPr>
        <w:t> </w:t>
      </w:r>
      <w:r>
        <w:rPr>
          <w:color w:val="231F20"/>
          <w:w w:val="105"/>
        </w:rPr>
        <w:t>ingresos</w:t>
      </w:r>
      <w:r>
        <w:rPr>
          <w:color w:val="231F20"/>
          <w:spacing w:val="-21"/>
          <w:w w:val="105"/>
        </w:rPr>
        <w:t> </w:t>
      </w:r>
      <w:r>
        <w:rPr>
          <w:color w:val="231F20"/>
          <w:w w:val="105"/>
        </w:rPr>
        <w:t>del</w:t>
      </w:r>
      <w:r>
        <w:rPr>
          <w:color w:val="231F20"/>
          <w:spacing w:val="-21"/>
          <w:w w:val="105"/>
        </w:rPr>
        <w:t> </w:t>
      </w:r>
      <w:r>
        <w:rPr>
          <w:color w:val="231F20"/>
          <w:w w:val="105"/>
        </w:rPr>
        <w:t>ayuntamiento</w:t>
      </w:r>
      <w:r>
        <w:rPr>
          <w:color w:val="231F20"/>
          <w:spacing w:val="-21"/>
          <w:w w:val="105"/>
        </w:rPr>
        <w:t> </w:t>
      </w:r>
      <w:r>
        <w:rPr>
          <w:color w:val="231F20"/>
          <w:w w:val="105"/>
        </w:rPr>
        <w:t>habían</w:t>
      </w:r>
      <w:r>
        <w:rPr>
          <w:color w:val="231F20"/>
          <w:spacing w:val="-21"/>
          <w:w w:val="105"/>
        </w:rPr>
        <w:t> </w:t>
      </w:r>
      <w:r>
        <w:rPr>
          <w:color w:val="231F20"/>
          <w:w w:val="105"/>
        </w:rPr>
        <w:t>ascen- dido</w:t>
      </w:r>
      <w:r>
        <w:rPr>
          <w:color w:val="231F20"/>
          <w:spacing w:val="-6"/>
          <w:w w:val="105"/>
        </w:rPr>
        <w:t> </w:t>
      </w:r>
      <w:r>
        <w:rPr>
          <w:color w:val="231F20"/>
          <w:spacing w:val="2"/>
          <w:w w:val="105"/>
        </w:rPr>
        <w:t>al</w:t>
      </w:r>
      <w:r>
        <w:rPr>
          <w:color w:val="231F20"/>
          <w:spacing w:val="-6"/>
          <w:w w:val="105"/>
        </w:rPr>
        <w:t> </w:t>
      </w:r>
      <w:r>
        <w:rPr>
          <w:color w:val="231F20"/>
          <w:w w:val="105"/>
        </w:rPr>
        <w:t>43%</w:t>
      </w:r>
      <w:r>
        <w:rPr>
          <w:color w:val="231F20"/>
          <w:spacing w:val="-6"/>
          <w:w w:val="105"/>
        </w:rPr>
        <w:t> </w:t>
      </w:r>
      <w:r>
        <w:rPr>
          <w:color w:val="231F20"/>
          <w:w w:val="105"/>
        </w:rPr>
        <w:t>del</w:t>
      </w:r>
      <w:r>
        <w:rPr>
          <w:color w:val="231F20"/>
          <w:spacing w:val="-6"/>
          <w:w w:val="105"/>
        </w:rPr>
        <w:t> </w:t>
      </w:r>
      <w:r>
        <w:rPr>
          <w:color w:val="231F20"/>
          <w:w w:val="105"/>
        </w:rPr>
        <w:t>ingreso</w:t>
      </w:r>
      <w:r>
        <w:rPr>
          <w:color w:val="231F20"/>
          <w:spacing w:val="-6"/>
          <w:w w:val="105"/>
        </w:rPr>
        <w:t> </w:t>
      </w:r>
      <w:r>
        <w:rPr>
          <w:color w:val="231F20"/>
          <w:w w:val="105"/>
        </w:rPr>
        <w:t>total,</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representaba</w:t>
      </w:r>
      <w:r>
        <w:rPr>
          <w:color w:val="231F20"/>
          <w:spacing w:val="-6"/>
          <w:w w:val="105"/>
        </w:rPr>
        <w:t> </w:t>
      </w:r>
      <w:r>
        <w:rPr>
          <w:color w:val="231F20"/>
          <w:w w:val="105"/>
        </w:rPr>
        <w:t>un</w:t>
      </w:r>
      <w:r>
        <w:rPr>
          <w:color w:val="231F20"/>
          <w:spacing w:val="-6"/>
          <w:w w:val="105"/>
        </w:rPr>
        <w:t> </w:t>
      </w:r>
      <w:r>
        <w:rPr>
          <w:color w:val="231F20"/>
          <w:w w:val="105"/>
        </w:rPr>
        <w:t>margen</w:t>
      </w:r>
      <w:r>
        <w:rPr>
          <w:color w:val="231F20"/>
          <w:spacing w:val="-6"/>
          <w:w w:val="105"/>
        </w:rPr>
        <w:t> </w:t>
      </w:r>
      <w:r>
        <w:rPr>
          <w:color w:val="231F20"/>
          <w:w w:val="105"/>
        </w:rPr>
        <w:t>de</w:t>
      </w:r>
      <w:r>
        <w:rPr>
          <w:color w:val="231F20"/>
          <w:spacing w:val="-6"/>
          <w:w w:val="105"/>
        </w:rPr>
        <w:t> </w:t>
      </w:r>
      <w:r>
        <w:rPr>
          <w:color w:val="231F20"/>
          <w:w w:val="105"/>
        </w:rPr>
        <w:t>autonomía</w:t>
      </w:r>
      <w:r>
        <w:rPr>
          <w:color w:val="231F20"/>
          <w:spacing w:val="-6"/>
          <w:w w:val="105"/>
        </w:rPr>
        <w:t> </w:t>
      </w:r>
      <w:r>
        <w:rPr>
          <w:color w:val="231F20"/>
          <w:w w:val="105"/>
        </w:rPr>
        <w:t>importante frente</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recursos</w:t>
      </w:r>
      <w:r>
        <w:rPr>
          <w:color w:val="231F20"/>
          <w:spacing w:val="-16"/>
          <w:w w:val="105"/>
        </w:rPr>
        <w:t> </w:t>
      </w:r>
      <w:r>
        <w:rPr>
          <w:color w:val="231F20"/>
          <w:w w:val="105"/>
        </w:rPr>
        <w:t>provenientes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federación.</w:t>
      </w:r>
      <w:r>
        <w:rPr>
          <w:color w:val="231F20"/>
          <w:w w:val="105"/>
          <w:position w:val="7"/>
          <w:sz w:val="13"/>
        </w:rPr>
        <w:t>3</w:t>
      </w:r>
    </w:p>
    <w:p>
      <w:pPr>
        <w:pStyle w:val="BodyText"/>
        <w:spacing w:before="1"/>
        <w:rPr>
          <w:sz w:val="26"/>
        </w:rPr>
      </w:pPr>
    </w:p>
    <w:p>
      <w:pPr>
        <w:pStyle w:val="BodyText"/>
        <w:spacing w:line="285" w:lineRule="auto"/>
        <w:ind w:left="110" w:right="109"/>
        <w:jc w:val="both"/>
      </w:pPr>
      <w:r>
        <w:rPr>
          <w:color w:val="231F20"/>
          <w:w w:val="105"/>
        </w:rPr>
        <w:t>En</w:t>
      </w:r>
      <w:r>
        <w:rPr>
          <w:color w:val="231F20"/>
          <w:spacing w:val="-17"/>
          <w:w w:val="105"/>
        </w:rPr>
        <w:t> </w:t>
      </w:r>
      <w:r>
        <w:rPr>
          <w:color w:val="231F20"/>
          <w:w w:val="105"/>
        </w:rPr>
        <w:t>materia</w:t>
      </w:r>
      <w:r>
        <w:rPr>
          <w:color w:val="231F20"/>
          <w:spacing w:val="-17"/>
          <w:w w:val="105"/>
        </w:rPr>
        <w:t> </w:t>
      </w:r>
      <w:r>
        <w:rPr>
          <w:color w:val="231F20"/>
          <w:w w:val="105"/>
        </w:rPr>
        <w:t>de</w:t>
      </w:r>
      <w:r>
        <w:rPr>
          <w:color w:val="231F20"/>
          <w:spacing w:val="-17"/>
          <w:w w:val="105"/>
        </w:rPr>
        <w:t> </w:t>
      </w:r>
      <w:r>
        <w:rPr>
          <w:color w:val="231F20"/>
          <w:w w:val="105"/>
        </w:rPr>
        <w:t>ingresos</w:t>
      </w:r>
      <w:r>
        <w:rPr>
          <w:color w:val="231F20"/>
          <w:spacing w:val="-17"/>
          <w:w w:val="105"/>
        </w:rPr>
        <w:t> </w:t>
      </w:r>
      <w:r>
        <w:rPr>
          <w:color w:val="231F20"/>
          <w:w w:val="105"/>
        </w:rPr>
        <w:t>se</w:t>
      </w:r>
      <w:r>
        <w:rPr>
          <w:color w:val="231F20"/>
          <w:spacing w:val="-17"/>
          <w:w w:val="105"/>
        </w:rPr>
        <w:t> </w:t>
      </w:r>
      <w:r>
        <w:rPr>
          <w:color w:val="231F20"/>
          <w:w w:val="105"/>
        </w:rPr>
        <w:t>hablaba</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color w:val="231F20"/>
          <w:w w:val="105"/>
        </w:rPr>
        <w:t>mayor</w:t>
      </w:r>
      <w:r>
        <w:rPr>
          <w:color w:val="231F20"/>
          <w:spacing w:val="-17"/>
          <w:w w:val="105"/>
        </w:rPr>
        <w:t> </w:t>
      </w:r>
      <w:r>
        <w:rPr>
          <w:color w:val="231F20"/>
          <w:w w:val="105"/>
        </w:rPr>
        <w:t>eficiencia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cobro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impuestos, y</w:t>
      </w:r>
      <w:r>
        <w:rPr>
          <w:color w:val="231F20"/>
          <w:spacing w:val="-4"/>
          <w:w w:val="105"/>
        </w:rPr>
        <w:t> </w:t>
      </w:r>
      <w:r>
        <w:rPr>
          <w:color w:val="231F20"/>
          <w:w w:val="105"/>
        </w:rPr>
        <w:t>se</w:t>
      </w:r>
      <w:r>
        <w:rPr>
          <w:color w:val="231F20"/>
          <w:spacing w:val="-4"/>
          <w:w w:val="105"/>
        </w:rPr>
        <w:t> </w:t>
      </w:r>
      <w:r>
        <w:rPr>
          <w:color w:val="231F20"/>
          <w:w w:val="105"/>
        </w:rPr>
        <w:t>subrayaba</w:t>
      </w:r>
      <w:r>
        <w:rPr>
          <w:color w:val="231F20"/>
          <w:spacing w:val="-4"/>
          <w:w w:val="105"/>
        </w:rPr>
        <w:t> </w:t>
      </w:r>
      <w:r>
        <w:rPr>
          <w:color w:val="231F20"/>
          <w:w w:val="105"/>
        </w:rPr>
        <w:t>el</w:t>
      </w:r>
      <w:r>
        <w:rPr>
          <w:color w:val="231F20"/>
          <w:spacing w:val="-4"/>
          <w:w w:val="105"/>
        </w:rPr>
        <w:t> </w:t>
      </w:r>
      <w:r>
        <w:rPr>
          <w:color w:val="231F20"/>
          <w:w w:val="105"/>
        </w:rPr>
        <w:t>intento</w:t>
      </w:r>
      <w:r>
        <w:rPr>
          <w:color w:val="231F20"/>
          <w:spacing w:val="-4"/>
          <w:w w:val="105"/>
        </w:rPr>
        <w:t> </w:t>
      </w:r>
      <w:r>
        <w:rPr>
          <w:color w:val="231F20"/>
          <w:w w:val="105"/>
        </w:rPr>
        <w:t>de</w:t>
      </w:r>
      <w:r>
        <w:rPr>
          <w:color w:val="231F20"/>
          <w:spacing w:val="-4"/>
          <w:w w:val="105"/>
        </w:rPr>
        <w:t> </w:t>
      </w:r>
      <w:r>
        <w:rPr>
          <w:color w:val="231F20"/>
          <w:w w:val="105"/>
        </w:rPr>
        <w:t>“formalizar”</w:t>
      </w:r>
      <w:r>
        <w:rPr>
          <w:color w:val="231F20"/>
          <w:spacing w:val="-4"/>
          <w:w w:val="105"/>
        </w:rPr>
        <w:t> </w:t>
      </w:r>
      <w:r>
        <w:rPr>
          <w:color w:val="231F20"/>
          <w:spacing w:val="2"/>
          <w:w w:val="105"/>
        </w:rPr>
        <w:t>al</w:t>
      </w:r>
      <w:r>
        <w:rPr>
          <w:color w:val="231F20"/>
          <w:spacing w:val="-4"/>
          <w:w w:val="105"/>
        </w:rPr>
        <w:t> </w:t>
      </w:r>
      <w:r>
        <w:rPr>
          <w:color w:val="231F20"/>
          <w:w w:val="105"/>
        </w:rPr>
        <w:t>sector</w:t>
      </w:r>
      <w:r>
        <w:rPr>
          <w:color w:val="231F20"/>
          <w:spacing w:val="-4"/>
          <w:w w:val="105"/>
        </w:rPr>
        <w:t> </w:t>
      </w:r>
      <w:r>
        <w:rPr>
          <w:color w:val="231F20"/>
          <w:w w:val="105"/>
        </w:rPr>
        <w:t>de</w:t>
      </w:r>
      <w:r>
        <w:rPr>
          <w:color w:val="231F20"/>
          <w:spacing w:val="-4"/>
          <w:w w:val="105"/>
        </w:rPr>
        <w:t> </w:t>
      </w:r>
      <w:r>
        <w:rPr>
          <w:color w:val="231F20"/>
          <w:w w:val="105"/>
        </w:rPr>
        <w:t>comercio</w:t>
      </w:r>
      <w:r>
        <w:rPr>
          <w:color w:val="231F20"/>
          <w:spacing w:val="-4"/>
          <w:w w:val="105"/>
        </w:rPr>
        <w:t> </w:t>
      </w:r>
      <w:r>
        <w:rPr>
          <w:color w:val="231F20"/>
          <w:w w:val="105"/>
        </w:rPr>
        <w:t>informal,</w:t>
      </w:r>
      <w:r>
        <w:rPr>
          <w:color w:val="231F20"/>
          <w:spacing w:val="-4"/>
          <w:w w:val="105"/>
        </w:rPr>
        <w:t> </w:t>
      </w:r>
      <w:r>
        <w:rPr>
          <w:color w:val="231F20"/>
          <w:w w:val="105"/>
        </w:rPr>
        <w:t>a</w:t>
      </w:r>
      <w:r>
        <w:rPr>
          <w:color w:val="231F20"/>
          <w:spacing w:val="-4"/>
          <w:w w:val="105"/>
        </w:rPr>
        <w:t> </w:t>
      </w:r>
      <w:r>
        <w:rPr>
          <w:color w:val="231F20"/>
          <w:spacing w:val="2"/>
          <w:w w:val="105"/>
        </w:rPr>
        <w:t>partir</w:t>
      </w:r>
      <w:r>
        <w:rPr>
          <w:color w:val="231F20"/>
          <w:spacing w:val="-4"/>
          <w:w w:val="105"/>
        </w:rPr>
        <w:t> </w:t>
      </w:r>
      <w:r>
        <w:rPr>
          <w:color w:val="231F20"/>
          <w:w w:val="105"/>
        </w:rPr>
        <w:t>de</w:t>
      </w:r>
      <w:r>
        <w:rPr>
          <w:color w:val="231F20"/>
          <w:spacing w:val="-4"/>
          <w:w w:val="105"/>
        </w:rPr>
        <w:t> </w:t>
      </w:r>
      <w:r>
        <w:rPr>
          <w:color w:val="231F20"/>
          <w:w w:val="105"/>
        </w:rPr>
        <w:t>la elaboración</w:t>
      </w:r>
      <w:r>
        <w:rPr>
          <w:color w:val="231F20"/>
          <w:spacing w:val="-17"/>
          <w:w w:val="105"/>
        </w:rPr>
        <w:t> </w:t>
      </w:r>
      <w:r>
        <w:rPr>
          <w:color w:val="231F20"/>
          <w:w w:val="105"/>
        </w:rPr>
        <w:t>de</w:t>
      </w:r>
      <w:r>
        <w:rPr>
          <w:color w:val="231F20"/>
          <w:spacing w:val="-17"/>
          <w:w w:val="105"/>
        </w:rPr>
        <w:t> </w:t>
      </w:r>
      <w:r>
        <w:rPr>
          <w:color w:val="231F20"/>
          <w:w w:val="105"/>
        </w:rPr>
        <w:t>padrones</w:t>
      </w:r>
      <w:r>
        <w:rPr>
          <w:color w:val="231F20"/>
          <w:spacing w:val="-17"/>
          <w:w w:val="105"/>
        </w:rPr>
        <w:t> </w:t>
      </w:r>
      <w:r>
        <w:rPr>
          <w:color w:val="231F20"/>
          <w:w w:val="105"/>
        </w:rPr>
        <w:t>con</w:t>
      </w:r>
      <w:r>
        <w:rPr>
          <w:color w:val="231F20"/>
          <w:spacing w:val="-17"/>
          <w:w w:val="105"/>
        </w:rPr>
        <w:t> </w:t>
      </w:r>
      <w:r>
        <w:rPr>
          <w:color w:val="231F20"/>
          <w:w w:val="105"/>
        </w:rPr>
        <w:t>información</w:t>
      </w:r>
      <w:r>
        <w:rPr>
          <w:color w:val="231F20"/>
          <w:spacing w:val="-17"/>
          <w:w w:val="105"/>
        </w:rPr>
        <w:t> </w:t>
      </w:r>
      <w:r>
        <w:rPr>
          <w:color w:val="231F20"/>
          <w:w w:val="105"/>
        </w:rPr>
        <w:t>fidedigna.</w:t>
      </w:r>
    </w:p>
    <w:p>
      <w:pPr>
        <w:pStyle w:val="BodyText"/>
        <w:rPr>
          <w:sz w:val="20"/>
        </w:rPr>
      </w:pPr>
    </w:p>
    <w:p>
      <w:pPr>
        <w:pStyle w:val="BodyText"/>
        <w:spacing w:before="5"/>
        <w:rPr>
          <w:sz w:val="28"/>
        </w:rPr>
      </w:pPr>
      <w:r>
        <w:rPr/>
        <w:pict>
          <v:line style="position:absolute;mso-position-horizontal-relative:page;mso-position-vertical-relative:paragraph;z-index:10216;mso-wrap-distance-left:0;mso-wrap-distance-right:0" from="42.519699pt,18.801775pt" to="114.519699pt,18.801775pt" stroked="true" strokeweight="1pt" strokecolor="#231f20">
            <w10:wrap type="topAndBottom"/>
          </v:line>
        </w:pict>
      </w:r>
    </w:p>
    <w:p>
      <w:pPr>
        <w:pStyle w:val="ListParagraph"/>
        <w:numPr>
          <w:ilvl w:val="0"/>
          <w:numId w:val="13"/>
        </w:numPr>
        <w:tabs>
          <w:tab w:pos="259" w:val="left" w:leader="none"/>
        </w:tabs>
        <w:spacing w:line="240" w:lineRule="auto" w:before="8" w:after="0"/>
        <w:ind w:left="258" w:right="0" w:hanging="148"/>
        <w:jc w:val="left"/>
        <w:rPr>
          <w:sz w:val="16"/>
        </w:rPr>
      </w:pPr>
      <w:r>
        <w:rPr>
          <w:color w:val="231F20"/>
          <w:sz w:val="16"/>
        </w:rPr>
        <w:t>Cfr.</w:t>
      </w:r>
      <w:r>
        <w:rPr>
          <w:color w:val="231F20"/>
          <w:spacing w:val="-19"/>
          <w:sz w:val="16"/>
        </w:rPr>
        <w:t> </w:t>
      </w:r>
      <w:r>
        <w:rPr>
          <w:color w:val="231F20"/>
          <w:sz w:val="16"/>
        </w:rPr>
        <w:t>3º</w:t>
      </w:r>
      <w:r>
        <w:rPr>
          <w:color w:val="231F20"/>
          <w:spacing w:val="-19"/>
          <w:sz w:val="16"/>
        </w:rPr>
        <w:t> </w:t>
      </w:r>
      <w:r>
        <w:rPr>
          <w:color w:val="231F20"/>
          <w:sz w:val="16"/>
        </w:rPr>
        <w:t>informe</w:t>
      </w:r>
      <w:r>
        <w:rPr>
          <w:color w:val="231F20"/>
          <w:spacing w:val="-19"/>
          <w:sz w:val="16"/>
        </w:rPr>
        <w:t> </w:t>
      </w:r>
      <w:r>
        <w:rPr>
          <w:color w:val="231F20"/>
          <w:sz w:val="16"/>
        </w:rPr>
        <w:t>de</w:t>
      </w:r>
      <w:r>
        <w:rPr>
          <w:color w:val="231F20"/>
          <w:spacing w:val="-19"/>
          <w:sz w:val="16"/>
        </w:rPr>
        <w:t> </w:t>
      </w:r>
      <w:r>
        <w:rPr>
          <w:color w:val="231F20"/>
          <w:sz w:val="16"/>
        </w:rPr>
        <w:t>gobierno,</w:t>
      </w:r>
      <w:r>
        <w:rPr>
          <w:color w:val="231F20"/>
          <w:spacing w:val="-19"/>
          <w:sz w:val="16"/>
        </w:rPr>
        <w:t> </w:t>
      </w:r>
      <w:r>
        <w:rPr>
          <w:color w:val="231F20"/>
          <w:spacing w:val="-3"/>
          <w:sz w:val="16"/>
        </w:rPr>
        <w:t>1997-2000,</w:t>
      </w:r>
      <w:r>
        <w:rPr>
          <w:color w:val="231F20"/>
          <w:spacing w:val="-19"/>
          <w:sz w:val="16"/>
        </w:rPr>
        <w:t> </w:t>
      </w:r>
      <w:r>
        <w:rPr>
          <w:color w:val="231F20"/>
          <w:sz w:val="16"/>
        </w:rPr>
        <w:t>p.</w:t>
      </w:r>
      <w:r>
        <w:rPr>
          <w:color w:val="231F20"/>
          <w:spacing w:val="-19"/>
          <w:sz w:val="16"/>
        </w:rPr>
        <w:t> </w:t>
      </w:r>
      <w:r>
        <w:rPr>
          <w:color w:val="231F20"/>
          <w:sz w:val="16"/>
        </w:rPr>
        <w:t>3.</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También</w:t>
      </w:r>
      <w:r>
        <w:rPr>
          <w:color w:val="231F20"/>
          <w:spacing w:val="-6"/>
          <w:w w:val="105"/>
        </w:rPr>
        <w:t> </w:t>
      </w:r>
      <w:r>
        <w:rPr>
          <w:color w:val="231F20"/>
          <w:w w:val="105"/>
        </w:rPr>
        <w:t>se</w:t>
      </w:r>
      <w:r>
        <w:rPr>
          <w:color w:val="231F20"/>
          <w:spacing w:val="-6"/>
          <w:w w:val="105"/>
        </w:rPr>
        <w:t> </w:t>
      </w:r>
      <w:r>
        <w:rPr>
          <w:color w:val="231F20"/>
          <w:w w:val="105"/>
        </w:rPr>
        <w:t>mencionaba</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gestión</w:t>
      </w:r>
      <w:r>
        <w:rPr>
          <w:color w:val="231F20"/>
          <w:spacing w:val="-6"/>
          <w:w w:val="105"/>
        </w:rPr>
        <w:t> </w:t>
      </w:r>
      <w:r>
        <w:rPr>
          <w:color w:val="231F20"/>
          <w:w w:val="105"/>
        </w:rPr>
        <w:t>municipal</w:t>
      </w:r>
      <w:r>
        <w:rPr>
          <w:color w:val="231F20"/>
          <w:spacing w:val="-6"/>
          <w:w w:val="105"/>
        </w:rPr>
        <w:t> </w:t>
      </w:r>
      <w:r>
        <w:rPr>
          <w:color w:val="231F20"/>
          <w:w w:val="105"/>
        </w:rPr>
        <w:t>había</w:t>
      </w:r>
      <w:r>
        <w:rPr>
          <w:color w:val="231F20"/>
          <w:spacing w:val="-6"/>
          <w:w w:val="105"/>
        </w:rPr>
        <w:t> </w:t>
      </w:r>
      <w:r>
        <w:rPr>
          <w:color w:val="231F20"/>
          <w:w w:val="105"/>
        </w:rPr>
        <w:t>hecho</w:t>
      </w:r>
      <w:r>
        <w:rPr>
          <w:color w:val="231F20"/>
          <w:spacing w:val="-6"/>
          <w:w w:val="105"/>
        </w:rPr>
        <w:t> </w:t>
      </w:r>
      <w:r>
        <w:rPr>
          <w:color w:val="231F20"/>
          <w:w w:val="105"/>
        </w:rPr>
        <w:t>una</w:t>
      </w:r>
      <w:r>
        <w:rPr>
          <w:color w:val="231F20"/>
          <w:spacing w:val="-6"/>
          <w:w w:val="105"/>
        </w:rPr>
        <w:t> </w:t>
      </w:r>
      <w:r>
        <w:rPr>
          <w:color w:val="231F20"/>
          <w:spacing w:val="-3"/>
          <w:w w:val="105"/>
        </w:rPr>
        <w:t>conducción</w:t>
      </w:r>
      <w:r>
        <w:rPr>
          <w:color w:val="231F20"/>
          <w:spacing w:val="-6"/>
          <w:w w:val="105"/>
        </w:rPr>
        <w:t> </w:t>
      </w:r>
      <w:r>
        <w:rPr>
          <w:color w:val="231F20"/>
          <w:w w:val="105"/>
        </w:rPr>
        <w:t>adecua- da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deuda</w:t>
      </w:r>
      <w:r>
        <w:rPr>
          <w:color w:val="231F20"/>
          <w:spacing w:val="-6"/>
          <w:w w:val="105"/>
        </w:rPr>
        <w:t> </w:t>
      </w:r>
      <w:r>
        <w:rPr>
          <w:color w:val="231F20"/>
          <w:w w:val="105"/>
        </w:rPr>
        <w:t>pública,</w:t>
      </w:r>
      <w:r>
        <w:rPr>
          <w:color w:val="231F20"/>
          <w:spacing w:val="-6"/>
          <w:w w:val="105"/>
        </w:rPr>
        <w:t> </w:t>
      </w:r>
      <w:r>
        <w:rPr>
          <w:color w:val="231F20"/>
          <w:w w:val="105"/>
        </w:rPr>
        <w:t>heredada</w:t>
      </w:r>
      <w:r>
        <w:rPr>
          <w:color w:val="231F20"/>
          <w:spacing w:val="-6"/>
          <w:w w:val="105"/>
        </w:rPr>
        <w:t> </w:t>
      </w:r>
      <w:r>
        <w:rPr>
          <w:color w:val="231F20"/>
          <w:w w:val="105"/>
        </w:rPr>
        <w:t>con</w:t>
      </w:r>
      <w:r>
        <w:rPr>
          <w:color w:val="231F20"/>
          <w:spacing w:val="-6"/>
          <w:w w:val="105"/>
        </w:rPr>
        <w:t> </w:t>
      </w:r>
      <w:r>
        <w:rPr>
          <w:color w:val="231F20"/>
          <w:w w:val="105"/>
        </w:rPr>
        <w:t>un</w:t>
      </w:r>
      <w:r>
        <w:rPr>
          <w:color w:val="231F20"/>
          <w:spacing w:val="-6"/>
          <w:w w:val="105"/>
        </w:rPr>
        <w:t> </w:t>
      </w:r>
      <w:r>
        <w:rPr>
          <w:color w:val="231F20"/>
          <w:spacing w:val="-3"/>
          <w:w w:val="105"/>
        </w:rPr>
        <w:t>monto</w:t>
      </w:r>
      <w:r>
        <w:rPr>
          <w:color w:val="231F20"/>
          <w:spacing w:val="-6"/>
          <w:w w:val="105"/>
        </w:rPr>
        <w:t> </w:t>
      </w:r>
      <w:r>
        <w:rPr>
          <w:color w:val="231F20"/>
          <w:w w:val="105"/>
        </w:rPr>
        <w:t>sumamente</w:t>
      </w:r>
      <w:r>
        <w:rPr>
          <w:color w:val="231F20"/>
          <w:spacing w:val="-6"/>
          <w:w w:val="105"/>
        </w:rPr>
        <w:t> </w:t>
      </w:r>
      <w:r>
        <w:rPr>
          <w:color w:val="231F20"/>
          <w:w w:val="105"/>
        </w:rPr>
        <w:t>elevado,</w:t>
      </w:r>
      <w:r>
        <w:rPr>
          <w:color w:val="231F20"/>
          <w:spacing w:val="-6"/>
          <w:w w:val="105"/>
        </w:rPr>
        <w:t> </w:t>
      </w:r>
      <w:r>
        <w:rPr>
          <w:color w:val="231F20"/>
          <w:w w:val="105"/>
        </w:rPr>
        <w:t>y</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mantenía en</w:t>
      </w:r>
      <w:r>
        <w:rPr>
          <w:color w:val="231F20"/>
          <w:spacing w:val="-16"/>
          <w:w w:val="105"/>
        </w:rPr>
        <w:t> </w:t>
      </w:r>
      <w:r>
        <w:rPr>
          <w:color w:val="231F20"/>
          <w:w w:val="105"/>
        </w:rPr>
        <w:t>un</w:t>
      </w:r>
      <w:r>
        <w:rPr>
          <w:color w:val="231F20"/>
          <w:spacing w:val="-16"/>
          <w:w w:val="105"/>
        </w:rPr>
        <w:t> </w:t>
      </w:r>
      <w:r>
        <w:rPr>
          <w:color w:val="231F20"/>
          <w:w w:val="105"/>
        </w:rPr>
        <w:t>nivel</w:t>
      </w:r>
      <w:r>
        <w:rPr>
          <w:color w:val="231F20"/>
          <w:spacing w:val="-16"/>
          <w:w w:val="105"/>
        </w:rPr>
        <w:t> </w:t>
      </w:r>
      <w:r>
        <w:rPr>
          <w:color w:val="231F20"/>
          <w:w w:val="105"/>
        </w:rPr>
        <w:t>manejable</w:t>
      </w:r>
      <w:r>
        <w:rPr>
          <w:color w:val="231F20"/>
          <w:spacing w:val="-16"/>
          <w:w w:val="105"/>
        </w:rPr>
        <w:t> </w:t>
      </w:r>
      <w:r>
        <w:rPr>
          <w:color w:val="231F20"/>
          <w:w w:val="105"/>
        </w:rPr>
        <w:t>hacia</w:t>
      </w:r>
      <w:r>
        <w:rPr>
          <w:color w:val="231F20"/>
          <w:spacing w:val="-16"/>
          <w:w w:val="105"/>
        </w:rPr>
        <w:t> </w:t>
      </w:r>
      <w:r>
        <w:rPr>
          <w:color w:val="231F20"/>
          <w:w w:val="105"/>
        </w:rPr>
        <w:t>el</w:t>
      </w:r>
      <w:r>
        <w:rPr>
          <w:color w:val="231F20"/>
          <w:spacing w:val="-16"/>
          <w:w w:val="105"/>
        </w:rPr>
        <w:t> </w:t>
      </w:r>
      <w:r>
        <w:rPr>
          <w:color w:val="231F20"/>
          <w:spacing w:val="2"/>
          <w:w w:val="105"/>
        </w:rPr>
        <w:t>final</w:t>
      </w:r>
      <w:r>
        <w:rPr>
          <w:color w:val="231F20"/>
          <w:spacing w:val="-16"/>
          <w:w w:val="105"/>
        </w:rPr>
        <w:t> </w:t>
      </w:r>
      <w:r>
        <w:rPr>
          <w:color w:val="231F20"/>
          <w:w w:val="105"/>
        </w:rPr>
        <w:t>del</w:t>
      </w:r>
      <w:r>
        <w:rPr>
          <w:color w:val="231F20"/>
          <w:spacing w:val="-16"/>
          <w:w w:val="105"/>
        </w:rPr>
        <w:t> </w:t>
      </w:r>
      <w:r>
        <w:rPr>
          <w:color w:val="231F20"/>
          <w:w w:val="105"/>
        </w:rPr>
        <w:t>trienio.</w:t>
      </w:r>
    </w:p>
    <w:p>
      <w:pPr>
        <w:pStyle w:val="BodyText"/>
        <w:spacing w:before="1"/>
        <w:rPr>
          <w:sz w:val="26"/>
        </w:rPr>
      </w:pPr>
    </w:p>
    <w:p>
      <w:pPr>
        <w:pStyle w:val="BodyText"/>
        <w:spacing w:line="285" w:lineRule="auto"/>
        <w:ind w:left="110" w:right="106"/>
        <w:jc w:val="both"/>
        <w:rPr>
          <w:sz w:val="13"/>
        </w:rPr>
      </w:pPr>
      <w:r>
        <w:rPr>
          <w:color w:val="231F20"/>
          <w:w w:val="105"/>
        </w:rPr>
        <w:t>Algo que llama la atención fue el incremento de salarios de la presidencia municipal. Si</w:t>
      </w:r>
      <w:r>
        <w:rPr>
          <w:color w:val="231F20"/>
          <w:spacing w:val="-7"/>
          <w:w w:val="105"/>
        </w:rPr>
        <w:t> </w:t>
      </w:r>
      <w:r>
        <w:rPr>
          <w:color w:val="231F20"/>
          <w:w w:val="105"/>
        </w:rPr>
        <w:t>bien</w:t>
      </w:r>
      <w:r>
        <w:rPr>
          <w:color w:val="231F20"/>
          <w:spacing w:val="-7"/>
          <w:w w:val="105"/>
        </w:rPr>
        <w:t> </w:t>
      </w:r>
      <w:r>
        <w:rPr>
          <w:color w:val="231F20"/>
          <w:w w:val="105"/>
        </w:rPr>
        <w:t>es</w:t>
      </w:r>
      <w:r>
        <w:rPr>
          <w:color w:val="231F20"/>
          <w:spacing w:val="-7"/>
          <w:w w:val="105"/>
        </w:rPr>
        <w:t> </w:t>
      </w:r>
      <w:r>
        <w:rPr>
          <w:color w:val="231F20"/>
          <w:w w:val="105"/>
        </w:rPr>
        <w:t>cierto</w:t>
      </w:r>
      <w:r>
        <w:rPr>
          <w:color w:val="231F20"/>
          <w:spacing w:val="-7"/>
          <w:w w:val="105"/>
        </w:rPr>
        <w:t> </w:t>
      </w:r>
      <w:r>
        <w:rPr>
          <w:color w:val="231F20"/>
          <w:w w:val="105"/>
        </w:rPr>
        <w:t>que</w:t>
      </w:r>
      <w:r>
        <w:rPr>
          <w:color w:val="231F20"/>
          <w:spacing w:val="-7"/>
          <w:w w:val="105"/>
        </w:rPr>
        <w:t> </w:t>
      </w:r>
      <w:r>
        <w:rPr>
          <w:color w:val="231F20"/>
          <w:w w:val="105"/>
        </w:rPr>
        <w:t>bomberos</w:t>
      </w:r>
      <w:r>
        <w:rPr>
          <w:color w:val="231F20"/>
          <w:spacing w:val="-7"/>
          <w:w w:val="105"/>
        </w:rPr>
        <w:t> </w:t>
      </w:r>
      <w:r>
        <w:rPr>
          <w:color w:val="231F20"/>
          <w:w w:val="105"/>
        </w:rPr>
        <w:t>y</w:t>
      </w:r>
      <w:r>
        <w:rPr>
          <w:color w:val="231F20"/>
          <w:spacing w:val="-7"/>
          <w:w w:val="105"/>
        </w:rPr>
        <w:t> </w:t>
      </w:r>
      <w:r>
        <w:rPr>
          <w:color w:val="231F20"/>
          <w:w w:val="105"/>
        </w:rPr>
        <w:t>policías</w:t>
      </w:r>
      <w:r>
        <w:rPr>
          <w:color w:val="231F20"/>
          <w:spacing w:val="-7"/>
          <w:w w:val="105"/>
        </w:rPr>
        <w:t> </w:t>
      </w:r>
      <w:r>
        <w:rPr>
          <w:color w:val="231F20"/>
          <w:w w:val="105"/>
        </w:rPr>
        <w:t>recibieron</w:t>
      </w:r>
      <w:r>
        <w:rPr>
          <w:color w:val="231F20"/>
          <w:spacing w:val="-7"/>
          <w:w w:val="105"/>
        </w:rPr>
        <w:t> </w:t>
      </w:r>
      <w:r>
        <w:rPr>
          <w:color w:val="231F20"/>
          <w:w w:val="105"/>
        </w:rPr>
        <w:t>los</w:t>
      </w:r>
      <w:r>
        <w:rPr>
          <w:color w:val="231F20"/>
          <w:spacing w:val="-7"/>
          <w:w w:val="105"/>
        </w:rPr>
        <w:t> </w:t>
      </w:r>
      <w:r>
        <w:rPr>
          <w:color w:val="231F20"/>
          <w:w w:val="105"/>
        </w:rPr>
        <w:t>más</w:t>
      </w:r>
      <w:r>
        <w:rPr>
          <w:color w:val="231F20"/>
          <w:spacing w:val="-7"/>
          <w:w w:val="105"/>
        </w:rPr>
        <w:t> </w:t>
      </w:r>
      <w:r>
        <w:rPr>
          <w:color w:val="231F20"/>
          <w:w w:val="105"/>
        </w:rPr>
        <w:t>grandes</w:t>
      </w:r>
      <w:r>
        <w:rPr>
          <w:color w:val="231F20"/>
          <w:spacing w:val="-7"/>
          <w:w w:val="105"/>
        </w:rPr>
        <w:t> </w:t>
      </w:r>
      <w:r>
        <w:rPr>
          <w:color w:val="231F20"/>
          <w:w w:val="105"/>
        </w:rPr>
        <w:t>ajustes</w:t>
      </w:r>
      <w:r>
        <w:rPr>
          <w:color w:val="231F20"/>
          <w:spacing w:val="-7"/>
          <w:w w:val="105"/>
        </w:rPr>
        <w:t> </w:t>
      </w:r>
      <w:r>
        <w:rPr>
          <w:color w:val="231F20"/>
          <w:spacing w:val="-4"/>
          <w:w w:val="105"/>
        </w:rPr>
        <w:t>(32</w:t>
      </w:r>
      <w:r>
        <w:rPr>
          <w:color w:val="231F20"/>
          <w:spacing w:val="-7"/>
          <w:w w:val="105"/>
        </w:rPr>
        <w:t> </w:t>
      </w:r>
      <w:r>
        <w:rPr>
          <w:color w:val="231F20"/>
          <w:w w:val="105"/>
        </w:rPr>
        <w:t>y</w:t>
      </w:r>
      <w:r>
        <w:rPr>
          <w:color w:val="231F20"/>
          <w:spacing w:val="-7"/>
          <w:w w:val="105"/>
        </w:rPr>
        <w:t> </w:t>
      </w:r>
      <w:r>
        <w:rPr>
          <w:color w:val="231F20"/>
          <w:w w:val="105"/>
        </w:rPr>
        <w:t>27% respectivamente),</w:t>
      </w:r>
      <w:r>
        <w:rPr>
          <w:color w:val="231F20"/>
          <w:spacing w:val="-12"/>
          <w:w w:val="105"/>
        </w:rPr>
        <w:t> </w:t>
      </w:r>
      <w:r>
        <w:rPr>
          <w:color w:val="231F20"/>
          <w:w w:val="105"/>
        </w:rPr>
        <w:t>en</w:t>
      </w:r>
      <w:r>
        <w:rPr>
          <w:color w:val="231F20"/>
          <w:spacing w:val="-12"/>
          <w:w w:val="105"/>
        </w:rPr>
        <w:t> </w:t>
      </w:r>
      <w:r>
        <w:rPr>
          <w:color w:val="231F20"/>
          <w:w w:val="105"/>
        </w:rPr>
        <w:t>general</w:t>
      </w:r>
      <w:r>
        <w:rPr>
          <w:color w:val="231F20"/>
          <w:spacing w:val="-12"/>
          <w:w w:val="105"/>
        </w:rPr>
        <w:t> </w:t>
      </w:r>
      <w:r>
        <w:rPr>
          <w:color w:val="231F20"/>
          <w:w w:val="105"/>
        </w:rPr>
        <w:t>los</w:t>
      </w:r>
      <w:r>
        <w:rPr>
          <w:color w:val="231F20"/>
          <w:spacing w:val="-12"/>
          <w:w w:val="105"/>
        </w:rPr>
        <w:t> </w:t>
      </w:r>
      <w:r>
        <w:rPr>
          <w:color w:val="231F20"/>
          <w:w w:val="105"/>
        </w:rPr>
        <w:t>demás</w:t>
      </w:r>
      <w:r>
        <w:rPr>
          <w:color w:val="231F20"/>
          <w:spacing w:val="-12"/>
          <w:w w:val="105"/>
        </w:rPr>
        <w:t> </w:t>
      </w:r>
      <w:r>
        <w:rPr>
          <w:color w:val="231F20"/>
          <w:w w:val="105"/>
        </w:rPr>
        <w:t>integrantes</w:t>
      </w:r>
      <w:r>
        <w:rPr>
          <w:color w:val="231F20"/>
          <w:spacing w:val="-12"/>
          <w:w w:val="105"/>
        </w:rPr>
        <w:t> </w:t>
      </w:r>
      <w:r>
        <w:rPr>
          <w:color w:val="231F20"/>
          <w:w w:val="105"/>
        </w:rPr>
        <w:t>percibieron</w:t>
      </w:r>
      <w:r>
        <w:rPr>
          <w:color w:val="231F20"/>
          <w:spacing w:val="-12"/>
          <w:w w:val="105"/>
        </w:rPr>
        <w:t> </w:t>
      </w:r>
      <w:r>
        <w:rPr>
          <w:color w:val="231F20"/>
          <w:w w:val="105"/>
        </w:rPr>
        <w:t>un</w:t>
      </w:r>
      <w:r>
        <w:rPr>
          <w:color w:val="231F20"/>
          <w:spacing w:val="-12"/>
          <w:w w:val="105"/>
        </w:rPr>
        <w:t> </w:t>
      </w:r>
      <w:r>
        <w:rPr>
          <w:color w:val="231F20"/>
          <w:w w:val="105"/>
        </w:rPr>
        <w:t>aumento</w:t>
      </w:r>
      <w:r>
        <w:rPr>
          <w:color w:val="231F20"/>
          <w:spacing w:val="-12"/>
          <w:w w:val="105"/>
        </w:rPr>
        <w:t> </w:t>
      </w:r>
      <w:r>
        <w:rPr>
          <w:color w:val="231F20"/>
          <w:w w:val="105"/>
        </w:rPr>
        <w:t>del</w:t>
      </w:r>
      <w:r>
        <w:rPr>
          <w:color w:val="231F20"/>
          <w:spacing w:val="-12"/>
          <w:w w:val="105"/>
        </w:rPr>
        <w:t> </w:t>
      </w:r>
      <w:r>
        <w:rPr>
          <w:color w:val="231F20"/>
          <w:w w:val="105"/>
        </w:rPr>
        <w:t>20%</w:t>
      </w:r>
      <w:r>
        <w:rPr>
          <w:color w:val="231F20"/>
          <w:spacing w:val="-12"/>
          <w:w w:val="105"/>
        </w:rPr>
        <w:t> </w:t>
      </w:r>
      <w:r>
        <w:rPr>
          <w:color w:val="231F20"/>
          <w:w w:val="105"/>
        </w:rPr>
        <w:t>en sus</w:t>
      </w:r>
      <w:r>
        <w:rPr>
          <w:color w:val="231F20"/>
          <w:spacing w:val="-16"/>
          <w:w w:val="105"/>
        </w:rPr>
        <w:t> </w:t>
      </w:r>
      <w:r>
        <w:rPr>
          <w:color w:val="231F20"/>
          <w:w w:val="105"/>
        </w:rPr>
        <w:t>emolumentos.</w:t>
      </w:r>
      <w:r>
        <w:rPr>
          <w:color w:val="231F20"/>
          <w:spacing w:val="-16"/>
          <w:w w:val="105"/>
        </w:rPr>
        <w:t> </w:t>
      </w:r>
      <w:r>
        <w:rPr>
          <w:color w:val="231F20"/>
          <w:w w:val="105"/>
        </w:rPr>
        <w:t>Una</w:t>
      </w:r>
      <w:r>
        <w:rPr>
          <w:color w:val="231F20"/>
          <w:spacing w:val="-16"/>
          <w:w w:val="105"/>
        </w:rPr>
        <w:t> </w:t>
      </w:r>
      <w:r>
        <w:rPr>
          <w:color w:val="231F20"/>
          <w:w w:val="105"/>
        </w:rPr>
        <w:t>cifra</w:t>
      </w:r>
      <w:r>
        <w:rPr>
          <w:color w:val="231F20"/>
          <w:spacing w:val="-16"/>
          <w:w w:val="105"/>
        </w:rPr>
        <w:t> </w:t>
      </w:r>
      <w:r>
        <w:rPr>
          <w:color w:val="231F20"/>
          <w:w w:val="105"/>
        </w:rPr>
        <w:t>elevada,</w:t>
      </w:r>
      <w:r>
        <w:rPr>
          <w:color w:val="231F20"/>
          <w:spacing w:val="-16"/>
          <w:w w:val="105"/>
        </w:rPr>
        <w:t> </w:t>
      </w:r>
      <w:r>
        <w:rPr>
          <w:color w:val="231F20"/>
          <w:w w:val="105"/>
        </w:rPr>
        <w:t>si</w:t>
      </w:r>
      <w:r>
        <w:rPr>
          <w:color w:val="231F20"/>
          <w:spacing w:val="-16"/>
          <w:w w:val="105"/>
        </w:rPr>
        <w:t> </w:t>
      </w:r>
      <w:r>
        <w:rPr>
          <w:color w:val="231F20"/>
          <w:w w:val="105"/>
        </w:rPr>
        <w:t>se</w:t>
      </w:r>
      <w:r>
        <w:rPr>
          <w:color w:val="231F20"/>
          <w:spacing w:val="-16"/>
          <w:w w:val="105"/>
        </w:rPr>
        <w:t> </w:t>
      </w:r>
      <w:r>
        <w:rPr>
          <w:color w:val="231F20"/>
          <w:w w:val="105"/>
        </w:rPr>
        <w:t>considera</w:t>
      </w:r>
      <w:r>
        <w:rPr>
          <w:color w:val="231F20"/>
          <w:spacing w:val="-16"/>
          <w:w w:val="105"/>
        </w:rPr>
        <w:t> </w:t>
      </w:r>
      <w:r>
        <w:rPr>
          <w:color w:val="231F20"/>
          <w:w w:val="105"/>
        </w:rPr>
        <w:t>el</w:t>
      </w:r>
      <w:r>
        <w:rPr>
          <w:color w:val="231F20"/>
          <w:spacing w:val="-16"/>
          <w:w w:val="105"/>
        </w:rPr>
        <w:t> </w:t>
      </w:r>
      <w:r>
        <w:rPr>
          <w:color w:val="231F20"/>
          <w:w w:val="105"/>
        </w:rPr>
        <w:t>índice</w:t>
      </w:r>
      <w:r>
        <w:rPr>
          <w:color w:val="231F20"/>
          <w:spacing w:val="-16"/>
          <w:w w:val="105"/>
        </w:rPr>
        <w:t> </w:t>
      </w:r>
      <w:r>
        <w:rPr>
          <w:color w:val="231F20"/>
          <w:w w:val="105"/>
        </w:rPr>
        <w:t>inflacionario</w:t>
      </w:r>
      <w:r>
        <w:rPr>
          <w:color w:val="231F20"/>
          <w:spacing w:val="-16"/>
          <w:w w:val="105"/>
        </w:rPr>
        <w:t> </w:t>
      </w:r>
      <w:r>
        <w:rPr>
          <w:color w:val="231F20"/>
          <w:w w:val="105"/>
        </w:rPr>
        <w:t>de</w:t>
      </w:r>
      <w:r>
        <w:rPr>
          <w:color w:val="231F20"/>
          <w:spacing w:val="-16"/>
          <w:w w:val="105"/>
        </w:rPr>
        <w:t> </w:t>
      </w:r>
      <w:r>
        <w:rPr>
          <w:color w:val="231F20"/>
          <w:w w:val="105"/>
        </w:rPr>
        <w:t>entonces, por</w:t>
      </w:r>
      <w:r>
        <w:rPr>
          <w:color w:val="231F20"/>
          <w:spacing w:val="-9"/>
          <w:w w:val="105"/>
        </w:rPr>
        <w:t> </w:t>
      </w:r>
      <w:r>
        <w:rPr>
          <w:color w:val="231F20"/>
          <w:w w:val="105"/>
        </w:rPr>
        <w:t>debajo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spacing w:val="-5"/>
          <w:w w:val="105"/>
        </w:rPr>
        <w:t>10</w:t>
      </w:r>
      <w:r>
        <w:rPr>
          <w:color w:val="231F20"/>
          <w:spacing w:val="-9"/>
          <w:w w:val="105"/>
        </w:rPr>
        <w:t> </w:t>
      </w:r>
      <w:r>
        <w:rPr>
          <w:color w:val="231F20"/>
          <w:w w:val="105"/>
        </w:rPr>
        <w:t>puntos.</w:t>
      </w:r>
      <w:r>
        <w:rPr>
          <w:color w:val="231F20"/>
          <w:spacing w:val="-9"/>
          <w:w w:val="105"/>
        </w:rPr>
        <w:t> </w:t>
      </w:r>
      <w:r>
        <w:rPr>
          <w:color w:val="231F20"/>
          <w:w w:val="105"/>
        </w:rPr>
        <w:t>Si</w:t>
      </w:r>
      <w:r>
        <w:rPr>
          <w:color w:val="231F20"/>
          <w:spacing w:val="-9"/>
          <w:w w:val="105"/>
        </w:rPr>
        <w:t> </w:t>
      </w:r>
      <w:r>
        <w:rPr>
          <w:color w:val="231F20"/>
          <w:w w:val="105"/>
        </w:rPr>
        <w:t>eso</w:t>
      </w:r>
      <w:r>
        <w:rPr>
          <w:color w:val="231F20"/>
          <w:spacing w:val="-9"/>
          <w:w w:val="105"/>
        </w:rPr>
        <w:t> </w:t>
      </w:r>
      <w:r>
        <w:rPr>
          <w:color w:val="231F20"/>
          <w:w w:val="105"/>
        </w:rPr>
        <w:t>se</w:t>
      </w:r>
      <w:r>
        <w:rPr>
          <w:color w:val="231F20"/>
          <w:spacing w:val="-9"/>
          <w:w w:val="105"/>
        </w:rPr>
        <w:t> </w:t>
      </w:r>
      <w:r>
        <w:rPr>
          <w:color w:val="231F20"/>
          <w:w w:val="105"/>
        </w:rPr>
        <w:t>hizo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último</w:t>
      </w:r>
      <w:r>
        <w:rPr>
          <w:color w:val="231F20"/>
          <w:spacing w:val="-9"/>
          <w:w w:val="105"/>
        </w:rPr>
        <w:t> </w:t>
      </w:r>
      <w:r>
        <w:rPr>
          <w:color w:val="231F20"/>
          <w:w w:val="105"/>
        </w:rPr>
        <w:t>año</w:t>
      </w:r>
      <w:r>
        <w:rPr>
          <w:color w:val="231F20"/>
          <w:spacing w:val="-9"/>
          <w:w w:val="105"/>
        </w:rPr>
        <w:t> </w:t>
      </w:r>
      <w:r>
        <w:rPr>
          <w:color w:val="231F20"/>
          <w:w w:val="105"/>
        </w:rPr>
        <w:t>de</w:t>
      </w:r>
      <w:r>
        <w:rPr>
          <w:color w:val="231F20"/>
          <w:spacing w:val="-9"/>
          <w:w w:val="105"/>
        </w:rPr>
        <w:t> </w:t>
      </w:r>
      <w:r>
        <w:rPr>
          <w:color w:val="231F20"/>
          <w:w w:val="105"/>
        </w:rPr>
        <w:t>gobierno,</w:t>
      </w:r>
      <w:r>
        <w:rPr>
          <w:color w:val="231F20"/>
          <w:spacing w:val="-9"/>
          <w:w w:val="105"/>
        </w:rPr>
        <w:t> </w:t>
      </w:r>
      <w:r>
        <w:rPr>
          <w:color w:val="231F20"/>
          <w:w w:val="105"/>
        </w:rPr>
        <w:t>habría</w:t>
      </w:r>
      <w:r>
        <w:rPr>
          <w:color w:val="231F20"/>
          <w:spacing w:val="-9"/>
          <w:w w:val="105"/>
        </w:rPr>
        <w:t> </w:t>
      </w:r>
      <w:r>
        <w:rPr>
          <w:color w:val="231F20"/>
          <w:w w:val="105"/>
        </w:rPr>
        <w:t>que</w:t>
      </w:r>
      <w:r>
        <w:rPr>
          <w:color w:val="231F20"/>
          <w:spacing w:val="-9"/>
          <w:w w:val="105"/>
        </w:rPr>
        <w:t> </w:t>
      </w:r>
      <w:r>
        <w:rPr>
          <w:color w:val="231F20"/>
          <w:w w:val="105"/>
        </w:rPr>
        <w:t>ver cuáles</w:t>
      </w:r>
      <w:r>
        <w:rPr>
          <w:color w:val="231F20"/>
          <w:spacing w:val="-15"/>
          <w:w w:val="105"/>
        </w:rPr>
        <w:t> </w:t>
      </w:r>
      <w:r>
        <w:rPr>
          <w:color w:val="231F20"/>
          <w:w w:val="105"/>
        </w:rPr>
        <w:t>fueron</w:t>
      </w:r>
      <w:r>
        <w:rPr>
          <w:color w:val="231F20"/>
          <w:spacing w:val="-15"/>
          <w:w w:val="105"/>
        </w:rPr>
        <w:t> </w:t>
      </w:r>
      <w:r>
        <w:rPr>
          <w:color w:val="231F20"/>
          <w:w w:val="105"/>
        </w:rPr>
        <w:t>los</w:t>
      </w:r>
      <w:r>
        <w:rPr>
          <w:color w:val="231F20"/>
          <w:spacing w:val="-15"/>
          <w:w w:val="105"/>
        </w:rPr>
        <w:t> </w:t>
      </w:r>
      <w:r>
        <w:rPr>
          <w:color w:val="231F20"/>
          <w:w w:val="105"/>
        </w:rPr>
        <w:t>ajustes</w:t>
      </w:r>
      <w:r>
        <w:rPr>
          <w:color w:val="231F20"/>
          <w:spacing w:val="-15"/>
          <w:w w:val="105"/>
        </w:rPr>
        <w:t> </w:t>
      </w:r>
      <w:r>
        <w:rPr>
          <w:color w:val="231F20"/>
          <w:spacing w:val="2"/>
          <w:w w:val="105"/>
        </w:rPr>
        <w:t>al</w:t>
      </w:r>
      <w:r>
        <w:rPr>
          <w:color w:val="231F20"/>
          <w:spacing w:val="-15"/>
          <w:w w:val="105"/>
        </w:rPr>
        <w:t> </w:t>
      </w:r>
      <w:r>
        <w:rPr>
          <w:color w:val="231F20"/>
          <w:w w:val="105"/>
        </w:rPr>
        <w:t>principio</w:t>
      </w:r>
      <w:r>
        <w:rPr>
          <w:color w:val="231F20"/>
          <w:spacing w:val="-15"/>
          <w:w w:val="105"/>
        </w:rPr>
        <w:t> </w:t>
      </w:r>
      <w:r>
        <w:rPr>
          <w:color w:val="231F20"/>
          <w:w w:val="105"/>
        </w:rPr>
        <w:t>del</w:t>
      </w:r>
      <w:r>
        <w:rPr>
          <w:color w:val="231F20"/>
          <w:spacing w:val="-15"/>
          <w:w w:val="105"/>
        </w:rPr>
        <w:t> </w:t>
      </w:r>
      <w:r>
        <w:rPr>
          <w:color w:val="231F20"/>
          <w:w w:val="105"/>
        </w:rPr>
        <w:t>periodo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gestión</w:t>
      </w:r>
      <w:r>
        <w:rPr>
          <w:color w:val="231F20"/>
          <w:spacing w:val="-15"/>
          <w:w w:val="105"/>
        </w:rPr>
        <w:t> </w:t>
      </w:r>
      <w:r>
        <w:rPr>
          <w:color w:val="231F20"/>
          <w:w w:val="105"/>
        </w:rPr>
        <w:t>panista.</w:t>
      </w:r>
      <w:r>
        <w:rPr>
          <w:color w:val="231F20"/>
          <w:w w:val="105"/>
          <w:position w:val="7"/>
          <w:sz w:val="13"/>
        </w:rPr>
        <w:t>4</w:t>
      </w:r>
    </w:p>
    <w:p>
      <w:pPr>
        <w:pStyle w:val="BodyText"/>
        <w:spacing w:before="1"/>
        <w:rPr>
          <w:sz w:val="26"/>
        </w:rPr>
      </w:pPr>
    </w:p>
    <w:p>
      <w:pPr>
        <w:pStyle w:val="BodyText"/>
        <w:spacing w:line="285" w:lineRule="auto"/>
        <w:ind w:left="110" w:right="108"/>
        <w:jc w:val="both"/>
      </w:pPr>
      <w:r>
        <w:rPr>
          <w:color w:val="231F20"/>
          <w:spacing w:val="-4"/>
          <w:w w:val="105"/>
        </w:rPr>
        <w:t>Un </w:t>
      </w:r>
      <w:r>
        <w:rPr>
          <w:color w:val="231F20"/>
          <w:spacing w:val="-3"/>
          <w:w w:val="105"/>
        </w:rPr>
        <w:t>hecho innegable </w:t>
      </w:r>
      <w:r>
        <w:rPr>
          <w:color w:val="231F20"/>
          <w:w w:val="105"/>
        </w:rPr>
        <w:t>fue </w:t>
      </w:r>
      <w:r>
        <w:rPr>
          <w:color w:val="231F20"/>
          <w:spacing w:val="-3"/>
          <w:w w:val="105"/>
        </w:rPr>
        <w:t>que </w:t>
      </w:r>
      <w:r>
        <w:rPr>
          <w:color w:val="231F20"/>
          <w:w w:val="105"/>
        </w:rPr>
        <w:t>las </w:t>
      </w:r>
      <w:r>
        <w:rPr>
          <w:color w:val="231F20"/>
          <w:spacing w:val="-3"/>
          <w:w w:val="105"/>
        </w:rPr>
        <w:t>compras </w:t>
      </w:r>
      <w:r>
        <w:rPr>
          <w:color w:val="231F20"/>
          <w:w w:val="105"/>
        </w:rPr>
        <w:t>de </w:t>
      </w:r>
      <w:r>
        <w:rPr>
          <w:color w:val="231F20"/>
          <w:spacing w:val="-3"/>
          <w:w w:val="105"/>
        </w:rPr>
        <w:t>los </w:t>
      </w:r>
      <w:r>
        <w:rPr>
          <w:color w:val="231F20"/>
          <w:w w:val="105"/>
        </w:rPr>
        <w:t>panistas </w:t>
      </w:r>
      <w:r>
        <w:rPr>
          <w:color w:val="231F20"/>
          <w:spacing w:val="-3"/>
          <w:w w:val="105"/>
        </w:rPr>
        <w:t>llegados </w:t>
      </w:r>
      <w:r>
        <w:rPr>
          <w:color w:val="231F20"/>
          <w:w w:val="105"/>
        </w:rPr>
        <w:t>al </w:t>
      </w:r>
      <w:r>
        <w:rPr>
          <w:color w:val="231F20"/>
          <w:spacing w:val="-3"/>
          <w:w w:val="105"/>
        </w:rPr>
        <w:t>poder fueron </w:t>
      </w:r>
      <w:r>
        <w:rPr>
          <w:color w:val="231F20"/>
          <w:w w:val="105"/>
        </w:rPr>
        <w:t>más transparentes </w:t>
      </w:r>
      <w:r>
        <w:rPr>
          <w:color w:val="231F20"/>
          <w:spacing w:val="-3"/>
          <w:w w:val="105"/>
        </w:rPr>
        <w:t>que </w:t>
      </w:r>
      <w:r>
        <w:rPr>
          <w:color w:val="231F20"/>
          <w:w w:val="105"/>
        </w:rPr>
        <w:t>antaño. Las cifras </w:t>
      </w:r>
      <w:r>
        <w:rPr>
          <w:color w:val="231F20"/>
          <w:spacing w:val="-3"/>
          <w:w w:val="105"/>
        </w:rPr>
        <w:t>son elocuentes, pues los indicadores </w:t>
      </w:r>
      <w:r>
        <w:rPr>
          <w:color w:val="231F20"/>
          <w:w w:val="105"/>
        </w:rPr>
        <w:t>se disparan a partir</w:t>
      </w:r>
      <w:r>
        <w:rPr>
          <w:color w:val="231F20"/>
          <w:spacing w:val="-17"/>
          <w:w w:val="105"/>
        </w:rPr>
        <w:t> </w:t>
      </w:r>
      <w:r>
        <w:rPr>
          <w:color w:val="231F20"/>
          <w:w w:val="105"/>
        </w:rPr>
        <w:t>de</w:t>
      </w:r>
      <w:r>
        <w:rPr>
          <w:color w:val="231F20"/>
          <w:spacing w:val="-17"/>
          <w:w w:val="105"/>
        </w:rPr>
        <w:t> </w:t>
      </w:r>
      <w:r>
        <w:rPr>
          <w:color w:val="231F20"/>
          <w:spacing w:val="-7"/>
          <w:w w:val="105"/>
        </w:rPr>
        <w:t>1997,</w:t>
      </w:r>
      <w:r>
        <w:rPr>
          <w:color w:val="231F20"/>
          <w:spacing w:val="-17"/>
          <w:w w:val="105"/>
        </w:rPr>
        <w:t> </w:t>
      </w:r>
      <w:r>
        <w:rPr>
          <w:color w:val="231F20"/>
          <w:spacing w:val="-4"/>
          <w:w w:val="105"/>
        </w:rPr>
        <w:t>como</w:t>
      </w:r>
      <w:r>
        <w:rPr>
          <w:color w:val="231F20"/>
          <w:spacing w:val="-17"/>
          <w:w w:val="105"/>
        </w:rPr>
        <w:t> </w:t>
      </w:r>
      <w:r>
        <w:rPr>
          <w:color w:val="231F20"/>
          <w:w w:val="105"/>
        </w:rPr>
        <w:t>si</w:t>
      </w:r>
      <w:r>
        <w:rPr>
          <w:color w:val="231F20"/>
          <w:spacing w:val="-17"/>
          <w:w w:val="105"/>
        </w:rPr>
        <w:t> </w:t>
      </w:r>
      <w:r>
        <w:rPr>
          <w:color w:val="231F20"/>
          <w:w w:val="105"/>
        </w:rPr>
        <w:t>antes</w:t>
      </w:r>
      <w:r>
        <w:rPr>
          <w:color w:val="231F20"/>
          <w:spacing w:val="-17"/>
          <w:w w:val="105"/>
        </w:rPr>
        <w:t> </w:t>
      </w:r>
      <w:r>
        <w:rPr>
          <w:color w:val="231F20"/>
          <w:spacing w:val="-3"/>
          <w:w w:val="105"/>
        </w:rPr>
        <w:t>no</w:t>
      </w:r>
      <w:r>
        <w:rPr>
          <w:color w:val="231F20"/>
          <w:spacing w:val="-17"/>
          <w:w w:val="105"/>
        </w:rPr>
        <w:t> </w:t>
      </w:r>
      <w:r>
        <w:rPr>
          <w:color w:val="231F20"/>
          <w:spacing w:val="-3"/>
          <w:w w:val="105"/>
        </w:rPr>
        <w:t>hubieran</w:t>
      </w:r>
      <w:r>
        <w:rPr>
          <w:color w:val="231F20"/>
          <w:spacing w:val="-17"/>
          <w:w w:val="105"/>
        </w:rPr>
        <w:t> </w:t>
      </w:r>
      <w:r>
        <w:rPr>
          <w:color w:val="231F20"/>
          <w:w w:val="105"/>
        </w:rPr>
        <w:t>existido</w:t>
      </w:r>
      <w:r>
        <w:rPr>
          <w:color w:val="231F20"/>
          <w:spacing w:val="-17"/>
          <w:w w:val="105"/>
        </w:rPr>
        <w:t> </w:t>
      </w:r>
      <w:r>
        <w:rPr>
          <w:color w:val="231F20"/>
          <w:spacing w:val="-4"/>
          <w:w w:val="105"/>
        </w:rPr>
        <w:t>adquisiciones</w:t>
      </w:r>
      <w:r>
        <w:rPr>
          <w:color w:val="231F20"/>
          <w:spacing w:val="-17"/>
          <w:w w:val="105"/>
        </w:rPr>
        <w:t> </w:t>
      </w:r>
      <w:r>
        <w:rPr>
          <w:color w:val="231F20"/>
          <w:w w:val="105"/>
        </w:rPr>
        <w:t>y</w:t>
      </w:r>
      <w:r>
        <w:rPr>
          <w:color w:val="231F20"/>
          <w:spacing w:val="-17"/>
          <w:w w:val="105"/>
        </w:rPr>
        <w:t> </w:t>
      </w:r>
      <w:r>
        <w:rPr>
          <w:color w:val="231F20"/>
          <w:spacing w:val="-3"/>
          <w:w w:val="105"/>
        </w:rPr>
        <w:t>los</w:t>
      </w:r>
      <w:r>
        <w:rPr>
          <w:color w:val="231F20"/>
          <w:spacing w:val="-17"/>
          <w:w w:val="105"/>
        </w:rPr>
        <w:t> </w:t>
      </w:r>
      <w:r>
        <w:rPr>
          <w:color w:val="231F20"/>
          <w:w w:val="105"/>
        </w:rPr>
        <w:t>panistas</w:t>
      </w:r>
      <w:r>
        <w:rPr>
          <w:color w:val="231F20"/>
          <w:spacing w:val="-17"/>
          <w:w w:val="105"/>
        </w:rPr>
        <w:t> </w:t>
      </w:r>
      <w:r>
        <w:rPr>
          <w:color w:val="231F20"/>
          <w:spacing w:val="-4"/>
          <w:w w:val="105"/>
        </w:rPr>
        <w:t>hubiera</w:t>
      </w:r>
      <w:r>
        <w:rPr>
          <w:color w:val="231F20"/>
          <w:spacing w:val="-17"/>
          <w:w w:val="105"/>
        </w:rPr>
        <w:t> </w:t>
      </w:r>
      <w:r>
        <w:rPr>
          <w:color w:val="231F20"/>
          <w:w w:val="105"/>
        </w:rPr>
        <w:t>in- </w:t>
      </w:r>
      <w:r>
        <w:rPr>
          <w:color w:val="231F20"/>
          <w:spacing w:val="-4"/>
          <w:w w:val="105"/>
        </w:rPr>
        <w:t>ventado</w:t>
      </w:r>
      <w:r>
        <w:rPr>
          <w:color w:val="231F20"/>
          <w:spacing w:val="-25"/>
          <w:w w:val="105"/>
        </w:rPr>
        <w:t> </w:t>
      </w:r>
      <w:r>
        <w:rPr>
          <w:color w:val="231F20"/>
          <w:w w:val="105"/>
        </w:rPr>
        <w:t>el</w:t>
      </w:r>
      <w:r>
        <w:rPr>
          <w:color w:val="231F20"/>
          <w:spacing w:val="-25"/>
          <w:w w:val="105"/>
        </w:rPr>
        <w:t> </w:t>
      </w:r>
      <w:r>
        <w:rPr>
          <w:color w:val="231F20"/>
          <w:spacing w:val="-3"/>
          <w:w w:val="105"/>
        </w:rPr>
        <w:t>rubro:</w:t>
      </w:r>
      <w:r>
        <w:rPr>
          <w:color w:val="231F20"/>
          <w:spacing w:val="-25"/>
          <w:w w:val="105"/>
        </w:rPr>
        <w:t> </w:t>
      </w:r>
      <w:r>
        <w:rPr>
          <w:color w:val="231F20"/>
          <w:w w:val="105"/>
        </w:rPr>
        <w:t>de</w:t>
      </w:r>
      <w:r>
        <w:rPr>
          <w:color w:val="231F20"/>
          <w:spacing w:val="-25"/>
          <w:w w:val="105"/>
        </w:rPr>
        <w:t> </w:t>
      </w:r>
      <w:r>
        <w:rPr>
          <w:color w:val="231F20"/>
          <w:spacing w:val="-3"/>
          <w:w w:val="105"/>
        </w:rPr>
        <w:t>32</w:t>
      </w:r>
      <w:r>
        <w:rPr>
          <w:color w:val="231F20"/>
          <w:spacing w:val="-25"/>
          <w:w w:val="105"/>
        </w:rPr>
        <w:t> </w:t>
      </w:r>
      <w:r>
        <w:rPr>
          <w:color w:val="231F20"/>
          <w:w w:val="105"/>
        </w:rPr>
        <w:t>millones</w:t>
      </w:r>
      <w:r>
        <w:rPr>
          <w:color w:val="231F20"/>
          <w:spacing w:val="-25"/>
          <w:w w:val="105"/>
        </w:rPr>
        <w:t> </w:t>
      </w:r>
      <w:r>
        <w:rPr>
          <w:color w:val="231F20"/>
          <w:w w:val="105"/>
        </w:rPr>
        <w:t>de</w:t>
      </w:r>
      <w:r>
        <w:rPr>
          <w:color w:val="231F20"/>
          <w:spacing w:val="-25"/>
          <w:w w:val="105"/>
        </w:rPr>
        <w:t> </w:t>
      </w:r>
      <w:r>
        <w:rPr>
          <w:color w:val="231F20"/>
          <w:w w:val="105"/>
        </w:rPr>
        <w:t>pesos</w:t>
      </w:r>
      <w:r>
        <w:rPr>
          <w:color w:val="231F20"/>
          <w:spacing w:val="-25"/>
          <w:w w:val="105"/>
        </w:rPr>
        <w:t> </w:t>
      </w:r>
      <w:r>
        <w:rPr>
          <w:color w:val="231F20"/>
          <w:spacing w:val="-3"/>
          <w:w w:val="105"/>
        </w:rPr>
        <w:t>gastados</w:t>
      </w:r>
      <w:r>
        <w:rPr>
          <w:color w:val="231F20"/>
          <w:spacing w:val="-25"/>
          <w:w w:val="105"/>
        </w:rPr>
        <w:t> </w:t>
      </w:r>
      <w:r>
        <w:rPr>
          <w:color w:val="231F20"/>
          <w:w w:val="105"/>
        </w:rPr>
        <w:t>en</w:t>
      </w:r>
      <w:r>
        <w:rPr>
          <w:color w:val="231F20"/>
          <w:spacing w:val="-25"/>
          <w:w w:val="105"/>
        </w:rPr>
        <w:t> </w:t>
      </w:r>
      <w:r>
        <w:rPr>
          <w:color w:val="231F20"/>
          <w:w w:val="105"/>
        </w:rPr>
        <w:t>1996,</w:t>
      </w:r>
      <w:r>
        <w:rPr>
          <w:color w:val="231F20"/>
          <w:spacing w:val="-25"/>
          <w:w w:val="105"/>
        </w:rPr>
        <w:t> </w:t>
      </w:r>
      <w:r>
        <w:rPr>
          <w:color w:val="231F20"/>
          <w:w w:val="105"/>
        </w:rPr>
        <w:t>se</w:t>
      </w:r>
      <w:r>
        <w:rPr>
          <w:color w:val="231F20"/>
          <w:spacing w:val="-25"/>
          <w:w w:val="105"/>
        </w:rPr>
        <w:t> </w:t>
      </w:r>
      <w:r>
        <w:rPr>
          <w:color w:val="231F20"/>
          <w:w w:val="105"/>
        </w:rPr>
        <w:t>pasó</w:t>
      </w:r>
      <w:r>
        <w:rPr>
          <w:color w:val="231F20"/>
          <w:spacing w:val="-25"/>
          <w:w w:val="105"/>
        </w:rPr>
        <w:t> </w:t>
      </w:r>
      <w:r>
        <w:rPr>
          <w:color w:val="231F20"/>
          <w:w w:val="105"/>
        </w:rPr>
        <w:t>a</w:t>
      </w:r>
      <w:r>
        <w:rPr>
          <w:color w:val="231F20"/>
          <w:spacing w:val="-25"/>
          <w:w w:val="105"/>
        </w:rPr>
        <w:t> </w:t>
      </w:r>
      <w:r>
        <w:rPr>
          <w:color w:val="231F20"/>
          <w:w w:val="105"/>
        </w:rPr>
        <w:t>casi</w:t>
      </w:r>
      <w:r>
        <w:rPr>
          <w:color w:val="231F20"/>
          <w:spacing w:val="-25"/>
          <w:w w:val="105"/>
        </w:rPr>
        <w:t> </w:t>
      </w:r>
      <w:r>
        <w:rPr>
          <w:color w:val="231F20"/>
          <w:spacing w:val="-3"/>
          <w:w w:val="105"/>
        </w:rPr>
        <w:t>setenta</w:t>
      </w:r>
      <w:r>
        <w:rPr>
          <w:color w:val="231F20"/>
          <w:spacing w:val="-25"/>
          <w:w w:val="105"/>
        </w:rPr>
        <w:t> </w:t>
      </w:r>
      <w:r>
        <w:rPr>
          <w:color w:val="231F20"/>
          <w:w w:val="105"/>
        </w:rPr>
        <w:t>millones en</w:t>
      </w:r>
      <w:r>
        <w:rPr>
          <w:color w:val="231F20"/>
          <w:spacing w:val="-22"/>
          <w:w w:val="105"/>
        </w:rPr>
        <w:t> </w:t>
      </w:r>
      <w:r>
        <w:rPr>
          <w:color w:val="231F20"/>
          <w:spacing w:val="-5"/>
          <w:w w:val="105"/>
        </w:rPr>
        <w:t>1999.</w:t>
      </w:r>
      <w:r>
        <w:rPr>
          <w:color w:val="231F20"/>
          <w:spacing w:val="-22"/>
          <w:w w:val="105"/>
        </w:rPr>
        <w:t> </w:t>
      </w:r>
      <w:r>
        <w:rPr>
          <w:color w:val="231F20"/>
          <w:spacing w:val="-3"/>
          <w:w w:val="105"/>
        </w:rPr>
        <w:t>Además,</w:t>
      </w:r>
      <w:r>
        <w:rPr>
          <w:color w:val="231F20"/>
          <w:spacing w:val="-22"/>
          <w:w w:val="105"/>
        </w:rPr>
        <w:t> </w:t>
      </w:r>
      <w:r>
        <w:rPr>
          <w:color w:val="231F20"/>
          <w:w w:val="105"/>
        </w:rPr>
        <w:t>el</w:t>
      </w:r>
      <w:r>
        <w:rPr>
          <w:color w:val="231F20"/>
          <w:spacing w:val="-22"/>
          <w:w w:val="105"/>
        </w:rPr>
        <w:t> </w:t>
      </w:r>
      <w:r>
        <w:rPr>
          <w:color w:val="231F20"/>
          <w:spacing w:val="-3"/>
          <w:w w:val="105"/>
        </w:rPr>
        <w:t>número</w:t>
      </w:r>
      <w:r>
        <w:rPr>
          <w:color w:val="231F20"/>
          <w:spacing w:val="-22"/>
          <w:w w:val="105"/>
        </w:rPr>
        <w:t> </w:t>
      </w:r>
      <w:r>
        <w:rPr>
          <w:color w:val="231F20"/>
          <w:w w:val="105"/>
        </w:rPr>
        <w:t>de</w:t>
      </w:r>
      <w:r>
        <w:rPr>
          <w:color w:val="231F20"/>
          <w:spacing w:val="-22"/>
          <w:w w:val="105"/>
        </w:rPr>
        <w:t> </w:t>
      </w:r>
      <w:r>
        <w:rPr>
          <w:color w:val="231F20"/>
          <w:spacing w:val="-3"/>
          <w:w w:val="105"/>
        </w:rPr>
        <w:t>licitaciones</w:t>
      </w:r>
      <w:r>
        <w:rPr>
          <w:color w:val="231F20"/>
          <w:spacing w:val="-22"/>
          <w:w w:val="105"/>
        </w:rPr>
        <w:t> </w:t>
      </w:r>
      <w:r>
        <w:rPr>
          <w:color w:val="231F20"/>
          <w:spacing w:val="-3"/>
          <w:w w:val="105"/>
        </w:rPr>
        <w:t>ascendió</w:t>
      </w:r>
      <w:r>
        <w:rPr>
          <w:color w:val="231F20"/>
          <w:spacing w:val="-22"/>
          <w:w w:val="105"/>
        </w:rPr>
        <w:t> </w:t>
      </w:r>
      <w:r>
        <w:rPr>
          <w:color w:val="231F20"/>
          <w:w w:val="105"/>
        </w:rPr>
        <w:t>significativamente</w:t>
      </w:r>
      <w:r>
        <w:rPr>
          <w:color w:val="231F20"/>
          <w:spacing w:val="-22"/>
          <w:w w:val="105"/>
        </w:rPr>
        <w:t> </w:t>
      </w:r>
      <w:r>
        <w:rPr>
          <w:color w:val="231F20"/>
          <w:w w:val="105"/>
        </w:rPr>
        <w:t>y</w:t>
      </w:r>
      <w:r>
        <w:rPr>
          <w:color w:val="231F20"/>
          <w:spacing w:val="-22"/>
          <w:w w:val="105"/>
        </w:rPr>
        <w:t> </w:t>
      </w:r>
      <w:r>
        <w:rPr>
          <w:color w:val="231F20"/>
          <w:w w:val="105"/>
        </w:rPr>
        <w:t>las</w:t>
      </w:r>
      <w:r>
        <w:rPr>
          <w:color w:val="231F20"/>
          <w:spacing w:val="-22"/>
          <w:w w:val="105"/>
        </w:rPr>
        <w:t> </w:t>
      </w:r>
      <w:r>
        <w:rPr>
          <w:color w:val="231F20"/>
          <w:spacing w:val="-3"/>
          <w:w w:val="105"/>
        </w:rPr>
        <w:t>compras</w:t>
      </w:r>
      <w:r>
        <w:rPr>
          <w:color w:val="231F20"/>
          <w:spacing w:val="-22"/>
          <w:w w:val="105"/>
        </w:rPr>
        <w:t> </w:t>
      </w:r>
      <w:r>
        <w:rPr>
          <w:color w:val="231F20"/>
          <w:w w:val="105"/>
        </w:rPr>
        <w:t>di- rectas</w:t>
      </w:r>
      <w:r>
        <w:rPr>
          <w:color w:val="231F20"/>
          <w:spacing w:val="-14"/>
          <w:w w:val="105"/>
        </w:rPr>
        <w:t> </w:t>
      </w:r>
      <w:r>
        <w:rPr>
          <w:color w:val="231F20"/>
          <w:w w:val="105"/>
        </w:rPr>
        <w:t>se</w:t>
      </w:r>
      <w:r>
        <w:rPr>
          <w:color w:val="231F20"/>
          <w:spacing w:val="-14"/>
          <w:w w:val="105"/>
        </w:rPr>
        <w:t> </w:t>
      </w:r>
      <w:r>
        <w:rPr>
          <w:color w:val="231F20"/>
          <w:spacing w:val="-4"/>
          <w:w w:val="105"/>
        </w:rPr>
        <w:t>redujeron</w:t>
      </w:r>
      <w:r>
        <w:rPr>
          <w:color w:val="231F20"/>
          <w:spacing w:val="-14"/>
          <w:w w:val="105"/>
        </w:rPr>
        <w:t> </w:t>
      </w:r>
      <w:r>
        <w:rPr>
          <w:color w:val="231F20"/>
          <w:w w:val="105"/>
        </w:rPr>
        <w:t>de</w:t>
      </w:r>
      <w:r>
        <w:rPr>
          <w:color w:val="231F20"/>
          <w:spacing w:val="-14"/>
          <w:w w:val="105"/>
        </w:rPr>
        <w:t> </w:t>
      </w:r>
      <w:r>
        <w:rPr>
          <w:color w:val="231F20"/>
          <w:w w:val="105"/>
        </w:rPr>
        <w:t>manera</w:t>
      </w:r>
      <w:r>
        <w:rPr>
          <w:color w:val="231F20"/>
          <w:spacing w:val="-14"/>
          <w:w w:val="105"/>
        </w:rPr>
        <w:t> </w:t>
      </w:r>
      <w:r>
        <w:rPr>
          <w:color w:val="231F20"/>
          <w:w w:val="105"/>
        </w:rPr>
        <w:t>igualmente</w:t>
      </w:r>
      <w:r>
        <w:rPr>
          <w:color w:val="231F20"/>
          <w:spacing w:val="-14"/>
          <w:w w:val="105"/>
        </w:rPr>
        <w:t> </w:t>
      </w:r>
      <w:r>
        <w:rPr>
          <w:color w:val="231F20"/>
          <w:spacing w:val="-3"/>
          <w:w w:val="105"/>
        </w:rPr>
        <w:t>notable.</w:t>
      </w:r>
      <w:r>
        <w:rPr>
          <w:color w:val="231F20"/>
          <w:spacing w:val="-3"/>
          <w:w w:val="105"/>
          <w:position w:val="7"/>
          <w:sz w:val="13"/>
        </w:rPr>
        <w:t>5</w:t>
      </w:r>
      <w:r>
        <w:rPr>
          <w:color w:val="231F20"/>
          <w:spacing w:val="11"/>
          <w:w w:val="105"/>
          <w:position w:val="7"/>
          <w:sz w:val="13"/>
        </w:rPr>
        <w:t> </w:t>
      </w:r>
      <w:r>
        <w:rPr>
          <w:color w:val="231F20"/>
          <w:w w:val="105"/>
        </w:rPr>
        <w:t>Se</w:t>
      </w:r>
      <w:r>
        <w:rPr>
          <w:color w:val="231F20"/>
          <w:spacing w:val="-14"/>
          <w:w w:val="105"/>
        </w:rPr>
        <w:t> </w:t>
      </w:r>
      <w:r>
        <w:rPr>
          <w:color w:val="231F20"/>
          <w:w w:val="105"/>
        </w:rPr>
        <w:t>trata,</w:t>
      </w:r>
      <w:r>
        <w:rPr>
          <w:color w:val="231F20"/>
          <w:spacing w:val="-14"/>
          <w:w w:val="105"/>
        </w:rPr>
        <w:t> </w:t>
      </w:r>
      <w:r>
        <w:rPr>
          <w:color w:val="231F20"/>
          <w:w w:val="105"/>
        </w:rPr>
        <w:t>en</w:t>
      </w:r>
      <w:r>
        <w:rPr>
          <w:color w:val="231F20"/>
          <w:spacing w:val="-14"/>
          <w:w w:val="105"/>
        </w:rPr>
        <w:t> </w:t>
      </w:r>
      <w:r>
        <w:rPr>
          <w:color w:val="231F20"/>
          <w:spacing w:val="-3"/>
          <w:w w:val="105"/>
        </w:rPr>
        <w:t>efecto,</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spacing w:val="-3"/>
          <w:w w:val="105"/>
        </w:rPr>
        <w:t>manejo</w:t>
      </w:r>
      <w:r>
        <w:rPr>
          <w:color w:val="231F20"/>
          <w:spacing w:val="-14"/>
          <w:w w:val="105"/>
        </w:rPr>
        <w:t> </w:t>
      </w:r>
      <w:r>
        <w:rPr>
          <w:color w:val="231F20"/>
          <w:w w:val="105"/>
        </w:rPr>
        <w:t>más transparente de este </w:t>
      </w:r>
      <w:r>
        <w:rPr>
          <w:color w:val="231F20"/>
          <w:spacing w:val="-4"/>
          <w:w w:val="105"/>
        </w:rPr>
        <w:t>presupuesto, </w:t>
      </w:r>
      <w:r>
        <w:rPr>
          <w:color w:val="231F20"/>
          <w:spacing w:val="-3"/>
          <w:w w:val="105"/>
        </w:rPr>
        <w:t>tradicionalmente expuesto </w:t>
      </w:r>
      <w:r>
        <w:rPr>
          <w:color w:val="231F20"/>
          <w:w w:val="105"/>
        </w:rPr>
        <w:t>para </w:t>
      </w:r>
      <w:r>
        <w:rPr>
          <w:color w:val="231F20"/>
          <w:spacing w:val="-3"/>
          <w:w w:val="105"/>
        </w:rPr>
        <w:t>actos </w:t>
      </w:r>
      <w:r>
        <w:rPr>
          <w:color w:val="231F20"/>
          <w:w w:val="105"/>
        </w:rPr>
        <w:t>de</w:t>
      </w:r>
      <w:r>
        <w:rPr>
          <w:color w:val="231F20"/>
          <w:spacing w:val="-13"/>
          <w:w w:val="105"/>
        </w:rPr>
        <w:t> </w:t>
      </w:r>
      <w:r>
        <w:rPr>
          <w:color w:val="231F20"/>
          <w:spacing w:val="-3"/>
          <w:w w:val="105"/>
        </w:rPr>
        <w:t>corrupción.</w:t>
      </w:r>
    </w:p>
    <w:p>
      <w:pPr>
        <w:pStyle w:val="BodyText"/>
        <w:spacing w:before="1"/>
        <w:rPr>
          <w:sz w:val="26"/>
        </w:rPr>
      </w:pPr>
    </w:p>
    <w:p>
      <w:pPr>
        <w:pStyle w:val="BodyText"/>
        <w:spacing w:line="285" w:lineRule="auto"/>
        <w:ind w:left="110" w:right="107"/>
        <w:jc w:val="both"/>
        <w:rPr>
          <w:sz w:val="13"/>
        </w:rPr>
      </w:pPr>
      <w:r>
        <w:rPr>
          <w:color w:val="231F20"/>
          <w:w w:val="105"/>
        </w:rPr>
        <w:t>Algo semejante se puede decir de las cifras referentes </w:t>
      </w:r>
      <w:r>
        <w:rPr>
          <w:color w:val="231F20"/>
          <w:spacing w:val="2"/>
          <w:w w:val="105"/>
        </w:rPr>
        <w:t>al </w:t>
      </w:r>
      <w:r>
        <w:rPr>
          <w:color w:val="231F20"/>
          <w:w w:val="105"/>
        </w:rPr>
        <w:t>otorgamiento de licencias de comercio en vía pública: si la administración priísta en 1996 concedió 505, la panista en</w:t>
      </w:r>
      <w:r>
        <w:rPr>
          <w:color w:val="231F20"/>
          <w:spacing w:val="-16"/>
          <w:w w:val="105"/>
        </w:rPr>
        <w:t> </w:t>
      </w:r>
      <w:r>
        <w:rPr>
          <w:color w:val="231F20"/>
          <w:w w:val="105"/>
        </w:rPr>
        <w:t>1999</w:t>
      </w:r>
      <w:r>
        <w:rPr>
          <w:color w:val="231F20"/>
          <w:spacing w:val="-16"/>
          <w:w w:val="105"/>
        </w:rPr>
        <w:t> </w:t>
      </w:r>
      <w:r>
        <w:rPr>
          <w:color w:val="231F20"/>
          <w:w w:val="105"/>
        </w:rPr>
        <w:t>concedió</w:t>
      </w:r>
      <w:r>
        <w:rPr>
          <w:color w:val="231F20"/>
          <w:spacing w:val="-16"/>
          <w:w w:val="105"/>
        </w:rPr>
        <w:t> </w:t>
      </w:r>
      <w:r>
        <w:rPr>
          <w:color w:val="231F20"/>
          <w:w w:val="105"/>
        </w:rPr>
        <w:t>solamente</w:t>
      </w:r>
      <w:r>
        <w:rPr>
          <w:color w:val="231F20"/>
          <w:spacing w:val="-16"/>
          <w:w w:val="105"/>
        </w:rPr>
        <w:t> </w:t>
      </w:r>
      <w:r>
        <w:rPr>
          <w:color w:val="231F20"/>
          <w:w w:val="105"/>
        </w:rPr>
        <w:t>la</w:t>
      </w:r>
      <w:r>
        <w:rPr>
          <w:color w:val="231F20"/>
          <w:spacing w:val="-16"/>
          <w:w w:val="105"/>
        </w:rPr>
        <w:t> </w:t>
      </w:r>
      <w:r>
        <w:rPr>
          <w:color w:val="231F20"/>
          <w:w w:val="105"/>
        </w:rPr>
        <w:t>mitad.</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caso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permisos</w:t>
      </w:r>
      <w:r>
        <w:rPr>
          <w:color w:val="231F20"/>
          <w:spacing w:val="-16"/>
          <w:w w:val="105"/>
        </w:rPr>
        <w:t> </w:t>
      </w:r>
      <w:r>
        <w:rPr>
          <w:color w:val="231F20"/>
          <w:w w:val="105"/>
        </w:rPr>
        <w:t>para</w:t>
      </w:r>
      <w:r>
        <w:rPr>
          <w:color w:val="231F20"/>
          <w:spacing w:val="-16"/>
          <w:w w:val="105"/>
        </w:rPr>
        <w:t> </w:t>
      </w:r>
      <w:r>
        <w:rPr>
          <w:color w:val="231F20"/>
          <w:w w:val="105"/>
        </w:rPr>
        <w:t>anuncios</w:t>
      </w:r>
      <w:r>
        <w:rPr>
          <w:color w:val="231F20"/>
          <w:spacing w:val="-16"/>
          <w:w w:val="105"/>
        </w:rPr>
        <w:t> </w:t>
      </w:r>
      <w:r>
        <w:rPr>
          <w:color w:val="231F20"/>
          <w:w w:val="105"/>
        </w:rPr>
        <w:t>se</w:t>
      </w:r>
      <w:r>
        <w:rPr>
          <w:color w:val="231F20"/>
          <w:spacing w:val="-16"/>
          <w:w w:val="105"/>
        </w:rPr>
        <w:t> </w:t>
      </w:r>
      <w:r>
        <w:rPr>
          <w:color w:val="231F20"/>
          <w:w w:val="105"/>
        </w:rPr>
        <w:t>dio</w:t>
      </w:r>
      <w:r>
        <w:rPr>
          <w:color w:val="231F20"/>
          <w:spacing w:val="-16"/>
          <w:w w:val="105"/>
        </w:rPr>
        <w:t> </w:t>
      </w:r>
      <w:r>
        <w:rPr>
          <w:color w:val="231F20"/>
          <w:w w:val="105"/>
        </w:rPr>
        <w:t>la misma</w:t>
      </w:r>
      <w:r>
        <w:rPr>
          <w:color w:val="231F20"/>
          <w:spacing w:val="-10"/>
          <w:w w:val="105"/>
        </w:rPr>
        <w:t> </w:t>
      </w:r>
      <w:r>
        <w:rPr>
          <w:color w:val="231F20"/>
          <w:w w:val="105"/>
        </w:rPr>
        <w:t>tendencia.</w:t>
      </w:r>
      <w:r>
        <w:rPr>
          <w:color w:val="231F20"/>
          <w:spacing w:val="-10"/>
          <w:w w:val="105"/>
        </w:rPr>
        <w:t> </w:t>
      </w:r>
      <w:r>
        <w:rPr>
          <w:color w:val="231F20"/>
          <w:spacing w:val="-3"/>
          <w:w w:val="105"/>
        </w:rPr>
        <w:t>Pero</w:t>
      </w:r>
      <w:r>
        <w:rPr>
          <w:color w:val="231F20"/>
          <w:spacing w:val="-10"/>
          <w:w w:val="105"/>
        </w:rPr>
        <w:t> </w:t>
      </w:r>
      <w:r>
        <w:rPr>
          <w:color w:val="231F20"/>
          <w:w w:val="105"/>
        </w:rPr>
        <w:t>lo</w:t>
      </w:r>
      <w:r>
        <w:rPr>
          <w:color w:val="231F20"/>
          <w:spacing w:val="-10"/>
          <w:w w:val="105"/>
        </w:rPr>
        <w:t> </w:t>
      </w:r>
      <w:r>
        <w:rPr>
          <w:color w:val="231F20"/>
          <w:w w:val="105"/>
        </w:rPr>
        <w:t>más</w:t>
      </w:r>
      <w:r>
        <w:rPr>
          <w:color w:val="231F20"/>
          <w:spacing w:val="-11"/>
          <w:w w:val="105"/>
        </w:rPr>
        <w:t> </w:t>
      </w:r>
      <w:r>
        <w:rPr>
          <w:color w:val="231F20"/>
          <w:w w:val="105"/>
        </w:rPr>
        <w:t>destacable</w:t>
      </w:r>
      <w:r>
        <w:rPr>
          <w:color w:val="231F20"/>
          <w:spacing w:val="-10"/>
          <w:w w:val="105"/>
        </w:rPr>
        <w:t> </w:t>
      </w:r>
      <w:r>
        <w:rPr>
          <w:color w:val="231F20"/>
          <w:w w:val="105"/>
        </w:rPr>
        <w:t>de</w:t>
      </w:r>
      <w:r>
        <w:rPr>
          <w:color w:val="231F20"/>
          <w:spacing w:val="-10"/>
          <w:w w:val="105"/>
        </w:rPr>
        <w:t> </w:t>
      </w:r>
      <w:r>
        <w:rPr>
          <w:color w:val="231F20"/>
          <w:w w:val="105"/>
        </w:rPr>
        <w:t>esto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spacing w:val="-3"/>
          <w:w w:val="105"/>
        </w:rPr>
        <w:t>monto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ingresos</w:t>
      </w:r>
      <w:r>
        <w:rPr>
          <w:color w:val="231F20"/>
          <w:spacing w:val="-10"/>
          <w:w w:val="105"/>
        </w:rPr>
        <w:t> </w:t>
      </w:r>
      <w:r>
        <w:rPr>
          <w:color w:val="231F20"/>
          <w:w w:val="105"/>
        </w:rPr>
        <w:t>reportados por estos conceptos: aunque hubo más licencias y permisos en 1996, los ingresos</w:t>
      </w:r>
      <w:r>
        <w:rPr>
          <w:color w:val="231F20"/>
          <w:spacing w:val="-39"/>
          <w:w w:val="105"/>
        </w:rPr>
        <w:t> </w:t>
      </w:r>
      <w:r>
        <w:rPr>
          <w:color w:val="231F20"/>
          <w:w w:val="105"/>
        </w:rPr>
        <w:t>eran menores</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que</w:t>
      </w:r>
      <w:r>
        <w:rPr>
          <w:color w:val="231F20"/>
          <w:spacing w:val="-18"/>
          <w:w w:val="105"/>
        </w:rPr>
        <w:t> </w:t>
      </w:r>
      <w:r>
        <w:rPr>
          <w:color w:val="231F20"/>
          <w:w w:val="105"/>
        </w:rPr>
        <w:t>después</w:t>
      </w:r>
      <w:r>
        <w:rPr>
          <w:color w:val="231F20"/>
          <w:spacing w:val="-18"/>
          <w:w w:val="105"/>
        </w:rPr>
        <w:t> </w:t>
      </w:r>
      <w:r>
        <w:rPr>
          <w:color w:val="231F20"/>
          <w:w w:val="105"/>
        </w:rPr>
        <w:t>se</w:t>
      </w:r>
      <w:r>
        <w:rPr>
          <w:color w:val="231F20"/>
          <w:spacing w:val="-18"/>
          <w:w w:val="105"/>
        </w:rPr>
        <w:t> </w:t>
      </w:r>
      <w:r>
        <w:rPr>
          <w:color w:val="231F20"/>
          <w:w w:val="105"/>
        </w:rPr>
        <w:t>reportaron</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años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gestión</w:t>
      </w:r>
      <w:r>
        <w:rPr>
          <w:color w:val="231F20"/>
          <w:spacing w:val="-18"/>
          <w:w w:val="105"/>
        </w:rPr>
        <w:t> </w:t>
      </w:r>
      <w:r>
        <w:rPr>
          <w:color w:val="231F20"/>
          <w:w w:val="105"/>
        </w:rPr>
        <w:t>panista.</w:t>
      </w:r>
      <w:r>
        <w:rPr>
          <w:color w:val="231F20"/>
          <w:w w:val="105"/>
          <w:position w:val="7"/>
          <w:sz w:val="13"/>
        </w:rPr>
        <w:t>6</w:t>
      </w:r>
      <w:r>
        <w:rPr>
          <w:color w:val="231F20"/>
          <w:spacing w:val="6"/>
          <w:w w:val="105"/>
          <w:position w:val="7"/>
          <w:sz w:val="13"/>
        </w:rPr>
        <w:t> </w:t>
      </w:r>
      <w:r>
        <w:rPr>
          <w:color w:val="231F20"/>
          <w:spacing w:val="-3"/>
          <w:w w:val="105"/>
        </w:rPr>
        <w:t>Por</w:t>
      </w:r>
      <w:r>
        <w:rPr>
          <w:color w:val="231F20"/>
          <w:spacing w:val="-18"/>
          <w:w w:val="105"/>
        </w:rPr>
        <w:t> </w:t>
      </w:r>
      <w:r>
        <w:rPr>
          <w:color w:val="231F20"/>
          <w:w w:val="105"/>
        </w:rPr>
        <w:t>lo</w:t>
      </w:r>
      <w:r>
        <w:rPr>
          <w:color w:val="231F20"/>
          <w:spacing w:val="-18"/>
          <w:w w:val="105"/>
        </w:rPr>
        <w:t> </w:t>
      </w:r>
      <w:r>
        <w:rPr>
          <w:color w:val="231F20"/>
          <w:w w:val="105"/>
        </w:rPr>
        <w:t>demás, por concepto de comercio en vía pública, el gobierno de Durán informó que en 1999 había</w:t>
      </w:r>
      <w:r>
        <w:rPr>
          <w:color w:val="231F20"/>
          <w:spacing w:val="-17"/>
          <w:w w:val="105"/>
        </w:rPr>
        <w:t> </w:t>
      </w:r>
      <w:r>
        <w:rPr>
          <w:color w:val="231F20"/>
          <w:w w:val="105"/>
        </w:rPr>
        <w:t>obtenido</w:t>
      </w:r>
      <w:r>
        <w:rPr>
          <w:color w:val="231F20"/>
          <w:spacing w:val="-17"/>
          <w:w w:val="105"/>
        </w:rPr>
        <w:t> </w:t>
      </w:r>
      <w:r>
        <w:rPr>
          <w:color w:val="231F20"/>
          <w:w w:val="105"/>
        </w:rPr>
        <w:t>poco</w:t>
      </w:r>
      <w:r>
        <w:rPr>
          <w:color w:val="231F20"/>
          <w:spacing w:val="-17"/>
          <w:w w:val="105"/>
        </w:rPr>
        <w:t> </w:t>
      </w:r>
      <w:r>
        <w:rPr>
          <w:color w:val="231F20"/>
          <w:w w:val="105"/>
        </w:rPr>
        <w:t>más</w:t>
      </w:r>
      <w:r>
        <w:rPr>
          <w:color w:val="231F20"/>
          <w:spacing w:val="-17"/>
          <w:w w:val="105"/>
        </w:rPr>
        <w:t> </w:t>
      </w:r>
      <w:r>
        <w:rPr>
          <w:color w:val="231F20"/>
          <w:w w:val="105"/>
        </w:rPr>
        <w:t>de</w:t>
      </w:r>
      <w:r>
        <w:rPr>
          <w:color w:val="231F20"/>
          <w:spacing w:val="-17"/>
          <w:w w:val="105"/>
        </w:rPr>
        <w:t> </w:t>
      </w:r>
      <w:r>
        <w:rPr>
          <w:color w:val="231F20"/>
          <w:w w:val="105"/>
        </w:rPr>
        <w:t>dos</w:t>
      </w:r>
      <w:r>
        <w:rPr>
          <w:color w:val="231F20"/>
          <w:spacing w:val="-17"/>
          <w:w w:val="105"/>
        </w:rPr>
        <w:t> </w:t>
      </w:r>
      <w:r>
        <w:rPr>
          <w:color w:val="231F20"/>
          <w:w w:val="105"/>
        </w:rPr>
        <w:t>millones</w:t>
      </w:r>
      <w:r>
        <w:rPr>
          <w:color w:val="231F20"/>
          <w:spacing w:val="-17"/>
          <w:w w:val="105"/>
        </w:rPr>
        <w:t> </w:t>
      </w:r>
      <w:r>
        <w:rPr>
          <w:color w:val="231F20"/>
          <w:spacing w:val="3"/>
          <w:w w:val="105"/>
        </w:rPr>
        <w:t>200</w:t>
      </w:r>
      <w:r>
        <w:rPr>
          <w:color w:val="231F20"/>
          <w:spacing w:val="-17"/>
          <w:w w:val="105"/>
        </w:rPr>
        <w:t> </w:t>
      </w:r>
      <w:r>
        <w:rPr>
          <w:color w:val="231F20"/>
          <w:spacing w:val="2"/>
          <w:w w:val="105"/>
        </w:rPr>
        <w:t>mil</w:t>
      </w:r>
      <w:r>
        <w:rPr>
          <w:color w:val="231F20"/>
          <w:spacing w:val="-17"/>
          <w:w w:val="105"/>
        </w:rPr>
        <w:t> </w:t>
      </w:r>
      <w:r>
        <w:rPr>
          <w:color w:val="231F20"/>
          <w:w w:val="105"/>
        </w:rPr>
        <w:t>pesos,</w:t>
      </w:r>
      <w:r>
        <w:rPr>
          <w:color w:val="231F20"/>
          <w:spacing w:val="-17"/>
          <w:w w:val="105"/>
        </w:rPr>
        <w:t> </w:t>
      </w:r>
      <w:r>
        <w:rPr>
          <w:color w:val="231F20"/>
          <w:w w:val="105"/>
        </w:rPr>
        <w:t>mientras</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administración </w:t>
      </w:r>
      <w:r>
        <w:rPr>
          <w:color w:val="231F20"/>
          <w:w w:val="105"/>
          <w:u w:val="single" w:color="231F20"/>
        </w:rPr>
        <w:t>anterior</w:t>
      </w:r>
      <w:r>
        <w:rPr>
          <w:color w:val="231F20"/>
          <w:spacing w:val="-8"/>
          <w:w w:val="105"/>
          <w:u w:val="single" w:color="231F20"/>
        </w:rPr>
        <w:t> </w:t>
      </w:r>
      <w:r>
        <w:rPr>
          <w:color w:val="231F20"/>
          <w:w w:val="105"/>
          <w:u w:val="single" w:color="231F20"/>
        </w:rPr>
        <w:t>carecía</w:t>
      </w:r>
      <w:r>
        <w:rPr>
          <w:color w:val="231F20"/>
          <w:spacing w:val="-8"/>
          <w:w w:val="105"/>
          <w:u w:val="single" w:color="231F20"/>
        </w:rPr>
        <w:t> </w:t>
      </w:r>
      <w:r>
        <w:rPr>
          <w:color w:val="231F20"/>
          <w:w w:val="105"/>
        </w:rPr>
        <w:t>de</w:t>
      </w:r>
      <w:r>
        <w:rPr>
          <w:color w:val="231F20"/>
          <w:spacing w:val="-8"/>
          <w:w w:val="105"/>
        </w:rPr>
        <w:t> </w:t>
      </w:r>
      <w:r>
        <w:rPr>
          <w:color w:val="231F20"/>
          <w:w w:val="105"/>
        </w:rPr>
        <w:t>una</w:t>
      </w:r>
      <w:r>
        <w:rPr>
          <w:color w:val="231F20"/>
          <w:spacing w:val="-8"/>
          <w:w w:val="105"/>
        </w:rPr>
        <w:t> </w:t>
      </w:r>
      <w:r>
        <w:rPr>
          <w:color w:val="231F20"/>
          <w:w w:val="105"/>
        </w:rPr>
        <w:t>política</w:t>
      </w:r>
      <w:r>
        <w:rPr>
          <w:color w:val="231F20"/>
          <w:spacing w:val="-8"/>
          <w:w w:val="105"/>
        </w:rPr>
        <w:t> </w:t>
      </w:r>
      <w:r>
        <w:rPr>
          <w:color w:val="231F20"/>
          <w:w w:val="105"/>
        </w:rPr>
        <w:t>de</w:t>
      </w:r>
      <w:r>
        <w:rPr>
          <w:color w:val="231F20"/>
          <w:spacing w:val="-8"/>
          <w:w w:val="105"/>
        </w:rPr>
        <w:t> </w:t>
      </w:r>
      <w:r>
        <w:rPr>
          <w:color w:val="231F20"/>
          <w:w w:val="105"/>
        </w:rPr>
        <w:t>tributación</w:t>
      </w:r>
      <w:r>
        <w:rPr>
          <w:color w:val="231F20"/>
          <w:spacing w:val="-8"/>
          <w:w w:val="105"/>
        </w:rPr>
        <w:t> </w:t>
      </w:r>
      <w:r>
        <w:rPr>
          <w:color w:val="231F20"/>
          <w:w w:val="105"/>
        </w:rPr>
        <w:t>clara</w:t>
      </w:r>
      <w:r>
        <w:rPr>
          <w:color w:val="231F20"/>
          <w:spacing w:val="-8"/>
          <w:w w:val="105"/>
        </w:rPr>
        <w:t> </w:t>
      </w:r>
      <w:r>
        <w:rPr>
          <w:color w:val="231F20"/>
          <w:spacing w:val="2"/>
          <w:w w:val="105"/>
        </w:rPr>
        <w:t>al</w:t>
      </w:r>
      <w:r>
        <w:rPr>
          <w:color w:val="231F20"/>
          <w:spacing w:val="-8"/>
          <w:w w:val="105"/>
        </w:rPr>
        <w:t> </w:t>
      </w:r>
      <w:r>
        <w:rPr>
          <w:color w:val="231F20"/>
          <w:w w:val="105"/>
        </w:rPr>
        <w:t>respecto.</w:t>
      </w:r>
      <w:r>
        <w:rPr>
          <w:color w:val="231F20"/>
          <w:w w:val="105"/>
          <w:position w:val="7"/>
          <w:sz w:val="13"/>
        </w:rPr>
        <w:t>7</w:t>
      </w:r>
    </w:p>
    <w:p>
      <w:pPr>
        <w:pStyle w:val="ListParagraph"/>
        <w:numPr>
          <w:ilvl w:val="0"/>
          <w:numId w:val="13"/>
        </w:numPr>
        <w:tabs>
          <w:tab w:pos="224" w:val="left" w:leader="none"/>
        </w:tabs>
        <w:spacing w:line="240" w:lineRule="auto" w:before="53" w:after="0"/>
        <w:ind w:left="223" w:right="0" w:hanging="113"/>
        <w:jc w:val="both"/>
        <w:rPr>
          <w:sz w:val="16"/>
        </w:rPr>
      </w:pPr>
      <w:r>
        <w:rPr>
          <w:color w:val="231F20"/>
          <w:sz w:val="16"/>
        </w:rPr>
        <w:t>Idem,</w:t>
      </w:r>
      <w:r>
        <w:rPr>
          <w:color w:val="231F20"/>
          <w:spacing w:val="-23"/>
          <w:sz w:val="16"/>
        </w:rPr>
        <w:t> </w:t>
      </w:r>
      <w:r>
        <w:rPr>
          <w:color w:val="231F20"/>
          <w:sz w:val="16"/>
        </w:rPr>
        <w:t>p.</w:t>
      </w:r>
      <w:r>
        <w:rPr>
          <w:color w:val="231F20"/>
          <w:spacing w:val="-23"/>
          <w:sz w:val="16"/>
        </w:rPr>
        <w:t> </w:t>
      </w:r>
      <w:r>
        <w:rPr>
          <w:color w:val="231F20"/>
          <w:sz w:val="16"/>
        </w:rPr>
        <w:t>9.</w:t>
      </w:r>
    </w:p>
    <w:p>
      <w:pPr>
        <w:pStyle w:val="ListParagraph"/>
        <w:numPr>
          <w:ilvl w:val="0"/>
          <w:numId w:val="13"/>
        </w:numPr>
        <w:tabs>
          <w:tab w:pos="259" w:val="left" w:leader="none"/>
        </w:tabs>
        <w:spacing w:line="240" w:lineRule="auto" w:before="4" w:after="0"/>
        <w:ind w:left="258" w:right="0" w:hanging="148"/>
        <w:jc w:val="both"/>
        <w:rPr>
          <w:sz w:val="16"/>
        </w:rPr>
      </w:pPr>
      <w:r>
        <w:rPr>
          <w:color w:val="231F20"/>
          <w:sz w:val="16"/>
        </w:rPr>
        <w:t>Idem,</w:t>
      </w:r>
      <w:r>
        <w:rPr>
          <w:color w:val="231F20"/>
          <w:spacing w:val="-22"/>
          <w:sz w:val="16"/>
        </w:rPr>
        <w:t> </w:t>
      </w:r>
      <w:r>
        <w:rPr>
          <w:color w:val="231F20"/>
          <w:sz w:val="16"/>
        </w:rPr>
        <w:t>p.</w:t>
      </w:r>
      <w:r>
        <w:rPr>
          <w:color w:val="231F20"/>
          <w:spacing w:val="-22"/>
          <w:sz w:val="16"/>
        </w:rPr>
        <w:t> </w:t>
      </w:r>
      <w:r>
        <w:rPr>
          <w:color w:val="231F20"/>
          <w:spacing w:val="-3"/>
          <w:sz w:val="16"/>
        </w:rPr>
        <w:t>10.</w:t>
      </w:r>
    </w:p>
    <w:p>
      <w:pPr>
        <w:pStyle w:val="ListParagraph"/>
        <w:numPr>
          <w:ilvl w:val="0"/>
          <w:numId w:val="13"/>
        </w:numPr>
        <w:tabs>
          <w:tab w:pos="224" w:val="left" w:leader="none"/>
        </w:tabs>
        <w:spacing w:line="240" w:lineRule="auto" w:before="4" w:after="0"/>
        <w:ind w:left="223" w:right="0" w:hanging="113"/>
        <w:jc w:val="both"/>
        <w:rPr>
          <w:sz w:val="16"/>
        </w:rPr>
      </w:pPr>
      <w:r>
        <w:rPr>
          <w:color w:val="231F20"/>
          <w:sz w:val="16"/>
        </w:rPr>
        <w:t>Idem,</w:t>
      </w:r>
      <w:r>
        <w:rPr>
          <w:color w:val="231F20"/>
          <w:spacing w:val="-22"/>
          <w:sz w:val="16"/>
        </w:rPr>
        <w:t> </w:t>
      </w:r>
      <w:r>
        <w:rPr>
          <w:color w:val="231F20"/>
          <w:sz w:val="16"/>
        </w:rPr>
        <w:t>p.</w:t>
      </w:r>
      <w:r>
        <w:rPr>
          <w:color w:val="231F20"/>
          <w:spacing w:val="-22"/>
          <w:sz w:val="16"/>
        </w:rPr>
        <w:t> </w:t>
      </w:r>
      <w:r>
        <w:rPr>
          <w:color w:val="231F20"/>
          <w:spacing w:val="-2"/>
          <w:sz w:val="16"/>
        </w:rPr>
        <w:t>35.</w:t>
      </w:r>
    </w:p>
    <w:p>
      <w:pPr>
        <w:pStyle w:val="ListParagraph"/>
        <w:numPr>
          <w:ilvl w:val="0"/>
          <w:numId w:val="13"/>
        </w:numPr>
        <w:tabs>
          <w:tab w:pos="224" w:val="left" w:leader="none"/>
        </w:tabs>
        <w:spacing w:line="240" w:lineRule="auto" w:before="4" w:after="0"/>
        <w:ind w:left="223" w:right="0" w:hanging="113"/>
        <w:jc w:val="both"/>
        <w:rPr>
          <w:sz w:val="16"/>
        </w:rPr>
      </w:pPr>
      <w:r>
        <w:rPr>
          <w:color w:val="231F20"/>
          <w:sz w:val="16"/>
        </w:rPr>
        <w:t>Ídem,</w:t>
      </w:r>
      <w:r>
        <w:rPr>
          <w:color w:val="231F20"/>
          <w:spacing w:val="-24"/>
          <w:sz w:val="16"/>
        </w:rPr>
        <w:t> </w:t>
      </w:r>
      <w:r>
        <w:rPr>
          <w:color w:val="231F20"/>
          <w:sz w:val="16"/>
        </w:rPr>
        <w:t>p.</w:t>
      </w:r>
      <w:r>
        <w:rPr>
          <w:color w:val="231F20"/>
          <w:spacing w:val="-24"/>
          <w:sz w:val="16"/>
        </w:rPr>
        <w:t> </w:t>
      </w:r>
      <w:r>
        <w:rPr>
          <w:color w:val="231F20"/>
          <w:sz w:val="16"/>
        </w:rPr>
        <w:t>53.</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En</w:t>
      </w:r>
      <w:r>
        <w:rPr>
          <w:color w:val="231F20"/>
          <w:spacing w:val="-15"/>
          <w:w w:val="105"/>
        </w:rPr>
        <w:t> </w:t>
      </w:r>
      <w:r>
        <w:rPr>
          <w:color w:val="231F20"/>
          <w:w w:val="105"/>
        </w:rPr>
        <w:t>esta</w:t>
      </w:r>
      <w:r>
        <w:rPr>
          <w:color w:val="231F20"/>
          <w:spacing w:val="-15"/>
          <w:w w:val="105"/>
        </w:rPr>
        <w:t> </w:t>
      </w:r>
      <w:r>
        <w:rPr>
          <w:color w:val="231F20"/>
          <w:w w:val="105"/>
        </w:rPr>
        <w:t>misma</w:t>
      </w:r>
      <w:r>
        <w:rPr>
          <w:color w:val="231F20"/>
          <w:spacing w:val="-15"/>
          <w:w w:val="105"/>
        </w:rPr>
        <w:t> </w:t>
      </w:r>
      <w:r>
        <w:rPr>
          <w:color w:val="231F20"/>
          <w:w w:val="105"/>
        </w:rPr>
        <w:t>línea</w:t>
      </w:r>
      <w:r>
        <w:rPr>
          <w:color w:val="231F20"/>
          <w:spacing w:val="-15"/>
          <w:w w:val="105"/>
        </w:rPr>
        <w:t> </w:t>
      </w:r>
      <w:r>
        <w:rPr>
          <w:color w:val="231F20"/>
          <w:spacing w:val="-3"/>
          <w:w w:val="105"/>
        </w:rPr>
        <w:t>de</w:t>
      </w:r>
      <w:r>
        <w:rPr>
          <w:color w:val="231F20"/>
          <w:spacing w:val="-15"/>
          <w:w w:val="105"/>
        </w:rPr>
        <w:t> </w:t>
      </w:r>
      <w:r>
        <w:rPr>
          <w:color w:val="231F20"/>
          <w:spacing w:val="-3"/>
          <w:w w:val="105"/>
        </w:rPr>
        <w:t>transparencia,</w:t>
      </w:r>
      <w:r>
        <w:rPr>
          <w:color w:val="231F20"/>
          <w:spacing w:val="-15"/>
          <w:w w:val="105"/>
        </w:rPr>
        <w:t> </w:t>
      </w:r>
      <w:r>
        <w:rPr>
          <w:color w:val="231F20"/>
          <w:w w:val="105"/>
        </w:rPr>
        <w:t>Durán</w:t>
      </w:r>
      <w:r>
        <w:rPr>
          <w:color w:val="231F20"/>
          <w:spacing w:val="-15"/>
          <w:w w:val="105"/>
        </w:rPr>
        <w:t> </w:t>
      </w:r>
      <w:r>
        <w:rPr>
          <w:color w:val="231F20"/>
          <w:spacing w:val="-5"/>
          <w:w w:val="105"/>
        </w:rPr>
        <w:t>Reveles</w:t>
      </w:r>
      <w:r>
        <w:rPr>
          <w:color w:val="231F20"/>
          <w:spacing w:val="-15"/>
          <w:w w:val="105"/>
        </w:rPr>
        <w:t> </w:t>
      </w:r>
      <w:r>
        <w:rPr>
          <w:color w:val="231F20"/>
          <w:w w:val="105"/>
        </w:rPr>
        <w:t>y</w:t>
      </w:r>
      <w:r>
        <w:rPr>
          <w:color w:val="231F20"/>
          <w:spacing w:val="-15"/>
          <w:w w:val="105"/>
        </w:rPr>
        <w:t> </w:t>
      </w:r>
      <w:r>
        <w:rPr>
          <w:color w:val="231F20"/>
          <w:w w:val="105"/>
        </w:rPr>
        <w:t>sus</w:t>
      </w:r>
      <w:r>
        <w:rPr>
          <w:color w:val="231F20"/>
          <w:spacing w:val="-15"/>
          <w:w w:val="105"/>
        </w:rPr>
        <w:t> </w:t>
      </w:r>
      <w:r>
        <w:rPr>
          <w:color w:val="231F20"/>
          <w:spacing w:val="-5"/>
          <w:w w:val="105"/>
        </w:rPr>
        <w:t>colaboradores</w:t>
      </w:r>
      <w:r>
        <w:rPr>
          <w:color w:val="231F20"/>
          <w:spacing w:val="-15"/>
          <w:w w:val="105"/>
        </w:rPr>
        <w:t> </w:t>
      </w:r>
      <w:r>
        <w:rPr>
          <w:color w:val="231F20"/>
          <w:spacing w:val="-4"/>
          <w:w w:val="105"/>
        </w:rPr>
        <w:t>estuvieron</w:t>
      </w:r>
      <w:r>
        <w:rPr>
          <w:color w:val="231F20"/>
          <w:spacing w:val="-15"/>
          <w:w w:val="105"/>
        </w:rPr>
        <w:t> </w:t>
      </w:r>
      <w:r>
        <w:rPr>
          <w:color w:val="231F20"/>
          <w:spacing w:val="-4"/>
          <w:w w:val="105"/>
        </w:rPr>
        <w:t>obli- </w:t>
      </w:r>
      <w:r>
        <w:rPr>
          <w:color w:val="231F20"/>
          <w:spacing w:val="-5"/>
          <w:w w:val="105"/>
        </w:rPr>
        <w:t>gados</w:t>
      </w:r>
      <w:r>
        <w:rPr>
          <w:color w:val="231F20"/>
          <w:spacing w:val="-17"/>
          <w:w w:val="105"/>
        </w:rPr>
        <w:t> </w:t>
      </w:r>
      <w:r>
        <w:rPr>
          <w:color w:val="231F20"/>
          <w:w w:val="105"/>
        </w:rPr>
        <w:t>a</w:t>
      </w:r>
      <w:r>
        <w:rPr>
          <w:color w:val="231F20"/>
          <w:spacing w:val="-17"/>
          <w:w w:val="105"/>
        </w:rPr>
        <w:t> </w:t>
      </w:r>
      <w:r>
        <w:rPr>
          <w:color w:val="231F20"/>
          <w:w w:val="105"/>
        </w:rPr>
        <w:t>manifestar</w:t>
      </w:r>
      <w:r>
        <w:rPr>
          <w:color w:val="231F20"/>
          <w:spacing w:val="-17"/>
          <w:w w:val="105"/>
        </w:rPr>
        <w:t> </w:t>
      </w:r>
      <w:r>
        <w:rPr>
          <w:color w:val="231F20"/>
          <w:w w:val="105"/>
        </w:rPr>
        <w:t>su</w:t>
      </w:r>
      <w:r>
        <w:rPr>
          <w:color w:val="231F20"/>
          <w:spacing w:val="-17"/>
          <w:w w:val="105"/>
        </w:rPr>
        <w:t> </w:t>
      </w:r>
      <w:r>
        <w:rPr>
          <w:color w:val="231F20"/>
          <w:spacing w:val="-4"/>
          <w:w w:val="105"/>
        </w:rPr>
        <w:t>patrimonio,</w:t>
      </w:r>
      <w:r>
        <w:rPr>
          <w:color w:val="231F20"/>
          <w:spacing w:val="-17"/>
          <w:w w:val="105"/>
        </w:rPr>
        <w:t> </w:t>
      </w:r>
      <w:r>
        <w:rPr>
          <w:color w:val="231F20"/>
          <w:spacing w:val="-4"/>
          <w:w w:val="105"/>
        </w:rPr>
        <w:t>bajo</w:t>
      </w:r>
      <w:r>
        <w:rPr>
          <w:color w:val="231F20"/>
          <w:spacing w:val="-17"/>
          <w:w w:val="105"/>
        </w:rPr>
        <w:t> </w:t>
      </w:r>
      <w:r>
        <w:rPr>
          <w:color w:val="231F20"/>
          <w:spacing w:val="-3"/>
          <w:w w:val="105"/>
        </w:rPr>
        <w:t>el</w:t>
      </w:r>
      <w:r>
        <w:rPr>
          <w:color w:val="231F20"/>
          <w:spacing w:val="-17"/>
          <w:w w:val="105"/>
        </w:rPr>
        <w:t> </w:t>
      </w:r>
      <w:r>
        <w:rPr>
          <w:color w:val="231F20"/>
          <w:spacing w:val="-4"/>
          <w:w w:val="105"/>
        </w:rPr>
        <w:t>riesgo</w:t>
      </w:r>
      <w:r>
        <w:rPr>
          <w:color w:val="231F20"/>
          <w:spacing w:val="-17"/>
          <w:w w:val="105"/>
        </w:rPr>
        <w:t> </w:t>
      </w:r>
      <w:r>
        <w:rPr>
          <w:color w:val="231F20"/>
          <w:spacing w:val="-3"/>
          <w:w w:val="105"/>
        </w:rPr>
        <w:t>de</w:t>
      </w:r>
      <w:r>
        <w:rPr>
          <w:color w:val="231F20"/>
          <w:spacing w:val="-17"/>
          <w:w w:val="105"/>
        </w:rPr>
        <w:t> </w:t>
      </w:r>
      <w:r>
        <w:rPr>
          <w:color w:val="231F20"/>
          <w:spacing w:val="-3"/>
          <w:w w:val="105"/>
        </w:rPr>
        <w:t>ser</w:t>
      </w:r>
      <w:r>
        <w:rPr>
          <w:color w:val="231F20"/>
          <w:spacing w:val="-17"/>
          <w:w w:val="105"/>
        </w:rPr>
        <w:t> </w:t>
      </w:r>
      <w:r>
        <w:rPr>
          <w:color w:val="231F20"/>
          <w:spacing w:val="-4"/>
          <w:w w:val="105"/>
        </w:rPr>
        <w:t>sancionados</w:t>
      </w:r>
      <w:r>
        <w:rPr>
          <w:color w:val="231F20"/>
          <w:spacing w:val="-17"/>
          <w:w w:val="105"/>
        </w:rPr>
        <w:t> </w:t>
      </w:r>
      <w:r>
        <w:rPr>
          <w:color w:val="231F20"/>
          <w:spacing w:val="-3"/>
          <w:w w:val="105"/>
        </w:rPr>
        <w:t>en</w:t>
      </w:r>
      <w:r>
        <w:rPr>
          <w:color w:val="231F20"/>
          <w:spacing w:val="-17"/>
          <w:w w:val="105"/>
        </w:rPr>
        <w:t> </w:t>
      </w:r>
      <w:r>
        <w:rPr>
          <w:color w:val="231F20"/>
          <w:w w:val="105"/>
        </w:rPr>
        <w:t>caso</w:t>
      </w:r>
      <w:r>
        <w:rPr>
          <w:color w:val="231F20"/>
          <w:spacing w:val="-17"/>
          <w:w w:val="105"/>
        </w:rPr>
        <w:t> </w:t>
      </w:r>
      <w:r>
        <w:rPr>
          <w:color w:val="231F20"/>
          <w:spacing w:val="-3"/>
          <w:w w:val="105"/>
        </w:rPr>
        <w:t>de</w:t>
      </w:r>
      <w:r>
        <w:rPr>
          <w:color w:val="231F20"/>
          <w:spacing w:val="-17"/>
          <w:w w:val="105"/>
        </w:rPr>
        <w:t> </w:t>
      </w:r>
      <w:r>
        <w:rPr>
          <w:color w:val="231F20"/>
          <w:spacing w:val="-3"/>
          <w:w w:val="105"/>
        </w:rPr>
        <w:t>no</w:t>
      </w:r>
      <w:r>
        <w:rPr>
          <w:color w:val="231F20"/>
          <w:spacing w:val="-17"/>
          <w:w w:val="105"/>
        </w:rPr>
        <w:t> </w:t>
      </w:r>
      <w:r>
        <w:rPr>
          <w:color w:val="231F20"/>
          <w:spacing w:val="-5"/>
          <w:w w:val="105"/>
        </w:rPr>
        <w:t>hacerlo.</w:t>
      </w:r>
    </w:p>
    <w:p>
      <w:pPr>
        <w:pStyle w:val="BodyText"/>
        <w:spacing w:before="1"/>
        <w:rPr>
          <w:sz w:val="26"/>
        </w:rPr>
      </w:pPr>
    </w:p>
    <w:p>
      <w:pPr>
        <w:pStyle w:val="BodyText"/>
        <w:spacing w:line="285" w:lineRule="auto"/>
        <w:ind w:left="110" w:right="107"/>
        <w:jc w:val="both"/>
      </w:pPr>
      <w:r>
        <w:rPr>
          <w:color w:val="231F20"/>
          <w:w w:val="105"/>
        </w:rPr>
        <w:t>En ese entonces se creó un sistema de información municipal mediante el cual se dio información a más de 50 mil personas en 1999. Hubo un incremento sustantivo en las solicitudes de alguna información de parte de la administración municipal respecto de años anteriores, lo cual significó un gran avance en ese momento.</w:t>
      </w:r>
    </w:p>
    <w:p>
      <w:pPr>
        <w:pStyle w:val="BodyText"/>
        <w:spacing w:before="1"/>
        <w:rPr>
          <w:sz w:val="26"/>
        </w:rPr>
      </w:pPr>
    </w:p>
    <w:p>
      <w:pPr>
        <w:pStyle w:val="BodyText"/>
        <w:spacing w:line="285" w:lineRule="auto"/>
        <w:ind w:left="110" w:right="109"/>
        <w:jc w:val="both"/>
      </w:pPr>
      <w:r>
        <w:rPr>
          <w:color w:val="231F20"/>
          <w:w w:val="105"/>
        </w:rPr>
        <w:t>Esto</w:t>
      </w:r>
      <w:r>
        <w:rPr>
          <w:color w:val="231F20"/>
          <w:spacing w:val="-17"/>
          <w:w w:val="105"/>
        </w:rPr>
        <w:t> </w:t>
      </w:r>
      <w:r>
        <w:rPr>
          <w:color w:val="231F20"/>
          <w:w w:val="105"/>
        </w:rPr>
        <w:t>se</w:t>
      </w:r>
      <w:r>
        <w:rPr>
          <w:color w:val="231F20"/>
          <w:spacing w:val="-17"/>
          <w:w w:val="105"/>
        </w:rPr>
        <w:t> </w:t>
      </w:r>
      <w:r>
        <w:rPr>
          <w:color w:val="231F20"/>
          <w:w w:val="105"/>
        </w:rPr>
        <w:t>relaciona</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atención</w:t>
      </w:r>
      <w:r>
        <w:rPr>
          <w:color w:val="231F20"/>
          <w:spacing w:val="-17"/>
          <w:w w:val="105"/>
        </w:rPr>
        <w:t> </w:t>
      </w:r>
      <w:r>
        <w:rPr>
          <w:color w:val="231F20"/>
          <w:w w:val="105"/>
        </w:rPr>
        <w:t>de</w:t>
      </w:r>
      <w:r>
        <w:rPr>
          <w:color w:val="231F20"/>
          <w:spacing w:val="-17"/>
          <w:w w:val="105"/>
        </w:rPr>
        <w:t> </w:t>
      </w:r>
      <w:r>
        <w:rPr>
          <w:color w:val="231F20"/>
          <w:w w:val="105"/>
        </w:rPr>
        <w:t>peticiones</w:t>
      </w:r>
      <w:r>
        <w:rPr>
          <w:color w:val="231F20"/>
          <w:spacing w:val="-17"/>
          <w:w w:val="105"/>
        </w:rPr>
        <w:t> </w:t>
      </w:r>
      <w:r>
        <w:rPr>
          <w:color w:val="231F20"/>
          <w:w w:val="105"/>
        </w:rPr>
        <w:t>relacionadas</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atención</w:t>
      </w:r>
      <w:r>
        <w:rPr>
          <w:color w:val="231F20"/>
          <w:spacing w:val="-17"/>
          <w:w w:val="105"/>
        </w:rPr>
        <w:t> </w:t>
      </w:r>
      <w:r>
        <w:rPr>
          <w:color w:val="231F20"/>
          <w:w w:val="105"/>
        </w:rPr>
        <w:t>y</w:t>
      </w:r>
      <w:r>
        <w:rPr>
          <w:color w:val="231F20"/>
          <w:spacing w:val="-17"/>
          <w:w w:val="105"/>
        </w:rPr>
        <w:t> </w:t>
      </w:r>
      <w:r>
        <w:rPr>
          <w:color w:val="231F20"/>
          <w:w w:val="105"/>
        </w:rPr>
        <w:t>la calidad</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servicios</w:t>
      </w:r>
      <w:r>
        <w:rPr>
          <w:color w:val="231F20"/>
          <w:spacing w:val="-13"/>
          <w:w w:val="105"/>
        </w:rPr>
        <w:t> </w:t>
      </w:r>
      <w:r>
        <w:rPr>
          <w:color w:val="231F20"/>
          <w:w w:val="105"/>
        </w:rPr>
        <w:t>públicos.</w:t>
      </w:r>
      <w:r>
        <w:rPr>
          <w:color w:val="231F20"/>
          <w:spacing w:val="-13"/>
          <w:w w:val="105"/>
        </w:rPr>
        <w:t> </w:t>
      </w:r>
      <w:r>
        <w:rPr>
          <w:color w:val="231F20"/>
          <w:w w:val="105"/>
        </w:rPr>
        <w:t>Si</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gestión</w:t>
      </w:r>
      <w:r>
        <w:rPr>
          <w:color w:val="231F20"/>
          <w:spacing w:val="-13"/>
          <w:w w:val="105"/>
        </w:rPr>
        <w:t> </w:t>
      </w:r>
      <w:r>
        <w:rPr>
          <w:color w:val="231F20"/>
          <w:w w:val="105"/>
        </w:rPr>
        <w:t>priísta</w:t>
      </w:r>
      <w:r>
        <w:rPr>
          <w:color w:val="231F20"/>
          <w:spacing w:val="-13"/>
          <w:w w:val="105"/>
        </w:rPr>
        <w:t> </w:t>
      </w:r>
      <w:r>
        <w:rPr>
          <w:color w:val="231F20"/>
          <w:w w:val="105"/>
        </w:rPr>
        <w:t>en</w:t>
      </w:r>
      <w:r>
        <w:rPr>
          <w:color w:val="231F20"/>
          <w:spacing w:val="-13"/>
          <w:w w:val="105"/>
        </w:rPr>
        <w:t> </w:t>
      </w:r>
      <w:r>
        <w:rPr>
          <w:color w:val="231F20"/>
          <w:w w:val="105"/>
        </w:rPr>
        <w:t>total</w:t>
      </w:r>
      <w:r>
        <w:rPr>
          <w:color w:val="231F20"/>
          <w:spacing w:val="-13"/>
          <w:w w:val="105"/>
        </w:rPr>
        <w:t> </w:t>
      </w:r>
      <w:r>
        <w:rPr>
          <w:color w:val="231F20"/>
          <w:w w:val="105"/>
        </w:rPr>
        <w:t>se</w:t>
      </w:r>
      <w:r>
        <w:rPr>
          <w:color w:val="231F20"/>
          <w:spacing w:val="-13"/>
          <w:w w:val="105"/>
        </w:rPr>
        <w:t> </w:t>
      </w:r>
      <w:r>
        <w:rPr>
          <w:color w:val="231F20"/>
          <w:w w:val="105"/>
        </w:rPr>
        <w:t>atendió</w:t>
      </w:r>
      <w:r>
        <w:rPr>
          <w:color w:val="231F20"/>
          <w:spacing w:val="-13"/>
          <w:w w:val="105"/>
        </w:rPr>
        <w:t> </w:t>
      </w:r>
      <w:r>
        <w:rPr>
          <w:color w:val="231F20"/>
          <w:w w:val="105"/>
        </w:rPr>
        <w:t>a</w:t>
      </w:r>
      <w:r>
        <w:rPr>
          <w:color w:val="231F20"/>
          <w:spacing w:val="-13"/>
          <w:w w:val="105"/>
        </w:rPr>
        <w:t> </w:t>
      </w:r>
      <w:r>
        <w:rPr>
          <w:color w:val="231F20"/>
          <w:w w:val="105"/>
        </w:rPr>
        <w:t>casi</w:t>
      </w:r>
      <w:r>
        <w:rPr>
          <w:color w:val="231F20"/>
          <w:spacing w:val="-13"/>
          <w:w w:val="105"/>
        </w:rPr>
        <w:t> </w:t>
      </w:r>
      <w:r>
        <w:rPr>
          <w:color w:val="231F20"/>
          <w:spacing w:val="-5"/>
          <w:w w:val="105"/>
        </w:rPr>
        <w:t>10</w:t>
      </w:r>
      <w:r>
        <w:rPr>
          <w:color w:val="231F20"/>
          <w:spacing w:val="-13"/>
          <w:w w:val="105"/>
        </w:rPr>
        <w:t> </w:t>
      </w:r>
      <w:r>
        <w:rPr>
          <w:color w:val="231F20"/>
          <w:spacing w:val="2"/>
          <w:w w:val="105"/>
        </w:rPr>
        <w:t>mil </w:t>
      </w:r>
      <w:r>
        <w:rPr>
          <w:color w:val="231F20"/>
          <w:w w:val="105"/>
        </w:rPr>
        <w:t>personas,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panista</w:t>
      </w:r>
      <w:r>
        <w:rPr>
          <w:color w:val="231F20"/>
          <w:spacing w:val="-9"/>
          <w:w w:val="105"/>
        </w:rPr>
        <w:t> </w:t>
      </w:r>
      <w:r>
        <w:rPr>
          <w:color w:val="231F20"/>
          <w:w w:val="105"/>
        </w:rPr>
        <w:t>el</w:t>
      </w:r>
      <w:r>
        <w:rPr>
          <w:color w:val="231F20"/>
          <w:spacing w:val="-9"/>
          <w:w w:val="105"/>
        </w:rPr>
        <w:t> </w:t>
      </w:r>
      <w:r>
        <w:rPr>
          <w:color w:val="231F20"/>
          <w:w w:val="105"/>
        </w:rPr>
        <w:t>número</w:t>
      </w:r>
      <w:r>
        <w:rPr>
          <w:color w:val="231F20"/>
          <w:spacing w:val="-9"/>
          <w:w w:val="105"/>
        </w:rPr>
        <w:t> </w:t>
      </w:r>
      <w:r>
        <w:rPr>
          <w:color w:val="231F20"/>
          <w:w w:val="105"/>
        </w:rPr>
        <w:t>fue</w:t>
      </w:r>
      <w:r>
        <w:rPr>
          <w:color w:val="231F20"/>
          <w:spacing w:val="-9"/>
          <w:w w:val="105"/>
        </w:rPr>
        <w:t> </w:t>
      </w:r>
      <w:r>
        <w:rPr>
          <w:color w:val="231F20"/>
          <w:w w:val="105"/>
        </w:rPr>
        <w:t>de</w:t>
      </w:r>
      <w:r>
        <w:rPr>
          <w:color w:val="231F20"/>
          <w:spacing w:val="-9"/>
          <w:w w:val="105"/>
        </w:rPr>
        <w:t> </w:t>
      </w:r>
      <w:r>
        <w:rPr>
          <w:color w:val="231F20"/>
          <w:w w:val="105"/>
        </w:rPr>
        <w:t>poco</w:t>
      </w:r>
      <w:r>
        <w:rPr>
          <w:color w:val="231F20"/>
          <w:spacing w:val="-9"/>
          <w:w w:val="105"/>
        </w:rPr>
        <w:t> </w:t>
      </w:r>
      <w:r>
        <w:rPr>
          <w:color w:val="231F20"/>
          <w:w w:val="105"/>
        </w:rPr>
        <w:t>más</w:t>
      </w:r>
      <w:r>
        <w:rPr>
          <w:color w:val="231F20"/>
          <w:spacing w:val="-9"/>
          <w:w w:val="105"/>
        </w:rPr>
        <w:t> </w:t>
      </w:r>
      <w:r>
        <w:rPr>
          <w:color w:val="231F20"/>
          <w:w w:val="105"/>
        </w:rPr>
        <w:t>de</w:t>
      </w:r>
      <w:r>
        <w:rPr>
          <w:color w:val="231F20"/>
          <w:spacing w:val="-9"/>
          <w:w w:val="105"/>
        </w:rPr>
        <w:t> </w:t>
      </w:r>
      <w:r>
        <w:rPr>
          <w:color w:val="231F20"/>
          <w:w w:val="105"/>
        </w:rPr>
        <w:t>26</w:t>
      </w:r>
      <w:r>
        <w:rPr>
          <w:color w:val="231F20"/>
          <w:spacing w:val="-9"/>
          <w:w w:val="105"/>
        </w:rPr>
        <w:t> </w:t>
      </w:r>
      <w:r>
        <w:rPr>
          <w:color w:val="231F20"/>
          <w:spacing w:val="2"/>
          <w:w w:val="105"/>
        </w:rPr>
        <w:t>mil.</w:t>
      </w:r>
    </w:p>
    <w:p>
      <w:pPr>
        <w:pStyle w:val="BodyText"/>
        <w:spacing w:before="1"/>
        <w:rPr>
          <w:sz w:val="26"/>
        </w:rPr>
      </w:pPr>
    </w:p>
    <w:p>
      <w:pPr>
        <w:pStyle w:val="BodyText"/>
        <w:spacing w:line="285" w:lineRule="auto"/>
        <w:ind w:left="110" w:right="108"/>
        <w:jc w:val="both"/>
      </w:pPr>
      <w:r>
        <w:rPr>
          <w:color w:val="231F20"/>
          <w:w w:val="105"/>
        </w:rPr>
        <w:t>En materia de desarrollo social, los panistas destinaron la mayoría de los recursos del ramo 33 a obras comunitarias de urbanización e infraestructura. La infraestructura educativa también requirió de estos recursos, así como becas y despensas.</w:t>
      </w:r>
    </w:p>
    <w:p>
      <w:pPr>
        <w:pStyle w:val="BodyText"/>
        <w:spacing w:before="1"/>
        <w:rPr>
          <w:sz w:val="26"/>
        </w:rPr>
      </w:pPr>
    </w:p>
    <w:p>
      <w:pPr>
        <w:pStyle w:val="BodyText"/>
        <w:spacing w:line="285" w:lineRule="auto"/>
        <w:ind w:left="110" w:right="107"/>
        <w:jc w:val="both"/>
        <w:rPr>
          <w:sz w:val="13"/>
        </w:rPr>
      </w:pPr>
      <w:r>
        <w:rPr>
          <w:color w:val="231F20"/>
          <w:w w:val="105"/>
        </w:rPr>
        <w:t>En cuanto a atención al sector empresarial, se comenzó con la agilización de los trá- mites necesarios para abrir o sostener un negocio. Esta medida, cabe señalar, no pro- venía del ayuntamiento sino que era ya una política establecida desde el gobierno del estado. Lo que sí fue obra del panismo en el poder fue la creación de una página web para la atención de solicitudes de diversa índole (principalmente de apertura y con- servación de negocios) de parte de los empresarios. Los panistas informaron que si en 1997 recibieron casi diez mil, en el último año del trienio llegaron a poco más de 18 mil; de ellas, el 95% fueron atendidas de manera expedita. Y se jactaban de que si en otra época una licencia de revalidación se autorizaba en aproximadamente un año, con ellos se otorgaba en cinco minutos.</w:t>
      </w:r>
      <w:r>
        <w:rPr>
          <w:color w:val="231F20"/>
          <w:w w:val="105"/>
          <w:position w:val="7"/>
          <w:sz w:val="13"/>
        </w:rPr>
        <w:t>8</w:t>
      </w:r>
    </w:p>
    <w:p>
      <w:pPr>
        <w:pStyle w:val="BodyText"/>
        <w:rPr>
          <w:sz w:val="26"/>
        </w:rPr>
      </w:pPr>
    </w:p>
    <w:p>
      <w:pPr>
        <w:pStyle w:val="BodyText"/>
        <w:spacing w:line="285" w:lineRule="auto"/>
        <w:ind w:left="110" w:right="108"/>
        <w:jc w:val="both"/>
      </w:pPr>
      <w:r>
        <w:rPr>
          <w:color w:val="231F20"/>
          <w:w w:val="105"/>
        </w:rPr>
        <w:t>El</w:t>
      </w:r>
      <w:r>
        <w:rPr>
          <w:color w:val="231F20"/>
          <w:spacing w:val="-11"/>
          <w:w w:val="105"/>
        </w:rPr>
        <w:t> </w:t>
      </w:r>
      <w:r>
        <w:rPr>
          <w:color w:val="231F20"/>
          <w:w w:val="105"/>
        </w:rPr>
        <w:t>ayuntamiento</w:t>
      </w:r>
      <w:r>
        <w:rPr>
          <w:color w:val="231F20"/>
          <w:spacing w:val="-11"/>
          <w:w w:val="105"/>
        </w:rPr>
        <w:t> </w:t>
      </w:r>
      <w:r>
        <w:rPr>
          <w:color w:val="231F20"/>
          <w:w w:val="105"/>
        </w:rPr>
        <w:t>se</w:t>
      </w:r>
      <w:r>
        <w:rPr>
          <w:color w:val="231F20"/>
          <w:spacing w:val="-11"/>
          <w:w w:val="105"/>
        </w:rPr>
        <w:t> </w:t>
      </w:r>
      <w:r>
        <w:rPr>
          <w:color w:val="231F20"/>
          <w:w w:val="105"/>
        </w:rPr>
        <w:t>hizo</w:t>
      </w:r>
      <w:r>
        <w:rPr>
          <w:color w:val="231F20"/>
          <w:spacing w:val="-11"/>
          <w:w w:val="105"/>
        </w:rPr>
        <w:t> </w:t>
      </w:r>
      <w:r>
        <w:rPr>
          <w:color w:val="231F20"/>
          <w:w w:val="105"/>
        </w:rPr>
        <w:t>cargo</w:t>
      </w:r>
      <w:r>
        <w:rPr>
          <w:color w:val="231F20"/>
          <w:spacing w:val="-11"/>
          <w:w w:val="105"/>
        </w:rPr>
        <w:t> </w:t>
      </w:r>
      <w:r>
        <w:rPr>
          <w:color w:val="231F20"/>
          <w:w w:val="105"/>
        </w:rPr>
        <w:t>de</w:t>
      </w:r>
      <w:r>
        <w:rPr>
          <w:color w:val="231F20"/>
          <w:spacing w:val="-11"/>
          <w:w w:val="105"/>
        </w:rPr>
        <w:t> </w:t>
      </w:r>
      <w:r>
        <w:rPr>
          <w:color w:val="231F20"/>
          <w:w w:val="105"/>
        </w:rPr>
        <w:t>publicar</w:t>
      </w:r>
      <w:r>
        <w:rPr>
          <w:color w:val="231F20"/>
          <w:spacing w:val="-11"/>
          <w:w w:val="105"/>
        </w:rPr>
        <w:t> </w:t>
      </w:r>
      <w:r>
        <w:rPr>
          <w:color w:val="231F20"/>
          <w:w w:val="105"/>
        </w:rPr>
        <w:t>un</w:t>
      </w:r>
      <w:r>
        <w:rPr>
          <w:color w:val="231F20"/>
          <w:spacing w:val="-11"/>
          <w:w w:val="105"/>
        </w:rPr>
        <w:t> </w:t>
      </w:r>
      <w:r>
        <w:rPr>
          <w:color w:val="231F20"/>
          <w:w w:val="105"/>
        </w:rPr>
        <w:t>boletín</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sector</w:t>
      </w:r>
      <w:r>
        <w:rPr>
          <w:color w:val="231F20"/>
          <w:spacing w:val="-11"/>
          <w:w w:val="105"/>
        </w:rPr>
        <w:t> </w:t>
      </w:r>
      <w:r>
        <w:rPr>
          <w:color w:val="231F20"/>
          <w:w w:val="105"/>
        </w:rPr>
        <w:t>privado,</w:t>
      </w:r>
      <w:r>
        <w:rPr>
          <w:color w:val="231F20"/>
          <w:spacing w:val="-11"/>
          <w:w w:val="105"/>
        </w:rPr>
        <w:t> </w:t>
      </w:r>
      <w:r>
        <w:rPr>
          <w:color w:val="231F20"/>
          <w:w w:val="105"/>
        </w:rPr>
        <w:t>denomina- do</w:t>
      </w:r>
      <w:r>
        <w:rPr>
          <w:color w:val="231F20"/>
          <w:spacing w:val="-13"/>
          <w:w w:val="105"/>
        </w:rPr>
        <w:t> </w:t>
      </w:r>
      <w:r>
        <w:rPr>
          <w:color w:val="231F20"/>
          <w:w w:val="105"/>
        </w:rPr>
        <w:t>BIOS,</w:t>
      </w:r>
      <w:r>
        <w:rPr>
          <w:color w:val="231F20"/>
          <w:spacing w:val="-13"/>
          <w:w w:val="105"/>
        </w:rPr>
        <w:t> </w:t>
      </w:r>
      <w:r>
        <w:rPr>
          <w:color w:val="231F20"/>
          <w:w w:val="105"/>
        </w:rPr>
        <w:t>Boletín</w:t>
      </w:r>
      <w:r>
        <w:rPr>
          <w:color w:val="231F20"/>
          <w:spacing w:val="-13"/>
          <w:w w:val="105"/>
        </w:rPr>
        <w:t> </w:t>
      </w:r>
      <w:r>
        <w:rPr>
          <w:color w:val="231F20"/>
          <w:w w:val="105"/>
        </w:rPr>
        <w:t>de</w:t>
      </w:r>
      <w:r>
        <w:rPr>
          <w:color w:val="231F20"/>
          <w:spacing w:val="-13"/>
          <w:w w:val="105"/>
        </w:rPr>
        <w:t> </w:t>
      </w:r>
      <w:r>
        <w:rPr>
          <w:color w:val="231F20"/>
          <w:w w:val="105"/>
        </w:rPr>
        <w:t>Información</w:t>
      </w:r>
      <w:r>
        <w:rPr>
          <w:color w:val="231F20"/>
          <w:spacing w:val="-13"/>
          <w:w w:val="105"/>
        </w:rPr>
        <w:t> </w:t>
      </w:r>
      <w:r>
        <w:rPr>
          <w:color w:val="231F20"/>
          <w:w w:val="105"/>
        </w:rPr>
        <w:t>Oportuna</w:t>
      </w:r>
      <w:r>
        <w:rPr>
          <w:color w:val="231F20"/>
          <w:spacing w:val="-13"/>
          <w:w w:val="105"/>
        </w:rPr>
        <w:t> </w:t>
      </w:r>
      <w:r>
        <w:rPr>
          <w:color w:val="231F20"/>
          <w:w w:val="105"/>
        </w:rPr>
        <w:t>Sistematizada,</w:t>
      </w:r>
      <w:r>
        <w:rPr>
          <w:color w:val="231F20"/>
          <w:spacing w:val="-13"/>
          <w:w w:val="105"/>
        </w:rPr>
        <w:t> </w:t>
      </w:r>
      <w:r>
        <w:rPr>
          <w:color w:val="231F20"/>
          <w:w w:val="105"/>
        </w:rPr>
        <w:t>con</w:t>
      </w:r>
      <w:r>
        <w:rPr>
          <w:color w:val="231F20"/>
          <w:spacing w:val="-13"/>
          <w:w w:val="105"/>
        </w:rPr>
        <w:t> </w:t>
      </w:r>
      <w:r>
        <w:rPr>
          <w:color w:val="231F20"/>
          <w:w w:val="105"/>
        </w:rPr>
        <w:t>información</w:t>
      </w:r>
      <w:r>
        <w:rPr>
          <w:color w:val="231F20"/>
          <w:spacing w:val="-13"/>
          <w:w w:val="105"/>
        </w:rPr>
        <w:t> </w:t>
      </w:r>
      <w:r>
        <w:rPr>
          <w:color w:val="231F20"/>
          <w:w w:val="105"/>
        </w:rPr>
        <w:t>estadística </w:t>
      </w:r>
      <w:r>
        <w:rPr>
          <w:color w:val="231F20"/>
          <w:w w:val="105"/>
          <w:u w:val="single" w:color="231F20"/>
        </w:rPr>
        <w:t>y</w:t>
      </w:r>
      <w:r>
        <w:rPr>
          <w:color w:val="231F20"/>
          <w:spacing w:val="-14"/>
          <w:w w:val="105"/>
          <w:u w:val="single" w:color="231F20"/>
        </w:rPr>
        <w:t> </w:t>
      </w:r>
      <w:r>
        <w:rPr>
          <w:color w:val="231F20"/>
          <w:w w:val="105"/>
          <w:u w:val="single" w:color="231F20"/>
        </w:rPr>
        <w:t>financiera</w:t>
      </w:r>
      <w:r>
        <w:rPr>
          <w:color w:val="231F20"/>
          <w:spacing w:val="-14"/>
          <w:w w:val="105"/>
          <w:u w:val="single" w:color="231F20"/>
        </w:rPr>
        <w:t> </w:t>
      </w:r>
      <w:r>
        <w:rPr>
          <w:color w:val="231F20"/>
          <w:w w:val="105"/>
          <w:u w:val="single" w:color="231F20"/>
        </w:rPr>
        <w:t>de</w:t>
      </w:r>
      <w:r>
        <w:rPr>
          <w:color w:val="231F20"/>
          <w:spacing w:val="-14"/>
          <w:w w:val="105"/>
          <w:u w:val="single" w:color="231F20"/>
        </w:rPr>
        <w:t> </w:t>
      </w:r>
      <w:r>
        <w:rPr>
          <w:color w:val="231F20"/>
          <w:w w:val="105"/>
          <w:u w:val="single" w:color="231F20"/>
        </w:rPr>
        <w:t>l</w:t>
      </w:r>
      <w:r>
        <w:rPr>
          <w:color w:val="231F20"/>
          <w:w w:val="105"/>
        </w:rPr>
        <w:t>os</w:t>
      </w:r>
      <w:r>
        <w:rPr>
          <w:color w:val="231F20"/>
          <w:spacing w:val="-14"/>
          <w:w w:val="105"/>
        </w:rPr>
        <w:t> </w:t>
      </w:r>
      <w:r>
        <w:rPr>
          <w:color w:val="231F20"/>
          <w:w w:val="105"/>
        </w:rPr>
        <w:t>ámbitos</w:t>
      </w:r>
      <w:r>
        <w:rPr>
          <w:color w:val="231F20"/>
          <w:spacing w:val="-14"/>
          <w:w w:val="105"/>
        </w:rPr>
        <w:t> </w:t>
      </w:r>
      <w:r>
        <w:rPr>
          <w:color w:val="231F20"/>
          <w:w w:val="105"/>
        </w:rPr>
        <w:t>municipal,</w:t>
      </w:r>
      <w:r>
        <w:rPr>
          <w:color w:val="231F20"/>
          <w:spacing w:val="-14"/>
          <w:w w:val="105"/>
        </w:rPr>
        <w:t> </w:t>
      </w:r>
      <w:r>
        <w:rPr>
          <w:color w:val="231F20"/>
          <w:w w:val="105"/>
        </w:rPr>
        <w:t>estatal,</w:t>
      </w:r>
      <w:r>
        <w:rPr>
          <w:color w:val="231F20"/>
          <w:spacing w:val="-14"/>
          <w:w w:val="105"/>
        </w:rPr>
        <w:t> </w:t>
      </w:r>
      <w:r>
        <w:rPr>
          <w:color w:val="231F20"/>
          <w:w w:val="105"/>
        </w:rPr>
        <w:t>nacional</w:t>
      </w:r>
      <w:r>
        <w:rPr>
          <w:color w:val="231F20"/>
          <w:spacing w:val="-14"/>
          <w:w w:val="105"/>
        </w:rPr>
        <w:t> </w:t>
      </w:r>
      <w:r>
        <w:rPr>
          <w:color w:val="231F20"/>
          <w:w w:val="105"/>
        </w:rPr>
        <w:t>e</w:t>
      </w:r>
      <w:r>
        <w:rPr>
          <w:color w:val="231F20"/>
          <w:spacing w:val="-14"/>
          <w:w w:val="105"/>
        </w:rPr>
        <w:t> </w:t>
      </w:r>
      <w:r>
        <w:rPr>
          <w:color w:val="231F20"/>
          <w:w w:val="105"/>
        </w:rPr>
        <w:t>internacional.</w:t>
      </w:r>
    </w:p>
    <w:p>
      <w:pPr>
        <w:spacing w:before="53"/>
        <w:ind w:left="110" w:right="0" w:firstLine="0"/>
        <w:jc w:val="both"/>
        <w:rPr>
          <w:rFonts w:ascii="Calibri" w:hAnsi="Calibri"/>
          <w:sz w:val="16"/>
        </w:rPr>
      </w:pPr>
      <w:r>
        <w:rPr>
          <w:rFonts w:ascii="Calibri" w:hAnsi="Calibri"/>
          <w:color w:val="231F20"/>
          <w:sz w:val="16"/>
        </w:rPr>
        <w:t>8 Ídem, p. 21 y 22.</w:t>
      </w:r>
    </w:p>
    <w:p>
      <w:pPr>
        <w:spacing w:after="0"/>
        <w:jc w:val="both"/>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Naucalpan es un municipio privilegiado pues tiene un elevado número de empresas instaladas</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territorio.</w:t>
      </w:r>
      <w:r>
        <w:rPr>
          <w:color w:val="231F20"/>
          <w:spacing w:val="-5"/>
          <w:w w:val="105"/>
        </w:rPr>
        <w:t> </w:t>
      </w:r>
      <w:r>
        <w:rPr>
          <w:color w:val="231F20"/>
          <w:w w:val="105"/>
        </w:rPr>
        <w:t>El</w:t>
      </w:r>
      <w:r>
        <w:rPr>
          <w:color w:val="231F20"/>
          <w:spacing w:val="-5"/>
          <w:w w:val="105"/>
        </w:rPr>
        <w:t> </w:t>
      </w:r>
      <w:r>
        <w:rPr>
          <w:color w:val="231F20"/>
          <w:w w:val="105"/>
        </w:rPr>
        <w:t>censo</w:t>
      </w:r>
      <w:r>
        <w:rPr>
          <w:color w:val="231F20"/>
          <w:spacing w:val="-5"/>
          <w:w w:val="105"/>
        </w:rPr>
        <w:t> </w:t>
      </w:r>
      <w:r>
        <w:rPr>
          <w:color w:val="231F20"/>
          <w:w w:val="105"/>
        </w:rPr>
        <w:t>de</w:t>
      </w:r>
      <w:r>
        <w:rPr>
          <w:color w:val="231F20"/>
          <w:spacing w:val="-5"/>
          <w:w w:val="105"/>
        </w:rPr>
        <w:t> </w:t>
      </w:r>
      <w:r>
        <w:rPr>
          <w:color w:val="231F20"/>
          <w:w w:val="105"/>
        </w:rPr>
        <w:t>1994</w:t>
      </w:r>
      <w:r>
        <w:rPr>
          <w:color w:val="231F20"/>
          <w:spacing w:val="-5"/>
          <w:w w:val="105"/>
        </w:rPr>
        <w:t> </w:t>
      </w:r>
      <w:r>
        <w:rPr>
          <w:color w:val="231F20"/>
          <w:w w:val="105"/>
        </w:rPr>
        <w:t>reportaba</w:t>
      </w:r>
      <w:r>
        <w:rPr>
          <w:color w:val="231F20"/>
          <w:spacing w:val="-5"/>
          <w:w w:val="105"/>
        </w:rPr>
        <w:t> </w:t>
      </w:r>
      <w:r>
        <w:rPr>
          <w:color w:val="231F20"/>
          <w:w w:val="105"/>
        </w:rPr>
        <w:t>alrededor</w:t>
      </w:r>
      <w:r>
        <w:rPr>
          <w:color w:val="231F20"/>
          <w:spacing w:val="-5"/>
          <w:w w:val="105"/>
        </w:rPr>
        <w:t> </w:t>
      </w:r>
      <w:r>
        <w:rPr>
          <w:color w:val="231F20"/>
          <w:w w:val="105"/>
        </w:rPr>
        <w:t>de</w:t>
      </w:r>
      <w:r>
        <w:rPr>
          <w:color w:val="231F20"/>
          <w:spacing w:val="-5"/>
          <w:w w:val="105"/>
        </w:rPr>
        <w:t> </w:t>
      </w:r>
      <w:r>
        <w:rPr>
          <w:color w:val="231F20"/>
          <w:spacing w:val="-6"/>
          <w:w w:val="105"/>
        </w:rPr>
        <w:t>17</w:t>
      </w:r>
      <w:r>
        <w:rPr>
          <w:color w:val="231F20"/>
          <w:spacing w:val="-5"/>
          <w:w w:val="105"/>
        </w:rPr>
        <w:t> </w:t>
      </w:r>
      <w:r>
        <w:rPr>
          <w:color w:val="231F20"/>
          <w:spacing w:val="2"/>
          <w:w w:val="105"/>
        </w:rPr>
        <w:t>mil</w:t>
      </w:r>
      <w:r>
        <w:rPr>
          <w:color w:val="231F20"/>
          <w:spacing w:val="-5"/>
          <w:w w:val="105"/>
        </w:rPr>
        <w:t> </w:t>
      </w:r>
      <w:r>
        <w:rPr>
          <w:color w:val="231F20"/>
          <w:w w:val="105"/>
        </w:rPr>
        <w:t>en</w:t>
      </w:r>
      <w:r>
        <w:rPr>
          <w:color w:val="231F20"/>
          <w:spacing w:val="-5"/>
          <w:w w:val="105"/>
        </w:rPr>
        <w:t> </w:t>
      </w:r>
      <w:r>
        <w:rPr>
          <w:color w:val="231F20"/>
          <w:spacing w:val="-3"/>
          <w:w w:val="105"/>
        </w:rPr>
        <w:t>1999.</w:t>
      </w:r>
      <w:r>
        <w:rPr>
          <w:color w:val="231F20"/>
          <w:spacing w:val="-5"/>
          <w:w w:val="105"/>
        </w:rPr>
        <w:t> </w:t>
      </w:r>
      <w:r>
        <w:rPr>
          <w:color w:val="231F20"/>
          <w:w w:val="105"/>
        </w:rPr>
        <w:t>De ellas,</w:t>
      </w:r>
      <w:r>
        <w:rPr>
          <w:color w:val="231F20"/>
          <w:spacing w:val="-13"/>
          <w:w w:val="105"/>
        </w:rPr>
        <w:t> </w:t>
      </w:r>
      <w:r>
        <w:rPr>
          <w:color w:val="231F20"/>
          <w:w w:val="105"/>
        </w:rPr>
        <w:t>durante</w:t>
      </w:r>
      <w:r>
        <w:rPr>
          <w:color w:val="231F20"/>
          <w:spacing w:val="-13"/>
          <w:w w:val="105"/>
        </w:rPr>
        <w:t> </w:t>
      </w:r>
      <w:r>
        <w:rPr>
          <w:color w:val="231F20"/>
          <w:w w:val="105"/>
        </w:rPr>
        <w:t>la</w:t>
      </w:r>
      <w:r>
        <w:rPr>
          <w:color w:val="231F20"/>
          <w:spacing w:val="-13"/>
          <w:w w:val="105"/>
        </w:rPr>
        <w:t> </w:t>
      </w:r>
      <w:r>
        <w:rPr>
          <w:color w:val="231F20"/>
          <w:w w:val="105"/>
        </w:rPr>
        <w:t>gestión</w:t>
      </w:r>
      <w:r>
        <w:rPr>
          <w:color w:val="231F20"/>
          <w:spacing w:val="-13"/>
          <w:w w:val="105"/>
        </w:rPr>
        <w:t> </w:t>
      </w:r>
      <w:r>
        <w:rPr>
          <w:color w:val="231F20"/>
          <w:w w:val="105"/>
        </w:rPr>
        <w:t>de</w:t>
      </w:r>
      <w:r>
        <w:rPr>
          <w:color w:val="231F20"/>
          <w:spacing w:val="-13"/>
          <w:w w:val="105"/>
        </w:rPr>
        <w:t> </w:t>
      </w:r>
      <w:r>
        <w:rPr>
          <w:color w:val="231F20"/>
          <w:w w:val="105"/>
        </w:rPr>
        <w:t>Durán</w:t>
      </w:r>
      <w:r>
        <w:rPr>
          <w:color w:val="231F20"/>
          <w:spacing w:val="-13"/>
          <w:w w:val="105"/>
        </w:rPr>
        <w:t> </w:t>
      </w:r>
      <w:r>
        <w:rPr>
          <w:color w:val="231F20"/>
          <w:w w:val="105"/>
        </w:rPr>
        <w:t>se</w:t>
      </w:r>
      <w:r>
        <w:rPr>
          <w:color w:val="231F20"/>
          <w:spacing w:val="-13"/>
          <w:w w:val="105"/>
        </w:rPr>
        <w:t> </w:t>
      </w:r>
      <w:r>
        <w:rPr>
          <w:color w:val="231F20"/>
          <w:w w:val="105"/>
        </w:rPr>
        <w:t>crearon</w:t>
      </w:r>
      <w:r>
        <w:rPr>
          <w:color w:val="231F20"/>
          <w:spacing w:val="-13"/>
          <w:w w:val="105"/>
        </w:rPr>
        <w:t> </w:t>
      </w:r>
      <w:r>
        <w:rPr>
          <w:color w:val="231F20"/>
          <w:spacing w:val="-10"/>
          <w:w w:val="105"/>
        </w:rPr>
        <w:t>717,</w:t>
      </w:r>
      <w:r>
        <w:rPr>
          <w:color w:val="231F20"/>
          <w:spacing w:val="-13"/>
          <w:w w:val="105"/>
        </w:rPr>
        <w:t> </w:t>
      </w:r>
      <w:r>
        <w:rPr>
          <w:color w:val="231F20"/>
          <w:w w:val="105"/>
        </w:rPr>
        <w:t>gracias</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agilización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trámites impulsada por el panismo. Cabe señalar también que del gran total, poco más de </w:t>
      </w:r>
      <w:r>
        <w:rPr>
          <w:color w:val="231F20"/>
          <w:spacing w:val="2"/>
          <w:w w:val="105"/>
        </w:rPr>
        <w:t>mil </w:t>
      </w:r>
      <w:r>
        <w:rPr>
          <w:color w:val="231F20"/>
          <w:spacing w:val="3"/>
          <w:w w:val="105"/>
        </w:rPr>
        <w:t>200 </w:t>
      </w:r>
      <w:r>
        <w:rPr>
          <w:color w:val="231F20"/>
          <w:w w:val="105"/>
        </w:rPr>
        <w:t>empresas eran clasificadas como grandes, y alrededor de </w:t>
      </w:r>
      <w:r>
        <w:rPr>
          <w:color w:val="231F20"/>
          <w:spacing w:val="4"/>
          <w:w w:val="105"/>
        </w:rPr>
        <w:t>400 </w:t>
      </w:r>
      <w:r>
        <w:rPr>
          <w:color w:val="231F20"/>
          <w:w w:val="105"/>
        </w:rPr>
        <w:t>de ellas percibía</w:t>
      </w:r>
      <w:r>
        <w:rPr>
          <w:color w:val="231F20"/>
          <w:spacing w:val="-35"/>
          <w:w w:val="105"/>
        </w:rPr>
        <w:t> </w:t>
      </w:r>
      <w:r>
        <w:rPr>
          <w:color w:val="231F20"/>
          <w:w w:val="105"/>
        </w:rPr>
        <w:t>in- versión</w:t>
      </w:r>
      <w:r>
        <w:rPr>
          <w:color w:val="231F20"/>
          <w:spacing w:val="-13"/>
          <w:w w:val="105"/>
        </w:rPr>
        <w:t> </w:t>
      </w:r>
      <w:r>
        <w:rPr>
          <w:color w:val="231F20"/>
          <w:w w:val="105"/>
        </w:rPr>
        <w:t>extranjera</w:t>
      </w:r>
      <w:r>
        <w:rPr>
          <w:color w:val="231F20"/>
          <w:spacing w:val="-13"/>
          <w:w w:val="105"/>
        </w:rPr>
        <w:t> </w:t>
      </w:r>
      <w:r>
        <w:rPr>
          <w:color w:val="231F20"/>
          <w:w w:val="105"/>
        </w:rPr>
        <w:t>directa,</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colocaba</w:t>
      </w:r>
      <w:r>
        <w:rPr>
          <w:color w:val="231F20"/>
          <w:spacing w:val="-13"/>
          <w:w w:val="105"/>
        </w:rPr>
        <w:t> </w:t>
      </w:r>
      <w:r>
        <w:rPr>
          <w:color w:val="231F20"/>
          <w:w w:val="105"/>
        </w:rPr>
        <w:t>en</w:t>
      </w:r>
      <w:r>
        <w:rPr>
          <w:color w:val="231F20"/>
          <w:spacing w:val="-13"/>
          <w:w w:val="105"/>
        </w:rPr>
        <w:t> </w:t>
      </w:r>
      <w:r>
        <w:rPr>
          <w:color w:val="231F20"/>
          <w:w w:val="105"/>
        </w:rPr>
        <w:t>un</w:t>
      </w:r>
      <w:r>
        <w:rPr>
          <w:color w:val="231F20"/>
          <w:spacing w:val="-13"/>
          <w:w w:val="105"/>
        </w:rPr>
        <w:t> </w:t>
      </w:r>
      <w:r>
        <w:rPr>
          <w:color w:val="231F20"/>
          <w:w w:val="105"/>
        </w:rPr>
        <w:t>rango</w:t>
      </w:r>
      <w:r>
        <w:rPr>
          <w:color w:val="231F20"/>
          <w:spacing w:val="-13"/>
          <w:w w:val="105"/>
        </w:rPr>
        <w:t> </w:t>
      </w:r>
      <w:r>
        <w:rPr>
          <w:color w:val="231F20"/>
          <w:w w:val="105"/>
        </w:rPr>
        <w:t>de</w:t>
      </w:r>
      <w:r>
        <w:rPr>
          <w:color w:val="231F20"/>
          <w:spacing w:val="-13"/>
          <w:w w:val="105"/>
        </w:rPr>
        <w:t> </w:t>
      </w:r>
      <w:r>
        <w:rPr>
          <w:color w:val="231F20"/>
          <w:w w:val="105"/>
        </w:rPr>
        <w:t>gran</w:t>
      </w:r>
      <w:r>
        <w:rPr>
          <w:color w:val="231F20"/>
          <w:spacing w:val="-13"/>
          <w:w w:val="105"/>
        </w:rPr>
        <w:t> </w:t>
      </w:r>
      <w:r>
        <w:rPr>
          <w:color w:val="231F20"/>
          <w:w w:val="105"/>
        </w:rPr>
        <w:t>magnitud</w:t>
      </w:r>
      <w:r>
        <w:rPr>
          <w:color w:val="231F20"/>
          <w:spacing w:val="-13"/>
          <w:w w:val="105"/>
        </w:rPr>
        <w:t> </w:t>
      </w:r>
      <w:r>
        <w:rPr>
          <w:color w:val="231F20"/>
          <w:spacing w:val="-5"/>
          <w:w w:val="105"/>
        </w:rPr>
        <w:t>(el</w:t>
      </w:r>
      <w:r>
        <w:rPr>
          <w:color w:val="231F20"/>
          <w:spacing w:val="-13"/>
          <w:w w:val="105"/>
        </w:rPr>
        <w:t> </w:t>
      </w:r>
      <w:r>
        <w:rPr>
          <w:color w:val="231F20"/>
          <w:w w:val="105"/>
        </w:rPr>
        <w:t>35%</w:t>
      </w:r>
      <w:r>
        <w:rPr>
          <w:color w:val="231F20"/>
          <w:spacing w:val="-13"/>
          <w:w w:val="105"/>
        </w:rPr>
        <w:t> </w:t>
      </w:r>
      <w:r>
        <w:rPr>
          <w:color w:val="231F20"/>
          <w:w w:val="105"/>
        </w:rPr>
        <w:t>de la inversión extranjera en la entidad estaba en Naucalpan en </w:t>
      </w:r>
      <w:r>
        <w:rPr>
          <w:color w:val="231F20"/>
          <w:spacing w:val="-3"/>
          <w:w w:val="105"/>
        </w:rPr>
        <w:t>1999). </w:t>
      </w:r>
      <w:r>
        <w:rPr>
          <w:color w:val="231F20"/>
          <w:w w:val="105"/>
        </w:rPr>
        <w:t>La administración municipal, independientemente de su filiación política, necesitaba sacar el mayor pro- vecho</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condición</w:t>
      </w:r>
      <w:r>
        <w:rPr>
          <w:color w:val="231F20"/>
          <w:spacing w:val="-9"/>
          <w:w w:val="105"/>
        </w:rPr>
        <w:t> </w:t>
      </w:r>
      <w:r>
        <w:rPr>
          <w:color w:val="231F20"/>
          <w:w w:val="105"/>
        </w:rPr>
        <w:t>particular</w:t>
      </w:r>
      <w:r>
        <w:rPr>
          <w:color w:val="231F20"/>
          <w:spacing w:val="-9"/>
          <w:w w:val="105"/>
        </w:rPr>
        <w:t> </w:t>
      </w:r>
      <w:r>
        <w:rPr>
          <w:color w:val="231F20"/>
          <w:w w:val="105"/>
        </w:rPr>
        <w:t>de</w:t>
      </w:r>
      <w:r>
        <w:rPr>
          <w:color w:val="231F20"/>
          <w:spacing w:val="-9"/>
          <w:w w:val="105"/>
        </w:rPr>
        <w:t> </w:t>
      </w:r>
      <w:r>
        <w:rPr>
          <w:color w:val="231F20"/>
          <w:w w:val="105"/>
        </w:rPr>
        <w:t>Naucalpan.</w:t>
      </w:r>
    </w:p>
    <w:p>
      <w:pPr>
        <w:pStyle w:val="BodyText"/>
        <w:spacing w:before="1"/>
        <w:rPr>
          <w:sz w:val="26"/>
        </w:rPr>
      </w:pPr>
    </w:p>
    <w:p>
      <w:pPr>
        <w:pStyle w:val="BodyText"/>
        <w:spacing w:line="285" w:lineRule="auto"/>
        <w:ind w:left="110" w:right="106"/>
        <w:jc w:val="both"/>
      </w:pPr>
      <w:r>
        <w:rPr>
          <w:color w:val="231F20"/>
          <w:w w:val="105"/>
        </w:rPr>
        <w:t>Una acción que arrancó desde entonces fue la de la búsqueda de información y </w:t>
      </w:r>
      <w:r>
        <w:rPr>
          <w:color w:val="231F20"/>
          <w:spacing w:val="-3"/>
          <w:w w:val="105"/>
        </w:rPr>
        <w:t>con- </w:t>
      </w:r>
      <w:r>
        <w:rPr>
          <w:color w:val="231F20"/>
          <w:w w:val="105"/>
        </w:rPr>
        <w:t>tactos para que los empresarios naucalpenses se </w:t>
      </w:r>
      <w:r>
        <w:rPr>
          <w:color w:val="231F20"/>
          <w:spacing w:val="2"/>
          <w:w w:val="105"/>
        </w:rPr>
        <w:t>lanzaran </w:t>
      </w:r>
      <w:r>
        <w:rPr>
          <w:color w:val="231F20"/>
          <w:w w:val="105"/>
        </w:rPr>
        <w:t>a la exportación. </w:t>
      </w:r>
      <w:r>
        <w:rPr>
          <w:color w:val="231F20"/>
          <w:spacing w:val="-3"/>
          <w:w w:val="105"/>
        </w:rPr>
        <w:t>Por </w:t>
      </w:r>
      <w:r>
        <w:rPr>
          <w:color w:val="231F20"/>
          <w:w w:val="105"/>
        </w:rPr>
        <w:t>otro lado, las micro, pequeñas y medianas empresas también recibieron atención de parte del</w:t>
      </w:r>
      <w:r>
        <w:rPr>
          <w:color w:val="231F20"/>
          <w:spacing w:val="-16"/>
          <w:w w:val="105"/>
        </w:rPr>
        <w:t> </w:t>
      </w:r>
      <w:r>
        <w:rPr>
          <w:color w:val="231F20"/>
          <w:spacing w:val="-2"/>
          <w:w w:val="105"/>
        </w:rPr>
        <w:t>gobierno.</w:t>
      </w:r>
      <w:r>
        <w:rPr>
          <w:color w:val="231F20"/>
          <w:spacing w:val="-16"/>
          <w:w w:val="105"/>
        </w:rPr>
        <w:t> </w:t>
      </w:r>
      <w:r>
        <w:rPr>
          <w:color w:val="231F20"/>
          <w:w w:val="105"/>
        </w:rPr>
        <w:t>El</w:t>
      </w:r>
      <w:r>
        <w:rPr>
          <w:color w:val="231F20"/>
          <w:spacing w:val="-16"/>
          <w:w w:val="105"/>
        </w:rPr>
        <w:t> </w:t>
      </w:r>
      <w:r>
        <w:rPr>
          <w:color w:val="231F20"/>
          <w:spacing w:val="2"/>
          <w:w w:val="105"/>
        </w:rPr>
        <w:t>fin</w:t>
      </w:r>
      <w:r>
        <w:rPr>
          <w:color w:val="231F20"/>
          <w:spacing w:val="-16"/>
          <w:w w:val="105"/>
        </w:rPr>
        <w:t> </w:t>
      </w:r>
      <w:r>
        <w:rPr>
          <w:color w:val="231F20"/>
          <w:w w:val="105"/>
        </w:rPr>
        <w:t>último,</w:t>
      </w:r>
      <w:r>
        <w:rPr>
          <w:color w:val="231F20"/>
          <w:spacing w:val="-16"/>
          <w:w w:val="105"/>
        </w:rPr>
        <w:t> </w:t>
      </w:r>
      <w:r>
        <w:rPr>
          <w:color w:val="231F20"/>
          <w:w w:val="105"/>
        </w:rPr>
        <w:t>desde</w:t>
      </w:r>
      <w:r>
        <w:rPr>
          <w:color w:val="231F20"/>
          <w:spacing w:val="-16"/>
          <w:w w:val="105"/>
        </w:rPr>
        <w:t> </w:t>
      </w:r>
      <w:r>
        <w:rPr>
          <w:color w:val="231F20"/>
          <w:w w:val="105"/>
        </w:rPr>
        <w:t>la</w:t>
      </w:r>
      <w:r>
        <w:rPr>
          <w:color w:val="231F20"/>
          <w:spacing w:val="-16"/>
          <w:w w:val="105"/>
        </w:rPr>
        <w:t> </w:t>
      </w:r>
      <w:r>
        <w:rPr>
          <w:color w:val="231F20"/>
          <w:w w:val="105"/>
        </w:rPr>
        <w:t>óptica</w:t>
      </w:r>
      <w:r>
        <w:rPr>
          <w:color w:val="231F20"/>
          <w:spacing w:val="-16"/>
          <w:w w:val="105"/>
        </w:rPr>
        <w:t> </w:t>
      </w:r>
      <w:r>
        <w:rPr>
          <w:color w:val="231F20"/>
          <w:w w:val="105"/>
        </w:rPr>
        <w:t>del</w:t>
      </w:r>
      <w:r>
        <w:rPr>
          <w:color w:val="231F20"/>
          <w:spacing w:val="-16"/>
          <w:w w:val="105"/>
        </w:rPr>
        <w:t> </w:t>
      </w:r>
      <w:r>
        <w:rPr>
          <w:color w:val="231F20"/>
          <w:spacing w:val="-4"/>
          <w:w w:val="105"/>
        </w:rPr>
        <w:t>PAN,</w:t>
      </w:r>
      <w:r>
        <w:rPr>
          <w:color w:val="231F20"/>
          <w:spacing w:val="-16"/>
          <w:w w:val="105"/>
        </w:rPr>
        <w:t> </w:t>
      </w:r>
      <w:r>
        <w:rPr>
          <w:color w:val="231F20"/>
          <w:w w:val="105"/>
        </w:rPr>
        <w:t>era</w:t>
      </w:r>
      <w:r>
        <w:rPr>
          <w:color w:val="231F20"/>
          <w:spacing w:val="-16"/>
          <w:w w:val="105"/>
        </w:rPr>
        <w:t> </w:t>
      </w:r>
      <w:r>
        <w:rPr>
          <w:color w:val="231F20"/>
          <w:w w:val="105"/>
        </w:rPr>
        <w:t>estimular</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iniciativa</w:t>
      </w:r>
      <w:r>
        <w:rPr>
          <w:color w:val="231F20"/>
          <w:spacing w:val="-16"/>
          <w:w w:val="105"/>
        </w:rPr>
        <w:t> </w:t>
      </w:r>
      <w:r>
        <w:rPr>
          <w:color w:val="231F20"/>
          <w:w w:val="105"/>
        </w:rPr>
        <w:t>privada para generar más empleos. De acuerdo con sus cifras, este objetivo fue cumplido con creces:</w:t>
      </w:r>
      <w:r>
        <w:rPr>
          <w:color w:val="231F20"/>
          <w:spacing w:val="-12"/>
          <w:w w:val="105"/>
        </w:rPr>
        <w:t> </w:t>
      </w:r>
      <w:r>
        <w:rPr>
          <w:color w:val="231F20"/>
          <w:w w:val="105"/>
        </w:rPr>
        <w:t>su</w:t>
      </w:r>
      <w:r>
        <w:rPr>
          <w:color w:val="231F20"/>
          <w:spacing w:val="-12"/>
          <w:w w:val="105"/>
        </w:rPr>
        <w:t> </w:t>
      </w:r>
      <w:r>
        <w:rPr>
          <w:color w:val="231F20"/>
          <w:w w:val="105"/>
        </w:rPr>
        <w:t>programa</w:t>
      </w:r>
      <w:r>
        <w:rPr>
          <w:color w:val="231F20"/>
          <w:spacing w:val="-12"/>
          <w:w w:val="105"/>
        </w:rPr>
        <w:t> </w:t>
      </w:r>
      <w:r>
        <w:rPr>
          <w:color w:val="231F20"/>
          <w:w w:val="105"/>
        </w:rPr>
        <w:t>proyectaba</w:t>
      </w:r>
      <w:r>
        <w:rPr>
          <w:color w:val="231F20"/>
          <w:spacing w:val="-12"/>
          <w:w w:val="105"/>
        </w:rPr>
        <w:t> </w:t>
      </w:r>
      <w:r>
        <w:rPr>
          <w:color w:val="231F20"/>
          <w:w w:val="105"/>
        </w:rPr>
        <w:t>la</w:t>
      </w:r>
      <w:r>
        <w:rPr>
          <w:color w:val="231F20"/>
          <w:spacing w:val="-12"/>
          <w:w w:val="105"/>
        </w:rPr>
        <w:t> </w:t>
      </w:r>
      <w:r>
        <w:rPr>
          <w:color w:val="231F20"/>
          <w:w w:val="105"/>
        </w:rPr>
        <w:t>generación</w:t>
      </w:r>
      <w:r>
        <w:rPr>
          <w:color w:val="231F20"/>
          <w:spacing w:val="-12"/>
          <w:w w:val="105"/>
        </w:rPr>
        <w:t> </w:t>
      </w:r>
      <w:r>
        <w:rPr>
          <w:color w:val="231F20"/>
          <w:w w:val="105"/>
        </w:rPr>
        <w:t>de</w:t>
      </w:r>
      <w:r>
        <w:rPr>
          <w:color w:val="231F20"/>
          <w:spacing w:val="-12"/>
          <w:w w:val="105"/>
        </w:rPr>
        <w:t> </w:t>
      </w:r>
      <w:r>
        <w:rPr>
          <w:color w:val="231F20"/>
          <w:spacing w:val="-4"/>
          <w:w w:val="105"/>
        </w:rPr>
        <w:t>11</w:t>
      </w:r>
      <w:r>
        <w:rPr>
          <w:color w:val="231F20"/>
          <w:spacing w:val="-12"/>
          <w:w w:val="105"/>
        </w:rPr>
        <w:t> </w:t>
      </w:r>
      <w:r>
        <w:rPr>
          <w:color w:val="231F20"/>
          <w:spacing w:val="2"/>
          <w:w w:val="105"/>
        </w:rPr>
        <w:t>mil</w:t>
      </w:r>
      <w:r>
        <w:rPr>
          <w:color w:val="231F20"/>
          <w:spacing w:val="-12"/>
          <w:w w:val="105"/>
        </w:rPr>
        <w:t> </w:t>
      </w:r>
      <w:r>
        <w:rPr>
          <w:color w:val="231F20"/>
          <w:w w:val="105"/>
        </w:rPr>
        <w:t>plazas</w:t>
      </w:r>
      <w:r>
        <w:rPr>
          <w:color w:val="231F20"/>
          <w:spacing w:val="-12"/>
          <w:w w:val="105"/>
        </w:rPr>
        <w:t> </w:t>
      </w:r>
      <w:r>
        <w:rPr>
          <w:color w:val="231F20"/>
          <w:w w:val="105"/>
        </w:rPr>
        <w:t>de</w:t>
      </w:r>
      <w:r>
        <w:rPr>
          <w:color w:val="231F20"/>
          <w:spacing w:val="-12"/>
          <w:w w:val="105"/>
        </w:rPr>
        <w:t> </w:t>
      </w:r>
      <w:r>
        <w:rPr>
          <w:color w:val="231F20"/>
          <w:w w:val="105"/>
        </w:rPr>
        <w:t>trabajo,</w:t>
      </w:r>
      <w:r>
        <w:rPr>
          <w:color w:val="231F20"/>
          <w:spacing w:val="-12"/>
          <w:w w:val="105"/>
        </w:rPr>
        <w:t> </w:t>
      </w:r>
      <w:r>
        <w:rPr>
          <w:color w:val="231F20"/>
          <w:w w:val="105"/>
        </w:rPr>
        <w:t>pero</w:t>
      </w:r>
      <w:r>
        <w:rPr>
          <w:color w:val="231F20"/>
          <w:spacing w:val="-12"/>
          <w:w w:val="105"/>
        </w:rPr>
        <w:t> </w:t>
      </w:r>
      <w:r>
        <w:rPr>
          <w:color w:val="231F20"/>
          <w:w w:val="105"/>
        </w:rPr>
        <w:t>en</w:t>
      </w:r>
      <w:r>
        <w:rPr>
          <w:color w:val="231F20"/>
          <w:spacing w:val="-12"/>
          <w:w w:val="105"/>
        </w:rPr>
        <w:t> </w:t>
      </w:r>
      <w:r>
        <w:rPr>
          <w:color w:val="231F20"/>
          <w:w w:val="105"/>
        </w:rPr>
        <w:t>1999 se reportaron casi </w:t>
      </w:r>
      <w:r>
        <w:rPr>
          <w:color w:val="231F20"/>
          <w:spacing w:val="2"/>
          <w:w w:val="105"/>
        </w:rPr>
        <w:t>40 mil </w:t>
      </w:r>
      <w:r>
        <w:rPr>
          <w:color w:val="231F20"/>
          <w:w w:val="105"/>
        </w:rPr>
        <w:t>por apertura de nuevas empresas y poco más de 26 </w:t>
      </w:r>
      <w:r>
        <w:rPr>
          <w:color w:val="231F20"/>
          <w:spacing w:val="2"/>
          <w:w w:val="105"/>
        </w:rPr>
        <w:t>mil </w:t>
      </w:r>
      <w:r>
        <w:rPr>
          <w:color w:val="231F20"/>
          <w:spacing w:val="-3"/>
          <w:w w:val="105"/>
        </w:rPr>
        <w:t>“por </w:t>
      </w:r>
      <w:r>
        <w:rPr>
          <w:color w:val="231F20"/>
          <w:w w:val="105"/>
        </w:rPr>
        <w:t>colocación”</w:t>
      </w:r>
      <w:r>
        <w:rPr>
          <w:color w:val="231F20"/>
          <w:spacing w:val="-8"/>
          <w:w w:val="105"/>
        </w:rPr>
        <w:t> </w:t>
      </w:r>
      <w:r>
        <w:rPr>
          <w:color w:val="231F20"/>
          <w:spacing w:val="-4"/>
          <w:w w:val="105"/>
        </w:rPr>
        <w:t>(es</w:t>
      </w:r>
      <w:r>
        <w:rPr>
          <w:color w:val="231F20"/>
          <w:spacing w:val="-8"/>
          <w:w w:val="105"/>
        </w:rPr>
        <w:t> </w:t>
      </w:r>
      <w:r>
        <w:rPr>
          <w:color w:val="231F20"/>
          <w:w w:val="105"/>
        </w:rPr>
        <w:t>decir,</w:t>
      </w:r>
      <w:r>
        <w:rPr>
          <w:color w:val="231F20"/>
          <w:spacing w:val="-8"/>
          <w:w w:val="105"/>
        </w:rPr>
        <w:t> </w:t>
      </w:r>
      <w:r>
        <w:rPr>
          <w:color w:val="231F20"/>
          <w:w w:val="105"/>
        </w:rPr>
        <w:t>personas</w:t>
      </w:r>
      <w:r>
        <w:rPr>
          <w:color w:val="231F20"/>
          <w:spacing w:val="-8"/>
          <w:w w:val="105"/>
        </w:rPr>
        <w:t> </w:t>
      </w:r>
      <w:r>
        <w:rPr>
          <w:color w:val="231F20"/>
          <w:w w:val="105"/>
        </w:rPr>
        <w:t>que</w:t>
      </w:r>
      <w:r>
        <w:rPr>
          <w:color w:val="231F20"/>
          <w:spacing w:val="-8"/>
          <w:w w:val="105"/>
        </w:rPr>
        <w:t> </w:t>
      </w:r>
      <w:r>
        <w:rPr>
          <w:color w:val="231F20"/>
          <w:w w:val="105"/>
        </w:rPr>
        <w:t>consiguieron</w:t>
      </w:r>
      <w:r>
        <w:rPr>
          <w:color w:val="231F20"/>
          <w:spacing w:val="-8"/>
          <w:w w:val="105"/>
        </w:rPr>
        <w:t> </w:t>
      </w:r>
      <w:r>
        <w:rPr>
          <w:color w:val="231F20"/>
          <w:w w:val="105"/>
        </w:rPr>
        <w:t>empleo</w:t>
      </w:r>
      <w:r>
        <w:rPr>
          <w:color w:val="231F20"/>
          <w:spacing w:val="-8"/>
          <w:w w:val="105"/>
        </w:rPr>
        <w:t> </w:t>
      </w:r>
      <w:r>
        <w:rPr>
          <w:color w:val="231F20"/>
          <w:w w:val="105"/>
        </w:rPr>
        <w:t>a</w:t>
      </w:r>
      <w:r>
        <w:rPr>
          <w:color w:val="231F20"/>
          <w:spacing w:val="-8"/>
          <w:w w:val="105"/>
        </w:rPr>
        <w:t> </w:t>
      </w:r>
      <w:r>
        <w:rPr>
          <w:color w:val="231F20"/>
          <w:spacing w:val="2"/>
          <w:w w:val="105"/>
        </w:rPr>
        <w:t>partir</w:t>
      </w:r>
      <w:r>
        <w:rPr>
          <w:color w:val="231F20"/>
          <w:spacing w:val="-8"/>
          <w:w w:val="105"/>
        </w:rPr>
        <w:t> </w:t>
      </w:r>
      <w:r>
        <w:rPr>
          <w:color w:val="231F20"/>
          <w:w w:val="105"/>
        </w:rPr>
        <w:t>de</w:t>
      </w:r>
      <w:r>
        <w:rPr>
          <w:color w:val="231F20"/>
          <w:spacing w:val="-8"/>
          <w:w w:val="105"/>
        </w:rPr>
        <w:t> </w:t>
      </w:r>
      <w:r>
        <w:rPr>
          <w:color w:val="231F20"/>
          <w:w w:val="105"/>
        </w:rPr>
        <w:t>ferias</w:t>
      </w:r>
      <w:r>
        <w:rPr>
          <w:color w:val="231F20"/>
          <w:spacing w:val="-8"/>
          <w:w w:val="105"/>
        </w:rPr>
        <w:t> </w:t>
      </w:r>
      <w:r>
        <w:rPr>
          <w:color w:val="231F20"/>
          <w:w w:val="105"/>
        </w:rPr>
        <w:t>de</w:t>
      </w:r>
      <w:r>
        <w:rPr>
          <w:color w:val="231F20"/>
          <w:spacing w:val="-8"/>
          <w:w w:val="105"/>
        </w:rPr>
        <w:t> </w:t>
      </w:r>
      <w:r>
        <w:rPr>
          <w:color w:val="231F20"/>
          <w:w w:val="105"/>
        </w:rPr>
        <w:t>empleo</w:t>
      </w:r>
      <w:r>
        <w:rPr>
          <w:color w:val="231F20"/>
          <w:spacing w:val="-8"/>
          <w:w w:val="105"/>
        </w:rPr>
        <w:t> </w:t>
      </w:r>
      <w:r>
        <w:rPr>
          <w:color w:val="231F20"/>
          <w:w w:val="105"/>
        </w:rPr>
        <w:t>y bolsa</w:t>
      </w:r>
      <w:r>
        <w:rPr>
          <w:color w:val="231F20"/>
          <w:spacing w:val="-15"/>
          <w:w w:val="105"/>
        </w:rPr>
        <w:t> </w:t>
      </w:r>
      <w:r>
        <w:rPr>
          <w:color w:val="231F20"/>
          <w:w w:val="105"/>
        </w:rPr>
        <w:t>de</w:t>
      </w:r>
      <w:r>
        <w:rPr>
          <w:color w:val="231F20"/>
          <w:spacing w:val="-15"/>
          <w:w w:val="105"/>
        </w:rPr>
        <w:t> </w:t>
      </w:r>
      <w:r>
        <w:rPr>
          <w:color w:val="231F20"/>
          <w:w w:val="105"/>
        </w:rPr>
        <w:t>trabajo</w:t>
      </w:r>
      <w:r>
        <w:rPr>
          <w:color w:val="231F20"/>
          <w:spacing w:val="-15"/>
          <w:w w:val="105"/>
        </w:rPr>
        <w:t> </w:t>
      </w:r>
      <w:r>
        <w:rPr>
          <w:color w:val="231F20"/>
          <w:w w:val="105"/>
        </w:rPr>
        <w:t>promovidas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ayuntamiento).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2"/>
          <w:w w:val="105"/>
        </w:rPr>
        <w:t> </w:t>
      </w:r>
      <w:r>
        <w:rPr>
          <w:color w:val="231F20"/>
          <w:w w:val="105"/>
        </w:rPr>
        <w:t>materia</w:t>
      </w:r>
      <w:r>
        <w:rPr>
          <w:color w:val="231F20"/>
          <w:spacing w:val="-12"/>
          <w:w w:val="105"/>
        </w:rPr>
        <w:t> </w:t>
      </w:r>
      <w:r>
        <w:rPr>
          <w:color w:val="231F20"/>
          <w:w w:val="105"/>
        </w:rPr>
        <w:t>de</w:t>
      </w:r>
      <w:r>
        <w:rPr>
          <w:color w:val="231F20"/>
          <w:spacing w:val="-12"/>
          <w:w w:val="105"/>
        </w:rPr>
        <w:t> </w:t>
      </w:r>
      <w:r>
        <w:rPr>
          <w:color w:val="231F20"/>
          <w:w w:val="105"/>
        </w:rPr>
        <w:t>seguridad,</w:t>
      </w:r>
      <w:r>
        <w:rPr>
          <w:color w:val="231F20"/>
          <w:spacing w:val="-12"/>
          <w:w w:val="105"/>
        </w:rPr>
        <w:t> </w:t>
      </w:r>
      <w:r>
        <w:rPr>
          <w:color w:val="231F20"/>
          <w:w w:val="105"/>
        </w:rPr>
        <w:t>el</w:t>
      </w:r>
      <w:r>
        <w:rPr>
          <w:color w:val="231F20"/>
          <w:spacing w:val="-12"/>
          <w:w w:val="105"/>
        </w:rPr>
        <w:t> </w:t>
      </w:r>
      <w:r>
        <w:rPr>
          <w:color w:val="231F20"/>
          <w:w w:val="105"/>
        </w:rPr>
        <w:t>gobierno</w:t>
      </w:r>
      <w:r>
        <w:rPr>
          <w:color w:val="231F20"/>
          <w:spacing w:val="-12"/>
          <w:w w:val="105"/>
        </w:rPr>
        <w:t> </w:t>
      </w:r>
      <w:r>
        <w:rPr>
          <w:color w:val="231F20"/>
          <w:w w:val="105"/>
        </w:rPr>
        <w:t>presumió</w:t>
      </w:r>
      <w:r>
        <w:rPr>
          <w:color w:val="231F20"/>
          <w:spacing w:val="-12"/>
          <w:w w:val="105"/>
        </w:rPr>
        <w:t> </w:t>
      </w:r>
      <w:r>
        <w:rPr>
          <w:color w:val="231F20"/>
          <w:w w:val="105"/>
        </w:rPr>
        <w:t>de</w:t>
      </w:r>
      <w:r>
        <w:rPr>
          <w:color w:val="231F20"/>
          <w:spacing w:val="-12"/>
          <w:w w:val="105"/>
        </w:rPr>
        <w:t> </w:t>
      </w:r>
      <w:r>
        <w:rPr>
          <w:color w:val="231F20"/>
          <w:w w:val="105"/>
        </w:rPr>
        <w:t>un</w:t>
      </w:r>
      <w:r>
        <w:rPr>
          <w:color w:val="231F20"/>
          <w:spacing w:val="-12"/>
          <w:w w:val="105"/>
        </w:rPr>
        <w:t> </w:t>
      </w:r>
      <w:r>
        <w:rPr>
          <w:color w:val="231F20"/>
          <w:w w:val="105"/>
        </w:rPr>
        <w:t>decremento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índices</w:t>
      </w:r>
      <w:r>
        <w:rPr>
          <w:color w:val="231F20"/>
          <w:spacing w:val="-12"/>
          <w:w w:val="105"/>
        </w:rPr>
        <w:t> </w:t>
      </w:r>
      <w:r>
        <w:rPr>
          <w:color w:val="231F20"/>
          <w:w w:val="105"/>
        </w:rPr>
        <w:t>delicti- vos</w:t>
      </w:r>
      <w:r>
        <w:rPr>
          <w:color w:val="231F20"/>
          <w:spacing w:val="-13"/>
          <w:w w:val="105"/>
        </w:rPr>
        <w:t> </w:t>
      </w:r>
      <w:r>
        <w:rPr>
          <w:color w:val="231F20"/>
          <w:w w:val="105"/>
        </w:rPr>
        <w:t>en</w:t>
      </w:r>
      <w:r>
        <w:rPr>
          <w:color w:val="231F20"/>
          <w:spacing w:val="-13"/>
          <w:w w:val="105"/>
        </w:rPr>
        <w:t> </w:t>
      </w:r>
      <w:r>
        <w:rPr>
          <w:color w:val="231F20"/>
          <w:w w:val="105"/>
        </w:rPr>
        <w:t>un</w:t>
      </w:r>
      <w:r>
        <w:rPr>
          <w:color w:val="231F20"/>
          <w:spacing w:val="-13"/>
          <w:w w:val="105"/>
        </w:rPr>
        <w:t> </w:t>
      </w:r>
      <w:r>
        <w:rPr>
          <w:color w:val="231F20"/>
          <w:w w:val="105"/>
        </w:rPr>
        <w:t>30%.</w:t>
      </w:r>
      <w:r>
        <w:rPr>
          <w:color w:val="231F20"/>
          <w:spacing w:val="-13"/>
          <w:w w:val="105"/>
        </w:rPr>
        <w:t> </w:t>
      </w:r>
      <w:r>
        <w:rPr>
          <w:color w:val="231F20"/>
          <w:w w:val="105"/>
        </w:rPr>
        <w:t>Ello</w:t>
      </w:r>
      <w:r>
        <w:rPr>
          <w:color w:val="231F20"/>
          <w:spacing w:val="-13"/>
          <w:w w:val="105"/>
        </w:rPr>
        <w:t> </w:t>
      </w:r>
      <w:r>
        <w:rPr>
          <w:color w:val="231F20"/>
          <w:w w:val="105"/>
        </w:rPr>
        <w:t>lo</w:t>
      </w:r>
      <w:r>
        <w:rPr>
          <w:color w:val="231F20"/>
          <w:spacing w:val="-13"/>
          <w:w w:val="105"/>
        </w:rPr>
        <w:t> </w:t>
      </w:r>
      <w:r>
        <w:rPr>
          <w:color w:val="231F20"/>
          <w:w w:val="105"/>
        </w:rPr>
        <w:t>atribuyó</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principios</w:t>
      </w:r>
      <w:r>
        <w:rPr>
          <w:color w:val="231F20"/>
          <w:spacing w:val="-13"/>
          <w:w w:val="105"/>
        </w:rPr>
        <w:t> </w:t>
      </w:r>
      <w:r>
        <w:rPr>
          <w:color w:val="231F20"/>
          <w:w w:val="105"/>
        </w:rPr>
        <w:t>de</w:t>
      </w:r>
      <w:r>
        <w:rPr>
          <w:color w:val="231F20"/>
          <w:spacing w:val="-13"/>
          <w:w w:val="105"/>
        </w:rPr>
        <w:t> </w:t>
      </w:r>
      <w:r>
        <w:rPr>
          <w:color w:val="231F20"/>
          <w:w w:val="105"/>
        </w:rPr>
        <w:t>honestidad</w:t>
      </w:r>
      <w:r>
        <w:rPr>
          <w:color w:val="231F20"/>
          <w:spacing w:val="-13"/>
          <w:w w:val="105"/>
        </w:rPr>
        <w:t> </w:t>
      </w:r>
      <w:r>
        <w:rPr>
          <w:color w:val="231F20"/>
          <w:w w:val="105"/>
        </w:rPr>
        <w:t>y</w:t>
      </w:r>
      <w:r>
        <w:rPr>
          <w:color w:val="231F20"/>
          <w:spacing w:val="-13"/>
          <w:w w:val="105"/>
        </w:rPr>
        <w:t> </w:t>
      </w:r>
      <w:r>
        <w:rPr>
          <w:color w:val="231F20"/>
          <w:w w:val="105"/>
        </w:rPr>
        <w:t>legalidad</w:t>
      </w:r>
      <w:r>
        <w:rPr>
          <w:color w:val="231F20"/>
          <w:spacing w:val="-13"/>
          <w:w w:val="105"/>
        </w:rPr>
        <w:t> </w:t>
      </w:r>
      <w:r>
        <w:rPr>
          <w:color w:val="231F20"/>
          <w:w w:val="105"/>
        </w:rPr>
        <w:t>que</w:t>
      </w:r>
      <w:r>
        <w:rPr>
          <w:color w:val="231F20"/>
          <w:spacing w:val="-13"/>
          <w:w w:val="105"/>
        </w:rPr>
        <w:t> </w:t>
      </w:r>
      <w:r>
        <w:rPr>
          <w:color w:val="231F20"/>
          <w:w w:val="105"/>
        </w:rPr>
        <w:t>siguió</w:t>
      </w:r>
      <w:r>
        <w:rPr>
          <w:color w:val="231F20"/>
          <w:spacing w:val="-13"/>
          <w:w w:val="105"/>
        </w:rPr>
        <w:t> </w:t>
      </w:r>
      <w:r>
        <w:rPr>
          <w:color w:val="231F20"/>
          <w:w w:val="105"/>
        </w:rPr>
        <w:t>en esta</w:t>
      </w:r>
      <w:r>
        <w:rPr>
          <w:color w:val="231F20"/>
          <w:spacing w:val="-10"/>
          <w:w w:val="105"/>
        </w:rPr>
        <w:t> </w:t>
      </w:r>
      <w:r>
        <w:rPr>
          <w:color w:val="231F20"/>
          <w:w w:val="105"/>
        </w:rPr>
        <w:t>materia,</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incremento</w:t>
      </w:r>
      <w:r>
        <w:rPr>
          <w:color w:val="231F20"/>
          <w:spacing w:val="-10"/>
          <w:w w:val="105"/>
        </w:rPr>
        <w:t> </w:t>
      </w:r>
      <w:r>
        <w:rPr>
          <w:color w:val="231F20"/>
          <w:spacing w:val="2"/>
          <w:w w:val="105"/>
        </w:rPr>
        <w:t>salarial</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policías,</w:t>
      </w:r>
      <w:r>
        <w:rPr>
          <w:color w:val="231F20"/>
          <w:spacing w:val="-10"/>
          <w:w w:val="105"/>
        </w:rPr>
        <w:t> </w:t>
      </w:r>
      <w:r>
        <w:rPr>
          <w:color w:val="231F20"/>
          <w:w w:val="105"/>
        </w:rPr>
        <w:t>acumulado</w:t>
      </w:r>
      <w:r>
        <w:rPr>
          <w:color w:val="231F20"/>
          <w:spacing w:val="-10"/>
          <w:w w:val="105"/>
        </w:rPr>
        <w:t> </w:t>
      </w:r>
      <w:r>
        <w:rPr>
          <w:color w:val="231F20"/>
          <w:w w:val="105"/>
        </w:rPr>
        <w:t>a</w:t>
      </w:r>
      <w:r>
        <w:rPr>
          <w:color w:val="231F20"/>
          <w:spacing w:val="-10"/>
          <w:w w:val="105"/>
        </w:rPr>
        <w:t> </w:t>
      </w:r>
      <w:r>
        <w:rPr>
          <w:color w:val="231F20"/>
          <w:w w:val="105"/>
        </w:rPr>
        <w:t>67%</w:t>
      </w:r>
      <w:r>
        <w:rPr>
          <w:color w:val="231F20"/>
          <w:spacing w:val="-10"/>
          <w:w w:val="105"/>
        </w:rPr>
        <w:t> </w:t>
      </w:r>
      <w:r>
        <w:rPr>
          <w:color w:val="231F20"/>
          <w:w w:val="105"/>
        </w:rPr>
        <w:t>en</w:t>
      </w:r>
      <w:r>
        <w:rPr>
          <w:color w:val="231F20"/>
          <w:spacing w:val="-10"/>
          <w:w w:val="105"/>
        </w:rPr>
        <w:t> </w:t>
      </w:r>
      <w:r>
        <w:rPr>
          <w:color w:val="231F20"/>
          <w:w w:val="105"/>
        </w:rPr>
        <w:t>el trienio</w:t>
      </w:r>
      <w:r>
        <w:rPr>
          <w:color w:val="231F20"/>
          <w:spacing w:val="14"/>
          <w:w w:val="105"/>
        </w:rPr>
        <w:t> </w:t>
      </w:r>
      <w:r>
        <w:rPr>
          <w:color w:val="231F20"/>
          <w:w w:val="105"/>
        </w:rPr>
        <w:t>panista.</w:t>
      </w:r>
    </w:p>
    <w:p>
      <w:pPr>
        <w:pStyle w:val="BodyText"/>
        <w:spacing w:before="1"/>
        <w:rPr>
          <w:sz w:val="26"/>
        </w:rPr>
      </w:pPr>
    </w:p>
    <w:p>
      <w:pPr>
        <w:pStyle w:val="BodyText"/>
        <w:spacing w:line="285" w:lineRule="auto"/>
        <w:ind w:left="110" w:right="107"/>
        <w:jc w:val="both"/>
      </w:pPr>
      <w:r>
        <w:rPr>
          <w:color w:val="231F20"/>
          <w:w w:val="105"/>
        </w:rPr>
        <w:t>El gobierno panista atendió también cuestiones de medio ambiente. Entre lo más rele- vante</w:t>
      </w:r>
      <w:r>
        <w:rPr>
          <w:color w:val="231F20"/>
          <w:spacing w:val="-9"/>
          <w:w w:val="105"/>
        </w:rPr>
        <w:t> </w:t>
      </w:r>
      <w:r>
        <w:rPr>
          <w:color w:val="231F20"/>
          <w:w w:val="105"/>
        </w:rPr>
        <w:t>fue</w:t>
      </w:r>
      <w:r>
        <w:rPr>
          <w:color w:val="231F20"/>
          <w:spacing w:val="-9"/>
          <w:w w:val="105"/>
        </w:rPr>
        <w:t> </w:t>
      </w:r>
      <w:r>
        <w:rPr>
          <w:color w:val="231F20"/>
          <w:w w:val="105"/>
        </w:rPr>
        <w:t>la</w:t>
      </w:r>
      <w:r>
        <w:rPr>
          <w:color w:val="231F20"/>
          <w:spacing w:val="-9"/>
          <w:w w:val="105"/>
        </w:rPr>
        <w:t> </w:t>
      </w:r>
      <w:r>
        <w:rPr>
          <w:color w:val="231F20"/>
          <w:w w:val="105"/>
        </w:rPr>
        <w:t>supervisión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fábricas</w:t>
      </w:r>
      <w:r>
        <w:rPr>
          <w:color w:val="231F20"/>
          <w:spacing w:val="-9"/>
          <w:w w:val="105"/>
        </w:rPr>
        <w:t> </w:t>
      </w:r>
      <w:r>
        <w:rPr>
          <w:color w:val="231F20"/>
          <w:w w:val="105"/>
        </w:rPr>
        <w:t>para</w:t>
      </w:r>
      <w:r>
        <w:rPr>
          <w:color w:val="231F20"/>
          <w:spacing w:val="-9"/>
          <w:w w:val="105"/>
        </w:rPr>
        <w:t> </w:t>
      </w:r>
      <w:r>
        <w:rPr>
          <w:color w:val="231F20"/>
          <w:w w:val="105"/>
        </w:rPr>
        <w:t>evitar</w:t>
      </w:r>
      <w:r>
        <w:rPr>
          <w:color w:val="231F20"/>
          <w:spacing w:val="-9"/>
          <w:w w:val="105"/>
        </w:rPr>
        <w:t> </w:t>
      </w:r>
      <w:r>
        <w:rPr>
          <w:color w:val="231F20"/>
          <w:w w:val="105"/>
        </w:rPr>
        <w:t>la</w:t>
      </w:r>
      <w:r>
        <w:rPr>
          <w:color w:val="231F20"/>
          <w:spacing w:val="-9"/>
          <w:w w:val="105"/>
        </w:rPr>
        <w:t> </w:t>
      </w:r>
      <w:r>
        <w:rPr>
          <w:color w:val="231F20"/>
          <w:w w:val="105"/>
        </w:rPr>
        <w:t>contaminación</w:t>
      </w:r>
      <w:r>
        <w:rPr>
          <w:color w:val="231F20"/>
          <w:spacing w:val="-9"/>
          <w:w w:val="105"/>
        </w:rPr>
        <w:t> </w:t>
      </w:r>
      <w:r>
        <w:rPr>
          <w:color w:val="231F20"/>
          <w:w w:val="105"/>
        </w:rPr>
        <w:t>a</w:t>
      </w:r>
      <w:r>
        <w:rPr>
          <w:color w:val="231F20"/>
          <w:spacing w:val="-9"/>
          <w:w w:val="105"/>
        </w:rPr>
        <w:t> </w:t>
      </w:r>
      <w:r>
        <w:rPr>
          <w:color w:val="231F20"/>
          <w:w w:val="105"/>
        </w:rPr>
        <w:t>través</w:t>
      </w:r>
      <w:r>
        <w:rPr>
          <w:color w:val="231F20"/>
          <w:spacing w:val="-9"/>
          <w:w w:val="105"/>
        </w:rPr>
        <w:t> </w:t>
      </w:r>
      <w:r>
        <w:rPr>
          <w:color w:val="231F20"/>
          <w:w w:val="105"/>
        </w:rPr>
        <w:t>de</w:t>
      </w:r>
      <w:r>
        <w:rPr>
          <w:color w:val="231F20"/>
          <w:spacing w:val="-9"/>
          <w:w w:val="105"/>
        </w:rPr>
        <w:t> </w:t>
      </w:r>
      <w:r>
        <w:rPr>
          <w:color w:val="231F20"/>
          <w:w w:val="105"/>
        </w:rPr>
        <w:t>descar- gas</w:t>
      </w:r>
      <w:r>
        <w:rPr>
          <w:color w:val="231F20"/>
          <w:spacing w:val="-11"/>
          <w:w w:val="105"/>
        </w:rPr>
        <w:t> </w:t>
      </w:r>
      <w:r>
        <w:rPr>
          <w:color w:val="231F20"/>
          <w:w w:val="105"/>
        </w:rPr>
        <w:t>residuales</w:t>
      </w:r>
      <w:r>
        <w:rPr>
          <w:color w:val="231F20"/>
          <w:spacing w:val="-11"/>
          <w:w w:val="105"/>
        </w:rPr>
        <w:t> </w:t>
      </w:r>
      <w:r>
        <w:rPr>
          <w:color w:val="231F20"/>
          <w:spacing w:val="2"/>
          <w:w w:val="105"/>
        </w:rPr>
        <w:t>al</w:t>
      </w:r>
      <w:r>
        <w:rPr>
          <w:color w:val="231F20"/>
          <w:spacing w:val="-11"/>
          <w:w w:val="105"/>
        </w:rPr>
        <w:t> </w:t>
      </w:r>
      <w:r>
        <w:rPr>
          <w:color w:val="231F20"/>
          <w:w w:val="105"/>
        </w:rPr>
        <w:t>drenaje,</w:t>
      </w:r>
      <w:r>
        <w:rPr>
          <w:color w:val="231F20"/>
          <w:spacing w:val="-11"/>
          <w:w w:val="105"/>
        </w:rPr>
        <w:t> </w:t>
      </w:r>
      <w:r>
        <w:rPr>
          <w:color w:val="231F20"/>
          <w:w w:val="105"/>
        </w:rPr>
        <w:t>un</w:t>
      </w:r>
      <w:r>
        <w:rPr>
          <w:color w:val="231F20"/>
          <w:spacing w:val="-11"/>
          <w:w w:val="105"/>
        </w:rPr>
        <w:t> </w:t>
      </w:r>
      <w:r>
        <w:rPr>
          <w:color w:val="231F20"/>
          <w:w w:val="105"/>
        </w:rPr>
        <w:t>problema</w:t>
      </w:r>
      <w:r>
        <w:rPr>
          <w:color w:val="231F20"/>
          <w:spacing w:val="-11"/>
          <w:w w:val="105"/>
        </w:rPr>
        <w:t> </w:t>
      </w:r>
      <w:r>
        <w:rPr>
          <w:color w:val="231F20"/>
          <w:w w:val="105"/>
        </w:rPr>
        <w:t>grave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territorio.</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comienzo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ela- boración de un padrón industrial, este fue un recurso conveniente tanto para impulsar este tipo de acciones ecológicas como para integrar </w:t>
      </w:r>
      <w:r>
        <w:rPr>
          <w:color w:val="231F20"/>
          <w:spacing w:val="2"/>
          <w:w w:val="105"/>
        </w:rPr>
        <w:t>al </w:t>
      </w:r>
      <w:r>
        <w:rPr>
          <w:color w:val="231F20"/>
          <w:w w:val="105"/>
        </w:rPr>
        <w:t>sector a otras actividades. En el caso de la contaminación provocada por los automóviles, el ayuntamiento dispuso</w:t>
      </w:r>
      <w:r>
        <w:rPr>
          <w:color w:val="231F20"/>
          <w:spacing w:val="21"/>
          <w:w w:val="105"/>
        </w:rPr>
        <w:t> </w:t>
      </w:r>
      <w:r>
        <w:rPr>
          <w:color w:val="231F20"/>
          <w:w w:val="105"/>
        </w:rPr>
        <w:t>un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programa de verificación para los vehículos “ostensiblemente contaminantes” (que se adicionó al existente en el DF).</w:t>
      </w:r>
    </w:p>
    <w:p>
      <w:pPr>
        <w:pStyle w:val="BodyText"/>
        <w:spacing w:before="1"/>
        <w:rPr>
          <w:sz w:val="26"/>
        </w:rPr>
      </w:pPr>
    </w:p>
    <w:p>
      <w:pPr>
        <w:pStyle w:val="BodyText"/>
        <w:spacing w:line="285" w:lineRule="auto"/>
        <w:ind w:left="110" w:right="107"/>
        <w:jc w:val="both"/>
      </w:pPr>
      <w:r>
        <w:rPr>
          <w:color w:val="231F20"/>
          <w:w w:val="105"/>
        </w:rPr>
        <w:t>Asimismo</w:t>
      </w:r>
      <w:r>
        <w:rPr>
          <w:color w:val="231F20"/>
          <w:spacing w:val="-6"/>
          <w:w w:val="105"/>
        </w:rPr>
        <w:t> </w:t>
      </w:r>
      <w:r>
        <w:rPr>
          <w:color w:val="231F20"/>
          <w:w w:val="105"/>
        </w:rPr>
        <w:t>en</w:t>
      </w:r>
      <w:r>
        <w:rPr>
          <w:color w:val="231F20"/>
          <w:spacing w:val="-6"/>
          <w:w w:val="105"/>
        </w:rPr>
        <w:t> </w:t>
      </w:r>
      <w:r>
        <w:rPr>
          <w:color w:val="231F20"/>
          <w:w w:val="105"/>
        </w:rPr>
        <w:t>cuanto</w:t>
      </w:r>
      <w:r>
        <w:rPr>
          <w:color w:val="231F20"/>
          <w:spacing w:val="-6"/>
          <w:w w:val="105"/>
        </w:rPr>
        <w:t> </w:t>
      </w:r>
      <w:r>
        <w:rPr>
          <w:color w:val="231F20"/>
          <w:w w:val="105"/>
        </w:rPr>
        <w:t>a</w:t>
      </w:r>
      <w:r>
        <w:rPr>
          <w:color w:val="231F20"/>
          <w:spacing w:val="-6"/>
          <w:w w:val="105"/>
        </w:rPr>
        <w:t> </w:t>
      </w:r>
      <w:r>
        <w:rPr>
          <w:color w:val="231F20"/>
          <w:w w:val="105"/>
        </w:rPr>
        <w:t>participación</w:t>
      </w:r>
      <w:r>
        <w:rPr>
          <w:color w:val="231F20"/>
          <w:spacing w:val="-6"/>
          <w:w w:val="105"/>
        </w:rPr>
        <w:t> </w:t>
      </w:r>
      <w:r>
        <w:rPr>
          <w:color w:val="231F20"/>
          <w:w w:val="105"/>
        </w:rPr>
        <w:t>ciudadana,</w:t>
      </w:r>
      <w:r>
        <w:rPr>
          <w:color w:val="231F20"/>
          <w:spacing w:val="-6"/>
          <w:w w:val="105"/>
        </w:rPr>
        <w:t> </w:t>
      </w:r>
      <w:r>
        <w:rPr>
          <w:color w:val="231F20"/>
          <w:w w:val="105"/>
        </w:rPr>
        <w:t>el</w:t>
      </w:r>
      <w:r>
        <w:rPr>
          <w:color w:val="231F20"/>
          <w:spacing w:val="-6"/>
          <w:w w:val="105"/>
        </w:rPr>
        <w:t> </w:t>
      </w:r>
      <w:r>
        <w:rPr>
          <w:color w:val="231F20"/>
          <w:w w:val="105"/>
        </w:rPr>
        <w:t>gobierno</w:t>
      </w:r>
      <w:r>
        <w:rPr>
          <w:color w:val="231F20"/>
          <w:spacing w:val="-6"/>
          <w:w w:val="105"/>
        </w:rPr>
        <w:t> </w:t>
      </w:r>
      <w:r>
        <w:rPr>
          <w:color w:val="231F20"/>
          <w:w w:val="105"/>
        </w:rPr>
        <w:t>reportó</w:t>
      </w:r>
      <w:r>
        <w:rPr>
          <w:color w:val="231F20"/>
          <w:spacing w:val="-6"/>
          <w:w w:val="105"/>
        </w:rPr>
        <w:t> </w:t>
      </w:r>
      <w:r>
        <w:rPr>
          <w:color w:val="231F20"/>
          <w:w w:val="105"/>
        </w:rPr>
        <w:t>en</w:t>
      </w:r>
      <w:r>
        <w:rPr>
          <w:color w:val="231F20"/>
          <w:spacing w:val="-6"/>
          <w:w w:val="105"/>
        </w:rPr>
        <w:t> </w:t>
      </w:r>
      <w:r>
        <w:rPr>
          <w:color w:val="231F20"/>
          <w:w w:val="105"/>
        </w:rPr>
        <w:t>1999</w:t>
      </w:r>
      <w:r>
        <w:rPr>
          <w:color w:val="231F20"/>
          <w:spacing w:val="-6"/>
          <w:w w:val="105"/>
        </w:rPr>
        <w:t> </w:t>
      </w:r>
      <w:r>
        <w:rPr>
          <w:color w:val="231F20"/>
          <w:w w:val="105"/>
        </w:rPr>
        <w:t>la</w:t>
      </w:r>
      <w:r>
        <w:rPr>
          <w:color w:val="231F20"/>
          <w:spacing w:val="-6"/>
          <w:w w:val="105"/>
        </w:rPr>
        <w:t> </w:t>
      </w:r>
      <w:r>
        <w:rPr>
          <w:color w:val="231F20"/>
          <w:w w:val="105"/>
        </w:rPr>
        <w:t>realiza- ción de </w:t>
      </w:r>
      <w:r>
        <w:rPr>
          <w:color w:val="231F20"/>
          <w:spacing w:val="-6"/>
          <w:w w:val="105"/>
        </w:rPr>
        <w:t>170 </w:t>
      </w:r>
      <w:r>
        <w:rPr>
          <w:color w:val="231F20"/>
          <w:w w:val="105"/>
        </w:rPr>
        <w:t>asambleas comunitarias en igual número de colonias </w:t>
      </w:r>
      <w:r>
        <w:rPr>
          <w:color w:val="231F20"/>
          <w:spacing w:val="-4"/>
          <w:w w:val="105"/>
        </w:rPr>
        <w:t>(con </w:t>
      </w:r>
      <w:r>
        <w:rPr>
          <w:color w:val="231F20"/>
          <w:w w:val="105"/>
        </w:rPr>
        <w:t>la participación de un promedio de 25 ciudadanos en cada reunión); 58 comités de obra y 98 comités de obra comunitaria para las obras del ramo 33; </w:t>
      </w:r>
      <w:r>
        <w:rPr>
          <w:color w:val="231F20"/>
          <w:spacing w:val="-4"/>
          <w:w w:val="105"/>
        </w:rPr>
        <w:t>21 </w:t>
      </w:r>
      <w:r>
        <w:rPr>
          <w:color w:val="231F20"/>
          <w:w w:val="105"/>
        </w:rPr>
        <w:t>nuevos comités de becas en </w:t>
      </w:r>
      <w:r>
        <w:rPr>
          <w:color w:val="231F20"/>
          <w:spacing w:val="-4"/>
          <w:w w:val="105"/>
        </w:rPr>
        <w:t>21 </w:t>
      </w:r>
      <w:r>
        <w:rPr>
          <w:color w:val="231F20"/>
          <w:w w:val="105"/>
        </w:rPr>
        <w:t>es- cuelas </w:t>
      </w:r>
      <w:r>
        <w:rPr>
          <w:color w:val="231F20"/>
          <w:spacing w:val="-4"/>
          <w:w w:val="105"/>
        </w:rPr>
        <w:t>(que </w:t>
      </w:r>
      <w:r>
        <w:rPr>
          <w:color w:val="231F20"/>
          <w:w w:val="105"/>
        </w:rPr>
        <w:t>se sumaron a los </w:t>
      </w:r>
      <w:r>
        <w:rPr>
          <w:color w:val="231F20"/>
          <w:spacing w:val="-5"/>
          <w:w w:val="105"/>
        </w:rPr>
        <w:t>145 </w:t>
      </w:r>
      <w:r>
        <w:rPr>
          <w:color w:val="231F20"/>
          <w:w w:val="105"/>
        </w:rPr>
        <w:t>existentes) y </w:t>
      </w:r>
      <w:r>
        <w:rPr>
          <w:color w:val="231F20"/>
          <w:spacing w:val="-3"/>
          <w:w w:val="105"/>
        </w:rPr>
        <w:t>70 </w:t>
      </w:r>
      <w:r>
        <w:rPr>
          <w:color w:val="231F20"/>
          <w:w w:val="105"/>
        </w:rPr>
        <w:t>comités de salud.</w:t>
      </w:r>
      <w:r>
        <w:rPr>
          <w:color w:val="231F20"/>
          <w:w w:val="105"/>
          <w:position w:val="7"/>
          <w:sz w:val="13"/>
        </w:rPr>
        <w:t>9 </w:t>
      </w:r>
      <w:r>
        <w:rPr>
          <w:color w:val="231F20"/>
          <w:w w:val="105"/>
        </w:rPr>
        <w:t>Una participación francamente limitada, testimonial o, en el mejor de los casos, consultiva. Es necesario estudiar a </w:t>
      </w:r>
      <w:r>
        <w:rPr>
          <w:color w:val="231F20"/>
          <w:spacing w:val="-3"/>
          <w:w w:val="105"/>
        </w:rPr>
        <w:t>fondo </w:t>
      </w:r>
      <w:r>
        <w:rPr>
          <w:color w:val="231F20"/>
          <w:spacing w:val="2"/>
          <w:w w:val="105"/>
        </w:rPr>
        <w:t>tal </w:t>
      </w:r>
      <w:r>
        <w:rPr>
          <w:color w:val="231F20"/>
          <w:w w:val="105"/>
        </w:rPr>
        <w:t>participación para </w:t>
      </w:r>
      <w:r>
        <w:rPr>
          <w:color w:val="231F20"/>
          <w:spacing w:val="-5"/>
          <w:w w:val="105"/>
        </w:rPr>
        <w:t>ver, </w:t>
      </w:r>
      <w:r>
        <w:rPr>
          <w:color w:val="231F20"/>
          <w:w w:val="105"/>
        </w:rPr>
        <w:t>además, si los partidos ocupan los espacios destinados en principio para la ciudadanía, y también evaluar el grado de burocratiza- ción</w:t>
      </w:r>
      <w:r>
        <w:rPr>
          <w:color w:val="231F20"/>
          <w:spacing w:val="-13"/>
          <w:w w:val="105"/>
        </w:rPr>
        <w:t> </w:t>
      </w:r>
      <w:r>
        <w:rPr>
          <w:color w:val="231F20"/>
          <w:w w:val="105"/>
        </w:rPr>
        <w:t>que</w:t>
      </w:r>
      <w:r>
        <w:rPr>
          <w:color w:val="231F20"/>
          <w:spacing w:val="-13"/>
          <w:w w:val="105"/>
        </w:rPr>
        <w:t> </w:t>
      </w:r>
      <w:r>
        <w:rPr>
          <w:color w:val="231F20"/>
          <w:w w:val="105"/>
        </w:rPr>
        <w:t>pudiera</w:t>
      </w:r>
      <w:r>
        <w:rPr>
          <w:color w:val="231F20"/>
          <w:spacing w:val="-13"/>
          <w:w w:val="105"/>
        </w:rPr>
        <w:t> </w:t>
      </w:r>
      <w:r>
        <w:rPr>
          <w:color w:val="231F20"/>
          <w:w w:val="105"/>
        </w:rPr>
        <w:t>existir</w:t>
      </w:r>
      <w:r>
        <w:rPr>
          <w:color w:val="231F20"/>
          <w:spacing w:val="-13"/>
          <w:w w:val="105"/>
        </w:rPr>
        <w:t> </w:t>
      </w:r>
      <w:r>
        <w:rPr>
          <w:color w:val="231F20"/>
          <w:spacing w:val="-4"/>
          <w:w w:val="105"/>
        </w:rPr>
        <w:t>(es</w:t>
      </w:r>
      <w:r>
        <w:rPr>
          <w:color w:val="231F20"/>
          <w:spacing w:val="-13"/>
          <w:w w:val="105"/>
        </w:rPr>
        <w:t> </w:t>
      </w:r>
      <w:r>
        <w:rPr>
          <w:color w:val="231F20"/>
          <w:w w:val="105"/>
        </w:rPr>
        <w:t>decir,</w:t>
      </w:r>
      <w:r>
        <w:rPr>
          <w:color w:val="231F20"/>
          <w:spacing w:val="-13"/>
          <w:w w:val="105"/>
        </w:rPr>
        <w:t> </w:t>
      </w:r>
      <w:r>
        <w:rPr>
          <w:color w:val="231F20"/>
          <w:w w:val="105"/>
        </w:rPr>
        <w:t>una</w:t>
      </w:r>
      <w:r>
        <w:rPr>
          <w:color w:val="231F20"/>
          <w:spacing w:val="-13"/>
          <w:w w:val="105"/>
        </w:rPr>
        <w:t> </w:t>
      </w:r>
      <w:r>
        <w:rPr>
          <w:color w:val="231F20"/>
          <w:w w:val="105"/>
        </w:rPr>
        <w:t>participación</w:t>
      </w:r>
      <w:r>
        <w:rPr>
          <w:color w:val="231F20"/>
          <w:spacing w:val="-13"/>
          <w:w w:val="105"/>
        </w:rPr>
        <w:t> </w:t>
      </w:r>
      <w:r>
        <w:rPr>
          <w:color w:val="231F20"/>
          <w:w w:val="105"/>
        </w:rPr>
        <w:t>rutinaria,</w:t>
      </w:r>
      <w:r>
        <w:rPr>
          <w:color w:val="231F20"/>
          <w:spacing w:val="-13"/>
          <w:w w:val="105"/>
        </w:rPr>
        <w:t> </w:t>
      </w:r>
      <w:r>
        <w:rPr>
          <w:color w:val="231F20"/>
          <w:w w:val="105"/>
        </w:rPr>
        <w:t>escasa,</w:t>
      </w:r>
      <w:r>
        <w:rPr>
          <w:color w:val="231F20"/>
          <w:spacing w:val="-13"/>
          <w:w w:val="105"/>
        </w:rPr>
        <w:t> </w:t>
      </w:r>
      <w:r>
        <w:rPr>
          <w:color w:val="231F20"/>
          <w:w w:val="105"/>
        </w:rPr>
        <w:t>sin</w:t>
      </w:r>
      <w:r>
        <w:rPr>
          <w:color w:val="231F20"/>
          <w:spacing w:val="-13"/>
          <w:w w:val="105"/>
        </w:rPr>
        <w:t> </w:t>
      </w:r>
      <w:r>
        <w:rPr>
          <w:color w:val="231F20"/>
          <w:w w:val="105"/>
        </w:rPr>
        <w:t>consecuencias en</w:t>
      </w:r>
      <w:r>
        <w:rPr>
          <w:color w:val="231F20"/>
          <w:spacing w:val="-20"/>
          <w:w w:val="105"/>
        </w:rPr>
        <w:t> </w:t>
      </w:r>
      <w:r>
        <w:rPr>
          <w:color w:val="231F20"/>
          <w:w w:val="105"/>
        </w:rPr>
        <w:t>el</w:t>
      </w:r>
      <w:r>
        <w:rPr>
          <w:color w:val="231F20"/>
          <w:spacing w:val="-20"/>
          <w:w w:val="105"/>
        </w:rPr>
        <w:t> </w:t>
      </w:r>
      <w:r>
        <w:rPr>
          <w:color w:val="231F20"/>
          <w:w w:val="105"/>
        </w:rPr>
        <w:t>quehacer</w:t>
      </w:r>
      <w:r>
        <w:rPr>
          <w:color w:val="231F20"/>
          <w:spacing w:val="-20"/>
          <w:w w:val="105"/>
        </w:rPr>
        <w:t> </w:t>
      </w:r>
      <w:r>
        <w:rPr>
          <w:color w:val="231F20"/>
          <w:w w:val="105"/>
        </w:rPr>
        <w:t>gubernamental).</w:t>
      </w:r>
      <w:r>
        <w:rPr>
          <w:color w:val="231F20"/>
          <w:spacing w:val="-20"/>
          <w:w w:val="105"/>
        </w:rPr>
        <w:t> </w:t>
      </w:r>
      <w:r>
        <w:rPr>
          <w:color w:val="231F20"/>
          <w:w w:val="105"/>
        </w:rPr>
        <w:t>La</w:t>
      </w:r>
      <w:r>
        <w:rPr>
          <w:color w:val="231F20"/>
          <w:spacing w:val="-20"/>
          <w:w w:val="105"/>
        </w:rPr>
        <w:t> </w:t>
      </w:r>
      <w:r>
        <w:rPr>
          <w:color w:val="231F20"/>
          <w:w w:val="105"/>
        </w:rPr>
        <w:t>participación</w:t>
      </w:r>
      <w:r>
        <w:rPr>
          <w:color w:val="231F20"/>
          <w:spacing w:val="-20"/>
          <w:w w:val="105"/>
        </w:rPr>
        <w:t> </w:t>
      </w:r>
      <w:r>
        <w:rPr>
          <w:color w:val="231F20"/>
          <w:w w:val="105"/>
        </w:rPr>
        <w:t>es</w:t>
      </w:r>
      <w:r>
        <w:rPr>
          <w:color w:val="231F20"/>
          <w:spacing w:val="-20"/>
          <w:w w:val="105"/>
        </w:rPr>
        <w:t> </w:t>
      </w:r>
      <w:r>
        <w:rPr>
          <w:color w:val="231F20"/>
          <w:w w:val="105"/>
        </w:rPr>
        <w:t>una</w:t>
      </w:r>
      <w:r>
        <w:rPr>
          <w:color w:val="231F20"/>
          <w:spacing w:val="-20"/>
          <w:w w:val="105"/>
        </w:rPr>
        <w:t> </w:t>
      </w:r>
      <w:r>
        <w:rPr>
          <w:color w:val="231F20"/>
          <w:w w:val="105"/>
        </w:rPr>
        <w:t>asignatura</w:t>
      </w:r>
      <w:r>
        <w:rPr>
          <w:color w:val="231F20"/>
          <w:spacing w:val="-20"/>
          <w:w w:val="105"/>
        </w:rPr>
        <w:t> </w:t>
      </w:r>
      <w:r>
        <w:rPr>
          <w:color w:val="231F20"/>
          <w:w w:val="105"/>
        </w:rPr>
        <w:t>pendiente,</w:t>
      </w:r>
      <w:r>
        <w:rPr>
          <w:color w:val="231F20"/>
          <w:spacing w:val="-20"/>
          <w:w w:val="105"/>
        </w:rPr>
        <w:t> </w:t>
      </w:r>
      <w:r>
        <w:rPr>
          <w:color w:val="231F20"/>
          <w:w w:val="105"/>
        </w:rPr>
        <w:t>no</w:t>
      </w:r>
      <w:r>
        <w:rPr>
          <w:color w:val="231F20"/>
          <w:spacing w:val="-20"/>
          <w:w w:val="105"/>
        </w:rPr>
        <w:t> </w:t>
      </w:r>
      <w:r>
        <w:rPr>
          <w:color w:val="231F20"/>
          <w:w w:val="105"/>
        </w:rPr>
        <w:t>sólo</w:t>
      </w:r>
      <w:r>
        <w:rPr>
          <w:color w:val="231F20"/>
          <w:spacing w:val="-20"/>
          <w:w w:val="105"/>
        </w:rPr>
        <w:t> </w:t>
      </w:r>
      <w:r>
        <w:rPr>
          <w:color w:val="231F20"/>
          <w:w w:val="105"/>
        </w:rPr>
        <w:t>en el</w:t>
      </w:r>
      <w:r>
        <w:rPr>
          <w:color w:val="231F20"/>
          <w:spacing w:val="-13"/>
          <w:w w:val="105"/>
        </w:rPr>
        <w:t> </w:t>
      </w:r>
      <w:r>
        <w:rPr>
          <w:color w:val="231F20"/>
          <w:w w:val="105"/>
        </w:rPr>
        <w:t>caso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gobiernos</w:t>
      </w:r>
      <w:r>
        <w:rPr>
          <w:color w:val="231F20"/>
          <w:spacing w:val="-13"/>
          <w:w w:val="105"/>
        </w:rPr>
        <w:t> </w:t>
      </w:r>
      <w:r>
        <w:rPr>
          <w:color w:val="231F20"/>
          <w:w w:val="105"/>
        </w:rPr>
        <w:t>panistas</w:t>
      </w:r>
      <w:r>
        <w:rPr>
          <w:color w:val="231F20"/>
          <w:spacing w:val="-13"/>
          <w:w w:val="105"/>
        </w:rPr>
        <w:t> </w:t>
      </w:r>
      <w:r>
        <w:rPr>
          <w:color w:val="231F20"/>
          <w:w w:val="105"/>
        </w:rPr>
        <w:t>sino</w:t>
      </w:r>
      <w:r>
        <w:rPr>
          <w:color w:val="231F20"/>
          <w:spacing w:val="-13"/>
          <w:w w:val="105"/>
        </w:rPr>
        <w:t> </w:t>
      </w:r>
      <w:r>
        <w:rPr>
          <w:color w:val="231F20"/>
          <w:w w:val="105"/>
        </w:rPr>
        <w:t>de</w:t>
      </w:r>
      <w:r>
        <w:rPr>
          <w:color w:val="231F20"/>
          <w:spacing w:val="-13"/>
          <w:w w:val="105"/>
        </w:rPr>
        <w:t> </w:t>
      </w:r>
      <w:r>
        <w:rPr>
          <w:color w:val="231F20"/>
          <w:w w:val="105"/>
        </w:rPr>
        <w:t>todos</w:t>
      </w:r>
      <w:r>
        <w:rPr>
          <w:color w:val="231F20"/>
          <w:spacing w:val="-13"/>
          <w:w w:val="105"/>
        </w:rPr>
        <w:t> </w:t>
      </w:r>
      <w:r>
        <w:rPr>
          <w:color w:val="231F20"/>
          <w:w w:val="105"/>
        </w:rPr>
        <w:t>en</w:t>
      </w:r>
      <w:r>
        <w:rPr>
          <w:color w:val="231F20"/>
          <w:spacing w:val="-13"/>
          <w:w w:val="105"/>
        </w:rPr>
        <w:t> </w:t>
      </w:r>
      <w:r>
        <w:rPr>
          <w:color w:val="231F20"/>
          <w:w w:val="105"/>
        </w:rPr>
        <w:t>general.</w:t>
      </w:r>
    </w:p>
    <w:p>
      <w:pPr>
        <w:pStyle w:val="BodyText"/>
        <w:spacing w:before="1"/>
        <w:rPr>
          <w:sz w:val="26"/>
        </w:rPr>
      </w:pPr>
    </w:p>
    <w:p>
      <w:pPr>
        <w:pStyle w:val="BodyText"/>
        <w:spacing w:line="285" w:lineRule="auto"/>
        <w:ind w:left="110" w:right="107"/>
        <w:jc w:val="both"/>
      </w:pPr>
      <w:r>
        <w:rPr>
          <w:color w:val="231F20"/>
          <w:w w:val="105"/>
        </w:rPr>
        <w:t>En materia de información y transparencia, el gobierno panista reportó todas las ac- ciones de comunicación realizadas, tales como boletines de prensa, conferencias, </w:t>
      </w:r>
      <w:r>
        <w:rPr>
          <w:color w:val="231F20"/>
          <w:spacing w:val="-2"/>
          <w:w w:val="105"/>
        </w:rPr>
        <w:t>en- </w:t>
      </w:r>
      <w:r>
        <w:rPr>
          <w:color w:val="231F20"/>
          <w:w w:val="105"/>
        </w:rPr>
        <w:t>trevistas,</w:t>
      </w:r>
      <w:r>
        <w:rPr>
          <w:color w:val="231F20"/>
          <w:spacing w:val="-10"/>
          <w:w w:val="105"/>
        </w:rPr>
        <w:t> </w:t>
      </w:r>
      <w:r>
        <w:rPr>
          <w:color w:val="231F20"/>
          <w:w w:val="105"/>
        </w:rPr>
        <w:t>spots</w:t>
      </w:r>
      <w:r>
        <w:rPr>
          <w:color w:val="231F20"/>
          <w:spacing w:val="-10"/>
          <w:w w:val="105"/>
        </w:rPr>
        <w:t> </w:t>
      </w:r>
      <w:r>
        <w:rPr>
          <w:color w:val="231F20"/>
          <w:w w:val="105"/>
        </w:rPr>
        <w:t>en</w:t>
      </w:r>
      <w:r>
        <w:rPr>
          <w:color w:val="231F20"/>
          <w:spacing w:val="-10"/>
          <w:w w:val="105"/>
        </w:rPr>
        <w:t> </w:t>
      </w:r>
      <w:r>
        <w:rPr>
          <w:color w:val="231F20"/>
          <w:w w:val="105"/>
        </w:rPr>
        <w:t>radio</w:t>
      </w:r>
      <w:r>
        <w:rPr>
          <w:color w:val="231F20"/>
          <w:spacing w:val="-10"/>
          <w:w w:val="105"/>
        </w:rPr>
        <w:t> </w:t>
      </w:r>
      <w:r>
        <w:rPr>
          <w:color w:val="231F20"/>
          <w:w w:val="105"/>
        </w:rPr>
        <w:t>y</w:t>
      </w:r>
      <w:r>
        <w:rPr>
          <w:color w:val="231F20"/>
          <w:spacing w:val="-10"/>
          <w:w w:val="105"/>
        </w:rPr>
        <w:t> </w:t>
      </w:r>
      <w:r>
        <w:rPr>
          <w:color w:val="231F20"/>
          <w:w w:val="105"/>
        </w:rPr>
        <w:t>televisión,</w:t>
      </w:r>
      <w:r>
        <w:rPr>
          <w:color w:val="231F20"/>
          <w:spacing w:val="-10"/>
          <w:w w:val="105"/>
        </w:rPr>
        <w:t> </w:t>
      </w:r>
      <w:r>
        <w:rPr>
          <w:color w:val="231F20"/>
          <w:w w:val="105"/>
        </w:rPr>
        <w:t>etc.</w:t>
      </w:r>
      <w:r>
        <w:rPr>
          <w:color w:val="231F20"/>
          <w:spacing w:val="-10"/>
          <w:w w:val="105"/>
        </w:rPr>
        <w:t> </w:t>
      </w:r>
      <w:r>
        <w:rPr>
          <w:color w:val="231F20"/>
          <w:w w:val="105"/>
        </w:rPr>
        <w:t>Destacó</w:t>
      </w:r>
      <w:r>
        <w:rPr>
          <w:color w:val="231F20"/>
          <w:spacing w:val="-10"/>
          <w:w w:val="105"/>
        </w:rPr>
        <w:t> </w:t>
      </w:r>
      <w:r>
        <w:rPr>
          <w:color w:val="231F20"/>
          <w:w w:val="105"/>
        </w:rPr>
        <w:t>la</w:t>
      </w:r>
      <w:r>
        <w:rPr>
          <w:color w:val="231F20"/>
          <w:spacing w:val="-10"/>
          <w:w w:val="105"/>
        </w:rPr>
        <w:t> </w:t>
      </w:r>
      <w:r>
        <w:rPr>
          <w:color w:val="231F20"/>
          <w:w w:val="105"/>
        </w:rPr>
        <w:t>publicación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gaceta</w:t>
      </w:r>
      <w:r>
        <w:rPr>
          <w:color w:val="231F20"/>
          <w:spacing w:val="-10"/>
          <w:w w:val="105"/>
        </w:rPr>
        <w:t> </w:t>
      </w:r>
      <w:r>
        <w:rPr>
          <w:color w:val="231F20"/>
          <w:w w:val="105"/>
        </w:rPr>
        <w:t>municipal con una periodicidad más frecuente. No obstante, da la impresión que el contenido de todos estos recursos de comunicación no era sustancioso, ni reflejaba necesariamente una</w:t>
      </w:r>
      <w:r>
        <w:rPr>
          <w:color w:val="231F20"/>
          <w:spacing w:val="-18"/>
          <w:w w:val="105"/>
        </w:rPr>
        <w:t> </w:t>
      </w:r>
      <w:r>
        <w:rPr>
          <w:color w:val="231F20"/>
          <w:w w:val="105"/>
        </w:rPr>
        <w:t>cabal</w:t>
      </w:r>
      <w:r>
        <w:rPr>
          <w:color w:val="231F20"/>
          <w:spacing w:val="-18"/>
          <w:w w:val="105"/>
        </w:rPr>
        <w:t> </w:t>
      </w:r>
      <w:r>
        <w:rPr>
          <w:color w:val="231F20"/>
          <w:w w:val="105"/>
        </w:rPr>
        <w:t>rendición</w:t>
      </w:r>
      <w:r>
        <w:rPr>
          <w:color w:val="231F20"/>
          <w:spacing w:val="-18"/>
          <w:w w:val="105"/>
        </w:rPr>
        <w:t> </w:t>
      </w:r>
      <w:r>
        <w:rPr>
          <w:color w:val="231F20"/>
          <w:w w:val="105"/>
        </w:rPr>
        <w:t>de</w:t>
      </w:r>
      <w:r>
        <w:rPr>
          <w:color w:val="231F20"/>
          <w:spacing w:val="-18"/>
          <w:w w:val="105"/>
        </w:rPr>
        <w:t> </w:t>
      </w:r>
      <w:r>
        <w:rPr>
          <w:color w:val="231F20"/>
          <w:w w:val="105"/>
        </w:rPr>
        <w:t>cuentas.</w:t>
      </w:r>
      <w:r>
        <w:rPr>
          <w:color w:val="231F20"/>
          <w:spacing w:val="-18"/>
          <w:w w:val="105"/>
        </w:rPr>
        <w:t> </w:t>
      </w:r>
      <w:r>
        <w:rPr>
          <w:color w:val="231F20"/>
          <w:spacing w:val="3"/>
          <w:w w:val="105"/>
        </w:rPr>
        <w:t>Al</w:t>
      </w:r>
      <w:r>
        <w:rPr>
          <w:color w:val="231F20"/>
          <w:spacing w:val="-18"/>
          <w:w w:val="105"/>
        </w:rPr>
        <w:t> </w:t>
      </w:r>
      <w:r>
        <w:rPr>
          <w:color w:val="231F20"/>
          <w:w w:val="105"/>
        </w:rPr>
        <w:t>parecer</w:t>
      </w:r>
      <w:r>
        <w:rPr>
          <w:color w:val="231F20"/>
          <w:spacing w:val="-18"/>
          <w:w w:val="105"/>
        </w:rPr>
        <w:t> </w:t>
      </w:r>
      <w:r>
        <w:rPr>
          <w:color w:val="231F20"/>
          <w:w w:val="105"/>
        </w:rPr>
        <w:t>se</w:t>
      </w:r>
      <w:r>
        <w:rPr>
          <w:color w:val="231F20"/>
          <w:spacing w:val="-18"/>
          <w:w w:val="105"/>
        </w:rPr>
        <w:t> </w:t>
      </w:r>
      <w:r>
        <w:rPr>
          <w:color w:val="231F20"/>
          <w:w w:val="105"/>
        </w:rPr>
        <w:t>trataba</w:t>
      </w:r>
      <w:r>
        <w:rPr>
          <w:color w:val="231F20"/>
          <w:spacing w:val="-18"/>
          <w:w w:val="105"/>
        </w:rPr>
        <w:t> </w:t>
      </w:r>
      <w:r>
        <w:rPr>
          <w:color w:val="231F20"/>
          <w:w w:val="105"/>
        </w:rPr>
        <w:t>de</w:t>
      </w:r>
      <w:r>
        <w:rPr>
          <w:color w:val="231F20"/>
          <w:spacing w:val="-18"/>
          <w:w w:val="105"/>
        </w:rPr>
        <w:t> </w:t>
      </w:r>
      <w:r>
        <w:rPr>
          <w:color w:val="231F20"/>
          <w:w w:val="105"/>
        </w:rPr>
        <w:t>informar</w:t>
      </w:r>
      <w:r>
        <w:rPr>
          <w:color w:val="231F20"/>
          <w:spacing w:val="-18"/>
          <w:w w:val="105"/>
        </w:rPr>
        <w:t> </w:t>
      </w:r>
      <w:r>
        <w:rPr>
          <w:color w:val="231F20"/>
          <w:w w:val="105"/>
        </w:rPr>
        <w:t>de</w:t>
      </w:r>
      <w:r>
        <w:rPr>
          <w:color w:val="231F20"/>
          <w:spacing w:val="-18"/>
          <w:w w:val="105"/>
        </w:rPr>
        <w:t> </w:t>
      </w:r>
      <w:r>
        <w:rPr>
          <w:color w:val="231F20"/>
          <w:w w:val="105"/>
        </w:rPr>
        <w:t>acciones,</w:t>
      </w:r>
      <w:r>
        <w:rPr>
          <w:color w:val="231F20"/>
          <w:spacing w:val="-18"/>
          <w:w w:val="105"/>
        </w:rPr>
        <w:t> </w:t>
      </w:r>
      <w:r>
        <w:rPr>
          <w:color w:val="231F20"/>
          <w:w w:val="105"/>
        </w:rPr>
        <w:t>publicitar obras,</w:t>
      </w:r>
      <w:r>
        <w:rPr>
          <w:color w:val="231F20"/>
          <w:spacing w:val="-8"/>
          <w:w w:val="105"/>
        </w:rPr>
        <w:t> </w:t>
      </w:r>
      <w:r>
        <w:rPr>
          <w:color w:val="231F20"/>
          <w:w w:val="105"/>
        </w:rPr>
        <w:t>sin</w:t>
      </w:r>
      <w:r>
        <w:rPr>
          <w:color w:val="231F20"/>
          <w:spacing w:val="-8"/>
          <w:w w:val="105"/>
        </w:rPr>
        <w:t> </w:t>
      </w:r>
      <w:r>
        <w:rPr>
          <w:color w:val="231F20"/>
          <w:w w:val="105"/>
        </w:rPr>
        <w:t>dar</w:t>
      </w:r>
      <w:r>
        <w:rPr>
          <w:color w:val="231F20"/>
          <w:spacing w:val="-8"/>
          <w:w w:val="105"/>
        </w:rPr>
        <w:t> </w:t>
      </w:r>
      <w:r>
        <w:rPr>
          <w:color w:val="231F20"/>
          <w:w w:val="105"/>
        </w:rPr>
        <w:t>a</w:t>
      </w:r>
      <w:r>
        <w:rPr>
          <w:color w:val="231F20"/>
          <w:spacing w:val="-8"/>
          <w:w w:val="105"/>
        </w:rPr>
        <w:t> </w:t>
      </w:r>
      <w:r>
        <w:rPr>
          <w:color w:val="231F20"/>
          <w:w w:val="105"/>
        </w:rPr>
        <w:t>conocer</w:t>
      </w:r>
      <w:r>
        <w:rPr>
          <w:color w:val="231F20"/>
          <w:spacing w:val="-8"/>
          <w:w w:val="105"/>
        </w:rPr>
        <w:t> </w:t>
      </w:r>
      <w:r>
        <w:rPr>
          <w:color w:val="231F20"/>
          <w:w w:val="105"/>
        </w:rPr>
        <w:t>criterios</w:t>
      </w:r>
      <w:r>
        <w:rPr>
          <w:color w:val="231F20"/>
          <w:spacing w:val="-8"/>
          <w:w w:val="105"/>
        </w:rPr>
        <w:t> </w:t>
      </w:r>
      <w:r>
        <w:rPr>
          <w:color w:val="231F20"/>
          <w:w w:val="105"/>
        </w:rPr>
        <w:t>para</w:t>
      </w:r>
      <w:r>
        <w:rPr>
          <w:color w:val="231F20"/>
          <w:spacing w:val="-8"/>
          <w:w w:val="105"/>
        </w:rPr>
        <w:t> </w:t>
      </w:r>
      <w:r>
        <w:rPr>
          <w:color w:val="231F20"/>
          <w:w w:val="105"/>
        </w:rPr>
        <w:t>la</w:t>
      </w:r>
      <w:r>
        <w:rPr>
          <w:color w:val="231F20"/>
          <w:spacing w:val="-8"/>
          <w:w w:val="105"/>
        </w:rPr>
        <w:t> </w:t>
      </w:r>
      <w:r>
        <w:rPr>
          <w:color w:val="231F20"/>
          <w:w w:val="105"/>
        </w:rPr>
        <w:t>toma</w:t>
      </w:r>
      <w:r>
        <w:rPr>
          <w:color w:val="231F20"/>
          <w:spacing w:val="-8"/>
          <w:w w:val="105"/>
        </w:rPr>
        <w:t> </w:t>
      </w:r>
      <w:r>
        <w:rPr>
          <w:color w:val="231F20"/>
          <w:w w:val="105"/>
        </w:rPr>
        <w:t>decisiones,</w:t>
      </w:r>
      <w:r>
        <w:rPr>
          <w:color w:val="231F20"/>
          <w:spacing w:val="-8"/>
          <w:w w:val="105"/>
        </w:rPr>
        <w:t> </w:t>
      </w:r>
      <w:r>
        <w:rPr>
          <w:color w:val="231F20"/>
          <w:w w:val="105"/>
        </w:rPr>
        <w:t>licitaciones,</w:t>
      </w:r>
      <w:r>
        <w:rPr>
          <w:color w:val="231F20"/>
          <w:spacing w:val="-8"/>
          <w:w w:val="105"/>
        </w:rPr>
        <w:t> </w:t>
      </w:r>
      <w:r>
        <w:rPr>
          <w:color w:val="231F20"/>
          <w:w w:val="105"/>
        </w:rPr>
        <w:t>recursos</w:t>
      </w:r>
      <w:r>
        <w:rPr>
          <w:color w:val="231F20"/>
          <w:spacing w:val="-8"/>
          <w:w w:val="105"/>
        </w:rPr>
        <w:t> </w:t>
      </w:r>
      <w:r>
        <w:rPr>
          <w:color w:val="231F20"/>
          <w:w w:val="105"/>
        </w:rPr>
        <w:t>utiliza- dos,</w:t>
      </w:r>
      <w:r>
        <w:rPr>
          <w:color w:val="231F20"/>
          <w:spacing w:val="-18"/>
          <w:w w:val="105"/>
        </w:rPr>
        <w:t> </w:t>
      </w:r>
      <w:r>
        <w:rPr>
          <w:color w:val="231F20"/>
          <w:w w:val="105"/>
        </w:rPr>
        <w:t>compromisos</w:t>
      </w:r>
      <w:r>
        <w:rPr>
          <w:color w:val="231F20"/>
          <w:spacing w:val="-18"/>
          <w:w w:val="105"/>
        </w:rPr>
        <w:t> </w:t>
      </w:r>
      <w:r>
        <w:rPr>
          <w:color w:val="231F20"/>
          <w:w w:val="105"/>
        </w:rPr>
        <w:t>adquiridos,</w:t>
      </w:r>
      <w:r>
        <w:rPr>
          <w:color w:val="231F20"/>
          <w:spacing w:val="-18"/>
          <w:w w:val="105"/>
        </w:rPr>
        <w:t> </w:t>
      </w:r>
      <w:r>
        <w:rPr>
          <w:color w:val="231F20"/>
          <w:w w:val="105"/>
        </w:rPr>
        <w:t>beneficios</w:t>
      </w:r>
      <w:r>
        <w:rPr>
          <w:color w:val="231F20"/>
          <w:spacing w:val="-18"/>
          <w:w w:val="105"/>
        </w:rPr>
        <w:t> </w:t>
      </w:r>
      <w:r>
        <w:rPr>
          <w:color w:val="231F20"/>
          <w:w w:val="105"/>
        </w:rPr>
        <w:t>de</w:t>
      </w:r>
      <w:r>
        <w:rPr>
          <w:color w:val="231F20"/>
          <w:spacing w:val="-18"/>
          <w:w w:val="105"/>
        </w:rPr>
        <w:t> </w:t>
      </w:r>
      <w:r>
        <w:rPr>
          <w:color w:val="231F20"/>
          <w:w w:val="105"/>
        </w:rPr>
        <w:t>particulares,</w:t>
      </w:r>
      <w:r>
        <w:rPr>
          <w:color w:val="231F20"/>
          <w:spacing w:val="-18"/>
          <w:w w:val="105"/>
        </w:rPr>
        <w:t> </w:t>
      </w:r>
      <w:r>
        <w:rPr>
          <w:color w:val="231F20"/>
          <w:w w:val="105"/>
        </w:rPr>
        <w:t>etc.</w:t>
      </w:r>
      <w:r>
        <w:rPr>
          <w:color w:val="231F20"/>
          <w:spacing w:val="-18"/>
          <w:w w:val="105"/>
        </w:rPr>
        <w:t> </w:t>
      </w:r>
      <w:r>
        <w:rPr>
          <w:color w:val="231F20"/>
          <w:spacing w:val="-3"/>
          <w:w w:val="105"/>
        </w:rPr>
        <w:t>Mucho</w:t>
      </w:r>
      <w:r>
        <w:rPr>
          <w:color w:val="231F20"/>
          <w:spacing w:val="-18"/>
          <w:w w:val="105"/>
        </w:rPr>
        <w:t> </w:t>
      </w:r>
      <w:r>
        <w:rPr>
          <w:color w:val="231F20"/>
          <w:w w:val="105"/>
        </w:rPr>
        <w:t>menos</w:t>
      </w:r>
      <w:r>
        <w:rPr>
          <w:color w:val="231F20"/>
          <w:spacing w:val="-18"/>
          <w:w w:val="105"/>
        </w:rPr>
        <w:t> </w:t>
      </w:r>
      <w:r>
        <w:rPr>
          <w:color w:val="231F20"/>
          <w:w w:val="105"/>
        </w:rPr>
        <w:t>la</w:t>
      </w:r>
      <w:r>
        <w:rPr>
          <w:color w:val="231F20"/>
          <w:spacing w:val="-18"/>
          <w:w w:val="105"/>
        </w:rPr>
        <w:t> </w:t>
      </w:r>
      <w:r>
        <w:rPr>
          <w:color w:val="231F20"/>
          <w:w w:val="105"/>
        </w:rPr>
        <w:t>informa- ción</w:t>
      </w:r>
      <w:r>
        <w:rPr>
          <w:color w:val="231F20"/>
          <w:spacing w:val="-8"/>
          <w:w w:val="105"/>
        </w:rPr>
        <w:t> </w:t>
      </w:r>
      <w:r>
        <w:rPr>
          <w:color w:val="231F20"/>
          <w:w w:val="105"/>
        </w:rPr>
        <w:t>abría</w:t>
      </w:r>
      <w:r>
        <w:rPr>
          <w:color w:val="231F20"/>
          <w:spacing w:val="-8"/>
          <w:w w:val="105"/>
        </w:rPr>
        <w:t> </w:t>
      </w:r>
      <w:r>
        <w:rPr>
          <w:color w:val="231F20"/>
          <w:w w:val="105"/>
        </w:rPr>
        <w:t>la</w:t>
      </w:r>
      <w:r>
        <w:rPr>
          <w:color w:val="231F20"/>
          <w:spacing w:val="-8"/>
          <w:w w:val="105"/>
        </w:rPr>
        <w:t> </w:t>
      </w:r>
      <w:r>
        <w:rPr>
          <w:color w:val="231F20"/>
          <w:w w:val="105"/>
        </w:rPr>
        <w:t>puerta</w:t>
      </w:r>
      <w:r>
        <w:rPr>
          <w:color w:val="231F20"/>
          <w:spacing w:val="-8"/>
          <w:w w:val="105"/>
        </w:rPr>
        <w:t> </w:t>
      </w:r>
      <w:r>
        <w:rPr>
          <w:color w:val="231F20"/>
          <w:w w:val="105"/>
        </w:rPr>
        <w:t>para</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ciudadanos</w:t>
      </w:r>
      <w:r>
        <w:rPr>
          <w:color w:val="231F20"/>
          <w:spacing w:val="-8"/>
          <w:w w:val="105"/>
        </w:rPr>
        <w:t> </w:t>
      </w:r>
      <w:r>
        <w:rPr>
          <w:color w:val="231F20"/>
          <w:w w:val="105"/>
        </w:rPr>
        <w:t>formaran</w:t>
      </w:r>
      <w:r>
        <w:rPr>
          <w:color w:val="231F20"/>
          <w:spacing w:val="-8"/>
          <w:w w:val="105"/>
        </w:rPr>
        <w:t> </w:t>
      </w:r>
      <w:r>
        <w:rPr>
          <w:color w:val="231F20"/>
          <w:w w:val="105"/>
        </w:rPr>
        <w:t>parte</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toma</w:t>
      </w:r>
      <w:r>
        <w:rPr>
          <w:color w:val="231F20"/>
          <w:spacing w:val="-8"/>
          <w:w w:val="105"/>
        </w:rPr>
        <w:t> </w:t>
      </w:r>
      <w:r>
        <w:rPr>
          <w:color w:val="231F20"/>
          <w:w w:val="105"/>
        </w:rPr>
        <w:t>de</w:t>
      </w:r>
      <w:r>
        <w:rPr>
          <w:color w:val="231F20"/>
          <w:spacing w:val="-8"/>
          <w:w w:val="105"/>
        </w:rPr>
        <w:t> </w:t>
      </w:r>
      <w:r>
        <w:rPr>
          <w:color w:val="231F20"/>
          <w:w w:val="105"/>
        </w:rPr>
        <w:t>decisiones.</w:t>
      </w:r>
    </w:p>
    <w:p>
      <w:pPr>
        <w:pStyle w:val="BodyText"/>
        <w:spacing w:before="1"/>
        <w:rPr>
          <w:sz w:val="26"/>
        </w:rPr>
      </w:pPr>
    </w:p>
    <w:p>
      <w:pPr>
        <w:pStyle w:val="BodyText"/>
        <w:spacing w:line="285" w:lineRule="auto"/>
        <w:ind w:left="110" w:right="108"/>
        <w:jc w:val="both"/>
      </w:pPr>
      <w:r>
        <w:rPr>
          <w:color w:val="231F20"/>
          <w:w w:val="105"/>
        </w:rPr>
        <w:t>Finalmente</w:t>
      </w:r>
      <w:r>
        <w:rPr>
          <w:color w:val="231F20"/>
          <w:spacing w:val="-15"/>
          <w:w w:val="105"/>
        </w:rPr>
        <w:t> </w:t>
      </w:r>
      <w:r>
        <w:rPr>
          <w:color w:val="231F20"/>
          <w:w w:val="105"/>
        </w:rPr>
        <w:t>los</w:t>
      </w:r>
      <w:r>
        <w:rPr>
          <w:color w:val="231F20"/>
          <w:spacing w:val="-15"/>
          <w:w w:val="105"/>
        </w:rPr>
        <w:t> </w:t>
      </w:r>
      <w:r>
        <w:rPr>
          <w:color w:val="231F20"/>
          <w:w w:val="105"/>
        </w:rPr>
        <w:t>rubros</w:t>
      </w:r>
      <w:r>
        <w:rPr>
          <w:color w:val="231F20"/>
          <w:spacing w:val="-15"/>
          <w:w w:val="105"/>
        </w:rPr>
        <w:t> </w:t>
      </w:r>
      <w:r>
        <w:rPr>
          <w:color w:val="231F20"/>
          <w:w w:val="105"/>
        </w:rPr>
        <w:t>educativo</w:t>
      </w:r>
      <w:r>
        <w:rPr>
          <w:color w:val="231F20"/>
          <w:spacing w:val="-15"/>
          <w:w w:val="105"/>
        </w:rPr>
        <w:t> </w:t>
      </w:r>
      <w:r>
        <w:rPr>
          <w:color w:val="231F20"/>
          <w:w w:val="105"/>
        </w:rPr>
        <w:t>y</w:t>
      </w:r>
      <w:r>
        <w:rPr>
          <w:color w:val="231F20"/>
          <w:spacing w:val="-15"/>
          <w:w w:val="105"/>
        </w:rPr>
        <w:t> </w:t>
      </w:r>
      <w:r>
        <w:rPr>
          <w:color w:val="231F20"/>
          <w:w w:val="105"/>
        </w:rPr>
        <w:t>de</w:t>
      </w:r>
      <w:r>
        <w:rPr>
          <w:color w:val="231F20"/>
          <w:spacing w:val="-15"/>
          <w:w w:val="105"/>
        </w:rPr>
        <w:t> </w:t>
      </w:r>
      <w:r>
        <w:rPr>
          <w:color w:val="231F20"/>
          <w:w w:val="105"/>
        </w:rPr>
        <w:t>cultura</w:t>
      </w:r>
      <w:r>
        <w:rPr>
          <w:color w:val="231F20"/>
          <w:spacing w:val="-15"/>
          <w:w w:val="105"/>
        </w:rPr>
        <w:t> </w:t>
      </w:r>
      <w:r>
        <w:rPr>
          <w:color w:val="231F20"/>
          <w:w w:val="105"/>
        </w:rPr>
        <w:t>estuvieron</w:t>
      </w:r>
      <w:r>
        <w:rPr>
          <w:color w:val="231F20"/>
          <w:spacing w:val="-15"/>
          <w:w w:val="105"/>
        </w:rPr>
        <w:t> </w:t>
      </w:r>
      <w:r>
        <w:rPr>
          <w:color w:val="231F20"/>
          <w:w w:val="105"/>
        </w:rPr>
        <w:t>a</w:t>
      </w:r>
      <w:r>
        <w:rPr>
          <w:color w:val="231F20"/>
          <w:spacing w:val="-15"/>
          <w:w w:val="105"/>
        </w:rPr>
        <w:t> </w:t>
      </w:r>
      <w:r>
        <w:rPr>
          <w:color w:val="231F20"/>
          <w:w w:val="105"/>
        </w:rPr>
        <w:t>cargo</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secretaría</w:t>
      </w:r>
      <w:r>
        <w:rPr>
          <w:color w:val="231F20"/>
          <w:spacing w:val="-15"/>
          <w:w w:val="105"/>
        </w:rPr>
        <w:t> </w:t>
      </w:r>
      <w:r>
        <w:rPr>
          <w:color w:val="231F20"/>
          <w:w w:val="105"/>
        </w:rPr>
        <w:t>que</w:t>
      </w:r>
      <w:r>
        <w:rPr>
          <w:color w:val="231F20"/>
          <w:spacing w:val="-15"/>
          <w:w w:val="105"/>
        </w:rPr>
        <w:t> </w:t>
      </w:r>
      <w:r>
        <w:rPr>
          <w:color w:val="231F20"/>
          <w:spacing w:val="2"/>
          <w:w w:val="105"/>
        </w:rPr>
        <w:t>al </w:t>
      </w:r>
      <w:r>
        <w:rPr>
          <w:color w:val="231F20"/>
          <w:w w:val="105"/>
        </w:rPr>
        <w:t>mismo</w:t>
      </w:r>
      <w:r>
        <w:rPr>
          <w:color w:val="231F20"/>
          <w:spacing w:val="-19"/>
          <w:w w:val="105"/>
        </w:rPr>
        <w:t> </w:t>
      </w:r>
      <w:r>
        <w:rPr>
          <w:color w:val="231F20"/>
          <w:w w:val="105"/>
        </w:rPr>
        <w:t>tiempo</w:t>
      </w:r>
      <w:r>
        <w:rPr>
          <w:color w:val="231F20"/>
          <w:spacing w:val="-19"/>
          <w:w w:val="105"/>
        </w:rPr>
        <w:t> </w:t>
      </w:r>
      <w:r>
        <w:rPr>
          <w:color w:val="231F20"/>
          <w:w w:val="105"/>
        </w:rPr>
        <w:t>se</w:t>
      </w:r>
      <w:r>
        <w:rPr>
          <w:color w:val="231F20"/>
          <w:spacing w:val="-19"/>
          <w:w w:val="105"/>
        </w:rPr>
        <w:t> </w:t>
      </w:r>
      <w:r>
        <w:rPr>
          <w:color w:val="231F20"/>
          <w:w w:val="105"/>
        </w:rPr>
        <w:t>dirigía</w:t>
      </w:r>
      <w:r>
        <w:rPr>
          <w:color w:val="231F20"/>
          <w:spacing w:val="-19"/>
          <w:w w:val="105"/>
        </w:rPr>
        <w:t> </w:t>
      </w:r>
      <w:r>
        <w:rPr>
          <w:color w:val="231F20"/>
          <w:w w:val="105"/>
        </w:rPr>
        <w:t>el</w:t>
      </w:r>
      <w:r>
        <w:rPr>
          <w:color w:val="231F20"/>
          <w:spacing w:val="-19"/>
          <w:w w:val="105"/>
        </w:rPr>
        <w:t> </w:t>
      </w:r>
      <w:r>
        <w:rPr>
          <w:color w:val="231F20"/>
          <w:w w:val="105"/>
        </w:rPr>
        <w:t>deporte</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recreación.</w:t>
      </w:r>
      <w:r>
        <w:rPr>
          <w:color w:val="231F20"/>
          <w:spacing w:val="-19"/>
          <w:w w:val="105"/>
        </w:rPr>
        <w:t> </w:t>
      </w:r>
      <w:r>
        <w:rPr>
          <w:color w:val="231F20"/>
          <w:w w:val="105"/>
        </w:rPr>
        <w:t>Funciones</w:t>
      </w:r>
      <w:r>
        <w:rPr>
          <w:color w:val="231F20"/>
          <w:spacing w:val="-19"/>
          <w:w w:val="105"/>
        </w:rPr>
        <w:t> </w:t>
      </w:r>
      <w:r>
        <w:rPr>
          <w:color w:val="231F20"/>
          <w:w w:val="105"/>
        </w:rPr>
        <w:t>secundarias,</w:t>
      </w:r>
      <w:r>
        <w:rPr>
          <w:color w:val="231F20"/>
          <w:spacing w:val="-19"/>
          <w:w w:val="105"/>
        </w:rPr>
        <w:t> </w:t>
      </w:r>
      <w:r>
        <w:rPr>
          <w:color w:val="231F20"/>
          <w:w w:val="105"/>
        </w:rPr>
        <w:t>habida</w:t>
      </w:r>
      <w:r>
        <w:rPr>
          <w:color w:val="231F20"/>
          <w:spacing w:val="-19"/>
          <w:w w:val="105"/>
        </w:rPr>
        <w:t> </w:t>
      </w:r>
      <w:r>
        <w:rPr>
          <w:color w:val="231F20"/>
          <w:w w:val="105"/>
        </w:rPr>
        <w:t>cuen- ta</w:t>
      </w:r>
      <w:r>
        <w:rPr>
          <w:color w:val="231F20"/>
          <w:spacing w:val="-7"/>
          <w:w w:val="105"/>
        </w:rPr>
        <w:t> </w:t>
      </w:r>
      <w:r>
        <w:rPr>
          <w:color w:val="231F20"/>
          <w:w w:val="105"/>
        </w:rPr>
        <w:t>la</w:t>
      </w:r>
      <w:r>
        <w:rPr>
          <w:color w:val="231F20"/>
          <w:spacing w:val="-7"/>
          <w:w w:val="105"/>
        </w:rPr>
        <w:t> </w:t>
      </w:r>
      <w:r>
        <w:rPr>
          <w:color w:val="231F20"/>
          <w:w w:val="105"/>
        </w:rPr>
        <w:t>falta</w:t>
      </w:r>
      <w:r>
        <w:rPr>
          <w:color w:val="231F20"/>
          <w:spacing w:val="-7"/>
          <w:w w:val="105"/>
        </w:rPr>
        <w:t> </w:t>
      </w:r>
      <w:r>
        <w:rPr>
          <w:color w:val="231F20"/>
          <w:w w:val="105"/>
        </w:rPr>
        <w:t>de</w:t>
      </w:r>
      <w:r>
        <w:rPr>
          <w:color w:val="231F20"/>
          <w:spacing w:val="-7"/>
          <w:w w:val="105"/>
        </w:rPr>
        <w:t> </w:t>
      </w:r>
      <w:r>
        <w:rPr>
          <w:color w:val="231F20"/>
          <w:w w:val="105"/>
        </w:rPr>
        <w:t>recursos,</w:t>
      </w:r>
      <w:r>
        <w:rPr>
          <w:color w:val="231F20"/>
          <w:spacing w:val="-7"/>
          <w:w w:val="105"/>
        </w:rPr>
        <w:t> </w:t>
      </w:r>
      <w:r>
        <w:rPr>
          <w:color w:val="231F20"/>
          <w:w w:val="105"/>
        </w:rPr>
        <w:t>aunque</w:t>
      </w:r>
      <w:r>
        <w:rPr>
          <w:color w:val="231F20"/>
          <w:spacing w:val="-7"/>
          <w:w w:val="105"/>
        </w:rPr>
        <w:t> </w:t>
      </w:r>
      <w:r>
        <w:rPr>
          <w:color w:val="231F20"/>
          <w:w w:val="105"/>
        </w:rPr>
        <w:t>también</w:t>
      </w:r>
      <w:r>
        <w:rPr>
          <w:color w:val="231F20"/>
          <w:spacing w:val="-7"/>
          <w:w w:val="105"/>
        </w:rPr>
        <w:t> </w:t>
      </w:r>
      <w:r>
        <w:rPr>
          <w:color w:val="231F20"/>
          <w:w w:val="105"/>
        </w:rPr>
        <w:t>refleja</w:t>
      </w:r>
      <w:r>
        <w:rPr>
          <w:color w:val="231F20"/>
          <w:spacing w:val="-7"/>
          <w:w w:val="105"/>
        </w:rPr>
        <w:t> </w:t>
      </w:r>
      <w:r>
        <w:rPr>
          <w:color w:val="231F20"/>
          <w:w w:val="105"/>
        </w:rPr>
        <w:t>una</w:t>
      </w:r>
      <w:r>
        <w:rPr>
          <w:color w:val="231F20"/>
          <w:spacing w:val="-7"/>
          <w:w w:val="105"/>
        </w:rPr>
        <w:t> </w:t>
      </w:r>
      <w:r>
        <w:rPr>
          <w:color w:val="231F20"/>
          <w:w w:val="105"/>
        </w:rPr>
        <w:t>falta</w:t>
      </w:r>
      <w:r>
        <w:rPr>
          <w:color w:val="231F20"/>
          <w:spacing w:val="-7"/>
          <w:w w:val="105"/>
        </w:rPr>
        <w:t> </w:t>
      </w:r>
      <w:r>
        <w:rPr>
          <w:color w:val="231F20"/>
          <w:w w:val="105"/>
        </w:rPr>
        <w:t>de</w:t>
      </w:r>
      <w:r>
        <w:rPr>
          <w:color w:val="231F20"/>
          <w:spacing w:val="-7"/>
          <w:w w:val="105"/>
        </w:rPr>
        <w:t> </w:t>
      </w:r>
      <w:r>
        <w:rPr>
          <w:color w:val="231F20"/>
          <w:w w:val="105"/>
        </w:rPr>
        <w:t>esfuerzo</w:t>
      </w:r>
      <w:r>
        <w:rPr>
          <w:color w:val="231F20"/>
          <w:spacing w:val="-7"/>
          <w:w w:val="105"/>
        </w:rPr>
        <w:t> </w:t>
      </w:r>
      <w:r>
        <w:rPr>
          <w:color w:val="231F20"/>
          <w:w w:val="105"/>
        </w:rPr>
        <w:t>del</w:t>
      </w:r>
      <w:r>
        <w:rPr>
          <w:color w:val="231F20"/>
          <w:spacing w:val="-7"/>
          <w:w w:val="105"/>
        </w:rPr>
        <w:t> </w:t>
      </w:r>
      <w:r>
        <w:rPr>
          <w:color w:val="231F20"/>
          <w:w w:val="105"/>
        </w:rPr>
        <w:t>gobierno</w:t>
      </w:r>
      <w:r>
        <w:rPr>
          <w:color w:val="231F20"/>
          <w:spacing w:val="-7"/>
          <w:w w:val="105"/>
        </w:rPr>
        <w:t> </w:t>
      </w:r>
      <w:r>
        <w:rPr>
          <w:color w:val="231F20"/>
          <w:w w:val="105"/>
        </w:rPr>
        <w:t>muni- cipal</w:t>
      </w:r>
      <w:r>
        <w:rPr>
          <w:color w:val="231F20"/>
          <w:spacing w:val="-14"/>
          <w:w w:val="105"/>
        </w:rPr>
        <w:t> </w:t>
      </w:r>
      <w:r>
        <w:rPr>
          <w:color w:val="231F20"/>
          <w:w w:val="105"/>
        </w:rPr>
        <w:t>por</w:t>
      </w:r>
      <w:r>
        <w:rPr>
          <w:color w:val="231F20"/>
          <w:spacing w:val="-14"/>
          <w:w w:val="105"/>
        </w:rPr>
        <w:t> </w:t>
      </w:r>
      <w:r>
        <w:rPr>
          <w:color w:val="231F20"/>
          <w:w w:val="105"/>
        </w:rPr>
        <w:t>darle</w:t>
      </w:r>
      <w:r>
        <w:rPr>
          <w:color w:val="231F20"/>
          <w:spacing w:val="-14"/>
          <w:w w:val="105"/>
        </w:rPr>
        <w:t> </w:t>
      </w:r>
      <w:r>
        <w:rPr>
          <w:color w:val="231F20"/>
          <w:w w:val="105"/>
        </w:rPr>
        <w:t>mayor</w:t>
      </w:r>
      <w:r>
        <w:rPr>
          <w:color w:val="231F20"/>
          <w:spacing w:val="-14"/>
          <w:w w:val="105"/>
        </w:rPr>
        <w:t> </w:t>
      </w:r>
      <w:r>
        <w:rPr>
          <w:color w:val="231F20"/>
          <w:w w:val="105"/>
        </w:rPr>
        <w:t>contenido</w:t>
      </w:r>
      <w:r>
        <w:rPr>
          <w:color w:val="231F20"/>
          <w:spacing w:val="-14"/>
          <w:w w:val="105"/>
        </w:rPr>
        <w:t> </w:t>
      </w:r>
      <w:r>
        <w:rPr>
          <w:color w:val="231F20"/>
          <w:w w:val="105"/>
        </w:rPr>
        <w:t>a,</w:t>
      </w:r>
      <w:r>
        <w:rPr>
          <w:color w:val="231F20"/>
          <w:spacing w:val="-14"/>
          <w:w w:val="105"/>
        </w:rPr>
        <w:t> </w:t>
      </w:r>
      <w:r>
        <w:rPr>
          <w:color w:val="231F20"/>
          <w:w w:val="105"/>
        </w:rPr>
        <w:t>por</w:t>
      </w:r>
      <w:r>
        <w:rPr>
          <w:color w:val="231F20"/>
          <w:spacing w:val="-14"/>
          <w:w w:val="105"/>
        </w:rPr>
        <w:t> </w:t>
      </w:r>
      <w:r>
        <w:rPr>
          <w:color w:val="231F20"/>
          <w:spacing w:val="-3"/>
          <w:w w:val="105"/>
        </w:rPr>
        <w:t>ejemplo,</w:t>
      </w:r>
      <w:r>
        <w:rPr>
          <w:color w:val="231F20"/>
          <w:spacing w:val="-14"/>
          <w:w w:val="105"/>
        </w:rPr>
        <w:t> </w:t>
      </w:r>
      <w:r>
        <w:rPr>
          <w:color w:val="231F20"/>
          <w:w w:val="105"/>
        </w:rPr>
        <w:t>sus</w:t>
      </w:r>
      <w:r>
        <w:rPr>
          <w:color w:val="231F20"/>
          <w:spacing w:val="-14"/>
          <w:w w:val="105"/>
        </w:rPr>
        <w:t> </w:t>
      </w:r>
      <w:r>
        <w:rPr>
          <w:color w:val="231F20"/>
          <w:w w:val="105"/>
        </w:rPr>
        <w:t>acciones</w:t>
      </w:r>
      <w:r>
        <w:rPr>
          <w:color w:val="231F20"/>
          <w:spacing w:val="-14"/>
          <w:w w:val="105"/>
        </w:rPr>
        <w:t> </w:t>
      </w:r>
      <w:r>
        <w:rPr>
          <w:color w:val="231F20"/>
          <w:w w:val="105"/>
        </w:rPr>
        <w:t>en</w:t>
      </w:r>
      <w:r>
        <w:rPr>
          <w:color w:val="231F20"/>
          <w:spacing w:val="-14"/>
          <w:w w:val="105"/>
        </w:rPr>
        <w:t> </w:t>
      </w:r>
      <w:r>
        <w:rPr>
          <w:color w:val="231F20"/>
          <w:w w:val="105"/>
        </w:rPr>
        <w:t>materia</w:t>
      </w:r>
      <w:r>
        <w:rPr>
          <w:color w:val="231F20"/>
          <w:spacing w:val="-14"/>
          <w:w w:val="105"/>
        </w:rPr>
        <w:t> </w:t>
      </w:r>
      <w:r>
        <w:rPr>
          <w:color w:val="231F20"/>
          <w:w w:val="105"/>
        </w:rPr>
        <w:t>educativa.</w:t>
      </w:r>
    </w:p>
    <w:p>
      <w:pPr>
        <w:pStyle w:val="BodyText"/>
        <w:spacing w:before="2"/>
      </w:pPr>
      <w:r>
        <w:rPr/>
        <w:pict>
          <v:line style="position:absolute;mso-position-horizontal-relative:page;mso-position-vertical-relative:paragraph;z-index:10240;mso-wrap-distance-left:0;mso-wrap-distance-right:0" from="42.519699pt,15.2438pt" to="114.519699pt,15.2438pt" stroked="true" strokeweight="1pt" strokecolor="#231f20">
            <w10:wrap type="topAndBottom"/>
          </v:line>
        </w:pict>
      </w:r>
    </w:p>
    <w:p>
      <w:pPr>
        <w:pStyle w:val="ListParagraph"/>
        <w:numPr>
          <w:ilvl w:val="0"/>
          <w:numId w:val="14"/>
        </w:numPr>
        <w:tabs>
          <w:tab w:pos="259" w:val="left" w:leader="none"/>
        </w:tabs>
        <w:spacing w:line="240" w:lineRule="auto" w:before="8" w:after="0"/>
        <w:ind w:left="110" w:right="0" w:firstLine="0"/>
        <w:jc w:val="left"/>
        <w:rPr>
          <w:sz w:val="16"/>
        </w:rPr>
      </w:pPr>
      <w:r>
        <w:rPr>
          <w:color w:val="231F20"/>
          <w:sz w:val="16"/>
        </w:rPr>
        <w:t>Ídem,</w:t>
      </w:r>
      <w:r>
        <w:rPr>
          <w:color w:val="231F20"/>
          <w:spacing w:val="-25"/>
          <w:sz w:val="16"/>
        </w:rPr>
        <w:t> </w:t>
      </w:r>
      <w:r>
        <w:rPr>
          <w:color w:val="231F20"/>
          <w:sz w:val="16"/>
        </w:rPr>
        <w:t>p.</w:t>
      </w:r>
      <w:r>
        <w:rPr>
          <w:color w:val="231F20"/>
          <w:spacing w:val="-25"/>
          <w:sz w:val="16"/>
        </w:rPr>
        <w:t> </w:t>
      </w:r>
      <w:r>
        <w:rPr>
          <w:color w:val="231F20"/>
          <w:sz w:val="16"/>
        </w:rPr>
        <w:t>89.</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rPr>
          <w:sz w:val="13"/>
        </w:rPr>
      </w:pPr>
      <w:r>
        <w:rPr>
          <w:color w:val="231F20"/>
          <w:w w:val="105"/>
        </w:rPr>
        <w:t>El</w:t>
      </w:r>
      <w:r>
        <w:rPr>
          <w:color w:val="231F20"/>
          <w:spacing w:val="-8"/>
          <w:w w:val="105"/>
        </w:rPr>
        <w:t> </w:t>
      </w:r>
      <w:r>
        <w:rPr>
          <w:color w:val="231F20"/>
          <w:w w:val="105"/>
        </w:rPr>
        <w:t>ramo</w:t>
      </w:r>
      <w:r>
        <w:rPr>
          <w:color w:val="231F20"/>
          <w:spacing w:val="-8"/>
          <w:w w:val="105"/>
        </w:rPr>
        <w:t> </w:t>
      </w:r>
      <w:r>
        <w:rPr>
          <w:color w:val="231F20"/>
          <w:w w:val="105"/>
        </w:rPr>
        <w:t>33</w:t>
      </w:r>
      <w:r>
        <w:rPr>
          <w:color w:val="231F20"/>
          <w:spacing w:val="-8"/>
          <w:w w:val="105"/>
        </w:rPr>
        <w:t> </w:t>
      </w:r>
      <w:r>
        <w:rPr>
          <w:color w:val="231F20"/>
          <w:w w:val="105"/>
        </w:rPr>
        <w:t>aportó</w:t>
      </w:r>
      <w:r>
        <w:rPr>
          <w:color w:val="231F20"/>
          <w:spacing w:val="-8"/>
          <w:w w:val="105"/>
        </w:rPr>
        <w:t> </w:t>
      </w:r>
      <w:r>
        <w:rPr>
          <w:color w:val="231F20"/>
          <w:w w:val="105"/>
        </w:rPr>
        <w:t>recursos</w:t>
      </w:r>
      <w:r>
        <w:rPr>
          <w:color w:val="231F20"/>
          <w:spacing w:val="-8"/>
          <w:w w:val="105"/>
        </w:rPr>
        <w:t> </w:t>
      </w:r>
      <w:r>
        <w:rPr>
          <w:color w:val="231F20"/>
          <w:w w:val="105"/>
        </w:rPr>
        <w:t>para</w:t>
      </w:r>
      <w:r>
        <w:rPr>
          <w:color w:val="231F20"/>
          <w:spacing w:val="-8"/>
          <w:w w:val="105"/>
        </w:rPr>
        <w:t> </w:t>
      </w:r>
      <w:r>
        <w:rPr>
          <w:color w:val="231F20"/>
          <w:w w:val="105"/>
        </w:rPr>
        <w:t>dar</w:t>
      </w:r>
      <w:r>
        <w:rPr>
          <w:color w:val="231F20"/>
          <w:spacing w:val="-8"/>
          <w:w w:val="105"/>
        </w:rPr>
        <w:t> </w:t>
      </w:r>
      <w:r>
        <w:rPr>
          <w:color w:val="231F20"/>
          <w:w w:val="105"/>
        </w:rPr>
        <w:t>8</w:t>
      </w:r>
      <w:r>
        <w:rPr>
          <w:color w:val="231F20"/>
          <w:spacing w:val="-8"/>
          <w:w w:val="105"/>
        </w:rPr>
        <w:t> </w:t>
      </w:r>
      <w:r>
        <w:rPr>
          <w:color w:val="231F20"/>
          <w:spacing w:val="2"/>
          <w:w w:val="105"/>
        </w:rPr>
        <w:t>mil</w:t>
      </w:r>
      <w:r>
        <w:rPr>
          <w:color w:val="231F20"/>
          <w:spacing w:val="-8"/>
          <w:w w:val="105"/>
        </w:rPr>
        <w:t> </w:t>
      </w:r>
      <w:r>
        <w:rPr>
          <w:color w:val="231F20"/>
          <w:spacing w:val="-4"/>
          <w:w w:val="105"/>
        </w:rPr>
        <w:t>177</w:t>
      </w:r>
      <w:r>
        <w:rPr>
          <w:color w:val="231F20"/>
          <w:spacing w:val="-8"/>
          <w:w w:val="105"/>
        </w:rPr>
        <w:t> </w:t>
      </w:r>
      <w:r>
        <w:rPr>
          <w:color w:val="231F20"/>
          <w:w w:val="105"/>
        </w:rPr>
        <w:t>becas</w:t>
      </w:r>
      <w:r>
        <w:rPr>
          <w:color w:val="231F20"/>
          <w:spacing w:val="-8"/>
          <w:w w:val="105"/>
        </w:rPr>
        <w:t> </w:t>
      </w:r>
      <w:r>
        <w:rPr>
          <w:color w:val="231F20"/>
          <w:w w:val="105"/>
        </w:rPr>
        <w:t>durante</w:t>
      </w:r>
      <w:r>
        <w:rPr>
          <w:color w:val="231F20"/>
          <w:spacing w:val="-8"/>
          <w:w w:val="105"/>
        </w:rPr>
        <w:t> </w:t>
      </w:r>
      <w:r>
        <w:rPr>
          <w:color w:val="231F20"/>
          <w:w w:val="105"/>
        </w:rPr>
        <w:t>el</w:t>
      </w:r>
      <w:r>
        <w:rPr>
          <w:color w:val="231F20"/>
          <w:spacing w:val="-8"/>
          <w:w w:val="105"/>
        </w:rPr>
        <w:t> </w:t>
      </w:r>
      <w:r>
        <w:rPr>
          <w:color w:val="231F20"/>
          <w:w w:val="105"/>
        </w:rPr>
        <w:t>trienio,</w:t>
      </w:r>
      <w:r>
        <w:rPr>
          <w:color w:val="231F20"/>
          <w:spacing w:val="-8"/>
          <w:w w:val="105"/>
        </w:rPr>
        <w:t> </w:t>
      </w:r>
      <w:r>
        <w:rPr>
          <w:color w:val="231F20"/>
          <w:w w:val="105"/>
        </w:rPr>
        <w:t>una</w:t>
      </w:r>
      <w:r>
        <w:rPr>
          <w:color w:val="231F20"/>
          <w:spacing w:val="-8"/>
          <w:w w:val="105"/>
        </w:rPr>
        <w:t> </w:t>
      </w:r>
      <w:r>
        <w:rPr>
          <w:color w:val="231F20"/>
          <w:w w:val="105"/>
        </w:rPr>
        <w:t>cifra</w:t>
      </w:r>
      <w:r>
        <w:rPr>
          <w:color w:val="231F20"/>
          <w:spacing w:val="-8"/>
          <w:w w:val="105"/>
        </w:rPr>
        <w:t> </w:t>
      </w:r>
      <w:r>
        <w:rPr>
          <w:color w:val="231F20"/>
          <w:w w:val="105"/>
        </w:rPr>
        <w:t>mayor a la del año anterior </w:t>
      </w:r>
      <w:r>
        <w:rPr>
          <w:color w:val="231F20"/>
          <w:spacing w:val="-4"/>
          <w:w w:val="105"/>
        </w:rPr>
        <w:t>(que </w:t>
      </w:r>
      <w:r>
        <w:rPr>
          <w:color w:val="231F20"/>
          <w:w w:val="105"/>
        </w:rPr>
        <w:t>fue de 6 </w:t>
      </w:r>
      <w:r>
        <w:rPr>
          <w:color w:val="231F20"/>
          <w:spacing w:val="2"/>
          <w:w w:val="105"/>
        </w:rPr>
        <w:t>mil </w:t>
      </w:r>
      <w:r>
        <w:rPr>
          <w:color w:val="231F20"/>
          <w:w w:val="105"/>
        </w:rPr>
        <w:t>200). En cuanto a gasto en infraestructura, los recursos</w:t>
      </w:r>
      <w:r>
        <w:rPr>
          <w:color w:val="231F20"/>
          <w:spacing w:val="-23"/>
          <w:w w:val="105"/>
        </w:rPr>
        <w:t> </w:t>
      </w:r>
      <w:r>
        <w:rPr>
          <w:color w:val="231F20"/>
          <w:w w:val="105"/>
        </w:rPr>
        <w:t>también</w:t>
      </w:r>
      <w:r>
        <w:rPr>
          <w:color w:val="231F20"/>
          <w:spacing w:val="-23"/>
          <w:w w:val="105"/>
        </w:rPr>
        <w:t> </w:t>
      </w:r>
      <w:r>
        <w:rPr>
          <w:color w:val="231F20"/>
          <w:w w:val="105"/>
        </w:rPr>
        <w:t>ascendieron</w:t>
      </w:r>
      <w:r>
        <w:rPr>
          <w:color w:val="231F20"/>
          <w:spacing w:val="-23"/>
          <w:w w:val="105"/>
        </w:rPr>
        <w:t> </w:t>
      </w:r>
      <w:r>
        <w:rPr>
          <w:color w:val="231F20"/>
          <w:w w:val="105"/>
        </w:rPr>
        <w:t>entre</w:t>
      </w:r>
      <w:r>
        <w:rPr>
          <w:color w:val="231F20"/>
          <w:spacing w:val="-23"/>
          <w:w w:val="105"/>
        </w:rPr>
        <w:t> </w:t>
      </w:r>
      <w:r>
        <w:rPr>
          <w:color w:val="231F20"/>
          <w:w w:val="105"/>
        </w:rPr>
        <w:t>cada</w:t>
      </w:r>
      <w:r>
        <w:rPr>
          <w:color w:val="231F20"/>
          <w:spacing w:val="-23"/>
          <w:w w:val="105"/>
        </w:rPr>
        <w:t> </w:t>
      </w:r>
      <w:r>
        <w:rPr>
          <w:color w:val="231F20"/>
          <w:w w:val="105"/>
        </w:rPr>
        <w:t>periodo,</w:t>
      </w:r>
      <w:r>
        <w:rPr>
          <w:color w:val="231F20"/>
          <w:spacing w:val="-23"/>
          <w:w w:val="105"/>
        </w:rPr>
        <w:t> </w:t>
      </w:r>
      <w:r>
        <w:rPr>
          <w:color w:val="231F20"/>
          <w:w w:val="105"/>
        </w:rPr>
        <w:t>favorable</w:t>
      </w:r>
      <w:r>
        <w:rPr>
          <w:color w:val="231F20"/>
          <w:spacing w:val="-23"/>
          <w:w w:val="105"/>
        </w:rPr>
        <w:t> </w:t>
      </w:r>
      <w:r>
        <w:rPr>
          <w:color w:val="231F20"/>
          <w:spacing w:val="2"/>
          <w:w w:val="105"/>
        </w:rPr>
        <w:t>al</w:t>
      </w:r>
      <w:r>
        <w:rPr>
          <w:color w:val="231F20"/>
          <w:spacing w:val="-23"/>
          <w:w w:val="105"/>
        </w:rPr>
        <w:t> </w:t>
      </w:r>
      <w:r>
        <w:rPr>
          <w:color w:val="231F20"/>
          <w:w w:val="105"/>
        </w:rPr>
        <w:t>de</w:t>
      </w:r>
      <w:r>
        <w:rPr>
          <w:color w:val="231F20"/>
          <w:spacing w:val="-23"/>
          <w:w w:val="105"/>
        </w:rPr>
        <w:t> </w:t>
      </w:r>
      <w:r>
        <w:rPr>
          <w:color w:val="231F20"/>
          <w:w w:val="105"/>
        </w:rPr>
        <w:t>Durán</w:t>
      </w:r>
      <w:r>
        <w:rPr>
          <w:color w:val="231F20"/>
          <w:spacing w:val="-23"/>
          <w:w w:val="105"/>
        </w:rPr>
        <w:t> </w:t>
      </w:r>
      <w:r>
        <w:rPr>
          <w:color w:val="231F20"/>
          <w:w w:val="105"/>
        </w:rPr>
        <w:t>Reveles.</w:t>
      </w:r>
      <w:r>
        <w:rPr>
          <w:color w:val="231F20"/>
          <w:spacing w:val="-23"/>
          <w:w w:val="105"/>
        </w:rPr>
        <w:t> </w:t>
      </w:r>
      <w:r>
        <w:rPr>
          <w:color w:val="231F20"/>
          <w:w w:val="105"/>
        </w:rPr>
        <w:t>Lo</w:t>
      </w:r>
      <w:r>
        <w:rPr>
          <w:color w:val="231F20"/>
          <w:spacing w:val="-23"/>
          <w:w w:val="105"/>
        </w:rPr>
        <w:t> </w:t>
      </w:r>
      <w:r>
        <w:rPr>
          <w:color w:val="231F20"/>
          <w:w w:val="105"/>
        </w:rPr>
        <w:t>que resulta</w:t>
      </w:r>
      <w:r>
        <w:rPr>
          <w:color w:val="231F20"/>
          <w:spacing w:val="-5"/>
          <w:w w:val="105"/>
        </w:rPr>
        <w:t> </w:t>
      </w:r>
      <w:r>
        <w:rPr>
          <w:color w:val="231F20"/>
          <w:w w:val="105"/>
        </w:rPr>
        <w:t>discutible</w:t>
      </w:r>
      <w:r>
        <w:rPr>
          <w:color w:val="231F20"/>
          <w:spacing w:val="-5"/>
          <w:w w:val="105"/>
        </w:rPr>
        <w:t> </w:t>
      </w:r>
      <w:r>
        <w:rPr>
          <w:color w:val="231F20"/>
          <w:w w:val="105"/>
        </w:rPr>
        <w:t>es</w:t>
      </w:r>
      <w:r>
        <w:rPr>
          <w:color w:val="231F20"/>
          <w:spacing w:val="-5"/>
          <w:w w:val="105"/>
        </w:rPr>
        <w:t> </w:t>
      </w:r>
      <w:r>
        <w:rPr>
          <w:color w:val="231F20"/>
          <w:w w:val="105"/>
        </w:rPr>
        <w:t>que</w:t>
      </w:r>
      <w:r>
        <w:rPr>
          <w:color w:val="231F20"/>
          <w:spacing w:val="-5"/>
          <w:w w:val="105"/>
        </w:rPr>
        <w:t> </w:t>
      </w:r>
      <w:r>
        <w:rPr>
          <w:color w:val="231F20"/>
          <w:w w:val="105"/>
        </w:rPr>
        <w:t>estas</w:t>
      </w:r>
      <w:r>
        <w:rPr>
          <w:color w:val="231F20"/>
          <w:spacing w:val="-5"/>
          <w:w w:val="105"/>
        </w:rPr>
        <w:t> </w:t>
      </w:r>
      <w:r>
        <w:rPr>
          <w:color w:val="231F20"/>
          <w:w w:val="105"/>
        </w:rPr>
        <w:t>obras</w:t>
      </w:r>
      <w:r>
        <w:rPr>
          <w:color w:val="231F20"/>
          <w:spacing w:val="-5"/>
          <w:w w:val="105"/>
        </w:rPr>
        <w:t> </w:t>
      </w:r>
      <w:r>
        <w:rPr>
          <w:color w:val="231F20"/>
          <w:w w:val="105"/>
        </w:rPr>
        <w:t>se</w:t>
      </w:r>
      <w:r>
        <w:rPr>
          <w:color w:val="231F20"/>
          <w:spacing w:val="-5"/>
          <w:w w:val="105"/>
        </w:rPr>
        <w:t> </w:t>
      </w:r>
      <w:r>
        <w:rPr>
          <w:color w:val="231F20"/>
          <w:w w:val="105"/>
        </w:rPr>
        <w:t>hicieron</w:t>
      </w:r>
      <w:r>
        <w:rPr>
          <w:color w:val="231F20"/>
          <w:spacing w:val="-5"/>
          <w:w w:val="105"/>
        </w:rPr>
        <w:t> </w:t>
      </w:r>
      <w:r>
        <w:rPr>
          <w:color w:val="231F20"/>
          <w:w w:val="105"/>
        </w:rPr>
        <w:t>“bajo</w:t>
      </w:r>
      <w:r>
        <w:rPr>
          <w:color w:val="231F20"/>
          <w:spacing w:val="-5"/>
          <w:w w:val="105"/>
        </w:rPr>
        <w:t> </w:t>
      </w:r>
      <w:r>
        <w:rPr>
          <w:color w:val="231F20"/>
          <w:w w:val="105"/>
        </w:rPr>
        <w:t>la</w:t>
      </w:r>
      <w:r>
        <w:rPr>
          <w:color w:val="231F20"/>
          <w:spacing w:val="-5"/>
          <w:w w:val="105"/>
        </w:rPr>
        <w:t> </w:t>
      </w:r>
      <w:r>
        <w:rPr>
          <w:color w:val="231F20"/>
          <w:w w:val="105"/>
        </w:rPr>
        <w:t>modalidad</w:t>
      </w:r>
      <w:r>
        <w:rPr>
          <w:color w:val="231F20"/>
          <w:spacing w:val="-5"/>
          <w:w w:val="105"/>
        </w:rPr>
        <w:t> </w:t>
      </w:r>
      <w:r>
        <w:rPr>
          <w:color w:val="231F20"/>
          <w:w w:val="105"/>
        </w:rPr>
        <w:t>de</w:t>
      </w:r>
      <w:r>
        <w:rPr>
          <w:color w:val="231F20"/>
          <w:spacing w:val="-5"/>
          <w:w w:val="105"/>
        </w:rPr>
        <w:t> </w:t>
      </w:r>
      <w:r>
        <w:rPr>
          <w:color w:val="231F20"/>
          <w:spacing w:val="-4"/>
          <w:w w:val="105"/>
        </w:rPr>
        <w:t>contrato”,</w:t>
      </w:r>
      <w:r>
        <w:rPr>
          <w:color w:val="231F20"/>
          <w:spacing w:val="-5"/>
          <w:w w:val="105"/>
        </w:rPr>
        <w:t> </w:t>
      </w:r>
      <w:r>
        <w:rPr>
          <w:color w:val="231F20"/>
          <w:w w:val="105"/>
        </w:rPr>
        <w:t>por</w:t>
      </w:r>
      <w:r>
        <w:rPr>
          <w:color w:val="231F20"/>
          <w:spacing w:val="-5"/>
          <w:w w:val="105"/>
        </w:rPr>
        <w:t> </w:t>
      </w:r>
      <w:r>
        <w:rPr>
          <w:color w:val="231F20"/>
          <w:w w:val="105"/>
        </w:rPr>
        <w:t>lo que</w:t>
      </w:r>
      <w:r>
        <w:rPr>
          <w:color w:val="231F20"/>
          <w:spacing w:val="-15"/>
          <w:w w:val="105"/>
        </w:rPr>
        <w:t> </w:t>
      </w:r>
      <w:r>
        <w:rPr>
          <w:color w:val="231F20"/>
          <w:w w:val="105"/>
        </w:rPr>
        <w:t>los</w:t>
      </w:r>
      <w:r>
        <w:rPr>
          <w:color w:val="231F20"/>
          <w:spacing w:val="-15"/>
          <w:w w:val="105"/>
        </w:rPr>
        <w:t> </w:t>
      </w:r>
      <w:r>
        <w:rPr>
          <w:color w:val="231F20"/>
          <w:w w:val="105"/>
        </w:rPr>
        <w:t>padres</w:t>
      </w:r>
      <w:r>
        <w:rPr>
          <w:color w:val="231F20"/>
          <w:spacing w:val="-15"/>
          <w:w w:val="105"/>
        </w:rPr>
        <w:t> </w:t>
      </w:r>
      <w:r>
        <w:rPr>
          <w:color w:val="231F20"/>
          <w:w w:val="105"/>
        </w:rPr>
        <w:t>de</w:t>
      </w:r>
      <w:r>
        <w:rPr>
          <w:color w:val="231F20"/>
          <w:spacing w:val="-15"/>
          <w:w w:val="105"/>
        </w:rPr>
        <w:t> </w:t>
      </w:r>
      <w:r>
        <w:rPr>
          <w:color w:val="231F20"/>
          <w:spacing w:val="2"/>
          <w:w w:val="105"/>
        </w:rPr>
        <w:t>familia</w:t>
      </w:r>
      <w:r>
        <w:rPr>
          <w:color w:val="231F20"/>
          <w:spacing w:val="-15"/>
          <w:w w:val="105"/>
        </w:rPr>
        <w:t> </w:t>
      </w:r>
      <w:r>
        <w:rPr>
          <w:color w:val="231F20"/>
          <w:w w:val="105"/>
        </w:rPr>
        <w:t>debieron</w:t>
      </w:r>
      <w:r>
        <w:rPr>
          <w:color w:val="231F20"/>
          <w:spacing w:val="-15"/>
          <w:w w:val="105"/>
        </w:rPr>
        <w:t> </w:t>
      </w:r>
      <w:r>
        <w:rPr>
          <w:color w:val="231F20"/>
          <w:w w:val="105"/>
        </w:rPr>
        <w:t>aportar</w:t>
      </w:r>
      <w:r>
        <w:rPr>
          <w:color w:val="231F20"/>
          <w:spacing w:val="-15"/>
          <w:w w:val="105"/>
        </w:rPr>
        <w:t> </w:t>
      </w:r>
      <w:r>
        <w:rPr>
          <w:color w:val="231F20"/>
          <w:w w:val="105"/>
        </w:rPr>
        <w:t>como</w:t>
      </w:r>
      <w:r>
        <w:rPr>
          <w:color w:val="231F20"/>
          <w:spacing w:val="-15"/>
          <w:w w:val="105"/>
        </w:rPr>
        <w:t> </w:t>
      </w:r>
      <w:r>
        <w:rPr>
          <w:color w:val="231F20"/>
          <w:w w:val="105"/>
        </w:rPr>
        <w:t>máximo</w:t>
      </w:r>
      <w:r>
        <w:rPr>
          <w:color w:val="231F20"/>
          <w:spacing w:val="-15"/>
          <w:w w:val="105"/>
        </w:rPr>
        <w:t> </w:t>
      </w:r>
      <w:r>
        <w:rPr>
          <w:color w:val="231F20"/>
          <w:w w:val="105"/>
        </w:rPr>
        <w:t>el</w:t>
      </w:r>
      <w:r>
        <w:rPr>
          <w:color w:val="231F20"/>
          <w:spacing w:val="-15"/>
          <w:w w:val="105"/>
        </w:rPr>
        <w:t> </w:t>
      </w:r>
      <w:r>
        <w:rPr>
          <w:color w:val="231F20"/>
          <w:spacing w:val="-3"/>
          <w:w w:val="105"/>
        </w:rPr>
        <w:t>10%</w:t>
      </w:r>
      <w:r>
        <w:rPr>
          <w:color w:val="231F20"/>
          <w:spacing w:val="-15"/>
          <w:w w:val="105"/>
        </w:rPr>
        <w:t> </w:t>
      </w:r>
      <w:r>
        <w:rPr>
          <w:color w:val="231F20"/>
          <w:w w:val="105"/>
        </w:rPr>
        <w:t>del</w:t>
      </w:r>
      <w:r>
        <w:rPr>
          <w:color w:val="231F20"/>
          <w:spacing w:val="-15"/>
          <w:w w:val="105"/>
        </w:rPr>
        <w:t> </w:t>
      </w:r>
      <w:r>
        <w:rPr>
          <w:color w:val="231F20"/>
          <w:spacing w:val="-3"/>
          <w:w w:val="105"/>
        </w:rPr>
        <w:t>costo.</w:t>
      </w:r>
      <w:r>
        <w:rPr>
          <w:color w:val="231F20"/>
          <w:spacing w:val="-3"/>
          <w:w w:val="105"/>
          <w:position w:val="7"/>
          <w:sz w:val="13"/>
        </w:rPr>
        <w:t>10</w:t>
      </w:r>
    </w:p>
    <w:p>
      <w:pPr>
        <w:pStyle w:val="BodyText"/>
        <w:spacing w:before="1"/>
        <w:rPr>
          <w:sz w:val="26"/>
        </w:rPr>
      </w:pPr>
    </w:p>
    <w:p>
      <w:pPr>
        <w:pStyle w:val="BodyText"/>
        <w:spacing w:line="285" w:lineRule="auto"/>
        <w:ind w:left="110" w:right="108"/>
        <w:jc w:val="both"/>
      </w:pPr>
      <w:r>
        <w:rPr>
          <w:color w:val="231F20"/>
          <w:w w:val="105"/>
        </w:rPr>
        <w:t>El</w:t>
      </w:r>
      <w:r>
        <w:rPr>
          <w:color w:val="231F20"/>
          <w:spacing w:val="-5"/>
          <w:w w:val="105"/>
        </w:rPr>
        <w:t> </w:t>
      </w:r>
      <w:r>
        <w:rPr>
          <w:color w:val="231F20"/>
          <w:w w:val="105"/>
        </w:rPr>
        <w:t>gobierno</w:t>
      </w:r>
      <w:r>
        <w:rPr>
          <w:color w:val="231F20"/>
          <w:spacing w:val="-5"/>
          <w:w w:val="105"/>
        </w:rPr>
        <w:t> </w:t>
      </w:r>
      <w:r>
        <w:rPr>
          <w:color w:val="231F20"/>
          <w:w w:val="105"/>
        </w:rPr>
        <w:t>panista</w:t>
      </w:r>
      <w:r>
        <w:rPr>
          <w:color w:val="231F20"/>
          <w:spacing w:val="-5"/>
          <w:w w:val="105"/>
        </w:rPr>
        <w:t> </w:t>
      </w:r>
      <w:r>
        <w:rPr>
          <w:color w:val="231F20"/>
          <w:w w:val="105"/>
        </w:rPr>
        <w:t>se</w:t>
      </w:r>
      <w:r>
        <w:rPr>
          <w:color w:val="231F20"/>
          <w:spacing w:val="-5"/>
          <w:w w:val="105"/>
        </w:rPr>
        <w:t> </w:t>
      </w:r>
      <w:r>
        <w:rPr>
          <w:color w:val="231F20"/>
          <w:w w:val="105"/>
        </w:rPr>
        <w:t>ufanaba</w:t>
      </w:r>
      <w:r>
        <w:rPr>
          <w:color w:val="231F20"/>
          <w:spacing w:val="-5"/>
          <w:w w:val="105"/>
        </w:rPr>
        <w:t> </w:t>
      </w:r>
      <w:r>
        <w:rPr>
          <w:color w:val="231F20"/>
          <w:w w:val="105"/>
        </w:rPr>
        <w:t>de</w:t>
      </w:r>
      <w:r>
        <w:rPr>
          <w:color w:val="231F20"/>
          <w:spacing w:val="-5"/>
          <w:w w:val="105"/>
        </w:rPr>
        <w:t> </w:t>
      </w:r>
      <w:r>
        <w:rPr>
          <w:color w:val="231F20"/>
          <w:w w:val="105"/>
        </w:rPr>
        <w:t>ser</w:t>
      </w:r>
      <w:r>
        <w:rPr>
          <w:color w:val="231F20"/>
          <w:spacing w:val="-5"/>
          <w:w w:val="105"/>
        </w:rPr>
        <w:t> </w:t>
      </w:r>
      <w:r>
        <w:rPr>
          <w:color w:val="231F20"/>
          <w:w w:val="105"/>
        </w:rPr>
        <w:t>distinto</w:t>
      </w:r>
      <w:r>
        <w:rPr>
          <w:color w:val="231F20"/>
          <w:spacing w:val="-5"/>
          <w:w w:val="105"/>
        </w:rPr>
        <w:t> </w:t>
      </w:r>
      <w:r>
        <w:rPr>
          <w:color w:val="231F20"/>
          <w:spacing w:val="2"/>
          <w:w w:val="105"/>
        </w:rPr>
        <w:t>al</w:t>
      </w:r>
      <w:r>
        <w:rPr>
          <w:color w:val="231F20"/>
          <w:spacing w:val="-5"/>
          <w:w w:val="105"/>
        </w:rPr>
        <w:t> </w:t>
      </w:r>
      <w:r>
        <w:rPr>
          <w:color w:val="231F20"/>
          <w:w w:val="105"/>
        </w:rPr>
        <w:t>anterior.</w:t>
      </w:r>
      <w:r>
        <w:rPr>
          <w:color w:val="231F20"/>
          <w:spacing w:val="-5"/>
          <w:w w:val="105"/>
        </w:rPr>
        <w:t> </w:t>
      </w:r>
      <w:r>
        <w:rPr>
          <w:color w:val="231F20"/>
          <w:w w:val="105"/>
        </w:rPr>
        <w:t>Señalaba</w:t>
      </w:r>
      <w:r>
        <w:rPr>
          <w:color w:val="231F20"/>
          <w:spacing w:val="-5"/>
          <w:w w:val="105"/>
        </w:rPr>
        <w:t> </w:t>
      </w:r>
      <w:r>
        <w:rPr>
          <w:color w:val="231F20"/>
          <w:w w:val="105"/>
        </w:rPr>
        <w:t>que</w:t>
      </w:r>
      <w:r>
        <w:rPr>
          <w:color w:val="231F20"/>
          <w:spacing w:val="-5"/>
          <w:w w:val="105"/>
        </w:rPr>
        <w:t> </w:t>
      </w:r>
      <w:r>
        <w:rPr>
          <w:color w:val="231F20"/>
          <w:w w:val="105"/>
        </w:rPr>
        <w:t>había</w:t>
      </w:r>
      <w:r>
        <w:rPr>
          <w:color w:val="231F20"/>
          <w:spacing w:val="-5"/>
          <w:w w:val="105"/>
        </w:rPr>
        <w:t> </w:t>
      </w:r>
      <w:r>
        <w:rPr>
          <w:color w:val="231F20"/>
          <w:spacing w:val="-3"/>
          <w:w w:val="105"/>
        </w:rPr>
        <w:t>“roto</w:t>
      </w:r>
      <w:r>
        <w:rPr>
          <w:color w:val="231F20"/>
          <w:spacing w:val="-5"/>
          <w:w w:val="105"/>
        </w:rPr>
        <w:t> </w:t>
      </w:r>
      <w:r>
        <w:rPr>
          <w:color w:val="231F20"/>
          <w:w w:val="105"/>
        </w:rPr>
        <w:t>he- gemonías antidemocráticas”. Destacaba los principios fundamentales de honestidad y eficiencia,</w:t>
      </w:r>
      <w:r>
        <w:rPr>
          <w:color w:val="231F20"/>
          <w:spacing w:val="-22"/>
          <w:w w:val="105"/>
        </w:rPr>
        <w:t> </w:t>
      </w:r>
      <w:r>
        <w:rPr>
          <w:color w:val="231F20"/>
          <w:w w:val="105"/>
        </w:rPr>
        <w:t>como</w:t>
      </w:r>
      <w:r>
        <w:rPr>
          <w:color w:val="231F20"/>
          <w:spacing w:val="-22"/>
          <w:w w:val="105"/>
        </w:rPr>
        <w:t> </w:t>
      </w:r>
      <w:r>
        <w:rPr>
          <w:color w:val="231F20"/>
          <w:w w:val="105"/>
        </w:rPr>
        <w:t>ejes</w:t>
      </w:r>
      <w:r>
        <w:rPr>
          <w:color w:val="231F20"/>
          <w:spacing w:val="-22"/>
          <w:w w:val="105"/>
        </w:rPr>
        <w:t> </w:t>
      </w:r>
      <w:r>
        <w:rPr>
          <w:color w:val="231F20"/>
          <w:w w:val="105"/>
        </w:rPr>
        <w:t>de</w:t>
      </w:r>
      <w:r>
        <w:rPr>
          <w:color w:val="231F20"/>
          <w:spacing w:val="-22"/>
          <w:w w:val="105"/>
        </w:rPr>
        <w:t> </w:t>
      </w:r>
      <w:r>
        <w:rPr>
          <w:color w:val="231F20"/>
          <w:w w:val="105"/>
        </w:rPr>
        <w:t>su</w:t>
      </w:r>
      <w:r>
        <w:rPr>
          <w:color w:val="231F20"/>
          <w:spacing w:val="-22"/>
          <w:w w:val="105"/>
        </w:rPr>
        <w:t> </w:t>
      </w:r>
      <w:r>
        <w:rPr>
          <w:color w:val="231F20"/>
          <w:w w:val="105"/>
        </w:rPr>
        <w:t>administración.</w:t>
      </w:r>
      <w:r>
        <w:rPr>
          <w:color w:val="231F20"/>
          <w:spacing w:val="-22"/>
          <w:w w:val="105"/>
        </w:rPr>
        <w:t> </w:t>
      </w:r>
      <w:r>
        <w:rPr>
          <w:color w:val="231F20"/>
          <w:w w:val="105"/>
        </w:rPr>
        <w:t>Asimismo,</w:t>
      </w:r>
      <w:r>
        <w:rPr>
          <w:color w:val="231F20"/>
          <w:spacing w:val="-22"/>
          <w:w w:val="105"/>
        </w:rPr>
        <w:t> </w:t>
      </w:r>
      <w:r>
        <w:rPr>
          <w:color w:val="231F20"/>
          <w:w w:val="105"/>
        </w:rPr>
        <w:t>ponía</w:t>
      </w:r>
      <w:r>
        <w:rPr>
          <w:color w:val="231F20"/>
          <w:spacing w:val="-22"/>
          <w:w w:val="105"/>
        </w:rPr>
        <w:t> </w:t>
      </w:r>
      <w:r>
        <w:rPr>
          <w:color w:val="231F20"/>
          <w:w w:val="105"/>
        </w:rPr>
        <w:t>en</w:t>
      </w:r>
      <w:r>
        <w:rPr>
          <w:color w:val="231F20"/>
          <w:spacing w:val="-22"/>
          <w:w w:val="105"/>
        </w:rPr>
        <w:t> </w:t>
      </w:r>
      <w:r>
        <w:rPr>
          <w:color w:val="231F20"/>
          <w:w w:val="105"/>
        </w:rPr>
        <w:t>relieve</w:t>
      </w:r>
      <w:r>
        <w:rPr>
          <w:color w:val="231F20"/>
          <w:spacing w:val="-22"/>
          <w:w w:val="105"/>
        </w:rPr>
        <w:t> </w:t>
      </w:r>
      <w:r>
        <w:rPr>
          <w:color w:val="231F20"/>
          <w:w w:val="105"/>
        </w:rPr>
        <w:t>el</w:t>
      </w:r>
      <w:r>
        <w:rPr>
          <w:color w:val="231F20"/>
          <w:spacing w:val="-22"/>
          <w:w w:val="105"/>
        </w:rPr>
        <w:t> </w:t>
      </w:r>
      <w:r>
        <w:rPr>
          <w:color w:val="231F20"/>
          <w:w w:val="105"/>
        </w:rPr>
        <w:t>incremento</w:t>
      </w:r>
      <w:r>
        <w:rPr>
          <w:color w:val="231F20"/>
          <w:spacing w:val="-22"/>
          <w:w w:val="105"/>
        </w:rPr>
        <w:t> </w:t>
      </w:r>
      <w:r>
        <w:rPr>
          <w:color w:val="231F20"/>
          <w:w w:val="105"/>
        </w:rPr>
        <w:t>de gasto</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rubros</w:t>
      </w:r>
      <w:r>
        <w:rPr>
          <w:color w:val="231F20"/>
          <w:spacing w:val="-18"/>
          <w:w w:val="105"/>
        </w:rPr>
        <w:t> </w:t>
      </w:r>
      <w:r>
        <w:rPr>
          <w:color w:val="231F20"/>
          <w:w w:val="105"/>
        </w:rPr>
        <w:t>ya</w:t>
      </w:r>
      <w:r>
        <w:rPr>
          <w:color w:val="231F20"/>
          <w:spacing w:val="-18"/>
          <w:w w:val="105"/>
        </w:rPr>
        <w:t> </w:t>
      </w:r>
      <w:r>
        <w:rPr>
          <w:color w:val="231F20"/>
          <w:w w:val="105"/>
        </w:rPr>
        <w:t>mencionados.</w:t>
      </w:r>
      <w:r>
        <w:rPr>
          <w:color w:val="231F20"/>
          <w:spacing w:val="-18"/>
          <w:w w:val="105"/>
        </w:rPr>
        <w:t> </w:t>
      </w:r>
      <w:r>
        <w:rPr>
          <w:color w:val="231F20"/>
          <w:w w:val="105"/>
        </w:rPr>
        <w:t>Como</w:t>
      </w:r>
      <w:r>
        <w:rPr>
          <w:color w:val="231F20"/>
          <w:spacing w:val="-18"/>
          <w:w w:val="105"/>
        </w:rPr>
        <w:t> </w:t>
      </w:r>
      <w:r>
        <w:rPr>
          <w:color w:val="231F20"/>
          <w:w w:val="105"/>
        </w:rPr>
        <w:t>no</w:t>
      </w:r>
      <w:r>
        <w:rPr>
          <w:color w:val="231F20"/>
          <w:spacing w:val="-18"/>
          <w:w w:val="105"/>
        </w:rPr>
        <w:t> </w:t>
      </w:r>
      <w:r>
        <w:rPr>
          <w:color w:val="231F20"/>
          <w:w w:val="105"/>
        </w:rPr>
        <w:t>hubo</w:t>
      </w:r>
      <w:r>
        <w:rPr>
          <w:color w:val="231F20"/>
          <w:spacing w:val="-18"/>
          <w:w w:val="105"/>
        </w:rPr>
        <w:t> </w:t>
      </w:r>
      <w:r>
        <w:rPr>
          <w:color w:val="231F20"/>
          <w:w w:val="105"/>
        </w:rPr>
        <w:t>actos</w:t>
      </w:r>
      <w:r>
        <w:rPr>
          <w:color w:val="231F20"/>
          <w:spacing w:val="-18"/>
          <w:w w:val="105"/>
        </w:rPr>
        <w:t> </w:t>
      </w:r>
      <w:r>
        <w:rPr>
          <w:color w:val="231F20"/>
          <w:w w:val="105"/>
        </w:rPr>
        <w:t>de</w:t>
      </w:r>
      <w:r>
        <w:rPr>
          <w:color w:val="231F20"/>
          <w:spacing w:val="-18"/>
          <w:w w:val="105"/>
        </w:rPr>
        <w:t> </w:t>
      </w:r>
      <w:r>
        <w:rPr>
          <w:color w:val="231F20"/>
          <w:w w:val="105"/>
        </w:rPr>
        <w:t>corrupción,</w:t>
      </w:r>
      <w:r>
        <w:rPr>
          <w:color w:val="231F20"/>
          <w:spacing w:val="-18"/>
          <w:w w:val="105"/>
        </w:rPr>
        <w:t> </w:t>
      </w:r>
      <w:r>
        <w:rPr>
          <w:color w:val="231F20"/>
          <w:w w:val="105"/>
        </w:rPr>
        <w:t>el</w:t>
      </w:r>
      <w:r>
        <w:rPr>
          <w:color w:val="231F20"/>
          <w:spacing w:val="-18"/>
          <w:w w:val="105"/>
        </w:rPr>
        <w:t> </w:t>
      </w:r>
      <w:r>
        <w:rPr>
          <w:color w:val="231F20"/>
          <w:w w:val="105"/>
        </w:rPr>
        <w:t>dinero</w:t>
      </w:r>
      <w:r>
        <w:rPr>
          <w:color w:val="231F20"/>
          <w:spacing w:val="-18"/>
          <w:w w:val="105"/>
        </w:rPr>
        <w:t> </w:t>
      </w:r>
      <w:r>
        <w:rPr>
          <w:color w:val="231F20"/>
          <w:w w:val="105"/>
        </w:rPr>
        <w:t>se</w:t>
      </w:r>
      <w:r>
        <w:rPr>
          <w:color w:val="231F20"/>
          <w:spacing w:val="-18"/>
          <w:w w:val="105"/>
        </w:rPr>
        <w:t> </w:t>
      </w:r>
      <w:r>
        <w:rPr>
          <w:color w:val="231F20"/>
          <w:w w:val="105"/>
        </w:rPr>
        <w:t>ca- </w:t>
      </w:r>
      <w:r>
        <w:rPr>
          <w:color w:val="231F20"/>
          <w:spacing w:val="2"/>
          <w:w w:val="105"/>
        </w:rPr>
        <w:t>nalizó</w:t>
      </w:r>
      <w:r>
        <w:rPr>
          <w:color w:val="231F20"/>
          <w:spacing w:val="-13"/>
          <w:w w:val="105"/>
        </w:rPr>
        <w:t> </w:t>
      </w:r>
      <w:r>
        <w:rPr>
          <w:color w:val="231F20"/>
          <w:w w:val="105"/>
        </w:rPr>
        <w:t>a</w:t>
      </w:r>
      <w:r>
        <w:rPr>
          <w:color w:val="231F20"/>
          <w:spacing w:val="-13"/>
          <w:w w:val="105"/>
        </w:rPr>
        <w:t> </w:t>
      </w:r>
      <w:r>
        <w:rPr>
          <w:color w:val="231F20"/>
          <w:w w:val="105"/>
        </w:rPr>
        <w:t>obras</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bien</w:t>
      </w:r>
      <w:r>
        <w:rPr>
          <w:color w:val="231F20"/>
          <w:spacing w:val="-13"/>
          <w:w w:val="105"/>
        </w:rPr>
        <w:t> </w:t>
      </w:r>
      <w:r>
        <w:rPr>
          <w:color w:val="231F20"/>
          <w:w w:val="105"/>
        </w:rPr>
        <w:t>común.</w:t>
      </w:r>
      <w:r>
        <w:rPr>
          <w:color w:val="231F20"/>
          <w:spacing w:val="-13"/>
          <w:w w:val="105"/>
        </w:rPr>
        <w:t> </w:t>
      </w:r>
      <w:r>
        <w:rPr>
          <w:color w:val="231F20"/>
          <w:w w:val="105"/>
        </w:rPr>
        <w:t>No</w:t>
      </w:r>
      <w:r>
        <w:rPr>
          <w:color w:val="231F20"/>
          <w:spacing w:val="-13"/>
          <w:w w:val="105"/>
        </w:rPr>
        <w:t> </w:t>
      </w:r>
      <w:r>
        <w:rPr>
          <w:color w:val="231F20"/>
          <w:w w:val="105"/>
        </w:rPr>
        <w:t>hubo</w:t>
      </w:r>
      <w:r>
        <w:rPr>
          <w:color w:val="231F20"/>
          <w:spacing w:val="-13"/>
          <w:w w:val="105"/>
        </w:rPr>
        <w:t> </w:t>
      </w:r>
      <w:r>
        <w:rPr>
          <w:color w:val="231F20"/>
          <w:w w:val="105"/>
        </w:rPr>
        <w:t>tampoco</w:t>
      </w:r>
      <w:r>
        <w:rPr>
          <w:color w:val="231F20"/>
          <w:spacing w:val="-13"/>
          <w:w w:val="105"/>
        </w:rPr>
        <w:t> </w:t>
      </w:r>
      <w:r>
        <w:rPr>
          <w:color w:val="231F20"/>
          <w:w w:val="105"/>
        </w:rPr>
        <w:t>abuso</w:t>
      </w:r>
      <w:r>
        <w:rPr>
          <w:color w:val="231F20"/>
          <w:spacing w:val="-13"/>
          <w:w w:val="105"/>
        </w:rPr>
        <w:t> </w:t>
      </w:r>
      <w:r>
        <w:rPr>
          <w:color w:val="231F20"/>
          <w:w w:val="105"/>
        </w:rPr>
        <w:t>de</w:t>
      </w:r>
      <w:r>
        <w:rPr>
          <w:color w:val="231F20"/>
          <w:spacing w:val="-13"/>
          <w:w w:val="105"/>
        </w:rPr>
        <w:t> </w:t>
      </w:r>
      <w:r>
        <w:rPr>
          <w:color w:val="231F20"/>
          <w:w w:val="105"/>
        </w:rPr>
        <w:t>poder</w:t>
      </w:r>
      <w:r>
        <w:rPr>
          <w:color w:val="231F20"/>
          <w:spacing w:val="-13"/>
          <w:w w:val="105"/>
        </w:rPr>
        <w:t> </w:t>
      </w:r>
      <w:r>
        <w:rPr>
          <w:color w:val="231F20"/>
          <w:spacing w:val="-7"/>
          <w:w w:val="105"/>
        </w:rPr>
        <w:t>y,</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contrario, desde</w:t>
      </w:r>
      <w:r>
        <w:rPr>
          <w:color w:val="231F20"/>
          <w:spacing w:val="-4"/>
          <w:w w:val="105"/>
        </w:rPr>
        <w:t> </w:t>
      </w:r>
      <w:r>
        <w:rPr>
          <w:color w:val="231F20"/>
          <w:w w:val="105"/>
        </w:rPr>
        <w:t>el</w:t>
      </w:r>
      <w:r>
        <w:rPr>
          <w:color w:val="231F20"/>
          <w:spacing w:val="-4"/>
          <w:w w:val="105"/>
        </w:rPr>
        <w:t> </w:t>
      </w:r>
      <w:r>
        <w:rPr>
          <w:color w:val="231F20"/>
          <w:w w:val="105"/>
        </w:rPr>
        <w:t>punto</w:t>
      </w:r>
      <w:r>
        <w:rPr>
          <w:color w:val="231F20"/>
          <w:spacing w:val="-4"/>
          <w:w w:val="105"/>
        </w:rPr>
        <w:t> </w:t>
      </w:r>
      <w:r>
        <w:rPr>
          <w:color w:val="231F20"/>
          <w:w w:val="105"/>
        </w:rPr>
        <w:t>de</w:t>
      </w:r>
      <w:r>
        <w:rPr>
          <w:color w:val="231F20"/>
          <w:spacing w:val="-4"/>
          <w:w w:val="105"/>
        </w:rPr>
        <w:t> </w:t>
      </w:r>
      <w:r>
        <w:rPr>
          <w:color w:val="231F20"/>
          <w:spacing w:val="2"/>
          <w:w w:val="105"/>
        </w:rPr>
        <w:t>vista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panistas,</w:t>
      </w:r>
      <w:r>
        <w:rPr>
          <w:color w:val="231F20"/>
          <w:spacing w:val="-4"/>
          <w:w w:val="105"/>
        </w:rPr>
        <w:t> </w:t>
      </w:r>
      <w:r>
        <w:rPr>
          <w:color w:val="231F20"/>
          <w:w w:val="105"/>
        </w:rPr>
        <w:t>hubo</w:t>
      </w:r>
      <w:r>
        <w:rPr>
          <w:color w:val="231F20"/>
          <w:spacing w:val="-4"/>
          <w:w w:val="105"/>
        </w:rPr>
        <w:t> </w:t>
      </w:r>
      <w:r>
        <w:rPr>
          <w:color w:val="231F20"/>
          <w:w w:val="105"/>
        </w:rPr>
        <w:t>una</w:t>
      </w:r>
      <w:r>
        <w:rPr>
          <w:color w:val="231F20"/>
          <w:spacing w:val="-4"/>
          <w:w w:val="105"/>
        </w:rPr>
        <w:t> </w:t>
      </w:r>
      <w:r>
        <w:rPr>
          <w:color w:val="231F20"/>
          <w:w w:val="105"/>
        </w:rPr>
        <w:t>constante</w:t>
      </w:r>
      <w:r>
        <w:rPr>
          <w:color w:val="231F20"/>
          <w:spacing w:val="-4"/>
          <w:w w:val="105"/>
        </w:rPr>
        <w:t> </w:t>
      </w:r>
      <w:r>
        <w:rPr>
          <w:color w:val="231F20"/>
          <w:w w:val="105"/>
        </w:rPr>
        <w:t>participación</w:t>
      </w:r>
      <w:r>
        <w:rPr>
          <w:color w:val="231F20"/>
          <w:spacing w:val="-4"/>
          <w:w w:val="105"/>
        </w:rPr>
        <w:t> </w:t>
      </w:r>
      <w:r>
        <w:rPr>
          <w:color w:val="231F20"/>
          <w:w w:val="105"/>
        </w:rPr>
        <w:t>ciudadana</w:t>
      </w:r>
      <w:r>
        <w:rPr>
          <w:color w:val="231F20"/>
          <w:spacing w:val="-4"/>
          <w:w w:val="105"/>
        </w:rPr>
        <w:t> </w:t>
      </w:r>
      <w:r>
        <w:rPr>
          <w:color w:val="231F20"/>
          <w:w w:val="105"/>
        </w:rPr>
        <w:t>en el</w:t>
      </w:r>
      <w:r>
        <w:rPr>
          <w:color w:val="231F20"/>
          <w:spacing w:val="-26"/>
          <w:w w:val="105"/>
        </w:rPr>
        <w:t> </w:t>
      </w:r>
      <w:r>
        <w:rPr>
          <w:color w:val="231F20"/>
          <w:w w:val="105"/>
        </w:rPr>
        <w:t>ejercicio</w:t>
      </w:r>
      <w:r>
        <w:rPr>
          <w:color w:val="231F20"/>
          <w:spacing w:val="-26"/>
          <w:w w:val="105"/>
        </w:rPr>
        <w:t> </w:t>
      </w:r>
      <w:r>
        <w:rPr>
          <w:color w:val="231F20"/>
          <w:w w:val="105"/>
        </w:rPr>
        <w:t>del</w:t>
      </w:r>
      <w:r>
        <w:rPr>
          <w:color w:val="231F20"/>
          <w:spacing w:val="-26"/>
          <w:w w:val="105"/>
        </w:rPr>
        <w:t> </w:t>
      </w:r>
      <w:r>
        <w:rPr>
          <w:color w:val="231F20"/>
          <w:spacing w:val="-2"/>
          <w:w w:val="105"/>
        </w:rPr>
        <w:t>poder.</w:t>
      </w:r>
      <w:r>
        <w:rPr>
          <w:color w:val="231F20"/>
          <w:spacing w:val="-26"/>
          <w:w w:val="105"/>
        </w:rPr>
        <w:t> </w:t>
      </w:r>
      <w:r>
        <w:rPr>
          <w:color w:val="231F20"/>
          <w:w w:val="105"/>
        </w:rPr>
        <w:t>Esto,</w:t>
      </w:r>
      <w:r>
        <w:rPr>
          <w:color w:val="231F20"/>
          <w:spacing w:val="-26"/>
          <w:w w:val="105"/>
        </w:rPr>
        <w:t> </w:t>
      </w:r>
      <w:r>
        <w:rPr>
          <w:color w:val="231F20"/>
          <w:w w:val="105"/>
        </w:rPr>
        <w:t>como</w:t>
      </w:r>
      <w:r>
        <w:rPr>
          <w:color w:val="231F20"/>
          <w:spacing w:val="-26"/>
          <w:w w:val="105"/>
        </w:rPr>
        <w:t> </w:t>
      </w:r>
      <w:r>
        <w:rPr>
          <w:color w:val="231F20"/>
          <w:w w:val="105"/>
        </w:rPr>
        <w:t>ya</w:t>
      </w:r>
      <w:r>
        <w:rPr>
          <w:color w:val="231F20"/>
          <w:spacing w:val="-26"/>
          <w:w w:val="105"/>
        </w:rPr>
        <w:t> </w:t>
      </w:r>
      <w:r>
        <w:rPr>
          <w:color w:val="231F20"/>
          <w:w w:val="105"/>
        </w:rPr>
        <w:t>se</w:t>
      </w:r>
      <w:r>
        <w:rPr>
          <w:color w:val="231F20"/>
          <w:spacing w:val="-26"/>
          <w:w w:val="105"/>
        </w:rPr>
        <w:t> </w:t>
      </w:r>
      <w:r>
        <w:rPr>
          <w:color w:val="231F20"/>
          <w:w w:val="105"/>
        </w:rPr>
        <w:t>señaló,</w:t>
      </w:r>
      <w:r>
        <w:rPr>
          <w:color w:val="231F20"/>
          <w:spacing w:val="-26"/>
          <w:w w:val="105"/>
        </w:rPr>
        <w:t> </w:t>
      </w:r>
      <w:r>
        <w:rPr>
          <w:color w:val="231F20"/>
          <w:w w:val="105"/>
        </w:rPr>
        <w:t>carece</w:t>
      </w:r>
      <w:r>
        <w:rPr>
          <w:color w:val="231F20"/>
          <w:spacing w:val="-26"/>
          <w:w w:val="105"/>
        </w:rPr>
        <w:t> </w:t>
      </w:r>
      <w:r>
        <w:rPr>
          <w:color w:val="231F20"/>
          <w:w w:val="105"/>
        </w:rPr>
        <w:t>de</w:t>
      </w:r>
      <w:r>
        <w:rPr>
          <w:color w:val="231F20"/>
          <w:spacing w:val="-26"/>
          <w:w w:val="105"/>
        </w:rPr>
        <w:t> </w:t>
      </w:r>
      <w:r>
        <w:rPr>
          <w:color w:val="231F20"/>
          <w:w w:val="105"/>
        </w:rPr>
        <w:t>sustento</w:t>
      </w:r>
      <w:r>
        <w:rPr>
          <w:color w:val="231F20"/>
          <w:spacing w:val="-26"/>
          <w:w w:val="105"/>
        </w:rPr>
        <w:t> </w:t>
      </w:r>
      <w:r>
        <w:rPr>
          <w:color w:val="231F20"/>
          <w:w w:val="105"/>
        </w:rPr>
        <w:t>debido</w:t>
      </w:r>
      <w:r>
        <w:rPr>
          <w:color w:val="231F20"/>
          <w:spacing w:val="-26"/>
          <w:w w:val="105"/>
        </w:rPr>
        <w:t> </w:t>
      </w:r>
      <w:r>
        <w:rPr>
          <w:color w:val="231F20"/>
          <w:spacing w:val="2"/>
          <w:w w:val="105"/>
        </w:rPr>
        <w:t>al</w:t>
      </w:r>
      <w:r>
        <w:rPr>
          <w:color w:val="231F20"/>
          <w:spacing w:val="-26"/>
          <w:w w:val="105"/>
        </w:rPr>
        <w:t> </w:t>
      </w:r>
      <w:r>
        <w:rPr>
          <w:color w:val="231F20"/>
          <w:w w:val="105"/>
        </w:rPr>
        <w:t>poco</w:t>
      </w:r>
      <w:r>
        <w:rPr>
          <w:color w:val="231F20"/>
          <w:spacing w:val="-26"/>
          <w:w w:val="105"/>
        </w:rPr>
        <w:t> </w:t>
      </w:r>
      <w:r>
        <w:rPr>
          <w:color w:val="231F20"/>
          <w:w w:val="105"/>
        </w:rPr>
        <w:t>impacto de</w:t>
      </w:r>
      <w:r>
        <w:rPr>
          <w:color w:val="231F20"/>
          <w:spacing w:val="-15"/>
          <w:w w:val="105"/>
        </w:rPr>
        <w:t> </w:t>
      </w:r>
      <w:r>
        <w:rPr>
          <w:color w:val="231F20"/>
          <w:w w:val="105"/>
        </w:rPr>
        <w:t>los</w:t>
      </w:r>
      <w:r>
        <w:rPr>
          <w:color w:val="231F20"/>
          <w:spacing w:val="-15"/>
          <w:w w:val="105"/>
        </w:rPr>
        <w:t> </w:t>
      </w:r>
      <w:r>
        <w:rPr>
          <w:color w:val="231F20"/>
          <w:w w:val="105"/>
        </w:rPr>
        <w:t>ciudadanos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toma</w:t>
      </w:r>
      <w:r>
        <w:rPr>
          <w:color w:val="231F20"/>
          <w:spacing w:val="-15"/>
          <w:w w:val="105"/>
        </w:rPr>
        <w:t> </w:t>
      </w:r>
      <w:r>
        <w:rPr>
          <w:color w:val="231F20"/>
          <w:w w:val="105"/>
        </w:rPr>
        <w:t>de</w:t>
      </w:r>
      <w:r>
        <w:rPr>
          <w:color w:val="231F20"/>
          <w:spacing w:val="-15"/>
          <w:w w:val="105"/>
        </w:rPr>
        <w:t> </w:t>
      </w:r>
      <w:r>
        <w:rPr>
          <w:color w:val="231F20"/>
          <w:w w:val="105"/>
        </w:rPr>
        <w:t>decisiones.</w:t>
      </w:r>
    </w:p>
    <w:p>
      <w:pPr>
        <w:pStyle w:val="BodyText"/>
        <w:spacing w:before="1"/>
        <w:rPr>
          <w:sz w:val="26"/>
        </w:rPr>
      </w:pPr>
    </w:p>
    <w:p>
      <w:pPr>
        <w:pStyle w:val="BodyText"/>
        <w:spacing w:line="285" w:lineRule="auto"/>
        <w:ind w:left="110" w:right="107"/>
        <w:jc w:val="both"/>
      </w:pPr>
      <w:r>
        <w:rPr>
          <w:color w:val="231F20"/>
          <w:spacing w:val="3"/>
          <w:w w:val="105"/>
        </w:rPr>
        <w:t>Las </w:t>
      </w:r>
      <w:r>
        <w:rPr>
          <w:color w:val="231F20"/>
          <w:spacing w:val="2"/>
          <w:w w:val="105"/>
        </w:rPr>
        <w:t>cualidades </w:t>
      </w:r>
      <w:r>
        <w:rPr>
          <w:color w:val="231F20"/>
          <w:w w:val="105"/>
        </w:rPr>
        <w:t>del nuevo gobierno, en realidad, no </w:t>
      </w:r>
      <w:r>
        <w:rPr>
          <w:color w:val="231F20"/>
          <w:spacing w:val="2"/>
          <w:w w:val="105"/>
        </w:rPr>
        <w:t>reflejan </w:t>
      </w:r>
      <w:r>
        <w:rPr>
          <w:color w:val="231F20"/>
          <w:spacing w:val="3"/>
          <w:w w:val="105"/>
        </w:rPr>
        <w:t>un perfil </w:t>
      </w:r>
      <w:r>
        <w:rPr>
          <w:color w:val="231F20"/>
          <w:w w:val="105"/>
        </w:rPr>
        <w:t>netamente pa- </w:t>
      </w:r>
      <w:r>
        <w:rPr>
          <w:color w:val="231F20"/>
          <w:spacing w:val="3"/>
          <w:w w:val="105"/>
        </w:rPr>
        <w:t>nista. </w:t>
      </w:r>
      <w:r>
        <w:rPr>
          <w:color w:val="231F20"/>
          <w:w w:val="105"/>
        </w:rPr>
        <w:t>Comparado con la idea de municipio que tiene el propio </w:t>
      </w:r>
      <w:r>
        <w:rPr>
          <w:color w:val="231F20"/>
          <w:spacing w:val="2"/>
          <w:w w:val="105"/>
        </w:rPr>
        <w:t>partido, </w:t>
      </w:r>
      <w:r>
        <w:rPr>
          <w:color w:val="231F20"/>
          <w:w w:val="105"/>
        </w:rPr>
        <w:t>la gestión de </w:t>
      </w:r>
      <w:r>
        <w:rPr>
          <w:color w:val="231F20"/>
          <w:spacing w:val="3"/>
          <w:w w:val="105"/>
        </w:rPr>
        <w:t>Durán </w:t>
      </w:r>
      <w:r>
        <w:rPr>
          <w:color w:val="231F20"/>
          <w:w w:val="105"/>
        </w:rPr>
        <w:t>Reveles se quedó </w:t>
      </w:r>
      <w:r>
        <w:rPr>
          <w:color w:val="231F20"/>
          <w:spacing w:val="2"/>
          <w:w w:val="105"/>
        </w:rPr>
        <w:t>corta. </w:t>
      </w:r>
      <w:r>
        <w:rPr>
          <w:color w:val="231F20"/>
          <w:w w:val="105"/>
        </w:rPr>
        <w:t>No </w:t>
      </w:r>
      <w:r>
        <w:rPr>
          <w:color w:val="231F20"/>
          <w:spacing w:val="2"/>
          <w:w w:val="105"/>
        </w:rPr>
        <w:t>pasó </w:t>
      </w:r>
      <w:r>
        <w:rPr>
          <w:color w:val="231F20"/>
          <w:w w:val="105"/>
        </w:rPr>
        <w:t>de ser </w:t>
      </w:r>
      <w:r>
        <w:rPr>
          <w:color w:val="231F20"/>
          <w:spacing w:val="3"/>
          <w:w w:val="105"/>
        </w:rPr>
        <w:t>una </w:t>
      </w:r>
      <w:r>
        <w:rPr>
          <w:color w:val="231F20"/>
          <w:w w:val="105"/>
        </w:rPr>
        <w:t>gestión eficiente en el manejo de </w:t>
      </w:r>
      <w:r>
        <w:rPr>
          <w:color w:val="231F20"/>
          <w:spacing w:val="2"/>
          <w:w w:val="105"/>
        </w:rPr>
        <w:t>recursos </w:t>
      </w:r>
      <w:r>
        <w:rPr>
          <w:color w:val="231F20"/>
          <w:w w:val="105"/>
        </w:rPr>
        <w:t>y con </w:t>
      </w:r>
      <w:r>
        <w:rPr>
          <w:color w:val="231F20"/>
          <w:spacing w:val="3"/>
          <w:w w:val="105"/>
        </w:rPr>
        <w:t>una </w:t>
      </w:r>
      <w:r>
        <w:rPr>
          <w:color w:val="231F20"/>
          <w:w w:val="105"/>
        </w:rPr>
        <w:t>decidida orientación </w:t>
      </w:r>
      <w:r>
        <w:rPr>
          <w:color w:val="231F20"/>
          <w:spacing w:val="2"/>
          <w:w w:val="105"/>
        </w:rPr>
        <w:t>empresarial. </w:t>
      </w:r>
      <w:r>
        <w:rPr>
          <w:color w:val="231F20"/>
          <w:w w:val="105"/>
        </w:rPr>
        <w:t>La honestidad no es </w:t>
      </w:r>
      <w:r>
        <w:rPr>
          <w:color w:val="231F20"/>
          <w:spacing w:val="3"/>
          <w:w w:val="105"/>
        </w:rPr>
        <w:t>un </w:t>
      </w:r>
      <w:r>
        <w:rPr>
          <w:color w:val="231F20"/>
          <w:spacing w:val="2"/>
          <w:w w:val="105"/>
        </w:rPr>
        <w:t>valor </w:t>
      </w:r>
      <w:r>
        <w:rPr>
          <w:color w:val="231F20"/>
          <w:w w:val="105"/>
        </w:rPr>
        <w:t>ideológico</w:t>
      </w:r>
      <w:r>
        <w:rPr>
          <w:color w:val="231F20"/>
          <w:spacing w:val="-5"/>
          <w:w w:val="105"/>
        </w:rPr>
        <w:t> </w:t>
      </w:r>
      <w:r>
        <w:rPr>
          <w:color w:val="231F20"/>
          <w:w w:val="105"/>
        </w:rPr>
        <w:t>exclusivo</w:t>
      </w:r>
      <w:r>
        <w:rPr>
          <w:color w:val="231F20"/>
          <w:spacing w:val="-5"/>
          <w:w w:val="105"/>
        </w:rPr>
        <w:t> </w:t>
      </w:r>
      <w:r>
        <w:rPr>
          <w:color w:val="231F20"/>
          <w:w w:val="105"/>
        </w:rPr>
        <w:t>de</w:t>
      </w:r>
      <w:r>
        <w:rPr>
          <w:color w:val="231F20"/>
          <w:spacing w:val="-5"/>
          <w:w w:val="105"/>
        </w:rPr>
        <w:t> </w:t>
      </w:r>
      <w:r>
        <w:rPr>
          <w:color w:val="231F20"/>
          <w:w w:val="105"/>
        </w:rPr>
        <w:t>Acción</w:t>
      </w:r>
      <w:r>
        <w:rPr>
          <w:color w:val="231F20"/>
          <w:spacing w:val="-5"/>
          <w:w w:val="105"/>
        </w:rPr>
        <w:t> </w:t>
      </w:r>
      <w:r>
        <w:rPr>
          <w:color w:val="231F20"/>
          <w:w w:val="105"/>
        </w:rPr>
        <w:t>Nacional,</w:t>
      </w:r>
      <w:r>
        <w:rPr>
          <w:color w:val="231F20"/>
          <w:spacing w:val="-5"/>
          <w:w w:val="105"/>
        </w:rPr>
        <w:t> </w:t>
      </w:r>
      <w:r>
        <w:rPr>
          <w:color w:val="231F20"/>
          <w:w w:val="105"/>
        </w:rPr>
        <w:t>como</w:t>
      </w:r>
      <w:r>
        <w:rPr>
          <w:color w:val="231F20"/>
          <w:spacing w:val="-5"/>
          <w:w w:val="105"/>
        </w:rPr>
        <w:t> </w:t>
      </w:r>
      <w:r>
        <w:rPr>
          <w:color w:val="231F20"/>
          <w:spacing w:val="2"/>
          <w:w w:val="105"/>
        </w:rPr>
        <w:t>tampoco</w:t>
      </w:r>
      <w:r>
        <w:rPr>
          <w:color w:val="231F20"/>
          <w:spacing w:val="-5"/>
          <w:w w:val="105"/>
        </w:rPr>
        <w:t> </w:t>
      </w:r>
      <w:r>
        <w:rPr>
          <w:color w:val="231F20"/>
          <w:w w:val="105"/>
        </w:rPr>
        <w:t>la</w:t>
      </w:r>
      <w:r>
        <w:rPr>
          <w:color w:val="231F20"/>
          <w:spacing w:val="-5"/>
          <w:w w:val="105"/>
        </w:rPr>
        <w:t> </w:t>
      </w:r>
      <w:r>
        <w:rPr>
          <w:color w:val="231F20"/>
          <w:w w:val="105"/>
        </w:rPr>
        <w:t>corrupción</w:t>
      </w:r>
      <w:r>
        <w:rPr>
          <w:color w:val="231F20"/>
          <w:spacing w:val="-5"/>
          <w:w w:val="105"/>
        </w:rPr>
        <w:t> </w:t>
      </w:r>
      <w:r>
        <w:rPr>
          <w:color w:val="231F20"/>
          <w:w w:val="105"/>
        </w:rPr>
        <w:t>solo</w:t>
      </w:r>
      <w:r>
        <w:rPr>
          <w:color w:val="231F20"/>
          <w:spacing w:val="-5"/>
          <w:w w:val="105"/>
        </w:rPr>
        <w:t> </w:t>
      </w:r>
      <w:r>
        <w:rPr>
          <w:color w:val="231F20"/>
          <w:w w:val="105"/>
        </w:rPr>
        <w:t>puede</w:t>
      </w:r>
      <w:r>
        <w:rPr>
          <w:color w:val="231F20"/>
          <w:spacing w:val="-5"/>
          <w:w w:val="105"/>
        </w:rPr>
        <w:t> </w:t>
      </w:r>
      <w:r>
        <w:rPr>
          <w:color w:val="231F20"/>
          <w:w w:val="105"/>
        </w:rPr>
        <w:t>ser ejercida por </w:t>
      </w:r>
      <w:r>
        <w:rPr>
          <w:color w:val="231F20"/>
          <w:spacing w:val="3"/>
          <w:w w:val="105"/>
        </w:rPr>
        <w:t>un </w:t>
      </w:r>
      <w:r>
        <w:rPr>
          <w:color w:val="231F20"/>
          <w:w w:val="105"/>
        </w:rPr>
        <w:t>solo</w:t>
      </w:r>
      <w:r>
        <w:rPr>
          <w:color w:val="231F20"/>
          <w:spacing w:val="17"/>
          <w:w w:val="105"/>
        </w:rPr>
        <w:t> </w:t>
      </w:r>
      <w:r>
        <w:rPr>
          <w:color w:val="231F20"/>
          <w:w w:val="105"/>
        </w:rPr>
        <w:t>partido.</w:t>
      </w:r>
    </w:p>
    <w:p>
      <w:pPr>
        <w:pStyle w:val="BodyText"/>
        <w:spacing w:before="1"/>
        <w:rPr>
          <w:sz w:val="26"/>
        </w:rPr>
      </w:pPr>
    </w:p>
    <w:p>
      <w:pPr>
        <w:pStyle w:val="BodyText"/>
        <w:spacing w:line="285" w:lineRule="auto"/>
        <w:ind w:left="110" w:right="107"/>
        <w:jc w:val="both"/>
      </w:pPr>
      <w:r>
        <w:rPr>
          <w:color w:val="231F20"/>
          <w:w w:val="105"/>
        </w:rPr>
        <w:t>Una</w:t>
      </w:r>
      <w:r>
        <w:rPr>
          <w:color w:val="231F20"/>
          <w:spacing w:val="-19"/>
          <w:w w:val="105"/>
        </w:rPr>
        <w:t> </w:t>
      </w:r>
      <w:r>
        <w:rPr>
          <w:color w:val="231F20"/>
          <w:w w:val="105"/>
        </w:rPr>
        <w:t>parte</w:t>
      </w:r>
      <w:r>
        <w:rPr>
          <w:color w:val="231F20"/>
          <w:spacing w:val="-19"/>
          <w:w w:val="105"/>
        </w:rPr>
        <w:t> </w:t>
      </w:r>
      <w:r>
        <w:rPr>
          <w:color w:val="231F20"/>
          <w:w w:val="105"/>
        </w:rPr>
        <w:t>importante</w:t>
      </w:r>
      <w:r>
        <w:rPr>
          <w:color w:val="231F20"/>
          <w:spacing w:val="-19"/>
          <w:w w:val="105"/>
        </w:rPr>
        <w:t> </w:t>
      </w:r>
      <w:r>
        <w:rPr>
          <w:color w:val="231F20"/>
          <w:w w:val="105"/>
        </w:rPr>
        <w:t>del</w:t>
      </w:r>
      <w:r>
        <w:rPr>
          <w:color w:val="231F20"/>
          <w:spacing w:val="-19"/>
          <w:w w:val="105"/>
        </w:rPr>
        <w:t> </w:t>
      </w:r>
      <w:r>
        <w:rPr>
          <w:color w:val="231F20"/>
          <w:w w:val="105"/>
        </w:rPr>
        <w:t>gasto</w:t>
      </w:r>
      <w:r>
        <w:rPr>
          <w:color w:val="231F20"/>
          <w:spacing w:val="-19"/>
          <w:w w:val="105"/>
        </w:rPr>
        <w:t> </w:t>
      </w:r>
      <w:r>
        <w:rPr>
          <w:color w:val="231F20"/>
          <w:w w:val="105"/>
        </w:rPr>
        <w:t>social</w:t>
      </w:r>
      <w:r>
        <w:rPr>
          <w:color w:val="231F20"/>
          <w:spacing w:val="-19"/>
          <w:w w:val="105"/>
        </w:rPr>
        <w:t> </w:t>
      </w:r>
      <w:r>
        <w:rPr>
          <w:color w:val="231F20"/>
          <w:w w:val="105"/>
        </w:rPr>
        <w:t>depende</w:t>
      </w:r>
      <w:r>
        <w:rPr>
          <w:color w:val="231F20"/>
          <w:spacing w:val="-19"/>
          <w:w w:val="105"/>
        </w:rPr>
        <w:t> </w:t>
      </w:r>
      <w:r>
        <w:rPr>
          <w:color w:val="231F20"/>
          <w:w w:val="105"/>
        </w:rPr>
        <w:t>de</w:t>
      </w:r>
      <w:r>
        <w:rPr>
          <w:color w:val="231F20"/>
          <w:spacing w:val="-19"/>
          <w:w w:val="105"/>
        </w:rPr>
        <w:t> </w:t>
      </w:r>
      <w:r>
        <w:rPr>
          <w:color w:val="231F20"/>
          <w:w w:val="105"/>
        </w:rPr>
        <w:t>recursos</w:t>
      </w:r>
      <w:r>
        <w:rPr>
          <w:color w:val="231F20"/>
          <w:spacing w:val="-19"/>
          <w:w w:val="105"/>
        </w:rPr>
        <w:t> </w:t>
      </w:r>
      <w:r>
        <w:rPr>
          <w:color w:val="231F20"/>
          <w:w w:val="105"/>
        </w:rPr>
        <w:t>y</w:t>
      </w:r>
      <w:r>
        <w:rPr>
          <w:color w:val="231F20"/>
          <w:spacing w:val="-19"/>
          <w:w w:val="105"/>
        </w:rPr>
        <w:t> </w:t>
      </w:r>
      <w:r>
        <w:rPr>
          <w:color w:val="231F20"/>
          <w:w w:val="105"/>
        </w:rPr>
        <w:t>programas</w:t>
      </w:r>
      <w:r>
        <w:rPr>
          <w:color w:val="231F20"/>
          <w:spacing w:val="-19"/>
          <w:w w:val="105"/>
        </w:rPr>
        <w:t> </w:t>
      </w:r>
      <w:r>
        <w:rPr>
          <w:color w:val="231F20"/>
          <w:w w:val="105"/>
        </w:rPr>
        <w:t>federales,</w:t>
      </w:r>
      <w:r>
        <w:rPr>
          <w:color w:val="231F20"/>
          <w:spacing w:val="-19"/>
          <w:w w:val="105"/>
        </w:rPr>
        <w:t> </w:t>
      </w:r>
      <w:r>
        <w:rPr>
          <w:color w:val="231F20"/>
          <w:w w:val="105"/>
        </w:rPr>
        <w:t>por</w:t>
      </w:r>
      <w:r>
        <w:rPr>
          <w:color w:val="231F20"/>
          <w:spacing w:val="-19"/>
          <w:w w:val="105"/>
        </w:rPr>
        <w:t> </w:t>
      </w:r>
      <w:r>
        <w:rPr>
          <w:color w:val="231F20"/>
          <w:w w:val="105"/>
        </w:rPr>
        <w:t>lo que</w:t>
      </w:r>
      <w:r>
        <w:rPr>
          <w:color w:val="231F20"/>
          <w:spacing w:val="-15"/>
          <w:w w:val="105"/>
        </w:rPr>
        <w:t> </w:t>
      </w:r>
      <w:r>
        <w:rPr>
          <w:color w:val="231F20"/>
          <w:w w:val="105"/>
        </w:rPr>
        <w:t>no</w:t>
      </w:r>
      <w:r>
        <w:rPr>
          <w:color w:val="231F20"/>
          <w:spacing w:val="-15"/>
          <w:w w:val="105"/>
        </w:rPr>
        <w:t> </w:t>
      </w:r>
      <w:r>
        <w:rPr>
          <w:color w:val="231F20"/>
          <w:w w:val="105"/>
        </w:rPr>
        <w:t>se</w:t>
      </w:r>
      <w:r>
        <w:rPr>
          <w:color w:val="231F20"/>
          <w:spacing w:val="-15"/>
          <w:w w:val="105"/>
        </w:rPr>
        <w:t> </w:t>
      </w:r>
      <w:r>
        <w:rPr>
          <w:color w:val="231F20"/>
          <w:w w:val="105"/>
        </w:rPr>
        <w:t>puede</w:t>
      </w:r>
      <w:r>
        <w:rPr>
          <w:color w:val="231F20"/>
          <w:spacing w:val="-15"/>
          <w:w w:val="105"/>
        </w:rPr>
        <w:t> </w:t>
      </w:r>
      <w:r>
        <w:rPr>
          <w:color w:val="231F20"/>
          <w:w w:val="105"/>
        </w:rPr>
        <w:t>decir</w:t>
      </w:r>
      <w:r>
        <w:rPr>
          <w:color w:val="231F20"/>
          <w:spacing w:val="-15"/>
          <w:w w:val="105"/>
        </w:rPr>
        <w:t> </w:t>
      </w:r>
      <w:r>
        <w:rPr>
          <w:color w:val="231F20"/>
          <w:w w:val="105"/>
        </w:rPr>
        <w:t>que</w:t>
      </w:r>
      <w:r>
        <w:rPr>
          <w:color w:val="231F20"/>
          <w:spacing w:val="-15"/>
          <w:w w:val="105"/>
        </w:rPr>
        <w:t> </w:t>
      </w:r>
      <w:r>
        <w:rPr>
          <w:color w:val="231F20"/>
          <w:w w:val="105"/>
        </w:rPr>
        <w:t>su</w:t>
      </w:r>
      <w:r>
        <w:rPr>
          <w:color w:val="231F20"/>
          <w:spacing w:val="-15"/>
          <w:w w:val="105"/>
        </w:rPr>
        <w:t> </w:t>
      </w:r>
      <w:r>
        <w:rPr>
          <w:color w:val="231F20"/>
          <w:w w:val="105"/>
        </w:rPr>
        <w:t>canalización</w:t>
      </w:r>
      <w:r>
        <w:rPr>
          <w:color w:val="231F20"/>
          <w:spacing w:val="-15"/>
          <w:w w:val="105"/>
        </w:rPr>
        <w:t> </w:t>
      </w:r>
      <w:r>
        <w:rPr>
          <w:color w:val="231F20"/>
          <w:w w:val="105"/>
        </w:rPr>
        <w:t>a</w:t>
      </w:r>
      <w:r>
        <w:rPr>
          <w:color w:val="231F20"/>
          <w:spacing w:val="-15"/>
          <w:w w:val="105"/>
        </w:rPr>
        <w:t> </w:t>
      </w:r>
      <w:r>
        <w:rPr>
          <w:color w:val="231F20"/>
          <w:w w:val="105"/>
        </w:rPr>
        <w:t>ciertos</w:t>
      </w:r>
      <w:r>
        <w:rPr>
          <w:color w:val="231F20"/>
          <w:spacing w:val="-15"/>
          <w:w w:val="105"/>
        </w:rPr>
        <w:t> </w:t>
      </w:r>
      <w:r>
        <w:rPr>
          <w:color w:val="231F20"/>
          <w:w w:val="105"/>
        </w:rPr>
        <w:t>rubros</w:t>
      </w:r>
      <w:r>
        <w:rPr>
          <w:color w:val="231F20"/>
          <w:spacing w:val="-15"/>
          <w:w w:val="105"/>
        </w:rPr>
        <w:t> </w:t>
      </w:r>
      <w:r>
        <w:rPr>
          <w:color w:val="231F20"/>
          <w:w w:val="105"/>
        </w:rPr>
        <w:t>haya</w:t>
      </w:r>
      <w:r>
        <w:rPr>
          <w:color w:val="231F20"/>
          <w:spacing w:val="-15"/>
          <w:w w:val="105"/>
        </w:rPr>
        <w:t> </w:t>
      </w:r>
      <w:r>
        <w:rPr>
          <w:color w:val="231F20"/>
          <w:w w:val="105"/>
        </w:rPr>
        <w:t>sido</w:t>
      </w:r>
      <w:r>
        <w:rPr>
          <w:color w:val="231F20"/>
          <w:spacing w:val="-15"/>
          <w:w w:val="105"/>
        </w:rPr>
        <w:t> </w:t>
      </w:r>
      <w:r>
        <w:rPr>
          <w:color w:val="231F20"/>
          <w:w w:val="105"/>
        </w:rPr>
        <w:t>decidida</w:t>
      </w:r>
      <w:r>
        <w:rPr>
          <w:color w:val="231F20"/>
          <w:spacing w:val="-15"/>
          <w:w w:val="105"/>
        </w:rPr>
        <w:t> </w:t>
      </w:r>
      <w:r>
        <w:rPr>
          <w:color w:val="231F20"/>
          <w:w w:val="105"/>
        </w:rPr>
        <w:t>por</w:t>
      </w:r>
      <w:r>
        <w:rPr>
          <w:color w:val="231F20"/>
          <w:spacing w:val="-15"/>
          <w:w w:val="105"/>
        </w:rPr>
        <w:t> </w:t>
      </w:r>
      <w:r>
        <w:rPr>
          <w:color w:val="231F20"/>
          <w:w w:val="105"/>
        </w:rPr>
        <w:t>Durán y</w:t>
      </w:r>
      <w:r>
        <w:rPr>
          <w:color w:val="231F20"/>
          <w:spacing w:val="-13"/>
          <w:w w:val="105"/>
        </w:rPr>
        <w:t> </w:t>
      </w:r>
      <w:r>
        <w:rPr>
          <w:color w:val="231F20"/>
          <w:w w:val="105"/>
        </w:rPr>
        <w:t>sus</w:t>
      </w:r>
      <w:r>
        <w:rPr>
          <w:color w:val="231F20"/>
          <w:spacing w:val="-13"/>
          <w:w w:val="105"/>
        </w:rPr>
        <w:t> </w:t>
      </w:r>
      <w:r>
        <w:rPr>
          <w:color w:val="231F20"/>
          <w:w w:val="105"/>
        </w:rPr>
        <w:t>colaboradores.</w:t>
      </w:r>
      <w:r>
        <w:rPr>
          <w:color w:val="231F20"/>
          <w:spacing w:val="-13"/>
          <w:w w:val="105"/>
        </w:rPr>
        <w:t> </w:t>
      </w:r>
      <w:r>
        <w:rPr>
          <w:color w:val="231F20"/>
          <w:spacing w:val="-3"/>
          <w:w w:val="105"/>
        </w:rPr>
        <w:t>Pero</w:t>
      </w:r>
      <w:r>
        <w:rPr>
          <w:color w:val="231F20"/>
          <w:spacing w:val="-13"/>
          <w:w w:val="105"/>
        </w:rPr>
        <w:t> </w:t>
      </w:r>
      <w:r>
        <w:rPr>
          <w:color w:val="231F20"/>
          <w:w w:val="105"/>
        </w:rPr>
        <w:t>la</w:t>
      </w:r>
      <w:r>
        <w:rPr>
          <w:color w:val="231F20"/>
          <w:spacing w:val="-13"/>
          <w:w w:val="105"/>
        </w:rPr>
        <w:t> </w:t>
      </w:r>
      <w:r>
        <w:rPr>
          <w:color w:val="231F20"/>
          <w:w w:val="105"/>
        </w:rPr>
        <w:t>orientación</w:t>
      </w:r>
      <w:r>
        <w:rPr>
          <w:color w:val="231F20"/>
          <w:spacing w:val="-13"/>
          <w:w w:val="105"/>
        </w:rPr>
        <w:t> </w:t>
      </w:r>
      <w:r>
        <w:rPr>
          <w:color w:val="231F20"/>
          <w:w w:val="105"/>
        </w:rPr>
        <w:t>empresarial</w:t>
      </w:r>
      <w:r>
        <w:rPr>
          <w:color w:val="231F20"/>
          <w:spacing w:val="-13"/>
          <w:w w:val="105"/>
        </w:rPr>
        <w:t> </w:t>
      </w:r>
      <w:r>
        <w:rPr>
          <w:color w:val="231F20"/>
          <w:w w:val="105"/>
        </w:rPr>
        <w:t>si</w:t>
      </w:r>
      <w:r>
        <w:rPr>
          <w:color w:val="231F20"/>
          <w:spacing w:val="-13"/>
          <w:w w:val="105"/>
        </w:rPr>
        <w:t> </w:t>
      </w:r>
      <w:r>
        <w:rPr>
          <w:color w:val="231F20"/>
          <w:w w:val="105"/>
        </w:rPr>
        <w:t>es</w:t>
      </w:r>
      <w:r>
        <w:rPr>
          <w:color w:val="231F20"/>
          <w:spacing w:val="-13"/>
          <w:w w:val="105"/>
        </w:rPr>
        <w:t> </w:t>
      </w:r>
      <w:r>
        <w:rPr>
          <w:color w:val="231F20"/>
          <w:w w:val="105"/>
        </w:rPr>
        <w:t>de</w:t>
      </w:r>
      <w:r>
        <w:rPr>
          <w:color w:val="231F20"/>
          <w:spacing w:val="-13"/>
          <w:w w:val="105"/>
        </w:rPr>
        <w:t> </w:t>
      </w:r>
      <w:r>
        <w:rPr>
          <w:color w:val="231F20"/>
          <w:w w:val="105"/>
        </w:rPr>
        <w:t>sello</w:t>
      </w:r>
      <w:r>
        <w:rPr>
          <w:color w:val="231F20"/>
          <w:spacing w:val="-13"/>
          <w:w w:val="105"/>
        </w:rPr>
        <w:t> </w:t>
      </w:r>
      <w:r>
        <w:rPr>
          <w:color w:val="231F20"/>
          <w:w w:val="105"/>
        </w:rPr>
        <w:t>panista;</w:t>
      </w:r>
      <w:r>
        <w:rPr>
          <w:color w:val="231F20"/>
          <w:spacing w:val="-13"/>
          <w:w w:val="105"/>
        </w:rPr>
        <w:t> </w:t>
      </w:r>
      <w:r>
        <w:rPr>
          <w:color w:val="231F20"/>
          <w:w w:val="105"/>
        </w:rPr>
        <w:t>se</w:t>
      </w:r>
      <w:r>
        <w:rPr>
          <w:color w:val="231F20"/>
          <w:spacing w:val="-13"/>
          <w:w w:val="105"/>
        </w:rPr>
        <w:t> </w:t>
      </w:r>
      <w:r>
        <w:rPr>
          <w:color w:val="231F20"/>
          <w:w w:val="105"/>
        </w:rPr>
        <w:t>percibe</w:t>
      </w:r>
      <w:r>
        <w:rPr>
          <w:color w:val="231F20"/>
          <w:spacing w:val="-13"/>
          <w:w w:val="105"/>
        </w:rPr>
        <w:t> </w:t>
      </w:r>
      <w:r>
        <w:rPr>
          <w:color w:val="231F20"/>
          <w:w w:val="105"/>
        </w:rPr>
        <w:t>en el</w:t>
      </w:r>
      <w:r>
        <w:rPr>
          <w:color w:val="231F20"/>
          <w:spacing w:val="-9"/>
          <w:w w:val="105"/>
        </w:rPr>
        <w:t> </w:t>
      </w:r>
      <w:r>
        <w:rPr>
          <w:color w:val="231F20"/>
          <w:w w:val="105"/>
        </w:rPr>
        <w:t>discurso,</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forma</w:t>
      </w:r>
      <w:r>
        <w:rPr>
          <w:color w:val="231F20"/>
          <w:spacing w:val="-9"/>
          <w:w w:val="105"/>
        </w:rPr>
        <w:t> </w:t>
      </w:r>
      <w:r>
        <w:rPr>
          <w:color w:val="231F20"/>
          <w:w w:val="105"/>
        </w:rPr>
        <w:t>de</w:t>
      </w:r>
      <w:r>
        <w:rPr>
          <w:color w:val="231F20"/>
          <w:spacing w:val="-9"/>
          <w:w w:val="105"/>
        </w:rPr>
        <w:t> </w:t>
      </w:r>
      <w:r>
        <w:rPr>
          <w:color w:val="231F20"/>
          <w:w w:val="105"/>
        </w:rPr>
        <w:t>manejar</w:t>
      </w:r>
      <w:r>
        <w:rPr>
          <w:color w:val="231F20"/>
          <w:spacing w:val="-9"/>
          <w:w w:val="105"/>
        </w:rPr>
        <w:t> </w:t>
      </w:r>
      <w:r>
        <w:rPr>
          <w:color w:val="231F20"/>
          <w:w w:val="105"/>
        </w:rPr>
        <w:t>los</w:t>
      </w:r>
      <w:r>
        <w:rPr>
          <w:color w:val="231F20"/>
          <w:spacing w:val="-9"/>
          <w:w w:val="105"/>
        </w:rPr>
        <w:t> </w:t>
      </w:r>
      <w:r>
        <w:rPr>
          <w:color w:val="231F20"/>
          <w:w w:val="105"/>
        </w:rPr>
        <w:t>recursos,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estructura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y en</w:t>
      </w:r>
      <w:r>
        <w:rPr>
          <w:color w:val="231F20"/>
          <w:spacing w:val="-8"/>
          <w:w w:val="105"/>
        </w:rPr>
        <w:t> </w:t>
      </w:r>
      <w:r>
        <w:rPr>
          <w:color w:val="231F20"/>
          <w:w w:val="105"/>
        </w:rPr>
        <w:t>los</w:t>
      </w:r>
      <w:r>
        <w:rPr>
          <w:color w:val="231F20"/>
          <w:spacing w:val="-8"/>
          <w:w w:val="105"/>
        </w:rPr>
        <w:t> </w:t>
      </w:r>
      <w:r>
        <w:rPr>
          <w:color w:val="231F20"/>
          <w:w w:val="105"/>
        </w:rPr>
        <w:t>servicios</w:t>
      </w:r>
      <w:r>
        <w:rPr>
          <w:color w:val="231F20"/>
          <w:spacing w:val="-8"/>
          <w:w w:val="105"/>
        </w:rPr>
        <w:t> </w:t>
      </w:r>
      <w:r>
        <w:rPr>
          <w:color w:val="231F20"/>
          <w:w w:val="105"/>
        </w:rPr>
        <w:t>y</w:t>
      </w:r>
      <w:r>
        <w:rPr>
          <w:color w:val="231F20"/>
          <w:spacing w:val="-8"/>
          <w:w w:val="105"/>
        </w:rPr>
        <w:t> </w:t>
      </w:r>
      <w:r>
        <w:rPr>
          <w:color w:val="231F20"/>
          <w:w w:val="105"/>
        </w:rPr>
        <w:t>apoyos</w:t>
      </w:r>
      <w:r>
        <w:rPr>
          <w:color w:val="231F20"/>
          <w:spacing w:val="-8"/>
          <w:w w:val="105"/>
        </w:rPr>
        <w:t> </w:t>
      </w:r>
      <w:r>
        <w:rPr>
          <w:color w:val="231F20"/>
          <w:w w:val="105"/>
        </w:rPr>
        <w:t>destinados</w:t>
      </w:r>
      <w:r>
        <w:rPr>
          <w:color w:val="231F20"/>
          <w:spacing w:val="-8"/>
          <w:w w:val="105"/>
        </w:rPr>
        <w:t> </w:t>
      </w:r>
      <w:r>
        <w:rPr>
          <w:color w:val="231F20"/>
          <w:spacing w:val="2"/>
          <w:w w:val="105"/>
        </w:rPr>
        <w:t>al</w:t>
      </w:r>
      <w:r>
        <w:rPr>
          <w:color w:val="231F20"/>
          <w:spacing w:val="-8"/>
          <w:w w:val="105"/>
        </w:rPr>
        <w:t> </w:t>
      </w:r>
      <w:r>
        <w:rPr>
          <w:color w:val="231F20"/>
          <w:w w:val="105"/>
        </w:rPr>
        <w:t>sector.</w:t>
      </w:r>
      <w:r>
        <w:rPr>
          <w:color w:val="231F20"/>
          <w:spacing w:val="-8"/>
          <w:w w:val="105"/>
        </w:rPr>
        <w:t> </w:t>
      </w:r>
      <w:r>
        <w:rPr>
          <w:color w:val="231F20"/>
          <w:w w:val="105"/>
        </w:rPr>
        <w:t>Nada</w:t>
      </w:r>
      <w:r>
        <w:rPr>
          <w:color w:val="231F20"/>
          <w:spacing w:val="-8"/>
          <w:w w:val="105"/>
        </w:rPr>
        <w:t> </w:t>
      </w:r>
      <w:r>
        <w:rPr>
          <w:color w:val="231F20"/>
          <w:w w:val="105"/>
        </w:rPr>
        <w:t>raro</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municipio</w:t>
      </w:r>
      <w:r>
        <w:rPr>
          <w:color w:val="231F20"/>
          <w:spacing w:val="-8"/>
          <w:w w:val="105"/>
        </w:rPr>
        <w:t> </w:t>
      </w:r>
      <w:r>
        <w:rPr>
          <w:color w:val="231F20"/>
          <w:w w:val="105"/>
        </w:rPr>
        <w:t>rico,</w:t>
      </w:r>
      <w:r>
        <w:rPr>
          <w:color w:val="231F20"/>
          <w:spacing w:val="-8"/>
          <w:w w:val="105"/>
        </w:rPr>
        <w:t> </w:t>
      </w:r>
      <w:r>
        <w:rPr>
          <w:color w:val="231F20"/>
          <w:w w:val="105"/>
        </w:rPr>
        <w:t>con</w:t>
      </w:r>
      <w:r>
        <w:rPr>
          <w:color w:val="231F20"/>
          <w:spacing w:val="-8"/>
          <w:w w:val="105"/>
        </w:rPr>
        <w:t> </w:t>
      </w:r>
      <w:r>
        <w:rPr>
          <w:color w:val="231F20"/>
          <w:w w:val="105"/>
        </w:rPr>
        <w:t>una notable</w:t>
      </w:r>
      <w:r>
        <w:rPr>
          <w:color w:val="231F20"/>
          <w:spacing w:val="-11"/>
          <w:w w:val="105"/>
        </w:rPr>
        <w:t> </w:t>
      </w:r>
      <w:r>
        <w:rPr>
          <w:color w:val="231F20"/>
          <w:w w:val="105"/>
        </w:rPr>
        <w:t>cantidad</w:t>
      </w:r>
      <w:r>
        <w:rPr>
          <w:color w:val="231F20"/>
          <w:spacing w:val="-11"/>
          <w:w w:val="105"/>
        </w:rPr>
        <w:t> </w:t>
      </w:r>
      <w:r>
        <w:rPr>
          <w:color w:val="231F20"/>
          <w:w w:val="105"/>
        </w:rPr>
        <w:t>de</w:t>
      </w:r>
      <w:r>
        <w:rPr>
          <w:color w:val="231F20"/>
          <w:spacing w:val="-11"/>
          <w:w w:val="105"/>
        </w:rPr>
        <w:t> </w:t>
      </w:r>
      <w:r>
        <w:rPr>
          <w:color w:val="231F20"/>
          <w:w w:val="105"/>
        </w:rPr>
        <w:t>empresas</w:t>
      </w:r>
      <w:r>
        <w:rPr>
          <w:color w:val="231F20"/>
          <w:spacing w:val="-11"/>
          <w:w w:val="105"/>
        </w:rPr>
        <w:t> </w:t>
      </w: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territorio</w:t>
      </w:r>
      <w:r>
        <w:rPr>
          <w:color w:val="231F20"/>
          <w:spacing w:val="-11"/>
          <w:w w:val="105"/>
        </w:rPr>
        <w:t> </w:t>
      </w:r>
      <w:r>
        <w:rPr>
          <w:color w:val="231F20"/>
          <w:w w:val="105"/>
        </w:rPr>
        <w:t>y</w:t>
      </w:r>
      <w:r>
        <w:rPr>
          <w:color w:val="231F20"/>
          <w:spacing w:val="-11"/>
          <w:w w:val="105"/>
        </w:rPr>
        <w:t> </w:t>
      </w:r>
      <w:r>
        <w:rPr>
          <w:color w:val="231F20"/>
          <w:w w:val="105"/>
        </w:rPr>
        <w:t>un</w:t>
      </w:r>
      <w:r>
        <w:rPr>
          <w:color w:val="231F20"/>
          <w:spacing w:val="-11"/>
          <w:w w:val="105"/>
        </w:rPr>
        <w:t> </w:t>
      </w:r>
      <w:r>
        <w:rPr>
          <w:color w:val="231F20"/>
          <w:w w:val="105"/>
        </w:rPr>
        <w:t>peso</w:t>
      </w:r>
      <w:r>
        <w:rPr>
          <w:color w:val="231F20"/>
          <w:spacing w:val="-11"/>
          <w:w w:val="105"/>
        </w:rPr>
        <w:t> </w:t>
      </w:r>
      <w:r>
        <w:rPr>
          <w:color w:val="231F20"/>
          <w:w w:val="105"/>
        </w:rPr>
        <w:t>contundente</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economía</w:t>
      </w:r>
      <w:r>
        <w:rPr>
          <w:color w:val="231F20"/>
          <w:spacing w:val="-11"/>
          <w:w w:val="105"/>
        </w:rPr>
        <w:t> </w:t>
      </w:r>
      <w:r>
        <w:rPr>
          <w:color w:val="231F20"/>
          <w:w w:val="105"/>
        </w:rPr>
        <w:t>del estado.</w:t>
      </w:r>
      <w:r>
        <w:rPr>
          <w:color w:val="231F20"/>
          <w:spacing w:val="-14"/>
          <w:w w:val="105"/>
        </w:rPr>
        <w:t> </w:t>
      </w:r>
      <w:r>
        <w:rPr>
          <w:color w:val="231F20"/>
          <w:spacing w:val="-3"/>
          <w:w w:val="105"/>
        </w:rPr>
        <w:t>Pero</w:t>
      </w:r>
      <w:r>
        <w:rPr>
          <w:color w:val="231F20"/>
          <w:spacing w:val="-14"/>
          <w:w w:val="105"/>
        </w:rPr>
        <w:t> </w:t>
      </w:r>
      <w:r>
        <w:rPr>
          <w:color w:val="231F20"/>
          <w:w w:val="105"/>
        </w:rPr>
        <w:t>a</w:t>
      </w:r>
      <w:r>
        <w:rPr>
          <w:color w:val="231F20"/>
          <w:spacing w:val="-14"/>
          <w:w w:val="105"/>
        </w:rPr>
        <w:t> </w:t>
      </w:r>
      <w:r>
        <w:rPr>
          <w:color w:val="231F20"/>
          <w:w w:val="105"/>
        </w:rPr>
        <w:t>estas</w:t>
      </w:r>
      <w:r>
        <w:rPr>
          <w:color w:val="231F20"/>
          <w:spacing w:val="-14"/>
          <w:w w:val="105"/>
        </w:rPr>
        <w:t> </w:t>
      </w:r>
      <w:r>
        <w:rPr>
          <w:color w:val="231F20"/>
          <w:w w:val="105"/>
        </w:rPr>
        <w:t>características</w:t>
      </w:r>
      <w:r>
        <w:rPr>
          <w:color w:val="231F20"/>
          <w:spacing w:val="-14"/>
          <w:w w:val="105"/>
        </w:rPr>
        <w:t> </w:t>
      </w:r>
      <w:r>
        <w:rPr>
          <w:color w:val="231F20"/>
          <w:w w:val="105"/>
        </w:rPr>
        <w:t>se</w:t>
      </w:r>
      <w:r>
        <w:rPr>
          <w:color w:val="231F20"/>
          <w:spacing w:val="-14"/>
          <w:w w:val="105"/>
        </w:rPr>
        <w:t> </w:t>
      </w:r>
      <w:r>
        <w:rPr>
          <w:color w:val="231F20"/>
          <w:w w:val="105"/>
        </w:rPr>
        <w:t>agrega</w:t>
      </w:r>
      <w:r>
        <w:rPr>
          <w:color w:val="231F20"/>
          <w:spacing w:val="-14"/>
          <w:w w:val="105"/>
        </w:rPr>
        <w:t> </w:t>
      </w:r>
      <w:r>
        <w:rPr>
          <w:color w:val="231F20"/>
          <w:w w:val="105"/>
        </w:rPr>
        <w:t>el</w:t>
      </w:r>
      <w:r>
        <w:rPr>
          <w:color w:val="231F20"/>
          <w:spacing w:val="-14"/>
          <w:w w:val="105"/>
        </w:rPr>
        <w:t> </w:t>
      </w:r>
      <w:r>
        <w:rPr>
          <w:color w:val="231F20"/>
          <w:w w:val="105"/>
        </w:rPr>
        <w:t>perfil</w:t>
      </w:r>
      <w:r>
        <w:rPr>
          <w:color w:val="231F20"/>
          <w:spacing w:val="-14"/>
          <w:w w:val="105"/>
        </w:rPr>
        <w:t> </w:t>
      </w:r>
      <w:r>
        <w:rPr>
          <w:color w:val="231F20"/>
          <w:w w:val="105"/>
        </w:rPr>
        <w:t>panista,</w:t>
      </w:r>
      <w:r>
        <w:rPr>
          <w:color w:val="231F20"/>
          <w:spacing w:val="-14"/>
          <w:w w:val="105"/>
        </w:rPr>
        <w:t> </w:t>
      </w:r>
      <w:r>
        <w:rPr>
          <w:color w:val="231F20"/>
          <w:w w:val="105"/>
        </w:rPr>
        <w:t>tradicionalmente</w:t>
      </w:r>
      <w:r>
        <w:rPr>
          <w:color w:val="231F20"/>
          <w:spacing w:val="-14"/>
          <w:w w:val="105"/>
        </w:rPr>
        <w:t> </w:t>
      </w:r>
      <w:r>
        <w:rPr>
          <w:color w:val="231F20"/>
          <w:w w:val="105"/>
        </w:rPr>
        <w:t>proclive </w:t>
      </w:r>
      <w:r>
        <w:rPr>
          <w:color w:val="231F20"/>
          <w:w w:val="105"/>
          <w:u w:val="single" w:color="231F20"/>
        </w:rPr>
        <w:t>a</w:t>
      </w:r>
      <w:r>
        <w:rPr>
          <w:color w:val="231F20"/>
          <w:spacing w:val="-25"/>
          <w:w w:val="105"/>
          <w:u w:val="single" w:color="231F20"/>
        </w:rPr>
        <w:t> </w:t>
      </w:r>
      <w:r>
        <w:rPr>
          <w:color w:val="231F20"/>
          <w:w w:val="105"/>
          <w:u w:val="single" w:color="231F20"/>
        </w:rPr>
        <w:t>la</w:t>
      </w:r>
      <w:r>
        <w:rPr>
          <w:color w:val="231F20"/>
          <w:spacing w:val="-25"/>
          <w:w w:val="105"/>
          <w:u w:val="single" w:color="231F20"/>
        </w:rPr>
        <w:t> </w:t>
      </w:r>
      <w:r>
        <w:rPr>
          <w:color w:val="231F20"/>
          <w:w w:val="105"/>
          <w:u w:val="single" w:color="231F20"/>
        </w:rPr>
        <w:t>iniciativa</w:t>
      </w:r>
      <w:r>
        <w:rPr>
          <w:color w:val="231F20"/>
          <w:spacing w:val="-25"/>
          <w:w w:val="105"/>
          <w:u w:val="single" w:color="231F20"/>
        </w:rPr>
        <w:t> </w:t>
      </w:r>
      <w:r>
        <w:rPr>
          <w:color w:val="231F20"/>
          <w:w w:val="105"/>
          <w:u w:val="single" w:color="231F20"/>
        </w:rPr>
        <w:t>pr</w:t>
      </w:r>
      <w:r>
        <w:rPr>
          <w:color w:val="231F20"/>
          <w:w w:val="105"/>
        </w:rPr>
        <w:t>ivada.</w:t>
      </w:r>
    </w:p>
    <w:p>
      <w:pPr>
        <w:pStyle w:val="ListParagraph"/>
        <w:numPr>
          <w:ilvl w:val="0"/>
          <w:numId w:val="14"/>
        </w:numPr>
        <w:tabs>
          <w:tab w:pos="330" w:val="left" w:leader="none"/>
        </w:tabs>
        <w:spacing w:line="240" w:lineRule="auto" w:before="52" w:after="0"/>
        <w:ind w:left="329" w:right="0" w:hanging="219"/>
        <w:jc w:val="both"/>
        <w:rPr>
          <w:sz w:val="16"/>
        </w:rPr>
      </w:pPr>
      <w:r>
        <w:rPr>
          <w:color w:val="231F20"/>
          <w:sz w:val="16"/>
        </w:rPr>
        <w:t>Ídem,</w:t>
      </w:r>
      <w:r>
        <w:rPr>
          <w:color w:val="231F20"/>
          <w:spacing w:val="-24"/>
          <w:sz w:val="16"/>
        </w:rPr>
        <w:t> </w:t>
      </w:r>
      <w:r>
        <w:rPr>
          <w:color w:val="231F20"/>
          <w:sz w:val="16"/>
        </w:rPr>
        <w:t>p.</w:t>
      </w:r>
      <w:r>
        <w:rPr>
          <w:color w:val="231F20"/>
          <w:spacing w:val="-24"/>
          <w:sz w:val="16"/>
        </w:rPr>
        <w:t> </w:t>
      </w:r>
      <w:r>
        <w:rPr>
          <w:color w:val="231F20"/>
          <w:sz w:val="16"/>
        </w:rPr>
        <w:t>95.</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6"/>
        <w:jc w:val="both"/>
      </w:pPr>
      <w:r>
        <w:rPr>
          <w:color w:val="231F20"/>
          <w:w w:val="105"/>
        </w:rPr>
        <w:t>Como se aprecia en los datos aportados hasta ahora, las diferencias entre las gestiones del</w:t>
      </w:r>
      <w:r>
        <w:rPr>
          <w:color w:val="231F20"/>
          <w:spacing w:val="-9"/>
          <w:w w:val="105"/>
        </w:rPr>
        <w:t> </w:t>
      </w:r>
      <w:r>
        <w:rPr>
          <w:color w:val="231F20"/>
          <w:w w:val="105"/>
        </w:rPr>
        <w:t>PRI</w:t>
      </w:r>
      <w:r>
        <w:rPr>
          <w:color w:val="231F20"/>
          <w:spacing w:val="-9"/>
          <w:w w:val="105"/>
        </w:rPr>
        <w:t> </w:t>
      </w:r>
      <w:r>
        <w:rPr>
          <w:color w:val="231F20"/>
          <w:w w:val="105"/>
        </w:rPr>
        <w:t>y</w:t>
      </w:r>
      <w:r>
        <w:rPr>
          <w:color w:val="231F20"/>
          <w:spacing w:val="-9"/>
          <w:w w:val="105"/>
        </w:rPr>
        <w:t> </w:t>
      </w:r>
      <w:r>
        <w:rPr>
          <w:color w:val="231F20"/>
          <w:w w:val="105"/>
        </w:rPr>
        <w:t>del</w:t>
      </w:r>
      <w:r>
        <w:rPr>
          <w:color w:val="231F20"/>
          <w:spacing w:val="-9"/>
          <w:w w:val="105"/>
        </w:rPr>
        <w:t> </w:t>
      </w:r>
      <w:r>
        <w:rPr>
          <w:color w:val="231F20"/>
          <w:spacing w:val="-4"/>
          <w:w w:val="105"/>
        </w:rPr>
        <w:t>PAN</w:t>
      </w:r>
      <w:r>
        <w:rPr>
          <w:color w:val="231F20"/>
          <w:spacing w:val="-9"/>
          <w:w w:val="105"/>
        </w:rPr>
        <w:t> </w:t>
      </w:r>
      <w:r>
        <w:rPr>
          <w:color w:val="231F20"/>
          <w:w w:val="105"/>
        </w:rPr>
        <w:t>fueron</w:t>
      </w:r>
      <w:r>
        <w:rPr>
          <w:color w:val="231F20"/>
          <w:spacing w:val="-9"/>
          <w:w w:val="105"/>
        </w:rPr>
        <w:t> </w:t>
      </w:r>
      <w:r>
        <w:rPr>
          <w:color w:val="231F20"/>
          <w:w w:val="105"/>
        </w:rPr>
        <w:t>evidentes.</w:t>
      </w:r>
      <w:r>
        <w:rPr>
          <w:color w:val="231F20"/>
          <w:spacing w:val="-9"/>
          <w:w w:val="105"/>
        </w:rPr>
        <w:t> </w:t>
      </w:r>
      <w:r>
        <w:rPr>
          <w:color w:val="231F20"/>
          <w:w w:val="105"/>
        </w:rPr>
        <w:t>Sin</w:t>
      </w:r>
      <w:r>
        <w:rPr>
          <w:color w:val="231F20"/>
          <w:spacing w:val="-9"/>
          <w:w w:val="105"/>
        </w:rPr>
        <w:t> </w:t>
      </w:r>
      <w:r>
        <w:rPr>
          <w:color w:val="231F20"/>
          <w:w w:val="105"/>
        </w:rPr>
        <w:t>embargo,</w:t>
      </w:r>
      <w:r>
        <w:rPr>
          <w:color w:val="231F20"/>
          <w:spacing w:val="-9"/>
          <w:w w:val="105"/>
        </w:rPr>
        <w:t> </w:t>
      </w:r>
      <w:r>
        <w:rPr>
          <w:color w:val="231F20"/>
          <w:w w:val="105"/>
        </w:rPr>
        <w:t>no</w:t>
      </w:r>
      <w:r>
        <w:rPr>
          <w:color w:val="231F20"/>
          <w:spacing w:val="-9"/>
          <w:w w:val="105"/>
        </w:rPr>
        <w:t> </w:t>
      </w:r>
      <w:r>
        <w:rPr>
          <w:color w:val="231F20"/>
          <w:w w:val="105"/>
        </w:rPr>
        <w:t>es</w:t>
      </w:r>
      <w:r>
        <w:rPr>
          <w:color w:val="231F20"/>
          <w:spacing w:val="-9"/>
          <w:w w:val="105"/>
        </w:rPr>
        <w:t> </w:t>
      </w:r>
      <w:r>
        <w:rPr>
          <w:color w:val="231F20"/>
          <w:spacing w:val="2"/>
          <w:w w:val="105"/>
        </w:rPr>
        <w:t>tan</w:t>
      </w:r>
      <w:r>
        <w:rPr>
          <w:color w:val="231F20"/>
          <w:spacing w:val="-9"/>
          <w:w w:val="105"/>
        </w:rPr>
        <w:t> </w:t>
      </w:r>
      <w:r>
        <w:rPr>
          <w:color w:val="231F20"/>
          <w:w w:val="105"/>
        </w:rPr>
        <w:t>fácil</w:t>
      </w:r>
      <w:r>
        <w:rPr>
          <w:color w:val="231F20"/>
          <w:spacing w:val="-9"/>
          <w:w w:val="105"/>
        </w:rPr>
        <w:t> </w:t>
      </w:r>
      <w:r>
        <w:rPr>
          <w:color w:val="231F20"/>
          <w:w w:val="105"/>
        </w:rPr>
        <w:t>hacer</w:t>
      </w:r>
      <w:r>
        <w:rPr>
          <w:color w:val="231F20"/>
          <w:spacing w:val="-9"/>
          <w:w w:val="105"/>
        </w:rPr>
        <w:t> </w:t>
      </w:r>
      <w:r>
        <w:rPr>
          <w:color w:val="231F20"/>
          <w:w w:val="105"/>
        </w:rPr>
        <w:t>la</w:t>
      </w:r>
      <w:r>
        <w:rPr>
          <w:color w:val="231F20"/>
          <w:spacing w:val="-9"/>
          <w:w w:val="105"/>
        </w:rPr>
        <w:t> </w:t>
      </w:r>
      <w:r>
        <w:rPr>
          <w:color w:val="231F20"/>
          <w:w w:val="105"/>
        </w:rPr>
        <w:t>comparación con</w:t>
      </w:r>
      <w:r>
        <w:rPr>
          <w:color w:val="231F20"/>
          <w:spacing w:val="-23"/>
          <w:w w:val="105"/>
        </w:rPr>
        <w:t> </w:t>
      </w:r>
      <w:r>
        <w:rPr>
          <w:color w:val="231F20"/>
          <w:w w:val="105"/>
        </w:rPr>
        <w:t>las</w:t>
      </w:r>
      <w:r>
        <w:rPr>
          <w:color w:val="231F20"/>
          <w:spacing w:val="-23"/>
          <w:w w:val="105"/>
        </w:rPr>
        <w:t> </w:t>
      </w:r>
      <w:r>
        <w:rPr>
          <w:color w:val="231F20"/>
          <w:w w:val="105"/>
        </w:rPr>
        <w:t>siguientes</w:t>
      </w:r>
      <w:r>
        <w:rPr>
          <w:color w:val="231F20"/>
          <w:spacing w:val="-23"/>
          <w:w w:val="105"/>
        </w:rPr>
        <w:t> </w:t>
      </w:r>
      <w:r>
        <w:rPr>
          <w:color w:val="231F20"/>
          <w:w w:val="105"/>
        </w:rPr>
        <w:t>administraciones,</w:t>
      </w:r>
      <w:r>
        <w:rPr>
          <w:color w:val="231F20"/>
          <w:spacing w:val="-23"/>
          <w:w w:val="105"/>
        </w:rPr>
        <w:t> </w:t>
      </w:r>
      <w:r>
        <w:rPr>
          <w:color w:val="231F20"/>
          <w:w w:val="105"/>
        </w:rPr>
        <w:t>que</w:t>
      </w:r>
      <w:r>
        <w:rPr>
          <w:color w:val="231F20"/>
          <w:spacing w:val="-23"/>
          <w:w w:val="105"/>
        </w:rPr>
        <w:t> </w:t>
      </w:r>
      <w:r>
        <w:rPr>
          <w:color w:val="231F20"/>
          <w:w w:val="105"/>
        </w:rPr>
        <w:t>estuvieron</w:t>
      </w:r>
      <w:r>
        <w:rPr>
          <w:color w:val="231F20"/>
          <w:spacing w:val="-23"/>
          <w:w w:val="105"/>
        </w:rPr>
        <w:t> </w:t>
      </w:r>
      <w:r>
        <w:rPr>
          <w:color w:val="231F20"/>
          <w:w w:val="105"/>
        </w:rPr>
        <w:t>a</w:t>
      </w:r>
      <w:r>
        <w:rPr>
          <w:color w:val="231F20"/>
          <w:spacing w:val="-23"/>
          <w:w w:val="105"/>
        </w:rPr>
        <w:t> </w:t>
      </w:r>
      <w:r>
        <w:rPr>
          <w:color w:val="231F20"/>
          <w:w w:val="105"/>
        </w:rPr>
        <w:t>cargo</w:t>
      </w:r>
      <w:r>
        <w:rPr>
          <w:color w:val="231F20"/>
          <w:spacing w:val="-23"/>
          <w:w w:val="105"/>
        </w:rPr>
        <w:t> </w:t>
      </w:r>
      <w:r>
        <w:rPr>
          <w:color w:val="231F20"/>
          <w:w w:val="105"/>
        </w:rPr>
        <w:t>del</w:t>
      </w:r>
      <w:r>
        <w:rPr>
          <w:color w:val="231F20"/>
          <w:spacing w:val="-23"/>
          <w:w w:val="105"/>
        </w:rPr>
        <w:t> </w:t>
      </w:r>
      <w:r>
        <w:rPr>
          <w:color w:val="231F20"/>
          <w:w w:val="105"/>
        </w:rPr>
        <w:t>mismo</w:t>
      </w:r>
      <w:r>
        <w:rPr>
          <w:color w:val="231F20"/>
          <w:spacing w:val="-23"/>
          <w:w w:val="105"/>
        </w:rPr>
        <w:t> </w:t>
      </w:r>
      <w:r>
        <w:rPr>
          <w:color w:val="231F20"/>
          <w:w w:val="105"/>
        </w:rPr>
        <w:t>Acción</w:t>
      </w:r>
      <w:r>
        <w:rPr>
          <w:color w:val="231F20"/>
          <w:spacing w:val="-23"/>
          <w:w w:val="105"/>
        </w:rPr>
        <w:t> </w:t>
      </w:r>
      <w:r>
        <w:rPr>
          <w:color w:val="231F20"/>
          <w:w w:val="105"/>
        </w:rPr>
        <w:t>Nacional. Lo</w:t>
      </w:r>
      <w:r>
        <w:rPr>
          <w:color w:val="231F20"/>
          <w:spacing w:val="-9"/>
          <w:w w:val="105"/>
        </w:rPr>
        <w:t> </w:t>
      </w:r>
      <w:r>
        <w:rPr>
          <w:color w:val="231F20"/>
          <w:w w:val="105"/>
        </w:rPr>
        <w:t>que</w:t>
      </w:r>
      <w:r>
        <w:rPr>
          <w:color w:val="231F20"/>
          <w:spacing w:val="-9"/>
          <w:w w:val="105"/>
        </w:rPr>
        <w:t> </w:t>
      </w:r>
      <w:r>
        <w:rPr>
          <w:color w:val="231F20"/>
          <w:w w:val="105"/>
        </w:rPr>
        <w:t>sí</w:t>
      </w:r>
      <w:r>
        <w:rPr>
          <w:color w:val="231F20"/>
          <w:spacing w:val="-9"/>
          <w:w w:val="105"/>
        </w:rPr>
        <w:t> </w:t>
      </w:r>
      <w:r>
        <w:rPr>
          <w:color w:val="231F20"/>
          <w:w w:val="105"/>
        </w:rPr>
        <w:t>puede</w:t>
      </w:r>
      <w:r>
        <w:rPr>
          <w:color w:val="231F20"/>
          <w:spacing w:val="-9"/>
          <w:w w:val="105"/>
        </w:rPr>
        <w:t> </w:t>
      </w:r>
      <w:r>
        <w:rPr>
          <w:color w:val="231F20"/>
          <w:w w:val="105"/>
        </w:rPr>
        <w:t>hacerse</w:t>
      </w:r>
      <w:r>
        <w:rPr>
          <w:color w:val="231F20"/>
          <w:spacing w:val="-9"/>
          <w:w w:val="105"/>
        </w:rPr>
        <w:t> </w:t>
      </w:r>
      <w:r>
        <w:rPr>
          <w:color w:val="231F20"/>
          <w:w w:val="105"/>
        </w:rPr>
        <w:t>es</w:t>
      </w:r>
      <w:r>
        <w:rPr>
          <w:color w:val="231F20"/>
          <w:spacing w:val="-9"/>
          <w:w w:val="105"/>
        </w:rPr>
        <w:t> </w:t>
      </w:r>
      <w:r>
        <w:rPr>
          <w:color w:val="231F20"/>
          <w:w w:val="105"/>
        </w:rPr>
        <w:t>la</w:t>
      </w:r>
      <w:r>
        <w:rPr>
          <w:color w:val="231F20"/>
          <w:spacing w:val="-9"/>
          <w:w w:val="105"/>
        </w:rPr>
        <w:t> </w:t>
      </w:r>
      <w:r>
        <w:rPr>
          <w:color w:val="231F20"/>
          <w:w w:val="105"/>
        </w:rPr>
        <w:t>definición</w:t>
      </w:r>
      <w:r>
        <w:rPr>
          <w:color w:val="231F20"/>
          <w:spacing w:val="-9"/>
          <w:w w:val="105"/>
        </w:rPr>
        <w:t> </w:t>
      </w:r>
      <w:r>
        <w:rPr>
          <w:color w:val="231F20"/>
          <w:w w:val="105"/>
        </w:rPr>
        <w:t>de</w:t>
      </w:r>
      <w:r>
        <w:rPr>
          <w:color w:val="231F20"/>
          <w:spacing w:val="-9"/>
          <w:w w:val="105"/>
        </w:rPr>
        <w:t> </w:t>
      </w:r>
      <w:r>
        <w:rPr>
          <w:color w:val="231F20"/>
          <w:w w:val="105"/>
        </w:rPr>
        <w:t>líneas</w:t>
      </w:r>
      <w:r>
        <w:rPr>
          <w:color w:val="231F20"/>
          <w:spacing w:val="-9"/>
          <w:w w:val="105"/>
        </w:rPr>
        <w:t> </w:t>
      </w:r>
      <w:r>
        <w:rPr>
          <w:color w:val="231F20"/>
          <w:w w:val="105"/>
        </w:rPr>
        <w:t>de</w:t>
      </w:r>
      <w:r>
        <w:rPr>
          <w:color w:val="231F20"/>
          <w:spacing w:val="-9"/>
          <w:w w:val="105"/>
        </w:rPr>
        <w:t> </w:t>
      </w:r>
      <w:r>
        <w:rPr>
          <w:color w:val="231F20"/>
          <w:w w:val="105"/>
        </w:rPr>
        <w:t>continuidad,</w:t>
      </w:r>
      <w:r>
        <w:rPr>
          <w:color w:val="231F20"/>
          <w:spacing w:val="-9"/>
          <w:w w:val="105"/>
        </w:rPr>
        <w:t> </w:t>
      </w:r>
      <w:r>
        <w:rPr>
          <w:color w:val="231F20"/>
          <w:w w:val="105"/>
        </w:rPr>
        <w:t>sobre</w:t>
      </w:r>
      <w:r>
        <w:rPr>
          <w:color w:val="231F20"/>
          <w:spacing w:val="-9"/>
          <w:w w:val="105"/>
        </w:rPr>
        <w:t> </w:t>
      </w:r>
      <w:r>
        <w:rPr>
          <w:color w:val="231F20"/>
          <w:w w:val="105"/>
        </w:rPr>
        <w:t>todo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caso del</w:t>
      </w:r>
      <w:r>
        <w:rPr>
          <w:color w:val="231F20"/>
          <w:spacing w:val="-11"/>
          <w:w w:val="105"/>
        </w:rPr>
        <w:t> </w:t>
      </w:r>
      <w:r>
        <w:rPr>
          <w:color w:val="231F20"/>
          <w:w w:val="105"/>
        </w:rPr>
        <w:t>segundo</w:t>
      </w:r>
      <w:r>
        <w:rPr>
          <w:color w:val="231F20"/>
          <w:spacing w:val="-11"/>
          <w:w w:val="105"/>
        </w:rPr>
        <w:t> </w:t>
      </w:r>
      <w:r>
        <w:rPr>
          <w:color w:val="231F20"/>
          <w:w w:val="105"/>
        </w:rPr>
        <w:t>periodo</w:t>
      </w:r>
      <w:r>
        <w:rPr>
          <w:color w:val="231F20"/>
          <w:spacing w:val="-11"/>
          <w:w w:val="105"/>
        </w:rPr>
        <w:t> </w:t>
      </w:r>
      <w:r>
        <w:rPr>
          <w:color w:val="231F20"/>
          <w:w w:val="105"/>
        </w:rPr>
        <w:t>de</w:t>
      </w:r>
      <w:r>
        <w:rPr>
          <w:color w:val="231F20"/>
          <w:spacing w:val="-11"/>
          <w:w w:val="105"/>
        </w:rPr>
        <w:t> </w:t>
      </w:r>
      <w:r>
        <w:rPr>
          <w:color w:val="231F20"/>
          <w:w w:val="105"/>
        </w:rPr>
        <w:t>gobierno</w:t>
      </w:r>
      <w:r>
        <w:rPr>
          <w:color w:val="231F20"/>
          <w:spacing w:val="-11"/>
          <w:w w:val="105"/>
        </w:rPr>
        <w:t> </w:t>
      </w:r>
      <w:r>
        <w:rPr>
          <w:color w:val="231F20"/>
          <w:w w:val="105"/>
        </w:rPr>
        <w:t>de</w:t>
      </w:r>
      <w:r>
        <w:rPr>
          <w:color w:val="231F20"/>
          <w:spacing w:val="-11"/>
          <w:w w:val="105"/>
        </w:rPr>
        <w:t> </w:t>
      </w:r>
      <w:r>
        <w:rPr>
          <w:color w:val="231F20"/>
          <w:w w:val="105"/>
        </w:rPr>
        <w:t>Durán.</w:t>
      </w:r>
    </w:p>
    <w:p>
      <w:pPr>
        <w:pStyle w:val="BodyText"/>
        <w:spacing w:before="2"/>
        <w:rPr>
          <w:sz w:val="20"/>
        </w:rPr>
      </w:pPr>
    </w:p>
    <w:p>
      <w:pPr>
        <w:pStyle w:val="Heading4"/>
        <w:spacing w:before="1"/>
        <w:rPr>
          <w:i/>
        </w:rPr>
      </w:pPr>
      <w:r>
        <w:rPr>
          <w:i/>
          <w:color w:val="231F20"/>
          <w:w w:val="105"/>
        </w:rPr>
        <w:t>Datos relevantes de los gobiernos municipales 2000-2006</w:t>
      </w:r>
    </w:p>
    <w:p>
      <w:pPr>
        <w:pStyle w:val="BodyText"/>
        <w:spacing w:line="285" w:lineRule="auto" w:before="16"/>
        <w:ind w:left="110" w:right="108"/>
        <w:jc w:val="both"/>
      </w:pPr>
      <w:r>
        <w:rPr>
          <w:color w:val="231F20"/>
          <w:w w:val="105"/>
        </w:rPr>
        <w:t>Hay un conjunto de indicadores que revelan ciertas pautas seguidas por los gobiernos del</w:t>
      </w:r>
      <w:r>
        <w:rPr>
          <w:color w:val="231F20"/>
          <w:spacing w:val="-6"/>
          <w:w w:val="105"/>
        </w:rPr>
        <w:t> </w:t>
      </w:r>
      <w:r>
        <w:rPr>
          <w:color w:val="231F20"/>
          <w:w w:val="105"/>
        </w:rPr>
        <w:t>periodo</w:t>
      </w:r>
      <w:r>
        <w:rPr>
          <w:color w:val="231F20"/>
          <w:spacing w:val="-6"/>
          <w:w w:val="105"/>
        </w:rPr>
        <w:t> </w:t>
      </w:r>
      <w:r>
        <w:rPr>
          <w:color w:val="231F20"/>
          <w:w w:val="105"/>
        </w:rPr>
        <w:t>señalado.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caso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ingresos</w:t>
      </w:r>
      <w:r>
        <w:rPr>
          <w:color w:val="231F20"/>
          <w:spacing w:val="-6"/>
          <w:w w:val="105"/>
        </w:rPr>
        <w:t> </w:t>
      </w:r>
      <w:r>
        <w:rPr>
          <w:color w:val="231F20"/>
          <w:w w:val="105"/>
        </w:rPr>
        <w:t>municipales,</w:t>
      </w:r>
      <w:r>
        <w:rPr>
          <w:color w:val="231F20"/>
          <w:spacing w:val="-6"/>
          <w:w w:val="105"/>
        </w:rPr>
        <w:t> </w:t>
      </w:r>
      <w:r>
        <w:rPr>
          <w:color w:val="231F20"/>
          <w:w w:val="105"/>
        </w:rPr>
        <w:t>en</w:t>
      </w:r>
      <w:r>
        <w:rPr>
          <w:color w:val="231F20"/>
          <w:spacing w:val="-6"/>
          <w:w w:val="105"/>
        </w:rPr>
        <w:t> </w:t>
      </w:r>
      <w:r>
        <w:rPr>
          <w:color w:val="231F20"/>
          <w:w w:val="105"/>
        </w:rPr>
        <w:t>general</w:t>
      </w:r>
      <w:r>
        <w:rPr>
          <w:color w:val="231F20"/>
          <w:spacing w:val="-6"/>
          <w:w w:val="105"/>
        </w:rPr>
        <w:t> </w:t>
      </w:r>
      <w:r>
        <w:rPr>
          <w:color w:val="231F20"/>
          <w:w w:val="105"/>
        </w:rPr>
        <w:t>hubo</w:t>
      </w:r>
      <w:r>
        <w:rPr>
          <w:color w:val="231F20"/>
          <w:spacing w:val="-6"/>
          <w:w w:val="105"/>
        </w:rPr>
        <w:t> </w:t>
      </w:r>
      <w:r>
        <w:rPr>
          <w:color w:val="231F20"/>
          <w:w w:val="105"/>
        </w:rPr>
        <w:t>una</w:t>
      </w:r>
      <w:r>
        <w:rPr>
          <w:color w:val="231F20"/>
          <w:spacing w:val="-6"/>
          <w:w w:val="105"/>
        </w:rPr>
        <w:t> </w:t>
      </w:r>
      <w:r>
        <w:rPr>
          <w:color w:val="231F20"/>
          <w:w w:val="105"/>
        </w:rPr>
        <w:t>ten- dencia</w:t>
      </w:r>
      <w:r>
        <w:rPr>
          <w:color w:val="231F20"/>
          <w:spacing w:val="-4"/>
          <w:w w:val="105"/>
        </w:rPr>
        <w:t> </w:t>
      </w:r>
      <w:r>
        <w:rPr>
          <w:color w:val="231F20"/>
          <w:spacing w:val="2"/>
          <w:w w:val="105"/>
        </w:rPr>
        <w:t>al</w:t>
      </w:r>
      <w:r>
        <w:rPr>
          <w:color w:val="231F20"/>
          <w:spacing w:val="-4"/>
          <w:w w:val="105"/>
        </w:rPr>
        <w:t> </w:t>
      </w:r>
      <w:r>
        <w:rPr>
          <w:color w:val="231F20"/>
          <w:spacing w:val="2"/>
          <w:w w:val="105"/>
        </w:rPr>
        <w:t>alza</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redujo</w:t>
      </w:r>
      <w:r>
        <w:rPr>
          <w:color w:val="231F20"/>
          <w:spacing w:val="-4"/>
          <w:w w:val="105"/>
        </w:rPr>
        <w:t> </w:t>
      </w:r>
      <w:r>
        <w:rPr>
          <w:color w:val="231F20"/>
          <w:w w:val="105"/>
        </w:rPr>
        <w:t>significativamente</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spacing w:val="2"/>
          <w:w w:val="105"/>
        </w:rPr>
        <w:t>2005.</w:t>
      </w:r>
      <w:r>
        <w:rPr>
          <w:color w:val="231F20"/>
          <w:spacing w:val="-4"/>
          <w:w w:val="105"/>
        </w:rPr>
        <w:t> </w:t>
      </w:r>
      <w:r>
        <w:rPr>
          <w:color w:val="231F20"/>
          <w:w w:val="105"/>
        </w:rPr>
        <w:t>Los</w:t>
      </w:r>
      <w:r>
        <w:rPr>
          <w:color w:val="231F20"/>
          <w:spacing w:val="-4"/>
          <w:w w:val="105"/>
        </w:rPr>
        <w:t> </w:t>
      </w:r>
      <w:r>
        <w:rPr>
          <w:color w:val="231F20"/>
          <w:w w:val="105"/>
        </w:rPr>
        <w:t>indicadores</w:t>
      </w:r>
      <w:r>
        <w:rPr>
          <w:color w:val="231F20"/>
          <w:spacing w:val="-4"/>
          <w:w w:val="105"/>
        </w:rPr>
        <w:t> </w:t>
      </w:r>
      <w:r>
        <w:rPr>
          <w:color w:val="231F20"/>
          <w:w w:val="105"/>
        </w:rPr>
        <w:t>arrojan</w:t>
      </w:r>
      <w:r>
        <w:rPr>
          <w:color w:val="231F20"/>
          <w:spacing w:val="-4"/>
          <w:w w:val="105"/>
        </w:rPr>
        <w:t> </w:t>
      </w:r>
      <w:r>
        <w:rPr>
          <w:color w:val="231F20"/>
          <w:w w:val="105"/>
        </w:rPr>
        <w:t>ci- fras</w:t>
      </w:r>
      <w:r>
        <w:rPr>
          <w:color w:val="231F20"/>
          <w:spacing w:val="-8"/>
          <w:w w:val="105"/>
        </w:rPr>
        <w:t> </w:t>
      </w:r>
      <w:r>
        <w:rPr>
          <w:color w:val="231F20"/>
          <w:w w:val="105"/>
        </w:rPr>
        <w:t>negativas</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primeros</w:t>
      </w:r>
      <w:r>
        <w:rPr>
          <w:color w:val="231F20"/>
          <w:spacing w:val="-8"/>
          <w:w w:val="105"/>
        </w:rPr>
        <w:t> </w:t>
      </w:r>
      <w:r>
        <w:rPr>
          <w:color w:val="231F20"/>
          <w:w w:val="105"/>
        </w:rPr>
        <w:t>años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gestión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también</w:t>
      </w:r>
      <w:r>
        <w:rPr>
          <w:color w:val="231F20"/>
          <w:spacing w:val="-8"/>
          <w:w w:val="105"/>
        </w:rPr>
        <w:t> </w:t>
      </w:r>
      <w:r>
        <w:rPr>
          <w:color w:val="231F20"/>
          <w:w w:val="105"/>
        </w:rPr>
        <w:t>panista,</w:t>
      </w:r>
      <w:r>
        <w:rPr>
          <w:color w:val="231F20"/>
          <w:spacing w:val="-8"/>
          <w:w w:val="105"/>
        </w:rPr>
        <w:t> </w:t>
      </w:r>
      <w:r>
        <w:rPr>
          <w:color w:val="231F20"/>
          <w:w w:val="105"/>
        </w:rPr>
        <w:t>Angélica</w:t>
      </w:r>
      <w:r>
        <w:rPr>
          <w:color w:val="231F20"/>
          <w:spacing w:val="-8"/>
          <w:w w:val="105"/>
        </w:rPr>
        <w:t> </w:t>
      </w:r>
      <w:r>
        <w:rPr>
          <w:color w:val="231F20"/>
          <w:w w:val="105"/>
        </w:rPr>
        <w:t>Moya Marín:</w:t>
      </w:r>
      <w:r>
        <w:rPr>
          <w:color w:val="231F20"/>
          <w:spacing w:val="-6"/>
          <w:w w:val="105"/>
        </w:rPr>
        <w:t> </w:t>
      </w:r>
      <w:r>
        <w:rPr>
          <w:color w:val="231F20"/>
          <w:w w:val="105"/>
        </w:rPr>
        <w:t>hubo</w:t>
      </w:r>
      <w:r>
        <w:rPr>
          <w:color w:val="231F20"/>
          <w:spacing w:val="-6"/>
          <w:w w:val="105"/>
        </w:rPr>
        <w:t> </w:t>
      </w:r>
      <w:r>
        <w:rPr>
          <w:color w:val="231F20"/>
          <w:w w:val="105"/>
        </w:rPr>
        <w:t>un</w:t>
      </w:r>
      <w:r>
        <w:rPr>
          <w:color w:val="231F20"/>
          <w:spacing w:val="-6"/>
          <w:w w:val="105"/>
        </w:rPr>
        <w:t> </w:t>
      </w:r>
      <w:r>
        <w:rPr>
          <w:color w:val="231F20"/>
          <w:w w:val="105"/>
        </w:rPr>
        <w:t>decremento</w:t>
      </w:r>
      <w:r>
        <w:rPr>
          <w:color w:val="231F20"/>
          <w:spacing w:val="-6"/>
          <w:w w:val="105"/>
        </w:rPr>
        <w:t> </w:t>
      </w:r>
      <w:r>
        <w:rPr>
          <w:color w:val="231F20"/>
          <w:w w:val="105"/>
        </w:rPr>
        <w:t>en</w:t>
      </w:r>
      <w:r>
        <w:rPr>
          <w:color w:val="231F20"/>
          <w:spacing w:val="-6"/>
          <w:w w:val="105"/>
        </w:rPr>
        <w:t> </w:t>
      </w:r>
      <w:r>
        <w:rPr>
          <w:color w:val="231F20"/>
          <w:w w:val="105"/>
        </w:rPr>
        <w:t>recaudación</w:t>
      </w:r>
      <w:r>
        <w:rPr>
          <w:color w:val="231F20"/>
          <w:spacing w:val="-6"/>
          <w:w w:val="105"/>
        </w:rPr>
        <w:t> </w:t>
      </w:r>
      <w:r>
        <w:rPr>
          <w:color w:val="231F20"/>
          <w:w w:val="105"/>
        </w:rPr>
        <w:t>de</w:t>
      </w:r>
      <w:r>
        <w:rPr>
          <w:color w:val="231F20"/>
          <w:spacing w:val="-6"/>
          <w:w w:val="105"/>
        </w:rPr>
        <w:t> </w:t>
      </w:r>
      <w:r>
        <w:rPr>
          <w:color w:val="231F20"/>
          <w:w w:val="105"/>
        </w:rPr>
        <w:t>impuestos</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cobro</w:t>
      </w:r>
      <w:r>
        <w:rPr>
          <w:color w:val="231F20"/>
          <w:spacing w:val="-6"/>
          <w:w w:val="105"/>
        </w:rPr>
        <w:t> </w:t>
      </w:r>
      <w:r>
        <w:rPr>
          <w:color w:val="231F20"/>
          <w:w w:val="105"/>
        </w:rPr>
        <w:t>de</w:t>
      </w:r>
      <w:r>
        <w:rPr>
          <w:color w:val="231F20"/>
          <w:spacing w:val="-6"/>
          <w:w w:val="105"/>
        </w:rPr>
        <w:t> </w:t>
      </w:r>
      <w:r>
        <w:rPr>
          <w:color w:val="231F20"/>
          <w:w w:val="105"/>
        </w:rPr>
        <w:t>derechos</w:t>
      </w:r>
      <w:r>
        <w:rPr>
          <w:color w:val="231F20"/>
          <w:spacing w:val="-6"/>
          <w:w w:val="105"/>
        </w:rPr>
        <w:t> </w:t>
      </w:r>
      <w:r>
        <w:rPr>
          <w:color w:val="231F20"/>
          <w:w w:val="105"/>
        </w:rPr>
        <w:t>en el</w:t>
      </w:r>
      <w:r>
        <w:rPr>
          <w:color w:val="231F20"/>
          <w:spacing w:val="-16"/>
          <w:w w:val="105"/>
        </w:rPr>
        <w:t> </w:t>
      </w:r>
      <w:r>
        <w:rPr>
          <w:color w:val="231F20"/>
          <w:spacing w:val="3"/>
          <w:w w:val="105"/>
        </w:rPr>
        <w:t>2004;</w:t>
      </w:r>
      <w:r>
        <w:rPr>
          <w:color w:val="231F20"/>
          <w:spacing w:val="-16"/>
          <w:w w:val="105"/>
        </w:rPr>
        <w:t> </w:t>
      </w:r>
      <w:r>
        <w:rPr>
          <w:color w:val="231F20"/>
          <w:w w:val="105"/>
        </w:rPr>
        <w:t>también</w:t>
      </w:r>
      <w:r>
        <w:rPr>
          <w:color w:val="231F20"/>
          <w:spacing w:val="-16"/>
          <w:w w:val="105"/>
        </w:rPr>
        <w:t> </w:t>
      </w:r>
      <w:r>
        <w:rPr>
          <w:color w:val="231F20"/>
          <w:w w:val="105"/>
        </w:rPr>
        <w:t>un</w:t>
      </w:r>
      <w:r>
        <w:rPr>
          <w:color w:val="231F20"/>
          <w:spacing w:val="-16"/>
          <w:w w:val="105"/>
        </w:rPr>
        <w:t> </w:t>
      </w:r>
      <w:r>
        <w:rPr>
          <w:color w:val="231F20"/>
          <w:w w:val="105"/>
        </w:rPr>
        <w:t>descenso</w:t>
      </w:r>
      <w:r>
        <w:rPr>
          <w:color w:val="231F20"/>
          <w:spacing w:val="-16"/>
          <w:w w:val="105"/>
        </w:rPr>
        <w:t> </w:t>
      </w:r>
      <w:r>
        <w:rPr>
          <w:color w:val="231F20"/>
          <w:w w:val="105"/>
        </w:rPr>
        <w:t>impresionante</w:t>
      </w:r>
      <w:r>
        <w:rPr>
          <w:color w:val="231F20"/>
          <w:spacing w:val="-16"/>
          <w:w w:val="105"/>
        </w:rPr>
        <w:t> </w:t>
      </w:r>
      <w:r>
        <w:rPr>
          <w:color w:val="231F20"/>
          <w:w w:val="105"/>
        </w:rPr>
        <w:t>en</w:t>
      </w:r>
      <w:r>
        <w:rPr>
          <w:color w:val="231F20"/>
          <w:spacing w:val="-16"/>
          <w:w w:val="105"/>
        </w:rPr>
        <w:t> </w:t>
      </w:r>
      <w:r>
        <w:rPr>
          <w:color w:val="231F20"/>
          <w:w w:val="105"/>
        </w:rPr>
        <w:t>cuanto</w:t>
      </w:r>
      <w:r>
        <w:rPr>
          <w:color w:val="231F20"/>
          <w:spacing w:val="-16"/>
          <w:w w:val="105"/>
        </w:rPr>
        <w:t> </w:t>
      </w:r>
      <w:r>
        <w:rPr>
          <w:color w:val="231F20"/>
          <w:w w:val="105"/>
        </w:rPr>
        <w:t>a</w:t>
      </w:r>
      <w:r>
        <w:rPr>
          <w:color w:val="231F20"/>
          <w:spacing w:val="-16"/>
          <w:w w:val="105"/>
        </w:rPr>
        <w:t> </w:t>
      </w:r>
      <w:r>
        <w:rPr>
          <w:color w:val="231F20"/>
          <w:w w:val="105"/>
        </w:rPr>
        <w:t>ingresos</w:t>
      </w:r>
      <w:r>
        <w:rPr>
          <w:color w:val="231F20"/>
          <w:spacing w:val="-16"/>
          <w:w w:val="105"/>
        </w:rPr>
        <w:t> </w:t>
      </w:r>
      <w:r>
        <w:rPr>
          <w:color w:val="231F20"/>
          <w:w w:val="105"/>
        </w:rPr>
        <w:t>por</w:t>
      </w:r>
      <w:r>
        <w:rPr>
          <w:color w:val="231F20"/>
          <w:spacing w:val="-16"/>
          <w:w w:val="105"/>
        </w:rPr>
        <w:t> </w:t>
      </w:r>
      <w:r>
        <w:rPr>
          <w:color w:val="231F20"/>
          <w:w w:val="105"/>
        </w:rPr>
        <w:t>productos</w:t>
      </w:r>
      <w:r>
        <w:rPr>
          <w:color w:val="231F20"/>
          <w:spacing w:val="-16"/>
          <w:w w:val="105"/>
        </w:rPr>
        <w:t> </w:t>
      </w:r>
      <w:r>
        <w:rPr>
          <w:color w:val="231F20"/>
          <w:w w:val="105"/>
        </w:rPr>
        <w:t>y</w:t>
      </w:r>
      <w:r>
        <w:rPr>
          <w:color w:val="231F20"/>
          <w:spacing w:val="-16"/>
          <w:w w:val="105"/>
        </w:rPr>
        <w:t> </w:t>
      </w:r>
      <w:r>
        <w:rPr>
          <w:color w:val="231F20"/>
          <w:w w:val="105"/>
        </w:rPr>
        <w:t>apro- vechamientos;</w:t>
      </w:r>
      <w:r>
        <w:rPr>
          <w:color w:val="231F20"/>
          <w:spacing w:val="-17"/>
          <w:w w:val="105"/>
        </w:rPr>
        <w:t> </w:t>
      </w:r>
      <w:r>
        <w:rPr>
          <w:color w:val="231F20"/>
          <w:w w:val="105"/>
        </w:rPr>
        <w:t>por</w:t>
      </w:r>
      <w:r>
        <w:rPr>
          <w:color w:val="231F20"/>
          <w:spacing w:val="-17"/>
          <w:w w:val="105"/>
        </w:rPr>
        <w:t> </w:t>
      </w:r>
      <w:r>
        <w:rPr>
          <w:color w:val="231F20"/>
          <w:w w:val="105"/>
        </w:rPr>
        <w:t>otra</w:t>
      </w:r>
      <w:r>
        <w:rPr>
          <w:color w:val="231F20"/>
          <w:spacing w:val="-17"/>
          <w:w w:val="105"/>
        </w:rPr>
        <w:t> </w:t>
      </w:r>
      <w:r>
        <w:rPr>
          <w:color w:val="231F20"/>
          <w:w w:val="105"/>
        </w:rPr>
        <w:t>parte,</w:t>
      </w:r>
      <w:r>
        <w:rPr>
          <w:color w:val="231F20"/>
          <w:spacing w:val="-17"/>
          <w:w w:val="105"/>
        </w:rPr>
        <w:t> </w:t>
      </w:r>
      <w:r>
        <w:rPr>
          <w:color w:val="231F20"/>
          <w:w w:val="105"/>
        </w:rPr>
        <w:t>las</w:t>
      </w:r>
      <w:r>
        <w:rPr>
          <w:color w:val="231F20"/>
          <w:spacing w:val="-17"/>
          <w:w w:val="105"/>
        </w:rPr>
        <w:t> </w:t>
      </w:r>
      <w:r>
        <w:rPr>
          <w:color w:val="231F20"/>
          <w:w w:val="105"/>
        </w:rPr>
        <w:t>participaciones</w:t>
      </w:r>
      <w:r>
        <w:rPr>
          <w:color w:val="231F20"/>
          <w:spacing w:val="-17"/>
          <w:w w:val="105"/>
        </w:rPr>
        <w:t> </w:t>
      </w:r>
      <w:r>
        <w:rPr>
          <w:color w:val="231F20"/>
          <w:w w:val="105"/>
        </w:rPr>
        <w:t>federales</w:t>
      </w:r>
      <w:r>
        <w:rPr>
          <w:color w:val="231F20"/>
          <w:spacing w:val="-17"/>
          <w:w w:val="105"/>
        </w:rPr>
        <w:t> </w:t>
      </w:r>
      <w:r>
        <w:rPr>
          <w:color w:val="231F20"/>
          <w:w w:val="105"/>
        </w:rPr>
        <w:t>se</w:t>
      </w:r>
      <w:r>
        <w:rPr>
          <w:color w:val="231F20"/>
          <w:spacing w:val="-17"/>
          <w:w w:val="105"/>
        </w:rPr>
        <w:t> </w:t>
      </w:r>
      <w:r>
        <w:rPr>
          <w:color w:val="231F20"/>
          <w:w w:val="105"/>
        </w:rPr>
        <w:t>incrementaron</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spacing w:val="2"/>
          <w:w w:val="105"/>
        </w:rPr>
        <w:t>2003, </w:t>
      </w:r>
      <w:r>
        <w:rPr>
          <w:color w:val="231F20"/>
          <w:w w:val="105"/>
        </w:rPr>
        <w:t>pero su </w:t>
      </w:r>
      <w:r>
        <w:rPr>
          <w:color w:val="231F20"/>
          <w:spacing w:val="-3"/>
          <w:w w:val="105"/>
        </w:rPr>
        <w:t>monto </w:t>
      </w:r>
      <w:r>
        <w:rPr>
          <w:color w:val="231F20"/>
          <w:w w:val="105"/>
        </w:rPr>
        <w:t>fue menor en los dos años siguientes; en el caso de las aportaciones, se notó</w:t>
      </w:r>
      <w:r>
        <w:rPr>
          <w:color w:val="231F20"/>
          <w:spacing w:val="-19"/>
          <w:w w:val="105"/>
        </w:rPr>
        <w:t> </w:t>
      </w:r>
      <w:r>
        <w:rPr>
          <w:color w:val="231F20"/>
          <w:w w:val="105"/>
        </w:rPr>
        <w:t>un</w:t>
      </w:r>
      <w:r>
        <w:rPr>
          <w:color w:val="231F20"/>
          <w:spacing w:val="-19"/>
          <w:w w:val="105"/>
        </w:rPr>
        <w:t> </w:t>
      </w:r>
      <w:r>
        <w:rPr>
          <w:color w:val="231F20"/>
          <w:w w:val="105"/>
        </w:rPr>
        <w:t>sensible</w:t>
      </w:r>
      <w:r>
        <w:rPr>
          <w:color w:val="231F20"/>
          <w:spacing w:val="-19"/>
          <w:w w:val="105"/>
        </w:rPr>
        <w:t> </w:t>
      </w:r>
      <w:r>
        <w:rPr>
          <w:color w:val="231F20"/>
          <w:w w:val="105"/>
        </w:rPr>
        <w:t>incremento</w:t>
      </w:r>
      <w:r>
        <w:rPr>
          <w:color w:val="231F20"/>
          <w:spacing w:val="-19"/>
          <w:w w:val="105"/>
        </w:rPr>
        <w:t> </w:t>
      </w:r>
      <w:r>
        <w:rPr>
          <w:color w:val="231F20"/>
          <w:w w:val="105"/>
        </w:rPr>
        <w:t>pero</w:t>
      </w:r>
      <w:r>
        <w:rPr>
          <w:color w:val="231F20"/>
          <w:spacing w:val="-19"/>
          <w:w w:val="105"/>
        </w:rPr>
        <w:t> </w:t>
      </w:r>
      <w:r>
        <w:rPr>
          <w:color w:val="231F20"/>
          <w:w w:val="105"/>
        </w:rPr>
        <w:t>hasta</w:t>
      </w:r>
      <w:r>
        <w:rPr>
          <w:color w:val="231F20"/>
          <w:spacing w:val="-19"/>
          <w:w w:val="105"/>
        </w:rPr>
        <w:t> </w:t>
      </w:r>
      <w:r>
        <w:rPr>
          <w:color w:val="231F20"/>
          <w:w w:val="105"/>
        </w:rPr>
        <w:t>el</w:t>
      </w:r>
      <w:r>
        <w:rPr>
          <w:color w:val="231F20"/>
          <w:spacing w:val="-19"/>
          <w:w w:val="105"/>
        </w:rPr>
        <w:t> </w:t>
      </w:r>
      <w:r>
        <w:rPr>
          <w:color w:val="231F20"/>
          <w:w w:val="105"/>
        </w:rPr>
        <w:t>último</w:t>
      </w:r>
      <w:r>
        <w:rPr>
          <w:color w:val="231F20"/>
          <w:spacing w:val="-19"/>
          <w:w w:val="105"/>
        </w:rPr>
        <w:t> </w:t>
      </w:r>
      <w:r>
        <w:rPr>
          <w:color w:val="231F20"/>
          <w:w w:val="105"/>
        </w:rPr>
        <w:t>año</w:t>
      </w:r>
      <w:r>
        <w:rPr>
          <w:color w:val="231F20"/>
          <w:spacing w:val="-19"/>
          <w:w w:val="105"/>
        </w:rPr>
        <w:t> </w:t>
      </w:r>
      <w:r>
        <w:rPr>
          <w:color w:val="231F20"/>
          <w:w w:val="105"/>
        </w:rPr>
        <w:t>(2005).</w:t>
      </w:r>
      <w:r>
        <w:rPr>
          <w:color w:val="231F20"/>
          <w:spacing w:val="-19"/>
          <w:w w:val="105"/>
        </w:rPr>
        <w:t> </w:t>
      </w:r>
      <w:r>
        <w:rPr>
          <w:color w:val="231F20"/>
          <w:w w:val="105"/>
        </w:rPr>
        <w:t>Como</w:t>
      </w:r>
      <w:r>
        <w:rPr>
          <w:color w:val="231F20"/>
          <w:spacing w:val="-19"/>
          <w:w w:val="105"/>
        </w:rPr>
        <w:t> </w:t>
      </w:r>
      <w:r>
        <w:rPr>
          <w:color w:val="231F20"/>
          <w:w w:val="105"/>
        </w:rPr>
        <w:t>se</w:t>
      </w:r>
      <w:r>
        <w:rPr>
          <w:color w:val="231F20"/>
          <w:spacing w:val="-19"/>
          <w:w w:val="105"/>
        </w:rPr>
        <w:t> </w:t>
      </w:r>
      <w:r>
        <w:rPr>
          <w:color w:val="231F20"/>
          <w:w w:val="105"/>
        </w:rPr>
        <w:t>aprecia</w:t>
      </w:r>
      <w:r>
        <w:rPr>
          <w:color w:val="231F20"/>
          <w:spacing w:val="-19"/>
          <w:w w:val="105"/>
        </w:rPr>
        <w:t> </w:t>
      </w:r>
      <w:r>
        <w:rPr>
          <w:color w:val="231F20"/>
          <w:w w:val="105"/>
        </w:rPr>
        <w:t>fácilmen- te,</w:t>
      </w:r>
      <w:r>
        <w:rPr>
          <w:color w:val="231F20"/>
          <w:spacing w:val="-14"/>
          <w:w w:val="105"/>
        </w:rPr>
        <w:t> </w:t>
      </w:r>
      <w:r>
        <w:rPr>
          <w:color w:val="231F20"/>
          <w:w w:val="105"/>
        </w:rPr>
        <w:t>el</w:t>
      </w:r>
      <w:r>
        <w:rPr>
          <w:color w:val="231F20"/>
          <w:spacing w:val="-13"/>
          <w:w w:val="105"/>
        </w:rPr>
        <w:t> </w:t>
      </w:r>
      <w:r>
        <w:rPr>
          <w:color w:val="231F20"/>
          <w:w w:val="105"/>
        </w:rPr>
        <w:t>ejercicio</w:t>
      </w:r>
      <w:r>
        <w:rPr>
          <w:color w:val="231F20"/>
          <w:spacing w:val="-13"/>
          <w:w w:val="105"/>
        </w:rPr>
        <w:t> </w:t>
      </w:r>
      <w:r>
        <w:rPr>
          <w:color w:val="231F20"/>
          <w:w w:val="105"/>
        </w:rPr>
        <w:t>de</w:t>
      </w:r>
      <w:r>
        <w:rPr>
          <w:color w:val="231F20"/>
          <w:spacing w:val="-13"/>
          <w:w w:val="105"/>
        </w:rPr>
        <w:t> </w:t>
      </w:r>
      <w:r>
        <w:rPr>
          <w:color w:val="231F20"/>
          <w:w w:val="105"/>
        </w:rPr>
        <w:t>gobierno</w:t>
      </w:r>
      <w:r>
        <w:rPr>
          <w:color w:val="231F20"/>
          <w:spacing w:val="-13"/>
          <w:w w:val="105"/>
        </w:rPr>
        <w:t> </w:t>
      </w:r>
      <w:r>
        <w:rPr>
          <w:color w:val="231F20"/>
          <w:w w:val="105"/>
        </w:rPr>
        <w:t>en</w:t>
      </w:r>
      <w:r>
        <w:rPr>
          <w:color w:val="231F20"/>
          <w:spacing w:val="-14"/>
          <w:w w:val="105"/>
        </w:rPr>
        <w:t> </w:t>
      </w:r>
      <w:r>
        <w:rPr>
          <w:color w:val="231F20"/>
          <w:w w:val="105"/>
        </w:rPr>
        <w:t>materia</w:t>
      </w:r>
      <w:r>
        <w:rPr>
          <w:color w:val="231F20"/>
          <w:spacing w:val="-14"/>
          <w:w w:val="105"/>
        </w:rPr>
        <w:t> </w:t>
      </w:r>
      <w:r>
        <w:rPr>
          <w:color w:val="231F20"/>
          <w:w w:val="105"/>
        </w:rPr>
        <w:t>presupuestal</w:t>
      </w:r>
      <w:r>
        <w:rPr>
          <w:color w:val="231F20"/>
          <w:spacing w:val="-13"/>
          <w:w w:val="105"/>
        </w:rPr>
        <w:t> </w:t>
      </w:r>
      <w:r>
        <w:rPr>
          <w:color w:val="231F20"/>
          <w:w w:val="105"/>
        </w:rPr>
        <w:t>fue</w:t>
      </w:r>
      <w:r>
        <w:rPr>
          <w:color w:val="231F20"/>
          <w:spacing w:val="-14"/>
          <w:w w:val="105"/>
        </w:rPr>
        <w:t> </w:t>
      </w:r>
      <w:r>
        <w:rPr>
          <w:color w:val="231F20"/>
          <w:w w:val="105"/>
        </w:rPr>
        <w:t>negativo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3"/>
          <w:w w:val="105"/>
        </w:rPr>
        <w:t> </w:t>
      </w:r>
      <w:r>
        <w:rPr>
          <w:color w:val="231F20"/>
          <w:w w:val="105"/>
        </w:rPr>
        <w:t>caso</w:t>
      </w:r>
      <w:r>
        <w:rPr>
          <w:color w:val="231F20"/>
          <w:spacing w:val="-13"/>
          <w:w w:val="105"/>
        </w:rPr>
        <w:t> </w:t>
      </w:r>
      <w:r>
        <w:rPr>
          <w:color w:val="231F20"/>
          <w:w w:val="105"/>
        </w:rPr>
        <w:t>de</w:t>
      </w:r>
      <w:r>
        <w:rPr>
          <w:color w:val="231F20"/>
          <w:spacing w:val="-14"/>
          <w:w w:val="105"/>
        </w:rPr>
        <w:t> </w:t>
      </w:r>
      <w:r>
        <w:rPr>
          <w:color w:val="231F20"/>
          <w:w w:val="105"/>
        </w:rPr>
        <w:t>la</w:t>
      </w:r>
      <w:r>
        <w:rPr>
          <w:color w:val="231F20"/>
          <w:spacing w:val="-13"/>
          <w:w w:val="105"/>
        </w:rPr>
        <w:t> </w:t>
      </w:r>
      <w:r>
        <w:rPr>
          <w:color w:val="231F20"/>
          <w:w w:val="105"/>
        </w:rPr>
        <w:t>gestión de</w:t>
      </w:r>
      <w:r>
        <w:rPr>
          <w:color w:val="231F20"/>
          <w:spacing w:val="-15"/>
          <w:w w:val="105"/>
        </w:rPr>
        <w:t> </w:t>
      </w:r>
      <w:r>
        <w:rPr>
          <w:color w:val="231F20"/>
          <w:w w:val="105"/>
        </w:rPr>
        <w:t>Moya</w:t>
      </w:r>
      <w:r>
        <w:rPr>
          <w:color w:val="231F20"/>
          <w:spacing w:val="-15"/>
          <w:w w:val="105"/>
        </w:rPr>
        <w:t> </w:t>
      </w:r>
      <w:r>
        <w:rPr>
          <w:color w:val="231F20"/>
          <w:w w:val="105"/>
        </w:rPr>
        <w:t>Marín.</w:t>
      </w:r>
      <w:r>
        <w:rPr>
          <w:color w:val="231F20"/>
          <w:spacing w:val="-15"/>
          <w:w w:val="105"/>
        </w:rPr>
        <w:t> </w:t>
      </w:r>
      <w:r>
        <w:rPr>
          <w:color w:val="231F20"/>
          <w:w w:val="105"/>
        </w:rPr>
        <w:t>Esto</w:t>
      </w:r>
      <w:r>
        <w:rPr>
          <w:color w:val="231F20"/>
          <w:spacing w:val="-15"/>
          <w:w w:val="105"/>
        </w:rPr>
        <w:t> </w:t>
      </w:r>
      <w:r>
        <w:rPr>
          <w:color w:val="231F20"/>
          <w:w w:val="105"/>
        </w:rPr>
        <w:t>se</w:t>
      </w:r>
      <w:r>
        <w:rPr>
          <w:color w:val="231F20"/>
          <w:spacing w:val="-15"/>
          <w:w w:val="105"/>
        </w:rPr>
        <w:t> </w:t>
      </w:r>
      <w:r>
        <w:rPr>
          <w:color w:val="231F20"/>
          <w:w w:val="105"/>
        </w:rPr>
        <w:t>aprecia</w:t>
      </w:r>
      <w:r>
        <w:rPr>
          <w:color w:val="231F20"/>
          <w:spacing w:val="-15"/>
          <w:w w:val="105"/>
        </w:rPr>
        <w:t> </w:t>
      </w:r>
      <w:r>
        <w:rPr>
          <w:color w:val="231F20"/>
          <w:w w:val="105"/>
        </w:rPr>
        <w:t>también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egresos.</w:t>
      </w:r>
    </w:p>
    <w:p>
      <w:pPr>
        <w:pStyle w:val="BodyText"/>
        <w:spacing w:before="1"/>
        <w:rPr>
          <w:sz w:val="26"/>
        </w:rPr>
      </w:pPr>
    </w:p>
    <w:p>
      <w:pPr>
        <w:pStyle w:val="Heading5"/>
        <w:ind w:left="141" w:right="0"/>
        <w:jc w:val="both"/>
      </w:pPr>
      <w:r>
        <w:rPr>
          <w:color w:val="231F20"/>
          <w:spacing w:val="-6"/>
          <w:w w:val="105"/>
        </w:rPr>
        <w:t>Tabla</w:t>
      </w:r>
      <w:r>
        <w:rPr>
          <w:color w:val="231F20"/>
          <w:spacing w:val="-22"/>
          <w:w w:val="105"/>
        </w:rPr>
        <w:t> </w:t>
      </w:r>
      <w:r>
        <w:rPr>
          <w:color w:val="231F20"/>
          <w:w w:val="105"/>
        </w:rPr>
        <w:t>2.</w:t>
      </w:r>
      <w:r>
        <w:rPr>
          <w:color w:val="231F20"/>
          <w:spacing w:val="-22"/>
          <w:w w:val="105"/>
        </w:rPr>
        <w:t> </w:t>
      </w:r>
      <w:r>
        <w:rPr>
          <w:color w:val="231F20"/>
          <w:w w:val="105"/>
        </w:rPr>
        <w:t>Ingresos</w:t>
      </w:r>
      <w:r>
        <w:rPr>
          <w:color w:val="231F20"/>
          <w:spacing w:val="-22"/>
          <w:w w:val="105"/>
        </w:rPr>
        <w:t> </w:t>
      </w:r>
      <w:r>
        <w:rPr>
          <w:color w:val="231F20"/>
          <w:w w:val="105"/>
        </w:rPr>
        <w:t>municipales</w:t>
      </w:r>
      <w:r>
        <w:rPr>
          <w:color w:val="231F20"/>
          <w:spacing w:val="-22"/>
          <w:w w:val="105"/>
        </w:rPr>
        <w:t> </w:t>
      </w:r>
      <w:r>
        <w:rPr>
          <w:color w:val="231F20"/>
          <w:w w:val="105"/>
        </w:rPr>
        <w:t>en</w:t>
      </w:r>
      <w:r>
        <w:rPr>
          <w:color w:val="231F20"/>
          <w:spacing w:val="-22"/>
          <w:w w:val="105"/>
        </w:rPr>
        <w:t> </w:t>
      </w:r>
      <w:r>
        <w:rPr>
          <w:color w:val="231F20"/>
          <w:w w:val="105"/>
        </w:rPr>
        <w:t>pesos</w:t>
      </w:r>
      <w:r>
        <w:rPr>
          <w:color w:val="231F20"/>
          <w:spacing w:val="-22"/>
          <w:w w:val="105"/>
        </w:rPr>
        <w:t> </w:t>
      </w:r>
      <w:r>
        <w:rPr>
          <w:color w:val="231F20"/>
          <w:spacing w:val="-3"/>
          <w:w w:val="105"/>
        </w:rPr>
        <w:t>corrientes,</w:t>
      </w:r>
      <w:r>
        <w:rPr>
          <w:color w:val="231F20"/>
          <w:spacing w:val="-22"/>
          <w:w w:val="105"/>
        </w:rPr>
        <w:t> </w:t>
      </w:r>
      <w:r>
        <w:rPr>
          <w:color w:val="231F20"/>
          <w:w w:val="105"/>
        </w:rPr>
        <w:t>2000-2005,</w:t>
      </w:r>
      <w:r>
        <w:rPr>
          <w:color w:val="231F20"/>
          <w:spacing w:val="-22"/>
          <w:w w:val="105"/>
        </w:rPr>
        <w:t> </w:t>
      </w:r>
      <w:r>
        <w:rPr>
          <w:color w:val="231F20"/>
          <w:spacing w:val="-3"/>
          <w:w w:val="105"/>
        </w:rPr>
        <w:t>Naucalpan</w:t>
      </w:r>
      <w:r>
        <w:rPr>
          <w:color w:val="231F20"/>
          <w:spacing w:val="-22"/>
          <w:w w:val="105"/>
        </w:rPr>
        <w:t> </w:t>
      </w:r>
      <w:r>
        <w:rPr>
          <w:color w:val="231F20"/>
          <w:spacing w:val="-3"/>
          <w:w w:val="105"/>
        </w:rPr>
        <w:t>de</w:t>
      </w:r>
      <w:r>
        <w:rPr>
          <w:color w:val="231F20"/>
          <w:spacing w:val="-22"/>
          <w:w w:val="105"/>
        </w:rPr>
        <w:t> </w:t>
      </w:r>
      <w:r>
        <w:rPr>
          <w:color w:val="231F20"/>
          <w:spacing w:val="-3"/>
          <w:w w:val="105"/>
        </w:rPr>
        <w:t>Juárez</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6"/>
        </w:rPr>
      </w:pPr>
    </w:p>
    <w:p>
      <w:pPr>
        <w:tabs>
          <w:tab w:pos="1959" w:val="left" w:leader="none"/>
          <w:tab w:pos="2586" w:val="left" w:leader="none"/>
          <w:tab w:pos="3177" w:val="left" w:leader="none"/>
          <w:tab w:pos="3931" w:val="left" w:leader="none"/>
          <w:tab w:pos="4303" w:val="left" w:leader="none"/>
          <w:tab w:pos="6797" w:val="left" w:leader="none"/>
          <w:tab w:pos="7693" w:val="left" w:leader="none"/>
        </w:tabs>
        <w:spacing w:before="80"/>
        <w:ind w:left="210" w:right="242" w:firstLine="0"/>
        <w:jc w:val="left"/>
        <w:rPr>
          <w:rFonts w:ascii="Calibri"/>
          <w:sz w:val="12"/>
        </w:rPr>
      </w:pPr>
      <w:r>
        <w:rPr/>
        <w:pict>
          <v:shape style="position:absolute;margin-left:42.519699pt;margin-top:-107.633118pt;width:397.35pt;height:117.35pt;mso-position-horizontal-relative:page;mso-position-vertical-relative:paragraph;z-index:102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2"/>
                    <w:gridCol w:w="716"/>
                    <w:gridCol w:w="643"/>
                    <w:gridCol w:w="639"/>
                    <w:gridCol w:w="576"/>
                    <w:gridCol w:w="640"/>
                    <w:gridCol w:w="498"/>
                    <w:gridCol w:w="673"/>
                    <w:gridCol w:w="619"/>
                    <w:gridCol w:w="575"/>
                    <w:gridCol w:w="557"/>
                    <w:gridCol w:w="768"/>
                    <w:gridCol w:w="641"/>
                  </w:tblGrid>
                  <w:tr>
                    <w:trPr>
                      <w:trHeight w:val="542" w:hRule="exact"/>
                    </w:trPr>
                    <w:tc>
                      <w:tcPr>
                        <w:tcW w:w="372" w:type="dxa"/>
                        <w:tcBorders>
                          <w:top w:val="single" w:sz="8" w:space="0" w:color="231F20"/>
                          <w:left w:val="single" w:sz="8" w:space="0" w:color="231F20"/>
                          <w:bottom w:val="single" w:sz="8" w:space="0" w:color="231F20"/>
                        </w:tcBorders>
                      </w:tcPr>
                      <w:p>
                        <w:pPr/>
                      </w:p>
                    </w:tc>
                    <w:tc>
                      <w:tcPr>
                        <w:tcW w:w="716" w:type="dxa"/>
                        <w:tcBorders>
                          <w:top w:val="single" w:sz="8" w:space="0" w:color="231F20"/>
                          <w:bottom w:val="single" w:sz="8" w:space="0" w:color="231F20"/>
                        </w:tcBorders>
                      </w:tcPr>
                      <w:p>
                        <w:pPr>
                          <w:pStyle w:val="TableParagraph"/>
                          <w:spacing w:before="8"/>
                          <w:ind w:left="0"/>
                          <w:rPr>
                            <w:sz w:val="9"/>
                          </w:rPr>
                        </w:pPr>
                      </w:p>
                      <w:p>
                        <w:pPr>
                          <w:pStyle w:val="TableParagraph"/>
                          <w:spacing w:line="144" w:lineRule="exact" w:before="1"/>
                          <w:ind w:left="233" w:right="175" w:hanging="39"/>
                          <w:rPr>
                            <w:sz w:val="12"/>
                          </w:rPr>
                        </w:pPr>
                        <w:r>
                          <w:rPr>
                            <w:color w:val="231F20"/>
                            <w:w w:val="80"/>
                            <w:sz w:val="12"/>
                          </w:rPr>
                          <w:t>Ingresos </w:t>
                        </w:r>
                        <w:r>
                          <w:rPr>
                            <w:color w:val="231F20"/>
                            <w:w w:val="85"/>
                            <w:sz w:val="12"/>
                          </w:rPr>
                          <w:t>brutos</w:t>
                        </w:r>
                      </w:p>
                    </w:tc>
                    <w:tc>
                      <w:tcPr>
                        <w:tcW w:w="643" w:type="dxa"/>
                        <w:tcBorders>
                          <w:top w:val="single" w:sz="8" w:space="0" w:color="231F20"/>
                          <w:bottom w:val="single" w:sz="8" w:space="0" w:color="231F20"/>
                          <w:right w:val="single" w:sz="8" w:space="0" w:color="231F20"/>
                        </w:tcBorders>
                      </w:tcPr>
                      <w:p>
                        <w:pPr>
                          <w:pStyle w:val="TableParagraph"/>
                          <w:spacing w:before="8"/>
                          <w:ind w:left="0"/>
                          <w:rPr>
                            <w:sz w:val="15"/>
                          </w:rPr>
                        </w:pPr>
                      </w:p>
                      <w:p>
                        <w:pPr>
                          <w:pStyle w:val="TableParagraph"/>
                          <w:ind w:left="83" w:right="75"/>
                          <w:jc w:val="center"/>
                          <w:rPr>
                            <w:sz w:val="12"/>
                          </w:rPr>
                        </w:pPr>
                        <w:r>
                          <w:rPr>
                            <w:color w:val="231F20"/>
                            <w:w w:val="85"/>
                            <w:sz w:val="12"/>
                          </w:rPr>
                          <w:t>Impuestos</w:t>
                        </w:r>
                      </w:p>
                    </w:tc>
                    <w:tc>
                      <w:tcPr>
                        <w:tcW w:w="639"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15"/>
                          </w:rPr>
                        </w:pPr>
                      </w:p>
                      <w:p>
                        <w:pPr>
                          <w:pStyle w:val="TableParagraph"/>
                          <w:ind w:left="94" w:right="94"/>
                          <w:jc w:val="center"/>
                          <w:rPr>
                            <w:sz w:val="12"/>
                          </w:rPr>
                        </w:pPr>
                        <w:r>
                          <w:rPr>
                            <w:color w:val="231F20"/>
                            <w:w w:val="85"/>
                            <w:sz w:val="12"/>
                          </w:rPr>
                          <w:t>Derechos</w:t>
                        </w:r>
                      </w:p>
                    </w:tc>
                    <w:tc>
                      <w:tcPr>
                        <w:tcW w:w="576"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15"/>
                          </w:rPr>
                        </w:pPr>
                      </w:p>
                      <w:p>
                        <w:pPr>
                          <w:pStyle w:val="TableParagraph"/>
                          <w:ind w:left="83"/>
                          <w:rPr>
                            <w:sz w:val="12"/>
                          </w:rPr>
                        </w:pPr>
                        <w:r>
                          <w:rPr>
                            <w:color w:val="231F20"/>
                            <w:w w:val="85"/>
                            <w:sz w:val="12"/>
                          </w:rPr>
                          <w:t>Productos</w:t>
                        </w:r>
                      </w:p>
                    </w:tc>
                    <w:tc>
                      <w:tcPr>
                        <w:tcW w:w="640"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9"/>
                          </w:rPr>
                        </w:pPr>
                      </w:p>
                      <w:p>
                        <w:pPr>
                          <w:pStyle w:val="TableParagraph"/>
                          <w:spacing w:line="144" w:lineRule="exact" w:before="1"/>
                          <w:ind w:left="153" w:hanging="66"/>
                          <w:rPr>
                            <w:sz w:val="12"/>
                          </w:rPr>
                        </w:pPr>
                        <w:r>
                          <w:rPr>
                            <w:color w:val="231F20"/>
                            <w:w w:val="75"/>
                            <w:sz w:val="12"/>
                          </w:rPr>
                          <w:t>Aprovecha- </w:t>
                        </w:r>
                        <w:r>
                          <w:rPr>
                            <w:color w:val="231F20"/>
                            <w:w w:val="85"/>
                            <w:sz w:val="12"/>
                          </w:rPr>
                          <w:t>mientos</w:t>
                        </w:r>
                      </w:p>
                    </w:tc>
                    <w:tc>
                      <w:tcPr>
                        <w:tcW w:w="498" w:type="dxa"/>
                        <w:tcBorders>
                          <w:top w:val="single" w:sz="8" w:space="0" w:color="231F20"/>
                          <w:left w:val="single" w:sz="8" w:space="0" w:color="231F20"/>
                          <w:bottom w:val="single" w:sz="8" w:space="0" w:color="231F20"/>
                          <w:right w:val="single" w:sz="8" w:space="0" w:color="231F20"/>
                        </w:tcBorders>
                      </w:tcPr>
                      <w:p>
                        <w:pPr>
                          <w:pStyle w:val="TableParagraph"/>
                          <w:spacing w:line="121" w:lineRule="exact"/>
                          <w:ind w:left="75" w:right="75"/>
                          <w:jc w:val="center"/>
                          <w:rPr>
                            <w:sz w:val="12"/>
                          </w:rPr>
                        </w:pPr>
                        <w:r>
                          <w:rPr>
                            <w:color w:val="231F20"/>
                            <w:w w:val="85"/>
                            <w:sz w:val="12"/>
                          </w:rPr>
                          <w:t>Contri-</w:t>
                        </w:r>
                      </w:p>
                      <w:p>
                        <w:pPr>
                          <w:pStyle w:val="TableParagraph"/>
                          <w:spacing w:line="235" w:lineRule="auto" w:before="1"/>
                          <w:ind w:left="75" w:right="73"/>
                          <w:jc w:val="center"/>
                          <w:rPr>
                            <w:sz w:val="12"/>
                          </w:rPr>
                        </w:pPr>
                        <w:r>
                          <w:rPr>
                            <w:color w:val="231F20"/>
                            <w:w w:val="80"/>
                            <w:sz w:val="12"/>
                          </w:rPr>
                          <w:t>bución </w:t>
                        </w:r>
                        <w:r>
                          <w:rPr>
                            <w:color w:val="231F20"/>
                            <w:w w:val="85"/>
                            <w:sz w:val="12"/>
                          </w:rPr>
                          <w:t>de </w:t>
                        </w:r>
                        <w:r>
                          <w:rPr>
                            <w:color w:val="231F20"/>
                            <w:w w:val="75"/>
                            <w:sz w:val="12"/>
                          </w:rPr>
                          <w:t>mejoras</w:t>
                        </w:r>
                      </w:p>
                    </w:tc>
                    <w:tc>
                      <w:tcPr>
                        <w:tcW w:w="673"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9"/>
                          </w:rPr>
                        </w:pPr>
                      </w:p>
                      <w:p>
                        <w:pPr>
                          <w:pStyle w:val="TableParagraph"/>
                          <w:spacing w:line="144" w:lineRule="exact" w:before="1"/>
                          <w:ind w:left="71" w:right="14" w:firstLine="6"/>
                          <w:rPr>
                            <w:sz w:val="12"/>
                          </w:rPr>
                        </w:pPr>
                        <w:r>
                          <w:rPr>
                            <w:color w:val="231F20"/>
                            <w:w w:val="75"/>
                            <w:sz w:val="12"/>
                          </w:rPr>
                          <w:t>Participacio- nes federales</w:t>
                        </w:r>
                      </w:p>
                    </w:tc>
                    <w:tc>
                      <w:tcPr>
                        <w:tcW w:w="619" w:type="dxa"/>
                        <w:tcBorders>
                          <w:top w:val="single" w:sz="8" w:space="0" w:color="231F20"/>
                          <w:left w:val="single" w:sz="8" w:space="0" w:color="231F20"/>
                          <w:bottom w:val="single" w:sz="8" w:space="0" w:color="231F20"/>
                          <w:right w:val="single" w:sz="8" w:space="0" w:color="231F20"/>
                        </w:tcBorders>
                      </w:tcPr>
                      <w:p>
                        <w:pPr>
                          <w:pStyle w:val="TableParagraph"/>
                          <w:spacing w:line="144" w:lineRule="exact" w:before="47"/>
                          <w:ind w:left="120" w:right="115" w:firstLine="27"/>
                          <w:jc w:val="both"/>
                          <w:rPr>
                            <w:sz w:val="12"/>
                          </w:rPr>
                        </w:pPr>
                        <w:r>
                          <w:rPr>
                            <w:color w:val="231F20"/>
                            <w:w w:val="80"/>
                            <w:sz w:val="12"/>
                          </w:rPr>
                          <w:t>Aporta- </w:t>
                        </w:r>
                        <w:r>
                          <w:rPr>
                            <w:color w:val="231F20"/>
                            <w:w w:val="85"/>
                            <w:sz w:val="12"/>
                          </w:rPr>
                          <w:t>ciones </w:t>
                        </w:r>
                        <w:r>
                          <w:rPr>
                            <w:color w:val="231F20"/>
                            <w:w w:val="75"/>
                            <w:sz w:val="12"/>
                          </w:rPr>
                          <w:t>federales</w:t>
                        </w:r>
                      </w:p>
                    </w:tc>
                    <w:tc>
                      <w:tcPr>
                        <w:tcW w:w="575"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9"/>
                          </w:rPr>
                        </w:pPr>
                      </w:p>
                      <w:p>
                        <w:pPr>
                          <w:pStyle w:val="TableParagraph"/>
                          <w:spacing w:line="144" w:lineRule="exact" w:before="1"/>
                          <w:ind w:left="114" w:right="95" w:firstLine="59"/>
                          <w:rPr>
                            <w:sz w:val="12"/>
                          </w:rPr>
                        </w:pPr>
                        <w:r>
                          <w:rPr>
                            <w:color w:val="231F20"/>
                            <w:w w:val="85"/>
                            <w:sz w:val="12"/>
                          </w:rPr>
                          <w:t>Otros </w:t>
                        </w:r>
                        <w:r>
                          <w:rPr>
                            <w:color w:val="231F20"/>
                            <w:w w:val="80"/>
                            <w:sz w:val="12"/>
                          </w:rPr>
                          <w:t>ingresos</w:t>
                        </w:r>
                      </w:p>
                    </w:tc>
                    <w:tc>
                      <w:tcPr>
                        <w:tcW w:w="557" w:type="dxa"/>
                        <w:tcBorders>
                          <w:top w:val="single" w:sz="8" w:space="0" w:color="231F20"/>
                          <w:left w:val="single" w:sz="8" w:space="0" w:color="231F20"/>
                          <w:bottom w:val="single" w:sz="8" w:space="0" w:color="231F20"/>
                          <w:right w:val="single" w:sz="8" w:space="0" w:color="231F20"/>
                        </w:tcBorders>
                      </w:tcPr>
                      <w:p>
                        <w:pPr>
                          <w:pStyle w:val="TableParagraph"/>
                          <w:spacing w:line="144" w:lineRule="exact" w:before="47"/>
                          <w:ind w:left="69" w:right="68"/>
                          <w:jc w:val="center"/>
                          <w:rPr>
                            <w:sz w:val="12"/>
                          </w:rPr>
                        </w:pPr>
                        <w:r>
                          <w:rPr>
                            <w:color w:val="231F20"/>
                            <w:w w:val="85"/>
                            <w:sz w:val="12"/>
                          </w:rPr>
                          <w:t>Por </w:t>
                        </w:r>
                        <w:r>
                          <w:rPr>
                            <w:color w:val="231F20"/>
                            <w:w w:val="80"/>
                            <w:sz w:val="12"/>
                          </w:rPr>
                          <w:t>cuenta de</w:t>
                        </w:r>
                        <w:r>
                          <w:rPr>
                            <w:color w:val="231F20"/>
                            <w:w w:val="72"/>
                            <w:sz w:val="12"/>
                          </w:rPr>
                          <w:t> </w:t>
                        </w:r>
                        <w:r>
                          <w:rPr>
                            <w:color w:val="231F20"/>
                            <w:w w:val="80"/>
                            <w:sz w:val="12"/>
                          </w:rPr>
                          <w:t>terceros</w:t>
                        </w:r>
                      </w:p>
                    </w:tc>
                    <w:tc>
                      <w:tcPr>
                        <w:tcW w:w="768"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15"/>
                          </w:rPr>
                        </w:pPr>
                      </w:p>
                      <w:p>
                        <w:pPr>
                          <w:pStyle w:val="TableParagraph"/>
                          <w:ind w:left="34" w:right="34"/>
                          <w:jc w:val="center"/>
                          <w:rPr>
                            <w:sz w:val="12"/>
                          </w:rPr>
                        </w:pPr>
                        <w:r>
                          <w:rPr>
                            <w:color w:val="231F20"/>
                            <w:w w:val="85"/>
                            <w:sz w:val="12"/>
                          </w:rPr>
                          <w:t>Financiamiento</w:t>
                        </w:r>
                      </w:p>
                    </w:tc>
                    <w:tc>
                      <w:tcPr>
                        <w:tcW w:w="641" w:type="dxa"/>
                        <w:tcBorders>
                          <w:top w:val="single" w:sz="8" w:space="0" w:color="231F20"/>
                          <w:left w:val="single" w:sz="8" w:space="0" w:color="231F20"/>
                          <w:bottom w:val="single" w:sz="8" w:space="0" w:color="231F20"/>
                          <w:right w:val="single" w:sz="8" w:space="0" w:color="231F20"/>
                        </w:tcBorders>
                      </w:tcPr>
                      <w:p>
                        <w:pPr>
                          <w:pStyle w:val="TableParagraph"/>
                          <w:spacing w:before="8"/>
                          <w:ind w:left="0"/>
                          <w:rPr>
                            <w:sz w:val="9"/>
                          </w:rPr>
                        </w:pPr>
                      </w:p>
                      <w:p>
                        <w:pPr>
                          <w:pStyle w:val="TableParagraph"/>
                          <w:spacing w:line="144" w:lineRule="exact" w:before="1"/>
                          <w:ind w:left="196" w:right="78" w:hanging="111"/>
                          <w:rPr>
                            <w:sz w:val="12"/>
                          </w:rPr>
                        </w:pPr>
                        <w:r>
                          <w:rPr>
                            <w:color w:val="231F20"/>
                            <w:w w:val="80"/>
                            <w:sz w:val="12"/>
                          </w:rPr>
                          <w:t>Disponibili- </w:t>
                        </w:r>
                        <w:r>
                          <w:rPr>
                            <w:color w:val="231F20"/>
                            <w:w w:val="85"/>
                            <w:sz w:val="12"/>
                          </w:rPr>
                          <w:t>dades</w:t>
                        </w:r>
                      </w:p>
                    </w:tc>
                  </w:tr>
                  <w:tr>
                    <w:trPr>
                      <w:trHeight w:val="415" w:hRule="exact"/>
                    </w:trPr>
                    <w:tc>
                      <w:tcPr>
                        <w:tcW w:w="372" w:type="dxa"/>
                        <w:tcBorders>
                          <w:top w:val="single" w:sz="8" w:space="0" w:color="231F20"/>
                        </w:tcBorders>
                      </w:tcPr>
                      <w:p>
                        <w:pPr>
                          <w:pStyle w:val="TableParagraph"/>
                          <w:spacing w:before="4"/>
                          <w:ind w:left="0"/>
                          <w:rPr>
                            <w:sz w:val="14"/>
                          </w:rPr>
                        </w:pPr>
                      </w:p>
                      <w:p>
                        <w:pPr>
                          <w:pStyle w:val="TableParagraph"/>
                          <w:spacing w:before="1"/>
                          <w:ind w:left="63" w:right="60"/>
                          <w:jc w:val="center"/>
                          <w:rPr>
                            <w:sz w:val="12"/>
                          </w:rPr>
                        </w:pPr>
                        <w:r>
                          <w:rPr>
                            <w:color w:val="231F20"/>
                            <w:w w:val="85"/>
                            <w:sz w:val="12"/>
                          </w:rPr>
                          <w:t>2005</w:t>
                        </w:r>
                      </w:p>
                    </w:tc>
                    <w:tc>
                      <w:tcPr>
                        <w:tcW w:w="716" w:type="dxa"/>
                        <w:tcBorders>
                          <w:top w:val="single" w:sz="8" w:space="0" w:color="231F20"/>
                        </w:tcBorders>
                      </w:tcPr>
                      <w:p>
                        <w:pPr>
                          <w:pStyle w:val="TableParagraph"/>
                          <w:spacing w:before="4"/>
                          <w:ind w:left="0"/>
                          <w:rPr>
                            <w:sz w:val="14"/>
                          </w:rPr>
                        </w:pPr>
                      </w:p>
                      <w:p>
                        <w:pPr>
                          <w:pStyle w:val="TableParagraph"/>
                          <w:spacing w:before="1"/>
                          <w:ind w:left="41" w:right="41"/>
                          <w:jc w:val="center"/>
                          <w:rPr>
                            <w:sz w:val="12"/>
                          </w:rPr>
                        </w:pPr>
                        <w:r>
                          <w:rPr>
                            <w:color w:val="231F20"/>
                            <w:w w:val="85"/>
                            <w:sz w:val="12"/>
                          </w:rPr>
                          <w:t>1,656,985,089</w:t>
                        </w:r>
                      </w:p>
                    </w:tc>
                    <w:tc>
                      <w:tcPr>
                        <w:tcW w:w="643" w:type="dxa"/>
                        <w:tcBorders>
                          <w:top w:val="single" w:sz="8" w:space="0" w:color="231F20"/>
                        </w:tcBorders>
                      </w:tcPr>
                      <w:p>
                        <w:pPr>
                          <w:pStyle w:val="TableParagraph"/>
                          <w:spacing w:before="4"/>
                          <w:ind w:left="0"/>
                          <w:rPr>
                            <w:sz w:val="14"/>
                          </w:rPr>
                        </w:pPr>
                      </w:p>
                      <w:p>
                        <w:pPr>
                          <w:pStyle w:val="TableParagraph"/>
                          <w:spacing w:before="1"/>
                          <w:ind w:left="42" w:right="43"/>
                          <w:jc w:val="center"/>
                          <w:rPr>
                            <w:sz w:val="12"/>
                          </w:rPr>
                        </w:pPr>
                        <w:r>
                          <w:rPr>
                            <w:color w:val="231F20"/>
                            <w:w w:val="85"/>
                            <w:sz w:val="12"/>
                          </w:rPr>
                          <w:t>335,136,686</w:t>
                        </w:r>
                      </w:p>
                    </w:tc>
                    <w:tc>
                      <w:tcPr>
                        <w:tcW w:w="639" w:type="dxa"/>
                        <w:tcBorders>
                          <w:top w:val="single" w:sz="8" w:space="0" w:color="231F20"/>
                        </w:tcBorders>
                      </w:tcPr>
                      <w:p>
                        <w:pPr>
                          <w:pStyle w:val="TableParagraph"/>
                          <w:spacing w:before="4"/>
                          <w:ind w:left="0"/>
                          <w:rPr>
                            <w:sz w:val="14"/>
                          </w:rPr>
                        </w:pPr>
                      </w:p>
                      <w:p>
                        <w:pPr>
                          <w:pStyle w:val="TableParagraph"/>
                          <w:spacing w:before="1"/>
                          <w:ind w:left="41" w:right="41"/>
                          <w:jc w:val="center"/>
                          <w:rPr>
                            <w:sz w:val="12"/>
                          </w:rPr>
                        </w:pPr>
                        <w:r>
                          <w:rPr>
                            <w:color w:val="231F20"/>
                            <w:w w:val="85"/>
                            <w:sz w:val="12"/>
                          </w:rPr>
                          <w:t>128,337,533</w:t>
                        </w:r>
                      </w:p>
                    </w:tc>
                    <w:tc>
                      <w:tcPr>
                        <w:tcW w:w="576" w:type="dxa"/>
                        <w:tcBorders>
                          <w:top w:val="single" w:sz="8" w:space="0" w:color="231F20"/>
                        </w:tcBorders>
                      </w:tcPr>
                      <w:p>
                        <w:pPr>
                          <w:pStyle w:val="TableParagraph"/>
                          <w:spacing w:before="4"/>
                          <w:ind w:left="0"/>
                          <w:rPr>
                            <w:sz w:val="14"/>
                          </w:rPr>
                        </w:pPr>
                      </w:p>
                      <w:p>
                        <w:pPr>
                          <w:pStyle w:val="TableParagraph"/>
                          <w:spacing w:before="1"/>
                          <w:ind w:left="83"/>
                          <w:rPr>
                            <w:sz w:val="12"/>
                          </w:rPr>
                        </w:pPr>
                        <w:r>
                          <w:rPr>
                            <w:color w:val="231F20"/>
                            <w:w w:val="80"/>
                            <w:sz w:val="12"/>
                          </w:rPr>
                          <w:t>10,124,714</w:t>
                        </w:r>
                      </w:p>
                    </w:tc>
                    <w:tc>
                      <w:tcPr>
                        <w:tcW w:w="640" w:type="dxa"/>
                        <w:tcBorders>
                          <w:top w:val="single" w:sz="8" w:space="0" w:color="231F20"/>
                        </w:tcBorders>
                      </w:tcPr>
                      <w:p>
                        <w:pPr>
                          <w:pStyle w:val="TableParagraph"/>
                          <w:spacing w:before="4"/>
                          <w:ind w:left="0"/>
                          <w:rPr>
                            <w:sz w:val="14"/>
                          </w:rPr>
                        </w:pPr>
                      </w:p>
                      <w:p>
                        <w:pPr>
                          <w:pStyle w:val="TableParagraph"/>
                          <w:spacing w:before="1"/>
                          <w:ind w:left="116"/>
                          <w:rPr>
                            <w:sz w:val="12"/>
                          </w:rPr>
                        </w:pPr>
                        <w:r>
                          <w:rPr>
                            <w:color w:val="231F20"/>
                            <w:w w:val="85"/>
                            <w:sz w:val="12"/>
                          </w:rPr>
                          <w:t>29,827,124</w:t>
                        </w:r>
                      </w:p>
                    </w:tc>
                    <w:tc>
                      <w:tcPr>
                        <w:tcW w:w="498" w:type="dxa"/>
                        <w:tcBorders>
                          <w:top w:val="single" w:sz="8" w:space="0" w:color="231F20"/>
                        </w:tcBorders>
                      </w:tcPr>
                      <w:p>
                        <w:pPr>
                          <w:pStyle w:val="TableParagraph"/>
                          <w:spacing w:before="4"/>
                          <w:ind w:left="0"/>
                          <w:rPr>
                            <w:sz w:val="14"/>
                          </w:rPr>
                        </w:pPr>
                      </w:p>
                      <w:p>
                        <w:pPr>
                          <w:pStyle w:val="TableParagraph"/>
                          <w:spacing w:before="1"/>
                          <w:ind w:left="225"/>
                          <w:rPr>
                            <w:sz w:val="12"/>
                          </w:rPr>
                        </w:pPr>
                        <w:r>
                          <w:rPr>
                            <w:color w:val="231F20"/>
                            <w:w w:val="75"/>
                            <w:sz w:val="12"/>
                          </w:rPr>
                          <w:t>0</w:t>
                        </w:r>
                      </w:p>
                    </w:tc>
                    <w:tc>
                      <w:tcPr>
                        <w:tcW w:w="673" w:type="dxa"/>
                        <w:tcBorders>
                          <w:top w:val="single" w:sz="8" w:space="0" w:color="231F20"/>
                        </w:tcBorders>
                      </w:tcPr>
                      <w:p>
                        <w:pPr>
                          <w:pStyle w:val="TableParagraph"/>
                          <w:spacing w:before="4"/>
                          <w:ind w:left="0"/>
                          <w:rPr>
                            <w:sz w:val="14"/>
                          </w:rPr>
                        </w:pPr>
                      </w:p>
                      <w:p>
                        <w:pPr>
                          <w:pStyle w:val="TableParagraph"/>
                          <w:spacing w:before="1"/>
                          <w:ind w:left="58" w:right="58"/>
                          <w:jc w:val="center"/>
                          <w:rPr>
                            <w:sz w:val="12"/>
                          </w:rPr>
                        </w:pPr>
                        <w:r>
                          <w:rPr>
                            <w:color w:val="231F20"/>
                            <w:w w:val="85"/>
                            <w:sz w:val="12"/>
                          </w:rPr>
                          <w:t>563,513,809</w:t>
                        </w:r>
                      </w:p>
                    </w:tc>
                    <w:tc>
                      <w:tcPr>
                        <w:tcW w:w="619" w:type="dxa"/>
                        <w:tcBorders>
                          <w:top w:val="single" w:sz="8" w:space="0" w:color="231F20"/>
                        </w:tcBorders>
                      </w:tcPr>
                      <w:p>
                        <w:pPr>
                          <w:pStyle w:val="TableParagraph"/>
                          <w:spacing w:before="4"/>
                          <w:ind w:left="0"/>
                          <w:rPr>
                            <w:sz w:val="14"/>
                          </w:rPr>
                        </w:pPr>
                      </w:p>
                      <w:p>
                        <w:pPr>
                          <w:pStyle w:val="TableParagraph"/>
                          <w:spacing w:before="1"/>
                          <w:ind w:left="31" w:right="31"/>
                          <w:jc w:val="center"/>
                          <w:rPr>
                            <w:sz w:val="12"/>
                          </w:rPr>
                        </w:pPr>
                        <w:r>
                          <w:rPr>
                            <w:color w:val="231F20"/>
                            <w:w w:val="85"/>
                            <w:sz w:val="12"/>
                          </w:rPr>
                          <w:t>444,047,703</w:t>
                        </w:r>
                      </w:p>
                    </w:tc>
                    <w:tc>
                      <w:tcPr>
                        <w:tcW w:w="575" w:type="dxa"/>
                        <w:tcBorders>
                          <w:top w:val="single" w:sz="8" w:space="0" w:color="231F20"/>
                        </w:tcBorders>
                      </w:tcPr>
                      <w:p>
                        <w:pPr>
                          <w:pStyle w:val="TableParagraph"/>
                          <w:spacing w:before="4"/>
                          <w:ind w:left="0"/>
                          <w:rPr>
                            <w:sz w:val="14"/>
                          </w:rPr>
                        </w:pPr>
                      </w:p>
                      <w:p>
                        <w:pPr>
                          <w:pStyle w:val="TableParagraph"/>
                          <w:spacing w:before="1"/>
                          <w:ind w:left="35" w:right="35"/>
                          <w:jc w:val="center"/>
                          <w:rPr>
                            <w:sz w:val="12"/>
                          </w:rPr>
                        </w:pPr>
                        <w:r>
                          <w:rPr>
                            <w:color w:val="231F20"/>
                            <w:w w:val="85"/>
                            <w:sz w:val="12"/>
                          </w:rPr>
                          <w:t>10,997,520</w:t>
                        </w:r>
                      </w:p>
                    </w:tc>
                    <w:tc>
                      <w:tcPr>
                        <w:tcW w:w="557" w:type="dxa"/>
                        <w:tcBorders>
                          <w:top w:val="single" w:sz="8" w:space="0" w:color="231F20"/>
                        </w:tcBorders>
                      </w:tcPr>
                      <w:p>
                        <w:pPr>
                          <w:pStyle w:val="TableParagraph"/>
                          <w:spacing w:before="4"/>
                          <w:ind w:left="0"/>
                          <w:rPr>
                            <w:sz w:val="14"/>
                          </w:rPr>
                        </w:pPr>
                      </w:p>
                      <w:p>
                        <w:pPr>
                          <w:pStyle w:val="TableParagraph"/>
                          <w:spacing w:before="1"/>
                          <w:ind w:left="0"/>
                          <w:jc w:val="center"/>
                          <w:rPr>
                            <w:sz w:val="12"/>
                          </w:rPr>
                        </w:pPr>
                        <w:r>
                          <w:rPr>
                            <w:color w:val="231F20"/>
                            <w:w w:val="75"/>
                            <w:sz w:val="12"/>
                          </w:rPr>
                          <w:t>0</w:t>
                        </w:r>
                      </w:p>
                    </w:tc>
                    <w:tc>
                      <w:tcPr>
                        <w:tcW w:w="768" w:type="dxa"/>
                        <w:tcBorders>
                          <w:top w:val="single" w:sz="8" w:space="0" w:color="231F20"/>
                        </w:tcBorders>
                      </w:tcPr>
                      <w:p>
                        <w:pPr>
                          <w:pStyle w:val="TableParagraph"/>
                          <w:spacing w:before="4"/>
                          <w:ind w:left="0"/>
                          <w:rPr>
                            <w:sz w:val="14"/>
                          </w:rPr>
                        </w:pPr>
                      </w:p>
                      <w:p>
                        <w:pPr>
                          <w:pStyle w:val="TableParagraph"/>
                          <w:spacing w:before="1"/>
                          <w:ind w:left="105" w:right="102"/>
                          <w:jc w:val="center"/>
                          <w:rPr>
                            <w:sz w:val="12"/>
                          </w:rPr>
                        </w:pPr>
                        <w:r>
                          <w:rPr>
                            <w:color w:val="231F20"/>
                            <w:w w:val="85"/>
                            <w:sz w:val="12"/>
                          </w:rPr>
                          <w:t>135,000,000</w:t>
                        </w:r>
                      </w:p>
                    </w:tc>
                    <w:tc>
                      <w:tcPr>
                        <w:tcW w:w="641" w:type="dxa"/>
                        <w:tcBorders>
                          <w:top w:val="single" w:sz="8" w:space="0" w:color="231F20"/>
                          <w:right w:val="single" w:sz="8" w:space="0" w:color="231F20"/>
                        </w:tcBorders>
                      </w:tcPr>
                      <w:p>
                        <w:pPr>
                          <w:pStyle w:val="TableParagraph"/>
                          <w:spacing w:before="4"/>
                          <w:ind w:left="0"/>
                          <w:rPr>
                            <w:sz w:val="14"/>
                          </w:rPr>
                        </w:pPr>
                      </w:p>
                      <w:p>
                        <w:pPr>
                          <w:pStyle w:val="TableParagraph"/>
                          <w:spacing w:before="1"/>
                          <w:ind w:left="10"/>
                          <w:jc w:val="center"/>
                          <w:rPr>
                            <w:sz w:val="12"/>
                          </w:rPr>
                        </w:pPr>
                        <w:r>
                          <w:rPr>
                            <w:color w:val="231F20"/>
                            <w:w w:val="75"/>
                            <w:sz w:val="12"/>
                          </w:rPr>
                          <w:t>0</w:t>
                        </w:r>
                      </w:p>
                    </w:tc>
                  </w:tr>
                  <w:tr>
                    <w:trPr>
                      <w:trHeight w:val="300" w:hRule="exact"/>
                    </w:trPr>
                    <w:tc>
                      <w:tcPr>
                        <w:tcW w:w="372" w:type="dxa"/>
                      </w:tcPr>
                      <w:p>
                        <w:pPr>
                          <w:pStyle w:val="TableParagraph"/>
                          <w:spacing w:before="70"/>
                          <w:ind w:left="63" w:right="61"/>
                          <w:jc w:val="center"/>
                          <w:rPr>
                            <w:sz w:val="12"/>
                          </w:rPr>
                        </w:pPr>
                        <w:r>
                          <w:rPr>
                            <w:color w:val="231F20"/>
                            <w:w w:val="85"/>
                            <w:sz w:val="12"/>
                          </w:rPr>
                          <w:t>2004</w:t>
                        </w:r>
                      </w:p>
                    </w:tc>
                    <w:tc>
                      <w:tcPr>
                        <w:tcW w:w="716" w:type="dxa"/>
                      </w:tcPr>
                      <w:p>
                        <w:pPr>
                          <w:pStyle w:val="TableParagraph"/>
                          <w:spacing w:before="70"/>
                          <w:ind w:left="41" w:right="41"/>
                          <w:jc w:val="center"/>
                          <w:rPr>
                            <w:sz w:val="12"/>
                          </w:rPr>
                        </w:pPr>
                        <w:r>
                          <w:rPr>
                            <w:color w:val="231F20"/>
                            <w:w w:val="85"/>
                            <w:sz w:val="12"/>
                          </w:rPr>
                          <w:t>1,601,098,470</w:t>
                        </w:r>
                      </w:p>
                    </w:tc>
                    <w:tc>
                      <w:tcPr>
                        <w:tcW w:w="643" w:type="dxa"/>
                      </w:tcPr>
                      <w:p>
                        <w:pPr>
                          <w:pStyle w:val="TableParagraph"/>
                          <w:spacing w:before="70"/>
                          <w:ind w:left="42" w:right="43"/>
                          <w:jc w:val="center"/>
                          <w:rPr>
                            <w:sz w:val="12"/>
                          </w:rPr>
                        </w:pPr>
                        <w:r>
                          <w:rPr>
                            <w:color w:val="231F20"/>
                            <w:w w:val="85"/>
                            <w:sz w:val="12"/>
                          </w:rPr>
                          <w:t>312,488,941</w:t>
                        </w:r>
                      </w:p>
                    </w:tc>
                    <w:tc>
                      <w:tcPr>
                        <w:tcW w:w="639" w:type="dxa"/>
                      </w:tcPr>
                      <w:p>
                        <w:pPr>
                          <w:pStyle w:val="TableParagraph"/>
                          <w:spacing w:before="70"/>
                          <w:ind w:left="41" w:right="41"/>
                          <w:jc w:val="center"/>
                          <w:rPr>
                            <w:sz w:val="12"/>
                          </w:rPr>
                        </w:pPr>
                        <w:r>
                          <w:rPr>
                            <w:color w:val="231F20"/>
                            <w:w w:val="85"/>
                            <w:sz w:val="12"/>
                          </w:rPr>
                          <w:t>104,030,181</w:t>
                        </w:r>
                      </w:p>
                    </w:tc>
                    <w:tc>
                      <w:tcPr>
                        <w:tcW w:w="576" w:type="dxa"/>
                      </w:tcPr>
                      <w:p>
                        <w:pPr>
                          <w:pStyle w:val="TableParagraph"/>
                          <w:spacing w:before="70"/>
                          <w:ind w:left="86"/>
                          <w:rPr>
                            <w:sz w:val="12"/>
                          </w:rPr>
                        </w:pPr>
                        <w:r>
                          <w:rPr>
                            <w:color w:val="231F20"/>
                            <w:w w:val="80"/>
                            <w:sz w:val="12"/>
                          </w:rPr>
                          <w:t>11,193,415</w:t>
                        </w:r>
                      </w:p>
                    </w:tc>
                    <w:tc>
                      <w:tcPr>
                        <w:tcW w:w="640" w:type="dxa"/>
                      </w:tcPr>
                      <w:p>
                        <w:pPr>
                          <w:pStyle w:val="TableParagraph"/>
                          <w:spacing w:before="70"/>
                          <w:ind w:left="109"/>
                          <w:rPr>
                            <w:sz w:val="12"/>
                          </w:rPr>
                        </w:pPr>
                        <w:r>
                          <w:rPr>
                            <w:color w:val="231F20"/>
                            <w:w w:val="85"/>
                            <w:sz w:val="12"/>
                          </w:rPr>
                          <w:t>30,296,141</w:t>
                        </w:r>
                      </w:p>
                    </w:tc>
                    <w:tc>
                      <w:tcPr>
                        <w:tcW w:w="498" w:type="dxa"/>
                      </w:tcPr>
                      <w:p>
                        <w:pPr>
                          <w:pStyle w:val="TableParagraph"/>
                          <w:spacing w:before="70"/>
                          <w:ind w:left="225"/>
                          <w:rPr>
                            <w:sz w:val="12"/>
                          </w:rPr>
                        </w:pPr>
                        <w:r>
                          <w:rPr>
                            <w:color w:val="231F20"/>
                            <w:w w:val="75"/>
                            <w:sz w:val="12"/>
                          </w:rPr>
                          <w:t>0</w:t>
                        </w:r>
                      </w:p>
                    </w:tc>
                    <w:tc>
                      <w:tcPr>
                        <w:tcW w:w="673" w:type="dxa"/>
                      </w:tcPr>
                      <w:p>
                        <w:pPr>
                          <w:pStyle w:val="TableParagraph"/>
                          <w:spacing w:before="70"/>
                          <w:ind w:left="58" w:right="57"/>
                          <w:jc w:val="center"/>
                          <w:rPr>
                            <w:sz w:val="12"/>
                          </w:rPr>
                        </w:pPr>
                        <w:r>
                          <w:rPr>
                            <w:color w:val="231F20"/>
                            <w:w w:val="85"/>
                            <w:sz w:val="12"/>
                          </w:rPr>
                          <w:t>540,437,305</w:t>
                        </w:r>
                      </w:p>
                    </w:tc>
                    <w:tc>
                      <w:tcPr>
                        <w:tcW w:w="619" w:type="dxa"/>
                      </w:tcPr>
                      <w:p>
                        <w:pPr>
                          <w:pStyle w:val="TableParagraph"/>
                          <w:spacing w:before="70"/>
                          <w:ind w:left="31" w:right="31"/>
                          <w:jc w:val="center"/>
                          <w:rPr>
                            <w:sz w:val="12"/>
                          </w:rPr>
                        </w:pPr>
                        <w:r>
                          <w:rPr>
                            <w:color w:val="231F20"/>
                            <w:w w:val="85"/>
                            <w:sz w:val="12"/>
                          </w:rPr>
                          <w:t>367,646,523</w:t>
                        </w:r>
                      </w:p>
                    </w:tc>
                    <w:tc>
                      <w:tcPr>
                        <w:tcW w:w="575" w:type="dxa"/>
                      </w:tcPr>
                      <w:p>
                        <w:pPr>
                          <w:pStyle w:val="TableParagraph"/>
                          <w:spacing w:before="70"/>
                          <w:ind w:left="35" w:right="35"/>
                          <w:jc w:val="center"/>
                          <w:rPr>
                            <w:sz w:val="12"/>
                          </w:rPr>
                        </w:pPr>
                        <w:r>
                          <w:rPr>
                            <w:color w:val="231F20"/>
                            <w:w w:val="85"/>
                            <w:sz w:val="12"/>
                          </w:rPr>
                          <w:t>21,494,509</w:t>
                        </w:r>
                      </w:p>
                    </w:tc>
                    <w:tc>
                      <w:tcPr>
                        <w:tcW w:w="557" w:type="dxa"/>
                      </w:tcPr>
                      <w:p>
                        <w:pPr>
                          <w:pStyle w:val="TableParagraph"/>
                          <w:spacing w:before="70"/>
                          <w:ind w:left="0"/>
                          <w:jc w:val="center"/>
                          <w:rPr>
                            <w:sz w:val="12"/>
                          </w:rPr>
                        </w:pPr>
                        <w:r>
                          <w:rPr>
                            <w:color w:val="231F20"/>
                            <w:w w:val="75"/>
                            <w:sz w:val="12"/>
                          </w:rPr>
                          <w:t>0</w:t>
                        </w:r>
                      </w:p>
                    </w:tc>
                    <w:tc>
                      <w:tcPr>
                        <w:tcW w:w="768" w:type="dxa"/>
                      </w:tcPr>
                      <w:p>
                        <w:pPr>
                          <w:pStyle w:val="TableParagraph"/>
                          <w:spacing w:before="70"/>
                          <w:ind w:left="105" w:right="102"/>
                          <w:jc w:val="center"/>
                          <w:rPr>
                            <w:sz w:val="12"/>
                          </w:rPr>
                        </w:pPr>
                        <w:r>
                          <w:rPr>
                            <w:color w:val="231F20"/>
                            <w:w w:val="85"/>
                            <w:sz w:val="12"/>
                          </w:rPr>
                          <w:t>25,000,000</w:t>
                        </w:r>
                      </w:p>
                    </w:tc>
                    <w:tc>
                      <w:tcPr>
                        <w:tcW w:w="641" w:type="dxa"/>
                        <w:tcBorders>
                          <w:right w:val="single" w:sz="8" w:space="0" w:color="231F20"/>
                        </w:tcBorders>
                      </w:tcPr>
                      <w:p>
                        <w:pPr>
                          <w:pStyle w:val="TableParagraph"/>
                          <w:spacing w:before="70"/>
                          <w:ind w:left="57" w:right="48"/>
                          <w:jc w:val="center"/>
                          <w:rPr>
                            <w:sz w:val="12"/>
                          </w:rPr>
                        </w:pPr>
                        <w:r>
                          <w:rPr>
                            <w:color w:val="231F20"/>
                            <w:w w:val="80"/>
                            <w:sz w:val="12"/>
                          </w:rPr>
                          <w:t>188,511,455</w:t>
                        </w:r>
                      </w:p>
                    </w:tc>
                  </w:tr>
                  <w:tr>
                    <w:trPr>
                      <w:trHeight w:val="300" w:hRule="exact"/>
                    </w:trPr>
                    <w:tc>
                      <w:tcPr>
                        <w:tcW w:w="372" w:type="dxa"/>
                      </w:tcPr>
                      <w:p>
                        <w:pPr>
                          <w:pStyle w:val="TableParagraph"/>
                          <w:spacing w:before="70"/>
                          <w:ind w:left="63" w:right="61"/>
                          <w:jc w:val="center"/>
                          <w:rPr>
                            <w:sz w:val="12"/>
                          </w:rPr>
                        </w:pPr>
                        <w:r>
                          <w:rPr>
                            <w:color w:val="231F20"/>
                            <w:w w:val="85"/>
                            <w:sz w:val="12"/>
                          </w:rPr>
                          <w:t>2003</w:t>
                        </w:r>
                      </w:p>
                    </w:tc>
                    <w:tc>
                      <w:tcPr>
                        <w:tcW w:w="716" w:type="dxa"/>
                      </w:tcPr>
                      <w:p>
                        <w:pPr>
                          <w:pStyle w:val="TableParagraph"/>
                          <w:spacing w:before="70"/>
                          <w:ind w:left="41" w:right="41"/>
                          <w:jc w:val="center"/>
                          <w:rPr>
                            <w:sz w:val="12"/>
                          </w:rPr>
                        </w:pPr>
                        <w:r>
                          <w:rPr>
                            <w:color w:val="231F20"/>
                            <w:w w:val="80"/>
                            <w:sz w:val="12"/>
                          </w:rPr>
                          <w:t>1,449,197,868</w:t>
                        </w:r>
                      </w:p>
                    </w:tc>
                    <w:tc>
                      <w:tcPr>
                        <w:tcW w:w="643" w:type="dxa"/>
                      </w:tcPr>
                      <w:p>
                        <w:pPr>
                          <w:pStyle w:val="TableParagraph"/>
                          <w:spacing w:before="70"/>
                          <w:ind w:left="42" w:right="43"/>
                          <w:jc w:val="center"/>
                          <w:rPr>
                            <w:sz w:val="12"/>
                          </w:rPr>
                        </w:pPr>
                        <w:r>
                          <w:rPr>
                            <w:color w:val="231F20"/>
                            <w:w w:val="85"/>
                            <w:sz w:val="12"/>
                          </w:rPr>
                          <w:t>311,566,278</w:t>
                        </w:r>
                      </w:p>
                    </w:tc>
                    <w:tc>
                      <w:tcPr>
                        <w:tcW w:w="639" w:type="dxa"/>
                      </w:tcPr>
                      <w:p>
                        <w:pPr>
                          <w:pStyle w:val="TableParagraph"/>
                          <w:spacing w:before="70"/>
                          <w:ind w:left="41" w:right="41"/>
                          <w:jc w:val="center"/>
                          <w:rPr>
                            <w:sz w:val="12"/>
                          </w:rPr>
                        </w:pPr>
                        <w:r>
                          <w:rPr>
                            <w:color w:val="231F20"/>
                            <w:w w:val="85"/>
                            <w:sz w:val="12"/>
                          </w:rPr>
                          <w:t>106,546,642</w:t>
                        </w:r>
                      </w:p>
                    </w:tc>
                    <w:tc>
                      <w:tcPr>
                        <w:tcW w:w="576" w:type="dxa"/>
                      </w:tcPr>
                      <w:p>
                        <w:pPr>
                          <w:pStyle w:val="TableParagraph"/>
                          <w:spacing w:before="70"/>
                          <w:ind w:left="98"/>
                          <w:rPr>
                            <w:sz w:val="12"/>
                          </w:rPr>
                        </w:pPr>
                        <w:r>
                          <w:rPr>
                            <w:color w:val="231F20"/>
                            <w:w w:val="85"/>
                            <w:sz w:val="12"/>
                          </w:rPr>
                          <w:t>8,416,585</w:t>
                        </w:r>
                      </w:p>
                    </w:tc>
                    <w:tc>
                      <w:tcPr>
                        <w:tcW w:w="640" w:type="dxa"/>
                      </w:tcPr>
                      <w:p>
                        <w:pPr>
                          <w:pStyle w:val="TableParagraph"/>
                          <w:spacing w:before="70"/>
                          <w:ind w:left="107"/>
                          <w:rPr>
                            <w:sz w:val="12"/>
                          </w:rPr>
                        </w:pPr>
                        <w:r>
                          <w:rPr>
                            <w:color w:val="231F20"/>
                            <w:w w:val="85"/>
                            <w:sz w:val="12"/>
                          </w:rPr>
                          <w:t>41,798,984</w:t>
                        </w:r>
                      </w:p>
                    </w:tc>
                    <w:tc>
                      <w:tcPr>
                        <w:tcW w:w="498" w:type="dxa"/>
                      </w:tcPr>
                      <w:p>
                        <w:pPr>
                          <w:pStyle w:val="TableParagraph"/>
                          <w:spacing w:before="70"/>
                          <w:ind w:left="225"/>
                          <w:rPr>
                            <w:sz w:val="12"/>
                          </w:rPr>
                        </w:pPr>
                        <w:r>
                          <w:rPr>
                            <w:color w:val="231F20"/>
                            <w:w w:val="75"/>
                            <w:sz w:val="12"/>
                          </w:rPr>
                          <w:t>0</w:t>
                        </w:r>
                      </w:p>
                    </w:tc>
                    <w:tc>
                      <w:tcPr>
                        <w:tcW w:w="673" w:type="dxa"/>
                      </w:tcPr>
                      <w:p>
                        <w:pPr>
                          <w:pStyle w:val="TableParagraph"/>
                          <w:spacing w:before="70"/>
                          <w:ind w:left="58" w:right="58"/>
                          <w:jc w:val="center"/>
                          <w:rPr>
                            <w:sz w:val="12"/>
                          </w:rPr>
                        </w:pPr>
                        <w:r>
                          <w:rPr>
                            <w:color w:val="231F20"/>
                            <w:w w:val="85"/>
                            <w:sz w:val="12"/>
                          </w:rPr>
                          <w:t>509,602,506</w:t>
                        </w:r>
                      </w:p>
                    </w:tc>
                    <w:tc>
                      <w:tcPr>
                        <w:tcW w:w="619" w:type="dxa"/>
                      </w:tcPr>
                      <w:p>
                        <w:pPr>
                          <w:pStyle w:val="TableParagraph"/>
                          <w:spacing w:before="70"/>
                          <w:ind w:left="31" w:right="31"/>
                          <w:jc w:val="center"/>
                          <w:rPr>
                            <w:sz w:val="12"/>
                          </w:rPr>
                        </w:pPr>
                        <w:r>
                          <w:rPr>
                            <w:color w:val="231F20"/>
                            <w:w w:val="80"/>
                            <w:sz w:val="12"/>
                          </w:rPr>
                          <w:t>351,991,619</w:t>
                        </w:r>
                      </w:p>
                    </w:tc>
                    <w:tc>
                      <w:tcPr>
                        <w:tcW w:w="575" w:type="dxa"/>
                      </w:tcPr>
                      <w:p>
                        <w:pPr>
                          <w:pStyle w:val="TableParagraph"/>
                          <w:spacing w:before="70"/>
                          <w:ind w:left="35" w:right="35"/>
                          <w:jc w:val="center"/>
                          <w:rPr>
                            <w:sz w:val="12"/>
                          </w:rPr>
                        </w:pPr>
                        <w:r>
                          <w:rPr>
                            <w:color w:val="231F20"/>
                            <w:w w:val="85"/>
                            <w:sz w:val="12"/>
                          </w:rPr>
                          <w:t>10,025,254</w:t>
                        </w:r>
                      </w:p>
                    </w:tc>
                    <w:tc>
                      <w:tcPr>
                        <w:tcW w:w="557" w:type="dxa"/>
                      </w:tcPr>
                      <w:p>
                        <w:pPr>
                          <w:pStyle w:val="TableParagraph"/>
                          <w:spacing w:before="70"/>
                          <w:ind w:left="0"/>
                          <w:jc w:val="center"/>
                          <w:rPr>
                            <w:sz w:val="12"/>
                          </w:rPr>
                        </w:pPr>
                        <w:r>
                          <w:rPr>
                            <w:color w:val="231F20"/>
                            <w:w w:val="75"/>
                            <w:sz w:val="12"/>
                          </w:rPr>
                          <w:t>0</w:t>
                        </w:r>
                      </w:p>
                    </w:tc>
                    <w:tc>
                      <w:tcPr>
                        <w:tcW w:w="768" w:type="dxa"/>
                      </w:tcPr>
                      <w:p>
                        <w:pPr>
                          <w:pStyle w:val="TableParagraph"/>
                          <w:spacing w:before="70"/>
                          <w:ind w:left="105" w:right="102"/>
                          <w:jc w:val="center"/>
                          <w:rPr>
                            <w:sz w:val="12"/>
                          </w:rPr>
                        </w:pPr>
                        <w:r>
                          <w:rPr>
                            <w:color w:val="231F20"/>
                            <w:w w:val="85"/>
                            <w:sz w:val="12"/>
                          </w:rPr>
                          <w:t>109,250,000</w:t>
                        </w:r>
                      </w:p>
                    </w:tc>
                    <w:tc>
                      <w:tcPr>
                        <w:tcW w:w="641" w:type="dxa"/>
                        <w:tcBorders>
                          <w:right w:val="single" w:sz="8" w:space="0" w:color="231F20"/>
                        </w:tcBorders>
                      </w:tcPr>
                      <w:p>
                        <w:pPr>
                          <w:pStyle w:val="TableParagraph"/>
                          <w:spacing w:before="70"/>
                          <w:ind w:left="9"/>
                          <w:jc w:val="center"/>
                          <w:rPr>
                            <w:sz w:val="12"/>
                          </w:rPr>
                        </w:pPr>
                        <w:r>
                          <w:rPr>
                            <w:color w:val="231F20"/>
                            <w:w w:val="75"/>
                            <w:sz w:val="12"/>
                          </w:rPr>
                          <w:t>0</w:t>
                        </w:r>
                      </w:p>
                    </w:tc>
                  </w:tr>
                  <w:tr>
                    <w:trPr>
                      <w:trHeight w:val="300" w:hRule="exact"/>
                    </w:trPr>
                    <w:tc>
                      <w:tcPr>
                        <w:tcW w:w="372" w:type="dxa"/>
                      </w:tcPr>
                      <w:p>
                        <w:pPr>
                          <w:pStyle w:val="TableParagraph"/>
                          <w:spacing w:before="70"/>
                          <w:ind w:left="63" w:right="61"/>
                          <w:jc w:val="center"/>
                          <w:rPr>
                            <w:sz w:val="12"/>
                          </w:rPr>
                        </w:pPr>
                        <w:r>
                          <w:rPr>
                            <w:color w:val="231F20"/>
                            <w:w w:val="85"/>
                            <w:sz w:val="12"/>
                          </w:rPr>
                          <w:t>2002</w:t>
                        </w:r>
                      </w:p>
                    </w:tc>
                    <w:tc>
                      <w:tcPr>
                        <w:tcW w:w="716" w:type="dxa"/>
                      </w:tcPr>
                      <w:p>
                        <w:pPr>
                          <w:pStyle w:val="TableParagraph"/>
                          <w:spacing w:before="70"/>
                          <w:ind w:left="40" w:right="41"/>
                          <w:jc w:val="center"/>
                          <w:rPr>
                            <w:sz w:val="12"/>
                          </w:rPr>
                        </w:pPr>
                        <w:r>
                          <w:rPr>
                            <w:color w:val="231F20"/>
                            <w:w w:val="80"/>
                            <w:sz w:val="12"/>
                          </w:rPr>
                          <w:t>1,318,693,576</w:t>
                        </w:r>
                      </w:p>
                    </w:tc>
                    <w:tc>
                      <w:tcPr>
                        <w:tcW w:w="643" w:type="dxa"/>
                      </w:tcPr>
                      <w:p>
                        <w:pPr>
                          <w:pStyle w:val="TableParagraph"/>
                          <w:spacing w:before="70"/>
                          <w:ind w:left="42" w:right="43"/>
                          <w:jc w:val="center"/>
                          <w:rPr>
                            <w:sz w:val="12"/>
                          </w:rPr>
                        </w:pPr>
                        <w:r>
                          <w:rPr>
                            <w:color w:val="231F20"/>
                            <w:w w:val="85"/>
                            <w:sz w:val="12"/>
                          </w:rPr>
                          <w:t>275,536,439</w:t>
                        </w:r>
                      </w:p>
                    </w:tc>
                    <w:tc>
                      <w:tcPr>
                        <w:tcW w:w="639" w:type="dxa"/>
                      </w:tcPr>
                      <w:p>
                        <w:pPr>
                          <w:pStyle w:val="TableParagraph"/>
                          <w:spacing w:before="70"/>
                          <w:ind w:left="41" w:right="41"/>
                          <w:jc w:val="center"/>
                          <w:rPr>
                            <w:sz w:val="12"/>
                          </w:rPr>
                        </w:pPr>
                        <w:r>
                          <w:rPr>
                            <w:color w:val="231F20"/>
                            <w:w w:val="85"/>
                            <w:sz w:val="12"/>
                          </w:rPr>
                          <w:t>95,419,506</w:t>
                        </w:r>
                      </w:p>
                    </w:tc>
                    <w:tc>
                      <w:tcPr>
                        <w:tcW w:w="576" w:type="dxa"/>
                      </w:tcPr>
                      <w:p>
                        <w:pPr>
                          <w:pStyle w:val="TableParagraph"/>
                          <w:spacing w:before="70"/>
                          <w:ind w:left="83"/>
                          <w:rPr>
                            <w:sz w:val="12"/>
                          </w:rPr>
                        </w:pPr>
                        <w:r>
                          <w:rPr>
                            <w:color w:val="231F20"/>
                            <w:w w:val="80"/>
                            <w:sz w:val="12"/>
                          </w:rPr>
                          <w:t>12,127,638</w:t>
                        </w:r>
                      </w:p>
                    </w:tc>
                    <w:tc>
                      <w:tcPr>
                        <w:tcW w:w="640" w:type="dxa"/>
                      </w:tcPr>
                      <w:p>
                        <w:pPr>
                          <w:pStyle w:val="TableParagraph"/>
                          <w:spacing w:before="70"/>
                          <w:ind w:left="108"/>
                          <w:rPr>
                            <w:sz w:val="12"/>
                          </w:rPr>
                        </w:pPr>
                        <w:r>
                          <w:rPr>
                            <w:color w:val="231F20"/>
                            <w:w w:val="85"/>
                            <w:sz w:val="12"/>
                          </w:rPr>
                          <w:t>54,833,412</w:t>
                        </w:r>
                      </w:p>
                    </w:tc>
                    <w:tc>
                      <w:tcPr>
                        <w:tcW w:w="498" w:type="dxa"/>
                      </w:tcPr>
                      <w:p>
                        <w:pPr>
                          <w:pStyle w:val="TableParagraph"/>
                          <w:spacing w:before="70"/>
                          <w:ind w:left="225"/>
                          <w:rPr>
                            <w:sz w:val="12"/>
                          </w:rPr>
                        </w:pPr>
                        <w:r>
                          <w:rPr>
                            <w:color w:val="231F20"/>
                            <w:w w:val="75"/>
                            <w:sz w:val="12"/>
                          </w:rPr>
                          <w:t>0</w:t>
                        </w:r>
                      </w:p>
                    </w:tc>
                    <w:tc>
                      <w:tcPr>
                        <w:tcW w:w="673" w:type="dxa"/>
                      </w:tcPr>
                      <w:p>
                        <w:pPr>
                          <w:pStyle w:val="TableParagraph"/>
                          <w:spacing w:before="70"/>
                          <w:ind w:left="58" w:right="58"/>
                          <w:jc w:val="center"/>
                          <w:rPr>
                            <w:sz w:val="12"/>
                          </w:rPr>
                        </w:pPr>
                        <w:r>
                          <w:rPr>
                            <w:color w:val="231F20"/>
                            <w:w w:val="85"/>
                            <w:sz w:val="12"/>
                          </w:rPr>
                          <w:t>413,980,999</w:t>
                        </w:r>
                      </w:p>
                    </w:tc>
                    <w:tc>
                      <w:tcPr>
                        <w:tcW w:w="619" w:type="dxa"/>
                      </w:tcPr>
                      <w:p>
                        <w:pPr>
                          <w:pStyle w:val="TableParagraph"/>
                          <w:spacing w:before="70"/>
                          <w:ind w:left="31" w:right="31"/>
                          <w:jc w:val="center"/>
                          <w:rPr>
                            <w:sz w:val="12"/>
                          </w:rPr>
                        </w:pPr>
                        <w:r>
                          <w:rPr>
                            <w:color w:val="231F20"/>
                            <w:w w:val="80"/>
                            <w:sz w:val="12"/>
                          </w:rPr>
                          <w:t>335,229,310</w:t>
                        </w:r>
                      </w:p>
                    </w:tc>
                    <w:tc>
                      <w:tcPr>
                        <w:tcW w:w="575" w:type="dxa"/>
                      </w:tcPr>
                      <w:p>
                        <w:pPr>
                          <w:pStyle w:val="TableParagraph"/>
                          <w:spacing w:before="70"/>
                          <w:ind w:left="35" w:right="35"/>
                          <w:jc w:val="center"/>
                          <w:rPr>
                            <w:sz w:val="12"/>
                          </w:rPr>
                        </w:pPr>
                        <w:r>
                          <w:rPr>
                            <w:color w:val="231F20"/>
                            <w:w w:val="80"/>
                            <w:sz w:val="12"/>
                          </w:rPr>
                          <w:t>11,150,156</w:t>
                        </w:r>
                      </w:p>
                    </w:tc>
                    <w:tc>
                      <w:tcPr>
                        <w:tcW w:w="557" w:type="dxa"/>
                      </w:tcPr>
                      <w:p>
                        <w:pPr>
                          <w:pStyle w:val="TableParagraph"/>
                          <w:spacing w:before="70"/>
                          <w:ind w:left="0"/>
                          <w:jc w:val="center"/>
                          <w:rPr>
                            <w:sz w:val="12"/>
                          </w:rPr>
                        </w:pPr>
                        <w:r>
                          <w:rPr>
                            <w:color w:val="231F20"/>
                            <w:w w:val="75"/>
                            <w:sz w:val="12"/>
                          </w:rPr>
                          <w:t>0</w:t>
                        </w:r>
                      </w:p>
                    </w:tc>
                    <w:tc>
                      <w:tcPr>
                        <w:tcW w:w="768" w:type="dxa"/>
                      </w:tcPr>
                      <w:p>
                        <w:pPr>
                          <w:pStyle w:val="TableParagraph"/>
                          <w:spacing w:before="70"/>
                          <w:ind w:right="104"/>
                          <w:jc w:val="center"/>
                          <w:rPr>
                            <w:sz w:val="12"/>
                          </w:rPr>
                        </w:pPr>
                        <w:r>
                          <w:rPr>
                            <w:color w:val="231F20"/>
                            <w:w w:val="85"/>
                            <w:sz w:val="12"/>
                          </w:rPr>
                          <w:t>120,416,116</w:t>
                        </w:r>
                      </w:p>
                    </w:tc>
                    <w:tc>
                      <w:tcPr>
                        <w:tcW w:w="641" w:type="dxa"/>
                        <w:tcBorders>
                          <w:right w:val="single" w:sz="8" w:space="0" w:color="231F20"/>
                        </w:tcBorders>
                      </w:tcPr>
                      <w:p>
                        <w:pPr>
                          <w:pStyle w:val="TableParagraph"/>
                          <w:spacing w:before="70"/>
                          <w:ind w:left="9"/>
                          <w:jc w:val="center"/>
                          <w:rPr>
                            <w:sz w:val="12"/>
                          </w:rPr>
                        </w:pPr>
                        <w:r>
                          <w:rPr>
                            <w:color w:val="231F20"/>
                            <w:w w:val="75"/>
                            <w:sz w:val="12"/>
                          </w:rPr>
                          <w:t>0</w:t>
                        </w:r>
                      </w:p>
                    </w:tc>
                  </w:tr>
                  <w:tr>
                    <w:trPr>
                      <w:trHeight w:val="385" w:hRule="exact"/>
                    </w:trPr>
                    <w:tc>
                      <w:tcPr>
                        <w:tcW w:w="372" w:type="dxa"/>
                      </w:tcPr>
                      <w:p>
                        <w:pPr>
                          <w:pStyle w:val="TableParagraph"/>
                          <w:spacing w:before="70"/>
                          <w:ind w:left="62" w:right="61"/>
                          <w:jc w:val="center"/>
                          <w:rPr>
                            <w:sz w:val="12"/>
                          </w:rPr>
                        </w:pPr>
                        <w:r>
                          <w:rPr>
                            <w:color w:val="231F20"/>
                            <w:w w:val="85"/>
                            <w:sz w:val="12"/>
                          </w:rPr>
                          <w:t>2001</w:t>
                        </w:r>
                      </w:p>
                    </w:tc>
                    <w:tc>
                      <w:tcPr>
                        <w:tcW w:w="716" w:type="dxa"/>
                      </w:tcPr>
                      <w:p>
                        <w:pPr>
                          <w:pStyle w:val="TableParagraph"/>
                          <w:spacing w:before="70"/>
                          <w:ind w:left="41" w:right="41"/>
                          <w:jc w:val="center"/>
                          <w:rPr>
                            <w:sz w:val="12"/>
                          </w:rPr>
                        </w:pPr>
                        <w:r>
                          <w:rPr>
                            <w:color w:val="231F20"/>
                            <w:w w:val="85"/>
                            <w:sz w:val="12"/>
                          </w:rPr>
                          <w:t>1,203,424,953</w:t>
                        </w:r>
                      </w:p>
                    </w:tc>
                    <w:tc>
                      <w:tcPr>
                        <w:tcW w:w="643" w:type="dxa"/>
                      </w:tcPr>
                      <w:p>
                        <w:pPr>
                          <w:pStyle w:val="TableParagraph"/>
                          <w:spacing w:before="70"/>
                          <w:ind w:left="42" w:right="43"/>
                          <w:jc w:val="center"/>
                          <w:rPr>
                            <w:sz w:val="12"/>
                          </w:rPr>
                        </w:pPr>
                        <w:r>
                          <w:rPr>
                            <w:color w:val="231F20"/>
                            <w:w w:val="85"/>
                            <w:sz w:val="12"/>
                          </w:rPr>
                          <w:t>220,193,449</w:t>
                        </w:r>
                      </w:p>
                    </w:tc>
                    <w:tc>
                      <w:tcPr>
                        <w:tcW w:w="639" w:type="dxa"/>
                      </w:tcPr>
                      <w:p>
                        <w:pPr>
                          <w:pStyle w:val="TableParagraph"/>
                          <w:spacing w:before="70"/>
                          <w:ind w:left="41" w:right="41"/>
                          <w:jc w:val="center"/>
                          <w:rPr>
                            <w:sz w:val="12"/>
                          </w:rPr>
                        </w:pPr>
                        <w:r>
                          <w:rPr>
                            <w:color w:val="231F20"/>
                            <w:w w:val="85"/>
                            <w:sz w:val="12"/>
                          </w:rPr>
                          <w:t>91,274,315</w:t>
                        </w:r>
                      </w:p>
                    </w:tc>
                    <w:tc>
                      <w:tcPr>
                        <w:tcW w:w="576" w:type="dxa"/>
                      </w:tcPr>
                      <w:p>
                        <w:pPr>
                          <w:pStyle w:val="TableParagraph"/>
                          <w:spacing w:before="70"/>
                          <w:ind w:left="78"/>
                          <w:rPr>
                            <w:sz w:val="12"/>
                          </w:rPr>
                        </w:pPr>
                        <w:r>
                          <w:rPr>
                            <w:color w:val="231F20"/>
                            <w:w w:val="85"/>
                            <w:sz w:val="12"/>
                          </w:rPr>
                          <w:t>12,523,374</w:t>
                        </w:r>
                      </w:p>
                    </w:tc>
                    <w:tc>
                      <w:tcPr>
                        <w:tcW w:w="640" w:type="dxa"/>
                      </w:tcPr>
                      <w:p>
                        <w:pPr>
                          <w:pStyle w:val="TableParagraph"/>
                          <w:spacing w:before="70"/>
                          <w:ind w:left="102"/>
                          <w:rPr>
                            <w:sz w:val="12"/>
                          </w:rPr>
                        </w:pPr>
                        <w:r>
                          <w:rPr>
                            <w:color w:val="231F20"/>
                            <w:w w:val="85"/>
                            <w:sz w:val="12"/>
                          </w:rPr>
                          <w:t>42,348,268</w:t>
                        </w:r>
                      </w:p>
                    </w:tc>
                    <w:tc>
                      <w:tcPr>
                        <w:tcW w:w="498" w:type="dxa"/>
                      </w:tcPr>
                      <w:p>
                        <w:pPr>
                          <w:pStyle w:val="TableParagraph"/>
                          <w:spacing w:before="70"/>
                          <w:ind w:left="225"/>
                          <w:rPr>
                            <w:sz w:val="12"/>
                          </w:rPr>
                        </w:pPr>
                        <w:r>
                          <w:rPr>
                            <w:color w:val="231F20"/>
                            <w:w w:val="75"/>
                            <w:sz w:val="12"/>
                          </w:rPr>
                          <w:t>0</w:t>
                        </w:r>
                      </w:p>
                    </w:tc>
                    <w:tc>
                      <w:tcPr>
                        <w:tcW w:w="673" w:type="dxa"/>
                      </w:tcPr>
                      <w:p>
                        <w:pPr>
                          <w:pStyle w:val="TableParagraph"/>
                          <w:spacing w:before="70"/>
                          <w:ind w:left="58" w:right="58"/>
                          <w:jc w:val="center"/>
                          <w:rPr>
                            <w:sz w:val="12"/>
                          </w:rPr>
                        </w:pPr>
                        <w:r>
                          <w:rPr>
                            <w:color w:val="231F20"/>
                            <w:w w:val="85"/>
                            <w:sz w:val="12"/>
                          </w:rPr>
                          <w:t>393,739,421</w:t>
                        </w:r>
                      </w:p>
                    </w:tc>
                    <w:tc>
                      <w:tcPr>
                        <w:tcW w:w="619" w:type="dxa"/>
                      </w:tcPr>
                      <w:p>
                        <w:pPr>
                          <w:pStyle w:val="TableParagraph"/>
                          <w:spacing w:before="70"/>
                          <w:ind w:left="31" w:right="31"/>
                          <w:jc w:val="center"/>
                          <w:rPr>
                            <w:sz w:val="12"/>
                          </w:rPr>
                        </w:pPr>
                        <w:r>
                          <w:rPr>
                            <w:color w:val="231F20"/>
                            <w:w w:val="85"/>
                            <w:sz w:val="12"/>
                          </w:rPr>
                          <w:t>279,622,593</w:t>
                        </w:r>
                      </w:p>
                    </w:tc>
                    <w:tc>
                      <w:tcPr>
                        <w:tcW w:w="575" w:type="dxa"/>
                      </w:tcPr>
                      <w:p>
                        <w:pPr>
                          <w:pStyle w:val="TableParagraph"/>
                          <w:spacing w:before="70"/>
                          <w:ind w:left="35" w:right="35"/>
                          <w:jc w:val="center"/>
                          <w:rPr>
                            <w:sz w:val="12"/>
                          </w:rPr>
                        </w:pPr>
                        <w:r>
                          <w:rPr>
                            <w:color w:val="231F20"/>
                            <w:w w:val="85"/>
                            <w:sz w:val="12"/>
                          </w:rPr>
                          <w:t>3,309,956</w:t>
                        </w:r>
                      </w:p>
                    </w:tc>
                    <w:tc>
                      <w:tcPr>
                        <w:tcW w:w="557" w:type="dxa"/>
                      </w:tcPr>
                      <w:p>
                        <w:pPr>
                          <w:pStyle w:val="TableParagraph"/>
                          <w:spacing w:before="70"/>
                          <w:ind w:left="51" w:right="51"/>
                          <w:jc w:val="center"/>
                          <w:rPr>
                            <w:sz w:val="12"/>
                          </w:rPr>
                        </w:pPr>
                        <w:r>
                          <w:rPr>
                            <w:color w:val="231F20"/>
                            <w:w w:val="85"/>
                            <w:sz w:val="12"/>
                          </w:rPr>
                          <w:t>7,413,577</w:t>
                        </w:r>
                      </w:p>
                    </w:tc>
                    <w:tc>
                      <w:tcPr>
                        <w:tcW w:w="768" w:type="dxa"/>
                      </w:tcPr>
                      <w:p>
                        <w:pPr>
                          <w:pStyle w:val="TableParagraph"/>
                          <w:spacing w:before="70"/>
                          <w:ind w:left="105" w:right="102"/>
                          <w:jc w:val="center"/>
                          <w:rPr>
                            <w:sz w:val="12"/>
                          </w:rPr>
                        </w:pPr>
                        <w:r>
                          <w:rPr>
                            <w:color w:val="231F20"/>
                            <w:w w:val="85"/>
                            <w:sz w:val="12"/>
                          </w:rPr>
                          <w:t>153,000,000</w:t>
                        </w:r>
                      </w:p>
                    </w:tc>
                    <w:tc>
                      <w:tcPr>
                        <w:tcW w:w="641" w:type="dxa"/>
                        <w:tcBorders>
                          <w:right w:val="single" w:sz="8" w:space="0" w:color="231F20"/>
                        </w:tcBorders>
                      </w:tcPr>
                      <w:p>
                        <w:pPr>
                          <w:pStyle w:val="TableParagraph"/>
                          <w:spacing w:before="70"/>
                          <w:ind w:left="9"/>
                          <w:jc w:val="center"/>
                          <w:rPr>
                            <w:sz w:val="12"/>
                          </w:rPr>
                        </w:pPr>
                        <w:r>
                          <w:rPr>
                            <w:color w:val="231F20"/>
                            <w:w w:val="75"/>
                            <w:sz w:val="12"/>
                          </w:rPr>
                          <w:t>0</w:t>
                        </w:r>
                      </w:p>
                    </w:tc>
                  </w:tr>
                  <w:tr>
                    <w:trPr>
                      <w:trHeight w:val="95" w:hRule="exact"/>
                    </w:trPr>
                    <w:tc>
                      <w:tcPr>
                        <w:tcW w:w="372" w:type="dxa"/>
                      </w:tcPr>
                      <w:p>
                        <w:pPr/>
                      </w:p>
                    </w:tc>
                    <w:tc>
                      <w:tcPr>
                        <w:tcW w:w="716" w:type="dxa"/>
                      </w:tcPr>
                      <w:p>
                        <w:pPr/>
                      </w:p>
                    </w:tc>
                    <w:tc>
                      <w:tcPr>
                        <w:tcW w:w="643" w:type="dxa"/>
                      </w:tcPr>
                      <w:p>
                        <w:pPr/>
                      </w:p>
                    </w:tc>
                    <w:tc>
                      <w:tcPr>
                        <w:tcW w:w="639" w:type="dxa"/>
                      </w:tcPr>
                      <w:p>
                        <w:pPr/>
                      </w:p>
                    </w:tc>
                    <w:tc>
                      <w:tcPr>
                        <w:tcW w:w="576" w:type="dxa"/>
                      </w:tcPr>
                      <w:p>
                        <w:pPr/>
                      </w:p>
                    </w:tc>
                    <w:tc>
                      <w:tcPr>
                        <w:tcW w:w="640" w:type="dxa"/>
                      </w:tcPr>
                      <w:p>
                        <w:pPr/>
                      </w:p>
                    </w:tc>
                    <w:tc>
                      <w:tcPr>
                        <w:tcW w:w="498" w:type="dxa"/>
                      </w:tcPr>
                      <w:p>
                        <w:pPr/>
                      </w:p>
                    </w:tc>
                    <w:tc>
                      <w:tcPr>
                        <w:tcW w:w="673" w:type="dxa"/>
                      </w:tcPr>
                      <w:p>
                        <w:pPr/>
                      </w:p>
                    </w:tc>
                    <w:tc>
                      <w:tcPr>
                        <w:tcW w:w="619" w:type="dxa"/>
                      </w:tcPr>
                      <w:p>
                        <w:pPr/>
                      </w:p>
                    </w:tc>
                    <w:tc>
                      <w:tcPr>
                        <w:tcW w:w="575" w:type="dxa"/>
                      </w:tcPr>
                      <w:p>
                        <w:pPr/>
                      </w:p>
                    </w:tc>
                    <w:tc>
                      <w:tcPr>
                        <w:tcW w:w="557" w:type="dxa"/>
                      </w:tcPr>
                      <w:p>
                        <w:pPr/>
                      </w:p>
                    </w:tc>
                    <w:tc>
                      <w:tcPr>
                        <w:tcW w:w="768" w:type="dxa"/>
                      </w:tcPr>
                      <w:p>
                        <w:pPr/>
                      </w:p>
                    </w:tc>
                    <w:tc>
                      <w:tcPr>
                        <w:tcW w:w="641" w:type="dxa"/>
                        <w:tcBorders>
                          <w:right w:val="single" w:sz="8" w:space="0" w:color="231F20"/>
                        </w:tcBorders>
                      </w:tcPr>
                      <w:p>
                        <w:pPr/>
                      </w:p>
                    </w:tc>
                  </w:tr>
                </w:tbl>
                <w:p>
                  <w:pPr>
                    <w:pStyle w:val="BodyText"/>
                  </w:pPr>
                </w:p>
              </w:txbxContent>
            </v:textbox>
            <w10:wrap type="none"/>
          </v:shape>
        </w:pict>
      </w:r>
      <w:r>
        <w:rPr>
          <w:rFonts w:ascii="Calibri"/>
          <w:color w:val="231F20"/>
          <w:w w:val="85"/>
          <w:sz w:val="12"/>
        </w:rPr>
        <w:t>2000    </w:t>
      </w:r>
      <w:r>
        <w:rPr>
          <w:rFonts w:ascii="Calibri"/>
          <w:color w:val="231F20"/>
          <w:spacing w:val="2"/>
          <w:w w:val="85"/>
          <w:sz w:val="12"/>
        </w:rPr>
        <w:t> </w:t>
      </w:r>
      <w:r>
        <w:rPr>
          <w:rFonts w:ascii="Calibri"/>
          <w:color w:val="231F20"/>
          <w:w w:val="85"/>
          <w:sz w:val="12"/>
        </w:rPr>
        <w:t>1,078,226,987    </w:t>
      </w:r>
      <w:r>
        <w:rPr>
          <w:rFonts w:ascii="Calibri"/>
          <w:color w:val="231F20"/>
          <w:spacing w:val="5"/>
          <w:w w:val="85"/>
          <w:sz w:val="12"/>
        </w:rPr>
        <w:t> </w:t>
      </w:r>
      <w:r>
        <w:rPr>
          <w:rFonts w:ascii="Calibri"/>
          <w:color w:val="231F20"/>
          <w:w w:val="85"/>
          <w:sz w:val="12"/>
        </w:rPr>
        <w:t>217,324,418</w:t>
        <w:tab/>
        <w:t>80,901,515</w:t>
        <w:tab/>
        <w:t>8,399,068</w:t>
        <w:tab/>
      </w:r>
      <w:r>
        <w:rPr>
          <w:rFonts w:ascii="Calibri"/>
          <w:color w:val="231F20"/>
          <w:w w:val="80"/>
          <w:sz w:val="12"/>
        </w:rPr>
        <w:t>30,114,258</w:t>
        <w:tab/>
      </w:r>
      <w:r>
        <w:rPr>
          <w:rFonts w:ascii="Calibri"/>
          <w:color w:val="231F20"/>
          <w:w w:val="85"/>
          <w:sz w:val="12"/>
        </w:rPr>
        <w:t>0</w:t>
        <w:tab/>
        <w:t>353,836,070     250,826,107   </w:t>
      </w:r>
      <w:r>
        <w:rPr>
          <w:rFonts w:ascii="Calibri"/>
          <w:color w:val="231F20"/>
          <w:spacing w:val="9"/>
          <w:w w:val="85"/>
          <w:sz w:val="12"/>
        </w:rPr>
        <w:t> </w:t>
      </w:r>
      <w:r>
        <w:rPr>
          <w:rFonts w:ascii="Calibri"/>
          <w:color w:val="231F20"/>
          <w:w w:val="85"/>
          <w:sz w:val="12"/>
        </w:rPr>
        <w:t>47,106,354   </w:t>
      </w:r>
      <w:r>
        <w:rPr>
          <w:rFonts w:ascii="Calibri"/>
          <w:color w:val="231F20"/>
          <w:spacing w:val="20"/>
          <w:w w:val="85"/>
          <w:sz w:val="12"/>
        </w:rPr>
        <w:t> </w:t>
      </w:r>
      <w:r>
        <w:rPr>
          <w:rFonts w:ascii="Calibri"/>
          <w:color w:val="231F20"/>
          <w:w w:val="85"/>
          <w:sz w:val="12"/>
        </w:rPr>
        <w:t>6,855,031</w:t>
        <w:tab/>
        <w:t>82,864,166</w:t>
        <w:tab/>
        <w:t>0</w:t>
      </w:r>
    </w:p>
    <w:p>
      <w:pPr>
        <w:pStyle w:val="BodyText"/>
        <w:rPr>
          <w:rFonts w:ascii="Calibri"/>
          <w:sz w:val="12"/>
        </w:rPr>
      </w:pPr>
    </w:p>
    <w:p>
      <w:pPr>
        <w:pStyle w:val="BodyText"/>
        <w:rPr>
          <w:rFonts w:ascii="Calibri"/>
          <w:sz w:val="12"/>
        </w:rPr>
      </w:pPr>
    </w:p>
    <w:p>
      <w:pPr>
        <w:spacing w:before="95"/>
        <w:ind w:left="567" w:right="-2" w:firstLine="0"/>
        <w:jc w:val="left"/>
        <w:rPr>
          <w:rFonts w:ascii="Calibri" w:hAnsi="Calibri"/>
          <w:sz w:val="16"/>
        </w:rPr>
      </w:pPr>
      <w:r>
        <w:rPr>
          <w:rFonts w:ascii="Calibri" w:hAnsi="Calibri"/>
          <w:color w:val="231F20"/>
          <w:sz w:val="16"/>
        </w:rPr>
        <w:t>Fuente:</w:t>
      </w:r>
      <w:r>
        <w:rPr>
          <w:rFonts w:ascii="Calibri" w:hAnsi="Calibri"/>
          <w:color w:val="231F20"/>
          <w:spacing w:val="-11"/>
          <w:sz w:val="16"/>
        </w:rPr>
        <w:t> </w:t>
      </w:r>
      <w:r>
        <w:rPr>
          <w:rFonts w:ascii="Calibri" w:hAnsi="Calibri"/>
          <w:color w:val="231F20"/>
          <w:sz w:val="16"/>
        </w:rPr>
        <w:t>Base</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datos</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los</w:t>
      </w:r>
      <w:r>
        <w:rPr>
          <w:rFonts w:ascii="Calibri" w:hAnsi="Calibri"/>
          <w:color w:val="231F20"/>
          <w:spacing w:val="-11"/>
          <w:sz w:val="16"/>
        </w:rPr>
        <w:t> </w:t>
      </w:r>
      <w:r>
        <w:rPr>
          <w:rFonts w:ascii="Calibri" w:hAnsi="Calibri"/>
          <w:color w:val="231F20"/>
          <w:sz w:val="16"/>
        </w:rPr>
        <w:t>gobiernos</w:t>
      </w:r>
      <w:r>
        <w:rPr>
          <w:rFonts w:ascii="Calibri" w:hAnsi="Calibri"/>
          <w:color w:val="231F20"/>
          <w:spacing w:val="-11"/>
          <w:sz w:val="16"/>
        </w:rPr>
        <w:t> </w:t>
      </w:r>
      <w:r>
        <w:rPr>
          <w:rFonts w:ascii="Calibri" w:hAnsi="Calibri"/>
          <w:color w:val="231F20"/>
          <w:sz w:val="16"/>
        </w:rPr>
        <w:t>municipales</w:t>
      </w:r>
      <w:r>
        <w:rPr>
          <w:rFonts w:ascii="Calibri" w:hAnsi="Calibri"/>
          <w:color w:val="231F20"/>
          <w:spacing w:val="-11"/>
          <w:sz w:val="16"/>
        </w:rPr>
        <w:t> </w:t>
      </w:r>
      <w:r>
        <w:rPr>
          <w:rFonts w:ascii="Calibri" w:hAnsi="Calibri"/>
          <w:color w:val="231F20"/>
          <w:sz w:val="16"/>
        </w:rPr>
        <w:t>en</w:t>
      </w:r>
      <w:r>
        <w:rPr>
          <w:rFonts w:ascii="Calibri" w:hAnsi="Calibri"/>
          <w:color w:val="231F20"/>
          <w:spacing w:val="-11"/>
          <w:sz w:val="16"/>
        </w:rPr>
        <w:t> </w:t>
      </w:r>
      <w:r>
        <w:rPr>
          <w:rFonts w:ascii="Calibri" w:hAnsi="Calibri"/>
          <w:color w:val="231F20"/>
          <w:sz w:val="16"/>
        </w:rPr>
        <w:t>el</w:t>
      </w:r>
      <w:r>
        <w:rPr>
          <w:rFonts w:ascii="Calibri" w:hAnsi="Calibri"/>
          <w:color w:val="231F20"/>
          <w:spacing w:val="-11"/>
          <w:sz w:val="16"/>
        </w:rPr>
        <w:t> </w:t>
      </w:r>
      <w:r>
        <w:rPr>
          <w:rFonts w:ascii="Calibri" w:hAnsi="Calibri"/>
          <w:color w:val="231F20"/>
          <w:sz w:val="16"/>
        </w:rPr>
        <w:t>Estado</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México,</w:t>
      </w:r>
      <w:r>
        <w:rPr>
          <w:rFonts w:ascii="Calibri" w:hAnsi="Calibri"/>
          <w:color w:val="231F20"/>
          <w:spacing w:val="-11"/>
          <w:sz w:val="16"/>
        </w:rPr>
        <w:t> </w:t>
      </w:r>
      <w:r>
        <w:rPr>
          <w:rFonts w:ascii="Calibri" w:hAnsi="Calibri"/>
          <w:color w:val="231F20"/>
          <w:sz w:val="16"/>
        </w:rPr>
        <w:t>Centro</w:t>
      </w:r>
      <w:r>
        <w:rPr>
          <w:rFonts w:ascii="Calibri" w:hAnsi="Calibri"/>
          <w:color w:val="231F20"/>
          <w:spacing w:val="-11"/>
          <w:sz w:val="16"/>
        </w:rPr>
        <w:t> </w:t>
      </w:r>
      <w:r>
        <w:rPr>
          <w:rFonts w:ascii="Calibri" w:hAnsi="Calibri"/>
          <w:color w:val="231F20"/>
          <w:sz w:val="16"/>
        </w:rPr>
        <w:t>Universitario</w:t>
      </w:r>
      <w:r>
        <w:rPr>
          <w:rFonts w:ascii="Calibri" w:hAnsi="Calibri"/>
          <w:color w:val="231F20"/>
          <w:spacing w:val="-11"/>
          <w:sz w:val="16"/>
        </w:rPr>
        <w:t> </w:t>
      </w:r>
      <w:r>
        <w:rPr>
          <w:rFonts w:ascii="Calibri" w:hAnsi="Calibri"/>
          <w:color w:val="231F20"/>
          <w:sz w:val="16"/>
        </w:rPr>
        <w:t>UAEM</w:t>
      </w:r>
      <w:r>
        <w:rPr>
          <w:rFonts w:ascii="Calibri" w:hAnsi="Calibri"/>
          <w:color w:val="231F20"/>
          <w:spacing w:val="-11"/>
          <w:sz w:val="16"/>
        </w:rPr>
        <w:t> </w:t>
      </w:r>
      <w:r>
        <w:rPr>
          <w:rFonts w:ascii="Calibri" w:hAnsi="Calibri"/>
          <w:color w:val="231F20"/>
          <w:sz w:val="16"/>
        </w:rPr>
        <w:t>Amecameca.</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Los</w:t>
      </w:r>
      <w:r>
        <w:rPr>
          <w:color w:val="231F20"/>
          <w:spacing w:val="-9"/>
          <w:w w:val="105"/>
        </w:rPr>
        <w:t> </w:t>
      </w:r>
      <w:r>
        <w:rPr>
          <w:color w:val="231F20"/>
          <w:w w:val="105"/>
        </w:rPr>
        <w:t>egresos</w:t>
      </w:r>
      <w:r>
        <w:rPr>
          <w:color w:val="231F20"/>
          <w:spacing w:val="-9"/>
          <w:w w:val="105"/>
        </w:rPr>
        <w:t> </w:t>
      </w:r>
      <w:r>
        <w:rPr>
          <w:color w:val="231F20"/>
          <w:w w:val="105"/>
        </w:rPr>
        <w:t>tuvieron</w:t>
      </w:r>
      <w:r>
        <w:rPr>
          <w:color w:val="231F20"/>
          <w:spacing w:val="-9"/>
          <w:w w:val="105"/>
        </w:rPr>
        <w:t> </w:t>
      </w:r>
      <w:r>
        <w:rPr>
          <w:color w:val="231F20"/>
          <w:w w:val="105"/>
        </w:rPr>
        <w:t>un</w:t>
      </w:r>
      <w:r>
        <w:rPr>
          <w:color w:val="231F20"/>
          <w:spacing w:val="-9"/>
          <w:w w:val="105"/>
        </w:rPr>
        <w:t> </w:t>
      </w:r>
      <w:r>
        <w:rPr>
          <w:color w:val="231F20"/>
          <w:w w:val="105"/>
        </w:rPr>
        <w:t>incremento</w:t>
      </w:r>
      <w:r>
        <w:rPr>
          <w:color w:val="231F20"/>
          <w:spacing w:val="-9"/>
          <w:w w:val="105"/>
        </w:rPr>
        <w:t> </w:t>
      </w:r>
      <w:r>
        <w:rPr>
          <w:color w:val="231F20"/>
          <w:w w:val="105"/>
        </w:rPr>
        <w:t>en</w:t>
      </w:r>
      <w:r>
        <w:rPr>
          <w:color w:val="231F20"/>
          <w:spacing w:val="-9"/>
          <w:w w:val="105"/>
        </w:rPr>
        <w:t> </w:t>
      </w:r>
      <w:r>
        <w:rPr>
          <w:color w:val="231F20"/>
          <w:w w:val="105"/>
        </w:rPr>
        <w:t>cada</w:t>
      </w:r>
      <w:r>
        <w:rPr>
          <w:color w:val="231F20"/>
          <w:spacing w:val="-9"/>
          <w:w w:val="105"/>
        </w:rPr>
        <w:t> </w:t>
      </w:r>
      <w:r>
        <w:rPr>
          <w:color w:val="231F20"/>
          <w:w w:val="105"/>
        </w:rPr>
        <w:t>año,</w:t>
      </w:r>
      <w:r>
        <w:rPr>
          <w:color w:val="231F20"/>
          <w:spacing w:val="-9"/>
          <w:w w:val="105"/>
        </w:rPr>
        <w:t> </w:t>
      </w:r>
      <w:r>
        <w:rPr>
          <w:color w:val="231F20"/>
          <w:w w:val="105"/>
        </w:rPr>
        <w:t>con</w:t>
      </w:r>
      <w:r>
        <w:rPr>
          <w:color w:val="231F20"/>
          <w:spacing w:val="-9"/>
          <w:w w:val="105"/>
        </w:rPr>
        <w:t> </w:t>
      </w:r>
      <w:r>
        <w:rPr>
          <w:color w:val="231F20"/>
          <w:w w:val="105"/>
        </w:rPr>
        <w:t>un</w:t>
      </w:r>
      <w:r>
        <w:rPr>
          <w:color w:val="231F20"/>
          <w:spacing w:val="-9"/>
          <w:w w:val="105"/>
        </w:rPr>
        <w:t> </w:t>
      </w:r>
      <w:r>
        <w:rPr>
          <w:color w:val="231F20"/>
          <w:w w:val="105"/>
        </w:rPr>
        <w:t>ligero</w:t>
      </w:r>
      <w:r>
        <w:rPr>
          <w:color w:val="231F20"/>
          <w:spacing w:val="-9"/>
          <w:w w:val="105"/>
        </w:rPr>
        <w:t> </w:t>
      </w:r>
      <w:r>
        <w:rPr>
          <w:color w:val="231F20"/>
          <w:w w:val="105"/>
        </w:rPr>
        <w:t>aumento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2003.</w:t>
      </w:r>
      <w:r>
        <w:rPr>
          <w:color w:val="231F20"/>
          <w:spacing w:val="-9"/>
          <w:w w:val="105"/>
        </w:rPr>
        <w:t> </w:t>
      </w:r>
      <w:r>
        <w:rPr>
          <w:color w:val="231F20"/>
          <w:w w:val="105"/>
        </w:rPr>
        <w:t>Lo que</w:t>
      </w:r>
      <w:r>
        <w:rPr>
          <w:color w:val="231F20"/>
          <w:spacing w:val="-5"/>
          <w:w w:val="105"/>
        </w:rPr>
        <w:t> </w:t>
      </w:r>
      <w:r>
        <w:rPr>
          <w:color w:val="231F20"/>
          <w:w w:val="105"/>
        </w:rPr>
        <w:t>llama</w:t>
      </w:r>
      <w:r>
        <w:rPr>
          <w:color w:val="231F20"/>
          <w:spacing w:val="-5"/>
          <w:w w:val="105"/>
        </w:rPr>
        <w:t> </w:t>
      </w:r>
      <w:r>
        <w:rPr>
          <w:color w:val="231F20"/>
          <w:w w:val="105"/>
        </w:rPr>
        <w:t>la</w:t>
      </w:r>
      <w:r>
        <w:rPr>
          <w:color w:val="231F20"/>
          <w:spacing w:val="-5"/>
          <w:w w:val="105"/>
        </w:rPr>
        <w:t> </w:t>
      </w:r>
      <w:r>
        <w:rPr>
          <w:color w:val="231F20"/>
          <w:w w:val="105"/>
        </w:rPr>
        <w:t>atención</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gasto</w:t>
      </w:r>
      <w:r>
        <w:rPr>
          <w:color w:val="231F20"/>
          <w:spacing w:val="-5"/>
          <w:w w:val="105"/>
        </w:rPr>
        <w:t> </w:t>
      </w:r>
      <w:r>
        <w:rPr>
          <w:color w:val="231F20"/>
          <w:w w:val="105"/>
        </w:rPr>
        <w:t>destinado</w:t>
      </w:r>
      <w:r>
        <w:rPr>
          <w:color w:val="231F20"/>
          <w:spacing w:val="-5"/>
          <w:w w:val="105"/>
        </w:rPr>
        <w:t> </w:t>
      </w:r>
      <w:r>
        <w:rPr>
          <w:color w:val="231F20"/>
          <w:w w:val="105"/>
        </w:rPr>
        <w:t>a</w:t>
      </w:r>
      <w:r>
        <w:rPr>
          <w:color w:val="231F20"/>
          <w:spacing w:val="-5"/>
          <w:w w:val="105"/>
        </w:rPr>
        <w:t> </w:t>
      </w:r>
      <w:r>
        <w:rPr>
          <w:color w:val="231F20"/>
          <w:w w:val="105"/>
        </w:rPr>
        <w:t>servicios</w:t>
      </w:r>
      <w:r>
        <w:rPr>
          <w:color w:val="231F20"/>
          <w:spacing w:val="-5"/>
          <w:w w:val="105"/>
        </w:rPr>
        <w:t> </w:t>
      </w:r>
      <w:r>
        <w:rPr>
          <w:color w:val="231F20"/>
          <w:w w:val="105"/>
        </w:rPr>
        <w:t>personales.</w:t>
      </w:r>
      <w:r>
        <w:rPr>
          <w:color w:val="231F20"/>
          <w:spacing w:val="-5"/>
          <w:w w:val="105"/>
        </w:rPr>
        <w:t> </w:t>
      </w:r>
      <w:r>
        <w:rPr>
          <w:color w:val="231F20"/>
          <w:w w:val="105"/>
        </w:rPr>
        <w:t>Los</w:t>
      </w:r>
      <w:r>
        <w:rPr>
          <w:color w:val="231F20"/>
          <w:spacing w:val="-5"/>
          <w:w w:val="105"/>
        </w:rPr>
        <w:t> </w:t>
      </w:r>
      <w:r>
        <w:rPr>
          <w:color w:val="231F20"/>
          <w:w w:val="105"/>
        </w:rPr>
        <w:t>egresos</w:t>
      </w:r>
      <w:r>
        <w:rPr>
          <w:color w:val="231F20"/>
          <w:spacing w:val="-5"/>
          <w:w w:val="105"/>
        </w:rPr>
        <w:t> </w:t>
      </w:r>
      <w:r>
        <w:rPr>
          <w:color w:val="231F20"/>
          <w:w w:val="105"/>
        </w:rPr>
        <w:t>aumen- taron</w:t>
      </w:r>
      <w:r>
        <w:rPr>
          <w:color w:val="231F20"/>
          <w:spacing w:val="-3"/>
          <w:w w:val="105"/>
        </w:rPr>
        <w:t> </w:t>
      </w:r>
      <w:r>
        <w:rPr>
          <w:color w:val="231F20"/>
          <w:w w:val="105"/>
        </w:rPr>
        <w:t>de</w:t>
      </w:r>
      <w:r>
        <w:rPr>
          <w:color w:val="231F20"/>
          <w:spacing w:val="-3"/>
          <w:w w:val="105"/>
        </w:rPr>
        <w:t> </w:t>
      </w:r>
      <w:r>
        <w:rPr>
          <w:color w:val="231F20"/>
          <w:w w:val="105"/>
        </w:rPr>
        <w:t>manera</w:t>
      </w:r>
      <w:r>
        <w:rPr>
          <w:color w:val="231F20"/>
          <w:spacing w:val="-3"/>
          <w:w w:val="105"/>
        </w:rPr>
        <w:t> </w:t>
      </w:r>
      <w:r>
        <w:rPr>
          <w:color w:val="231F20"/>
          <w:w w:val="105"/>
        </w:rPr>
        <w:t>importante</w:t>
      </w:r>
      <w:r>
        <w:rPr>
          <w:color w:val="231F20"/>
          <w:spacing w:val="-3"/>
          <w:w w:val="105"/>
        </w:rPr>
        <w:t> </w:t>
      </w:r>
      <w:r>
        <w:rPr>
          <w:color w:val="231F20"/>
          <w:w w:val="105"/>
        </w:rPr>
        <w:t>en</w:t>
      </w:r>
      <w:r>
        <w:rPr>
          <w:color w:val="231F20"/>
          <w:spacing w:val="-3"/>
          <w:w w:val="105"/>
        </w:rPr>
        <w:t> </w:t>
      </w:r>
      <w:r>
        <w:rPr>
          <w:color w:val="231F20"/>
          <w:w w:val="105"/>
        </w:rPr>
        <w:t>dos</w:t>
      </w:r>
      <w:r>
        <w:rPr>
          <w:color w:val="231F20"/>
          <w:spacing w:val="-3"/>
          <w:w w:val="105"/>
        </w:rPr>
        <w:t> </w:t>
      </w:r>
      <w:r>
        <w:rPr>
          <w:color w:val="231F20"/>
          <w:w w:val="105"/>
        </w:rPr>
        <w:t>años,</w:t>
      </w:r>
      <w:r>
        <w:rPr>
          <w:color w:val="231F20"/>
          <w:spacing w:val="-3"/>
          <w:w w:val="105"/>
        </w:rPr>
        <w:t> </w:t>
      </w:r>
      <w:r>
        <w:rPr>
          <w:color w:val="231F20"/>
          <w:spacing w:val="2"/>
          <w:w w:val="105"/>
        </w:rPr>
        <w:t>2002</w:t>
      </w:r>
      <w:r>
        <w:rPr>
          <w:color w:val="231F20"/>
          <w:spacing w:val="-3"/>
          <w:w w:val="105"/>
        </w:rPr>
        <w:t> </w:t>
      </w:r>
      <w:r>
        <w:rPr>
          <w:color w:val="231F20"/>
          <w:w w:val="105"/>
        </w:rPr>
        <w:t>y</w:t>
      </w:r>
      <w:r>
        <w:rPr>
          <w:color w:val="231F20"/>
          <w:spacing w:val="-3"/>
          <w:w w:val="105"/>
        </w:rPr>
        <w:t> </w:t>
      </w:r>
      <w:r>
        <w:rPr>
          <w:color w:val="231F20"/>
          <w:spacing w:val="2"/>
          <w:w w:val="105"/>
        </w:rPr>
        <w:t>2005,</w:t>
      </w:r>
      <w:r>
        <w:rPr>
          <w:color w:val="231F20"/>
          <w:spacing w:val="-3"/>
          <w:w w:val="105"/>
        </w:rPr>
        <w:t> </w:t>
      </w:r>
      <w:r>
        <w:rPr>
          <w:color w:val="231F20"/>
          <w:w w:val="105"/>
        </w:rPr>
        <w:t>lo</w:t>
      </w:r>
      <w:r>
        <w:rPr>
          <w:color w:val="231F20"/>
          <w:spacing w:val="-3"/>
          <w:w w:val="105"/>
        </w:rPr>
        <w:t> </w:t>
      </w:r>
      <w:r>
        <w:rPr>
          <w:color w:val="231F20"/>
          <w:w w:val="105"/>
        </w:rPr>
        <w:t>que</w:t>
      </w:r>
      <w:r>
        <w:rPr>
          <w:color w:val="231F20"/>
          <w:spacing w:val="-3"/>
          <w:w w:val="105"/>
        </w:rPr>
        <w:t> </w:t>
      </w:r>
      <w:r>
        <w:rPr>
          <w:color w:val="231F20"/>
          <w:w w:val="105"/>
        </w:rPr>
        <w:t>puede</w:t>
      </w:r>
      <w:r>
        <w:rPr>
          <w:color w:val="231F20"/>
          <w:spacing w:val="-3"/>
          <w:w w:val="105"/>
        </w:rPr>
        <w:t> </w:t>
      </w:r>
      <w:r>
        <w:rPr>
          <w:color w:val="231F20"/>
          <w:w w:val="105"/>
        </w:rPr>
        <w:t>explicarse</w:t>
      </w:r>
      <w:r>
        <w:rPr>
          <w:color w:val="231F20"/>
          <w:spacing w:val="-3"/>
          <w:w w:val="105"/>
        </w:rPr>
        <w:t> </w:t>
      </w:r>
      <w:r>
        <w:rPr>
          <w:color w:val="231F20"/>
          <w:w w:val="105"/>
        </w:rPr>
        <w:t>debido tanto a la cercanía del </w:t>
      </w:r>
      <w:r>
        <w:rPr>
          <w:color w:val="231F20"/>
          <w:spacing w:val="2"/>
          <w:w w:val="105"/>
        </w:rPr>
        <w:t>fin </w:t>
      </w:r>
      <w:r>
        <w:rPr>
          <w:color w:val="231F20"/>
          <w:w w:val="105"/>
        </w:rPr>
        <w:t>del periodo de gestión (cuando el gobierno gasta en bonos, compensaciones y demás emolumentos extraordinarios para su personal), como por   la cercanía de las elecciones </w:t>
      </w:r>
      <w:r>
        <w:rPr>
          <w:color w:val="231F20"/>
          <w:spacing w:val="-4"/>
          <w:w w:val="105"/>
        </w:rPr>
        <w:t>(con </w:t>
      </w:r>
      <w:r>
        <w:rPr>
          <w:color w:val="231F20"/>
          <w:w w:val="105"/>
        </w:rPr>
        <w:t>un presumible uso de recursos para precampañas o campañas).</w:t>
      </w:r>
      <w:r>
        <w:rPr>
          <w:color w:val="231F20"/>
          <w:spacing w:val="-16"/>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rubro</w:t>
      </w:r>
      <w:r>
        <w:rPr>
          <w:color w:val="231F20"/>
          <w:spacing w:val="-16"/>
          <w:w w:val="105"/>
        </w:rPr>
        <w:t> </w:t>
      </w:r>
      <w:r>
        <w:rPr>
          <w:color w:val="231F20"/>
          <w:w w:val="105"/>
        </w:rPr>
        <w:t>el</w:t>
      </w:r>
      <w:r>
        <w:rPr>
          <w:color w:val="231F20"/>
          <w:spacing w:val="-16"/>
          <w:w w:val="105"/>
        </w:rPr>
        <w:t> </w:t>
      </w:r>
      <w:r>
        <w:rPr>
          <w:color w:val="231F20"/>
          <w:w w:val="105"/>
        </w:rPr>
        <w:t>comportamiento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dos</w:t>
      </w:r>
      <w:r>
        <w:rPr>
          <w:color w:val="231F20"/>
          <w:spacing w:val="-16"/>
          <w:w w:val="105"/>
        </w:rPr>
        <w:t> </w:t>
      </w:r>
      <w:r>
        <w:rPr>
          <w:color w:val="231F20"/>
          <w:w w:val="105"/>
        </w:rPr>
        <w:t>gobiernos</w:t>
      </w:r>
      <w:r>
        <w:rPr>
          <w:color w:val="231F20"/>
          <w:spacing w:val="-16"/>
          <w:w w:val="105"/>
        </w:rPr>
        <w:t> </w:t>
      </w:r>
      <w:r>
        <w:rPr>
          <w:color w:val="231F20"/>
          <w:w w:val="105"/>
        </w:rPr>
        <w:t>es</w:t>
      </w:r>
      <w:r>
        <w:rPr>
          <w:color w:val="231F20"/>
          <w:spacing w:val="-16"/>
          <w:w w:val="105"/>
        </w:rPr>
        <w:t> </w:t>
      </w:r>
      <w:r>
        <w:rPr>
          <w:color w:val="231F20"/>
          <w:w w:val="105"/>
        </w:rPr>
        <w:t>semejante,</w:t>
      </w:r>
      <w:r>
        <w:rPr>
          <w:color w:val="231F20"/>
          <w:spacing w:val="-16"/>
          <w:w w:val="105"/>
        </w:rPr>
        <w:t> </w:t>
      </w:r>
      <w:r>
        <w:rPr>
          <w:color w:val="231F20"/>
          <w:w w:val="105"/>
        </w:rPr>
        <w:t>aunque es</w:t>
      </w:r>
      <w:r>
        <w:rPr>
          <w:color w:val="231F20"/>
          <w:spacing w:val="-19"/>
          <w:w w:val="105"/>
        </w:rPr>
        <w:t> </w:t>
      </w:r>
      <w:r>
        <w:rPr>
          <w:color w:val="231F20"/>
          <w:w w:val="105"/>
        </w:rPr>
        <w:t>visiblemente</w:t>
      </w:r>
      <w:r>
        <w:rPr>
          <w:color w:val="231F20"/>
          <w:spacing w:val="-19"/>
          <w:w w:val="105"/>
        </w:rPr>
        <w:t> </w:t>
      </w:r>
      <w:r>
        <w:rPr>
          <w:color w:val="231F20"/>
          <w:w w:val="105"/>
        </w:rPr>
        <w:t>mayor</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caso</w:t>
      </w:r>
      <w:r>
        <w:rPr>
          <w:color w:val="231F20"/>
          <w:spacing w:val="-19"/>
          <w:w w:val="105"/>
        </w:rPr>
        <w:t> </w:t>
      </w:r>
      <w:r>
        <w:rPr>
          <w:color w:val="231F20"/>
          <w:w w:val="105"/>
        </w:rPr>
        <w:t>del</w:t>
      </w:r>
      <w:r>
        <w:rPr>
          <w:color w:val="231F20"/>
          <w:spacing w:val="-19"/>
          <w:w w:val="105"/>
        </w:rPr>
        <w:t> </w:t>
      </w:r>
      <w:r>
        <w:rPr>
          <w:color w:val="231F20"/>
          <w:w w:val="105"/>
        </w:rPr>
        <w:t>primero.</w:t>
      </w:r>
    </w:p>
    <w:p>
      <w:pPr>
        <w:pStyle w:val="BodyText"/>
        <w:spacing w:before="1"/>
        <w:rPr>
          <w:sz w:val="26"/>
        </w:rPr>
      </w:pPr>
    </w:p>
    <w:p>
      <w:pPr>
        <w:pStyle w:val="BodyText"/>
        <w:spacing w:line="285" w:lineRule="auto"/>
        <w:ind w:left="110" w:right="108"/>
        <w:jc w:val="both"/>
      </w:pPr>
      <w:r>
        <w:rPr>
          <w:color w:val="231F20"/>
          <w:w w:val="105"/>
        </w:rPr>
        <w:t>Llama la atención la caída de gasto en obras públicas en el 2001 (hay muchos menos egresos</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año</w:t>
      </w:r>
      <w:r>
        <w:rPr>
          <w:color w:val="231F20"/>
          <w:spacing w:val="-10"/>
          <w:w w:val="105"/>
        </w:rPr>
        <w:t> </w:t>
      </w:r>
      <w:r>
        <w:rPr>
          <w:color w:val="231F20"/>
          <w:spacing w:val="3"/>
          <w:w w:val="105"/>
        </w:rPr>
        <w:t>2000,</w:t>
      </w:r>
      <w:r>
        <w:rPr>
          <w:color w:val="231F20"/>
          <w:spacing w:val="-10"/>
          <w:w w:val="105"/>
        </w:rPr>
        <w:t> </w:t>
      </w:r>
      <w:r>
        <w:rPr>
          <w:color w:val="231F20"/>
          <w:w w:val="105"/>
        </w:rPr>
        <w:t>como</w:t>
      </w:r>
      <w:r>
        <w:rPr>
          <w:color w:val="231F20"/>
          <w:spacing w:val="-10"/>
          <w:w w:val="105"/>
        </w:rPr>
        <w:t> </w:t>
      </w:r>
      <w:r>
        <w:rPr>
          <w:color w:val="231F20"/>
          <w:w w:val="105"/>
        </w:rPr>
        <w:t>se</w:t>
      </w:r>
      <w:r>
        <w:rPr>
          <w:color w:val="231F20"/>
          <w:spacing w:val="-10"/>
          <w:w w:val="105"/>
        </w:rPr>
        <w:t> </w:t>
      </w:r>
      <w:r>
        <w:rPr>
          <w:color w:val="231F20"/>
          <w:w w:val="105"/>
        </w:rPr>
        <w:t>aprecia</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tabla</w:t>
      </w:r>
      <w:r>
        <w:rPr>
          <w:color w:val="231F20"/>
          <w:spacing w:val="-10"/>
          <w:w w:val="105"/>
        </w:rPr>
        <w:t> </w:t>
      </w:r>
      <w:r>
        <w:rPr>
          <w:color w:val="231F20"/>
          <w:w w:val="105"/>
        </w:rPr>
        <w:t>correspondiente).</w:t>
      </w:r>
      <w:r>
        <w:rPr>
          <w:color w:val="231F20"/>
          <w:spacing w:val="-10"/>
          <w:w w:val="105"/>
        </w:rPr>
        <w:t> </w:t>
      </w:r>
      <w:r>
        <w:rPr>
          <w:color w:val="231F20"/>
          <w:w w:val="105"/>
        </w:rPr>
        <w:t>Los</w:t>
      </w:r>
      <w:r>
        <w:rPr>
          <w:color w:val="231F20"/>
          <w:spacing w:val="-10"/>
          <w:w w:val="105"/>
        </w:rPr>
        <w:t> </w:t>
      </w:r>
      <w:r>
        <w:rPr>
          <w:color w:val="231F20"/>
          <w:w w:val="105"/>
        </w:rPr>
        <w:t>números se</w:t>
      </w:r>
      <w:r>
        <w:rPr>
          <w:color w:val="231F20"/>
          <w:spacing w:val="-5"/>
          <w:w w:val="105"/>
        </w:rPr>
        <w:t> </w:t>
      </w:r>
      <w:r>
        <w:rPr>
          <w:color w:val="231F20"/>
          <w:w w:val="105"/>
        </w:rPr>
        <w:t>incrementan</w:t>
      </w:r>
      <w:r>
        <w:rPr>
          <w:color w:val="231F20"/>
          <w:spacing w:val="-5"/>
          <w:w w:val="105"/>
        </w:rPr>
        <w:t> </w:t>
      </w:r>
      <w:r>
        <w:rPr>
          <w:color w:val="231F20"/>
          <w:w w:val="105"/>
        </w:rPr>
        <w:t>hasta</w:t>
      </w:r>
      <w:r>
        <w:rPr>
          <w:color w:val="231F20"/>
          <w:spacing w:val="-5"/>
          <w:w w:val="105"/>
        </w:rPr>
        <w:t> </w:t>
      </w:r>
      <w:r>
        <w:rPr>
          <w:color w:val="231F20"/>
          <w:w w:val="105"/>
        </w:rPr>
        <w:t>el</w:t>
      </w:r>
      <w:r>
        <w:rPr>
          <w:color w:val="231F20"/>
          <w:spacing w:val="-5"/>
          <w:w w:val="105"/>
        </w:rPr>
        <w:t> </w:t>
      </w:r>
      <w:r>
        <w:rPr>
          <w:color w:val="231F20"/>
          <w:w w:val="105"/>
        </w:rPr>
        <w:t>año</w:t>
      </w:r>
      <w:r>
        <w:rPr>
          <w:color w:val="231F20"/>
          <w:spacing w:val="-5"/>
          <w:w w:val="105"/>
        </w:rPr>
        <w:t> </w:t>
      </w:r>
      <w:r>
        <w:rPr>
          <w:color w:val="231F20"/>
          <w:spacing w:val="2"/>
          <w:w w:val="105"/>
        </w:rPr>
        <w:t>2005.</w:t>
      </w:r>
      <w:r>
        <w:rPr>
          <w:color w:val="231F20"/>
          <w:spacing w:val="-5"/>
          <w:w w:val="105"/>
        </w:rPr>
        <w:t> </w:t>
      </w:r>
      <w:r>
        <w:rPr>
          <w:color w:val="231F20"/>
          <w:spacing w:val="-3"/>
          <w:w w:val="105"/>
        </w:rPr>
        <w:t>Por</w:t>
      </w:r>
      <w:r>
        <w:rPr>
          <w:color w:val="231F20"/>
          <w:spacing w:val="-5"/>
          <w:w w:val="105"/>
        </w:rPr>
        <w:t> </w:t>
      </w:r>
      <w:r>
        <w:rPr>
          <w:color w:val="231F20"/>
          <w:w w:val="105"/>
        </w:rPr>
        <w:t>el</w:t>
      </w:r>
      <w:r>
        <w:rPr>
          <w:color w:val="231F20"/>
          <w:spacing w:val="-5"/>
          <w:w w:val="105"/>
        </w:rPr>
        <w:t> </w:t>
      </w:r>
      <w:r>
        <w:rPr>
          <w:color w:val="231F20"/>
          <w:w w:val="105"/>
        </w:rPr>
        <w:t>contrario</w:t>
      </w:r>
      <w:r>
        <w:rPr>
          <w:color w:val="231F20"/>
          <w:spacing w:val="-5"/>
          <w:w w:val="105"/>
        </w:rPr>
        <w:t> </w:t>
      </w:r>
      <w:r>
        <w:rPr>
          <w:color w:val="231F20"/>
          <w:spacing w:val="-3"/>
          <w:w w:val="105"/>
        </w:rPr>
        <w:t>(y</w:t>
      </w:r>
      <w:r>
        <w:rPr>
          <w:color w:val="231F20"/>
          <w:spacing w:val="-5"/>
          <w:w w:val="105"/>
        </w:rPr>
        <w:t> </w:t>
      </w:r>
      <w:r>
        <w:rPr>
          <w:color w:val="231F20"/>
          <w:spacing w:val="2"/>
          <w:w w:val="105"/>
        </w:rPr>
        <w:t>tal</w:t>
      </w:r>
      <w:r>
        <w:rPr>
          <w:color w:val="231F20"/>
          <w:spacing w:val="-5"/>
          <w:w w:val="105"/>
        </w:rPr>
        <w:t> </w:t>
      </w:r>
      <w:r>
        <w:rPr>
          <w:color w:val="231F20"/>
          <w:w w:val="105"/>
        </w:rPr>
        <w:t>vez</w:t>
      </w:r>
      <w:r>
        <w:rPr>
          <w:color w:val="231F20"/>
          <w:spacing w:val="-5"/>
          <w:w w:val="105"/>
        </w:rPr>
        <w:t> </w:t>
      </w:r>
      <w:r>
        <w:rPr>
          <w:color w:val="231F20"/>
          <w:w w:val="105"/>
        </w:rPr>
        <w:t>es</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explica</w:t>
      </w:r>
      <w:r>
        <w:rPr>
          <w:color w:val="231F20"/>
          <w:spacing w:val="-5"/>
          <w:w w:val="105"/>
        </w:rPr>
        <w:t> </w:t>
      </w:r>
      <w:r>
        <w:rPr>
          <w:color w:val="231F20"/>
          <w:w w:val="105"/>
        </w:rPr>
        <w:t>la</w:t>
      </w:r>
      <w:r>
        <w:rPr>
          <w:color w:val="231F20"/>
          <w:spacing w:val="-5"/>
          <w:w w:val="105"/>
        </w:rPr>
        <w:t> </w:t>
      </w:r>
      <w:r>
        <w:rPr>
          <w:color w:val="231F20"/>
          <w:spacing w:val="-3"/>
          <w:w w:val="105"/>
        </w:rPr>
        <w:t>reduc- </w:t>
      </w:r>
      <w:r>
        <w:rPr>
          <w:color w:val="231F20"/>
          <w:w w:val="105"/>
        </w:rPr>
        <w:t>ción</w:t>
      </w:r>
      <w:r>
        <w:rPr>
          <w:color w:val="231F20"/>
          <w:spacing w:val="-9"/>
          <w:w w:val="105"/>
        </w:rPr>
        <w:t> </w:t>
      </w:r>
      <w:r>
        <w:rPr>
          <w:color w:val="231F20"/>
          <w:w w:val="105"/>
        </w:rPr>
        <w:t>en</w:t>
      </w:r>
      <w:r>
        <w:rPr>
          <w:color w:val="231F20"/>
          <w:spacing w:val="-9"/>
          <w:w w:val="105"/>
        </w:rPr>
        <w:t> </w:t>
      </w:r>
      <w:r>
        <w:rPr>
          <w:color w:val="231F20"/>
          <w:w w:val="105"/>
        </w:rPr>
        <w:t>esta</w:t>
      </w:r>
      <w:r>
        <w:rPr>
          <w:color w:val="231F20"/>
          <w:spacing w:val="-9"/>
          <w:w w:val="105"/>
        </w:rPr>
        <w:t> </w:t>
      </w:r>
      <w:r>
        <w:rPr>
          <w:color w:val="231F20"/>
          <w:w w:val="105"/>
        </w:rPr>
        <w:t>materia)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caso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adquisición</w:t>
      </w:r>
      <w:r>
        <w:rPr>
          <w:color w:val="231F20"/>
          <w:spacing w:val="-9"/>
          <w:w w:val="105"/>
        </w:rPr>
        <w:t> </w:t>
      </w:r>
      <w:r>
        <w:rPr>
          <w:color w:val="231F20"/>
          <w:w w:val="105"/>
        </w:rPr>
        <w:t>de</w:t>
      </w:r>
      <w:r>
        <w:rPr>
          <w:color w:val="231F20"/>
          <w:spacing w:val="-9"/>
          <w:w w:val="105"/>
        </w:rPr>
        <w:t> </w:t>
      </w:r>
      <w:r>
        <w:rPr>
          <w:color w:val="231F20"/>
          <w:w w:val="105"/>
        </w:rPr>
        <w:t>bienes</w:t>
      </w:r>
      <w:r>
        <w:rPr>
          <w:color w:val="231F20"/>
          <w:spacing w:val="-9"/>
          <w:w w:val="105"/>
        </w:rPr>
        <w:t> </w:t>
      </w:r>
      <w:r>
        <w:rPr>
          <w:color w:val="231F20"/>
          <w:w w:val="105"/>
        </w:rPr>
        <w:t>muebles</w:t>
      </w:r>
      <w:r>
        <w:rPr>
          <w:color w:val="231F20"/>
          <w:spacing w:val="-9"/>
          <w:w w:val="105"/>
        </w:rPr>
        <w:t> </w:t>
      </w:r>
      <w:r>
        <w:rPr>
          <w:color w:val="231F20"/>
          <w:w w:val="105"/>
        </w:rPr>
        <w:t>e</w:t>
      </w:r>
      <w:r>
        <w:rPr>
          <w:color w:val="231F20"/>
          <w:spacing w:val="-9"/>
          <w:w w:val="105"/>
        </w:rPr>
        <w:t> </w:t>
      </w:r>
      <w:r>
        <w:rPr>
          <w:color w:val="231F20"/>
          <w:w w:val="105"/>
        </w:rPr>
        <w:t>inmuebles</w:t>
      </w:r>
      <w:r>
        <w:rPr>
          <w:color w:val="231F20"/>
          <w:spacing w:val="-9"/>
          <w:w w:val="105"/>
        </w:rPr>
        <w:t> </w:t>
      </w:r>
      <w:r>
        <w:rPr>
          <w:color w:val="231F20"/>
          <w:w w:val="105"/>
        </w:rPr>
        <w:t>es</w:t>
      </w:r>
      <w:r>
        <w:rPr>
          <w:color w:val="231F20"/>
          <w:spacing w:val="-9"/>
          <w:w w:val="105"/>
        </w:rPr>
        <w:t> </w:t>
      </w:r>
      <w:r>
        <w:rPr>
          <w:color w:val="231F20"/>
          <w:w w:val="105"/>
        </w:rPr>
        <w:t>no- torio</w:t>
      </w:r>
      <w:r>
        <w:rPr>
          <w:color w:val="231F20"/>
          <w:spacing w:val="-14"/>
          <w:w w:val="105"/>
        </w:rPr>
        <w:t> </w:t>
      </w:r>
      <w:r>
        <w:rPr>
          <w:color w:val="231F20"/>
          <w:w w:val="105"/>
        </w:rPr>
        <w:t>su</w:t>
      </w:r>
      <w:r>
        <w:rPr>
          <w:color w:val="231F20"/>
          <w:spacing w:val="-14"/>
          <w:w w:val="105"/>
        </w:rPr>
        <w:t> </w:t>
      </w:r>
      <w:r>
        <w:rPr>
          <w:color w:val="231F20"/>
          <w:w w:val="105"/>
        </w:rPr>
        <w:t>incremento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2001</w:t>
      </w:r>
      <w:r>
        <w:rPr>
          <w:color w:val="231F20"/>
          <w:spacing w:val="-14"/>
          <w:w w:val="105"/>
        </w:rPr>
        <w:t> </w:t>
      </w:r>
      <w:r>
        <w:rPr>
          <w:color w:val="231F20"/>
          <w:w w:val="105"/>
        </w:rPr>
        <w:t>y</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2004.</w:t>
      </w:r>
    </w:p>
    <w:p>
      <w:pPr>
        <w:pStyle w:val="BodyText"/>
        <w:spacing w:before="1"/>
        <w:rPr>
          <w:sz w:val="26"/>
        </w:rPr>
      </w:pPr>
    </w:p>
    <w:p>
      <w:pPr>
        <w:pStyle w:val="BodyText"/>
        <w:spacing w:line="285" w:lineRule="auto"/>
        <w:ind w:left="110" w:right="108"/>
        <w:jc w:val="both"/>
      </w:pPr>
      <w:r>
        <w:rPr>
          <w:color w:val="231F20"/>
          <w:w w:val="105"/>
        </w:rPr>
        <w:t>La</w:t>
      </w:r>
      <w:r>
        <w:rPr>
          <w:color w:val="231F20"/>
          <w:spacing w:val="-9"/>
          <w:w w:val="105"/>
        </w:rPr>
        <w:t> </w:t>
      </w:r>
      <w:r>
        <w:rPr>
          <w:color w:val="231F20"/>
          <w:w w:val="105"/>
        </w:rPr>
        <w:t>deuda</w:t>
      </w:r>
      <w:r>
        <w:rPr>
          <w:color w:val="231F20"/>
          <w:spacing w:val="-9"/>
          <w:w w:val="105"/>
        </w:rPr>
        <w:t> </w:t>
      </w:r>
      <w:r>
        <w:rPr>
          <w:color w:val="231F20"/>
          <w:w w:val="105"/>
        </w:rPr>
        <w:t>pública</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w w:val="105"/>
        </w:rPr>
        <w:t>se</w:t>
      </w:r>
      <w:r>
        <w:rPr>
          <w:color w:val="231F20"/>
          <w:spacing w:val="-9"/>
          <w:w w:val="105"/>
        </w:rPr>
        <w:t> </w:t>
      </w:r>
      <w:r>
        <w:rPr>
          <w:color w:val="231F20"/>
          <w:w w:val="105"/>
        </w:rPr>
        <w:t>incrementó</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primer</w:t>
      </w:r>
      <w:r>
        <w:rPr>
          <w:color w:val="231F20"/>
          <w:spacing w:val="-9"/>
          <w:w w:val="105"/>
        </w:rPr>
        <w:t> </w:t>
      </w:r>
      <w:r>
        <w:rPr>
          <w:color w:val="231F20"/>
          <w:w w:val="105"/>
        </w:rPr>
        <w:t>trienio,</w:t>
      </w:r>
      <w:r>
        <w:rPr>
          <w:color w:val="231F20"/>
          <w:spacing w:val="-9"/>
          <w:w w:val="105"/>
        </w:rPr>
        <w:t> </w:t>
      </w:r>
      <w:r>
        <w:rPr>
          <w:color w:val="231F20"/>
          <w:w w:val="105"/>
        </w:rPr>
        <w:t>pero</w:t>
      </w:r>
      <w:r>
        <w:rPr>
          <w:color w:val="231F20"/>
          <w:spacing w:val="-9"/>
          <w:w w:val="105"/>
        </w:rPr>
        <w:t> </w:t>
      </w:r>
      <w:r>
        <w:rPr>
          <w:color w:val="231F20"/>
          <w:w w:val="105"/>
        </w:rPr>
        <w:t>se</w:t>
      </w:r>
      <w:r>
        <w:rPr>
          <w:color w:val="231F20"/>
          <w:spacing w:val="-9"/>
          <w:w w:val="105"/>
        </w:rPr>
        <w:t> </w:t>
      </w:r>
      <w:r>
        <w:rPr>
          <w:color w:val="231F20"/>
          <w:w w:val="105"/>
        </w:rPr>
        <w:t>redujo</w:t>
      </w:r>
      <w:r>
        <w:rPr>
          <w:color w:val="231F20"/>
          <w:spacing w:val="-9"/>
          <w:w w:val="105"/>
        </w:rPr>
        <w:t> </w:t>
      </w:r>
      <w:r>
        <w:rPr>
          <w:color w:val="231F20"/>
          <w:w w:val="105"/>
        </w:rPr>
        <w:t>en</w:t>
      </w:r>
      <w:r>
        <w:rPr>
          <w:color w:val="231F20"/>
          <w:spacing w:val="-9"/>
          <w:w w:val="105"/>
        </w:rPr>
        <w:t> </w:t>
      </w:r>
      <w:r>
        <w:rPr>
          <w:color w:val="231F20"/>
          <w:w w:val="105"/>
        </w:rPr>
        <w:t>el segundo.</w:t>
      </w:r>
      <w:r>
        <w:rPr>
          <w:color w:val="231F20"/>
          <w:spacing w:val="-9"/>
          <w:w w:val="105"/>
        </w:rPr>
        <w:t> </w:t>
      </w:r>
      <w:r>
        <w:rPr>
          <w:color w:val="231F20"/>
          <w:spacing w:val="-3"/>
          <w:w w:val="105"/>
        </w:rPr>
        <w:t>También</w:t>
      </w:r>
      <w:r>
        <w:rPr>
          <w:color w:val="231F20"/>
          <w:spacing w:val="-9"/>
          <w:w w:val="105"/>
        </w:rPr>
        <w:t> </w:t>
      </w:r>
      <w:r>
        <w:rPr>
          <w:color w:val="231F20"/>
          <w:w w:val="105"/>
        </w:rPr>
        <w:t>resulta</w:t>
      </w:r>
      <w:r>
        <w:rPr>
          <w:color w:val="231F20"/>
          <w:spacing w:val="-9"/>
          <w:w w:val="105"/>
        </w:rPr>
        <w:t> </w:t>
      </w:r>
      <w:r>
        <w:rPr>
          <w:color w:val="231F20"/>
          <w:w w:val="105"/>
        </w:rPr>
        <w:t>llamativo</w:t>
      </w:r>
      <w:r>
        <w:rPr>
          <w:color w:val="231F20"/>
          <w:spacing w:val="-9"/>
          <w:w w:val="105"/>
        </w:rPr>
        <w:t> </w:t>
      </w:r>
      <w:r>
        <w:rPr>
          <w:color w:val="231F20"/>
          <w:w w:val="105"/>
        </w:rPr>
        <w:t>que</w:t>
      </w:r>
      <w:r>
        <w:rPr>
          <w:color w:val="231F20"/>
          <w:spacing w:val="-9"/>
          <w:w w:val="105"/>
        </w:rPr>
        <w:t> </w:t>
      </w:r>
      <w:r>
        <w:rPr>
          <w:color w:val="231F20"/>
          <w:w w:val="105"/>
        </w:rPr>
        <w:t>en</w:t>
      </w:r>
      <w:r>
        <w:rPr>
          <w:color w:val="231F20"/>
          <w:spacing w:val="-9"/>
          <w:w w:val="105"/>
        </w:rPr>
        <w:t> </w:t>
      </w:r>
      <w:r>
        <w:rPr>
          <w:color w:val="231F20"/>
          <w:spacing w:val="-3"/>
          <w:w w:val="105"/>
        </w:rPr>
        <w:t>“otros</w:t>
      </w:r>
      <w:r>
        <w:rPr>
          <w:color w:val="231F20"/>
          <w:spacing w:val="-9"/>
          <w:w w:val="105"/>
        </w:rPr>
        <w:t> </w:t>
      </w:r>
      <w:r>
        <w:rPr>
          <w:color w:val="231F20"/>
          <w:w w:val="105"/>
        </w:rPr>
        <w:t>egresos”</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w w:val="105"/>
        </w:rPr>
        <w:t>de</w:t>
      </w:r>
      <w:r>
        <w:rPr>
          <w:color w:val="231F20"/>
          <w:spacing w:val="-9"/>
          <w:w w:val="105"/>
        </w:rPr>
        <w:t> </w:t>
      </w:r>
      <w:r>
        <w:rPr>
          <w:color w:val="231F20"/>
          <w:w w:val="105"/>
        </w:rPr>
        <w:t>Moya</w:t>
      </w:r>
      <w:r>
        <w:rPr>
          <w:color w:val="231F20"/>
          <w:spacing w:val="-9"/>
          <w:w w:val="105"/>
        </w:rPr>
        <w:t> </w:t>
      </w:r>
      <w:r>
        <w:rPr>
          <w:color w:val="231F20"/>
          <w:w w:val="105"/>
        </w:rPr>
        <w:t>Marín desembolsó una cifra elevada en el </w:t>
      </w:r>
      <w:r>
        <w:rPr>
          <w:color w:val="231F20"/>
          <w:spacing w:val="3"/>
          <w:w w:val="105"/>
        </w:rPr>
        <w:t>2004 </w:t>
      </w:r>
      <w:r>
        <w:rPr>
          <w:color w:val="231F20"/>
          <w:spacing w:val="-4"/>
          <w:w w:val="105"/>
        </w:rPr>
        <w:t>(42 </w:t>
      </w:r>
      <w:r>
        <w:rPr>
          <w:color w:val="231F20"/>
          <w:w w:val="105"/>
        </w:rPr>
        <w:t>millones y medio de </w:t>
      </w:r>
      <w:r>
        <w:rPr>
          <w:color w:val="231F20"/>
          <w:spacing w:val="-3"/>
          <w:w w:val="105"/>
        </w:rPr>
        <w:t>pesos). </w:t>
      </w:r>
      <w:r>
        <w:rPr>
          <w:color w:val="231F20"/>
          <w:w w:val="105"/>
        </w:rPr>
        <w:t>El gasto en servicios</w:t>
      </w:r>
      <w:r>
        <w:rPr>
          <w:color w:val="231F20"/>
          <w:spacing w:val="-24"/>
          <w:w w:val="105"/>
        </w:rPr>
        <w:t> </w:t>
      </w:r>
      <w:r>
        <w:rPr>
          <w:color w:val="231F20"/>
          <w:w w:val="105"/>
        </w:rPr>
        <w:t>generales</w:t>
      </w:r>
      <w:r>
        <w:rPr>
          <w:color w:val="231F20"/>
          <w:spacing w:val="-24"/>
          <w:w w:val="105"/>
        </w:rPr>
        <w:t> </w:t>
      </w:r>
      <w:r>
        <w:rPr>
          <w:color w:val="231F20"/>
          <w:w w:val="105"/>
        </w:rPr>
        <w:t>decreció</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años</w:t>
      </w:r>
      <w:r>
        <w:rPr>
          <w:color w:val="231F20"/>
          <w:spacing w:val="-24"/>
          <w:w w:val="105"/>
        </w:rPr>
        <w:t> </w:t>
      </w:r>
      <w:r>
        <w:rPr>
          <w:color w:val="231F20"/>
          <w:spacing w:val="3"/>
          <w:w w:val="105"/>
        </w:rPr>
        <w:t>2004</w:t>
      </w:r>
      <w:r>
        <w:rPr>
          <w:color w:val="231F20"/>
          <w:spacing w:val="-24"/>
          <w:w w:val="105"/>
        </w:rPr>
        <w:t> </w:t>
      </w:r>
      <w:r>
        <w:rPr>
          <w:color w:val="231F20"/>
          <w:w w:val="105"/>
        </w:rPr>
        <w:t>y</w:t>
      </w:r>
      <w:r>
        <w:rPr>
          <w:color w:val="231F20"/>
          <w:spacing w:val="-24"/>
          <w:w w:val="105"/>
        </w:rPr>
        <w:t> </w:t>
      </w:r>
      <w:r>
        <w:rPr>
          <w:color w:val="231F20"/>
          <w:spacing w:val="2"/>
          <w:w w:val="105"/>
        </w:rPr>
        <w:t>2005.</w:t>
      </w:r>
    </w:p>
    <w:p>
      <w:pPr>
        <w:pStyle w:val="BodyText"/>
        <w:spacing w:before="1"/>
        <w:rPr>
          <w:sz w:val="26"/>
        </w:rPr>
      </w:pPr>
    </w:p>
    <w:p>
      <w:pPr>
        <w:pStyle w:val="BodyText"/>
        <w:spacing w:line="285" w:lineRule="auto"/>
        <w:ind w:left="110" w:right="107"/>
        <w:jc w:val="both"/>
      </w:pPr>
      <w:r>
        <w:rPr>
          <w:color w:val="231F20"/>
          <w:w w:val="105"/>
        </w:rPr>
        <w:t>Hacia la segunda gestión, sin embargo, los indicadores financieros municipales mos- traban el siguiente panorama general: la autonomía financiera (medida por la relación entre ingresos </w:t>
      </w:r>
      <w:r>
        <w:rPr>
          <w:color w:val="231F20"/>
          <w:spacing w:val="-3"/>
          <w:w w:val="105"/>
        </w:rPr>
        <w:t>propios </w:t>
      </w:r>
      <w:r>
        <w:rPr>
          <w:color w:val="231F20"/>
          <w:w w:val="105"/>
        </w:rPr>
        <w:t>e ingresos totales) era muy elevada, pues ascendía a 32.42%.</w:t>
      </w:r>
      <w:r>
        <w:rPr>
          <w:color w:val="231F20"/>
          <w:spacing w:val="-28"/>
          <w:w w:val="105"/>
        </w:rPr>
        <w:t> </w:t>
      </w:r>
      <w:r>
        <w:rPr>
          <w:color w:val="231F20"/>
          <w:w w:val="105"/>
        </w:rPr>
        <w:t>Si bien</w:t>
      </w:r>
      <w:r>
        <w:rPr>
          <w:color w:val="231F20"/>
          <w:spacing w:val="-13"/>
          <w:w w:val="105"/>
        </w:rPr>
        <w:t> </w:t>
      </w:r>
      <w:r>
        <w:rPr>
          <w:color w:val="231F20"/>
          <w:w w:val="105"/>
        </w:rPr>
        <w:t>era</w:t>
      </w:r>
      <w:r>
        <w:rPr>
          <w:color w:val="231F20"/>
          <w:spacing w:val="-13"/>
          <w:w w:val="105"/>
        </w:rPr>
        <w:t> </w:t>
      </w:r>
      <w:r>
        <w:rPr>
          <w:color w:val="231F20"/>
          <w:w w:val="105"/>
        </w:rPr>
        <w:t>una</w:t>
      </w:r>
      <w:r>
        <w:rPr>
          <w:color w:val="231F20"/>
          <w:spacing w:val="-13"/>
          <w:w w:val="105"/>
        </w:rPr>
        <w:t> </w:t>
      </w:r>
      <w:r>
        <w:rPr>
          <w:color w:val="231F20"/>
          <w:w w:val="105"/>
        </w:rPr>
        <w:t>cifra</w:t>
      </w:r>
      <w:r>
        <w:rPr>
          <w:color w:val="231F20"/>
          <w:spacing w:val="-13"/>
          <w:w w:val="105"/>
        </w:rPr>
        <w:t> </w:t>
      </w:r>
      <w:r>
        <w:rPr>
          <w:color w:val="231F20"/>
          <w:w w:val="105"/>
        </w:rPr>
        <w:t>menor</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del</w:t>
      </w:r>
      <w:r>
        <w:rPr>
          <w:color w:val="231F20"/>
          <w:spacing w:val="-13"/>
          <w:w w:val="105"/>
        </w:rPr>
        <w:t> </w:t>
      </w:r>
      <w:r>
        <w:rPr>
          <w:color w:val="231F20"/>
          <w:spacing w:val="4"/>
          <w:w w:val="105"/>
        </w:rPr>
        <w:t>2000</w:t>
      </w:r>
      <w:r>
        <w:rPr>
          <w:color w:val="231F20"/>
          <w:spacing w:val="-13"/>
          <w:w w:val="105"/>
        </w:rPr>
        <w:t> </w:t>
      </w:r>
      <w:r>
        <w:rPr>
          <w:color w:val="231F20"/>
          <w:w w:val="105"/>
        </w:rPr>
        <w:t>(cuando</w:t>
      </w:r>
      <w:r>
        <w:rPr>
          <w:color w:val="231F20"/>
          <w:spacing w:val="-13"/>
          <w:w w:val="105"/>
        </w:rPr>
        <w:t> </w:t>
      </w:r>
      <w:r>
        <w:rPr>
          <w:color w:val="231F20"/>
          <w:w w:val="105"/>
        </w:rPr>
        <w:t>fue</w:t>
      </w:r>
      <w:r>
        <w:rPr>
          <w:color w:val="231F20"/>
          <w:spacing w:val="-13"/>
          <w:w w:val="105"/>
        </w:rPr>
        <w:t> </w:t>
      </w:r>
      <w:r>
        <w:rPr>
          <w:color w:val="231F20"/>
          <w:w w:val="105"/>
        </w:rPr>
        <w:t>de</w:t>
      </w:r>
      <w:r>
        <w:rPr>
          <w:color w:val="231F20"/>
          <w:spacing w:val="-13"/>
          <w:w w:val="105"/>
        </w:rPr>
        <w:t> </w:t>
      </w:r>
      <w:r>
        <w:rPr>
          <w:color w:val="231F20"/>
          <w:spacing w:val="-4"/>
          <w:w w:val="105"/>
        </w:rPr>
        <w:t>43%),</w:t>
      </w:r>
      <w:r>
        <w:rPr>
          <w:color w:val="231F20"/>
          <w:spacing w:val="-13"/>
          <w:w w:val="105"/>
        </w:rPr>
        <w:t> </w:t>
      </w:r>
      <w:r>
        <w:rPr>
          <w:color w:val="231F20"/>
          <w:w w:val="105"/>
        </w:rPr>
        <w:t>era</w:t>
      </w:r>
      <w:r>
        <w:rPr>
          <w:color w:val="231F20"/>
          <w:spacing w:val="-13"/>
          <w:w w:val="105"/>
        </w:rPr>
        <w:t> </w:t>
      </w:r>
      <w:r>
        <w:rPr>
          <w:color w:val="231F20"/>
          <w:w w:val="105"/>
        </w:rPr>
        <w:t>superior</w:t>
      </w:r>
      <w:r>
        <w:rPr>
          <w:color w:val="231F20"/>
          <w:spacing w:val="-13"/>
          <w:w w:val="105"/>
        </w:rPr>
        <w:t> </w:t>
      </w:r>
      <w:r>
        <w:rPr>
          <w:color w:val="231F20"/>
          <w:spacing w:val="2"/>
          <w:w w:val="105"/>
        </w:rPr>
        <w:t>al</w:t>
      </w:r>
      <w:r>
        <w:rPr>
          <w:color w:val="231F20"/>
          <w:spacing w:val="-13"/>
          <w:w w:val="105"/>
        </w:rPr>
        <w:t> </w:t>
      </w:r>
      <w:r>
        <w:rPr>
          <w:color w:val="231F20"/>
          <w:w w:val="105"/>
        </w:rPr>
        <w:t>de</w:t>
      </w:r>
      <w:r>
        <w:rPr>
          <w:color w:val="231F20"/>
          <w:spacing w:val="-13"/>
          <w:w w:val="105"/>
        </w:rPr>
        <w:t> </w:t>
      </w:r>
      <w:r>
        <w:rPr>
          <w:color w:val="231F20"/>
          <w:w w:val="105"/>
        </w:rPr>
        <w:t>otros</w:t>
      </w:r>
      <w:r>
        <w:rPr>
          <w:color w:val="231F20"/>
          <w:spacing w:val="-13"/>
          <w:w w:val="105"/>
        </w:rPr>
        <w:t> </w:t>
      </w:r>
      <w:r>
        <w:rPr>
          <w:color w:val="231F20"/>
          <w:spacing w:val="-3"/>
          <w:w w:val="105"/>
        </w:rPr>
        <w:t>mu- </w:t>
      </w:r>
      <w:r>
        <w:rPr>
          <w:color w:val="231F20"/>
          <w:w w:val="105"/>
        </w:rPr>
        <w:t>nicipios.</w:t>
      </w:r>
      <w:r>
        <w:rPr>
          <w:color w:val="231F20"/>
          <w:spacing w:val="-18"/>
          <w:w w:val="105"/>
        </w:rPr>
        <w:t> </w:t>
      </w:r>
      <w:r>
        <w:rPr>
          <w:color w:val="231F20"/>
          <w:w w:val="105"/>
        </w:rPr>
        <w:t>En</w:t>
      </w:r>
      <w:r>
        <w:rPr>
          <w:color w:val="231F20"/>
          <w:spacing w:val="-18"/>
          <w:w w:val="105"/>
        </w:rPr>
        <w:t> </w:t>
      </w:r>
      <w:r>
        <w:rPr>
          <w:color w:val="231F20"/>
          <w:w w:val="105"/>
        </w:rPr>
        <w:t>realidad</w:t>
      </w:r>
      <w:r>
        <w:rPr>
          <w:color w:val="231F20"/>
          <w:spacing w:val="-18"/>
          <w:w w:val="105"/>
        </w:rPr>
        <w:t> </w:t>
      </w:r>
      <w:r>
        <w:rPr>
          <w:color w:val="231F20"/>
          <w:w w:val="105"/>
        </w:rPr>
        <w:t>la</w:t>
      </w:r>
      <w:r>
        <w:rPr>
          <w:color w:val="231F20"/>
          <w:spacing w:val="-18"/>
          <w:w w:val="105"/>
        </w:rPr>
        <w:t> </w:t>
      </w:r>
      <w:r>
        <w:rPr>
          <w:color w:val="231F20"/>
          <w:w w:val="105"/>
        </w:rPr>
        <w:t>dependencia</w:t>
      </w:r>
      <w:r>
        <w:rPr>
          <w:color w:val="231F20"/>
          <w:spacing w:val="-18"/>
          <w:w w:val="105"/>
        </w:rPr>
        <w:t> </w:t>
      </w:r>
      <w:r>
        <w:rPr>
          <w:color w:val="231F20"/>
          <w:w w:val="105"/>
        </w:rPr>
        <w:t>en</w:t>
      </w:r>
      <w:r>
        <w:rPr>
          <w:color w:val="231F20"/>
          <w:spacing w:val="-18"/>
          <w:w w:val="105"/>
        </w:rPr>
        <w:t> </w:t>
      </w:r>
      <w:r>
        <w:rPr>
          <w:color w:val="231F20"/>
          <w:w w:val="105"/>
        </w:rPr>
        <w:t>cuanto</w:t>
      </w:r>
      <w:r>
        <w:rPr>
          <w:color w:val="231F20"/>
          <w:spacing w:val="-18"/>
          <w:w w:val="105"/>
        </w:rPr>
        <w:t> </w:t>
      </w:r>
      <w:r>
        <w:rPr>
          <w:color w:val="231F20"/>
          <w:w w:val="105"/>
        </w:rPr>
        <w:t>a</w:t>
      </w:r>
      <w:r>
        <w:rPr>
          <w:color w:val="231F20"/>
          <w:spacing w:val="-18"/>
          <w:w w:val="105"/>
        </w:rPr>
        <w:t> </w:t>
      </w:r>
      <w:r>
        <w:rPr>
          <w:color w:val="231F20"/>
          <w:w w:val="105"/>
        </w:rPr>
        <w:t>participaciones</w:t>
      </w:r>
      <w:r>
        <w:rPr>
          <w:color w:val="231F20"/>
          <w:spacing w:val="-18"/>
          <w:w w:val="105"/>
        </w:rPr>
        <w:t> </w:t>
      </w:r>
      <w:r>
        <w:rPr>
          <w:color w:val="231F20"/>
          <w:w w:val="105"/>
        </w:rPr>
        <w:t>federales</w:t>
      </w:r>
      <w:r>
        <w:rPr>
          <w:color w:val="231F20"/>
          <w:spacing w:val="-18"/>
          <w:w w:val="105"/>
        </w:rPr>
        <w:t> </w:t>
      </w:r>
      <w:r>
        <w:rPr>
          <w:color w:val="231F20"/>
          <w:w w:val="105"/>
        </w:rPr>
        <w:t>era</w:t>
      </w:r>
      <w:r>
        <w:rPr>
          <w:color w:val="231F20"/>
          <w:spacing w:val="-18"/>
          <w:w w:val="105"/>
        </w:rPr>
        <w:t> </w:t>
      </w:r>
      <w:r>
        <w:rPr>
          <w:color w:val="231F20"/>
          <w:w w:val="105"/>
        </w:rPr>
        <w:t>relativa,</w:t>
      </w:r>
      <w:r>
        <w:rPr>
          <w:color w:val="231F20"/>
          <w:spacing w:val="-18"/>
          <w:w w:val="105"/>
        </w:rPr>
        <w:t> </w:t>
      </w:r>
      <w:r>
        <w:rPr>
          <w:color w:val="231F20"/>
          <w:w w:val="105"/>
        </w:rPr>
        <w:t>y en</w:t>
      </w:r>
      <w:r>
        <w:rPr>
          <w:color w:val="231F20"/>
          <w:spacing w:val="-9"/>
          <w:w w:val="105"/>
        </w:rPr>
        <w:t> </w:t>
      </w:r>
      <w:r>
        <w:rPr>
          <w:color w:val="231F20"/>
          <w:w w:val="105"/>
        </w:rPr>
        <w:t>cuanto</w:t>
      </w:r>
      <w:r>
        <w:rPr>
          <w:color w:val="231F20"/>
          <w:spacing w:val="-9"/>
          <w:w w:val="105"/>
        </w:rPr>
        <w:t> </w:t>
      </w:r>
      <w:r>
        <w:rPr>
          <w:color w:val="231F20"/>
          <w:w w:val="105"/>
        </w:rPr>
        <w:t>a</w:t>
      </w:r>
      <w:r>
        <w:rPr>
          <w:color w:val="231F20"/>
          <w:spacing w:val="-9"/>
          <w:w w:val="105"/>
        </w:rPr>
        <w:t> </w:t>
      </w:r>
      <w:r>
        <w:rPr>
          <w:color w:val="231F20"/>
          <w:w w:val="105"/>
        </w:rPr>
        <w:t>aportaciones</w:t>
      </w:r>
      <w:r>
        <w:rPr>
          <w:color w:val="231F20"/>
          <w:spacing w:val="-9"/>
          <w:w w:val="105"/>
        </w:rPr>
        <w:t> </w:t>
      </w:r>
      <w:r>
        <w:rPr>
          <w:color w:val="231F20"/>
          <w:w w:val="105"/>
        </w:rPr>
        <w:t>federales</w:t>
      </w:r>
      <w:r>
        <w:rPr>
          <w:color w:val="231F20"/>
          <w:spacing w:val="-9"/>
          <w:w w:val="105"/>
        </w:rPr>
        <w:t> </w:t>
      </w:r>
      <w:r>
        <w:rPr>
          <w:color w:val="231F20"/>
          <w:w w:val="105"/>
        </w:rPr>
        <w:t>era</w:t>
      </w:r>
      <w:r>
        <w:rPr>
          <w:color w:val="231F20"/>
          <w:spacing w:val="-9"/>
          <w:w w:val="105"/>
        </w:rPr>
        <w:t> </w:t>
      </w:r>
      <w:r>
        <w:rPr>
          <w:color w:val="231F20"/>
          <w:w w:val="105"/>
        </w:rPr>
        <w:t>francamente</w:t>
      </w:r>
      <w:r>
        <w:rPr>
          <w:color w:val="231F20"/>
          <w:spacing w:val="-9"/>
          <w:w w:val="105"/>
        </w:rPr>
        <w:t> </w:t>
      </w:r>
      <w:r>
        <w:rPr>
          <w:color w:val="231F20"/>
          <w:w w:val="105"/>
        </w:rPr>
        <w:t>reducida.</w:t>
      </w:r>
    </w:p>
    <w:p>
      <w:pPr>
        <w:spacing w:after="0" w:line="285" w:lineRule="auto"/>
        <w:jc w:val="both"/>
        <w:sectPr>
          <w:pgSz w:w="9640" w:h="12190"/>
          <w:pgMar w:header="0" w:footer="743" w:top="1120" w:bottom="940" w:left="740" w:right="740"/>
        </w:sectPr>
      </w:pPr>
    </w:p>
    <w:p>
      <w:pPr>
        <w:pStyle w:val="Heading5"/>
        <w:spacing w:before="27"/>
        <w:ind w:left="183" w:right="0"/>
      </w:pPr>
      <w:r>
        <w:rPr>
          <w:color w:val="231F20"/>
          <w:w w:val="105"/>
        </w:rPr>
        <w:t>Tabla 3. Egresos municipales en pesos corrientes, 2000-2005, Naucalpan de Juárez</w:t>
      </w:r>
    </w:p>
    <w:p>
      <w:pPr>
        <w:pStyle w:val="BodyText"/>
        <w:rPr>
          <w:b/>
          <w:sz w:val="20"/>
        </w:rPr>
      </w:pPr>
    </w:p>
    <w:p>
      <w:pPr>
        <w:pStyle w:val="BodyText"/>
        <w:spacing w:before="10"/>
        <w:rPr>
          <w:b/>
          <w:sz w:val="20"/>
        </w:rPr>
      </w:pPr>
    </w:p>
    <w:tbl>
      <w:tblPr>
        <w:tblW w:w="0" w:type="auto"/>
        <w:jc w:val="left"/>
        <w:tblInd w:w="4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7"/>
        <w:gridCol w:w="636"/>
        <w:gridCol w:w="633"/>
        <w:gridCol w:w="626"/>
        <w:gridCol w:w="640"/>
        <w:gridCol w:w="719"/>
        <w:gridCol w:w="627"/>
        <w:gridCol w:w="390"/>
        <w:gridCol w:w="532"/>
        <w:gridCol w:w="573"/>
        <w:gridCol w:w="385"/>
        <w:gridCol w:w="618"/>
        <w:gridCol w:w="941"/>
      </w:tblGrid>
      <w:tr>
        <w:trPr>
          <w:trHeight w:val="1035" w:hRule="exact"/>
        </w:trPr>
        <w:tc>
          <w:tcPr>
            <w:tcW w:w="697" w:type="dxa"/>
            <w:tcBorders>
              <w:top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line="144" w:lineRule="exact" w:before="89"/>
              <w:ind w:left="223" w:right="186" w:hanging="23"/>
              <w:rPr>
                <w:sz w:val="12"/>
              </w:rPr>
            </w:pPr>
            <w:r>
              <w:rPr>
                <w:color w:val="231F20"/>
                <w:w w:val="75"/>
                <w:sz w:val="12"/>
              </w:rPr>
              <w:t>Egresos </w:t>
            </w:r>
            <w:r>
              <w:rPr>
                <w:color w:val="231F20"/>
                <w:w w:val="80"/>
                <w:sz w:val="12"/>
              </w:rPr>
              <w:t>brutos</w:t>
            </w:r>
          </w:p>
        </w:tc>
        <w:tc>
          <w:tcPr>
            <w:tcW w:w="636"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line="144" w:lineRule="exact" w:before="89"/>
              <w:ind w:left="98" w:firstLine="38"/>
              <w:rPr>
                <w:sz w:val="12"/>
              </w:rPr>
            </w:pPr>
            <w:r>
              <w:rPr>
                <w:color w:val="231F20"/>
                <w:w w:val="80"/>
                <w:sz w:val="12"/>
              </w:rPr>
              <w:t>Servicios </w:t>
            </w:r>
            <w:r>
              <w:rPr>
                <w:color w:val="231F20"/>
                <w:w w:val="75"/>
                <w:sz w:val="12"/>
              </w:rPr>
              <w:t>personales</w:t>
            </w:r>
          </w:p>
        </w:tc>
        <w:tc>
          <w:tcPr>
            <w:tcW w:w="633"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line="144" w:lineRule="exact" w:before="89"/>
              <w:ind w:left="81" w:hanging="9"/>
              <w:rPr>
                <w:sz w:val="12"/>
              </w:rPr>
            </w:pPr>
            <w:r>
              <w:rPr>
                <w:color w:val="231F20"/>
                <w:w w:val="80"/>
                <w:sz w:val="12"/>
              </w:rPr>
              <w:t>Materiales y suministros</w:t>
            </w:r>
          </w:p>
        </w:tc>
        <w:tc>
          <w:tcPr>
            <w:tcW w:w="626"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line="144" w:lineRule="exact" w:before="89"/>
              <w:ind w:left="113" w:right="94" w:firstLine="17"/>
              <w:rPr>
                <w:sz w:val="12"/>
              </w:rPr>
            </w:pPr>
            <w:r>
              <w:rPr>
                <w:color w:val="231F20"/>
                <w:w w:val="75"/>
                <w:sz w:val="12"/>
              </w:rPr>
              <w:t>Servicios </w:t>
            </w:r>
            <w:r>
              <w:rPr>
                <w:color w:val="231F20"/>
                <w:w w:val="80"/>
                <w:sz w:val="12"/>
              </w:rPr>
              <w:t>generales</w:t>
            </w:r>
          </w:p>
        </w:tc>
        <w:tc>
          <w:tcPr>
            <w:tcW w:w="640"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spacing w:line="144" w:lineRule="exact" w:before="83"/>
              <w:ind w:left="89" w:right="87" w:hanging="1"/>
              <w:jc w:val="center"/>
              <w:rPr>
                <w:sz w:val="12"/>
              </w:rPr>
            </w:pPr>
            <w:r>
              <w:rPr>
                <w:color w:val="231F20"/>
                <w:w w:val="80"/>
                <w:sz w:val="12"/>
              </w:rPr>
              <w:t>Subsidios, </w:t>
            </w:r>
            <w:r>
              <w:rPr>
                <w:color w:val="231F20"/>
                <w:w w:val="75"/>
                <w:sz w:val="12"/>
              </w:rPr>
              <w:t>transferen- </w:t>
            </w:r>
            <w:r>
              <w:rPr>
                <w:color w:val="231F20"/>
                <w:w w:val="85"/>
                <w:sz w:val="12"/>
              </w:rPr>
              <w:t>cias</w:t>
            </w:r>
          </w:p>
          <w:p>
            <w:pPr>
              <w:pStyle w:val="TableParagraph"/>
              <w:spacing w:before="1"/>
              <w:ind w:left="120" w:right="120"/>
              <w:jc w:val="center"/>
              <w:rPr>
                <w:sz w:val="12"/>
              </w:rPr>
            </w:pPr>
            <w:r>
              <w:rPr>
                <w:color w:val="231F20"/>
                <w:w w:val="80"/>
                <w:sz w:val="12"/>
              </w:rPr>
              <w:t>y ayudas</w:t>
            </w:r>
          </w:p>
        </w:tc>
        <w:tc>
          <w:tcPr>
            <w:tcW w:w="719"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spacing w:line="144" w:lineRule="exact" w:before="83"/>
              <w:ind w:left="82" w:right="80"/>
              <w:jc w:val="center"/>
              <w:rPr>
                <w:sz w:val="12"/>
              </w:rPr>
            </w:pPr>
            <w:r>
              <w:rPr>
                <w:color w:val="231F20"/>
                <w:w w:val="75"/>
                <w:sz w:val="12"/>
              </w:rPr>
              <w:t>Adquisiciones </w:t>
            </w:r>
            <w:r>
              <w:rPr>
                <w:color w:val="231F20"/>
                <w:w w:val="85"/>
                <w:sz w:val="12"/>
              </w:rPr>
              <w:t>bienes muebles e inmuebles</w:t>
            </w:r>
          </w:p>
        </w:tc>
        <w:tc>
          <w:tcPr>
            <w:tcW w:w="627"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spacing w:line="144" w:lineRule="exact" w:before="83"/>
              <w:ind w:left="112" w:right="110"/>
              <w:jc w:val="center"/>
              <w:rPr>
                <w:sz w:val="12"/>
              </w:rPr>
            </w:pPr>
            <w:r>
              <w:rPr>
                <w:color w:val="231F20"/>
                <w:w w:val="85"/>
                <w:sz w:val="12"/>
              </w:rPr>
              <w:t>Obras </w:t>
            </w:r>
            <w:r>
              <w:rPr>
                <w:color w:val="231F20"/>
                <w:w w:val="80"/>
                <w:sz w:val="12"/>
              </w:rPr>
              <w:t>públicas y acciones </w:t>
            </w:r>
            <w:r>
              <w:rPr>
                <w:color w:val="231F20"/>
                <w:w w:val="85"/>
                <w:sz w:val="12"/>
              </w:rPr>
              <w:t>sociales</w:t>
            </w:r>
          </w:p>
        </w:tc>
        <w:tc>
          <w:tcPr>
            <w:tcW w:w="390"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spacing w:line="144" w:lineRule="exact" w:before="83"/>
              <w:ind w:left="68" w:right="65" w:firstLine="3"/>
              <w:jc w:val="both"/>
              <w:rPr>
                <w:sz w:val="12"/>
              </w:rPr>
            </w:pPr>
            <w:r>
              <w:rPr>
                <w:color w:val="231F20"/>
                <w:w w:val="80"/>
                <w:sz w:val="12"/>
              </w:rPr>
              <w:t>Inver- </w:t>
            </w:r>
            <w:r>
              <w:rPr>
                <w:color w:val="231F20"/>
                <w:w w:val="85"/>
                <w:sz w:val="12"/>
              </w:rPr>
              <w:t>sión </w:t>
            </w:r>
            <w:r>
              <w:rPr>
                <w:color w:val="231F20"/>
                <w:w w:val="80"/>
                <w:sz w:val="12"/>
              </w:rPr>
              <w:t>finan- </w:t>
            </w:r>
            <w:r>
              <w:rPr>
                <w:color w:val="231F20"/>
                <w:w w:val="85"/>
                <w:sz w:val="12"/>
              </w:rPr>
              <w:t>ciera</w:t>
            </w:r>
          </w:p>
        </w:tc>
        <w:tc>
          <w:tcPr>
            <w:tcW w:w="532" w:type="dxa"/>
            <w:tcBorders>
              <w:top w:val="single" w:sz="8" w:space="0" w:color="231F20"/>
              <w:left w:val="single" w:sz="8" w:space="0" w:color="231F20"/>
              <w:bottom w:val="single" w:sz="8" w:space="0" w:color="231F20"/>
              <w:right w:val="single" w:sz="8" w:space="0" w:color="231F20"/>
            </w:tcBorders>
          </w:tcPr>
          <w:p>
            <w:pPr>
              <w:pStyle w:val="TableParagraph"/>
              <w:spacing w:line="144" w:lineRule="exact" w:before="77"/>
              <w:ind w:left="74" w:right="73"/>
              <w:jc w:val="center"/>
              <w:rPr>
                <w:sz w:val="12"/>
              </w:rPr>
            </w:pPr>
            <w:r>
              <w:rPr>
                <w:color w:val="231F20"/>
                <w:w w:val="75"/>
                <w:sz w:val="12"/>
              </w:rPr>
              <w:t>Recursos </w:t>
            </w:r>
            <w:r>
              <w:rPr>
                <w:color w:val="231F20"/>
                <w:w w:val="85"/>
                <w:sz w:val="12"/>
              </w:rPr>
              <w:t>fede- rales y </w:t>
            </w:r>
            <w:r>
              <w:rPr>
                <w:color w:val="231F20"/>
                <w:w w:val="75"/>
                <w:sz w:val="12"/>
              </w:rPr>
              <w:t>estatales </w:t>
            </w:r>
            <w:r>
              <w:rPr>
                <w:color w:val="231F20"/>
                <w:w w:val="80"/>
                <w:sz w:val="12"/>
              </w:rPr>
              <w:t>a munici- </w:t>
            </w:r>
            <w:r>
              <w:rPr>
                <w:color w:val="231F20"/>
                <w:w w:val="85"/>
                <w:sz w:val="12"/>
              </w:rPr>
              <w:t>pios</w:t>
            </w:r>
          </w:p>
        </w:tc>
        <w:tc>
          <w:tcPr>
            <w:tcW w:w="573"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line="144" w:lineRule="exact" w:before="89"/>
              <w:ind w:left="128" w:right="124" w:firstLine="45"/>
              <w:rPr>
                <w:sz w:val="12"/>
              </w:rPr>
            </w:pPr>
            <w:r>
              <w:rPr>
                <w:color w:val="231F20"/>
                <w:w w:val="80"/>
                <w:sz w:val="12"/>
              </w:rPr>
              <w:t>Otros </w:t>
            </w:r>
            <w:r>
              <w:rPr>
                <w:color w:val="231F20"/>
                <w:w w:val="75"/>
                <w:sz w:val="12"/>
              </w:rPr>
              <w:t>egresos</w:t>
            </w:r>
          </w:p>
        </w:tc>
        <w:tc>
          <w:tcPr>
            <w:tcW w:w="385" w:type="dxa"/>
            <w:tcBorders>
              <w:top w:val="single" w:sz="8" w:space="0" w:color="231F20"/>
              <w:left w:val="single" w:sz="8" w:space="0" w:color="231F20"/>
              <w:bottom w:val="single" w:sz="8" w:space="0" w:color="231F20"/>
              <w:right w:val="single" w:sz="8" w:space="0" w:color="231F20"/>
            </w:tcBorders>
          </w:tcPr>
          <w:p>
            <w:pPr>
              <w:pStyle w:val="TableParagraph"/>
              <w:spacing w:before="11"/>
              <w:ind w:left="0"/>
              <w:rPr>
                <w:rFonts w:ascii="Times New Roman"/>
                <w:b/>
                <w:sz w:val="12"/>
              </w:rPr>
            </w:pPr>
          </w:p>
          <w:p>
            <w:pPr>
              <w:pStyle w:val="TableParagraph"/>
              <w:spacing w:line="144" w:lineRule="exact"/>
              <w:ind w:left="68" w:right="65" w:hanging="1"/>
              <w:jc w:val="center"/>
              <w:rPr>
                <w:sz w:val="12"/>
              </w:rPr>
            </w:pPr>
            <w:r>
              <w:rPr>
                <w:color w:val="231F20"/>
                <w:w w:val="85"/>
                <w:sz w:val="12"/>
              </w:rPr>
              <w:t>Por </w:t>
            </w:r>
            <w:r>
              <w:rPr>
                <w:color w:val="231F20"/>
                <w:w w:val="80"/>
                <w:sz w:val="12"/>
              </w:rPr>
              <w:t>cuen- </w:t>
            </w:r>
            <w:r>
              <w:rPr>
                <w:color w:val="231F20"/>
                <w:w w:val="85"/>
                <w:sz w:val="12"/>
              </w:rPr>
              <w:t>ta de </w:t>
            </w:r>
            <w:r>
              <w:rPr>
                <w:color w:val="231F20"/>
                <w:w w:val="75"/>
                <w:sz w:val="12"/>
              </w:rPr>
              <w:t>terce- </w:t>
            </w:r>
            <w:r>
              <w:rPr>
                <w:color w:val="231F20"/>
                <w:w w:val="85"/>
                <w:sz w:val="12"/>
              </w:rPr>
              <w:t>ros</w:t>
            </w:r>
          </w:p>
        </w:tc>
        <w:tc>
          <w:tcPr>
            <w:tcW w:w="618"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line="144" w:lineRule="exact" w:before="89"/>
              <w:ind w:left="156" w:right="139" w:firstLine="18"/>
              <w:rPr>
                <w:sz w:val="12"/>
              </w:rPr>
            </w:pPr>
            <w:r>
              <w:rPr>
                <w:color w:val="231F20"/>
                <w:w w:val="80"/>
                <w:sz w:val="12"/>
              </w:rPr>
              <w:t>Deuda pública</w:t>
            </w:r>
          </w:p>
        </w:tc>
        <w:tc>
          <w:tcPr>
            <w:tcW w:w="941" w:type="dxa"/>
            <w:tcBorders>
              <w:top w:val="single" w:sz="8" w:space="0" w:color="231F20"/>
              <w:left w:val="single" w:sz="8" w:space="0" w:color="231F20"/>
              <w:bottom w:val="single" w:sz="8" w:space="0" w:color="231F20"/>
              <w:right w:val="single" w:sz="8" w:space="0" w:color="231F20"/>
            </w:tcBorders>
          </w:tcPr>
          <w:p>
            <w:pPr>
              <w:pStyle w:val="TableParagraph"/>
              <w:ind w:left="0"/>
              <w:rPr>
                <w:rFonts w:ascii="Times New Roman"/>
                <w:b/>
                <w:sz w:val="12"/>
              </w:rPr>
            </w:pPr>
          </w:p>
          <w:p>
            <w:pPr>
              <w:pStyle w:val="TableParagraph"/>
              <w:ind w:left="0"/>
              <w:rPr>
                <w:rFonts w:ascii="Times New Roman"/>
                <w:b/>
                <w:sz w:val="12"/>
              </w:rPr>
            </w:pPr>
          </w:p>
          <w:p>
            <w:pPr>
              <w:pStyle w:val="TableParagraph"/>
              <w:spacing w:before="1"/>
              <w:ind w:left="0"/>
              <w:rPr>
                <w:rFonts w:ascii="Times New Roman"/>
                <w:b/>
                <w:sz w:val="14"/>
              </w:rPr>
            </w:pPr>
          </w:p>
          <w:p>
            <w:pPr>
              <w:pStyle w:val="TableParagraph"/>
              <w:ind w:left="100" w:right="100"/>
              <w:jc w:val="center"/>
              <w:rPr>
                <w:sz w:val="12"/>
              </w:rPr>
            </w:pPr>
            <w:r>
              <w:rPr>
                <w:color w:val="231F20"/>
                <w:w w:val="85"/>
                <w:sz w:val="12"/>
              </w:rPr>
              <w:t>Disponibilidades</w:t>
            </w:r>
          </w:p>
        </w:tc>
      </w:tr>
      <w:tr>
        <w:trPr>
          <w:trHeight w:val="415" w:hRule="exact"/>
        </w:trPr>
        <w:tc>
          <w:tcPr>
            <w:tcW w:w="697" w:type="dxa"/>
            <w:tcBorders>
              <w:top w:val="single" w:sz="8" w:space="0" w:color="231F20"/>
            </w:tcBorders>
          </w:tcPr>
          <w:p>
            <w:pPr>
              <w:pStyle w:val="TableParagraph"/>
              <w:spacing w:before="3"/>
              <w:ind w:left="0"/>
              <w:rPr>
                <w:rFonts w:ascii="Times New Roman"/>
                <w:b/>
                <w:sz w:val="15"/>
              </w:rPr>
            </w:pPr>
          </w:p>
          <w:p>
            <w:pPr>
              <w:pStyle w:val="TableParagraph"/>
              <w:ind w:left="31" w:right="31"/>
              <w:jc w:val="center"/>
              <w:rPr>
                <w:sz w:val="12"/>
              </w:rPr>
            </w:pPr>
            <w:r>
              <w:rPr>
                <w:color w:val="231F20"/>
                <w:w w:val="85"/>
                <w:sz w:val="12"/>
              </w:rPr>
              <w:t>1,656,985,089</w:t>
            </w:r>
          </w:p>
        </w:tc>
        <w:tc>
          <w:tcPr>
            <w:tcW w:w="636" w:type="dxa"/>
            <w:tcBorders>
              <w:top w:val="single" w:sz="8" w:space="0" w:color="231F20"/>
            </w:tcBorders>
          </w:tcPr>
          <w:p>
            <w:pPr>
              <w:pStyle w:val="TableParagraph"/>
              <w:spacing w:before="3"/>
              <w:ind w:left="0"/>
              <w:rPr>
                <w:rFonts w:ascii="Times New Roman"/>
                <w:b/>
                <w:sz w:val="15"/>
              </w:rPr>
            </w:pPr>
          </w:p>
          <w:p>
            <w:pPr>
              <w:pStyle w:val="TableParagraph"/>
              <w:ind w:left="38" w:right="38"/>
              <w:jc w:val="center"/>
              <w:rPr>
                <w:sz w:val="12"/>
              </w:rPr>
            </w:pPr>
            <w:r>
              <w:rPr>
                <w:color w:val="231F20"/>
                <w:w w:val="85"/>
                <w:sz w:val="12"/>
              </w:rPr>
              <w:t>768,470,367</w:t>
            </w:r>
          </w:p>
        </w:tc>
        <w:tc>
          <w:tcPr>
            <w:tcW w:w="633" w:type="dxa"/>
            <w:tcBorders>
              <w:top w:val="single" w:sz="8" w:space="0" w:color="231F20"/>
            </w:tcBorders>
          </w:tcPr>
          <w:p>
            <w:pPr>
              <w:pStyle w:val="TableParagraph"/>
              <w:spacing w:before="3"/>
              <w:ind w:left="0"/>
              <w:rPr>
                <w:rFonts w:ascii="Times New Roman"/>
                <w:b/>
                <w:sz w:val="15"/>
              </w:rPr>
            </w:pPr>
          </w:p>
          <w:p>
            <w:pPr>
              <w:pStyle w:val="TableParagraph"/>
              <w:ind w:left="102"/>
              <w:rPr>
                <w:sz w:val="12"/>
              </w:rPr>
            </w:pPr>
            <w:r>
              <w:rPr>
                <w:color w:val="231F20"/>
                <w:w w:val="85"/>
                <w:sz w:val="12"/>
              </w:rPr>
              <w:t>80,042,476</w:t>
            </w:r>
          </w:p>
        </w:tc>
        <w:tc>
          <w:tcPr>
            <w:tcW w:w="626" w:type="dxa"/>
            <w:tcBorders>
              <w:top w:val="single" w:sz="8" w:space="0" w:color="231F20"/>
            </w:tcBorders>
          </w:tcPr>
          <w:p>
            <w:pPr>
              <w:pStyle w:val="TableParagraph"/>
              <w:spacing w:before="3"/>
              <w:ind w:left="0"/>
              <w:rPr>
                <w:rFonts w:ascii="Times New Roman"/>
                <w:b/>
                <w:sz w:val="15"/>
              </w:rPr>
            </w:pPr>
          </w:p>
          <w:p>
            <w:pPr>
              <w:pStyle w:val="TableParagraph"/>
              <w:ind w:left="33" w:right="33"/>
              <w:jc w:val="center"/>
              <w:rPr>
                <w:sz w:val="12"/>
              </w:rPr>
            </w:pPr>
            <w:r>
              <w:rPr>
                <w:color w:val="231F20"/>
                <w:w w:val="85"/>
                <w:sz w:val="12"/>
              </w:rPr>
              <w:t>145,564,342</w:t>
            </w:r>
          </w:p>
        </w:tc>
        <w:tc>
          <w:tcPr>
            <w:tcW w:w="640" w:type="dxa"/>
            <w:tcBorders>
              <w:top w:val="single" w:sz="8" w:space="0" w:color="231F20"/>
            </w:tcBorders>
          </w:tcPr>
          <w:p>
            <w:pPr>
              <w:pStyle w:val="TableParagraph"/>
              <w:spacing w:before="3"/>
              <w:ind w:left="0"/>
              <w:rPr>
                <w:rFonts w:ascii="Times New Roman"/>
                <w:b/>
                <w:sz w:val="15"/>
              </w:rPr>
            </w:pPr>
          </w:p>
          <w:p>
            <w:pPr>
              <w:pStyle w:val="TableParagraph"/>
              <w:ind w:left="0" w:right="87"/>
              <w:jc w:val="right"/>
              <w:rPr>
                <w:sz w:val="12"/>
              </w:rPr>
            </w:pPr>
            <w:r>
              <w:rPr>
                <w:color w:val="231F20"/>
                <w:w w:val="75"/>
                <w:sz w:val="12"/>
              </w:rPr>
              <w:t>127,853,518</w:t>
            </w:r>
          </w:p>
        </w:tc>
        <w:tc>
          <w:tcPr>
            <w:tcW w:w="719" w:type="dxa"/>
            <w:tcBorders>
              <w:top w:val="single" w:sz="8" w:space="0" w:color="231F20"/>
            </w:tcBorders>
          </w:tcPr>
          <w:p>
            <w:pPr>
              <w:pStyle w:val="TableParagraph"/>
              <w:spacing w:before="3"/>
              <w:ind w:left="0"/>
              <w:rPr>
                <w:rFonts w:ascii="Times New Roman"/>
                <w:b/>
                <w:sz w:val="15"/>
              </w:rPr>
            </w:pPr>
          </w:p>
          <w:p>
            <w:pPr>
              <w:pStyle w:val="TableParagraph"/>
              <w:ind w:left="81" w:right="81"/>
              <w:jc w:val="center"/>
              <w:rPr>
                <w:sz w:val="12"/>
              </w:rPr>
            </w:pPr>
            <w:r>
              <w:rPr>
                <w:color w:val="231F20"/>
                <w:w w:val="85"/>
                <w:sz w:val="12"/>
              </w:rPr>
              <w:t>68,412,661</w:t>
            </w:r>
          </w:p>
        </w:tc>
        <w:tc>
          <w:tcPr>
            <w:tcW w:w="627" w:type="dxa"/>
            <w:tcBorders>
              <w:top w:val="single" w:sz="8" w:space="0" w:color="231F20"/>
            </w:tcBorders>
          </w:tcPr>
          <w:p>
            <w:pPr>
              <w:pStyle w:val="TableParagraph"/>
              <w:spacing w:before="3"/>
              <w:ind w:left="0"/>
              <w:rPr>
                <w:rFonts w:ascii="Times New Roman"/>
                <w:b/>
                <w:sz w:val="15"/>
              </w:rPr>
            </w:pPr>
          </w:p>
          <w:p>
            <w:pPr>
              <w:pStyle w:val="TableParagraph"/>
              <w:ind w:left="35" w:right="35"/>
              <w:jc w:val="center"/>
              <w:rPr>
                <w:sz w:val="12"/>
              </w:rPr>
            </w:pPr>
            <w:r>
              <w:rPr>
                <w:color w:val="231F20"/>
                <w:w w:val="85"/>
                <w:sz w:val="12"/>
              </w:rPr>
              <w:t>218,889,898</w:t>
            </w:r>
          </w:p>
        </w:tc>
        <w:tc>
          <w:tcPr>
            <w:tcW w:w="390" w:type="dxa"/>
            <w:tcBorders>
              <w:top w:val="single" w:sz="8" w:space="0" w:color="231F20"/>
            </w:tcBorders>
          </w:tcPr>
          <w:p>
            <w:pPr>
              <w:pStyle w:val="TableParagraph"/>
              <w:spacing w:before="3"/>
              <w:ind w:left="0"/>
              <w:rPr>
                <w:rFonts w:ascii="Times New Roman"/>
                <w:b/>
                <w:sz w:val="15"/>
              </w:rPr>
            </w:pPr>
          </w:p>
          <w:p>
            <w:pPr>
              <w:pStyle w:val="TableParagraph"/>
              <w:ind w:left="0"/>
              <w:jc w:val="center"/>
              <w:rPr>
                <w:sz w:val="12"/>
              </w:rPr>
            </w:pPr>
            <w:r>
              <w:rPr>
                <w:color w:val="231F20"/>
                <w:w w:val="75"/>
                <w:sz w:val="12"/>
              </w:rPr>
              <w:t>0</w:t>
            </w:r>
          </w:p>
        </w:tc>
        <w:tc>
          <w:tcPr>
            <w:tcW w:w="532" w:type="dxa"/>
            <w:tcBorders>
              <w:top w:val="single" w:sz="8" w:space="0" w:color="231F20"/>
            </w:tcBorders>
          </w:tcPr>
          <w:p>
            <w:pPr>
              <w:pStyle w:val="TableParagraph"/>
              <w:spacing w:before="3"/>
              <w:ind w:left="0"/>
              <w:rPr>
                <w:rFonts w:ascii="Times New Roman"/>
                <w:b/>
                <w:sz w:val="15"/>
              </w:rPr>
            </w:pPr>
          </w:p>
          <w:p>
            <w:pPr>
              <w:pStyle w:val="TableParagraph"/>
              <w:ind w:left="0"/>
              <w:jc w:val="center"/>
              <w:rPr>
                <w:sz w:val="12"/>
              </w:rPr>
            </w:pPr>
            <w:r>
              <w:rPr>
                <w:color w:val="231F20"/>
                <w:w w:val="75"/>
                <w:sz w:val="12"/>
              </w:rPr>
              <w:t>0</w:t>
            </w:r>
          </w:p>
        </w:tc>
        <w:tc>
          <w:tcPr>
            <w:tcW w:w="573" w:type="dxa"/>
            <w:tcBorders>
              <w:top w:val="single" w:sz="8" w:space="0" w:color="231F20"/>
            </w:tcBorders>
          </w:tcPr>
          <w:p>
            <w:pPr>
              <w:pStyle w:val="TableParagraph"/>
              <w:spacing w:before="3"/>
              <w:ind w:left="0"/>
              <w:rPr>
                <w:rFonts w:ascii="Times New Roman"/>
                <w:b/>
                <w:sz w:val="15"/>
              </w:rPr>
            </w:pPr>
          </w:p>
          <w:p>
            <w:pPr>
              <w:pStyle w:val="TableParagraph"/>
              <w:ind w:left="0"/>
              <w:jc w:val="center"/>
              <w:rPr>
                <w:sz w:val="12"/>
              </w:rPr>
            </w:pPr>
            <w:r>
              <w:rPr>
                <w:color w:val="231F20"/>
                <w:w w:val="75"/>
                <w:sz w:val="12"/>
              </w:rPr>
              <w:t>0</w:t>
            </w:r>
          </w:p>
        </w:tc>
        <w:tc>
          <w:tcPr>
            <w:tcW w:w="385" w:type="dxa"/>
            <w:tcBorders>
              <w:top w:val="single" w:sz="8" w:space="0" w:color="231F20"/>
            </w:tcBorders>
          </w:tcPr>
          <w:p>
            <w:pPr>
              <w:pStyle w:val="TableParagraph"/>
              <w:spacing w:before="3"/>
              <w:ind w:left="0"/>
              <w:rPr>
                <w:rFonts w:ascii="Times New Roman"/>
                <w:b/>
                <w:sz w:val="15"/>
              </w:rPr>
            </w:pPr>
          </w:p>
          <w:p>
            <w:pPr>
              <w:pStyle w:val="TableParagraph"/>
              <w:ind w:left="0"/>
              <w:jc w:val="center"/>
              <w:rPr>
                <w:sz w:val="12"/>
              </w:rPr>
            </w:pPr>
            <w:r>
              <w:rPr>
                <w:color w:val="231F20"/>
                <w:w w:val="75"/>
                <w:sz w:val="12"/>
              </w:rPr>
              <w:t>0</w:t>
            </w:r>
          </w:p>
        </w:tc>
        <w:tc>
          <w:tcPr>
            <w:tcW w:w="618" w:type="dxa"/>
            <w:tcBorders>
              <w:top w:val="single" w:sz="8" w:space="0" w:color="231F20"/>
            </w:tcBorders>
          </w:tcPr>
          <w:p>
            <w:pPr>
              <w:pStyle w:val="TableParagraph"/>
              <w:spacing w:before="3"/>
              <w:ind w:left="0"/>
              <w:rPr>
                <w:rFonts w:ascii="Times New Roman"/>
                <w:b/>
                <w:sz w:val="15"/>
              </w:rPr>
            </w:pPr>
          </w:p>
          <w:p>
            <w:pPr>
              <w:pStyle w:val="TableParagraph"/>
              <w:ind w:left="30" w:right="30"/>
              <w:jc w:val="center"/>
              <w:rPr>
                <w:sz w:val="12"/>
              </w:rPr>
            </w:pPr>
            <w:r>
              <w:rPr>
                <w:color w:val="231F20"/>
                <w:w w:val="85"/>
                <w:sz w:val="12"/>
              </w:rPr>
              <w:t>115,808,364</w:t>
            </w:r>
          </w:p>
        </w:tc>
        <w:tc>
          <w:tcPr>
            <w:tcW w:w="941" w:type="dxa"/>
            <w:tcBorders>
              <w:top w:val="single" w:sz="8" w:space="0" w:color="231F20"/>
              <w:right w:val="single" w:sz="8" w:space="0" w:color="231F20"/>
            </w:tcBorders>
          </w:tcPr>
          <w:p>
            <w:pPr>
              <w:pStyle w:val="TableParagraph"/>
              <w:spacing w:before="3"/>
              <w:ind w:left="0"/>
              <w:rPr>
                <w:rFonts w:ascii="Times New Roman"/>
                <w:b/>
                <w:sz w:val="15"/>
              </w:rPr>
            </w:pPr>
          </w:p>
          <w:p>
            <w:pPr>
              <w:pStyle w:val="TableParagraph"/>
              <w:ind w:left="191" w:right="181"/>
              <w:jc w:val="center"/>
              <w:rPr>
                <w:sz w:val="12"/>
              </w:rPr>
            </w:pPr>
            <w:r>
              <w:rPr>
                <w:color w:val="231F20"/>
                <w:w w:val="85"/>
                <w:sz w:val="12"/>
              </w:rPr>
              <w:t>131,943,463</w:t>
            </w:r>
          </w:p>
        </w:tc>
      </w:tr>
      <w:tr>
        <w:trPr>
          <w:trHeight w:val="300" w:hRule="exact"/>
        </w:trPr>
        <w:tc>
          <w:tcPr>
            <w:tcW w:w="697" w:type="dxa"/>
          </w:tcPr>
          <w:p>
            <w:pPr>
              <w:pStyle w:val="TableParagraph"/>
              <w:spacing w:before="70"/>
              <w:ind w:left="31" w:right="31"/>
              <w:jc w:val="center"/>
              <w:rPr>
                <w:sz w:val="12"/>
              </w:rPr>
            </w:pPr>
            <w:r>
              <w:rPr>
                <w:color w:val="231F20"/>
                <w:w w:val="80"/>
                <w:sz w:val="12"/>
              </w:rPr>
              <w:t>1,601,098,470</w:t>
            </w:r>
          </w:p>
        </w:tc>
        <w:tc>
          <w:tcPr>
            <w:tcW w:w="636" w:type="dxa"/>
          </w:tcPr>
          <w:p>
            <w:pPr>
              <w:pStyle w:val="TableParagraph"/>
              <w:spacing w:before="70"/>
              <w:ind w:left="38" w:right="38"/>
              <w:jc w:val="center"/>
              <w:rPr>
                <w:sz w:val="12"/>
              </w:rPr>
            </w:pPr>
            <w:r>
              <w:rPr>
                <w:color w:val="231F20"/>
                <w:w w:val="85"/>
                <w:sz w:val="12"/>
              </w:rPr>
              <w:t>673,099,077</w:t>
            </w:r>
          </w:p>
        </w:tc>
        <w:tc>
          <w:tcPr>
            <w:tcW w:w="633" w:type="dxa"/>
          </w:tcPr>
          <w:p>
            <w:pPr>
              <w:pStyle w:val="TableParagraph"/>
              <w:spacing w:before="70"/>
              <w:ind w:left="102"/>
              <w:rPr>
                <w:sz w:val="12"/>
              </w:rPr>
            </w:pPr>
            <w:r>
              <w:rPr>
                <w:color w:val="231F20"/>
                <w:w w:val="85"/>
                <w:sz w:val="12"/>
              </w:rPr>
              <w:t>68,289,320</w:t>
            </w:r>
          </w:p>
        </w:tc>
        <w:tc>
          <w:tcPr>
            <w:tcW w:w="626" w:type="dxa"/>
          </w:tcPr>
          <w:p>
            <w:pPr>
              <w:pStyle w:val="TableParagraph"/>
              <w:spacing w:before="70"/>
              <w:ind w:left="33" w:right="33"/>
              <w:jc w:val="center"/>
              <w:rPr>
                <w:sz w:val="12"/>
              </w:rPr>
            </w:pPr>
            <w:r>
              <w:rPr>
                <w:color w:val="231F20"/>
                <w:w w:val="85"/>
                <w:sz w:val="12"/>
              </w:rPr>
              <w:t>196,445,770</w:t>
            </w:r>
          </w:p>
        </w:tc>
        <w:tc>
          <w:tcPr>
            <w:tcW w:w="640" w:type="dxa"/>
          </w:tcPr>
          <w:p>
            <w:pPr>
              <w:pStyle w:val="TableParagraph"/>
              <w:spacing w:before="70"/>
              <w:ind w:left="0" w:right="83"/>
              <w:jc w:val="right"/>
              <w:rPr>
                <w:sz w:val="12"/>
              </w:rPr>
            </w:pPr>
            <w:r>
              <w:rPr>
                <w:color w:val="231F20"/>
                <w:w w:val="75"/>
                <w:sz w:val="12"/>
              </w:rPr>
              <w:t>109,461,556</w:t>
            </w:r>
          </w:p>
        </w:tc>
        <w:tc>
          <w:tcPr>
            <w:tcW w:w="719" w:type="dxa"/>
          </w:tcPr>
          <w:p>
            <w:pPr>
              <w:pStyle w:val="TableParagraph"/>
              <w:spacing w:before="70"/>
              <w:ind w:left="81" w:right="81"/>
              <w:jc w:val="center"/>
              <w:rPr>
                <w:sz w:val="12"/>
              </w:rPr>
            </w:pPr>
            <w:r>
              <w:rPr>
                <w:color w:val="231F20"/>
                <w:w w:val="85"/>
                <w:sz w:val="12"/>
              </w:rPr>
              <w:t>101,661,076</w:t>
            </w:r>
          </w:p>
        </w:tc>
        <w:tc>
          <w:tcPr>
            <w:tcW w:w="627" w:type="dxa"/>
          </w:tcPr>
          <w:p>
            <w:pPr>
              <w:pStyle w:val="TableParagraph"/>
              <w:spacing w:before="70"/>
              <w:ind w:left="35" w:right="35"/>
              <w:jc w:val="center"/>
              <w:rPr>
                <w:sz w:val="12"/>
              </w:rPr>
            </w:pPr>
            <w:r>
              <w:rPr>
                <w:color w:val="231F20"/>
                <w:w w:val="85"/>
                <w:sz w:val="12"/>
              </w:rPr>
              <w:t>126,972,231</w:t>
            </w:r>
          </w:p>
        </w:tc>
        <w:tc>
          <w:tcPr>
            <w:tcW w:w="390" w:type="dxa"/>
          </w:tcPr>
          <w:p>
            <w:pPr>
              <w:pStyle w:val="TableParagraph"/>
              <w:spacing w:before="70"/>
              <w:ind w:left="0"/>
              <w:jc w:val="center"/>
              <w:rPr>
                <w:sz w:val="12"/>
              </w:rPr>
            </w:pPr>
            <w:r>
              <w:rPr>
                <w:color w:val="231F20"/>
                <w:w w:val="75"/>
                <w:sz w:val="12"/>
              </w:rPr>
              <w:t>0</w:t>
            </w:r>
          </w:p>
        </w:tc>
        <w:tc>
          <w:tcPr>
            <w:tcW w:w="532" w:type="dxa"/>
          </w:tcPr>
          <w:p>
            <w:pPr>
              <w:pStyle w:val="TableParagraph"/>
              <w:spacing w:before="70"/>
              <w:ind w:left="0"/>
              <w:jc w:val="center"/>
              <w:rPr>
                <w:sz w:val="12"/>
              </w:rPr>
            </w:pPr>
            <w:r>
              <w:rPr>
                <w:color w:val="231F20"/>
                <w:w w:val="75"/>
                <w:sz w:val="12"/>
              </w:rPr>
              <w:t>0</w:t>
            </w:r>
          </w:p>
        </w:tc>
        <w:tc>
          <w:tcPr>
            <w:tcW w:w="573" w:type="dxa"/>
          </w:tcPr>
          <w:p>
            <w:pPr>
              <w:pStyle w:val="TableParagraph"/>
              <w:spacing w:before="70"/>
              <w:ind w:left="34" w:right="34"/>
              <w:jc w:val="center"/>
              <w:rPr>
                <w:sz w:val="12"/>
              </w:rPr>
            </w:pPr>
            <w:r>
              <w:rPr>
                <w:color w:val="231F20"/>
                <w:w w:val="85"/>
                <w:sz w:val="12"/>
              </w:rPr>
              <w:t>42,451,217</w:t>
            </w:r>
          </w:p>
        </w:tc>
        <w:tc>
          <w:tcPr>
            <w:tcW w:w="385" w:type="dxa"/>
          </w:tcPr>
          <w:p>
            <w:pPr>
              <w:pStyle w:val="TableParagraph"/>
              <w:spacing w:before="70"/>
              <w:ind w:left="0"/>
              <w:jc w:val="center"/>
              <w:rPr>
                <w:sz w:val="12"/>
              </w:rPr>
            </w:pPr>
            <w:r>
              <w:rPr>
                <w:color w:val="231F20"/>
                <w:w w:val="75"/>
                <w:sz w:val="12"/>
              </w:rPr>
              <w:t>0</w:t>
            </w:r>
          </w:p>
        </w:tc>
        <w:tc>
          <w:tcPr>
            <w:tcW w:w="618" w:type="dxa"/>
          </w:tcPr>
          <w:p>
            <w:pPr>
              <w:pStyle w:val="TableParagraph"/>
              <w:spacing w:before="70"/>
              <w:ind w:left="30" w:right="30"/>
              <w:jc w:val="center"/>
              <w:rPr>
                <w:sz w:val="12"/>
              </w:rPr>
            </w:pPr>
            <w:r>
              <w:rPr>
                <w:color w:val="231F20"/>
                <w:w w:val="80"/>
                <w:sz w:val="12"/>
              </w:rPr>
              <w:t>150,159,828</w:t>
            </w:r>
          </w:p>
        </w:tc>
        <w:tc>
          <w:tcPr>
            <w:tcW w:w="941" w:type="dxa"/>
            <w:tcBorders>
              <w:right w:val="single" w:sz="8" w:space="0" w:color="231F20"/>
            </w:tcBorders>
          </w:tcPr>
          <w:p>
            <w:pPr>
              <w:pStyle w:val="TableParagraph"/>
              <w:spacing w:before="70"/>
              <w:ind w:left="191" w:right="180"/>
              <w:jc w:val="center"/>
              <w:rPr>
                <w:sz w:val="12"/>
              </w:rPr>
            </w:pPr>
            <w:r>
              <w:rPr>
                <w:color w:val="231F20"/>
                <w:w w:val="85"/>
                <w:sz w:val="12"/>
              </w:rPr>
              <w:t>132,558,395</w:t>
            </w:r>
          </w:p>
        </w:tc>
      </w:tr>
      <w:tr>
        <w:trPr>
          <w:trHeight w:val="300" w:hRule="exact"/>
        </w:trPr>
        <w:tc>
          <w:tcPr>
            <w:tcW w:w="697" w:type="dxa"/>
          </w:tcPr>
          <w:p>
            <w:pPr>
              <w:pStyle w:val="TableParagraph"/>
              <w:spacing w:before="70"/>
              <w:ind w:left="31" w:right="31"/>
              <w:jc w:val="center"/>
              <w:rPr>
                <w:sz w:val="12"/>
              </w:rPr>
            </w:pPr>
            <w:r>
              <w:rPr>
                <w:color w:val="231F20"/>
                <w:w w:val="80"/>
                <w:sz w:val="12"/>
              </w:rPr>
              <w:t>1,449,197,868</w:t>
            </w:r>
          </w:p>
        </w:tc>
        <w:tc>
          <w:tcPr>
            <w:tcW w:w="636" w:type="dxa"/>
          </w:tcPr>
          <w:p>
            <w:pPr>
              <w:pStyle w:val="TableParagraph"/>
              <w:spacing w:before="70"/>
              <w:ind w:left="38" w:right="38"/>
              <w:jc w:val="center"/>
              <w:rPr>
                <w:sz w:val="12"/>
              </w:rPr>
            </w:pPr>
            <w:r>
              <w:rPr>
                <w:color w:val="231F20"/>
                <w:w w:val="85"/>
                <w:sz w:val="12"/>
              </w:rPr>
              <w:t>602,004,545</w:t>
            </w:r>
          </w:p>
        </w:tc>
        <w:tc>
          <w:tcPr>
            <w:tcW w:w="633" w:type="dxa"/>
          </w:tcPr>
          <w:p>
            <w:pPr>
              <w:pStyle w:val="TableParagraph"/>
              <w:spacing w:before="70"/>
              <w:ind w:left="106"/>
              <w:rPr>
                <w:sz w:val="12"/>
              </w:rPr>
            </w:pPr>
            <w:r>
              <w:rPr>
                <w:color w:val="231F20"/>
                <w:w w:val="85"/>
                <w:sz w:val="12"/>
              </w:rPr>
              <w:t>57,071,447</w:t>
            </w:r>
          </w:p>
        </w:tc>
        <w:tc>
          <w:tcPr>
            <w:tcW w:w="626" w:type="dxa"/>
          </w:tcPr>
          <w:p>
            <w:pPr>
              <w:pStyle w:val="TableParagraph"/>
              <w:spacing w:before="70"/>
              <w:ind w:left="33" w:right="33"/>
              <w:jc w:val="center"/>
              <w:rPr>
                <w:sz w:val="12"/>
              </w:rPr>
            </w:pPr>
            <w:r>
              <w:rPr>
                <w:color w:val="231F20"/>
                <w:w w:val="85"/>
                <w:sz w:val="12"/>
              </w:rPr>
              <w:t>205,294,839</w:t>
            </w:r>
          </w:p>
        </w:tc>
        <w:tc>
          <w:tcPr>
            <w:tcW w:w="640" w:type="dxa"/>
          </w:tcPr>
          <w:p>
            <w:pPr>
              <w:pStyle w:val="TableParagraph"/>
              <w:spacing w:before="70"/>
              <w:ind w:left="0" w:right="81"/>
              <w:jc w:val="right"/>
              <w:rPr>
                <w:sz w:val="12"/>
              </w:rPr>
            </w:pPr>
            <w:r>
              <w:rPr>
                <w:color w:val="231F20"/>
                <w:w w:val="75"/>
                <w:sz w:val="12"/>
              </w:rPr>
              <w:t>100,601,037</w:t>
            </w:r>
          </w:p>
        </w:tc>
        <w:tc>
          <w:tcPr>
            <w:tcW w:w="719" w:type="dxa"/>
          </w:tcPr>
          <w:p>
            <w:pPr>
              <w:pStyle w:val="TableParagraph"/>
              <w:spacing w:before="70"/>
              <w:ind w:left="81" w:right="81"/>
              <w:jc w:val="center"/>
              <w:rPr>
                <w:sz w:val="12"/>
              </w:rPr>
            </w:pPr>
            <w:r>
              <w:rPr>
                <w:color w:val="231F20"/>
                <w:w w:val="85"/>
                <w:sz w:val="12"/>
              </w:rPr>
              <w:t>1,894,230</w:t>
            </w:r>
          </w:p>
        </w:tc>
        <w:tc>
          <w:tcPr>
            <w:tcW w:w="627" w:type="dxa"/>
          </w:tcPr>
          <w:p>
            <w:pPr>
              <w:pStyle w:val="TableParagraph"/>
              <w:spacing w:before="70"/>
              <w:ind w:left="35" w:right="35"/>
              <w:jc w:val="center"/>
              <w:rPr>
                <w:sz w:val="12"/>
              </w:rPr>
            </w:pPr>
            <w:r>
              <w:rPr>
                <w:color w:val="231F20"/>
                <w:w w:val="80"/>
                <w:sz w:val="12"/>
              </w:rPr>
              <w:t>113,187,016</w:t>
            </w:r>
          </w:p>
        </w:tc>
        <w:tc>
          <w:tcPr>
            <w:tcW w:w="390" w:type="dxa"/>
          </w:tcPr>
          <w:p>
            <w:pPr>
              <w:pStyle w:val="TableParagraph"/>
              <w:spacing w:before="70"/>
              <w:ind w:left="0"/>
              <w:jc w:val="center"/>
              <w:rPr>
                <w:sz w:val="12"/>
              </w:rPr>
            </w:pPr>
            <w:r>
              <w:rPr>
                <w:color w:val="231F20"/>
                <w:w w:val="75"/>
                <w:sz w:val="12"/>
              </w:rPr>
              <w:t>0</w:t>
            </w:r>
          </w:p>
        </w:tc>
        <w:tc>
          <w:tcPr>
            <w:tcW w:w="532" w:type="dxa"/>
          </w:tcPr>
          <w:p>
            <w:pPr>
              <w:pStyle w:val="TableParagraph"/>
              <w:spacing w:before="70"/>
              <w:ind w:left="0"/>
              <w:jc w:val="center"/>
              <w:rPr>
                <w:sz w:val="12"/>
              </w:rPr>
            </w:pPr>
            <w:r>
              <w:rPr>
                <w:color w:val="231F20"/>
                <w:w w:val="75"/>
                <w:sz w:val="12"/>
              </w:rPr>
              <w:t>0</w:t>
            </w:r>
          </w:p>
        </w:tc>
        <w:tc>
          <w:tcPr>
            <w:tcW w:w="573" w:type="dxa"/>
          </w:tcPr>
          <w:p>
            <w:pPr>
              <w:pStyle w:val="TableParagraph"/>
              <w:spacing w:before="70"/>
              <w:ind w:left="34" w:right="34"/>
              <w:jc w:val="center"/>
              <w:rPr>
                <w:sz w:val="12"/>
              </w:rPr>
            </w:pPr>
            <w:r>
              <w:rPr>
                <w:color w:val="231F20"/>
                <w:w w:val="85"/>
                <w:sz w:val="12"/>
              </w:rPr>
              <w:t>18,337</w:t>
            </w:r>
          </w:p>
        </w:tc>
        <w:tc>
          <w:tcPr>
            <w:tcW w:w="385" w:type="dxa"/>
          </w:tcPr>
          <w:p>
            <w:pPr>
              <w:pStyle w:val="TableParagraph"/>
              <w:spacing w:before="70"/>
              <w:ind w:left="0"/>
              <w:jc w:val="center"/>
              <w:rPr>
                <w:sz w:val="12"/>
              </w:rPr>
            </w:pPr>
            <w:r>
              <w:rPr>
                <w:color w:val="231F20"/>
                <w:w w:val="75"/>
                <w:sz w:val="12"/>
              </w:rPr>
              <w:t>0</w:t>
            </w:r>
          </w:p>
        </w:tc>
        <w:tc>
          <w:tcPr>
            <w:tcW w:w="618" w:type="dxa"/>
          </w:tcPr>
          <w:p>
            <w:pPr>
              <w:pStyle w:val="TableParagraph"/>
              <w:spacing w:before="70"/>
              <w:ind w:left="30" w:right="30"/>
              <w:jc w:val="center"/>
              <w:rPr>
                <w:sz w:val="12"/>
              </w:rPr>
            </w:pPr>
            <w:r>
              <w:rPr>
                <w:color w:val="231F20"/>
                <w:w w:val="80"/>
                <w:sz w:val="12"/>
              </w:rPr>
              <w:t>196,159,103</w:t>
            </w:r>
          </w:p>
        </w:tc>
        <w:tc>
          <w:tcPr>
            <w:tcW w:w="941" w:type="dxa"/>
            <w:tcBorders>
              <w:right w:val="single" w:sz="8" w:space="0" w:color="231F20"/>
            </w:tcBorders>
          </w:tcPr>
          <w:p>
            <w:pPr>
              <w:pStyle w:val="TableParagraph"/>
              <w:spacing w:before="70"/>
              <w:ind w:left="190" w:right="181"/>
              <w:jc w:val="center"/>
              <w:rPr>
                <w:sz w:val="12"/>
              </w:rPr>
            </w:pPr>
            <w:r>
              <w:rPr>
                <w:color w:val="231F20"/>
                <w:w w:val="85"/>
                <w:sz w:val="12"/>
              </w:rPr>
              <w:t>172,967,314</w:t>
            </w:r>
          </w:p>
        </w:tc>
      </w:tr>
      <w:tr>
        <w:trPr>
          <w:trHeight w:val="300" w:hRule="exact"/>
        </w:trPr>
        <w:tc>
          <w:tcPr>
            <w:tcW w:w="697" w:type="dxa"/>
          </w:tcPr>
          <w:p>
            <w:pPr>
              <w:pStyle w:val="TableParagraph"/>
              <w:spacing w:before="70"/>
              <w:ind w:left="30" w:right="31"/>
              <w:jc w:val="center"/>
              <w:rPr>
                <w:sz w:val="12"/>
              </w:rPr>
            </w:pPr>
            <w:r>
              <w:rPr>
                <w:color w:val="231F20"/>
                <w:w w:val="80"/>
                <w:sz w:val="12"/>
              </w:rPr>
              <w:t>1,318,693,576</w:t>
            </w:r>
          </w:p>
        </w:tc>
        <w:tc>
          <w:tcPr>
            <w:tcW w:w="636" w:type="dxa"/>
          </w:tcPr>
          <w:p>
            <w:pPr>
              <w:pStyle w:val="TableParagraph"/>
              <w:spacing w:before="70"/>
              <w:ind w:left="38" w:right="38"/>
              <w:jc w:val="center"/>
              <w:rPr>
                <w:sz w:val="12"/>
              </w:rPr>
            </w:pPr>
            <w:r>
              <w:rPr>
                <w:color w:val="231F20"/>
                <w:w w:val="85"/>
                <w:sz w:val="12"/>
              </w:rPr>
              <w:t>580,336,254</w:t>
            </w:r>
          </w:p>
        </w:tc>
        <w:tc>
          <w:tcPr>
            <w:tcW w:w="633" w:type="dxa"/>
          </w:tcPr>
          <w:p>
            <w:pPr>
              <w:pStyle w:val="TableParagraph"/>
              <w:spacing w:before="70"/>
              <w:ind w:left="102"/>
              <w:rPr>
                <w:sz w:val="12"/>
              </w:rPr>
            </w:pPr>
            <w:r>
              <w:rPr>
                <w:color w:val="231F20"/>
                <w:w w:val="85"/>
                <w:sz w:val="12"/>
              </w:rPr>
              <w:t>53,302,305</w:t>
            </w:r>
          </w:p>
        </w:tc>
        <w:tc>
          <w:tcPr>
            <w:tcW w:w="626" w:type="dxa"/>
          </w:tcPr>
          <w:p>
            <w:pPr>
              <w:pStyle w:val="TableParagraph"/>
              <w:spacing w:before="70"/>
              <w:ind w:left="34" w:right="32"/>
              <w:jc w:val="center"/>
              <w:rPr>
                <w:sz w:val="12"/>
              </w:rPr>
            </w:pPr>
            <w:r>
              <w:rPr>
                <w:color w:val="231F20"/>
                <w:w w:val="85"/>
                <w:sz w:val="12"/>
              </w:rPr>
              <w:t>172,596,888</w:t>
            </w:r>
          </w:p>
        </w:tc>
        <w:tc>
          <w:tcPr>
            <w:tcW w:w="640" w:type="dxa"/>
          </w:tcPr>
          <w:p>
            <w:pPr>
              <w:pStyle w:val="TableParagraph"/>
              <w:spacing w:before="70"/>
              <w:ind w:left="0" w:right="100"/>
              <w:jc w:val="right"/>
              <w:rPr>
                <w:sz w:val="12"/>
              </w:rPr>
            </w:pPr>
            <w:r>
              <w:rPr>
                <w:color w:val="231F20"/>
                <w:w w:val="75"/>
                <w:sz w:val="12"/>
              </w:rPr>
              <w:t>88,802,770</w:t>
            </w:r>
          </w:p>
        </w:tc>
        <w:tc>
          <w:tcPr>
            <w:tcW w:w="719" w:type="dxa"/>
          </w:tcPr>
          <w:p>
            <w:pPr>
              <w:pStyle w:val="TableParagraph"/>
              <w:spacing w:before="70"/>
              <w:ind w:left="81" w:right="80"/>
              <w:jc w:val="center"/>
              <w:rPr>
                <w:sz w:val="12"/>
              </w:rPr>
            </w:pPr>
            <w:r>
              <w:rPr>
                <w:color w:val="231F20"/>
                <w:w w:val="85"/>
                <w:sz w:val="12"/>
              </w:rPr>
              <w:t>63,190,730</w:t>
            </w:r>
          </w:p>
        </w:tc>
        <w:tc>
          <w:tcPr>
            <w:tcW w:w="627" w:type="dxa"/>
          </w:tcPr>
          <w:p>
            <w:pPr>
              <w:pStyle w:val="TableParagraph"/>
              <w:spacing w:before="70"/>
              <w:ind w:left="35" w:right="35"/>
              <w:jc w:val="center"/>
              <w:rPr>
                <w:sz w:val="12"/>
              </w:rPr>
            </w:pPr>
            <w:r>
              <w:rPr>
                <w:color w:val="231F20"/>
                <w:w w:val="85"/>
                <w:sz w:val="12"/>
              </w:rPr>
              <w:t>90,164,033</w:t>
            </w:r>
          </w:p>
        </w:tc>
        <w:tc>
          <w:tcPr>
            <w:tcW w:w="390" w:type="dxa"/>
          </w:tcPr>
          <w:p>
            <w:pPr>
              <w:pStyle w:val="TableParagraph"/>
              <w:spacing w:before="70"/>
              <w:ind w:left="0"/>
              <w:jc w:val="center"/>
              <w:rPr>
                <w:sz w:val="12"/>
              </w:rPr>
            </w:pPr>
            <w:r>
              <w:rPr>
                <w:color w:val="231F20"/>
                <w:w w:val="75"/>
                <w:sz w:val="12"/>
              </w:rPr>
              <w:t>0</w:t>
            </w:r>
          </w:p>
        </w:tc>
        <w:tc>
          <w:tcPr>
            <w:tcW w:w="532" w:type="dxa"/>
          </w:tcPr>
          <w:p>
            <w:pPr>
              <w:pStyle w:val="TableParagraph"/>
              <w:spacing w:before="70"/>
              <w:ind w:left="0"/>
              <w:jc w:val="center"/>
              <w:rPr>
                <w:sz w:val="12"/>
              </w:rPr>
            </w:pPr>
            <w:r>
              <w:rPr>
                <w:color w:val="231F20"/>
                <w:w w:val="75"/>
                <w:sz w:val="12"/>
              </w:rPr>
              <w:t>0</w:t>
            </w:r>
          </w:p>
        </w:tc>
        <w:tc>
          <w:tcPr>
            <w:tcW w:w="573" w:type="dxa"/>
          </w:tcPr>
          <w:p>
            <w:pPr>
              <w:pStyle w:val="TableParagraph"/>
              <w:spacing w:before="70"/>
              <w:ind w:left="0"/>
              <w:jc w:val="center"/>
              <w:rPr>
                <w:sz w:val="12"/>
              </w:rPr>
            </w:pPr>
            <w:r>
              <w:rPr>
                <w:color w:val="231F20"/>
                <w:w w:val="75"/>
                <w:sz w:val="12"/>
              </w:rPr>
              <w:t>0</w:t>
            </w:r>
          </w:p>
        </w:tc>
        <w:tc>
          <w:tcPr>
            <w:tcW w:w="385" w:type="dxa"/>
          </w:tcPr>
          <w:p>
            <w:pPr>
              <w:pStyle w:val="TableParagraph"/>
              <w:spacing w:before="70"/>
              <w:ind w:left="0"/>
              <w:jc w:val="center"/>
              <w:rPr>
                <w:sz w:val="12"/>
              </w:rPr>
            </w:pPr>
            <w:r>
              <w:rPr>
                <w:color w:val="231F20"/>
                <w:w w:val="75"/>
                <w:sz w:val="12"/>
              </w:rPr>
              <w:t>0</w:t>
            </w:r>
          </w:p>
        </w:tc>
        <w:tc>
          <w:tcPr>
            <w:tcW w:w="618" w:type="dxa"/>
          </w:tcPr>
          <w:p>
            <w:pPr>
              <w:pStyle w:val="TableParagraph"/>
              <w:spacing w:before="70"/>
              <w:ind w:left="30" w:right="30"/>
              <w:jc w:val="center"/>
              <w:rPr>
                <w:sz w:val="12"/>
              </w:rPr>
            </w:pPr>
            <w:r>
              <w:rPr>
                <w:color w:val="231F20"/>
                <w:w w:val="85"/>
                <w:sz w:val="12"/>
              </w:rPr>
              <w:t>270,300,596</w:t>
            </w:r>
          </w:p>
        </w:tc>
        <w:tc>
          <w:tcPr>
            <w:tcW w:w="941" w:type="dxa"/>
            <w:tcBorders>
              <w:right w:val="single" w:sz="8" w:space="0" w:color="231F20"/>
            </w:tcBorders>
          </w:tcPr>
          <w:p>
            <w:pPr>
              <w:pStyle w:val="TableParagraph"/>
              <w:spacing w:before="70"/>
              <w:ind w:left="9"/>
              <w:jc w:val="center"/>
              <w:rPr>
                <w:sz w:val="12"/>
              </w:rPr>
            </w:pPr>
            <w:r>
              <w:rPr>
                <w:color w:val="231F20"/>
                <w:w w:val="75"/>
                <w:sz w:val="12"/>
              </w:rPr>
              <w:t>0</w:t>
            </w:r>
          </w:p>
        </w:tc>
      </w:tr>
      <w:tr>
        <w:trPr>
          <w:trHeight w:val="390" w:hRule="exact"/>
        </w:trPr>
        <w:tc>
          <w:tcPr>
            <w:tcW w:w="697" w:type="dxa"/>
          </w:tcPr>
          <w:p>
            <w:pPr>
              <w:pStyle w:val="TableParagraph"/>
              <w:spacing w:before="70"/>
              <w:ind w:left="31" w:right="31"/>
              <w:jc w:val="center"/>
              <w:rPr>
                <w:sz w:val="12"/>
              </w:rPr>
            </w:pPr>
            <w:r>
              <w:rPr>
                <w:color w:val="231F20"/>
                <w:w w:val="80"/>
                <w:sz w:val="12"/>
              </w:rPr>
              <w:t>1,203,424,953</w:t>
            </w:r>
          </w:p>
        </w:tc>
        <w:tc>
          <w:tcPr>
            <w:tcW w:w="636" w:type="dxa"/>
          </w:tcPr>
          <w:p>
            <w:pPr>
              <w:pStyle w:val="TableParagraph"/>
              <w:spacing w:before="70"/>
              <w:ind w:left="39" w:right="37"/>
              <w:jc w:val="center"/>
              <w:rPr>
                <w:sz w:val="12"/>
              </w:rPr>
            </w:pPr>
            <w:r>
              <w:rPr>
                <w:color w:val="231F20"/>
                <w:w w:val="85"/>
                <w:sz w:val="12"/>
              </w:rPr>
              <w:t>506,978,606</w:t>
            </w:r>
          </w:p>
        </w:tc>
        <w:tc>
          <w:tcPr>
            <w:tcW w:w="633" w:type="dxa"/>
          </w:tcPr>
          <w:p>
            <w:pPr>
              <w:pStyle w:val="TableParagraph"/>
              <w:spacing w:before="70"/>
              <w:ind w:left="107"/>
              <w:rPr>
                <w:sz w:val="12"/>
              </w:rPr>
            </w:pPr>
            <w:r>
              <w:rPr>
                <w:color w:val="231F20"/>
                <w:w w:val="85"/>
                <w:sz w:val="12"/>
              </w:rPr>
              <w:t>57,314,563</w:t>
            </w:r>
          </w:p>
        </w:tc>
        <w:tc>
          <w:tcPr>
            <w:tcW w:w="626" w:type="dxa"/>
          </w:tcPr>
          <w:p>
            <w:pPr>
              <w:pStyle w:val="TableParagraph"/>
              <w:spacing w:before="70"/>
              <w:ind w:left="34" w:right="33"/>
              <w:jc w:val="center"/>
              <w:rPr>
                <w:sz w:val="12"/>
              </w:rPr>
            </w:pPr>
            <w:r>
              <w:rPr>
                <w:color w:val="231F20"/>
                <w:w w:val="80"/>
                <w:sz w:val="12"/>
              </w:rPr>
              <w:t>147,750,298</w:t>
            </w:r>
          </w:p>
        </w:tc>
        <w:tc>
          <w:tcPr>
            <w:tcW w:w="640" w:type="dxa"/>
          </w:tcPr>
          <w:p>
            <w:pPr>
              <w:pStyle w:val="TableParagraph"/>
              <w:spacing w:before="70"/>
              <w:ind w:left="0" w:right="114"/>
              <w:jc w:val="right"/>
              <w:rPr>
                <w:sz w:val="12"/>
              </w:rPr>
            </w:pPr>
            <w:r>
              <w:rPr>
                <w:color w:val="231F20"/>
                <w:w w:val="75"/>
                <w:sz w:val="12"/>
              </w:rPr>
              <w:t>97,607,749</w:t>
            </w:r>
          </w:p>
        </w:tc>
        <w:tc>
          <w:tcPr>
            <w:tcW w:w="719" w:type="dxa"/>
          </w:tcPr>
          <w:p>
            <w:pPr>
              <w:pStyle w:val="TableParagraph"/>
              <w:spacing w:before="70"/>
              <w:ind w:left="81" w:right="81"/>
              <w:jc w:val="center"/>
              <w:rPr>
                <w:sz w:val="12"/>
              </w:rPr>
            </w:pPr>
            <w:r>
              <w:rPr>
                <w:color w:val="231F20"/>
                <w:w w:val="85"/>
                <w:sz w:val="12"/>
              </w:rPr>
              <w:t>111,165,602</w:t>
            </w:r>
          </w:p>
        </w:tc>
        <w:tc>
          <w:tcPr>
            <w:tcW w:w="627" w:type="dxa"/>
          </w:tcPr>
          <w:p>
            <w:pPr>
              <w:pStyle w:val="TableParagraph"/>
              <w:spacing w:before="70"/>
              <w:ind w:left="35" w:right="34"/>
              <w:jc w:val="center"/>
              <w:rPr>
                <w:sz w:val="12"/>
              </w:rPr>
            </w:pPr>
            <w:r>
              <w:rPr>
                <w:color w:val="231F20"/>
                <w:w w:val="85"/>
                <w:sz w:val="12"/>
              </w:rPr>
              <w:t>36,347,973</w:t>
            </w:r>
          </w:p>
        </w:tc>
        <w:tc>
          <w:tcPr>
            <w:tcW w:w="390" w:type="dxa"/>
          </w:tcPr>
          <w:p>
            <w:pPr>
              <w:pStyle w:val="TableParagraph"/>
              <w:spacing w:before="70"/>
              <w:ind w:left="0"/>
              <w:jc w:val="center"/>
              <w:rPr>
                <w:sz w:val="12"/>
              </w:rPr>
            </w:pPr>
            <w:r>
              <w:rPr>
                <w:color w:val="231F20"/>
                <w:w w:val="75"/>
                <w:sz w:val="12"/>
              </w:rPr>
              <w:t>0</w:t>
            </w:r>
          </w:p>
        </w:tc>
        <w:tc>
          <w:tcPr>
            <w:tcW w:w="532" w:type="dxa"/>
          </w:tcPr>
          <w:p>
            <w:pPr>
              <w:pStyle w:val="TableParagraph"/>
              <w:spacing w:before="70"/>
              <w:ind w:left="0"/>
              <w:jc w:val="center"/>
              <w:rPr>
                <w:sz w:val="12"/>
              </w:rPr>
            </w:pPr>
            <w:r>
              <w:rPr>
                <w:color w:val="231F20"/>
                <w:w w:val="75"/>
                <w:sz w:val="12"/>
              </w:rPr>
              <w:t>0</w:t>
            </w:r>
          </w:p>
        </w:tc>
        <w:tc>
          <w:tcPr>
            <w:tcW w:w="573" w:type="dxa"/>
          </w:tcPr>
          <w:p>
            <w:pPr>
              <w:pStyle w:val="TableParagraph"/>
              <w:spacing w:before="70"/>
              <w:ind w:left="34" w:right="34"/>
              <w:jc w:val="center"/>
              <w:rPr>
                <w:sz w:val="12"/>
              </w:rPr>
            </w:pPr>
            <w:r>
              <w:rPr>
                <w:color w:val="231F20"/>
                <w:w w:val="85"/>
                <w:sz w:val="12"/>
              </w:rPr>
              <w:t>3,715</w:t>
            </w:r>
          </w:p>
        </w:tc>
        <w:tc>
          <w:tcPr>
            <w:tcW w:w="385" w:type="dxa"/>
          </w:tcPr>
          <w:p>
            <w:pPr>
              <w:pStyle w:val="TableParagraph"/>
              <w:spacing w:before="70"/>
              <w:ind w:left="0"/>
              <w:jc w:val="center"/>
              <w:rPr>
                <w:sz w:val="12"/>
              </w:rPr>
            </w:pPr>
            <w:r>
              <w:rPr>
                <w:color w:val="231F20"/>
                <w:w w:val="75"/>
                <w:sz w:val="12"/>
              </w:rPr>
              <w:t>0</w:t>
            </w:r>
          </w:p>
        </w:tc>
        <w:tc>
          <w:tcPr>
            <w:tcW w:w="618" w:type="dxa"/>
          </w:tcPr>
          <w:p>
            <w:pPr>
              <w:pStyle w:val="TableParagraph"/>
              <w:spacing w:before="70"/>
              <w:ind w:left="30" w:right="30"/>
              <w:jc w:val="center"/>
              <w:rPr>
                <w:sz w:val="12"/>
              </w:rPr>
            </w:pPr>
            <w:r>
              <w:rPr>
                <w:color w:val="231F20"/>
                <w:w w:val="80"/>
                <w:sz w:val="12"/>
              </w:rPr>
              <w:t>199,110,785</w:t>
            </w:r>
          </w:p>
        </w:tc>
        <w:tc>
          <w:tcPr>
            <w:tcW w:w="941" w:type="dxa"/>
            <w:tcBorders>
              <w:right w:val="single" w:sz="8" w:space="0" w:color="231F20"/>
            </w:tcBorders>
          </w:tcPr>
          <w:p>
            <w:pPr>
              <w:pStyle w:val="TableParagraph"/>
              <w:spacing w:before="70"/>
              <w:ind w:left="190" w:right="181"/>
              <w:jc w:val="center"/>
              <w:rPr>
                <w:sz w:val="12"/>
              </w:rPr>
            </w:pPr>
            <w:r>
              <w:rPr>
                <w:color w:val="231F20"/>
                <w:w w:val="85"/>
                <w:sz w:val="12"/>
              </w:rPr>
              <w:t>47,145,662</w:t>
            </w:r>
          </w:p>
        </w:tc>
      </w:tr>
      <w:tr>
        <w:trPr>
          <w:trHeight w:val="95" w:hRule="exact"/>
        </w:trPr>
        <w:tc>
          <w:tcPr>
            <w:tcW w:w="697" w:type="dxa"/>
          </w:tcPr>
          <w:p>
            <w:pPr/>
          </w:p>
        </w:tc>
        <w:tc>
          <w:tcPr>
            <w:tcW w:w="636" w:type="dxa"/>
          </w:tcPr>
          <w:p>
            <w:pPr/>
          </w:p>
        </w:tc>
        <w:tc>
          <w:tcPr>
            <w:tcW w:w="633" w:type="dxa"/>
          </w:tcPr>
          <w:p>
            <w:pPr/>
          </w:p>
        </w:tc>
        <w:tc>
          <w:tcPr>
            <w:tcW w:w="626" w:type="dxa"/>
          </w:tcPr>
          <w:p>
            <w:pPr/>
          </w:p>
        </w:tc>
        <w:tc>
          <w:tcPr>
            <w:tcW w:w="640" w:type="dxa"/>
          </w:tcPr>
          <w:p>
            <w:pPr/>
          </w:p>
        </w:tc>
        <w:tc>
          <w:tcPr>
            <w:tcW w:w="719" w:type="dxa"/>
          </w:tcPr>
          <w:p>
            <w:pPr/>
          </w:p>
        </w:tc>
        <w:tc>
          <w:tcPr>
            <w:tcW w:w="627" w:type="dxa"/>
          </w:tcPr>
          <w:p>
            <w:pPr/>
          </w:p>
        </w:tc>
        <w:tc>
          <w:tcPr>
            <w:tcW w:w="390" w:type="dxa"/>
          </w:tcPr>
          <w:p>
            <w:pPr/>
          </w:p>
        </w:tc>
        <w:tc>
          <w:tcPr>
            <w:tcW w:w="532" w:type="dxa"/>
          </w:tcPr>
          <w:p>
            <w:pPr/>
          </w:p>
        </w:tc>
        <w:tc>
          <w:tcPr>
            <w:tcW w:w="573" w:type="dxa"/>
          </w:tcPr>
          <w:p>
            <w:pPr/>
          </w:p>
        </w:tc>
        <w:tc>
          <w:tcPr>
            <w:tcW w:w="385" w:type="dxa"/>
          </w:tcPr>
          <w:p>
            <w:pPr/>
          </w:p>
        </w:tc>
        <w:tc>
          <w:tcPr>
            <w:tcW w:w="618" w:type="dxa"/>
          </w:tcPr>
          <w:p>
            <w:pPr/>
          </w:p>
        </w:tc>
        <w:tc>
          <w:tcPr>
            <w:tcW w:w="941" w:type="dxa"/>
            <w:tcBorders>
              <w:right w:val="single" w:sz="8" w:space="0" w:color="231F20"/>
            </w:tcBorders>
          </w:tcPr>
          <w:p>
            <w:pPr/>
          </w:p>
        </w:tc>
      </w:tr>
    </w:tbl>
    <w:p>
      <w:pPr>
        <w:pStyle w:val="BodyText"/>
        <w:spacing w:before="10"/>
        <w:rPr>
          <w:b/>
          <w:sz w:val="12"/>
        </w:rPr>
      </w:pPr>
    </w:p>
    <w:p>
      <w:pPr>
        <w:spacing w:before="74"/>
        <w:ind w:left="567" w:right="0" w:firstLine="0"/>
        <w:jc w:val="left"/>
        <w:rPr>
          <w:rFonts w:ascii="Calibri" w:hAnsi="Calibri"/>
          <w:sz w:val="16"/>
        </w:rPr>
      </w:pPr>
      <w:r>
        <w:rPr/>
        <w:pict>
          <v:shape style="position:absolute;margin-left:44.8634pt;margin-top:-92.169998pt;width:395.75pt;height:91pt;mso-position-horizontal-relative:page;mso-position-vertical-relative:paragraph;z-index:10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1375"/>
                    <w:gridCol w:w="377"/>
                    <w:gridCol w:w="507"/>
                    <w:gridCol w:w="516"/>
                    <w:gridCol w:w="385"/>
                    <w:gridCol w:w="851"/>
                    <w:gridCol w:w="342"/>
                  </w:tblGrid>
                  <w:tr>
                    <w:trPr>
                      <w:trHeight w:val="310" w:hRule="exact"/>
                    </w:trPr>
                    <w:tc>
                      <w:tcPr>
                        <w:tcW w:w="3561" w:type="dxa"/>
                      </w:tcPr>
                      <w:p>
                        <w:pPr>
                          <w:pStyle w:val="TableParagraph"/>
                          <w:spacing w:before="80"/>
                          <w:ind w:left="36"/>
                          <w:rPr>
                            <w:sz w:val="12"/>
                          </w:rPr>
                        </w:pPr>
                        <w:r>
                          <w:rPr>
                            <w:color w:val="231F20"/>
                            <w:w w:val="85"/>
                            <w:sz w:val="12"/>
                          </w:rPr>
                          <w:t>2005</w:t>
                        </w:r>
                      </w:p>
                    </w:tc>
                    <w:tc>
                      <w:tcPr>
                        <w:tcW w:w="4353" w:type="dxa"/>
                        <w:gridSpan w:val="7"/>
                      </w:tcPr>
                      <w:p>
                        <w:pPr/>
                      </w:p>
                    </w:tc>
                  </w:tr>
                  <w:tr>
                    <w:trPr>
                      <w:trHeight w:val="300" w:hRule="exact"/>
                    </w:trPr>
                    <w:tc>
                      <w:tcPr>
                        <w:tcW w:w="3561" w:type="dxa"/>
                      </w:tcPr>
                      <w:p>
                        <w:pPr>
                          <w:pStyle w:val="TableParagraph"/>
                          <w:spacing w:before="70"/>
                          <w:ind w:left="35"/>
                          <w:rPr>
                            <w:sz w:val="12"/>
                          </w:rPr>
                        </w:pPr>
                        <w:r>
                          <w:rPr>
                            <w:color w:val="231F20"/>
                            <w:w w:val="85"/>
                            <w:sz w:val="12"/>
                          </w:rPr>
                          <w:t>2004</w:t>
                        </w:r>
                      </w:p>
                    </w:tc>
                    <w:tc>
                      <w:tcPr>
                        <w:tcW w:w="1375" w:type="dxa"/>
                      </w:tcPr>
                      <w:p>
                        <w:pPr/>
                      </w:p>
                    </w:tc>
                    <w:tc>
                      <w:tcPr>
                        <w:tcW w:w="377" w:type="dxa"/>
                      </w:tcPr>
                      <w:p>
                        <w:pPr/>
                      </w:p>
                    </w:tc>
                    <w:tc>
                      <w:tcPr>
                        <w:tcW w:w="507" w:type="dxa"/>
                      </w:tcPr>
                      <w:p>
                        <w:pPr/>
                      </w:p>
                    </w:tc>
                    <w:tc>
                      <w:tcPr>
                        <w:tcW w:w="516" w:type="dxa"/>
                      </w:tcPr>
                      <w:p>
                        <w:pPr/>
                      </w:p>
                    </w:tc>
                    <w:tc>
                      <w:tcPr>
                        <w:tcW w:w="385" w:type="dxa"/>
                      </w:tcPr>
                      <w:p>
                        <w:pPr/>
                      </w:p>
                    </w:tc>
                    <w:tc>
                      <w:tcPr>
                        <w:tcW w:w="851" w:type="dxa"/>
                      </w:tcPr>
                      <w:p>
                        <w:pPr/>
                      </w:p>
                    </w:tc>
                    <w:tc>
                      <w:tcPr>
                        <w:tcW w:w="342" w:type="dxa"/>
                      </w:tcPr>
                      <w:p>
                        <w:pPr/>
                      </w:p>
                    </w:tc>
                  </w:tr>
                  <w:tr>
                    <w:trPr>
                      <w:trHeight w:val="300" w:hRule="exact"/>
                    </w:trPr>
                    <w:tc>
                      <w:tcPr>
                        <w:tcW w:w="3561" w:type="dxa"/>
                      </w:tcPr>
                      <w:p>
                        <w:pPr>
                          <w:pStyle w:val="TableParagraph"/>
                          <w:spacing w:before="70"/>
                          <w:ind w:left="36"/>
                          <w:rPr>
                            <w:sz w:val="12"/>
                          </w:rPr>
                        </w:pPr>
                        <w:r>
                          <w:rPr>
                            <w:color w:val="231F20"/>
                            <w:w w:val="85"/>
                            <w:sz w:val="12"/>
                          </w:rPr>
                          <w:t>2003</w:t>
                        </w:r>
                      </w:p>
                    </w:tc>
                    <w:tc>
                      <w:tcPr>
                        <w:tcW w:w="1375" w:type="dxa"/>
                      </w:tcPr>
                      <w:p>
                        <w:pPr/>
                      </w:p>
                    </w:tc>
                    <w:tc>
                      <w:tcPr>
                        <w:tcW w:w="377" w:type="dxa"/>
                      </w:tcPr>
                      <w:p>
                        <w:pPr/>
                      </w:p>
                    </w:tc>
                    <w:tc>
                      <w:tcPr>
                        <w:tcW w:w="507" w:type="dxa"/>
                      </w:tcPr>
                      <w:p>
                        <w:pPr/>
                      </w:p>
                    </w:tc>
                    <w:tc>
                      <w:tcPr>
                        <w:tcW w:w="516" w:type="dxa"/>
                      </w:tcPr>
                      <w:p>
                        <w:pPr/>
                      </w:p>
                    </w:tc>
                    <w:tc>
                      <w:tcPr>
                        <w:tcW w:w="385" w:type="dxa"/>
                      </w:tcPr>
                      <w:p>
                        <w:pPr/>
                      </w:p>
                    </w:tc>
                    <w:tc>
                      <w:tcPr>
                        <w:tcW w:w="851" w:type="dxa"/>
                      </w:tcPr>
                      <w:p>
                        <w:pPr/>
                      </w:p>
                    </w:tc>
                    <w:tc>
                      <w:tcPr>
                        <w:tcW w:w="342" w:type="dxa"/>
                      </w:tcPr>
                      <w:p>
                        <w:pPr/>
                      </w:p>
                    </w:tc>
                  </w:tr>
                  <w:tr>
                    <w:trPr>
                      <w:trHeight w:val="300" w:hRule="exact"/>
                    </w:trPr>
                    <w:tc>
                      <w:tcPr>
                        <w:tcW w:w="3561" w:type="dxa"/>
                      </w:tcPr>
                      <w:p>
                        <w:pPr>
                          <w:pStyle w:val="TableParagraph"/>
                          <w:spacing w:before="70"/>
                          <w:ind w:left="36"/>
                          <w:rPr>
                            <w:sz w:val="12"/>
                          </w:rPr>
                        </w:pPr>
                        <w:r>
                          <w:rPr>
                            <w:color w:val="231F20"/>
                            <w:w w:val="85"/>
                            <w:sz w:val="12"/>
                          </w:rPr>
                          <w:t>2002</w:t>
                        </w:r>
                      </w:p>
                    </w:tc>
                    <w:tc>
                      <w:tcPr>
                        <w:tcW w:w="1375" w:type="dxa"/>
                      </w:tcPr>
                      <w:p>
                        <w:pPr/>
                      </w:p>
                    </w:tc>
                    <w:tc>
                      <w:tcPr>
                        <w:tcW w:w="377" w:type="dxa"/>
                      </w:tcPr>
                      <w:p>
                        <w:pPr/>
                      </w:p>
                    </w:tc>
                    <w:tc>
                      <w:tcPr>
                        <w:tcW w:w="507" w:type="dxa"/>
                      </w:tcPr>
                      <w:p>
                        <w:pPr/>
                      </w:p>
                    </w:tc>
                    <w:tc>
                      <w:tcPr>
                        <w:tcW w:w="516" w:type="dxa"/>
                      </w:tcPr>
                      <w:p>
                        <w:pPr/>
                      </w:p>
                    </w:tc>
                    <w:tc>
                      <w:tcPr>
                        <w:tcW w:w="385" w:type="dxa"/>
                      </w:tcPr>
                      <w:p>
                        <w:pPr/>
                      </w:p>
                    </w:tc>
                    <w:tc>
                      <w:tcPr>
                        <w:tcW w:w="851" w:type="dxa"/>
                      </w:tcPr>
                      <w:p>
                        <w:pPr/>
                      </w:p>
                    </w:tc>
                    <w:tc>
                      <w:tcPr>
                        <w:tcW w:w="342" w:type="dxa"/>
                      </w:tcPr>
                      <w:p>
                        <w:pPr/>
                      </w:p>
                    </w:tc>
                  </w:tr>
                  <w:tr>
                    <w:trPr>
                      <w:trHeight w:val="300" w:hRule="exact"/>
                    </w:trPr>
                    <w:tc>
                      <w:tcPr>
                        <w:tcW w:w="3561" w:type="dxa"/>
                      </w:tcPr>
                      <w:p>
                        <w:pPr>
                          <w:pStyle w:val="TableParagraph"/>
                          <w:spacing w:before="70"/>
                          <w:ind w:left="37"/>
                          <w:rPr>
                            <w:sz w:val="12"/>
                          </w:rPr>
                        </w:pPr>
                        <w:r>
                          <w:rPr>
                            <w:color w:val="231F20"/>
                            <w:w w:val="85"/>
                            <w:sz w:val="12"/>
                          </w:rPr>
                          <w:t>2001</w:t>
                        </w:r>
                      </w:p>
                    </w:tc>
                    <w:tc>
                      <w:tcPr>
                        <w:tcW w:w="1375" w:type="dxa"/>
                      </w:tcPr>
                      <w:p>
                        <w:pPr/>
                      </w:p>
                    </w:tc>
                    <w:tc>
                      <w:tcPr>
                        <w:tcW w:w="377" w:type="dxa"/>
                      </w:tcPr>
                      <w:p>
                        <w:pPr/>
                      </w:p>
                    </w:tc>
                    <w:tc>
                      <w:tcPr>
                        <w:tcW w:w="507" w:type="dxa"/>
                      </w:tcPr>
                      <w:p>
                        <w:pPr/>
                      </w:p>
                    </w:tc>
                    <w:tc>
                      <w:tcPr>
                        <w:tcW w:w="516" w:type="dxa"/>
                      </w:tcPr>
                      <w:p>
                        <w:pPr/>
                      </w:p>
                    </w:tc>
                    <w:tc>
                      <w:tcPr>
                        <w:tcW w:w="385" w:type="dxa"/>
                      </w:tcPr>
                      <w:p>
                        <w:pPr/>
                      </w:p>
                    </w:tc>
                    <w:tc>
                      <w:tcPr>
                        <w:tcW w:w="851" w:type="dxa"/>
                      </w:tcPr>
                      <w:p>
                        <w:pPr/>
                      </w:p>
                    </w:tc>
                    <w:tc>
                      <w:tcPr>
                        <w:tcW w:w="342" w:type="dxa"/>
                      </w:tcPr>
                      <w:p>
                        <w:pPr/>
                      </w:p>
                    </w:tc>
                  </w:tr>
                  <w:tr>
                    <w:trPr>
                      <w:trHeight w:val="310" w:hRule="exact"/>
                    </w:trPr>
                    <w:tc>
                      <w:tcPr>
                        <w:tcW w:w="3561" w:type="dxa"/>
                      </w:tcPr>
                      <w:p>
                        <w:pPr>
                          <w:pStyle w:val="TableParagraph"/>
                          <w:spacing w:before="70"/>
                          <w:ind w:left="35"/>
                          <w:rPr>
                            <w:sz w:val="12"/>
                          </w:rPr>
                        </w:pPr>
                        <w:r>
                          <w:rPr>
                            <w:color w:val="231F20"/>
                            <w:w w:val="85"/>
                            <w:sz w:val="12"/>
                          </w:rPr>
                          <w:t>2000     1,078,226,987     497,387,069      43,470,736     111,838,369     84,476,431</w:t>
                        </w:r>
                      </w:p>
                    </w:tc>
                    <w:tc>
                      <w:tcPr>
                        <w:tcW w:w="1375" w:type="dxa"/>
                      </w:tcPr>
                      <w:p>
                        <w:pPr>
                          <w:pStyle w:val="TableParagraph"/>
                          <w:tabs>
                            <w:tab w:pos="774" w:val="left" w:leader="none"/>
                          </w:tabs>
                          <w:spacing w:before="70"/>
                          <w:ind w:left="129"/>
                          <w:rPr>
                            <w:sz w:val="12"/>
                          </w:rPr>
                        </w:pPr>
                        <w:r>
                          <w:rPr>
                            <w:color w:val="231F20"/>
                            <w:w w:val="80"/>
                            <w:sz w:val="12"/>
                          </w:rPr>
                          <w:t>11,565,070</w:t>
                          <w:tab/>
                        </w:r>
                        <w:r>
                          <w:rPr>
                            <w:color w:val="231F20"/>
                            <w:w w:val="85"/>
                            <w:sz w:val="12"/>
                          </w:rPr>
                          <w:t>158,982,223</w:t>
                        </w:r>
                      </w:p>
                    </w:tc>
                    <w:tc>
                      <w:tcPr>
                        <w:tcW w:w="377" w:type="dxa"/>
                      </w:tcPr>
                      <w:p>
                        <w:pPr>
                          <w:pStyle w:val="TableParagraph"/>
                          <w:spacing w:before="70"/>
                          <w:ind w:left="123"/>
                          <w:rPr>
                            <w:sz w:val="12"/>
                          </w:rPr>
                        </w:pPr>
                        <w:r>
                          <w:rPr>
                            <w:color w:val="231F20"/>
                            <w:w w:val="75"/>
                            <w:sz w:val="12"/>
                          </w:rPr>
                          <w:t>0</w:t>
                        </w:r>
                      </w:p>
                    </w:tc>
                    <w:tc>
                      <w:tcPr>
                        <w:tcW w:w="507" w:type="dxa"/>
                      </w:tcPr>
                      <w:p>
                        <w:pPr>
                          <w:pStyle w:val="TableParagraph"/>
                          <w:spacing w:before="70"/>
                          <w:ind w:left="0" w:right="43"/>
                          <w:jc w:val="center"/>
                          <w:rPr>
                            <w:sz w:val="12"/>
                          </w:rPr>
                        </w:pPr>
                        <w:r>
                          <w:rPr>
                            <w:color w:val="231F20"/>
                            <w:w w:val="75"/>
                            <w:sz w:val="12"/>
                          </w:rPr>
                          <w:t>0</w:t>
                        </w:r>
                      </w:p>
                    </w:tc>
                    <w:tc>
                      <w:tcPr>
                        <w:tcW w:w="516" w:type="dxa"/>
                      </w:tcPr>
                      <w:p>
                        <w:pPr>
                          <w:pStyle w:val="TableParagraph"/>
                          <w:spacing w:before="70"/>
                          <w:ind w:left="36"/>
                          <w:jc w:val="center"/>
                          <w:rPr>
                            <w:sz w:val="12"/>
                          </w:rPr>
                        </w:pPr>
                        <w:r>
                          <w:rPr>
                            <w:color w:val="231F20"/>
                            <w:w w:val="75"/>
                            <w:sz w:val="12"/>
                          </w:rPr>
                          <w:t>0</w:t>
                        </w:r>
                      </w:p>
                    </w:tc>
                    <w:tc>
                      <w:tcPr>
                        <w:tcW w:w="385" w:type="dxa"/>
                      </w:tcPr>
                      <w:p>
                        <w:pPr>
                          <w:pStyle w:val="TableParagraph"/>
                          <w:spacing w:before="70"/>
                          <w:ind w:left="216"/>
                          <w:rPr>
                            <w:sz w:val="12"/>
                          </w:rPr>
                        </w:pPr>
                        <w:r>
                          <w:rPr>
                            <w:color w:val="231F20"/>
                            <w:w w:val="75"/>
                            <w:sz w:val="12"/>
                          </w:rPr>
                          <w:t>0</w:t>
                        </w:r>
                      </w:p>
                    </w:tc>
                    <w:tc>
                      <w:tcPr>
                        <w:tcW w:w="851" w:type="dxa"/>
                      </w:tcPr>
                      <w:p>
                        <w:pPr>
                          <w:pStyle w:val="TableParagraph"/>
                          <w:spacing w:before="70"/>
                          <w:ind w:left="122"/>
                          <w:rPr>
                            <w:sz w:val="12"/>
                          </w:rPr>
                        </w:pPr>
                        <w:r>
                          <w:rPr>
                            <w:color w:val="231F20"/>
                            <w:w w:val="85"/>
                            <w:sz w:val="12"/>
                          </w:rPr>
                          <w:t>170,507,089</w:t>
                        </w:r>
                      </w:p>
                    </w:tc>
                    <w:tc>
                      <w:tcPr>
                        <w:tcW w:w="342" w:type="dxa"/>
                      </w:tcPr>
                      <w:p>
                        <w:pPr>
                          <w:pStyle w:val="TableParagraph"/>
                          <w:spacing w:before="70"/>
                          <w:ind w:left="0" w:right="33"/>
                          <w:jc w:val="right"/>
                          <w:rPr>
                            <w:sz w:val="12"/>
                          </w:rPr>
                        </w:pPr>
                        <w:r>
                          <w:rPr>
                            <w:color w:val="231F20"/>
                            <w:w w:val="75"/>
                            <w:sz w:val="12"/>
                          </w:rPr>
                          <w:t>0</w:t>
                        </w:r>
                      </w:p>
                    </w:tc>
                  </w:tr>
                </w:tbl>
                <w:p>
                  <w:pPr>
                    <w:pStyle w:val="BodyText"/>
                  </w:pPr>
                </w:p>
              </w:txbxContent>
            </v:textbox>
            <w10:wrap type="none"/>
          </v:shape>
        </w:pict>
      </w:r>
      <w:r>
        <w:rPr>
          <w:rFonts w:ascii="Calibri" w:hAnsi="Calibri"/>
          <w:color w:val="231F20"/>
          <w:sz w:val="16"/>
        </w:rPr>
        <w:t>Fuente: Base de datos de los gobiernos municipales en el Estado de México, Centro Universitario UAEM Amecameca.</w:t>
      </w:r>
    </w:p>
    <w:p>
      <w:pPr>
        <w:pStyle w:val="BodyText"/>
        <w:rPr>
          <w:rFonts w:ascii="Calibri"/>
          <w:sz w:val="16"/>
        </w:rPr>
      </w:pPr>
    </w:p>
    <w:p>
      <w:pPr>
        <w:pStyle w:val="BodyText"/>
        <w:spacing w:before="9"/>
        <w:rPr>
          <w:rFonts w:ascii="Calibri"/>
          <w:sz w:val="12"/>
        </w:rPr>
      </w:pPr>
    </w:p>
    <w:p>
      <w:pPr>
        <w:pStyle w:val="BodyText"/>
        <w:spacing w:line="285" w:lineRule="auto" w:before="1"/>
        <w:ind w:left="110" w:right="567"/>
        <w:jc w:val="both"/>
      </w:pPr>
      <w:r>
        <w:rPr>
          <w:color w:val="231F20"/>
          <w:w w:val="105"/>
        </w:rPr>
        <w:t>Las cifras revelan una tendencia igualmente limitada respecto </w:t>
      </w:r>
      <w:r>
        <w:rPr>
          <w:color w:val="231F20"/>
          <w:spacing w:val="2"/>
          <w:w w:val="105"/>
        </w:rPr>
        <w:t>al </w:t>
      </w:r>
      <w:r>
        <w:rPr>
          <w:color w:val="231F20"/>
          <w:w w:val="105"/>
        </w:rPr>
        <w:t>crecimiento real de ingresos propios. Asimismo, hay evidencias de la poca preocupación por la inversión social en dos indicadores: en la capacidad de inversión social </w:t>
      </w:r>
      <w:r>
        <w:rPr>
          <w:color w:val="231F20"/>
          <w:spacing w:val="-3"/>
          <w:w w:val="105"/>
        </w:rPr>
        <w:t>(relación </w:t>
      </w:r>
      <w:r>
        <w:rPr>
          <w:color w:val="231F20"/>
          <w:w w:val="105"/>
        </w:rPr>
        <w:t>entre gasto en obra</w:t>
      </w:r>
      <w:r>
        <w:rPr>
          <w:color w:val="231F20"/>
          <w:spacing w:val="-16"/>
          <w:w w:val="105"/>
        </w:rPr>
        <w:t> </w:t>
      </w:r>
      <w:r>
        <w:rPr>
          <w:color w:val="231F20"/>
          <w:w w:val="105"/>
        </w:rPr>
        <w:t>pública</w:t>
      </w:r>
      <w:r>
        <w:rPr>
          <w:color w:val="231F20"/>
          <w:spacing w:val="-16"/>
          <w:w w:val="105"/>
        </w:rPr>
        <w:t> </w:t>
      </w:r>
      <w:r>
        <w:rPr>
          <w:color w:val="231F20"/>
          <w:w w:val="105"/>
        </w:rPr>
        <w:t>y</w:t>
      </w:r>
      <w:r>
        <w:rPr>
          <w:color w:val="231F20"/>
          <w:spacing w:val="-16"/>
          <w:w w:val="105"/>
        </w:rPr>
        <w:t> </w:t>
      </w:r>
      <w:r>
        <w:rPr>
          <w:color w:val="231F20"/>
          <w:w w:val="105"/>
        </w:rPr>
        <w:t>acciones</w:t>
      </w:r>
      <w:r>
        <w:rPr>
          <w:color w:val="231F20"/>
          <w:spacing w:val="-16"/>
          <w:w w:val="105"/>
        </w:rPr>
        <w:t> </w:t>
      </w:r>
      <w:r>
        <w:rPr>
          <w:color w:val="231F20"/>
          <w:w w:val="105"/>
        </w:rPr>
        <w:t>sociales</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gasto</w:t>
      </w:r>
      <w:r>
        <w:rPr>
          <w:color w:val="231F20"/>
          <w:spacing w:val="-16"/>
          <w:w w:val="105"/>
        </w:rPr>
        <w:t> </w:t>
      </w:r>
      <w:r>
        <w:rPr>
          <w:color w:val="231F20"/>
          <w:w w:val="105"/>
        </w:rPr>
        <w:t>total)</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gasto</w:t>
      </w:r>
      <w:r>
        <w:rPr>
          <w:color w:val="231F20"/>
          <w:spacing w:val="-16"/>
          <w:w w:val="105"/>
        </w:rPr>
        <w:t> </w:t>
      </w:r>
      <w:r>
        <w:rPr>
          <w:color w:val="231F20"/>
          <w:w w:val="105"/>
        </w:rPr>
        <w:t>en</w:t>
      </w:r>
      <w:r>
        <w:rPr>
          <w:color w:val="231F20"/>
          <w:spacing w:val="-16"/>
          <w:w w:val="105"/>
        </w:rPr>
        <w:t> </w:t>
      </w:r>
      <w:r>
        <w:rPr>
          <w:color w:val="231F20"/>
          <w:w w:val="105"/>
        </w:rPr>
        <w:t>obra</w:t>
      </w:r>
      <w:r>
        <w:rPr>
          <w:color w:val="231F20"/>
          <w:spacing w:val="-16"/>
          <w:w w:val="105"/>
        </w:rPr>
        <w:t> </w:t>
      </w:r>
      <w:r>
        <w:rPr>
          <w:color w:val="231F20"/>
          <w:w w:val="105"/>
        </w:rPr>
        <w:t>pública</w:t>
      </w:r>
      <w:r>
        <w:rPr>
          <w:color w:val="231F20"/>
          <w:spacing w:val="-16"/>
          <w:w w:val="105"/>
        </w:rPr>
        <w:t> </w:t>
      </w:r>
      <w:r>
        <w:rPr>
          <w:color w:val="231F20"/>
          <w:w w:val="105"/>
        </w:rPr>
        <w:t>y</w:t>
      </w:r>
      <w:r>
        <w:rPr>
          <w:color w:val="231F20"/>
          <w:spacing w:val="-16"/>
          <w:w w:val="105"/>
        </w:rPr>
        <w:t> </w:t>
      </w:r>
      <w:r>
        <w:rPr>
          <w:color w:val="231F20"/>
          <w:w w:val="105"/>
        </w:rPr>
        <w:t>acciones sociales per cápita </w:t>
      </w:r>
      <w:r>
        <w:rPr>
          <w:color w:val="231F20"/>
          <w:spacing w:val="-3"/>
          <w:w w:val="105"/>
        </w:rPr>
        <w:t>(relación </w:t>
      </w:r>
      <w:r>
        <w:rPr>
          <w:color w:val="231F20"/>
          <w:w w:val="105"/>
        </w:rPr>
        <w:t>entre gasto en obra pública y acciones sociales y el gasto total).</w:t>
      </w:r>
      <w:r>
        <w:rPr>
          <w:color w:val="231F20"/>
          <w:spacing w:val="-7"/>
          <w:w w:val="105"/>
        </w:rPr>
        <w:t> </w:t>
      </w:r>
      <w:r>
        <w:rPr>
          <w:color w:val="231F20"/>
          <w:spacing w:val="-3"/>
          <w:w w:val="105"/>
        </w:rPr>
        <w:t>Por</w:t>
      </w:r>
      <w:r>
        <w:rPr>
          <w:color w:val="231F20"/>
          <w:spacing w:val="-7"/>
          <w:w w:val="105"/>
        </w:rPr>
        <w:t> </w:t>
      </w:r>
      <w:r>
        <w:rPr>
          <w:color w:val="231F20"/>
          <w:w w:val="105"/>
        </w:rPr>
        <w:t>lo</w:t>
      </w:r>
      <w:r>
        <w:rPr>
          <w:color w:val="231F20"/>
          <w:spacing w:val="-7"/>
          <w:w w:val="105"/>
        </w:rPr>
        <w:t> </w:t>
      </w:r>
      <w:r>
        <w:rPr>
          <w:color w:val="231F20"/>
          <w:w w:val="105"/>
        </w:rPr>
        <w:t>menos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año</w:t>
      </w:r>
      <w:r>
        <w:rPr>
          <w:color w:val="231F20"/>
          <w:spacing w:val="-7"/>
          <w:w w:val="105"/>
        </w:rPr>
        <w:t> </w:t>
      </w:r>
      <w:r>
        <w:rPr>
          <w:color w:val="231F20"/>
          <w:w w:val="105"/>
        </w:rPr>
        <w:t>2001</w:t>
      </w:r>
      <w:r>
        <w:rPr>
          <w:color w:val="231F20"/>
          <w:spacing w:val="-7"/>
          <w:w w:val="105"/>
        </w:rPr>
        <w:t> </w:t>
      </w:r>
      <w:r>
        <w:rPr>
          <w:color w:val="231F20"/>
          <w:w w:val="105"/>
        </w:rPr>
        <w:t>el</w:t>
      </w:r>
      <w:r>
        <w:rPr>
          <w:color w:val="231F20"/>
          <w:spacing w:val="-7"/>
          <w:w w:val="105"/>
        </w:rPr>
        <w:t> </w:t>
      </w:r>
      <w:r>
        <w:rPr>
          <w:color w:val="231F20"/>
          <w:w w:val="105"/>
        </w:rPr>
        <w:t>gasto</w:t>
      </w:r>
      <w:r>
        <w:rPr>
          <w:color w:val="231F20"/>
          <w:spacing w:val="-7"/>
          <w:w w:val="105"/>
        </w:rPr>
        <w:t> </w:t>
      </w:r>
      <w:r>
        <w:rPr>
          <w:color w:val="231F20"/>
          <w:w w:val="105"/>
        </w:rPr>
        <w:t>social</w:t>
      </w:r>
      <w:r>
        <w:rPr>
          <w:color w:val="231F20"/>
          <w:spacing w:val="-7"/>
          <w:w w:val="105"/>
        </w:rPr>
        <w:t> </w:t>
      </w:r>
      <w:r>
        <w:rPr>
          <w:color w:val="231F20"/>
          <w:w w:val="105"/>
        </w:rPr>
        <w:t>no</w:t>
      </w:r>
      <w:r>
        <w:rPr>
          <w:color w:val="231F20"/>
          <w:spacing w:val="-7"/>
          <w:w w:val="105"/>
        </w:rPr>
        <w:t> </w:t>
      </w:r>
      <w:r>
        <w:rPr>
          <w:color w:val="231F20"/>
          <w:w w:val="105"/>
        </w:rPr>
        <w:t>fue</w:t>
      </w:r>
      <w:r>
        <w:rPr>
          <w:color w:val="231F20"/>
          <w:spacing w:val="-7"/>
          <w:w w:val="105"/>
        </w:rPr>
        <w:t> </w:t>
      </w:r>
      <w:r>
        <w:rPr>
          <w:color w:val="231F20"/>
          <w:w w:val="105"/>
        </w:rPr>
        <w:t>una</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prioridades</w:t>
      </w:r>
      <w:r>
        <w:rPr>
          <w:color w:val="231F20"/>
          <w:spacing w:val="-7"/>
          <w:w w:val="105"/>
        </w:rPr>
        <w:t> </w:t>
      </w:r>
      <w:r>
        <w:rPr>
          <w:color w:val="231F20"/>
          <w:w w:val="105"/>
        </w:rPr>
        <w:t>del</w:t>
      </w:r>
      <w:r>
        <w:rPr>
          <w:color w:val="231F20"/>
          <w:spacing w:val="-7"/>
          <w:w w:val="105"/>
        </w:rPr>
        <w:t> </w:t>
      </w:r>
      <w:r>
        <w:rPr>
          <w:color w:val="231F20"/>
          <w:w w:val="105"/>
        </w:rPr>
        <w:t>go- bierno en</w:t>
      </w:r>
      <w:r>
        <w:rPr>
          <w:color w:val="231F20"/>
          <w:spacing w:val="-31"/>
          <w:w w:val="105"/>
        </w:rPr>
        <w:t> </w:t>
      </w:r>
      <w:r>
        <w:rPr>
          <w:color w:val="231F20"/>
          <w:w w:val="105"/>
        </w:rPr>
        <w:t>funciones.</w:t>
      </w:r>
    </w:p>
    <w:p>
      <w:pPr>
        <w:pStyle w:val="BodyText"/>
        <w:spacing w:before="2"/>
        <w:rPr>
          <w:sz w:val="20"/>
        </w:rPr>
      </w:pPr>
    </w:p>
    <w:p>
      <w:pPr>
        <w:pStyle w:val="Heading4"/>
        <w:spacing w:before="1"/>
        <w:rPr>
          <w:i/>
        </w:rPr>
      </w:pPr>
      <w:r>
        <w:rPr>
          <w:i/>
          <w:color w:val="231F20"/>
        </w:rPr>
        <w:t>El segundo gobierno de Durán 2006-2009</w:t>
      </w:r>
    </w:p>
    <w:p>
      <w:pPr>
        <w:pStyle w:val="BodyText"/>
        <w:spacing w:line="285" w:lineRule="auto" w:before="16"/>
        <w:ind w:left="110" w:right="567"/>
        <w:jc w:val="both"/>
      </w:pPr>
      <w:r>
        <w:rPr>
          <w:color w:val="231F20"/>
          <w:w w:val="105"/>
        </w:rPr>
        <w:t>Después de su </w:t>
      </w:r>
      <w:r>
        <w:rPr>
          <w:color w:val="231F20"/>
          <w:spacing w:val="2"/>
          <w:w w:val="105"/>
        </w:rPr>
        <w:t>paso </w:t>
      </w:r>
      <w:r>
        <w:rPr>
          <w:color w:val="231F20"/>
          <w:w w:val="105"/>
        </w:rPr>
        <w:t>por la presidencia </w:t>
      </w:r>
      <w:r>
        <w:rPr>
          <w:color w:val="231F20"/>
          <w:spacing w:val="2"/>
          <w:w w:val="105"/>
        </w:rPr>
        <w:t>municipal, </w:t>
      </w:r>
      <w:r>
        <w:rPr>
          <w:color w:val="231F20"/>
          <w:spacing w:val="3"/>
          <w:w w:val="105"/>
        </w:rPr>
        <w:t>Durán </w:t>
      </w:r>
      <w:r>
        <w:rPr>
          <w:color w:val="231F20"/>
          <w:w w:val="105"/>
        </w:rPr>
        <w:t>se </w:t>
      </w:r>
      <w:r>
        <w:rPr>
          <w:color w:val="231F20"/>
          <w:spacing w:val="2"/>
          <w:w w:val="105"/>
        </w:rPr>
        <w:t>convirtió </w:t>
      </w:r>
      <w:r>
        <w:rPr>
          <w:color w:val="231F20"/>
          <w:w w:val="105"/>
        </w:rPr>
        <w:t>en uno de los dirigentes</w:t>
      </w:r>
      <w:r>
        <w:rPr>
          <w:color w:val="231F20"/>
          <w:spacing w:val="-5"/>
          <w:w w:val="105"/>
        </w:rPr>
        <w:t> </w:t>
      </w:r>
      <w:r>
        <w:rPr>
          <w:color w:val="231F20"/>
          <w:spacing w:val="2"/>
          <w:w w:val="105"/>
        </w:rPr>
        <w:t>más</w:t>
      </w:r>
      <w:r>
        <w:rPr>
          <w:color w:val="231F20"/>
          <w:spacing w:val="-5"/>
          <w:w w:val="105"/>
        </w:rPr>
        <w:t> </w:t>
      </w:r>
      <w:r>
        <w:rPr>
          <w:color w:val="231F20"/>
          <w:spacing w:val="2"/>
          <w:w w:val="105"/>
        </w:rPr>
        <w:t>importantes</w:t>
      </w:r>
      <w:r>
        <w:rPr>
          <w:color w:val="231F20"/>
          <w:spacing w:val="-5"/>
          <w:w w:val="105"/>
        </w:rPr>
        <w:t> </w:t>
      </w:r>
      <w:r>
        <w:rPr>
          <w:color w:val="231F20"/>
          <w:w w:val="105"/>
        </w:rPr>
        <w:t>de</w:t>
      </w:r>
      <w:r>
        <w:rPr>
          <w:color w:val="231F20"/>
          <w:spacing w:val="-5"/>
          <w:w w:val="105"/>
        </w:rPr>
        <w:t> </w:t>
      </w:r>
      <w:r>
        <w:rPr>
          <w:color w:val="231F20"/>
          <w:w w:val="105"/>
        </w:rPr>
        <w:t>Acción</w:t>
      </w:r>
      <w:r>
        <w:rPr>
          <w:color w:val="231F20"/>
          <w:spacing w:val="-5"/>
          <w:w w:val="105"/>
        </w:rPr>
        <w:t> </w:t>
      </w:r>
      <w:r>
        <w:rPr>
          <w:color w:val="231F20"/>
          <w:w w:val="105"/>
        </w:rPr>
        <w:t>Nacional</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entidad.</w:t>
      </w:r>
      <w:r>
        <w:rPr>
          <w:color w:val="231F20"/>
          <w:spacing w:val="-5"/>
          <w:w w:val="105"/>
        </w:rPr>
        <w:t> </w:t>
      </w:r>
      <w:r>
        <w:rPr>
          <w:color w:val="231F20"/>
          <w:w w:val="105"/>
        </w:rPr>
        <w:t>Incluso</w:t>
      </w:r>
      <w:r>
        <w:rPr>
          <w:color w:val="231F20"/>
          <w:spacing w:val="-5"/>
          <w:w w:val="105"/>
        </w:rPr>
        <w:t> </w:t>
      </w:r>
      <w:r>
        <w:rPr>
          <w:color w:val="231F20"/>
          <w:w w:val="105"/>
        </w:rPr>
        <w:t>esto</w:t>
      </w:r>
      <w:r>
        <w:rPr>
          <w:color w:val="231F20"/>
          <w:spacing w:val="-5"/>
          <w:w w:val="105"/>
        </w:rPr>
        <w:t> </w:t>
      </w:r>
      <w:r>
        <w:rPr>
          <w:color w:val="231F20"/>
          <w:w w:val="105"/>
        </w:rPr>
        <w:t>le</w:t>
      </w:r>
      <w:r>
        <w:rPr>
          <w:color w:val="231F20"/>
          <w:spacing w:val="-5"/>
          <w:w w:val="105"/>
        </w:rPr>
        <w:t> </w:t>
      </w:r>
      <w:r>
        <w:rPr>
          <w:color w:val="231F20"/>
          <w:spacing w:val="2"/>
          <w:w w:val="105"/>
        </w:rPr>
        <w:t>permitió integrarse </w:t>
      </w:r>
      <w:r>
        <w:rPr>
          <w:color w:val="231F20"/>
          <w:w w:val="105"/>
        </w:rPr>
        <w:t>a la dirigencia nacional, encabezada en ese entonces por otro de los líderes mexiquenses, </w:t>
      </w:r>
      <w:r>
        <w:rPr>
          <w:color w:val="231F20"/>
          <w:spacing w:val="2"/>
          <w:w w:val="105"/>
        </w:rPr>
        <w:t>Luis </w:t>
      </w:r>
      <w:r>
        <w:rPr>
          <w:color w:val="231F20"/>
          <w:w w:val="105"/>
        </w:rPr>
        <w:t>Felipe Bravo Mena. Posteriormente su peso político se incrementó </w:t>
      </w:r>
      <w:r>
        <w:rPr>
          <w:color w:val="231F20"/>
          <w:spacing w:val="3"/>
          <w:w w:val="105"/>
        </w:rPr>
        <w:t>al pasar </w:t>
      </w:r>
      <w:r>
        <w:rPr>
          <w:color w:val="231F20"/>
          <w:w w:val="105"/>
        </w:rPr>
        <w:t>a formar </w:t>
      </w:r>
      <w:r>
        <w:rPr>
          <w:color w:val="231F20"/>
          <w:spacing w:val="3"/>
          <w:w w:val="105"/>
        </w:rPr>
        <w:t>parte </w:t>
      </w:r>
      <w:r>
        <w:rPr>
          <w:color w:val="231F20"/>
          <w:w w:val="105"/>
        </w:rPr>
        <w:t>del gobierno del Presidente Vicente Fox. Fue </w:t>
      </w:r>
      <w:r>
        <w:rPr>
          <w:color w:val="231F20"/>
          <w:spacing w:val="2"/>
          <w:w w:val="105"/>
        </w:rPr>
        <w:t>subsecretario</w:t>
      </w:r>
      <w:r>
        <w:rPr>
          <w:color w:val="231F20"/>
          <w:spacing w:val="61"/>
          <w:w w:val="105"/>
        </w:rPr>
        <w:t> </w:t>
      </w:r>
      <w:r>
        <w:rPr>
          <w:color w:val="231F20"/>
          <w:w w:val="105"/>
        </w:rPr>
        <w:t>de Comunicación </w:t>
      </w:r>
      <w:r>
        <w:rPr>
          <w:color w:val="231F20"/>
          <w:spacing w:val="3"/>
          <w:w w:val="105"/>
        </w:rPr>
        <w:t>Social </w:t>
      </w:r>
      <w:r>
        <w:rPr>
          <w:color w:val="231F20"/>
          <w:w w:val="105"/>
        </w:rPr>
        <w:t>de la </w:t>
      </w:r>
      <w:r>
        <w:rPr>
          <w:color w:val="231F20"/>
          <w:spacing w:val="2"/>
          <w:w w:val="105"/>
        </w:rPr>
        <w:t>Secretaría </w:t>
      </w:r>
      <w:r>
        <w:rPr>
          <w:color w:val="231F20"/>
          <w:w w:val="105"/>
        </w:rPr>
        <w:t>de Gobernación, dependencia que </w:t>
      </w:r>
      <w:r>
        <w:rPr>
          <w:color w:val="231F20"/>
          <w:spacing w:val="2"/>
          <w:w w:val="105"/>
        </w:rPr>
        <w:t>estaba </w:t>
      </w:r>
      <w:r>
        <w:rPr>
          <w:color w:val="231F20"/>
          <w:w w:val="105"/>
        </w:rPr>
        <w:t>a cargo de Santiago</w:t>
      </w:r>
      <w:r>
        <w:rPr>
          <w:color w:val="231F20"/>
          <w:spacing w:val="-22"/>
          <w:w w:val="105"/>
        </w:rPr>
        <w:t> </w:t>
      </w:r>
      <w:r>
        <w:rPr>
          <w:color w:val="231F20"/>
          <w:w w:val="105"/>
        </w:rPr>
        <w:t>Creel.</w:t>
      </w:r>
    </w:p>
    <w:p>
      <w:pPr>
        <w:spacing w:after="0" w:line="285" w:lineRule="auto"/>
        <w:jc w:val="both"/>
        <w:sectPr>
          <w:pgSz w:w="9640" w:h="12190"/>
          <w:pgMar w:header="0" w:footer="743" w:top="1120" w:bottom="940" w:left="740" w:right="280"/>
        </w:sectPr>
      </w:pPr>
    </w:p>
    <w:p>
      <w:pPr>
        <w:pStyle w:val="BodyText"/>
        <w:spacing w:before="3"/>
        <w:rPr>
          <w:sz w:val="11"/>
        </w:rPr>
      </w:pPr>
    </w:p>
    <w:p>
      <w:pPr>
        <w:pStyle w:val="BodyText"/>
        <w:spacing w:line="285" w:lineRule="auto" w:before="36"/>
        <w:ind w:left="110" w:right="107"/>
        <w:jc w:val="both"/>
      </w:pPr>
      <w:r>
        <w:rPr>
          <w:color w:val="231F20"/>
          <w:w w:val="105"/>
        </w:rPr>
        <w:t>Sin una trayectoria trascendental en este cargo, Durán optó por volver </w:t>
      </w:r>
      <w:r>
        <w:rPr>
          <w:color w:val="231F20"/>
          <w:spacing w:val="2"/>
          <w:w w:val="105"/>
        </w:rPr>
        <w:t>al </w:t>
      </w:r>
      <w:r>
        <w:rPr>
          <w:color w:val="231F20"/>
          <w:w w:val="105"/>
        </w:rPr>
        <w:t>Estado de México</w:t>
      </w:r>
      <w:r>
        <w:rPr>
          <w:color w:val="231F20"/>
          <w:spacing w:val="-15"/>
          <w:w w:val="105"/>
        </w:rPr>
        <w:t> </w:t>
      </w:r>
      <w:r>
        <w:rPr>
          <w:color w:val="231F20"/>
          <w:w w:val="105"/>
        </w:rPr>
        <w:t>y</w:t>
      </w:r>
      <w:r>
        <w:rPr>
          <w:color w:val="231F20"/>
          <w:spacing w:val="-15"/>
          <w:w w:val="105"/>
        </w:rPr>
        <w:t> </w:t>
      </w:r>
      <w:r>
        <w:rPr>
          <w:color w:val="231F20"/>
          <w:w w:val="105"/>
        </w:rPr>
        <w:t>competir</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gubernatura.</w:t>
      </w:r>
      <w:r>
        <w:rPr>
          <w:color w:val="231F20"/>
          <w:spacing w:val="-15"/>
          <w:w w:val="105"/>
        </w:rPr>
        <w:t> </w:t>
      </w:r>
      <w:r>
        <w:rPr>
          <w:color w:val="231F20"/>
          <w:w w:val="105"/>
        </w:rPr>
        <w:t>Sus</w:t>
      </w:r>
      <w:r>
        <w:rPr>
          <w:color w:val="231F20"/>
          <w:spacing w:val="-15"/>
          <w:w w:val="105"/>
        </w:rPr>
        <w:t> </w:t>
      </w:r>
      <w:r>
        <w:rPr>
          <w:color w:val="231F20"/>
          <w:w w:val="105"/>
        </w:rPr>
        <w:t>esfuerzos</w:t>
      </w:r>
      <w:r>
        <w:rPr>
          <w:color w:val="231F20"/>
          <w:spacing w:val="-15"/>
          <w:w w:val="105"/>
        </w:rPr>
        <w:t> </w:t>
      </w:r>
      <w:r>
        <w:rPr>
          <w:color w:val="231F20"/>
          <w:w w:val="105"/>
        </w:rPr>
        <w:t>se</w:t>
      </w:r>
      <w:r>
        <w:rPr>
          <w:color w:val="231F20"/>
          <w:spacing w:val="-15"/>
          <w:w w:val="105"/>
        </w:rPr>
        <w:t> </w:t>
      </w:r>
      <w:r>
        <w:rPr>
          <w:color w:val="231F20"/>
          <w:w w:val="105"/>
        </w:rPr>
        <w:t>vieron</w:t>
      </w:r>
      <w:r>
        <w:rPr>
          <w:color w:val="231F20"/>
          <w:spacing w:val="-15"/>
          <w:w w:val="105"/>
        </w:rPr>
        <w:t> </w:t>
      </w:r>
      <w:r>
        <w:rPr>
          <w:color w:val="231F20"/>
          <w:w w:val="105"/>
        </w:rPr>
        <w:t>frustrados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presen- cia</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adversario</w:t>
      </w:r>
      <w:r>
        <w:rPr>
          <w:color w:val="231F20"/>
          <w:spacing w:val="-7"/>
          <w:w w:val="105"/>
        </w:rPr>
        <w:t> </w:t>
      </w:r>
      <w:r>
        <w:rPr>
          <w:color w:val="231F20"/>
          <w:w w:val="105"/>
        </w:rPr>
        <w:t>fuerte:</w:t>
      </w:r>
      <w:r>
        <w:rPr>
          <w:color w:val="231F20"/>
          <w:spacing w:val="-7"/>
          <w:w w:val="105"/>
        </w:rPr>
        <w:t> </w:t>
      </w:r>
      <w:r>
        <w:rPr>
          <w:color w:val="231F20"/>
          <w:w w:val="105"/>
        </w:rPr>
        <w:t>el</w:t>
      </w:r>
      <w:r>
        <w:rPr>
          <w:color w:val="231F20"/>
          <w:spacing w:val="-7"/>
          <w:w w:val="105"/>
        </w:rPr>
        <w:t> </w:t>
      </w:r>
      <w:r>
        <w:rPr>
          <w:color w:val="231F20"/>
          <w:w w:val="105"/>
        </w:rPr>
        <w:t>ex</w:t>
      </w:r>
      <w:r>
        <w:rPr>
          <w:color w:val="231F20"/>
          <w:spacing w:val="-7"/>
          <w:w w:val="105"/>
        </w:rPr>
        <w:t> </w:t>
      </w:r>
      <w:r>
        <w:rPr>
          <w:color w:val="231F20"/>
          <w:w w:val="105"/>
        </w:rPr>
        <w:t>priísta</w:t>
      </w:r>
      <w:r>
        <w:rPr>
          <w:color w:val="231F20"/>
          <w:spacing w:val="-7"/>
          <w:w w:val="105"/>
        </w:rPr>
        <w:t> </w:t>
      </w:r>
      <w:r>
        <w:rPr>
          <w:color w:val="231F20"/>
          <w:w w:val="105"/>
        </w:rPr>
        <w:t>Rubén</w:t>
      </w:r>
      <w:r>
        <w:rPr>
          <w:color w:val="231F20"/>
          <w:spacing w:val="-7"/>
          <w:w w:val="105"/>
        </w:rPr>
        <w:t> </w:t>
      </w:r>
      <w:r>
        <w:rPr>
          <w:color w:val="231F20"/>
          <w:w w:val="105"/>
        </w:rPr>
        <w:t>Mendoza</w:t>
      </w:r>
      <w:r>
        <w:rPr>
          <w:color w:val="231F20"/>
          <w:spacing w:val="-7"/>
          <w:w w:val="105"/>
        </w:rPr>
        <w:t> </w:t>
      </w:r>
      <w:r>
        <w:rPr>
          <w:color w:val="231F20"/>
          <w:w w:val="105"/>
        </w:rPr>
        <w:t>Ayala.</w:t>
      </w:r>
      <w:r>
        <w:rPr>
          <w:color w:val="231F20"/>
          <w:spacing w:val="-7"/>
          <w:w w:val="105"/>
        </w:rPr>
        <w:t> </w:t>
      </w:r>
      <w:r>
        <w:rPr>
          <w:color w:val="231F20"/>
          <w:w w:val="105"/>
        </w:rPr>
        <w:t>El</w:t>
      </w:r>
      <w:r>
        <w:rPr>
          <w:color w:val="231F20"/>
          <w:spacing w:val="-7"/>
          <w:w w:val="105"/>
        </w:rPr>
        <w:t> </w:t>
      </w:r>
      <w:r>
        <w:rPr>
          <w:color w:val="231F20"/>
          <w:w w:val="105"/>
        </w:rPr>
        <w:t>proceso</w:t>
      </w:r>
      <w:r>
        <w:rPr>
          <w:color w:val="231F20"/>
          <w:spacing w:val="-7"/>
          <w:w w:val="105"/>
        </w:rPr>
        <w:t> </w:t>
      </w:r>
      <w:r>
        <w:rPr>
          <w:color w:val="231F20"/>
          <w:w w:val="105"/>
        </w:rPr>
        <w:t>interno</w:t>
      </w:r>
      <w:r>
        <w:rPr>
          <w:color w:val="231F20"/>
          <w:spacing w:val="-7"/>
          <w:w w:val="105"/>
        </w:rPr>
        <w:t> </w:t>
      </w:r>
      <w:r>
        <w:rPr>
          <w:color w:val="231F20"/>
          <w:w w:val="105"/>
        </w:rPr>
        <w:t>fue difícil para el panismo local: en primer lugar porque la autoridad electoral sancionó </w:t>
      </w:r>
      <w:r>
        <w:rPr>
          <w:color w:val="231F20"/>
          <w:spacing w:val="2"/>
          <w:w w:val="105"/>
        </w:rPr>
        <w:t>al </w:t>
      </w:r>
      <w:r>
        <w:rPr>
          <w:color w:val="231F20"/>
          <w:w w:val="105"/>
        </w:rPr>
        <w:t>partido por adelantar los tiempos electorales (comenzando las campañas un año y me- dio</w:t>
      </w:r>
      <w:r>
        <w:rPr>
          <w:color w:val="231F20"/>
          <w:spacing w:val="-14"/>
          <w:w w:val="105"/>
        </w:rPr>
        <w:t> </w:t>
      </w:r>
      <w:r>
        <w:rPr>
          <w:color w:val="231F20"/>
          <w:w w:val="105"/>
        </w:rPr>
        <w:t>antes</w:t>
      </w:r>
      <w:r>
        <w:rPr>
          <w:color w:val="231F20"/>
          <w:spacing w:val="-14"/>
          <w:w w:val="105"/>
        </w:rPr>
        <w:t> </w:t>
      </w:r>
      <w:r>
        <w:rPr>
          <w:color w:val="231F20"/>
          <w:w w:val="105"/>
        </w:rPr>
        <w:t>del</w:t>
      </w:r>
      <w:r>
        <w:rPr>
          <w:color w:val="231F20"/>
          <w:spacing w:val="-14"/>
          <w:w w:val="105"/>
        </w:rPr>
        <w:t> </w:t>
      </w:r>
      <w:r>
        <w:rPr>
          <w:color w:val="231F20"/>
          <w:w w:val="105"/>
        </w:rPr>
        <w:t>proceso</w:t>
      </w:r>
      <w:r>
        <w:rPr>
          <w:color w:val="231F20"/>
          <w:spacing w:val="-14"/>
          <w:w w:val="105"/>
        </w:rPr>
        <w:t> </w:t>
      </w:r>
      <w:r>
        <w:rPr>
          <w:color w:val="231F20"/>
          <w:w w:val="105"/>
        </w:rPr>
        <w:t>electoral,</w:t>
      </w:r>
      <w:r>
        <w:rPr>
          <w:color w:val="231F20"/>
          <w:spacing w:val="-14"/>
          <w:w w:val="105"/>
        </w:rPr>
        <w:t> </w:t>
      </w:r>
      <w:r>
        <w:rPr>
          <w:color w:val="231F20"/>
          <w:w w:val="105"/>
        </w:rPr>
        <w:t>aproximadamente);</w:t>
      </w:r>
      <w:r>
        <w:rPr>
          <w:color w:val="231F20"/>
          <w:spacing w:val="-14"/>
          <w:w w:val="105"/>
        </w:rPr>
        <w:t> </w:t>
      </w:r>
      <w:r>
        <w:rPr>
          <w:color w:val="231F20"/>
          <w:w w:val="105"/>
        </w:rPr>
        <w:t>en</w:t>
      </w:r>
      <w:r>
        <w:rPr>
          <w:color w:val="231F20"/>
          <w:spacing w:val="-14"/>
          <w:w w:val="105"/>
        </w:rPr>
        <w:t> </w:t>
      </w:r>
      <w:r>
        <w:rPr>
          <w:color w:val="231F20"/>
          <w:w w:val="105"/>
        </w:rPr>
        <w:t>segundo,</w:t>
      </w:r>
      <w:r>
        <w:rPr>
          <w:color w:val="231F20"/>
          <w:spacing w:val="-14"/>
          <w:w w:val="105"/>
        </w:rPr>
        <w:t> </w:t>
      </w:r>
      <w:r>
        <w:rPr>
          <w:color w:val="231F20"/>
          <w:w w:val="105"/>
        </w:rPr>
        <w:t>porque</w:t>
      </w:r>
      <w:r>
        <w:rPr>
          <w:color w:val="231F20"/>
          <w:spacing w:val="-14"/>
          <w:w w:val="105"/>
        </w:rPr>
        <w:t> </w:t>
      </w:r>
      <w:r>
        <w:rPr>
          <w:color w:val="231F20"/>
          <w:w w:val="105"/>
        </w:rPr>
        <w:t>el</w:t>
      </w:r>
      <w:r>
        <w:rPr>
          <w:color w:val="231F20"/>
          <w:spacing w:val="-14"/>
          <w:w w:val="105"/>
        </w:rPr>
        <w:t> </w:t>
      </w:r>
      <w:r>
        <w:rPr>
          <w:color w:val="231F20"/>
          <w:w w:val="105"/>
        </w:rPr>
        <w:t>resultado</w:t>
      </w:r>
      <w:r>
        <w:rPr>
          <w:color w:val="231F20"/>
          <w:spacing w:val="-14"/>
          <w:w w:val="105"/>
        </w:rPr>
        <w:t> </w:t>
      </w:r>
      <w:r>
        <w:rPr>
          <w:color w:val="231F20"/>
          <w:w w:val="105"/>
        </w:rPr>
        <w:t>fue impugnado por Durán ante las instancias legales del partido y también ante el tribunal electoral.</w:t>
      </w:r>
      <w:r>
        <w:rPr>
          <w:color w:val="231F20"/>
          <w:spacing w:val="-13"/>
          <w:w w:val="105"/>
        </w:rPr>
        <w:t> </w:t>
      </w:r>
      <w:r>
        <w:rPr>
          <w:color w:val="231F20"/>
          <w:w w:val="105"/>
        </w:rPr>
        <w:t>La</w:t>
      </w:r>
      <w:r>
        <w:rPr>
          <w:color w:val="231F20"/>
          <w:spacing w:val="-13"/>
          <w:w w:val="105"/>
        </w:rPr>
        <w:t> </w:t>
      </w:r>
      <w:r>
        <w:rPr>
          <w:color w:val="231F20"/>
          <w:w w:val="105"/>
        </w:rPr>
        <w:t>denuncia</w:t>
      </w:r>
      <w:r>
        <w:rPr>
          <w:color w:val="231F20"/>
          <w:spacing w:val="-13"/>
          <w:w w:val="105"/>
        </w:rPr>
        <w:t> </w:t>
      </w:r>
      <w:r>
        <w:rPr>
          <w:color w:val="231F20"/>
          <w:w w:val="105"/>
        </w:rPr>
        <w:t>de</w:t>
      </w:r>
      <w:r>
        <w:rPr>
          <w:color w:val="231F20"/>
          <w:spacing w:val="-13"/>
          <w:w w:val="105"/>
        </w:rPr>
        <w:t> </w:t>
      </w:r>
      <w:r>
        <w:rPr>
          <w:color w:val="231F20"/>
          <w:w w:val="105"/>
        </w:rPr>
        <w:t>irregularidades</w:t>
      </w:r>
      <w:r>
        <w:rPr>
          <w:color w:val="231F20"/>
          <w:spacing w:val="-13"/>
          <w:w w:val="105"/>
        </w:rPr>
        <w:t> </w:t>
      </w:r>
      <w:r>
        <w:rPr>
          <w:color w:val="231F20"/>
          <w:w w:val="105"/>
        </w:rPr>
        <w:t>por</w:t>
      </w:r>
      <w:r>
        <w:rPr>
          <w:color w:val="231F20"/>
          <w:spacing w:val="-13"/>
          <w:w w:val="105"/>
        </w:rPr>
        <w:t> </w:t>
      </w:r>
      <w:r>
        <w:rPr>
          <w:color w:val="231F20"/>
          <w:w w:val="105"/>
        </w:rPr>
        <w:t>parte</w:t>
      </w:r>
      <w:r>
        <w:rPr>
          <w:color w:val="231F20"/>
          <w:spacing w:val="-13"/>
          <w:w w:val="105"/>
        </w:rPr>
        <w:t> </w:t>
      </w:r>
      <w:r>
        <w:rPr>
          <w:color w:val="231F20"/>
          <w:w w:val="105"/>
        </w:rPr>
        <w:t>del</w:t>
      </w:r>
      <w:r>
        <w:rPr>
          <w:color w:val="231F20"/>
          <w:spacing w:val="-13"/>
          <w:w w:val="105"/>
        </w:rPr>
        <w:t> </w:t>
      </w:r>
      <w:r>
        <w:rPr>
          <w:color w:val="231F20"/>
          <w:w w:val="105"/>
        </w:rPr>
        <w:t>primero</w:t>
      </w:r>
      <w:r>
        <w:rPr>
          <w:color w:val="231F20"/>
          <w:spacing w:val="-13"/>
          <w:w w:val="105"/>
        </w:rPr>
        <w:t> </w:t>
      </w:r>
      <w:r>
        <w:rPr>
          <w:color w:val="231F20"/>
          <w:w w:val="105"/>
        </w:rPr>
        <w:t>hacia</w:t>
      </w:r>
      <w:r>
        <w:rPr>
          <w:color w:val="231F20"/>
          <w:spacing w:val="-13"/>
          <w:w w:val="105"/>
        </w:rPr>
        <w:t> </w:t>
      </w:r>
      <w:r>
        <w:rPr>
          <w:color w:val="231F20"/>
          <w:w w:val="105"/>
        </w:rPr>
        <w:t>su</w:t>
      </w:r>
      <w:r>
        <w:rPr>
          <w:color w:val="231F20"/>
          <w:spacing w:val="-13"/>
          <w:w w:val="105"/>
        </w:rPr>
        <w:t> </w:t>
      </w:r>
      <w:r>
        <w:rPr>
          <w:color w:val="231F20"/>
          <w:w w:val="105"/>
        </w:rPr>
        <w:t>adversario</w:t>
      </w:r>
      <w:r>
        <w:rPr>
          <w:color w:val="231F20"/>
          <w:spacing w:val="-13"/>
          <w:w w:val="105"/>
        </w:rPr>
        <w:t> </w:t>
      </w:r>
      <w:r>
        <w:rPr>
          <w:color w:val="231F20"/>
          <w:w w:val="105"/>
        </w:rPr>
        <w:t>pro- vocó</w:t>
      </w:r>
      <w:r>
        <w:rPr>
          <w:color w:val="231F20"/>
          <w:spacing w:val="-22"/>
          <w:w w:val="105"/>
        </w:rPr>
        <w:t> </w:t>
      </w:r>
      <w:r>
        <w:rPr>
          <w:color w:val="231F20"/>
          <w:w w:val="105"/>
        </w:rPr>
        <w:t>una</w:t>
      </w:r>
      <w:r>
        <w:rPr>
          <w:color w:val="231F20"/>
          <w:spacing w:val="-22"/>
          <w:w w:val="105"/>
        </w:rPr>
        <w:t> </w:t>
      </w:r>
      <w:r>
        <w:rPr>
          <w:color w:val="231F20"/>
          <w:w w:val="105"/>
        </w:rPr>
        <w:t>división</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dirigencia</w:t>
      </w:r>
      <w:r>
        <w:rPr>
          <w:color w:val="231F20"/>
          <w:spacing w:val="-22"/>
          <w:w w:val="105"/>
        </w:rPr>
        <w:t> </w:t>
      </w:r>
      <w:r>
        <w:rPr>
          <w:color w:val="231F20"/>
          <w:w w:val="105"/>
        </w:rPr>
        <w:t>nacional.</w:t>
      </w:r>
      <w:r>
        <w:rPr>
          <w:color w:val="231F20"/>
          <w:spacing w:val="-22"/>
          <w:w w:val="105"/>
        </w:rPr>
        <w:t> </w:t>
      </w:r>
      <w:r>
        <w:rPr>
          <w:color w:val="231F20"/>
          <w:w w:val="105"/>
        </w:rPr>
        <w:t>Solo</w:t>
      </w:r>
      <w:r>
        <w:rPr>
          <w:color w:val="231F20"/>
          <w:spacing w:val="-22"/>
          <w:w w:val="105"/>
        </w:rPr>
        <w:t> </w:t>
      </w:r>
      <w:r>
        <w:rPr>
          <w:color w:val="231F20"/>
          <w:w w:val="105"/>
        </w:rPr>
        <w:t>el</w:t>
      </w:r>
      <w:r>
        <w:rPr>
          <w:color w:val="231F20"/>
          <w:spacing w:val="-22"/>
          <w:w w:val="105"/>
        </w:rPr>
        <w:t> </w:t>
      </w:r>
      <w:r>
        <w:rPr>
          <w:color w:val="231F20"/>
          <w:w w:val="105"/>
        </w:rPr>
        <w:t>fallo</w:t>
      </w:r>
      <w:r>
        <w:rPr>
          <w:color w:val="231F20"/>
          <w:spacing w:val="-22"/>
          <w:w w:val="105"/>
        </w:rPr>
        <w:t> </w:t>
      </w:r>
      <w:r>
        <w:rPr>
          <w:color w:val="231F20"/>
          <w:w w:val="105"/>
        </w:rPr>
        <w:t>del</w:t>
      </w:r>
      <w:r>
        <w:rPr>
          <w:color w:val="231F20"/>
          <w:spacing w:val="-22"/>
          <w:w w:val="105"/>
        </w:rPr>
        <w:t> </w:t>
      </w:r>
      <w:r>
        <w:rPr>
          <w:color w:val="231F20"/>
          <w:w w:val="105"/>
        </w:rPr>
        <w:t>tribunal</w:t>
      </w:r>
      <w:r>
        <w:rPr>
          <w:color w:val="231F20"/>
          <w:spacing w:val="-22"/>
          <w:w w:val="105"/>
        </w:rPr>
        <w:t> </w:t>
      </w:r>
      <w:r>
        <w:rPr>
          <w:color w:val="231F20"/>
          <w:w w:val="105"/>
        </w:rPr>
        <w:t>a</w:t>
      </w:r>
      <w:r>
        <w:rPr>
          <w:color w:val="231F20"/>
          <w:spacing w:val="-22"/>
          <w:w w:val="105"/>
        </w:rPr>
        <w:t> </w:t>
      </w:r>
      <w:r>
        <w:rPr>
          <w:color w:val="231F20"/>
          <w:w w:val="105"/>
        </w:rPr>
        <w:t>favor</w:t>
      </w:r>
      <w:r>
        <w:rPr>
          <w:color w:val="231F20"/>
          <w:spacing w:val="-22"/>
          <w:w w:val="105"/>
        </w:rPr>
        <w:t> </w:t>
      </w:r>
      <w:r>
        <w:rPr>
          <w:color w:val="231F20"/>
          <w:w w:val="105"/>
        </w:rPr>
        <w:t>de</w:t>
      </w:r>
      <w:r>
        <w:rPr>
          <w:color w:val="231F20"/>
          <w:spacing w:val="-22"/>
          <w:w w:val="105"/>
        </w:rPr>
        <w:t> </w:t>
      </w:r>
      <w:r>
        <w:rPr>
          <w:color w:val="231F20"/>
          <w:w w:val="105"/>
        </w:rPr>
        <w:t>Mendoza Ayala</w:t>
      </w:r>
      <w:r>
        <w:rPr>
          <w:color w:val="231F20"/>
          <w:spacing w:val="-12"/>
          <w:w w:val="105"/>
        </w:rPr>
        <w:t> </w:t>
      </w:r>
      <w:r>
        <w:rPr>
          <w:color w:val="231F20"/>
          <w:w w:val="105"/>
        </w:rPr>
        <w:t>canceló</w:t>
      </w:r>
      <w:r>
        <w:rPr>
          <w:color w:val="231F20"/>
          <w:spacing w:val="-12"/>
          <w:w w:val="105"/>
        </w:rPr>
        <w:t> </w:t>
      </w:r>
      <w:r>
        <w:rPr>
          <w:color w:val="231F20"/>
          <w:w w:val="105"/>
        </w:rPr>
        <w:t>toda</w:t>
      </w:r>
      <w:r>
        <w:rPr>
          <w:color w:val="231F20"/>
          <w:spacing w:val="-12"/>
          <w:w w:val="105"/>
        </w:rPr>
        <w:t> </w:t>
      </w:r>
      <w:r>
        <w:rPr>
          <w:color w:val="231F20"/>
          <w:w w:val="105"/>
        </w:rPr>
        <w:t>posibilidad</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nueva</w:t>
      </w:r>
      <w:r>
        <w:rPr>
          <w:color w:val="231F20"/>
          <w:spacing w:val="-12"/>
          <w:w w:val="105"/>
        </w:rPr>
        <w:t> </w:t>
      </w:r>
      <w:r>
        <w:rPr>
          <w:color w:val="231F20"/>
          <w:w w:val="105"/>
        </w:rPr>
        <w:t>reacción</w:t>
      </w:r>
      <w:r>
        <w:rPr>
          <w:color w:val="231F20"/>
          <w:spacing w:val="-12"/>
          <w:w w:val="105"/>
        </w:rPr>
        <w:t> </w:t>
      </w:r>
      <w:r>
        <w:rPr>
          <w:color w:val="231F20"/>
          <w:w w:val="105"/>
        </w:rPr>
        <w:t>de</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Durán.</w:t>
      </w:r>
    </w:p>
    <w:p>
      <w:pPr>
        <w:pStyle w:val="BodyText"/>
        <w:spacing w:before="1"/>
        <w:rPr>
          <w:sz w:val="26"/>
        </w:rPr>
      </w:pPr>
    </w:p>
    <w:p>
      <w:pPr>
        <w:pStyle w:val="BodyText"/>
        <w:spacing w:line="285" w:lineRule="auto"/>
        <w:ind w:left="110" w:right="108"/>
        <w:jc w:val="both"/>
        <w:rPr>
          <w:sz w:val="13"/>
        </w:rPr>
      </w:pPr>
      <w:r>
        <w:rPr>
          <w:color w:val="231F20"/>
          <w:w w:val="105"/>
        </w:rPr>
        <w:t>Derivado</w:t>
      </w:r>
      <w:r>
        <w:rPr>
          <w:color w:val="231F20"/>
          <w:spacing w:val="-20"/>
          <w:w w:val="105"/>
        </w:rPr>
        <w:t> </w:t>
      </w:r>
      <w:r>
        <w:rPr>
          <w:color w:val="231F20"/>
          <w:w w:val="105"/>
        </w:rPr>
        <w:t>de</w:t>
      </w:r>
      <w:r>
        <w:rPr>
          <w:color w:val="231F20"/>
          <w:spacing w:val="-20"/>
          <w:w w:val="105"/>
        </w:rPr>
        <w:t> </w:t>
      </w:r>
      <w:r>
        <w:rPr>
          <w:color w:val="231F20"/>
          <w:w w:val="105"/>
        </w:rPr>
        <w:t>esta</w:t>
      </w:r>
      <w:r>
        <w:rPr>
          <w:color w:val="231F20"/>
          <w:spacing w:val="-20"/>
          <w:w w:val="105"/>
        </w:rPr>
        <w:t> </w:t>
      </w:r>
      <w:r>
        <w:rPr>
          <w:color w:val="231F20"/>
          <w:w w:val="105"/>
        </w:rPr>
        <w:t>situación,</w:t>
      </w:r>
      <w:r>
        <w:rPr>
          <w:color w:val="231F20"/>
          <w:spacing w:val="-20"/>
          <w:w w:val="105"/>
        </w:rPr>
        <w:t> </w:t>
      </w:r>
      <w:r>
        <w:rPr>
          <w:color w:val="231F20"/>
          <w:w w:val="105"/>
        </w:rPr>
        <w:t>y</w:t>
      </w:r>
      <w:r>
        <w:rPr>
          <w:color w:val="231F20"/>
          <w:spacing w:val="-20"/>
          <w:w w:val="105"/>
        </w:rPr>
        <w:t> </w:t>
      </w:r>
      <w:r>
        <w:rPr>
          <w:color w:val="231F20"/>
          <w:w w:val="105"/>
        </w:rPr>
        <w:t>sin</w:t>
      </w:r>
      <w:r>
        <w:rPr>
          <w:color w:val="231F20"/>
          <w:spacing w:val="-20"/>
          <w:w w:val="105"/>
        </w:rPr>
        <w:t> </w:t>
      </w:r>
      <w:r>
        <w:rPr>
          <w:color w:val="231F20"/>
          <w:w w:val="105"/>
        </w:rPr>
        <w:t>buscar</w:t>
      </w:r>
      <w:r>
        <w:rPr>
          <w:color w:val="231F20"/>
          <w:spacing w:val="-20"/>
          <w:w w:val="105"/>
        </w:rPr>
        <w:t> </w:t>
      </w:r>
      <w:r>
        <w:rPr>
          <w:color w:val="231F20"/>
          <w:w w:val="105"/>
        </w:rPr>
        <w:t>la</w:t>
      </w:r>
      <w:r>
        <w:rPr>
          <w:color w:val="231F20"/>
          <w:spacing w:val="-20"/>
          <w:w w:val="105"/>
        </w:rPr>
        <w:t> </w:t>
      </w:r>
      <w:r>
        <w:rPr>
          <w:color w:val="231F20"/>
          <w:w w:val="105"/>
        </w:rPr>
        <w:t>continuación</w:t>
      </w:r>
      <w:r>
        <w:rPr>
          <w:color w:val="231F20"/>
          <w:spacing w:val="-20"/>
          <w:w w:val="105"/>
        </w:rPr>
        <w:t> </w:t>
      </w:r>
      <w:r>
        <w:rPr>
          <w:color w:val="231F20"/>
          <w:w w:val="105"/>
        </w:rPr>
        <w:t>de</w:t>
      </w:r>
      <w:r>
        <w:rPr>
          <w:color w:val="231F20"/>
          <w:spacing w:val="-20"/>
          <w:w w:val="105"/>
        </w:rPr>
        <w:t> </w:t>
      </w:r>
      <w:r>
        <w:rPr>
          <w:color w:val="231F20"/>
          <w:w w:val="105"/>
        </w:rPr>
        <w:t>su</w:t>
      </w:r>
      <w:r>
        <w:rPr>
          <w:color w:val="231F20"/>
          <w:spacing w:val="-20"/>
          <w:w w:val="105"/>
        </w:rPr>
        <w:t> </w:t>
      </w:r>
      <w:r>
        <w:rPr>
          <w:color w:val="231F20"/>
          <w:w w:val="105"/>
        </w:rPr>
        <w:t>carrera</w:t>
      </w:r>
      <w:r>
        <w:rPr>
          <w:color w:val="231F20"/>
          <w:spacing w:val="-20"/>
          <w:w w:val="105"/>
        </w:rPr>
        <w:t> </w:t>
      </w:r>
      <w:r>
        <w:rPr>
          <w:color w:val="231F20"/>
          <w:w w:val="105"/>
        </w:rPr>
        <w:t>política</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plano federal,</w:t>
      </w:r>
      <w:r>
        <w:rPr>
          <w:color w:val="231F20"/>
          <w:spacing w:val="-11"/>
          <w:w w:val="105"/>
        </w:rPr>
        <w:t> </w:t>
      </w:r>
      <w:r>
        <w:rPr>
          <w:color w:val="231F20"/>
          <w:w w:val="105"/>
        </w:rPr>
        <w:t>Durán</w:t>
      </w:r>
      <w:r>
        <w:rPr>
          <w:color w:val="231F20"/>
          <w:spacing w:val="-11"/>
          <w:w w:val="105"/>
        </w:rPr>
        <w:t> </w:t>
      </w:r>
      <w:r>
        <w:rPr>
          <w:color w:val="231F20"/>
          <w:w w:val="105"/>
        </w:rPr>
        <w:t>prefirió</w:t>
      </w:r>
      <w:r>
        <w:rPr>
          <w:color w:val="231F20"/>
          <w:spacing w:val="-11"/>
          <w:w w:val="105"/>
        </w:rPr>
        <w:t> </w:t>
      </w:r>
      <w:r>
        <w:rPr>
          <w:color w:val="231F20"/>
          <w:w w:val="105"/>
        </w:rPr>
        <w:t>volver</w:t>
      </w:r>
      <w:r>
        <w:rPr>
          <w:color w:val="231F20"/>
          <w:spacing w:val="-11"/>
          <w:w w:val="105"/>
        </w:rPr>
        <w:t> </w:t>
      </w:r>
      <w:r>
        <w:rPr>
          <w:color w:val="231F20"/>
          <w:w w:val="105"/>
        </w:rPr>
        <w:t>a</w:t>
      </w:r>
      <w:r>
        <w:rPr>
          <w:color w:val="231F20"/>
          <w:spacing w:val="-11"/>
          <w:w w:val="105"/>
        </w:rPr>
        <w:t> </w:t>
      </w:r>
      <w:r>
        <w:rPr>
          <w:color w:val="231F20"/>
          <w:w w:val="105"/>
        </w:rPr>
        <w:t>lo</w:t>
      </w:r>
      <w:r>
        <w:rPr>
          <w:color w:val="231F20"/>
          <w:spacing w:val="-11"/>
          <w:w w:val="105"/>
        </w:rPr>
        <w:t> </w:t>
      </w:r>
      <w:r>
        <w:rPr>
          <w:color w:val="231F20"/>
          <w:w w:val="105"/>
        </w:rPr>
        <w:t>seguro,</w:t>
      </w:r>
      <w:r>
        <w:rPr>
          <w:color w:val="231F20"/>
          <w:spacing w:val="-11"/>
          <w:w w:val="105"/>
        </w:rPr>
        <w:t> </w:t>
      </w:r>
      <w:r>
        <w:rPr>
          <w:color w:val="231F20"/>
          <w:w w:val="105"/>
        </w:rPr>
        <w:t>a</w:t>
      </w:r>
      <w:r>
        <w:rPr>
          <w:color w:val="231F20"/>
          <w:spacing w:val="-11"/>
          <w:w w:val="105"/>
        </w:rPr>
        <w:t> </w:t>
      </w:r>
      <w:r>
        <w:rPr>
          <w:color w:val="231F20"/>
          <w:w w:val="105"/>
        </w:rPr>
        <w:t>algo</w:t>
      </w:r>
      <w:r>
        <w:rPr>
          <w:color w:val="231F20"/>
          <w:spacing w:val="-11"/>
          <w:w w:val="105"/>
        </w:rPr>
        <w:t> </w:t>
      </w:r>
      <w:r>
        <w:rPr>
          <w:color w:val="231F20"/>
          <w:w w:val="105"/>
        </w:rPr>
        <w:t>más</w:t>
      </w:r>
      <w:r>
        <w:rPr>
          <w:color w:val="231F20"/>
          <w:spacing w:val="-11"/>
          <w:w w:val="105"/>
        </w:rPr>
        <w:t> </w:t>
      </w:r>
      <w:r>
        <w:rPr>
          <w:color w:val="231F20"/>
          <w:w w:val="105"/>
        </w:rPr>
        <w:t>rentable</w:t>
      </w:r>
      <w:r>
        <w:rPr>
          <w:color w:val="231F20"/>
          <w:spacing w:val="-11"/>
          <w:w w:val="105"/>
        </w:rPr>
        <w:t> </w:t>
      </w:r>
      <w:r>
        <w:rPr>
          <w:color w:val="231F20"/>
          <w:w w:val="105"/>
        </w:rPr>
        <w:t>aunque</w:t>
      </w:r>
      <w:r>
        <w:rPr>
          <w:color w:val="231F20"/>
          <w:spacing w:val="-11"/>
          <w:w w:val="105"/>
        </w:rPr>
        <w:t> </w:t>
      </w:r>
      <w:r>
        <w:rPr>
          <w:color w:val="231F20"/>
          <w:w w:val="105"/>
        </w:rPr>
        <w:t>menos</w:t>
      </w:r>
      <w:r>
        <w:rPr>
          <w:color w:val="231F20"/>
          <w:spacing w:val="-11"/>
          <w:w w:val="105"/>
        </w:rPr>
        <w:t> </w:t>
      </w:r>
      <w:r>
        <w:rPr>
          <w:color w:val="231F20"/>
          <w:w w:val="105"/>
        </w:rPr>
        <w:t>duradero: contender</w:t>
      </w:r>
      <w:r>
        <w:rPr>
          <w:color w:val="231F20"/>
          <w:spacing w:val="-14"/>
          <w:w w:val="105"/>
        </w:rPr>
        <w:t> </w:t>
      </w:r>
      <w:r>
        <w:rPr>
          <w:color w:val="231F20"/>
          <w:w w:val="105"/>
        </w:rPr>
        <w:t>de</w:t>
      </w:r>
      <w:r>
        <w:rPr>
          <w:color w:val="231F20"/>
          <w:spacing w:val="-14"/>
          <w:w w:val="105"/>
        </w:rPr>
        <w:t> </w:t>
      </w:r>
      <w:r>
        <w:rPr>
          <w:color w:val="231F20"/>
          <w:w w:val="105"/>
        </w:rPr>
        <w:t>nuevo</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presidencia</w:t>
      </w:r>
      <w:r>
        <w:rPr>
          <w:color w:val="231F20"/>
          <w:spacing w:val="-14"/>
          <w:w w:val="105"/>
        </w:rPr>
        <w:t> </w:t>
      </w:r>
      <w:r>
        <w:rPr>
          <w:color w:val="231F20"/>
          <w:w w:val="105"/>
        </w:rPr>
        <w:t>municipal</w:t>
      </w:r>
      <w:r>
        <w:rPr>
          <w:color w:val="231F20"/>
          <w:spacing w:val="-14"/>
          <w:w w:val="105"/>
        </w:rPr>
        <w:t> </w:t>
      </w:r>
      <w:r>
        <w:rPr>
          <w:color w:val="231F20"/>
          <w:w w:val="105"/>
        </w:rPr>
        <w:t>de</w:t>
      </w:r>
      <w:r>
        <w:rPr>
          <w:color w:val="231F20"/>
          <w:spacing w:val="-14"/>
          <w:w w:val="105"/>
        </w:rPr>
        <w:t> </w:t>
      </w:r>
      <w:r>
        <w:rPr>
          <w:color w:val="231F20"/>
          <w:w w:val="105"/>
        </w:rPr>
        <w:t>Naucalpan</w:t>
      </w:r>
      <w:r>
        <w:rPr>
          <w:color w:val="231F20"/>
          <w:w w:val="105"/>
          <w:position w:val="7"/>
          <w:sz w:val="13"/>
        </w:rPr>
        <w:t>.11</w:t>
      </w:r>
    </w:p>
    <w:p>
      <w:pPr>
        <w:pStyle w:val="BodyText"/>
        <w:spacing w:before="2"/>
        <w:rPr>
          <w:sz w:val="20"/>
        </w:rPr>
      </w:pPr>
    </w:p>
    <w:p>
      <w:pPr>
        <w:pStyle w:val="Heading4"/>
        <w:rPr>
          <w:i/>
        </w:rPr>
      </w:pPr>
      <w:r>
        <w:rPr>
          <w:i/>
          <w:color w:val="231F20"/>
        </w:rPr>
        <w:t>Los nuevos gobernantes</w:t>
      </w:r>
    </w:p>
    <w:p>
      <w:pPr>
        <w:pStyle w:val="BodyText"/>
        <w:spacing w:line="285" w:lineRule="auto" w:before="17"/>
        <w:ind w:left="110" w:right="108"/>
        <w:jc w:val="both"/>
      </w:pPr>
      <w:r>
        <w:rPr>
          <w:color w:val="231F20"/>
          <w:w w:val="105"/>
        </w:rPr>
        <w:t>El</w:t>
      </w:r>
      <w:r>
        <w:rPr>
          <w:color w:val="231F20"/>
          <w:spacing w:val="-14"/>
          <w:w w:val="105"/>
        </w:rPr>
        <w:t> </w:t>
      </w:r>
      <w:r>
        <w:rPr>
          <w:color w:val="231F20"/>
          <w:w w:val="105"/>
        </w:rPr>
        <w:t>partido</w:t>
      </w:r>
      <w:r>
        <w:rPr>
          <w:color w:val="231F20"/>
          <w:spacing w:val="-14"/>
          <w:w w:val="105"/>
        </w:rPr>
        <w:t> </w:t>
      </w:r>
      <w:r>
        <w:rPr>
          <w:color w:val="231F20"/>
          <w:w w:val="105"/>
        </w:rPr>
        <w:t>ganó</w:t>
      </w:r>
      <w:r>
        <w:rPr>
          <w:color w:val="231F20"/>
          <w:spacing w:val="-14"/>
          <w:w w:val="105"/>
        </w:rPr>
        <w:t> </w:t>
      </w:r>
      <w:r>
        <w:rPr>
          <w:color w:val="231F20"/>
          <w:w w:val="105"/>
        </w:rPr>
        <w:t>los</w:t>
      </w:r>
      <w:r>
        <w:rPr>
          <w:color w:val="231F20"/>
          <w:spacing w:val="-14"/>
          <w:w w:val="105"/>
        </w:rPr>
        <w:t> </w:t>
      </w:r>
      <w:r>
        <w:rPr>
          <w:color w:val="231F20"/>
          <w:w w:val="105"/>
        </w:rPr>
        <w:t>comicios</w:t>
      </w:r>
      <w:r>
        <w:rPr>
          <w:color w:val="231F20"/>
          <w:spacing w:val="-14"/>
          <w:w w:val="105"/>
        </w:rPr>
        <w:t> </w:t>
      </w:r>
      <w:r>
        <w:rPr>
          <w:color w:val="231F20"/>
          <w:w w:val="105"/>
        </w:rPr>
        <w:t>locales</w:t>
      </w:r>
      <w:r>
        <w:rPr>
          <w:color w:val="231F20"/>
          <w:spacing w:val="-14"/>
          <w:w w:val="105"/>
        </w:rPr>
        <w:t> </w:t>
      </w:r>
      <w:r>
        <w:rPr>
          <w:color w:val="231F20"/>
          <w:w w:val="105"/>
        </w:rPr>
        <w:t>sin</w:t>
      </w:r>
      <w:r>
        <w:rPr>
          <w:color w:val="231F20"/>
          <w:spacing w:val="-14"/>
          <w:w w:val="105"/>
        </w:rPr>
        <w:t> </w:t>
      </w:r>
      <w:r>
        <w:rPr>
          <w:color w:val="231F20"/>
          <w:w w:val="105"/>
        </w:rPr>
        <w:t>muchos</w:t>
      </w:r>
      <w:r>
        <w:rPr>
          <w:color w:val="231F20"/>
          <w:spacing w:val="-14"/>
          <w:w w:val="105"/>
        </w:rPr>
        <w:t> </w:t>
      </w:r>
      <w:r>
        <w:rPr>
          <w:color w:val="231F20"/>
          <w:w w:val="105"/>
        </w:rPr>
        <w:t>problemas</w:t>
      </w:r>
      <w:r>
        <w:rPr>
          <w:color w:val="231F20"/>
          <w:spacing w:val="-14"/>
          <w:w w:val="105"/>
        </w:rPr>
        <w:t> </w:t>
      </w:r>
      <w:r>
        <w:rPr>
          <w:color w:val="231F20"/>
          <w:w w:val="105"/>
        </w:rPr>
        <w:t>pero</w:t>
      </w:r>
      <w:r>
        <w:rPr>
          <w:color w:val="231F20"/>
          <w:spacing w:val="-14"/>
          <w:w w:val="105"/>
        </w:rPr>
        <w:t> </w:t>
      </w:r>
      <w:r>
        <w:rPr>
          <w:color w:val="231F20"/>
          <w:w w:val="105"/>
        </w:rPr>
        <w:t>con</w:t>
      </w:r>
      <w:r>
        <w:rPr>
          <w:color w:val="231F20"/>
          <w:spacing w:val="-14"/>
          <w:w w:val="105"/>
        </w:rPr>
        <w:t> </w:t>
      </w:r>
      <w:r>
        <w:rPr>
          <w:color w:val="231F20"/>
          <w:w w:val="105"/>
        </w:rPr>
        <w:t>grandes</w:t>
      </w:r>
      <w:r>
        <w:rPr>
          <w:color w:val="231F20"/>
          <w:spacing w:val="-14"/>
          <w:w w:val="105"/>
        </w:rPr>
        <w:t> </w:t>
      </w:r>
      <w:r>
        <w:rPr>
          <w:color w:val="231F20"/>
          <w:w w:val="105"/>
        </w:rPr>
        <w:t>expectati- vas,</w:t>
      </w:r>
      <w:r>
        <w:rPr>
          <w:color w:val="231F20"/>
          <w:spacing w:val="-21"/>
          <w:w w:val="105"/>
        </w:rPr>
        <w:t> </w:t>
      </w:r>
      <w:r>
        <w:rPr>
          <w:color w:val="231F20"/>
          <w:w w:val="105"/>
        </w:rPr>
        <w:t>debido</w:t>
      </w:r>
      <w:r>
        <w:rPr>
          <w:color w:val="231F20"/>
          <w:spacing w:val="-21"/>
          <w:w w:val="105"/>
        </w:rPr>
        <w:t> </w:t>
      </w:r>
      <w:r>
        <w:rPr>
          <w:color w:val="231F20"/>
          <w:spacing w:val="2"/>
          <w:w w:val="105"/>
        </w:rPr>
        <w:t>al</w:t>
      </w:r>
      <w:r>
        <w:rPr>
          <w:color w:val="231F20"/>
          <w:spacing w:val="-21"/>
          <w:w w:val="105"/>
        </w:rPr>
        <w:t> </w:t>
      </w:r>
      <w:r>
        <w:rPr>
          <w:color w:val="231F20"/>
          <w:w w:val="105"/>
        </w:rPr>
        <w:t>regreso</w:t>
      </w:r>
      <w:r>
        <w:rPr>
          <w:color w:val="231F20"/>
          <w:spacing w:val="-21"/>
          <w:w w:val="105"/>
        </w:rPr>
        <w:t> </w:t>
      </w:r>
      <w:r>
        <w:rPr>
          <w:color w:val="231F20"/>
          <w:w w:val="105"/>
        </w:rPr>
        <w:t>de</w:t>
      </w:r>
      <w:r>
        <w:rPr>
          <w:color w:val="231F20"/>
          <w:spacing w:val="-21"/>
          <w:w w:val="105"/>
        </w:rPr>
        <w:t> </w:t>
      </w:r>
      <w:r>
        <w:rPr>
          <w:color w:val="231F20"/>
          <w:w w:val="105"/>
        </w:rPr>
        <w:t>Durán.</w:t>
      </w:r>
      <w:r>
        <w:rPr>
          <w:color w:val="231F20"/>
          <w:spacing w:val="-21"/>
          <w:w w:val="105"/>
        </w:rPr>
        <w:t> </w:t>
      </w:r>
      <w:r>
        <w:rPr>
          <w:color w:val="231F20"/>
          <w:w w:val="105"/>
        </w:rPr>
        <w:t>El</w:t>
      </w:r>
      <w:r>
        <w:rPr>
          <w:color w:val="231F20"/>
          <w:spacing w:val="-21"/>
          <w:w w:val="105"/>
        </w:rPr>
        <w:t> </w:t>
      </w:r>
      <w:r>
        <w:rPr>
          <w:color w:val="231F20"/>
          <w:w w:val="105"/>
        </w:rPr>
        <w:t>cabildo</w:t>
      </w:r>
      <w:r>
        <w:rPr>
          <w:color w:val="231F20"/>
          <w:spacing w:val="-21"/>
          <w:w w:val="105"/>
        </w:rPr>
        <w:t> </w:t>
      </w:r>
      <w:r>
        <w:rPr>
          <w:color w:val="231F20"/>
          <w:w w:val="105"/>
        </w:rPr>
        <w:t>se</w:t>
      </w:r>
      <w:r>
        <w:rPr>
          <w:color w:val="231F20"/>
          <w:spacing w:val="-21"/>
          <w:w w:val="105"/>
        </w:rPr>
        <w:t> </w:t>
      </w:r>
      <w:r>
        <w:rPr>
          <w:color w:val="231F20"/>
          <w:w w:val="105"/>
        </w:rPr>
        <w:t>integró</w:t>
      </w:r>
      <w:r>
        <w:rPr>
          <w:color w:val="231F20"/>
          <w:spacing w:val="-21"/>
          <w:w w:val="105"/>
        </w:rPr>
        <w:t> </w:t>
      </w:r>
      <w:r>
        <w:rPr>
          <w:color w:val="231F20"/>
          <w:w w:val="105"/>
        </w:rPr>
        <w:t>con</w:t>
      </w:r>
      <w:r>
        <w:rPr>
          <w:color w:val="231F20"/>
          <w:spacing w:val="-21"/>
          <w:w w:val="105"/>
        </w:rPr>
        <w:t> </w:t>
      </w:r>
      <w:r>
        <w:rPr>
          <w:color w:val="231F20"/>
          <w:w w:val="105"/>
        </w:rPr>
        <w:t>dominio</w:t>
      </w:r>
      <w:r>
        <w:rPr>
          <w:color w:val="231F20"/>
          <w:spacing w:val="-21"/>
          <w:w w:val="105"/>
        </w:rPr>
        <w:t> </w:t>
      </w:r>
      <w:r>
        <w:rPr>
          <w:color w:val="231F20"/>
          <w:w w:val="105"/>
        </w:rPr>
        <w:t>panista,</w:t>
      </w:r>
      <w:r>
        <w:rPr>
          <w:color w:val="231F20"/>
          <w:spacing w:val="-21"/>
          <w:w w:val="105"/>
        </w:rPr>
        <w:t> </w:t>
      </w:r>
      <w:r>
        <w:rPr>
          <w:color w:val="231F20"/>
          <w:w w:val="105"/>
        </w:rPr>
        <w:t>pues</w:t>
      </w:r>
      <w:r>
        <w:rPr>
          <w:color w:val="231F20"/>
          <w:spacing w:val="-21"/>
          <w:w w:val="105"/>
        </w:rPr>
        <w:t> </w:t>
      </w:r>
      <w:r>
        <w:rPr>
          <w:color w:val="231F20"/>
          <w:w w:val="105"/>
        </w:rPr>
        <w:t>contaba con</w:t>
      </w:r>
      <w:r>
        <w:rPr>
          <w:color w:val="231F20"/>
          <w:spacing w:val="-10"/>
          <w:w w:val="105"/>
        </w:rPr>
        <w:t> </w:t>
      </w:r>
      <w:r>
        <w:rPr>
          <w:color w:val="231F20"/>
          <w:w w:val="105"/>
        </w:rPr>
        <w:t>el</w:t>
      </w:r>
      <w:r>
        <w:rPr>
          <w:color w:val="231F20"/>
          <w:spacing w:val="-10"/>
          <w:w w:val="105"/>
        </w:rPr>
        <w:t> </w:t>
      </w:r>
      <w:r>
        <w:rPr>
          <w:color w:val="231F20"/>
          <w:w w:val="105"/>
        </w:rPr>
        <w:t>voto</w:t>
      </w:r>
      <w:r>
        <w:rPr>
          <w:color w:val="231F20"/>
          <w:spacing w:val="-10"/>
          <w:w w:val="105"/>
        </w:rPr>
        <w:t> </w:t>
      </w:r>
      <w:r>
        <w:rPr>
          <w:color w:val="231F20"/>
          <w:w w:val="105"/>
        </w:rPr>
        <w:t>de</w:t>
      </w:r>
      <w:r>
        <w:rPr>
          <w:color w:val="231F20"/>
          <w:spacing w:val="-10"/>
          <w:w w:val="105"/>
        </w:rPr>
        <w:t> </w:t>
      </w:r>
      <w:r>
        <w:rPr>
          <w:color w:val="231F20"/>
          <w:w w:val="105"/>
        </w:rPr>
        <w:t>dos</w:t>
      </w:r>
      <w:r>
        <w:rPr>
          <w:color w:val="231F20"/>
          <w:spacing w:val="-10"/>
          <w:w w:val="105"/>
        </w:rPr>
        <w:t> </w:t>
      </w:r>
      <w:r>
        <w:rPr>
          <w:color w:val="231F20"/>
          <w:w w:val="105"/>
        </w:rPr>
        <w:t>síndicos</w:t>
      </w:r>
      <w:r>
        <w:rPr>
          <w:color w:val="231F20"/>
          <w:spacing w:val="-10"/>
          <w:w w:val="105"/>
        </w:rPr>
        <w:t> </w:t>
      </w:r>
      <w:r>
        <w:rPr>
          <w:color w:val="231F20"/>
          <w:w w:val="105"/>
        </w:rPr>
        <w:t>y</w:t>
      </w:r>
      <w:r>
        <w:rPr>
          <w:color w:val="231F20"/>
          <w:spacing w:val="-10"/>
          <w:w w:val="105"/>
        </w:rPr>
        <w:t> </w:t>
      </w:r>
      <w:r>
        <w:rPr>
          <w:color w:val="231F20"/>
          <w:w w:val="105"/>
        </w:rPr>
        <w:t>once</w:t>
      </w:r>
      <w:r>
        <w:rPr>
          <w:color w:val="231F20"/>
          <w:spacing w:val="-10"/>
          <w:w w:val="105"/>
        </w:rPr>
        <w:t> </w:t>
      </w:r>
      <w:r>
        <w:rPr>
          <w:color w:val="231F20"/>
          <w:w w:val="105"/>
        </w:rPr>
        <w:t>regidores.</w:t>
      </w:r>
      <w:r>
        <w:rPr>
          <w:color w:val="231F20"/>
          <w:spacing w:val="-10"/>
          <w:w w:val="105"/>
        </w:rPr>
        <w:t> </w:t>
      </w:r>
      <w:r>
        <w:rPr>
          <w:color w:val="231F20"/>
          <w:w w:val="105"/>
        </w:rPr>
        <w:t>El</w:t>
      </w:r>
      <w:r>
        <w:rPr>
          <w:color w:val="231F20"/>
          <w:spacing w:val="-10"/>
          <w:w w:val="105"/>
        </w:rPr>
        <w:t> </w:t>
      </w:r>
      <w:r>
        <w:rPr>
          <w:color w:val="231F20"/>
          <w:w w:val="105"/>
        </w:rPr>
        <w:t>PRI</w:t>
      </w:r>
      <w:r>
        <w:rPr>
          <w:color w:val="231F20"/>
          <w:spacing w:val="-10"/>
          <w:w w:val="105"/>
        </w:rPr>
        <w:t> </w:t>
      </w:r>
      <w:r>
        <w:rPr>
          <w:color w:val="231F20"/>
          <w:w w:val="105"/>
        </w:rPr>
        <w:t>solamente</w:t>
      </w:r>
      <w:r>
        <w:rPr>
          <w:color w:val="231F20"/>
          <w:spacing w:val="-10"/>
          <w:w w:val="105"/>
        </w:rPr>
        <w:t> </w:t>
      </w:r>
      <w:r>
        <w:rPr>
          <w:color w:val="231F20"/>
          <w:w w:val="105"/>
        </w:rPr>
        <w:t>tenía</w:t>
      </w:r>
      <w:r>
        <w:rPr>
          <w:color w:val="231F20"/>
          <w:spacing w:val="-10"/>
          <w:w w:val="105"/>
        </w:rPr>
        <w:t> </w:t>
      </w:r>
      <w:r>
        <w:rPr>
          <w:color w:val="231F20"/>
          <w:w w:val="105"/>
        </w:rPr>
        <w:t>cinco</w:t>
      </w:r>
      <w:r>
        <w:rPr>
          <w:color w:val="231F20"/>
          <w:spacing w:val="-10"/>
          <w:w w:val="105"/>
        </w:rPr>
        <w:t> </w:t>
      </w:r>
      <w:r>
        <w:rPr>
          <w:color w:val="231F20"/>
          <w:w w:val="105"/>
        </w:rPr>
        <w:t>votos</w:t>
      </w:r>
      <w:r>
        <w:rPr>
          <w:color w:val="231F20"/>
          <w:spacing w:val="-10"/>
          <w:w w:val="105"/>
        </w:rPr>
        <w:t> </w:t>
      </w:r>
      <w:r>
        <w:rPr>
          <w:color w:val="231F20"/>
          <w:spacing w:val="-5"/>
          <w:w w:val="105"/>
        </w:rPr>
        <w:t>(de</w:t>
      </w:r>
      <w:r>
        <w:rPr>
          <w:color w:val="231F20"/>
          <w:spacing w:val="-10"/>
          <w:w w:val="105"/>
        </w:rPr>
        <w:t> </w:t>
      </w:r>
      <w:r>
        <w:rPr>
          <w:color w:val="231F20"/>
          <w:w w:val="105"/>
        </w:rPr>
        <w:t>un síndico</w:t>
      </w:r>
      <w:r>
        <w:rPr>
          <w:color w:val="231F20"/>
          <w:spacing w:val="-19"/>
          <w:w w:val="105"/>
        </w:rPr>
        <w:t> </w:t>
      </w:r>
      <w:r>
        <w:rPr>
          <w:color w:val="231F20"/>
          <w:w w:val="105"/>
        </w:rPr>
        <w:t>y</w:t>
      </w:r>
      <w:r>
        <w:rPr>
          <w:color w:val="231F20"/>
          <w:spacing w:val="-19"/>
          <w:w w:val="105"/>
        </w:rPr>
        <w:t> </w:t>
      </w:r>
      <w:r>
        <w:rPr>
          <w:color w:val="231F20"/>
          <w:w w:val="105"/>
        </w:rPr>
        <w:t>cuatro</w:t>
      </w:r>
      <w:r>
        <w:rPr>
          <w:color w:val="231F20"/>
          <w:spacing w:val="-19"/>
          <w:w w:val="105"/>
        </w:rPr>
        <w:t> </w:t>
      </w:r>
      <w:r>
        <w:rPr>
          <w:color w:val="231F20"/>
          <w:spacing w:val="-3"/>
          <w:w w:val="105"/>
        </w:rPr>
        <w:t>regidores)</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PRD</w:t>
      </w:r>
      <w:r>
        <w:rPr>
          <w:color w:val="231F20"/>
          <w:spacing w:val="-19"/>
          <w:w w:val="105"/>
        </w:rPr>
        <w:t> </w:t>
      </w:r>
      <w:r>
        <w:rPr>
          <w:color w:val="231F20"/>
          <w:w w:val="105"/>
        </w:rPr>
        <w:t>solamente</w:t>
      </w:r>
      <w:r>
        <w:rPr>
          <w:color w:val="231F20"/>
          <w:spacing w:val="-19"/>
          <w:w w:val="105"/>
        </w:rPr>
        <w:t> </w:t>
      </w:r>
      <w:r>
        <w:rPr>
          <w:color w:val="231F20"/>
          <w:w w:val="105"/>
        </w:rPr>
        <w:t>el</w:t>
      </w:r>
      <w:r>
        <w:rPr>
          <w:color w:val="231F20"/>
          <w:spacing w:val="-19"/>
          <w:w w:val="105"/>
        </w:rPr>
        <w:t> </w:t>
      </w:r>
      <w:r>
        <w:rPr>
          <w:color w:val="231F20"/>
          <w:w w:val="105"/>
        </w:rPr>
        <w:t>de</w:t>
      </w:r>
      <w:r>
        <w:rPr>
          <w:color w:val="231F20"/>
          <w:spacing w:val="-19"/>
          <w:w w:val="105"/>
        </w:rPr>
        <w:t> </w:t>
      </w:r>
      <w:r>
        <w:rPr>
          <w:color w:val="231F20"/>
          <w:w w:val="105"/>
        </w:rPr>
        <w:t>cuatro</w:t>
      </w:r>
      <w:r>
        <w:rPr>
          <w:color w:val="231F20"/>
          <w:spacing w:val="-19"/>
          <w:w w:val="105"/>
        </w:rPr>
        <w:t> </w:t>
      </w:r>
      <w:r>
        <w:rPr>
          <w:color w:val="231F20"/>
          <w:w w:val="105"/>
        </w:rPr>
        <w:t>regidores.</w:t>
      </w:r>
      <w:r>
        <w:rPr>
          <w:color w:val="231F20"/>
          <w:spacing w:val="-19"/>
          <w:w w:val="105"/>
        </w:rPr>
        <w:t> </w:t>
      </w:r>
      <w:r>
        <w:rPr>
          <w:color w:val="231F20"/>
          <w:w w:val="105"/>
        </w:rPr>
        <w:t>Cada</w:t>
      </w:r>
      <w:r>
        <w:rPr>
          <w:color w:val="231F20"/>
          <w:spacing w:val="-19"/>
          <w:w w:val="105"/>
        </w:rPr>
        <w:t> </w:t>
      </w:r>
      <w:r>
        <w:rPr>
          <w:color w:val="231F20"/>
          <w:w w:val="105"/>
        </w:rPr>
        <w:t>uno</w:t>
      </w:r>
      <w:r>
        <w:rPr>
          <w:color w:val="231F20"/>
          <w:spacing w:val="-19"/>
          <w:w w:val="105"/>
        </w:rPr>
        <w:t> </w:t>
      </w:r>
      <w:r>
        <w:rPr>
          <w:color w:val="231F20"/>
          <w:w w:val="105"/>
        </w:rPr>
        <w:t>de</w:t>
      </w:r>
      <w:r>
        <w:rPr>
          <w:color w:val="231F20"/>
          <w:spacing w:val="-19"/>
          <w:w w:val="105"/>
        </w:rPr>
        <w:t> </w:t>
      </w:r>
      <w:r>
        <w:rPr>
          <w:color w:val="231F20"/>
          <w:w w:val="105"/>
        </w:rPr>
        <w:t>estos representantes</w:t>
      </w:r>
      <w:r>
        <w:rPr>
          <w:color w:val="231F20"/>
          <w:spacing w:val="-5"/>
          <w:w w:val="105"/>
        </w:rPr>
        <w:t> </w:t>
      </w:r>
      <w:r>
        <w:rPr>
          <w:color w:val="231F20"/>
          <w:w w:val="105"/>
        </w:rPr>
        <w:t>tuvo</w:t>
      </w:r>
      <w:r>
        <w:rPr>
          <w:color w:val="231F20"/>
          <w:spacing w:val="-5"/>
          <w:w w:val="105"/>
        </w:rPr>
        <w:t> </w:t>
      </w:r>
      <w:r>
        <w:rPr>
          <w:color w:val="231F20"/>
          <w:w w:val="105"/>
        </w:rPr>
        <w:t>en</w:t>
      </w:r>
      <w:r>
        <w:rPr>
          <w:color w:val="231F20"/>
          <w:spacing w:val="-5"/>
          <w:w w:val="105"/>
        </w:rPr>
        <w:t> </w:t>
      </w:r>
      <w:r>
        <w:rPr>
          <w:color w:val="231F20"/>
          <w:w w:val="105"/>
        </w:rPr>
        <w:t>sus</w:t>
      </w:r>
      <w:r>
        <w:rPr>
          <w:color w:val="231F20"/>
          <w:spacing w:val="-5"/>
          <w:w w:val="105"/>
        </w:rPr>
        <w:t> </w:t>
      </w:r>
      <w:r>
        <w:rPr>
          <w:color w:val="231F20"/>
          <w:w w:val="105"/>
        </w:rPr>
        <w:t>manos</w:t>
      </w:r>
      <w:r>
        <w:rPr>
          <w:color w:val="231F20"/>
          <w:spacing w:val="-5"/>
          <w:w w:val="105"/>
        </w:rPr>
        <w:t> </w:t>
      </w:r>
      <w:r>
        <w:rPr>
          <w:color w:val="231F20"/>
          <w:w w:val="105"/>
        </w:rPr>
        <w:t>una</w:t>
      </w:r>
      <w:r>
        <w:rPr>
          <w:color w:val="231F20"/>
          <w:spacing w:val="-5"/>
          <w:w w:val="105"/>
        </w:rPr>
        <w:t> </w:t>
      </w:r>
      <w:r>
        <w:rPr>
          <w:color w:val="231F20"/>
          <w:w w:val="105"/>
        </w:rPr>
        <w:t>comisión.</w:t>
      </w:r>
      <w:r>
        <w:rPr>
          <w:color w:val="231F20"/>
          <w:spacing w:val="-5"/>
          <w:w w:val="105"/>
        </w:rPr>
        <w:t> </w:t>
      </w:r>
      <w:r>
        <w:rPr>
          <w:color w:val="231F20"/>
          <w:w w:val="105"/>
        </w:rPr>
        <w:t>Las</w:t>
      </w:r>
      <w:r>
        <w:rPr>
          <w:color w:val="231F20"/>
          <w:spacing w:val="-5"/>
          <w:w w:val="105"/>
        </w:rPr>
        <w:t> </w:t>
      </w:r>
      <w:r>
        <w:rPr>
          <w:color w:val="231F20"/>
          <w:w w:val="105"/>
        </w:rPr>
        <w:t>más</w:t>
      </w:r>
      <w:r>
        <w:rPr>
          <w:color w:val="231F20"/>
          <w:spacing w:val="-5"/>
          <w:w w:val="105"/>
        </w:rPr>
        <w:t> </w:t>
      </w:r>
      <w:r>
        <w:rPr>
          <w:color w:val="231F20"/>
          <w:w w:val="105"/>
        </w:rPr>
        <w:t>relevantes</w:t>
      </w:r>
      <w:r>
        <w:rPr>
          <w:color w:val="231F20"/>
          <w:spacing w:val="-5"/>
          <w:w w:val="105"/>
        </w:rPr>
        <w:t> </w:t>
      </w:r>
      <w:r>
        <w:rPr>
          <w:color w:val="231F20"/>
          <w:w w:val="105"/>
        </w:rPr>
        <w:t>quedaron,</w:t>
      </w:r>
      <w:r>
        <w:rPr>
          <w:color w:val="231F20"/>
          <w:spacing w:val="-5"/>
          <w:w w:val="105"/>
        </w:rPr>
        <w:t> </w:t>
      </w:r>
      <w:r>
        <w:rPr>
          <w:color w:val="231F20"/>
          <w:w w:val="105"/>
        </w:rPr>
        <w:t>signifi- cativamente,</w:t>
      </w:r>
      <w:r>
        <w:rPr>
          <w:color w:val="231F20"/>
          <w:spacing w:val="-21"/>
          <w:w w:val="105"/>
        </w:rPr>
        <w:t> </w:t>
      </w:r>
      <w:r>
        <w:rPr>
          <w:color w:val="231F20"/>
          <w:w w:val="105"/>
        </w:rPr>
        <w:t>en</w:t>
      </w:r>
      <w:r>
        <w:rPr>
          <w:color w:val="231F20"/>
          <w:spacing w:val="-21"/>
          <w:w w:val="105"/>
        </w:rPr>
        <w:t> </w:t>
      </w:r>
      <w:r>
        <w:rPr>
          <w:color w:val="231F20"/>
          <w:w w:val="105"/>
        </w:rPr>
        <w:t>manos</w:t>
      </w:r>
      <w:r>
        <w:rPr>
          <w:color w:val="231F20"/>
          <w:spacing w:val="-21"/>
          <w:w w:val="105"/>
        </w:rPr>
        <w:t> </w:t>
      </w:r>
      <w:r>
        <w:rPr>
          <w:color w:val="231F20"/>
          <w:w w:val="105"/>
        </w:rPr>
        <w:t>del</w:t>
      </w:r>
      <w:r>
        <w:rPr>
          <w:color w:val="231F20"/>
          <w:spacing w:val="-21"/>
          <w:w w:val="105"/>
        </w:rPr>
        <w:t> </w:t>
      </w:r>
      <w:r>
        <w:rPr>
          <w:color w:val="231F20"/>
          <w:spacing w:val="-4"/>
          <w:w w:val="105"/>
        </w:rPr>
        <w:t>PAN</w:t>
      </w:r>
      <w:r>
        <w:rPr>
          <w:color w:val="231F20"/>
          <w:spacing w:val="-21"/>
          <w:w w:val="105"/>
        </w:rPr>
        <w:t> </w:t>
      </w:r>
      <w:r>
        <w:rPr>
          <w:color w:val="231F20"/>
          <w:w w:val="105"/>
        </w:rPr>
        <w:t>y</w:t>
      </w:r>
      <w:r>
        <w:rPr>
          <w:color w:val="231F20"/>
          <w:spacing w:val="-21"/>
          <w:w w:val="105"/>
        </w:rPr>
        <w:t> </w:t>
      </w:r>
      <w:r>
        <w:rPr>
          <w:color w:val="231F20"/>
          <w:w w:val="105"/>
        </w:rPr>
        <w:t>del</w:t>
      </w:r>
      <w:r>
        <w:rPr>
          <w:color w:val="231F20"/>
          <w:spacing w:val="-21"/>
          <w:w w:val="105"/>
        </w:rPr>
        <w:t> </w:t>
      </w:r>
      <w:r>
        <w:rPr>
          <w:color w:val="231F20"/>
          <w:w w:val="105"/>
        </w:rPr>
        <w:t>PRI</w:t>
      </w:r>
      <w:r>
        <w:rPr>
          <w:color w:val="231F20"/>
          <w:w w:val="105"/>
          <w:position w:val="7"/>
          <w:sz w:val="13"/>
        </w:rPr>
        <w:t>12</w:t>
      </w:r>
      <w:r>
        <w:rPr>
          <w:color w:val="231F20"/>
          <w:w w:val="105"/>
        </w:rPr>
        <w:t>.</w:t>
      </w:r>
      <w:r>
        <w:rPr>
          <w:color w:val="231F20"/>
          <w:spacing w:val="-21"/>
          <w:w w:val="105"/>
        </w:rPr>
        <w:t> </w:t>
      </w:r>
      <w:r>
        <w:rPr>
          <w:color w:val="231F20"/>
          <w:w w:val="105"/>
        </w:rPr>
        <w:t>Los</w:t>
      </w:r>
      <w:r>
        <w:rPr>
          <w:color w:val="231F20"/>
          <w:spacing w:val="-21"/>
          <w:w w:val="105"/>
        </w:rPr>
        <w:t> </w:t>
      </w:r>
      <w:r>
        <w:rPr>
          <w:color w:val="231F20"/>
          <w:w w:val="105"/>
        </w:rPr>
        <w:t>panistas</w:t>
      </w:r>
      <w:r>
        <w:rPr>
          <w:color w:val="231F20"/>
          <w:spacing w:val="-21"/>
          <w:w w:val="105"/>
        </w:rPr>
        <w:t> </w:t>
      </w:r>
      <w:r>
        <w:rPr>
          <w:color w:val="231F20"/>
          <w:w w:val="105"/>
        </w:rPr>
        <w:t>se</w:t>
      </w:r>
      <w:r>
        <w:rPr>
          <w:color w:val="231F20"/>
          <w:spacing w:val="-21"/>
          <w:w w:val="105"/>
        </w:rPr>
        <w:t> </w:t>
      </w:r>
      <w:r>
        <w:rPr>
          <w:color w:val="231F20"/>
          <w:w w:val="105"/>
        </w:rPr>
        <w:t>hicieron</w:t>
      </w:r>
      <w:r>
        <w:rPr>
          <w:color w:val="231F20"/>
          <w:spacing w:val="-21"/>
          <w:w w:val="105"/>
        </w:rPr>
        <w:t> </w:t>
      </w:r>
      <w:r>
        <w:rPr>
          <w:color w:val="231F20"/>
          <w:w w:val="105"/>
        </w:rPr>
        <w:t>cargo</w:t>
      </w:r>
      <w:r>
        <w:rPr>
          <w:color w:val="231F20"/>
          <w:spacing w:val="-21"/>
          <w:w w:val="105"/>
        </w:rPr>
        <w:t> </w:t>
      </w:r>
      <w:r>
        <w:rPr>
          <w:color w:val="231F20"/>
          <w:w w:val="105"/>
        </w:rPr>
        <w:t>de</w:t>
      </w:r>
      <w:r>
        <w:rPr>
          <w:color w:val="231F20"/>
          <w:spacing w:val="-21"/>
          <w:w w:val="105"/>
        </w:rPr>
        <w:t> </w:t>
      </w:r>
      <w:r>
        <w:rPr>
          <w:color w:val="231F20"/>
          <w:w w:val="105"/>
        </w:rPr>
        <w:t>Hacienda, Contraloría,</w:t>
      </w:r>
      <w:r>
        <w:rPr>
          <w:color w:val="231F20"/>
          <w:spacing w:val="-25"/>
          <w:w w:val="105"/>
        </w:rPr>
        <w:t> </w:t>
      </w:r>
      <w:r>
        <w:rPr>
          <w:color w:val="231F20"/>
          <w:w w:val="105"/>
        </w:rPr>
        <w:t>Desarrollo</w:t>
      </w:r>
      <w:r>
        <w:rPr>
          <w:color w:val="231F20"/>
          <w:spacing w:val="-25"/>
          <w:w w:val="105"/>
        </w:rPr>
        <w:t> </w:t>
      </w:r>
      <w:r>
        <w:rPr>
          <w:color w:val="231F20"/>
          <w:w w:val="105"/>
        </w:rPr>
        <w:t>Económico,</w:t>
      </w:r>
      <w:r>
        <w:rPr>
          <w:color w:val="231F20"/>
          <w:spacing w:val="-25"/>
          <w:w w:val="105"/>
        </w:rPr>
        <w:t> </w:t>
      </w:r>
      <w:r>
        <w:rPr>
          <w:color w:val="231F20"/>
          <w:w w:val="105"/>
        </w:rPr>
        <w:t>Desarrollo</w:t>
      </w:r>
      <w:r>
        <w:rPr>
          <w:color w:val="231F20"/>
          <w:spacing w:val="-25"/>
          <w:w w:val="105"/>
        </w:rPr>
        <w:t> </w:t>
      </w:r>
      <w:r>
        <w:rPr>
          <w:color w:val="231F20"/>
          <w:w w:val="105"/>
        </w:rPr>
        <w:t>Social,</w:t>
      </w:r>
      <w:r>
        <w:rPr>
          <w:color w:val="231F20"/>
          <w:spacing w:val="-25"/>
          <w:w w:val="105"/>
        </w:rPr>
        <w:t> </w:t>
      </w:r>
      <w:r>
        <w:rPr>
          <w:color w:val="231F20"/>
          <w:w w:val="105"/>
        </w:rPr>
        <w:t>Bienestar</w:t>
      </w:r>
      <w:r>
        <w:rPr>
          <w:color w:val="231F20"/>
          <w:spacing w:val="-25"/>
          <w:w w:val="105"/>
        </w:rPr>
        <w:t> </w:t>
      </w:r>
      <w:r>
        <w:rPr>
          <w:color w:val="231F20"/>
          <w:w w:val="105"/>
        </w:rPr>
        <w:t>Social,</w:t>
      </w:r>
      <w:r>
        <w:rPr>
          <w:color w:val="231F20"/>
          <w:spacing w:val="-25"/>
          <w:w w:val="105"/>
        </w:rPr>
        <w:t> </w:t>
      </w:r>
      <w:r>
        <w:rPr>
          <w:color w:val="231F20"/>
          <w:w w:val="105"/>
        </w:rPr>
        <w:t>Obras</w:t>
      </w:r>
      <w:r>
        <w:rPr>
          <w:color w:val="231F20"/>
          <w:spacing w:val="-25"/>
          <w:w w:val="105"/>
        </w:rPr>
        <w:t> </w:t>
      </w:r>
      <w:r>
        <w:rPr>
          <w:color w:val="231F20"/>
          <w:w w:val="105"/>
        </w:rPr>
        <w:t>Públicas y</w:t>
      </w:r>
      <w:r>
        <w:rPr>
          <w:color w:val="231F20"/>
          <w:spacing w:val="-8"/>
          <w:w w:val="105"/>
        </w:rPr>
        <w:t> </w:t>
      </w:r>
      <w:r>
        <w:rPr>
          <w:color w:val="231F20"/>
          <w:w w:val="105"/>
        </w:rPr>
        <w:t>Servicios</w:t>
      </w:r>
      <w:r>
        <w:rPr>
          <w:color w:val="231F20"/>
          <w:spacing w:val="-8"/>
          <w:w w:val="105"/>
        </w:rPr>
        <w:t> </w:t>
      </w:r>
      <w:r>
        <w:rPr>
          <w:color w:val="231F20"/>
          <w:w w:val="105"/>
        </w:rPr>
        <w:t>Públicos,</w:t>
      </w:r>
      <w:r>
        <w:rPr>
          <w:color w:val="231F20"/>
          <w:spacing w:val="-8"/>
          <w:w w:val="105"/>
        </w:rPr>
        <w:t> </w:t>
      </w:r>
      <w:r>
        <w:rPr>
          <w:color w:val="231F20"/>
          <w:w w:val="105"/>
        </w:rPr>
        <w:t>mientras</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priístas</w:t>
      </w:r>
      <w:r>
        <w:rPr>
          <w:color w:val="231F20"/>
          <w:spacing w:val="-8"/>
          <w:w w:val="105"/>
        </w:rPr>
        <w:t> </w:t>
      </w:r>
      <w:r>
        <w:rPr>
          <w:color w:val="231F20"/>
          <w:w w:val="105"/>
        </w:rPr>
        <w:t>se</w:t>
      </w:r>
      <w:r>
        <w:rPr>
          <w:color w:val="231F20"/>
          <w:spacing w:val="-8"/>
          <w:w w:val="105"/>
        </w:rPr>
        <w:t> </w:t>
      </w:r>
      <w:r>
        <w:rPr>
          <w:color w:val="231F20"/>
          <w:w w:val="105"/>
        </w:rPr>
        <w:t>responsabilizaron</w:t>
      </w:r>
      <w:r>
        <w:rPr>
          <w:color w:val="231F20"/>
          <w:spacing w:val="-8"/>
          <w:w w:val="105"/>
        </w:rPr>
        <w:t> </w:t>
      </w:r>
      <w:r>
        <w:rPr>
          <w:color w:val="231F20"/>
          <w:w w:val="105"/>
        </w:rPr>
        <w:t>de</w:t>
      </w:r>
      <w:r>
        <w:rPr>
          <w:color w:val="231F20"/>
          <w:spacing w:val="-8"/>
          <w:w w:val="105"/>
        </w:rPr>
        <w:t> </w:t>
      </w:r>
      <w:r>
        <w:rPr>
          <w:color w:val="231F20"/>
          <w:w w:val="105"/>
        </w:rPr>
        <w:t>Patrimonio</w:t>
      </w:r>
      <w:r>
        <w:rPr>
          <w:color w:val="231F20"/>
          <w:spacing w:val="-8"/>
          <w:w w:val="105"/>
        </w:rPr>
        <w:t> </w:t>
      </w:r>
      <w:r>
        <w:rPr>
          <w:color w:val="231F20"/>
          <w:spacing w:val="-3"/>
          <w:w w:val="105"/>
        </w:rPr>
        <w:t>Mu- </w:t>
      </w:r>
      <w:r>
        <w:rPr>
          <w:color w:val="231F20"/>
          <w:w w:val="105"/>
        </w:rPr>
        <w:t>nicipal,</w:t>
      </w:r>
      <w:r>
        <w:rPr>
          <w:color w:val="231F20"/>
          <w:spacing w:val="-20"/>
          <w:w w:val="105"/>
        </w:rPr>
        <w:t> </w:t>
      </w:r>
      <w:r>
        <w:rPr>
          <w:color w:val="231F20"/>
          <w:w w:val="105"/>
        </w:rPr>
        <w:t>Empleo,</w:t>
      </w:r>
      <w:r>
        <w:rPr>
          <w:color w:val="231F20"/>
          <w:spacing w:val="-20"/>
          <w:w w:val="105"/>
        </w:rPr>
        <w:t> </w:t>
      </w:r>
      <w:r>
        <w:rPr>
          <w:color w:val="231F20"/>
          <w:w w:val="105"/>
        </w:rPr>
        <w:t>Medio</w:t>
      </w:r>
      <w:r>
        <w:rPr>
          <w:color w:val="231F20"/>
          <w:spacing w:val="-20"/>
          <w:w w:val="105"/>
        </w:rPr>
        <w:t> </w:t>
      </w:r>
      <w:r>
        <w:rPr>
          <w:color w:val="231F20"/>
          <w:w w:val="105"/>
        </w:rPr>
        <w:t>Ambiente</w:t>
      </w:r>
      <w:r>
        <w:rPr>
          <w:color w:val="231F20"/>
          <w:spacing w:val="-20"/>
          <w:w w:val="105"/>
        </w:rPr>
        <w:t> </w:t>
      </w:r>
      <w:r>
        <w:rPr>
          <w:color w:val="231F20"/>
          <w:w w:val="105"/>
        </w:rPr>
        <w:t>y</w:t>
      </w:r>
      <w:r>
        <w:rPr>
          <w:color w:val="231F20"/>
          <w:spacing w:val="-20"/>
          <w:w w:val="105"/>
        </w:rPr>
        <w:t> </w:t>
      </w:r>
      <w:r>
        <w:rPr>
          <w:color w:val="231F20"/>
          <w:w w:val="105"/>
        </w:rPr>
        <w:t>Agua.</w:t>
      </w:r>
      <w:r>
        <w:rPr>
          <w:color w:val="231F20"/>
          <w:spacing w:val="-20"/>
          <w:w w:val="105"/>
        </w:rPr>
        <w:t> </w:t>
      </w:r>
      <w:r>
        <w:rPr>
          <w:color w:val="231F20"/>
          <w:spacing w:val="3"/>
          <w:w w:val="105"/>
        </w:rPr>
        <w:t>Al</w:t>
      </w:r>
      <w:r>
        <w:rPr>
          <w:color w:val="231F20"/>
          <w:spacing w:val="-20"/>
          <w:w w:val="105"/>
        </w:rPr>
        <w:t> </w:t>
      </w:r>
      <w:r>
        <w:rPr>
          <w:color w:val="231F20"/>
          <w:w w:val="105"/>
        </w:rPr>
        <w:t>PRD</w:t>
      </w:r>
      <w:r>
        <w:rPr>
          <w:color w:val="231F20"/>
          <w:spacing w:val="-20"/>
          <w:w w:val="105"/>
        </w:rPr>
        <w:t> </w:t>
      </w:r>
      <w:r>
        <w:rPr>
          <w:color w:val="231F20"/>
          <w:w w:val="105"/>
        </w:rPr>
        <w:t>le</w:t>
      </w:r>
      <w:r>
        <w:rPr>
          <w:color w:val="231F20"/>
          <w:spacing w:val="-20"/>
          <w:w w:val="105"/>
        </w:rPr>
        <w:t> </w:t>
      </w:r>
      <w:r>
        <w:rPr>
          <w:color w:val="231F20"/>
          <w:w w:val="105"/>
        </w:rPr>
        <w:t>tocaron</w:t>
      </w:r>
      <w:r>
        <w:rPr>
          <w:color w:val="231F20"/>
          <w:spacing w:val="-20"/>
          <w:w w:val="105"/>
        </w:rPr>
        <w:t> </w:t>
      </w:r>
      <w:r>
        <w:rPr>
          <w:color w:val="231F20"/>
          <w:w w:val="105"/>
        </w:rPr>
        <w:t>Desarrollo</w:t>
      </w:r>
      <w:r>
        <w:rPr>
          <w:color w:val="231F20"/>
          <w:spacing w:val="-20"/>
          <w:w w:val="105"/>
        </w:rPr>
        <w:t> </w:t>
      </w:r>
      <w:r>
        <w:rPr>
          <w:color w:val="231F20"/>
          <w:w w:val="105"/>
        </w:rPr>
        <w:t>Agropecuario, Mercados</w:t>
      </w:r>
      <w:r>
        <w:rPr>
          <w:color w:val="231F20"/>
          <w:spacing w:val="-7"/>
          <w:w w:val="105"/>
        </w:rPr>
        <w:t> </w:t>
      </w:r>
      <w:r>
        <w:rPr>
          <w:color w:val="231F20"/>
          <w:w w:val="105"/>
        </w:rPr>
        <w:t>y</w:t>
      </w:r>
      <w:r>
        <w:rPr>
          <w:color w:val="231F20"/>
          <w:spacing w:val="-7"/>
          <w:w w:val="105"/>
        </w:rPr>
        <w:t> </w:t>
      </w:r>
      <w:r>
        <w:rPr>
          <w:color w:val="231F20"/>
          <w:w w:val="105"/>
        </w:rPr>
        <w:t>Comercio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spacing w:val="-3"/>
          <w:w w:val="105"/>
        </w:rPr>
        <w:t>Vía</w:t>
      </w:r>
      <w:r>
        <w:rPr>
          <w:color w:val="231F20"/>
          <w:spacing w:val="-7"/>
          <w:w w:val="105"/>
        </w:rPr>
        <w:t> </w:t>
      </w:r>
      <w:r>
        <w:rPr>
          <w:color w:val="231F20"/>
          <w:w w:val="105"/>
        </w:rPr>
        <w:t>Pública,</w:t>
      </w:r>
      <w:r>
        <w:rPr>
          <w:color w:val="231F20"/>
          <w:spacing w:val="-7"/>
          <w:w w:val="105"/>
        </w:rPr>
        <w:t> </w:t>
      </w:r>
      <w:r>
        <w:rPr>
          <w:color w:val="231F20"/>
          <w:spacing w:val="-3"/>
          <w:w w:val="105"/>
        </w:rPr>
        <w:t>Turismo</w:t>
      </w:r>
      <w:r>
        <w:rPr>
          <w:color w:val="231F20"/>
          <w:spacing w:val="-7"/>
          <w:w w:val="105"/>
        </w:rPr>
        <w:t> </w:t>
      </w:r>
      <w:r>
        <w:rPr>
          <w:color w:val="231F20"/>
          <w:w w:val="105"/>
        </w:rPr>
        <w:t>y</w:t>
      </w:r>
      <w:r>
        <w:rPr>
          <w:color w:val="231F20"/>
          <w:spacing w:val="-7"/>
          <w:w w:val="105"/>
        </w:rPr>
        <w:t> </w:t>
      </w:r>
      <w:r>
        <w:rPr>
          <w:color w:val="231F20"/>
          <w:w w:val="105"/>
        </w:rPr>
        <w:t>Cultura,</w:t>
      </w:r>
      <w:r>
        <w:rPr>
          <w:color w:val="231F20"/>
          <w:spacing w:val="-7"/>
          <w:w w:val="105"/>
        </w:rPr>
        <w:t> </w:t>
      </w:r>
      <w:r>
        <w:rPr>
          <w:color w:val="231F20"/>
          <w:w w:val="105"/>
        </w:rPr>
        <w:t>Educación</w:t>
      </w:r>
      <w:r>
        <w:rPr>
          <w:color w:val="231F20"/>
          <w:spacing w:val="-7"/>
          <w:w w:val="105"/>
        </w:rPr>
        <w:t> </w:t>
      </w:r>
      <w:r>
        <w:rPr>
          <w:color w:val="231F20"/>
          <w:w w:val="105"/>
        </w:rPr>
        <w:t>y</w:t>
      </w:r>
      <w:r>
        <w:rPr>
          <w:color w:val="231F20"/>
          <w:spacing w:val="-7"/>
          <w:w w:val="105"/>
        </w:rPr>
        <w:t> </w:t>
      </w:r>
      <w:r>
        <w:rPr>
          <w:color w:val="231F20"/>
          <w:w w:val="105"/>
        </w:rPr>
        <w:t>Parques,</w:t>
      </w:r>
      <w:r>
        <w:rPr>
          <w:color w:val="231F20"/>
          <w:spacing w:val="-7"/>
          <w:w w:val="105"/>
        </w:rPr>
        <w:t> </w:t>
      </w:r>
      <w:r>
        <w:rPr>
          <w:color w:val="231F20"/>
          <w:w w:val="105"/>
        </w:rPr>
        <w:t>Jar- dines y</w:t>
      </w:r>
      <w:r>
        <w:rPr>
          <w:color w:val="231F20"/>
          <w:spacing w:val="-31"/>
          <w:w w:val="105"/>
        </w:rPr>
        <w:t> </w:t>
      </w:r>
      <w:r>
        <w:rPr>
          <w:color w:val="231F20"/>
          <w:w w:val="105"/>
        </w:rPr>
        <w:t>Panteones.</w:t>
      </w:r>
    </w:p>
    <w:p>
      <w:pPr>
        <w:pStyle w:val="BodyText"/>
        <w:rPr>
          <w:sz w:val="20"/>
        </w:rPr>
      </w:pPr>
    </w:p>
    <w:p>
      <w:pPr>
        <w:pStyle w:val="BodyText"/>
        <w:spacing w:before="8"/>
        <w:rPr>
          <w:sz w:val="19"/>
        </w:rPr>
      </w:pPr>
      <w:r>
        <w:rPr/>
        <w:pict>
          <v:line style="position:absolute;mso-position-horizontal-relative:page;mso-position-vertical-relative:paragraph;z-index:10312;mso-wrap-distance-left:0;mso-wrap-distance-right:0" from="42.519699pt,13.78667pt" to="114.519699pt,13.78667pt" stroked="true" strokeweight="1pt" strokecolor="#231f20">
            <w10:wrap type="topAndBottom"/>
          </v:line>
        </w:pict>
      </w:r>
    </w:p>
    <w:p>
      <w:pPr>
        <w:pStyle w:val="ListParagraph"/>
        <w:numPr>
          <w:ilvl w:val="0"/>
          <w:numId w:val="14"/>
        </w:numPr>
        <w:tabs>
          <w:tab w:pos="287" w:val="left" w:leader="none"/>
        </w:tabs>
        <w:spacing w:line="244" w:lineRule="auto" w:before="8" w:after="0"/>
        <w:ind w:left="110" w:right="109" w:firstLine="0"/>
        <w:jc w:val="left"/>
        <w:rPr>
          <w:sz w:val="16"/>
        </w:rPr>
      </w:pPr>
      <w:r>
        <w:rPr>
          <w:color w:val="231F20"/>
          <w:sz w:val="16"/>
        </w:rPr>
        <w:t>Probablemente</w:t>
      </w:r>
      <w:r>
        <w:rPr>
          <w:color w:val="231F20"/>
          <w:spacing w:val="-7"/>
          <w:sz w:val="16"/>
        </w:rPr>
        <w:t> </w:t>
      </w:r>
      <w:r>
        <w:rPr>
          <w:color w:val="231F20"/>
          <w:sz w:val="16"/>
        </w:rPr>
        <w:t>en</w:t>
      </w:r>
      <w:r>
        <w:rPr>
          <w:color w:val="231F20"/>
          <w:spacing w:val="-7"/>
          <w:sz w:val="16"/>
        </w:rPr>
        <w:t> </w:t>
      </w:r>
      <w:r>
        <w:rPr>
          <w:color w:val="231F20"/>
          <w:sz w:val="16"/>
        </w:rPr>
        <w:t>su</w:t>
      </w:r>
      <w:r>
        <w:rPr>
          <w:color w:val="231F20"/>
          <w:spacing w:val="-7"/>
          <w:sz w:val="16"/>
        </w:rPr>
        <w:t> </w:t>
      </w:r>
      <w:r>
        <w:rPr>
          <w:color w:val="231F20"/>
          <w:sz w:val="16"/>
        </w:rPr>
        <w:t>decisión</w:t>
      </w:r>
      <w:r>
        <w:rPr>
          <w:color w:val="231F20"/>
          <w:spacing w:val="-7"/>
          <w:sz w:val="16"/>
        </w:rPr>
        <w:t> </w:t>
      </w:r>
      <w:r>
        <w:rPr>
          <w:color w:val="231F20"/>
          <w:sz w:val="16"/>
        </w:rPr>
        <w:t>pesó</w:t>
      </w:r>
      <w:r>
        <w:rPr>
          <w:color w:val="231F20"/>
          <w:spacing w:val="-7"/>
          <w:sz w:val="16"/>
        </w:rPr>
        <w:t> </w:t>
      </w:r>
      <w:r>
        <w:rPr>
          <w:color w:val="231F20"/>
          <w:sz w:val="16"/>
        </w:rPr>
        <w:t>que</w:t>
      </w:r>
      <w:r>
        <w:rPr>
          <w:color w:val="231F20"/>
          <w:spacing w:val="-7"/>
          <w:sz w:val="16"/>
        </w:rPr>
        <w:t> </w:t>
      </w:r>
      <w:r>
        <w:rPr>
          <w:color w:val="231F20"/>
          <w:sz w:val="16"/>
        </w:rPr>
        <w:t>el</w:t>
      </w:r>
      <w:r>
        <w:rPr>
          <w:color w:val="231F20"/>
          <w:spacing w:val="-7"/>
          <w:sz w:val="16"/>
        </w:rPr>
        <w:t> </w:t>
      </w:r>
      <w:r>
        <w:rPr>
          <w:color w:val="231F20"/>
          <w:sz w:val="16"/>
        </w:rPr>
        <w:t>salario</w:t>
      </w:r>
      <w:r>
        <w:rPr>
          <w:color w:val="231F20"/>
          <w:spacing w:val="-7"/>
          <w:sz w:val="16"/>
        </w:rPr>
        <w:t> </w:t>
      </w:r>
      <w:r>
        <w:rPr>
          <w:color w:val="231F20"/>
          <w:sz w:val="16"/>
        </w:rPr>
        <w:t>del</w:t>
      </w:r>
      <w:r>
        <w:rPr>
          <w:color w:val="231F20"/>
          <w:spacing w:val="-7"/>
          <w:sz w:val="16"/>
        </w:rPr>
        <w:t> </w:t>
      </w:r>
      <w:r>
        <w:rPr>
          <w:color w:val="231F20"/>
          <w:sz w:val="16"/>
        </w:rPr>
        <w:t>presidente</w:t>
      </w:r>
      <w:r>
        <w:rPr>
          <w:color w:val="231F20"/>
          <w:spacing w:val="-7"/>
          <w:sz w:val="16"/>
        </w:rPr>
        <w:t> </w:t>
      </w:r>
      <w:r>
        <w:rPr>
          <w:color w:val="231F20"/>
          <w:sz w:val="16"/>
        </w:rPr>
        <w:t>municipal</w:t>
      </w:r>
      <w:r>
        <w:rPr>
          <w:color w:val="231F20"/>
          <w:spacing w:val="-7"/>
          <w:sz w:val="16"/>
        </w:rPr>
        <w:t> </w:t>
      </w:r>
      <w:r>
        <w:rPr>
          <w:color w:val="231F20"/>
          <w:sz w:val="16"/>
        </w:rPr>
        <w:t>es</w:t>
      </w:r>
      <w:r>
        <w:rPr>
          <w:color w:val="231F20"/>
          <w:spacing w:val="-7"/>
          <w:sz w:val="16"/>
        </w:rPr>
        <w:t> </w:t>
      </w:r>
      <w:r>
        <w:rPr>
          <w:color w:val="231F20"/>
          <w:sz w:val="16"/>
        </w:rPr>
        <w:t>sumamente</w:t>
      </w:r>
      <w:r>
        <w:rPr>
          <w:color w:val="231F20"/>
          <w:spacing w:val="-7"/>
          <w:sz w:val="16"/>
        </w:rPr>
        <w:t> </w:t>
      </w:r>
      <w:r>
        <w:rPr>
          <w:color w:val="231F20"/>
          <w:sz w:val="16"/>
        </w:rPr>
        <w:t>elevado,</w:t>
      </w:r>
      <w:r>
        <w:rPr>
          <w:color w:val="231F20"/>
          <w:spacing w:val="-7"/>
          <w:sz w:val="16"/>
        </w:rPr>
        <w:t> </w:t>
      </w:r>
      <w:r>
        <w:rPr>
          <w:color w:val="231F20"/>
          <w:sz w:val="16"/>
        </w:rPr>
        <w:t>de</w:t>
      </w:r>
      <w:r>
        <w:rPr>
          <w:color w:val="231F20"/>
          <w:spacing w:val="-7"/>
          <w:sz w:val="16"/>
        </w:rPr>
        <w:t> </w:t>
      </w:r>
      <w:r>
        <w:rPr>
          <w:color w:val="231F20"/>
          <w:sz w:val="16"/>
        </w:rPr>
        <w:t>casi</w:t>
      </w:r>
      <w:r>
        <w:rPr>
          <w:color w:val="231F20"/>
          <w:spacing w:val="-7"/>
          <w:sz w:val="16"/>
        </w:rPr>
        <w:t> </w:t>
      </w:r>
      <w:r>
        <w:rPr>
          <w:color w:val="231F20"/>
          <w:spacing w:val="-4"/>
          <w:sz w:val="16"/>
        </w:rPr>
        <w:t>120</w:t>
      </w:r>
      <w:r>
        <w:rPr>
          <w:color w:val="231F20"/>
          <w:spacing w:val="-7"/>
          <w:sz w:val="16"/>
        </w:rPr>
        <w:t> </w:t>
      </w:r>
      <w:r>
        <w:rPr>
          <w:color w:val="231F20"/>
          <w:sz w:val="16"/>
        </w:rPr>
        <w:t>mil</w:t>
      </w:r>
      <w:r>
        <w:rPr>
          <w:color w:val="231F20"/>
          <w:spacing w:val="-7"/>
          <w:sz w:val="16"/>
        </w:rPr>
        <w:t> </w:t>
      </w:r>
      <w:r>
        <w:rPr>
          <w:color w:val="231F20"/>
          <w:sz w:val="16"/>
        </w:rPr>
        <w:t>pesos mensuales</w:t>
      </w:r>
      <w:r>
        <w:rPr>
          <w:color w:val="231F20"/>
          <w:spacing w:val="-12"/>
          <w:sz w:val="16"/>
        </w:rPr>
        <w:t> </w:t>
      </w:r>
      <w:r>
        <w:rPr>
          <w:color w:val="231F20"/>
          <w:sz w:val="16"/>
        </w:rPr>
        <w:t>en</w:t>
      </w:r>
      <w:r>
        <w:rPr>
          <w:color w:val="231F20"/>
          <w:spacing w:val="-12"/>
          <w:sz w:val="16"/>
        </w:rPr>
        <w:t> </w:t>
      </w:r>
      <w:r>
        <w:rPr>
          <w:color w:val="231F20"/>
          <w:sz w:val="16"/>
        </w:rPr>
        <w:t>el</w:t>
      </w:r>
      <w:r>
        <w:rPr>
          <w:color w:val="231F20"/>
          <w:spacing w:val="-12"/>
          <w:sz w:val="16"/>
        </w:rPr>
        <w:t> </w:t>
      </w:r>
      <w:r>
        <w:rPr>
          <w:color w:val="231F20"/>
          <w:sz w:val="16"/>
        </w:rPr>
        <w:t>año</w:t>
      </w:r>
      <w:r>
        <w:rPr>
          <w:color w:val="231F20"/>
          <w:spacing w:val="-12"/>
          <w:sz w:val="16"/>
        </w:rPr>
        <w:t> </w:t>
      </w:r>
      <w:r>
        <w:rPr>
          <w:color w:val="231F20"/>
          <w:sz w:val="16"/>
        </w:rPr>
        <w:t>2008,</w:t>
      </w:r>
      <w:r>
        <w:rPr>
          <w:color w:val="231F20"/>
          <w:spacing w:val="-12"/>
          <w:sz w:val="16"/>
        </w:rPr>
        <w:t> </w:t>
      </w:r>
      <w:r>
        <w:rPr>
          <w:color w:val="231F20"/>
          <w:sz w:val="16"/>
        </w:rPr>
        <w:t>mayor</w:t>
      </w:r>
      <w:r>
        <w:rPr>
          <w:color w:val="231F20"/>
          <w:spacing w:val="-12"/>
          <w:sz w:val="16"/>
        </w:rPr>
        <w:t> </w:t>
      </w:r>
      <w:r>
        <w:rPr>
          <w:color w:val="231F20"/>
          <w:sz w:val="16"/>
        </w:rPr>
        <w:t>al</w:t>
      </w:r>
      <w:r>
        <w:rPr>
          <w:color w:val="231F20"/>
          <w:spacing w:val="-12"/>
          <w:sz w:val="16"/>
        </w:rPr>
        <w:t> </w:t>
      </w:r>
      <w:r>
        <w:rPr>
          <w:color w:val="231F20"/>
          <w:sz w:val="16"/>
        </w:rPr>
        <w:t>de</w:t>
      </w:r>
      <w:r>
        <w:rPr>
          <w:color w:val="231F20"/>
          <w:spacing w:val="-12"/>
          <w:sz w:val="16"/>
        </w:rPr>
        <w:t> </w:t>
      </w:r>
      <w:r>
        <w:rPr>
          <w:color w:val="231F20"/>
          <w:sz w:val="16"/>
        </w:rPr>
        <w:t>subsecretario</w:t>
      </w:r>
      <w:r>
        <w:rPr>
          <w:color w:val="231F20"/>
          <w:spacing w:val="-12"/>
          <w:sz w:val="16"/>
        </w:rPr>
        <w:t> </w:t>
      </w:r>
      <w:r>
        <w:rPr>
          <w:color w:val="231F20"/>
          <w:sz w:val="16"/>
        </w:rPr>
        <w:t>de</w:t>
      </w:r>
      <w:r>
        <w:rPr>
          <w:color w:val="231F20"/>
          <w:spacing w:val="-12"/>
          <w:sz w:val="16"/>
        </w:rPr>
        <w:t> </w:t>
      </w:r>
      <w:r>
        <w:rPr>
          <w:color w:val="231F20"/>
          <w:sz w:val="16"/>
        </w:rPr>
        <w:t>estado.</w:t>
      </w:r>
    </w:p>
    <w:p>
      <w:pPr>
        <w:pStyle w:val="ListParagraph"/>
        <w:numPr>
          <w:ilvl w:val="0"/>
          <w:numId w:val="14"/>
        </w:numPr>
        <w:tabs>
          <w:tab w:pos="291" w:val="left" w:leader="none"/>
        </w:tabs>
        <w:spacing w:line="196" w:lineRule="exact" w:before="0" w:after="0"/>
        <w:ind w:left="290" w:right="0" w:hanging="180"/>
        <w:jc w:val="left"/>
        <w:rPr>
          <w:rFonts w:ascii="Arial" w:hAnsi="Arial"/>
          <w:sz w:val="20"/>
        </w:rPr>
      </w:pPr>
      <w:r>
        <w:rPr>
          <w:color w:val="231F20"/>
          <w:sz w:val="16"/>
        </w:rPr>
        <w:t>Véase</w:t>
      </w:r>
      <w:r>
        <w:rPr>
          <w:color w:val="231F20"/>
          <w:spacing w:val="-10"/>
          <w:sz w:val="16"/>
        </w:rPr>
        <w:t> </w:t>
      </w:r>
      <w:r>
        <w:rPr>
          <w:color w:val="231F20"/>
          <w:sz w:val="16"/>
        </w:rPr>
        <w:t>el</w:t>
      </w:r>
      <w:r>
        <w:rPr>
          <w:color w:val="231F20"/>
          <w:spacing w:val="-10"/>
          <w:sz w:val="16"/>
        </w:rPr>
        <w:t> </w:t>
      </w:r>
      <w:r>
        <w:rPr>
          <w:color w:val="231F20"/>
          <w:sz w:val="16"/>
        </w:rPr>
        <w:t>directorio</w:t>
      </w:r>
      <w:r>
        <w:rPr>
          <w:color w:val="231F20"/>
          <w:spacing w:val="-10"/>
          <w:sz w:val="16"/>
        </w:rPr>
        <w:t> </w:t>
      </w:r>
      <w:r>
        <w:rPr>
          <w:color w:val="231F20"/>
          <w:sz w:val="16"/>
        </w:rPr>
        <w:t>en</w:t>
      </w:r>
      <w:r>
        <w:rPr>
          <w:color w:val="231F20"/>
          <w:spacing w:val="-10"/>
          <w:sz w:val="16"/>
        </w:rPr>
        <w:t> </w:t>
      </w:r>
      <w:r>
        <w:rPr>
          <w:color w:val="231F20"/>
          <w:sz w:val="16"/>
        </w:rPr>
        <w:t>el</w:t>
      </w:r>
      <w:r>
        <w:rPr>
          <w:color w:val="231F20"/>
          <w:spacing w:val="-10"/>
          <w:sz w:val="16"/>
        </w:rPr>
        <w:t> </w:t>
      </w:r>
      <w:r>
        <w:rPr>
          <w:color w:val="231F20"/>
          <w:sz w:val="16"/>
        </w:rPr>
        <w:t>anexo</w:t>
      </w:r>
      <w:r>
        <w:rPr>
          <w:color w:val="231F20"/>
          <w:spacing w:val="-10"/>
          <w:sz w:val="16"/>
        </w:rPr>
        <w:t> </w:t>
      </w:r>
      <w:r>
        <w:rPr>
          <w:color w:val="231F20"/>
          <w:sz w:val="16"/>
        </w:rPr>
        <w:t>de</w:t>
      </w:r>
      <w:r>
        <w:rPr>
          <w:color w:val="231F20"/>
          <w:spacing w:val="-10"/>
          <w:sz w:val="16"/>
        </w:rPr>
        <w:t> </w:t>
      </w:r>
      <w:r>
        <w:rPr>
          <w:color w:val="231F20"/>
          <w:sz w:val="16"/>
        </w:rPr>
        <w:t>este</w:t>
      </w:r>
      <w:r>
        <w:rPr>
          <w:color w:val="231F20"/>
          <w:spacing w:val="-10"/>
          <w:sz w:val="16"/>
        </w:rPr>
        <w:t> </w:t>
      </w:r>
      <w:r>
        <w:rPr>
          <w:color w:val="231F20"/>
          <w:sz w:val="16"/>
        </w:rPr>
        <w:t>documento</w:t>
      </w:r>
      <w:r>
        <w:rPr>
          <w:rFonts w:ascii="Arial" w:hAnsi="Arial"/>
          <w:color w:val="231F20"/>
          <w:sz w:val="20"/>
        </w:rPr>
        <w:t>.</w:t>
      </w:r>
    </w:p>
    <w:p>
      <w:pPr>
        <w:spacing w:after="0" w:line="196" w:lineRule="exact"/>
        <w:jc w:val="left"/>
        <w:rPr>
          <w:rFonts w:ascii="Arial" w:hAnsi="Arial"/>
          <w:sz w:val="20"/>
        </w:rPr>
        <w:sectPr>
          <w:footerReference w:type="default" r:id="rId643"/>
          <w:pgSz w:w="9640" w:h="12190"/>
          <w:pgMar w:footer="743" w:header="0" w:top="1120" w:bottom="940" w:left="740" w:right="740"/>
          <w:pgNumType w:start="250"/>
        </w:sectPr>
      </w:pPr>
    </w:p>
    <w:p>
      <w:pPr>
        <w:pStyle w:val="BodyText"/>
        <w:spacing w:before="3"/>
        <w:rPr>
          <w:rFonts w:ascii="Arial"/>
          <w:sz w:val="11"/>
        </w:rPr>
      </w:pPr>
    </w:p>
    <w:p>
      <w:pPr>
        <w:pStyle w:val="BodyText"/>
        <w:spacing w:line="285" w:lineRule="auto" w:before="36"/>
        <w:ind w:left="110" w:right="128"/>
        <w:jc w:val="both"/>
      </w:pPr>
      <w:r>
        <w:rPr>
          <w:color w:val="231F20"/>
          <w:w w:val="105"/>
        </w:rPr>
        <w:t>En la estructura de la administración destaca el papel protagónico del Secretario del Ayuntamiento, el peso de los recursos federales en la orientación del gasto social y la participación de representantes de la iniciativa privada.</w:t>
      </w:r>
    </w:p>
    <w:p>
      <w:pPr>
        <w:pStyle w:val="BodyText"/>
        <w:spacing w:before="1"/>
        <w:rPr>
          <w:sz w:val="26"/>
        </w:rPr>
      </w:pPr>
    </w:p>
    <w:p>
      <w:pPr>
        <w:pStyle w:val="BodyText"/>
        <w:spacing w:line="285" w:lineRule="auto"/>
        <w:ind w:left="110" w:right="127"/>
        <w:jc w:val="both"/>
      </w:pPr>
      <w:r>
        <w:rPr>
          <w:color w:val="231F20"/>
          <w:w w:val="105"/>
        </w:rPr>
        <w:t>El secretario del Ayuntamiento cumple una serie de funciones de la mayor relevancia pues se hace cargo de los principales asuntos de la tarea de gobernar, tales como de la normatividad,</w:t>
      </w:r>
      <w:r>
        <w:rPr>
          <w:color w:val="231F20"/>
          <w:spacing w:val="-4"/>
          <w:w w:val="105"/>
        </w:rPr>
        <w:t> </w:t>
      </w:r>
      <w:r>
        <w:rPr>
          <w:color w:val="231F20"/>
          <w:w w:val="105"/>
        </w:rPr>
        <w:t>de</w:t>
      </w:r>
      <w:r>
        <w:rPr>
          <w:color w:val="231F20"/>
          <w:spacing w:val="-4"/>
          <w:w w:val="105"/>
        </w:rPr>
        <w:t> </w:t>
      </w:r>
      <w:r>
        <w:rPr>
          <w:color w:val="231F20"/>
          <w:w w:val="105"/>
        </w:rPr>
        <w:t>supervisar</w:t>
      </w:r>
      <w:r>
        <w:rPr>
          <w:color w:val="231F20"/>
          <w:spacing w:val="-4"/>
          <w:w w:val="105"/>
        </w:rPr>
        <w:t> </w:t>
      </w:r>
      <w:r>
        <w:rPr>
          <w:color w:val="231F20"/>
          <w:w w:val="105"/>
        </w:rPr>
        <w:t>su</w:t>
      </w:r>
      <w:r>
        <w:rPr>
          <w:color w:val="231F20"/>
          <w:spacing w:val="-4"/>
          <w:w w:val="105"/>
        </w:rPr>
        <w:t> </w:t>
      </w:r>
      <w:r>
        <w:rPr>
          <w:color w:val="231F20"/>
          <w:w w:val="105"/>
        </w:rPr>
        <w:t>cumplimiento,</w:t>
      </w:r>
      <w:r>
        <w:rPr>
          <w:color w:val="231F20"/>
          <w:spacing w:val="-4"/>
          <w:w w:val="105"/>
        </w:rPr>
        <w:t> </w:t>
      </w:r>
      <w:r>
        <w:rPr>
          <w:color w:val="231F20"/>
          <w:w w:val="105"/>
        </w:rPr>
        <w:t>de</w:t>
      </w:r>
      <w:r>
        <w:rPr>
          <w:color w:val="231F20"/>
          <w:spacing w:val="-4"/>
          <w:w w:val="105"/>
        </w:rPr>
        <w:t> </w:t>
      </w:r>
      <w:r>
        <w:rPr>
          <w:color w:val="231F20"/>
          <w:w w:val="105"/>
        </w:rPr>
        <w:t>todo</w:t>
      </w:r>
      <w:r>
        <w:rPr>
          <w:color w:val="231F20"/>
          <w:spacing w:val="-4"/>
          <w:w w:val="105"/>
        </w:rPr>
        <w:t> </w:t>
      </w:r>
      <w:r>
        <w:rPr>
          <w:color w:val="231F20"/>
          <w:w w:val="105"/>
        </w:rPr>
        <w:t>lo</w:t>
      </w:r>
      <w:r>
        <w:rPr>
          <w:color w:val="231F20"/>
          <w:spacing w:val="-4"/>
          <w:w w:val="105"/>
        </w:rPr>
        <w:t> </w:t>
      </w:r>
      <w:r>
        <w:rPr>
          <w:color w:val="231F20"/>
          <w:w w:val="105"/>
        </w:rPr>
        <w:t>relacionado</w:t>
      </w:r>
      <w:r>
        <w:rPr>
          <w:color w:val="231F20"/>
          <w:spacing w:val="-4"/>
          <w:w w:val="105"/>
        </w:rPr>
        <w:t> </w:t>
      </w:r>
      <w:r>
        <w:rPr>
          <w:color w:val="231F20"/>
          <w:w w:val="105"/>
        </w:rPr>
        <w:t>con</w:t>
      </w:r>
      <w:r>
        <w:rPr>
          <w:color w:val="231F20"/>
          <w:spacing w:val="-4"/>
          <w:w w:val="105"/>
        </w:rPr>
        <w:t> </w:t>
      </w:r>
      <w:r>
        <w:rPr>
          <w:color w:val="231F20"/>
          <w:w w:val="105"/>
        </w:rPr>
        <w:t>los</w:t>
      </w:r>
      <w:r>
        <w:rPr>
          <w:color w:val="231F20"/>
          <w:spacing w:val="-4"/>
          <w:w w:val="105"/>
        </w:rPr>
        <w:t> </w:t>
      </w:r>
      <w:r>
        <w:rPr>
          <w:color w:val="231F20"/>
          <w:w w:val="105"/>
        </w:rPr>
        <w:t>derechos humanos, de la vinculación con la ciudadanía, de dar cauce a las peticiones de la so- ciedad y del acceso a la información. Más adelante veremos en concreto cómo fueron cumplidas</w:t>
      </w:r>
      <w:r>
        <w:rPr>
          <w:color w:val="231F20"/>
          <w:spacing w:val="-9"/>
          <w:w w:val="105"/>
        </w:rPr>
        <w:t> </w:t>
      </w:r>
      <w:r>
        <w:rPr>
          <w:color w:val="231F20"/>
          <w:w w:val="105"/>
        </w:rPr>
        <w:t>estas</w:t>
      </w:r>
      <w:r>
        <w:rPr>
          <w:color w:val="231F20"/>
          <w:spacing w:val="-9"/>
          <w:w w:val="105"/>
        </w:rPr>
        <w:t> </w:t>
      </w:r>
      <w:r>
        <w:rPr>
          <w:color w:val="231F20"/>
          <w:w w:val="105"/>
        </w:rPr>
        <w:t>tareas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periodo</w:t>
      </w:r>
      <w:r>
        <w:rPr>
          <w:color w:val="231F20"/>
          <w:spacing w:val="-9"/>
          <w:w w:val="105"/>
        </w:rPr>
        <w:t> </w:t>
      </w:r>
      <w:r>
        <w:rPr>
          <w:color w:val="231F20"/>
          <w:w w:val="105"/>
        </w:rPr>
        <w:t>estudiado.</w:t>
      </w:r>
    </w:p>
    <w:p>
      <w:pPr>
        <w:pStyle w:val="BodyText"/>
        <w:spacing w:before="1"/>
        <w:rPr>
          <w:sz w:val="26"/>
        </w:rPr>
      </w:pPr>
    </w:p>
    <w:p>
      <w:pPr>
        <w:pStyle w:val="Heading5"/>
        <w:ind w:left="320" w:right="57"/>
      </w:pPr>
      <w:r>
        <w:rPr>
          <w:color w:val="231F20"/>
          <w:w w:val="105"/>
        </w:rPr>
        <w:t>Organigrama 1. Secretaría del Ayuntamiento Naucalpan de Juárez 2006-2009</w:t>
      </w:r>
    </w:p>
    <w:p>
      <w:pPr>
        <w:pStyle w:val="BodyText"/>
        <w:spacing w:before="5"/>
        <w:rPr>
          <w:b/>
          <w:sz w:val="10"/>
        </w:rPr>
      </w:pPr>
      <w:r>
        <w:rPr/>
        <w:drawing>
          <wp:anchor distT="0" distB="0" distL="0" distR="0" allowOverlap="1" layoutInCell="1" locked="0" behindDoc="0" simplePos="0" relativeHeight="10336">
            <wp:simplePos x="0" y="0"/>
            <wp:positionH relativeFrom="page">
              <wp:posOffset>937600</wp:posOffset>
            </wp:positionH>
            <wp:positionV relativeFrom="paragraph">
              <wp:posOffset>101192</wp:posOffset>
            </wp:positionV>
            <wp:extent cx="4231083" cy="3261359"/>
            <wp:effectExtent l="0" t="0" r="0" b="0"/>
            <wp:wrapTopAndBottom/>
            <wp:docPr id="335" name="image575.jpeg" descr=""/>
            <wp:cNvGraphicFramePr>
              <a:graphicFrameLocks noChangeAspect="1"/>
            </wp:cNvGraphicFramePr>
            <a:graphic>
              <a:graphicData uri="http://schemas.openxmlformats.org/drawingml/2006/picture">
                <pic:pic>
                  <pic:nvPicPr>
                    <pic:cNvPr id="336" name="image575.jpeg"/>
                    <pic:cNvPicPr/>
                  </pic:nvPicPr>
                  <pic:blipFill>
                    <a:blip r:embed="rId644" cstate="print"/>
                    <a:stretch>
                      <a:fillRect/>
                    </a:stretch>
                  </pic:blipFill>
                  <pic:spPr>
                    <a:xfrm>
                      <a:off x="0" y="0"/>
                      <a:ext cx="4231083" cy="3261359"/>
                    </a:xfrm>
                    <a:prstGeom prst="rect">
                      <a:avLst/>
                    </a:prstGeom>
                  </pic:spPr>
                </pic:pic>
              </a:graphicData>
            </a:graphic>
          </wp:anchor>
        </w:drawing>
      </w:r>
    </w:p>
    <w:p>
      <w:pPr>
        <w:spacing w:before="175"/>
        <w:ind w:left="2423" w:right="-3" w:firstLine="0"/>
        <w:jc w:val="left"/>
        <w:rPr>
          <w:rFonts w:ascii="Calibri" w:hAnsi="Calibri"/>
          <w:sz w:val="16"/>
        </w:rPr>
      </w:pPr>
      <w:r>
        <w:rPr>
          <w:rFonts w:ascii="Calibri" w:hAnsi="Calibri"/>
          <w:color w:val="231F20"/>
          <w:sz w:val="16"/>
        </w:rPr>
        <w:t>Fuente: Unidad Municipal de Información del Ayuntamiento Naucalpan de Juárez, 2008.</w:t>
      </w:r>
    </w:p>
    <w:p>
      <w:pPr>
        <w:spacing w:after="0"/>
        <w:jc w:val="left"/>
        <w:rPr>
          <w:rFonts w:ascii="Calibri" w:hAnsi="Calibri"/>
          <w:sz w:val="16"/>
        </w:rPr>
        <w:sectPr>
          <w:pgSz w:w="9640" w:h="12190"/>
          <w:pgMar w:header="0" w:footer="743" w:top="1120" w:bottom="940" w:left="740" w:right="720"/>
        </w:sectPr>
      </w:pPr>
    </w:p>
    <w:p>
      <w:pPr>
        <w:pStyle w:val="BodyText"/>
        <w:spacing w:before="8"/>
        <w:rPr>
          <w:rFonts w:ascii="Calibri"/>
          <w:sz w:val="10"/>
        </w:rPr>
      </w:pPr>
    </w:p>
    <w:p>
      <w:pPr>
        <w:pStyle w:val="BodyText"/>
        <w:spacing w:line="285" w:lineRule="auto" w:before="35"/>
        <w:ind w:left="110" w:right="108"/>
        <w:jc w:val="both"/>
      </w:pPr>
      <w:r>
        <w:rPr>
          <w:color w:val="231F20"/>
          <w:w w:val="105"/>
        </w:rPr>
        <w:t>El</w:t>
      </w:r>
      <w:r>
        <w:rPr>
          <w:color w:val="231F20"/>
          <w:spacing w:val="-13"/>
          <w:w w:val="105"/>
        </w:rPr>
        <w:t> </w:t>
      </w:r>
      <w:r>
        <w:rPr>
          <w:color w:val="231F20"/>
          <w:w w:val="105"/>
        </w:rPr>
        <w:t>gasto</w:t>
      </w:r>
      <w:r>
        <w:rPr>
          <w:color w:val="231F20"/>
          <w:spacing w:val="-13"/>
          <w:w w:val="105"/>
        </w:rPr>
        <w:t> </w:t>
      </w:r>
      <w:r>
        <w:rPr>
          <w:color w:val="231F20"/>
          <w:w w:val="105"/>
        </w:rPr>
        <w:t>social</w:t>
      </w:r>
      <w:r>
        <w:rPr>
          <w:color w:val="231F20"/>
          <w:spacing w:val="-13"/>
          <w:w w:val="105"/>
        </w:rPr>
        <w:t> </w:t>
      </w:r>
      <w:r>
        <w:rPr>
          <w:color w:val="231F20"/>
          <w:w w:val="105"/>
        </w:rPr>
        <w:t>fue</w:t>
      </w:r>
      <w:r>
        <w:rPr>
          <w:color w:val="231F20"/>
          <w:spacing w:val="-13"/>
          <w:w w:val="105"/>
        </w:rPr>
        <w:t> </w:t>
      </w:r>
      <w:r>
        <w:rPr>
          <w:color w:val="231F20"/>
          <w:w w:val="105"/>
        </w:rPr>
        <w:t>manejado</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Dirección</w:t>
      </w:r>
      <w:r>
        <w:rPr>
          <w:color w:val="231F20"/>
          <w:spacing w:val="-13"/>
          <w:w w:val="105"/>
        </w:rPr>
        <w:t> </w:t>
      </w:r>
      <w:r>
        <w:rPr>
          <w:color w:val="231F20"/>
          <w:w w:val="105"/>
        </w:rPr>
        <w:t>General</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y</w:t>
      </w:r>
      <w:r>
        <w:rPr>
          <w:color w:val="231F20"/>
          <w:spacing w:val="-13"/>
          <w:w w:val="105"/>
        </w:rPr>
        <w:t> </w:t>
      </w:r>
      <w:r>
        <w:rPr>
          <w:color w:val="231F20"/>
          <w:spacing w:val="-3"/>
          <w:w w:val="105"/>
        </w:rPr>
        <w:t>Fomento</w:t>
      </w:r>
      <w:r>
        <w:rPr>
          <w:color w:val="231F20"/>
          <w:spacing w:val="-13"/>
          <w:w w:val="105"/>
        </w:rPr>
        <w:t> </w:t>
      </w:r>
      <w:r>
        <w:rPr>
          <w:color w:val="231F20"/>
          <w:w w:val="105"/>
        </w:rPr>
        <w:t>Econó- mico,</w:t>
      </w:r>
      <w:r>
        <w:rPr>
          <w:color w:val="231F20"/>
          <w:spacing w:val="-13"/>
          <w:w w:val="105"/>
        </w:rPr>
        <w:t> </w:t>
      </w:r>
      <w:r>
        <w:rPr>
          <w:color w:val="231F20"/>
          <w:w w:val="105"/>
        </w:rPr>
        <w:t>cuyo</w:t>
      </w:r>
      <w:r>
        <w:rPr>
          <w:color w:val="231F20"/>
          <w:spacing w:val="-13"/>
          <w:w w:val="105"/>
        </w:rPr>
        <w:t> </w:t>
      </w:r>
      <w:r>
        <w:rPr>
          <w:color w:val="231F20"/>
          <w:w w:val="105"/>
        </w:rPr>
        <w:t>titular</w:t>
      </w:r>
      <w:r>
        <w:rPr>
          <w:color w:val="231F20"/>
          <w:spacing w:val="-13"/>
          <w:w w:val="105"/>
        </w:rPr>
        <w:t> </w:t>
      </w:r>
      <w:r>
        <w:rPr>
          <w:color w:val="231F20"/>
          <w:w w:val="105"/>
        </w:rPr>
        <w:t>fue</w:t>
      </w:r>
      <w:r>
        <w:rPr>
          <w:color w:val="231F20"/>
          <w:spacing w:val="-13"/>
          <w:w w:val="105"/>
        </w:rPr>
        <w:t> </w:t>
      </w:r>
      <w:r>
        <w:rPr>
          <w:color w:val="231F20"/>
          <w:w w:val="105"/>
        </w:rPr>
        <w:t>Javier</w:t>
      </w:r>
      <w:r>
        <w:rPr>
          <w:color w:val="231F20"/>
          <w:spacing w:val="-13"/>
          <w:w w:val="105"/>
        </w:rPr>
        <w:t> </w:t>
      </w:r>
      <w:r>
        <w:rPr>
          <w:color w:val="231F20"/>
          <w:w w:val="105"/>
        </w:rPr>
        <w:t>Paz</w:t>
      </w:r>
      <w:r>
        <w:rPr>
          <w:color w:val="231F20"/>
          <w:spacing w:val="-13"/>
          <w:w w:val="105"/>
        </w:rPr>
        <w:t> </w:t>
      </w:r>
      <w:r>
        <w:rPr>
          <w:color w:val="231F20"/>
          <w:w w:val="105"/>
        </w:rPr>
        <w:t>Zarza,</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líderes</w:t>
      </w:r>
      <w:r>
        <w:rPr>
          <w:color w:val="231F20"/>
          <w:spacing w:val="-13"/>
          <w:w w:val="105"/>
        </w:rPr>
        <w:t> </w:t>
      </w:r>
      <w:r>
        <w:rPr>
          <w:color w:val="231F20"/>
          <w:w w:val="105"/>
        </w:rPr>
        <w:t>más</w:t>
      </w:r>
      <w:r>
        <w:rPr>
          <w:color w:val="231F20"/>
          <w:spacing w:val="-13"/>
          <w:w w:val="105"/>
        </w:rPr>
        <w:t> </w:t>
      </w:r>
      <w:r>
        <w:rPr>
          <w:color w:val="231F20"/>
          <w:w w:val="105"/>
        </w:rPr>
        <w:t>importantes</w:t>
      </w:r>
      <w:r>
        <w:rPr>
          <w:color w:val="231F20"/>
          <w:spacing w:val="-13"/>
          <w:w w:val="105"/>
        </w:rPr>
        <w:t> </w:t>
      </w:r>
      <w:r>
        <w:rPr>
          <w:color w:val="231F20"/>
          <w:w w:val="105"/>
        </w:rPr>
        <w:t>del</w:t>
      </w:r>
      <w:r>
        <w:rPr>
          <w:color w:val="231F20"/>
          <w:spacing w:val="-13"/>
          <w:w w:val="105"/>
        </w:rPr>
        <w:t> </w:t>
      </w:r>
      <w:r>
        <w:rPr>
          <w:color w:val="231F20"/>
          <w:w w:val="105"/>
        </w:rPr>
        <w:t>panismo en</w:t>
      </w:r>
      <w:r>
        <w:rPr>
          <w:color w:val="231F20"/>
          <w:spacing w:val="-25"/>
          <w:w w:val="105"/>
        </w:rPr>
        <w:t> </w:t>
      </w:r>
      <w:r>
        <w:rPr>
          <w:color w:val="231F20"/>
          <w:w w:val="105"/>
        </w:rPr>
        <w:t>el</w:t>
      </w:r>
      <w:r>
        <w:rPr>
          <w:color w:val="231F20"/>
          <w:spacing w:val="-25"/>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5"/>
          <w:w w:val="105"/>
        </w:rPr>
        <w:t> </w:t>
      </w:r>
      <w:r>
        <w:rPr>
          <w:color w:val="231F20"/>
          <w:w w:val="105"/>
        </w:rPr>
        <w:t>Llama</w:t>
      </w:r>
      <w:r>
        <w:rPr>
          <w:color w:val="231F20"/>
          <w:spacing w:val="-25"/>
          <w:w w:val="105"/>
        </w:rPr>
        <w:t> </w:t>
      </w:r>
      <w:r>
        <w:rPr>
          <w:color w:val="231F20"/>
          <w:w w:val="105"/>
        </w:rPr>
        <w:t>la</w:t>
      </w:r>
      <w:r>
        <w:rPr>
          <w:color w:val="231F20"/>
          <w:spacing w:val="-25"/>
          <w:w w:val="105"/>
        </w:rPr>
        <w:t> </w:t>
      </w:r>
      <w:r>
        <w:rPr>
          <w:color w:val="231F20"/>
          <w:w w:val="105"/>
        </w:rPr>
        <w:t>atención,</w:t>
      </w:r>
      <w:r>
        <w:rPr>
          <w:color w:val="231F20"/>
          <w:spacing w:val="-25"/>
          <w:w w:val="105"/>
        </w:rPr>
        <w:t> </w:t>
      </w:r>
      <w:r>
        <w:rPr>
          <w:color w:val="231F20"/>
          <w:w w:val="105"/>
        </w:rPr>
        <w:t>sin</w:t>
      </w:r>
      <w:r>
        <w:rPr>
          <w:color w:val="231F20"/>
          <w:spacing w:val="-25"/>
          <w:w w:val="105"/>
        </w:rPr>
        <w:t> </w:t>
      </w:r>
      <w:r>
        <w:rPr>
          <w:color w:val="231F20"/>
          <w:w w:val="105"/>
        </w:rPr>
        <w:t>embargo,</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asesor</w:t>
      </w:r>
      <w:r>
        <w:rPr>
          <w:color w:val="231F20"/>
          <w:spacing w:val="-25"/>
          <w:w w:val="105"/>
        </w:rPr>
        <w:t> </w:t>
      </w:r>
      <w:r>
        <w:rPr>
          <w:color w:val="231F20"/>
          <w:w w:val="105"/>
        </w:rPr>
        <w:t>de</w:t>
      </w:r>
      <w:r>
        <w:rPr>
          <w:color w:val="231F20"/>
          <w:spacing w:val="-25"/>
          <w:w w:val="105"/>
        </w:rPr>
        <w:t> </w:t>
      </w:r>
      <w:r>
        <w:rPr>
          <w:color w:val="231F20"/>
          <w:w w:val="105"/>
        </w:rPr>
        <w:t>este</w:t>
      </w:r>
      <w:r>
        <w:rPr>
          <w:color w:val="231F20"/>
          <w:spacing w:val="-25"/>
          <w:w w:val="105"/>
        </w:rPr>
        <w:t> </w:t>
      </w:r>
      <w:r>
        <w:rPr>
          <w:color w:val="231F20"/>
          <w:w w:val="105"/>
        </w:rPr>
        <w:t>gobernante fuese un destacado ex militante del PRI en el plano nacional, Marcos Bucio. En esta dirección</w:t>
      </w:r>
      <w:r>
        <w:rPr>
          <w:color w:val="231F20"/>
          <w:spacing w:val="-5"/>
          <w:w w:val="105"/>
        </w:rPr>
        <w:t> </w:t>
      </w:r>
      <w:r>
        <w:rPr>
          <w:color w:val="231F20"/>
          <w:w w:val="105"/>
        </w:rPr>
        <w:t>se</w:t>
      </w:r>
      <w:r>
        <w:rPr>
          <w:color w:val="231F20"/>
          <w:spacing w:val="-5"/>
          <w:w w:val="105"/>
        </w:rPr>
        <w:t> </w:t>
      </w:r>
      <w:r>
        <w:rPr>
          <w:color w:val="231F20"/>
          <w:w w:val="105"/>
        </w:rPr>
        <w:t>manejaron</w:t>
      </w:r>
      <w:r>
        <w:rPr>
          <w:color w:val="231F20"/>
          <w:spacing w:val="-5"/>
          <w:w w:val="105"/>
        </w:rPr>
        <w:t> </w:t>
      </w:r>
      <w:r>
        <w:rPr>
          <w:color w:val="231F20"/>
          <w:w w:val="105"/>
        </w:rPr>
        <w:t>los</w:t>
      </w:r>
      <w:r>
        <w:rPr>
          <w:color w:val="231F20"/>
          <w:spacing w:val="-5"/>
          <w:w w:val="105"/>
        </w:rPr>
        <w:t> </w:t>
      </w:r>
      <w:r>
        <w:rPr>
          <w:color w:val="231F20"/>
          <w:w w:val="105"/>
        </w:rPr>
        <w:t>recursos</w:t>
      </w:r>
      <w:r>
        <w:rPr>
          <w:color w:val="231F20"/>
          <w:spacing w:val="-5"/>
          <w:w w:val="105"/>
        </w:rPr>
        <w:t> </w:t>
      </w:r>
      <w:r>
        <w:rPr>
          <w:color w:val="231F20"/>
          <w:w w:val="105"/>
        </w:rPr>
        <w:t>federales,</w:t>
      </w:r>
      <w:r>
        <w:rPr>
          <w:color w:val="231F20"/>
          <w:spacing w:val="-5"/>
          <w:w w:val="105"/>
        </w:rPr>
        <w:t> </w:t>
      </w:r>
      <w:r>
        <w:rPr>
          <w:color w:val="231F20"/>
          <w:w w:val="105"/>
        </w:rPr>
        <w:t>destinados</w:t>
      </w:r>
      <w:r>
        <w:rPr>
          <w:color w:val="231F20"/>
          <w:spacing w:val="-5"/>
          <w:w w:val="105"/>
        </w:rPr>
        <w:t> </w:t>
      </w:r>
      <w:r>
        <w:rPr>
          <w:color w:val="231F20"/>
          <w:w w:val="105"/>
        </w:rPr>
        <w:t>básicamente</w:t>
      </w:r>
      <w:r>
        <w:rPr>
          <w:color w:val="231F20"/>
          <w:spacing w:val="-5"/>
          <w:w w:val="105"/>
        </w:rPr>
        <w:t> </w:t>
      </w:r>
      <w:r>
        <w:rPr>
          <w:color w:val="231F20"/>
          <w:w w:val="105"/>
        </w:rPr>
        <w:t>a</w:t>
      </w:r>
      <w:r>
        <w:rPr>
          <w:color w:val="231F20"/>
          <w:spacing w:val="-5"/>
          <w:w w:val="105"/>
        </w:rPr>
        <w:t> </w:t>
      </w:r>
      <w:r>
        <w:rPr>
          <w:color w:val="231F20"/>
          <w:w w:val="105"/>
        </w:rPr>
        <w:t>educación.</w:t>
      </w:r>
      <w:r>
        <w:rPr>
          <w:color w:val="231F20"/>
          <w:spacing w:val="-5"/>
          <w:w w:val="105"/>
        </w:rPr>
        <w:t> </w:t>
      </w:r>
      <w:r>
        <w:rPr>
          <w:color w:val="231F20"/>
          <w:w w:val="105"/>
        </w:rPr>
        <w:t>El resto de los recursos se entregaron teniendo de por medio una labor de concertación social</w:t>
      </w:r>
      <w:r>
        <w:rPr>
          <w:color w:val="231F20"/>
          <w:spacing w:val="-17"/>
          <w:w w:val="105"/>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w w:val="105"/>
        </w:rPr>
        <w:t>gestión</w:t>
      </w:r>
      <w:r>
        <w:rPr>
          <w:color w:val="231F20"/>
          <w:spacing w:val="-17"/>
          <w:w w:val="105"/>
        </w:rPr>
        <w:t> </w:t>
      </w:r>
      <w:r>
        <w:rPr>
          <w:color w:val="231F20"/>
          <w:w w:val="105"/>
        </w:rPr>
        <w:t>y</w:t>
      </w:r>
      <w:r>
        <w:rPr>
          <w:color w:val="231F20"/>
          <w:spacing w:val="-17"/>
          <w:w w:val="105"/>
        </w:rPr>
        <w:t> </w:t>
      </w:r>
      <w:r>
        <w:rPr>
          <w:color w:val="231F20"/>
          <w:w w:val="105"/>
        </w:rPr>
        <w:t>realización</w:t>
      </w:r>
      <w:r>
        <w:rPr>
          <w:color w:val="231F20"/>
          <w:spacing w:val="-17"/>
          <w:w w:val="105"/>
        </w:rPr>
        <w:t> </w:t>
      </w:r>
      <w:r>
        <w:rPr>
          <w:color w:val="231F20"/>
          <w:w w:val="105"/>
        </w:rPr>
        <w:t>de</w:t>
      </w:r>
      <w:r>
        <w:rPr>
          <w:color w:val="231F20"/>
          <w:spacing w:val="-17"/>
          <w:w w:val="105"/>
        </w:rPr>
        <w:t> </w:t>
      </w:r>
      <w:r>
        <w:rPr>
          <w:color w:val="231F20"/>
          <w:w w:val="105"/>
        </w:rPr>
        <w:t>obras.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4"/>
          <w:w w:val="105"/>
        </w:rPr>
        <w:t> </w:t>
      </w:r>
      <w:r>
        <w:rPr>
          <w:color w:val="231F20"/>
          <w:spacing w:val="-3"/>
          <w:w w:val="105"/>
        </w:rPr>
        <w:t>participación</w:t>
      </w:r>
      <w:r>
        <w:rPr>
          <w:color w:val="231F20"/>
          <w:spacing w:val="-14"/>
          <w:w w:val="105"/>
        </w:rPr>
        <w:t> </w:t>
      </w:r>
      <w:r>
        <w:rPr>
          <w:color w:val="231F20"/>
          <w:spacing w:val="-3"/>
          <w:w w:val="105"/>
        </w:rPr>
        <w:t>del</w:t>
      </w:r>
      <w:r>
        <w:rPr>
          <w:color w:val="231F20"/>
          <w:spacing w:val="-14"/>
          <w:w w:val="105"/>
        </w:rPr>
        <w:t> </w:t>
      </w:r>
      <w:r>
        <w:rPr>
          <w:color w:val="231F20"/>
          <w:spacing w:val="-3"/>
          <w:w w:val="105"/>
        </w:rPr>
        <w:t>empresariado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estructura</w:t>
      </w:r>
      <w:r>
        <w:rPr>
          <w:color w:val="231F20"/>
          <w:spacing w:val="-14"/>
          <w:w w:val="105"/>
        </w:rPr>
        <w:t> </w:t>
      </w:r>
      <w:r>
        <w:rPr>
          <w:color w:val="231F20"/>
          <w:w w:val="105"/>
        </w:rPr>
        <w:t>es</w:t>
      </w:r>
      <w:r>
        <w:rPr>
          <w:color w:val="231F20"/>
          <w:spacing w:val="-14"/>
          <w:w w:val="105"/>
        </w:rPr>
        <w:t> </w:t>
      </w:r>
      <w:r>
        <w:rPr>
          <w:color w:val="231F20"/>
          <w:spacing w:val="-3"/>
          <w:w w:val="105"/>
        </w:rPr>
        <w:t>notoria</w:t>
      </w:r>
      <w:r>
        <w:rPr>
          <w:color w:val="231F20"/>
          <w:spacing w:val="-14"/>
          <w:w w:val="105"/>
        </w:rPr>
        <w:t> </w:t>
      </w:r>
      <w:r>
        <w:rPr>
          <w:color w:val="231F20"/>
          <w:w w:val="105"/>
        </w:rPr>
        <w:t>en</w:t>
      </w:r>
      <w:r>
        <w:rPr>
          <w:color w:val="231F20"/>
          <w:spacing w:val="-14"/>
          <w:w w:val="105"/>
        </w:rPr>
        <w:t> </w:t>
      </w:r>
      <w:r>
        <w:rPr>
          <w:color w:val="231F20"/>
          <w:w w:val="105"/>
        </w:rPr>
        <w:t>tres</w:t>
      </w:r>
      <w:r>
        <w:rPr>
          <w:color w:val="231F20"/>
          <w:spacing w:val="-14"/>
          <w:w w:val="105"/>
        </w:rPr>
        <w:t> </w:t>
      </w:r>
      <w:r>
        <w:rPr>
          <w:color w:val="231F20"/>
          <w:w w:val="105"/>
        </w:rPr>
        <w:t>instancias</w:t>
      </w:r>
      <w:r>
        <w:rPr>
          <w:color w:val="231F20"/>
          <w:spacing w:val="-14"/>
          <w:w w:val="105"/>
        </w:rPr>
        <w:t> </w:t>
      </w:r>
      <w:r>
        <w:rPr>
          <w:color w:val="231F20"/>
          <w:w w:val="105"/>
        </w:rPr>
        <w:t>de</w:t>
      </w:r>
      <w:r>
        <w:rPr>
          <w:color w:val="231F20"/>
          <w:spacing w:val="-14"/>
          <w:w w:val="105"/>
        </w:rPr>
        <w:t> </w:t>
      </w:r>
      <w:r>
        <w:rPr>
          <w:color w:val="231F20"/>
          <w:spacing w:val="-5"/>
          <w:w w:val="105"/>
        </w:rPr>
        <w:t>gobier- </w:t>
      </w:r>
      <w:r>
        <w:rPr>
          <w:color w:val="231F20"/>
          <w:spacing w:val="-4"/>
          <w:w w:val="105"/>
        </w:rPr>
        <w:t>no:</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spacing w:val="-3"/>
          <w:w w:val="105"/>
        </w:rPr>
        <w:t>Dirección</w:t>
      </w:r>
      <w:r>
        <w:rPr>
          <w:color w:val="231F20"/>
          <w:spacing w:val="-28"/>
          <w:w w:val="105"/>
        </w:rPr>
        <w:t> </w:t>
      </w:r>
      <w:r>
        <w:rPr>
          <w:color w:val="231F20"/>
          <w:w w:val="105"/>
        </w:rPr>
        <w:t>General</w:t>
      </w:r>
      <w:r>
        <w:rPr>
          <w:color w:val="231F20"/>
          <w:spacing w:val="-28"/>
          <w:w w:val="105"/>
        </w:rPr>
        <w:t> </w:t>
      </w:r>
      <w:r>
        <w:rPr>
          <w:color w:val="231F20"/>
          <w:w w:val="105"/>
        </w:rPr>
        <w:t>de</w:t>
      </w:r>
      <w:r>
        <w:rPr>
          <w:color w:val="231F20"/>
          <w:spacing w:val="-28"/>
          <w:w w:val="105"/>
        </w:rPr>
        <w:t> </w:t>
      </w:r>
      <w:r>
        <w:rPr>
          <w:color w:val="231F20"/>
          <w:w w:val="105"/>
        </w:rPr>
        <w:t>Desarrollo</w:t>
      </w:r>
      <w:r>
        <w:rPr>
          <w:color w:val="231F20"/>
          <w:spacing w:val="-28"/>
          <w:w w:val="105"/>
        </w:rPr>
        <w:t> </w:t>
      </w:r>
      <w:r>
        <w:rPr>
          <w:color w:val="231F20"/>
          <w:w w:val="105"/>
        </w:rPr>
        <w:t>y</w:t>
      </w:r>
      <w:r>
        <w:rPr>
          <w:color w:val="231F20"/>
          <w:spacing w:val="-28"/>
          <w:w w:val="105"/>
        </w:rPr>
        <w:t> </w:t>
      </w:r>
      <w:r>
        <w:rPr>
          <w:color w:val="231F20"/>
          <w:spacing w:val="-5"/>
          <w:w w:val="105"/>
        </w:rPr>
        <w:t>Fomento</w:t>
      </w:r>
      <w:r>
        <w:rPr>
          <w:color w:val="231F20"/>
          <w:spacing w:val="-28"/>
          <w:w w:val="105"/>
        </w:rPr>
        <w:t> </w:t>
      </w:r>
      <w:r>
        <w:rPr>
          <w:color w:val="231F20"/>
          <w:spacing w:val="-4"/>
          <w:w w:val="105"/>
        </w:rPr>
        <w:t>Económico,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Comité</w:t>
      </w:r>
      <w:r>
        <w:rPr>
          <w:color w:val="231F20"/>
          <w:spacing w:val="-28"/>
          <w:w w:val="105"/>
        </w:rPr>
        <w:t> </w:t>
      </w:r>
      <w:r>
        <w:rPr>
          <w:color w:val="231F20"/>
          <w:spacing w:val="-5"/>
          <w:w w:val="105"/>
        </w:rPr>
        <w:t>Técnico</w:t>
      </w:r>
      <w:r>
        <w:rPr>
          <w:color w:val="231F20"/>
          <w:spacing w:val="-28"/>
          <w:w w:val="105"/>
        </w:rPr>
        <w:t> </w:t>
      </w:r>
      <w:r>
        <w:rPr>
          <w:color w:val="231F20"/>
          <w:spacing w:val="-3"/>
          <w:w w:val="105"/>
        </w:rPr>
        <w:t>del Fideicomiso</w:t>
      </w:r>
      <w:r>
        <w:rPr>
          <w:color w:val="231F20"/>
          <w:spacing w:val="-22"/>
          <w:w w:val="105"/>
        </w:rPr>
        <w:t> </w:t>
      </w:r>
      <w:r>
        <w:rPr>
          <w:color w:val="231F20"/>
          <w:spacing w:val="-3"/>
          <w:w w:val="105"/>
        </w:rPr>
        <w:t>del</w:t>
      </w:r>
      <w:r>
        <w:rPr>
          <w:color w:val="231F20"/>
          <w:spacing w:val="-22"/>
          <w:w w:val="105"/>
        </w:rPr>
        <w:t> </w:t>
      </w:r>
      <w:r>
        <w:rPr>
          <w:color w:val="231F20"/>
          <w:spacing w:val="-3"/>
          <w:w w:val="105"/>
        </w:rPr>
        <w:t>Club</w:t>
      </w:r>
      <w:r>
        <w:rPr>
          <w:color w:val="231F20"/>
          <w:spacing w:val="-22"/>
          <w:w w:val="105"/>
        </w:rPr>
        <w:t> </w:t>
      </w:r>
      <w:r>
        <w:rPr>
          <w:color w:val="231F20"/>
          <w:w w:val="105"/>
        </w:rPr>
        <w:t>de</w:t>
      </w:r>
      <w:r>
        <w:rPr>
          <w:color w:val="231F20"/>
          <w:spacing w:val="-22"/>
          <w:w w:val="105"/>
        </w:rPr>
        <w:t> </w:t>
      </w:r>
      <w:r>
        <w:rPr>
          <w:color w:val="231F20"/>
          <w:spacing w:val="-3"/>
          <w:w w:val="105"/>
        </w:rPr>
        <w:t>Exportadores</w:t>
      </w:r>
      <w:r>
        <w:rPr>
          <w:color w:val="231F20"/>
          <w:spacing w:val="-22"/>
          <w:w w:val="105"/>
        </w:rPr>
        <w:t> </w:t>
      </w:r>
      <w:r>
        <w:rPr>
          <w:color w:val="231F20"/>
          <w:w w:val="105"/>
        </w:rPr>
        <w:t>y</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Sistema</w:t>
      </w:r>
      <w:r>
        <w:rPr>
          <w:color w:val="231F20"/>
          <w:spacing w:val="-22"/>
          <w:w w:val="105"/>
        </w:rPr>
        <w:t> </w:t>
      </w:r>
      <w:r>
        <w:rPr>
          <w:color w:val="231F20"/>
          <w:w w:val="105"/>
        </w:rPr>
        <w:t>Municipal</w:t>
      </w:r>
      <w:r>
        <w:rPr>
          <w:color w:val="231F20"/>
          <w:spacing w:val="-22"/>
          <w:w w:val="105"/>
        </w:rPr>
        <w:t> </w:t>
      </w:r>
      <w:r>
        <w:rPr>
          <w:color w:val="231F20"/>
          <w:w w:val="105"/>
        </w:rPr>
        <w:t>de</w:t>
      </w:r>
      <w:r>
        <w:rPr>
          <w:color w:val="231F20"/>
          <w:spacing w:val="-22"/>
          <w:w w:val="105"/>
        </w:rPr>
        <w:t> </w:t>
      </w:r>
      <w:r>
        <w:rPr>
          <w:color w:val="231F20"/>
          <w:spacing w:val="-3"/>
          <w:w w:val="105"/>
        </w:rPr>
        <w:t>Microcréditos.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9"/>
          <w:w w:val="105"/>
        </w:rPr>
        <w:t> </w:t>
      </w:r>
      <w:r>
        <w:rPr>
          <w:color w:val="231F20"/>
          <w:w w:val="105"/>
        </w:rPr>
        <w:t>organigrama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dirección</w:t>
      </w:r>
      <w:r>
        <w:rPr>
          <w:color w:val="231F20"/>
          <w:spacing w:val="-19"/>
          <w:w w:val="105"/>
        </w:rPr>
        <w:t> </w:t>
      </w:r>
      <w:r>
        <w:rPr>
          <w:color w:val="231F20"/>
          <w:w w:val="105"/>
        </w:rPr>
        <w:t>mencionada</w:t>
      </w:r>
      <w:r>
        <w:rPr>
          <w:color w:val="231F20"/>
          <w:spacing w:val="-19"/>
          <w:w w:val="105"/>
        </w:rPr>
        <w:t> </w:t>
      </w:r>
      <w:r>
        <w:rPr>
          <w:color w:val="231F20"/>
          <w:w w:val="105"/>
        </w:rPr>
        <w:t>es</w:t>
      </w:r>
      <w:r>
        <w:rPr>
          <w:color w:val="231F20"/>
          <w:spacing w:val="-19"/>
          <w:w w:val="105"/>
        </w:rPr>
        <w:t> </w:t>
      </w:r>
      <w:r>
        <w:rPr>
          <w:color w:val="231F20"/>
          <w:w w:val="105"/>
        </w:rPr>
        <w:t>elocuente:</w:t>
      </w:r>
      <w:r>
        <w:rPr>
          <w:color w:val="231F20"/>
          <w:spacing w:val="-19"/>
          <w:w w:val="105"/>
        </w:rPr>
        <w:t> </w:t>
      </w:r>
      <w:r>
        <w:rPr>
          <w:color w:val="231F20"/>
          <w:w w:val="105"/>
        </w:rPr>
        <w:t>hay</w:t>
      </w:r>
      <w:r>
        <w:rPr>
          <w:color w:val="231F20"/>
          <w:spacing w:val="-19"/>
          <w:w w:val="105"/>
        </w:rPr>
        <w:t> </w:t>
      </w:r>
      <w:r>
        <w:rPr>
          <w:color w:val="231F20"/>
          <w:w w:val="105"/>
        </w:rPr>
        <w:t>tres</w:t>
      </w:r>
      <w:r>
        <w:rPr>
          <w:color w:val="231F20"/>
          <w:spacing w:val="-19"/>
          <w:w w:val="105"/>
        </w:rPr>
        <w:t> </w:t>
      </w:r>
      <w:r>
        <w:rPr>
          <w:color w:val="231F20"/>
          <w:w w:val="105"/>
        </w:rPr>
        <w:t>subsecretarías,</w:t>
      </w:r>
      <w:r>
        <w:rPr>
          <w:color w:val="231F20"/>
          <w:spacing w:val="-19"/>
          <w:w w:val="105"/>
        </w:rPr>
        <w:t> </w:t>
      </w:r>
      <w:r>
        <w:rPr>
          <w:color w:val="231F20"/>
          <w:w w:val="105"/>
        </w:rPr>
        <w:t>dos</w:t>
      </w:r>
      <w:r>
        <w:rPr>
          <w:color w:val="231F20"/>
          <w:spacing w:val="-19"/>
          <w:w w:val="105"/>
        </w:rPr>
        <w:t> </w:t>
      </w:r>
      <w:r>
        <w:rPr>
          <w:color w:val="231F20"/>
          <w:w w:val="105"/>
        </w:rPr>
        <w:t>de ellas para la atención de los empresarios y una encargada de los microcréditos. De las seis</w:t>
      </w:r>
      <w:r>
        <w:rPr>
          <w:color w:val="231F20"/>
          <w:spacing w:val="-16"/>
          <w:w w:val="105"/>
        </w:rPr>
        <w:t> </w:t>
      </w:r>
      <w:r>
        <w:rPr>
          <w:color w:val="231F20"/>
          <w:w w:val="105"/>
        </w:rPr>
        <w:t>jefaturas</w:t>
      </w:r>
      <w:r>
        <w:rPr>
          <w:color w:val="231F20"/>
          <w:spacing w:val="-16"/>
          <w:w w:val="105"/>
        </w:rPr>
        <w:t> </w:t>
      </w:r>
      <w:r>
        <w:rPr>
          <w:color w:val="231F20"/>
          <w:w w:val="105"/>
        </w:rPr>
        <w:t>existentes,</w:t>
      </w:r>
      <w:r>
        <w:rPr>
          <w:color w:val="231F20"/>
          <w:spacing w:val="-16"/>
          <w:w w:val="105"/>
        </w:rPr>
        <w:t> </w:t>
      </w:r>
      <w:r>
        <w:rPr>
          <w:color w:val="231F20"/>
          <w:w w:val="105"/>
        </w:rPr>
        <w:t>solamente</w:t>
      </w:r>
      <w:r>
        <w:rPr>
          <w:color w:val="231F20"/>
          <w:spacing w:val="-16"/>
          <w:w w:val="105"/>
        </w:rPr>
        <w:t> </w:t>
      </w:r>
      <w:r>
        <w:rPr>
          <w:color w:val="231F20"/>
          <w:w w:val="105"/>
        </w:rPr>
        <w:t>una</w:t>
      </w:r>
      <w:r>
        <w:rPr>
          <w:color w:val="231F20"/>
          <w:spacing w:val="-16"/>
          <w:w w:val="105"/>
        </w:rPr>
        <w:t> </w:t>
      </w:r>
      <w:r>
        <w:rPr>
          <w:color w:val="231F20"/>
          <w:w w:val="105"/>
        </w:rPr>
        <w:t>estuvo</w:t>
      </w:r>
      <w:r>
        <w:rPr>
          <w:color w:val="231F20"/>
          <w:spacing w:val="-16"/>
          <w:w w:val="105"/>
        </w:rPr>
        <w:t> </w:t>
      </w:r>
      <w:r>
        <w:rPr>
          <w:color w:val="231F20"/>
          <w:w w:val="105"/>
        </w:rPr>
        <w:t>dedicada</w:t>
      </w:r>
      <w:r>
        <w:rPr>
          <w:color w:val="231F20"/>
          <w:spacing w:val="-16"/>
          <w:w w:val="105"/>
        </w:rPr>
        <w:t> </w:t>
      </w:r>
      <w:r>
        <w:rPr>
          <w:color w:val="231F20"/>
          <w:spacing w:val="2"/>
          <w:w w:val="105"/>
        </w:rPr>
        <w:t>al</w:t>
      </w:r>
      <w:r>
        <w:rPr>
          <w:color w:val="231F20"/>
          <w:spacing w:val="-16"/>
          <w:w w:val="105"/>
        </w:rPr>
        <w:t> </w:t>
      </w:r>
      <w:r>
        <w:rPr>
          <w:color w:val="231F20"/>
          <w:w w:val="105"/>
        </w:rPr>
        <w:t>empleo.</w:t>
      </w:r>
    </w:p>
    <w:p>
      <w:pPr>
        <w:spacing w:after="0" w:line="285" w:lineRule="auto"/>
        <w:jc w:val="both"/>
        <w:sectPr>
          <w:pgSz w:w="9640" w:h="12190"/>
          <w:pgMar w:header="0" w:footer="743" w:top="1120" w:bottom="940" w:left="740" w:right="740"/>
        </w:sectPr>
      </w:pPr>
    </w:p>
    <w:p>
      <w:pPr>
        <w:pStyle w:val="Heading5"/>
        <w:spacing w:line="285" w:lineRule="auto" w:before="27"/>
        <w:ind w:left="1632" w:hanging="1028"/>
      </w:pPr>
      <w:r>
        <w:rPr>
          <w:color w:val="231F20"/>
          <w:w w:val="105"/>
        </w:rPr>
        <w:t>Organigrama</w:t>
      </w:r>
      <w:r>
        <w:rPr>
          <w:color w:val="231F20"/>
          <w:spacing w:val="-20"/>
          <w:w w:val="105"/>
        </w:rPr>
        <w:t> </w:t>
      </w:r>
      <w:r>
        <w:rPr>
          <w:color w:val="231F20"/>
          <w:spacing w:val="2"/>
          <w:w w:val="105"/>
        </w:rPr>
        <w:t>2.</w:t>
      </w:r>
      <w:r>
        <w:rPr>
          <w:color w:val="231F20"/>
          <w:spacing w:val="-20"/>
          <w:w w:val="105"/>
        </w:rPr>
        <w:t> </w:t>
      </w:r>
      <w:r>
        <w:rPr>
          <w:color w:val="231F20"/>
          <w:w w:val="105"/>
        </w:rPr>
        <w:t>Dirección</w:t>
      </w:r>
      <w:r>
        <w:rPr>
          <w:color w:val="231F20"/>
          <w:spacing w:val="-20"/>
          <w:w w:val="105"/>
        </w:rPr>
        <w:t> </w:t>
      </w:r>
      <w:r>
        <w:rPr>
          <w:color w:val="231F20"/>
          <w:w w:val="105"/>
        </w:rPr>
        <w:t>General</w:t>
      </w:r>
      <w:r>
        <w:rPr>
          <w:color w:val="231F20"/>
          <w:spacing w:val="-20"/>
          <w:w w:val="105"/>
        </w:rPr>
        <w:t> </w:t>
      </w:r>
      <w:r>
        <w:rPr>
          <w:color w:val="231F20"/>
          <w:w w:val="105"/>
        </w:rPr>
        <w:t>de</w:t>
      </w:r>
      <w:r>
        <w:rPr>
          <w:color w:val="231F20"/>
          <w:spacing w:val="-20"/>
          <w:w w:val="105"/>
        </w:rPr>
        <w:t> </w:t>
      </w:r>
      <w:r>
        <w:rPr>
          <w:color w:val="231F20"/>
          <w:w w:val="105"/>
        </w:rPr>
        <w:t>Desarrollo</w:t>
      </w:r>
      <w:r>
        <w:rPr>
          <w:color w:val="231F20"/>
          <w:spacing w:val="-20"/>
          <w:w w:val="105"/>
        </w:rPr>
        <w:t> </w:t>
      </w:r>
      <w:r>
        <w:rPr>
          <w:color w:val="231F20"/>
          <w:w w:val="105"/>
        </w:rPr>
        <w:t>y</w:t>
      </w:r>
      <w:r>
        <w:rPr>
          <w:color w:val="231F20"/>
          <w:spacing w:val="-20"/>
          <w:w w:val="105"/>
        </w:rPr>
        <w:t> </w:t>
      </w:r>
      <w:r>
        <w:rPr>
          <w:color w:val="231F20"/>
          <w:w w:val="105"/>
        </w:rPr>
        <w:t>Fomento</w:t>
      </w:r>
      <w:r>
        <w:rPr>
          <w:color w:val="231F20"/>
          <w:spacing w:val="-20"/>
          <w:w w:val="105"/>
        </w:rPr>
        <w:t> </w:t>
      </w:r>
      <w:r>
        <w:rPr>
          <w:color w:val="231F20"/>
          <w:w w:val="105"/>
        </w:rPr>
        <w:t>Económico del</w:t>
      </w:r>
      <w:r>
        <w:rPr>
          <w:color w:val="231F20"/>
          <w:spacing w:val="-19"/>
          <w:w w:val="105"/>
        </w:rPr>
        <w:t> </w:t>
      </w:r>
      <w:r>
        <w:rPr>
          <w:color w:val="231F20"/>
          <w:w w:val="105"/>
        </w:rPr>
        <w:t>Ayuntamiento</w:t>
      </w:r>
      <w:r>
        <w:rPr>
          <w:color w:val="231F20"/>
          <w:spacing w:val="-19"/>
          <w:w w:val="105"/>
        </w:rPr>
        <w:t> </w:t>
      </w:r>
      <w:r>
        <w:rPr>
          <w:color w:val="231F20"/>
          <w:w w:val="105"/>
        </w:rPr>
        <w:t>Naucalpan</w:t>
      </w:r>
      <w:r>
        <w:rPr>
          <w:color w:val="231F20"/>
          <w:spacing w:val="-19"/>
          <w:w w:val="105"/>
        </w:rPr>
        <w:t> </w:t>
      </w:r>
      <w:r>
        <w:rPr>
          <w:color w:val="231F20"/>
          <w:w w:val="105"/>
        </w:rPr>
        <w:t>de</w:t>
      </w:r>
      <w:r>
        <w:rPr>
          <w:color w:val="231F20"/>
          <w:spacing w:val="-19"/>
          <w:w w:val="105"/>
        </w:rPr>
        <w:t> </w:t>
      </w:r>
      <w:r>
        <w:rPr>
          <w:color w:val="231F20"/>
          <w:w w:val="105"/>
        </w:rPr>
        <w:t>Juárez</w:t>
      </w:r>
      <w:r>
        <w:rPr>
          <w:color w:val="231F20"/>
          <w:spacing w:val="-19"/>
          <w:w w:val="105"/>
        </w:rPr>
        <w:t> </w:t>
      </w:r>
      <w:r>
        <w:rPr>
          <w:color w:val="231F20"/>
          <w:w w:val="105"/>
        </w:rPr>
        <w:t>2006-2009</w:t>
      </w:r>
    </w:p>
    <w:p>
      <w:pPr>
        <w:pStyle w:val="BodyText"/>
        <w:spacing w:before="6"/>
        <w:rPr>
          <w:b/>
          <w:sz w:val="26"/>
        </w:rPr>
      </w:pPr>
      <w:r>
        <w:rPr/>
        <w:drawing>
          <wp:anchor distT="0" distB="0" distL="0" distR="0" allowOverlap="1" layoutInCell="1" locked="0" behindDoc="0" simplePos="0" relativeHeight="10360">
            <wp:simplePos x="0" y="0"/>
            <wp:positionH relativeFrom="page">
              <wp:posOffset>540004</wp:posOffset>
            </wp:positionH>
            <wp:positionV relativeFrom="paragraph">
              <wp:posOffset>218659</wp:posOffset>
            </wp:positionV>
            <wp:extent cx="5042672" cy="3552444"/>
            <wp:effectExtent l="0" t="0" r="0" b="0"/>
            <wp:wrapTopAndBottom/>
            <wp:docPr id="337" name="image576.jpeg" descr=""/>
            <wp:cNvGraphicFramePr>
              <a:graphicFrameLocks noChangeAspect="1"/>
            </wp:cNvGraphicFramePr>
            <a:graphic>
              <a:graphicData uri="http://schemas.openxmlformats.org/drawingml/2006/picture">
                <pic:pic>
                  <pic:nvPicPr>
                    <pic:cNvPr id="338" name="image576.jpeg"/>
                    <pic:cNvPicPr/>
                  </pic:nvPicPr>
                  <pic:blipFill>
                    <a:blip r:embed="rId645" cstate="print"/>
                    <a:stretch>
                      <a:fillRect/>
                    </a:stretch>
                  </pic:blipFill>
                  <pic:spPr>
                    <a:xfrm>
                      <a:off x="0" y="0"/>
                      <a:ext cx="5042672" cy="3552444"/>
                    </a:xfrm>
                    <a:prstGeom prst="rect">
                      <a:avLst/>
                    </a:prstGeom>
                  </pic:spPr>
                </pic:pic>
              </a:graphicData>
            </a:graphic>
          </wp:anchor>
        </w:drawing>
      </w:r>
    </w:p>
    <w:p>
      <w:pPr>
        <w:pStyle w:val="BodyText"/>
        <w:rPr>
          <w:b/>
        </w:rPr>
      </w:pPr>
    </w:p>
    <w:p>
      <w:pPr>
        <w:pStyle w:val="BodyText"/>
        <w:spacing w:before="6"/>
        <w:rPr>
          <w:b/>
          <w:sz w:val="23"/>
        </w:rPr>
      </w:pPr>
    </w:p>
    <w:p>
      <w:pPr>
        <w:spacing w:before="0"/>
        <w:ind w:left="2440" w:right="-2" w:firstLine="0"/>
        <w:jc w:val="left"/>
        <w:rPr>
          <w:rFonts w:ascii="Calibri" w:hAnsi="Calibri"/>
          <w:sz w:val="16"/>
        </w:rPr>
      </w:pPr>
      <w:r>
        <w:rPr>
          <w:rFonts w:ascii="Calibri" w:hAnsi="Calibri"/>
          <w:color w:val="231F20"/>
          <w:sz w:val="16"/>
        </w:rPr>
        <w:t>Fuente: Unidad Municipal de Información del Ayuntamiento Naucalpan de Juárez, 2008</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Una de las prioridades del gobierno panista fue estimular la inversión de la iniciativa privada.</w:t>
      </w:r>
      <w:r>
        <w:rPr>
          <w:color w:val="231F20"/>
          <w:spacing w:val="-24"/>
          <w:w w:val="105"/>
        </w:rPr>
        <w:t> </w:t>
      </w:r>
      <w:r>
        <w:rPr>
          <w:color w:val="231F20"/>
          <w:w w:val="105"/>
        </w:rPr>
        <w:t>Para</w:t>
      </w:r>
      <w:r>
        <w:rPr>
          <w:color w:val="231F20"/>
          <w:spacing w:val="-24"/>
          <w:w w:val="105"/>
        </w:rPr>
        <w:t> </w:t>
      </w:r>
      <w:r>
        <w:rPr>
          <w:color w:val="231F20"/>
          <w:w w:val="105"/>
        </w:rPr>
        <w:t>ello,</w:t>
      </w:r>
      <w:r>
        <w:rPr>
          <w:color w:val="231F20"/>
          <w:spacing w:val="-24"/>
          <w:w w:val="105"/>
        </w:rPr>
        <w:t> </w:t>
      </w:r>
      <w:r>
        <w:rPr>
          <w:color w:val="231F20"/>
          <w:w w:val="105"/>
        </w:rPr>
        <w:t>una</w:t>
      </w:r>
      <w:r>
        <w:rPr>
          <w:color w:val="231F20"/>
          <w:spacing w:val="-24"/>
          <w:w w:val="105"/>
        </w:rPr>
        <w:t> </w:t>
      </w:r>
      <w:r>
        <w:rPr>
          <w:color w:val="231F20"/>
          <w:w w:val="105"/>
        </w:rPr>
        <w:t>de</w:t>
      </w:r>
      <w:r>
        <w:rPr>
          <w:color w:val="231F20"/>
          <w:spacing w:val="-24"/>
          <w:w w:val="105"/>
        </w:rPr>
        <w:t> </w:t>
      </w:r>
      <w:r>
        <w:rPr>
          <w:color w:val="231F20"/>
          <w:w w:val="105"/>
        </w:rPr>
        <w:t>sus</w:t>
      </w:r>
      <w:r>
        <w:rPr>
          <w:color w:val="231F20"/>
          <w:spacing w:val="-24"/>
          <w:w w:val="105"/>
        </w:rPr>
        <w:t> </w:t>
      </w:r>
      <w:r>
        <w:rPr>
          <w:color w:val="231F20"/>
          <w:w w:val="105"/>
        </w:rPr>
        <w:t>acciones</w:t>
      </w:r>
      <w:r>
        <w:rPr>
          <w:color w:val="231F20"/>
          <w:spacing w:val="-24"/>
          <w:w w:val="105"/>
        </w:rPr>
        <w:t> </w:t>
      </w:r>
      <w:r>
        <w:rPr>
          <w:color w:val="231F20"/>
          <w:w w:val="105"/>
        </w:rPr>
        <w:t>fue</w:t>
      </w:r>
      <w:r>
        <w:rPr>
          <w:color w:val="231F20"/>
          <w:spacing w:val="-24"/>
          <w:w w:val="105"/>
        </w:rPr>
        <w:t> </w:t>
      </w:r>
      <w:r>
        <w:rPr>
          <w:color w:val="231F20"/>
          <w:w w:val="105"/>
        </w:rPr>
        <w:t>la</w:t>
      </w:r>
      <w:r>
        <w:rPr>
          <w:color w:val="231F20"/>
          <w:spacing w:val="-24"/>
          <w:w w:val="105"/>
        </w:rPr>
        <w:t> </w:t>
      </w:r>
      <w:r>
        <w:rPr>
          <w:color w:val="231F20"/>
          <w:w w:val="105"/>
        </w:rPr>
        <w:t>creación</w:t>
      </w:r>
      <w:r>
        <w:rPr>
          <w:color w:val="231F20"/>
          <w:spacing w:val="-24"/>
          <w:w w:val="105"/>
        </w:rPr>
        <w:t> </w:t>
      </w:r>
      <w:r>
        <w:rPr>
          <w:color w:val="231F20"/>
          <w:w w:val="105"/>
        </w:rPr>
        <w:t>de</w:t>
      </w:r>
      <w:r>
        <w:rPr>
          <w:color w:val="231F20"/>
          <w:spacing w:val="-24"/>
          <w:w w:val="105"/>
        </w:rPr>
        <w:t> </w:t>
      </w:r>
      <w:r>
        <w:rPr>
          <w:color w:val="231F20"/>
          <w:w w:val="105"/>
        </w:rPr>
        <w:t>un</w:t>
      </w:r>
      <w:r>
        <w:rPr>
          <w:color w:val="231F20"/>
          <w:spacing w:val="-24"/>
          <w:w w:val="105"/>
        </w:rPr>
        <w:t> </w:t>
      </w:r>
      <w:r>
        <w:rPr>
          <w:color w:val="231F20"/>
          <w:w w:val="105"/>
        </w:rPr>
        <w:t>fideicomiso</w:t>
      </w:r>
      <w:r>
        <w:rPr>
          <w:color w:val="231F20"/>
          <w:spacing w:val="-24"/>
          <w:w w:val="105"/>
        </w:rPr>
        <w:t> </w:t>
      </w:r>
      <w:r>
        <w:rPr>
          <w:color w:val="231F20"/>
          <w:w w:val="105"/>
        </w:rPr>
        <w:t>para</w:t>
      </w:r>
      <w:r>
        <w:rPr>
          <w:color w:val="231F20"/>
          <w:spacing w:val="-24"/>
          <w:w w:val="105"/>
        </w:rPr>
        <w:t> </w:t>
      </w:r>
      <w:r>
        <w:rPr>
          <w:color w:val="231F20"/>
          <w:w w:val="105"/>
        </w:rPr>
        <w:t>fomentar</w:t>
      </w:r>
      <w:r>
        <w:rPr>
          <w:color w:val="231F20"/>
          <w:spacing w:val="-24"/>
          <w:w w:val="105"/>
        </w:rPr>
        <w:t> </w:t>
      </w:r>
      <w:r>
        <w:rPr>
          <w:color w:val="231F20"/>
          <w:w w:val="105"/>
        </w:rPr>
        <w:t>la exportación. En su comité participaron integrantes del ayuntamiento y representantes del</w:t>
      </w:r>
      <w:r>
        <w:rPr>
          <w:color w:val="231F20"/>
          <w:spacing w:val="-14"/>
          <w:w w:val="105"/>
        </w:rPr>
        <w:t> </w:t>
      </w:r>
      <w:r>
        <w:rPr>
          <w:color w:val="231F20"/>
          <w:w w:val="105"/>
        </w:rPr>
        <w:t>sector</w:t>
      </w:r>
      <w:r>
        <w:rPr>
          <w:color w:val="231F20"/>
          <w:spacing w:val="-14"/>
          <w:w w:val="105"/>
        </w:rPr>
        <w:t> </w:t>
      </w:r>
      <w:r>
        <w:rPr>
          <w:color w:val="231F20"/>
          <w:w w:val="105"/>
        </w:rPr>
        <w:t>empresarial:</w:t>
      </w:r>
      <w:r>
        <w:rPr>
          <w:color w:val="231F20"/>
          <w:spacing w:val="-14"/>
          <w:w w:val="105"/>
        </w:rPr>
        <w:t> </w:t>
      </w:r>
      <w:r>
        <w:rPr>
          <w:color w:val="231F20"/>
          <w:w w:val="105"/>
        </w:rPr>
        <w:t>el</w:t>
      </w:r>
      <w:r>
        <w:rPr>
          <w:color w:val="231F20"/>
          <w:spacing w:val="-14"/>
          <w:w w:val="105"/>
        </w:rPr>
        <w:t> </w:t>
      </w:r>
      <w:r>
        <w:rPr>
          <w:color w:val="231F20"/>
          <w:w w:val="105"/>
        </w:rPr>
        <w:t>Vicepresidente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Asociación</w:t>
      </w:r>
      <w:r>
        <w:rPr>
          <w:color w:val="231F20"/>
          <w:spacing w:val="-14"/>
          <w:w w:val="105"/>
        </w:rPr>
        <w:t> </w:t>
      </w:r>
      <w:r>
        <w:rPr>
          <w:color w:val="231F20"/>
          <w:w w:val="105"/>
        </w:rPr>
        <w:t>de</w:t>
      </w:r>
      <w:r>
        <w:rPr>
          <w:color w:val="231F20"/>
          <w:spacing w:val="-14"/>
          <w:w w:val="105"/>
        </w:rPr>
        <w:t> </w:t>
      </w:r>
      <w:r>
        <w:rPr>
          <w:color w:val="231F20"/>
          <w:w w:val="105"/>
        </w:rPr>
        <w:t>Industriales</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de México, el Vicepresidente de la Asociación de Industriales de Naucalpan, el Director de</w:t>
      </w:r>
      <w:r>
        <w:rPr>
          <w:color w:val="231F20"/>
          <w:spacing w:val="-12"/>
          <w:w w:val="105"/>
        </w:rPr>
        <w:t> </w:t>
      </w:r>
      <w:r>
        <w:rPr>
          <w:color w:val="231F20"/>
          <w:w w:val="105"/>
        </w:rPr>
        <w:t>la</w:t>
      </w:r>
      <w:r>
        <w:rPr>
          <w:color w:val="231F20"/>
          <w:spacing w:val="-12"/>
          <w:w w:val="105"/>
        </w:rPr>
        <w:t> </w:t>
      </w:r>
      <w:r>
        <w:rPr>
          <w:color w:val="231F20"/>
          <w:w w:val="105"/>
        </w:rPr>
        <w:t>CANACINTRA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el</w:t>
      </w:r>
      <w:r>
        <w:rPr>
          <w:color w:val="231F20"/>
          <w:spacing w:val="-12"/>
          <w:w w:val="105"/>
        </w:rPr>
        <w:t> </w:t>
      </w:r>
      <w:r>
        <w:rPr>
          <w:color w:val="231F20"/>
          <w:w w:val="105"/>
        </w:rPr>
        <w:t>Director</w:t>
      </w:r>
      <w:r>
        <w:rPr>
          <w:color w:val="231F20"/>
          <w:spacing w:val="-12"/>
          <w:w w:val="105"/>
        </w:rPr>
        <w:t> </w:t>
      </w:r>
      <w:r>
        <w:rPr>
          <w:color w:val="231F20"/>
          <w:w w:val="105"/>
        </w:rPr>
        <w:t>General</w:t>
      </w:r>
      <w:r>
        <w:rPr>
          <w:color w:val="231F20"/>
          <w:spacing w:val="-12"/>
          <w:w w:val="105"/>
        </w:rPr>
        <w:t> </w:t>
      </w:r>
      <w:r>
        <w:rPr>
          <w:color w:val="231F20"/>
          <w:w w:val="105"/>
        </w:rPr>
        <w:t>de</w:t>
      </w:r>
      <w:r>
        <w:rPr>
          <w:color w:val="231F20"/>
          <w:spacing w:val="-12"/>
          <w:w w:val="105"/>
        </w:rPr>
        <w:t> </w:t>
      </w:r>
      <w:r>
        <w:rPr>
          <w:color w:val="231F20"/>
          <w:w w:val="105"/>
        </w:rPr>
        <w:t>Aceros</w:t>
      </w:r>
      <w:r>
        <w:rPr>
          <w:color w:val="231F20"/>
          <w:spacing w:val="-12"/>
          <w:w w:val="105"/>
        </w:rPr>
        <w:t> </w:t>
      </w:r>
      <w:r>
        <w:rPr>
          <w:color w:val="231F20"/>
          <w:w w:val="105"/>
        </w:rPr>
        <w:t>A.N.</w:t>
      </w:r>
      <w:r>
        <w:rPr>
          <w:color w:val="231F20"/>
          <w:spacing w:val="-12"/>
          <w:w w:val="105"/>
        </w:rPr>
        <w:t> </w:t>
      </w:r>
      <w:r>
        <w:rPr>
          <w:color w:val="231F20"/>
          <w:w w:val="105"/>
        </w:rPr>
        <w:t>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50"/>
      </w:pPr>
      <w:r>
        <w:rPr>
          <w:color w:val="231F20"/>
        </w:rPr>
        <w:t>México, S.A. de C.V., el Director General de Envases y Productos Plásticos, S.A. de C.V., y el Director General de INELCO, S.A. de C.V.</w:t>
      </w:r>
    </w:p>
    <w:p>
      <w:pPr>
        <w:pStyle w:val="BodyText"/>
        <w:spacing w:before="1"/>
        <w:rPr>
          <w:sz w:val="26"/>
        </w:rPr>
      </w:pPr>
    </w:p>
    <w:p>
      <w:pPr>
        <w:pStyle w:val="Heading5"/>
        <w:spacing w:line="285" w:lineRule="auto"/>
        <w:ind w:left="2509" w:hanging="1889"/>
      </w:pPr>
      <w:r>
        <w:rPr>
          <w:color w:val="231F20"/>
          <w:w w:val="105"/>
        </w:rPr>
        <w:t>Organigrama</w:t>
      </w:r>
      <w:r>
        <w:rPr>
          <w:color w:val="231F20"/>
          <w:spacing w:val="-21"/>
          <w:w w:val="105"/>
        </w:rPr>
        <w:t> </w:t>
      </w:r>
      <w:r>
        <w:rPr>
          <w:color w:val="231F20"/>
          <w:w w:val="105"/>
        </w:rPr>
        <w:t>3.</w:t>
      </w:r>
      <w:r>
        <w:rPr>
          <w:color w:val="231F20"/>
          <w:spacing w:val="-21"/>
          <w:w w:val="105"/>
        </w:rPr>
        <w:t> </w:t>
      </w:r>
      <w:r>
        <w:rPr>
          <w:color w:val="231F20"/>
          <w:w w:val="105"/>
        </w:rPr>
        <w:t>Sistema</w:t>
      </w:r>
      <w:r>
        <w:rPr>
          <w:color w:val="231F20"/>
          <w:spacing w:val="-21"/>
          <w:w w:val="105"/>
        </w:rPr>
        <w:t> </w:t>
      </w:r>
      <w:r>
        <w:rPr>
          <w:color w:val="231F20"/>
          <w:w w:val="105"/>
        </w:rPr>
        <w:t>Municipal</w:t>
      </w:r>
      <w:r>
        <w:rPr>
          <w:color w:val="231F20"/>
          <w:spacing w:val="-21"/>
          <w:w w:val="105"/>
        </w:rPr>
        <w:t> </w:t>
      </w:r>
      <w:r>
        <w:rPr>
          <w:color w:val="231F20"/>
          <w:w w:val="105"/>
        </w:rPr>
        <w:t>de</w:t>
      </w:r>
      <w:r>
        <w:rPr>
          <w:color w:val="231F20"/>
          <w:spacing w:val="-21"/>
          <w:w w:val="105"/>
        </w:rPr>
        <w:t> </w:t>
      </w:r>
      <w:r>
        <w:rPr>
          <w:color w:val="231F20"/>
          <w:w w:val="105"/>
        </w:rPr>
        <w:t>Microcréditos</w:t>
      </w:r>
      <w:r>
        <w:rPr>
          <w:color w:val="231F20"/>
          <w:spacing w:val="-21"/>
          <w:w w:val="105"/>
        </w:rPr>
        <w:t> </w:t>
      </w:r>
      <w:r>
        <w:rPr>
          <w:color w:val="231F20"/>
          <w:w w:val="105"/>
        </w:rPr>
        <w:t>del</w:t>
      </w:r>
      <w:r>
        <w:rPr>
          <w:color w:val="231F20"/>
          <w:spacing w:val="-21"/>
          <w:w w:val="105"/>
        </w:rPr>
        <w:t> </w:t>
      </w:r>
      <w:r>
        <w:rPr>
          <w:color w:val="231F20"/>
          <w:w w:val="105"/>
        </w:rPr>
        <w:t>Ayuntamiento Naucalpan</w:t>
      </w:r>
      <w:r>
        <w:rPr>
          <w:color w:val="231F20"/>
          <w:spacing w:val="-25"/>
          <w:w w:val="105"/>
        </w:rPr>
        <w:t> </w:t>
      </w:r>
      <w:r>
        <w:rPr>
          <w:color w:val="231F20"/>
          <w:w w:val="105"/>
        </w:rPr>
        <w:t>de</w:t>
      </w:r>
      <w:r>
        <w:rPr>
          <w:color w:val="231F20"/>
          <w:spacing w:val="-25"/>
          <w:w w:val="105"/>
        </w:rPr>
        <w:t> </w:t>
      </w:r>
      <w:r>
        <w:rPr>
          <w:color w:val="231F20"/>
          <w:w w:val="105"/>
        </w:rPr>
        <w:t>Juárez</w:t>
      </w:r>
      <w:r>
        <w:rPr>
          <w:color w:val="231F20"/>
          <w:spacing w:val="-25"/>
          <w:w w:val="105"/>
        </w:rPr>
        <w:t> </w:t>
      </w:r>
      <w:r>
        <w:rPr>
          <w:color w:val="231F20"/>
          <w:w w:val="105"/>
        </w:rPr>
        <w:t>2006-2009.</w:t>
      </w:r>
    </w:p>
    <w:p>
      <w:pPr>
        <w:pStyle w:val="BodyText"/>
        <w:spacing w:before="6"/>
        <w:rPr>
          <w:b/>
          <w:sz w:val="14"/>
        </w:rPr>
      </w:pPr>
      <w:r>
        <w:rPr/>
        <w:drawing>
          <wp:anchor distT="0" distB="0" distL="0" distR="0" allowOverlap="1" layoutInCell="1" locked="0" behindDoc="0" simplePos="0" relativeHeight="10384">
            <wp:simplePos x="0" y="0"/>
            <wp:positionH relativeFrom="page">
              <wp:posOffset>540004</wp:posOffset>
            </wp:positionH>
            <wp:positionV relativeFrom="paragraph">
              <wp:posOffset>130823</wp:posOffset>
            </wp:positionV>
            <wp:extent cx="5043780" cy="4082796"/>
            <wp:effectExtent l="0" t="0" r="0" b="0"/>
            <wp:wrapTopAndBottom/>
            <wp:docPr id="339" name="image577.jpeg" descr=""/>
            <wp:cNvGraphicFramePr>
              <a:graphicFrameLocks noChangeAspect="1"/>
            </wp:cNvGraphicFramePr>
            <a:graphic>
              <a:graphicData uri="http://schemas.openxmlformats.org/drawingml/2006/picture">
                <pic:pic>
                  <pic:nvPicPr>
                    <pic:cNvPr id="340" name="image577.jpeg"/>
                    <pic:cNvPicPr/>
                  </pic:nvPicPr>
                  <pic:blipFill>
                    <a:blip r:embed="rId646" cstate="print"/>
                    <a:stretch>
                      <a:fillRect/>
                    </a:stretch>
                  </pic:blipFill>
                  <pic:spPr>
                    <a:xfrm>
                      <a:off x="0" y="0"/>
                      <a:ext cx="5043780" cy="4082796"/>
                    </a:xfrm>
                    <a:prstGeom prst="rect">
                      <a:avLst/>
                    </a:prstGeom>
                  </pic:spPr>
                </pic:pic>
              </a:graphicData>
            </a:graphic>
          </wp:anchor>
        </w:drawing>
      </w:r>
    </w:p>
    <w:p>
      <w:pPr>
        <w:pStyle w:val="BodyText"/>
        <w:rPr>
          <w:b/>
        </w:rPr>
      </w:pPr>
    </w:p>
    <w:p>
      <w:pPr>
        <w:pStyle w:val="BodyText"/>
        <w:spacing w:before="2"/>
        <w:rPr>
          <w:b/>
          <w:sz w:val="29"/>
        </w:rPr>
      </w:pPr>
    </w:p>
    <w:p>
      <w:pPr>
        <w:spacing w:before="0"/>
        <w:ind w:left="2440" w:right="-2" w:firstLine="0"/>
        <w:jc w:val="left"/>
        <w:rPr>
          <w:rFonts w:ascii="Calibri" w:hAnsi="Calibri"/>
          <w:sz w:val="16"/>
        </w:rPr>
      </w:pPr>
      <w:r>
        <w:rPr>
          <w:rFonts w:ascii="Calibri" w:hAnsi="Calibri"/>
          <w:color w:val="231F20"/>
          <w:sz w:val="16"/>
        </w:rPr>
        <w:t>Fuente: Unidad Municipal de Información del Ayuntamiento Naucalpan de Juárez, 2008</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En el Sistema Municipal de Microcréditos </w:t>
      </w:r>
      <w:r>
        <w:rPr>
          <w:color w:val="231F20"/>
          <w:spacing w:val="-4"/>
          <w:w w:val="105"/>
        </w:rPr>
        <w:t>(que </w:t>
      </w:r>
      <w:r>
        <w:rPr>
          <w:color w:val="231F20"/>
          <w:w w:val="105"/>
        </w:rPr>
        <w:t>corresponde a una subdirección de la Dirección</w:t>
      </w:r>
      <w:r>
        <w:rPr>
          <w:color w:val="231F20"/>
          <w:spacing w:val="-7"/>
          <w:w w:val="105"/>
        </w:rPr>
        <w:t> </w:t>
      </w:r>
      <w:r>
        <w:rPr>
          <w:color w:val="231F20"/>
          <w:w w:val="105"/>
        </w:rPr>
        <w:t>de</w:t>
      </w:r>
      <w:r>
        <w:rPr>
          <w:color w:val="231F20"/>
          <w:spacing w:val="-7"/>
          <w:w w:val="105"/>
        </w:rPr>
        <w:t> </w:t>
      </w:r>
      <w:r>
        <w:rPr>
          <w:color w:val="231F20"/>
          <w:w w:val="105"/>
        </w:rPr>
        <w:t>Desarrollo</w:t>
      </w:r>
      <w:r>
        <w:rPr>
          <w:color w:val="231F20"/>
          <w:spacing w:val="-7"/>
          <w:w w:val="105"/>
        </w:rPr>
        <w:t> </w:t>
      </w:r>
      <w:r>
        <w:rPr>
          <w:color w:val="231F20"/>
          <w:w w:val="105"/>
        </w:rPr>
        <w:t>y</w:t>
      </w:r>
      <w:r>
        <w:rPr>
          <w:color w:val="231F20"/>
          <w:spacing w:val="-7"/>
          <w:w w:val="105"/>
        </w:rPr>
        <w:t> </w:t>
      </w:r>
      <w:r>
        <w:rPr>
          <w:color w:val="231F20"/>
          <w:spacing w:val="-3"/>
          <w:w w:val="105"/>
        </w:rPr>
        <w:t>Fomento</w:t>
      </w:r>
      <w:r>
        <w:rPr>
          <w:color w:val="231F20"/>
          <w:spacing w:val="-7"/>
          <w:w w:val="105"/>
        </w:rPr>
        <w:t> </w:t>
      </w:r>
      <w:r>
        <w:rPr>
          <w:color w:val="231F20"/>
          <w:spacing w:val="-3"/>
          <w:w w:val="105"/>
        </w:rPr>
        <w:t>Económico)</w:t>
      </w:r>
      <w:r>
        <w:rPr>
          <w:color w:val="231F20"/>
          <w:spacing w:val="-7"/>
          <w:w w:val="105"/>
        </w:rPr>
        <w:t> </w:t>
      </w:r>
      <w:r>
        <w:rPr>
          <w:color w:val="231F20"/>
          <w:w w:val="105"/>
        </w:rPr>
        <w:t>participaron</w:t>
      </w:r>
      <w:r>
        <w:rPr>
          <w:color w:val="231F20"/>
          <w:spacing w:val="-7"/>
          <w:w w:val="105"/>
        </w:rPr>
        <w:t> </w:t>
      </w:r>
      <w:r>
        <w:rPr>
          <w:color w:val="231F20"/>
          <w:w w:val="105"/>
        </w:rPr>
        <w:t>cuatro</w:t>
      </w:r>
      <w:r>
        <w:rPr>
          <w:color w:val="231F20"/>
          <w:spacing w:val="-7"/>
          <w:w w:val="105"/>
        </w:rPr>
        <w:t> </w:t>
      </w:r>
      <w:r>
        <w:rPr>
          <w:color w:val="231F20"/>
          <w:w w:val="105"/>
        </w:rPr>
        <w:t>empresarios</w:t>
      </w:r>
      <w:r>
        <w:rPr>
          <w:color w:val="231F20"/>
          <w:spacing w:val="-7"/>
          <w:w w:val="105"/>
        </w:rPr>
        <w:t> </w:t>
      </w:r>
      <w:r>
        <w:rPr>
          <w:color w:val="231F20"/>
          <w:w w:val="105"/>
        </w:rPr>
        <w:t>como vocales </w:t>
      </w:r>
      <w:r>
        <w:rPr>
          <w:color w:val="231F20"/>
          <w:spacing w:val="-5"/>
          <w:w w:val="105"/>
        </w:rPr>
        <w:t>(de </w:t>
      </w:r>
      <w:r>
        <w:rPr>
          <w:color w:val="231F20"/>
          <w:w w:val="105"/>
        </w:rPr>
        <w:t>un total de </w:t>
      </w:r>
      <w:r>
        <w:rPr>
          <w:color w:val="231F20"/>
          <w:spacing w:val="-3"/>
          <w:w w:val="105"/>
        </w:rPr>
        <w:t>diez): </w:t>
      </w:r>
      <w:r>
        <w:rPr>
          <w:color w:val="231F20"/>
          <w:w w:val="105"/>
        </w:rPr>
        <w:t>el Presidente de la Asociación de Industriales </w:t>
      </w:r>
      <w:r>
        <w:rPr>
          <w:color w:val="231F20"/>
          <w:spacing w:val="-3"/>
          <w:w w:val="105"/>
        </w:rPr>
        <w:t>(INAC), </w:t>
      </w:r>
      <w:r>
        <w:rPr>
          <w:color w:val="231F20"/>
          <w:w w:val="105"/>
        </w:rPr>
        <w:t>el Director</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CANACO,</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CANIRAC,</w:t>
      </w:r>
      <w:r>
        <w:rPr>
          <w:color w:val="231F20"/>
          <w:spacing w:val="-15"/>
          <w:w w:val="105"/>
        </w:rPr>
        <w:t> </w:t>
      </w:r>
      <w:r>
        <w:rPr>
          <w:color w:val="231F20"/>
          <w:w w:val="105"/>
        </w:rPr>
        <w:t>Valle</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Director General</w:t>
      </w:r>
      <w:r>
        <w:rPr>
          <w:color w:val="231F20"/>
          <w:spacing w:val="-18"/>
          <w:w w:val="105"/>
        </w:rPr>
        <w:t> </w:t>
      </w:r>
      <w:r>
        <w:rPr>
          <w:color w:val="231F20"/>
          <w:w w:val="105"/>
        </w:rPr>
        <w:t>de</w:t>
      </w:r>
      <w:r>
        <w:rPr>
          <w:color w:val="231F20"/>
          <w:spacing w:val="-18"/>
          <w:w w:val="105"/>
        </w:rPr>
        <w:t> </w:t>
      </w:r>
      <w:r>
        <w:rPr>
          <w:color w:val="231F20"/>
          <w:w w:val="105"/>
        </w:rPr>
        <w:t>Química</w:t>
      </w:r>
      <w:r>
        <w:rPr>
          <w:color w:val="231F20"/>
          <w:spacing w:val="-18"/>
          <w:w w:val="105"/>
        </w:rPr>
        <w:t> </w:t>
      </w:r>
      <w:r>
        <w:rPr>
          <w:color w:val="231F20"/>
          <w:w w:val="105"/>
        </w:rPr>
        <w:t>Foliar.</w:t>
      </w:r>
    </w:p>
    <w:p>
      <w:pPr>
        <w:pStyle w:val="BodyText"/>
        <w:spacing w:before="1"/>
        <w:rPr>
          <w:sz w:val="26"/>
        </w:rPr>
      </w:pPr>
    </w:p>
    <w:p>
      <w:pPr>
        <w:pStyle w:val="BodyText"/>
        <w:spacing w:line="285" w:lineRule="auto"/>
        <w:ind w:left="110" w:right="108"/>
        <w:jc w:val="both"/>
      </w:pPr>
      <w:r>
        <w:rPr>
          <w:color w:val="231F20"/>
          <w:w w:val="105"/>
        </w:rPr>
        <w:t>Dos</w:t>
      </w:r>
      <w:r>
        <w:rPr>
          <w:color w:val="231F20"/>
          <w:spacing w:val="-10"/>
          <w:w w:val="105"/>
        </w:rPr>
        <w:t> </w:t>
      </w:r>
      <w:r>
        <w:rPr>
          <w:color w:val="231F20"/>
          <w:w w:val="105"/>
        </w:rPr>
        <w:t>direcciones</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deben</w:t>
      </w:r>
      <w:r>
        <w:rPr>
          <w:color w:val="231F20"/>
          <w:spacing w:val="-10"/>
          <w:w w:val="105"/>
        </w:rPr>
        <w:t> </w:t>
      </w:r>
      <w:r>
        <w:rPr>
          <w:color w:val="231F20"/>
          <w:w w:val="105"/>
        </w:rPr>
        <w:t>mencionar</w:t>
      </w:r>
      <w:r>
        <w:rPr>
          <w:color w:val="231F20"/>
          <w:spacing w:val="-10"/>
          <w:w w:val="105"/>
        </w:rPr>
        <w:t> </w:t>
      </w:r>
      <w:r>
        <w:rPr>
          <w:color w:val="231F20"/>
          <w:w w:val="105"/>
        </w:rPr>
        <w:t>son</w:t>
      </w:r>
      <w:r>
        <w:rPr>
          <w:color w:val="231F20"/>
          <w:spacing w:val="-10"/>
          <w:w w:val="105"/>
        </w:rPr>
        <w:t> </w:t>
      </w:r>
      <w:r>
        <w:rPr>
          <w:color w:val="231F20"/>
          <w:w w:val="105"/>
        </w:rPr>
        <w:t>las</w:t>
      </w:r>
      <w:r>
        <w:rPr>
          <w:color w:val="231F20"/>
          <w:spacing w:val="-10"/>
          <w:w w:val="105"/>
        </w:rPr>
        <w:t> </w:t>
      </w:r>
      <w:r>
        <w:rPr>
          <w:color w:val="231F20"/>
          <w:w w:val="105"/>
        </w:rPr>
        <w:t>encargadas</w:t>
      </w:r>
      <w:r>
        <w:rPr>
          <w:color w:val="231F20"/>
          <w:spacing w:val="-10"/>
          <w:w w:val="105"/>
        </w:rPr>
        <w:t> </w:t>
      </w:r>
      <w:r>
        <w:rPr>
          <w:color w:val="231F20"/>
          <w:w w:val="105"/>
        </w:rPr>
        <w:t>de</w:t>
      </w:r>
      <w:r>
        <w:rPr>
          <w:color w:val="231F20"/>
          <w:spacing w:val="-10"/>
          <w:w w:val="105"/>
        </w:rPr>
        <w:t> </w:t>
      </w:r>
      <w:r>
        <w:rPr>
          <w:color w:val="231F20"/>
          <w:w w:val="105"/>
        </w:rPr>
        <w:t>obras</w:t>
      </w:r>
      <w:r>
        <w:rPr>
          <w:color w:val="231F20"/>
          <w:spacing w:val="-10"/>
          <w:w w:val="105"/>
        </w:rPr>
        <w:t> </w:t>
      </w:r>
      <w:r>
        <w:rPr>
          <w:color w:val="231F20"/>
          <w:w w:val="105"/>
        </w:rPr>
        <w:t>y</w:t>
      </w:r>
      <w:r>
        <w:rPr>
          <w:color w:val="231F20"/>
          <w:spacing w:val="-10"/>
          <w:w w:val="105"/>
        </w:rPr>
        <w:t> </w:t>
      </w:r>
      <w:r>
        <w:rPr>
          <w:color w:val="231F20"/>
          <w:w w:val="105"/>
        </w:rPr>
        <w:t>servicios</w:t>
      </w:r>
      <w:r>
        <w:rPr>
          <w:color w:val="231F20"/>
          <w:spacing w:val="-10"/>
          <w:w w:val="105"/>
        </w:rPr>
        <w:t> </w:t>
      </w:r>
      <w:r>
        <w:rPr>
          <w:color w:val="231F20"/>
          <w:w w:val="105"/>
        </w:rPr>
        <w:t>públi- cos,</w:t>
      </w:r>
      <w:r>
        <w:rPr>
          <w:color w:val="231F20"/>
          <w:spacing w:val="-16"/>
          <w:w w:val="105"/>
        </w:rPr>
        <w:t> </w:t>
      </w:r>
      <w:r>
        <w:rPr>
          <w:color w:val="231F20"/>
          <w:w w:val="105"/>
        </w:rPr>
        <w:t>pues</w:t>
      </w:r>
      <w:r>
        <w:rPr>
          <w:color w:val="231F20"/>
          <w:spacing w:val="-16"/>
          <w:w w:val="105"/>
        </w:rPr>
        <w:t> </w:t>
      </w:r>
      <w:r>
        <w:rPr>
          <w:color w:val="231F20"/>
          <w:w w:val="105"/>
        </w:rPr>
        <w:t>en</w:t>
      </w:r>
      <w:r>
        <w:rPr>
          <w:color w:val="231F20"/>
          <w:spacing w:val="-16"/>
          <w:w w:val="105"/>
        </w:rPr>
        <w:t> </w:t>
      </w:r>
      <w:r>
        <w:rPr>
          <w:color w:val="231F20"/>
          <w:w w:val="105"/>
        </w:rPr>
        <w:t>ellas</w:t>
      </w:r>
      <w:r>
        <w:rPr>
          <w:color w:val="231F20"/>
          <w:spacing w:val="-16"/>
          <w:w w:val="105"/>
        </w:rPr>
        <w:t> </w:t>
      </w:r>
      <w:r>
        <w:rPr>
          <w:color w:val="231F20"/>
          <w:w w:val="105"/>
        </w:rPr>
        <w:t>es</w:t>
      </w:r>
      <w:r>
        <w:rPr>
          <w:color w:val="231F20"/>
          <w:spacing w:val="-16"/>
          <w:w w:val="105"/>
        </w:rPr>
        <w:t> </w:t>
      </w:r>
      <w:r>
        <w:rPr>
          <w:color w:val="231F20"/>
          <w:spacing w:val="-3"/>
          <w:w w:val="105"/>
        </w:rPr>
        <w:t>donde</w:t>
      </w:r>
      <w:r>
        <w:rPr>
          <w:color w:val="231F20"/>
          <w:spacing w:val="-16"/>
          <w:w w:val="105"/>
        </w:rPr>
        <w:t> </w:t>
      </w:r>
      <w:r>
        <w:rPr>
          <w:color w:val="231F20"/>
          <w:w w:val="105"/>
        </w:rPr>
        <w:t>se</w:t>
      </w:r>
      <w:r>
        <w:rPr>
          <w:color w:val="231F20"/>
          <w:spacing w:val="-16"/>
          <w:w w:val="105"/>
        </w:rPr>
        <w:t> </w:t>
      </w:r>
      <w:r>
        <w:rPr>
          <w:color w:val="231F20"/>
          <w:w w:val="105"/>
        </w:rPr>
        <w:t>realizan</w:t>
      </w:r>
      <w:r>
        <w:rPr>
          <w:color w:val="231F20"/>
          <w:spacing w:val="-16"/>
          <w:w w:val="105"/>
        </w:rPr>
        <w:t> </w:t>
      </w:r>
      <w:r>
        <w:rPr>
          <w:color w:val="231F20"/>
          <w:w w:val="105"/>
        </w:rPr>
        <w:t>las</w:t>
      </w:r>
      <w:r>
        <w:rPr>
          <w:color w:val="231F20"/>
          <w:spacing w:val="-16"/>
          <w:w w:val="105"/>
        </w:rPr>
        <w:t> </w:t>
      </w:r>
      <w:r>
        <w:rPr>
          <w:color w:val="231F20"/>
          <w:w w:val="105"/>
        </w:rPr>
        <w:t>acciones</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gastos</w:t>
      </w:r>
      <w:r>
        <w:rPr>
          <w:color w:val="231F20"/>
          <w:spacing w:val="-16"/>
          <w:w w:val="105"/>
        </w:rPr>
        <w:t> </w:t>
      </w:r>
      <w:r>
        <w:rPr>
          <w:color w:val="231F20"/>
          <w:w w:val="105"/>
        </w:rPr>
        <w:t>que</w:t>
      </w:r>
      <w:r>
        <w:rPr>
          <w:color w:val="231F20"/>
          <w:spacing w:val="-16"/>
          <w:w w:val="105"/>
        </w:rPr>
        <w:t> </w:t>
      </w:r>
      <w:r>
        <w:rPr>
          <w:color w:val="231F20"/>
          <w:w w:val="105"/>
        </w:rPr>
        <w:t>más</w:t>
      </w:r>
      <w:r>
        <w:rPr>
          <w:color w:val="231F20"/>
          <w:spacing w:val="-16"/>
          <w:w w:val="105"/>
        </w:rPr>
        <w:t> </w:t>
      </w:r>
      <w:r>
        <w:rPr>
          <w:color w:val="231F20"/>
          <w:w w:val="105"/>
        </w:rPr>
        <w:t>repercuten</w:t>
      </w:r>
      <w:r>
        <w:rPr>
          <w:color w:val="231F20"/>
          <w:spacing w:val="-16"/>
          <w:w w:val="105"/>
        </w:rPr>
        <w:t> </w:t>
      </w:r>
      <w:r>
        <w:rPr>
          <w:color w:val="231F20"/>
          <w:w w:val="105"/>
        </w:rPr>
        <w:t>en</w:t>
      </w:r>
      <w:r>
        <w:rPr>
          <w:color w:val="231F20"/>
          <w:spacing w:val="-16"/>
          <w:w w:val="105"/>
        </w:rPr>
        <w:t> </w:t>
      </w:r>
      <w:r>
        <w:rPr>
          <w:color w:val="231F20"/>
          <w:w w:val="105"/>
        </w:rPr>
        <w:t>la vida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habitantes</w:t>
      </w:r>
      <w:r>
        <w:rPr>
          <w:color w:val="231F20"/>
          <w:spacing w:val="-5"/>
          <w:w w:val="105"/>
        </w:rPr>
        <w:t> </w:t>
      </w:r>
      <w:r>
        <w:rPr>
          <w:color w:val="231F20"/>
          <w:w w:val="105"/>
        </w:rPr>
        <w:t>de</w:t>
      </w:r>
      <w:r>
        <w:rPr>
          <w:color w:val="231F20"/>
          <w:spacing w:val="-5"/>
          <w:w w:val="105"/>
        </w:rPr>
        <w:t> </w:t>
      </w:r>
      <w:r>
        <w:rPr>
          <w:color w:val="231F20"/>
          <w:w w:val="105"/>
        </w:rPr>
        <w:t>Naucalpan.</w:t>
      </w:r>
      <w:r>
        <w:rPr>
          <w:color w:val="231F20"/>
          <w:spacing w:val="-5"/>
          <w:w w:val="105"/>
        </w:rPr>
        <w:t> </w:t>
      </w:r>
      <w:r>
        <w:rPr>
          <w:color w:val="231F20"/>
          <w:w w:val="105"/>
        </w:rPr>
        <w:t>Asimismo</w:t>
      </w:r>
      <w:r>
        <w:rPr>
          <w:color w:val="231F20"/>
          <w:spacing w:val="-5"/>
          <w:w w:val="105"/>
        </w:rPr>
        <w:t> </w:t>
      </w:r>
      <w:r>
        <w:rPr>
          <w:color w:val="231F20"/>
          <w:w w:val="105"/>
        </w:rPr>
        <w:t>tienen</w:t>
      </w:r>
      <w:r>
        <w:rPr>
          <w:color w:val="231F20"/>
          <w:spacing w:val="-5"/>
          <w:w w:val="105"/>
        </w:rPr>
        <w:t> </w:t>
      </w:r>
      <w:r>
        <w:rPr>
          <w:color w:val="231F20"/>
          <w:w w:val="105"/>
        </w:rPr>
        <w:t>el</w:t>
      </w:r>
      <w:r>
        <w:rPr>
          <w:color w:val="231F20"/>
          <w:spacing w:val="-5"/>
          <w:w w:val="105"/>
        </w:rPr>
        <w:t> </w:t>
      </w:r>
      <w:r>
        <w:rPr>
          <w:color w:val="231F20"/>
          <w:w w:val="105"/>
        </w:rPr>
        <w:t>mayor</w:t>
      </w:r>
      <w:r>
        <w:rPr>
          <w:color w:val="231F20"/>
          <w:spacing w:val="-5"/>
          <w:w w:val="105"/>
        </w:rPr>
        <w:t> </w:t>
      </w:r>
      <w:r>
        <w:rPr>
          <w:color w:val="231F20"/>
          <w:w w:val="105"/>
        </w:rPr>
        <w:t>número</w:t>
      </w:r>
      <w:r>
        <w:rPr>
          <w:color w:val="231F20"/>
          <w:spacing w:val="-5"/>
          <w:w w:val="105"/>
        </w:rPr>
        <w:t> </w:t>
      </w:r>
      <w:r>
        <w:rPr>
          <w:color w:val="231F20"/>
          <w:w w:val="105"/>
        </w:rPr>
        <w:t>de</w:t>
      </w:r>
      <w:r>
        <w:rPr>
          <w:color w:val="231F20"/>
          <w:spacing w:val="-5"/>
          <w:w w:val="105"/>
        </w:rPr>
        <w:t> </w:t>
      </w:r>
      <w:r>
        <w:rPr>
          <w:color w:val="231F20"/>
          <w:w w:val="105"/>
        </w:rPr>
        <w:t>empleados del</w:t>
      </w:r>
      <w:r>
        <w:rPr>
          <w:color w:val="231F20"/>
          <w:spacing w:val="-13"/>
          <w:w w:val="105"/>
        </w:rPr>
        <w:t> </w:t>
      </w:r>
      <w:r>
        <w:rPr>
          <w:color w:val="231F20"/>
          <w:w w:val="105"/>
        </w:rPr>
        <w:t>ayuntamiento.</w:t>
      </w:r>
    </w:p>
    <w:p>
      <w:pPr>
        <w:pStyle w:val="BodyText"/>
        <w:spacing w:before="2"/>
        <w:rPr>
          <w:sz w:val="20"/>
        </w:rPr>
      </w:pPr>
    </w:p>
    <w:p>
      <w:pPr>
        <w:pStyle w:val="Heading4"/>
        <w:rPr>
          <w:i/>
        </w:rPr>
      </w:pPr>
      <w:r>
        <w:rPr>
          <w:i/>
          <w:color w:val="231F20"/>
          <w:w w:val="105"/>
        </w:rPr>
        <w:t>El Plan de Desarrollo Municipal: principios fundamentales</w:t>
      </w:r>
    </w:p>
    <w:p>
      <w:pPr>
        <w:pStyle w:val="BodyText"/>
        <w:spacing w:line="285" w:lineRule="auto" w:before="17"/>
        <w:ind w:left="110" w:right="108"/>
        <w:jc w:val="both"/>
      </w:pPr>
      <w:r>
        <w:rPr>
          <w:color w:val="231F20"/>
          <w:w w:val="105"/>
        </w:rPr>
        <w:t>El</w:t>
      </w:r>
      <w:r>
        <w:rPr>
          <w:color w:val="231F20"/>
          <w:spacing w:val="-36"/>
          <w:w w:val="105"/>
        </w:rPr>
        <w:t> </w:t>
      </w:r>
      <w:r>
        <w:rPr>
          <w:color w:val="231F20"/>
          <w:w w:val="105"/>
        </w:rPr>
        <w:t>lema</w:t>
      </w:r>
      <w:r>
        <w:rPr>
          <w:color w:val="231F20"/>
          <w:spacing w:val="-36"/>
          <w:w w:val="105"/>
        </w:rPr>
        <w:t> </w:t>
      </w:r>
      <w:r>
        <w:rPr>
          <w:color w:val="231F20"/>
          <w:w w:val="105"/>
        </w:rPr>
        <w:t>del</w:t>
      </w:r>
      <w:r>
        <w:rPr>
          <w:color w:val="231F20"/>
          <w:spacing w:val="-36"/>
          <w:w w:val="105"/>
        </w:rPr>
        <w:t> </w:t>
      </w:r>
      <w:r>
        <w:rPr>
          <w:color w:val="231F20"/>
          <w:w w:val="105"/>
        </w:rPr>
        <w:t>Plan</w:t>
      </w:r>
      <w:r>
        <w:rPr>
          <w:color w:val="231F20"/>
          <w:spacing w:val="-36"/>
          <w:w w:val="105"/>
        </w:rPr>
        <w:t> </w:t>
      </w:r>
      <w:r>
        <w:rPr>
          <w:color w:val="231F20"/>
          <w:w w:val="105"/>
        </w:rPr>
        <w:t>de</w:t>
      </w:r>
      <w:r>
        <w:rPr>
          <w:color w:val="231F20"/>
          <w:spacing w:val="-36"/>
          <w:w w:val="105"/>
        </w:rPr>
        <w:t> </w:t>
      </w:r>
      <w:r>
        <w:rPr>
          <w:color w:val="231F20"/>
          <w:w w:val="105"/>
        </w:rPr>
        <w:t>Desarrollo</w:t>
      </w:r>
      <w:r>
        <w:rPr>
          <w:color w:val="231F20"/>
          <w:spacing w:val="-36"/>
          <w:w w:val="105"/>
        </w:rPr>
        <w:t> </w:t>
      </w:r>
      <w:r>
        <w:rPr>
          <w:color w:val="231F20"/>
          <w:w w:val="105"/>
        </w:rPr>
        <w:t>Municipal</w:t>
      </w:r>
      <w:r>
        <w:rPr>
          <w:color w:val="231F20"/>
          <w:spacing w:val="-36"/>
          <w:w w:val="105"/>
        </w:rPr>
        <w:t> </w:t>
      </w:r>
      <w:r>
        <w:rPr>
          <w:color w:val="231F20"/>
          <w:spacing w:val="2"/>
          <w:w w:val="105"/>
        </w:rPr>
        <w:t>2006-2009</w:t>
      </w:r>
      <w:r>
        <w:rPr>
          <w:color w:val="231F20"/>
          <w:spacing w:val="-36"/>
          <w:w w:val="105"/>
        </w:rPr>
        <w:t> </w:t>
      </w:r>
      <w:r>
        <w:rPr>
          <w:color w:val="231F20"/>
          <w:w w:val="105"/>
        </w:rPr>
        <w:t>fue</w:t>
      </w:r>
      <w:r>
        <w:rPr>
          <w:color w:val="231F20"/>
          <w:spacing w:val="-36"/>
          <w:w w:val="105"/>
        </w:rPr>
        <w:t> </w:t>
      </w:r>
      <w:r>
        <w:rPr>
          <w:color w:val="231F20"/>
          <w:w w:val="105"/>
        </w:rPr>
        <w:t>“Trabajamos</w:t>
      </w:r>
      <w:r>
        <w:rPr>
          <w:color w:val="231F20"/>
          <w:spacing w:val="-36"/>
          <w:w w:val="105"/>
        </w:rPr>
        <w:t> </w:t>
      </w:r>
      <w:r>
        <w:rPr>
          <w:color w:val="231F20"/>
          <w:w w:val="105"/>
        </w:rPr>
        <w:t>como</w:t>
      </w:r>
      <w:r>
        <w:rPr>
          <w:color w:val="231F20"/>
          <w:spacing w:val="-36"/>
          <w:w w:val="105"/>
        </w:rPr>
        <w:t> </w:t>
      </w:r>
      <w:r>
        <w:rPr>
          <w:color w:val="231F20"/>
          <w:w w:val="105"/>
        </w:rPr>
        <w:t>nunca”</w:t>
      </w:r>
      <w:r>
        <w:rPr>
          <w:color w:val="231F20"/>
          <w:spacing w:val="-36"/>
          <w:w w:val="105"/>
        </w:rPr>
        <w:t> </w:t>
      </w:r>
      <w:r>
        <w:rPr>
          <w:color w:val="231F20"/>
          <w:w w:val="105"/>
        </w:rPr>
        <w:t>(Plan de</w:t>
      </w:r>
      <w:r>
        <w:rPr>
          <w:color w:val="231F20"/>
          <w:spacing w:val="-6"/>
          <w:w w:val="105"/>
        </w:rPr>
        <w:t> </w:t>
      </w:r>
      <w:r>
        <w:rPr>
          <w:color w:val="231F20"/>
          <w:w w:val="105"/>
        </w:rPr>
        <w:t>Desarrollo</w:t>
      </w:r>
      <w:r>
        <w:rPr>
          <w:color w:val="231F20"/>
          <w:spacing w:val="-6"/>
          <w:w w:val="105"/>
        </w:rPr>
        <w:t> </w:t>
      </w:r>
      <w:r>
        <w:rPr>
          <w:color w:val="231F20"/>
          <w:w w:val="105"/>
        </w:rPr>
        <w:t>Municipal,</w:t>
      </w:r>
      <w:r>
        <w:rPr>
          <w:color w:val="231F20"/>
          <w:spacing w:val="-6"/>
          <w:w w:val="105"/>
        </w:rPr>
        <w:t> </w:t>
      </w:r>
      <w:r>
        <w:rPr>
          <w:color w:val="231F20"/>
          <w:w w:val="105"/>
        </w:rPr>
        <w:t>2006).</w:t>
      </w:r>
      <w:r>
        <w:rPr>
          <w:color w:val="231F20"/>
          <w:spacing w:val="-6"/>
          <w:w w:val="105"/>
        </w:rPr>
        <w:t> </w:t>
      </w:r>
      <w:r>
        <w:rPr>
          <w:color w:val="231F20"/>
          <w:w w:val="105"/>
        </w:rPr>
        <w:t>La</w:t>
      </w:r>
      <w:r>
        <w:rPr>
          <w:color w:val="231F20"/>
          <w:spacing w:val="-6"/>
          <w:w w:val="105"/>
        </w:rPr>
        <w:t> </w:t>
      </w:r>
      <w:r>
        <w:rPr>
          <w:color w:val="231F20"/>
          <w:w w:val="105"/>
        </w:rPr>
        <w:t>seguridad</w:t>
      </w:r>
      <w:r>
        <w:rPr>
          <w:color w:val="231F20"/>
          <w:spacing w:val="-6"/>
          <w:w w:val="105"/>
        </w:rPr>
        <w:t> </w:t>
      </w:r>
      <w:r>
        <w:rPr>
          <w:color w:val="231F20"/>
          <w:w w:val="105"/>
        </w:rPr>
        <w:t>ciudadana</w:t>
      </w:r>
      <w:r>
        <w:rPr>
          <w:color w:val="231F20"/>
          <w:spacing w:val="-6"/>
          <w:w w:val="105"/>
        </w:rPr>
        <w:t> </w:t>
      </w:r>
      <w:r>
        <w:rPr>
          <w:color w:val="231F20"/>
          <w:w w:val="105"/>
        </w:rPr>
        <w:t>fue</w:t>
      </w:r>
      <w:r>
        <w:rPr>
          <w:color w:val="231F20"/>
          <w:spacing w:val="-6"/>
          <w:w w:val="105"/>
        </w:rPr>
        <w:t> </w:t>
      </w:r>
      <w:r>
        <w:rPr>
          <w:color w:val="231F20"/>
          <w:w w:val="105"/>
        </w:rPr>
        <w:t>la</w:t>
      </w:r>
      <w:r>
        <w:rPr>
          <w:color w:val="231F20"/>
          <w:spacing w:val="-6"/>
          <w:w w:val="105"/>
        </w:rPr>
        <w:t> </w:t>
      </w:r>
      <w:r>
        <w:rPr>
          <w:color w:val="231F20"/>
          <w:w w:val="105"/>
        </w:rPr>
        <w:t>premisa</w:t>
      </w:r>
      <w:r>
        <w:rPr>
          <w:color w:val="231F20"/>
          <w:spacing w:val="-6"/>
          <w:w w:val="105"/>
        </w:rPr>
        <w:t> </w:t>
      </w:r>
      <w:r>
        <w:rPr>
          <w:color w:val="231F20"/>
          <w:w w:val="105"/>
        </w:rPr>
        <w:t>fundamental</w:t>
      </w:r>
      <w:r>
        <w:rPr>
          <w:color w:val="231F20"/>
          <w:spacing w:val="-6"/>
          <w:w w:val="105"/>
        </w:rPr>
        <w:t> </w:t>
      </w:r>
      <w:r>
        <w:rPr>
          <w:color w:val="231F20"/>
          <w:w w:val="105"/>
        </w:rPr>
        <w:t>y punto de partida para los gobernantes. Esta preocupación </w:t>
      </w:r>
      <w:r>
        <w:rPr>
          <w:color w:val="231F20"/>
          <w:spacing w:val="-3"/>
          <w:w w:val="105"/>
        </w:rPr>
        <w:t>ordenó </w:t>
      </w:r>
      <w:r>
        <w:rPr>
          <w:color w:val="231F20"/>
          <w:w w:val="105"/>
        </w:rPr>
        <w:t>todo el trabajo a rea- </w:t>
      </w:r>
      <w:r>
        <w:rPr>
          <w:color w:val="231F20"/>
          <w:spacing w:val="2"/>
          <w:w w:val="105"/>
        </w:rPr>
        <w:t>lizar </w:t>
      </w:r>
      <w:r>
        <w:rPr>
          <w:color w:val="231F20"/>
          <w:w w:val="105"/>
        </w:rPr>
        <w:t>por parte de la administración</w:t>
      </w:r>
      <w:r>
        <w:rPr>
          <w:color w:val="231F20"/>
          <w:spacing w:val="-5"/>
          <w:w w:val="105"/>
        </w:rPr>
        <w:t> </w:t>
      </w:r>
      <w:r>
        <w:rPr>
          <w:color w:val="231F20"/>
          <w:w w:val="105"/>
        </w:rPr>
        <w:t>panista.</w:t>
      </w:r>
    </w:p>
    <w:p>
      <w:pPr>
        <w:pStyle w:val="BodyText"/>
        <w:spacing w:before="1"/>
        <w:rPr>
          <w:sz w:val="26"/>
        </w:rPr>
      </w:pPr>
    </w:p>
    <w:p>
      <w:pPr>
        <w:pStyle w:val="BodyText"/>
        <w:spacing w:line="285" w:lineRule="auto"/>
        <w:ind w:left="110" w:right="107"/>
        <w:jc w:val="both"/>
      </w:pPr>
      <w:r>
        <w:rPr>
          <w:color w:val="231F20"/>
          <w:w w:val="105"/>
        </w:rPr>
        <w:t>Como se sabe, el plan sigue una metodología formulada desde la autoridad estatal. </w:t>
      </w:r>
      <w:r>
        <w:rPr>
          <w:color w:val="231F20"/>
          <w:spacing w:val="3"/>
          <w:w w:val="105"/>
        </w:rPr>
        <w:t>Al </w:t>
      </w:r>
      <w:r>
        <w:rPr>
          <w:color w:val="231F20"/>
          <w:w w:val="105"/>
        </w:rPr>
        <w:t>tiempo</w:t>
      </w:r>
      <w:r>
        <w:rPr>
          <w:color w:val="231F20"/>
          <w:spacing w:val="-7"/>
          <w:w w:val="105"/>
        </w:rPr>
        <w:t> </w:t>
      </w:r>
      <w:r>
        <w:rPr>
          <w:color w:val="231F20"/>
          <w:w w:val="105"/>
        </w:rPr>
        <w:t>que</w:t>
      </w:r>
      <w:r>
        <w:rPr>
          <w:color w:val="231F20"/>
          <w:spacing w:val="-7"/>
          <w:w w:val="105"/>
        </w:rPr>
        <w:t> </w:t>
      </w:r>
      <w:r>
        <w:rPr>
          <w:color w:val="231F20"/>
          <w:w w:val="105"/>
        </w:rPr>
        <w:t>esto</w:t>
      </w:r>
      <w:r>
        <w:rPr>
          <w:color w:val="231F20"/>
          <w:spacing w:val="-7"/>
          <w:w w:val="105"/>
        </w:rPr>
        <w:t> </w:t>
      </w:r>
      <w:r>
        <w:rPr>
          <w:color w:val="231F20"/>
          <w:w w:val="105"/>
        </w:rPr>
        <w:t>sirve</w:t>
      </w:r>
      <w:r>
        <w:rPr>
          <w:color w:val="231F20"/>
          <w:spacing w:val="-7"/>
          <w:w w:val="105"/>
        </w:rPr>
        <w:t> </w:t>
      </w:r>
      <w:r>
        <w:rPr>
          <w:color w:val="231F20"/>
          <w:w w:val="105"/>
        </w:rPr>
        <w:t>para</w:t>
      </w:r>
      <w:r>
        <w:rPr>
          <w:color w:val="231F20"/>
          <w:spacing w:val="-7"/>
          <w:w w:val="105"/>
        </w:rPr>
        <w:t> </w:t>
      </w:r>
      <w:r>
        <w:rPr>
          <w:color w:val="231F20"/>
          <w:w w:val="105"/>
        </w:rPr>
        <w:t>hacer</w:t>
      </w:r>
      <w:r>
        <w:rPr>
          <w:color w:val="231F20"/>
          <w:spacing w:val="-7"/>
          <w:w w:val="105"/>
        </w:rPr>
        <w:t> </w:t>
      </w:r>
      <w:r>
        <w:rPr>
          <w:color w:val="231F20"/>
          <w:w w:val="105"/>
        </w:rPr>
        <w:t>equiparable</w:t>
      </w:r>
      <w:r>
        <w:rPr>
          <w:color w:val="231F20"/>
          <w:spacing w:val="-7"/>
          <w:w w:val="105"/>
        </w:rPr>
        <w:t> </w:t>
      </w:r>
      <w:r>
        <w:rPr>
          <w:color w:val="231F20"/>
          <w:w w:val="105"/>
        </w:rPr>
        <w:t>el</w:t>
      </w:r>
      <w:r>
        <w:rPr>
          <w:color w:val="231F20"/>
          <w:spacing w:val="-7"/>
          <w:w w:val="105"/>
        </w:rPr>
        <w:t> </w:t>
      </w:r>
      <w:r>
        <w:rPr>
          <w:color w:val="231F20"/>
          <w:w w:val="105"/>
        </w:rPr>
        <w:t>desempeño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también llega a constituir un simple requisito, sin que esté asegurada la plena convicción de los</w:t>
      </w:r>
      <w:r>
        <w:rPr>
          <w:color w:val="231F20"/>
          <w:spacing w:val="-5"/>
          <w:w w:val="105"/>
        </w:rPr>
        <w:t> </w:t>
      </w:r>
      <w:r>
        <w:rPr>
          <w:color w:val="231F20"/>
          <w:w w:val="105"/>
        </w:rPr>
        <w:t>presidentes</w:t>
      </w:r>
      <w:r>
        <w:rPr>
          <w:color w:val="231F20"/>
          <w:spacing w:val="-5"/>
          <w:w w:val="105"/>
        </w:rPr>
        <w:t> </w:t>
      </w:r>
      <w:r>
        <w:rPr>
          <w:color w:val="231F20"/>
          <w:w w:val="105"/>
        </w:rPr>
        <w:t>municipales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planes</w:t>
      </w:r>
      <w:r>
        <w:rPr>
          <w:color w:val="231F20"/>
          <w:spacing w:val="-5"/>
          <w:w w:val="105"/>
        </w:rPr>
        <w:t> </w:t>
      </w:r>
      <w:r>
        <w:rPr>
          <w:color w:val="231F20"/>
          <w:w w:val="105"/>
        </w:rPr>
        <w:t>que</w:t>
      </w:r>
      <w:r>
        <w:rPr>
          <w:color w:val="231F20"/>
          <w:spacing w:val="-5"/>
          <w:w w:val="105"/>
        </w:rPr>
        <w:t> </w:t>
      </w:r>
      <w:r>
        <w:rPr>
          <w:color w:val="231F20"/>
          <w:w w:val="105"/>
        </w:rPr>
        <w:t>formulan.</w:t>
      </w:r>
      <w:r>
        <w:rPr>
          <w:color w:val="231F20"/>
          <w:spacing w:val="-5"/>
          <w:w w:val="105"/>
        </w:rPr>
        <w:t> </w:t>
      </w:r>
      <w:r>
        <w:rPr>
          <w:color w:val="231F20"/>
          <w:spacing w:val="-3"/>
          <w:w w:val="105"/>
        </w:rPr>
        <w:t>Por</w:t>
      </w:r>
      <w:r>
        <w:rPr>
          <w:color w:val="231F20"/>
          <w:spacing w:val="-5"/>
          <w:w w:val="105"/>
        </w:rPr>
        <w:t> </w:t>
      </w:r>
      <w:r>
        <w:rPr>
          <w:color w:val="231F20"/>
          <w:w w:val="105"/>
        </w:rPr>
        <w:t>lo</w:t>
      </w:r>
      <w:r>
        <w:rPr>
          <w:color w:val="231F20"/>
          <w:spacing w:val="-5"/>
          <w:w w:val="105"/>
        </w:rPr>
        <w:t> </w:t>
      </w:r>
      <w:r>
        <w:rPr>
          <w:color w:val="231F20"/>
          <w:w w:val="105"/>
        </w:rPr>
        <w:t>mismo,</w:t>
      </w:r>
      <w:r>
        <w:rPr>
          <w:color w:val="231F20"/>
          <w:spacing w:val="-5"/>
          <w:w w:val="105"/>
        </w:rPr>
        <w:t> </w:t>
      </w:r>
      <w:r>
        <w:rPr>
          <w:color w:val="231F20"/>
          <w:w w:val="105"/>
        </w:rPr>
        <w:t>tampoco</w:t>
      </w:r>
      <w:r>
        <w:rPr>
          <w:color w:val="231F20"/>
          <w:spacing w:val="-5"/>
          <w:w w:val="105"/>
        </w:rPr>
        <w:t> </w:t>
      </w:r>
      <w:r>
        <w:rPr>
          <w:color w:val="231F20"/>
          <w:w w:val="105"/>
        </w:rPr>
        <w:t>puede asegurarse que el enfoque de la planeación estratégica utilizado sea bien conocido y manejado</w:t>
      </w:r>
      <w:r>
        <w:rPr>
          <w:color w:val="231F20"/>
          <w:spacing w:val="-18"/>
          <w:w w:val="105"/>
        </w:rPr>
        <w:t> </w:t>
      </w:r>
      <w:r>
        <w:rPr>
          <w:color w:val="231F20"/>
          <w:w w:val="105"/>
        </w:rPr>
        <w:t>por</w:t>
      </w:r>
      <w:r>
        <w:rPr>
          <w:color w:val="231F20"/>
          <w:spacing w:val="-18"/>
          <w:w w:val="105"/>
        </w:rPr>
        <w:t> </w:t>
      </w:r>
      <w:r>
        <w:rPr>
          <w:color w:val="231F20"/>
          <w:w w:val="105"/>
        </w:rPr>
        <w:t>todos</w:t>
      </w:r>
      <w:r>
        <w:rPr>
          <w:color w:val="231F20"/>
          <w:spacing w:val="-18"/>
          <w:w w:val="105"/>
        </w:rPr>
        <w:t> </w:t>
      </w:r>
      <w:r>
        <w:rPr>
          <w:color w:val="231F20"/>
          <w:w w:val="105"/>
        </w:rPr>
        <w:t>los</w:t>
      </w:r>
      <w:r>
        <w:rPr>
          <w:color w:val="231F20"/>
          <w:spacing w:val="-18"/>
          <w:w w:val="105"/>
        </w:rPr>
        <w:t> </w:t>
      </w:r>
      <w:r>
        <w:rPr>
          <w:color w:val="231F20"/>
          <w:w w:val="105"/>
        </w:rPr>
        <w:t>integrantes</w:t>
      </w:r>
      <w:r>
        <w:rPr>
          <w:color w:val="231F20"/>
          <w:spacing w:val="-18"/>
          <w:w w:val="105"/>
        </w:rPr>
        <w:t> </w:t>
      </w:r>
      <w:r>
        <w:rPr>
          <w:color w:val="231F20"/>
          <w:w w:val="105"/>
        </w:rPr>
        <w:t>del</w:t>
      </w:r>
      <w:r>
        <w:rPr>
          <w:color w:val="231F20"/>
          <w:spacing w:val="-18"/>
          <w:w w:val="105"/>
        </w:rPr>
        <w:t> </w:t>
      </w:r>
      <w:r>
        <w:rPr>
          <w:color w:val="231F20"/>
          <w:w w:val="105"/>
        </w:rPr>
        <w:t>cuerpo</w:t>
      </w:r>
      <w:r>
        <w:rPr>
          <w:color w:val="231F20"/>
          <w:spacing w:val="-18"/>
          <w:w w:val="105"/>
        </w:rPr>
        <w:t> </w:t>
      </w:r>
      <w:r>
        <w:rPr>
          <w:color w:val="231F20"/>
          <w:w w:val="105"/>
        </w:rPr>
        <w:t>administrativo.</w:t>
      </w:r>
      <w:r>
        <w:rPr>
          <w:color w:val="231F20"/>
          <w:spacing w:val="-18"/>
          <w:w w:val="105"/>
        </w:rPr>
        <w:t> </w:t>
      </w:r>
      <w:r>
        <w:rPr>
          <w:color w:val="231F20"/>
          <w:w w:val="105"/>
        </w:rPr>
        <w:t>Sin</w:t>
      </w:r>
      <w:r>
        <w:rPr>
          <w:color w:val="231F20"/>
          <w:spacing w:val="-18"/>
          <w:w w:val="105"/>
        </w:rPr>
        <w:t> </w:t>
      </w:r>
      <w:r>
        <w:rPr>
          <w:color w:val="231F20"/>
          <w:w w:val="105"/>
        </w:rPr>
        <w:t>embargo,</w:t>
      </w:r>
      <w:r>
        <w:rPr>
          <w:color w:val="231F20"/>
          <w:spacing w:val="-18"/>
          <w:w w:val="105"/>
        </w:rPr>
        <w:t> </w:t>
      </w:r>
      <w:r>
        <w:rPr>
          <w:color w:val="231F20"/>
          <w:w w:val="105"/>
        </w:rPr>
        <w:t>es</w:t>
      </w:r>
      <w:r>
        <w:rPr>
          <w:color w:val="231F20"/>
          <w:spacing w:val="-18"/>
          <w:w w:val="105"/>
        </w:rPr>
        <w:t> </w:t>
      </w:r>
      <w:r>
        <w:rPr>
          <w:color w:val="231F20"/>
          <w:w w:val="105"/>
        </w:rPr>
        <w:t>probable que</w:t>
      </w:r>
      <w:r>
        <w:rPr>
          <w:color w:val="231F20"/>
          <w:spacing w:val="-15"/>
          <w:w w:val="105"/>
        </w:rPr>
        <w:t> </w:t>
      </w:r>
      <w:r>
        <w:rPr>
          <w:color w:val="231F20"/>
          <w:w w:val="105"/>
        </w:rPr>
        <w:t>el</w:t>
      </w:r>
      <w:r>
        <w:rPr>
          <w:color w:val="231F20"/>
          <w:spacing w:val="-15"/>
          <w:w w:val="105"/>
        </w:rPr>
        <w:t> </w:t>
      </w:r>
      <w:r>
        <w:rPr>
          <w:color w:val="231F20"/>
          <w:w w:val="105"/>
        </w:rPr>
        <w:t>panismo</w:t>
      </w:r>
      <w:r>
        <w:rPr>
          <w:color w:val="231F20"/>
          <w:spacing w:val="-15"/>
          <w:w w:val="105"/>
        </w:rPr>
        <w:t> </w:t>
      </w:r>
      <w:r>
        <w:rPr>
          <w:color w:val="231F20"/>
          <w:w w:val="105"/>
        </w:rPr>
        <w:t>cuente</w:t>
      </w:r>
      <w:r>
        <w:rPr>
          <w:color w:val="231F20"/>
          <w:spacing w:val="-15"/>
          <w:w w:val="105"/>
        </w:rPr>
        <w:t> </w:t>
      </w:r>
      <w:r>
        <w:rPr>
          <w:color w:val="231F20"/>
          <w:w w:val="105"/>
        </w:rPr>
        <w:t>con</w:t>
      </w:r>
      <w:r>
        <w:rPr>
          <w:color w:val="231F20"/>
          <w:spacing w:val="-15"/>
          <w:w w:val="105"/>
        </w:rPr>
        <w:t> </w:t>
      </w:r>
      <w:r>
        <w:rPr>
          <w:color w:val="231F20"/>
          <w:w w:val="105"/>
        </w:rPr>
        <w:t>los</w:t>
      </w:r>
      <w:r>
        <w:rPr>
          <w:color w:val="231F20"/>
          <w:spacing w:val="-15"/>
          <w:w w:val="105"/>
        </w:rPr>
        <w:t> </w:t>
      </w:r>
      <w:r>
        <w:rPr>
          <w:color w:val="231F20"/>
          <w:w w:val="105"/>
        </w:rPr>
        <w:t>cuadros</w:t>
      </w:r>
      <w:r>
        <w:rPr>
          <w:color w:val="231F20"/>
          <w:spacing w:val="-15"/>
          <w:w w:val="105"/>
        </w:rPr>
        <w:t> </w:t>
      </w:r>
      <w:r>
        <w:rPr>
          <w:color w:val="231F20"/>
          <w:w w:val="105"/>
        </w:rPr>
        <w:t>pertinentes,</w:t>
      </w:r>
      <w:r>
        <w:rPr>
          <w:color w:val="231F20"/>
          <w:spacing w:val="-15"/>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añeja</w:t>
      </w:r>
      <w:r>
        <w:rPr>
          <w:color w:val="231F20"/>
          <w:spacing w:val="-15"/>
          <w:w w:val="105"/>
        </w:rPr>
        <w:t> </w:t>
      </w:r>
      <w:r>
        <w:rPr>
          <w:color w:val="231F20"/>
          <w:w w:val="105"/>
        </w:rPr>
        <w:t>presencia</w:t>
      </w:r>
      <w:r>
        <w:rPr>
          <w:color w:val="231F20"/>
          <w:spacing w:val="-15"/>
          <w:w w:val="105"/>
        </w:rPr>
        <w:t> </w:t>
      </w:r>
      <w:r>
        <w:rPr>
          <w:color w:val="231F20"/>
          <w:w w:val="105"/>
        </w:rPr>
        <w:t>de</w:t>
      </w:r>
      <w:r>
        <w:rPr>
          <w:color w:val="231F20"/>
          <w:spacing w:val="-15"/>
          <w:w w:val="105"/>
        </w:rPr>
        <w:t> </w:t>
      </w:r>
      <w:r>
        <w:rPr>
          <w:color w:val="231F20"/>
          <w:spacing w:val="-3"/>
          <w:w w:val="105"/>
        </w:rPr>
        <w:t>profe- </w:t>
      </w:r>
      <w:r>
        <w:rPr>
          <w:color w:val="231F20"/>
          <w:w w:val="105"/>
        </w:rPr>
        <w:t>sionales</w:t>
      </w:r>
      <w:r>
        <w:rPr>
          <w:color w:val="231F20"/>
          <w:spacing w:val="-23"/>
          <w:w w:val="105"/>
        </w:rPr>
        <w:t> </w:t>
      </w:r>
      <w:r>
        <w:rPr>
          <w:color w:val="231F20"/>
          <w:w w:val="105"/>
        </w:rPr>
        <w:t>provenientes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administración</w:t>
      </w:r>
      <w:r>
        <w:rPr>
          <w:color w:val="231F20"/>
          <w:spacing w:val="-23"/>
          <w:w w:val="105"/>
        </w:rPr>
        <w:t> </w:t>
      </w:r>
      <w:r>
        <w:rPr>
          <w:color w:val="231F20"/>
          <w:w w:val="105"/>
        </w:rPr>
        <w:t>de</w:t>
      </w:r>
      <w:r>
        <w:rPr>
          <w:color w:val="231F20"/>
          <w:spacing w:val="-23"/>
          <w:w w:val="105"/>
        </w:rPr>
        <w:t> </w:t>
      </w:r>
      <w:r>
        <w:rPr>
          <w:color w:val="231F20"/>
          <w:w w:val="105"/>
        </w:rPr>
        <w:t>empresas,</w:t>
      </w:r>
      <w:r>
        <w:rPr>
          <w:color w:val="231F20"/>
          <w:spacing w:val="-23"/>
          <w:w w:val="105"/>
        </w:rPr>
        <w:t> </w:t>
      </w:r>
      <w:r>
        <w:rPr>
          <w:color w:val="231F20"/>
          <w:w w:val="105"/>
        </w:rPr>
        <w:t>del</w:t>
      </w:r>
      <w:r>
        <w:rPr>
          <w:color w:val="231F20"/>
          <w:spacing w:val="-23"/>
          <w:w w:val="105"/>
        </w:rPr>
        <w:t> </w:t>
      </w:r>
      <w:r>
        <w:rPr>
          <w:color w:val="231F20"/>
          <w:w w:val="105"/>
        </w:rPr>
        <w:t>derecho</w:t>
      </w:r>
      <w:r>
        <w:rPr>
          <w:color w:val="231F20"/>
          <w:spacing w:val="-23"/>
          <w:w w:val="105"/>
        </w:rPr>
        <w:t> </w:t>
      </w:r>
      <w:r>
        <w:rPr>
          <w:color w:val="231F20"/>
          <w:w w:val="105"/>
        </w:rPr>
        <w:t>o</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ingenierías, como</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entonces</w:t>
      </w:r>
      <w:r>
        <w:rPr>
          <w:color w:val="231F20"/>
          <w:spacing w:val="-7"/>
          <w:w w:val="105"/>
        </w:rPr>
        <w:t> </w:t>
      </w:r>
      <w:r>
        <w:rPr>
          <w:color w:val="231F20"/>
          <w:w w:val="105"/>
        </w:rPr>
        <w:t>nueve</w:t>
      </w:r>
      <w:r>
        <w:rPr>
          <w:color w:val="231F20"/>
          <w:spacing w:val="-7"/>
          <w:w w:val="105"/>
        </w:rPr>
        <w:t> </w:t>
      </w:r>
      <w:r>
        <w:rPr>
          <w:color w:val="231F20"/>
          <w:w w:val="105"/>
        </w:rPr>
        <w:t>años</w:t>
      </w:r>
      <w:r>
        <w:rPr>
          <w:color w:val="231F20"/>
          <w:spacing w:val="-7"/>
          <w:w w:val="105"/>
        </w:rPr>
        <w:t> </w:t>
      </w:r>
      <w:r>
        <w:rPr>
          <w:color w:val="231F20"/>
          <w:w w:val="105"/>
        </w:rPr>
        <w:t>de</w:t>
      </w:r>
      <w:r>
        <w:rPr>
          <w:color w:val="231F20"/>
          <w:spacing w:val="-7"/>
          <w:w w:val="105"/>
        </w:rPr>
        <w:t> </w:t>
      </w:r>
      <w:r>
        <w:rPr>
          <w:color w:val="231F20"/>
          <w:w w:val="105"/>
        </w:rPr>
        <w:t>experiencia</w:t>
      </w:r>
      <w:r>
        <w:rPr>
          <w:color w:val="231F20"/>
          <w:spacing w:val="-7"/>
          <w:w w:val="105"/>
        </w:rPr>
        <w:t> </w:t>
      </w:r>
      <w:r>
        <w:rPr>
          <w:color w:val="231F20"/>
          <w:w w:val="105"/>
        </w:rPr>
        <w:t>gobernando</w:t>
      </w:r>
      <w:r>
        <w:rPr>
          <w:color w:val="231F20"/>
          <w:spacing w:val="-7"/>
          <w:w w:val="105"/>
        </w:rPr>
        <w:t> </w:t>
      </w:r>
      <w:r>
        <w:rPr>
          <w:color w:val="231F20"/>
          <w:w w:val="105"/>
        </w:rPr>
        <w:t>Naucalpan.</w:t>
      </w:r>
      <w:r>
        <w:rPr>
          <w:color w:val="231F20"/>
          <w:spacing w:val="-7"/>
          <w:w w:val="105"/>
        </w:rPr>
        <w:t> </w:t>
      </w:r>
      <w:r>
        <w:rPr>
          <w:color w:val="231F20"/>
          <w:spacing w:val="3"/>
          <w:w w:val="105"/>
        </w:rPr>
        <w:t>Al</w:t>
      </w:r>
      <w:r>
        <w:rPr>
          <w:color w:val="231F20"/>
          <w:spacing w:val="-7"/>
          <w:w w:val="105"/>
        </w:rPr>
        <w:t> </w:t>
      </w:r>
      <w:r>
        <w:rPr>
          <w:color w:val="231F20"/>
          <w:w w:val="105"/>
        </w:rPr>
        <w:t>menos</w:t>
      </w:r>
      <w:r>
        <w:rPr>
          <w:color w:val="231F20"/>
          <w:spacing w:val="-7"/>
          <w:w w:val="105"/>
        </w:rPr>
        <w:t> </w:t>
      </w:r>
      <w:r>
        <w:rPr>
          <w:color w:val="231F20"/>
          <w:w w:val="105"/>
        </w:rPr>
        <w:t>la visión</w:t>
      </w:r>
      <w:r>
        <w:rPr>
          <w:color w:val="231F20"/>
          <w:spacing w:val="-20"/>
          <w:w w:val="105"/>
        </w:rPr>
        <w:t> </w:t>
      </w:r>
      <w:r>
        <w:rPr>
          <w:color w:val="231F20"/>
          <w:w w:val="105"/>
        </w:rPr>
        <w:t>gerencial</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trasluce</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documento</w:t>
      </w:r>
      <w:r>
        <w:rPr>
          <w:color w:val="231F20"/>
          <w:spacing w:val="-20"/>
          <w:w w:val="105"/>
        </w:rPr>
        <w:t> </w:t>
      </w:r>
      <w:r>
        <w:rPr>
          <w:color w:val="231F20"/>
          <w:w w:val="105"/>
        </w:rPr>
        <w:t>analizado</w:t>
      </w:r>
      <w:r>
        <w:rPr>
          <w:color w:val="231F20"/>
          <w:spacing w:val="-20"/>
          <w:w w:val="105"/>
        </w:rPr>
        <w:t> </w:t>
      </w:r>
      <w:r>
        <w:rPr>
          <w:color w:val="231F20"/>
          <w:w w:val="105"/>
        </w:rPr>
        <w:t>en</w:t>
      </w:r>
      <w:r>
        <w:rPr>
          <w:color w:val="231F20"/>
          <w:spacing w:val="-20"/>
          <w:w w:val="105"/>
        </w:rPr>
        <w:t> </w:t>
      </w:r>
      <w:r>
        <w:rPr>
          <w:color w:val="231F20"/>
          <w:w w:val="105"/>
        </w:rPr>
        <w:t>estas</w:t>
      </w:r>
      <w:r>
        <w:rPr>
          <w:color w:val="231F20"/>
          <w:spacing w:val="-20"/>
          <w:w w:val="105"/>
        </w:rPr>
        <w:t> </w:t>
      </w:r>
      <w:r>
        <w:rPr>
          <w:color w:val="231F20"/>
          <w:w w:val="105"/>
        </w:rPr>
        <w:t>líneas</w:t>
      </w:r>
      <w:r>
        <w:rPr>
          <w:color w:val="231F20"/>
          <w:spacing w:val="-20"/>
          <w:w w:val="105"/>
        </w:rPr>
        <w:t> </w:t>
      </w:r>
      <w:r>
        <w:rPr>
          <w:color w:val="231F20"/>
          <w:w w:val="105"/>
        </w:rPr>
        <w:t>parece</w:t>
      </w:r>
      <w:r>
        <w:rPr>
          <w:color w:val="231F20"/>
          <w:spacing w:val="-20"/>
          <w:w w:val="105"/>
        </w:rPr>
        <w:t> </w:t>
      </w:r>
      <w:r>
        <w:rPr>
          <w:color w:val="231F20"/>
          <w:w w:val="105"/>
        </w:rPr>
        <w:t>corres- ponder con el perfil que tradicionalmente tiene el partido, pues muchos de sus líderes, candidatos</w:t>
      </w:r>
      <w:r>
        <w:rPr>
          <w:color w:val="231F20"/>
          <w:spacing w:val="-11"/>
          <w:w w:val="105"/>
        </w:rPr>
        <w:t> </w:t>
      </w:r>
      <w:r>
        <w:rPr>
          <w:color w:val="231F20"/>
          <w:w w:val="105"/>
        </w:rPr>
        <w:t>y</w:t>
      </w:r>
      <w:r>
        <w:rPr>
          <w:color w:val="231F20"/>
          <w:spacing w:val="-11"/>
          <w:w w:val="105"/>
        </w:rPr>
        <w:t> </w:t>
      </w:r>
      <w:r>
        <w:rPr>
          <w:color w:val="231F20"/>
          <w:w w:val="105"/>
        </w:rPr>
        <w:t>gobernantes</w:t>
      </w:r>
      <w:r>
        <w:rPr>
          <w:color w:val="231F20"/>
          <w:spacing w:val="-11"/>
          <w:w w:val="105"/>
        </w:rPr>
        <w:t> </w:t>
      </w:r>
      <w:r>
        <w:rPr>
          <w:color w:val="231F20"/>
          <w:w w:val="105"/>
        </w:rPr>
        <w:t>tienen</w:t>
      </w:r>
      <w:r>
        <w:rPr>
          <w:color w:val="231F20"/>
          <w:spacing w:val="-11"/>
          <w:w w:val="105"/>
        </w:rPr>
        <w:t> </w:t>
      </w:r>
      <w:r>
        <w:rPr>
          <w:color w:val="231F20"/>
          <w:w w:val="105"/>
        </w:rPr>
        <w:t>una</w:t>
      </w:r>
      <w:r>
        <w:rPr>
          <w:color w:val="231F20"/>
          <w:spacing w:val="-11"/>
          <w:w w:val="105"/>
        </w:rPr>
        <w:t> </w:t>
      </w:r>
      <w:r>
        <w:rPr>
          <w:color w:val="231F20"/>
          <w:w w:val="105"/>
        </w:rPr>
        <w:t>extracción</w:t>
      </w:r>
      <w:r>
        <w:rPr>
          <w:color w:val="231F20"/>
          <w:spacing w:val="-11"/>
          <w:w w:val="105"/>
        </w:rPr>
        <w:t> </w:t>
      </w:r>
      <w:r>
        <w:rPr>
          <w:color w:val="231F20"/>
          <w:w w:val="105"/>
        </w:rPr>
        <w:t>empresarial</w:t>
      </w:r>
      <w:r>
        <w:rPr>
          <w:color w:val="231F20"/>
          <w:spacing w:val="-11"/>
          <w:w w:val="105"/>
        </w:rPr>
        <w:t> </w:t>
      </w:r>
      <w:r>
        <w:rPr>
          <w:color w:val="231F20"/>
          <w:w w:val="105"/>
        </w:rPr>
        <w:t>innegable.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En el Plan se apuntaron las cinco líneas estratégicas a desarrollar, que fueron las siguientes:</w:t>
      </w:r>
    </w:p>
    <w:p>
      <w:pPr>
        <w:pStyle w:val="BodyText"/>
        <w:spacing w:line="285" w:lineRule="auto" w:before="1"/>
        <w:ind w:left="677" w:right="4858"/>
      </w:pPr>
      <w:r>
        <w:rPr>
          <w:color w:val="231F20"/>
          <w:w w:val="105"/>
        </w:rPr>
        <w:t>Seguridad Pública Desarrollo Humano Integral</w:t>
      </w:r>
    </w:p>
    <w:p>
      <w:pPr>
        <w:pStyle w:val="BodyText"/>
        <w:spacing w:line="285" w:lineRule="auto" w:before="1"/>
        <w:ind w:left="677" w:right="2262"/>
      </w:pPr>
      <w:r>
        <w:rPr>
          <w:color w:val="231F20"/>
          <w:w w:val="105"/>
        </w:rPr>
        <w:t>Desarrollo</w:t>
      </w:r>
      <w:r>
        <w:rPr>
          <w:color w:val="231F20"/>
          <w:spacing w:val="-17"/>
          <w:w w:val="105"/>
        </w:rPr>
        <w:t> </w:t>
      </w:r>
      <w:r>
        <w:rPr>
          <w:color w:val="231F20"/>
          <w:w w:val="105"/>
        </w:rPr>
        <w:t>Urbano</w:t>
      </w:r>
      <w:r>
        <w:rPr>
          <w:color w:val="231F20"/>
          <w:spacing w:val="-17"/>
          <w:w w:val="105"/>
        </w:rPr>
        <w:t> </w:t>
      </w:r>
      <w:r>
        <w:rPr>
          <w:color w:val="231F20"/>
          <w:w w:val="105"/>
        </w:rPr>
        <w:t>Sustentable</w:t>
      </w:r>
      <w:r>
        <w:rPr>
          <w:color w:val="231F20"/>
          <w:spacing w:val="-17"/>
          <w:w w:val="105"/>
        </w:rPr>
        <w:t> </w:t>
      </w:r>
      <w:r>
        <w:rPr>
          <w:color w:val="231F20"/>
          <w:w w:val="105"/>
        </w:rPr>
        <w:t>y</w:t>
      </w:r>
      <w:r>
        <w:rPr>
          <w:color w:val="231F20"/>
          <w:spacing w:val="-17"/>
          <w:w w:val="105"/>
        </w:rPr>
        <w:t> </w:t>
      </w:r>
      <w:r>
        <w:rPr>
          <w:color w:val="231F20"/>
          <w:w w:val="105"/>
        </w:rPr>
        <w:t>Protección</w:t>
      </w:r>
      <w:r>
        <w:rPr>
          <w:color w:val="231F20"/>
          <w:spacing w:val="-17"/>
          <w:w w:val="105"/>
        </w:rPr>
        <w:t> </w:t>
      </w:r>
      <w:r>
        <w:rPr>
          <w:color w:val="231F20"/>
          <w:spacing w:val="2"/>
          <w:w w:val="105"/>
        </w:rPr>
        <w:t>al</w:t>
      </w:r>
      <w:r>
        <w:rPr>
          <w:color w:val="231F20"/>
          <w:spacing w:val="-17"/>
          <w:w w:val="105"/>
        </w:rPr>
        <w:t> </w:t>
      </w:r>
      <w:r>
        <w:rPr>
          <w:color w:val="231F20"/>
          <w:w w:val="105"/>
        </w:rPr>
        <w:t>Ambiente Desarrollo y Fortalecimiento Económico Fortalecimiento Institucional y</w:t>
      </w:r>
      <w:r>
        <w:rPr>
          <w:color w:val="231F20"/>
          <w:spacing w:val="-20"/>
          <w:w w:val="105"/>
        </w:rPr>
        <w:t> </w:t>
      </w:r>
      <w:r>
        <w:rPr>
          <w:color w:val="231F20"/>
          <w:w w:val="105"/>
        </w:rPr>
        <w:t>Transparencia</w:t>
      </w:r>
    </w:p>
    <w:p>
      <w:pPr>
        <w:pStyle w:val="BodyText"/>
        <w:spacing w:before="1"/>
        <w:rPr>
          <w:sz w:val="26"/>
        </w:rPr>
      </w:pPr>
    </w:p>
    <w:p>
      <w:pPr>
        <w:pStyle w:val="BodyText"/>
        <w:spacing w:line="285" w:lineRule="auto"/>
        <w:ind w:left="110" w:right="106"/>
        <w:jc w:val="both"/>
      </w:pPr>
      <w:r>
        <w:rPr>
          <w:color w:val="231F20"/>
          <w:w w:val="105"/>
        </w:rPr>
        <w:t>En los planteamientos </w:t>
      </w:r>
      <w:r>
        <w:rPr>
          <w:color w:val="231F20"/>
          <w:spacing w:val="3"/>
          <w:w w:val="105"/>
        </w:rPr>
        <w:t>doctrinarios </w:t>
      </w:r>
      <w:r>
        <w:rPr>
          <w:color w:val="231F20"/>
          <w:w w:val="105"/>
        </w:rPr>
        <w:t>del plan se </w:t>
      </w:r>
      <w:r>
        <w:rPr>
          <w:color w:val="231F20"/>
          <w:spacing w:val="3"/>
          <w:w w:val="105"/>
        </w:rPr>
        <w:t>enfatizan </w:t>
      </w:r>
      <w:r>
        <w:rPr>
          <w:color w:val="231F20"/>
          <w:spacing w:val="2"/>
          <w:w w:val="105"/>
        </w:rPr>
        <w:t>varios </w:t>
      </w:r>
      <w:r>
        <w:rPr>
          <w:color w:val="231F20"/>
          <w:w w:val="105"/>
        </w:rPr>
        <w:t>conceptos propios  del</w:t>
      </w:r>
      <w:r>
        <w:rPr>
          <w:color w:val="231F20"/>
          <w:spacing w:val="-5"/>
          <w:w w:val="105"/>
        </w:rPr>
        <w:t> </w:t>
      </w:r>
      <w:r>
        <w:rPr>
          <w:color w:val="231F20"/>
          <w:w w:val="105"/>
        </w:rPr>
        <w:t>ideario</w:t>
      </w:r>
      <w:r>
        <w:rPr>
          <w:color w:val="231F20"/>
          <w:spacing w:val="-5"/>
          <w:w w:val="105"/>
        </w:rPr>
        <w:t> </w:t>
      </w:r>
      <w:r>
        <w:rPr>
          <w:color w:val="231F20"/>
          <w:w w:val="105"/>
        </w:rPr>
        <w:t>demócrata</w:t>
      </w:r>
      <w:r>
        <w:rPr>
          <w:color w:val="231F20"/>
          <w:spacing w:val="-5"/>
          <w:w w:val="105"/>
        </w:rPr>
        <w:t> </w:t>
      </w:r>
      <w:r>
        <w:rPr>
          <w:color w:val="231F20"/>
          <w:spacing w:val="2"/>
          <w:w w:val="105"/>
        </w:rPr>
        <w:t>cristiano</w:t>
      </w:r>
      <w:r>
        <w:rPr>
          <w:color w:val="231F20"/>
          <w:spacing w:val="-5"/>
          <w:w w:val="105"/>
        </w:rPr>
        <w:t> </w:t>
      </w:r>
      <w:r>
        <w:rPr>
          <w:color w:val="231F20"/>
          <w:w w:val="105"/>
        </w:rPr>
        <w:t>de</w:t>
      </w:r>
      <w:r>
        <w:rPr>
          <w:color w:val="231F20"/>
          <w:spacing w:val="-5"/>
          <w:w w:val="105"/>
        </w:rPr>
        <w:t> </w:t>
      </w:r>
      <w:r>
        <w:rPr>
          <w:color w:val="231F20"/>
          <w:w w:val="105"/>
        </w:rPr>
        <w:t>Acción</w:t>
      </w:r>
      <w:r>
        <w:rPr>
          <w:color w:val="231F20"/>
          <w:spacing w:val="-5"/>
          <w:w w:val="105"/>
        </w:rPr>
        <w:t> </w:t>
      </w:r>
      <w:r>
        <w:rPr>
          <w:color w:val="231F20"/>
          <w:w w:val="105"/>
        </w:rPr>
        <w:t>Nacional.</w:t>
      </w:r>
      <w:r>
        <w:rPr>
          <w:color w:val="231F20"/>
          <w:spacing w:val="-5"/>
          <w:w w:val="105"/>
        </w:rPr>
        <w:t> </w:t>
      </w:r>
      <w:r>
        <w:rPr>
          <w:color w:val="231F20"/>
          <w:w w:val="105"/>
        </w:rPr>
        <w:t>Por</w:t>
      </w:r>
      <w:r>
        <w:rPr>
          <w:color w:val="231F20"/>
          <w:spacing w:val="-5"/>
          <w:w w:val="105"/>
        </w:rPr>
        <w:t> </w:t>
      </w:r>
      <w:r>
        <w:rPr>
          <w:color w:val="231F20"/>
          <w:w w:val="105"/>
        </w:rPr>
        <w:t>ejemplo</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spacing w:val="2"/>
          <w:w w:val="105"/>
        </w:rPr>
        <w:t>caso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spacing w:val="2"/>
          <w:w w:val="105"/>
        </w:rPr>
        <w:t>línea llamada “desarrollo </w:t>
      </w:r>
      <w:r>
        <w:rPr>
          <w:color w:val="231F20"/>
          <w:w w:val="105"/>
        </w:rPr>
        <w:t>humano integral”, pues </w:t>
      </w:r>
      <w:r>
        <w:rPr>
          <w:color w:val="231F20"/>
          <w:spacing w:val="2"/>
          <w:w w:val="105"/>
        </w:rPr>
        <w:t>refleja </w:t>
      </w:r>
      <w:r>
        <w:rPr>
          <w:color w:val="231F20"/>
          <w:spacing w:val="3"/>
          <w:w w:val="105"/>
        </w:rPr>
        <w:t>una </w:t>
      </w:r>
      <w:r>
        <w:rPr>
          <w:color w:val="231F20"/>
          <w:w w:val="105"/>
        </w:rPr>
        <w:t>de </w:t>
      </w:r>
      <w:r>
        <w:rPr>
          <w:color w:val="231F20"/>
          <w:spacing w:val="2"/>
          <w:w w:val="105"/>
        </w:rPr>
        <w:t>las bases </w:t>
      </w:r>
      <w:r>
        <w:rPr>
          <w:color w:val="231F20"/>
          <w:w w:val="105"/>
        </w:rPr>
        <w:t>conceptuales del panismo, que ve </w:t>
      </w:r>
      <w:r>
        <w:rPr>
          <w:color w:val="231F20"/>
          <w:spacing w:val="3"/>
          <w:w w:val="105"/>
        </w:rPr>
        <w:t>al </w:t>
      </w:r>
      <w:r>
        <w:rPr>
          <w:color w:val="231F20"/>
          <w:w w:val="105"/>
        </w:rPr>
        <w:t>individuo como </w:t>
      </w:r>
      <w:r>
        <w:rPr>
          <w:color w:val="231F20"/>
          <w:spacing w:val="3"/>
          <w:w w:val="105"/>
        </w:rPr>
        <w:t>un </w:t>
      </w:r>
      <w:r>
        <w:rPr>
          <w:color w:val="231F20"/>
          <w:w w:val="105"/>
        </w:rPr>
        <w:t>sujeto bueno (filosóficamente hablando), con posibilidades</w:t>
      </w:r>
      <w:r>
        <w:rPr>
          <w:color w:val="231F20"/>
          <w:spacing w:val="-14"/>
          <w:w w:val="105"/>
        </w:rPr>
        <w:t> </w:t>
      </w:r>
      <w:r>
        <w:rPr>
          <w:color w:val="231F20"/>
          <w:w w:val="105"/>
        </w:rPr>
        <w:t>de</w:t>
      </w:r>
      <w:r>
        <w:rPr>
          <w:color w:val="231F20"/>
          <w:spacing w:val="-14"/>
          <w:w w:val="105"/>
        </w:rPr>
        <w:t> </w:t>
      </w:r>
      <w:r>
        <w:rPr>
          <w:color w:val="231F20"/>
          <w:spacing w:val="2"/>
          <w:w w:val="105"/>
        </w:rPr>
        <w:t>desarrollo</w:t>
      </w:r>
      <w:r>
        <w:rPr>
          <w:color w:val="231F20"/>
          <w:spacing w:val="-14"/>
          <w:w w:val="105"/>
        </w:rPr>
        <w:t> </w:t>
      </w:r>
      <w:r>
        <w:rPr>
          <w:color w:val="231F20"/>
          <w:spacing w:val="3"/>
          <w:w w:val="105"/>
        </w:rPr>
        <w:t>al</w:t>
      </w:r>
      <w:r>
        <w:rPr>
          <w:color w:val="231F20"/>
          <w:spacing w:val="-14"/>
          <w:w w:val="105"/>
        </w:rPr>
        <w:t> </w:t>
      </w:r>
      <w:r>
        <w:rPr>
          <w:color w:val="231F20"/>
          <w:spacing w:val="4"/>
          <w:w w:val="105"/>
        </w:rPr>
        <w:t>vivir</w:t>
      </w:r>
      <w:r>
        <w:rPr>
          <w:color w:val="231F20"/>
          <w:spacing w:val="-14"/>
          <w:w w:val="105"/>
        </w:rPr>
        <w:t> </w:t>
      </w:r>
      <w:r>
        <w:rPr>
          <w:color w:val="231F20"/>
          <w:w w:val="105"/>
        </w:rPr>
        <w:t>en</w:t>
      </w:r>
      <w:r>
        <w:rPr>
          <w:color w:val="231F20"/>
          <w:spacing w:val="-14"/>
          <w:w w:val="105"/>
        </w:rPr>
        <w:t> </w:t>
      </w:r>
      <w:r>
        <w:rPr>
          <w:color w:val="231F20"/>
          <w:w w:val="105"/>
        </w:rPr>
        <w:t>sociedad.</w:t>
      </w:r>
      <w:r>
        <w:rPr>
          <w:color w:val="231F20"/>
          <w:spacing w:val="-14"/>
          <w:w w:val="105"/>
        </w:rPr>
        <w:t> </w:t>
      </w:r>
      <w:r>
        <w:rPr>
          <w:color w:val="231F20"/>
          <w:w w:val="105"/>
        </w:rPr>
        <w:t>Como</w:t>
      </w:r>
      <w:r>
        <w:rPr>
          <w:color w:val="231F20"/>
          <w:spacing w:val="-14"/>
          <w:w w:val="105"/>
        </w:rPr>
        <w:t> </w:t>
      </w:r>
      <w:r>
        <w:rPr>
          <w:color w:val="231F20"/>
          <w:w w:val="105"/>
        </w:rPr>
        <w:t>su</w:t>
      </w:r>
      <w:r>
        <w:rPr>
          <w:color w:val="231F20"/>
          <w:spacing w:val="-14"/>
          <w:w w:val="105"/>
        </w:rPr>
        <w:t> </w:t>
      </w:r>
      <w:r>
        <w:rPr>
          <w:color w:val="231F20"/>
          <w:spacing w:val="2"/>
          <w:w w:val="105"/>
        </w:rPr>
        <w:t>perspectiva</w:t>
      </w:r>
      <w:r>
        <w:rPr>
          <w:color w:val="231F20"/>
          <w:spacing w:val="-14"/>
          <w:w w:val="105"/>
        </w:rPr>
        <w:t> </w:t>
      </w:r>
      <w:r>
        <w:rPr>
          <w:color w:val="231F20"/>
          <w:w w:val="105"/>
        </w:rPr>
        <w:t>es</w:t>
      </w:r>
      <w:r>
        <w:rPr>
          <w:color w:val="231F20"/>
          <w:spacing w:val="-14"/>
          <w:w w:val="105"/>
        </w:rPr>
        <w:t> </w:t>
      </w:r>
      <w:r>
        <w:rPr>
          <w:color w:val="231F20"/>
          <w:spacing w:val="2"/>
          <w:w w:val="105"/>
        </w:rPr>
        <w:t>global,</w:t>
      </w:r>
      <w:r>
        <w:rPr>
          <w:color w:val="231F20"/>
          <w:spacing w:val="-14"/>
          <w:w w:val="105"/>
        </w:rPr>
        <w:t> </w:t>
      </w:r>
      <w:r>
        <w:rPr>
          <w:color w:val="231F20"/>
          <w:w w:val="105"/>
        </w:rPr>
        <w:t>la</w:t>
      </w:r>
      <w:r>
        <w:rPr>
          <w:color w:val="231F20"/>
          <w:spacing w:val="-14"/>
          <w:w w:val="105"/>
        </w:rPr>
        <w:t> </w:t>
      </w:r>
      <w:r>
        <w:rPr>
          <w:color w:val="231F20"/>
          <w:w w:val="105"/>
        </w:rPr>
        <w:t>idea del</w:t>
      </w:r>
      <w:r>
        <w:rPr>
          <w:color w:val="231F20"/>
          <w:spacing w:val="-14"/>
          <w:w w:val="105"/>
        </w:rPr>
        <w:t> </w:t>
      </w:r>
      <w:r>
        <w:rPr>
          <w:color w:val="231F20"/>
          <w:w w:val="105"/>
        </w:rPr>
        <w:t>ejercicio</w:t>
      </w:r>
      <w:r>
        <w:rPr>
          <w:color w:val="231F20"/>
          <w:spacing w:val="-14"/>
          <w:w w:val="105"/>
        </w:rPr>
        <w:t> </w:t>
      </w:r>
      <w:r>
        <w:rPr>
          <w:color w:val="231F20"/>
          <w:w w:val="105"/>
        </w:rPr>
        <w:t>de</w:t>
      </w:r>
      <w:r>
        <w:rPr>
          <w:color w:val="231F20"/>
          <w:spacing w:val="-14"/>
          <w:w w:val="105"/>
        </w:rPr>
        <w:t> </w:t>
      </w:r>
      <w:r>
        <w:rPr>
          <w:color w:val="231F20"/>
          <w:w w:val="105"/>
        </w:rPr>
        <w:t>gobierno</w:t>
      </w:r>
      <w:r>
        <w:rPr>
          <w:color w:val="231F20"/>
          <w:spacing w:val="-14"/>
          <w:w w:val="105"/>
        </w:rPr>
        <w:t> </w:t>
      </w:r>
      <w:r>
        <w:rPr>
          <w:color w:val="231F20"/>
          <w:spacing w:val="3"/>
          <w:w w:val="105"/>
        </w:rPr>
        <w:t>parte</w:t>
      </w:r>
      <w:r>
        <w:rPr>
          <w:color w:val="231F20"/>
          <w:spacing w:val="-14"/>
          <w:w w:val="105"/>
        </w:rPr>
        <w:t> </w:t>
      </w:r>
      <w:r>
        <w:rPr>
          <w:color w:val="231F20"/>
          <w:w w:val="105"/>
        </w:rPr>
        <w:t>de</w:t>
      </w:r>
      <w:r>
        <w:rPr>
          <w:color w:val="231F20"/>
          <w:spacing w:val="-14"/>
          <w:w w:val="105"/>
        </w:rPr>
        <w:t> </w:t>
      </w:r>
      <w:r>
        <w:rPr>
          <w:color w:val="231F20"/>
          <w:w w:val="105"/>
        </w:rPr>
        <w:t>dotar</w:t>
      </w:r>
      <w:r>
        <w:rPr>
          <w:color w:val="231F20"/>
          <w:spacing w:val="-14"/>
          <w:w w:val="105"/>
        </w:rPr>
        <w:t> </w:t>
      </w:r>
      <w:r>
        <w:rPr>
          <w:color w:val="231F20"/>
          <w:spacing w:val="3"/>
          <w:w w:val="105"/>
        </w:rPr>
        <w:t>al</w:t>
      </w:r>
      <w:r>
        <w:rPr>
          <w:color w:val="231F20"/>
          <w:spacing w:val="-14"/>
          <w:w w:val="105"/>
        </w:rPr>
        <w:t> </w:t>
      </w:r>
      <w:r>
        <w:rPr>
          <w:color w:val="231F20"/>
          <w:w w:val="105"/>
        </w:rPr>
        <w:t>individuo</w:t>
      </w:r>
      <w:r>
        <w:rPr>
          <w:color w:val="231F20"/>
          <w:spacing w:val="-14"/>
          <w:w w:val="105"/>
        </w:rPr>
        <w:t> </w:t>
      </w:r>
      <w:r>
        <w:rPr>
          <w:color w:val="231F20"/>
          <w:w w:val="105"/>
        </w:rPr>
        <w:t>de</w:t>
      </w:r>
      <w:r>
        <w:rPr>
          <w:color w:val="231F20"/>
          <w:spacing w:val="-14"/>
          <w:w w:val="105"/>
        </w:rPr>
        <w:t> </w:t>
      </w:r>
      <w:r>
        <w:rPr>
          <w:color w:val="231F20"/>
          <w:spacing w:val="2"/>
          <w:w w:val="105"/>
        </w:rPr>
        <w:t>todas</w:t>
      </w:r>
      <w:r>
        <w:rPr>
          <w:color w:val="231F20"/>
          <w:spacing w:val="-14"/>
          <w:w w:val="105"/>
        </w:rPr>
        <w:t> </w:t>
      </w:r>
      <w:r>
        <w:rPr>
          <w:color w:val="231F20"/>
          <w:spacing w:val="2"/>
          <w:w w:val="105"/>
        </w:rPr>
        <w:t>las</w:t>
      </w:r>
      <w:r>
        <w:rPr>
          <w:color w:val="231F20"/>
          <w:spacing w:val="-14"/>
          <w:w w:val="105"/>
        </w:rPr>
        <w:t> </w:t>
      </w:r>
      <w:r>
        <w:rPr>
          <w:color w:val="231F20"/>
          <w:w w:val="105"/>
        </w:rPr>
        <w:t>posibilidades</w:t>
      </w:r>
      <w:r>
        <w:rPr>
          <w:color w:val="231F20"/>
          <w:spacing w:val="-14"/>
          <w:w w:val="105"/>
        </w:rPr>
        <w:t> </w:t>
      </w:r>
      <w:r>
        <w:rPr>
          <w:color w:val="231F20"/>
          <w:spacing w:val="2"/>
          <w:w w:val="105"/>
        </w:rPr>
        <w:t>para</w:t>
      </w:r>
      <w:r>
        <w:rPr>
          <w:color w:val="231F20"/>
          <w:spacing w:val="-14"/>
          <w:w w:val="105"/>
        </w:rPr>
        <w:t> </w:t>
      </w:r>
      <w:r>
        <w:rPr>
          <w:color w:val="231F20"/>
          <w:w w:val="105"/>
        </w:rPr>
        <w:t>que se</w:t>
      </w:r>
      <w:r>
        <w:rPr>
          <w:color w:val="231F20"/>
          <w:spacing w:val="-6"/>
          <w:w w:val="105"/>
        </w:rPr>
        <w:t> </w:t>
      </w:r>
      <w:r>
        <w:rPr>
          <w:color w:val="231F20"/>
          <w:spacing w:val="2"/>
          <w:w w:val="105"/>
        </w:rPr>
        <w:t>desarrolle</w:t>
      </w:r>
      <w:r>
        <w:rPr>
          <w:color w:val="231F20"/>
          <w:spacing w:val="-6"/>
          <w:w w:val="105"/>
        </w:rPr>
        <w:t> </w:t>
      </w:r>
      <w:r>
        <w:rPr>
          <w:color w:val="231F20"/>
          <w:w w:val="105"/>
        </w:rPr>
        <w:t>en</w:t>
      </w:r>
      <w:r>
        <w:rPr>
          <w:color w:val="231F20"/>
          <w:spacing w:val="-6"/>
          <w:w w:val="105"/>
        </w:rPr>
        <w:t> </w:t>
      </w:r>
      <w:r>
        <w:rPr>
          <w:color w:val="231F20"/>
          <w:w w:val="105"/>
        </w:rPr>
        <w:t>forma</w:t>
      </w:r>
      <w:r>
        <w:rPr>
          <w:color w:val="231F20"/>
          <w:spacing w:val="-6"/>
          <w:w w:val="105"/>
        </w:rPr>
        <w:t> </w:t>
      </w:r>
      <w:r>
        <w:rPr>
          <w:color w:val="231F20"/>
          <w:spacing w:val="2"/>
          <w:w w:val="105"/>
        </w:rPr>
        <w:t>integral.</w:t>
      </w:r>
      <w:r>
        <w:rPr>
          <w:color w:val="231F20"/>
          <w:spacing w:val="-6"/>
          <w:w w:val="105"/>
        </w:rPr>
        <w:t> </w:t>
      </w:r>
      <w:r>
        <w:rPr>
          <w:color w:val="231F20"/>
          <w:w w:val="105"/>
        </w:rPr>
        <w:t>En</w:t>
      </w:r>
      <w:r>
        <w:rPr>
          <w:color w:val="231F20"/>
          <w:spacing w:val="-6"/>
          <w:w w:val="105"/>
        </w:rPr>
        <w:t> </w:t>
      </w:r>
      <w:r>
        <w:rPr>
          <w:color w:val="231F20"/>
          <w:spacing w:val="2"/>
          <w:w w:val="105"/>
        </w:rPr>
        <w:t>las</w:t>
      </w:r>
      <w:r>
        <w:rPr>
          <w:color w:val="231F20"/>
          <w:spacing w:val="-6"/>
          <w:w w:val="105"/>
        </w:rPr>
        <w:t> </w:t>
      </w:r>
      <w:r>
        <w:rPr>
          <w:color w:val="231F20"/>
          <w:spacing w:val="2"/>
          <w:w w:val="105"/>
        </w:rPr>
        <w:t>tesis</w:t>
      </w:r>
      <w:r>
        <w:rPr>
          <w:color w:val="231F20"/>
          <w:spacing w:val="-6"/>
          <w:w w:val="105"/>
        </w:rPr>
        <w:t> </w:t>
      </w:r>
      <w:r>
        <w:rPr>
          <w:color w:val="231F20"/>
          <w:w w:val="105"/>
        </w:rPr>
        <w:t>del</w:t>
      </w:r>
      <w:r>
        <w:rPr>
          <w:color w:val="231F20"/>
          <w:spacing w:val="-6"/>
          <w:w w:val="105"/>
        </w:rPr>
        <w:t> </w:t>
      </w:r>
      <w:r>
        <w:rPr>
          <w:color w:val="231F20"/>
          <w:w w:val="105"/>
        </w:rPr>
        <w:t>plan</w:t>
      </w:r>
      <w:r>
        <w:rPr>
          <w:color w:val="231F20"/>
          <w:spacing w:val="-6"/>
          <w:w w:val="105"/>
        </w:rPr>
        <w:t> </w:t>
      </w:r>
      <w:r>
        <w:rPr>
          <w:color w:val="231F20"/>
          <w:w w:val="105"/>
        </w:rPr>
        <w:t>se</w:t>
      </w:r>
      <w:r>
        <w:rPr>
          <w:color w:val="231F20"/>
          <w:spacing w:val="-6"/>
          <w:w w:val="105"/>
        </w:rPr>
        <w:t> </w:t>
      </w:r>
      <w:r>
        <w:rPr>
          <w:color w:val="231F20"/>
          <w:spacing w:val="2"/>
          <w:w w:val="105"/>
        </w:rPr>
        <w:t>señala</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spacing w:val="2"/>
          <w:w w:val="105"/>
        </w:rPr>
        <w:t>base</w:t>
      </w:r>
      <w:r>
        <w:rPr>
          <w:color w:val="231F20"/>
          <w:spacing w:val="-6"/>
          <w:w w:val="105"/>
        </w:rPr>
        <w:t> </w:t>
      </w:r>
      <w:r>
        <w:rPr>
          <w:color w:val="231F20"/>
          <w:w w:val="105"/>
        </w:rPr>
        <w:t>de</w:t>
      </w:r>
      <w:r>
        <w:rPr>
          <w:color w:val="231F20"/>
          <w:spacing w:val="-6"/>
          <w:w w:val="105"/>
        </w:rPr>
        <w:t> </w:t>
      </w:r>
      <w:r>
        <w:rPr>
          <w:color w:val="231F20"/>
          <w:w w:val="105"/>
        </w:rPr>
        <w:t>nuestro quehacer político y gobierno es el respeto a la </w:t>
      </w:r>
      <w:r>
        <w:rPr>
          <w:color w:val="231F20"/>
          <w:spacing w:val="2"/>
          <w:w w:val="105"/>
        </w:rPr>
        <w:t>dignidad </w:t>
      </w:r>
      <w:r>
        <w:rPr>
          <w:color w:val="231F20"/>
          <w:w w:val="105"/>
        </w:rPr>
        <w:t>de la persona humana”, que  es otro de los valores del </w:t>
      </w:r>
      <w:r>
        <w:rPr>
          <w:color w:val="231F20"/>
          <w:spacing w:val="2"/>
          <w:w w:val="105"/>
        </w:rPr>
        <w:t>panismo, </w:t>
      </w:r>
      <w:r>
        <w:rPr>
          <w:color w:val="231F20"/>
          <w:w w:val="105"/>
        </w:rPr>
        <w:t>emparentado con posiciones del </w:t>
      </w:r>
      <w:r>
        <w:rPr>
          <w:color w:val="231F20"/>
          <w:spacing w:val="2"/>
          <w:w w:val="105"/>
        </w:rPr>
        <w:t>conservadurismo </w:t>
      </w:r>
      <w:r>
        <w:rPr>
          <w:color w:val="231F20"/>
          <w:w w:val="105"/>
        </w:rPr>
        <w:t>renovado</w:t>
      </w:r>
      <w:r>
        <w:rPr>
          <w:color w:val="231F20"/>
          <w:w w:val="105"/>
          <w:position w:val="7"/>
          <w:sz w:val="13"/>
        </w:rPr>
        <w:t>.13 </w:t>
      </w:r>
      <w:r>
        <w:rPr>
          <w:color w:val="231F20"/>
          <w:w w:val="105"/>
        </w:rPr>
        <w:t>La </w:t>
      </w:r>
      <w:r>
        <w:rPr>
          <w:color w:val="231F20"/>
          <w:spacing w:val="2"/>
          <w:w w:val="105"/>
        </w:rPr>
        <w:t>dignidad </w:t>
      </w:r>
      <w:r>
        <w:rPr>
          <w:color w:val="231F20"/>
          <w:w w:val="105"/>
        </w:rPr>
        <w:t>de la persona </w:t>
      </w:r>
      <w:r>
        <w:rPr>
          <w:color w:val="231F20"/>
          <w:spacing w:val="2"/>
          <w:w w:val="105"/>
        </w:rPr>
        <w:t>humana </w:t>
      </w:r>
      <w:r>
        <w:rPr>
          <w:color w:val="231F20"/>
          <w:w w:val="105"/>
        </w:rPr>
        <w:t>implica el respeto </w:t>
      </w:r>
      <w:r>
        <w:rPr>
          <w:color w:val="231F20"/>
          <w:spacing w:val="2"/>
          <w:w w:val="105"/>
        </w:rPr>
        <w:t>irrestricto </w:t>
      </w:r>
      <w:r>
        <w:rPr>
          <w:color w:val="231F20"/>
          <w:w w:val="105"/>
        </w:rPr>
        <w:t>de sus derechos, por encima de los de la</w:t>
      </w:r>
      <w:r>
        <w:rPr>
          <w:color w:val="231F20"/>
          <w:spacing w:val="-35"/>
          <w:w w:val="105"/>
        </w:rPr>
        <w:t> </w:t>
      </w:r>
      <w:r>
        <w:rPr>
          <w:color w:val="231F20"/>
          <w:spacing w:val="2"/>
          <w:w w:val="105"/>
        </w:rPr>
        <w:t>colectividad.</w:t>
      </w:r>
    </w:p>
    <w:p>
      <w:pPr>
        <w:pStyle w:val="BodyText"/>
        <w:spacing w:before="1"/>
        <w:rPr>
          <w:sz w:val="26"/>
        </w:rPr>
      </w:pPr>
    </w:p>
    <w:p>
      <w:pPr>
        <w:pStyle w:val="BodyText"/>
        <w:spacing w:line="285" w:lineRule="auto"/>
        <w:ind w:left="110" w:right="108"/>
        <w:jc w:val="both"/>
      </w:pPr>
      <w:r>
        <w:rPr>
          <w:color w:val="231F20"/>
          <w:w w:val="105"/>
        </w:rPr>
        <w:t>La transparencia es una más de las premisas para el quehacer municipal panista, pero en</w:t>
      </w:r>
      <w:r>
        <w:rPr>
          <w:color w:val="231F20"/>
          <w:spacing w:val="-6"/>
          <w:w w:val="105"/>
        </w:rPr>
        <w:t> </w:t>
      </w:r>
      <w:r>
        <w:rPr>
          <w:color w:val="231F20"/>
          <w:w w:val="105"/>
        </w:rPr>
        <w:t>este</w:t>
      </w:r>
      <w:r>
        <w:rPr>
          <w:color w:val="231F20"/>
          <w:spacing w:val="-6"/>
          <w:w w:val="105"/>
        </w:rPr>
        <w:t> </w:t>
      </w:r>
      <w:r>
        <w:rPr>
          <w:color w:val="231F20"/>
          <w:w w:val="105"/>
        </w:rPr>
        <w:t>caso</w:t>
      </w:r>
      <w:r>
        <w:rPr>
          <w:color w:val="231F20"/>
          <w:spacing w:val="-6"/>
          <w:w w:val="105"/>
        </w:rPr>
        <w:t> </w:t>
      </w:r>
      <w:r>
        <w:rPr>
          <w:color w:val="231F20"/>
          <w:w w:val="105"/>
        </w:rPr>
        <w:t>sobresale</w:t>
      </w:r>
      <w:r>
        <w:rPr>
          <w:color w:val="231F20"/>
          <w:spacing w:val="-6"/>
          <w:w w:val="105"/>
        </w:rPr>
        <w:t> </w:t>
      </w:r>
      <w:r>
        <w:rPr>
          <w:color w:val="231F20"/>
          <w:w w:val="105"/>
        </w:rPr>
        <w:t>porque</w:t>
      </w:r>
      <w:r>
        <w:rPr>
          <w:color w:val="231F20"/>
          <w:spacing w:val="-6"/>
          <w:w w:val="105"/>
        </w:rPr>
        <w:t> </w:t>
      </w:r>
      <w:r>
        <w:rPr>
          <w:color w:val="231F20"/>
          <w:w w:val="105"/>
        </w:rPr>
        <w:t>en</w:t>
      </w:r>
      <w:r>
        <w:rPr>
          <w:color w:val="231F20"/>
          <w:spacing w:val="-6"/>
          <w:w w:val="105"/>
        </w:rPr>
        <w:t> </w:t>
      </w:r>
      <w:r>
        <w:rPr>
          <w:color w:val="231F20"/>
          <w:w w:val="105"/>
        </w:rPr>
        <w:t>sus</w:t>
      </w:r>
      <w:r>
        <w:rPr>
          <w:color w:val="231F20"/>
          <w:spacing w:val="-6"/>
          <w:w w:val="105"/>
        </w:rPr>
        <w:t> </w:t>
      </w:r>
      <w:r>
        <w:rPr>
          <w:color w:val="231F20"/>
          <w:w w:val="105"/>
        </w:rPr>
        <w:t>documentos</w:t>
      </w:r>
      <w:r>
        <w:rPr>
          <w:color w:val="231F20"/>
          <w:spacing w:val="-6"/>
          <w:w w:val="105"/>
        </w:rPr>
        <w:t> </w:t>
      </w:r>
      <w:r>
        <w:rPr>
          <w:color w:val="231F20"/>
          <w:w w:val="105"/>
        </w:rPr>
        <w:t>básicos</w:t>
      </w:r>
      <w:r>
        <w:rPr>
          <w:color w:val="231F20"/>
          <w:spacing w:val="-6"/>
          <w:w w:val="105"/>
        </w:rPr>
        <w:t> </w:t>
      </w:r>
      <w:r>
        <w:rPr>
          <w:color w:val="231F20"/>
          <w:w w:val="105"/>
        </w:rPr>
        <w:t>no</w:t>
      </w:r>
      <w:r>
        <w:rPr>
          <w:color w:val="231F20"/>
          <w:spacing w:val="-6"/>
          <w:w w:val="105"/>
        </w:rPr>
        <w:t> </w:t>
      </w:r>
      <w:r>
        <w:rPr>
          <w:color w:val="231F20"/>
          <w:w w:val="105"/>
        </w:rPr>
        <w:t>hay</w:t>
      </w:r>
      <w:r>
        <w:rPr>
          <w:color w:val="231F20"/>
          <w:spacing w:val="-6"/>
          <w:w w:val="105"/>
        </w:rPr>
        <w:t> </w:t>
      </w:r>
      <w:r>
        <w:rPr>
          <w:color w:val="231F20"/>
          <w:w w:val="105"/>
        </w:rPr>
        <w:t>un</w:t>
      </w:r>
      <w:r>
        <w:rPr>
          <w:color w:val="231F20"/>
          <w:spacing w:val="-6"/>
          <w:w w:val="105"/>
        </w:rPr>
        <w:t> </w:t>
      </w:r>
      <w:r>
        <w:rPr>
          <w:color w:val="231F20"/>
          <w:w w:val="105"/>
        </w:rPr>
        <w:t>profuso</w:t>
      </w:r>
      <w:r>
        <w:rPr>
          <w:color w:val="231F20"/>
          <w:spacing w:val="-6"/>
          <w:w w:val="105"/>
        </w:rPr>
        <w:t> </w:t>
      </w:r>
      <w:r>
        <w:rPr>
          <w:color w:val="231F20"/>
          <w:w w:val="105"/>
        </w:rPr>
        <w:t>desarrollo </w:t>
      </w:r>
      <w:r>
        <w:rPr>
          <w:color w:val="231F20"/>
          <w:spacing w:val="2"/>
          <w:w w:val="105"/>
        </w:rPr>
        <w:t>al</w:t>
      </w:r>
      <w:r>
        <w:rPr>
          <w:color w:val="231F20"/>
          <w:spacing w:val="-12"/>
          <w:w w:val="105"/>
        </w:rPr>
        <w:t> </w:t>
      </w:r>
      <w:r>
        <w:rPr>
          <w:color w:val="231F20"/>
          <w:w w:val="105"/>
        </w:rPr>
        <w:t>respecto.</w:t>
      </w:r>
      <w:r>
        <w:rPr>
          <w:color w:val="231F20"/>
          <w:spacing w:val="-12"/>
          <w:w w:val="105"/>
        </w:rPr>
        <w:t> </w:t>
      </w:r>
      <w:r>
        <w:rPr>
          <w:color w:val="231F20"/>
          <w:w w:val="105"/>
        </w:rPr>
        <w:t>Otro</w:t>
      </w:r>
      <w:r>
        <w:rPr>
          <w:color w:val="231F20"/>
          <w:spacing w:val="-12"/>
          <w:w w:val="105"/>
        </w:rPr>
        <w:t> </w:t>
      </w:r>
      <w:r>
        <w:rPr>
          <w:color w:val="231F20"/>
          <w:w w:val="105"/>
        </w:rPr>
        <w:t>elemento</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mismas</w:t>
      </w:r>
      <w:r>
        <w:rPr>
          <w:color w:val="231F20"/>
          <w:spacing w:val="-12"/>
          <w:w w:val="105"/>
        </w:rPr>
        <w:t> </w:t>
      </w:r>
      <w:r>
        <w:rPr>
          <w:color w:val="231F20"/>
          <w:w w:val="105"/>
        </w:rPr>
        <w:t>condiciones</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participación</w:t>
      </w:r>
      <w:r>
        <w:rPr>
          <w:color w:val="231F20"/>
          <w:spacing w:val="-12"/>
          <w:w w:val="105"/>
        </w:rPr>
        <w:t> </w:t>
      </w:r>
      <w:r>
        <w:rPr>
          <w:color w:val="231F20"/>
          <w:w w:val="105"/>
        </w:rPr>
        <w:t>ciudada- na, asunto de indudable actualidad tanto en la concepción de la gestión pública como entre las demandas de la misma sociedad. Es comprensible que en los planteamientos doctrinales del panismo no esté presente ninguno de estos conceptos puesto que su vigencia es </w:t>
      </w:r>
      <w:r>
        <w:rPr>
          <w:color w:val="231F20"/>
          <w:spacing w:val="-3"/>
          <w:w w:val="105"/>
        </w:rPr>
        <w:t>mucho </w:t>
      </w:r>
      <w:r>
        <w:rPr>
          <w:color w:val="231F20"/>
          <w:w w:val="105"/>
        </w:rPr>
        <w:t>más reciente. Sin embargo, lo que no se explica es por qué hay un limitado</w:t>
      </w:r>
      <w:r>
        <w:rPr>
          <w:color w:val="231F20"/>
          <w:spacing w:val="-11"/>
          <w:w w:val="105"/>
        </w:rPr>
        <w:t> </w:t>
      </w:r>
      <w:r>
        <w:rPr>
          <w:color w:val="231F20"/>
          <w:w w:val="105"/>
        </w:rPr>
        <w:t>grado</w:t>
      </w:r>
      <w:r>
        <w:rPr>
          <w:color w:val="231F20"/>
          <w:spacing w:val="-11"/>
          <w:w w:val="105"/>
        </w:rPr>
        <w:t> </w:t>
      </w:r>
      <w:r>
        <w:rPr>
          <w:color w:val="231F20"/>
          <w:w w:val="105"/>
        </w:rPr>
        <w:t>de</w:t>
      </w:r>
      <w:r>
        <w:rPr>
          <w:color w:val="231F20"/>
          <w:spacing w:val="-11"/>
          <w:w w:val="105"/>
        </w:rPr>
        <w:t> </w:t>
      </w:r>
      <w:r>
        <w:rPr>
          <w:color w:val="231F20"/>
          <w:w w:val="105"/>
        </w:rPr>
        <w:t>cumplimiento</w:t>
      </w:r>
      <w:r>
        <w:rPr>
          <w:color w:val="231F20"/>
          <w:spacing w:val="-11"/>
          <w:w w:val="105"/>
        </w:rPr>
        <w:t> </w:t>
      </w:r>
      <w:r>
        <w:rPr>
          <w:color w:val="231F20"/>
          <w:w w:val="105"/>
        </w:rPr>
        <w:t>con</w:t>
      </w:r>
      <w:r>
        <w:rPr>
          <w:color w:val="231F20"/>
          <w:spacing w:val="-11"/>
          <w:w w:val="105"/>
        </w:rPr>
        <w:t> </w:t>
      </w:r>
      <w:r>
        <w:rPr>
          <w:color w:val="231F20"/>
          <w:w w:val="105"/>
        </w:rPr>
        <w:t>ellos,</w:t>
      </w:r>
      <w:r>
        <w:rPr>
          <w:color w:val="231F20"/>
          <w:spacing w:val="-11"/>
          <w:w w:val="105"/>
        </w:rPr>
        <w:t> </w:t>
      </w:r>
      <w:r>
        <w:rPr>
          <w:color w:val="231F20"/>
          <w:w w:val="105"/>
        </w:rPr>
        <w:t>tanto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caso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transparencia</w:t>
      </w:r>
      <w:r>
        <w:rPr>
          <w:color w:val="231F20"/>
          <w:spacing w:val="-11"/>
          <w:w w:val="105"/>
        </w:rPr>
        <w:t> </w:t>
      </w:r>
      <w:r>
        <w:rPr>
          <w:color w:val="231F20"/>
          <w:w w:val="105"/>
        </w:rPr>
        <w:t>como</w:t>
      </w:r>
      <w:r>
        <w:rPr>
          <w:color w:val="231F20"/>
          <w:spacing w:val="-11"/>
          <w:w w:val="105"/>
        </w:rPr>
        <w:t> </w:t>
      </w:r>
      <w:r>
        <w:rPr>
          <w:color w:val="231F20"/>
          <w:w w:val="105"/>
        </w:rPr>
        <w:t>en </w:t>
      </w:r>
      <w:r>
        <w:rPr>
          <w:color w:val="231F20"/>
          <w:w w:val="105"/>
          <w:u w:val="single" w:color="231F20"/>
        </w:rPr>
        <w:t>el</w:t>
      </w:r>
      <w:r>
        <w:rPr>
          <w:color w:val="231F20"/>
          <w:spacing w:val="-17"/>
          <w:w w:val="105"/>
          <w:u w:val="single" w:color="231F20"/>
        </w:rPr>
        <w:t> </w:t>
      </w:r>
      <w:r>
        <w:rPr>
          <w:color w:val="231F20"/>
          <w:w w:val="105"/>
          <w:u w:val="single" w:color="231F20"/>
        </w:rPr>
        <w:t>de</w:t>
      </w:r>
      <w:r>
        <w:rPr>
          <w:color w:val="231F20"/>
          <w:spacing w:val="-17"/>
          <w:w w:val="105"/>
          <w:u w:val="single" w:color="231F20"/>
        </w:rPr>
        <w:t> </w:t>
      </w:r>
      <w:r>
        <w:rPr>
          <w:color w:val="231F20"/>
          <w:w w:val="105"/>
          <w:u w:val="single" w:color="231F20"/>
        </w:rPr>
        <w:t>la</w:t>
      </w:r>
      <w:r>
        <w:rPr>
          <w:color w:val="231F20"/>
          <w:spacing w:val="-17"/>
          <w:w w:val="105"/>
          <w:u w:val="single" w:color="231F20"/>
        </w:rPr>
        <w:t> </w:t>
      </w:r>
      <w:r>
        <w:rPr>
          <w:color w:val="231F20"/>
          <w:w w:val="105"/>
          <w:u w:val="single" w:color="231F20"/>
        </w:rPr>
        <w:t>participa</w:t>
      </w:r>
      <w:r>
        <w:rPr>
          <w:color w:val="231F20"/>
          <w:w w:val="105"/>
        </w:rPr>
        <w:t>ción</w:t>
      </w:r>
      <w:r>
        <w:rPr>
          <w:color w:val="231F20"/>
          <w:spacing w:val="-17"/>
          <w:w w:val="105"/>
        </w:rPr>
        <w:t> </w:t>
      </w:r>
      <w:r>
        <w:rPr>
          <w:color w:val="231F20"/>
          <w:w w:val="105"/>
        </w:rPr>
        <w:t>ciudadana.</w:t>
      </w:r>
      <w:r>
        <w:rPr>
          <w:color w:val="231F20"/>
          <w:spacing w:val="-17"/>
          <w:w w:val="105"/>
        </w:rPr>
        <w:t> </w:t>
      </w:r>
      <w:r>
        <w:rPr>
          <w:color w:val="231F20"/>
          <w:w w:val="105"/>
        </w:rPr>
        <w:t>Respecto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primera,</w:t>
      </w:r>
      <w:r>
        <w:rPr>
          <w:color w:val="231F20"/>
          <w:spacing w:val="-17"/>
          <w:w w:val="105"/>
        </w:rPr>
        <w:t> </w:t>
      </w:r>
      <w:r>
        <w:rPr>
          <w:color w:val="231F20"/>
          <w:w w:val="105"/>
        </w:rPr>
        <w:t>en</w:t>
      </w:r>
      <w:r>
        <w:rPr>
          <w:color w:val="231F20"/>
          <w:spacing w:val="-17"/>
          <w:w w:val="105"/>
        </w:rPr>
        <w:t> </w:t>
      </w:r>
      <w:r>
        <w:rPr>
          <w:color w:val="231F20"/>
          <w:w w:val="105"/>
        </w:rPr>
        <w:t>realidad</w:t>
      </w:r>
      <w:r>
        <w:rPr>
          <w:color w:val="231F20"/>
          <w:spacing w:val="-17"/>
          <w:w w:val="105"/>
        </w:rPr>
        <w:t> </w:t>
      </w:r>
      <w:r>
        <w:rPr>
          <w:color w:val="231F20"/>
          <w:w w:val="105"/>
        </w:rPr>
        <w:t>adolece</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com-</w:t>
      </w:r>
    </w:p>
    <w:p>
      <w:pPr>
        <w:pStyle w:val="ListParagraph"/>
        <w:numPr>
          <w:ilvl w:val="0"/>
          <w:numId w:val="14"/>
        </w:numPr>
        <w:tabs>
          <w:tab w:pos="327" w:val="left" w:leader="none"/>
        </w:tabs>
        <w:spacing w:line="240" w:lineRule="auto" w:before="18" w:after="0"/>
        <w:ind w:left="326" w:right="0" w:hanging="216"/>
        <w:jc w:val="both"/>
        <w:rPr>
          <w:rFonts w:ascii="Arial" w:hAnsi="Arial"/>
          <w:sz w:val="20"/>
        </w:rPr>
      </w:pPr>
      <w:r>
        <w:rPr>
          <w:color w:val="231F20"/>
          <w:sz w:val="16"/>
        </w:rPr>
        <w:t>De</w:t>
      </w:r>
      <w:r>
        <w:rPr>
          <w:color w:val="231F20"/>
          <w:spacing w:val="-11"/>
          <w:sz w:val="16"/>
        </w:rPr>
        <w:t> </w:t>
      </w:r>
      <w:r>
        <w:rPr>
          <w:color w:val="231F20"/>
          <w:sz w:val="16"/>
        </w:rPr>
        <w:t>aquí</w:t>
      </w:r>
      <w:r>
        <w:rPr>
          <w:color w:val="231F20"/>
          <w:spacing w:val="-11"/>
          <w:sz w:val="16"/>
        </w:rPr>
        <w:t> </w:t>
      </w:r>
      <w:r>
        <w:rPr>
          <w:color w:val="231F20"/>
          <w:sz w:val="16"/>
        </w:rPr>
        <w:t>en</w:t>
      </w:r>
      <w:r>
        <w:rPr>
          <w:color w:val="231F20"/>
          <w:spacing w:val="-11"/>
          <w:sz w:val="16"/>
        </w:rPr>
        <w:t> </w:t>
      </w:r>
      <w:r>
        <w:rPr>
          <w:color w:val="231F20"/>
          <w:sz w:val="16"/>
        </w:rPr>
        <w:t>adelante</w:t>
      </w:r>
      <w:r>
        <w:rPr>
          <w:color w:val="231F20"/>
          <w:spacing w:val="-11"/>
          <w:sz w:val="16"/>
        </w:rPr>
        <w:t> </w:t>
      </w:r>
      <w:r>
        <w:rPr>
          <w:color w:val="231F20"/>
          <w:sz w:val="16"/>
        </w:rPr>
        <w:t>las</w:t>
      </w:r>
      <w:r>
        <w:rPr>
          <w:color w:val="231F20"/>
          <w:spacing w:val="-11"/>
          <w:sz w:val="16"/>
        </w:rPr>
        <w:t> </w:t>
      </w:r>
      <w:r>
        <w:rPr>
          <w:color w:val="231F20"/>
          <w:sz w:val="16"/>
        </w:rPr>
        <w:t>citas</w:t>
      </w:r>
      <w:r>
        <w:rPr>
          <w:color w:val="231F20"/>
          <w:spacing w:val="-11"/>
          <w:sz w:val="16"/>
        </w:rPr>
        <w:t> </w:t>
      </w:r>
      <w:r>
        <w:rPr>
          <w:color w:val="231F20"/>
          <w:sz w:val="16"/>
        </w:rPr>
        <w:t>corresponden</w:t>
      </w:r>
      <w:r>
        <w:rPr>
          <w:color w:val="231F20"/>
          <w:spacing w:val="-11"/>
          <w:sz w:val="16"/>
        </w:rPr>
        <w:t> </w:t>
      </w:r>
      <w:r>
        <w:rPr>
          <w:color w:val="231F20"/>
          <w:sz w:val="16"/>
        </w:rPr>
        <w:t>al</w:t>
      </w:r>
      <w:r>
        <w:rPr>
          <w:color w:val="231F20"/>
          <w:spacing w:val="-11"/>
          <w:sz w:val="16"/>
        </w:rPr>
        <w:t> </w:t>
      </w:r>
      <w:r>
        <w:rPr>
          <w:color w:val="231F20"/>
          <w:sz w:val="16"/>
        </w:rPr>
        <w:t>Plan</w:t>
      </w:r>
      <w:r>
        <w:rPr>
          <w:color w:val="231F20"/>
          <w:spacing w:val="-11"/>
          <w:sz w:val="16"/>
        </w:rPr>
        <w:t> </w:t>
      </w:r>
      <w:r>
        <w:rPr>
          <w:color w:val="231F20"/>
          <w:sz w:val="16"/>
        </w:rPr>
        <w:t>de</w:t>
      </w:r>
      <w:r>
        <w:rPr>
          <w:color w:val="231F20"/>
          <w:spacing w:val="-11"/>
          <w:sz w:val="16"/>
        </w:rPr>
        <w:t> </w:t>
      </w:r>
      <w:r>
        <w:rPr>
          <w:color w:val="231F20"/>
          <w:sz w:val="16"/>
        </w:rPr>
        <w:t>Desarrollo</w:t>
      </w:r>
      <w:r>
        <w:rPr>
          <w:color w:val="231F20"/>
          <w:spacing w:val="-11"/>
          <w:sz w:val="16"/>
        </w:rPr>
        <w:t> </w:t>
      </w:r>
      <w:r>
        <w:rPr>
          <w:color w:val="231F20"/>
          <w:sz w:val="16"/>
        </w:rPr>
        <w:t>Municipal,</w:t>
      </w:r>
      <w:r>
        <w:rPr>
          <w:color w:val="231F20"/>
          <w:spacing w:val="-11"/>
          <w:sz w:val="16"/>
        </w:rPr>
        <w:t> </w:t>
      </w:r>
      <w:r>
        <w:rPr>
          <w:color w:val="231F20"/>
          <w:sz w:val="16"/>
        </w:rPr>
        <w:t>2006</w:t>
      </w:r>
      <w:r>
        <w:rPr>
          <w:rFonts w:ascii="Arial" w:hAnsi="Arial"/>
          <w:color w:val="231F20"/>
          <w:sz w:val="20"/>
        </w:rPr>
        <w:t>.</w:t>
      </w:r>
    </w:p>
    <w:p>
      <w:pPr>
        <w:spacing w:after="0" w:line="240" w:lineRule="auto"/>
        <w:jc w:val="both"/>
        <w:rPr>
          <w:rFonts w:ascii="Arial" w:hAnsi="Arial"/>
          <w:sz w:val="20"/>
        </w:rPr>
        <w:sectPr>
          <w:pgSz w:w="9640" w:h="12190"/>
          <w:pgMar w:header="0" w:footer="743" w:top="1120" w:bottom="940" w:left="740" w:right="740"/>
        </w:sectPr>
      </w:pPr>
    </w:p>
    <w:p>
      <w:pPr>
        <w:pStyle w:val="BodyText"/>
        <w:spacing w:before="3"/>
        <w:rPr>
          <w:rFonts w:ascii="Arial"/>
          <w:sz w:val="11"/>
        </w:rPr>
      </w:pPr>
    </w:p>
    <w:p>
      <w:pPr>
        <w:pStyle w:val="BodyText"/>
        <w:spacing w:line="285" w:lineRule="auto" w:before="36"/>
        <w:ind w:left="110" w:right="108"/>
        <w:jc w:val="both"/>
      </w:pPr>
      <w:r>
        <w:rPr>
          <w:color w:val="231F20"/>
          <w:w w:val="105"/>
        </w:rPr>
        <w:t>plemento</w:t>
      </w:r>
      <w:r>
        <w:rPr>
          <w:color w:val="231F20"/>
          <w:spacing w:val="-16"/>
          <w:w w:val="105"/>
        </w:rPr>
        <w:t> </w:t>
      </w:r>
      <w:r>
        <w:rPr>
          <w:color w:val="231F20"/>
          <w:w w:val="105"/>
        </w:rPr>
        <w:t>indispensable,</w:t>
      </w:r>
      <w:r>
        <w:rPr>
          <w:color w:val="231F20"/>
          <w:spacing w:val="-16"/>
          <w:w w:val="105"/>
        </w:rPr>
        <w:t> </w:t>
      </w:r>
      <w:r>
        <w:rPr>
          <w:color w:val="231F20"/>
          <w:w w:val="105"/>
        </w:rPr>
        <w:t>que</w:t>
      </w:r>
      <w:r>
        <w:rPr>
          <w:color w:val="231F20"/>
          <w:spacing w:val="-16"/>
          <w:w w:val="105"/>
        </w:rPr>
        <w:t> </w:t>
      </w:r>
      <w:r>
        <w:rPr>
          <w:color w:val="231F20"/>
          <w:w w:val="105"/>
        </w:rPr>
        <w:t>le</w:t>
      </w:r>
      <w:r>
        <w:rPr>
          <w:color w:val="231F20"/>
          <w:spacing w:val="-16"/>
          <w:w w:val="105"/>
        </w:rPr>
        <w:t> </w:t>
      </w:r>
      <w:r>
        <w:rPr>
          <w:color w:val="231F20"/>
          <w:w w:val="105"/>
        </w:rPr>
        <w:t>da</w:t>
      </w:r>
      <w:r>
        <w:rPr>
          <w:color w:val="231F20"/>
          <w:spacing w:val="-16"/>
          <w:w w:val="105"/>
        </w:rPr>
        <w:t> </w:t>
      </w:r>
      <w:r>
        <w:rPr>
          <w:color w:val="231F20"/>
          <w:w w:val="105"/>
        </w:rPr>
        <w:t>esencia</w:t>
      </w:r>
      <w:r>
        <w:rPr>
          <w:color w:val="231F20"/>
          <w:spacing w:val="-16"/>
          <w:w w:val="105"/>
        </w:rPr>
        <w:t> </w:t>
      </w:r>
      <w:r>
        <w:rPr>
          <w:color w:val="231F20"/>
          <w:w w:val="105"/>
        </w:rPr>
        <w:t>y</w:t>
      </w:r>
      <w:r>
        <w:rPr>
          <w:color w:val="231F20"/>
          <w:spacing w:val="-16"/>
          <w:w w:val="105"/>
        </w:rPr>
        <w:t> </w:t>
      </w:r>
      <w:r>
        <w:rPr>
          <w:color w:val="231F20"/>
          <w:w w:val="105"/>
        </w:rPr>
        <w:t>razón</w:t>
      </w:r>
      <w:r>
        <w:rPr>
          <w:color w:val="231F20"/>
          <w:spacing w:val="-16"/>
          <w:w w:val="105"/>
        </w:rPr>
        <w:t> </w:t>
      </w:r>
      <w:r>
        <w:rPr>
          <w:color w:val="231F20"/>
          <w:w w:val="105"/>
        </w:rPr>
        <w:t>de</w:t>
      </w:r>
      <w:r>
        <w:rPr>
          <w:color w:val="231F20"/>
          <w:spacing w:val="-16"/>
          <w:w w:val="105"/>
        </w:rPr>
        <w:t> </w:t>
      </w:r>
      <w:r>
        <w:rPr>
          <w:color w:val="231F20"/>
          <w:w w:val="105"/>
        </w:rPr>
        <w:t>ser:</w:t>
      </w:r>
      <w:r>
        <w:rPr>
          <w:color w:val="231F20"/>
          <w:spacing w:val="-16"/>
          <w:w w:val="105"/>
        </w:rPr>
        <w:t> </w:t>
      </w:r>
      <w:r>
        <w:rPr>
          <w:color w:val="231F20"/>
          <w:w w:val="105"/>
        </w:rPr>
        <w:t>la</w:t>
      </w:r>
      <w:r>
        <w:rPr>
          <w:color w:val="231F20"/>
          <w:spacing w:val="-16"/>
          <w:w w:val="105"/>
        </w:rPr>
        <w:t> </w:t>
      </w:r>
      <w:r>
        <w:rPr>
          <w:color w:val="231F20"/>
          <w:w w:val="105"/>
        </w:rPr>
        <w:t>rendición</w:t>
      </w:r>
      <w:r>
        <w:rPr>
          <w:color w:val="231F20"/>
          <w:spacing w:val="-16"/>
          <w:w w:val="105"/>
        </w:rPr>
        <w:t> </w:t>
      </w:r>
      <w:r>
        <w:rPr>
          <w:color w:val="231F20"/>
          <w:w w:val="105"/>
        </w:rPr>
        <w:t>de</w:t>
      </w:r>
      <w:r>
        <w:rPr>
          <w:color w:val="231F20"/>
          <w:spacing w:val="-16"/>
          <w:w w:val="105"/>
        </w:rPr>
        <w:t> </w:t>
      </w:r>
      <w:r>
        <w:rPr>
          <w:color w:val="231F20"/>
          <w:w w:val="105"/>
        </w:rPr>
        <w:t>cuentas.</w:t>
      </w:r>
      <w:r>
        <w:rPr>
          <w:color w:val="231F20"/>
          <w:spacing w:val="-16"/>
          <w:w w:val="105"/>
        </w:rPr>
        <w:t> </w:t>
      </w:r>
      <w:r>
        <w:rPr>
          <w:color w:val="231F20"/>
          <w:w w:val="105"/>
        </w:rPr>
        <w:t>Como veremos</w:t>
      </w:r>
      <w:r>
        <w:rPr>
          <w:color w:val="231F20"/>
          <w:spacing w:val="-18"/>
          <w:w w:val="105"/>
        </w:rPr>
        <w:t> </w:t>
      </w:r>
      <w:r>
        <w:rPr>
          <w:color w:val="231F20"/>
          <w:w w:val="105"/>
        </w:rPr>
        <w:t>más</w:t>
      </w:r>
      <w:r>
        <w:rPr>
          <w:color w:val="231F20"/>
          <w:spacing w:val="-18"/>
          <w:w w:val="105"/>
        </w:rPr>
        <w:t> </w:t>
      </w:r>
      <w:r>
        <w:rPr>
          <w:color w:val="231F20"/>
          <w:w w:val="105"/>
        </w:rPr>
        <w:t>adelante,</w:t>
      </w:r>
      <w:r>
        <w:rPr>
          <w:color w:val="231F20"/>
          <w:spacing w:val="-18"/>
          <w:w w:val="105"/>
        </w:rPr>
        <w:t> </w:t>
      </w:r>
      <w:r>
        <w:rPr>
          <w:color w:val="231F20"/>
          <w:w w:val="105"/>
        </w:rPr>
        <w:t>en</w:t>
      </w:r>
      <w:r>
        <w:rPr>
          <w:color w:val="231F20"/>
          <w:spacing w:val="-18"/>
          <w:w w:val="105"/>
        </w:rPr>
        <w:t> </w:t>
      </w:r>
      <w:r>
        <w:rPr>
          <w:color w:val="231F20"/>
          <w:w w:val="105"/>
        </w:rPr>
        <w:t>Naucalpan</w:t>
      </w:r>
      <w:r>
        <w:rPr>
          <w:color w:val="231F20"/>
          <w:spacing w:val="-18"/>
          <w:w w:val="105"/>
        </w:rPr>
        <w:t> </w:t>
      </w:r>
      <w:r>
        <w:rPr>
          <w:color w:val="231F20"/>
          <w:w w:val="105"/>
        </w:rPr>
        <w:t>el</w:t>
      </w:r>
      <w:r>
        <w:rPr>
          <w:color w:val="231F20"/>
          <w:spacing w:val="-18"/>
          <w:w w:val="105"/>
        </w:rPr>
        <w:t> </w:t>
      </w:r>
      <w:r>
        <w:rPr>
          <w:color w:val="231F20"/>
          <w:w w:val="105"/>
        </w:rPr>
        <w:t>panismo</w:t>
      </w:r>
      <w:r>
        <w:rPr>
          <w:color w:val="231F20"/>
          <w:spacing w:val="-18"/>
          <w:w w:val="105"/>
        </w:rPr>
        <w:t> </w:t>
      </w:r>
      <w:r>
        <w:rPr>
          <w:color w:val="231F20"/>
          <w:w w:val="105"/>
        </w:rPr>
        <w:t>no</w:t>
      </w:r>
      <w:r>
        <w:rPr>
          <w:color w:val="231F20"/>
          <w:spacing w:val="-18"/>
          <w:w w:val="105"/>
        </w:rPr>
        <w:t> </w:t>
      </w:r>
      <w:r>
        <w:rPr>
          <w:color w:val="231F20"/>
          <w:w w:val="105"/>
        </w:rPr>
        <w:t>ha</w:t>
      </w:r>
      <w:r>
        <w:rPr>
          <w:color w:val="231F20"/>
          <w:spacing w:val="-18"/>
          <w:w w:val="105"/>
        </w:rPr>
        <w:t> </w:t>
      </w:r>
      <w:r>
        <w:rPr>
          <w:color w:val="231F20"/>
          <w:w w:val="105"/>
        </w:rPr>
        <w:t>complementado</w:t>
      </w:r>
      <w:r>
        <w:rPr>
          <w:color w:val="231F20"/>
          <w:spacing w:val="-18"/>
          <w:w w:val="105"/>
        </w:rPr>
        <w:t> </w:t>
      </w:r>
      <w:r>
        <w:rPr>
          <w:color w:val="231F20"/>
          <w:w w:val="105"/>
        </w:rPr>
        <w:t>la</w:t>
      </w:r>
      <w:r>
        <w:rPr>
          <w:color w:val="231F20"/>
          <w:spacing w:val="-18"/>
          <w:w w:val="105"/>
        </w:rPr>
        <w:t> </w:t>
      </w:r>
      <w:r>
        <w:rPr>
          <w:color w:val="231F20"/>
          <w:w w:val="105"/>
        </w:rPr>
        <w:t>transparencia con</w:t>
      </w:r>
      <w:r>
        <w:rPr>
          <w:color w:val="231F20"/>
          <w:spacing w:val="-11"/>
          <w:w w:val="105"/>
        </w:rPr>
        <w:t> </w:t>
      </w:r>
      <w:r>
        <w:rPr>
          <w:color w:val="231F20"/>
          <w:w w:val="105"/>
        </w:rPr>
        <w:t>la</w:t>
      </w:r>
      <w:r>
        <w:rPr>
          <w:color w:val="231F20"/>
          <w:spacing w:val="-11"/>
          <w:w w:val="105"/>
        </w:rPr>
        <w:t> </w:t>
      </w:r>
      <w:r>
        <w:rPr>
          <w:color w:val="231F20"/>
          <w:w w:val="105"/>
        </w:rPr>
        <w:t>rendición</w:t>
      </w:r>
      <w:r>
        <w:rPr>
          <w:color w:val="231F20"/>
          <w:spacing w:val="-11"/>
          <w:w w:val="105"/>
        </w:rPr>
        <w:t> </w:t>
      </w:r>
      <w:r>
        <w:rPr>
          <w:color w:val="231F20"/>
          <w:w w:val="105"/>
        </w:rPr>
        <w:t>de</w:t>
      </w:r>
      <w:r>
        <w:rPr>
          <w:color w:val="231F20"/>
          <w:spacing w:val="-11"/>
          <w:w w:val="105"/>
        </w:rPr>
        <w:t> </w:t>
      </w:r>
      <w:r>
        <w:rPr>
          <w:color w:val="231F20"/>
          <w:w w:val="105"/>
        </w:rPr>
        <w:t>cuentas.</w:t>
      </w:r>
    </w:p>
    <w:p>
      <w:pPr>
        <w:pStyle w:val="BodyText"/>
        <w:spacing w:before="1"/>
        <w:rPr>
          <w:sz w:val="26"/>
        </w:rPr>
      </w:pPr>
    </w:p>
    <w:p>
      <w:pPr>
        <w:pStyle w:val="BodyText"/>
        <w:spacing w:line="285" w:lineRule="auto"/>
        <w:ind w:left="110" w:right="107"/>
        <w:jc w:val="both"/>
      </w:pPr>
      <w:r>
        <w:rPr>
          <w:color w:val="231F20"/>
          <w:w w:val="105"/>
        </w:rPr>
        <w:t>En cuanto a participación ciudadana, el plan la concibe únicamente en órganos con- sultivos. Se trata de que los ciudadanos colaboren en la prevención del delito y en la supervisión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obras</w:t>
      </w:r>
      <w:r>
        <w:rPr>
          <w:color w:val="231F20"/>
          <w:spacing w:val="-8"/>
          <w:w w:val="105"/>
        </w:rPr>
        <w:t> </w:t>
      </w:r>
      <w:r>
        <w:rPr>
          <w:color w:val="231F20"/>
          <w:w w:val="105"/>
        </w:rPr>
        <w:t>públicas</w:t>
      </w:r>
      <w:r>
        <w:rPr>
          <w:color w:val="231F20"/>
          <w:spacing w:val="-8"/>
          <w:w w:val="105"/>
        </w:rPr>
        <w:t> </w:t>
      </w:r>
      <w:r>
        <w:rPr>
          <w:color w:val="231F20"/>
          <w:w w:val="105"/>
        </w:rPr>
        <w:t>y</w:t>
      </w:r>
      <w:r>
        <w:rPr>
          <w:color w:val="231F20"/>
          <w:spacing w:val="-8"/>
          <w:w w:val="105"/>
        </w:rPr>
        <w:t> </w:t>
      </w:r>
      <w:r>
        <w:rPr>
          <w:color w:val="231F20"/>
          <w:w w:val="105"/>
        </w:rPr>
        <w:t>del</w:t>
      </w:r>
      <w:r>
        <w:rPr>
          <w:color w:val="231F20"/>
          <w:spacing w:val="-8"/>
          <w:w w:val="105"/>
        </w:rPr>
        <w:t> </w:t>
      </w:r>
      <w:r>
        <w:rPr>
          <w:color w:val="231F20"/>
          <w:w w:val="105"/>
        </w:rPr>
        <w:t>reparto</w:t>
      </w:r>
      <w:r>
        <w:rPr>
          <w:color w:val="231F20"/>
          <w:spacing w:val="-8"/>
          <w:w w:val="105"/>
        </w:rPr>
        <w:t> </w:t>
      </w:r>
      <w:r>
        <w:rPr>
          <w:color w:val="231F20"/>
          <w:w w:val="105"/>
        </w:rPr>
        <w:t>de</w:t>
      </w:r>
      <w:r>
        <w:rPr>
          <w:color w:val="231F20"/>
          <w:spacing w:val="-8"/>
          <w:w w:val="105"/>
        </w:rPr>
        <w:t> </w:t>
      </w:r>
      <w:r>
        <w:rPr>
          <w:color w:val="231F20"/>
          <w:w w:val="105"/>
        </w:rPr>
        <w:t>becas</w:t>
      </w:r>
      <w:r>
        <w:rPr>
          <w:color w:val="231F20"/>
          <w:spacing w:val="-8"/>
          <w:w w:val="105"/>
        </w:rPr>
        <w:t> </w:t>
      </w:r>
      <w:r>
        <w:rPr>
          <w:color w:val="231F20"/>
          <w:w w:val="105"/>
        </w:rPr>
        <w:t>y</w:t>
      </w:r>
      <w:r>
        <w:rPr>
          <w:color w:val="231F20"/>
          <w:spacing w:val="-8"/>
          <w:w w:val="105"/>
        </w:rPr>
        <w:t> </w:t>
      </w:r>
      <w:r>
        <w:rPr>
          <w:color w:val="231F20"/>
          <w:w w:val="105"/>
        </w:rPr>
        <w:t>estímulos</w:t>
      </w:r>
      <w:r>
        <w:rPr>
          <w:color w:val="231F20"/>
          <w:spacing w:val="-8"/>
          <w:w w:val="105"/>
        </w:rPr>
        <w:t> </w:t>
      </w:r>
      <w:r>
        <w:rPr>
          <w:color w:val="231F20"/>
          <w:w w:val="105"/>
        </w:rPr>
        <w:t>económicos</w:t>
      </w:r>
      <w:r>
        <w:rPr>
          <w:color w:val="231F20"/>
          <w:spacing w:val="-8"/>
          <w:w w:val="105"/>
        </w:rPr>
        <w:t> </w:t>
      </w:r>
      <w:r>
        <w:rPr>
          <w:color w:val="231F20"/>
          <w:w w:val="105"/>
        </w:rPr>
        <w:t>diver- sos. Su participación es normalmente posterior a la toma de decisiones. </w:t>
      </w:r>
      <w:r>
        <w:rPr>
          <w:color w:val="231F20"/>
          <w:spacing w:val="-3"/>
          <w:w w:val="105"/>
        </w:rPr>
        <w:t>Por </w:t>
      </w:r>
      <w:r>
        <w:rPr>
          <w:color w:val="231F20"/>
          <w:w w:val="105"/>
        </w:rPr>
        <w:t>lo demás, </w:t>
      </w:r>
      <w:r>
        <w:rPr>
          <w:color w:val="231F20"/>
          <w:spacing w:val="2"/>
          <w:w w:val="105"/>
        </w:rPr>
        <w:t>tal </w:t>
      </w:r>
      <w:r>
        <w:rPr>
          <w:color w:val="231F20"/>
          <w:w w:val="105"/>
        </w:rPr>
        <w:t>intervención se lleva a cabo en órganos institucionales con escasa participación de los habitantes del municipio. Visto en perspectiva comparada, la participación que el panismo</w:t>
      </w:r>
      <w:r>
        <w:rPr>
          <w:color w:val="231F20"/>
          <w:spacing w:val="-14"/>
          <w:w w:val="105"/>
        </w:rPr>
        <w:t> </w:t>
      </w:r>
      <w:r>
        <w:rPr>
          <w:color w:val="231F20"/>
          <w:spacing w:val="-3"/>
          <w:w w:val="105"/>
        </w:rPr>
        <w:t>fomentó</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trienio</w:t>
      </w:r>
      <w:r>
        <w:rPr>
          <w:color w:val="231F20"/>
          <w:spacing w:val="-14"/>
          <w:w w:val="105"/>
        </w:rPr>
        <w:t> </w:t>
      </w:r>
      <w:r>
        <w:rPr>
          <w:color w:val="231F20"/>
          <w:w w:val="105"/>
        </w:rPr>
        <w:t>1997-2000</w:t>
      </w:r>
      <w:r>
        <w:rPr>
          <w:color w:val="231F20"/>
          <w:spacing w:val="-14"/>
          <w:w w:val="105"/>
        </w:rPr>
        <w:t> </w:t>
      </w:r>
      <w:r>
        <w:rPr>
          <w:color w:val="231F20"/>
          <w:w w:val="105"/>
        </w:rPr>
        <w:t>fue</w:t>
      </w:r>
      <w:r>
        <w:rPr>
          <w:color w:val="231F20"/>
          <w:spacing w:val="-14"/>
          <w:w w:val="105"/>
        </w:rPr>
        <w:t> </w:t>
      </w:r>
      <w:r>
        <w:rPr>
          <w:color w:val="231F20"/>
          <w:w w:val="105"/>
        </w:rPr>
        <w:t>la</w:t>
      </w:r>
      <w:r>
        <w:rPr>
          <w:color w:val="231F20"/>
          <w:spacing w:val="-14"/>
          <w:w w:val="105"/>
        </w:rPr>
        <w:t> </w:t>
      </w:r>
      <w:r>
        <w:rPr>
          <w:color w:val="231F20"/>
          <w:w w:val="105"/>
        </w:rPr>
        <w:t>misma</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2006-2009.</w:t>
      </w:r>
    </w:p>
    <w:p>
      <w:pPr>
        <w:pStyle w:val="BodyText"/>
        <w:spacing w:before="1"/>
        <w:rPr>
          <w:sz w:val="26"/>
        </w:rPr>
      </w:pPr>
    </w:p>
    <w:p>
      <w:pPr>
        <w:pStyle w:val="BodyText"/>
        <w:spacing w:line="285" w:lineRule="auto"/>
        <w:ind w:left="110" w:right="106"/>
        <w:jc w:val="both"/>
      </w:pPr>
      <w:r>
        <w:rPr>
          <w:color w:val="231F20"/>
          <w:w w:val="105"/>
        </w:rPr>
        <w:t>No</w:t>
      </w:r>
      <w:r>
        <w:rPr>
          <w:color w:val="231F20"/>
          <w:spacing w:val="-17"/>
          <w:w w:val="105"/>
        </w:rPr>
        <w:t> </w:t>
      </w:r>
      <w:r>
        <w:rPr>
          <w:color w:val="231F20"/>
          <w:w w:val="105"/>
        </w:rPr>
        <w:t>obstante,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plan</w:t>
      </w:r>
      <w:r>
        <w:rPr>
          <w:color w:val="231F20"/>
          <w:spacing w:val="-17"/>
          <w:w w:val="105"/>
        </w:rPr>
        <w:t> </w:t>
      </w:r>
      <w:r>
        <w:rPr>
          <w:color w:val="231F20"/>
          <w:w w:val="105"/>
        </w:rPr>
        <w:t>hubo</w:t>
      </w:r>
      <w:r>
        <w:rPr>
          <w:color w:val="231F20"/>
          <w:spacing w:val="-17"/>
          <w:w w:val="105"/>
        </w:rPr>
        <w:t> </w:t>
      </w:r>
      <w:r>
        <w:rPr>
          <w:color w:val="231F20"/>
          <w:w w:val="105"/>
        </w:rPr>
        <w:t>un</w:t>
      </w:r>
      <w:r>
        <w:rPr>
          <w:color w:val="231F20"/>
          <w:spacing w:val="-17"/>
          <w:w w:val="105"/>
        </w:rPr>
        <w:t> </w:t>
      </w:r>
      <w:r>
        <w:rPr>
          <w:color w:val="231F20"/>
          <w:w w:val="105"/>
        </w:rPr>
        <w:t>compromiso</w:t>
      </w:r>
      <w:r>
        <w:rPr>
          <w:color w:val="231F20"/>
          <w:spacing w:val="-17"/>
          <w:w w:val="105"/>
        </w:rPr>
        <w:t> </w:t>
      </w:r>
      <w:r>
        <w:rPr>
          <w:color w:val="231F20"/>
          <w:w w:val="105"/>
        </w:rPr>
        <w:t>explícito</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democracia,</w:t>
      </w:r>
      <w:r>
        <w:rPr>
          <w:color w:val="231F20"/>
          <w:spacing w:val="-17"/>
          <w:w w:val="105"/>
        </w:rPr>
        <w:t> </w:t>
      </w:r>
      <w:r>
        <w:rPr>
          <w:color w:val="231F20"/>
          <w:w w:val="105"/>
        </w:rPr>
        <w:t>la</w:t>
      </w:r>
      <w:r>
        <w:rPr>
          <w:color w:val="231F20"/>
          <w:spacing w:val="-17"/>
          <w:w w:val="105"/>
        </w:rPr>
        <w:t> </w:t>
      </w:r>
      <w:r>
        <w:rPr>
          <w:color w:val="231F20"/>
          <w:w w:val="105"/>
        </w:rPr>
        <w:t>cual</w:t>
      </w:r>
      <w:r>
        <w:rPr>
          <w:color w:val="231F20"/>
          <w:spacing w:val="-17"/>
          <w:w w:val="105"/>
        </w:rPr>
        <w:t> </w:t>
      </w:r>
      <w:r>
        <w:rPr>
          <w:color w:val="231F20"/>
          <w:w w:val="105"/>
        </w:rPr>
        <w:t>se</w:t>
      </w:r>
      <w:r>
        <w:rPr>
          <w:color w:val="231F20"/>
          <w:spacing w:val="-17"/>
          <w:w w:val="105"/>
        </w:rPr>
        <w:t> </w:t>
      </w:r>
      <w:r>
        <w:rPr>
          <w:color w:val="231F20"/>
          <w:w w:val="105"/>
        </w:rPr>
        <w:t>pre- tendía</w:t>
      </w:r>
      <w:r>
        <w:rPr>
          <w:color w:val="231F20"/>
          <w:spacing w:val="-15"/>
          <w:w w:val="105"/>
        </w:rPr>
        <w:t> </w:t>
      </w:r>
      <w:r>
        <w:rPr>
          <w:color w:val="231F20"/>
          <w:w w:val="105"/>
        </w:rPr>
        <w:t>fortalecer,</w:t>
      </w:r>
      <w:r>
        <w:rPr>
          <w:color w:val="231F20"/>
          <w:spacing w:val="-15"/>
          <w:w w:val="105"/>
        </w:rPr>
        <w:t> </w:t>
      </w:r>
      <w:r>
        <w:rPr>
          <w:color w:val="231F20"/>
          <w:w w:val="105"/>
        </w:rPr>
        <w:t>puesto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mencionaba</w:t>
      </w:r>
      <w:r>
        <w:rPr>
          <w:color w:val="231F20"/>
          <w:spacing w:val="-15"/>
          <w:w w:val="105"/>
        </w:rPr>
        <w:t> </w:t>
      </w:r>
      <w:r>
        <w:rPr>
          <w:color w:val="231F20"/>
          <w:w w:val="105"/>
        </w:rPr>
        <w:t>la</w:t>
      </w:r>
      <w:r>
        <w:rPr>
          <w:color w:val="231F20"/>
          <w:spacing w:val="-15"/>
          <w:w w:val="105"/>
        </w:rPr>
        <w:t> </w:t>
      </w:r>
      <w:r>
        <w:rPr>
          <w:color w:val="231F20"/>
          <w:w w:val="105"/>
        </w:rPr>
        <w:t>necesidad</w:t>
      </w:r>
      <w:r>
        <w:rPr>
          <w:color w:val="231F20"/>
          <w:spacing w:val="-15"/>
          <w:w w:val="105"/>
        </w:rPr>
        <w:t> </w:t>
      </w:r>
      <w:r>
        <w:rPr>
          <w:color w:val="231F20"/>
          <w:w w:val="105"/>
        </w:rPr>
        <w:t>de</w:t>
      </w:r>
      <w:r>
        <w:rPr>
          <w:color w:val="231F20"/>
          <w:spacing w:val="-15"/>
          <w:w w:val="105"/>
        </w:rPr>
        <w:t> </w:t>
      </w:r>
      <w:r>
        <w:rPr>
          <w:color w:val="231F20"/>
          <w:w w:val="105"/>
        </w:rPr>
        <w:t>hacer</w:t>
      </w:r>
      <w:r>
        <w:rPr>
          <w:color w:val="231F20"/>
          <w:spacing w:val="-15"/>
          <w:w w:val="105"/>
        </w:rPr>
        <w:t> </w:t>
      </w:r>
      <w:r>
        <w:rPr>
          <w:color w:val="231F20"/>
          <w:w w:val="105"/>
        </w:rPr>
        <w:t>un</w:t>
      </w:r>
      <w:r>
        <w:rPr>
          <w:color w:val="231F20"/>
          <w:spacing w:val="-15"/>
          <w:w w:val="105"/>
        </w:rPr>
        <w:t> </w:t>
      </w:r>
      <w:r>
        <w:rPr>
          <w:color w:val="231F20"/>
          <w:spacing w:val="-3"/>
          <w:w w:val="105"/>
        </w:rPr>
        <w:t>“gobierno</w:t>
      </w:r>
      <w:r>
        <w:rPr>
          <w:color w:val="231F20"/>
          <w:spacing w:val="-15"/>
          <w:w w:val="105"/>
        </w:rPr>
        <w:t> </w:t>
      </w:r>
      <w:r>
        <w:rPr>
          <w:color w:val="231F20"/>
          <w:w w:val="105"/>
        </w:rPr>
        <w:t>cercano a la gente, que toma decisiones con la sociedad”. </w:t>
      </w:r>
      <w:r>
        <w:rPr>
          <w:color w:val="231F20"/>
          <w:spacing w:val="-3"/>
          <w:w w:val="105"/>
        </w:rPr>
        <w:t>También </w:t>
      </w:r>
      <w:r>
        <w:rPr>
          <w:color w:val="231F20"/>
          <w:w w:val="105"/>
        </w:rPr>
        <w:t>es de destacar su declarado apego</w:t>
      </w:r>
      <w:r>
        <w:rPr>
          <w:color w:val="231F20"/>
          <w:spacing w:val="-7"/>
          <w:w w:val="105"/>
        </w:rPr>
        <w:t> </w:t>
      </w:r>
      <w:r>
        <w:rPr>
          <w:color w:val="231F20"/>
          <w:spacing w:val="2"/>
          <w:w w:val="105"/>
        </w:rPr>
        <w:t>al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derecho</w:t>
      </w:r>
      <w:r>
        <w:rPr>
          <w:color w:val="231F20"/>
          <w:spacing w:val="-7"/>
          <w:w w:val="105"/>
        </w:rPr>
        <w:t> </w:t>
      </w:r>
      <w:r>
        <w:rPr>
          <w:color w:val="231F20"/>
          <w:w w:val="105"/>
        </w:rPr>
        <w:t>y</w:t>
      </w:r>
      <w:r>
        <w:rPr>
          <w:color w:val="231F20"/>
          <w:spacing w:val="-7"/>
          <w:w w:val="105"/>
        </w:rPr>
        <w:t> </w:t>
      </w:r>
      <w:r>
        <w:rPr>
          <w:color w:val="231F20"/>
          <w:w w:val="105"/>
        </w:rPr>
        <w:t>su</w:t>
      </w:r>
      <w:r>
        <w:rPr>
          <w:color w:val="231F20"/>
          <w:spacing w:val="-7"/>
          <w:w w:val="105"/>
        </w:rPr>
        <w:t> </w:t>
      </w:r>
      <w:r>
        <w:rPr>
          <w:color w:val="231F20"/>
          <w:w w:val="105"/>
        </w:rPr>
        <w:t>obligación</w:t>
      </w:r>
      <w:r>
        <w:rPr>
          <w:color w:val="231F20"/>
          <w:spacing w:val="-7"/>
          <w:w w:val="105"/>
        </w:rPr>
        <w:t> </w:t>
      </w:r>
      <w:r>
        <w:rPr>
          <w:color w:val="231F20"/>
          <w:w w:val="105"/>
        </w:rPr>
        <w:t>de</w:t>
      </w:r>
      <w:r>
        <w:rPr>
          <w:color w:val="231F20"/>
          <w:spacing w:val="-7"/>
          <w:w w:val="105"/>
        </w:rPr>
        <w:t> </w:t>
      </w:r>
      <w:r>
        <w:rPr>
          <w:color w:val="231F20"/>
          <w:w w:val="105"/>
        </w:rPr>
        <w:t>hacer</w:t>
      </w:r>
      <w:r>
        <w:rPr>
          <w:color w:val="231F20"/>
          <w:spacing w:val="-7"/>
          <w:w w:val="105"/>
        </w:rPr>
        <w:t> </w:t>
      </w:r>
      <w:r>
        <w:rPr>
          <w:color w:val="231F20"/>
          <w:w w:val="105"/>
        </w:rPr>
        <w:t>cumplir</w:t>
      </w:r>
      <w:r>
        <w:rPr>
          <w:color w:val="231F20"/>
          <w:spacing w:val="-7"/>
          <w:w w:val="105"/>
        </w:rPr>
        <w:t> </w:t>
      </w:r>
      <w:r>
        <w:rPr>
          <w:color w:val="231F20"/>
          <w:w w:val="105"/>
        </w:rPr>
        <w:t>la</w:t>
      </w:r>
      <w:r>
        <w:rPr>
          <w:color w:val="231F20"/>
          <w:spacing w:val="-7"/>
          <w:w w:val="105"/>
        </w:rPr>
        <w:t> </w:t>
      </w:r>
      <w:r>
        <w:rPr>
          <w:color w:val="231F20"/>
          <w:spacing w:val="-4"/>
          <w:w w:val="105"/>
        </w:rPr>
        <w:t>ley.</w:t>
      </w:r>
      <w:r>
        <w:rPr>
          <w:color w:val="231F20"/>
          <w:spacing w:val="-7"/>
          <w:w w:val="105"/>
        </w:rPr>
        <w:t> </w:t>
      </w:r>
      <w:r>
        <w:rPr>
          <w:color w:val="231F20"/>
          <w:w w:val="105"/>
        </w:rPr>
        <w:t>Es</w:t>
      </w:r>
      <w:r>
        <w:rPr>
          <w:color w:val="231F20"/>
          <w:spacing w:val="-7"/>
          <w:w w:val="105"/>
        </w:rPr>
        <w:t> </w:t>
      </w:r>
      <w:r>
        <w:rPr>
          <w:color w:val="231F20"/>
          <w:w w:val="105"/>
        </w:rPr>
        <w:t>notable</w:t>
      </w:r>
      <w:r>
        <w:rPr>
          <w:color w:val="231F20"/>
          <w:spacing w:val="-7"/>
          <w:w w:val="105"/>
        </w:rPr>
        <w:t> </w:t>
      </w:r>
      <w:r>
        <w:rPr>
          <w:color w:val="231F20"/>
          <w:w w:val="105"/>
        </w:rPr>
        <w:t>también que entre sus valores se mencione la justicia social, término acuñado por el priísmo desde</w:t>
      </w:r>
      <w:r>
        <w:rPr>
          <w:color w:val="231F20"/>
          <w:spacing w:val="-17"/>
          <w:w w:val="105"/>
        </w:rPr>
        <w:t> </w:t>
      </w:r>
      <w:r>
        <w:rPr>
          <w:color w:val="231F20"/>
          <w:w w:val="105"/>
        </w:rPr>
        <w:t>hace</w:t>
      </w:r>
      <w:r>
        <w:rPr>
          <w:color w:val="231F20"/>
          <w:spacing w:val="-17"/>
          <w:w w:val="105"/>
        </w:rPr>
        <w:t> </w:t>
      </w:r>
      <w:r>
        <w:rPr>
          <w:color w:val="231F20"/>
          <w:w w:val="105"/>
        </w:rPr>
        <w:t>tiempo,</w:t>
      </w:r>
      <w:r>
        <w:rPr>
          <w:color w:val="231F20"/>
          <w:spacing w:val="-17"/>
          <w:w w:val="105"/>
        </w:rPr>
        <w:t> </w:t>
      </w:r>
      <w:r>
        <w:rPr>
          <w:color w:val="231F20"/>
          <w:spacing w:val="2"/>
          <w:w w:val="105"/>
        </w:rPr>
        <w:t>al</w:t>
      </w:r>
      <w:r>
        <w:rPr>
          <w:color w:val="231F20"/>
          <w:spacing w:val="-17"/>
          <w:w w:val="105"/>
        </w:rPr>
        <w:t> </w:t>
      </w:r>
      <w:r>
        <w:rPr>
          <w:color w:val="231F20"/>
          <w:w w:val="105"/>
        </w:rPr>
        <w:t>lado</w:t>
      </w:r>
      <w:r>
        <w:rPr>
          <w:color w:val="231F20"/>
          <w:spacing w:val="-17"/>
          <w:w w:val="105"/>
        </w:rPr>
        <w:t> </w:t>
      </w:r>
      <w:r>
        <w:rPr>
          <w:color w:val="231F20"/>
          <w:w w:val="105"/>
        </w:rPr>
        <w:t>del</w:t>
      </w:r>
      <w:r>
        <w:rPr>
          <w:color w:val="231F20"/>
          <w:spacing w:val="-17"/>
          <w:w w:val="105"/>
        </w:rPr>
        <w:t> </w:t>
      </w:r>
      <w:r>
        <w:rPr>
          <w:color w:val="231F20"/>
          <w:w w:val="105"/>
        </w:rPr>
        <w:t>concepto</w:t>
      </w:r>
      <w:r>
        <w:rPr>
          <w:color w:val="231F20"/>
          <w:spacing w:val="-17"/>
          <w:w w:val="105"/>
        </w:rPr>
        <w:t> </w:t>
      </w:r>
      <w:r>
        <w:rPr>
          <w:color w:val="231F20"/>
          <w:w w:val="105"/>
        </w:rPr>
        <w:t>de</w:t>
      </w:r>
      <w:r>
        <w:rPr>
          <w:color w:val="231F20"/>
          <w:spacing w:val="-17"/>
          <w:w w:val="105"/>
        </w:rPr>
        <w:t> </w:t>
      </w:r>
      <w:r>
        <w:rPr>
          <w:color w:val="231F20"/>
          <w:w w:val="105"/>
        </w:rPr>
        <w:t>bien</w:t>
      </w:r>
      <w:r>
        <w:rPr>
          <w:color w:val="231F20"/>
          <w:spacing w:val="-17"/>
          <w:w w:val="105"/>
        </w:rPr>
        <w:t> </w:t>
      </w:r>
      <w:r>
        <w:rPr>
          <w:color w:val="231F20"/>
          <w:w w:val="105"/>
        </w:rPr>
        <w:t>común,</w:t>
      </w:r>
      <w:r>
        <w:rPr>
          <w:color w:val="231F20"/>
          <w:spacing w:val="-17"/>
          <w:w w:val="105"/>
        </w:rPr>
        <w:t> </w:t>
      </w:r>
      <w:r>
        <w:rPr>
          <w:color w:val="231F20"/>
          <w:w w:val="105"/>
        </w:rPr>
        <w:t>de</w:t>
      </w:r>
      <w:r>
        <w:rPr>
          <w:color w:val="231F20"/>
          <w:spacing w:val="-17"/>
          <w:w w:val="105"/>
        </w:rPr>
        <w:t> </w:t>
      </w:r>
      <w:r>
        <w:rPr>
          <w:color w:val="231F20"/>
          <w:w w:val="105"/>
        </w:rPr>
        <w:t>inspiración</w:t>
      </w:r>
      <w:r>
        <w:rPr>
          <w:color w:val="231F20"/>
          <w:spacing w:val="-17"/>
          <w:w w:val="105"/>
        </w:rPr>
        <w:t> </w:t>
      </w:r>
      <w:r>
        <w:rPr>
          <w:color w:val="231F20"/>
          <w:w w:val="105"/>
        </w:rPr>
        <w:t>panista.</w:t>
      </w:r>
      <w:r>
        <w:rPr>
          <w:color w:val="231F20"/>
          <w:spacing w:val="-17"/>
          <w:w w:val="105"/>
        </w:rPr>
        <w:t> </w:t>
      </w:r>
      <w:r>
        <w:rPr>
          <w:color w:val="231F20"/>
          <w:w w:val="105"/>
        </w:rPr>
        <w:t>De</w:t>
      </w:r>
      <w:r>
        <w:rPr>
          <w:color w:val="231F20"/>
          <w:spacing w:val="-17"/>
          <w:w w:val="105"/>
        </w:rPr>
        <w:t> </w:t>
      </w:r>
      <w:r>
        <w:rPr>
          <w:color w:val="231F20"/>
          <w:w w:val="105"/>
        </w:rPr>
        <w:t>cual- quier</w:t>
      </w:r>
      <w:r>
        <w:rPr>
          <w:color w:val="231F20"/>
          <w:spacing w:val="-18"/>
          <w:w w:val="105"/>
        </w:rPr>
        <w:t> </w:t>
      </w:r>
      <w:r>
        <w:rPr>
          <w:color w:val="231F20"/>
          <w:w w:val="105"/>
        </w:rPr>
        <w:t>forma,</w:t>
      </w:r>
      <w:r>
        <w:rPr>
          <w:color w:val="231F20"/>
          <w:spacing w:val="-18"/>
          <w:w w:val="105"/>
        </w:rPr>
        <w:t> </w:t>
      </w:r>
      <w:r>
        <w:rPr>
          <w:color w:val="231F20"/>
          <w:w w:val="105"/>
        </w:rPr>
        <w:t>después</w:t>
      </w:r>
      <w:r>
        <w:rPr>
          <w:color w:val="231F20"/>
          <w:spacing w:val="-18"/>
          <w:w w:val="105"/>
        </w:rPr>
        <w:t> </w:t>
      </w:r>
      <w:r>
        <w:rPr>
          <w:color w:val="231F20"/>
          <w:w w:val="105"/>
        </w:rPr>
        <w:t>no</w:t>
      </w:r>
      <w:r>
        <w:rPr>
          <w:color w:val="231F20"/>
          <w:spacing w:val="-18"/>
          <w:w w:val="105"/>
        </w:rPr>
        <w:t> </w:t>
      </w:r>
      <w:r>
        <w:rPr>
          <w:color w:val="231F20"/>
          <w:w w:val="105"/>
        </w:rPr>
        <w:t>hubo</w:t>
      </w:r>
      <w:r>
        <w:rPr>
          <w:color w:val="231F20"/>
          <w:spacing w:val="-18"/>
          <w:w w:val="105"/>
        </w:rPr>
        <w:t> </w:t>
      </w:r>
      <w:r>
        <w:rPr>
          <w:color w:val="231F20"/>
          <w:w w:val="105"/>
        </w:rPr>
        <w:t>mayores</w:t>
      </w:r>
      <w:r>
        <w:rPr>
          <w:color w:val="231F20"/>
          <w:spacing w:val="-18"/>
          <w:w w:val="105"/>
        </w:rPr>
        <w:t> </w:t>
      </w:r>
      <w:r>
        <w:rPr>
          <w:color w:val="231F20"/>
          <w:w w:val="105"/>
        </w:rPr>
        <w:t>alusiones</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justicia</w:t>
      </w:r>
      <w:r>
        <w:rPr>
          <w:color w:val="231F20"/>
          <w:spacing w:val="-18"/>
          <w:w w:val="105"/>
        </w:rPr>
        <w:t> </w:t>
      </w:r>
      <w:r>
        <w:rPr>
          <w:color w:val="231F20"/>
          <w:w w:val="105"/>
        </w:rPr>
        <w:t>social.</w:t>
      </w:r>
    </w:p>
    <w:p>
      <w:pPr>
        <w:pStyle w:val="BodyText"/>
        <w:spacing w:before="1"/>
        <w:rPr>
          <w:sz w:val="26"/>
        </w:rPr>
      </w:pPr>
    </w:p>
    <w:p>
      <w:pPr>
        <w:pStyle w:val="BodyText"/>
        <w:spacing w:line="285" w:lineRule="auto"/>
        <w:ind w:left="110" w:right="108"/>
        <w:jc w:val="both"/>
      </w:pPr>
      <w:r>
        <w:rPr>
          <w:color w:val="231F20"/>
          <w:w w:val="105"/>
        </w:rPr>
        <w:t>Para el cumplimiento del plan, el gobierno municipal señalaba que se requería “for- talecer el capital humano” y “mejorar la competitividad de la administración </w:t>
      </w:r>
      <w:r>
        <w:rPr>
          <w:color w:val="231F20"/>
          <w:spacing w:val="-4"/>
          <w:w w:val="105"/>
        </w:rPr>
        <w:t>pública”. </w:t>
      </w:r>
      <w:r>
        <w:rPr>
          <w:color w:val="231F20"/>
          <w:w w:val="105"/>
        </w:rPr>
        <w:t>Ambos</w:t>
      </w:r>
      <w:r>
        <w:rPr>
          <w:color w:val="231F20"/>
          <w:spacing w:val="-17"/>
          <w:w w:val="105"/>
        </w:rPr>
        <w:t> </w:t>
      </w:r>
      <w:r>
        <w:rPr>
          <w:color w:val="231F20"/>
          <w:w w:val="105"/>
        </w:rPr>
        <w:t>conceptos</w:t>
      </w:r>
      <w:r>
        <w:rPr>
          <w:color w:val="231F20"/>
          <w:spacing w:val="-17"/>
          <w:w w:val="105"/>
        </w:rPr>
        <w:t> </w:t>
      </w:r>
      <w:r>
        <w:rPr>
          <w:color w:val="231F20"/>
          <w:w w:val="105"/>
        </w:rPr>
        <w:t>se</w:t>
      </w:r>
      <w:r>
        <w:rPr>
          <w:color w:val="231F20"/>
          <w:spacing w:val="-17"/>
          <w:w w:val="105"/>
        </w:rPr>
        <w:t> </w:t>
      </w:r>
      <w:r>
        <w:rPr>
          <w:color w:val="231F20"/>
          <w:w w:val="105"/>
        </w:rPr>
        <w:t>inscribieron</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lógica</w:t>
      </w:r>
      <w:r>
        <w:rPr>
          <w:color w:val="231F20"/>
          <w:spacing w:val="-17"/>
          <w:w w:val="105"/>
        </w:rPr>
        <w:t> </w:t>
      </w:r>
      <w:r>
        <w:rPr>
          <w:color w:val="231F20"/>
          <w:w w:val="105"/>
        </w:rPr>
        <w:t>administrativa</w:t>
      </w:r>
      <w:r>
        <w:rPr>
          <w:color w:val="231F20"/>
          <w:spacing w:val="-17"/>
          <w:w w:val="105"/>
        </w:rPr>
        <w:t> </w:t>
      </w:r>
      <w:r>
        <w:rPr>
          <w:color w:val="231F20"/>
          <w:w w:val="105"/>
        </w:rPr>
        <w:t>de</w:t>
      </w:r>
      <w:r>
        <w:rPr>
          <w:color w:val="231F20"/>
          <w:spacing w:val="-17"/>
          <w:w w:val="105"/>
        </w:rPr>
        <w:t> </w:t>
      </w:r>
      <w:r>
        <w:rPr>
          <w:color w:val="231F20"/>
          <w:w w:val="105"/>
        </w:rPr>
        <w:t>orientación</w:t>
      </w:r>
      <w:r>
        <w:rPr>
          <w:color w:val="231F20"/>
          <w:spacing w:val="-17"/>
          <w:w w:val="105"/>
        </w:rPr>
        <w:t> </w:t>
      </w:r>
      <w:r>
        <w:rPr>
          <w:color w:val="231F20"/>
          <w:w w:val="105"/>
        </w:rPr>
        <w:t>gerencial. Esto se nota también en las prioridades del documento, más </w:t>
      </w:r>
      <w:r>
        <w:rPr>
          <w:color w:val="231F20"/>
          <w:spacing w:val="2"/>
          <w:w w:val="105"/>
        </w:rPr>
        <w:t>allá </w:t>
      </w:r>
      <w:r>
        <w:rPr>
          <w:color w:val="231F20"/>
          <w:w w:val="105"/>
        </w:rPr>
        <w:t>de la seguridad: de- sarrollo humano </w:t>
      </w:r>
      <w:r>
        <w:rPr>
          <w:color w:val="231F20"/>
          <w:spacing w:val="-5"/>
          <w:w w:val="105"/>
        </w:rPr>
        <w:t>(en </w:t>
      </w:r>
      <w:r>
        <w:rPr>
          <w:color w:val="231F20"/>
          <w:w w:val="105"/>
        </w:rPr>
        <w:t>otras palabras, bienestar social), atención a las necesidades de la iniciativa</w:t>
      </w:r>
      <w:r>
        <w:rPr>
          <w:color w:val="231F20"/>
          <w:spacing w:val="-13"/>
          <w:w w:val="105"/>
        </w:rPr>
        <w:t> </w:t>
      </w:r>
      <w:r>
        <w:rPr>
          <w:color w:val="231F20"/>
          <w:w w:val="105"/>
        </w:rPr>
        <w:t>privada</w:t>
      </w:r>
      <w:r>
        <w:rPr>
          <w:color w:val="231F20"/>
          <w:spacing w:val="-13"/>
          <w:w w:val="105"/>
        </w:rPr>
        <w:t> </w:t>
      </w:r>
      <w:r>
        <w:rPr>
          <w:color w:val="231F20"/>
          <w:w w:val="105"/>
        </w:rPr>
        <w:t>y</w:t>
      </w:r>
      <w:r>
        <w:rPr>
          <w:color w:val="231F20"/>
          <w:spacing w:val="-13"/>
          <w:w w:val="105"/>
        </w:rPr>
        <w:t> </w:t>
      </w:r>
      <w:r>
        <w:rPr>
          <w:color w:val="231F20"/>
          <w:w w:val="105"/>
        </w:rPr>
        <w:t>obras</w:t>
      </w:r>
      <w:r>
        <w:rPr>
          <w:color w:val="231F20"/>
          <w:spacing w:val="-13"/>
          <w:w w:val="105"/>
        </w:rPr>
        <w:t> </w:t>
      </w:r>
      <w:r>
        <w:rPr>
          <w:color w:val="231F20"/>
          <w:w w:val="105"/>
        </w:rPr>
        <w:t>públicas</w:t>
      </w:r>
      <w:r>
        <w:rPr>
          <w:color w:val="231F20"/>
          <w:spacing w:val="-13"/>
          <w:w w:val="105"/>
        </w:rPr>
        <w:t> </w:t>
      </w:r>
      <w:r>
        <w:rPr>
          <w:color w:val="231F20"/>
          <w:w w:val="105"/>
        </w:rPr>
        <w:t>fueron</w:t>
      </w:r>
      <w:r>
        <w:rPr>
          <w:color w:val="231F20"/>
          <w:spacing w:val="-13"/>
          <w:w w:val="105"/>
        </w:rPr>
        <w:t> </w:t>
      </w:r>
      <w:r>
        <w:rPr>
          <w:color w:val="231F20"/>
          <w:w w:val="105"/>
        </w:rPr>
        <w:t>asuntos</w:t>
      </w:r>
      <w:r>
        <w:rPr>
          <w:color w:val="231F20"/>
          <w:spacing w:val="-13"/>
          <w:w w:val="105"/>
        </w:rPr>
        <w:t> </w:t>
      </w:r>
      <w:r>
        <w:rPr>
          <w:color w:val="231F20"/>
          <w:w w:val="105"/>
        </w:rPr>
        <w:t>de</w:t>
      </w:r>
      <w:r>
        <w:rPr>
          <w:color w:val="231F20"/>
          <w:spacing w:val="-13"/>
          <w:w w:val="105"/>
        </w:rPr>
        <w:t> </w:t>
      </w:r>
      <w:r>
        <w:rPr>
          <w:color w:val="231F20"/>
          <w:w w:val="105"/>
        </w:rPr>
        <w:t>peso</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gestión</w:t>
      </w:r>
      <w:r>
        <w:rPr>
          <w:color w:val="231F20"/>
          <w:spacing w:val="-13"/>
          <w:w w:val="105"/>
        </w:rPr>
        <w:t> </w:t>
      </w:r>
      <w:r>
        <w:rPr>
          <w:color w:val="231F20"/>
          <w:w w:val="105"/>
        </w:rPr>
        <w:t>en</w:t>
      </w:r>
      <w:r>
        <w:rPr>
          <w:color w:val="231F20"/>
          <w:spacing w:val="-13"/>
          <w:w w:val="105"/>
        </w:rPr>
        <w:t> </w:t>
      </w:r>
      <w:r>
        <w:rPr>
          <w:color w:val="231F20"/>
          <w:w w:val="105"/>
        </w:rPr>
        <w:t>Naucalpan desde</w:t>
      </w:r>
      <w:r>
        <w:rPr>
          <w:color w:val="231F20"/>
          <w:spacing w:val="-17"/>
          <w:w w:val="105"/>
        </w:rPr>
        <w:t> </w:t>
      </w:r>
      <w:r>
        <w:rPr>
          <w:color w:val="231F20"/>
          <w:w w:val="105"/>
        </w:rPr>
        <w:t>principios</w:t>
      </w:r>
      <w:r>
        <w:rPr>
          <w:color w:val="231F20"/>
          <w:spacing w:val="-17"/>
          <w:w w:val="105"/>
        </w:rPr>
        <w:t> </w:t>
      </w:r>
      <w:r>
        <w:rPr>
          <w:color w:val="231F20"/>
          <w:w w:val="105"/>
        </w:rPr>
        <w:t>del</w:t>
      </w:r>
      <w:r>
        <w:rPr>
          <w:color w:val="231F20"/>
          <w:spacing w:val="-17"/>
          <w:w w:val="105"/>
        </w:rPr>
        <w:t> </w:t>
      </w:r>
      <w:r>
        <w:rPr>
          <w:color w:val="231F20"/>
          <w:w w:val="105"/>
        </w:rPr>
        <w:t>trienio.</w:t>
      </w:r>
    </w:p>
    <w:p>
      <w:pPr>
        <w:pStyle w:val="BodyText"/>
        <w:spacing w:before="1"/>
        <w:rPr>
          <w:sz w:val="20"/>
        </w:rPr>
      </w:pPr>
    </w:p>
    <w:p>
      <w:pPr>
        <w:pStyle w:val="Heading4"/>
        <w:rPr>
          <w:i/>
        </w:rPr>
      </w:pPr>
      <w:r>
        <w:rPr>
          <w:i/>
          <w:color w:val="231F20"/>
          <w:w w:val="105"/>
        </w:rPr>
        <w:t>La formulación del plan</w:t>
      </w:r>
    </w:p>
    <w:p>
      <w:pPr>
        <w:pStyle w:val="BodyText"/>
        <w:spacing w:line="285" w:lineRule="auto" w:before="16"/>
        <w:ind w:left="110" w:right="106"/>
        <w:jc w:val="both"/>
      </w:pPr>
      <w:r>
        <w:rPr>
          <w:color w:val="231F20"/>
        </w:rPr>
        <w:t>El panismo tuvo presentes una serie de datos del municipio para formular su planeación. En primer lugar, como es obvio, la ampliación explosiva e incontrolada del suelo  urbano,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principalmente hacia el oeste del territorio municipal. Dicho crecimiento, además del incremento de demanda de servicios, también trajo consigo problemas ambientales y sociales, pues la mancha urbana ha crecido en tierras no urbanizables y sobre ejidos.</w:t>
      </w:r>
    </w:p>
    <w:p>
      <w:pPr>
        <w:pStyle w:val="BodyText"/>
        <w:spacing w:before="1"/>
        <w:rPr>
          <w:sz w:val="26"/>
        </w:rPr>
      </w:pPr>
    </w:p>
    <w:p>
      <w:pPr>
        <w:pStyle w:val="BodyText"/>
        <w:spacing w:line="285" w:lineRule="auto"/>
        <w:ind w:left="110" w:right="106"/>
        <w:jc w:val="both"/>
      </w:pPr>
      <w:r>
        <w:rPr>
          <w:color w:val="231F20"/>
          <w:w w:val="105"/>
        </w:rPr>
        <w:t>Otros problemas detectados fueron aquellos relacionados con la insuficiente infraes- tructura para la cultura, la recreación y el deporte. En educación se reconocía que las carencias</w:t>
      </w:r>
      <w:r>
        <w:rPr>
          <w:color w:val="231F20"/>
          <w:spacing w:val="-7"/>
          <w:w w:val="105"/>
        </w:rPr>
        <w:t> </w:t>
      </w:r>
      <w:r>
        <w:rPr>
          <w:color w:val="231F20"/>
          <w:w w:val="105"/>
        </w:rPr>
        <w:t>eran</w:t>
      </w:r>
      <w:r>
        <w:rPr>
          <w:color w:val="231F20"/>
          <w:spacing w:val="-7"/>
          <w:w w:val="105"/>
        </w:rPr>
        <w:t> </w:t>
      </w:r>
      <w:r>
        <w:rPr>
          <w:color w:val="231F20"/>
          <w:w w:val="105"/>
        </w:rPr>
        <w:t>grandes.</w:t>
      </w:r>
      <w:r>
        <w:rPr>
          <w:color w:val="231F20"/>
          <w:spacing w:val="-7"/>
          <w:w w:val="105"/>
        </w:rPr>
        <w:t> </w:t>
      </w:r>
      <w:r>
        <w:rPr>
          <w:color w:val="231F20"/>
          <w:w w:val="105"/>
        </w:rPr>
        <w:t>El</w:t>
      </w:r>
      <w:r>
        <w:rPr>
          <w:color w:val="231F20"/>
          <w:spacing w:val="-7"/>
          <w:w w:val="105"/>
        </w:rPr>
        <w:t> </w:t>
      </w:r>
      <w:r>
        <w:rPr>
          <w:color w:val="231F20"/>
          <w:w w:val="105"/>
        </w:rPr>
        <w:t>nuevo</w:t>
      </w:r>
      <w:r>
        <w:rPr>
          <w:color w:val="231F20"/>
          <w:spacing w:val="-7"/>
          <w:w w:val="105"/>
        </w:rPr>
        <w:t> </w:t>
      </w:r>
      <w:r>
        <w:rPr>
          <w:color w:val="231F20"/>
          <w:w w:val="105"/>
        </w:rPr>
        <w:t>gobierno</w:t>
      </w:r>
      <w:r>
        <w:rPr>
          <w:color w:val="231F20"/>
          <w:spacing w:val="-7"/>
          <w:w w:val="105"/>
        </w:rPr>
        <w:t> </w:t>
      </w:r>
      <w:r>
        <w:rPr>
          <w:color w:val="231F20"/>
          <w:w w:val="105"/>
        </w:rPr>
        <w:t>percibía</w:t>
      </w:r>
      <w:r>
        <w:rPr>
          <w:color w:val="231F20"/>
          <w:spacing w:val="-7"/>
          <w:w w:val="105"/>
        </w:rPr>
        <w:t> </w:t>
      </w:r>
      <w:r>
        <w:rPr>
          <w:color w:val="231F20"/>
          <w:w w:val="105"/>
        </w:rPr>
        <w:t>la</w:t>
      </w:r>
      <w:r>
        <w:rPr>
          <w:color w:val="231F20"/>
          <w:spacing w:val="-7"/>
          <w:w w:val="105"/>
        </w:rPr>
        <w:t> </w:t>
      </w:r>
      <w:r>
        <w:rPr>
          <w:color w:val="231F20"/>
          <w:w w:val="105"/>
        </w:rPr>
        <w:t>necesidad</w:t>
      </w:r>
      <w:r>
        <w:rPr>
          <w:color w:val="231F20"/>
          <w:spacing w:val="-7"/>
          <w:w w:val="105"/>
        </w:rPr>
        <w:t> </w:t>
      </w:r>
      <w:r>
        <w:rPr>
          <w:color w:val="231F20"/>
          <w:w w:val="105"/>
        </w:rPr>
        <w:t>de</w:t>
      </w:r>
      <w:r>
        <w:rPr>
          <w:color w:val="231F20"/>
          <w:spacing w:val="-7"/>
          <w:w w:val="105"/>
        </w:rPr>
        <w:t> </w:t>
      </w:r>
      <w:r>
        <w:rPr>
          <w:color w:val="231F20"/>
          <w:w w:val="105"/>
        </w:rPr>
        <w:t>dar</w:t>
      </w:r>
      <w:r>
        <w:rPr>
          <w:color w:val="231F20"/>
          <w:spacing w:val="-7"/>
          <w:w w:val="105"/>
        </w:rPr>
        <w:t> </w:t>
      </w:r>
      <w:r>
        <w:rPr>
          <w:color w:val="231F20"/>
          <w:w w:val="105"/>
        </w:rPr>
        <w:t>mantenimiento a las escuelas y dotarlas de nuevas tecnologías. </w:t>
      </w:r>
      <w:r>
        <w:rPr>
          <w:color w:val="231F20"/>
          <w:spacing w:val="-3"/>
          <w:w w:val="105"/>
        </w:rPr>
        <w:t>Un </w:t>
      </w:r>
      <w:r>
        <w:rPr>
          <w:color w:val="231F20"/>
          <w:w w:val="105"/>
        </w:rPr>
        <w:t>problema mayor era el de que los </w:t>
      </w:r>
      <w:r>
        <w:rPr>
          <w:color w:val="231F20"/>
          <w:spacing w:val="-3"/>
          <w:w w:val="105"/>
        </w:rPr>
        <w:t>821</w:t>
      </w:r>
      <w:r>
        <w:rPr>
          <w:color w:val="231F20"/>
          <w:spacing w:val="-12"/>
          <w:w w:val="105"/>
        </w:rPr>
        <w:t> </w:t>
      </w:r>
      <w:r>
        <w:rPr>
          <w:color w:val="231F20"/>
          <w:spacing w:val="2"/>
          <w:w w:val="105"/>
        </w:rPr>
        <w:t>mil</w:t>
      </w:r>
      <w:r>
        <w:rPr>
          <w:color w:val="231F20"/>
          <w:spacing w:val="-12"/>
          <w:w w:val="105"/>
        </w:rPr>
        <w:t> </w:t>
      </w:r>
      <w:r>
        <w:rPr>
          <w:color w:val="231F20"/>
          <w:spacing w:val="2"/>
          <w:w w:val="105"/>
        </w:rPr>
        <w:t>442</w:t>
      </w:r>
      <w:r>
        <w:rPr>
          <w:color w:val="231F20"/>
          <w:spacing w:val="-12"/>
          <w:w w:val="105"/>
        </w:rPr>
        <w:t> </w:t>
      </w:r>
      <w:r>
        <w:rPr>
          <w:color w:val="231F20"/>
          <w:w w:val="105"/>
        </w:rPr>
        <w:t>naucalpenses</w:t>
      </w:r>
      <w:r>
        <w:rPr>
          <w:color w:val="231F20"/>
          <w:spacing w:val="-12"/>
          <w:w w:val="105"/>
        </w:rPr>
        <w:t> </w:t>
      </w:r>
      <w:r>
        <w:rPr>
          <w:color w:val="231F20"/>
          <w:w w:val="105"/>
        </w:rPr>
        <w:t>solamente</w:t>
      </w:r>
      <w:r>
        <w:rPr>
          <w:color w:val="231F20"/>
          <w:spacing w:val="-12"/>
          <w:w w:val="105"/>
        </w:rPr>
        <w:t> </w:t>
      </w:r>
      <w:r>
        <w:rPr>
          <w:color w:val="231F20"/>
          <w:w w:val="105"/>
        </w:rPr>
        <w:t>contaban</w:t>
      </w:r>
      <w:r>
        <w:rPr>
          <w:color w:val="231F20"/>
          <w:spacing w:val="-12"/>
          <w:w w:val="105"/>
        </w:rPr>
        <w:t> </w:t>
      </w:r>
      <w:r>
        <w:rPr>
          <w:color w:val="231F20"/>
          <w:w w:val="105"/>
        </w:rPr>
        <w:t>con</w:t>
      </w:r>
      <w:r>
        <w:rPr>
          <w:color w:val="231F20"/>
          <w:spacing w:val="-12"/>
          <w:w w:val="105"/>
        </w:rPr>
        <w:t> </w:t>
      </w:r>
      <w:r>
        <w:rPr>
          <w:color w:val="231F20"/>
          <w:w w:val="105"/>
        </w:rPr>
        <w:t>28</w:t>
      </w:r>
      <w:r>
        <w:rPr>
          <w:color w:val="231F20"/>
          <w:spacing w:val="-12"/>
          <w:w w:val="105"/>
        </w:rPr>
        <w:t> </w:t>
      </w:r>
      <w:r>
        <w:rPr>
          <w:color w:val="231F20"/>
          <w:w w:val="105"/>
        </w:rPr>
        <w:t>bibliotecas</w:t>
      </w:r>
      <w:r>
        <w:rPr>
          <w:color w:val="231F20"/>
          <w:spacing w:val="-12"/>
          <w:w w:val="105"/>
        </w:rPr>
        <w:t> </w:t>
      </w:r>
      <w:r>
        <w:rPr>
          <w:color w:val="231F20"/>
          <w:w w:val="105"/>
        </w:rPr>
        <w:t>públicas.</w:t>
      </w:r>
      <w:r>
        <w:rPr>
          <w:color w:val="231F20"/>
          <w:spacing w:val="-12"/>
          <w:w w:val="105"/>
        </w:rPr>
        <w:t> </w:t>
      </w:r>
      <w:r>
        <w:rPr>
          <w:color w:val="231F20"/>
          <w:spacing w:val="-3"/>
          <w:w w:val="105"/>
        </w:rPr>
        <w:t>También</w:t>
      </w:r>
      <w:r>
        <w:rPr>
          <w:color w:val="231F20"/>
          <w:spacing w:val="-12"/>
          <w:w w:val="105"/>
        </w:rPr>
        <w:t> </w:t>
      </w:r>
      <w:r>
        <w:rPr>
          <w:color w:val="231F20"/>
          <w:w w:val="105"/>
        </w:rPr>
        <w:t>en este</w:t>
      </w:r>
      <w:r>
        <w:rPr>
          <w:color w:val="231F20"/>
          <w:spacing w:val="-18"/>
          <w:w w:val="105"/>
        </w:rPr>
        <w:t> </w:t>
      </w:r>
      <w:r>
        <w:rPr>
          <w:color w:val="231F20"/>
          <w:w w:val="105"/>
        </w:rPr>
        <w:t>caso,</w:t>
      </w:r>
      <w:r>
        <w:rPr>
          <w:color w:val="231F20"/>
          <w:spacing w:val="-18"/>
          <w:w w:val="105"/>
        </w:rPr>
        <w:t> </w:t>
      </w:r>
      <w:r>
        <w:rPr>
          <w:color w:val="231F20"/>
          <w:w w:val="105"/>
        </w:rPr>
        <w:t>los</w:t>
      </w:r>
      <w:r>
        <w:rPr>
          <w:color w:val="231F20"/>
          <w:spacing w:val="-18"/>
          <w:w w:val="105"/>
        </w:rPr>
        <w:t> </w:t>
      </w:r>
      <w:r>
        <w:rPr>
          <w:color w:val="231F20"/>
          <w:w w:val="105"/>
        </w:rPr>
        <w:t>gobiernos</w:t>
      </w:r>
      <w:r>
        <w:rPr>
          <w:color w:val="231F20"/>
          <w:spacing w:val="-18"/>
          <w:w w:val="105"/>
        </w:rPr>
        <w:t> </w:t>
      </w:r>
      <w:r>
        <w:rPr>
          <w:color w:val="231F20"/>
          <w:w w:val="105"/>
        </w:rPr>
        <w:t>del</w:t>
      </w:r>
      <w:r>
        <w:rPr>
          <w:color w:val="231F20"/>
          <w:spacing w:val="-18"/>
          <w:w w:val="105"/>
        </w:rPr>
        <w:t> </w:t>
      </w:r>
      <w:r>
        <w:rPr>
          <w:color w:val="231F20"/>
          <w:w w:val="105"/>
        </w:rPr>
        <w:t>sexenio</w:t>
      </w:r>
      <w:r>
        <w:rPr>
          <w:color w:val="231F20"/>
          <w:spacing w:val="-18"/>
          <w:w w:val="105"/>
        </w:rPr>
        <w:t> </w:t>
      </w:r>
      <w:r>
        <w:rPr>
          <w:color w:val="231F20"/>
          <w:spacing w:val="2"/>
          <w:w w:val="105"/>
        </w:rPr>
        <w:t>2000-2006</w:t>
      </w:r>
      <w:r>
        <w:rPr>
          <w:color w:val="231F20"/>
          <w:spacing w:val="-18"/>
          <w:w w:val="105"/>
        </w:rPr>
        <w:t> </w:t>
      </w:r>
      <w:r>
        <w:rPr>
          <w:color w:val="231F20"/>
          <w:w w:val="105"/>
        </w:rPr>
        <w:t>fueron</w:t>
      </w:r>
      <w:r>
        <w:rPr>
          <w:color w:val="231F20"/>
          <w:spacing w:val="-18"/>
          <w:w w:val="105"/>
        </w:rPr>
        <w:t> </w:t>
      </w:r>
      <w:r>
        <w:rPr>
          <w:color w:val="231F20"/>
          <w:w w:val="105"/>
        </w:rPr>
        <w:t>omisos</w:t>
      </w:r>
      <w:r>
        <w:rPr>
          <w:color w:val="231F20"/>
          <w:spacing w:val="-18"/>
          <w:w w:val="105"/>
        </w:rPr>
        <w:t> </w:t>
      </w:r>
      <w:r>
        <w:rPr>
          <w:color w:val="231F20"/>
          <w:w w:val="105"/>
        </w:rPr>
        <w:t>pues</w:t>
      </w:r>
      <w:r>
        <w:rPr>
          <w:color w:val="231F20"/>
          <w:spacing w:val="-18"/>
          <w:w w:val="105"/>
        </w:rPr>
        <w:t> </w:t>
      </w:r>
      <w:r>
        <w:rPr>
          <w:color w:val="231F20"/>
          <w:w w:val="105"/>
        </w:rPr>
        <w:t>no</w:t>
      </w:r>
      <w:r>
        <w:rPr>
          <w:color w:val="231F20"/>
          <w:spacing w:val="-18"/>
          <w:w w:val="105"/>
        </w:rPr>
        <w:t> </w:t>
      </w:r>
      <w:r>
        <w:rPr>
          <w:color w:val="231F20"/>
          <w:w w:val="105"/>
        </w:rPr>
        <w:t>incrementaron</w:t>
      </w:r>
      <w:r>
        <w:rPr>
          <w:color w:val="231F20"/>
          <w:spacing w:val="-18"/>
          <w:w w:val="105"/>
        </w:rPr>
        <w:t> </w:t>
      </w:r>
      <w:r>
        <w:rPr>
          <w:color w:val="231F20"/>
          <w:w w:val="105"/>
        </w:rPr>
        <w:t>el número de</w:t>
      </w:r>
      <w:r>
        <w:rPr>
          <w:color w:val="231F20"/>
          <w:spacing w:val="-35"/>
          <w:w w:val="105"/>
        </w:rPr>
        <w:t> </w:t>
      </w:r>
      <w:r>
        <w:rPr>
          <w:color w:val="231F20"/>
          <w:w w:val="105"/>
        </w:rPr>
        <w:t>bibliotecas.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3"/>
          <w:w w:val="105"/>
        </w:rPr>
        <w:t> </w:t>
      </w:r>
      <w:r>
        <w:rPr>
          <w:color w:val="231F20"/>
          <w:w w:val="105"/>
        </w:rPr>
        <w:t>cobertura</w:t>
      </w:r>
      <w:r>
        <w:rPr>
          <w:color w:val="231F20"/>
          <w:spacing w:val="-3"/>
          <w:w w:val="105"/>
        </w:rPr>
        <w:t> </w:t>
      </w:r>
      <w:r>
        <w:rPr>
          <w:color w:val="231F20"/>
          <w:w w:val="105"/>
        </w:rPr>
        <w:t>en</w:t>
      </w:r>
      <w:r>
        <w:rPr>
          <w:color w:val="231F20"/>
          <w:spacing w:val="-3"/>
          <w:w w:val="105"/>
        </w:rPr>
        <w:t> </w:t>
      </w:r>
      <w:r>
        <w:rPr>
          <w:color w:val="231F20"/>
          <w:w w:val="105"/>
        </w:rPr>
        <w:t>cuanto</w:t>
      </w:r>
      <w:r>
        <w:rPr>
          <w:color w:val="231F20"/>
          <w:spacing w:val="-3"/>
          <w:w w:val="105"/>
        </w:rPr>
        <w:t> </w:t>
      </w:r>
      <w:r>
        <w:rPr>
          <w:color w:val="231F20"/>
          <w:w w:val="105"/>
        </w:rPr>
        <w:t>a</w:t>
      </w:r>
      <w:r>
        <w:rPr>
          <w:color w:val="231F20"/>
          <w:spacing w:val="-3"/>
          <w:w w:val="105"/>
        </w:rPr>
        <w:t> </w:t>
      </w:r>
      <w:r>
        <w:rPr>
          <w:color w:val="231F20"/>
          <w:w w:val="105"/>
        </w:rPr>
        <w:t>salud</w:t>
      </w:r>
      <w:r>
        <w:rPr>
          <w:color w:val="231F20"/>
          <w:spacing w:val="-3"/>
          <w:w w:val="105"/>
        </w:rPr>
        <w:t> </w:t>
      </w:r>
      <w:r>
        <w:rPr>
          <w:color w:val="231F20"/>
          <w:w w:val="105"/>
        </w:rPr>
        <w:t>era</w:t>
      </w:r>
      <w:r>
        <w:rPr>
          <w:color w:val="231F20"/>
          <w:spacing w:val="-3"/>
          <w:w w:val="105"/>
        </w:rPr>
        <w:t> </w:t>
      </w:r>
      <w:r>
        <w:rPr>
          <w:color w:val="231F20"/>
          <w:w w:val="105"/>
        </w:rPr>
        <w:t>limitada</w:t>
      </w:r>
      <w:r>
        <w:rPr>
          <w:color w:val="231F20"/>
          <w:spacing w:val="-3"/>
          <w:w w:val="105"/>
        </w:rPr>
        <w:t> </w:t>
      </w:r>
      <w:r>
        <w:rPr>
          <w:color w:val="231F20"/>
          <w:w w:val="105"/>
        </w:rPr>
        <w:t>pues</w:t>
      </w:r>
      <w:r>
        <w:rPr>
          <w:color w:val="231F20"/>
          <w:spacing w:val="-3"/>
          <w:w w:val="105"/>
        </w:rPr>
        <w:t> </w:t>
      </w:r>
      <w:r>
        <w:rPr>
          <w:color w:val="231F20"/>
          <w:w w:val="105"/>
        </w:rPr>
        <w:t>el</w:t>
      </w:r>
      <w:r>
        <w:rPr>
          <w:color w:val="231F20"/>
          <w:spacing w:val="-3"/>
          <w:w w:val="105"/>
        </w:rPr>
        <w:t> </w:t>
      </w:r>
      <w:r>
        <w:rPr>
          <w:color w:val="231F20"/>
          <w:w w:val="105"/>
        </w:rPr>
        <w:t>43.5%</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población</w:t>
      </w:r>
      <w:r>
        <w:rPr>
          <w:color w:val="231F20"/>
          <w:spacing w:val="-3"/>
          <w:w w:val="105"/>
        </w:rPr>
        <w:t> </w:t>
      </w:r>
      <w:r>
        <w:rPr>
          <w:color w:val="231F20"/>
          <w:w w:val="105"/>
        </w:rPr>
        <w:t>no</w:t>
      </w:r>
      <w:r>
        <w:rPr>
          <w:color w:val="231F20"/>
          <w:spacing w:val="-3"/>
          <w:w w:val="105"/>
        </w:rPr>
        <w:t> </w:t>
      </w:r>
      <w:r>
        <w:rPr>
          <w:color w:val="231F20"/>
          <w:w w:val="105"/>
        </w:rPr>
        <w:t>tenía</w:t>
      </w:r>
      <w:r>
        <w:rPr>
          <w:color w:val="231F20"/>
          <w:spacing w:val="-3"/>
          <w:w w:val="105"/>
        </w:rPr>
        <w:t> </w:t>
      </w:r>
      <w:r>
        <w:rPr>
          <w:color w:val="231F20"/>
          <w:w w:val="105"/>
        </w:rPr>
        <w:t>ac- ceso</w:t>
      </w:r>
      <w:r>
        <w:rPr>
          <w:color w:val="231F20"/>
          <w:spacing w:val="-14"/>
          <w:w w:val="105"/>
        </w:rPr>
        <w:t> </w:t>
      </w:r>
      <w:r>
        <w:rPr>
          <w:color w:val="231F20"/>
          <w:spacing w:val="2"/>
          <w:w w:val="105"/>
        </w:rPr>
        <w:t>al</w:t>
      </w:r>
      <w:r>
        <w:rPr>
          <w:color w:val="231F20"/>
          <w:spacing w:val="-14"/>
          <w:w w:val="105"/>
        </w:rPr>
        <w:t> </w:t>
      </w:r>
      <w:r>
        <w:rPr>
          <w:color w:val="231F20"/>
          <w:w w:val="105"/>
        </w:rPr>
        <w:t>servicio</w:t>
      </w:r>
      <w:r>
        <w:rPr>
          <w:color w:val="231F20"/>
          <w:spacing w:val="-14"/>
          <w:w w:val="105"/>
        </w:rPr>
        <w:t> </w:t>
      </w:r>
      <w:r>
        <w:rPr>
          <w:color w:val="231F20"/>
          <w:w w:val="105"/>
        </w:rPr>
        <w:t>por</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alguna</w:t>
      </w:r>
      <w:r>
        <w:rPr>
          <w:color w:val="231F20"/>
          <w:spacing w:val="-14"/>
          <w:w w:val="105"/>
        </w:rPr>
        <w:t> </w:t>
      </w:r>
      <w:r>
        <w:rPr>
          <w:color w:val="231F20"/>
          <w:w w:val="105"/>
        </w:rPr>
        <w:t>institución,</w:t>
      </w:r>
      <w:r>
        <w:rPr>
          <w:color w:val="231F20"/>
          <w:spacing w:val="-14"/>
          <w:w w:val="105"/>
        </w:rPr>
        <w:t> </w:t>
      </w:r>
      <w:r>
        <w:rPr>
          <w:color w:val="231F20"/>
          <w:w w:val="105"/>
        </w:rPr>
        <w:t>fuese</w:t>
      </w:r>
      <w:r>
        <w:rPr>
          <w:color w:val="231F20"/>
          <w:spacing w:val="-14"/>
          <w:w w:val="105"/>
        </w:rPr>
        <w:t> </w:t>
      </w:r>
      <w:r>
        <w:rPr>
          <w:color w:val="231F20"/>
          <w:w w:val="105"/>
        </w:rPr>
        <w:t>pública</w:t>
      </w:r>
      <w:r>
        <w:rPr>
          <w:color w:val="231F20"/>
          <w:spacing w:val="-14"/>
          <w:w w:val="105"/>
        </w:rPr>
        <w:t> </w:t>
      </w:r>
      <w:r>
        <w:rPr>
          <w:color w:val="231F20"/>
          <w:w w:val="105"/>
        </w:rPr>
        <w:t>o</w:t>
      </w:r>
      <w:r>
        <w:rPr>
          <w:color w:val="231F20"/>
          <w:spacing w:val="-14"/>
          <w:w w:val="105"/>
        </w:rPr>
        <w:t> </w:t>
      </w:r>
      <w:r>
        <w:rPr>
          <w:color w:val="231F20"/>
          <w:w w:val="105"/>
        </w:rPr>
        <w:t>privada.</w:t>
      </w:r>
      <w:r>
        <w:rPr>
          <w:color w:val="231F20"/>
          <w:spacing w:val="-14"/>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aspecto también se denotaba el punto de </w:t>
      </w:r>
      <w:r>
        <w:rPr>
          <w:color w:val="231F20"/>
          <w:spacing w:val="2"/>
          <w:w w:val="105"/>
        </w:rPr>
        <w:t>vista </w:t>
      </w:r>
      <w:r>
        <w:rPr>
          <w:color w:val="231F20"/>
          <w:w w:val="105"/>
        </w:rPr>
        <w:t>particular del panismo, </w:t>
      </w:r>
      <w:r>
        <w:rPr>
          <w:color w:val="231F20"/>
          <w:spacing w:val="2"/>
          <w:w w:val="105"/>
        </w:rPr>
        <w:t>al </w:t>
      </w:r>
      <w:r>
        <w:rPr>
          <w:color w:val="231F20"/>
          <w:w w:val="105"/>
        </w:rPr>
        <w:t>tomar en cuenta los servicios</w:t>
      </w:r>
      <w:r>
        <w:rPr>
          <w:color w:val="231F20"/>
          <w:spacing w:val="-15"/>
          <w:w w:val="105"/>
        </w:rPr>
        <w:t> </w:t>
      </w:r>
      <w:r>
        <w:rPr>
          <w:color w:val="231F20"/>
          <w:w w:val="105"/>
        </w:rPr>
        <w:t>de</w:t>
      </w:r>
      <w:r>
        <w:rPr>
          <w:color w:val="231F20"/>
          <w:spacing w:val="-15"/>
          <w:w w:val="105"/>
        </w:rPr>
        <w:t> </w:t>
      </w:r>
      <w:r>
        <w:rPr>
          <w:color w:val="231F20"/>
          <w:w w:val="105"/>
        </w:rPr>
        <w:t>salud</w:t>
      </w:r>
      <w:r>
        <w:rPr>
          <w:color w:val="231F20"/>
          <w:spacing w:val="-15"/>
          <w:w w:val="105"/>
        </w:rPr>
        <w:t> </w:t>
      </w:r>
      <w:r>
        <w:rPr>
          <w:color w:val="231F20"/>
          <w:w w:val="105"/>
        </w:rPr>
        <w:t>de</w:t>
      </w:r>
      <w:r>
        <w:rPr>
          <w:color w:val="231F20"/>
          <w:spacing w:val="-15"/>
          <w:w w:val="105"/>
        </w:rPr>
        <w:t> </w:t>
      </w:r>
      <w:r>
        <w:rPr>
          <w:color w:val="231F20"/>
          <w:w w:val="105"/>
        </w:rPr>
        <w:t>instituciones</w:t>
      </w:r>
      <w:r>
        <w:rPr>
          <w:color w:val="231F20"/>
          <w:spacing w:val="-15"/>
          <w:w w:val="105"/>
        </w:rPr>
        <w:t> </w:t>
      </w:r>
      <w:r>
        <w:rPr>
          <w:color w:val="231F20"/>
          <w:w w:val="105"/>
        </w:rPr>
        <w:t>privadas</w:t>
      </w:r>
      <w:r>
        <w:rPr>
          <w:color w:val="231F20"/>
          <w:spacing w:val="-15"/>
          <w:w w:val="105"/>
        </w:rPr>
        <w:t> </w:t>
      </w:r>
      <w:r>
        <w:rPr>
          <w:color w:val="231F20"/>
          <w:spacing w:val="-3"/>
          <w:w w:val="105"/>
        </w:rPr>
        <w:t>(algo</w:t>
      </w:r>
      <w:r>
        <w:rPr>
          <w:color w:val="231F20"/>
          <w:spacing w:val="-15"/>
          <w:w w:val="105"/>
        </w:rPr>
        <w:t> </w:t>
      </w:r>
      <w:r>
        <w:rPr>
          <w:color w:val="231F20"/>
          <w:w w:val="105"/>
        </w:rPr>
        <w:t>que,</w:t>
      </w:r>
      <w:r>
        <w:rPr>
          <w:color w:val="231F20"/>
          <w:spacing w:val="-15"/>
          <w:w w:val="105"/>
        </w:rPr>
        <w:t> </w:t>
      </w:r>
      <w:r>
        <w:rPr>
          <w:color w:val="231F20"/>
          <w:w w:val="105"/>
        </w:rPr>
        <w:t>desde</w:t>
      </w:r>
      <w:r>
        <w:rPr>
          <w:color w:val="231F20"/>
          <w:spacing w:val="-15"/>
          <w:w w:val="105"/>
        </w:rPr>
        <w:t> </w:t>
      </w:r>
      <w:r>
        <w:rPr>
          <w:color w:val="231F20"/>
          <w:w w:val="105"/>
        </w:rPr>
        <w:t>mi</w:t>
      </w:r>
      <w:r>
        <w:rPr>
          <w:color w:val="231F20"/>
          <w:spacing w:val="-15"/>
          <w:w w:val="105"/>
        </w:rPr>
        <w:t> </w:t>
      </w:r>
      <w:r>
        <w:rPr>
          <w:color w:val="231F20"/>
          <w:w w:val="105"/>
        </w:rPr>
        <w:t>punto</w:t>
      </w:r>
      <w:r>
        <w:rPr>
          <w:color w:val="231F20"/>
          <w:spacing w:val="-15"/>
          <w:w w:val="105"/>
        </w:rPr>
        <w:t> </w:t>
      </w:r>
      <w:r>
        <w:rPr>
          <w:color w:val="231F20"/>
          <w:w w:val="105"/>
        </w:rPr>
        <w:t>de</w:t>
      </w:r>
      <w:r>
        <w:rPr>
          <w:color w:val="231F20"/>
          <w:spacing w:val="-15"/>
          <w:w w:val="105"/>
        </w:rPr>
        <w:t> </w:t>
      </w:r>
      <w:r>
        <w:rPr>
          <w:color w:val="231F20"/>
          <w:w w:val="105"/>
        </w:rPr>
        <w:t>vista,</w:t>
      </w:r>
      <w:r>
        <w:rPr>
          <w:color w:val="231F20"/>
          <w:spacing w:val="-15"/>
          <w:w w:val="105"/>
        </w:rPr>
        <w:t> </w:t>
      </w:r>
      <w:r>
        <w:rPr>
          <w:color w:val="231F20"/>
          <w:w w:val="105"/>
        </w:rPr>
        <w:t>en</w:t>
      </w:r>
      <w:r>
        <w:rPr>
          <w:color w:val="231F20"/>
          <w:spacing w:val="-15"/>
          <w:w w:val="105"/>
        </w:rPr>
        <w:t> </w:t>
      </w:r>
      <w:r>
        <w:rPr>
          <w:color w:val="231F20"/>
          <w:w w:val="105"/>
        </w:rPr>
        <w:t>modo alguno</w:t>
      </w:r>
      <w:r>
        <w:rPr>
          <w:color w:val="231F20"/>
          <w:spacing w:val="-6"/>
          <w:w w:val="105"/>
        </w:rPr>
        <w:t> </w:t>
      </w:r>
      <w:r>
        <w:rPr>
          <w:color w:val="231F20"/>
          <w:w w:val="105"/>
        </w:rPr>
        <w:t>puede</w:t>
      </w:r>
      <w:r>
        <w:rPr>
          <w:color w:val="231F20"/>
          <w:spacing w:val="-6"/>
          <w:w w:val="105"/>
        </w:rPr>
        <w:t> </w:t>
      </w:r>
      <w:r>
        <w:rPr>
          <w:color w:val="231F20"/>
          <w:w w:val="105"/>
        </w:rPr>
        <w:t>considerarse</w:t>
      </w:r>
      <w:r>
        <w:rPr>
          <w:color w:val="231F20"/>
          <w:spacing w:val="-6"/>
          <w:w w:val="105"/>
        </w:rPr>
        <w:t> </w:t>
      </w:r>
      <w:r>
        <w:rPr>
          <w:color w:val="231F20"/>
          <w:w w:val="105"/>
        </w:rPr>
        <w:t>como</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atribuciones</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gobierno,</w:t>
      </w:r>
      <w:r>
        <w:rPr>
          <w:color w:val="231F20"/>
          <w:spacing w:val="-6"/>
          <w:w w:val="105"/>
        </w:rPr>
        <w:t> </w:t>
      </w:r>
      <w:r>
        <w:rPr>
          <w:color w:val="231F20"/>
          <w:w w:val="105"/>
        </w:rPr>
        <w:t>sea</w:t>
      </w:r>
      <w:r>
        <w:rPr>
          <w:color w:val="231F20"/>
          <w:spacing w:val="-6"/>
          <w:w w:val="105"/>
        </w:rPr>
        <w:t> </w:t>
      </w:r>
      <w:r>
        <w:rPr>
          <w:color w:val="231F20"/>
          <w:w w:val="105"/>
        </w:rPr>
        <w:t>cual</w:t>
      </w:r>
      <w:r>
        <w:rPr>
          <w:color w:val="231F20"/>
          <w:spacing w:val="-6"/>
          <w:w w:val="105"/>
        </w:rPr>
        <w:t> </w:t>
      </w:r>
      <w:r>
        <w:rPr>
          <w:color w:val="231F20"/>
          <w:w w:val="105"/>
        </w:rPr>
        <w:t>sea </w:t>
      </w:r>
      <w:r>
        <w:rPr>
          <w:color w:val="231F20"/>
        </w:rPr>
        <w:t>su orientación</w:t>
      </w:r>
      <w:r>
        <w:rPr>
          <w:color w:val="231F20"/>
          <w:spacing w:val="32"/>
        </w:rPr>
        <w:t> </w:t>
      </w:r>
      <w:r>
        <w:rPr>
          <w:color w:val="231F20"/>
        </w:rPr>
        <w:t>ideológica).</w:t>
      </w:r>
    </w:p>
    <w:p>
      <w:pPr>
        <w:pStyle w:val="BodyText"/>
        <w:spacing w:before="1"/>
        <w:rPr>
          <w:sz w:val="26"/>
        </w:rPr>
      </w:pPr>
    </w:p>
    <w:p>
      <w:pPr>
        <w:pStyle w:val="BodyText"/>
        <w:spacing w:line="285" w:lineRule="auto"/>
        <w:ind w:left="110" w:right="108"/>
        <w:jc w:val="both"/>
      </w:pP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ámbito</w:t>
      </w:r>
      <w:r>
        <w:rPr>
          <w:color w:val="231F20"/>
          <w:spacing w:val="-20"/>
          <w:w w:val="105"/>
        </w:rPr>
        <w:t> </w:t>
      </w:r>
      <w:r>
        <w:rPr>
          <w:color w:val="231F20"/>
          <w:w w:val="105"/>
        </w:rPr>
        <w:t>propiamente</w:t>
      </w:r>
      <w:r>
        <w:rPr>
          <w:color w:val="231F20"/>
          <w:spacing w:val="-20"/>
          <w:w w:val="105"/>
        </w:rPr>
        <w:t> </w:t>
      </w:r>
      <w:r>
        <w:rPr>
          <w:color w:val="231F20"/>
          <w:w w:val="105"/>
        </w:rPr>
        <w:t>económico,</w:t>
      </w:r>
      <w:r>
        <w:rPr>
          <w:color w:val="231F20"/>
          <w:spacing w:val="-20"/>
          <w:w w:val="105"/>
        </w:rPr>
        <w:t> </w:t>
      </w:r>
      <w:r>
        <w:rPr>
          <w:color w:val="231F20"/>
          <w:w w:val="105"/>
        </w:rPr>
        <w:t>el</w:t>
      </w:r>
      <w:r>
        <w:rPr>
          <w:color w:val="231F20"/>
          <w:spacing w:val="-20"/>
          <w:w w:val="105"/>
        </w:rPr>
        <w:t> </w:t>
      </w:r>
      <w:r>
        <w:rPr>
          <w:color w:val="231F20"/>
          <w:w w:val="105"/>
        </w:rPr>
        <w:t>plan</w:t>
      </w:r>
      <w:r>
        <w:rPr>
          <w:color w:val="231F20"/>
          <w:spacing w:val="-20"/>
          <w:w w:val="105"/>
        </w:rPr>
        <w:t> </w:t>
      </w:r>
      <w:r>
        <w:rPr>
          <w:color w:val="231F20"/>
          <w:w w:val="105"/>
        </w:rPr>
        <w:t>de</w:t>
      </w:r>
      <w:r>
        <w:rPr>
          <w:color w:val="231F20"/>
          <w:spacing w:val="-20"/>
          <w:w w:val="105"/>
        </w:rPr>
        <w:t> </w:t>
      </w:r>
      <w:r>
        <w:rPr>
          <w:color w:val="231F20"/>
          <w:w w:val="105"/>
        </w:rPr>
        <w:t>gobierno</w:t>
      </w:r>
      <w:r>
        <w:rPr>
          <w:color w:val="231F20"/>
          <w:spacing w:val="-20"/>
          <w:w w:val="105"/>
        </w:rPr>
        <w:t> </w:t>
      </w:r>
      <w:r>
        <w:rPr>
          <w:color w:val="231F20"/>
          <w:w w:val="105"/>
        </w:rPr>
        <w:t>destacaba</w:t>
      </w:r>
      <w:r>
        <w:rPr>
          <w:color w:val="231F20"/>
          <w:spacing w:val="-20"/>
          <w:w w:val="105"/>
        </w:rPr>
        <w:t> </w:t>
      </w:r>
      <w:r>
        <w:rPr>
          <w:color w:val="231F20"/>
          <w:w w:val="105"/>
        </w:rPr>
        <w:t>la</w:t>
      </w:r>
      <w:r>
        <w:rPr>
          <w:color w:val="231F20"/>
          <w:spacing w:val="-20"/>
          <w:w w:val="105"/>
        </w:rPr>
        <w:t> </w:t>
      </w:r>
      <w:r>
        <w:rPr>
          <w:color w:val="231F20"/>
          <w:w w:val="105"/>
        </w:rPr>
        <w:t>actividad</w:t>
      </w:r>
      <w:r>
        <w:rPr>
          <w:color w:val="231F20"/>
          <w:spacing w:val="-20"/>
          <w:w w:val="105"/>
        </w:rPr>
        <w:t> </w:t>
      </w:r>
      <w:r>
        <w:rPr>
          <w:color w:val="231F20"/>
          <w:spacing w:val="-2"/>
          <w:w w:val="105"/>
        </w:rPr>
        <w:t>empre- </w:t>
      </w:r>
      <w:r>
        <w:rPr>
          <w:color w:val="231F20"/>
          <w:w w:val="105"/>
        </w:rPr>
        <w:t>sarial. El número de empresas </w:t>
      </w:r>
      <w:r>
        <w:rPr>
          <w:color w:val="231F20"/>
          <w:spacing w:val="-3"/>
          <w:w w:val="105"/>
        </w:rPr>
        <w:t>(22 </w:t>
      </w:r>
      <w:r>
        <w:rPr>
          <w:color w:val="231F20"/>
          <w:spacing w:val="2"/>
          <w:w w:val="105"/>
        </w:rPr>
        <w:t>mil </w:t>
      </w:r>
      <w:r>
        <w:rPr>
          <w:color w:val="231F20"/>
          <w:spacing w:val="-4"/>
          <w:w w:val="105"/>
        </w:rPr>
        <w:t>21 </w:t>
      </w:r>
      <w:r>
        <w:rPr>
          <w:color w:val="231F20"/>
          <w:w w:val="105"/>
        </w:rPr>
        <w:t>en total) ubicadas en el municipio, señalaba el</w:t>
      </w:r>
      <w:r>
        <w:rPr>
          <w:color w:val="231F20"/>
          <w:spacing w:val="-13"/>
          <w:w w:val="105"/>
        </w:rPr>
        <w:t> </w:t>
      </w:r>
      <w:r>
        <w:rPr>
          <w:color w:val="231F20"/>
          <w:w w:val="105"/>
        </w:rPr>
        <w:t>plan,</w:t>
      </w:r>
      <w:r>
        <w:rPr>
          <w:color w:val="231F20"/>
          <w:spacing w:val="-13"/>
          <w:w w:val="105"/>
        </w:rPr>
        <w:t> </w:t>
      </w:r>
      <w:r>
        <w:rPr>
          <w:color w:val="231F20"/>
          <w:w w:val="105"/>
        </w:rPr>
        <w:t>constituyen</w:t>
      </w:r>
      <w:r>
        <w:rPr>
          <w:color w:val="231F20"/>
          <w:spacing w:val="-13"/>
          <w:w w:val="105"/>
        </w:rPr>
        <w:t> </w:t>
      </w:r>
      <w:r>
        <w:rPr>
          <w:color w:val="231F20"/>
          <w:w w:val="105"/>
        </w:rPr>
        <w:t>el</w:t>
      </w:r>
      <w:r>
        <w:rPr>
          <w:color w:val="231F20"/>
          <w:spacing w:val="-13"/>
          <w:w w:val="105"/>
        </w:rPr>
        <w:t> </w:t>
      </w:r>
      <w:r>
        <w:rPr>
          <w:color w:val="231F20"/>
          <w:w w:val="105"/>
        </w:rPr>
        <w:t>6</w:t>
      </w:r>
      <w:r>
        <w:rPr>
          <w:color w:val="231F20"/>
          <w:spacing w:val="-13"/>
          <w:w w:val="105"/>
        </w:rPr>
        <w:t> </w:t>
      </w:r>
      <w:r>
        <w:rPr>
          <w:color w:val="231F20"/>
          <w:w w:val="105"/>
        </w:rPr>
        <w:t>por</w:t>
      </w:r>
      <w:r>
        <w:rPr>
          <w:color w:val="231F20"/>
          <w:spacing w:val="-13"/>
          <w:w w:val="105"/>
        </w:rPr>
        <w:t> </w:t>
      </w:r>
      <w:r>
        <w:rPr>
          <w:color w:val="231F20"/>
          <w:w w:val="105"/>
        </w:rPr>
        <w:t>ciento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entidad</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0.73%</w:t>
      </w:r>
      <w:r>
        <w:rPr>
          <w:color w:val="231F20"/>
          <w:spacing w:val="-13"/>
          <w:w w:val="105"/>
        </w:rPr>
        <w:t> </w:t>
      </w:r>
      <w:r>
        <w:rPr>
          <w:color w:val="231F20"/>
          <w:w w:val="105"/>
        </w:rPr>
        <w:t>del</w:t>
      </w:r>
      <w:r>
        <w:rPr>
          <w:color w:val="231F20"/>
          <w:spacing w:val="-13"/>
          <w:w w:val="105"/>
        </w:rPr>
        <w:t> </w:t>
      </w:r>
      <w:r>
        <w:rPr>
          <w:color w:val="231F20"/>
          <w:w w:val="105"/>
        </w:rPr>
        <w:t>país.</w:t>
      </w:r>
      <w:r>
        <w:rPr>
          <w:color w:val="231F20"/>
          <w:spacing w:val="-13"/>
          <w:w w:val="105"/>
        </w:rPr>
        <w:t> </w:t>
      </w:r>
      <w:r>
        <w:rPr>
          <w:color w:val="231F20"/>
          <w:w w:val="105"/>
        </w:rPr>
        <w:t>En</w:t>
      </w:r>
      <w:r>
        <w:rPr>
          <w:color w:val="231F20"/>
          <w:spacing w:val="-13"/>
          <w:w w:val="105"/>
        </w:rPr>
        <w:t> </w:t>
      </w:r>
      <w:r>
        <w:rPr>
          <w:color w:val="231F20"/>
          <w:w w:val="105"/>
        </w:rPr>
        <w:t>ellas</w:t>
      </w:r>
      <w:r>
        <w:rPr>
          <w:color w:val="231F20"/>
          <w:spacing w:val="-13"/>
          <w:w w:val="105"/>
        </w:rPr>
        <w:t> </w:t>
      </w:r>
      <w:r>
        <w:rPr>
          <w:color w:val="231F20"/>
          <w:w w:val="105"/>
        </w:rPr>
        <w:t>trabajaban </w:t>
      </w:r>
      <w:r>
        <w:rPr>
          <w:color w:val="231F20"/>
          <w:spacing w:val="-4"/>
          <w:w w:val="105"/>
        </w:rPr>
        <w:t>183</w:t>
      </w:r>
      <w:r>
        <w:rPr>
          <w:color w:val="231F20"/>
          <w:spacing w:val="-23"/>
          <w:w w:val="105"/>
        </w:rPr>
        <w:t> </w:t>
      </w:r>
      <w:r>
        <w:rPr>
          <w:color w:val="231F20"/>
          <w:spacing w:val="2"/>
          <w:w w:val="105"/>
        </w:rPr>
        <w:t>mil</w:t>
      </w:r>
      <w:r>
        <w:rPr>
          <w:color w:val="231F20"/>
          <w:spacing w:val="-23"/>
          <w:w w:val="105"/>
        </w:rPr>
        <w:t> </w:t>
      </w:r>
      <w:r>
        <w:rPr>
          <w:color w:val="231F20"/>
          <w:spacing w:val="-3"/>
          <w:w w:val="105"/>
        </w:rPr>
        <w:t>160</w:t>
      </w:r>
      <w:r>
        <w:rPr>
          <w:color w:val="231F20"/>
          <w:spacing w:val="-23"/>
          <w:w w:val="105"/>
        </w:rPr>
        <w:t> </w:t>
      </w:r>
      <w:r>
        <w:rPr>
          <w:color w:val="231F20"/>
          <w:w w:val="105"/>
        </w:rPr>
        <w:t>trabajadores,</w:t>
      </w:r>
      <w:r>
        <w:rPr>
          <w:color w:val="231F20"/>
          <w:spacing w:val="-23"/>
          <w:w w:val="105"/>
        </w:rPr>
        <w:t> </w:t>
      </w:r>
      <w:r>
        <w:rPr>
          <w:color w:val="231F20"/>
          <w:w w:val="105"/>
        </w:rPr>
        <w:t>lo</w:t>
      </w:r>
      <w:r>
        <w:rPr>
          <w:color w:val="231F20"/>
          <w:spacing w:val="-23"/>
          <w:w w:val="105"/>
        </w:rPr>
        <w:t> </w:t>
      </w:r>
      <w:r>
        <w:rPr>
          <w:color w:val="231F20"/>
          <w:w w:val="105"/>
        </w:rPr>
        <w:t>que</w:t>
      </w:r>
      <w:r>
        <w:rPr>
          <w:color w:val="231F20"/>
          <w:spacing w:val="-23"/>
          <w:w w:val="105"/>
        </w:rPr>
        <w:t> </w:t>
      </w:r>
      <w:r>
        <w:rPr>
          <w:color w:val="231F20"/>
          <w:w w:val="105"/>
        </w:rPr>
        <w:t>representaba</w:t>
      </w:r>
      <w:r>
        <w:rPr>
          <w:color w:val="231F20"/>
          <w:spacing w:val="-23"/>
          <w:w w:val="105"/>
        </w:rPr>
        <w:t> </w:t>
      </w:r>
      <w:r>
        <w:rPr>
          <w:color w:val="231F20"/>
          <w:w w:val="105"/>
        </w:rPr>
        <w:t>a</w:t>
      </w:r>
      <w:r>
        <w:rPr>
          <w:color w:val="231F20"/>
          <w:spacing w:val="-23"/>
          <w:w w:val="105"/>
        </w:rPr>
        <w:t> </w:t>
      </w:r>
      <w:r>
        <w:rPr>
          <w:color w:val="231F20"/>
          <w:w w:val="105"/>
        </w:rPr>
        <w:t>poco</w:t>
      </w:r>
      <w:r>
        <w:rPr>
          <w:color w:val="231F20"/>
          <w:spacing w:val="-23"/>
          <w:w w:val="105"/>
        </w:rPr>
        <w:t> </w:t>
      </w:r>
      <w:r>
        <w:rPr>
          <w:color w:val="231F20"/>
          <w:w w:val="105"/>
        </w:rPr>
        <w:t>más</w:t>
      </w:r>
      <w:r>
        <w:rPr>
          <w:color w:val="231F20"/>
          <w:spacing w:val="-23"/>
          <w:w w:val="105"/>
        </w:rPr>
        <w:t> </w:t>
      </w:r>
      <w:r>
        <w:rPr>
          <w:color w:val="231F20"/>
          <w:w w:val="105"/>
        </w:rPr>
        <w:t>del</w:t>
      </w:r>
      <w:r>
        <w:rPr>
          <w:color w:val="231F20"/>
          <w:spacing w:val="-23"/>
          <w:w w:val="105"/>
        </w:rPr>
        <w:t> </w:t>
      </w:r>
      <w:r>
        <w:rPr>
          <w:color w:val="231F20"/>
          <w:w w:val="105"/>
        </w:rPr>
        <w:t>12%</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trabajadores</w:t>
      </w:r>
      <w:r>
        <w:rPr>
          <w:color w:val="231F20"/>
          <w:spacing w:val="-23"/>
          <w:w w:val="105"/>
        </w:rPr>
        <w:t> </w:t>
      </w:r>
      <w:r>
        <w:rPr>
          <w:color w:val="231F20"/>
          <w:w w:val="105"/>
        </w:rPr>
        <w:t>del estado</w:t>
      </w:r>
      <w:r>
        <w:rPr>
          <w:color w:val="231F20"/>
          <w:spacing w:val="-20"/>
          <w:w w:val="105"/>
        </w:rPr>
        <w:t> </w:t>
      </w:r>
      <w:r>
        <w:rPr>
          <w:color w:val="231F20"/>
          <w:w w:val="105"/>
        </w:rPr>
        <w:t>y</w:t>
      </w:r>
      <w:r>
        <w:rPr>
          <w:color w:val="231F20"/>
          <w:spacing w:val="-20"/>
          <w:w w:val="105"/>
        </w:rPr>
        <w:t> </w:t>
      </w:r>
      <w:r>
        <w:rPr>
          <w:color w:val="231F20"/>
          <w:spacing w:val="2"/>
          <w:w w:val="105"/>
        </w:rPr>
        <w:t>al</w:t>
      </w:r>
      <w:r>
        <w:rPr>
          <w:color w:val="231F20"/>
          <w:spacing w:val="-20"/>
          <w:w w:val="105"/>
        </w:rPr>
        <w:t> </w:t>
      </w:r>
      <w:r>
        <w:rPr>
          <w:color w:val="231F20"/>
          <w:spacing w:val="-7"/>
          <w:w w:val="105"/>
        </w:rPr>
        <w:t>1.14</w:t>
      </w:r>
      <w:r>
        <w:rPr>
          <w:color w:val="231F20"/>
          <w:spacing w:val="-20"/>
          <w:w w:val="105"/>
        </w:rPr>
        <w:t> </w:t>
      </w:r>
      <w:r>
        <w:rPr>
          <w:color w:val="231F20"/>
          <w:w w:val="105"/>
        </w:rPr>
        <w:t>del</w:t>
      </w:r>
      <w:r>
        <w:rPr>
          <w:color w:val="231F20"/>
          <w:spacing w:val="-20"/>
          <w:w w:val="105"/>
        </w:rPr>
        <w:t> </w:t>
      </w:r>
      <w:r>
        <w:rPr>
          <w:color w:val="231F20"/>
          <w:w w:val="105"/>
        </w:rPr>
        <w:t>país.</w:t>
      </w:r>
    </w:p>
    <w:p>
      <w:pPr>
        <w:pStyle w:val="BodyText"/>
        <w:spacing w:before="1"/>
        <w:rPr>
          <w:sz w:val="26"/>
        </w:rPr>
      </w:pPr>
    </w:p>
    <w:p>
      <w:pPr>
        <w:pStyle w:val="BodyText"/>
        <w:spacing w:line="285" w:lineRule="auto"/>
        <w:ind w:left="110" w:right="108"/>
        <w:jc w:val="both"/>
      </w:pPr>
      <w:r>
        <w:rPr>
          <w:color w:val="231F20"/>
          <w:spacing w:val="-3"/>
          <w:w w:val="105"/>
        </w:rPr>
        <w:t>Un</w:t>
      </w:r>
      <w:r>
        <w:rPr>
          <w:color w:val="231F20"/>
          <w:spacing w:val="-8"/>
          <w:w w:val="105"/>
        </w:rPr>
        <w:t> </w:t>
      </w:r>
      <w:r>
        <w:rPr>
          <w:color w:val="231F20"/>
          <w:w w:val="105"/>
        </w:rPr>
        <w:t>dato</w:t>
      </w:r>
      <w:r>
        <w:rPr>
          <w:color w:val="231F20"/>
          <w:spacing w:val="-8"/>
          <w:w w:val="105"/>
        </w:rPr>
        <w:t> </w:t>
      </w:r>
      <w:r>
        <w:rPr>
          <w:color w:val="231F20"/>
          <w:w w:val="105"/>
        </w:rPr>
        <w:t>esencial</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industria</w:t>
      </w:r>
      <w:r>
        <w:rPr>
          <w:color w:val="231F20"/>
          <w:spacing w:val="-8"/>
          <w:w w:val="105"/>
        </w:rPr>
        <w:t> </w:t>
      </w:r>
      <w:r>
        <w:rPr>
          <w:color w:val="231F20"/>
          <w:w w:val="105"/>
        </w:rPr>
        <w:t>manufacturera</w:t>
      </w:r>
      <w:r>
        <w:rPr>
          <w:color w:val="231F20"/>
          <w:spacing w:val="-8"/>
          <w:w w:val="105"/>
        </w:rPr>
        <w:t> </w:t>
      </w:r>
      <w:r>
        <w:rPr>
          <w:color w:val="231F20"/>
          <w:w w:val="105"/>
        </w:rPr>
        <w:t>aporta</w:t>
      </w:r>
      <w:r>
        <w:rPr>
          <w:color w:val="231F20"/>
          <w:spacing w:val="-8"/>
          <w:w w:val="105"/>
        </w:rPr>
        <w:t> </w:t>
      </w:r>
      <w:r>
        <w:rPr>
          <w:color w:val="231F20"/>
          <w:w w:val="105"/>
        </w:rPr>
        <w:t>el</w:t>
      </w:r>
      <w:r>
        <w:rPr>
          <w:color w:val="231F20"/>
          <w:spacing w:val="-8"/>
          <w:w w:val="105"/>
        </w:rPr>
        <w:t> </w:t>
      </w:r>
      <w:r>
        <w:rPr>
          <w:color w:val="231F20"/>
          <w:w w:val="105"/>
        </w:rPr>
        <w:t>56%</w:t>
      </w:r>
      <w:r>
        <w:rPr>
          <w:color w:val="231F20"/>
          <w:spacing w:val="-8"/>
          <w:w w:val="105"/>
        </w:rPr>
        <w:t> </w:t>
      </w:r>
      <w:r>
        <w:rPr>
          <w:color w:val="231F20"/>
          <w:w w:val="105"/>
        </w:rPr>
        <w:t>del</w:t>
      </w:r>
      <w:r>
        <w:rPr>
          <w:color w:val="231F20"/>
          <w:spacing w:val="-8"/>
          <w:w w:val="105"/>
        </w:rPr>
        <w:t> </w:t>
      </w:r>
      <w:r>
        <w:rPr>
          <w:color w:val="231F20"/>
          <w:w w:val="105"/>
        </w:rPr>
        <w:t>PIB</w:t>
      </w:r>
      <w:r>
        <w:rPr>
          <w:color w:val="231F20"/>
          <w:spacing w:val="-8"/>
          <w:w w:val="105"/>
        </w:rPr>
        <w:t> </w:t>
      </w:r>
      <w:r>
        <w:rPr>
          <w:color w:val="231F20"/>
          <w:w w:val="105"/>
        </w:rPr>
        <w:t>munici- pal,</w:t>
      </w:r>
      <w:r>
        <w:rPr>
          <w:color w:val="231F20"/>
          <w:spacing w:val="-3"/>
          <w:w w:val="105"/>
        </w:rPr>
        <w:t> </w:t>
      </w:r>
      <w:r>
        <w:rPr>
          <w:color w:val="231F20"/>
          <w:w w:val="105"/>
        </w:rPr>
        <w:t>por</w:t>
      </w:r>
      <w:r>
        <w:rPr>
          <w:color w:val="231F20"/>
          <w:spacing w:val="-3"/>
          <w:w w:val="105"/>
        </w:rPr>
        <w:t> </w:t>
      </w:r>
      <w:r>
        <w:rPr>
          <w:color w:val="231F20"/>
          <w:w w:val="105"/>
        </w:rPr>
        <w:t>lo</w:t>
      </w:r>
      <w:r>
        <w:rPr>
          <w:color w:val="231F20"/>
          <w:spacing w:val="-3"/>
          <w:w w:val="105"/>
        </w:rPr>
        <w:t> </w:t>
      </w:r>
      <w:r>
        <w:rPr>
          <w:color w:val="231F20"/>
          <w:w w:val="105"/>
        </w:rPr>
        <w:t>cual</w:t>
      </w:r>
      <w:r>
        <w:rPr>
          <w:color w:val="231F20"/>
          <w:spacing w:val="-3"/>
          <w:w w:val="105"/>
        </w:rPr>
        <w:t> </w:t>
      </w:r>
      <w:r>
        <w:rPr>
          <w:color w:val="231F20"/>
          <w:w w:val="105"/>
        </w:rPr>
        <w:t>es</w:t>
      </w:r>
      <w:r>
        <w:rPr>
          <w:color w:val="231F20"/>
          <w:spacing w:val="-3"/>
          <w:w w:val="105"/>
        </w:rPr>
        <w:t> </w:t>
      </w:r>
      <w:r>
        <w:rPr>
          <w:color w:val="231F20"/>
          <w:w w:val="105"/>
        </w:rPr>
        <w:t>área</w:t>
      </w:r>
      <w:r>
        <w:rPr>
          <w:color w:val="231F20"/>
          <w:spacing w:val="-3"/>
          <w:w w:val="105"/>
        </w:rPr>
        <w:t> </w:t>
      </w:r>
      <w:r>
        <w:rPr>
          <w:color w:val="231F20"/>
          <w:w w:val="105"/>
        </w:rPr>
        <w:t>que</w:t>
      </w:r>
      <w:r>
        <w:rPr>
          <w:color w:val="231F20"/>
          <w:spacing w:val="-3"/>
          <w:w w:val="105"/>
        </w:rPr>
        <w:t> </w:t>
      </w:r>
      <w:r>
        <w:rPr>
          <w:color w:val="231F20"/>
          <w:w w:val="105"/>
        </w:rPr>
        <w:t>el</w:t>
      </w:r>
      <w:r>
        <w:rPr>
          <w:color w:val="231F20"/>
          <w:spacing w:val="-3"/>
          <w:w w:val="105"/>
        </w:rPr>
        <w:t> </w:t>
      </w:r>
      <w:r>
        <w:rPr>
          <w:color w:val="231F20"/>
          <w:w w:val="105"/>
        </w:rPr>
        <w:t>gobierno</w:t>
      </w:r>
      <w:r>
        <w:rPr>
          <w:color w:val="231F20"/>
          <w:spacing w:val="-3"/>
          <w:w w:val="105"/>
        </w:rPr>
        <w:t> </w:t>
      </w:r>
      <w:r>
        <w:rPr>
          <w:color w:val="231F20"/>
          <w:w w:val="105"/>
        </w:rPr>
        <w:t>municipal</w:t>
      </w:r>
      <w:r>
        <w:rPr>
          <w:color w:val="231F20"/>
          <w:spacing w:val="-3"/>
          <w:w w:val="105"/>
        </w:rPr>
        <w:t> </w:t>
      </w:r>
      <w:r>
        <w:rPr>
          <w:color w:val="231F20"/>
          <w:w w:val="105"/>
        </w:rPr>
        <w:t>debe</w:t>
      </w:r>
      <w:r>
        <w:rPr>
          <w:color w:val="231F20"/>
          <w:spacing w:val="-3"/>
          <w:w w:val="105"/>
        </w:rPr>
        <w:t> </w:t>
      </w:r>
      <w:r>
        <w:rPr>
          <w:color w:val="231F20"/>
          <w:w w:val="105"/>
        </w:rPr>
        <w:t>tener</w:t>
      </w:r>
      <w:r>
        <w:rPr>
          <w:color w:val="231F20"/>
          <w:spacing w:val="-3"/>
          <w:w w:val="105"/>
        </w:rPr>
        <w:t> siempre </w:t>
      </w:r>
      <w:r>
        <w:rPr>
          <w:color w:val="231F20"/>
          <w:w w:val="105"/>
        </w:rPr>
        <w:t>presente.</w:t>
      </w:r>
      <w:r>
        <w:rPr>
          <w:color w:val="231F20"/>
          <w:spacing w:val="-3"/>
          <w:w w:val="105"/>
        </w:rPr>
        <w:t> </w:t>
      </w:r>
      <w:r>
        <w:rPr>
          <w:color w:val="231F20"/>
          <w:w w:val="105"/>
        </w:rPr>
        <w:t>Si</w:t>
      </w:r>
      <w:r>
        <w:rPr>
          <w:color w:val="231F20"/>
          <w:spacing w:val="-3"/>
          <w:w w:val="105"/>
        </w:rPr>
        <w:t> </w:t>
      </w:r>
      <w:r>
        <w:rPr>
          <w:color w:val="231F20"/>
          <w:w w:val="105"/>
        </w:rPr>
        <w:t>se</w:t>
      </w:r>
      <w:r>
        <w:rPr>
          <w:color w:val="231F20"/>
          <w:spacing w:val="-3"/>
          <w:w w:val="105"/>
        </w:rPr>
        <w:t> </w:t>
      </w:r>
      <w:r>
        <w:rPr>
          <w:color w:val="231F20"/>
          <w:w w:val="105"/>
        </w:rPr>
        <w:t>le agrega</w:t>
      </w:r>
      <w:r>
        <w:rPr>
          <w:color w:val="231F20"/>
          <w:spacing w:val="-18"/>
          <w:w w:val="105"/>
        </w:rPr>
        <w:t> </w:t>
      </w:r>
      <w:r>
        <w:rPr>
          <w:color w:val="231F20"/>
          <w:w w:val="105"/>
        </w:rPr>
        <w:t>el</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industria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construcción,</w:t>
      </w:r>
      <w:r>
        <w:rPr>
          <w:color w:val="231F20"/>
          <w:spacing w:val="-18"/>
          <w:w w:val="105"/>
        </w:rPr>
        <w:t> </w:t>
      </w:r>
      <w:r>
        <w:rPr>
          <w:color w:val="231F20"/>
          <w:w w:val="105"/>
        </w:rPr>
        <w:t>que</w:t>
      </w:r>
      <w:r>
        <w:rPr>
          <w:color w:val="231F20"/>
          <w:spacing w:val="-18"/>
          <w:w w:val="105"/>
        </w:rPr>
        <w:t> </w:t>
      </w:r>
      <w:r>
        <w:rPr>
          <w:color w:val="231F20"/>
          <w:w w:val="105"/>
        </w:rPr>
        <w:t>es</w:t>
      </w:r>
      <w:r>
        <w:rPr>
          <w:color w:val="231F20"/>
          <w:spacing w:val="-18"/>
          <w:w w:val="105"/>
        </w:rPr>
        <w:t> </w:t>
      </w:r>
      <w:r>
        <w:rPr>
          <w:color w:val="231F20"/>
          <w:w w:val="105"/>
        </w:rPr>
        <w:t>de</w:t>
      </w:r>
      <w:r>
        <w:rPr>
          <w:color w:val="231F20"/>
          <w:spacing w:val="-18"/>
          <w:w w:val="105"/>
        </w:rPr>
        <w:t> </w:t>
      </w:r>
      <w:r>
        <w:rPr>
          <w:color w:val="231F20"/>
          <w:w w:val="105"/>
        </w:rPr>
        <w:t>3.63%,</w:t>
      </w:r>
      <w:r>
        <w:rPr>
          <w:color w:val="231F20"/>
          <w:spacing w:val="-18"/>
          <w:w w:val="105"/>
        </w:rPr>
        <w:t> </w:t>
      </w:r>
      <w:r>
        <w:rPr>
          <w:color w:val="231F20"/>
          <w:w w:val="105"/>
        </w:rPr>
        <w:t>resulta</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sector</w:t>
      </w:r>
      <w:r>
        <w:rPr>
          <w:color w:val="231F20"/>
          <w:spacing w:val="-18"/>
          <w:w w:val="105"/>
        </w:rPr>
        <w:t> </w:t>
      </w:r>
      <w:r>
        <w:rPr>
          <w:color w:val="231F20"/>
          <w:w w:val="105"/>
        </w:rPr>
        <w:t>secun- dario</w:t>
      </w:r>
      <w:r>
        <w:rPr>
          <w:color w:val="231F20"/>
          <w:spacing w:val="-10"/>
          <w:w w:val="105"/>
        </w:rPr>
        <w:t> </w:t>
      </w:r>
      <w:r>
        <w:rPr>
          <w:color w:val="231F20"/>
          <w:w w:val="105"/>
        </w:rPr>
        <w:t>aporta</w:t>
      </w:r>
      <w:r>
        <w:rPr>
          <w:color w:val="231F20"/>
          <w:spacing w:val="-10"/>
          <w:w w:val="105"/>
        </w:rPr>
        <w:t> </w:t>
      </w:r>
      <w:r>
        <w:rPr>
          <w:color w:val="231F20"/>
          <w:w w:val="105"/>
        </w:rPr>
        <w:t>el</w:t>
      </w:r>
      <w:r>
        <w:rPr>
          <w:color w:val="231F20"/>
          <w:spacing w:val="-10"/>
          <w:w w:val="105"/>
        </w:rPr>
        <w:t> </w:t>
      </w:r>
      <w:r>
        <w:rPr>
          <w:color w:val="231F20"/>
          <w:spacing w:val="-3"/>
          <w:w w:val="105"/>
        </w:rPr>
        <w:t>59.63%,</w:t>
      </w:r>
      <w:r>
        <w:rPr>
          <w:color w:val="231F20"/>
          <w:spacing w:val="-10"/>
          <w:w w:val="105"/>
        </w:rPr>
        <w:t> </w:t>
      </w:r>
      <w:r>
        <w:rPr>
          <w:color w:val="231F20"/>
          <w:w w:val="105"/>
        </w:rPr>
        <w:t>mientras</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sector</w:t>
      </w:r>
      <w:r>
        <w:rPr>
          <w:color w:val="231F20"/>
          <w:spacing w:val="-10"/>
          <w:w w:val="105"/>
        </w:rPr>
        <w:t> </w:t>
      </w:r>
      <w:r>
        <w:rPr>
          <w:color w:val="231F20"/>
          <w:w w:val="105"/>
        </w:rPr>
        <w:t>terciario</w:t>
      </w:r>
      <w:r>
        <w:rPr>
          <w:color w:val="231F20"/>
          <w:spacing w:val="-10"/>
          <w:w w:val="105"/>
        </w:rPr>
        <w:t> </w:t>
      </w:r>
      <w:r>
        <w:rPr>
          <w:color w:val="231F20"/>
          <w:spacing w:val="-4"/>
          <w:w w:val="105"/>
        </w:rPr>
        <w:t>(comercio)</w:t>
      </w:r>
      <w:r>
        <w:rPr>
          <w:color w:val="231F20"/>
          <w:spacing w:val="-10"/>
          <w:w w:val="105"/>
        </w:rPr>
        <w:t> </w:t>
      </w:r>
      <w:r>
        <w:rPr>
          <w:color w:val="231F20"/>
          <w:w w:val="105"/>
        </w:rPr>
        <w:t>aporta</w:t>
      </w:r>
      <w:r>
        <w:rPr>
          <w:color w:val="231F20"/>
          <w:spacing w:val="-10"/>
          <w:w w:val="105"/>
        </w:rPr>
        <w:t> </w:t>
      </w:r>
      <w:r>
        <w:rPr>
          <w:color w:val="231F20"/>
          <w:w w:val="105"/>
        </w:rPr>
        <w:t>el</w:t>
      </w:r>
      <w:r>
        <w:rPr>
          <w:color w:val="231F20"/>
          <w:spacing w:val="-10"/>
          <w:w w:val="105"/>
        </w:rPr>
        <w:t> </w:t>
      </w:r>
      <w:r>
        <w:rPr>
          <w:color w:val="231F20"/>
          <w:w w:val="105"/>
        </w:rPr>
        <w:t>40.25%.</w:t>
      </w:r>
      <w:r>
        <w:rPr>
          <w:color w:val="231F20"/>
          <w:spacing w:val="-10"/>
          <w:w w:val="105"/>
        </w:rPr>
        <w:t> </w:t>
      </w:r>
      <w:r>
        <w:rPr>
          <w:color w:val="231F20"/>
          <w:w w:val="105"/>
        </w:rPr>
        <w:t>El sector</w:t>
      </w:r>
      <w:r>
        <w:rPr>
          <w:color w:val="231F20"/>
          <w:spacing w:val="-14"/>
          <w:w w:val="105"/>
        </w:rPr>
        <w:t> </w:t>
      </w:r>
      <w:r>
        <w:rPr>
          <w:color w:val="231F20"/>
          <w:w w:val="105"/>
        </w:rPr>
        <w:t>primario</w:t>
      </w:r>
      <w:r>
        <w:rPr>
          <w:color w:val="231F20"/>
          <w:spacing w:val="-14"/>
          <w:w w:val="105"/>
        </w:rPr>
        <w:t> </w:t>
      </w:r>
      <w:r>
        <w:rPr>
          <w:color w:val="231F20"/>
          <w:w w:val="105"/>
        </w:rPr>
        <w:t>es</w:t>
      </w:r>
      <w:r>
        <w:rPr>
          <w:color w:val="231F20"/>
          <w:spacing w:val="-14"/>
          <w:w w:val="105"/>
        </w:rPr>
        <w:t> </w:t>
      </w:r>
      <w:r>
        <w:rPr>
          <w:color w:val="231F20"/>
          <w:w w:val="105"/>
        </w:rPr>
        <w:t>prácticamente</w:t>
      </w:r>
      <w:r>
        <w:rPr>
          <w:color w:val="231F20"/>
          <w:spacing w:val="-14"/>
          <w:w w:val="105"/>
        </w:rPr>
        <w:t> </w:t>
      </w:r>
      <w:r>
        <w:rPr>
          <w:color w:val="231F20"/>
          <w:w w:val="105"/>
        </w:rPr>
        <w:t>inexistente</w:t>
      </w:r>
      <w:r>
        <w:rPr>
          <w:color w:val="231F20"/>
          <w:spacing w:val="-14"/>
          <w:w w:val="105"/>
        </w:rPr>
        <w:t> </w:t>
      </w:r>
      <w:r>
        <w:rPr>
          <w:color w:val="231F20"/>
          <w:w w:val="105"/>
        </w:rPr>
        <w:t>y</w:t>
      </w:r>
      <w:r>
        <w:rPr>
          <w:color w:val="231F20"/>
          <w:spacing w:val="-14"/>
          <w:w w:val="105"/>
        </w:rPr>
        <w:t> </w:t>
      </w:r>
      <w:r>
        <w:rPr>
          <w:color w:val="231F20"/>
          <w:w w:val="105"/>
        </w:rPr>
        <w:t>solamente</w:t>
      </w:r>
      <w:r>
        <w:rPr>
          <w:color w:val="231F20"/>
          <w:spacing w:val="-14"/>
          <w:w w:val="105"/>
        </w:rPr>
        <w:t> </w:t>
      </w:r>
      <w:r>
        <w:rPr>
          <w:color w:val="231F20"/>
          <w:w w:val="105"/>
        </w:rPr>
        <w:t>aporta</w:t>
      </w:r>
      <w:r>
        <w:rPr>
          <w:color w:val="231F20"/>
          <w:spacing w:val="-14"/>
          <w:w w:val="105"/>
        </w:rPr>
        <w:t> </w:t>
      </w:r>
      <w:r>
        <w:rPr>
          <w:color w:val="231F20"/>
          <w:w w:val="105"/>
        </w:rPr>
        <w:t>el</w:t>
      </w:r>
      <w:r>
        <w:rPr>
          <w:color w:val="231F20"/>
          <w:spacing w:val="-14"/>
          <w:w w:val="105"/>
        </w:rPr>
        <w:t> </w:t>
      </w:r>
      <w:r>
        <w:rPr>
          <w:color w:val="231F20"/>
          <w:w w:val="105"/>
        </w:rPr>
        <w:t>0.12%.</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El</w:t>
      </w:r>
      <w:r>
        <w:rPr>
          <w:color w:val="231F20"/>
          <w:spacing w:val="-11"/>
          <w:w w:val="105"/>
        </w:rPr>
        <w:t> </w:t>
      </w:r>
      <w:r>
        <w:rPr>
          <w:color w:val="231F20"/>
          <w:w w:val="105"/>
        </w:rPr>
        <w:t>91.04%</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empresas</w:t>
      </w:r>
      <w:r>
        <w:rPr>
          <w:color w:val="231F20"/>
          <w:spacing w:val="-11"/>
          <w:w w:val="105"/>
        </w:rPr>
        <w:t> </w:t>
      </w:r>
      <w:r>
        <w:rPr>
          <w:color w:val="231F20"/>
          <w:w w:val="105"/>
        </w:rPr>
        <w:t>existentes</w:t>
      </w:r>
      <w:r>
        <w:rPr>
          <w:color w:val="231F20"/>
          <w:spacing w:val="-11"/>
          <w:w w:val="105"/>
        </w:rPr>
        <w:t> </w:t>
      </w:r>
      <w:r>
        <w:rPr>
          <w:color w:val="231F20"/>
          <w:w w:val="105"/>
        </w:rPr>
        <w:t>se</w:t>
      </w:r>
      <w:r>
        <w:rPr>
          <w:color w:val="231F20"/>
          <w:spacing w:val="-11"/>
          <w:w w:val="105"/>
        </w:rPr>
        <w:t> </w:t>
      </w:r>
      <w:r>
        <w:rPr>
          <w:color w:val="231F20"/>
          <w:w w:val="105"/>
        </w:rPr>
        <w:t>dedican</w:t>
      </w:r>
      <w:r>
        <w:rPr>
          <w:color w:val="231F20"/>
          <w:spacing w:val="-11"/>
          <w:w w:val="105"/>
        </w:rPr>
        <w:t> </w:t>
      </w:r>
      <w:r>
        <w:rPr>
          <w:color w:val="231F20"/>
          <w:spacing w:val="2"/>
          <w:w w:val="105"/>
        </w:rPr>
        <w:t>al</w:t>
      </w:r>
      <w:r>
        <w:rPr>
          <w:color w:val="231F20"/>
          <w:spacing w:val="-11"/>
          <w:w w:val="105"/>
        </w:rPr>
        <w:t> </w:t>
      </w:r>
      <w:r>
        <w:rPr>
          <w:color w:val="231F20"/>
          <w:w w:val="105"/>
        </w:rPr>
        <w:t>comercio;</w:t>
      </w:r>
      <w:r>
        <w:rPr>
          <w:color w:val="231F20"/>
          <w:spacing w:val="-11"/>
          <w:w w:val="105"/>
        </w:rPr>
        <w:t> </w:t>
      </w:r>
      <w:r>
        <w:rPr>
          <w:color w:val="231F20"/>
          <w:w w:val="105"/>
        </w:rPr>
        <w:t>de</w:t>
      </w:r>
      <w:r>
        <w:rPr>
          <w:color w:val="231F20"/>
          <w:spacing w:val="-11"/>
          <w:w w:val="105"/>
        </w:rPr>
        <w:t> </w:t>
      </w:r>
      <w:r>
        <w:rPr>
          <w:color w:val="231F20"/>
          <w:w w:val="105"/>
        </w:rPr>
        <w:t>ellas</w:t>
      </w:r>
      <w:r>
        <w:rPr>
          <w:color w:val="231F20"/>
          <w:spacing w:val="-11"/>
          <w:w w:val="105"/>
        </w:rPr>
        <w:t> </w:t>
      </w:r>
      <w:r>
        <w:rPr>
          <w:color w:val="231F20"/>
          <w:w w:val="105"/>
        </w:rPr>
        <w:t>la</w:t>
      </w:r>
      <w:r>
        <w:rPr>
          <w:color w:val="231F20"/>
          <w:spacing w:val="-11"/>
          <w:w w:val="105"/>
        </w:rPr>
        <w:t> </w:t>
      </w:r>
      <w:r>
        <w:rPr>
          <w:color w:val="231F20"/>
          <w:w w:val="105"/>
        </w:rPr>
        <w:t>mayoría</w:t>
      </w:r>
      <w:r>
        <w:rPr>
          <w:color w:val="231F20"/>
          <w:spacing w:val="-11"/>
          <w:w w:val="105"/>
        </w:rPr>
        <w:t> </w:t>
      </w:r>
      <w:r>
        <w:rPr>
          <w:color w:val="231F20"/>
          <w:spacing w:val="2"/>
          <w:w w:val="105"/>
        </w:rPr>
        <w:t>al</w:t>
      </w:r>
      <w:r>
        <w:rPr>
          <w:color w:val="231F20"/>
          <w:spacing w:val="-11"/>
          <w:w w:val="105"/>
        </w:rPr>
        <w:t> </w:t>
      </w:r>
      <w:r>
        <w:rPr>
          <w:color w:val="231F20"/>
          <w:w w:val="105"/>
        </w:rPr>
        <w:t>co- mercio </w:t>
      </w:r>
      <w:r>
        <w:rPr>
          <w:color w:val="231F20"/>
          <w:spacing w:val="2"/>
          <w:w w:val="105"/>
        </w:rPr>
        <w:t>al </w:t>
      </w:r>
      <w:r>
        <w:rPr>
          <w:color w:val="231F20"/>
          <w:w w:val="105"/>
        </w:rPr>
        <w:t>por </w:t>
      </w:r>
      <w:r>
        <w:rPr>
          <w:color w:val="231F20"/>
          <w:spacing w:val="-3"/>
          <w:w w:val="105"/>
        </w:rPr>
        <w:t>menor. </w:t>
      </w:r>
      <w:r>
        <w:rPr>
          <w:color w:val="231F20"/>
          <w:w w:val="105"/>
        </w:rPr>
        <w:t>El 8.94 por ciento son empresas del sector secundario, </w:t>
      </w:r>
      <w:r>
        <w:rPr>
          <w:color w:val="231F20"/>
          <w:spacing w:val="2"/>
          <w:w w:val="105"/>
        </w:rPr>
        <w:t>mil </w:t>
      </w:r>
      <w:r>
        <w:rPr>
          <w:color w:val="231F20"/>
          <w:spacing w:val="-5"/>
          <w:w w:val="105"/>
        </w:rPr>
        <w:t>919 </w:t>
      </w:r>
      <w:r>
        <w:rPr>
          <w:color w:val="231F20"/>
          <w:w w:val="105"/>
        </w:rPr>
        <w:t>manufactureras</w:t>
      </w:r>
      <w:r>
        <w:rPr>
          <w:color w:val="231F20"/>
          <w:spacing w:val="-8"/>
          <w:w w:val="105"/>
        </w:rPr>
        <w:t> </w:t>
      </w:r>
      <w:r>
        <w:rPr>
          <w:color w:val="231F20"/>
          <w:w w:val="105"/>
        </w:rPr>
        <w:t>y</w:t>
      </w:r>
      <w:r>
        <w:rPr>
          <w:color w:val="231F20"/>
          <w:spacing w:val="-8"/>
          <w:w w:val="105"/>
        </w:rPr>
        <w:t> </w:t>
      </w:r>
      <w:r>
        <w:rPr>
          <w:color w:val="231F20"/>
          <w:spacing w:val="2"/>
          <w:w w:val="105"/>
        </w:rPr>
        <w:t>tan</w:t>
      </w:r>
      <w:r>
        <w:rPr>
          <w:color w:val="231F20"/>
          <w:spacing w:val="-8"/>
          <w:w w:val="105"/>
        </w:rPr>
        <w:t> </w:t>
      </w:r>
      <w:r>
        <w:rPr>
          <w:color w:val="231F20"/>
          <w:w w:val="105"/>
        </w:rPr>
        <w:t>sólo</w:t>
      </w:r>
      <w:r>
        <w:rPr>
          <w:color w:val="231F20"/>
          <w:spacing w:val="-8"/>
          <w:w w:val="105"/>
        </w:rPr>
        <w:t> </w:t>
      </w:r>
      <w:r>
        <w:rPr>
          <w:color w:val="231F20"/>
          <w:w w:val="105"/>
        </w:rPr>
        <w:t>50</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sector</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construcción.</w:t>
      </w:r>
    </w:p>
    <w:p>
      <w:pPr>
        <w:pStyle w:val="BodyText"/>
        <w:spacing w:before="1"/>
        <w:rPr>
          <w:sz w:val="26"/>
        </w:rPr>
      </w:pPr>
    </w:p>
    <w:p>
      <w:pPr>
        <w:pStyle w:val="BodyText"/>
        <w:spacing w:line="285" w:lineRule="auto"/>
        <w:ind w:left="110" w:right="107"/>
        <w:jc w:val="both"/>
      </w:pPr>
      <w:r>
        <w:rPr>
          <w:color w:val="231F20"/>
          <w:w w:val="105"/>
        </w:rPr>
        <w:t>El 62.84% de la fuerza de trabajo se ubicaba en el comercio y el restante en el sector secundario.</w:t>
      </w:r>
      <w:r>
        <w:rPr>
          <w:color w:val="231F20"/>
          <w:spacing w:val="-5"/>
          <w:w w:val="105"/>
        </w:rPr>
        <w:t> </w:t>
      </w:r>
      <w:r>
        <w:rPr>
          <w:color w:val="231F20"/>
          <w:w w:val="105"/>
        </w:rPr>
        <w:t>Llama</w:t>
      </w:r>
      <w:r>
        <w:rPr>
          <w:color w:val="231F20"/>
          <w:spacing w:val="-5"/>
          <w:w w:val="105"/>
        </w:rPr>
        <w:t> </w:t>
      </w:r>
      <w:r>
        <w:rPr>
          <w:color w:val="231F20"/>
          <w:w w:val="105"/>
        </w:rPr>
        <w:t>la</w:t>
      </w:r>
      <w:r>
        <w:rPr>
          <w:color w:val="231F20"/>
          <w:spacing w:val="-5"/>
          <w:w w:val="105"/>
        </w:rPr>
        <w:t> </w:t>
      </w:r>
      <w:r>
        <w:rPr>
          <w:color w:val="231F20"/>
          <w:w w:val="105"/>
        </w:rPr>
        <w:t>atención</w:t>
      </w:r>
      <w:r>
        <w:rPr>
          <w:color w:val="231F20"/>
          <w:spacing w:val="-5"/>
          <w:w w:val="105"/>
        </w:rPr>
        <w:t> </w:t>
      </w:r>
      <w:r>
        <w:rPr>
          <w:color w:val="231F20"/>
          <w:w w:val="105"/>
        </w:rPr>
        <w:t>que</w:t>
      </w:r>
      <w:r>
        <w:rPr>
          <w:color w:val="231F20"/>
          <w:spacing w:val="-5"/>
          <w:w w:val="105"/>
        </w:rPr>
        <w:t> </w:t>
      </w:r>
      <w:r>
        <w:rPr>
          <w:color w:val="231F20"/>
          <w:w w:val="105"/>
        </w:rPr>
        <w:t>el</w:t>
      </w:r>
      <w:r>
        <w:rPr>
          <w:color w:val="231F20"/>
          <w:spacing w:val="-5"/>
          <w:w w:val="105"/>
        </w:rPr>
        <w:t> </w:t>
      </w:r>
      <w:r>
        <w:rPr>
          <w:color w:val="231F20"/>
          <w:w w:val="105"/>
        </w:rPr>
        <w:t>plan</w:t>
      </w:r>
      <w:r>
        <w:rPr>
          <w:color w:val="231F20"/>
          <w:spacing w:val="-5"/>
          <w:w w:val="105"/>
        </w:rPr>
        <w:t> </w:t>
      </w:r>
      <w:r>
        <w:rPr>
          <w:color w:val="231F20"/>
          <w:w w:val="105"/>
        </w:rPr>
        <w:t>no</w:t>
      </w:r>
      <w:r>
        <w:rPr>
          <w:color w:val="231F20"/>
          <w:spacing w:val="-5"/>
          <w:w w:val="105"/>
        </w:rPr>
        <w:t> </w:t>
      </w:r>
      <w:r>
        <w:rPr>
          <w:color w:val="231F20"/>
          <w:w w:val="105"/>
        </w:rPr>
        <w:t>manifestara</w:t>
      </w:r>
      <w:r>
        <w:rPr>
          <w:color w:val="231F20"/>
          <w:spacing w:val="-5"/>
          <w:w w:val="105"/>
        </w:rPr>
        <w:t> </w:t>
      </w:r>
      <w:r>
        <w:rPr>
          <w:color w:val="231F20"/>
          <w:w w:val="105"/>
        </w:rPr>
        <w:t>en</w:t>
      </w:r>
      <w:r>
        <w:rPr>
          <w:color w:val="231F20"/>
          <w:spacing w:val="-5"/>
          <w:w w:val="105"/>
        </w:rPr>
        <w:t> </w:t>
      </w:r>
      <w:r>
        <w:rPr>
          <w:color w:val="231F20"/>
          <w:w w:val="105"/>
        </w:rPr>
        <w:t>específico</w:t>
      </w:r>
      <w:r>
        <w:rPr>
          <w:color w:val="231F20"/>
          <w:spacing w:val="-5"/>
          <w:w w:val="105"/>
        </w:rPr>
        <w:t> </w:t>
      </w:r>
      <w:r>
        <w:rPr>
          <w:color w:val="231F20"/>
          <w:w w:val="105"/>
        </w:rPr>
        <w:t>cuáles</w:t>
      </w:r>
      <w:r>
        <w:rPr>
          <w:color w:val="231F20"/>
          <w:spacing w:val="-5"/>
          <w:w w:val="105"/>
        </w:rPr>
        <w:t> </w:t>
      </w:r>
      <w:r>
        <w:rPr>
          <w:color w:val="231F20"/>
          <w:w w:val="105"/>
        </w:rPr>
        <w:t>eran</w:t>
      </w:r>
      <w:r>
        <w:rPr>
          <w:color w:val="231F20"/>
          <w:spacing w:val="-5"/>
          <w:w w:val="105"/>
        </w:rPr>
        <w:t> </w:t>
      </w:r>
      <w:r>
        <w:rPr>
          <w:color w:val="231F20"/>
          <w:w w:val="105"/>
        </w:rPr>
        <w:t>los problemas laborales que aquejaban a estas empresas y sobre todo a sus trabajadores. Aunque</w:t>
      </w:r>
      <w:r>
        <w:rPr>
          <w:color w:val="231F20"/>
          <w:spacing w:val="-8"/>
          <w:w w:val="105"/>
        </w:rPr>
        <w:t> </w:t>
      </w:r>
      <w:r>
        <w:rPr>
          <w:color w:val="231F20"/>
          <w:w w:val="105"/>
        </w:rPr>
        <w:t>en</w:t>
      </w:r>
      <w:r>
        <w:rPr>
          <w:color w:val="231F20"/>
          <w:spacing w:val="-8"/>
          <w:w w:val="105"/>
        </w:rPr>
        <w:t> </w:t>
      </w:r>
      <w:r>
        <w:rPr>
          <w:color w:val="231F20"/>
          <w:w w:val="105"/>
        </w:rPr>
        <w:t>realidad</w:t>
      </w:r>
      <w:r>
        <w:rPr>
          <w:color w:val="231F20"/>
          <w:spacing w:val="-8"/>
          <w:w w:val="105"/>
        </w:rPr>
        <w:t> </w:t>
      </w:r>
      <w:r>
        <w:rPr>
          <w:color w:val="231F20"/>
          <w:w w:val="105"/>
        </w:rPr>
        <w:t>tales</w:t>
      </w:r>
      <w:r>
        <w:rPr>
          <w:color w:val="231F20"/>
          <w:spacing w:val="-8"/>
          <w:w w:val="105"/>
        </w:rPr>
        <w:t> </w:t>
      </w:r>
      <w:r>
        <w:rPr>
          <w:color w:val="231F20"/>
          <w:w w:val="105"/>
        </w:rPr>
        <w:t>condiciones</w:t>
      </w:r>
      <w:r>
        <w:rPr>
          <w:color w:val="231F20"/>
          <w:spacing w:val="-8"/>
          <w:w w:val="105"/>
        </w:rPr>
        <w:t> </w:t>
      </w:r>
      <w:r>
        <w:rPr>
          <w:color w:val="231F20"/>
          <w:w w:val="105"/>
        </w:rPr>
        <w:t>no</w:t>
      </w:r>
      <w:r>
        <w:rPr>
          <w:color w:val="231F20"/>
          <w:spacing w:val="-8"/>
          <w:w w:val="105"/>
        </w:rPr>
        <w:t> </w:t>
      </w:r>
      <w:r>
        <w:rPr>
          <w:color w:val="231F20"/>
          <w:w w:val="105"/>
        </w:rPr>
        <w:t>sean</w:t>
      </w:r>
      <w:r>
        <w:rPr>
          <w:color w:val="231F20"/>
          <w:spacing w:val="-8"/>
          <w:w w:val="105"/>
        </w:rPr>
        <w:t> </w:t>
      </w:r>
      <w:r>
        <w:rPr>
          <w:color w:val="231F20"/>
          <w:w w:val="105"/>
        </w:rPr>
        <w:t>problemas</w:t>
      </w:r>
      <w:r>
        <w:rPr>
          <w:color w:val="231F20"/>
          <w:spacing w:val="-8"/>
          <w:w w:val="105"/>
        </w:rPr>
        <w:t> </w:t>
      </w:r>
      <w:r>
        <w:rPr>
          <w:color w:val="231F20"/>
          <w:w w:val="105"/>
        </w:rPr>
        <w:t>que</w:t>
      </w:r>
      <w:r>
        <w:rPr>
          <w:color w:val="231F20"/>
          <w:spacing w:val="-8"/>
          <w:w w:val="105"/>
        </w:rPr>
        <w:t> </w:t>
      </w:r>
      <w:r>
        <w:rPr>
          <w:color w:val="231F20"/>
          <w:w w:val="105"/>
        </w:rPr>
        <w:t>atañen</w:t>
      </w:r>
      <w:r>
        <w:rPr>
          <w:color w:val="231F20"/>
          <w:spacing w:val="-8"/>
          <w:w w:val="105"/>
        </w:rPr>
        <w:t> </w:t>
      </w:r>
      <w:r>
        <w:rPr>
          <w:color w:val="231F20"/>
          <w:spacing w:val="2"/>
          <w:w w:val="105"/>
        </w:rPr>
        <w:t>al</w:t>
      </w:r>
      <w:r>
        <w:rPr>
          <w:color w:val="231F20"/>
          <w:spacing w:val="-8"/>
          <w:w w:val="105"/>
        </w:rPr>
        <w:t> </w:t>
      </w:r>
      <w:r>
        <w:rPr>
          <w:color w:val="231F20"/>
          <w:w w:val="105"/>
        </w:rPr>
        <w:t>gobierno</w:t>
      </w:r>
      <w:r>
        <w:rPr>
          <w:color w:val="231F20"/>
          <w:spacing w:val="-8"/>
          <w:w w:val="105"/>
        </w:rPr>
        <w:t> </w:t>
      </w:r>
      <w:r>
        <w:rPr>
          <w:color w:val="231F20"/>
          <w:w w:val="105"/>
        </w:rPr>
        <w:t>muni- cipal,</w:t>
      </w:r>
      <w:r>
        <w:rPr>
          <w:color w:val="231F20"/>
          <w:spacing w:val="-9"/>
          <w:w w:val="105"/>
        </w:rPr>
        <w:t> </w:t>
      </w:r>
      <w:r>
        <w:rPr>
          <w:color w:val="231F20"/>
          <w:w w:val="105"/>
        </w:rPr>
        <w:t>es</w:t>
      </w:r>
      <w:r>
        <w:rPr>
          <w:color w:val="231F20"/>
          <w:spacing w:val="-9"/>
          <w:w w:val="105"/>
        </w:rPr>
        <w:t> </w:t>
      </w:r>
      <w:r>
        <w:rPr>
          <w:color w:val="231F20"/>
          <w:w w:val="105"/>
        </w:rPr>
        <w:t>notoria</w:t>
      </w:r>
      <w:r>
        <w:rPr>
          <w:color w:val="231F20"/>
          <w:spacing w:val="-9"/>
          <w:w w:val="105"/>
        </w:rPr>
        <w:t> </w:t>
      </w:r>
      <w:r>
        <w:rPr>
          <w:color w:val="231F20"/>
          <w:w w:val="105"/>
        </w:rPr>
        <w:t>la</w:t>
      </w:r>
      <w:r>
        <w:rPr>
          <w:color w:val="231F20"/>
          <w:spacing w:val="-9"/>
          <w:w w:val="105"/>
        </w:rPr>
        <w:t> </w:t>
      </w:r>
      <w:r>
        <w:rPr>
          <w:color w:val="231F20"/>
          <w:w w:val="105"/>
        </w:rPr>
        <w:t>omisión</w:t>
      </w:r>
      <w:r>
        <w:rPr>
          <w:color w:val="231F20"/>
          <w:spacing w:val="-9"/>
          <w:w w:val="105"/>
        </w:rPr>
        <w:t> </w:t>
      </w:r>
      <w:r>
        <w:rPr>
          <w:color w:val="231F20"/>
          <w:w w:val="105"/>
        </w:rPr>
        <w:t>sobre</w:t>
      </w:r>
      <w:r>
        <w:rPr>
          <w:color w:val="231F20"/>
          <w:spacing w:val="-9"/>
          <w:w w:val="105"/>
        </w:rPr>
        <w:t> </w:t>
      </w:r>
      <w:r>
        <w:rPr>
          <w:color w:val="231F20"/>
          <w:w w:val="105"/>
        </w:rPr>
        <w:t>la</w:t>
      </w:r>
      <w:r>
        <w:rPr>
          <w:color w:val="231F20"/>
          <w:spacing w:val="-9"/>
          <w:w w:val="105"/>
        </w:rPr>
        <w:t> </w:t>
      </w:r>
      <w:r>
        <w:rPr>
          <w:color w:val="231F20"/>
          <w:w w:val="105"/>
        </w:rPr>
        <w:t>situación</w:t>
      </w:r>
      <w:r>
        <w:rPr>
          <w:color w:val="231F20"/>
          <w:spacing w:val="-9"/>
          <w:w w:val="105"/>
        </w:rPr>
        <w:t> </w:t>
      </w:r>
      <w:r>
        <w:rPr>
          <w:color w:val="231F20"/>
          <w:w w:val="105"/>
        </w:rPr>
        <w:t>social</w:t>
      </w:r>
      <w:r>
        <w:rPr>
          <w:color w:val="231F20"/>
          <w:spacing w:val="-9"/>
          <w:w w:val="105"/>
        </w:rPr>
        <w:t> </w:t>
      </w:r>
      <w:r>
        <w:rPr>
          <w:color w:val="231F20"/>
          <w:w w:val="105"/>
        </w:rPr>
        <w:t>de</w:t>
      </w:r>
      <w:r>
        <w:rPr>
          <w:color w:val="231F20"/>
          <w:spacing w:val="-9"/>
          <w:w w:val="105"/>
        </w:rPr>
        <w:t> </w:t>
      </w:r>
      <w:r>
        <w:rPr>
          <w:color w:val="231F20"/>
          <w:w w:val="105"/>
        </w:rPr>
        <w:t>miles</w:t>
      </w:r>
      <w:r>
        <w:rPr>
          <w:color w:val="231F20"/>
          <w:spacing w:val="-9"/>
          <w:w w:val="105"/>
        </w:rPr>
        <w:t> </w:t>
      </w:r>
      <w:r>
        <w:rPr>
          <w:color w:val="231F20"/>
          <w:w w:val="105"/>
        </w:rPr>
        <w:t>de</w:t>
      </w:r>
      <w:r>
        <w:rPr>
          <w:color w:val="231F20"/>
          <w:spacing w:val="-9"/>
          <w:w w:val="105"/>
        </w:rPr>
        <w:t> </w:t>
      </w:r>
      <w:r>
        <w:rPr>
          <w:color w:val="231F20"/>
          <w:w w:val="105"/>
        </w:rPr>
        <w:t>trabajadores</w:t>
      </w:r>
      <w:r>
        <w:rPr>
          <w:color w:val="231F20"/>
          <w:spacing w:val="-9"/>
          <w:w w:val="105"/>
        </w:rPr>
        <w:t> </w:t>
      </w:r>
      <w:r>
        <w:rPr>
          <w:color w:val="231F20"/>
          <w:w w:val="105"/>
        </w:rPr>
        <w:t>que</w:t>
      </w:r>
      <w:r>
        <w:rPr>
          <w:color w:val="231F20"/>
          <w:spacing w:val="-9"/>
          <w:w w:val="105"/>
        </w:rPr>
        <w:t> </w:t>
      </w:r>
      <w:r>
        <w:rPr>
          <w:color w:val="231F20"/>
          <w:w w:val="105"/>
        </w:rPr>
        <w:t>viven en</w:t>
      </w:r>
      <w:r>
        <w:rPr>
          <w:color w:val="231F20"/>
          <w:spacing w:val="-16"/>
          <w:w w:val="105"/>
        </w:rPr>
        <w:t> </w:t>
      </w: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y</w:t>
      </w:r>
      <w:r>
        <w:rPr>
          <w:color w:val="231F20"/>
          <w:spacing w:val="-16"/>
          <w:w w:val="105"/>
        </w:rPr>
        <w:t> </w:t>
      </w:r>
      <w:r>
        <w:rPr>
          <w:color w:val="231F20"/>
          <w:w w:val="105"/>
        </w:rPr>
        <w:t>que</w:t>
      </w:r>
      <w:r>
        <w:rPr>
          <w:color w:val="231F20"/>
          <w:spacing w:val="-16"/>
          <w:w w:val="105"/>
        </w:rPr>
        <w:t> </w:t>
      </w:r>
      <w:r>
        <w:rPr>
          <w:color w:val="231F20"/>
          <w:w w:val="105"/>
        </w:rPr>
        <w:t>constituyen</w:t>
      </w:r>
      <w:r>
        <w:rPr>
          <w:color w:val="231F20"/>
          <w:spacing w:val="-16"/>
          <w:w w:val="105"/>
        </w:rPr>
        <w:t> </w:t>
      </w:r>
      <w:r>
        <w:rPr>
          <w:color w:val="231F20"/>
          <w:w w:val="105"/>
        </w:rPr>
        <w:t>la</w:t>
      </w:r>
      <w:r>
        <w:rPr>
          <w:color w:val="231F20"/>
          <w:spacing w:val="-16"/>
          <w:w w:val="105"/>
        </w:rPr>
        <w:t> </w:t>
      </w:r>
      <w:r>
        <w:rPr>
          <w:color w:val="231F20"/>
          <w:w w:val="105"/>
        </w:rPr>
        <w:t>mano</w:t>
      </w:r>
      <w:r>
        <w:rPr>
          <w:color w:val="231F20"/>
          <w:spacing w:val="-16"/>
          <w:w w:val="105"/>
        </w:rPr>
        <w:t> </w:t>
      </w:r>
      <w:r>
        <w:rPr>
          <w:color w:val="231F20"/>
          <w:w w:val="105"/>
        </w:rPr>
        <w:t>de</w:t>
      </w:r>
      <w:r>
        <w:rPr>
          <w:color w:val="231F20"/>
          <w:spacing w:val="-16"/>
          <w:w w:val="105"/>
        </w:rPr>
        <w:t> </w:t>
      </w:r>
      <w:r>
        <w:rPr>
          <w:color w:val="231F20"/>
          <w:w w:val="105"/>
        </w:rPr>
        <w:t>obra</w:t>
      </w:r>
      <w:r>
        <w:rPr>
          <w:color w:val="231F20"/>
          <w:spacing w:val="-16"/>
          <w:w w:val="105"/>
        </w:rPr>
        <w:t> </w:t>
      </w:r>
      <w:r>
        <w:rPr>
          <w:color w:val="231F20"/>
          <w:w w:val="105"/>
        </w:rPr>
        <w:t>de</w:t>
      </w:r>
      <w:r>
        <w:rPr>
          <w:color w:val="231F20"/>
          <w:spacing w:val="-16"/>
          <w:w w:val="105"/>
        </w:rPr>
        <w:t> </w:t>
      </w:r>
      <w:r>
        <w:rPr>
          <w:color w:val="231F20"/>
          <w:w w:val="105"/>
        </w:rPr>
        <w:t>estas</w:t>
      </w:r>
      <w:r>
        <w:rPr>
          <w:color w:val="231F20"/>
          <w:spacing w:val="-16"/>
          <w:w w:val="105"/>
        </w:rPr>
        <w:t> </w:t>
      </w:r>
      <w:r>
        <w:rPr>
          <w:color w:val="231F20"/>
          <w:w w:val="105"/>
        </w:rPr>
        <w:t>empresas</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muchas</w:t>
      </w:r>
      <w:r>
        <w:rPr>
          <w:color w:val="231F20"/>
          <w:spacing w:val="-16"/>
          <w:w w:val="105"/>
        </w:rPr>
        <w:t> </w:t>
      </w:r>
      <w:r>
        <w:rPr>
          <w:color w:val="231F20"/>
          <w:w w:val="105"/>
        </w:rPr>
        <w:t>de</w:t>
      </w:r>
      <w:r>
        <w:rPr>
          <w:color w:val="231F20"/>
          <w:spacing w:val="-16"/>
          <w:w w:val="105"/>
        </w:rPr>
        <w:t> </w:t>
      </w:r>
      <w:r>
        <w:rPr>
          <w:color w:val="231F20"/>
          <w:w w:val="105"/>
        </w:rPr>
        <w:t>las existentes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valle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ciudad</w:t>
      </w:r>
      <w:r>
        <w:rPr>
          <w:color w:val="231F20"/>
          <w:spacing w:val="-19"/>
          <w:w w:val="105"/>
        </w:rPr>
        <w:t> </w:t>
      </w:r>
      <w:r>
        <w:rPr>
          <w:color w:val="231F20"/>
          <w:w w:val="105"/>
        </w:rPr>
        <w:t>de</w:t>
      </w:r>
      <w:r>
        <w:rPr>
          <w:color w:val="231F20"/>
          <w:spacing w:val="-19"/>
          <w:w w:val="105"/>
        </w:rPr>
        <w:t> </w:t>
      </w:r>
      <w:r>
        <w:rPr>
          <w:color w:val="231F20"/>
          <w:w w:val="105"/>
        </w:rPr>
        <w:t>México.</w:t>
      </w:r>
    </w:p>
    <w:p>
      <w:pPr>
        <w:pStyle w:val="BodyText"/>
        <w:spacing w:before="1"/>
        <w:rPr>
          <w:sz w:val="26"/>
        </w:rPr>
      </w:pPr>
    </w:p>
    <w:p>
      <w:pPr>
        <w:pStyle w:val="BodyText"/>
        <w:spacing w:line="285" w:lineRule="auto"/>
        <w:ind w:left="110" w:right="107"/>
        <w:jc w:val="both"/>
      </w:pPr>
      <w:r>
        <w:rPr>
          <w:color w:val="231F20"/>
          <w:w w:val="105"/>
        </w:rPr>
        <w:t>El</w:t>
      </w:r>
      <w:r>
        <w:rPr>
          <w:color w:val="231F20"/>
          <w:spacing w:val="-8"/>
          <w:w w:val="105"/>
        </w:rPr>
        <w:t> </w:t>
      </w:r>
      <w:r>
        <w:rPr>
          <w:color w:val="231F20"/>
          <w:w w:val="105"/>
        </w:rPr>
        <w:t>panismo</w:t>
      </w:r>
      <w:r>
        <w:rPr>
          <w:color w:val="231F20"/>
          <w:spacing w:val="-8"/>
          <w:w w:val="105"/>
        </w:rPr>
        <w:t> </w:t>
      </w:r>
      <w:r>
        <w:rPr>
          <w:color w:val="231F20"/>
          <w:w w:val="105"/>
        </w:rPr>
        <w:t>mencionó</w:t>
      </w:r>
      <w:r>
        <w:rPr>
          <w:color w:val="231F20"/>
          <w:spacing w:val="-8"/>
          <w:w w:val="105"/>
        </w:rPr>
        <w:t> </w:t>
      </w:r>
      <w:r>
        <w:rPr>
          <w:color w:val="231F20"/>
          <w:w w:val="105"/>
        </w:rPr>
        <w:t>que</w:t>
      </w:r>
      <w:r>
        <w:rPr>
          <w:color w:val="231F20"/>
          <w:spacing w:val="-8"/>
          <w:w w:val="105"/>
        </w:rPr>
        <w:t> </w:t>
      </w:r>
      <w:r>
        <w:rPr>
          <w:color w:val="231F20"/>
          <w:w w:val="105"/>
        </w:rPr>
        <w:t>durante</w:t>
      </w:r>
      <w:r>
        <w:rPr>
          <w:color w:val="231F20"/>
          <w:spacing w:val="-8"/>
          <w:w w:val="105"/>
        </w:rPr>
        <w:t> </w:t>
      </w:r>
      <w:r>
        <w:rPr>
          <w:color w:val="231F20"/>
          <w:w w:val="105"/>
        </w:rPr>
        <w:t>la</w:t>
      </w:r>
      <w:r>
        <w:rPr>
          <w:color w:val="231F20"/>
          <w:spacing w:val="-8"/>
          <w:w w:val="105"/>
        </w:rPr>
        <w:t> </w:t>
      </w:r>
      <w:r>
        <w:rPr>
          <w:color w:val="231F20"/>
          <w:w w:val="105"/>
        </w:rPr>
        <w:t>campaña</w:t>
      </w:r>
      <w:r>
        <w:rPr>
          <w:color w:val="231F20"/>
          <w:spacing w:val="-8"/>
          <w:w w:val="105"/>
        </w:rPr>
        <w:t> </w:t>
      </w:r>
      <w:r>
        <w:rPr>
          <w:color w:val="231F20"/>
          <w:w w:val="105"/>
        </w:rPr>
        <w:t>electoral</w:t>
      </w:r>
      <w:r>
        <w:rPr>
          <w:color w:val="231F20"/>
          <w:spacing w:val="-8"/>
          <w:w w:val="105"/>
        </w:rPr>
        <w:t> </w:t>
      </w:r>
      <w:r>
        <w:rPr>
          <w:color w:val="231F20"/>
          <w:w w:val="105"/>
        </w:rPr>
        <w:t>de</w:t>
      </w:r>
      <w:r>
        <w:rPr>
          <w:color w:val="231F20"/>
          <w:spacing w:val="-8"/>
          <w:w w:val="105"/>
        </w:rPr>
        <w:t> </w:t>
      </w:r>
      <w:r>
        <w:rPr>
          <w:color w:val="231F20"/>
          <w:w w:val="105"/>
        </w:rPr>
        <w:t>José</w:t>
      </w:r>
      <w:r>
        <w:rPr>
          <w:color w:val="231F20"/>
          <w:spacing w:val="-8"/>
          <w:w w:val="105"/>
        </w:rPr>
        <w:t> </w:t>
      </w:r>
      <w:r>
        <w:rPr>
          <w:color w:val="231F20"/>
          <w:w w:val="105"/>
        </w:rPr>
        <w:t>Luis</w:t>
      </w:r>
      <w:r>
        <w:rPr>
          <w:color w:val="231F20"/>
          <w:spacing w:val="-8"/>
          <w:w w:val="105"/>
        </w:rPr>
        <w:t> </w:t>
      </w:r>
      <w:r>
        <w:rPr>
          <w:color w:val="231F20"/>
          <w:w w:val="105"/>
        </w:rPr>
        <w:t>Durán</w:t>
      </w:r>
      <w:r>
        <w:rPr>
          <w:color w:val="231F20"/>
          <w:spacing w:val="-8"/>
          <w:w w:val="105"/>
        </w:rPr>
        <w:t> </w:t>
      </w:r>
      <w:r>
        <w:rPr>
          <w:color w:val="231F20"/>
          <w:w w:val="105"/>
        </w:rPr>
        <w:t>se</w:t>
      </w:r>
      <w:r>
        <w:rPr>
          <w:color w:val="231F20"/>
          <w:spacing w:val="-8"/>
          <w:w w:val="105"/>
        </w:rPr>
        <w:t> </w:t>
      </w:r>
      <w:r>
        <w:rPr>
          <w:color w:val="231F20"/>
          <w:w w:val="105"/>
        </w:rPr>
        <w:t>recogie- ron 2 </w:t>
      </w:r>
      <w:r>
        <w:rPr>
          <w:color w:val="231F20"/>
          <w:spacing w:val="2"/>
          <w:w w:val="105"/>
        </w:rPr>
        <w:t>mil </w:t>
      </w:r>
      <w:r>
        <w:rPr>
          <w:color w:val="231F20"/>
          <w:w w:val="105"/>
        </w:rPr>
        <w:t>380 demandas de la ciudadanía para formular el plan de </w:t>
      </w:r>
      <w:r>
        <w:rPr>
          <w:color w:val="231F20"/>
          <w:spacing w:val="-3"/>
          <w:w w:val="105"/>
        </w:rPr>
        <w:t>gobierno. También </w:t>
      </w:r>
      <w:r>
        <w:rPr>
          <w:color w:val="231F20"/>
          <w:w w:val="105"/>
        </w:rPr>
        <w:t>señaló</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elaboraron</w:t>
      </w:r>
      <w:r>
        <w:rPr>
          <w:color w:val="231F20"/>
          <w:spacing w:val="-7"/>
          <w:w w:val="105"/>
        </w:rPr>
        <w:t> </w:t>
      </w:r>
      <w:r>
        <w:rPr>
          <w:color w:val="231F20"/>
          <w:w w:val="105"/>
        </w:rPr>
        <w:t>encuestas</w:t>
      </w:r>
      <w:r>
        <w:rPr>
          <w:color w:val="231F20"/>
          <w:spacing w:val="-7"/>
          <w:w w:val="105"/>
        </w:rPr>
        <w:t> </w:t>
      </w:r>
      <w:r>
        <w:rPr>
          <w:color w:val="231F20"/>
          <w:w w:val="105"/>
        </w:rPr>
        <w:t>de</w:t>
      </w:r>
      <w:r>
        <w:rPr>
          <w:color w:val="231F20"/>
          <w:spacing w:val="-7"/>
          <w:w w:val="105"/>
        </w:rPr>
        <w:t> </w:t>
      </w:r>
      <w:r>
        <w:rPr>
          <w:color w:val="231F20"/>
          <w:w w:val="105"/>
        </w:rPr>
        <w:t>opinión</w:t>
      </w:r>
      <w:r>
        <w:rPr>
          <w:color w:val="231F20"/>
          <w:spacing w:val="-7"/>
          <w:w w:val="105"/>
        </w:rPr>
        <w:t> </w:t>
      </w:r>
      <w:r>
        <w:rPr>
          <w:color w:val="231F20"/>
          <w:w w:val="105"/>
        </w:rPr>
        <w:t>sobre</w:t>
      </w:r>
      <w:r>
        <w:rPr>
          <w:color w:val="231F20"/>
          <w:spacing w:val="-7"/>
          <w:w w:val="105"/>
        </w:rPr>
        <w:t> </w:t>
      </w:r>
      <w:r>
        <w:rPr>
          <w:color w:val="231F20"/>
          <w:w w:val="105"/>
        </w:rPr>
        <w:t>las</w:t>
      </w:r>
      <w:r>
        <w:rPr>
          <w:color w:val="231F20"/>
          <w:spacing w:val="-7"/>
          <w:w w:val="105"/>
        </w:rPr>
        <w:t> </w:t>
      </w:r>
      <w:r>
        <w:rPr>
          <w:color w:val="231F20"/>
          <w:w w:val="105"/>
        </w:rPr>
        <w:t>preocupaciones</w:t>
      </w:r>
      <w:r>
        <w:rPr>
          <w:color w:val="231F20"/>
          <w:spacing w:val="-7"/>
          <w:w w:val="105"/>
        </w:rPr>
        <w:t> </w:t>
      </w:r>
      <w:r>
        <w:rPr>
          <w:color w:val="231F20"/>
          <w:w w:val="105"/>
        </w:rPr>
        <w:t>principales</w:t>
      </w:r>
      <w:r>
        <w:rPr>
          <w:color w:val="231F20"/>
          <w:spacing w:val="-7"/>
          <w:w w:val="105"/>
        </w:rPr>
        <w:t> </w:t>
      </w:r>
      <w:r>
        <w:rPr>
          <w:color w:val="231F20"/>
          <w:w w:val="105"/>
        </w:rPr>
        <w:t>de los habitantes del municipio, de las cuales resultaron 126 nuevas propuestas o deman- das para tomar en cuenta en dicho</w:t>
      </w:r>
      <w:r>
        <w:rPr>
          <w:color w:val="231F20"/>
          <w:spacing w:val="-13"/>
          <w:w w:val="105"/>
        </w:rPr>
        <w:t> </w:t>
      </w:r>
      <w:r>
        <w:rPr>
          <w:color w:val="231F20"/>
          <w:w w:val="105"/>
        </w:rPr>
        <w:t>plan.</w:t>
      </w:r>
    </w:p>
    <w:p>
      <w:pPr>
        <w:pStyle w:val="BodyText"/>
        <w:spacing w:before="2"/>
        <w:rPr>
          <w:sz w:val="20"/>
        </w:rPr>
      </w:pPr>
    </w:p>
    <w:p>
      <w:pPr>
        <w:pStyle w:val="Heading4"/>
        <w:rPr>
          <w:i/>
        </w:rPr>
      </w:pPr>
      <w:r>
        <w:rPr>
          <w:i/>
          <w:color w:val="231F20"/>
          <w:w w:val="105"/>
        </w:rPr>
        <w:t>Principios del plan municipal</w:t>
      </w:r>
    </w:p>
    <w:p>
      <w:pPr>
        <w:pStyle w:val="BodyText"/>
        <w:spacing w:line="285" w:lineRule="auto" w:before="16"/>
        <w:ind w:left="110" w:right="108"/>
        <w:jc w:val="both"/>
      </w:pPr>
      <w:r>
        <w:rPr>
          <w:color w:val="231F20"/>
          <w:w w:val="105"/>
        </w:rPr>
        <w:t>Con</w:t>
      </w:r>
      <w:r>
        <w:rPr>
          <w:color w:val="231F20"/>
          <w:spacing w:val="-7"/>
          <w:w w:val="105"/>
        </w:rPr>
        <w:t> </w:t>
      </w:r>
      <w:r>
        <w:rPr>
          <w:color w:val="231F20"/>
          <w:w w:val="105"/>
        </w:rPr>
        <w:t>base</w:t>
      </w:r>
      <w:r>
        <w:rPr>
          <w:color w:val="231F20"/>
          <w:spacing w:val="-7"/>
          <w:w w:val="105"/>
        </w:rPr>
        <w:t> </w:t>
      </w:r>
      <w:r>
        <w:rPr>
          <w:color w:val="231F20"/>
          <w:w w:val="105"/>
        </w:rPr>
        <w:t>en</w:t>
      </w:r>
      <w:r>
        <w:rPr>
          <w:color w:val="231F20"/>
          <w:spacing w:val="-7"/>
          <w:w w:val="105"/>
        </w:rPr>
        <w:t> </w:t>
      </w:r>
      <w:r>
        <w:rPr>
          <w:color w:val="231F20"/>
          <w:w w:val="105"/>
        </w:rPr>
        <w:t>estas</w:t>
      </w:r>
      <w:r>
        <w:rPr>
          <w:color w:val="231F20"/>
          <w:spacing w:val="-7"/>
          <w:w w:val="105"/>
        </w:rPr>
        <w:t> </w:t>
      </w:r>
      <w:r>
        <w:rPr>
          <w:color w:val="231F20"/>
          <w:w w:val="105"/>
        </w:rPr>
        <w:t>fuentes</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spacing w:val="-3"/>
          <w:w w:val="105"/>
        </w:rPr>
        <w:t>los</w:t>
      </w:r>
      <w:r>
        <w:rPr>
          <w:color w:val="231F20"/>
          <w:spacing w:val="-7"/>
          <w:w w:val="105"/>
        </w:rPr>
        <w:t> </w:t>
      </w:r>
      <w:r>
        <w:rPr>
          <w:color w:val="231F20"/>
          <w:spacing w:val="-3"/>
          <w:w w:val="105"/>
        </w:rPr>
        <w:t>datos</w:t>
      </w:r>
      <w:r>
        <w:rPr>
          <w:color w:val="231F20"/>
          <w:spacing w:val="-7"/>
          <w:w w:val="105"/>
        </w:rPr>
        <w:t> </w:t>
      </w:r>
      <w:r>
        <w:rPr>
          <w:color w:val="231F20"/>
          <w:spacing w:val="-3"/>
          <w:w w:val="105"/>
        </w:rPr>
        <w:t>principales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spacing w:val="-3"/>
          <w:w w:val="105"/>
        </w:rPr>
        <w:t>situación</w:t>
      </w:r>
      <w:r>
        <w:rPr>
          <w:color w:val="231F20"/>
          <w:spacing w:val="-7"/>
          <w:w w:val="105"/>
        </w:rPr>
        <w:t> </w:t>
      </w:r>
      <w:r>
        <w:rPr>
          <w:color w:val="231F20"/>
          <w:w w:val="105"/>
        </w:rPr>
        <w:t>social</w:t>
      </w:r>
      <w:r>
        <w:rPr>
          <w:color w:val="231F20"/>
          <w:spacing w:val="-7"/>
          <w:w w:val="105"/>
        </w:rPr>
        <w:t> </w:t>
      </w:r>
      <w:r>
        <w:rPr>
          <w:color w:val="231F20"/>
          <w:spacing w:val="-3"/>
          <w:w w:val="105"/>
        </w:rPr>
        <w:t>del</w:t>
      </w:r>
      <w:r>
        <w:rPr>
          <w:color w:val="231F20"/>
          <w:spacing w:val="-7"/>
          <w:w w:val="105"/>
        </w:rPr>
        <w:t> </w:t>
      </w:r>
      <w:r>
        <w:rPr>
          <w:color w:val="231F20"/>
          <w:spacing w:val="-4"/>
          <w:w w:val="105"/>
        </w:rPr>
        <w:t>municipio, </w:t>
      </w:r>
      <w:r>
        <w:rPr>
          <w:color w:val="231F20"/>
          <w:spacing w:val="-3"/>
          <w:w w:val="105"/>
        </w:rPr>
        <w:t>los</w:t>
      </w:r>
      <w:r>
        <w:rPr>
          <w:color w:val="231F20"/>
          <w:spacing w:val="-16"/>
          <w:w w:val="105"/>
        </w:rPr>
        <w:t> </w:t>
      </w:r>
      <w:r>
        <w:rPr>
          <w:color w:val="231F20"/>
          <w:w w:val="105"/>
        </w:rPr>
        <w:t>panistas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poder</w:t>
      </w:r>
      <w:r>
        <w:rPr>
          <w:color w:val="231F20"/>
          <w:spacing w:val="-16"/>
          <w:w w:val="105"/>
        </w:rPr>
        <w:t> </w:t>
      </w:r>
      <w:r>
        <w:rPr>
          <w:color w:val="231F20"/>
          <w:spacing w:val="-3"/>
          <w:w w:val="105"/>
        </w:rPr>
        <w:t>identificaron</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seguridad</w:t>
      </w:r>
      <w:r>
        <w:rPr>
          <w:color w:val="231F20"/>
          <w:spacing w:val="-16"/>
          <w:w w:val="105"/>
        </w:rPr>
        <w:t> </w:t>
      </w:r>
      <w:r>
        <w:rPr>
          <w:color w:val="231F20"/>
          <w:spacing w:val="-3"/>
          <w:w w:val="105"/>
        </w:rPr>
        <w:t>pública</w:t>
      </w:r>
      <w:r>
        <w:rPr>
          <w:color w:val="231F20"/>
          <w:spacing w:val="-16"/>
          <w:w w:val="105"/>
        </w:rPr>
        <w:t> </w:t>
      </w:r>
      <w:r>
        <w:rPr>
          <w:color w:val="231F20"/>
          <w:spacing w:val="-4"/>
          <w:w w:val="105"/>
        </w:rPr>
        <w:t>como</w:t>
      </w:r>
      <w:r>
        <w:rPr>
          <w:color w:val="231F20"/>
          <w:spacing w:val="-16"/>
          <w:w w:val="105"/>
        </w:rPr>
        <w:t> </w:t>
      </w:r>
      <w:r>
        <w:rPr>
          <w:color w:val="231F20"/>
          <w:w w:val="105"/>
        </w:rPr>
        <w:t>el</w:t>
      </w:r>
      <w:r>
        <w:rPr>
          <w:color w:val="231F20"/>
          <w:spacing w:val="-16"/>
          <w:w w:val="105"/>
        </w:rPr>
        <w:t> </w:t>
      </w:r>
      <w:r>
        <w:rPr>
          <w:color w:val="231F20"/>
          <w:w w:val="105"/>
        </w:rPr>
        <w:t>principal</w:t>
      </w:r>
      <w:r>
        <w:rPr>
          <w:color w:val="231F20"/>
          <w:spacing w:val="-16"/>
          <w:w w:val="105"/>
        </w:rPr>
        <w:t> </w:t>
      </w:r>
      <w:r>
        <w:rPr>
          <w:color w:val="231F20"/>
          <w:w w:val="105"/>
        </w:rPr>
        <w:t>reclamo</w:t>
      </w:r>
      <w:r>
        <w:rPr>
          <w:color w:val="231F20"/>
          <w:spacing w:val="-16"/>
          <w:w w:val="105"/>
        </w:rPr>
        <w:t> </w:t>
      </w:r>
      <w:r>
        <w:rPr>
          <w:color w:val="231F20"/>
          <w:w w:val="105"/>
        </w:rPr>
        <w:t>de la</w:t>
      </w:r>
      <w:r>
        <w:rPr>
          <w:color w:val="231F20"/>
          <w:spacing w:val="-17"/>
          <w:w w:val="105"/>
        </w:rPr>
        <w:t> </w:t>
      </w:r>
      <w:r>
        <w:rPr>
          <w:color w:val="231F20"/>
          <w:spacing w:val="-3"/>
          <w:w w:val="105"/>
        </w:rPr>
        <w:t>sociedad,</w:t>
      </w:r>
      <w:r>
        <w:rPr>
          <w:color w:val="231F20"/>
          <w:spacing w:val="-17"/>
          <w:w w:val="105"/>
        </w:rPr>
        <w:t> </w:t>
      </w:r>
      <w:r>
        <w:rPr>
          <w:color w:val="231F20"/>
          <w:w w:val="105"/>
        </w:rPr>
        <w:t>seguido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4"/>
          <w:w w:val="105"/>
        </w:rPr>
        <w:t>generación</w:t>
      </w:r>
      <w:r>
        <w:rPr>
          <w:color w:val="231F20"/>
          <w:spacing w:val="-17"/>
          <w:w w:val="105"/>
        </w:rPr>
        <w:t> </w:t>
      </w:r>
      <w:r>
        <w:rPr>
          <w:color w:val="231F20"/>
          <w:w w:val="105"/>
        </w:rPr>
        <w:t>de</w:t>
      </w:r>
      <w:r>
        <w:rPr>
          <w:color w:val="231F20"/>
          <w:spacing w:val="-17"/>
          <w:w w:val="105"/>
        </w:rPr>
        <w:t> </w:t>
      </w:r>
      <w:r>
        <w:rPr>
          <w:color w:val="231F20"/>
          <w:spacing w:val="-4"/>
          <w:w w:val="105"/>
        </w:rPr>
        <w:t>condiciones</w:t>
      </w:r>
      <w:r>
        <w:rPr>
          <w:color w:val="231F20"/>
          <w:spacing w:val="-17"/>
          <w:w w:val="105"/>
        </w:rPr>
        <w:t> </w:t>
      </w:r>
      <w:r>
        <w:rPr>
          <w:color w:val="231F20"/>
          <w:spacing w:val="-4"/>
          <w:w w:val="105"/>
        </w:rPr>
        <w:t>propicias</w:t>
      </w:r>
      <w:r>
        <w:rPr>
          <w:color w:val="231F20"/>
          <w:spacing w:val="-17"/>
          <w:w w:val="105"/>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spacing w:val="-4"/>
          <w:w w:val="105"/>
        </w:rPr>
        <w:t>inversión</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spacing w:val="-4"/>
          <w:w w:val="105"/>
        </w:rPr>
        <w:t>gene- ración </w:t>
      </w:r>
      <w:r>
        <w:rPr>
          <w:color w:val="231F20"/>
          <w:w w:val="105"/>
        </w:rPr>
        <w:t>de </w:t>
      </w:r>
      <w:r>
        <w:rPr>
          <w:color w:val="231F20"/>
          <w:spacing w:val="-4"/>
          <w:w w:val="105"/>
        </w:rPr>
        <w:t>empleos. </w:t>
      </w:r>
      <w:r>
        <w:rPr>
          <w:color w:val="231F20"/>
          <w:spacing w:val="-3"/>
          <w:w w:val="105"/>
        </w:rPr>
        <w:t>Respecto del primero, </w:t>
      </w:r>
      <w:r>
        <w:rPr>
          <w:color w:val="231F20"/>
          <w:w w:val="105"/>
        </w:rPr>
        <w:t>un </w:t>
      </w:r>
      <w:r>
        <w:rPr>
          <w:color w:val="231F20"/>
          <w:spacing w:val="-3"/>
          <w:w w:val="105"/>
        </w:rPr>
        <w:t>dato </w:t>
      </w:r>
      <w:r>
        <w:rPr>
          <w:color w:val="231F20"/>
          <w:w w:val="105"/>
        </w:rPr>
        <w:t>francamente </w:t>
      </w:r>
      <w:r>
        <w:rPr>
          <w:color w:val="231F20"/>
          <w:spacing w:val="-3"/>
          <w:w w:val="105"/>
        </w:rPr>
        <w:t>preocupante </w:t>
      </w:r>
      <w:r>
        <w:rPr>
          <w:color w:val="231F20"/>
          <w:w w:val="105"/>
        </w:rPr>
        <w:t>era </w:t>
      </w:r>
      <w:r>
        <w:rPr>
          <w:color w:val="231F20"/>
          <w:spacing w:val="-3"/>
          <w:w w:val="105"/>
        </w:rPr>
        <w:t>que por cada</w:t>
      </w:r>
      <w:r>
        <w:rPr>
          <w:color w:val="231F20"/>
          <w:spacing w:val="-18"/>
          <w:w w:val="105"/>
        </w:rPr>
        <w:t> </w:t>
      </w:r>
      <w:r>
        <w:rPr>
          <w:color w:val="231F20"/>
          <w:w w:val="105"/>
        </w:rPr>
        <w:t>mil</w:t>
      </w:r>
      <w:r>
        <w:rPr>
          <w:color w:val="231F20"/>
          <w:spacing w:val="-18"/>
          <w:w w:val="105"/>
        </w:rPr>
        <w:t> </w:t>
      </w:r>
      <w:r>
        <w:rPr>
          <w:color w:val="231F20"/>
          <w:spacing w:val="-3"/>
          <w:w w:val="105"/>
        </w:rPr>
        <w:t>habitantes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2006</w:t>
      </w:r>
      <w:r>
        <w:rPr>
          <w:color w:val="231F20"/>
          <w:spacing w:val="-18"/>
          <w:w w:val="105"/>
        </w:rPr>
        <w:t> </w:t>
      </w:r>
      <w:r>
        <w:rPr>
          <w:color w:val="231F20"/>
          <w:spacing w:val="-3"/>
          <w:w w:val="105"/>
        </w:rPr>
        <w:t>había</w:t>
      </w:r>
      <w:r>
        <w:rPr>
          <w:color w:val="231F20"/>
          <w:spacing w:val="-18"/>
          <w:w w:val="105"/>
        </w:rPr>
        <w:t> </w:t>
      </w:r>
      <w:r>
        <w:rPr>
          <w:color w:val="231F20"/>
          <w:spacing w:val="-3"/>
          <w:w w:val="105"/>
        </w:rPr>
        <w:t>solamente</w:t>
      </w:r>
      <w:r>
        <w:rPr>
          <w:color w:val="231F20"/>
          <w:spacing w:val="-18"/>
          <w:w w:val="105"/>
        </w:rPr>
        <w:t> </w:t>
      </w:r>
      <w:r>
        <w:rPr>
          <w:color w:val="231F20"/>
          <w:w w:val="105"/>
        </w:rPr>
        <w:t>2.3</w:t>
      </w:r>
      <w:r>
        <w:rPr>
          <w:color w:val="231F20"/>
          <w:spacing w:val="-18"/>
          <w:w w:val="105"/>
        </w:rPr>
        <w:t> </w:t>
      </w:r>
      <w:r>
        <w:rPr>
          <w:color w:val="231F20"/>
          <w:w w:val="105"/>
        </w:rPr>
        <w:t>policías</w:t>
      </w:r>
      <w:r>
        <w:rPr>
          <w:color w:val="231F20"/>
          <w:spacing w:val="-18"/>
          <w:w w:val="105"/>
        </w:rPr>
        <w:t> </w:t>
      </w:r>
      <w:r>
        <w:rPr>
          <w:color w:val="231F20"/>
          <w:w w:val="105"/>
        </w:rPr>
        <w:t>regulares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4"/>
          <w:w w:val="105"/>
        </w:rPr>
        <w:t>municipio.</w:t>
      </w:r>
    </w:p>
    <w:p>
      <w:pPr>
        <w:pStyle w:val="BodyText"/>
        <w:spacing w:before="1"/>
        <w:rPr>
          <w:sz w:val="26"/>
        </w:rPr>
      </w:pPr>
    </w:p>
    <w:p>
      <w:pPr>
        <w:pStyle w:val="BodyText"/>
        <w:spacing w:line="285" w:lineRule="auto"/>
        <w:ind w:left="110" w:right="107"/>
        <w:jc w:val="both"/>
      </w:pPr>
      <w:r>
        <w:rPr>
          <w:color w:val="231F20"/>
          <w:w w:val="105"/>
        </w:rPr>
        <w:t>En tercer lugar de prioridades, Acción Nacional apuntó el mejoramiento de la presta- ción de servicios como otra demanda sentida de la población: recolección de basura, alumbrado</w:t>
      </w:r>
      <w:r>
        <w:rPr>
          <w:color w:val="231F20"/>
          <w:spacing w:val="-11"/>
          <w:w w:val="105"/>
        </w:rPr>
        <w:t> </w:t>
      </w:r>
      <w:r>
        <w:rPr>
          <w:color w:val="231F20"/>
          <w:w w:val="105"/>
        </w:rPr>
        <w:t>público,</w:t>
      </w:r>
      <w:r>
        <w:rPr>
          <w:color w:val="231F20"/>
          <w:spacing w:val="-11"/>
          <w:w w:val="105"/>
        </w:rPr>
        <w:t> </w:t>
      </w:r>
      <w:r>
        <w:rPr>
          <w:color w:val="231F20"/>
          <w:w w:val="105"/>
        </w:rPr>
        <w:t>mantenimiento</w:t>
      </w:r>
      <w:r>
        <w:rPr>
          <w:color w:val="231F20"/>
          <w:spacing w:val="-11"/>
          <w:w w:val="105"/>
        </w:rPr>
        <w:t> </w:t>
      </w:r>
      <w:r>
        <w:rPr>
          <w:color w:val="231F20"/>
          <w:w w:val="105"/>
        </w:rPr>
        <w:t>de</w:t>
      </w:r>
      <w:r>
        <w:rPr>
          <w:color w:val="231F20"/>
          <w:spacing w:val="-11"/>
          <w:w w:val="105"/>
        </w:rPr>
        <w:t> </w:t>
      </w:r>
      <w:r>
        <w:rPr>
          <w:color w:val="231F20"/>
          <w:w w:val="105"/>
        </w:rPr>
        <w:t>parques</w:t>
      </w:r>
      <w:r>
        <w:rPr>
          <w:color w:val="231F20"/>
          <w:spacing w:val="-11"/>
          <w:w w:val="105"/>
        </w:rPr>
        <w:t> </w:t>
      </w:r>
      <w:r>
        <w:rPr>
          <w:color w:val="231F20"/>
          <w:w w:val="105"/>
        </w:rPr>
        <w:t>y</w:t>
      </w:r>
      <w:r>
        <w:rPr>
          <w:color w:val="231F20"/>
          <w:spacing w:val="-11"/>
          <w:w w:val="105"/>
        </w:rPr>
        <w:t> </w:t>
      </w:r>
      <w:r>
        <w:rPr>
          <w:color w:val="231F20"/>
          <w:w w:val="105"/>
        </w:rPr>
        <w:t>jardines,</w:t>
      </w:r>
      <w:r>
        <w:rPr>
          <w:color w:val="231F20"/>
          <w:spacing w:val="-11"/>
          <w:w w:val="105"/>
        </w:rPr>
        <w:t> </w:t>
      </w:r>
      <w:r>
        <w:rPr>
          <w:color w:val="231F20"/>
          <w:w w:val="105"/>
        </w:rPr>
        <w:t>suministro</w:t>
      </w:r>
      <w:r>
        <w:rPr>
          <w:color w:val="231F20"/>
          <w:spacing w:val="-11"/>
          <w:w w:val="105"/>
        </w:rPr>
        <w:t> </w:t>
      </w:r>
      <w:r>
        <w:rPr>
          <w:color w:val="231F20"/>
          <w:w w:val="105"/>
        </w:rPr>
        <w:t>de</w:t>
      </w:r>
      <w:r>
        <w:rPr>
          <w:color w:val="231F20"/>
          <w:spacing w:val="-11"/>
          <w:w w:val="105"/>
        </w:rPr>
        <w:t> </w:t>
      </w:r>
      <w:r>
        <w:rPr>
          <w:color w:val="231F20"/>
          <w:w w:val="105"/>
        </w:rPr>
        <w:t>agua</w:t>
      </w:r>
      <w:r>
        <w:rPr>
          <w:color w:val="231F20"/>
          <w:spacing w:val="-11"/>
          <w:w w:val="105"/>
        </w:rPr>
        <w:t> </w:t>
      </w:r>
      <w:r>
        <w:rPr>
          <w:color w:val="231F20"/>
          <w:w w:val="105"/>
        </w:rPr>
        <w:t>potable</w:t>
      </w:r>
      <w:r>
        <w:rPr>
          <w:color w:val="231F20"/>
          <w:spacing w:val="-11"/>
          <w:w w:val="105"/>
        </w:rPr>
        <w:t> </w:t>
      </w:r>
      <w:r>
        <w:rPr>
          <w:color w:val="231F20"/>
          <w:w w:val="105"/>
        </w:rPr>
        <w:t>y mantenimiento de las</w:t>
      </w:r>
      <w:r>
        <w:rPr>
          <w:color w:val="231F20"/>
          <w:spacing w:val="-40"/>
          <w:w w:val="105"/>
        </w:rPr>
        <w:t> </w:t>
      </w:r>
      <w:r>
        <w:rPr>
          <w:color w:val="231F20"/>
          <w:w w:val="105"/>
        </w:rPr>
        <w:t>vialidades.</w:t>
      </w:r>
    </w:p>
    <w:p>
      <w:pPr>
        <w:pStyle w:val="BodyText"/>
        <w:spacing w:before="1"/>
        <w:rPr>
          <w:sz w:val="26"/>
        </w:rPr>
      </w:pPr>
    </w:p>
    <w:p>
      <w:pPr>
        <w:pStyle w:val="BodyText"/>
        <w:ind w:left="110"/>
        <w:jc w:val="both"/>
      </w:pPr>
      <w:r>
        <w:rPr>
          <w:color w:val="231F20"/>
          <w:w w:val="105"/>
        </w:rPr>
        <w:t>En su concepción de desarrollo humano integral, el panismo consideró recursos como</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los</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becas</w:t>
      </w:r>
      <w:r>
        <w:rPr>
          <w:color w:val="231F20"/>
          <w:spacing w:val="-8"/>
          <w:w w:val="105"/>
        </w:rPr>
        <w:t> </w:t>
      </w:r>
      <w:r>
        <w:rPr>
          <w:color w:val="231F20"/>
          <w:w w:val="105"/>
        </w:rPr>
        <w:t>para</w:t>
      </w:r>
      <w:r>
        <w:rPr>
          <w:color w:val="231F20"/>
          <w:spacing w:val="-8"/>
          <w:w w:val="105"/>
        </w:rPr>
        <w:t> </w:t>
      </w:r>
      <w:r>
        <w:rPr>
          <w:color w:val="231F20"/>
          <w:w w:val="105"/>
        </w:rPr>
        <w:t>estudiantes,</w:t>
      </w:r>
      <w:r>
        <w:rPr>
          <w:color w:val="231F20"/>
          <w:spacing w:val="-8"/>
          <w:w w:val="105"/>
        </w:rPr>
        <w:t> </w:t>
      </w:r>
      <w:r>
        <w:rPr>
          <w:color w:val="231F20"/>
          <w:w w:val="105"/>
        </w:rPr>
        <w:t>el</w:t>
      </w:r>
      <w:r>
        <w:rPr>
          <w:color w:val="231F20"/>
          <w:spacing w:val="-8"/>
          <w:w w:val="105"/>
        </w:rPr>
        <w:t> </w:t>
      </w:r>
      <w:r>
        <w:rPr>
          <w:color w:val="231F20"/>
          <w:w w:val="105"/>
        </w:rPr>
        <w:t>programa</w:t>
      </w:r>
      <w:r>
        <w:rPr>
          <w:color w:val="231F20"/>
          <w:spacing w:val="-8"/>
          <w:w w:val="105"/>
        </w:rPr>
        <w:t> </w:t>
      </w:r>
      <w:r>
        <w:rPr>
          <w:color w:val="231F20"/>
          <w:w w:val="105"/>
        </w:rPr>
        <w:t>de</w:t>
      </w:r>
      <w:r>
        <w:rPr>
          <w:color w:val="231F20"/>
          <w:spacing w:val="-8"/>
          <w:w w:val="105"/>
        </w:rPr>
        <w:t> </w:t>
      </w:r>
      <w:r>
        <w:rPr>
          <w:color w:val="231F20"/>
          <w:w w:val="105"/>
        </w:rPr>
        <w:t>“Escuela</w:t>
      </w:r>
      <w:r>
        <w:rPr>
          <w:color w:val="231F20"/>
          <w:spacing w:val="-8"/>
          <w:w w:val="105"/>
        </w:rPr>
        <w:t> </w:t>
      </w:r>
      <w:r>
        <w:rPr>
          <w:color w:val="231F20"/>
          <w:spacing w:val="-3"/>
          <w:w w:val="105"/>
        </w:rPr>
        <w:t>digna”,</w:t>
      </w:r>
      <w:r>
        <w:rPr>
          <w:color w:val="231F20"/>
          <w:spacing w:val="-8"/>
          <w:w w:val="105"/>
        </w:rPr>
        <w:t> </w:t>
      </w:r>
      <w:r>
        <w:rPr>
          <w:color w:val="231F20"/>
          <w:w w:val="105"/>
        </w:rPr>
        <w:t>el</w:t>
      </w:r>
      <w:r>
        <w:rPr>
          <w:color w:val="231F20"/>
          <w:spacing w:val="-8"/>
          <w:w w:val="105"/>
        </w:rPr>
        <w:t> </w:t>
      </w:r>
      <w:r>
        <w:rPr>
          <w:color w:val="231F20"/>
          <w:spacing w:val="-3"/>
          <w:w w:val="105"/>
        </w:rPr>
        <w:t>fomento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salud preventiva,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cultura</w:t>
      </w:r>
      <w:r>
        <w:rPr>
          <w:color w:val="231F20"/>
          <w:spacing w:val="-5"/>
          <w:w w:val="105"/>
        </w:rPr>
        <w:t> </w:t>
      </w:r>
      <w:r>
        <w:rPr>
          <w:color w:val="231F20"/>
          <w:w w:val="105"/>
        </w:rPr>
        <w:t>y</w:t>
      </w:r>
      <w:r>
        <w:rPr>
          <w:color w:val="231F20"/>
          <w:spacing w:val="-5"/>
          <w:w w:val="105"/>
        </w:rPr>
        <w:t> </w:t>
      </w:r>
      <w:r>
        <w:rPr>
          <w:color w:val="231F20"/>
          <w:spacing w:val="2"/>
          <w:w w:val="105"/>
        </w:rPr>
        <w:t>al</w:t>
      </w:r>
      <w:r>
        <w:rPr>
          <w:color w:val="231F20"/>
          <w:spacing w:val="-5"/>
          <w:w w:val="105"/>
        </w:rPr>
        <w:t> </w:t>
      </w:r>
      <w:r>
        <w:rPr>
          <w:color w:val="231F20"/>
          <w:w w:val="105"/>
        </w:rPr>
        <w:t>deporte,</w:t>
      </w:r>
      <w:r>
        <w:rPr>
          <w:color w:val="231F20"/>
          <w:spacing w:val="-5"/>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los</w:t>
      </w:r>
      <w:r>
        <w:rPr>
          <w:color w:val="231F20"/>
          <w:spacing w:val="-5"/>
          <w:w w:val="105"/>
        </w:rPr>
        <w:t> </w:t>
      </w:r>
      <w:r>
        <w:rPr>
          <w:color w:val="231F20"/>
          <w:w w:val="105"/>
        </w:rPr>
        <w:t>apoyos</w:t>
      </w:r>
      <w:r>
        <w:rPr>
          <w:color w:val="231F20"/>
          <w:spacing w:val="-5"/>
          <w:w w:val="105"/>
        </w:rPr>
        <w:t> </w:t>
      </w:r>
      <w:r>
        <w:rPr>
          <w:color w:val="231F20"/>
          <w:w w:val="105"/>
        </w:rPr>
        <w:t>a</w:t>
      </w:r>
      <w:r>
        <w:rPr>
          <w:color w:val="231F20"/>
          <w:spacing w:val="-5"/>
          <w:w w:val="105"/>
        </w:rPr>
        <w:t> </w:t>
      </w:r>
      <w:r>
        <w:rPr>
          <w:color w:val="231F20"/>
          <w:w w:val="105"/>
        </w:rPr>
        <w:t>adultos</w:t>
      </w:r>
      <w:r>
        <w:rPr>
          <w:color w:val="231F20"/>
          <w:spacing w:val="-5"/>
          <w:w w:val="105"/>
        </w:rPr>
        <w:t> </w:t>
      </w:r>
      <w:r>
        <w:rPr>
          <w:color w:val="231F20"/>
          <w:w w:val="105"/>
        </w:rPr>
        <w:t>mayores</w:t>
      </w:r>
      <w:r>
        <w:rPr>
          <w:color w:val="231F20"/>
          <w:spacing w:val="-5"/>
          <w:w w:val="105"/>
        </w:rPr>
        <w:t> </w:t>
      </w:r>
      <w:r>
        <w:rPr>
          <w:color w:val="231F20"/>
          <w:w w:val="105"/>
        </w:rPr>
        <w:t>y</w:t>
      </w:r>
      <w:r>
        <w:rPr>
          <w:color w:val="231F20"/>
          <w:spacing w:val="-5"/>
          <w:w w:val="105"/>
        </w:rPr>
        <w:t> </w:t>
      </w:r>
      <w:r>
        <w:rPr>
          <w:color w:val="231F20"/>
          <w:w w:val="105"/>
        </w:rPr>
        <w:t>discapa- citados.</w:t>
      </w:r>
      <w:r>
        <w:rPr>
          <w:color w:val="231F20"/>
          <w:spacing w:val="-10"/>
          <w:w w:val="105"/>
        </w:rPr>
        <w:t> </w:t>
      </w:r>
      <w:r>
        <w:rPr>
          <w:color w:val="231F20"/>
          <w:w w:val="105"/>
        </w:rPr>
        <w:t>Como</w:t>
      </w:r>
      <w:r>
        <w:rPr>
          <w:color w:val="231F20"/>
          <w:spacing w:val="-10"/>
          <w:w w:val="105"/>
        </w:rPr>
        <w:t> </w:t>
      </w:r>
      <w:r>
        <w:rPr>
          <w:color w:val="231F20"/>
          <w:w w:val="105"/>
        </w:rPr>
        <w:t>veremos</w:t>
      </w:r>
      <w:r>
        <w:rPr>
          <w:color w:val="231F20"/>
          <w:spacing w:val="-10"/>
          <w:w w:val="105"/>
        </w:rPr>
        <w:t> </w:t>
      </w:r>
      <w:r>
        <w:rPr>
          <w:color w:val="231F20"/>
          <w:w w:val="105"/>
        </w:rPr>
        <w:t>más</w:t>
      </w:r>
      <w:r>
        <w:rPr>
          <w:color w:val="231F20"/>
          <w:spacing w:val="-10"/>
          <w:w w:val="105"/>
        </w:rPr>
        <w:t> </w:t>
      </w:r>
      <w:r>
        <w:rPr>
          <w:color w:val="231F20"/>
          <w:w w:val="105"/>
        </w:rPr>
        <w:t>adelante,</w:t>
      </w:r>
      <w:r>
        <w:rPr>
          <w:color w:val="231F20"/>
          <w:spacing w:val="-10"/>
          <w:w w:val="105"/>
        </w:rPr>
        <w:t> </w:t>
      </w:r>
      <w:r>
        <w:rPr>
          <w:color w:val="231F20"/>
          <w:w w:val="105"/>
        </w:rPr>
        <w:t>estas</w:t>
      </w:r>
      <w:r>
        <w:rPr>
          <w:color w:val="231F20"/>
          <w:spacing w:val="-10"/>
          <w:w w:val="105"/>
        </w:rPr>
        <w:t> </w:t>
      </w:r>
      <w:r>
        <w:rPr>
          <w:color w:val="231F20"/>
          <w:w w:val="105"/>
        </w:rPr>
        <w:t>posiciones</w:t>
      </w:r>
      <w:r>
        <w:rPr>
          <w:color w:val="231F20"/>
          <w:spacing w:val="-10"/>
          <w:w w:val="105"/>
        </w:rPr>
        <w:t> </w:t>
      </w:r>
      <w:r>
        <w:rPr>
          <w:color w:val="231F20"/>
          <w:w w:val="105"/>
        </w:rPr>
        <w:t>fueron</w:t>
      </w:r>
      <w:r>
        <w:rPr>
          <w:color w:val="231F20"/>
          <w:spacing w:val="-10"/>
          <w:w w:val="105"/>
        </w:rPr>
        <w:t> </w:t>
      </w:r>
      <w:r>
        <w:rPr>
          <w:color w:val="231F20"/>
          <w:w w:val="105"/>
        </w:rPr>
        <w:t>más</w:t>
      </w:r>
      <w:r>
        <w:rPr>
          <w:color w:val="231F20"/>
          <w:spacing w:val="-10"/>
          <w:w w:val="105"/>
        </w:rPr>
        <w:t> </w:t>
      </w:r>
      <w:r>
        <w:rPr>
          <w:color w:val="231F20"/>
          <w:w w:val="105"/>
        </w:rPr>
        <w:t>retóricas</w:t>
      </w:r>
      <w:r>
        <w:rPr>
          <w:color w:val="231F20"/>
          <w:spacing w:val="-10"/>
          <w:w w:val="105"/>
        </w:rPr>
        <w:t> </w:t>
      </w:r>
      <w:r>
        <w:rPr>
          <w:color w:val="231F20"/>
          <w:w w:val="105"/>
        </w:rPr>
        <w:t>que</w:t>
      </w:r>
      <w:r>
        <w:rPr>
          <w:color w:val="231F20"/>
          <w:spacing w:val="-10"/>
          <w:w w:val="105"/>
        </w:rPr>
        <w:t> </w:t>
      </w:r>
      <w:r>
        <w:rPr>
          <w:color w:val="231F20"/>
          <w:w w:val="105"/>
        </w:rPr>
        <w:t>reales, pues</w:t>
      </w:r>
      <w:r>
        <w:rPr>
          <w:color w:val="231F20"/>
          <w:spacing w:val="-14"/>
          <w:w w:val="105"/>
        </w:rPr>
        <w:t> </w:t>
      </w:r>
      <w:r>
        <w:rPr>
          <w:color w:val="231F20"/>
          <w:w w:val="105"/>
        </w:rPr>
        <w:t>el</w:t>
      </w:r>
      <w:r>
        <w:rPr>
          <w:color w:val="231F20"/>
          <w:spacing w:val="-14"/>
          <w:w w:val="105"/>
        </w:rPr>
        <w:t> </w:t>
      </w:r>
      <w:r>
        <w:rPr>
          <w:color w:val="231F20"/>
          <w:spacing w:val="-3"/>
          <w:w w:val="105"/>
        </w:rPr>
        <w:t>monto</w:t>
      </w:r>
      <w:r>
        <w:rPr>
          <w:color w:val="231F20"/>
          <w:spacing w:val="-14"/>
          <w:w w:val="105"/>
        </w:rPr>
        <w:t> </w:t>
      </w:r>
      <w:r>
        <w:rPr>
          <w:color w:val="231F20"/>
          <w:w w:val="105"/>
        </w:rPr>
        <w:t>de</w:t>
      </w:r>
      <w:r>
        <w:rPr>
          <w:color w:val="231F20"/>
          <w:spacing w:val="-14"/>
          <w:w w:val="105"/>
        </w:rPr>
        <w:t> </w:t>
      </w:r>
      <w:r>
        <w:rPr>
          <w:color w:val="231F20"/>
          <w:w w:val="105"/>
        </w:rPr>
        <w:t>recursos</w:t>
      </w:r>
      <w:r>
        <w:rPr>
          <w:color w:val="231F20"/>
          <w:spacing w:val="-14"/>
          <w:w w:val="105"/>
        </w:rPr>
        <w:t> </w:t>
      </w:r>
      <w:r>
        <w:rPr>
          <w:color w:val="231F20"/>
          <w:w w:val="105"/>
        </w:rPr>
        <w:t>asignados</w:t>
      </w:r>
      <w:r>
        <w:rPr>
          <w:color w:val="231F20"/>
          <w:spacing w:val="-14"/>
          <w:w w:val="105"/>
        </w:rPr>
        <w:t> </w:t>
      </w:r>
      <w:r>
        <w:rPr>
          <w:color w:val="231F20"/>
          <w:w w:val="105"/>
        </w:rPr>
        <w:t>a</w:t>
      </w:r>
      <w:r>
        <w:rPr>
          <w:color w:val="231F20"/>
          <w:spacing w:val="-14"/>
          <w:w w:val="105"/>
        </w:rPr>
        <w:t> </w:t>
      </w:r>
      <w:r>
        <w:rPr>
          <w:color w:val="231F20"/>
          <w:w w:val="105"/>
        </w:rPr>
        <w:t>ellas</w:t>
      </w:r>
      <w:r>
        <w:rPr>
          <w:color w:val="231F20"/>
          <w:spacing w:val="-14"/>
          <w:w w:val="105"/>
        </w:rPr>
        <w:t> </w:t>
      </w:r>
      <w:r>
        <w:rPr>
          <w:color w:val="231F20"/>
          <w:w w:val="105"/>
        </w:rPr>
        <w:t>fue</w:t>
      </w:r>
      <w:r>
        <w:rPr>
          <w:color w:val="231F20"/>
          <w:spacing w:val="-14"/>
          <w:w w:val="105"/>
        </w:rPr>
        <w:t> </w:t>
      </w:r>
      <w:r>
        <w:rPr>
          <w:color w:val="231F20"/>
          <w:w w:val="105"/>
        </w:rPr>
        <w:t>exiguo.</w:t>
      </w:r>
    </w:p>
    <w:p>
      <w:pPr>
        <w:pStyle w:val="BodyText"/>
        <w:spacing w:before="1"/>
        <w:rPr>
          <w:sz w:val="26"/>
        </w:rPr>
      </w:pPr>
    </w:p>
    <w:p>
      <w:pPr>
        <w:pStyle w:val="BodyText"/>
        <w:spacing w:line="285" w:lineRule="auto"/>
        <w:ind w:left="110" w:right="107"/>
        <w:jc w:val="both"/>
      </w:pPr>
      <w:r>
        <w:rPr>
          <w:color w:val="231F20"/>
          <w:w w:val="105"/>
        </w:rPr>
        <w:t>El orden de las prioridades del plan no es gratuito: se deriva de una visión centrada  en</w:t>
      </w:r>
      <w:r>
        <w:rPr>
          <w:color w:val="231F20"/>
          <w:spacing w:val="-7"/>
          <w:w w:val="105"/>
        </w:rPr>
        <w:t> </w:t>
      </w:r>
      <w:r>
        <w:rPr>
          <w:color w:val="231F20"/>
          <w:w w:val="105"/>
        </w:rPr>
        <w:t>la</w:t>
      </w:r>
      <w:r>
        <w:rPr>
          <w:color w:val="231F20"/>
          <w:spacing w:val="-7"/>
          <w:w w:val="105"/>
        </w:rPr>
        <w:t> </w:t>
      </w:r>
      <w:r>
        <w:rPr>
          <w:color w:val="231F20"/>
          <w:w w:val="105"/>
        </w:rPr>
        <w:t>prevención</w:t>
      </w:r>
      <w:r>
        <w:rPr>
          <w:color w:val="231F20"/>
          <w:spacing w:val="-7"/>
          <w:w w:val="105"/>
        </w:rPr>
        <w:t> </w:t>
      </w:r>
      <w:r>
        <w:rPr>
          <w:color w:val="231F20"/>
          <w:w w:val="105"/>
        </w:rPr>
        <w:t>del</w:t>
      </w:r>
      <w:r>
        <w:rPr>
          <w:color w:val="231F20"/>
          <w:spacing w:val="-7"/>
          <w:w w:val="105"/>
        </w:rPr>
        <w:t> </w:t>
      </w:r>
      <w:r>
        <w:rPr>
          <w:color w:val="231F20"/>
          <w:w w:val="105"/>
        </w:rPr>
        <w:t>delito,</w:t>
      </w:r>
      <w:r>
        <w:rPr>
          <w:color w:val="231F20"/>
          <w:spacing w:val="-7"/>
          <w:w w:val="105"/>
        </w:rPr>
        <w:t> </w:t>
      </w:r>
      <w:r>
        <w:rPr>
          <w:color w:val="231F20"/>
          <w:w w:val="105"/>
        </w:rPr>
        <w:t>la</w:t>
      </w:r>
      <w:r>
        <w:rPr>
          <w:color w:val="231F20"/>
          <w:spacing w:val="-7"/>
          <w:w w:val="105"/>
        </w:rPr>
        <w:t> </w:t>
      </w:r>
      <w:r>
        <w:rPr>
          <w:color w:val="231F20"/>
          <w:w w:val="105"/>
        </w:rPr>
        <w:t>protección</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iniciativa</w:t>
      </w:r>
      <w:r>
        <w:rPr>
          <w:color w:val="231F20"/>
          <w:spacing w:val="-7"/>
          <w:w w:val="105"/>
        </w:rPr>
        <w:t> </w:t>
      </w:r>
      <w:r>
        <w:rPr>
          <w:color w:val="231F20"/>
          <w:w w:val="105"/>
        </w:rPr>
        <w:t>privada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respeto</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leyes. Ciertamente la inseguridad es un problema presente en la capital del país y en la zona conurbada</w:t>
      </w:r>
      <w:r>
        <w:rPr>
          <w:color w:val="231F20"/>
          <w:spacing w:val="-17"/>
          <w:w w:val="105"/>
        </w:rPr>
        <w:t> </w:t>
      </w:r>
      <w:r>
        <w:rPr>
          <w:color w:val="231F20"/>
          <w:w w:val="105"/>
        </w:rPr>
        <w:t>del</w:t>
      </w:r>
      <w:r>
        <w:rPr>
          <w:color w:val="231F20"/>
          <w:spacing w:val="-17"/>
          <w:w w:val="105"/>
        </w:rPr>
        <w:t> </w:t>
      </w:r>
      <w:r>
        <w:rPr>
          <w:color w:val="231F20"/>
          <w:w w:val="105"/>
        </w:rPr>
        <w:t>valle</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que</w:t>
      </w:r>
      <w:r>
        <w:rPr>
          <w:color w:val="231F20"/>
          <w:spacing w:val="-17"/>
          <w:w w:val="105"/>
        </w:rPr>
        <w:t> </w:t>
      </w:r>
      <w:r>
        <w:rPr>
          <w:color w:val="231F20"/>
          <w:w w:val="105"/>
        </w:rPr>
        <w:t>causó</w:t>
      </w:r>
      <w:r>
        <w:rPr>
          <w:color w:val="231F20"/>
          <w:spacing w:val="-17"/>
          <w:w w:val="105"/>
        </w:rPr>
        <w:t> </w:t>
      </w:r>
      <w:r>
        <w:rPr>
          <w:color w:val="231F20"/>
          <w:w w:val="105"/>
        </w:rPr>
        <w:t>furor</w:t>
      </w:r>
      <w:r>
        <w:rPr>
          <w:color w:val="231F20"/>
          <w:spacing w:val="-17"/>
          <w:w w:val="105"/>
        </w:rPr>
        <w:t> </w:t>
      </w:r>
      <w:r>
        <w:rPr>
          <w:color w:val="231F20"/>
          <w:w w:val="105"/>
        </w:rPr>
        <w:t>justamente</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época</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dio</w:t>
      </w:r>
      <w:r>
        <w:rPr>
          <w:color w:val="231F20"/>
          <w:spacing w:val="-17"/>
          <w:w w:val="105"/>
        </w:rPr>
        <w:t> </w:t>
      </w:r>
      <w:r>
        <w:rPr>
          <w:color w:val="231F20"/>
          <w:w w:val="105"/>
        </w:rPr>
        <w:t>inicio el trienio de Durán Reveles. Promovida principalmente por organizaciones sociales y políticas de derecha, fue una expresión concreta de los sectores pudientes, que replicó entre</w:t>
      </w:r>
      <w:r>
        <w:rPr>
          <w:color w:val="231F20"/>
          <w:spacing w:val="-12"/>
          <w:w w:val="105"/>
        </w:rPr>
        <w:t> </w:t>
      </w:r>
      <w:r>
        <w:rPr>
          <w:color w:val="231F20"/>
          <w:w w:val="105"/>
        </w:rPr>
        <w:t>amplios</w:t>
      </w:r>
      <w:r>
        <w:rPr>
          <w:color w:val="231F20"/>
          <w:spacing w:val="-12"/>
          <w:w w:val="105"/>
        </w:rPr>
        <w:t> </w:t>
      </w:r>
      <w:r>
        <w:rPr>
          <w:color w:val="231F20"/>
          <w:w w:val="105"/>
        </w:rPr>
        <w:t>sectores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pues,</w:t>
      </w:r>
      <w:r>
        <w:rPr>
          <w:color w:val="231F20"/>
          <w:spacing w:val="-12"/>
          <w:w w:val="105"/>
        </w:rPr>
        <w:t> </w:t>
      </w:r>
      <w:r>
        <w:rPr>
          <w:color w:val="231F20"/>
          <w:w w:val="105"/>
        </w:rPr>
        <w:t>ciertamente,</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problema</w:t>
      </w:r>
      <w:r>
        <w:rPr>
          <w:color w:val="231F20"/>
          <w:spacing w:val="-12"/>
          <w:w w:val="105"/>
        </w:rPr>
        <w:t> </w:t>
      </w:r>
      <w:r>
        <w:rPr>
          <w:color w:val="231F20"/>
          <w:w w:val="105"/>
        </w:rPr>
        <w:t>social.</w:t>
      </w:r>
      <w:r>
        <w:rPr>
          <w:color w:val="231F20"/>
          <w:spacing w:val="-12"/>
          <w:w w:val="105"/>
        </w:rPr>
        <w:t> </w:t>
      </w:r>
      <w:r>
        <w:rPr>
          <w:color w:val="231F20"/>
          <w:w w:val="105"/>
        </w:rPr>
        <w:t>Sin</w:t>
      </w:r>
      <w:r>
        <w:rPr>
          <w:color w:val="231F20"/>
          <w:spacing w:val="-12"/>
          <w:w w:val="105"/>
        </w:rPr>
        <w:t> </w:t>
      </w:r>
      <w:r>
        <w:rPr>
          <w:color w:val="231F20"/>
          <w:w w:val="105"/>
        </w:rPr>
        <w:t>em- bargo,</w:t>
      </w:r>
      <w:r>
        <w:rPr>
          <w:color w:val="231F20"/>
          <w:spacing w:val="-13"/>
          <w:w w:val="105"/>
        </w:rPr>
        <w:t> </w:t>
      </w:r>
      <w:r>
        <w:rPr>
          <w:color w:val="231F20"/>
          <w:w w:val="105"/>
        </w:rPr>
        <w:t>resulta</w:t>
      </w:r>
      <w:r>
        <w:rPr>
          <w:color w:val="231F20"/>
          <w:spacing w:val="-13"/>
          <w:w w:val="105"/>
        </w:rPr>
        <w:t> </w:t>
      </w:r>
      <w:r>
        <w:rPr>
          <w:color w:val="231F20"/>
          <w:w w:val="105"/>
        </w:rPr>
        <w:t>discutible</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erigiera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eje</w:t>
      </w:r>
      <w:r>
        <w:rPr>
          <w:color w:val="231F20"/>
          <w:spacing w:val="-13"/>
          <w:w w:val="105"/>
        </w:rPr>
        <w:t> </w:t>
      </w:r>
      <w:r>
        <w:rPr>
          <w:color w:val="231F20"/>
          <w:w w:val="105"/>
        </w:rPr>
        <w:t>rector</w:t>
      </w:r>
      <w:r>
        <w:rPr>
          <w:color w:val="231F20"/>
          <w:spacing w:val="-13"/>
          <w:w w:val="105"/>
        </w:rPr>
        <w:t> </w:t>
      </w:r>
      <w:r>
        <w:rPr>
          <w:color w:val="231F20"/>
          <w:w w:val="105"/>
        </w:rPr>
        <w:t>del</w:t>
      </w:r>
      <w:r>
        <w:rPr>
          <w:color w:val="231F20"/>
          <w:spacing w:val="-13"/>
          <w:w w:val="105"/>
        </w:rPr>
        <w:t> </w:t>
      </w:r>
      <w:r>
        <w:rPr>
          <w:color w:val="231F20"/>
          <w:w w:val="105"/>
        </w:rPr>
        <w:t>plan</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municipal de</w:t>
      </w:r>
      <w:r>
        <w:rPr>
          <w:color w:val="231F20"/>
          <w:spacing w:val="-12"/>
          <w:w w:val="105"/>
        </w:rPr>
        <w:t> </w:t>
      </w:r>
      <w:r>
        <w:rPr>
          <w:color w:val="231F20"/>
          <w:w w:val="105"/>
        </w:rPr>
        <w:t>Naucalpan,</w:t>
      </w:r>
      <w:r>
        <w:rPr>
          <w:color w:val="231F20"/>
          <w:spacing w:val="-12"/>
          <w:w w:val="105"/>
        </w:rPr>
        <w:t> </w:t>
      </w:r>
      <w:r>
        <w:rPr>
          <w:color w:val="231F20"/>
          <w:w w:val="105"/>
        </w:rPr>
        <w:t>habida</w:t>
      </w:r>
      <w:r>
        <w:rPr>
          <w:color w:val="231F20"/>
          <w:spacing w:val="-12"/>
          <w:w w:val="105"/>
        </w:rPr>
        <w:t> </w:t>
      </w:r>
      <w:r>
        <w:rPr>
          <w:color w:val="231F20"/>
          <w:w w:val="105"/>
        </w:rPr>
        <w:t>cuenta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existencia</w:t>
      </w:r>
      <w:r>
        <w:rPr>
          <w:color w:val="231F20"/>
          <w:spacing w:val="-12"/>
          <w:w w:val="105"/>
        </w:rPr>
        <w:t> </w:t>
      </w:r>
      <w:r>
        <w:rPr>
          <w:color w:val="231F20"/>
          <w:w w:val="105"/>
        </w:rPr>
        <w:t>de</w:t>
      </w:r>
      <w:r>
        <w:rPr>
          <w:color w:val="231F20"/>
          <w:spacing w:val="-12"/>
          <w:w w:val="105"/>
        </w:rPr>
        <w:t> </w:t>
      </w:r>
      <w:r>
        <w:rPr>
          <w:color w:val="231F20"/>
          <w:w w:val="105"/>
        </w:rPr>
        <w:t>un</w:t>
      </w:r>
      <w:r>
        <w:rPr>
          <w:color w:val="231F20"/>
          <w:spacing w:val="-12"/>
          <w:w w:val="105"/>
        </w:rPr>
        <w:t> </w:t>
      </w:r>
      <w:r>
        <w:rPr>
          <w:color w:val="231F20"/>
          <w:w w:val="105"/>
        </w:rPr>
        <w:t>problema</w:t>
      </w:r>
      <w:r>
        <w:rPr>
          <w:color w:val="231F20"/>
          <w:spacing w:val="-12"/>
          <w:w w:val="105"/>
        </w:rPr>
        <w:t> </w:t>
      </w:r>
      <w:r>
        <w:rPr>
          <w:color w:val="231F20"/>
          <w:spacing w:val="-4"/>
          <w:w w:val="105"/>
        </w:rPr>
        <w:t>mayor,</w:t>
      </w:r>
      <w:r>
        <w:rPr>
          <w:color w:val="231F20"/>
          <w:spacing w:val="-12"/>
          <w:w w:val="105"/>
        </w:rPr>
        <w:t> </w:t>
      </w:r>
      <w:r>
        <w:rPr>
          <w:color w:val="231F20"/>
          <w:w w:val="105"/>
        </w:rPr>
        <w:t>más</w:t>
      </w:r>
      <w:r>
        <w:rPr>
          <w:color w:val="231F20"/>
          <w:spacing w:val="-12"/>
          <w:w w:val="105"/>
        </w:rPr>
        <w:t> </w:t>
      </w:r>
      <w:r>
        <w:rPr>
          <w:color w:val="231F20"/>
          <w:w w:val="105"/>
        </w:rPr>
        <w:t>sentido</w:t>
      </w:r>
      <w:r>
        <w:rPr>
          <w:color w:val="231F20"/>
          <w:spacing w:val="-12"/>
          <w:w w:val="105"/>
        </w:rPr>
        <w:t> </w:t>
      </w:r>
      <w:r>
        <w:rPr>
          <w:color w:val="231F20"/>
          <w:w w:val="105"/>
        </w:rPr>
        <w:t>por</w:t>
      </w:r>
      <w:r>
        <w:rPr>
          <w:color w:val="231F20"/>
          <w:spacing w:val="-12"/>
          <w:w w:val="105"/>
        </w:rPr>
        <w:t> </w:t>
      </w:r>
      <w:r>
        <w:rPr>
          <w:color w:val="231F20"/>
          <w:w w:val="105"/>
        </w:rPr>
        <w:t>la sociedad</w:t>
      </w:r>
      <w:r>
        <w:rPr>
          <w:color w:val="231F20"/>
          <w:spacing w:val="-21"/>
          <w:w w:val="105"/>
        </w:rPr>
        <w:t> </w:t>
      </w:r>
      <w:r>
        <w:rPr>
          <w:color w:val="231F20"/>
          <w:w w:val="105"/>
        </w:rPr>
        <w:t>que</w:t>
      </w:r>
      <w:r>
        <w:rPr>
          <w:color w:val="231F20"/>
          <w:spacing w:val="-21"/>
          <w:w w:val="105"/>
        </w:rPr>
        <w:t> </w:t>
      </w:r>
      <w:r>
        <w:rPr>
          <w:color w:val="231F20"/>
          <w:w w:val="105"/>
        </w:rPr>
        <w:t>es</w:t>
      </w:r>
      <w:r>
        <w:rPr>
          <w:color w:val="231F20"/>
          <w:spacing w:val="-21"/>
          <w:w w:val="105"/>
        </w:rPr>
        <w:t> </w:t>
      </w:r>
      <w:r>
        <w:rPr>
          <w:color w:val="231F20"/>
          <w:w w:val="105"/>
        </w:rPr>
        <w:t>el</w:t>
      </w:r>
      <w:r>
        <w:rPr>
          <w:color w:val="231F20"/>
          <w:spacing w:val="-21"/>
          <w:w w:val="105"/>
        </w:rPr>
        <w:t> </w:t>
      </w:r>
      <w:r>
        <w:rPr>
          <w:color w:val="231F20"/>
          <w:w w:val="105"/>
        </w:rPr>
        <w:t>del</w:t>
      </w:r>
      <w:r>
        <w:rPr>
          <w:color w:val="231F20"/>
          <w:spacing w:val="-21"/>
          <w:w w:val="105"/>
        </w:rPr>
        <w:t> </w:t>
      </w:r>
      <w:r>
        <w:rPr>
          <w:color w:val="231F20"/>
          <w:w w:val="105"/>
        </w:rPr>
        <w:t>desempleo.</w:t>
      </w:r>
      <w:r>
        <w:rPr>
          <w:color w:val="231F20"/>
          <w:spacing w:val="-21"/>
          <w:w w:val="105"/>
        </w:rPr>
        <w:t> </w:t>
      </w:r>
      <w:r>
        <w:rPr>
          <w:color w:val="231F20"/>
          <w:w w:val="105"/>
        </w:rPr>
        <w:t>Las</w:t>
      </w:r>
      <w:r>
        <w:rPr>
          <w:color w:val="231F20"/>
          <w:spacing w:val="-21"/>
          <w:w w:val="105"/>
        </w:rPr>
        <w:t> </w:t>
      </w:r>
      <w:r>
        <w:rPr>
          <w:color w:val="231F20"/>
          <w:w w:val="105"/>
        </w:rPr>
        <w:t>consecuencias</w:t>
      </w:r>
      <w:r>
        <w:rPr>
          <w:color w:val="231F20"/>
          <w:spacing w:val="-21"/>
          <w:w w:val="105"/>
        </w:rPr>
        <w:t> </w:t>
      </w:r>
      <w:r>
        <w:rPr>
          <w:color w:val="231F20"/>
          <w:w w:val="105"/>
        </w:rPr>
        <w:t>de</w:t>
      </w:r>
      <w:r>
        <w:rPr>
          <w:color w:val="231F20"/>
          <w:spacing w:val="-21"/>
          <w:w w:val="105"/>
        </w:rPr>
        <w:t> </w:t>
      </w:r>
      <w:r>
        <w:rPr>
          <w:color w:val="231F20"/>
          <w:w w:val="105"/>
        </w:rPr>
        <w:t>éste</w:t>
      </w:r>
      <w:r>
        <w:rPr>
          <w:color w:val="231F20"/>
          <w:spacing w:val="-21"/>
          <w:w w:val="105"/>
        </w:rPr>
        <w:t> </w:t>
      </w:r>
      <w:r>
        <w:rPr>
          <w:color w:val="231F20"/>
          <w:w w:val="105"/>
        </w:rPr>
        <w:t>se</w:t>
      </w:r>
      <w:r>
        <w:rPr>
          <w:color w:val="231F20"/>
          <w:spacing w:val="-21"/>
          <w:w w:val="105"/>
        </w:rPr>
        <w:t> </w:t>
      </w:r>
      <w:r>
        <w:rPr>
          <w:color w:val="231F20"/>
          <w:w w:val="105"/>
        </w:rPr>
        <w:t>dejaban</w:t>
      </w:r>
      <w:r>
        <w:rPr>
          <w:color w:val="231F20"/>
          <w:spacing w:val="-21"/>
          <w:w w:val="105"/>
        </w:rPr>
        <w:t> </w:t>
      </w:r>
      <w:r>
        <w:rPr>
          <w:color w:val="231F20"/>
          <w:w w:val="105"/>
        </w:rPr>
        <w:t>ver</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prolife- ración</w:t>
      </w:r>
      <w:r>
        <w:rPr>
          <w:color w:val="231F20"/>
          <w:spacing w:val="-23"/>
          <w:w w:val="105"/>
        </w:rPr>
        <w:t> </w:t>
      </w:r>
      <w:r>
        <w:rPr>
          <w:color w:val="231F20"/>
          <w:w w:val="105"/>
        </w:rPr>
        <w:t>del</w:t>
      </w:r>
      <w:r>
        <w:rPr>
          <w:color w:val="231F20"/>
          <w:spacing w:val="-23"/>
          <w:w w:val="105"/>
        </w:rPr>
        <w:t> </w:t>
      </w:r>
      <w:r>
        <w:rPr>
          <w:color w:val="231F20"/>
          <w:w w:val="105"/>
        </w:rPr>
        <w:t>comercio</w:t>
      </w:r>
      <w:r>
        <w:rPr>
          <w:color w:val="231F20"/>
          <w:spacing w:val="-23"/>
          <w:w w:val="105"/>
        </w:rPr>
        <w:t> </w:t>
      </w:r>
      <w:r>
        <w:rPr>
          <w:color w:val="231F20"/>
          <w:w w:val="105"/>
        </w:rPr>
        <w:t>informal,</w:t>
      </w:r>
      <w:r>
        <w:rPr>
          <w:color w:val="231F20"/>
          <w:spacing w:val="-23"/>
          <w:w w:val="105"/>
        </w:rPr>
        <w:t> </w:t>
      </w:r>
      <w:r>
        <w:rPr>
          <w:color w:val="231F20"/>
          <w:w w:val="105"/>
        </w:rPr>
        <w:t>presente</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principales</w:t>
      </w:r>
      <w:r>
        <w:rPr>
          <w:color w:val="231F20"/>
          <w:spacing w:val="-23"/>
          <w:w w:val="105"/>
        </w:rPr>
        <w:t> </w:t>
      </w:r>
      <w:r>
        <w:rPr>
          <w:color w:val="231F20"/>
          <w:w w:val="105"/>
        </w:rPr>
        <w:t>zonas</w:t>
      </w:r>
      <w:r>
        <w:rPr>
          <w:color w:val="231F20"/>
          <w:spacing w:val="-23"/>
          <w:w w:val="105"/>
        </w:rPr>
        <w:t> </w:t>
      </w:r>
      <w:r>
        <w:rPr>
          <w:color w:val="231F20"/>
          <w:w w:val="105"/>
        </w:rPr>
        <w:t>de</w:t>
      </w:r>
      <w:r>
        <w:rPr>
          <w:color w:val="231F20"/>
          <w:spacing w:val="-23"/>
          <w:w w:val="105"/>
        </w:rPr>
        <w:t> </w:t>
      </w:r>
      <w:r>
        <w:rPr>
          <w:color w:val="231F20"/>
          <w:w w:val="105"/>
        </w:rPr>
        <w:t>comercio</w:t>
      </w:r>
      <w:r>
        <w:rPr>
          <w:color w:val="231F20"/>
          <w:spacing w:val="-23"/>
          <w:w w:val="105"/>
        </w:rPr>
        <w:t> </w:t>
      </w:r>
      <w:r>
        <w:rPr>
          <w:color w:val="231F20"/>
          <w:w w:val="105"/>
        </w:rPr>
        <w:t>y</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más relevantes</w:t>
      </w:r>
      <w:r>
        <w:rPr>
          <w:color w:val="231F20"/>
          <w:spacing w:val="-9"/>
          <w:w w:val="105"/>
        </w:rPr>
        <w:t> </w:t>
      </w:r>
      <w:r>
        <w:rPr>
          <w:color w:val="231F20"/>
          <w:w w:val="105"/>
        </w:rPr>
        <w:t>puntos</w:t>
      </w:r>
      <w:r>
        <w:rPr>
          <w:color w:val="231F20"/>
          <w:spacing w:val="-9"/>
          <w:w w:val="105"/>
        </w:rPr>
        <w:t> </w:t>
      </w:r>
      <w:r>
        <w:rPr>
          <w:color w:val="231F20"/>
          <w:w w:val="105"/>
        </w:rPr>
        <w:t>de</w:t>
      </w:r>
      <w:r>
        <w:rPr>
          <w:color w:val="231F20"/>
          <w:spacing w:val="-9"/>
          <w:w w:val="105"/>
        </w:rPr>
        <w:t> </w:t>
      </w:r>
      <w:r>
        <w:rPr>
          <w:color w:val="231F20"/>
          <w:w w:val="105"/>
        </w:rPr>
        <w:t>comunicación</w:t>
      </w:r>
      <w:r>
        <w:rPr>
          <w:color w:val="231F20"/>
          <w:spacing w:val="-9"/>
          <w:w w:val="105"/>
        </w:rPr>
        <w:t> </w:t>
      </w:r>
      <w:r>
        <w:rPr>
          <w:color w:val="231F20"/>
          <w:w w:val="105"/>
        </w:rPr>
        <w:t>del</w:t>
      </w:r>
      <w:r>
        <w:rPr>
          <w:color w:val="231F20"/>
          <w:spacing w:val="-9"/>
          <w:w w:val="105"/>
        </w:rPr>
        <w:t> </w:t>
      </w:r>
      <w:r>
        <w:rPr>
          <w:color w:val="231F20"/>
          <w:w w:val="105"/>
        </w:rPr>
        <w:t>territorio</w:t>
      </w:r>
      <w:r>
        <w:rPr>
          <w:color w:val="231F20"/>
          <w:spacing w:val="-9"/>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Asimismo, asentar en primer término </w:t>
      </w:r>
      <w:r>
        <w:rPr>
          <w:color w:val="231F20"/>
          <w:spacing w:val="2"/>
          <w:w w:val="105"/>
        </w:rPr>
        <w:t>“la </w:t>
      </w:r>
      <w:r>
        <w:rPr>
          <w:color w:val="231F20"/>
          <w:w w:val="105"/>
        </w:rPr>
        <w:t>generación de condiciones propicias para la inversión”</w:t>
      </w:r>
      <w:r>
        <w:rPr>
          <w:color w:val="231F20"/>
          <w:spacing w:val="-13"/>
          <w:w w:val="105"/>
        </w:rPr>
        <w:t> </w:t>
      </w:r>
      <w:r>
        <w:rPr>
          <w:color w:val="231F20"/>
          <w:w w:val="105"/>
        </w:rPr>
        <w:t>en</w:t>
      </w:r>
      <w:r>
        <w:rPr>
          <w:color w:val="231F20"/>
          <w:spacing w:val="-13"/>
          <w:w w:val="105"/>
        </w:rPr>
        <w:t> </w:t>
      </w:r>
      <w:r>
        <w:rPr>
          <w:color w:val="231F20"/>
          <w:w w:val="105"/>
        </w:rPr>
        <w:t>lugar</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generación</w:t>
      </w:r>
      <w:r>
        <w:rPr>
          <w:color w:val="231F20"/>
          <w:spacing w:val="-13"/>
          <w:w w:val="105"/>
        </w:rPr>
        <w:t> </w:t>
      </w:r>
      <w:r>
        <w:rPr>
          <w:color w:val="231F20"/>
          <w:w w:val="105"/>
        </w:rPr>
        <w:t>de</w:t>
      </w:r>
      <w:r>
        <w:rPr>
          <w:color w:val="231F20"/>
          <w:spacing w:val="-13"/>
          <w:w w:val="105"/>
        </w:rPr>
        <w:t> </w:t>
      </w:r>
      <w:r>
        <w:rPr>
          <w:color w:val="231F20"/>
          <w:w w:val="105"/>
        </w:rPr>
        <w:t>empleos</w:t>
      </w:r>
      <w:r>
        <w:rPr>
          <w:color w:val="231F20"/>
          <w:spacing w:val="-13"/>
          <w:w w:val="105"/>
        </w:rPr>
        <w:t> </w:t>
      </w:r>
      <w:r>
        <w:rPr>
          <w:color w:val="231F20"/>
          <w:w w:val="105"/>
        </w:rPr>
        <w:t>expresa</w:t>
      </w:r>
      <w:r>
        <w:rPr>
          <w:color w:val="231F20"/>
          <w:spacing w:val="-13"/>
          <w:w w:val="105"/>
        </w:rPr>
        <w:t> </w:t>
      </w:r>
      <w:r>
        <w:rPr>
          <w:color w:val="231F20"/>
          <w:w w:val="105"/>
        </w:rPr>
        <w:t>la</w:t>
      </w:r>
      <w:r>
        <w:rPr>
          <w:color w:val="231F20"/>
          <w:spacing w:val="-13"/>
          <w:w w:val="105"/>
        </w:rPr>
        <w:t> </w:t>
      </w:r>
      <w:r>
        <w:rPr>
          <w:color w:val="231F20"/>
          <w:w w:val="105"/>
        </w:rPr>
        <w:t>forma</w:t>
      </w:r>
      <w:r>
        <w:rPr>
          <w:color w:val="231F20"/>
          <w:spacing w:val="-13"/>
          <w:w w:val="105"/>
        </w:rPr>
        <w:t> </w:t>
      </w:r>
      <w:r>
        <w:rPr>
          <w:color w:val="231F20"/>
          <w:w w:val="105"/>
        </w:rPr>
        <w:t>de</w:t>
      </w:r>
      <w:r>
        <w:rPr>
          <w:color w:val="231F20"/>
          <w:spacing w:val="-13"/>
          <w:w w:val="105"/>
        </w:rPr>
        <w:t> </w:t>
      </w:r>
      <w:r>
        <w:rPr>
          <w:color w:val="231F20"/>
          <w:w w:val="105"/>
        </w:rPr>
        <w:t>ver</w:t>
      </w:r>
      <w:r>
        <w:rPr>
          <w:color w:val="231F20"/>
          <w:spacing w:val="-13"/>
          <w:w w:val="105"/>
        </w:rPr>
        <w:t> </w:t>
      </w:r>
      <w:r>
        <w:rPr>
          <w:color w:val="231F20"/>
          <w:w w:val="105"/>
        </w:rPr>
        <w:t>el</w:t>
      </w:r>
      <w:r>
        <w:rPr>
          <w:color w:val="231F20"/>
          <w:spacing w:val="-13"/>
          <w:w w:val="105"/>
        </w:rPr>
        <w:t> </w:t>
      </w:r>
      <w:r>
        <w:rPr>
          <w:color w:val="231F20"/>
          <w:w w:val="105"/>
        </w:rPr>
        <w:t>problema</w:t>
      </w:r>
      <w:r>
        <w:rPr>
          <w:color w:val="231F20"/>
          <w:spacing w:val="-13"/>
          <w:w w:val="105"/>
        </w:rPr>
        <w:t> </w:t>
      </w:r>
      <w:r>
        <w:rPr>
          <w:color w:val="231F20"/>
          <w:w w:val="105"/>
        </w:rPr>
        <w:t>de la</w:t>
      </w:r>
      <w:r>
        <w:rPr>
          <w:color w:val="231F20"/>
          <w:spacing w:val="-12"/>
          <w:w w:val="105"/>
        </w:rPr>
        <w:t> </w:t>
      </w:r>
      <w:r>
        <w:rPr>
          <w:color w:val="231F20"/>
          <w:w w:val="105"/>
        </w:rPr>
        <w:t>desocupación</w:t>
      </w:r>
      <w:r>
        <w:rPr>
          <w:color w:val="231F20"/>
          <w:spacing w:val="-12"/>
          <w:w w:val="105"/>
        </w:rPr>
        <w:t> </w:t>
      </w:r>
      <w:r>
        <w:rPr>
          <w:color w:val="231F20"/>
          <w:w w:val="105"/>
        </w:rPr>
        <w:t>de</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gobernantes</w:t>
      </w:r>
      <w:r>
        <w:rPr>
          <w:color w:val="231F20"/>
          <w:spacing w:val="-12"/>
          <w:w w:val="105"/>
        </w:rPr>
        <w:t> </w:t>
      </w:r>
      <w:r>
        <w:rPr>
          <w:color w:val="231F20"/>
          <w:w w:val="105"/>
        </w:rPr>
        <w:t>panistas:</w:t>
      </w:r>
      <w:r>
        <w:rPr>
          <w:color w:val="231F20"/>
          <w:spacing w:val="-12"/>
          <w:w w:val="105"/>
        </w:rPr>
        <w:t> </w:t>
      </w:r>
      <w:r>
        <w:rPr>
          <w:color w:val="231F20"/>
          <w:w w:val="105"/>
        </w:rPr>
        <w:t>antes</w:t>
      </w:r>
      <w:r>
        <w:rPr>
          <w:color w:val="231F20"/>
          <w:spacing w:val="-12"/>
          <w:w w:val="105"/>
        </w:rPr>
        <w:t> </w:t>
      </w:r>
      <w:r>
        <w:rPr>
          <w:color w:val="231F20"/>
          <w:w w:val="105"/>
        </w:rPr>
        <w:t>que</w:t>
      </w:r>
      <w:r>
        <w:rPr>
          <w:color w:val="231F20"/>
          <w:spacing w:val="-12"/>
          <w:w w:val="105"/>
        </w:rPr>
        <w:t> </w:t>
      </w:r>
      <w:r>
        <w:rPr>
          <w:color w:val="231F20"/>
          <w:w w:val="105"/>
        </w:rPr>
        <w:t>nada</w:t>
      </w:r>
      <w:r>
        <w:rPr>
          <w:color w:val="231F20"/>
          <w:spacing w:val="-12"/>
          <w:w w:val="105"/>
        </w:rPr>
        <w:t> </w:t>
      </w:r>
      <w:r>
        <w:rPr>
          <w:color w:val="231F20"/>
          <w:w w:val="105"/>
        </w:rPr>
        <w:t>debe</w:t>
      </w:r>
      <w:r>
        <w:rPr>
          <w:color w:val="231F20"/>
          <w:spacing w:val="-12"/>
          <w:w w:val="105"/>
        </w:rPr>
        <w:t> </w:t>
      </w:r>
      <w:r>
        <w:rPr>
          <w:color w:val="231F20"/>
          <w:w w:val="105"/>
        </w:rPr>
        <w:t>haber</w:t>
      </w:r>
      <w:r>
        <w:rPr>
          <w:color w:val="231F20"/>
          <w:spacing w:val="-12"/>
          <w:w w:val="105"/>
        </w:rPr>
        <w:t> </w:t>
      </w:r>
      <w:r>
        <w:rPr>
          <w:color w:val="231F20"/>
          <w:w w:val="105"/>
        </w:rPr>
        <w:t>garan- tías</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capital,</w:t>
      </w:r>
      <w:r>
        <w:rPr>
          <w:color w:val="231F20"/>
          <w:spacing w:val="-9"/>
          <w:w w:val="105"/>
        </w:rPr>
        <w:t> </w:t>
      </w:r>
      <w:r>
        <w:rPr>
          <w:color w:val="231F20"/>
          <w:w w:val="105"/>
        </w:rPr>
        <w:t>para</w:t>
      </w:r>
      <w:r>
        <w:rPr>
          <w:color w:val="231F20"/>
          <w:spacing w:val="-9"/>
          <w:w w:val="105"/>
        </w:rPr>
        <w:t> </w:t>
      </w:r>
      <w:r>
        <w:rPr>
          <w:color w:val="231F20"/>
          <w:w w:val="105"/>
        </w:rPr>
        <w:t>que</w:t>
      </w:r>
      <w:r>
        <w:rPr>
          <w:color w:val="231F20"/>
          <w:spacing w:val="-9"/>
          <w:w w:val="105"/>
        </w:rPr>
        <w:t> </w:t>
      </w:r>
      <w:r>
        <w:rPr>
          <w:color w:val="231F20"/>
          <w:w w:val="105"/>
        </w:rPr>
        <w:t>haya</w:t>
      </w:r>
      <w:r>
        <w:rPr>
          <w:color w:val="231F20"/>
          <w:spacing w:val="-9"/>
          <w:w w:val="105"/>
        </w:rPr>
        <w:t> </w:t>
      </w:r>
      <w:r>
        <w:rPr>
          <w:color w:val="231F20"/>
          <w:w w:val="105"/>
        </w:rPr>
        <w:t>empleo.</w:t>
      </w:r>
      <w:r>
        <w:rPr>
          <w:color w:val="231F20"/>
          <w:spacing w:val="-9"/>
          <w:w w:val="105"/>
        </w:rPr>
        <w:t> </w:t>
      </w:r>
      <w:r>
        <w:rPr>
          <w:color w:val="231F20"/>
          <w:w w:val="105"/>
        </w:rPr>
        <w:t>Como</w:t>
      </w:r>
      <w:r>
        <w:rPr>
          <w:color w:val="231F20"/>
          <w:spacing w:val="-9"/>
          <w:w w:val="105"/>
        </w:rPr>
        <w:t> </w:t>
      </w:r>
      <w:r>
        <w:rPr>
          <w:color w:val="231F20"/>
          <w:w w:val="105"/>
        </w:rPr>
        <w:t>ya</w:t>
      </w:r>
      <w:r>
        <w:rPr>
          <w:color w:val="231F20"/>
          <w:spacing w:val="-9"/>
          <w:w w:val="105"/>
        </w:rPr>
        <w:t> </w:t>
      </w:r>
      <w:r>
        <w:rPr>
          <w:color w:val="231F20"/>
          <w:w w:val="105"/>
        </w:rPr>
        <w:t>se</w:t>
      </w:r>
      <w:r>
        <w:rPr>
          <w:color w:val="231F20"/>
          <w:spacing w:val="-9"/>
          <w:w w:val="105"/>
        </w:rPr>
        <w:t> </w:t>
      </w:r>
      <w:r>
        <w:rPr>
          <w:color w:val="231F20"/>
          <w:w w:val="105"/>
        </w:rPr>
        <w:t>señaló</w:t>
      </w:r>
      <w:r>
        <w:rPr>
          <w:color w:val="231F20"/>
          <w:spacing w:val="-9"/>
          <w:w w:val="105"/>
        </w:rPr>
        <w:t> </w:t>
      </w:r>
      <w:r>
        <w:rPr>
          <w:color w:val="231F20"/>
          <w:w w:val="105"/>
        </w:rPr>
        <w:t>antes,</w:t>
      </w:r>
      <w:r>
        <w:rPr>
          <w:color w:val="231F20"/>
          <w:spacing w:val="-9"/>
          <w:w w:val="105"/>
        </w:rPr>
        <w:t> </w:t>
      </w:r>
      <w:r>
        <w:rPr>
          <w:color w:val="231F20"/>
          <w:w w:val="105"/>
        </w:rPr>
        <w:t>esta</w:t>
      </w:r>
      <w:r>
        <w:rPr>
          <w:color w:val="231F20"/>
          <w:spacing w:val="-9"/>
          <w:w w:val="105"/>
        </w:rPr>
        <w:t> </w:t>
      </w:r>
      <w:r>
        <w:rPr>
          <w:color w:val="231F20"/>
          <w:w w:val="105"/>
        </w:rPr>
        <w:t>perspectiva</w:t>
      </w:r>
      <w:r>
        <w:rPr>
          <w:color w:val="231F20"/>
          <w:spacing w:val="-9"/>
          <w:w w:val="105"/>
        </w:rPr>
        <w:t> </w:t>
      </w:r>
      <w:r>
        <w:rPr>
          <w:color w:val="231F20"/>
          <w:w w:val="105"/>
        </w:rPr>
        <w:t>es notoria</w:t>
      </w:r>
      <w:r>
        <w:rPr>
          <w:color w:val="231F20"/>
          <w:spacing w:val="-14"/>
          <w:w w:val="105"/>
        </w:rPr>
        <w:t> </w:t>
      </w:r>
      <w:r>
        <w:rPr>
          <w:color w:val="231F20"/>
          <w:w w:val="105"/>
        </w:rPr>
        <w:t>desde</w:t>
      </w:r>
      <w:r>
        <w:rPr>
          <w:color w:val="231F20"/>
          <w:spacing w:val="-14"/>
          <w:w w:val="105"/>
        </w:rPr>
        <w:t> </w:t>
      </w:r>
      <w:r>
        <w:rPr>
          <w:color w:val="231F20"/>
          <w:w w:val="105"/>
        </w:rPr>
        <w:t>el</w:t>
      </w:r>
      <w:r>
        <w:rPr>
          <w:color w:val="231F20"/>
          <w:spacing w:val="-14"/>
          <w:w w:val="105"/>
        </w:rPr>
        <w:t> </w:t>
      </w:r>
      <w:r>
        <w:rPr>
          <w:color w:val="231F20"/>
          <w:w w:val="105"/>
        </w:rPr>
        <w:t>establecimiento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bases</w:t>
      </w:r>
      <w:r>
        <w:rPr>
          <w:color w:val="231F20"/>
          <w:spacing w:val="-14"/>
          <w:w w:val="105"/>
        </w:rPr>
        <w:t> </w:t>
      </w:r>
      <w:r>
        <w:rPr>
          <w:color w:val="231F20"/>
          <w:w w:val="105"/>
        </w:rPr>
        <w:t>para</w:t>
      </w:r>
      <w:r>
        <w:rPr>
          <w:color w:val="231F20"/>
          <w:spacing w:val="-14"/>
          <w:w w:val="105"/>
        </w:rPr>
        <w:t> </w:t>
      </w:r>
      <w:r>
        <w:rPr>
          <w:color w:val="231F20"/>
          <w:w w:val="105"/>
        </w:rPr>
        <w:t>la</w:t>
      </w:r>
      <w:r>
        <w:rPr>
          <w:color w:val="231F20"/>
          <w:spacing w:val="-14"/>
          <w:w w:val="105"/>
        </w:rPr>
        <w:t> </w:t>
      </w:r>
      <w:r>
        <w:rPr>
          <w:color w:val="231F20"/>
          <w:w w:val="105"/>
        </w:rPr>
        <w:t>planeación</w:t>
      </w:r>
      <w:r>
        <w:rPr>
          <w:color w:val="231F20"/>
          <w:spacing w:val="-14"/>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La</w:t>
      </w:r>
      <w:r>
        <w:rPr>
          <w:color w:val="231F20"/>
          <w:spacing w:val="-7"/>
          <w:w w:val="105"/>
        </w:rPr>
        <w:t> </w:t>
      </w:r>
      <w:r>
        <w:rPr>
          <w:color w:val="231F20"/>
          <w:w w:val="105"/>
        </w:rPr>
        <w:t>colocación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seguridad</w:t>
      </w:r>
      <w:r>
        <w:rPr>
          <w:color w:val="231F20"/>
          <w:spacing w:val="-7"/>
          <w:w w:val="105"/>
        </w:rPr>
        <w:t> </w:t>
      </w:r>
      <w:r>
        <w:rPr>
          <w:color w:val="231F20"/>
          <w:w w:val="105"/>
        </w:rPr>
        <w:t>ciudadana</w:t>
      </w:r>
      <w:r>
        <w:rPr>
          <w:color w:val="231F20"/>
          <w:spacing w:val="-7"/>
          <w:w w:val="105"/>
        </w:rPr>
        <w:t> </w:t>
      </w:r>
      <w:r>
        <w:rPr>
          <w:color w:val="231F20"/>
          <w:w w:val="105"/>
        </w:rPr>
        <w:t>como</w:t>
      </w:r>
      <w:r>
        <w:rPr>
          <w:color w:val="231F20"/>
          <w:spacing w:val="-7"/>
          <w:w w:val="105"/>
        </w:rPr>
        <w:t> </w:t>
      </w:r>
      <w:r>
        <w:rPr>
          <w:color w:val="231F20"/>
          <w:w w:val="105"/>
        </w:rPr>
        <w:t>elemento</w:t>
      </w:r>
      <w:r>
        <w:rPr>
          <w:color w:val="231F20"/>
          <w:spacing w:val="-7"/>
          <w:w w:val="105"/>
        </w:rPr>
        <w:t> </w:t>
      </w:r>
      <w:r>
        <w:rPr>
          <w:color w:val="231F20"/>
          <w:w w:val="105"/>
        </w:rPr>
        <w:t>base</w:t>
      </w:r>
      <w:r>
        <w:rPr>
          <w:color w:val="231F20"/>
          <w:spacing w:val="-7"/>
          <w:w w:val="105"/>
        </w:rPr>
        <w:t> </w:t>
      </w:r>
      <w:r>
        <w:rPr>
          <w:color w:val="231F20"/>
          <w:w w:val="105"/>
        </w:rPr>
        <w:t>del</w:t>
      </w:r>
      <w:r>
        <w:rPr>
          <w:color w:val="231F20"/>
          <w:spacing w:val="-7"/>
          <w:w w:val="105"/>
        </w:rPr>
        <w:t> </w:t>
      </w:r>
      <w:r>
        <w:rPr>
          <w:color w:val="231F20"/>
          <w:w w:val="105"/>
        </w:rPr>
        <w:t>plan</w:t>
      </w:r>
      <w:r>
        <w:rPr>
          <w:color w:val="231F20"/>
          <w:spacing w:val="-7"/>
          <w:w w:val="105"/>
        </w:rPr>
        <w:t> </w:t>
      </w:r>
      <w:r>
        <w:rPr>
          <w:color w:val="231F20"/>
          <w:w w:val="105"/>
        </w:rPr>
        <w:t>está</w:t>
      </w:r>
      <w:r>
        <w:rPr>
          <w:color w:val="231F20"/>
          <w:spacing w:val="-7"/>
          <w:w w:val="105"/>
        </w:rPr>
        <w:t> </w:t>
      </w:r>
      <w:r>
        <w:rPr>
          <w:color w:val="231F20"/>
          <w:w w:val="105"/>
        </w:rPr>
        <w:t>metida</w:t>
      </w:r>
      <w:r>
        <w:rPr>
          <w:color w:val="231F20"/>
          <w:spacing w:val="-7"/>
          <w:w w:val="105"/>
        </w:rPr>
        <w:t> </w:t>
      </w:r>
      <w:r>
        <w:rPr>
          <w:color w:val="231F20"/>
          <w:w w:val="105"/>
        </w:rPr>
        <w:t>con calzador desde la formulación de las metas generales del plan. Dicho asunto no puede ser</w:t>
      </w:r>
      <w:r>
        <w:rPr>
          <w:color w:val="231F20"/>
          <w:spacing w:val="-15"/>
          <w:w w:val="105"/>
        </w:rPr>
        <w:t> </w:t>
      </w:r>
      <w:r>
        <w:rPr>
          <w:color w:val="231F20"/>
          <w:w w:val="105"/>
        </w:rPr>
        <w:t>tomado</w:t>
      </w:r>
      <w:r>
        <w:rPr>
          <w:color w:val="231F20"/>
          <w:spacing w:val="-15"/>
          <w:w w:val="105"/>
        </w:rPr>
        <w:t> </w:t>
      </w:r>
      <w:r>
        <w:rPr>
          <w:color w:val="231F20"/>
          <w:w w:val="105"/>
        </w:rPr>
        <w:t>como</w:t>
      </w:r>
      <w:r>
        <w:rPr>
          <w:color w:val="231F20"/>
          <w:spacing w:val="-15"/>
          <w:w w:val="105"/>
        </w:rPr>
        <w:t> </w:t>
      </w:r>
      <w:r>
        <w:rPr>
          <w:color w:val="231F20"/>
          <w:w w:val="105"/>
        </w:rPr>
        <w:t>principio</w:t>
      </w:r>
      <w:r>
        <w:rPr>
          <w:color w:val="231F20"/>
          <w:spacing w:val="-15"/>
          <w:w w:val="105"/>
        </w:rPr>
        <w:t> </w:t>
      </w:r>
      <w:r>
        <w:rPr>
          <w:color w:val="231F20"/>
          <w:w w:val="105"/>
        </w:rPr>
        <w:t>de</w:t>
      </w:r>
      <w:r>
        <w:rPr>
          <w:color w:val="231F20"/>
          <w:spacing w:val="-15"/>
          <w:w w:val="105"/>
        </w:rPr>
        <w:t> </w:t>
      </w:r>
      <w:r>
        <w:rPr>
          <w:color w:val="231F20"/>
          <w:w w:val="105"/>
        </w:rPr>
        <w:t>acción,</w:t>
      </w:r>
      <w:r>
        <w:rPr>
          <w:color w:val="231F20"/>
          <w:spacing w:val="-15"/>
          <w:w w:val="105"/>
        </w:rPr>
        <w:t> </w:t>
      </w:r>
      <w:r>
        <w:rPr>
          <w:color w:val="231F20"/>
          <w:w w:val="105"/>
        </w:rPr>
        <w:t>dado</w:t>
      </w:r>
      <w:r>
        <w:rPr>
          <w:color w:val="231F20"/>
          <w:spacing w:val="-15"/>
          <w:w w:val="105"/>
        </w:rPr>
        <w:t> </w:t>
      </w:r>
      <w:r>
        <w:rPr>
          <w:color w:val="231F20"/>
          <w:w w:val="105"/>
        </w:rPr>
        <w:t>que</w:t>
      </w:r>
      <w:r>
        <w:rPr>
          <w:color w:val="231F20"/>
          <w:spacing w:val="-15"/>
          <w:w w:val="105"/>
        </w:rPr>
        <w:t> </w:t>
      </w:r>
      <w:r>
        <w:rPr>
          <w:color w:val="231F20"/>
          <w:w w:val="105"/>
        </w:rPr>
        <w:t>alude</w:t>
      </w:r>
      <w:r>
        <w:rPr>
          <w:color w:val="231F20"/>
          <w:spacing w:val="-15"/>
          <w:w w:val="105"/>
        </w:rPr>
        <w:t> </w:t>
      </w:r>
      <w:r>
        <w:rPr>
          <w:color w:val="231F20"/>
          <w:w w:val="105"/>
        </w:rPr>
        <w:t>a</w:t>
      </w:r>
      <w:r>
        <w:rPr>
          <w:color w:val="231F20"/>
          <w:spacing w:val="-15"/>
          <w:w w:val="105"/>
        </w:rPr>
        <w:t> </w:t>
      </w:r>
      <w:r>
        <w:rPr>
          <w:color w:val="231F20"/>
          <w:w w:val="105"/>
        </w:rPr>
        <w:t>un</w:t>
      </w:r>
      <w:r>
        <w:rPr>
          <w:color w:val="231F20"/>
          <w:spacing w:val="-15"/>
          <w:w w:val="105"/>
        </w:rPr>
        <w:t> </w:t>
      </w:r>
      <w:r>
        <w:rPr>
          <w:color w:val="231F20"/>
          <w:w w:val="105"/>
        </w:rPr>
        <w:t>problema</w:t>
      </w:r>
      <w:r>
        <w:rPr>
          <w:color w:val="231F20"/>
          <w:spacing w:val="-15"/>
          <w:w w:val="105"/>
        </w:rPr>
        <w:t> </w:t>
      </w:r>
      <w:r>
        <w:rPr>
          <w:color w:val="231F20"/>
          <w:w w:val="105"/>
        </w:rPr>
        <w:t>y</w:t>
      </w:r>
      <w:r>
        <w:rPr>
          <w:color w:val="231F20"/>
          <w:spacing w:val="-15"/>
          <w:w w:val="105"/>
        </w:rPr>
        <w:t> </w:t>
      </w:r>
      <w:r>
        <w:rPr>
          <w:color w:val="231F20"/>
          <w:w w:val="105"/>
        </w:rPr>
        <w:t>no</w:t>
      </w:r>
      <w:r>
        <w:rPr>
          <w:color w:val="231F20"/>
          <w:spacing w:val="-15"/>
          <w:w w:val="105"/>
        </w:rPr>
        <w:t> </w:t>
      </w:r>
      <w:r>
        <w:rPr>
          <w:color w:val="231F20"/>
          <w:w w:val="105"/>
        </w:rPr>
        <w:t>a</w:t>
      </w:r>
      <w:r>
        <w:rPr>
          <w:color w:val="231F20"/>
          <w:spacing w:val="-15"/>
          <w:w w:val="105"/>
        </w:rPr>
        <w:t> </w:t>
      </w:r>
      <w:r>
        <w:rPr>
          <w:color w:val="231F20"/>
          <w:w w:val="105"/>
        </w:rPr>
        <w:t>una</w:t>
      </w:r>
      <w:r>
        <w:rPr>
          <w:color w:val="231F20"/>
          <w:spacing w:val="-15"/>
          <w:w w:val="105"/>
        </w:rPr>
        <w:t> </w:t>
      </w:r>
      <w:r>
        <w:rPr>
          <w:color w:val="231F20"/>
          <w:w w:val="105"/>
        </w:rPr>
        <w:t>idea</w:t>
      </w:r>
      <w:r>
        <w:rPr>
          <w:color w:val="231F20"/>
          <w:spacing w:val="-15"/>
          <w:w w:val="105"/>
        </w:rPr>
        <w:t> </w:t>
      </w:r>
      <w:r>
        <w:rPr>
          <w:color w:val="231F20"/>
          <w:w w:val="105"/>
        </w:rPr>
        <w:t>que inspire a los gobernantes en su acción cotidiana. Es probable que si se hubiera utiliza- do el concepto de confianza (confianza ciudadana, si se </w:t>
      </w:r>
      <w:r>
        <w:rPr>
          <w:color w:val="231F20"/>
          <w:spacing w:val="-3"/>
          <w:w w:val="105"/>
        </w:rPr>
        <w:t>prefiere) </w:t>
      </w:r>
      <w:r>
        <w:rPr>
          <w:color w:val="231F20"/>
          <w:w w:val="105"/>
        </w:rPr>
        <w:t>habría servido mejor como sustento doctrinario. </w:t>
      </w:r>
      <w:r>
        <w:rPr>
          <w:color w:val="231F20"/>
          <w:spacing w:val="-4"/>
          <w:w w:val="105"/>
        </w:rPr>
        <w:t>Tal </w:t>
      </w:r>
      <w:r>
        <w:rPr>
          <w:color w:val="231F20"/>
          <w:w w:val="105"/>
        </w:rPr>
        <w:t>como está no lo es, pero sirvió </w:t>
      </w:r>
      <w:r>
        <w:rPr>
          <w:color w:val="231F20"/>
          <w:spacing w:val="2"/>
          <w:w w:val="105"/>
        </w:rPr>
        <w:t>al </w:t>
      </w:r>
      <w:r>
        <w:rPr>
          <w:color w:val="231F20"/>
          <w:w w:val="105"/>
        </w:rPr>
        <w:t>nuevo gobierno</w:t>
      </w:r>
      <w:r>
        <w:rPr>
          <w:color w:val="231F20"/>
          <w:spacing w:val="26"/>
          <w:w w:val="105"/>
        </w:rPr>
        <w:t> </w:t>
      </w:r>
      <w:r>
        <w:rPr>
          <w:color w:val="231F20"/>
          <w:w w:val="105"/>
        </w:rPr>
        <w:t>para</w:t>
      </w:r>
    </w:p>
    <w:p>
      <w:pPr>
        <w:spacing w:after="0" w:line="285" w:lineRule="auto"/>
        <w:jc w:val="both"/>
        <w:sectPr>
          <w:footerReference w:type="default" r:id="rId647"/>
          <w:pgSz w:w="9640" w:h="12190"/>
          <w:pgMar w:footer="743" w:header="0" w:top="1120" w:bottom="940" w:left="740" w:right="740"/>
          <w:pgNumType w:start="260"/>
        </w:sectPr>
      </w:pPr>
    </w:p>
    <w:p>
      <w:pPr>
        <w:pStyle w:val="BodyText"/>
        <w:spacing w:before="3"/>
        <w:rPr>
          <w:sz w:val="11"/>
        </w:rPr>
      </w:pPr>
    </w:p>
    <w:p>
      <w:pPr>
        <w:pStyle w:val="BodyText"/>
        <w:spacing w:before="36"/>
        <w:ind w:left="110"/>
        <w:jc w:val="both"/>
      </w:pPr>
      <w:r>
        <w:rPr>
          <w:color w:val="231F20"/>
          <w:w w:val="105"/>
        </w:rPr>
        <w:t>llamar la atención en torno a la nueva gestión del panismo en el municipio.</w:t>
      </w:r>
    </w:p>
    <w:p>
      <w:pPr>
        <w:pStyle w:val="BodyText"/>
        <w:spacing w:line="285" w:lineRule="auto" w:before="47"/>
        <w:ind w:left="110" w:right="108"/>
        <w:jc w:val="both"/>
      </w:pPr>
      <w:r>
        <w:rPr>
          <w:color w:val="231F20"/>
          <w:w w:val="105"/>
        </w:rPr>
        <w:t>Cabe recordar que los principios del primer gobierno de Durán Reveles fueron la ho- nestidad</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eficiencia,</w:t>
      </w:r>
      <w:r>
        <w:rPr>
          <w:color w:val="231F20"/>
          <w:spacing w:val="-13"/>
          <w:w w:val="105"/>
        </w:rPr>
        <w:t> </w:t>
      </w:r>
      <w:r>
        <w:rPr>
          <w:color w:val="231F20"/>
          <w:w w:val="105"/>
        </w:rPr>
        <w:t>los</w:t>
      </w:r>
      <w:r>
        <w:rPr>
          <w:color w:val="231F20"/>
          <w:spacing w:val="-13"/>
          <w:w w:val="105"/>
        </w:rPr>
        <w:t> </w:t>
      </w:r>
      <w:r>
        <w:rPr>
          <w:color w:val="231F20"/>
          <w:w w:val="105"/>
        </w:rPr>
        <w:t>cuales,</w:t>
      </w:r>
      <w:r>
        <w:rPr>
          <w:color w:val="231F20"/>
          <w:spacing w:val="-13"/>
          <w:w w:val="105"/>
        </w:rPr>
        <w:t> </w:t>
      </w:r>
      <w:r>
        <w:rPr>
          <w:color w:val="231F20"/>
          <w:w w:val="105"/>
        </w:rPr>
        <w:t>como</w:t>
      </w:r>
      <w:r>
        <w:rPr>
          <w:color w:val="231F20"/>
          <w:spacing w:val="-13"/>
          <w:w w:val="105"/>
        </w:rPr>
        <w:t> </w:t>
      </w:r>
      <w:r>
        <w:rPr>
          <w:color w:val="231F20"/>
          <w:w w:val="105"/>
        </w:rPr>
        <w:t>ya</w:t>
      </w:r>
      <w:r>
        <w:rPr>
          <w:color w:val="231F20"/>
          <w:spacing w:val="-13"/>
          <w:w w:val="105"/>
        </w:rPr>
        <w:t> </w:t>
      </w:r>
      <w:r>
        <w:rPr>
          <w:color w:val="231F20"/>
          <w:w w:val="105"/>
        </w:rPr>
        <w:t>se</w:t>
      </w:r>
      <w:r>
        <w:rPr>
          <w:color w:val="231F20"/>
          <w:spacing w:val="-13"/>
          <w:w w:val="105"/>
        </w:rPr>
        <w:t> </w:t>
      </w:r>
      <w:r>
        <w:rPr>
          <w:color w:val="231F20"/>
          <w:w w:val="105"/>
        </w:rPr>
        <w:t>señaló</w:t>
      </w:r>
      <w:r>
        <w:rPr>
          <w:color w:val="231F20"/>
          <w:spacing w:val="-13"/>
          <w:w w:val="105"/>
        </w:rPr>
        <w:t> </w:t>
      </w:r>
      <w:r>
        <w:rPr>
          <w:color w:val="231F20"/>
          <w:w w:val="105"/>
        </w:rPr>
        <w:t>tampoco</w:t>
      </w:r>
      <w:r>
        <w:rPr>
          <w:color w:val="231F20"/>
          <w:spacing w:val="-13"/>
          <w:w w:val="105"/>
        </w:rPr>
        <w:t> </w:t>
      </w:r>
      <w:r>
        <w:rPr>
          <w:color w:val="231F20"/>
          <w:w w:val="105"/>
        </w:rPr>
        <w:t>podían</w:t>
      </w:r>
      <w:r>
        <w:rPr>
          <w:color w:val="231F20"/>
          <w:spacing w:val="-13"/>
          <w:w w:val="105"/>
        </w:rPr>
        <w:t> </w:t>
      </w:r>
      <w:r>
        <w:rPr>
          <w:color w:val="231F20"/>
          <w:w w:val="105"/>
        </w:rPr>
        <w:t>ser</w:t>
      </w:r>
      <w:r>
        <w:rPr>
          <w:color w:val="231F20"/>
          <w:spacing w:val="-13"/>
          <w:w w:val="105"/>
        </w:rPr>
        <w:t> </w:t>
      </w:r>
      <w:r>
        <w:rPr>
          <w:color w:val="231F20"/>
          <w:w w:val="105"/>
        </w:rPr>
        <w:t>considerados como netamente</w:t>
      </w:r>
      <w:r>
        <w:rPr>
          <w:color w:val="231F20"/>
          <w:spacing w:val="12"/>
          <w:w w:val="105"/>
        </w:rPr>
        <w:t> </w:t>
      </w:r>
      <w:r>
        <w:rPr>
          <w:color w:val="231F20"/>
          <w:w w:val="105"/>
        </w:rPr>
        <w:t>panistas.</w:t>
      </w:r>
    </w:p>
    <w:p>
      <w:pPr>
        <w:pStyle w:val="BodyText"/>
        <w:spacing w:before="1"/>
        <w:rPr>
          <w:sz w:val="26"/>
        </w:rPr>
      </w:pPr>
    </w:p>
    <w:p>
      <w:pPr>
        <w:pStyle w:val="BodyText"/>
        <w:spacing w:line="285" w:lineRule="auto"/>
        <w:ind w:left="110" w:right="107"/>
        <w:jc w:val="both"/>
      </w:pPr>
      <w:r>
        <w:rPr>
          <w:color w:val="231F20"/>
          <w:w w:val="105"/>
        </w:rPr>
        <w:t>Para poder enfrentar estos problemas, el plan señaló la conformación de las llamadas Unidades Estratégicas como instancias de coordinación de diversas dependencias </w:t>
      </w:r>
      <w:r>
        <w:rPr>
          <w:color w:val="231F20"/>
          <w:spacing w:val="-3"/>
          <w:w w:val="105"/>
        </w:rPr>
        <w:t>mu- </w:t>
      </w:r>
      <w:r>
        <w:rPr>
          <w:color w:val="231F20"/>
          <w:w w:val="105"/>
        </w:rPr>
        <w:t>nicipales para el cumplimiento de las metas. Dentro de ellas se formularon los pro- gramas y proyectos específicos. Estos daban cuenta de las principales acciones que se proyectaba realizar. Antes de abordarlas, veamos las líneas prioritarias, para después ver las unidades estratégicas de la administración municipal panista.</w:t>
      </w:r>
    </w:p>
    <w:p>
      <w:pPr>
        <w:pStyle w:val="BodyText"/>
        <w:spacing w:before="1"/>
        <w:rPr>
          <w:sz w:val="26"/>
        </w:rPr>
      </w:pPr>
    </w:p>
    <w:p>
      <w:pPr>
        <w:pStyle w:val="BodyText"/>
        <w:spacing w:line="285" w:lineRule="auto"/>
        <w:ind w:left="110" w:right="107"/>
        <w:jc w:val="both"/>
      </w:pPr>
      <w:r>
        <w:rPr>
          <w:color w:val="231F20"/>
          <w:w w:val="105"/>
        </w:rPr>
        <w:t>Ubicada</w:t>
      </w:r>
      <w:r>
        <w:rPr>
          <w:color w:val="231F20"/>
          <w:spacing w:val="-5"/>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Unidad</w:t>
      </w:r>
      <w:r>
        <w:rPr>
          <w:color w:val="231F20"/>
          <w:spacing w:val="-5"/>
          <w:w w:val="105"/>
        </w:rPr>
        <w:t> </w:t>
      </w:r>
      <w:r>
        <w:rPr>
          <w:color w:val="231F20"/>
          <w:w w:val="105"/>
        </w:rPr>
        <w:t>Estratégica</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Seguridad</w:t>
      </w:r>
      <w:r>
        <w:rPr>
          <w:color w:val="231F20"/>
          <w:spacing w:val="-5"/>
          <w:w w:val="105"/>
        </w:rPr>
        <w:t> </w:t>
      </w:r>
      <w:r>
        <w:rPr>
          <w:color w:val="231F20"/>
          <w:w w:val="105"/>
        </w:rPr>
        <w:t>Pública,</w:t>
      </w:r>
      <w:r>
        <w:rPr>
          <w:color w:val="231F20"/>
          <w:spacing w:val="-5"/>
          <w:w w:val="105"/>
        </w:rPr>
        <w:t> </w:t>
      </w:r>
      <w:r>
        <w:rPr>
          <w:color w:val="231F20"/>
          <w:w w:val="105"/>
        </w:rPr>
        <w:t>en</w:t>
      </w:r>
      <w:r>
        <w:rPr>
          <w:color w:val="231F20"/>
          <w:spacing w:val="-4"/>
          <w:w w:val="105"/>
        </w:rPr>
        <w:t> </w:t>
      </w:r>
      <w:r>
        <w:rPr>
          <w:color w:val="231F20"/>
          <w:w w:val="105"/>
        </w:rPr>
        <w:t>la</w:t>
      </w:r>
      <w:r>
        <w:rPr>
          <w:color w:val="231F20"/>
          <w:spacing w:val="-5"/>
          <w:w w:val="105"/>
        </w:rPr>
        <w:t> </w:t>
      </w:r>
      <w:r>
        <w:rPr>
          <w:color w:val="231F20"/>
          <w:w w:val="105"/>
        </w:rPr>
        <w:t>línea</w:t>
      </w:r>
      <w:r>
        <w:rPr>
          <w:color w:val="231F20"/>
          <w:spacing w:val="-4"/>
          <w:w w:val="105"/>
        </w:rPr>
        <w:t> </w:t>
      </w:r>
      <w:r>
        <w:rPr>
          <w:color w:val="231F20"/>
          <w:w w:val="105"/>
        </w:rPr>
        <w:t>seguridad</w:t>
      </w:r>
      <w:r>
        <w:rPr>
          <w:color w:val="231F20"/>
          <w:spacing w:val="-5"/>
          <w:w w:val="105"/>
        </w:rPr>
        <w:t> </w:t>
      </w:r>
      <w:r>
        <w:rPr>
          <w:color w:val="231F20"/>
          <w:w w:val="105"/>
        </w:rPr>
        <w:t>ciu- dadana</w:t>
      </w:r>
      <w:r>
        <w:rPr>
          <w:color w:val="231F20"/>
          <w:spacing w:val="-15"/>
          <w:w w:val="105"/>
        </w:rPr>
        <w:t> </w:t>
      </w:r>
      <w:r>
        <w:rPr>
          <w:color w:val="231F20"/>
          <w:w w:val="105"/>
        </w:rPr>
        <w:t>integral</w:t>
      </w:r>
      <w:r>
        <w:rPr>
          <w:color w:val="231F20"/>
          <w:spacing w:val="-15"/>
          <w:w w:val="105"/>
        </w:rPr>
        <w:t> </w:t>
      </w:r>
      <w:r>
        <w:rPr>
          <w:color w:val="231F20"/>
          <w:w w:val="105"/>
        </w:rPr>
        <w:t>se</w:t>
      </w:r>
      <w:r>
        <w:rPr>
          <w:color w:val="231F20"/>
          <w:spacing w:val="-15"/>
          <w:w w:val="105"/>
        </w:rPr>
        <w:t> </w:t>
      </w:r>
      <w:r>
        <w:rPr>
          <w:color w:val="231F20"/>
          <w:w w:val="105"/>
        </w:rPr>
        <w:t>anotaron</w:t>
      </w:r>
      <w:r>
        <w:rPr>
          <w:color w:val="231F20"/>
          <w:spacing w:val="-15"/>
          <w:w w:val="105"/>
        </w:rPr>
        <w:t> </w:t>
      </w:r>
      <w:r>
        <w:rPr>
          <w:color w:val="231F20"/>
          <w:w w:val="105"/>
        </w:rPr>
        <w:t>las</w:t>
      </w:r>
      <w:r>
        <w:rPr>
          <w:color w:val="231F20"/>
          <w:spacing w:val="-15"/>
          <w:w w:val="105"/>
        </w:rPr>
        <w:t> </w:t>
      </w:r>
      <w:r>
        <w:rPr>
          <w:color w:val="231F20"/>
          <w:w w:val="105"/>
        </w:rPr>
        <w:t>responsabilidades</w:t>
      </w:r>
      <w:r>
        <w:rPr>
          <w:color w:val="231F20"/>
          <w:spacing w:val="-15"/>
          <w:w w:val="105"/>
        </w:rPr>
        <w:t> </w:t>
      </w:r>
      <w:r>
        <w:rPr>
          <w:color w:val="231F20"/>
          <w:w w:val="105"/>
        </w:rPr>
        <w:t>de,</w:t>
      </w:r>
      <w:r>
        <w:rPr>
          <w:color w:val="231F20"/>
          <w:spacing w:val="-15"/>
          <w:w w:val="105"/>
        </w:rPr>
        <w:t> </w:t>
      </w:r>
      <w:r>
        <w:rPr>
          <w:color w:val="231F20"/>
          <w:w w:val="105"/>
        </w:rPr>
        <w:t>por</w:t>
      </w:r>
      <w:r>
        <w:rPr>
          <w:color w:val="231F20"/>
          <w:spacing w:val="-15"/>
          <w:w w:val="105"/>
        </w:rPr>
        <w:t> </w:t>
      </w:r>
      <w:r>
        <w:rPr>
          <w:color w:val="231F20"/>
          <w:spacing w:val="-3"/>
          <w:w w:val="105"/>
        </w:rPr>
        <w:t>ejemplo,</w:t>
      </w:r>
      <w:r>
        <w:rPr>
          <w:color w:val="231F20"/>
          <w:spacing w:val="-15"/>
          <w:w w:val="105"/>
        </w:rPr>
        <w:t> </w:t>
      </w:r>
      <w:r>
        <w:rPr>
          <w:color w:val="231F20"/>
          <w:w w:val="105"/>
        </w:rPr>
        <w:t>la</w:t>
      </w:r>
      <w:r>
        <w:rPr>
          <w:color w:val="231F20"/>
          <w:spacing w:val="-15"/>
          <w:w w:val="105"/>
        </w:rPr>
        <w:t> </w:t>
      </w:r>
      <w:r>
        <w:rPr>
          <w:color w:val="231F20"/>
          <w:w w:val="105"/>
        </w:rPr>
        <w:t>Dirección</w:t>
      </w:r>
      <w:r>
        <w:rPr>
          <w:color w:val="231F20"/>
          <w:spacing w:val="-15"/>
          <w:w w:val="105"/>
        </w:rPr>
        <w:t> </w:t>
      </w:r>
      <w:r>
        <w:rPr>
          <w:color w:val="231F20"/>
          <w:w w:val="105"/>
        </w:rPr>
        <w:t>General de</w:t>
      </w:r>
      <w:r>
        <w:rPr>
          <w:color w:val="231F20"/>
          <w:spacing w:val="-12"/>
          <w:w w:val="105"/>
        </w:rPr>
        <w:t> </w:t>
      </w:r>
      <w:r>
        <w:rPr>
          <w:color w:val="231F20"/>
          <w:w w:val="105"/>
        </w:rPr>
        <w:t>Seguridad</w:t>
      </w:r>
      <w:r>
        <w:rPr>
          <w:color w:val="231F20"/>
          <w:spacing w:val="-12"/>
          <w:w w:val="105"/>
        </w:rPr>
        <w:t> </w:t>
      </w:r>
      <w:r>
        <w:rPr>
          <w:color w:val="231F20"/>
          <w:w w:val="105"/>
        </w:rPr>
        <w:t>Pública</w:t>
      </w:r>
      <w:r>
        <w:rPr>
          <w:color w:val="231F20"/>
          <w:spacing w:val="-12"/>
          <w:w w:val="105"/>
        </w:rPr>
        <w:t> </w:t>
      </w:r>
      <w:r>
        <w:rPr>
          <w:color w:val="231F20"/>
          <w:w w:val="105"/>
        </w:rPr>
        <w:t>y</w:t>
      </w:r>
      <w:r>
        <w:rPr>
          <w:color w:val="231F20"/>
          <w:spacing w:val="-12"/>
          <w:w w:val="105"/>
        </w:rPr>
        <w:t> </w:t>
      </w:r>
      <w:r>
        <w:rPr>
          <w:color w:val="231F20"/>
          <w:w w:val="105"/>
        </w:rPr>
        <w:t>Tránsito,</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iban</w:t>
      </w:r>
      <w:r>
        <w:rPr>
          <w:color w:val="231F20"/>
          <w:spacing w:val="-12"/>
          <w:w w:val="105"/>
        </w:rPr>
        <w:t> </w:t>
      </w:r>
      <w:r>
        <w:rPr>
          <w:color w:val="231F20"/>
          <w:w w:val="105"/>
        </w:rPr>
        <w:t>más</w:t>
      </w:r>
      <w:r>
        <w:rPr>
          <w:color w:val="231F20"/>
          <w:spacing w:val="-12"/>
          <w:w w:val="105"/>
        </w:rPr>
        <w:t> </w:t>
      </w:r>
      <w:r>
        <w:rPr>
          <w:color w:val="231F20"/>
          <w:spacing w:val="2"/>
          <w:w w:val="105"/>
        </w:rPr>
        <w:t>allá</w:t>
      </w:r>
      <w:r>
        <w:rPr>
          <w:color w:val="231F20"/>
          <w:spacing w:val="-12"/>
          <w:w w:val="105"/>
        </w:rPr>
        <w:t> </w:t>
      </w:r>
      <w:r>
        <w:rPr>
          <w:color w:val="231F20"/>
          <w:w w:val="105"/>
        </w:rPr>
        <w:t>de</w:t>
      </w:r>
      <w:r>
        <w:rPr>
          <w:color w:val="231F20"/>
          <w:spacing w:val="-12"/>
          <w:w w:val="105"/>
        </w:rPr>
        <w:t> </w:t>
      </w:r>
      <w:r>
        <w:rPr>
          <w:color w:val="231F20"/>
          <w:w w:val="105"/>
        </w:rPr>
        <w:t>apuntar</w:t>
      </w:r>
      <w:r>
        <w:rPr>
          <w:color w:val="231F20"/>
          <w:spacing w:val="-12"/>
          <w:w w:val="105"/>
        </w:rPr>
        <w:t> </w:t>
      </w:r>
      <w:r>
        <w:rPr>
          <w:color w:val="231F20"/>
          <w:w w:val="105"/>
        </w:rPr>
        <w:t>la</w:t>
      </w:r>
      <w:r>
        <w:rPr>
          <w:color w:val="231F20"/>
          <w:spacing w:val="-12"/>
          <w:w w:val="105"/>
        </w:rPr>
        <w:t> </w:t>
      </w:r>
      <w:r>
        <w:rPr>
          <w:color w:val="231F20"/>
          <w:w w:val="105"/>
        </w:rPr>
        <w:t>necesidad</w:t>
      </w:r>
      <w:r>
        <w:rPr>
          <w:color w:val="231F20"/>
          <w:spacing w:val="-12"/>
          <w:w w:val="105"/>
        </w:rPr>
        <w:t> </w:t>
      </w:r>
      <w:r>
        <w:rPr>
          <w:color w:val="231F20"/>
          <w:w w:val="105"/>
        </w:rPr>
        <w:t>de</w:t>
      </w:r>
      <w:r>
        <w:rPr>
          <w:color w:val="231F20"/>
          <w:spacing w:val="-12"/>
          <w:w w:val="105"/>
        </w:rPr>
        <w:t> </w:t>
      </w:r>
      <w:r>
        <w:rPr>
          <w:color w:val="231F20"/>
          <w:w w:val="105"/>
        </w:rPr>
        <w:t>incre- mentar</w:t>
      </w:r>
      <w:r>
        <w:rPr>
          <w:color w:val="231F20"/>
          <w:spacing w:val="-17"/>
          <w:w w:val="105"/>
        </w:rPr>
        <w:t> </w:t>
      </w:r>
      <w:r>
        <w:rPr>
          <w:color w:val="231F20"/>
          <w:w w:val="105"/>
        </w:rPr>
        <w:t>sus</w:t>
      </w:r>
      <w:r>
        <w:rPr>
          <w:color w:val="231F20"/>
          <w:spacing w:val="-17"/>
          <w:w w:val="105"/>
        </w:rPr>
        <w:t> </w:t>
      </w:r>
      <w:r>
        <w:rPr>
          <w:color w:val="231F20"/>
          <w:w w:val="105"/>
        </w:rPr>
        <w:t>actividades</w:t>
      </w:r>
      <w:r>
        <w:rPr>
          <w:color w:val="231F20"/>
          <w:spacing w:val="-17"/>
          <w:w w:val="105"/>
        </w:rPr>
        <w:t> </w:t>
      </w:r>
      <w:r>
        <w:rPr>
          <w:color w:val="231F20"/>
          <w:w w:val="105"/>
        </w:rPr>
        <w:t>de</w:t>
      </w:r>
      <w:r>
        <w:rPr>
          <w:color w:val="231F20"/>
          <w:spacing w:val="-17"/>
          <w:w w:val="105"/>
        </w:rPr>
        <w:t> </w:t>
      </w:r>
      <w:r>
        <w:rPr>
          <w:color w:val="231F20"/>
          <w:w w:val="105"/>
        </w:rPr>
        <w:t>prevención</w:t>
      </w:r>
      <w:r>
        <w:rPr>
          <w:color w:val="231F20"/>
          <w:spacing w:val="-17"/>
          <w:w w:val="105"/>
        </w:rPr>
        <w:t> </w:t>
      </w:r>
      <w:r>
        <w:rPr>
          <w:color w:val="231F20"/>
          <w:w w:val="105"/>
        </w:rPr>
        <w:t>del</w:t>
      </w:r>
      <w:r>
        <w:rPr>
          <w:color w:val="231F20"/>
          <w:spacing w:val="-17"/>
          <w:w w:val="105"/>
        </w:rPr>
        <w:t> </w:t>
      </w:r>
      <w:r>
        <w:rPr>
          <w:color w:val="231F20"/>
          <w:w w:val="105"/>
        </w:rPr>
        <w:t>delito,</w:t>
      </w:r>
      <w:r>
        <w:rPr>
          <w:color w:val="231F20"/>
          <w:spacing w:val="-17"/>
          <w:w w:val="105"/>
        </w:rPr>
        <w:t> </w:t>
      </w:r>
      <w:r>
        <w:rPr>
          <w:color w:val="231F20"/>
          <w:w w:val="105"/>
        </w:rPr>
        <w:t>reducir</w:t>
      </w:r>
      <w:r>
        <w:rPr>
          <w:color w:val="231F20"/>
          <w:spacing w:val="-17"/>
          <w:w w:val="105"/>
        </w:rPr>
        <w:t> </w:t>
      </w:r>
      <w:r>
        <w:rPr>
          <w:color w:val="231F20"/>
          <w:w w:val="105"/>
        </w:rPr>
        <w:t>los</w:t>
      </w:r>
      <w:r>
        <w:rPr>
          <w:color w:val="231F20"/>
          <w:spacing w:val="-17"/>
          <w:w w:val="105"/>
        </w:rPr>
        <w:t> </w:t>
      </w:r>
      <w:r>
        <w:rPr>
          <w:color w:val="231F20"/>
          <w:w w:val="105"/>
        </w:rPr>
        <w:t>índices</w:t>
      </w:r>
      <w:r>
        <w:rPr>
          <w:color w:val="231F20"/>
          <w:spacing w:val="-17"/>
          <w:w w:val="105"/>
        </w:rPr>
        <w:t> </w:t>
      </w:r>
      <w:r>
        <w:rPr>
          <w:color w:val="231F20"/>
          <w:w w:val="105"/>
        </w:rPr>
        <w:t>delictivos,</w:t>
      </w:r>
      <w:r>
        <w:rPr>
          <w:color w:val="231F20"/>
          <w:spacing w:val="-17"/>
          <w:w w:val="105"/>
        </w:rPr>
        <w:t> </w:t>
      </w:r>
      <w:r>
        <w:rPr>
          <w:color w:val="231F20"/>
          <w:w w:val="105"/>
        </w:rPr>
        <w:t>capacitar </w:t>
      </w:r>
      <w:r>
        <w:rPr>
          <w:color w:val="231F20"/>
          <w:spacing w:val="2"/>
          <w:w w:val="105"/>
        </w:rPr>
        <w:t>al</w:t>
      </w:r>
      <w:r>
        <w:rPr>
          <w:color w:val="231F20"/>
          <w:spacing w:val="-13"/>
          <w:w w:val="105"/>
        </w:rPr>
        <w:t> </w:t>
      </w:r>
      <w:r>
        <w:rPr>
          <w:color w:val="231F20"/>
          <w:w w:val="105"/>
        </w:rPr>
        <w:t>personal</w:t>
      </w:r>
      <w:r>
        <w:rPr>
          <w:color w:val="231F20"/>
          <w:spacing w:val="-13"/>
          <w:w w:val="105"/>
        </w:rPr>
        <w:t> </w:t>
      </w:r>
      <w:r>
        <w:rPr>
          <w:color w:val="231F20"/>
          <w:w w:val="105"/>
        </w:rPr>
        <w:t>policíaco,</w:t>
      </w:r>
      <w:r>
        <w:rPr>
          <w:color w:val="231F20"/>
          <w:spacing w:val="-13"/>
          <w:w w:val="105"/>
        </w:rPr>
        <w:t> </w:t>
      </w:r>
      <w:r>
        <w:rPr>
          <w:color w:val="231F20"/>
          <w:w w:val="105"/>
        </w:rPr>
        <w:t>hacer</w:t>
      </w:r>
      <w:r>
        <w:rPr>
          <w:color w:val="231F20"/>
          <w:spacing w:val="-13"/>
          <w:w w:val="105"/>
        </w:rPr>
        <w:t> </w:t>
      </w:r>
      <w:r>
        <w:rPr>
          <w:color w:val="231F20"/>
          <w:w w:val="105"/>
        </w:rPr>
        <w:t>operativos</w:t>
      </w:r>
      <w:r>
        <w:rPr>
          <w:color w:val="231F20"/>
          <w:spacing w:val="-13"/>
          <w:w w:val="105"/>
        </w:rPr>
        <w:t> </w:t>
      </w:r>
      <w:r>
        <w:rPr>
          <w:color w:val="231F20"/>
          <w:w w:val="105"/>
        </w:rPr>
        <w:t>de</w:t>
      </w:r>
      <w:r>
        <w:rPr>
          <w:color w:val="231F20"/>
          <w:spacing w:val="-13"/>
          <w:w w:val="105"/>
        </w:rPr>
        <w:t> </w:t>
      </w:r>
      <w:r>
        <w:rPr>
          <w:color w:val="231F20"/>
          <w:w w:val="105"/>
        </w:rPr>
        <w:t>vigilancia</w:t>
      </w:r>
      <w:r>
        <w:rPr>
          <w:color w:val="231F20"/>
          <w:spacing w:val="-13"/>
          <w:w w:val="105"/>
        </w:rPr>
        <w:t> </w:t>
      </w:r>
      <w:r>
        <w:rPr>
          <w:color w:val="231F20"/>
          <w:w w:val="105"/>
        </w:rPr>
        <w:t>en</w:t>
      </w:r>
      <w:r>
        <w:rPr>
          <w:color w:val="231F20"/>
          <w:spacing w:val="-13"/>
          <w:w w:val="105"/>
        </w:rPr>
        <w:t> </w:t>
      </w:r>
      <w:r>
        <w:rPr>
          <w:color w:val="231F20"/>
          <w:w w:val="105"/>
        </w:rPr>
        <w:t>zonas</w:t>
      </w:r>
      <w:r>
        <w:rPr>
          <w:color w:val="231F20"/>
          <w:spacing w:val="-13"/>
          <w:w w:val="105"/>
        </w:rPr>
        <w:t> </w:t>
      </w:r>
      <w:r>
        <w:rPr>
          <w:color w:val="231F20"/>
          <w:w w:val="105"/>
        </w:rPr>
        <w:t>vulnerables</w:t>
      </w:r>
      <w:r>
        <w:rPr>
          <w:color w:val="231F20"/>
          <w:spacing w:val="-13"/>
          <w:w w:val="105"/>
        </w:rPr>
        <w:t> </w:t>
      </w:r>
      <w:r>
        <w:rPr>
          <w:color w:val="231F20"/>
          <w:w w:val="105"/>
        </w:rPr>
        <w:t>y</w:t>
      </w:r>
      <w:r>
        <w:rPr>
          <w:color w:val="231F20"/>
          <w:spacing w:val="-13"/>
          <w:w w:val="105"/>
        </w:rPr>
        <w:t> </w:t>
      </w:r>
      <w:r>
        <w:rPr>
          <w:color w:val="231F20"/>
          <w:w w:val="105"/>
        </w:rPr>
        <w:t>erradicar</w:t>
      </w:r>
      <w:r>
        <w:rPr>
          <w:color w:val="231F20"/>
          <w:spacing w:val="-13"/>
          <w:w w:val="105"/>
        </w:rPr>
        <w:t> </w:t>
      </w:r>
      <w:r>
        <w:rPr>
          <w:color w:val="231F20"/>
          <w:w w:val="105"/>
        </w:rPr>
        <w:t>la corrupción. Cabe mencionar que en el </w:t>
      </w:r>
      <w:r>
        <w:rPr>
          <w:color w:val="231F20"/>
          <w:spacing w:val="2"/>
          <w:w w:val="105"/>
        </w:rPr>
        <w:t>2007 </w:t>
      </w:r>
      <w:r>
        <w:rPr>
          <w:color w:val="231F20"/>
          <w:w w:val="105"/>
        </w:rPr>
        <w:t>había 2 </w:t>
      </w:r>
      <w:r>
        <w:rPr>
          <w:color w:val="231F20"/>
          <w:spacing w:val="2"/>
          <w:w w:val="105"/>
        </w:rPr>
        <w:t>mil </w:t>
      </w:r>
      <w:r>
        <w:rPr>
          <w:color w:val="231F20"/>
          <w:spacing w:val="-8"/>
          <w:w w:val="105"/>
        </w:rPr>
        <w:t>617 </w:t>
      </w:r>
      <w:r>
        <w:rPr>
          <w:color w:val="231F20"/>
          <w:w w:val="105"/>
        </w:rPr>
        <w:t>elementos en total, de los cuales</w:t>
      </w:r>
      <w:r>
        <w:rPr>
          <w:color w:val="231F20"/>
          <w:spacing w:val="-18"/>
          <w:w w:val="105"/>
        </w:rPr>
        <w:t> </w:t>
      </w:r>
      <w:r>
        <w:rPr>
          <w:color w:val="231F20"/>
          <w:w w:val="105"/>
        </w:rPr>
        <w:t>2</w:t>
      </w:r>
      <w:r>
        <w:rPr>
          <w:color w:val="231F20"/>
          <w:spacing w:val="-18"/>
          <w:w w:val="105"/>
        </w:rPr>
        <w:t> </w:t>
      </w:r>
      <w:r>
        <w:rPr>
          <w:color w:val="231F20"/>
          <w:spacing w:val="2"/>
          <w:w w:val="105"/>
        </w:rPr>
        <w:t>mil</w:t>
      </w:r>
      <w:r>
        <w:rPr>
          <w:color w:val="231F20"/>
          <w:spacing w:val="-18"/>
          <w:w w:val="105"/>
        </w:rPr>
        <w:t> </w:t>
      </w:r>
      <w:r>
        <w:rPr>
          <w:color w:val="231F20"/>
          <w:w w:val="105"/>
        </w:rPr>
        <w:t>092</w:t>
      </w:r>
      <w:r>
        <w:rPr>
          <w:color w:val="231F20"/>
          <w:spacing w:val="-18"/>
          <w:w w:val="105"/>
        </w:rPr>
        <w:t> </w:t>
      </w:r>
      <w:r>
        <w:rPr>
          <w:color w:val="231F20"/>
          <w:w w:val="105"/>
        </w:rPr>
        <w:t>eran</w:t>
      </w:r>
      <w:r>
        <w:rPr>
          <w:color w:val="231F20"/>
          <w:spacing w:val="-18"/>
          <w:w w:val="105"/>
        </w:rPr>
        <w:t> </w:t>
      </w:r>
      <w:r>
        <w:rPr>
          <w:color w:val="231F20"/>
          <w:w w:val="105"/>
        </w:rPr>
        <w:t>elementos</w:t>
      </w:r>
      <w:r>
        <w:rPr>
          <w:color w:val="231F20"/>
          <w:spacing w:val="-18"/>
          <w:w w:val="105"/>
        </w:rPr>
        <w:t> </w:t>
      </w:r>
      <w:r>
        <w:rPr>
          <w:color w:val="231F20"/>
          <w:w w:val="105"/>
        </w:rPr>
        <w:t>operativos.</w:t>
      </w:r>
    </w:p>
    <w:p>
      <w:pPr>
        <w:pStyle w:val="BodyText"/>
        <w:spacing w:before="1"/>
        <w:rPr>
          <w:sz w:val="26"/>
        </w:rPr>
      </w:pPr>
    </w:p>
    <w:p>
      <w:pPr>
        <w:pStyle w:val="BodyText"/>
        <w:spacing w:line="285" w:lineRule="auto"/>
        <w:ind w:left="110" w:right="110"/>
        <w:jc w:val="both"/>
      </w:pPr>
      <w:r>
        <w:rPr>
          <w:color w:val="231F20"/>
          <w:w w:val="105"/>
        </w:rPr>
        <w:t>La</w:t>
      </w:r>
      <w:r>
        <w:rPr>
          <w:color w:val="231F20"/>
          <w:spacing w:val="-10"/>
          <w:w w:val="105"/>
        </w:rPr>
        <w:t> </w:t>
      </w:r>
      <w:r>
        <w:rPr>
          <w:color w:val="231F20"/>
          <w:w w:val="105"/>
        </w:rPr>
        <w:t>Dirección</w:t>
      </w:r>
      <w:r>
        <w:rPr>
          <w:color w:val="231F20"/>
          <w:spacing w:val="-10"/>
          <w:w w:val="105"/>
        </w:rPr>
        <w:t> </w:t>
      </w:r>
      <w:r>
        <w:rPr>
          <w:color w:val="231F20"/>
          <w:w w:val="105"/>
        </w:rPr>
        <w:t>General</w:t>
      </w:r>
      <w:r>
        <w:rPr>
          <w:color w:val="231F20"/>
          <w:spacing w:val="-10"/>
          <w:w w:val="105"/>
        </w:rPr>
        <w:t> </w:t>
      </w:r>
      <w:r>
        <w:rPr>
          <w:color w:val="231F20"/>
          <w:w w:val="105"/>
        </w:rPr>
        <w:t>de</w:t>
      </w:r>
      <w:r>
        <w:rPr>
          <w:color w:val="231F20"/>
          <w:spacing w:val="-10"/>
          <w:w w:val="105"/>
        </w:rPr>
        <w:t> </w:t>
      </w:r>
      <w:r>
        <w:rPr>
          <w:color w:val="231F20"/>
          <w:w w:val="105"/>
        </w:rPr>
        <w:t>Protección</w:t>
      </w:r>
      <w:r>
        <w:rPr>
          <w:color w:val="231F20"/>
          <w:spacing w:val="-10"/>
          <w:w w:val="105"/>
        </w:rPr>
        <w:t> </w:t>
      </w:r>
      <w:r>
        <w:rPr>
          <w:color w:val="231F20"/>
          <w:w w:val="105"/>
        </w:rPr>
        <w:t>Civil</w:t>
      </w:r>
      <w:r>
        <w:rPr>
          <w:color w:val="231F20"/>
          <w:spacing w:val="-10"/>
          <w:w w:val="105"/>
        </w:rPr>
        <w:t> </w:t>
      </w:r>
      <w:r>
        <w:rPr>
          <w:color w:val="231F20"/>
          <w:w w:val="105"/>
        </w:rPr>
        <w:t>tuvo</w:t>
      </w:r>
      <w:r>
        <w:rPr>
          <w:color w:val="231F20"/>
          <w:spacing w:val="-10"/>
          <w:w w:val="105"/>
        </w:rPr>
        <w:t> </w:t>
      </w:r>
      <w:r>
        <w:rPr>
          <w:color w:val="231F20"/>
          <w:w w:val="105"/>
        </w:rPr>
        <w:t>como</w:t>
      </w:r>
      <w:r>
        <w:rPr>
          <w:color w:val="231F20"/>
          <w:spacing w:val="-10"/>
          <w:w w:val="105"/>
        </w:rPr>
        <w:t> </w:t>
      </w:r>
      <w:r>
        <w:rPr>
          <w:color w:val="231F20"/>
          <w:spacing w:val="2"/>
          <w:w w:val="105"/>
        </w:rPr>
        <w:t>fin</w:t>
      </w:r>
      <w:r>
        <w:rPr>
          <w:color w:val="231F20"/>
          <w:spacing w:val="-10"/>
          <w:w w:val="105"/>
        </w:rPr>
        <w:t> </w:t>
      </w:r>
      <w:r>
        <w:rPr>
          <w:color w:val="231F20"/>
          <w:w w:val="105"/>
        </w:rPr>
        <w:t>la</w:t>
      </w:r>
      <w:r>
        <w:rPr>
          <w:color w:val="231F20"/>
          <w:spacing w:val="-10"/>
          <w:w w:val="105"/>
        </w:rPr>
        <w:t> </w:t>
      </w:r>
      <w:r>
        <w:rPr>
          <w:color w:val="231F20"/>
          <w:w w:val="105"/>
        </w:rPr>
        <w:t>promoción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conciencia cívica</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prevención</w:t>
      </w:r>
      <w:r>
        <w:rPr>
          <w:color w:val="231F20"/>
          <w:spacing w:val="-15"/>
          <w:w w:val="105"/>
        </w:rPr>
        <w:t> </w:t>
      </w:r>
      <w:r>
        <w:rPr>
          <w:color w:val="231F20"/>
          <w:w w:val="105"/>
        </w:rPr>
        <w:t>de</w:t>
      </w:r>
      <w:r>
        <w:rPr>
          <w:color w:val="231F20"/>
          <w:spacing w:val="-15"/>
          <w:w w:val="105"/>
        </w:rPr>
        <w:t> </w:t>
      </w:r>
      <w:r>
        <w:rPr>
          <w:color w:val="231F20"/>
          <w:w w:val="105"/>
        </w:rPr>
        <w:t>riesgos</w:t>
      </w:r>
      <w:r>
        <w:rPr>
          <w:color w:val="231F20"/>
          <w:spacing w:val="-15"/>
          <w:w w:val="105"/>
        </w:rPr>
        <w:t> </w:t>
      </w:r>
      <w:r>
        <w:rPr>
          <w:color w:val="231F20"/>
          <w:w w:val="105"/>
        </w:rPr>
        <w:t>humanos</w:t>
      </w:r>
      <w:r>
        <w:rPr>
          <w:color w:val="231F20"/>
          <w:spacing w:val="-15"/>
          <w:w w:val="105"/>
        </w:rPr>
        <w:t> </w:t>
      </w:r>
      <w:r>
        <w:rPr>
          <w:color w:val="231F20"/>
          <w:w w:val="105"/>
        </w:rPr>
        <w:t>y</w:t>
      </w:r>
      <w:r>
        <w:rPr>
          <w:color w:val="231F20"/>
          <w:spacing w:val="-15"/>
          <w:w w:val="105"/>
        </w:rPr>
        <w:t> </w:t>
      </w:r>
      <w:r>
        <w:rPr>
          <w:color w:val="231F20"/>
          <w:w w:val="105"/>
        </w:rPr>
        <w:t>naturales.</w:t>
      </w:r>
    </w:p>
    <w:p>
      <w:pPr>
        <w:pStyle w:val="BodyText"/>
        <w:spacing w:before="1"/>
        <w:rPr>
          <w:sz w:val="26"/>
        </w:rPr>
      </w:pPr>
    </w:p>
    <w:p>
      <w:pPr>
        <w:pStyle w:val="BodyText"/>
        <w:spacing w:line="285" w:lineRule="auto"/>
        <w:ind w:left="110" w:right="108"/>
        <w:jc w:val="both"/>
      </w:pPr>
      <w:r>
        <w:rPr>
          <w:color w:val="231F20"/>
          <w:w w:val="105"/>
        </w:rPr>
        <w:t>La Dirección General de Desarrollo Social se centró en el </w:t>
      </w:r>
      <w:r>
        <w:rPr>
          <w:color w:val="231F20"/>
          <w:spacing w:val="-3"/>
          <w:w w:val="105"/>
        </w:rPr>
        <w:t>fomento </w:t>
      </w:r>
      <w:r>
        <w:rPr>
          <w:color w:val="231F20"/>
          <w:w w:val="105"/>
        </w:rPr>
        <w:t>de la cultura y el deporte. En este aspecto, hubo una contradicción en el plan pues si </w:t>
      </w:r>
      <w:r>
        <w:rPr>
          <w:color w:val="231F20"/>
          <w:spacing w:val="2"/>
          <w:w w:val="105"/>
        </w:rPr>
        <w:t>al </w:t>
      </w:r>
      <w:r>
        <w:rPr>
          <w:color w:val="231F20"/>
          <w:w w:val="105"/>
        </w:rPr>
        <w:t>principio se re- conocía que esa área tenía serios rezagos, posteriormente parecía todo lo contrario.</w:t>
      </w:r>
      <w:r>
        <w:rPr>
          <w:color w:val="231F20"/>
          <w:spacing w:val="-38"/>
          <w:w w:val="105"/>
        </w:rPr>
        <w:t> </w:t>
      </w:r>
      <w:r>
        <w:rPr>
          <w:color w:val="231F20"/>
          <w:w w:val="105"/>
        </w:rPr>
        <w:t>Se hablaba</w:t>
      </w:r>
      <w:r>
        <w:rPr>
          <w:color w:val="231F20"/>
          <w:spacing w:val="-5"/>
          <w:w w:val="105"/>
        </w:rPr>
        <w:t> </w:t>
      </w:r>
      <w:r>
        <w:rPr>
          <w:color w:val="231F20"/>
          <w:w w:val="105"/>
        </w:rPr>
        <w:t>de</w:t>
      </w:r>
      <w:r>
        <w:rPr>
          <w:color w:val="231F20"/>
          <w:spacing w:val="-5"/>
          <w:w w:val="105"/>
        </w:rPr>
        <w:t> </w:t>
      </w:r>
      <w:r>
        <w:rPr>
          <w:color w:val="231F20"/>
          <w:w w:val="105"/>
        </w:rPr>
        <w:t>ampliar,</w:t>
      </w:r>
      <w:r>
        <w:rPr>
          <w:color w:val="231F20"/>
          <w:spacing w:val="-5"/>
          <w:w w:val="105"/>
        </w:rPr>
        <w:t> </w:t>
      </w:r>
      <w:r>
        <w:rPr>
          <w:color w:val="231F20"/>
          <w:w w:val="105"/>
        </w:rPr>
        <w:t>de</w:t>
      </w:r>
      <w:r>
        <w:rPr>
          <w:color w:val="231F20"/>
          <w:spacing w:val="-5"/>
          <w:w w:val="105"/>
        </w:rPr>
        <w:t> </w:t>
      </w:r>
      <w:r>
        <w:rPr>
          <w:color w:val="231F20"/>
          <w:w w:val="105"/>
        </w:rPr>
        <w:t>rehabilitar,</w:t>
      </w:r>
      <w:r>
        <w:rPr>
          <w:color w:val="231F20"/>
          <w:spacing w:val="-5"/>
          <w:w w:val="105"/>
        </w:rPr>
        <w:t> </w:t>
      </w:r>
      <w:r>
        <w:rPr>
          <w:color w:val="231F20"/>
          <w:w w:val="105"/>
        </w:rPr>
        <w:t>pero</w:t>
      </w:r>
      <w:r>
        <w:rPr>
          <w:color w:val="231F20"/>
          <w:spacing w:val="-5"/>
          <w:w w:val="105"/>
        </w:rPr>
        <w:t> </w:t>
      </w:r>
      <w:r>
        <w:rPr>
          <w:color w:val="231F20"/>
          <w:w w:val="105"/>
        </w:rPr>
        <w:t>se</w:t>
      </w:r>
      <w:r>
        <w:rPr>
          <w:color w:val="231F20"/>
          <w:spacing w:val="-5"/>
          <w:w w:val="105"/>
        </w:rPr>
        <w:t> </w:t>
      </w:r>
      <w:r>
        <w:rPr>
          <w:color w:val="231F20"/>
          <w:w w:val="105"/>
        </w:rPr>
        <w:t>partía</w:t>
      </w:r>
      <w:r>
        <w:rPr>
          <w:color w:val="231F20"/>
          <w:spacing w:val="-5"/>
          <w:w w:val="105"/>
        </w:rPr>
        <w:t> </w:t>
      </w:r>
      <w:r>
        <w:rPr>
          <w:color w:val="231F20"/>
          <w:w w:val="105"/>
        </w:rPr>
        <w:t>del</w:t>
      </w:r>
      <w:r>
        <w:rPr>
          <w:color w:val="231F20"/>
          <w:spacing w:val="-5"/>
          <w:w w:val="105"/>
        </w:rPr>
        <w:t> </w:t>
      </w:r>
      <w:r>
        <w:rPr>
          <w:color w:val="231F20"/>
          <w:w w:val="105"/>
        </w:rPr>
        <w:t>supuesto</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infraestructura era</w:t>
      </w:r>
      <w:r>
        <w:rPr>
          <w:color w:val="231F20"/>
          <w:spacing w:val="-13"/>
          <w:w w:val="105"/>
        </w:rPr>
        <w:t> </w:t>
      </w:r>
      <w:r>
        <w:rPr>
          <w:color w:val="231F20"/>
          <w:w w:val="105"/>
        </w:rPr>
        <w:t>la</w:t>
      </w:r>
      <w:r>
        <w:rPr>
          <w:color w:val="231F20"/>
          <w:spacing w:val="-13"/>
          <w:w w:val="105"/>
        </w:rPr>
        <w:t> </w:t>
      </w:r>
      <w:r>
        <w:rPr>
          <w:color w:val="231F20"/>
          <w:w w:val="105"/>
        </w:rPr>
        <w:t>adecuada.</w:t>
      </w:r>
      <w:r>
        <w:rPr>
          <w:color w:val="231F20"/>
          <w:spacing w:val="-13"/>
          <w:w w:val="105"/>
        </w:rPr>
        <w:t> </w:t>
      </w:r>
      <w:r>
        <w:rPr>
          <w:color w:val="231F20"/>
          <w:w w:val="105"/>
        </w:rPr>
        <w:t>Lo</w:t>
      </w:r>
      <w:r>
        <w:rPr>
          <w:color w:val="231F20"/>
          <w:spacing w:val="-13"/>
          <w:w w:val="105"/>
        </w:rPr>
        <w:t> </w:t>
      </w:r>
      <w:r>
        <w:rPr>
          <w:color w:val="231F20"/>
          <w:w w:val="105"/>
        </w:rPr>
        <w:t>cierto</w:t>
      </w:r>
      <w:r>
        <w:rPr>
          <w:color w:val="231F20"/>
          <w:spacing w:val="-13"/>
          <w:w w:val="105"/>
        </w:rPr>
        <w:t> </w:t>
      </w:r>
      <w:r>
        <w:rPr>
          <w:color w:val="231F20"/>
          <w:w w:val="105"/>
        </w:rPr>
        <w:t>es</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cifras</w:t>
      </w:r>
      <w:r>
        <w:rPr>
          <w:color w:val="231F20"/>
          <w:spacing w:val="-13"/>
          <w:w w:val="105"/>
        </w:rPr>
        <w:t> </w:t>
      </w:r>
      <w:r>
        <w:rPr>
          <w:color w:val="231F20"/>
          <w:w w:val="105"/>
        </w:rPr>
        <w:t>son</w:t>
      </w:r>
      <w:r>
        <w:rPr>
          <w:color w:val="231F20"/>
          <w:spacing w:val="-13"/>
          <w:w w:val="105"/>
        </w:rPr>
        <w:t> </w:t>
      </w:r>
      <w:r>
        <w:rPr>
          <w:color w:val="231F20"/>
          <w:w w:val="105"/>
        </w:rPr>
        <w:t>elocuentes)</w:t>
      </w:r>
      <w:r>
        <w:rPr>
          <w:color w:val="231F20"/>
          <w:spacing w:val="-13"/>
          <w:w w:val="105"/>
        </w:rPr>
        <w:t> </w:t>
      </w:r>
      <w:r>
        <w:rPr>
          <w:color w:val="231F20"/>
          <w:w w:val="105"/>
        </w:rPr>
        <w:t>su</w:t>
      </w:r>
      <w:r>
        <w:rPr>
          <w:color w:val="231F20"/>
          <w:spacing w:val="-13"/>
          <w:w w:val="105"/>
        </w:rPr>
        <w:t> </w:t>
      </w:r>
      <w:r>
        <w:rPr>
          <w:color w:val="231F20"/>
          <w:w w:val="105"/>
        </w:rPr>
        <w:t>cobertura</w:t>
      </w:r>
      <w:r>
        <w:rPr>
          <w:color w:val="231F20"/>
          <w:spacing w:val="-13"/>
          <w:w w:val="105"/>
        </w:rPr>
        <w:t> </w:t>
      </w:r>
      <w:r>
        <w:rPr>
          <w:color w:val="231F20"/>
          <w:w w:val="105"/>
        </w:rPr>
        <w:t>resultaba</w:t>
      </w:r>
      <w:r>
        <w:rPr>
          <w:color w:val="231F20"/>
          <w:spacing w:val="-13"/>
          <w:w w:val="105"/>
        </w:rPr>
        <w:t> </w:t>
      </w:r>
      <w:r>
        <w:rPr>
          <w:color w:val="231F20"/>
          <w:w w:val="105"/>
        </w:rPr>
        <w:t>insu- ficiente</w:t>
      </w:r>
      <w:r>
        <w:rPr>
          <w:color w:val="231F20"/>
          <w:spacing w:val="-22"/>
          <w:w w:val="105"/>
        </w:rPr>
        <w:t> </w:t>
      </w:r>
      <w:r>
        <w:rPr>
          <w:color w:val="231F20"/>
          <w:w w:val="105"/>
        </w:rPr>
        <w:t>para</w:t>
      </w:r>
      <w:r>
        <w:rPr>
          <w:color w:val="231F20"/>
          <w:spacing w:val="-22"/>
          <w:w w:val="105"/>
        </w:rPr>
        <w:t> </w:t>
      </w:r>
      <w:r>
        <w:rPr>
          <w:color w:val="231F20"/>
          <w:w w:val="105"/>
        </w:rPr>
        <w:t>la</w:t>
      </w:r>
      <w:r>
        <w:rPr>
          <w:color w:val="231F20"/>
          <w:spacing w:val="-22"/>
          <w:w w:val="105"/>
        </w:rPr>
        <w:t> </w:t>
      </w:r>
      <w:r>
        <w:rPr>
          <w:color w:val="231F20"/>
          <w:w w:val="105"/>
        </w:rPr>
        <w:t>población</w:t>
      </w:r>
      <w:r>
        <w:rPr>
          <w:color w:val="231F20"/>
          <w:spacing w:val="-22"/>
          <w:w w:val="105"/>
        </w:rPr>
        <w:t> </w:t>
      </w:r>
      <w:r>
        <w:rPr>
          <w:color w:val="231F20"/>
          <w:w w:val="105"/>
        </w:rPr>
        <w:t>del</w:t>
      </w:r>
      <w:r>
        <w:rPr>
          <w:color w:val="231F20"/>
          <w:spacing w:val="-22"/>
          <w:w w:val="105"/>
        </w:rPr>
        <w:t> </w:t>
      </w:r>
      <w:r>
        <w:rPr>
          <w:color w:val="231F20"/>
          <w:w w:val="105"/>
        </w:rPr>
        <w:t>municipio.</w:t>
      </w:r>
    </w:p>
    <w:p>
      <w:pPr>
        <w:pStyle w:val="BodyText"/>
        <w:spacing w:before="1"/>
        <w:rPr>
          <w:sz w:val="26"/>
        </w:rPr>
      </w:pPr>
    </w:p>
    <w:p>
      <w:pPr>
        <w:pStyle w:val="BodyText"/>
        <w:ind w:left="110"/>
        <w:jc w:val="both"/>
      </w:pP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búsqueda</w:t>
      </w:r>
      <w:r>
        <w:rPr>
          <w:color w:val="231F20"/>
          <w:spacing w:val="-15"/>
          <w:w w:val="105"/>
        </w:rPr>
        <w:t> </w:t>
      </w:r>
      <w:r>
        <w:rPr>
          <w:color w:val="231F20"/>
          <w:w w:val="105"/>
        </w:rPr>
        <w:t>del</w:t>
      </w:r>
      <w:r>
        <w:rPr>
          <w:color w:val="231F20"/>
          <w:spacing w:val="-15"/>
          <w:w w:val="105"/>
        </w:rPr>
        <w:t> </w:t>
      </w:r>
      <w:r>
        <w:rPr>
          <w:color w:val="231F20"/>
          <w:w w:val="105"/>
        </w:rPr>
        <w:t>desarrollo</w:t>
      </w:r>
      <w:r>
        <w:rPr>
          <w:color w:val="231F20"/>
          <w:spacing w:val="-15"/>
          <w:w w:val="105"/>
        </w:rPr>
        <w:t> </w:t>
      </w:r>
      <w:r>
        <w:rPr>
          <w:color w:val="231F20"/>
          <w:w w:val="105"/>
        </w:rPr>
        <w:t>humano</w:t>
      </w:r>
      <w:r>
        <w:rPr>
          <w:color w:val="231F20"/>
          <w:spacing w:val="-15"/>
          <w:w w:val="105"/>
        </w:rPr>
        <w:t> </w:t>
      </w:r>
      <w:r>
        <w:rPr>
          <w:color w:val="231F20"/>
          <w:w w:val="105"/>
        </w:rPr>
        <w:t>integral</w:t>
      </w:r>
      <w:r>
        <w:rPr>
          <w:color w:val="231F20"/>
          <w:spacing w:val="-15"/>
          <w:w w:val="105"/>
        </w:rPr>
        <w:t> </w:t>
      </w:r>
      <w:r>
        <w:rPr>
          <w:color w:val="231F20"/>
          <w:w w:val="105"/>
        </w:rPr>
        <w:t>se</w:t>
      </w:r>
      <w:r>
        <w:rPr>
          <w:color w:val="231F20"/>
          <w:spacing w:val="-15"/>
          <w:w w:val="105"/>
        </w:rPr>
        <w:t> </w:t>
      </w:r>
      <w:r>
        <w:rPr>
          <w:color w:val="231F20"/>
          <w:w w:val="105"/>
        </w:rPr>
        <w:t>dejó</w:t>
      </w:r>
      <w:r>
        <w:rPr>
          <w:color w:val="231F20"/>
          <w:spacing w:val="-15"/>
          <w:w w:val="105"/>
        </w:rPr>
        <w:t> </w:t>
      </w:r>
      <w:r>
        <w:rPr>
          <w:color w:val="231F20"/>
          <w:w w:val="105"/>
        </w:rPr>
        <w:t>ver</w:t>
      </w:r>
      <w:r>
        <w:rPr>
          <w:color w:val="231F20"/>
          <w:spacing w:val="-15"/>
          <w:w w:val="105"/>
        </w:rPr>
        <w:t> </w:t>
      </w:r>
      <w:r>
        <w:rPr>
          <w:color w:val="231F20"/>
          <w:w w:val="105"/>
        </w:rPr>
        <w:t>la</w:t>
      </w:r>
      <w:r>
        <w:rPr>
          <w:color w:val="231F20"/>
          <w:spacing w:val="-15"/>
          <w:w w:val="105"/>
        </w:rPr>
        <w:t> </w:t>
      </w:r>
      <w:r>
        <w:rPr>
          <w:color w:val="231F20"/>
          <w:w w:val="105"/>
        </w:rPr>
        <w:t>falta</w:t>
      </w:r>
      <w:r>
        <w:rPr>
          <w:color w:val="231F20"/>
          <w:spacing w:val="-15"/>
          <w:w w:val="105"/>
        </w:rPr>
        <w:t> </w:t>
      </w:r>
      <w:r>
        <w:rPr>
          <w:color w:val="231F20"/>
          <w:w w:val="105"/>
        </w:rPr>
        <w:t>de</w:t>
      </w:r>
      <w:r>
        <w:rPr>
          <w:color w:val="231F20"/>
          <w:spacing w:val="-15"/>
          <w:w w:val="105"/>
        </w:rPr>
        <w:t> </w:t>
      </w:r>
      <w:r>
        <w:rPr>
          <w:color w:val="231F20"/>
          <w:w w:val="105"/>
        </w:rPr>
        <w:t>coordinación</w:t>
      </w:r>
      <w:r>
        <w:rPr>
          <w:color w:val="231F20"/>
          <w:spacing w:val="-15"/>
          <w:w w:val="105"/>
        </w:rPr>
        <w:t> </w:t>
      </w:r>
      <w:r>
        <w:rPr>
          <w:color w:val="231F20"/>
          <w:w w:val="105"/>
        </w:rPr>
        <w:t>entre</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las</w:t>
      </w:r>
      <w:r>
        <w:rPr>
          <w:color w:val="231F20"/>
          <w:spacing w:val="-25"/>
          <w:w w:val="105"/>
        </w:rPr>
        <w:t> </w:t>
      </w:r>
      <w:r>
        <w:rPr>
          <w:color w:val="231F20"/>
          <w:w w:val="105"/>
        </w:rPr>
        <w:t>dependencias</w:t>
      </w:r>
      <w:r>
        <w:rPr>
          <w:color w:val="231F20"/>
          <w:spacing w:val="-25"/>
          <w:w w:val="105"/>
        </w:rPr>
        <w:t> </w:t>
      </w:r>
      <w:r>
        <w:rPr>
          <w:color w:val="231F20"/>
          <w:w w:val="105"/>
        </w:rPr>
        <w:t>responsables</w:t>
      </w:r>
      <w:r>
        <w:rPr>
          <w:color w:val="231F20"/>
          <w:spacing w:val="-25"/>
          <w:w w:val="105"/>
        </w:rPr>
        <w:t> </w:t>
      </w:r>
      <w:r>
        <w:rPr>
          <w:color w:val="231F20"/>
          <w:w w:val="105"/>
        </w:rPr>
        <w:t>de</w:t>
      </w:r>
      <w:r>
        <w:rPr>
          <w:color w:val="231F20"/>
          <w:spacing w:val="-25"/>
          <w:w w:val="105"/>
        </w:rPr>
        <w:t> </w:t>
      </w:r>
      <w:r>
        <w:rPr>
          <w:color w:val="231F20"/>
          <w:w w:val="105"/>
        </w:rPr>
        <w:t>cada</w:t>
      </w:r>
      <w:r>
        <w:rPr>
          <w:color w:val="231F20"/>
          <w:spacing w:val="-25"/>
          <w:w w:val="105"/>
        </w:rPr>
        <w:t> </w:t>
      </w:r>
      <w:r>
        <w:rPr>
          <w:color w:val="231F20"/>
          <w:w w:val="105"/>
        </w:rPr>
        <w:t>línea</w:t>
      </w:r>
      <w:r>
        <w:rPr>
          <w:color w:val="231F20"/>
          <w:spacing w:val="-25"/>
          <w:w w:val="105"/>
        </w:rPr>
        <w:t> </w:t>
      </w:r>
      <w:r>
        <w:rPr>
          <w:color w:val="231F20"/>
          <w:w w:val="105"/>
        </w:rPr>
        <w:t>de</w:t>
      </w:r>
      <w:r>
        <w:rPr>
          <w:color w:val="231F20"/>
          <w:spacing w:val="-25"/>
          <w:w w:val="105"/>
        </w:rPr>
        <w:t> </w:t>
      </w:r>
      <w:r>
        <w:rPr>
          <w:color w:val="231F20"/>
          <w:w w:val="105"/>
        </w:rPr>
        <w:t>acción</w:t>
      </w:r>
      <w:r>
        <w:rPr>
          <w:color w:val="231F20"/>
          <w:spacing w:val="-25"/>
          <w:w w:val="105"/>
        </w:rPr>
        <w:t> </w:t>
      </w:r>
      <w:r>
        <w:rPr>
          <w:color w:val="231F20"/>
          <w:spacing w:val="-4"/>
          <w:w w:val="105"/>
        </w:rPr>
        <w:t>(es</w:t>
      </w:r>
      <w:r>
        <w:rPr>
          <w:color w:val="231F20"/>
          <w:spacing w:val="-25"/>
          <w:w w:val="105"/>
        </w:rPr>
        <w:t> </w:t>
      </w:r>
      <w:r>
        <w:rPr>
          <w:color w:val="231F20"/>
          <w:w w:val="105"/>
        </w:rPr>
        <w:t>decir,</w:t>
      </w:r>
      <w:r>
        <w:rPr>
          <w:color w:val="231F20"/>
          <w:spacing w:val="-25"/>
          <w:w w:val="105"/>
        </w:rPr>
        <w:t> </w:t>
      </w:r>
      <w:r>
        <w:rPr>
          <w:color w:val="231F20"/>
          <w:w w:val="105"/>
        </w:rPr>
        <w:t>entre</w:t>
      </w:r>
      <w:r>
        <w:rPr>
          <w:color w:val="231F20"/>
          <w:spacing w:val="-25"/>
          <w:w w:val="105"/>
        </w:rPr>
        <w:t> </w:t>
      </w:r>
      <w:r>
        <w:rPr>
          <w:color w:val="231F20"/>
          <w:w w:val="105"/>
        </w:rPr>
        <w:t>la</w:t>
      </w:r>
      <w:r>
        <w:rPr>
          <w:color w:val="231F20"/>
          <w:spacing w:val="-25"/>
          <w:w w:val="105"/>
        </w:rPr>
        <w:t> </w:t>
      </w:r>
      <w:r>
        <w:rPr>
          <w:color w:val="231F20"/>
          <w:w w:val="105"/>
        </w:rPr>
        <w:t>Dirección</w:t>
      </w:r>
      <w:r>
        <w:rPr>
          <w:color w:val="231F20"/>
          <w:spacing w:val="-25"/>
          <w:w w:val="105"/>
        </w:rPr>
        <w:t> </w:t>
      </w:r>
      <w:r>
        <w:rPr>
          <w:color w:val="231F20"/>
          <w:w w:val="105"/>
        </w:rPr>
        <w:t>Gene- ral</w:t>
      </w:r>
      <w:r>
        <w:rPr>
          <w:color w:val="231F20"/>
          <w:spacing w:val="-17"/>
          <w:w w:val="105"/>
        </w:rPr>
        <w:t> </w:t>
      </w:r>
      <w:r>
        <w:rPr>
          <w:color w:val="231F20"/>
          <w:w w:val="105"/>
        </w:rPr>
        <w:t>de</w:t>
      </w:r>
      <w:r>
        <w:rPr>
          <w:color w:val="231F20"/>
          <w:spacing w:val="-17"/>
          <w:w w:val="105"/>
        </w:rPr>
        <w:t> </w:t>
      </w:r>
      <w:r>
        <w:rPr>
          <w:color w:val="231F20"/>
          <w:w w:val="105"/>
        </w:rPr>
        <w:t>Desarrollo</w:t>
      </w:r>
      <w:r>
        <w:rPr>
          <w:color w:val="231F20"/>
          <w:spacing w:val="-17"/>
          <w:w w:val="105"/>
        </w:rPr>
        <w:t> </w:t>
      </w:r>
      <w:r>
        <w:rPr>
          <w:color w:val="231F20"/>
          <w:w w:val="105"/>
        </w:rPr>
        <w:t>Social</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DIF),</w:t>
      </w:r>
      <w:r>
        <w:rPr>
          <w:color w:val="231F20"/>
          <w:spacing w:val="-17"/>
          <w:w w:val="105"/>
        </w:rPr>
        <w:t> </w:t>
      </w:r>
      <w:r>
        <w:rPr>
          <w:color w:val="231F20"/>
          <w:w w:val="105"/>
        </w:rPr>
        <w:t>desde</w:t>
      </w:r>
      <w:r>
        <w:rPr>
          <w:color w:val="231F20"/>
          <w:spacing w:val="-17"/>
          <w:w w:val="105"/>
        </w:rPr>
        <w:t> </w:t>
      </w:r>
      <w:r>
        <w:rPr>
          <w:color w:val="231F20"/>
          <w:w w:val="105"/>
        </w:rPr>
        <w:t>la</w:t>
      </w:r>
      <w:r>
        <w:rPr>
          <w:color w:val="231F20"/>
          <w:spacing w:val="-17"/>
          <w:w w:val="105"/>
        </w:rPr>
        <w:t> </w:t>
      </w:r>
      <w:r>
        <w:rPr>
          <w:color w:val="231F20"/>
          <w:w w:val="105"/>
        </w:rPr>
        <w:t>formulación</w:t>
      </w:r>
      <w:r>
        <w:rPr>
          <w:color w:val="231F20"/>
          <w:spacing w:val="-17"/>
          <w:w w:val="105"/>
        </w:rPr>
        <w:t> </w:t>
      </w:r>
      <w:r>
        <w:rPr>
          <w:color w:val="231F20"/>
          <w:w w:val="105"/>
        </w:rPr>
        <w:t>del</w:t>
      </w:r>
      <w:r>
        <w:rPr>
          <w:color w:val="231F20"/>
          <w:spacing w:val="-17"/>
          <w:w w:val="105"/>
        </w:rPr>
        <w:t> </w:t>
      </w:r>
      <w:r>
        <w:rPr>
          <w:color w:val="231F20"/>
          <w:spacing w:val="-3"/>
          <w:w w:val="105"/>
        </w:rPr>
        <w:t>propio</w:t>
      </w:r>
      <w:r>
        <w:rPr>
          <w:color w:val="231F20"/>
          <w:spacing w:val="-17"/>
          <w:w w:val="105"/>
        </w:rPr>
        <w:t> </w:t>
      </w:r>
      <w:r>
        <w:rPr>
          <w:color w:val="231F20"/>
          <w:w w:val="105"/>
        </w:rPr>
        <w:t>plan</w:t>
      </w:r>
      <w:r>
        <w:rPr>
          <w:color w:val="231F20"/>
          <w:spacing w:val="-17"/>
          <w:w w:val="105"/>
        </w:rPr>
        <w:t> </w:t>
      </w:r>
      <w:r>
        <w:rPr>
          <w:color w:val="231F20"/>
          <w:w w:val="105"/>
        </w:rPr>
        <w:t>(hasta</w:t>
      </w:r>
      <w:r>
        <w:rPr>
          <w:color w:val="231F20"/>
          <w:spacing w:val="-17"/>
          <w:w w:val="105"/>
        </w:rPr>
        <w:t> </w:t>
      </w:r>
      <w:r>
        <w:rPr>
          <w:color w:val="231F20"/>
          <w:w w:val="105"/>
        </w:rPr>
        <w:t>la</w:t>
      </w:r>
      <w:r>
        <w:rPr>
          <w:color w:val="231F20"/>
          <w:spacing w:val="-17"/>
          <w:w w:val="105"/>
        </w:rPr>
        <w:t> </w:t>
      </w:r>
      <w:r>
        <w:rPr>
          <w:color w:val="231F20"/>
          <w:spacing w:val="-3"/>
          <w:w w:val="105"/>
        </w:rPr>
        <w:t>nomen- </w:t>
      </w:r>
      <w:r>
        <w:rPr>
          <w:color w:val="231F20"/>
          <w:w w:val="105"/>
        </w:rPr>
        <w:t>clatura</w:t>
      </w:r>
      <w:r>
        <w:rPr>
          <w:color w:val="231F20"/>
          <w:spacing w:val="-20"/>
          <w:w w:val="105"/>
        </w:rPr>
        <w:t> </w:t>
      </w:r>
      <w:r>
        <w:rPr>
          <w:color w:val="231F20"/>
          <w:w w:val="105"/>
        </w:rPr>
        <w:t>era</w:t>
      </w:r>
      <w:r>
        <w:rPr>
          <w:color w:val="231F20"/>
          <w:spacing w:val="-20"/>
          <w:w w:val="105"/>
        </w:rPr>
        <w:t> </w:t>
      </w:r>
      <w:r>
        <w:rPr>
          <w:color w:val="231F20"/>
          <w:w w:val="105"/>
        </w:rPr>
        <w:t>sumamente</w:t>
      </w:r>
      <w:r>
        <w:rPr>
          <w:color w:val="231F20"/>
          <w:spacing w:val="-20"/>
          <w:w w:val="105"/>
        </w:rPr>
        <w:t> </w:t>
      </w:r>
      <w:r>
        <w:rPr>
          <w:color w:val="231F20"/>
          <w:w w:val="105"/>
        </w:rPr>
        <w:t>parecida).</w:t>
      </w:r>
      <w:r>
        <w:rPr>
          <w:color w:val="231F20"/>
          <w:spacing w:val="-20"/>
          <w:w w:val="105"/>
        </w:rPr>
        <w:t> </w:t>
      </w:r>
      <w:r>
        <w:rPr>
          <w:color w:val="231F20"/>
          <w:w w:val="105"/>
        </w:rPr>
        <w:t>En</w:t>
      </w:r>
      <w:r>
        <w:rPr>
          <w:color w:val="231F20"/>
          <w:spacing w:val="-20"/>
          <w:w w:val="105"/>
        </w:rPr>
        <w:t> </w:t>
      </w:r>
      <w:r>
        <w:rPr>
          <w:color w:val="231F20"/>
          <w:w w:val="105"/>
        </w:rPr>
        <w:t>particular,</w:t>
      </w:r>
      <w:r>
        <w:rPr>
          <w:color w:val="231F20"/>
          <w:spacing w:val="-20"/>
          <w:w w:val="105"/>
        </w:rPr>
        <w:t> </w:t>
      </w:r>
      <w:r>
        <w:rPr>
          <w:color w:val="231F20"/>
          <w:w w:val="105"/>
        </w:rPr>
        <w:t>esta</w:t>
      </w:r>
      <w:r>
        <w:rPr>
          <w:color w:val="231F20"/>
          <w:spacing w:val="-20"/>
          <w:w w:val="105"/>
        </w:rPr>
        <w:t> </w:t>
      </w:r>
      <w:r>
        <w:rPr>
          <w:color w:val="231F20"/>
          <w:w w:val="105"/>
        </w:rPr>
        <w:t>línea</w:t>
      </w:r>
      <w:r>
        <w:rPr>
          <w:color w:val="231F20"/>
          <w:spacing w:val="-20"/>
          <w:w w:val="105"/>
        </w:rPr>
        <w:t> </w:t>
      </w:r>
      <w:r>
        <w:rPr>
          <w:color w:val="231F20"/>
          <w:w w:val="105"/>
        </w:rPr>
        <w:t>estaba</w:t>
      </w:r>
      <w:r>
        <w:rPr>
          <w:color w:val="231F20"/>
          <w:spacing w:val="-20"/>
          <w:w w:val="105"/>
        </w:rPr>
        <w:t> </w:t>
      </w:r>
      <w:r>
        <w:rPr>
          <w:color w:val="231F20"/>
          <w:w w:val="105"/>
        </w:rPr>
        <w:t>bajo</w:t>
      </w:r>
      <w:r>
        <w:rPr>
          <w:color w:val="231F20"/>
          <w:spacing w:val="-20"/>
          <w:w w:val="105"/>
        </w:rPr>
        <w:t> </w:t>
      </w:r>
      <w:r>
        <w:rPr>
          <w:color w:val="231F20"/>
          <w:w w:val="105"/>
        </w:rPr>
        <w:t>la</w:t>
      </w:r>
      <w:r>
        <w:rPr>
          <w:color w:val="231F20"/>
          <w:spacing w:val="-20"/>
          <w:w w:val="105"/>
        </w:rPr>
        <w:t> </w:t>
      </w:r>
      <w:r>
        <w:rPr>
          <w:color w:val="231F20"/>
          <w:w w:val="105"/>
        </w:rPr>
        <w:t>responsabilidad del</w:t>
      </w:r>
      <w:r>
        <w:rPr>
          <w:color w:val="231F20"/>
          <w:spacing w:val="-14"/>
          <w:w w:val="105"/>
        </w:rPr>
        <w:t> </w:t>
      </w:r>
      <w:r>
        <w:rPr>
          <w:color w:val="231F20"/>
          <w:w w:val="105"/>
        </w:rPr>
        <w:t>Sistema</w:t>
      </w:r>
      <w:r>
        <w:rPr>
          <w:color w:val="231F20"/>
          <w:spacing w:val="-14"/>
          <w:w w:val="105"/>
        </w:rPr>
        <w:t> </w:t>
      </w:r>
      <w:r>
        <w:rPr>
          <w:color w:val="231F20"/>
          <w:w w:val="105"/>
        </w:rPr>
        <w:t>Municipal</w:t>
      </w:r>
      <w:r>
        <w:rPr>
          <w:color w:val="231F20"/>
          <w:spacing w:val="-14"/>
          <w:w w:val="105"/>
        </w:rPr>
        <w:t> </w:t>
      </w:r>
      <w:r>
        <w:rPr>
          <w:color w:val="231F20"/>
          <w:spacing w:val="-6"/>
          <w:w w:val="105"/>
        </w:rPr>
        <w:t>DIF,</w:t>
      </w:r>
      <w:r>
        <w:rPr>
          <w:color w:val="231F20"/>
          <w:spacing w:val="-14"/>
          <w:w w:val="105"/>
        </w:rPr>
        <w:t> </w:t>
      </w:r>
      <w:r>
        <w:rPr>
          <w:color w:val="231F20"/>
          <w:w w:val="105"/>
        </w:rPr>
        <w:t>sus</w:t>
      </w:r>
      <w:r>
        <w:rPr>
          <w:color w:val="231F20"/>
          <w:spacing w:val="-14"/>
          <w:w w:val="105"/>
        </w:rPr>
        <w:t> </w:t>
      </w:r>
      <w:r>
        <w:rPr>
          <w:color w:val="231F20"/>
          <w:w w:val="105"/>
        </w:rPr>
        <w:t>fines</w:t>
      </w:r>
      <w:r>
        <w:rPr>
          <w:color w:val="231F20"/>
          <w:spacing w:val="-14"/>
          <w:w w:val="105"/>
        </w:rPr>
        <w:t> </w:t>
      </w:r>
      <w:r>
        <w:rPr>
          <w:color w:val="231F20"/>
          <w:w w:val="105"/>
        </w:rPr>
        <w:t>se</w:t>
      </w:r>
      <w:r>
        <w:rPr>
          <w:color w:val="231F20"/>
          <w:spacing w:val="-14"/>
          <w:w w:val="105"/>
        </w:rPr>
        <w:t> </w:t>
      </w:r>
      <w:r>
        <w:rPr>
          <w:color w:val="231F20"/>
          <w:w w:val="105"/>
        </w:rPr>
        <w:t>centraban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procuración</w:t>
      </w:r>
      <w:r>
        <w:rPr>
          <w:color w:val="231F20"/>
          <w:spacing w:val="-14"/>
          <w:w w:val="105"/>
        </w:rPr>
        <w:t> </w:t>
      </w:r>
      <w:r>
        <w:rPr>
          <w:color w:val="231F20"/>
          <w:w w:val="105"/>
        </w:rPr>
        <w:t>del</w:t>
      </w:r>
      <w:r>
        <w:rPr>
          <w:color w:val="231F20"/>
          <w:spacing w:val="-14"/>
          <w:w w:val="105"/>
        </w:rPr>
        <w:t> </w:t>
      </w:r>
      <w:r>
        <w:rPr>
          <w:color w:val="231F20"/>
          <w:w w:val="105"/>
        </w:rPr>
        <w:t>bienestar</w:t>
      </w:r>
      <w:r>
        <w:rPr>
          <w:color w:val="231F20"/>
          <w:spacing w:val="-14"/>
          <w:w w:val="105"/>
        </w:rPr>
        <w:t> </w:t>
      </w:r>
      <w:r>
        <w:rPr>
          <w:color w:val="231F20"/>
          <w:w w:val="105"/>
        </w:rPr>
        <w:t>de</w:t>
      </w:r>
      <w:r>
        <w:rPr>
          <w:color w:val="231F20"/>
          <w:spacing w:val="-14"/>
          <w:w w:val="105"/>
        </w:rPr>
        <w:t> </w:t>
      </w:r>
      <w:r>
        <w:rPr>
          <w:color w:val="231F20"/>
          <w:w w:val="105"/>
        </w:rPr>
        <w:t>las </w:t>
      </w:r>
      <w:r>
        <w:rPr>
          <w:color w:val="231F20"/>
          <w:spacing w:val="2"/>
          <w:w w:val="105"/>
        </w:rPr>
        <w:t>familias</w:t>
      </w:r>
      <w:r>
        <w:rPr>
          <w:color w:val="231F20"/>
          <w:spacing w:val="-13"/>
          <w:w w:val="105"/>
        </w:rPr>
        <w:t> </w:t>
      </w:r>
      <w:r>
        <w:rPr>
          <w:color w:val="231F20"/>
          <w:w w:val="105"/>
        </w:rPr>
        <w:t>de</w:t>
      </w:r>
      <w:r>
        <w:rPr>
          <w:color w:val="231F20"/>
          <w:spacing w:val="-13"/>
          <w:w w:val="105"/>
        </w:rPr>
        <w:t> </w:t>
      </w:r>
      <w:r>
        <w:rPr>
          <w:color w:val="231F20"/>
          <w:w w:val="105"/>
        </w:rPr>
        <w:t>escasos</w:t>
      </w:r>
      <w:r>
        <w:rPr>
          <w:color w:val="231F20"/>
          <w:spacing w:val="-13"/>
          <w:w w:val="105"/>
        </w:rPr>
        <w:t> </w:t>
      </w:r>
      <w:r>
        <w:rPr>
          <w:color w:val="231F20"/>
          <w:w w:val="105"/>
        </w:rPr>
        <w:t>recursos,</w:t>
      </w:r>
      <w:r>
        <w:rPr>
          <w:color w:val="231F20"/>
          <w:spacing w:val="-13"/>
          <w:w w:val="105"/>
        </w:rPr>
        <w:t> </w:t>
      </w:r>
      <w:r>
        <w:rPr>
          <w:color w:val="231F20"/>
          <w:w w:val="105"/>
        </w:rPr>
        <w:t>coadyuvar</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integración</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spacing w:val="2"/>
          <w:w w:val="105"/>
        </w:rPr>
        <w:t>familias,</w:t>
      </w:r>
      <w:r>
        <w:rPr>
          <w:color w:val="231F20"/>
          <w:spacing w:val="-13"/>
          <w:w w:val="105"/>
        </w:rPr>
        <w:t> </w:t>
      </w:r>
      <w:r>
        <w:rPr>
          <w:color w:val="231F20"/>
          <w:w w:val="105"/>
        </w:rPr>
        <w:t>la</w:t>
      </w:r>
      <w:r>
        <w:rPr>
          <w:color w:val="231F20"/>
          <w:spacing w:val="-13"/>
          <w:w w:val="105"/>
        </w:rPr>
        <w:t> </w:t>
      </w:r>
      <w:r>
        <w:rPr>
          <w:color w:val="231F20"/>
          <w:w w:val="105"/>
        </w:rPr>
        <w:t>protección</w:t>
      </w:r>
      <w:r>
        <w:rPr>
          <w:color w:val="231F20"/>
          <w:spacing w:val="-13"/>
          <w:w w:val="105"/>
        </w:rPr>
        <w:t> </w:t>
      </w:r>
      <w:r>
        <w:rPr>
          <w:color w:val="231F20"/>
          <w:w w:val="105"/>
        </w:rPr>
        <w:t>a menores,</w:t>
      </w:r>
      <w:r>
        <w:rPr>
          <w:color w:val="231F20"/>
          <w:spacing w:val="-16"/>
          <w:w w:val="105"/>
        </w:rPr>
        <w:t> </w:t>
      </w:r>
      <w:r>
        <w:rPr>
          <w:color w:val="231F20"/>
          <w:w w:val="105"/>
        </w:rPr>
        <w:t>ayudar</w:t>
      </w:r>
      <w:r>
        <w:rPr>
          <w:color w:val="231F20"/>
          <w:spacing w:val="-16"/>
          <w:w w:val="105"/>
        </w:rPr>
        <w:t> </w:t>
      </w:r>
      <w:r>
        <w:rPr>
          <w:color w:val="231F20"/>
          <w:w w:val="105"/>
        </w:rPr>
        <w:t>a</w:t>
      </w:r>
      <w:r>
        <w:rPr>
          <w:color w:val="231F20"/>
          <w:spacing w:val="-16"/>
          <w:w w:val="105"/>
        </w:rPr>
        <w:t> </w:t>
      </w:r>
      <w:r>
        <w:rPr>
          <w:color w:val="231F20"/>
          <w:spacing w:val="-3"/>
          <w:w w:val="105"/>
        </w:rPr>
        <w:t>“mujeres</w:t>
      </w:r>
      <w:r>
        <w:rPr>
          <w:color w:val="231F20"/>
          <w:spacing w:val="-16"/>
          <w:w w:val="105"/>
        </w:rPr>
        <w:t> </w:t>
      </w:r>
      <w:r>
        <w:rPr>
          <w:color w:val="231F20"/>
          <w:w w:val="105"/>
        </w:rPr>
        <w:t>en</w:t>
      </w:r>
      <w:r>
        <w:rPr>
          <w:color w:val="231F20"/>
          <w:spacing w:val="-16"/>
          <w:w w:val="105"/>
        </w:rPr>
        <w:t> </w:t>
      </w:r>
      <w:r>
        <w:rPr>
          <w:color w:val="231F20"/>
          <w:w w:val="105"/>
        </w:rPr>
        <w:t>crisis”</w:t>
      </w:r>
      <w:r>
        <w:rPr>
          <w:color w:val="231F20"/>
          <w:spacing w:val="-16"/>
          <w:w w:val="105"/>
        </w:rPr>
        <w:t> </w:t>
      </w:r>
      <w:r>
        <w:rPr>
          <w:color w:val="231F20"/>
          <w:w w:val="105"/>
        </w:rPr>
        <w:t>y</w:t>
      </w:r>
      <w:r>
        <w:rPr>
          <w:color w:val="231F20"/>
          <w:spacing w:val="-16"/>
          <w:w w:val="105"/>
        </w:rPr>
        <w:t> </w:t>
      </w:r>
      <w:r>
        <w:rPr>
          <w:color w:val="231F20"/>
          <w:w w:val="105"/>
        </w:rPr>
        <w:t>a</w:t>
      </w:r>
      <w:r>
        <w:rPr>
          <w:color w:val="231F20"/>
          <w:spacing w:val="-16"/>
          <w:w w:val="105"/>
        </w:rPr>
        <w:t> </w:t>
      </w:r>
      <w:r>
        <w:rPr>
          <w:color w:val="231F20"/>
          <w:w w:val="105"/>
        </w:rPr>
        <w:t>adultos</w:t>
      </w:r>
      <w:r>
        <w:rPr>
          <w:color w:val="231F20"/>
          <w:spacing w:val="-16"/>
          <w:w w:val="105"/>
        </w:rPr>
        <w:t> </w:t>
      </w:r>
      <w:r>
        <w:rPr>
          <w:color w:val="231F20"/>
          <w:w w:val="105"/>
        </w:rPr>
        <w:t>mayores.</w:t>
      </w:r>
      <w:r>
        <w:rPr>
          <w:color w:val="231F20"/>
          <w:spacing w:val="-16"/>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asunto</w:t>
      </w:r>
      <w:r>
        <w:rPr>
          <w:color w:val="231F20"/>
          <w:spacing w:val="-16"/>
          <w:w w:val="105"/>
        </w:rPr>
        <w:t> </w:t>
      </w:r>
      <w:r>
        <w:rPr>
          <w:color w:val="231F20"/>
          <w:w w:val="105"/>
        </w:rPr>
        <w:t>se</w:t>
      </w:r>
      <w:r>
        <w:rPr>
          <w:color w:val="231F20"/>
          <w:spacing w:val="-16"/>
          <w:w w:val="105"/>
        </w:rPr>
        <w:t> </w:t>
      </w:r>
      <w:r>
        <w:rPr>
          <w:color w:val="231F20"/>
          <w:w w:val="105"/>
        </w:rPr>
        <w:t>traslucía</w:t>
      </w:r>
      <w:r>
        <w:rPr>
          <w:color w:val="231F20"/>
          <w:spacing w:val="-16"/>
          <w:w w:val="105"/>
        </w:rPr>
        <w:t> </w:t>
      </w:r>
      <w:r>
        <w:rPr>
          <w:color w:val="231F20"/>
          <w:w w:val="105"/>
        </w:rPr>
        <w:t>la concepción panista de la </w:t>
      </w:r>
      <w:r>
        <w:rPr>
          <w:color w:val="231F20"/>
          <w:spacing w:val="2"/>
          <w:w w:val="105"/>
        </w:rPr>
        <w:t>familia </w:t>
      </w:r>
      <w:r>
        <w:rPr>
          <w:color w:val="231F20"/>
          <w:w w:val="105"/>
        </w:rPr>
        <w:t>como célula primigenia de la sociedad, de </w:t>
      </w:r>
      <w:r>
        <w:rPr>
          <w:color w:val="231F20"/>
          <w:spacing w:val="2"/>
          <w:w w:val="105"/>
        </w:rPr>
        <w:t>ahí </w:t>
      </w:r>
      <w:r>
        <w:rPr>
          <w:color w:val="231F20"/>
          <w:w w:val="105"/>
        </w:rPr>
        <w:t>que se hablara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necesidad</w:t>
      </w:r>
      <w:r>
        <w:rPr>
          <w:color w:val="231F20"/>
          <w:spacing w:val="-17"/>
          <w:w w:val="105"/>
        </w:rPr>
        <w:t> </w:t>
      </w:r>
      <w:r>
        <w:rPr>
          <w:color w:val="231F20"/>
          <w:w w:val="105"/>
        </w:rPr>
        <w:t>de</w:t>
      </w:r>
      <w:r>
        <w:rPr>
          <w:color w:val="231F20"/>
          <w:spacing w:val="-17"/>
          <w:w w:val="105"/>
        </w:rPr>
        <w:t> </w:t>
      </w:r>
      <w:r>
        <w:rPr>
          <w:color w:val="231F20"/>
          <w:w w:val="105"/>
        </w:rPr>
        <w:t>fomentar</w:t>
      </w:r>
      <w:r>
        <w:rPr>
          <w:color w:val="231F20"/>
          <w:spacing w:val="-17"/>
          <w:w w:val="105"/>
        </w:rPr>
        <w:t> </w:t>
      </w:r>
      <w:r>
        <w:rPr>
          <w:color w:val="231F20"/>
          <w:w w:val="105"/>
        </w:rPr>
        <w:t>la</w:t>
      </w:r>
      <w:r>
        <w:rPr>
          <w:color w:val="231F20"/>
          <w:spacing w:val="-17"/>
          <w:w w:val="105"/>
        </w:rPr>
        <w:t> </w:t>
      </w:r>
      <w:r>
        <w:rPr>
          <w:color w:val="231F20"/>
          <w:w w:val="105"/>
        </w:rPr>
        <w:t>integración</w:t>
      </w:r>
      <w:r>
        <w:rPr>
          <w:color w:val="231F20"/>
          <w:spacing w:val="-17"/>
          <w:w w:val="105"/>
        </w:rPr>
        <w:t> </w:t>
      </w:r>
      <w:r>
        <w:rPr>
          <w:color w:val="231F20"/>
          <w:w w:val="105"/>
        </w:rPr>
        <w:t>familiar.</w:t>
      </w:r>
      <w:r>
        <w:rPr>
          <w:color w:val="231F20"/>
          <w:spacing w:val="-17"/>
          <w:w w:val="105"/>
        </w:rPr>
        <w:t> </w:t>
      </w:r>
      <w:r>
        <w:rPr>
          <w:color w:val="231F20"/>
          <w:w w:val="105"/>
        </w:rPr>
        <w:t>Y</w:t>
      </w:r>
      <w:r>
        <w:rPr>
          <w:color w:val="231F20"/>
          <w:spacing w:val="-17"/>
          <w:w w:val="105"/>
        </w:rPr>
        <w:t> </w:t>
      </w:r>
      <w:r>
        <w:rPr>
          <w:color w:val="231F20"/>
          <w:w w:val="105"/>
        </w:rPr>
        <w:t>no</w:t>
      </w:r>
      <w:r>
        <w:rPr>
          <w:color w:val="231F20"/>
          <w:spacing w:val="-17"/>
          <w:w w:val="105"/>
        </w:rPr>
        <w:t> </w:t>
      </w:r>
      <w:r>
        <w:rPr>
          <w:color w:val="231F20"/>
          <w:w w:val="105"/>
        </w:rPr>
        <w:t>quedaba</w:t>
      </w:r>
      <w:r>
        <w:rPr>
          <w:color w:val="231F20"/>
          <w:spacing w:val="-17"/>
          <w:w w:val="105"/>
        </w:rPr>
        <w:t> </w:t>
      </w:r>
      <w:r>
        <w:rPr>
          <w:color w:val="231F20"/>
          <w:w w:val="105"/>
        </w:rPr>
        <w:t>claro</w:t>
      </w:r>
      <w:r>
        <w:rPr>
          <w:color w:val="231F20"/>
          <w:spacing w:val="-17"/>
          <w:w w:val="105"/>
        </w:rPr>
        <w:t> </w:t>
      </w:r>
      <w:r>
        <w:rPr>
          <w:color w:val="231F20"/>
          <w:w w:val="105"/>
        </w:rPr>
        <w:t>cuál</w:t>
      </w:r>
      <w:r>
        <w:rPr>
          <w:color w:val="231F20"/>
          <w:spacing w:val="-17"/>
          <w:w w:val="105"/>
        </w:rPr>
        <w:t> </w:t>
      </w:r>
      <w:r>
        <w:rPr>
          <w:color w:val="231F20"/>
          <w:w w:val="105"/>
        </w:rPr>
        <w:t>era el</w:t>
      </w:r>
      <w:r>
        <w:rPr>
          <w:color w:val="231F20"/>
          <w:spacing w:val="-22"/>
          <w:w w:val="105"/>
        </w:rPr>
        <w:t> </w:t>
      </w:r>
      <w:r>
        <w:rPr>
          <w:color w:val="231F20"/>
          <w:w w:val="105"/>
        </w:rPr>
        <w:t>sentido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palabras</w:t>
      </w:r>
      <w:r>
        <w:rPr>
          <w:color w:val="231F20"/>
          <w:spacing w:val="-22"/>
          <w:w w:val="105"/>
        </w:rPr>
        <w:t> </w:t>
      </w:r>
      <w:r>
        <w:rPr>
          <w:color w:val="231F20"/>
          <w:spacing w:val="-3"/>
          <w:w w:val="105"/>
        </w:rPr>
        <w:t>“mujeres</w:t>
      </w:r>
      <w:r>
        <w:rPr>
          <w:color w:val="231F20"/>
          <w:spacing w:val="-22"/>
          <w:w w:val="105"/>
        </w:rPr>
        <w:t> </w:t>
      </w:r>
      <w:r>
        <w:rPr>
          <w:color w:val="231F20"/>
          <w:w w:val="105"/>
        </w:rPr>
        <w:t>en</w:t>
      </w:r>
      <w:r>
        <w:rPr>
          <w:color w:val="231F20"/>
          <w:spacing w:val="-22"/>
          <w:w w:val="105"/>
        </w:rPr>
        <w:t> </w:t>
      </w:r>
      <w:r>
        <w:rPr>
          <w:color w:val="231F20"/>
          <w:w w:val="105"/>
        </w:rPr>
        <w:t>crisis”.</w:t>
      </w:r>
    </w:p>
    <w:p>
      <w:pPr>
        <w:pStyle w:val="BodyText"/>
        <w:spacing w:before="1"/>
        <w:rPr>
          <w:sz w:val="26"/>
        </w:rPr>
      </w:pPr>
    </w:p>
    <w:p>
      <w:pPr>
        <w:pStyle w:val="BodyText"/>
        <w:spacing w:line="285" w:lineRule="auto"/>
        <w:ind w:left="110" w:right="108"/>
        <w:jc w:val="both"/>
      </w:pPr>
      <w:r>
        <w:rPr>
          <w:color w:val="231F20"/>
          <w:w w:val="105"/>
        </w:rPr>
        <w:t>La</w:t>
      </w:r>
      <w:r>
        <w:rPr>
          <w:color w:val="231F20"/>
          <w:spacing w:val="-21"/>
          <w:w w:val="105"/>
        </w:rPr>
        <w:t> </w:t>
      </w:r>
      <w:r>
        <w:rPr>
          <w:color w:val="231F20"/>
          <w:spacing w:val="-4"/>
          <w:w w:val="105"/>
        </w:rPr>
        <w:t>dependencia</w:t>
      </w:r>
      <w:r>
        <w:rPr>
          <w:color w:val="231F20"/>
          <w:spacing w:val="-21"/>
          <w:w w:val="105"/>
        </w:rPr>
        <w:t> </w:t>
      </w:r>
      <w:r>
        <w:rPr>
          <w:color w:val="231F20"/>
          <w:spacing w:val="-3"/>
          <w:w w:val="105"/>
        </w:rPr>
        <w:t>responsable</w:t>
      </w:r>
      <w:r>
        <w:rPr>
          <w:color w:val="231F20"/>
          <w:spacing w:val="-21"/>
          <w:w w:val="105"/>
        </w:rPr>
        <w:t> </w:t>
      </w:r>
      <w:r>
        <w:rPr>
          <w:color w:val="231F20"/>
          <w:w w:val="105"/>
        </w:rPr>
        <w:t>de</w:t>
      </w:r>
      <w:r>
        <w:rPr>
          <w:color w:val="231F20"/>
          <w:spacing w:val="-21"/>
          <w:w w:val="105"/>
        </w:rPr>
        <w:t> </w:t>
      </w:r>
      <w:r>
        <w:rPr>
          <w:color w:val="231F20"/>
          <w:w w:val="105"/>
        </w:rPr>
        <w:t>salud</w:t>
      </w:r>
      <w:r>
        <w:rPr>
          <w:color w:val="231F20"/>
          <w:spacing w:val="-21"/>
          <w:w w:val="105"/>
        </w:rPr>
        <w:t> </w:t>
      </w:r>
      <w:r>
        <w:rPr>
          <w:color w:val="231F20"/>
          <w:w w:val="105"/>
        </w:rPr>
        <w:t>fue</w:t>
      </w:r>
      <w:r>
        <w:rPr>
          <w:color w:val="231F20"/>
          <w:spacing w:val="-21"/>
          <w:w w:val="105"/>
        </w:rPr>
        <w:t> </w:t>
      </w:r>
      <w:r>
        <w:rPr>
          <w:color w:val="231F20"/>
          <w:w w:val="105"/>
        </w:rPr>
        <w:t>el</w:t>
      </w:r>
      <w:r>
        <w:rPr>
          <w:color w:val="231F20"/>
          <w:spacing w:val="-21"/>
          <w:w w:val="105"/>
        </w:rPr>
        <w:t> </w:t>
      </w:r>
      <w:r>
        <w:rPr>
          <w:color w:val="231F20"/>
          <w:w w:val="105"/>
        </w:rPr>
        <w:t>Instituto</w:t>
      </w:r>
      <w:r>
        <w:rPr>
          <w:color w:val="231F20"/>
          <w:spacing w:val="-21"/>
          <w:w w:val="105"/>
        </w:rPr>
        <w:t> </w:t>
      </w:r>
      <w:r>
        <w:rPr>
          <w:color w:val="231F20"/>
          <w:spacing w:val="-3"/>
          <w:w w:val="105"/>
        </w:rPr>
        <w:t>Naucalpense</w:t>
      </w:r>
      <w:r>
        <w:rPr>
          <w:color w:val="231F20"/>
          <w:spacing w:val="-21"/>
          <w:w w:val="105"/>
        </w:rPr>
        <w:t> </w:t>
      </w:r>
      <w:r>
        <w:rPr>
          <w:color w:val="231F20"/>
          <w:w w:val="105"/>
        </w:rPr>
        <w:t>de</w:t>
      </w:r>
      <w:r>
        <w:rPr>
          <w:color w:val="231F20"/>
          <w:spacing w:val="-21"/>
          <w:w w:val="105"/>
        </w:rPr>
        <w:t> </w:t>
      </w:r>
      <w:r>
        <w:rPr>
          <w:color w:val="231F20"/>
          <w:spacing w:val="-3"/>
          <w:w w:val="105"/>
        </w:rPr>
        <w:t>Salud,</w:t>
      </w:r>
      <w:r>
        <w:rPr>
          <w:color w:val="231F20"/>
          <w:spacing w:val="-21"/>
          <w:w w:val="105"/>
        </w:rPr>
        <w:t> </w:t>
      </w:r>
      <w:r>
        <w:rPr>
          <w:color w:val="231F20"/>
          <w:w w:val="105"/>
        </w:rPr>
        <w:t>un</w:t>
      </w:r>
      <w:r>
        <w:rPr>
          <w:color w:val="231F20"/>
          <w:spacing w:val="-21"/>
          <w:w w:val="105"/>
        </w:rPr>
        <w:t> </w:t>
      </w:r>
      <w:r>
        <w:rPr>
          <w:color w:val="231F20"/>
          <w:spacing w:val="-3"/>
          <w:w w:val="105"/>
        </w:rPr>
        <w:t>organismo público</w:t>
      </w:r>
      <w:r>
        <w:rPr>
          <w:color w:val="231F20"/>
          <w:spacing w:val="-28"/>
          <w:w w:val="105"/>
        </w:rPr>
        <w:t> </w:t>
      </w:r>
      <w:r>
        <w:rPr>
          <w:color w:val="231F20"/>
          <w:w w:val="105"/>
        </w:rPr>
        <w:t>descentralizado</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administración</w:t>
      </w:r>
      <w:r>
        <w:rPr>
          <w:color w:val="231F20"/>
          <w:spacing w:val="-28"/>
          <w:w w:val="105"/>
        </w:rPr>
        <w:t> </w:t>
      </w:r>
      <w:r>
        <w:rPr>
          <w:color w:val="231F20"/>
          <w:w w:val="105"/>
        </w:rPr>
        <w:t>municipal.</w:t>
      </w:r>
      <w:r>
        <w:rPr>
          <w:color w:val="231F20"/>
          <w:spacing w:val="-28"/>
          <w:w w:val="105"/>
        </w:rPr>
        <w:t> </w:t>
      </w:r>
      <w:r>
        <w:rPr>
          <w:color w:val="231F20"/>
          <w:w w:val="105"/>
        </w:rPr>
        <w:t>Buscaba</w:t>
      </w:r>
      <w:r>
        <w:rPr>
          <w:color w:val="231F20"/>
          <w:spacing w:val="-28"/>
          <w:w w:val="105"/>
        </w:rPr>
        <w:t> </w:t>
      </w:r>
      <w:r>
        <w:rPr>
          <w:color w:val="231F20"/>
          <w:w w:val="105"/>
        </w:rPr>
        <w:t>un</w:t>
      </w:r>
      <w:r>
        <w:rPr>
          <w:color w:val="231F20"/>
          <w:spacing w:val="-28"/>
          <w:w w:val="105"/>
        </w:rPr>
        <w:t> </w:t>
      </w:r>
      <w:r>
        <w:rPr>
          <w:color w:val="231F20"/>
          <w:w w:val="105"/>
        </w:rPr>
        <w:t>sistema</w:t>
      </w:r>
      <w:r>
        <w:rPr>
          <w:color w:val="231F20"/>
          <w:spacing w:val="-28"/>
          <w:w w:val="105"/>
        </w:rPr>
        <w:t> </w:t>
      </w:r>
      <w:r>
        <w:rPr>
          <w:color w:val="231F20"/>
          <w:w w:val="105"/>
        </w:rPr>
        <w:t>de</w:t>
      </w:r>
      <w:r>
        <w:rPr>
          <w:color w:val="231F20"/>
          <w:spacing w:val="-28"/>
          <w:w w:val="105"/>
        </w:rPr>
        <w:t> </w:t>
      </w:r>
      <w:r>
        <w:rPr>
          <w:color w:val="231F20"/>
          <w:w w:val="105"/>
        </w:rPr>
        <w:t>salud</w:t>
      </w:r>
      <w:r>
        <w:rPr>
          <w:color w:val="231F20"/>
          <w:spacing w:val="-28"/>
          <w:w w:val="105"/>
        </w:rPr>
        <w:t> </w:t>
      </w:r>
      <w:r>
        <w:rPr>
          <w:color w:val="231F20"/>
          <w:w w:val="105"/>
        </w:rPr>
        <w:t>efi- caz,</w:t>
      </w:r>
      <w:r>
        <w:rPr>
          <w:color w:val="231F20"/>
          <w:spacing w:val="-16"/>
          <w:w w:val="105"/>
        </w:rPr>
        <w:t> </w:t>
      </w:r>
      <w:r>
        <w:rPr>
          <w:color w:val="231F20"/>
          <w:w w:val="105"/>
        </w:rPr>
        <w:t>de</w:t>
      </w:r>
      <w:r>
        <w:rPr>
          <w:color w:val="231F20"/>
          <w:spacing w:val="-16"/>
          <w:w w:val="105"/>
        </w:rPr>
        <w:t> </w:t>
      </w:r>
      <w:r>
        <w:rPr>
          <w:color w:val="231F20"/>
          <w:w w:val="105"/>
        </w:rPr>
        <w:t>“máxima</w:t>
      </w:r>
      <w:r>
        <w:rPr>
          <w:color w:val="231F20"/>
          <w:spacing w:val="-16"/>
          <w:w w:val="105"/>
        </w:rPr>
        <w:t> </w:t>
      </w:r>
      <w:r>
        <w:rPr>
          <w:color w:val="231F20"/>
          <w:w w:val="105"/>
        </w:rPr>
        <w:t>cobertura”</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alta</w:t>
      </w:r>
      <w:r>
        <w:rPr>
          <w:color w:val="231F20"/>
          <w:spacing w:val="-16"/>
          <w:w w:val="105"/>
        </w:rPr>
        <w:t> </w:t>
      </w:r>
      <w:r>
        <w:rPr>
          <w:color w:val="231F20"/>
          <w:w w:val="105"/>
        </w:rPr>
        <w:t>calidad,</w:t>
      </w:r>
      <w:r>
        <w:rPr>
          <w:color w:val="231F20"/>
          <w:spacing w:val="-16"/>
          <w:w w:val="105"/>
        </w:rPr>
        <w:t> </w:t>
      </w:r>
      <w:r>
        <w:rPr>
          <w:color w:val="231F20"/>
          <w:w w:val="105"/>
        </w:rPr>
        <w:t>dirigido</w:t>
      </w:r>
      <w:r>
        <w:rPr>
          <w:color w:val="231F20"/>
          <w:spacing w:val="-16"/>
          <w:w w:val="105"/>
        </w:rPr>
        <w:t> </w:t>
      </w:r>
      <w:r>
        <w:rPr>
          <w:color w:val="231F20"/>
          <w:spacing w:val="-3"/>
          <w:w w:val="105"/>
        </w:rPr>
        <w:t>principalmente</w:t>
      </w:r>
      <w:r>
        <w:rPr>
          <w:color w:val="231F20"/>
          <w:spacing w:val="-16"/>
          <w:w w:val="105"/>
        </w:rPr>
        <w:t> </w:t>
      </w:r>
      <w:r>
        <w:rPr>
          <w:color w:val="231F20"/>
          <w:w w:val="105"/>
        </w:rPr>
        <w:t>a</w:t>
      </w:r>
      <w:r>
        <w:rPr>
          <w:color w:val="231F20"/>
          <w:spacing w:val="-16"/>
          <w:w w:val="105"/>
        </w:rPr>
        <w:t> </w:t>
      </w:r>
      <w:r>
        <w:rPr>
          <w:color w:val="231F20"/>
          <w:w w:val="105"/>
        </w:rPr>
        <w:t>elevar</w:t>
      </w:r>
      <w:r>
        <w:rPr>
          <w:color w:val="231F20"/>
          <w:spacing w:val="-16"/>
          <w:w w:val="105"/>
        </w:rPr>
        <w:t> </w:t>
      </w:r>
      <w:r>
        <w:rPr>
          <w:color w:val="231F20"/>
          <w:w w:val="105"/>
        </w:rPr>
        <w:t>la</w:t>
      </w:r>
      <w:r>
        <w:rPr>
          <w:color w:val="231F20"/>
          <w:spacing w:val="-16"/>
          <w:w w:val="105"/>
        </w:rPr>
        <w:t> </w:t>
      </w:r>
      <w:r>
        <w:rPr>
          <w:color w:val="231F20"/>
          <w:w w:val="105"/>
        </w:rPr>
        <w:t>calidad de</w:t>
      </w:r>
      <w:r>
        <w:rPr>
          <w:color w:val="231F20"/>
          <w:spacing w:val="-11"/>
          <w:w w:val="105"/>
        </w:rPr>
        <w:t> </w:t>
      </w:r>
      <w:r>
        <w:rPr>
          <w:color w:val="231F20"/>
          <w:w w:val="105"/>
        </w:rPr>
        <w:t>vida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4"/>
          <w:w w:val="105"/>
        </w:rPr>
        <w:t>población,</w:t>
      </w:r>
      <w:r>
        <w:rPr>
          <w:color w:val="231F20"/>
          <w:spacing w:val="-11"/>
          <w:w w:val="105"/>
        </w:rPr>
        <w:t> </w:t>
      </w:r>
      <w:r>
        <w:rPr>
          <w:color w:val="231F20"/>
          <w:spacing w:val="-3"/>
          <w:w w:val="105"/>
        </w:rPr>
        <w:t>“especialmente</w:t>
      </w:r>
      <w:r>
        <w:rPr>
          <w:color w:val="231F20"/>
          <w:spacing w:val="-11"/>
          <w:w w:val="105"/>
        </w:rPr>
        <w:t> </w:t>
      </w:r>
      <w:r>
        <w:rPr>
          <w:color w:val="231F20"/>
          <w:w w:val="105"/>
        </w:rPr>
        <w:t>la</w:t>
      </w:r>
      <w:r>
        <w:rPr>
          <w:color w:val="231F20"/>
          <w:spacing w:val="-11"/>
          <w:w w:val="105"/>
        </w:rPr>
        <w:t> </w:t>
      </w:r>
      <w:r>
        <w:rPr>
          <w:color w:val="231F20"/>
          <w:w w:val="105"/>
        </w:rPr>
        <w:t>de</w:t>
      </w:r>
      <w:r>
        <w:rPr>
          <w:color w:val="231F20"/>
          <w:spacing w:val="-11"/>
          <w:w w:val="105"/>
        </w:rPr>
        <w:t> </w:t>
      </w:r>
      <w:r>
        <w:rPr>
          <w:color w:val="231F20"/>
          <w:spacing w:val="-3"/>
          <w:w w:val="105"/>
        </w:rPr>
        <w:t>los</w:t>
      </w:r>
      <w:r>
        <w:rPr>
          <w:color w:val="231F20"/>
          <w:spacing w:val="-11"/>
          <w:w w:val="105"/>
        </w:rPr>
        <w:t> </w:t>
      </w:r>
      <w:r>
        <w:rPr>
          <w:color w:val="231F20"/>
          <w:w w:val="105"/>
        </w:rPr>
        <w:t>grupos</w:t>
      </w:r>
      <w:r>
        <w:rPr>
          <w:color w:val="231F20"/>
          <w:spacing w:val="-11"/>
          <w:w w:val="105"/>
        </w:rPr>
        <w:t> </w:t>
      </w:r>
      <w:r>
        <w:rPr>
          <w:color w:val="231F20"/>
          <w:spacing w:val="-4"/>
          <w:w w:val="105"/>
        </w:rPr>
        <w:t>vulnerables”.</w:t>
      </w:r>
      <w:r>
        <w:rPr>
          <w:color w:val="231F20"/>
          <w:spacing w:val="-11"/>
          <w:w w:val="105"/>
        </w:rPr>
        <w:t> </w:t>
      </w:r>
      <w:r>
        <w:rPr>
          <w:color w:val="231F20"/>
          <w:w w:val="105"/>
        </w:rPr>
        <w:t>Para</w:t>
      </w:r>
      <w:r>
        <w:rPr>
          <w:color w:val="231F20"/>
          <w:spacing w:val="-11"/>
          <w:w w:val="105"/>
        </w:rPr>
        <w:t> </w:t>
      </w:r>
      <w:r>
        <w:rPr>
          <w:color w:val="231F20"/>
          <w:w w:val="105"/>
        </w:rPr>
        <w:t>ello</w:t>
      </w:r>
      <w:r>
        <w:rPr>
          <w:color w:val="231F20"/>
          <w:spacing w:val="-11"/>
          <w:w w:val="105"/>
        </w:rPr>
        <w:t> </w:t>
      </w:r>
      <w:r>
        <w:rPr>
          <w:color w:val="231F20"/>
          <w:spacing w:val="-3"/>
          <w:w w:val="105"/>
        </w:rPr>
        <w:t>necesita- </w:t>
      </w:r>
      <w:r>
        <w:rPr>
          <w:color w:val="231F20"/>
          <w:w w:val="105"/>
        </w:rPr>
        <w:t>ba</w:t>
      </w:r>
      <w:r>
        <w:rPr>
          <w:color w:val="231F20"/>
          <w:spacing w:val="-10"/>
          <w:w w:val="105"/>
        </w:rPr>
        <w:t> </w:t>
      </w:r>
      <w:r>
        <w:rPr>
          <w:color w:val="231F20"/>
          <w:w w:val="105"/>
        </w:rPr>
        <w:t>de</w:t>
      </w:r>
      <w:r>
        <w:rPr>
          <w:color w:val="231F20"/>
          <w:spacing w:val="-10"/>
          <w:w w:val="105"/>
        </w:rPr>
        <w:t> </w:t>
      </w:r>
      <w:r>
        <w:rPr>
          <w:color w:val="231F20"/>
          <w:w w:val="105"/>
        </w:rPr>
        <w:t>allegarse</w:t>
      </w:r>
      <w:r>
        <w:rPr>
          <w:color w:val="231F20"/>
          <w:spacing w:val="-10"/>
          <w:w w:val="105"/>
        </w:rPr>
        <w:t> </w:t>
      </w:r>
      <w:r>
        <w:rPr>
          <w:color w:val="231F20"/>
          <w:w w:val="105"/>
        </w:rPr>
        <w:t>de</w:t>
      </w:r>
      <w:r>
        <w:rPr>
          <w:color w:val="231F20"/>
          <w:spacing w:val="-10"/>
          <w:w w:val="105"/>
        </w:rPr>
        <w:t> </w:t>
      </w:r>
      <w:r>
        <w:rPr>
          <w:color w:val="231F20"/>
          <w:spacing w:val="-4"/>
          <w:w w:val="105"/>
        </w:rPr>
        <w:t>mayores</w:t>
      </w:r>
      <w:r>
        <w:rPr>
          <w:color w:val="231F20"/>
          <w:spacing w:val="-10"/>
          <w:w w:val="105"/>
        </w:rPr>
        <w:t> </w:t>
      </w:r>
      <w:r>
        <w:rPr>
          <w:color w:val="231F20"/>
          <w:w w:val="105"/>
        </w:rPr>
        <w:t>recursos</w:t>
      </w:r>
      <w:r>
        <w:rPr>
          <w:color w:val="231F20"/>
          <w:spacing w:val="-10"/>
          <w:w w:val="105"/>
        </w:rPr>
        <w:t> </w:t>
      </w:r>
      <w:r>
        <w:rPr>
          <w:color w:val="231F20"/>
          <w:spacing w:val="-4"/>
          <w:w w:val="105"/>
        </w:rPr>
        <w:t>provenientes</w:t>
      </w:r>
      <w:r>
        <w:rPr>
          <w:color w:val="231F20"/>
          <w:spacing w:val="-10"/>
          <w:w w:val="105"/>
        </w:rPr>
        <w:t> </w:t>
      </w:r>
      <w:r>
        <w:rPr>
          <w:color w:val="231F20"/>
          <w:w w:val="105"/>
        </w:rPr>
        <w:t>de</w:t>
      </w:r>
      <w:r>
        <w:rPr>
          <w:color w:val="231F20"/>
          <w:spacing w:val="-10"/>
          <w:w w:val="105"/>
        </w:rPr>
        <w:t> </w:t>
      </w:r>
      <w:r>
        <w:rPr>
          <w:color w:val="231F20"/>
          <w:spacing w:val="-3"/>
          <w:w w:val="105"/>
        </w:rPr>
        <w:t>los</w:t>
      </w:r>
      <w:r>
        <w:rPr>
          <w:color w:val="231F20"/>
          <w:spacing w:val="-10"/>
          <w:w w:val="105"/>
        </w:rPr>
        <w:t> </w:t>
      </w:r>
      <w:r>
        <w:rPr>
          <w:color w:val="231F20"/>
          <w:w w:val="105"/>
        </w:rPr>
        <w:t>programas</w:t>
      </w:r>
      <w:r>
        <w:rPr>
          <w:color w:val="231F20"/>
          <w:spacing w:val="-10"/>
          <w:w w:val="105"/>
        </w:rPr>
        <w:t> </w:t>
      </w:r>
      <w:r>
        <w:rPr>
          <w:color w:val="231F20"/>
          <w:spacing w:val="-3"/>
          <w:w w:val="105"/>
        </w:rPr>
        <w:t>federales</w:t>
      </w:r>
      <w:r>
        <w:rPr>
          <w:color w:val="231F20"/>
          <w:spacing w:val="-10"/>
          <w:w w:val="105"/>
        </w:rPr>
        <w:t> </w:t>
      </w:r>
      <w:r>
        <w:rPr>
          <w:color w:val="231F20"/>
          <w:spacing w:val="-3"/>
          <w:w w:val="105"/>
        </w:rPr>
        <w:t>del</w:t>
      </w:r>
      <w:r>
        <w:rPr>
          <w:color w:val="231F20"/>
          <w:spacing w:val="-10"/>
          <w:w w:val="105"/>
        </w:rPr>
        <w:t> </w:t>
      </w:r>
      <w:r>
        <w:rPr>
          <w:color w:val="231F20"/>
          <w:w w:val="105"/>
        </w:rPr>
        <w:t>Seguro </w:t>
      </w:r>
      <w:r>
        <w:rPr>
          <w:color w:val="231F20"/>
          <w:spacing w:val="-3"/>
          <w:w w:val="105"/>
        </w:rPr>
        <w:t>Popular</w:t>
      </w:r>
      <w:r>
        <w:rPr>
          <w:color w:val="231F20"/>
          <w:spacing w:val="-7"/>
          <w:w w:val="105"/>
        </w:rPr>
        <w:t> </w:t>
      </w:r>
      <w:r>
        <w:rPr>
          <w:color w:val="231F20"/>
          <w:w w:val="105"/>
        </w:rPr>
        <w:t>y</w:t>
      </w:r>
      <w:r>
        <w:rPr>
          <w:color w:val="231F20"/>
          <w:spacing w:val="-7"/>
          <w:w w:val="105"/>
        </w:rPr>
        <w:t> </w:t>
      </w:r>
      <w:r>
        <w:rPr>
          <w:color w:val="231F20"/>
          <w:spacing w:val="-3"/>
          <w:w w:val="105"/>
        </w:rPr>
        <w:t>Universal</w:t>
      </w:r>
      <w:r>
        <w:rPr>
          <w:color w:val="231F20"/>
          <w:spacing w:val="-7"/>
          <w:w w:val="105"/>
        </w:rPr>
        <w:t> </w:t>
      </w:r>
      <w:r>
        <w:rPr>
          <w:color w:val="231F20"/>
          <w:w w:val="105"/>
        </w:rPr>
        <w:t>de</w:t>
      </w:r>
      <w:r>
        <w:rPr>
          <w:color w:val="231F20"/>
          <w:spacing w:val="-7"/>
          <w:w w:val="105"/>
        </w:rPr>
        <w:t> </w:t>
      </w:r>
      <w:r>
        <w:rPr>
          <w:color w:val="231F20"/>
          <w:w w:val="105"/>
        </w:rPr>
        <w:t>Salud.</w:t>
      </w:r>
      <w:r>
        <w:rPr>
          <w:color w:val="231F20"/>
          <w:spacing w:val="-7"/>
          <w:w w:val="105"/>
        </w:rPr>
        <w:t> </w:t>
      </w:r>
      <w:r>
        <w:rPr>
          <w:color w:val="231F20"/>
          <w:spacing w:val="-3"/>
          <w:w w:val="105"/>
        </w:rPr>
        <w:t>Ciertamente</w:t>
      </w:r>
      <w:r>
        <w:rPr>
          <w:color w:val="231F20"/>
          <w:spacing w:val="-7"/>
          <w:w w:val="105"/>
        </w:rPr>
        <w:t> </w:t>
      </w:r>
      <w:r>
        <w:rPr>
          <w:color w:val="231F20"/>
          <w:w w:val="105"/>
        </w:rPr>
        <w:t>una</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metas</w:t>
      </w:r>
      <w:r>
        <w:rPr>
          <w:color w:val="231F20"/>
          <w:spacing w:val="-7"/>
          <w:w w:val="105"/>
        </w:rPr>
        <w:t> </w:t>
      </w:r>
      <w:r>
        <w:rPr>
          <w:color w:val="231F20"/>
          <w:w w:val="105"/>
        </w:rPr>
        <w:t>fue</w:t>
      </w:r>
      <w:r>
        <w:rPr>
          <w:color w:val="231F20"/>
          <w:spacing w:val="-7"/>
          <w:w w:val="105"/>
        </w:rPr>
        <w:t> </w:t>
      </w:r>
      <w:r>
        <w:rPr>
          <w:color w:val="231F20"/>
          <w:w w:val="105"/>
        </w:rPr>
        <w:t>la</w:t>
      </w:r>
      <w:r>
        <w:rPr>
          <w:color w:val="231F20"/>
          <w:spacing w:val="-7"/>
          <w:w w:val="105"/>
        </w:rPr>
        <w:t> </w:t>
      </w:r>
      <w:r>
        <w:rPr>
          <w:color w:val="231F20"/>
          <w:spacing w:val="-4"/>
          <w:w w:val="105"/>
        </w:rPr>
        <w:t>creación</w:t>
      </w:r>
      <w:r>
        <w:rPr>
          <w:color w:val="231F20"/>
          <w:spacing w:val="-7"/>
          <w:w w:val="105"/>
        </w:rPr>
        <w:t> </w:t>
      </w:r>
      <w:r>
        <w:rPr>
          <w:color w:val="231F20"/>
          <w:w w:val="105"/>
        </w:rPr>
        <w:t>de</w:t>
      </w:r>
      <w:r>
        <w:rPr>
          <w:color w:val="231F20"/>
          <w:spacing w:val="-7"/>
          <w:w w:val="105"/>
        </w:rPr>
        <w:t> </w:t>
      </w:r>
      <w:r>
        <w:rPr>
          <w:color w:val="231F20"/>
          <w:spacing w:val="-3"/>
          <w:w w:val="105"/>
        </w:rPr>
        <w:t>unidades </w:t>
      </w:r>
      <w:r>
        <w:rPr>
          <w:color w:val="231F20"/>
          <w:w w:val="105"/>
        </w:rPr>
        <w:t>médicas</w:t>
      </w:r>
      <w:r>
        <w:rPr>
          <w:color w:val="231F20"/>
          <w:spacing w:val="-18"/>
          <w:w w:val="105"/>
        </w:rPr>
        <w:t> </w:t>
      </w:r>
      <w:r>
        <w:rPr>
          <w:color w:val="231F20"/>
          <w:w w:val="105"/>
        </w:rPr>
        <w:t>para</w:t>
      </w:r>
      <w:r>
        <w:rPr>
          <w:color w:val="231F20"/>
          <w:spacing w:val="-18"/>
          <w:w w:val="105"/>
        </w:rPr>
        <w:t> </w:t>
      </w:r>
      <w:r>
        <w:rPr>
          <w:color w:val="231F20"/>
          <w:w w:val="105"/>
        </w:rPr>
        <w:t>ampliar</w:t>
      </w:r>
      <w:r>
        <w:rPr>
          <w:color w:val="231F20"/>
          <w:spacing w:val="-18"/>
          <w:w w:val="105"/>
        </w:rPr>
        <w:t> </w:t>
      </w:r>
      <w:r>
        <w:rPr>
          <w:color w:val="231F20"/>
          <w:w w:val="105"/>
        </w:rPr>
        <w:t>la</w:t>
      </w:r>
      <w:r>
        <w:rPr>
          <w:color w:val="231F20"/>
          <w:spacing w:val="-18"/>
          <w:w w:val="105"/>
        </w:rPr>
        <w:t> </w:t>
      </w:r>
      <w:r>
        <w:rPr>
          <w:color w:val="231F20"/>
          <w:w w:val="105"/>
        </w:rPr>
        <w:t>cobertura,</w:t>
      </w:r>
      <w:r>
        <w:rPr>
          <w:color w:val="231F20"/>
          <w:spacing w:val="-18"/>
          <w:w w:val="105"/>
        </w:rPr>
        <w:t> </w:t>
      </w:r>
      <w:r>
        <w:rPr>
          <w:color w:val="231F20"/>
          <w:spacing w:val="-3"/>
          <w:w w:val="105"/>
        </w:rPr>
        <w:t>pero</w:t>
      </w:r>
      <w:r>
        <w:rPr>
          <w:color w:val="231F20"/>
          <w:spacing w:val="-18"/>
          <w:w w:val="105"/>
        </w:rPr>
        <w:t> </w:t>
      </w:r>
      <w:r>
        <w:rPr>
          <w:color w:val="231F20"/>
          <w:w w:val="105"/>
        </w:rPr>
        <w:t>poco</w:t>
      </w:r>
      <w:r>
        <w:rPr>
          <w:color w:val="231F20"/>
          <w:spacing w:val="-18"/>
          <w:w w:val="105"/>
        </w:rPr>
        <w:t> </w:t>
      </w:r>
      <w:r>
        <w:rPr>
          <w:color w:val="231F20"/>
          <w:spacing w:val="-3"/>
          <w:w w:val="105"/>
        </w:rPr>
        <w:t>después</w:t>
      </w:r>
      <w:r>
        <w:rPr>
          <w:color w:val="231F20"/>
          <w:spacing w:val="-18"/>
          <w:w w:val="105"/>
        </w:rPr>
        <w:t> </w:t>
      </w:r>
      <w:r>
        <w:rPr>
          <w:color w:val="231F20"/>
          <w:w w:val="105"/>
        </w:rPr>
        <w:t>esta</w:t>
      </w:r>
      <w:r>
        <w:rPr>
          <w:color w:val="231F20"/>
          <w:spacing w:val="-18"/>
          <w:w w:val="105"/>
        </w:rPr>
        <w:t> </w:t>
      </w:r>
      <w:r>
        <w:rPr>
          <w:color w:val="231F20"/>
          <w:spacing w:val="-3"/>
          <w:w w:val="105"/>
        </w:rPr>
        <w:t>idea</w:t>
      </w:r>
      <w:r>
        <w:rPr>
          <w:color w:val="231F20"/>
          <w:spacing w:val="-18"/>
          <w:w w:val="105"/>
        </w:rPr>
        <w:t> </w:t>
      </w:r>
      <w:r>
        <w:rPr>
          <w:color w:val="231F20"/>
          <w:w w:val="105"/>
        </w:rPr>
        <w:t>se</w:t>
      </w:r>
      <w:r>
        <w:rPr>
          <w:color w:val="231F20"/>
          <w:spacing w:val="-18"/>
          <w:w w:val="105"/>
        </w:rPr>
        <w:t> </w:t>
      </w:r>
      <w:r>
        <w:rPr>
          <w:color w:val="231F20"/>
          <w:w w:val="105"/>
        </w:rPr>
        <w:t>diluía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plan.</w:t>
      </w:r>
    </w:p>
    <w:p>
      <w:pPr>
        <w:pStyle w:val="BodyText"/>
        <w:spacing w:before="1"/>
        <w:rPr>
          <w:sz w:val="26"/>
        </w:rPr>
      </w:pPr>
    </w:p>
    <w:p>
      <w:pPr>
        <w:pStyle w:val="BodyText"/>
        <w:spacing w:line="285" w:lineRule="auto"/>
        <w:ind w:left="110" w:right="106"/>
        <w:jc w:val="both"/>
      </w:pPr>
      <w:r>
        <w:rPr>
          <w:color w:val="231F20"/>
          <w:w w:val="105"/>
        </w:rPr>
        <w:t>En la Unidad Estratégica para el Desarrollo Sustentable y Protección del Ambiente,</w:t>
      </w:r>
      <w:r>
        <w:rPr>
          <w:color w:val="231F20"/>
          <w:spacing w:val="-38"/>
          <w:w w:val="105"/>
        </w:rPr>
        <w:t> </w:t>
      </w:r>
      <w:r>
        <w:rPr>
          <w:color w:val="231F20"/>
          <w:w w:val="105"/>
        </w:rPr>
        <w:t>la Dirección General de Desarrollo Urbano elaboró el plan correspondiente, para </w:t>
      </w:r>
      <w:r>
        <w:rPr>
          <w:color w:val="231F20"/>
          <w:spacing w:val="-3"/>
          <w:w w:val="105"/>
        </w:rPr>
        <w:t>luego </w:t>
      </w:r>
      <w:r>
        <w:rPr>
          <w:color w:val="231F20"/>
          <w:w w:val="105"/>
        </w:rPr>
        <w:t>asegurar su cumplimiento, fincado principalmente en hacer respetar las disposiciones legales en torno a la regulación del ordenamiento territorial. Los asentamientos irre- gulares y los problemas de uso de la infraestructura urbana y </w:t>
      </w:r>
      <w:r>
        <w:rPr>
          <w:color w:val="231F20"/>
          <w:spacing w:val="2"/>
          <w:w w:val="105"/>
        </w:rPr>
        <w:t>vial </w:t>
      </w:r>
      <w:r>
        <w:rPr>
          <w:color w:val="231F20"/>
          <w:w w:val="105"/>
        </w:rPr>
        <w:t>eran sus principales materias de</w:t>
      </w:r>
      <w:r>
        <w:rPr>
          <w:color w:val="231F20"/>
          <w:spacing w:val="-22"/>
          <w:w w:val="105"/>
        </w:rPr>
        <w:t> </w:t>
      </w:r>
      <w:r>
        <w:rPr>
          <w:color w:val="231F20"/>
          <w:w w:val="105"/>
        </w:rPr>
        <w:t>trabajo.</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4"/>
          <w:w w:val="105"/>
        </w:rPr>
        <w:t> </w:t>
      </w:r>
      <w:r>
        <w:rPr>
          <w:color w:val="231F20"/>
          <w:w w:val="105"/>
        </w:rPr>
        <w:t>Dirección</w:t>
      </w:r>
      <w:r>
        <w:rPr>
          <w:color w:val="231F20"/>
          <w:spacing w:val="-14"/>
          <w:w w:val="105"/>
        </w:rPr>
        <w:t> </w:t>
      </w:r>
      <w:r>
        <w:rPr>
          <w:color w:val="231F20"/>
          <w:w w:val="105"/>
        </w:rPr>
        <w:t>General</w:t>
      </w:r>
      <w:r>
        <w:rPr>
          <w:color w:val="231F20"/>
          <w:spacing w:val="-14"/>
          <w:w w:val="105"/>
        </w:rPr>
        <w:t> </w:t>
      </w:r>
      <w:r>
        <w:rPr>
          <w:color w:val="231F20"/>
          <w:w w:val="105"/>
        </w:rPr>
        <w:t>de</w:t>
      </w:r>
      <w:r>
        <w:rPr>
          <w:color w:val="231F20"/>
          <w:spacing w:val="-14"/>
          <w:w w:val="105"/>
        </w:rPr>
        <w:t> </w:t>
      </w:r>
      <w:r>
        <w:rPr>
          <w:color w:val="231F20"/>
          <w:w w:val="105"/>
        </w:rPr>
        <w:t>Servicios</w:t>
      </w:r>
      <w:r>
        <w:rPr>
          <w:color w:val="231F20"/>
          <w:spacing w:val="-14"/>
          <w:w w:val="105"/>
        </w:rPr>
        <w:t> </w:t>
      </w:r>
      <w:r>
        <w:rPr>
          <w:color w:val="231F20"/>
          <w:w w:val="105"/>
        </w:rPr>
        <w:t>Públicos</w:t>
      </w:r>
      <w:r>
        <w:rPr>
          <w:color w:val="231F20"/>
          <w:spacing w:val="-14"/>
          <w:w w:val="105"/>
        </w:rPr>
        <w:t> </w:t>
      </w:r>
      <w:r>
        <w:rPr>
          <w:color w:val="231F20"/>
          <w:w w:val="105"/>
        </w:rPr>
        <w:t>tuvo</w:t>
      </w:r>
      <w:r>
        <w:rPr>
          <w:color w:val="231F20"/>
          <w:spacing w:val="-14"/>
          <w:w w:val="105"/>
        </w:rPr>
        <w:t> </w:t>
      </w:r>
      <w:r>
        <w:rPr>
          <w:color w:val="231F20"/>
          <w:w w:val="105"/>
        </w:rPr>
        <w:t>a</w:t>
      </w:r>
      <w:r>
        <w:rPr>
          <w:color w:val="231F20"/>
          <w:spacing w:val="-14"/>
          <w:w w:val="105"/>
        </w:rPr>
        <w:t> </w:t>
      </w:r>
      <w:r>
        <w:rPr>
          <w:color w:val="231F20"/>
          <w:w w:val="105"/>
        </w:rPr>
        <w:t>su</w:t>
      </w:r>
      <w:r>
        <w:rPr>
          <w:color w:val="231F20"/>
          <w:spacing w:val="-14"/>
          <w:w w:val="105"/>
        </w:rPr>
        <w:t> </w:t>
      </w:r>
      <w:r>
        <w:rPr>
          <w:color w:val="231F20"/>
          <w:w w:val="105"/>
        </w:rPr>
        <w:t>cargo</w:t>
      </w:r>
      <w:r>
        <w:rPr>
          <w:color w:val="231F20"/>
          <w:spacing w:val="-14"/>
          <w:w w:val="105"/>
        </w:rPr>
        <w:t> </w:t>
      </w:r>
      <w:r>
        <w:rPr>
          <w:color w:val="231F20"/>
          <w:w w:val="105"/>
        </w:rPr>
        <w:t>cubrir</w:t>
      </w:r>
      <w:r>
        <w:rPr>
          <w:color w:val="231F20"/>
          <w:spacing w:val="-14"/>
          <w:w w:val="105"/>
        </w:rPr>
        <w:t> </w:t>
      </w:r>
      <w:r>
        <w:rPr>
          <w:color w:val="231F20"/>
          <w:w w:val="105"/>
        </w:rPr>
        <w:t>las</w:t>
      </w:r>
      <w:r>
        <w:rPr>
          <w:color w:val="231F20"/>
          <w:spacing w:val="-14"/>
          <w:w w:val="105"/>
        </w:rPr>
        <w:t> </w:t>
      </w:r>
      <w:r>
        <w:rPr>
          <w:color w:val="231F20"/>
          <w:w w:val="105"/>
        </w:rPr>
        <w:t>necesidades</w:t>
      </w:r>
      <w:r>
        <w:rPr>
          <w:color w:val="231F20"/>
          <w:spacing w:val="-14"/>
          <w:w w:val="105"/>
        </w:rPr>
        <w:t> </w:t>
      </w:r>
      <w:r>
        <w:rPr>
          <w:color w:val="231F20"/>
          <w:w w:val="105"/>
        </w:rPr>
        <w:t>de</w:t>
      </w:r>
      <w:r>
        <w:rPr>
          <w:color w:val="231F20"/>
          <w:spacing w:val="-14"/>
          <w:w w:val="105"/>
        </w:rPr>
        <w:t> </w:t>
      </w:r>
      <w:r>
        <w:rPr>
          <w:color w:val="231F20"/>
          <w:w w:val="105"/>
        </w:rPr>
        <w:t>la población</w:t>
      </w:r>
      <w:r>
        <w:rPr>
          <w:color w:val="231F20"/>
          <w:spacing w:val="-10"/>
          <w:w w:val="105"/>
        </w:rPr>
        <w:t> </w:t>
      </w:r>
      <w:r>
        <w:rPr>
          <w:color w:val="231F20"/>
          <w:w w:val="105"/>
        </w:rPr>
        <w:t>y</w:t>
      </w:r>
      <w:r>
        <w:rPr>
          <w:color w:val="231F20"/>
          <w:spacing w:val="-10"/>
          <w:w w:val="105"/>
        </w:rPr>
        <w:t> </w:t>
      </w:r>
      <w:r>
        <w:rPr>
          <w:color w:val="231F20"/>
          <w:w w:val="105"/>
        </w:rPr>
        <w:t>también</w:t>
      </w:r>
      <w:r>
        <w:rPr>
          <w:color w:val="231F20"/>
          <w:spacing w:val="-10"/>
          <w:w w:val="105"/>
        </w:rPr>
        <w:t> </w:t>
      </w:r>
      <w:r>
        <w:rPr>
          <w:color w:val="231F20"/>
          <w:w w:val="105"/>
        </w:rPr>
        <w:t>eliminar</w:t>
      </w:r>
      <w:r>
        <w:rPr>
          <w:color w:val="231F20"/>
          <w:spacing w:val="-10"/>
          <w:w w:val="105"/>
        </w:rPr>
        <w:t> </w:t>
      </w:r>
      <w:r>
        <w:rPr>
          <w:color w:val="231F20"/>
          <w:w w:val="105"/>
        </w:rPr>
        <w:t>las</w:t>
      </w:r>
      <w:r>
        <w:rPr>
          <w:color w:val="231F20"/>
          <w:spacing w:val="-10"/>
          <w:w w:val="105"/>
        </w:rPr>
        <w:t> </w:t>
      </w:r>
      <w:r>
        <w:rPr>
          <w:color w:val="231F20"/>
          <w:w w:val="105"/>
        </w:rPr>
        <w:t>deficiencias</w:t>
      </w:r>
      <w:r>
        <w:rPr>
          <w:color w:val="231F20"/>
          <w:spacing w:val="-10"/>
          <w:w w:val="105"/>
        </w:rPr>
        <w:t> </w:t>
      </w:r>
      <w:r>
        <w:rPr>
          <w:color w:val="231F20"/>
          <w:w w:val="105"/>
        </w:rPr>
        <w:t>que</w:t>
      </w:r>
      <w:r>
        <w:rPr>
          <w:color w:val="231F20"/>
          <w:spacing w:val="-10"/>
          <w:w w:val="105"/>
        </w:rPr>
        <w:t> </w:t>
      </w:r>
      <w:r>
        <w:rPr>
          <w:color w:val="231F20"/>
          <w:w w:val="105"/>
        </w:rPr>
        <w:t>hubiera</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prestación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servi- cios.</w:t>
      </w:r>
      <w:r>
        <w:rPr>
          <w:color w:val="231F20"/>
          <w:spacing w:val="-10"/>
          <w:w w:val="105"/>
        </w:rPr>
        <w:t> </w:t>
      </w:r>
      <w:r>
        <w:rPr>
          <w:color w:val="231F20"/>
          <w:w w:val="105"/>
        </w:rPr>
        <w:t>Sólo</w:t>
      </w:r>
      <w:r>
        <w:rPr>
          <w:color w:val="231F20"/>
          <w:spacing w:val="-10"/>
          <w:w w:val="105"/>
        </w:rPr>
        <w:t> </w:t>
      </w:r>
      <w:r>
        <w:rPr>
          <w:color w:val="231F20"/>
          <w:w w:val="105"/>
        </w:rPr>
        <w:t>en</w:t>
      </w:r>
      <w:r>
        <w:rPr>
          <w:color w:val="231F20"/>
          <w:spacing w:val="-10"/>
          <w:w w:val="105"/>
        </w:rPr>
        <w:t> </w:t>
      </w:r>
      <w:r>
        <w:rPr>
          <w:color w:val="231F20"/>
          <w:w w:val="105"/>
        </w:rPr>
        <w:t>esta</w:t>
      </w:r>
      <w:r>
        <w:rPr>
          <w:color w:val="231F20"/>
          <w:spacing w:val="-10"/>
          <w:w w:val="105"/>
        </w:rPr>
        <w:t> </w:t>
      </w:r>
      <w:r>
        <w:rPr>
          <w:color w:val="231F20"/>
          <w:w w:val="105"/>
        </w:rPr>
        <w:t>línea</w:t>
      </w:r>
      <w:r>
        <w:rPr>
          <w:color w:val="231F20"/>
          <w:spacing w:val="-10"/>
          <w:w w:val="105"/>
        </w:rPr>
        <w:t> </w:t>
      </w:r>
      <w:r>
        <w:rPr>
          <w:color w:val="231F20"/>
          <w:w w:val="105"/>
        </w:rPr>
        <w:t>de</w:t>
      </w:r>
      <w:r>
        <w:rPr>
          <w:color w:val="231F20"/>
          <w:spacing w:val="-10"/>
          <w:w w:val="105"/>
        </w:rPr>
        <w:t> </w:t>
      </w:r>
      <w:r>
        <w:rPr>
          <w:color w:val="231F20"/>
          <w:w w:val="105"/>
        </w:rPr>
        <w:t>acción</w:t>
      </w:r>
      <w:r>
        <w:rPr>
          <w:color w:val="231F20"/>
          <w:spacing w:val="-10"/>
          <w:w w:val="105"/>
        </w:rPr>
        <w:t> </w:t>
      </w:r>
      <w:r>
        <w:rPr>
          <w:color w:val="231F20"/>
          <w:w w:val="105"/>
        </w:rPr>
        <w:t>se</w:t>
      </w:r>
      <w:r>
        <w:rPr>
          <w:color w:val="231F20"/>
          <w:spacing w:val="-10"/>
          <w:w w:val="105"/>
        </w:rPr>
        <w:t> </w:t>
      </w:r>
      <w:r>
        <w:rPr>
          <w:color w:val="231F20"/>
          <w:w w:val="105"/>
        </w:rPr>
        <w:t>menciona</w:t>
      </w:r>
      <w:r>
        <w:rPr>
          <w:color w:val="231F20"/>
          <w:spacing w:val="-10"/>
          <w:w w:val="105"/>
        </w:rPr>
        <w:t> </w:t>
      </w:r>
      <w:r>
        <w:rPr>
          <w:color w:val="231F20"/>
          <w:w w:val="105"/>
        </w:rPr>
        <w:t>el</w:t>
      </w:r>
      <w:r>
        <w:rPr>
          <w:color w:val="231F20"/>
          <w:spacing w:val="-10"/>
          <w:w w:val="105"/>
        </w:rPr>
        <w:t> </w:t>
      </w:r>
      <w:r>
        <w:rPr>
          <w:color w:val="231F20"/>
          <w:spacing w:val="-3"/>
          <w:w w:val="105"/>
        </w:rPr>
        <w:t>fomento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participación</w:t>
      </w:r>
      <w:r>
        <w:rPr>
          <w:color w:val="231F20"/>
          <w:spacing w:val="-10"/>
          <w:w w:val="105"/>
        </w:rPr>
        <w:t> </w:t>
      </w:r>
      <w:r>
        <w:rPr>
          <w:color w:val="231F20"/>
          <w:w w:val="105"/>
        </w:rPr>
        <w:t>ciudadana para</w:t>
      </w:r>
      <w:r>
        <w:rPr>
          <w:color w:val="231F20"/>
          <w:spacing w:val="-4"/>
          <w:w w:val="105"/>
        </w:rPr>
        <w:t> </w:t>
      </w:r>
      <w:r>
        <w:rPr>
          <w:color w:val="231F20"/>
          <w:w w:val="105"/>
        </w:rPr>
        <w:t>lograrlo.</w:t>
      </w:r>
      <w:r>
        <w:rPr>
          <w:color w:val="231F20"/>
          <w:spacing w:val="-4"/>
          <w:w w:val="105"/>
        </w:rPr>
        <w:t> </w:t>
      </w:r>
      <w:r>
        <w:rPr>
          <w:color w:val="231F20"/>
          <w:w w:val="105"/>
        </w:rPr>
        <w:t>Como</w:t>
      </w:r>
      <w:r>
        <w:rPr>
          <w:color w:val="231F20"/>
          <w:spacing w:val="-4"/>
          <w:w w:val="105"/>
        </w:rPr>
        <w:t> </w:t>
      </w:r>
      <w:r>
        <w:rPr>
          <w:color w:val="231F20"/>
          <w:w w:val="105"/>
        </w:rPr>
        <w:t>se</w:t>
      </w:r>
      <w:r>
        <w:rPr>
          <w:color w:val="231F20"/>
          <w:spacing w:val="-4"/>
          <w:w w:val="105"/>
        </w:rPr>
        <w:t> </w:t>
      </w:r>
      <w:r>
        <w:rPr>
          <w:color w:val="231F20"/>
          <w:w w:val="105"/>
        </w:rPr>
        <w:t>infiere</w:t>
      </w:r>
      <w:r>
        <w:rPr>
          <w:color w:val="231F20"/>
          <w:spacing w:val="-4"/>
          <w:w w:val="105"/>
        </w:rPr>
        <w:t> </w:t>
      </w:r>
      <w:r>
        <w:rPr>
          <w:color w:val="231F20"/>
          <w:w w:val="105"/>
        </w:rPr>
        <w:t>de</w:t>
      </w:r>
      <w:r>
        <w:rPr>
          <w:color w:val="231F20"/>
          <w:spacing w:val="-4"/>
          <w:w w:val="105"/>
        </w:rPr>
        <w:t> </w:t>
      </w:r>
      <w:r>
        <w:rPr>
          <w:color w:val="231F20"/>
          <w:w w:val="105"/>
        </w:rPr>
        <w:t>ello,</w:t>
      </w:r>
      <w:r>
        <w:rPr>
          <w:color w:val="231F20"/>
          <w:spacing w:val="-4"/>
          <w:w w:val="105"/>
        </w:rPr>
        <w:t> </w:t>
      </w:r>
      <w:r>
        <w:rPr>
          <w:color w:val="231F20"/>
          <w:w w:val="105"/>
        </w:rPr>
        <w:t>era</w:t>
      </w:r>
      <w:r>
        <w:rPr>
          <w:color w:val="231F20"/>
          <w:spacing w:val="-4"/>
          <w:w w:val="105"/>
        </w:rPr>
        <w:t> </w:t>
      </w:r>
      <w:r>
        <w:rPr>
          <w:color w:val="231F20"/>
          <w:w w:val="105"/>
        </w:rPr>
        <w:t>insuficiente</w:t>
      </w:r>
      <w:r>
        <w:rPr>
          <w:color w:val="231F20"/>
          <w:spacing w:val="-4"/>
          <w:w w:val="105"/>
        </w:rPr>
        <w:t> </w:t>
      </w:r>
      <w:r>
        <w:rPr>
          <w:color w:val="231F20"/>
          <w:w w:val="105"/>
        </w:rPr>
        <w:t>la</w:t>
      </w:r>
      <w:r>
        <w:rPr>
          <w:color w:val="231F20"/>
          <w:spacing w:val="-4"/>
          <w:w w:val="105"/>
        </w:rPr>
        <w:t> </w:t>
      </w:r>
      <w:r>
        <w:rPr>
          <w:color w:val="231F20"/>
          <w:w w:val="105"/>
        </w:rPr>
        <w:t>atención</w:t>
      </w:r>
      <w:r>
        <w:rPr>
          <w:color w:val="231F20"/>
          <w:spacing w:val="-4"/>
          <w:w w:val="105"/>
        </w:rPr>
        <w:t> </w:t>
      </w:r>
      <w:r>
        <w:rPr>
          <w:color w:val="231F20"/>
          <w:w w:val="105"/>
        </w:rPr>
        <w:t>que</w:t>
      </w:r>
      <w:r>
        <w:rPr>
          <w:color w:val="231F20"/>
          <w:spacing w:val="-4"/>
          <w:w w:val="105"/>
        </w:rPr>
        <w:t> </w:t>
      </w:r>
      <w:r>
        <w:rPr>
          <w:color w:val="231F20"/>
          <w:w w:val="105"/>
        </w:rPr>
        <w:t>dicha</w:t>
      </w:r>
      <w:r>
        <w:rPr>
          <w:color w:val="231F20"/>
          <w:spacing w:val="-4"/>
          <w:w w:val="105"/>
        </w:rPr>
        <w:t> </w:t>
      </w:r>
      <w:r>
        <w:rPr>
          <w:color w:val="231F20"/>
          <w:w w:val="105"/>
        </w:rPr>
        <w:t>participa- ción</w:t>
      </w:r>
      <w:r>
        <w:rPr>
          <w:color w:val="231F20"/>
          <w:spacing w:val="-10"/>
          <w:w w:val="105"/>
        </w:rPr>
        <w:t> </w:t>
      </w:r>
      <w:r>
        <w:rPr>
          <w:color w:val="231F20"/>
          <w:w w:val="105"/>
        </w:rPr>
        <w:t>tuvo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gestión</w:t>
      </w:r>
      <w:r>
        <w:rPr>
          <w:color w:val="231F20"/>
          <w:spacing w:val="-10"/>
          <w:w w:val="105"/>
        </w:rPr>
        <w:t> </w:t>
      </w:r>
      <w:r>
        <w:rPr>
          <w:color w:val="231F20"/>
          <w:w w:val="105"/>
        </w:rPr>
        <w:t>municipal</w:t>
      </w:r>
      <w:r>
        <w:rPr>
          <w:color w:val="231F20"/>
          <w:spacing w:val="-10"/>
          <w:w w:val="105"/>
        </w:rPr>
        <w:t> </w:t>
      </w:r>
      <w:r>
        <w:rPr>
          <w:color w:val="231F20"/>
          <w:w w:val="105"/>
        </w:rPr>
        <w:t>panista.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La Dirección General de Obras Públicas, tenía los consabidos objetivos de hacer las obras</w:t>
      </w:r>
      <w:r>
        <w:rPr>
          <w:color w:val="231F20"/>
          <w:spacing w:val="-8"/>
          <w:w w:val="105"/>
        </w:rPr>
        <w:t> </w:t>
      </w:r>
      <w:r>
        <w:rPr>
          <w:color w:val="231F20"/>
          <w:w w:val="105"/>
        </w:rPr>
        <w:t>vitales</w:t>
      </w:r>
      <w:r>
        <w:rPr>
          <w:color w:val="231F20"/>
          <w:spacing w:val="-8"/>
          <w:w w:val="105"/>
        </w:rPr>
        <w:t> </w:t>
      </w:r>
      <w:r>
        <w:rPr>
          <w:color w:val="231F20"/>
          <w:w w:val="105"/>
        </w:rPr>
        <w:t>para</w:t>
      </w:r>
      <w:r>
        <w:rPr>
          <w:color w:val="231F20"/>
          <w:spacing w:val="-8"/>
          <w:w w:val="105"/>
        </w:rPr>
        <w:t> </w:t>
      </w:r>
      <w:r>
        <w:rPr>
          <w:color w:val="231F20"/>
          <w:w w:val="105"/>
        </w:rPr>
        <w:t>asegurar</w:t>
      </w:r>
      <w:r>
        <w:rPr>
          <w:color w:val="231F20"/>
          <w:spacing w:val="-8"/>
          <w:w w:val="105"/>
        </w:rPr>
        <w:t> </w:t>
      </w:r>
      <w:r>
        <w:rPr>
          <w:color w:val="231F20"/>
          <w:w w:val="105"/>
        </w:rPr>
        <w:t>servicios</w:t>
      </w:r>
      <w:r>
        <w:rPr>
          <w:color w:val="231F20"/>
          <w:spacing w:val="-8"/>
          <w:w w:val="105"/>
        </w:rPr>
        <w:t> </w:t>
      </w:r>
      <w:r>
        <w:rPr>
          <w:color w:val="231F20"/>
          <w:w w:val="105"/>
        </w:rPr>
        <w:t>eficientes:</w:t>
      </w:r>
      <w:r>
        <w:rPr>
          <w:color w:val="231F20"/>
          <w:spacing w:val="-8"/>
          <w:w w:val="105"/>
        </w:rPr>
        <w:t> </w:t>
      </w:r>
      <w:r>
        <w:rPr>
          <w:color w:val="231F20"/>
          <w:w w:val="105"/>
        </w:rPr>
        <w:t>agua,</w:t>
      </w:r>
      <w:r>
        <w:rPr>
          <w:color w:val="231F20"/>
          <w:spacing w:val="-8"/>
          <w:w w:val="105"/>
        </w:rPr>
        <w:t> </w:t>
      </w:r>
      <w:r>
        <w:rPr>
          <w:color w:val="231F20"/>
          <w:w w:val="105"/>
        </w:rPr>
        <w:t>drenaje,</w:t>
      </w:r>
      <w:r>
        <w:rPr>
          <w:color w:val="231F20"/>
          <w:spacing w:val="-8"/>
          <w:w w:val="105"/>
        </w:rPr>
        <w:t> </w:t>
      </w:r>
      <w:r>
        <w:rPr>
          <w:color w:val="231F20"/>
          <w:w w:val="105"/>
        </w:rPr>
        <w:t>basura,</w:t>
      </w:r>
      <w:r>
        <w:rPr>
          <w:color w:val="231F20"/>
          <w:spacing w:val="-8"/>
          <w:w w:val="105"/>
        </w:rPr>
        <w:t> </w:t>
      </w:r>
      <w:r>
        <w:rPr>
          <w:color w:val="231F20"/>
          <w:w w:val="105"/>
        </w:rPr>
        <w:t>etc.</w:t>
      </w:r>
      <w:r>
        <w:rPr>
          <w:color w:val="231F20"/>
          <w:spacing w:val="-8"/>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caso es</w:t>
      </w:r>
      <w:r>
        <w:rPr>
          <w:color w:val="231F20"/>
          <w:spacing w:val="-11"/>
          <w:w w:val="105"/>
        </w:rPr>
        <w:t> </w:t>
      </w:r>
      <w:r>
        <w:rPr>
          <w:color w:val="231F20"/>
          <w:w w:val="105"/>
        </w:rPr>
        <w:t>de</w:t>
      </w:r>
      <w:r>
        <w:rPr>
          <w:color w:val="231F20"/>
          <w:spacing w:val="-11"/>
          <w:w w:val="105"/>
        </w:rPr>
        <w:t> </w:t>
      </w:r>
      <w:r>
        <w:rPr>
          <w:color w:val="231F20"/>
          <w:w w:val="105"/>
        </w:rPr>
        <w:t>destacar</w:t>
      </w:r>
      <w:r>
        <w:rPr>
          <w:color w:val="231F20"/>
          <w:spacing w:val="-11"/>
          <w:w w:val="105"/>
        </w:rPr>
        <w:t> </w:t>
      </w:r>
      <w:r>
        <w:rPr>
          <w:color w:val="231F20"/>
          <w:w w:val="105"/>
        </w:rPr>
        <w:t>el</w:t>
      </w:r>
      <w:r>
        <w:rPr>
          <w:color w:val="231F20"/>
          <w:spacing w:val="-11"/>
          <w:w w:val="105"/>
        </w:rPr>
        <w:t> </w:t>
      </w:r>
      <w:r>
        <w:rPr>
          <w:color w:val="231F20"/>
          <w:w w:val="105"/>
        </w:rPr>
        <w:t>hecho</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w w:val="105"/>
        </w:rPr>
        <w:t>panista</w:t>
      </w:r>
      <w:r>
        <w:rPr>
          <w:color w:val="231F20"/>
          <w:spacing w:val="-11"/>
          <w:w w:val="105"/>
        </w:rPr>
        <w:t> </w:t>
      </w:r>
      <w:r>
        <w:rPr>
          <w:color w:val="231F20"/>
          <w:w w:val="105"/>
        </w:rPr>
        <w:t>considerara</w:t>
      </w:r>
      <w:r>
        <w:rPr>
          <w:color w:val="231F20"/>
          <w:spacing w:val="-11"/>
          <w:w w:val="105"/>
        </w:rPr>
        <w:t> </w:t>
      </w:r>
      <w:r>
        <w:rPr>
          <w:color w:val="231F20"/>
          <w:w w:val="105"/>
        </w:rPr>
        <w:t>la</w:t>
      </w:r>
      <w:r>
        <w:rPr>
          <w:color w:val="231F20"/>
          <w:spacing w:val="-11"/>
          <w:w w:val="105"/>
        </w:rPr>
        <w:t> </w:t>
      </w:r>
      <w:r>
        <w:rPr>
          <w:color w:val="231F20"/>
          <w:w w:val="105"/>
        </w:rPr>
        <w:t>participación</w:t>
      </w:r>
      <w:r>
        <w:rPr>
          <w:color w:val="231F20"/>
          <w:spacing w:val="-11"/>
          <w:w w:val="105"/>
        </w:rPr>
        <w:t> </w:t>
      </w:r>
      <w:r>
        <w:rPr>
          <w:color w:val="231F20"/>
          <w:w w:val="105"/>
        </w:rPr>
        <w:t>de la</w:t>
      </w:r>
      <w:r>
        <w:rPr>
          <w:color w:val="231F20"/>
          <w:spacing w:val="-13"/>
          <w:w w:val="105"/>
        </w:rPr>
        <w:t> </w:t>
      </w:r>
      <w:r>
        <w:rPr>
          <w:color w:val="231F20"/>
          <w:w w:val="105"/>
        </w:rPr>
        <w:t>iniciativa</w:t>
      </w:r>
      <w:r>
        <w:rPr>
          <w:color w:val="231F20"/>
          <w:spacing w:val="-13"/>
          <w:w w:val="105"/>
        </w:rPr>
        <w:t> </w:t>
      </w:r>
      <w:r>
        <w:rPr>
          <w:color w:val="231F20"/>
          <w:w w:val="105"/>
        </w:rPr>
        <w:t>privada,</w:t>
      </w:r>
      <w:r>
        <w:rPr>
          <w:color w:val="231F20"/>
          <w:spacing w:val="-13"/>
          <w:w w:val="105"/>
        </w:rPr>
        <w:t> </w:t>
      </w:r>
      <w:r>
        <w:rPr>
          <w:color w:val="231F20"/>
          <w:w w:val="105"/>
        </w:rPr>
        <w:t>colocando</w:t>
      </w:r>
      <w:r>
        <w:rPr>
          <w:color w:val="231F20"/>
          <w:spacing w:val="-13"/>
          <w:w w:val="105"/>
        </w:rPr>
        <w:t> </w:t>
      </w:r>
      <w:r>
        <w:rPr>
          <w:color w:val="231F20"/>
          <w:w w:val="105"/>
        </w:rPr>
        <w:t>su</w:t>
      </w:r>
      <w:r>
        <w:rPr>
          <w:color w:val="231F20"/>
          <w:spacing w:val="-13"/>
          <w:w w:val="105"/>
        </w:rPr>
        <w:t> </w:t>
      </w:r>
      <w:r>
        <w:rPr>
          <w:color w:val="231F20"/>
          <w:spacing w:val="-3"/>
          <w:w w:val="105"/>
        </w:rPr>
        <w:t>fomento</w:t>
      </w:r>
      <w:r>
        <w:rPr>
          <w:color w:val="231F20"/>
          <w:spacing w:val="-13"/>
          <w:w w:val="105"/>
        </w:rPr>
        <w:t> </w:t>
      </w:r>
      <w:r>
        <w:rPr>
          <w:color w:val="231F20"/>
          <w:w w:val="105"/>
        </w:rPr>
        <w:t>como</w:t>
      </w:r>
      <w:r>
        <w:rPr>
          <w:color w:val="231F20"/>
          <w:spacing w:val="-13"/>
          <w:w w:val="105"/>
        </w:rPr>
        <w:t> </w:t>
      </w:r>
      <w:r>
        <w:rPr>
          <w:color w:val="231F20"/>
          <w:w w:val="105"/>
        </w:rPr>
        <w:t>una</w:t>
      </w:r>
      <w:r>
        <w:rPr>
          <w:color w:val="231F20"/>
          <w:spacing w:val="-13"/>
          <w:w w:val="105"/>
        </w:rPr>
        <w:t> </w:t>
      </w:r>
      <w:r>
        <w:rPr>
          <w:color w:val="231F20"/>
          <w:w w:val="105"/>
        </w:rPr>
        <w:t>de</w:t>
      </w:r>
      <w:r>
        <w:rPr>
          <w:color w:val="231F20"/>
          <w:spacing w:val="-13"/>
          <w:w w:val="105"/>
        </w:rPr>
        <w:t> </w:t>
      </w:r>
      <w:r>
        <w:rPr>
          <w:color w:val="231F20"/>
          <w:w w:val="105"/>
        </w:rPr>
        <w:t>sus</w:t>
      </w:r>
      <w:r>
        <w:rPr>
          <w:color w:val="231F20"/>
          <w:spacing w:val="-13"/>
          <w:w w:val="105"/>
        </w:rPr>
        <w:t> </w:t>
      </w:r>
      <w:r>
        <w:rPr>
          <w:color w:val="231F20"/>
          <w:w w:val="105"/>
        </w:rPr>
        <w:t>tareas</w:t>
      </w:r>
      <w:r>
        <w:rPr>
          <w:color w:val="231F20"/>
          <w:spacing w:val="-13"/>
          <w:w w:val="105"/>
        </w:rPr>
        <w:t> </w:t>
      </w:r>
      <w:r>
        <w:rPr>
          <w:color w:val="231F20"/>
          <w:w w:val="105"/>
        </w:rPr>
        <w:t>principales:</w:t>
      </w:r>
    </w:p>
    <w:p>
      <w:pPr>
        <w:pStyle w:val="BodyText"/>
        <w:spacing w:before="1"/>
        <w:rPr>
          <w:sz w:val="26"/>
        </w:rPr>
      </w:pPr>
    </w:p>
    <w:p>
      <w:pPr>
        <w:pStyle w:val="BodyText"/>
        <w:spacing w:line="285" w:lineRule="auto"/>
        <w:ind w:left="110" w:right="107"/>
        <w:jc w:val="both"/>
      </w:pPr>
      <w:r>
        <w:rPr>
          <w:color w:val="231F20"/>
          <w:spacing w:val="-3"/>
          <w:w w:val="105"/>
        </w:rPr>
        <w:t>Promover</w:t>
      </w:r>
      <w:r>
        <w:rPr>
          <w:color w:val="231F20"/>
          <w:spacing w:val="-19"/>
          <w:w w:val="105"/>
        </w:rPr>
        <w:t> </w:t>
      </w:r>
      <w:r>
        <w:rPr>
          <w:color w:val="231F20"/>
          <w:w w:val="105"/>
        </w:rPr>
        <w:t>la</w:t>
      </w:r>
      <w:r>
        <w:rPr>
          <w:color w:val="231F20"/>
          <w:spacing w:val="-19"/>
          <w:w w:val="105"/>
        </w:rPr>
        <w:t> </w:t>
      </w:r>
      <w:r>
        <w:rPr>
          <w:color w:val="231F20"/>
          <w:w w:val="105"/>
        </w:rPr>
        <w:t>inversión</w:t>
      </w:r>
      <w:r>
        <w:rPr>
          <w:color w:val="231F20"/>
          <w:spacing w:val="-19"/>
          <w:w w:val="105"/>
        </w:rPr>
        <w:t> </w:t>
      </w:r>
      <w:r>
        <w:rPr>
          <w:color w:val="231F20"/>
          <w:w w:val="105"/>
        </w:rPr>
        <w:t>privada</w:t>
      </w:r>
      <w:r>
        <w:rPr>
          <w:color w:val="231F20"/>
          <w:spacing w:val="-19"/>
          <w:w w:val="105"/>
        </w:rPr>
        <w:t> </w:t>
      </w:r>
      <w:r>
        <w:rPr>
          <w:color w:val="231F20"/>
          <w:w w:val="105"/>
        </w:rPr>
        <w:t>mediante</w:t>
      </w:r>
      <w:r>
        <w:rPr>
          <w:color w:val="231F20"/>
          <w:spacing w:val="-19"/>
          <w:w w:val="105"/>
        </w:rPr>
        <w:t> </w:t>
      </w:r>
      <w:r>
        <w:rPr>
          <w:color w:val="231F20"/>
          <w:w w:val="105"/>
        </w:rPr>
        <w:t>la</w:t>
      </w:r>
      <w:r>
        <w:rPr>
          <w:color w:val="231F20"/>
          <w:spacing w:val="-19"/>
          <w:w w:val="105"/>
        </w:rPr>
        <w:t> </w:t>
      </w:r>
      <w:r>
        <w:rPr>
          <w:color w:val="231F20"/>
          <w:w w:val="105"/>
        </w:rPr>
        <w:t>participación</w:t>
      </w:r>
      <w:r>
        <w:rPr>
          <w:color w:val="231F20"/>
          <w:spacing w:val="-19"/>
          <w:w w:val="105"/>
        </w:rPr>
        <w:t> </w:t>
      </w:r>
      <w:r>
        <w:rPr>
          <w:color w:val="231F20"/>
          <w:w w:val="105"/>
        </w:rPr>
        <w:t>de</w:t>
      </w:r>
      <w:r>
        <w:rPr>
          <w:color w:val="231F20"/>
          <w:spacing w:val="-19"/>
          <w:w w:val="105"/>
        </w:rPr>
        <w:t> </w:t>
      </w:r>
      <w:r>
        <w:rPr>
          <w:color w:val="231F20"/>
          <w:w w:val="105"/>
        </w:rPr>
        <w:t>empresas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mejoramien- to de la imagen urbana del municipio en áreas municipales, realizando acciones ten- dientes</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creación,</w:t>
      </w:r>
      <w:r>
        <w:rPr>
          <w:color w:val="231F20"/>
          <w:spacing w:val="-9"/>
          <w:w w:val="105"/>
        </w:rPr>
        <w:t> </w:t>
      </w:r>
      <w:r>
        <w:rPr>
          <w:color w:val="231F20"/>
          <w:w w:val="105"/>
        </w:rPr>
        <w:t>mantenimiento</w:t>
      </w:r>
      <w:r>
        <w:rPr>
          <w:color w:val="231F20"/>
          <w:spacing w:val="-9"/>
          <w:w w:val="105"/>
        </w:rPr>
        <w:t> </w:t>
      </w:r>
      <w:r>
        <w:rPr>
          <w:color w:val="231F20"/>
          <w:w w:val="105"/>
        </w:rPr>
        <w:t>y</w:t>
      </w:r>
      <w:r>
        <w:rPr>
          <w:color w:val="231F20"/>
          <w:spacing w:val="-9"/>
          <w:w w:val="105"/>
        </w:rPr>
        <w:t> </w:t>
      </w:r>
      <w:r>
        <w:rPr>
          <w:color w:val="231F20"/>
          <w:w w:val="105"/>
        </w:rPr>
        <w:t>conservación</w:t>
      </w:r>
      <w:r>
        <w:rPr>
          <w:color w:val="231F20"/>
          <w:spacing w:val="-9"/>
          <w:w w:val="105"/>
        </w:rPr>
        <w:t> </w:t>
      </w:r>
      <w:r>
        <w:rPr>
          <w:color w:val="231F20"/>
          <w:w w:val="105"/>
        </w:rPr>
        <w:t>de</w:t>
      </w:r>
      <w:r>
        <w:rPr>
          <w:color w:val="231F20"/>
          <w:spacing w:val="-9"/>
          <w:w w:val="105"/>
        </w:rPr>
        <w:t> </w:t>
      </w:r>
      <w:r>
        <w:rPr>
          <w:color w:val="231F20"/>
          <w:w w:val="105"/>
        </w:rPr>
        <w:t>jardines,</w:t>
      </w:r>
      <w:r>
        <w:rPr>
          <w:color w:val="231F20"/>
          <w:spacing w:val="-9"/>
          <w:w w:val="105"/>
        </w:rPr>
        <w:t> </w:t>
      </w:r>
      <w:r>
        <w:rPr>
          <w:color w:val="231F20"/>
          <w:w w:val="105"/>
        </w:rPr>
        <w:t>camellones,</w:t>
      </w:r>
      <w:r>
        <w:rPr>
          <w:color w:val="231F20"/>
          <w:spacing w:val="-9"/>
          <w:w w:val="105"/>
        </w:rPr>
        <w:t> </w:t>
      </w:r>
      <w:r>
        <w:rPr>
          <w:color w:val="231F20"/>
          <w:w w:val="105"/>
        </w:rPr>
        <w:t>cuchillas y</w:t>
      </w:r>
      <w:r>
        <w:rPr>
          <w:color w:val="231F20"/>
          <w:spacing w:val="-15"/>
          <w:w w:val="105"/>
        </w:rPr>
        <w:t> </w:t>
      </w:r>
      <w:r>
        <w:rPr>
          <w:color w:val="231F20"/>
          <w:w w:val="105"/>
        </w:rPr>
        <w:t>demás</w:t>
      </w:r>
      <w:r>
        <w:rPr>
          <w:color w:val="231F20"/>
          <w:spacing w:val="-15"/>
          <w:w w:val="105"/>
        </w:rPr>
        <w:t> </w:t>
      </w:r>
      <w:r>
        <w:rPr>
          <w:color w:val="231F20"/>
          <w:w w:val="105"/>
        </w:rPr>
        <w:t>áreas</w:t>
      </w:r>
      <w:r>
        <w:rPr>
          <w:color w:val="231F20"/>
          <w:spacing w:val="-15"/>
          <w:w w:val="105"/>
        </w:rPr>
        <w:t> </w:t>
      </w:r>
      <w:r>
        <w:rPr>
          <w:color w:val="231F20"/>
          <w:w w:val="105"/>
        </w:rPr>
        <w:t>de</w:t>
      </w:r>
      <w:r>
        <w:rPr>
          <w:color w:val="231F20"/>
          <w:spacing w:val="-15"/>
          <w:w w:val="105"/>
        </w:rPr>
        <w:t> </w:t>
      </w:r>
      <w:r>
        <w:rPr>
          <w:color w:val="231F20"/>
          <w:w w:val="105"/>
        </w:rPr>
        <w:t>uso</w:t>
      </w:r>
      <w:r>
        <w:rPr>
          <w:color w:val="231F20"/>
          <w:spacing w:val="-15"/>
          <w:w w:val="105"/>
        </w:rPr>
        <w:t> </w:t>
      </w:r>
      <w:r>
        <w:rPr>
          <w:color w:val="231F20"/>
          <w:w w:val="105"/>
        </w:rPr>
        <w:t>común</w:t>
      </w:r>
      <w:r>
        <w:rPr>
          <w:color w:val="231F20"/>
          <w:spacing w:val="-15"/>
          <w:w w:val="105"/>
        </w:rPr>
        <w:t> </w:t>
      </w:r>
      <w:r>
        <w:rPr>
          <w:color w:val="231F20"/>
          <w:w w:val="105"/>
        </w:rPr>
        <w:t>municipales</w:t>
      </w:r>
      <w:r>
        <w:rPr>
          <w:color w:val="231F20"/>
          <w:spacing w:val="-15"/>
          <w:w w:val="105"/>
        </w:rPr>
        <w:t> </w:t>
      </w:r>
      <w:r>
        <w:rPr>
          <w:color w:val="231F20"/>
          <w:w w:val="105"/>
        </w:rPr>
        <w:t>(Plan</w:t>
      </w:r>
      <w:r>
        <w:rPr>
          <w:color w:val="231F20"/>
          <w:spacing w:val="-15"/>
          <w:w w:val="105"/>
        </w:rPr>
        <w:t> </w:t>
      </w:r>
      <w:r>
        <w:rPr>
          <w:color w:val="231F20"/>
          <w:w w:val="105"/>
        </w:rPr>
        <w:t>de</w:t>
      </w:r>
      <w:r>
        <w:rPr>
          <w:color w:val="231F20"/>
          <w:spacing w:val="-15"/>
          <w:w w:val="105"/>
        </w:rPr>
        <w:t> </w:t>
      </w:r>
      <w:r>
        <w:rPr>
          <w:color w:val="231F20"/>
          <w:w w:val="105"/>
        </w:rPr>
        <w:t>Desarrollo</w:t>
      </w:r>
      <w:r>
        <w:rPr>
          <w:color w:val="231F20"/>
          <w:spacing w:val="-15"/>
          <w:w w:val="105"/>
        </w:rPr>
        <w:t> </w:t>
      </w:r>
      <w:r>
        <w:rPr>
          <w:color w:val="231F20"/>
          <w:w w:val="105"/>
        </w:rPr>
        <w:t>Municipal,</w:t>
      </w:r>
      <w:r>
        <w:rPr>
          <w:color w:val="231F20"/>
          <w:spacing w:val="-15"/>
          <w:w w:val="105"/>
        </w:rPr>
        <w:t> </w:t>
      </w:r>
      <w:r>
        <w:rPr>
          <w:color w:val="231F20"/>
          <w:w w:val="105"/>
        </w:rPr>
        <w:t>2006)</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8"/>
          <w:w w:val="105"/>
        </w:rPr>
        <w:t> </w:t>
      </w:r>
      <w:r>
        <w:rPr>
          <w:color w:val="231F20"/>
          <w:spacing w:val="-3"/>
          <w:w w:val="105"/>
        </w:rPr>
        <w:t>Dirección</w:t>
      </w:r>
      <w:r>
        <w:rPr>
          <w:color w:val="231F20"/>
          <w:spacing w:val="-18"/>
          <w:w w:val="105"/>
        </w:rPr>
        <w:t> </w:t>
      </w:r>
      <w:r>
        <w:rPr>
          <w:color w:val="231F20"/>
          <w:w w:val="105"/>
        </w:rPr>
        <w:t>General</w:t>
      </w:r>
      <w:r>
        <w:rPr>
          <w:color w:val="231F20"/>
          <w:spacing w:val="-18"/>
          <w:w w:val="105"/>
        </w:rPr>
        <w:t> </w:t>
      </w:r>
      <w:r>
        <w:rPr>
          <w:color w:val="231F20"/>
          <w:w w:val="105"/>
        </w:rPr>
        <w:t>de</w:t>
      </w:r>
      <w:r>
        <w:rPr>
          <w:color w:val="231F20"/>
          <w:spacing w:val="-18"/>
          <w:w w:val="105"/>
        </w:rPr>
        <w:t> </w:t>
      </w:r>
      <w:r>
        <w:rPr>
          <w:color w:val="231F20"/>
          <w:spacing w:val="-3"/>
          <w:w w:val="105"/>
        </w:rPr>
        <w:t>Ecología</w:t>
      </w:r>
      <w:r>
        <w:rPr>
          <w:color w:val="231F20"/>
          <w:spacing w:val="-18"/>
          <w:w w:val="105"/>
        </w:rPr>
        <w:t> </w:t>
      </w:r>
      <w:r>
        <w:rPr>
          <w:color w:val="231F20"/>
          <w:spacing w:val="-3"/>
          <w:w w:val="105"/>
        </w:rPr>
        <w:t>enfrentó</w:t>
      </w:r>
      <w:r>
        <w:rPr>
          <w:color w:val="231F20"/>
          <w:spacing w:val="-18"/>
          <w:w w:val="105"/>
        </w:rPr>
        <w:t> </w:t>
      </w:r>
      <w:r>
        <w:rPr>
          <w:color w:val="231F20"/>
          <w:spacing w:val="-3"/>
          <w:w w:val="105"/>
        </w:rPr>
        <w:t>graves</w:t>
      </w:r>
      <w:r>
        <w:rPr>
          <w:color w:val="231F20"/>
          <w:spacing w:val="-18"/>
          <w:w w:val="105"/>
        </w:rPr>
        <w:t> </w:t>
      </w:r>
      <w:r>
        <w:rPr>
          <w:color w:val="231F20"/>
          <w:spacing w:val="-4"/>
          <w:w w:val="105"/>
        </w:rPr>
        <w:t>problemas</w:t>
      </w:r>
      <w:r>
        <w:rPr>
          <w:color w:val="231F20"/>
          <w:spacing w:val="-18"/>
          <w:w w:val="105"/>
        </w:rPr>
        <w:t> </w:t>
      </w:r>
      <w:r>
        <w:rPr>
          <w:color w:val="231F20"/>
          <w:spacing w:val="-3"/>
          <w:w w:val="105"/>
        </w:rPr>
        <w:t>que</w:t>
      </w:r>
      <w:r>
        <w:rPr>
          <w:color w:val="231F20"/>
          <w:spacing w:val="-18"/>
          <w:w w:val="105"/>
        </w:rPr>
        <w:t> </w:t>
      </w:r>
      <w:r>
        <w:rPr>
          <w:color w:val="231F20"/>
          <w:spacing w:val="-3"/>
          <w:w w:val="105"/>
        </w:rPr>
        <w:t>no</w:t>
      </w:r>
      <w:r>
        <w:rPr>
          <w:color w:val="231F20"/>
          <w:spacing w:val="-18"/>
          <w:w w:val="105"/>
        </w:rPr>
        <w:t> </w:t>
      </w:r>
      <w:r>
        <w:rPr>
          <w:color w:val="231F20"/>
          <w:w w:val="105"/>
        </w:rPr>
        <w:t>eran</w:t>
      </w:r>
      <w:r>
        <w:rPr>
          <w:color w:val="231F20"/>
          <w:spacing w:val="-18"/>
          <w:w w:val="105"/>
        </w:rPr>
        <w:t> </w:t>
      </w:r>
      <w:r>
        <w:rPr>
          <w:color w:val="231F20"/>
          <w:spacing w:val="-3"/>
          <w:w w:val="105"/>
        </w:rPr>
        <w:t>adecuadamente marcados </w:t>
      </w:r>
      <w:r>
        <w:rPr>
          <w:color w:val="231F20"/>
          <w:w w:val="105"/>
        </w:rPr>
        <w:t>en el Plan de </w:t>
      </w:r>
      <w:r>
        <w:rPr>
          <w:color w:val="231F20"/>
          <w:spacing w:val="-3"/>
          <w:w w:val="105"/>
        </w:rPr>
        <w:t>Desarrollo. </w:t>
      </w:r>
      <w:r>
        <w:rPr>
          <w:color w:val="231F20"/>
          <w:w w:val="105"/>
        </w:rPr>
        <w:t>Se aludía a la </w:t>
      </w:r>
      <w:r>
        <w:rPr>
          <w:color w:val="231F20"/>
          <w:spacing w:val="-3"/>
          <w:w w:val="105"/>
        </w:rPr>
        <w:t>contaminación ambiental por </w:t>
      </w:r>
      <w:r>
        <w:rPr>
          <w:color w:val="231F20"/>
          <w:w w:val="105"/>
        </w:rPr>
        <w:t>parte de </w:t>
      </w:r>
      <w:r>
        <w:rPr>
          <w:color w:val="231F20"/>
          <w:spacing w:val="-3"/>
          <w:w w:val="105"/>
        </w:rPr>
        <w:t>empresas </w:t>
      </w:r>
      <w:r>
        <w:rPr>
          <w:color w:val="231F20"/>
          <w:w w:val="105"/>
        </w:rPr>
        <w:t>industriales y </w:t>
      </w:r>
      <w:r>
        <w:rPr>
          <w:color w:val="231F20"/>
          <w:spacing w:val="-3"/>
          <w:w w:val="105"/>
        </w:rPr>
        <w:t>comerciales, </w:t>
      </w:r>
      <w:r>
        <w:rPr>
          <w:color w:val="231F20"/>
          <w:w w:val="105"/>
        </w:rPr>
        <w:t>así </w:t>
      </w:r>
      <w:r>
        <w:rPr>
          <w:color w:val="231F20"/>
          <w:spacing w:val="-4"/>
          <w:w w:val="105"/>
        </w:rPr>
        <w:t>como </w:t>
      </w:r>
      <w:r>
        <w:rPr>
          <w:color w:val="231F20"/>
          <w:w w:val="105"/>
        </w:rPr>
        <w:t>la </w:t>
      </w:r>
      <w:r>
        <w:rPr>
          <w:color w:val="231F20"/>
          <w:spacing w:val="-4"/>
          <w:w w:val="105"/>
        </w:rPr>
        <w:t>producida </w:t>
      </w:r>
      <w:r>
        <w:rPr>
          <w:color w:val="231F20"/>
          <w:spacing w:val="-3"/>
          <w:w w:val="105"/>
        </w:rPr>
        <w:t>por automóviles, pero no </w:t>
      </w:r>
      <w:r>
        <w:rPr>
          <w:color w:val="231F20"/>
          <w:w w:val="105"/>
        </w:rPr>
        <w:t>se especificaba</w:t>
      </w:r>
      <w:r>
        <w:rPr>
          <w:color w:val="231F20"/>
          <w:spacing w:val="-15"/>
          <w:w w:val="105"/>
        </w:rPr>
        <w:t> </w:t>
      </w:r>
      <w:r>
        <w:rPr>
          <w:color w:val="231F20"/>
          <w:w w:val="105"/>
        </w:rPr>
        <w:t>cuáles</w:t>
      </w:r>
      <w:r>
        <w:rPr>
          <w:color w:val="231F20"/>
          <w:spacing w:val="-15"/>
          <w:w w:val="105"/>
        </w:rPr>
        <w:t> </w:t>
      </w:r>
      <w:r>
        <w:rPr>
          <w:color w:val="231F20"/>
          <w:w w:val="105"/>
        </w:rPr>
        <w:t>serían</w:t>
      </w:r>
      <w:r>
        <w:rPr>
          <w:color w:val="231F20"/>
          <w:spacing w:val="-15"/>
          <w:w w:val="105"/>
        </w:rPr>
        <w:t> </w:t>
      </w:r>
      <w:r>
        <w:rPr>
          <w:color w:val="231F20"/>
          <w:w w:val="105"/>
        </w:rPr>
        <w:t>las</w:t>
      </w:r>
      <w:r>
        <w:rPr>
          <w:color w:val="231F20"/>
          <w:spacing w:val="-15"/>
          <w:w w:val="105"/>
        </w:rPr>
        <w:t> </w:t>
      </w:r>
      <w:r>
        <w:rPr>
          <w:color w:val="231F20"/>
          <w:w w:val="105"/>
        </w:rPr>
        <w:t>líneas</w:t>
      </w:r>
      <w:r>
        <w:rPr>
          <w:color w:val="231F20"/>
          <w:spacing w:val="-15"/>
          <w:w w:val="105"/>
        </w:rPr>
        <w:t> </w:t>
      </w:r>
      <w:r>
        <w:rPr>
          <w:color w:val="231F20"/>
          <w:spacing w:val="-3"/>
          <w:w w:val="105"/>
        </w:rPr>
        <w:t>concretas</w:t>
      </w:r>
      <w:r>
        <w:rPr>
          <w:color w:val="231F20"/>
          <w:spacing w:val="-15"/>
          <w:w w:val="105"/>
        </w:rPr>
        <w:t> </w:t>
      </w:r>
      <w:r>
        <w:rPr>
          <w:color w:val="231F20"/>
          <w:w w:val="105"/>
        </w:rPr>
        <w:t>de</w:t>
      </w:r>
      <w:r>
        <w:rPr>
          <w:color w:val="231F20"/>
          <w:spacing w:val="-15"/>
          <w:w w:val="105"/>
        </w:rPr>
        <w:t> </w:t>
      </w:r>
      <w:r>
        <w:rPr>
          <w:color w:val="231F20"/>
          <w:spacing w:val="-4"/>
          <w:w w:val="105"/>
        </w:rPr>
        <w:t>acción.</w:t>
      </w:r>
      <w:r>
        <w:rPr>
          <w:color w:val="231F20"/>
          <w:spacing w:val="-15"/>
          <w:w w:val="105"/>
        </w:rPr>
        <w:t> </w:t>
      </w:r>
      <w:r>
        <w:rPr>
          <w:color w:val="231F20"/>
          <w:w w:val="105"/>
        </w:rPr>
        <w:t>Aquí</w:t>
      </w:r>
      <w:r>
        <w:rPr>
          <w:color w:val="231F20"/>
          <w:spacing w:val="-15"/>
          <w:w w:val="105"/>
        </w:rPr>
        <w:t> </w:t>
      </w:r>
      <w:r>
        <w:rPr>
          <w:color w:val="231F20"/>
          <w:spacing w:val="-3"/>
          <w:w w:val="105"/>
        </w:rPr>
        <w:t>también</w:t>
      </w:r>
      <w:r>
        <w:rPr>
          <w:color w:val="231F20"/>
          <w:spacing w:val="-15"/>
          <w:w w:val="105"/>
        </w:rPr>
        <w:t> </w:t>
      </w:r>
      <w:r>
        <w:rPr>
          <w:color w:val="231F20"/>
          <w:w w:val="105"/>
        </w:rPr>
        <w:t>se</w:t>
      </w:r>
      <w:r>
        <w:rPr>
          <w:color w:val="231F20"/>
          <w:spacing w:val="-15"/>
          <w:w w:val="105"/>
        </w:rPr>
        <w:t> </w:t>
      </w:r>
      <w:r>
        <w:rPr>
          <w:color w:val="231F20"/>
          <w:w w:val="105"/>
        </w:rPr>
        <w:t>citaba</w:t>
      </w:r>
      <w:r>
        <w:rPr>
          <w:color w:val="231F20"/>
          <w:spacing w:val="-15"/>
          <w:w w:val="105"/>
        </w:rPr>
        <w:t> </w:t>
      </w:r>
      <w:r>
        <w:rPr>
          <w:color w:val="231F20"/>
          <w:w w:val="105"/>
        </w:rPr>
        <w:t>la</w:t>
      </w:r>
      <w:r>
        <w:rPr>
          <w:color w:val="231F20"/>
          <w:spacing w:val="-15"/>
          <w:w w:val="105"/>
        </w:rPr>
        <w:t> </w:t>
      </w:r>
      <w:r>
        <w:rPr>
          <w:color w:val="231F20"/>
          <w:w w:val="105"/>
        </w:rPr>
        <w:t>parti- </w:t>
      </w:r>
      <w:r>
        <w:rPr>
          <w:color w:val="231F20"/>
          <w:spacing w:val="-4"/>
          <w:w w:val="105"/>
        </w:rPr>
        <w:t>cipación </w:t>
      </w:r>
      <w:r>
        <w:rPr>
          <w:color w:val="231F20"/>
          <w:spacing w:val="-3"/>
          <w:w w:val="105"/>
        </w:rPr>
        <w:t>ciudadana, pero </w:t>
      </w:r>
      <w:r>
        <w:rPr>
          <w:color w:val="231F20"/>
          <w:w w:val="105"/>
        </w:rPr>
        <w:t>en el </w:t>
      </w:r>
      <w:r>
        <w:rPr>
          <w:color w:val="231F20"/>
          <w:spacing w:val="-3"/>
          <w:w w:val="105"/>
        </w:rPr>
        <w:t>sentido </w:t>
      </w:r>
      <w:r>
        <w:rPr>
          <w:color w:val="231F20"/>
          <w:w w:val="105"/>
        </w:rPr>
        <w:t>de </w:t>
      </w:r>
      <w:r>
        <w:rPr>
          <w:color w:val="231F20"/>
          <w:spacing w:val="-3"/>
          <w:w w:val="105"/>
        </w:rPr>
        <w:t>fomentar entre los ciudadanos </w:t>
      </w:r>
      <w:r>
        <w:rPr>
          <w:color w:val="231F20"/>
          <w:w w:val="105"/>
        </w:rPr>
        <w:t>la cultura de la </w:t>
      </w:r>
      <w:r>
        <w:rPr>
          <w:color w:val="231F20"/>
          <w:spacing w:val="-4"/>
          <w:w w:val="105"/>
        </w:rPr>
        <w:t>protección</w:t>
      </w:r>
      <w:r>
        <w:rPr>
          <w:color w:val="231F20"/>
          <w:spacing w:val="-17"/>
          <w:w w:val="105"/>
        </w:rPr>
        <w:t> </w:t>
      </w:r>
      <w:r>
        <w:rPr>
          <w:color w:val="231F20"/>
          <w:spacing w:val="-3"/>
          <w:w w:val="105"/>
        </w:rPr>
        <w:t>del</w:t>
      </w:r>
      <w:r>
        <w:rPr>
          <w:color w:val="231F20"/>
          <w:spacing w:val="-17"/>
          <w:w w:val="105"/>
        </w:rPr>
        <w:t> </w:t>
      </w:r>
      <w:r>
        <w:rPr>
          <w:color w:val="231F20"/>
          <w:spacing w:val="-3"/>
          <w:w w:val="105"/>
        </w:rPr>
        <w:t>ambiente</w:t>
      </w:r>
      <w:r>
        <w:rPr>
          <w:color w:val="231F20"/>
          <w:spacing w:val="-17"/>
          <w:w w:val="105"/>
        </w:rPr>
        <w:t> </w:t>
      </w:r>
      <w:r>
        <w:rPr>
          <w:color w:val="231F20"/>
          <w:w w:val="105"/>
        </w:rPr>
        <w:t>mediante</w:t>
      </w:r>
      <w:r>
        <w:rPr>
          <w:color w:val="231F20"/>
          <w:spacing w:val="-17"/>
          <w:w w:val="105"/>
        </w:rPr>
        <w:t> </w:t>
      </w:r>
      <w:r>
        <w:rPr>
          <w:color w:val="231F20"/>
          <w:w w:val="105"/>
        </w:rPr>
        <w:t>cursos</w:t>
      </w:r>
      <w:r>
        <w:rPr>
          <w:color w:val="231F20"/>
          <w:spacing w:val="-17"/>
          <w:w w:val="105"/>
        </w:rPr>
        <w:t> </w:t>
      </w:r>
      <w:r>
        <w:rPr>
          <w:color w:val="231F20"/>
          <w:w w:val="105"/>
        </w:rPr>
        <w:t>dirigidos</w:t>
      </w:r>
      <w:r>
        <w:rPr>
          <w:color w:val="231F20"/>
          <w:spacing w:val="-17"/>
          <w:w w:val="105"/>
        </w:rPr>
        <w:t> </w:t>
      </w:r>
      <w:r>
        <w:rPr>
          <w:color w:val="231F20"/>
          <w:w w:val="105"/>
        </w:rPr>
        <w:t>a</w:t>
      </w:r>
      <w:r>
        <w:rPr>
          <w:color w:val="231F20"/>
          <w:spacing w:val="-17"/>
          <w:w w:val="105"/>
        </w:rPr>
        <w:t> </w:t>
      </w:r>
      <w:r>
        <w:rPr>
          <w:color w:val="231F20"/>
          <w:spacing w:val="-3"/>
          <w:w w:val="105"/>
        </w:rPr>
        <w:t>organizaciones</w:t>
      </w:r>
      <w:r>
        <w:rPr>
          <w:color w:val="231F20"/>
          <w:spacing w:val="-17"/>
          <w:w w:val="105"/>
        </w:rPr>
        <w:t> </w:t>
      </w:r>
      <w:r>
        <w:rPr>
          <w:color w:val="231F20"/>
          <w:w w:val="105"/>
        </w:rPr>
        <w:t>“de</w:t>
      </w:r>
      <w:r>
        <w:rPr>
          <w:color w:val="231F20"/>
          <w:spacing w:val="-17"/>
          <w:w w:val="105"/>
        </w:rPr>
        <w:t> </w:t>
      </w:r>
      <w:r>
        <w:rPr>
          <w:color w:val="231F20"/>
          <w:spacing w:val="-3"/>
          <w:w w:val="105"/>
        </w:rPr>
        <w:t>todo</w:t>
      </w:r>
      <w:r>
        <w:rPr>
          <w:color w:val="231F20"/>
          <w:spacing w:val="-17"/>
          <w:w w:val="105"/>
        </w:rPr>
        <w:t> </w:t>
      </w:r>
      <w:r>
        <w:rPr>
          <w:color w:val="231F20"/>
          <w:spacing w:val="-6"/>
          <w:w w:val="105"/>
        </w:rPr>
        <w:t>tipo”.</w:t>
      </w:r>
    </w:p>
    <w:p>
      <w:pPr>
        <w:pStyle w:val="BodyText"/>
        <w:spacing w:before="1"/>
        <w:rPr>
          <w:sz w:val="26"/>
        </w:rPr>
      </w:pPr>
    </w:p>
    <w:p>
      <w:pPr>
        <w:pStyle w:val="BodyText"/>
        <w:spacing w:line="285" w:lineRule="auto"/>
        <w:ind w:left="110" w:right="107"/>
        <w:jc w:val="both"/>
      </w:pPr>
      <w:r>
        <w:rPr>
          <w:color w:val="231F20"/>
          <w:w w:val="105"/>
        </w:rPr>
        <w:t>Como parte de la Unidad Estratégica de Desarrollo y Fortalecimiento Económico, la Dirección General de Desarrollo y </w:t>
      </w:r>
      <w:r>
        <w:rPr>
          <w:color w:val="231F20"/>
          <w:spacing w:val="-3"/>
          <w:w w:val="105"/>
        </w:rPr>
        <w:t>Fomento </w:t>
      </w:r>
      <w:r>
        <w:rPr>
          <w:color w:val="231F20"/>
          <w:w w:val="105"/>
        </w:rPr>
        <w:t>Económico tuvo como tarea principal la promoción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inversión</w:t>
      </w:r>
      <w:r>
        <w:rPr>
          <w:color w:val="231F20"/>
          <w:spacing w:val="-20"/>
          <w:w w:val="105"/>
        </w:rPr>
        <w:t> </w:t>
      </w:r>
      <w:r>
        <w:rPr>
          <w:color w:val="231F20"/>
          <w:w w:val="105"/>
        </w:rPr>
        <w:t>pública</w:t>
      </w:r>
      <w:r>
        <w:rPr>
          <w:color w:val="231F20"/>
          <w:spacing w:val="-20"/>
          <w:w w:val="105"/>
        </w:rPr>
        <w:t> </w:t>
      </w:r>
      <w:r>
        <w:rPr>
          <w:color w:val="231F20"/>
          <w:w w:val="105"/>
        </w:rPr>
        <w:t>y</w:t>
      </w:r>
      <w:r>
        <w:rPr>
          <w:color w:val="231F20"/>
          <w:spacing w:val="-20"/>
          <w:w w:val="105"/>
        </w:rPr>
        <w:t> </w:t>
      </w:r>
      <w:r>
        <w:rPr>
          <w:color w:val="231F20"/>
          <w:w w:val="105"/>
        </w:rPr>
        <w:t>privada</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dar</w:t>
      </w:r>
      <w:r>
        <w:rPr>
          <w:color w:val="231F20"/>
          <w:spacing w:val="-20"/>
          <w:w w:val="105"/>
        </w:rPr>
        <w:t> </w:t>
      </w:r>
      <w:r>
        <w:rPr>
          <w:color w:val="231F20"/>
          <w:w w:val="105"/>
        </w:rPr>
        <w:t>a</w:t>
      </w:r>
      <w:r>
        <w:rPr>
          <w:color w:val="231F20"/>
          <w:spacing w:val="-20"/>
          <w:w w:val="105"/>
        </w:rPr>
        <w:t> </w:t>
      </w:r>
      <w:r>
        <w:rPr>
          <w:color w:val="231F20"/>
          <w:w w:val="105"/>
        </w:rPr>
        <w:t>conocer</w:t>
      </w:r>
      <w:r>
        <w:rPr>
          <w:color w:val="231F20"/>
          <w:spacing w:val="-20"/>
          <w:w w:val="105"/>
        </w:rPr>
        <w:t> </w:t>
      </w:r>
      <w:r>
        <w:rPr>
          <w:color w:val="231F20"/>
          <w:w w:val="105"/>
        </w:rPr>
        <w:t>las</w:t>
      </w:r>
      <w:r>
        <w:rPr>
          <w:color w:val="231F20"/>
          <w:spacing w:val="-20"/>
          <w:w w:val="105"/>
        </w:rPr>
        <w:t> </w:t>
      </w:r>
      <w:r>
        <w:rPr>
          <w:color w:val="231F20"/>
          <w:w w:val="105"/>
        </w:rPr>
        <w:t>oportuni- dades</w:t>
      </w:r>
      <w:r>
        <w:rPr>
          <w:color w:val="231F20"/>
          <w:spacing w:val="-16"/>
          <w:w w:val="105"/>
        </w:rPr>
        <w:t> </w:t>
      </w:r>
      <w:r>
        <w:rPr>
          <w:color w:val="231F20"/>
          <w:w w:val="105"/>
        </w:rPr>
        <w:t>de</w:t>
      </w:r>
      <w:r>
        <w:rPr>
          <w:color w:val="231F20"/>
          <w:spacing w:val="-16"/>
          <w:w w:val="105"/>
        </w:rPr>
        <w:t> </w:t>
      </w:r>
      <w:r>
        <w:rPr>
          <w:color w:val="231F20"/>
          <w:w w:val="105"/>
        </w:rPr>
        <w:t>negocios</w:t>
      </w:r>
      <w:r>
        <w:rPr>
          <w:color w:val="231F20"/>
          <w:spacing w:val="-16"/>
          <w:w w:val="105"/>
        </w:rPr>
        <w:t> </w:t>
      </w:r>
      <w:r>
        <w:rPr>
          <w:color w:val="231F20"/>
          <w:w w:val="105"/>
        </w:rPr>
        <w:t>y</w:t>
      </w:r>
      <w:r>
        <w:rPr>
          <w:color w:val="231F20"/>
          <w:spacing w:val="-16"/>
          <w:w w:val="105"/>
        </w:rPr>
        <w:t> </w:t>
      </w:r>
      <w:r>
        <w:rPr>
          <w:color w:val="231F20"/>
          <w:w w:val="105"/>
        </w:rPr>
        <w:t>facilitar</w:t>
      </w:r>
      <w:r>
        <w:rPr>
          <w:color w:val="231F20"/>
          <w:spacing w:val="-16"/>
          <w:w w:val="105"/>
        </w:rPr>
        <w:t> </w:t>
      </w:r>
      <w:r>
        <w:rPr>
          <w:color w:val="231F20"/>
          <w:w w:val="105"/>
        </w:rPr>
        <w:t>los</w:t>
      </w:r>
      <w:r>
        <w:rPr>
          <w:color w:val="231F20"/>
          <w:spacing w:val="-16"/>
          <w:w w:val="105"/>
        </w:rPr>
        <w:t> </w:t>
      </w:r>
      <w:r>
        <w:rPr>
          <w:color w:val="231F20"/>
          <w:w w:val="105"/>
        </w:rPr>
        <w:t>trámites</w:t>
      </w:r>
      <w:r>
        <w:rPr>
          <w:color w:val="231F20"/>
          <w:spacing w:val="-16"/>
          <w:w w:val="105"/>
        </w:rPr>
        <w:t> </w:t>
      </w:r>
      <w:r>
        <w:rPr>
          <w:color w:val="231F20"/>
          <w:w w:val="105"/>
        </w:rPr>
        <w:t>de</w:t>
      </w:r>
      <w:r>
        <w:rPr>
          <w:color w:val="231F20"/>
          <w:spacing w:val="-16"/>
          <w:w w:val="105"/>
        </w:rPr>
        <w:t> </w:t>
      </w:r>
      <w:r>
        <w:rPr>
          <w:color w:val="231F20"/>
          <w:w w:val="105"/>
        </w:rPr>
        <w:t>apertura.</w:t>
      </w:r>
      <w:r>
        <w:rPr>
          <w:color w:val="231F20"/>
          <w:w w:val="105"/>
          <w:position w:val="7"/>
          <w:sz w:val="13"/>
        </w:rPr>
        <w:t>14</w:t>
      </w:r>
      <w:r>
        <w:rPr>
          <w:color w:val="231F20"/>
          <w:spacing w:val="7"/>
          <w:w w:val="105"/>
          <w:position w:val="7"/>
          <w:sz w:val="13"/>
        </w:rPr>
        <w:t> </w:t>
      </w:r>
      <w:r>
        <w:rPr>
          <w:color w:val="231F20"/>
          <w:w w:val="105"/>
        </w:rPr>
        <w:t>En</w:t>
      </w:r>
      <w:r>
        <w:rPr>
          <w:color w:val="231F20"/>
          <w:spacing w:val="-16"/>
          <w:w w:val="105"/>
        </w:rPr>
        <w:t> </w:t>
      </w:r>
      <w:r>
        <w:rPr>
          <w:color w:val="231F20"/>
          <w:w w:val="105"/>
        </w:rPr>
        <w:t>segundo</w:t>
      </w:r>
      <w:r>
        <w:rPr>
          <w:color w:val="231F20"/>
          <w:spacing w:val="-16"/>
          <w:w w:val="105"/>
        </w:rPr>
        <w:t> </w:t>
      </w:r>
      <w:r>
        <w:rPr>
          <w:color w:val="231F20"/>
          <w:w w:val="105"/>
        </w:rPr>
        <w:t>término,</w:t>
      </w:r>
      <w:r>
        <w:rPr>
          <w:color w:val="231F20"/>
          <w:spacing w:val="-16"/>
          <w:w w:val="105"/>
        </w:rPr>
        <w:t> </w:t>
      </w:r>
      <w:r>
        <w:rPr>
          <w:color w:val="231F20"/>
          <w:w w:val="105"/>
        </w:rPr>
        <w:t>impulsar</w:t>
      </w:r>
      <w:r>
        <w:rPr>
          <w:color w:val="231F20"/>
          <w:spacing w:val="-16"/>
          <w:w w:val="105"/>
        </w:rPr>
        <w:t> </w:t>
      </w:r>
      <w:r>
        <w:rPr>
          <w:color w:val="231F20"/>
          <w:w w:val="105"/>
        </w:rPr>
        <w:t>el empleo</w:t>
      </w:r>
      <w:r>
        <w:rPr>
          <w:color w:val="231F20"/>
          <w:spacing w:val="-16"/>
          <w:w w:val="105"/>
        </w:rPr>
        <w:t> </w:t>
      </w:r>
      <w:r>
        <w:rPr>
          <w:color w:val="231F20"/>
          <w:w w:val="105"/>
        </w:rPr>
        <w:t>mediante</w:t>
      </w:r>
      <w:r>
        <w:rPr>
          <w:color w:val="231F20"/>
          <w:spacing w:val="-16"/>
          <w:w w:val="105"/>
        </w:rPr>
        <w:t> </w:t>
      </w:r>
      <w:r>
        <w:rPr>
          <w:color w:val="231F20"/>
          <w:w w:val="105"/>
        </w:rPr>
        <w:t>el</w:t>
      </w:r>
      <w:r>
        <w:rPr>
          <w:color w:val="231F20"/>
          <w:spacing w:val="-16"/>
          <w:w w:val="105"/>
        </w:rPr>
        <w:t> </w:t>
      </w:r>
      <w:r>
        <w:rPr>
          <w:color w:val="231F20"/>
          <w:w w:val="105"/>
        </w:rPr>
        <w:t>Sistema</w:t>
      </w:r>
      <w:r>
        <w:rPr>
          <w:color w:val="231F20"/>
          <w:spacing w:val="-16"/>
          <w:w w:val="105"/>
        </w:rPr>
        <w:t> </w:t>
      </w:r>
      <w:r>
        <w:rPr>
          <w:color w:val="231F20"/>
          <w:w w:val="105"/>
        </w:rPr>
        <w:t>Municipal</w:t>
      </w:r>
      <w:r>
        <w:rPr>
          <w:color w:val="231F20"/>
          <w:spacing w:val="-16"/>
          <w:w w:val="105"/>
        </w:rPr>
        <w:t> </w:t>
      </w:r>
      <w:r>
        <w:rPr>
          <w:color w:val="231F20"/>
          <w:w w:val="105"/>
        </w:rPr>
        <w:t>de</w:t>
      </w:r>
      <w:r>
        <w:rPr>
          <w:color w:val="231F20"/>
          <w:spacing w:val="-16"/>
          <w:w w:val="105"/>
        </w:rPr>
        <w:t> </w:t>
      </w:r>
      <w:r>
        <w:rPr>
          <w:color w:val="231F20"/>
          <w:w w:val="105"/>
        </w:rPr>
        <w:t>Empleo</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realización</w:t>
      </w:r>
      <w:r>
        <w:rPr>
          <w:color w:val="231F20"/>
          <w:spacing w:val="-16"/>
          <w:w w:val="105"/>
        </w:rPr>
        <w:t> </w:t>
      </w:r>
      <w:r>
        <w:rPr>
          <w:color w:val="231F20"/>
          <w:w w:val="105"/>
        </w:rPr>
        <w:t>de</w:t>
      </w:r>
      <w:r>
        <w:rPr>
          <w:color w:val="231F20"/>
          <w:spacing w:val="-16"/>
          <w:w w:val="105"/>
        </w:rPr>
        <w:t> </w:t>
      </w:r>
      <w:r>
        <w:rPr>
          <w:color w:val="231F20"/>
          <w:w w:val="105"/>
        </w:rPr>
        <w:t>ferias</w:t>
      </w:r>
      <w:r>
        <w:rPr>
          <w:color w:val="231F20"/>
          <w:spacing w:val="-16"/>
          <w:w w:val="105"/>
        </w:rPr>
        <w:t> </w:t>
      </w:r>
      <w:r>
        <w:rPr>
          <w:color w:val="231F20"/>
          <w:w w:val="105"/>
        </w:rPr>
        <w:t>del</w:t>
      </w:r>
      <w:r>
        <w:rPr>
          <w:color w:val="231F20"/>
          <w:spacing w:val="-16"/>
          <w:w w:val="105"/>
        </w:rPr>
        <w:t> </w:t>
      </w:r>
      <w:r>
        <w:rPr>
          <w:color w:val="231F20"/>
          <w:w w:val="105"/>
        </w:rPr>
        <w:t>empleo. Se trataba de fomentar la oferta de empleo a través de bolsa de trabajo. No había nada sobre la mejora de las condiciones de trabajo, ni más ingresos ni irrestricto respeto a los</w:t>
      </w:r>
      <w:r>
        <w:rPr>
          <w:color w:val="231F20"/>
          <w:spacing w:val="-12"/>
          <w:w w:val="105"/>
        </w:rPr>
        <w:t> </w:t>
      </w:r>
      <w:r>
        <w:rPr>
          <w:color w:val="231F20"/>
          <w:w w:val="105"/>
        </w:rPr>
        <w:t>derechos</w:t>
      </w:r>
      <w:r>
        <w:rPr>
          <w:color w:val="231F20"/>
          <w:spacing w:val="-12"/>
          <w:w w:val="105"/>
        </w:rPr>
        <w:t> </w:t>
      </w:r>
      <w:r>
        <w:rPr>
          <w:color w:val="231F20"/>
          <w:w w:val="105"/>
        </w:rPr>
        <w:t>laborales.</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caso,</w:t>
      </w:r>
      <w:r>
        <w:rPr>
          <w:color w:val="231F20"/>
          <w:spacing w:val="-12"/>
          <w:w w:val="105"/>
        </w:rPr>
        <w:t> </w:t>
      </w:r>
      <w:r>
        <w:rPr>
          <w:color w:val="231F20"/>
          <w:w w:val="105"/>
        </w:rPr>
        <w:t>la</w:t>
      </w:r>
      <w:r>
        <w:rPr>
          <w:color w:val="231F20"/>
          <w:spacing w:val="-12"/>
          <w:w w:val="105"/>
        </w:rPr>
        <w:t> </w:t>
      </w:r>
      <w:r>
        <w:rPr>
          <w:color w:val="231F20"/>
          <w:w w:val="105"/>
        </w:rPr>
        <w:t>omisión</w:t>
      </w:r>
      <w:r>
        <w:rPr>
          <w:color w:val="231F20"/>
          <w:spacing w:val="-12"/>
          <w:w w:val="105"/>
        </w:rPr>
        <w:t> </w:t>
      </w:r>
      <w:r>
        <w:rPr>
          <w:color w:val="231F20"/>
          <w:w w:val="105"/>
        </w:rPr>
        <w:t>hace</w:t>
      </w:r>
      <w:r>
        <w:rPr>
          <w:color w:val="231F20"/>
          <w:spacing w:val="-12"/>
          <w:w w:val="105"/>
        </w:rPr>
        <w:t> </w:t>
      </w:r>
      <w:r>
        <w:rPr>
          <w:color w:val="231F20"/>
          <w:w w:val="105"/>
        </w:rPr>
        <w:t>más</w:t>
      </w:r>
      <w:r>
        <w:rPr>
          <w:color w:val="231F20"/>
          <w:spacing w:val="-12"/>
          <w:w w:val="105"/>
        </w:rPr>
        <w:t> </w:t>
      </w:r>
      <w:r>
        <w:rPr>
          <w:color w:val="231F20"/>
          <w:w w:val="105"/>
        </w:rPr>
        <w:t>visible</w:t>
      </w:r>
      <w:r>
        <w:rPr>
          <w:color w:val="231F20"/>
          <w:spacing w:val="-12"/>
          <w:w w:val="105"/>
        </w:rPr>
        <w:t> </w:t>
      </w:r>
      <w:r>
        <w:rPr>
          <w:color w:val="231F20"/>
          <w:w w:val="105"/>
        </w:rPr>
        <w:t>la</w:t>
      </w:r>
      <w:r>
        <w:rPr>
          <w:color w:val="231F20"/>
          <w:spacing w:val="-12"/>
          <w:w w:val="105"/>
        </w:rPr>
        <w:t> </w:t>
      </w:r>
      <w:r>
        <w:rPr>
          <w:color w:val="231F20"/>
          <w:w w:val="105"/>
        </w:rPr>
        <w:t>orientación</w:t>
      </w:r>
      <w:r>
        <w:rPr>
          <w:color w:val="231F20"/>
          <w:spacing w:val="-12"/>
          <w:w w:val="105"/>
        </w:rPr>
        <w:t> </w:t>
      </w:r>
      <w:r>
        <w:rPr>
          <w:color w:val="231F20"/>
          <w:w w:val="105"/>
        </w:rPr>
        <w:t>panista, más</w:t>
      </w:r>
      <w:r>
        <w:rPr>
          <w:color w:val="231F20"/>
          <w:spacing w:val="-5"/>
          <w:w w:val="105"/>
        </w:rPr>
        <w:t> </w:t>
      </w:r>
      <w:r>
        <w:rPr>
          <w:color w:val="231F20"/>
          <w:w w:val="105"/>
        </w:rPr>
        <w:t>a</w:t>
      </w:r>
      <w:r>
        <w:rPr>
          <w:color w:val="231F20"/>
          <w:spacing w:val="-5"/>
          <w:w w:val="105"/>
        </w:rPr>
        <w:t> </w:t>
      </w:r>
      <w:r>
        <w:rPr>
          <w:color w:val="231F20"/>
          <w:w w:val="105"/>
        </w:rPr>
        <w:t>favor</w:t>
      </w:r>
      <w:r>
        <w:rPr>
          <w:color w:val="231F20"/>
          <w:spacing w:val="-5"/>
          <w:w w:val="105"/>
        </w:rPr>
        <w:t> </w:t>
      </w:r>
      <w:r>
        <w:rPr>
          <w:color w:val="231F20"/>
          <w:w w:val="105"/>
        </w:rPr>
        <w:t>del</w:t>
      </w:r>
      <w:r>
        <w:rPr>
          <w:color w:val="231F20"/>
          <w:spacing w:val="-5"/>
          <w:w w:val="105"/>
        </w:rPr>
        <w:t> </w:t>
      </w:r>
      <w:r>
        <w:rPr>
          <w:color w:val="231F20"/>
          <w:w w:val="105"/>
        </w:rPr>
        <w:t>estímulo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iniciativa</w:t>
      </w:r>
      <w:r>
        <w:rPr>
          <w:color w:val="231F20"/>
          <w:spacing w:val="-5"/>
          <w:w w:val="105"/>
        </w:rPr>
        <w:t> </w:t>
      </w:r>
      <w:r>
        <w:rPr>
          <w:color w:val="231F20"/>
          <w:w w:val="105"/>
        </w:rPr>
        <w:t>privada</w:t>
      </w:r>
      <w:r>
        <w:rPr>
          <w:color w:val="231F20"/>
          <w:spacing w:val="-5"/>
          <w:w w:val="105"/>
        </w:rPr>
        <w:t> </w:t>
      </w:r>
      <w:r>
        <w:rPr>
          <w:color w:val="231F20"/>
          <w:w w:val="105"/>
        </w:rPr>
        <w:t>que</w:t>
      </w:r>
      <w:r>
        <w:rPr>
          <w:color w:val="231F20"/>
          <w:spacing w:val="-5"/>
          <w:w w:val="105"/>
        </w:rPr>
        <w:t> </w:t>
      </w:r>
      <w:r>
        <w:rPr>
          <w:color w:val="231F20"/>
          <w:spacing w:val="2"/>
          <w:w w:val="105"/>
        </w:rPr>
        <w:t>al</w:t>
      </w:r>
      <w:r>
        <w:rPr>
          <w:color w:val="231F20"/>
          <w:spacing w:val="-5"/>
          <w:w w:val="105"/>
        </w:rPr>
        <w:t> </w:t>
      </w:r>
      <w:r>
        <w:rPr>
          <w:color w:val="231F20"/>
          <w:w w:val="105"/>
        </w:rPr>
        <w:t>trabajo</w:t>
      </w:r>
      <w:r>
        <w:rPr>
          <w:color w:val="231F20"/>
          <w:spacing w:val="-5"/>
          <w:w w:val="105"/>
        </w:rPr>
        <w:t> </w:t>
      </w:r>
      <w:r>
        <w:rPr>
          <w:color w:val="231F20"/>
          <w:w w:val="105"/>
        </w:rPr>
        <w:t>o</w:t>
      </w:r>
      <w:r>
        <w:rPr>
          <w:color w:val="231F20"/>
          <w:spacing w:val="-5"/>
          <w:w w:val="105"/>
        </w:rPr>
        <w:t> </w:t>
      </w:r>
      <w:r>
        <w:rPr>
          <w:color w:val="231F20"/>
          <w:spacing w:val="2"/>
          <w:w w:val="105"/>
        </w:rPr>
        <w:t>al</w:t>
      </w:r>
      <w:r>
        <w:rPr>
          <w:color w:val="231F20"/>
          <w:spacing w:val="-5"/>
          <w:w w:val="105"/>
        </w:rPr>
        <w:t> </w:t>
      </w:r>
      <w:r>
        <w:rPr>
          <w:color w:val="231F20"/>
          <w:w w:val="105"/>
        </w:rPr>
        <w:t>mejoramiento</w:t>
      </w:r>
      <w:r>
        <w:rPr>
          <w:color w:val="231F20"/>
          <w:spacing w:val="-5"/>
          <w:w w:val="105"/>
        </w:rPr>
        <w:t> </w:t>
      </w:r>
      <w:r>
        <w:rPr>
          <w:color w:val="231F20"/>
          <w:w w:val="105"/>
        </w:rPr>
        <w:t>de</w:t>
      </w:r>
      <w:r>
        <w:rPr>
          <w:color w:val="231F20"/>
          <w:spacing w:val="-5"/>
          <w:w w:val="105"/>
        </w:rPr>
        <w:t> </w:t>
      </w:r>
      <w:r>
        <w:rPr>
          <w:color w:val="231F20"/>
          <w:w w:val="105"/>
        </w:rPr>
        <w:t>las condiciones</w:t>
      </w:r>
      <w:r>
        <w:rPr>
          <w:color w:val="231F20"/>
          <w:spacing w:val="-16"/>
          <w:w w:val="105"/>
        </w:rPr>
        <w:t> </w:t>
      </w:r>
      <w:r>
        <w:rPr>
          <w:color w:val="231F20"/>
          <w:w w:val="105"/>
        </w:rPr>
        <w:t>de</w:t>
      </w:r>
      <w:r>
        <w:rPr>
          <w:color w:val="231F20"/>
          <w:spacing w:val="-16"/>
          <w:w w:val="105"/>
        </w:rPr>
        <w:t> </w:t>
      </w:r>
      <w:r>
        <w:rPr>
          <w:color w:val="231F20"/>
          <w:w w:val="105"/>
        </w:rPr>
        <w:t>contratación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trabajadores.</w:t>
      </w:r>
    </w:p>
    <w:p>
      <w:pPr>
        <w:pStyle w:val="BodyText"/>
        <w:spacing w:before="1"/>
        <w:rPr>
          <w:sz w:val="26"/>
        </w:rPr>
      </w:pPr>
    </w:p>
    <w:p>
      <w:pPr>
        <w:pStyle w:val="BodyText"/>
        <w:ind w:left="110"/>
        <w:jc w:val="both"/>
      </w:pPr>
      <w:r>
        <w:rPr>
          <w:color w:val="231F20"/>
        </w:rPr>
        <w:t>La Tesorería y Finanzas se encargó de hacer una “Hacienda eficaz y responsable”, una</w:t>
      </w:r>
    </w:p>
    <w:p>
      <w:pPr>
        <w:pStyle w:val="BodyText"/>
        <w:spacing w:before="9"/>
        <w:rPr>
          <w:sz w:val="9"/>
        </w:rPr>
      </w:pPr>
      <w:r>
        <w:rPr/>
        <w:pict>
          <v:line style="position:absolute;mso-position-horizontal-relative:page;mso-position-vertical-relative:paragraph;z-index:10408;mso-wrap-distance-left:0;mso-wrap-distance-right:0" from="42.519699pt,8.111305pt" to="114.519699pt,8.111305pt" stroked="true" strokeweight="1pt" strokecolor="#231f20">
            <w10:wrap type="topAndBottom"/>
          </v:line>
        </w:pict>
      </w:r>
    </w:p>
    <w:p>
      <w:pPr>
        <w:pStyle w:val="ListParagraph"/>
        <w:numPr>
          <w:ilvl w:val="0"/>
          <w:numId w:val="14"/>
        </w:numPr>
        <w:tabs>
          <w:tab w:pos="300" w:val="left" w:leader="none"/>
        </w:tabs>
        <w:spacing w:line="244" w:lineRule="auto" w:before="8" w:after="0"/>
        <w:ind w:left="110" w:right="108" w:firstLine="0"/>
        <w:jc w:val="left"/>
        <w:rPr>
          <w:sz w:val="16"/>
        </w:rPr>
      </w:pPr>
      <w:r>
        <w:rPr>
          <w:color w:val="231F20"/>
          <w:sz w:val="16"/>
        </w:rPr>
        <w:t>La</w:t>
      </w:r>
      <w:r>
        <w:rPr>
          <w:color w:val="231F20"/>
          <w:spacing w:val="-5"/>
          <w:sz w:val="16"/>
        </w:rPr>
        <w:t> </w:t>
      </w:r>
      <w:r>
        <w:rPr>
          <w:color w:val="231F20"/>
          <w:sz w:val="16"/>
        </w:rPr>
        <w:t>meta</w:t>
      </w:r>
      <w:r>
        <w:rPr>
          <w:color w:val="231F20"/>
          <w:spacing w:val="-5"/>
          <w:sz w:val="16"/>
        </w:rPr>
        <w:t> </w:t>
      </w:r>
      <w:r>
        <w:rPr>
          <w:color w:val="231F20"/>
          <w:sz w:val="16"/>
        </w:rPr>
        <w:t>era</w:t>
      </w:r>
      <w:r>
        <w:rPr>
          <w:color w:val="231F20"/>
          <w:spacing w:val="-5"/>
          <w:sz w:val="16"/>
        </w:rPr>
        <w:t> </w:t>
      </w:r>
      <w:r>
        <w:rPr>
          <w:color w:val="231F20"/>
          <w:sz w:val="16"/>
        </w:rPr>
        <w:t>“Consolidar</w:t>
      </w:r>
      <w:r>
        <w:rPr>
          <w:color w:val="231F20"/>
          <w:spacing w:val="-5"/>
          <w:sz w:val="16"/>
        </w:rPr>
        <w:t> </w:t>
      </w:r>
      <w:r>
        <w:rPr>
          <w:color w:val="231F20"/>
          <w:sz w:val="16"/>
        </w:rPr>
        <w:t>el</w:t>
      </w:r>
      <w:r>
        <w:rPr>
          <w:color w:val="231F20"/>
          <w:spacing w:val="-5"/>
          <w:sz w:val="16"/>
        </w:rPr>
        <w:t> </w:t>
      </w:r>
      <w:r>
        <w:rPr>
          <w:color w:val="231F20"/>
          <w:sz w:val="16"/>
        </w:rPr>
        <w:t>Sistema</w:t>
      </w:r>
      <w:r>
        <w:rPr>
          <w:color w:val="231F20"/>
          <w:spacing w:val="-5"/>
          <w:sz w:val="16"/>
        </w:rPr>
        <w:t> </w:t>
      </w:r>
      <w:r>
        <w:rPr>
          <w:color w:val="231F20"/>
          <w:sz w:val="16"/>
        </w:rPr>
        <w:t>Municipal</w:t>
      </w:r>
      <w:r>
        <w:rPr>
          <w:color w:val="231F20"/>
          <w:spacing w:val="-5"/>
          <w:sz w:val="16"/>
        </w:rPr>
        <w:t> </w:t>
      </w:r>
      <w:r>
        <w:rPr>
          <w:color w:val="231F20"/>
          <w:sz w:val="16"/>
        </w:rPr>
        <w:t>de</w:t>
      </w:r>
      <w:r>
        <w:rPr>
          <w:color w:val="231F20"/>
          <w:spacing w:val="-5"/>
          <w:sz w:val="16"/>
        </w:rPr>
        <w:t> </w:t>
      </w:r>
      <w:r>
        <w:rPr>
          <w:color w:val="231F20"/>
          <w:sz w:val="16"/>
        </w:rPr>
        <w:t>Apertura</w:t>
      </w:r>
      <w:r>
        <w:rPr>
          <w:color w:val="231F20"/>
          <w:spacing w:val="-5"/>
          <w:sz w:val="16"/>
        </w:rPr>
        <w:t> </w:t>
      </w:r>
      <w:r>
        <w:rPr>
          <w:color w:val="231F20"/>
          <w:sz w:val="16"/>
        </w:rPr>
        <w:t>Rápida</w:t>
      </w:r>
      <w:r>
        <w:rPr>
          <w:color w:val="231F20"/>
          <w:spacing w:val="-5"/>
          <w:sz w:val="16"/>
        </w:rPr>
        <w:t> </w:t>
      </w:r>
      <w:r>
        <w:rPr>
          <w:color w:val="231F20"/>
          <w:sz w:val="16"/>
        </w:rPr>
        <w:t>de</w:t>
      </w:r>
      <w:r>
        <w:rPr>
          <w:color w:val="231F20"/>
          <w:spacing w:val="-5"/>
          <w:sz w:val="16"/>
        </w:rPr>
        <w:t> </w:t>
      </w:r>
      <w:r>
        <w:rPr>
          <w:color w:val="231F20"/>
          <w:sz w:val="16"/>
        </w:rPr>
        <w:t>Empresas</w:t>
      </w:r>
      <w:r>
        <w:rPr>
          <w:color w:val="231F20"/>
          <w:spacing w:val="-5"/>
          <w:sz w:val="16"/>
        </w:rPr>
        <w:t> </w:t>
      </w:r>
      <w:r>
        <w:rPr>
          <w:color w:val="231F20"/>
          <w:sz w:val="16"/>
        </w:rPr>
        <w:t>(SARE)</w:t>
      </w:r>
      <w:r>
        <w:rPr>
          <w:color w:val="231F20"/>
          <w:spacing w:val="-5"/>
          <w:sz w:val="16"/>
        </w:rPr>
        <w:t> </w:t>
      </w:r>
      <w:r>
        <w:rPr>
          <w:color w:val="231F20"/>
          <w:sz w:val="16"/>
        </w:rPr>
        <w:t>para</w:t>
      </w:r>
      <w:r>
        <w:rPr>
          <w:color w:val="231F20"/>
          <w:spacing w:val="-5"/>
          <w:sz w:val="16"/>
        </w:rPr>
        <w:t> </w:t>
      </w:r>
      <w:r>
        <w:rPr>
          <w:color w:val="231F20"/>
          <w:sz w:val="16"/>
        </w:rPr>
        <w:t>agilizar</w:t>
      </w:r>
      <w:r>
        <w:rPr>
          <w:color w:val="231F20"/>
          <w:spacing w:val="-5"/>
          <w:sz w:val="16"/>
        </w:rPr>
        <w:t> </w:t>
      </w:r>
      <w:r>
        <w:rPr>
          <w:color w:val="231F20"/>
          <w:sz w:val="16"/>
        </w:rPr>
        <w:t>los</w:t>
      </w:r>
      <w:r>
        <w:rPr>
          <w:color w:val="231F20"/>
          <w:spacing w:val="-5"/>
          <w:sz w:val="16"/>
        </w:rPr>
        <w:t> </w:t>
      </w:r>
      <w:r>
        <w:rPr>
          <w:color w:val="231F20"/>
          <w:sz w:val="16"/>
        </w:rPr>
        <w:t>tiempos</w:t>
      </w:r>
      <w:r>
        <w:rPr>
          <w:color w:val="231F20"/>
          <w:spacing w:val="-5"/>
          <w:sz w:val="16"/>
        </w:rPr>
        <w:t> </w:t>
      </w:r>
      <w:r>
        <w:rPr>
          <w:color w:val="231F20"/>
          <w:sz w:val="16"/>
        </w:rPr>
        <w:t>reales</w:t>
      </w:r>
      <w:r>
        <w:rPr>
          <w:color w:val="231F20"/>
          <w:spacing w:val="-5"/>
          <w:sz w:val="16"/>
        </w:rPr>
        <w:t> </w:t>
      </w:r>
      <w:r>
        <w:rPr>
          <w:color w:val="231F20"/>
          <w:sz w:val="16"/>
        </w:rPr>
        <w:t>de respuesta</w:t>
      </w:r>
      <w:r>
        <w:rPr>
          <w:color w:val="231F20"/>
          <w:spacing w:val="-18"/>
          <w:sz w:val="16"/>
        </w:rPr>
        <w:t> </w:t>
      </w:r>
      <w:r>
        <w:rPr>
          <w:color w:val="231F20"/>
          <w:sz w:val="16"/>
        </w:rPr>
        <w:t>de</w:t>
      </w:r>
      <w:r>
        <w:rPr>
          <w:color w:val="231F20"/>
          <w:spacing w:val="-18"/>
          <w:sz w:val="16"/>
        </w:rPr>
        <w:t> </w:t>
      </w:r>
      <w:r>
        <w:rPr>
          <w:color w:val="231F20"/>
          <w:sz w:val="16"/>
        </w:rPr>
        <w:t>los</w:t>
      </w:r>
      <w:r>
        <w:rPr>
          <w:color w:val="231F20"/>
          <w:spacing w:val="-18"/>
          <w:sz w:val="16"/>
        </w:rPr>
        <w:t> </w:t>
      </w:r>
      <w:r>
        <w:rPr>
          <w:color w:val="231F20"/>
          <w:sz w:val="16"/>
        </w:rPr>
        <w:t>trámites</w:t>
      </w:r>
      <w:r>
        <w:rPr>
          <w:color w:val="231F20"/>
          <w:spacing w:val="-18"/>
          <w:sz w:val="16"/>
        </w:rPr>
        <w:t> </w:t>
      </w:r>
      <w:r>
        <w:rPr>
          <w:color w:val="231F20"/>
          <w:sz w:val="16"/>
        </w:rPr>
        <w:t>e</w:t>
      </w:r>
      <w:r>
        <w:rPr>
          <w:color w:val="231F20"/>
          <w:spacing w:val="-18"/>
          <w:sz w:val="16"/>
        </w:rPr>
        <w:t> </w:t>
      </w:r>
      <w:r>
        <w:rPr>
          <w:color w:val="231F20"/>
          <w:sz w:val="16"/>
        </w:rPr>
        <w:t>incentivar</w:t>
      </w:r>
      <w:r>
        <w:rPr>
          <w:color w:val="231F20"/>
          <w:spacing w:val="-18"/>
          <w:sz w:val="16"/>
        </w:rPr>
        <w:t> </w:t>
      </w:r>
      <w:r>
        <w:rPr>
          <w:color w:val="231F20"/>
          <w:sz w:val="16"/>
        </w:rPr>
        <w:t>la</w:t>
      </w:r>
      <w:r>
        <w:rPr>
          <w:color w:val="231F20"/>
          <w:spacing w:val="-18"/>
          <w:sz w:val="16"/>
        </w:rPr>
        <w:t> </w:t>
      </w:r>
      <w:r>
        <w:rPr>
          <w:color w:val="231F20"/>
          <w:sz w:val="16"/>
        </w:rPr>
        <w:t>apertura</w:t>
      </w:r>
      <w:r>
        <w:rPr>
          <w:color w:val="231F20"/>
          <w:spacing w:val="-18"/>
          <w:sz w:val="16"/>
        </w:rPr>
        <w:t> </w:t>
      </w:r>
      <w:r>
        <w:rPr>
          <w:color w:val="231F20"/>
          <w:sz w:val="16"/>
        </w:rPr>
        <w:t>de</w:t>
      </w:r>
      <w:r>
        <w:rPr>
          <w:color w:val="231F20"/>
          <w:spacing w:val="-18"/>
          <w:sz w:val="16"/>
        </w:rPr>
        <w:t> </w:t>
      </w:r>
      <w:r>
        <w:rPr>
          <w:color w:val="231F20"/>
          <w:sz w:val="16"/>
        </w:rPr>
        <w:t>nuevas</w:t>
      </w:r>
      <w:r>
        <w:rPr>
          <w:color w:val="231F20"/>
          <w:spacing w:val="-18"/>
          <w:sz w:val="16"/>
        </w:rPr>
        <w:t> </w:t>
      </w:r>
      <w:r>
        <w:rPr>
          <w:color w:val="231F20"/>
          <w:sz w:val="16"/>
        </w:rPr>
        <w:t>empresas”.</w:t>
      </w:r>
      <w:r>
        <w:rPr>
          <w:color w:val="231F20"/>
          <w:spacing w:val="-18"/>
          <w:sz w:val="16"/>
        </w:rPr>
        <w:t> </w:t>
      </w:r>
      <w:r>
        <w:rPr>
          <w:color w:val="231F20"/>
          <w:sz w:val="16"/>
        </w:rPr>
        <w:t>Plan</w:t>
      </w:r>
      <w:r>
        <w:rPr>
          <w:color w:val="231F20"/>
          <w:spacing w:val="-18"/>
          <w:sz w:val="16"/>
        </w:rPr>
        <w:t> </w:t>
      </w:r>
      <w:r>
        <w:rPr>
          <w:color w:val="231F20"/>
          <w:sz w:val="16"/>
        </w:rPr>
        <w:t>de</w:t>
      </w:r>
      <w:r>
        <w:rPr>
          <w:color w:val="231F20"/>
          <w:spacing w:val="-18"/>
          <w:sz w:val="16"/>
        </w:rPr>
        <w:t> </w:t>
      </w:r>
      <w:r>
        <w:rPr>
          <w:color w:val="231F20"/>
          <w:sz w:val="16"/>
        </w:rPr>
        <w:t>Desarrollo</w:t>
      </w:r>
      <w:r>
        <w:rPr>
          <w:color w:val="231F20"/>
          <w:spacing w:val="-18"/>
          <w:sz w:val="16"/>
        </w:rPr>
        <w:t> </w:t>
      </w:r>
      <w:r>
        <w:rPr>
          <w:color w:val="231F20"/>
          <w:sz w:val="16"/>
        </w:rPr>
        <w:t>Municipal,</w:t>
      </w:r>
      <w:r>
        <w:rPr>
          <w:color w:val="231F20"/>
          <w:spacing w:val="-18"/>
          <w:sz w:val="16"/>
        </w:rPr>
        <w:t> </w:t>
      </w:r>
      <w:r>
        <w:rPr>
          <w:color w:val="231F20"/>
          <w:sz w:val="16"/>
        </w:rPr>
        <w:t>2006:</w:t>
      </w:r>
      <w:r>
        <w:rPr>
          <w:color w:val="231F20"/>
          <w:spacing w:val="-18"/>
          <w:sz w:val="16"/>
        </w:rPr>
        <w:t> </w:t>
      </w:r>
      <w:r>
        <w:rPr>
          <w:color w:val="231F20"/>
          <w:sz w:val="16"/>
        </w:rPr>
        <w:t>29.</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de las más importantes líneas de acción del municipio, debido a que concernía a la re- caudación de recursos para el cumplimiento de sus tareas. </w:t>
      </w:r>
      <w:r>
        <w:rPr>
          <w:color w:val="231F20"/>
          <w:spacing w:val="-3"/>
          <w:w w:val="105"/>
        </w:rPr>
        <w:t>Por </w:t>
      </w:r>
      <w:r>
        <w:rPr>
          <w:color w:val="231F20"/>
          <w:w w:val="105"/>
        </w:rPr>
        <w:t>eso una meta lógica era incrementar</w:t>
      </w:r>
      <w:r>
        <w:rPr>
          <w:color w:val="231F20"/>
          <w:spacing w:val="-12"/>
          <w:w w:val="105"/>
        </w:rPr>
        <w:t> </w:t>
      </w:r>
      <w:r>
        <w:rPr>
          <w:color w:val="231F20"/>
          <w:w w:val="105"/>
        </w:rPr>
        <w:t>la</w:t>
      </w:r>
      <w:r>
        <w:rPr>
          <w:color w:val="231F20"/>
          <w:spacing w:val="-12"/>
          <w:w w:val="105"/>
        </w:rPr>
        <w:t> </w:t>
      </w:r>
      <w:r>
        <w:rPr>
          <w:color w:val="231F20"/>
          <w:w w:val="105"/>
        </w:rPr>
        <w:t>recaudación</w:t>
      </w:r>
      <w:r>
        <w:rPr>
          <w:color w:val="231F20"/>
          <w:spacing w:val="-12"/>
          <w:w w:val="105"/>
        </w:rPr>
        <w:t> </w:t>
      </w:r>
      <w:r>
        <w:rPr>
          <w:color w:val="231F20"/>
          <w:w w:val="105"/>
        </w:rPr>
        <w:t>mediante</w:t>
      </w:r>
      <w:r>
        <w:rPr>
          <w:color w:val="231F20"/>
          <w:spacing w:val="-12"/>
          <w:w w:val="105"/>
        </w:rPr>
        <w:t> </w:t>
      </w:r>
      <w:r>
        <w:rPr>
          <w:color w:val="231F20"/>
          <w:w w:val="105"/>
        </w:rPr>
        <w:t>campañas</w:t>
      </w:r>
      <w:r>
        <w:rPr>
          <w:color w:val="231F20"/>
          <w:spacing w:val="-12"/>
          <w:w w:val="105"/>
        </w:rPr>
        <w:t> </w:t>
      </w:r>
      <w:r>
        <w:rPr>
          <w:color w:val="231F20"/>
          <w:w w:val="105"/>
        </w:rPr>
        <w:t>de</w:t>
      </w:r>
      <w:r>
        <w:rPr>
          <w:color w:val="231F20"/>
          <w:spacing w:val="-12"/>
          <w:w w:val="105"/>
        </w:rPr>
        <w:t> </w:t>
      </w:r>
      <w:r>
        <w:rPr>
          <w:color w:val="231F20"/>
          <w:w w:val="105"/>
        </w:rPr>
        <w:t>concientización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contribuyen- tes.</w:t>
      </w:r>
      <w:r>
        <w:rPr>
          <w:color w:val="231F20"/>
          <w:spacing w:val="-19"/>
          <w:w w:val="105"/>
        </w:rPr>
        <w:t> </w:t>
      </w:r>
      <w:r>
        <w:rPr>
          <w:color w:val="231F20"/>
          <w:w w:val="105"/>
        </w:rPr>
        <w:t>Aunque</w:t>
      </w:r>
      <w:r>
        <w:rPr>
          <w:color w:val="231F20"/>
          <w:spacing w:val="-19"/>
          <w:w w:val="105"/>
        </w:rPr>
        <w:t> </w:t>
      </w:r>
      <w:r>
        <w:rPr>
          <w:color w:val="231F20"/>
          <w:w w:val="105"/>
        </w:rPr>
        <w:t>se</w:t>
      </w:r>
      <w:r>
        <w:rPr>
          <w:color w:val="231F20"/>
          <w:spacing w:val="-19"/>
          <w:w w:val="105"/>
        </w:rPr>
        <w:t> </w:t>
      </w:r>
      <w:r>
        <w:rPr>
          <w:color w:val="231F20"/>
          <w:w w:val="105"/>
        </w:rPr>
        <w:t>enunciaba</w:t>
      </w:r>
      <w:r>
        <w:rPr>
          <w:color w:val="231F20"/>
          <w:spacing w:val="-19"/>
          <w:w w:val="105"/>
        </w:rPr>
        <w:t> </w:t>
      </w:r>
      <w:r>
        <w:rPr>
          <w:color w:val="231F20"/>
          <w:w w:val="105"/>
        </w:rPr>
        <w:t>un</w:t>
      </w:r>
      <w:r>
        <w:rPr>
          <w:color w:val="231F20"/>
          <w:spacing w:val="-19"/>
          <w:w w:val="105"/>
        </w:rPr>
        <w:t> </w:t>
      </w:r>
      <w:r>
        <w:rPr>
          <w:color w:val="231F20"/>
          <w:w w:val="105"/>
        </w:rPr>
        <w:t>mayor</w:t>
      </w:r>
      <w:r>
        <w:rPr>
          <w:color w:val="231F20"/>
          <w:spacing w:val="-19"/>
          <w:w w:val="105"/>
        </w:rPr>
        <w:t> </w:t>
      </w:r>
      <w:r>
        <w:rPr>
          <w:color w:val="231F20"/>
          <w:w w:val="105"/>
        </w:rPr>
        <w:t>rigor</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control</w:t>
      </w:r>
      <w:r>
        <w:rPr>
          <w:color w:val="231F20"/>
          <w:spacing w:val="-19"/>
          <w:w w:val="105"/>
        </w:rPr>
        <w:t> </w:t>
      </w:r>
      <w:r>
        <w:rPr>
          <w:color w:val="231F20"/>
          <w:w w:val="105"/>
        </w:rPr>
        <w:t>de</w:t>
      </w:r>
      <w:r>
        <w:rPr>
          <w:color w:val="231F20"/>
          <w:spacing w:val="-19"/>
          <w:w w:val="105"/>
        </w:rPr>
        <w:t> </w:t>
      </w:r>
      <w:r>
        <w:rPr>
          <w:color w:val="231F20"/>
          <w:w w:val="105"/>
        </w:rPr>
        <w:t>egresos</w:t>
      </w:r>
      <w:r>
        <w:rPr>
          <w:color w:val="231F20"/>
          <w:spacing w:val="-19"/>
          <w:w w:val="105"/>
        </w:rPr>
        <w:t> </w:t>
      </w:r>
      <w:r>
        <w:rPr>
          <w:color w:val="231F20"/>
          <w:w w:val="105"/>
        </w:rPr>
        <w:t>del</w:t>
      </w:r>
      <w:r>
        <w:rPr>
          <w:color w:val="231F20"/>
          <w:spacing w:val="-19"/>
          <w:w w:val="105"/>
        </w:rPr>
        <w:t> </w:t>
      </w:r>
      <w:r>
        <w:rPr>
          <w:color w:val="231F20"/>
          <w:w w:val="105"/>
        </w:rPr>
        <w:t>sistema</w:t>
      </w:r>
      <w:r>
        <w:rPr>
          <w:color w:val="231F20"/>
          <w:spacing w:val="-19"/>
          <w:w w:val="105"/>
        </w:rPr>
        <w:t> </w:t>
      </w:r>
      <w:r>
        <w:rPr>
          <w:color w:val="231F20"/>
          <w:w w:val="105"/>
        </w:rPr>
        <w:t>municipal, no se precisaba cómo se combatiría la corrupción en esa área del gobierno local. Esto habría sido un recurso sustantivo para asegurar una rendición de cuentas realista </w:t>
      </w:r>
      <w:r>
        <w:rPr>
          <w:color w:val="231F20"/>
          <w:spacing w:val="-7"/>
          <w:w w:val="105"/>
        </w:rPr>
        <w:t>y,     </w:t>
      </w:r>
      <w:r>
        <w:rPr>
          <w:color w:val="231F20"/>
          <w:w w:val="105"/>
        </w:rPr>
        <w:t>a todas luces, pertinente en un gobierno que pretendía erigir la seguridad ciudadana como principio fundamental de su acción de </w:t>
      </w:r>
      <w:r>
        <w:rPr>
          <w:color w:val="231F20"/>
          <w:spacing w:val="-3"/>
          <w:w w:val="105"/>
        </w:rPr>
        <w:t>gobierno. Por </w:t>
      </w:r>
      <w:r>
        <w:rPr>
          <w:color w:val="231F20"/>
          <w:w w:val="105"/>
        </w:rPr>
        <w:t>el contrario, era manifiesta la</w:t>
      </w:r>
      <w:r>
        <w:rPr>
          <w:color w:val="231F20"/>
          <w:spacing w:val="-13"/>
          <w:w w:val="105"/>
        </w:rPr>
        <w:t> </w:t>
      </w:r>
      <w:r>
        <w:rPr>
          <w:color w:val="231F20"/>
          <w:w w:val="105"/>
        </w:rPr>
        <w:t>preocupación</w:t>
      </w:r>
      <w:r>
        <w:rPr>
          <w:color w:val="231F20"/>
          <w:spacing w:val="-13"/>
          <w:w w:val="105"/>
        </w:rPr>
        <w:t> </w:t>
      </w:r>
      <w:r>
        <w:rPr>
          <w:color w:val="231F20"/>
          <w:w w:val="105"/>
        </w:rPr>
        <w:t>del</w:t>
      </w:r>
      <w:r>
        <w:rPr>
          <w:color w:val="231F20"/>
          <w:spacing w:val="-13"/>
          <w:w w:val="105"/>
        </w:rPr>
        <w:t> </w:t>
      </w:r>
      <w:r>
        <w:rPr>
          <w:color w:val="231F20"/>
          <w:w w:val="105"/>
        </w:rPr>
        <w:t>panismo</w:t>
      </w:r>
      <w:r>
        <w:rPr>
          <w:color w:val="231F20"/>
          <w:spacing w:val="-13"/>
          <w:w w:val="105"/>
        </w:rPr>
        <w:t> </w:t>
      </w:r>
      <w:r>
        <w:rPr>
          <w:color w:val="231F20"/>
          <w:w w:val="105"/>
        </w:rPr>
        <w:t>por</w:t>
      </w:r>
      <w:r>
        <w:rPr>
          <w:color w:val="231F20"/>
          <w:spacing w:val="-13"/>
          <w:w w:val="105"/>
        </w:rPr>
        <w:t> </w:t>
      </w:r>
      <w:r>
        <w:rPr>
          <w:color w:val="231F20"/>
          <w:w w:val="105"/>
        </w:rPr>
        <w:t>ser</w:t>
      </w:r>
      <w:r>
        <w:rPr>
          <w:color w:val="231F20"/>
          <w:spacing w:val="-13"/>
          <w:w w:val="105"/>
        </w:rPr>
        <w:t> </w:t>
      </w:r>
      <w:r>
        <w:rPr>
          <w:color w:val="231F20"/>
          <w:w w:val="105"/>
        </w:rPr>
        <w:t>bien</w:t>
      </w:r>
      <w:r>
        <w:rPr>
          <w:color w:val="231F20"/>
          <w:spacing w:val="-13"/>
          <w:w w:val="105"/>
        </w:rPr>
        <w:t> </w:t>
      </w:r>
      <w:r>
        <w:rPr>
          <w:color w:val="231F20"/>
          <w:w w:val="105"/>
        </w:rPr>
        <w:t>calificado</w:t>
      </w:r>
      <w:r>
        <w:rPr>
          <w:color w:val="231F20"/>
          <w:spacing w:val="-13"/>
          <w:w w:val="105"/>
        </w:rPr>
        <w:t> </w:t>
      </w:r>
      <w:r>
        <w:rPr>
          <w:color w:val="231F20"/>
          <w:w w:val="105"/>
        </w:rPr>
        <w:t>desde</w:t>
      </w:r>
      <w:r>
        <w:rPr>
          <w:color w:val="231F20"/>
          <w:spacing w:val="-13"/>
          <w:w w:val="105"/>
        </w:rPr>
        <w:t> </w:t>
      </w:r>
      <w:r>
        <w:rPr>
          <w:color w:val="231F20"/>
          <w:w w:val="105"/>
        </w:rPr>
        <w:t>una</w:t>
      </w:r>
      <w:r>
        <w:rPr>
          <w:color w:val="231F20"/>
          <w:spacing w:val="-13"/>
          <w:w w:val="105"/>
        </w:rPr>
        <w:t> </w:t>
      </w:r>
      <w:r>
        <w:rPr>
          <w:color w:val="231F20"/>
          <w:w w:val="105"/>
        </w:rPr>
        <w:t>perspectiva</w:t>
      </w:r>
      <w:r>
        <w:rPr>
          <w:color w:val="231F20"/>
          <w:spacing w:val="-13"/>
          <w:w w:val="105"/>
        </w:rPr>
        <w:t> </w:t>
      </w:r>
      <w:r>
        <w:rPr>
          <w:color w:val="231F20"/>
          <w:w w:val="105"/>
        </w:rPr>
        <w:t>empresarial, recurriendo</w:t>
      </w:r>
      <w:r>
        <w:rPr>
          <w:color w:val="231F20"/>
          <w:spacing w:val="-7"/>
          <w:w w:val="105"/>
        </w:rPr>
        <w:t> </w:t>
      </w:r>
      <w:r>
        <w:rPr>
          <w:color w:val="231F20"/>
          <w:w w:val="105"/>
        </w:rPr>
        <w:t>a</w:t>
      </w:r>
      <w:r>
        <w:rPr>
          <w:color w:val="231F20"/>
          <w:spacing w:val="-7"/>
          <w:w w:val="105"/>
        </w:rPr>
        <w:t> </w:t>
      </w:r>
      <w:r>
        <w:rPr>
          <w:color w:val="231F20"/>
          <w:w w:val="105"/>
        </w:rPr>
        <w:t>patrones</w:t>
      </w:r>
      <w:r>
        <w:rPr>
          <w:color w:val="231F20"/>
          <w:spacing w:val="-7"/>
          <w:w w:val="105"/>
        </w:rPr>
        <w:t> </w:t>
      </w:r>
      <w:r>
        <w:rPr>
          <w:color w:val="231F20"/>
          <w:w w:val="105"/>
        </w:rPr>
        <w:t>de</w:t>
      </w:r>
      <w:r>
        <w:rPr>
          <w:color w:val="231F20"/>
          <w:spacing w:val="-7"/>
          <w:w w:val="105"/>
        </w:rPr>
        <w:t> </w:t>
      </w:r>
      <w:r>
        <w:rPr>
          <w:color w:val="231F20"/>
          <w:w w:val="105"/>
        </w:rPr>
        <w:t>evaluación</w:t>
      </w:r>
      <w:r>
        <w:rPr>
          <w:color w:val="231F20"/>
          <w:spacing w:val="-7"/>
          <w:w w:val="105"/>
        </w:rPr>
        <w:t> </w:t>
      </w:r>
      <w:r>
        <w:rPr>
          <w:color w:val="231F20"/>
          <w:w w:val="105"/>
        </w:rPr>
        <w:t>de</w:t>
      </w:r>
      <w:r>
        <w:rPr>
          <w:color w:val="231F20"/>
          <w:spacing w:val="-7"/>
          <w:w w:val="105"/>
        </w:rPr>
        <w:t> </w:t>
      </w:r>
      <w:r>
        <w:rPr>
          <w:color w:val="231F20"/>
          <w:w w:val="105"/>
        </w:rPr>
        <w:t>carácter</w:t>
      </w:r>
      <w:r>
        <w:rPr>
          <w:color w:val="231F20"/>
          <w:spacing w:val="-7"/>
          <w:w w:val="105"/>
        </w:rPr>
        <w:t> </w:t>
      </w:r>
      <w:r>
        <w:rPr>
          <w:color w:val="231F20"/>
          <w:w w:val="105"/>
        </w:rPr>
        <w:t>privado.</w:t>
      </w:r>
      <w:r>
        <w:rPr>
          <w:color w:val="231F20"/>
          <w:spacing w:val="-7"/>
          <w:w w:val="105"/>
        </w:rPr>
        <w:t> </w:t>
      </w:r>
      <w:r>
        <w:rPr>
          <w:color w:val="231F20"/>
          <w:spacing w:val="-4"/>
          <w:w w:val="105"/>
        </w:rPr>
        <w:t>Tal</w:t>
      </w:r>
      <w:r>
        <w:rPr>
          <w:color w:val="231F20"/>
          <w:spacing w:val="-7"/>
          <w:w w:val="105"/>
        </w:rPr>
        <w:t> </w:t>
      </w:r>
      <w:r>
        <w:rPr>
          <w:color w:val="231F20"/>
          <w:w w:val="105"/>
        </w:rPr>
        <w:t>como</w:t>
      </w:r>
      <w:r>
        <w:rPr>
          <w:color w:val="231F20"/>
          <w:spacing w:val="-7"/>
          <w:w w:val="105"/>
        </w:rPr>
        <w:t> </w:t>
      </w:r>
      <w:r>
        <w:rPr>
          <w:color w:val="231F20"/>
          <w:w w:val="105"/>
        </w:rPr>
        <w:t>se</w:t>
      </w:r>
      <w:r>
        <w:rPr>
          <w:color w:val="231F20"/>
          <w:spacing w:val="-7"/>
          <w:w w:val="105"/>
        </w:rPr>
        <w:t> </w:t>
      </w:r>
      <w:r>
        <w:rPr>
          <w:color w:val="231F20"/>
          <w:w w:val="105"/>
        </w:rPr>
        <w:t>fijaba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plan de</w:t>
      </w:r>
      <w:r>
        <w:rPr>
          <w:color w:val="231F20"/>
          <w:spacing w:val="-10"/>
          <w:w w:val="105"/>
        </w:rPr>
        <w:t> </w:t>
      </w:r>
      <w:r>
        <w:rPr>
          <w:color w:val="231F20"/>
          <w:w w:val="105"/>
        </w:rPr>
        <w:t>desarrollo,</w:t>
      </w:r>
      <w:r>
        <w:rPr>
          <w:color w:val="231F20"/>
          <w:spacing w:val="-10"/>
          <w:w w:val="105"/>
        </w:rPr>
        <w:t> </w:t>
      </w:r>
      <w:r>
        <w:rPr>
          <w:color w:val="231F20"/>
          <w:w w:val="105"/>
        </w:rPr>
        <w:t>uno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objetivos</w:t>
      </w:r>
      <w:r>
        <w:rPr>
          <w:color w:val="231F20"/>
          <w:spacing w:val="-10"/>
          <w:w w:val="105"/>
        </w:rPr>
        <w:t> </w:t>
      </w:r>
      <w:r>
        <w:rPr>
          <w:color w:val="231F20"/>
          <w:w w:val="105"/>
        </w:rPr>
        <w:t>en</w:t>
      </w:r>
      <w:r>
        <w:rPr>
          <w:color w:val="231F20"/>
          <w:spacing w:val="-10"/>
          <w:w w:val="105"/>
        </w:rPr>
        <w:t> </w:t>
      </w:r>
      <w:r>
        <w:rPr>
          <w:color w:val="231F20"/>
          <w:w w:val="105"/>
        </w:rPr>
        <w:t>materia</w:t>
      </w:r>
      <w:r>
        <w:rPr>
          <w:color w:val="231F20"/>
          <w:spacing w:val="-10"/>
          <w:w w:val="105"/>
        </w:rPr>
        <w:t> </w:t>
      </w:r>
      <w:r>
        <w:rPr>
          <w:color w:val="231F20"/>
          <w:w w:val="105"/>
        </w:rPr>
        <w:t>de</w:t>
      </w:r>
      <w:r>
        <w:rPr>
          <w:color w:val="231F20"/>
          <w:spacing w:val="-10"/>
          <w:w w:val="105"/>
        </w:rPr>
        <w:t> </w:t>
      </w:r>
      <w:r>
        <w:rPr>
          <w:color w:val="231F20"/>
          <w:w w:val="105"/>
        </w:rPr>
        <w:t>manejo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deuda</w:t>
      </w:r>
      <w:r>
        <w:rPr>
          <w:color w:val="231F20"/>
          <w:spacing w:val="-10"/>
          <w:w w:val="105"/>
        </w:rPr>
        <w:t> </w:t>
      </w:r>
      <w:r>
        <w:rPr>
          <w:color w:val="231F20"/>
          <w:w w:val="105"/>
        </w:rPr>
        <w:t>fue</w:t>
      </w:r>
      <w:r>
        <w:rPr>
          <w:color w:val="231F20"/>
          <w:spacing w:val="-10"/>
          <w:w w:val="105"/>
        </w:rPr>
        <w:t> </w:t>
      </w:r>
      <w:r>
        <w:rPr>
          <w:color w:val="231F20"/>
          <w:w w:val="105"/>
        </w:rPr>
        <w:t>“Mantener</w:t>
      </w:r>
      <w:r>
        <w:rPr>
          <w:color w:val="231F20"/>
          <w:spacing w:val="-10"/>
          <w:w w:val="105"/>
        </w:rPr>
        <w:t> </w:t>
      </w:r>
      <w:r>
        <w:rPr>
          <w:color w:val="231F20"/>
          <w:w w:val="105"/>
        </w:rPr>
        <w:t>ca- lificación</w:t>
      </w:r>
      <w:r>
        <w:rPr>
          <w:color w:val="231F20"/>
          <w:spacing w:val="-19"/>
          <w:w w:val="105"/>
        </w:rPr>
        <w:t> </w:t>
      </w:r>
      <w:r>
        <w:rPr>
          <w:color w:val="231F20"/>
          <w:w w:val="105"/>
        </w:rPr>
        <w:t>de</w:t>
      </w:r>
      <w:r>
        <w:rPr>
          <w:color w:val="231F20"/>
          <w:spacing w:val="-19"/>
          <w:w w:val="105"/>
        </w:rPr>
        <w:t> </w:t>
      </w:r>
      <w:r>
        <w:rPr>
          <w:color w:val="231F20"/>
          <w:w w:val="105"/>
        </w:rPr>
        <w:t>alta</w:t>
      </w:r>
      <w:r>
        <w:rPr>
          <w:color w:val="231F20"/>
          <w:spacing w:val="-19"/>
          <w:w w:val="105"/>
        </w:rPr>
        <w:t> </w:t>
      </w:r>
      <w:r>
        <w:rPr>
          <w:color w:val="231F20"/>
          <w:w w:val="105"/>
        </w:rPr>
        <w:t>calidad</w:t>
      </w:r>
      <w:r>
        <w:rPr>
          <w:color w:val="231F20"/>
          <w:spacing w:val="-19"/>
          <w:w w:val="105"/>
        </w:rPr>
        <w:t> </w:t>
      </w:r>
      <w:r>
        <w:rPr>
          <w:color w:val="231F20"/>
          <w:w w:val="105"/>
        </w:rPr>
        <w:t>crediticia</w:t>
      </w:r>
      <w:r>
        <w:rPr>
          <w:color w:val="231F20"/>
          <w:spacing w:val="-19"/>
          <w:w w:val="105"/>
        </w:rPr>
        <w:t> </w:t>
      </w:r>
      <w:r>
        <w:rPr>
          <w:color w:val="231F20"/>
          <w:w w:val="105"/>
        </w:rPr>
        <w:t>Fitch</w:t>
      </w:r>
      <w:r>
        <w:rPr>
          <w:color w:val="231F20"/>
          <w:spacing w:val="-19"/>
          <w:w w:val="105"/>
        </w:rPr>
        <w:t> </w:t>
      </w:r>
      <w:r>
        <w:rPr>
          <w:color w:val="231F20"/>
          <w:w w:val="105"/>
        </w:rPr>
        <w:t>Ratings</w:t>
      </w:r>
      <w:r>
        <w:rPr>
          <w:color w:val="231F20"/>
          <w:spacing w:val="-19"/>
          <w:w w:val="105"/>
        </w:rPr>
        <w:t> </w:t>
      </w:r>
      <w:r>
        <w:rPr>
          <w:color w:val="231F20"/>
          <w:spacing w:val="-4"/>
          <w:w w:val="105"/>
        </w:rPr>
        <w:t>A-(Mex).</w:t>
      </w:r>
      <w:r>
        <w:rPr>
          <w:color w:val="231F20"/>
          <w:spacing w:val="-19"/>
          <w:w w:val="105"/>
        </w:rPr>
        <w:t> </w:t>
      </w:r>
      <w:r>
        <w:rPr>
          <w:color w:val="231F20"/>
          <w:w w:val="105"/>
        </w:rPr>
        <w:t>(Y)</w:t>
      </w:r>
      <w:r>
        <w:rPr>
          <w:color w:val="231F20"/>
          <w:spacing w:val="-19"/>
          <w:w w:val="105"/>
        </w:rPr>
        <w:t> </w:t>
      </w:r>
      <w:r>
        <w:rPr>
          <w:color w:val="231F20"/>
          <w:w w:val="105"/>
        </w:rPr>
        <w:t>Mantener</w:t>
      </w:r>
      <w:r>
        <w:rPr>
          <w:color w:val="231F20"/>
          <w:spacing w:val="-19"/>
          <w:w w:val="105"/>
        </w:rPr>
        <w:t> </w:t>
      </w:r>
      <w:r>
        <w:rPr>
          <w:color w:val="231F20"/>
          <w:w w:val="105"/>
        </w:rPr>
        <w:t>calificación</w:t>
      </w:r>
      <w:r>
        <w:rPr>
          <w:color w:val="231F20"/>
          <w:spacing w:val="-19"/>
          <w:w w:val="105"/>
        </w:rPr>
        <w:t> </w:t>
      </w:r>
      <w:r>
        <w:rPr>
          <w:color w:val="231F20"/>
          <w:w w:val="105"/>
        </w:rPr>
        <w:t>de perspectiva</w:t>
      </w:r>
      <w:r>
        <w:rPr>
          <w:color w:val="231F20"/>
          <w:spacing w:val="-13"/>
          <w:w w:val="105"/>
        </w:rPr>
        <w:t> </w:t>
      </w:r>
      <w:r>
        <w:rPr>
          <w:color w:val="231F20"/>
          <w:w w:val="105"/>
        </w:rPr>
        <w:t>estable</w:t>
      </w:r>
      <w:r>
        <w:rPr>
          <w:color w:val="231F20"/>
          <w:spacing w:val="-13"/>
          <w:w w:val="105"/>
        </w:rPr>
        <w:t> </w:t>
      </w:r>
      <w:r>
        <w:rPr>
          <w:color w:val="231F20"/>
          <w:w w:val="105"/>
        </w:rPr>
        <w:t>Standar</w:t>
      </w:r>
      <w:r>
        <w:rPr>
          <w:color w:val="231F20"/>
          <w:spacing w:val="-13"/>
          <w:w w:val="105"/>
        </w:rPr>
        <w:t> </w:t>
      </w:r>
      <w:r>
        <w:rPr>
          <w:color w:val="231F20"/>
          <w:w w:val="105"/>
        </w:rPr>
        <w:t>And</w:t>
      </w:r>
      <w:r>
        <w:rPr>
          <w:color w:val="231F20"/>
          <w:spacing w:val="-13"/>
          <w:w w:val="105"/>
        </w:rPr>
        <w:t> </w:t>
      </w:r>
      <w:r>
        <w:rPr>
          <w:color w:val="231F20"/>
          <w:spacing w:val="-8"/>
          <w:w w:val="105"/>
        </w:rPr>
        <w:t>Poor´s</w:t>
      </w:r>
      <w:r>
        <w:rPr>
          <w:color w:val="231F20"/>
          <w:spacing w:val="-13"/>
          <w:w w:val="105"/>
        </w:rPr>
        <w:t> </w:t>
      </w:r>
      <w:r>
        <w:rPr>
          <w:color w:val="231F20"/>
          <w:spacing w:val="-4"/>
          <w:w w:val="105"/>
        </w:rPr>
        <w:t>Mxa”.</w:t>
      </w:r>
    </w:p>
    <w:p>
      <w:pPr>
        <w:pStyle w:val="BodyText"/>
        <w:spacing w:before="1"/>
        <w:rPr>
          <w:sz w:val="26"/>
        </w:rPr>
      </w:pPr>
    </w:p>
    <w:p>
      <w:pPr>
        <w:pStyle w:val="BodyText"/>
        <w:spacing w:line="285" w:lineRule="auto"/>
        <w:ind w:left="110" w:right="108"/>
        <w:jc w:val="both"/>
      </w:pP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Unidad</w:t>
      </w:r>
      <w:r>
        <w:rPr>
          <w:color w:val="231F20"/>
          <w:spacing w:val="-20"/>
          <w:w w:val="105"/>
        </w:rPr>
        <w:t> </w:t>
      </w:r>
      <w:r>
        <w:rPr>
          <w:color w:val="231F20"/>
          <w:w w:val="105"/>
        </w:rPr>
        <w:t>Estratégica</w:t>
      </w:r>
      <w:r>
        <w:rPr>
          <w:color w:val="231F20"/>
          <w:spacing w:val="-20"/>
          <w:w w:val="105"/>
        </w:rPr>
        <w:t> </w:t>
      </w:r>
      <w:r>
        <w:rPr>
          <w:color w:val="231F20"/>
          <w:w w:val="105"/>
        </w:rPr>
        <w:t>para</w:t>
      </w:r>
      <w:r>
        <w:rPr>
          <w:color w:val="231F20"/>
          <w:spacing w:val="-20"/>
          <w:w w:val="105"/>
        </w:rPr>
        <w:t> </w:t>
      </w:r>
      <w:r>
        <w:rPr>
          <w:color w:val="231F20"/>
          <w:w w:val="105"/>
        </w:rPr>
        <w:t>el</w:t>
      </w:r>
      <w:r>
        <w:rPr>
          <w:color w:val="231F20"/>
          <w:spacing w:val="-20"/>
          <w:w w:val="105"/>
        </w:rPr>
        <w:t> </w:t>
      </w:r>
      <w:r>
        <w:rPr>
          <w:color w:val="231F20"/>
          <w:w w:val="105"/>
        </w:rPr>
        <w:t>Fortalecimiento</w:t>
      </w:r>
      <w:r>
        <w:rPr>
          <w:color w:val="231F20"/>
          <w:spacing w:val="-20"/>
          <w:w w:val="105"/>
        </w:rPr>
        <w:t> </w:t>
      </w:r>
      <w:r>
        <w:rPr>
          <w:color w:val="231F20"/>
          <w:w w:val="105"/>
        </w:rPr>
        <w:t>Institucional</w:t>
      </w:r>
      <w:r>
        <w:rPr>
          <w:color w:val="231F20"/>
          <w:spacing w:val="-20"/>
          <w:w w:val="105"/>
        </w:rPr>
        <w:t> </w:t>
      </w:r>
      <w:r>
        <w:rPr>
          <w:color w:val="231F20"/>
          <w:w w:val="105"/>
        </w:rPr>
        <w:t>y</w:t>
      </w:r>
      <w:r>
        <w:rPr>
          <w:color w:val="231F20"/>
          <w:spacing w:val="-20"/>
          <w:w w:val="105"/>
        </w:rPr>
        <w:t> </w:t>
      </w:r>
      <w:r>
        <w:rPr>
          <w:color w:val="231F20"/>
          <w:w w:val="105"/>
        </w:rPr>
        <w:t>Transparencia,</w:t>
      </w:r>
      <w:r>
        <w:rPr>
          <w:color w:val="231F20"/>
          <w:spacing w:val="-20"/>
          <w:w w:val="105"/>
        </w:rPr>
        <w:t> </w:t>
      </w:r>
      <w:r>
        <w:rPr>
          <w:color w:val="231F20"/>
          <w:w w:val="105"/>
        </w:rPr>
        <w:t>la</w:t>
      </w:r>
      <w:r>
        <w:rPr>
          <w:color w:val="231F20"/>
          <w:spacing w:val="-20"/>
          <w:w w:val="105"/>
        </w:rPr>
        <w:t> </w:t>
      </w:r>
      <w:r>
        <w:rPr>
          <w:color w:val="231F20"/>
          <w:w w:val="105"/>
        </w:rPr>
        <w:t>pode- rosa</w:t>
      </w:r>
      <w:r>
        <w:rPr>
          <w:color w:val="231F20"/>
          <w:spacing w:val="-21"/>
          <w:w w:val="105"/>
        </w:rPr>
        <w:t> </w:t>
      </w:r>
      <w:r>
        <w:rPr>
          <w:color w:val="231F20"/>
          <w:w w:val="105"/>
        </w:rPr>
        <w:t>Secretaría</w:t>
      </w:r>
      <w:r>
        <w:rPr>
          <w:color w:val="231F20"/>
          <w:spacing w:val="-21"/>
          <w:w w:val="105"/>
        </w:rPr>
        <w:t> </w:t>
      </w:r>
      <w:r>
        <w:rPr>
          <w:color w:val="231F20"/>
          <w:w w:val="105"/>
        </w:rPr>
        <w:t>del</w:t>
      </w:r>
      <w:r>
        <w:rPr>
          <w:color w:val="231F20"/>
          <w:spacing w:val="-21"/>
          <w:w w:val="105"/>
        </w:rPr>
        <w:t> </w:t>
      </w:r>
      <w:r>
        <w:rPr>
          <w:color w:val="231F20"/>
          <w:w w:val="105"/>
        </w:rPr>
        <w:t>Ayuntamiento,</w:t>
      </w:r>
      <w:r>
        <w:rPr>
          <w:color w:val="231F20"/>
          <w:spacing w:val="-21"/>
          <w:w w:val="105"/>
        </w:rPr>
        <w:t> </w:t>
      </w:r>
      <w:r>
        <w:rPr>
          <w:color w:val="231F20"/>
          <w:w w:val="105"/>
        </w:rPr>
        <w:t>se</w:t>
      </w:r>
      <w:r>
        <w:rPr>
          <w:color w:val="231F20"/>
          <w:spacing w:val="-21"/>
          <w:w w:val="105"/>
        </w:rPr>
        <w:t> </w:t>
      </w:r>
      <w:r>
        <w:rPr>
          <w:color w:val="231F20"/>
          <w:w w:val="105"/>
        </w:rPr>
        <w:t>encargaba</w:t>
      </w:r>
      <w:r>
        <w:rPr>
          <w:color w:val="231F20"/>
          <w:spacing w:val="-21"/>
          <w:w w:val="105"/>
        </w:rPr>
        <w:t> </w:t>
      </w:r>
      <w:r>
        <w:rPr>
          <w:color w:val="231F20"/>
          <w:w w:val="105"/>
        </w:rPr>
        <w:t>de</w:t>
      </w:r>
      <w:r>
        <w:rPr>
          <w:color w:val="231F20"/>
          <w:spacing w:val="-21"/>
          <w:w w:val="105"/>
        </w:rPr>
        <w:t> </w:t>
      </w:r>
      <w:r>
        <w:rPr>
          <w:color w:val="231F20"/>
          <w:w w:val="105"/>
        </w:rPr>
        <w:t>dar</w:t>
      </w:r>
      <w:r>
        <w:rPr>
          <w:color w:val="231F20"/>
          <w:spacing w:val="-21"/>
          <w:w w:val="105"/>
        </w:rPr>
        <w:t> </w:t>
      </w:r>
      <w:r>
        <w:rPr>
          <w:color w:val="231F20"/>
          <w:w w:val="105"/>
        </w:rPr>
        <w:t>a</w:t>
      </w:r>
      <w:r>
        <w:rPr>
          <w:color w:val="231F20"/>
          <w:spacing w:val="-21"/>
          <w:w w:val="105"/>
        </w:rPr>
        <w:t> </w:t>
      </w:r>
      <w:r>
        <w:rPr>
          <w:color w:val="231F20"/>
          <w:w w:val="105"/>
        </w:rPr>
        <w:t>conocer</w:t>
      </w:r>
      <w:r>
        <w:rPr>
          <w:color w:val="231F20"/>
          <w:spacing w:val="-21"/>
          <w:w w:val="105"/>
        </w:rPr>
        <w:t> </w:t>
      </w:r>
      <w:r>
        <w:rPr>
          <w:color w:val="231F20"/>
          <w:w w:val="105"/>
        </w:rPr>
        <w:t>los</w:t>
      </w:r>
      <w:r>
        <w:rPr>
          <w:color w:val="231F20"/>
          <w:spacing w:val="-21"/>
          <w:w w:val="105"/>
        </w:rPr>
        <w:t> </w:t>
      </w:r>
      <w:r>
        <w:rPr>
          <w:color w:val="231F20"/>
          <w:w w:val="105"/>
        </w:rPr>
        <w:t>acuerdos</w:t>
      </w:r>
      <w:r>
        <w:rPr>
          <w:color w:val="231F20"/>
          <w:spacing w:val="-21"/>
          <w:w w:val="105"/>
        </w:rPr>
        <w:t> </w:t>
      </w:r>
      <w:r>
        <w:rPr>
          <w:color w:val="231F20"/>
          <w:w w:val="105"/>
        </w:rPr>
        <w:t>de</w:t>
      </w:r>
      <w:r>
        <w:rPr>
          <w:color w:val="231F20"/>
          <w:spacing w:val="-21"/>
          <w:w w:val="105"/>
        </w:rPr>
        <w:t> </w:t>
      </w:r>
      <w:r>
        <w:rPr>
          <w:color w:val="231F20"/>
          <w:w w:val="105"/>
        </w:rPr>
        <w:t>cabildo y</w:t>
      </w:r>
      <w:r>
        <w:rPr>
          <w:color w:val="231F20"/>
          <w:spacing w:val="-20"/>
          <w:w w:val="105"/>
        </w:rPr>
        <w:t> </w:t>
      </w:r>
      <w:r>
        <w:rPr>
          <w:color w:val="231F20"/>
          <w:w w:val="105"/>
        </w:rPr>
        <w:t>compilar</w:t>
      </w:r>
      <w:r>
        <w:rPr>
          <w:color w:val="231F20"/>
          <w:spacing w:val="-20"/>
          <w:w w:val="105"/>
        </w:rPr>
        <w:t> </w:t>
      </w:r>
      <w:r>
        <w:rPr>
          <w:color w:val="231F20"/>
          <w:w w:val="105"/>
        </w:rPr>
        <w:t>y</w:t>
      </w:r>
      <w:r>
        <w:rPr>
          <w:color w:val="231F20"/>
          <w:spacing w:val="-20"/>
          <w:w w:val="105"/>
        </w:rPr>
        <w:t> </w:t>
      </w:r>
      <w:r>
        <w:rPr>
          <w:color w:val="231F20"/>
          <w:w w:val="105"/>
        </w:rPr>
        <w:t>actualizar</w:t>
      </w:r>
      <w:r>
        <w:rPr>
          <w:color w:val="231F20"/>
          <w:spacing w:val="-20"/>
          <w:w w:val="105"/>
        </w:rPr>
        <w:t> </w:t>
      </w:r>
      <w:r>
        <w:rPr>
          <w:color w:val="231F20"/>
          <w:w w:val="105"/>
        </w:rPr>
        <w:t>la</w:t>
      </w:r>
      <w:r>
        <w:rPr>
          <w:color w:val="231F20"/>
          <w:spacing w:val="-20"/>
          <w:w w:val="105"/>
        </w:rPr>
        <w:t> </w:t>
      </w:r>
      <w:r>
        <w:rPr>
          <w:color w:val="231F20"/>
          <w:w w:val="105"/>
        </w:rPr>
        <w:t>normatividad</w:t>
      </w:r>
      <w:r>
        <w:rPr>
          <w:color w:val="231F20"/>
          <w:spacing w:val="-20"/>
          <w:w w:val="105"/>
        </w:rPr>
        <w:t> </w:t>
      </w:r>
      <w:r>
        <w:rPr>
          <w:color w:val="231F20"/>
          <w:w w:val="105"/>
        </w:rPr>
        <w:t>municipal,</w:t>
      </w:r>
      <w:r>
        <w:rPr>
          <w:color w:val="231F20"/>
          <w:spacing w:val="-20"/>
          <w:w w:val="105"/>
        </w:rPr>
        <w:t> </w:t>
      </w:r>
      <w:r>
        <w:rPr>
          <w:color w:val="231F20"/>
          <w:w w:val="105"/>
        </w:rPr>
        <w:t>así</w:t>
      </w:r>
      <w:r>
        <w:rPr>
          <w:color w:val="231F20"/>
          <w:spacing w:val="-20"/>
          <w:w w:val="105"/>
        </w:rPr>
        <w:t> </w:t>
      </w:r>
      <w:r>
        <w:rPr>
          <w:color w:val="231F20"/>
          <w:w w:val="105"/>
        </w:rPr>
        <w:t>como</w:t>
      </w:r>
      <w:r>
        <w:rPr>
          <w:color w:val="231F20"/>
          <w:spacing w:val="-20"/>
          <w:w w:val="105"/>
        </w:rPr>
        <w:t> </w:t>
      </w:r>
      <w:r>
        <w:rPr>
          <w:color w:val="231F20"/>
          <w:w w:val="105"/>
        </w:rPr>
        <w:t>de</w:t>
      </w:r>
      <w:r>
        <w:rPr>
          <w:color w:val="231F20"/>
          <w:spacing w:val="-20"/>
          <w:w w:val="105"/>
        </w:rPr>
        <w:t> </w:t>
      </w:r>
      <w:r>
        <w:rPr>
          <w:color w:val="231F20"/>
          <w:w w:val="105"/>
        </w:rPr>
        <w:t>informar</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ciudadanía a</w:t>
      </w:r>
      <w:r>
        <w:rPr>
          <w:color w:val="231F20"/>
          <w:spacing w:val="-7"/>
          <w:w w:val="105"/>
        </w:rPr>
        <w:t> </w:t>
      </w:r>
      <w:r>
        <w:rPr>
          <w:color w:val="231F20"/>
          <w:w w:val="105"/>
        </w:rPr>
        <w:t>través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Unidad</w:t>
      </w:r>
      <w:r>
        <w:rPr>
          <w:color w:val="231F20"/>
          <w:spacing w:val="-7"/>
          <w:w w:val="105"/>
        </w:rPr>
        <w:t> </w:t>
      </w:r>
      <w:r>
        <w:rPr>
          <w:color w:val="231F20"/>
          <w:w w:val="105"/>
        </w:rPr>
        <w:t>Municipal</w:t>
      </w:r>
      <w:r>
        <w:rPr>
          <w:color w:val="231F20"/>
          <w:spacing w:val="-7"/>
          <w:w w:val="105"/>
        </w:rPr>
        <w:t> </w:t>
      </w:r>
      <w:r>
        <w:rPr>
          <w:color w:val="231F20"/>
          <w:w w:val="105"/>
        </w:rPr>
        <w:t>de</w:t>
      </w:r>
      <w:r>
        <w:rPr>
          <w:color w:val="231F20"/>
          <w:spacing w:val="-7"/>
          <w:w w:val="105"/>
        </w:rPr>
        <w:t> </w:t>
      </w:r>
      <w:r>
        <w:rPr>
          <w:color w:val="231F20"/>
          <w:w w:val="105"/>
        </w:rPr>
        <w:t>Información,</w:t>
      </w:r>
      <w:r>
        <w:rPr>
          <w:color w:val="231F20"/>
          <w:spacing w:val="-7"/>
          <w:w w:val="105"/>
        </w:rPr>
        <w:t> </w:t>
      </w:r>
      <w:r>
        <w:rPr>
          <w:color w:val="231F20"/>
          <w:w w:val="105"/>
        </w:rPr>
        <w:t>además</w:t>
      </w:r>
      <w:r>
        <w:rPr>
          <w:color w:val="231F20"/>
          <w:spacing w:val="-7"/>
          <w:w w:val="105"/>
        </w:rPr>
        <w:t> </w:t>
      </w:r>
      <w:r>
        <w:rPr>
          <w:color w:val="231F20"/>
          <w:w w:val="105"/>
        </w:rPr>
        <w:t>de</w:t>
      </w:r>
      <w:r>
        <w:rPr>
          <w:color w:val="231F20"/>
          <w:spacing w:val="-7"/>
          <w:w w:val="105"/>
        </w:rPr>
        <w:t> </w:t>
      </w:r>
      <w:r>
        <w:rPr>
          <w:color w:val="231F20"/>
          <w:w w:val="105"/>
        </w:rPr>
        <w:t>recibir</w:t>
      </w:r>
      <w:r>
        <w:rPr>
          <w:color w:val="231F20"/>
          <w:spacing w:val="-7"/>
          <w:w w:val="105"/>
        </w:rPr>
        <w:t> </w:t>
      </w:r>
      <w:r>
        <w:rPr>
          <w:color w:val="231F20"/>
          <w:w w:val="105"/>
        </w:rPr>
        <w:t>quejas</w:t>
      </w:r>
      <w:r>
        <w:rPr>
          <w:color w:val="231F20"/>
          <w:spacing w:val="-7"/>
          <w:w w:val="105"/>
        </w:rPr>
        <w:t> </w:t>
      </w:r>
      <w:r>
        <w:rPr>
          <w:color w:val="231F20"/>
          <w:w w:val="105"/>
        </w:rPr>
        <w:t>y</w:t>
      </w:r>
      <w:r>
        <w:rPr>
          <w:color w:val="231F20"/>
          <w:spacing w:val="-7"/>
          <w:w w:val="105"/>
        </w:rPr>
        <w:t> </w:t>
      </w:r>
      <w:r>
        <w:rPr>
          <w:color w:val="231F20"/>
          <w:w w:val="105"/>
        </w:rPr>
        <w:t>peticiones en</w:t>
      </w:r>
      <w:r>
        <w:rPr>
          <w:color w:val="231F20"/>
          <w:spacing w:val="-15"/>
          <w:w w:val="105"/>
        </w:rPr>
        <w:t> </w:t>
      </w:r>
      <w:r>
        <w:rPr>
          <w:color w:val="231F20"/>
          <w:w w:val="105"/>
        </w:rPr>
        <w:t>la</w:t>
      </w:r>
      <w:r>
        <w:rPr>
          <w:color w:val="231F20"/>
          <w:spacing w:val="-15"/>
          <w:w w:val="105"/>
        </w:rPr>
        <w:t> </w:t>
      </w:r>
      <w:r>
        <w:rPr>
          <w:color w:val="231F20"/>
          <w:w w:val="105"/>
        </w:rPr>
        <w:t>llamada</w:t>
      </w:r>
      <w:r>
        <w:rPr>
          <w:color w:val="231F20"/>
          <w:spacing w:val="-15"/>
          <w:w w:val="105"/>
        </w:rPr>
        <w:t> </w:t>
      </w:r>
      <w:r>
        <w:rPr>
          <w:color w:val="231F20"/>
          <w:w w:val="105"/>
        </w:rPr>
        <w:t>Unidad</w:t>
      </w:r>
      <w:r>
        <w:rPr>
          <w:color w:val="231F20"/>
          <w:spacing w:val="-15"/>
          <w:w w:val="105"/>
        </w:rPr>
        <w:t> </w:t>
      </w:r>
      <w:r>
        <w:rPr>
          <w:color w:val="231F20"/>
          <w:w w:val="105"/>
        </w:rPr>
        <w:t>de</w:t>
      </w:r>
      <w:r>
        <w:rPr>
          <w:color w:val="231F20"/>
          <w:spacing w:val="-15"/>
          <w:w w:val="105"/>
        </w:rPr>
        <w:t> </w:t>
      </w:r>
      <w:r>
        <w:rPr>
          <w:color w:val="231F20"/>
          <w:w w:val="105"/>
        </w:rPr>
        <w:t>Control</w:t>
      </w:r>
      <w:r>
        <w:rPr>
          <w:color w:val="231F20"/>
          <w:spacing w:val="-15"/>
          <w:w w:val="105"/>
        </w:rPr>
        <w:t> </w:t>
      </w:r>
      <w:r>
        <w:rPr>
          <w:color w:val="231F20"/>
          <w:w w:val="105"/>
        </w:rPr>
        <w:t>de</w:t>
      </w:r>
      <w:r>
        <w:rPr>
          <w:color w:val="231F20"/>
          <w:spacing w:val="-15"/>
          <w:w w:val="105"/>
        </w:rPr>
        <w:t> </w:t>
      </w:r>
      <w:r>
        <w:rPr>
          <w:color w:val="231F20"/>
          <w:w w:val="105"/>
        </w:rPr>
        <w:t>Peticiones.</w:t>
      </w:r>
    </w:p>
    <w:p>
      <w:pPr>
        <w:pStyle w:val="BodyText"/>
        <w:spacing w:before="1"/>
        <w:rPr>
          <w:sz w:val="26"/>
        </w:rPr>
      </w:pPr>
    </w:p>
    <w:p>
      <w:pPr>
        <w:pStyle w:val="BodyText"/>
        <w:spacing w:line="285" w:lineRule="auto"/>
        <w:ind w:left="110" w:right="108"/>
        <w:jc w:val="both"/>
      </w:pPr>
      <w:r>
        <w:rPr>
          <w:color w:val="231F20"/>
          <w:w w:val="105"/>
        </w:rPr>
        <w:t>Entre</w:t>
      </w:r>
      <w:r>
        <w:rPr>
          <w:color w:val="231F20"/>
          <w:spacing w:val="-21"/>
          <w:w w:val="105"/>
        </w:rPr>
        <w:t> </w:t>
      </w:r>
      <w:r>
        <w:rPr>
          <w:color w:val="231F20"/>
          <w:w w:val="105"/>
        </w:rPr>
        <w:t>sus</w:t>
      </w:r>
      <w:r>
        <w:rPr>
          <w:color w:val="231F20"/>
          <w:spacing w:val="-21"/>
          <w:w w:val="105"/>
        </w:rPr>
        <w:t> </w:t>
      </w:r>
      <w:r>
        <w:rPr>
          <w:color w:val="231F20"/>
          <w:w w:val="105"/>
        </w:rPr>
        <w:t>funciones</w:t>
      </w:r>
      <w:r>
        <w:rPr>
          <w:color w:val="231F20"/>
          <w:spacing w:val="-21"/>
          <w:w w:val="105"/>
        </w:rPr>
        <w:t> </w:t>
      </w:r>
      <w:r>
        <w:rPr>
          <w:color w:val="231F20"/>
          <w:w w:val="105"/>
        </w:rPr>
        <w:t>también</w:t>
      </w:r>
      <w:r>
        <w:rPr>
          <w:color w:val="231F20"/>
          <w:spacing w:val="-21"/>
          <w:w w:val="105"/>
        </w:rPr>
        <w:t> </w:t>
      </w:r>
      <w:r>
        <w:rPr>
          <w:color w:val="231F20"/>
          <w:w w:val="105"/>
        </w:rPr>
        <w:t>se</w:t>
      </w:r>
      <w:r>
        <w:rPr>
          <w:color w:val="231F20"/>
          <w:spacing w:val="-21"/>
          <w:w w:val="105"/>
        </w:rPr>
        <w:t> </w:t>
      </w:r>
      <w:r>
        <w:rPr>
          <w:color w:val="231F20"/>
          <w:w w:val="105"/>
        </w:rPr>
        <w:t>mencionaban</w:t>
      </w:r>
      <w:r>
        <w:rPr>
          <w:color w:val="231F20"/>
          <w:spacing w:val="-21"/>
          <w:w w:val="105"/>
        </w:rPr>
        <w:t> </w:t>
      </w:r>
      <w:r>
        <w:rPr>
          <w:color w:val="231F20"/>
          <w:w w:val="105"/>
        </w:rPr>
        <w:t>las</w:t>
      </w:r>
      <w:r>
        <w:rPr>
          <w:color w:val="231F20"/>
          <w:spacing w:val="-21"/>
          <w:w w:val="105"/>
        </w:rPr>
        <w:t> </w:t>
      </w:r>
      <w:r>
        <w:rPr>
          <w:color w:val="231F20"/>
          <w:w w:val="105"/>
        </w:rPr>
        <w:t>de</w:t>
      </w:r>
      <w:r>
        <w:rPr>
          <w:color w:val="231F20"/>
          <w:spacing w:val="-21"/>
          <w:w w:val="105"/>
        </w:rPr>
        <w:t> </w:t>
      </w:r>
      <w:r>
        <w:rPr>
          <w:color w:val="231F20"/>
          <w:spacing w:val="2"/>
          <w:w w:val="105"/>
        </w:rPr>
        <w:t>vigilar</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Oficialía</w:t>
      </w:r>
      <w:r>
        <w:rPr>
          <w:color w:val="231F20"/>
          <w:spacing w:val="-21"/>
          <w:w w:val="105"/>
        </w:rPr>
        <w:t> </w:t>
      </w:r>
      <w:r>
        <w:rPr>
          <w:color w:val="231F20"/>
          <w:w w:val="105"/>
        </w:rPr>
        <w:t>del</w:t>
      </w:r>
      <w:r>
        <w:rPr>
          <w:color w:val="231F20"/>
          <w:spacing w:val="-21"/>
          <w:w w:val="105"/>
        </w:rPr>
        <w:t> </w:t>
      </w:r>
      <w:r>
        <w:rPr>
          <w:color w:val="231F20"/>
          <w:w w:val="105"/>
        </w:rPr>
        <w:t>Registro</w:t>
      </w:r>
      <w:r>
        <w:rPr>
          <w:color w:val="231F20"/>
          <w:spacing w:val="-21"/>
          <w:w w:val="105"/>
        </w:rPr>
        <w:t> </w:t>
      </w:r>
      <w:r>
        <w:rPr>
          <w:color w:val="231F20"/>
          <w:spacing w:val="-3"/>
          <w:w w:val="105"/>
        </w:rPr>
        <w:t>Ci- </w:t>
      </w:r>
      <w:r>
        <w:rPr>
          <w:color w:val="231F20"/>
          <w:spacing w:val="3"/>
          <w:w w:val="105"/>
        </w:rPr>
        <w:t>vil</w:t>
      </w:r>
      <w:r>
        <w:rPr>
          <w:color w:val="231F20"/>
          <w:spacing w:val="-31"/>
          <w:w w:val="105"/>
        </w:rPr>
        <w:t> </w:t>
      </w:r>
      <w:r>
        <w:rPr>
          <w:color w:val="231F20"/>
          <w:w w:val="105"/>
        </w:rPr>
        <w:t>y</w:t>
      </w:r>
      <w:r>
        <w:rPr>
          <w:color w:val="231F20"/>
          <w:spacing w:val="-31"/>
          <w:w w:val="105"/>
        </w:rPr>
        <w:t> </w:t>
      </w:r>
      <w:r>
        <w:rPr>
          <w:color w:val="231F20"/>
          <w:w w:val="105"/>
        </w:rPr>
        <w:t>la</w:t>
      </w:r>
      <w:r>
        <w:rPr>
          <w:color w:val="231F20"/>
          <w:spacing w:val="-31"/>
          <w:w w:val="105"/>
        </w:rPr>
        <w:t> </w:t>
      </w:r>
      <w:r>
        <w:rPr>
          <w:color w:val="231F20"/>
          <w:w w:val="105"/>
        </w:rPr>
        <w:t>Junta</w:t>
      </w:r>
      <w:r>
        <w:rPr>
          <w:color w:val="231F20"/>
          <w:spacing w:val="-31"/>
          <w:w w:val="105"/>
        </w:rPr>
        <w:t> </w:t>
      </w:r>
      <w:r>
        <w:rPr>
          <w:color w:val="231F20"/>
          <w:w w:val="105"/>
        </w:rPr>
        <w:t>Local</w:t>
      </w:r>
      <w:r>
        <w:rPr>
          <w:color w:val="231F20"/>
          <w:spacing w:val="-31"/>
          <w:w w:val="105"/>
        </w:rPr>
        <w:t> </w:t>
      </w:r>
      <w:r>
        <w:rPr>
          <w:color w:val="231F20"/>
          <w:w w:val="105"/>
        </w:rPr>
        <w:t>de</w:t>
      </w:r>
      <w:r>
        <w:rPr>
          <w:color w:val="231F20"/>
          <w:spacing w:val="-31"/>
          <w:w w:val="105"/>
        </w:rPr>
        <w:t> </w:t>
      </w:r>
      <w:r>
        <w:rPr>
          <w:color w:val="231F20"/>
          <w:w w:val="105"/>
        </w:rPr>
        <w:t>Reclutamiento,</w:t>
      </w:r>
      <w:r>
        <w:rPr>
          <w:color w:val="231F20"/>
          <w:spacing w:val="-31"/>
          <w:w w:val="105"/>
        </w:rPr>
        <w:t> </w:t>
      </w:r>
      <w:r>
        <w:rPr>
          <w:color w:val="231F20"/>
          <w:w w:val="105"/>
        </w:rPr>
        <w:t>Vigilancia</w:t>
      </w:r>
      <w:r>
        <w:rPr>
          <w:color w:val="231F20"/>
          <w:spacing w:val="-31"/>
          <w:w w:val="105"/>
        </w:rPr>
        <w:t> </w:t>
      </w:r>
      <w:r>
        <w:rPr>
          <w:color w:val="231F20"/>
          <w:w w:val="105"/>
        </w:rPr>
        <w:t>y</w:t>
      </w:r>
      <w:r>
        <w:rPr>
          <w:color w:val="231F20"/>
          <w:spacing w:val="-31"/>
          <w:w w:val="105"/>
        </w:rPr>
        <w:t> </w:t>
      </w:r>
      <w:r>
        <w:rPr>
          <w:color w:val="231F20"/>
          <w:w w:val="105"/>
        </w:rPr>
        <w:t>operación</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Oficialía</w:t>
      </w:r>
      <w:r>
        <w:rPr>
          <w:color w:val="231F20"/>
          <w:spacing w:val="-31"/>
          <w:w w:val="105"/>
        </w:rPr>
        <w:t> </w:t>
      </w:r>
      <w:r>
        <w:rPr>
          <w:color w:val="231F20"/>
          <w:w w:val="105"/>
        </w:rPr>
        <w:t>Calificadora, con</w:t>
      </w:r>
      <w:r>
        <w:rPr>
          <w:color w:val="231F20"/>
          <w:spacing w:val="-15"/>
          <w:w w:val="105"/>
        </w:rPr>
        <w:t> </w:t>
      </w:r>
      <w:r>
        <w:rPr>
          <w:color w:val="231F20"/>
          <w:w w:val="105"/>
        </w:rPr>
        <w:t>el</w:t>
      </w:r>
      <w:r>
        <w:rPr>
          <w:color w:val="231F20"/>
          <w:spacing w:val="-15"/>
          <w:w w:val="105"/>
        </w:rPr>
        <w:t> </w:t>
      </w:r>
      <w:r>
        <w:rPr>
          <w:color w:val="231F20"/>
          <w:spacing w:val="2"/>
          <w:w w:val="105"/>
        </w:rPr>
        <w:t>fin</w:t>
      </w:r>
      <w:r>
        <w:rPr>
          <w:color w:val="231F20"/>
          <w:spacing w:val="-15"/>
          <w:w w:val="105"/>
        </w:rPr>
        <w:t> </w:t>
      </w:r>
      <w:r>
        <w:rPr>
          <w:color w:val="231F20"/>
          <w:w w:val="105"/>
        </w:rPr>
        <w:t>de</w:t>
      </w:r>
      <w:r>
        <w:rPr>
          <w:color w:val="231F20"/>
          <w:spacing w:val="-15"/>
          <w:w w:val="105"/>
        </w:rPr>
        <w:t> </w:t>
      </w:r>
      <w:r>
        <w:rPr>
          <w:color w:val="231F20"/>
          <w:w w:val="105"/>
        </w:rPr>
        <w:t>conciliar</w:t>
      </w:r>
      <w:r>
        <w:rPr>
          <w:color w:val="231F20"/>
          <w:spacing w:val="-15"/>
          <w:w w:val="105"/>
        </w:rPr>
        <w:t> </w:t>
      </w:r>
      <w:r>
        <w:rPr>
          <w:color w:val="231F20"/>
          <w:w w:val="105"/>
        </w:rPr>
        <w:t>o</w:t>
      </w:r>
      <w:r>
        <w:rPr>
          <w:color w:val="231F20"/>
          <w:spacing w:val="-15"/>
          <w:w w:val="105"/>
        </w:rPr>
        <w:t> </w:t>
      </w:r>
      <w:r>
        <w:rPr>
          <w:color w:val="231F20"/>
          <w:w w:val="105"/>
        </w:rPr>
        <w:t>sancionar</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ciudadanos</w:t>
      </w:r>
      <w:r>
        <w:rPr>
          <w:color w:val="231F20"/>
          <w:spacing w:val="-15"/>
          <w:w w:val="105"/>
        </w:rPr>
        <w:t> </w:t>
      </w:r>
      <w:r>
        <w:rPr>
          <w:color w:val="231F20"/>
          <w:w w:val="105"/>
        </w:rPr>
        <w:t>que</w:t>
      </w:r>
      <w:r>
        <w:rPr>
          <w:color w:val="231F20"/>
          <w:spacing w:val="-15"/>
          <w:w w:val="105"/>
        </w:rPr>
        <w:t> </w:t>
      </w:r>
      <w:r>
        <w:rPr>
          <w:color w:val="231F20"/>
          <w:w w:val="105"/>
        </w:rPr>
        <w:t>violen</w:t>
      </w:r>
      <w:r>
        <w:rPr>
          <w:color w:val="231F20"/>
          <w:spacing w:val="-15"/>
          <w:w w:val="105"/>
        </w:rPr>
        <w:t> </w:t>
      </w:r>
      <w:r>
        <w:rPr>
          <w:color w:val="231F20"/>
          <w:w w:val="105"/>
        </w:rPr>
        <w:t>el</w:t>
      </w:r>
      <w:r>
        <w:rPr>
          <w:color w:val="231F20"/>
          <w:spacing w:val="-15"/>
          <w:w w:val="105"/>
        </w:rPr>
        <w:t> </w:t>
      </w:r>
      <w:r>
        <w:rPr>
          <w:color w:val="231F20"/>
          <w:w w:val="105"/>
        </w:rPr>
        <w:t>Bando</w:t>
      </w:r>
      <w:r>
        <w:rPr>
          <w:color w:val="231F20"/>
          <w:spacing w:val="-15"/>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De nuevo se hacía mención de la participación ciudadana, sin anotar con claridad los espacios</w:t>
      </w:r>
      <w:r>
        <w:rPr>
          <w:color w:val="231F20"/>
          <w:spacing w:val="-9"/>
          <w:w w:val="105"/>
        </w:rPr>
        <w:t> </w:t>
      </w:r>
      <w:r>
        <w:rPr>
          <w:color w:val="231F20"/>
          <w:w w:val="105"/>
        </w:rPr>
        <w:t>institucionales</w:t>
      </w:r>
      <w:r>
        <w:rPr>
          <w:color w:val="231F20"/>
          <w:spacing w:val="-9"/>
          <w:w w:val="105"/>
        </w:rPr>
        <w:t> </w:t>
      </w:r>
      <w:r>
        <w:rPr>
          <w:color w:val="231F20"/>
          <w:w w:val="105"/>
        </w:rPr>
        <w:t>de</w:t>
      </w:r>
      <w:r>
        <w:rPr>
          <w:color w:val="231F20"/>
          <w:spacing w:val="-9"/>
          <w:w w:val="105"/>
        </w:rPr>
        <w:t> </w:t>
      </w:r>
      <w:r>
        <w:rPr>
          <w:color w:val="231F20"/>
          <w:w w:val="105"/>
        </w:rPr>
        <w:t>acción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comunidad.</w:t>
      </w:r>
      <w:r>
        <w:rPr>
          <w:color w:val="231F20"/>
          <w:spacing w:val="-9"/>
          <w:w w:val="105"/>
        </w:rPr>
        <w:t> </w:t>
      </w:r>
      <w:r>
        <w:rPr>
          <w:color w:val="231F20"/>
          <w:spacing w:val="-3"/>
          <w:w w:val="105"/>
        </w:rPr>
        <w:t>Un</w:t>
      </w:r>
      <w:r>
        <w:rPr>
          <w:color w:val="231F20"/>
          <w:spacing w:val="-9"/>
          <w:w w:val="105"/>
        </w:rPr>
        <w:t> </w:t>
      </w:r>
      <w:r>
        <w:rPr>
          <w:color w:val="231F20"/>
          <w:spacing w:val="-3"/>
          <w:w w:val="105"/>
        </w:rPr>
        <w:t>ejemplo</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concepción</w:t>
      </w:r>
      <w:r>
        <w:rPr>
          <w:color w:val="231F20"/>
          <w:spacing w:val="-9"/>
          <w:w w:val="105"/>
        </w:rPr>
        <w:t> </w:t>
      </w:r>
      <w:r>
        <w:rPr>
          <w:color w:val="231F20"/>
          <w:w w:val="105"/>
        </w:rPr>
        <w:t>era cuando</w:t>
      </w:r>
      <w:r>
        <w:rPr>
          <w:color w:val="231F20"/>
          <w:spacing w:val="-6"/>
          <w:w w:val="105"/>
        </w:rPr>
        <w:t> </w:t>
      </w:r>
      <w:r>
        <w:rPr>
          <w:color w:val="231F20"/>
          <w:w w:val="105"/>
        </w:rPr>
        <w:t>se</w:t>
      </w:r>
      <w:r>
        <w:rPr>
          <w:color w:val="231F20"/>
          <w:spacing w:val="-6"/>
          <w:w w:val="105"/>
        </w:rPr>
        <w:t> </w:t>
      </w:r>
      <w:r>
        <w:rPr>
          <w:color w:val="231F20"/>
          <w:w w:val="105"/>
        </w:rPr>
        <w:t>planteaba</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participación</w:t>
      </w:r>
      <w:r>
        <w:rPr>
          <w:color w:val="231F20"/>
          <w:spacing w:val="-6"/>
          <w:w w:val="105"/>
        </w:rPr>
        <w:t> </w:t>
      </w:r>
      <w:r>
        <w:rPr>
          <w:color w:val="231F20"/>
          <w:w w:val="105"/>
        </w:rPr>
        <w:t>se</w:t>
      </w:r>
      <w:r>
        <w:rPr>
          <w:color w:val="231F20"/>
          <w:spacing w:val="-6"/>
          <w:w w:val="105"/>
        </w:rPr>
        <w:t> </w:t>
      </w:r>
      <w:r>
        <w:rPr>
          <w:color w:val="231F20"/>
          <w:w w:val="105"/>
        </w:rPr>
        <w:t>daba</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spacing w:val="2"/>
          <w:w w:val="105"/>
        </w:rPr>
        <w:t>giras</w:t>
      </w:r>
      <w:r>
        <w:rPr>
          <w:color w:val="231F20"/>
          <w:spacing w:val="-6"/>
          <w:w w:val="105"/>
        </w:rPr>
        <w:t> </w:t>
      </w:r>
      <w:r>
        <w:rPr>
          <w:color w:val="231F20"/>
          <w:w w:val="105"/>
        </w:rPr>
        <w:t>del</w:t>
      </w:r>
      <w:r>
        <w:rPr>
          <w:color w:val="231F20"/>
          <w:spacing w:val="-6"/>
          <w:w w:val="105"/>
        </w:rPr>
        <w:t> </w:t>
      </w:r>
      <w:r>
        <w:rPr>
          <w:color w:val="231F20"/>
          <w:w w:val="105"/>
        </w:rPr>
        <w:t>presidente</w:t>
      </w:r>
      <w:r>
        <w:rPr>
          <w:color w:val="231F20"/>
          <w:spacing w:val="-6"/>
          <w:w w:val="105"/>
        </w:rPr>
        <w:t> </w:t>
      </w:r>
      <w:r>
        <w:rPr>
          <w:color w:val="231F20"/>
          <w:w w:val="105"/>
        </w:rPr>
        <w:t>municipal. En</w:t>
      </w:r>
      <w:r>
        <w:rPr>
          <w:color w:val="231F20"/>
          <w:spacing w:val="-6"/>
          <w:w w:val="105"/>
        </w:rPr>
        <w:t> </w:t>
      </w:r>
      <w:r>
        <w:rPr>
          <w:color w:val="231F20"/>
          <w:w w:val="105"/>
        </w:rPr>
        <w:t>el</w:t>
      </w:r>
      <w:r>
        <w:rPr>
          <w:color w:val="231F20"/>
          <w:spacing w:val="-6"/>
          <w:w w:val="105"/>
        </w:rPr>
        <w:t> </w:t>
      </w:r>
      <w:r>
        <w:rPr>
          <w:color w:val="231F20"/>
          <w:w w:val="105"/>
        </w:rPr>
        <w:t>plan</w:t>
      </w:r>
      <w:r>
        <w:rPr>
          <w:color w:val="231F20"/>
          <w:spacing w:val="-6"/>
          <w:w w:val="105"/>
        </w:rPr>
        <w:t> </w:t>
      </w:r>
      <w:r>
        <w:rPr>
          <w:color w:val="231F20"/>
          <w:w w:val="105"/>
        </w:rPr>
        <w:t>analizado</w:t>
      </w:r>
      <w:r>
        <w:rPr>
          <w:color w:val="231F20"/>
          <w:spacing w:val="-6"/>
          <w:w w:val="105"/>
        </w:rPr>
        <w:t> </w:t>
      </w:r>
      <w:r>
        <w:rPr>
          <w:color w:val="231F20"/>
          <w:w w:val="105"/>
        </w:rPr>
        <w:t>había</w:t>
      </w:r>
      <w:r>
        <w:rPr>
          <w:color w:val="231F20"/>
          <w:spacing w:val="-6"/>
          <w:w w:val="105"/>
        </w:rPr>
        <w:t> </w:t>
      </w:r>
      <w:r>
        <w:rPr>
          <w:color w:val="231F20"/>
          <w:w w:val="105"/>
        </w:rPr>
        <w:t>un</w:t>
      </w:r>
      <w:r>
        <w:rPr>
          <w:color w:val="231F20"/>
          <w:spacing w:val="-6"/>
          <w:w w:val="105"/>
        </w:rPr>
        <w:t> </w:t>
      </w:r>
      <w:r>
        <w:rPr>
          <w:color w:val="231F20"/>
          <w:w w:val="105"/>
        </w:rPr>
        <w:t>compromiso</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promoción</w:t>
      </w:r>
      <w:r>
        <w:rPr>
          <w:color w:val="231F20"/>
          <w:spacing w:val="-6"/>
          <w:w w:val="105"/>
        </w:rPr>
        <w:t> </w:t>
      </w:r>
      <w:r>
        <w:rPr>
          <w:color w:val="231F20"/>
          <w:w w:val="105"/>
        </w:rPr>
        <w:t>de</w:t>
      </w:r>
      <w:r>
        <w:rPr>
          <w:color w:val="231F20"/>
          <w:spacing w:val="-6"/>
          <w:w w:val="105"/>
        </w:rPr>
        <w:t> </w:t>
      </w:r>
      <w:r>
        <w:rPr>
          <w:color w:val="231F20"/>
          <w:spacing w:val="2"/>
          <w:w w:val="105"/>
        </w:rPr>
        <w:t>“la</w:t>
      </w:r>
      <w:r>
        <w:rPr>
          <w:color w:val="231F20"/>
          <w:spacing w:val="-6"/>
          <w:w w:val="105"/>
        </w:rPr>
        <w:t> </w:t>
      </w:r>
      <w:r>
        <w:rPr>
          <w:color w:val="231F20"/>
          <w:w w:val="105"/>
        </w:rPr>
        <w:t>participación</w:t>
      </w:r>
      <w:r>
        <w:rPr>
          <w:color w:val="231F20"/>
          <w:spacing w:val="-6"/>
          <w:w w:val="105"/>
        </w:rPr>
        <w:t> </w:t>
      </w:r>
      <w:r>
        <w:rPr>
          <w:color w:val="231F20"/>
          <w:w w:val="105"/>
        </w:rPr>
        <w:t>de</w:t>
      </w:r>
      <w:r>
        <w:rPr>
          <w:color w:val="231F20"/>
          <w:spacing w:val="-6"/>
          <w:w w:val="105"/>
        </w:rPr>
        <w:t> </w:t>
      </w:r>
      <w:r>
        <w:rPr>
          <w:color w:val="231F20"/>
          <w:w w:val="105"/>
        </w:rPr>
        <w:t>la ciudadanía en las </w:t>
      </w:r>
      <w:r>
        <w:rPr>
          <w:color w:val="231F20"/>
          <w:spacing w:val="2"/>
          <w:w w:val="105"/>
        </w:rPr>
        <w:t>giras </w:t>
      </w:r>
      <w:r>
        <w:rPr>
          <w:color w:val="231F20"/>
          <w:w w:val="105"/>
        </w:rPr>
        <w:t>y eventos en los que se presenta el Presidente Municipal, para conocer de cerca las problemáticas que aquejan en particular a las comunidades visi- </w:t>
      </w:r>
      <w:r>
        <w:rPr>
          <w:color w:val="231F20"/>
          <w:spacing w:val="-3"/>
          <w:w w:val="105"/>
        </w:rPr>
        <w:t>tadas”. Por </w:t>
      </w:r>
      <w:r>
        <w:rPr>
          <w:color w:val="231F20"/>
          <w:w w:val="105"/>
        </w:rPr>
        <w:t>cierto que estas </w:t>
      </w:r>
      <w:r>
        <w:rPr>
          <w:color w:val="231F20"/>
          <w:spacing w:val="2"/>
          <w:w w:val="105"/>
        </w:rPr>
        <w:t>giras </w:t>
      </w:r>
      <w:r>
        <w:rPr>
          <w:color w:val="231F20"/>
          <w:w w:val="105"/>
        </w:rPr>
        <w:t>también se tomaban en cuenta como mecanismos</w:t>
      </w:r>
      <w:r>
        <w:rPr>
          <w:color w:val="231F20"/>
          <w:spacing w:val="45"/>
          <w:w w:val="105"/>
        </w:rPr>
        <w:t> </w:t>
      </w:r>
      <w:r>
        <w:rPr>
          <w:color w:val="231F20"/>
          <w:w w:val="105"/>
        </w:rPr>
        <w:t>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rPr>
        <w:t>“evaluación social” de proyectos y políticas públicas. De ser así cualquier acto público implicaría participación ciudadana, sin medir el compromiso, la lealtad, y en esencia, la representación política de intereses sociales. Lo cual es, a todas luces,   inverosímil.</w:t>
      </w:r>
    </w:p>
    <w:p>
      <w:pPr>
        <w:pStyle w:val="BodyText"/>
        <w:spacing w:before="1"/>
        <w:rPr>
          <w:sz w:val="26"/>
        </w:rPr>
      </w:pPr>
    </w:p>
    <w:p>
      <w:pPr>
        <w:pStyle w:val="BodyText"/>
        <w:spacing w:line="285" w:lineRule="auto"/>
        <w:ind w:left="110" w:right="105"/>
        <w:jc w:val="both"/>
      </w:pPr>
      <w:r>
        <w:rPr>
          <w:color w:val="231F20"/>
          <w:w w:val="105"/>
        </w:rPr>
        <w:t>La Secretaría del Ayuntamiento también tuvo como fin Procurar, Promover y Defen- der los Derechos e Intereses Municipales, lo que le otorgaba un amplio poder en la estructura de la administración. Su única meta era “presentar los recursos para los procedimientos emitidos en las mesas para la resolución de éstos a favor de los inte- reses municipales”.</w:t>
      </w:r>
    </w:p>
    <w:p>
      <w:pPr>
        <w:pStyle w:val="BodyText"/>
        <w:spacing w:before="1"/>
        <w:rPr>
          <w:sz w:val="26"/>
        </w:rPr>
      </w:pPr>
    </w:p>
    <w:p>
      <w:pPr>
        <w:pStyle w:val="BodyText"/>
        <w:spacing w:line="285" w:lineRule="auto"/>
        <w:ind w:left="110" w:right="107"/>
        <w:jc w:val="both"/>
      </w:pPr>
      <w:r>
        <w:rPr>
          <w:color w:val="231F20"/>
          <w:w w:val="105"/>
        </w:rPr>
        <w:t>La Dirección General de la Contraloría </w:t>
      </w:r>
      <w:r>
        <w:rPr>
          <w:color w:val="231F20"/>
          <w:spacing w:val="4"/>
          <w:w w:val="105"/>
        </w:rPr>
        <w:t>fiscalizó </w:t>
      </w:r>
      <w:r>
        <w:rPr>
          <w:color w:val="231F20"/>
          <w:spacing w:val="2"/>
          <w:w w:val="105"/>
        </w:rPr>
        <w:t>recursos, </w:t>
      </w:r>
      <w:r>
        <w:rPr>
          <w:color w:val="231F20"/>
          <w:w w:val="105"/>
        </w:rPr>
        <w:t>dependencias y </w:t>
      </w:r>
      <w:r>
        <w:rPr>
          <w:color w:val="231F20"/>
          <w:spacing w:val="3"/>
          <w:w w:val="105"/>
        </w:rPr>
        <w:t>servido- </w:t>
      </w:r>
      <w:r>
        <w:rPr>
          <w:color w:val="231F20"/>
          <w:w w:val="105"/>
        </w:rPr>
        <w:t>res públicos de la </w:t>
      </w:r>
      <w:r>
        <w:rPr>
          <w:color w:val="231F20"/>
          <w:spacing w:val="2"/>
          <w:w w:val="105"/>
        </w:rPr>
        <w:t>administración municipal, mientras </w:t>
      </w:r>
      <w:r>
        <w:rPr>
          <w:color w:val="231F20"/>
          <w:w w:val="105"/>
        </w:rPr>
        <w:t>que la Dirección General de Comunicación </w:t>
      </w:r>
      <w:r>
        <w:rPr>
          <w:color w:val="231F20"/>
          <w:spacing w:val="3"/>
          <w:w w:val="105"/>
        </w:rPr>
        <w:t>Social </w:t>
      </w:r>
      <w:r>
        <w:rPr>
          <w:color w:val="231F20"/>
          <w:w w:val="105"/>
        </w:rPr>
        <w:t>se comprometió a </w:t>
      </w:r>
      <w:r>
        <w:rPr>
          <w:color w:val="231F20"/>
          <w:spacing w:val="2"/>
          <w:w w:val="105"/>
        </w:rPr>
        <w:t>emitir </w:t>
      </w:r>
      <w:r>
        <w:rPr>
          <w:color w:val="231F20"/>
          <w:w w:val="105"/>
        </w:rPr>
        <w:t>la información sobre </w:t>
      </w:r>
      <w:r>
        <w:rPr>
          <w:color w:val="231F20"/>
          <w:spacing w:val="2"/>
          <w:w w:val="105"/>
        </w:rPr>
        <w:t>las </w:t>
      </w:r>
      <w:r>
        <w:rPr>
          <w:color w:val="231F20"/>
          <w:w w:val="105"/>
        </w:rPr>
        <w:t>acciones de gobierno. Algo </w:t>
      </w:r>
      <w:r>
        <w:rPr>
          <w:color w:val="231F20"/>
          <w:spacing w:val="3"/>
          <w:w w:val="105"/>
        </w:rPr>
        <w:t>extraño </w:t>
      </w:r>
      <w:r>
        <w:rPr>
          <w:color w:val="231F20"/>
          <w:spacing w:val="2"/>
          <w:w w:val="105"/>
        </w:rPr>
        <w:t>fue </w:t>
      </w:r>
      <w:r>
        <w:rPr>
          <w:color w:val="231F20"/>
          <w:w w:val="105"/>
        </w:rPr>
        <w:t>encontrar entre sus </w:t>
      </w:r>
      <w:r>
        <w:rPr>
          <w:color w:val="231F20"/>
          <w:spacing w:val="2"/>
          <w:w w:val="105"/>
        </w:rPr>
        <w:t>metas </w:t>
      </w:r>
      <w:r>
        <w:rPr>
          <w:color w:val="231F20"/>
          <w:w w:val="105"/>
        </w:rPr>
        <w:t>la de </w:t>
      </w:r>
      <w:r>
        <w:rPr>
          <w:color w:val="231F20"/>
          <w:spacing w:val="2"/>
          <w:w w:val="105"/>
        </w:rPr>
        <w:t>“canalizar </w:t>
      </w:r>
      <w:r>
        <w:rPr>
          <w:color w:val="231F20"/>
          <w:w w:val="105"/>
        </w:rPr>
        <w:t>demandas y requerimientos de </w:t>
      </w:r>
      <w:r>
        <w:rPr>
          <w:color w:val="231F20"/>
          <w:spacing w:val="2"/>
          <w:w w:val="105"/>
        </w:rPr>
        <w:t>las </w:t>
      </w:r>
      <w:r>
        <w:rPr>
          <w:color w:val="231F20"/>
          <w:w w:val="105"/>
        </w:rPr>
        <w:t>comunidades y sociedad en general”, como si se </w:t>
      </w:r>
      <w:r>
        <w:rPr>
          <w:color w:val="231F20"/>
          <w:spacing w:val="2"/>
          <w:w w:val="105"/>
        </w:rPr>
        <w:t>tratara </w:t>
      </w:r>
      <w:r>
        <w:rPr>
          <w:color w:val="231F20"/>
          <w:w w:val="105"/>
        </w:rPr>
        <w:t>de </w:t>
      </w:r>
      <w:r>
        <w:rPr>
          <w:color w:val="231F20"/>
          <w:spacing w:val="3"/>
          <w:w w:val="105"/>
        </w:rPr>
        <w:t>un </w:t>
      </w:r>
      <w:r>
        <w:rPr>
          <w:color w:val="231F20"/>
          <w:w w:val="105"/>
        </w:rPr>
        <w:t>medio </w:t>
      </w:r>
      <w:r>
        <w:rPr>
          <w:color w:val="231F20"/>
          <w:spacing w:val="2"/>
          <w:w w:val="105"/>
        </w:rPr>
        <w:t>para </w:t>
      </w:r>
      <w:r>
        <w:rPr>
          <w:color w:val="231F20"/>
          <w:w w:val="105"/>
        </w:rPr>
        <w:t>la relación entre el </w:t>
      </w:r>
      <w:r>
        <w:rPr>
          <w:color w:val="231F20"/>
          <w:spacing w:val="2"/>
          <w:w w:val="105"/>
        </w:rPr>
        <w:t>ayuntamiento </w:t>
      </w:r>
      <w:r>
        <w:rPr>
          <w:color w:val="231F20"/>
          <w:w w:val="105"/>
        </w:rPr>
        <w:t>y la sociedad. Posteriormente en el plan ya no se hacía mayor referencia a ello, por lo que es de suponer que simplemente </w:t>
      </w:r>
      <w:r>
        <w:rPr>
          <w:color w:val="231F20"/>
          <w:spacing w:val="2"/>
          <w:w w:val="105"/>
        </w:rPr>
        <w:t>fue </w:t>
      </w:r>
      <w:r>
        <w:rPr>
          <w:color w:val="231F20"/>
          <w:spacing w:val="3"/>
          <w:w w:val="105"/>
        </w:rPr>
        <w:t>un </w:t>
      </w:r>
      <w:r>
        <w:rPr>
          <w:color w:val="231F20"/>
          <w:spacing w:val="2"/>
          <w:w w:val="105"/>
        </w:rPr>
        <w:t>recurso </w:t>
      </w:r>
      <w:r>
        <w:rPr>
          <w:color w:val="231F20"/>
          <w:w w:val="105"/>
        </w:rPr>
        <w:t>retórico de sus</w:t>
      </w:r>
      <w:r>
        <w:rPr>
          <w:color w:val="231F20"/>
          <w:spacing w:val="51"/>
          <w:w w:val="105"/>
        </w:rPr>
        <w:t> </w:t>
      </w:r>
      <w:r>
        <w:rPr>
          <w:color w:val="231F20"/>
          <w:w w:val="105"/>
        </w:rPr>
        <w:t>redactores.</w:t>
      </w:r>
    </w:p>
    <w:p>
      <w:pPr>
        <w:pStyle w:val="BodyText"/>
        <w:spacing w:before="1"/>
        <w:rPr>
          <w:sz w:val="26"/>
        </w:rPr>
      </w:pPr>
    </w:p>
    <w:p>
      <w:pPr>
        <w:pStyle w:val="BodyText"/>
        <w:spacing w:line="285" w:lineRule="auto"/>
        <w:ind w:left="110" w:right="107"/>
        <w:jc w:val="both"/>
      </w:pPr>
      <w:r>
        <w:rPr>
          <w:color w:val="231F20"/>
          <w:spacing w:val="2"/>
          <w:w w:val="105"/>
        </w:rPr>
        <w:t>Para </w:t>
      </w:r>
      <w:r>
        <w:rPr>
          <w:color w:val="231F20"/>
          <w:w w:val="105"/>
        </w:rPr>
        <w:t>el </w:t>
      </w:r>
      <w:r>
        <w:rPr>
          <w:color w:val="231F20"/>
          <w:spacing w:val="2"/>
          <w:w w:val="105"/>
        </w:rPr>
        <w:t>cumplimiento </w:t>
      </w:r>
      <w:r>
        <w:rPr>
          <w:color w:val="231F20"/>
          <w:w w:val="105"/>
        </w:rPr>
        <w:t>de la </w:t>
      </w:r>
      <w:r>
        <w:rPr>
          <w:color w:val="231F20"/>
          <w:spacing w:val="2"/>
          <w:w w:val="105"/>
        </w:rPr>
        <w:t>transparencia, </w:t>
      </w:r>
      <w:r>
        <w:rPr>
          <w:color w:val="231F20"/>
          <w:w w:val="105"/>
        </w:rPr>
        <w:t>el documento </w:t>
      </w:r>
      <w:r>
        <w:rPr>
          <w:color w:val="231F20"/>
          <w:spacing w:val="2"/>
          <w:w w:val="105"/>
        </w:rPr>
        <w:t>estipulaba </w:t>
      </w:r>
      <w:r>
        <w:rPr>
          <w:color w:val="231F20"/>
          <w:w w:val="105"/>
        </w:rPr>
        <w:t>dos </w:t>
      </w:r>
      <w:r>
        <w:rPr>
          <w:color w:val="231F20"/>
          <w:spacing w:val="2"/>
          <w:w w:val="105"/>
        </w:rPr>
        <w:t>recursos: </w:t>
      </w:r>
      <w:r>
        <w:rPr>
          <w:color w:val="231F20"/>
          <w:spacing w:val="-6"/>
          <w:w w:val="105"/>
        </w:rPr>
        <w:t>1) </w:t>
      </w:r>
      <w:r>
        <w:rPr>
          <w:color w:val="231F20"/>
          <w:spacing w:val="2"/>
          <w:w w:val="105"/>
        </w:rPr>
        <w:t>las</w:t>
      </w:r>
      <w:r>
        <w:rPr>
          <w:color w:val="231F20"/>
          <w:spacing w:val="-13"/>
          <w:w w:val="105"/>
        </w:rPr>
        <w:t> </w:t>
      </w:r>
      <w:r>
        <w:rPr>
          <w:color w:val="231F20"/>
          <w:w w:val="105"/>
        </w:rPr>
        <w:t>audiencias</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spacing w:val="2"/>
          <w:w w:val="105"/>
        </w:rPr>
        <w:t>secretario</w:t>
      </w:r>
      <w:r>
        <w:rPr>
          <w:color w:val="231F20"/>
          <w:spacing w:val="-13"/>
          <w:w w:val="105"/>
        </w:rPr>
        <w:t> </w:t>
      </w:r>
      <w:r>
        <w:rPr>
          <w:color w:val="231F20"/>
          <w:w w:val="105"/>
        </w:rPr>
        <w:t>del</w:t>
      </w:r>
      <w:r>
        <w:rPr>
          <w:color w:val="231F20"/>
          <w:spacing w:val="-13"/>
          <w:w w:val="105"/>
        </w:rPr>
        <w:t> </w:t>
      </w:r>
      <w:r>
        <w:rPr>
          <w:color w:val="231F20"/>
          <w:w w:val="105"/>
        </w:rPr>
        <w:t>Ayuntamiento;</w:t>
      </w:r>
      <w:r>
        <w:rPr>
          <w:color w:val="231F20"/>
          <w:spacing w:val="-13"/>
          <w:w w:val="105"/>
        </w:rPr>
        <w:t> </w:t>
      </w:r>
      <w:r>
        <w:rPr>
          <w:color w:val="231F20"/>
          <w:spacing w:val="-3"/>
          <w:w w:val="105"/>
        </w:rPr>
        <w:t>2)</w:t>
      </w:r>
      <w:r>
        <w:rPr>
          <w:color w:val="231F20"/>
          <w:spacing w:val="-13"/>
          <w:w w:val="105"/>
        </w:rPr>
        <w:t> </w:t>
      </w:r>
      <w:r>
        <w:rPr>
          <w:color w:val="231F20"/>
          <w:w w:val="105"/>
        </w:rPr>
        <w:t>la</w:t>
      </w:r>
      <w:r>
        <w:rPr>
          <w:color w:val="231F20"/>
          <w:spacing w:val="-13"/>
          <w:w w:val="105"/>
        </w:rPr>
        <w:t> </w:t>
      </w:r>
      <w:r>
        <w:rPr>
          <w:color w:val="231F20"/>
          <w:w w:val="105"/>
        </w:rPr>
        <w:t>Unidad</w:t>
      </w:r>
      <w:r>
        <w:rPr>
          <w:color w:val="231F20"/>
          <w:spacing w:val="-13"/>
          <w:w w:val="105"/>
        </w:rPr>
        <w:t> </w:t>
      </w:r>
      <w:r>
        <w:rPr>
          <w:color w:val="231F20"/>
          <w:spacing w:val="2"/>
          <w:w w:val="105"/>
        </w:rPr>
        <w:t>Municipal</w:t>
      </w:r>
      <w:r>
        <w:rPr>
          <w:color w:val="231F20"/>
          <w:spacing w:val="-13"/>
          <w:w w:val="105"/>
        </w:rPr>
        <w:t> </w:t>
      </w:r>
      <w:r>
        <w:rPr>
          <w:color w:val="231F20"/>
          <w:w w:val="105"/>
        </w:rPr>
        <w:t>de</w:t>
      </w:r>
      <w:r>
        <w:rPr>
          <w:color w:val="231F20"/>
          <w:spacing w:val="-13"/>
          <w:w w:val="105"/>
        </w:rPr>
        <w:t> </w:t>
      </w:r>
      <w:r>
        <w:rPr>
          <w:color w:val="231F20"/>
          <w:w w:val="105"/>
        </w:rPr>
        <w:t>Informa- ción. No hubo </w:t>
      </w:r>
      <w:r>
        <w:rPr>
          <w:color w:val="231F20"/>
          <w:spacing w:val="3"/>
          <w:w w:val="105"/>
        </w:rPr>
        <w:t>una </w:t>
      </w:r>
      <w:r>
        <w:rPr>
          <w:color w:val="231F20"/>
          <w:spacing w:val="2"/>
          <w:w w:val="105"/>
        </w:rPr>
        <w:t>clara definición </w:t>
      </w:r>
      <w:r>
        <w:rPr>
          <w:color w:val="231F20"/>
          <w:w w:val="105"/>
        </w:rPr>
        <w:t>de lo que el municipio debía informar, por lo que el </w:t>
      </w:r>
      <w:r>
        <w:rPr>
          <w:color w:val="231F20"/>
          <w:spacing w:val="2"/>
          <w:w w:val="105"/>
        </w:rPr>
        <w:t>alcance </w:t>
      </w:r>
      <w:r>
        <w:rPr>
          <w:color w:val="231F20"/>
          <w:w w:val="105"/>
        </w:rPr>
        <w:t>de la </w:t>
      </w:r>
      <w:r>
        <w:rPr>
          <w:color w:val="231F20"/>
          <w:spacing w:val="2"/>
          <w:w w:val="105"/>
        </w:rPr>
        <w:t>transparencia </w:t>
      </w:r>
      <w:r>
        <w:rPr>
          <w:color w:val="231F20"/>
          <w:w w:val="105"/>
        </w:rPr>
        <w:t>quedaba en manos del </w:t>
      </w:r>
      <w:r>
        <w:rPr>
          <w:color w:val="231F20"/>
          <w:spacing w:val="2"/>
          <w:w w:val="105"/>
        </w:rPr>
        <w:t>secretario, </w:t>
      </w:r>
      <w:r>
        <w:rPr>
          <w:color w:val="231F20"/>
          <w:w w:val="105"/>
        </w:rPr>
        <w:t>de la Unidad</w:t>
      </w:r>
      <w:r>
        <w:rPr>
          <w:color w:val="231F20"/>
          <w:spacing w:val="-38"/>
          <w:w w:val="105"/>
        </w:rPr>
        <w:t> </w:t>
      </w:r>
      <w:r>
        <w:rPr>
          <w:color w:val="231F20"/>
          <w:w w:val="105"/>
        </w:rPr>
        <w:t>mencio- nada o del Consejo </w:t>
      </w:r>
      <w:r>
        <w:rPr>
          <w:color w:val="231F20"/>
          <w:spacing w:val="2"/>
          <w:w w:val="105"/>
        </w:rPr>
        <w:t>Municipal </w:t>
      </w:r>
      <w:r>
        <w:rPr>
          <w:color w:val="231F20"/>
          <w:w w:val="105"/>
        </w:rPr>
        <w:t>de Transparencia (aunque el plan no consideraba </w:t>
      </w:r>
      <w:r>
        <w:rPr>
          <w:color w:val="231F20"/>
          <w:spacing w:val="2"/>
          <w:w w:val="105"/>
        </w:rPr>
        <w:t>esta </w:t>
      </w:r>
      <w:r>
        <w:rPr>
          <w:color w:val="231F20"/>
          <w:spacing w:val="3"/>
          <w:w w:val="105"/>
        </w:rPr>
        <w:t>figura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año</w:t>
      </w:r>
      <w:r>
        <w:rPr>
          <w:color w:val="231F20"/>
          <w:spacing w:val="-12"/>
          <w:w w:val="105"/>
        </w:rPr>
        <w:t> </w:t>
      </w:r>
      <w:r>
        <w:rPr>
          <w:color w:val="231F20"/>
          <w:spacing w:val="2"/>
          <w:w w:val="105"/>
        </w:rPr>
        <w:t>2006).</w:t>
      </w:r>
    </w:p>
    <w:p>
      <w:pPr>
        <w:pStyle w:val="BodyText"/>
        <w:spacing w:before="1"/>
        <w:rPr>
          <w:sz w:val="26"/>
        </w:rPr>
      </w:pPr>
    </w:p>
    <w:p>
      <w:pPr>
        <w:pStyle w:val="BodyText"/>
        <w:spacing w:line="285" w:lineRule="auto"/>
        <w:ind w:left="110" w:right="108"/>
        <w:jc w:val="both"/>
      </w:pPr>
      <w:r>
        <w:rPr>
          <w:color w:val="231F20"/>
          <w:w w:val="105"/>
        </w:rPr>
        <w:t>Los programas internos municipales que se derivaron de estas grandes líneas se enlis- tan a continuación: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right="574"/>
      </w:pPr>
      <w:r>
        <w:rPr>
          <w:color w:val="231F20"/>
          <w:w w:val="105"/>
        </w:rPr>
        <w:t>Tabla 4. Unidades estratégicas y programas del Plan de Desarrollo Municipal</w:t>
      </w:r>
    </w:p>
    <w:p>
      <w:pPr>
        <w:pStyle w:val="BodyText"/>
        <w:spacing w:before="10"/>
        <w:rPr>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b/>
                <w:sz w:val="16"/>
              </w:rPr>
            </w:pPr>
            <w:r>
              <w:rPr>
                <w:b/>
                <w:color w:val="231F20"/>
                <w:w w:val="85"/>
                <w:sz w:val="16"/>
              </w:rPr>
              <w:t>Unidad Estratégica de Seguridad Pública</w:t>
            </w:r>
          </w:p>
        </w:tc>
      </w:tr>
      <w:tr>
        <w:trPr>
          <w:trHeight w:val="130" w:hRule="exact"/>
        </w:trPr>
        <w:tc>
          <w:tcPr>
            <w:tcW w:w="7927" w:type="dxa"/>
          </w:tcPr>
          <w:p>
            <w:pPr>
              <w:pStyle w:val="TableParagraph"/>
              <w:spacing w:line="160" w:lineRule="exact"/>
              <w:ind w:right="141"/>
              <w:rPr>
                <w:sz w:val="16"/>
              </w:rPr>
            </w:pPr>
            <w:r>
              <w:rPr>
                <w:color w:val="231F20"/>
                <w:w w:val="80"/>
                <w:sz w:val="16"/>
              </w:rPr>
              <w:t>En seguridad y tránsito trabajamos como nunca</w:t>
            </w:r>
          </w:p>
        </w:tc>
      </w:tr>
      <w:tr>
        <w:trPr>
          <w:trHeight w:val="130" w:hRule="exact"/>
        </w:trPr>
        <w:tc>
          <w:tcPr>
            <w:tcW w:w="7927" w:type="dxa"/>
          </w:tcPr>
          <w:p>
            <w:pPr>
              <w:pStyle w:val="TableParagraph"/>
              <w:spacing w:line="160" w:lineRule="exact"/>
              <w:ind w:right="141"/>
              <w:rPr>
                <w:sz w:val="16"/>
              </w:rPr>
            </w:pPr>
            <w:r>
              <w:rPr>
                <w:color w:val="231F20"/>
                <w:w w:val="80"/>
                <w:sz w:val="16"/>
              </w:rPr>
              <w:t>Servicio eficaz para prevención y protección de la ciudadanía</w:t>
            </w:r>
          </w:p>
        </w:tc>
      </w:tr>
      <w:tr>
        <w:trPr>
          <w:trHeight w:val="130" w:hRule="exact"/>
        </w:trPr>
        <w:tc>
          <w:tcPr>
            <w:tcW w:w="7927" w:type="dxa"/>
          </w:tcPr>
          <w:p>
            <w:pPr>
              <w:pStyle w:val="TableParagraph"/>
              <w:spacing w:line="160" w:lineRule="exact"/>
              <w:ind w:right="141"/>
              <w:rPr>
                <w:sz w:val="16"/>
              </w:rPr>
            </w:pPr>
            <w:r>
              <w:rPr>
                <w:color w:val="231F20"/>
                <w:w w:val="80"/>
                <w:sz w:val="16"/>
              </w:rPr>
              <w:t>Registrar y verificar el cumplimiento de las decisiones del H. ayuntamiento y promover la participación ciudadana</w:t>
            </w:r>
          </w:p>
        </w:tc>
      </w:tr>
      <w:tr>
        <w:trPr>
          <w:trHeight w:val="130" w:hRule="exact"/>
        </w:trPr>
        <w:tc>
          <w:tcPr>
            <w:tcW w:w="7927" w:type="dxa"/>
          </w:tcPr>
          <w:p>
            <w:pPr>
              <w:pStyle w:val="TableParagraph"/>
              <w:spacing w:line="160" w:lineRule="exact"/>
              <w:ind w:right="141"/>
              <w:rPr>
                <w:sz w:val="16"/>
              </w:rPr>
            </w:pPr>
            <w:r>
              <w:rPr>
                <w:color w:val="231F20"/>
                <w:w w:val="80"/>
                <w:sz w:val="16"/>
              </w:rPr>
              <w:t>Infraestructura para mejorar la calidad de vida de los naucalpenses</w:t>
            </w:r>
          </w:p>
        </w:tc>
      </w:tr>
      <w:tr>
        <w:trPr>
          <w:trHeight w:val="130" w:hRule="exact"/>
        </w:trPr>
        <w:tc>
          <w:tcPr>
            <w:tcW w:w="7927" w:type="dxa"/>
          </w:tcPr>
          <w:p>
            <w:pPr>
              <w:pStyle w:val="TableParagraph"/>
              <w:spacing w:line="160" w:lineRule="exact"/>
              <w:ind w:right="141"/>
              <w:rPr>
                <w:sz w:val="16"/>
              </w:rPr>
            </w:pPr>
            <w:r>
              <w:rPr>
                <w:color w:val="231F20"/>
                <w:w w:val="80"/>
                <w:sz w:val="16"/>
              </w:rPr>
              <w:t>Unidad Estratégica para el Desarrollo Humano Integral</w:t>
            </w:r>
          </w:p>
        </w:tc>
      </w:tr>
      <w:tr>
        <w:trPr>
          <w:trHeight w:val="130" w:hRule="exact"/>
        </w:trPr>
        <w:tc>
          <w:tcPr>
            <w:tcW w:w="7927" w:type="dxa"/>
          </w:tcPr>
          <w:p>
            <w:pPr>
              <w:pStyle w:val="TableParagraph"/>
              <w:spacing w:line="160" w:lineRule="exact"/>
              <w:ind w:right="141"/>
              <w:rPr>
                <w:sz w:val="16"/>
              </w:rPr>
            </w:pPr>
            <w:r>
              <w:rPr>
                <w:color w:val="231F20"/>
                <w:w w:val="80"/>
                <w:sz w:val="16"/>
              </w:rPr>
              <w:t>Registrar y verificar el cumplimiento en las decisiones del H. Ayuntamiento y promover la participación ciudadana</w:t>
            </w:r>
          </w:p>
        </w:tc>
      </w:tr>
      <w:tr>
        <w:trPr>
          <w:trHeight w:val="130" w:hRule="exact"/>
        </w:trPr>
        <w:tc>
          <w:tcPr>
            <w:tcW w:w="7927" w:type="dxa"/>
          </w:tcPr>
          <w:p>
            <w:pPr>
              <w:pStyle w:val="TableParagraph"/>
              <w:spacing w:line="160" w:lineRule="exact"/>
              <w:ind w:right="141"/>
              <w:rPr>
                <w:sz w:val="16"/>
              </w:rPr>
            </w:pPr>
            <w:r>
              <w:rPr>
                <w:color w:val="231F20"/>
                <w:w w:val="80"/>
                <w:sz w:val="16"/>
              </w:rPr>
              <w:t>Desarrollo humano integral y asistencia social para mejorar la calidad de vida de los naucalpenses</w:t>
            </w:r>
          </w:p>
        </w:tc>
      </w:tr>
      <w:tr>
        <w:trPr>
          <w:trHeight w:val="130" w:hRule="exact"/>
        </w:trPr>
        <w:tc>
          <w:tcPr>
            <w:tcW w:w="7927" w:type="dxa"/>
          </w:tcPr>
          <w:p>
            <w:pPr>
              <w:pStyle w:val="TableParagraph"/>
              <w:spacing w:line="160" w:lineRule="exact"/>
              <w:ind w:right="141"/>
              <w:rPr>
                <w:sz w:val="16"/>
              </w:rPr>
            </w:pPr>
            <w:r>
              <w:rPr>
                <w:color w:val="231F20"/>
                <w:w w:val="80"/>
                <w:sz w:val="16"/>
              </w:rPr>
              <w:t>Desarrollo para la operación inmediata de los servicios de salud a la población</w:t>
            </w:r>
          </w:p>
        </w:tc>
      </w:tr>
      <w:tr>
        <w:trPr>
          <w:trHeight w:val="130" w:hRule="exact"/>
        </w:trPr>
        <w:tc>
          <w:tcPr>
            <w:tcW w:w="7927" w:type="dxa"/>
          </w:tcPr>
          <w:p>
            <w:pPr>
              <w:pStyle w:val="TableParagraph"/>
              <w:spacing w:line="160" w:lineRule="exact"/>
              <w:ind w:right="141"/>
              <w:rPr>
                <w:sz w:val="16"/>
              </w:rPr>
            </w:pPr>
            <w:r>
              <w:rPr>
                <w:color w:val="231F20"/>
                <w:w w:val="80"/>
                <w:sz w:val="16"/>
              </w:rPr>
              <w:t>Desarrollo social integral para los nuacalpenses</w:t>
            </w:r>
          </w:p>
        </w:tc>
      </w:tr>
      <w:tr>
        <w:trPr>
          <w:trHeight w:val="130" w:hRule="exact"/>
        </w:trPr>
        <w:tc>
          <w:tcPr>
            <w:tcW w:w="7927" w:type="dxa"/>
          </w:tcPr>
          <w:p>
            <w:pPr>
              <w:pStyle w:val="TableParagraph"/>
              <w:spacing w:line="160" w:lineRule="exact"/>
              <w:ind w:right="141"/>
              <w:rPr>
                <w:sz w:val="16"/>
              </w:rPr>
            </w:pPr>
            <w:r>
              <w:rPr>
                <w:color w:val="231F20"/>
                <w:w w:val="80"/>
                <w:sz w:val="16"/>
              </w:rPr>
              <w:t>Programas sociales para erradicar la pobreza y el rezago social en las comunidades marginadas</w:t>
            </w:r>
          </w:p>
        </w:tc>
      </w:tr>
      <w:tr>
        <w:trPr>
          <w:trHeight w:val="130" w:hRule="exact"/>
        </w:trPr>
        <w:tc>
          <w:tcPr>
            <w:tcW w:w="7927" w:type="dxa"/>
          </w:tcPr>
          <w:p>
            <w:pPr>
              <w:pStyle w:val="TableParagraph"/>
              <w:spacing w:line="160" w:lineRule="exact"/>
              <w:ind w:right="141"/>
              <w:rPr>
                <w:sz w:val="16"/>
              </w:rPr>
            </w:pPr>
            <w:r>
              <w:rPr>
                <w:color w:val="231F20"/>
                <w:w w:val="75"/>
                <w:sz w:val="16"/>
              </w:rPr>
              <w:t>Ser Mujer</w:t>
            </w:r>
          </w:p>
        </w:tc>
      </w:tr>
      <w:tr>
        <w:trPr>
          <w:trHeight w:val="130" w:hRule="exact"/>
        </w:trPr>
        <w:tc>
          <w:tcPr>
            <w:tcW w:w="7927" w:type="dxa"/>
          </w:tcPr>
          <w:p>
            <w:pPr>
              <w:pStyle w:val="TableParagraph"/>
              <w:spacing w:line="160" w:lineRule="exact"/>
              <w:ind w:right="141"/>
              <w:rPr>
                <w:sz w:val="16"/>
              </w:rPr>
            </w:pPr>
            <w:r>
              <w:rPr>
                <w:color w:val="231F20"/>
                <w:w w:val="80"/>
                <w:sz w:val="16"/>
              </w:rPr>
              <w:t>Infraestructura para mejorar la calidad de vida de los naucalpenses</w:t>
            </w:r>
          </w:p>
        </w:tc>
      </w:tr>
      <w:tr>
        <w:trPr>
          <w:trHeight w:val="130" w:hRule="exact"/>
        </w:trPr>
        <w:tc>
          <w:tcPr>
            <w:tcW w:w="7927" w:type="dxa"/>
          </w:tcPr>
          <w:p>
            <w:pPr>
              <w:pStyle w:val="TableParagraph"/>
              <w:spacing w:line="160" w:lineRule="exact"/>
              <w:ind w:right="141"/>
              <w:rPr>
                <w:b/>
                <w:sz w:val="16"/>
              </w:rPr>
            </w:pPr>
            <w:r>
              <w:rPr>
                <w:b/>
                <w:color w:val="231F20"/>
                <w:w w:val="85"/>
                <w:sz w:val="16"/>
              </w:rPr>
              <w:t>Unidad Estratégica para el Desarrollo Humano Sustentable y Protección al Medio Ambiente</w:t>
            </w:r>
          </w:p>
        </w:tc>
      </w:tr>
      <w:tr>
        <w:trPr>
          <w:trHeight w:val="130" w:hRule="exact"/>
        </w:trPr>
        <w:tc>
          <w:tcPr>
            <w:tcW w:w="7927" w:type="dxa"/>
          </w:tcPr>
          <w:p>
            <w:pPr>
              <w:pStyle w:val="TableParagraph"/>
              <w:spacing w:line="160" w:lineRule="exact"/>
              <w:ind w:right="141"/>
              <w:rPr>
                <w:sz w:val="16"/>
              </w:rPr>
            </w:pPr>
            <w:r>
              <w:rPr>
                <w:color w:val="231F20"/>
                <w:w w:val="75"/>
                <w:sz w:val="16"/>
              </w:rPr>
              <w:t>Trabajamos para ofrecer servicios eficientes y  efectivos</w:t>
            </w:r>
          </w:p>
        </w:tc>
      </w:tr>
      <w:tr>
        <w:trPr>
          <w:trHeight w:val="130" w:hRule="exact"/>
        </w:trPr>
        <w:tc>
          <w:tcPr>
            <w:tcW w:w="7927" w:type="dxa"/>
          </w:tcPr>
          <w:p>
            <w:pPr>
              <w:pStyle w:val="TableParagraph"/>
              <w:spacing w:line="160" w:lineRule="exact"/>
              <w:ind w:right="141"/>
              <w:rPr>
                <w:sz w:val="16"/>
              </w:rPr>
            </w:pPr>
            <w:r>
              <w:rPr>
                <w:color w:val="231F20"/>
                <w:w w:val="80"/>
                <w:sz w:val="16"/>
              </w:rPr>
              <w:t>Desarrollo de la Infraestructura Hidráulica del municipio para dotar de más y mejores servicios a la población</w:t>
            </w:r>
          </w:p>
        </w:tc>
      </w:tr>
      <w:tr>
        <w:trPr>
          <w:trHeight w:val="130" w:hRule="exact"/>
        </w:trPr>
        <w:tc>
          <w:tcPr>
            <w:tcW w:w="7927" w:type="dxa"/>
          </w:tcPr>
          <w:p>
            <w:pPr>
              <w:pStyle w:val="TableParagraph"/>
              <w:spacing w:line="160" w:lineRule="exact"/>
              <w:ind w:right="141"/>
              <w:rPr>
                <w:sz w:val="16"/>
              </w:rPr>
            </w:pPr>
            <w:r>
              <w:rPr>
                <w:color w:val="231F20"/>
                <w:w w:val="75"/>
                <w:sz w:val="16"/>
              </w:rPr>
              <w:t>Por un Naucalpan Ambientalmente  responsable</w:t>
            </w:r>
          </w:p>
        </w:tc>
      </w:tr>
      <w:tr>
        <w:trPr>
          <w:trHeight w:val="130" w:hRule="exact"/>
        </w:trPr>
        <w:tc>
          <w:tcPr>
            <w:tcW w:w="7927" w:type="dxa"/>
          </w:tcPr>
          <w:p>
            <w:pPr>
              <w:pStyle w:val="TableParagraph"/>
              <w:spacing w:line="160" w:lineRule="exact"/>
              <w:ind w:right="141"/>
              <w:rPr>
                <w:sz w:val="16"/>
              </w:rPr>
            </w:pPr>
            <w:r>
              <w:rPr>
                <w:color w:val="231F20"/>
                <w:w w:val="80"/>
                <w:sz w:val="16"/>
              </w:rPr>
              <w:t>Infraestructura para mejorar la calidad de vida de los naucalpenses</w:t>
            </w:r>
          </w:p>
        </w:tc>
      </w:tr>
      <w:tr>
        <w:trPr>
          <w:trHeight w:val="130" w:hRule="exact"/>
        </w:trPr>
        <w:tc>
          <w:tcPr>
            <w:tcW w:w="7927" w:type="dxa"/>
          </w:tcPr>
          <w:p>
            <w:pPr>
              <w:pStyle w:val="TableParagraph"/>
              <w:spacing w:line="160" w:lineRule="exact"/>
              <w:ind w:right="141"/>
              <w:rPr>
                <w:sz w:val="16"/>
              </w:rPr>
            </w:pPr>
            <w:r>
              <w:rPr>
                <w:color w:val="231F20"/>
                <w:w w:val="75"/>
                <w:sz w:val="16"/>
              </w:rPr>
              <w:t>Operación del plan de desarrollo urbano  municipal</w:t>
            </w:r>
          </w:p>
        </w:tc>
      </w:tr>
      <w:tr>
        <w:trPr>
          <w:trHeight w:val="130" w:hRule="exact"/>
        </w:trPr>
        <w:tc>
          <w:tcPr>
            <w:tcW w:w="7927" w:type="dxa"/>
          </w:tcPr>
          <w:p>
            <w:pPr>
              <w:pStyle w:val="TableParagraph"/>
              <w:spacing w:line="160" w:lineRule="exact"/>
              <w:ind w:right="141"/>
              <w:rPr>
                <w:sz w:val="16"/>
              </w:rPr>
            </w:pPr>
            <w:r>
              <w:rPr>
                <w:color w:val="231F20"/>
                <w:w w:val="75"/>
                <w:sz w:val="16"/>
              </w:rPr>
              <w:t>Fortalecimiento, modernización y transparencia en la administración    municipal</w:t>
            </w:r>
          </w:p>
        </w:tc>
      </w:tr>
      <w:tr>
        <w:trPr>
          <w:trHeight w:val="130" w:hRule="exact"/>
        </w:trPr>
        <w:tc>
          <w:tcPr>
            <w:tcW w:w="7927" w:type="dxa"/>
          </w:tcPr>
          <w:p>
            <w:pPr>
              <w:pStyle w:val="TableParagraph"/>
              <w:spacing w:line="160" w:lineRule="exact"/>
              <w:ind w:right="141"/>
              <w:rPr>
                <w:b/>
                <w:sz w:val="16"/>
              </w:rPr>
            </w:pPr>
            <w:r>
              <w:rPr>
                <w:b/>
                <w:color w:val="231F20"/>
                <w:w w:val="85"/>
                <w:sz w:val="16"/>
              </w:rPr>
              <w:t>Unidad Estratégica para el Desarrollo y Fortalecimiento Económico</w:t>
            </w:r>
          </w:p>
        </w:tc>
      </w:tr>
      <w:tr>
        <w:trPr>
          <w:trHeight w:val="130" w:hRule="exact"/>
        </w:trPr>
        <w:tc>
          <w:tcPr>
            <w:tcW w:w="7927" w:type="dxa"/>
          </w:tcPr>
          <w:p>
            <w:pPr>
              <w:pStyle w:val="TableParagraph"/>
              <w:spacing w:line="160" w:lineRule="exact"/>
              <w:ind w:right="141"/>
              <w:rPr>
                <w:sz w:val="16"/>
              </w:rPr>
            </w:pPr>
            <w:r>
              <w:rPr>
                <w:color w:val="231F20"/>
                <w:w w:val="80"/>
                <w:sz w:val="16"/>
              </w:rPr>
              <w:t>Trabajamos como nunca para el desarrollo económico y la generación de empleos</w:t>
            </w:r>
          </w:p>
        </w:tc>
      </w:tr>
      <w:tr>
        <w:trPr>
          <w:trHeight w:val="130" w:hRule="exact"/>
        </w:trPr>
        <w:tc>
          <w:tcPr>
            <w:tcW w:w="7927" w:type="dxa"/>
          </w:tcPr>
          <w:p>
            <w:pPr>
              <w:pStyle w:val="TableParagraph"/>
              <w:spacing w:line="160" w:lineRule="exact"/>
              <w:ind w:right="141"/>
              <w:rPr>
                <w:sz w:val="16"/>
              </w:rPr>
            </w:pPr>
            <w:r>
              <w:rPr>
                <w:color w:val="231F20"/>
                <w:w w:val="75"/>
                <w:sz w:val="16"/>
              </w:rPr>
              <w:t>Unidad Estratégica para el Fortalecimiento Institucional y   Transparencia</w:t>
            </w:r>
          </w:p>
        </w:tc>
      </w:tr>
      <w:tr>
        <w:trPr>
          <w:trHeight w:val="130" w:hRule="exact"/>
        </w:trPr>
        <w:tc>
          <w:tcPr>
            <w:tcW w:w="7927" w:type="dxa"/>
          </w:tcPr>
          <w:p>
            <w:pPr>
              <w:pStyle w:val="TableParagraph"/>
              <w:spacing w:line="160" w:lineRule="exact"/>
              <w:ind w:right="141"/>
              <w:rPr>
                <w:sz w:val="16"/>
              </w:rPr>
            </w:pPr>
            <w:r>
              <w:rPr>
                <w:color w:val="231F20"/>
                <w:w w:val="75"/>
                <w:sz w:val="16"/>
              </w:rPr>
              <w:t>Procurar, promover y defender los derechos e intereses municipales</w:t>
            </w:r>
          </w:p>
        </w:tc>
      </w:tr>
      <w:tr>
        <w:trPr>
          <w:trHeight w:val="130" w:hRule="exact"/>
        </w:trPr>
        <w:tc>
          <w:tcPr>
            <w:tcW w:w="7927" w:type="dxa"/>
          </w:tcPr>
          <w:p>
            <w:pPr>
              <w:pStyle w:val="TableParagraph"/>
              <w:spacing w:line="160" w:lineRule="exact"/>
              <w:ind w:right="141"/>
              <w:rPr>
                <w:sz w:val="16"/>
              </w:rPr>
            </w:pPr>
            <w:r>
              <w:rPr>
                <w:color w:val="231F20"/>
                <w:w w:val="75"/>
                <w:sz w:val="16"/>
              </w:rPr>
              <w:t>Modernización del marco jurídico  municipal</w:t>
            </w:r>
          </w:p>
        </w:tc>
      </w:tr>
      <w:tr>
        <w:trPr>
          <w:trHeight w:val="130" w:hRule="exact"/>
        </w:trPr>
        <w:tc>
          <w:tcPr>
            <w:tcW w:w="7927" w:type="dxa"/>
          </w:tcPr>
          <w:p>
            <w:pPr>
              <w:pStyle w:val="TableParagraph"/>
              <w:spacing w:line="160" w:lineRule="exact"/>
              <w:ind w:right="141"/>
              <w:rPr>
                <w:sz w:val="16"/>
              </w:rPr>
            </w:pPr>
            <w:r>
              <w:rPr>
                <w:color w:val="231F20"/>
                <w:w w:val="75"/>
                <w:sz w:val="16"/>
              </w:rPr>
              <w:t>Modernización y transparencia en la administración   municipal</w:t>
            </w:r>
          </w:p>
        </w:tc>
      </w:tr>
      <w:tr>
        <w:trPr>
          <w:trHeight w:val="130" w:hRule="exact"/>
        </w:trPr>
        <w:tc>
          <w:tcPr>
            <w:tcW w:w="7927" w:type="dxa"/>
          </w:tcPr>
          <w:p>
            <w:pPr>
              <w:pStyle w:val="TableParagraph"/>
              <w:spacing w:line="160" w:lineRule="exact"/>
              <w:ind w:right="141"/>
              <w:rPr>
                <w:sz w:val="16"/>
              </w:rPr>
            </w:pPr>
            <w:r>
              <w:rPr>
                <w:color w:val="231F20"/>
                <w:w w:val="80"/>
                <w:sz w:val="16"/>
              </w:rPr>
              <w:t>Registrar y verificar el cumplimiento en las decisiones del H. Ayuntamiento y promover la participación ciudadana</w:t>
            </w:r>
          </w:p>
        </w:tc>
      </w:tr>
      <w:tr>
        <w:trPr>
          <w:trHeight w:val="130" w:hRule="exact"/>
        </w:trPr>
        <w:tc>
          <w:tcPr>
            <w:tcW w:w="7927" w:type="dxa"/>
          </w:tcPr>
          <w:p>
            <w:pPr>
              <w:pStyle w:val="TableParagraph"/>
              <w:spacing w:line="160" w:lineRule="exact"/>
              <w:ind w:right="141"/>
              <w:rPr>
                <w:sz w:val="16"/>
              </w:rPr>
            </w:pPr>
            <w:r>
              <w:rPr>
                <w:color w:val="231F20"/>
                <w:w w:val="75"/>
                <w:sz w:val="16"/>
              </w:rPr>
              <w:t>Trabajamos como nunca por una Hacienda pública responsable y  transparente</w:t>
            </w:r>
          </w:p>
        </w:tc>
      </w:tr>
      <w:tr>
        <w:trPr>
          <w:trHeight w:val="130" w:hRule="exact"/>
        </w:trPr>
        <w:tc>
          <w:tcPr>
            <w:tcW w:w="7927" w:type="dxa"/>
          </w:tcPr>
          <w:p>
            <w:pPr>
              <w:pStyle w:val="TableParagraph"/>
              <w:spacing w:line="160" w:lineRule="exact"/>
              <w:ind w:right="141"/>
              <w:rPr>
                <w:sz w:val="16"/>
              </w:rPr>
            </w:pPr>
            <w:r>
              <w:rPr>
                <w:color w:val="231F20"/>
                <w:w w:val="80"/>
                <w:sz w:val="16"/>
              </w:rPr>
              <w:t>Fortalecimiento para el control de la administración pública municipal</w:t>
            </w:r>
          </w:p>
        </w:tc>
      </w:tr>
      <w:tr>
        <w:trPr>
          <w:trHeight w:val="130" w:hRule="exact"/>
        </w:trPr>
        <w:tc>
          <w:tcPr>
            <w:tcW w:w="7927" w:type="dxa"/>
          </w:tcPr>
          <w:p>
            <w:pPr>
              <w:pStyle w:val="TableParagraph"/>
              <w:spacing w:line="160" w:lineRule="exact"/>
              <w:ind w:right="141"/>
              <w:rPr>
                <w:sz w:val="16"/>
              </w:rPr>
            </w:pPr>
            <w:r>
              <w:rPr>
                <w:color w:val="231F20"/>
                <w:w w:val="80"/>
                <w:sz w:val="16"/>
              </w:rPr>
              <w:t>Generar la confianza de la ciudadanía naucalpense en el ejercicio de las atribuciones de gobierno</w:t>
            </w:r>
          </w:p>
        </w:tc>
      </w:tr>
      <w:tr>
        <w:trPr>
          <w:trHeight w:val="130" w:hRule="exact"/>
        </w:trPr>
        <w:tc>
          <w:tcPr>
            <w:tcW w:w="7927" w:type="dxa"/>
          </w:tcPr>
          <w:p>
            <w:pPr>
              <w:pStyle w:val="TableParagraph"/>
              <w:spacing w:line="160" w:lineRule="exact"/>
              <w:ind w:right="141"/>
              <w:rPr>
                <w:sz w:val="16"/>
              </w:rPr>
            </w:pPr>
            <w:r>
              <w:rPr>
                <w:color w:val="231F20"/>
                <w:w w:val="80"/>
                <w:sz w:val="16"/>
              </w:rPr>
              <w:t>Certeza y asistencia jurídica para la procuración y defensa de los intereses del municipio</w:t>
            </w:r>
          </w:p>
        </w:tc>
      </w:tr>
      <w:tr>
        <w:trPr>
          <w:trHeight w:val="130" w:hRule="exact"/>
        </w:trPr>
        <w:tc>
          <w:tcPr>
            <w:tcW w:w="7927" w:type="dxa"/>
          </w:tcPr>
          <w:p>
            <w:pPr>
              <w:pStyle w:val="TableParagraph"/>
              <w:spacing w:line="160" w:lineRule="exact"/>
              <w:ind w:right="141"/>
              <w:rPr>
                <w:sz w:val="16"/>
              </w:rPr>
            </w:pPr>
            <w:r>
              <w:rPr>
                <w:color w:val="231F20"/>
                <w:w w:val="80"/>
                <w:sz w:val="16"/>
              </w:rPr>
              <w:t>Comunicación veraz y oportuna para una sociedad más informada</w:t>
            </w:r>
          </w:p>
        </w:tc>
      </w:tr>
      <w:tr>
        <w:trPr>
          <w:trHeight w:val="130" w:hRule="exact"/>
        </w:trPr>
        <w:tc>
          <w:tcPr>
            <w:tcW w:w="7927" w:type="dxa"/>
          </w:tcPr>
          <w:p>
            <w:pPr>
              <w:pStyle w:val="TableParagraph"/>
              <w:spacing w:line="160" w:lineRule="exact"/>
              <w:ind w:right="141"/>
              <w:rPr>
                <w:sz w:val="16"/>
              </w:rPr>
            </w:pPr>
            <w:r>
              <w:rPr>
                <w:color w:val="231F20"/>
                <w:w w:val="75"/>
                <w:sz w:val="16"/>
              </w:rPr>
              <w:t>Gestión y control  administrativo</w:t>
            </w:r>
          </w:p>
        </w:tc>
      </w:tr>
    </w:tbl>
    <w:p>
      <w:pPr>
        <w:pStyle w:val="BodyText"/>
        <w:spacing w:before="7"/>
        <w:rPr>
          <w:sz w:val="16"/>
        </w:rPr>
      </w:pPr>
    </w:p>
    <w:p>
      <w:pPr>
        <w:spacing w:before="74"/>
        <w:ind w:left="4962" w:right="-2" w:firstLine="0"/>
        <w:jc w:val="left"/>
        <w:rPr>
          <w:rFonts w:ascii="Calibri"/>
          <w:sz w:val="16"/>
        </w:rPr>
      </w:pPr>
      <w:r>
        <w:rPr>
          <w:rFonts w:ascii="Calibri"/>
          <w:color w:val="231F20"/>
          <w:sz w:val="16"/>
        </w:rPr>
        <w:t>Fuente: Plan de Desarrollo Municipal, 2006-2009</w:t>
      </w:r>
    </w:p>
    <w:p>
      <w:pPr>
        <w:pStyle w:val="BodyText"/>
        <w:rPr>
          <w:rFonts w:ascii="Calibri"/>
          <w:sz w:val="16"/>
        </w:rPr>
      </w:pPr>
    </w:p>
    <w:p>
      <w:pPr>
        <w:pStyle w:val="BodyText"/>
        <w:rPr>
          <w:rFonts w:ascii="Calibri"/>
          <w:sz w:val="13"/>
        </w:rPr>
      </w:pPr>
    </w:p>
    <w:p>
      <w:pPr>
        <w:pStyle w:val="BodyText"/>
        <w:spacing w:line="285" w:lineRule="auto"/>
        <w:ind w:left="110" w:right="107"/>
        <w:jc w:val="both"/>
      </w:pPr>
      <w:r>
        <w:rPr>
          <w:color w:val="231F20"/>
          <w:w w:val="105"/>
        </w:rPr>
        <w:t>En</w:t>
      </w:r>
      <w:r>
        <w:rPr>
          <w:color w:val="231F20"/>
          <w:spacing w:val="-7"/>
          <w:w w:val="105"/>
        </w:rPr>
        <w:t> </w:t>
      </w:r>
      <w:r>
        <w:rPr>
          <w:color w:val="231F20"/>
          <w:w w:val="105"/>
        </w:rPr>
        <w:t>resumen,</w:t>
      </w:r>
      <w:r>
        <w:rPr>
          <w:color w:val="231F20"/>
          <w:spacing w:val="-7"/>
          <w:w w:val="105"/>
        </w:rPr>
        <w:t> </w:t>
      </w:r>
      <w:r>
        <w:rPr>
          <w:color w:val="231F20"/>
          <w:w w:val="105"/>
        </w:rPr>
        <w:t>el</w:t>
      </w:r>
      <w:r>
        <w:rPr>
          <w:color w:val="231F20"/>
          <w:spacing w:val="-7"/>
          <w:w w:val="105"/>
        </w:rPr>
        <w:t> </w:t>
      </w:r>
      <w:r>
        <w:rPr>
          <w:color w:val="231F20"/>
          <w:w w:val="105"/>
        </w:rPr>
        <w:t>Plan</w:t>
      </w:r>
      <w:r>
        <w:rPr>
          <w:color w:val="231F20"/>
          <w:spacing w:val="-7"/>
          <w:w w:val="105"/>
        </w:rPr>
        <w:t> </w:t>
      </w:r>
      <w:r>
        <w:rPr>
          <w:color w:val="231F20"/>
          <w:w w:val="105"/>
        </w:rPr>
        <w:t>Municipal</w:t>
      </w:r>
      <w:r>
        <w:rPr>
          <w:color w:val="231F20"/>
          <w:spacing w:val="-7"/>
          <w:w w:val="105"/>
        </w:rPr>
        <w:t> </w:t>
      </w:r>
      <w:r>
        <w:rPr>
          <w:color w:val="231F20"/>
          <w:w w:val="105"/>
        </w:rPr>
        <w:t>de</w:t>
      </w:r>
      <w:r>
        <w:rPr>
          <w:color w:val="231F20"/>
          <w:spacing w:val="-7"/>
          <w:w w:val="105"/>
        </w:rPr>
        <w:t> </w:t>
      </w:r>
      <w:r>
        <w:rPr>
          <w:color w:val="231F20"/>
          <w:w w:val="105"/>
        </w:rPr>
        <w:t>Desarrollo</w:t>
      </w:r>
      <w:r>
        <w:rPr>
          <w:color w:val="231F20"/>
          <w:spacing w:val="-7"/>
          <w:w w:val="105"/>
        </w:rPr>
        <w:t> </w:t>
      </w:r>
      <w:r>
        <w:rPr>
          <w:color w:val="231F20"/>
          <w:w w:val="105"/>
        </w:rPr>
        <w:t>tuvo</w:t>
      </w:r>
      <w:r>
        <w:rPr>
          <w:color w:val="231F20"/>
          <w:spacing w:val="-7"/>
          <w:w w:val="105"/>
        </w:rPr>
        <w:t> </w:t>
      </w:r>
      <w:r>
        <w:rPr>
          <w:color w:val="231F20"/>
          <w:w w:val="105"/>
        </w:rPr>
        <w:t>como</w:t>
      </w:r>
      <w:r>
        <w:rPr>
          <w:color w:val="231F20"/>
          <w:spacing w:val="-7"/>
          <w:w w:val="105"/>
        </w:rPr>
        <w:t> </w:t>
      </w:r>
      <w:r>
        <w:rPr>
          <w:color w:val="231F20"/>
          <w:w w:val="105"/>
        </w:rPr>
        <w:t>objetivo</w:t>
      </w:r>
      <w:r>
        <w:rPr>
          <w:color w:val="231F20"/>
          <w:spacing w:val="-7"/>
          <w:w w:val="105"/>
        </w:rPr>
        <w:t> </w:t>
      </w:r>
      <w:r>
        <w:rPr>
          <w:color w:val="231F20"/>
          <w:w w:val="105"/>
        </w:rPr>
        <w:t>fundamental</w:t>
      </w:r>
      <w:r>
        <w:rPr>
          <w:color w:val="231F20"/>
          <w:spacing w:val="-7"/>
          <w:w w:val="105"/>
        </w:rPr>
        <w:t> </w:t>
      </w:r>
      <w:r>
        <w:rPr>
          <w:color w:val="231F20"/>
          <w:w w:val="105"/>
        </w:rPr>
        <w:t>el</w:t>
      </w:r>
      <w:r>
        <w:rPr>
          <w:color w:val="231F20"/>
          <w:spacing w:val="-7"/>
          <w:w w:val="105"/>
        </w:rPr>
        <w:t> </w:t>
      </w:r>
      <w:r>
        <w:rPr>
          <w:color w:val="231F20"/>
          <w:w w:val="105"/>
        </w:rPr>
        <w:t>cum- plimiento</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aplicación</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leyes,</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spacing w:val="2"/>
          <w:w w:val="105"/>
        </w:rPr>
        <w:t>fin</w:t>
      </w:r>
      <w:r>
        <w:rPr>
          <w:color w:val="231F20"/>
          <w:spacing w:val="-20"/>
          <w:w w:val="105"/>
        </w:rPr>
        <w:t> </w:t>
      </w:r>
      <w:r>
        <w:rPr>
          <w:color w:val="231F20"/>
          <w:w w:val="105"/>
        </w:rPr>
        <w:t>de</w:t>
      </w:r>
      <w:r>
        <w:rPr>
          <w:color w:val="231F20"/>
          <w:spacing w:val="-20"/>
          <w:w w:val="105"/>
        </w:rPr>
        <w:t> </w:t>
      </w:r>
      <w:r>
        <w:rPr>
          <w:color w:val="231F20"/>
          <w:w w:val="105"/>
        </w:rPr>
        <w:t>garantizar</w:t>
      </w:r>
      <w:r>
        <w:rPr>
          <w:color w:val="231F20"/>
          <w:spacing w:val="-20"/>
          <w:w w:val="105"/>
        </w:rPr>
        <w:t> </w:t>
      </w:r>
      <w:r>
        <w:rPr>
          <w:color w:val="231F20"/>
          <w:w w:val="105"/>
        </w:rPr>
        <w:t>la</w:t>
      </w:r>
      <w:r>
        <w:rPr>
          <w:color w:val="231F20"/>
          <w:spacing w:val="-20"/>
          <w:w w:val="105"/>
        </w:rPr>
        <w:t> </w:t>
      </w:r>
      <w:r>
        <w:rPr>
          <w:color w:val="231F20"/>
          <w:w w:val="105"/>
        </w:rPr>
        <w:t>seguridad</w:t>
      </w:r>
      <w:r>
        <w:rPr>
          <w:color w:val="231F20"/>
          <w:spacing w:val="-20"/>
          <w:w w:val="105"/>
        </w:rPr>
        <w:t> </w:t>
      </w:r>
      <w:r>
        <w:rPr>
          <w:color w:val="231F20"/>
          <w:w w:val="105"/>
        </w:rPr>
        <w:t>pública,</w:t>
      </w:r>
      <w:r>
        <w:rPr>
          <w:color w:val="231F20"/>
          <w:spacing w:val="-20"/>
          <w:w w:val="105"/>
        </w:rPr>
        <w:t> </w:t>
      </w:r>
      <w:r>
        <w:rPr>
          <w:color w:val="231F20"/>
          <w:w w:val="105"/>
        </w:rPr>
        <w:t>hacer más eficiente la recaudación de impuestos, invertir en infraestructura para mejorar la calidad de vida de los habitantes, estimular la inversión privada para la generación de empleos,</w:t>
      </w:r>
      <w:r>
        <w:rPr>
          <w:color w:val="231F20"/>
          <w:spacing w:val="-10"/>
          <w:w w:val="105"/>
        </w:rPr>
        <w:t> </w:t>
      </w:r>
      <w:r>
        <w:rPr>
          <w:color w:val="231F20"/>
          <w:w w:val="105"/>
        </w:rPr>
        <w:t>fomentar</w:t>
      </w:r>
      <w:r>
        <w:rPr>
          <w:color w:val="231F20"/>
          <w:spacing w:val="-10"/>
          <w:w w:val="105"/>
        </w:rPr>
        <w:t> </w:t>
      </w:r>
      <w:r>
        <w:rPr>
          <w:color w:val="231F20"/>
          <w:w w:val="105"/>
        </w:rPr>
        <w:t>la</w:t>
      </w:r>
      <w:r>
        <w:rPr>
          <w:color w:val="231F20"/>
          <w:spacing w:val="-10"/>
          <w:w w:val="105"/>
        </w:rPr>
        <w:t> </w:t>
      </w:r>
      <w:r>
        <w:rPr>
          <w:color w:val="231F20"/>
          <w:w w:val="105"/>
        </w:rPr>
        <w:t>participación</w:t>
      </w:r>
      <w:r>
        <w:rPr>
          <w:color w:val="231F20"/>
          <w:spacing w:val="-10"/>
          <w:w w:val="105"/>
        </w:rPr>
        <w:t> </w:t>
      </w:r>
      <w:r>
        <w:rPr>
          <w:color w:val="231F20"/>
          <w:w w:val="105"/>
        </w:rPr>
        <w:t>ciudadana</w:t>
      </w:r>
      <w:r>
        <w:rPr>
          <w:color w:val="231F20"/>
          <w:spacing w:val="-10"/>
          <w:w w:val="105"/>
        </w:rPr>
        <w:t> </w:t>
      </w:r>
      <w:r>
        <w:rPr>
          <w:color w:val="231F20"/>
          <w:w w:val="105"/>
        </w:rPr>
        <w:t>de</w:t>
      </w:r>
      <w:r>
        <w:rPr>
          <w:color w:val="231F20"/>
          <w:spacing w:val="-10"/>
          <w:w w:val="105"/>
        </w:rPr>
        <w:t> </w:t>
      </w:r>
      <w:r>
        <w:rPr>
          <w:color w:val="231F20"/>
          <w:w w:val="105"/>
        </w:rPr>
        <w:t>carácter</w:t>
      </w:r>
      <w:r>
        <w:rPr>
          <w:color w:val="231F20"/>
          <w:spacing w:val="-10"/>
          <w:w w:val="105"/>
        </w:rPr>
        <w:t> </w:t>
      </w:r>
      <w:r>
        <w:rPr>
          <w:color w:val="231F20"/>
          <w:w w:val="105"/>
        </w:rPr>
        <w:t>testimonial</w:t>
      </w:r>
      <w:r>
        <w:rPr>
          <w:color w:val="231F20"/>
          <w:spacing w:val="-10"/>
          <w:w w:val="105"/>
        </w:rPr>
        <w:t> </w:t>
      </w:r>
      <w:r>
        <w:rPr>
          <w:color w:val="231F20"/>
          <w:w w:val="105"/>
        </w:rPr>
        <w:t>y</w:t>
      </w:r>
      <w:r>
        <w:rPr>
          <w:color w:val="231F20"/>
          <w:spacing w:val="-10"/>
          <w:w w:val="105"/>
        </w:rPr>
        <w:t> </w:t>
      </w:r>
      <w:r>
        <w:rPr>
          <w:color w:val="231F20"/>
          <w:spacing w:val="-3"/>
          <w:w w:val="105"/>
        </w:rPr>
        <w:t>promover</w:t>
      </w:r>
      <w:r>
        <w:rPr>
          <w:color w:val="231F20"/>
          <w:spacing w:val="-10"/>
          <w:w w:val="105"/>
        </w:rPr>
        <w:t> </w:t>
      </w:r>
      <w:r>
        <w:rPr>
          <w:color w:val="231F20"/>
          <w:w w:val="105"/>
        </w:rPr>
        <w:t>el</w:t>
      </w:r>
      <w:r>
        <w:rPr>
          <w:color w:val="231F20"/>
          <w:spacing w:val="-10"/>
          <w:w w:val="105"/>
        </w:rPr>
        <w:t> </w:t>
      </w:r>
      <w:r>
        <w:rPr>
          <w:color w:val="231F20"/>
          <w:spacing w:val="-3"/>
          <w:w w:val="105"/>
        </w:rPr>
        <w:t>ac- </w:t>
      </w:r>
      <w:r>
        <w:rPr>
          <w:color w:val="231F20"/>
          <w:w w:val="105"/>
        </w:rPr>
        <w:t>ceso a la información. </w:t>
      </w:r>
      <w:r>
        <w:rPr>
          <w:color w:val="231F20"/>
          <w:spacing w:val="-3"/>
          <w:w w:val="105"/>
        </w:rPr>
        <w:t>Pero </w:t>
      </w:r>
      <w:r>
        <w:rPr>
          <w:color w:val="231F20"/>
          <w:w w:val="105"/>
        </w:rPr>
        <w:t>sus planteamientos en torno a varios de estos temas resul- taron</w:t>
      </w:r>
      <w:r>
        <w:rPr>
          <w:color w:val="231F20"/>
          <w:spacing w:val="-5"/>
          <w:w w:val="105"/>
        </w:rPr>
        <w:t> </w:t>
      </w:r>
      <w:r>
        <w:rPr>
          <w:color w:val="231F20"/>
          <w:w w:val="105"/>
        </w:rPr>
        <w:t>insuficientes</w:t>
      </w:r>
      <w:r>
        <w:rPr>
          <w:color w:val="231F20"/>
          <w:spacing w:val="-5"/>
          <w:w w:val="105"/>
        </w:rPr>
        <w:t> </w:t>
      </w:r>
      <w:r>
        <w:rPr>
          <w:color w:val="231F20"/>
          <w:w w:val="105"/>
        </w:rPr>
        <w:t>para:</w:t>
      </w:r>
      <w:r>
        <w:rPr>
          <w:color w:val="231F20"/>
          <w:spacing w:val="-5"/>
          <w:w w:val="105"/>
        </w:rPr>
        <w:t> </w:t>
      </w:r>
      <w:r>
        <w:rPr>
          <w:color w:val="231F20"/>
          <w:w w:val="105"/>
        </w:rPr>
        <w:t>combatir</w:t>
      </w:r>
      <w:r>
        <w:rPr>
          <w:color w:val="231F20"/>
          <w:spacing w:val="-5"/>
          <w:w w:val="105"/>
        </w:rPr>
        <w:t> </w:t>
      </w:r>
      <w:r>
        <w:rPr>
          <w:color w:val="231F20"/>
          <w:w w:val="105"/>
        </w:rPr>
        <w:t>la</w:t>
      </w:r>
      <w:r>
        <w:rPr>
          <w:color w:val="231F20"/>
          <w:spacing w:val="-5"/>
          <w:w w:val="105"/>
        </w:rPr>
        <w:t> </w:t>
      </w:r>
      <w:r>
        <w:rPr>
          <w:color w:val="231F20"/>
          <w:w w:val="105"/>
        </w:rPr>
        <w:t>corrupción;</w:t>
      </w:r>
      <w:r>
        <w:rPr>
          <w:color w:val="231F20"/>
          <w:spacing w:val="-5"/>
          <w:w w:val="105"/>
        </w:rPr>
        <w:t> </w:t>
      </w:r>
      <w:r>
        <w:rPr>
          <w:color w:val="231F20"/>
          <w:w w:val="105"/>
        </w:rPr>
        <w:t>eliminar</w:t>
      </w:r>
      <w:r>
        <w:rPr>
          <w:color w:val="231F20"/>
          <w:spacing w:val="-5"/>
          <w:w w:val="105"/>
        </w:rPr>
        <w:t> </w:t>
      </w:r>
      <w:r>
        <w:rPr>
          <w:color w:val="231F20"/>
          <w:w w:val="105"/>
        </w:rPr>
        <w:t>el</w:t>
      </w:r>
      <w:r>
        <w:rPr>
          <w:color w:val="231F20"/>
          <w:spacing w:val="-5"/>
          <w:w w:val="105"/>
        </w:rPr>
        <w:t> </w:t>
      </w:r>
      <w:r>
        <w:rPr>
          <w:color w:val="231F20"/>
          <w:w w:val="105"/>
        </w:rPr>
        <w:t>paternalismo</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cultura política de la ciudadanía; instaurar una participación ciudadana que no fuera testimo- </w:t>
      </w:r>
      <w:r>
        <w:rPr>
          <w:color w:val="231F20"/>
          <w:spacing w:val="2"/>
          <w:w w:val="105"/>
        </w:rPr>
        <w:t>nial </w:t>
      </w:r>
      <w:r>
        <w:rPr>
          <w:color w:val="231F20"/>
          <w:w w:val="105"/>
        </w:rPr>
        <w:t>ni consultiva; establecer una política de generación de empleos; instaurar una po- lítica ambientalista extensa y poderosa; transparentar todos los procesos involucrados con</w:t>
      </w:r>
      <w:r>
        <w:rPr>
          <w:color w:val="231F20"/>
          <w:spacing w:val="-10"/>
          <w:w w:val="105"/>
        </w:rPr>
        <w:t> </w:t>
      </w:r>
      <w:r>
        <w:rPr>
          <w:color w:val="231F20"/>
          <w:w w:val="105"/>
        </w:rPr>
        <w:t>el</w:t>
      </w:r>
      <w:r>
        <w:rPr>
          <w:color w:val="231F20"/>
          <w:spacing w:val="-10"/>
          <w:w w:val="105"/>
        </w:rPr>
        <w:t> </w:t>
      </w:r>
      <w:r>
        <w:rPr>
          <w:color w:val="231F20"/>
          <w:w w:val="105"/>
        </w:rPr>
        <w:t>quehacer</w:t>
      </w:r>
      <w:r>
        <w:rPr>
          <w:color w:val="231F20"/>
          <w:spacing w:val="-10"/>
          <w:w w:val="105"/>
        </w:rPr>
        <w:t> </w:t>
      </w:r>
      <w:r>
        <w:rPr>
          <w:color w:val="231F20"/>
          <w:w w:val="105"/>
        </w:rPr>
        <w:t>cotidiano</w:t>
      </w:r>
      <w:r>
        <w:rPr>
          <w:color w:val="231F20"/>
          <w:spacing w:val="-10"/>
          <w:w w:val="105"/>
        </w:rPr>
        <w:t> </w:t>
      </w:r>
      <w:r>
        <w:rPr>
          <w:color w:val="231F20"/>
          <w:w w:val="105"/>
        </w:rPr>
        <w:t>del</w:t>
      </w:r>
      <w:r>
        <w:rPr>
          <w:color w:val="231F20"/>
          <w:spacing w:val="-10"/>
          <w:w w:val="105"/>
        </w:rPr>
        <w:t> </w:t>
      </w:r>
      <w:r>
        <w:rPr>
          <w:color w:val="231F20"/>
          <w:w w:val="105"/>
        </w:rPr>
        <w:t>gobierno</w:t>
      </w:r>
      <w:r>
        <w:rPr>
          <w:color w:val="231F20"/>
          <w:spacing w:val="-10"/>
          <w:w w:val="105"/>
        </w:rPr>
        <w:t> </w:t>
      </w:r>
      <w:r>
        <w:rPr>
          <w:color w:val="231F20"/>
          <w:w w:val="105"/>
        </w:rPr>
        <w:t>municipal</w:t>
      </w:r>
      <w:r>
        <w:rPr>
          <w:color w:val="231F20"/>
          <w:spacing w:val="-10"/>
          <w:w w:val="105"/>
        </w:rPr>
        <w:t> </w:t>
      </w:r>
      <w:r>
        <w:rPr>
          <w:color w:val="231F20"/>
          <w:spacing w:val="-7"/>
          <w:w w:val="105"/>
        </w:rPr>
        <w:t>y,</w:t>
      </w:r>
      <w:r>
        <w:rPr>
          <w:color w:val="231F20"/>
          <w:spacing w:val="-10"/>
          <w:w w:val="105"/>
        </w:rPr>
        <w:t> </w:t>
      </w:r>
      <w:r>
        <w:rPr>
          <w:color w:val="231F20"/>
          <w:w w:val="105"/>
        </w:rPr>
        <w:t>principalmente,</w:t>
      </w:r>
      <w:r>
        <w:rPr>
          <w:color w:val="231F20"/>
          <w:spacing w:val="-10"/>
          <w:w w:val="105"/>
        </w:rPr>
        <w:t> </w:t>
      </w:r>
      <w:r>
        <w:rPr>
          <w:color w:val="231F20"/>
          <w:w w:val="105"/>
        </w:rPr>
        <w:t>para</w:t>
      </w:r>
      <w:r>
        <w:rPr>
          <w:color w:val="231F20"/>
          <w:spacing w:val="-10"/>
          <w:w w:val="105"/>
        </w:rPr>
        <w:t> </w:t>
      </w:r>
      <w:r>
        <w:rPr>
          <w:color w:val="231F20"/>
          <w:w w:val="105"/>
        </w:rPr>
        <w:t>establecer</w:t>
      </w:r>
      <w:r>
        <w:rPr>
          <w:color w:val="231F20"/>
          <w:spacing w:val="-10"/>
          <w:w w:val="105"/>
        </w:rPr>
        <w:t> </w:t>
      </w:r>
      <w:r>
        <w:rPr>
          <w:color w:val="231F20"/>
          <w:w w:val="105"/>
        </w:rPr>
        <w:t>un sólido</w:t>
      </w:r>
      <w:r>
        <w:rPr>
          <w:color w:val="231F20"/>
          <w:spacing w:val="-18"/>
          <w:w w:val="105"/>
        </w:rPr>
        <w:t> </w:t>
      </w:r>
      <w:r>
        <w:rPr>
          <w:color w:val="231F20"/>
          <w:w w:val="105"/>
        </w:rPr>
        <w:t>sistema</w:t>
      </w:r>
      <w:r>
        <w:rPr>
          <w:color w:val="231F20"/>
          <w:spacing w:val="-18"/>
          <w:w w:val="105"/>
        </w:rPr>
        <w:t> </w:t>
      </w:r>
      <w:r>
        <w:rPr>
          <w:color w:val="231F20"/>
          <w:w w:val="105"/>
        </w:rPr>
        <w:t>de</w:t>
      </w:r>
      <w:r>
        <w:rPr>
          <w:color w:val="231F20"/>
          <w:spacing w:val="-18"/>
          <w:w w:val="105"/>
        </w:rPr>
        <w:t> </w:t>
      </w:r>
      <w:r>
        <w:rPr>
          <w:color w:val="231F20"/>
          <w:w w:val="105"/>
        </w:rPr>
        <w:t>rendición</w:t>
      </w:r>
      <w:r>
        <w:rPr>
          <w:color w:val="231F20"/>
          <w:spacing w:val="-18"/>
          <w:w w:val="105"/>
        </w:rPr>
        <w:t> </w:t>
      </w:r>
      <w:r>
        <w:rPr>
          <w:color w:val="231F20"/>
          <w:w w:val="105"/>
        </w:rPr>
        <w:t>de</w:t>
      </w:r>
      <w:r>
        <w:rPr>
          <w:color w:val="231F20"/>
          <w:spacing w:val="-18"/>
          <w:w w:val="105"/>
        </w:rPr>
        <w:t> </w:t>
      </w:r>
      <w:r>
        <w:rPr>
          <w:color w:val="231F20"/>
          <w:w w:val="105"/>
        </w:rPr>
        <w:t>cuentas.</w:t>
      </w:r>
      <w:r>
        <w:rPr>
          <w:color w:val="231F20"/>
          <w:spacing w:val="-18"/>
          <w:w w:val="105"/>
        </w:rPr>
        <w:t> </w:t>
      </w:r>
      <w:r>
        <w:rPr>
          <w:color w:val="231F20"/>
          <w:spacing w:val="3"/>
          <w:w w:val="105"/>
        </w:rPr>
        <w:t>Al</w:t>
      </w:r>
      <w:r>
        <w:rPr>
          <w:color w:val="231F20"/>
          <w:spacing w:val="-18"/>
          <w:w w:val="105"/>
        </w:rPr>
        <w:t> </w:t>
      </w:r>
      <w:r>
        <w:rPr>
          <w:color w:val="231F20"/>
          <w:w w:val="105"/>
        </w:rPr>
        <w:t>respecto,</w:t>
      </w:r>
      <w:r>
        <w:rPr>
          <w:color w:val="231F20"/>
          <w:spacing w:val="-18"/>
          <w:w w:val="105"/>
        </w:rPr>
        <w:t> </w:t>
      </w:r>
      <w:r>
        <w:rPr>
          <w:color w:val="231F20"/>
          <w:w w:val="105"/>
        </w:rPr>
        <w:t>no</w:t>
      </w:r>
      <w:r>
        <w:rPr>
          <w:color w:val="231F20"/>
          <w:spacing w:val="-18"/>
          <w:w w:val="105"/>
        </w:rPr>
        <w:t> </w:t>
      </w:r>
      <w:r>
        <w:rPr>
          <w:color w:val="231F20"/>
          <w:w w:val="105"/>
        </w:rPr>
        <w:t>hubo</w:t>
      </w:r>
      <w:r>
        <w:rPr>
          <w:color w:val="231F20"/>
          <w:spacing w:val="-18"/>
          <w:w w:val="105"/>
        </w:rPr>
        <w:t> </w:t>
      </w:r>
      <w:r>
        <w:rPr>
          <w:color w:val="231F20"/>
          <w:w w:val="105"/>
        </w:rPr>
        <w:t>una</w:t>
      </w:r>
      <w:r>
        <w:rPr>
          <w:color w:val="231F20"/>
          <w:spacing w:val="-18"/>
          <w:w w:val="105"/>
        </w:rPr>
        <w:t> </w:t>
      </w:r>
      <w:r>
        <w:rPr>
          <w:color w:val="231F20"/>
          <w:w w:val="105"/>
        </w:rPr>
        <w:t>sola</w:t>
      </w:r>
      <w:r>
        <w:rPr>
          <w:color w:val="231F20"/>
          <w:spacing w:val="-18"/>
          <w:w w:val="105"/>
        </w:rPr>
        <w:t> </w:t>
      </w:r>
      <w:r>
        <w:rPr>
          <w:color w:val="231F20"/>
          <w:w w:val="105"/>
        </w:rPr>
        <w:t>acción</w:t>
      </w:r>
      <w:r>
        <w:rPr>
          <w:color w:val="231F20"/>
          <w:spacing w:val="-18"/>
          <w:w w:val="105"/>
        </w:rPr>
        <w:t> </w:t>
      </w:r>
      <w:r>
        <w:rPr>
          <w:color w:val="231F20"/>
          <w:w w:val="105"/>
        </w:rPr>
        <w:t>estratégica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concreta que se planeara utilizar, por lo que quedó como una deuda de la planeación panista a principios del trienio.</w:t>
      </w:r>
    </w:p>
    <w:p>
      <w:pPr>
        <w:pStyle w:val="BodyText"/>
        <w:spacing w:before="3"/>
        <w:rPr>
          <w:sz w:val="20"/>
        </w:rPr>
      </w:pPr>
    </w:p>
    <w:p>
      <w:pPr>
        <w:pStyle w:val="Heading4"/>
        <w:rPr>
          <w:i/>
        </w:rPr>
      </w:pPr>
      <w:r>
        <w:rPr>
          <w:i/>
          <w:color w:val="231F20"/>
          <w:w w:val="105"/>
        </w:rPr>
        <w:t>Los resultados del gobierno municipal</w:t>
      </w:r>
    </w:p>
    <w:p>
      <w:pPr>
        <w:pStyle w:val="BodyText"/>
        <w:spacing w:line="285" w:lineRule="auto" w:before="17"/>
        <w:ind w:left="110" w:right="107"/>
        <w:jc w:val="both"/>
      </w:pPr>
      <w:r>
        <w:rPr>
          <w:color w:val="231F20"/>
          <w:w w:val="105"/>
        </w:rPr>
        <w:t>Cubiertos dos años de gestión, se puede hacer una evaluación preliminar </w:t>
      </w:r>
      <w:r>
        <w:rPr>
          <w:color w:val="231F20"/>
          <w:spacing w:val="2"/>
          <w:w w:val="105"/>
        </w:rPr>
        <w:t>al </w:t>
      </w:r>
      <w:r>
        <w:rPr>
          <w:color w:val="231F20"/>
          <w:w w:val="105"/>
        </w:rPr>
        <w:t>respecto. Si</w:t>
      </w:r>
      <w:r>
        <w:rPr>
          <w:color w:val="231F20"/>
          <w:spacing w:val="-8"/>
          <w:w w:val="105"/>
        </w:rPr>
        <w:t> </w:t>
      </w:r>
      <w:r>
        <w:rPr>
          <w:color w:val="231F20"/>
          <w:w w:val="105"/>
        </w:rPr>
        <w:t>bien</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informes</w:t>
      </w:r>
      <w:r>
        <w:rPr>
          <w:color w:val="231F20"/>
          <w:spacing w:val="-8"/>
          <w:w w:val="105"/>
        </w:rPr>
        <w:t> </w:t>
      </w:r>
      <w:r>
        <w:rPr>
          <w:color w:val="231F20"/>
          <w:w w:val="105"/>
        </w:rPr>
        <w:t>de</w:t>
      </w:r>
      <w:r>
        <w:rPr>
          <w:color w:val="231F20"/>
          <w:spacing w:val="-8"/>
          <w:w w:val="105"/>
        </w:rPr>
        <w:t> </w:t>
      </w:r>
      <w:r>
        <w:rPr>
          <w:color w:val="231F20"/>
          <w:w w:val="105"/>
        </w:rPr>
        <w:t>gobierno</w:t>
      </w:r>
      <w:r>
        <w:rPr>
          <w:color w:val="231F20"/>
          <w:spacing w:val="-8"/>
          <w:w w:val="105"/>
        </w:rPr>
        <w:t> </w:t>
      </w:r>
      <w:r>
        <w:rPr>
          <w:color w:val="231F20"/>
          <w:w w:val="105"/>
        </w:rPr>
        <w:t>se</w:t>
      </w:r>
      <w:r>
        <w:rPr>
          <w:color w:val="231F20"/>
          <w:spacing w:val="-8"/>
          <w:w w:val="105"/>
        </w:rPr>
        <w:t> </w:t>
      </w:r>
      <w:r>
        <w:rPr>
          <w:color w:val="231F20"/>
          <w:w w:val="105"/>
        </w:rPr>
        <w:t>recuperaron</w:t>
      </w:r>
      <w:r>
        <w:rPr>
          <w:color w:val="231F20"/>
          <w:spacing w:val="-8"/>
          <w:w w:val="105"/>
        </w:rPr>
        <w:t> </w:t>
      </w:r>
      <w:r>
        <w:rPr>
          <w:color w:val="231F20"/>
          <w:w w:val="105"/>
        </w:rPr>
        <w:t>las</w:t>
      </w:r>
      <w:r>
        <w:rPr>
          <w:color w:val="231F20"/>
          <w:spacing w:val="-8"/>
          <w:w w:val="105"/>
        </w:rPr>
        <w:t> </w:t>
      </w:r>
      <w:r>
        <w:rPr>
          <w:color w:val="231F20"/>
          <w:w w:val="105"/>
        </w:rPr>
        <w:t>unidades</w:t>
      </w:r>
      <w:r>
        <w:rPr>
          <w:color w:val="231F20"/>
          <w:spacing w:val="-8"/>
          <w:w w:val="105"/>
        </w:rPr>
        <w:t> </w:t>
      </w:r>
      <w:r>
        <w:rPr>
          <w:color w:val="231F20"/>
          <w:w w:val="105"/>
        </w:rPr>
        <w:t>estratégicas,</w:t>
      </w:r>
      <w:r>
        <w:rPr>
          <w:color w:val="231F20"/>
          <w:spacing w:val="-8"/>
          <w:w w:val="105"/>
        </w:rPr>
        <w:t> </w:t>
      </w:r>
      <w:r>
        <w:rPr>
          <w:color w:val="231F20"/>
          <w:w w:val="105"/>
        </w:rPr>
        <w:t>hubo</w:t>
      </w:r>
      <w:r>
        <w:rPr>
          <w:color w:val="231F20"/>
          <w:spacing w:val="-8"/>
          <w:w w:val="105"/>
        </w:rPr>
        <w:t> </w:t>
      </w:r>
      <w:r>
        <w:rPr>
          <w:color w:val="231F20"/>
          <w:w w:val="105"/>
        </w:rPr>
        <w:t>una gran diferencia entre ambos: mientras que en el primero se daba una evaluación tanto cualitativa</w:t>
      </w:r>
      <w:r>
        <w:rPr>
          <w:color w:val="231F20"/>
          <w:spacing w:val="-10"/>
          <w:w w:val="105"/>
        </w:rPr>
        <w:t> </w:t>
      </w:r>
      <w:r>
        <w:rPr>
          <w:color w:val="231F20"/>
          <w:w w:val="105"/>
        </w:rPr>
        <w:t>como</w:t>
      </w:r>
      <w:r>
        <w:rPr>
          <w:color w:val="231F20"/>
          <w:spacing w:val="-10"/>
          <w:w w:val="105"/>
        </w:rPr>
        <w:t> </w:t>
      </w:r>
      <w:r>
        <w:rPr>
          <w:color w:val="231F20"/>
          <w:w w:val="105"/>
        </w:rPr>
        <w:t>cuantitativa,</w:t>
      </w:r>
      <w:r>
        <w:rPr>
          <w:color w:val="231F20"/>
          <w:spacing w:val="-10"/>
          <w:w w:val="105"/>
        </w:rPr>
        <w:t> </w:t>
      </w:r>
      <w:r>
        <w:rPr>
          <w:color w:val="231F20"/>
          <w:w w:val="105"/>
        </w:rPr>
        <w:t>el</w:t>
      </w:r>
      <w:r>
        <w:rPr>
          <w:color w:val="231F20"/>
          <w:spacing w:val="-10"/>
          <w:w w:val="105"/>
        </w:rPr>
        <w:t> </w:t>
      </w:r>
      <w:r>
        <w:rPr>
          <w:color w:val="231F20"/>
          <w:w w:val="105"/>
        </w:rPr>
        <w:t>segundo</w:t>
      </w:r>
      <w:r>
        <w:rPr>
          <w:color w:val="231F20"/>
          <w:spacing w:val="-10"/>
          <w:w w:val="105"/>
        </w:rPr>
        <w:t> </w:t>
      </w:r>
      <w:r>
        <w:rPr>
          <w:color w:val="231F20"/>
          <w:w w:val="105"/>
        </w:rPr>
        <w:t>fue</w:t>
      </w:r>
      <w:r>
        <w:rPr>
          <w:color w:val="231F20"/>
          <w:spacing w:val="-10"/>
          <w:w w:val="105"/>
        </w:rPr>
        <w:t> </w:t>
      </w:r>
      <w:r>
        <w:rPr>
          <w:color w:val="231F20"/>
          <w:w w:val="105"/>
        </w:rPr>
        <w:t>enteramente</w:t>
      </w:r>
      <w:r>
        <w:rPr>
          <w:color w:val="231F20"/>
          <w:spacing w:val="-10"/>
          <w:w w:val="105"/>
        </w:rPr>
        <w:t> </w:t>
      </w:r>
      <w:r>
        <w:rPr>
          <w:color w:val="231F20"/>
          <w:w w:val="105"/>
        </w:rPr>
        <w:t>cuantitativo.</w:t>
      </w:r>
    </w:p>
    <w:p>
      <w:pPr>
        <w:pStyle w:val="BodyText"/>
        <w:spacing w:before="2"/>
        <w:rPr>
          <w:sz w:val="20"/>
        </w:rPr>
      </w:pPr>
    </w:p>
    <w:p>
      <w:pPr>
        <w:pStyle w:val="Heading4"/>
        <w:spacing w:before="1"/>
        <w:rPr>
          <w:i/>
        </w:rPr>
      </w:pPr>
      <w:r>
        <w:rPr>
          <w:i/>
          <w:color w:val="231F20"/>
          <w:w w:val="105"/>
        </w:rPr>
        <w:t>Primer año</w:t>
      </w:r>
    </w:p>
    <w:p>
      <w:pPr>
        <w:pStyle w:val="BodyText"/>
        <w:spacing w:line="285" w:lineRule="auto" w:before="17"/>
        <w:ind w:left="110" w:right="108"/>
        <w:jc w:val="both"/>
      </w:pPr>
      <w:r>
        <w:rPr>
          <w:color w:val="231F20"/>
          <w:w w:val="105"/>
        </w:rPr>
        <w:t>En el primer informe, aunque únicamente se presentaron los avances, hubo una ar- gumentación de las acciones emprendidas. Se apuntaron los montos pero también su orientación, es decir, los fines últimos que los gobernantes pretendían con ellos.</w:t>
      </w:r>
    </w:p>
    <w:p>
      <w:pPr>
        <w:pStyle w:val="BodyText"/>
        <w:spacing w:before="1"/>
        <w:ind w:left="110"/>
        <w:jc w:val="both"/>
      </w:pPr>
      <w:r>
        <w:rPr>
          <w:color w:val="231F20"/>
          <w:w w:val="105"/>
        </w:rPr>
        <w:t>Seguridad Pública</w:t>
      </w:r>
    </w:p>
    <w:p>
      <w:pPr>
        <w:pStyle w:val="BodyText"/>
        <w:spacing w:before="2"/>
        <w:rPr>
          <w:sz w:val="30"/>
        </w:rPr>
      </w:pPr>
    </w:p>
    <w:p>
      <w:pPr>
        <w:pStyle w:val="BodyText"/>
        <w:ind w:left="110"/>
        <w:jc w:val="both"/>
      </w:pPr>
      <w:r>
        <w:rPr>
          <w:color w:val="231F20"/>
          <w:w w:val="105"/>
        </w:rPr>
        <w:t>En esta materia se dio a conocer que:</w:t>
      </w:r>
    </w:p>
    <w:p>
      <w:pPr>
        <w:pStyle w:val="BodyText"/>
        <w:spacing w:line="285" w:lineRule="auto" w:before="47"/>
        <w:ind w:left="677" w:right="108"/>
        <w:jc w:val="both"/>
      </w:pP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fue</w:t>
      </w:r>
      <w:r>
        <w:rPr>
          <w:color w:val="231F20"/>
          <w:spacing w:val="-16"/>
          <w:w w:val="105"/>
        </w:rPr>
        <w:t> </w:t>
      </w:r>
      <w:r>
        <w:rPr>
          <w:color w:val="231F20"/>
          <w:w w:val="105"/>
        </w:rPr>
        <w:t>clasificado</w:t>
      </w:r>
      <w:r>
        <w:rPr>
          <w:color w:val="231F20"/>
          <w:spacing w:val="-16"/>
          <w:w w:val="105"/>
        </w:rPr>
        <w:t> </w:t>
      </w:r>
      <w:r>
        <w:rPr>
          <w:color w:val="231F20"/>
          <w:w w:val="105"/>
        </w:rPr>
        <w:t>como</w:t>
      </w:r>
      <w:r>
        <w:rPr>
          <w:color w:val="231F20"/>
          <w:spacing w:val="-16"/>
          <w:w w:val="105"/>
        </w:rPr>
        <w:t> </w:t>
      </w:r>
      <w:r>
        <w:rPr>
          <w:color w:val="231F20"/>
          <w:w w:val="105"/>
        </w:rPr>
        <w:t>uno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de</w:t>
      </w:r>
      <w:r>
        <w:rPr>
          <w:color w:val="231F20"/>
          <w:spacing w:val="-16"/>
          <w:w w:val="105"/>
        </w:rPr>
        <w:t> </w:t>
      </w:r>
      <w:r>
        <w:rPr>
          <w:color w:val="231F20"/>
          <w:w w:val="105"/>
        </w:rPr>
        <w:t>menor</w:t>
      </w:r>
      <w:r>
        <w:rPr>
          <w:color w:val="231F20"/>
          <w:spacing w:val="-16"/>
          <w:w w:val="105"/>
        </w:rPr>
        <w:t> </w:t>
      </w:r>
      <w:r>
        <w:rPr>
          <w:color w:val="231F20"/>
          <w:w w:val="105"/>
        </w:rPr>
        <w:t>riesgo</w:t>
      </w:r>
      <w:r>
        <w:rPr>
          <w:color w:val="231F20"/>
          <w:spacing w:val="-16"/>
          <w:w w:val="105"/>
        </w:rPr>
        <w:t> </w:t>
      </w:r>
      <w:r>
        <w:rPr>
          <w:color w:val="231F20"/>
          <w:w w:val="105"/>
        </w:rPr>
        <w:t>delictivo,</w:t>
      </w:r>
      <w:r>
        <w:rPr>
          <w:color w:val="231F20"/>
          <w:spacing w:val="-16"/>
          <w:w w:val="105"/>
        </w:rPr>
        <w:t> </w:t>
      </w:r>
      <w:r>
        <w:rPr>
          <w:color w:val="231F20"/>
          <w:w w:val="105"/>
        </w:rPr>
        <w:t>de</w:t>
      </w:r>
      <w:r>
        <w:rPr>
          <w:color w:val="231F20"/>
          <w:spacing w:val="-16"/>
          <w:w w:val="105"/>
        </w:rPr>
        <w:t> </w:t>
      </w:r>
      <w:r>
        <w:rPr>
          <w:color w:val="231F20"/>
          <w:spacing w:val="-3"/>
          <w:w w:val="105"/>
        </w:rPr>
        <w:t>acuer- </w:t>
      </w:r>
      <w:r>
        <w:rPr>
          <w:color w:val="231F20"/>
          <w:w w:val="105"/>
        </w:rPr>
        <w:t>do</w:t>
      </w:r>
      <w:r>
        <w:rPr>
          <w:color w:val="231F20"/>
          <w:spacing w:val="-11"/>
          <w:w w:val="105"/>
        </w:rPr>
        <w:t> </w:t>
      </w:r>
      <w:r>
        <w:rPr>
          <w:color w:val="231F20"/>
          <w:w w:val="105"/>
        </w:rPr>
        <w:t>con</w:t>
      </w:r>
      <w:r>
        <w:rPr>
          <w:color w:val="231F20"/>
          <w:spacing w:val="-11"/>
          <w:w w:val="105"/>
        </w:rPr>
        <w:t> </w:t>
      </w:r>
      <w:r>
        <w:rPr>
          <w:color w:val="231F20"/>
          <w:w w:val="105"/>
        </w:rPr>
        <w:t>los</w:t>
      </w:r>
      <w:r>
        <w:rPr>
          <w:color w:val="231F20"/>
          <w:spacing w:val="-11"/>
          <w:w w:val="105"/>
        </w:rPr>
        <w:t> </w:t>
      </w:r>
      <w:r>
        <w:rPr>
          <w:color w:val="231F20"/>
          <w:w w:val="105"/>
        </w:rPr>
        <w:t>resultados</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estudio</w:t>
      </w:r>
      <w:r>
        <w:rPr>
          <w:color w:val="231F20"/>
          <w:spacing w:val="-11"/>
          <w:w w:val="105"/>
        </w:rPr>
        <w:t> </w:t>
      </w:r>
      <w:r>
        <w:rPr>
          <w:color w:val="231F20"/>
          <w:w w:val="105"/>
        </w:rPr>
        <w:t>efectuado</w:t>
      </w:r>
      <w:r>
        <w:rPr>
          <w:color w:val="231F20"/>
          <w:spacing w:val="-11"/>
          <w:w w:val="105"/>
        </w:rPr>
        <w:t> </w:t>
      </w:r>
      <w:r>
        <w:rPr>
          <w:color w:val="231F20"/>
          <w:w w:val="105"/>
        </w:rPr>
        <w:t>entre</w:t>
      </w:r>
      <w:r>
        <w:rPr>
          <w:color w:val="231F20"/>
          <w:spacing w:val="-11"/>
          <w:w w:val="105"/>
        </w:rPr>
        <w:t> </w:t>
      </w:r>
      <w:r>
        <w:rPr>
          <w:color w:val="231F20"/>
          <w:w w:val="105"/>
        </w:rPr>
        <w:t>enero</w:t>
      </w:r>
      <w:r>
        <w:rPr>
          <w:color w:val="231F20"/>
          <w:spacing w:val="-11"/>
          <w:w w:val="105"/>
        </w:rPr>
        <w:t> </w:t>
      </w:r>
      <w:r>
        <w:rPr>
          <w:color w:val="231F20"/>
          <w:w w:val="105"/>
        </w:rPr>
        <w:t>y</w:t>
      </w:r>
      <w:r>
        <w:rPr>
          <w:color w:val="231F20"/>
          <w:spacing w:val="-11"/>
          <w:w w:val="105"/>
        </w:rPr>
        <w:t> </w:t>
      </w:r>
      <w:r>
        <w:rPr>
          <w:color w:val="231F20"/>
          <w:w w:val="105"/>
        </w:rPr>
        <w:t>abril</w:t>
      </w:r>
      <w:r>
        <w:rPr>
          <w:color w:val="231F20"/>
          <w:spacing w:val="-11"/>
          <w:w w:val="105"/>
        </w:rPr>
        <w:t> </w:t>
      </w:r>
      <w:r>
        <w:rPr>
          <w:color w:val="231F20"/>
          <w:w w:val="105"/>
        </w:rPr>
        <w:t>del</w:t>
      </w:r>
      <w:r>
        <w:rPr>
          <w:color w:val="231F20"/>
          <w:spacing w:val="-11"/>
          <w:w w:val="105"/>
        </w:rPr>
        <w:t> </w:t>
      </w:r>
      <w:r>
        <w:rPr>
          <w:color w:val="231F20"/>
          <w:w w:val="105"/>
        </w:rPr>
        <w:t>presente</w:t>
      </w:r>
      <w:r>
        <w:rPr>
          <w:color w:val="231F20"/>
          <w:spacing w:val="-11"/>
          <w:w w:val="105"/>
        </w:rPr>
        <w:t> </w:t>
      </w:r>
      <w:r>
        <w:rPr>
          <w:color w:val="231F20"/>
          <w:w w:val="105"/>
        </w:rPr>
        <w:t>año por</w:t>
      </w:r>
      <w:r>
        <w:rPr>
          <w:color w:val="231F20"/>
          <w:spacing w:val="-9"/>
          <w:w w:val="105"/>
        </w:rPr>
        <w:t> </w:t>
      </w:r>
      <w:r>
        <w:rPr>
          <w:color w:val="231F20"/>
          <w:w w:val="105"/>
        </w:rPr>
        <w:t>las</w:t>
      </w:r>
      <w:r>
        <w:rPr>
          <w:color w:val="231F20"/>
          <w:spacing w:val="-9"/>
          <w:w w:val="105"/>
        </w:rPr>
        <w:t> </w:t>
      </w:r>
      <w:r>
        <w:rPr>
          <w:color w:val="231F20"/>
          <w:w w:val="105"/>
        </w:rPr>
        <w:t>corporaciones</w:t>
      </w:r>
      <w:r>
        <w:rPr>
          <w:color w:val="231F20"/>
          <w:spacing w:val="-9"/>
          <w:w w:val="105"/>
        </w:rPr>
        <w:t> </w:t>
      </w:r>
      <w:r>
        <w:rPr>
          <w:color w:val="231F20"/>
          <w:w w:val="105"/>
        </w:rPr>
        <w:t>policiales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tres</w:t>
      </w:r>
      <w:r>
        <w:rPr>
          <w:color w:val="231F20"/>
          <w:spacing w:val="-9"/>
          <w:w w:val="105"/>
        </w:rPr>
        <w:t> </w:t>
      </w:r>
      <w:r>
        <w:rPr>
          <w:color w:val="231F20"/>
          <w:w w:val="105"/>
        </w:rPr>
        <w:t>niveles</w:t>
      </w:r>
      <w:r>
        <w:rPr>
          <w:color w:val="231F20"/>
          <w:spacing w:val="-9"/>
          <w:w w:val="105"/>
        </w:rPr>
        <w:t> </w:t>
      </w:r>
      <w:r>
        <w:rPr>
          <w:color w:val="231F20"/>
          <w:w w:val="105"/>
        </w:rPr>
        <w:t>de</w:t>
      </w:r>
      <w:r>
        <w:rPr>
          <w:color w:val="231F20"/>
          <w:spacing w:val="-9"/>
          <w:w w:val="105"/>
        </w:rPr>
        <w:t> </w:t>
      </w:r>
      <w:r>
        <w:rPr>
          <w:color w:val="231F20"/>
          <w:w w:val="105"/>
        </w:rPr>
        <w:t>gobierno,</w:t>
      </w:r>
      <w:r>
        <w:rPr>
          <w:color w:val="231F20"/>
          <w:spacing w:val="-9"/>
          <w:w w:val="105"/>
        </w:rPr>
        <w:t> </w:t>
      </w:r>
      <w:r>
        <w:rPr>
          <w:color w:val="231F20"/>
          <w:w w:val="105"/>
        </w:rPr>
        <w:t>y</w:t>
      </w:r>
      <w:r>
        <w:rPr>
          <w:color w:val="231F20"/>
          <w:spacing w:val="-9"/>
          <w:w w:val="105"/>
        </w:rPr>
        <w:t> </w:t>
      </w:r>
      <w:r>
        <w:rPr>
          <w:color w:val="231F20"/>
          <w:w w:val="105"/>
        </w:rPr>
        <w:t>emitidos</w:t>
      </w:r>
      <w:r>
        <w:rPr>
          <w:color w:val="231F20"/>
          <w:spacing w:val="-9"/>
          <w:w w:val="105"/>
        </w:rPr>
        <w:t> </w:t>
      </w:r>
      <w:r>
        <w:rPr>
          <w:color w:val="231F20"/>
          <w:w w:val="105"/>
        </w:rPr>
        <w:t>por</w:t>
      </w:r>
      <w:r>
        <w:rPr>
          <w:color w:val="231F20"/>
          <w:spacing w:val="-9"/>
          <w:w w:val="105"/>
        </w:rPr>
        <w:t> </w:t>
      </w:r>
      <w:r>
        <w:rPr>
          <w:color w:val="231F20"/>
          <w:w w:val="105"/>
        </w:rPr>
        <w:t>la Agencia</w:t>
      </w:r>
      <w:r>
        <w:rPr>
          <w:color w:val="231F20"/>
          <w:spacing w:val="-21"/>
          <w:w w:val="105"/>
        </w:rPr>
        <w:t> </w:t>
      </w:r>
      <w:r>
        <w:rPr>
          <w:color w:val="231F20"/>
          <w:w w:val="105"/>
        </w:rPr>
        <w:t>de</w:t>
      </w:r>
      <w:r>
        <w:rPr>
          <w:color w:val="231F20"/>
          <w:spacing w:val="-21"/>
          <w:w w:val="105"/>
        </w:rPr>
        <w:t> </w:t>
      </w:r>
      <w:r>
        <w:rPr>
          <w:color w:val="231F20"/>
          <w:w w:val="105"/>
        </w:rPr>
        <w:t>Seguridad</w:t>
      </w:r>
      <w:r>
        <w:rPr>
          <w:color w:val="231F20"/>
          <w:spacing w:val="-21"/>
          <w:w w:val="105"/>
        </w:rPr>
        <w:t> </w:t>
      </w:r>
      <w:r>
        <w:rPr>
          <w:color w:val="231F20"/>
          <w:w w:val="105"/>
        </w:rPr>
        <w:t>Estatal</w:t>
      </w:r>
      <w:r>
        <w:rPr>
          <w:color w:val="231F20"/>
          <w:spacing w:val="-21"/>
          <w:w w:val="105"/>
        </w:rPr>
        <w:t> </w:t>
      </w:r>
      <w:r>
        <w:rPr>
          <w:color w:val="231F20"/>
          <w:spacing w:val="-3"/>
          <w:w w:val="105"/>
        </w:rPr>
        <w:t>(ASE),</w:t>
      </w:r>
      <w:r>
        <w:rPr>
          <w:color w:val="231F20"/>
          <w:spacing w:val="-21"/>
          <w:w w:val="105"/>
        </w:rPr>
        <w:t> </w:t>
      </w:r>
      <w:r>
        <w:rPr>
          <w:color w:val="231F20"/>
          <w:w w:val="105"/>
        </w:rPr>
        <w:t>durante</w:t>
      </w:r>
      <w:r>
        <w:rPr>
          <w:color w:val="231F20"/>
          <w:spacing w:val="-21"/>
          <w:w w:val="105"/>
        </w:rPr>
        <w:t> </w:t>
      </w:r>
      <w:r>
        <w:rPr>
          <w:color w:val="231F20"/>
          <w:w w:val="105"/>
        </w:rPr>
        <w:t>la</w:t>
      </w:r>
      <w:r>
        <w:rPr>
          <w:color w:val="231F20"/>
          <w:spacing w:val="-21"/>
          <w:w w:val="105"/>
        </w:rPr>
        <w:t> </w:t>
      </w:r>
      <w:r>
        <w:rPr>
          <w:color w:val="231F20"/>
          <w:w w:val="105"/>
        </w:rPr>
        <w:t>Quinta</w:t>
      </w:r>
      <w:r>
        <w:rPr>
          <w:color w:val="231F20"/>
          <w:spacing w:val="-21"/>
          <w:w w:val="105"/>
        </w:rPr>
        <w:t> </w:t>
      </w:r>
      <w:r>
        <w:rPr>
          <w:color w:val="231F20"/>
          <w:w w:val="105"/>
        </w:rPr>
        <w:t>Reunión</w:t>
      </w:r>
      <w:r>
        <w:rPr>
          <w:color w:val="231F20"/>
          <w:spacing w:val="-21"/>
          <w:w w:val="105"/>
        </w:rPr>
        <w:t> </w:t>
      </w:r>
      <w:r>
        <w:rPr>
          <w:color w:val="231F20"/>
          <w:w w:val="105"/>
        </w:rPr>
        <w:t>Plenaria</w:t>
      </w:r>
      <w:r>
        <w:rPr>
          <w:color w:val="231F20"/>
          <w:spacing w:val="-21"/>
          <w:w w:val="105"/>
        </w:rPr>
        <w:t> </w:t>
      </w:r>
      <w:r>
        <w:rPr>
          <w:color w:val="231F20"/>
          <w:w w:val="105"/>
        </w:rPr>
        <w:t>del</w:t>
      </w:r>
      <w:r>
        <w:rPr>
          <w:color w:val="231F20"/>
          <w:spacing w:val="-21"/>
          <w:w w:val="105"/>
        </w:rPr>
        <w:t> </w:t>
      </w:r>
      <w:r>
        <w:rPr>
          <w:color w:val="231F20"/>
          <w:w w:val="105"/>
        </w:rPr>
        <w:t>Gru- po</w:t>
      </w:r>
      <w:r>
        <w:rPr>
          <w:color w:val="231F20"/>
          <w:spacing w:val="-15"/>
          <w:w w:val="105"/>
        </w:rPr>
        <w:t> </w:t>
      </w:r>
      <w:r>
        <w:rPr>
          <w:color w:val="231F20"/>
          <w:w w:val="105"/>
        </w:rPr>
        <w:t>de</w:t>
      </w:r>
      <w:r>
        <w:rPr>
          <w:color w:val="231F20"/>
          <w:spacing w:val="-15"/>
          <w:w w:val="105"/>
        </w:rPr>
        <w:t> </w:t>
      </w:r>
      <w:r>
        <w:rPr>
          <w:color w:val="231F20"/>
          <w:w w:val="105"/>
        </w:rPr>
        <w:t>Coordinación</w:t>
      </w:r>
      <w:r>
        <w:rPr>
          <w:color w:val="231F20"/>
          <w:spacing w:val="-15"/>
          <w:w w:val="105"/>
        </w:rPr>
        <w:t> </w:t>
      </w:r>
      <w:r>
        <w:rPr>
          <w:color w:val="231F20"/>
          <w:w w:val="105"/>
        </w:rPr>
        <w:t>Interinstitucional</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Zona</w:t>
      </w:r>
      <w:r>
        <w:rPr>
          <w:color w:val="231F20"/>
          <w:spacing w:val="-15"/>
          <w:w w:val="105"/>
        </w:rPr>
        <w:t> </w:t>
      </w:r>
      <w:r>
        <w:rPr>
          <w:color w:val="231F20"/>
          <w:w w:val="105"/>
        </w:rPr>
        <w:t>Valle</w:t>
      </w:r>
      <w:r>
        <w:rPr>
          <w:color w:val="231F20"/>
          <w:spacing w:val="-15"/>
          <w:w w:val="105"/>
        </w:rPr>
        <w:t> </w:t>
      </w:r>
      <w:r>
        <w:rPr>
          <w:color w:val="231F20"/>
          <w:w w:val="105"/>
        </w:rPr>
        <w:t>de</w:t>
      </w:r>
      <w:r>
        <w:rPr>
          <w:color w:val="231F20"/>
          <w:spacing w:val="-15"/>
          <w:w w:val="105"/>
        </w:rPr>
        <w:t> </w:t>
      </w:r>
      <w:r>
        <w:rPr>
          <w:color w:val="231F20"/>
          <w:w w:val="105"/>
        </w:rPr>
        <w:t>México</w:t>
      </w:r>
      <w:r>
        <w:rPr>
          <w:color w:val="231F20"/>
          <w:w w:val="105"/>
          <w:position w:val="7"/>
          <w:sz w:val="13"/>
        </w:rPr>
        <w:t>15</w:t>
      </w:r>
      <w:r>
        <w:rPr>
          <w:color w:val="231F20"/>
          <w:w w:val="105"/>
        </w:rPr>
        <w:t>.</w:t>
      </w:r>
    </w:p>
    <w:p>
      <w:pPr>
        <w:pStyle w:val="BodyText"/>
        <w:spacing w:before="1"/>
        <w:rPr>
          <w:sz w:val="26"/>
        </w:rPr>
      </w:pPr>
    </w:p>
    <w:p>
      <w:pPr>
        <w:pStyle w:val="BodyText"/>
        <w:spacing w:line="285" w:lineRule="auto"/>
        <w:ind w:left="110" w:right="108"/>
        <w:jc w:val="both"/>
      </w:pPr>
      <w:r>
        <w:rPr>
          <w:color w:val="231F20"/>
          <w:spacing w:val="-3"/>
          <w:w w:val="105"/>
        </w:rPr>
        <w:t>También</w:t>
      </w:r>
      <w:r>
        <w:rPr>
          <w:color w:val="231F20"/>
          <w:spacing w:val="-20"/>
          <w:w w:val="105"/>
        </w:rPr>
        <w:t> </w:t>
      </w:r>
      <w:r>
        <w:rPr>
          <w:color w:val="231F20"/>
          <w:w w:val="105"/>
        </w:rPr>
        <w:t>se</w:t>
      </w:r>
      <w:r>
        <w:rPr>
          <w:color w:val="231F20"/>
          <w:spacing w:val="-20"/>
          <w:w w:val="105"/>
        </w:rPr>
        <w:t> </w:t>
      </w:r>
      <w:r>
        <w:rPr>
          <w:color w:val="231F20"/>
          <w:w w:val="105"/>
        </w:rPr>
        <w:t>apuntaba</w:t>
      </w:r>
      <w:r>
        <w:rPr>
          <w:color w:val="231F20"/>
          <w:spacing w:val="-20"/>
          <w:w w:val="105"/>
        </w:rPr>
        <w:t> </w:t>
      </w:r>
      <w:r>
        <w:rPr>
          <w:color w:val="231F20"/>
          <w:w w:val="105"/>
        </w:rPr>
        <w:t>la</w:t>
      </w:r>
      <w:r>
        <w:rPr>
          <w:color w:val="231F20"/>
          <w:spacing w:val="-20"/>
          <w:w w:val="105"/>
        </w:rPr>
        <w:t> </w:t>
      </w:r>
      <w:r>
        <w:rPr>
          <w:color w:val="231F20"/>
          <w:w w:val="105"/>
        </w:rPr>
        <w:t>reducción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índices</w:t>
      </w:r>
      <w:r>
        <w:rPr>
          <w:color w:val="231F20"/>
          <w:spacing w:val="-20"/>
          <w:w w:val="105"/>
        </w:rPr>
        <w:t> </w:t>
      </w:r>
      <w:r>
        <w:rPr>
          <w:color w:val="231F20"/>
          <w:w w:val="105"/>
        </w:rPr>
        <w:t>delictivos,</w:t>
      </w:r>
      <w:r>
        <w:rPr>
          <w:color w:val="231F20"/>
          <w:spacing w:val="-20"/>
          <w:w w:val="105"/>
        </w:rPr>
        <w:t> </w:t>
      </w:r>
      <w:r>
        <w:rPr>
          <w:color w:val="231F20"/>
          <w:w w:val="105"/>
        </w:rPr>
        <w:t>entre</w:t>
      </w:r>
      <w:r>
        <w:rPr>
          <w:color w:val="231F20"/>
          <w:spacing w:val="-20"/>
          <w:w w:val="105"/>
        </w:rPr>
        <w:t> </w:t>
      </w:r>
      <w:r>
        <w:rPr>
          <w:color w:val="231F20"/>
          <w:w w:val="105"/>
        </w:rPr>
        <w:t>un</w:t>
      </w:r>
      <w:r>
        <w:rPr>
          <w:color w:val="231F20"/>
          <w:spacing w:val="-20"/>
          <w:w w:val="105"/>
        </w:rPr>
        <w:t> </w:t>
      </w:r>
      <w:r>
        <w:rPr>
          <w:color w:val="231F20"/>
          <w:w w:val="105"/>
        </w:rPr>
        <w:t>30</w:t>
      </w:r>
      <w:r>
        <w:rPr>
          <w:color w:val="231F20"/>
          <w:spacing w:val="-20"/>
          <w:w w:val="105"/>
        </w:rPr>
        <w:t> </w:t>
      </w:r>
      <w:r>
        <w:rPr>
          <w:color w:val="231F20"/>
          <w:w w:val="105"/>
        </w:rPr>
        <w:t>y</w:t>
      </w:r>
      <w:r>
        <w:rPr>
          <w:color w:val="231F20"/>
          <w:spacing w:val="-20"/>
          <w:w w:val="105"/>
        </w:rPr>
        <w:t> </w:t>
      </w:r>
      <w:r>
        <w:rPr>
          <w:color w:val="231F20"/>
          <w:w w:val="105"/>
        </w:rPr>
        <w:t>un</w:t>
      </w:r>
      <w:r>
        <w:rPr>
          <w:color w:val="231F20"/>
          <w:spacing w:val="-20"/>
          <w:w w:val="105"/>
        </w:rPr>
        <w:t> </w:t>
      </w:r>
      <w:r>
        <w:rPr>
          <w:color w:val="231F20"/>
          <w:w w:val="105"/>
        </w:rPr>
        <w:t>50%</w:t>
      </w:r>
      <w:r>
        <w:rPr>
          <w:color w:val="231F20"/>
          <w:spacing w:val="-20"/>
          <w:w w:val="105"/>
        </w:rPr>
        <w:t> </w:t>
      </w:r>
      <w:r>
        <w:rPr>
          <w:color w:val="231F20"/>
          <w:w w:val="105"/>
        </w:rPr>
        <w:t>de</w:t>
      </w:r>
      <w:r>
        <w:rPr>
          <w:color w:val="231F20"/>
          <w:spacing w:val="-20"/>
          <w:w w:val="105"/>
        </w:rPr>
        <w:t> </w:t>
      </w:r>
      <w:r>
        <w:rPr>
          <w:color w:val="231F20"/>
          <w:w w:val="105"/>
        </w:rPr>
        <w:t>pro- medio</w:t>
      </w:r>
      <w:r>
        <w:rPr>
          <w:color w:val="231F20"/>
          <w:spacing w:val="-3"/>
          <w:w w:val="105"/>
        </w:rPr>
        <w:t> </w:t>
      </w:r>
      <w:r>
        <w:rPr>
          <w:color w:val="231F20"/>
          <w:w w:val="105"/>
        </w:rPr>
        <w:t>mensual,</w:t>
      </w:r>
      <w:r>
        <w:rPr>
          <w:color w:val="231F20"/>
          <w:spacing w:val="-3"/>
          <w:w w:val="105"/>
        </w:rPr>
        <w:t> </w:t>
      </w:r>
      <w:r>
        <w:rPr>
          <w:color w:val="231F20"/>
          <w:w w:val="105"/>
        </w:rPr>
        <w:t>con</w:t>
      </w:r>
      <w:r>
        <w:rPr>
          <w:color w:val="231F20"/>
          <w:spacing w:val="-3"/>
          <w:w w:val="105"/>
        </w:rPr>
        <w:t> </w:t>
      </w:r>
      <w:r>
        <w:rPr>
          <w:color w:val="231F20"/>
          <w:w w:val="105"/>
        </w:rPr>
        <w:t>lo</w:t>
      </w:r>
      <w:r>
        <w:rPr>
          <w:color w:val="231F20"/>
          <w:spacing w:val="-3"/>
          <w:w w:val="105"/>
        </w:rPr>
        <w:t> </w:t>
      </w:r>
      <w:r>
        <w:rPr>
          <w:color w:val="231F20"/>
          <w:w w:val="105"/>
        </w:rPr>
        <w:t>cual</w:t>
      </w:r>
      <w:r>
        <w:rPr>
          <w:color w:val="231F20"/>
          <w:spacing w:val="-3"/>
          <w:w w:val="105"/>
        </w:rPr>
        <w:t> </w:t>
      </w:r>
      <w:r>
        <w:rPr>
          <w:color w:val="231F20"/>
          <w:w w:val="105"/>
        </w:rPr>
        <w:t>se</w:t>
      </w:r>
      <w:r>
        <w:rPr>
          <w:color w:val="231F20"/>
          <w:spacing w:val="-3"/>
          <w:w w:val="105"/>
        </w:rPr>
        <w:t> </w:t>
      </w:r>
      <w:r>
        <w:rPr>
          <w:color w:val="231F20"/>
          <w:w w:val="105"/>
        </w:rPr>
        <w:t>consideró</w:t>
      </w:r>
      <w:r>
        <w:rPr>
          <w:color w:val="231F20"/>
          <w:spacing w:val="-3"/>
          <w:w w:val="105"/>
        </w:rPr>
        <w:t> </w:t>
      </w:r>
      <w:r>
        <w:rPr>
          <w:color w:val="231F20"/>
          <w:w w:val="105"/>
        </w:rPr>
        <w:t>cubierta</w:t>
      </w:r>
      <w:r>
        <w:rPr>
          <w:color w:val="231F20"/>
          <w:spacing w:val="-3"/>
          <w:w w:val="105"/>
        </w:rPr>
        <w:t> </w:t>
      </w:r>
      <w:r>
        <w:rPr>
          <w:color w:val="231F20"/>
          <w:w w:val="105"/>
        </w:rPr>
        <w:t>una</w:t>
      </w:r>
      <w:r>
        <w:rPr>
          <w:color w:val="231F20"/>
          <w:spacing w:val="-3"/>
          <w:w w:val="105"/>
        </w:rPr>
        <w:t> </w:t>
      </w:r>
      <w:r>
        <w:rPr>
          <w:color w:val="231F20"/>
          <w:w w:val="105"/>
        </w:rPr>
        <w:t>de</w:t>
      </w:r>
      <w:r>
        <w:rPr>
          <w:color w:val="231F20"/>
          <w:spacing w:val="-3"/>
          <w:w w:val="105"/>
        </w:rPr>
        <w:t> </w:t>
      </w:r>
      <w:r>
        <w:rPr>
          <w:color w:val="231F20"/>
          <w:w w:val="105"/>
        </w:rPr>
        <w:t>las</w:t>
      </w:r>
      <w:r>
        <w:rPr>
          <w:color w:val="231F20"/>
          <w:spacing w:val="-3"/>
          <w:w w:val="105"/>
        </w:rPr>
        <w:t> </w:t>
      </w:r>
      <w:r>
        <w:rPr>
          <w:color w:val="231F20"/>
          <w:w w:val="105"/>
        </w:rPr>
        <w:t>metas</w:t>
      </w:r>
      <w:r>
        <w:rPr>
          <w:color w:val="231F20"/>
          <w:spacing w:val="-3"/>
          <w:w w:val="105"/>
        </w:rPr>
        <w:t> </w:t>
      </w:r>
      <w:r>
        <w:rPr>
          <w:color w:val="231F20"/>
          <w:w w:val="105"/>
        </w:rPr>
        <w:t>trazadas</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plan. No</w:t>
      </w:r>
      <w:r>
        <w:rPr>
          <w:color w:val="231F20"/>
          <w:spacing w:val="-11"/>
          <w:w w:val="105"/>
        </w:rPr>
        <w:t> </w:t>
      </w:r>
      <w:r>
        <w:rPr>
          <w:color w:val="231F20"/>
          <w:w w:val="105"/>
        </w:rPr>
        <w:t>se</w:t>
      </w:r>
      <w:r>
        <w:rPr>
          <w:color w:val="231F20"/>
          <w:spacing w:val="-11"/>
          <w:w w:val="105"/>
        </w:rPr>
        <w:t> </w:t>
      </w:r>
      <w:r>
        <w:rPr>
          <w:color w:val="231F20"/>
          <w:w w:val="105"/>
        </w:rPr>
        <w:t>aportaron</w:t>
      </w:r>
      <w:r>
        <w:rPr>
          <w:color w:val="231F20"/>
          <w:spacing w:val="-11"/>
          <w:w w:val="105"/>
        </w:rPr>
        <w:t> </w:t>
      </w:r>
      <w:r>
        <w:rPr>
          <w:color w:val="231F20"/>
          <w:w w:val="105"/>
        </w:rPr>
        <w:t>datos</w:t>
      </w:r>
      <w:r>
        <w:rPr>
          <w:color w:val="231F20"/>
          <w:spacing w:val="-11"/>
          <w:w w:val="105"/>
        </w:rPr>
        <w:t> </w:t>
      </w:r>
      <w:r>
        <w:rPr>
          <w:color w:val="231F20"/>
          <w:w w:val="105"/>
        </w:rPr>
        <w:t>que</w:t>
      </w:r>
      <w:r>
        <w:rPr>
          <w:color w:val="231F20"/>
          <w:spacing w:val="-11"/>
          <w:w w:val="105"/>
        </w:rPr>
        <w:t> </w:t>
      </w:r>
      <w:r>
        <w:rPr>
          <w:color w:val="231F20"/>
          <w:w w:val="105"/>
        </w:rPr>
        <w:t>permitieran</w:t>
      </w:r>
      <w:r>
        <w:rPr>
          <w:color w:val="231F20"/>
          <w:spacing w:val="-11"/>
          <w:w w:val="105"/>
        </w:rPr>
        <w:t> </w:t>
      </w:r>
      <w:r>
        <w:rPr>
          <w:color w:val="231F20"/>
          <w:w w:val="105"/>
        </w:rPr>
        <w:t>una</w:t>
      </w:r>
      <w:r>
        <w:rPr>
          <w:color w:val="231F20"/>
          <w:spacing w:val="-11"/>
          <w:w w:val="105"/>
        </w:rPr>
        <w:t> </w:t>
      </w:r>
      <w:r>
        <w:rPr>
          <w:color w:val="231F20"/>
          <w:w w:val="105"/>
        </w:rPr>
        <w:t>comparación</w:t>
      </w:r>
      <w:r>
        <w:rPr>
          <w:color w:val="231F20"/>
          <w:spacing w:val="-11"/>
          <w:w w:val="105"/>
        </w:rPr>
        <w:t> </w:t>
      </w:r>
      <w:r>
        <w:rPr>
          <w:color w:val="231F20"/>
          <w:w w:val="105"/>
        </w:rPr>
        <w:t>entre</w:t>
      </w:r>
      <w:r>
        <w:rPr>
          <w:color w:val="231F20"/>
          <w:spacing w:val="-11"/>
          <w:w w:val="105"/>
        </w:rPr>
        <w:t> </w:t>
      </w:r>
      <w:r>
        <w:rPr>
          <w:color w:val="231F20"/>
          <w:w w:val="105"/>
        </w:rPr>
        <w:t>las</w:t>
      </w:r>
      <w:r>
        <w:rPr>
          <w:color w:val="231F20"/>
          <w:spacing w:val="-11"/>
          <w:w w:val="105"/>
        </w:rPr>
        <w:t> </w:t>
      </w:r>
      <w:r>
        <w:rPr>
          <w:color w:val="231F20"/>
          <w:w w:val="105"/>
        </w:rPr>
        <w:t>cifras</w:t>
      </w:r>
      <w:r>
        <w:rPr>
          <w:color w:val="231F20"/>
          <w:spacing w:val="-11"/>
          <w:w w:val="105"/>
        </w:rPr>
        <w:t> </w:t>
      </w:r>
      <w:r>
        <w:rPr>
          <w:color w:val="231F20"/>
          <w:w w:val="105"/>
        </w:rPr>
        <w:t>anteriores</w:t>
      </w:r>
      <w:r>
        <w:rPr>
          <w:color w:val="231F20"/>
          <w:spacing w:val="-11"/>
          <w:w w:val="105"/>
        </w:rPr>
        <w:t> </w:t>
      </w:r>
      <w:r>
        <w:rPr>
          <w:color w:val="231F20"/>
          <w:w w:val="105"/>
        </w:rPr>
        <w:t>y</w:t>
      </w:r>
      <w:r>
        <w:rPr>
          <w:color w:val="231F20"/>
          <w:spacing w:val="-11"/>
          <w:w w:val="105"/>
        </w:rPr>
        <w:t> </w:t>
      </w:r>
      <w:r>
        <w:rPr>
          <w:color w:val="231F20"/>
          <w:w w:val="105"/>
        </w:rPr>
        <w:t>las reportadas,</w:t>
      </w:r>
      <w:r>
        <w:rPr>
          <w:color w:val="231F20"/>
          <w:spacing w:val="-12"/>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w w:val="105"/>
        </w:rPr>
        <w:t>posible</w:t>
      </w:r>
      <w:r>
        <w:rPr>
          <w:color w:val="231F20"/>
          <w:spacing w:val="-12"/>
          <w:w w:val="105"/>
        </w:rPr>
        <w:t> </w:t>
      </w:r>
      <w:r>
        <w:rPr>
          <w:color w:val="231F20"/>
          <w:w w:val="105"/>
        </w:rPr>
        <w:t>comprobar</w:t>
      </w:r>
      <w:r>
        <w:rPr>
          <w:color w:val="231F20"/>
          <w:spacing w:val="-12"/>
          <w:w w:val="105"/>
        </w:rPr>
        <w:t> </w:t>
      </w:r>
      <w:r>
        <w:rPr>
          <w:color w:val="231F20"/>
          <w:w w:val="105"/>
        </w:rPr>
        <w:t>lo</w:t>
      </w:r>
      <w:r>
        <w:rPr>
          <w:color w:val="231F20"/>
          <w:spacing w:val="-12"/>
          <w:w w:val="105"/>
        </w:rPr>
        <w:t> </w:t>
      </w:r>
      <w:r>
        <w:rPr>
          <w:color w:val="231F20"/>
          <w:w w:val="105"/>
        </w:rPr>
        <w:t>señalado.</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15"/>
          <w:w w:val="105"/>
        </w:rPr>
        <w:t> </w:t>
      </w:r>
      <w:r>
        <w:rPr>
          <w:color w:val="231F20"/>
          <w:w w:val="105"/>
        </w:rPr>
        <w:t>datos</w:t>
      </w:r>
      <w:r>
        <w:rPr>
          <w:color w:val="231F20"/>
          <w:spacing w:val="-15"/>
          <w:w w:val="105"/>
        </w:rPr>
        <w:t> </w:t>
      </w:r>
      <w:r>
        <w:rPr>
          <w:color w:val="231F20"/>
          <w:w w:val="105"/>
        </w:rPr>
        <w:t>informados</w:t>
      </w:r>
      <w:r>
        <w:rPr>
          <w:color w:val="231F20"/>
          <w:spacing w:val="-15"/>
          <w:w w:val="105"/>
        </w:rPr>
        <w:t> </w:t>
      </w:r>
      <w:r>
        <w:rPr>
          <w:color w:val="231F20"/>
          <w:w w:val="105"/>
        </w:rPr>
        <w:t>reflejaron</w:t>
      </w:r>
      <w:r>
        <w:rPr>
          <w:color w:val="231F20"/>
          <w:spacing w:val="-15"/>
          <w:w w:val="105"/>
        </w:rPr>
        <w:t> </w:t>
      </w:r>
      <w:r>
        <w:rPr>
          <w:color w:val="231F20"/>
          <w:w w:val="105"/>
        </w:rPr>
        <w:t>las</w:t>
      </w:r>
      <w:r>
        <w:rPr>
          <w:color w:val="231F20"/>
          <w:spacing w:val="-15"/>
          <w:w w:val="105"/>
        </w:rPr>
        <w:t> </w:t>
      </w:r>
      <w:r>
        <w:rPr>
          <w:color w:val="231F20"/>
          <w:w w:val="105"/>
        </w:rPr>
        <w:t>acciones</w:t>
      </w:r>
      <w:r>
        <w:rPr>
          <w:color w:val="231F20"/>
          <w:spacing w:val="-15"/>
          <w:w w:val="105"/>
        </w:rPr>
        <w:t> </w:t>
      </w:r>
      <w:r>
        <w:rPr>
          <w:color w:val="231F20"/>
          <w:w w:val="105"/>
        </w:rPr>
        <w:t>concretas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llevaron</w:t>
      </w:r>
      <w:r>
        <w:rPr>
          <w:color w:val="231F20"/>
          <w:spacing w:val="-15"/>
          <w:w w:val="105"/>
        </w:rPr>
        <w:t> </w:t>
      </w:r>
      <w:r>
        <w:rPr>
          <w:color w:val="231F20"/>
          <w:w w:val="105"/>
        </w:rPr>
        <w:t>a</w:t>
      </w:r>
      <w:r>
        <w:rPr>
          <w:color w:val="231F20"/>
          <w:spacing w:val="-15"/>
          <w:w w:val="105"/>
        </w:rPr>
        <w:t> </w:t>
      </w:r>
      <w:r>
        <w:rPr>
          <w:color w:val="231F20"/>
          <w:w w:val="105"/>
        </w:rPr>
        <w:t>cabo.</w:t>
      </w:r>
      <w:r>
        <w:rPr>
          <w:color w:val="231F20"/>
          <w:spacing w:val="-15"/>
          <w:w w:val="105"/>
        </w:rPr>
        <w:t> </w:t>
      </w:r>
      <w:r>
        <w:rPr>
          <w:color w:val="231F20"/>
          <w:w w:val="105"/>
        </w:rPr>
        <w:t>En</w:t>
      </w:r>
      <w:r>
        <w:rPr>
          <w:color w:val="231F20"/>
          <w:spacing w:val="-15"/>
          <w:w w:val="105"/>
        </w:rPr>
        <w:t> </w:t>
      </w:r>
      <w:r>
        <w:rPr>
          <w:color w:val="231F20"/>
          <w:spacing w:val="-2"/>
          <w:w w:val="105"/>
        </w:rPr>
        <w:t>gene- </w:t>
      </w:r>
      <w:r>
        <w:rPr>
          <w:color w:val="231F20"/>
          <w:w w:val="105"/>
        </w:rPr>
        <w:t>ral</w:t>
      </w:r>
      <w:r>
        <w:rPr>
          <w:color w:val="231F20"/>
          <w:spacing w:val="-21"/>
          <w:w w:val="105"/>
        </w:rPr>
        <w:t> </w:t>
      </w:r>
      <w:r>
        <w:rPr>
          <w:color w:val="231F20"/>
          <w:w w:val="105"/>
        </w:rPr>
        <w:t>se</w:t>
      </w:r>
      <w:r>
        <w:rPr>
          <w:color w:val="231F20"/>
          <w:spacing w:val="-21"/>
          <w:w w:val="105"/>
        </w:rPr>
        <w:t> </w:t>
      </w:r>
      <w:r>
        <w:rPr>
          <w:color w:val="231F20"/>
          <w:w w:val="105"/>
        </w:rPr>
        <w:t>enlistaron</w:t>
      </w:r>
      <w:r>
        <w:rPr>
          <w:color w:val="231F20"/>
          <w:spacing w:val="-21"/>
          <w:w w:val="105"/>
        </w:rPr>
        <w:t> </w:t>
      </w:r>
      <w:r>
        <w:rPr>
          <w:color w:val="231F20"/>
          <w:w w:val="105"/>
        </w:rPr>
        <w:t>tres:</w:t>
      </w:r>
      <w:r>
        <w:rPr>
          <w:color w:val="231F20"/>
          <w:spacing w:val="-21"/>
          <w:w w:val="105"/>
        </w:rPr>
        <w:t> </w:t>
      </w:r>
      <w:r>
        <w:rPr>
          <w:color w:val="231F20"/>
          <w:w w:val="105"/>
        </w:rPr>
        <w:t>la</w:t>
      </w:r>
      <w:r>
        <w:rPr>
          <w:color w:val="231F20"/>
          <w:spacing w:val="-21"/>
          <w:w w:val="105"/>
        </w:rPr>
        <w:t> </w:t>
      </w:r>
      <w:r>
        <w:rPr>
          <w:color w:val="231F20"/>
          <w:w w:val="105"/>
        </w:rPr>
        <w:t>capacitación</w:t>
      </w:r>
      <w:r>
        <w:rPr>
          <w:color w:val="231F20"/>
          <w:spacing w:val="-21"/>
          <w:w w:val="105"/>
        </w:rPr>
        <w:t> </w:t>
      </w:r>
      <w:r>
        <w:rPr>
          <w:color w:val="231F20"/>
          <w:w w:val="105"/>
        </w:rPr>
        <w:t>del</w:t>
      </w:r>
      <w:r>
        <w:rPr>
          <w:color w:val="231F20"/>
          <w:spacing w:val="-21"/>
          <w:w w:val="105"/>
        </w:rPr>
        <w:t> </w:t>
      </w:r>
      <w:r>
        <w:rPr>
          <w:color w:val="231F20"/>
          <w:w w:val="105"/>
        </w:rPr>
        <w:t>personal</w:t>
      </w:r>
      <w:r>
        <w:rPr>
          <w:color w:val="231F20"/>
          <w:spacing w:val="-21"/>
          <w:w w:val="105"/>
        </w:rPr>
        <w:t> </w:t>
      </w:r>
      <w:r>
        <w:rPr>
          <w:color w:val="231F20"/>
          <w:w w:val="105"/>
        </w:rPr>
        <w:t>policíaco,</w:t>
      </w:r>
      <w:r>
        <w:rPr>
          <w:color w:val="231F20"/>
          <w:spacing w:val="-21"/>
          <w:w w:val="105"/>
        </w:rPr>
        <w:t> </w:t>
      </w:r>
      <w:r>
        <w:rPr>
          <w:color w:val="231F20"/>
          <w:w w:val="105"/>
        </w:rPr>
        <w:t>una</w:t>
      </w:r>
      <w:r>
        <w:rPr>
          <w:color w:val="231F20"/>
          <w:spacing w:val="-21"/>
          <w:w w:val="105"/>
        </w:rPr>
        <w:t> </w:t>
      </w:r>
      <w:r>
        <w:rPr>
          <w:color w:val="231F20"/>
          <w:w w:val="105"/>
        </w:rPr>
        <w:t>serie</w:t>
      </w:r>
      <w:r>
        <w:rPr>
          <w:color w:val="231F20"/>
          <w:spacing w:val="-21"/>
          <w:w w:val="105"/>
        </w:rPr>
        <w:t> </w:t>
      </w:r>
      <w:r>
        <w:rPr>
          <w:color w:val="231F20"/>
          <w:w w:val="105"/>
        </w:rPr>
        <w:t>de</w:t>
      </w:r>
      <w:r>
        <w:rPr>
          <w:color w:val="231F20"/>
          <w:spacing w:val="-21"/>
          <w:w w:val="105"/>
        </w:rPr>
        <w:t> </w:t>
      </w:r>
      <w:r>
        <w:rPr>
          <w:color w:val="231F20"/>
          <w:w w:val="105"/>
        </w:rPr>
        <w:t>acciones</w:t>
      </w:r>
      <w:r>
        <w:rPr>
          <w:color w:val="231F20"/>
          <w:spacing w:val="-21"/>
          <w:w w:val="105"/>
        </w:rPr>
        <w:t> </w:t>
      </w:r>
      <w:r>
        <w:rPr>
          <w:color w:val="231F20"/>
          <w:w w:val="105"/>
        </w:rPr>
        <w:t>para</w:t>
      </w:r>
      <w:r>
        <w:rPr>
          <w:color w:val="231F20"/>
          <w:spacing w:val="-21"/>
          <w:w w:val="105"/>
        </w:rPr>
        <w:t> </w:t>
      </w:r>
      <w:r>
        <w:rPr>
          <w:color w:val="231F20"/>
          <w:w w:val="105"/>
        </w:rPr>
        <w:t>el </w:t>
      </w:r>
      <w:r>
        <w:rPr>
          <w:color w:val="231F20"/>
          <w:spacing w:val="-3"/>
          <w:w w:val="105"/>
          <w:u w:val="single" w:color="231F20"/>
        </w:rPr>
        <w:t>fomento</w:t>
      </w:r>
      <w:r>
        <w:rPr>
          <w:color w:val="231F20"/>
          <w:spacing w:val="-17"/>
          <w:w w:val="105"/>
          <w:u w:val="single" w:color="231F20"/>
        </w:rPr>
        <w:t> </w:t>
      </w:r>
      <w:r>
        <w:rPr>
          <w:color w:val="231F20"/>
          <w:w w:val="105"/>
          <w:u w:val="single" w:color="231F20"/>
        </w:rPr>
        <w:t>de</w:t>
      </w:r>
      <w:r>
        <w:rPr>
          <w:color w:val="231F20"/>
          <w:spacing w:val="-17"/>
          <w:w w:val="105"/>
          <w:u w:val="single" w:color="231F20"/>
        </w:rPr>
        <w:t> </w:t>
      </w:r>
      <w:r>
        <w:rPr>
          <w:color w:val="231F20"/>
          <w:w w:val="105"/>
          <w:u w:val="single" w:color="231F20"/>
        </w:rPr>
        <w:t>una</w:t>
      </w:r>
      <w:r>
        <w:rPr>
          <w:color w:val="231F20"/>
          <w:spacing w:val="-17"/>
          <w:w w:val="105"/>
          <w:u w:val="single" w:color="231F20"/>
        </w:rPr>
        <w:t> </w:t>
      </w:r>
      <w:r>
        <w:rPr>
          <w:color w:val="231F20"/>
          <w:w w:val="105"/>
        </w:rPr>
        <w:t>cultura</w:t>
      </w:r>
      <w:r>
        <w:rPr>
          <w:color w:val="231F20"/>
          <w:spacing w:val="-17"/>
          <w:w w:val="105"/>
        </w:rPr>
        <w:t> </w:t>
      </w:r>
      <w:r>
        <w:rPr>
          <w:color w:val="231F20"/>
          <w:w w:val="105"/>
        </w:rPr>
        <w:t>de</w:t>
      </w:r>
      <w:r>
        <w:rPr>
          <w:color w:val="231F20"/>
          <w:spacing w:val="-17"/>
          <w:w w:val="105"/>
        </w:rPr>
        <w:t> </w:t>
      </w:r>
      <w:r>
        <w:rPr>
          <w:color w:val="231F20"/>
          <w:w w:val="105"/>
        </w:rPr>
        <w:t>prevención</w:t>
      </w:r>
      <w:r>
        <w:rPr>
          <w:color w:val="231F20"/>
          <w:spacing w:val="-17"/>
          <w:w w:val="105"/>
        </w:rPr>
        <w:t> </w:t>
      </w:r>
      <w:r>
        <w:rPr>
          <w:color w:val="231F20"/>
          <w:w w:val="105"/>
        </w:rPr>
        <w:t>del</w:t>
      </w:r>
      <w:r>
        <w:rPr>
          <w:color w:val="231F20"/>
          <w:spacing w:val="-17"/>
          <w:w w:val="105"/>
        </w:rPr>
        <w:t> </w:t>
      </w:r>
      <w:r>
        <w:rPr>
          <w:color w:val="231F20"/>
          <w:w w:val="105"/>
        </w:rPr>
        <w:t>delito</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supervisión</w:t>
      </w:r>
      <w:r>
        <w:rPr>
          <w:color w:val="231F20"/>
          <w:spacing w:val="-17"/>
          <w:w w:val="105"/>
        </w:rPr>
        <w:t> </w:t>
      </w:r>
      <w:r>
        <w:rPr>
          <w:color w:val="231F20"/>
          <w:w w:val="105"/>
        </w:rPr>
        <w:t>del</w:t>
      </w:r>
      <w:r>
        <w:rPr>
          <w:color w:val="231F20"/>
          <w:spacing w:val="-17"/>
          <w:w w:val="105"/>
        </w:rPr>
        <w:t> </w:t>
      </w:r>
      <w:r>
        <w:rPr>
          <w:color w:val="231F20"/>
          <w:w w:val="105"/>
        </w:rPr>
        <w:t>trabajo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policía</w:t>
      </w:r>
    </w:p>
    <w:p>
      <w:pPr>
        <w:pStyle w:val="ListParagraph"/>
        <w:numPr>
          <w:ilvl w:val="0"/>
          <w:numId w:val="14"/>
        </w:numPr>
        <w:tabs>
          <w:tab w:pos="292" w:val="left" w:leader="none"/>
        </w:tabs>
        <w:spacing w:line="240" w:lineRule="auto" w:before="18" w:after="0"/>
        <w:ind w:left="291" w:right="0" w:hanging="181"/>
        <w:jc w:val="both"/>
        <w:rPr>
          <w:rFonts w:ascii="Arial"/>
          <w:sz w:val="20"/>
        </w:rPr>
      </w:pPr>
      <w:r>
        <w:rPr>
          <w:color w:val="231F20"/>
          <w:sz w:val="16"/>
        </w:rPr>
        <w:t>Primer</w:t>
      </w:r>
      <w:r>
        <w:rPr>
          <w:color w:val="231F20"/>
          <w:spacing w:val="-16"/>
          <w:sz w:val="16"/>
        </w:rPr>
        <w:t> </w:t>
      </w:r>
      <w:r>
        <w:rPr>
          <w:color w:val="231F20"/>
          <w:sz w:val="16"/>
        </w:rPr>
        <w:t>Informe</w:t>
      </w:r>
      <w:r>
        <w:rPr>
          <w:color w:val="231F20"/>
          <w:spacing w:val="-16"/>
          <w:sz w:val="16"/>
        </w:rPr>
        <w:t> </w:t>
      </w:r>
      <w:r>
        <w:rPr>
          <w:color w:val="231F20"/>
          <w:sz w:val="16"/>
        </w:rPr>
        <w:t>de</w:t>
      </w:r>
      <w:r>
        <w:rPr>
          <w:color w:val="231F20"/>
          <w:spacing w:val="-16"/>
          <w:sz w:val="16"/>
        </w:rPr>
        <w:t> </w:t>
      </w:r>
      <w:r>
        <w:rPr>
          <w:color w:val="231F20"/>
          <w:sz w:val="16"/>
        </w:rPr>
        <w:t>Gobierno,</w:t>
      </w:r>
      <w:r>
        <w:rPr>
          <w:color w:val="231F20"/>
          <w:spacing w:val="-16"/>
          <w:sz w:val="16"/>
        </w:rPr>
        <w:t> </w:t>
      </w:r>
      <w:r>
        <w:rPr>
          <w:color w:val="231F20"/>
          <w:spacing w:val="-4"/>
          <w:sz w:val="16"/>
        </w:rPr>
        <w:t>2007.</w:t>
      </w:r>
      <w:r>
        <w:rPr>
          <w:color w:val="231F20"/>
          <w:spacing w:val="-16"/>
          <w:sz w:val="16"/>
        </w:rPr>
        <w:t> </w:t>
      </w:r>
      <w:r>
        <w:rPr>
          <w:color w:val="231F20"/>
          <w:sz w:val="16"/>
        </w:rPr>
        <w:t>En</w:t>
      </w:r>
      <w:r>
        <w:rPr>
          <w:color w:val="231F20"/>
          <w:spacing w:val="-16"/>
          <w:sz w:val="16"/>
        </w:rPr>
        <w:t> </w:t>
      </w:r>
      <w:r>
        <w:rPr>
          <w:color w:val="231F20"/>
          <w:sz w:val="16"/>
        </w:rPr>
        <w:t>adelante,</w:t>
      </w:r>
      <w:r>
        <w:rPr>
          <w:color w:val="231F20"/>
          <w:spacing w:val="-16"/>
          <w:sz w:val="16"/>
        </w:rPr>
        <w:t> </w:t>
      </w:r>
      <w:r>
        <w:rPr>
          <w:color w:val="231F20"/>
          <w:sz w:val="16"/>
        </w:rPr>
        <w:t>las</w:t>
      </w:r>
      <w:r>
        <w:rPr>
          <w:color w:val="231F20"/>
          <w:spacing w:val="-16"/>
          <w:sz w:val="16"/>
        </w:rPr>
        <w:t> </w:t>
      </w:r>
      <w:r>
        <w:rPr>
          <w:color w:val="231F20"/>
          <w:sz w:val="16"/>
        </w:rPr>
        <w:t>citas</w:t>
      </w:r>
      <w:r>
        <w:rPr>
          <w:color w:val="231F20"/>
          <w:spacing w:val="-16"/>
          <w:sz w:val="16"/>
        </w:rPr>
        <w:t> </w:t>
      </w:r>
      <w:r>
        <w:rPr>
          <w:color w:val="231F20"/>
          <w:sz w:val="16"/>
        </w:rPr>
        <w:t>corresponden</w:t>
      </w:r>
      <w:r>
        <w:rPr>
          <w:color w:val="231F20"/>
          <w:spacing w:val="-16"/>
          <w:sz w:val="16"/>
        </w:rPr>
        <w:t> </w:t>
      </w:r>
      <w:r>
        <w:rPr>
          <w:color w:val="231F20"/>
          <w:sz w:val="16"/>
        </w:rPr>
        <w:t>a</w:t>
      </w:r>
      <w:r>
        <w:rPr>
          <w:color w:val="231F20"/>
          <w:spacing w:val="-16"/>
          <w:sz w:val="16"/>
        </w:rPr>
        <w:t> </w:t>
      </w:r>
      <w:r>
        <w:rPr>
          <w:color w:val="231F20"/>
          <w:sz w:val="16"/>
        </w:rPr>
        <w:t>esta</w:t>
      </w:r>
      <w:r>
        <w:rPr>
          <w:color w:val="231F20"/>
          <w:spacing w:val="-16"/>
          <w:sz w:val="16"/>
        </w:rPr>
        <w:t> </w:t>
      </w:r>
      <w:r>
        <w:rPr>
          <w:color w:val="231F20"/>
          <w:sz w:val="16"/>
        </w:rPr>
        <w:t>fuente</w:t>
      </w:r>
      <w:r>
        <w:rPr>
          <w:rFonts w:ascii="Arial"/>
          <w:color w:val="231F20"/>
          <w:sz w:val="20"/>
        </w:rPr>
        <w:t>.</w:t>
      </w:r>
    </w:p>
    <w:p>
      <w:pPr>
        <w:spacing w:after="0" w:line="240" w:lineRule="auto"/>
        <w:jc w:val="both"/>
        <w:rPr>
          <w:rFonts w:ascii="Arial"/>
          <w:sz w:val="20"/>
        </w:rPr>
        <w:sectPr>
          <w:pgSz w:w="9640" w:h="12190"/>
          <w:pgMar w:header="0" w:footer="743" w:top="1120" w:bottom="940" w:left="740" w:right="740"/>
        </w:sectPr>
      </w:pPr>
    </w:p>
    <w:p>
      <w:pPr>
        <w:pStyle w:val="BodyText"/>
        <w:spacing w:before="3"/>
        <w:rPr>
          <w:rFonts w:ascii="Arial"/>
          <w:sz w:val="11"/>
        </w:rPr>
      </w:pPr>
    </w:p>
    <w:p>
      <w:pPr>
        <w:pStyle w:val="BodyText"/>
        <w:spacing w:line="285" w:lineRule="auto" w:before="36"/>
        <w:ind w:left="110" w:right="108"/>
        <w:jc w:val="both"/>
      </w:pPr>
      <w:r>
        <w:rPr>
          <w:color w:val="231F20"/>
          <w:w w:val="105"/>
        </w:rPr>
        <w:t>con</w:t>
      </w:r>
      <w:r>
        <w:rPr>
          <w:color w:val="231F20"/>
          <w:spacing w:val="-16"/>
          <w:w w:val="105"/>
        </w:rPr>
        <w:t> </w:t>
      </w:r>
      <w:r>
        <w:rPr>
          <w:color w:val="231F20"/>
          <w:w w:val="105"/>
        </w:rPr>
        <w:t>el</w:t>
      </w:r>
      <w:r>
        <w:rPr>
          <w:color w:val="231F20"/>
          <w:spacing w:val="-16"/>
          <w:w w:val="105"/>
        </w:rPr>
        <w:t> </w:t>
      </w:r>
      <w:r>
        <w:rPr>
          <w:color w:val="231F20"/>
          <w:spacing w:val="2"/>
          <w:w w:val="105"/>
        </w:rPr>
        <w:t>fin</w:t>
      </w:r>
      <w:r>
        <w:rPr>
          <w:color w:val="231F20"/>
          <w:spacing w:val="-16"/>
          <w:w w:val="105"/>
        </w:rPr>
        <w:t> </w:t>
      </w:r>
      <w:r>
        <w:rPr>
          <w:color w:val="231F20"/>
          <w:w w:val="105"/>
        </w:rPr>
        <w:t>de</w:t>
      </w:r>
      <w:r>
        <w:rPr>
          <w:color w:val="231F20"/>
          <w:spacing w:val="-16"/>
          <w:w w:val="105"/>
        </w:rPr>
        <w:t> </w:t>
      </w:r>
      <w:r>
        <w:rPr>
          <w:color w:val="231F20"/>
          <w:w w:val="105"/>
        </w:rPr>
        <w:t>evitar</w:t>
      </w:r>
      <w:r>
        <w:rPr>
          <w:color w:val="231F20"/>
          <w:spacing w:val="-16"/>
          <w:w w:val="105"/>
        </w:rPr>
        <w:t> </w:t>
      </w:r>
      <w:r>
        <w:rPr>
          <w:color w:val="231F20"/>
          <w:w w:val="105"/>
        </w:rPr>
        <w:t>corrupción.</w:t>
      </w:r>
      <w:r>
        <w:rPr>
          <w:color w:val="231F20"/>
          <w:spacing w:val="-16"/>
          <w:w w:val="105"/>
        </w:rPr>
        <w:t> </w:t>
      </w:r>
      <w:r>
        <w:rPr>
          <w:color w:val="231F20"/>
          <w:w w:val="105"/>
        </w:rPr>
        <w:t>Es</w:t>
      </w:r>
      <w:r>
        <w:rPr>
          <w:color w:val="231F20"/>
          <w:spacing w:val="-16"/>
          <w:w w:val="105"/>
        </w:rPr>
        <w:t> </w:t>
      </w:r>
      <w:r>
        <w:rPr>
          <w:color w:val="231F20"/>
          <w:w w:val="105"/>
        </w:rPr>
        <w:t>de</w:t>
      </w:r>
      <w:r>
        <w:rPr>
          <w:color w:val="231F20"/>
          <w:spacing w:val="-16"/>
          <w:w w:val="105"/>
        </w:rPr>
        <w:t> </w:t>
      </w:r>
      <w:r>
        <w:rPr>
          <w:color w:val="231F20"/>
          <w:w w:val="105"/>
        </w:rPr>
        <w:t>destacar</w:t>
      </w:r>
      <w:r>
        <w:rPr>
          <w:color w:val="231F20"/>
          <w:spacing w:val="-16"/>
          <w:w w:val="105"/>
        </w:rPr>
        <w:t> </w:t>
      </w:r>
      <w:r>
        <w:rPr>
          <w:color w:val="231F20"/>
          <w:w w:val="105"/>
        </w:rPr>
        <w:t>el</w:t>
      </w:r>
      <w:r>
        <w:rPr>
          <w:color w:val="231F20"/>
          <w:spacing w:val="-16"/>
          <w:w w:val="105"/>
        </w:rPr>
        <w:t> </w:t>
      </w:r>
      <w:r>
        <w:rPr>
          <w:color w:val="231F20"/>
          <w:w w:val="105"/>
        </w:rPr>
        <w:t>hecho</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menciona</w:t>
      </w:r>
      <w:r>
        <w:rPr>
          <w:color w:val="231F20"/>
          <w:spacing w:val="-16"/>
          <w:w w:val="105"/>
        </w:rPr>
        <w:t> </w:t>
      </w:r>
      <w:r>
        <w:rPr>
          <w:color w:val="231F20"/>
          <w:w w:val="105"/>
        </w:rPr>
        <w:t>que</w:t>
      </w:r>
      <w:r>
        <w:rPr>
          <w:color w:val="231F20"/>
          <w:spacing w:val="-16"/>
          <w:w w:val="105"/>
        </w:rPr>
        <w:t> </w:t>
      </w:r>
      <w:r>
        <w:rPr>
          <w:color w:val="231F20"/>
          <w:w w:val="105"/>
        </w:rPr>
        <w:t>casi</w:t>
      </w:r>
      <w:r>
        <w:rPr>
          <w:color w:val="231F20"/>
          <w:spacing w:val="-16"/>
          <w:w w:val="105"/>
        </w:rPr>
        <w:t> </w:t>
      </w:r>
      <w:r>
        <w:rPr>
          <w:color w:val="231F20"/>
          <w:spacing w:val="3"/>
          <w:w w:val="105"/>
        </w:rPr>
        <w:t>600 </w:t>
      </w:r>
      <w:r>
        <w:rPr>
          <w:color w:val="231F20"/>
          <w:w w:val="105"/>
        </w:rPr>
        <w:t>elementos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policía</w:t>
      </w:r>
      <w:r>
        <w:rPr>
          <w:color w:val="231F20"/>
          <w:spacing w:val="-6"/>
          <w:w w:val="105"/>
        </w:rPr>
        <w:t> </w:t>
      </w:r>
      <w:r>
        <w:rPr>
          <w:color w:val="231F20"/>
          <w:w w:val="105"/>
        </w:rPr>
        <w:t>fueron</w:t>
      </w:r>
      <w:r>
        <w:rPr>
          <w:color w:val="231F20"/>
          <w:spacing w:val="-6"/>
          <w:w w:val="105"/>
        </w:rPr>
        <w:t> </w:t>
      </w:r>
      <w:r>
        <w:rPr>
          <w:color w:val="231F20"/>
          <w:w w:val="105"/>
        </w:rPr>
        <w:t>sancionados</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u</w:t>
      </w:r>
      <w:r>
        <w:rPr>
          <w:color w:val="231F20"/>
          <w:spacing w:val="-6"/>
          <w:w w:val="105"/>
        </w:rPr>
        <w:t> </w:t>
      </w:r>
      <w:r>
        <w:rPr>
          <w:color w:val="231F20"/>
          <w:w w:val="105"/>
        </w:rPr>
        <w:t>otra</w:t>
      </w:r>
      <w:r>
        <w:rPr>
          <w:color w:val="231F20"/>
          <w:spacing w:val="-6"/>
          <w:w w:val="105"/>
        </w:rPr>
        <w:t> </w:t>
      </w:r>
      <w:r>
        <w:rPr>
          <w:color w:val="231F20"/>
          <w:w w:val="105"/>
        </w:rPr>
        <w:t>manera.</w:t>
      </w:r>
      <w:r>
        <w:rPr>
          <w:color w:val="231F20"/>
          <w:spacing w:val="-6"/>
          <w:w w:val="105"/>
        </w:rPr>
        <w:t> </w:t>
      </w:r>
      <w:r>
        <w:rPr>
          <w:color w:val="231F20"/>
          <w:w w:val="105"/>
        </w:rPr>
        <w:t>Esta</w:t>
      </w:r>
      <w:r>
        <w:rPr>
          <w:color w:val="231F20"/>
          <w:spacing w:val="-6"/>
          <w:w w:val="105"/>
        </w:rPr>
        <w:t> </w:t>
      </w:r>
      <w:r>
        <w:rPr>
          <w:color w:val="231F20"/>
          <w:w w:val="105"/>
        </w:rPr>
        <w:t>cifra</w:t>
      </w:r>
      <w:r>
        <w:rPr>
          <w:color w:val="231F20"/>
          <w:spacing w:val="-6"/>
          <w:w w:val="105"/>
        </w:rPr>
        <w:t> </w:t>
      </w:r>
      <w:r>
        <w:rPr>
          <w:color w:val="231F20"/>
          <w:w w:val="105"/>
        </w:rPr>
        <w:t>representa la quinta parte del personal de seguridad del ayuntamiento, lo que significaría una</w:t>
      </w:r>
      <w:r>
        <w:rPr>
          <w:color w:val="231F20"/>
          <w:spacing w:val="-39"/>
          <w:w w:val="105"/>
        </w:rPr>
        <w:t> </w:t>
      </w:r>
      <w:r>
        <w:rPr>
          <w:color w:val="231F20"/>
          <w:w w:val="105"/>
        </w:rPr>
        <w:t>im- portante</w:t>
      </w:r>
      <w:r>
        <w:rPr>
          <w:color w:val="231F20"/>
          <w:spacing w:val="-5"/>
          <w:w w:val="105"/>
        </w:rPr>
        <w:t> </w:t>
      </w:r>
      <w:r>
        <w:rPr>
          <w:color w:val="231F20"/>
          <w:w w:val="105"/>
        </w:rPr>
        <w:t>acción</w:t>
      </w:r>
      <w:r>
        <w:rPr>
          <w:color w:val="231F20"/>
          <w:spacing w:val="-5"/>
          <w:w w:val="105"/>
        </w:rPr>
        <w:t> </w:t>
      </w:r>
      <w:r>
        <w:rPr>
          <w:color w:val="231F20"/>
          <w:w w:val="105"/>
        </w:rPr>
        <w:t>de</w:t>
      </w:r>
      <w:r>
        <w:rPr>
          <w:color w:val="231F20"/>
          <w:spacing w:val="-5"/>
          <w:w w:val="105"/>
        </w:rPr>
        <w:t> </w:t>
      </w:r>
      <w:r>
        <w:rPr>
          <w:color w:val="231F20"/>
          <w:w w:val="105"/>
        </w:rPr>
        <w:t>combate</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corrupción</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terreno.</w:t>
      </w:r>
    </w:p>
    <w:p>
      <w:pPr>
        <w:pStyle w:val="BodyText"/>
        <w:spacing w:before="1"/>
        <w:rPr>
          <w:sz w:val="26"/>
        </w:rPr>
      </w:pPr>
    </w:p>
    <w:p>
      <w:pPr>
        <w:pStyle w:val="BodyText"/>
        <w:spacing w:line="285" w:lineRule="auto"/>
        <w:ind w:left="110" w:right="108"/>
        <w:jc w:val="both"/>
      </w:pPr>
      <w:r>
        <w:rPr>
          <w:color w:val="231F20"/>
          <w:w w:val="105"/>
        </w:rPr>
        <w:t>En este rubro se tomó en cuenta la “participación comunitaria”, con el </w:t>
      </w:r>
      <w:r>
        <w:rPr>
          <w:color w:val="231F20"/>
          <w:spacing w:val="2"/>
          <w:w w:val="105"/>
        </w:rPr>
        <w:t>fin </w:t>
      </w:r>
      <w:r>
        <w:rPr>
          <w:color w:val="231F20"/>
          <w:w w:val="105"/>
        </w:rPr>
        <w:t>de que los ciudadanos</w:t>
      </w:r>
      <w:r>
        <w:rPr>
          <w:color w:val="231F20"/>
          <w:spacing w:val="-23"/>
          <w:w w:val="105"/>
        </w:rPr>
        <w:t> </w:t>
      </w:r>
      <w:r>
        <w:rPr>
          <w:color w:val="231F20"/>
          <w:w w:val="105"/>
        </w:rPr>
        <w:t>se</w:t>
      </w:r>
      <w:r>
        <w:rPr>
          <w:color w:val="231F20"/>
          <w:spacing w:val="-23"/>
          <w:w w:val="105"/>
        </w:rPr>
        <w:t> </w:t>
      </w:r>
      <w:r>
        <w:rPr>
          <w:color w:val="231F20"/>
          <w:w w:val="105"/>
        </w:rPr>
        <w:t>hicieran</w:t>
      </w:r>
      <w:r>
        <w:rPr>
          <w:color w:val="231F20"/>
          <w:spacing w:val="-23"/>
          <w:w w:val="105"/>
        </w:rPr>
        <w:t> </w:t>
      </w:r>
      <w:r>
        <w:rPr>
          <w:color w:val="231F20"/>
          <w:w w:val="105"/>
        </w:rPr>
        <w:t>cargo</w:t>
      </w:r>
      <w:r>
        <w:rPr>
          <w:color w:val="231F20"/>
          <w:spacing w:val="-23"/>
          <w:w w:val="105"/>
        </w:rPr>
        <w:t> </w:t>
      </w:r>
      <w:r>
        <w:rPr>
          <w:color w:val="231F20"/>
          <w:w w:val="105"/>
        </w:rPr>
        <w:t>también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seguridad</w:t>
      </w:r>
      <w:r>
        <w:rPr>
          <w:color w:val="231F20"/>
          <w:spacing w:val="-23"/>
          <w:w w:val="105"/>
        </w:rPr>
        <w:t> </w:t>
      </w:r>
      <w:r>
        <w:rPr>
          <w:color w:val="231F20"/>
          <w:w w:val="105"/>
        </w:rPr>
        <w:t>en</w:t>
      </w:r>
      <w:r>
        <w:rPr>
          <w:color w:val="231F20"/>
          <w:spacing w:val="-23"/>
          <w:w w:val="105"/>
        </w:rPr>
        <w:t> </w:t>
      </w:r>
      <w:r>
        <w:rPr>
          <w:color w:val="231F20"/>
          <w:w w:val="105"/>
        </w:rPr>
        <w:t>sus</w:t>
      </w:r>
      <w:r>
        <w:rPr>
          <w:color w:val="231F20"/>
          <w:spacing w:val="-23"/>
          <w:w w:val="105"/>
        </w:rPr>
        <w:t> </w:t>
      </w:r>
      <w:r>
        <w:rPr>
          <w:color w:val="231F20"/>
          <w:w w:val="105"/>
        </w:rPr>
        <w:t>comunidades.</w:t>
      </w:r>
      <w:r>
        <w:rPr>
          <w:color w:val="231F20"/>
          <w:spacing w:val="-23"/>
          <w:w w:val="105"/>
        </w:rPr>
        <w:t> </w:t>
      </w:r>
      <w:r>
        <w:rPr>
          <w:color w:val="231F20"/>
          <w:w w:val="105"/>
        </w:rPr>
        <w:t>Sin</w:t>
      </w:r>
      <w:r>
        <w:rPr>
          <w:color w:val="231F20"/>
          <w:spacing w:val="-23"/>
          <w:w w:val="105"/>
        </w:rPr>
        <w:t> </w:t>
      </w:r>
      <w:r>
        <w:rPr>
          <w:color w:val="231F20"/>
          <w:w w:val="105"/>
        </w:rPr>
        <w:t>embargo, esta</w:t>
      </w:r>
      <w:r>
        <w:rPr>
          <w:color w:val="231F20"/>
          <w:spacing w:val="-12"/>
          <w:w w:val="105"/>
        </w:rPr>
        <w:t> </w:t>
      </w:r>
      <w:r>
        <w:rPr>
          <w:color w:val="231F20"/>
          <w:w w:val="105"/>
        </w:rPr>
        <w:t>participación</w:t>
      </w:r>
      <w:r>
        <w:rPr>
          <w:color w:val="231F20"/>
          <w:spacing w:val="-12"/>
          <w:w w:val="105"/>
        </w:rPr>
        <w:t> </w:t>
      </w:r>
      <w:r>
        <w:rPr>
          <w:color w:val="231F20"/>
          <w:w w:val="105"/>
        </w:rPr>
        <w:t>solamente</w:t>
      </w:r>
      <w:r>
        <w:rPr>
          <w:color w:val="231F20"/>
          <w:spacing w:val="-12"/>
          <w:w w:val="105"/>
        </w:rPr>
        <w:t> </w:t>
      </w:r>
      <w:r>
        <w:rPr>
          <w:color w:val="231F20"/>
          <w:w w:val="105"/>
        </w:rPr>
        <w:t>se</w:t>
      </w:r>
      <w:r>
        <w:rPr>
          <w:color w:val="231F20"/>
          <w:spacing w:val="-12"/>
          <w:w w:val="105"/>
        </w:rPr>
        <w:t> </w:t>
      </w:r>
      <w:r>
        <w:rPr>
          <w:color w:val="231F20"/>
          <w:w w:val="105"/>
        </w:rPr>
        <w:t>dio</w:t>
      </w:r>
      <w:r>
        <w:rPr>
          <w:color w:val="231F20"/>
          <w:spacing w:val="-12"/>
          <w:w w:val="105"/>
        </w:rPr>
        <w:t> </w:t>
      </w:r>
      <w:r>
        <w:rPr>
          <w:color w:val="231F20"/>
          <w:w w:val="105"/>
        </w:rPr>
        <w:t>en</w:t>
      </w:r>
      <w:r>
        <w:rPr>
          <w:color w:val="231F20"/>
          <w:spacing w:val="-12"/>
          <w:w w:val="105"/>
        </w:rPr>
        <w:t> </w:t>
      </w:r>
      <w:r>
        <w:rPr>
          <w:color w:val="231F20"/>
          <w:w w:val="105"/>
        </w:rPr>
        <w:t>22</w:t>
      </w:r>
      <w:r>
        <w:rPr>
          <w:color w:val="231F20"/>
          <w:spacing w:val="-12"/>
          <w:w w:val="105"/>
        </w:rPr>
        <w:t> </w:t>
      </w:r>
      <w:r>
        <w:rPr>
          <w:color w:val="231F20"/>
          <w:w w:val="105"/>
        </w:rPr>
        <w:t>colonias</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spacing w:val="-5"/>
          <w:w w:val="105"/>
        </w:rPr>
        <w:t>(de</w:t>
      </w:r>
      <w:r>
        <w:rPr>
          <w:color w:val="231F20"/>
          <w:spacing w:val="-12"/>
          <w:w w:val="105"/>
        </w:rPr>
        <w:t> </w:t>
      </w:r>
      <w:r>
        <w:rPr>
          <w:color w:val="231F20"/>
          <w:w w:val="105"/>
        </w:rPr>
        <w:t>un</w:t>
      </w:r>
      <w:r>
        <w:rPr>
          <w:color w:val="231F20"/>
          <w:spacing w:val="-12"/>
          <w:w w:val="105"/>
        </w:rPr>
        <w:t> </w:t>
      </w:r>
      <w:r>
        <w:rPr>
          <w:color w:val="231F20"/>
          <w:w w:val="105"/>
        </w:rPr>
        <w:t>total</w:t>
      </w:r>
      <w:r>
        <w:rPr>
          <w:color w:val="231F20"/>
          <w:spacing w:val="-12"/>
          <w:w w:val="105"/>
        </w:rPr>
        <w:t> </w:t>
      </w:r>
      <w:r>
        <w:rPr>
          <w:color w:val="231F20"/>
          <w:w w:val="105"/>
        </w:rPr>
        <w:t>de</w:t>
      </w:r>
      <w:r>
        <w:rPr>
          <w:color w:val="231F20"/>
          <w:spacing w:val="-12"/>
          <w:w w:val="105"/>
        </w:rPr>
        <w:t> </w:t>
      </w:r>
      <w:r>
        <w:rPr>
          <w:color w:val="231F20"/>
          <w:spacing w:val="-3"/>
          <w:w w:val="105"/>
        </w:rPr>
        <w:t>127),</w:t>
      </w:r>
      <w:r>
        <w:rPr>
          <w:color w:val="231F20"/>
          <w:spacing w:val="-12"/>
          <w:w w:val="105"/>
        </w:rPr>
        <w:t> </w:t>
      </w:r>
      <w:r>
        <w:rPr>
          <w:color w:val="231F20"/>
          <w:w w:val="105"/>
        </w:rPr>
        <w:t>lo cual</w:t>
      </w:r>
      <w:r>
        <w:rPr>
          <w:color w:val="231F20"/>
          <w:spacing w:val="-14"/>
          <w:w w:val="105"/>
        </w:rPr>
        <w:t> </w:t>
      </w:r>
      <w:r>
        <w:rPr>
          <w:color w:val="231F20"/>
          <w:w w:val="105"/>
        </w:rPr>
        <w:t>fue</w:t>
      </w:r>
      <w:r>
        <w:rPr>
          <w:color w:val="231F20"/>
          <w:spacing w:val="-14"/>
          <w:w w:val="105"/>
        </w:rPr>
        <w:t> </w:t>
      </w:r>
      <w:r>
        <w:rPr>
          <w:color w:val="231F20"/>
          <w:w w:val="105"/>
        </w:rPr>
        <w:t>a</w:t>
      </w:r>
      <w:r>
        <w:rPr>
          <w:color w:val="231F20"/>
          <w:spacing w:val="-14"/>
          <w:w w:val="105"/>
        </w:rPr>
        <w:t> </w:t>
      </w:r>
      <w:r>
        <w:rPr>
          <w:color w:val="231F20"/>
          <w:w w:val="105"/>
        </w:rPr>
        <w:t>todas</w:t>
      </w:r>
      <w:r>
        <w:rPr>
          <w:color w:val="231F20"/>
          <w:spacing w:val="-14"/>
          <w:w w:val="105"/>
        </w:rPr>
        <w:t> </w:t>
      </w:r>
      <w:r>
        <w:rPr>
          <w:color w:val="231F20"/>
          <w:w w:val="105"/>
        </w:rPr>
        <w:t>luces</w:t>
      </w:r>
      <w:r>
        <w:rPr>
          <w:color w:val="231F20"/>
          <w:spacing w:val="-14"/>
          <w:w w:val="105"/>
        </w:rPr>
        <w:t> </w:t>
      </w:r>
      <w:r>
        <w:rPr>
          <w:color w:val="231F20"/>
          <w:w w:val="105"/>
        </w:rPr>
        <w:t>insuficiente,</w:t>
      </w:r>
      <w:r>
        <w:rPr>
          <w:color w:val="231F20"/>
          <w:spacing w:val="-14"/>
          <w:w w:val="105"/>
        </w:rPr>
        <w:t> </w:t>
      </w:r>
      <w:r>
        <w:rPr>
          <w:color w:val="231F20"/>
          <w:w w:val="105"/>
        </w:rPr>
        <w:t>tomando</w:t>
      </w:r>
      <w:r>
        <w:rPr>
          <w:color w:val="231F20"/>
          <w:spacing w:val="-14"/>
          <w:w w:val="105"/>
        </w:rPr>
        <w:t> </w:t>
      </w:r>
      <w:r>
        <w:rPr>
          <w:color w:val="231F20"/>
          <w:w w:val="105"/>
        </w:rPr>
        <w:t>en</w:t>
      </w:r>
      <w:r>
        <w:rPr>
          <w:color w:val="231F20"/>
          <w:spacing w:val="-14"/>
          <w:w w:val="105"/>
        </w:rPr>
        <w:t> </w:t>
      </w:r>
      <w:r>
        <w:rPr>
          <w:color w:val="231F20"/>
          <w:w w:val="105"/>
        </w:rPr>
        <w:t>cuenta</w:t>
      </w:r>
      <w:r>
        <w:rPr>
          <w:color w:val="231F20"/>
          <w:spacing w:val="-14"/>
          <w:w w:val="105"/>
        </w:rPr>
        <w:t> </w:t>
      </w:r>
      <w:r>
        <w:rPr>
          <w:color w:val="231F20"/>
          <w:w w:val="105"/>
        </w:rPr>
        <w:t>la</w:t>
      </w:r>
      <w:r>
        <w:rPr>
          <w:color w:val="231F20"/>
          <w:spacing w:val="-14"/>
          <w:w w:val="105"/>
        </w:rPr>
        <w:t> </w:t>
      </w:r>
      <w:r>
        <w:rPr>
          <w:color w:val="231F20"/>
          <w:w w:val="105"/>
        </w:rPr>
        <w:t>enorme</w:t>
      </w:r>
      <w:r>
        <w:rPr>
          <w:color w:val="231F20"/>
          <w:spacing w:val="-14"/>
          <w:w w:val="105"/>
        </w:rPr>
        <w:t> </w:t>
      </w:r>
      <w:r>
        <w:rPr>
          <w:color w:val="231F20"/>
          <w:w w:val="105"/>
        </w:rPr>
        <w:t>densidad</w:t>
      </w:r>
      <w:r>
        <w:rPr>
          <w:color w:val="231F20"/>
          <w:spacing w:val="-14"/>
          <w:w w:val="105"/>
        </w:rPr>
        <w:t> </w:t>
      </w:r>
      <w:r>
        <w:rPr>
          <w:color w:val="231F20"/>
          <w:w w:val="105"/>
        </w:rPr>
        <w:t>de</w:t>
      </w:r>
      <w:r>
        <w:rPr>
          <w:color w:val="231F20"/>
          <w:spacing w:val="-14"/>
          <w:w w:val="105"/>
        </w:rPr>
        <w:t> </w:t>
      </w:r>
      <w:r>
        <w:rPr>
          <w:color w:val="231F20"/>
          <w:w w:val="105"/>
        </w:rPr>
        <w:t>población de</w:t>
      </w:r>
      <w:r>
        <w:rPr>
          <w:color w:val="231F20"/>
          <w:spacing w:val="-20"/>
          <w:w w:val="105"/>
        </w:rPr>
        <w:t> </w:t>
      </w:r>
      <w:r>
        <w:rPr>
          <w:color w:val="231F20"/>
          <w:w w:val="105"/>
        </w:rPr>
        <w:t>Naucalpan.</w:t>
      </w:r>
    </w:p>
    <w:p>
      <w:pPr>
        <w:pStyle w:val="BodyText"/>
        <w:spacing w:before="1"/>
        <w:rPr>
          <w:sz w:val="26"/>
        </w:rPr>
      </w:pPr>
    </w:p>
    <w:p>
      <w:pPr>
        <w:pStyle w:val="BodyText"/>
        <w:spacing w:line="285" w:lineRule="auto"/>
        <w:ind w:left="110" w:right="106"/>
        <w:jc w:val="both"/>
      </w:pPr>
      <w:r>
        <w:rPr>
          <w:color w:val="231F20"/>
          <w:w w:val="105"/>
        </w:rPr>
        <w:t>Otro </w:t>
      </w:r>
      <w:r>
        <w:rPr>
          <w:color w:val="231F20"/>
          <w:spacing w:val="2"/>
          <w:w w:val="105"/>
        </w:rPr>
        <w:t>asunto </w:t>
      </w:r>
      <w:r>
        <w:rPr>
          <w:color w:val="231F20"/>
          <w:w w:val="105"/>
        </w:rPr>
        <w:t>que merece </w:t>
      </w:r>
      <w:r>
        <w:rPr>
          <w:color w:val="231F20"/>
          <w:spacing w:val="3"/>
          <w:w w:val="105"/>
        </w:rPr>
        <w:t>una </w:t>
      </w:r>
      <w:r>
        <w:rPr>
          <w:color w:val="231F20"/>
          <w:w w:val="105"/>
        </w:rPr>
        <w:t>mención </w:t>
      </w:r>
      <w:r>
        <w:rPr>
          <w:color w:val="231F20"/>
          <w:spacing w:val="2"/>
          <w:w w:val="105"/>
        </w:rPr>
        <w:t>especial </w:t>
      </w:r>
      <w:r>
        <w:rPr>
          <w:color w:val="231F20"/>
          <w:w w:val="105"/>
        </w:rPr>
        <w:t>es el hecho de que el municipio brin- </w:t>
      </w:r>
      <w:r>
        <w:rPr>
          <w:color w:val="231F20"/>
          <w:spacing w:val="2"/>
          <w:w w:val="105"/>
        </w:rPr>
        <w:t>dara servicio </w:t>
      </w:r>
      <w:r>
        <w:rPr>
          <w:color w:val="231F20"/>
          <w:w w:val="105"/>
        </w:rPr>
        <w:t>de </w:t>
      </w:r>
      <w:r>
        <w:rPr>
          <w:color w:val="231F20"/>
          <w:spacing w:val="2"/>
          <w:w w:val="105"/>
        </w:rPr>
        <w:t>seguridad </w:t>
      </w:r>
      <w:r>
        <w:rPr>
          <w:color w:val="231F20"/>
          <w:w w:val="105"/>
        </w:rPr>
        <w:t>a quien pudiera pagarlo. </w:t>
      </w:r>
      <w:r>
        <w:rPr>
          <w:color w:val="231F20"/>
          <w:spacing w:val="2"/>
          <w:w w:val="105"/>
        </w:rPr>
        <w:t>Inscrita </w:t>
      </w:r>
      <w:r>
        <w:rPr>
          <w:color w:val="231F20"/>
          <w:w w:val="105"/>
        </w:rPr>
        <w:t>indudablemente en </w:t>
      </w:r>
      <w:r>
        <w:rPr>
          <w:color w:val="231F20"/>
          <w:spacing w:val="3"/>
          <w:w w:val="105"/>
        </w:rPr>
        <w:t>una </w:t>
      </w:r>
      <w:r>
        <w:rPr>
          <w:color w:val="231F20"/>
          <w:spacing w:val="2"/>
          <w:w w:val="105"/>
        </w:rPr>
        <w:t>perspectiva empresarial, esta </w:t>
      </w:r>
      <w:r>
        <w:rPr>
          <w:color w:val="231F20"/>
          <w:w w:val="105"/>
        </w:rPr>
        <w:t>política tuvo </w:t>
      </w:r>
      <w:r>
        <w:rPr>
          <w:color w:val="231F20"/>
          <w:spacing w:val="3"/>
          <w:w w:val="105"/>
        </w:rPr>
        <w:t>una </w:t>
      </w:r>
      <w:r>
        <w:rPr>
          <w:color w:val="231F20"/>
          <w:w w:val="105"/>
        </w:rPr>
        <w:t>buena aceptación si se toma en cuenta el</w:t>
      </w:r>
      <w:r>
        <w:rPr>
          <w:color w:val="231F20"/>
          <w:spacing w:val="-6"/>
          <w:w w:val="105"/>
        </w:rPr>
        <w:t> </w:t>
      </w:r>
      <w:r>
        <w:rPr>
          <w:color w:val="231F20"/>
          <w:w w:val="105"/>
        </w:rPr>
        <w:t>elevado</w:t>
      </w:r>
      <w:r>
        <w:rPr>
          <w:color w:val="231F20"/>
          <w:spacing w:val="-6"/>
          <w:w w:val="105"/>
        </w:rPr>
        <w:t> </w:t>
      </w:r>
      <w:r>
        <w:rPr>
          <w:color w:val="231F20"/>
          <w:w w:val="105"/>
        </w:rPr>
        <w:t>número</w:t>
      </w:r>
      <w:r>
        <w:rPr>
          <w:color w:val="231F20"/>
          <w:spacing w:val="-6"/>
          <w:w w:val="105"/>
        </w:rPr>
        <w:t> </w:t>
      </w:r>
      <w:r>
        <w:rPr>
          <w:color w:val="231F20"/>
          <w:w w:val="105"/>
        </w:rPr>
        <w:t>de</w:t>
      </w:r>
      <w:r>
        <w:rPr>
          <w:color w:val="231F20"/>
          <w:spacing w:val="-6"/>
          <w:w w:val="105"/>
        </w:rPr>
        <w:t> </w:t>
      </w:r>
      <w:r>
        <w:rPr>
          <w:color w:val="231F20"/>
          <w:w w:val="105"/>
        </w:rPr>
        <w:t>clientes</w:t>
      </w:r>
      <w:r>
        <w:rPr>
          <w:color w:val="231F20"/>
          <w:spacing w:val="-6"/>
          <w:w w:val="105"/>
        </w:rPr>
        <w:t> </w:t>
      </w:r>
      <w:r>
        <w:rPr>
          <w:color w:val="231F20"/>
          <w:spacing w:val="-4"/>
          <w:w w:val="105"/>
        </w:rPr>
        <w:t>(52).</w:t>
      </w:r>
      <w:r>
        <w:rPr>
          <w:color w:val="231F20"/>
          <w:spacing w:val="-6"/>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la</w:t>
      </w:r>
      <w:r>
        <w:rPr>
          <w:color w:val="231F20"/>
          <w:spacing w:val="-6"/>
          <w:w w:val="105"/>
        </w:rPr>
        <w:t> </w:t>
      </w:r>
      <w:r>
        <w:rPr>
          <w:color w:val="231F20"/>
          <w:w w:val="105"/>
        </w:rPr>
        <w:t>presencia</w:t>
      </w:r>
      <w:r>
        <w:rPr>
          <w:color w:val="231F20"/>
          <w:spacing w:val="-6"/>
          <w:w w:val="105"/>
        </w:rPr>
        <w:t> </w:t>
      </w:r>
      <w:r>
        <w:rPr>
          <w:color w:val="231F20"/>
          <w:w w:val="105"/>
        </w:rPr>
        <w:t>de</w:t>
      </w:r>
      <w:r>
        <w:rPr>
          <w:color w:val="231F20"/>
          <w:spacing w:val="-6"/>
          <w:w w:val="105"/>
        </w:rPr>
        <w:t> </w:t>
      </w:r>
      <w:r>
        <w:rPr>
          <w:color w:val="231F20"/>
          <w:w w:val="105"/>
        </w:rPr>
        <w:t>muchas</w:t>
      </w:r>
      <w:r>
        <w:rPr>
          <w:color w:val="231F20"/>
          <w:spacing w:val="-6"/>
          <w:w w:val="105"/>
        </w:rPr>
        <w:t> </w:t>
      </w:r>
      <w:r>
        <w:rPr>
          <w:color w:val="231F20"/>
          <w:w w:val="105"/>
        </w:rPr>
        <w:t>empresas</w:t>
      </w:r>
      <w:r>
        <w:rPr>
          <w:color w:val="231F20"/>
          <w:spacing w:val="-6"/>
          <w:w w:val="105"/>
        </w:rPr>
        <w:t> </w:t>
      </w:r>
      <w:r>
        <w:rPr>
          <w:color w:val="231F20"/>
          <w:w w:val="105"/>
        </w:rPr>
        <w:t>de- </w:t>
      </w:r>
      <w:r>
        <w:rPr>
          <w:color w:val="231F20"/>
          <w:spacing w:val="2"/>
          <w:w w:val="105"/>
        </w:rPr>
        <w:t>mandantes </w:t>
      </w:r>
      <w:r>
        <w:rPr>
          <w:color w:val="231F20"/>
          <w:w w:val="105"/>
        </w:rPr>
        <w:t>de </w:t>
      </w:r>
      <w:r>
        <w:rPr>
          <w:color w:val="231F20"/>
          <w:spacing w:val="2"/>
          <w:w w:val="105"/>
        </w:rPr>
        <w:t>seguridad </w:t>
      </w:r>
      <w:r>
        <w:rPr>
          <w:color w:val="231F20"/>
          <w:w w:val="105"/>
        </w:rPr>
        <w:t>en el municipio </w:t>
      </w:r>
      <w:r>
        <w:rPr>
          <w:color w:val="231F20"/>
          <w:spacing w:val="2"/>
          <w:w w:val="105"/>
        </w:rPr>
        <w:t>podría explicar </w:t>
      </w:r>
      <w:r>
        <w:rPr>
          <w:color w:val="231F20"/>
          <w:w w:val="105"/>
        </w:rPr>
        <w:t>esto. Lo que no queda claro es si </w:t>
      </w:r>
      <w:r>
        <w:rPr>
          <w:color w:val="231F20"/>
          <w:spacing w:val="2"/>
          <w:w w:val="105"/>
        </w:rPr>
        <w:t>esta </w:t>
      </w:r>
      <w:r>
        <w:rPr>
          <w:color w:val="231F20"/>
          <w:w w:val="105"/>
        </w:rPr>
        <w:t>prestación de </w:t>
      </w:r>
      <w:r>
        <w:rPr>
          <w:color w:val="231F20"/>
          <w:spacing w:val="3"/>
          <w:w w:val="105"/>
        </w:rPr>
        <w:t>un </w:t>
      </w:r>
      <w:r>
        <w:rPr>
          <w:color w:val="231F20"/>
          <w:spacing w:val="2"/>
          <w:w w:val="105"/>
        </w:rPr>
        <w:t>servicio </w:t>
      </w:r>
      <w:r>
        <w:rPr>
          <w:color w:val="231F20"/>
          <w:w w:val="105"/>
        </w:rPr>
        <w:t>provocó la desatención de la </w:t>
      </w:r>
      <w:r>
        <w:rPr>
          <w:color w:val="231F20"/>
          <w:spacing w:val="2"/>
          <w:w w:val="105"/>
        </w:rPr>
        <w:t>seguridad </w:t>
      </w:r>
      <w:r>
        <w:rPr>
          <w:color w:val="231F20"/>
          <w:w w:val="105"/>
        </w:rPr>
        <w:t>de otros sectores del</w:t>
      </w:r>
      <w:r>
        <w:rPr>
          <w:color w:val="231F20"/>
          <w:spacing w:val="6"/>
          <w:w w:val="105"/>
        </w:rPr>
        <w:t> </w:t>
      </w:r>
      <w:r>
        <w:rPr>
          <w:color w:val="231F20"/>
          <w:w w:val="105"/>
        </w:rPr>
        <w:t>municipio.</w:t>
      </w:r>
    </w:p>
    <w:p>
      <w:pPr>
        <w:spacing w:after="0" w:line="285" w:lineRule="auto"/>
        <w:jc w:val="both"/>
        <w:sectPr>
          <w:pgSz w:w="9640" w:h="12190"/>
          <w:pgMar w:header="0" w:footer="743" w:top="1120" w:bottom="940" w:left="740" w:right="740"/>
        </w:sectPr>
      </w:pPr>
    </w:p>
    <w:p>
      <w:pPr>
        <w:pStyle w:val="Heading5"/>
        <w:spacing w:before="27"/>
        <w:ind w:left="2055"/>
      </w:pPr>
      <w:r>
        <w:rPr>
          <w:color w:val="231F20"/>
          <w:w w:val="105"/>
        </w:rPr>
        <w:t>Tabla 5. Acciones sobre Seguridad Pública</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b/>
                <w:sz w:val="16"/>
              </w:rPr>
            </w:pPr>
            <w:r>
              <w:rPr>
                <w:b/>
                <w:color w:val="231F20"/>
                <w:w w:val="90"/>
                <w:sz w:val="16"/>
              </w:rPr>
              <w:t>Acción</w:t>
            </w:r>
          </w:p>
        </w:tc>
      </w:tr>
      <w:tr>
        <w:trPr>
          <w:trHeight w:val="130" w:hRule="exact"/>
        </w:trPr>
        <w:tc>
          <w:tcPr>
            <w:tcW w:w="7927" w:type="dxa"/>
          </w:tcPr>
          <w:p>
            <w:pPr>
              <w:pStyle w:val="TableParagraph"/>
              <w:spacing w:line="160" w:lineRule="exact"/>
              <w:ind w:right="141"/>
              <w:rPr>
                <w:sz w:val="16"/>
              </w:rPr>
            </w:pPr>
            <w:r>
              <w:rPr>
                <w:color w:val="231F20"/>
                <w:w w:val="80"/>
                <w:sz w:val="16"/>
              </w:rPr>
              <w:t>Curso de Formación Básica Policial a 283 cadetes</w:t>
            </w:r>
          </w:p>
        </w:tc>
      </w:tr>
      <w:tr>
        <w:trPr>
          <w:trHeight w:val="130" w:hRule="exact"/>
        </w:trPr>
        <w:tc>
          <w:tcPr>
            <w:tcW w:w="7927" w:type="dxa"/>
          </w:tcPr>
          <w:p>
            <w:pPr>
              <w:pStyle w:val="TableParagraph"/>
              <w:spacing w:line="160" w:lineRule="exact"/>
              <w:ind w:right="141"/>
              <w:rPr>
                <w:sz w:val="16"/>
              </w:rPr>
            </w:pPr>
            <w:r>
              <w:rPr>
                <w:color w:val="231F20"/>
                <w:w w:val="80"/>
                <w:sz w:val="16"/>
              </w:rPr>
              <w:t>Curso de Actualización Policial para 354 policías</w:t>
            </w:r>
          </w:p>
        </w:tc>
      </w:tr>
      <w:tr>
        <w:trPr>
          <w:trHeight w:val="130" w:hRule="exact"/>
        </w:trPr>
        <w:tc>
          <w:tcPr>
            <w:tcW w:w="7927" w:type="dxa"/>
          </w:tcPr>
          <w:p>
            <w:pPr>
              <w:pStyle w:val="TableParagraph"/>
              <w:spacing w:line="160" w:lineRule="exact"/>
              <w:ind w:right="141"/>
              <w:rPr>
                <w:sz w:val="16"/>
              </w:rPr>
            </w:pPr>
            <w:r>
              <w:rPr>
                <w:color w:val="231F20"/>
                <w:w w:val="75"/>
                <w:sz w:val="16"/>
              </w:rPr>
              <w:t>Cursos de Especialización en técnicas de esposamiento bastón   retráctil</w:t>
            </w:r>
          </w:p>
        </w:tc>
      </w:tr>
      <w:tr>
        <w:trPr>
          <w:trHeight w:val="130" w:hRule="exact"/>
        </w:trPr>
        <w:tc>
          <w:tcPr>
            <w:tcW w:w="7927" w:type="dxa"/>
          </w:tcPr>
          <w:p>
            <w:pPr>
              <w:pStyle w:val="TableParagraph"/>
              <w:spacing w:line="160" w:lineRule="exact"/>
              <w:ind w:right="141"/>
              <w:rPr>
                <w:sz w:val="16"/>
              </w:rPr>
            </w:pPr>
            <w:r>
              <w:rPr>
                <w:color w:val="231F20"/>
                <w:w w:val="80"/>
                <w:sz w:val="16"/>
              </w:rPr>
              <w:t>Curso para certificación de instructores de armamento y tiro</w:t>
            </w:r>
          </w:p>
        </w:tc>
      </w:tr>
      <w:tr>
        <w:trPr>
          <w:trHeight w:val="130" w:hRule="exact"/>
        </w:trPr>
        <w:tc>
          <w:tcPr>
            <w:tcW w:w="7927" w:type="dxa"/>
          </w:tcPr>
          <w:p>
            <w:pPr>
              <w:pStyle w:val="TableParagraph"/>
              <w:spacing w:line="160" w:lineRule="exact"/>
              <w:ind w:right="141"/>
              <w:rPr>
                <w:sz w:val="16"/>
              </w:rPr>
            </w:pPr>
            <w:r>
              <w:rPr>
                <w:color w:val="231F20"/>
                <w:w w:val="80"/>
                <w:sz w:val="16"/>
              </w:rPr>
              <w:t>Curso de policía de proximidad</w:t>
            </w:r>
          </w:p>
        </w:tc>
      </w:tr>
      <w:tr>
        <w:trPr>
          <w:trHeight w:val="130" w:hRule="exact"/>
        </w:trPr>
        <w:tc>
          <w:tcPr>
            <w:tcW w:w="7927" w:type="dxa"/>
          </w:tcPr>
          <w:p>
            <w:pPr>
              <w:pStyle w:val="TableParagraph"/>
              <w:spacing w:line="160" w:lineRule="exact"/>
              <w:ind w:right="141"/>
              <w:rPr>
                <w:sz w:val="16"/>
              </w:rPr>
            </w:pPr>
            <w:r>
              <w:rPr>
                <w:color w:val="231F20"/>
                <w:w w:val="75"/>
                <w:sz w:val="16"/>
              </w:rPr>
              <w:t>Curso para moto-patrulleros</w:t>
            </w:r>
          </w:p>
        </w:tc>
      </w:tr>
      <w:tr>
        <w:trPr>
          <w:trHeight w:val="130" w:hRule="exact"/>
        </w:trPr>
        <w:tc>
          <w:tcPr>
            <w:tcW w:w="7927" w:type="dxa"/>
          </w:tcPr>
          <w:p>
            <w:pPr>
              <w:pStyle w:val="TableParagraph"/>
              <w:spacing w:line="160" w:lineRule="exact"/>
              <w:ind w:right="141"/>
              <w:rPr>
                <w:sz w:val="16"/>
              </w:rPr>
            </w:pPr>
            <w:r>
              <w:rPr>
                <w:color w:val="231F20"/>
                <w:w w:val="80"/>
                <w:sz w:val="16"/>
              </w:rPr>
              <w:t>Formación del grupo femenil, integrado por 30 elementos</w:t>
            </w:r>
          </w:p>
        </w:tc>
      </w:tr>
      <w:tr>
        <w:trPr>
          <w:trHeight w:val="130" w:hRule="exact"/>
        </w:trPr>
        <w:tc>
          <w:tcPr>
            <w:tcW w:w="7927" w:type="dxa"/>
          </w:tcPr>
          <w:p>
            <w:pPr>
              <w:pStyle w:val="TableParagraph"/>
              <w:spacing w:line="160" w:lineRule="exact"/>
              <w:ind w:right="141"/>
              <w:rPr>
                <w:sz w:val="16"/>
              </w:rPr>
            </w:pPr>
            <w:r>
              <w:rPr>
                <w:color w:val="231F20"/>
                <w:w w:val="80"/>
                <w:sz w:val="16"/>
              </w:rPr>
              <w:t>Exámenes antidoping aleatorios a 3 mil 305 elementos de la corporación</w:t>
            </w:r>
          </w:p>
        </w:tc>
      </w:tr>
      <w:tr>
        <w:trPr>
          <w:trHeight w:val="130" w:hRule="exact"/>
        </w:trPr>
        <w:tc>
          <w:tcPr>
            <w:tcW w:w="7927" w:type="dxa"/>
          </w:tcPr>
          <w:p>
            <w:pPr>
              <w:pStyle w:val="TableParagraph"/>
              <w:spacing w:line="160" w:lineRule="exact"/>
              <w:ind w:right="141"/>
              <w:rPr>
                <w:sz w:val="16"/>
              </w:rPr>
            </w:pPr>
            <w:r>
              <w:rPr>
                <w:color w:val="231F20"/>
                <w:w w:val="80"/>
                <w:sz w:val="16"/>
              </w:rPr>
              <w:t>563 elementos de la corporación han sido sancionados, separados de sus cargos o enjuiciados</w:t>
            </w:r>
          </w:p>
        </w:tc>
      </w:tr>
      <w:tr>
        <w:trPr>
          <w:trHeight w:val="130" w:hRule="exact"/>
        </w:trPr>
        <w:tc>
          <w:tcPr>
            <w:tcW w:w="7927" w:type="dxa"/>
          </w:tcPr>
          <w:p>
            <w:pPr>
              <w:pStyle w:val="TableParagraph"/>
              <w:spacing w:line="160" w:lineRule="exact"/>
              <w:ind w:right="141"/>
              <w:rPr>
                <w:sz w:val="16"/>
              </w:rPr>
            </w:pPr>
            <w:r>
              <w:rPr>
                <w:color w:val="231F20"/>
                <w:w w:val="80"/>
                <w:sz w:val="16"/>
              </w:rPr>
              <w:t>91 policías han recibido apoyos en efectivo por acciones relevantes en favor de la ciudadanía</w:t>
            </w:r>
          </w:p>
        </w:tc>
      </w:tr>
      <w:tr>
        <w:trPr>
          <w:trHeight w:val="130" w:hRule="exact"/>
        </w:trPr>
        <w:tc>
          <w:tcPr>
            <w:tcW w:w="7927" w:type="dxa"/>
          </w:tcPr>
          <w:p>
            <w:pPr>
              <w:pStyle w:val="TableParagraph"/>
              <w:spacing w:line="160" w:lineRule="exact"/>
              <w:ind w:right="141"/>
              <w:rPr>
                <w:sz w:val="16"/>
              </w:rPr>
            </w:pPr>
            <w:r>
              <w:rPr>
                <w:color w:val="231F20"/>
                <w:w w:val="80"/>
                <w:sz w:val="16"/>
              </w:rPr>
              <w:t>Gasto de 49 millones 717 mil 961 pesos para la adquisición de 214 vehículos</w:t>
            </w:r>
          </w:p>
        </w:tc>
      </w:tr>
      <w:tr>
        <w:trPr>
          <w:trHeight w:val="130" w:hRule="exact"/>
        </w:trPr>
        <w:tc>
          <w:tcPr>
            <w:tcW w:w="7927" w:type="dxa"/>
          </w:tcPr>
          <w:p>
            <w:pPr>
              <w:pStyle w:val="TableParagraph"/>
              <w:spacing w:line="160" w:lineRule="exact"/>
              <w:ind w:right="141"/>
              <w:rPr>
                <w:sz w:val="16"/>
              </w:rPr>
            </w:pPr>
            <w:r>
              <w:rPr>
                <w:color w:val="231F20"/>
                <w:w w:val="80"/>
                <w:sz w:val="16"/>
              </w:rPr>
              <w:t>Gasto de 2 millones 952 mil 242 pesos para la adquisición de 800 chalecos antibalas y 180 cascos</w:t>
            </w:r>
          </w:p>
        </w:tc>
      </w:tr>
      <w:tr>
        <w:trPr>
          <w:trHeight w:val="130" w:hRule="exact"/>
        </w:trPr>
        <w:tc>
          <w:tcPr>
            <w:tcW w:w="7927" w:type="dxa"/>
          </w:tcPr>
          <w:p>
            <w:pPr>
              <w:pStyle w:val="TableParagraph"/>
              <w:spacing w:line="160" w:lineRule="exact"/>
              <w:ind w:right="141"/>
              <w:rPr>
                <w:sz w:val="16"/>
              </w:rPr>
            </w:pPr>
            <w:r>
              <w:rPr>
                <w:color w:val="231F20"/>
                <w:w w:val="75"/>
                <w:sz w:val="16"/>
              </w:rPr>
              <w:t>Adquisición de 10 alcoholímetros, 12 “pistolas” radar detectoras de exceso de  velocidad</w:t>
            </w:r>
          </w:p>
        </w:tc>
      </w:tr>
      <w:tr>
        <w:trPr>
          <w:trHeight w:val="130" w:hRule="exact"/>
        </w:trPr>
        <w:tc>
          <w:tcPr>
            <w:tcW w:w="7927" w:type="dxa"/>
          </w:tcPr>
          <w:p>
            <w:pPr>
              <w:pStyle w:val="TableParagraph"/>
              <w:spacing w:line="160" w:lineRule="exact"/>
              <w:ind w:right="141"/>
              <w:rPr>
                <w:sz w:val="16"/>
              </w:rPr>
            </w:pPr>
            <w:r>
              <w:rPr>
                <w:color w:val="231F20"/>
                <w:w w:val="80"/>
                <w:sz w:val="16"/>
              </w:rPr>
              <w:t>Y 12 radares móviles, por un monto de un millón 440 mil pesos.</w:t>
            </w:r>
          </w:p>
        </w:tc>
      </w:tr>
      <w:tr>
        <w:trPr>
          <w:trHeight w:val="290" w:hRule="exact"/>
        </w:trPr>
        <w:tc>
          <w:tcPr>
            <w:tcW w:w="7927" w:type="dxa"/>
          </w:tcPr>
          <w:p>
            <w:pPr>
              <w:pStyle w:val="TableParagraph"/>
              <w:spacing w:line="196" w:lineRule="auto"/>
              <w:ind w:right="141"/>
              <w:rPr>
                <w:sz w:val="16"/>
              </w:rPr>
            </w:pPr>
            <w:r>
              <w:rPr>
                <w:color w:val="231F20"/>
                <w:w w:val="80"/>
                <w:sz w:val="16"/>
              </w:rPr>
              <w:t>Establecimiento</w:t>
            </w:r>
            <w:r>
              <w:rPr>
                <w:color w:val="231F20"/>
                <w:spacing w:val="-16"/>
                <w:w w:val="80"/>
                <w:sz w:val="16"/>
              </w:rPr>
              <w:t> </w:t>
            </w:r>
            <w:r>
              <w:rPr>
                <w:color w:val="231F20"/>
                <w:w w:val="80"/>
                <w:sz w:val="16"/>
              </w:rPr>
              <w:t>del</w:t>
            </w:r>
            <w:r>
              <w:rPr>
                <w:color w:val="231F20"/>
                <w:spacing w:val="-16"/>
                <w:w w:val="80"/>
                <w:sz w:val="16"/>
              </w:rPr>
              <w:t> </w:t>
            </w:r>
            <w:r>
              <w:rPr>
                <w:color w:val="231F20"/>
                <w:w w:val="80"/>
                <w:sz w:val="16"/>
              </w:rPr>
              <w:t>Programa</w:t>
            </w:r>
            <w:r>
              <w:rPr>
                <w:color w:val="231F20"/>
                <w:spacing w:val="-16"/>
                <w:w w:val="80"/>
                <w:sz w:val="16"/>
              </w:rPr>
              <w:t> </w:t>
            </w:r>
            <w:r>
              <w:rPr>
                <w:color w:val="231F20"/>
                <w:w w:val="80"/>
                <w:sz w:val="16"/>
              </w:rPr>
              <w:t>de</w:t>
            </w:r>
            <w:r>
              <w:rPr>
                <w:color w:val="231F20"/>
                <w:spacing w:val="-16"/>
                <w:w w:val="80"/>
                <w:sz w:val="16"/>
              </w:rPr>
              <w:t> </w:t>
            </w:r>
            <w:r>
              <w:rPr>
                <w:color w:val="231F20"/>
                <w:w w:val="80"/>
                <w:sz w:val="16"/>
              </w:rPr>
              <w:t>Fenomenología</w:t>
            </w:r>
            <w:r>
              <w:rPr>
                <w:color w:val="231F20"/>
                <w:spacing w:val="-16"/>
                <w:w w:val="80"/>
                <w:sz w:val="16"/>
              </w:rPr>
              <w:t> </w:t>
            </w:r>
            <w:r>
              <w:rPr>
                <w:color w:val="231F20"/>
                <w:w w:val="80"/>
                <w:sz w:val="16"/>
              </w:rPr>
              <w:t>de</w:t>
            </w:r>
            <w:r>
              <w:rPr>
                <w:color w:val="231F20"/>
                <w:spacing w:val="-16"/>
                <w:w w:val="80"/>
                <w:sz w:val="16"/>
              </w:rPr>
              <w:t> </w:t>
            </w:r>
            <w:r>
              <w:rPr>
                <w:color w:val="231F20"/>
                <w:w w:val="80"/>
                <w:sz w:val="16"/>
              </w:rPr>
              <w:t>la</w:t>
            </w:r>
            <w:r>
              <w:rPr>
                <w:color w:val="231F20"/>
                <w:spacing w:val="-16"/>
                <w:w w:val="80"/>
                <w:sz w:val="16"/>
              </w:rPr>
              <w:t> </w:t>
            </w:r>
            <w:r>
              <w:rPr>
                <w:color w:val="231F20"/>
                <w:w w:val="80"/>
                <w:sz w:val="16"/>
              </w:rPr>
              <w:t>Delincuencia,</w:t>
            </w:r>
            <w:r>
              <w:rPr>
                <w:color w:val="231F20"/>
                <w:spacing w:val="-16"/>
                <w:w w:val="80"/>
                <w:sz w:val="16"/>
              </w:rPr>
              <w:t> </w:t>
            </w:r>
            <w:r>
              <w:rPr>
                <w:color w:val="231F20"/>
                <w:w w:val="80"/>
                <w:sz w:val="16"/>
              </w:rPr>
              <w:t>para</w:t>
            </w:r>
            <w:r>
              <w:rPr>
                <w:color w:val="231F20"/>
                <w:spacing w:val="-16"/>
                <w:w w:val="80"/>
                <w:sz w:val="16"/>
              </w:rPr>
              <w:t> </w:t>
            </w:r>
            <w:r>
              <w:rPr>
                <w:color w:val="231F20"/>
                <w:w w:val="80"/>
                <w:sz w:val="16"/>
              </w:rPr>
              <w:t>un</w:t>
            </w:r>
            <w:r>
              <w:rPr>
                <w:color w:val="231F20"/>
                <w:spacing w:val="-16"/>
                <w:w w:val="80"/>
                <w:sz w:val="16"/>
              </w:rPr>
              <w:t> </w:t>
            </w:r>
            <w:r>
              <w:rPr>
                <w:color w:val="231F20"/>
                <w:w w:val="80"/>
                <w:sz w:val="16"/>
              </w:rPr>
              <w:t>diagnóstico</w:t>
            </w:r>
            <w:r>
              <w:rPr>
                <w:color w:val="231F20"/>
                <w:spacing w:val="-16"/>
                <w:w w:val="80"/>
                <w:sz w:val="16"/>
              </w:rPr>
              <w:t> </w:t>
            </w:r>
            <w:r>
              <w:rPr>
                <w:color w:val="231F20"/>
                <w:w w:val="80"/>
                <w:sz w:val="16"/>
              </w:rPr>
              <w:t>integral</w:t>
            </w:r>
            <w:r>
              <w:rPr>
                <w:color w:val="231F20"/>
                <w:spacing w:val="-16"/>
                <w:w w:val="80"/>
                <w:sz w:val="16"/>
              </w:rPr>
              <w:t> </w:t>
            </w:r>
            <w:r>
              <w:rPr>
                <w:color w:val="231F20"/>
                <w:w w:val="80"/>
                <w:sz w:val="16"/>
              </w:rPr>
              <w:t>con</w:t>
            </w:r>
            <w:r>
              <w:rPr>
                <w:color w:val="231F20"/>
                <w:spacing w:val="-16"/>
                <w:w w:val="80"/>
                <w:sz w:val="16"/>
              </w:rPr>
              <w:t> </w:t>
            </w:r>
            <w:r>
              <w:rPr>
                <w:color w:val="231F20"/>
                <w:w w:val="80"/>
                <w:sz w:val="16"/>
              </w:rPr>
              <w:t>cartografía</w:t>
            </w:r>
            <w:r>
              <w:rPr>
                <w:color w:val="231F20"/>
                <w:spacing w:val="-16"/>
                <w:w w:val="80"/>
                <w:sz w:val="16"/>
              </w:rPr>
              <w:t> </w:t>
            </w:r>
            <w:r>
              <w:rPr>
                <w:color w:val="231F20"/>
                <w:w w:val="80"/>
                <w:sz w:val="16"/>
              </w:rPr>
              <w:t>digital,</w:t>
            </w:r>
            <w:r>
              <w:rPr>
                <w:color w:val="231F20"/>
                <w:spacing w:val="-16"/>
                <w:w w:val="80"/>
                <w:sz w:val="16"/>
              </w:rPr>
              <w:t> </w:t>
            </w:r>
            <w:r>
              <w:rPr>
                <w:color w:val="231F20"/>
                <w:w w:val="80"/>
                <w:sz w:val="16"/>
              </w:rPr>
              <w:t>con</w:t>
            </w:r>
            <w:r>
              <w:rPr>
                <w:color w:val="231F20"/>
                <w:spacing w:val="-16"/>
                <w:w w:val="80"/>
                <w:sz w:val="16"/>
              </w:rPr>
              <w:t> </w:t>
            </w:r>
            <w:r>
              <w:rPr>
                <w:color w:val="231F20"/>
                <w:w w:val="80"/>
                <w:sz w:val="16"/>
              </w:rPr>
              <w:t>georeferencia</w:t>
            </w:r>
            <w:r>
              <w:rPr>
                <w:color w:val="231F20"/>
                <w:spacing w:val="-16"/>
                <w:w w:val="80"/>
                <w:sz w:val="16"/>
              </w:rPr>
              <w:t> </w:t>
            </w:r>
            <w:r>
              <w:rPr>
                <w:color w:val="231F20"/>
                <w:w w:val="80"/>
                <w:sz w:val="16"/>
              </w:rPr>
              <w:t>de</w:t>
            </w:r>
            <w:r>
              <w:rPr>
                <w:color w:val="231F20"/>
                <w:spacing w:val="-16"/>
                <w:w w:val="80"/>
                <w:sz w:val="16"/>
              </w:rPr>
              <w:t> </w:t>
            </w:r>
            <w:r>
              <w:rPr>
                <w:color w:val="231F20"/>
                <w:w w:val="80"/>
                <w:sz w:val="16"/>
              </w:rPr>
              <w:t>los</w:t>
            </w:r>
            <w:r>
              <w:rPr>
                <w:color w:val="231F20"/>
                <w:spacing w:val="-16"/>
                <w:w w:val="80"/>
                <w:sz w:val="16"/>
              </w:rPr>
              <w:t> </w:t>
            </w:r>
            <w:r>
              <w:rPr>
                <w:color w:val="231F20"/>
                <w:w w:val="80"/>
                <w:sz w:val="16"/>
              </w:rPr>
              <w:t>delitos y</w:t>
            </w:r>
            <w:r>
              <w:rPr>
                <w:color w:val="231F20"/>
                <w:spacing w:val="-19"/>
                <w:w w:val="80"/>
                <w:sz w:val="16"/>
              </w:rPr>
              <w:t> </w:t>
            </w:r>
            <w:r>
              <w:rPr>
                <w:color w:val="231F20"/>
                <w:w w:val="80"/>
                <w:sz w:val="16"/>
              </w:rPr>
              <w:t>con</w:t>
            </w:r>
            <w:r>
              <w:rPr>
                <w:color w:val="231F20"/>
                <w:spacing w:val="-19"/>
                <w:w w:val="80"/>
                <w:sz w:val="16"/>
              </w:rPr>
              <w:t> </w:t>
            </w:r>
            <w:r>
              <w:rPr>
                <w:color w:val="231F20"/>
                <w:w w:val="80"/>
                <w:sz w:val="16"/>
              </w:rPr>
              <w:t>la</w:t>
            </w:r>
            <w:r>
              <w:rPr>
                <w:color w:val="231F20"/>
                <w:spacing w:val="-19"/>
                <w:w w:val="80"/>
                <w:sz w:val="16"/>
              </w:rPr>
              <w:t> </w:t>
            </w:r>
            <w:r>
              <w:rPr>
                <w:color w:val="231F20"/>
                <w:w w:val="80"/>
                <w:sz w:val="16"/>
              </w:rPr>
              <w:t>percepción</w:t>
            </w:r>
            <w:r>
              <w:rPr>
                <w:color w:val="231F20"/>
                <w:spacing w:val="-19"/>
                <w:w w:val="80"/>
                <w:sz w:val="16"/>
              </w:rPr>
              <w:t> </w:t>
            </w:r>
            <w:r>
              <w:rPr>
                <w:color w:val="231F20"/>
                <w:w w:val="80"/>
                <w:sz w:val="16"/>
              </w:rPr>
              <w:t>de</w:t>
            </w:r>
            <w:r>
              <w:rPr>
                <w:color w:val="231F20"/>
                <w:spacing w:val="-19"/>
                <w:w w:val="80"/>
                <w:sz w:val="16"/>
              </w:rPr>
              <w:t> </w:t>
            </w:r>
            <w:r>
              <w:rPr>
                <w:color w:val="231F20"/>
                <w:w w:val="80"/>
                <w:sz w:val="16"/>
              </w:rPr>
              <w:t>inseguridad</w:t>
            </w:r>
          </w:p>
        </w:tc>
      </w:tr>
      <w:tr>
        <w:trPr>
          <w:trHeight w:val="130" w:hRule="exact"/>
        </w:trPr>
        <w:tc>
          <w:tcPr>
            <w:tcW w:w="7927" w:type="dxa"/>
          </w:tcPr>
          <w:p>
            <w:pPr>
              <w:pStyle w:val="TableParagraph"/>
              <w:spacing w:line="160" w:lineRule="exact"/>
              <w:ind w:right="141"/>
              <w:rPr>
                <w:sz w:val="16"/>
              </w:rPr>
            </w:pPr>
            <w:r>
              <w:rPr>
                <w:color w:val="231F20"/>
                <w:w w:val="80"/>
                <w:sz w:val="16"/>
              </w:rPr>
              <w:t>Tendencia a la baja en los índices de robo del 30 al 50% sobre el promedio mensual</w:t>
            </w:r>
          </w:p>
        </w:tc>
      </w:tr>
      <w:tr>
        <w:trPr>
          <w:trHeight w:val="130" w:hRule="exact"/>
        </w:trPr>
        <w:tc>
          <w:tcPr>
            <w:tcW w:w="7927" w:type="dxa"/>
          </w:tcPr>
          <w:p>
            <w:pPr>
              <w:pStyle w:val="TableParagraph"/>
              <w:spacing w:line="160" w:lineRule="exact"/>
              <w:ind w:right="141"/>
              <w:rPr>
                <w:sz w:val="16"/>
              </w:rPr>
            </w:pPr>
            <w:r>
              <w:rPr>
                <w:color w:val="231F20"/>
                <w:w w:val="80"/>
                <w:sz w:val="16"/>
              </w:rPr>
              <w:t>10 mil 293 actas levantadas, 10 mil 295 remisiones y 18 mil 235 detenidos</w:t>
            </w:r>
          </w:p>
        </w:tc>
      </w:tr>
      <w:tr>
        <w:trPr>
          <w:trHeight w:val="290" w:hRule="exact"/>
        </w:trPr>
        <w:tc>
          <w:tcPr>
            <w:tcW w:w="7927" w:type="dxa"/>
          </w:tcPr>
          <w:p>
            <w:pPr>
              <w:pStyle w:val="TableParagraph"/>
              <w:spacing w:line="196" w:lineRule="auto"/>
              <w:ind w:right="141"/>
              <w:rPr>
                <w:sz w:val="16"/>
              </w:rPr>
            </w:pPr>
            <w:r>
              <w:rPr>
                <w:color w:val="231F20"/>
                <w:w w:val="80"/>
                <w:sz w:val="16"/>
              </w:rPr>
              <w:t>Servicio</w:t>
            </w:r>
            <w:r>
              <w:rPr>
                <w:color w:val="231F20"/>
                <w:spacing w:val="-16"/>
                <w:w w:val="80"/>
                <w:sz w:val="16"/>
              </w:rPr>
              <w:t> </w:t>
            </w:r>
            <w:r>
              <w:rPr>
                <w:color w:val="231F20"/>
                <w:w w:val="80"/>
                <w:sz w:val="16"/>
              </w:rPr>
              <w:t>de</w:t>
            </w:r>
            <w:r>
              <w:rPr>
                <w:color w:val="231F20"/>
                <w:spacing w:val="-16"/>
                <w:w w:val="80"/>
                <w:sz w:val="16"/>
              </w:rPr>
              <w:t> </w:t>
            </w:r>
            <w:r>
              <w:rPr>
                <w:color w:val="231F20"/>
                <w:w w:val="80"/>
                <w:sz w:val="16"/>
              </w:rPr>
              <w:t>Policía</w:t>
            </w:r>
            <w:r>
              <w:rPr>
                <w:color w:val="231F20"/>
                <w:spacing w:val="-16"/>
                <w:w w:val="80"/>
                <w:sz w:val="16"/>
              </w:rPr>
              <w:t> </w:t>
            </w:r>
            <w:r>
              <w:rPr>
                <w:color w:val="231F20"/>
                <w:w w:val="80"/>
                <w:sz w:val="16"/>
              </w:rPr>
              <w:t>Facultativa</w:t>
            </w:r>
            <w:r>
              <w:rPr>
                <w:color w:val="231F20"/>
                <w:spacing w:val="-16"/>
                <w:w w:val="80"/>
                <w:sz w:val="16"/>
              </w:rPr>
              <w:t> </w:t>
            </w:r>
            <w:r>
              <w:rPr>
                <w:color w:val="231F20"/>
                <w:w w:val="80"/>
                <w:sz w:val="16"/>
              </w:rPr>
              <w:t>por</w:t>
            </w:r>
            <w:r>
              <w:rPr>
                <w:color w:val="231F20"/>
                <w:spacing w:val="-16"/>
                <w:w w:val="80"/>
                <w:sz w:val="16"/>
              </w:rPr>
              <w:t> </w:t>
            </w:r>
            <w:r>
              <w:rPr>
                <w:color w:val="231F20"/>
                <w:w w:val="80"/>
                <w:sz w:val="16"/>
              </w:rPr>
              <w:t>parte</w:t>
            </w:r>
            <w:r>
              <w:rPr>
                <w:color w:val="231F20"/>
                <w:spacing w:val="-16"/>
                <w:w w:val="80"/>
                <w:sz w:val="16"/>
              </w:rPr>
              <w:t> </w:t>
            </w:r>
            <w:r>
              <w:rPr>
                <w:color w:val="231F20"/>
                <w:w w:val="80"/>
                <w:sz w:val="16"/>
              </w:rPr>
              <w:t>de</w:t>
            </w:r>
            <w:r>
              <w:rPr>
                <w:color w:val="231F20"/>
                <w:spacing w:val="-16"/>
                <w:w w:val="80"/>
                <w:sz w:val="16"/>
              </w:rPr>
              <w:t> </w:t>
            </w:r>
            <w:r>
              <w:rPr>
                <w:color w:val="231F20"/>
                <w:w w:val="80"/>
                <w:sz w:val="16"/>
              </w:rPr>
              <w:t>la</w:t>
            </w:r>
            <w:r>
              <w:rPr>
                <w:color w:val="231F20"/>
                <w:spacing w:val="-16"/>
                <w:w w:val="80"/>
                <w:sz w:val="16"/>
              </w:rPr>
              <w:t> </w:t>
            </w:r>
            <w:r>
              <w:rPr>
                <w:color w:val="231F20"/>
                <w:w w:val="80"/>
                <w:sz w:val="16"/>
              </w:rPr>
              <w:t>Dirección</w:t>
            </w:r>
            <w:r>
              <w:rPr>
                <w:color w:val="231F20"/>
                <w:spacing w:val="-16"/>
                <w:w w:val="80"/>
                <w:sz w:val="16"/>
              </w:rPr>
              <w:t> </w:t>
            </w:r>
            <w:r>
              <w:rPr>
                <w:color w:val="231F20"/>
                <w:w w:val="80"/>
                <w:sz w:val="16"/>
              </w:rPr>
              <w:t>General</w:t>
            </w:r>
            <w:r>
              <w:rPr>
                <w:color w:val="231F20"/>
                <w:spacing w:val="-16"/>
                <w:w w:val="80"/>
                <w:sz w:val="16"/>
              </w:rPr>
              <w:t> </w:t>
            </w:r>
            <w:r>
              <w:rPr>
                <w:color w:val="231F20"/>
                <w:w w:val="80"/>
                <w:sz w:val="16"/>
              </w:rPr>
              <w:t>de</w:t>
            </w:r>
            <w:r>
              <w:rPr>
                <w:color w:val="231F20"/>
                <w:spacing w:val="-16"/>
                <w:w w:val="80"/>
                <w:sz w:val="16"/>
              </w:rPr>
              <w:t> </w:t>
            </w:r>
            <w:r>
              <w:rPr>
                <w:color w:val="231F20"/>
                <w:w w:val="80"/>
                <w:sz w:val="16"/>
              </w:rPr>
              <w:t>Seguridad</w:t>
            </w:r>
            <w:r>
              <w:rPr>
                <w:color w:val="231F20"/>
                <w:spacing w:val="-16"/>
                <w:w w:val="80"/>
                <w:sz w:val="16"/>
              </w:rPr>
              <w:t> </w:t>
            </w:r>
            <w:r>
              <w:rPr>
                <w:color w:val="231F20"/>
                <w:w w:val="80"/>
                <w:sz w:val="16"/>
              </w:rPr>
              <w:t>Pública</w:t>
            </w:r>
            <w:r>
              <w:rPr>
                <w:color w:val="231F20"/>
                <w:spacing w:val="-16"/>
                <w:w w:val="80"/>
                <w:sz w:val="16"/>
              </w:rPr>
              <w:t> </w:t>
            </w:r>
            <w:r>
              <w:rPr>
                <w:color w:val="231F20"/>
                <w:w w:val="80"/>
                <w:sz w:val="16"/>
              </w:rPr>
              <w:t>y</w:t>
            </w:r>
            <w:r>
              <w:rPr>
                <w:color w:val="231F20"/>
                <w:spacing w:val="-16"/>
                <w:w w:val="80"/>
                <w:sz w:val="16"/>
              </w:rPr>
              <w:t> </w:t>
            </w:r>
            <w:r>
              <w:rPr>
                <w:color w:val="231F20"/>
                <w:w w:val="80"/>
                <w:sz w:val="16"/>
              </w:rPr>
              <w:t>Tránsito</w:t>
            </w:r>
            <w:r>
              <w:rPr>
                <w:color w:val="231F20"/>
                <w:spacing w:val="-16"/>
                <w:w w:val="80"/>
                <w:sz w:val="16"/>
              </w:rPr>
              <w:t> </w:t>
            </w:r>
            <w:r>
              <w:rPr>
                <w:color w:val="231F20"/>
                <w:w w:val="80"/>
                <w:sz w:val="16"/>
              </w:rPr>
              <w:t>Municipal</w:t>
            </w:r>
            <w:r>
              <w:rPr>
                <w:color w:val="231F20"/>
                <w:spacing w:val="-16"/>
                <w:w w:val="80"/>
                <w:sz w:val="16"/>
              </w:rPr>
              <w:t> </w:t>
            </w:r>
            <w:r>
              <w:rPr>
                <w:color w:val="231F20"/>
                <w:w w:val="80"/>
                <w:sz w:val="16"/>
              </w:rPr>
              <w:t>a</w:t>
            </w:r>
            <w:r>
              <w:rPr>
                <w:color w:val="231F20"/>
                <w:spacing w:val="-16"/>
                <w:w w:val="80"/>
                <w:sz w:val="16"/>
              </w:rPr>
              <w:t> </w:t>
            </w:r>
            <w:r>
              <w:rPr>
                <w:color w:val="231F20"/>
                <w:w w:val="80"/>
                <w:sz w:val="16"/>
              </w:rPr>
              <w:t>52</w:t>
            </w:r>
            <w:r>
              <w:rPr>
                <w:color w:val="231F20"/>
                <w:spacing w:val="-16"/>
                <w:w w:val="80"/>
                <w:sz w:val="16"/>
              </w:rPr>
              <w:t> </w:t>
            </w:r>
            <w:r>
              <w:rPr>
                <w:color w:val="231F20"/>
                <w:w w:val="80"/>
                <w:sz w:val="16"/>
              </w:rPr>
              <w:t>clientes,</w:t>
            </w:r>
            <w:r>
              <w:rPr>
                <w:color w:val="231F20"/>
                <w:spacing w:val="-16"/>
                <w:w w:val="80"/>
                <w:sz w:val="16"/>
              </w:rPr>
              <w:t> </w:t>
            </w:r>
            <w:r>
              <w:rPr>
                <w:color w:val="231F20"/>
                <w:w w:val="80"/>
                <w:sz w:val="16"/>
              </w:rPr>
              <w:t>por</w:t>
            </w:r>
            <w:r>
              <w:rPr>
                <w:color w:val="231F20"/>
                <w:spacing w:val="-16"/>
                <w:w w:val="80"/>
                <w:sz w:val="16"/>
              </w:rPr>
              <w:t> </w:t>
            </w:r>
            <w:r>
              <w:rPr>
                <w:color w:val="231F20"/>
                <w:w w:val="80"/>
                <w:sz w:val="16"/>
              </w:rPr>
              <w:t>el</w:t>
            </w:r>
            <w:r>
              <w:rPr>
                <w:color w:val="231F20"/>
                <w:spacing w:val="-16"/>
                <w:w w:val="80"/>
                <w:sz w:val="16"/>
              </w:rPr>
              <w:t> </w:t>
            </w:r>
            <w:r>
              <w:rPr>
                <w:color w:val="231F20"/>
                <w:w w:val="80"/>
                <w:sz w:val="16"/>
              </w:rPr>
              <w:t>que</w:t>
            </w:r>
            <w:r>
              <w:rPr>
                <w:color w:val="231F20"/>
                <w:spacing w:val="-16"/>
                <w:w w:val="80"/>
                <w:sz w:val="16"/>
              </w:rPr>
              <w:t> </w:t>
            </w:r>
            <w:r>
              <w:rPr>
                <w:color w:val="231F20"/>
                <w:w w:val="80"/>
                <w:sz w:val="16"/>
              </w:rPr>
              <w:t>se</w:t>
            </w:r>
            <w:r>
              <w:rPr>
                <w:color w:val="231F20"/>
                <w:spacing w:val="-16"/>
                <w:w w:val="80"/>
                <w:sz w:val="16"/>
              </w:rPr>
              <w:t> </w:t>
            </w:r>
            <w:r>
              <w:rPr>
                <w:color w:val="231F20"/>
                <w:w w:val="80"/>
                <w:sz w:val="16"/>
              </w:rPr>
              <w:t>obtuvieron</w:t>
            </w:r>
            <w:r>
              <w:rPr>
                <w:color w:val="231F20"/>
                <w:spacing w:val="-16"/>
                <w:w w:val="80"/>
                <w:sz w:val="16"/>
              </w:rPr>
              <w:t> </w:t>
            </w:r>
            <w:r>
              <w:rPr>
                <w:color w:val="231F20"/>
                <w:w w:val="80"/>
                <w:sz w:val="16"/>
              </w:rPr>
              <w:t>ingresos por</w:t>
            </w:r>
            <w:r>
              <w:rPr>
                <w:color w:val="231F20"/>
                <w:spacing w:val="-16"/>
                <w:w w:val="80"/>
                <w:sz w:val="16"/>
              </w:rPr>
              <w:t> </w:t>
            </w:r>
            <w:r>
              <w:rPr>
                <w:color w:val="231F20"/>
                <w:w w:val="80"/>
                <w:sz w:val="16"/>
              </w:rPr>
              <w:t>3</w:t>
            </w:r>
            <w:r>
              <w:rPr>
                <w:color w:val="231F20"/>
                <w:spacing w:val="-16"/>
                <w:w w:val="80"/>
                <w:sz w:val="16"/>
              </w:rPr>
              <w:t> </w:t>
            </w:r>
            <w:r>
              <w:rPr>
                <w:color w:val="231F20"/>
                <w:w w:val="80"/>
                <w:sz w:val="16"/>
              </w:rPr>
              <w:t>millones</w:t>
            </w:r>
            <w:r>
              <w:rPr>
                <w:color w:val="231F20"/>
                <w:spacing w:val="-16"/>
                <w:w w:val="80"/>
                <w:sz w:val="16"/>
              </w:rPr>
              <w:t> </w:t>
            </w:r>
            <w:r>
              <w:rPr>
                <w:color w:val="231F20"/>
                <w:w w:val="80"/>
                <w:sz w:val="16"/>
              </w:rPr>
              <w:t>122</w:t>
            </w:r>
            <w:r>
              <w:rPr>
                <w:color w:val="231F20"/>
                <w:spacing w:val="-16"/>
                <w:w w:val="80"/>
                <w:sz w:val="16"/>
              </w:rPr>
              <w:t> </w:t>
            </w:r>
            <w:r>
              <w:rPr>
                <w:color w:val="231F20"/>
                <w:w w:val="80"/>
                <w:sz w:val="16"/>
              </w:rPr>
              <w:t>mil</w:t>
            </w:r>
            <w:r>
              <w:rPr>
                <w:color w:val="231F20"/>
                <w:spacing w:val="-16"/>
                <w:w w:val="80"/>
                <w:sz w:val="16"/>
              </w:rPr>
              <w:t> </w:t>
            </w:r>
            <w:r>
              <w:rPr>
                <w:color w:val="231F20"/>
                <w:w w:val="80"/>
                <w:sz w:val="16"/>
              </w:rPr>
              <w:t>956</w:t>
            </w:r>
            <w:r>
              <w:rPr>
                <w:color w:val="231F20"/>
                <w:spacing w:val="-16"/>
                <w:w w:val="80"/>
                <w:sz w:val="16"/>
              </w:rPr>
              <w:t> </w:t>
            </w:r>
            <w:r>
              <w:rPr>
                <w:color w:val="231F20"/>
                <w:w w:val="80"/>
                <w:sz w:val="16"/>
              </w:rPr>
              <w:t>pesos.</w:t>
            </w:r>
          </w:p>
        </w:tc>
      </w:tr>
      <w:tr>
        <w:trPr>
          <w:trHeight w:val="130" w:hRule="exact"/>
        </w:trPr>
        <w:tc>
          <w:tcPr>
            <w:tcW w:w="7927" w:type="dxa"/>
          </w:tcPr>
          <w:p>
            <w:pPr>
              <w:pStyle w:val="TableParagraph"/>
              <w:spacing w:line="160" w:lineRule="exact"/>
              <w:ind w:right="141"/>
              <w:rPr>
                <w:sz w:val="16"/>
              </w:rPr>
            </w:pPr>
            <w:r>
              <w:rPr>
                <w:color w:val="231F20"/>
                <w:w w:val="80"/>
                <w:sz w:val="16"/>
              </w:rPr>
              <w:t>Ingresos por 8 millones 720 mil 231 pesos por concepto de 66 mil 129 infracciones de tránsito</w:t>
            </w:r>
          </w:p>
        </w:tc>
      </w:tr>
      <w:tr>
        <w:trPr>
          <w:trHeight w:val="290" w:hRule="exact"/>
        </w:trPr>
        <w:tc>
          <w:tcPr>
            <w:tcW w:w="7927" w:type="dxa"/>
          </w:tcPr>
          <w:p>
            <w:pPr>
              <w:pStyle w:val="TableParagraph"/>
              <w:spacing w:line="196" w:lineRule="auto"/>
              <w:ind w:right="424"/>
              <w:rPr>
                <w:sz w:val="16"/>
              </w:rPr>
            </w:pPr>
            <w:r>
              <w:rPr>
                <w:color w:val="231F20"/>
                <w:w w:val="80"/>
                <w:sz w:val="16"/>
              </w:rPr>
              <w:t>3</w:t>
            </w:r>
            <w:r>
              <w:rPr>
                <w:color w:val="231F20"/>
                <w:spacing w:val="-14"/>
                <w:w w:val="80"/>
                <w:sz w:val="16"/>
              </w:rPr>
              <w:t> </w:t>
            </w:r>
            <w:r>
              <w:rPr>
                <w:color w:val="231F20"/>
                <w:w w:val="80"/>
                <w:sz w:val="16"/>
              </w:rPr>
              <w:t>mil</w:t>
            </w:r>
            <w:r>
              <w:rPr>
                <w:color w:val="231F20"/>
                <w:spacing w:val="-14"/>
                <w:w w:val="80"/>
                <w:sz w:val="16"/>
              </w:rPr>
              <w:t> </w:t>
            </w:r>
            <w:r>
              <w:rPr>
                <w:color w:val="231F20"/>
                <w:w w:val="80"/>
                <w:sz w:val="16"/>
              </w:rPr>
              <w:t>521</w:t>
            </w:r>
            <w:r>
              <w:rPr>
                <w:color w:val="231F20"/>
                <w:spacing w:val="-14"/>
                <w:w w:val="80"/>
                <w:sz w:val="16"/>
              </w:rPr>
              <w:t> </w:t>
            </w:r>
            <w:r>
              <w:rPr>
                <w:color w:val="231F20"/>
                <w:w w:val="80"/>
                <w:sz w:val="16"/>
              </w:rPr>
              <w:t>arrastres</w:t>
            </w:r>
            <w:r>
              <w:rPr>
                <w:color w:val="231F20"/>
                <w:spacing w:val="-14"/>
                <w:w w:val="80"/>
                <w:sz w:val="16"/>
              </w:rPr>
              <w:t> </w:t>
            </w:r>
            <w:r>
              <w:rPr>
                <w:color w:val="231F20"/>
                <w:w w:val="80"/>
                <w:sz w:val="16"/>
              </w:rPr>
              <w:t>de</w:t>
            </w:r>
            <w:r>
              <w:rPr>
                <w:color w:val="231F20"/>
                <w:spacing w:val="-14"/>
                <w:w w:val="80"/>
                <w:sz w:val="16"/>
              </w:rPr>
              <w:t> </w:t>
            </w:r>
            <w:r>
              <w:rPr>
                <w:color w:val="231F20"/>
                <w:w w:val="80"/>
                <w:sz w:val="16"/>
              </w:rPr>
              <w:t>grúa</w:t>
            </w:r>
            <w:r>
              <w:rPr>
                <w:color w:val="231F20"/>
                <w:spacing w:val="-14"/>
                <w:w w:val="80"/>
                <w:sz w:val="16"/>
              </w:rPr>
              <w:t> </w:t>
            </w:r>
            <w:r>
              <w:rPr>
                <w:color w:val="231F20"/>
                <w:w w:val="80"/>
                <w:sz w:val="16"/>
              </w:rPr>
              <w:t>por</w:t>
            </w:r>
            <w:r>
              <w:rPr>
                <w:color w:val="231F20"/>
                <w:spacing w:val="-14"/>
                <w:w w:val="80"/>
                <w:sz w:val="16"/>
              </w:rPr>
              <w:t> </w:t>
            </w:r>
            <w:r>
              <w:rPr>
                <w:color w:val="231F20"/>
                <w:w w:val="80"/>
                <w:sz w:val="16"/>
              </w:rPr>
              <w:t>infracciones</w:t>
            </w:r>
            <w:r>
              <w:rPr>
                <w:color w:val="231F20"/>
                <w:spacing w:val="-14"/>
                <w:w w:val="80"/>
                <w:sz w:val="16"/>
              </w:rPr>
              <w:t> </w:t>
            </w:r>
            <w:r>
              <w:rPr>
                <w:color w:val="231F20"/>
                <w:w w:val="80"/>
                <w:sz w:val="16"/>
              </w:rPr>
              <w:t>al</w:t>
            </w:r>
            <w:r>
              <w:rPr>
                <w:color w:val="231F20"/>
                <w:spacing w:val="-14"/>
                <w:w w:val="80"/>
                <w:sz w:val="16"/>
              </w:rPr>
              <w:t> </w:t>
            </w:r>
            <w:r>
              <w:rPr>
                <w:color w:val="231F20"/>
                <w:w w:val="80"/>
                <w:sz w:val="16"/>
              </w:rPr>
              <w:t>Reglamento</w:t>
            </w:r>
            <w:r>
              <w:rPr>
                <w:color w:val="231F20"/>
                <w:spacing w:val="-14"/>
                <w:w w:val="80"/>
                <w:sz w:val="16"/>
              </w:rPr>
              <w:t> </w:t>
            </w:r>
            <w:r>
              <w:rPr>
                <w:color w:val="231F20"/>
                <w:w w:val="80"/>
                <w:sz w:val="16"/>
              </w:rPr>
              <w:t>de</w:t>
            </w:r>
            <w:r>
              <w:rPr>
                <w:color w:val="231F20"/>
                <w:spacing w:val="-14"/>
                <w:w w:val="80"/>
                <w:sz w:val="16"/>
              </w:rPr>
              <w:t> </w:t>
            </w:r>
            <w:r>
              <w:rPr>
                <w:color w:val="231F20"/>
                <w:w w:val="80"/>
                <w:sz w:val="16"/>
              </w:rPr>
              <w:t>Tránsito,</w:t>
            </w:r>
            <w:r>
              <w:rPr>
                <w:color w:val="231F20"/>
                <w:spacing w:val="-14"/>
                <w:w w:val="80"/>
                <w:sz w:val="16"/>
              </w:rPr>
              <w:t> </w:t>
            </w:r>
            <w:r>
              <w:rPr>
                <w:color w:val="231F20"/>
                <w:w w:val="80"/>
                <w:sz w:val="16"/>
              </w:rPr>
              <w:t>2</w:t>
            </w:r>
            <w:r>
              <w:rPr>
                <w:color w:val="231F20"/>
                <w:spacing w:val="-14"/>
                <w:w w:val="80"/>
                <w:sz w:val="16"/>
              </w:rPr>
              <w:t> </w:t>
            </w:r>
            <w:r>
              <w:rPr>
                <w:color w:val="231F20"/>
                <w:w w:val="80"/>
                <w:sz w:val="16"/>
              </w:rPr>
              <w:t>mil</w:t>
            </w:r>
            <w:r>
              <w:rPr>
                <w:color w:val="231F20"/>
                <w:spacing w:val="-14"/>
                <w:w w:val="80"/>
                <w:sz w:val="16"/>
              </w:rPr>
              <w:t> </w:t>
            </w:r>
            <w:r>
              <w:rPr>
                <w:color w:val="231F20"/>
                <w:spacing w:val="3"/>
                <w:w w:val="80"/>
                <w:sz w:val="16"/>
              </w:rPr>
              <w:t>440</w:t>
            </w:r>
            <w:r>
              <w:rPr>
                <w:color w:val="231F20"/>
                <w:spacing w:val="-14"/>
                <w:w w:val="80"/>
                <w:sz w:val="16"/>
              </w:rPr>
              <w:t> </w:t>
            </w:r>
            <w:r>
              <w:rPr>
                <w:color w:val="231F20"/>
                <w:w w:val="80"/>
                <w:sz w:val="16"/>
              </w:rPr>
              <w:t>de</w:t>
            </w:r>
            <w:r>
              <w:rPr>
                <w:color w:val="231F20"/>
                <w:spacing w:val="-14"/>
                <w:w w:val="80"/>
                <w:sz w:val="16"/>
              </w:rPr>
              <w:t> </w:t>
            </w:r>
            <w:r>
              <w:rPr>
                <w:color w:val="231F20"/>
                <w:w w:val="80"/>
                <w:sz w:val="16"/>
              </w:rPr>
              <w:t>auxilio</w:t>
            </w:r>
            <w:r>
              <w:rPr>
                <w:color w:val="231F20"/>
                <w:spacing w:val="-14"/>
                <w:w w:val="80"/>
                <w:sz w:val="16"/>
              </w:rPr>
              <w:t> </w:t>
            </w:r>
            <w:r>
              <w:rPr>
                <w:color w:val="231F20"/>
                <w:w w:val="80"/>
                <w:sz w:val="16"/>
              </w:rPr>
              <w:t>vial</w:t>
            </w:r>
            <w:r>
              <w:rPr>
                <w:color w:val="231F20"/>
                <w:spacing w:val="-14"/>
                <w:w w:val="80"/>
                <w:sz w:val="16"/>
              </w:rPr>
              <w:t> </w:t>
            </w:r>
            <w:r>
              <w:rPr>
                <w:color w:val="231F20"/>
                <w:w w:val="80"/>
                <w:sz w:val="16"/>
              </w:rPr>
              <w:t>por</w:t>
            </w:r>
            <w:r>
              <w:rPr>
                <w:color w:val="231F20"/>
                <w:spacing w:val="-14"/>
                <w:w w:val="80"/>
                <w:sz w:val="16"/>
              </w:rPr>
              <w:t> </w:t>
            </w:r>
            <w:r>
              <w:rPr>
                <w:color w:val="231F20"/>
                <w:w w:val="80"/>
                <w:sz w:val="16"/>
              </w:rPr>
              <w:t>fallas</w:t>
            </w:r>
            <w:r>
              <w:rPr>
                <w:color w:val="231F20"/>
                <w:spacing w:val="-14"/>
                <w:w w:val="80"/>
                <w:sz w:val="16"/>
              </w:rPr>
              <w:t> </w:t>
            </w:r>
            <w:r>
              <w:rPr>
                <w:color w:val="231F20"/>
                <w:w w:val="80"/>
                <w:sz w:val="16"/>
              </w:rPr>
              <w:t>mecánicas</w:t>
            </w:r>
            <w:r>
              <w:rPr>
                <w:color w:val="231F20"/>
                <w:spacing w:val="-14"/>
                <w:w w:val="80"/>
                <w:sz w:val="16"/>
              </w:rPr>
              <w:t> </w:t>
            </w:r>
            <w:r>
              <w:rPr>
                <w:color w:val="231F20"/>
                <w:w w:val="80"/>
                <w:sz w:val="16"/>
              </w:rPr>
              <w:t>y</w:t>
            </w:r>
            <w:r>
              <w:rPr>
                <w:color w:val="231F20"/>
                <w:spacing w:val="-14"/>
                <w:w w:val="80"/>
                <w:sz w:val="16"/>
              </w:rPr>
              <w:t> </w:t>
            </w:r>
            <w:r>
              <w:rPr>
                <w:color w:val="231F20"/>
                <w:w w:val="80"/>
                <w:sz w:val="16"/>
              </w:rPr>
              <w:t>remolque</w:t>
            </w:r>
            <w:r>
              <w:rPr>
                <w:color w:val="231F20"/>
                <w:spacing w:val="-14"/>
                <w:w w:val="80"/>
                <w:sz w:val="16"/>
              </w:rPr>
              <w:t> </w:t>
            </w:r>
            <w:r>
              <w:rPr>
                <w:color w:val="231F20"/>
                <w:w w:val="80"/>
                <w:sz w:val="16"/>
              </w:rPr>
              <w:t>para</w:t>
            </w:r>
            <w:r>
              <w:rPr>
                <w:color w:val="231F20"/>
                <w:spacing w:val="-14"/>
                <w:w w:val="80"/>
                <w:sz w:val="16"/>
              </w:rPr>
              <w:t> </w:t>
            </w:r>
            <w:r>
              <w:rPr>
                <w:color w:val="231F20"/>
                <w:w w:val="80"/>
                <w:sz w:val="16"/>
              </w:rPr>
              <w:t>liberar</w:t>
            </w:r>
            <w:r>
              <w:rPr>
                <w:color w:val="231F20"/>
                <w:spacing w:val="-14"/>
                <w:w w:val="80"/>
                <w:sz w:val="16"/>
              </w:rPr>
              <w:t> </w:t>
            </w:r>
            <w:r>
              <w:rPr>
                <w:color w:val="231F20"/>
                <w:w w:val="80"/>
                <w:sz w:val="16"/>
              </w:rPr>
              <w:t>las</w:t>
            </w:r>
            <w:r>
              <w:rPr>
                <w:color w:val="231F20"/>
                <w:spacing w:val="-14"/>
                <w:w w:val="80"/>
                <w:sz w:val="16"/>
              </w:rPr>
              <w:t> </w:t>
            </w:r>
            <w:r>
              <w:rPr>
                <w:color w:val="231F20"/>
                <w:w w:val="80"/>
                <w:sz w:val="16"/>
              </w:rPr>
              <w:t>vías, y</w:t>
            </w:r>
            <w:r>
              <w:rPr>
                <w:color w:val="231F20"/>
                <w:spacing w:val="-17"/>
                <w:w w:val="80"/>
                <w:sz w:val="16"/>
              </w:rPr>
              <w:t> </w:t>
            </w:r>
            <w:r>
              <w:rPr>
                <w:color w:val="231F20"/>
                <w:w w:val="80"/>
                <w:sz w:val="16"/>
              </w:rPr>
              <w:t>remolque</w:t>
            </w:r>
            <w:r>
              <w:rPr>
                <w:color w:val="231F20"/>
                <w:spacing w:val="-17"/>
                <w:w w:val="80"/>
                <w:sz w:val="16"/>
              </w:rPr>
              <w:t> </w:t>
            </w:r>
            <w:r>
              <w:rPr>
                <w:color w:val="231F20"/>
                <w:w w:val="80"/>
                <w:sz w:val="16"/>
              </w:rPr>
              <w:t>de</w:t>
            </w:r>
            <w:r>
              <w:rPr>
                <w:color w:val="231F20"/>
                <w:spacing w:val="-17"/>
                <w:w w:val="80"/>
                <w:sz w:val="16"/>
              </w:rPr>
              <w:t> </w:t>
            </w:r>
            <w:r>
              <w:rPr>
                <w:color w:val="231F20"/>
                <w:w w:val="80"/>
                <w:sz w:val="16"/>
              </w:rPr>
              <w:t>185</w:t>
            </w:r>
            <w:r>
              <w:rPr>
                <w:color w:val="231F20"/>
                <w:spacing w:val="-17"/>
                <w:w w:val="80"/>
                <w:sz w:val="16"/>
              </w:rPr>
              <w:t> </w:t>
            </w:r>
            <w:r>
              <w:rPr>
                <w:color w:val="231F20"/>
                <w:w w:val="80"/>
                <w:sz w:val="16"/>
              </w:rPr>
              <w:t>autos</w:t>
            </w:r>
            <w:r>
              <w:rPr>
                <w:color w:val="231F20"/>
                <w:spacing w:val="-17"/>
                <w:w w:val="80"/>
                <w:sz w:val="16"/>
              </w:rPr>
              <w:t> </w:t>
            </w:r>
            <w:r>
              <w:rPr>
                <w:color w:val="231F20"/>
                <w:w w:val="80"/>
                <w:sz w:val="16"/>
              </w:rPr>
              <w:t>abandonados</w:t>
            </w:r>
            <w:r>
              <w:rPr>
                <w:color w:val="231F20"/>
                <w:spacing w:val="-17"/>
                <w:w w:val="80"/>
                <w:sz w:val="16"/>
              </w:rPr>
              <w:t> </w:t>
            </w:r>
            <w:r>
              <w:rPr>
                <w:color w:val="231F20"/>
                <w:w w:val="80"/>
                <w:sz w:val="16"/>
              </w:rPr>
              <w:t>en</w:t>
            </w:r>
            <w:r>
              <w:rPr>
                <w:color w:val="231F20"/>
                <w:spacing w:val="-17"/>
                <w:w w:val="80"/>
                <w:sz w:val="16"/>
              </w:rPr>
              <w:t> </w:t>
            </w:r>
            <w:r>
              <w:rPr>
                <w:color w:val="231F20"/>
                <w:w w:val="80"/>
                <w:sz w:val="16"/>
              </w:rPr>
              <w:t>la</w:t>
            </w:r>
            <w:r>
              <w:rPr>
                <w:color w:val="231F20"/>
                <w:spacing w:val="-17"/>
                <w:w w:val="80"/>
                <w:sz w:val="16"/>
              </w:rPr>
              <w:t> </w:t>
            </w:r>
            <w:r>
              <w:rPr>
                <w:color w:val="231F20"/>
                <w:w w:val="80"/>
                <w:sz w:val="16"/>
              </w:rPr>
              <w:t>vía</w:t>
            </w:r>
            <w:r>
              <w:rPr>
                <w:color w:val="231F20"/>
                <w:spacing w:val="-17"/>
                <w:w w:val="80"/>
                <w:sz w:val="16"/>
              </w:rPr>
              <w:t> </w:t>
            </w:r>
            <w:r>
              <w:rPr>
                <w:color w:val="231F20"/>
                <w:w w:val="80"/>
                <w:sz w:val="16"/>
              </w:rPr>
              <w:t>pública</w:t>
            </w:r>
          </w:p>
        </w:tc>
      </w:tr>
      <w:tr>
        <w:trPr>
          <w:trHeight w:val="290" w:hRule="exact"/>
        </w:trPr>
        <w:tc>
          <w:tcPr>
            <w:tcW w:w="7927" w:type="dxa"/>
          </w:tcPr>
          <w:p>
            <w:pPr>
              <w:pStyle w:val="TableParagraph"/>
              <w:spacing w:line="196" w:lineRule="auto"/>
              <w:ind w:left="128" w:right="709" w:hanging="26"/>
              <w:rPr>
                <w:sz w:val="16"/>
              </w:rPr>
            </w:pPr>
            <w:r>
              <w:rPr>
                <w:color w:val="231F20"/>
                <w:w w:val="80"/>
                <w:sz w:val="16"/>
              </w:rPr>
              <w:t>Boletas</w:t>
            </w:r>
            <w:r>
              <w:rPr>
                <w:color w:val="231F20"/>
                <w:spacing w:val="-14"/>
                <w:w w:val="80"/>
                <w:sz w:val="16"/>
              </w:rPr>
              <w:t> </w:t>
            </w:r>
            <w:r>
              <w:rPr>
                <w:color w:val="231F20"/>
                <w:w w:val="80"/>
                <w:sz w:val="16"/>
              </w:rPr>
              <w:t>de</w:t>
            </w:r>
            <w:r>
              <w:rPr>
                <w:color w:val="231F20"/>
                <w:spacing w:val="-14"/>
                <w:w w:val="80"/>
                <w:sz w:val="16"/>
              </w:rPr>
              <w:t> </w:t>
            </w:r>
            <w:r>
              <w:rPr>
                <w:color w:val="231F20"/>
                <w:w w:val="80"/>
                <w:sz w:val="16"/>
              </w:rPr>
              <w:t>infracción</w:t>
            </w:r>
            <w:r>
              <w:rPr>
                <w:color w:val="231F20"/>
                <w:spacing w:val="-14"/>
                <w:w w:val="80"/>
                <w:sz w:val="16"/>
              </w:rPr>
              <w:t> </w:t>
            </w:r>
            <w:r>
              <w:rPr>
                <w:color w:val="231F20"/>
                <w:w w:val="80"/>
                <w:sz w:val="16"/>
              </w:rPr>
              <w:t>infalsificables,</w:t>
            </w:r>
            <w:r>
              <w:rPr>
                <w:color w:val="231F20"/>
                <w:spacing w:val="-14"/>
                <w:w w:val="80"/>
                <w:sz w:val="16"/>
              </w:rPr>
              <w:t> </w:t>
            </w:r>
            <w:r>
              <w:rPr>
                <w:color w:val="231F20"/>
                <w:w w:val="80"/>
                <w:sz w:val="16"/>
              </w:rPr>
              <w:t>por</w:t>
            </w:r>
            <w:r>
              <w:rPr>
                <w:color w:val="231F20"/>
                <w:spacing w:val="-14"/>
                <w:w w:val="80"/>
                <w:sz w:val="16"/>
              </w:rPr>
              <w:t> </w:t>
            </w:r>
            <w:r>
              <w:rPr>
                <w:color w:val="231F20"/>
                <w:w w:val="80"/>
                <w:sz w:val="16"/>
              </w:rPr>
              <w:t>lo</w:t>
            </w:r>
            <w:r>
              <w:rPr>
                <w:color w:val="231F20"/>
                <w:spacing w:val="-14"/>
                <w:w w:val="80"/>
                <w:sz w:val="16"/>
              </w:rPr>
              <w:t> </w:t>
            </w:r>
            <w:r>
              <w:rPr>
                <w:color w:val="231F20"/>
                <w:w w:val="80"/>
                <w:sz w:val="16"/>
              </w:rPr>
              <w:t>que</w:t>
            </w:r>
            <w:r>
              <w:rPr>
                <w:color w:val="231F20"/>
                <w:spacing w:val="-14"/>
                <w:w w:val="80"/>
                <w:sz w:val="16"/>
              </w:rPr>
              <w:t> </w:t>
            </w:r>
            <w:r>
              <w:rPr>
                <w:color w:val="231F20"/>
                <w:w w:val="80"/>
                <w:sz w:val="16"/>
              </w:rPr>
              <w:t>con</w:t>
            </w:r>
            <w:r>
              <w:rPr>
                <w:color w:val="231F20"/>
                <w:spacing w:val="-14"/>
                <w:w w:val="80"/>
                <w:sz w:val="16"/>
              </w:rPr>
              <w:t> </w:t>
            </w:r>
            <w:r>
              <w:rPr>
                <w:color w:val="231F20"/>
                <w:w w:val="80"/>
                <w:sz w:val="16"/>
              </w:rPr>
              <w:t>ello</w:t>
            </w:r>
            <w:r>
              <w:rPr>
                <w:color w:val="231F20"/>
                <w:spacing w:val="-14"/>
                <w:w w:val="80"/>
                <w:sz w:val="16"/>
              </w:rPr>
              <w:t> </w:t>
            </w:r>
            <w:r>
              <w:rPr>
                <w:color w:val="231F20"/>
                <w:w w:val="80"/>
                <w:sz w:val="16"/>
              </w:rPr>
              <w:t>se</w:t>
            </w:r>
            <w:r>
              <w:rPr>
                <w:color w:val="231F20"/>
                <w:spacing w:val="-14"/>
                <w:w w:val="80"/>
                <w:sz w:val="16"/>
              </w:rPr>
              <w:t> </w:t>
            </w:r>
            <w:r>
              <w:rPr>
                <w:color w:val="231F20"/>
                <w:w w:val="80"/>
                <w:sz w:val="16"/>
              </w:rPr>
              <w:t>garantiza</w:t>
            </w:r>
            <w:r>
              <w:rPr>
                <w:color w:val="231F20"/>
                <w:spacing w:val="-14"/>
                <w:w w:val="80"/>
                <w:sz w:val="16"/>
              </w:rPr>
              <w:t> </w:t>
            </w:r>
            <w:r>
              <w:rPr>
                <w:color w:val="231F20"/>
                <w:w w:val="80"/>
                <w:sz w:val="16"/>
              </w:rPr>
              <w:t>al</w:t>
            </w:r>
            <w:r>
              <w:rPr>
                <w:color w:val="231F20"/>
                <w:spacing w:val="-14"/>
                <w:w w:val="80"/>
                <w:sz w:val="16"/>
              </w:rPr>
              <w:t> </w:t>
            </w:r>
            <w:r>
              <w:rPr>
                <w:color w:val="231F20"/>
                <w:w w:val="80"/>
                <w:sz w:val="16"/>
              </w:rPr>
              <w:t>ciudadano</w:t>
            </w:r>
            <w:r>
              <w:rPr>
                <w:color w:val="231F20"/>
                <w:spacing w:val="-14"/>
                <w:w w:val="80"/>
                <w:sz w:val="16"/>
              </w:rPr>
              <w:t> </w:t>
            </w:r>
            <w:r>
              <w:rPr>
                <w:color w:val="231F20"/>
                <w:w w:val="80"/>
                <w:sz w:val="16"/>
              </w:rPr>
              <w:t>que</w:t>
            </w:r>
            <w:r>
              <w:rPr>
                <w:color w:val="231F20"/>
                <w:spacing w:val="-14"/>
                <w:w w:val="80"/>
                <w:sz w:val="16"/>
              </w:rPr>
              <w:t> </w:t>
            </w:r>
            <w:r>
              <w:rPr>
                <w:color w:val="231F20"/>
                <w:w w:val="80"/>
                <w:sz w:val="16"/>
              </w:rPr>
              <w:t>dichas</w:t>
            </w:r>
            <w:r>
              <w:rPr>
                <w:color w:val="231F20"/>
                <w:spacing w:val="-14"/>
                <w:w w:val="80"/>
                <w:sz w:val="16"/>
              </w:rPr>
              <w:t> </w:t>
            </w:r>
            <w:r>
              <w:rPr>
                <w:color w:val="231F20"/>
                <w:w w:val="80"/>
                <w:sz w:val="16"/>
              </w:rPr>
              <w:t>boletas</w:t>
            </w:r>
            <w:r>
              <w:rPr>
                <w:color w:val="231F20"/>
                <w:spacing w:val="-14"/>
                <w:w w:val="80"/>
                <w:sz w:val="16"/>
              </w:rPr>
              <w:t> </w:t>
            </w:r>
            <w:r>
              <w:rPr>
                <w:color w:val="231F20"/>
                <w:w w:val="80"/>
                <w:sz w:val="16"/>
              </w:rPr>
              <w:t>son</w:t>
            </w:r>
            <w:r>
              <w:rPr>
                <w:color w:val="231F20"/>
                <w:spacing w:val="-14"/>
                <w:w w:val="80"/>
                <w:sz w:val="16"/>
              </w:rPr>
              <w:t> </w:t>
            </w:r>
            <w:r>
              <w:rPr>
                <w:color w:val="231F20"/>
                <w:w w:val="80"/>
                <w:sz w:val="16"/>
              </w:rPr>
              <w:t>legítimas</w:t>
            </w:r>
            <w:r>
              <w:rPr>
                <w:color w:val="231F20"/>
                <w:spacing w:val="-14"/>
                <w:w w:val="80"/>
                <w:sz w:val="16"/>
              </w:rPr>
              <w:t> </w:t>
            </w:r>
            <w:r>
              <w:rPr>
                <w:color w:val="231F20"/>
                <w:w w:val="80"/>
                <w:sz w:val="16"/>
              </w:rPr>
              <w:t>y</w:t>
            </w:r>
            <w:r>
              <w:rPr>
                <w:color w:val="231F20"/>
                <w:spacing w:val="-14"/>
                <w:w w:val="80"/>
                <w:sz w:val="16"/>
              </w:rPr>
              <w:t> </w:t>
            </w:r>
            <w:r>
              <w:rPr>
                <w:color w:val="231F20"/>
                <w:w w:val="80"/>
                <w:sz w:val="16"/>
              </w:rPr>
              <w:t>que</w:t>
            </w:r>
            <w:r>
              <w:rPr>
                <w:color w:val="231F20"/>
                <w:spacing w:val="-14"/>
                <w:w w:val="80"/>
                <w:sz w:val="16"/>
              </w:rPr>
              <w:t> </w:t>
            </w:r>
            <w:r>
              <w:rPr>
                <w:color w:val="231F20"/>
                <w:w w:val="80"/>
                <w:sz w:val="16"/>
              </w:rPr>
              <w:t>su</w:t>
            </w:r>
            <w:r>
              <w:rPr>
                <w:color w:val="231F20"/>
                <w:spacing w:val="-14"/>
                <w:w w:val="80"/>
                <w:sz w:val="16"/>
              </w:rPr>
              <w:t> </w:t>
            </w:r>
            <w:r>
              <w:rPr>
                <w:color w:val="231F20"/>
                <w:w w:val="80"/>
                <w:sz w:val="16"/>
              </w:rPr>
              <w:t>manejo</w:t>
            </w:r>
            <w:r>
              <w:rPr>
                <w:color w:val="231F20"/>
                <w:spacing w:val="-14"/>
                <w:w w:val="80"/>
                <w:sz w:val="16"/>
              </w:rPr>
              <w:t> </w:t>
            </w:r>
            <w:r>
              <w:rPr>
                <w:color w:val="231F20"/>
                <w:w w:val="80"/>
                <w:sz w:val="16"/>
              </w:rPr>
              <w:t>es</w:t>
            </w:r>
            <w:r>
              <w:rPr>
                <w:color w:val="231F20"/>
                <w:spacing w:val="-14"/>
                <w:w w:val="80"/>
                <w:sz w:val="16"/>
              </w:rPr>
              <w:t> </w:t>
            </w:r>
            <w:r>
              <w:rPr>
                <w:color w:val="231F20"/>
                <w:w w:val="80"/>
                <w:sz w:val="16"/>
              </w:rPr>
              <w:t>honesto </w:t>
            </w:r>
            <w:r>
              <w:rPr>
                <w:color w:val="231F20"/>
                <w:w w:val="75"/>
                <w:sz w:val="16"/>
              </w:rPr>
              <w:t>y</w:t>
            </w:r>
            <w:r>
              <w:rPr>
                <w:color w:val="231F20"/>
                <w:spacing w:val="11"/>
                <w:w w:val="75"/>
                <w:sz w:val="16"/>
              </w:rPr>
              <w:t> </w:t>
            </w:r>
            <w:r>
              <w:rPr>
                <w:color w:val="231F20"/>
                <w:w w:val="75"/>
                <w:sz w:val="16"/>
              </w:rPr>
              <w:t>transparente</w:t>
            </w:r>
          </w:p>
        </w:tc>
      </w:tr>
      <w:tr>
        <w:trPr>
          <w:trHeight w:val="130" w:hRule="exact"/>
        </w:trPr>
        <w:tc>
          <w:tcPr>
            <w:tcW w:w="7927" w:type="dxa"/>
          </w:tcPr>
          <w:p>
            <w:pPr>
              <w:pStyle w:val="TableParagraph"/>
              <w:spacing w:line="160" w:lineRule="exact"/>
              <w:ind w:right="141"/>
              <w:rPr>
                <w:sz w:val="16"/>
              </w:rPr>
            </w:pPr>
            <w:r>
              <w:rPr>
                <w:color w:val="231F20"/>
                <w:w w:val="80"/>
                <w:sz w:val="16"/>
              </w:rPr>
              <w:t>Puesta en operación el Sistema Informático de Registro y Consulta de Infracciones (S.I.R.C.I.)</w:t>
            </w:r>
          </w:p>
        </w:tc>
      </w:tr>
      <w:tr>
        <w:trPr>
          <w:trHeight w:val="290" w:hRule="exact"/>
        </w:trPr>
        <w:tc>
          <w:tcPr>
            <w:tcW w:w="7927" w:type="dxa"/>
          </w:tcPr>
          <w:p>
            <w:pPr>
              <w:pStyle w:val="TableParagraph"/>
              <w:spacing w:line="196" w:lineRule="auto"/>
              <w:ind w:right="424"/>
              <w:rPr>
                <w:sz w:val="16"/>
              </w:rPr>
            </w:pPr>
            <w:r>
              <w:rPr>
                <w:color w:val="231F20"/>
                <w:w w:val="80"/>
                <w:sz w:val="16"/>
              </w:rPr>
              <w:t>Programa</w:t>
            </w:r>
            <w:r>
              <w:rPr>
                <w:color w:val="231F20"/>
                <w:spacing w:val="-14"/>
                <w:w w:val="80"/>
                <w:sz w:val="16"/>
              </w:rPr>
              <w:t> </w:t>
            </w:r>
            <w:r>
              <w:rPr>
                <w:color w:val="231F20"/>
                <w:w w:val="80"/>
                <w:sz w:val="16"/>
              </w:rPr>
              <w:t>de</w:t>
            </w:r>
            <w:r>
              <w:rPr>
                <w:color w:val="231F20"/>
                <w:spacing w:val="-14"/>
                <w:w w:val="80"/>
                <w:sz w:val="16"/>
              </w:rPr>
              <w:t> </w:t>
            </w:r>
            <w:r>
              <w:rPr>
                <w:color w:val="231F20"/>
                <w:w w:val="80"/>
                <w:sz w:val="16"/>
              </w:rPr>
              <w:t>Educación</w:t>
            </w:r>
            <w:r>
              <w:rPr>
                <w:color w:val="231F20"/>
                <w:spacing w:val="-14"/>
                <w:w w:val="80"/>
                <w:sz w:val="16"/>
              </w:rPr>
              <w:t> </w:t>
            </w:r>
            <w:r>
              <w:rPr>
                <w:color w:val="231F20"/>
                <w:w w:val="80"/>
                <w:sz w:val="16"/>
              </w:rPr>
              <w:t>para</w:t>
            </w:r>
            <w:r>
              <w:rPr>
                <w:color w:val="231F20"/>
                <w:spacing w:val="-14"/>
                <w:w w:val="80"/>
                <w:sz w:val="16"/>
              </w:rPr>
              <w:t> </w:t>
            </w:r>
            <w:r>
              <w:rPr>
                <w:color w:val="231F20"/>
                <w:w w:val="80"/>
                <w:sz w:val="16"/>
              </w:rPr>
              <w:t>Resistir</w:t>
            </w:r>
            <w:r>
              <w:rPr>
                <w:color w:val="231F20"/>
                <w:spacing w:val="-14"/>
                <w:w w:val="80"/>
                <w:sz w:val="16"/>
              </w:rPr>
              <w:t> </w:t>
            </w:r>
            <w:r>
              <w:rPr>
                <w:color w:val="231F20"/>
                <w:w w:val="80"/>
                <w:sz w:val="16"/>
              </w:rPr>
              <w:t>el</w:t>
            </w:r>
            <w:r>
              <w:rPr>
                <w:color w:val="231F20"/>
                <w:spacing w:val="-14"/>
                <w:w w:val="80"/>
                <w:sz w:val="16"/>
              </w:rPr>
              <w:t> </w:t>
            </w:r>
            <w:r>
              <w:rPr>
                <w:color w:val="231F20"/>
                <w:w w:val="80"/>
                <w:sz w:val="16"/>
              </w:rPr>
              <w:t>Abuso</w:t>
            </w:r>
            <w:r>
              <w:rPr>
                <w:color w:val="231F20"/>
                <w:spacing w:val="-14"/>
                <w:w w:val="80"/>
                <w:sz w:val="16"/>
              </w:rPr>
              <w:t> </w:t>
            </w:r>
            <w:r>
              <w:rPr>
                <w:color w:val="231F20"/>
                <w:w w:val="80"/>
                <w:sz w:val="16"/>
              </w:rPr>
              <w:t>de</w:t>
            </w:r>
            <w:r>
              <w:rPr>
                <w:color w:val="231F20"/>
                <w:spacing w:val="-14"/>
                <w:w w:val="80"/>
                <w:sz w:val="16"/>
              </w:rPr>
              <w:t> </w:t>
            </w:r>
            <w:r>
              <w:rPr>
                <w:color w:val="231F20"/>
                <w:w w:val="80"/>
                <w:sz w:val="16"/>
              </w:rPr>
              <w:t>Drogas</w:t>
            </w:r>
            <w:r>
              <w:rPr>
                <w:color w:val="231F20"/>
                <w:spacing w:val="-14"/>
                <w:w w:val="80"/>
                <w:sz w:val="16"/>
              </w:rPr>
              <w:t> </w:t>
            </w:r>
            <w:r>
              <w:rPr>
                <w:color w:val="231F20"/>
                <w:w w:val="80"/>
                <w:sz w:val="16"/>
              </w:rPr>
              <w:t>y</w:t>
            </w:r>
            <w:r>
              <w:rPr>
                <w:color w:val="231F20"/>
                <w:spacing w:val="-14"/>
                <w:w w:val="80"/>
                <w:sz w:val="16"/>
              </w:rPr>
              <w:t> </w:t>
            </w:r>
            <w:r>
              <w:rPr>
                <w:color w:val="231F20"/>
                <w:w w:val="80"/>
                <w:sz w:val="16"/>
              </w:rPr>
              <w:t>la</w:t>
            </w:r>
            <w:r>
              <w:rPr>
                <w:color w:val="231F20"/>
                <w:spacing w:val="-14"/>
                <w:w w:val="80"/>
                <w:sz w:val="16"/>
              </w:rPr>
              <w:t> </w:t>
            </w:r>
            <w:r>
              <w:rPr>
                <w:color w:val="231F20"/>
                <w:w w:val="80"/>
                <w:sz w:val="16"/>
              </w:rPr>
              <w:t>Violencia</w:t>
            </w:r>
            <w:r>
              <w:rPr>
                <w:color w:val="231F20"/>
                <w:spacing w:val="-14"/>
                <w:w w:val="80"/>
                <w:sz w:val="16"/>
              </w:rPr>
              <w:t> </w:t>
            </w:r>
            <w:r>
              <w:rPr>
                <w:color w:val="231F20"/>
                <w:w w:val="80"/>
                <w:sz w:val="16"/>
              </w:rPr>
              <w:t>(D.A.R.E.,</w:t>
            </w:r>
            <w:r>
              <w:rPr>
                <w:color w:val="231F20"/>
                <w:spacing w:val="-14"/>
                <w:w w:val="80"/>
                <w:sz w:val="16"/>
              </w:rPr>
              <w:t> </w:t>
            </w:r>
            <w:r>
              <w:rPr>
                <w:color w:val="231F20"/>
                <w:w w:val="80"/>
                <w:sz w:val="16"/>
              </w:rPr>
              <w:t>por</w:t>
            </w:r>
            <w:r>
              <w:rPr>
                <w:color w:val="231F20"/>
                <w:spacing w:val="-14"/>
                <w:w w:val="80"/>
                <w:sz w:val="16"/>
              </w:rPr>
              <w:t> </w:t>
            </w:r>
            <w:r>
              <w:rPr>
                <w:color w:val="231F20"/>
                <w:w w:val="80"/>
                <w:sz w:val="16"/>
              </w:rPr>
              <w:t>sus</w:t>
            </w:r>
            <w:r>
              <w:rPr>
                <w:color w:val="231F20"/>
                <w:spacing w:val="-14"/>
                <w:w w:val="80"/>
                <w:sz w:val="16"/>
              </w:rPr>
              <w:t> </w:t>
            </w:r>
            <w:r>
              <w:rPr>
                <w:color w:val="231F20"/>
                <w:w w:val="80"/>
                <w:sz w:val="16"/>
              </w:rPr>
              <w:t>siglas</w:t>
            </w:r>
            <w:r>
              <w:rPr>
                <w:color w:val="231F20"/>
                <w:spacing w:val="-14"/>
                <w:w w:val="80"/>
                <w:sz w:val="16"/>
              </w:rPr>
              <w:t> </w:t>
            </w:r>
            <w:r>
              <w:rPr>
                <w:color w:val="231F20"/>
                <w:w w:val="80"/>
                <w:sz w:val="16"/>
              </w:rPr>
              <w:t>en</w:t>
            </w:r>
            <w:r>
              <w:rPr>
                <w:color w:val="231F20"/>
                <w:spacing w:val="-14"/>
                <w:w w:val="80"/>
                <w:sz w:val="16"/>
              </w:rPr>
              <w:t> </w:t>
            </w:r>
            <w:r>
              <w:rPr>
                <w:color w:val="231F20"/>
                <w:w w:val="80"/>
                <w:sz w:val="16"/>
              </w:rPr>
              <w:t>inglés),</w:t>
            </w:r>
            <w:r>
              <w:rPr>
                <w:color w:val="231F20"/>
                <w:spacing w:val="-14"/>
                <w:w w:val="80"/>
                <w:sz w:val="16"/>
              </w:rPr>
              <w:t> </w:t>
            </w:r>
            <w:r>
              <w:rPr>
                <w:color w:val="231F20"/>
                <w:w w:val="80"/>
                <w:sz w:val="16"/>
              </w:rPr>
              <w:t>se</w:t>
            </w:r>
            <w:r>
              <w:rPr>
                <w:color w:val="231F20"/>
                <w:spacing w:val="-14"/>
                <w:w w:val="80"/>
                <w:sz w:val="16"/>
              </w:rPr>
              <w:t> </w:t>
            </w:r>
            <w:r>
              <w:rPr>
                <w:color w:val="231F20"/>
                <w:w w:val="80"/>
                <w:sz w:val="16"/>
              </w:rPr>
              <w:t>instruyó</w:t>
            </w:r>
            <w:r>
              <w:rPr>
                <w:color w:val="231F20"/>
                <w:spacing w:val="-14"/>
                <w:w w:val="80"/>
                <w:sz w:val="16"/>
              </w:rPr>
              <w:t> </w:t>
            </w:r>
            <w:r>
              <w:rPr>
                <w:color w:val="231F20"/>
                <w:w w:val="80"/>
                <w:sz w:val="16"/>
              </w:rPr>
              <w:t>a</w:t>
            </w:r>
            <w:r>
              <w:rPr>
                <w:color w:val="231F20"/>
                <w:spacing w:val="-14"/>
                <w:w w:val="80"/>
                <w:sz w:val="16"/>
              </w:rPr>
              <w:t> </w:t>
            </w:r>
            <w:r>
              <w:rPr>
                <w:color w:val="231F20"/>
                <w:w w:val="80"/>
                <w:sz w:val="16"/>
              </w:rPr>
              <w:t>más</w:t>
            </w:r>
            <w:r>
              <w:rPr>
                <w:color w:val="231F20"/>
                <w:spacing w:val="-14"/>
                <w:w w:val="80"/>
                <w:sz w:val="16"/>
              </w:rPr>
              <w:t> </w:t>
            </w:r>
            <w:r>
              <w:rPr>
                <w:color w:val="231F20"/>
                <w:w w:val="80"/>
                <w:sz w:val="16"/>
              </w:rPr>
              <w:t>de</w:t>
            </w:r>
            <w:r>
              <w:rPr>
                <w:color w:val="231F20"/>
                <w:spacing w:val="-14"/>
                <w:w w:val="80"/>
                <w:sz w:val="16"/>
              </w:rPr>
              <w:t> </w:t>
            </w:r>
            <w:r>
              <w:rPr>
                <w:color w:val="231F20"/>
                <w:w w:val="80"/>
                <w:sz w:val="16"/>
              </w:rPr>
              <w:t>23</w:t>
            </w:r>
            <w:r>
              <w:rPr>
                <w:color w:val="231F20"/>
                <w:spacing w:val="-14"/>
                <w:w w:val="80"/>
                <w:sz w:val="16"/>
              </w:rPr>
              <w:t> </w:t>
            </w:r>
            <w:r>
              <w:rPr>
                <w:color w:val="231F20"/>
                <w:w w:val="80"/>
                <w:sz w:val="16"/>
              </w:rPr>
              <w:t>mil</w:t>
            </w:r>
            <w:r>
              <w:rPr>
                <w:color w:val="231F20"/>
                <w:spacing w:val="-14"/>
                <w:w w:val="80"/>
                <w:sz w:val="16"/>
              </w:rPr>
              <w:t> </w:t>
            </w:r>
            <w:r>
              <w:rPr>
                <w:color w:val="231F20"/>
                <w:w w:val="80"/>
                <w:sz w:val="16"/>
              </w:rPr>
              <w:t>niños</w:t>
            </w:r>
            <w:r>
              <w:rPr>
                <w:color w:val="231F20"/>
                <w:spacing w:val="-14"/>
                <w:w w:val="80"/>
                <w:sz w:val="16"/>
              </w:rPr>
              <w:t> </w:t>
            </w:r>
            <w:r>
              <w:rPr>
                <w:color w:val="231F20"/>
                <w:w w:val="80"/>
                <w:sz w:val="16"/>
              </w:rPr>
              <w:t>y</w:t>
            </w:r>
            <w:r>
              <w:rPr>
                <w:color w:val="231F20"/>
                <w:spacing w:val="-14"/>
                <w:w w:val="80"/>
                <w:sz w:val="16"/>
              </w:rPr>
              <w:t> </w:t>
            </w:r>
            <w:r>
              <w:rPr>
                <w:color w:val="231F20"/>
                <w:w w:val="80"/>
                <w:sz w:val="16"/>
              </w:rPr>
              <w:t>jóvenes en</w:t>
            </w:r>
            <w:r>
              <w:rPr>
                <w:color w:val="231F20"/>
                <w:spacing w:val="-20"/>
                <w:w w:val="80"/>
                <w:sz w:val="16"/>
              </w:rPr>
              <w:t> </w:t>
            </w:r>
            <w:r>
              <w:rPr>
                <w:color w:val="231F20"/>
                <w:w w:val="80"/>
                <w:sz w:val="16"/>
              </w:rPr>
              <w:t>más</w:t>
            </w:r>
            <w:r>
              <w:rPr>
                <w:color w:val="231F20"/>
                <w:spacing w:val="-20"/>
                <w:w w:val="80"/>
                <w:sz w:val="16"/>
              </w:rPr>
              <w:t> </w:t>
            </w:r>
            <w:r>
              <w:rPr>
                <w:color w:val="231F20"/>
                <w:w w:val="80"/>
                <w:sz w:val="16"/>
              </w:rPr>
              <w:t>de</w:t>
            </w:r>
            <w:r>
              <w:rPr>
                <w:color w:val="231F20"/>
                <w:spacing w:val="-20"/>
                <w:w w:val="80"/>
                <w:sz w:val="16"/>
              </w:rPr>
              <w:t> </w:t>
            </w:r>
            <w:r>
              <w:rPr>
                <w:color w:val="231F20"/>
                <w:w w:val="80"/>
                <w:sz w:val="16"/>
              </w:rPr>
              <w:t>150</w:t>
            </w:r>
            <w:r>
              <w:rPr>
                <w:color w:val="231F20"/>
                <w:spacing w:val="-20"/>
                <w:w w:val="80"/>
                <w:sz w:val="16"/>
              </w:rPr>
              <w:t> </w:t>
            </w:r>
            <w:r>
              <w:rPr>
                <w:color w:val="231F20"/>
                <w:w w:val="80"/>
                <w:sz w:val="16"/>
              </w:rPr>
              <w:t>escuelas</w:t>
            </w:r>
            <w:r>
              <w:rPr>
                <w:color w:val="231F20"/>
                <w:spacing w:val="-20"/>
                <w:w w:val="80"/>
                <w:sz w:val="16"/>
              </w:rPr>
              <w:t> </w:t>
            </w:r>
            <w:r>
              <w:rPr>
                <w:color w:val="231F20"/>
                <w:w w:val="80"/>
                <w:sz w:val="16"/>
              </w:rPr>
              <w:t>primarias</w:t>
            </w:r>
            <w:r>
              <w:rPr>
                <w:color w:val="231F20"/>
                <w:spacing w:val="-20"/>
                <w:w w:val="80"/>
                <w:sz w:val="16"/>
              </w:rPr>
              <w:t> </w:t>
            </w:r>
            <w:r>
              <w:rPr>
                <w:color w:val="231F20"/>
                <w:w w:val="80"/>
                <w:sz w:val="16"/>
              </w:rPr>
              <w:t>y</w:t>
            </w:r>
            <w:r>
              <w:rPr>
                <w:color w:val="231F20"/>
                <w:spacing w:val="-20"/>
                <w:w w:val="80"/>
                <w:sz w:val="16"/>
              </w:rPr>
              <w:t> </w:t>
            </w:r>
            <w:r>
              <w:rPr>
                <w:color w:val="231F20"/>
                <w:w w:val="80"/>
                <w:sz w:val="16"/>
              </w:rPr>
              <w:t>secundarias</w:t>
            </w:r>
            <w:r>
              <w:rPr>
                <w:color w:val="231F20"/>
                <w:spacing w:val="-20"/>
                <w:w w:val="80"/>
                <w:sz w:val="16"/>
              </w:rPr>
              <w:t> </w:t>
            </w:r>
            <w:r>
              <w:rPr>
                <w:color w:val="231F20"/>
                <w:w w:val="80"/>
                <w:sz w:val="16"/>
              </w:rPr>
              <w:t>del</w:t>
            </w:r>
            <w:r>
              <w:rPr>
                <w:color w:val="231F20"/>
                <w:spacing w:val="-20"/>
                <w:w w:val="80"/>
                <w:sz w:val="16"/>
              </w:rPr>
              <w:t> </w:t>
            </w:r>
            <w:r>
              <w:rPr>
                <w:color w:val="231F20"/>
                <w:w w:val="80"/>
                <w:sz w:val="16"/>
              </w:rPr>
              <w:t>Municipio</w:t>
            </w:r>
          </w:p>
        </w:tc>
      </w:tr>
      <w:tr>
        <w:trPr>
          <w:trHeight w:val="130" w:hRule="exact"/>
        </w:trPr>
        <w:tc>
          <w:tcPr>
            <w:tcW w:w="7927" w:type="dxa"/>
          </w:tcPr>
          <w:p>
            <w:pPr>
              <w:pStyle w:val="TableParagraph"/>
              <w:spacing w:line="160" w:lineRule="exact"/>
              <w:ind w:right="141"/>
              <w:rPr>
                <w:sz w:val="16"/>
              </w:rPr>
            </w:pPr>
            <w:r>
              <w:rPr>
                <w:color w:val="231F20"/>
                <w:w w:val="80"/>
                <w:sz w:val="16"/>
              </w:rPr>
              <w:t>Curso a 100 padres de familia con el programa D.A.R.E.</w:t>
            </w:r>
          </w:p>
        </w:tc>
      </w:tr>
      <w:tr>
        <w:trPr>
          <w:trHeight w:val="130" w:hRule="exact"/>
        </w:trPr>
        <w:tc>
          <w:tcPr>
            <w:tcW w:w="7927" w:type="dxa"/>
          </w:tcPr>
          <w:p>
            <w:pPr>
              <w:pStyle w:val="TableParagraph"/>
              <w:spacing w:line="160" w:lineRule="exact"/>
              <w:ind w:right="141"/>
              <w:rPr>
                <w:sz w:val="16"/>
              </w:rPr>
            </w:pPr>
            <w:r>
              <w:rPr>
                <w:color w:val="231F20"/>
                <w:w w:val="80"/>
                <w:sz w:val="16"/>
              </w:rPr>
              <w:t>23 grupos de trabajo con participación comunitaria en 22 colonias</w:t>
            </w:r>
          </w:p>
        </w:tc>
      </w:tr>
      <w:tr>
        <w:trPr>
          <w:trHeight w:val="130" w:hRule="exact"/>
        </w:trPr>
        <w:tc>
          <w:tcPr>
            <w:tcW w:w="7927" w:type="dxa"/>
          </w:tcPr>
          <w:p>
            <w:pPr>
              <w:pStyle w:val="TableParagraph"/>
              <w:spacing w:line="160" w:lineRule="exact"/>
              <w:ind w:right="141"/>
              <w:rPr>
                <w:sz w:val="16"/>
              </w:rPr>
            </w:pPr>
            <w:r>
              <w:rPr>
                <w:color w:val="231F20"/>
                <w:w w:val="80"/>
                <w:sz w:val="16"/>
              </w:rPr>
              <w:t>Atención de 182 mil 576 llamadas de auxilio de la ciudadanía mediante el 060</w:t>
            </w:r>
          </w:p>
        </w:tc>
      </w:tr>
    </w:tbl>
    <w:p>
      <w:pPr>
        <w:pStyle w:val="BodyText"/>
        <w:spacing w:before="10"/>
        <w:rPr>
          <w:b/>
          <w:sz w:val="14"/>
        </w:rPr>
      </w:pPr>
    </w:p>
    <w:p>
      <w:pPr>
        <w:spacing w:before="74"/>
        <w:ind w:left="0" w:right="108" w:firstLine="0"/>
        <w:jc w:val="right"/>
        <w:rPr>
          <w:rFonts w:ascii="Calibri" w:hAnsi="Calibri"/>
          <w:sz w:val="16"/>
        </w:rPr>
      </w:pPr>
      <w:r>
        <w:rPr>
          <w:rFonts w:ascii="Calibri" w:hAnsi="Calibri"/>
          <w:color w:val="231F20"/>
          <w:sz w:val="16"/>
        </w:rPr>
        <w:t>Fuente: 1º Informe de Gobierno, 2007</w:t>
      </w:r>
    </w:p>
    <w:p>
      <w:pPr>
        <w:pStyle w:val="BodyText"/>
        <w:spacing w:before="5"/>
        <w:rPr>
          <w:rFonts w:ascii="Calibri"/>
          <w:sz w:val="23"/>
        </w:rPr>
      </w:pPr>
    </w:p>
    <w:p>
      <w:pPr>
        <w:pStyle w:val="Heading4"/>
        <w:rPr>
          <w:i/>
        </w:rPr>
      </w:pPr>
      <w:r>
        <w:rPr>
          <w:i/>
          <w:color w:val="231F20"/>
        </w:rPr>
        <w:t>Desarrollo Humano Integral</w:t>
      </w:r>
    </w:p>
    <w:p>
      <w:pPr>
        <w:pStyle w:val="BodyText"/>
        <w:spacing w:line="285" w:lineRule="auto" w:before="16"/>
        <w:ind w:left="110" w:right="108"/>
        <w:jc w:val="both"/>
      </w:pPr>
      <w:r>
        <w:rPr>
          <w:color w:val="231F20"/>
          <w:w w:val="105"/>
        </w:rPr>
        <w:t>En</w:t>
      </w:r>
      <w:r>
        <w:rPr>
          <w:color w:val="231F20"/>
          <w:spacing w:val="-6"/>
          <w:w w:val="105"/>
        </w:rPr>
        <w:t> </w:t>
      </w:r>
      <w:r>
        <w:rPr>
          <w:color w:val="231F20"/>
          <w:w w:val="105"/>
        </w:rPr>
        <w:t>esta</w:t>
      </w:r>
      <w:r>
        <w:rPr>
          <w:color w:val="231F20"/>
          <w:spacing w:val="-6"/>
          <w:w w:val="105"/>
        </w:rPr>
        <w:t> </w:t>
      </w:r>
      <w:r>
        <w:rPr>
          <w:color w:val="231F20"/>
          <w:w w:val="105"/>
        </w:rPr>
        <w:t>materia</w:t>
      </w:r>
      <w:r>
        <w:rPr>
          <w:color w:val="231F20"/>
          <w:spacing w:val="-6"/>
          <w:w w:val="105"/>
        </w:rPr>
        <w:t> </w:t>
      </w:r>
      <w:r>
        <w:rPr>
          <w:color w:val="231F20"/>
          <w:w w:val="105"/>
        </w:rPr>
        <w:t>se</w:t>
      </w:r>
      <w:r>
        <w:rPr>
          <w:color w:val="231F20"/>
          <w:spacing w:val="-6"/>
          <w:w w:val="105"/>
        </w:rPr>
        <w:t> </w:t>
      </w:r>
      <w:r>
        <w:rPr>
          <w:color w:val="231F20"/>
          <w:w w:val="105"/>
        </w:rPr>
        <w:t>registraron</w:t>
      </w:r>
      <w:r>
        <w:rPr>
          <w:color w:val="231F20"/>
          <w:spacing w:val="-6"/>
          <w:w w:val="105"/>
        </w:rPr>
        <w:t> </w:t>
      </w:r>
      <w:r>
        <w:rPr>
          <w:color w:val="231F20"/>
          <w:w w:val="105"/>
        </w:rPr>
        <w:t>las</w:t>
      </w:r>
      <w:r>
        <w:rPr>
          <w:color w:val="231F20"/>
          <w:spacing w:val="-6"/>
          <w:w w:val="105"/>
        </w:rPr>
        <w:t> </w:t>
      </w:r>
      <w:r>
        <w:rPr>
          <w:color w:val="231F20"/>
          <w:w w:val="105"/>
        </w:rPr>
        <w:t>acciones</w:t>
      </w:r>
      <w:r>
        <w:rPr>
          <w:color w:val="231F20"/>
          <w:spacing w:val="-6"/>
          <w:w w:val="105"/>
        </w:rPr>
        <w:t> </w:t>
      </w:r>
      <w:r>
        <w:rPr>
          <w:color w:val="231F20"/>
          <w:w w:val="105"/>
        </w:rPr>
        <w:t>realizadas</w:t>
      </w:r>
      <w:r>
        <w:rPr>
          <w:color w:val="231F20"/>
          <w:spacing w:val="-6"/>
          <w:w w:val="105"/>
        </w:rPr>
        <w:t> </w:t>
      </w:r>
      <w:r>
        <w:rPr>
          <w:color w:val="231F20"/>
          <w:spacing w:val="-5"/>
          <w:w w:val="105"/>
        </w:rPr>
        <w:t>“con</w:t>
      </w:r>
      <w:r>
        <w:rPr>
          <w:color w:val="231F20"/>
          <w:spacing w:val="-6"/>
          <w:w w:val="105"/>
        </w:rPr>
        <w:t> </w:t>
      </w:r>
      <w:r>
        <w:rPr>
          <w:color w:val="231F20"/>
          <w:w w:val="105"/>
        </w:rPr>
        <w:t>rostro</w:t>
      </w:r>
      <w:r>
        <w:rPr>
          <w:color w:val="231F20"/>
          <w:spacing w:val="-6"/>
          <w:w w:val="105"/>
        </w:rPr>
        <w:t> </w:t>
      </w:r>
      <w:r>
        <w:rPr>
          <w:color w:val="231F20"/>
          <w:spacing w:val="-3"/>
          <w:w w:val="105"/>
        </w:rPr>
        <w:t>humano”:</w:t>
      </w:r>
      <w:r>
        <w:rPr>
          <w:color w:val="231F20"/>
          <w:spacing w:val="-6"/>
          <w:w w:val="105"/>
        </w:rPr>
        <w:t> </w:t>
      </w:r>
      <w:r>
        <w:rPr>
          <w:color w:val="231F20"/>
          <w:w w:val="105"/>
        </w:rPr>
        <w:t>la</w:t>
      </w:r>
      <w:r>
        <w:rPr>
          <w:color w:val="231F20"/>
          <w:spacing w:val="-6"/>
          <w:w w:val="105"/>
        </w:rPr>
        <w:t> </w:t>
      </w:r>
      <w:r>
        <w:rPr>
          <w:color w:val="231F20"/>
          <w:w w:val="105"/>
        </w:rPr>
        <w:t>creación de</w:t>
      </w:r>
      <w:r>
        <w:rPr>
          <w:color w:val="231F20"/>
          <w:spacing w:val="-11"/>
          <w:w w:val="105"/>
        </w:rPr>
        <w:t> </w:t>
      </w:r>
      <w:r>
        <w:rPr>
          <w:color w:val="231F20"/>
          <w:w w:val="105"/>
        </w:rPr>
        <w:t>los</w:t>
      </w:r>
      <w:r>
        <w:rPr>
          <w:color w:val="231F20"/>
          <w:spacing w:val="-11"/>
          <w:w w:val="105"/>
        </w:rPr>
        <w:t> </w:t>
      </w:r>
      <w:r>
        <w:rPr>
          <w:color w:val="231F20"/>
          <w:w w:val="105"/>
        </w:rPr>
        <w:t>Institutos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Salud,</w:t>
      </w:r>
      <w:r>
        <w:rPr>
          <w:color w:val="231F20"/>
          <w:spacing w:val="-11"/>
          <w:w w:val="105"/>
        </w:rPr>
        <w:t> </w:t>
      </w:r>
      <w:r>
        <w:rPr>
          <w:color w:val="231F20"/>
          <w:w w:val="105"/>
        </w:rPr>
        <w:t>del</w:t>
      </w:r>
      <w:r>
        <w:rPr>
          <w:color w:val="231F20"/>
          <w:spacing w:val="-11"/>
          <w:w w:val="105"/>
        </w:rPr>
        <w:t> </w:t>
      </w:r>
      <w:r>
        <w:rPr>
          <w:color w:val="231F20"/>
          <w:w w:val="105"/>
        </w:rPr>
        <w:t>Deporte</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Cultura.</w:t>
      </w:r>
      <w:r>
        <w:rPr>
          <w:color w:val="231F20"/>
          <w:spacing w:val="-11"/>
          <w:w w:val="105"/>
        </w:rPr>
        <w:t> </w:t>
      </w:r>
      <w:r>
        <w:rPr>
          <w:color w:val="231F20"/>
          <w:w w:val="105"/>
        </w:rPr>
        <w:t>Las</w:t>
      </w:r>
      <w:r>
        <w:rPr>
          <w:color w:val="231F20"/>
          <w:spacing w:val="-11"/>
          <w:w w:val="105"/>
        </w:rPr>
        <w:t> </w:t>
      </w:r>
      <w:r>
        <w:rPr>
          <w:color w:val="231F20"/>
          <w:w w:val="105"/>
        </w:rPr>
        <w:t>acciones</w:t>
      </w:r>
      <w:r>
        <w:rPr>
          <w:color w:val="231F20"/>
          <w:spacing w:val="-11"/>
          <w:w w:val="105"/>
        </w:rPr>
        <w:t> </w:t>
      </w:r>
      <w:r>
        <w:rPr>
          <w:color w:val="231F20"/>
          <w:w w:val="105"/>
        </w:rPr>
        <w:t>más</w:t>
      </w:r>
      <w:r>
        <w:rPr>
          <w:color w:val="231F20"/>
          <w:spacing w:val="-11"/>
          <w:w w:val="105"/>
        </w:rPr>
        <w:t> </w:t>
      </w:r>
      <w:r>
        <w:rPr>
          <w:color w:val="231F20"/>
          <w:w w:val="105"/>
        </w:rPr>
        <w:t>importantes fueron: en cultura, la organización del Primer Festival de las </w:t>
      </w:r>
      <w:r>
        <w:rPr>
          <w:color w:val="231F20"/>
          <w:spacing w:val="2"/>
          <w:w w:val="105"/>
        </w:rPr>
        <w:t>Artes </w:t>
      </w:r>
      <w:r>
        <w:rPr>
          <w:color w:val="231F20"/>
          <w:w w:val="105"/>
        </w:rPr>
        <w:t>Naucalpan; en de- porte, la carrera de caminata denominada Race Walking Challenge; en educación, los desayunos</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becas</w:t>
      </w:r>
      <w:r>
        <w:rPr>
          <w:color w:val="231F20"/>
          <w:spacing w:val="-18"/>
          <w:w w:val="105"/>
        </w:rPr>
        <w:t> </w:t>
      </w:r>
      <w:r>
        <w:rPr>
          <w:color w:val="231F20"/>
          <w:w w:val="105"/>
        </w:rPr>
        <w:t>escolares,</w:t>
      </w:r>
      <w:r>
        <w:rPr>
          <w:color w:val="231F20"/>
          <w:spacing w:val="-18"/>
          <w:w w:val="105"/>
        </w:rPr>
        <w:t> </w:t>
      </w:r>
      <w:r>
        <w:rPr>
          <w:color w:val="231F20"/>
          <w:w w:val="105"/>
        </w:rPr>
        <w:t>además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adquisición</w:t>
      </w:r>
      <w:r>
        <w:rPr>
          <w:color w:val="231F20"/>
          <w:spacing w:val="-18"/>
          <w:w w:val="105"/>
        </w:rPr>
        <w:t> </w:t>
      </w:r>
      <w:r>
        <w:rPr>
          <w:color w:val="231F20"/>
          <w:w w:val="105"/>
        </w:rPr>
        <w:t>de</w:t>
      </w:r>
      <w:r>
        <w:rPr>
          <w:color w:val="231F20"/>
          <w:spacing w:val="-18"/>
          <w:w w:val="105"/>
        </w:rPr>
        <w:t> </w:t>
      </w:r>
      <w:r>
        <w:rPr>
          <w:color w:val="231F20"/>
          <w:w w:val="105"/>
        </w:rPr>
        <w:t>computadoras.</w:t>
      </w:r>
    </w:p>
    <w:p>
      <w:pPr>
        <w:pStyle w:val="BodyText"/>
        <w:spacing w:before="1"/>
        <w:rPr>
          <w:sz w:val="26"/>
        </w:rPr>
      </w:pPr>
    </w:p>
    <w:p>
      <w:pPr>
        <w:pStyle w:val="BodyText"/>
        <w:spacing w:line="285" w:lineRule="auto"/>
        <w:ind w:left="110" w:right="106"/>
        <w:jc w:val="both"/>
      </w:pPr>
      <w:r>
        <w:rPr>
          <w:color w:val="231F20"/>
          <w:w w:val="105"/>
        </w:rPr>
        <w:t>Sorprende</w:t>
      </w:r>
      <w:r>
        <w:rPr>
          <w:color w:val="231F20"/>
          <w:spacing w:val="-20"/>
          <w:w w:val="105"/>
        </w:rPr>
        <w:t> </w:t>
      </w:r>
      <w:r>
        <w:rPr>
          <w:color w:val="231F20"/>
          <w:w w:val="105"/>
        </w:rPr>
        <w:t>que</w:t>
      </w:r>
      <w:r>
        <w:rPr>
          <w:color w:val="231F20"/>
          <w:spacing w:val="-20"/>
          <w:w w:val="105"/>
        </w:rPr>
        <w:t> </w:t>
      </w:r>
      <w:r>
        <w:rPr>
          <w:color w:val="231F20"/>
          <w:w w:val="105"/>
        </w:rPr>
        <w:t>el</w:t>
      </w:r>
      <w:r>
        <w:rPr>
          <w:color w:val="231F20"/>
          <w:spacing w:val="-20"/>
          <w:w w:val="105"/>
        </w:rPr>
        <w:t> </w:t>
      </w:r>
      <w:r>
        <w:rPr>
          <w:color w:val="231F20"/>
          <w:w w:val="105"/>
        </w:rPr>
        <w:t>alcalde</w:t>
      </w:r>
      <w:r>
        <w:rPr>
          <w:color w:val="231F20"/>
          <w:spacing w:val="-20"/>
          <w:w w:val="105"/>
        </w:rPr>
        <w:t> </w:t>
      </w:r>
      <w:r>
        <w:rPr>
          <w:color w:val="231F20"/>
          <w:w w:val="105"/>
        </w:rPr>
        <w:t>no</w:t>
      </w:r>
      <w:r>
        <w:rPr>
          <w:color w:val="231F20"/>
          <w:spacing w:val="-20"/>
          <w:w w:val="105"/>
        </w:rPr>
        <w:t> </w:t>
      </w:r>
      <w:r>
        <w:rPr>
          <w:color w:val="231F20"/>
          <w:w w:val="105"/>
        </w:rPr>
        <w:t>emprendiera</w:t>
      </w:r>
      <w:r>
        <w:rPr>
          <w:color w:val="231F20"/>
          <w:spacing w:val="-20"/>
          <w:w w:val="105"/>
        </w:rPr>
        <w:t> </w:t>
      </w:r>
      <w:r>
        <w:rPr>
          <w:color w:val="231F20"/>
          <w:w w:val="105"/>
        </w:rPr>
        <w:t>la</w:t>
      </w:r>
      <w:r>
        <w:rPr>
          <w:color w:val="231F20"/>
          <w:spacing w:val="-20"/>
          <w:w w:val="105"/>
        </w:rPr>
        <w:t> </w:t>
      </w:r>
      <w:r>
        <w:rPr>
          <w:color w:val="231F20"/>
          <w:w w:val="105"/>
        </w:rPr>
        <w:t>creación</w:t>
      </w:r>
      <w:r>
        <w:rPr>
          <w:color w:val="231F20"/>
          <w:spacing w:val="-20"/>
          <w:w w:val="105"/>
        </w:rPr>
        <w:t> </w:t>
      </w:r>
      <w:r>
        <w:rPr>
          <w:color w:val="231F20"/>
          <w:w w:val="105"/>
        </w:rPr>
        <w:t>de</w:t>
      </w:r>
      <w:r>
        <w:rPr>
          <w:color w:val="231F20"/>
          <w:spacing w:val="-20"/>
          <w:w w:val="105"/>
        </w:rPr>
        <w:t> </w:t>
      </w:r>
      <w:r>
        <w:rPr>
          <w:color w:val="231F20"/>
          <w:w w:val="105"/>
        </w:rPr>
        <w:t>más</w:t>
      </w:r>
      <w:r>
        <w:rPr>
          <w:color w:val="231F20"/>
          <w:spacing w:val="-20"/>
          <w:w w:val="105"/>
        </w:rPr>
        <w:t> </w:t>
      </w:r>
      <w:r>
        <w:rPr>
          <w:color w:val="231F20"/>
          <w:w w:val="105"/>
        </w:rPr>
        <w:t>bibliotecas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 cuyo número es francamente raquítico. Para el municipio lo más relevante fue mante- ner en funcionamiento siete </w:t>
      </w:r>
      <w:r>
        <w:rPr>
          <w:color w:val="231F20"/>
          <w:spacing w:val="-3"/>
          <w:w w:val="105"/>
        </w:rPr>
        <w:t>(7) </w:t>
      </w:r>
      <w:r>
        <w:rPr>
          <w:color w:val="231F20"/>
          <w:w w:val="105"/>
        </w:rPr>
        <w:t>bibliotecas interactivas, ubicadas estratégicamente en </w:t>
      </w:r>
      <w:r>
        <w:rPr>
          <w:color w:val="231F20"/>
        </w:rPr>
        <w:t>localidades</w:t>
      </w:r>
      <w:r>
        <w:rPr>
          <w:color w:val="231F20"/>
          <w:spacing w:val="44"/>
        </w:rPr>
        <w:t> </w:t>
      </w:r>
      <w:r>
        <w:rPr>
          <w:color w:val="231F20"/>
        </w:rPr>
        <w:t>relevantes.</w:t>
      </w:r>
    </w:p>
    <w:p>
      <w:pPr>
        <w:spacing w:after="0" w:line="285" w:lineRule="auto"/>
        <w:jc w:val="both"/>
        <w:sectPr>
          <w:pgSz w:w="9640" w:h="12190"/>
          <w:pgMar w:header="0" w:footer="743" w:top="1120" w:bottom="940" w:left="740" w:right="740"/>
        </w:sectPr>
      </w:pPr>
    </w:p>
    <w:p>
      <w:pPr>
        <w:pStyle w:val="Heading5"/>
        <w:spacing w:before="27"/>
        <w:ind w:left="2054"/>
      </w:pPr>
      <w:r>
        <w:rPr>
          <w:color w:val="231F20"/>
          <w:w w:val="105"/>
        </w:rPr>
        <w:t>Tabla 6. Acciones relevantes en educación</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b/>
                <w:sz w:val="16"/>
              </w:rPr>
            </w:pPr>
            <w:r>
              <w:rPr>
                <w:b/>
                <w:color w:val="231F20"/>
                <w:w w:val="95"/>
                <w:sz w:val="16"/>
              </w:rPr>
              <w:t>Equipamiento</w:t>
            </w:r>
          </w:p>
        </w:tc>
      </w:tr>
      <w:tr>
        <w:trPr>
          <w:trHeight w:val="130" w:hRule="exact"/>
        </w:trPr>
        <w:tc>
          <w:tcPr>
            <w:tcW w:w="7927" w:type="dxa"/>
          </w:tcPr>
          <w:p>
            <w:pPr>
              <w:pStyle w:val="TableParagraph"/>
              <w:spacing w:line="160" w:lineRule="exact"/>
              <w:ind w:right="141"/>
              <w:rPr>
                <w:sz w:val="16"/>
              </w:rPr>
            </w:pPr>
            <w:r>
              <w:rPr>
                <w:color w:val="231F20"/>
                <w:w w:val="80"/>
                <w:sz w:val="16"/>
              </w:rPr>
              <w:t>Adquisición de mil 250 computadoras para escuelas oficiales primarias y secundarias</w:t>
            </w:r>
          </w:p>
        </w:tc>
      </w:tr>
      <w:tr>
        <w:trPr>
          <w:trHeight w:val="290" w:hRule="exact"/>
        </w:trPr>
        <w:tc>
          <w:tcPr>
            <w:tcW w:w="7927" w:type="dxa"/>
          </w:tcPr>
          <w:p>
            <w:pPr>
              <w:pStyle w:val="TableParagraph"/>
              <w:spacing w:line="196" w:lineRule="auto"/>
              <w:ind w:right="141"/>
              <w:rPr>
                <w:sz w:val="16"/>
              </w:rPr>
            </w:pPr>
            <w:r>
              <w:rPr>
                <w:color w:val="231F20"/>
                <w:w w:val="80"/>
                <w:sz w:val="16"/>
              </w:rPr>
              <w:t>7</w:t>
            </w:r>
            <w:r>
              <w:rPr>
                <w:color w:val="231F20"/>
                <w:spacing w:val="-19"/>
                <w:w w:val="80"/>
                <w:sz w:val="16"/>
              </w:rPr>
              <w:t> </w:t>
            </w:r>
            <w:r>
              <w:rPr>
                <w:color w:val="231F20"/>
                <w:w w:val="80"/>
                <w:sz w:val="16"/>
              </w:rPr>
              <w:t>bibliotecas</w:t>
            </w:r>
            <w:r>
              <w:rPr>
                <w:color w:val="231F20"/>
                <w:spacing w:val="-19"/>
                <w:w w:val="80"/>
                <w:sz w:val="16"/>
              </w:rPr>
              <w:t> </w:t>
            </w:r>
            <w:r>
              <w:rPr>
                <w:color w:val="231F20"/>
                <w:w w:val="80"/>
                <w:sz w:val="16"/>
              </w:rPr>
              <w:t>interactivas</w:t>
            </w:r>
            <w:r>
              <w:rPr>
                <w:color w:val="231F20"/>
                <w:spacing w:val="-19"/>
                <w:w w:val="80"/>
                <w:sz w:val="16"/>
              </w:rPr>
              <w:t> </w:t>
            </w:r>
            <w:r>
              <w:rPr>
                <w:color w:val="231F20"/>
                <w:w w:val="80"/>
                <w:sz w:val="16"/>
              </w:rPr>
              <w:t>“Fuente</w:t>
            </w:r>
            <w:r>
              <w:rPr>
                <w:color w:val="231F20"/>
                <w:spacing w:val="-19"/>
                <w:w w:val="80"/>
                <w:sz w:val="16"/>
              </w:rPr>
              <w:t> </w:t>
            </w:r>
            <w:r>
              <w:rPr>
                <w:color w:val="231F20"/>
                <w:w w:val="80"/>
                <w:sz w:val="16"/>
              </w:rPr>
              <w:t>de</w:t>
            </w:r>
            <w:r>
              <w:rPr>
                <w:color w:val="231F20"/>
                <w:spacing w:val="-19"/>
                <w:w w:val="80"/>
                <w:sz w:val="16"/>
              </w:rPr>
              <w:t> </w:t>
            </w:r>
            <w:r>
              <w:rPr>
                <w:color w:val="231F20"/>
                <w:w w:val="80"/>
                <w:sz w:val="16"/>
              </w:rPr>
              <w:t>Conocimiento”</w:t>
            </w:r>
            <w:r>
              <w:rPr>
                <w:color w:val="231F20"/>
                <w:spacing w:val="-19"/>
                <w:w w:val="80"/>
                <w:sz w:val="16"/>
              </w:rPr>
              <w:t> </w:t>
            </w:r>
            <w:r>
              <w:rPr>
                <w:color w:val="231F20"/>
                <w:w w:val="80"/>
                <w:sz w:val="16"/>
              </w:rPr>
              <w:t>en:</w:t>
            </w:r>
            <w:r>
              <w:rPr>
                <w:color w:val="231F20"/>
                <w:spacing w:val="-19"/>
                <w:w w:val="80"/>
                <w:sz w:val="16"/>
              </w:rPr>
              <w:t> </w:t>
            </w:r>
            <w:r>
              <w:rPr>
                <w:color w:val="231F20"/>
                <w:w w:val="80"/>
                <w:sz w:val="16"/>
              </w:rPr>
              <w:t>Ampliación</w:t>
            </w:r>
            <w:r>
              <w:rPr>
                <w:color w:val="231F20"/>
                <w:spacing w:val="-19"/>
                <w:w w:val="80"/>
                <w:sz w:val="16"/>
              </w:rPr>
              <w:t> </w:t>
            </w:r>
            <w:r>
              <w:rPr>
                <w:color w:val="231F20"/>
                <w:w w:val="80"/>
                <w:sz w:val="16"/>
              </w:rPr>
              <w:t>Benito</w:t>
            </w:r>
            <w:r>
              <w:rPr>
                <w:color w:val="231F20"/>
                <w:spacing w:val="-19"/>
                <w:w w:val="80"/>
                <w:sz w:val="16"/>
              </w:rPr>
              <w:t> </w:t>
            </w:r>
            <w:r>
              <w:rPr>
                <w:color w:val="231F20"/>
                <w:w w:val="80"/>
                <w:sz w:val="16"/>
              </w:rPr>
              <w:t>Juárez,</w:t>
            </w:r>
            <w:r>
              <w:rPr>
                <w:color w:val="231F20"/>
                <w:spacing w:val="-19"/>
                <w:w w:val="80"/>
                <w:sz w:val="16"/>
              </w:rPr>
              <w:t> </w:t>
            </w:r>
            <w:r>
              <w:rPr>
                <w:color w:val="231F20"/>
                <w:w w:val="80"/>
                <w:sz w:val="16"/>
              </w:rPr>
              <w:t>Altamira,</w:t>
            </w:r>
            <w:r>
              <w:rPr>
                <w:color w:val="231F20"/>
                <w:spacing w:val="-19"/>
                <w:w w:val="80"/>
                <w:sz w:val="16"/>
              </w:rPr>
              <w:t> </w:t>
            </w:r>
            <w:r>
              <w:rPr>
                <w:color w:val="231F20"/>
                <w:w w:val="80"/>
                <w:sz w:val="16"/>
              </w:rPr>
              <w:t>Alfredo</w:t>
            </w:r>
            <w:r>
              <w:rPr>
                <w:color w:val="231F20"/>
                <w:spacing w:val="-19"/>
                <w:w w:val="80"/>
                <w:sz w:val="16"/>
              </w:rPr>
              <w:t> </w:t>
            </w:r>
            <w:r>
              <w:rPr>
                <w:color w:val="231F20"/>
                <w:w w:val="80"/>
                <w:sz w:val="16"/>
              </w:rPr>
              <w:t>del</w:t>
            </w:r>
            <w:r>
              <w:rPr>
                <w:color w:val="231F20"/>
                <w:spacing w:val="-19"/>
                <w:w w:val="80"/>
                <w:sz w:val="16"/>
              </w:rPr>
              <w:t> </w:t>
            </w:r>
            <w:r>
              <w:rPr>
                <w:color w:val="231F20"/>
                <w:w w:val="80"/>
                <w:sz w:val="16"/>
              </w:rPr>
              <w:t>Mazo,</w:t>
            </w:r>
            <w:r>
              <w:rPr>
                <w:color w:val="231F20"/>
                <w:spacing w:val="-19"/>
                <w:w w:val="80"/>
                <w:sz w:val="16"/>
              </w:rPr>
              <w:t> </w:t>
            </w:r>
            <w:r>
              <w:rPr>
                <w:color w:val="231F20"/>
                <w:w w:val="80"/>
                <w:sz w:val="16"/>
              </w:rPr>
              <w:t>Mártires</w:t>
            </w:r>
            <w:r>
              <w:rPr>
                <w:color w:val="231F20"/>
                <w:spacing w:val="-19"/>
                <w:w w:val="80"/>
                <w:sz w:val="16"/>
              </w:rPr>
              <w:t> </w:t>
            </w:r>
            <w:r>
              <w:rPr>
                <w:color w:val="231F20"/>
                <w:w w:val="80"/>
                <w:sz w:val="16"/>
              </w:rPr>
              <w:t>de</w:t>
            </w:r>
            <w:r>
              <w:rPr>
                <w:color w:val="231F20"/>
                <w:spacing w:val="-19"/>
                <w:w w:val="80"/>
                <w:sz w:val="16"/>
              </w:rPr>
              <w:t> </w:t>
            </w:r>
            <w:r>
              <w:rPr>
                <w:color w:val="231F20"/>
                <w:w w:val="80"/>
                <w:sz w:val="16"/>
              </w:rPr>
              <w:t>Río</w:t>
            </w:r>
            <w:r>
              <w:rPr>
                <w:color w:val="231F20"/>
                <w:spacing w:val="-19"/>
                <w:w w:val="80"/>
                <w:sz w:val="16"/>
              </w:rPr>
              <w:t> </w:t>
            </w:r>
            <w:r>
              <w:rPr>
                <w:color w:val="231F20"/>
                <w:w w:val="80"/>
                <w:sz w:val="16"/>
              </w:rPr>
              <w:t>Blanco,</w:t>
            </w:r>
            <w:r>
              <w:rPr>
                <w:color w:val="231F20"/>
                <w:spacing w:val="-19"/>
                <w:w w:val="80"/>
                <w:sz w:val="16"/>
              </w:rPr>
              <w:t> </w:t>
            </w:r>
            <w:r>
              <w:rPr>
                <w:color w:val="231F20"/>
                <w:w w:val="80"/>
                <w:sz w:val="16"/>
              </w:rPr>
              <w:t>San</w:t>
            </w:r>
            <w:r>
              <w:rPr>
                <w:color w:val="231F20"/>
                <w:spacing w:val="-19"/>
                <w:w w:val="80"/>
                <w:sz w:val="16"/>
              </w:rPr>
              <w:t> </w:t>
            </w:r>
            <w:r>
              <w:rPr>
                <w:color w:val="231F20"/>
                <w:w w:val="80"/>
                <w:sz w:val="16"/>
              </w:rPr>
              <w:t>Mateo</w:t>
            </w:r>
            <w:r>
              <w:rPr>
                <w:color w:val="231F20"/>
                <w:spacing w:val="-19"/>
                <w:w w:val="80"/>
                <w:sz w:val="16"/>
              </w:rPr>
              <w:t> </w:t>
            </w:r>
            <w:r>
              <w:rPr>
                <w:color w:val="231F20"/>
                <w:w w:val="80"/>
                <w:sz w:val="16"/>
              </w:rPr>
              <w:t>Nopala, San</w:t>
            </w:r>
            <w:r>
              <w:rPr>
                <w:color w:val="231F20"/>
                <w:spacing w:val="-17"/>
                <w:w w:val="80"/>
                <w:sz w:val="16"/>
              </w:rPr>
              <w:t> </w:t>
            </w:r>
            <w:r>
              <w:rPr>
                <w:color w:val="231F20"/>
                <w:w w:val="80"/>
                <w:sz w:val="16"/>
              </w:rPr>
              <w:t>Antonio</w:t>
            </w:r>
            <w:r>
              <w:rPr>
                <w:color w:val="231F20"/>
                <w:spacing w:val="-17"/>
                <w:w w:val="80"/>
                <w:sz w:val="16"/>
              </w:rPr>
              <w:t> </w:t>
            </w:r>
            <w:r>
              <w:rPr>
                <w:color w:val="231F20"/>
                <w:w w:val="80"/>
                <w:sz w:val="16"/>
              </w:rPr>
              <w:t>Zomeyucan</w:t>
            </w:r>
            <w:r>
              <w:rPr>
                <w:color w:val="231F20"/>
                <w:spacing w:val="-17"/>
                <w:w w:val="80"/>
                <w:sz w:val="16"/>
              </w:rPr>
              <w:t> </w:t>
            </w:r>
            <w:r>
              <w:rPr>
                <w:color w:val="231F20"/>
                <w:w w:val="80"/>
                <w:sz w:val="16"/>
              </w:rPr>
              <w:t>y</w:t>
            </w:r>
            <w:r>
              <w:rPr>
                <w:color w:val="231F20"/>
                <w:spacing w:val="-17"/>
                <w:w w:val="80"/>
                <w:sz w:val="16"/>
              </w:rPr>
              <w:t> </w:t>
            </w:r>
            <w:r>
              <w:rPr>
                <w:color w:val="231F20"/>
                <w:w w:val="80"/>
                <w:sz w:val="16"/>
              </w:rPr>
              <w:t>La</w:t>
            </w:r>
            <w:r>
              <w:rPr>
                <w:color w:val="231F20"/>
                <w:spacing w:val="-17"/>
                <w:w w:val="80"/>
                <w:sz w:val="16"/>
              </w:rPr>
              <w:t> </w:t>
            </w:r>
            <w:r>
              <w:rPr>
                <w:color w:val="231F20"/>
                <w:w w:val="80"/>
                <w:sz w:val="16"/>
              </w:rPr>
              <w:t>Mancha</w:t>
            </w:r>
            <w:r>
              <w:rPr>
                <w:color w:val="231F20"/>
                <w:spacing w:val="-17"/>
                <w:w w:val="80"/>
                <w:sz w:val="16"/>
              </w:rPr>
              <w:t> </w:t>
            </w:r>
            <w:r>
              <w:rPr>
                <w:color w:val="231F20"/>
                <w:w w:val="80"/>
                <w:sz w:val="16"/>
              </w:rPr>
              <w:t>II</w:t>
            </w:r>
          </w:p>
        </w:tc>
      </w:tr>
      <w:tr>
        <w:trPr>
          <w:trHeight w:val="130" w:hRule="exact"/>
        </w:trPr>
        <w:tc>
          <w:tcPr>
            <w:tcW w:w="7927" w:type="dxa"/>
          </w:tcPr>
          <w:p>
            <w:pPr>
              <w:pStyle w:val="TableParagraph"/>
              <w:spacing w:line="160" w:lineRule="exact"/>
              <w:ind w:right="141"/>
              <w:rPr>
                <w:sz w:val="16"/>
              </w:rPr>
            </w:pPr>
            <w:r>
              <w:rPr>
                <w:color w:val="231F20"/>
                <w:w w:val="80"/>
                <w:sz w:val="16"/>
              </w:rPr>
              <w:t>Servicio a 100 mil 361 usuarios, con un promedio de 10 mil 036 usuarios al mes</w:t>
            </w:r>
          </w:p>
        </w:tc>
      </w:tr>
      <w:tr>
        <w:trPr>
          <w:trHeight w:val="130" w:hRule="exact"/>
        </w:trPr>
        <w:tc>
          <w:tcPr>
            <w:tcW w:w="7927" w:type="dxa"/>
          </w:tcPr>
          <w:p>
            <w:pPr>
              <w:pStyle w:val="TableParagraph"/>
              <w:spacing w:line="160" w:lineRule="exact"/>
              <w:ind w:right="141"/>
              <w:rPr>
                <w:sz w:val="16"/>
              </w:rPr>
            </w:pPr>
            <w:r>
              <w:rPr>
                <w:color w:val="231F20"/>
                <w:w w:val="80"/>
                <w:sz w:val="16"/>
              </w:rPr>
              <w:t>570 mil pesos para reconocer a 130 maestros con 25 y 30 años de servicio</w:t>
            </w:r>
          </w:p>
        </w:tc>
      </w:tr>
    </w:tbl>
    <w:p>
      <w:pPr>
        <w:pStyle w:val="BodyText"/>
        <w:spacing w:before="4"/>
        <w:rPr>
          <w:b/>
          <w:sz w:val="6"/>
        </w:rPr>
      </w:pPr>
    </w:p>
    <w:p>
      <w:pPr>
        <w:spacing w:before="74"/>
        <w:ind w:left="0" w:right="108" w:firstLine="0"/>
        <w:jc w:val="right"/>
        <w:rPr>
          <w:rFonts w:ascii="Calibri" w:hAnsi="Calibri"/>
          <w:sz w:val="16"/>
        </w:rPr>
      </w:pPr>
      <w:r>
        <w:rPr>
          <w:rFonts w:ascii="Calibri" w:hAnsi="Calibri"/>
          <w:color w:val="231F20"/>
          <w:sz w:val="16"/>
        </w:rPr>
        <w:t>Fuente: 1º Informe de Gobierno, 2007</w:t>
      </w:r>
    </w:p>
    <w:p>
      <w:pPr>
        <w:pStyle w:val="BodyText"/>
        <w:rPr>
          <w:rFonts w:ascii="Calibri"/>
          <w:sz w:val="16"/>
        </w:rPr>
      </w:pPr>
    </w:p>
    <w:p>
      <w:pPr>
        <w:pStyle w:val="BodyText"/>
        <w:spacing w:before="10"/>
        <w:rPr>
          <w:rFonts w:ascii="Calibri"/>
          <w:sz w:val="12"/>
        </w:rPr>
      </w:pPr>
    </w:p>
    <w:p>
      <w:pPr>
        <w:pStyle w:val="BodyText"/>
        <w:spacing w:line="285" w:lineRule="auto"/>
        <w:ind w:left="110" w:right="107"/>
        <w:jc w:val="both"/>
      </w:pP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distribuyó</w:t>
      </w:r>
      <w:r>
        <w:rPr>
          <w:color w:val="231F20"/>
          <w:spacing w:val="-16"/>
          <w:w w:val="105"/>
        </w:rPr>
        <w:t> </w:t>
      </w:r>
      <w:r>
        <w:rPr>
          <w:color w:val="231F20"/>
          <w:w w:val="105"/>
        </w:rPr>
        <w:t>cinco</w:t>
      </w:r>
      <w:r>
        <w:rPr>
          <w:color w:val="231F20"/>
          <w:spacing w:val="-16"/>
          <w:w w:val="105"/>
        </w:rPr>
        <w:t> </w:t>
      </w:r>
      <w:r>
        <w:rPr>
          <w:color w:val="231F20"/>
          <w:spacing w:val="2"/>
          <w:w w:val="105"/>
        </w:rPr>
        <w:t>mil</w:t>
      </w:r>
      <w:r>
        <w:rPr>
          <w:color w:val="231F20"/>
          <w:spacing w:val="-16"/>
          <w:w w:val="105"/>
        </w:rPr>
        <w:t> </w:t>
      </w:r>
      <w:r>
        <w:rPr>
          <w:color w:val="231F20"/>
          <w:w w:val="105"/>
        </w:rPr>
        <w:t>becas</w:t>
      </w:r>
      <w:r>
        <w:rPr>
          <w:color w:val="231F20"/>
          <w:spacing w:val="-16"/>
          <w:w w:val="105"/>
        </w:rPr>
        <w:t> </w:t>
      </w:r>
      <w:r>
        <w:rPr>
          <w:color w:val="231F20"/>
          <w:w w:val="105"/>
        </w:rPr>
        <w:t>dentro</w:t>
      </w:r>
      <w:r>
        <w:rPr>
          <w:color w:val="231F20"/>
          <w:spacing w:val="-16"/>
          <w:w w:val="105"/>
        </w:rPr>
        <w:t> </w:t>
      </w:r>
      <w:r>
        <w:rPr>
          <w:color w:val="231F20"/>
          <w:w w:val="105"/>
        </w:rPr>
        <w:t>del</w:t>
      </w:r>
      <w:r>
        <w:rPr>
          <w:color w:val="231F20"/>
          <w:spacing w:val="-16"/>
          <w:w w:val="105"/>
        </w:rPr>
        <w:t> </w:t>
      </w:r>
      <w:r>
        <w:rPr>
          <w:color w:val="231F20"/>
          <w:w w:val="105"/>
        </w:rPr>
        <w:t>programa</w:t>
      </w:r>
      <w:r>
        <w:rPr>
          <w:color w:val="231F20"/>
          <w:spacing w:val="-16"/>
          <w:w w:val="105"/>
        </w:rPr>
        <w:t> </w:t>
      </w:r>
      <w:r>
        <w:rPr>
          <w:color w:val="231F20"/>
          <w:w w:val="105"/>
        </w:rPr>
        <w:t>“Estímulos</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educación </w:t>
      </w:r>
      <w:r>
        <w:rPr>
          <w:color w:val="231F20"/>
          <w:spacing w:val="-4"/>
          <w:w w:val="105"/>
        </w:rPr>
        <w:t>básica”,</w:t>
      </w:r>
      <w:r>
        <w:rPr>
          <w:color w:val="231F20"/>
          <w:spacing w:val="-18"/>
          <w:w w:val="105"/>
        </w:rPr>
        <w:t> </w:t>
      </w:r>
      <w:r>
        <w:rPr>
          <w:color w:val="231F20"/>
          <w:w w:val="105"/>
        </w:rPr>
        <w:t>destinadas</w:t>
      </w:r>
      <w:r>
        <w:rPr>
          <w:color w:val="231F20"/>
          <w:spacing w:val="-18"/>
          <w:w w:val="105"/>
        </w:rPr>
        <w:t> </w:t>
      </w:r>
      <w:r>
        <w:rPr>
          <w:color w:val="231F20"/>
          <w:w w:val="105"/>
        </w:rPr>
        <w:t>a</w:t>
      </w:r>
      <w:r>
        <w:rPr>
          <w:color w:val="231F20"/>
          <w:spacing w:val="-18"/>
          <w:w w:val="105"/>
        </w:rPr>
        <w:t> </w:t>
      </w:r>
      <w:r>
        <w:rPr>
          <w:color w:val="231F20"/>
          <w:w w:val="105"/>
        </w:rPr>
        <w:t>alumnos</w:t>
      </w:r>
      <w:r>
        <w:rPr>
          <w:color w:val="231F20"/>
          <w:spacing w:val="-18"/>
          <w:w w:val="105"/>
        </w:rPr>
        <w:t> </w:t>
      </w:r>
      <w:r>
        <w:rPr>
          <w:color w:val="231F20"/>
          <w:w w:val="105"/>
        </w:rPr>
        <w:t>de</w:t>
      </w:r>
      <w:r>
        <w:rPr>
          <w:color w:val="231F20"/>
          <w:spacing w:val="-18"/>
          <w:w w:val="105"/>
        </w:rPr>
        <w:t> </w:t>
      </w:r>
      <w:r>
        <w:rPr>
          <w:color w:val="231F20"/>
          <w:w w:val="105"/>
        </w:rPr>
        <w:t>2º</w:t>
      </w:r>
      <w:r>
        <w:rPr>
          <w:color w:val="231F20"/>
          <w:spacing w:val="-18"/>
          <w:w w:val="105"/>
        </w:rPr>
        <w:t> </w:t>
      </w:r>
      <w:r>
        <w:rPr>
          <w:color w:val="231F20"/>
          <w:w w:val="105"/>
        </w:rPr>
        <w:t>y</w:t>
      </w:r>
      <w:r>
        <w:rPr>
          <w:color w:val="231F20"/>
          <w:spacing w:val="-18"/>
          <w:w w:val="105"/>
        </w:rPr>
        <w:t> </w:t>
      </w:r>
      <w:r>
        <w:rPr>
          <w:color w:val="231F20"/>
          <w:w w:val="105"/>
        </w:rPr>
        <w:t>4º</w:t>
      </w:r>
      <w:r>
        <w:rPr>
          <w:color w:val="231F20"/>
          <w:spacing w:val="-18"/>
          <w:w w:val="105"/>
        </w:rPr>
        <w:t> </w:t>
      </w:r>
      <w:r>
        <w:rPr>
          <w:color w:val="231F20"/>
          <w:w w:val="105"/>
        </w:rPr>
        <w:t>grados</w:t>
      </w:r>
      <w:r>
        <w:rPr>
          <w:color w:val="231F20"/>
          <w:spacing w:val="-18"/>
          <w:w w:val="105"/>
        </w:rPr>
        <w:t> </w:t>
      </w:r>
      <w:r>
        <w:rPr>
          <w:color w:val="231F20"/>
          <w:w w:val="105"/>
        </w:rPr>
        <w:t>de</w:t>
      </w:r>
      <w:r>
        <w:rPr>
          <w:color w:val="231F20"/>
          <w:spacing w:val="-18"/>
          <w:w w:val="105"/>
        </w:rPr>
        <w:t> </w:t>
      </w:r>
      <w:r>
        <w:rPr>
          <w:color w:val="231F20"/>
          <w:w w:val="105"/>
        </w:rPr>
        <w:t>primaria,</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spacing w:val="2"/>
          <w:w w:val="105"/>
        </w:rPr>
        <w:t>fin</w:t>
      </w:r>
      <w:r>
        <w:rPr>
          <w:color w:val="231F20"/>
          <w:spacing w:val="-18"/>
          <w:w w:val="105"/>
        </w:rPr>
        <w:t> </w:t>
      </w:r>
      <w:r>
        <w:rPr>
          <w:color w:val="231F20"/>
          <w:w w:val="105"/>
        </w:rPr>
        <w:t>de</w:t>
      </w:r>
      <w:r>
        <w:rPr>
          <w:color w:val="231F20"/>
          <w:spacing w:val="-18"/>
          <w:w w:val="105"/>
        </w:rPr>
        <w:t> </w:t>
      </w:r>
      <w:r>
        <w:rPr>
          <w:color w:val="231F20"/>
          <w:w w:val="105"/>
        </w:rPr>
        <w:t>evitar</w:t>
      </w:r>
      <w:r>
        <w:rPr>
          <w:color w:val="231F20"/>
          <w:spacing w:val="-18"/>
          <w:w w:val="105"/>
        </w:rPr>
        <w:t> </w:t>
      </w:r>
      <w:r>
        <w:rPr>
          <w:color w:val="231F20"/>
          <w:w w:val="105"/>
        </w:rPr>
        <w:t>su</w:t>
      </w:r>
      <w:r>
        <w:rPr>
          <w:color w:val="231F20"/>
          <w:spacing w:val="-18"/>
          <w:w w:val="105"/>
        </w:rPr>
        <w:t> </w:t>
      </w:r>
      <w:r>
        <w:rPr>
          <w:color w:val="231F20"/>
          <w:w w:val="105"/>
        </w:rPr>
        <w:t>deser- ción.</w:t>
      </w:r>
      <w:r>
        <w:rPr>
          <w:color w:val="231F20"/>
          <w:spacing w:val="-8"/>
          <w:w w:val="105"/>
        </w:rPr>
        <w:t> </w:t>
      </w:r>
      <w:r>
        <w:rPr>
          <w:color w:val="231F20"/>
          <w:w w:val="105"/>
        </w:rPr>
        <w:t>Otra</w:t>
      </w:r>
      <w:r>
        <w:rPr>
          <w:color w:val="231F20"/>
          <w:spacing w:val="-8"/>
          <w:w w:val="105"/>
        </w:rPr>
        <w:t> </w:t>
      </w:r>
      <w:r>
        <w:rPr>
          <w:color w:val="231F20"/>
          <w:w w:val="105"/>
        </w:rPr>
        <w:t>beca</w:t>
      </w:r>
      <w:r>
        <w:rPr>
          <w:color w:val="231F20"/>
          <w:spacing w:val="-8"/>
          <w:w w:val="105"/>
        </w:rPr>
        <w:t> </w:t>
      </w:r>
      <w:r>
        <w:rPr>
          <w:color w:val="231F20"/>
          <w:w w:val="105"/>
        </w:rPr>
        <w:t>fue</w:t>
      </w:r>
      <w:r>
        <w:rPr>
          <w:color w:val="231F20"/>
          <w:spacing w:val="-8"/>
          <w:w w:val="105"/>
        </w:rPr>
        <w:t> </w:t>
      </w:r>
      <w:r>
        <w:rPr>
          <w:color w:val="231F20"/>
          <w:w w:val="105"/>
        </w:rPr>
        <w:t>canalizada</w:t>
      </w:r>
      <w:r>
        <w:rPr>
          <w:color w:val="231F20"/>
          <w:spacing w:val="-8"/>
          <w:w w:val="105"/>
        </w:rPr>
        <w:t> </w:t>
      </w:r>
      <w:r>
        <w:rPr>
          <w:color w:val="231F20"/>
          <w:w w:val="105"/>
        </w:rPr>
        <w:t>a</w:t>
      </w:r>
      <w:r>
        <w:rPr>
          <w:color w:val="231F20"/>
          <w:spacing w:val="-8"/>
          <w:w w:val="105"/>
        </w:rPr>
        <w:t> </w:t>
      </w:r>
      <w:r>
        <w:rPr>
          <w:color w:val="231F20"/>
          <w:w w:val="105"/>
        </w:rPr>
        <w:t>niños</w:t>
      </w:r>
      <w:r>
        <w:rPr>
          <w:color w:val="231F20"/>
          <w:spacing w:val="-8"/>
          <w:w w:val="105"/>
        </w:rPr>
        <w:t> </w:t>
      </w:r>
      <w:r>
        <w:rPr>
          <w:color w:val="231F20"/>
          <w:w w:val="105"/>
        </w:rPr>
        <w:t>originalmente</w:t>
      </w:r>
      <w:r>
        <w:rPr>
          <w:color w:val="231F20"/>
          <w:spacing w:val="-8"/>
          <w:w w:val="105"/>
        </w:rPr>
        <w:t> </w:t>
      </w:r>
      <w:r>
        <w:rPr>
          <w:color w:val="231F20"/>
          <w:w w:val="105"/>
        </w:rPr>
        <w:t>trabajadores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calle,</w:t>
      </w:r>
      <w:r>
        <w:rPr>
          <w:color w:val="231F20"/>
          <w:spacing w:val="-8"/>
          <w:w w:val="105"/>
        </w:rPr>
        <w:t> </w:t>
      </w:r>
      <w:r>
        <w:rPr>
          <w:color w:val="231F20"/>
          <w:w w:val="105"/>
        </w:rPr>
        <w:t>mediante el</w:t>
      </w:r>
      <w:r>
        <w:rPr>
          <w:color w:val="231F20"/>
          <w:spacing w:val="-21"/>
          <w:w w:val="105"/>
        </w:rPr>
        <w:t> </w:t>
      </w:r>
      <w:r>
        <w:rPr>
          <w:color w:val="231F20"/>
          <w:w w:val="105"/>
        </w:rPr>
        <w:t>programa</w:t>
      </w:r>
      <w:r>
        <w:rPr>
          <w:color w:val="231F20"/>
          <w:spacing w:val="-21"/>
          <w:w w:val="105"/>
        </w:rPr>
        <w:t> </w:t>
      </w:r>
      <w:r>
        <w:rPr>
          <w:color w:val="231F20"/>
          <w:w w:val="105"/>
        </w:rPr>
        <w:t>conocido</w:t>
      </w:r>
      <w:r>
        <w:rPr>
          <w:color w:val="231F20"/>
          <w:spacing w:val="-21"/>
          <w:w w:val="105"/>
        </w:rPr>
        <w:t> </w:t>
      </w:r>
      <w:r>
        <w:rPr>
          <w:color w:val="231F20"/>
          <w:w w:val="105"/>
        </w:rPr>
        <w:t>como</w:t>
      </w:r>
      <w:r>
        <w:rPr>
          <w:color w:val="231F20"/>
          <w:spacing w:val="-21"/>
          <w:w w:val="105"/>
        </w:rPr>
        <w:t> </w:t>
      </w:r>
      <w:r>
        <w:rPr>
          <w:color w:val="231F20"/>
          <w:w w:val="105"/>
        </w:rPr>
        <w:t>METRUM</w:t>
      </w:r>
      <w:r>
        <w:rPr>
          <w:color w:val="231F20"/>
          <w:spacing w:val="-21"/>
          <w:w w:val="105"/>
        </w:rPr>
        <w:t> </w:t>
      </w:r>
      <w:r>
        <w:rPr>
          <w:color w:val="231F20"/>
          <w:spacing w:val="-3"/>
          <w:w w:val="105"/>
        </w:rPr>
        <w:t>(Menores</w:t>
      </w:r>
      <w:r>
        <w:rPr>
          <w:color w:val="231F20"/>
          <w:spacing w:val="-21"/>
          <w:w w:val="105"/>
        </w:rPr>
        <w:t> </w:t>
      </w:r>
      <w:r>
        <w:rPr>
          <w:color w:val="231F20"/>
          <w:spacing w:val="-3"/>
          <w:w w:val="105"/>
        </w:rPr>
        <w:t>Trabajadores</w:t>
      </w:r>
      <w:r>
        <w:rPr>
          <w:color w:val="231F20"/>
          <w:spacing w:val="-21"/>
          <w:w w:val="105"/>
        </w:rPr>
        <w:t> </w:t>
      </w:r>
      <w:r>
        <w:rPr>
          <w:color w:val="231F20"/>
          <w:w w:val="105"/>
        </w:rPr>
        <w:t>Urbano</w:t>
      </w:r>
      <w:r>
        <w:rPr>
          <w:color w:val="231F20"/>
          <w:spacing w:val="-21"/>
          <w:w w:val="105"/>
        </w:rPr>
        <w:t> </w:t>
      </w:r>
      <w:r>
        <w:rPr>
          <w:color w:val="231F20"/>
          <w:w w:val="105"/>
        </w:rPr>
        <w:t>Marginales).</w:t>
      </w:r>
      <w:r>
        <w:rPr>
          <w:color w:val="231F20"/>
          <w:spacing w:val="-21"/>
          <w:w w:val="105"/>
        </w:rPr>
        <w:t> </w:t>
      </w:r>
      <w:r>
        <w:rPr>
          <w:color w:val="231F20"/>
          <w:w w:val="105"/>
        </w:rPr>
        <w:t>En este</w:t>
      </w:r>
      <w:r>
        <w:rPr>
          <w:color w:val="231F20"/>
          <w:spacing w:val="-23"/>
          <w:w w:val="105"/>
        </w:rPr>
        <w:t> </w:t>
      </w:r>
      <w:r>
        <w:rPr>
          <w:color w:val="231F20"/>
          <w:w w:val="105"/>
        </w:rPr>
        <w:t>caso,</w:t>
      </w:r>
      <w:r>
        <w:rPr>
          <w:color w:val="231F20"/>
          <w:spacing w:val="-23"/>
          <w:w w:val="105"/>
        </w:rPr>
        <w:t> </w:t>
      </w:r>
      <w:r>
        <w:rPr>
          <w:color w:val="231F20"/>
          <w:w w:val="105"/>
        </w:rPr>
        <w:t>sólo</w:t>
      </w:r>
      <w:r>
        <w:rPr>
          <w:color w:val="231F20"/>
          <w:spacing w:val="-23"/>
          <w:w w:val="105"/>
        </w:rPr>
        <w:t> </w:t>
      </w:r>
      <w:r>
        <w:rPr>
          <w:color w:val="231F20"/>
          <w:w w:val="105"/>
        </w:rPr>
        <w:t>63</w:t>
      </w:r>
      <w:r>
        <w:rPr>
          <w:color w:val="231F20"/>
          <w:spacing w:val="-23"/>
          <w:w w:val="105"/>
        </w:rPr>
        <w:t> </w:t>
      </w:r>
      <w:r>
        <w:rPr>
          <w:color w:val="231F20"/>
          <w:spacing w:val="2"/>
          <w:w w:val="105"/>
        </w:rPr>
        <w:t>familias</w:t>
      </w:r>
      <w:r>
        <w:rPr>
          <w:color w:val="231F20"/>
          <w:spacing w:val="-23"/>
          <w:w w:val="105"/>
        </w:rPr>
        <w:t> </w:t>
      </w:r>
      <w:r>
        <w:rPr>
          <w:color w:val="231F20"/>
          <w:w w:val="105"/>
        </w:rPr>
        <w:t>recibieron</w:t>
      </w:r>
      <w:r>
        <w:rPr>
          <w:color w:val="231F20"/>
          <w:spacing w:val="-23"/>
          <w:w w:val="105"/>
        </w:rPr>
        <w:t> </w:t>
      </w:r>
      <w:r>
        <w:rPr>
          <w:color w:val="231F20"/>
          <w:w w:val="105"/>
        </w:rPr>
        <w:t>este</w:t>
      </w:r>
      <w:r>
        <w:rPr>
          <w:color w:val="231F20"/>
          <w:spacing w:val="-23"/>
          <w:w w:val="105"/>
        </w:rPr>
        <w:t> </w:t>
      </w:r>
      <w:r>
        <w:rPr>
          <w:color w:val="231F20"/>
          <w:w w:val="105"/>
        </w:rPr>
        <w:t>beneficio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primer</w:t>
      </w:r>
      <w:r>
        <w:rPr>
          <w:color w:val="231F20"/>
          <w:spacing w:val="-23"/>
          <w:w w:val="105"/>
        </w:rPr>
        <w:t> </w:t>
      </w:r>
      <w:r>
        <w:rPr>
          <w:color w:val="231F20"/>
          <w:w w:val="105"/>
        </w:rPr>
        <w:t>año</w:t>
      </w:r>
      <w:r>
        <w:rPr>
          <w:color w:val="231F20"/>
          <w:spacing w:val="-23"/>
          <w:w w:val="105"/>
        </w:rPr>
        <w:t> </w:t>
      </w:r>
      <w:r>
        <w:rPr>
          <w:color w:val="231F20"/>
          <w:w w:val="105"/>
        </w:rPr>
        <w:t>de</w:t>
      </w:r>
      <w:r>
        <w:rPr>
          <w:color w:val="231F20"/>
          <w:spacing w:val="-23"/>
          <w:w w:val="105"/>
        </w:rPr>
        <w:t> </w:t>
      </w:r>
      <w:r>
        <w:rPr>
          <w:color w:val="231F20"/>
          <w:w w:val="105"/>
        </w:rPr>
        <w:t>gestión</w:t>
      </w:r>
      <w:r>
        <w:rPr>
          <w:color w:val="231F20"/>
          <w:spacing w:val="-23"/>
          <w:w w:val="105"/>
        </w:rPr>
        <w:t> </w:t>
      </w:r>
      <w:r>
        <w:rPr>
          <w:color w:val="231F20"/>
          <w:w w:val="105"/>
        </w:rPr>
        <w:t>de</w:t>
      </w:r>
      <w:r>
        <w:rPr>
          <w:color w:val="231F20"/>
          <w:spacing w:val="-23"/>
          <w:w w:val="105"/>
        </w:rPr>
        <w:t> </w:t>
      </w:r>
      <w:r>
        <w:rPr>
          <w:color w:val="231F20"/>
          <w:w w:val="105"/>
        </w:rPr>
        <w:t>Durán Reveles.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27"/>
          <w:w w:val="105"/>
        </w:rPr>
        <w:t> </w:t>
      </w:r>
      <w:r>
        <w:rPr>
          <w:color w:val="231F20"/>
          <w:w w:val="105"/>
        </w:rPr>
        <w:t>DIF</w:t>
      </w:r>
      <w:r>
        <w:rPr>
          <w:color w:val="231F20"/>
          <w:spacing w:val="-27"/>
          <w:w w:val="105"/>
        </w:rPr>
        <w:t> </w:t>
      </w:r>
      <w:r>
        <w:rPr>
          <w:color w:val="231F20"/>
          <w:w w:val="105"/>
        </w:rPr>
        <w:t>local</w:t>
      </w:r>
      <w:r>
        <w:rPr>
          <w:color w:val="231F20"/>
          <w:spacing w:val="-27"/>
          <w:w w:val="105"/>
        </w:rPr>
        <w:t> </w:t>
      </w:r>
      <w:r>
        <w:rPr>
          <w:color w:val="231F20"/>
          <w:w w:val="105"/>
        </w:rPr>
        <w:t>también</w:t>
      </w:r>
      <w:r>
        <w:rPr>
          <w:color w:val="231F20"/>
          <w:spacing w:val="-27"/>
          <w:w w:val="105"/>
        </w:rPr>
        <w:t> </w:t>
      </w:r>
      <w:r>
        <w:rPr>
          <w:color w:val="231F20"/>
          <w:w w:val="105"/>
        </w:rPr>
        <w:t>manejó</w:t>
      </w:r>
      <w:r>
        <w:rPr>
          <w:color w:val="231F20"/>
          <w:spacing w:val="-27"/>
          <w:w w:val="105"/>
        </w:rPr>
        <w:t> </w:t>
      </w:r>
      <w:r>
        <w:rPr>
          <w:color w:val="231F20"/>
          <w:w w:val="105"/>
        </w:rPr>
        <w:t>el</w:t>
      </w:r>
      <w:r>
        <w:rPr>
          <w:color w:val="231F20"/>
          <w:spacing w:val="-27"/>
          <w:w w:val="105"/>
        </w:rPr>
        <w:t> </w:t>
      </w:r>
      <w:r>
        <w:rPr>
          <w:color w:val="231F20"/>
          <w:w w:val="105"/>
        </w:rPr>
        <w:t>programa</w:t>
      </w:r>
      <w:r>
        <w:rPr>
          <w:color w:val="231F20"/>
          <w:spacing w:val="-27"/>
          <w:w w:val="105"/>
        </w:rPr>
        <w:t> </w:t>
      </w:r>
      <w:r>
        <w:rPr>
          <w:color w:val="231F20"/>
          <w:w w:val="105"/>
        </w:rPr>
        <w:t>NUTRIFAM,</w:t>
      </w:r>
      <w:r>
        <w:rPr>
          <w:color w:val="231F20"/>
          <w:spacing w:val="-27"/>
          <w:w w:val="105"/>
        </w:rPr>
        <w:t> </w:t>
      </w:r>
      <w:r>
        <w:rPr>
          <w:color w:val="231F20"/>
          <w:w w:val="105"/>
        </w:rPr>
        <w:t>el</w:t>
      </w:r>
      <w:r>
        <w:rPr>
          <w:color w:val="231F20"/>
          <w:spacing w:val="-27"/>
          <w:w w:val="105"/>
        </w:rPr>
        <w:t> </w:t>
      </w:r>
      <w:r>
        <w:rPr>
          <w:color w:val="231F20"/>
          <w:w w:val="105"/>
        </w:rPr>
        <w:t>cual</w:t>
      </w:r>
      <w:r>
        <w:rPr>
          <w:color w:val="231F20"/>
          <w:spacing w:val="-27"/>
          <w:w w:val="105"/>
        </w:rPr>
        <w:t> </w:t>
      </w:r>
      <w:r>
        <w:rPr>
          <w:color w:val="231F20"/>
          <w:w w:val="105"/>
        </w:rPr>
        <w:t>consistía</w:t>
      </w:r>
      <w:r>
        <w:rPr>
          <w:color w:val="231F20"/>
          <w:spacing w:val="-27"/>
          <w:w w:val="105"/>
        </w:rPr>
        <w:t> </w:t>
      </w:r>
      <w:r>
        <w:rPr>
          <w:color w:val="231F20"/>
          <w:w w:val="105"/>
        </w:rPr>
        <w:t>en</w:t>
      </w:r>
      <w:r>
        <w:rPr>
          <w:color w:val="231F20"/>
          <w:spacing w:val="-27"/>
          <w:w w:val="105"/>
        </w:rPr>
        <w:t> </w:t>
      </w:r>
      <w:r>
        <w:rPr>
          <w:color w:val="231F20"/>
          <w:w w:val="105"/>
        </w:rPr>
        <w:t>proporcionar despensas</w:t>
      </w:r>
      <w:r>
        <w:rPr>
          <w:color w:val="231F20"/>
          <w:spacing w:val="-13"/>
          <w:w w:val="105"/>
        </w:rPr>
        <w:t> </w:t>
      </w:r>
      <w:r>
        <w:rPr>
          <w:color w:val="231F20"/>
          <w:w w:val="105"/>
        </w:rPr>
        <w:t>a</w:t>
      </w:r>
      <w:r>
        <w:rPr>
          <w:color w:val="231F20"/>
          <w:spacing w:val="-13"/>
          <w:w w:val="105"/>
        </w:rPr>
        <w:t> </w:t>
      </w:r>
      <w:r>
        <w:rPr>
          <w:color w:val="231F20"/>
          <w:spacing w:val="2"/>
          <w:w w:val="105"/>
        </w:rPr>
        <w:t>familias</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alto</w:t>
      </w:r>
      <w:r>
        <w:rPr>
          <w:color w:val="231F20"/>
          <w:spacing w:val="-13"/>
          <w:w w:val="105"/>
        </w:rPr>
        <w:t> </w:t>
      </w:r>
      <w:r>
        <w:rPr>
          <w:color w:val="231F20"/>
          <w:w w:val="105"/>
        </w:rPr>
        <w:t>grado</w:t>
      </w:r>
      <w:r>
        <w:rPr>
          <w:color w:val="231F20"/>
          <w:spacing w:val="-13"/>
          <w:w w:val="105"/>
        </w:rPr>
        <w:t> </w:t>
      </w:r>
      <w:r>
        <w:rPr>
          <w:color w:val="231F20"/>
          <w:w w:val="105"/>
        </w:rPr>
        <w:t>de</w:t>
      </w:r>
      <w:r>
        <w:rPr>
          <w:color w:val="231F20"/>
          <w:spacing w:val="-13"/>
          <w:w w:val="105"/>
        </w:rPr>
        <w:t> </w:t>
      </w:r>
      <w:r>
        <w:rPr>
          <w:color w:val="231F20"/>
          <w:w w:val="105"/>
        </w:rPr>
        <w:t>marginación</w:t>
      </w:r>
      <w:r>
        <w:rPr>
          <w:color w:val="231F20"/>
          <w:spacing w:val="-13"/>
          <w:w w:val="105"/>
        </w:rPr>
        <w:t> </w:t>
      </w:r>
      <w:r>
        <w:rPr>
          <w:color w:val="231F20"/>
          <w:w w:val="105"/>
        </w:rPr>
        <w:t>y</w:t>
      </w:r>
      <w:r>
        <w:rPr>
          <w:color w:val="231F20"/>
          <w:spacing w:val="-13"/>
          <w:w w:val="105"/>
        </w:rPr>
        <w:t> </w:t>
      </w:r>
      <w:r>
        <w:rPr>
          <w:color w:val="231F20"/>
          <w:w w:val="105"/>
        </w:rPr>
        <w:t>con</w:t>
      </w:r>
      <w:r>
        <w:rPr>
          <w:color w:val="231F20"/>
          <w:spacing w:val="-13"/>
          <w:w w:val="105"/>
        </w:rPr>
        <w:t> </w:t>
      </w:r>
      <w:r>
        <w:rPr>
          <w:color w:val="231F20"/>
          <w:w w:val="105"/>
        </w:rPr>
        <w:t>problemas</w:t>
      </w:r>
      <w:r>
        <w:rPr>
          <w:color w:val="231F20"/>
          <w:spacing w:val="-13"/>
          <w:w w:val="105"/>
        </w:rPr>
        <w:t> </w:t>
      </w:r>
      <w:r>
        <w:rPr>
          <w:color w:val="231F20"/>
          <w:w w:val="105"/>
        </w:rPr>
        <w:t>de</w:t>
      </w:r>
      <w:r>
        <w:rPr>
          <w:color w:val="231F20"/>
          <w:spacing w:val="-13"/>
          <w:w w:val="105"/>
        </w:rPr>
        <w:t> </w:t>
      </w:r>
      <w:r>
        <w:rPr>
          <w:color w:val="231F20"/>
          <w:w w:val="105"/>
        </w:rPr>
        <w:t>desnutrición. </w:t>
      </w:r>
      <w:r>
        <w:rPr>
          <w:color w:val="231F20"/>
          <w:spacing w:val="-6"/>
          <w:w w:val="105"/>
        </w:rPr>
        <w:t>17</w:t>
      </w:r>
      <w:r>
        <w:rPr>
          <w:color w:val="231F20"/>
          <w:spacing w:val="-4"/>
          <w:w w:val="105"/>
        </w:rPr>
        <w:t> </w:t>
      </w:r>
      <w:r>
        <w:rPr>
          <w:color w:val="231F20"/>
          <w:spacing w:val="2"/>
          <w:w w:val="105"/>
        </w:rPr>
        <w:t>mil</w:t>
      </w:r>
      <w:r>
        <w:rPr>
          <w:color w:val="231F20"/>
          <w:spacing w:val="-4"/>
          <w:w w:val="105"/>
        </w:rPr>
        <w:t> </w:t>
      </w:r>
      <w:r>
        <w:rPr>
          <w:color w:val="231F20"/>
          <w:w w:val="105"/>
        </w:rPr>
        <w:t>580</w:t>
      </w:r>
      <w:r>
        <w:rPr>
          <w:color w:val="231F20"/>
          <w:spacing w:val="-4"/>
          <w:w w:val="105"/>
        </w:rPr>
        <w:t> </w:t>
      </w:r>
      <w:r>
        <w:rPr>
          <w:color w:val="231F20"/>
          <w:w w:val="105"/>
        </w:rPr>
        <w:t>despensas</w:t>
      </w:r>
      <w:r>
        <w:rPr>
          <w:color w:val="231F20"/>
          <w:spacing w:val="-4"/>
          <w:w w:val="105"/>
        </w:rPr>
        <w:t> </w:t>
      </w:r>
      <w:r>
        <w:rPr>
          <w:color w:val="231F20"/>
          <w:w w:val="105"/>
        </w:rPr>
        <w:t>fueron</w:t>
      </w:r>
      <w:r>
        <w:rPr>
          <w:color w:val="231F20"/>
          <w:spacing w:val="-4"/>
          <w:w w:val="105"/>
        </w:rPr>
        <w:t> </w:t>
      </w:r>
      <w:r>
        <w:rPr>
          <w:color w:val="231F20"/>
          <w:w w:val="105"/>
        </w:rPr>
        <w:t>entregadas</w:t>
      </w:r>
      <w:r>
        <w:rPr>
          <w:color w:val="231F20"/>
          <w:spacing w:val="-4"/>
          <w:w w:val="105"/>
        </w:rPr>
        <w:t> </w:t>
      </w:r>
      <w:r>
        <w:rPr>
          <w:color w:val="231F20"/>
          <w:w w:val="105"/>
        </w:rPr>
        <w:t>a</w:t>
      </w:r>
      <w:r>
        <w:rPr>
          <w:color w:val="231F20"/>
          <w:spacing w:val="-4"/>
          <w:w w:val="105"/>
        </w:rPr>
        <w:t> </w:t>
      </w:r>
      <w:r>
        <w:rPr>
          <w:color w:val="231F20"/>
          <w:w w:val="105"/>
        </w:rPr>
        <w:t>otras</w:t>
      </w:r>
      <w:r>
        <w:rPr>
          <w:color w:val="231F20"/>
          <w:spacing w:val="-4"/>
          <w:w w:val="105"/>
        </w:rPr>
        <w:t> </w:t>
      </w:r>
      <w:r>
        <w:rPr>
          <w:color w:val="231F20"/>
          <w:w w:val="105"/>
        </w:rPr>
        <w:t>tantas</w:t>
      </w:r>
      <w:r>
        <w:rPr>
          <w:color w:val="231F20"/>
          <w:spacing w:val="-4"/>
          <w:w w:val="105"/>
        </w:rPr>
        <w:t> </w:t>
      </w:r>
      <w:r>
        <w:rPr>
          <w:color w:val="231F20"/>
          <w:spacing w:val="2"/>
          <w:w w:val="105"/>
        </w:rPr>
        <w:t>familias.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distribución</w:t>
      </w:r>
      <w:r>
        <w:rPr>
          <w:color w:val="231F20"/>
          <w:spacing w:val="-4"/>
          <w:w w:val="105"/>
        </w:rPr>
        <w:t> </w:t>
      </w:r>
      <w:r>
        <w:rPr>
          <w:color w:val="231F20"/>
          <w:w w:val="105"/>
        </w:rPr>
        <w:t>de desayunos</w:t>
      </w:r>
      <w:r>
        <w:rPr>
          <w:color w:val="231F20"/>
          <w:spacing w:val="-15"/>
          <w:w w:val="105"/>
        </w:rPr>
        <w:t> </w:t>
      </w:r>
      <w:r>
        <w:rPr>
          <w:color w:val="231F20"/>
          <w:w w:val="105"/>
        </w:rPr>
        <w:t>escolares</w:t>
      </w:r>
      <w:r>
        <w:rPr>
          <w:color w:val="231F20"/>
          <w:spacing w:val="-15"/>
          <w:w w:val="105"/>
        </w:rPr>
        <w:t> </w:t>
      </w:r>
      <w:r>
        <w:rPr>
          <w:color w:val="231F20"/>
          <w:w w:val="105"/>
        </w:rPr>
        <w:t>se</w:t>
      </w:r>
      <w:r>
        <w:rPr>
          <w:color w:val="231F20"/>
          <w:spacing w:val="-15"/>
          <w:w w:val="105"/>
        </w:rPr>
        <w:t> </w:t>
      </w:r>
      <w:r>
        <w:rPr>
          <w:color w:val="231F20"/>
          <w:w w:val="105"/>
        </w:rPr>
        <w:t>siguió</w:t>
      </w:r>
      <w:r>
        <w:rPr>
          <w:color w:val="231F20"/>
          <w:spacing w:val="-15"/>
          <w:w w:val="105"/>
        </w:rPr>
        <w:t> </w:t>
      </w:r>
      <w:r>
        <w:rPr>
          <w:color w:val="231F20"/>
          <w:w w:val="105"/>
        </w:rPr>
        <w:t>un</w:t>
      </w:r>
      <w:r>
        <w:rPr>
          <w:color w:val="231F20"/>
          <w:spacing w:val="-15"/>
          <w:w w:val="105"/>
        </w:rPr>
        <w:t> </w:t>
      </w:r>
      <w:r>
        <w:rPr>
          <w:color w:val="231F20"/>
          <w:w w:val="105"/>
        </w:rPr>
        <w:t>criterio</w:t>
      </w:r>
      <w:r>
        <w:rPr>
          <w:color w:val="231F20"/>
          <w:spacing w:val="-15"/>
          <w:w w:val="105"/>
        </w:rPr>
        <w:t> </w:t>
      </w:r>
      <w:r>
        <w:rPr>
          <w:color w:val="231F20"/>
          <w:w w:val="105"/>
        </w:rPr>
        <w:t>selectivo,</w:t>
      </w:r>
      <w:r>
        <w:rPr>
          <w:color w:val="231F20"/>
          <w:spacing w:val="-15"/>
          <w:w w:val="105"/>
        </w:rPr>
        <w:t> </w:t>
      </w:r>
      <w:r>
        <w:rPr>
          <w:color w:val="231F20"/>
          <w:w w:val="105"/>
        </w:rPr>
        <w:t>pues</w:t>
      </w:r>
      <w:r>
        <w:rPr>
          <w:color w:val="231F20"/>
          <w:spacing w:val="-15"/>
          <w:w w:val="105"/>
        </w:rPr>
        <w:t> </w:t>
      </w:r>
      <w:r>
        <w:rPr>
          <w:color w:val="231F20"/>
          <w:w w:val="105"/>
        </w:rPr>
        <w:t>se</w:t>
      </w:r>
      <w:r>
        <w:rPr>
          <w:color w:val="231F20"/>
          <w:spacing w:val="-15"/>
          <w:w w:val="105"/>
        </w:rPr>
        <w:t> </w:t>
      </w:r>
      <w:r>
        <w:rPr>
          <w:color w:val="231F20"/>
          <w:w w:val="105"/>
        </w:rPr>
        <w:t>entregaron</w:t>
      </w:r>
      <w:r>
        <w:rPr>
          <w:color w:val="231F20"/>
          <w:spacing w:val="-15"/>
          <w:w w:val="105"/>
        </w:rPr>
        <w:t> </w:t>
      </w:r>
      <w:r>
        <w:rPr>
          <w:color w:val="231F20"/>
          <w:w w:val="105"/>
        </w:rPr>
        <w:t>a</w:t>
      </w:r>
      <w:r>
        <w:rPr>
          <w:color w:val="231F20"/>
          <w:spacing w:val="-15"/>
          <w:w w:val="105"/>
        </w:rPr>
        <w:t> </w:t>
      </w:r>
      <w:r>
        <w:rPr>
          <w:color w:val="231F20"/>
          <w:w w:val="105"/>
        </w:rPr>
        <w:t>escuelas</w:t>
      </w:r>
      <w:r>
        <w:rPr>
          <w:color w:val="231F20"/>
          <w:spacing w:val="-15"/>
          <w:w w:val="105"/>
        </w:rPr>
        <w:t> </w:t>
      </w:r>
      <w:r>
        <w:rPr>
          <w:color w:val="231F20"/>
          <w:w w:val="105"/>
        </w:rPr>
        <w:t>ubica- das</w:t>
      </w:r>
      <w:r>
        <w:rPr>
          <w:color w:val="231F20"/>
          <w:spacing w:val="-21"/>
          <w:w w:val="105"/>
        </w:rPr>
        <w:t> </w:t>
      </w:r>
      <w:r>
        <w:rPr>
          <w:color w:val="231F20"/>
          <w:w w:val="105"/>
        </w:rPr>
        <w:t>en</w:t>
      </w:r>
      <w:r>
        <w:rPr>
          <w:color w:val="231F20"/>
          <w:spacing w:val="-21"/>
          <w:w w:val="105"/>
        </w:rPr>
        <w:t> </w:t>
      </w:r>
      <w:r>
        <w:rPr>
          <w:color w:val="231F20"/>
          <w:w w:val="105"/>
        </w:rPr>
        <w:t>regiones</w:t>
      </w:r>
      <w:r>
        <w:rPr>
          <w:color w:val="231F20"/>
          <w:spacing w:val="-21"/>
          <w:w w:val="105"/>
        </w:rPr>
        <w:t> </w:t>
      </w:r>
      <w:r>
        <w:rPr>
          <w:color w:val="231F20"/>
          <w:w w:val="105"/>
        </w:rPr>
        <w:t>con</w:t>
      </w:r>
      <w:r>
        <w:rPr>
          <w:color w:val="231F20"/>
          <w:spacing w:val="-21"/>
          <w:w w:val="105"/>
        </w:rPr>
        <w:t> </w:t>
      </w:r>
      <w:r>
        <w:rPr>
          <w:color w:val="231F20"/>
          <w:w w:val="105"/>
        </w:rPr>
        <w:t>un</w:t>
      </w:r>
      <w:r>
        <w:rPr>
          <w:color w:val="231F20"/>
          <w:spacing w:val="-21"/>
          <w:w w:val="105"/>
        </w:rPr>
        <w:t> </w:t>
      </w:r>
      <w:r>
        <w:rPr>
          <w:color w:val="231F20"/>
          <w:w w:val="105"/>
        </w:rPr>
        <w:t>alto</w:t>
      </w:r>
      <w:r>
        <w:rPr>
          <w:color w:val="231F20"/>
          <w:spacing w:val="-21"/>
          <w:w w:val="105"/>
        </w:rPr>
        <w:t> </w:t>
      </w:r>
      <w:r>
        <w:rPr>
          <w:color w:val="231F20"/>
          <w:w w:val="105"/>
        </w:rPr>
        <w:t>grado</w:t>
      </w:r>
      <w:r>
        <w:rPr>
          <w:color w:val="231F20"/>
          <w:spacing w:val="-21"/>
          <w:w w:val="105"/>
        </w:rPr>
        <w:t> </w:t>
      </w:r>
      <w:r>
        <w:rPr>
          <w:color w:val="231F20"/>
          <w:w w:val="105"/>
        </w:rPr>
        <w:t>de</w:t>
      </w:r>
      <w:r>
        <w:rPr>
          <w:color w:val="231F20"/>
          <w:spacing w:val="-21"/>
          <w:w w:val="105"/>
        </w:rPr>
        <w:t> </w:t>
      </w:r>
      <w:r>
        <w:rPr>
          <w:color w:val="231F20"/>
          <w:w w:val="105"/>
        </w:rPr>
        <w:t>marginación.</w:t>
      </w:r>
      <w:r>
        <w:rPr>
          <w:color w:val="231F20"/>
          <w:spacing w:val="-21"/>
          <w:w w:val="105"/>
        </w:rPr>
        <w:t> </w:t>
      </w:r>
      <w:r>
        <w:rPr>
          <w:color w:val="231F20"/>
          <w:w w:val="105"/>
        </w:rPr>
        <w:t>Adicionalmente,</w:t>
      </w:r>
      <w:r>
        <w:rPr>
          <w:color w:val="231F20"/>
          <w:spacing w:val="-21"/>
          <w:w w:val="105"/>
        </w:rPr>
        <w:t> </w:t>
      </w:r>
      <w:r>
        <w:rPr>
          <w:color w:val="231F20"/>
          <w:w w:val="105"/>
        </w:rPr>
        <w:t>el</w:t>
      </w:r>
      <w:r>
        <w:rPr>
          <w:color w:val="231F20"/>
          <w:spacing w:val="-21"/>
          <w:w w:val="105"/>
        </w:rPr>
        <w:t> </w:t>
      </w:r>
      <w:r>
        <w:rPr>
          <w:color w:val="231F20"/>
          <w:w w:val="105"/>
        </w:rPr>
        <w:t>DIF</w:t>
      </w:r>
      <w:r>
        <w:rPr>
          <w:color w:val="231F20"/>
          <w:spacing w:val="-21"/>
          <w:w w:val="105"/>
        </w:rPr>
        <w:t> </w:t>
      </w:r>
      <w:r>
        <w:rPr>
          <w:color w:val="231F20"/>
          <w:w w:val="105"/>
        </w:rPr>
        <w:t>se</w:t>
      </w:r>
      <w:r>
        <w:rPr>
          <w:color w:val="231F20"/>
          <w:spacing w:val="-21"/>
          <w:w w:val="105"/>
        </w:rPr>
        <w:t> </w:t>
      </w:r>
      <w:r>
        <w:rPr>
          <w:color w:val="231F20"/>
          <w:w w:val="105"/>
        </w:rPr>
        <w:t>encargó</w:t>
      </w:r>
      <w:r>
        <w:rPr>
          <w:color w:val="231F20"/>
          <w:spacing w:val="-21"/>
          <w:w w:val="105"/>
        </w:rPr>
        <w:t> </w:t>
      </w:r>
      <w:r>
        <w:rPr>
          <w:color w:val="231F20"/>
          <w:w w:val="105"/>
        </w:rPr>
        <w:t>de vender</w:t>
      </w:r>
      <w:r>
        <w:rPr>
          <w:color w:val="231F20"/>
          <w:spacing w:val="-13"/>
          <w:w w:val="105"/>
        </w:rPr>
        <w:t> </w:t>
      </w:r>
      <w:r>
        <w:rPr>
          <w:color w:val="231F20"/>
          <w:w w:val="105"/>
        </w:rPr>
        <w:t>despensas</w:t>
      </w:r>
      <w:r>
        <w:rPr>
          <w:color w:val="231F20"/>
          <w:spacing w:val="-13"/>
          <w:w w:val="105"/>
        </w:rPr>
        <w:t> </w:t>
      </w:r>
      <w:r>
        <w:rPr>
          <w:color w:val="231F20"/>
          <w:w w:val="105"/>
        </w:rPr>
        <w:t>a</w:t>
      </w:r>
      <w:r>
        <w:rPr>
          <w:color w:val="231F20"/>
          <w:spacing w:val="-13"/>
          <w:w w:val="105"/>
        </w:rPr>
        <w:t> </w:t>
      </w:r>
      <w:r>
        <w:rPr>
          <w:color w:val="231F20"/>
          <w:w w:val="105"/>
        </w:rPr>
        <w:t>un</w:t>
      </w:r>
      <w:r>
        <w:rPr>
          <w:color w:val="231F20"/>
          <w:spacing w:val="-13"/>
          <w:w w:val="105"/>
        </w:rPr>
        <w:t> </w:t>
      </w:r>
      <w:r>
        <w:rPr>
          <w:color w:val="231F20"/>
          <w:w w:val="105"/>
        </w:rPr>
        <w:t>bajo</w:t>
      </w:r>
      <w:r>
        <w:rPr>
          <w:color w:val="231F20"/>
          <w:spacing w:val="-13"/>
          <w:w w:val="105"/>
        </w:rPr>
        <w:t> </w:t>
      </w:r>
      <w:r>
        <w:rPr>
          <w:color w:val="231F20"/>
          <w:w w:val="105"/>
        </w:rPr>
        <w:t>costo</w:t>
      </w:r>
      <w:r>
        <w:rPr>
          <w:color w:val="231F20"/>
          <w:spacing w:val="-13"/>
          <w:w w:val="105"/>
        </w:rPr>
        <w:t> </w:t>
      </w:r>
      <w:r>
        <w:rPr>
          <w:color w:val="231F20"/>
          <w:w w:val="105"/>
        </w:rPr>
        <w:t>para</w:t>
      </w:r>
      <w:r>
        <w:rPr>
          <w:color w:val="231F20"/>
          <w:spacing w:val="-13"/>
          <w:w w:val="105"/>
        </w:rPr>
        <w:t> </w:t>
      </w:r>
      <w:r>
        <w:rPr>
          <w:color w:val="231F20"/>
          <w:w w:val="105"/>
        </w:rPr>
        <w:t>adultos</w:t>
      </w:r>
      <w:r>
        <w:rPr>
          <w:color w:val="231F20"/>
          <w:spacing w:val="-13"/>
          <w:w w:val="105"/>
        </w:rPr>
        <w:t> </w:t>
      </w:r>
      <w:r>
        <w:rPr>
          <w:color w:val="231F20"/>
          <w:w w:val="105"/>
        </w:rPr>
        <w:t>mayores.</w:t>
      </w:r>
    </w:p>
    <w:p>
      <w:pPr>
        <w:pStyle w:val="BodyText"/>
        <w:spacing w:before="1"/>
        <w:rPr>
          <w:sz w:val="26"/>
        </w:rPr>
      </w:pPr>
    </w:p>
    <w:p>
      <w:pPr>
        <w:pStyle w:val="BodyText"/>
        <w:spacing w:line="285" w:lineRule="auto"/>
        <w:ind w:left="110" w:right="108"/>
        <w:jc w:val="both"/>
      </w:pPr>
      <w:r>
        <w:rPr>
          <w:color w:val="231F20"/>
          <w:w w:val="105"/>
        </w:rPr>
        <w:t>Otro</w:t>
      </w:r>
      <w:r>
        <w:rPr>
          <w:color w:val="231F20"/>
          <w:spacing w:val="-8"/>
          <w:w w:val="105"/>
        </w:rPr>
        <w:t> </w:t>
      </w:r>
      <w:r>
        <w:rPr>
          <w:color w:val="231F20"/>
          <w:w w:val="105"/>
        </w:rPr>
        <w:t>recurso</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tipo</w:t>
      </w:r>
      <w:r>
        <w:rPr>
          <w:color w:val="231F20"/>
          <w:spacing w:val="-8"/>
          <w:w w:val="105"/>
        </w:rPr>
        <w:t> </w:t>
      </w:r>
      <w:r>
        <w:rPr>
          <w:color w:val="231F20"/>
          <w:w w:val="105"/>
        </w:rPr>
        <w:t>fue</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spacing w:val="-2"/>
          <w:w w:val="105"/>
        </w:rPr>
        <w:t>otorgó</w:t>
      </w:r>
      <w:r>
        <w:rPr>
          <w:color w:val="231F20"/>
          <w:spacing w:val="-8"/>
          <w:w w:val="105"/>
        </w:rPr>
        <w:t> </w:t>
      </w:r>
      <w:r>
        <w:rPr>
          <w:color w:val="231F20"/>
          <w:w w:val="105"/>
        </w:rPr>
        <w:t>a</w:t>
      </w:r>
      <w:r>
        <w:rPr>
          <w:color w:val="231F20"/>
          <w:spacing w:val="-8"/>
          <w:w w:val="105"/>
        </w:rPr>
        <w:t> </w:t>
      </w:r>
      <w:r>
        <w:rPr>
          <w:color w:val="231F20"/>
          <w:w w:val="105"/>
        </w:rPr>
        <w:t>620</w:t>
      </w:r>
      <w:r>
        <w:rPr>
          <w:color w:val="231F20"/>
          <w:spacing w:val="-8"/>
          <w:w w:val="105"/>
        </w:rPr>
        <w:t> </w:t>
      </w:r>
      <w:r>
        <w:rPr>
          <w:color w:val="231F20"/>
          <w:w w:val="105"/>
        </w:rPr>
        <w:t>madres</w:t>
      </w:r>
      <w:r>
        <w:rPr>
          <w:color w:val="231F20"/>
          <w:spacing w:val="-8"/>
          <w:w w:val="105"/>
        </w:rPr>
        <w:t> </w:t>
      </w:r>
      <w:r>
        <w:rPr>
          <w:color w:val="231F20"/>
          <w:w w:val="105"/>
        </w:rPr>
        <w:t>solteras,</w:t>
      </w:r>
      <w:r>
        <w:rPr>
          <w:color w:val="231F20"/>
          <w:spacing w:val="-8"/>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del</w:t>
      </w:r>
      <w:r>
        <w:rPr>
          <w:color w:val="231F20"/>
          <w:spacing w:val="-8"/>
          <w:w w:val="105"/>
        </w:rPr>
        <w:t> </w:t>
      </w:r>
      <w:r>
        <w:rPr>
          <w:color w:val="231F20"/>
          <w:w w:val="105"/>
        </w:rPr>
        <w:t>Pro- grama</w:t>
      </w:r>
      <w:r>
        <w:rPr>
          <w:color w:val="231F20"/>
          <w:spacing w:val="-22"/>
          <w:w w:val="105"/>
        </w:rPr>
        <w:t> </w:t>
      </w:r>
      <w:r>
        <w:rPr>
          <w:color w:val="231F20"/>
          <w:w w:val="105"/>
        </w:rPr>
        <w:t>de</w:t>
      </w:r>
      <w:r>
        <w:rPr>
          <w:color w:val="231F20"/>
          <w:spacing w:val="-22"/>
          <w:w w:val="105"/>
        </w:rPr>
        <w:t> </w:t>
      </w:r>
      <w:r>
        <w:rPr>
          <w:color w:val="231F20"/>
          <w:w w:val="105"/>
        </w:rPr>
        <w:t>Apoyos</w:t>
      </w:r>
      <w:r>
        <w:rPr>
          <w:color w:val="231F20"/>
          <w:spacing w:val="-22"/>
          <w:w w:val="105"/>
        </w:rPr>
        <w:t> </w:t>
      </w:r>
      <w:r>
        <w:rPr>
          <w:color w:val="231F20"/>
          <w:w w:val="105"/>
        </w:rPr>
        <w:t>Económicos</w:t>
      </w:r>
      <w:r>
        <w:rPr>
          <w:color w:val="231F20"/>
          <w:spacing w:val="-22"/>
          <w:w w:val="105"/>
        </w:rPr>
        <w:t> </w:t>
      </w:r>
      <w:r>
        <w:rPr>
          <w:color w:val="231F20"/>
          <w:w w:val="105"/>
        </w:rPr>
        <w:t>a</w:t>
      </w:r>
      <w:r>
        <w:rPr>
          <w:color w:val="231F20"/>
          <w:spacing w:val="-22"/>
          <w:w w:val="105"/>
        </w:rPr>
        <w:t> </w:t>
      </w:r>
      <w:r>
        <w:rPr>
          <w:color w:val="231F20"/>
          <w:w w:val="105"/>
        </w:rPr>
        <w:t>Mujeres</w:t>
      </w:r>
      <w:r>
        <w:rPr>
          <w:color w:val="231F20"/>
          <w:spacing w:val="-22"/>
          <w:w w:val="105"/>
        </w:rPr>
        <w:t> </w:t>
      </w:r>
      <w:r>
        <w:rPr>
          <w:color w:val="231F20"/>
          <w:w w:val="105"/>
        </w:rPr>
        <w:t>Jefas</w:t>
      </w:r>
      <w:r>
        <w:rPr>
          <w:color w:val="231F20"/>
          <w:spacing w:val="-22"/>
          <w:w w:val="105"/>
        </w:rPr>
        <w:t> </w:t>
      </w:r>
      <w:r>
        <w:rPr>
          <w:color w:val="231F20"/>
          <w:w w:val="105"/>
        </w:rPr>
        <w:t>de</w:t>
      </w:r>
      <w:r>
        <w:rPr>
          <w:color w:val="231F20"/>
          <w:spacing w:val="-22"/>
          <w:w w:val="105"/>
        </w:rPr>
        <w:t> </w:t>
      </w:r>
      <w:r>
        <w:rPr>
          <w:color w:val="231F20"/>
          <w:w w:val="105"/>
        </w:rPr>
        <w:t>Familia</w:t>
      </w:r>
      <w:r>
        <w:rPr>
          <w:color w:val="231F20"/>
          <w:spacing w:val="-22"/>
          <w:w w:val="105"/>
        </w:rPr>
        <w:t> </w:t>
      </w:r>
      <w:r>
        <w:rPr>
          <w:color w:val="231F20"/>
          <w:w w:val="105"/>
        </w:rPr>
        <w:t>(mil</w:t>
      </w:r>
      <w:r>
        <w:rPr>
          <w:color w:val="231F20"/>
          <w:spacing w:val="-22"/>
          <w:w w:val="105"/>
        </w:rPr>
        <w:t> </w:t>
      </w:r>
      <w:r>
        <w:rPr>
          <w:color w:val="231F20"/>
          <w:w w:val="105"/>
        </w:rPr>
        <w:t>250</w:t>
      </w:r>
      <w:r>
        <w:rPr>
          <w:color w:val="231F20"/>
          <w:spacing w:val="-22"/>
          <w:w w:val="105"/>
        </w:rPr>
        <w:t> </w:t>
      </w:r>
      <w:r>
        <w:rPr>
          <w:color w:val="231F20"/>
          <w:w w:val="105"/>
        </w:rPr>
        <w:t>pesos</w:t>
      </w:r>
      <w:r>
        <w:rPr>
          <w:color w:val="231F20"/>
          <w:spacing w:val="-22"/>
          <w:w w:val="105"/>
        </w:rPr>
        <w:t> </w:t>
      </w:r>
      <w:r>
        <w:rPr>
          <w:color w:val="231F20"/>
          <w:spacing w:val="2"/>
          <w:w w:val="105"/>
        </w:rPr>
        <w:t>al</w:t>
      </w:r>
      <w:r>
        <w:rPr>
          <w:color w:val="231F20"/>
          <w:spacing w:val="-22"/>
          <w:w w:val="105"/>
        </w:rPr>
        <w:t> </w:t>
      </w:r>
      <w:r>
        <w:rPr>
          <w:color w:val="231F20"/>
          <w:spacing w:val="-4"/>
          <w:w w:val="105"/>
        </w:rPr>
        <w:t>año).</w:t>
      </w:r>
    </w:p>
    <w:p>
      <w:pPr>
        <w:pStyle w:val="BodyText"/>
        <w:spacing w:before="1"/>
        <w:rPr>
          <w:sz w:val="26"/>
        </w:rPr>
      </w:pPr>
    </w:p>
    <w:p>
      <w:pPr>
        <w:pStyle w:val="BodyText"/>
        <w:spacing w:line="285" w:lineRule="auto"/>
        <w:ind w:left="110" w:right="108"/>
        <w:jc w:val="both"/>
      </w:pPr>
      <w:r>
        <w:rPr>
          <w:color w:val="231F20"/>
          <w:w w:val="105"/>
        </w:rPr>
        <w:t>Un estímulo más fue el destinado a adultos mayores, inscrito en el recién creado Pro- grama de Asistencia Social. En este caso, 500 personas recibieron 750 pesos al mes durante un año.</w:t>
      </w:r>
    </w:p>
    <w:p>
      <w:pPr>
        <w:spacing w:after="0" w:line="285" w:lineRule="auto"/>
        <w:jc w:val="both"/>
        <w:sectPr>
          <w:footerReference w:type="default" r:id="rId648"/>
          <w:pgSz w:w="9640" w:h="12190"/>
          <w:pgMar w:footer="743" w:header="0" w:top="1120" w:bottom="940" w:left="740" w:right="740"/>
          <w:pgNumType w:start="270"/>
        </w:sectPr>
      </w:pPr>
    </w:p>
    <w:p>
      <w:pPr>
        <w:pStyle w:val="BodyText"/>
        <w:spacing w:before="3"/>
        <w:rPr>
          <w:sz w:val="11"/>
        </w:rPr>
      </w:pPr>
    </w:p>
    <w:p>
      <w:pPr>
        <w:pStyle w:val="BodyText"/>
        <w:spacing w:before="36"/>
        <w:ind w:left="110" w:right="574"/>
      </w:pPr>
      <w:r>
        <w:rPr>
          <w:color w:val="231F20"/>
        </w:rPr>
        <w:t>Tabla 7.  Becas y estímulos económicos del  municipio</w:t>
      </w:r>
    </w:p>
    <w:p>
      <w:pPr>
        <w:pStyle w:val="BodyText"/>
        <w:spacing w:before="10"/>
        <w:rPr>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b/>
                <w:sz w:val="16"/>
              </w:rPr>
            </w:pPr>
            <w:r>
              <w:rPr>
                <w:b/>
                <w:color w:val="231F20"/>
                <w:w w:val="85"/>
                <w:sz w:val="16"/>
              </w:rPr>
              <w:t>Becas y estímulos</w:t>
            </w:r>
          </w:p>
        </w:tc>
      </w:tr>
      <w:tr>
        <w:trPr>
          <w:trHeight w:val="130" w:hRule="exact"/>
        </w:trPr>
        <w:tc>
          <w:tcPr>
            <w:tcW w:w="7927" w:type="dxa"/>
          </w:tcPr>
          <w:p>
            <w:pPr>
              <w:pStyle w:val="TableParagraph"/>
              <w:spacing w:line="160" w:lineRule="exact"/>
              <w:rPr>
                <w:sz w:val="16"/>
              </w:rPr>
            </w:pPr>
            <w:r>
              <w:rPr>
                <w:color w:val="231F20"/>
                <w:w w:val="80"/>
                <w:sz w:val="16"/>
              </w:rPr>
              <w:t>“Estímulos a la Educación Básica”: 13 millones de pesos en becas para 5 mil alumnos de 2° y 4° grado de primaria (2 mil 600 pesos al año a cada uno)</w:t>
            </w:r>
          </w:p>
        </w:tc>
      </w:tr>
      <w:tr>
        <w:trPr>
          <w:trHeight w:val="130" w:hRule="exact"/>
        </w:trPr>
        <w:tc>
          <w:tcPr>
            <w:tcW w:w="7927" w:type="dxa"/>
          </w:tcPr>
          <w:p>
            <w:pPr>
              <w:pStyle w:val="TableParagraph"/>
              <w:spacing w:line="160" w:lineRule="exact"/>
              <w:ind w:right="141"/>
              <w:rPr>
                <w:sz w:val="16"/>
              </w:rPr>
            </w:pPr>
            <w:r>
              <w:rPr>
                <w:color w:val="231F20"/>
                <w:w w:val="80"/>
                <w:sz w:val="16"/>
              </w:rPr>
              <w:t>Menores Trabajadores Urbano Marginales: 400 pesos y 4 despensas al mes para 283 niños de 63 familias</w:t>
            </w:r>
          </w:p>
        </w:tc>
      </w:tr>
      <w:tr>
        <w:trPr>
          <w:trHeight w:val="130" w:hRule="exact"/>
        </w:trPr>
        <w:tc>
          <w:tcPr>
            <w:tcW w:w="7927" w:type="dxa"/>
          </w:tcPr>
          <w:p>
            <w:pPr>
              <w:pStyle w:val="TableParagraph"/>
              <w:spacing w:line="160" w:lineRule="exact"/>
              <w:ind w:right="141"/>
              <w:rPr>
                <w:sz w:val="16"/>
              </w:rPr>
            </w:pPr>
            <w:r>
              <w:rPr>
                <w:color w:val="231F20"/>
                <w:w w:val="80"/>
                <w:sz w:val="16"/>
              </w:rPr>
              <w:t>NUTRIFAM: 17 mil 580 despensas a familias en alto grado de marginación</w:t>
            </w:r>
          </w:p>
        </w:tc>
      </w:tr>
      <w:tr>
        <w:trPr>
          <w:trHeight w:val="130" w:hRule="exact"/>
        </w:trPr>
        <w:tc>
          <w:tcPr>
            <w:tcW w:w="7927" w:type="dxa"/>
          </w:tcPr>
          <w:p>
            <w:pPr>
              <w:pStyle w:val="TableParagraph"/>
              <w:spacing w:line="160" w:lineRule="exact"/>
              <w:ind w:right="141"/>
              <w:rPr>
                <w:sz w:val="16"/>
              </w:rPr>
            </w:pPr>
            <w:r>
              <w:rPr>
                <w:color w:val="231F20"/>
                <w:w w:val="80"/>
                <w:sz w:val="16"/>
              </w:rPr>
              <w:t>PRAAME: 16 mil 420 desayunos diarios a 102 escuelas</w:t>
            </w:r>
          </w:p>
        </w:tc>
      </w:tr>
      <w:tr>
        <w:trPr>
          <w:trHeight w:val="130" w:hRule="exact"/>
        </w:trPr>
        <w:tc>
          <w:tcPr>
            <w:tcW w:w="7927" w:type="dxa"/>
          </w:tcPr>
          <w:p>
            <w:pPr>
              <w:pStyle w:val="TableParagraph"/>
              <w:spacing w:line="160" w:lineRule="exact"/>
              <w:ind w:right="141"/>
              <w:rPr>
                <w:sz w:val="16"/>
              </w:rPr>
            </w:pPr>
            <w:r>
              <w:rPr>
                <w:color w:val="231F20"/>
                <w:w w:val="80"/>
                <w:sz w:val="16"/>
              </w:rPr>
              <w:t>PRAAME: 2 millones 857 mil 421 raciones de desayuno a niños en peligro de desnutrición</w:t>
            </w:r>
          </w:p>
        </w:tc>
      </w:tr>
      <w:tr>
        <w:trPr>
          <w:trHeight w:val="130" w:hRule="exact"/>
        </w:trPr>
        <w:tc>
          <w:tcPr>
            <w:tcW w:w="7927" w:type="dxa"/>
          </w:tcPr>
          <w:p>
            <w:pPr>
              <w:pStyle w:val="TableParagraph"/>
              <w:spacing w:line="160" w:lineRule="exact"/>
              <w:ind w:right="141"/>
              <w:rPr>
                <w:sz w:val="16"/>
              </w:rPr>
            </w:pPr>
            <w:r>
              <w:rPr>
                <w:color w:val="231F20"/>
                <w:w w:val="80"/>
                <w:sz w:val="16"/>
              </w:rPr>
              <w:t>Venta</w:t>
            </w:r>
            <w:r>
              <w:rPr>
                <w:color w:val="231F20"/>
                <w:spacing w:val="-19"/>
                <w:w w:val="80"/>
                <w:sz w:val="16"/>
              </w:rPr>
              <w:t> </w:t>
            </w:r>
            <w:r>
              <w:rPr>
                <w:color w:val="231F20"/>
                <w:w w:val="80"/>
                <w:sz w:val="16"/>
              </w:rPr>
              <w:t>de</w:t>
            </w:r>
            <w:r>
              <w:rPr>
                <w:color w:val="231F20"/>
                <w:spacing w:val="-19"/>
                <w:w w:val="80"/>
                <w:sz w:val="16"/>
              </w:rPr>
              <w:t> </w:t>
            </w:r>
            <w:r>
              <w:rPr>
                <w:color w:val="231F20"/>
                <w:w w:val="80"/>
                <w:sz w:val="16"/>
              </w:rPr>
              <w:t>despensas</w:t>
            </w:r>
            <w:r>
              <w:rPr>
                <w:color w:val="231F20"/>
                <w:spacing w:val="-19"/>
                <w:w w:val="80"/>
                <w:sz w:val="16"/>
              </w:rPr>
              <w:t> </w:t>
            </w:r>
            <w:r>
              <w:rPr>
                <w:color w:val="231F20"/>
                <w:w w:val="80"/>
                <w:sz w:val="16"/>
              </w:rPr>
              <w:t>a</w:t>
            </w:r>
            <w:r>
              <w:rPr>
                <w:color w:val="231F20"/>
                <w:spacing w:val="-19"/>
                <w:w w:val="80"/>
                <w:sz w:val="16"/>
              </w:rPr>
              <w:t> </w:t>
            </w:r>
            <w:r>
              <w:rPr>
                <w:color w:val="231F20"/>
                <w:w w:val="80"/>
                <w:sz w:val="16"/>
              </w:rPr>
              <w:t>familias</w:t>
            </w:r>
            <w:r>
              <w:rPr>
                <w:color w:val="231F20"/>
                <w:spacing w:val="-19"/>
                <w:w w:val="80"/>
                <w:sz w:val="16"/>
              </w:rPr>
              <w:t> </w:t>
            </w:r>
            <w:r>
              <w:rPr>
                <w:color w:val="231F20"/>
                <w:w w:val="80"/>
                <w:sz w:val="16"/>
              </w:rPr>
              <w:t>de</w:t>
            </w:r>
            <w:r>
              <w:rPr>
                <w:color w:val="231F20"/>
                <w:spacing w:val="-19"/>
                <w:w w:val="80"/>
                <w:sz w:val="16"/>
              </w:rPr>
              <w:t> </w:t>
            </w:r>
            <w:r>
              <w:rPr>
                <w:color w:val="231F20"/>
                <w:w w:val="80"/>
                <w:sz w:val="16"/>
              </w:rPr>
              <w:t>escasos</w:t>
            </w:r>
            <w:r>
              <w:rPr>
                <w:color w:val="231F20"/>
                <w:spacing w:val="-19"/>
                <w:w w:val="80"/>
                <w:sz w:val="16"/>
              </w:rPr>
              <w:t> </w:t>
            </w:r>
            <w:r>
              <w:rPr>
                <w:color w:val="231F20"/>
                <w:w w:val="80"/>
                <w:sz w:val="16"/>
              </w:rPr>
              <w:t>recursos</w:t>
            </w:r>
            <w:r>
              <w:rPr>
                <w:color w:val="231F20"/>
                <w:spacing w:val="-19"/>
                <w:w w:val="80"/>
                <w:sz w:val="16"/>
              </w:rPr>
              <w:t> </w:t>
            </w:r>
            <w:r>
              <w:rPr>
                <w:color w:val="231F20"/>
                <w:w w:val="80"/>
                <w:sz w:val="16"/>
              </w:rPr>
              <w:t>económicos:</w:t>
            </w:r>
            <w:r>
              <w:rPr>
                <w:color w:val="231F20"/>
                <w:spacing w:val="-19"/>
                <w:w w:val="80"/>
                <w:sz w:val="16"/>
              </w:rPr>
              <w:t> </w:t>
            </w:r>
            <w:r>
              <w:rPr>
                <w:color w:val="231F20"/>
                <w:w w:val="80"/>
                <w:sz w:val="16"/>
              </w:rPr>
              <w:t>36</w:t>
            </w:r>
            <w:r>
              <w:rPr>
                <w:color w:val="231F20"/>
                <w:spacing w:val="-19"/>
                <w:w w:val="80"/>
                <w:sz w:val="16"/>
              </w:rPr>
              <w:t> </w:t>
            </w:r>
            <w:r>
              <w:rPr>
                <w:color w:val="231F20"/>
                <w:w w:val="80"/>
                <w:sz w:val="16"/>
              </w:rPr>
              <w:t>mil</w:t>
            </w:r>
            <w:r>
              <w:rPr>
                <w:color w:val="231F20"/>
                <w:spacing w:val="-19"/>
                <w:w w:val="80"/>
                <w:sz w:val="16"/>
              </w:rPr>
              <w:t> </w:t>
            </w:r>
            <w:r>
              <w:rPr>
                <w:color w:val="231F20"/>
                <w:w w:val="80"/>
                <w:sz w:val="16"/>
              </w:rPr>
              <w:t>006</w:t>
            </w:r>
            <w:r>
              <w:rPr>
                <w:color w:val="231F20"/>
                <w:spacing w:val="-19"/>
                <w:w w:val="80"/>
                <w:sz w:val="16"/>
              </w:rPr>
              <w:t> </w:t>
            </w:r>
            <w:r>
              <w:rPr>
                <w:color w:val="231F20"/>
                <w:w w:val="80"/>
                <w:sz w:val="16"/>
              </w:rPr>
              <w:t>despensas</w:t>
            </w:r>
            <w:r>
              <w:rPr>
                <w:color w:val="231F20"/>
                <w:spacing w:val="-19"/>
                <w:w w:val="80"/>
                <w:sz w:val="16"/>
              </w:rPr>
              <w:t> </w:t>
            </w:r>
            <w:r>
              <w:rPr>
                <w:color w:val="231F20"/>
                <w:w w:val="80"/>
                <w:sz w:val="16"/>
              </w:rPr>
              <w:t>con</w:t>
            </w:r>
            <w:r>
              <w:rPr>
                <w:color w:val="231F20"/>
                <w:spacing w:val="-19"/>
                <w:w w:val="80"/>
                <w:sz w:val="16"/>
              </w:rPr>
              <w:t> </w:t>
            </w:r>
            <w:r>
              <w:rPr>
                <w:color w:val="231F20"/>
                <w:w w:val="80"/>
                <w:sz w:val="16"/>
              </w:rPr>
              <w:t>un</w:t>
            </w:r>
            <w:r>
              <w:rPr>
                <w:color w:val="231F20"/>
                <w:spacing w:val="-19"/>
                <w:w w:val="80"/>
                <w:sz w:val="16"/>
              </w:rPr>
              <w:t> </w:t>
            </w:r>
            <w:r>
              <w:rPr>
                <w:color w:val="231F20"/>
                <w:w w:val="80"/>
                <w:sz w:val="16"/>
              </w:rPr>
              <w:t>costo</w:t>
            </w:r>
            <w:r>
              <w:rPr>
                <w:color w:val="231F20"/>
                <w:spacing w:val="-19"/>
                <w:w w:val="80"/>
                <w:sz w:val="16"/>
              </w:rPr>
              <w:t> </w:t>
            </w:r>
            <w:r>
              <w:rPr>
                <w:color w:val="231F20"/>
                <w:w w:val="80"/>
                <w:sz w:val="16"/>
              </w:rPr>
              <w:t>de</w:t>
            </w:r>
            <w:r>
              <w:rPr>
                <w:color w:val="231F20"/>
                <w:spacing w:val="-19"/>
                <w:w w:val="80"/>
                <w:sz w:val="16"/>
              </w:rPr>
              <w:t> </w:t>
            </w:r>
            <w:r>
              <w:rPr>
                <w:color w:val="231F20"/>
                <w:w w:val="80"/>
                <w:sz w:val="16"/>
              </w:rPr>
              <w:t>38.00</w:t>
            </w:r>
            <w:r>
              <w:rPr>
                <w:color w:val="231F20"/>
                <w:spacing w:val="-19"/>
                <w:w w:val="80"/>
                <w:sz w:val="16"/>
              </w:rPr>
              <w:t> </w:t>
            </w:r>
            <w:r>
              <w:rPr>
                <w:color w:val="231F20"/>
                <w:w w:val="80"/>
                <w:sz w:val="16"/>
              </w:rPr>
              <w:t>pesos</w:t>
            </w:r>
            <w:r>
              <w:rPr>
                <w:color w:val="231F20"/>
                <w:spacing w:val="-19"/>
                <w:w w:val="80"/>
                <w:sz w:val="16"/>
              </w:rPr>
              <w:t> </w:t>
            </w:r>
            <w:r>
              <w:rPr>
                <w:color w:val="231F20"/>
                <w:w w:val="80"/>
                <w:sz w:val="16"/>
              </w:rPr>
              <w:t>y</w:t>
            </w:r>
            <w:r>
              <w:rPr>
                <w:color w:val="231F20"/>
                <w:spacing w:val="-19"/>
                <w:w w:val="80"/>
                <w:sz w:val="16"/>
              </w:rPr>
              <w:t> </w:t>
            </w:r>
            <w:r>
              <w:rPr>
                <w:color w:val="231F20"/>
                <w:w w:val="80"/>
                <w:sz w:val="16"/>
              </w:rPr>
              <w:t>33.00</w:t>
            </w:r>
            <w:r>
              <w:rPr>
                <w:color w:val="231F20"/>
                <w:spacing w:val="-19"/>
                <w:w w:val="80"/>
                <w:sz w:val="16"/>
              </w:rPr>
              <w:t> </w:t>
            </w:r>
            <w:r>
              <w:rPr>
                <w:color w:val="231F20"/>
                <w:w w:val="80"/>
                <w:sz w:val="16"/>
              </w:rPr>
              <w:t>pesos</w:t>
            </w:r>
            <w:r>
              <w:rPr>
                <w:color w:val="231F20"/>
                <w:spacing w:val="-19"/>
                <w:w w:val="80"/>
                <w:sz w:val="16"/>
              </w:rPr>
              <w:t> </w:t>
            </w:r>
            <w:r>
              <w:rPr>
                <w:color w:val="231F20"/>
                <w:w w:val="80"/>
                <w:sz w:val="16"/>
              </w:rPr>
              <w:t>para</w:t>
            </w:r>
            <w:r>
              <w:rPr>
                <w:color w:val="231F20"/>
                <w:spacing w:val="-19"/>
                <w:w w:val="80"/>
                <w:sz w:val="16"/>
              </w:rPr>
              <w:t> </w:t>
            </w:r>
            <w:r>
              <w:rPr>
                <w:color w:val="231F20"/>
                <w:w w:val="80"/>
                <w:sz w:val="16"/>
              </w:rPr>
              <w:t>adultos</w:t>
            </w:r>
            <w:r>
              <w:rPr>
                <w:color w:val="231F20"/>
                <w:spacing w:val="-19"/>
                <w:w w:val="80"/>
                <w:sz w:val="16"/>
              </w:rPr>
              <w:t> </w:t>
            </w:r>
            <w:r>
              <w:rPr>
                <w:color w:val="231F20"/>
                <w:w w:val="80"/>
                <w:sz w:val="16"/>
              </w:rPr>
              <w:t>mayores</w:t>
            </w:r>
          </w:p>
        </w:tc>
      </w:tr>
      <w:tr>
        <w:trPr>
          <w:trHeight w:val="130" w:hRule="exact"/>
        </w:trPr>
        <w:tc>
          <w:tcPr>
            <w:tcW w:w="7927" w:type="dxa"/>
          </w:tcPr>
          <w:p>
            <w:pPr>
              <w:pStyle w:val="TableParagraph"/>
              <w:spacing w:line="160" w:lineRule="exact"/>
              <w:ind w:right="141"/>
              <w:rPr>
                <w:sz w:val="16"/>
              </w:rPr>
            </w:pPr>
            <w:r>
              <w:rPr>
                <w:color w:val="231F20"/>
                <w:w w:val="80"/>
                <w:sz w:val="16"/>
              </w:rPr>
              <w:t>Mujeres Jefas de Familia: mil 250 pesos anuales (620 beneficiadas)</w:t>
            </w:r>
          </w:p>
        </w:tc>
      </w:tr>
      <w:tr>
        <w:trPr>
          <w:trHeight w:val="130" w:hRule="exact"/>
        </w:trPr>
        <w:tc>
          <w:tcPr>
            <w:tcW w:w="7927" w:type="dxa"/>
          </w:tcPr>
          <w:p>
            <w:pPr>
              <w:pStyle w:val="TableParagraph"/>
              <w:spacing w:line="160" w:lineRule="exact"/>
              <w:ind w:right="141"/>
              <w:rPr>
                <w:sz w:val="16"/>
              </w:rPr>
            </w:pPr>
            <w:r>
              <w:rPr>
                <w:color w:val="231F20"/>
                <w:w w:val="75"/>
                <w:sz w:val="16"/>
              </w:rPr>
              <w:t>500 becas de $750.00 mensuales para adultos  mayores</w:t>
            </w:r>
          </w:p>
        </w:tc>
      </w:tr>
    </w:tbl>
    <w:p>
      <w:pPr>
        <w:spacing w:before="87"/>
        <w:ind w:left="0" w:right="108" w:firstLine="0"/>
        <w:jc w:val="right"/>
        <w:rPr>
          <w:rFonts w:ascii="Calibri" w:hAnsi="Calibri"/>
          <w:sz w:val="16"/>
        </w:rPr>
      </w:pPr>
      <w:r>
        <w:rPr>
          <w:rFonts w:ascii="Calibri" w:hAnsi="Calibri"/>
          <w:color w:val="231F20"/>
          <w:sz w:val="16"/>
        </w:rPr>
        <w:t>Fuente: 1º Informe de Gobierno, 2007.</w:t>
      </w:r>
    </w:p>
    <w:p>
      <w:pPr>
        <w:pStyle w:val="BodyText"/>
        <w:rPr>
          <w:rFonts w:ascii="Calibri"/>
          <w:sz w:val="16"/>
        </w:rPr>
      </w:pPr>
    </w:p>
    <w:p>
      <w:pPr>
        <w:pStyle w:val="BodyText"/>
        <w:spacing w:before="10"/>
        <w:rPr>
          <w:rFonts w:ascii="Calibri"/>
          <w:sz w:val="12"/>
        </w:rPr>
      </w:pPr>
    </w:p>
    <w:p>
      <w:pPr>
        <w:pStyle w:val="BodyText"/>
        <w:spacing w:line="285" w:lineRule="auto"/>
        <w:ind w:left="110" w:right="108"/>
        <w:jc w:val="both"/>
      </w:pPr>
      <w:r>
        <w:rPr>
          <w:color w:val="231F20"/>
          <w:w w:val="105"/>
        </w:rPr>
        <w:t>El</w:t>
      </w:r>
      <w:r>
        <w:rPr>
          <w:color w:val="231F20"/>
          <w:spacing w:val="-23"/>
          <w:w w:val="105"/>
        </w:rPr>
        <w:t> </w:t>
      </w:r>
      <w:r>
        <w:rPr>
          <w:color w:val="231F20"/>
          <w:spacing w:val="-4"/>
          <w:w w:val="105"/>
        </w:rPr>
        <w:t>municipio</w:t>
      </w:r>
      <w:r>
        <w:rPr>
          <w:color w:val="231F20"/>
          <w:spacing w:val="-23"/>
          <w:w w:val="105"/>
        </w:rPr>
        <w:t> </w:t>
      </w:r>
      <w:r>
        <w:rPr>
          <w:color w:val="231F20"/>
          <w:spacing w:val="-5"/>
          <w:w w:val="105"/>
        </w:rPr>
        <w:t>ponderó</w:t>
      </w:r>
      <w:r>
        <w:rPr>
          <w:color w:val="231F20"/>
          <w:spacing w:val="-23"/>
          <w:w w:val="105"/>
        </w:rPr>
        <w:t> </w:t>
      </w:r>
      <w:r>
        <w:rPr>
          <w:color w:val="231F20"/>
          <w:w w:val="105"/>
        </w:rPr>
        <w:t>las</w:t>
      </w:r>
      <w:r>
        <w:rPr>
          <w:color w:val="231F20"/>
          <w:spacing w:val="-23"/>
          <w:w w:val="105"/>
        </w:rPr>
        <w:t> </w:t>
      </w:r>
      <w:r>
        <w:rPr>
          <w:color w:val="231F20"/>
          <w:spacing w:val="-5"/>
          <w:w w:val="105"/>
        </w:rPr>
        <w:t>acciones</w:t>
      </w:r>
      <w:r>
        <w:rPr>
          <w:color w:val="231F20"/>
          <w:spacing w:val="-23"/>
          <w:w w:val="105"/>
        </w:rPr>
        <w:t> </w:t>
      </w:r>
      <w:r>
        <w:rPr>
          <w:color w:val="231F20"/>
          <w:w w:val="105"/>
        </w:rPr>
        <w:t>realizadas</w:t>
      </w:r>
      <w:r>
        <w:rPr>
          <w:color w:val="231F20"/>
          <w:spacing w:val="-23"/>
          <w:w w:val="105"/>
        </w:rPr>
        <w:t> </w:t>
      </w:r>
      <w:r>
        <w:rPr>
          <w:color w:val="231F20"/>
          <w:spacing w:val="-3"/>
          <w:w w:val="105"/>
        </w:rPr>
        <w:t>en</w:t>
      </w:r>
      <w:r>
        <w:rPr>
          <w:color w:val="231F20"/>
          <w:spacing w:val="-23"/>
          <w:w w:val="105"/>
        </w:rPr>
        <w:t> </w:t>
      </w:r>
      <w:r>
        <w:rPr>
          <w:color w:val="231F20"/>
          <w:spacing w:val="-4"/>
          <w:w w:val="105"/>
        </w:rPr>
        <w:t>materia</w:t>
      </w:r>
      <w:r>
        <w:rPr>
          <w:color w:val="231F20"/>
          <w:spacing w:val="-23"/>
          <w:w w:val="105"/>
        </w:rPr>
        <w:t> </w:t>
      </w:r>
      <w:r>
        <w:rPr>
          <w:color w:val="231F20"/>
          <w:spacing w:val="-3"/>
          <w:w w:val="105"/>
        </w:rPr>
        <w:t>de</w:t>
      </w:r>
      <w:r>
        <w:rPr>
          <w:color w:val="231F20"/>
          <w:spacing w:val="-23"/>
          <w:w w:val="105"/>
        </w:rPr>
        <w:t> </w:t>
      </w:r>
      <w:r>
        <w:rPr>
          <w:color w:val="231F20"/>
          <w:spacing w:val="-5"/>
          <w:w w:val="105"/>
        </w:rPr>
        <w:t>mujeres,</w:t>
      </w:r>
      <w:r>
        <w:rPr>
          <w:color w:val="231F20"/>
          <w:spacing w:val="-23"/>
          <w:w w:val="105"/>
        </w:rPr>
        <w:t> </w:t>
      </w:r>
      <w:r>
        <w:rPr>
          <w:color w:val="231F20"/>
          <w:spacing w:val="-4"/>
          <w:w w:val="105"/>
        </w:rPr>
        <w:t>adultos</w:t>
      </w:r>
      <w:r>
        <w:rPr>
          <w:color w:val="231F20"/>
          <w:spacing w:val="-23"/>
          <w:w w:val="105"/>
        </w:rPr>
        <w:t> </w:t>
      </w:r>
      <w:r>
        <w:rPr>
          <w:color w:val="231F20"/>
          <w:spacing w:val="-5"/>
          <w:w w:val="105"/>
        </w:rPr>
        <w:t>mayores</w:t>
      </w:r>
      <w:r>
        <w:rPr>
          <w:color w:val="231F20"/>
          <w:spacing w:val="-23"/>
          <w:w w:val="105"/>
        </w:rPr>
        <w:t> </w:t>
      </w:r>
      <w:r>
        <w:rPr>
          <w:color w:val="231F20"/>
          <w:w w:val="105"/>
        </w:rPr>
        <w:t>y</w:t>
      </w:r>
      <w:r>
        <w:rPr>
          <w:color w:val="231F20"/>
          <w:spacing w:val="-23"/>
          <w:w w:val="105"/>
        </w:rPr>
        <w:t> </w:t>
      </w:r>
      <w:r>
        <w:rPr>
          <w:color w:val="231F20"/>
          <w:w w:val="105"/>
        </w:rPr>
        <w:t>dis- </w:t>
      </w:r>
      <w:r>
        <w:rPr>
          <w:color w:val="231F20"/>
          <w:spacing w:val="-4"/>
          <w:w w:val="105"/>
        </w:rPr>
        <w:t>capacitados.</w:t>
      </w:r>
      <w:r>
        <w:rPr>
          <w:color w:val="231F20"/>
          <w:spacing w:val="-14"/>
          <w:w w:val="105"/>
        </w:rPr>
        <w:t> </w:t>
      </w:r>
      <w:r>
        <w:rPr>
          <w:color w:val="231F20"/>
          <w:w w:val="105"/>
        </w:rPr>
        <w:t>El</w:t>
      </w:r>
      <w:r>
        <w:rPr>
          <w:color w:val="231F20"/>
          <w:spacing w:val="-14"/>
          <w:w w:val="105"/>
        </w:rPr>
        <w:t> </w:t>
      </w:r>
      <w:r>
        <w:rPr>
          <w:color w:val="231F20"/>
          <w:spacing w:val="-3"/>
          <w:w w:val="105"/>
        </w:rPr>
        <w:t>Programa</w:t>
      </w:r>
      <w:r>
        <w:rPr>
          <w:color w:val="231F20"/>
          <w:spacing w:val="-14"/>
          <w:w w:val="105"/>
        </w:rPr>
        <w:t> </w:t>
      </w:r>
      <w:r>
        <w:rPr>
          <w:color w:val="231F20"/>
          <w:spacing w:val="-3"/>
          <w:w w:val="105"/>
        </w:rPr>
        <w:t>de</w:t>
      </w:r>
      <w:r>
        <w:rPr>
          <w:color w:val="231F20"/>
          <w:spacing w:val="-14"/>
          <w:w w:val="105"/>
        </w:rPr>
        <w:t> </w:t>
      </w:r>
      <w:r>
        <w:rPr>
          <w:color w:val="231F20"/>
          <w:spacing w:val="-5"/>
          <w:w w:val="105"/>
        </w:rPr>
        <w:t>Atención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spacing w:val="-5"/>
          <w:w w:val="105"/>
        </w:rPr>
        <w:t>Mujer</w:t>
      </w:r>
      <w:r>
        <w:rPr>
          <w:color w:val="231F20"/>
          <w:spacing w:val="-14"/>
          <w:w w:val="105"/>
        </w:rPr>
        <w:t> </w:t>
      </w:r>
      <w:r>
        <w:rPr>
          <w:color w:val="231F20"/>
          <w:spacing w:val="-4"/>
          <w:w w:val="105"/>
        </w:rPr>
        <w:t>ofreció</w:t>
      </w:r>
      <w:r>
        <w:rPr>
          <w:color w:val="231F20"/>
          <w:spacing w:val="-14"/>
          <w:w w:val="105"/>
        </w:rPr>
        <w:t> </w:t>
      </w:r>
      <w:r>
        <w:rPr>
          <w:color w:val="231F20"/>
          <w:spacing w:val="-4"/>
          <w:w w:val="105"/>
        </w:rPr>
        <w:t>pláticas</w:t>
      </w:r>
      <w:r>
        <w:rPr>
          <w:color w:val="231F20"/>
          <w:spacing w:val="-14"/>
          <w:w w:val="105"/>
        </w:rPr>
        <w:t> </w:t>
      </w:r>
      <w:r>
        <w:rPr>
          <w:color w:val="231F20"/>
          <w:w w:val="105"/>
        </w:rPr>
        <w:t>y</w:t>
      </w:r>
      <w:r>
        <w:rPr>
          <w:color w:val="231F20"/>
          <w:spacing w:val="-14"/>
          <w:w w:val="105"/>
        </w:rPr>
        <w:t> </w:t>
      </w:r>
      <w:r>
        <w:rPr>
          <w:color w:val="231F20"/>
          <w:spacing w:val="-3"/>
          <w:w w:val="105"/>
        </w:rPr>
        <w:t>talleres</w:t>
      </w:r>
      <w:r>
        <w:rPr>
          <w:color w:val="231F20"/>
          <w:spacing w:val="-14"/>
          <w:w w:val="105"/>
        </w:rPr>
        <w:t> </w:t>
      </w:r>
      <w:r>
        <w:rPr>
          <w:color w:val="231F20"/>
          <w:w w:val="105"/>
        </w:rPr>
        <w:t>para</w:t>
      </w:r>
      <w:r>
        <w:rPr>
          <w:color w:val="231F20"/>
          <w:spacing w:val="-14"/>
          <w:w w:val="105"/>
        </w:rPr>
        <w:t> </w:t>
      </w:r>
      <w:r>
        <w:rPr>
          <w:color w:val="231F20"/>
          <w:w w:val="105"/>
        </w:rPr>
        <w:t>la</w:t>
      </w:r>
      <w:r>
        <w:rPr>
          <w:color w:val="231F20"/>
          <w:spacing w:val="-14"/>
          <w:w w:val="105"/>
        </w:rPr>
        <w:t> </w:t>
      </w:r>
      <w:r>
        <w:rPr>
          <w:color w:val="231F20"/>
          <w:spacing w:val="-5"/>
          <w:w w:val="105"/>
        </w:rPr>
        <w:t>preven- </w:t>
      </w:r>
      <w:r>
        <w:rPr>
          <w:color w:val="231F20"/>
          <w:spacing w:val="-4"/>
          <w:w w:val="105"/>
        </w:rPr>
        <w:t>ción</w:t>
      </w:r>
      <w:r>
        <w:rPr>
          <w:color w:val="231F20"/>
          <w:spacing w:val="-23"/>
          <w:w w:val="105"/>
        </w:rPr>
        <w:t> </w:t>
      </w:r>
      <w:r>
        <w:rPr>
          <w:color w:val="231F20"/>
          <w:spacing w:val="-3"/>
          <w:w w:val="105"/>
        </w:rPr>
        <w:t>de</w:t>
      </w:r>
      <w:r>
        <w:rPr>
          <w:color w:val="231F20"/>
          <w:spacing w:val="-23"/>
          <w:w w:val="105"/>
        </w:rPr>
        <w:t> </w:t>
      </w:r>
      <w:r>
        <w:rPr>
          <w:color w:val="231F20"/>
          <w:w w:val="105"/>
        </w:rPr>
        <w:t>la</w:t>
      </w:r>
      <w:r>
        <w:rPr>
          <w:color w:val="231F20"/>
          <w:spacing w:val="-23"/>
          <w:w w:val="105"/>
        </w:rPr>
        <w:t> </w:t>
      </w:r>
      <w:r>
        <w:rPr>
          <w:color w:val="231F20"/>
          <w:spacing w:val="-4"/>
          <w:w w:val="105"/>
        </w:rPr>
        <w:t>violencia</w:t>
      </w:r>
      <w:r>
        <w:rPr>
          <w:color w:val="231F20"/>
          <w:spacing w:val="-23"/>
          <w:w w:val="105"/>
        </w:rPr>
        <w:t> </w:t>
      </w:r>
      <w:r>
        <w:rPr>
          <w:color w:val="231F20"/>
          <w:w w:val="105"/>
        </w:rPr>
        <w:t>familiar,</w:t>
      </w:r>
      <w:r>
        <w:rPr>
          <w:color w:val="231F20"/>
          <w:spacing w:val="-23"/>
          <w:w w:val="105"/>
        </w:rPr>
        <w:t> </w:t>
      </w:r>
      <w:r>
        <w:rPr>
          <w:color w:val="231F20"/>
          <w:spacing w:val="-4"/>
          <w:w w:val="105"/>
        </w:rPr>
        <w:t>además</w:t>
      </w:r>
      <w:r>
        <w:rPr>
          <w:color w:val="231F20"/>
          <w:spacing w:val="-23"/>
          <w:w w:val="105"/>
        </w:rPr>
        <w:t> </w:t>
      </w:r>
      <w:r>
        <w:rPr>
          <w:color w:val="231F20"/>
          <w:spacing w:val="-3"/>
          <w:w w:val="105"/>
        </w:rPr>
        <w:t>de</w:t>
      </w:r>
      <w:r>
        <w:rPr>
          <w:color w:val="231F20"/>
          <w:spacing w:val="-23"/>
          <w:w w:val="105"/>
        </w:rPr>
        <w:t> </w:t>
      </w:r>
      <w:r>
        <w:rPr>
          <w:color w:val="231F20"/>
          <w:w w:val="105"/>
        </w:rPr>
        <w:t>las</w:t>
      </w:r>
      <w:r>
        <w:rPr>
          <w:color w:val="231F20"/>
          <w:spacing w:val="-23"/>
          <w:w w:val="105"/>
        </w:rPr>
        <w:t> </w:t>
      </w:r>
      <w:r>
        <w:rPr>
          <w:color w:val="231F20"/>
          <w:w w:val="105"/>
        </w:rPr>
        <w:t>becas</w:t>
      </w:r>
      <w:r>
        <w:rPr>
          <w:color w:val="231F20"/>
          <w:spacing w:val="-23"/>
          <w:w w:val="105"/>
        </w:rPr>
        <w:t> </w:t>
      </w:r>
      <w:r>
        <w:rPr>
          <w:color w:val="231F20"/>
          <w:w w:val="105"/>
        </w:rPr>
        <w:t>para</w:t>
      </w:r>
      <w:r>
        <w:rPr>
          <w:color w:val="231F20"/>
          <w:spacing w:val="-23"/>
          <w:w w:val="105"/>
        </w:rPr>
        <w:t> </w:t>
      </w:r>
      <w:r>
        <w:rPr>
          <w:color w:val="231F20"/>
          <w:spacing w:val="-4"/>
          <w:w w:val="105"/>
        </w:rPr>
        <w:t>madres</w:t>
      </w:r>
      <w:r>
        <w:rPr>
          <w:color w:val="231F20"/>
          <w:spacing w:val="-23"/>
          <w:w w:val="105"/>
        </w:rPr>
        <w:t> </w:t>
      </w:r>
      <w:r>
        <w:rPr>
          <w:color w:val="231F20"/>
          <w:spacing w:val="-4"/>
          <w:w w:val="105"/>
        </w:rPr>
        <w:t>solteras</w:t>
      </w:r>
      <w:r>
        <w:rPr>
          <w:color w:val="231F20"/>
          <w:spacing w:val="-23"/>
          <w:w w:val="105"/>
        </w:rPr>
        <w:t> </w:t>
      </w:r>
      <w:r>
        <w:rPr>
          <w:color w:val="231F20"/>
          <w:w w:val="105"/>
        </w:rPr>
        <w:t>ya</w:t>
      </w:r>
      <w:r>
        <w:rPr>
          <w:color w:val="231F20"/>
          <w:spacing w:val="-23"/>
          <w:w w:val="105"/>
        </w:rPr>
        <w:t> </w:t>
      </w:r>
      <w:r>
        <w:rPr>
          <w:color w:val="231F20"/>
          <w:spacing w:val="-5"/>
          <w:w w:val="105"/>
        </w:rPr>
        <w:t>mencionadas.</w:t>
      </w:r>
    </w:p>
    <w:p>
      <w:pPr>
        <w:pStyle w:val="BodyText"/>
        <w:spacing w:before="1"/>
        <w:rPr>
          <w:sz w:val="26"/>
        </w:rPr>
      </w:pPr>
    </w:p>
    <w:p>
      <w:pPr>
        <w:pStyle w:val="BodyText"/>
        <w:spacing w:line="285" w:lineRule="auto"/>
        <w:ind w:left="110" w:right="108"/>
        <w:jc w:val="both"/>
      </w:pP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fortalecimiento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familia,</w:t>
      </w:r>
      <w:r>
        <w:rPr>
          <w:color w:val="231F20"/>
          <w:spacing w:val="-12"/>
          <w:w w:val="105"/>
        </w:rPr>
        <w:t> </w:t>
      </w:r>
      <w:r>
        <w:rPr>
          <w:color w:val="231F20"/>
          <w:w w:val="105"/>
        </w:rPr>
        <w:t>como</w:t>
      </w:r>
      <w:r>
        <w:rPr>
          <w:color w:val="231F20"/>
          <w:spacing w:val="-12"/>
          <w:w w:val="105"/>
        </w:rPr>
        <w:t> </w:t>
      </w:r>
      <w:r>
        <w:rPr>
          <w:color w:val="231F20"/>
          <w:w w:val="105"/>
        </w:rPr>
        <w:t>base</w:t>
      </w:r>
      <w:r>
        <w:rPr>
          <w:color w:val="231F20"/>
          <w:spacing w:val="-12"/>
          <w:w w:val="105"/>
        </w:rPr>
        <w:t> </w:t>
      </w:r>
      <w:r>
        <w:rPr>
          <w:color w:val="231F20"/>
          <w:w w:val="105"/>
        </w:rPr>
        <w:t>fundamental</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de</w:t>
      </w:r>
      <w:r>
        <w:rPr>
          <w:color w:val="231F20"/>
          <w:spacing w:val="-12"/>
          <w:w w:val="105"/>
        </w:rPr>
        <w:t> </w:t>
      </w:r>
      <w:r>
        <w:rPr>
          <w:color w:val="231F20"/>
          <w:w w:val="105"/>
        </w:rPr>
        <w:t>acuerdo con</w:t>
      </w:r>
      <w:r>
        <w:rPr>
          <w:color w:val="231F20"/>
          <w:spacing w:val="-18"/>
          <w:w w:val="105"/>
        </w:rPr>
        <w:t> </w:t>
      </w:r>
      <w:r>
        <w:rPr>
          <w:color w:val="231F20"/>
          <w:w w:val="105"/>
        </w:rPr>
        <w:t>el</w:t>
      </w:r>
      <w:r>
        <w:rPr>
          <w:color w:val="231F20"/>
          <w:spacing w:val="-18"/>
          <w:w w:val="105"/>
        </w:rPr>
        <w:t> </w:t>
      </w:r>
      <w:r>
        <w:rPr>
          <w:color w:val="231F20"/>
          <w:w w:val="105"/>
        </w:rPr>
        <w:t>punto</w:t>
      </w:r>
      <w:r>
        <w:rPr>
          <w:color w:val="231F20"/>
          <w:spacing w:val="-18"/>
          <w:w w:val="105"/>
        </w:rPr>
        <w:t> </w:t>
      </w:r>
      <w:r>
        <w:rPr>
          <w:color w:val="231F20"/>
          <w:w w:val="105"/>
        </w:rPr>
        <w:t>de</w:t>
      </w:r>
      <w:r>
        <w:rPr>
          <w:color w:val="231F20"/>
          <w:spacing w:val="-18"/>
          <w:w w:val="105"/>
        </w:rPr>
        <w:t> </w:t>
      </w:r>
      <w:r>
        <w:rPr>
          <w:color w:val="231F20"/>
          <w:spacing w:val="2"/>
          <w:w w:val="105"/>
        </w:rPr>
        <w:t>vista</w:t>
      </w:r>
      <w:r>
        <w:rPr>
          <w:color w:val="231F20"/>
          <w:spacing w:val="-18"/>
          <w:w w:val="105"/>
        </w:rPr>
        <w:t> </w:t>
      </w:r>
      <w:r>
        <w:rPr>
          <w:color w:val="231F20"/>
          <w:w w:val="105"/>
        </w:rPr>
        <w:t>de</w:t>
      </w:r>
      <w:r>
        <w:rPr>
          <w:color w:val="231F20"/>
          <w:spacing w:val="-18"/>
          <w:w w:val="105"/>
        </w:rPr>
        <w:t> </w:t>
      </w:r>
      <w:r>
        <w:rPr>
          <w:color w:val="231F20"/>
          <w:w w:val="105"/>
        </w:rPr>
        <w:t>Acción</w:t>
      </w:r>
      <w:r>
        <w:rPr>
          <w:color w:val="231F20"/>
          <w:spacing w:val="-18"/>
          <w:w w:val="105"/>
        </w:rPr>
        <w:t> </w:t>
      </w:r>
      <w:r>
        <w:rPr>
          <w:color w:val="231F20"/>
          <w:w w:val="105"/>
        </w:rPr>
        <w:t>Nacional,</w:t>
      </w:r>
      <w:r>
        <w:rPr>
          <w:color w:val="231F20"/>
          <w:spacing w:val="-18"/>
          <w:w w:val="105"/>
        </w:rPr>
        <w:t> </w:t>
      </w:r>
      <w:r>
        <w:rPr>
          <w:color w:val="231F20"/>
          <w:w w:val="105"/>
        </w:rPr>
        <w:t>el</w:t>
      </w:r>
      <w:r>
        <w:rPr>
          <w:color w:val="231F20"/>
          <w:spacing w:val="-18"/>
          <w:w w:val="105"/>
        </w:rPr>
        <w:t> </w:t>
      </w:r>
      <w:r>
        <w:rPr>
          <w:color w:val="231F20"/>
          <w:w w:val="105"/>
        </w:rPr>
        <w:t>municipio</w:t>
      </w:r>
      <w:r>
        <w:rPr>
          <w:color w:val="231F20"/>
          <w:spacing w:val="-18"/>
          <w:w w:val="105"/>
        </w:rPr>
        <w:t> </w:t>
      </w:r>
      <w:r>
        <w:rPr>
          <w:color w:val="231F20"/>
          <w:w w:val="105"/>
        </w:rPr>
        <w:t>se</w:t>
      </w:r>
      <w:r>
        <w:rPr>
          <w:color w:val="231F20"/>
          <w:spacing w:val="-18"/>
          <w:w w:val="105"/>
        </w:rPr>
        <w:t> </w:t>
      </w:r>
      <w:r>
        <w:rPr>
          <w:color w:val="231F20"/>
          <w:w w:val="105"/>
        </w:rPr>
        <w:t>dedicó</w:t>
      </w:r>
      <w:r>
        <w:rPr>
          <w:color w:val="231F20"/>
          <w:spacing w:val="-18"/>
          <w:w w:val="105"/>
        </w:rPr>
        <w:t> </w:t>
      </w:r>
      <w:r>
        <w:rPr>
          <w:color w:val="231F20"/>
          <w:w w:val="105"/>
        </w:rPr>
        <w:t>a</w:t>
      </w:r>
      <w:r>
        <w:rPr>
          <w:color w:val="231F20"/>
          <w:spacing w:val="-18"/>
          <w:w w:val="105"/>
        </w:rPr>
        <w:t> </w:t>
      </w:r>
      <w:r>
        <w:rPr>
          <w:color w:val="231F20"/>
          <w:w w:val="105"/>
        </w:rPr>
        <w:t>dar</w:t>
      </w:r>
      <w:r>
        <w:rPr>
          <w:color w:val="231F20"/>
          <w:spacing w:val="-18"/>
          <w:w w:val="105"/>
        </w:rPr>
        <w:t> </w:t>
      </w:r>
      <w:r>
        <w:rPr>
          <w:color w:val="231F20"/>
          <w:w w:val="105"/>
        </w:rPr>
        <w:t>atención</w:t>
      </w:r>
      <w:r>
        <w:rPr>
          <w:color w:val="231F20"/>
          <w:spacing w:val="-18"/>
          <w:w w:val="105"/>
        </w:rPr>
        <w:t> </w:t>
      </w:r>
      <w:r>
        <w:rPr>
          <w:color w:val="231F20"/>
          <w:w w:val="105"/>
        </w:rPr>
        <w:t>psicoló- gica</w:t>
      </w:r>
      <w:r>
        <w:rPr>
          <w:color w:val="231F20"/>
          <w:spacing w:val="-13"/>
          <w:w w:val="105"/>
        </w:rPr>
        <w:t> </w:t>
      </w:r>
      <w:r>
        <w:rPr>
          <w:color w:val="231F20"/>
          <w:w w:val="105"/>
        </w:rPr>
        <w:t>mediante</w:t>
      </w:r>
      <w:r>
        <w:rPr>
          <w:color w:val="231F20"/>
          <w:spacing w:val="-13"/>
          <w:w w:val="105"/>
        </w:rPr>
        <w:t> </w:t>
      </w:r>
      <w:r>
        <w:rPr>
          <w:color w:val="231F20"/>
          <w:w w:val="105"/>
        </w:rPr>
        <w:t>la</w:t>
      </w:r>
      <w:r>
        <w:rPr>
          <w:color w:val="231F20"/>
          <w:spacing w:val="-13"/>
          <w:w w:val="105"/>
        </w:rPr>
        <w:t> </w:t>
      </w:r>
      <w:r>
        <w:rPr>
          <w:color w:val="231F20"/>
          <w:w w:val="105"/>
        </w:rPr>
        <w:t>conformación</w:t>
      </w:r>
      <w:r>
        <w:rPr>
          <w:color w:val="231F20"/>
          <w:spacing w:val="-13"/>
          <w:w w:val="105"/>
        </w:rPr>
        <w:t> </w:t>
      </w:r>
      <w:r>
        <w:rPr>
          <w:color w:val="231F20"/>
          <w:w w:val="105"/>
        </w:rPr>
        <w:t>de</w:t>
      </w:r>
      <w:r>
        <w:rPr>
          <w:color w:val="231F20"/>
          <w:spacing w:val="-13"/>
          <w:w w:val="105"/>
        </w:rPr>
        <w:t> </w:t>
      </w:r>
      <w:r>
        <w:rPr>
          <w:color w:val="231F20"/>
          <w:spacing w:val="-3"/>
          <w:w w:val="105"/>
        </w:rPr>
        <w:t>19</w:t>
      </w:r>
      <w:r>
        <w:rPr>
          <w:color w:val="231F20"/>
          <w:spacing w:val="-13"/>
          <w:w w:val="105"/>
        </w:rPr>
        <w:t> </w:t>
      </w:r>
      <w:r>
        <w:rPr>
          <w:color w:val="231F20"/>
          <w:w w:val="105"/>
        </w:rPr>
        <w:t>grupos</w:t>
      </w:r>
      <w:r>
        <w:rPr>
          <w:color w:val="231F20"/>
          <w:spacing w:val="-13"/>
          <w:w w:val="105"/>
        </w:rPr>
        <w:t> </w:t>
      </w:r>
      <w:r>
        <w:rPr>
          <w:color w:val="231F20"/>
          <w:w w:val="105"/>
        </w:rPr>
        <w:t>de</w:t>
      </w:r>
      <w:r>
        <w:rPr>
          <w:color w:val="231F20"/>
          <w:spacing w:val="-13"/>
          <w:w w:val="105"/>
        </w:rPr>
        <w:t> </w:t>
      </w:r>
      <w:r>
        <w:rPr>
          <w:color w:val="231F20"/>
          <w:w w:val="105"/>
        </w:rPr>
        <w:t>terapia</w:t>
      </w:r>
      <w:r>
        <w:rPr>
          <w:color w:val="231F20"/>
          <w:spacing w:val="-13"/>
          <w:w w:val="105"/>
        </w:rPr>
        <w:t> </w:t>
      </w:r>
      <w:r>
        <w:rPr>
          <w:color w:val="231F20"/>
          <w:w w:val="105"/>
        </w:rPr>
        <w:t>familiar.</w:t>
      </w:r>
    </w:p>
    <w:p>
      <w:pPr>
        <w:pStyle w:val="BodyText"/>
        <w:spacing w:before="1"/>
        <w:rPr>
          <w:sz w:val="26"/>
        </w:rPr>
      </w:pPr>
    </w:p>
    <w:p>
      <w:pPr>
        <w:pStyle w:val="BodyText"/>
        <w:spacing w:line="285" w:lineRule="auto"/>
        <w:ind w:left="110" w:right="107"/>
        <w:jc w:val="both"/>
      </w:pPr>
      <w:r>
        <w:rPr>
          <w:color w:val="231F20"/>
          <w:w w:val="105"/>
        </w:rPr>
        <w:t>Como es obvio, el número de beneficiarios de estas acciones es sumamente limitado pues</w:t>
      </w:r>
      <w:r>
        <w:rPr>
          <w:color w:val="231F20"/>
          <w:spacing w:val="-5"/>
          <w:w w:val="105"/>
        </w:rPr>
        <w:t> </w:t>
      </w:r>
      <w:r>
        <w:rPr>
          <w:color w:val="231F20"/>
          <w:w w:val="105"/>
        </w:rPr>
        <w:t>no</w:t>
      </w:r>
      <w:r>
        <w:rPr>
          <w:color w:val="231F20"/>
          <w:spacing w:val="-5"/>
          <w:w w:val="105"/>
        </w:rPr>
        <w:t> </w:t>
      </w:r>
      <w:r>
        <w:rPr>
          <w:color w:val="231F20"/>
          <w:w w:val="105"/>
        </w:rPr>
        <w:t>se</w:t>
      </w:r>
      <w:r>
        <w:rPr>
          <w:color w:val="231F20"/>
          <w:spacing w:val="-5"/>
          <w:w w:val="105"/>
        </w:rPr>
        <w:t> </w:t>
      </w:r>
      <w:r>
        <w:rPr>
          <w:color w:val="231F20"/>
          <w:w w:val="105"/>
        </w:rPr>
        <w:t>encuentran</w:t>
      </w:r>
      <w:r>
        <w:rPr>
          <w:color w:val="231F20"/>
          <w:spacing w:val="-5"/>
          <w:w w:val="105"/>
        </w:rPr>
        <w:t> </w:t>
      </w:r>
      <w:r>
        <w:rPr>
          <w:color w:val="231F20"/>
          <w:w w:val="105"/>
        </w:rPr>
        <w:t>entre</w:t>
      </w:r>
      <w:r>
        <w:rPr>
          <w:color w:val="231F20"/>
          <w:spacing w:val="-5"/>
          <w:w w:val="105"/>
        </w:rPr>
        <w:t> </w:t>
      </w:r>
      <w:r>
        <w:rPr>
          <w:color w:val="231F20"/>
          <w:w w:val="105"/>
        </w:rPr>
        <w:t>las</w:t>
      </w:r>
      <w:r>
        <w:rPr>
          <w:color w:val="231F20"/>
          <w:spacing w:val="-5"/>
          <w:w w:val="105"/>
        </w:rPr>
        <w:t> </w:t>
      </w:r>
      <w:r>
        <w:rPr>
          <w:color w:val="231F20"/>
          <w:w w:val="105"/>
        </w:rPr>
        <w:t>prioridades</w:t>
      </w:r>
      <w:r>
        <w:rPr>
          <w:color w:val="231F20"/>
          <w:spacing w:val="-5"/>
          <w:w w:val="105"/>
        </w:rPr>
        <w:t> </w:t>
      </w:r>
      <w:r>
        <w:rPr>
          <w:color w:val="231F20"/>
          <w:w w:val="105"/>
        </w:rPr>
        <w:t>del</w:t>
      </w:r>
      <w:r>
        <w:rPr>
          <w:color w:val="231F20"/>
          <w:spacing w:val="-5"/>
          <w:w w:val="105"/>
        </w:rPr>
        <w:t> </w:t>
      </w:r>
      <w:r>
        <w:rPr>
          <w:color w:val="231F20"/>
          <w:w w:val="105"/>
        </w:rPr>
        <w:t>panismo.</w:t>
      </w:r>
      <w:r>
        <w:rPr>
          <w:color w:val="231F20"/>
          <w:spacing w:val="-5"/>
          <w:w w:val="105"/>
        </w:rPr>
        <w:t> </w:t>
      </w:r>
      <w:r>
        <w:rPr>
          <w:color w:val="231F20"/>
          <w:w w:val="105"/>
        </w:rPr>
        <w:t>Ante</w:t>
      </w:r>
      <w:r>
        <w:rPr>
          <w:color w:val="231F20"/>
          <w:spacing w:val="-5"/>
          <w:w w:val="105"/>
        </w:rPr>
        <w:t> </w:t>
      </w:r>
      <w:r>
        <w:rPr>
          <w:color w:val="231F20"/>
          <w:w w:val="105"/>
        </w:rPr>
        <w:t>la</w:t>
      </w:r>
      <w:r>
        <w:rPr>
          <w:color w:val="231F20"/>
          <w:spacing w:val="-5"/>
          <w:w w:val="105"/>
        </w:rPr>
        <w:t> </w:t>
      </w:r>
      <w:r>
        <w:rPr>
          <w:color w:val="231F20"/>
          <w:w w:val="105"/>
        </w:rPr>
        <w:t>presencia</w:t>
      </w:r>
      <w:r>
        <w:rPr>
          <w:color w:val="231F20"/>
          <w:spacing w:val="-5"/>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tipo de</w:t>
      </w:r>
      <w:r>
        <w:rPr>
          <w:color w:val="231F20"/>
          <w:spacing w:val="-12"/>
          <w:w w:val="105"/>
        </w:rPr>
        <w:t> </w:t>
      </w:r>
      <w:r>
        <w:rPr>
          <w:color w:val="231F20"/>
          <w:w w:val="105"/>
        </w:rPr>
        <w:t>políticas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gobierno</w:t>
      </w:r>
      <w:r>
        <w:rPr>
          <w:color w:val="231F20"/>
          <w:spacing w:val="-12"/>
          <w:w w:val="105"/>
        </w:rPr>
        <w:t> </w:t>
      </w:r>
      <w:r>
        <w:rPr>
          <w:color w:val="231F20"/>
          <w:w w:val="105"/>
        </w:rPr>
        <w:t>del</w:t>
      </w:r>
      <w:r>
        <w:rPr>
          <w:color w:val="231F20"/>
          <w:spacing w:val="-12"/>
          <w:w w:val="105"/>
        </w:rPr>
        <w:t> </w:t>
      </w:r>
      <w:r>
        <w:rPr>
          <w:color w:val="231F20"/>
          <w:w w:val="105"/>
        </w:rPr>
        <w:t>estado</w:t>
      </w:r>
      <w:r>
        <w:rPr>
          <w:color w:val="231F20"/>
          <w:spacing w:val="-12"/>
          <w:w w:val="105"/>
        </w:rPr>
        <w:t> </w:t>
      </w:r>
      <w:r>
        <w:rPr>
          <w:color w:val="231F20"/>
          <w:w w:val="105"/>
        </w:rPr>
        <w:t>o</w:t>
      </w:r>
      <w:r>
        <w:rPr>
          <w:color w:val="231F20"/>
          <w:spacing w:val="-12"/>
          <w:w w:val="105"/>
        </w:rPr>
        <w:t> </w:t>
      </w:r>
      <w:r>
        <w:rPr>
          <w:color w:val="231F20"/>
          <w:w w:val="105"/>
        </w:rPr>
        <w:t>en</w:t>
      </w:r>
      <w:r>
        <w:rPr>
          <w:color w:val="231F20"/>
          <w:spacing w:val="-12"/>
          <w:w w:val="105"/>
        </w:rPr>
        <w:t> </w:t>
      </w:r>
      <w:r>
        <w:rPr>
          <w:color w:val="231F20"/>
          <w:w w:val="105"/>
        </w:rPr>
        <w:t>municipios</w:t>
      </w:r>
      <w:r>
        <w:rPr>
          <w:color w:val="231F20"/>
          <w:spacing w:val="-12"/>
          <w:w w:val="105"/>
        </w:rPr>
        <w:t> </w:t>
      </w:r>
      <w:r>
        <w:rPr>
          <w:color w:val="231F20"/>
          <w:w w:val="105"/>
        </w:rPr>
        <w:t>del</w:t>
      </w:r>
      <w:r>
        <w:rPr>
          <w:color w:val="231F20"/>
          <w:spacing w:val="-12"/>
          <w:w w:val="105"/>
        </w:rPr>
        <w:t> </w:t>
      </w:r>
      <w:r>
        <w:rPr>
          <w:color w:val="231F20"/>
          <w:w w:val="105"/>
        </w:rPr>
        <w:t>mismo</w:t>
      </w:r>
      <w:r>
        <w:rPr>
          <w:color w:val="231F20"/>
          <w:spacing w:val="-12"/>
          <w:w w:val="105"/>
        </w:rPr>
        <w:t> </w:t>
      </w:r>
      <w:r>
        <w:rPr>
          <w:color w:val="231F20"/>
          <w:w w:val="105"/>
        </w:rPr>
        <w:t>rango</w:t>
      </w:r>
      <w:r>
        <w:rPr>
          <w:color w:val="231F20"/>
          <w:spacing w:val="-12"/>
          <w:w w:val="105"/>
        </w:rPr>
        <w:t> </w:t>
      </w:r>
      <w:r>
        <w:rPr>
          <w:color w:val="231F20"/>
          <w:w w:val="105"/>
        </w:rPr>
        <w:t>de</w:t>
      </w:r>
      <w:r>
        <w:rPr>
          <w:color w:val="231F20"/>
          <w:spacing w:val="-12"/>
          <w:w w:val="105"/>
        </w:rPr>
        <w:t> </w:t>
      </w:r>
      <w:r>
        <w:rPr>
          <w:color w:val="231F20"/>
          <w:w w:val="105"/>
        </w:rPr>
        <w:t>importancia, es</w:t>
      </w:r>
      <w:r>
        <w:rPr>
          <w:color w:val="231F20"/>
          <w:spacing w:val="-21"/>
          <w:w w:val="105"/>
        </w:rPr>
        <w:t> </w:t>
      </w:r>
      <w:r>
        <w:rPr>
          <w:color w:val="231F20"/>
          <w:w w:val="105"/>
        </w:rPr>
        <w:t>inevitable</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gobierno</w:t>
      </w:r>
      <w:r>
        <w:rPr>
          <w:color w:val="231F20"/>
          <w:spacing w:val="-21"/>
          <w:w w:val="105"/>
        </w:rPr>
        <w:t> </w:t>
      </w:r>
      <w:r>
        <w:rPr>
          <w:color w:val="231F20"/>
          <w:w w:val="105"/>
        </w:rPr>
        <w:t>municipal</w:t>
      </w:r>
      <w:r>
        <w:rPr>
          <w:color w:val="231F20"/>
          <w:spacing w:val="-21"/>
          <w:w w:val="105"/>
        </w:rPr>
        <w:t> </w:t>
      </w:r>
      <w:r>
        <w:rPr>
          <w:color w:val="231F20"/>
          <w:w w:val="105"/>
        </w:rPr>
        <w:t>las</w:t>
      </w:r>
      <w:r>
        <w:rPr>
          <w:color w:val="231F20"/>
          <w:spacing w:val="-21"/>
          <w:w w:val="105"/>
        </w:rPr>
        <w:t> </w:t>
      </w:r>
      <w:r>
        <w:rPr>
          <w:color w:val="231F20"/>
          <w:w w:val="105"/>
        </w:rPr>
        <w:t>adopte.</w:t>
      </w:r>
      <w:r>
        <w:rPr>
          <w:color w:val="231F20"/>
          <w:spacing w:val="-21"/>
          <w:w w:val="105"/>
        </w:rPr>
        <w:t> </w:t>
      </w:r>
      <w:r>
        <w:rPr>
          <w:color w:val="231F20"/>
          <w:w w:val="105"/>
        </w:rPr>
        <w:t>De</w:t>
      </w:r>
      <w:r>
        <w:rPr>
          <w:color w:val="231F20"/>
          <w:spacing w:val="-21"/>
          <w:w w:val="105"/>
        </w:rPr>
        <w:t> </w:t>
      </w:r>
      <w:r>
        <w:rPr>
          <w:color w:val="231F20"/>
          <w:w w:val="105"/>
        </w:rPr>
        <w:t>lo</w:t>
      </w:r>
      <w:r>
        <w:rPr>
          <w:color w:val="231F20"/>
          <w:spacing w:val="-21"/>
          <w:w w:val="105"/>
        </w:rPr>
        <w:t> </w:t>
      </w:r>
      <w:r>
        <w:rPr>
          <w:color w:val="231F20"/>
          <w:w w:val="105"/>
        </w:rPr>
        <w:t>contrario</w:t>
      </w:r>
      <w:r>
        <w:rPr>
          <w:color w:val="231F20"/>
          <w:spacing w:val="-21"/>
          <w:w w:val="105"/>
        </w:rPr>
        <w:t> </w:t>
      </w:r>
      <w:r>
        <w:rPr>
          <w:color w:val="231F20"/>
          <w:w w:val="105"/>
        </w:rPr>
        <w:t>corre</w:t>
      </w:r>
      <w:r>
        <w:rPr>
          <w:color w:val="231F20"/>
          <w:spacing w:val="-21"/>
          <w:w w:val="105"/>
        </w:rPr>
        <w:t> </w:t>
      </w:r>
      <w:r>
        <w:rPr>
          <w:color w:val="231F20"/>
          <w:w w:val="105"/>
        </w:rPr>
        <w:t>el</w:t>
      </w:r>
      <w:r>
        <w:rPr>
          <w:color w:val="231F20"/>
          <w:spacing w:val="-21"/>
          <w:w w:val="105"/>
        </w:rPr>
        <w:t> </w:t>
      </w:r>
      <w:r>
        <w:rPr>
          <w:color w:val="231F20"/>
          <w:w w:val="105"/>
        </w:rPr>
        <w:t>riesgo</w:t>
      </w:r>
      <w:r>
        <w:rPr>
          <w:color w:val="231F20"/>
          <w:spacing w:val="-21"/>
          <w:w w:val="105"/>
        </w:rPr>
        <w:t> </w:t>
      </w:r>
      <w:r>
        <w:rPr>
          <w:color w:val="231F20"/>
          <w:w w:val="105"/>
        </w:rPr>
        <w:t>de</w:t>
      </w:r>
      <w:r>
        <w:rPr>
          <w:color w:val="231F20"/>
          <w:spacing w:val="-21"/>
          <w:w w:val="105"/>
        </w:rPr>
        <w:t> </w:t>
      </w:r>
      <w:r>
        <w:rPr>
          <w:color w:val="231F20"/>
          <w:spacing w:val="-3"/>
          <w:w w:val="105"/>
        </w:rPr>
        <w:t>per- </w:t>
      </w:r>
      <w:r>
        <w:rPr>
          <w:color w:val="231F20"/>
          <w:w w:val="105"/>
        </w:rPr>
        <w:t>der votos frente a sus adversarios, que generalmente prometen este tipo de beneficios. Sin embargo, el número de beneficiarios demuestra con claridad que de </w:t>
      </w:r>
      <w:r>
        <w:rPr>
          <w:color w:val="231F20"/>
          <w:spacing w:val="2"/>
          <w:w w:val="105"/>
        </w:rPr>
        <w:t>ningún </w:t>
      </w:r>
      <w:r>
        <w:rPr>
          <w:color w:val="231F20"/>
          <w:w w:val="105"/>
        </w:rPr>
        <w:t>modo constituyen</w:t>
      </w:r>
      <w:r>
        <w:rPr>
          <w:color w:val="231F20"/>
          <w:spacing w:val="-19"/>
          <w:w w:val="105"/>
        </w:rPr>
        <w:t> </w:t>
      </w:r>
      <w:r>
        <w:rPr>
          <w:color w:val="231F20"/>
          <w:w w:val="105"/>
        </w:rPr>
        <w:t>las</w:t>
      </w:r>
      <w:r>
        <w:rPr>
          <w:color w:val="231F20"/>
          <w:spacing w:val="-19"/>
          <w:w w:val="105"/>
        </w:rPr>
        <w:t> </w:t>
      </w:r>
      <w:r>
        <w:rPr>
          <w:color w:val="231F20"/>
          <w:w w:val="105"/>
        </w:rPr>
        <w:t>acciones</w:t>
      </w:r>
      <w:r>
        <w:rPr>
          <w:color w:val="231F20"/>
          <w:spacing w:val="-19"/>
          <w:w w:val="105"/>
        </w:rPr>
        <w:t> </w:t>
      </w:r>
      <w:r>
        <w:rPr>
          <w:color w:val="231F20"/>
          <w:w w:val="105"/>
        </w:rPr>
        <w:t>más</w:t>
      </w:r>
      <w:r>
        <w:rPr>
          <w:color w:val="231F20"/>
          <w:spacing w:val="-19"/>
          <w:w w:val="105"/>
        </w:rPr>
        <w:t> </w:t>
      </w:r>
      <w:r>
        <w:rPr>
          <w:color w:val="231F20"/>
          <w:w w:val="105"/>
        </w:rPr>
        <w:t>relevantes</w:t>
      </w:r>
      <w:r>
        <w:rPr>
          <w:color w:val="231F20"/>
          <w:spacing w:val="-19"/>
          <w:w w:val="105"/>
        </w:rPr>
        <w:t> </w:t>
      </w:r>
      <w:r>
        <w:rPr>
          <w:color w:val="231F20"/>
          <w:w w:val="105"/>
        </w:rPr>
        <w:t>y</w:t>
      </w:r>
      <w:r>
        <w:rPr>
          <w:color w:val="231F20"/>
          <w:spacing w:val="-19"/>
          <w:w w:val="105"/>
        </w:rPr>
        <w:t> </w:t>
      </w:r>
      <w:r>
        <w:rPr>
          <w:color w:val="231F20"/>
          <w:w w:val="105"/>
        </w:rPr>
        <w:t>distintivas</w:t>
      </w:r>
      <w:r>
        <w:rPr>
          <w:color w:val="231F20"/>
          <w:spacing w:val="-19"/>
          <w:w w:val="105"/>
        </w:rPr>
        <w:t> </w:t>
      </w:r>
      <w:r>
        <w:rPr>
          <w:color w:val="231F20"/>
          <w:w w:val="105"/>
        </w:rPr>
        <w:t>del</w:t>
      </w:r>
      <w:r>
        <w:rPr>
          <w:color w:val="231F20"/>
          <w:spacing w:val="-19"/>
          <w:w w:val="105"/>
        </w:rPr>
        <w:t> </w:t>
      </w:r>
      <w:r>
        <w:rPr>
          <w:color w:val="231F20"/>
          <w:w w:val="105"/>
        </w:rPr>
        <w:t>gobierno</w:t>
      </w:r>
      <w:r>
        <w:rPr>
          <w:color w:val="231F20"/>
          <w:spacing w:val="-19"/>
          <w:w w:val="105"/>
        </w:rPr>
        <w:t> </w:t>
      </w:r>
      <w:r>
        <w:rPr>
          <w:color w:val="231F20"/>
          <w:w w:val="105"/>
        </w:rPr>
        <w:t>naucalpense.</w:t>
      </w:r>
    </w:p>
    <w:p>
      <w:pPr>
        <w:spacing w:after="0" w:line="285" w:lineRule="auto"/>
        <w:jc w:val="both"/>
        <w:sectPr>
          <w:pgSz w:w="9640" w:h="12190"/>
          <w:pgMar w:header="0" w:footer="743" w:top="1120" w:bottom="940" w:left="740" w:right="740"/>
        </w:sectPr>
      </w:pPr>
    </w:p>
    <w:p>
      <w:pPr>
        <w:pStyle w:val="Heading5"/>
        <w:spacing w:before="27"/>
        <w:ind w:left="326" w:right="-2"/>
      </w:pPr>
      <w:r>
        <w:rPr>
          <w:color w:val="231F20"/>
          <w:w w:val="105"/>
        </w:rPr>
        <w:t>Tabla 8. Acciones de gobierno para mujeres, adultos mayores y discapacitados</w:t>
      </w:r>
    </w:p>
    <w:p>
      <w:pPr>
        <w:pStyle w:val="BodyText"/>
        <w:rPr>
          <w:b/>
          <w:sz w:val="20"/>
        </w:rPr>
      </w:pPr>
    </w:p>
    <w:p>
      <w:pPr>
        <w:pStyle w:val="BodyText"/>
        <w:spacing w:before="10"/>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5"/>
                <w:sz w:val="16"/>
              </w:rPr>
              <w:t>Acciones</w:t>
            </w:r>
          </w:p>
        </w:tc>
      </w:tr>
      <w:tr>
        <w:trPr>
          <w:trHeight w:val="130" w:hRule="exact"/>
        </w:trPr>
        <w:tc>
          <w:tcPr>
            <w:tcW w:w="7927" w:type="dxa"/>
          </w:tcPr>
          <w:p>
            <w:pPr>
              <w:pStyle w:val="TableParagraph"/>
              <w:spacing w:line="160" w:lineRule="exact"/>
              <w:ind w:right="141"/>
              <w:rPr>
                <w:sz w:val="16"/>
              </w:rPr>
            </w:pPr>
            <w:r>
              <w:rPr>
                <w:color w:val="231F20"/>
                <w:w w:val="80"/>
                <w:sz w:val="16"/>
              </w:rPr>
              <w:t>61 pláticas y 30 talleres sobre violencia intrafamiliar, con asistencia de 7 mil 555 personas</w:t>
            </w:r>
          </w:p>
        </w:tc>
      </w:tr>
      <w:tr>
        <w:trPr>
          <w:trHeight w:val="130" w:hRule="exact"/>
        </w:trPr>
        <w:tc>
          <w:tcPr>
            <w:tcW w:w="7927" w:type="dxa"/>
          </w:tcPr>
          <w:p>
            <w:pPr>
              <w:pStyle w:val="TableParagraph"/>
              <w:spacing w:line="160" w:lineRule="exact"/>
              <w:ind w:right="141"/>
              <w:rPr>
                <w:sz w:val="16"/>
              </w:rPr>
            </w:pPr>
            <w:r>
              <w:rPr>
                <w:color w:val="231F20"/>
                <w:w w:val="80"/>
                <w:sz w:val="16"/>
              </w:rPr>
              <w:t>27 pláticas informativas a un total de 300 personas sobre los derechos de la mujer y violencia familiar</w:t>
            </w:r>
          </w:p>
        </w:tc>
      </w:tr>
      <w:tr>
        <w:trPr>
          <w:trHeight w:val="130" w:hRule="exact"/>
        </w:trPr>
        <w:tc>
          <w:tcPr>
            <w:tcW w:w="7927" w:type="dxa"/>
          </w:tcPr>
          <w:p>
            <w:pPr>
              <w:pStyle w:val="TableParagraph"/>
              <w:spacing w:line="160" w:lineRule="exact"/>
              <w:ind w:right="141"/>
              <w:rPr>
                <w:sz w:val="16"/>
              </w:rPr>
            </w:pPr>
            <w:r>
              <w:rPr>
                <w:color w:val="231F20"/>
                <w:w w:val="80"/>
                <w:sz w:val="16"/>
              </w:rPr>
              <w:t>Atención a 620 madres solteras, que recibieron un apoyo de mil 250 pesos</w:t>
            </w:r>
          </w:p>
        </w:tc>
      </w:tr>
      <w:tr>
        <w:trPr>
          <w:trHeight w:val="130" w:hRule="exact"/>
        </w:trPr>
        <w:tc>
          <w:tcPr>
            <w:tcW w:w="7927" w:type="dxa"/>
          </w:tcPr>
          <w:p>
            <w:pPr>
              <w:pStyle w:val="TableParagraph"/>
              <w:spacing w:line="160" w:lineRule="exact"/>
              <w:ind w:right="141"/>
              <w:rPr>
                <w:sz w:val="16"/>
              </w:rPr>
            </w:pPr>
            <w:r>
              <w:rPr>
                <w:color w:val="231F20"/>
                <w:w w:val="80"/>
                <w:sz w:val="16"/>
              </w:rPr>
              <w:t>10 mil 092 adultos mayores afiliados al INAPAM</w:t>
            </w:r>
          </w:p>
        </w:tc>
      </w:tr>
      <w:tr>
        <w:trPr>
          <w:trHeight w:val="130" w:hRule="exact"/>
        </w:trPr>
        <w:tc>
          <w:tcPr>
            <w:tcW w:w="7927" w:type="dxa"/>
          </w:tcPr>
          <w:p>
            <w:pPr>
              <w:pStyle w:val="TableParagraph"/>
              <w:spacing w:line="160" w:lineRule="exact"/>
              <w:ind w:right="141"/>
              <w:rPr>
                <w:sz w:val="16"/>
              </w:rPr>
            </w:pPr>
            <w:r>
              <w:rPr>
                <w:color w:val="231F20"/>
                <w:w w:val="75"/>
                <w:sz w:val="16"/>
              </w:rPr>
              <w:t>20 Clubes de Gente Grande</w:t>
            </w:r>
          </w:p>
        </w:tc>
      </w:tr>
      <w:tr>
        <w:trPr>
          <w:trHeight w:val="130" w:hRule="exact"/>
        </w:trPr>
        <w:tc>
          <w:tcPr>
            <w:tcW w:w="7927" w:type="dxa"/>
          </w:tcPr>
          <w:p>
            <w:pPr>
              <w:pStyle w:val="TableParagraph"/>
              <w:spacing w:line="160" w:lineRule="exact"/>
              <w:ind w:right="141"/>
              <w:rPr>
                <w:sz w:val="16"/>
              </w:rPr>
            </w:pPr>
            <w:r>
              <w:rPr>
                <w:color w:val="231F20"/>
                <w:w w:val="75"/>
                <w:sz w:val="16"/>
              </w:rPr>
              <w:t>Centro Gerontológico</w:t>
            </w:r>
          </w:p>
        </w:tc>
      </w:tr>
      <w:tr>
        <w:trPr>
          <w:trHeight w:val="130" w:hRule="exact"/>
        </w:trPr>
        <w:tc>
          <w:tcPr>
            <w:tcW w:w="7927" w:type="dxa"/>
          </w:tcPr>
          <w:p>
            <w:pPr>
              <w:pStyle w:val="TableParagraph"/>
              <w:spacing w:line="160" w:lineRule="exact"/>
              <w:ind w:right="141"/>
              <w:rPr>
                <w:sz w:val="16"/>
              </w:rPr>
            </w:pPr>
            <w:r>
              <w:rPr>
                <w:color w:val="231F20"/>
                <w:w w:val="75"/>
                <w:sz w:val="16"/>
              </w:rPr>
              <w:t>500 becas de $750.00 mensuales para adultos  mayores</w:t>
            </w:r>
          </w:p>
        </w:tc>
      </w:tr>
      <w:tr>
        <w:trPr>
          <w:trHeight w:val="130" w:hRule="exact"/>
        </w:trPr>
        <w:tc>
          <w:tcPr>
            <w:tcW w:w="7927" w:type="dxa"/>
          </w:tcPr>
          <w:p>
            <w:pPr>
              <w:pStyle w:val="TableParagraph"/>
              <w:spacing w:line="160" w:lineRule="exact"/>
              <w:ind w:right="141"/>
              <w:rPr>
                <w:sz w:val="16"/>
              </w:rPr>
            </w:pPr>
            <w:r>
              <w:rPr>
                <w:color w:val="231F20"/>
                <w:w w:val="75"/>
                <w:sz w:val="16"/>
              </w:rPr>
              <w:t>Centro de Rehabilitación e Integración Social, CRIS, para personas   discapacitadas</w:t>
            </w:r>
          </w:p>
        </w:tc>
      </w:tr>
    </w:tbl>
    <w:p>
      <w:pPr>
        <w:spacing w:before="87"/>
        <w:ind w:left="0" w:right="108" w:firstLine="0"/>
        <w:jc w:val="right"/>
        <w:rPr>
          <w:rFonts w:ascii="Calibri" w:hAnsi="Calibri"/>
          <w:sz w:val="16"/>
        </w:rPr>
      </w:pPr>
      <w:r>
        <w:rPr>
          <w:rFonts w:ascii="Calibri" w:hAnsi="Calibri"/>
          <w:color w:val="231F20"/>
          <w:sz w:val="16"/>
        </w:rPr>
        <w:t>Fuente: 1º Informe de Gobierno, 2007</w:t>
      </w:r>
    </w:p>
    <w:p>
      <w:pPr>
        <w:pStyle w:val="BodyText"/>
        <w:rPr>
          <w:rFonts w:ascii="Calibri"/>
          <w:sz w:val="16"/>
        </w:rPr>
      </w:pPr>
    </w:p>
    <w:p>
      <w:pPr>
        <w:pStyle w:val="BodyText"/>
        <w:spacing w:before="10"/>
        <w:rPr>
          <w:rFonts w:ascii="Calibri"/>
          <w:sz w:val="12"/>
        </w:rPr>
      </w:pPr>
    </w:p>
    <w:p>
      <w:pPr>
        <w:pStyle w:val="BodyText"/>
        <w:spacing w:line="285" w:lineRule="auto"/>
        <w:ind w:left="110" w:right="107"/>
        <w:jc w:val="both"/>
      </w:pPr>
      <w:r>
        <w:rPr>
          <w:color w:val="231F20"/>
          <w:w w:val="105"/>
        </w:rPr>
        <w:t>Una</w:t>
      </w:r>
      <w:r>
        <w:rPr>
          <w:color w:val="231F20"/>
          <w:spacing w:val="-14"/>
          <w:w w:val="105"/>
        </w:rPr>
        <w:t> </w:t>
      </w:r>
      <w:r>
        <w:rPr>
          <w:color w:val="231F20"/>
          <w:w w:val="105"/>
        </w:rPr>
        <w:t>acción</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distinguió</w:t>
      </w:r>
      <w:r>
        <w:rPr>
          <w:color w:val="231F20"/>
          <w:spacing w:val="-14"/>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terreno</w:t>
      </w:r>
      <w:r>
        <w:rPr>
          <w:color w:val="231F20"/>
          <w:spacing w:val="-14"/>
          <w:w w:val="105"/>
        </w:rPr>
        <w:t> </w:t>
      </w:r>
      <w:r>
        <w:rPr>
          <w:color w:val="231F20"/>
          <w:w w:val="105"/>
        </w:rPr>
        <w:t>fue</w:t>
      </w:r>
      <w:r>
        <w:rPr>
          <w:color w:val="231F20"/>
          <w:spacing w:val="-14"/>
          <w:w w:val="105"/>
        </w:rPr>
        <w:t> </w:t>
      </w:r>
      <w:r>
        <w:rPr>
          <w:color w:val="231F20"/>
          <w:w w:val="105"/>
        </w:rPr>
        <w:t>la</w:t>
      </w:r>
      <w:r>
        <w:rPr>
          <w:color w:val="231F20"/>
          <w:spacing w:val="-14"/>
          <w:w w:val="105"/>
        </w:rPr>
        <w:t> </w:t>
      </w:r>
      <w:r>
        <w:rPr>
          <w:color w:val="231F20"/>
          <w:w w:val="105"/>
        </w:rPr>
        <w:t>convocatoria</w:t>
      </w:r>
      <w:r>
        <w:rPr>
          <w:color w:val="231F20"/>
          <w:spacing w:val="-14"/>
          <w:w w:val="105"/>
        </w:rPr>
        <w:t> </w:t>
      </w:r>
      <w:r>
        <w:rPr>
          <w:color w:val="231F20"/>
          <w:w w:val="105"/>
        </w:rPr>
        <w:t>del</w:t>
      </w:r>
      <w:r>
        <w:rPr>
          <w:color w:val="231F20"/>
          <w:spacing w:val="-14"/>
          <w:w w:val="105"/>
        </w:rPr>
        <w:t> </w:t>
      </w:r>
      <w:r>
        <w:rPr>
          <w:color w:val="231F20"/>
          <w:w w:val="105"/>
        </w:rPr>
        <w:t>municipio</w:t>
      </w:r>
      <w:r>
        <w:rPr>
          <w:color w:val="231F20"/>
          <w:spacing w:val="-14"/>
          <w:w w:val="105"/>
        </w:rPr>
        <w:t> </w:t>
      </w:r>
      <w:r>
        <w:rPr>
          <w:color w:val="231F20"/>
          <w:w w:val="105"/>
        </w:rPr>
        <w:t>a</w:t>
      </w:r>
      <w:r>
        <w:rPr>
          <w:color w:val="231F20"/>
          <w:spacing w:val="-14"/>
          <w:w w:val="105"/>
        </w:rPr>
        <w:t> </w:t>
      </w:r>
      <w:r>
        <w:rPr>
          <w:color w:val="231F20"/>
          <w:spacing w:val="-3"/>
          <w:w w:val="105"/>
        </w:rPr>
        <w:t>empre- </w:t>
      </w:r>
      <w:r>
        <w:rPr>
          <w:color w:val="231F20"/>
          <w:w w:val="105"/>
        </w:rPr>
        <w:t>sas</w:t>
      </w:r>
      <w:r>
        <w:rPr>
          <w:color w:val="231F20"/>
          <w:spacing w:val="-18"/>
          <w:w w:val="105"/>
        </w:rPr>
        <w:t> </w:t>
      </w:r>
      <w:r>
        <w:rPr>
          <w:color w:val="231F20"/>
          <w:w w:val="105"/>
        </w:rPr>
        <w:t>privadas</w:t>
      </w:r>
      <w:r>
        <w:rPr>
          <w:color w:val="231F20"/>
          <w:spacing w:val="-18"/>
          <w:w w:val="105"/>
        </w:rPr>
        <w:t> </w:t>
      </w:r>
      <w:r>
        <w:rPr>
          <w:color w:val="231F20"/>
          <w:w w:val="105"/>
        </w:rPr>
        <w:t>para</w:t>
      </w:r>
      <w:r>
        <w:rPr>
          <w:color w:val="231F20"/>
          <w:spacing w:val="-18"/>
          <w:w w:val="105"/>
        </w:rPr>
        <w:t> </w:t>
      </w:r>
      <w:r>
        <w:rPr>
          <w:color w:val="231F20"/>
          <w:w w:val="105"/>
        </w:rPr>
        <w:t>que</w:t>
      </w:r>
      <w:r>
        <w:rPr>
          <w:color w:val="231F20"/>
          <w:spacing w:val="-18"/>
          <w:w w:val="105"/>
        </w:rPr>
        <w:t> </w:t>
      </w:r>
      <w:r>
        <w:rPr>
          <w:color w:val="231F20"/>
          <w:w w:val="105"/>
        </w:rPr>
        <w:t>aportaran</w:t>
      </w:r>
      <w:r>
        <w:rPr>
          <w:color w:val="231F20"/>
          <w:spacing w:val="-18"/>
          <w:w w:val="105"/>
        </w:rPr>
        <w:t> </w:t>
      </w:r>
      <w:r>
        <w:rPr>
          <w:color w:val="231F20"/>
          <w:w w:val="105"/>
        </w:rPr>
        <w:t>recursos</w:t>
      </w:r>
      <w:r>
        <w:rPr>
          <w:color w:val="231F20"/>
          <w:spacing w:val="-18"/>
          <w:w w:val="105"/>
        </w:rPr>
        <w:t> </w:t>
      </w:r>
      <w:r>
        <w:rPr>
          <w:color w:val="231F20"/>
          <w:w w:val="105"/>
        </w:rPr>
        <w:t>en</w:t>
      </w:r>
      <w:r>
        <w:rPr>
          <w:color w:val="231F20"/>
          <w:spacing w:val="-18"/>
          <w:w w:val="105"/>
        </w:rPr>
        <w:t> </w:t>
      </w:r>
      <w:r>
        <w:rPr>
          <w:color w:val="231F20"/>
          <w:w w:val="105"/>
        </w:rPr>
        <w:t>especie</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realización</w:t>
      </w:r>
      <w:r>
        <w:rPr>
          <w:color w:val="231F20"/>
          <w:spacing w:val="-18"/>
          <w:w w:val="105"/>
        </w:rPr>
        <w:t> </w:t>
      </w:r>
      <w:r>
        <w:rPr>
          <w:color w:val="231F20"/>
          <w:w w:val="105"/>
        </w:rPr>
        <w:t>de</w:t>
      </w:r>
      <w:r>
        <w:rPr>
          <w:color w:val="231F20"/>
          <w:spacing w:val="-18"/>
          <w:w w:val="105"/>
        </w:rPr>
        <w:t> </w:t>
      </w:r>
      <w:r>
        <w:rPr>
          <w:color w:val="231F20"/>
          <w:w w:val="105"/>
        </w:rPr>
        <w:t>actividades</w:t>
      </w:r>
      <w:r>
        <w:rPr>
          <w:color w:val="231F20"/>
          <w:spacing w:val="-18"/>
          <w:w w:val="105"/>
        </w:rPr>
        <w:t> </w:t>
      </w:r>
      <w:r>
        <w:rPr>
          <w:color w:val="231F20"/>
          <w:w w:val="105"/>
        </w:rPr>
        <w:t>de convivencia</w:t>
      </w:r>
      <w:r>
        <w:rPr>
          <w:color w:val="231F20"/>
          <w:spacing w:val="-13"/>
          <w:w w:val="105"/>
        </w:rPr>
        <w:t> </w:t>
      </w:r>
      <w:r>
        <w:rPr>
          <w:color w:val="231F20"/>
          <w:spacing w:val="2"/>
          <w:w w:val="105"/>
        </w:rPr>
        <w:t>familiar</w:t>
      </w:r>
      <w:r>
        <w:rPr>
          <w:color w:val="231F20"/>
          <w:spacing w:val="-13"/>
          <w:w w:val="105"/>
        </w:rPr>
        <w:t> </w:t>
      </w:r>
      <w:r>
        <w:rPr>
          <w:color w:val="231F20"/>
          <w:spacing w:val="-4"/>
          <w:w w:val="105"/>
        </w:rPr>
        <w:t>(con</w:t>
      </w:r>
      <w:r>
        <w:rPr>
          <w:color w:val="231F20"/>
          <w:spacing w:val="-13"/>
          <w:w w:val="105"/>
        </w:rPr>
        <w:t> </w:t>
      </w:r>
      <w:r>
        <w:rPr>
          <w:color w:val="231F20"/>
          <w:w w:val="105"/>
        </w:rPr>
        <w:t>un</w:t>
      </w:r>
      <w:r>
        <w:rPr>
          <w:color w:val="231F20"/>
          <w:spacing w:val="-13"/>
          <w:w w:val="105"/>
        </w:rPr>
        <w:t> </w:t>
      </w:r>
      <w:r>
        <w:rPr>
          <w:color w:val="231F20"/>
          <w:w w:val="105"/>
        </w:rPr>
        <w:t>valor</w:t>
      </w:r>
      <w:r>
        <w:rPr>
          <w:color w:val="231F20"/>
          <w:spacing w:val="-13"/>
          <w:w w:val="105"/>
        </w:rPr>
        <w:t> </w:t>
      </w:r>
      <w:r>
        <w:rPr>
          <w:color w:val="231F20"/>
          <w:w w:val="105"/>
        </w:rPr>
        <w:t>de</w:t>
      </w:r>
      <w:r>
        <w:rPr>
          <w:color w:val="231F20"/>
          <w:spacing w:val="-13"/>
          <w:w w:val="105"/>
        </w:rPr>
        <w:t> </w:t>
      </w:r>
      <w:r>
        <w:rPr>
          <w:color w:val="231F20"/>
          <w:spacing w:val="-5"/>
          <w:w w:val="105"/>
        </w:rPr>
        <w:t>167</w:t>
      </w:r>
      <w:r>
        <w:rPr>
          <w:color w:val="231F20"/>
          <w:spacing w:val="-13"/>
          <w:w w:val="105"/>
        </w:rPr>
        <w:t> </w:t>
      </w:r>
      <w:r>
        <w:rPr>
          <w:color w:val="231F20"/>
          <w:spacing w:val="2"/>
          <w:w w:val="105"/>
        </w:rPr>
        <w:t>mil</w:t>
      </w:r>
      <w:r>
        <w:rPr>
          <w:color w:val="231F20"/>
          <w:spacing w:val="-13"/>
          <w:w w:val="105"/>
        </w:rPr>
        <w:t> </w:t>
      </w:r>
      <w:r>
        <w:rPr>
          <w:color w:val="231F20"/>
          <w:w w:val="105"/>
        </w:rPr>
        <w:t>150</w:t>
      </w:r>
      <w:r>
        <w:rPr>
          <w:color w:val="231F20"/>
          <w:spacing w:val="-13"/>
          <w:w w:val="105"/>
        </w:rPr>
        <w:t> </w:t>
      </w:r>
      <w:r>
        <w:rPr>
          <w:color w:val="231F20"/>
          <w:w w:val="105"/>
        </w:rPr>
        <w:t>pesos,</w:t>
      </w:r>
      <w:r>
        <w:rPr>
          <w:color w:val="231F20"/>
          <w:spacing w:val="-13"/>
          <w:w w:val="105"/>
        </w:rPr>
        <w:t> </w:t>
      </w:r>
      <w:r>
        <w:rPr>
          <w:color w:val="231F20"/>
          <w:w w:val="105"/>
        </w:rPr>
        <w:t>ciertamente</w:t>
      </w:r>
      <w:r>
        <w:rPr>
          <w:color w:val="231F20"/>
          <w:spacing w:val="-13"/>
          <w:w w:val="105"/>
        </w:rPr>
        <w:t> </w:t>
      </w:r>
      <w:r>
        <w:rPr>
          <w:color w:val="231F20"/>
          <w:spacing w:val="-4"/>
          <w:w w:val="105"/>
        </w:rPr>
        <w:t>reducido).</w:t>
      </w:r>
      <w:r>
        <w:rPr>
          <w:color w:val="231F20"/>
          <w:spacing w:val="-13"/>
          <w:w w:val="105"/>
        </w:rPr>
        <w:t> </w:t>
      </w:r>
      <w:r>
        <w:rPr>
          <w:color w:val="231F20"/>
          <w:w w:val="105"/>
        </w:rPr>
        <w:t>Dichas actividades</w:t>
      </w:r>
      <w:r>
        <w:rPr>
          <w:color w:val="231F20"/>
          <w:spacing w:val="-17"/>
          <w:w w:val="105"/>
        </w:rPr>
        <w:t> </w:t>
      </w:r>
      <w:r>
        <w:rPr>
          <w:color w:val="231F20"/>
          <w:w w:val="105"/>
        </w:rPr>
        <w:t>incluyeron</w:t>
      </w:r>
      <w:r>
        <w:rPr>
          <w:color w:val="231F20"/>
          <w:spacing w:val="-17"/>
          <w:w w:val="105"/>
        </w:rPr>
        <w:t> </w:t>
      </w:r>
      <w:r>
        <w:rPr>
          <w:color w:val="231F20"/>
          <w:w w:val="105"/>
        </w:rPr>
        <w:t>la</w:t>
      </w:r>
      <w:r>
        <w:rPr>
          <w:color w:val="231F20"/>
          <w:spacing w:val="-17"/>
          <w:w w:val="105"/>
        </w:rPr>
        <w:t> </w:t>
      </w:r>
      <w:r>
        <w:rPr>
          <w:color w:val="231F20"/>
          <w:w w:val="105"/>
        </w:rPr>
        <w:t>celebración</w:t>
      </w:r>
      <w:r>
        <w:rPr>
          <w:color w:val="231F20"/>
          <w:spacing w:val="-17"/>
          <w:w w:val="105"/>
        </w:rPr>
        <w:t> </w:t>
      </w:r>
      <w:r>
        <w:rPr>
          <w:color w:val="231F20"/>
          <w:w w:val="105"/>
        </w:rPr>
        <w:t>de</w:t>
      </w:r>
      <w:r>
        <w:rPr>
          <w:color w:val="231F20"/>
          <w:spacing w:val="-17"/>
          <w:w w:val="105"/>
        </w:rPr>
        <w:t> </w:t>
      </w:r>
      <w:r>
        <w:rPr>
          <w:color w:val="231F20"/>
          <w:w w:val="105"/>
        </w:rPr>
        <w:t>fechas</w:t>
      </w:r>
      <w:r>
        <w:rPr>
          <w:color w:val="231F20"/>
          <w:spacing w:val="-17"/>
          <w:w w:val="105"/>
        </w:rPr>
        <w:t> </w:t>
      </w:r>
      <w:r>
        <w:rPr>
          <w:color w:val="231F20"/>
          <w:w w:val="105"/>
        </w:rPr>
        <w:t>tales</w:t>
      </w:r>
      <w:r>
        <w:rPr>
          <w:color w:val="231F20"/>
          <w:spacing w:val="-17"/>
          <w:w w:val="105"/>
        </w:rPr>
        <w:t> </w:t>
      </w:r>
      <w:r>
        <w:rPr>
          <w:color w:val="231F20"/>
          <w:w w:val="105"/>
        </w:rPr>
        <w:t>como</w:t>
      </w:r>
      <w:r>
        <w:rPr>
          <w:color w:val="231F20"/>
          <w:spacing w:val="-17"/>
          <w:w w:val="105"/>
        </w:rPr>
        <w:t> </w:t>
      </w:r>
      <w:r>
        <w:rPr>
          <w:color w:val="231F20"/>
          <w:w w:val="105"/>
        </w:rPr>
        <w:t>el</w:t>
      </w:r>
      <w:r>
        <w:rPr>
          <w:color w:val="231F20"/>
          <w:spacing w:val="-17"/>
          <w:w w:val="105"/>
        </w:rPr>
        <w:t> </w:t>
      </w:r>
      <w:r>
        <w:rPr>
          <w:color w:val="231F20"/>
          <w:w w:val="105"/>
        </w:rPr>
        <w:t>“Día</w:t>
      </w:r>
      <w:r>
        <w:rPr>
          <w:color w:val="231F20"/>
          <w:spacing w:val="-17"/>
          <w:w w:val="105"/>
        </w:rPr>
        <w:t> </w:t>
      </w:r>
      <w:r>
        <w:rPr>
          <w:color w:val="231F20"/>
          <w:w w:val="105"/>
        </w:rPr>
        <w:t>de</w:t>
      </w:r>
      <w:r>
        <w:rPr>
          <w:color w:val="231F20"/>
          <w:spacing w:val="-17"/>
          <w:w w:val="105"/>
        </w:rPr>
        <w:t> </w:t>
      </w:r>
      <w:r>
        <w:rPr>
          <w:color w:val="231F20"/>
          <w:spacing w:val="-4"/>
          <w:w w:val="105"/>
        </w:rPr>
        <w:t>Reyes”,</w:t>
      </w:r>
      <w:r>
        <w:rPr>
          <w:color w:val="231F20"/>
          <w:spacing w:val="-17"/>
          <w:w w:val="105"/>
        </w:rPr>
        <w:t> </w:t>
      </w:r>
      <w:r>
        <w:rPr>
          <w:color w:val="231F20"/>
          <w:w w:val="105"/>
        </w:rPr>
        <w:t>el</w:t>
      </w:r>
      <w:r>
        <w:rPr>
          <w:color w:val="231F20"/>
          <w:spacing w:val="-17"/>
          <w:w w:val="105"/>
        </w:rPr>
        <w:t> </w:t>
      </w:r>
      <w:r>
        <w:rPr>
          <w:color w:val="231F20"/>
          <w:w w:val="105"/>
        </w:rPr>
        <w:t>“Día</w:t>
      </w:r>
      <w:r>
        <w:rPr>
          <w:color w:val="231F20"/>
          <w:spacing w:val="-17"/>
          <w:w w:val="105"/>
        </w:rPr>
        <w:t> </w:t>
      </w:r>
      <w:r>
        <w:rPr>
          <w:color w:val="231F20"/>
          <w:w w:val="105"/>
        </w:rPr>
        <w:t>de la Familia” y el “Día del </w:t>
      </w:r>
      <w:r>
        <w:rPr>
          <w:color w:val="231F20"/>
          <w:spacing w:val="-4"/>
          <w:w w:val="105"/>
        </w:rPr>
        <w:t>Niño”. </w:t>
      </w:r>
      <w:r>
        <w:rPr>
          <w:color w:val="231F20"/>
          <w:spacing w:val="-3"/>
          <w:w w:val="105"/>
        </w:rPr>
        <w:t>Pero </w:t>
      </w:r>
      <w:r>
        <w:rPr>
          <w:color w:val="231F20"/>
          <w:w w:val="105"/>
        </w:rPr>
        <w:t>además de esto, la Unidad de promoción para la Asistencia</w:t>
      </w:r>
      <w:r>
        <w:rPr>
          <w:color w:val="231F20"/>
          <w:spacing w:val="-13"/>
          <w:w w:val="105"/>
        </w:rPr>
        <w:t> </w:t>
      </w:r>
      <w:r>
        <w:rPr>
          <w:color w:val="231F20"/>
          <w:w w:val="105"/>
        </w:rPr>
        <w:t>Social</w:t>
      </w:r>
      <w:r>
        <w:rPr>
          <w:color w:val="231F20"/>
          <w:spacing w:val="-13"/>
          <w:w w:val="105"/>
        </w:rPr>
        <w:t> </w:t>
      </w:r>
      <w:r>
        <w:rPr>
          <w:color w:val="231F20"/>
          <w:w w:val="105"/>
        </w:rPr>
        <w:t>hizo</w:t>
      </w:r>
      <w:r>
        <w:rPr>
          <w:color w:val="231F20"/>
          <w:spacing w:val="-13"/>
          <w:w w:val="105"/>
        </w:rPr>
        <w:t> </w:t>
      </w:r>
      <w:r>
        <w:rPr>
          <w:color w:val="231F20"/>
          <w:w w:val="105"/>
        </w:rPr>
        <w:t>una</w:t>
      </w:r>
      <w:r>
        <w:rPr>
          <w:color w:val="231F20"/>
          <w:spacing w:val="-13"/>
          <w:w w:val="105"/>
        </w:rPr>
        <w:t> </w:t>
      </w:r>
      <w:r>
        <w:rPr>
          <w:color w:val="231F20"/>
          <w:w w:val="105"/>
        </w:rPr>
        <w:t>recaudación</w:t>
      </w:r>
      <w:r>
        <w:rPr>
          <w:color w:val="231F20"/>
          <w:spacing w:val="-13"/>
          <w:w w:val="105"/>
        </w:rPr>
        <w:t> </w:t>
      </w:r>
      <w:r>
        <w:rPr>
          <w:color w:val="231F20"/>
          <w:w w:val="105"/>
        </w:rPr>
        <w:t>permanente</w:t>
      </w:r>
      <w:r>
        <w:rPr>
          <w:color w:val="231F20"/>
          <w:spacing w:val="-13"/>
          <w:w w:val="105"/>
        </w:rPr>
        <w:t> </w:t>
      </w:r>
      <w:r>
        <w:rPr>
          <w:color w:val="231F20"/>
          <w:w w:val="105"/>
        </w:rPr>
        <w:t>de</w:t>
      </w:r>
      <w:r>
        <w:rPr>
          <w:color w:val="231F20"/>
          <w:spacing w:val="-13"/>
          <w:w w:val="105"/>
        </w:rPr>
        <w:t> </w:t>
      </w:r>
      <w:r>
        <w:rPr>
          <w:color w:val="231F20"/>
          <w:w w:val="105"/>
        </w:rPr>
        <w:t>donativos,</w:t>
      </w:r>
      <w:r>
        <w:rPr>
          <w:color w:val="231F20"/>
          <w:spacing w:val="-13"/>
          <w:w w:val="105"/>
        </w:rPr>
        <w:t> </w:t>
      </w:r>
      <w:r>
        <w:rPr>
          <w:color w:val="231F20"/>
          <w:w w:val="105"/>
        </w:rPr>
        <w:t>cuyo</w:t>
      </w:r>
      <w:r>
        <w:rPr>
          <w:color w:val="231F20"/>
          <w:spacing w:val="-13"/>
          <w:w w:val="105"/>
        </w:rPr>
        <w:t> </w:t>
      </w:r>
      <w:r>
        <w:rPr>
          <w:color w:val="231F20"/>
          <w:spacing w:val="-3"/>
          <w:w w:val="105"/>
        </w:rPr>
        <w:t>monto</w:t>
      </w:r>
      <w:r>
        <w:rPr>
          <w:color w:val="231F20"/>
          <w:spacing w:val="-13"/>
          <w:w w:val="105"/>
        </w:rPr>
        <w:t> </w:t>
      </w:r>
      <w:r>
        <w:rPr>
          <w:color w:val="231F20"/>
          <w:w w:val="105"/>
        </w:rPr>
        <w:t>fue</w:t>
      </w:r>
      <w:r>
        <w:rPr>
          <w:color w:val="231F20"/>
          <w:spacing w:val="-13"/>
          <w:w w:val="105"/>
        </w:rPr>
        <w:t> </w:t>
      </w:r>
      <w:r>
        <w:rPr>
          <w:color w:val="231F20"/>
          <w:w w:val="105"/>
        </w:rPr>
        <w:t>fran- </w:t>
      </w:r>
      <w:r>
        <w:rPr>
          <w:color w:val="231F20"/>
        </w:rPr>
        <w:t>camente</w:t>
      </w:r>
      <w:r>
        <w:rPr>
          <w:color w:val="231F20"/>
          <w:spacing w:val="34"/>
        </w:rPr>
        <w:t> </w:t>
      </w:r>
      <w:r>
        <w:rPr>
          <w:color w:val="231F20"/>
        </w:rPr>
        <w:t>elevado.</w:t>
      </w:r>
    </w:p>
    <w:p>
      <w:pPr>
        <w:pStyle w:val="BodyText"/>
        <w:spacing w:before="1"/>
        <w:rPr>
          <w:sz w:val="26"/>
        </w:rPr>
      </w:pPr>
    </w:p>
    <w:p>
      <w:pPr>
        <w:pStyle w:val="Heading5"/>
        <w:spacing w:line="285" w:lineRule="auto"/>
        <w:ind w:left="2756" w:right="854" w:hanging="1793"/>
      </w:pPr>
      <w:r>
        <w:rPr>
          <w:color w:val="231F20"/>
          <w:spacing w:val="-4"/>
          <w:w w:val="105"/>
        </w:rPr>
        <w:t>Tabla</w:t>
      </w:r>
      <w:r>
        <w:rPr>
          <w:color w:val="231F20"/>
          <w:spacing w:val="-22"/>
          <w:w w:val="105"/>
        </w:rPr>
        <w:t> </w:t>
      </w:r>
      <w:r>
        <w:rPr>
          <w:color w:val="231F20"/>
          <w:spacing w:val="-4"/>
          <w:w w:val="105"/>
        </w:rPr>
        <w:t>9.</w:t>
      </w:r>
      <w:r>
        <w:rPr>
          <w:color w:val="231F20"/>
          <w:spacing w:val="-22"/>
          <w:w w:val="105"/>
        </w:rPr>
        <w:t> </w:t>
      </w:r>
      <w:r>
        <w:rPr>
          <w:color w:val="231F20"/>
          <w:w w:val="105"/>
        </w:rPr>
        <w:t>Donativos</w:t>
      </w:r>
      <w:r>
        <w:rPr>
          <w:color w:val="231F20"/>
          <w:spacing w:val="-22"/>
          <w:w w:val="105"/>
        </w:rPr>
        <w:t> </w:t>
      </w:r>
      <w:r>
        <w:rPr>
          <w:color w:val="231F20"/>
          <w:w w:val="105"/>
        </w:rPr>
        <w:t>recaudados</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Unidad</w:t>
      </w:r>
      <w:r>
        <w:rPr>
          <w:color w:val="231F20"/>
          <w:spacing w:val="-22"/>
          <w:w w:val="105"/>
        </w:rPr>
        <w:t> </w:t>
      </w:r>
      <w:r>
        <w:rPr>
          <w:color w:val="231F20"/>
          <w:w w:val="105"/>
        </w:rPr>
        <w:t>de</w:t>
      </w:r>
      <w:r>
        <w:rPr>
          <w:color w:val="231F20"/>
          <w:spacing w:val="-22"/>
          <w:w w:val="105"/>
        </w:rPr>
        <w:t> </w:t>
      </w:r>
      <w:r>
        <w:rPr>
          <w:color w:val="231F20"/>
          <w:w w:val="105"/>
        </w:rPr>
        <w:t>Promoción</w:t>
      </w:r>
      <w:r>
        <w:rPr>
          <w:color w:val="231F20"/>
          <w:spacing w:val="-22"/>
          <w:w w:val="105"/>
        </w:rPr>
        <w:t> </w:t>
      </w:r>
      <w:r>
        <w:rPr>
          <w:color w:val="231F20"/>
          <w:w w:val="105"/>
        </w:rPr>
        <w:t>Para la</w:t>
      </w:r>
      <w:r>
        <w:rPr>
          <w:color w:val="231F20"/>
          <w:spacing w:val="-17"/>
          <w:w w:val="105"/>
        </w:rPr>
        <w:t> </w:t>
      </w:r>
      <w:r>
        <w:rPr>
          <w:color w:val="231F20"/>
          <w:w w:val="105"/>
        </w:rPr>
        <w:t>Asistencia</w:t>
      </w:r>
      <w:r>
        <w:rPr>
          <w:color w:val="231F20"/>
          <w:spacing w:val="-17"/>
          <w:w w:val="105"/>
        </w:rPr>
        <w:t> </w:t>
      </w:r>
      <w:r>
        <w:rPr>
          <w:color w:val="231F20"/>
          <w:w w:val="105"/>
        </w:rPr>
        <w:t>Social</w:t>
      </w:r>
      <w:r>
        <w:rPr>
          <w:color w:val="231F20"/>
          <w:spacing w:val="-17"/>
          <w:w w:val="105"/>
        </w:rPr>
        <w:t> </w:t>
      </w:r>
      <w:r>
        <w:rPr>
          <w:color w:val="231F20"/>
          <w:w w:val="105"/>
        </w:rPr>
        <w:t>del</w:t>
      </w:r>
      <w:r>
        <w:rPr>
          <w:color w:val="231F20"/>
          <w:spacing w:val="-17"/>
          <w:w w:val="105"/>
        </w:rPr>
        <w:t> </w:t>
      </w:r>
      <w:r>
        <w:rPr>
          <w:color w:val="231F20"/>
          <w:w w:val="105"/>
        </w:rPr>
        <w:t>DIF</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42"/>
        <w:gridCol w:w="4443"/>
        <w:gridCol w:w="1643"/>
      </w:tblGrid>
      <w:tr>
        <w:trPr>
          <w:trHeight w:val="130" w:hRule="exact"/>
        </w:trPr>
        <w:tc>
          <w:tcPr>
            <w:tcW w:w="1842" w:type="dxa"/>
          </w:tcPr>
          <w:p>
            <w:pPr>
              <w:pStyle w:val="TableParagraph"/>
              <w:spacing w:line="146" w:lineRule="exact"/>
              <w:ind w:left="623" w:right="623"/>
              <w:jc w:val="center"/>
              <w:rPr>
                <w:b/>
                <w:sz w:val="16"/>
              </w:rPr>
            </w:pPr>
            <w:r>
              <w:rPr>
                <w:b/>
                <w:color w:val="231F20"/>
                <w:w w:val="95"/>
                <w:sz w:val="16"/>
              </w:rPr>
              <w:t>Empresa</w:t>
            </w:r>
          </w:p>
        </w:tc>
        <w:tc>
          <w:tcPr>
            <w:tcW w:w="4443" w:type="dxa"/>
          </w:tcPr>
          <w:p>
            <w:pPr>
              <w:pStyle w:val="TableParagraph"/>
              <w:spacing w:line="146" w:lineRule="exact"/>
              <w:ind w:left="1907" w:right="1907"/>
              <w:jc w:val="center"/>
              <w:rPr>
                <w:b/>
                <w:sz w:val="16"/>
              </w:rPr>
            </w:pPr>
            <w:r>
              <w:rPr>
                <w:b/>
                <w:color w:val="231F20"/>
                <w:w w:val="95"/>
                <w:sz w:val="16"/>
              </w:rPr>
              <w:t>Donativo</w:t>
            </w:r>
          </w:p>
        </w:tc>
        <w:tc>
          <w:tcPr>
            <w:tcW w:w="1643" w:type="dxa"/>
          </w:tcPr>
          <w:p>
            <w:pPr>
              <w:pStyle w:val="TableParagraph"/>
              <w:spacing w:line="146" w:lineRule="exact"/>
              <w:ind w:left="373"/>
              <w:rPr>
                <w:b/>
                <w:sz w:val="16"/>
              </w:rPr>
            </w:pPr>
            <w:r>
              <w:rPr>
                <w:b/>
                <w:color w:val="231F20"/>
                <w:w w:val="85"/>
                <w:sz w:val="16"/>
              </w:rPr>
              <w:t>Monto en pesos</w:t>
            </w:r>
          </w:p>
        </w:tc>
      </w:tr>
      <w:tr>
        <w:trPr>
          <w:trHeight w:val="130" w:hRule="exact"/>
        </w:trPr>
        <w:tc>
          <w:tcPr>
            <w:tcW w:w="1842" w:type="dxa"/>
          </w:tcPr>
          <w:p>
            <w:pPr>
              <w:pStyle w:val="TableParagraph"/>
              <w:spacing w:line="146" w:lineRule="exact"/>
              <w:rPr>
                <w:sz w:val="16"/>
              </w:rPr>
            </w:pPr>
            <w:r>
              <w:rPr>
                <w:color w:val="231F20"/>
                <w:w w:val="85"/>
                <w:sz w:val="16"/>
              </w:rPr>
              <w:t>Ayuntamiento</w:t>
            </w:r>
          </w:p>
        </w:tc>
        <w:tc>
          <w:tcPr>
            <w:tcW w:w="4443" w:type="dxa"/>
          </w:tcPr>
          <w:p>
            <w:pPr>
              <w:pStyle w:val="TableParagraph"/>
              <w:spacing w:line="146" w:lineRule="exact"/>
              <w:rPr>
                <w:sz w:val="16"/>
              </w:rPr>
            </w:pPr>
            <w:r>
              <w:rPr>
                <w:color w:val="231F20"/>
                <w:w w:val="80"/>
                <w:sz w:val="16"/>
              </w:rPr>
              <w:t>723 pares de zapatos</w:t>
            </w:r>
          </w:p>
        </w:tc>
        <w:tc>
          <w:tcPr>
            <w:tcW w:w="1643" w:type="dxa"/>
          </w:tcPr>
          <w:p>
            <w:pPr>
              <w:pStyle w:val="TableParagraph"/>
              <w:spacing w:line="146" w:lineRule="exact"/>
              <w:ind w:left="153"/>
              <w:rPr>
                <w:sz w:val="16"/>
              </w:rPr>
            </w:pPr>
            <w:r>
              <w:rPr>
                <w:color w:val="231F20"/>
                <w:w w:val="75"/>
                <w:sz w:val="16"/>
              </w:rPr>
              <w:t>37 000</w:t>
            </w:r>
          </w:p>
        </w:tc>
      </w:tr>
      <w:tr>
        <w:trPr>
          <w:trHeight w:val="130" w:hRule="exact"/>
        </w:trPr>
        <w:tc>
          <w:tcPr>
            <w:tcW w:w="1842" w:type="dxa"/>
          </w:tcPr>
          <w:p>
            <w:pPr>
              <w:pStyle w:val="TableParagraph"/>
              <w:spacing w:line="146" w:lineRule="exact"/>
              <w:rPr>
                <w:sz w:val="16"/>
              </w:rPr>
            </w:pPr>
            <w:r>
              <w:rPr>
                <w:color w:val="231F20"/>
                <w:w w:val="75"/>
                <w:sz w:val="16"/>
              </w:rPr>
              <w:t>Banco Interacciones</w:t>
            </w:r>
          </w:p>
        </w:tc>
        <w:tc>
          <w:tcPr>
            <w:tcW w:w="4443" w:type="dxa"/>
          </w:tcPr>
          <w:p>
            <w:pPr>
              <w:pStyle w:val="TableParagraph"/>
              <w:spacing w:line="146" w:lineRule="exact"/>
              <w:rPr>
                <w:sz w:val="16"/>
              </w:rPr>
            </w:pPr>
            <w:r>
              <w:rPr>
                <w:color w:val="231F20"/>
                <w:w w:val="75"/>
                <w:sz w:val="16"/>
              </w:rPr>
              <w:t>artículos de oficina</w:t>
            </w:r>
          </w:p>
        </w:tc>
        <w:tc>
          <w:tcPr>
            <w:tcW w:w="1643" w:type="dxa"/>
          </w:tcPr>
          <w:p>
            <w:pPr>
              <w:pStyle w:val="TableParagraph"/>
              <w:spacing w:line="146" w:lineRule="exact"/>
              <w:ind w:left="128"/>
              <w:rPr>
                <w:sz w:val="16"/>
              </w:rPr>
            </w:pPr>
            <w:r>
              <w:rPr>
                <w:color w:val="231F20"/>
                <w:w w:val="80"/>
                <w:sz w:val="16"/>
              </w:rPr>
              <w:t>348 000</w:t>
            </w:r>
          </w:p>
        </w:tc>
      </w:tr>
      <w:tr>
        <w:trPr>
          <w:trHeight w:val="130" w:hRule="exact"/>
        </w:trPr>
        <w:tc>
          <w:tcPr>
            <w:tcW w:w="1842" w:type="dxa"/>
          </w:tcPr>
          <w:p>
            <w:pPr>
              <w:pStyle w:val="TableParagraph"/>
              <w:spacing w:line="146" w:lineRule="exact"/>
              <w:rPr>
                <w:sz w:val="16"/>
              </w:rPr>
            </w:pPr>
            <w:r>
              <w:rPr>
                <w:color w:val="231F20"/>
                <w:w w:val="75"/>
                <w:sz w:val="16"/>
              </w:rPr>
              <w:t>Cadbury Adams</w:t>
            </w:r>
          </w:p>
        </w:tc>
        <w:tc>
          <w:tcPr>
            <w:tcW w:w="4443" w:type="dxa"/>
          </w:tcPr>
          <w:p>
            <w:pPr>
              <w:pStyle w:val="TableParagraph"/>
              <w:spacing w:line="146" w:lineRule="exact"/>
              <w:rPr>
                <w:sz w:val="16"/>
              </w:rPr>
            </w:pPr>
            <w:r>
              <w:rPr>
                <w:color w:val="231F20"/>
                <w:w w:val="80"/>
                <w:sz w:val="16"/>
              </w:rPr>
              <w:t>100 cajas de dulces</w:t>
            </w:r>
          </w:p>
        </w:tc>
        <w:tc>
          <w:tcPr>
            <w:tcW w:w="1643" w:type="dxa"/>
          </w:tcPr>
          <w:p>
            <w:pPr>
              <w:pStyle w:val="TableParagraph"/>
              <w:spacing w:line="146" w:lineRule="exact"/>
              <w:ind w:left="128"/>
              <w:rPr>
                <w:sz w:val="16"/>
              </w:rPr>
            </w:pPr>
            <w:r>
              <w:rPr>
                <w:color w:val="231F20"/>
                <w:w w:val="75"/>
                <w:sz w:val="16"/>
              </w:rPr>
              <w:t>120 000</w:t>
            </w:r>
          </w:p>
        </w:tc>
      </w:tr>
      <w:tr>
        <w:trPr>
          <w:trHeight w:val="130" w:hRule="exact"/>
        </w:trPr>
        <w:tc>
          <w:tcPr>
            <w:tcW w:w="1842" w:type="dxa"/>
          </w:tcPr>
          <w:p>
            <w:pPr>
              <w:pStyle w:val="TableParagraph"/>
              <w:spacing w:line="146" w:lineRule="exact"/>
              <w:rPr>
                <w:sz w:val="16"/>
              </w:rPr>
            </w:pPr>
            <w:r>
              <w:rPr>
                <w:color w:val="231F20"/>
                <w:w w:val="75"/>
                <w:sz w:val="16"/>
              </w:rPr>
              <w:t>Cinépolis Toreo</w:t>
            </w:r>
          </w:p>
        </w:tc>
        <w:tc>
          <w:tcPr>
            <w:tcW w:w="4443" w:type="dxa"/>
          </w:tcPr>
          <w:p>
            <w:pPr>
              <w:pStyle w:val="TableParagraph"/>
              <w:spacing w:line="146" w:lineRule="exact"/>
              <w:rPr>
                <w:sz w:val="16"/>
              </w:rPr>
            </w:pPr>
            <w:r>
              <w:rPr>
                <w:color w:val="231F20"/>
                <w:w w:val="80"/>
                <w:sz w:val="16"/>
              </w:rPr>
              <w:t>30 pases para el cine</w:t>
            </w:r>
          </w:p>
        </w:tc>
        <w:tc>
          <w:tcPr>
            <w:tcW w:w="1643" w:type="dxa"/>
          </w:tcPr>
          <w:p>
            <w:pPr>
              <w:pStyle w:val="TableParagraph"/>
              <w:spacing w:line="146" w:lineRule="exact"/>
              <w:ind w:left="228"/>
              <w:rPr>
                <w:sz w:val="16"/>
              </w:rPr>
            </w:pPr>
            <w:r>
              <w:rPr>
                <w:color w:val="231F20"/>
                <w:w w:val="85"/>
                <w:sz w:val="16"/>
              </w:rPr>
              <w:t>900</w:t>
            </w:r>
          </w:p>
        </w:tc>
      </w:tr>
      <w:tr>
        <w:trPr>
          <w:trHeight w:val="130" w:hRule="exact"/>
        </w:trPr>
        <w:tc>
          <w:tcPr>
            <w:tcW w:w="1842" w:type="dxa"/>
          </w:tcPr>
          <w:p>
            <w:pPr>
              <w:pStyle w:val="TableParagraph"/>
              <w:spacing w:line="146" w:lineRule="exact"/>
              <w:rPr>
                <w:sz w:val="16"/>
              </w:rPr>
            </w:pPr>
            <w:r>
              <w:rPr>
                <w:color w:val="231F20"/>
                <w:w w:val="75"/>
                <w:sz w:val="16"/>
              </w:rPr>
              <w:t>Circo “Bardum”</w:t>
            </w:r>
          </w:p>
        </w:tc>
        <w:tc>
          <w:tcPr>
            <w:tcW w:w="4443" w:type="dxa"/>
          </w:tcPr>
          <w:p>
            <w:pPr>
              <w:pStyle w:val="TableParagraph"/>
              <w:spacing w:line="146" w:lineRule="exact"/>
              <w:rPr>
                <w:sz w:val="16"/>
              </w:rPr>
            </w:pPr>
            <w:r>
              <w:rPr>
                <w:color w:val="231F20"/>
                <w:w w:val="75"/>
                <w:sz w:val="16"/>
              </w:rPr>
              <w:t>1500 boletos</w:t>
            </w:r>
          </w:p>
        </w:tc>
        <w:tc>
          <w:tcPr>
            <w:tcW w:w="1643" w:type="dxa"/>
          </w:tcPr>
          <w:p>
            <w:pPr>
              <w:pStyle w:val="TableParagraph"/>
              <w:spacing w:line="146" w:lineRule="exact"/>
              <w:ind w:left="178"/>
              <w:rPr>
                <w:sz w:val="16"/>
              </w:rPr>
            </w:pPr>
            <w:r>
              <w:rPr>
                <w:color w:val="231F20"/>
                <w:w w:val="80"/>
                <w:sz w:val="16"/>
              </w:rPr>
              <w:t>75 000</w:t>
            </w:r>
          </w:p>
        </w:tc>
      </w:tr>
      <w:tr>
        <w:trPr>
          <w:trHeight w:val="130" w:hRule="exact"/>
        </w:trPr>
        <w:tc>
          <w:tcPr>
            <w:tcW w:w="1842" w:type="dxa"/>
          </w:tcPr>
          <w:p>
            <w:pPr>
              <w:pStyle w:val="TableParagraph"/>
              <w:spacing w:line="146" w:lineRule="exact"/>
              <w:rPr>
                <w:sz w:val="16"/>
              </w:rPr>
            </w:pPr>
            <w:r>
              <w:rPr>
                <w:color w:val="231F20"/>
                <w:w w:val="75"/>
                <w:sz w:val="16"/>
              </w:rPr>
              <w:t>Club Rotarios “Las Torres”</w:t>
            </w:r>
          </w:p>
        </w:tc>
        <w:tc>
          <w:tcPr>
            <w:tcW w:w="4443" w:type="dxa"/>
          </w:tcPr>
          <w:p>
            <w:pPr>
              <w:pStyle w:val="TableParagraph"/>
              <w:spacing w:line="146" w:lineRule="exact"/>
              <w:rPr>
                <w:sz w:val="16"/>
              </w:rPr>
            </w:pPr>
            <w:r>
              <w:rPr>
                <w:color w:val="231F20"/>
                <w:w w:val="80"/>
                <w:sz w:val="16"/>
              </w:rPr>
              <w:t>ocho sillas de ruedas</w:t>
            </w:r>
          </w:p>
        </w:tc>
        <w:tc>
          <w:tcPr>
            <w:tcW w:w="1643" w:type="dxa"/>
          </w:tcPr>
          <w:p>
            <w:pPr>
              <w:pStyle w:val="TableParagraph"/>
              <w:spacing w:line="146" w:lineRule="exact"/>
              <w:ind w:left="203"/>
              <w:rPr>
                <w:sz w:val="16"/>
              </w:rPr>
            </w:pPr>
            <w:r>
              <w:rPr>
                <w:color w:val="231F20"/>
                <w:w w:val="80"/>
                <w:sz w:val="16"/>
              </w:rPr>
              <w:t>8 000</w:t>
            </w:r>
          </w:p>
        </w:tc>
      </w:tr>
      <w:tr>
        <w:trPr>
          <w:trHeight w:val="130" w:hRule="exact"/>
        </w:trPr>
        <w:tc>
          <w:tcPr>
            <w:tcW w:w="1842" w:type="dxa"/>
          </w:tcPr>
          <w:p>
            <w:pPr>
              <w:pStyle w:val="TableParagraph"/>
              <w:spacing w:line="146" w:lineRule="exact"/>
              <w:rPr>
                <w:sz w:val="16"/>
              </w:rPr>
            </w:pPr>
            <w:r>
              <w:rPr>
                <w:color w:val="231F20"/>
                <w:w w:val="75"/>
                <w:sz w:val="16"/>
              </w:rPr>
              <w:t>Coca Cola</w:t>
            </w:r>
          </w:p>
        </w:tc>
        <w:tc>
          <w:tcPr>
            <w:tcW w:w="4443" w:type="dxa"/>
          </w:tcPr>
          <w:p>
            <w:pPr>
              <w:pStyle w:val="TableParagraph"/>
              <w:spacing w:line="146" w:lineRule="exact"/>
              <w:rPr>
                <w:sz w:val="16"/>
              </w:rPr>
            </w:pPr>
            <w:r>
              <w:rPr>
                <w:color w:val="231F20"/>
                <w:w w:val="80"/>
                <w:sz w:val="16"/>
              </w:rPr>
              <w:t>100 pelotas, 210 packs de refresco chico y 120 cajas de refresco dietético</w:t>
            </w:r>
          </w:p>
        </w:tc>
        <w:tc>
          <w:tcPr>
            <w:tcW w:w="1643" w:type="dxa"/>
          </w:tcPr>
          <w:p>
            <w:pPr>
              <w:pStyle w:val="TableParagraph"/>
              <w:spacing w:line="146" w:lineRule="exact"/>
              <w:ind w:left="178"/>
              <w:rPr>
                <w:sz w:val="16"/>
              </w:rPr>
            </w:pPr>
            <w:r>
              <w:rPr>
                <w:color w:val="231F20"/>
                <w:w w:val="80"/>
                <w:sz w:val="16"/>
              </w:rPr>
              <w:t>25 000</w:t>
            </w:r>
          </w:p>
        </w:tc>
      </w:tr>
      <w:tr>
        <w:trPr>
          <w:trHeight w:val="130" w:hRule="exact"/>
        </w:trPr>
        <w:tc>
          <w:tcPr>
            <w:tcW w:w="1842" w:type="dxa"/>
          </w:tcPr>
          <w:p>
            <w:pPr>
              <w:pStyle w:val="TableParagraph"/>
              <w:spacing w:line="146" w:lineRule="exact"/>
              <w:rPr>
                <w:sz w:val="16"/>
              </w:rPr>
            </w:pPr>
            <w:r>
              <w:rPr>
                <w:color w:val="231F20"/>
                <w:w w:val="80"/>
                <w:sz w:val="16"/>
              </w:rPr>
              <w:t>Colegio Kipling</w:t>
            </w:r>
          </w:p>
        </w:tc>
        <w:tc>
          <w:tcPr>
            <w:tcW w:w="4443" w:type="dxa"/>
          </w:tcPr>
          <w:p>
            <w:pPr>
              <w:pStyle w:val="TableParagraph"/>
              <w:spacing w:line="146" w:lineRule="exact"/>
              <w:rPr>
                <w:sz w:val="16"/>
              </w:rPr>
            </w:pPr>
            <w:r>
              <w:rPr>
                <w:color w:val="231F20"/>
                <w:w w:val="80"/>
                <w:sz w:val="16"/>
              </w:rPr>
              <w:t>250 despensas y 10 piñatas</w:t>
            </w:r>
          </w:p>
        </w:tc>
        <w:tc>
          <w:tcPr>
            <w:tcW w:w="1643" w:type="dxa"/>
          </w:tcPr>
          <w:p>
            <w:pPr>
              <w:pStyle w:val="TableParagraph"/>
              <w:spacing w:line="146" w:lineRule="exact"/>
              <w:ind w:left="178"/>
              <w:rPr>
                <w:sz w:val="16"/>
              </w:rPr>
            </w:pPr>
            <w:r>
              <w:rPr>
                <w:color w:val="231F20"/>
                <w:w w:val="80"/>
                <w:sz w:val="16"/>
              </w:rPr>
              <w:t>13 000</w:t>
            </w:r>
          </w:p>
        </w:tc>
      </w:tr>
      <w:tr>
        <w:trPr>
          <w:trHeight w:val="130" w:hRule="exact"/>
        </w:trPr>
        <w:tc>
          <w:tcPr>
            <w:tcW w:w="1842" w:type="dxa"/>
          </w:tcPr>
          <w:p>
            <w:pPr>
              <w:pStyle w:val="TableParagraph"/>
              <w:spacing w:line="146" w:lineRule="exact"/>
              <w:rPr>
                <w:sz w:val="16"/>
              </w:rPr>
            </w:pPr>
            <w:r>
              <w:rPr>
                <w:color w:val="231F20"/>
                <w:w w:val="75"/>
                <w:sz w:val="16"/>
              </w:rPr>
              <w:t>Costco Satélite</w:t>
            </w:r>
          </w:p>
        </w:tc>
        <w:tc>
          <w:tcPr>
            <w:tcW w:w="4443" w:type="dxa"/>
          </w:tcPr>
          <w:p>
            <w:pPr>
              <w:pStyle w:val="TableParagraph"/>
              <w:spacing w:line="146" w:lineRule="exact"/>
              <w:rPr>
                <w:sz w:val="16"/>
              </w:rPr>
            </w:pPr>
            <w:r>
              <w:rPr>
                <w:color w:val="231F20"/>
                <w:w w:val="75"/>
                <w:sz w:val="16"/>
              </w:rPr>
              <w:t>12 donaciones de productos perecederos</w:t>
            </w:r>
          </w:p>
        </w:tc>
        <w:tc>
          <w:tcPr>
            <w:tcW w:w="1643" w:type="dxa"/>
          </w:tcPr>
          <w:p>
            <w:pPr>
              <w:pStyle w:val="TableParagraph"/>
              <w:spacing w:line="146" w:lineRule="exact"/>
              <w:ind w:left="178"/>
              <w:rPr>
                <w:sz w:val="16"/>
              </w:rPr>
            </w:pPr>
            <w:r>
              <w:rPr>
                <w:color w:val="231F20"/>
                <w:w w:val="80"/>
                <w:sz w:val="16"/>
              </w:rPr>
              <w:t>24 000</w:t>
            </w:r>
          </w:p>
        </w:tc>
      </w:tr>
      <w:tr>
        <w:trPr>
          <w:trHeight w:val="130" w:hRule="exact"/>
        </w:trPr>
        <w:tc>
          <w:tcPr>
            <w:tcW w:w="1842" w:type="dxa"/>
          </w:tcPr>
          <w:p>
            <w:pPr>
              <w:pStyle w:val="TableParagraph"/>
              <w:spacing w:line="146" w:lineRule="exact"/>
              <w:rPr>
                <w:sz w:val="16"/>
              </w:rPr>
            </w:pPr>
            <w:r>
              <w:rPr>
                <w:color w:val="231F20"/>
                <w:w w:val="80"/>
                <w:sz w:val="16"/>
              </w:rPr>
              <w:t>Día del Niño</w:t>
            </w:r>
          </w:p>
        </w:tc>
        <w:tc>
          <w:tcPr>
            <w:tcW w:w="4443" w:type="dxa"/>
          </w:tcPr>
          <w:p>
            <w:pPr>
              <w:pStyle w:val="TableParagraph"/>
              <w:spacing w:line="146" w:lineRule="exact"/>
              <w:rPr>
                <w:sz w:val="16"/>
              </w:rPr>
            </w:pPr>
            <w:r>
              <w:rPr>
                <w:color w:val="231F20"/>
                <w:w w:val="80"/>
                <w:sz w:val="16"/>
              </w:rPr>
              <w:t>Función de lucha libre</w:t>
            </w:r>
          </w:p>
        </w:tc>
        <w:tc>
          <w:tcPr>
            <w:tcW w:w="1643" w:type="dxa"/>
          </w:tcPr>
          <w:p>
            <w:pPr>
              <w:pStyle w:val="TableParagraph"/>
              <w:spacing w:line="146" w:lineRule="exact"/>
              <w:ind w:left="178"/>
              <w:rPr>
                <w:sz w:val="16"/>
              </w:rPr>
            </w:pPr>
            <w:r>
              <w:rPr>
                <w:color w:val="231F20"/>
                <w:w w:val="75"/>
                <w:sz w:val="16"/>
              </w:rPr>
              <w:t>45 000</w:t>
            </w:r>
          </w:p>
        </w:tc>
      </w:tr>
      <w:tr>
        <w:trPr>
          <w:trHeight w:val="130" w:hRule="exact"/>
        </w:trPr>
        <w:tc>
          <w:tcPr>
            <w:tcW w:w="1842" w:type="dxa"/>
          </w:tcPr>
          <w:p>
            <w:pPr>
              <w:pStyle w:val="TableParagraph"/>
              <w:spacing w:line="146" w:lineRule="exact"/>
              <w:rPr>
                <w:sz w:val="16"/>
              </w:rPr>
            </w:pPr>
            <w:r>
              <w:rPr>
                <w:color w:val="231F20"/>
                <w:w w:val="75"/>
                <w:sz w:val="16"/>
              </w:rPr>
              <w:t>El Sardinero</w:t>
            </w:r>
          </w:p>
        </w:tc>
        <w:tc>
          <w:tcPr>
            <w:tcW w:w="4443" w:type="dxa"/>
          </w:tcPr>
          <w:p>
            <w:pPr>
              <w:pStyle w:val="TableParagraph"/>
              <w:spacing w:line="146" w:lineRule="exact"/>
              <w:rPr>
                <w:sz w:val="16"/>
              </w:rPr>
            </w:pPr>
            <w:r>
              <w:rPr>
                <w:color w:val="231F20"/>
                <w:w w:val="75"/>
                <w:sz w:val="16"/>
              </w:rPr>
              <w:t>4500 lechitas</w:t>
            </w:r>
          </w:p>
        </w:tc>
        <w:tc>
          <w:tcPr>
            <w:tcW w:w="1643" w:type="dxa"/>
          </w:tcPr>
          <w:p>
            <w:pPr>
              <w:pStyle w:val="TableParagraph"/>
              <w:spacing w:line="146" w:lineRule="exact"/>
              <w:ind w:left="178"/>
              <w:rPr>
                <w:sz w:val="16"/>
              </w:rPr>
            </w:pPr>
            <w:r>
              <w:rPr>
                <w:color w:val="231F20"/>
                <w:w w:val="75"/>
                <w:sz w:val="16"/>
              </w:rPr>
              <w:t>20 000</w:t>
            </w:r>
          </w:p>
        </w:tc>
      </w:tr>
      <w:tr>
        <w:trPr>
          <w:trHeight w:val="130" w:hRule="exact"/>
        </w:trPr>
        <w:tc>
          <w:tcPr>
            <w:tcW w:w="1842" w:type="dxa"/>
          </w:tcPr>
          <w:p>
            <w:pPr>
              <w:pStyle w:val="TableParagraph"/>
              <w:spacing w:line="146" w:lineRule="exact"/>
              <w:rPr>
                <w:sz w:val="16"/>
              </w:rPr>
            </w:pPr>
            <w:r>
              <w:rPr>
                <w:color w:val="231F20"/>
                <w:w w:val="75"/>
                <w:sz w:val="16"/>
              </w:rPr>
              <w:t>Empresarios de Naucalpan</w:t>
            </w:r>
          </w:p>
        </w:tc>
        <w:tc>
          <w:tcPr>
            <w:tcW w:w="4443" w:type="dxa"/>
          </w:tcPr>
          <w:p>
            <w:pPr>
              <w:pStyle w:val="TableParagraph"/>
              <w:spacing w:line="146" w:lineRule="exact"/>
              <w:rPr>
                <w:sz w:val="16"/>
              </w:rPr>
            </w:pPr>
            <w:r>
              <w:rPr>
                <w:color w:val="231F20"/>
                <w:w w:val="75"/>
                <w:sz w:val="16"/>
              </w:rPr>
              <w:t>40 bicicletas</w:t>
            </w:r>
          </w:p>
        </w:tc>
        <w:tc>
          <w:tcPr>
            <w:tcW w:w="1643" w:type="dxa"/>
          </w:tcPr>
          <w:p>
            <w:pPr>
              <w:pStyle w:val="TableParagraph"/>
              <w:spacing w:line="146" w:lineRule="exact"/>
              <w:ind w:left="178"/>
              <w:rPr>
                <w:sz w:val="16"/>
              </w:rPr>
            </w:pPr>
            <w:r>
              <w:rPr>
                <w:color w:val="231F20"/>
                <w:w w:val="75"/>
                <w:sz w:val="16"/>
              </w:rPr>
              <w:t>24 000</w:t>
            </w:r>
          </w:p>
        </w:tc>
      </w:tr>
      <w:tr>
        <w:trPr>
          <w:trHeight w:val="130" w:hRule="exact"/>
        </w:trPr>
        <w:tc>
          <w:tcPr>
            <w:tcW w:w="1842" w:type="dxa"/>
          </w:tcPr>
          <w:p>
            <w:pPr>
              <w:pStyle w:val="TableParagraph"/>
              <w:spacing w:line="146" w:lineRule="exact"/>
              <w:rPr>
                <w:sz w:val="16"/>
              </w:rPr>
            </w:pPr>
            <w:r>
              <w:rPr>
                <w:color w:val="231F20"/>
                <w:w w:val="75"/>
                <w:sz w:val="16"/>
              </w:rPr>
              <w:t>Fundación “Sólo por Ayudar”</w:t>
            </w:r>
          </w:p>
        </w:tc>
        <w:tc>
          <w:tcPr>
            <w:tcW w:w="4443" w:type="dxa"/>
          </w:tcPr>
          <w:p>
            <w:pPr>
              <w:pStyle w:val="TableParagraph"/>
              <w:spacing w:line="146" w:lineRule="exact"/>
              <w:rPr>
                <w:sz w:val="16"/>
              </w:rPr>
            </w:pPr>
            <w:r>
              <w:rPr>
                <w:color w:val="231F20"/>
                <w:w w:val="80"/>
                <w:sz w:val="16"/>
              </w:rPr>
              <w:t>500 prendas de ropa nueva</w:t>
            </w:r>
          </w:p>
        </w:tc>
        <w:tc>
          <w:tcPr>
            <w:tcW w:w="1643" w:type="dxa"/>
          </w:tcPr>
          <w:p>
            <w:pPr>
              <w:pStyle w:val="TableParagraph"/>
              <w:spacing w:line="146" w:lineRule="exact"/>
              <w:ind w:left="178"/>
              <w:rPr>
                <w:sz w:val="16"/>
              </w:rPr>
            </w:pPr>
            <w:r>
              <w:rPr>
                <w:color w:val="231F20"/>
                <w:w w:val="80"/>
                <w:sz w:val="16"/>
              </w:rPr>
              <w:t>10 000</w:t>
            </w:r>
          </w:p>
        </w:tc>
      </w:tr>
      <w:tr>
        <w:trPr>
          <w:trHeight w:val="130" w:hRule="exact"/>
        </w:trPr>
        <w:tc>
          <w:tcPr>
            <w:tcW w:w="1842" w:type="dxa"/>
          </w:tcPr>
          <w:p>
            <w:pPr>
              <w:pStyle w:val="TableParagraph"/>
              <w:spacing w:line="146" w:lineRule="exact"/>
              <w:rPr>
                <w:sz w:val="16"/>
              </w:rPr>
            </w:pPr>
            <w:r>
              <w:rPr>
                <w:color w:val="231F20"/>
                <w:w w:val="75"/>
                <w:sz w:val="16"/>
              </w:rPr>
              <w:t>Fundación Gigante</w:t>
            </w:r>
          </w:p>
        </w:tc>
        <w:tc>
          <w:tcPr>
            <w:tcW w:w="4443" w:type="dxa"/>
          </w:tcPr>
          <w:p>
            <w:pPr>
              <w:pStyle w:val="TableParagraph"/>
              <w:spacing w:line="146" w:lineRule="exact"/>
              <w:rPr>
                <w:sz w:val="16"/>
              </w:rPr>
            </w:pPr>
            <w:r>
              <w:rPr>
                <w:color w:val="231F20"/>
                <w:w w:val="75"/>
                <w:sz w:val="16"/>
              </w:rPr>
              <w:t>Vales de compra</w:t>
            </w:r>
          </w:p>
        </w:tc>
        <w:tc>
          <w:tcPr>
            <w:tcW w:w="1643" w:type="dxa"/>
          </w:tcPr>
          <w:p>
            <w:pPr>
              <w:pStyle w:val="TableParagraph"/>
              <w:spacing w:line="146" w:lineRule="exact"/>
              <w:ind w:left="178"/>
              <w:rPr>
                <w:sz w:val="16"/>
              </w:rPr>
            </w:pPr>
            <w:r>
              <w:rPr>
                <w:color w:val="231F20"/>
                <w:w w:val="75"/>
                <w:sz w:val="16"/>
              </w:rPr>
              <w:t>95 000</w:t>
            </w:r>
          </w:p>
        </w:tc>
      </w:tr>
      <w:tr>
        <w:trPr>
          <w:trHeight w:val="290" w:hRule="exact"/>
        </w:trPr>
        <w:tc>
          <w:tcPr>
            <w:tcW w:w="1842" w:type="dxa"/>
          </w:tcPr>
          <w:p>
            <w:pPr>
              <w:pStyle w:val="TableParagraph"/>
              <w:spacing w:line="130" w:lineRule="exact"/>
              <w:rPr>
                <w:sz w:val="16"/>
              </w:rPr>
            </w:pPr>
            <w:r>
              <w:rPr>
                <w:color w:val="231F20"/>
                <w:w w:val="80"/>
                <w:sz w:val="16"/>
              </w:rPr>
              <w:t>Galaz Yamazaki, Ruiz Urquiza</w:t>
            </w:r>
          </w:p>
          <w:p>
            <w:pPr>
              <w:pStyle w:val="TableParagraph"/>
              <w:spacing w:line="176" w:lineRule="exact"/>
              <w:rPr>
                <w:sz w:val="16"/>
              </w:rPr>
            </w:pPr>
            <w:r>
              <w:rPr>
                <w:color w:val="231F20"/>
                <w:w w:val="85"/>
                <w:sz w:val="16"/>
              </w:rPr>
              <w:t>S.C.</w:t>
            </w:r>
          </w:p>
        </w:tc>
        <w:tc>
          <w:tcPr>
            <w:tcW w:w="4443" w:type="dxa"/>
          </w:tcPr>
          <w:p>
            <w:pPr>
              <w:pStyle w:val="TableParagraph"/>
              <w:spacing w:line="147" w:lineRule="exact"/>
              <w:rPr>
                <w:sz w:val="16"/>
              </w:rPr>
            </w:pPr>
            <w:r>
              <w:rPr>
                <w:color w:val="231F20"/>
                <w:w w:val="80"/>
                <w:sz w:val="16"/>
              </w:rPr>
              <w:t>12 Lap tops</w:t>
            </w:r>
          </w:p>
        </w:tc>
        <w:tc>
          <w:tcPr>
            <w:tcW w:w="1643" w:type="dxa"/>
          </w:tcPr>
          <w:p>
            <w:pPr>
              <w:pStyle w:val="TableParagraph"/>
              <w:spacing w:line="147" w:lineRule="exact"/>
              <w:ind w:left="178"/>
              <w:rPr>
                <w:sz w:val="16"/>
              </w:rPr>
            </w:pPr>
            <w:r>
              <w:rPr>
                <w:color w:val="231F20"/>
                <w:w w:val="80"/>
                <w:sz w:val="16"/>
              </w:rPr>
              <w:t>84 000</w:t>
            </w:r>
          </w:p>
        </w:tc>
      </w:tr>
      <w:tr>
        <w:trPr>
          <w:trHeight w:val="130" w:hRule="exact"/>
        </w:trPr>
        <w:tc>
          <w:tcPr>
            <w:tcW w:w="1842" w:type="dxa"/>
          </w:tcPr>
          <w:p>
            <w:pPr>
              <w:pStyle w:val="TableParagraph"/>
              <w:spacing w:line="146" w:lineRule="exact"/>
              <w:rPr>
                <w:sz w:val="16"/>
              </w:rPr>
            </w:pPr>
            <w:r>
              <w:rPr>
                <w:color w:val="231F20"/>
                <w:w w:val="75"/>
                <w:sz w:val="16"/>
              </w:rPr>
              <w:t>Grupo Elektra</w:t>
            </w:r>
          </w:p>
        </w:tc>
        <w:tc>
          <w:tcPr>
            <w:tcW w:w="4443" w:type="dxa"/>
          </w:tcPr>
          <w:p>
            <w:pPr>
              <w:pStyle w:val="TableParagraph"/>
              <w:spacing w:line="146" w:lineRule="exact"/>
              <w:rPr>
                <w:sz w:val="16"/>
              </w:rPr>
            </w:pPr>
            <w:r>
              <w:rPr>
                <w:color w:val="231F20"/>
                <w:w w:val="80"/>
                <w:sz w:val="16"/>
              </w:rPr>
              <w:t>artículos para el hogar</w:t>
            </w:r>
          </w:p>
        </w:tc>
        <w:tc>
          <w:tcPr>
            <w:tcW w:w="1643" w:type="dxa"/>
          </w:tcPr>
          <w:p>
            <w:pPr>
              <w:pStyle w:val="TableParagraph"/>
              <w:spacing w:line="146" w:lineRule="exact"/>
              <w:ind w:left="178"/>
              <w:rPr>
                <w:sz w:val="16"/>
              </w:rPr>
            </w:pPr>
            <w:r>
              <w:rPr>
                <w:color w:val="231F20"/>
                <w:w w:val="80"/>
                <w:sz w:val="16"/>
              </w:rPr>
              <w:t>23 896</w:t>
            </w:r>
          </w:p>
        </w:tc>
      </w:tr>
      <w:tr>
        <w:trPr>
          <w:trHeight w:val="130" w:hRule="exact"/>
        </w:trPr>
        <w:tc>
          <w:tcPr>
            <w:tcW w:w="1842" w:type="dxa"/>
          </w:tcPr>
          <w:p>
            <w:pPr>
              <w:pStyle w:val="TableParagraph"/>
              <w:spacing w:line="146" w:lineRule="exact"/>
              <w:rPr>
                <w:sz w:val="16"/>
              </w:rPr>
            </w:pPr>
            <w:r>
              <w:rPr>
                <w:color w:val="231F20"/>
                <w:w w:val="75"/>
                <w:sz w:val="16"/>
              </w:rPr>
              <w:t>Grupo Satélite</w:t>
            </w:r>
          </w:p>
        </w:tc>
        <w:tc>
          <w:tcPr>
            <w:tcW w:w="4443" w:type="dxa"/>
          </w:tcPr>
          <w:p>
            <w:pPr>
              <w:pStyle w:val="TableParagraph"/>
              <w:spacing w:line="146" w:lineRule="exact"/>
              <w:rPr>
                <w:sz w:val="16"/>
              </w:rPr>
            </w:pPr>
            <w:r>
              <w:rPr>
                <w:color w:val="231F20"/>
                <w:w w:val="75"/>
                <w:sz w:val="16"/>
              </w:rPr>
              <w:t>donativo en efectivo</w:t>
            </w:r>
          </w:p>
        </w:tc>
        <w:tc>
          <w:tcPr>
            <w:tcW w:w="1643" w:type="dxa"/>
          </w:tcPr>
          <w:p>
            <w:pPr>
              <w:pStyle w:val="TableParagraph"/>
              <w:spacing w:line="146" w:lineRule="exact"/>
              <w:ind w:left="178"/>
              <w:rPr>
                <w:sz w:val="16"/>
              </w:rPr>
            </w:pPr>
            <w:r>
              <w:rPr>
                <w:color w:val="231F20"/>
                <w:w w:val="75"/>
                <w:sz w:val="16"/>
              </w:rPr>
              <w:t>35 000</w:t>
            </w:r>
          </w:p>
        </w:tc>
      </w:tr>
      <w:tr>
        <w:trPr>
          <w:trHeight w:val="130" w:hRule="exact"/>
        </w:trPr>
        <w:tc>
          <w:tcPr>
            <w:tcW w:w="1842" w:type="dxa"/>
          </w:tcPr>
          <w:p>
            <w:pPr>
              <w:pStyle w:val="TableParagraph"/>
              <w:spacing w:line="146" w:lineRule="exact"/>
              <w:rPr>
                <w:sz w:val="16"/>
              </w:rPr>
            </w:pPr>
            <w:r>
              <w:rPr>
                <w:color w:val="231F20"/>
                <w:w w:val="75"/>
                <w:sz w:val="16"/>
              </w:rPr>
              <w:t>Grupo textil PIMA</w:t>
            </w:r>
          </w:p>
        </w:tc>
        <w:tc>
          <w:tcPr>
            <w:tcW w:w="4443" w:type="dxa"/>
          </w:tcPr>
          <w:p>
            <w:pPr>
              <w:pStyle w:val="TableParagraph"/>
              <w:spacing w:line="146" w:lineRule="exact"/>
              <w:rPr>
                <w:sz w:val="16"/>
              </w:rPr>
            </w:pPr>
            <w:r>
              <w:rPr>
                <w:color w:val="231F20"/>
                <w:w w:val="80"/>
                <w:sz w:val="16"/>
              </w:rPr>
              <w:t>Prendas de ropa nueva y tela</w:t>
            </w:r>
          </w:p>
        </w:tc>
        <w:tc>
          <w:tcPr>
            <w:tcW w:w="1643" w:type="dxa"/>
          </w:tcPr>
          <w:p>
            <w:pPr>
              <w:pStyle w:val="TableParagraph"/>
              <w:spacing w:line="146" w:lineRule="exact"/>
              <w:ind w:left="178"/>
              <w:rPr>
                <w:sz w:val="16"/>
              </w:rPr>
            </w:pPr>
            <w:r>
              <w:rPr>
                <w:color w:val="231F20"/>
                <w:w w:val="75"/>
                <w:sz w:val="16"/>
              </w:rPr>
              <w:t>24 650</w:t>
            </w:r>
          </w:p>
        </w:tc>
      </w:tr>
      <w:tr>
        <w:trPr>
          <w:trHeight w:val="290" w:hRule="exact"/>
        </w:trPr>
        <w:tc>
          <w:tcPr>
            <w:tcW w:w="1842" w:type="dxa"/>
          </w:tcPr>
          <w:p>
            <w:pPr>
              <w:pStyle w:val="TableParagraph"/>
              <w:spacing w:line="129" w:lineRule="exact"/>
              <w:rPr>
                <w:sz w:val="16"/>
              </w:rPr>
            </w:pPr>
            <w:r>
              <w:rPr>
                <w:color w:val="231F20"/>
                <w:w w:val="75"/>
                <w:sz w:val="16"/>
              </w:rPr>
              <w:t>Laboratorios “Wermar Farma-</w:t>
            </w:r>
          </w:p>
          <w:p>
            <w:pPr>
              <w:pStyle w:val="TableParagraph"/>
              <w:spacing w:line="176" w:lineRule="exact"/>
              <w:rPr>
                <w:sz w:val="16"/>
              </w:rPr>
            </w:pPr>
            <w:r>
              <w:rPr>
                <w:color w:val="231F20"/>
                <w:w w:val="85"/>
                <w:sz w:val="16"/>
              </w:rPr>
              <w:t>ceuticals“</w:t>
            </w:r>
          </w:p>
        </w:tc>
        <w:tc>
          <w:tcPr>
            <w:tcW w:w="4443" w:type="dxa"/>
          </w:tcPr>
          <w:p>
            <w:pPr>
              <w:pStyle w:val="TableParagraph"/>
              <w:spacing w:line="147" w:lineRule="exact"/>
              <w:rPr>
                <w:sz w:val="16"/>
              </w:rPr>
            </w:pPr>
            <w:r>
              <w:rPr>
                <w:color w:val="231F20"/>
                <w:w w:val="75"/>
                <w:sz w:val="16"/>
              </w:rPr>
              <w:t>204 cajas de medicamentos varios</w:t>
            </w:r>
          </w:p>
        </w:tc>
        <w:tc>
          <w:tcPr>
            <w:tcW w:w="1643" w:type="dxa"/>
          </w:tcPr>
          <w:p>
            <w:pPr>
              <w:pStyle w:val="TableParagraph"/>
              <w:spacing w:line="147" w:lineRule="exact"/>
              <w:ind w:left="178"/>
              <w:rPr>
                <w:sz w:val="16"/>
              </w:rPr>
            </w:pPr>
            <w:r>
              <w:rPr>
                <w:color w:val="231F20"/>
                <w:w w:val="75"/>
                <w:sz w:val="16"/>
              </w:rPr>
              <w:t>10 000</w:t>
            </w:r>
          </w:p>
        </w:tc>
      </w:tr>
      <w:tr>
        <w:trPr>
          <w:trHeight w:val="130" w:hRule="exact"/>
        </w:trPr>
        <w:tc>
          <w:tcPr>
            <w:tcW w:w="1842" w:type="dxa"/>
          </w:tcPr>
          <w:p>
            <w:pPr>
              <w:pStyle w:val="TableParagraph"/>
              <w:spacing w:line="146" w:lineRule="exact"/>
              <w:rPr>
                <w:sz w:val="16"/>
              </w:rPr>
            </w:pPr>
            <w:r>
              <w:rPr>
                <w:color w:val="231F20"/>
                <w:w w:val="75"/>
                <w:sz w:val="16"/>
              </w:rPr>
              <w:t>Laboratorios Merck</w:t>
            </w:r>
          </w:p>
        </w:tc>
        <w:tc>
          <w:tcPr>
            <w:tcW w:w="4443" w:type="dxa"/>
          </w:tcPr>
          <w:p>
            <w:pPr>
              <w:pStyle w:val="TableParagraph"/>
              <w:spacing w:line="146" w:lineRule="exact"/>
              <w:rPr>
                <w:sz w:val="16"/>
              </w:rPr>
            </w:pPr>
            <w:r>
              <w:rPr>
                <w:color w:val="231F20"/>
                <w:w w:val="75"/>
                <w:sz w:val="16"/>
              </w:rPr>
              <w:t>2000 pelotas</w:t>
            </w:r>
          </w:p>
        </w:tc>
        <w:tc>
          <w:tcPr>
            <w:tcW w:w="1643" w:type="dxa"/>
          </w:tcPr>
          <w:p>
            <w:pPr>
              <w:pStyle w:val="TableParagraph"/>
              <w:spacing w:line="146" w:lineRule="exact"/>
              <w:ind w:left="178"/>
              <w:rPr>
                <w:sz w:val="16"/>
              </w:rPr>
            </w:pPr>
            <w:r>
              <w:rPr>
                <w:color w:val="231F20"/>
                <w:w w:val="75"/>
                <w:sz w:val="16"/>
              </w:rPr>
              <w:t>20 000</w:t>
            </w:r>
          </w:p>
        </w:tc>
      </w:tr>
      <w:tr>
        <w:trPr>
          <w:trHeight w:val="130" w:hRule="exact"/>
        </w:trPr>
        <w:tc>
          <w:tcPr>
            <w:tcW w:w="1842" w:type="dxa"/>
          </w:tcPr>
          <w:p>
            <w:pPr>
              <w:pStyle w:val="TableParagraph"/>
              <w:spacing w:line="146" w:lineRule="exact"/>
              <w:rPr>
                <w:sz w:val="16"/>
              </w:rPr>
            </w:pPr>
            <w:r>
              <w:rPr>
                <w:color w:val="231F20"/>
                <w:w w:val="75"/>
                <w:sz w:val="16"/>
              </w:rPr>
              <w:t>Lic. Miguel Montandon</w:t>
            </w:r>
          </w:p>
        </w:tc>
        <w:tc>
          <w:tcPr>
            <w:tcW w:w="4443" w:type="dxa"/>
          </w:tcPr>
          <w:p>
            <w:pPr>
              <w:pStyle w:val="TableParagraph"/>
              <w:spacing w:line="146" w:lineRule="exact"/>
              <w:rPr>
                <w:sz w:val="16"/>
              </w:rPr>
            </w:pPr>
            <w:r>
              <w:rPr>
                <w:color w:val="231F20"/>
                <w:w w:val="80"/>
                <w:sz w:val="16"/>
              </w:rPr>
              <w:t>500 algodones de azúcar</w:t>
            </w:r>
          </w:p>
        </w:tc>
        <w:tc>
          <w:tcPr>
            <w:tcW w:w="1643" w:type="dxa"/>
          </w:tcPr>
          <w:p>
            <w:pPr>
              <w:pStyle w:val="TableParagraph"/>
              <w:spacing w:line="146" w:lineRule="exact"/>
              <w:ind w:left="203"/>
              <w:rPr>
                <w:sz w:val="16"/>
              </w:rPr>
            </w:pPr>
            <w:r>
              <w:rPr>
                <w:color w:val="231F20"/>
                <w:w w:val="80"/>
                <w:sz w:val="16"/>
              </w:rPr>
              <w:t>2 000</w:t>
            </w:r>
          </w:p>
        </w:tc>
      </w:tr>
      <w:tr>
        <w:trPr>
          <w:trHeight w:val="130" w:hRule="exact"/>
        </w:trPr>
        <w:tc>
          <w:tcPr>
            <w:tcW w:w="1842" w:type="dxa"/>
          </w:tcPr>
          <w:p>
            <w:pPr>
              <w:pStyle w:val="TableParagraph"/>
              <w:spacing w:line="146" w:lineRule="exact"/>
              <w:rPr>
                <w:sz w:val="16"/>
              </w:rPr>
            </w:pPr>
            <w:r>
              <w:rPr>
                <w:color w:val="231F20"/>
                <w:w w:val="75"/>
                <w:sz w:val="16"/>
              </w:rPr>
              <w:t>Nueva Wall Mart de México</w:t>
            </w:r>
          </w:p>
        </w:tc>
        <w:tc>
          <w:tcPr>
            <w:tcW w:w="4443" w:type="dxa"/>
          </w:tcPr>
          <w:p>
            <w:pPr>
              <w:pStyle w:val="TableParagraph"/>
              <w:spacing w:line="146" w:lineRule="exact"/>
              <w:rPr>
                <w:sz w:val="16"/>
              </w:rPr>
            </w:pPr>
            <w:r>
              <w:rPr>
                <w:color w:val="231F20"/>
                <w:w w:val="75"/>
                <w:sz w:val="16"/>
              </w:rPr>
              <w:t>Donativo en efectivo</w:t>
            </w:r>
          </w:p>
        </w:tc>
        <w:tc>
          <w:tcPr>
            <w:tcW w:w="1643" w:type="dxa"/>
          </w:tcPr>
          <w:p>
            <w:pPr>
              <w:pStyle w:val="TableParagraph"/>
              <w:spacing w:line="146" w:lineRule="exact"/>
              <w:ind w:left="153"/>
              <w:rPr>
                <w:sz w:val="16"/>
              </w:rPr>
            </w:pPr>
            <w:r>
              <w:rPr>
                <w:color w:val="231F20"/>
                <w:w w:val="75"/>
                <w:sz w:val="16"/>
              </w:rPr>
              <w:t>110 000</w:t>
            </w:r>
          </w:p>
        </w:tc>
      </w:tr>
      <w:tr>
        <w:trPr>
          <w:trHeight w:val="290" w:hRule="exact"/>
        </w:trPr>
        <w:tc>
          <w:tcPr>
            <w:tcW w:w="1842" w:type="dxa"/>
          </w:tcPr>
          <w:p>
            <w:pPr>
              <w:pStyle w:val="TableParagraph"/>
              <w:spacing w:line="129" w:lineRule="exact"/>
              <w:rPr>
                <w:sz w:val="16"/>
              </w:rPr>
            </w:pPr>
            <w:r>
              <w:rPr>
                <w:color w:val="231F20"/>
                <w:w w:val="80"/>
                <w:sz w:val="16"/>
              </w:rPr>
              <w:t>Padres de familia de las Estan-</w:t>
            </w:r>
          </w:p>
          <w:p>
            <w:pPr>
              <w:pStyle w:val="TableParagraph"/>
              <w:spacing w:line="177" w:lineRule="exact"/>
              <w:rPr>
                <w:sz w:val="16"/>
              </w:rPr>
            </w:pPr>
            <w:r>
              <w:rPr>
                <w:color w:val="231F20"/>
                <w:w w:val="75"/>
                <w:sz w:val="16"/>
              </w:rPr>
              <w:t>cias Infantiles</w:t>
            </w:r>
          </w:p>
        </w:tc>
        <w:tc>
          <w:tcPr>
            <w:tcW w:w="4443" w:type="dxa"/>
          </w:tcPr>
          <w:p>
            <w:pPr>
              <w:pStyle w:val="TableParagraph"/>
              <w:spacing w:line="147" w:lineRule="exact"/>
              <w:rPr>
                <w:sz w:val="16"/>
              </w:rPr>
            </w:pPr>
            <w:r>
              <w:rPr>
                <w:color w:val="231F20"/>
                <w:w w:val="75"/>
                <w:sz w:val="16"/>
              </w:rPr>
              <w:t>Aparatos electrodomésticos</w:t>
            </w:r>
          </w:p>
        </w:tc>
        <w:tc>
          <w:tcPr>
            <w:tcW w:w="1643" w:type="dxa"/>
          </w:tcPr>
          <w:p>
            <w:pPr>
              <w:pStyle w:val="TableParagraph"/>
              <w:spacing w:line="147" w:lineRule="exact"/>
              <w:ind w:left="178"/>
              <w:rPr>
                <w:sz w:val="16"/>
              </w:rPr>
            </w:pPr>
            <w:r>
              <w:rPr>
                <w:color w:val="231F20"/>
                <w:w w:val="80"/>
                <w:sz w:val="16"/>
              </w:rPr>
              <w:t>15 000</w:t>
            </w:r>
          </w:p>
        </w:tc>
      </w:tr>
      <w:tr>
        <w:trPr>
          <w:trHeight w:val="130" w:hRule="exact"/>
        </w:trPr>
        <w:tc>
          <w:tcPr>
            <w:tcW w:w="1842" w:type="dxa"/>
          </w:tcPr>
          <w:p>
            <w:pPr>
              <w:pStyle w:val="TableParagraph"/>
              <w:spacing w:line="146" w:lineRule="exact"/>
              <w:rPr>
                <w:sz w:val="16"/>
              </w:rPr>
            </w:pPr>
            <w:r>
              <w:rPr>
                <w:color w:val="231F20"/>
                <w:w w:val="80"/>
                <w:sz w:val="16"/>
              </w:rPr>
              <w:t>Sherwin Williams</w:t>
            </w:r>
          </w:p>
        </w:tc>
        <w:tc>
          <w:tcPr>
            <w:tcW w:w="4443" w:type="dxa"/>
          </w:tcPr>
          <w:p>
            <w:pPr>
              <w:pStyle w:val="TableParagraph"/>
              <w:spacing w:line="146" w:lineRule="exact"/>
              <w:rPr>
                <w:sz w:val="16"/>
              </w:rPr>
            </w:pPr>
            <w:r>
              <w:rPr>
                <w:color w:val="231F20"/>
                <w:w w:val="80"/>
                <w:sz w:val="16"/>
              </w:rPr>
              <w:t>10 cubetas de pintura de 19 Lt</w:t>
            </w:r>
          </w:p>
        </w:tc>
        <w:tc>
          <w:tcPr>
            <w:tcW w:w="1643" w:type="dxa"/>
          </w:tcPr>
          <w:p>
            <w:pPr>
              <w:pStyle w:val="TableParagraph"/>
              <w:spacing w:line="146" w:lineRule="exact"/>
              <w:ind w:left="178"/>
              <w:rPr>
                <w:sz w:val="16"/>
              </w:rPr>
            </w:pPr>
            <w:r>
              <w:rPr>
                <w:color w:val="231F20"/>
                <w:w w:val="80"/>
                <w:sz w:val="16"/>
              </w:rPr>
              <w:t>12 000</w:t>
            </w:r>
          </w:p>
        </w:tc>
      </w:tr>
      <w:tr>
        <w:trPr>
          <w:trHeight w:val="130" w:hRule="exact"/>
        </w:trPr>
        <w:tc>
          <w:tcPr>
            <w:tcW w:w="1842" w:type="dxa"/>
          </w:tcPr>
          <w:p>
            <w:pPr>
              <w:pStyle w:val="TableParagraph"/>
              <w:spacing w:line="146" w:lineRule="exact"/>
              <w:rPr>
                <w:sz w:val="16"/>
              </w:rPr>
            </w:pPr>
            <w:r>
              <w:rPr>
                <w:color w:val="231F20"/>
                <w:w w:val="85"/>
                <w:sz w:val="16"/>
              </w:rPr>
              <w:t>TELMEX</w:t>
            </w:r>
          </w:p>
        </w:tc>
        <w:tc>
          <w:tcPr>
            <w:tcW w:w="4443" w:type="dxa"/>
          </w:tcPr>
          <w:p>
            <w:pPr>
              <w:pStyle w:val="TableParagraph"/>
              <w:spacing w:line="146" w:lineRule="exact"/>
              <w:rPr>
                <w:sz w:val="16"/>
              </w:rPr>
            </w:pPr>
            <w:r>
              <w:rPr>
                <w:color w:val="231F20"/>
                <w:w w:val="80"/>
                <w:sz w:val="16"/>
              </w:rPr>
              <w:t>200 Boletos para Granja “Las Américas”</w:t>
            </w:r>
          </w:p>
        </w:tc>
        <w:tc>
          <w:tcPr>
            <w:tcW w:w="1643" w:type="dxa"/>
          </w:tcPr>
          <w:p>
            <w:pPr>
              <w:pStyle w:val="TableParagraph"/>
              <w:spacing w:line="146" w:lineRule="exact"/>
              <w:ind w:left="178"/>
              <w:rPr>
                <w:sz w:val="16"/>
              </w:rPr>
            </w:pPr>
            <w:r>
              <w:rPr>
                <w:color w:val="231F20"/>
                <w:w w:val="75"/>
                <w:sz w:val="16"/>
              </w:rPr>
              <w:t>30 000</w:t>
            </w:r>
          </w:p>
        </w:tc>
      </w:tr>
      <w:tr>
        <w:trPr>
          <w:trHeight w:val="130" w:hRule="exact"/>
        </w:trPr>
        <w:tc>
          <w:tcPr>
            <w:tcW w:w="1842" w:type="dxa"/>
          </w:tcPr>
          <w:p>
            <w:pPr>
              <w:pStyle w:val="TableParagraph"/>
              <w:spacing w:line="146" w:lineRule="exact"/>
              <w:rPr>
                <w:sz w:val="16"/>
              </w:rPr>
            </w:pPr>
            <w:r>
              <w:rPr>
                <w:color w:val="231F20"/>
                <w:w w:val="85"/>
                <w:sz w:val="16"/>
              </w:rPr>
              <w:t>Varios</w:t>
            </w:r>
          </w:p>
        </w:tc>
        <w:tc>
          <w:tcPr>
            <w:tcW w:w="4443" w:type="dxa"/>
          </w:tcPr>
          <w:p>
            <w:pPr>
              <w:pStyle w:val="TableParagraph"/>
              <w:spacing w:line="146" w:lineRule="exact"/>
              <w:rPr>
                <w:sz w:val="16"/>
              </w:rPr>
            </w:pPr>
            <w:r>
              <w:rPr>
                <w:color w:val="231F20"/>
                <w:w w:val="75"/>
                <w:sz w:val="16"/>
              </w:rPr>
              <w:t>No especificado</w:t>
            </w:r>
          </w:p>
        </w:tc>
        <w:tc>
          <w:tcPr>
            <w:tcW w:w="1643" w:type="dxa"/>
          </w:tcPr>
          <w:p>
            <w:pPr>
              <w:pStyle w:val="TableParagraph"/>
              <w:spacing w:line="146" w:lineRule="exact"/>
              <w:ind w:left="178"/>
              <w:rPr>
                <w:sz w:val="16"/>
              </w:rPr>
            </w:pPr>
            <w:r>
              <w:rPr>
                <w:color w:val="231F20"/>
                <w:w w:val="80"/>
                <w:sz w:val="16"/>
              </w:rPr>
              <w:t>21 000</w:t>
            </w:r>
          </w:p>
        </w:tc>
      </w:tr>
      <w:tr>
        <w:trPr>
          <w:trHeight w:val="130" w:hRule="exact"/>
        </w:trPr>
        <w:tc>
          <w:tcPr>
            <w:tcW w:w="1842" w:type="dxa"/>
          </w:tcPr>
          <w:p>
            <w:pPr>
              <w:pStyle w:val="TableParagraph"/>
              <w:spacing w:line="146" w:lineRule="exact"/>
              <w:rPr>
                <w:sz w:val="16"/>
              </w:rPr>
            </w:pPr>
            <w:r>
              <w:rPr>
                <w:color w:val="231F20"/>
                <w:w w:val="85"/>
                <w:sz w:val="16"/>
              </w:rPr>
              <w:t>Woolworth</w:t>
            </w:r>
          </w:p>
        </w:tc>
        <w:tc>
          <w:tcPr>
            <w:tcW w:w="4443" w:type="dxa"/>
          </w:tcPr>
          <w:p>
            <w:pPr>
              <w:pStyle w:val="TableParagraph"/>
              <w:spacing w:line="146" w:lineRule="exact"/>
              <w:rPr>
                <w:sz w:val="16"/>
              </w:rPr>
            </w:pPr>
            <w:r>
              <w:rPr>
                <w:color w:val="231F20"/>
                <w:w w:val="80"/>
                <w:sz w:val="16"/>
              </w:rPr>
              <w:t>211 prendas de ropa nueva para niños</w:t>
            </w:r>
          </w:p>
        </w:tc>
        <w:tc>
          <w:tcPr>
            <w:tcW w:w="1643" w:type="dxa"/>
          </w:tcPr>
          <w:p>
            <w:pPr>
              <w:pStyle w:val="TableParagraph"/>
              <w:spacing w:line="146" w:lineRule="exact"/>
              <w:ind w:left="178"/>
              <w:rPr>
                <w:sz w:val="16"/>
              </w:rPr>
            </w:pPr>
            <w:r>
              <w:rPr>
                <w:color w:val="231F20"/>
                <w:w w:val="80"/>
                <w:sz w:val="16"/>
              </w:rPr>
              <w:t>12 000</w:t>
            </w:r>
          </w:p>
        </w:tc>
      </w:tr>
    </w:tbl>
    <w:p>
      <w:pPr>
        <w:spacing w:before="121"/>
        <w:ind w:left="0" w:right="108" w:firstLine="0"/>
        <w:jc w:val="right"/>
        <w:rPr>
          <w:rFonts w:ascii="Calibri" w:hAnsi="Calibri"/>
          <w:sz w:val="16"/>
        </w:rPr>
      </w:pPr>
      <w:r>
        <w:rPr>
          <w:rFonts w:ascii="Calibri" w:hAnsi="Calibri"/>
          <w:color w:val="231F20"/>
          <w:sz w:val="16"/>
        </w:rPr>
        <w:t>Fuente: 1º Informe de Gobierno, 2007</w:t>
      </w:r>
    </w:p>
    <w:p>
      <w:pPr>
        <w:spacing w:after="0"/>
        <w:jc w:val="right"/>
        <w:rPr>
          <w:rFonts w:ascii="Calibri" w:hAnsi="Calibri"/>
          <w:sz w:val="16"/>
        </w:rPr>
        <w:sectPr>
          <w:pgSz w:w="9640" w:h="12190"/>
          <w:pgMar w:header="0" w:footer="743" w:top="1120" w:bottom="940" w:left="740" w:right="740"/>
        </w:sectPr>
      </w:pPr>
    </w:p>
    <w:p>
      <w:pPr>
        <w:pStyle w:val="BodyText"/>
        <w:spacing w:before="6"/>
        <w:rPr>
          <w:rFonts w:ascii="Calibri"/>
          <w:sz w:val="8"/>
        </w:rPr>
      </w:pPr>
    </w:p>
    <w:p>
      <w:pPr>
        <w:pStyle w:val="Heading4"/>
        <w:spacing w:line="345" w:lineRule="exact"/>
        <w:ind w:right="574"/>
        <w:jc w:val="left"/>
        <w:rPr>
          <w:i/>
        </w:rPr>
      </w:pPr>
      <w:r>
        <w:rPr>
          <w:i/>
          <w:color w:val="231F20"/>
        </w:rPr>
        <w:t>Desarrollo Urbano Sustentable y Protección al  Ambiente</w:t>
      </w:r>
    </w:p>
    <w:p>
      <w:pPr>
        <w:pStyle w:val="BodyText"/>
        <w:spacing w:line="285" w:lineRule="auto" w:before="17"/>
        <w:ind w:left="110" w:right="-2"/>
      </w:pPr>
      <w:r>
        <w:rPr>
          <w:color w:val="231F20"/>
          <w:w w:val="105"/>
        </w:rPr>
        <w:t>El</w:t>
      </w:r>
      <w:r>
        <w:rPr>
          <w:color w:val="231F20"/>
          <w:spacing w:val="-24"/>
          <w:w w:val="105"/>
        </w:rPr>
        <w:t> </w:t>
      </w:r>
      <w:r>
        <w:rPr>
          <w:color w:val="231F20"/>
          <w:spacing w:val="-4"/>
          <w:w w:val="105"/>
        </w:rPr>
        <w:t>municipio</w:t>
      </w:r>
      <w:r>
        <w:rPr>
          <w:color w:val="231F20"/>
          <w:spacing w:val="-24"/>
          <w:w w:val="105"/>
        </w:rPr>
        <w:t> </w:t>
      </w:r>
      <w:r>
        <w:rPr>
          <w:color w:val="231F20"/>
          <w:w w:val="105"/>
        </w:rPr>
        <w:t>realizó</w:t>
      </w:r>
      <w:r>
        <w:rPr>
          <w:color w:val="231F20"/>
          <w:spacing w:val="-24"/>
          <w:w w:val="105"/>
        </w:rPr>
        <w:t> </w:t>
      </w:r>
      <w:r>
        <w:rPr>
          <w:color w:val="231F20"/>
          <w:w w:val="105"/>
        </w:rPr>
        <w:t>la</w:t>
      </w:r>
      <w:r>
        <w:rPr>
          <w:color w:val="231F20"/>
          <w:spacing w:val="-24"/>
          <w:w w:val="105"/>
        </w:rPr>
        <w:t> </w:t>
      </w:r>
      <w:r>
        <w:rPr>
          <w:color w:val="231F20"/>
          <w:spacing w:val="-4"/>
          <w:w w:val="105"/>
        </w:rPr>
        <w:t>adquisición</w:t>
      </w:r>
      <w:r>
        <w:rPr>
          <w:color w:val="231F20"/>
          <w:spacing w:val="-24"/>
          <w:w w:val="105"/>
        </w:rPr>
        <w:t> </w:t>
      </w:r>
      <w:r>
        <w:rPr>
          <w:color w:val="231F20"/>
          <w:spacing w:val="-3"/>
          <w:w w:val="105"/>
        </w:rPr>
        <w:t>de</w:t>
      </w:r>
      <w:r>
        <w:rPr>
          <w:color w:val="231F20"/>
          <w:spacing w:val="-24"/>
          <w:w w:val="105"/>
        </w:rPr>
        <w:t> </w:t>
      </w:r>
      <w:r>
        <w:rPr>
          <w:color w:val="231F20"/>
          <w:spacing w:val="-4"/>
          <w:w w:val="105"/>
        </w:rPr>
        <w:t>parque</w:t>
      </w:r>
      <w:r>
        <w:rPr>
          <w:color w:val="231F20"/>
          <w:spacing w:val="-24"/>
          <w:w w:val="105"/>
        </w:rPr>
        <w:t> </w:t>
      </w:r>
      <w:r>
        <w:rPr>
          <w:color w:val="231F20"/>
          <w:spacing w:val="-3"/>
          <w:w w:val="105"/>
        </w:rPr>
        <w:t>vehicular</w:t>
      </w:r>
      <w:r>
        <w:rPr>
          <w:color w:val="231F20"/>
          <w:spacing w:val="-24"/>
          <w:w w:val="105"/>
        </w:rPr>
        <w:t> </w:t>
      </w:r>
      <w:r>
        <w:rPr>
          <w:color w:val="231F20"/>
          <w:w w:val="105"/>
        </w:rPr>
        <w:t>más</w:t>
      </w:r>
      <w:r>
        <w:rPr>
          <w:color w:val="231F20"/>
          <w:spacing w:val="-24"/>
          <w:w w:val="105"/>
        </w:rPr>
        <w:t> </w:t>
      </w:r>
      <w:r>
        <w:rPr>
          <w:color w:val="231F20"/>
          <w:spacing w:val="-3"/>
          <w:w w:val="105"/>
        </w:rPr>
        <w:t>grande</w:t>
      </w:r>
      <w:r>
        <w:rPr>
          <w:color w:val="231F20"/>
          <w:spacing w:val="-24"/>
          <w:w w:val="105"/>
        </w:rPr>
        <w:t> </w:t>
      </w:r>
      <w:r>
        <w:rPr>
          <w:color w:val="231F20"/>
          <w:spacing w:val="-3"/>
          <w:w w:val="105"/>
        </w:rPr>
        <w:t>en</w:t>
      </w:r>
      <w:r>
        <w:rPr>
          <w:color w:val="231F20"/>
          <w:spacing w:val="-24"/>
          <w:w w:val="105"/>
        </w:rPr>
        <w:t> </w:t>
      </w:r>
      <w:r>
        <w:rPr>
          <w:color w:val="231F20"/>
          <w:w w:val="105"/>
        </w:rPr>
        <w:t>la</w:t>
      </w:r>
      <w:r>
        <w:rPr>
          <w:color w:val="231F20"/>
          <w:spacing w:val="-24"/>
          <w:w w:val="105"/>
        </w:rPr>
        <w:t> </w:t>
      </w:r>
      <w:r>
        <w:rPr>
          <w:color w:val="231F20"/>
          <w:spacing w:val="-3"/>
          <w:w w:val="105"/>
        </w:rPr>
        <w:t>historia,</w:t>
      </w:r>
      <w:r>
        <w:rPr>
          <w:color w:val="231F20"/>
          <w:spacing w:val="-24"/>
          <w:w w:val="105"/>
        </w:rPr>
        <w:t> </w:t>
      </w:r>
      <w:r>
        <w:rPr>
          <w:color w:val="231F20"/>
          <w:spacing w:val="-4"/>
          <w:w w:val="105"/>
        </w:rPr>
        <w:t>con</w:t>
      </w:r>
      <w:r>
        <w:rPr>
          <w:color w:val="231F20"/>
          <w:spacing w:val="-24"/>
          <w:w w:val="105"/>
        </w:rPr>
        <w:t> </w:t>
      </w:r>
      <w:r>
        <w:rPr>
          <w:color w:val="231F20"/>
          <w:spacing w:val="-3"/>
          <w:w w:val="105"/>
        </w:rPr>
        <w:t>el</w:t>
      </w:r>
      <w:r>
        <w:rPr>
          <w:color w:val="231F20"/>
          <w:spacing w:val="-24"/>
          <w:w w:val="105"/>
        </w:rPr>
        <w:t> </w:t>
      </w:r>
      <w:r>
        <w:rPr>
          <w:color w:val="231F20"/>
          <w:w w:val="105"/>
        </w:rPr>
        <w:t>fin </w:t>
      </w:r>
      <w:r>
        <w:rPr>
          <w:color w:val="231F20"/>
          <w:spacing w:val="-3"/>
          <w:w w:val="105"/>
        </w:rPr>
        <w:t>de</w:t>
      </w:r>
      <w:r>
        <w:rPr>
          <w:color w:val="231F20"/>
          <w:spacing w:val="-18"/>
          <w:w w:val="105"/>
        </w:rPr>
        <w:t> </w:t>
      </w:r>
      <w:r>
        <w:rPr>
          <w:color w:val="231F20"/>
          <w:spacing w:val="-4"/>
          <w:w w:val="105"/>
        </w:rPr>
        <w:t>hacer</w:t>
      </w:r>
      <w:r>
        <w:rPr>
          <w:color w:val="231F20"/>
          <w:spacing w:val="-18"/>
          <w:w w:val="105"/>
        </w:rPr>
        <w:t> </w:t>
      </w:r>
      <w:r>
        <w:rPr>
          <w:color w:val="231F20"/>
          <w:w w:val="105"/>
        </w:rPr>
        <w:t>más</w:t>
      </w:r>
      <w:r>
        <w:rPr>
          <w:color w:val="231F20"/>
          <w:spacing w:val="-18"/>
          <w:w w:val="105"/>
        </w:rPr>
        <w:t> </w:t>
      </w:r>
      <w:r>
        <w:rPr>
          <w:color w:val="231F20"/>
          <w:spacing w:val="-4"/>
          <w:w w:val="105"/>
        </w:rPr>
        <w:t>eficiente</w:t>
      </w:r>
      <w:r>
        <w:rPr>
          <w:color w:val="231F20"/>
          <w:spacing w:val="-18"/>
          <w:w w:val="105"/>
        </w:rPr>
        <w:t> </w:t>
      </w:r>
      <w:r>
        <w:rPr>
          <w:color w:val="231F20"/>
          <w:spacing w:val="-3"/>
          <w:w w:val="105"/>
        </w:rPr>
        <w:t>el</w:t>
      </w:r>
      <w:r>
        <w:rPr>
          <w:color w:val="231F20"/>
          <w:spacing w:val="-18"/>
          <w:w w:val="105"/>
        </w:rPr>
        <w:t> </w:t>
      </w:r>
      <w:r>
        <w:rPr>
          <w:color w:val="231F20"/>
          <w:spacing w:val="-3"/>
          <w:w w:val="105"/>
        </w:rPr>
        <w:t>trabajo</w:t>
      </w:r>
      <w:r>
        <w:rPr>
          <w:color w:val="231F20"/>
          <w:spacing w:val="-18"/>
          <w:w w:val="105"/>
        </w:rPr>
        <w:t> </w:t>
      </w:r>
      <w:r>
        <w:rPr>
          <w:color w:val="231F20"/>
          <w:spacing w:val="-3"/>
          <w:w w:val="105"/>
        </w:rPr>
        <w:t>de</w:t>
      </w:r>
      <w:r>
        <w:rPr>
          <w:color w:val="231F20"/>
          <w:spacing w:val="-18"/>
          <w:w w:val="105"/>
        </w:rPr>
        <w:t> </w:t>
      </w:r>
      <w:r>
        <w:rPr>
          <w:color w:val="231F20"/>
          <w:w w:val="105"/>
        </w:rPr>
        <w:t>las</w:t>
      </w:r>
      <w:r>
        <w:rPr>
          <w:color w:val="231F20"/>
          <w:spacing w:val="-18"/>
          <w:w w:val="105"/>
        </w:rPr>
        <w:t> </w:t>
      </w:r>
      <w:r>
        <w:rPr>
          <w:color w:val="231F20"/>
          <w:spacing w:val="-5"/>
          <w:w w:val="105"/>
        </w:rPr>
        <w:t>dependencias</w:t>
      </w:r>
      <w:r>
        <w:rPr>
          <w:color w:val="231F20"/>
          <w:spacing w:val="-18"/>
          <w:w w:val="105"/>
        </w:rPr>
        <w:t> </w:t>
      </w:r>
      <w:r>
        <w:rPr>
          <w:color w:val="231F20"/>
          <w:spacing w:val="-4"/>
          <w:w w:val="105"/>
        </w:rPr>
        <w:t>encargadas</w:t>
      </w:r>
      <w:r>
        <w:rPr>
          <w:color w:val="231F20"/>
          <w:spacing w:val="-18"/>
          <w:w w:val="105"/>
        </w:rPr>
        <w:t> </w:t>
      </w:r>
      <w:r>
        <w:rPr>
          <w:color w:val="231F20"/>
          <w:spacing w:val="-3"/>
          <w:w w:val="105"/>
        </w:rPr>
        <w:t>de</w:t>
      </w:r>
      <w:r>
        <w:rPr>
          <w:color w:val="231F20"/>
          <w:spacing w:val="-18"/>
          <w:w w:val="105"/>
        </w:rPr>
        <w:t> </w:t>
      </w:r>
      <w:r>
        <w:rPr>
          <w:color w:val="231F20"/>
          <w:w w:val="105"/>
        </w:rPr>
        <w:t>las</w:t>
      </w:r>
      <w:r>
        <w:rPr>
          <w:color w:val="231F20"/>
          <w:spacing w:val="-18"/>
          <w:w w:val="105"/>
        </w:rPr>
        <w:t> </w:t>
      </w:r>
      <w:r>
        <w:rPr>
          <w:color w:val="231F20"/>
          <w:spacing w:val="-3"/>
          <w:w w:val="105"/>
        </w:rPr>
        <w:t>obras</w:t>
      </w:r>
      <w:r>
        <w:rPr>
          <w:color w:val="231F20"/>
          <w:spacing w:val="-18"/>
          <w:w w:val="105"/>
        </w:rPr>
        <w:t> </w:t>
      </w:r>
      <w:r>
        <w:rPr>
          <w:color w:val="231F20"/>
          <w:spacing w:val="-4"/>
          <w:w w:val="105"/>
        </w:rPr>
        <w:t>públicas.</w:t>
      </w:r>
    </w:p>
    <w:p>
      <w:pPr>
        <w:pStyle w:val="BodyText"/>
        <w:spacing w:before="1"/>
        <w:rPr>
          <w:sz w:val="26"/>
        </w:rPr>
      </w:pPr>
    </w:p>
    <w:p>
      <w:pPr>
        <w:pStyle w:val="Heading5"/>
        <w:spacing w:after="32"/>
        <w:ind w:left="2061"/>
      </w:pPr>
      <w:r>
        <w:rPr>
          <w:color w:val="231F20"/>
          <w:w w:val="105"/>
        </w:rPr>
        <w:t>Tabla 10. Ampliación de parque vehicular</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b/>
                <w:sz w:val="16"/>
              </w:rPr>
            </w:pPr>
            <w:r>
              <w:rPr>
                <w:b/>
                <w:color w:val="231F20"/>
                <w:w w:val="95"/>
                <w:sz w:val="16"/>
              </w:rPr>
              <w:t>Adquisición</w:t>
            </w:r>
          </w:p>
        </w:tc>
      </w:tr>
      <w:tr>
        <w:trPr>
          <w:trHeight w:val="130" w:hRule="exact"/>
        </w:trPr>
        <w:tc>
          <w:tcPr>
            <w:tcW w:w="7927" w:type="dxa"/>
          </w:tcPr>
          <w:p>
            <w:pPr>
              <w:pStyle w:val="TableParagraph"/>
              <w:spacing w:line="160" w:lineRule="exact"/>
              <w:ind w:right="141"/>
              <w:rPr>
                <w:sz w:val="16"/>
              </w:rPr>
            </w:pPr>
            <w:r>
              <w:rPr>
                <w:color w:val="231F20"/>
                <w:w w:val="75"/>
                <w:sz w:val="16"/>
              </w:rPr>
              <w:t>34 camiones compactadores recolectores de  basura</w:t>
            </w:r>
          </w:p>
        </w:tc>
      </w:tr>
      <w:tr>
        <w:trPr>
          <w:trHeight w:val="130" w:hRule="exact"/>
        </w:trPr>
        <w:tc>
          <w:tcPr>
            <w:tcW w:w="7927" w:type="dxa"/>
          </w:tcPr>
          <w:p>
            <w:pPr>
              <w:pStyle w:val="TableParagraph"/>
              <w:spacing w:line="160" w:lineRule="exact"/>
              <w:ind w:right="141"/>
              <w:rPr>
                <w:sz w:val="16"/>
              </w:rPr>
            </w:pPr>
            <w:r>
              <w:rPr>
                <w:color w:val="231F20"/>
                <w:w w:val="80"/>
                <w:sz w:val="16"/>
              </w:rPr>
              <w:t>16 unidades Nissan tipo estacas</w:t>
            </w:r>
          </w:p>
        </w:tc>
      </w:tr>
      <w:tr>
        <w:trPr>
          <w:trHeight w:val="130" w:hRule="exact"/>
        </w:trPr>
        <w:tc>
          <w:tcPr>
            <w:tcW w:w="7927" w:type="dxa"/>
          </w:tcPr>
          <w:p>
            <w:pPr>
              <w:pStyle w:val="TableParagraph"/>
              <w:spacing w:line="160" w:lineRule="exact"/>
              <w:ind w:right="141"/>
              <w:rPr>
                <w:sz w:val="16"/>
              </w:rPr>
            </w:pPr>
            <w:r>
              <w:rPr>
                <w:color w:val="231F20"/>
                <w:w w:val="80"/>
                <w:sz w:val="16"/>
              </w:rPr>
              <w:t>Siete grúas hidráulicas telescópicas con canastilla aérea aislada de 13 m de altura</w:t>
            </w:r>
          </w:p>
        </w:tc>
      </w:tr>
      <w:tr>
        <w:trPr>
          <w:trHeight w:val="130" w:hRule="exact"/>
        </w:trPr>
        <w:tc>
          <w:tcPr>
            <w:tcW w:w="7927" w:type="dxa"/>
          </w:tcPr>
          <w:p>
            <w:pPr>
              <w:pStyle w:val="TableParagraph"/>
              <w:spacing w:line="160" w:lineRule="exact"/>
              <w:ind w:right="141"/>
              <w:rPr>
                <w:sz w:val="16"/>
              </w:rPr>
            </w:pPr>
            <w:r>
              <w:rPr>
                <w:color w:val="231F20"/>
                <w:w w:val="80"/>
                <w:sz w:val="16"/>
              </w:rPr>
              <w:t>Dos grúas hidráulicas telescópicas con canastilla aérea aislada de 20 m de altura</w:t>
            </w:r>
          </w:p>
        </w:tc>
      </w:tr>
      <w:tr>
        <w:trPr>
          <w:trHeight w:val="130" w:hRule="exact"/>
        </w:trPr>
        <w:tc>
          <w:tcPr>
            <w:tcW w:w="7927" w:type="dxa"/>
          </w:tcPr>
          <w:p>
            <w:pPr>
              <w:pStyle w:val="TableParagraph"/>
              <w:spacing w:line="160" w:lineRule="exact"/>
              <w:ind w:right="141"/>
              <w:rPr>
                <w:sz w:val="16"/>
              </w:rPr>
            </w:pPr>
            <w:r>
              <w:rPr>
                <w:color w:val="231F20"/>
                <w:w w:val="80"/>
                <w:sz w:val="16"/>
              </w:rPr>
              <w:t>10 camionetas Chevrolet de redilas de 3.5 ton.</w:t>
            </w:r>
          </w:p>
        </w:tc>
      </w:tr>
      <w:tr>
        <w:trPr>
          <w:trHeight w:val="130" w:hRule="exact"/>
        </w:trPr>
        <w:tc>
          <w:tcPr>
            <w:tcW w:w="7927" w:type="dxa"/>
          </w:tcPr>
          <w:p>
            <w:pPr>
              <w:pStyle w:val="TableParagraph"/>
              <w:spacing w:line="160" w:lineRule="exact"/>
              <w:ind w:right="141"/>
              <w:rPr>
                <w:sz w:val="16"/>
              </w:rPr>
            </w:pPr>
            <w:r>
              <w:rPr>
                <w:color w:val="231F20"/>
                <w:w w:val="80"/>
                <w:sz w:val="16"/>
              </w:rPr>
              <w:t>Seis camiones de volteo de 6 m3</w:t>
            </w:r>
          </w:p>
        </w:tc>
      </w:tr>
      <w:tr>
        <w:trPr>
          <w:trHeight w:val="130" w:hRule="exact"/>
        </w:trPr>
        <w:tc>
          <w:tcPr>
            <w:tcW w:w="7927" w:type="dxa"/>
          </w:tcPr>
          <w:p>
            <w:pPr>
              <w:pStyle w:val="TableParagraph"/>
              <w:spacing w:line="160" w:lineRule="exact"/>
              <w:ind w:right="141"/>
              <w:rPr>
                <w:sz w:val="16"/>
              </w:rPr>
            </w:pPr>
            <w:r>
              <w:rPr>
                <w:color w:val="231F20"/>
                <w:w w:val="80"/>
                <w:sz w:val="16"/>
              </w:rPr>
              <w:t>Cuatro barredoras (dos mecánicas de gran capacidad y dos de succión)</w:t>
            </w:r>
          </w:p>
        </w:tc>
      </w:tr>
      <w:tr>
        <w:trPr>
          <w:trHeight w:val="130" w:hRule="exact"/>
        </w:trPr>
        <w:tc>
          <w:tcPr>
            <w:tcW w:w="7927" w:type="dxa"/>
          </w:tcPr>
          <w:p>
            <w:pPr>
              <w:pStyle w:val="TableParagraph"/>
              <w:spacing w:line="160" w:lineRule="exact"/>
              <w:ind w:right="141"/>
              <w:rPr>
                <w:sz w:val="16"/>
              </w:rPr>
            </w:pPr>
            <w:r>
              <w:rPr>
                <w:color w:val="231F20"/>
                <w:w w:val="75"/>
                <w:sz w:val="16"/>
              </w:rPr>
              <w:t>Dos trituradoras de troncos</w:t>
            </w:r>
          </w:p>
        </w:tc>
      </w:tr>
      <w:tr>
        <w:trPr>
          <w:trHeight w:val="130" w:hRule="exact"/>
        </w:trPr>
        <w:tc>
          <w:tcPr>
            <w:tcW w:w="7927" w:type="dxa"/>
          </w:tcPr>
          <w:p>
            <w:pPr>
              <w:pStyle w:val="TableParagraph"/>
              <w:spacing w:line="160" w:lineRule="exact"/>
              <w:ind w:right="141"/>
              <w:rPr>
                <w:sz w:val="16"/>
              </w:rPr>
            </w:pPr>
            <w:r>
              <w:rPr>
                <w:color w:val="231F20"/>
                <w:w w:val="80"/>
                <w:sz w:val="16"/>
              </w:rPr>
              <w:t>Tres camiones con tanque pipa elíptico de 10,000 lts</w:t>
            </w:r>
          </w:p>
        </w:tc>
      </w:tr>
      <w:tr>
        <w:trPr>
          <w:trHeight w:val="130" w:hRule="exact"/>
        </w:trPr>
        <w:tc>
          <w:tcPr>
            <w:tcW w:w="7927" w:type="dxa"/>
          </w:tcPr>
          <w:p>
            <w:pPr>
              <w:pStyle w:val="TableParagraph"/>
              <w:spacing w:line="160" w:lineRule="exact"/>
              <w:ind w:right="141"/>
              <w:rPr>
                <w:sz w:val="16"/>
              </w:rPr>
            </w:pPr>
            <w:r>
              <w:rPr>
                <w:color w:val="231F20"/>
                <w:w w:val="75"/>
                <w:sz w:val="16"/>
              </w:rPr>
              <w:t>Un remolque de seguridad para barredoras</w:t>
            </w:r>
          </w:p>
        </w:tc>
      </w:tr>
      <w:tr>
        <w:trPr>
          <w:trHeight w:val="130" w:hRule="exact"/>
        </w:trPr>
        <w:tc>
          <w:tcPr>
            <w:tcW w:w="7927" w:type="dxa"/>
          </w:tcPr>
          <w:p>
            <w:pPr>
              <w:pStyle w:val="TableParagraph"/>
              <w:spacing w:line="160" w:lineRule="exact"/>
              <w:ind w:right="141"/>
              <w:rPr>
                <w:sz w:val="16"/>
              </w:rPr>
            </w:pPr>
            <w:r>
              <w:rPr>
                <w:color w:val="231F20"/>
                <w:w w:val="75"/>
                <w:sz w:val="16"/>
              </w:rPr>
              <w:t>Dos plataformas basculantes</w:t>
            </w:r>
          </w:p>
        </w:tc>
      </w:tr>
      <w:tr>
        <w:trPr>
          <w:trHeight w:val="130" w:hRule="exact"/>
        </w:trPr>
        <w:tc>
          <w:tcPr>
            <w:tcW w:w="7927" w:type="dxa"/>
          </w:tcPr>
          <w:p>
            <w:pPr>
              <w:pStyle w:val="TableParagraph"/>
              <w:spacing w:line="160" w:lineRule="exact"/>
              <w:ind w:right="141"/>
              <w:rPr>
                <w:sz w:val="16"/>
              </w:rPr>
            </w:pPr>
            <w:r>
              <w:rPr>
                <w:color w:val="231F20"/>
                <w:w w:val="75"/>
                <w:sz w:val="16"/>
              </w:rPr>
              <w:t>Cuatro rodillos Vibro compactadores PR-8 para  bacheo</w:t>
            </w:r>
          </w:p>
        </w:tc>
      </w:tr>
    </w:tbl>
    <w:p>
      <w:pPr>
        <w:pStyle w:val="BodyText"/>
        <w:rPr>
          <w:b/>
          <w:sz w:val="8"/>
        </w:rPr>
      </w:pPr>
    </w:p>
    <w:p>
      <w:pPr>
        <w:spacing w:before="74"/>
        <w:ind w:left="110" w:right="0" w:firstLine="0"/>
        <w:jc w:val="both"/>
        <w:rPr>
          <w:rFonts w:ascii="Calibri" w:hAnsi="Calibri"/>
          <w:sz w:val="16"/>
        </w:rPr>
      </w:pPr>
      <w:r>
        <w:rPr>
          <w:rFonts w:ascii="Calibri" w:hAnsi="Calibri"/>
          <w:color w:val="231F20"/>
          <w:sz w:val="16"/>
        </w:rPr>
        <w:t>Fuente: 1º Informe de Gobierno, 2007</w:t>
      </w:r>
    </w:p>
    <w:p>
      <w:pPr>
        <w:pStyle w:val="BodyText"/>
        <w:rPr>
          <w:rFonts w:ascii="Calibri"/>
          <w:sz w:val="16"/>
        </w:rPr>
      </w:pPr>
    </w:p>
    <w:p>
      <w:pPr>
        <w:pStyle w:val="BodyText"/>
        <w:spacing w:before="10"/>
        <w:rPr>
          <w:rFonts w:ascii="Calibri"/>
          <w:sz w:val="12"/>
        </w:rPr>
      </w:pPr>
    </w:p>
    <w:p>
      <w:pPr>
        <w:pStyle w:val="BodyText"/>
        <w:spacing w:line="285" w:lineRule="auto"/>
        <w:ind w:left="110" w:right="106"/>
        <w:jc w:val="both"/>
      </w:pPr>
      <w:r>
        <w:rPr>
          <w:color w:val="231F20"/>
          <w:w w:val="105"/>
        </w:rPr>
        <w:t>El </w:t>
      </w:r>
      <w:r>
        <w:rPr>
          <w:color w:val="231F20"/>
          <w:spacing w:val="-3"/>
          <w:w w:val="105"/>
        </w:rPr>
        <w:t>municipio </w:t>
      </w:r>
      <w:r>
        <w:rPr>
          <w:color w:val="231F20"/>
          <w:spacing w:val="-4"/>
          <w:w w:val="105"/>
        </w:rPr>
        <w:t>concluyó </w:t>
      </w:r>
      <w:r>
        <w:rPr>
          <w:color w:val="231F20"/>
          <w:w w:val="105"/>
        </w:rPr>
        <w:t>25 obras </w:t>
      </w:r>
      <w:r>
        <w:rPr>
          <w:color w:val="231F20"/>
          <w:spacing w:val="-3"/>
          <w:w w:val="105"/>
        </w:rPr>
        <w:t>heredadas </w:t>
      </w:r>
      <w:r>
        <w:rPr>
          <w:color w:val="231F20"/>
          <w:w w:val="105"/>
        </w:rPr>
        <w:t>de la pasada administración. Aparte, realizó más</w:t>
      </w:r>
      <w:r>
        <w:rPr>
          <w:color w:val="231F20"/>
          <w:spacing w:val="-11"/>
          <w:w w:val="105"/>
        </w:rPr>
        <w:t> </w:t>
      </w:r>
      <w:r>
        <w:rPr>
          <w:color w:val="231F20"/>
          <w:w w:val="105"/>
        </w:rPr>
        <w:t>de</w:t>
      </w:r>
      <w:r>
        <w:rPr>
          <w:color w:val="231F20"/>
          <w:spacing w:val="-11"/>
          <w:w w:val="105"/>
        </w:rPr>
        <w:t> </w:t>
      </w:r>
      <w:r>
        <w:rPr>
          <w:color w:val="231F20"/>
          <w:spacing w:val="-6"/>
          <w:w w:val="105"/>
        </w:rPr>
        <w:t>115</w:t>
      </w:r>
      <w:r>
        <w:rPr>
          <w:color w:val="231F20"/>
          <w:spacing w:val="-11"/>
          <w:w w:val="105"/>
        </w:rPr>
        <w:t> </w:t>
      </w:r>
      <w:r>
        <w:rPr>
          <w:color w:val="231F20"/>
          <w:w w:val="105"/>
        </w:rPr>
        <w:t>obras,</w:t>
      </w:r>
      <w:r>
        <w:rPr>
          <w:color w:val="231F20"/>
          <w:spacing w:val="-11"/>
          <w:w w:val="105"/>
        </w:rPr>
        <w:t> </w:t>
      </w:r>
      <w:r>
        <w:rPr>
          <w:color w:val="231F20"/>
          <w:w w:val="105"/>
        </w:rPr>
        <w:t>una</w:t>
      </w:r>
      <w:r>
        <w:rPr>
          <w:color w:val="231F20"/>
          <w:spacing w:val="-11"/>
          <w:w w:val="105"/>
        </w:rPr>
        <w:t> </w:t>
      </w:r>
      <w:r>
        <w:rPr>
          <w:color w:val="231F20"/>
          <w:w w:val="105"/>
        </w:rPr>
        <w:t>de</w:t>
      </w:r>
      <w:r>
        <w:rPr>
          <w:color w:val="231F20"/>
          <w:spacing w:val="-11"/>
          <w:w w:val="105"/>
        </w:rPr>
        <w:t> </w:t>
      </w:r>
      <w:r>
        <w:rPr>
          <w:color w:val="231F20"/>
          <w:w w:val="105"/>
        </w:rPr>
        <w:t>ellas</w:t>
      </w:r>
      <w:r>
        <w:rPr>
          <w:color w:val="231F20"/>
          <w:spacing w:val="-11"/>
          <w:w w:val="105"/>
        </w:rPr>
        <w:t> </w:t>
      </w:r>
      <w:r>
        <w:rPr>
          <w:color w:val="231F20"/>
          <w:w w:val="105"/>
        </w:rPr>
        <w:t>calificada</w:t>
      </w:r>
      <w:r>
        <w:rPr>
          <w:color w:val="231F20"/>
          <w:spacing w:val="-11"/>
          <w:w w:val="105"/>
        </w:rPr>
        <w:t> </w:t>
      </w:r>
      <w:r>
        <w:rPr>
          <w:color w:val="231F20"/>
          <w:spacing w:val="-4"/>
          <w:w w:val="105"/>
        </w:rPr>
        <w:t>como</w:t>
      </w:r>
      <w:r>
        <w:rPr>
          <w:color w:val="231F20"/>
          <w:spacing w:val="-11"/>
          <w:w w:val="105"/>
        </w:rPr>
        <w:t> </w:t>
      </w:r>
      <w:r>
        <w:rPr>
          <w:color w:val="231F20"/>
          <w:spacing w:val="-5"/>
          <w:w w:val="105"/>
        </w:rPr>
        <w:t>“mega</w:t>
      </w:r>
      <w:r>
        <w:rPr>
          <w:color w:val="231F20"/>
          <w:spacing w:val="-11"/>
          <w:w w:val="105"/>
        </w:rPr>
        <w:t> </w:t>
      </w:r>
      <w:r>
        <w:rPr>
          <w:color w:val="231F20"/>
          <w:spacing w:val="-4"/>
          <w:w w:val="105"/>
        </w:rPr>
        <w:t>obra”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spacing w:val="-4"/>
          <w:w w:val="105"/>
        </w:rPr>
        <w:t>Super</w:t>
      </w:r>
      <w:r>
        <w:rPr>
          <w:color w:val="231F20"/>
          <w:spacing w:val="-11"/>
          <w:w w:val="105"/>
        </w:rPr>
        <w:t> </w:t>
      </w:r>
      <w:r>
        <w:rPr>
          <w:color w:val="231F20"/>
          <w:spacing w:val="-5"/>
          <w:w w:val="105"/>
        </w:rPr>
        <w:t>Avenida</w:t>
      </w:r>
      <w:r>
        <w:rPr>
          <w:color w:val="231F20"/>
          <w:spacing w:val="-11"/>
          <w:w w:val="105"/>
        </w:rPr>
        <w:t> </w:t>
      </w:r>
      <w:r>
        <w:rPr>
          <w:color w:val="231F20"/>
          <w:w w:val="105"/>
        </w:rPr>
        <w:t>Lomas </w:t>
      </w:r>
      <w:r>
        <w:rPr>
          <w:color w:val="231F20"/>
          <w:spacing w:val="-6"/>
          <w:w w:val="105"/>
        </w:rPr>
        <w:t>Verdes.</w:t>
      </w:r>
      <w:r>
        <w:rPr>
          <w:color w:val="231F20"/>
          <w:spacing w:val="-12"/>
          <w:w w:val="105"/>
        </w:rPr>
        <w:t> </w:t>
      </w:r>
      <w:r>
        <w:rPr>
          <w:color w:val="231F20"/>
          <w:w w:val="105"/>
        </w:rPr>
        <w:t>Asimismo,</w:t>
      </w:r>
      <w:r>
        <w:rPr>
          <w:color w:val="231F20"/>
          <w:spacing w:val="-12"/>
          <w:w w:val="105"/>
        </w:rPr>
        <w:t> </w:t>
      </w:r>
      <w:r>
        <w:rPr>
          <w:color w:val="231F20"/>
          <w:spacing w:val="-3"/>
          <w:w w:val="105"/>
        </w:rPr>
        <w:t>destacó</w:t>
      </w:r>
      <w:r>
        <w:rPr>
          <w:color w:val="231F20"/>
          <w:spacing w:val="-12"/>
          <w:w w:val="105"/>
        </w:rPr>
        <w:t> </w:t>
      </w:r>
      <w:r>
        <w:rPr>
          <w:color w:val="231F20"/>
          <w:w w:val="105"/>
        </w:rPr>
        <w:t>la</w:t>
      </w:r>
      <w:r>
        <w:rPr>
          <w:color w:val="231F20"/>
          <w:spacing w:val="-12"/>
          <w:w w:val="105"/>
        </w:rPr>
        <w:t> </w:t>
      </w:r>
      <w:r>
        <w:rPr>
          <w:color w:val="231F20"/>
          <w:spacing w:val="-4"/>
          <w:w w:val="105"/>
        </w:rPr>
        <w:t>compra</w:t>
      </w:r>
      <w:r>
        <w:rPr>
          <w:color w:val="231F20"/>
          <w:spacing w:val="-12"/>
          <w:w w:val="105"/>
        </w:rPr>
        <w:t> </w:t>
      </w:r>
      <w:r>
        <w:rPr>
          <w:color w:val="231F20"/>
          <w:w w:val="105"/>
        </w:rPr>
        <w:t>de</w:t>
      </w:r>
      <w:r>
        <w:rPr>
          <w:color w:val="231F20"/>
          <w:spacing w:val="-12"/>
          <w:w w:val="105"/>
        </w:rPr>
        <w:t> </w:t>
      </w:r>
      <w:r>
        <w:rPr>
          <w:color w:val="231F20"/>
          <w:w w:val="105"/>
        </w:rPr>
        <w:t>92</w:t>
      </w:r>
      <w:r>
        <w:rPr>
          <w:color w:val="231F20"/>
          <w:spacing w:val="-12"/>
          <w:w w:val="105"/>
        </w:rPr>
        <w:t> </w:t>
      </w:r>
      <w:r>
        <w:rPr>
          <w:color w:val="231F20"/>
          <w:w w:val="105"/>
        </w:rPr>
        <w:t>camiones</w:t>
      </w:r>
      <w:r>
        <w:rPr>
          <w:color w:val="231F20"/>
          <w:spacing w:val="-12"/>
          <w:w w:val="105"/>
        </w:rPr>
        <w:t> </w:t>
      </w:r>
      <w:r>
        <w:rPr>
          <w:color w:val="231F20"/>
          <w:spacing w:val="-3"/>
          <w:w w:val="105"/>
        </w:rPr>
        <w:t>recolectores</w:t>
      </w:r>
      <w:r>
        <w:rPr>
          <w:color w:val="231F20"/>
          <w:spacing w:val="-12"/>
          <w:w w:val="105"/>
        </w:rPr>
        <w:t> </w:t>
      </w:r>
      <w:r>
        <w:rPr>
          <w:color w:val="231F20"/>
          <w:w w:val="105"/>
        </w:rPr>
        <w:t>de</w:t>
      </w:r>
      <w:r>
        <w:rPr>
          <w:color w:val="231F20"/>
          <w:spacing w:val="-12"/>
          <w:w w:val="105"/>
        </w:rPr>
        <w:t> </w:t>
      </w:r>
      <w:r>
        <w:rPr>
          <w:color w:val="231F20"/>
          <w:w w:val="105"/>
        </w:rPr>
        <w:t>basura.</w:t>
      </w:r>
      <w:r>
        <w:rPr>
          <w:color w:val="231F20"/>
          <w:spacing w:val="-12"/>
          <w:w w:val="105"/>
        </w:rPr>
        <w:t> </w:t>
      </w:r>
      <w:r>
        <w:rPr>
          <w:color w:val="231F20"/>
          <w:spacing w:val="-4"/>
          <w:w w:val="105"/>
        </w:rPr>
        <w:t>Una</w:t>
      </w:r>
      <w:r>
        <w:rPr>
          <w:color w:val="231F20"/>
          <w:spacing w:val="-12"/>
          <w:w w:val="105"/>
        </w:rPr>
        <w:t> </w:t>
      </w:r>
      <w:r>
        <w:rPr>
          <w:color w:val="231F20"/>
          <w:w w:val="105"/>
        </w:rPr>
        <w:t>de</w:t>
      </w:r>
      <w:r>
        <w:rPr>
          <w:color w:val="231F20"/>
          <w:spacing w:val="-12"/>
          <w:w w:val="105"/>
        </w:rPr>
        <w:t> </w:t>
      </w:r>
      <w:r>
        <w:rPr>
          <w:color w:val="231F20"/>
          <w:w w:val="105"/>
        </w:rPr>
        <w:t>las </w:t>
      </w:r>
      <w:r>
        <w:rPr>
          <w:color w:val="231F20"/>
          <w:spacing w:val="-4"/>
          <w:w w:val="105"/>
        </w:rPr>
        <w:t>acciones</w:t>
      </w:r>
      <w:r>
        <w:rPr>
          <w:color w:val="231F20"/>
          <w:spacing w:val="-21"/>
          <w:w w:val="105"/>
        </w:rPr>
        <w:t> </w:t>
      </w:r>
      <w:r>
        <w:rPr>
          <w:color w:val="231F20"/>
          <w:spacing w:val="-3"/>
          <w:w w:val="105"/>
        </w:rPr>
        <w:t>relevantes</w:t>
      </w:r>
      <w:r>
        <w:rPr>
          <w:color w:val="231F20"/>
          <w:spacing w:val="-21"/>
          <w:w w:val="105"/>
        </w:rPr>
        <w:t> </w:t>
      </w:r>
      <w:r>
        <w:rPr>
          <w:color w:val="231F20"/>
          <w:w w:val="105"/>
        </w:rPr>
        <w:t>fue</w:t>
      </w:r>
      <w:r>
        <w:rPr>
          <w:color w:val="231F20"/>
          <w:spacing w:val="-21"/>
          <w:w w:val="105"/>
        </w:rPr>
        <w:t> </w:t>
      </w:r>
      <w:r>
        <w:rPr>
          <w:color w:val="231F20"/>
          <w:w w:val="105"/>
        </w:rPr>
        <w:t>la</w:t>
      </w:r>
      <w:r>
        <w:rPr>
          <w:color w:val="231F20"/>
          <w:spacing w:val="-21"/>
          <w:w w:val="105"/>
        </w:rPr>
        <w:t> </w:t>
      </w:r>
      <w:r>
        <w:rPr>
          <w:color w:val="231F20"/>
          <w:spacing w:val="-4"/>
          <w:w w:val="105"/>
        </w:rPr>
        <w:t>formulación</w:t>
      </w:r>
      <w:r>
        <w:rPr>
          <w:color w:val="231F20"/>
          <w:spacing w:val="-21"/>
          <w:w w:val="105"/>
        </w:rPr>
        <w:t> </w:t>
      </w:r>
      <w:r>
        <w:rPr>
          <w:color w:val="231F20"/>
          <w:spacing w:val="-3"/>
          <w:w w:val="105"/>
        </w:rPr>
        <w:t>del</w:t>
      </w:r>
      <w:r>
        <w:rPr>
          <w:color w:val="231F20"/>
          <w:spacing w:val="-21"/>
          <w:w w:val="105"/>
        </w:rPr>
        <w:t> </w:t>
      </w:r>
      <w:r>
        <w:rPr>
          <w:color w:val="231F20"/>
          <w:w w:val="105"/>
        </w:rPr>
        <w:t>Plan</w:t>
      </w:r>
      <w:r>
        <w:rPr>
          <w:color w:val="231F20"/>
          <w:spacing w:val="-21"/>
          <w:w w:val="105"/>
        </w:rPr>
        <w:t> </w:t>
      </w:r>
      <w:r>
        <w:rPr>
          <w:color w:val="231F20"/>
          <w:w w:val="105"/>
        </w:rPr>
        <w:t>Municipal</w:t>
      </w:r>
      <w:r>
        <w:rPr>
          <w:color w:val="231F20"/>
          <w:spacing w:val="-21"/>
          <w:w w:val="105"/>
        </w:rPr>
        <w:t> </w:t>
      </w:r>
      <w:r>
        <w:rPr>
          <w:color w:val="231F20"/>
          <w:w w:val="105"/>
        </w:rPr>
        <w:t>de</w:t>
      </w:r>
      <w:r>
        <w:rPr>
          <w:color w:val="231F20"/>
          <w:spacing w:val="-21"/>
          <w:w w:val="105"/>
        </w:rPr>
        <w:t> </w:t>
      </w:r>
      <w:r>
        <w:rPr>
          <w:color w:val="231F20"/>
          <w:w w:val="105"/>
        </w:rPr>
        <w:t>Desarrollo</w:t>
      </w:r>
      <w:r>
        <w:rPr>
          <w:color w:val="231F20"/>
          <w:spacing w:val="-21"/>
          <w:w w:val="105"/>
        </w:rPr>
        <w:t> </w:t>
      </w:r>
      <w:r>
        <w:rPr>
          <w:color w:val="231F20"/>
          <w:spacing w:val="-4"/>
          <w:w w:val="105"/>
        </w:rPr>
        <w:t>Urbano,</w:t>
      </w:r>
      <w:r>
        <w:rPr>
          <w:color w:val="231F20"/>
          <w:spacing w:val="-21"/>
          <w:w w:val="105"/>
        </w:rPr>
        <w:t> </w:t>
      </w:r>
      <w:r>
        <w:rPr>
          <w:color w:val="231F20"/>
          <w:spacing w:val="-3"/>
          <w:w w:val="105"/>
        </w:rPr>
        <w:t>que</w:t>
      </w:r>
      <w:r>
        <w:rPr>
          <w:color w:val="231F20"/>
          <w:spacing w:val="-21"/>
          <w:w w:val="105"/>
        </w:rPr>
        <w:t> </w:t>
      </w:r>
      <w:r>
        <w:rPr>
          <w:color w:val="231F20"/>
          <w:w w:val="105"/>
        </w:rPr>
        <w:t>sus- tituyó</w:t>
      </w:r>
      <w:r>
        <w:rPr>
          <w:color w:val="231F20"/>
          <w:spacing w:val="-21"/>
          <w:w w:val="105"/>
        </w:rPr>
        <w:t> </w:t>
      </w:r>
      <w:r>
        <w:rPr>
          <w:color w:val="231F20"/>
          <w:w w:val="105"/>
        </w:rPr>
        <w:t>al</w:t>
      </w:r>
      <w:r>
        <w:rPr>
          <w:color w:val="231F20"/>
          <w:spacing w:val="-21"/>
          <w:w w:val="105"/>
        </w:rPr>
        <w:t> </w:t>
      </w:r>
      <w:r>
        <w:rPr>
          <w:color w:val="231F20"/>
          <w:spacing w:val="-4"/>
          <w:w w:val="105"/>
        </w:rPr>
        <w:t>anterior,</w:t>
      </w:r>
      <w:r>
        <w:rPr>
          <w:color w:val="231F20"/>
          <w:spacing w:val="-21"/>
          <w:w w:val="105"/>
        </w:rPr>
        <w:t> </w:t>
      </w:r>
      <w:r>
        <w:rPr>
          <w:color w:val="231F20"/>
          <w:spacing w:val="-3"/>
          <w:w w:val="105"/>
        </w:rPr>
        <w:t>que</w:t>
      </w:r>
      <w:r>
        <w:rPr>
          <w:color w:val="231F20"/>
          <w:spacing w:val="-21"/>
          <w:w w:val="105"/>
        </w:rPr>
        <w:t> </w:t>
      </w:r>
      <w:r>
        <w:rPr>
          <w:color w:val="231F20"/>
          <w:spacing w:val="-3"/>
          <w:w w:val="105"/>
        </w:rPr>
        <w:t>databa</w:t>
      </w:r>
      <w:r>
        <w:rPr>
          <w:color w:val="231F20"/>
          <w:spacing w:val="-21"/>
          <w:w w:val="105"/>
        </w:rPr>
        <w:t> </w:t>
      </w:r>
      <w:r>
        <w:rPr>
          <w:color w:val="231F20"/>
          <w:w w:val="105"/>
        </w:rPr>
        <w:t>de</w:t>
      </w:r>
      <w:r>
        <w:rPr>
          <w:color w:val="231F20"/>
          <w:spacing w:val="-21"/>
          <w:w w:val="105"/>
        </w:rPr>
        <w:t> </w:t>
      </w:r>
      <w:r>
        <w:rPr>
          <w:color w:val="231F20"/>
          <w:spacing w:val="-4"/>
          <w:w w:val="105"/>
        </w:rPr>
        <w:t>1993.</w:t>
      </w:r>
      <w:r>
        <w:rPr>
          <w:color w:val="231F20"/>
          <w:spacing w:val="-21"/>
          <w:w w:val="105"/>
        </w:rPr>
        <w:t> </w:t>
      </w:r>
      <w:r>
        <w:rPr>
          <w:color w:val="231F20"/>
          <w:w w:val="105"/>
        </w:rPr>
        <w:t>Al</w:t>
      </w:r>
      <w:r>
        <w:rPr>
          <w:color w:val="231F20"/>
          <w:spacing w:val="-21"/>
          <w:w w:val="105"/>
        </w:rPr>
        <w:t> </w:t>
      </w:r>
      <w:r>
        <w:rPr>
          <w:color w:val="231F20"/>
          <w:spacing w:val="-5"/>
          <w:w w:val="105"/>
        </w:rPr>
        <w:t>2007,</w:t>
      </w:r>
      <w:r>
        <w:rPr>
          <w:color w:val="231F20"/>
          <w:spacing w:val="-21"/>
          <w:w w:val="105"/>
        </w:rPr>
        <w:t> </w:t>
      </w:r>
      <w:r>
        <w:rPr>
          <w:color w:val="231F20"/>
          <w:spacing w:val="-3"/>
          <w:w w:val="105"/>
        </w:rPr>
        <w:t>Naucalpan</w:t>
      </w:r>
      <w:r>
        <w:rPr>
          <w:color w:val="231F20"/>
          <w:spacing w:val="-21"/>
          <w:w w:val="105"/>
        </w:rPr>
        <w:t> </w:t>
      </w:r>
      <w:r>
        <w:rPr>
          <w:color w:val="231F20"/>
          <w:w w:val="105"/>
        </w:rPr>
        <w:t>era</w:t>
      </w:r>
      <w:r>
        <w:rPr>
          <w:color w:val="231F20"/>
          <w:spacing w:val="-21"/>
          <w:w w:val="105"/>
        </w:rPr>
        <w:t> </w:t>
      </w:r>
      <w:r>
        <w:rPr>
          <w:color w:val="231F20"/>
          <w:w w:val="105"/>
        </w:rPr>
        <w:t>el</w:t>
      </w:r>
      <w:r>
        <w:rPr>
          <w:color w:val="231F20"/>
          <w:spacing w:val="-21"/>
          <w:w w:val="105"/>
        </w:rPr>
        <w:t> </w:t>
      </w:r>
      <w:r>
        <w:rPr>
          <w:color w:val="231F20"/>
          <w:w w:val="105"/>
        </w:rPr>
        <w:t>único</w:t>
      </w:r>
      <w:r>
        <w:rPr>
          <w:color w:val="231F20"/>
          <w:spacing w:val="-21"/>
          <w:w w:val="105"/>
        </w:rPr>
        <w:t> </w:t>
      </w:r>
      <w:r>
        <w:rPr>
          <w:color w:val="231F20"/>
          <w:spacing w:val="-3"/>
          <w:w w:val="105"/>
        </w:rPr>
        <w:t>municipio</w:t>
      </w:r>
      <w:r>
        <w:rPr>
          <w:color w:val="231F20"/>
          <w:spacing w:val="-21"/>
          <w:w w:val="105"/>
        </w:rPr>
        <w:t> </w:t>
      </w:r>
      <w:r>
        <w:rPr>
          <w:color w:val="231F20"/>
          <w:spacing w:val="-3"/>
          <w:w w:val="105"/>
        </w:rPr>
        <w:t>que</w:t>
      </w:r>
      <w:r>
        <w:rPr>
          <w:color w:val="231F20"/>
          <w:spacing w:val="-21"/>
          <w:w w:val="105"/>
        </w:rPr>
        <w:t> </w:t>
      </w:r>
      <w:r>
        <w:rPr>
          <w:color w:val="231F20"/>
          <w:spacing w:val="-4"/>
          <w:w w:val="105"/>
        </w:rPr>
        <w:t>con- </w:t>
      </w:r>
      <w:r>
        <w:rPr>
          <w:color w:val="231F20"/>
          <w:w w:val="105"/>
        </w:rPr>
        <w:t>taba</w:t>
      </w:r>
      <w:r>
        <w:rPr>
          <w:color w:val="231F20"/>
          <w:spacing w:val="-14"/>
          <w:w w:val="105"/>
        </w:rPr>
        <w:t> </w:t>
      </w:r>
      <w:r>
        <w:rPr>
          <w:color w:val="231F20"/>
          <w:spacing w:val="-3"/>
          <w:w w:val="105"/>
        </w:rPr>
        <w:t>con</w:t>
      </w:r>
      <w:r>
        <w:rPr>
          <w:color w:val="231F20"/>
          <w:spacing w:val="-14"/>
          <w:w w:val="105"/>
        </w:rPr>
        <w:t> </w:t>
      </w:r>
      <w:r>
        <w:rPr>
          <w:color w:val="231F20"/>
          <w:w w:val="105"/>
        </w:rPr>
        <w:t>un</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esta</w:t>
      </w:r>
      <w:r>
        <w:rPr>
          <w:color w:val="231F20"/>
          <w:spacing w:val="-14"/>
          <w:w w:val="105"/>
        </w:rPr>
        <w:t> </w:t>
      </w:r>
      <w:r>
        <w:rPr>
          <w:color w:val="231F20"/>
          <w:spacing w:val="-4"/>
          <w:w w:val="105"/>
        </w:rPr>
        <w:t>índole,</w:t>
      </w:r>
      <w:r>
        <w:rPr>
          <w:color w:val="231F20"/>
          <w:spacing w:val="-14"/>
          <w:w w:val="105"/>
        </w:rPr>
        <w:t> </w:t>
      </w:r>
      <w:r>
        <w:rPr>
          <w:color w:val="231F20"/>
          <w:w w:val="105"/>
        </w:rPr>
        <w:t>de</w:t>
      </w:r>
      <w:r>
        <w:rPr>
          <w:color w:val="231F20"/>
          <w:spacing w:val="-14"/>
          <w:w w:val="105"/>
        </w:rPr>
        <w:t> </w:t>
      </w:r>
      <w:r>
        <w:rPr>
          <w:color w:val="231F20"/>
          <w:spacing w:val="-4"/>
          <w:w w:val="105"/>
        </w:rPr>
        <w:t>acuerdo</w:t>
      </w:r>
      <w:r>
        <w:rPr>
          <w:color w:val="231F20"/>
          <w:spacing w:val="-14"/>
          <w:w w:val="105"/>
        </w:rPr>
        <w:t> </w:t>
      </w:r>
      <w:r>
        <w:rPr>
          <w:color w:val="231F20"/>
          <w:spacing w:val="-3"/>
          <w:w w:val="105"/>
        </w:rPr>
        <w:t>con</w:t>
      </w:r>
      <w:r>
        <w:rPr>
          <w:color w:val="231F20"/>
          <w:spacing w:val="-14"/>
          <w:w w:val="105"/>
        </w:rPr>
        <w:t> </w:t>
      </w:r>
      <w:r>
        <w:rPr>
          <w:color w:val="231F20"/>
          <w:w w:val="105"/>
        </w:rPr>
        <w:t>la</w:t>
      </w:r>
      <w:r>
        <w:rPr>
          <w:color w:val="231F20"/>
          <w:spacing w:val="-14"/>
          <w:w w:val="105"/>
        </w:rPr>
        <w:t> </w:t>
      </w:r>
      <w:r>
        <w:rPr>
          <w:color w:val="231F20"/>
          <w:spacing w:val="-4"/>
          <w:w w:val="105"/>
        </w:rPr>
        <w:t>versión</w:t>
      </w:r>
      <w:r>
        <w:rPr>
          <w:color w:val="231F20"/>
          <w:spacing w:val="-14"/>
          <w:w w:val="105"/>
        </w:rPr>
        <w:t> </w:t>
      </w:r>
      <w:r>
        <w:rPr>
          <w:color w:val="231F20"/>
          <w:spacing w:val="-3"/>
          <w:w w:val="105"/>
        </w:rPr>
        <w:t>del</w:t>
      </w:r>
      <w:r>
        <w:rPr>
          <w:color w:val="231F20"/>
          <w:spacing w:val="-14"/>
          <w:w w:val="105"/>
        </w:rPr>
        <w:t> </w:t>
      </w:r>
      <w:r>
        <w:rPr>
          <w:color w:val="231F20"/>
          <w:w w:val="105"/>
        </w:rPr>
        <w:t>panismo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poder</w:t>
      </w:r>
      <w:r>
        <w:rPr>
          <w:color w:val="231F20"/>
          <w:spacing w:val="-14"/>
          <w:w w:val="105"/>
        </w:rPr>
        <w:t> </w:t>
      </w:r>
      <w:r>
        <w:rPr>
          <w:color w:val="231F20"/>
          <w:w w:val="105"/>
        </w:rPr>
        <w:t>local.</w:t>
      </w:r>
    </w:p>
    <w:p>
      <w:pPr>
        <w:pStyle w:val="BodyText"/>
        <w:spacing w:before="1"/>
        <w:rPr>
          <w:sz w:val="26"/>
        </w:rPr>
      </w:pPr>
    </w:p>
    <w:p>
      <w:pPr>
        <w:pStyle w:val="BodyText"/>
        <w:spacing w:line="285" w:lineRule="auto"/>
        <w:ind w:left="110" w:right="106"/>
        <w:jc w:val="both"/>
      </w:pPr>
      <w:r>
        <w:rPr>
          <w:color w:val="231F20"/>
          <w:w w:val="105"/>
        </w:rPr>
        <w:t>En</w:t>
      </w:r>
      <w:r>
        <w:rPr>
          <w:color w:val="231F20"/>
          <w:spacing w:val="-19"/>
          <w:w w:val="105"/>
        </w:rPr>
        <w:t> </w:t>
      </w:r>
      <w:r>
        <w:rPr>
          <w:color w:val="231F20"/>
          <w:w w:val="105"/>
        </w:rPr>
        <w:t>dos</w:t>
      </w:r>
      <w:r>
        <w:rPr>
          <w:color w:val="231F20"/>
          <w:spacing w:val="-19"/>
          <w:w w:val="105"/>
        </w:rPr>
        <w:t> </w:t>
      </w:r>
      <w:r>
        <w:rPr>
          <w:color w:val="231F20"/>
          <w:w w:val="105"/>
        </w:rPr>
        <w:t>obras</w:t>
      </w:r>
      <w:r>
        <w:rPr>
          <w:color w:val="231F20"/>
          <w:spacing w:val="-19"/>
          <w:w w:val="105"/>
        </w:rPr>
        <w:t> </w:t>
      </w:r>
      <w:r>
        <w:rPr>
          <w:color w:val="231F20"/>
          <w:w w:val="105"/>
        </w:rPr>
        <w:t>el</w:t>
      </w:r>
      <w:r>
        <w:rPr>
          <w:color w:val="231F20"/>
          <w:spacing w:val="-19"/>
          <w:w w:val="105"/>
        </w:rPr>
        <w:t> </w:t>
      </w:r>
      <w:r>
        <w:rPr>
          <w:color w:val="231F20"/>
          <w:w w:val="105"/>
        </w:rPr>
        <w:t>presidente</w:t>
      </w:r>
      <w:r>
        <w:rPr>
          <w:color w:val="231F20"/>
          <w:spacing w:val="-19"/>
          <w:w w:val="105"/>
        </w:rPr>
        <w:t> </w:t>
      </w:r>
      <w:r>
        <w:rPr>
          <w:color w:val="231F20"/>
          <w:w w:val="105"/>
        </w:rPr>
        <w:t>municipal</w:t>
      </w:r>
      <w:r>
        <w:rPr>
          <w:color w:val="231F20"/>
          <w:spacing w:val="-19"/>
          <w:w w:val="105"/>
        </w:rPr>
        <w:t> </w:t>
      </w:r>
      <w:r>
        <w:rPr>
          <w:color w:val="231F20"/>
          <w:w w:val="105"/>
        </w:rPr>
        <w:t>dispuso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colaboración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iniciativa</w:t>
      </w:r>
      <w:r>
        <w:rPr>
          <w:color w:val="231F20"/>
          <w:spacing w:val="-19"/>
          <w:w w:val="105"/>
        </w:rPr>
        <w:t> </w:t>
      </w:r>
      <w:r>
        <w:rPr>
          <w:color w:val="231F20"/>
          <w:w w:val="105"/>
        </w:rPr>
        <w:t>privada: en</w:t>
      </w:r>
      <w:r>
        <w:rPr>
          <w:color w:val="231F20"/>
          <w:spacing w:val="-5"/>
          <w:w w:val="105"/>
        </w:rPr>
        <w:t> </w:t>
      </w:r>
      <w:r>
        <w:rPr>
          <w:color w:val="231F20"/>
          <w:w w:val="105"/>
        </w:rPr>
        <w:t>un</w:t>
      </w:r>
      <w:r>
        <w:rPr>
          <w:color w:val="231F20"/>
          <w:spacing w:val="-5"/>
          <w:w w:val="105"/>
        </w:rPr>
        <w:t> </w:t>
      </w:r>
      <w:r>
        <w:rPr>
          <w:color w:val="231F20"/>
          <w:w w:val="105"/>
        </w:rPr>
        <w:t>caso,</w:t>
      </w:r>
      <w:r>
        <w:rPr>
          <w:color w:val="231F20"/>
          <w:spacing w:val="-5"/>
          <w:w w:val="105"/>
        </w:rPr>
        <w:t> </w:t>
      </w:r>
      <w:r>
        <w:rPr>
          <w:color w:val="231F20"/>
          <w:w w:val="105"/>
        </w:rPr>
        <w:t>la</w:t>
      </w:r>
      <w:r>
        <w:rPr>
          <w:color w:val="231F20"/>
          <w:spacing w:val="-5"/>
          <w:w w:val="105"/>
        </w:rPr>
        <w:t> </w:t>
      </w:r>
      <w:r>
        <w:rPr>
          <w:color w:val="231F20"/>
          <w:w w:val="105"/>
        </w:rPr>
        <w:t>empresa</w:t>
      </w:r>
      <w:r>
        <w:rPr>
          <w:color w:val="231F20"/>
          <w:spacing w:val="-5"/>
          <w:w w:val="105"/>
        </w:rPr>
        <w:t> </w:t>
      </w:r>
      <w:r>
        <w:rPr>
          <w:color w:val="231F20"/>
          <w:w w:val="105"/>
        </w:rPr>
        <w:t>farmacéutica</w:t>
      </w:r>
      <w:r>
        <w:rPr>
          <w:color w:val="231F20"/>
          <w:spacing w:val="-5"/>
          <w:w w:val="105"/>
        </w:rPr>
        <w:t> </w:t>
      </w:r>
      <w:r>
        <w:rPr>
          <w:color w:val="231F20"/>
          <w:w w:val="105"/>
        </w:rPr>
        <w:t>Wyeth</w:t>
      </w:r>
      <w:r>
        <w:rPr>
          <w:color w:val="231F20"/>
          <w:spacing w:val="-5"/>
          <w:w w:val="105"/>
        </w:rPr>
        <w:t> </w:t>
      </w:r>
      <w:r>
        <w:rPr>
          <w:color w:val="231F20"/>
          <w:w w:val="105"/>
        </w:rPr>
        <w:t>contribuyó</w:t>
      </w:r>
      <w:r>
        <w:rPr>
          <w:color w:val="231F20"/>
          <w:spacing w:val="-5"/>
          <w:w w:val="105"/>
        </w:rPr>
        <w:t> </w:t>
      </w:r>
      <w:r>
        <w:rPr>
          <w:color w:val="231F20"/>
          <w:w w:val="105"/>
        </w:rPr>
        <w:t>con</w:t>
      </w:r>
      <w:r>
        <w:rPr>
          <w:color w:val="231F20"/>
          <w:spacing w:val="-5"/>
          <w:w w:val="105"/>
        </w:rPr>
        <w:t> </w:t>
      </w:r>
      <w:r>
        <w:rPr>
          <w:color w:val="231F20"/>
          <w:w w:val="105"/>
        </w:rPr>
        <w:t>más</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millón</w:t>
      </w:r>
      <w:r>
        <w:rPr>
          <w:color w:val="231F20"/>
          <w:spacing w:val="-5"/>
          <w:w w:val="105"/>
        </w:rPr>
        <w:t> </w:t>
      </w:r>
      <w:r>
        <w:rPr>
          <w:color w:val="231F20"/>
          <w:w w:val="105"/>
        </w:rPr>
        <w:t>de</w:t>
      </w:r>
      <w:r>
        <w:rPr>
          <w:color w:val="231F20"/>
          <w:spacing w:val="-5"/>
          <w:w w:val="105"/>
        </w:rPr>
        <w:t> </w:t>
      </w:r>
      <w:r>
        <w:rPr>
          <w:color w:val="231F20"/>
          <w:w w:val="105"/>
        </w:rPr>
        <w:t>pesos para</w:t>
      </w:r>
      <w:r>
        <w:rPr>
          <w:color w:val="231F20"/>
          <w:spacing w:val="-15"/>
          <w:w w:val="105"/>
        </w:rPr>
        <w:t> </w:t>
      </w:r>
      <w:r>
        <w:rPr>
          <w:color w:val="231F20"/>
          <w:w w:val="105"/>
        </w:rPr>
        <w:t>el</w:t>
      </w:r>
      <w:r>
        <w:rPr>
          <w:color w:val="231F20"/>
          <w:spacing w:val="-15"/>
          <w:w w:val="105"/>
        </w:rPr>
        <w:t> </w:t>
      </w:r>
      <w:r>
        <w:rPr>
          <w:color w:val="231F20"/>
          <w:w w:val="105"/>
        </w:rPr>
        <w:t>remodelamiento</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remozamiento</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tramo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avenida</w:t>
      </w:r>
      <w:r>
        <w:rPr>
          <w:color w:val="231F20"/>
          <w:spacing w:val="-15"/>
          <w:w w:val="105"/>
        </w:rPr>
        <w:t> </w:t>
      </w:r>
      <w:r>
        <w:rPr>
          <w:color w:val="231F20"/>
          <w:w w:val="105"/>
        </w:rPr>
        <w:t>Primero</w:t>
      </w:r>
      <w:r>
        <w:rPr>
          <w:color w:val="231F20"/>
          <w:spacing w:val="-15"/>
          <w:w w:val="105"/>
        </w:rPr>
        <w:t> </w:t>
      </w:r>
      <w:r>
        <w:rPr>
          <w:color w:val="231F20"/>
          <w:w w:val="105"/>
        </w:rPr>
        <w:t>de</w:t>
      </w:r>
      <w:r>
        <w:rPr>
          <w:color w:val="231F20"/>
          <w:spacing w:val="-15"/>
          <w:w w:val="105"/>
        </w:rPr>
        <w:t> </w:t>
      </w:r>
      <w:r>
        <w:rPr>
          <w:color w:val="231F20"/>
          <w:w w:val="105"/>
        </w:rPr>
        <w:t>mayo; en otro, Plaza Satélite se comprometió a colaborar con el mantenimiento de las áreas verdes</w:t>
      </w:r>
      <w:r>
        <w:rPr>
          <w:color w:val="231F20"/>
          <w:spacing w:val="-16"/>
          <w:w w:val="105"/>
        </w:rPr>
        <w:t> </w:t>
      </w:r>
      <w:r>
        <w:rPr>
          <w:color w:val="231F20"/>
          <w:w w:val="105"/>
        </w:rPr>
        <w:t>ubicadas</w:t>
      </w:r>
      <w:r>
        <w:rPr>
          <w:color w:val="231F20"/>
          <w:spacing w:val="-16"/>
          <w:w w:val="105"/>
        </w:rPr>
        <w:t> </w:t>
      </w:r>
      <w:r>
        <w:rPr>
          <w:color w:val="231F20"/>
          <w:w w:val="105"/>
        </w:rPr>
        <w:t>frente</w:t>
      </w:r>
      <w:r>
        <w:rPr>
          <w:color w:val="231F20"/>
          <w:spacing w:val="-16"/>
          <w:w w:val="105"/>
        </w:rPr>
        <w:t> </w:t>
      </w:r>
      <w:r>
        <w:rPr>
          <w:color w:val="231F20"/>
          <w:w w:val="105"/>
        </w:rPr>
        <w:t>a</w:t>
      </w:r>
      <w:r>
        <w:rPr>
          <w:color w:val="231F20"/>
          <w:spacing w:val="-16"/>
          <w:w w:val="105"/>
        </w:rPr>
        <w:t> </w:t>
      </w:r>
      <w:r>
        <w:rPr>
          <w:color w:val="231F20"/>
          <w:w w:val="105"/>
        </w:rPr>
        <w:t>dicho</w:t>
      </w:r>
      <w:r>
        <w:rPr>
          <w:color w:val="231F20"/>
          <w:spacing w:val="-16"/>
          <w:w w:val="105"/>
        </w:rPr>
        <w:t> </w:t>
      </w:r>
      <w:r>
        <w:rPr>
          <w:color w:val="231F20"/>
          <w:w w:val="105"/>
        </w:rPr>
        <w:t>centro</w:t>
      </w:r>
      <w:r>
        <w:rPr>
          <w:color w:val="231F20"/>
          <w:spacing w:val="-16"/>
          <w:w w:val="105"/>
        </w:rPr>
        <w:t> </w:t>
      </w:r>
      <w:r>
        <w:rPr>
          <w:color w:val="231F20"/>
          <w:w w:val="105"/>
        </w:rPr>
        <w:t>comercial.</w:t>
      </w:r>
    </w:p>
    <w:p>
      <w:pPr>
        <w:pStyle w:val="BodyText"/>
        <w:spacing w:before="1"/>
        <w:rPr>
          <w:sz w:val="26"/>
        </w:rPr>
      </w:pPr>
    </w:p>
    <w:p>
      <w:pPr>
        <w:pStyle w:val="BodyText"/>
        <w:spacing w:line="285" w:lineRule="auto"/>
        <w:ind w:left="110" w:right="107"/>
        <w:jc w:val="both"/>
      </w:pPr>
      <w:r>
        <w:rPr>
          <w:color w:val="231F20"/>
          <w:w w:val="105"/>
        </w:rPr>
        <w:t>Los recursos del ramo 33 se destinaron a la construcción de 12 aulas para educación básica, así como en obras de repavimentación por un importe total de </w:t>
      </w:r>
      <w:r>
        <w:rPr>
          <w:color w:val="231F20"/>
          <w:spacing w:val="-3"/>
          <w:w w:val="105"/>
        </w:rPr>
        <w:t>19 </w:t>
      </w:r>
      <w:r>
        <w:rPr>
          <w:color w:val="231F20"/>
          <w:w w:val="105"/>
        </w:rPr>
        <w:t>millones </w:t>
      </w:r>
      <w:r>
        <w:rPr>
          <w:color w:val="231F20"/>
          <w:spacing w:val="-3"/>
          <w:w w:val="105"/>
        </w:rPr>
        <w:t>852 </w:t>
      </w:r>
      <w:r>
        <w:rPr>
          <w:color w:val="231F20"/>
          <w:spacing w:val="2"/>
          <w:w w:val="105"/>
        </w:rPr>
        <w:t>mil </w:t>
      </w:r>
      <w:r>
        <w:rPr>
          <w:color w:val="231F20"/>
          <w:w w:val="105"/>
        </w:rPr>
        <w:t>249 pesos, beneficiando a una población de 69 </w:t>
      </w:r>
      <w:r>
        <w:rPr>
          <w:color w:val="231F20"/>
          <w:spacing w:val="2"/>
          <w:w w:val="105"/>
        </w:rPr>
        <w:t>mil </w:t>
      </w:r>
      <w:r>
        <w:rPr>
          <w:color w:val="231F20"/>
          <w:w w:val="105"/>
        </w:rPr>
        <w:t>667 habitantes.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pPr>
      <w:r>
        <w:rPr>
          <w:color w:val="231F20"/>
          <w:w w:val="105"/>
        </w:rPr>
        <w:t>Culminado</w:t>
      </w:r>
      <w:r>
        <w:rPr>
          <w:color w:val="231F20"/>
          <w:spacing w:val="-15"/>
          <w:w w:val="105"/>
        </w:rPr>
        <w:t> </w:t>
      </w:r>
      <w:r>
        <w:rPr>
          <w:color w:val="231F20"/>
          <w:w w:val="105"/>
        </w:rPr>
        <w:t>el</w:t>
      </w:r>
      <w:r>
        <w:rPr>
          <w:color w:val="231F20"/>
          <w:spacing w:val="-15"/>
          <w:w w:val="105"/>
        </w:rPr>
        <w:t> </w:t>
      </w:r>
      <w:r>
        <w:rPr>
          <w:color w:val="231F20"/>
          <w:w w:val="105"/>
        </w:rPr>
        <w:t>primer</w:t>
      </w:r>
      <w:r>
        <w:rPr>
          <w:color w:val="231F20"/>
          <w:spacing w:val="-15"/>
          <w:w w:val="105"/>
        </w:rPr>
        <w:t> </w:t>
      </w:r>
      <w:r>
        <w:rPr>
          <w:color w:val="231F20"/>
          <w:w w:val="105"/>
        </w:rPr>
        <w:t>año,</w:t>
      </w:r>
      <w:r>
        <w:rPr>
          <w:color w:val="231F20"/>
          <w:spacing w:val="-15"/>
          <w:w w:val="105"/>
        </w:rPr>
        <w:t> </w:t>
      </w:r>
      <w:r>
        <w:rPr>
          <w:color w:val="231F20"/>
          <w:w w:val="105"/>
        </w:rPr>
        <w:t>la</w:t>
      </w:r>
      <w:r>
        <w:rPr>
          <w:color w:val="231F20"/>
          <w:spacing w:val="-15"/>
          <w:w w:val="105"/>
        </w:rPr>
        <w:t> </w:t>
      </w:r>
      <w:r>
        <w:rPr>
          <w:color w:val="231F20"/>
          <w:w w:val="105"/>
        </w:rPr>
        <w:t>presidencia</w:t>
      </w:r>
      <w:r>
        <w:rPr>
          <w:color w:val="231F20"/>
          <w:spacing w:val="-15"/>
          <w:w w:val="105"/>
        </w:rPr>
        <w:t> </w:t>
      </w:r>
      <w:r>
        <w:rPr>
          <w:color w:val="231F20"/>
          <w:w w:val="105"/>
        </w:rPr>
        <w:t>municipal</w:t>
      </w:r>
      <w:r>
        <w:rPr>
          <w:color w:val="231F20"/>
          <w:spacing w:val="-15"/>
          <w:w w:val="105"/>
        </w:rPr>
        <w:t> </w:t>
      </w:r>
      <w:r>
        <w:rPr>
          <w:color w:val="231F20"/>
          <w:w w:val="105"/>
        </w:rPr>
        <w:t>informaba</w:t>
      </w:r>
      <w:r>
        <w:rPr>
          <w:color w:val="231F20"/>
          <w:spacing w:val="-15"/>
          <w:w w:val="105"/>
        </w:rPr>
        <w:t> </w:t>
      </w:r>
      <w:r>
        <w:rPr>
          <w:color w:val="231F20"/>
          <w:w w:val="105"/>
        </w:rPr>
        <w:t>que</w:t>
      </w:r>
      <w:r>
        <w:rPr>
          <w:color w:val="231F20"/>
          <w:spacing w:val="-15"/>
          <w:w w:val="105"/>
        </w:rPr>
        <w:t> </w:t>
      </w:r>
      <w:r>
        <w:rPr>
          <w:color w:val="231F20"/>
          <w:w w:val="105"/>
        </w:rPr>
        <w:t>tenía</w:t>
      </w:r>
      <w:r>
        <w:rPr>
          <w:color w:val="231F20"/>
          <w:spacing w:val="-15"/>
          <w:w w:val="105"/>
        </w:rPr>
        <w:t> </w:t>
      </w:r>
      <w:r>
        <w:rPr>
          <w:color w:val="231F20"/>
          <w:spacing w:val="-6"/>
          <w:w w:val="105"/>
        </w:rPr>
        <w:t>101</w:t>
      </w:r>
      <w:r>
        <w:rPr>
          <w:color w:val="231F20"/>
          <w:spacing w:val="-15"/>
          <w:w w:val="105"/>
        </w:rPr>
        <w:t> </w:t>
      </w:r>
      <w:r>
        <w:rPr>
          <w:color w:val="231F20"/>
          <w:w w:val="105"/>
        </w:rPr>
        <w:t>obras</w:t>
      </w:r>
      <w:r>
        <w:rPr>
          <w:color w:val="231F20"/>
          <w:spacing w:val="-15"/>
          <w:w w:val="105"/>
        </w:rPr>
        <w:t> </w:t>
      </w:r>
      <w:r>
        <w:rPr>
          <w:color w:val="231F20"/>
          <w:w w:val="105"/>
        </w:rPr>
        <w:t>auto- rizadas</w:t>
      </w:r>
      <w:r>
        <w:rPr>
          <w:color w:val="231F20"/>
          <w:spacing w:val="-13"/>
          <w:w w:val="105"/>
        </w:rPr>
        <w:t> </w:t>
      </w:r>
      <w:r>
        <w:rPr>
          <w:color w:val="231F20"/>
          <w:w w:val="105"/>
        </w:rPr>
        <w:t>con</w:t>
      </w:r>
      <w:r>
        <w:rPr>
          <w:color w:val="231F20"/>
          <w:spacing w:val="-13"/>
          <w:w w:val="105"/>
        </w:rPr>
        <w:t> </w:t>
      </w:r>
      <w:r>
        <w:rPr>
          <w:color w:val="231F20"/>
          <w:w w:val="105"/>
        </w:rPr>
        <w:t>una</w:t>
      </w:r>
      <w:r>
        <w:rPr>
          <w:color w:val="231F20"/>
          <w:spacing w:val="-13"/>
          <w:w w:val="105"/>
        </w:rPr>
        <w:t> </w:t>
      </w:r>
      <w:r>
        <w:rPr>
          <w:color w:val="231F20"/>
          <w:w w:val="105"/>
        </w:rPr>
        <w:t>inversión</w:t>
      </w:r>
      <w:r>
        <w:rPr>
          <w:color w:val="231F20"/>
          <w:spacing w:val="-13"/>
          <w:w w:val="105"/>
        </w:rPr>
        <w:t> </w:t>
      </w:r>
      <w:r>
        <w:rPr>
          <w:color w:val="231F20"/>
          <w:w w:val="105"/>
        </w:rPr>
        <w:t>total</w:t>
      </w:r>
      <w:r>
        <w:rPr>
          <w:color w:val="231F20"/>
          <w:spacing w:val="-13"/>
          <w:w w:val="105"/>
        </w:rPr>
        <w:t> </w:t>
      </w:r>
      <w:r>
        <w:rPr>
          <w:color w:val="231F20"/>
          <w:w w:val="105"/>
        </w:rPr>
        <w:t>programada</w:t>
      </w:r>
      <w:r>
        <w:rPr>
          <w:color w:val="231F20"/>
          <w:spacing w:val="-13"/>
          <w:w w:val="105"/>
        </w:rPr>
        <w:t> </w:t>
      </w:r>
      <w:r>
        <w:rPr>
          <w:color w:val="231F20"/>
          <w:w w:val="105"/>
        </w:rPr>
        <w:t>de</w:t>
      </w:r>
      <w:r>
        <w:rPr>
          <w:color w:val="231F20"/>
          <w:spacing w:val="-13"/>
          <w:w w:val="105"/>
        </w:rPr>
        <w:t> </w:t>
      </w:r>
      <w:r>
        <w:rPr>
          <w:color w:val="231F20"/>
          <w:spacing w:val="-3"/>
          <w:w w:val="105"/>
        </w:rPr>
        <w:t>352</w:t>
      </w:r>
      <w:r>
        <w:rPr>
          <w:color w:val="231F20"/>
          <w:spacing w:val="-13"/>
          <w:w w:val="105"/>
        </w:rPr>
        <w:t> </w:t>
      </w:r>
      <w:r>
        <w:rPr>
          <w:color w:val="231F20"/>
          <w:w w:val="105"/>
        </w:rPr>
        <w:t>millones</w:t>
      </w:r>
      <w:r>
        <w:rPr>
          <w:color w:val="231F20"/>
          <w:spacing w:val="-13"/>
          <w:w w:val="105"/>
        </w:rPr>
        <w:t> </w:t>
      </w:r>
      <w:r>
        <w:rPr>
          <w:color w:val="231F20"/>
          <w:spacing w:val="4"/>
          <w:w w:val="105"/>
        </w:rPr>
        <w:t>444</w:t>
      </w:r>
      <w:r>
        <w:rPr>
          <w:color w:val="231F20"/>
          <w:spacing w:val="-13"/>
          <w:w w:val="105"/>
        </w:rPr>
        <w:t> </w:t>
      </w:r>
      <w:r>
        <w:rPr>
          <w:color w:val="231F20"/>
          <w:spacing w:val="2"/>
          <w:w w:val="105"/>
        </w:rPr>
        <w:t>mil</w:t>
      </w:r>
      <w:r>
        <w:rPr>
          <w:color w:val="231F20"/>
          <w:spacing w:val="-13"/>
          <w:w w:val="105"/>
        </w:rPr>
        <w:t> </w:t>
      </w:r>
      <w:r>
        <w:rPr>
          <w:color w:val="231F20"/>
          <w:w w:val="105"/>
        </w:rPr>
        <w:t>497</w:t>
      </w:r>
      <w:r>
        <w:rPr>
          <w:color w:val="231F20"/>
          <w:spacing w:val="-13"/>
          <w:w w:val="105"/>
        </w:rPr>
        <w:t> </w:t>
      </w:r>
      <w:r>
        <w:rPr>
          <w:color w:val="231F20"/>
          <w:w w:val="105"/>
        </w:rPr>
        <w:t>pesos.</w:t>
      </w:r>
    </w:p>
    <w:p>
      <w:pPr>
        <w:pStyle w:val="BodyText"/>
        <w:spacing w:before="1"/>
        <w:rPr>
          <w:sz w:val="26"/>
        </w:rPr>
      </w:pPr>
    </w:p>
    <w:p>
      <w:pPr>
        <w:pStyle w:val="Heading5"/>
        <w:spacing w:after="32"/>
        <w:ind w:left="538" w:right="576"/>
        <w:jc w:val="center"/>
      </w:pPr>
      <w:r>
        <w:rPr>
          <w:color w:val="231F20"/>
          <w:w w:val="105"/>
        </w:rPr>
        <w:t>Tabla 11. Obras públicas</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0"/>
                <w:sz w:val="16"/>
              </w:rPr>
              <w:t>30 obras hidráulicas de gran impacto</w:t>
            </w:r>
          </w:p>
        </w:tc>
      </w:tr>
      <w:tr>
        <w:trPr>
          <w:trHeight w:val="130" w:hRule="exact"/>
        </w:trPr>
        <w:tc>
          <w:tcPr>
            <w:tcW w:w="7927" w:type="dxa"/>
          </w:tcPr>
          <w:p>
            <w:pPr>
              <w:pStyle w:val="TableParagraph"/>
              <w:spacing w:line="160" w:lineRule="exact"/>
              <w:ind w:right="141"/>
              <w:rPr>
                <w:sz w:val="16"/>
              </w:rPr>
            </w:pPr>
            <w:r>
              <w:rPr>
                <w:color w:val="231F20"/>
                <w:w w:val="75"/>
                <w:sz w:val="16"/>
              </w:rPr>
              <w:t>Adquisición de 92 vehículos recolectores de basura</w:t>
            </w:r>
          </w:p>
        </w:tc>
      </w:tr>
      <w:tr>
        <w:trPr>
          <w:trHeight w:val="130" w:hRule="exact"/>
        </w:trPr>
        <w:tc>
          <w:tcPr>
            <w:tcW w:w="7927" w:type="dxa"/>
          </w:tcPr>
          <w:p>
            <w:pPr>
              <w:pStyle w:val="TableParagraph"/>
              <w:spacing w:line="160" w:lineRule="exact"/>
              <w:ind w:right="141"/>
              <w:rPr>
                <w:sz w:val="16"/>
              </w:rPr>
            </w:pPr>
            <w:r>
              <w:rPr>
                <w:color w:val="231F20"/>
                <w:w w:val="75"/>
                <w:sz w:val="16"/>
              </w:rPr>
              <w:t>Construcción del Cárcamo Industria Nacional en el fraccionamiento Alce  Blanco</w:t>
            </w:r>
          </w:p>
        </w:tc>
      </w:tr>
      <w:tr>
        <w:trPr>
          <w:trHeight w:val="130" w:hRule="exact"/>
        </w:trPr>
        <w:tc>
          <w:tcPr>
            <w:tcW w:w="7927" w:type="dxa"/>
          </w:tcPr>
          <w:p>
            <w:pPr>
              <w:pStyle w:val="TableParagraph"/>
              <w:spacing w:line="160" w:lineRule="exact"/>
              <w:ind w:right="141"/>
              <w:rPr>
                <w:sz w:val="16"/>
              </w:rPr>
            </w:pPr>
            <w:r>
              <w:rPr>
                <w:color w:val="231F20"/>
                <w:w w:val="80"/>
                <w:sz w:val="16"/>
              </w:rPr>
              <w:t>Desazolve del tramo del periférico perteneciente a Naucalpan, así como el cambio de postes y luminarias del mismo</w:t>
            </w:r>
          </w:p>
        </w:tc>
      </w:tr>
      <w:tr>
        <w:trPr>
          <w:trHeight w:val="130" w:hRule="exact"/>
        </w:trPr>
        <w:tc>
          <w:tcPr>
            <w:tcW w:w="7927" w:type="dxa"/>
          </w:tcPr>
          <w:p>
            <w:pPr>
              <w:pStyle w:val="TableParagraph"/>
              <w:spacing w:line="160" w:lineRule="exact"/>
              <w:ind w:right="141"/>
              <w:rPr>
                <w:sz w:val="16"/>
              </w:rPr>
            </w:pPr>
            <w:r>
              <w:rPr>
                <w:color w:val="231F20"/>
                <w:w w:val="80"/>
                <w:sz w:val="16"/>
              </w:rPr>
              <w:t>Inicio de campaña de reforestación con la siembra de 170 mil árboles</w:t>
            </w:r>
          </w:p>
        </w:tc>
      </w:tr>
      <w:tr>
        <w:trPr>
          <w:trHeight w:val="130" w:hRule="exact"/>
        </w:trPr>
        <w:tc>
          <w:tcPr>
            <w:tcW w:w="7927" w:type="dxa"/>
          </w:tcPr>
          <w:p>
            <w:pPr>
              <w:pStyle w:val="TableParagraph"/>
              <w:spacing w:line="160" w:lineRule="exact"/>
              <w:ind w:right="141"/>
              <w:rPr>
                <w:sz w:val="16"/>
              </w:rPr>
            </w:pPr>
            <w:r>
              <w:rPr>
                <w:color w:val="231F20"/>
                <w:w w:val="80"/>
                <w:sz w:val="16"/>
              </w:rPr>
              <w:t>Inversión de 23 millones de pesos para la perforación de 9 pozos profundos y la rehabilitación de 3 más</w:t>
            </w:r>
          </w:p>
        </w:tc>
      </w:tr>
      <w:tr>
        <w:trPr>
          <w:trHeight w:val="130" w:hRule="exact"/>
        </w:trPr>
        <w:tc>
          <w:tcPr>
            <w:tcW w:w="7927" w:type="dxa"/>
          </w:tcPr>
          <w:p>
            <w:pPr>
              <w:pStyle w:val="TableParagraph"/>
              <w:spacing w:line="160" w:lineRule="exact"/>
              <w:ind w:right="141"/>
              <w:rPr>
                <w:sz w:val="16"/>
              </w:rPr>
            </w:pPr>
            <w:r>
              <w:rPr>
                <w:color w:val="231F20"/>
                <w:w w:val="75"/>
                <w:sz w:val="16"/>
              </w:rPr>
              <w:t>Nuevo parque municipal en Minas Coyote</w:t>
            </w:r>
          </w:p>
        </w:tc>
      </w:tr>
      <w:tr>
        <w:trPr>
          <w:trHeight w:val="130" w:hRule="exact"/>
        </w:trPr>
        <w:tc>
          <w:tcPr>
            <w:tcW w:w="7927" w:type="dxa"/>
          </w:tcPr>
          <w:p>
            <w:pPr>
              <w:pStyle w:val="TableParagraph"/>
              <w:spacing w:line="160" w:lineRule="exact"/>
              <w:ind w:right="141"/>
              <w:rPr>
                <w:sz w:val="16"/>
              </w:rPr>
            </w:pPr>
            <w:r>
              <w:rPr>
                <w:color w:val="231F20"/>
                <w:w w:val="75"/>
                <w:sz w:val="16"/>
              </w:rPr>
              <w:t>Nuevo relleno sanitario en Santiago  Tepatlaxco</w:t>
            </w:r>
          </w:p>
        </w:tc>
      </w:tr>
      <w:tr>
        <w:trPr>
          <w:trHeight w:val="130" w:hRule="exact"/>
        </w:trPr>
        <w:tc>
          <w:tcPr>
            <w:tcW w:w="7927" w:type="dxa"/>
          </w:tcPr>
          <w:p>
            <w:pPr>
              <w:pStyle w:val="TableParagraph"/>
              <w:spacing w:line="160" w:lineRule="exact"/>
              <w:ind w:right="141"/>
              <w:rPr>
                <w:sz w:val="16"/>
              </w:rPr>
            </w:pPr>
            <w:r>
              <w:rPr>
                <w:color w:val="231F20"/>
                <w:w w:val="80"/>
                <w:sz w:val="16"/>
              </w:rPr>
              <w:t>Obras en el Camino Nuevo a Huixquilucan</w:t>
            </w:r>
          </w:p>
        </w:tc>
      </w:tr>
      <w:tr>
        <w:trPr>
          <w:trHeight w:val="130" w:hRule="exact"/>
        </w:trPr>
        <w:tc>
          <w:tcPr>
            <w:tcW w:w="7927" w:type="dxa"/>
          </w:tcPr>
          <w:p>
            <w:pPr>
              <w:pStyle w:val="TableParagraph"/>
              <w:spacing w:line="160" w:lineRule="exact"/>
              <w:ind w:right="141"/>
              <w:rPr>
                <w:sz w:val="16"/>
              </w:rPr>
            </w:pPr>
            <w:r>
              <w:rPr>
                <w:color w:val="231F20"/>
                <w:w w:val="80"/>
                <w:sz w:val="16"/>
              </w:rPr>
              <w:t>Recuperación de espacios verdes en el Paraje “La Hoja” del Parque Nacional de Los Remedios</w:t>
            </w:r>
          </w:p>
        </w:tc>
      </w:tr>
      <w:tr>
        <w:trPr>
          <w:trHeight w:val="130" w:hRule="exact"/>
        </w:trPr>
        <w:tc>
          <w:tcPr>
            <w:tcW w:w="7927" w:type="dxa"/>
          </w:tcPr>
          <w:p>
            <w:pPr>
              <w:pStyle w:val="TableParagraph"/>
              <w:spacing w:line="160" w:lineRule="exact"/>
              <w:ind w:right="141"/>
              <w:rPr>
                <w:sz w:val="16"/>
              </w:rPr>
            </w:pPr>
            <w:r>
              <w:rPr>
                <w:color w:val="231F20"/>
                <w:w w:val="80"/>
                <w:sz w:val="16"/>
              </w:rPr>
              <w:t>Rehabilitación de la Calle Altamira</w:t>
            </w:r>
          </w:p>
        </w:tc>
      </w:tr>
      <w:tr>
        <w:trPr>
          <w:trHeight w:val="130" w:hRule="exact"/>
        </w:trPr>
        <w:tc>
          <w:tcPr>
            <w:tcW w:w="7927" w:type="dxa"/>
          </w:tcPr>
          <w:p>
            <w:pPr>
              <w:pStyle w:val="TableParagraph"/>
              <w:spacing w:line="160" w:lineRule="exact"/>
              <w:ind w:right="141"/>
              <w:rPr>
                <w:sz w:val="16"/>
              </w:rPr>
            </w:pPr>
            <w:r>
              <w:rPr>
                <w:color w:val="231F20"/>
                <w:w w:val="75"/>
                <w:sz w:val="16"/>
              </w:rPr>
              <w:t>Remodelación del Parque del Caracol en Los  Remedios</w:t>
            </w:r>
          </w:p>
        </w:tc>
      </w:tr>
      <w:tr>
        <w:trPr>
          <w:trHeight w:val="130" w:hRule="exact"/>
        </w:trPr>
        <w:tc>
          <w:tcPr>
            <w:tcW w:w="7927" w:type="dxa"/>
          </w:tcPr>
          <w:p>
            <w:pPr>
              <w:pStyle w:val="TableParagraph"/>
              <w:spacing w:line="160" w:lineRule="exact"/>
              <w:ind w:right="141"/>
              <w:rPr>
                <w:sz w:val="16"/>
              </w:rPr>
            </w:pPr>
            <w:r>
              <w:rPr>
                <w:color w:val="231F20"/>
                <w:w w:val="75"/>
                <w:sz w:val="16"/>
              </w:rPr>
              <w:t>Remodelación del Polvorín en  Bulevares</w:t>
            </w:r>
          </w:p>
        </w:tc>
      </w:tr>
      <w:tr>
        <w:trPr>
          <w:trHeight w:val="130" w:hRule="exact"/>
        </w:trPr>
        <w:tc>
          <w:tcPr>
            <w:tcW w:w="7927" w:type="dxa"/>
          </w:tcPr>
          <w:p>
            <w:pPr>
              <w:pStyle w:val="TableParagraph"/>
              <w:spacing w:line="160" w:lineRule="exact"/>
              <w:ind w:right="141"/>
              <w:rPr>
                <w:sz w:val="16"/>
              </w:rPr>
            </w:pPr>
            <w:r>
              <w:rPr>
                <w:color w:val="231F20"/>
                <w:w w:val="75"/>
                <w:sz w:val="16"/>
              </w:rPr>
              <w:t>Repavimentación con concreto hidráulico en ambos sentidos de la Súper Avenida Lomas  Verdes</w:t>
            </w:r>
          </w:p>
        </w:tc>
      </w:tr>
      <w:tr>
        <w:trPr>
          <w:trHeight w:val="130" w:hRule="exact"/>
        </w:trPr>
        <w:tc>
          <w:tcPr>
            <w:tcW w:w="7927" w:type="dxa"/>
          </w:tcPr>
          <w:p>
            <w:pPr>
              <w:pStyle w:val="TableParagraph"/>
              <w:spacing w:line="160" w:lineRule="exact"/>
              <w:ind w:right="141"/>
              <w:rPr>
                <w:sz w:val="16"/>
              </w:rPr>
            </w:pPr>
            <w:r>
              <w:rPr>
                <w:color w:val="231F20"/>
                <w:w w:val="80"/>
                <w:sz w:val="16"/>
              </w:rPr>
              <w:t>Repavimentación en colonias como La Concordia y la 1ª Sección de Lomas Verdes, La Ahuizotla, El Tornillo, Las Torres y La Mancha</w:t>
            </w:r>
          </w:p>
        </w:tc>
      </w:tr>
    </w:tbl>
    <w:p>
      <w:pPr>
        <w:pStyle w:val="BodyText"/>
        <w:spacing w:before="6"/>
        <w:rPr>
          <w:b/>
          <w:sz w:val="11"/>
        </w:rPr>
      </w:pPr>
    </w:p>
    <w:p>
      <w:pPr>
        <w:spacing w:before="74"/>
        <w:ind w:left="0" w:right="148" w:firstLine="0"/>
        <w:jc w:val="right"/>
        <w:rPr>
          <w:rFonts w:ascii="Calibri" w:hAnsi="Calibri"/>
          <w:sz w:val="16"/>
        </w:rPr>
      </w:pPr>
      <w:r>
        <w:rPr>
          <w:rFonts w:ascii="Calibri" w:hAnsi="Calibri"/>
          <w:color w:val="231F20"/>
          <w:sz w:val="16"/>
        </w:rPr>
        <w:t>Fuente: 1º Informe de Gobierno, 2007</w:t>
      </w:r>
    </w:p>
    <w:p>
      <w:pPr>
        <w:pStyle w:val="BodyText"/>
        <w:rPr>
          <w:rFonts w:ascii="Calibri"/>
          <w:sz w:val="16"/>
        </w:rPr>
      </w:pPr>
    </w:p>
    <w:p>
      <w:pPr>
        <w:pStyle w:val="BodyText"/>
        <w:spacing w:before="10"/>
        <w:rPr>
          <w:rFonts w:ascii="Calibri"/>
          <w:sz w:val="12"/>
        </w:rPr>
      </w:pPr>
    </w:p>
    <w:p>
      <w:pPr>
        <w:pStyle w:val="BodyText"/>
        <w:spacing w:line="285" w:lineRule="auto" w:before="1"/>
        <w:ind w:left="110"/>
      </w:pP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2007,</w:t>
      </w:r>
      <w:r>
        <w:rPr>
          <w:color w:val="231F20"/>
          <w:spacing w:val="-15"/>
          <w:w w:val="105"/>
        </w:rPr>
        <w:t> </w:t>
      </w:r>
      <w:r>
        <w:rPr>
          <w:color w:val="231F20"/>
          <w:spacing w:val="2"/>
          <w:w w:val="105"/>
        </w:rPr>
        <w:t>al</w:t>
      </w:r>
      <w:r>
        <w:rPr>
          <w:color w:val="231F20"/>
          <w:spacing w:val="-15"/>
          <w:w w:val="105"/>
        </w:rPr>
        <w:t> </w:t>
      </w:r>
      <w:r>
        <w:rPr>
          <w:color w:val="231F20"/>
          <w:spacing w:val="2"/>
          <w:w w:val="105"/>
        </w:rPr>
        <w:t>finalizar</w:t>
      </w:r>
      <w:r>
        <w:rPr>
          <w:color w:val="231F20"/>
          <w:spacing w:val="-15"/>
          <w:w w:val="105"/>
        </w:rPr>
        <w:t> </w:t>
      </w:r>
      <w:r>
        <w:rPr>
          <w:color w:val="231F20"/>
          <w:w w:val="105"/>
        </w:rPr>
        <w:t>el</w:t>
      </w:r>
      <w:r>
        <w:rPr>
          <w:color w:val="231F20"/>
          <w:spacing w:val="-15"/>
          <w:w w:val="105"/>
        </w:rPr>
        <w:t> </w:t>
      </w:r>
      <w:r>
        <w:rPr>
          <w:color w:val="231F20"/>
          <w:w w:val="105"/>
        </w:rPr>
        <w:t>primer</w:t>
      </w:r>
      <w:r>
        <w:rPr>
          <w:color w:val="231F20"/>
          <w:spacing w:val="-15"/>
          <w:w w:val="105"/>
        </w:rPr>
        <w:t> </w:t>
      </w:r>
      <w:r>
        <w:rPr>
          <w:color w:val="231F20"/>
          <w:w w:val="105"/>
        </w:rPr>
        <w:t>año</w:t>
      </w:r>
      <w:r>
        <w:rPr>
          <w:color w:val="231F20"/>
          <w:spacing w:val="-15"/>
          <w:w w:val="105"/>
        </w:rPr>
        <w:t> </w:t>
      </w:r>
      <w:r>
        <w:rPr>
          <w:color w:val="231F20"/>
          <w:w w:val="105"/>
        </w:rPr>
        <w:t>de</w:t>
      </w:r>
      <w:r>
        <w:rPr>
          <w:color w:val="231F20"/>
          <w:spacing w:val="-15"/>
          <w:w w:val="105"/>
        </w:rPr>
        <w:t> </w:t>
      </w:r>
      <w:r>
        <w:rPr>
          <w:color w:val="231F20"/>
          <w:w w:val="105"/>
        </w:rPr>
        <w:t>gestión,</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r>
        <w:rPr>
          <w:color w:val="231F20"/>
          <w:spacing w:val="-15"/>
          <w:w w:val="105"/>
        </w:rPr>
        <w:t> </w:t>
      </w:r>
      <w:r>
        <w:rPr>
          <w:color w:val="231F20"/>
          <w:w w:val="105"/>
        </w:rPr>
        <w:t>informó</w:t>
      </w:r>
      <w:r>
        <w:rPr>
          <w:color w:val="231F20"/>
          <w:spacing w:val="-15"/>
          <w:w w:val="105"/>
        </w:rPr>
        <w:t> </w:t>
      </w:r>
      <w:r>
        <w:rPr>
          <w:color w:val="231F20"/>
          <w:w w:val="105"/>
        </w:rPr>
        <w:t>que</w:t>
      </w:r>
      <w:r>
        <w:rPr>
          <w:color w:val="231F20"/>
          <w:spacing w:val="-15"/>
          <w:w w:val="105"/>
        </w:rPr>
        <w:t> </w:t>
      </w:r>
      <w:r>
        <w:rPr>
          <w:color w:val="231F20"/>
          <w:w w:val="105"/>
        </w:rPr>
        <w:t>se encontraban</w:t>
      </w:r>
      <w:r>
        <w:rPr>
          <w:color w:val="231F20"/>
          <w:spacing w:val="-16"/>
          <w:w w:val="105"/>
        </w:rPr>
        <w:t> </w:t>
      </w:r>
      <w:r>
        <w:rPr>
          <w:color w:val="231F20"/>
          <w:w w:val="105"/>
        </w:rPr>
        <w:t>en</w:t>
      </w:r>
      <w:r>
        <w:rPr>
          <w:color w:val="231F20"/>
          <w:spacing w:val="-16"/>
          <w:w w:val="105"/>
        </w:rPr>
        <w:t> </w:t>
      </w:r>
      <w:r>
        <w:rPr>
          <w:color w:val="231F20"/>
          <w:w w:val="105"/>
        </w:rPr>
        <w:t>proceso</w:t>
      </w:r>
      <w:r>
        <w:rPr>
          <w:color w:val="231F20"/>
          <w:spacing w:val="-16"/>
          <w:w w:val="105"/>
        </w:rPr>
        <w:t> </w:t>
      </w:r>
      <w:r>
        <w:rPr>
          <w:color w:val="231F20"/>
          <w:w w:val="105"/>
        </w:rPr>
        <w:t>los</w:t>
      </w:r>
      <w:r>
        <w:rPr>
          <w:color w:val="231F20"/>
          <w:spacing w:val="-16"/>
          <w:w w:val="105"/>
        </w:rPr>
        <w:t> </w:t>
      </w:r>
      <w:r>
        <w:rPr>
          <w:color w:val="231F20"/>
          <w:w w:val="105"/>
        </w:rPr>
        <w:t>siguientes</w:t>
      </w:r>
      <w:r>
        <w:rPr>
          <w:color w:val="231F20"/>
          <w:spacing w:val="-16"/>
          <w:w w:val="105"/>
        </w:rPr>
        <w:t> </w:t>
      </w:r>
      <w:r>
        <w:rPr>
          <w:color w:val="231F20"/>
          <w:w w:val="105"/>
        </w:rPr>
        <w:t>proyectos:</w:t>
      </w:r>
    </w:p>
    <w:p>
      <w:pPr>
        <w:pStyle w:val="BodyText"/>
        <w:spacing w:before="1"/>
        <w:rPr>
          <w:sz w:val="26"/>
        </w:rPr>
      </w:pPr>
    </w:p>
    <w:p>
      <w:pPr>
        <w:pStyle w:val="Heading5"/>
        <w:spacing w:after="32"/>
        <w:ind w:left="538" w:right="576"/>
        <w:jc w:val="center"/>
      </w:pPr>
      <w:r>
        <w:rPr>
          <w:color w:val="231F20"/>
          <w:w w:val="105"/>
        </w:rPr>
        <w:t>Tabla 12. Obras en proceso</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541"/>
        <w:gridCol w:w="1440"/>
        <w:gridCol w:w="1980"/>
      </w:tblGrid>
      <w:tr>
        <w:trPr>
          <w:trHeight w:val="130" w:hRule="exact"/>
        </w:trPr>
        <w:tc>
          <w:tcPr>
            <w:tcW w:w="4541" w:type="dxa"/>
          </w:tcPr>
          <w:p>
            <w:pPr>
              <w:pStyle w:val="TableParagraph"/>
              <w:spacing w:line="160" w:lineRule="exact"/>
              <w:rPr>
                <w:sz w:val="16"/>
              </w:rPr>
            </w:pPr>
            <w:r>
              <w:rPr>
                <w:color w:val="231F20"/>
                <w:w w:val="85"/>
                <w:sz w:val="16"/>
              </w:rPr>
              <w:t>Rubro</w:t>
            </w:r>
          </w:p>
        </w:tc>
        <w:tc>
          <w:tcPr>
            <w:tcW w:w="1440" w:type="dxa"/>
          </w:tcPr>
          <w:p>
            <w:pPr>
              <w:pStyle w:val="TableParagraph"/>
              <w:spacing w:line="160" w:lineRule="exact"/>
              <w:ind w:right="24"/>
              <w:rPr>
                <w:sz w:val="16"/>
              </w:rPr>
            </w:pPr>
            <w:r>
              <w:rPr>
                <w:color w:val="231F20"/>
                <w:w w:val="85"/>
                <w:sz w:val="16"/>
              </w:rPr>
              <w:t>Proyectos</w:t>
            </w:r>
          </w:p>
        </w:tc>
        <w:tc>
          <w:tcPr>
            <w:tcW w:w="1980" w:type="dxa"/>
          </w:tcPr>
          <w:p>
            <w:pPr>
              <w:pStyle w:val="TableParagraph"/>
              <w:spacing w:line="160" w:lineRule="exact"/>
              <w:rPr>
                <w:sz w:val="16"/>
              </w:rPr>
            </w:pPr>
            <w:r>
              <w:rPr>
                <w:color w:val="231F20"/>
                <w:w w:val="75"/>
                <w:sz w:val="16"/>
              </w:rPr>
              <w:t>Inversión estimada</w:t>
            </w:r>
          </w:p>
        </w:tc>
      </w:tr>
      <w:tr>
        <w:trPr>
          <w:trHeight w:val="130" w:hRule="exact"/>
        </w:trPr>
        <w:tc>
          <w:tcPr>
            <w:tcW w:w="4541" w:type="dxa"/>
          </w:tcPr>
          <w:p>
            <w:pPr>
              <w:pStyle w:val="TableParagraph"/>
              <w:spacing w:line="160" w:lineRule="exact"/>
              <w:rPr>
                <w:sz w:val="16"/>
              </w:rPr>
            </w:pPr>
            <w:r>
              <w:rPr>
                <w:color w:val="231F20"/>
                <w:w w:val="75"/>
                <w:sz w:val="16"/>
              </w:rPr>
              <w:t>1. Educación (Ramo 33)</w:t>
            </w:r>
          </w:p>
        </w:tc>
        <w:tc>
          <w:tcPr>
            <w:tcW w:w="1440" w:type="dxa"/>
          </w:tcPr>
          <w:p>
            <w:pPr>
              <w:pStyle w:val="TableParagraph"/>
              <w:spacing w:line="160" w:lineRule="exact"/>
              <w:ind w:right="24"/>
              <w:rPr>
                <w:sz w:val="16"/>
              </w:rPr>
            </w:pPr>
            <w:r>
              <w:rPr>
                <w:color w:val="231F20"/>
                <w:w w:val="85"/>
                <w:sz w:val="16"/>
              </w:rPr>
              <w:t>28</w:t>
            </w:r>
          </w:p>
        </w:tc>
        <w:tc>
          <w:tcPr>
            <w:tcW w:w="1980" w:type="dxa"/>
          </w:tcPr>
          <w:p>
            <w:pPr>
              <w:pStyle w:val="TableParagraph"/>
              <w:spacing w:line="160" w:lineRule="exact"/>
              <w:rPr>
                <w:sz w:val="16"/>
              </w:rPr>
            </w:pPr>
            <w:r>
              <w:rPr>
                <w:color w:val="231F20"/>
                <w:w w:val="80"/>
                <w:sz w:val="16"/>
              </w:rPr>
              <w:t>$18 800,000</w:t>
            </w:r>
          </w:p>
        </w:tc>
      </w:tr>
      <w:tr>
        <w:trPr>
          <w:trHeight w:val="130" w:hRule="exact"/>
        </w:trPr>
        <w:tc>
          <w:tcPr>
            <w:tcW w:w="4541" w:type="dxa"/>
          </w:tcPr>
          <w:p>
            <w:pPr>
              <w:pStyle w:val="TableParagraph"/>
              <w:spacing w:line="160" w:lineRule="exact"/>
              <w:rPr>
                <w:sz w:val="16"/>
              </w:rPr>
            </w:pPr>
            <w:r>
              <w:rPr>
                <w:color w:val="231F20"/>
                <w:w w:val="80"/>
                <w:sz w:val="16"/>
              </w:rPr>
              <w:t>2. Seguridad pública</w:t>
            </w:r>
          </w:p>
        </w:tc>
        <w:tc>
          <w:tcPr>
            <w:tcW w:w="1440" w:type="dxa"/>
          </w:tcPr>
          <w:p>
            <w:pPr>
              <w:pStyle w:val="TableParagraph"/>
              <w:spacing w:line="160" w:lineRule="exact"/>
              <w:rPr>
                <w:sz w:val="16"/>
              </w:rPr>
            </w:pPr>
            <w:r>
              <w:rPr>
                <w:color w:val="231F20"/>
                <w:w w:val="75"/>
                <w:sz w:val="16"/>
              </w:rPr>
              <w:t>2</w:t>
            </w:r>
          </w:p>
        </w:tc>
        <w:tc>
          <w:tcPr>
            <w:tcW w:w="1980" w:type="dxa"/>
          </w:tcPr>
          <w:p>
            <w:pPr>
              <w:pStyle w:val="TableParagraph"/>
              <w:spacing w:line="160" w:lineRule="exact"/>
              <w:rPr>
                <w:sz w:val="16"/>
              </w:rPr>
            </w:pPr>
            <w:r>
              <w:rPr>
                <w:color w:val="231F20"/>
                <w:w w:val="85"/>
                <w:sz w:val="16"/>
              </w:rPr>
              <w:t>$ 500,000</w:t>
            </w:r>
          </w:p>
        </w:tc>
      </w:tr>
      <w:tr>
        <w:trPr>
          <w:trHeight w:val="130" w:hRule="exact"/>
        </w:trPr>
        <w:tc>
          <w:tcPr>
            <w:tcW w:w="4541" w:type="dxa"/>
          </w:tcPr>
          <w:p>
            <w:pPr>
              <w:pStyle w:val="TableParagraph"/>
              <w:spacing w:line="160" w:lineRule="exact"/>
              <w:rPr>
                <w:sz w:val="16"/>
              </w:rPr>
            </w:pPr>
            <w:r>
              <w:rPr>
                <w:color w:val="231F20"/>
                <w:w w:val="75"/>
                <w:sz w:val="16"/>
              </w:rPr>
              <w:t>3. Abasto y comercio</w:t>
            </w:r>
          </w:p>
        </w:tc>
        <w:tc>
          <w:tcPr>
            <w:tcW w:w="1440" w:type="dxa"/>
          </w:tcPr>
          <w:p>
            <w:pPr>
              <w:pStyle w:val="TableParagraph"/>
              <w:spacing w:line="160" w:lineRule="exact"/>
              <w:rPr>
                <w:sz w:val="16"/>
              </w:rPr>
            </w:pPr>
            <w:r>
              <w:rPr>
                <w:color w:val="231F20"/>
                <w:w w:val="75"/>
                <w:sz w:val="16"/>
              </w:rPr>
              <w:t>2</w:t>
            </w:r>
          </w:p>
        </w:tc>
        <w:tc>
          <w:tcPr>
            <w:tcW w:w="1980" w:type="dxa"/>
          </w:tcPr>
          <w:p>
            <w:pPr>
              <w:pStyle w:val="TableParagraph"/>
              <w:spacing w:line="160" w:lineRule="exact"/>
              <w:rPr>
                <w:sz w:val="16"/>
              </w:rPr>
            </w:pPr>
            <w:r>
              <w:rPr>
                <w:color w:val="231F20"/>
                <w:w w:val="80"/>
                <w:sz w:val="16"/>
              </w:rPr>
              <w:t>$ 1 200,000</w:t>
            </w:r>
          </w:p>
        </w:tc>
      </w:tr>
      <w:tr>
        <w:trPr>
          <w:trHeight w:val="130" w:hRule="exact"/>
        </w:trPr>
        <w:tc>
          <w:tcPr>
            <w:tcW w:w="4541" w:type="dxa"/>
          </w:tcPr>
          <w:p>
            <w:pPr>
              <w:pStyle w:val="TableParagraph"/>
              <w:spacing w:line="160" w:lineRule="exact"/>
              <w:rPr>
                <w:sz w:val="16"/>
              </w:rPr>
            </w:pPr>
            <w:r>
              <w:rPr>
                <w:color w:val="231F20"/>
                <w:w w:val="75"/>
                <w:sz w:val="16"/>
              </w:rPr>
              <w:t>4. Áreas verdes y de recreación</w:t>
            </w:r>
          </w:p>
        </w:tc>
        <w:tc>
          <w:tcPr>
            <w:tcW w:w="1440" w:type="dxa"/>
          </w:tcPr>
          <w:p>
            <w:pPr>
              <w:pStyle w:val="TableParagraph"/>
              <w:spacing w:line="160" w:lineRule="exact"/>
              <w:rPr>
                <w:sz w:val="16"/>
              </w:rPr>
            </w:pPr>
            <w:r>
              <w:rPr>
                <w:color w:val="231F20"/>
                <w:w w:val="75"/>
                <w:sz w:val="16"/>
              </w:rPr>
              <w:t>7</w:t>
            </w:r>
          </w:p>
        </w:tc>
        <w:tc>
          <w:tcPr>
            <w:tcW w:w="1980" w:type="dxa"/>
          </w:tcPr>
          <w:p>
            <w:pPr>
              <w:pStyle w:val="TableParagraph"/>
              <w:spacing w:line="160" w:lineRule="exact"/>
              <w:rPr>
                <w:sz w:val="16"/>
              </w:rPr>
            </w:pPr>
            <w:r>
              <w:rPr>
                <w:color w:val="231F20"/>
                <w:w w:val="75"/>
                <w:sz w:val="16"/>
              </w:rPr>
              <w:t>$17 600,000</w:t>
            </w:r>
          </w:p>
        </w:tc>
      </w:tr>
      <w:tr>
        <w:trPr>
          <w:trHeight w:val="130" w:hRule="exact"/>
        </w:trPr>
        <w:tc>
          <w:tcPr>
            <w:tcW w:w="4541" w:type="dxa"/>
          </w:tcPr>
          <w:p>
            <w:pPr>
              <w:pStyle w:val="TableParagraph"/>
              <w:spacing w:line="160" w:lineRule="exact"/>
              <w:rPr>
                <w:sz w:val="16"/>
              </w:rPr>
            </w:pPr>
            <w:r>
              <w:rPr>
                <w:color w:val="231F20"/>
                <w:w w:val="75"/>
                <w:sz w:val="16"/>
              </w:rPr>
              <w:t>5. Pavimentaciones y  repavimentaciones</w:t>
            </w:r>
          </w:p>
        </w:tc>
        <w:tc>
          <w:tcPr>
            <w:tcW w:w="1440" w:type="dxa"/>
          </w:tcPr>
          <w:p>
            <w:pPr>
              <w:pStyle w:val="TableParagraph"/>
              <w:spacing w:line="160" w:lineRule="exact"/>
              <w:ind w:right="24"/>
              <w:rPr>
                <w:sz w:val="16"/>
              </w:rPr>
            </w:pPr>
            <w:r>
              <w:rPr>
                <w:color w:val="231F20"/>
                <w:w w:val="85"/>
                <w:sz w:val="16"/>
              </w:rPr>
              <w:t>19</w:t>
            </w:r>
          </w:p>
        </w:tc>
        <w:tc>
          <w:tcPr>
            <w:tcW w:w="1980" w:type="dxa"/>
          </w:tcPr>
          <w:p>
            <w:pPr>
              <w:pStyle w:val="TableParagraph"/>
              <w:spacing w:line="160" w:lineRule="exact"/>
              <w:rPr>
                <w:sz w:val="16"/>
              </w:rPr>
            </w:pPr>
            <w:r>
              <w:rPr>
                <w:color w:val="231F20"/>
                <w:w w:val="75"/>
                <w:sz w:val="16"/>
              </w:rPr>
              <w:t>$28 630,000</w:t>
            </w:r>
          </w:p>
        </w:tc>
      </w:tr>
      <w:tr>
        <w:trPr>
          <w:trHeight w:val="130" w:hRule="exact"/>
        </w:trPr>
        <w:tc>
          <w:tcPr>
            <w:tcW w:w="4541" w:type="dxa"/>
          </w:tcPr>
          <w:p>
            <w:pPr>
              <w:pStyle w:val="TableParagraph"/>
              <w:spacing w:line="160" w:lineRule="exact"/>
              <w:rPr>
                <w:sz w:val="16"/>
              </w:rPr>
            </w:pPr>
            <w:r>
              <w:rPr>
                <w:color w:val="231F20"/>
                <w:w w:val="75"/>
                <w:sz w:val="16"/>
              </w:rPr>
              <w:t>6.Oficinas públicas</w:t>
            </w:r>
          </w:p>
        </w:tc>
        <w:tc>
          <w:tcPr>
            <w:tcW w:w="1440" w:type="dxa"/>
          </w:tcPr>
          <w:p>
            <w:pPr>
              <w:pStyle w:val="TableParagraph"/>
              <w:spacing w:line="160" w:lineRule="exact"/>
              <w:rPr>
                <w:sz w:val="16"/>
              </w:rPr>
            </w:pPr>
            <w:r>
              <w:rPr>
                <w:color w:val="231F20"/>
                <w:w w:val="75"/>
                <w:sz w:val="16"/>
              </w:rPr>
              <w:t>7</w:t>
            </w:r>
          </w:p>
        </w:tc>
        <w:tc>
          <w:tcPr>
            <w:tcW w:w="1980" w:type="dxa"/>
          </w:tcPr>
          <w:p>
            <w:pPr>
              <w:pStyle w:val="TableParagraph"/>
              <w:spacing w:line="160" w:lineRule="exact"/>
              <w:rPr>
                <w:sz w:val="16"/>
              </w:rPr>
            </w:pPr>
            <w:r>
              <w:rPr>
                <w:color w:val="231F20"/>
                <w:w w:val="75"/>
                <w:sz w:val="16"/>
              </w:rPr>
              <w:t>$10 570,000</w:t>
            </w:r>
          </w:p>
        </w:tc>
      </w:tr>
      <w:tr>
        <w:trPr>
          <w:trHeight w:val="130" w:hRule="exact"/>
        </w:trPr>
        <w:tc>
          <w:tcPr>
            <w:tcW w:w="4541" w:type="dxa"/>
          </w:tcPr>
          <w:p>
            <w:pPr>
              <w:pStyle w:val="TableParagraph"/>
              <w:spacing w:line="160" w:lineRule="exact"/>
              <w:rPr>
                <w:sz w:val="16"/>
              </w:rPr>
            </w:pPr>
            <w:r>
              <w:rPr>
                <w:color w:val="231F20"/>
                <w:w w:val="80"/>
                <w:sz w:val="16"/>
              </w:rPr>
              <w:t>7. Obras viales</w:t>
            </w:r>
          </w:p>
        </w:tc>
        <w:tc>
          <w:tcPr>
            <w:tcW w:w="1440" w:type="dxa"/>
          </w:tcPr>
          <w:p>
            <w:pPr>
              <w:pStyle w:val="TableParagraph"/>
              <w:spacing w:line="160" w:lineRule="exact"/>
              <w:rPr>
                <w:sz w:val="16"/>
              </w:rPr>
            </w:pPr>
            <w:r>
              <w:rPr>
                <w:color w:val="231F20"/>
                <w:w w:val="75"/>
                <w:sz w:val="16"/>
              </w:rPr>
              <w:t>1</w:t>
            </w:r>
          </w:p>
        </w:tc>
        <w:tc>
          <w:tcPr>
            <w:tcW w:w="1980" w:type="dxa"/>
          </w:tcPr>
          <w:p>
            <w:pPr>
              <w:pStyle w:val="TableParagraph"/>
              <w:spacing w:line="160" w:lineRule="exact"/>
              <w:rPr>
                <w:sz w:val="16"/>
              </w:rPr>
            </w:pPr>
            <w:r>
              <w:rPr>
                <w:color w:val="231F20"/>
                <w:w w:val="85"/>
                <w:sz w:val="16"/>
              </w:rPr>
              <w:t>$ 500,000</w:t>
            </w:r>
          </w:p>
        </w:tc>
      </w:tr>
      <w:tr>
        <w:trPr>
          <w:trHeight w:val="130" w:hRule="exact"/>
        </w:trPr>
        <w:tc>
          <w:tcPr>
            <w:tcW w:w="4541" w:type="dxa"/>
          </w:tcPr>
          <w:p>
            <w:pPr>
              <w:pStyle w:val="TableParagraph"/>
              <w:spacing w:line="160" w:lineRule="exact"/>
              <w:rPr>
                <w:sz w:val="16"/>
              </w:rPr>
            </w:pPr>
            <w:r>
              <w:rPr>
                <w:color w:val="231F20"/>
                <w:w w:val="80"/>
                <w:sz w:val="16"/>
              </w:rPr>
              <w:t>8. Hábitat (inversión total)</w:t>
            </w:r>
          </w:p>
        </w:tc>
        <w:tc>
          <w:tcPr>
            <w:tcW w:w="1440" w:type="dxa"/>
          </w:tcPr>
          <w:p>
            <w:pPr>
              <w:pStyle w:val="TableParagraph"/>
              <w:spacing w:line="160" w:lineRule="exact"/>
              <w:ind w:right="24"/>
              <w:rPr>
                <w:sz w:val="16"/>
              </w:rPr>
            </w:pPr>
            <w:r>
              <w:rPr>
                <w:color w:val="231F20"/>
                <w:w w:val="85"/>
                <w:sz w:val="16"/>
              </w:rPr>
              <w:t>10</w:t>
            </w:r>
          </w:p>
        </w:tc>
        <w:tc>
          <w:tcPr>
            <w:tcW w:w="1980" w:type="dxa"/>
          </w:tcPr>
          <w:p>
            <w:pPr>
              <w:pStyle w:val="TableParagraph"/>
              <w:spacing w:line="160" w:lineRule="exact"/>
              <w:rPr>
                <w:sz w:val="16"/>
              </w:rPr>
            </w:pPr>
            <w:r>
              <w:rPr>
                <w:color w:val="231F20"/>
                <w:w w:val="75"/>
                <w:sz w:val="16"/>
              </w:rPr>
              <w:t>$13 866,368</w:t>
            </w:r>
          </w:p>
        </w:tc>
      </w:tr>
      <w:tr>
        <w:trPr>
          <w:trHeight w:val="130" w:hRule="exact"/>
        </w:trPr>
        <w:tc>
          <w:tcPr>
            <w:tcW w:w="4541" w:type="dxa"/>
          </w:tcPr>
          <w:p>
            <w:pPr>
              <w:pStyle w:val="TableParagraph"/>
              <w:spacing w:line="160" w:lineRule="exact"/>
              <w:rPr>
                <w:sz w:val="16"/>
              </w:rPr>
            </w:pPr>
            <w:r>
              <w:rPr>
                <w:color w:val="231F20"/>
                <w:w w:val="75"/>
                <w:sz w:val="16"/>
              </w:rPr>
              <w:t>9. Contingencias y Eventualidades</w:t>
            </w:r>
          </w:p>
        </w:tc>
        <w:tc>
          <w:tcPr>
            <w:tcW w:w="1440" w:type="dxa"/>
          </w:tcPr>
          <w:p>
            <w:pPr>
              <w:pStyle w:val="TableParagraph"/>
              <w:spacing w:line="160" w:lineRule="exact"/>
              <w:rPr>
                <w:sz w:val="16"/>
              </w:rPr>
            </w:pPr>
            <w:r>
              <w:rPr>
                <w:color w:val="231F20"/>
                <w:w w:val="75"/>
                <w:sz w:val="16"/>
              </w:rPr>
              <w:t>2</w:t>
            </w:r>
          </w:p>
        </w:tc>
        <w:tc>
          <w:tcPr>
            <w:tcW w:w="1980" w:type="dxa"/>
          </w:tcPr>
          <w:p>
            <w:pPr>
              <w:pStyle w:val="TableParagraph"/>
              <w:spacing w:line="160" w:lineRule="exact"/>
              <w:rPr>
                <w:sz w:val="16"/>
              </w:rPr>
            </w:pPr>
            <w:r>
              <w:rPr>
                <w:color w:val="231F20"/>
                <w:w w:val="80"/>
                <w:sz w:val="16"/>
              </w:rPr>
              <w:t>$ 3 600,000</w:t>
            </w:r>
          </w:p>
        </w:tc>
      </w:tr>
      <w:tr>
        <w:trPr>
          <w:trHeight w:val="130" w:hRule="exact"/>
        </w:trPr>
        <w:tc>
          <w:tcPr>
            <w:tcW w:w="4541" w:type="dxa"/>
          </w:tcPr>
          <w:p>
            <w:pPr>
              <w:pStyle w:val="TableParagraph"/>
              <w:spacing w:line="160" w:lineRule="exact"/>
              <w:rPr>
                <w:sz w:val="16"/>
              </w:rPr>
            </w:pPr>
            <w:r>
              <w:rPr>
                <w:color w:val="231F20"/>
                <w:w w:val="75"/>
                <w:sz w:val="16"/>
              </w:rPr>
              <w:t>10. Espacios públicos (inversión  total)</w:t>
            </w:r>
          </w:p>
        </w:tc>
        <w:tc>
          <w:tcPr>
            <w:tcW w:w="1440" w:type="dxa"/>
          </w:tcPr>
          <w:p>
            <w:pPr>
              <w:pStyle w:val="TableParagraph"/>
              <w:spacing w:line="160" w:lineRule="exact"/>
              <w:rPr>
                <w:sz w:val="16"/>
              </w:rPr>
            </w:pPr>
            <w:r>
              <w:rPr>
                <w:color w:val="231F20"/>
                <w:w w:val="75"/>
                <w:sz w:val="16"/>
              </w:rPr>
              <w:t>3</w:t>
            </w:r>
          </w:p>
        </w:tc>
        <w:tc>
          <w:tcPr>
            <w:tcW w:w="1980" w:type="dxa"/>
          </w:tcPr>
          <w:p>
            <w:pPr>
              <w:pStyle w:val="TableParagraph"/>
              <w:spacing w:line="160" w:lineRule="exact"/>
              <w:rPr>
                <w:sz w:val="16"/>
              </w:rPr>
            </w:pPr>
            <w:r>
              <w:rPr>
                <w:color w:val="231F20"/>
                <w:w w:val="75"/>
                <w:sz w:val="16"/>
              </w:rPr>
              <w:t>$11  200,000</w:t>
            </w:r>
          </w:p>
        </w:tc>
      </w:tr>
      <w:tr>
        <w:trPr>
          <w:trHeight w:val="130" w:hRule="exact"/>
        </w:trPr>
        <w:tc>
          <w:tcPr>
            <w:tcW w:w="4541" w:type="dxa"/>
          </w:tcPr>
          <w:p>
            <w:pPr>
              <w:pStyle w:val="TableParagraph"/>
              <w:spacing w:line="160" w:lineRule="exact"/>
              <w:rPr>
                <w:sz w:val="16"/>
              </w:rPr>
            </w:pPr>
            <w:r>
              <w:rPr>
                <w:color w:val="231F20"/>
                <w:w w:val="75"/>
                <w:sz w:val="16"/>
              </w:rPr>
              <w:t>11. Estudios y proyectos</w:t>
            </w:r>
          </w:p>
        </w:tc>
        <w:tc>
          <w:tcPr>
            <w:tcW w:w="1440" w:type="dxa"/>
          </w:tcPr>
          <w:p>
            <w:pPr>
              <w:pStyle w:val="TableParagraph"/>
              <w:spacing w:line="160" w:lineRule="exact"/>
              <w:rPr>
                <w:sz w:val="16"/>
              </w:rPr>
            </w:pPr>
            <w:r>
              <w:rPr>
                <w:color w:val="231F20"/>
                <w:w w:val="75"/>
                <w:sz w:val="16"/>
              </w:rPr>
              <w:t>2</w:t>
            </w:r>
          </w:p>
        </w:tc>
        <w:tc>
          <w:tcPr>
            <w:tcW w:w="1980" w:type="dxa"/>
          </w:tcPr>
          <w:p>
            <w:pPr>
              <w:pStyle w:val="TableParagraph"/>
              <w:spacing w:line="160" w:lineRule="exact"/>
              <w:rPr>
                <w:sz w:val="16"/>
              </w:rPr>
            </w:pPr>
            <w:r>
              <w:rPr>
                <w:color w:val="231F20"/>
                <w:w w:val="85"/>
                <w:sz w:val="16"/>
              </w:rPr>
              <w:t>$ 100,000</w:t>
            </w:r>
          </w:p>
        </w:tc>
      </w:tr>
      <w:tr>
        <w:trPr>
          <w:trHeight w:val="130" w:hRule="exact"/>
        </w:trPr>
        <w:tc>
          <w:tcPr>
            <w:tcW w:w="4541" w:type="dxa"/>
          </w:tcPr>
          <w:p>
            <w:pPr>
              <w:pStyle w:val="TableParagraph"/>
              <w:spacing w:line="160" w:lineRule="exact"/>
              <w:rPr>
                <w:sz w:val="16"/>
              </w:rPr>
            </w:pPr>
            <w:r>
              <w:rPr>
                <w:color w:val="231F20"/>
                <w:w w:val="85"/>
                <w:sz w:val="16"/>
              </w:rPr>
              <w:t>Total</w:t>
            </w:r>
          </w:p>
        </w:tc>
        <w:tc>
          <w:tcPr>
            <w:tcW w:w="1440" w:type="dxa"/>
          </w:tcPr>
          <w:p>
            <w:pPr>
              <w:pStyle w:val="TableParagraph"/>
              <w:spacing w:line="160" w:lineRule="exact"/>
              <w:ind w:right="24"/>
              <w:rPr>
                <w:sz w:val="16"/>
              </w:rPr>
            </w:pPr>
            <w:r>
              <w:rPr>
                <w:color w:val="231F20"/>
                <w:w w:val="85"/>
                <w:sz w:val="16"/>
              </w:rPr>
              <w:t>83</w:t>
            </w:r>
          </w:p>
        </w:tc>
        <w:tc>
          <w:tcPr>
            <w:tcW w:w="1980" w:type="dxa"/>
          </w:tcPr>
          <w:p>
            <w:pPr>
              <w:pStyle w:val="TableParagraph"/>
              <w:spacing w:line="160" w:lineRule="exact"/>
              <w:rPr>
                <w:sz w:val="16"/>
              </w:rPr>
            </w:pPr>
            <w:r>
              <w:rPr>
                <w:color w:val="231F20"/>
                <w:w w:val="75"/>
                <w:sz w:val="16"/>
              </w:rPr>
              <w:t>$106 566,368</w:t>
            </w:r>
          </w:p>
        </w:tc>
      </w:tr>
    </w:tbl>
    <w:p>
      <w:pPr>
        <w:pStyle w:val="BodyText"/>
        <w:rPr>
          <w:b/>
          <w:sz w:val="8"/>
        </w:rPr>
      </w:pPr>
    </w:p>
    <w:p>
      <w:pPr>
        <w:spacing w:before="74"/>
        <w:ind w:left="0" w:right="148" w:firstLine="0"/>
        <w:jc w:val="right"/>
        <w:rPr>
          <w:rFonts w:ascii="Calibri" w:hAnsi="Calibri"/>
          <w:sz w:val="16"/>
        </w:rPr>
      </w:pPr>
      <w:r>
        <w:rPr>
          <w:rFonts w:ascii="Calibri" w:hAnsi="Calibri"/>
          <w:color w:val="231F20"/>
          <w:sz w:val="16"/>
        </w:rPr>
        <w:t>Fuente: 1º Informe de Gobierno, 2007</w:t>
      </w:r>
    </w:p>
    <w:p>
      <w:pPr>
        <w:pStyle w:val="BodyText"/>
        <w:spacing w:before="4"/>
        <w:rPr>
          <w:rFonts w:ascii="Calibri"/>
          <w:sz w:val="23"/>
        </w:rPr>
      </w:pPr>
    </w:p>
    <w:p>
      <w:pPr>
        <w:pStyle w:val="Heading4"/>
        <w:rPr>
          <w:i/>
        </w:rPr>
      </w:pPr>
      <w:r>
        <w:rPr>
          <w:i/>
          <w:color w:val="231F20"/>
        </w:rPr>
        <w:t>Desarrollo y Fortalecimiento</w:t>
      </w:r>
      <w:r>
        <w:rPr>
          <w:i/>
          <w:color w:val="231F20"/>
          <w:spacing w:val="64"/>
        </w:rPr>
        <w:t> </w:t>
      </w:r>
      <w:r>
        <w:rPr>
          <w:i/>
          <w:color w:val="231F20"/>
        </w:rPr>
        <w:t>Económico</w:t>
      </w:r>
    </w:p>
    <w:p>
      <w:pPr>
        <w:pStyle w:val="BodyText"/>
        <w:spacing w:line="285" w:lineRule="auto" w:before="17"/>
        <w:ind w:left="110" w:right="147"/>
        <w:jc w:val="both"/>
      </w:pPr>
      <w:r>
        <w:rPr>
          <w:color w:val="231F20"/>
          <w:w w:val="105"/>
        </w:rPr>
        <w:t>En </w:t>
      </w:r>
      <w:r>
        <w:rPr>
          <w:color w:val="231F20"/>
          <w:spacing w:val="4"/>
          <w:w w:val="105"/>
        </w:rPr>
        <w:t>esta </w:t>
      </w:r>
      <w:r>
        <w:rPr>
          <w:color w:val="231F20"/>
          <w:spacing w:val="3"/>
          <w:w w:val="105"/>
        </w:rPr>
        <w:t>materia </w:t>
      </w:r>
      <w:r>
        <w:rPr>
          <w:color w:val="231F20"/>
          <w:spacing w:val="2"/>
          <w:w w:val="105"/>
        </w:rPr>
        <w:t>sorprende que </w:t>
      </w:r>
      <w:r>
        <w:rPr>
          <w:color w:val="231F20"/>
          <w:spacing w:val="5"/>
          <w:w w:val="105"/>
        </w:rPr>
        <w:t>Durán </w:t>
      </w:r>
      <w:r>
        <w:rPr>
          <w:color w:val="231F20"/>
          <w:w w:val="105"/>
        </w:rPr>
        <w:t>no </w:t>
      </w:r>
      <w:r>
        <w:rPr>
          <w:color w:val="231F20"/>
          <w:spacing w:val="3"/>
          <w:w w:val="105"/>
        </w:rPr>
        <w:t>haya destacado </w:t>
      </w:r>
      <w:r>
        <w:rPr>
          <w:color w:val="231F20"/>
          <w:spacing w:val="2"/>
          <w:w w:val="105"/>
        </w:rPr>
        <w:t>nada </w:t>
      </w:r>
      <w:r>
        <w:rPr>
          <w:color w:val="231F20"/>
          <w:w w:val="105"/>
        </w:rPr>
        <w:t>en su </w:t>
      </w:r>
      <w:r>
        <w:rPr>
          <w:color w:val="231F20"/>
          <w:spacing w:val="3"/>
          <w:w w:val="105"/>
        </w:rPr>
        <w:t>primer informe. Sin </w:t>
      </w:r>
      <w:r>
        <w:rPr>
          <w:color w:val="231F20"/>
          <w:spacing w:val="2"/>
          <w:w w:val="105"/>
        </w:rPr>
        <w:t>embargo, </w:t>
      </w:r>
      <w:r>
        <w:rPr>
          <w:color w:val="231F20"/>
          <w:spacing w:val="3"/>
          <w:w w:val="105"/>
        </w:rPr>
        <w:t>cabe mencionar </w:t>
      </w:r>
      <w:r>
        <w:rPr>
          <w:color w:val="231F20"/>
          <w:spacing w:val="2"/>
          <w:w w:val="105"/>
        </w:rPr>
        <w:t>que </w:t>
      </w:r>
      <w:r>
        <w:rPr>
          <w:color w:val="231F20"/>
          <w:w w:val="105"/>
        </w:rPr>
        <w:t>el </w:t>
      </w:r>
      <w:r>
        <w:rPr>
          <w:color w:val="231F20"/>
          <w:spacing w:val="2"/>
          <w:w w:val="105"/>
        </w:rPr>
        <w:t>presidente </w:t>
      </w:r>
      <w:r>
        <w:rPr>
          <w:color w:val="231F20"/>
          <w:spacing w:val="4"/>
          <w:w w:val="105"/>
        </w:rPr>
        <w:t>municipal </w:t>
      </w:r>
      <w:r>
        <w:rPr>
          <w:color w:val="231F20"/>
          <w:spacing w:val="3"/>
          <w:w w:val="105"/>
        </w:rPr>
        <w:t>solicitó </w:t>
      </w:r>
      <w:r>
        <w:rPr>
          <w:color w:val="231F20"/>
          <w:spacing w:val="4"/>
          <w:w w:val="105"/>
        </w:rPr>
        <w:t>un diagnóstico  al Programa </w:t>
      </w:r>
      <w:r>
        <w:rPr>
          <w:color w:val="231F20"/>
          <w:spacing w:val="3"/>
          <w:w w:val="105"/>
        </w:rPr>
        <w:t>Universitario </w:t>
      </w:r>
      <w:r>
        <w:rPr>
          <w:color w:val="231F20"/>
          <w:spacing w:val="2"/>
          <w:w w:val="105"/>
        </w:rPr>
        <w:t>sobre </w:t>
      </w:r>
      <w:r>
        <w:rPr>
          <w:color w:val="231F20"/>
          <w:spacing w:val="4"/>
          <w:w w:val="105"/>
        </w:rPr>
        <w:t>Estudios </w:t>
      </w:r>
      <w:r>
        <w:rPr>
          <w:color w:val="231F20"/>
          <w:w w:val="105"/>
        </w:rPr>
        <w:t>de </w:t>
      </w:r>
      <w:r>
        <w:rPr>
          <w:color w:val="231F20"/>
          <w:spacing w:val="2"/>
          <w:w w:val="105"/>
        </w:rPr>
        <w:t>la </w:t>
      </w:r>
      <w:r>
        <w:rPr>
          <w:color w:val="231F20"/>
          <w:w w:val="105"/>
        </w:rPr>
        <w:t>Ciudad de </w:t>
      </w:r>
      <w:r>
        <w:rPr>
          <w:color w:val="231F20"/>
          <w:spacing w:val="2"/>
          <w:w w:val="105"/>
        </w:rPr>
        <w:t>la </w:t>
      </w:r>
      <w:r>
        <w:rPr>
          <w:color w:val="231F20"/>
          <w:spacing w:val="5"/>
          <w:w w:val="105"/>
        </w:rPr>
        <w:t>UNAM </w:t>
      </w:r>
      <w:r>
        <w:rPr>
          <w:color w:val="231F20"/>
          <w:spacing w:val="4"/>
          <w:w w:val="105"/>
        </w:rPr>
        <w:t>para </w:t>
      </w:r>
      <w:r>
        <w:rPr>
          <w:color w:val="231F20"/>
          <w:spacing w:val="2"/>
          <w:w w:val="105"/>
        </w:rPr>
        <w:t>conocer</w:t>
      </w:r>
      <w:r>
        <w:rPr>
          <w:color w:val="231F20"/>
          <w:spacing w:val="61"/>
          <w:w w:val="105"/>
        </w:rPr>
        <w:t> </w:t>
      </w:r>
      <w:r>
        <w:rPr>
          <w:color w:val="231F20"/>
          <w:w w:val="105"/>
        </w:rPr>
        <w:t>a </w:t>
      </w:r>
      <w:r>
        <w:rPr>
          <w:color w:val="231F20"/>
          <w:spacing w:val="2"/>
          <w:w w:val="105"/>
        </w:rPr>
        <w:t>ciencia </w:t>
      </w:r>
      <w:r>
        <w:rPr>
          <w:color w:val="231F20"/>
          <w:spacing w:val="4"/>
          <w:w w:val="105"/>
        </w:rPr>
        <w:t>cierta las </w:t>
      </w:r>
      <w:r>
        <w:rPr>
          <w:color w:val="231F20"/>
          <w:spacing w:val="2"/>
          <w:w w:val="105"/>
        </w:rPr>
        <w:t>condiciones </w:t>
      </w:r>
      <w:r>
        <w:rPr>
          <w:color w:val="231F20"/>
          <w:w w:val="105"/>
        </w:rPr>
        <w:t>y el </w:t>
      </w:r>
      <w:r>
        <w:rPr>
          <w:color w:val="231F20"/>
          <w:spacing w:val="3"/>
          <w:w w:val="105"/>
        </w:rPr>
        <w:t>potencial </w:t>
      </w:r>
      <w:r>
        <w:rPr>
          <w:color w:val="231F20"/>
          <w:spacing w:val="2"/>
          <w:w w:val="105"/>
        </w:rPr>
        <w:t>económico </w:t>
      </w:r>
      <w:r>
        <w:rPr>
          <w:color w:val="231F20"/>
          <w:w w:val="105"/>
        </w:rPr>
        <w:t>del </w:t>
      </w:r>
      <w:r>
        <w:rPr>
          <w:color w:val="231F20"/>
          <w:spacing w:val="2"/>
          <w:w w:val="105"/>
        </w:rPr>
        <w:t>municipio. </w:t>
      </w:r>
      <w:r>
        <w:rPr>
          <w:color w:val="231F20"/>
          <w:w w:val="105"/>
        </w:rPr>
        <w:t>A </w:t>
      </w:r>
      <w:r>
        <w:rPr>
          <w:color w:val="231F20"/>
          <w:spacing w:val="6"/>
          <w:w w:val="105"/>
        </w:rPr>
        <w:t>partir </w:t>
      </w:r>
      <w:r>
        <w:rPr>
          <w:color w:val="231F20"/>
          <w:w w:val="105"/>
        </w:rPr>
        <w:t>de </w:t>
      </w:r>
      <w:r>
        <w:rPr>
          <w:color w:val="231F20"/>
          <w:spacing w:val="5"/>
          <w:w w:val="105"/>
        </w:rPr>
        <w:t>ahí</w:t>
      </w:r>
      <w:r>
        <w:rPr>
          <w:color w:val="231F20"/>
          <w:spacing w:val="-13"/>
          <w:w w:val="105"/>
        </w:rPr>
        <w:t> </w:t>
      </w:r>
      <w:r>
        <w:rPr>
          <w:color w:val="231F20"/>
          <w:spacing w:val="2"/>
          <w:w w:val="105"/>
        </w:rPr>
        <w:t>se</w:t>
      </w:r>
      <w:r>
        <w:rPr>
          <w:color w:val="231F20"/>
          <w:spacing w:val="-13"/>
          <w:w w:val="105"/>
        </w:rPr>
        <w:t> </w:t>
      </w:r>
      <w:r>
        <w:rPr>
          <w:color w:val="231F20"/>
          <w:spacing w:val="2"/>
          <w:w w:val="105"/>
        </w:rPr>
        <w:t>elaboró</w:t>
      </w:r>
      <w:r>
        <w:rPr>
          <w:color w:val="231F20"/>
          <w:spacing w:val="-13"/>
          <w:w w:val="105"/>
        </w:rPr>
        <w:t> </w:t>
      </w:r>
      <w:r>
        <w:rPr>
          <w:color w:val="231F20"/>
          <w:w w:val="105"/>
        </w:rPr>
        <w:t>el</w:t>
      </w:r>
      <w:r>
        <w:rPr>
          <w:color w:val="231F20"/>
          <w:spacing w:val="-13"/>
          <w:w w:val="105"/>
        </w:rPr>
        <w:t> </w:t>
      </w:r>
      <w:r>
        <w:rPr>
          <w:color w:val="231F20"/>
          <w:spacing w:val="3"/>
          <w:w w:val="105"/>
        </w:rPr>
        <w:t>“Plan</w:t>
      </w:r>
      <w:r>
        <w:rPr>
          <w:color w:val="231F20"/>
          <w:spacing w:val="-13"/>
          <w:w w:val="105"/>
        </w:rPr>
        <w:t> </w:t>
      </w:r>
      <w:r>
        <w:rPr>
          <w:color w:val="231F20"/>
          <w:w w:val="105"/>
        </w:rPr>
        <w:t>de</w:t>
      </w:r>
      <w:r>
        <w:rPr>
          <w:color w:val="231F20"/>
          <w:spacing w:val="-13"/>
          <w:w w:val="105"/>
        </w:rPr>
        <w:t> </w:t>
      </w:r>
      <w:r>
        <w:rPr>
          <w:color w:val="231F20"/>
          <w:spacing w:val="4"/>
          <w:w w:val="105"/>
        </w:rPr>
        <w:t>Desarrollo</w:t>
      </w:r>
      <w:r>
        <w:rPr>
          <w:color w:val="231F20"/>
          <w:spacing w:val="-13"/>
          <w:w w:val="105"/>
        </w:rPr>
        <w:t> </w:t>
      </w:r>
      <w:r>
        <w:rPr>
          <w:color w:val="231F20"/>
          <w:spacing w:val="2"/>
          <w:w w:val="105"/>
        </w:rPr>
        <w:t>Económico</w:t>
      </w:r>
      <w:r>
        <w:rPr>
          <w:color w:val="231F20"/>
          <w:spacing w:val="-13"/>
          <w:w w:val="105"/>
        </w:rPr>
        <w:t> </w:t>
      </w:r>
      <w:r>
        <w:rPr>
          <w:color w:val="231F20"/>
          <w:w w:val="105"/>
        </w:rPr>
        <w:t>de</w:t>
      </w:r>
      <w:r>
        <w:rPr>
          <w:color w:val="231F20"/>
          <w:spacing w:val="-13"/>
          <w:w w:val="105"/>
        </w:rPr>
        <w:t> </w:t>
      </w:r>
      <w:r>
        <w:rPr>
          <w:color w:val="231F20"/>
          <w:w w:val="105"/>
        </w:rPr>
        <w:t>Naucalpan”,</w:t>
      </w:r>
      <w:r>
        <w:rPr>
          <w:color w:val="231F20"/>
          <w:spacing w:val="-13"/>
          <w:w w:val="105"/>
        </w:rPr>
        <w:t> </w:t>
      </w:r>
      <w:r>
        <w:rPr>
          <w:color w:val="231F20"/>
          <w:spacing w:val="2"/>
          <w:w w:val="105"/>
        </w:rPr>
        <w:t>que</w:t>
      </w:r>
      <w:r>
        <w:rPr>
          <w:color w:val="231F20"/>
          <w:spacing w:val="-13"/>
          <w:w w:val="105"/>
        </w:rPr>
        <w:t> </w:t>
      </w:r>
      <w:r>
        <w:rPr>
          <w:color w:val="231F20"/>
          <w:spacing w:val="4"/>
          <w:w w:val="105"/>
        </w:rPr>
        <w:t>fue</w:t>
      </w:r>
      <w:r>
        <w:rPr>
          <w:color w:val="231F20"/>
          <w:spacing w:val="-13"/>
          <w:w w:val="105"/>
        </w:rPr>
        <w:t> </w:t>
      </w:r>
      <w:r>
        <w:rPr>
          <w:color w:val="231F20"/>
          <w:w w:val="105"/>
        </w:rPr>
        <w:t>el</w:t>
      </w:r>
      <w:r>
        <w:rPr>
          <w:color w:val="231F20"/>
          <w:spacing w:val="-13"/>
          <w:w w:val="105"/>
        </w:rPr>
        <w:t> </w:t>
      </w:r>
      <w:r>
        <w:rPr>
          <w:color w:val="231F20"/>
          <w:spacing w:val="4"/>
          <w:w w:val="105"/>
        </w:rPr>
        <w:t>finalmen-</w:t>
      </w:r>
    </w:p>
    <w:p>
      <w:pPr>
        <w:spacing w:after="0" w:line="285" w:lineRule="auto"/>
        <w:jc w:val="both"/>
        <w:sectPr>
          <w:pgSz w:w="9640" w:h="12190"/>
          <w:pgMar w:header="0" w:footer="743" w:top="1120" w:bottom="940" w:left="740" w:right="700"/>
        </w:sectPr>
      </w:pPr>
    </w:p>
    <w:p>
      <w:pPr>
        <w:pStyle w:val="BodyText"/>
        <w:spacing w:before="3"/>
        <w:rPr>
          <w:sz w:val="11"/>
        </w:rPr>
      </w:pPr>
    </w:p>
    <w:p>
      <w:pPr>
        <w:pStyle w:val="BodyText"/>
        <w:spacing w:before="36"/>
        <w:ind w:left="110"/>
        <w:jc w:val="both"/>
      </w:pPr>
      <w:r>
        <w:rPr>
          <w:color w:val="231F20"/>
          <w:w w:val="105"/>
        </w:rPr>
        <w:t>te instrumentado en la gestión panista 2006-2009.</w:t>
      </w:r>
    </w:p>
    <w:p>
      <w:pPr>
        <w:pStyle w:val="BodyText"/>
        <w:spacing w:before="2"/>
        <w:rPr>
          <w:sz w:val="30"/>
        </w:rPr>
      </w:pPr>
    </w:p>
    <w:p>
      <w:pPr>
        <w:pStyle w:val="BodyText"/>
        <w:spacing w:line="285" w:lineRule="auto"/>
        <w:ind w:left="110" w:right="106"/>
        <w:jc w:val="both"/>
      </w:pPr>
      <w:r>
        <w:rPr>
          <w:color w:val="231F20"/>
          <w:w w:val="105"/>
        </w:rPr>
        <w:t>En</w:t>
      </w:r>
      <w:r>
        <w:rPr>
          <w:color w:val="231F20"/>
          <w:spacing w:val="-8"/>
          <w:w w:val="105"/>
        </w:rPr>
        <w:t> </w:t>
      </w:r>
      <w:r>
        <w:rPr>
          <w:color w:val="231F20"/>
          <w:w w:val="105"/>
        </w:rPr>
        <w:t>materia</w:t>
      </w:r>
      <w:r>
        <w:rPr>
          <w:color w:val="231F20"/>
          <w:spacing w:val="-8"/>
          <w:w w:val="105"/>
        </w:rPr>
        <w:t> </w:t>
      </w:r>
      <w:r>
        <w:rPr>
          <w:color w:val="231F20"/>
          <w:w w:val="105"/>
        </w:rPr>
        <w:t>de</w:t>
      </w:r>
      <w:r>
        <w:rPr>
          <w:color w:val="231F20"/>
          <w:spacing w:val="-8"/>
          <w:w w:val="105"/>
        </w:rPr>
        <w:t> </w:t>
      </w:r>
      <w:r>
        <w:rPr>
          <w:color w:val="231F20"/>
          <w:w w:val="105"/>
        </w:rPr>
        <w:t>eficiencia</w:t>
      </w:r>
      <w:r>
        <w:rPr>
          <w:color w:val="231F20"/>
          <w:spacing w:val="-8"/>
          <w:w w:val="105"/>
        </w:rPr>
        <w:t> </w:t>
      </w:r>
      <w:r>
        <w:rPr>
          <w:color w:val="231F20"/>
          <w:w w:val="105"/>
        </w:rPr>
        <w:t>administrativa,</w:t>
      </w:r>
      <w:r>
        <w:rPr>
          <w:color w:val="231F20"/>
          <w:spacing w:val="-8"/>
          <w:w w:val="105"/>
        </w:rPr>
        <w:t> </w:t>
      </w:r>
      <w:r>
        <w:rPr>
          <w:color w:val="231F20"/>
          <w:w w:val="105"/>
        </w:rPr>
        <w:t>el</w:t>
      </w:r>
      <w:r>
        <w:rPr>
          <w:color w:val="231F20"/>
          <w:spacing w:val="-8"/>
          <w:w w:val="105"/>
        </w:rPr>
        <w:t> </w:t>
      </w:r>
      <w:r>
        <w:rPr>
          <w:color w:val="231F20"/>
          <w:w w:val="105"/>
        </w:rPr>
        <w:t>presidente</w:t>
      </w:r>
      <w:r>
        <w:rPr>
          <w:color w:val="231F20"/>
          <w:spacing w:val="-8"/>
          <w:w w:val="105"/>
        </w:rPr>
        <w:t> </w:t>
      </w:r>
      <w:r>
        <w:rPr>
          <w:color w:val="231F20"/>
          <w:w w:val="105"/>
        </w:rPr>
        <w:t>municipal</w:t>
      </w:r>
      <w:r>
        <w:rPr>
          <w:color w:val="231F20"/>
          <w:spacing w:val="-8"/>
          <w:w w:val="105"/>
        </w:rPr>
        <w:t> </w:t>
      </w:r>
      <w:r>
        <w:rPr>
          <w:color w:val="231F20"/>
          <w:w w:val="105"/>
        </w:rPr>
        <w:t>destacó</w:t>
      </w:r>
      <w:r>
        <w:rPr>
          <w:color w:val="231F20"/>
          <w:spacing w:val="-8"/>
          <w:w w:val="105"/>
        </w:rPr>
        <w:t> </w:t>
      </w:r>
      <w:r>
        <w:rPr>
          <w:color w:val="231F20"/>
          <w:w w:val="105"/>
        </w:rPr>
        <w:t>la</w:t>
      </w:r>
      <w:r>
        <w:rPr>
          <w:color w:val="231F20"/>
          <w:spacing w:val="-8"/>
          <w:w w:val="105"/>
        </w:rPr>
        <w:t> </w:t>
      </w:r>
      <w:r>
        <w:rPr>
          <w:color w:val="231F20"/>
          <w:w w:val="105"/>
        </w:rPr>
        <w:t>atención</w:t>
      </w:r>
      <w:r>
        <w:rPr>
          <w:color w:val="231F20"/>
          <w:spacing w:val="-8"/>
          <w:w w:val="105"/>
        </w:rPr>
        <w:t> </w:t>
      </w:r>
      <w:r>
        <w:rPr>
          <w:color w:val="231F20"/>
          <w:w w:val="105"/>
        </w:rPr>
        <w:t>de casi</w:t>
      </w:r>
      <w:r>
        <w:rPr>
          <w:color w:val="231F20"/>
          <w:spacing w:val="-16"/>
          <w:w w:val="105"/>
        </w:rPr>
        <w:t> </w:t>
      </w:r>
      <w:r>
        <w:rPr>
          <w:color w:val="231F20"/>
          <w:w w:val="105"/>
        </w:rPr>
        <w:t>12</w:t>
      </w:r>
      <w:r>
        <w:rPr>
          <w:color w:val="231F20"/>
          <w:spacing w:val="-16"/>
          <w:w w:val="105"/>
        </w:rPr>
        <w:t> </w:t>
      </w:r>
      <w:r>
        <w:rPr>
          <w:color w:val="231F20"/>
          <w:spacing w:val="2"/>
          <w:w w:val="105"/>
        </w:rPr>
        <w:t>mil</w:t>
      </w:r>
      <w:r>
        <w:rPr>
          <w:color w:val="231F20"/>
          <w:spacing w:val="-16"/>
          <w:w w:val="105"/>
        </w:rPr>
        <w:t> </w:t>
      </w:r>
      <w:r>
        <w:rPr>
          <w:color w:val="231F20"/>
          <w:w w:val="105"/>
        </w:rPr>
        <w:t>trámites</w:t>
      </w:r>
      <w:r>
        <w:rPr>
          <w:color w:val="231F20"/>
          <w:spacing w:val="-16"/>
          <w:w w:val="105"/>
        </w:rPr>
        <w:t> </w:t>
      </w:r>
      <w:r>
        <w:rPr>
          <w:color w:val="231F20"/>
          <w:w w:val="105"/>
        </w:rPr>
        <w:t>empresariales,</w:t>
      </w:r>
      <w:r>
        <w:rPr>
          <w:color w:val="231F20"/>
          <w:spacing w:val="-16"/>
          <w:w w:val="105"/>
        </w:rPr>
        <w:t> </w:t>
      </w:r>
      <w:r>
        <w:rPr>
          <w:color w:val="231F20"/>
          <w:w w:val="105"/>
        </w:rPr>
        <w:t>a</w:t>
      </w:r>
      <w:r>
        <w:rPr>
          <w:color w:val="231F20"/>
          <w:spacing w:val="-16"/>
          <w:w w:val="105"/>
        </w:rPr>
        <w:t> </w:t>
      </w:r>
      <w:r>
        <w:rPr>
          <w:color w:val="231F20"/>
          <w:spacing w:val="2"/>
          <w:w w:val="105"/>
        </w:rPr>
        <w:t>partir</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cuales</w:t>
      </w:r>
      <w:r>
        <w:rPr>
          <w:color w:val="231F20"/>
          <w:spacing w:val="-16"/>
          <w:w w:val="105"/>
        </w:rPr>
        <w:t> </w:t>
      </w:r>
      <w:r>
        <w:rPr>
          <w:color w:val="231F20"/>
          <w:w w:val="105"/>
        </w:rPr>
        <w:t>presuntamente</w:t>
      </w:r>
      <w:r>
        <w:rPr>
          <w:color w:val="231F20"/>
          <w:spacing w:val="-16"/>
          <w:w w:val="105"/>
        </w:rPr>
        <w:t> </w:t>
      </w:r>
      <w:r>
        <w:rPr>
          <w:color w:val="231F20"/>
          <w:w w:val="105"/>
        </w:rPr>
        <w:t>se</w:t>
      </w:r>
      <w:r>
        <w:rPr>
          <w:color w:val="231F20"/>
          <w:spacing w:val="-16"/>
          <w:w w:val="105"/>
        </w:rPr>
        <w:t> </w:t>
      </w:r>
      <w:r>
        <w:rPr>
          <w:color w:val="231F20"/>
          <w:w w:val="105"/>
        </w:rPr>
        <w:t>generaron</w:t>
      </w:r>
      <w:r>
        <w:rPr>
          <w:color w:val="231F20"/>
          <w:spacing w:val="-16"/>
          <w:w w:val="105"/>
        </w:rPr>
        <w:t> </w:t>
      </w:r>
      <w:r>
        <w:rPr>
          <w:color w:val="231F20"/>
          <w:w w:val="105"/>
        </w:rPr>
        <w:t>35 </w:t>
      </w:r>
      <w:r>
        <w:rPr>
          <w:color w:val="231F20"/>
          <w:spacing w:val="2"/>
          <w:w w:val="105"/>
        </w:rPr>
        <w:t>mil</w:t>
      </w:r>
      <w:r>
        <w:rPr>
          <w:color w:val="231F20"/>
          <w:spacing w:val="-11"/>
          <w:w w:val="105"/>
        </w:rPr>
        <w:t> </w:t>
      </w:r>
      <w:r>
        <w:rPr>
          <w:color w:val="231F20"/>
          <w:w w:val="105"/>
        </w:rPr>
        <w:t>784</w:t>
      </w:r>
      <w:r>
        <w:rPr>
          <w:color w:val="231F20"/>
          <w:spacing w:val="-11"/>
          <w:w w:val="105"/>
        </w:rPr>
        <w:t> </w:t>
      </w:r>
      <w:r>
        <w:rPr>
          <w:color w:val="231F20"/>
          <w:w w:val="105"/>
        </w:rPr>
        <w:t>empleos.</w:t>
      </w:r>
      <w:r>
        <w:rPr>
          <w:color w:val="231F20"/>
          <w:spacing w:val="-11"/>
          <w:w w:val="105"/>
        </w:rPr>
        <w:t> </w:t>
      </w:r>
      <w:r>
        <w:rPr>
          <w:color w:val="231F20"/>
          <w:spacing w:val="-3"/>
          <w:w w:val="105"/>
        </w:rPr>
        <w:t>Uno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objetivos</w:t>
      </w:r>
      <w:r>
        <w:rPr>
          <w:color w:val="231F20"/>
          <w:spacing w:val="-11"/>
          <w:w w:val="105"/>
        </w:rPr>
        <w:t> </w:t>
      </w:r>
      <w:r>
        <w:rPr>
          <w:color w:val="231F20"/>
          <w:w w:val="105"/>
        </w:rPr>
        <w:t>del</w:t>
      </w:r>
      <w:r>
        <w:rPr>
          <w:color w:val="231F20"/>
          <w:spacing w:val="-11"/>
          <w:w w:val="105"/>
        </w:rPr>
        <w:t> </w:t>
      </w:r>
      <w:r>
        <w:rPr>
          <w:color w:val="231F20"/>
          <w:w w:val="105"/>
        </w:rPr>
        <w:t>alcalde</w:t>
      </w:r>
      <w:r>
        <w:rPr>
          <w:color w:val="231F20"/>
          <w:spacing w:val="-11"/>
          <w:w w:val="105"/>
        </w:rPr>
        <w:t> </w:t>
      </w:r>
      <w:r>
        <w:rPr>
          <w:color w:val="231F20"/>
          <w:w w:val="105"/>
        </w:rPr>
        <w:t>panista</w:t>
      </w:r>
      <w:r>
        <w:rPr>
          <w:color w:val="231F20"/>
          <w:spacing w:val="-11"/>
          <w:w w:val="105"/>
        </w:rPr>
        <w:t> </w:t>
      </w:r>
      <w:r>
        <w:rPr>
          <w:color w:val="231F20"/>
          <w:w w:val="105"/>
        </w:rPr>
        <w:t>fue</w:t>
      </w:r>
      <w:r>
        <w:rPr>
          <w:color w:val="231F20"/>
          <w:spacing w:val="-11"/>
          <w:w w:val="105"/>
        </w:rPr>
        <w:t> </w:t>
      </w:r>
      <w:r>
        <w:rPr>
          <w:color w:val="231F20"/>
          <w:w w:val="105"/>
        </w:rPr>
        <w:t>el</w:t>
      </w:r>
      <w:r>
        <w:rPr>
          <w:color w:val="231F20"/>
          <w:spacing w:val="-11"/>
          <w:w w:val="105"/>
        </w:rPr>
        <w:t> </w:t>
      </w:r>
      <w:r>
        <w:rPr>
          <w:color w:val="231F20"/>
          <w:w w:val="105"/>
        </w:rPr>
        <w:t>de</w:t>
      </w:r>
      <w:r>
        <w:rPr>
          <w:color w:val="231F20"/>
          <w:spacing w:val="-11"/>
          <w:w w:val="105"/>
        </w:rPr>
        <w:t> </w:t>
      </w:r>
      <w:r>
        <w:rPr>
          <w:color w:val="231F20"/>
          <w:spacing w:val="2"/>
          <w:w w:val="105"/>
        </w:rPr>
        <w:t>agilizar</w:t>
      </w:r>
      <w:r>
        <w:rPr>
          <w:color w:val="231F20"/>
          <w:spacing w:val="-11"/>
          <w:w w:val="105"/>
        </w:rPr>
        <w:t> </w:t>
      </w:r>
      <w:r>
        <w:rPr>
          <w:color w:val="231F20"/>
          <w:w w:val="105"/>
        </w:rPr>
        <w:t>los</w:t>
      </w:r>
      <w:r>
        <w:rPr>
          <w:color w:val="231F20"/>
          <w:spacing w:val="-11"/>
          <w:w w:val="105"/>
        </w:rPr>
        <w:t> </w:t>
      </w:r>
      <w:r>
        <w:rPr>
          <w:color w:val="231F20"/>
          <w:w w:val="105"/>
        </w:rPr>
        <w:t>trámites de apertura de empresas. Para </w:t>
      </w:r>
      <w:r>
        <w:rPr>
          <w:color w:val="231F20"/>
          <w:spacing w:val="2"/>
          <w:w w:val="105"/>
        </w:rPr>
        <w:t>tal </w:t>
      </w:r>
      <w:r>
        <w:rPr>
          <w:color w:val="231F20"/>
          <w:w w:val="105"/>
        </w:rPr>
        <w:t>fin, Durán impulsó la revisión del Convenio de Co- ordinación</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Gobierno</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respecto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operación</w:t>
      </w:r>
      <w:r>
        <w:rPr>
          <w:color w:val="231F20"/>
          <w:spacing w:val="-14"/>
          <w:w w:val="105"/>
        </w:rPr>
        <w:t> </w:t>
      </w:r>
      <w:r>
        <w:rPr>
          <w:color w:val="231F20"/>
          <w:w w:val="105"/>
        </w:rPr>
        <w:t>del</w:t>
      </w:r>
      <w:r>
        <w:rPr>
          <w:color w:val="231F20"/>
          <w:spacing w:val="-14"/>
          <w:w w:val="105"/>
        </w:rPr>
        <w:t> </w:t>
      </w:r>
      <w:r>
        <w:rPr>
          <w:color w:val="231F20"/>
          <w:w w:val="105"/>
        </w:rPr>
        <w:t>Sistema</w:t>
      </w:r>
      <w:r>
        <w:rPr>
          <w:color w:val="231F20"/>
          <w:spacing w:val="-14"/>
          <w:w w:val="105"/>
        </w:rPr>
        <w:t> </w:t>
      </w:r>
      <w:r>
        <w:rPr>
          <w:color w:val="231F20"/>
          <w:w w:val="105"/>
        </w:rPr>
        <w:t>de</w:t>
      </w:r>
      <w:r>
        <w:rPr>
          <w:color w:val="231F20"/>
          <w:spacing w:val="-14"/>
          <w:w w:val="105"/>
        </w:rPr>
        <w:t> </w:t>
      </w:r>
      <w:r>
        <w:rPr>
          <w:color w:val="231F20"/>
          <w:w w:val="105"/>
        </w:rPr>
        <w:t>Apertura Rápida de Empresas. Con el aval del cabildo, dicho sistema posibilitó la creación de nuevas</w:t>
      </w:r>
      <w:r>
        <w:rPr>
          <w:color w:val="231F20"/>
          <w:spacing w:val="-33"/>
          <w:w w:val="105"/>
        </w:rPr>
        <w:t> </w:t>
      </w:r>
      <w:r>
        <w:rPr>
          <w:color w:val="231F20"/>
          <w:w w:val="105"/>
        </w:rPr>
        <w:t>empresas.</w:t>
      </w:r>
    </w:p>
    <w:p>
      <w:pPr>
        <w:pStyle w:val="BodyText"/>
        <w:spacing w:before="1"/>
        <w:rPr>
          <w:sz w:val="26"/>
        </w:rPr>
      </w:pPr>
    </w:p>
    <w:p>
      <w:pPr>
        <w:pStyle w:val="BodyText"/>
        <w:spacing w:line="285" w:lineRule="auto"/>
        <w:ind w:left="110" w:right="106"/>
        <w:jc w:val="both"/>
      </w:pPr>
      <w:r>
        <w:rPr>
          <w:color w:val="231F20"/>
          <w:w w:val="105"/>
        </w:rPr>
        <w:t>En el primer año se crearon 29 empresas de los sectores textil, de servicios, químico, electrónico,</w:t>
      </w:r>
      <w:r>
        <w:rPr>
          <w:color w:val="231F20"/>
          <w:spacing w:val="-5"/>
          <w:w w:val="105"/>
        </w:rPr>
        <w:t> </w:t>
      </w:r>
      <w:r>
        <w:rPr>
          <w:color w:val="231F20"/>
          <w:w w:val="105"/>
        </w:rPr>
        <w:t>automotriz,</w:t>
      </w:r>
      <w:r>
        <w:rPr>
          <w:color w:val="231F20"/>
          <w:spacing w:val="-5"/>
          <w:w w:val="105"/>
        </w:rPr>
        <w:t> </w:t>
      </w:r>
      <w:r>
        <w:rPr>
          <w:color w:val="231F20"/>
          <w:w w:val="105"/>
        </w:rPr>
        <w:t>alimenticio</w:t>
      </w:r>
      <w:r>
        <w:rPr>
          <w:color w:val="231F20"/>
          <w:spacing w:val="-5"/>
          <w:w w:val="105"/>
        </w:rPr>
        <w:t> </w:t>
      </w:r>
      <w:r>
        <w:rPr>
          <w:color w:val="231F20"/>
          <w:w w:val="105"/>
        </w:rPr>
        <w:t>e</w:t>
      </w:r>
      <w:r>
        <w:rPr>
          <w:color w:val="231F20"/>
          <w:spacing w:val="-5"/>
          <w:w w:val="105"/>
        </w:rPr>
        <w:t> </w:t>
      </w:r>
      <w:r>
        <w:rPr>
          <w:color w:val="231F20"/>
          <w:w w:val="105"/>
        </w:rPr>
        <w:t>informático,</w:t>
      </w:r>
      <w:r>
        <w:rPr>
          <w:color w:val="231F20"/>
          <w:spacing w:val="-5"/>
          <w:w w:val="105"/>
        </w:rPr>
        <w:t> </w:t>
      </w:r>
      <w:r>
        <w:rPr>
          <w:color w:val="231F20"/>
          <w:w w:val="105"/>
        </w:rPr>
        <w:t>lo</w:t>
      </w:r>
      <w:r>
        <w:rPr>
          <w:color w:val="231F20"/>
          <w:spacing w:val="-5"/>
          <w:w w:val="105"/>
        </w:rPr>
        <w:t> </w:t>
      </w:r>
      <w:r>
        <w:rPr>
          <w:color w:val="231F20"/>
          <w:w w:val="105"/>
        </w:rPr>
        <w:t>cual</w:t>
      </w:r>
      <w:r>
        <w:rPr>
          <w:color w:val="231F20"/>
          <w:spacing w:val="-5"/>
          <w:w w:val="105"/>
        </w:rPr>
        <w:t> </w:t>
      </w:r>
      <w:r>
        <w:rPr>
          <w:color w:val="231F20"/>
          <w:w w:val="105"/>
        </w:rPr>
        <w:t>es</w:t>
      </w:r>
      <w:r>
        <w:rPr>
          <w:color w:val="231F20"/>
          <w:spacing w:val="-5"/>
          <w:w w:val="105"/>
        </w:rPr>
        <w:t> </w:t>
      </w:r>
      <w:r>
        <w:rPr>
          <w:color w:val="231F20"/>
          <w:w w:val="105"/>
        </w:rPr>
        <w:t>un</w:t>
      </w:r>
      <w:r>
        <w:rPr>
          <w:color w:val="231F20"/>
          <w:spacing w:val="-5"/>
          <w:w w:val="105"/>
        </w:rPr>
        <w:t> </w:t>
      </w:r>
      <w:r>
        <w:rPr>
          <w:color w:val="231F20"/>
          <w:w w:val="105"/>
        </w:rPr>
        <w:t>dato</w:t>
      </w:r>
      <w:r>
        <w:rPr>
          <w:color w:val="231F20"/>
          <w:spacing w:val="-5"/>
          <w:w w:val="105"/>
        </w:rPr>
        <w:t> </w:t>
      </w:r>
      <w:r>
        <w:rPr>
          <w:color w:val="231F20"/>
          <w:w w:val="105"/>
        </w:rPr>
        <w:t>que</w:t>
      </w:r>
      <w:r>
        <w:rPr>
          <w:color w:val="231F20"/>
          <w:spacing w:val="-5"/>
          <w:w w:val="105"/>
        </w:rPr>
        <w:t> </w:t>
      </w:r>
      <w:r>
        <w:rPr>
          <w:color w:val="231F20"/>
          <w:w w:val="105"/>
        </w:rPr>
        <w:t>llama</w:t>
      </w:r>
      <w:r>
        <w:rPr>
          <w:color w:val="231F20"/>
          <w:spacing w:val="-5"/>
          <w:w w:val="105"/>
        </w:rPr>
        <w:t> </w:t>
      </w:r>
      <w:r>
        <w:rPr>
          <w:color w:val="231F20"/>
          <w:spacing w:val="-3"/>
          <w:w w:val="105"/>
        </w:rPr>
        <w:t>mucho </w:t>
      </w:r>
      <w:r>
        <w:rPr>
          <w:color w:val="231F20"/>
          <w:w w:val="105"/>
        </w:rPr>
        <w:t>la</w:t>
      </w:r>
      <w:r>
        <w:rPr>
          <w:color w:val="231F20"/>
          <w:spacing w:val="-24"/>
          <w:w w:val="105"/>
        </w:rPr>
        <w:t> </w:t>
      </w:r>
      <w:r>
        <w:rPr>
          <w:color w:val="231F20"/>
          <w:w w:val="105"/>
        </w:rPr>
        <w:t>atención.</w:t>
      </w:r>
      <w:r>
        <w:rPr>
          <w:color w:val="231F20"/>
          <w:spacing w:val="-24"/>
          <w:w w:val="105"/>
        </w:rPr>
        <w:t> </w:t>
      </w:r>
      <w:r>
        <w:rPr>
          <w:color w:val="231F20"/>
          <w:w w:val="105"/>
        </w:rPr>
        <w:t>De</w:t>
      </w:r>
      <w:r>
        <w:rPr>
          <w:color w:val="231F20"/>
          <w:spacing w:val="-24"/>
          <w:w w:val="105"/>
        </w:rPr>
        <w:t> </w:t>
      </w:r>
      <w:r>
        <w:rPr>
          <w:color w:val="231F20"/>
          <w:w w:val="105"/>
        </w:rPr>
        <w:t>hecho,</w:t>
      </w:r>
      <w:r>
        <w:rPr>
          <w:color w:val="231F20"/>
          <w:spacing w:val="-24"/>
          <w:w w:val="105"/>
        </w:rPr>
        <w:t> </w:t>
      </w:r>
      <w:r>
        <w:rPr>
          <w:color w:val="231F20"/>
          <w:w w:val="105"/>
        </w:rPr>
        <w:t>el</w:t>
      </w:r>
      <w:r>
        <w:rPr>
          <w:color w:val="231F20"/>
          <w:spacing w:val="-24"/>
          <w:w w:val="105"/>
        </w:rPr>
        <w:t> </w:t>
      </w:r>
      <w:r>
        <w:rPr>
          <w:color w:val="231F20"/>
          <w:w w:val="105"/>
        </w:rPr>
        <w:t>municipio</w:t>
      </w:r>
      <w:r>
        <w:rPr>
          <w:color w:val="231F20"/>
          <w:spacing w:val="-24"/>
          <w:w w:val="105"/>
        </w:rPr>
        <w:t> </w:t>
      </w:r>
      <w:r>
        <w:rPr>
          <w:color w:val="231F20"/>
          <w:w w:val="105"/>
        </w:rPr>
        <w:t>tuvo</w:t>
      </w:r>
      <w:r>
        <w:rPr>
          <w:color w:val="231F20"/>
          <w:spacing w:val="-24"/>
          <w:w w:val="105"/>
        </w:rPr>
        <w:t> </w:t>
      </w:r>
      <w:r>
        <w:rPr>
          <w:color w:val="231F20"/>
          <w:w w:val="105"/>
        </w:rPr>
        <w:t>un</w:t>
      </w:r>
      <w:r>
        <w:rPr>
          <w:color w:val="231F20"/>
          <w:spacing w:val="-24"/>
          <w:w w:val="105"/>
        </w:rPr>
        <w:t> </w:t>
      </w:r>
      <w:r>
        <w:rPr>
          <w:color w:val="231F20"/>
          <w:w w:val="105"/>
        </w:rPr>
        <w:t>Consejo</w:t>
      </w:r>
      <w:r>
        <w:rPr>
          <w:color w:val="231F20"/>
          <w:spacing w:val="-24"/>
          <w:w w:val="105"/>
        </w:rPr>
        <w:t> </w:t>
      </w:r>
      <w:r>
        <w:rPr>
          <w:color w:val="231F20"/>
          <w:w w:val="105"/>
        </w:rPr>
        <w:t>Consultivo</w:t>
      </w:r>
      <w:r>
        <w:rPr>
          <w:color w:val="231F20"/>
          <w:spacing w:val="-24"/>
          <w:w w:val="105"/>
        </w:rPr>
        <w:t> </w:t>
      </w:r>
      <w:r>
        <w:rPr>
          <w:color w:val="231F20"/>
          <w:w w:val="105"/>
        </w:rPr>
        <w:t>Económico,</w:t>
      </w:r>
      <w:r>
        <w:rPr>
          <w:color w:val="231F20"/>
          <w:spacing w:val="-24"/>
          <w:w w:val="105"/>
        </w:rPr>
        <w:t> </w:t>
      </w:r>
      <w:r>
        <w:rPr>
          <w:color w:val="231F20"/>
          <w:w w:val="105"/>
        </w:rPr>
        <w:t>que</w:t>
      </w:r>
      <w:r>
        <w:rPr>
          <w:color w:val="231F20"/>
          <w:spacing w:val="-24"/>
          <w:w w:val="105"/>
        </w:rPr>
        <w:t> </w:t>
      </w:r>
      <w:r>
        <w:rPr>
          <w:color w:val="231F20"/>
          <w:w w:val="105"/>
        </w:rPr>
        <w:t>ofreció asesoría</w:t>
      </w:r>
      <w:r>
        <w:rPr>
          <w:color w:val="231F20"/>
          <w:spacing w:val="-8"/>
          <w:w w:val="105"/>
        </w:rPr>
        <w:t> </w:t>
      </w:r>
      <w:r>
        <w:rPr>
          <w:color w:val="231F20"/>
          <w:w w:val="105"/>
        </w:rPr>
        <w:t>técnica</w:t>
      </w:r>
      <w:r>
        <w:rPr>
          <w:color w:val="231F20"/>
          <w:spacing w:val="-8"/>
          <w:w w:val="105"/>
        </w:rPr>
        <w:t> </w:t>
      </w:r>
      <w:r>
        <w:rPr>
          <w:color w:val="231F20"/>
          <w:spacing w:val="2"/>
          <w:w w:val="105"/>
        </w:rPr>
        <w:t>al</w:t>
      </w:r>
      <w:r>
        <w:rPr>
          <w:color w:val="231F20"/>
          <w:spacing w:val="-8"/>
          <w:w w:val="105"/>
        </w:rPr>
        <w:t> </w:t>
      </w:r>
      <w:r>
        <w:rPr>
          <w:color w:val="231F20"/>
          <w:w w:val="105"/>
        </w:rPr>
        <w:t>Ayuntamiento</w:t>
      </w:r>
      <w:r>
        <w:rPr>
          <w:color w:val="231F20"/>
          <w:spacing w:val="-8"/>
          <w:w w:val="105"/>
        </w:rPr>
        <w:t> </w:t>
      </w:r>
      <w:r>
        <w:rPr>
          <w:color w:val="231F20"/>
          <w:w w:val="105"/>
        </w:rPr>
        <w:t>para</w:t>
      </w:r>
      <w:r>
        <w:rPr>
          <w:color w:val="231F20"/>
          <w:spacing w:val="-8"/>
          <w:w w:val="105"/>
        </w:rPr>
        <w:t> </w:t>
      </w:r>
      <w:r>
        <w:rPr>
          <w:color w:val="231F20"/>
          <w:w w:val="105"/>
        </w:rPr>
        <w:t>la</w:t>
      </w:r>
      <w:r>
        <w:rPr>
          <w:color w:val="231F20"/>
          <w:spacing w:val="-8"/>
          <w:w w:val="105"/>
        </w:rPr>
        <w:t> </w:t>
      </w:r>
      <w:r>
        <w:rPr>
          <w:color w:val="231F20"/>
          <w:w w:val="105"/>
        </w:rPr>
        <w:t>concreción</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metas</w:t>
      </w:r>
      <w:r>
        <w:rPr>
          <w:color w:val="231F20"/>
          <w:spacing w:val="-8"/>
          <w:w w:val="105"/>
        </w:rPr>
        <w:t> </w:t>
      </w:r>
      <w:r>
        <w:rPr>
          <w:color w:val="231F20"/>
          <w:w w:val="105"/>
        </w:rPr>
        <w:t>en</w:t>
      </w:r>
      <w:r>
        <w:rPr>
          <w:color w:val="231F20"/>
          <w:spacing w:val="-8"/>
          <w:w w:val="105"/>
        </w:rPr>
        <w:t> </w:t>
      </w:r>
      <w:r>
        <w:rPr>
          <w:color w:val="231F20"/>
          <w:w w:val="105"/>
        </w:rPr>
        <w:t>esta</w:t>
      </w:r>
      <w:r>
        <w:rPr>
          <w:color w:val="231F20"/>
          <w:spacing w:val="-8"/>
          <w:w w:val="105"/>
        </w:rPr>
        <w:t> </w:t>
      </w:r>
      <w:r>
        <w:rPr>
          <w:color w:val="231F20"/>
          <w:w w:val="105"/>
        </w:rPr>
        <w:t>materia.</w:t>
      </w:r>
      <w:r>
        <w:rPr>
          <w:color w:val="231F20"/>
          <w:spacing w:val="-8"/>
          <w:w w:val="105"/>
        </w:rPr>
        <w:t> </w:t>
      </w:r>
      <w:r>
        <w:rPr>
          <w:color w:val="231F20"/>
          <w:w w:val="105"/>
        </w:rPr>
        <w:t>Para la gestión panista fue muy relevante que dos compañías internacionales certificaran la </w:t>
      </w:r>
      <w:r>
        <w:rPr>
          <w:color w:val="231F20"/>
          <w:spacing w:val="-3"/>
          <w:w w:val="105"/>
        </w:rPr>
        <w:t>“condición</w:t>
      </w:r>
      <w:r>
        <w:rPr>
          <w:color w:val="231F20"/>
          <w:spacing w:val="-29"/>
          <w:w w:val="105"/>
        </w:rPr>
        <w:t> </w:t>
      </w:r>
      <w:r>
        <w:rPr>
          <w:color w:val="231F20"/>
          <w:w w:val="105"/>
        </w:rPr>
        <w:t>crediticia”</w:t>
      </w:r>
      <w:r>
        <w:rPr>
          <w:color w:val="231F20"/>
          <w:spacing w:val="-29"/>
          <w:w w:val="105"/>
        </w:rPr>
        <w:t> </w:t>
      </w:r>
      <w:r>
        <w:rPr>
          <w:color w:val="231F20"/>
          <w:w w:val="105"/>
        </w:rPr>
        <w:t>de</w:t>
      </w:r>
      <w:r>
        <w:rPr>
          <w:color w:val="231F20"/>
          <w:spacing w:val="-29"/>
          <w:w w:val="105"/>
        </w:rPr>
        <w:t> </w:t>
      </w:r>
      <w:r>
        <w:rPr>
          <w:color w:val="231F20"/>
          <w:w w:val="105"/>
        </w:rPr>
        <w:t>Naucalpan:</w:t>
      </w:r>
      <w:r>
        <w:rPr>
          <w:color w:val="231F20"/>
          <w:spacing w:val="-29"/>
          <w:w w:val="105"/>
        </w:rPr>
        <w:t> </w:t>
      </w:r>
      <w:r>
        <w:rPr>
          <w:color w:val="231F20"/>
          <w:w w:val="105"/>
        </w:rPr>
        <w:t>“Fitch</w:t>
      </w:r>
      <w:r>
        <w:rPr>
          <w:color w:val="231F20"/>
          <w:spacing w:val="-29"/>
          <w:w w:val="105"/>
        </w:rPr>
        <w:t> </w:t>
      </w:r>
      <w:r>
        <w:rPr>
          <w:color w:val="231F20"/>
          <w:w w:val="105"/>
        </w:rPr>
        <w:t>Ratings</w:t>
      </w:r>
      <w:r>
        <w:rPr>
          <w:color w:val="231F20"/>
          <w:spacing w:val="-29"/>
          <w:w w:val="105"/>
        </w:rPr>
        <w:t> </w:t>
      </w:r>
      <w:r>
        <w:rPr>
          <w:color w:val="231F20"/>
          <w:w w:val="105"/>
        </w:rPr>
        <w:t>la</w:t>
      </w:r>
      <w:r>
        <w:rPr>
          <w:color w:val="231F20"/>
          <w:spacing w:val="-29"/>
          <w:w w:val="105"/>
        </w:rPr>
        <w:t> </w:t>
      </w:r>
      <w:r>
        <w:rPr>
          <w:color w:val="231F20"/>
          <w:w w:val="105"/>
        </w:rPr>
        <w:t>calificó</w:t>
      </w:r>
      <w:r>
        <w:rPr>
          <w:color w:val="231F20"/>
          <w:spacing w:val="-29"/>
          <w:w w:val="105"/>
        </w:rPr>
        <w:t> </w:t>
      </w:r>
      <w:r>
        <w:rPr>
          <w:color w:val="231F20"/>
          <w:w w:val="105"/>
        </w:rPr>
        <w:t>como</w:t>
      </w:r>
      <w:r>
        <w:rPr>
          <w:color w:val="231F20"/>
          <w:spacing w:val="-29"/>
          <w:w w:val="105"/>
        </w:rPr>
        <w:t> </w:t>
      </w:r>
      <w:r>
        <w:rPr>
          <w:color w:val="231F20"/>
          <w:spacing w:val="-4"/>
          <w:w w:val="105"/>
        </w:rPr>
        <w:t>‘apta’</w:t>
      </w:r>
      <w:r>
        <w:rPr>
          <w:color w:val="231F20"/>
          <w:spacing w:val="-29"/>
          <w:w w:val="105"/>
        </w:rPr>
        <w:t> </w:t>
      </w:r>
      <w:r>
        <w:rPr>
          <w:color w:val="231F20"/>
          <w:w w:val="105"/>
        </w:rPr>
        <w:t>y</w:t>
      </w:r>
      <w:r>
        <w:rPr>
          <w:color w:val="231F20"/>
          <w:spacing w:val="-29"/>
          <w:w w:val="105"/>
        </w:rPr>
        <w:t> </w:t>
      </w:r>
      <w:r>
        <w:rPr>
          <w:color w:val="231F20"/>
          <w:w w:val="105"/>
        </w:rPr>
        <w:t>de</w:t>
      </w:r>
      <w:r>
        <w:rPr>
          <w:color w:val="231F20"/>
          <w:spacing w:val="-29"/>
          <w:w w:val="105"/>
        </w:rPr>
        <w:t> </w:t>
      </w:r>
      <w:r>
        <w:rPr>
          <w:color w:val="231F20"/>
          <w:w w:val="105"/>
        </w:rPr>
        <w:t>‘alta</w:t>
      </w:r>
      <w:r>
        <w:rPr>
          <w:color w:val="231F20"/>
          <w:spacing w:val="-29"/>
          <w:w w:val="105"/>
        </w:rPr>
        <w:t> </w:t>
      </w:r>
      <w:r>
        <w:rPr>
          <w:color w:val="231F20"/>
          <w:w w:val="105"/>
        </w:rPr>
        <w:t>cali- </w:t>
      </w:r>
      <w:r>
        <w:rPr>
          <w:color w:val="231F20"/>
          <w:spacing w:val="-3"/>
          <w:w w:val="105"/>
        </w:rPr>
        <w:t>dad’,</w:t>
      </w:r>
      <w:r>
        <w:rPr>
          <w:color w:val="231F20"/>
          <w:spacing w:val="-19"/>
          <w:w w:val="105"/>
        </w:rPr>
        <w:t> </w:t>
      </w:r>
      <w:r>
        <w:rPr>
          <w:color w:val="231F20"/>
          <w:spacing w:val="2"/>
          <w:w w:val="105"/>
        </w:rPr>
        <w:t>al</w:t>
      </w:r>
      <w:r>
        <w:rPr>
          <w:color w:val="231F20"/>
          <w:spacing w:val="-19"/>
          <w:w w:val="105"/>
        </w:rPr>
        <w:t> </w:t>
      </w:r>
      <w:r>
        <w:rPr>
          <w:color w:val="231F20"/>
          <w:w w:val="105"/>
        </w:rPr>
        <w:t>igual</w:t>
      </w:r>
      <w:r>
        <w:rPr>
          <w:color w:val="231F20"/>
          <w:spacing w:val="-19"/>
          <w:w w:val="105"/>
        </w:rPr>
        <w:t> </w:t>
      </w:r>
      <w:r>
        <w:rPr>
          <w:color w:val="231F20"/>
          <w:w w:val="105"/>
        </w:rPr>
        <w:t>que</w:t>
      </w:r>
      <w:r>
        <w:rPr>
          <w:color w:val="231F20"/>
          <w:spacing w:val="-19"/>
          <w:w w:val="105"/>
        </w:rPr>
        <w:t> </w:t>
      </w:r>
      <w:r>
        <w:rPr>
          <w:color w:val="231F20"/>
          <w:w w:val="105"/>
        </w:rPr>
        <w:t>Standard</w:t>
      </w:r>
      <w:r>
        <w:rPr>
          <w:color w:val="231F20"/>
          <w:spacing w:val="-19"/>
          <w:w w:val="105"/>
        </w:rPr>
        <w:t> </w:t>
      </w:r>
      <w:r>
        <w:rPr>
          <w:color w:val="231F20"/>
          <w:w w:val="105"/>
        </w:rPr>
        <w:t>&amp;</w:t>
      </w:r>
      <w:r>
        <w:rPr>
          <w:color w:val="231F20"/>
          <w:spacing w:val="-19"/>
          <w:w w:val="105"/>
        </w:rPr>
        <w:t> </w:t>
      </w:r>
      <w:r>
        <w:rPr>
          <w:color w:val="231F20"/>
          <w:spacing w:val="-7"/>
          <w:w w:val="105"/>
        </w:rPr>
        <w:t>Poor´s,</w:t>
      </w:r>
      <w:r>
        <w:rPr>
          <w:color w:val="231F20"/>
          <w:spacing w:val="-19"/>
          <w:w w:val="105"/>
        </w:rPr>
        <w:t> </w:t>
      </w:r>
      <w:r>
        <w:rPr>
          <w:color w:val="231F20"/>
          <w:w w:val="105"/>
        </w:rPr>
        <w:t>que</w:t>
      </w:r>
      <w:r>
        <w:rPr>
          <w:color w:val="231F20"/>
          <w:spacing w:val="-19"/>
          <w:w w:val="105"/>
        </w:rPr>
        <w:t> </w:t>
      </w:r>
      <w:r>
        <w:rPr>
          <w:color w:val="231F20"/>
          <w:w w:val="105"/>
        </w:rPr>
        <w:t>añade</w:t>
      </w:r>
      <w:r>
        <w:rPr>
          <w:color w:val="231F20"/>
          <w:spacing w:val="-19"/>
          <w:w w:val="105"/>
        </w:rPr>
        <w:t> </w:t>
      </w:r>
      <w:r>
        <w:rPr>
          <w:color w:val="231F20"/>
          <w:w w:val="105"/>
        </w:rPr>
        <w:t>la</w:t>
      </w:r>
      <w:r>
        <w:rPr>
          <w:color w:val="231F20"/>
          <w:spacing w:val="-19"/>
          <w:w w:val="105"/>
        </w:rPr>
        <w:t> </w:t>
      </w:r>
      <w:r>
        <w:rPr>
          <w:color w:val="231F20"/>
          <w:w w:val="105"/>
        </w:rPr>
        <w:t>calificación</w:t>
      </w:r>
      <w:r>
        <w:rPr>
          <w:color w:val="231F20"/>
          <w:spacing w:val="-19"/>
          <w:w w:val="105"/>
        </w:rPr>
        <w:t> </w:t>
      </w:r>
      <w:r>
        <w:rPr>
          <w:color w:val="231F20"/>
          <w:w w:val="105"/>
        </w:rPr>
        <w:t>de</w:t>
      </w:r>
      <w:r>
        <w:rPr>
          <w:color w:val="231F20"/>
          <w:spacing w:val="-19"/>
          <w:w w:val="105"/>
        </w:rPr>
        <w:t> </w:t>
      </w:r>
      <w:r>
        <w:rPr>
          <w:color w:val="231F20"/>
          <w:w w:val="105"/>
        </w:rPr>
        <w:t>perspectiva</w:t>
      </w:r>
      <w:r>
        <w:rPr>
          <w:color w:val="231F20"/>
          <w:spacing w:val="-19"/>
          <w:w w:val="105"/>
        </w:rPr>
        <w:t> </w:t>
      </w:r>
      <w:r>
        <w:rPr>
          <w:color w:val="231F20"/>
          <w:w w:val="105"/>
        </w:rPr>
        <w:t>estable.”</w:t>
      </w:r>
    </w:p>
    <w:p>
      <w:pPr>
        <w:pStyle w:val="BodyText"/>
        <w:spacing w:before="1"/>
        <w:rPr>
          <w:sz w:val="26"/>
        </w:rPr>
      </w:pPr>
    </w:p>
    <w:p>
      <w:pPr>
        <w:pStyle w:val="BodyText"/>
        <w:spacing w:line="285" w:lineRule="auto"/>
        <w:ind w:left="110" w:right="108"/>
        <w:jc w:val="both"/>
      </w:pPr>
      <w:r>
        <w:rPr>
          <w:color w:val="231F20"/>
          <w:w w:val="105"/>
        </w:rPr>
        <w:t>En materia de combate </w:t>
      </w:r>
      <w:r>
        <w:rPr>
          <w:color w:val="231F20"/>
          <w:spacing w:val="2"/>
          <w:w w:val="105"/>
        </w:rPr>
        <w:t>al </w:t>
      </w:r>
      <w:r>
        <w:rPr>
          <w:color w:val="231F20"/>
          <w:w w:val="105"/>
        </w:rPr>
        <w:t>desempleo las acciones de la presidencia municipal se</w:t>
      </w:r>
      <w:r>
        <w:rPr>
          <w:color w:val="231F20"/>
          <w:spacing w:val="-39"/>
          <w:w w:val="105"/>
        </w:rPr>
        <w:t> </w:t>
      </w:r>
      <w:r>
        <w:rPr>
          <w:color w:val="231F20"/>
          <w:w w:val="105"/>
        </w:rPr>
        <w:t>anto- jan limitadas: gestionó la obtención de un apoyo económico para </w:t>
      </w:r>
      <w:r>
        <w:rPr>
          <w:color w:val="231F20"/>
          <w:spacing w:val="2"/>
          <w:w w:val="105"/>
        </w:rPr>
        <w:t>tan</w:t>
      </w:r>
      <w:r>
        <w:rPr>
          <w:color w:val="231F20"/>
          <w:spacing w:val="-39"/>
          <w:w w:val="105"/>
        </w:rPr>
        <w:t> </w:t>
      </w:r>
      <w:r>
        <w:rPr>
          <w:color w:val="231F20"/>
          <w:w w:val="105"/>
        </w:rPr>
        <w:t>sólo 27 personas desempleadas (por un </w:t>
      </w:r>
      <w:r>
        <w:rPr>
          <w:color w:val="231F20"/>
          <w:spacing w:val="-3"/>
          <w:w w:val="105"/>
        </w:rPr>
        <w:t>monto </w:t>
      </w:r>
      <w:r>
        <w:rPr>
          <w:color w:val="231F20"/>
          <w:w w:val="105"/>
        </w:rPr>
        <w:t>de 2 </w:t>
      </w:r>
      <w:r>
        <w:rPr>
          <w:color w:val="231F20"/>
          <w:spacing w:val="2"/>
          <w:w w:val="105"/>
        </w:rPr>
        <w:t>mil </w:t>
      </w:r>
      <w:r>
        <w:rPr>
          <w:color w:val="231F20"/>
          <w:spacing w:val="3"/>
          <w:w w:val="105"/>
        </w:rPr>
        <w:t>200 </w:t>
      </w:r>
      <w:r>
        <w:rPr>
          <w:color w:val="231F20"/>
          <w:spacing w:val="-3"/>
          <w:w w:val="105"/>
        </w:rPr>
        <w:t>pesos), </w:t>
      </w:r>
      <w:r>
        <w:rPr>
          <w:color w:val="231F20"/>
          <w:w w:val="105"/>
        </w:rPr>
        <w:t>ante el programa federal de Empleo Formal;</w:t>
      </w:r>
      <w:r>
        <w:rPr>
          <w:color w:val="231F20"/>
          <w:spacing w:val="-7"/>
          <w:w w:val="105"/>
        </w:rPr>
        <w:t> </w:t>
      </w:r>
      <w:r>
        <w:rPr>
          <w:color w:val="231F20"/>
          <w:w w:val="105"/>
        </w:rPr>
        <w:t>dio</w:t>
      </w:r>
      <w:r>
        <w:rPr>
          <w:color w:val="231F20"/>
          <w:spacing w:val="-7"/>
          <w:w w:val="105"/>
        </w:rPr>
        <w:t> </w:t>
      </w:r>
      <w:r>
        <w:rPr>
          <w:color w:val="231F20"/>
          <w:w w:val="105"/>
        </w:rPr>
        <w:t>cursos</w:t>
      </w:r>
      <w:r>
        <w:rPr>
          <w:color w:val="231F20"/>
          <w:spacing w:val="-7"/>
          <w:w w:val="105"/>
        </w:rPr>
        <w:t> </w:t>
      </w:r>
      <w:r>
        <w:rPr>
          <w:color w:val="231F20"/>
          <w:w w:val="105"/>
        </w:rPr>
        <w:t>sobre</w:t>
      </w:r>
      <w:r>
        <w:rPr>
          <w:color w:val="231F20"/>
          <w:spacing w:val="-7"/>
          <w:w w:val="105"/>
        </w:rPr>
        <w:t> </w:t>
      </w:r>
      <w:r>
        <w:rPr>
          <w:color w:val="231F20"/>
          <w:w w:val="105"/>
        </w:rPr>
        <w:t>cómo</w:t>
      </w:r>
      <w:r>
        <w:rPr>
          <w:color w:val="231F20"/>
          <w:spacing w:val="-7"/>
          <w:w w:val="105"/>
        </w:rPr>
        <w:t> </w:t>
      </w:r>
      <w:r>
        <w:rPr>
          <w:color w:val="231F20"/>
          <w:w w:val="105"/>
        </w:rPr>
        <w:t>enfrentar</w:t>
      </w:r>
      <w:r>
        <w:rPr>
          <w:color w:val="231F20"/>
          <w:spacing w:val="-7"/>
          <w:w w:val="105"/>
        </w:rPr>
        <w:t> </w:t>
      </w:r>
      <w:r>
        <w:rPr>
          <w:color w:val="231F20"/>
          <w:w w:val="105"/>
        </w:rPr>
        <w:t>el</w:t>
      </w:r>
      <w:r>
        <w:rPr>
          <w:color w:val="231F20"/>
          <w:spacing w:val="-7"/>
          <w:w w:val="105"/>
        </w:rPr>
        <w:t> </w:t>
      </w:r>
      <w:r>
        <w:rPr>
          <w:color w:val="231F20"/>
          <w:w w:val="105"/>
        </w:rPr>
        <w:t>problema</w:t>
      </w:r>
      <w:r>
        <w:rPr>
          <w:color w:val="231F20"/>
          <w:spacing w:val="-7"/>
          <w:w w:val="105"/>
        </w:rPr>
        <w:t> </w:t>
      </w:r>
      <w:r>
        <w:rPr>
          <w:color w:val="231F20"/>
          <w:w w:val="105"/>
        </w:rPr>
        <w:t>y</w:t>
      </w:r>
      <w:r>
        <w:rPr>
          <w:color w:val="231F20"/>
          <w:spacing w:val="-7"/>
          <w:w w:val="105"/>
        </w:rPr>
        <w:t> </w:t>
      </w:r>
      <w:r>
        <w:rPr>
          <w:color w:val="231F20"/>
          <w:w w:val="105"/>
        </w:rPr>
        <w:t>como</w:t>
      </w:r>
      <w:r>
        <w:rPr>
          <w:color w:val="231F20"/>
          <w:spacing w:val="-7"/>
          <w:w w:val="105"/>
        </w:rPr>
        <w:t> </w:t>
      </w:r>
      <w:r>
        <w:rPr>
          <w:color w:val="231F20"/>
          <w:w w:val="105"/>
        </w:rPr>
        <w:t>conseguir</w:t>
      </w:r>
      <w:r>
        <w:rPr>
          <w:color w:val="231F20"/>
          <w:spacing w:val="-7"/>
          <w:w w:val="105"/>
        </w:rPr>
        <w:t> </w:t>
      </w:r>
      <w:r>
        <w:rPr>
          <w:color w:val="231F20"/>
          <w:w w:val="105"/>
        </w:rPr>
        <w:t>trabajo;</w:t>
      </w:r>
      <w:r>
        <w:rPr>
          <w:color w:val="231F20"/>
          <w:spacing w:val="-7"/>
          <w:w w:val="105"/>
        </w:rPr>
        <w:t> </w:t>
      </w:r>
      <w:r>
        <w:rPr>
          <w:color w:val="231F20"/>
          <w:w w:val="105"/>
        </w:rPr>
        <w:t>y</w:t>
      </w:r>
      <w:r>
        <w:rPr>
          <w:color w:val="231F20"/>
          <w:spacing w:val="-7"/>
          <w:w w:val="105"/>
        </w:rPr>
        <w:t> </w:t>
      </w:r>
      <w:r>
        <w:rPr>
          <w:color w:val="231F20"/>
          <w:w w:val="105"/>
        </w:rPr>
        <w:t>creó una</w:t>
      </w:r>
      <w:r>
        <w:rPr>
          <w:color w:val="231F20"/>
          <w:spacing w:val="-12"/>
          <w:w w:val="105"/>
        </w:rPr>
        <w:t> </w:t>
      </w:r>
      <w:r>
        <w:rPr>
          <w:color w:val="231F20"/>
          <w:w w:val="105"/>
        </w:rPr>
        <w:t>oficina</w:t>
      </w:r>
      <w:r>
        <w:rPr>
          <w:color w:val="231F20"/>
          <w:spacing w:val="-12"/>
          <w:w w:val="105"/>
        </w:rPr>
        <w:t> </w:t>
      </w:r>
      <w:r>
        <w:rPr>
          <w:color w:val="231F20"/>
          <w:w w:val="105"/>
        </w:rPr>
        <w:t>móvil</w:t>
      </w:r>
      <w:r>
        <w:rPr>
          <w:color w:val="231F20"/>
          <w:spacing w:val="-12"/>
          <w:w w:val="105"/>
        </w:rPr>
        <w:t> </w:t>
      </w:r>
      <w:r>
        <w:rPr>
          <w:color w:val="231F20"/>
          <w:w w:val="105"/>
        </w:rPr>
        <w:t>para</w:t>
      </w:r>
      <w:r>
        <w:rPr>
          <w:color w:val="231F20"/>
          <w:spacing w:val="-12"/>
          <w:w w:val="105"/>
        </w:rPr>
        <w:t> </w:t>
      </w:r>
      <w:r>
        <w:rPr>
          <w:color w:val="231F20"/>
          <w:w w:val="105"/>
        </w:rPr>
        <w:t>dar</w:t>
      </w:r>
      <w:r>
        <w:rPr>
          <w:color w:val="231F20"/>
          <w:spacing w:val="-12"/>
          <w:w w:val="105"/>
        </w:rPr>
        <w:t> </w:t>
      </w:r>
      <w:r>
        <w:rPr>
          <w:color w:val="231F20"/>
          <w:w w:val="105"/>
        </w:rPr>
        <w:t>a</w:t>
      </w:r>
      <w:r>
        <w:rPr>
          <w:color w:val="231F20"/>
          <w:spacing w:val="-12"/>
          <w:w w:val="105"/>
        </w:rPr>
        <w:t> </w:t>
      </w:r>
      <w:r>
        <w:rPr>
          <w:color w:val="231F20"/>
          <w:w w:val="105"/>
        </w:rPr>
        <w:t>conocer</w:t>
      </w:r>
      <w:r>
        <w:rPr>
          <w:color w:val="231F20"/>
          <w:spacing w:val="-12"/>
          <w:w w:val="105"/>
        </w:rPr>
        <w:t> </w:t>
      </w:r>
      <w:r>
        <w:rPr>
          <w:color w:val="231F20"/>
          <w:w w:val="105"/>
        </w:rPr>
        <w:t>ofertas</w:t>
      </w:r>
      <w:r>
        <w:rPr>
          <w:color w:val="231F20"/>
          <w:spacing w:val="-12"/>
          <w:w w:val="105"/>
        </w:rPr>
        <w:t> </w:t>
      </w:r>
      <w:r>
        <w:rPr>
          <w:color w:val="231F20"/>
          <w:w w:val="105"/>
        </w:rPr>
        <w:t>de</w:t>
      </w:r>
      <w:r>
        <w:rPr>
          <w:color w:val="231F20"/>
          <w:spacing w:val="-12"/>
          <w:w w:val="105"/>
        </w:rPr>
        <w:t> </w:t>
      </w:r>
      <w:r>
        <w:rPr>
          <w:color w:val="231F20"/>
          <w:w w:val="105"/>
        </w:rPr>
        <w:t>empleo.</w:t>
      </w:r>
      <w:r>
        <w:rPr>
          <w:color w:val="231F20"/>
          <w:spacing w:val="-12"/>
          <w:w w:val="105"/>
        </w:rPr>
        <w:t> </w:t>
      </w:r>
      <w:r>
        <w:rPr>
          <w:color w:val="231F20"/>
          <w:w w:val="105"/>
        </w:rPr>
        <w:t>Asimismo</w:t>
      </w:r>
      <w:r>
        <w:rPr>
          <w:color w:val="231F20"/>
          <w:spacing w:val="-12"/>
          <w:w w:val="105"/>
        </w:rPr>
        <w:t> </w:t>
      </w:r>
      <w:r>
        <w:rPr>
          <w:color w:val="231F20"/>
          <w:w w:val="105"/>
        </w:rPr>
        <w:t>continuó</w:t>
      </w:r>
      <w:r>
        <w:rPr>
          <w:color w:val="231F20"/>
          <w:spacing w:val="-12"/>
          <w:w w:val="105"/>
        </w:rPr>
        <w:t> </w:t>
      </w:r>
      <w:r>
        <w:rPr>
          <w:color w:val="231F20"/>
          <w:w w:val="105"/>
        </w:rPr>
        <w:t>realizando la</w:t>
      </w:r>
      <w:r>
        <w:rPr>
          <w:color w:val="231F20"/>
          <w:spacing w:val="-19"/>
          <w:w w:val="105"/>
        </w:rPr>
        <w:t> </w:t>
      </w:r>
      <w:r>
        <w:rPr>
          <w:color w:val="231F20"/>
          <w:w w:val="105"/>
        </w:rPr>
        <w:t>feria</w:t>
      </w:r>
      <w:r>
        <w:rPr>
          <w:color w:val="231F20"/>
          <w:spacing w:val="-19"/>
          <w:w w:val="105"/>
        </w:rPr>
        <w:t> </w:t>
      </w:r>
      <w:r>
        <w:rPr>
          <w:color w:val="231F20"/>
          <w:w w:val="105"/>
        </w:rPr>
        <w:t>anual</w:t>
      </w:r>
      <w:r>
        <w:rPr>
          <w:color w:val="231F20"/>
          <w:spacing w:val="-19"/>
          <w:w w:val="105"/>
        </w:rPr>
        <w:t> </w:t>
      </w:r>
      <w:r>
        <w:rPr>
          <w:color w:val="231F20"/>
          <w:w w:val="105"/>
        </w:rPr>
        <w:t>de</w:t>
      </w:r>
      <w:r>
        <w:rPr>
          <w:color w:val="231F20"/>
          <w:spacing w:val="-19"/>
          <w:w w:val="105"/>
        </w:rPr>
        <w:t> </w:t>
      </w:r>
      <w:r>
        <w:rPr>
          <w:color w:val="231F20"/>
          <w:w w:val="105"/>
        </w:rPr>
        <w:t>empleo.</w:t>
      </w:r>
    </w:p>
    <w:p>
      <w:pPr>
        <w:pStyle w:val="BodyText"/>
        <w:spacing w:before="1"/>
        <w:rPr>
          <w:sz w:val="26"/>
        </w:rPr>
      </w:pPr>
    </w:p>
    <w:p>
      <w:pPr>
        <w:pStyle w:val="BodyText"/>
        <w:spacing w:line="285" w:lineRule="auto"/>
        <w:ind w:left="110" w:right="107"/>
        <w:jc w:val="both"/>
      </w:pPr>
      <w:r>
        <w:rPr>
          <w:color w:val="231F20"/>
          <w:w w:val="105"/>
        </w:rPr>
        <w:t>El municipio dio capacitación a 83 empresarios y a </w:t>
      </w:r>
      <w:r>
        <w:rPr>
          <w:color w:val="231F20"/>
          <w:spacing w:val="2"/>
          <w:w w:val="105"/>
        </w:rPr>
        <w:t>340 </w:t>
      </w:r>
      <w:r>
        <w:rPr>
          <w:color w:val="231F20"/>
          <w:w w:val="105"/>
        </w:rPr>
        <w:t>microempresarios con cursos denominados</w:t>
      </w:r>
      <w:r>
        <w:rPr>
          <w:color w:val="231F20"/>
          <w:spacing w:val="-16"/>
          <w:w w:val="105"/>
        </w:rPr>
        <w:t> </w:t>
      </w:r>
      <w:r>
        <w:rPr>
          <w:color w:val="231F20"/>
          <w:w w:val="105"/>
        </w:rPr>
        <w:t>por</w:t>
      </w:r>
      <w:r>
        <w:rPr>
          <w:color w:val="231F20"/>
          <w:spacing w:val="-16"/>
          <w:w w:val="105"/>
        </w:rPr>
        <w:t> </w:t>
      </w:r>
      <w:r>
        <w:rPr>
          <w:color w:val="231F20"/>
          <w:spacing w:val="-3"/>
          <w:w w:val="105"/>
        </w:rPr>
        <w:t>ejemplo</w:t>
      </w:r>
      <w:r>
        <w:rPr>
          <w:color w:val="231F20"/>
          <w:spacing w:val="-16"/>
          <w:w w:val="105"/>
        </w:rPr>
        <w:t> </w:t>
      </w:r>
      <w:r>
        <w:rPr>
          <w:color w:val="231F20"/>
          <w:spacing w:val="-3"/>
          <w:w w:val="105"/>
        </w:rPr>
        <w:t>como:</w:t>
      </w:r>
      <w:r>
        <w:rPr>
          <w:color w:val="231F20"/>
          <w:spacing w:val="-16"/>
          <w:w w:val="105"/>
        </w:rPr>
        <w:t> </w:t>
      </w:r>
      <w:r>
        <w:rPr>
          <w:color w:val="231F20"/>
          <w:w w:val="105"/>
        </w:rPr>
        <w:t>“Que</w:t>
      </w:r>
      <w:r>
        <w:rPr>
          <w:color w:val="231F20"/>
          <w:spacing w:val="-16"/>
          <w:w w:val="105"/>
        </w:rPr>
        <w:t> </w:t>
      </w:r>
      <w:r>
        <w:rPr>
          <w:color w:val="231F20"/>
          <w:w w:val="105"/>
        </w:rPr>
        <w:t>tu</w:t>
      </w:r>
      <w:r>
        <w:rPr>
          <w:color w:val="231F20"/>
          <w:spacing w:val="-16"/>
          <w:w w:val="105"/>
        </w:rPr>
        <w:t> </w:t>
      </w:r>
      <w:r>
        <w:rPr>
          <w:color w:val="231F20"/>
          <w:w w:val="105"/>
        </w:rPr>
        <w:t>negocio</w:t>
      </w:r>
      <w:r>
        <w:rPr>
          <w:color w:val="231F20"/>
          <w:spacing w:val="-16"/>
          <w:w w:val="105"/>
        </w:rPr>
        <w:t> </w:t>
      </w:r>
      <w:r>
        <w:rPr>
          <w:color w:val="231F20"/>
          <w:w w:val="105"/>
        </w:rPr>
        <w:t>sea</w:t>
      </w:r>
      <w:r>
        <w:rPr>
          <w:color w:val="231F20"/>
          <w:spacing w:val="-16"/>
          <w:w w:val="105"/>
        </w:rPr>
        <w:t> </w:t>
      </w:r>
      <w:r>
        <w:rPr>
          <w:color w:val="231F20"/>
          <w:spacing w:val="-4"/>
          <w:w w:val="105"/>
        </w:rPr>
        <w:t>negocio”,</w:t>
      </w:r>
      <w:r>
        <w:rPr>
          <w:color w:val="231F20"/>
          <w:spacing w:val="-16"/>
          <w:w w:val="105"/>
        </w:rPr>
        <w:t> </w:t>
      </w:r>
      <w:r>
        <w:rPr>
          <w:color w:val="231F20"/>
          <w:spacing w:val="-3"/>
          <w:w w:val="105"/>
        </w:rPr>
        <w:t>“Ventas</w:t>
      </w:r>
      <w:r>
        <w:rPr>
          <w:color w:val="231F20"/>
          <w:spacing w:val="-16"/>
          <w:w w:val="105"/>
        </w:rPr>
        <w:t> </w:t>
      </w:r>
      <w:r>
        <w:rPr>
          <w:color w:val="231F20"/>
          <w:w w:val="105"/>
        </w:rPr>
        <w:t>con</w:t>
      </w:r>
      <w:r>
        <w:rPr>
          <w:color w:val="231F20"/>
          <w:spacing w:val="-16"/>
          <w:w w:val="105"/>
        </w:rPr>
        <w:t> </w:t>
      </w:r>
      <w:r>
        <w:rPr>
          <w:color w:val="231F20"/>
          <w:w w:val="105"/>
        </w:rPr>
        <w:t>enfoque</w:t>
      </w:r>
      <w:r>
        <w:rPr>
          <w:color w:val="231F20"/>
          <w:spacing w:val="-16"/>
          <w:w w:val="105"/>
        </w:rPr>
        <w:t> </w:t>
      </w:r>
      <w:r>
        <w:rPr>
          <w:color w:val="231F20"/>
          <w:w w:val="105"/>
        </w:rPr>
        <w:t>en el</w:t>
      </w:r>
      <w:r>
        <w:rPr>
          <w:color w:val="231F20"/>
          <w:spacing w:val="-22"/>
          <w:w w:val="105"/>
        </w:rPr>
        <w:t> </w:t>
      </w:r>
      <w:r>
        <w:rPr>
          <w:color w:val="231F20"/>
          <w:w w:val="105"/>
        </w:rPr>
        <w:t>Servicio</w:t>
      </w:r>
      <w:r>
        <w:rPr>
          <w:color w:val="231F20"/>
          <w:spacing w:val="-22"/>
          <w:w w:val="105"/>
        </w:rPr>
        <w:t> </w:t>
      </w:r>
      <w:r>
        <w:rPr>
          <w:color w:val="231F20"/>
          <w:spacing w:val="2"/>
          <w:w w:val="105"/>
        </w:rPr>
        <w:t>al</w:t>
      </w:r>
      <w:r>
        <w:rPr>
          <w:color w:val="231F20"/>
          <w:spacing w:val="-22"/>
          <w:w w:val="105"/>
        </w:rPr>
        <w:t> </w:t>
      </w:r>
      <w:r>
        <w:rPr>
          <w:color w:val="231F20"/>
          <w:w w:val="105"/>
        </w:rPr>
        <w:t>Cliente”</w:t>
      </w:r>
      <w:r>
        <w:rPr>
          <w:color w:val="231F20"/>
          <w:spacing w:val="-22"/>
          <w:w w:val="105"/>
        </w:rPr>
        <w:t> </w:t>
      </w:r>
      <w:r>
        <w:rPr>
          <w:color w:val="231F20"/>
          <w:w w:val="105"/>
        </w:rPr>
        <w:t>y</w:t>
      </w:r>
      <w:r>
        <w:rPr>
          <w:color w:val="231F20"/>
          <w:spacing w:val="-22"/>
          <w:w w:val="105"/>
        </w:rPr>
        <w:t> </w:t>
      </w:r>
      <w:r>
        <w:rPr>
          <w:color w:val="231F20"/>
          <w:w w:val="105"/>
        </w:rPr>
        <w:t>“Plan</w:t>
      </w:r>
      <w:r>
        <w:rPr>
          <w:color w:val="231F20"/>
          <w:spacing w:val="-22"/>
          <w:w w:val="105"/>
        </w:rPr>
        <w:t> </w:t>
      </w:r>
      <w:r>
        <w:rPr>
          <w:color w:val="231F20"/>
          <w:w w:val="105"/>
        </w:rPr>
        <w:t>de</w:t>
      </w:r>
      <w:r>
        <w:rPr>
          <w:color w:val="231F20"/>
          <w:spacing w:val="-22"/>
          <w:w w:val="105"/>
        </w:rPr>
        <w:t> </w:t>
      </w:r>
      <w:r>
        <w:rPr>
          <w:color w:val="231F20"/>
          <w:spacing w:val="-3"/>
          <w:w w:val="105"/>
        </w:rPr>
        <w:t>Negocios”.</w:t>
      </w:r>
      <w:r>
        <w:rPr>
          <w:color w:val="231F20"/>
          <w:spacing w:val="-22"/>
          <w:w w:val="105"/>
        </w:rPr>
        <w:t> </w:t>
      </w:r>
      <w:r>
        <w:rPr>
          <w:color w:val="231F20"/>
          <w:w w:val="105"/>
        </w:rPr>
        <w:t>Incluso</w:t>
      </w:r>
      <w:r>
        <w:rPr>
          <w:color w:val="231F20"/>
          <w:spacing w:val="-22"/>
          <w:w w:val="105"/>
        </w:rPr>
        <w:t> </w:t>
      </w:r>
      <w:r>
        <w:rPr>
          <w:color w:val="231F20"/>
          <w:w w:val="105"/>
        </w:rPr>
        <w:t>para</w:t>
      </w:r>
      <w:r>
        <w:rPr>
          <w:color w:val="231F20"/>
          <w:spacing w:val="-22"/>
          <w:w w:val="105"/>
        </w:rPr>
        <w:t> </w:t>
      </w:r>
      <w:r>
        <w:rPr>
          <w:color w:val="231F20"/>
          <w:w w:val="105"/>
        </w:rPr>
        <w:t>diez</w:t>
      </w:r>
      <w:r>
        <w:rPr>
          <w:color w:val="231F20"/>
          <w:spacing w:val="-22"/>
          <w:w w:val="105"/>
        </w:rPr>
        <w:t> </w:t>
      </w:r>
      <w:r>
        <w:rPr>
          <w:color w:val="231F20"/>
          <w:w w:val="105"/>
        </w:rPr>
        <w:t>micro,</w:t>
      </w:r>
      <w:r>
        <w:rPr>
          <w:color w:val="231F20"/>
          <w:spacing w:val="-22"/>
          <w:w w:val="105"/>
        </w:rPr>
        <w:t> </w:t>
      </w:r>
      <w:r>
        <w:rPr>
          <w:color w:val="231F20"/>
          <w:w w:val="105"/>
        </w:rPr>
        <w:t>pequeñas</w:t>
      </w:r>
      <w:r>
        <w:rPr>
          <w:color w:val="231F20"/>
          <w:spacing w:val="-22"/>
          <w:w w:val="105"/>
        </w:rPr>
        <w:t> </w:t>
      </w:r>
      <w:r>
        <w:rPr>
          <w:color w:val="231F20"/>
          <w:w w:val="105"/>
        </w:rPr>
        <w:t>o</w:t>
      </w:r>
      <w:r>
        <w:rPr>
          <w:color w:val="231F20"/>
          <w:spacing w:val="-22"/>
          <w:w w:val="105"/>
        </w:rPr>
        <w:t> </w:t>
      </w:r>
      <w:r>
        <w:rPr>
          <w:color w:val="231F20"/>
          <w:w w:val="105"/>
        </w:rPr>
        <w:t>media- nas</w:t>
      </w:r>
      <w:r>
        <w:rPr>
          <w:color w:val="231F20"/>
          <w:spacing w:val="-22"/>
          <w:w w:val="105"/>
        </w:rPr>
        <w:t> </w:t>
      </w:r>
      <w:r>
        <w:rPr>
          <w:color w:val="231F20"/>
          <w:w w:val="105"/>
        </w:rPr>
        <w:t>empresas</w:t>
      </w:r>
      <w:r>
        <w:rPr>
          <w:color w:val="231F20"/>
          <w:spacing w:val="-22"/>
          <w:w w:val="105"/>
        </w:rPr>
        <w:t> </w:t>
      </w:r>
      <w:r>
        <w:rPr>
          <w:color w:val="231F20"/>
          <w:w w:val="105"/>
        </w:rPr>
        <w:t>se</w:t>
      </w:r>
      <w:r>
        <w:rPr>
          <w:color w:val="231F20"/>
          <w:spacing w:val="-22"/>
          <w:w w:val="105"/>
        </w:rPr>
        <w:t> </w:t>
      </w:r>
      <w:r>
        <w:rPr>
          <w:color w:val="231F20"/>
          <w:w w:val="105"/>
        </w:rPr>
        <w:t>formularon</w:t>
      </w:r>
      <w:r>
        <w:rPr>
          <w:color w:val="231F20"/>
          <w:spacing w:val="-22"/>
          <w:w w:val="105"/>
        </w:rPr>
        <w:t> </w:t>
      </w:r>
      <w:r>
        <w:rPr>
          <w:color w:val="231F20"/>
          <w:spacing w:val="-5"/>
          <w:w w:val="105"/>
        </w:rPr>
        <w:t>10</w:t>
      </w:r>
      <w:r>
        <w:rPr>
          <w:color w:val="231F20"/>
          <w:spacing w:val="-22"/>
          <w:w w:val="105"/>
        </w:rPr>
        <w:t> </w:t>
      </w:r>
      <w:r>
        <w:rPr>
          <w:color w:val="231F20"/>
          <w:w w:val="105"/>
        </w:rPr>
        <w:t>Planes</w:t>
      </w:r>
      <w:r>
        <w:rPr>
          <w:color w:val="231F20"/>
          <w:spacing w:val="-22"/>
          <w:w w:val="105"/>
        </w:rPr>
        <w:t> </w:t>
      </w:r>
      <w:r>
        <w:rPr>
          <w:color w:val="231F20"/>
          <w:w w:val="105"/>
        </w:rPr>
        <w:t>de</w:t>
      </w:r>
      <w:r>
        <w:rPr>
          <w:color w:val="231F20"/>
          <w:spacing w:val="-22"/>
          <w:w w:val="105"/>
        </w:rPr>
        <w:t> </w:t>
      </w:r>
      <w:r>
        <w:rPr>
          <w:color w:val="231F20"/>
          <w:w w:val="105"/>
        </w:rPr>
        <w:t>Negocio</w:t>
      </w:r>
      <w:r>
        <w:rPr>
          <w:color w:val="231F20"/>
          <w:spacing w:val="-22"/>
          <w:w w:val="105"/>
        </w:rPr>
        <w:t> </w:t>
      </w:r>
      <w:r>
        <w:rPr>
          <w:color w:val="231F20"/>
          <w:w w:val="105"/>
        </w:rPr>
        <w:t>y</w:t>
      </w:r>
      <w:r>
        <w:rPr>
          <w:color w:val="231F20"/>
          <w:spacing w:val="-22"/>
          <w:w w:val="105"/>
        </w:rPr>
        <w:t> </w:t>
      </w:r>
      <w:r>
        <w:rPr>
          <w:color w:val="231F20"/>
          <w:spacing w:val="2"/>
          <w:w w:val="105"/>
        </w:rPr>
        <w:t>Análisis</w:t>
      </w:r>
      <w:r>
        <w:rPr>
          <w:color w:val="231F20"/>
          <w:spacing w:val="-22"/>
          <w:w w:val="105"/>
        </w:rPr>
        <w:t> </w:t>
      </w:r>
      <w:r>
        <w:rPr>
          <w:color w:val="231F20"/>
          <w:w w:val="105"/>
        </w:rPr>
        <w:t>de</w:t>
      </w:r>
      <w:r>
        <w:rPr>
          <w:color w:val="231F20"/>
          <w:spacing w:val="-22"/>
          <w:w w:val="105"/>
        </w:rPr>
        <w:t> </w:t>
      </w:r>
      <w:r>
        <w:rPr>
          <w:color w:val="231F20"/>
          <w:w w:val="105"/>
        </w:rPr>
        <w:t>Fortalezas,</w:t>
      </w:r>
      <w:r>
        <w:rPr>
          <w:color w:val="231F20"/>
          <w:spacing w:val="-22"/>
          <w:w w:val="105"/>
        </w:rPr>
        <w:t> </w:t>
      </w:r>
      <w:r>
        <w:rPr>
          <w:color w:val="231F20"/>
          <w:w w:val="105"/>
        </w:rPr>
        <w:t>Oportunida- des,</w:t>
      </w:r>
      <w:r>
        <w:rPr>
          <w:color w:val="231F20"/>
          <w:spacing w:val="-11"/>
          <w:w w:val="105"/>
        </w:rPr>
        <w:t> </w:t>
      </w:r>
      <w:r>
        <w:rPr>
          <w:color w:val="231F20"/>
          <w:w w:val="105"/>
        </w:rPr>
        <w:t>Debilidades</w:t>
      </w:r>
      <w:r>
        <w:rPr>
          <w:color w:val="231F20"/>
          <w:spacing w:val="-11"/>
          <w:w w:val="105"/>
        </w:rPr>
        <w:t> </w:t>
      </w:r>
      <w:r>
        <w:rPr>
          <w:color w:val="231F20"/>
          <w:w w:val="105"/>
        </w:rPr>
        <w:t>y</w:t>
      </w:r>
      <w:r>
        <w:rPr>
          <w:color w:val="231F20"/>
          <w:spacing w:val="-11"/>
          <w:w w:val="105"/>
        </w:rPr>
        <w:t> </w:t>
      </w:r>
      <w:r>
        <w:rPr>
          <w:color w:val="231F20"/>
          <w:w w:val="105"/>
        </w:rPr>
        <w:t>Amenazas</w:t>
      </w:r>
      <w:r>
        <w:rPr>
          <w:color w:val="231F20"/>
          <w:spacing w:val="-11"/>
          <w:w w:val="105"/>
        </w:rPr>
        <w:t> </w:t>
      </w:r>
      <w:r>
        <w:rPr>
          <w:color w:val="231F20"/>
          <w:spacing w:val="-5"/>
          <w:w w:val="105"/>
        </w:rPr>
        <w:t>(FODA).</w:t>
      </w:r>
      <w:r>
        <w:rPr>
          <w:color w:val="231F20"/>
          <w:spacing w:val="-11"/>
          <w:w w:val="105"/>
        </w:rPr>
        <w:t> </w:t>
      </w:r>
      <w:r>
        <w:rPr>
          <w:color w:val="231F20"/>
          <w:w w:val="105"/>
        </w:rPr>
        <w:t>En</w:t>
      </w:r>
      <w:r>
        <w:rPr>
          <w:color w:val="231F20"/>
          <w:spacing w:val="-11"/>
          <w:w w:val="105"/>
        </w:rPr>
        <w:t> </w:t>
      </w:r>
      <w:r>
        <w:rPr>
          <w:color w:val="231F20"/>
          <w:w w:val="105"/>
        </w:rPr>
        <w:t>materia</w:t>
      </w:r>
      <w:r>
        <w:rPr>
          <w:color w:val="231F20"/>
          <w:spacing w:val="-11"/>
          <w:w w:val="105"/>
        </w:rPr>
        <w:t> </w:t>
      </w:r>
      <w:r>
        <w:rPr>
          <w:color w:val="231F20"/>
          <w:w w:val="105"/>
        </w:rPr>
        <w:t>de</w:t>
      </w:r>
      <w:r>
        <w:rPr>
          <w:color w:val="231F20"/>
          <w:spacing w:val="-11"/>
          <w:w w:val="105"/>
        </w:rPr>
        <w:t> </w:t>
      </w:r>
      <w:r>
        <w:rPr>
          <w:color w:val="231F20"/>
          <w:w w:val="105"/>
        </w:rPr>
        <w:t>exportación,</w:t>
      </w:r>
      <w:r>
        <w:rPr>
          <w:color w:val="231F20"/>
          <w:spacing w:val="-11"/>
          <w:w w:val="105"/>
        </w:rPr>
        <w:t> </w:t>
      </w:r>
      <w:r>
        <w:rPr>
          <w:color w:val="231F20"/>
          <w:w w:val="105"/>
        </w:rPr>
        <w:t>asesoró</w:t>
      </w:r>
      <w:r>
        <w:rPr>
          <w:color w:val="231F20"/>
          <w:spacing w:val="-11"/>
          <w:w w:val="105"/>
        </w:rPr>
        <w:t> </w:t>
      </w:r>
      <w:r>
        <w:rPr>
          <w:color w:val="231F20"/>
          <w:w w:val="105"/>
        </w:rPr>
        <w:t>a</w:t>
      </w:r>
      <w:r>
        <w:rPr>
          <w:color w:val="231F20"/>
          <w:spacing w:val="-11"/>
          <w:w w:val="105"/>
        </w:rPr>
        <w:t> </w:t>
      </w:r>
      <w:r>
        <w:rPr>
          <w:color w:val="231F20"/>
          <w:w w:val="105"/>
        </w:rPr>
        <w:t>68</w:t>
      </w:r>
      <w:r>
        <w:rPr>
          <w:color w:val="231F20"/>
          <w:spacing w:val="-11"/>
          <w:w w:val="105"/>
        </w:rPr>
        <w:t> </w:t>
      </w:r>
      <w:r>
        <w:rPr>
          <w:color w:val="231F20"/>
          <w:w w:val="105"/>
        </w:rPr>
        <w:t>empre- sas, e incluso </w:t>
      </w:r>
      <w:r>
        <w:rPr>
          <w:color w:val="231F20"/>
          <w:spacing w:val="-4"/>
          <w:w w:val="105"/>
        </w:rPr>
        <w:t>“se </w:t>
      </w:r>
      <w:r>
        <w:rPr>
          <w:color w:val="231F20"/>
          <w:w w:val="105"/>
        </w:rPr>
        <w:t>gestionaron los trámites necesarios para la exportación de</w:t>
      </w:r>
      <w:r>
        <w:rPr>
          <w:color w:val="231F20"/>
          <w:spacing w:val="-25"/>
          <w:w w:val="105"/>
        </w:rPr>
        <w:t> </w:t>
      </w:r>
      <w:r>
        <w:rPr>
          <w:color w:val="231F20"/>
          <w:w w:val="105"/>
        </w:rPr>
        <w:t>productos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químico-cosméticos de la empresa Rytsa-Magicolor a la República de Costa </w:t>
      </w:r>
      <w:r>
        <w:rPr>
          <w:color w:val="231F20"/>
          <w:spacing w:val="-4"/>
          <w:w w:val="105"/>
        </w:rPr>
        <w:t>Rica”. </w:t>
      </w:r>
      <w:r>
        <w:rPr>
          <w:color w:val="231F20"/>
          <w:w w:val="105"/>
        </w:rPr>
        <w:t>El presidente</w:t>
      </w:r>
      <w:r>
        <w:rPr>
          <w:color w:val="231F20"/>
          <w:spacing w:val="-15"/>
          <w:w w:val="105"/>
        </w:rPr>
        <w:t> </w:t>
      </w:r>
      <w:r>
        <w:rPr>
          <w:color w:val="231F20"/>
          <w:w w:val="105"/>
        </w:rPr>
        <w:t>municipal</w:t>
      </w:r>
      <w:r>
        <w:rPr>
          <w:color w:val="231F20"/>
          <w:spacing w:val="-15"/>
          <w:w w:val="105"/>
        </w:rPr>
        <w:t> </w:t>
      </w:r>
      <w:r>
        <w:rPr>
          <w:color w:val="231F20"/>
          <w:w w:val="105"/>
        </w:rPr>
        <w:t>se</w:t>
      </w:r>
      <w:r>
        <w:rPr>
          <w:color w:val="231F20"/>
          <w:spacing w:val="-15"/>
          <w:w w:val="105"/>
        </w:rPr>
        <w:t> </w:t>
      </w:r>
      <w:r>
        <w:rPr>
          <w:color w:val="231F20"/>
          <w:w w:val="105"/>
        </w:rPr>
        <w:t>reunió</w:t>
      </w:r>
      <w:r>
        <w:rPr>
          <w:color w:val="231F20"/>
          <w:spacing w:val="-15"/>
          <w:w w:val="105"/>
        </w:rPr>
        <w:t> </w:t>
      </w:r>
      <w:r>
        <w:rPr>
          <w:color w:val="231F20"/>
          <w:w w:val="105"/>
        </w:rPr>
        <w:t>con</w:t>
      </w:r>
      <w:r>
        <w:rPr>
          <w:color w:val="231F20"/>
          <w:spacing w:val="-15"/>
          <w:w w:val="105"/>
        </w:rPr>
        <w:t> </w:t>
      </w:r>
      <w:r>
        <w:rPr>
          <w:color w:val="231F20"/>
          <w:w w:val="105"/>
        </w:rPr>
        <w:t>consejeros</w:t>
      </w:r>
      <w:r>
        <w:rPr>
          <w:color w:val="231F20"/>
          <w:spacing w:val="-15"/>
          <w:w w:val="105"/>
        </w:rPr>
        <w:t> </w:t>
      </w:r>
      <w:r>
        <w:rPr>
          <w:color w:val="231F20"/>
          <w:w w:val="105"/>
        </w:rPr>
        <w:t>comerciales</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embajadas</w:t>
      </w:r>
      <w:r>
        <w:rPr>
          <w:color w:val="231F20"/>
          <w:spacing w:val="-15"/>
          <w:w w:val="105"/>
        </w:rPr>
        <w:t> </w:t>
      </w:r>
      <w:r>
        <w:rPr>
          <w:color w:val="231F20"/>
          <w:w w:val="105"/>
        </w:rPr>
        <w:t>de</w:t>
      </w:r>
      <w:r>
        <w:rPr>
          <w:color w:val="231F20"/>
          <w:spacing w:val="-15"/>
          <w:w w:val="105"/>
        </w:rPr>
        <w:t> </w:t>
      </w:r>
      <w:r>
        <w:rPr>
          <w:color w:val="231F20"/>
          <w:spacing w:val="-3"/>
          <w:w w:val="105"/>
        </w:rPr>
        <w:t>Hondu- </w:t>
      </w:r>
      <w:r>
        <w:rPr>
          <w:color w:val="231F20"/>
          <w:w w:val="105"/>
        </w:rPr>
        <w:t>ras, Chile, Canadá y China, con el </w:t>
      </w:r>
      <w:r>
        <w:rPr>
          <w:color w:val="231F20"/>
          <w:spacing w:val="2"/>
          <w:w w:val="105"/>
        </w:rPr>
        <w:t>fin </w:t>
      </w:r>
      <w:r>
        <w:rPr>
          <w:color w:val="231F20"/>
          <w:w w:val="105"/>
        </w:rPr>
        <w:t>de </w:t>
      </w:r>
      <w:r>
        <w:rPr>
          <w:color w:val="231F20"/>
          <w:spacing w:val="-3"/>
          <w:w w:val="105"/>
        </w:rPr>
        <w:t>promover </w:t>
      </w:r>
      <w:r>
        <w:rPr>
          <w:color w:val="231F20"/>
          <w:w w:val="105"/>
        </w:rPr>
        <w:t>a las empresas del municipio, para la</w:t>
      </w:r>
      <w:r>
        <w:rPr>
          <w:color w:val="231F20"/>
          <w:spacing w:val="-6"/>
          <w:w w:val="105"/>
        </w:rPr>
        <w:t> </w:t>
      </w:r>
      <w:r>
        <w:rPr>
          <w:color w:val="231F20"/>
          <w:w w:val="105"/>
        </w:rPr>
        <w:t>obtención</w:t>
      </w:r>
      <w:r>
        <w:rPr>
          <w:color w:val="231F20"/>
          <w:spacing w:val="-6"/>
          <w:w w:val="105"/>
        </w:rPr>
        <w:t> </w:t>
      </w:r>
      <w:r>
        <w:rPr>
          <w:color w:val="231F20"/>
          <w:w w:val="105"/>
        </w:rPr>
        <w:t>de</w:t>
      </w:r>
      <w:r>
        <w:rPr>
          <w:color w:val="231F20"/>
          <w:spacing w:val="-6"/>
          <w:w w:val="105"/>
        </w:rPr>
        <w:t> </w:t>
      </w:r>
      <w:r>
        <w:rPr>
          <w:color w:val="231F20"/>
          <w:w w:val="105"/>
        </w:rPr>
        <w:t>fuentes</w:t>
      </w:r>
      <w:r>
        <w:rPr>
          <w:color w:val="231F20"/>
          <w:spacing w:val="-6"/>
          <w:w w:val="105"/>
        </w:rPr>
        <w:t> </w:t>
      </w:r>
      <w:r>
        <w:rPr>
          <w:color w:val="231F20"/>
          <w:w w:val="105"/>
        </w:rPr>
        <w:t>de</w:t>
      </w:r>
      <w:r>
        <w:rPr>
          <w:color w:val="231F20"/>
          <w:spacing w:val="-6"/>
          <w:w w:val="105"/>
        </w:rPr>
        <w:t> </w:t>
      </w:r>
      <w:r>
        <w:rPr>
          <w:color w:val="231F20"/>
          <w:w w:val="105"/>
        </w:rPr>
        <w:t>financiamiento</w:t>
      </w:r>
      <w:r>
        <w:rPr>
          <w:color w:val="231F20"/>
          <w:spacing w:val="-6"/>
          <w:w w:val="105"/>
        </w:rPr>
        <w:t> </w:t>
      </w:r>
      <w:r>
        <w:rPr>
          <w:color w:val="231F20"/>
          <w:w w:val="105"/>
        </w:rPr>
        <w:t>o</w:t>
      </w:r>
      <w:r>
        <w:rPr>
          <w:color w:val="231F20"/>
          <w:spacing w:val="-6"/>
          <w:w w:val="105"/>
        </w:rPr>
        <w:t> </w:t>
      </w:r>
      <w:r>
        <w:rPr>
          <w:color w:val="231F20"/>
          <w:w w:val="105"/>
        </w:rPr>
        <w:t>inversión.</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informe</w:t>
      </w:r>
      <w:r>
        <w:rPr>
          <w:color w:val="231F20"/>
          <w:spacing w:val="-6"/>
          <w:w w:val="105"/>
        </w:rPr>
        <w:t> </w:t>
      </w:r>
      <w:r>
        <w:rPr>
          <w:color w:val="231F20"/>
          <w:w w:val="105"/>
        </w:rPr>
        <w:t>se</w:t>
      </w:r>
      <w:r>
        <w:rPr>
          <w:color w:val="231F20"/>
          <w:spacing w:val="-6"/>
          <w:w w:val="105"/>
        </w:rPr>
        <w:t> </w:t>
      </w:r>
      <w:r>
        <w:rPr>
          <w:color w:val="231F20"/>
          <w:w w:val="105"/>
        </w:rPr>
        <w:t>mencionan</w:t>
      </w:r>
      <w:r>
        <w:rPr>
          <w:color w:val="231F20"/>
          <w:spacing w:val="-6"/>
          <w:w w:val="105"/>
        </w:rPr>
        <w:t> </w:t>
      </w:r>
      <w:r>
        <w:rPr>
          <w:color w:val="231F20"/>
          <w:w w:val="105"/>
        </w:rPr>
        <w:t>los nombres</w:t>
      </w:r>
      <w:r>
        <w:rPr>
          <w:color w:val="231F20"/>
          <w:spacing w:val="-12"/>
          <w:w w:val="105"/>
        </w:rPr>
        <w:t> </w:t>
      </w:r>
      <w:r>
        <w:rPr>
          <w:color w:val="231F20"/>
          <w:w w:val="105"/>
        </w:rPr>
        <w:t>de</w:t>
      </w:r>
      <w:r>
        <w:rPr>
          <w:color w:val="231F20"/>
          <w:spacing w:val="-12"/>
          <w:w w:val="105"/>
        </w:rPr>
        <w:t> </w:t>
      </w:r>
      <w:r>
        <w:rPr>
          <w:color w:val="231F20"/>
          <w:w w:val="105"/>
        </w:rPr>
        <w:t>empresas,</w:t>
      </w:r>
      <w:r>
        <w:rPr>
          <w:color w:val="231F20"/>
          <w:spacing w:val="-12"/>
          <w:w w:val="105"/>
        </w:rPr>
        <w:t> </w:t>
      </w:r>
      <w:r>
        <w:rPr>
          <w:color w:val="231F20"/>
          <w:w w:val="105"/>
        </w:rPr>
        <w:t>tales</w:t>
      </w:r>
      <w:r>
        <w:rPr>
          <w:color w:val="231F20"/>
          <w:spacing w:val="-12"/>
          <w:w w:val="105"/>
        </w:rPr>
        <w:t> </w:t>
      </w:r>
      <w:r>
        <w:rPr>
          <w:color w:val="231F20"/>
          <w:w w:val="105"/>
        </w:rPr>
        <w:t>como</w:t>
      </w:r>
      <w:r>
        <w:rPr>
          <w:color w:val="231F20"/>
          <w:spacing w:val="-12"/>
          <w:w w:val="105"/>
        </w:rPr>
        <w:t> </w:t>
      </w:r>
      <w:r>
        <w:rPr>
          <w:color w:val="231F20"/>
          <w:w w:val="105"/>
        </w:rPr>
        <w:t>IQ</w:t>
      </w:r>
      <w:r>
        <w:rPr>
          <w:color w:val="231F20"/>
          <w:spacing w:val="-12"/>
          <w:w w:val="105"/>
        </w:rPr>
        <w:t> </w:t>
      </w:r>
      <w:r>
        <w:rPr>
          <w:color w:val="231F20"/>
          <w:w w:val="105"/>
        </w:rPr>
        <w:t>y</w:t>
      </w:r>
      <w:r>
        <w:rPr>
          <w:color w:val="231F20"/>
          <w:spacing w:val="-12"/>
          <w:w w:val="105"/>
        </w:rPr>
        <w:t> </w:t>
      </w:r>
      <w:r>
        <w:rPr>
          <w:color w:val="231F20"/>
          <w:w w:val="105"/>
        </w:rPr>
        <w:t>Rytsa-Magicolor</w:t>
      </w:r>
      <w:r>
        <w:rPr>
          <w:color w:val="231F20"/>
          <w:spacing w:val="-12"/>
          <w:w w:val="105"/>
        </w:rPr>
        <w:t> </w:t>
      </w:r>
      <w:r>
        <w:rPr>
          <w:color w:val="231F20"/>
          <w:w w:val="105"/>
        </w:rPr>
        <w:t>del</w:t>
      </w:r>
      <w:r>
        <w:rPr>
          <w:color w:val="231F20"/>
          <w:spacing w:val="-12"/>
          <w:w w:val="105"/>
        </w:rPr>
        <w:t> </w:t>
      </w:r>
      <w:r>
        <w:rPr>
          <w:color w:val="231F20"/>
          <w:w w:val="105"/>
        </w:rPr>
        <w:t>sector</w:t>
      </w:r>
      <w:r>
        <w:rPr>
          <w:color w:val="231F20"/>
          <w:spacing w:val="-12"/>
          <w:w w:val="105"/>
        </w:rPr>
        <w:t> </w:t>
      </w:r>
      <w:r>
        <w:rPr>
          <w:color w:val="231F20"/>
          <w:w w:val="105"/>
        </w:rPr>
        <w:t>químico,</w:t>
      </w:r>
      <w:r>
        <w:rPr>
          <w:color w:val="231F20"/>
          <w:spacing w:val="-12"/>
          <w:w w:val="105"/>
        </w:rPr>
        <w:t> </w:t>
      </w:r>
      <w:r>
        <w:rPr>
          <w:color w:val="231F20"/>
          <w:w w:val="105"/>
        </w:rPr>
        <w:t>además</w:t>
      </w:r>
      <w:r>
        <w:rPr>
          <w:color w:val="231F20"/>
          <w:spacing w:val="-12"/>
          <w:w w:val="105"/>
        </w:rPr>
        <w:t> </w:t>
      </w:r>
      <w:r>
        <w:rPr>
          <w:color w:val="231F20"/>
          <w:w w:val="105"/>
        </w:rPr>
        <w:t>de </w:t>
      </w:r>
      <w:r>
        <w:rPr>
          <w:color w:val="231F20"/>
          <w:spacing w:val="-4"/>
          <w:w w:val="105"/>
        </w:rPr>
        <w:t>Van</w:t>
      </w:r>
      <w:r>
        <w:rPr>
          <w:color w:val="231F20"/>
          <w:spacing w:val="-19"/>
          <w:w w:val="105"/>
        </w:rPr>
        <w:t> </w:t>
      </w:r>
      <w:r>
        <w:rPr>
          <w:color w:val="231F20"/>
          <w:w w:val="105"/>
        </w:rPr>
        <w:t>Beuren</w:t>
      </w:r>
      <w:r>
        <w:rPr>
          <w:color w:val="231F20"/>
          <w:spacing w:val="-19"/>
          <w:w w:val="105"/>
        </w:rPr>
        <w:t> </w:t>
      </w:r>
      <w:r>
        <w:rPr>
          <w:color w:val="231F20"/>
          <w:w w:val="105"/>
        </w:rPr>
        <w:t>del</w:t>
      </w:r>
      <w:r>
        <w:rPr>
          <w:color w:val="231F20"/>
          <w:spacing w:val="-19"/>
          <w:w w:val="105"/>
        </w:rPr>
        <w:t> </w:t>
      </w:r>
      <w:r>
        <w:rPr>
          <w:color w:val="231F20"/>
          <w:w w:val="105"/>
        </w:rPr>
        <w:t>sector</w:t>
      </w:r>
      <w:r>
        <w:rPr>
          <w:color w:val="231F20"/>
          <w:spacing w:val="-19"/>
          <w:w w:val="105"/>
        </w:rPr>
        <w:t> </w:t>
      </w:r>
      <w:r>
        <w:rPr>
          <w:color w:val="231F20"/>
          <w:w w:val="105"/>
        </w:rPr>
        <w:t>muebles.</w:t>
      </w:r>
    </w:p>
    <w:p>
      <w:pPr>
        <w:pStyle w:val="BodyText"/>
        <w:spacing w:before="1"/>
        <w:rPr>
          <w:sz w:val="26"/>
        </w:rPr>
      </w:pPr>
    </w:p>
    <w:p>
      <w:pPr>
        <w:pStyle w:val="BodyText"/>
        <w:spacing w:line="285" w:lineRule="auto"/>
        <w:ind w:left="110" w:right="108"/>
        <w:jc w:val="both"/>
      </w:pPr>
      <w:r>
        <w:rPr>
          <w:color w:val="231F20"/>
        </w:rPr>
        <w:t>El Sistema Municipal de Microcréditos tenía con el fideicomiso “San Bartolo Naucal- </w:t>
      </w:r>
      <w:r>
        <w:rPr>
          <w:color w:val="231F20"/>
          <w:spacing w:val="-5"/>
        </w:rPr>
        <w:t>pan”,</w:t>
      </w:r>
      <w:r>
        <w:rPr>
          <w:color w:val="231F20"/>
          <w:spacing w:val="-7"/>
        </w:rPr>
        <w:t> </w:t>
      </w:r>
      <w:r>
        <w:rPr>
          <w:color w:val="231F20"/>
        </w:rPr>
        <w:t>cuyo</w:t>
      </w:r>
      <w:r>
        <w:rPr>
          <w:color w:val="231F20"/>
          <w:spacing w:val="-7"/>
        </w:rPr>
        <w:t> </w:t>
      </w:r>
      <w:r>
        <w:rPr>
          <w:color w:val="231F20"/>
        </w:rPr>
        <w:t>capital</w:t>
      </w:r>
      <w:r>
        <w:rPr>
          <w:color w:val="231F20"/>
          <w:spacing w:val="-7"/>
        </w:rPr>
        <w:t> </w:t>
      </w:r>
      <w:r>
        <w:rPr>
          <w:color w:val="231F20"/>
        </w:rPr>
        <w:t>es</w:t>
      </w:r>
      <w:r>
        <w:rPr>
          <w:color w:val="231F20"/>
          <w:spacing w:val="-7"/>
        </w:rPr>
        <w:t> </w:t>
      </w:r>
      <w:r>
        <w:rPr>
          <w:color w:val="231F20"/>
        </w:rPr>
        <w:t>de</w:t>
      </w:r>
      <w:r>
        <w:rPr>
          <w:color w:val="231F20"/>
          <w:spacing w:val="-7"/>
        </w:rPr>
        <w:t> 14 </w:t>
      </w:r>
      <w:r>
        <w:rPr>
          <w:color w:val="231F20"/>
        </w:rPr>
        <w:t>millones</w:t>
      </w:r>
      <w:r>
        <w:rPr>
          <w:color w:val="231F20"/>
          <w:spacing w:val="-7"/>
        </w:rPr>
        <w:t> </w:t>
      </w:r>
      <w:r>
        <w:rPr>
          <w:color w:val="231F20"/>
        </w:rPr>
        <w:t>982</w:t>
      </w:r>
      <w:r>
        <w:rPr>
          <w:color w:val="231F20"/>
          <w:spacing w:val="-7"/>
        </w:rPr>
        <w:t> </w:t>
      </w:r>
      <w:r>
        <w:rPr>
          <w:color w:val="231F20"/>
          <w:spacing w:val="2"/>
        </w:rPr>
        <w:t>mil</w:t>
      </w:r>
      <w:r>
        <w:rPr>
          <w:color w:val="231F20"/>
          <w:spacing w:val="-7"/>
        </w:rPr>
        <w:t> </w:t>
      </w:r>
      <w:r>
        <w:rPr>
          <w:color w:val="231F20"/>
        </w:rPr>
        <w:t>068</w:t>
      </w:r>
      <w:r>
        <w:rPr>
          <w:color w:val="231F20"/>
          <w:spacing w:val="-7"/>
        </w:rPr>
        <w:t> </w:t>
      </w:r>
      <w:r>
        <w:rPr>
          <w:color w:val="231F20"/>
        </w:rPr>
        <w:t>pesos</w:t>
      </w:r>
      <w:r>
        <w:rPr>
          <w:color w:val="231F20"/>
          <w:spacing w:val="-7"/>
        </w:rPr>
        <w:t> </w:t>
      </w:r>
      <w:r>
        <w:rPr>
          <w:color w:val="231F20"/>
          <w:spacing w:val="2"/>
        </w:rPr>
        <w:t>al</w:t>
      </w:r>
      <w:r>
        <w:rPr>
          <w:color w:val="231F20"/>
          <w:spacing w:val="-7"/>
        </w:rPr>
        <w:t> </w:t>
      </w:r>
      <w:r>
        <w:rPr>
          <w:color w:val="231F20"/>
          <w:spacing w:val="-5"/>
        </w:rPr>
        <w:t>31</w:t>
      </w:r>
      <w:r>
        <w:rPr>
          <w:color w:val="231F20"/>
          <w:spacing w:val="-7"/>
        </w:rPr>
        <w:t> </w:t>
      </w:r>
      <w:r>
        <w:rPr>
          <w:color w:val="231F20"/>
        </w:rPr>
        <w:t>de</w:t>
      </w:r>
      <w:r>
        <w:rPr>
          <w:color w:val="231F20"/>
          <w:spacing w:val="-7"/>
        </w:rPr>
        <w:t> </w:t>
      </w:r>
      <w:r>
        <w:rPr>
          <w:color w:val="231F20"/>
        </w:rPr>
        <w:t>mayo</w:t>
      </w:r>
      <w:r>
        <w:rPr>
          <w:color w:val="231F20"/>
          <w:spacing w:val="-7"/>
        </w:rPr>
        <w:t> </w:t>
      </w:r>
      <w:r>
        <w:rPr>
          <w:color w:val="231F20"/>
        </w:rPr>
        <w:t>de</w:t>
      </w:r>
      <w:r>
        <w:rPr>
          <w:color w:val="231F20"/>
          <w:spacing w:val="-7"/>
        </w:rPr>
        <w:t> </w:t>
      </w:r>
      <w:r>
        <w:rPr>
          <w:color w:val="231F20"/>
        </w:rPr>
        <w:t>2007.</w:t>
      </w:r>
      <w:r>
        <w:rPr>
          <w:color w:val="231F20"/>
          <w:spacing w:val="-7"/>
        </w:rPr>
        <w:t> </w:t>
      </w:r>
      <w:r>
        <w:rPr>
          <w:color w:val="231F20"/>
        </w:rPr>
        <w:t>Siete</w:t>
      </w:r>
      <w:r>
        <w:rPr>
          <w:color w:val="231F20"/>
          <w:spacing w:val="-7"/>
        </w:rPr>
        <w:t> </w:t>
      </w:r>
      <w:r>
        <w:rPr>
          <w:color w:val="231F20"/>
          <w:spacing w:val="2"/>
        </w:rPr>
        <w:t>millo- </w:t>
      </w:r>
      <w:r>
        <w:rPr>
          <w:color w:val="231F20"/>
        </w:rPr>
        <w:t>nes 577 </w:t>
      </w:r>
      <w:r>
        <w:rPr>
          <w:color w:val="231F20"/>
          <w:spacing w:val="2"/>
        </w:rPr>
        <w:t>mil </w:t>
      </w:r>
      <w:r>
        <w:rPr>
          <w:color w:val="231F20"/>
        </w:rPr>
        <w:t>299 pesos de estos recursos fueron aportaciones municipales. En el primer año se entregaron 13 millones 69 </w:t>
      </w:r>
      <w:r>
        <w:rPr>
          <w:color w:val="231F20"/>
          <w:spacing w:val="2"/>
        </w:rPr>
        <w:t>mil </w:t>
      </w:r>
      <w:r>
        <w:rPr>
          <w:color w:val="231F20"/>
          <w:spacing w:val="3"/>
        </w:rPr>
        <w:t>900 </w:t>
      </w:r>
      <w:r>
        <w:rPr>
          <w:color w:val="231F20"/>
        </w:rPr>
        <w:t>pesos en 1,226 microcréditos a 209 grupos solidarios y 335 microempresas </w:t>
      </w:r>
      <w:r>
        <w:rPr>
          <w:color w:val="231F20"/>
          <w:spacing w:val="30"/>
        </w:rPr>
        <w:t> </w:t>
      </w:r>
      <w:r>
        <w:rPr>
          <w:color w:val="231F20"/>
        </w:rPr>
        <w:t>establecidas.</w:t>
      </w:r>
    </w:p>
    <w:p>
      <w:pPr>
        <w:pStyle w:val="BodyText"/>
        <w:spacing w:before="2"/>
        <w:rPr>
          <w:sz w:val="20"/>
        </w:rPr>
      </w:pPr>
    </w:p>
    <w:p>
      <w:pPr>
        <w:pStyle w:val="Heading4"/>
        <w:rPr>
          <w:i/>
        </w:rPr>
      </w:pPr>
      <w:r>
        <w:rPr>
          <w:i/>
          <w:color w:val="231F20"/>
          <w:w w:val="105"/>
        </w:rPr>
        <w:t>Fortalecimiento Institucional y Transparencia</w:t>
      </w:r>
    </w:p>
    <w:p>
      <w:pPr>
        <w:pStyle w:val="BodyText"/>
        <w:spacing w:line="285" w:lineRule="auto" w:before="17"/>
        <w:ind w:left="110" w:right="108"/>
        <w:jc w:val="both"/>
      </w:pPr>
      <w:r>
        <w:rPr>
          <w:color w:val="231F20"/>
          <w:w w:val="105"/>
        </w:rPr>
        <w:t>El </w:t>
      </w:r>
      <w:r>
        <w:rPr>
          <w:color w:val="231F20"/>
          <w:spacing w:val="-2"/>
          <w:w w:val="105"/>
        </w:rPr>
        <w:t>primer </w:t>
      </w:r>
      <w:r>
        <w:rPr>
          <w:color w:val="231F20"/>
          <w:w w:val="105"/>
        </w:rPr>
        <w:t>informe resaltó </w:t>
      </w:r>
      <w:r>
        <w:rPr>
          <w:color w:val="231F20"/>
          <w:spacing w:val="-3"/>
          <w:w w:val="105"/>
        </w:rPr>
        <w:t>principalmente </w:t>
      </w:r>
      <w:r>
        <w:rPr>
          <w:color w:val="231F20"/>
          <w:w w:val="105"/>
        </w:rPr>
        <w:t>la apertura y cercanía de la </w:t>
      </w:r>
      <w:r>
        <w:rPr>
          <w:color w:val="231F20"/>
          <w:spacing w:val="-4"/>
          <w:w w:val="105"/>
        </w:rPr>
        <w:t>presidencia </w:t>
      </w:r>
      <w:r>
        <w:rPr>
          <w:color w:val="231F20"/>
          <w:w w:val="105"/>
        </w:rPr>
        <w:t>muni- cipal</w:t>
      </w:r>
      <w:r>
        <w:rPr>
          <w:color w:val="231F20"/>
          <w:spacing w:val="-12"/>
          <w:w w:val="105"/>
        </w:rPr>
        <w:t> </w:t>
      </w:r>
      <w:r>
        <w:rPr>
          <w:color w:val="231F20"/>
          <w:w w:val="105"/>
        </w:rPr>
        <w:t>para</w:t>
      </w:r>
      <w:r>
        <w:rPr>
          <w:color w:val="231F20"/>
          <w:spacing w:val="-12"/>
          <w:w w:val="105"/>
        </w:rPr>
        <w:t> </w:t>
      </w:r>
      <w:r>
        <w:rPr>
          <w:color w:val="231F20"/>
          <w:spacing w:val="-3"/>
          <w:w w:val="105"/>
        </w:rPr>
        <w:t>con</w:t>
      </w:r>
      <w:r>
        <w:rPr>
          <w:color w:val="231F20"/>
          <w:spacing w:val="-12"/>
          <w:w w:val="105"/>
        </w:rPr>
        <w:t> </w:t>
      </w:r>
      <w:r>
        <w:rPr>
          <w:color w:val="231F20"/>
          <w:spacing w:val="-3"/>
          <w:w w:val="105"/>
        </w:rPr>
        <w:t>los</w:t>
      </w:r>
      <w:r>
        <w:rPr>
          <w:color w:val="231F20"/>
          <w:spacing w:val="-12"/>
          <w:w w:val="105"/>
        </w:rPr>
        <w:t> </w:t>
      </w:r>
      <w:r>
        <w:rPr>
          <w:color w:val="231F20"/>
          <w:spacing w:val="-3"/>
          <w:w w:val="105"/>
        </w:rPr>
        <w:t>habitantes</w:t>
      </w:r>
      <w:r>
        <w:rPr>
          <w:color w:val="231F20"/>
          <w:spacing w:val="-12"/>
          <w:w w:val="105"/>
        </w:rPr>
        <w:t> </w:t>
      </w:r>
      <w:r>
        <w:rPr>
          <w:color w:val="231F20"/>
          <w:w w:val="105"/>
        </w:rPr>
        <w:t>de</w:t>
      </w:r>
      <w:r>
        <w:rPr>
          <w:color w:val="231F20"/>
          <w:spacing w:val="-12"/>
          <w:w w:val="105"/>
        </w:rPr>
        <w:t> </w:t>
      </w:r>
      <w:r>
        <w:rPr>
          <w:color w:val="231F20"/>
          <w:spacing w:val="-3"/>
          <w:w w:val="105"/>
        </w:rPr>
        <w:t>Naucalpan.</w:t>
      </w:r>
      <w:r>
        <w:rPr>
          <w:color w:val="231F20"/>
          <w:spacing w:val="-12"/>
          <w:w w:val="105"/>
        </w:rPr>
        <w:t> </w:t>
      </w:r>
      <w:r>
        <w:rPr>
          <w:color w:val="231F20"/>
          <w:w w:val="105"/>
        </w:rPr>
        <w:t>Se</w:t>
      </w:r>
      <w:r>
        <w:rPr>
          <w:color w:val="231F20"/>
          <w:spacing w:val="-12"/>
          <w:w w:val="105"/>
        </w:rPr>
        <w:t> </w:t>
      </w:r>
      <w:r>
        <w:rPr>
          <w:color w:val="231F20"/>
          <w:w w:val="105"/>
        </w:rPr>
        <w:t>citaron</w:t>
      </w:r>
      <w:r>
        <w:rPr>
          <w:color w:val="231F20"/>
          <w:spacing w:val="-12"/>
          <w:w w:val="105"/>
        </w:rPr>
        <w:t> </w:t>
      </w:r>
      <w:r>
        <w:rPr>
          <w:color w:val="231F20"/>
          <w:w w:val="105"/>
        </w:rPr>
        <w:t>las</w:t>
      </w:r>
      <w:r>
        <w:rPr>
          <w:color w:val="231F20"/>
          <w:spacing w:val="-12"/>
          <w:w w:val="105"/>
        </w:rPr>
        <w:t> </w:t>
      </w:r>
      <w:r>
        <w:rPr>
          <w:color w:val="231F20"/>
          <w:w w:val="105"/>
        </w:rPr>
        <w:t>giras</w:t>
      </w:r>
      <w:r>
        <w:rPr>
          <w:color w:val="231F20"/>
          <w:spacing w:val="-12"/>
          <w:w w:val="105"/>
        </w:rPr>
        <w:t> </w:t>
      </w:r>
      <w:r>
        <w:rPr>
          <w:color w:val="231F20"/>
          <w:w w:val="105"/>
        </w:rPr>
        <w:t>y</w:t>
      </w:r>
      <w:r>
        <w:rPr>
          <w:color w:val="231F20"/>
          <w:spacing w:val="-12"/>
          <w:w w:val="105"/>
        </w:rPr>
        <w:t> </w:t>
      </w:r>
      <w:r>
        <w:rPr>
          <w:color w:val="231F20"/>
          <w:spacing w:val="-4"/>
          <w:w w:val="105"/>
        </w:rPr>
        <w:t>eventos</w:t>
      </w:r>
      <w:r>
        <w:rPr>
          <w:color w:val="231F20"/>
          <w:spacing w:val="-12"/>
          <w:w w:val="105"/>
        </w:rPr>
        <w:t> </w:t>
      </w:r>
      <w:r>
        <w:rPr>
          <w:color w:val="231F20"/>
          <w:spacing w:val="-3"/>
          <w:w w:val="105"/>
        </w:rPr>
        <w:t>del</w:t>
      </w:r>
      <w:r>
        <w:rPr>
          <w:color w:val="231F20"/>
          <w:spacing w:val="-12"/>
          <w:w w:val="105"/>
        </w:rPr>
        <w:t> </w:t>
      </w:r>
      <w:r>
        <w:rPr>
          <w:color w:val="231F20"/>
          <w:w w:val="105"/>
        </w:rPr>
        <w:t>titular</w:t>
      </w:r>
      <w:r>
        <w:rPr>
          <w:color w:val="231F20"/>
          <w:spacing w:val="-12"/>
          <w:w w:val="105"/>
        </w:rPr>
        <w:t> </w:t>
      </w:r>
      <w:r>
        <w:rPr>
          <w:color w:val="231F20"/>
          <w:spacing w:val="-3"/>
          <w:w w:val="105"/>
        </w:rPr>
        <w:t>prin- </w:t>
      </w:r>
      <w:r>
        <w:rPr>
          <w:color w:val="231F20"/>
          <w:w w:val="105"/>
        </w:rPr>
        <w:t>cipal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las</w:t>
      </w:r>
      <w:r>
        <w:rPr>
          <w:color w:val="231F20"/>
          <w:spacing w:val="-16"/>
          <w:w w:val="105"/>
        </w:rPr>
        <w:t> </w:t>
      </w:r>
      <w:r>
        <w:rPr>
          <w:color w:val="231F20"/>
          <w:spacing w:val="-3"/>
          <w:w w:val="105"/>
        </w:rPr>
        <w:t>audiencias</w:t>
      </w:r>
      <w:r>
        <w:rPr>
          <w:color w:val="231F20"/>
          <w:spacing w:val="-16"/>
          <w:w w:val="105"/>
        </w:rPr>
        <w:t> </w:t>
      </w:r>
      <w:r>
        <w:rPr>
          <w:color w:val="231F20"/>
          <w:spacing w:val="-4"/>
          <w:w w:val="105"/>
        </w:rPr>
        <w:t>“permanentes”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ayuntamiento,</w:t>
      </w:r>
      <w:r>
        <w:rPr>
          <w:color w:val="231F20"/>
          <w:spacing w:val="-16"/>
          <w:w w:val="105"/>
        </w:rPr>
        <w:t> </w:t>
      </w:r>
      <w:r>
        <w:rPr>
          <w:color w:val="231F20"/>
          <w:w w:val="105"/>
        </w:rPr>
        <w:t>así</w:t>
      </w:r>
      <w:r>
        <w:rPr>
          <w:color w:val="231F20"/>
          <w:spacing w:val="-16"/>
          <w:w w:val="105"/>
        </w:rPr>
        <w:t> </w:t>
      </w:r>
      <w:r>
        <w:rPr>
          <w:color w:val="231F20"/>
          <w:spacing w:val="-4"/>
          <w:w w:val="105"/>
        </w:rPr>
        <w:t>como</w:t>
      </w:r>
      <w:r>
        <w:rPr>
          <w:color w:val="231F20"/>
          <w:spacing w:val="-16"/>
          <w:w w:val="105"/>
        </w:rPr>
        <w:t> </w:t>
      </w:r>
      <w:r>
        <w:rPr>
          <w:color w:val="231F20"/>
          <w:w w:val="105"/>
        </w:rPr>
        <w:t>la oficina</w:t>
      </w:r>
      <w:r>
        <w:rPr>
          <w:color w:val="231F20"/>
          <w:spacing w:val="-18"/>
          <w:w w:val="105"/>
        </w:rPr>
        <w:t> </w:t>
      </w:r>
      <w:r>
        <w:rPr>
          <w:color w:val="231F20"/>
          <w:w w:val="105"/>
        </w:rPr>
        <w:t>de</w:t>
      </w:r>
      <w:r>
        <w:rPr>
          <w:color w:val="231F20"/>
          <w:spacing w:val="-18"/>
          <w:w w:val="105"/>
        </w:rPr>
        <w:t> </w:t>
      </w:r>
      <w:r>
        <w:rPr>
          <w:color w:val="231F20"/>
          <w:w w:val="105"/>
        </w:rPr>
        <w:t>transparencia</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sistema</w:t>
      </w:r>
      <w:r>
        <w:rPr>
          <w:color w:val="231F20"/>
          <w:spacing w:val="-18"/>
          <w:w w:val="105"/>
        </w:rPr>
        <w:t> </w:t>
      </w:r>
      <w:r>
        <w:rPr>
          <w:color w:val="231F20"/>
          <w:spacing w:val="-3"/>
          <w:w w:val="105"/>
        </w:rPr>
        <w:t>Quejatel.</w:t>
      </w:r>
      <w:r>
        <w:rPr>
          <w:color w:val="231F20"/>
          <w:spacing w:val="-18"/>
          <w:w w:val="105"/>
        </w:rPr>
        <w:t> </w:t>
      </w:r>
      <w:r>
        <w:rPr>
          <w:color w:val="231F20"/>
          <w:w w:val="105"/>
        </w:rPr>
        <w:t>En</w:t>
      </w:r>
      <w:r>
        <w:rPr>
          <w:color w:val="231F20"/>
          <w:spacing w:val="-18"/>
          <w:w w:val="105"/>
        </w:rPr>
        <w:t> </w:t>
      </w:r>
      <w:r>
        <w:rPr>
          <w:color w:val="231F20"/>
          <w:w w:val="105"/>
        </w:rPr>
        <w:t>éste</w:t>
      </w:r>
      <w:r>
        <w:rPr>
          <w:color w:val="231F20"/>
          <w:spacing w:val="-18"/>
          <w:w w:val="105"/>
        </w:rPr>
        <w:t> </w:t>
      </w:r>
      <w:r>
        <w:rPr>
          <w:color w:val="231F20"/>
          <w:w w:val="105"/>
        </w:rPr>
        <w:t>último</w:t>
      </w:r>
      <w:r>
        <w:rPr>
          <w:color w:val="231F20"/>
          <w:spacing w:val="-18"/>
          <w:w w:val="105"/>
        </w:rPr>
        <w:t> </w:t>
      </w:r>
      <w:r>
        <w:rPr>
          <w:color w:val="231F20"/>
          <w:w w:val="105"/>
        </w:rPr>
        <w:t>se</w:t>
      </w:r>
      <w:r>
        <w:rPr>
          <w:color w:val="231F20"/>
          <w:spacing w:val="-18"/>
          <w:w w:val="105"/>
        </w:rPr>
        <w:t> </w:t>
      </w:r>
      <w:r>
        <w:rPr>
          <w:color w:val="231F20"/>
          <w:w w:val="105"/>
        </w:rPr>
        <w:t>señaló</w:t>
      </w:r>
      <w:r>
        <w:rPr>
          <w:color w:val="231F20"/>
          <w:spacing w:val="-18"/>
          <w:w w:val="105"/>
        </w:rPr>
        <w:t> </w:t>
      </w:r>
      <w:r>
        <w:rPr>
          <w:color w:val="231F20"/>
          <w:spacing w:val="-3"/>
          <w:w w:val="105"/>
        </w:rPr>
        <w:t>que</w:t>
      </w:r>
      <w:r>
        <w:rPr>
          <w:color w:val="231F20"/>
          <w:spacing w:val="-18"/>
          <w:w w:val="105"/>
        </w:rPr>
        <w:t> </w:t>
      </w:r>
      <w:r>
        <w:rPr>
          <w:color w:val="231F20"/>
          <w:w w:val="105"/>
        </w:rPr>
        <w:t>más</w:t>
      </w:r>
      <w:r>
        <w:rPr>
          <w:color w:val="231F20"/>
          <w:spacing w:val="-18"/>
          <w:w w:val="105"/>
        </w:rPr>
        <w:t> </w:t>
      </w:r>
      <w:r>
        <w:rPr>
          <w:color w:val="231F20"/>
          <w:spacing w:val="-3"/>
          <w:w w:val="105"/>
        </w:rPr>
        <w:t>del</w:t>
      </w:r>
      <w:r>
        <w:rPr>
          <w:color w:val="231F20"/>
          <w:spacing w:val="-18"/>
          <w:w w:val="105"/>
        </w:rPr>
        <w:t> </w:t>
      </w:r>
      <w:r>
        <w:rPr>
          <w:color w:val="231F20"/>
          <w:spacing w:val="-4"/>
          <w:w w:val="105"/>
        </w:rPr>
        <w:t>70</w:t>
      </w:r>
      <w:r>
        <w:rPr>
          <w:color w:val="231F20"/>
          <w:spacing w:val="-18"/>
          <w:w w:val="105"/>
        </w:rPr>
        <w:t> </w:t>
      </w:r>
      <w:r>
        <w:rPr>
          <w:color w:val="231F20"/>
          <w:w w:val="105"/>
        </w:rPr>
        <w:t>% de</w:t>
      </w:r>
      <w:r>
        <w:rPr>
          <w:color w:val="231F20"/>
          <w:spacing w:val="-19"/>
          <w:w w:val="105"/>
        </w:rPr>
        <w:t> </w:t>
      </w:r>
      <w:r>
        <w:rPr>
          <w:color w:val="231F20"/>
          <w:w w:val="105"/>
        </w:rPr>
        <w:t>las</w:t>
      </w:r>
      <w:r>
        <w:rPr>
          <w:color w:val="231F20"/>
          <w:spacing w:val="-19"/>
          <w:w w:val="105"/>
        </w:rPr>
        <w:t> </w:t>
      </w:r>
      <w:r>
        <w:rPr>
          <w:color w:val="231F20"/>
          <w:spacing w:val="-3"/>
          <w:w w:val="105"/>
        </w:rPr>
        <w:t>solicitudes</w:t>
      </w:r>
      <w:r>
        <w:rPr>
          <w:color w:val="231F20"/>
          <w:spacing w:val="-19"/>
          <w:w w:val="105"/>
        </w:rPr>
        <w:t> </w:t>
      </w:r>
      <w:r>
        <w:rPr>
          <w:color w:val="231F20"/>
          <w:spacing w:val="-3"/>
          <w:w w:val="105"/>
        </w:rPr>
        <w:t>recibidas</w:t>
      </w:r>
      <w:r>
        <w:rPr>
          <w:color w:val="231F20"/>
          <w:spacing w:val="-19"/>
          <w:w w:val="105"/>
        </w:rPr>
        <w:t> </w:t>
      </w:r>
      <w:r>
        <w:rPr>
          <w:color w:val="231F20"/>
          <w:w w:val="105"/>
        </w:rPr>
        <w:t>(mil</w:t>
      </w:r>
      <w:r>
        <w:rPr>
          <w:color w:val="231F20"/>
          <w:spacing w:val="-19"/>
          <w:w w:val="105"/>
        </w:rPr>
        <w:t> </w:t>
      </w:r>
      <w:r>
        <w:rPr>
          <w:color w:val="231F20"/>
          <w:spacing w:val="-7"/>
          <w:w w:val="105"/>
        </w:rPr>
        <w:t>381)</w:t>
      </w:r>
      <w:r>
        <w:rPr>
          <w:color w:val="231F20"/>
          <w:spacing w:val="-19"/>
          <w:w w:val="105"/>
        </w:rPr>
        <w:t> </w:t>
      </w:r>
      <w:r>
        <w:rPr>
          <w:color w:val="231F20"/>
          <w:w w:val="105"/>
        </w:rPr>
        <w:t>ya</w:t>
      </w:r>
      <w:r>
        <w:rPr>
          <w:color w:val="231F20"/>
          <w:spacing w:val="-19"/>
          <w:w w:val="105"/>
        </w:rPr>
        <w:t> </w:t>
      </w:r>
      <w:r>
        <w:rPr>
          <w:color w:val="231F20"/>
          <w:w w:val="105"/>
        </w:rPr>
        <w:t>habían</w:t>
      </w:r>
      <w:r>
        <w:rPr>
          <w:color w:val="231F20"/>
          <w:spacing w:val="-19"/>
          <w:w w:val="105"/>
        </w:rPr>
        <w:t> </w:t>
      </w:r>
      <w:r>
        <w:rPr>
          <w:color w:val="231F20"/>
          <w:spacing w:val="-4"/>
          <w:w w:val="105"/>
        </w:rPr>
        <w:t>sido</w:t>
      </w:r>
      <w:r>
        <w:rPr>
          <w:color w:val="231F20"/>
          <w:spacing w:val="-19"/>
          <w:w w:val="105"/>
        </w:rPr>
        <w:t> </w:t>
      </w:r>
      <w:r>
        <w:rPr>
          <w:color w:val="231F20"/>
          <w:spacing w:val="-3"/>
          <w:w w:val="105"/>
        </w:rPr>
        <w:t>atendidas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2"/>
          <w:w w:val="105"/>
        </w:rPr>
        <w:t>primer</w:t>
      </w:r>
      <w:r>
        <w:rPr>
          <w:color w:val="231F20"/>
          <w:spacing w:val="-19"/>
          <w:w w:val="105"/>
        </w:rPr>
        <w:t> </w:t>
      </w:r>
      <w:r>
        <w:rPr>
          <w:color w:val="231F20"/>
          <w:spacing w:val="-3"/>
          <w:w w:val="105"/>
        </w:rPr>
        <w:t>año.</w:t>
      </w:r>
    </w:p>
    <w:p>
      <w:pPr>
        <w:pStyle w:val="BodyText"/>
        <w:spacing w:before="1"/>
        <w:rPr>
          <w:sz w:val="26"/>
        </w:rPr>
      </w:pPr>
    </w:p>
    <w:p>
      <w:pPr>
        <w:pStyle w:val="BodyText"/>
        <w:spacing w:line="285" w:lineRule="auto" w:before="1"/>
        <w:ind w:left="110" w:right="108"/>
        <w:jc w:val="both"/>
      </w:pPr>
      <w:r>
        <w:rPr>
          <w:color w:val="231F20"/>
        </w:rPr>
        <w:t>Hubo otra instancia que también recibió solicitudes: la Coordinación de Atención </w:t>
      </w:r>
      <w:r>
        <w:rPr>
          <w:color w:val="231F20"/>
          <w:spacing w:val="-4"/>
        </w:rPr>
        <w:t>Ciu- </w:t>
      </w:r>
      <w:r>
        <w:rPr>
          <w:color w:val="231F20"/>
        </w:rPr>
        <w:t>dadana de Presidencia. Durante el año, conoció </w:t>
      </w:r>
      <w:r>
        <w:rPr>
          <w:color w:val="231F20"/>
          <w:spacing w:val="2"/>
        </w:rPr>
        <w:t>mil </w:t>
      </w:r>
      <w:r>
        <w:rPr>
          <w:color w:val="231F20"/>
          <w:spacing w:val="-4"/>
        </w:rPr>
        <w:t>112 </w:t>
      </w:r>
      <w:r>
        <w:rPr>
          <w:color w:val="231F20"/>
        </w:rPr>
        <w:t>solicitudes, de las cuales el 80% se resolvieron. </w:t>
      </w:r>
      <w:r>
        <w:rPr>
          <w:color w:val="231F20"/>
          <w:spacing w:val="-3"/>
        </w:rPr>
        <w:t>Por </w:t>
      </w:r>
      <w:r>
        <w:rPr>
          <w:color w:val="231F20"/>
        </w:rPr>
        <w:t>su lado, la Unidad Municipal de Información atendió 3 </w:t>
      </w:r>
      <w:r>
        <w:rPr>
          <w:color w:val="231F20"/>
          <w:spacing w:val="2"/>
        </w:rPr>
        <w:t>mil </w:t>
      </w:r>
      <w:r>
        <w:rPr>
          <w:color w:val="231F20"/>
          <w:spacing w:val="-6"/>
        </w:rPr>
        <w:t>118 </w:t>
      </w:r>
      <w:r>
        <w:rPr>
          <w:color w:val="231F20"/>
        </w:rPr>
        <w:t>con- sultas ciudadanas por </w:t>
      </w:r>
      <w:r>
        <w:rPr>
          <w:color w:val="231F20"/>
          <w:spacing w:val="-3"/>
        </w:rPr>
        <w:t>teléfono, </w:t>
      </w:r>
      <w:r>
        <w:rPr>
          <w:color w:val="231F20"/>
        </w:rPr>
        <w:t>a 3 </w:t>
      </w:r>
      <w:r>
        <w:rPr>
          <w:color w:val="231F20"/>
          <w:spacing w:val="2"/>
        </w:rPr>
        <w:t>mil </w:t>
      </w:r>
      <w:r>
        <w:rPr>
          <w:color w:val="231F20"/>
        </w:rPr>
        <w:t>243 ciudadanos en el módulo de información y </w:t>
      </w:r>
      <w:r>
        <w:rPr>
          <w:color w:val="231F20"/>
          <w:spacing w:val="-3"/>
        </w:rPr>
        <w:t>proporcionó  </w:t>
      </w:r>
      <w:r>
        <w:rPr>
          <w:color w:val="231F20"/>
        </w:rPr>
        <w:t>977 documentos en préstamo (Gacetas Municipales, Reglamentos, Gace-   tas del Gobierno, Bandos Municipales, Diarios Oficiales, entre </w:t>
      </w:r>
      <w:r>
        <w:rPr>
          <w:color w:val="231F20"/>
          <w:spacing w:val="-3"/>
        </w:rPr>
        <w:t>otros). </w:t>
      </w:r>
      <w:r>
        <w:rPr>
          <w:color w:val="231F20"/>
        </w:rPr>
        <w:t>El informe hacía    la distinción entre información y transparencia pues sobre esta última mencionaba que   en el primer año atendió 106 peticiones y solicitudes de acceso a la información pública de la ciudadanía, con base en reglas formuladas en el llamado “Catálogo de Clasificación de la </w:t>
      </w:r>
      <w:r>
        <w:rPr>
          <w:color w:val="231F20"/>
          <w:spacing w:val="-3"/>
        </w:rPr>
        <w:t>Información”,  </w:t>
      </w:r>
      <w:r>
        <w:rPr>
          <w:color w:val="231F20"/>
        </w:rPr>
        <w:t>el cual fue </w:t>
      </w:r>
      <w:r>
        <w:rPr>
          <w:color w:val="231F20"/>
          <w:spacing w:val="-3"/>
        </w:rPr>
        <w:t>aprobado  </w:t>
      </w:r>
      <w:r>
        <w:rPr>
          <w:color w:val="231F20"/>
        </w:rPr>
        <w:t>por el Comité de Información integrado el 24   de</w:t>
      </w:r>
      <w:r>
        <w:rPr>
          <w:color w:val="231F20"/>
          <w:spacing w:val="18"/>
        </w:rPr>
        <w:t> </w:t>
      </w:r>
      <w:r>
        <w:rPr>
          <w:color w:val="231F20"/>
        </w:rPr>
        <w:t>noviembre</w:t>
      </w:r>
      <w:r>
        <w:rPr>
          <w:color w:val="231F20"/>
          <w:spacing w:val="18"/>
        </w:rPr>
        <w:t> </w:t>
      </w:r>
      <w:r>
        <w:rPr>
          <w:color w:val="231F20"/>
        </w:rPr>
        <w:t>del</w:t>
      </w:r>
      <w:r>
        <w:rPr>
          <w:color w:val="231F20"/>
          <w:spacing w:val="18"/>
        </w:rPr>
        <w:t> </w:t>
      </w:r>
      <w:r>
        <w:rPr>
          <w:color w:val="231F20"/>
          <w:spacing w:val="3"/>
        </w:rPr>
        <w:t>2006.</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año,</w:t>
      </w:r>
      <w:r>
        <w:rPr>
          <w:color w:val="231F20"/>
          <w:spacing w:val="18"/>
        </w:rPr>
        <w:t> </w:t>
      </w:r>
      <w:r>
        <w:rPr>
          <w:color w:val="231F20"/>
        </w:rPr>
        <w:t>hubo</w:t>
      </w:r>
      <w:r>
        <w:rPr>
          <w:color w:val="231F20"/>
          <w:spacing w:val="18"/>
        </w:rPr>
        <w:t> </w:t>
      </w:r>
      <w:r>
        <w:rPr>
          <w:color w:val="231F20"/>
        </w:rPr>
        <w:t>nueve</w:t>
      </w:r>
      <w:r>
        <w:rPr>
          <w:color w:val="231F20"/>
          <w:spacing w:val="18"/>
        </w:rPr>
        <w:t> </w:t>
      </w:r>
      <w:r>
        <w:rPr>
          <w:color w:val="231F20"/>
        </w:rPr>
        <w:t>recursos</w:t>
      </w:r>
      <w:r>
        <w:rPr>
          <w:color w:val="231F20"/>
          <w:spacing w:val="18"/>
        </w:rPr>
        <w:t> </w:t>
      </w:r>
      <w:r>
        <w:rPr>
          <w:color w:val="231F20"/>
        </w:rPr>
        <w:t>de</w:t>
      </w:r>
      <w:r>
        <w:rPr>
          <w:color w:val="231F20"/>
          <w:spacing w:val="18"/>
        </w:rPr>
        <w:t> </w:t>
      </w:r>
      <w:r>
        <w:rPr>
          <w:color w:val="231F20"/>
        </w:rPr>
        <w:t>revisión</w:t>
      </w:r>
      <w:r>
        <w:rPr>
          <w:color w:val="231F20"/>
          <w:spacing w:val="18"/>
        </w:rPr>
        <w:t> </w:t>
      </w:r>
      <w:r>
        <w:rPr>
          <w:color w:val="231F20"/>
        </w:rPr>
        <w:t>de</w:t>
      </w:r>
      <w:r>
        <w:rPr>
          <w:color w:val="231F20"/>
          <w:spacing w:val="18"/>
        </w:rPr>
        <w:t> </w:t>
      </w:r>
      <w:r>
        <w:rPr>
          <w:color w:val="231F20"/>
        </w:rPr>
        <w:t>demandantes</w:t>
      </w:r>
      <w:r>
        <w:rPr>
          <w:color w:val="231F20"/>
          <w:spacing w:val="18"/>
        </w:rPr>
        <w:t> </w:t>
      </w:r>
      <w:r>
        <w:rPr>
          <w:color w:val="231F20"/>
        </w:rPr>
        <w:t>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transparencia; en ocho casos el municipio ratificó su respuesta y uno se encontraba en proceso</w:t>
      </w:r>
      <w:r>
        <w:rPr>
          <w:color w:val="231F20"/>
          <w:spacing w:val="-18"/>
          <w:w w:val="105"/>
        </w:rPr>
        <w:t> </w:t>
      </w:r>
      <w:r>
        <w:rPr>
          <w:color w:val="231F20"/>
          <w:w w:val="105"/>
        </w:rPr>
        <w:t>en</w:t>
      </w:r>
      <w:r>
        <w:rPr>
          <w:color w:val="231F20"/>
          <w:spacing w:val="-18"/>
          <w:w w:val="105"/>
        </w:rPr>
        <w:t> </w:t>
      </w:r>
      <w:r>
        <w:rPr>
          <w:color w:val="231F20"/>
          <w:spacing w:val="-3"/>
          <w:w w:val="105"/>
        </w:rPr>
        <w:t>2007.</w:t>
      </w:r>
      <w:r>
        <w:rPr>
          <w:color w:val="231F20"/>
          <w:spacing w:val="-18"/>
          <w:w w:val="105"/>
        </w:rPr>
        <w:t> </w:t>
      </w:r>
      <w:r>
        <w:rPr>
          <w:color w:val="231F20"/>
          <w:w w:val="105"/>
        </w:rPr>
        <w:t>A</w:t>
      </w:r>
      <w:r>
        <w:rPr>
          <w:color w:val="231F20"/>
          <w:spacing w:val="-18"/>
          <w:w w:val="105"/>
        </w:rPr>
        <w:t> </w:t>
      </w:r>
      <w:r>
        <w:rPr>
          <w:color w:val="231F20"/>
          <w:w w:val="105"/>
        </w:rPr>
        <w:t>principios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gestión</w:t>
      </w:r>
      <w:r>
        <w:rPr>
          <w:color w:val="231F20"/>
          <w:spacing w:val="-18"/>
          <w:w w:val="105"/>
        </w:rPr>
        <w:t> </w:t>
      </w:r>
      <w:r>
        <w:rPr>
          <w:color w:val="231F20"/>
          <w:w w:val="105"/>
        </w:rPr>
        <w:t>de</w:t>
      </w:r>
      <w:r>
        <w:rPr>
          <w:color w:val="231F20"/>
          <w:spacing w:val="-18"/>
          <w:w w:val="105"/>
        </w:rPr>
        <w:t> </w:t>
      </w:r>
      <w:r>
        <w:rPr>
          <w:color w:val="231F20"/>
          <w:w w:val="105"/>
        </w:rPr>
        <w:t>Durán</w:t>
      </w:r>
      <w:r>
        <w:rPr>
          <w:color w:val="231F20"/>
          <w:spacing w:val="-18"/>
          <w:w w:val="105"/>
        </w:rPr>
        <w:t> </w:t>
      </w:r>
      <w:r>
        <w:rPr>
          <w:color w:val="231F20"/>
          <w:w w:val="105"/>
        </w:rPr>
        <w:t>se</w:t>
      </w:r>
      <w:r>
        <w:rPr>
          <w:color w:val="231F20"/>
          <w:spacing w:val="-18"/>
          <w:w w:val="105"/>
        </w:rPr>
        <w:t> </w:t>
      </w:r>
      <w:r>
        <w:rPr>
          <w:color w:val="231F20"/>
          <w:w w:val="105"/>
        </w:rPr>
        <w:t>conformó</w:t>
      </w:r>
      <w:r>
        <w:rPr>
          <w:color w:val="231F20"/>
          <w:spacing w:val="-18"/>
          <w:w w:val="105"/>
        </w:rPr>
        <w:t> </w:t>
      </w:r>
      <w:r>
        <w:rPr>
          <w:color w:val="231F20"/>
          <w:w w:val="105"/>
        </w:rPr>
        <w:t>el</w:t>
      </w:r>
      <w:r>
        <w:rPr>
          <w:color w:val="231F20"/>
          <w:spacing w:val="-18"/>
          <w:w w:val="105"/>
        </w:rPr>
        <w:t> </w:t>
      </w:r>
      <w:r>
        <w:rPr>
          <w:color w:val="231F20"/>
          <w:w w:val="105"/>
        </w:rPr>
        <w:t>Consejo</w:t>
      </w:r>
      <w:r>
        <w:rPr>
          <w:color w:val="231F20"/>
          <w:spacing w:val="-18"/>
          <w:w w:val="105"/>
        </w:rPr>
        <w:t> </w:t>
      </w:r>
      <w:r>
        <w:rPr>
          <w:color w:val="231F20"/>
          <w:w w:val="105"/>
        </w:rPr>
        <w:t>Municipal de</w:t>
      </w:r>
      <w:r>
        <w:rPr>
          <w:color w:val="231F20"/>
          <w:spacing w:val="-11"/>
          <w:w w:val="105"/>
        </w:rPr>
        <w:t> </w:t>
      </w:r>
      <w:r>
        <w:rPr>
          <w:color w:val="231F20"/>
          <w:w w:val="105"/>
        </w:rPr>
        <w:t>Transparencia.</w:t>
      </w:r>
    </w:p>
    <w:p>
      <w:pPr>
        <w:pStyle w:val="BodyText"/>
        <w:spacing w:before="1"/>
        <w:rPr>
          <w:sz w:val="26"/>
        </w:rPr>
      </w:pPr>
    </w:p>
    <w:p>
      <w:pPr>
        <w:pStyle w:val="BodyText"/>
        <w:spacing w:line="285" w:lineRule="auto"/>
        <w:ind w:left="110" w:right="107"/>
        <w:jc w:val="both"/>
      </w:pPr>
      <w:r>
        <w:rPr>
          <w:color w:val="231F20"/>
          <w:spacing w:val="-3"/>
          <w:w w:val="105"/>
        </w:rPr>
        <w:t>Un</w:t>
      </w:r>
      <w:r>
        <w:rPr>
          <w:color w:val="231F20"/>
          <w:spacing w:val="-14"/>
          <w:w w:val="105"/>
        </w:rPr>
        <w:t> </w:t>
      </w:r>
      <w:r>
        <w:rPr>
          <w:color w:val="231F20"/>
          <w:w w:val="105"/>
        </w:rPr>
        <w:t>asunto</w:t>
      </w:r>
      <w:r>
        <w:rPr>
          <w:color w:val="231F20"/>
          <w:spacing w:val="-14"/>
          <w:w w:val="105"/>
        </w:rPr>
        <w:t> </w:t>
      </w:r>
      <w:r>
        <w:rPr>
          <w:color w:val="231F20"/>
          <w:w w:val="105"/>
        </w:rPr>
        <w:t>que</w:t>
      </w:r>
      <w:r>
        <w:rPr>
          <w:color w:val="231F20"/>
          <w:spacing w:val="-14"/>
          <w:w w:val="105"/>
        </w:rPr>
        <w:t> </w:t>
      </w:r>
      <w:r>
        <w:rPr>
          <w:color w:val="231F20"/>
          <w:w w:val="105"/>
        </w:rPr>
        <w:t>mereció</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del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w w:val="105"/>
        </w:rPr>
        <w:t>fue</w:t>
      </w:r>
      <w:r>
        <w:rPr>
          <w:color w:val="231F20"/>
          <w:spacing w:val="-14"/>
          <w:w w:val="105"/>
        </w:rPr>
        <w:t> </w:t>
      </w:r>
      <w:r>
        <w:rPr>
          <w:color w:val="231F20"/>
          <w:w w:val="105"/>
        </w:rPr>
        <w:t>el</w:t>
      </w:r>
      <w:r>
        <w:rPr>
          <w:color w:val="231F20"/>
          <w:spacing w:val="-14"/>
          <w:w w:val="105"/>
        </w:rPr>
        <w:t> </w:t>
      </w:r>
      <w:r>
        <w:rPr>
          <w:color w:val="231F20"/>
          <w:w w:val="105"/>
        </w:rPr>
        <w:t>de</w:t>
      </w:r>
      <w:r>
        <w:rPr>
          <w:color w:val="231F20"/>
          <w:spacing w:val="-14"/>
          <w:w w:val="105"/>
        </w:rPr>
        <w:t> </w:t>
      </w:r>
      <w:r>
        <w:rPr>
          <w:color w:val="231F20"/>
          <w:w w:val="105"/>
        </w:rPr>
        <w:t>dar</w:t>
      </w:r>
      <w:r>
        <w:rPr>
          <w:color w:val="231F20"/>
          <w:spacing w:val="-14"/>
          <w:w w:val="105"/>
        </w:rPr>
        <w:t> </w:t>
      </w:r>
      <w:r>
        <w:rPr>
          <w:color w:val="231F20"/>
          <w:w w:val="105"/>
        </w:rPr>
        <w:t>cumplimiento </w:t>
      </w:r>
      <w:r>
        <w:rPr>
          <w:color w:val="231F20"/>
          <w:spacing w:val="2"/>
          <w:w w:val="105"/>
        </w:rPr>
        <w:t>al</w:t>
      </w:r>
      <w:r>
        <w:rPr>
          <w:color w:val="231F20"/>
          <w:spacing w:val="-25"/>
          <w:w w:val="105"/>
        </w:rPr>
        <w:t> </w:t>
      </w:r>
      <w:r>
        <w:rPr>
          <w:color w:val="231F20"/>
          <w:w w:val="105"/>
        </w:rPr>
        <w:t>compromiso</w:t>
      </w:r>
      <w:r>
        <w:rPr>
          <w:color w:val="231F20"/>
          <w:spacing w:val="-25"/>
          <w:w w:val="105"/>
        </w:rPr>
        <w:t> </w:t>
      </w:r>
      <w:r>
        <w:rPr>
          <w:color w:val="231F20"/>
          <w:w w:val="105"/>
        </w:rPr>
        <w:t>de</w:t>
      </w:r>
      <w:r>
        <w:rPr>
          <w:color w:val="231F20"/>
          <w:spacing w:val="-25"/>
          <w:w w:val="105"/>
        </w:rPr>
        <w:t> </w:t>
      </w:r>
      <w:r>
        <w:rPr>
          <w:color w:val="231F20"/>
          <w:w w:val="105"/>
        </w:rPr>
        <w:t>revelar</w:t>
      </w:r>
      <w:r>
        <w:rPr>
          <w:color w:val="231F20"/>
          <w:spacing w:val="-25"/>
          <w:w w:val="105"/>
        </w:rPr>
        <w:t> </w:t>
      </w:r>
      <w:r>
        <w:rPr>
          <w:color w:val="231F20"/>
          <w:w w:val="105"/>
        </w:rPr>
        <w:t>la</w:t>
      </w:r>
      <w:r>
        <w:rPr>
          <w:color w:val="231F20"/>
          <w:spacing w:val="-25"/>
          <w:w w:val="105"/>
        </w:rPr>
        <w:t> </w:t>
      </w:r>
      <w:r>
        <w:rPr>
          <w:color w:val="231F20"/>
          <w:w w:val="105"/>
        </w:rPr>
        <w:t>declaración</w:t>
      </w:r>
      <w:r>
        <w:rPr>
          <w:color w:val="231F20"/>
          <w:spacing w:val="-25"/>
          <w:w w:val="105"/>
        </w:rPr>
        <w:t> </w:t>
      </w:r>
      <w:r>
        <w:rPr>
          <w:color w:val="231F20"/>
          <w:w w:val="105"/>
        </w:rPr>
        <w:t>patrimonial</w:t>
      </w:r>
      <w:r>
        <w:rPr>
          <w:color w:val="231F20"/>
          <w:spacing w:val="-25"/>
          <w:w w:val="105"/>
        </w:rPr>
        <w:t> </w:t>
      </w:r>
      <w:r>
        <w:rPr>
          <w:color w:val="231F20"/>
          <w:w w:val="105"/>
        </w:rPr>
        <w:t>de</w:t>
      </w:r>
      <w:r>
        <w:rPr>
          <w:color w:val="231F20"/>
          <w:spacing w:val="-25"/>
          <w:w w:val="105"/>
        </w:rPr>
        <w:t> </w:t>
      </w:r>
      <w:r>
        <w:rPr>
          <w:color w:val="231F20"/>
          <w:w w:val="105"/>
        </w:rPr>
        <w:t>bienes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servidores</w:t>
      </w:r>
      <w:r>
        <w:rPr>
          <w:color w:val="231F20"/>
          <w:spacing w:val="-25"/>
          <w:w w:val="105"/>
        </w:rPr>
        <w:t> </w:t>
      </w:r>
      <w:r>
        <w:rPr>
          <w:color w:val="231F20"/>
          <w:w w:val="105"/>
        </w:rPr>
        <w:t>públicos de su administración. En el informe se apuntó que el 98.3% de los tres </w:t>
      </w:r>
      <w:r>
        <w:rPr>
          <w:color w:val="231F20"/>
          <w:spacing w:val="2"/>
          <w:w w:val="105"/>
        </w:rPr>
        <w:t>mil 003 </w:t>
      </w:r>
      <w:r>
        <w:rPr>
          <w:color w:val="231F20"/>
          <w:w w:val="105"/>
        </w:rPr>
        <w:t>servi- dores sí realizó su declaración, mientras que el resto fueron sancionados de diversas maneras por no</w:t>
      </w:r>
      <w:r>
        <w:rPr>
          <w:color w:val="231F20"/>
          <w:spacing w:val="-23"/>
          <w:w w:val="105"/>
        </w:rPr>
        <w:t> </w:t>
      </w:r>
      <w:r>
        <w:rPr>
          <w:color w:val="231F20"/>
          <w:w w:val="105"/>
        </w:rPr>
        <w:t>hacerlo.</w:t>
      </w:r>
    </w:p>
    <w:p>
      <w:pPr>
        <w:pStyle w:val="BodyText"/>
        <w:spacing w:before="1"/>
        <w:rPr>
          <w:sz w:val="26"/>
        </w:rPr>
      </w:pPr>
    </w:p>
    <w:p>
      <w:pPr>
        <w:pStyle w:val="BodyText"/>
        <w:spacing w:line="285" w:lineRule="auto"/>
        <w:ind w:left="110" w:right="107"/>
        <w:jc w:val="both"/>
      </w:pPr>
      <w:r>
        <w:rPr>
          <w:color w:val="231F20"/>
          <w:w w:val="105"/>
        </w:rPr>
        <w:t>Aunque</w:t>
      </w:r>
      <w:r>
        <w:rPr>
          <w:color w:val="231F20"/>
          <w:spacing w:val="-21"/>
          <w:w w:val="105"/>
        </w:rPr>
        <w:t> </w:t>
      </w:r>
      <w:r>
        <w:rPr>
          <w:color w:val="231F20"/>
          <w:w w:val="105"/>
        </w:rPr>
        <w:t>no</w:t>
      </w:r>
      <w:r>
        <w:rPr>
          <w:color w:val="231F20"/>
          <w:spacing w:val="-21"/>
          <w:w w:val="105"/>
        </w:rPr>
        <w:t> </w:t>
      </w:r>
      <w:r>
        <w:rPr>
          <w:color w:val="231F20"/>
          <w:w w:val="105"/>
        </w:rPr>
        <w:t>se</w:t>
      </w:r>
      <w:r>
        <w:rPr>
          <w:color w:val="231F20"/>
          <w:spacing w:val="-21"/>
          <w:w w:val="105"/>
        </w:rPr>
        <w:t> </w:t>
      </w:r>
      <w:r>
        <w:rPr>
          <w:color w:val="231F20"/>
          <w:w w:val="105"/>
        </w:rPr>
        <w:t>anotó</w:t>
      </w:r>
      <w:r>
        <w:rPr>
          <w:color w:val="231F20"/>
          <w:spacing w:val="-21"/>
          <w:w w:val="105"/>
        </w:rPr>
        <w:t> </w:t>
      </w:r>
      <w:r>
        <w:rPr>
          <w:color w:val="231F20"/>
          <w:w w:val="105"/>
        </w:rPr>
        <w:t>cuál</w:t>
      </w:r>
      <w:r>
        <w:rPr>
          <w:color w:val="231F20"/>
          <w:spacing w:val="-21"/>
          <w:w w:val="105"/>
        </w:rPr>
        <w:t> </w:t>
      </w:r>
      <w:r>
        <w:rPr>
          <w:color w:val="231F20"/>
          <w:w w:val="105"/>
        </w:rPr>
        <w:t>o</w:t>
      </w:r>
      <w:r>
        <w:rPr>
          <w:color w:val="231F20"/>
          <w:spacing w:val="-21"/>
          <w:w w:val="105"/>
        </w:rPr>
        <w:t> </w:t>
      </w:r>
      <w:r>
        <w:rPr>
          <w:color w:val="231F20"/>
          <w:w w:val="105"/>
        </w:rPr>
        <w:t>cuáles</w:t>
      </w:r>
      <w:r>
        <w:rPr>
          <w:color w:val="231F20"/>
          <w:spacing w:val="-21"/>
          <w:w w:val="105"/>
        </w:rPr>
        <w:t> </w:t>
      </w:r>
      <w:r>
        <w:rPr>
          <w:color w:val="231F20"/>
          <w:w w:val="105"/>
        </w:rPr>
        <w:t>instancias</w:t>
      </w:r>
      <w:r>
        <w:rPr>
          <w:color w:val="231F20"/>
          <w:spacing w:val="-21"/>
          <w:w w:val="105"/>
        </w:rPr>
        <w:t> </w:t>
      </w:r>
      <w:r>
        <w:rPr>
          <w:color w:val="231F20"/>
          <w:w w:val="105"/>
        </w:rPr>
        <w:t>las</w:t>
      </w:r>
      <w:r>
        <w:rPr>
          <w:color w:val="231F20"/>
          <w:spacing w:val="-21"/>
          <w:w w:val="105"/>
        </w:rPr>
        <w:t> </w:t>
      </w:r>
      <w:r>
        <w:rPr>
          <w:color w:val="231F20"/>
          <w:w w:val="105"/>
        </w:rPr>
        <w:t>recibieron,</w:t>
      </w:r>
      <w:r>
        <w:rPr>
          <w:color w:val="231F20"/>
          <w:spacing w:val="-21"/>
          <w:w w:val="105"/>
        </w:rPr>
        <w:t> </w:t>
      </w:r>
      <w:r>
        <w:rPr>
          <w:color w:val="231F20"/>
          <w:w w:val="105"/>
        </w:rPr>
        <w:t>se</w:t>
      </w:r>
      <w:r>
        <w:rPr>
          <w:color w:val="231F20"/>
          <w:spacing w:val="-21"/>
          <w:w w:val="105"/>
        </w:rPr>
        <w:t> </w:t>
      </w:r>
      <w:r>
        <w:rPr>
          <w:color w:val="231F20"/>
          <w:w w:val="105"/>
        </w:rPr>
        <w:t>informa</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conocieron </w:t>
      </w:r>
      <w:r>
        <w:rPr>
          <w:color w:val="231F20"/>
          <w:spacing w:val="-6"/>
          <w:w w:val="105"/>
        </w:rPr>
        <w:t>716</w:t>
      </w:r>
      <w:r>
        <w:rPr>
          <w:color w:val="231F20"/>
          <w:spacing w:val="-16"/>
          <w:w w:val="105"/>
        </w:rPr>
        <w:t> </w:t>
      </w:r>
      <w:r>
        <w:rPr>
          <w:color w:val="231F20"/>
          <w:w w:val="105"/>
        </w:rPr>
        <w:t>denuncias</w:t>
      </w:r>
      <w:r>
        <w:rPr>
          <w:color w:val="231F20"/>
          <w:spacing w:val="-16"/>
          <w:w w:val="105"/>
        </w:rPr>
        <w:t> </w:t>
      </w:r>
      <w:r>
        <w:rPr>
          <w:color w:val="231F20"/>
          <w:w w:val="105"/>
        </w:rPr>
        <w:t>de</w:t>
      </w:r>
      <w:r>
        <w:rPr>
          <w:color w:val="231F20"/>
          <w:spacing w:val="-16"/>
          <w:w w:val="105"/>
        </w:rPr>
        <w:t> </w:t>
      </w:r>
      <w:r>
        <w:rPr>
          <w:color w:val="231F20"/>
          <w:w w:val="105"/>
        </w:rPr>
        <w:t>corrupción.</w:t>
      </w:r>
      <w:r>
        <w:rPr>
          <w:color w:val="231F20"/>
          <w:spacing w:val="-16"/>
          <w:w w:val="105"/>
        </w:rPr>
        <w:t> </w:t>
      </w:r>
      <w:r>
        <w:rPr>
          <w:color w:val="231F20"/>
          <w:spacing w:val="-3"/>
          <w:w w:val="105"/>
        </w:rPr>
        <w:t>Por</w:t>
      </w:r>
      <w:r>
        <w:rPr>
          <w:color w:val="231F20"/>
          <w:spacing w:val="-16"/>
          <w:w w:val="105"/>
        </w:rPr>
        <w:t> </w:t>
      </w:r>
      <w:r>
        <w:rPr>
          <w:color w:val="231F20"/>
          <w:w w:val="105"/>
        </w:rPr>
        <w:t>eso,</w:t>
      </w:r>
      <w:r>
        <w:rPr>
          <w:color w:val="231F20"/>
          <w:spacing w:val="-16"/>
          <w:w w:val="105"/>
        </w:rPr>
        <w:t> </w:t>
      </w:r>
      <w:r>
        <w:rPr>
          <w:color w:val="231F20"/>
          <w:w w:val="105"/>
        </w:rPr>
        <w:t>la</w:t>
      </w:r>
      <w:r>
        <w:rPr>
          <w:color w:val="231F20"/>
          <w:spacing w:val="-16"/>
          <w:w w:val="105"/>
        </w:rPr>
        <w:t> </w:t>
      </w:r>
      <w:r>
        <w:rPr>
          <w:color w:val="231F20"/>
          <w:w w:val="105"/>
        </w:rPr>
        <w:t>presidencia</w:t>
      </w:r>
      <w:r>
        <w:rPr>
          <w:color w:val="231F20"/>
          <w:spacing w:val="-16"/>
          <w:w w:val="105"/>
        </w:rPr>
        <w:t> </w:t>
      </w:r>
      <w:r>
        <w:rPr>
          <w:color w:val="231F20"/>
          <w:w w:val="105"/>
        </w:rPr>
        <w:t>municipal</w:t>
      </w:r>
      <w:r>
        <w:rPr>
          <w:color w:val="231F20"/>
          <w:spacing w:val="-16"/>
          <w:w w:val="105"/>
        </w:rPr>
        <w:t> </w:t>
      </w:r>
      <w:r>
        <w:rPr>
          <w:color w:val="231F20"/>
          <w:w w:val="105"/>
        </w:rPr>
        <w:t>supervisó</w:t>
      </w:r>
      <w:r>
        <w:rPr>
          <w:color w:val="231F20"/>
          <w:spacing w:val="-16"/>
          <w:w w:val="105"/>
        </w:rPr>
        <w:t> </w:t>
      </w:r>
      <w:r>
        <w:rPr>
          <w:color w:val="231F20"/>
          <w:w w:val="105"/>
        </w:rPr>
        <w:t>el</w:t>
      </w:r>
      <w:r>
        <w:rPr>
          <w:color w:val="231F20"/>
          <w:spacing w:val="-16"/>
          <w:w w:val="105"/>
        </w:rPr>
        <w:t> </w:t>
      </w:r>
      <w:r>
        <w:rPr>
          <w:color w:val="231F20"/>
          <w:w w:val="105"/>
        </w:rPr>
        <w:t>desempeño de</w:t>
      </w:r>
      <w:r>
        <w:rPr>
          <w:color w:val="231F20"/>
          <w:spacing w:val="-15"/>
          <w:w w:val="105"/>
        </w:rPr>
        <w:t> </w:t>
      </w:r>
      <w:r>
        <w:rPr>
          <w:color w:val="231F20"/>
          <w:w w:val="105"/>
        </w:rPr>
        <w:t>los</w:t>
      </w:r>
      <w:r>
        <w:rPr>
          <w:color w:val="231F20"/>
          <w:spacing w:val="-15"/>
          <w:w w:val="105"/>
        </w:rPr>
        <w:t> </w:t>
      </w:r>
      <w:r>
        <w:rPr>
          <w:color w:val="231F20"/>
          <w:w w:val="105"/>
        </w:rPr>
        <w:t>servidores</w:t>
      </w:r>
      <w:r>
        <w:rPr>
          <w:color w:val="231F20"/>
          <w:spacing w:val="-15"/>
          <w:w w:val="105"/>
        </w:rPr>
        <w:t> </w:t>
      </w:r>
      <w:r>
        <w:rPr>
          <w:color w:val="231F20"/>
          <w:w w:val="105"/>
        </w:rPr>
        <w:t>públicos</w:t>
      </w:r>
      <w:r>
        <w:rPr>
          <w:color w:val="231F20"/>
          <w:spacing w:val="-15"/>
          <w:w w:val="105"/>
        </w:rPr>
        <w:t> </w:t>
      </w:r>
      <w:r>
        <w:rPr>
          <w:color w:val="231F20"/>
          <w:w w:val="105"/>
        </w:rPr>
        <w:t>y</w:t>
      </w:r>
      <w:r>
        <w:rPr>
          <w:color w:val="231F20"/>
          <w:spacing w:val="-15"/>
          <w:w w:val="105"/>
        </w:rPr>
        <w:t> </w:t>
      </w:r>
      <w:r>
        <w:rPr>
          <w:color w:val="231F20"/>
          <w:w w:val="105"/>
        </w:rPr>
        <w:t>también</w:t>
      </w:r>
      <w:r>
        <w:rPr>
          <w:color w:val="231F20"/>
          <w:spacing w:val="-15"/>
          <w:w w:val="105"/>
        </w:rPr>
        <w:t> </w:t>
      </w:r>
      <w:r>
        <w:rPr>
          <w:color w:val="231F20"/>
          <w:w w:val="105"/>
        </w:rPr>
        <w:t>el</w:t>
      </w:r>
      <w:r>
        <w:rPr>
          <w:color w:val="231F20"/>
          <w:spacing w:val="-15"/>
          <w:w w:val="105"/>
        </w:rPr>
        <w:t> </w:t>
      </w:r>
      <w:r>
        <w:rPr>
          <w:color w:val="231F20"/>
          <w:w w:val="105"/>
        </w:rPr>
        <w:t>crecimiento</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patrimonio.</w:t>
      </w:r>
      <w:r>
        <w:rPr>
          <w:color w:val="231F20"/>
          <w:spacing w:val="-15"/>
          <w:w w:val="105"/>
        </w:rPr>
        <w:t> </w:t>
      </w:r>
      <w:r>
        <w:rPr>
          <w:color w:val="231F20"/>
          <w:w w:val="105"/>
        </w:rPr>
        <w:t>De</w:t>
      </w:r>
      <w:r>
        <w:rPr>
          <w:color w:val="231F20"/>
          <w:spacing w:val="-15"/>
          <w:w w:val="105"/>
        </w:rPr>
        <w:t> </w:t>
      </w:r>
      <w:r>
        <w:rPr>
          <w:color w:val="231F20"/>
          <w:w w:val="105"/>
        </w:rPr>
        <w:t>ello</w:t>
      </w:r>
      <w:r>
        <w:rPr>
          <w:color w:val="231F20"/>
          <w:spacing w:val="-15"/>
          <w:w w:val="105"/>
        </w:rPr>
        <w:t> </w:t>
      </w:r>
      <w:r>
        <w:rPr>
          <w:color w:val="231F20"/>
          <w:w w:val="105"/>
        </w:rPr>
        <w:t>se</w:t>
      </w:r>
      <w:r>
        <w:rPr>
          <w:color w:val="231F20"/>
          <w:spacing w:val="-15"/>
          <w:w w:val="105"/>
        </w:rPr>
        <w:t> </w:t>
      </w:r>
      <w:r>
        <w:rPr>
          <w:color w:val="231F20"/>
          <w:w w:val="105"/>
        </w:rPr>
        <w:t>deriva- ron</w:t>
      </w:r>
      <w:r>
        <w:rPr>
          <w:color w:val="231F20"/>
          <w:spacing w:val="-11"/>
          <w:w w:val="105"/>
        </w:rPr>
        <w:t> </w:t>
      </w:r>
      <w:r>
        <w:rPr>
          <w:color w:val="231F20"/>
          <w:w w:val="105"/>
        </w:rPr>
        <w:t>sanciones</w:t>
      </w:r>
      <w:r>
        <w:rPr>
          <w:color w:val="231F20"/>
          <w:spacing w:val="-11"/>
          <w:w w:val="105"/>
        </w:rPr>
        <w:t> </w:t>
      </w:r>
      <w:r>
        <w:rPr>
          <w:color w:val="231F20"/>
          <w:w w:val="105"/>
        </w:rPr>
        <w:t>de</w:t>
      </w:r>
      <w:r>
        <w:rPr>
          <w:color w:val="231F20"/>
          <w:spacing w:val="-11"/>
          <w:w w:val="105"/>
        </w:rPr>
        <w:t> </w:t>
      </w:r>
      <w:r>
        <w:rPr>
          <w:color w:val="231F20"/>
          <w:w w:val="105"/>
        </w:rPr>
        <w:t>diversa</w:t>
      </w:r>
      <w:r>
        <w:rPr>
          <w:color w:val="231F20"/>
          <w:spacing w:val="-11"/>
          <w:w w:val="105"/>
        </w:rPr>
        <w:t> </w:t>
      </w:r>
      <w:r>
        <w:rPr>
          <w:color w:val="231F20"/>
          <w:w w:val="105"/>
        </w:rPr>
        <w:t>índole</w:t>
      </w:r>
      <w:r>
        <w:rPr>
          <w:color w:val="231F20"/>
          <w:spacing w:val="-11"/>
          <w:w w:val="105"/>
        </w:rPr>
        <w:t> </w:t>
      </w:r>
      <w:r>
        <w:rPr>
          <w:color w:val="231F20"/>
          <w:w w:val="105"/>
        </w:rPr>
        <w:t>a</w:t>
      </w:r>
      <w:r>
        <w:rPr>
          <w:color w:val="231F20"/>
          <w:spacing w:val="-11"/>
          <w:w w:val="105"/>
        </w:rPr>
        <w:t> </w:t>
      </w:r>
      <w:r>
        <w:rPr>
          <w:color w:val="231F20"/>
          <w:w w:val="105"/>
        </w:rPr>
        <w:t>alrededor</w:t>
      </w:r>
      <w:r>
        <w:rPr>
          <w:color w:val="231F20"/>
          <w:spacing w:val="-11"/>
          <w:w w:val="105"/>
        </w:rPr>
        <w:t> </w:t>
      </w:r>
      <w:r>
        <w:rPr>
          <w:color w:val="231F20"/>
          <w:w w:val="105"/>
        </w:rPr>
        <w:t>de</w:t>
      </w:r>
      <w:r>
        <w:rPr>
          <w:color w:val="231F20"/>
          <w:spacing w:val="-11"/>
          <w:w w:val="105"/>
        </w:rPr>
        <w:t> </w:t>
      </w:r>
      <w:r>
        <w:rPr>
          <w:color w:val="231F20"/>
          <w:w w:val="105"/>
        </w:rPr>
        <w:t>450</w:t>
      </w:r>
      <w:r>
        <w:rPr>
          <w:color w:val="231F20"/>
          <w:spacing w:val="-11"/>
          <w:w w:val="105"/>
        </w:rPr>
        <w:t> </w:t>
      </w:r>
      <w:r>
        <w:rPr>
          <w:color w:val="231F20"/>
          <w:w w:val="105"/>
        </w:rPr>
        <w:t>empleados</w:t>
      </w:r>
      <w:r>
        <w:rPr>
          <w:color w:val="231F20"/>
          <w:spacing w:val="-11"/>
          <w:w w:val="105"/>
        </w:rPr>
        <w:t> </w:t>
      </w:r>
      <w:r>
        <w:rPr>
          <w:color w:val="231F20"/>
          <w:spacing w:val="-3"/>
          <w:w w:val="105"/>
        </w:rPr>
        <w:t>(48</w:t>
      </w:r>
      <w:r>
        <w:rPr>
          <w:color w:val="231F20"/>
          <w:spacing w:val="-11"/>
          <w:w w:val="105"/>
        </w:rPr>
        <w:t> </w:t>
      </w:r>
      <w:r>
        <w:rPr>
          <w:color w:val="231F20"/>
          <w:w w:val="105"/>
        </w:rPr>
        <w:t>fueron</w:t>
      </w:r>
      <w:r>
        <w:rPr>
          <w:color w:val="231F20"/>
          <w:spacing w:val="-11"/>
          <w:w w:val="105"/>
        </w:rPr>
        <w:t> </w:t>
      </w:r>
      <w:r>
        <w:rPr>
          <w:color w:val="231F20"/>
          <w:w w:val="105"/>
        </w:rPr>
        <w:t>removidos</w:t>
      </w:r>
      <w:r>
        <w:rPr>
          <w:color w:val="231F20"/>
          <w:spacing w:val="-11"/>
          <w:w w:val="105"/>
        </w:rPr>
        <w:t> </w:t>
      </w:r>
      <w:r>
        <w:rPr>
          <w:color w:val="231F20"/>
          <w:w w:val="105"/>
        </w:rPr>
        <w:t>de sus</w:t>
      </w:r>
      <w:r>
        <w:rPr>
          <w:color w:val="231F20"/>
          <w:spacing w:val="-22"/>
          <w:w w:val="105"/>
        </w:rPr>
        <w:t> </w:t>
      </w:r>
      <w:r>
        <w:rPr>
          <w:color w:val="231F20"/>
          <w:w w:val="105"/>
        </w:rPr>
        <w:t>cargos).</w:t>
      </w:r>
      <w:r>
        <w:rPr>
          <w:color w:val="231F20"/>
          <w:spacing w:val="-22"/>
          <w:w w:val="105"/>
        </w:rPr>
        <w:t> </w:t>
      </w:r>
      <w:r>
        <w:rPr>
          <w:color w:val="231F20"/>
          <w:w w:val="105"/>
        </w:rPr>
        <w:t>Hubo</w:t>
      </w:r>
      <w:r>
        <w:rPr>
          <w:color w:val="231F20"/>
          <w:spacing w:val="-22"/>
          <w:w w:val="105"/>
        </w:rPr>
        <w:t> </w:t>
      </w:r>
      <w:r>
        <w:rPr>
          <w:color w:val="231F20"/>
          <w:w w:val="105"/>
        </w:rPr>
        <w:t>diez</w:t>
      </w:r>
      <w:r>
        <w:rPr>
          <w:color w:val="231F20"/>
          <w:spacing w:val="-22"/>
          <w:w w:val="105"/>
        </w:rPr>
        <w:t> </w:t>
      </w:r>
      <w:r>
        <w:rPr>
          <w:color w:val="231F20"/>
          <w:w w:val="105"/>
        </w:rPr>
        <w:t>auditorías</w:t>
      </w:r>
      <w:r>
        <w:rPr>
          <w:color w:val="231F20"/>
          <w:spacing w:val="-22"/>
          <w:w w:val="105"/>
        </w:rPr>
        <w:t> </w:t>
      </w:r>
      <w:r>
        <w:rPr>
          <w:color w:val="231F20"/>
          <w:w w:val="105"/>
        </w:rPr>
        <w:t>a</w:t>
      </w:r>
      <w:r>
        <w:rPr>
          <w:color w:val="231F20"/>
          <w:spacing w:val="-22"/>
          <w:w w:val="105"/>
        </w:rPr>
        <w:t> </w:t>
      </w:r>
      <w:r>
        <w:rPr>
          <w:color w:val="231F20"/>
          <w:w w:val="105"/>
        </w:rPr>
        <w:t>dependencias</w:t>
      </w:r>
      <w:r>
        <w:rPr>
          <w:color w:val="231F20"/>
          <w:spacing w:val="-22"/>
          <w:w w:val="105"/>
        </w:rPr>
        <w:t> </w:t>
      </w:r>
      <w:r>
        <w:rPr>
          <w:color w:val="231F20"/>
          <w:w w:val="105"/>
        </w:rPr>
        <w:t>y</w:t>
      </w:r>
      <w:r>
        <w:rPr>
          <w:color w:val="231F20"/>
          <w:spacing w:val="-22"/>
          <w:w w:val="105"/>
        </w:rPr>
        <w:t> </w:t>
      </w:r>
      <w:r>
        <w:rPr>
          <w:color w:val="231F20"/>
          <w:w w:val="105"/>
        </w:rPr>
        <w:t>obras</w:t>
      </w:r>
      <w:r>
        <w:rPr>
          <w:color w:val="231F20"/>
          <w:spacing w:val="-22"/>
          <w:w w:val="105"/>
        </w:rPr>
        <w:t> </w:t>
      </w:r>
      <w:r>
        <w:rPr>
          <w:color w:val="231F20"/>
          <w:w w:val="105"/>
        </w:rPr>
        <w:t>públicas.</w:t>
      </w:r>
      <w:r>
        <w:rPr>
          <w:color w:val="231F20"/>
          <w:spacing w:val="-22"/>
          <w:w w:val="105"/>
        </w:rPr>
        <w:t> </w:t>
      </w:r>
      <w:r>
        <w:rPr>
          <w:color w:val="231F20"/>
          <w:w w:val="105"/>
        </w:rPr>
        <w:t>Aunque</w:t>
      </w:r>
      <w:r>
        <w:rPr>
          <w:color w:val="231F20"/>
          <w:spacing w:val="-22"/>
          <w:w w:val="105"/>
        </w:rPr>
        <w:t> </w:t>
      </w:r>
      <w:r>
        <w:rPr>
          <w:color w:val="231F20"/>
          <w:w w:val="105"/>
        </w:rPr>
        <w:t>no</w:t>
      </w:r>
      <w:r>
        <w:rPr>
          <w:color w:val="231F20"/>
          <w:spacing w:val="-22"/>
          <w:w w:val="105"/>
        </w:rPr>
        <w:t> </w:t>
      </w:r>
      <w:r>
        <w:rPr>
          <w:color w:val="231F20"/>
          <w:w w:val="105"/>
        </w:rPr>
        <w:t>se</w:t>
      </w:r>
      <w:r>
        <w:rPr>
          <w:color w:val="231F20"/>
          <w:spacing w:val="-22"/>
          <w:w w:val="105"/>
        </w:rPr>
        <w:t> </w:t>
      </w:r>
      <w:r>
        <w:rPr>
          <w:color w:val="231F20"/>
          <w:w w:val="105"/>
        </w:rPr>
        <w:t>indica- ron</w:t>
      </w:r>
      <w:r>
        <w:rPr>
          <w:color w:val="231F20"/>
          <w:spacing w:val="-5"/>
          <w:w w:val="105"/>
        </w:rPr>
        <w:t> </w:t>
      </w:r>
      <w:r>
        <w:rPr>
          <w:color w:val="231F20"/>
          <w:w w:val="105"/>
        </w:rPr>
        <w:t>con</w:t>
      </w:r>
      <w:r>
        <w:rPr>
          <w:color w:val="231F20"/>
          <w:spacing w:val="-5"/>
          <w:w w:val="105"/>
        </w:rPr>
        <w:t> </w:t>
      </w:r>
      <w:r>
        <w:rPr>
          <w:color w:val="231F20"/>
          <w:w w:val="105"/>
        </w:rPr>
        <w:t>exactitud</w:t>
      </w:r>
      <w:r>
        <w:rPr>
          <w:color w:val="231F20"/>
          <w:spacing w:val="-5"/>
          <w:w w:val="105"/>
        </w:rPr>
        <w:t> </w:t>
      </w:r>
      <w:r>
        <w:rPr>
          <w:color w:val="231F20"/>
          <w:w w:val="105"/>
        </w:rPr>
        <w:t>sus</w:t>
      </w:r>
      <w:r>
        <w:rPr>
          <w:color w:val="231F20"/>
          <w:spacing w:val="-5"/>
          <w:w w:val="105"/>
        </w:rPr>
        <w:t> </w:t>
      </w:r>
      <w:r>
        <w:rPr>
          <w:color w:val="231F20"/>
          <w:w w:val="105"/>
        </w:rPr>
        <w:t>resultados</w:t>
      </w:r>
      <w:r>
        <w:rPr>
          <w:color w:val="231F20"/>
          <w:spacing w:val="-5"/>
          <w:w w:val="105"/>
        </w:rPr>
        <w:t> </w:t>
      </w:r>
      <w:r>
        <w:rPr>
          <w:color w:val="231F20"/>
          <w:spacing w:val="-4"/>
          <w:w w:val="105"/>
        </w:rPr>
        <w:t>(que</w:t>
      </w:r>
      <w:r>
        <w:rPr>
          <w:color w:val="231F20"/>
          <w:spacing w:val="-5"/>
          <w:w w:val="105"/>
        </w:rPr>
        <w:t> </w:t>
      </w:r>
      <w:r>
        <w:rPr>
          <w:color w:val="231F20"/>
          <w:w w:val="105"/>
        </w:rPr>
        <w:t>se</w:t>
      </w:r>
      <w:r>
        <w:rPr>
          <w:color w:val="231F20"/>
          <w:spacing w:val="-5"/>
          <w:w w:val="105"/>
        </w:rPr>
        <w:t> </w:t>
      </w:r>
      <w:r>
        <w:rPr>
          <w:color w:val="231F20"/>
          <w:w w:val="105"/>
        </w:rPr>
        <w:t>presumen</w:t>
      </w:r>
      <w:r>
        <w:rPr>
          <w:color w:val="231F20"/>
          <w:spacing w:val="-5"/>
          <w:w w:val="105"/>
        </w:rPr>
        <w:t> </w:t>
      </w:r>
      <w:r>
        <w:rPr>
          <w:color w:val="231F20"/>
          <w:w w:val="105"/>
        </w:rPr>
        <w:t>positivos</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administración),</w:t>
      </w:r>
      <w:r>
        <w:rPr>
          <w:color w:val="231F20"/>
          <w:spacing w:val="-5"/>
          <w:w w:val="105"/>
        </w:rPr>
        <w:t> </w:t>
      </w:r>
      <w:r>
        <w:rPr>
          <w:color w:val="231F20"/>
          <w:w w:val="105"/>
        </w:rPr>
        <w:t>sí se</w:t>
      </w:r>
      <w:r>
        <w:rPr>
          <w:color w:val="231F20"/>
          <w:spacing w:val="-15"/>
          <w:w w:val="105"/>
        </w:rPr>
        <w:t> </w:t>
      </w:r>
      <w:r>
        <w:rPr>
          <w:color w:val="231F20"/>
          <w:w w:val="105"/>
        </w:rPr>
        <w:t>establecía</w:t>
      </w:r>
      <w:r>
        <w:rPr>
          <w:color w:val="231F20"/>
          <w:spacing w:val="-15"/>
          <w:w w:val="105"/>
        </w:rPr>
        <w:t> </w:t>
      </w:r>
      <w:r>
        <w:rPr>
          <w:color w:val="231F20"/>
          <w:w w:val="105"/>
        </w:rPr>
        <w:t>que</w:t>
      </w:r>
      <w:r>
        <w:rPr>
          <w:color w:val="231F20"/>
          <w:spacing w:val="-15"/>
          <w:w w:val="105"/>
        </w:rPr>
        <w:t> </w:t>
      </w:r>
      <w:r>
        <w:rPr>
          <w:color w:val="231F20"/>
          <w:w w:val="105"/>
        </w:rPr>
        <w:t>de</w:t>
      </w:r>
      <w:r>
        <w:rPr>
          <w:color w:val="231F20"/>
          <w:spacing w:val="-15"/>
          <w:w w:val="105"/>
        </w:rPr>
        <w:t> </w:t>
      </w:r>
      <w:r>
        <w:rPr>
          <w:color w:val="231F20"/>
          <w:w w:val="105"/>
        </w:rPr>
        <w:t>ellas</w:t>
      </w:r>
      <w:r>
        <w:rPr>
          <w:color w:val="231F20"/>
          <w:spacing w:val="-15"/>
          <w:w w:val="105"/>
        </w:rPr>
        <w:t> </w:t>
      </w:r>
      <w:r>
        <w:rPr>
          <w:color w:val="231F20"/>
          <w:w w:val="105"/>
        </w:rPr>
        <w:t>se</w:t>
      </w:r>
      <w:r>
        <w:rPr>
          <w:color w:val="231F20"/>
          <w:spacing w:val="-15"/>
          <w:w w:val="105"/>
        </w:rPr>
        <w:t> </w:t>
      </w:r>
      <w:r>
        <w:rPr>
          <w:color w:val="231F20"/>
          <w:w w:val="105"/>
        </w:rPr>
        <w:t>derivó</w:t>
      </w:r>
      <w:r>
        <w:rPr>
          <w:color w:val="231F20"/>
          <w:spacing w:val="-15"/>
          <w:w w:val="105"/>
        </w:rPr>
        <w:t> </w:t>
      </w:r>
      <w:r>
        <w:rPr>
          <w:color w:val="231F20"/>
          <w:w w:val="105"/>
        </w:rPr>
        <w:t>la</w:t>
      </w:r>
      <w:r>
        <w:rPr>
          <w:color w:val="231F20"/>
          <w:spacing w:val="-15"/>
          <w:w w:val="105"/>
        </w:rPr>
        <w:t> </w:t>
      </w:r>
      <w:r>
        <w:rPr>
          <w:color w:val="231F20"/>
          <w:w w:val="105"/>
        </w:rPr>
        <w:t>rescisión</w:t>
      </w:r>
      <w:r>
        <w:rPr>
          <w:color w:val="231F20"/>
          <w:spacing w:val="-15"/>
          <w:w w:val="105"/>
        </w:rPr>
        <w:t> </w:t>
      </w:r>
      <w:r>
        <w:rPr>
          <w:color w:val="231F20"/>
          <w:w w:val="105"/>
        </w:rPr>
        <w:t>un</w:t>
      </w:r>
      <w:r>
        <w:rPr>
          <w:color w:val="231F20"/>
          <w:spacing w:val="-15"/>
          <w:w w:val="105"/>
        </w:rPr>
        <w:t> </w:t>
      </w:r>
      <w:r>
        <w:rPr>
          <w:color w:val="231F20"/>
          <w:w w:val="105"/>
        </w:rPr>
        <w:t>contrato.</w:t>
      </w:r>
    </w:p>
    <w:p>
      <w:pPr>
        <w:pStyle w:val="BodyText"/>
        <w:spacing w:before="1"/>
        <w:rPr>
          <w:sz w:val="26"/>
        </w:rPr>
      </w:pPr>
    </w:p>
    <w:p>
      <w:pPr>
        <w:pStyle w:val="BodyText"/>
        <w:spacing w:line="285" w:lineRule="auto"/>
        <w:ind w:left="110" w:right="107"/>
        <w:jc w:val="both"/>
      </w:pPr>
      <w:r>
        <w:rPr>
          <w:color w:val="231F20"/>
          <w:w w:val="105"/>
        </w:rPr>
        <w:t>Aquí llama la atención la existencia de una Unidad de Control de Peticiones (UCP), que recibió 17 mil 547 peticiones de naucalpenses. La tarea de dicha unidad fue la de distribuirlas a las dependencias pertinentes, pero no se indicaba que el Quejatel fuera administrado por ella.</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3"/>
          <w:w w:val="105"/>
        </w:rPr>
        <w:t> </w:t>
      </w:r>
      <w:r>
        <w:rPr>
          <w:color w:val="231F20"/>
          <w:w w:val="105"/>
        </w:rPr>
        <w:t>cuanto</w:t>
      </w:r>
      <w:r>
        <w:rPr>
          <w:color w:val="231F20"/>
          <w:spacing w:val="-13"/>
          <w:w w:val="105"/>
        </w:rPr>
        <w:t> </w:t>
      </w:r>
      <w:r>
        <w:rPr>
          <w:color w:val="231F20"/>
          <w:w w:val="105"/>
        </w:rPr>
        <w:t>a</w:t>
      </w:r>
      <w:r>
        <w:rPr>
          <w:color w:val="231F20"/>
          <w:spacing w:val="-13"/>
          <w:w w:val="105"/>
        </w:rPr>
        <w:t> </w:t>
      </w:r>
      <w:r>
        <w:rPr>
          <w:color w:val="231F20"/>
          <w:w w:val="105"/>
        </w:rPr>
        <w:t>participación</w:t>
      </w:r>
      <w:r>
        <w:rPr>
          <w:color w:val="231F20"/>
          <w:spacing w:val="-13"/>
          <w:w w:val="105"/>
        </w:rPr>
        <w:t> </w:t>
      </w:r>
      <w:r>
        <w:rPr>
          <w:color w:val="231F20"/>
          <w:w w:val="105"/>
        </w:rPr>
        <w:t>ciudadana,</w:t>
      </w:r>
      <w:r>
        <w:rPr>
          <w:color w:val="231F20"/>
          <w:spacing w:val="-13"/>
          <w:w w:val="105"/>
        </w:rPr>
        <w:t> </w:t>
      </w:r>
      <w:r>
        <w:rPr>
          <w:color w:val="231F20"/>
          <w:w w:val="105"/>
        </w:rPr>
        <w:t>el</w:t>
      </w:r>
      <w:r>
        <w:rPr>
          <w:color w:val="231F20"/>
          <w:spacing w:val="-13"/>
          <w:w w:val="105"/>
        </w:rPr>
        <w:t> </w:t>
      </w:r>
      <w:r>
        <w:rPr>
          <w:color w:val="231F20"/>
          <w:w w:val="105"/>
        </w:rPr>
        <w:t>municipio</w:t>
      </w:r>
      <w:r>
        <w:rPr>
          <w:color w:val="231F20"/>
          <w:spacing w:val="-13"/>
          <w:w w:val="105"/>
        </w:rPr>
        <w:t> </w:t>
      </w:r>
      <w:r>
        <w:rPr>
          <w:color w:val="231F20"/>
          <w:w w:val="105"/>
        </w:rPr>
        <w:t>convocó</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integración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Con- sejos</w:t>
      </w:r>
      <w:r>
        <w:rPr>
          <w:color w:val="231F20"/>
          <w:spacing w:val="-8"/>
          <w:w w:val="105"/>
        </w:rPr>
        <w:t> </w:t>
      </w:r>
      <w:r>
        <w:rPr>
          <w:color w:val="231F20"/>
          <w:w w:val="105"/>
        </w:rPr>
        <w:t>de</w:t>
      </w:r>
      <w:r>
        <w:rPr>
          <w:color w:val="231F20"/>
          <w:spacing w:val="-8"/>
          <w:w w:val="105"/>
        </w:rPr>
        <w:t> </w:t>
      </w:r>
      <w:r>
        <w:rPr>
          <w:color w:val="231F20"/>
          <w:w w:val="105"/>
        </w:rPr>
        <w:t>Participación</w:t>
      </w:r>
      <w:r>
        <w:rPr>
          <w:color w:val="231F20"/>
          <w:spacing w:val="-8"/>
          <w:w w:val="105"/>
        </w:rPr>
        <w:t> </w:t>
      </w:r>
      <w:r>
        <w:rPr>
          <w:color w:val="231F20"/>
          <w:w w:val="105"/>
        </w:rPr>
        <w:t>Ciudadana,</w:t>
      </w:r>
      <w:r>
        <w:rPr>
          <w:color w:val="231F20"/>
          <w:spacing w:val="-8"/>
          <w:w w:val="105"/>
        </w:rPr>
        <w:t> </w:t>
      </w:r>
      <w:r>
        <w:rPr>
          <w:color w:val="231F20"/>
          <w:w w:val="105"/>
        </w:rPr>
        <w:t>proceso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cual</w:t>
      </w:r>
      <w:r>
        <w:rPr>
          <w:color w:val="231F20"/>
          <w:spacing w:val="-8"/>
          <w:w w:val="105"/>
        </w:rPr>
        <w:t> </w:t>
      </w:r>
      <w:r>
        <w:rPr>
          <w:color w:val="231F20"/>
          <w:w w:val="105"/>
        </w:rPr>
        <w:t>participaron</w:t>
      </w:r>
      <w:r>
        <w:rPr>
          <w:color w:val="231F20"/>
          <w:spacing w:val="-8"/>
          <w:w w:val="105"/>
        </w:rPr>
        <w:t> </w:t>
      </w:r>
      <w:r>
        <w:rPr>
          <w:color w:val="231F20"/>
          <w:spacing w:val="2"/>
          <w:w w:val="105"/>
        </w:rPr>
        <w:t>mil</w:t>
      </w:r>
      <w:r>
        <w:rPr>
          <w:color w:val="231F20"/>
          <w:spacing w:val="-8"/>
          <w:w w:val="105"/>
        </w:rPr>
        <w:t> </w:t>
      </w:r>
      <w:r>
        <w:rPr>
          <w:color w:val="231F20"/>
          <w:w w:val="105"/>
        </w:rPr>
        <w:t>250</w:t>
      </w:r>
      <w:r>
        <w:rPr>
          <w:color w:val="231F20"/>
          <w:spacing w:val="-8"/>
          <w:w w:val="105"/>
        </w:rPr>
        <w:t> </w:t>
      </w:r>
      <w:r>
        <w:rPr>
          <w:color w:val="231F20"/>
          <w:w w:val="105"/>
        </w:rPr>
        <w:t>personas.</w:t>
      </w:r>
      <w:r>
        <w:rPr>
          <w:color w:val="231F20"/>
          <w:spacing w:val="-8"/>
          <w:w w:val="105"/>
        </w:rPr>
        <w:t> </w:t>
      </w:r>
      <w:r>
        <w:rPr>
          <w:color w:val="231F20"/>
          <w:w w:val="105"/>
        </w:rPr>
        <w:t>Se registraron</w:t>
      </w:r>
      <w:r>
        <w:rPr>
          <w:color w:val="231F20"/>
          <w:spacing w:val="-9"/>
          <w:w w:val="105"/>
        </w:rPr>
        <w:t> </w:t>
      </w:r>
      <w:r>
        <w:rPr>
          <w:color w:val="231F20"/>
          <w:spacing w:val="2"/>
          <w:w w:val="105"/>
        </w:rPr>
        <w:t>405</w:t>
      </w:r>
      <w:r>
        <w:rPr>
          <w:color w:val="231F20"/>
          <w:spacing w:val="-9"/>
          <w:w w:val="105"/>
        </w:rPr>
        <w:t> </w:t>
      </w:r>
      <w:r>
        <w:rPr>
          <w:color w:val="231F20"/>
          <w:w w:val="105"/>
        </w:rPr>
        <w:t>planillas</w:t>
      </w:r>
      <w:r>
        <w:rPr>
          <w:color w:val="231F20"/>
          <w:spacing w:val="-9"/>
          <w:w w:val="105"/>
        </w:rPr>
        <w:t> </w:t>
      </w:r>
      <w:r>
        <w:rPr>
          <w:color w:val="231F20"/>
          <w:w w:val="105"/>
        </w:rPr>
        <w:t>para</w:t>
      </w:r>
      <w:r>
        <w:rPr>
          <w:color w:val="231F20"/>
          <w:spacing w:val="-9"/>
          <w:w w:val="105"/>
        </w:rPr>
        <w:t> </w:t>
      </w:r>
      <w:r>
        <w:rPr>
          <w:color w:val="231F20"/>
          <w:w w:val="105"/>
        </w:rPr>
        <w:t>dichos</w:t>
      </w:r>
      <w:r>
        <w:rPr>
          <w:color w:val="231F20"/>
          <w:spacing w:val="-9"/>
          <w:w w:val="105"/>
        </w:rPr>
        <w:t> </w:t>
      </w:r>
      <w:r>
        <w:rPr>
          <w:color w:val="231F20"/>
          <w:w w:val="105"/>
        </w:rPr>
        <w:t>consejos</w:t>
      </w:r>
      <w:r>
        <w:rPr>
          <w:color w:val="231F20"/>
          <w:spacing w:val="-9"/>
          <w:w w:val="105"/>
        </w:rPr>
        <w:t> </w:t>
      </w:r>
      <w:r>
        <w:rPr>
          <w:color w:val="231F20"/>
          <w:w w:val="105"/>
        </w:rPr>
        <w:t>y</w:t>
      </w:r>
      <w:r>
        <w:rPr>
          <w:color w:val="231F20"/>
          <w:spacing w:val="-9"/>
          <w:w w:val="105"/>
        </w:rPr>
        <w:t> </w:t>
      </w:r>
      <w:r>
        <w:rPr>
          <w:color w:val="231F20"/>
          <w:w w:val="105"/>
        </w:rPr>
        <w:t>4323</w:t>
      </w:r>
      <w:r>
        <w:rPr>
          <w:color w:val="231F20"/>
          <w:spacing w:val="-9"/>
          <w:w w:val="105"/>
        </w:rPr>
        <w:t> </w:t>
      </w:r>
      <w:r>
        <w:rPr>
          <w:color w:val="231F20"/>
          <w:w w:val="105"/>
        </w:rPr>
        <w:t>fórmulas</w:t>
      </w:r>
      <w:r>
        <w:rPr>
          <w:color w:val="231F20"/>
          <w:spacing w:val="-9"/>
          <w:w w:val="105"/>
        </w:rPr>
        <w:t> </w:t>
      </w:r>
      <w:r>
        <w:rPr>
          <w:color w:val="231F20"/>
          <w:w w:val="105"/>
        </w:rPr>
        <w:t>para</w:t>
      </w:r>
      <w:r>
        <w:rPr>
          <w:color w:val="231F20"/>
          <w:spacing w:val="-9"/>
          <w:w w:val="105"/>
        </w:rPr>
        <w:t> </w:t>
      </w:r>
      <w:r>
        <w:rPr>
          <w:color w:val="231F20"/>
          <w:w w:val="105"/>
        </w:rPr>
        <w:t>Delegado</w:t>
      </w:r>
      <w:r>
        <w:rPr>
          <w:color w:val="231F20"/>
          <w:spacing w:val="-9"/>
          <w:w w:val="105"/>
        </w:rPr>
        <w:t> </w:t>
      </w:r>
      <w:r>
        <w:rPr>
          <w:color w:val="231F20"/>
          <w:w w:val="105"/>
        </w:rPr>
        <w:t>Munici- pal.</w:t>
      </w:r>
      <w:r>
        <w:rPr>
          <w:color w:val="231F20"/>
          <w:spacing w:val="-4"/>
          <w:w w:val="105"/>
        </w:rPr>
        <w:t> </w:t>
      </w:r>
      <w:r>
        <w:rPr>
          <w:color w:val="231F20"/>
          <w:w w:val="105"/>
        </w:rPr>
        <w:t>En</w:t>
      </w:r>
      <w:r>
        <w:rPr>
          <w:color w:val="231F20"/>
          <w:spacing w:val="-4"/>
          <w:w w:val="105"/>
        </w:rPr>
        <w:t> </w:t>
      </w:r>
      <w:r>
        <w:rPr>
          <w:color w:val="231F20"/>
          <w:w w:val="105"/>
        </w:rPr>
        <w:t>total</w:t>
      </w:r>
      <w:r>
        <w:rPr>
          <w:color w:val="231F20"/>
          <w:spacing w:val="-4"/>
          <w:w w:val="105"/>
        </w:rPr>
        <w:t> </w:t>
      </w:r>
      <w:r>
        <w:rPr>
          <w:color w:val="231F20"/>
          <w:w w:val="105"/>
        </w:rPr>
        <w:t>se</w:t>
      </w:r>
      <w:r>
        <w:rPr>
          <w:color w:val="231F20"/>
          <w:spacing w:val="-4"/>
          <w:w w:val="105"/>
        </w:rPr>
        <w:t> </w:t>
      </w:r>
      <w:r>
        <w:rPr>
          <w:color w:val="231F20"/>
          <w:w w:val="105"/>
        </w:rPr>
        <w:t>integraron</w:t>
      </w:r>
      <w:r>
        <w:rPr>
          <w:color w:val="231F20"/>
          <w:spacing w:val="-4"/>
          <w:w w:val="105"/>
        </w:rPr>
        <w:t> </w:t>
      </w:r>
      <w:r>
        <w:rPr>
          <w:color w:val="231F20"/>
          <w:spacing w:val="-5"/>
          <w:w w:val="105"/>
        </w:rPr>
        <w:t>173</w:t>
      </w:r>
      <w:r>
        <w:rPr>
          <w:color w:val="231F20"/>
          <w:spacing w:val="-4"/>
          <w:w w:val="105"/>
        </w:rPr>
        <w:t> </w:t>
      </w:r>
      <w:r>
        <w:rPr>
          <w:color w:val="231F20"/>
          <w:w w:val="105"/>
        </w:rPr>
        <w:t>consejos</w:t>
      </w:r>
      <w:r>
        <w:rPr>
          <w:color w:val="231F20"/>
          <w:spacing w:val="-4"/>
          <w:w w:val="105"/>
        </w:rPr>
        <w:t> </w:t>
      </w:r>
      <w:r>
        <w:rPr>
          <w:color w:val="231F20"/>
          <w:w w:val="105"/>
        </w:rPr>
        <w:t>y</w:t>
      </w:r>
      <w:r>
        <w:rPr>
          <w:color w:val="231F20"/>
          <w:spacing w:val="-4"/>
          <w:w w:val="105"/>
        </w:rPr>
        <w:t> </w:t>
      </w:r>
      <w:r>
        <w:rPr>
          <w:color w:val="231F20"/>
          <w:w w:val="105"/>
        </w:rPr>
        <w:t>se</w:t>
      </w:r>
      <w:r>
        <w:rPr>
          <w:color w:val="231F20"/>
          <w:spacing w:val="-4"/>
          <w:w w:val="105"/>
        </w:rPr>
        <w:t> </w:t>
      </w:r>
      <w:r>
        <w:rPr>
          <w:color w:val="231F20"/>
          <w:w w:val="105"/>
        </w:rPr>
        <w:t>eligieron</w:t>
      </w:r>
      <w:r>
        <w:rPr>
          <w:color w:val="231F20"/>
          <w:spacing w:val="-4"/>
          <w:w w:val="105"/>
        </w:rPr>
        <w:t> </w:t>
      </w:r>
      <w:r>
        <w:rPr>
          <w:color w:val="231F20"/>
          <w:spacing w:val="-3"/>
          <w:w w:val="105"/>
        </w:rPr>
        <w:t>188</w:t>
      </w:r>
      <w:r>
        <w:rPr>
          <w:color w:val="231F20"/>
          <w:spacing w:val="-4"/>
          <w:w w:val="105"/>
        </w:rPr>
        <w:t> </w:t>
      </w:r>
      <w:r>
        <w:rPr>
          <w:color w:val="231F20"/>
          <w:w w:val="105"/>
        </w:rPr>
        <w:t>delegados,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represen- tación de </w:t>
      </w:r>
      <w:r>
        <w:rPr>
          <w:color w:val="231F20"/>
          <w:spacing w:val="-3"/>
          <w:w w:val="105"/>
        </w:rPr>
        <w:t>231 </w:t>
      </w:r>
      <w:r>
        <w:rPr>
          <w:color w:val="231F20"/>
          <w:w w:val="105"/>
        </w:rPr>
        <w:t>pueblos, colonias y fraccionamientos no industriales de Naucalpan.</w:t>
      </w:r>
      <w:r>
        <w:rPr>
          <w:color w:val="231F20"/>
          <w:spacing w:val="-37"/>
          <w:w w:val="105"/>
        </w:rPr>
        <w:t> </w:t>
      </w:r>
      <w:r>
        <w:rPr>
          <w:color w:val="231F20"/>
          <w:w w:val="105"/>
        </w:rPr>
        <w:t>Seis fueron las reuniones del presidente municipal con representantes de los Consejos de Participación Ciudadana, en las cuales participaron </w:t>
      </w:r>
      <w:r>
        <w:rPr>
          <w:color w:val="231F20"/>
          <w:spacing w:val="-4"/>
          <w:w w:val="105"/>
        </w:rPr>
        <w:t>112 </w:t>
      </w:r>
      <w:r>
        <w:rPr>
          <w:color w:val="231F20"/>
          <w:w w:val="105"/>
        </w:rPr>
        <w:t>representantes, un reducido número</w:t>
      </w:r>
      <w:r>
        <w:rPr>
          <w:color w:val="231F20"/>
          <w:spacing w:val="-15"/>
          <w:w w:val="105"/>
        </w:rPr>
        <w:t> </w:t>
      </w:r>
      <w:r>
        <w:rPr>
          <w:color w:val="231F20"/>
          <w:w w:val="105"/>
        </w:rPr>
        <w:t>considerando</w:t>
      </w:r>
      <w:r>
        <w:rPr>
          <w:color w:val="231F20"/>
          <w:spacing w:val="-15"/>
          <w:w w:val="105"/>
        </w:rPr>
        <w:t> </w:t>
      </w:r>
      <w:r>
        <w:rPr>
          <w:color w:val="231F20"/>
          <w:w w:val="105"/>
        </w:rPr>
        <w:t>la</w:t>
      </w:r>
      <w:r>
        <w:rPr>
          <w:color w:val="231F20"/>
          <w:spacing w:val="-15"/>
          <w:w w:val="105"/>
        </w:rPr>
        <w:t> </w:t>
      </w:r>
      <w:r>
        <w:rPr>
          <w:color w:val="231F20"/>
          <w:w w:val="105"/>
        </w:rPr>
        <w:t>densidad</w:t>
      </w:r>
      <w:r>
        <w:rPr>
          <w:color w:val="231F20"/>
          <w:spacing w:val="-15"/>
          <w:w w:val="105"/>
        </w:rPr>
        <w:t> </w:t>
      </w:r>
      <w:r>
        <w:rPr>
          <w:color w:val="231F20"/>
          <w:w w:val="105"/>
        </w:rPr>
        <w:t>de</w:t>
      </w:r>
      <w:r>
        <w:rPr>
          <w:color w:val="231F20"/>
          <w:spacing w:val="-15"/>
          <w:w w:val="105"/>
        </w:rPr>
        <w:t> </w:t>
      </w:r>
      <w:r>
        <w:rPr>
          <w:color w:val="231F20"/>
          <w:w w:val="105"/>
        </w:rPr>
        <w:t>población</w:t>
      </w:r>
      <w:r>
        <w:rPr>
          <w:color w:val="231F20"/>
          <w:spacing w:val="-15"/>
          <w:w w:val="105"/>
        </w:rPr>
        <w:t> </w:t>
      </w:r>
      <w:r>
        <w:rPr>
          <w:color w:val="231F20"/>
          <w:w w:val="105"/>
        </w:rPr>
        <w:t>del</w:t>
      </w:r>
      <w:r>
        <w:rPr>
          <w:color w:val="231F20"/>
          <w:spacing w:val="-15"/>
          <w:w w:val="105"/>
        </w:rPr>
        <w:t> </w:t>
      </w:r>
      <w:r>
        <w:rPr>
          <w:color w:val="231F20"/>
          <w:w w:val="105"/>
        </w:rPr>
        <w:t>municipio.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El</w:t>
      </w:r>
      <w:r>
        <w:rPr>
          <w:color w:val="231F20"/>
          <w:spacing w:val="-5"/>
          <w:w w:val="105"/>
        </w:rPr>
        <w:t> </w:t>
      </w:r>
      <w:r>
        <w:rPr>
          <w:color w:val="231F20"/>
          <w:w w:val="105"/>
        </w:rPr>
        <w:t>cabildo</w:t>
      </w:r>
      <w:r>
        <w:rPr>
          <w:color w:val="231F20"/>
          <w:spacing w:val="-5"/>
          <w:w w:val="105"/>
        </w:rPr>
        <w:t> </w:t>
      </w:r>
      <w:r>
        <w:rPr>
          <w:color w:val="231F20"/>
          <w:w w:val="105"/>
        </w:rPr>
        <w:t>funcionó</w:t>
      </w:r>
      <w:r>
        <w:rPr>
          <w:color w:val="231F20"/>
          <w:spacing w:val="-5"/>
          <w:w w:val="105"/>
        </w:rPr>
        <w:t> </w:t>
      </w:r>
      <w:r>
        <w:rPr>
          <w:color w:val="231F20"/>
          <w:w w:val="105"/>
        </w:rPr>
        <w:t>de</w:t>
      </w:r>
      <w:r>
        <w:rPr>
          <w:color w:val="231F20"/>
          <w:spacing w:val="-5"/>
          <w:w w:val="105"/>
        </w:rPr>
        <w:t> </w:t>
      </w:r>
      <w:r>
        <w:rPr>
          <w:color w:val="231F20"/>
          <w:w w:val="105"/>
        </w:rPr>
        <w:t>manera</w:t>
      </w:r>
      <w:r>
        <w:rPr>
          <w:color w:val="231F20"/>
          <w:spacing w:val="-5"/>
          <w:w w:val="105"/>
        </w:rPr>
        <w:t> </w:t>
      </w:r>
      <w:r>
        <w:rPr>
          <w:color w:val="231F20"/>
          <w:w w:val="105"/>
        </w:rPr>
        <w:t>regular,</w:t>
      </w:r>
      <w:r>
        <w:rPr>
          <w:color w:val="231F20"/>
          <w:spacing w:val="-5"/>
          <w:w w:val="105"/>
        </w:rPr>
        <w:t> </w:t>
      </w:r>
      <w:r>
        <w:rPr>
          <w:color w:val="231F20"/>
          <w:w w:val="105"/>
        </w:rPr>
        <w:t>realizando</w:t>
      </w:r>
      <w:r>
        <w:rPr>
          <w:color w:val="231F20"/>
          <w:spacing w:val="-5"/>
          <w:w w:val="105"/>
        </w:rPr>
        <w:t> </w:t>
      </w:r>
      <w:r>
        <w:rPr>
          <w:color w:val="231F20"/>
          <w:w w:val="105"/>
        </w:rPr>
        <w:t>46</w:t>
      </w:r>
      <w:r>
        <w:rPr>
          <w:color w:val="231F20"/>
          <w:spacing w:val="-5"/>
          <w:w w:val="105"/>
        </w:rPr>
        <w:t> </w:t>
      </w:r>
      <w:r>
        <w:rPr>
          <w:color w:val="231F20"/>
          <w:w w:val="105"/>
        </w:rPr>
        <w:t>sesiones,</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cuales</w:t>
      </w:r>
      <w:r>
        <w:rPr>
          <w:color w:val="231F20"/>
          <w:spacing w:val="-5"/>
          <w:w w:val="105"/>
        </w:rPr>
        <w:t> 31 </w:t>
      </w:r>
      <w:r>
        <w:rPr>
          <w:color w:val="231F20"/>
          <w:w w:val="105"/>
        </w:rPr>
        <w:t>fueron ordinarias y 15 extraordinarias, en </w:t>
      </w:r>
      <w:r>
        <w:rPr>
          <w:color w:val="231F20"/>
          <w:spacing w:val="-3"/>
          <w:w w:val="105"/>
        </w:rPr>
        <w:t>donde </w:t>
      </w:r>
      <w:r>
        <w:rPr>
          <w:color w:val="231F20"/>
          <w:w w:val="105"/>
        </w:rPr>
        <w:t>se aprobaron 46 actas, y se alcanzaron </w:t>
      </w:r>
      <w:r>
        <w:rPr>
          <w:color w:val="231F20"/>
          <w:spacing w:val="-8"/>
          <w:w w:val="105"/>
        </w:rPr>
        <w:t>174 </w:t>
      </w:r>
      <w:r>
        <w:rPr>
          <w:color w:val="231F20"/>
          <w:w w:val="105"/>
        </w:rPr>
        <w:t>acuerdos.</w:t>
      </w:r>
    </w:p>
    <w:p>
      <w:pPr>
        <w:pStyle w:val="BodyText"/>
        <w:spacing w:before="1"/>
        <w:rPr>
          <w:sz w:val="26"/>
        </w:rPr>
      </w:pPr>
    </w:p>
    <w:p>
      <w:pPr>
        <w:pStyle w:val="BodyText"/>
        <w:spacing w:line="285" w:lineRule="auto"/>
        <w:ind w:left="110" w:right="107"/>
        <w:jc w:val="both"/>
      </w:pPr>
      <w:r>
        <w:rPr>
          <w:color w:val="231F20"/>
          <w:w w:val="105"/>
        </w:rPr>
        <w:t>Una</w:t>
      </w:r>
      <w:r>
        <w:rPr>
          <w:color w:val="231F20"/>
          <w:spacing w:val="-15"/>
          <w:w w:val="105"/>
        </w:rPr>
        <w:t> </w:t>
      </w:r>
      <w:r>
        <w:rPr>
          <w:color w:val="231F20"/>
          <w:w w:val="105"/>
        </w:rPr>
        <w:t>forma</w:t>
      </w:r>
      <w:r>
        <w:rPr>
          <w:color w:val="231F20"/>
          <w:spacing w:val="-15"/>
          <w:w w:val="105"/>
        </w:rPr>
        <w:t> </w:t>
      </w:r>
      <w:r>
        <w:rPr>
          <w:color w:val="231F20"/>
          <w:w w:val="105"/>
        </w:rPr>
        <w:t>de</w:t>
      </w:r>
      <w:r>
        <w:rPr>
          <w:color w:val="231F20"/>
          <w:spacing w:val="-15"/>
          <w:w w:val="105"/>
        </w:rPr>
        <w:t> </w:t>
      </w:r>
      <w:r>
        <w:rPr>
          <w:color w:val="231F20"/>
          <w:w w:val="105"/>
        </w:rPr>
        <w:t>evaluación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gestión</w:t>
      </w:r>
      <w:r>
        <w:rPr>
          <w:color w:val="231F20"/>
          <w:spacing w:val="-15"/>
          <w:w w:val="105"/>
        </w:rPr>
        <w:t> </w:t>
      </w:r>
      <w:r>
        <w:rPr>
          <w:color w:val="231F20"/>
          <w:w w:val="105"/>
        </w:rPr>
        <w:t>municipal</w:t>
      </w:r>
      <w:r>
        <w:rPr>
          <w:color w:val="231F20"/>
          <w:spacing w:val="-15"/>
          <w:w w:val="105"/>
        </w:rPr>
        <w:t> </w:t>
      </w:r>
      <w:r>
        <w:rPr>
          <w:color w:val="231F20"/>
          <w:w w:val="105"/>
        </w:rPr>
        <w:t>fue</w:t>
      </w:r>
      <w:r>
        <w:rPr>
          <w:color w:val="231F20"/>
          <w:spacing w:val="-15"/>
          <w:w w:val="105"/>
        </w:rPr>
        <w:t> </w:t>
      </w:r>
      <w:r>
        <w:rPr>
          <w:color w:val="231F20"/>
          <w:w w:val="105"/>
        </w:rPr>
        <w:t>la</w:t>
      </w:r>
      <w:r>
        <w:rPr>
          <w:color w:val="231F20"/>
          <w:spacing w:val="-15"/>
          <w:w w:val="105"/>
        </w:rPr>
        <w:t> </w:t>
      </w:r>
      <w:r>
        <w:rPr>
          <w:color w:val="231F20"/>
          <w:w w:val="105"/>
        </w:rPr>
        <w:t>instrumentación</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encues- ta</w:t>
      </w:r>
      <w:r>
        <w:rPr>
          <w:color w:val="231F20"/>
          <w:spacing w:val="-6"/>
          <w:w w:val="105"/>
        </w:rPr>
        <w:t> </w:t>
      </w:r>
      <w:r>
        <w:rPr>
          <w:color w:val="231F20"/>
          <w:w w:val="105"/>
        </w:rPr>
        <w:t>a</w:t>
      </w:r>
      <w:r>
        <w:rPr>
          <w:color w:val="231F20"/>
          <w:spacing w:val="-6"/>
          <w:w w:val="105"/>
        </w:rPr>
        <w:t> </w:t>
      </w:r>
      <w:r>
        <w:rPr>
          <w:color w:val="231F20"/>
          <w:w w:val="105"/>
        </w:rPr>
        <w:t>345</w:t>
      </w:r>
      <w:r>
        <w:rPr>
          <w:color w:val="231F20"/>
          <w:spacing w:val="-6"/>
          <w:w w:val="105"/>
        </w:rPr>
        <w:t> </w:t>
      </w:r>
      <w:r>
        <w:rPr>
          <w:color w:val="231F20"/>
          <w:w w:val="105"/>
        </w:rPr>
        <w:t>usuarios</w:t>
      </w:r>
      <w:r>
        <w:rPr>
          <w:color w:val="231F20"/>
          <w:spacing w:val="-6"/>
          <w:w w:val="105"/>
        </w:rPr>
        <w:t> </w:t>
      </w:r>
      <w:r>
        <w:rPr>
          <w:color w:val="231F20"/>
          <w:w w:val="105"/>
        </w:rPr>
        <w:t>de</w:t>
      </w:r>
      <w:r>
        <w:rPr>
          <w:color w:val="231F20"/>
          <w:spacing w:val="-6"/>
          <w:w w:val="105"/>
        </w:rPr>
        <w:t> </w:t>
      </w:r>
      <w:r>
        <w:rPr>
          <w:color w:val="231F20"/>
          <w:w w:val="105"/>
        </w:rPr>
        <w:t>servicios</w:t>
      </w:r>
      <w:r>
        <w:rPr>
          <w:color w:val="231F20"/>
          <w:spacing w:val="-6"/>
          <w:w w:val="105"/>
        </w:rPr>
        <w:t> </w:t>
      </w:r>
      <w:r>
        <w:rPr>
          <w:color w:val="231F20"/>
          <w:w w:val="105"/>
        </w:rPr>
        <w:t>de</w:t>
      </w:r>
      <w:r>
        <w:rPr>
          <w:color w:val="231F20"/>
          <w:spacing w:val="-6"/>
          <w:w w:val="105"/>
        </w:rPr>
        <w:t> </w:t>
      </w:r>
      <w:r>
        <w:rPr>
          <w:color w:val="231F20"/>
          <w:w w:val="105"/>
        </w:rPr>
        <w:t>diversas</w:t>
      </w:r>
      <w:r>
        <w:rPr>
          <w:color w:val="231F20"/>
          <w:spacing w:val="-6"/>
          <w:w w:val="105"/>
        </w:rPr>
        <w:t> </w:t>
      </w:r>
      <w:r>
        <w:rPr>
          <w:color w:val="231F20"/>
          <w:w w:val="105"/>
        </w:rPr>
        <w:t>dependencias</w:t>
      </w:r>
      <w:r>
        <w:rPr>
          <w:color w:val="231F20"/>
          <w:spacing w:val="-6"/>
          <w:w w:val="105"/>
        </w:rPr>
        <w:t> </w:t>
      </w:r>
      <w:r>
        <w:rPr>
          <w:color w:val="231F20"/>
          <w:w w:val="105"/>
        </w:rPr>
        <w:t>administrativas.</w:t>
      </w:r>
      <w:r>
        <w:rPr>
          <w:color w:val="231F20"/>
          <w:spacing w:val="-6"/>
          <w:w w:val="105"/>
        </w:rPr>
        <w:t> </w:t>
      </w:r>
      <w:r>
        <w:rPr>
          <w:color w:val="231F20"/>
          <w:w w:val="105"/>
        </w:rPr>
        <w:t>El</w:t>
      </w:r>
      <w:r>
        <w:rPr>
          <w:color w:val="231F20"/>
          <w:spacing w:val="-6"/>
          <w:w w:val="105"/>
        </w:rPr>
        <w:t> </w:t>
      </w:r>
      <w:r>
        <w:rPr>
          <w:color w:val="231F20"/>
          <w:w w:val="105"/>
        </w:rPr>
        <w:t>informe</w:t>
      </w:r>
      <w:r>
        <w:rPr>
          <w:color w:val="231F20"/>
          <w:spacing w:val="-6"/>
          <w:w w:val="105"/>
        </w:rPr>
        <w:t> </w:t>
      </w:r>
      <w:r>
        <w:rPr>
          <w:color w:val="231F20"/>
          <w:w w:val="105"/>
        </w:rPr>
        <w:t>no daba a conocer sus resultados, por lo que puede </w:t>
      </w:r>
      <w:r>
        <w:rPr>
          <w:color w:val="231F20"/>
          <w:spacing w:val="2"/>
          <w:w w:val="105"/>
        </w:rPr>
        <w:t>afirmarse </w:t>
      </w:r>
      <w:r>
        <w:rPr>
          <w:color w:val="231F20"/>
          <w:w w:val="105"/>
        </w:rPr>
        <w:t>que no se trató de un pro- grama bien elaborado ni útil para el </w:t>
      </w:r>
      <w:r>
        <w:rPr>
          <w:color w:val="231F20"/>
          <w:spacing w:val="2"/>
          <w:w w:val="105"/>
        </w:rPr>
        <w:t>fin </w:t>
      </w:r>
      <w:r>
        <w:rPr>
          <w:color w:val="231F20"/>
          <w:w w:val="105"/>
        </w:rPr>
        <w:t>que decía perseguir. Resultó más interesante  el programa llamado de “Contraloría social”, que consistió en la conformación de los llamados Comités Ciudadanos de Control y Vigilancia con habitantes de Naucalpan. En</w:t>
      </w:r>
      <w:r>
        <w:rPr>
          <w:color w:val="231F20"/>
          <w:spacing w:val="-10"/>
          <w:w w:val="105"/>
        </w:rPr>
        <w:t> </w:t>
      </w:r>
      <w:r>
        <w:rPr>
          <w:color w:val="231F20"/>
          <w:w w:val="105"/>
        </w:rPr>
        <w:t>el</w:t>
      </w:r>
      <w:r>
        <w:rPr>
          <w:color w:val="231F20"/>
          <w:spacing w:val="-10"/>
          <w:w w:val="105"/>
        </w:rPr>
        <w:t> </w:t>
      </w:r>
      <w:r>
        <w:rPr>
          <w:color w:val="231F20"/>
          <w:w w:val="105"/>
        </w:rPr>
        <w:t>informe</w:t>
      </w:r>
      <w:r>
        <w:rPr>
          <w:color w:val="231F20"/>
          <w:spacing w:val="-10"/>
          <w:w w:val="105"/>
        </w:rPr>
        <w:t> </w:t>
      </w:r>
      <w:r>
        <w:rPr>
          <w:color w:val="231F20"/>
          <w:w w:val="105"/>
        </w:rPr>
        <w:t>se</w:t>
      </w:r>
      <w:r>
        <w:rPr>
          <w:color w:val="231F20"/>
          <w:spacing w:val="-10"/>
          <w:w w:val="105"/>
        </w:rPr>
        <w:t> </w:t>
      </w:r>
      <w:r>
        <w:rPr>
          <w:color w:val="231F20"/>
          <w:w w:val="105"/>
        </w:rPr>
        <w:t>hizo</w:t>
      </w:r>
      <w:r>
        <w:rPr>
          <w:color w:val="231F20"/>
          <w:spacing w:val="-10"/>
          <w:w w:val="105"/>
        </w:rPr>
        <w:t> </w:t>
      </w:r>
      <w:r>
        <w:rPr>
          <w:color w:val="231F20"/>
          <w:w w:val="105"/>
        </w:rPr>
        <w:t>referencia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realización</w:t>
      </w:r>
      <w:r>
        <w:rPr>
          <w:color w:val="231F20"/>
          <w:spacing w:val="-10"/>
          <w:w w:val="105"/>
        </w:rPr>
        <w:t> </w:t>
      </w:r>
      <w:r>
        <w:rPr>
          <w:color w:val="231F20"/>
          <w:w w:val="105"/>
        </w:rPr>
        <w:t>de</w:t>
      </w:r>
      <w:r>
        <w:rPr>
          <w:color w:val="231F20"/>
          <w:spacing w:val="-10"/>
          <w:w w:val="105"/>
        </w:rPr>
        <w:t> </w:t>
      </w:r>
      <w:r>
        <w:rPr>
          <w:color w:val="231F20"/>
          <w:w w:val="105"/>
        </w:rPr>
        <w:t>332</w:t>
      </w:r>
      <w:r>
        <w:rPr>
          <w:color w:val="231F20"/>
          <w:spacing w:val="-10"/>
          <w:w w:val="105"/>
        </w:rPr>
        <w:t> </w:t>
      </w:r>
      <w:r>
        <w:rPr>
          <w:color w:val="231F20"/>
          <w:w w:val="105"/>
        </w:rPr>
        <w:t>asambleas</w:t>
      </w:r>
      <w:r>
        <w:rPr>
          <w:color w:val="231F20"/>
          <w:spacing w:val="-10"/>
          <w:w w:val="105"/>
        </w:rPr>
        <w:t> </w:t>
      </w:r>
      <w:r>
        <w:rPr>
          <w:color w:val="231F20"/>
          <w:w w:val="105"/>
        </w:rPr>
        <w:t>comunitarias</w:t>
      </w:r>
      <w:r>
        <w:rPr>
          <w:color w:val="231F20"/>
          <w:spacing w:val="-10"/>
          <w:w w:val="105"/>
        </w:rPr>
        <w:t> </w:t>
      </w:r>
      <w:r>
        <w:rPr>
          <w:color w:val="231F20"/>
          <w:w w:val="105"/>
        </w:rPr>
        <w:t>para</w:t>
      </w:r>
      <w:r>
        <w:rPr>
          <w:color w:val="231F20"/>
          <w:spacing w:val="-10"/>
          <w:w w:val="105"/>
        </w:rPr>
        <w:t> </w:t>
      </w:r>
      <w:r>
        <w:rPr>
          <w:color w:val="231F20"/>
          <w:w w:val="105"/>
        </w:rPr>
        <w:t>la conformación</w:t>
      </w:r>
      <w:r>
        <w:rPr>
          <w:color w:val="231F20"/>
          <w:spacing w:val="-17"/>
          <w:w w:val="105"/>
        </w:rPr>
        <w:t> </w:t>
      </w:r>
      <w:r>
        <w:rPr>
          <w:color w:val="231F20"/>
          <w:w w:val="105"/>
        </w:rPr>
        <w:t>de</w:t>
      </w:r>
      <w:r>
        <w:rPr>
          <w:color w:val="231F20"/>
          <w:spacing w:val="-17"/>
          <w:w w:val="105"/>
        </w:rPr>
        <w:t> </w:t>
      </w:r>
      <w:r>
        <w:rPr>
          <w:color w:val="231F20"/>
          <w:w w:val="105"/>
        </w:rPr>
        <w:t>igual</w:t>
      </w:r>
      <w:r>
        <w:rPr>
          <w:color w:val="231F20"/>
          <w:spacing w:val="-17"/>
          <w:w w:val="105"/>
        </w:rPr>
        <w:t> </w:t>
      </w:r>
      <w:r>
        <w:rPr>
          <w:color w:val="231F20"/>
          <w:w w:val="105"/>
        </w:rPr>
        <w:t>número</w:t>
      </w:r>
      <w:r>
        <w:rPr>
          <w:color w:val="231F20"/>
          <w:spacing w:val="-17"/>
          <w:w w:val="105"/>
        </w:rPr>
        <w:t> </w:t>
      </w:r>
      <w:r>
        <w:rPr>
          <w:color w:val="231F20"/>
          <w:w w:val="105"/>
        </w:rPr>
        <w:t>de</w:t>
      </w:r>
      <w:r>
        <w:rPr>
          <w:color w:val="231F20"/>
          <w:spacing w:val="-17"/>
          <w:w w:val="105"/>
        </w:rPr>
        <w:t> </w:t>
      </w:r>
      <w:r>
        <w:rPr>
          <w:color w:val="231F20"/>
          <w:w w:val="105"/>
        </w:rPr>
        <w:t>comités.</w:t>
      </w:r>
      <w:r>
        <w:rPr>
          <w:color w:val="231F20"/>
          <w:spacing w:val="-17"/>
          <w:w w:val="105"/>
        </w:rPr>
        <w:t> </w:t>
      </w:r>
      <w:r>
        <w:rPr>
          <w:color w:val="231F20"/>
          <w:w w:val="105"/>
        </w:rPr>
        <w:t>Cada</w:t>
      </w:r>
      <w:r>
        <w:rPr>
          <w:color w:val="231F20"/>
          <w:spacing w:val="-17"/>
          <w:w w:val="105"/>
        </w:rPr>
        <w:t> </w:t>
      </w:r>
      <w:r>
        <w:rPr>
          <w:color w:val="231F20"/>
          <w:w w:val="105"/>
        </w:rPr>
        <w:t>uno</w:t>
      </w:r>
      <w:r>
        <w:rPr>
          <w:color w:val="231F20"/>
          <w:spacing w:val="-17"/>
          <w:w w:val="105"/>
        </w:rPr>
        <w:t> </w:t>
      </w:r>
      <w:r>
        <w:rPr>
          <w:color w:val="231F20"/>
          <w:w w:val="105"/>
        </w:rPr>
        <w:t>se</w:t>
      </w:r>
      <w:r>
        <w:rPr>
          <w:color w:val="231F20"/>
          <w:spacing w:val="-17"/>
          <w:w w:val="105"/>
        </w:rPr>
        <w:t> </w:t>
      </w:r>
      <w:r>
        <w:rPr>
          <w:color w:val="231F20"/>
          <w:w w:val="105"/>
        </w:rPr>
        <w:t>integró</w:t>
      </w:r>
      <w:r>
        <w:rPr>
          <w:color w:val="231F20"/>
          <w:spacing w:val="-17"/>
          <w:w w:val="105"/>
        </w:rPr>
        <w:t> </w:t>
      </w:r>
      <w:r>
        <w:rPr>
          <w:color w:val="231F20"/>
          <w:w w:val="105"/>
        </w:rPr>
        <w:t>con</w:t>
      </w:r>
      <w:r>
        <w:rPr>
          <w:color w:val="231F20"/>
          <w:spacing w:val="-17"/>
          <w:w w:val="105"/>
        </w:rPr>
        <w:t> </w:t>
      </w:r>
      <w:r>
        <w:rPr>
          <w:color w:val="231F20"/>
          <w:w w:val="105"/>
        </w:rPr>
        <w:t>tres</w:t>
      </w:r>
      <w:r>
        <w:rPr>
          <w:color w:val="231F20"/>
          <w:spacing w:val="-17"/>
          <w:w w:val="105"/>
        </w:rPr>
        <w:t> </w:t>
      </w:r>
      <w:r>
        <w:rPr>
          <w:color w:val="231F20"/>
          <w:w w:val="105"/>
        </w:rPr>
        <w:t>personas.</w:t>
      </w:r>
      <w:r>
        <w:rPr>
          <w:color w:val="231F20"/>
          <w:spacing w:val="-17"/>
          <w:w w:val="105"/>
        </w:rPr>
        <w:t> </w:t>
      </w:r>
      <w:r>
        <w:rPr>
          <w:color w:val="231F20"/>
          <w:w w:val="105"/>
        </w:rPr>
        <w:t>Estos comités</w:t>
      </w:r>
      <w:r>
        <w:rPr>
          <w:color w:val="231F20"/>
          <w:spacing w:val="-16"/>
          <w:w w:val="105"/>
        </w:rPr>
        <w:t> </w:t>
      </w:r>
      <w:r>
        <w:rPr>
          <w:color w:val="231F20"/>
          <w:w w:val="105"/>
        </w:rPr>
        <w:t>eran</w:t>
      </w:r>
      <w:r>
        <w:rPr>
          <w:color w:val="231F20"/>
          <w:spacing w:val="-16"/>
          <w:w w:val="105"/>
        </w:rPr>
        <w:t> </w:t>
      </w:r>
      <w:r>
        <w:rPr>
          <w:color w:val="231F20"/>
          <w:w w:val="105"/>
        </w:rPr>
        <w:t>diferentes</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Consejos</w:t>
      </w:r>
      <w:r>
        <w:rPr>
          <w:color w:val="231F20"/>
          <w:spacing w:val="-16"/>
          <w:w w:val="105"/>
        </w:rPr>
        <w:t> </w:t>
      </w:r>
      <w:r>
        <w:rPr>
          <w:color w:val="231F20"/>
          <w:w w:val="105"/>
        </w:rPr>
        <w:t>de</w:t>
      </w:r>
      <w:r>
        <w:rPr>
          <w:color w:val="231F20"/>
          <w:spacing w:val="-16"/>
          <w:w w:val="105"/>
        </w:rPr>
        <w:t> </w:t>
      </w:r>
      <w:r>
        <w:rPr>
          <w:color w:val="231F20"/>
          <w:w w:val="105"/>
        </w:rPr>
        <w:t>Participación</w:t>
      </w:r>
      <w:r>
        <w:rPr>
          <w:color w:val="231F20"/>
          <w:spacing w:val="-16"/>
          <w:w w:val="105"/>
        </w:rPr>
        <w:t> </w:t>
      </w:r>
      <w:r>
        <w:rPr>
          <w:color w:val="231F20"/>
          <w:w w:val="105"/>
        </w:rPr>
        <w:t>Ciudadana</w:t>
      </w:r>
      <w:r>
        <w:rPr>
          <w:color w:val="231F20"/>
          <w:spacing w:val="-16"/>
          <w:w w:val="105"/>
        </w:rPr>
        <w:t> </w:t>
      </w:r>
      <w:r>
        <w:rPr>
          <w:color w:val="231F20"/>
          <w:w w:val="105"/>
        </w:rPr>
        <w:t>ya</w:t>
      </w:r>
      <w:r>
        <w:rPr>
          <w:color w:val="231F20"/>
          <w:spacing w:val="-16"/>
          <w:w w:val="105"/>
        </w:rPr>
        <w:t> </w:t>
      </w:r>
      <w:r>
        <w:rPr>
          <w:color w:val="231F20"/>
          <w:w w:val="105"/>
        </w:rPr>
        <w:t>mencionados.</w:t>
      </w:r>
    </w:p>
    <w:p>
      <w:pPr>
        <w:pStyle w:val="BodyText"/>
        <w:spacing w:before="1"/>
        <w:rPr>
          <w:sz w:val="26"/>
        </w:rPr>
      </w:pPr>
    </w:p>
    <w:p>
      <w:pPr>
        <w:pStyle w:val="BodyText"/>
        <w:spacing w:line="285" w:lineRule="auto"/>
        <w:ind w:left="110" w:right="106"/>
        <w:jc w:val="both"/>
      </w:pPr>
      <w:r>
        <w:rPr>
          <w:color w:val="231F20"/>
          <w:w w:val="105"/>
        </w:rPr>
        <w:t>De</w:t>
      </w:r>
      <w:r>
        <w:rPr>
          <w:color w:val="231F20"/>
          <w:spacing w:val="-22"/>
          <w:w w:val="105"/>
        </w:rPr>
        <w:t> </w:t>
      </w:r>
      <w:r>
        <w:rPr>
          <w:color w:val="231F20"/>
          <w:spacing w:val="-4"/>
          <w:w w:val="105"/>
        </w:rPr>
        <w:t>los</w:t>
      </w:r>
      <w:r>
        <w:rPr>
          <w:color w:val="231F20"/>
          <w:spacing w:val="-22"/>
          <w:w w:val="105"/>
        </w:rPr>
        <w:t> </w:t>
      </w:r>
      <w:r>
        <w:rPr>
          <w:color w:val="231F20"/>
          <w:spacing w:val="-5"/>
          <w:w w:val="105"/>
        </w:rPr>
        <w:t>comités</w:t>
      </w:r>
      <w:r>
        <w:rPr>
          <w:color w:val="231F20"/>
          <w:spacing w:val="-22"/>
          <w:w w:val="105"/>
        </w:rPr>
        <w:t> </w:t>
      </w:r>
      <w:r>
        <w:rPr>
          <w:color w:val="231F20"/>
          <w:spacing w:val="-4"/>
          <w:w w:val="105"/>
        </w:rPr>
        <w:t>constituidos</w:t>
      </w:r>
      <w:r>
        <w:rPr>
          <w:color w:val="231F20"/>
          <w:spacing w:val="-22"/>
          <w:w w:val="105"/>
        </w:rPr>
        <w:t> </w:t>
      </w:r>
      <w:r>
        <w:rPr>
          <w:color w:val="231F20"/>
          <w:spacing w:val="-4"/>
          <w:w w:val="105"/>
        </w:rPr>
        <w:t>en</w:t>
      </w:r>
      <w:r>
        <w:rPr>
          <w:color w:val="231F20"/>
          <w:spacing w:val="-22"/>
          <w:w w:val="105"/>
        </w:rPr>
        <w:t> </w:t>
      </w:r>
      <w:r>
        <w:rPr>
          <w:color w:val="231F20"/>
          <w:spacing w:val="-3"/>
          <w:w w:val="105"/>
        </w:rPr>
        <w:t>el</w:t>
      </w:r>
      <w:r>
        <w:rPr>
          <w:color w:val="231F20"/>
          <w:spacing w:val="-22"/>
          <w:w w:val="105"/>
        </w:rPr>
        <w:t> </w:t>
      </w:r>
      <w:r>
        <w:rPr>
          <w:color w:val="231F20"/>
          <w:spacing w:val="-4"/>
          <w:w w:val="105"/>
        </w:rPr>
        <w:t>año,</w:t>
      </w:r>
      <w:r>
        <w:rPr>
          <w:color w:val="231F20"/>
          <w:spacing w:val="-22"/>
          <w:w w:val="105"/>
        </w:rPr>
        <w:t> </w:t>
      </w:r>
      <w:r>
        <w:rPr>
          <w:color w:val="231F20"/>
          <w:spacing w:val="-4"/>
          <w:w w:val="105"/>
        </w:rPr>
        <w:t>130</w:t>
      </w:r>
      <w:r>
        <w:rPr>
          <w:color w:val="231F20"/>
          <w:spacing w:val="-22"/>
          <w:w w:val="105"/>
        </w:rPr>
        <w:t> </w:t>
      </w:r>
      <w:r>
        <w:rPr>
          <w:color w:val="231F20"/>
          <w:spacing w:val="-3"/>
          <w:w w:val="105"/>
        </w:rPr>
        <w:t>vigilaron</w:t>
      </w:r>
      <w:r>
        <w:rPr>
          <w:color w:val="231F20"/>
          <w:spacing w:val="-22"/>
          <w:w w:val="105"/>
        </w:rPr>
        <w:t> </w:t>
      </w:r>
      <w:r>
        <w:rPr>
          <w:color w:val="231F20"/>
          <w:w w:val="105"/>
        </w:rPr>
        <w:t>la</w:t>
      </w:r>
      <w:r>
        <w:rPr>
          <w:color w:val="231F20"/>
          <w:spacing w:val="-22"/>
          <w:w w:val="105"/>
        </w:rPr>
        <w:t> </w:t>
      </w:r>
      <w:r>
        <w:rPr>
          <w:color w:val="231F20"/>
          <w:spacing w:val="-4"/>
          <w:w w:val="105"/>
        </w:rPr>
        <w:t>distribución</w:t>
      </w:r>
      <w:r>
        <w:rPr>
          <w:color w:val="231F20"/>
          <w:spacing w:val="-22"/>
          <w:w w:val="105"/>
        </w:rPr>
        <w:t> </w:t>
      </w:r>
      <w:r>
        <w:rPr>
          <w:color w:val="231F20"/>
          <w:spacing w:val="-4"/>
          <w:w w:val="105"/>
        </w:rPr>
        <w:t>de</w:t>
      </w:r>
      <w:r>
        <w:rPr>
          <w:color w:val="231F20"/>
          <w:spacing w:val="-22"/>
          <w:w w:val="105"/>
        </w:rPr>
        <w:t> </w:t>
      </w:r>
      <w:r>
        <w:rPr>
          <w:color w:val="231F20"/>
          <w:spacing w:val="-3"/>
          <w:w w:val="105"/>
        </w:rPr>
        <w:t>becas</w:t>
      </w:r>
      <w:r>
        <w:rPr>
          <w:color w:val="231F20"/>
          <w:spacing w:val="-22"/>
          <w:w w:val="105"/>
        </w:rPr>
        <w:t> </w:t>
      </w:r>
      <w:r>
        <w:rPr>
          <w:color w:val="231F20"/>
          <w:spacing w:val="-5"/>
          <w:w w:val="105"/>
        </w:rPr>
        <w:t>educativas,</w:t>
      </w:r>
      <w:r>
        <w:rPr>
          <w:color w:val="231F20"/>
          <w:spacing w:val="-22"/>
          <w:w w:val="105"/>
        </w:rPr>
        <w:t> </w:t>
      </w:r>
      <w:r>
        <w:rPr>
          <w:color w:val="231F20"/>
          <w:spacing w:val="-7"/>
          <w:w w:val="105"/>
        </w:rPr>
        <w:t>189 </w:t>
      </w:r>
      <w:r>
        <w:rPr>
          <w:color w:val="231F20"/>
          <w:spacing w:val="-4"/>
          <w:w w:val="105"/>
        </w:rPr>
        <w:t>supervisaron</w:t>
      </w:r>
      <w:r>
        <w:rPr>
          <w:color w:val="231F20"/>
          <w:spacing w:val="-19"/>
          <w:w w:val="105"/>
        </w:rPr>
        <w:t> </w:t>
      </w:r>
      <w:r>
        <w:rPr>
          <w:color w:val="231F20"/>
          <w:spacing w:val="-4"/>
          <w:w w:val="105"/>
        </w:rPr>
        <w:t>obras</w:t>
      </w:r>
      <w:r>
        <w:rPr>
          <w:color w:val="231F20"/>
          <w:spacing w:val="-19"/>
          <w:w w:val="105"/>
        </w:rPr>
        <w:t> </w:t>
      </w:r>
      <w:r>
        <w:rPr>
          <w:color w:val="231F20"/>
          <w:spacing w:val="-4"/>
          <w:w w:val="105"/>
        </w:rPr>
        <w:t>públicas</w:t>
      </w:r>
      <w:r>
        <w:rPr>
          <w:color w:val="231F20"/>
          <w:spacing w:val="-19"/>
          <w:w w:val="105"/>
        </w:rPr>
        <w:t> </w:t>
      </w:r>
      <w:r>
        <w:rPr>
          <w:color w:val="231F20"/>
          <w:w w:val="105"/>
        </w:rPr>
        <w:t>y</w:t>
      </w:r>
      <w:r>
        <w:rPr>
          <w:color w:val="231F20"/>
          <w:spacing w:val="-19"/>
          <w:w w:val="105"/>
        </w:rPr>
        <w:t> </w:t>
      </w:r>
      <w:r>
        <w:rPr>
          <w:color w:val="231F20"/>
          <w:spacing w:val="-4"/>
          <w:w w:val="105"/>
        </w:rPr>
        <w:t>13</w:t>
      </w:r>
      <w:r>
        <w:rPr>
          <w:color w:val="231F20"/>
          <w:spacing w:val="-19"/>
          <w:w w:val="105"/>
        </w:rPr>
        <w:t> </w:t>
      </w:r>
      <w:r>
        <w:rPr>
          <w:color w:val="231F20"/>
          <w:spacing w:val="-4"/>
          <w:w w:val="105"/>
        </w:rPr>
        <w:t>estuvieron</w:t>
      </w:r>
      <w:r>
        <w:rPr>
          <w:color w:val="231F20"/>
          <w:spacing w:val="-19"/>
          <w:w w:val="105"/>
        </w:rPr>
        <w:t> </w:t>
      </w:r>
      <w:r>
        <w:rPr>
          <w:color w:val="231F20"/>
          <w:w w:val="105"/>
        </w:rPr>
        <w:t>al</w:t>
      </w:r>
      <w:r>
        <w:rPr>
          <w:color w:val="231F20"/>
          <w:spacing w:val="-19"/>
          <w:w w:val="105"/>
        </w:rPr>
        <w:t> </w:t>
      </w:r>
      <w:r>
        <w:rPr>
          <w:color w:val="231F20"/>
          <w:spacing w:val="-3"/>
          <w:w w:val="105"/>
        </w:rPr>
        <w:t>tanto</w:t>
      </w:r>
      <w:r>
        <w:rPr>
          <w:color w:val="231F20"/>
          <w:spacing w:val="-19"/>
          <w:w w:val="105"/>
        </w:rPr>
        <w:t> </w:t>
      </w:r>
      <w:r>
        <w:rPr>
          <w:color w:val="231F20"/>
          <w:spacing w:val="-5"/>
          <w:w w:val="105"/>
        </w:rPr>
        <w:t>del</w:t>
      </w:r>
      <w:r>
        <w:rPr>
          <w:color w:val="231F20"/>
          <w:spacing w:val="-19"/>
          <w:w w:val="105"/>
        </w:rPr>
        <w:t> </w:t>
      </w:r>
      <w:r>
        <w:rPr>
          <w:color w:val="231F20"/>
          <w:w w:val="105"/>
        </w:rPr>
        <w:t>uso</w:t>
      </w:r>
      <w:r>
        <w:rPr>
          <w:color w:val="231F20"/>
          <w:spacing w:val="-19"/>
          <w:w w:val="105"/>
        </w:rPr>
        <w:t> </w:t>
      </w:r>
      <w:r>
        <w:rPr>
          <w:color w:val="231F20"/>
          <w:spacing w:val="-4"/>
          <w:w w:val="105"/>
        </w:rPr>
        <w:t>de</w:t>
      </w:r>
      <w:r>
        <w:rPr>
          <w:color w:val="231F20"/>
          <w:spacing w:val="-19"/>
          <w:w w:val="105"/>
        </w:rPr>
        <w:t> </w:t>
      </w:r>
      <w:r>
        <w:rPr>
          <w:color w:val="231F20"/>
          <w:spacing w:val="-4"/>
          <w:w w:val="105"/>
        </w:rPr>
        <w:t>los</w:t>
      </w:r>
      <w:r>
        <w:rPr>
          <w:color w:val="231F20"/>
          <w:spacing w:val="-19"/>
          <w:w w:val="105"/>
        </w:rPr>
        <w:t> </w:t>
      </w:r>
      <w:r>
        <w:rPr>
          <w:color w:val="231F20"/>
          <w:spacing w:val="-4"/>
          <w:w w:val="105"/>
        </w:rPr>
        <w:t>recursos</w:t>
      </w:r>
      <w:r>
        <w:rPr>
          <w:color w:val="231F20"/>
          <w:spacing w:val="-19"/>
          <w:w w:val="105"/>
        </w:rPr>
        <w:t> </w:t>
      </w:r>
      <w:r>
        <w:rPr>
          <w:color w:val="231F20"/>
          <w:spacing w:val="-5"/>
          <w:w w:val="105"/>
        </w:rPr>
        <w:t>del</w:t>
      </w:r>
      <w:r>
        <w:rPr>
          <w:color w:val="231F20"/>
          <w:spacing w:val="-19"/>
          <w:w w:val="105"/>
        </w:rPr>
        <w:t> </w:t>
      </w:r>
      <w:r>
        <w:rPr>
          <w:color w:val="231F20"/>
          <w:spacing w:val="-3"/>
          <w:w w:val="105"/>
        </w:rPr>
        <w:t>ramo</w:t>
      </w:r>
      <w:r>
        <w:rPr>
          <w:color w:val="231F20"/>
          <w:spacing w:val="-19"/>
          <w:w w:val="105"/>
        </w:rPr>
        <w:t> </w:t>
      </w:r>
      <w:r>
        <w:rPr>
          <w:color w:val="231F20"/>
          <w:spacing w:val="-4"/>
          <w:w w:val="105"/>
        </w:rPr>
        <w:t>33.</w:t>
      </w:r>
    </w:p>
    <w:p>
      <w:pPr>
        <w:pStyle w:val="BodyText"/>
        <w:spacing w:before="1"/>
        <w:rPr>
          <w:sz w:val="26"/>
        </w:rPr>
      </w:pPr>
    </w:p>
    <w:p>
      <w:pPr>
        <w:pStyle w:val="Heading5"/>
        <w:ind w:left="1631"/>
      </w:pPr>
      <w:r>
        <w:rPr>
          <w:color w:val="231F20"/>
          <w:w w:val="105"/>
        </w:rPr>
        <w:t>Tabla 13. Acciones de información y transparencia</w:t>
      </w:r>
    </w:p>
    <w:p>
      <w:pPr>
        <w:pStyle w:val="BodyText"/>
        <w:spacing w:before="9"/>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0"/>
                <w:sz w:val="16"/>
              </w:rPr>
              <w:t>Atención a más de 2 mil ciudadanos naucalpenses.</w:t>
            </w:r>
          </w:p>
        </w:tc>
      </w:tr>
      <w:tr>
        <w:trPr>
          <w:trHeight w:val="130" w:hRule="exact"/>
        </w:trPr>
        <w:tc>
          <w:tcPr>
            <w:tcW w:w="7927" w:type="dxa"/>
          </w:tcPr>
          <w:p>
            <w:pPr>
              <w:pStyle w:val="TableParagraph"/>
              <w:spacing w:line="160" w:lineRule="exact"/>
              <w:ind w:right="141"/>
              <w:rPr>
                <w:sz w:val="16"/>
              </w:rPr>
            </w:pPr>
            <w:r>
              <w:rPr>
                <w:color w:val="231F20"/>
                <w:w w:val="80"/>
                <w:sz w:val="16"/>
              </w:rPr>
              <w:t>184 eventos y giras de trabajo con la asistencia de 218 mil 797 naucalpenses</w:t>
            </w:r>
          </w:p>
        </w:tc>
      </w:tr>
      <w:tr>
        <w:trPr>
          <w:trHeight w:val="130" w:hRule="exact"/>
        </w:trPr>
        <w:tc>
          <w:tcPr>
            <w:tcW w:w="7927" w:type="dxa"/>
          </w:tcPr>
          <w:p>
            <w:pPr>
              <w:pStyle w:val="TableParagraph"/>
              <w:spacing w:line="160" w:lineRule="exact"/>
              <w:ind w:right="141"/>
              <w:rPr>
                <w:sz w:val="16"/>
              </w:rPr>
            </w:pPr>
            <w:r>
              <w:rPr>
                <w:color w:val="231F20"/>
                <w:w w:val="80"/>
                <w:sz w:val="16"/>
              </w:rPr>
              <w:t>Sistema Quejatel: mil 381 solicitudes recibidas, mil 16 atendidas y 365 en proceso administrativo</w:t>
            </w:r>
          </w:p>
        </w:tc>
      </w:tr>
      <w:tr>
        <w:trPr>
          <w:trHeight w:val="130" w:hRule="exact"/>
        </w:trPr>
        <w:tc>
          <w:tcPr>
            <w:tcW w:w="7927" w:type="dxa"/>
          </w:tcPr>
          <w:p>
            <w:pPr>
              <w:pStyle w:val="TableParagraph"/>
              <w:spacing w:line="160" w:lineRule="exact"/>
              <w:ind w:right="141"/>
              <w:rPr>
                <w:sz w:val="16"/>
              </w:rPr>
            </w:pPr>
            <w:r>
              <w:rPr>
                <w:color w:val="231F20"/>
                <w:w w:val="80"/>
                <w:sz w:val="16"/>
              </w:rPr>
              <w:t>120 procedimientos administrativos por la presentación omisa o extemporánea de la manifestación de bienes</w:t>
            </w:r>
          </w:p>
        </w:tc>
      </w:tr>
      <w:tr>
        <w:trPr>
          <w:trHeight w:val="130" w:hRule="exact"/>
        </w:trPr>
        <w:tc>
          <w:tcPr>
            <w:tcW w:w="7927" w:type="dxa"/>
          </w:tcPr>
          <w:p>
            <w:pPr>
              <w:pStyle w:val="TableParagraph"/>
              <w:spacing w:line="160" w:lineRule="exact"/>
              <w:ind w:right="141"/>
              <w:rPr>
                <w:sz w:val="16"/>
              </w:rPr>
            </w:pPr>
            <w:r>
              <w:rPr>
                <w:color w:val="231F20"/>
                <w:w w:val="80"/>
                <w:sz w:val="16"/>
              </w:rPr>
              <w:t>136 resoluciones con sanción por omisión en la presentación de bienes y ocho sin sanción por causas justificadas</w:t>
            </w:r>
          </w:p>
        </w:tc>
      </w:tr>
      <w:tr>
        <w:trPr>
          <w:trHeight w:val="130" w:hRule="exact"/>
        </w:trPr>
        <w:tc>
          <w:tcPr>
            <w:tcW w:w="7927" w:type="dxa"/>
          </w:tcPr>
          <w:p>
            <w:pPr>
              <w:pStyle w:val="TableParagraph"/>
              <w:spacing w:line="160" w:lineRule="exact"/>
              <w:ind w:right="141"/>
              <w:rPr>
                <w:sz w:val="16"/>
              </w:rPr>
            </w:pPr>
            <w:r>
              <w:rPr>
                <w:color w:val="231F20"/>
                <w:w w:val="80"/>
                <w:sz w:val="16"/>
              </w:rPr>
              <w:t>Tramitación de 716 quejas de combate a la corrupción</w:t>
            </w:r>
          </w:p>
        </w:tc>
      </w:tr>
      <w:tr>
        <w:trPr>
          <w:trHeight w:val="130" w:hRule="exact"/>
        </w:trPr>
        <w:tc>
          <w:tcPr>
            <w:tcW w:w="7927" w:type="dxa"/>
          </w:tcPr>
          <w:p>
            <w:pPr>
              <w:pStyle w:val="TableParagraph"/>
              <w:spacing w:line="160" w:lineRule="exact"/>
              <w:ind w:right="141"/>
              <w:rPr>
                <w:sz w:val="16"/>
              </w:rPr>
            </w:pPr>
            <w:r>
              <w:rPr>
                <w:color w:val="231F20"/>
                <w:w w:val="75"/>
                <w:sz w:val="16"/>
              </w:rPr>
              <w:t>1814 diligencias  administrativas</w:t>
            </w:r>
          </w:p>
        </w:tc>
      </w:tr>
      <w:tr>
        <w:trPr>
          <w:trHeight w:val="130" w:hRule="exact"/>
        </w:trPr>
        <w:tc>
          <w:tcPr>
            <w:tcW w:w="7927" w:type="dxa"/>
          </w:tcPr>
          <w:p>
            <w:pPr>
              <w:pStyle w:val="TableParagraph"/>
              <w:spacing w:line="160" w:lineRule="exact"/>
              <w:ind w:right="141"/>
              <w:rPr>
                <w:sz w:val="16"/>
              </w:rPr>
            </w:pPr>
            <w:r>
              <w:rPr>
                <w:color w:val="231F20"/>
                <w:w w:val="75"/>
                <w:sz w:val="16"/>
              </w:rPr>
              <w:t>179 expedientes a resolución</w:t>
            </w:r>
          </w:p>
        </w:tc>
      </w:tr>
      <w:tr>
        <w:trPr>
          <w:trHeight w:val="130" w:hRule="exact"/>
        </w:trPr>
        <w:tc>
          <w:tcPr>
            <w:tcW w:w="7927" w:type="dxa"/>
          </w:tcPr>
          <w:p>
            <w:pPr>
              <w:pStyle w:val="TableParagraph"/>
              <w:spacing w:line="160" w:lineRule="exact"/>
              <w:ind w:right="141"/>
              <w:rPr>
                <w:sz w:val="16"/>
              </w:rPr>
            </w:pPr>
            <w:r>
              <w:rPr>
                <w:color w:val="231F20"/>
                <w:w w:val="75"/>
                <w:sz w:val="16"/>
              </w:rPr>
              <w:t>433 resoluciones: 144 son de responsabilidad patrimonial, 231 de responsabilidad disciplinaria y 58 resoluciones de remoción</w:t>
            </w:r>
          </w:p>
        </w:tc>
      </w:tr>
    </w:tbl>
    <w:p>
      <w:pPr>
        <w:spacing w:before="87"/>
        <w:ind w:left="0" w:right="108" w:firstLine="0"/>
        <w:jc w:val="right"/>
        <w:rPr>
          <w:rFonts w:ascii="Calibri" w:hAnsi="Calibri"/>
          <w:sz w:val="16"/>
        </w:rPr>
      </w:pPr>
      <w:r>
        <w:rPr>
          <w:rFonts w:ascii="Calibri" w:hAnsi="Calibri"/>
          <w:color w:val="231F20"/>
          <w:sz w:val="16"/>
        </w:rPr>
        <w:t>Fuente: 1º Informe de Gobierno, 2007</w:t>
      </w:r>
    </w:p>
    <w:p>
      <w:pPr>
        <w:pStyle w:val="BodyText"/>
        <w:spacing w:before="4"/>
        <w:rPr>
          <w:rFonts w:ascii="Calibri"/>
          <w:sz w:val="23"/>
        </w:rPr>
      </w:pPr>
    </w:p>
    <w:p>
      <w:pPr>
        <w:pStyle w:val="Heading4"/>
        <w:rPr>
          <w:i/>
        </w:rPr>
      </w:pPr>
      <w:r>
        <w:rPr>
          <w:i/>
          <w:color w:val="231F20"/>
        </w:rPr>
        <w:t>Segundo año</w:t>
      </w:r>
    </w:p>
    <w:p>
      <w:pPr>
        <w:pStyle w:val="BodyText"/>
        <w:spacing w:line="285" w:lineRule="auto" w:before="16"/>
        <w:ind w:left="110" w:right="107"/>
        <w:jc w:val="both"/>
      </w:pPr>
      <w:r>
        <w:rPr>
          <w:color w:val="231F20"/>
          <w:w w:val="105"/>
        </w:rPr>
        <w:t>El segundo informe fue enteramente cuantitativo </w:t>
      </w:r>
      <w:r>
        <w:rPr>
          <w:color w:val="231F20"/>
          <w:spacing w:val="-2"/>
          <w:w w:val="105"/>
        </w:rPr>
        <w:t>(al </w:t>
      </w:r>
      <w:r>
        <w:rPr>
          <w:color w:val="231F20"/>
          <w:w w:val="105"/>
        </w:rPr>
        <w:t>menos en la versión que se dio a conocer</w:t>
      </w:r>
      <w:r>
        <w:rPr>
          <w:color w:val="231F20"/>
          <w:spacing w:val="-18"/>
          <w:w w:val="105"/>
        </w:rPr>
        <w:t> </w:t>
      </w:r>
      <w:r>
        <w:rPr>
          <w:color w:val="231F20"/>
          <w:w w:val="105"/>
        </w:rPr>
        <w:t>masivamente),</w:t>
      </w:r>
      <w:r>
        <w:rPr>
          <w:color w:val="231F20"/>
          <w:spacing w:val="-18"/>
          <w:w w:val="105"/>
        </w:rPr>
        <w:t> </w:t>
      </w:r>
      <w:r>
        <w:rPr>
          <w:color w:val="231F20"/>
          <w:w w:val="105"/>
        </w:rPr>
        <w:t>y</w:t>
      </w:r>
      <w:r>
        <w:rPr>
          <w:color w:val="231F20"/>
          <w:spacing w:val="-18"/>
          <w:w w:val="105"/>
        </w:rPr>
        <w:t> </w:t>
      </w:r>
      <w:r>
        <w:rPr>
          <w:color w:val="231F20"/>
          <w:w w:val="105"/>
        </w:rPr>
        <w:t>tuvo</w:t>
      </w:r>
      <w:r>
        <w:rPr>
          <w:color w:val="231F20"/>
          <w:spacing w:val="-18"/>
          <w:w w:val="105"/>
        </w:rPr>
        <w:t> </w:t>
      </w:r>
      <w:r>
        <w:rPr>
          <w:color w:val="231F20"/>
          <w:w w:val="105"/>
        </w:rPr>
        <w:t>una</w:t>
      </w:r>
      <w:r>
        <w:rPr>
          <w:color w:val="231F20"/>
          <w:spacing w:val="-18"/>
          <w:w w:val="105"/>
        </w:rPr>
        <w:t> </w:t>
      </w:r>
      <w:r>
        <w:rPr>
          <w:color w:val="231F20"/>
          <w:w w:val="105"/>
        </w:rPr>
        <w:t>brevísima</w:t>
      </w:r>
      <w:r>
        <w:rPr>
          <w:color w:val="231F20"/>
          <w:spacing w:val="-18"/>
          <w:w w:val="105"/>
        </w:rPr>
        <w:t> </w:t>
      </w:r>
      <w:r>
        <w:rPr>
          <w:color w:val="231F20"/>
          <w:w w:val="105"/>
        </w:rPr>
        <w:t>presentación.</w:t>
      </w:r>
      <w:r>
        <w:rPr>
          <w:color w:val="231F20"/>
          <w:spacing w:val="-18"/>
          <w:w w:val="105"/>
        </w:rPr>
        <w:t> </w:t>
      </w:r>
      <w:r>
        <w:rPr>
          <w:color w:val="231F20"/>
          <w:w w:val="105"/>
        </w:rPr>
        <w:t>Ambos</w:t>
      </w:r>
      <w:r>
        <w:rPr>
          <w:color w:val="231F20"/>
          <w:spacing w:val="-18"/>
          <w:w w:val="105"/>
        </w:rPr>
        <w:t> </w:t>
      </w:r>
      <w:r>
        <w:rPr>
          <w:color w:val="231F20"/>
          <w:w w:val="105"/>
        </w:rPr>
        <w:t>datos</w:t>
      </w:r>
      <w:r>
        <w:rPr>
          <w:color w:val="231F20"/>
          <w:spacing w:val="-18"/>
          <w:w w:val="105"/>
        </w:rPr>
        <w:t> </w:t>
      </w:r>
      <w:r>
        <w:rPr>
          <w:color w:val="231F20"/>
          <w:w w:val="105"/>
        </w:rPr>
        <w:t>hacen</w:t>
      </w:r>
      <w:r>
        <w:rPr>
          <w:color w:val="231F20"/>
          <w:spacing w:val="-18"/>
          <w:w w:val="105"/>
        </w:rPr>
        <w:t> </w:t>
      </w:r>
      <w:r>
        <w:rPr>
          <w:color w:val="231F20"/>
          <w:w w:val="105"/>
        </w:rPr>
        <w:t>suponer la</w:t>
      </w:r>
      <w:r>
        <w:rPr>
          <w:color w:val="231F20"/>
          <w:spacing w:val="-16"/>
          <w:w w:val="105"/>
        </w:rPr>
        <w:t> </w:t>
      </w:r>
      <w:r>
        <w:rPr>
          <w:color w:val="231F20"/>
          <w:w w:val="105"/>
        </w:rPr>
        <w:t>poca</w:t>
      </w:r>
      <w:r>
        <w:rPr>
          <w:color w:val="231F20"/>
          <w:spacing w:val="-16"/>
          <w:w w:val="105"/>
        </w:rPr>
        <w:t> </w:t>
      </w:r>
      <w:r>
        <w:rPr>
          <w:color w:val="231F20"/>
          <w:w w:val="105"/>
        </w:rPr>
        <w:t>relevancia</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le</w:t>
      </w:r>
      <w:r>
        <w:rPr>
          <w:color w:val="231F20"/>
          <w:spacing w:val="-16"/>
          <w:w w:val="105"/>
        </w:rPr>
        <w:t> </w:t>
      </w:r>
      <w:r>
        <w:rPr>
          <w:color w:val="231F20"/>
          <w:w w:val="105"/>
        </w:rPr>
        <w:t>concedió</w:t>
      </w:r>
      <w:r>
        <w:rPr>
          <w:color w:val="231F20"/>
          <w:spacing w:val="-16"/>
          <w:w w:val="105"/>
        </w:rPr>
        <w:t> </w:t>
      </w:r>
      <w:r>
        <w:rPr>
          <w:color w:val="231F20"/>
          <w:spacing w:val="2"/>
          <w:w w:val="105"/>
        </w:rPr>
        <w:t>al</w:t>
      </w:r>
      <w:r>
        <w:rPr>
          <w:color w:val="231F20"/>
          <w:spacing w:val="-16"/>
          <w:w w:val="105"/>
        </w:rPr>
        <w:t> </w:t>
      </w:r>
      <w:r>
        <w:rPr>
          <w:color w:val="231F20"/>
          <w:w w:val="105"/>
        </w:rPr>
        <w:t>asunto,</w:t>
      </w:r>
      <w:r>
        <w:rPr>
          <w:color w:val="231F20"/>
          <w:spacing w:val="-16"/>
          <w:w w:val="105"/>
        </w:rPr>
        <w:t> </w:t>
      </w:r>
      <w:r>
        <w:rPr>
          <w:color w:val="231F20"/>
          <w:w w:val="105"/>
        </w:rPr>
        <w:t>sin</w:t>
      </w:r>
      <w:r>
        <w:rPr>
          <w:color w:val="231F20"/>
          <w:spacing w:val="-16"/>
          <w:w w:val="105"/>
        </w:rPr>
        <w:t> </w:t>
      </w:r>
      <w:r>
        <w:rPr>
          <w:color w:val="231F20"/>
          <w:w w:val="105"/>
        </w:rPr>
        <w:t>dar</w:t>
      </w:r>
      <w:r>
        <w:rPr>
          <w:color w:val="231F20"/>
          <w:spacing w:val="-16"/>
          <w:w w:val="105"/>
        </w:rPr>
        <w:t> </w:t>
      </w:r>
      <w:r>
        <w:rPr>
          <w:color w:val="231F20"/>
          <w:w w:val="105"/>
        </w:rPr>
        <w:t>espacio</w:t>
      </w:r>
      <w:r>
        <w:rPr>
          <w:color w:val="231F20"/>
          <w:spacing w:val="-16"/>
          <w:w w:val="105"/>
        </w:rPr>
        <w:t> </w:t>
      </w:r>
      <w:r>
        <w:rPr>
          <w:color w:val="231F20"/>
          <w:w w:val="105"/>
        </w:rPr>
        <w:t>para</w:t>
      </w:r>
      <w:r>
        <w:rPr>
          <w:color w:val="231F20"/>
          <w:spacing w:val="-16"/>
          <w:w w:val="105"/>
        </w:rPr>
        <w:t> </w:t>
      </w:r>
      <w:r>
        <w:rPr>
          <w:color w:val="231F20"/>
          <w:w w:val="105"/>
        </w:rPr>
        <w:t>una</w:t>
      </w:r>
      <w:r>
        <w:rPr>
          <w:color w:val="231F20"/>
          <w:spacing w:val="-16"/>
          <w:w w:val="105"/>
        </w:rPr>
        <w:t> </w:t>
      </w:r>
      <w:r>
        <w:rPr>
          <w:color w:val="231F20"/>
          <w:w w:val="105"/>
        </w:rPr>
        <w:t>evaluación</w:t>
      </w:r>
      <w:r>
        <w:rPr>
          <w:color w:val="231F20"/>
          <w:spacing w:val="-16"/>
          <w:w w:val="105"/>
        </w:rPr>
        <w:t> </w:t>
      </w:r>
      <w:r>
        <w:rPr>
          <w:color w:val="231F20"/>
          <w:w w:val="105"/>
        </w:rPr>
        <w:t>más cualitativa</w:t>
      </w:r>
      <w:r>
        <w:rPr>
          <w:color w:val="231F20"/>
          <w:spacing w:val="-11"/>
          <w:w w:val="105"/>
        </w:rPr>
        <w:t> </w:t>
      </w:r>
      <w:r>
        <w:rPr>
          <w:color w:val="231F20"/>
          <w:w w:val="105"/>
        </w:rPr>
        <w:t>y</w:t>
      </w:r>
      <w:r>
        <w:rPr>
          <w:color w:val="231F20"/>
          <w:spacing w:val="-11"/>
          <w:w w:val="105"/>
        </w:rPr>
        <w:t> </w:t>
      </w:r>
      <w:r>
        <w:rPr>
          <w:color w:val="231F20"/>
          <w:w w:val="105"/>
        </w:rPr>
        <w:t>sin</w:t>
      </w:r>
      <w:r>
        <w:rPr>
          <w:color w:val="231F20"/>
          <w:spacing w:val="-11"/>
          <w:w w:val="105"/>
        </w:rPr>
        <w:t> </w:t>
      </w:r>
      <w:r>
        <w:rPr>
          <w:color w:val="231F20"/>
          <w:w w:val="105"/>
        </w:rPr>
        <w:t>preocuparse</w:t>
      </w:r>
      <w:r>
        <w:rPr>
          <w:color w:val="231F20"/>
          <w:spacing w:val="-11"/>
          <w:w w:val="105"/>
        </w:rPr>
        <w:t> </w:t>
      </w:r>
      <w:r>
        <w:rPr>
          <w:color w:val="231F20"/>
          <w:w w:val="105"/>
        </w:rPr>
        <w:t>por</w:t>
      </w:r>
      <w:r>
        <w:rPr>
          <w:color w:val="231F20"/>
          <w:spacing w:val="-11"/>
          <w:w w:val="105"/>
        </w:rPr>
        <w:t> </w:t>
      </w:r>
      <w:r>
        <w:rPr>
          <w:color w:val="231F20"/>
          <w:w w:val="105"/>
        </w:rPr>
        <w:t>realmente</w:t>
      </w:r>
      <w:r>
        <w:rPr>
          <w:color w:val="231F20"/>
          <w:spacing w:val="-11"/>
          <w:w w:val="105"/>
        </w:rPr>
        <w:t> </w:t>
      </w:r>
      <w:r>
        <w:rPr>
          <w:color w:val="231F20"/>
          <w:w w:val="105"/>
        </w:rPr>
        <w:t>informar</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ciudadanía</w:t>
      </w:r>
      <w:r>
        <w:rPr>
          <w:color w:val="231F20"/>
          <w:spacing w:val="-11"/>
          <w:w w:val="105"/>
        </w:rPr>
        <w:t> </w:t>
      </w:r>
      <w:r>
        <w:rPr>
          <w:color w:val="231F20"/>
          <w:w w:val="105"/>
        </w:rPr>
        <w:t>del</w:t>
      </w:r>
      <w:r>
        <w:rPr>
          <w:color w:val="231F20"/>
          <w:spacing w:val="-11"/>
          <w:w w:val="105"/>
        </w:rPr>
        <w:t> </w:t>
      </w:r>
      <w:r>
        <w:rPr>
          <w:color w:val="231F20"/>
          <w:w w:val="105"/>
        </w:rPr>
        <w:t>municipio.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En el documento fue notorio el cambio en el orden de la presentación de las unidades estratégicas, pues se colocó en primer término a la de desarrollo humano integral. Se- guridad pública, que se supone inspiraba todo el trabajo del municipio, se ubicó como penúltimo tema en importancia.</w:t>
      </w:r>
    </w:p>
    <w:p>
      <w:pPr>
        <w:pStyle w:val="BodyText"/>
        <w:spacing w:before="2"/>
        <w:rPr>
          <w:sz w:val="20"/>
        </w:rPr>
      </w:pPr>
    </w:p>
    <w:p>
      <w:pPr>
        <w:pStyle w:val="Heading4"/>
        <w:spacing w:before="1"/>
        <w:rPr>
          <w:i/>
        </w:rPr>
      </w:pPr>
      <w:r>
        <w:rPr>
          <w:i/>
          <w:color w:val="231F20"/>
        </w:rPr>
        <w:t>Seguridad Pública</w:t>
      </w:r>
    </w:p>
    <w:p>
      <w:pPr>
        <w:pStyle w:val="BodyText"/>
        <w:spacing w:line="285" w:lineRule="auto" w:before="17"/>
        <w:ind w:left="110" w:right="106"/>
        <w:jc w:val="both"/>
      </w:pPr>
      <w:r>
        <w:rPr>
          <w:color w:val="231F20"/>
          <w:w w:val="105"/>
        </w:rPr>
        <w:t>En esta materia se volvió a señalar la reducción de los principales índices delictivos, pero</w:t>
      </w:r>
      <w:r>
        <w:rPr>
          <w:color w:val="231F20"/>
          <w:spacing w:val="-10"/>
          <w:w w:val="105"/>
        </w:rPr>
        <w:t> </w:t>
      </w:r>
      <w:r>
        <w:rPr>
          <w:color w:val="231F20"/>
          <w:w w:val="105"/>
        </w:rPr>
        <w:t>entonces</w:t>
      </w:r>
      <w:r>
        <w:rPr>
          <w:color w:val="231F20"/>
          <w:spacing w:val="-10"/>
          <w:w w:val="105"/>
        </w:rPr>
        <w:t> </w:t>
      </w:r>
      <w:r>
        <w:rPr>
          <w:color w:val="231F20"/>
          <w:w w:val="105"/>
        </w:rPr>
        <w:t>se</w:t>
      </w:r>
      <w:r>
        <w:rPr>
          <w:color w:val="231F20"/>
          <w:spacing w:val="-10"/>
          <w:w w:val="105"/>
        </w:rPr>
        <w:t> </w:t>
      </w:r>
      <w:r>
        <w:rPr>
          <w:color w:val="231F20"/>
          <w:w w:val="105"/>
        </w:rPr>
        <w:t>apuntó</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reducción</w:t>
      </w:r>
      <w:r>
        <w:rPr>
          <w:color w:val="231F20"/>
          <w:spacing w:val="-10"/>
          <w:w w:val="105"/>
        </w:rPr>
        <w:t> </w:t>
      </w:r>
      <w:r>
        <w:rPr>
          <w:color w:val="231F20"/>
          <w:w w:val="105"/>
        </w:rPr>
        <w:t>fue</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50%.</w:t>
      </w:r>
      <w:r>
        <w:rPr>
          <w:color w:val="231F20"/>
          <w:spacing w:val="-10"/>
          <w:w w:val="105"/>
        </w:rPr>
        <w:t> </w:t>
      </w:r>
      <w:r>
        <w:rPr>
          <w:color w:val="231F20"/>
          <w:w w:val="105"/>
        </w:rPr>
        <w:t>Otra</w:t>
      </w:r>
      <w:r>
        <w:rPr>
          <w:color w:val="231F20"/>
          <w:spacing w:val="-10"/>
          <w:w w:val="105"/>
        </w:rPr>
        <w:t> </w:t>
      </w:r>
      <w:r>
        <w:rPr>
          <w:color w:val="231F20"/>
          <w:w w:val="105"/>
        </w:rPr>
        <w:t>vez</w:t>
      </w:r>
      <w:r>
        <w:rPr>
          <w:color w:val="231F20"/>
          <w:spacing w:val="-10"/>
          <w:w w:val="105"/>
        </w:rPr>
        <w:t> </w:t>
      </w:r>
      <w:r>
        <w:rPr>
          <w:color w:val="231F20"/>
          <w:w w:val="105"/>
        </w:rPr>
        <w:t>se</w:t>
      </w:r>
      <w:r>
        <w:rPr>
          <w:color w:val="231F20"/>
          <w:spacing w:val="-10"/>
          <w:w w:val="105"/>
        </w:rPr>
        <w:t> </w:t>
      </w:r>
      <w:r>
        <w:rPr>
          <w:color w:val="231F20"/>
          <w:w w:val="105"/>
        </w:rPr>
        <w:t>mencionó</w:t>
      </w:r>
      <w:r>
        <w:rPr>
          <w:color w:val="231F20"/>
          <w:spacing w:val="-10"/>
          <w:w w:val="105"/>
        </w:rPr>
        <w:t> </w:t>
      </w:r>
      <w:r>
        <w:rPr>
          <w:color w:val="231F20"/>
          <w:w w:val="105"/>
        </w:rPr>
        <w:t>tanto</w:t>
      </w:r>
      <w:r>
        <w:rPr>
          <w:color w:val="231F20"/>
          <w:spacing w:val="-10"/>
          <w:w w:val="105"/>
        </w:rPr>
        <w:t> </w:t>
      </w:r>
      <w:r>
        <w:rPr>
          <w:color w:val="231F20"/>
          <w:w w:val="105"/>
        </w:rPr>
        <w:t>la capacitación</w:t>
      </w:r>
      <w:r>
        <w:rPr>
          <w:color w:val="231F20"/>
          <w:spacing w:val="-21"/>
          <w:w w:val="105"/>
        </w:rPr>
        <w:t> </w:t>
      </w:r>
      <w:r>
        <w:rPr>
          <w:color w:val="231F20"/>
          <w:w w:val="105"/>
        </w:rPr>
        <w:t>policial</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cultura</w:t>
      </w:r>
      <w:r>
        <w:rPr>
          <w:color w:val="231F20"/>
          <w:spacing w:val="-21"/>
          <w:w w:val="105"/>
        </w:rPr>
        <w:t> </w:t>
      </w:r>
      <w:r>
        <w:rPr>
          <w:color w:val="231F20"/>
          <w:w w:val="105"/>
        </w:rPr>
        <w:t>de</w:t>
      </w:r>
      <w:r>
        <w:rPr>
          <w:color w:val="231F20"/>
          <w:spacing w:val="-21"/>
          <w:w w:val="105"/>
        </w:rPr>
        <w:t> </w:t>
      </w:r>
      <w:r>
        <w:rPr>
          <w:color w:val="231F20"/>
          <w:w w:val="105"/>
        </w:rPr>
        <w:t>prevención</w:t>
      </w:r>
      <w:r>
        <w:rPr>
          <w:color w:val="231F20"/>
          <w:spacing w:val="-21"/>
          <w:w w:val="105"/>
        </w:rPr>
        <w:t> </w:t>
      </w:r>
      <w:r>
        <w:rPr>
          <w:color w:val="231F20"/>
          <w:w w:val="105"/>
        </w:rPr>
        <w:t>del</w:t>
      </w:r>
      <w:r>
        <w:rPr>
          <w:color w:val="231F20"/>
          <w:spacing w:val="-21"/>
          <w:w w:val="105"/>
        </w:rPr>
        <w:t> </w:t>
      </w:r>
      <w:r>
        <w:rPr>
          <w:color w:val="231F20"/>
          <w:w w:val="105"/>
        </w:rPr>
        <w:t>delito</w:t>
      </w:r>
      <w:r>
        <w:rPr>
          <w:color w:val="231F20"/>
          <w:spacing w:val="-21"/>
          <w:w w:val="105"/>
        </w:rPr>
        <w:t> </w:t>
      </w:r>
      <w:r>
        <w:rPr>
          <w:color w:val="231F20"/>
          <w:w w:val="105"/>
        </w:rPr>
        <w:t>entre</w:t>
      </w:r>
      <w:r>
        <w:rPr>
          <w:color w:val="231F20"/>
          <w:spacing w:val="-21"/>
          <w:w w:val="105"/>
        </w:rPr>
        <w:t> </w:t>
      </w:r>
      <w:r>
        <w:rPr>
          <w:color w:val="231F20"/>
          <w:w w:val="105"/>
        </w:rPr>
        <w:t>los</w:t>
      </w:r>
      <w:r>
        <w:rPr>
          <w:color w:val="231F20"/>
          <w:spacing w:val="-21"/>
          <w:w w:val="105"/>
        </w:rPr>
        <w:t> </w:t>
      </w:r>
      <w:r>
        <w:rPr>
          <w:color w:val="231F20"/>
          <w:w w:val="105"/>
        </w:rPr>
        <w:t>niños,</w:t>
      </w:r>
      <w:r>
        <w:rPr>
          <w:color w:val="231F20"/>
          <w:spacing w:val="-21"/>
          <w:w w:val="105"/>
        </w:rPr>
        <w:t> </w:t>
      </w:r>
      <w:r>
        <w:rPr>
          <w:color w:val="231F20"/>
          <w:w w:val="105"/>
        </w:rPr>
        <w:t>además</w:t>
      </w:r>
      <w:r>
        <w:rPr>
          <w:color w:val="231F20"/>
          <w:spacing w:val="-21"/>
          <w:w w:val="105"/>
        </w:rPr>
        <w:t> </w:t>
      </w:r>
      <w:r>
        <w:rPr>
          <w:color w:val="231F20"/>
          <w:w w:val="105"/>
        </w:rPr>
        <w:t>de la participación ciudadana en esta</w:t>
      </w:r>
      <w:r>
        <w:rPr>
          <w:color w:val="231F20"/>
          <w:spacing w:val="-37"/>
          <w:w w:val="105"/>
        </w:rPr>
        <w:t> </w:t>
      </w:r>
      <w:r>
        <w:rPr>
          <w:color w:val="231F20"/>
          <w:w w:val="105"/>
        </w:rPr>
        <w:t>tarea.</w:t>
      </w:r>
    </w:p>
    <w:p>
      <w:pPr>
        <w:pStyle w:val="BodyText"/>
        <w:spacing w:before="1"/>
        <w:rPr>
          <w:sz w:val="26"/>
        </w:rPr>
      </w:pPr>
    </w:p>
    <w:p>
      <w:pPr>
        <w:pStyle w:val="Heading5"/>
        <w:ind w:right="102"/>
        <w:jc w:val="center"/>
      </w:pPr>
      <w:r>
        <w:rPr>
          <w:color w:val="231F20"/>
          <w:w w:val="105"/>
        </w:rPr>
        <w:t>Tabla 14. Acciones</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0"/>
                <w:sz w:val="16"/>
              </w:rPr>
              <w:t>53 mil operativos, de ellos, 900 se relacionaron con el alcoholímetro, reductor y radares de velocidad</w:t>
            </w:r>
          </w:p>
        </w:tc>
      </w:tr>
      <w:tr>
        <w:trPr>
          <w:trHeight w:val="130" w:hRule="exact"/>
        </w:trPr>
        <w:tc>
          <w:tcPr>
            <w:tcW w:w="7927" w:type="dxa"/>
          </w:tcPr>
          <w:p>
            <w:pPr>
              <w:pStyle w:val="TableParagraph"/>
              <w:spacing w:line="160" w:lineRule="exact"/>
              <w:ind w:right="141"/>
              <w:rPr>
                <w:sz w:val="16"/>
              </w:rPr>
            </w:pPr>
            <w:r>
              <w:rPr>
                <w:color w:val="231F20"/>
                <w:w w:val="80"/>
                <w:sz w:val="16"/>
              </w:rPr>
              <w:t>Reducción promedio de 50% del número de incidentes delictivos</w:t>
            </w:r>
          </w:p>
        </w:tc>
      </w:tr>
      <w:tr>
        <w:trPr>
          <w:trHeight w:val="130" w:hRule="exact"/>
        </w:trPr>
        <w:tc>
          <w:tcPr>
            <w:tcW w:w="7927" w:type="dxa"/>
          </w:tcPr>
          <w:p>
            <w:pPr>
              <w:pStyle w:val="TableParagraph"/>
              <w:spacing w:line="160" w:lineRule="exact"/>
              <w:ind w:right="141"/>
              <w:rPr>
                <w:sz w:val="16"/>
              </w:rPr>
            </w:pPr>
            <w:r>
              <w:rPr>
                <w:color w:val="231F20"/>
                <w:w w:val="80"/>
                <w:sz w:val="16"/>
              </w:rPr>
              <w:t>Reducción promedio de 34% del número de robos de automóviles</w:t>
            </w:r>
          </w:p>
        </w:tc>
      </w:tr>
      <w:tr>
        <w:trPr>
          <w:trHeight w:val="130" w:hRule="exact"/>
        </w:trPr>
        <w:tc>
          <w:tcPr>
            <w:tcW w:w="7927" w:type="dxa"/>
          </w:tcPr>
          <w:p>
            <w:pPr>
              <w:pStyle w:val="TableParagraph"/>
              <w:spacing w:line="160" w:lineRule="exact"/>
              <w:ind w:right="141"/>
              <w:rPr>
                <w:sz w:val="16"/>
              </w:rPr>
            </w:pPr>
            <w:r>
              <w:rPr>
                <w:color w:val="231F20"/>
                <w:w w:val="80"/>
                <w:sz w:val="16"/>
              </w:rPr>
              <w:t>30 cursos de formación y actualización a 1, 800 policías</w:t>
            </w:r>
          </w:p>
        </w:tc>
      </w:tr>
      <w:tr>
        <w:trPr>
          <w:trHeight w:val="130" w:hRule="exact"/>
        </w:trPr>
        <w:tc>
          <w:tcPr>
            <w:tcW w:w="7927" w:type="dxa"/>
          </w:tcPr>
          <w:p>
            <w:pPr>
              <w:pStyle w:val="TableParagraph"/>
              <w:spacing w:line="160" w:lineRule="exact"/>
              <w:ind w:right="141"/>
              <w:rPr>
                <w:sz w:val="16"/>
              </w:rPr>
            </w:pPr>
            <w:r>
              <w:rPr>
                <w:color w:val="231F20"/>
                <w:w w:val="80"/>
                <w:sz w:val="16"/>
              </w:rPr>
              <w:t>Con el programa DARE se instruyó a 57 mil estudiantes sobre el uso de drogas y sobre violencia</w:t>
            </w:r>
          </w:p>
        </w:tc>
      </w:tr>
      <w:tr>
        <w:trPr>
          <w:trHeight w:val="130" w:hRule="exact"/>
        </w:trPr>
        <w:tc>
          <w:tcPr>
            <w:tcW w:w="7927" w:type="dxa"/>
          </w:tcPr>
          <w:p>
            <w:pPr>
              <w:pStyle w:val="TableParagraph"/>
              <w:spacing w:line="160" w:lineRule="exact"/>
              <w:ind w:right="141"/>
              <w:rPr>
                <w:sz w:val="16"/>
              </w:rPr>
            </w:pPr>
            <w:r>
              <w:rPr>
                <w:color w:val="231F20"/>
                <w:w w:val="80"/>
                <w:sz w:val="16"/>
              </w:rPr>
              <w:t>La Central de Emergencia 066 atendió 180 mil llamadas</w:t>
            </w:r>
          </w:p>
        </w:tc>
      </w:tr>
      <w:tr>
        <w:trPr>
          <w:trHeight w:val="130" w:hRule="exact"/>
        </w:trPr>
        <w:tc>
          <w:tcPr>
            <w:tcW w:w="7927" w:type="dxa"/>
          </w:tcPr>
          <w:p>
            <w:pPr>
              <w:pStyle w:val="TableParagraph"/>
              <w:spacing w:line="160" w:lineRule="exact"/>
              <w:ind w:right="141"/>
              <w:rPr>
                <w:sz w:val="16"/>
              </w:rPr>
            </w:pPr>
            <w:r>
              <w:rPr>
                <w:color w:val="231F20"/>
                <w:w w:val="80"/>
                <w:sz w:val="16"/>
              </w:rPr>
              <w:t>El Programa “Vecino Vigilante” se instrumentó en más de 50 colonias para la prevención del delito</w:t>
            </w:r>
          </w:p>
        </w:tc>
      </w:tr>
      <w:tr>
        <w:trPr>
          <w:trHeight w:val="290" w:hRule="exact"/>
        </w:trPr>
        <w:tc>
          <w:tcPr>
            <w:tcW w:w="7927" w:type="dxa"/>
          </w:tcPr>
          <w:p>
            <w:pPr>
              <w:pStyle w:val="TableParagraph"/>
              <w:spacing w:line="196" w:lineRule="auto"/>
              <w:ind w:right="141"/>
              <w:rPr>
                <w:sz w:val="16"/>
              </w:rPr>
            </w:pPr>
            <w:r>
              <w:rPr>
                <w:color w:val="231F20"/>
                <w:w w:val="80"/>
                <w:sz w:val="16"/>
              </w:rPr>
              <w:t>Compra</w:t>
            </w:r>
            <w:r>
              <w:rPr>
                <w:color w:val="231F20"/>
                <w:spacing w:val="-18"/>
                <w:w w:val="80"/>
                <w:sz w:val="16"/>
              </w:rPr>
              <w:t> </w:t>
            </w:r>
            <w:r>
              <w:rPr>
                <w:color w:val="231F20"/>
                <w:w w:val="80"/>
                <w:sz w:val="16"/>
              </w:rPr>
              <w:t>de</w:t>
            </w:r>
            <w:r>
              <w:rPr>
                <w:color w:val="231F20"/>
                <w:spacing w:val="-18"/>
                <w:w w:val="80"/>
                <w:sz w:val="16"/>
              </w:rPr>
              <w:t> </w:t>
            </w:r>
            <w:r>
              <w:rPr>
                <w:color w:val="231F20"/>
                <w:w w:val="80"/>
                <w:sz w:val="16"/>
              </w:rPr>
              <w:t>mochilas</w:t>
            </w:r>
            <w:r>
              <w:rPr>
                <w:color w:val="231F20"/>
                <w:spacing w:val="-18"/>
                <w:w w:val="80"/>
                <w:sz w:val="16"/>
              </w:rPr>
              <w:t> </w:t>
            </w:r>
            <w:r>
              <w:rPr>
                <w:color w:val="231F20"/>
                <w:w w:val="80"/>
                <w:sz w:val="16"/>
              </w:rPr>
              <w:t>con</w:t>
            </w:r>
            <w:r>
              <w:rPr>
                <w:color w:val="231F20"/>
                <w:spacing w:val="-18"/>
                <w:w w:val="80"/>
                <w:sz w:val="16"/>
              </w:rPr>
              <w:t> </w:t>
            </w:r>
            <w:r>
              <w:rPr>
                <w:color w:val="231F20"/>
                <w:w w:val="80"/>
                <w:sz w:val="16"/>
              </w:rPr>
              <w:t>sistemas</w:t>
            </w:r>
            <w:r>
              <w:rPr>
                <w:color w:val="231F20"/>
                <w:spacing w:val="-18"/>
                <w:w w:val="80"/>
                <w:sz w:val="16"/>
              </w:rPr>
              <w:t> </w:t>
            </w:r>
            <w:r>
              <w:rPr>
                <w:color w:val="231F20"/>
                <w:w w:val="80"/>
                <w:sz w:val="16"/>
              </w:rPr>
              <w:t>de</w:t>
            </w:r>
            <w:r>
              <w:rPr>
                <w:color w:val="231F20"/>
                <w:spacing w:val="-18"/>
                <w:w w:val="80"/>
                <w:sz w:val="16"/>
              </w:rPr>
              <w:t> </w:t>
            </w:r>
            <w:r>
              <w:rPr>
                <w:color w:val="231F20"/>
                <w:w w:val="80"/>
                <w:sz w:val="16"/>
              </w:rPr>
              <w:t>aspersión</w:t>
            </w:r>
            <w:r>
              <w:rPr>
                <w:color w:val="231F20"/>
                <w:spacing w:val="-18"/>
                <w:w w:val="80"/>
                <w:sz w:val="16"/>
              </w:rPr>
              <w:t> </w:t>
            </w:r>
            <w:r>
              <w:rPr>
                <w:color w:val="231F20"/>
                <w:w w:val="80"/>
                <w:sz w:val="16"/>
              </w:rPr>
              <w:t>de</w:t>
            </w:r>
            <w:r>
              <w:rPr>
                <w:color w:val="231F20"/>
                <w:spacing w:val="-18"/>
                <w:w w:val="80"/>
                <w:sz w:val="16"/>
              </w:rPr>
              <w:t> </w:t>
            </w:r>
            <w:r>
              <w:rPr>
                <w:color w:val="231F20"/>
                <w:w w:val="80"/>
                <w:sz w:val="16"/>
              </w:rPr>
              <w:t>agua,</w:t>
            </w:r>
            <w:r>
              <w:rPr>
                <w:color w:val="231F20"/>
                <w:spacing w:val="-18"/>
                <w:w w:val="80"/>
                <w:sz w:val="16"/>
              </w:rPr>
              <w:t> </w:t>
            </w:r>
            <w:r>
              <w:rPr>
                <w:color w:val="231F20"/>
                <w:w w:val="80"/>
                <w:sz w:val="16"/>
              </w:rPr>
              <w:t>un</w:t>
            </w:r>
            <w:r>
              <w:rPr>
                <w:color w:val="231F20"/>
                <w:spacing w:val="-18"/>
                <w:w w:val="80"/>
                <w:sz w:val="16"/>
              </w:rPr>
              <w:t> </w:t>
            </w:r>
            <w:r>
              <w:rPr>
                <w:color w:val="231F20"/>
                <w:w w:val="80"/>
                <w:sz w:val="16"/>
              </w:rPr>
              <w:t>autotanque</w:t>
            </w:r>
            <w:r>
              <w:rPr>
                <w:color w:val="231F20"/>
                <w:spacing w:val="-18"/>
                <w:w w:val="80"/>
                <w:sz w:val="16"/>
              </w:rPr>
              <w:t> </w:t>
            </w:r>
            <w:r>
              <w:rPr>
                <w:color w:val="231F20"/>
                <w:w w:val="80"/>
                <w:sz w:val="16"/>
              </w:rPr>
              <w:t>y</w:t>
            </w:r>
            <w:r>
              <w:rPr>
                <w:color w:val="231F20"/>
                <w:spacing w:val="-18"/>
                <w:w w:val="80"/>
                <w:sz w:val="16"/>
              </w:rPr>
              <w:t> </w:t>
            </w:r>
            <w:r>
              <w:rPr>
                <w:color w:val="231F20"/>
                <w:w w:val="80"/>
                <w:sz w:val="16"/>
              </w:rPr>
              <w:t>dos</w:t>
            </w:r>
            <w:r>
              <w:rPr>
                <w:color w:val="231F20"/>
                <w:spacing w:val="-18"/>
                <w:w w:val="80"/>
                <w:sz w:val="16"/>
              </w:rPr>
              <w:t> </w:t>
            </w:r>
            <w:r>
              <w:rPr>
                <w:color w:val="231F20"/>
                <w:w w:val="80"/>
                <w:sz w:val="16"/>
              </w:rPr>
              <w:t>dispositivos</w:t>
            </w:r>
            <w:r>
              <w:rPr>
                <w:color w:val="231F20"/>
                <w:spacing w:val="-18"/>
                <w:w w:val="80"/>
                <w:sz w:val="16"/>
              </w:rPr>
              <w:t> </w:t>
            </w:r>
            <w:r>
              <w:rPr>
                <w:color w:val="231F20"/>
                <w:w w:val="80"/>
                <w:sz w:val="16"/>
              </w:rPr>
              <w:t>de</w:t>
            </w:r>
            <w:r>
              <w:rPr>
                <w:color w:val="231F20"/>
                <w:spacing w:val="-18"/>
                <w:w w:val="80"/>
                <w:sz w:val="16"/>
              </w:rPr>
              <w:t> </w:t>
            </w:r>
            <w:r>
              <w:rPr>
                <w:color w:val="231F20"/>
                <w:w w:val="80"/>
                <w:sz w:val="16"/>
              </w:rPr>
              <w:t>rescate</w:t>
            </w:r>
            <w:r>
              <w:rPr>
                <w:color w:val="231F20"/>
                <w:spacing w:val="-18"/>
                <w:w w:val="80"/>
                <w:sz w:val="16"/>
              </w:rPr>
              <w:t> </w:t>
            </w:r>
            <w:r>
              <w:rPr>
                <w:color w:val="231F20"/>
                <w:w w:val="80"/>
                <w:sz w:val="16"/>
              </w:rPr>
              <w:t>para</w:t>
            </w:r>
            <w:r>
              <w:rPr>
                <w:color w:val="231F20"/>
                <w:spacing w:val="-18"/>
                <w:w w:val="80"/>
                <w:sz w:val="16"/>
              </w:rPr>
              <w:t> </w:t>
            </w:r>
            <w:r>
              <w:rPr>
                <w:color w:val="231F20"/>
                <w:w w:val="80"/>
                <w:sz w:val="16"/>
              </w:rPr>
              <w:t>accidentes</w:t>
            </w:r>
            <w:r>
              <w:rPr>
                <w:color w:val="231F20"/>
                <w:spacing w:val="-18"/>
                <w:w w:val="80"/>
                <w:sz w:val="16"/>
              </w:rPr>
              <w:t> </w:t>
            </w:r>
            <w:r>
              <w:rPr>
                <w:color w:val="231F20"/>
                <w:w w:val="80"/>
                <w:sz w:val="16"/>
              </w:rPr>
              <w:t>automovilísticos</w:t>
            </w:r>
            <w:r>
              <w:rPr>
                <w:color w:val="231F20"/>
                <w:spacing w:val="-18"/>
                <w:w w:val="80"/>
                <w:sz w:val="16"/>
              </w:rPr>
              <w:t> </w:t>
            </w:r>
            <w:r>
              <w:rPr>
                <w:color w:val="231F20"/>
                <w:w w:val="80"/>
                <w:sz w:val="16"/>
              </w:rPr>
              <w:t>para</w:t>
            </w:r>
            <w:r>
              <w:rPr>
                <w:color w:val="231F20"/>
                <w:spacing w:val="-18"/>
                <w:w w:val="80"/>
                <w:sz w:val="16"/>
              </w:rPr>
              <w:t> </w:t>
            </w:r>
            <w:r>
              <w:rPr>
                <w:color w:val="231F20"/>
                <w:w w:val="80"/>
                <w:sz w:val="16"/>
              </w:rPr>
              <w:t>el</w:t>
            </w:r>
            <w:r>
              <w:rPr>
                <w:color w:val="231F20"/>
                <w:spacing w:val="-18"/>
                <w:w w:val="80"/>
                <w:sz w:val="16"/>
              </w:rPr>
              <w:t> </w:t>
            </w:r>
            <w:r>
              <w:rPr>
                <w:color w:val="231F20"/>
                <w:w w:val="80"/>
                <w:sz w:val="16"/>
              </w:rPr>
              <w:t>Cuerpo</w:t>
            </w:r>
            <w:r>
              <w:rPr>
                <w:color w:val="231F20"/>
                <w:spacing w:val="-18"/>
                <w:w w:val="80"/>
                <w:sz w:val="16"/>
              </w:rPr>
              <w:t> </w:t>
            </w:r>
            <w:r>
              <w:rPr>
                <w:color w:val="231F20"/>
                <w:w w:val="80"/>
                <w:sz w:val="16"/>
              </w:rPr>
              <w:t>de </w:t>
            </w:r>
            <w:r>
              <w:rPr>
                <w:color w:val="231F20"/>
                <w:w w:val="85"/>
                <w:sz w:val="16"/>
              </w:rPr>
              <w:t>Bomberos</w:t>
            </w:r>
          </w:p>
        </w:tc>
      </w:tr>
    </w:tbl>
    <w:p>
      <w:pPr>
        <w:pStyle w:val="BodyText"/>
        <w:spacing w:before="7"/>
        <w:rPr>
          <w:b/>
          <w:sz w:val="24"/>
        </w:rPr>
      </w:pPr>
    </w:p>
    <w:p>
      <w:pPr>
        <w:spacing w:before="74"/>
        <w:ind w:left="0" w:right="108" w:firstLine="0"/>
        <w:jc w:val="right"/>
        <w:rPr>
          <w:rFonts w:ascii="Calibri" w:hAnsi="Calibri"/>
          <w:sz w:val="16"/>
        </w:rPr>
      </w:pPr>
      <w:r>
        <w:rPr>
          <w:rFonts w:ascii="Calibri" w:hAnsi="Calibri"/>
          <w:color w:val="231F20"/>
          <w:sz w:val="16"/>
        </w:rPr>
        <w:t>Fuente: 2º informe de gobierno, 2008</w:t>
      </w:r>
    </w:p>
    <w:p>
      <w:pPr>
        <w:pStyle w:val="BodyText"/>
        <w:spacing w:before="3"/>
        <w:rPr>
          <w:rFonts w:ascii="Calibri"/>
          <w:sz w:val="23"/>
        </w:rPr>
      </w:pPr>
    </w:p>
    <w:p>
      <w:pPr>
        <w:pStyle w:val="Heading4"/>
        <w:spacing w:before="1"/>
        <w:rPr>
          <w:i/>
        </w:rPr>
      </w:pPr>
      <w:r>
        <w:rPr>
          <w:i/>
          <w:color w:val="231F20"/>
        </w:rPr>
        <w:t>Desarrollo Humano Integral</w:t>
      </w:r>
    </w:p>
    <w:p>
      <w:pPr>
        <w:pStyle w:val="BodyText"/>
        <w:spacing w:line="285" w:lineRule="auto" w:before="17"/>
        <w:ind w:left="110" w:right="107"/>
        <w:jc w:val="both"/>
      </w:pPr>
      <w:r>
        <w:rPr>
          <w:color w:val="231F20"/>
          <w:spacing w:val="3"/>
          <w:w w:val="105"/>
        </w:rPr>
        <w:t>Al</w:t>
      </w:r>
      <w:r>
        <w:rPr>
          <w:color w:val="231F20"/>
          <w:spacing w:val="-14"/>
          <w:w w:val="105"/>
        </w:rPr>
        <w:t> </w:t>
      </w:r>
      <w:r>
        <w:rPr>
          <w:color w:val="231F20"/>
          <w:w w:val="105"/>
        </w:rPr>
        <w:t>respecto,</w:t>
      </w:r>
      <w:r>
        <w:rPr>
          <w:color w:val="231F20"/>
          <w:spacing w:val="-14"/>
          <w:w w:val="105"/>
        </w:rPr>
        <w:t> </w:t>
      </w:r>
      <w:r>
        <w:rPr>
          <w:color w:val="231F20"/>
          <w:w w:val="105"/>
        </w:rPr>
        <w:t>el</w:t>
      </w:r>
      <w:r>
        <w:rPr>
          <w:color w:val="231F20"/>
          <w:spacing w:val="-14"/>
          <w:w w:val="105"/>
        </w:rPr>
        <w:t> </w:t>
      </w:r>
      <w:r>
        <w:rPr>
          <w:color w:val="231F20"/>
          <w:w w:val="105"/>
        </w:rPr>
        <w:t>informe</w:t>
      </w:r>
      <w:r>
        <w:rPr>
          <w:color w:val="231F20"/>
          <w:spacing w:val="-14"/>
          <w:w w:val="105"/>
        </w:rPr>
        <w:t> </w:t>
      </w:r>
      <w:r>
        <w:rPr>
          <w:color w:val="231F20"/>
          <w:w w:val="105"/>
        </w:rPr>
        <w:t>señalaba</w:t>
      </w:r>
      <w:r>
        <w:rPr>
          <w:color w:val="231F20"/>
          <w:spacing w:val="-14"/>
          <w:w w:val="105"/>
        </w:rPr>
        <w:t> </w:t>
      </w:r>
      <w:r>
        <w:rPr>
          <w:color w:val="231F20"/>
          <w:w w:val="105"/>
        </w:rPr>
        <w:t>cifras</w:t>
      </w:r>
      <w:r>
        <w:rPr>
          <w:color w:val="231F20"/>
          <w:spacing w:val="-14"/>
          <w:w w:val="105"/>
        </w:rPr>
        <w:t> </w:t>
      </w:r>
      <w:r>
        <w:rPr>
          <w:color w:val="231F20"/>
          <w:w w:val="105"/>
        </w:rPr>
        <w:t>menores</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del</w:t>
      </w:r>
      <w:r>
        <w:rPr>
          <w:color w:val="231F20"/>
          <w:spacing w:val="-14"/>
          <w:w w:val="105"/>
        </w:rPr>
        <w:t> </w:t>
      </w:r>
      <w:r>
        <w:rPr>
          <w:color w:val="231F20"/>
          <w:w w:val="105"/>
        </w:rPr>
        <w:t>primer</w:t>
      </w:r>
      <w:r>
        <w:rPr>
          <w:color w:val="231F20"/>
          <w:spacing w:val="-14"/>
          <w:w w:val="105"/>
        </w:rPr>
        <w:t> </w:t>
      </w:r>
      <w:r>
        <w:rPr>
          <w:color w:val="231F20"/>
          <w:w w:val="105"/>
        </w:rPr>
        <w:t>año:</w:t>
      </w:r>
      <w:r>
        <w:rPr>
          <w:color w:val="231F20"/>
          <w:spacing w:val="-14"/>
          <w:w w:val="105"/>
        </w:rPr>
        <w:t> </w:t>
      </w:r>
      <w:r>
        <w:rPr>
          <w:color w:val="231F20"/>
          <w:w w:val="105"/>
        </w:rPr>
        <w:t>hubo</w:t>
      </w:r>
      <w:r>
        <w:rPr>
          <w:color w:val="231F20"/>
          <w:spacing w:val="-14"/>
          <w:w w:val="105"/>
        </w:rPr>
        <w:t> </w:t>
      </w:r>
      <w:r>
        <w:rPr>
          <w:color w:val="231F20"/>
          <w:w w:val="105"/>
        </w:rPr>
        <w:t>menos</w:t>
      </w:r>
      <w:r>
        <w:rPr>
          <w:color w:val="231F20"/>
          <w:spacing w:val="-14"/>
          <w:w w:val="105"/>
        </w:rPr>
        <w:t> </w:t>
      </w:r>
      <w:r>
        <w:rPr>
          <w:color w:val="231F20"/>
          <w:w w:val="105"/>
        </w:rPr>
        <w:t>becas para</w:t>
      </w:r>
      <w:r>
        <w:rPr>
          <w:color w:val="231F20"/>
          <w:spacing w:val="-8"/>
          <w:w w:val="105"/>
        </w:rPr>
        <w:t> </w:t>
      </w:r>
      <w:r>
        <w:rPr>
          <w:color w:val="231F20"/>
          <w:w w:val="105"/>
        </w:rPr>
        <w:t>los</w:t>
      </w:r>
      <w:r>
        <w:rPr>
          <w:color w:val="231F20"/>
          <w:spacing w:val="-8"/>
          <w:w w:val="105"/>
        </w:rPr>
        <w:t> </w:t>
      </w:r>
      <w:r>
        <w:rPr>
          <w:color w:val="231F20"/>
          <w:w w:val="105"/>
        </w:rPr>
        <w:t>estudiantes</w:t>
      </w:r>
      <w:r>
        <w:rPr>
          <w:color w:val="231F20"/>
          <w:spacing w:val="-8"/>
          <w:w w:val="105"/>
        </w:rPr>
        <w:t> </w:t>
      </w:r>
      <w:r>
        <w:rPr>
          <w:color w:val="231F20"/>
          <w:w w:val="105"/>
        </w:rPr>
        <w:t>de</w:t>
      </w:r>
      <w:r>
        <w:rPr>
          <w:color w:val="231F20"/>
          <w:spacing w:val="-8"/>
          <w:w w:val="105"/>
        </w:rPr>
        <w:t> </w:t>
      </w:r>
      <w:r>
        <w:rPr>
          <w:color w:val="231F20"/>
          <w:w w:val="105"/>
        </w:rPr>
        <w:t>educación</w:t>
      </w:r>
      <w:r>
        <w:rPr>
          <w:color w:val="231F20"/>
          <w:spacing w:val="-8"/>
          <w:w w:val="105"/>
        </w:rPr>
        <w:t> </w:t>
      </w:r>
      <w:r>
        <w:rPr>
          <w:color w:val="231F20"/>
          <w:w w:val="105"/>
        </w:rPr>
        <w:t>básica</w:t>
      </w:r>
      <w:r>
        <w:rPr>
          <w:color w:val="231F20"/>
          <w:spacing w:val="-8"/>
          <w:w w:val="105"/>
        </w:rPr>
        <w:t> </w:t>
      </w:r>
      <w:r>
        <w:rPr>
          <w:color w:val="231F20"/>
          <w:w w:val="105"/>
        </w:rPr>
        <w:t>y</w:t>
      </w:r>
      <w:r>
        <w:rPr>
          <w:color w:val="231F20"/>
          <w:spacing w:val="-8"/>
          <w:w w:val="105"/>
        </w:rPr>
        <w:t> </w:t>
      </w:r>
      <w:r>
        <w:rPr>
          <w:color w:val="231F20"/>
          <w:w w:val="105"/>
        </w:rPr>
        <w:t>se</w:t>
      </w:r>
      <w:r>
        <w:rPr>
          <w:color w:val="231F20"/>
          <w:spacing w:val="-8"/>
          <w:w w:val="105"/>
        </w:rPr>
        <w:t> </w:t>
      </w:r>
      <w:r>
        <w:rPr>
          <w:color w:val="231F20"/>
          <w:w w:val="105"/>
        </w:rPr>
        <w:t>compraron</w:t>
      </w:r>
      <w:r>
        <w:rPr>
          <w:color w:val="231F20"/>
          <w:spacing w:val="-8"/>
          <w:w w:val="105"/>
        </w:rPr>
        <w:t> </w:t>
      </w:r>
      <w:r>
        <w:rPr>
          <w:color w:val="231F20"/>
          <w:w w:val="105"/>
        </w:rPr>
        <w:t>menos</w:t>
      </w:r>
      <w:r>
        <w:rPr>
          <w:color w:val="231F20"/>
          <w:spacing w:val="-8"/>
          <w:w w:val="105"/>
        </w:rPr>
        <w:t> </w:t>
      </w:r>
      <w:r>
        <w:rPr>
          <w:color w:val="231F20"/>
          <w:w w:val="105"/>
        </w:rPr>
        <w:t>computadoras</w:t>
      </w:r>
      <w:r>
        <w:rPr>
          <w:color w:val="231F20"/>
          <w:spacing w:val="-8"/>
          <w:w w:val="105"/>
        </w:rPr>
        <w:t> </w:t>
      </w:r>
      <w:r>
        <w:rPr>
          <w:color w:val="231F20"/>
          <w:spacing w:val="-3"/>
          <w:w w:val="105"/>
        </w:rPr>
        <w:t>(aunque </w:t>
      </w:r>
      <w:r>
        <w:rPr>
          <w:color w:val="231F20"/>
          <w:w w:val="105"/>
        </w:rPr>
        <w:t>se</w:t>
      </w:r>
      <w:r>
        <w:rPr>
          <w:color w:val="231F20"/>
          <w:spacing w:val="-10"/>
          <w:w w:val="105"/>
        </w:rPr>
        <w:t> </w:t>
      </w:r>
      <w:r>
        <w:rPr>
          <w:color w:val="231F20"/>
          <w:w w:val="105"/>
        </w:rPr>
        <w:t>siguió</w:t>
      </w:r>
      <w:r>
        <w:rPr>
          <w:color w:val="231F20"/>
          <w:spacing w:val="-10"/>
          <w:w w:val="105"/>
        </w:rPr>
        <w:t> </w:t>
      </w:r>
      <w:r>
        <w:rPr>
          <w:color w:val="231F20"/>
          <w:w w:val="105"/>
        </w:rPr>
        <w:t>apoyando</w:t>
      </w:r>
      <w:r>
        <w:rPr>
          <w:color w:val="231F20"/>
          <w:spacing w:val="-10"/>
          <w:w w:val="105"/>
        </w:rPr>
        <w:t> </w:t>
      </w:r>
      <w:r>
        <w:rPr>
          <w:color w:val="231F20"/>
          <w:spacing w:val="2"/>
          <w:w w:val="105"/>
        </w:rPr>
        <w:t>al</w:t>
      </w:r>
      <w:r>
        <w:rPr>
          <w:color w:val="231F20"/>
          <w:spacing w:val="-10"/>
          <w:w w:val="105"/>
        </w:rPr>
        <w:t> </w:t>
      </w:r>
      <w:r>
        <w:rPr>
          <w:color w:val="231F20"/>
          <w:w w:val="105"/>
        </w:rPr>
        <w:t>mismo</w:t>
      </w:r>
      <w:r>
        <w:rPr>
          <w:color w:val="231F20"/>
          <w:spacing w:val="-10"/>
          <w:w w:val="105"/>
        </w:rPr>
        <w:t> </w:t>
      </w:r>
      <w:r>
        <w:rPr>
          <w:color w:val="231F20"/>
          <w:w w:val="105"/>
        </w:rPr>
        <w:t>número</w:t>
      </w:r>
      <w:r>
        <w:rPr>
          <w:color w:val="231F20"/>
          <w:spacing w:val="-10"/>
          <w:w w:val="105"/>
        </w:rPr>
        <w:t> </w:t>
      </w:r>
      <w:r>
        <w:rPr>
          <w:color w:val="231F20"/>
          <w:w w:val="105"/>
        </w:rPr>
        <w:t>de</w:t>
      </w:r>
      <w:r>
        <w:rPr>
          <w:color w:val="231F20"/>
          <w:spacing w:val="-10"/>
          <w:w w:val="105"/>
        </w:rPr>
        <w:t> </w:t>
      </w:r>
      <w:r>
        <w:rPr>
          <w:color w:val="231F20"/>
          <w:w w:val="105"/>
        </w:rPr>
        <w:t>madres</w:t>
      </w:r>
      <w:r>
        <w:rPr>
          <w:color w:val="231F20"/>
          <w:spacing w:val="-10"/>
          <w:w w:val="105"/>
        </w:rPr>
        <w:t> </w:t>
      </w:r>
      <w:r>
        <w:rPr>
          <w:color w:val="231F20"/>
          <w:w w:val="105"/>
        </w:rPr>
        <w:t>solteras).</w:t>
      </w:r>
      <w:r>
        <w:rPr>
          <w:color w:val="231F20"/>
          <w:spacing w:val="-10"/>
          <w:w w:val="105"/>
        </w:rPr>
        <w:t> </w:t>
      </w:r>
      <w:r>
        <w:rPr>
          <w:color w:val="231F20"/>
          <w:w w:val="105"/>
        </w:rPr>
        <w:t>Es</w:t>
      </w:r>
      <w:r>
        <w:rPr>
          <w:color w:val="231F20"/>
          <w:spacing w:val="-10"/>
          <w:w w:val="105"/>
        </w:rPr>
        <w:t> </w:t>
      </w:r>
      <w:r>
        <w:rPr>
          <w:color w:val="231F20"/>
          <w:w w:val="105"/>
        </w:rPr>
        <w:t>probable</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inicio</w:t>
      </w:r>
      <w:r>
        <w:rPr>
          <w:color w:val="231F20"/>
          <w:spacing w:val="-10"/>
          <w:w w:val="105"/>
        </w:rPr>
        <w:t> </w:t>
      </w:r>
      <w:r>
        <w:rPr>
          <w:color w:val="231F20"/>
          <w:w w:val="105"/>
        </w:rPr>
        <w:t>del programa</w:t>
      </w:r>
      <w:r>
        <w:rPr>
          <w:color w:val="231F20"/>
          <w:spacing w:val="-10"/>
          <w:w w:val="105"/>
        </w:rPr>
        <w:t> </w:t>
      </w:r>
      <w:r>
        <w:rPr>
          <w:color w:val="231F20"/>
          <w:w w:val="105"/>
        </w:rPr>
        <w:t>de</w:t>
      </w:r>
      <w:r>
        <w:rPr>
          <w:color w:val="231F20"/>
          <w:spacing w:val="-10"/>
          <w:w w:val="105"/>
        </w:rPr>
        <w:t> </w:t>
      </w:r>
      <w:r>
        <w:rPr>
          <w:color w:val="231F20"/>
          <w:w w:val="105"/>
        </w:rPr>
        <w:t>rehabilitación</w:t>
      </w:r>
      <w:r>
        <w:rPr>
          <w:color w:val="231F20"/>
          <w:spacing w:val="-10"/>
          <w:w w:val="105"/>
        </w:rPr>
        <w:t> </w:t>
      </w:r>
      <w:r>
        <w:rPr>
          <w:color w:val="231F20"/>
          <w:w w:val="105"/>
        </w:rPr>
        <w:t>de</w:t>
      </w:r>
      <w:r>
        <w:rPr>
          <w:color w:val="231F20"/>
          <w:spacing w:val="-10"/>
          <w:w w:val="105"/>
        </w:rPr>
        <w:t> </w:t>
      </w:r>
      <w:r>
        <w:rPr>
          <w:color w:val="231F20"/>
          <w:w w:val="105"/>
        </w:rPr>
        <w:t>escuelas</w:t>
      </w:r>
      <w:r>
        <w:rPr>
          <w:color w:val="231F20"/>
          <w:spacing w:val="-10"/>
          <w:w w:val="105"/>
        </w:rPr>
        <w:t> </w:t>
      </w:r>
      <w:r>
        <w:rPr>
          <w:color w:val="231F20"/>
          <w:w w:val="105"/>
        </w:rPr>
        <w:t>haya</w:t>
      </w:r>
      <w:r>
        <w:rPr>
          <w:color w:val="231F20"/>
          <w:spacing w:val="-10"/>
          <w:w w:val="105"/>
        </w:rPr>
        <w:t> </w:t>
      </w:r>
      <w:r>
        <w:rPr>
          <w:color w:val="231F20"/>
          <w:w w:val="105"/>
        </w:rPr>
        <w:t>sido</w:t>
      </w:r>
      <w:r>
        <w:rPr>
          <w:color w:val="231F20"/>
          <w:spacing w:val="-10"/>
          <w:w w:val="105"/>
        </w:rPr>
        <w:t> </w:t>
      </w:r>
      <w:r>
        <w:rPr>
          <w:color w:val="231F20"/>
          <w:w w:val="105"/>
        </w:rPr>
        <w:t>la</w:t>
      </w:r>
      <w:r>
        <w:rPr>
          <w:color w:val="231F20"/>
          <w:spacing w:val="-10"/>
          <w:w w:val="105"/>
        </w:rPr>
        <w:t> </w:t>
      </w:r>
      <w:r>
        <w:rPr>
          <w:color w:val="231F20"/>
          <w:w w:val="105"/>
        </w:rPr>
        <w:t>causa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reducción</w:t>
      </w:r>
      <w:r>
        <w:rPr>
          <w:color w:val="231F20"/>
          <w:spacing w:val="-10"/>
          <w:w w:val="105"/>
        </w:rPr>
        <w:t> </w:t>
      </w:r>
      <w:r>
        <w:rPr>
          <w:color w:val="231F20"/>
          <w:w w:val="105"/>
        </w:rPr>
        <w:t>de</w:t>
      </w:r>
      <w:r>
        <w:rPr>
          <w:color w:val="231F20"/>
          <w:spacing w:val="-10"/>
          <w:w w:val="105"/>
        </w:rPr>
        <w:t> </w:t>
      </w:r>
      <w:r>
        <w:rPr>
          <w:color w:val="231F20"/>
          <w:w w:val="105"/>
        </w:rPr>
        <w:t>estos</w:t>
      </w:r>
      <w:r>
        <w:rPr>
          <w:color w:val="231F20"/>
          <w:spacing w:val="-10"/>
          <w:w w:val="105"/>
        </w:rPr>
        <w:t> </w:t>
      </w:r>
      <w:r>
        <w:rPr>
          <w:color w:val="231F20"/>
          <w:w w:val="105"/>
        </w:rPr>
        <w:t>gas- tos,</w:t>
      </w:r>
      <w:r>
        <w:rPr>
          <w:color w:val="231F20"/>
          <w:spacing w:val="-8"/>
          <w:w w:val="105"/>
        </w:rPr>
        <w:t> </w:t>
      </w:r>
      <w:r>
        <w:rPr>
          <w:color w:val="231F20"/>
          <w:w w:val="105"/>
        </w:rPr>
        <w:t>sin</w:t>
      </w:r>
      <w:r>
        <w:rPr>
          <w:color w:val="231F20"/>
          <w:spacing w:val="-8"/>
          <w:w w:val="105"/>
        </w:rPr>
        <w:t> </w:t>
      </w:r>
      <w:r>
        <w:rPr>
          <w:color w:val="231F20"/>
          <w:w w:val="105"/>
        </w:rPr>
        <w:t>embargo</w:t>
      </w:r>
      <w:r>
        <w:rPr>
          <w:color w:val="231F20"/>
          <w:spacing w:val="-8"/>
          <w:w w:val="105"/>
        </w:rPr>
        <w:t> </w:t>
      </w:r>
      <w:r>
        <w:rPr>
          <w:color w:val="231F20"/>
          <w:w w:val="105"/>
        </w:rPr>
        <w:t>el</w:t>
      </w:r>
      <w:r>
        <w:rPr>
          <w:color w:val="231F20"/>
          <w:spacing w:val="-8"/>
          <w:w w:val="105"/>
        </w:rPr>
        <w:t> </w:t>
      </w:r>
      <w:r>
        <w:rPr>
          <w:color w:val="231F20"/>
          <w:w w:val="105"/>
        </w:rPr>
        <w:t>municipio</w:t>
      </w:r>
      <w:r>
        <w:rPr>
          <w:color w:val="231F20"/>
          <w:spacing w:val="-8"/>
          <w:w w:val="105"/>
        </w:rPr>
        <w:t> </w:t>
      </w:r>
      <w:r>
        <w:rPr>
          <w:color w:val="231F20"/>
          <w:w w:val="105"/>
        </w:rPr>
        <w:t>recibe</w:t>
      </w:r>
      <w:r>
        <w:rPr>
          <w:color w:val="231F20"/>
          <w:spacing w:val="-8"/>
          <w:w w:val="105"/>
        </w:rPr>
        <w:t> </w:t>
      </w:r>
      <w:r>
        <w:rPr>
          <w:color w:val="231F20"/>
          <w:w w:val="105"/>
        </w:rPr>
        <w:t>recursos</w:t>
      </w:r>
      <w:r>
        <w:rPr>
          <w:color w:val="231F20"/>
          <w:spacing w:val="-8"/>
          <w:w w:val="105"/>
        </w:rPr>
        <w:t> </w:t>
      </w:r>
      <w:r>
        <w:rPr>
          <w:color w:val="231F20"/>
          <w:w w:val="105"/>
        </w:rPr>
        <w:t>federales</w:t>
      </w:r>
      <w:r>
        <w:rPr>
          <w:color w:val="231F20"/>
          <w:spacing w:val="-8"/>
          <w:w w:val="105"/>
        </w:rPr>
        <w:t> </w:t>
      </w:r>
      <w:r>
        <w:rPr>
          <w:color w:val="231F20"/>
          <w:w w:val="105"/>
        </w:rPr>
        <w:t>para</w:t>
      </w:r>
      <w:r>
        <w:rPr>
          <w:color w:val="231F20"/>
          <w:spacing w:val="-8"/>
          <w:w w:val="105"/>
        </w:rPr>
        <w:t> </w:t>
      </w:r>
      <w:r>
        <w:rPr>
          <w:color w:val="231F20"/>
          <w:spacing w:val="2"/>
          <w:w w:val="105"/>
        </w:rPr>
        <w:t>tal</w:t>
      </w:r>
      <w:r>
        <w:rPr>
          <w:color w:val="231F20"/>
          <w:spacing w:val="-8"/>
          <w:w w:val="105"/>
        </w:rPr>
        <w:t> </w:t>
      </w:r>
      <w:r>
        <w:rPr>
          <w:color w:val="231F20"/>
          <w:w w:val="105"/>
        </w:rPr>
        <w:t>fin,</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justi- ficaría</w:t>
      </w:r>
      <w:r>
        <w:rPr>
          <w:color w:val="231F20"/>
          <w:spacing w:val="-11"/>
          <w:w w:val="105"/>
        </w:rPr>
        <w:t> </w:t>
      </w:r>
      <w:r>
        <w:rPr>
          <w:color w:val="231F20"/>
          <w:w w:val="105"/>
        </w:rPr>
        <w:t>del</w:t>
      </w:r>
      <w:r>
        <w:rPr>
          <w:color w:val="231F20"/>
          <w:spacing w:val="-11"/>
          <w:w w:val="105"/>
        </w:rPr>
        <w:t> </w:t>
      </w:r>
      <w:r>
        <w:rPr>
          <w:color w:val="231F20"/>
          <w:w w:val="105"/>
        </w:rPr>
        <w:t>todo</w:t>
      </w:r>
      <w:r>
        <w:rPr>
          <w:color w:val="231F20"/>
          <w:spacing w:val="-11"/>
          <w:w w:val="105"/>
        </w:rPr>
        <w:t> </w:t>
      </w:r>
      <w:r>
        <w:rPr>
          <w:color w:val="231F20"/>
          <w:w w:val="105"/>
        </w:rPr>
        <w:t>la</w:t>
      </w:r>
      <w:r>
        <w:rPr>
          <w:color w:val="231F20"/>
          <w:spacing w:val="-11"/>
          <w:w w:val="105"/>
        </w:rPr>
        <w:t> </w:t>
      </w:r>
      <w:r>
        <w:rPr>
          <w:color w:val="231F20"/>
          <w:w w:val="105"/>
        </w:rPr>
        <w:t>reducción</w:t>
      </w:r>
      <w:r>
        <w:rPr>
          <w:color w:val="231F20"/>
          <w:spacing w:val="-11"/>
          <w:w w:val="105"/>
        </w:rPr>
        <w:t> </w:t>
      </w:r>
      <w:r>
        <w:rPr>
          <w:color w:val="231F20"/>
          <w:w w:val="105"/>
        </w:rPr>
        <w:t>en</w:t>
      </w:r>
      <w:r>
        <w:rPr>
          <w:color w:val="231F20"/>
          <w:spacing w:val="-11"/>
          <w:w w:val="105"/>
        </w:rPr>
        <w:t> </w:t>
      </w:r>
      <w:r>
        <w:rPr>
          <w:color w:val="231F20"/>
          <w:w w:val="105"/>
        </w:rPr>
        <w:t>otros</w:t>
      </w:r>
      <w:r>
        <w:rPr>
          <w:color w:val="231F20"/>
          <w:spacing w:val="-11"/>
          <w:w w:val="105"/>
        </w:rPr>
        <w:t> </w:t>
      </w:r>
      <w:r>
        <w:rPr>
          <w:color w:val="231F20"/>
          <w:w w:val="105"/>
        </w:rPr>
        <w:t>rubros.</w:t>
      </w:r>
      <w:r>
        <w:rPr>
          <w:color w:val="231F20"/>
          <w:spacing w:val="-11"/>
          <w:w w:val="105"/>
        </w:rPr>
        <w:t> </w:t>
      </w:r>
      <w:r>
        <w:rPr>
          <w:color w:val="231F20"/>
          <w:w w:val="105"/>
        </w:rPr>
        <w:t>Hubo</w:t>
      </w:r>
      <w:r>
        <w:rPr>
          <w:color w:val="231F20"/>
          <w:spacing w:val="-11"/>
          <w:w w:val="105"/>
        </w:rPr>
        <w:t> </w:t>
      </w:r>
      <w:r>
        <w:rPr>
          <w:color w:val="231F20"/>
          <w:w w:val="105"/>
        </w:rPr>
        <w:t>dos</w:t>
      </w:r>
      <w:r>
        <w:rPr>
          <w:color w:val="231F20"/>
          <w:spacing w:val="-11"/>
          <w:w w:val="105"/>
        </w:rPr>
        <w:t> </w:t>
      </w:r>
      <w:r>
        <w:rPr>
          <w:color w:val="231F20"/>
          <w:w w:val="105"/>
        </w:rPr>
        <w:t>nuevos</w:t>
      </w:r>
      <w:r>
        <w:rPr>
          <w:color w:val="231F20"/>
          <w:spacing w:val="-11"/>
          <w:w w:val="105"/>
        </w:rPr>
        <w:t> </w:t>
      </w:r>
      <w:r>
        <w:rPr>
          <w:color w:val="231F20"/>
          <w:w w:val="105"/>
        </w:rPr>
        <w:t>centros</w:t>
      </w:r>
      <w:r>
        <w:rPr>
          <w:color w:val="231F20"/>
          <w:spacing w:val="-11"/>
          <w:w w:val="105"/>
        </w:rPr>
        <w:t> </w:t>
      </w:r>
      <w:r>
        <w:rPr>
          <w:color w:val="231F20"/>
          <w:w w:val="105"/>
        </w:rPr>
        <w:t>de</w:t>
      </w:r>
      <w:r>
        <w:rPr>
          <w:color w:val="231F20"/>
          <w:spacing w:val="-11"/>
          <w:w w:val="105"/>
        </w:rPr>
        <w:t> </w:t>
      </w:r>
      <w:r>
        <w:rPr>
          <w:color w:val="231F20"/>
          <w:w w:val="105"/>
        </w:rPr>
        <w:t>atención</w:t>
      </w:r>
      <w:r>
        <w:rPr>
          <w:color w:val="231F20"/>
          <w:spacing w:val="-11"/>
          <w:w w:val="105"/>
        </w:rPr>
        <w:t> </w:t>
      </w:r>
      <w:r>
        <w:rPr>
          <w:color w:val="231F20"/>
          <w:w w:val="105"/>
        </w:rPr>
        <w:t>para adultos</w:t>
      </w:r>
      <w:r>
        <w:rPr>
          <w:color w:val="231F20"/>
          <w:spacing w:val="-14"/>
          <w:w w:val="105"/>
        </w:rPr>
        <w:t> </w:t>
      </w:r>
      <w:r>
        <w:rPr>
          <w:color w:val="231F20"/>
          <w:w w:val="105"/>
        </w:rPr>
        <w:t>mayores.</w:t>
      </w:r>
      <w:r>
        <w:rPr>
          <w:color w:val="231F20"/>
          <w:spacing w:val="-14"/>
          <w:w w:val="105"/>
        </w:rPr>
        <w:t> </w:t>
      </w:r>
      <w:r>
        <w:rPr>
          <w:color w:val="231F20"/>
          <w:w w:val="105"/>
        </w:rPr>
        <w:t>Y</w:t>
      </w:r>
      <w:r>
        <w:rPr>
          <w:color w:val="231F20"/>
          <w:spacing w:val="-14"/>
          <w:w w:val="105"/>
        </w:rPr>
        <w:t> </w:t>
      </w:r>
      <w:r>
        <w:rPr>
          <w:color w:val="231F20"/>
          <w:w w:val="105"/>
        </w:rPr>
        <w:t>150</w:t>
      </w:r>
      <w:r>
        <w:rPr>
          <w:color w:val="231F20"/>
          <w:spacing w:val="-14"/>
          <w:w w:val="105"/>
        </w:rPr>
        <w:t> </w:t>
      </w:r>
      <w:r>
        <w:rPr>
          <w:color w:val="231F20"/>
          <w:w w:val="105"/>
        </w:rPr>
        <w:t>ancianos</w:t>
      </w:r>
      <w:r>
        <w:rPr>
          <w:color w:val="231F20"/>
          <w:spacing w:val="-14"/>
          <w:w w:val="105"/>
        </w:rPr>
        <w:t> </w:t>
      </w:r>
      <w:r>
        <w:rPr>
          <w:color w:val="231F20"/>
          <w:w w:val="105"/>
        </w:rPr>
        <w:t>se</w:t>
      </w:r>
      <w:r>
        <w:rPr>
          <w:color w:val="231F20"/>
          <w:spacing w:val="-14"/>
          <w:w w:val="105"/>
        </w:rPr>
        <w:t> </w:t>
      </w:r>
      <w:r>
        <w:rPr>
          <w:color w:val="231F20"/>
          <w:w w:val="105"/>
        </w:rPr>
        <w:t>integraron</w:t>
      </w:r>
      <w:r>
        <w:rPr>
          <w:color w:val="231F20"/>
          <w:spacing w:val="-14"/>
          <w:w w:val="105"/>
        </w:rPr>
        <w:t> </w:t>
      </w:r>
      <w:r>
        <w:rPr>
          <w:color w:val="231F20"/>
          <w:spacing w:val="2"/>
          <w:w w:val="105"/>
        </w:rPr>
        <w:t>al</w:t>
      </w:r>
      <w:r>
        <w:rPr>
          <w:color w:val="231F20"/>
          <w:spacing w:val="-14"/>
          <w:w w:val="105"/>
        </w:rPr>
        <w:t> </w:t>
      </w:r>
      <w:r>
        <w:rPr>
          <w:color w:val="231F20"/>
          <w:w w:val="105"/>
        </w:rPr>
        <w:t>programa</w:t>
      </w:r>
      <w:r>
        <w:rPr>
          <w:color w:val="231F20"/>
          <w:spacing w:val="-14"/>
          <w:w w:val="105"/>
        </w:rPr>
        <w:t> </w:t>
      </w:r>
      <w:r>
        <w:rPr>
          <w:color w:val="231F20"/>
          <w:w w:val="105"/>
        </w:rPr>
        <w:t>de</w:t>
      </w:r>
      <w:r>
        <w:rPr>
          <w:color w:val="231F20"/>
          <w:spacing w:val="-14"/>
          <w:w w:val="105"/>
        </w:rPr>
        <w:t> </w:t>
      </w:r>
      <w:r>
        <w:rPr>
          <w:color w:val="231F20"/>
          <w:w w:val="105"/>
        </w:rPr>
        <w:t>becas</w:t>
      </w:r>
      <w:r>
        <w:rPr>
          <w:color w:val="231F20"/>
          <w:spacing w:val="-14"/>
          <w:w w:val="105"/>
        </w:rPr>
        <w:t> </w:t>
      </w:r>
      <w:r>
        <w:rPr>
          <w:color w:val="231F20"/>
          <w:w w:val="105"/>
        </w:rPr>
        <w:t>del</w:t>
      </w:r>
      <w:r>
        <w:rPr>
          <w:color w:val="231F20"/>
          <w:spacing w:val="-14"/>
          <w:w w:val="105"/>
        </w:rPr>
        <w:t> </w:t>
      </w:r>
      <w:r>
        <w:rPr>
          <w:color w:val="231F20"/>
          <w:w w:val="105"/>
        </w:rPr>
        <w:t>ayuntamiento. El</w:t>
      </w:r>
      <w:r>
        <w:rPr>
          <w:color w:val="231F20"/>
          <w:spacing w:val="-5"/>
          <w:w w:val="105"/>
        </w:rPr>
        <w:t> </w:t>
      </w:r>
      <w:r>
        <w:rPr>
          <w:color w:val="231F20"/>
          <w:w w:val="105"/>
        </w:rPr>
        <w:t>informe</w:t>
      </w:r>
      <w:r>
        <w:rPr>
          <w:color w:val="231F20"/>
          <w:spacing w:val="-5"/>
          <w:w w:val="105"/>
        </w:rPr>
        <w:t> </w:t>
      </w:r>
      <w:r>
        <w:rPr>
          <w:color w:val="231F20"/>
          <w:w w:val="105"/>
        </w:rPr>
        <w:t>destacó</w:t>
      </w:r>
      <w:r>
        <w:rPr>
          <w:color w:val="231F20"/>
          <w:spacing w:val="-5"/>
          <w:w w:val="105"/>
        </w:rPr>
        <w:t> </w:t>
      </w:r>
      <w:r>
        <w:rPr>
          <w:color w:val="231F20"/>
          <w:w w:val="105"/>
        </w:rPr>
        <w:t>sobre</w:t>
      </w:r>
      <w:r>
        <w:rPr>
          <w:color w:val="231F20"/>
          <w:spacing w:val="-5"/>
          <w:w w:val="105"/>
        </w:rPr>
        <w:t> </w:t>
      </w:r>
      <w:r>
        <w:rPr>
          <w:color w:val="231F20"/>
          <w:w w:val="105"/>
        </w:rPr>
        <w:t>todo</w:t>
      </w:r>
      <w:r>
        <w:rPr>
          <w:color w:val="231F20"/>
          <w:spacing w:val="-5"/>
          <w:w w:val="105"/>
        </w:rPr>
        <w:t> </w:t>
      </w:r>
      <w:r>
        <w:rPr>
          <w:color w:val="231F20"/>
          <w:w w:val="105"/>
        </w:rPr>
        <w:t>acciones</w:t>
      </w:r>
      <w:r>
        <w:rPr>
          <w:color w:val="231F20"/>
          <w:spacing w:val="-5"/>
          <w:w w:val="105"/>
        </w:rPr>
        <w:t> </w:t>
      </w:r>
      <w:r>
        <w:rPr>
          <w:color w:val="231F20"/>
          <w:w w:val="105"/>
        </w:rPr>
        <w:t>espectaculares,</w:t>
      </w:r>
      <w:r>
        <w:rPr>
          <w:color w:val="231F20"/>
          <w:spacing w:val="-5"/>
          <w:w w:val="105"/>
        </w:rPr>
        <w:t> </w:t>
      </w:r>
      <w:r>
        <w:rPr>
          <w:color w:val="231F20"/>
          <w:w w:val="105"/>
        </w:rPr>
        <w:t>más</w:t>
      </w:r>
      <w:r>
        <w:rPr>
          <w:color w:val="231F20"/>
          <w:spacing w:val="-5"/>
          <w:w w:val="105"/>
        </w:rPr>
        <w:t> </w:t>
      </w:r>
      <w:r>
        <w:rPr>
          <w:color w:val="231F20"/>
          <w:w w:val="105"/>
        </w:rPr>
        <w:t>llamativas</w:t>
      </w:r>
      <w:r>
        <w:rPr>
          <w:color w:val="231F20"/>
          <w:spacing w:val="-5"/>
          <w:w w:val="105"/>
        </w:rPr>
        <w:t> </w:t>
      </w:r>
      <w:r>
        <w:rPr>
          <w:color w:val="231F20"/>
          <w:w w:val="105"/>
        </w:rPr>
        <w:t>aunque</w:t>
      </w:r>
      <w:r>
        <w:rPr>
          <w:color w:val="231F20"/>
          <w:spacing w:val="-5"/>
          <w:w w:val="105"/>
        </w:rPr>
        <w:t> </w:t>
      </w:r>
      <w:r>
        <w:rPr>
          <w:color w:val="231F20"/>
          <w:w w:val="105"/>
        </w:rPr>
        <w:t>no</w:t>
      </w:r>
      <w:r>
        <w:rPr>
          <w:color w:val="231F20"/>
          <w:spacing w:val="-5"/>
          <w:w w:val="105"/>
        </w:rPr>
        <w:t> </w:t>
      </w:r>
      <w:r>
        <w:rPr>
          <w:color w:val="231F20"/>
          <w:w w:val="105"/>
        </w:rPr>
        <w:t>pre- cisamente esenciales para el desarrollo y el bienestar, tanto por su reducido impacto como</w:t>
      </w:r>
      <w:r>
        <w:rPr>
          <w:color w:val="231F20"/>
          <w:spacing w:val="-16"/>
          <w:w w:val="105"/>
        </w:rPr>
        <w:t> </w:t>
      </w:r>
      <w:r>
        <w:rPr>
          <w:color w:val="231F20"/>
          <w:w w:val="105"/>
        </w:rPr>
        <w:t>por</w:t>
      </w:r>
      <w:r>
        <w:rPr>
          <w:color w:val="231F20"/>
          <w:spacing w:val="-16"/>
          <w:w w:val="105"/>
        </w:rPr>
        <w:t> </w:t>
      </w:r>
      <w:r>
        <w:rPr>
          <w:color w:val="231F20"/>
          <w:w w:val="105"/>
        </w:rPr>
        <w:t>su</w:t>
      </w:r>
      <w:r>
        <w:rPr>
          <w:color w:val="231F20"/>
          <w:spacing w:val="-16"/>
          <w:w w:val="105"/>
        </w:rPr>
        <w:t> </w:t>
      </w:r>
      <w:r>
        <w:rPr>
          <w:color w:val="231F20"/>
          <w:w w:val="105"/>
        </w:rPr>
        <w:t>carácter</w:t>
      </w:r>
      <w:r>
        <w:rPr>
          <w:color w:val="231F20"/>
          <w:spacing w:val="-16"/>
          <w:w w:val="105"/>
        </w:rPr>
        <w:t> </w:t>
      </w:r>
      <w:r>
        <w:rPr>
          <w:color w:val="231F20"/>
          <w:w w:val="105"/>
        </w:rPr>
        <w:t>coyuntural:</w:t>
      </w:r>
      <w:r>
        <w:rPr>
          <w:color w:val="231F20"/>
          <w:spacing w:val="-16"/>
          <w:w w:val="105"/>
        </w:rPr>
        <w:t> </w:t>
      </w:r>
      <w:r>
        <w:rPr>
          <w:color w:val="231F20"/>
          <w:w w:val="105"/>
        </w:rPr>
        <w:t>eventos</w:t>
      </w:r>
      <w:r>
        <w:rPr>
          <w:color w:val="231F20"/>
          <w:spacing w:val="-16"/>
          <w:w w:val="105"/>
        </w:rPr>
        <w:t> </w:t>
      </w:r>
      <w:r>
        <w:rPr>
          <w:color w:val="231F20"/>
          <w:w w:val="105"/>
        </w:rPr>
        <w:t>deportivos</w:t>
      </w:r>
      <w:r>
        <w:rPr>
          <w:color w:val="231F20"/>
          <w:spacing w:val="-16"/>
          <w:w w:val="105"/>
        </w:rPr>
        <w:t> </w:t>
      </w:r>
      <w:r>
        <w:rPr>
          <w:color w:val="231F20"/>
          <w:w w:val="105"/>
        </w:rPr>
        <w:t>anuales,</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color w:val="231F20"/>
          <w:w w:val="105"/>
        </w:rPr>
        <w:t>Carrera</w:t>
      </w:r>
      <w:r>
        <w:rPr>
          <w:color w:val="231F20"/>
          <w:spacing w:val="-16"/>
          <w:w w:val="105"/>
        </w:rPr>
        <w:t> </w:t>
      </w:r>
      <w:r>
        <w:rPr>
          <w:color w:val="231F20"/>
          <w:w w:val="105"/>
        </w:rPr>
        <w:t>del</w:t>
      </w:r>
      <w:r>
        <w:rPr>
          <w:color w:val="231F20"/>
          <w:spacing w:val="-16"/>
          <w:w w:val="105"/>
        </w:rPr>
        <w:t> </w:t>
      </w:r>
      <w:r>
        <w:rPr>
          <w:color w:val="231F20"/>
          <w:spacing w:val="-3"/>
          <w:w w:val="105"/>
        </w:rPr>
        <w:t>Pavo,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2"/>
      </w:pPr>
      <w:r>
        <w:rPr>
          <w:color w:val="231F20"/>
          <w:w w:val="105"/>
        </w:rPr>
        <w:t>o eventos culturales como el Festival de las Artes Naucalpan 2008. Llama la atención que en material cultural se reporten 743 eventos.</w:t>
      </w:r>
    </w:p>
    <w:p>
      <w:pPr>
        <w:pStyle w:val="BodyText"/>
        <w:spacing w:before="1"/>
        <w:rPr>
          <w:sz w:val="26"/>
        </w:rPr>
      </w:pPr>
    </w:p>
    <w:p>
      <w:pPr>
        <w:pStyle w:val="Heading5"/>
        <w:ind w:right="102"/>
        <w:jc w:val="center"/>
      </w:pPr>
      <w:r>
        <w:rPr>
          <w:color w:val="231F20"/>
          <w:w w:val="105"/>
        </w:rPr>
        <w:t>Tabla 15. Acciones</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0"/>
                <w:sz w:val="16"/>
              </w:rPr>
              <w:t>Programa Mejores Espacios Educativos: rehabilitación de 146 mil escuelas públicas, con una erogación de 21 millones de pesos</w:t>
            </w:r>
          </w:p>
        </w:tc>
      </w:tr>
      <w:tr>
        <w:trPr>
          <w:trHeight w:val="130" w:hRule="exact"/>
        </w:trPr>
        <w:tc>
          <w:tcPr>
            <w:tcW w:w="7927" w:type="dxa"/>
          </w:tcPr>
          <w:p>
            <w:pPr>
              <w:pStyle w:val="TableParagraph"/>
              <w:spacing w:line="160" w:lineRule="exact"/>
              <w:ind w:right="141"/>
              <w:rPr>
                <w:sz w:val="16"/>
              </w:rPr>
            </w:pPr>
            <w:r>
              <w:rPr>
                <w:color w:val="231F20"/>
                <w:w w:val="75"/>
                <w:sz w:val="16"/>
              </w:rPr>
              <w:t>Programa Educación para Crecer se entregaron 4 349 becas</w:t>
            </w:r>
          </w:p>
        </w:tc>
      </w:tr>
      <w:tr>
        <w:trPr>
          <w:trHeight w:val="130" w:hRule="exact"/>
        </w:trPr>
        <w:tc>
          <w:tcPr>
            <w:tcW w:w="7927" w:type="dxa"/>
          </w:tcPr>
          <w:p>
            <w:pPr>
              <w:pStyle w:val="TableParagraph"/>
              <w:spacing w:line="160" w:lineRule="exact"/>
              <w:ind w:right="141"/>
              <w:rPr>
                <w:sz w:val="16"/>
              </w:rPr>
            </w:pPr>
            <w:r>
              <w:rPr>
                <w:color w:val="231F20"/>
                <w:w w:val="75"/>
                <w:sz w:val="16"/>
              </w:rPr>
              <w:t>Entrega de 865 computadoras a 145 escuelas</w:t>
            </w:r>
          </w:p>
        </w:tc>
      </w:tr>
      <w:tr>
        <w:trPr>
          <w:trHeight w:val="130" w:hRule="exact"/>
        </w:trPr>
        <w:tc>
          <w:tcPr>
            <w:tcW w:w="7927" w:type="dxa"/>
          </w:tcPr>
          <w:p>
            <w:pPr>
              <w:pStyle w:val="TableParagraph"/>
              <w:spacing w:line="160" w:lineRule="exact"/>
              <w:ind w:right="141"/>
              <w:rPr>
                <w:sz w:val="16"/>
              </w:rPr>
            </w:pPr>
            <w:r>
              <w:rPr>
                <w:color w:val="231F20"/>
                <w:w w:val="80"/>
                <w:sz w:val="16"/>
              </w:rPr>
              <w:t>Apoyos económicos a 620 mujeres jefas de familia</w:t>
            </w:r>
          </w:p>
        </w:tc>
      </w:tr>
      <w:tr>
        <w:trPr>
          <w:trHeight w:val="130" w:hRule="exact"/>
        </w:trPr>
        <w:tc>
          <w:tcPr>
            <w:tcW w:w="7927" w:type="dxa"/>
          </w:tcPr>
          <w:p>
            <w:pPr>
              <w:pStyle w:val="TableParagraph"/>
              <w:spacing w:line="160" w:lineRule="exact"/>
              <w:ind w:right="141"/>
              <w:rPr>
                <w:sz w:val="16"/>
              </w:rPr>
            </w:pPr>
            <w:r>
              <w:rPr>
                <w:color w:val="231F20"/>
                <w:w w:val="75"/>
                <w:sz w:val="16"/>
              </w:rPr>
              <w:t>Apertura de dos Clubes de Gente Grande</w:t>
            </w:r>
          </w:p>
        </w:tc>
      </w:tr>
      <w:tr>
        <w:trPr>
          <w:trHeight w:val="130" w:hRule="exact"/>
        </w:trPr>
        <w:tc>
          <w:tcPr>
            <w:tcW w:w="7927" w:type="dxa"/>
          </w:tcPr>
          <w:p>
            <w:pPr>
              <w:pStyle w:val="TableParagraph"/>
              <w:spacing w:line="160" w:lineRule="exact"/>
              <w:ind w:right="141"/>
              <w:rPr>
                <w:sz w:val="16"/>
              </w:rPr>
            </w:pPr>
            <w:r>
              <w:rPr>
                <w:color w:val="231F20"/>
                <w:w w:val="75"/>
                <w:sz w:val="16"/>
              </w:rPr>
              <w:t>650 adultos mayores reciben apoyos económicos de 750 pesos</w:t>
            </w:r>
          </w:p>
        </w:tc>
      </w:tr>
      <w:tr>
        <w:trPr>
          <w:trHeight w:val="130" w:hRule="exact"/>
        </w:trPr>
        <w:tc>
          <w:tcPr>
            <w:tcW w:w="7927" w:type="dxa"/>
          </w:tcPr>
          <w:p>
            <w:pPr>
              <w:pStyle w:val="TableParagraph"/>
              <w:spacing w:line="160" w:lineRule="exact"/>
              <w:ind w:right="141"/>
              <w:rPr>
                <w:sz w:val="16"/>
              </w:rPr>
            </w:pPr>
            <w:r>
              <w:rPr>
                <w:color w:val="231F20"/>
                <w:w w:val="80"/>
                <w:sz w:val="16"/>
              </w:rPr>
              <w:t>Instituto Naucalpense de Salud: más de 86 mil consultas médicas y 210 jornadas médico asistenciales en colonias del municipio</w:t>
            </w:r>
          </w:p>
        </w:tc>
      </w:tr>
      <w:tr>
        <w:trPr>
          <w:trHeight w:val="130" w:hRule="exact"/>
        </w:trPr>
        <w:tc>
          <w:tcPr>
            <w:tcW w:w="7927" w:type="dxa"/>
          </w:tcPr>
          <w:p>
            <w:pPr>
              <w:pStyle w:val="TableParagraph"/>
              <w:spacing w:line="160" w:lineRule="exact"/>
              <w:ind w:right="141"/>
              <w:rPr>
                <w:sz w:val="16"/>
              </w:rPr>
            </w:pPr>
            <w:r>
              <w:rPr>
                <w:color w:val="231F20"/>
                <w:w w:val="80"/>
                <w:sz w:val="16"/>
              </w:rPr>
              <w:t>Clínica de Especialidades Médicas: atención a cerca de 5 mil pacientes, 26 mil consultas psicológicas</w:t>
            </w:r>
          </w:p>
        </w:tc>
      </w:tr>
      <w:tr>
        <w:trPr>
          <w:trHeight w:val="130" w:hRule="exact"/>
        </w:trPr>
        <w:tc>
          <w:tcPr>
            <w:tcW w:w="7927" w:type="dxa"/>
          </w:tcPr>
          <w:p>
            <w:pPr>
              <w:pStyle w:val="TableParagraph"/>
              <w:spacing w:line="160" w:lineRule="exact"/>
              <w:ind w:right="141"/>
              <w:rPr>
                <w:sz w:val="16"/>
              </w:rPr>
            </w:pPr>
            <w:r>
              <w:rPr>
                <w:color w:val="231F20"/>
                <w:w w:val="75"/>
                <w:sz w:val="16"/>
              </w:rPr>
              <w:t>Capacitación laboral a 466 personas con capacidades  diferentes</w:t>
            </w:r>
          </w:p>
        </w:tc>
      </w:tr>
      <w:tr>
        <w:trPr>
          <w:trHeight w:val="130" w:hRule="exact"/>
        </w:trPr>
        <w:tc>
          <w:tcPr>
            <w:tcW w:w="7927" w:type="dxa"/>
          </w:tcPr>
          <w:p>
            <w:pPr>
              <w:pStyle w:val="TableParagraph"/>
              <w:spacing w:line="160" w:lineRule="exact"/>
              <w:ind w:right="141"/>
              <w:rPr>
                <w:sz w:val="16"/>
              </w:rPr>
            </w:pPr>
            <w:r>
              <w:rPr>
                <w:color w:val="231F20"/>
                <w:w w:val="80"/>
                <w:sz w:val="16"/>
              </w:rPr>
              <w:t>Capacitación laboral a 6 mil mujeres</w:t>
            </w:r>
          </w:p>
        </w:tc>
      </w:tr>
      <w:tr>
        <w:trPr>
          <w:trHeight w:val="130" w:hRule="exact"/>
        </w:trPr>
        <w:tc>
          <w:tcPr>
            <w:tcW w:w="7927" w:type="dxa"/>
          </w:tcPr>
          <w:p>
            <w:pPr>
              <w:pStyle w:val="TableParagraph"/>
              <w:spacing w:line="160" w:lineRule="exact"/>
              <w:ind w:right="141"/>
              <w:rPr>
                <w:sz w:val="16"/>
              </w:rPr>
            </w:pPr>
            <w:r>
              <w:rPr>
                <w:color w:val="231F20"/>
                <w:w w:val="80"/>
                <w:sz w:val="16"/>
              </w:rPr>
              <w:t>7 bibliotecas interactivas dieron servicio a 118 mil usuarios</w:t>
            </w:r>
          </w:p>
        </w:tc>
      </w:tr>
      <w:tr>
        <w:trPr>
          <w:trHeight w:val="130" w:hRule="exact"/>
        </w:trPr>
        <w:tc>
          <w:tcPr>
            <w:tcW w:w="7927" w:type="dxa"/>
          </w:tcPr>
          <w:p>
            <w:pPr>
              <w:pStyle w:val="TableParagraph"/>
              <w:spacing w:line="160" w:lineRule="exact"/>
              <w:ind w:right="141"/>
              <w:rPr>
                <w:sz w:val="16"/>
              </w:rPr>
            </w:pPr>
            <w:r>
              <w:rPr>
                <w:color w:val="231F20"/>
                <w:w w:val="75"/>
                <w:sz w:val="16"/>
              </w:rPr>
              <w:t>Creación del Departamento de Atención para Atletas con Capacidades  Especiales</w:t>
            </w:r>
          </w:p>
        </w:tc>
      </w:tr>
      <w:tr>
        <w:trPr>
          <w:trHeight w:val="130" w:hRule="exact"/>
        </w:trPr>
        <w:tc>
          <w:tcPr>
            <w:tcW w:w="7927" w:type="dxa"/>
          </w:tcPr>
          <w:p>
            <w:pPr>
              <w:pStyle w:val="TableParagraph"/>
              <w:spacing w:line="160" w:lineRule="exact"/>
              <w:ind w:right="141"/>
              <w:rPr>
                <w:sz w:val="16"/>
              </w:rPr>
            </w:pPr>
            <w:r>
              <w:rPr>
                <w:color w:val="231F20"/>
                <w:w w:val="75"/>
                <w:sz w:val="16"/>
              </w:rPr>
              <w:t>Eventos deportivos: Olimpiada Municipal, Miniolimpiada y Carrera del  pavo</w:t>
            </w:r>
          </w:p>
        </w:tc>
      </w:tr>
      <w:tr>
        <w:trPr>
          <w:trHeight w:val="130" w:hRule="exact"/>
        </w:trPr>
        <w:tc>
          <w:tcPr>
            <w:tcW w:w="7927" w:type="dxa"/>
          </w:tcPr>
          <w:p>
            <w:pPr>
              <w:pStyle w:val="TableParagraph"/>
              <w:spacing w:line="160" w:lineRule="exact"/>
              <w:ind w:right="141"/>
              <w:rPr>
                <w:sz w:val="16"/>
              </w:rPr>
            </w:pPr>
            <w:r>
              <w:rPr>
                <w:color w:val="231F20"/>
                <w:w w:val="80"/>
                <w:sz w:val="16"/>
              </w:rPr>
              <w:t>Construcción de la primera alberca semiolímpica en el parque “El Tepetatal”</w:t>
            </w:r>
          </w:p>
        </w:tc>
      </w:tr>
      <w:tr>
        <w:trPr>
          <w:trHeight w:val="290" w:hRule="exact"/>
        </w:trPr>
        <w:tc>
          <w:tcPr>
            <w:tcW w:w="7927" w:type="dxa"/>
          </w:tcPr>
          <w:p>
            <w:pPr>
              <w:pStyle w:val="TableParagraph"/>
              <w:spacing w:line="196" w:lineRule="auto"/>
              <w:ind w:right="141"/>
              <w:rPr>
                <w:sz w:val="16"/>
              </w:rPr>
            </w:pPr>
            <w:r>
              <w:rPr>
                <w:color w:val="231F20"/>
                <w:spacing w:val="-3"/>
                <w:w w:val="80"/>
                <w:sz w:val="16"/>
              </w:rPr>
              <w:t>743</w:t>
            </w:r>
            <w:r>
              <w:rPr>
                <w:color w:val="231F20"/>
                <w:spacing w:val="-21"/>
                <w:w w:val="80"/>
                <w:sz w:val="16"/>
              </w:rPr>
              <w:t> </w:t>
            </w:r>
            <w:r>
              <w:rPr>
                <w:color w:val="231F20"/>
                <w:w w:val="80"/>
                <w:sz w:val="16"/>
              </w:rPr>
              <w:t>eventos</w:t>
            </w:r>
            <w:r>
              <w:rPr>
                <w:color w:val="231F20"/>
                <w:spacing w:val="-21"/>
                <w:w w:val="80"/>
                <w:sz w:val="16"/>
              </w:rPr>
              <w:t> </w:t>
            </w:r>
            <w:r>
              <w:rPr>
                <w:color w:val="231F20"/>
                <w:w w:val="80"/>
                <w:sz w:val="16"/>
              </w:rPr>
              <w:t>artísticos</w:t>
            </w:r>
            <w:r>
              <w:rPr>
                <w:color w:val="231F20"/>
                <w:spacing w:val="-21"/>
                <w:w w:val="80"/>
                <w:sz w:val="16"/>
              </w:rPr>
              <w:t> </w:t>
            </w:r>
            <w:r>
              <w:rPr>
                <w:color w:val="231F20"/>
                <w:w w:val="80"/>
                <w:sz w:val="16"/>
              </w:rPr>
              <w:t>y</w:t>
            </w:r>
            <w:r>
              <w:rPr>
                <w:color w:val="231F20"/>
                <w:spacing w:val="-21"/>
                <w:w w:val="80"/>
                <w:sz w:val="16"/>
              </w:rPr>
              <w:t> </w:t>
            </w:r>
            <w:r>
              <w:rPr>
                <w:color w:val="231F20"/>
                <w:w w:val="80"/>
                <w:sz w:val="16"/>
              </w:rPr>
              <w:t>culturales</w:t>
            </w:r>
            <w:r>
              <w:rPr>
                <w:color w:val="231F20"/>
                <w:spacing w:val="-21"/>
                <w:w w:val="80"/>
                <w:sz w:val="16"/>
              </w:rPr>
              <w:t> </w:t>
            </w:r>
            <w:r>
              <w:rPr>
                <w:color w:val="231F20"/>
                <w:w w:val="80"/>
                <w:sz w:val="16"/>
              </w:rPr>
              <w:t>como:</w:t>
            </w:r>
            <w:r>
              <w:rPr>
                <w:color w:val="231F20"/>
                <w:spacing w:val="-21"/>
                <w:w w:val="80"/>
                <w:sz w:val="16"/>
              </w:rPr>
              <w:t> </w:t>
            </w:r>
            <w:r>
              <w:rPr>
                <w:color w:val="231F20"/>
                <w:w w:val="80"/>
                <w:sz w:val="16"/>
              </w:rPr>
              <w:t>Temporada</w:t>
            </w:r>
            <w:r>
              <w:rPr>
                <w:color w:val="231F20"/>
                <w:spacing w:val="-21"/>
                <w:w w:val="80"/>
                <w:sz w:val="16"/>
              </w:rPr>
              <w:t> </w:t>
            </w:r>
            <w:r>
              <w:rPr>
                <w:color w:val="231F20"/>
                <w:w w:val="80"/>
                <w:sz w:val="16"/>
              </w:rPr>
              <w:t>de</w:t>
            </w:r>
            <w:r>
              <w:rPr>
                <w:color w:val="231F20"/>
                <w:spacing w:val="-21"/>
                <w:w w:val="80"/>
                <w:sz w:val="16"/>
              </w:rPr>
              <w:t> </w:t>
            </w:r>
            <w:r>
              <w:rPr>
                <w:color w:val="231F20"/>
                <w:w w:val="80"/>
                <w:sz w:val="16"/>
              </w:rPr>
              <w:t>Verano</w:t>
            </w:r>
            <w:r>
              <w:rPr>
                <w:color w:val="231F20"/>
                <w:spacing w:val="-21"/>
                <w:w w:val="80"/>
                <w:sz w:val="16"/>
              </w:rPr>
              <w:t> </w:t>
            </w:r>
            <w:r>
              <w:rPr>
                <w:color w:val="231F20"/>
                <w:w w:val="80"/>
                <w:sz w:val="16"/>
              </w:rPr>
              <w:t>“Orquestas</w:t>
            </w:r>
            <w:r>
              <w:rPr>
                <w:color w:val="231F20"/>
                <w:spacing w:val="-21"/>
                <w:w w:val="80"/>
                <w:sz w:val="16"/>
              </w:rPr>
              <w:t> </w:t>
            </w:r>
            <w:r>
              <w:rPr>
                <w:color w:val="231F20"/>
                <w:w w:val="80"/>
                <w:sz w:val="16"/>
              </w:rPr>
              <w:t>sinfónicas</w:t>
            </w:r>
            <w:r>
              <w:rPr>
                <w:color w:val="231F20"/>
                <w:spacing w:val="-21"/>
                <w:w w:val="80"/>
                <w:sz w:val="16"/>
              </w:rPr>
              <w:t> </w:t>
            </w:r>
            <w:r>
              <w:rPr>
                <w:color w:val="231F20"/>
                <w:w w:val="80"/>
                <w:sz w:val="16"/>
              </w:rPr>
              <w:t>en</w:t>
            </w:r>
            <w:r>
              <w:rPr>
                <w:color w:val="231F20"/>
                <w:spacing w:val="-21"/>
                <w:w w:val="80"/>
                <w:sz w:val="16"/>
              </w:rPr>
              <w:t> </w:t>
            </w:r>
            <w:r>
              <w:rPr>
                <w:color w:val="231F20"/>
                <w:w w:val="80"/>
                <w:sz w:val="16"/>
              </w:rPr>
              <w:t>Naucalpan”,</w:t>
            </w:r>
            <w:r>
              <w:rPr>
                <w:color w:val="231F20"/>
                <w:spacing w:val="-21"/>
                <w:w w:val="80"/>
                <w:sz w:val="16"/>
              </w:rPr>
              <w:t> </w:t>
            </w:r>
            <w:r>
              <w:rPr>
                <w:color w:val="231F20"/>
                <w:w w:val="80"/>
                <w:sz w:val="16"/>
              </w:rPr>
              <w:t>Festival</w:t>
            </w:r>
            <w:r>
              <w:rPr>
                <w:color w:val="231F20"/>
                <w:spacing w:val="-21"/>
                <w:w w:val="80"/>
                <w:sz w:val="16"/>
              </w:rPr>
              <w:t> </w:t>
            </w:r>
            <w:r>
              <w:rPr>
                <w:color w:val="231F20"/>
                <w:w w:val="80"/>
                <w:sz w:val="16"/>
              </w:rPr>
              <w:t>de</w:t>
            </w:r>
            <w:r>
              <w:rPr>
                <w:color w:val="231F20"/>
                <w:spacing w:val="-21"/>
                <w:w w:val="80"/>
                <w:sz w:val="16"/>
              </w:rPr>
              <w:t> </w:t>
            </w:r>
            <w:r>
              <w:rPr>
                <w:color w:val="231F20"/>
                <w:w w:val="80"/>
                <w:sz w:val="16"/>
              </w:rPr>
              <w:t>Música</w:t>
            </w:r>
            <w:r>
              <w:rPr>
                <w:color w:val="231F20"/>
                <w:spacing w:val="-21"/>
                <w:w w:val="80"/>
                <w:sz w:val="16"/>
              </w:rPr>
              <w:t> </w:t>
            </w:r>
            <w:r>
              <w:rPr>
                <w:color w:val="231F20"/>
                <w:w w:val="80"/>
                <w:sz w:val="16"/>
              </w:rPr>
              <w:t>de</w:t>
            </w:r>
            <w:r>
              <w:rPr>
                <w:color w:val="231F20"/>
                <w:spacing w:val="-21"/>
                <w:w w:val="80"/>
                <w:sz w:val="16"/>
              </w:rPr>
              <w:t> </w:t>
            </w:r>
            <w:r>
              <w:rPr>
                <w:color w:val="231F20"/>
                <w:w w:val="80"/>
                <w:sz w:val="16"/>
              </w:rPr>
              <w:t>Verano,</w:t>
            </w:r>
            <w:r>
              <w:rPr>
                <w:color w:val="231F20"/>
                <w:spacing w:val="-21"/>
                <w:w w:val="80"/>
                <w:sz w:val="16"/>
              </w:rPr>
              <w:t> </w:t>
            </w:r>
            <w:r>
              <w:rPr>
                <w:color w:val="231F20"/>
                <w:w w:val="80"/>
                <w:sz w:val="16"/>
              </w:rPr>
              <w:t>Festival</w:t>
            </w:r>
            <w:r>
              <w:rPr>
                <w:color w:val="231F20"/>
                <w:spacing w:val="-21"/>
                <w:w w:val="80"/>
                <w:sz w:val="16"/>
              </w:rPr>
              <w:t> </w:t>
            </w:r>
            <w:r>
              <w:rPr>
                <w:color w:val="231F20"/>
                <w:w w:val="80"/>
                <w:sz w:val="16"/>
              </w:rPr>
              <w:t>de</w:t>
            </w:r>
            <w:r>
              <w:rPr>
                <w:color w:val="231F20"/>
                <w:spacing w:val="-21"/>
                <w:w w:val="80"/>
                <w:sz w:val="16"/>
              </w:rPr>
              <w:t> </w:t>
            </w:r>
            <w:r>
              <w:rPr>
                <w:color w:val="231F20"/>
                <w:w w:val="80"/>
                <w:sz w:val="16"/>
              </w:rPr>
              <w:t>Ópera, Festival</w:t>
            </w:r>
            <w:r>
              <w:rPr>
                <w:color w:val="231F20"/>
                <w:spacing w:val="-16"/>
                <w:w w:val="80"/>
                <w:sz w:val="16"/>
              </w:rPr>
              <w:t> </w:t>
            </w:r>
            <w:r>
              <w:rPr>
                <w:color w:val="231F20"/>
                <w:w w:val="80"/>
                <w:sz w:val="16"/>
              </w:rPr>
              <w:t>de</w:t>
            </w:r>
            <w:r>
              <w:rPr>
                <w:color w:val="231F20"/>
                <w:spacing w:val="-16"/>
                <w:w w:val="80"/>
                <w:sz w:val="16"/>
              </w:rPr>
              <w:t> </w:t>
            </w:r>
            <w:r>
              <w:rPr>
                <w:color w:val="231F20"/>
                <w:w w:val="80"/>
                <w:sz w:val="16"/>
              </w:rPr>
              <w:t>Navidad</w:t>
            </w:r>
            <w:r>
              <w:rPr>
                <w:color w:val="231F20"/>
                <w:spacing w:val="-16"/>
                <w:w w:val="80"/>
                <w:sz w:val="16"/>
              </w:rPr>
              <w:t> </w:t>
            </w:r>
            <w:r>
              <w:rPr>
                <w:color w:val="231F20"/>
                <w:w w:val="80"/>
                <w:sz w:val="16"/>
              </w:rPr>
              <w:t>y</w:t>
            </w:r>
            <w:r>
              <w:rPr>
                <w:color w:val="231F20"/>
                <w:spacing w:val="-16"/>
                <w:w w:val="80"/>
                <w:sz w:val="16"/>
              </w:rPr>
              <w:t> </w:t>
            </w:r>
            <w:r>
              <w:rPr>
                <w:color w:val="231F20"/>
                <w:w w:val="80"/>
                <w:sz w:val="16"/>
              </w:rPr>
              <w:t>Festival</w:t>
            </w:r>
            <w:r>
              <w:rPr>
                <w:color w:val="231F20"/>
                <w:spacing w:val="-16"/>
                <w:w w:val="80"/>
                <w:sz w:val="16"/>
              </w:rPr>
              <w:t> </w:t>
            </w:r>
            <w:r>
              <w:rPr>
                <w:color w:val="231F20"/>
                <w:w w:val="80"/>
                <w:sz w:val="16"/>
              </w:rPr>
              <w:t>de</w:t>
            </w:r>
            <w:r>
              <w:rPr>
                <w:color w:val="231F20"/>
                <w:spacing w:val="-16"/>
                <w:w w:val="80"/>
                <w:sz w:val="16"/>
              </w:rPr>
              <w:t> </w:t>
            </w:r>
            <w:r>
              <w:rPr>
                <w:color w:val="231F20"/>
                <w:w w:val="80"/>
                <w:sz w:val="16"/>
              </w:rPr>
              <w:t>las</w:t>
            </w:r>
            <w:r>
              <w:rPr>
                <w:color w:val="231F20"/>
                <w:spacing w:val="-16"/>
                <w:w w:val="80"/>
                <w:sz w:val="16"/>
              </w:rPr>
              <w:t> </w:t>
            </w:r>
            <w:r>
              <w:rPr>
                <w:color w:val="231F20"/>
                <w:w w:val="80"/>
                <w:sz w:val="16"/>
              </w:rPr>
              <w:t>Artes</w:t>
            </w:r>
            <w:r>
              <w:rPr>
                <w:color w:val="231F20"/>
                <w:spacing w:val="-16"/>
                <w:w w:val="80"/>
                <w:sz w:val="16"/>
              </w:rPr>
              <w:t> </w:t>
            </w:r>
            <w:r>
              <w:rPr>
                <w:color w:val="231F20"/>
                <w:w w:val="80"/>
                <w:sz w:val="16"/>
              </w:rPr>
              <w:t>Naucalpan</w:t>
            </w:r>
            <w:r>
              <w:rPr>
                <w:color w:val="231F20"/>
                <w:spacing w:val="-16"/>
                <w:w w:val="80"/>
                <w:sz w:val="16"/>
              </w:rPr>
              <w:t> </w:t>
            </w:r>
            <w:r>
              <w:rPr>
                <w:color w:val="231F20"/>
                <w:w w:val="80"/>
                <w:sz w:val="16"/>
              </w:rPr>
              <w:t>2008</w:t>
            </w:r>
          </w:p>
        </w:tc>
      </w:tr>
    </w:tbl>
    <w:p>
      <w:pPr>
        <w:pStyle w:val="BodyText"/>
        <w:spacing w:before="8"/>
        <w:rPr>
          <w:b/>
          <w:sz w:val="23"/>
        </w:rPr>
      </w:pPr>
    </w:p>
    <w:p>
      <w:pPr>
        <w:spacing w:before="74"/>
        <w:ind w:left="110" w:right="574" w:firstLine="0"/>
        <w:jc w:val="left"/>
        <w:rPr>
          <w:rFonts w:ascii="Calibri" w:hAnsi="Calibri"/>
          <w:sz w:val="16"/>
        </w:rPr>
      </w:pPr>
      <w:r>
        <w:rPr>
          <w:rFonts w:ascii="Calibri" w:hAnsi="Calibri"/>
          <w:color w:val="231F20"/>
          <w:sz w:val="16"/>
        </w:rPr>
        <w:t>Fuente: 2º informe de gobierno, 2008</w:t>
      </w:r>
    </w:p>
    <w:p>
      <w:pPr>
        <w:pStyle w:val="BodyText"/>
        <w:spacing w:before="4"/>
        <w:rPr>
          <w:rFonts w:ascii="Calibri"/>
          <w:sz w:val="23"/>
        </w:rPr>
      </w:pPr>
    </w:p>
    <w:p>
      <w:pPr>
        <w:pStyle w:val="Heading4"/>
        <w:ind w:right="574"/>
        <w:jc w:val="left"/>
        <w:rPr>
          <w:i/>
        </w:rPr>
      </w:pPr>
      <w:r>
        <w:rPr>
          <w:i/>
          <w:color w:val="231F20"/>
        </w:rPr>
        <w:t>Desarrollo Urbano Sustentable y Protección al  Ambiente</w:t>
      </w:r>
    </w:p>
    <w:p>
      <w:pPr>
        <w:pStyle w:val="BodyText"/>
        <w:spacing w:before="17"/>
        <w:ind w:left="110" w:right="574"/>
      </w:pPr>
      <w:r>
        <w:rPr>
          <w:color w:val="231F20"/>
          <w:w w:val="105"/>
        </w:rPr>
        <w:t>En esta dimensión se enlistaron las principales obras públicas del año:</w:t>
      </w:r>
    </w:p>
    <w:p>
      <w:pPr>
        <w:pStyle w:val="BodyText"/>
        <w:spacing w:before="2"/>
        <w:rPr>
          <w:sz w:val="30"/>
        </w:rPr>
      </w:pPr>
    </w:p>
    <w:p>
      <w:pPr>
        <w:pStyle w:val="Heading5"/>
        <w:ind w:left="2409"/>
      </w:pPr>
      <w:r>
        <w:rPr>
          <w:color w:val="231F20"/>
          <w:w w:val="105"/>
        </w:rPr>
        <w:t>Tabla 16. Acciones de obra pública</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0"/>
                <w:sz w:val="16"/>
              </w:rPr>
              <w:t>Reencarpetado y repavimentación por un monto superior a 66 millones de pesos, beneficiando a cerca de 450 mil personas</w:t>
            </w:r>
          </w:p>
        </w:tc>
      </w:tr>
      <w:tr>
        <w:trPr>
          <w:trHeight w:val="130" w:hRule="exact"/>
        </w:trPr>
        <w:tc>
          <w:tcPr>
            <w:tcW w:w="7927" w:type="dxa"/>
          </w:tcPr>
          <w:p>
            <w:pPr>
              <w:pStyle w:val="TableParagraph"/>
              <w:spacing w:line="160" w:lineRule="exact"/>
              <w:ind w:right="141"/>
              <w:rPr>
                <w:sz w:val="16"/>
              </w:rPr>
            </w:pPr>
            <w:r>
              <w:rPr>
                <w:color w:val="231F20"/>
                <w:w w:val="80"/>
                <w:sz w:val="16"/>
              </w:rPr>
              <w:t>Rehabilitación de la Av. Luis Donaldo Colosio con una inversión de 47 millones de pesos, beneficiando a 350 mil personas</w:t>
            </w:r>
          </w:p>
        </w:tc>
      </w:tr>
      <w:tr>
        <w:trPr>
          <w:trHeight w:val="130" w:hRule="exact"/>
        </w:trPr>
        <w:tc>
          <w:tcPr>
            <w:tcW w:w="7927" w:type="dxa"/>
          </w:tcPr>
          <w:p>
            <w:pPr>
              <w:pStyle w:val="TableParagraph"/>
              <w:spacing w:line="160" w:lineRule="exact"/>
              <w:ind w:right="141"/>
              <w:rPr>
                <w:sz w:val="16"/>
              </w:rPr>
            </w:pPr>
            <w:r>
              <w:rPr>
                <w:color w:val="231F20"/>
                <w:w w:val="80"/>
                <w:sz w:val="16"/>
              </w:rPr>
              <w:t>Puesta en operación de la Planta de Separación de Basura y Composta</w:t>
            </w:r>
          </w:p>
        </w:tc>
      </w:tr>
      <w:tr>
        <w:trPr>
          <w:trHeight w:val="130" w:hRule="exact"/>
        </w:trPr>
        <w:tc>
          <w:tcPr>
            <w:tcW w:w="7927" w:type="dxa"/>
          </w:tcPr>
          <w:p>
            <w:pPr>
              <w:pStyle w:val="TableParagraph"/>
              <w:spacing w:line="160" w:lineRule="exact"/>
              <w:ind w:right="141"/>
              <w:rPr>
                <w:sz w:val="16"/>
              </w:rPr>
            </w:pPr>
            <w:r>
              <w:rPr>
                <w:color w:val="231F20"/>
                <w:w w:val="75"/>
                <w:sz w:val="16"/>
              </w:rPr>
              <w:t>Adquisición de 49 camiones compactadores, 15 bicompartidos para separar desechos orgánicos e   inorgánicos</w:t>
            </w:r>
          </w:p>
        </w:tc>
      </w:tr>
      <w:tr>
        <w:trPr>
          <w:trHeight w:val="130" w:hRule="exact"/>
        </w:trPr>
        <w:tc>
          <w:tcPr>
            <w:tcW w:w="7927" w:type="dxa"/>
          </w:tcPr>
          <w:p>
            <w:pPr>
              <w:pStyle w:val="TableParagraph"/>
              <w:spacing w:line="160" w:lineRule="exact"/>
              <w:ind w:right="141"/>
              <w:rPr>
                <w:sz w:val="16"/>
              </w:rPr>
            </w:pPr>
            <w:r>
              <w:rPr>
                <w:color w:val="231F20"/>
                <w:w w:val="80"/>
                <w:sz w:val="16"/>
              </w:rPr>
              <w:t>Recolección de 750 toneladas diarias de desechos sólidos urbanos, 50% más que al inicio de la administración municipal</w:t>
            </w:r>
          </w:p>
        </w:tc>
      </w:tr>
      <w:tr>
        <w:trPr>
          <w:trHeight w:val="130" w:hRule="exact"/>
        </w:trPr>
        <w:tc>
          <w:tcPr>
            <w:tcW w:w="7927" w:type="dxa"/>
          </w:tcPr>
          <w:p>
            <w:pPr>
              <w:pStyle w:val="TableParagraph"/>
              <w:spacing w:line="160" w:lineRule="exact"/>
              <w:ind w:right="141"/>
              <w:rPr>
                <w:sz w:val="16"/>
              </w:rPr>
            </w:pPr>
            <w:r>
              <w:rPr>
                <w:color w:val="231F20"/>
                <w:w w:val="80"/>
                <w:sz w:val="16"/>
              </w:rPr>
              <w:t>Instalación de la primera planta purificadora y embotelladora de agua del OAPAS</w:t>
            </w:r>
          </w:p>
        </w:tc>
      </w:tr>
      <w:tr>
        <w:trPr>
          <w:trHeight w:val="290" w:hRule="exact"/>
        </w:trPr>
        <w:tc>
          <w:tcPr>
            <w:tcW w:w="7927" w:type="dxa"/>
          </w:tcPr>
          <w:p>
            <w:pPr>
              <w:pStyle w:val="TableParagraph"/>
              <w:spacing w:line="196" w:lineRule="auto"/>
              <w:ind w:right="141"/>
              <w:rPr>
                <w:sz w:val="16"/>
              </w:rPr>
            </w:pPr>
            <w:r>
              <w:rPr>
                <w:color w:val="231F20"/>
                <w:w w:val="80"/>
                <w:sz w:val="16"/>
              </w:rPr>
              <w:t>Premio</w:t>
            </w:r>
            <w:r>
              <w:rPr>
                <w:color w:val="231F20"/>
                <w:spacing w:val="-17"/>
                <w:w w:val="80"/>
                <w:sz w:val="16"/>
              </w:rPr>
              <w:t> </w:t>
            </w:r>
            <w:r>
              <w:rPr>
                <w:color w:val="231F20"/>
                <w:w w:val="80"/>
                <w:sz w:val="16"/>
              </w:rPr>
              <w:t>al</w:t>
            </w:r>
            <w:r>
              <w:rPr>
                <w:color w:val="231F20"/>
                <w:spacing w:val="-17"/>
                <w:w w:val="80"/>
                <w:sz w:val="16"/>
              </w:rPr>
              <w:t> </w:t>
            </w:r>
            <w:r>
              <w:rPr>
                <w:color w:val="231F20"/>
                <w:w w:val="80"/>
                <w:sz w:val="16"/>
              </w:rPr>
              <w:t>municipio</w:t>
            </w:r>
            <w:r>
              <w:rPr>
                <w:color w:val="231F20"/>
                <w:spacing w:val="-17"/>
                <w:w w:val="80"/>
                <w:sz w:val="16"/>
              </w:rPr>
              <w:t> </w:t>
            </w:r>
            <w:r>
              <w:rPr>
                <w:color w:val="231F20"/>
                <w:w w:val="80"/>
                <w:sz w:val="16"/>
              </w:rPr>
              <w:t>“Escoba</w:t>
            </w:r>
            <w:r>
              <w:rPr>
                <w:color w:val="231F20"/>
                <w:spacing w:val="-17"/>
                <w:w w:val="80"/>
                <w:sz w:val="16"/>
              </w:rPr>
              <w:t> </w:t>
            </w:r>
            <w:r>
              <w:rPr>
                <w:color w:val="231F20"/>
                <w:w w:val="80"/>
                <w:sz w:val="16"/>
              </w:rPr>
              <w:t>de</w:t>
            </w:r>
            <w:r>
              <w:rPr>
                <w:color w:val="231F20"/>
                <w:spacing w:val="-17"/>
                <w:w w:val="80"/>
                <w:sz w:val="16"/>
              </w:rPr>
              <w:t> </w:t>
            </w:r>
            <w:r>
              <w:rPr>
                <w:color w:val="231F20"/>
                <w:w w:val="80"/>
                <w:sz w:val="16"/>
              </w:rPr>
              <w:t>plata”,</w:t>
            </w:r>
            <w:r>
              <w:rPr>
                <w:color w:val="231F20"/>
                <w:spacing w:val="-17"/>
                <w:w w:val="80"/>
                <w:sz w:val="16"/>
              </w:rPr>
              <w:t> </w:t>
            </w:r>
            <w:r>
              <w:rPr>
                <w:color w:val="231F20"/>
                <w:w w:val="80"/>
                <w:sz w:val="16"/>
              </w:rPr>
              <w:t>que</w:t>
            </w:r>
            <w:r>
              <w:rPr>
                <w:color w:val="231F20"/>
                <w:spacing w:val="-17"/>
                <w:w w:val="80"/>
                <w:sz w:val="16"/>
              </w:rPr>
              <w:t> </w:t>
            </w:r>
            <w:r>
              <w:rPr>
                <w:color w:val="231F20"/>
                <w:w w:val="80"/>
                <w:sz w:val="16"/>
              </w:rPr>
              <w:t>otorga</w:t>
            </w:r>
            <w:r>
              <w:rPr>
                <w:color w:val="231F20"/>
                <w:spacing w:val="-17"/>
                <w:w w:val="80"/>
                <w:sz w:val="16"/>
              </w:rPr>
              <w:t> </w:t>
            </w:r>
            <w:r>
              <w:rPr>
                <w:color w:val="231F20"/>
                <w:w w:val="80"/>
                <w:sz w:val="16"/>
              </w:rPr>
              <w:t>la</w:t>
            </w:r>
            <w:r>
              <w:rPr>
                <w:color w:val="231F20"/>
                <w:spacing w:val="-17"/>
                <w:w w:val="80"/>
                <w:sz w:val="16"/>
              </w:rPr>
              <w:t> </w:t>
            </w:r>
            <w:r>
              <w:rPr>
                <w:color w:val="231F20"/>
                <w:w w:val="80"/>
                <w:sz w:val="16"/>
              </w:rPr>
              <w:t>organización</w:t>
            </w:r>
            <w:r>
              <w:rPr>
                <w:color w:val="231F20"/>
                <w:spacing w:val="-17"/>
                <w:w w:val="80"/>
                <w:sz w:val="16"/>
              </w:rPr>
              <w:t> </w:t>
            </w:r>
            <w:r>
              <w:rPr>
                <w:color w:val="231F20"/>
                <w:w w:val="80"/>
                <w:sz w:val="16"/>
              </w:rPr>
              <w:t>internacional</w:t>
            </w:r>
            <w:r>
              <w:rPr>
                <w:color w:val="231F20"/>
                <w:spacing w:val="-17"/>
                <w:w w:val="80"/>
                <w:sz w:val="16"/>
              </w:rPr>
              <w:t> </w:t>
            </w:r>
            <w:r>
              <w:rPr>
                <w:color w:val="231F20"/>
                <w:w w:val="80"/>
                <w:sz w:val="16"/>
              </w:rPr>
              <w:t>Asociación</w:t>
            </w:r>
            <w:r>
              <w:rPr>
                <w:color w:val="231F20"/>
                <w:spacing w:val="-17"/>
                <w:w w:val="80"/>
                <w:sz w:val="16"/>
              </w:rPr>
              <w:t> </w:t>
            </w:r>
            <w:r>
              <w:rPr>
                <w:color w:val="231F20"/>
                <w:w w:val="80"/>
                <w:sz w:val="16"/>
              </w:rPr>
              <w:t>Técnica</w:t>
            </w:r>
            <w:r>
              <w:rPr>
                <w:color w:val="231F20"/>
                <w:spacing w:val="-17"/>
                <w:w w:val="80"/>
                <w:sz w:val="16"/>
              </w:rPr>
              <w:t> </w:t>
            </w:r>
            <w:r>
              <w:rPr>
                <w:color w:val="231F20"/>
                <w:w w:val="80"/>
                <w:sz w:val="16"/>
              </w:rPr>
              <w:t>para</w:t>
            </w:r>
            <w:r>
              <w:rPr>
                <w:color w:val="231F20"/>
                <w:spacing w:val="-17"/>
                <w:w w:val="80"/>
                <w:sz w:val="16"/>
              </w:rPr>
              <w:t> </w:t>
            </w:r>
            <w:r>
              <w:rPr>
                <w:color w:val="231F20"/>
                <w:w w:val="80"/>
                <w:sz w:val="16"/>
              </w:rPr>
              <w:t>la</w:t>
            </w:r>
            <w:r>
              <w:rPr>
                <w:color w:val="231F20"/>
                <w:spacing w:val="-17"/>
                <w:w w:val="80"/>
                <w:sz w:val="16"/>
              </w:rPr>
              <w:t> </w:t>
            </w:r>
            <w:r>
              <w:rPr>
                <w:color w:val="231F20"/>
                <w:w w:val="80"/>
                <w:sz w:val="16"/>
              </w:rPr>
              <w:t>gestión</w:t>
            </w:r>
            <w:r>
              <w:rPr>
                <w:color w:val="231F20"/>
                <w:spacing w:val="-17"/>
                <w:w w:val="80"/>
                <w:sz w:val="16"/>
              </w:rPr>
              <w:t> </w:t>
            </w:r>
            <w:r>
              <w:rPr>
                <w:color w:val="231F20"/>
                <w:w w:val="80"/>
                <w:sz w:val="16"/>
              </w:rPr>
              <w:t>de</w:t>
            </w:r>
            <w:r>
              <w:rPr>
                <w:color w:val="231F20"/>
                <w:spacing w:val="-17"/>
                <w:w w:val="80"/>
                <w:sz w:val="16"/>
              </w:rPr>
              <w:t> </w:t>
            </w:r>
            <w:r>
              <w:rPr>
                <w:color w:val="231F20"/>
                <w:w w:val="80"/>
                <w:sz w:val="16"/>
              </w:rPr>
              <w:t>residuos</w:t>
            </w:r>
            <w:r>
              <w:rPr>
                <w:color w:val="231F20"/>
                <w:spacing w:val="-17"/>
                <w:w w:val="80"/>
                <w:sz w:val="16"/>
              </w:rPr>
              <w:t> </w:t>
            </w:r>
            <w:r>
              <w:rPr>
                <w:color w:val="231F20"/>
                <w:w w:val="80"/>
                <w:sz w:val="16"/>
              </w:rPr>
              <w:t>y</w:t>
            </w:r>
            <w:r>
              <w:rPr>
                <w:color w:val="231F20"/>
                <w:spacing w:val="-17"/>
                <w:w w:val="80"/>
                <w:sz w:val="16"/>
              </w:rPr>
              <w:t> </w:t>
            </w:r>
            <w:r>
              <w:rPr>
                <w:color w:val="231F20"/>
                <w:w w:val="80"/>
                <w:sz w:val="16"/>
              </w:rPr>
              <w:t>medio</w:t>
            </w:r>
            <w:r>
              <w:rPr>
                <w:color w:val="231F20"/>
                <w:spacing w:val="-17"/>
                <w:w w:val="80"/>
                <w:sz w:val="16"/>
              </w:rPr>
              <w:t> </w:t>
            </w:r>
            <w:r>
              <w:rPr>
                <w:color w:val="231F20"/>
                <w:w w:val="80"/>
                <w:sz w:val="16"/>
              </w:rPr>
              <w:t>ambiente”,</w:t>
            </w:r>
            <w:r>
              <w:rPr>
                <w:color w:val="231F20"/>
                <w:spacing w:val="-17"/>
                <w:w w:val="80"/>
                <w:sz w:val="16"/>
              </w:rPr>
              <w:t> </w:t>
            </w:r>
            <w:r>
              <w:rPr>
                <w:color w:val="231F20"/>
                <w:w w:val="80"/>
                <w:sz w:val="16"/>
              </w:rPr>
              <w:t>por</w:t>
            </w:r>
            <w:r>
              <w:rPr>
                <w:color w:val="231F20"/>
                <w:spacing w:val="-17"/>
                <w:w w:val="80"/>
                <w:sz w:val="16"/>
              </w:rPr>
              <w:t> </w:t>
            </w:r>
            <w:r>
              <w:rPr>
                <w:color w:val="231F20"/>
                <w:w w:val="80"/>
                <w:sz w:val="16"/>
              </w:rPr>
              <w:t>las acciones</w:t>
            </w:r>
            <w:r>
              <w:rPr>
                <w:color w:val="231F20"/>
                <w:spacing w:val="-21"/>
                <w:w w:val="80"/>
                <w:sz w:val="16"/>
              </w:rPr>
              <w:t> </w:t>
            </w:r>
            <w:r>
              <w:rPr>
                <w:color w:val="231F20"/>
                <w:w w:val="80"/>
                <w:sz w:val="16"/>
              </w:rPr>
              <w:t>en</w:t>
            </w:r>
            <w:r>
              <w:rPr>
                <w:color w:val="231F20"/>
                <w:spacing w:val="-21"/>
                <w:w w:val="80"/>
                <w:sz w:val="16"/>
              </w:rPr>
              <w:t> </w:t>
            </w:r>
            <w:r>
              <w:rPr>
                <w:color w:val="231F20"/>
                <w:w w:val="80"/>
                <w:sz w:val="16"/>
              </w:rPr>
              <w:t>el</w:t>
            </w:r>
            <w:r>
              <w:rPr>
                <w:color w:val="231F20"/>
                <w:spacing w:val="-21"/>
                <w:w w:val="80"/>
                <w:sz w:val="16"/>
              </w:rPr>
              <w:t> </w:t>
            </w:r>
            <w:r>
              <w:rPr>
                <w:color w:val="231F20"/>
                <w:w w:val="80"/>
                <w:sz w:val="16"/>
              </w:rPr>
              <w:t>nuevo</w:t>
            </w:r>
            <w:r>
              <w:rPr>
                <w:color w:val="231F20"/>
                <w:spacing w:val="-21"/>
                <w:w w:val="80"/>
                <w:sz w:val="16"/>
              </w:rPr>
              <w:t> </w:t>
            </w:r>
            <w:r>
              <w:rPr>
                <w:color w:val="231F20"/>
                <w:w w:val="80"/>
                <w:sz w:val="16"/>
              </w:rPr>
              <w:t>relleno</w:t>
            </w:r>
            <w:r>
              <w:rPr>
                <w:color w:val="231F20"/>
                <w:spacing w:val="-21"/>
                <w:w w:val="80"/>
                <w:sz w:val="16"/>
              </w:rPr>
              <w:t> </w:t>
            </w:r>
            <w:r>
              <w:rPr>
                <w:color w:val="231F20"/>
                <w:w w:val="80"/>
                <w:sz w:val="16"/>
              </w:rPr>
              <w:t>sanitario</w:t>
            </w:r>
          </w:p>
        </w:tc>
      </w:tr>
    </w:tbl>
    <w:p>
      <w:pPr>
        <w:pStyle w:val="BodyText"/>
        <w:spacing w:before="9"/>
        <w:rPr>
          <w:b/>
          <w:sz w:val="9"/>
        </w:rPr>
      </w:pPr>
    </w:p>
    <w:p>
      <w:pPr>
        <w:spacing w:before="74"/>
        <w:ind w:left="0" w:right="108" w:firstLine="0"/>
        <w:jc w:val="right"/>
        <w:rPr>
          <w:rFonts w:ascii="Calibri" w:hAnsi="Calibri"/>
          <w:sz w:val="16"/>
        </w:rPr>
      </w:pPr>
      <w:r>
        <w:rPr>
          <w:rFonts w:ascii="Calibri" w:hAnsi="Calibri"/>
          <w:color w:val="231F20"/>
          <w:sz w:val="16"/>
        </w:rPr>
        <w:t>Fuente: 2º informe de gobierno, 2008</w:t>
      </w:r>
    </w:p>
    <w:p>
      <w:pPr>
        <w:pStyle w:val="BodyText"/>
        <w:spacing w:before="3"/>
        <w:rPr>
          <w:rFonts w:ascii="Calibri"/>
          <w:sz w:val="23"/>
        </w:rPr>
      </w:pPr>
    </w:p>
    <w:p>
      <w:pPr>
        <w:pStyle w:val="Heading4"/>
        <w:rPr>
          <w:i/>
        </w:rPr>
      </w:pPr>
      <w:r>
        <w:rPr>
          <w:i/>
          <w:color w:val="231F20"/>
        </w:rPr>
        <w:t>Desarrollo y Fortalecimiento</w:t>
      </w:r>
      <w:r>
        <w:rPr>
          <w:i/>
          <w:color w:val="231F20"/>
          <w:spacing w:val="64"/>
        </w:rPr>
        <w:t> </w:t>
      </w:r>
      <w:r>
        <w:rPr>
          <w:i/>
          <w:color w:val="231F20"/>
        </w:rPr>
        <w:t>Económico</w:t>
      </w:r>
    </w:p>
    <w:p>
      <w:pPr>
        <w:pStyle w:val="BodyText"/>
        <w:spacing w:line="285" w:lineRule="auto" w:before="17"/>
        <w:ind w:left="110" w:right="107"/>
        <w:jc w:val="both"/>
      </w:pP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tema</w:t>
      </w:r>
      <w:r>
        <w:rPr>
          <w:color w:val="231F20"/>
          <w:spacing w:val="-12"/>
          <w:w w:val="105"/>
        </w:rPr>
        <w:t> </w:t>
      </w:r>
      <w:r>
        <w:rPr>
          <w:color w:val="231F20"/>
          <w:w w:val="105"/>
        </w:rPr>
        <w:t>se</w:t>
      </w:r>
      <w:r>
        <w:rPr>
          <w:color w:val="231F20"/>
          <w:spacing w:val="-12"/>
          <w:w w:val="105"/>
        </w:rPr>
        <w:t> </w:t>
      </w:r>
      <w:r>
        <w:rPr>
          <w:color w:val="231F20"/>
          <w:w w:val="105"/>
        </w:rPr>
        <w:t>informó</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gestionó</w:t>
      </w:r>
      <w:r>
        <w:rPr>
          <w:color w:val="231F20"/>
          <w:spacing w:val="-12"/>
          <w:w w:val="105"/>
        </w:rPr>
        <w:t> </w:t>
      </w:r>
      <w:r>
        <w:rPr>
          <w:color w:val="231F20"/>
          <w:w w:val="105"/>
        </w:rPr>
        <w:t>la</w:t>
      </w:r>
      <w:r>
        <w:rPr>
          <w:color w:val="231F20"/>
          <w:spacing w:val="-12"/>
          <w:w w:val="105"/>
        </w:rPr>
        <w:t> </w:t>
      </w:r>
      <w:r>
        <w:rPr>
          <w:color w:val="231F20"/>
          <w:w w:val="105"/>
        </w:rPr>
        <w:t>realización</w:t>
      </w:r>
      <w:r>
        <w:rPr>
          <w:color w:val="231F20"/>
          <w:spacing w:val="-12"/>
          <w:w w:val="105"/>
        </w:rPr>
        <w:t> </w:t>
      </w:r>
      <w:r>
        <w:rPr>
          <w:color w:val="231F20"/>
          <w:w w:val="105"/>
        </w:rPr>
        <w:t>de</w:t>
      </w:r>
      <w:r>
        <w:rPr>
          <w:color w:val="231F20"/>
          <w:spacing w:val="-12"/>
          <w:w w:val="105"/>
        </w:rPr>
        <w:t> </w:t>
      </w:r>
      <w:r>
        <w:rPr>
          <w:color w:val="231F20"/>
          <w:w w:val="105"/>
        </w:rPr>
        <w:t>casi</w:t>
      </w:r>
      <w:r>
        <w:rPr>
          <w:color w:val="231F20"/>
          <w:spacing w:val="-12"/>
          <w:w w:val="105"/>
        </w:rPr>
        <w:t> </w:t>
      </w:r>
      <w:r>
        <w:rPr>
          <w:color w:val="231F20"/>
          <w:w w:val="105"/>
        </w:rPr>
        <w:t>la</w:t>
      </w:r>
      <w:r>
        <w:rPr>
          <w:color w:val="231F20"/>
          <w:spacing w:val="-12"/>
          <w:w w:val="105"/>
        </w:rPr>
        <w:t> </w:t>
      </w:r>
      <w:r>
        <w:rPr>
          <w:color w:val="231F20"/>
          <w:w w:val="105"/>
        </w:rPr>
        <w:t>mitad</w:t>
      </w:r>
      <w:r>
        <w:rPr>
          <w:color w:val="231F20"/>
          <w:spacing w:val="-12"/>
          <w:w w:val="105"/>
        </w:rPr>
        <w:t> </w:t>
      </w:r>
      <w:r>
        <w:rPr>
          <w:color w:val="231F20"/>
          <w:w w:val="105"/>
        </w:rPr>
        <w:t>de</w:t>
      </w:r>
      <w:r>
        <w:rPr>
          <w:color w:val="231F20"/>
          <w:spacing w:val="-12"/>
          <w:w w:val="105"/>
        </w:rPr>
        <w:t> </w:t>
      </w:r>
      <w:r>
        <w:rPr>
          <w:color w:val="231F20"/>
          <w:w w:val="105"/>
        </w:rPr>
        <w:t>los trámites</w:t>
      </w:r>
      <w:r>
        <w:rPr>
          <w:color w:val="231F20"/>
          <w:spacing w:val="-6"/>
          <w:w w:val="105"/>
        </w:rPr>
        <w:t> </w:t>
      </w:r>
      <w:r>
        <w:rPr>
          <w:color w:val="231F20"/>
          <w:w w:val="105"/>
        </w:rPr>
        <w:t>del</w:t>
      </w:r>
      <w:r>
        <w:rPr>
          <w:color w:val="231F20"/>
          <w:spacing w:val="-6"/>
          <w:w w:val="105"/>
        </w:rPr>
        <w:t> </w:t>
      </w:r>
      <w:r>
        <w:rPr>
          <w:color w:val="231F20"/>
          <w:w w:val="105"/>
        </w:rPr>
        <w:t>primer</w:t>
      </w:r>
      <w:r>
        <w:rPr>
          <w:color w:val="231F20"/>
          <w:spacing w:val="-6"/>
          <w:w w:val="105"/>
        </w:rPr>
        <w:t> </w:t>
      </w:r>
      <w:r>
        <w:rPr>
          <w:color w:val="231F20"/>
          <w:w w:val="105"/>
        </w:rPr>
        <w:t>año</w:t>
      </w:r>
      <w:r>
        <w:rPr>
          <w:color w:val="231F20"/>
          <w:spacing w:val="-6"/>
          <w:w w:val="105"/>
        </w:rPr>
        <w:t> </w:t>
      </w:r>
      <w:r>
        <w:rPr>
          <w:color w:val="231F20"/>
          <w:spacing w:val="-4"/>
          <w:w w:val="105"/>
        </w:rPr>
        <w:t>(6</w:t>
      </w:r>
      <w:r>
        <w:rPr>
          <w:color w:val="231F20"/>
          <w:spacing w:val="-6"/>
          <w:w w:val="105"/>
        </w:rPr>
        <w:t> </w:t>
      </w:r>
      <w:r>
        <w:rPr>
          <w:color w:val="231F20"/>
          <w:spacing w:val="2"/>
          <w:w w:val="105"/>
        </w:rPr>
        <w:t>mil</w:t>
      </w:r>
      <w:r>
        <w:rPr>
          <w:color w:val="231F20"/>
          <w:spacing w:val="-6"/>
          <w:w w:val="105"/>
        </w:rPr>
        <w:t> 601). </w:t>
      </w:r>
      <w:r>
        <w:rPr>
          <w:color w:val="231F20"/>
          <w:w w:val="105"/>
        </w:rPr>
        <w:t>No</w:t>
      </w:r>
      <w:r>
        <w:rPr>
          <w:color w:val="231F20"/>
          <w:spacing w:val="-6"/>
          <w:w w:val="105"/>
        </w:rPr>
        <w:t> </w:t>
      </w:r>
      <w:r>
        <w:rPr>
          <w:color w:val="231F20"/>
          <w:w w:val="105"/>
        </w:rPr>
        <w:t>obstante,</w:t>
      </w:r>
      <w:r>
        <w:rPr>
          <w:color w:val="231F20"/>
          <w:spacing w:val="-6"/>
          <w:w w:val="105"/>
        </w:rPr>
        <w:t> </w:t>
      </w:r>
      <w:r>
        <w:rPr>
          <w:color w:val="231F20"/>
          <w:w w:val="105"/>
        </w:rPr>
        <w:t>se</w:t>
      </w:r>
      <w:r>
        <w:rPr>
          <w:color w:val="231F20"/>
          <w:spacing w:val="-6"/>
          <w:w w:val="105"/>
        </w:rPr>
        <w:t> </w:t>
      </w:r>
      <w:r>
        <w:rPr>
          <w:color w:val="231F20"/>
          <w:w w:val="105"/>
        </w:rPr>
        <w:t>reportó</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crearon</w:t>
      </w:r>
      <w:r>
        <w:rPr>
          <w:color w:val="231F20"/>
          <w:spacing w:val="-6"/>
          <w:w w:val="105"/>
        </w:rPr>
        <w:t> </w:t>
      </w:r>
      <w:r>
        <w:rPr>
          <w:color w:val="231F20"/>
          <w:spacing w:val="4"/>
          <w:w w:val="105"/>
        </w:rPr>
        <w:t>400</w:t>
      </w:r>
      <w:r>
        <w:rPr>
          <w:color w:val="231F20"/>
          <w:spacing w:val="-6"/>
          <w:w w:val="105"/>
        </w:rPr>
        <w:t> </w:t>
      </w:r>
      <w:r>
        <w:rPr>
          <w:color w:val="231F20"/>
          <w:w w:val="105"/>
        </w:rPr>
        <w:t>nuevas empresas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cifra</w:t>
      </w:r>
      <w:r>
        <w:rPr>
          <w:color w:val="231F20"/>
          <w:spacing w:val="-16"/>
          <w:w w:val="105"/>
        </w:rPr>
        <w:t> </w:t>
      </w:r>
      <w:r>
        <w:rPr>
          <w:color w:val="231F20"/>
          <w:w w:val="105"/>
        </w:rPr>
        <w:t>extraordinaria</w:t>
      </w:r>
      <w:r>
        <w:rPr>
          <w:color w:val="231F20"/>
          <w:spacing w:val="-16"/>
          <w:w w:val="105"/>
        </w:rPr>
        <w:t> </w:t>
      </w:r>
      <w:r>
        <w:rPr>
          <w:color w:val="231F20"/>
          <w:w w:val="105"/>
        </w:rPr>
        <w:t>pues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primer</w:t>
      </w:r>
      <w:r>
        <w:rPr>
          <w:color w:val="231F20"/>
          <w:spacing w:val="-16"/>
          <w:w w:val="105"/>
        </w:rPr>
        <w:t> </w:t>
      </w:r>
      <w:r>
        <w:rPr>
          <w:color w:val="231F20"/>
          <w:w w:val="105"/>
        </w:rPr>
        <w:t>año</w:t>
      </w:r>
      <w:r>
        <w:rPr>
          <w:color w:val="231F20"/>
          <w:spacing w:val="-16"/>
          <w:w w:val="105"/>
        </w:rPr>
        <w:t> </w:t>
      </w:r>
      <w:r>
        <w:rPr>
          <w:color w:val="231F20"/>
          <w:w w:val="105"/>
        </w:rPr>
        <w:t>solamente</w:t>
      </w:r>
      <w:r>
        <w:rPr>
          <w:color w:val="231F20"/>
          <w:spacing w:val="-16"/>
          <w:w w:val="105"/>
        </w:rPr>
        <w:t> </w:t>
      </w:r>
      <w:r>
        <w:rPr>
          <w:color w:val="231F20"/>
          <w:w w:val="105"/>
        </w:rPr>
        <w:t>se</w:t>
      </w:r>
      <w:r>
        <w:rPr>
          <w:color w:val="231F20"/>
          <w:spacing w:val="-16"/>
          <w:w w:val="105"/>
        </w:rPr>
        <w:t> </w:t>
      </w:r>
      <w:r>
        <w:rPr>
          <w:color w:val="231F20"/>
          <w:w w:val="105"/>
        </w:rPr>
        <w:t>cons- tituyeron</w:t>
      </w:r>
      <w:r>
        <w:rPr>
          <w:color w:val="231F20"/>
          <w:spacing w:val="-13"/>
          <w:w w:val="105"/>
        </w:rPr>
        <w:t> </w:t>
      </w:r>
      <w:r>
        <w:rPr>
          <w:color w:val="231F20"/>
          <w:spacing w:val="-4"/>
          <w:w w:val="105"/>
        </w:rPr>
        <w:t>29.</w:t>
      </w:r>
      <w:r>
        <w:rPr>
          <w:color w:val="231F20"/>
          <w:spacing w:val="-13"/>
          <w:w w:val="105"/>
        </w:rPr>
        <w:t> </w:t>
      </w:r>
      <w:r>
        <w:rPr>
          <w:color w:val="231F20"/>
          <w:w w:val="105"/>
        </w:rPr>
        <w:t>Asimismo</w:t>
      </w:r>
      <w:r>
        <w:rPr>
          <w:color w:val="231F20"/>
          <w:spacing w:val="-13"/>
          <w:w w:val="105"/>
        </w:rPr>
        <w:t> </w:t>
      </w:r>
      <w:r>
        <w:rPr>
          <w:color w:val="231F20"/>
          <w:w w:val="105"/>
        </w:rPr>
        <w:t>se</w:t>
      </w:r>
      <w:r>
        <w:rPr>
          <w:color w:val="231F20"/>
          <w:spacing w:val="-13"/>
          <w:w w:val="105"/>
        </w:rPr>
        <w:t> </w:t>
      </w:r>
      <w:r>
        <w:rPr>
          <w:color w:val="231F20"/>
          <w:w w:val="105"/>
        </w:rPr>
        <w:t>informó</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entregaron</w:t>
      </w:r>
      <w:r>
        <w:rPr>
          <w:color w:val="231F20"/>
          <w:spacing w:val="-13"/>
          <w:w w:val="105"/>
        </w:rPr>
        <w:t> </w:t>
      </w:r>
      <w:r>
        <w:rPr>
          <w:color w:val="231F20"/>
          <w:w w:val="105"/>
        </w:rPr>
        <w:t>más</w:t>
      </w:r>
      <w:r>
        <w:rPr>
          <w:color w:val="231F20"/>
          <w:spacing w:val="-13"/>
          <w:w w:val="105"/>
        </w:rPr>
        <w:t> </w:t>
      </w:r>
      <w:r>
        <w:rPr>
          <w:color w:val="231F20"/>
          <w:w w:val="105"/>
        </w:rPr>
        <w:t>de</w:t>
      </w:r>
      <w:r>
        <w:rPr>
          <w:color w:val="231F20"/>
          <w:spacing w:val="-13"/>
          <w:w w:val="105"/>
        </w:rPr>
        <w:t> </w:t>
      </w:r>
      <w:r>
        <w:rPr>
          <w:color w:val="231F20"/>
          <w:w w:val="105"/>
        </w:rPr>
        <w:t>dos</w:t>
      </w:r>
      <w:r>
        <w:rPr>
          <w:color w:val="231F20"/>
          <w:spacing w:val="-13"/>
          <w:w w:val="105"/>
        </w:rPr>
        <w:t> </w:t>
      </w:r>
      <w:r>
        <w:rPr>
          <w:color w:val="231F20"/>
          <w:spacing w:val="2"/>
          <w:w w:val="105"/>
        </w:rPr>
        <w:t>mil</w:t>
      </w:r>
      <w:r>
        <w:rPr>
          <w:color w:val="231F20"/>
          <w:spacing w:val="-13"/>
          <w:w w:val="105"/>
        </w:rPr>
        <w:t> </w:t>
      </w:r>
      <w:r>
        <w:rPr>
          <w:color w:val="231F20"/>
          <w:w w:val="105"/>
        </w:rPr>
        <w:t>microcréditos</w:t>
      </w:r>
      <w:r>
        <w:rPr>
          <w:color w:val="231F20"/>
          <w:spacing w:val="-13"/>
          <w:w w:val="105"/>
        </w:rPr>
        <w:t> </w:t>
      </w:r>
      <w:r>
        <w:rPr>
          <w:color w:val="231F20"/>
          <w:w w:val="105"/>
        </w:rPr>
        <w:t>por</w:t>
      </w:r>
    </w:p>
    <w:p>
      <w:pPr>
        <w:spacing w:after="0" w:line="285" w:lineRule="auto"/>
        <w:jc w:val="both"/>
        <w:sectPr>
          <w:footerReference w:type="default" r:id="rId649"/>
          <w:pgSz w:w="9640" w:h="12190"/>
          <w:pgMar w:footer="743" w:header="0" w:top="1120" w:bottom="940" w:left="740" w:right="740"/>
          <w:pgNumType w:start="280"/>
        </w:sectPr>
      </w:pPr>
    </w:p>
    <w:p>
      <w:pPr>
        <w:pStyle w:val="BodyText"/>
        <w:spacing w:before="3"/>
        <w:rPr>
          <w:sz w:val="11"/>
        </w:rPr>
      </w:pPr>
    </w:p>
    <w:p>
      <w:pPr>
        <w:pStyle w:val="BodyText"/>
        <w:spacing w:line="285" w:lineRule="auto" w:before="36"/>
        <w:ind w:left="110" w:right="106"/>
        <w:jc w:val="both"/>
      </w:pPr>
      <w:r>
        <w:rPr>
          <w:color w:val="231F20"/>
          <w:w w:val="105"/>
        </w:rPr>
        <w:t>un</w:t>
      </w:r>
      <w:r>
        <w:rPr>
          <w:color w:val="231F20"/>
          <w:spacing w:val="-12"/>
          <w:w w:val="105"/>
        </w:rPr>
        <w:t> </w:t>
      </w:r>
      <w:r>
        <w:rPr>
          <w:color w:val="231F20"/>
          <w:spacing w:val="-3"/>
          <w:w w:val="105"/>
        </w:rPr>
        <w:t>monto</w:t>
      </w:r>
      <w:r>
        <w:rPr>
          <w:color w:val="231F20"/>
          <w:spacing w:val="-12"/>
          <w:w w:val="105"/>
        </w:rPr>
        <w:t> </w:t>
      </w:r>
      <w:r>
        <w:rPr>
          <w:color w:val="231F20"/>
          <w:w w:val="105"/>
        </w:rPr>
        <w:t>superior</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15</w:t>
      </w:r>
      <w:r>
        <w:rPr>
          <w:color w:val="231F20"/>
          <w:spacing w:val="-12"/>
          <w:w w:val="105"/>
        </w:rPr>
        <w:t> </w:t>
      </w:r>
      <w:r>
        <w:rPr>
          <w:color w:val="231F20"/>
          <w:w w:val="105"/>
        </w:rPr>
        <w:t>millones</w:t>
      </w:r>
      <w:r>
        <w:rPr>
          <w:color w:val="231F20"/>
          <w:spacing w:val="-12"/>
          <w:w w:val="105"/>
        </w:rPr>
        <w:t> </w:t>
      </w:r>
      <w:r>
        <w:rPr>
          <w:color w:val="231F20"/>
          <w:w w:val="105"/>
        </w:rPr>
        <w:t>de</w:t>
      </w:r>
      <w:r>
        <w:rPr>
          <w:color w:val="231F20"/>
          <w:spacing w:val="-12"/>
          <w:w w:val="105"/>
        </w:rPr>
        <w:t> </w:t>
      </w:r>
      <w:r>
        <w:rPr>
          <w:color w:val="231F20"/>
          <w:w w:val="105"/>
        </w:rPr>
        <w:t>pesos.</w:t>
      </w:r>
      <w:r>
        <w:rPr>
          <w:color w:val="231F20"/>
          <w:spacing w:val="-12"/>
          <w:w w:val="105"/>
        </w:rPr>
        <w:t> </w:t>
      </w:r>
      <w:r>
        <w:rPr>
          <w:color w:val="231F20"/>
          <w:w w:val="105"/>
        </w:rPr>
        <w:t>En</w:t>
      </w:r>
      <w:r>
        <w:rPr>
          <w:color w:val="231F20"/>
          <w:spacing w:val="-12"/>
          <w:w w:val="105"/>
        </w:rPr>
        <w:t> </w:t>
      </w:r>
      <w:r>
        <w:rPr>
          <w:color w:val="231F20"/>
          <w:w w:val="105"/>
        </w:rPr>
        <w:t>cuanto</w:t>
      </w:r>
      <w:r>
        <w:rPr>
          <w:color w:val="231F20"/>
          <w:spacing w:val="-12"/>
          <w:w w:val="105"/>
        </w:rPr>
        <w:t> </w:t>
      </w:r>
      <w:r>
        <w:rPr>
          <w:color w:val="231F20"/>
          <w:w w:val="105"/>
        </w:rPr>
        <w:t>a</w:t>
      </w:r>
      <w:r>
        <w:rPr>
          <w:color w:val="231F20"/>
          <w:spacing w:val="-12"/>
          <w:w w:val="105"/>
        </w:rPr>
        <w:t> </w:t>
      </w:r>
      <w:r>
        <w:rPr>
          <w:color w:val="231F20"/>
          <w:w w:val="105"/>
        </w:rPr>
        <w:t>trabajo,</w:t>
      </w:r>
      <w:r>
        <w:rPr>
          <w:color w:val="231F20"/>
          <w:spacing w:val="-12"/>
          <w:w w:val="105"/>
        </w:rPr>
        <w:t> </w:t>
      </w:r>
      <w:r>
        <w:rPr>
          <w:color w:val="231F20"/>
          <w:w w:val="105"/>
        </w:rPr>
        <w:t>aunque</w:t>
      </w:r>
      <w:r>
        <w:rPr>
          <w:color w:val="231F20"/>
          <w:spacing w:val="-12"/>
          <w:w w:val="105"/>
        </w:rPr>
        <w:t> </w:t>
      </w:r>
      <w:r>
        <w:rPr>
          <w:color w:val="231F20"/>
          <w:w w:val="105"/>
        </w:rPr>
        <w:t>se</w:t>
      </w:r>
      <w:r>
        <w:rPr>
          <w:color w:val="231F20"/>
          <w:spacing w:val="-12"/>
          <w:w w:val="105"/>
        </w:rPr>
        <w:t> </w:t>
      </w:r>
      <w:r>
        <w:rPr>
          <w:color w:val="231F20"/>
          <w:w w:val="105"/>
        </w:rPr>
        <w:t>aseguraba que</w:t>
      </w:r>
      <w:r>
        <w:rPr>
          <w:color w:val="231F20"/>
          <w:spacing w:val="-10"/>
          <w:w w:val="105"/>
        </w:rPr>
        <w:t> </w:t>
      </w:r>
      <w:r>
        <w:rPr>
          <w:color w:val="231F20"/>
          <w:w w:val="105"/>
        </w:rPr>
        <w:t>se</w:t>
      </w:r>
      <w:r>
        <w:rPr>
          <w:color w:val="231F20"/>
          <w:spacing w:val="-10"/>
          <w:w w:val="105"/>
        </w:rPr>
        <w:t> </w:t>
      </w:r>
      <w:r>
        <w:rPr>
          <w:color w:val="231F20"/>
          <w:w w:val="105"/>
        </w:rPr>
        <w:t>ofertaron</w:t>
      </w:r>
      <w:r>
        <w:rPr>
          <w:color w:val="231F20"/>
          <w:spacing w:val="-10"/>
          <w:w w:val="105"/>
        </w:rPr>
        <w:t> </w:t>
      </w:r>
      <w:r>
        <w:rPr>
          <w:color w:val="231F20"/>
          <w:w w:val="105"/>
        </w:rPr>
        <w:t>más</w:t>
      </w:r>
      <w:r>
        <w:rPr>
          <w:color w:val="231F20"/>
          <w:spacing w:val="-10"/>
          <w:w w:val="105"/>
        </w:rPr>
        <w:t> </w:t>
      </w:r>
      <w:r>
        <w:rPr>
          <w:color w:val="231F20"/>
          <w:w w:val="105"/>
        </w:rPr>
        <w:t>de</w:t>
      </w:r>
      <w:r>
        <w:rPr>
          <w:color w:val="231F20"/>
          <w:spacing w:val="-10"/>
          <w:w w:val="105"/>
        </w:rPr>
        <w:t> </w:t>
      </w:r>
      <w:r>
        <w:rPr>
          <w:color w:val="231F20"/>
          <w:w w:val="105"/>
        </w:rPr>
        <w:t>20</w:t>
      </w:r>
      <w:r>
        <w:rPr>
          <w:color w:val="231F20"/>
          <w:spacing w:val="-10"/>
          <w:w w:val="105"/>
        </w:rPr>
        <w:t> </w:t>
      </w:r>
      <w:r>
        <w:rPr>
          <w:color w:val="231F20"/>
          <w:spacing w:val="2"/>
          <w:w w:val="105"/>
        </w:rPr>
        <w:t>mil</w:t>
      </w:r>
      <w:r>
        <w:rPr>
          <w:color w:val="231F20"/>
          <w:spacing w:val="-10"/>
          <w:w w:val="105"/>
        </w:rPr>
        <w:t> </w:t>
      </w:r>
      <w:r>
        <w:rPr>
          <w:color w:val="231F20"/>
          <w:w w:val="105"/>
        </w:rPr>
        <w:t>empleos</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jornadas</w:t>
      </w:r>
      <w:r>
        <w:rPr>
          <w:color w:val="231F20"/>
          <w:spacing w:val="-10"/>
          <w:w w:val="105"/>
        </w:rPr>
        <w:t> </w:t>
      </w:r>
      <w:r>
        <w:rPr>
          <w:color w:val="231F20"/>
          <w:w w:val="105"/>
        </w:rPr>
        <w:t>y</w:t>
      </w:r>
      <w:r>
        <w:rPr>
          <w:color w:val="231F20"/>
          <w:spacing w:val="-10"/>
          <w:w w:val="105"/>
        </w:rPr>
        <w:t> </w:t>
      </w:r>
      <w:r>
        <w:rPr>
          <w:color w:val="231F20"/>
          <w:w w:val="105"/>
        </w:rPr>
        <w:t>ferias</w:t>
      </w:r>
      <w:r>
        <w:rPr>
          <w:color w:val="231F20"/>
          <w:spacing w:val="-10"/>
          <w:w w:val="105"/>
        </w:rPr>
        <w:t> </w:t>
      </w:r>
      <w:r>
        <w:rPr>
          <w:color w:val="231F20"/>
          <w:w w:val="105"/>
        </w:rPr>
        <w:t>del</w:t>
      </w:r>
      <w:r>
        <w:rPr>
          <w:color w:val="231F20"/>
          <w:spacing w:val="-10"/>
          <w:w w:val="105"/>
        </w:rPr>
        <w:t> </w:t>
      </w:r>
      <w:r>
        <w:rPr>
          <w:color w:val="231F20"/>
          <w:w w:val="105"/>
        </w:rPr>
        <w:t>empleo,</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men- cionó el número de personas que lograron una plaza, ni </w:t>
      </w:r>
      <w:r>
        <w:rPr>
          <w:color w:val="231F20"/>
          <w:spacing w:val="-3"/>
          <w:w w:val="105"/>
        </w:rPr>
        <w:t>mucho </w:t>
      </w:r>
      <w:r>
        <w:rPr>
          <w:color w:val="231F20"/>
          <w:w w:val="105"/>
        </w:rPr>
        <w:t>menos la dinámica del empleo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Cabe</w:t>
      </w:r>
      <w:r>
        <w:rPr>
          <w:color w:val="231F20"/>
          <w:spacing w:val="-17"/>
          <w:w w:val="105"/>
        </w:rPr>
        <w:t> </w:t>
      </w:r>
      <w:r>
        <w:rPr>
          <w:color w:val="231F20"/>
          <w:w w:val="105"/>
        </w:rPr>
        <w:t>señalar</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esta</w:t>
      </w:r>
      <w:r>
        <w:rPr>
          <w:color w:val="231F20"/>
          <w:spacing w:val="-17"/>
          <w:w w:val="105"/>
        </w:rPr>
        <w:t> </w:t>
      </w:r>
      <w:r>
        <w:rPr>
          <w:color w:val="231F20"/>
          <w:w w:val="105"/>
        </w:rPr>
        <w:t>materia</w:t>
      </w:r>
      <w:r>
        <w:rPr>
          <w:color w:val="231F20"/>
          <w:spacing w:val="-17"/>
          <w:w w:val="105"/>
        </w:rPr>
        <w:t> </w:t>
      </w:r>
      <w:r>
        <w:rPr>
          <w:color w:val="231F20"/>
          <w:w w:val="105"/>
        </w:rPr>
        <w:t>se</w:t>
      </w:r>
      <w:r>
        <w:rPr>
          <w:color w:val="231F20"/>
          <w:spacing w:val="-17"/>
          <w:w w:val="105"/>
        </w:rPr>
        <w:t> </w:t>
      </w:r>
      <w:r>
        <w:rPr>
          <w:color w:val="231F20"/>
          <w:w w:val="105"/>
        </w:rPr>
        <w:t>informó</w:t>
      </w:r>
      <w:r>
        <w:rPr>
          <w:color w:val="231F20"/>
          <w:spacing w:val="-17"/>
          <w:w w:val="105"/>
        </w:rPr>
        <w:t> </w:t>
      </w:r>
      <w:r>
        <w:rPr>
          <w:color w:val="231F20"/>
          <w:w w:val="105"/>
        </w:rPr>
        <w:t>del</w:t>
      </w:r>
      <w:r>
        <w:rPr>
          <w:color w:val="231F20"/>
          <w:spacing w:val="-17"/>
          <w:w w:val="105"/>
        </w:rPr>
        <w:t> </w:t>
      </w:r>
      <w:r>
        <w:rPr>
          <w:color w:val="231F20"/>
          <w:w w:val="105"/>
        </w:rPr>
        <w:t>comienzo</w:t>
      </w:r>
      <w:r>
        <w:rPr>
          <w:color w:val="231F20"/>
          <w:spacing w:val="-17"/>
          <w:w w:val="105"/>
        </w:rPr>
        <w:t> </w:t>
      </w:r>
      <w:r>
        <w:rPr>
          <w:color w:val="231F20"/>
          <w:w w:val="105"/>
        </w:rPr>
        <w:t>de</w:t>
      </w:r>
      <w:r>
        <w:rPr>
          <w:color w:val="231F20"/>
          <w:spacing w:val="-17"/>
          <w:w w:val="105"/>
        </w:rPr>
        <w:t> </w:t>
      </w:r>
      <w:r>
        <w:rPr>
          <w:color w:val="231F20"/>
          <w:w w:val="105"/>
        </w:rPr>
        <w:t>la rehabilitación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spacing w:val="-5"/>
          <w:w w:val="105"/>
        </w:rPr>
        <w:t>Torres</w:t>
      </w:r>
      <w:r>
        <w:rPr>
          <w:color w:val="231F20"/>
          <w:spacing w:val="-9"/>
          <w:w w:val="105"/>
        </w:rPr>
        <w:t> </w:t>
      </w:r>
      <w:r>
        <w:rPr>
          <w:color w:val="231F20"/>
          <w:w w:val="105"/>
        </w:rPr>
        <w:t>de</w:t>
      </w:r>
      <w:r>
        <w:rPr>
          <w:color w:val="231F20"/>
          <w:spacing w:val="-9"/>
          <w:w w:val="105"/>
        </w:rPr>
        <w:t> </w:t>
      </w:r>
      <w:r>
        <w:rPr>
          <w:color w:val="231F20"/>
          <w:w w:val="105"/>
        </w:rPr>
        <w:t>Satélite,</w:t>
      </w:r>
      <w:r>
        <w:rPr>
          <w:color w:val="231F20"/>
          <w:spacing w:val="-9"/>
          <w:w w:val="105"/>
        </w:rPr>
        <w:t> </w:t>
      </w:r>
      <w:r>
        <w:rPr>
          <w:color w:val="231F20"/>
          <w:w w:val="105"/>
        </w:rPr>
        <w:t>acción</w:t>
      </w:r>
      <w:r>
        <w:rPr>
          <w:color w:val="231F20"/>
          <w:spacing w:val="-9"/>
          <w:w w:val="105"/>
        </w:rPr>
        <w:t> </w:t>
      </w:r>
      <w:r>
        <w:rPr>
          <w:color w:val="231F20"/>
          <w:w w:val="105"/>
        </w:rPr>
        <w:t>que</w:t>
      </w:r>
      <w:r>
        <w:rPr>
          <w:color w:val="231F20"/>
          <w:spacing w:val="-9"/>
          <w:w w:val="105"/>
        </w:rPr>
        <w:t> </w:t>
      </w:r>
      <w:r>
        <w:rPr>
          <w:color w:val="231F20"/>
          <w:w w:val="105"/>
        </w:rPr>
        <w:t>fue</w:t>
      </w:r>
      <w:r>
        <w:rPr>
          <w:color w:val="231F20"/>
          <w:spacing w:val="-9"/>
          <w:w w:val="105"/>
        </w:rPr>
        <w:t> </w:t>
      </w:r>
      <w:r>
        <w:rPr>
          <w:color w:val="231F20"/>
          <w:w w:val="105"/>
        </w:rPr>
        <w:t>realizada</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colaboración</w:t>
      </w:r>
      <w:r>
        <w:rPr>
          <w:color w:val="231F20"/>
          <w:spacing w:val="-9"/>
          <w:w w:val="105"/>
        </w:rPr>
        <w:t> </w:t>
      </w:r>
      <w:r>
        <w:rPr>
          <w:color w:val="231F20"/>
          <w:w w:val="105"/>
        </w:rPr>
        <w:t>de diversas</w:t>
      </w:r>
      <w:r>
        <w:rPr>
          <w:color w:val="231F20"/>
          <w:spacing w:val="-22"/>
          <w:w w:val="105"/>
        </w:rPr>
        <w:t> </w:t>
      </w:r>
      <w:r>
        <w:rPr>
          <w:color w:val="231F20"/>
          <w:w w:val="105"/>
        </w:rPr>
        <w:t>empresas</w:t>
      </w:r>
      <w:r>
        <w:rPr>
          <w:color w:val="231F20"/>
          <w:spacing w:val="-22"/>
          <w:w w:val="105"/>
        </w:rPr>
        <w:t> </w:t>
      </w:r>
      <w:r>
        <w:rPr>
          <w:color w:val="231F20"/>
          <w:w w:val="105"/>
        </w:rPr>
        <w:t>ubicadas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municipio.</w:t>
      </w:r>
    </w:p>
    <w:p>
      <w:pPr>
        <w:pStyle w:val="BodyText"/>
        <w:spacing w:before="2"/>
        <w:rPr>
          <w:sz w:val="20"/>
        </w:rPr>
      </w:pPr>
    </w:p>
    <w:p>
      <w:pPr>
        <w:pStyle w:val="Heading4"/>
        <w:rPr>
          <w:i/>
        </w:rPr>
      </w:pPr>
      <w:r>
        <w:rPr>
          <w:i/>
          <w:color w:val="231F20"/>
          <w:w w:val="105"/>
        </w:rPr>
        <w:t>Fortalecimiento Institucional y Transparencia</w:t>
      </w:r>
    </w:p>
    <w:p>
      <w:pPr>
        <w:pStyle w:val="BodyText"/>
        <w:spacing w:line="285" w:lineRule="auto" w:before="17"/>
        <w:ind w:left="110" w:right="107"/>
        <w:jc w:val="both"/>
      </w:pPr>
      <w:r>
        <w:rPr>
          <w:color w:val="231F20"/>
          <w:spacing w:val="3"/>
          <w:w w:val="105"/>
        </w:rPr>
        <w:t>Al </w:t>
      </w:r>
      <w:r>
        <w:rPr>
          <w:color w:val="231F20"/>
          <w:w w:val="105"/>
        </w:rPr>
        <w:t>respecto las medidas fueron diferentes a las documentadas en el primer año. No se aclararon</w:t>
      </w:r>
      <w:r>
        <w:rPr>
          <w:color w:val="231F20"/>
          <w:spacing w:val="-5"/>
          <w:w w:val="105"/>
        </w:rPr>
        <w:t> </w:t>
      </w:r>
      <w:r>
        <w:rPr>
          <w:color w:val="231F20"/>
          <w:w w:val="105"/>
        </w:rPr>
        <w:t>las</w:t>
      </w:r>
      <w:r>
        <w:rPr>
          <w:color w:val="231F20"/>
          <w:spacing w:val="-5"/>
          <w:w w:val="105"/>
        </w:rPr>
        <w:t> </w:t>
      </w:r>
      <w:r>
        <w:rPr>
          <w:color w:val="231F20"/>
          <w:w w:val="105"/>
        </w:rPr>
        <w:t>demandas</w:t>
      </w:r>
      <w:r>
        <w:rPr>
          <w:color w:val="231F20"/>
          <w:spacing w:val="-5"/>
          <w:w w:val="105"/>
        </w:rPr>
        <w:t> </w:t>
      </w:r>
      <w:r>
        <w:rPr>
          <w:color w:val="231F20"/>
          <w:w w:val="105"/>
        </w:rPr>
        <w:t>de</w:t>
      </w:r>
      <w:r>
        <w:rPr>
          <w:color w:val="231F20"/>
          <w:spacing w:val="-5"/>
          <w:w w:val="105"/>
        </w:rPr>
        <w:t> </w:t>
      </w:r>
      <w:r>
        <w:rPr>
          <w:color w:val="231F20"/>
          <w:w w:val="105"/>
        </w:rPr>
        <w:t>transparencia,</w:t>
      </w:r>
      <w:r>
        <w:rPr>
          <w:color w:val="231F20"/>
          <w:spacing w:val="-5"/>
          <w:w w:val="105"/>
        </w:rPr>
        <w:t> </w:t>
      </w:r>
      <w:r>
        <w:rPr>
          <w:color w:val="231F20"/>
          <w:w w:val="105"/>
        </w:rPr>
        <w:t>ni</w:t>
      </w:r>
      <w:r>
        <w:rPr>
          <w:color w:val="231F20"/>
          <w:spacing w:val="-5"/>
          <w:w w:val="105"/>
        </w:rPr>
        <w:t> </w:t>
      </w:r>
      <w:r>
        <w:rPr>
          <w:color w:val="231F20"/>
          <w:w w:val="105"/>
        </w:rPr>
        <w:t>tampoco</w:t>
      </w:r>
      <w:r>
        <w:rPr>
          <w:color w:val="231F20"/>
          <w:spacing w:val="-5"/>
          <w:w w:val="105"/>
        </w:rPr>
        <w:t> </w:t>
      </w:r>
      <w:r>
        <w:rPr>
          <w:color w:val="231F20"/>
          <w:w w:val="105"/>
        </w:rPr>
        <w:t>se</w:t>
      </w:r>
      <w:r>
        <w:rPr>
          <w:color w:val="231F20"/>
          <w:spacing w:val="-5"/>
          <w:w w:val="105"/>
        </w:rPr>
        <w:t> </w:t>
      </w:r>
      <w:r>
        <w:rPr>
          <w:color w:val="231F20"/>
          <w:w w:val="105"/>
        </w:rPr>
        <w:t>refirieron</w:t>
      </w:r>
      <w:r>
        <w:rPr>
          <w:color w:val="231F20"/>
          <w:spacing w:val="-5"/>
          <w:w w:val="105"/>
        </w:rPr>
        <w:t> </w:t>
      </w:r>
      <w:r>
        <w:rPr>
          <w:color w:val="231F20"/>
          <w:w w:val="105"/>
        </w:rPr>
        <w:t>las</w:t>
      </w:r>
      <w:r>
        <w:rPr>
          <w:color w:val="231F20"/>
          <w:spacing w:val="-5"/>
          <w:w w:val="105"/>
        </w:rPr>
        <w:t> </w:t>
      </w:r>
      <w:r>
        <w:rPr>
          <w:color w:val="231F20"/>
          <w:w w:val="105"/>
        </w:rPr>
        <w:t>quejas</w:t>
      </w:r>
      <w:r>
        <w:rPr>
          <w:color w:val="231F20"/>
          <w:spacing w:val="-5"/>
          <w:w w:val="105"/>
        </w:rPr>
        <w:t> </w:t>
      </w:r>
      <w:r>
        <w:rPr>
          <w:color w:val="231F20"/>
          <w:w w:val="105"/>
        </w:rPr>
        <w:t>o</w:t>
      </w:r>
      <w:r>
        <w:rPr>
          <w:color w:val="231F20"/>
          <w:spacing w:val="-5"/>
          <w:w w:val="105"/>
        </w:rPr>
        <w:t> </w:t>
      </w:r>
      <w:r>
        <w:rPr>
          <w:color w:val="231F20"/>
          <w:w w:val="105"/>
        </w:rPr>
        <w:t>peticio- nes</w:t>
      </w:r>
      <w:r>
        <w:rPr>
          <w:color w:val="231F20"/>
          <w:spacing w:val="-11"/>
          <w:w w:val="105"/>
        </w:rPr>
        <w:t> </w:t>
      </w:r>
      <w:r>
        <w:rPr>
          <w:color w:val="231F20"/>
          <w:w w:val="105"/>
        </w:rPr>
        <w:t>de</w:t>
      </w:r>
      <w:r>
        <w:rPr>
          <w:color w:val="231F20"/>
          <w:spacing w:val="-11"/>
          <w:w w:val="105"/>
        </w:rPr>
        <w:t> </w:t>
      </w:r>
      <w:r>
        <w:rPr>
          <w:color w:val="231F20"/>
          <w:w w:val="105"/>
        </w:rPr>
        <w:t>información.</w:t>
      </w:r>
      <w:r>
        <w:rPr>
          <w:color w:val="231F20"/>
          <w:spacing w:val="-11"/>
          <w:w w:val="105"/>
        </w:rPr>
        <w:t> </w:t>
      </w:r>
      <w:r>
        <w:rPr>
          <w:color w:val="231F20"/>
          <w:w w:val="105"/>
        </w:rPr>
        <w:t>Solamente</w:t>
      </w:r>
      <w:r>
        <w:rPr>
          <w:color w:val="231F20"/>
          <w:spacing w:val="-11"/>
          <w:w w:val="105"/>
        </w:rPr>
        <w:t> </w:t>
      </w:r>
      <w:r>
        <w:rPr>
          <w:color w:val="231F20"/>
          <w:w w:val="105"/>
        </w:rPr>
        <w:t>eran</w:t>
      </w:r>
      <w:r>
        <w:rPr>
          <w:color w:val="231F20"/>
          <w:spacing w:val="-11"/>
          <w:w w:val="105"/>
        </w:rPr>
        <w:t> </w:t>
      </w:r>
      <w:r>
        <w:rPr>
          <w:color w:val="231F20"/>
          <w:w w:val="105"/>
        </w:rPr>
        <w:t>cifras</w:t>
      </w:r>
      <w:r>
        <w:rPr>
          <w:color w:val="231F20"/>
          <w:spacing w:val="-11"/>
          <w:w w:val="105"/>
        </w:rPr>
        <w:t> </w:t>
      </w:r>
      <w:r>
        <w:rPr>
          <w:color w:val="231F20"/>
          <w:w w:val="105"/>
        </w:rPr>
        <w:t>sin</w:t>
      </w:r>
      <w:r>
        <w:rPr>
          <w:color w:val="231F20"/>
          <w:spacing w:val="-11"/>
          <w:w w:val="105"/>
        </w:rPr>
        <w:t> </w:t>
      </w:r>
      <w:r>
        <w:rPr>
          <w:color w:val="231F20"/>
          <w:w w:val="105"/>
        </w:rPr>
        <w:t>sentido</w:t>
      </w:r>
      <w:r>
        <w:rPr>
          <w:color w:val="231F20"/>
          <w:spacing w:val="-11"/>
          <w:w w:val="105"/>
        </w:rPr>
        <w:t> </w:t>
      </w:r>
      <w:r>
        <w:rPr>
          <w:color w:val="231F20"/>
          <w:w w:val="105"/>
        </w:rPr>
        <w:t>alguno,</w:t>
      </w:r>
      <w:r>
        <w:rPr>
          <w:color w:val="231F20"/>
          <w:spacing w:val="-11"/>
          <w:w w:val="105"/>
        </w:rPr>
        <w:t> </w:t>
      </w:r>
      <w:r>
        <w:rPr>
          <w:color w:val="231F20"/>
          <w:w w:val="105"/>
        </w:rPr>
        <w:t>y</w:t>
      </w:r>
      <w:r>
        <w:rPr>
          <w:color w:val="231F20"/>
          <w:spacing w:val="-11"/>
          <w:w w:val="105"/>
        </w:rPr>
        <w:t> </w:t>
      </w:r>
      <w:r>
        <w:rPr>
          <w:color w:val="231F20"/>
          <w:w w:val="105"/>
        </w:rPr>
        <w:t>sin</w:t>
      </w:r>
      <w:r>
        <w:rPr>
          <w:color w:val="231F20"/>
          <w:spacing w:val="-11"/>
          <w:w w:val="105"/>
        </w:rPr>
        <w:t> </w:t>
      </w:r>
      <w:r>
        <w:rPr>
          <w:color w:val="231F20"/>
          <w:w w:val="105"/>
        </w:rPr>
        <w:t>que</w:t>
      </w:r>
      <w:r>
        <w:rPr>
          <w:color w:val="231F20"/>
          <w:spacing w:val="-11"/>
          <w:w w:val="105"/>
        </w:rPr>
        <w:t> </w:t>
      </w:r>
      <w:r>
        <w:rPr>
          <w:color w:val="231F20"/>
          <w:w w:val="105"/>
        </w:rPr>
        <w:t>dieran</w:t>
      </w:r>
      <w:r>
        <w:rPr>
          <w:color w:val="231F20"/>
          <w:spacing w:val="-11"/>
          <w:w w:val="105"/>
        </w:rPr>
        <w:t> </w:t>
      </w:r>
      <w:r>
        <w:rPr>
          <w:color w:val="231F20"/>
          <w:w w:val="105"/>
        </w:rPr>
        <w:t>posibili- dades</w:t>
      </w:r>
      <w:r>
        <w:rPr>
          <w:color w:val="231F20"/>
          <w:spacing w:val="-22"/>
          <w:w w:val="105"/>
        </w:rPr>
        <w:t> </w:t>
      </w:r>
      <w:r>
        <w:rPr>
          <w:color w:val="231F20"/>
          <w:w w:val="105"/>
        </w:rPr>
        <w:t>de</w:t>
      </w:r>
      <w:r>
        <w:rPr>
          <w:color w:val="231F20"/>
          <w:spacing w:val="-22"/>
          <w:w w:val="105"/>
        </w:rPr>
        <w:t> </w:t>
      </w:r>
      <w:r>
        <w:rPr>
          <w:color w:val="231F20"/>
          <w:w w:val="105"/>
        </w:rPr>
        <w:t>comparación</w:t>
      </w:r>
      <w:r>
        <w:rPr>
          <w:color w:val="231F20"/>
          <w:spacing w:val="-22"/>
          <w:w w:val="105"/>
        </w:rPr>
        <w:t> </w:t>
      </w:r>
      <w:r>
        <w:rPr>
          <w:color w:val="231F20"/>
          <w:w w:val="105"/>
        </w:rPr>
        <w:t>con</w:t>
      </w:r>
      <w:r>
        <w:rPr>
          <w:color w:val="231F20"/>
          <w:spacing w:val="-22"/>
          <w:w w:val="105"/>
        </w:rPr>
        <w:t> </w:t>
      </w:r>
      <w:r>
        <w:rPr>
          <w:color w:val="231F20"/>
          <w:w w:val="105"/>
        </w:rPr>
        <w:t>años</w:t>
      </w:r>
      <w:r>
        <w:rPr>
          <w:color w:val="231F20"/>
          <w:spacing w:val="-22"/>
          <w:w w:val="105"/>
        </w:rPr>
        <w:t> </w:t>
      </w:r>
      <w:r>
        <w:rPr>
          <w:color w:val="231F20"/>
          <w:w w:val="105"/>
        </w:rPr>
        <w:t>anteriores.</w:t>
      </w:r>
      <w:r>
        <w:rPr>
          <w:color w:val="231F20"/>
          <w:spacing w:val="-22"/>
          <w:w w:val="105"/>
        </w:rPr>
        <w:t> </w:t>
      </w:r>
      <w:r>
        <w:rPr>
          <w:color w:val="231F20"/>
          <w:w w:val="105"/>
        </w:rPr>
        <w:t>El</w:t>
      </w:r>
      <w:r>
        <w:rPr>
          <w:color w:val="231F20"/>
          <w:spacing w:val="-22"/>
          <w:w w:val="105"/>
        </w:rPr>
        <w:t> </w:t>
      </w:r>
      <w:r>
        <w:rPr>
          <w:color w:val="231F20"/>
          <w:w w:val="105"/>
        </w:rPr>
        <w:t>segundo</w:t>
      </w:r>
      <w:r>
        <w:rPr>
          <w:color w:val="231F20"/>
          <w:spacing w:val="-22"/>
          <w:w w:val="105"/>
        </w:rPr>
        <w:t> </w:t>
      </w:r>
      <w:r>
        <w:rPr>
          <w:color w:val="231F20"/>
          <w:w w:val="105"/>
        </w:rPr>
        <w:t>informe</w:t>
      </w:r>
      <w:r>
        <w:rPr>
          <w:color w:val="231F20"/>
          <w:spacing w:val="-22"/>
          <w:w w:val="105"/>
        </w:rPr>
        <w:t> </w:t>
      </w:r>
      <w:r>
        <w:rPr>
          <w:color w:val="231F20"/>
          <w:w w:val="105"/>
        </w:rPr>
        <w:t>fue</w:t>
      </w:r>
      <w:r>
        <w:rPr>
          <w:color w:val="231F20"/>
          <w:spacing w:val="-22"/>
          <w:w w:val="105"/>
        </w:rPr>
        <w:t> </w:t>
      </w:r>
      <w:r>
        <w:rPr>
          <w:color w:val="231F20"/>
          <w:w w:val="105"/>
        </w:rPr>
        <w:t>opaco,</w:t>
      </w:r>
      <w:r>
        <w:rPr>
          <w:color w:val="231F20"/>
          <w:spacing w:val="-22"/>
          <w:w w:val="105"/>
        </w:rPr>
        <w:t> </w:t>
      </w:r>
      <w:r>
        <w:rPr>
          <w:color w:val="231F20"/>
          <w:w w:val="105"/>
        </w:rPr>
        <w:t>evidenciando el poco interés de la administración panista por transparentar su proceso de gobierno en el</w:t>
      </w:r>
      <w:r>
        <w:rPr>
          <w:color w:val="231F20"/>
          <w:spacing w:val="-43"/>
          <w:w w:val="105"/>
        </w:rPr>
        <w:t> </w:t>
      </w:r>
      <w:r>
        <w:rPr>
          <w:color w:val="231F20"/>
          <w:w w:val="105"/>
        </w:rPr>
        <w:t>municipio.</w:t>
      </w:r>
    </w:p>
    <w:p>
      <w:pPr>
        <w:pStyle w:val="BodyText"/>
        <w:spacing w:before="1"/>
        <w:rPr>
          <w:sz w:val="26"/>
        </w:rPr>
      </w:pPr>
    </w:p>
    <w:p>
      <w:pPr>
        <w:pStyle w:val="BodyText"/>
        <w:ind w:left="110"/>
        <w:jc w:val="both"/>
      </w:pPr>
      <w:r>
        <w:rPr>
          <w:color w:val="231F20"/>
        </w:rPr>
        <w:t>Lo único que se reportó fue lo  siguiente:</w:t>
      </w:r>
    </w:p>
    <w:p>
      <w:pPr>
        <w:pStyle w:val="BodyText"/>
        <w:spacing w:before="2"/>
        <w:rPr>
          <w:sz w:val="30"/>
        </w:rPr>
      </w:pPr>
    </w:p>
    <w:p>
      <w:pPr>
        <w:pStyle w:val="Heading5"/>
        <w:ind w:left="842"/>
      </w:pPr>
      <w:r>
        <w:rPr>
          <w:color w:val="231F20"/>
          <w:w w:val="105"/>
        </w:rPr>
        <w:t>Tabla 17. Acciones de fortalecimiento institucional y transparencia</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927"/>
      </w:tblGrid>
      <w:tr>
        <w:trPr>
          <w:trHeight w:val="130" w:hRule="exact"/>
        </w:trPr>
        <w:tc>
          <w:tcPr>
            <w:tcW w:w="7927" w:type="dxa"/>
          </w:tcPr>
          <w:p>
            <w:pPr>
              <w:pStyle w:val="TableParagraph"/>
              <w:spacing w:line="160" w:lineRule="exact"/>
              <w:ind w:right="141"/>
              <w:rPr>
                <w:sz w:val="16"/>
              </w:rPr>
            </w:pPr>
            <w:r>
              <w:rPr>
                <w:color w:val="231F20"/>
                <w:w w:val="80"/>
                <w:sz w:val="16"/>
              </w:rPr>
              <w:t>27 mil asesorías jurídicas gratuitas en materia civil, familiar, mercantil, laboral , penal y administrativa</w:t>
            </w:r>
          </w:p>
        </w:tc>
      </w:tr>
      <w:tr>
        <w:trPr>
          <w:trHeight w:val="130" w:hRule="exact"/>
        </w:trPr>
        <w:tc>
          <w:tcPr>
            <w:tcW w:w="7927" w:type="dxa"/>
          </w:tcPr>
          <w:p>
            <w:pPr>
              <w:pStyle w:val="TableParagraph"/>
              <w:spacing w:line="160" w:lineRule="exact"/>
              <w:ind w:right="141"/>
              <w:rPr>
                <w:sz w:val="16"/>
              </w:rPr>
            </w:pPr>
            <w:r>
              <w:rPr>
                <w:color w:val="231F20"/>
                <w:w w:val="75"/>
                <w:sz w:val="16"/>
              </w:rPr>
              <w:t>Emisión de 123 comunicados y conferencias de prensa  semanales</w:t>
            </w:r>
          </w:p>
        </w:tc>
      </w:tr>
      <w:tr>
        <w:trPr>
          <w:trHeight w:val="130" w:hRule="exact"/>
        </w:trPr>
        <w:tc>
          <w:tcPr>
            <w:tcW w:w="7927" w:type="dxa"/>
          </w:tcPr>
          <w:p>
            <w:pPr>
              <w:pStyle w:val="TableParagraph"/>
              <w:spacing w:line="160" w:lineRule="exact"/>
              <w:ind w:right="141"/>
              <w:rPr>
                <w:sz w:val="16"/>
              </w:rPr>
            </w:pPr>
            <w:r>
              <w:rPr>
                <w:color w:val="231F20"/>
                <w:w w:val="75"/>
                <w:sz w:val="16"/>
              </w:rPr>
              <w:t>Atención de 6 457 asuntos mediante el Sistema de Atención, Quejas y Denuncias, relacionados con resoluciones, diligencias y   notificaciones</w:t>
            </w:r>
          </w:p>
        </w:tc>
      </w:tr>
      <w:tr>
        <w:trPr>
          <w:trHeight w:val="130" w:hRule="exact"/>
        </w:trPr>
        <w:tc>
          <w:tcPr>
            <w:tcW w:w="7927" w:type="dxa"/>
          </w:tcPr>
          <w:p>
            <w:pPr>
              <w:pStyle w:val="TableParagraph"/>
              <w:spacing w:line="160" w:lineRule="exact"/>
              <w:ind w:right="141"/>
              <w:rPr>
                <w:sz w:val="16"/>
              </w:rPr>
            </w:pPr>
            <w:r>
              <w:rPr>
                <w:color w:val="231F20"/>
                <w:w w:val="80"/>
                <w:sz w:val="16"/>
              </w:rPr>
              <w:t>Celebración de 54 sesiones de cabildo, con un total de 209 acuerdos y se publicaron 12 gacetas municipales</w:t>
            </w:r>
          </w:p>
        </w:tc>
      </w:tr>
      <w:tr>
        <w:trPr>
          <w:trHeight w:val="130" w:hRule="exact"/>
        </w:trPr>
        <w:tc>
          <w:tcPr>
            <w:tcW w:w="7927" w:type="dxa"/>
          </w:tcPr>
          <w:p>
            <w:pPr>
              <w:pStyle w:val="TableParagraph"/>
              <w:spacing w:line="160" w:lineRule="exact"/>
              <w:ind w:right="141"/>
              <w:rPr>
                <w:sz w:val="16"/>
              </w:rPr>
            </w:pPr>
            <w:r>
              <w:rPr>
                <w:color w:val="231F20"/>
                <w:w w:val="80"/>
                <w:sz w:val="16"/>
              </w:rPr>
              <w:t>La página de internet del municipio fue visitada por más de 200 mil personas</w:t>
            </w:r>
          </w:p>
        </w:tc>
      </w:tr>
    </w:tbl>
    <w:p>
      <w:pPr>
        <w:pStyle w:val="BodyText"/>
        <w:spacing w:before="3"/>
        <w:rPr>
          <w:b/>
          <w:sz w:val="20"/>
        </w:rPr>
      </w:pPr>
    </w:p>
    <w:p>
      <w:pPr>
        <w:spacing w:before="74"/>
        <w:ind w:left="0" w:right="108" w:firstLine="0"/>
        <w:jc w:val="right"/>
        <w:rPr>
          <w:rFonts w:ascii="Calibri" w:hAnsi="Calibri"/>
          <w:sz w:val="16"/>
        </w:rPr>
      </w:pPr>
      <w:r>
        <w:rPr>
          <w:rFonts w:ascii="Calibri" w:hAnsi="Calibri"/>
          <w:color w:val="231F20"/>
          <w:sz w:val="16"/>
        </w:rPr>
        <w:t>Fuente: 2º informe de gobierno, 2008</w:t>
      </w:r>
    </w:p>
    <w:p>
      <w:pPr>
        <w:pStyle w:val="BodyText"/>
        <w:spacing w:before="3"/>
        <w:rPr>
          <w:rFonts w:ascii="Calibri"/>
          <w:sz w:val="23"/>
        </w:rPr>
      </w:pPr>
    </w:p>
    <w:p>
      <w:pPr>
        <w:pStyle w:val="Heading4"/>
        <w:rPr>
          <w:i/>
        </w:rPr>
      </w:pPr>
      <w:r>
        <w:rPr>
          <w:i/>
          <w:color w:val="231F20"/>
          <w:w w:val="105"/>
        </w:rPr>
        <w:t>Ingresos y gastos del gobierno municipal</w:t>
      </w:r>
    </w:p>
    <w:p>
      <w:pPr>
        <w:pStyle w:val="BodyText"/>
        <w:spacing w:line="285" w:lineRule="auto" w:before="16"/>
        <w:ind w:left="110" w:right="107"/>
        <w:jc w:val="both"/>
      </w:pPr>
      <w:r>
        <w:rPr>
          <w:color w:val="231F20"/>
          <w:w w:val="105"/>
        </w:rPr>
        <w:t>Las</w:t>
      </w:r>
      <w:r>
        <w:rPr>
          <w:color w:val="231F20"/>
          <w:spacing w:val="-15"/>
          <w:w w:val="105"/>
        </w:rPr>
        <w:t> </w:t>
      </w:r>
      <w:r>
        <w:rPr>
          <w:color w:val="231F20"/>
          <w:w w:val="105"/>
        </w:rPr>
        <w:t>cifras</w:t>
      </w:r>
      <w:r>
        <w:rPr>
          <w:color w:val="231F20"/>
          <w:spacing w:val="-15"/>
          <w:w w:val="105"/>
        </w:rPr>
        <w:t> </w:t>
      </w:r>
      <w:r>
        <w:rPr>
          <w:color w:val="231F20"/>
          <w:w w:val="105"/>
        </w:rPr>
        <w:t>presupuestales</w:t>
      </w:r>
      <w:r>
        <w:rPr>
          <w:color w:val="231F20"/>
          <w:spacing w:val="-15"/>
          <w:w w:val="105"/>
        </w:rPr>
        <w:t> </w:t>
      </w:r>
      <w:r>
        <w:rPr>
          <w:color w:val="231F20"/>
          <w:w w:val="105"/>
        </w:rPr>
        <w:t>de</w:t>
      </w:r>
      <w:r>
        <w:rPr>
          <w:color w:val="231F20"/>
          <w:spacing w:val="-15"/>
          <w:w w:val="105"/>
        </w:rPr>
        <w:t> </w:t>
      </w:r>
      <w:r>
        <w:rPr>
          <w:color w:val="231F20"/>
          <w:spacing w:val="2"/>
          <w:w w:val="105"/>
        </w:rPr>
        <w:t>2007</w:t>
      </w:r>
      <w:r>
        <w:rPr>
          <w:color w:val="231F20"/>
          <w:spacing w:val="-15"/>
          <w:w w:val="105"/>
        </w:rPr>
        <w:t> </w:t>
      </w:r>
      <w:r>
        <w:rPr>
          <w:color w:val="231F20"/>
          <w:w w:val="105"/>
        </w:rPr>
        <w:t>y</w:t>
      </w:r>
      <w:r>
        <w:rPr>
          <w:color w:val="231F20"/>
          <w:spacing w:val="-15"/>
          <w:w w:val="105"/>
        </w:rPr>
        <w:t> </w:t>
      </w:r>
      <w:r>
        <w:rPr>
          <w:color w:val="231F20"/>
          <w:spacing w:val="3"/>
          <w:w w:val="105"/>
        </w:rPr>
        <w:t>2008</w:t>
      </w:r>
      <w:r>
        <w:rPr>
          <w:color w:val="231F20"/>
          <w:spacing w:val="-15"/>
          <w:w w:val="105"/>
        </w:rPr>
        <w:t> </w:t>
      </w:r>
      <w:r>
        <w:rPr>
          <w:color w:val="231F20"/>
          <w:w w:val="105"/>
        </w:rPr>
        <w:t>arrojan</w:t>
      </w:r>
      <w:r>
        <w:rPr>
          <w:color w:val="231F20"/>
          <w:spacing w:val="-15"/>
          <w:w w:val="105"/>
        </w:rPr>
        <w:t> </w:t>
      </w:r>
      <w:r>
        <w:rPr>
          <w:color w:val="231F20"/>
          <w:w w:val="105"/>
        </w:rPr>
        <w:t>datos</w:t>
      </w:r>
      <w:r>
        <w:rPr>
          <w:color w:val="231F20"/>
          <w:spacing w:val="-15"/>
          <w:w w:val="105"/>
        </w:rPr>
        <w:t> </w:t>
      </w:r>
      <w:r>
        <w:rPr>
          <w:color w:val="231F20"/>
          <w:w w:val="105"/>
        </w:rPr>
        <w:t>interesantes.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segundo</w:t>
      </w:r>
      <w:r>
        <w:rPr>
          <w:color w:val="231F20"/>
          <w:spacing w:val="-15"/>
          <w:w w:val="105"/>
        </w:rPr>
        <w:t> </w:t>
      </w:r>
      <w:r>
        <w:rPr>
          <w:color w:val="231F20"/>
          <w:w w:val="105"/>
        </w:rPr>
        <w:t>año, la presidencia municipal tuvo un incremento muy importante en sus ingresos (más de 700</w:t>
      </w:r>
      <w:r>
        <w:rPr>
          <w:color w:val="231F20"/>
          <w:spacing w:val="-8"/>
          <w:w w:val="105"/>
        </w:rPr>
        <w:t> </w:t>
      </w:r>
      <w:r>
        <w:rPr>
          <w:color w:val="231F20"/>
          <w:w w:val="105"/>
        </w:rPr>
        <w:t>millones</w:t>
      </w:r>
      <w:r>
        <w:rPr>
          <w:color w:val="231F20"/>
          <w:spacing w:val="-8"/>
          <w:w w:val="105"/>
        </w:rPr>
        <w:t> </w:t>
      </w:r>
      <w:r>
        <w:rPr>
          <w:color w:val="231F20"/>
          <w:w w:val="105"/>
        </w:rPr>
        <w:t>de</w:t>
      </w:r>
      <w:r>
        <w:rPr>
          <w:color w:val="231F20"/>
          <w:spacing w:val="-8"/>
          <w:w w:val="105"/>
        </w:rPr>
        <w:t> </w:t>
      </w:r>
      <w:r>
        <w:rPr>
          <w:color w:val="231F20"/>
          <w:spacing w:val="-3"/>
          <w:w w:val="105"/>
        </w:rPr>
        <w:t>pesos),</w:t>
      </w:r>
      <w:r>
        <w:rPr>
          <w:color w:val="231F20"/>
          <w:spacing w:val="-8"/>
          <w:w w:val="105"/>
        </w:rPr>
        <w:t> </w:t>
      </w:r>
      <w:r>
        <w:rPr>
          <w:color w:val="231F20"/>
          <w:w w:val="105"/>
        </w:rPr>
        <w:t>cantidad</w:t>
      </w:r>
      <w:r>
        <w:rPr>
          <w:color w:val="231F20"/>
          <w:spacing w:val="-8"/>
          <w:w w:val="105"/>
        </w:rPr>
        <w:t> </w:t>
      </w:r>
      <w:r>
        <w:rPr>
          <w:color w:val="231F20"/>
          <w:w w:val="105"/>
        </w:rPr>
        <w:t>inédita</w:t>
      </w:r>
      <w:r>
        <w:rPr>
          <w:color w:val="231F20"/>
          <w:spacing w:val="-8"/>
          <w:w w:val="105"/>
        </w:rPr>
        <w:t> </w:t>
      </w:r>
      <w:r>
        <w:rPr>
          <w:color w:val="231F20"/>
          <w:w w:val="105"/>
        </w:rPr>
        <w:t>desde</w:t>
      </w:r>
      <w:r>
        <w:rPr>
          <w:color w:val="231F20"/>
          <w:spacing w:val="-8"/>
          <w:w w:val="105"/>
        </w:rPr>
        <w:t> </w:t>
      </w:r>
      <w:r>
        <w:rPr>
          <w:color w:val="231F20"/>
          <w:w w:val="105"/>
        </w:rPr>
        <w:t>el</w:t>
      </w:r>
      <w:r>
        <w:rPr>
          <w:color w:val="231F20"/>
          <w:spacing w:val="-8"/>
          <w:w w:val="105"/>
        </w:rPr>
        <w:t> </w:t>
      </w:r>
      <w:r>
        <w:rPr>
          <w:color w:val="231F20"/>
          <w:w w:val="105"/>
        </w:rPr>
        <w:t>año</w:t>
      </w:r>
      <w:r>
        <w:rPr>
          <w:color w:val="231F20"/>
          <w:spacing w:val="-8"/>
          <w:w w:val="105"/>
        </w:rPr>
        <w:t> </w:t>
      </w:r>
      <w:r>
        <w:rPr>
          <w:color w:val="231F20"/>
          <w:spacing w:val="3"/>
          <w:w w:val="105"/>
        </w:rPr>
        <w:t>2000.</w:t>
      </w:r>
      <w:r>
        <w:rPr>
          <w:color w:val="231F20"/>
          <w:spacing w:val="-8"/>
          <w:w w:val="105"/>
        </w:rPr>
        <w:t> </w:t>
      </w:r>
      <w:r>
        <w:rPr>
          <w:color w:val="231F20"/>
          <w:w w:val="105"/>
        </w:rPr>
        <w:t>Estos</w:t>
      </w:r>
      <w:r>
        <w:rPr>
          <w:color w:val="231F20"/>
          <w:spacing w:val="-8"/>
          <w:w w:val="105"/>
        </w:rPr>
        <w:t> </w:t>
      </w:r>
      <w:r>
        <w:rPr>
          <w:color w:val="231F20"/>
          <w:w w:val="105"/>
        </w:rPr>
        <w:t>recursos</w:t>
      </w:r>
      <w:r>
        <w:rPr>
          <w:color w:val="231F20"/>
          <w:spacing w:val="-8"/>
          <w:w w:val="105"/>
        </w:rPr>
        <w:t> </w:t>
      </w:r>
      <w:r>
        <w:rPr>
          <w:color w:val="231F20"/>
          <w:w w:val="105"/>
        </w:rPr>
        <w:t>provinieron de</w:t>
      </w:r>
      <w:r>
        <w:rPr>
          <w:color w:val="231F20"/>
          <w:spacing w:val="-5"/>
          <w:w w:val="105"/>
        </w:rPr>
        <w:t> </w:t>
      </w:r>
      <w:r>
        <w:rPr>
          <w:color w:val="231F20"/>
          <w:w w:val="105"/>
        </w:rPr>
        <w:t>los</w:t>
      </w:r>
      <w:r>
        <w:rPr>
          <w:color w:val="231F20"/>
          <w:spacing w:val="-5"/>
          <w:w w:val="105"/>
        </w:rPr>
        <w:t> </w:t>
      </w:r>
      <w:r>
        <w:rPr>
          <w:color w:val="231F20"/>
          <w:w w:val="105"/>
        </w:rPr>
        <w:t>productos</w:t>
      </w:r>
      <w:r>
        <w:rPr>
          <w:color w:val="231F20"/>
          <w:spacing w:val="-5"/>
          <w:w w:val="105"/>
        </w:rPr>
        <w:t> </w:t>
      </w:r>
      <w:r>
        <w:rPr>
          <w:color w:val="231F20"/>
          <w:w w:val="105"/>
        </w:rPr>
        <w:t>del</w:t>
      </w:r>
      <w:r>
        <w:rPr>
          <w:color w:val="231F20"/>
          <w:spacing w:val="-5"/>
          <w:w w:val="105"/>
        </w:rPr>
        <w:t> </w:t>
      </w:r>
      <w:r>
        <w:rPr>
          <w:color w:val="231F20"/>
          <w:w w:val="105"/>
        </w:rPr>
        <w:t>municipio,</w:t>
      </w:r>
      <w:r>
        <w:rPr>
          <w:color w:val="231F20"/>
          <w:spacing w:val="-5"/>
          <w:w w:val="105"/>
        </w:rPr>
        <w:t> </w:t>
      </w:r>
      <w:r>
        <w:rPr>
          <w:color w:val="231F20"/>
          <w:w w:val="105"/>
        </w:rPr>
        <w:t>y</w:t>
      </w:r>
      <w:r>
        <w:rPr>
          <w:color w:val="231F20"/>
          <w:spacing w:val="-5"/>
          <w:w w:val="105"/>
        </w:rPr>
        <w:t> </w:t>
      </w:r>
      <w:r>
        <w:rPr>
          <w:color w:val="231F20"/>
          <w:w w:val="105"/>
        </w:rPr>
        <w:t>además</w:t>
      </w:r>
      <w:r>
        <w:rPr>
          <w:color w:val="231F20"/>
          <w:spacing w:val="-5"/>
          <w:w w:val="105"/>
        </w:rPr>
        <w:t> </w:t>
      </w:r>
      <w:r>
        <w:rPr>
          <w:color w:val="231F20"/>
          <w:w w:val="105"/>
        </w:rPr>
        <w:t>del</w:t>
      </w:r>
      <w:r>
        <w:rPr>
          <w:color w:val="231F20"/>
          <w:spacing w:val="-5"/>
          <w:w w:val="105"/>
        </w:rPr>
        <w:t> </w:t>
      </w:r>
      <w:r>
        <w:rPr>
          <w:color w:val="231F20"/>
          <w:w w:val="105"/>
        </w:rPr>
        <w:t>financiamiento</w:t>
      </w:r>
      <w:r>
        <w:rPr>
          <w:color w:val="231F20"/>
          <w:spacing w:val="-5"/>
          <w:w w:val="105"/>
        </w:rPr>
        <w:t> </w:t>
      </w:r>
      <w:r>
        <w:rPr>
          <w:color w:val="231F20"/>
          <w:w w:val="105"/>
        </w:rPr>
        <w:t>que</w:t>
      </w:r>
      <w:r>
        <w:rPr>
          <w:color w:val="231F20"/>
          <w:spacing w:val="-5"/>
          <w:w w:val="105"/>
        </w:rPr>
        <w:t> </w:t>
      </w:r>
      <w:r>
        <w:rPr>
          <w:color w:val="231F20"/>
          <w:w w:val="105"/>
        </w:rPr>
        <w:t>logró,</w:t>
      </w:r>
      <w:r>
        <w:rPr>
          <w:color w:val="231F20"/>
          <w:spacing w:val="-5"/>
          <w:w w:val="105"/>
        </w:rPr>
        <w:t> </w:t>
      </w:r>
      <w:r>
        <w:rPr>
          <w:color w:val="231F20"/>
          <w:w w:val="105"/>
        </w:rPr>
        <w:t>como</w:t>
      </w:r>
      <w:r>
        <w:rPr>
          <w:color w:val="231F20"/>
          <w:spacing w:val="-5"/>
          <w:w w:val="105"/>
        </w:rPr>
        <w:t> </w:t>
      </w:r>
      <w:r>
        <w:rPr>
          <w:color w:val="231F20"/>
          <w:w w:val="105"/>
        </w:rPr>
        <w:t>parte</w:t>
      </w:r>
      <w:r>
        <w:rPr>
          <w:color w:val="231F20"/>
          <w:spacing w:val="-5"/>
          <w:w w:val="105"/>
        </w:rPr>
        <w:t> </w:t>
      </w:r>
      <w:r>
        <w:rPr>
          <w:color w:val="231F20"/>
          <w:w w:val="105"/>
        </w:rPr>
        <w:t>de las estrategias utilizadas por la administración de Durán Reveles. De igual modo, una parte importante de este dinero provino del Sistema Nacional de Coordinación</w:t>
      </w:r>
      <w:r>
        <w:rPr>
          <w:color w:val="231F20"/>
          <w:spacing w:val="43"/>
          <w:w w:val="105"/>
        </w:rPr>
        <w:t> </w:t>
      </w:r>
      <w:r>
        <w:rPr>
          <w:color w:val="231F20"/>
          <w:w w:val="105"/>
        </w:rPr>
        <w:t>Fiscal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27"/>
        <w:jc w:val="both"/>
      </w:pPr>
      <w:r>
        <w:rPr>
          <w:color w:val="231F20"/>
          <w:w w:val="105"/>
        </w:rPr>
        <w:t>y del Sistema Estatal de Coordinación Fiscal, en el cual se concentraron los recursos externos.</w:t>
      </w:r>
      <w:r>
        <w:rPr>
          <w:color w:val="231F20"/>
          <w:spacing w:val="-13"/>
          <w:w w:val="105"/>
        </w:rPr>
        <w:t> </w:t>
      </w:r>
      <w:r>
        <w:rPr>
          <w:color w:val="231F20"/>
          <w:w w:val="105"/>
        </w:rPr>
        <w:t>Otros</w:t>
      </w:r>
      <w:r>
        <w:rPr>
          <w:color w:val="231F20"/>
          <w:spacing w:val="-13"/>
          <w:w w:val="105"/>
        </w:rPr>
        <w:t> </w:t>
      </w:r>
      <w:r>
        <w:rPr>
          <w:color w:val="231F20"/>
          <w:w w:val="105"/>
        </w:rPr>
        <w:t>conceptos</w:t>
      </w:r>
      <w:r>
        <w:rPr>
          <w:color w:val="231F20"/>
          <w:spacing w:val="-13"/>
          <w:w w:val="105"/>
        </w:rPr>
        <w:t> </w:t>
      </w:r>
      <w:r>
        <w:rPr>
          <w:color w:val="231F20"/>
          <w:w w:val="105"/>
        </w:rPr>
        <w:t>no</w:t>
      </w:r>
      <w:r>
        <w:rPr>
          <w:color w:val="231F20"/>
          <w:spacing w:val="-13"/>
          <w:w w:val="105"/>
        </w:rPr>
        <w:t> </w:t>
      </w:r>
      <w:r>
        <w:rPr>
          <w:color w:val="231F20"/>
          <w:w w:val="105"/>
        </w:rPr>
        <w:t>tuvieron</w:t>
      </w:r>
      <w:r>
        <w:rPr>
          <w:color w:val="231F20"/>
          <w:spacing w:val="-13"/>
          <w:w w:val="105"/>
        </w:rPr>
        <w:t> </w:t>
      </w:r>
      <w:r>
        <w:rPr>
          <w:color w:val="231F20"/>
          <w:w w:val="105"/>
        </w:rPr>
        <w:t>alteraciones</w:t>
      </w:r>
      <w:r>
        <w:rPr>
          <w:color w:val="231F20"/>
          <w:spacing w:val="-13"/>
          <w:w w:val="105"/>
        </w:rPr>
        <w:t> </w:t>
      </w:r>
      <w:r>
        <w:rPr>
          <w:color w:val="231F20"/>
          <w:w w:val="105"/>
        </w:rPr>
        <w:t>relevantes,</w:t>
      </w:r>
      <w:r>
        <w:rPr>
          <w:color w:val="231F20"/>
          <w:spacing w:val="-13"/>
          <w:w w:val="105"/>
        </w:rPr>
        <w:t> </w:t>
      </w:r>
      <w:r>
        <w:rPr>
          <w:color w:val="231F20"/>
          <w:w w:val="105"/>
        </w:rPr>
        <w:t>por</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puede</w:t>
      </w:r>
      <w:r>
        <w:rPr>
          <w:color w:val="231F20"/>
          <w:spacing w:val="-13"/>
          <w:w w:val="105"/>
        </w:rPr>
        <w:t> </w:t>
      </w:r>
      <w:r>
        <w:rPr>
          <w:color w:val="231F20"/>
          <w:w w:val="105"/>
        </w:rPr>
        <w:t>decirse que</w:t>
      </w:r>
      <w:r>
        <w:rPr>
          <w:color w:val="231F20"/>
          <w:spacing w:val="-7"/>
          <w:w w:val="105"/>
        </w:rPr>
        <w:t> </w:t>
      </w:r>
      <w:r>
        <w:rPr>
          <w:color w:val="231F20"/>
          <w:w w:val="105"/>
        </w:rPr>
        <w:t>el</w:t>
      </w:r>
      <w:r>
        <w:rPr>
          <w:color w:val="231F20"/>
          <w:spacing w:val="-7"/>
          <w:w w:val="105"/>
        </w:rPr>
        <w:t> </w:t>
      </w:r>
      <w:r>
        <w:rPr>
          <w:color w:val="231F20"/>
          <w:w w:val="105"/>
        </w:rPr>
        <w:t>gobierno</w:t>
      </w:r>
      <w:r>
        <w:rPr>
          <w:color w:val="231F20"/>
          <w:spacing w:val="-7"/>
          <w:w w:val="105"/>
        </w:rPr>
        <w:t> </w:t>
      </w:r>
      <w:r>
        <w:rPr>
          <w:color w:val="231F20"/>
          <w:w w:val="105"/>
        </w:rPr>
        <w:t>panista</w:t>
      </w:r>
      <w:r>
        <w:rPr>
          <w:color w:val="231F20"/>
          <w:spacing w:val="-7"/>
          <w:w w:val="105"/>
        </w:rPr>
        <w:t> </w:t>
      </w:r>
      <w:r>
        <w:rPr>
          <w:color w:val="231F20"/>
          <w:w w:val="105"/>
        </w:rPr>
        <w:t>consiguió</w:t>
      </w:r>
      <w:r>
        <w:rPr>
          <w:color w:val="231F20"/>
          <w:spacing w:val="-7"/>
          <w:w w:val="105"/>
        </w:rPr>
        <w:t> </w:t>
      </w:r>
      <w:r>
        <w:rPr>
          <w:color w:val="231F20"/>
          <w:w w:val="105"/>
        </w:rPr>
        <w:t>una</w:t>
      </w:r>
      <w:r>
        <w:rPr>
          <w:color w:val="231F20"/>
          <w:spacing w:val="-7"/>
          <w:w w:val="105"/>
        </w:rPr>
        <w:t> </w:t>
      </w:r>
      <w:r>
        <w:rPr>
          <w:color w:val="231F20"/>
          <w:w w:val="105"/>
        </w:rPr>
        <w:t>cantidad</w:t>
      </w:r>
      <w:r>
        <w:rPr>
          <w:color w:val="231F20"/>
          <w:spacing w:val="-7"/>
          <w:w w:val="105"/>
        </w:rPr>
        <w:t> </w:t>
      </w:r>
      <w:r>
        <w:rPr>
          <w:color w:val="231F20"/>
          <w:w w:val="105"/>
        </w:rPr>
        <w:t>importante</w:t>
      </w:r>
      <w:r>
        <w:rPr>
          <w:color w:val="231F20"/>
          <w:spacing w:val="-7"/>
          <w:w w:val="105"/>
        </w:rPr>
        <w:t> </w:t>
      </w:r>
      <w:r>
        <w:rPr>
          <w:color w:val="231F20"/>
          <w:w w:val="105"/>
        </w:rPr>
        <w:t>de</w:t>
      </w:r>
      <w:r>
        <w:rPr>
          <w:color w:val="231F20"/>
          <w:spacing w:val="-7"/>
          <w:w w:val="105"/>
        </w:rPr>
        <w:t> </w:t>
      </w:r>
      <w:r>
        <w:rPr>
          <w:color w:val="231F20"/>
          <w:w w:val="105"/>
        </w:rPr>
        <w:t>recursos</w:t>
      </w:r>
      <w:r>
        <w:rPr>
          <w:color w:val="231F20"/>
          <w:spacing w:val="-7"/>
          <w:w w:val="105"/>
        </w:rPr>
        <w:t> </w:t>
      </w:r>
      <w:r>
        <w:rPr>
          <w:color w:val="231F20"/>
          <w:w w:val="105"/>
        </w:rPr>
        <w:t>por</w:t>
      </w:r>
      <w:r>
        <w:rPr>
          <w:color w:val="231F20"/>
          <w:spacing w:val="-7"/>
          <w:w w:val="105"/>
        </w:rPr>
        <w:t> </w:t>
      </w:r>
      <w:r>
        <w:rPr>
          <w:color w:val="231F20"/>
          <w:w w:val="105"/>
        </w:rPr>
        <w:t>cuenta</w:t>
      </w:r>
      <w:r>
        <w:rPr>
          <w:color w:val="231F20"/>
          <w:spacing w:val="-7"/>
          <w:w w:val="105"/>
        </w:rPr>
        <w:t> </w:t>
      </w:r>
      <w:r>
        <w:rPr>
          <w:color w:val="231F20"/>
          <w:w w:val="105"/>
        </w:rPr>
        <w:t>pro- pia,</w:t>
      </w:r>
      <w:r>
        <w:rPr>
          <w:color w:val="231F20"/>
          <w:spacing w:val="-12"/>
          <w:w w:val="105"/>
        </w:rPr>
        <w:t> </w:t>
      </w:r>
      <w:r>
        <w:rPr>
          <w:color w:val="231F20"/>
          <w:w w:val="105"/>
        </w:rPr>
        <w:t>que</w:t>
      </w:r>
      <w:r>
        <w:rPr>
          <w:color w:val="231F20"/>
          <w:spacing w:val="-12"/>
          <w:w w:val="105"/>
        </w:rPr>
        <w:t> </w:t>
      </w:r>
      <w:r>
        <w:rPr>
          <w:color w:val="231F20"/>
          <w:w w:val="105"/>
        </w:rPr>
        <w:t>le</w:t>
      </w:r>
      <w:r>
        <w:rPr>
          <w:color w:val="231F20"/>
          <w:spacing w:val="-12"/>
          <w:w w:val="105"/>
        </w:rPr>
        <w:t> </w:t>
      </w:r>
      <w:r>
        <w:rPr>
          <w:color w:val="231F20"/>
          <w:w w:val="105"/>
        </w:rPr>
        <w:t>concedieron</w:t>
      </w:r>
      <w:r>
        <w:rPr>
          <w:color w:val="231F20"/>
          <w:spacing w:val="-12"/>
          <w:w w:val="105"/>
        </w:rPr>
        <w:t> </w:t>
      </w:r>
      <w:r>
        <w:rPr>
          <w:color w:val="231F20"/>
          <w:w w:val="105"/>
        </w:rPr>
        <w:t>un</w:t>
      </w:r>
      <w:r>
        <w:rPr>
          <w:color w:val="231F20"/>
          <w:spacing w:val="-12"/>
          <w:w w:val="105"/>
        </w:rPr>
        <w:t> </w:t>
      </w:r>
      <w:r>
        <w:rPr>
          <w:color w:val="231F20"/>
          <w:w w:val="105"/>
        </w:rPr>
        <w:t>margen</w:t>
      </w:r>
      <w:r>
        <w:rPr>
          <w:color w:val="231F20"/>
          <w:spacing w:val="-12"/>
          <w:w w:val="105"/>
        </w:rPr>
        <w:t> </w:t>
      </w:r>
      <w:r>
        <w:rPr>
          <w:color w:val="231F20"/>
          <w:w w:val="105"/>
        </w:rPr>
        <w:t>mayor</w:t>
      </w:r>
      <w:r>
        <w:rPr>
          <w:color w:val="231F20"/>
          <w:spacing w:val="-12"/>
          <w:w w:val="105"/>
        </w:rPr>
        <w:t> </w:t>
      </w:r>
      <w:r>
        <w:rPr>
          <w:color w:val="231F20"/>
          <w:w w:val="105"/>
        </w:rPr>
        <w:t>de</w:t>
      </w:r>
      <w:r>
        <w:rPr>
          <w:color w:val="231F20"/>
          <w:spacing w:val="-12"/>
          <w:w w:val="105"/>
        </w:rPr>
        <w:t> </w:t>
      </w:r>
      <w:r>
        <w:rPr>
          <w:color w:val="231F20"/>
          <w:w w:val="105"/>
        </w:rPr>
        <w:t>autonomía.</w:t>
      </w:r>
    </w:p>
    <w:p>
      <w:pPr>
        <w:pStyle w:val="BodyText"/>
      </w:pPr>
    </w:p>
    <w:p>
      <w:pPr>
        <w:pStyle w:val="BodyText"/>
        <w:spacing w:before="2"/>
        <w:rPr>
          <w:sz w:val="30"/>
        </w:rPr>
      </w:pPr>
    </w:p>
    <w:p>
      <w:pPr>
        <w:pStyle w:val="Heading5"/>
        <w:spacing w:before="1"/>
        <w:ind w:left="811" w:right="340"/>
      </w:pPr>
      <w:r>
        <w:rPr>
          <w:color w:val="231F20"/>
          <w:w w:val="105"/>
        </w:rPr>
        <w:t>Tabla 18. Presupuestos de ingresos. Naucalpan de Juárez 2007-2008</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00"/>
        <w:gridCol w:w="1543"/>
        <w:gridCol w:w="1751"/>
        <w:gridCol w:w="1751"/>
      </w:tblGrid>
      <w:tr>
        <w:trPr>
          <w:trHeight w:val="290" w:hRule="exact"/>
        </w:trPr>
        <w:tc>
          <w:tcPr>
            <w:tcW w:w="2900" w:type="dxa"/>
          </w:tcPr>
          <w:p>
            <w:pPr/>
          </w:p>
        </w:tc>
        <w:tc>
          <w:tcPr>
            <w:tcW w:w="1543" w:type="dxa"/>
          </w:tcPr>
          <w:p>
            <w:pPr>
              <w:pStyle w:val="TableParagraph"/>
              <w:spacing w:line="163" w:lineRule="exact"/>
              <w:ind w:left="102"/>
              <w:rPr>
                <w:sz w:val="16"/>
              </w:rPr>
            </w:pPr>
            <w:r>
              <w:rPr>
                <w:color w:val="231F20"/>
                <w:w w:val="85"/>
                <w:sz w:val="16"/>
              </w:rPr>
              <w:t>2006</w:t>
            </w:r>
          </w:p>
        </w:tc>
        <w:tc>
          <w:tcPr>
            <w:tcW w:w="1751" w:type="dxa"/>
          </w:tcPr>
          <w:p>
            <w:pPr>
              <w:pStyle w:val="TableParagraph"/>
              <w:spacing w:line="163" w:lineRule="exact"/>
              <w:rPr>
                <w:sz w:val="16"/>
              </w:rPr>
            </w:pPr>
            <w:r>
              <w:rPr>
                <w:color w:val="231F20"/>
                <w:w w:val="85"/>
                <w:sz w:val="16"/>
              </w:rPr>
              <w:t>2007</w:t>
            </w:r>
          </w:p>
        </w:tc>
        <w:tc>
          <w:tcPr>
            <w:tcW w:w="1751" w:type="dxa"/>
          </w:tcPr>
          <w:p>
            <w:pPr>
              <w:pStyle w:val="TableParagraph"/>
              <w:spacing w:line="163" w:lineRule="exact"/>
              <w:rPr>
                <w:sz w:val="16"/>
              </w:rPr>
            </w:pPr>
            <w:r>
              <w:rPr>
                <w:color w:val="231F20"/>
                <w:w w:val="85"/>
                <w:sz w:val="16"/>
              </w:rPr>
              <w:t>2008</w:t>
            </w:r>
          </w:p>
        </w:tc>
      </w:tr>
      <w:tr>
        <w:trPr>
          <w:trHeight w:val="130" w:hRule="exact"/>
        </w:trPr>
        <w:tc>
          <w:tcPr>
            <w:tcW w:w="2900" w:type="dxa"/>
          </w:tcPr>
          <w:p>
            <w:pPr>
              <w:pStyle w:val="TableParagraph"/>
              <w:spacing w:line="160" w:lineRule="exact"/>
              <w:ind w:right="131"/>
              <w:rPr>
                <w:sz w:val="16"/>
              </w:rPr>
            </w:pPr>
            <w:r>
              <w:rPr>
                <w:color w:val="231F20"/>
                <w:w w:val="85"/>
                <w:sz w:val="16"/>
              </w:rPr>
              <w:t>Total</w:t>
            </w:r>
          </w:p>
        </w:tc>
        <w:tc>
          <w:tcPr>
            <w:tcW w:w="1543" w:type="dxa"/>
          </w:tcPr>
          <w:p>
            <w:pPr>
              <w:pStyle w:val="TableParagraph"/>
              <w:spacing w:line="160" w:lineRule="exact"/>
              <w:rPr>
                <w:sz w:val="16"/>
              </w:rPr>
            </w:pPr>
            <w:r>
              <w:rPr>
                <w:color w:val="231F20"/>
                <w:w w:val="85"/>
                <w:sz w:val="16"/>
              </w:rPr>
              <w:t>Nd</w:t>
            </w:r>
          </w:p>
        </w:tc>
        <w:tc>
          <w:tcPr>
            <w:tcW w:w="1751" w:type="dxa"/>
          </w:tcPr>
          <w:p>
            <w:pPr>
              <w:pStyle w:val="TableParagraph"/>
              <w:spacing w:line="160" w:lineRule="exact"/>
              <w:rPr>
                <w:sz w:val="16"/>
              </w:rPr>
            </w:pPr>
            <w:r>
              <w:rPr>
                <w:color w:val="231F20"/>
                <w:w w:val="85"/>
                <w:sz w:val="16"/>
              </w:rPr>
              <w:t>2,272,817,364</w:t>
            </w:r>
          </w:p>
        </w:tc>
        <w:tc>
          <w:tcPr>
            <w:tcW w:w="1751" w:type="dxa"/>
          </w:tcPr>
          <w:p>
            <w:pPr>
              <w:pStyle w:val="TableParagraph"/>
              <w:spacing w:line="160" w:lineRule="exact"/>
              <w:rPr>
                <w:sz w:val="16"/>
              </w:rPr>
            </w:pPr>
            <w:r>
              <w:rPr>
                <w:color w:val="231F20"/>
                <w:w w:val="85"/>
                <w:sz w:val="16"/>
              </w:rPr>
              <w:t>2,957,472,256</w:t>
            </w:r>
          </w:p>
        </w:tc>
      </w:tr>
      <w:tr>
        <w:trPr>
          <w:trHeight w:val="130" w:hRule="exact"/>
        </w:trPr>
        <w:tc>
          <w:tcPr>
            <w:tcW w:w="2900" w:type="dxa"/>
          </w:tcPr>
          <w:p>
            <w:pPr>
              <w:pStyle w:val="TableParagraph"/>
              <w:spacing w:line="160" w:lineRule="exact"/>
              <w:ind w:right="131"/>
              <w:rPr>
                <w:sz w:val="16"/>
              </w:rPr>
            </w:pPr>
            <w:r>
              <w:rPr>
                <w:color w:val="231F20"/>
                <w:w w:val="85"/>
                <w:sz w:val="16"/>
              </w:rPr>
              <w:t>Impuestos</w:t>
            </w:r>
          </w:p>
        </w:tc>
        <w:tc>
          <w:tcPr>
            <w:tcW w:w="1543" w:type="dxa"/>
          </w:tcPr>
          <w:p>
            <w:pPr>
              <w:pStyle w:val="TableParagraph"/>
              <w:spacing w:line="160" w:lineRule="exact"/>
              <w:rPr>
                <w:sz w:val="16"/>
              </w:rPr>
            </w:pPr>
            <w:r>
              <w:rPr>
                <w:color w:val="231F20"/>
                <w:w w:val="85"/>
                <w:sz w:val="16"/>
              </w:rPr>
              <w:t>Nd</w:t>
            </w:r>
          </w:p>
        </w:tc>
        <w:tc>
          <w:tcPr>
            <w:tcW w:w="1751" w:type="dxa"/>
          </w:tcPr>
          <w:p>
            <w:pPr>
              <w:pStyle w:val="TableParagraph"/>
              <w:spacing w:line="160" w:lineRule="exact"/>
              <w:ind w:left="153"/>
              <w:rPr>
                <w:sz w:val="16"/>
              </w:rPr>
            </w:pPr>
            <w:r>
              <w:rPr>
                <w:color w:val="231F20"/>
                <w:w w:val="85"/>
                <w:sz w:val="16"/>
              </w:rPr>
              <w:t>470,050,130</w:t>
            </w:r>
          </w:p>
        </w:tc>
        <w:tc>
          <w:tcPr>
            <w:tcW w:w="1751" w:type="dxa"/>
          </w:tcPr>
          <w:p>
            <w:pPr>
              <w:pStyle w:val="TableParagraph"/>
              <w:spacing w:line="160" w:lineRule="exact"/>
              <w:ind w:left="153"/>
              <w:rPr>
                <w:sz w:val="16"/>
              </w:rPr>
            </w:pPr>
            <w:r>
              <w:rPr>
                <w:color w:val="231F20"/>
                <w:w w:val="85"/>
                <w:sz w:val="16"/>
              </w:rPr>
              <w:t>511,135,784</w:t>
            </w:r>
          </w:p>
        </w:tc>
      </w:tr>
      <w:tr>
        <w:trPr>
          <w:trHeight w:val="130" w:hRule="exact"/>
        </w:trPr>
        <w:tc>
          <w:tcPr>
            <w:tcW w:w="2900" w:type="dxa"/>
          </w:tcPr>
          <w:p>
            <w:pPr>
              <w:pStyle w:val="TableParagraph"/>
              <w:spacing w:line="160" w:lineRule="exact"/>
              <w:ind w:right="131"/>
              <w:rPr>
                <w:sz w:val="16"/>
              </w:rPr>
            </w:pPr>
            <w:r>
              <w:rPr>
                <w:color w:val="231F20"/>
                <w:w w:val="85"/>
                <w:sz w:val="16"/>
              </w:rPr>
              <w:t>Derechos</w:t>
            </w:r>
          </w:p>
        </w:tc>
        <w:tc>
          <w:tcPr>
            <w:tcW w:w="1543" w:type="dxa"/>
          </w:tcPr>
          <w:p>
            <w:pPr>
              <w:pStyle w:val="TableParagraph"/>
              <w:spacing w:line="160" w:lineRule="exact"/>
              <w:rPr>
                <w:sz w:val="16"/>
              </w:rPr>
            </w:pPr>
            <w:r>
              <w:rPr>
                <w:color w:val="231F20"/>
                <w:w w:val="85"/>
                <w:sz w:val="16"/>
              </w:rPr>
              <w:t>Nd</w:t>
            </w:r>
          </w:p>
        </w:tc>
        <w:tc>
          <w:tcPr>
            <w:tcW w:w="1751" w:type="dxa"/>
          </w:tcPr>
          <w:p>
            <w:pPr>
              <w:pStyle w:val="TableParagraph"/>
              <w:spacing w:line="160" w:lineRule="exact"/>
              <w:ind w:left="153"/>
              <w:rPr>
                <w:sz w:val="16"/>
              </w:rPr>
            </w:pPr>
            <w:r>
              <w:rPr>
                <w:color w:val="231F20"/>
                <w:w w:val="85"/>
                <w:sz w:val="16"/>
              </w:rPr>
              <w:t>141’522,566</w:t>
            </w:r>
          </w:p>
        </w:tc>
        <w:tc>
          <w:tcPr>
            <w:tcW w:w="1751" w:type="dxa"/>
          </w:tcPr>
          <w:p>
            <w:pPr>
              <w:pStyle w:val="TableParagraph"/>
              <w:spacing w:line="160" w:lineRule="exact"/>
              <w:ind w:left="153"/>
              <w:rPr>
                <w:sz w:val="16"/>
              </w:rPr>
            </w:pPr>
            <w:r>
              <w:rPr>
                <w:color w:val="231F20"/>
                <w:w w:val="85"/>
                <w:sz w:val="16"/>
              </w:rPr>
              <w:t>153,941,117</w:t>
            </w:r>
          </w:p>
        </w:tc>
      </w:tr>
      <w:tr>
        <w:trPr>
          <w:trHeight w:val="130" w:hRule="exact"/>
        </w:trPr>
        <w:tc>
          <w:tcPr>
            <w:tcW w:w="2900" w:type="dxa"/>
          </w:tcPr>
          <w:p>
            <w:pPr>
              <w:pStyle w:val="TableParagraph"/>
              <w:spacing w:line="160" w:lineRule="exact"/>
              <w:ind w:right="131"/>
              <w:rPr>
                <w:sz w:val="16"/>
              </w:rPr>
            </w:pPr>
            <w:r>
              <w:rPr>
                <w:color w:val="231F20"/>
                <w:w w:val="75"/>
                <w:sz w:val="16"/>
              </w:rPr>
              <w:t>Aportación de mejoras</w:t>
            </w:r>
          </w:p>
        </w:tc>
        <w:tc>
          <w:tcPr>
            <w:tcW w:w="1543" w:type="dxa"/>
          </w:tcPr>
          <w:p>
            <w:pPr>
              <w:pStyle w:val="TableParagraph"/>
              <w:spacing w:line="160" w:lineRule="exact"/>
              <w:rPr>
                <w:sz w:val="16"/>
              </w:rPr>
            </w:pPr>
            <w:r>
              <w:rPr>
                <w:color w:val="231F20"/>
                <w:w w:val="85"/>
                <w:sz w:val="16"/>
              </w:rPr>
              <w:t>Nd</w:t>
            </w:r>
          </w:p>
        </w:tc>
        <w:tc>
          <w:tcPr>
            <w:tcW w:w="1751" w:type="dxa"/>
          </w:tcPr>
          <w:p>
            <w:pPr>
              <w:pStyle w:val="TableParagraph"/>
              <w:spacing w:line="160" w:lineRule="exact"/>
              <w:ind w:left="380"/>
              <w:rPr>
                <w:sz w:val="16"/>
              </w:rPr>
            </w:pPr>
            <w:r>
              <w:rPr>
                <w:color w:val="231F20"/>
                <w:w w:val="91"/>
                <w:sz w:val="16"/>
              </w:rPr>
              <w:t>-</w:t>
            </w:r>
          </w:p>
        </w:tc>
        <w:tc>
          <w:tcPr>
            <w:tcW w:w="1751" w:type="dxa"/>
          </w:tcPr>
          <w:p>
            <w:pPr>
              <w:pStyle w:val="TableParagraph"/>
              <w:spacing w:line="160" w:lineRule="exact"/>
              <w:ind w:left="405"/>
              <w:rPr>
                <w:sz w:val="16"/>
              </w:rPr>
            </w:pPr>
            <w:r>
              <w:rPr>
                <w:color w:val="231F20"/>
                <w:w w:val="91"/>
                <w:sz w:val="16"/>
              </w:rPr>
              <w:t>-</w:t>
            </w:r>
          </w:p>
        </w:tc>
      </w:tr>
      <w:tr>
        <w:trPr>
          <w:trHeight w:val="130" w:hRule="exact"/>
        </w:trPr>
        <w:tc>
          <w:tcPr>
            <w:tcW w:w="2900" w:type="dxa"/>
          </w:tcPr>
          <w:p>
            <w:pPr>
              <w:pStyle w:val="TableParagraph"/>
              <w:spacing w:line="160" w:lineRule="exact"/>
              <w:ind w:right="131"/>
              <w:rPr>
                <w:sz w:val="16"/>
              </w:rPr>
            </w:pPr>
            <w:r>
              <w:rPr>
                <w:color w:val="231F20"/>
                <w:w w:val="85"/>
                <w:sz w:val="16"/>
              </w:rPr>
              <w:t>Productos</w:t>
            </w:r>
          </w:p>
        </w:tc>
        <w:tc>
          <w:tcPr>
            <w:tcW w:w="1543" w:type="dxa"/>
          </w:tcPr>
          <w:p>
            <w:pPr>
              <w:pStyle w:val="TableParagraph"/>
              <w:spacing w:line="160" w:lineRule="exact"/>
              <w:rPr>
                <w:sz w:val="16"/>
              </w:rPr>
            </w:pPr>
            <w:r>
              <w:rPr>
                <w:color w:val="231F20"/>
                <w:w w:val="85"/>
                <w:sz w:val="16"/>
              </w:rPr>
              <w:t>Nd</w:t>
            </w:r>
          </w:p>
        </w:tc>
        <w:tc>
          <w:tcPr>
            <w:tcW w:w="1751" w:type="dxa"/>
          </w:tcPr>
          <w:p>
            <w:pPr>
              <w:pStyle w:val="TableParagraph"/>
              <w:spacing w:line="160" w:lineRule="exact"/>
              <w:ind w:left="179"/>
              <w:rPr>
                <w:sz w:val="16"/>
              </w:rPr>
            </w:pPr>
            <w:r>
              <w:rPr>
                <w:color w:val="231F20"/>
                <w:w w:val="85"/>
                <w:sz w:val="16"/>
              </w:rPr>
              <w:t>26’698,377</w:t>
            </w:r>
          </w:p>
        </w:tc>
        <w:tc>
          <w:tcPr>
            <w:tcW w:w="1751" w:type="dxa"/>
          </w:tcPr>
          <w:p>
            <w:pPr>
              <w:pStyle w:val="TableParagraph"/>
              <w:spacing w:line="160" w:lineRule="exact"/>
              <w:ind w:left="154"/>
              <w:rPr>
                <w:sz w:val="16"/>
              </w:rPr>
            </w:pPr>
            <w:r>
              <w:rPr>
                <w:color w:val="231F20"/>
                <w:w w:val="85"/>
                <w:sz w:val="16"/>
              </w:rPr>
              <w:t>315,588,361</w:t>
            </w:r>
          </w:p>
        </w:tc>
      </w:tr>
      <w:tr>
        <w:trPr>
          <w:trHeight w:val="130" w:hRule="exact"/>
        </w:trPr>
        <w:tc>
          <w:tcPr>
            <w:tcW w:w="2900" w:type="dxa"/>
          </w:tcPr>
          <w:p>
            <w:pPr>
              <w:pStyle w:val="TableParagraph"/>
              <w:spacing w:line="160" w:lineRule="exact"/>
              <w:ind w:right="131"/>
              <w:rPr>
                <w:sz w:val="16"/>
              </w:rPr>
            </w:pPr>
            <w:r>
              <w:rPr>
                <w:color w:val="231F20"/>
                <w:w w:val="85"/>
                <w:sz w:val="16"/>
              </w:rPr>
              <w:t>Aprovechamientos</w:t>
            </w:r>
          </w:p>
        </w:tc>
        <w:tc>
          <w:tcPr>
            <w:tcW w:w="1543" w:type="dxa"/>
          </w:tcPr>
          <w:p>
            <w:pPr>
              <w:pStyle w:val="TableParagraph"/>
              <w:spacing w:line="160" w:lineRule="exact"/>
              <w:rPr>
                <w:sz w:val="16"/>
              </w:rPr>
            </w:pPr>
            <w:r>
              <w:rPr>
                <w:color w:val="231F20"/>
                <w:w w:val="85"/>
                <w:sz w:val="16"/>
              </w:rPr>
              <w:t>Nd</w:t>
            </w:r>
          </w:p>
        </w:tc>
        <w:tc>
          <w:tcPr>
            <w:tcW w:w="1751" w:type="dxa"/>
          </w:tcPr>
          <w:p>
            <w:pPr>
              <w:pStyle w:val="TableParagraph"/>
              <w:spacing w:line="160" w:lineRule="exact"/>
              <w:ind w:left="179"/>
              <w:rPr>
                <w:sz w:val="16"/>
              </w:rPr>
            </w:pPr>
            <w:r>
              <w:rPr>
                <w:color w:val="231F20"/>
                <w:w w:val="85"/>
                <w:sz w:val="16"/>
              </w:rPr>
              <w:t>34’986,000</w:t>
            </w:r>
          </w:p>
        </w:tc>
        <w:tc>
          <w:tcPr>
            <w:tcW w:w="1751" w:type="dxa"/>
          </w:tcPr>
          <w:p>
            <w:pPr>
              <w:pStyle w:val="TableParagraph"/>
              <w:spacing w:line="160" w:lineRule="exact"/>
              <w:ind w:left="179"/>
              <w:rPr>
                <w:sz w:val="16"/>
              </w:rPr>
            </w:pPr>
            <w:r>
              <w:rPr>
                <w:color w:val="231F20"/>
                <w:w w:val="85"/>
                <w:sz w:val="16"/>
              </w:rPr>
              <w:t>20,951,600</w:t>
            </w:r>
          </w:p>
        </w:tc>
      </w:tr>
      <w:tr>
        <w:trPr>
          <w:trHeight w:val="130" w:hRule="exact"/>
        </w:trPr>
        <w:tc>
          <w:tcPr>
            <w:tcW w:w="2900" w:type="dxa"/>
          </w:tcPr>
          <w:p>
            <w:pPr>
              <w:pStyle w:val="TableParagraph"/>
              <w:spacing w:line="160" w:lineRule="exact"/>
              <w:ind w:left="104" w:right="131"/>
              <w:rPr>
                <w:sz w:val="16"/>
              </w:rPr>
            </w:pPr>
            <w:r>
              <w:rPr>
                <w:color w:val="231F20"/>
                <w:w w:val="75"/>
                <w:sz w:val="16"/>
              </w:rPr>
              <w:t>Ingresos propios DIF</w:t>
            </w:r>
          </w:p>
        </w:tc>
        <w:tc>
          <w:tcPr>
            <w:tcW w:w="1543" w:type="dxa"/>
          </w:tcPr>
          <w:p>
            <w:pPr>
              <w:pStyle w:val="TableParagraph"/>
              <w:spacing w:line="160" w:lineRule="exact"/>
              <w:ind w:left="104"/>
              <w:rPr>
                <w:sz w:val="16"/>
              </w:rPr>
            </w:pPr>
            <w:r>
              <w:rPr>
                <w:color w:val="231F20"/>
                <w:w w:val="85"/>
                <w:sz w:val="16"/>
              </w:rPr>
              <w:t>Nd</w:t>
            </w:r>
          </w:p>
        </w:tc>
        <w:tc>
          <w:tcPr>
            <w:tcW w:w="1751" w:type="dxa"/>
          </w:tcPr>
          <w:p>
            <w:pPr>
              <w:pStyle w:val="TableParagraph"/>
              <w:spacing w:line="160" w:lineRule="exact"/>
              <w:ind w:left="179"/>
              <w:rPr>
                <w:sz w:val="16"/>
              </w:rPr>
            </w:pPr>
            <w:r>
              <w:rPr>
                <w:color w:val="231F20"/>
                <w:w w:val="85"/>
                <w:sz w:val="16"/>
              </w:rPr>
              <w:t>10’997,520</w:t>
            </w:r>
          </w:p>
        </w:tc>
        <w:tc>
          <w:tcPr>
            <w:tcW w:w="1751" w:type="dxa"/>
          </w:tcPr>
          <w:p>
            <w:pPr>
              <w:pStyle w:val="TableParagraph"/>
              <w:spacing w:line="160" w:lineRule="exact"/>
              <w:ind w:left="405"/>
              <w:rPr>
                <w:sz w:val="16"/>
              </w:rPr>
            </w:pPr>
            <w:r>
              <w:rPr>
                <w:color w:val="231F20"/>
                <w:w w:val="91"/>
                <w:sz w:val="16"/>
              </w:rPr>
              <w:t>-</w:t>
            </w:r>
          </w:p>
        </w:tc>
      </w:tr>
      <w:tr>
        <w:trPr>
          <w:trHeight w:val="130" w:hRule="exact"/>
        </w:trPr>
        <w:tc>
          <w:tcPr>
            <w:tcW w:w="2900" w:type="dxa"/>
          </w:tcPr>
          <w:p>
            <w:pPr>
              <w:pStyle w:val="TableParagraph"/>
              <w:spacing w:line="160" w:lineRule="exact"/>
              <w:ind w:left="104" w:right="131"/>
              <w:rPr>
                <w:sz w:val="16"/>
              </w:rPr>
            </w:pPr>
            <w:r>
              <w:rPr>
                <w:color w:val="231F20"/>
                <w:w w:val="75"/>
                <w:sz w:val="16"/>
              </w:rPr>
              <w:t>Otros ingresos</w:t>
            </w:r>
          </w:p>
        </w:tc>
        <w:tc>
          <w:tcPr>
            <w:tcW w:w="1543" w:type="dxa"/>
          </w:tcPr>
          <w:p>
            <w:pPr>
              <w:pStyle w:val="TableParagraph"/>
              <w:spacing w:line="160" w:lineRule="exact"/>
              <w:ind w:left="104"/>
              <w:rPr>
                <w:sz w:val="16"/>
              </w:rPr>
            </w:pPr>
            <w:r>
              <w:rPr>
                <w:color w:val="231F20"/>
                <w:w w:val="85"/>
                <w:sz w:val="16"/>
              </w:rPr>
              <w:t>Nd</w:t>
            </w:r>
          </w:p>
        </w:tc>
        <w:tc>
          <w:tcPr>
            <w:tcW w:w="1751" w:type="dxa"/>
          </w:tcPr>
          <w:p>
            <w:pPr>
              <w:pStyle w:val="TableParagraph"/>
              <w:spacing w:line="160" w:lineRule="exact"/>
              <w:ind w:left="179"/>
              <w:rPr>
                <w:sz w:val="16"/>
              </w:rPr>
            </w:pPr>
            <w:r>
              <w:rPr>
                <w:color w:val="231F20"/>
                <w:w w:val="85"/>
                <w:sz w:val="16"/>
              </w:rPr>
              <w:t>60’043,236</w:t>
            </w:r>
          </w:p>
        </w:tc>
        <w:tc>
          <w:tcPr>
            <w:tcW w:w="1751" w:type="dxa"/>
          </w:tcPr>
          <w:p>
            <w:pPr>
              <w:pStyle w:val="TableParagraph"/>
              <w:spacing w:line="160" w:lineRule="exact"/>
              <w:ind w:left="154"/>
              <w:rPr>
                <w:sz w:val="16"/>
              </w:rPr>
            </w:pPr>
            <w:r>
              <w:rPr>
                <w:color w:val="231F20"/>
                <w:w w:val="85"/>
                <w:sz w:val="16"/>
              </w:rPr>
              <w:t>118,979,131</w:t>
            </w:r>
          </w:p>
        </w:tc>
      </w:tr>
      <w:tr>
        <w:trPr>
          <w:trHeight w:val="130" w:hRule="exact"/>
        </w:trPr>
        <w:tc>
          <w:tcPr>
            <w:tcW w:w="2900" w:type="dxa"/>
          </w:tcPr>
          <w:p>
            <w:pPr>
              <w:pStyle w:val="TableParagraph"/>
              <w:spacing w:line="160" w:lineRule="exact"/>
              <w:ind w:left="104" w:right="131"/>
              <w:rPr>
                <w:sz w:val="16"/>
              </w:rPr>
            </w:pPr>
            <w:r>
              <w:rPr>
                <w:color w:val="231F20"/>
                <w:w w:val="75"/>
                <w:sz w:val="16"/>
              </w:rPr>
              <w:t>Ingresos por financiamiento</w:t>
            </w:r>
          </w:p>
        </w:tc>
        <w:tc>
          <w:tcPr>
            <w:tcW w:w="1543" w:type="dxa"/>
          </w:tcPr>
          <w:p>
            <w:pPr>
              <w:pStyle w:val="TableParagraph"/>
              <w:spacing w:line="160" w:lineRule="exact"/>
              <w:ind w:left="104"/>
              <w:rPr>
                <w:sz w:val="16"/>
              </w:rPr>
            </w:pPr>
            <w:r>
              <w:rPr>
                <w:color w:val="231F20"/>
                <w:w w:val="85"/>
                <w:sz w:val="16"/>
              </w:rPr>
              <w:t>Nd</w:t>
            </w:r>
          </w:p>
        </w:tc>
        <w:tc>
          <w:tcPr>
            <w:tcW w:w="1751" w:type="dxa"/>
          </w:tcPr>
          <w:p>
            <w:pPr>
              <w:pStyle w:val="TableParagraph"/>
              <w:spacing w:line="160" w:lineRule="exact"/>
              <w:ind w:left="154"/>
              <w:rPr>
                <w:sz w:val="16"/>
              </w:rPr>
            </w:pPr>
            <w:r>
              <w:rPr>
                <w:color w:val="231F20"/>
                <w:w w:val="85"/>
                <w:sz w:val="16"/>
              </w:rPr>
              <w:t>400’000,000</w:t>
            </w:r>
          </w:p>
        </w:tc>
        <w:tc>
          <w:tcPr>
            <w:tcW w:w="1751" w:type="dxa"/>
          </w:tcPr>
          <w:p>
            <w:pPr>
              <w:pStyle w:val="TableParagraph"/>
              <w:spacing w:line="160" w:lineRule="exact"/>
              <w:ind w:left="154"/>
              <w:rPr>
                <w:sz w:val="16"/>
              </w:rPr>
            </w:pPr>
            <w:r>
              <w:rPr>
                <w:color w:val="231F20"/>
                <w:w w:val="85"/>
                <w:sz w:val="16"/>
              </w:rPr>
              <w:t>400,000,000</w:t>
            </w:r>
          </w:p>
        </w:tc>
      </w:tr>
      <w:tr>
        <w:trPr>
          <w:trHeight w:val="130" w:hRule="exact"/>
        </w:trPr>
        <w:tc>
          <w:tcPr>
            <w:tcW w:w="2900" w:type="dxa"/>
          </w:tcPr>
          <w:p>
            <w:pPr>
              <w:pStyle w:val="TableParagraph"/>
              <w:spacing w:line="160" w:lineRule="exact"/>
              <w:ind w:left="104" w:right="131"/>
              <w:rPr>
                <w:sz w:val="16"/>
              </w:rPr>
            </w:pPr>
            <w:r>
              <w:rPr>
                <w:color w:val="231F20"/>
                <w:w w:val="85"/>
                <w:sz w:val="16"/>
              </w:rPr>
              <w:t>Accesorios</w:t>
            </w:r>
          </w:p>
        </w:tc>
        <w:tc>
          <w:tcPr>
            <w:tcW w:w="1543" w:type="dxa"/>
          </w:tcPr>
          <w:p>
            <w:pPr>
              <w:pStyle w:val="TableParagraph"/>
              <w:spacing w:line="160" w:lineRule="exact"/>
              <w:ind w:left="104"/>
              <w:rPr>
                <w:sz w:val="16"/>
              </w:rPr>
            </w:pPr>
            <w:r>
              <w:rPr>
                <w:color w:val="231F20"/>
                <w:w w:val="85"/>
                <w:sz w:val="16"/>
              </w:rPr>
              <w:t>Nd</w:t>
            </w:r>
          </w:p>
        </w:tc>
        <w:tc>
          <w:tcPr>
            <w:tcW w:w="1751" w:type="dxa"/>
          </w:tcPr>
          <w:p>
            <w:pPr>
              <w:pStyle w:val="TableParagraph"/>
              <w:spacing w:line="160" w:lineRule="exact"/>
              <w:ind w:left="380"/>
              <w:rPr>
                <w:sz w:val="16"/>
              </w:rPr>
            </w:pPr>
            <w:r>
              <w:rPr>
                <w:color w:val="231F20"/>
                <w:w w:val="91"/>
                <w:sz w:val="16"/>
              </w:rPr>
              <w:t>-</w:t>
            </w:r>
          </w:p>
        </w:tc>
        <w:tc>
          <w:tcPr>
            <w:tcW w:w="1751" w:type="dxa"/>
          </w:tcPr>
          <w:p>
            <w:pPr>
              <w:pStyle w:val="TableParagraph"/>
              <w:spacing w:line="160" w:lineRule="exact"/>
              <w:ind w:left="180"/>
              <w:rPr>
                <w:sz w:val="16"/>
              </w:rPr>
            </w:pPr>
            <w:r>
              <w:rPr>
                <w:color w:val="231F20"/>
                <w:w w:val="85"/>
                <w:sz w:val="16"/>
              </w:rPr>
              <w:t>38,160,000</w:t>
            </w:r>
          </w:p>
        </w:tc>
      </w:tr>
      <w:tr>
        <w:trPr>
          <w:trHeight w:val="450" w:hRule="exact"/>
        </w:trPr>
        <w:tc>
          <w:tcPr>
            <w:tcW w:w="2900" w:type="dxa"/>
          </w:tcPr>
          <w:p>
            <w:pPr>
              <w:pStyle w:val="TableParagraph"/>
              <w:spacing w:line="196" w:lineRule="auto"/>
              <w:ind w:left="104" w:right="131"/>
              <w:rPr>
                <w:sz w:val="16"/>
              </w:rPr>
            </w:pPr>
            <w:r>
              <w:rPr>
                <w:color w:val="231F20"/>
                <w:w w:val="80"/>
                <w:sz w:val="16"/>
              </w:rPr>
              <w:t>Ingresos</w:t>
            </w:r>
            <w:r>
              <w:rPr>
                <w:color w:val="231F20"/>
                <w:spacing w:val="-21"/>
                <w:w w:val="80"/>
                <w:sz w:val="16"/>
              </w:rPr>
              <w:t> </w:t>
            </w:r>
            <w:r>
              <w:rPr>
                <w:color w:val="231F20"/>
                <w:w w:val="80"/>
                <w:sz w:val="16"/>
              </w:rPr>
              <w:t>Municipales</w:t>
            </w:r>
            <w:r>
              <w:rPr>
                <w:color w:val="231F20"/>
                <w:spacing w:val="-21"/>
                <w:w w:val="80"/>
                <w:sz w:val="16"/>
              </w:rPr>
              <w:t> </w:t>
            </w:r>
            <w:r>
              <w:rPr>
                <w:color w:val="231F20"/>
                <w:w w:val="80"/>
                <w:sz w:val="16"/>
              </w:rPr>
              <w:t>derivados</w:t>
            </w:r>
            <w:r>
              <w:rPr>
                <w:color w:val="231F20"/>
                <w:spacing w:val="-21"/>
                <w:w w:val="80"/>
                <w:sz w:val="16"/>
              </w:rPr>
              <w:t> </w:t>
            </w:r>
            <w:r>
              <w:rPr>
                <w:color w:val="231F20"/>
                <w:w w:val="80"/>
                <w:sz w:val="16"/>
              </w:rPr>
              <w:t>del</w:t>
            </w:r>
            <w:r>
              <w:rPr>
                <w:color w:val="231F20"/>
                <w:spacing w:val="-21"/>
                <w:w w:val="80"/>
                <w:sz w:val="16"/>
              </w:rPr>
              <w:t> </w:t>
            </w:r>
            <w:r>
              <w:rPr>
                <w:color w:val="231F20"/>
                <w:w w:val="80"/>
                <w:sz w:val="16"/>
              </w:rPr>
              <w:t>Sistema</w:t>
            </w:r>
            <w:r>
              <w:rPr>
                <w:color w:val="231F20"/>
                <w:spacing w:val="-21"/>
                <w:w w:val="80"/>
                <w:sz w:val="16"/>
              </w:rPr>
              <w:t> </w:t>
            </w:r>
            <w:r>
              <w:rPr>
                <w:color w:val="231F20"/>
                <w:w w:val="80"/>
                <w:sz w:val="16"/>
              </w:rPr>
              <w:t>Nacional </w:t>
            </w:r>
            <w:r>
              <w:rPr>
                <w:color w:val="231F20"/>
                <w:w w:val="85"/>
                <w:sz w:val="16"/>
              </w:rPr>
              <w:t>de</w:t>
            </w:r>
            <w:r>
              <w:rPr>
                <w:color w:val="231F20"/>
                <w:spacing w:val="-22"/>
                <w:w w:val="85"/>
                <w:sz w:val="16"/>
              </w:rPr>
              <w:t> </w:t>
            </w:r>
            <w:r>
              <w:rPr>
                <w:color w:val="231F20"/>
                <w:w w:val="85"/>
                <w:sz w:val="16"/>
              </w:rPr>
              <w:t>Coordinación</w:t>
            </w:r>
            <w:r>
              <w:rPr>
                <w:color w:val="231F20"/>
                <w:spacing w:val="-22"/>
                <w:w w:val="85"/>
                <w:sz w:val="16"/>
              </w:rPr>
              <w:t> </w:t>
            </w:r>
            <w:r>
              <w:rPr>
                <w:color w:val="231F20"/>
                <w:w w:val="85"/>
                <w:sz w:val="16"/>
              </w:rPr>
              <w:t>Fiscal</w:t>
            </w:r>
            <w:r>
              <w:rPr>
                <w:color w:val="231F20"/>
                <w:spacing w:val="-22"/>
                <w:w w:val="85"/>
                <w:sz w:val="16"/>
              </w:rPr>
              <w:t> </w:t>
            </w:r>
            <w:r>
              <w:rPr>
                <w:color w:val="231F20"/>
                <w:w w:val="85"/>
                <w:sz w:val="16"/>
              </w:rPr>
              <w:t>y</w:t>
            </w:r>
            <w:r>
              <w:rPr>
                <w:color w:val="231F20"/>
                <w:spacing w:val="-22"/>
                <w:w w:val="85"/>
                <w:sz w:val="16"/>
              </w:rPr>
              <w:t> </w:t>
            </w:r>
            <w:r>
              <w:rPr>
                <w:color w:val="231F20"/>
                <w:w w:val="85"/>
                <w:sz w:val="16"/>
              </w:rPr>
              <w:t>Estatal</w:t>
            </w:r>
            <w:r>
              <w:rPr>
                <w:color w:val="231F20"/>
                <w:spacing w:val="-22"/>
                <w:w w:val="85"/>
                <w:sz w:val="16"/>
              </w:rPr>
              <w:t> </w:t>
            </w:r>
            <w:r>
              <w:rPr>
                <w:color w:val="231F20"/>
                <w:w w:val="85"/>
                <w:sz w:val="16"/>
              </w:rPr>
              <w:t>de</w:t>
            </w:r>
            <w:r>
              <w:rPr>
                <w:color w:val="231F20"/>
                <w:spacing w:val="-22"/>
                <w:w w:val="85"/>
                <w:sz w:val="16"/>
              </w:rPr>
              <w:t> </w:t>
            </w:r>
            <w:r>
              <w:rPr>
                <w:color w:val="231F20"/>
                <w:w w:val="85"/>
                <w:sz w:val="16"/>
              </w:rPr>
              <w:t>Coordinación Fiscal</w:t>
            </w:r>
          </w:p>
        </w:tc>
        <w:tc>
          <w:tcPr>
            <w:tcW w:w="1543" w:type="dxa"/>
          </w:tcPr>
          <w:p>
            <w:pPr>
              <w:pStyle w:val="TableParagraph"/>
              <w:spacing w:line="162" w:lineRule="exact"/>
              <w:ind w:left="104"/>
              <w:rPr>
                <w:sz w:val="16"/>
              </w:rPr>
            </w:pPr>
            <w:r>
              <w:rPr>
                <w:color w:val="231F20"/>
                <w:w w:val="85"/>
                <w:sz w:val="16"/>
              </w:rPr>
              <w:t>Nd</w:t>
            </w:r>
          </w:p>
        </w:tc>
        <w:tc>
          <w:tcPr>
            <w:tcW w:w="1751" w:type="dxa"/>
          </w:tcPr>
          <w:p>
            <w:pPr>
              <w:pStyle w:val="TableParagraph"/>
              <w:spacing w:line="162" w:lineRule="exact"/>
              <w:ind w:left="104"/>
              <w:rPr>
                <w:sz w:val="16"/>
              </w:rPr>
            </w:pPr>
            <w:r>
              <w:rPr>
                <w:color w:val="231F20"/>
                <w:w w:val="85"/>
                <w:sz w:val="16"/>
              </w:rPr>
              <w:t>1,139’517,055</w:t>
            </w:r>
          </w:p>
        </w:tc>
        <w:tc>
          <w:tcPr>
            <w:tcW w:w="1751" w:type="dxa"/>
          </w:tcPr>
          <w:p>
            <w:pPr>
              <w:pStyle w:val="TableParagraph"/>
              <w:spacing w:line="162" w:lineRule="exact"/>
              <w:ind w:left="104"/>
              <w:rPr>
                <w:sz w:val="16"/>
              </w:rPr>
            </w:pPr>
            <w:r>
              <w:rPr>
                <w:color w:val="231F20"/>
                <w:w w:val="85"/>
                <w:sz w:val="16"/>
              </w:rPr>
              <w:t>1,398,716,263</w:t>
            </w:r>
          </w:p>
        </w:tc>
      </w:tr>
    </w:tbl>
    <w:p>
      <w:pPr>
        <w:spacing w:line="369" w:lineRule="auto" w:before="116"/>
        <w:ind w:left="4536" w:right="57" w:firstLine="2345"/>
        <w:jc w:val="left"/>
        <w:rPr>
          <w:rFonts w:ascii="Calibri" w:hAnsi="Calibri"/>
          <w:sz w:val="16"/>
        </w:rPr>
      </w:pPr>
      <w:r>
        <w:rPr>
          <w:rFonts w:ascii="Calibri" w:hAnsi="Calibri"/>
          <w:color w:val="231F20"/>
          <w:sz w:val="16"/>
        </w:rPr>
        <w:t>Nd: no disponible. Fuente: elaboración propia con datos de Base de datos</w:t>
      </w:r>
    </w:p>
    <w:p>
      <w:pPr>
        <w:pStyle w:val="BodyText"/>
        <w:spacing w:before="2"/>
        <w:rPr>
          <w:rFonts w:ascii="Calibri"/>
          <w:sz w:val="20"/>
        </w:rPr>
      </w:pPr>
    </w:p>
    <w:p>
      <w:pPr>
        <w:pStyle w:val="BodyText"/>
        <w:spacing w:line="285" w:lineRule="auto" w:before="1"/>
        <w:ind w:left="110" w:right="128"/>
        <w:jc w:val="both"/>
      </w:pPr>
      <w:r>
        <w:rPr>
          <w:color w:val="231F20"/>
          <w:w w:val="105"/>
        </w:rPr>
        <w:t>En cuanto a los egresos, las cifras también son reveladoras. En principio, hubo un in- cremento</w:t>
      </w:r>
      <w:r>
        <w:rPr>
          <w:color w:val="231F20"/>
          <w:spacing w:val="-8"/>
          <w:w w:val="105"/>
        </w:rPr>
        <w:t> </w:t>
      </w:r>
      <w:r>
        <w:rPr>
          <w:color w:val="231F20"/>
          <w:w w:val="105"/>
        </w:rPr>
        <w:t>notable</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respecto</w:t>
      </w:r>
      <w:r>
        <w:rPr>
          <w:color w:val="231F20"/>
          <w:spacing w:val="-8"/>
          <w:w w:val="105"/>
        </w:rPr>
        <w:t> </w:t>
      </w:r>
      <w:r>
        <w:rPr>
          <w:color w:val="231F20"/>
          <w:w w:val="105"/>
        </w:rPr>
        <w:t>del</w:t>
      </w:r>
      <w:r>
        <w:rPr>
          <w:color w:val="231F20"/>
          <w:spacing w:val="-8"/>
          <w:w w:val="105"/>
        </w:rPr>
        <w:t> </w:t>
      </w:r>
      <w:r>
        <w:rPr>
          <w:color w:val="231F20"/>
          <w:w w:val="105"/>
        </w:rPr>
        <w:t>año</w:t>
      </w:r>
      <w:r>
        <w:rPr>
          <w:color w:val="231F20"/>
          <w:spacing w:val="-8"/>
          <w:w w:val="105"/>
        </w:rPr>
        <w:t> </w:t>
      </w:r>
      <w:r>
        <w:rPr>
          <w:color w:val="231F20"/>
          <w:spacing w:val="2"/>
          <w:w w:val="105"/>
        </w:rPr>
        <w:t>2005,</w:t>
      </w:r>
      <w:r>
        <w:rPr>
          <w:color w:val="231F20"/>
          <w:spacing w:val="-8"/>
          <w:w w:val="105"/>
        </w:rPr>
        <w:t> </w:t>
      </w:r>
      <w:r>
        <w:rPr>
          <w:color w:val="231F20"/>
          <w:w w:val="105"/>
        </w:rPr>
        <w:t>y</w:t>
      </w:r>
      <w:r>
        <w:rPr>
          <w:color w:val="231F20"/>
          <w:spacing w:val="-8"/>
          <w:w w:val="105"/>
        </w:rPr>
        <w:t> </w:t>
      </w:r>
      <w:r>
        <w:rPr>
          <w:color w:val="231F20"/>
          <w:w w:val="105"/>
        </w:rPr>
        <w:t>se</w:t>
      </w:r>
      <w:r>
        <w:rPr>
          <w:color w:val="231F20"/>
          <w:spacing w:val="-8"/>
          <w:w w:val="105"/>
        </w:rPr>
        <w:t> </w:t>
      </w:r>
      <w:r>
        <w:rPr>
          <w:color w:val="231F20"/>
          <w:w w:val="105"/>
        </w:rPr>
        <w:t>incrementó</w:t>
      </w:r>
      <w:r>
        <w:rPr>
          <w:color w:val="231F20"/>
          <w:spacing w:val="-8"/>
          <w:w w:val="105"/>
        </w:rPr>
        <w:t> </w:t>
      </w:r>
      <w:r>
        <w:rPr>
          <w:color w:val="231F20"/>
          <w:w w:val="105"/>
        </w:rPr>
        <w:t>aún</w:t>
      </w:r>
      <w:r>
        <w:rPr>
          <w:color w:val="231F20"/>
          <w:spacing w:val="-8"/>
          <w:w w:val="105"/>
        </w:rPr>
        <w:t> </w:t>
      </w:r>
      <w:r>
        <w:rPr>
          <w:color w:val="231F20"/>
          <w:w w:val="105"/>
        </w:rPr>
        <w:t>más</w:t>
      </w:r>
      <w:r>
        <w:rPr>
          <w:color w:val="231F20"/>
          <w:spacing w:val="-8"/>
          <w:w w:val="105"/>
        </w:rPr>
        <w:t> </w:t>
      </w:r>
      <w:r>
        <w:rPr>
          <w:color w:val="231F20"/>
          <w:w w:val="105"/>
        </w:rPr>
        <w:t>en</w:t>
      </w:r>
      <w:r>
        <w:rPr>
          <w:color w:val="231F20"/>
          <w:spacing w:val="-8"/>
          <w:w w:val="105"/>
        </w:rPr>
        <w:t> </w:t>
      </w:r>
      <w:r>
        <w:rPr>
          <w:color w:val="231F20"/>
          <w:w w:val="105"/>
        </w:rPr>
        <w:t>el </w:t>
      </w:r>
      <w:r>
        <w:rPr>
          <w:color w:val="231F20"/>
          <w:spacing w:val="2"/>
          <w:w w:val="105"/>
        </w:rPr>
        <w:t>2007</w:t>
      </w:r>
      <w:r>
        <w:rPr>
          <w:color w:val="231F20"/>
          <w:spacing w:val="-15"/>
          <w:w w:val="105"/>
        </w:rPr>
        <w:t> </w:t>
      </w:r>
      <w:r>
        <w:rPr>
          <w:color w:val="231F20"/>
          <w:w w:val="105"/>
        </w:rPr>
        <w:t>y</w:t>
      </w:r>
      <w:r>
        <w:rPr>
          <w:color w:val="231F20"/>
          <w:spacing w:val="-15"/>
          <w:w w:val="105"/>
        </w:rPr>
        <w:t> </w:t>
      </w:r>
      <w:r>
        <w:rPr>
          <w:color w:val="231F20"/>
          <w:spacing w:val="-3"/>
          <w:w w:val="105"/>
        </w:rPr>
        <w:t>mucho</w:t>
      </w:r>
      <w:r>
        <w:rPr>
          <w:color w:val="231F20"/>
          <w:spacing w:val="-15"/>
          <w:w w:val="105"/>
        </w:rPr>
        <w:t> </w:t>
      </w:r>
      <w:r>
        <w:rPr>
          <w:color w:val="231F20"/>
          <w:w w:val="105"/>
        </w:rPr>
        <w:t>más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2"/>
          <w:w w:val="105"/>
        </w:rPr>
        <w:t>2008.</w:t>
      </w:r>
    </w:p>
    <w:p>
      <w:pPr>
        <w:pStyle w:val="BodyText"/>
        <w:spacing w:before="1"/>
        <w:rPr>
          <w:sz w:val="26"/>
        </w:rPr>
      </w:pPr>
    </w:p>
    <w:p>
      <w:pPr>
        <w:pStyle w:val="BodyText"/>
        <w:spacing w:line="285" w:lineRule="auto"/>
        <w:ind w:left="110" w:right="128"/>
        <w:jc w:val="both"/>
      </w:pPr>
      <w:r>
        <w:rPr>
          <w:color w:val="231F20"/>
          <w:w w:val="105"/>
        </w:rPr>
        <w:t>En el </w:t>
      </w:r>
      <w:r>
        <w:rPr>
          <w:color w:val="231F20"/>
          <w:spacing w:val="3"/>
          <w:w w:val="105"/>
        </w:rPr>
        <w:t>2006, </w:t>
      </w:r>
      <w:r>
        <w:rPr>
          <w:color w:val="231F20"/>
          <w:w w:val="105"/>
        </w:rPr>
        <w:t>los gastos principales fueron los correspondientes a servicios personales, obras</w:t>
      </w:r>
      <w:r>
        <w:rPr>
          <w:color w:val="231F20"/>
          <w:spacing w:val="-19"/>
          <w:w w:val="105"/>
        </w:rPr>
        <w:t> </w:t>
      </w:r>
      <w:r>
        <w:rPr>
          <w:color w:val="231F20"/>
          <w:w w:val="105"/>
        </w:rPr>
        <w:t>públicas</w:t>
      </w:r>
      <w:r>
        <w:rPr>
          <w:color w:val="231F20"/>
          <w:spacing w:val="-19"/>
          <w:w w:val="105"/>
        </w:rPr>
        <w:t> </w:t>
      </w:r>
      <w:r>
        <w:rPr>
          <w:color w:val="231F20"/>
          <w:w w:val="105"/>
        </w:rPr>
        <w:t>y</w:t>
      </w:r>
      <w:r>
        <w:rPr>
          <w:color w:val="231F20"/>
          <w:spacing w:val="-19"/>
          <w:w w:val="105"/>
        </w:rPr>
        <w:t> </w:t>
      </w:r>
      <w:r>
        <w:rPr>
          <w:color w:val="231F20"/>
          <w:w w:val="105"/>
        </w:rPr>
        <w:t>deuda</w:t>
      </w:r>
      <w:r>
        <w:rPr>
          <w:color w:val="231F20"/>
          <w:spacing w:val="-19"/>
          <w:w w:val="105"/>
        </w:rPr>
        <w:t> </w:t>
      </w:r>
      <w:r>
        <w:rPr>
          <w:color w:val="231F20"/>
          <w:w w:val="105"/>
        </w:rPr>
        <w:t>pública.</w:t>
      </w:r>
      <w:r>
        <w:rPr>
          <w:color w:val="231F20"/>
          <w:spacing w:val="-19"/>
          <w:w w:val="105"/>
        </w:rPr>
        <w:t> </w:t>
      </w:r>
      <w:r>
        <w:rPr>
          <w:color w:val="231F20"/>
          <w:w w:val="105"/>
        </w:rPr>
        <w:t>Los</w:t>
      </w:r>
      <w:r>
        <w:rPr>
          <w:color w:val="231F20"/>
          <w:spacing w:val="-19"/>
          <w:w w:val="105"/>
        </w:rPr>
        <w:t> </w:t>
      </w:r>
      <w:r>
        <w:rPr>
          <w:color w:val="231F20"/>
          <w:w w:val="105"/>
        </w:rPr>
        <w:t>servicios</w:t>
      </w:r>
      <w:r>
        <w:rPr>
          <w:color w:val="231F20"/>
          <w:spacing w:val="-19"/>
          <w:w w:val="105"/>
        </w:rPr>
        <w:t> </w:t>
      </w:r>
      <w:r>
        <w:rPr>
          <w:color w:val="231F20"/>
          <w:w w:val="105"/>
        </w:rPr>
        <w:t>generales</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adquisición</w:t>
      </w:r>
      <w:r>
        <w:rPr>
          <w:color w:val="231F20"/>
          <w:spacing w:val="-19"/>
          <w:w w:val="105"/>
        </w:rPr>
        <w:t> </w:t>
      </w:r>
      <w:r>
        <w:rPr>
          <w:color w:val="231F20"/>
          <w:w w:val="105"/>
        </w:rPr>
        <w:t>de</w:t>
      </w:r>
      <w:r>
        <w:rPr>
          <w:color w:val="231F20"/>
          <w:spacing w:val="-19"/>
          <w:w w:val="105"/>
        </w:rPr>
        <w:t> </w:t>
      </w:r>
      <w:r>
        <w:rPr>
          <w:color w:val="231F20"/>
          <w:w w:val="105"/>
        </w:rPr>
        <w:t>bienes</w:t>
      </w:r>
      <w:r>
        <w:rPr>
          <w:color w:val="231F20"/>
          <w:spacing w:val="-19"/>
          <w:w w:val="105"/>
        </w:rPr>
        <w:t> </w:t>
      </w:r>
      <w:r>
        <w:rPr>
          <w:color w:val="231F20"/>
          <w:w w:val="105"/>
        </w:rPr>
        <w:t>se</w:t>
      </w:r>
      <w:r>
        <w:rPr>
          <w:color w:val="231F20"/>
          <w:spacing w:val="-19"/>
          <w:w w:val="105"/>
        </w:rPr>
        <w:t> </w:t>
      </w:r>
      <w:r>
        <w:rPr>
          <w:color w:val="231F20"/>
          <w:w w:val="105"/>
        </w:rPr>
        <w:t>lle- varon otra parte importante del presupuesto. Destaca el gasto en salarios, pues fue </w:t>
      </w:r>
      <w:r>
        <w:rPr>
          <w:color w:val="231F20"/>
          <w:spacing w:val="2"/>
          <w:w w:val="105"/>
        </w:rPr>
        <w:t>tan </w:t>
      </w:r>
      <w:r>
        <w:rPr>
          <w:color w:val="231F20"/>
          <w:w w:val="105"/>
        </w:rPr>
        <w:t>elevado</w:t>
      </w:r>
      <w:r>
        <w:rPr>
          <w:color w:val="231F20"/>
          <w:spacing w:val="-8"/>
          <w:w w:val="105"/>
        </w:rPr>
        <w:t> </w:t>
      </w:r>
      <w:r>
        <w:rPr>
          <w:color w:val="231F20"/>
          <w:w w:val="105"/>
        </w:rPr>
        <w:t>como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año</w:t>
      </w:r>
      <w:r>
        <w:rPr>
          <w:color w:val="231F20"/>
          <w:spacing w:val="-8"/>
          <w:w w:val="105"/>
        </w:rPr>
        <w:t> </w:t>
      </w:r>
      <w:r>
        <w:rPr>
          <w:color w:val="231F20"/>
          <w:w w:val="105"/>
        </w:rPr>
        <w:t>anterior.</w:t>
      </w:r>
      <w:r>
        <w:rPr>
          <w:color w:val="231F20"/>
          <w:spacing w:val="-8"/>
          <w:w w:val="105"/>
        </w:rPr>
        <w:t> </w:t>
      </w:r>
      <w:r>
        <w:rPr>
          <w:color w:val="231F20"/>
          <w:w w:val="105"/>
        </w:rPr>
        <w:t>Esto</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corresponde</w:t>
      </w:r>
      <w:r>
        <w:rPr>
          <w:color w:val="231F20"/>
          <w:spacing w:val="-8"/>
          <w:w w:val="105"/>
        </w:rPr>
        <w:t> </w:t>
      </w:r>
      <w:r>
        <w:rPr>
          <w:color w:val="231F20"/>
          <w:w w:val="105"/>
        </w:rPr>
        <w:t>con</w:t>
      </w:r>
      <w:r>
        <w:rPr>
          <w:color w:val="231F20"/>
          <w:spacing w:val="-8"/>
          <w:w w:val="105"/>
        </w:rPr>
        <w:t> </w:t>
      </w:r>
      <w:r>
        <w:rPr>
          <w:color w:val="231F20"/>
          <w:w w:val="105"/>
        </w:rPr>
        <w:t>las</w:t>
      </w:r>
      <w:r>
        <w:rPr>
          <w:color w:val="231F20"/>
          <w:spacing w:val="-8"/>
          <w:w w:val="105"/>
        </w:rPr>
        <w:t> </w:t>
      </w:r>
      <w:r>
        <w:rPr>
          <w:color w:val="231F20"/>
          <w:w w:val="105"/>
        </w:rPr>
        <w:t>cifras</w:t>
      </w:r>
      <w:r>
        <w:rPr>
          <w:color w:val="231F20"/>
          <w:spacing w:val="-8"/>
          <w:w w:val="105"/>
        </w:rPr>
        <w:t> </w:t>
      </w:r>
      <w:r>
        <w:rPr>
          <w:color w:val="231F20"/>
          <w:w w:val="105"/>
        </w:rPr>
        <w:t>de</w:t>
      </w:r>
      <w:r>
        <w:rPr>
          <w:color w:val="231F20"/>
          <w:spacing w:val="-8"/>
          <w:w w:val="105"/>
        </w:rPr>
        <w:t> </w:t>
      </w:r>
      <w:r>
        <w:rPr>
          <w:color w:val="231F20"/>
          <w:w w:val="105"/>
        </w:rPr>
        <w:t>obra</w:t>
      </w:r>
      <w:r>
        <w:rPr>
          <w:color w:val="231F20"/>
          <w:spacing w:val="-8"/>
          <w:w w:val="105"/>
        </w:rPr>
        <w:t> </w:t>
      </w:r>
      <w:r>
        <w:rPr>
          <w:color w:val="231F20"/>
          <w:w w:val="105"/>
        </w:rPr>
        <w:t>pública, pues</w:t>
      </w:r>
      <w:r>
        <w:rPr>
          <w:color w:val="231F20"/>
          <w:spacing w:val="-12"/>
          <w:w w:val="105"/>
        </w:rPr>
        <w:t> </w:t>
      </w:r>
      <w:r>
        <w:rPr>
          <w:color w:val="231F20"/>
          <w:w w:val="105"/>
        </w:rPr>
        <w:t>hubo</w:t>
      </w:r>
      <w:r>
        <w:rPr>
          <w:color w:val="231F20"/>
          <w:spacing w:val="-12"/>
          <w:w w:val="105"/>
        </w:rPr>
        <w:t> </w:t>
      </w:r>
      <w:r>
        <w:rPr>
          <w:color w:val="231F20"/>
          <w:w w:val="105"/>
        </w:rPr>
        <w:t>relativamente</w:t>
      </w:r>
      <w:r>
        <w:rPr>
          <w:color w:val="231F20"/>
          <w:spacing w:val="-12"/>
          <w:w w:val="105"/>
        </w:rPr>
        <w:t> </w:t>
      </w:r>
      <w:r>
        <w:rPr>
          <w:color w:val="231F20"/>
          <w:w w:val="105"/>
        </w:rPr>
        <w:t>menos</w:t>
      </w:r>
      <w:r>
        <w:rPr>
          <w:color w:val="231F20"/>
          <w:spacing w:val="-12"/>
          <w:w w:val="105"/>
        </w:rPr>
        <w:t> </w:t>
      </w:r>
      <w:r>
        <w:rPr>
          <w:color w:val="231F20"/>
          <w:w w:val="105"/>
        </w:rPr>
        <w:t>gasto</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2"/>
          <w:w w:val="105"/>
        </w:rPr>
        <w:t>2005.</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trienio,</w:t>
      </w:r>
      <w:r>
        <w:rPr>
          <w:color w:val="231F20"/>
          <w:spacing w:val="-12"/>
          <w:w w:val="105"/>
        </w:rPr>
        <w:t> </w:t>
      </w:r>
      <w:r>
        <w:rPr>
          <w:color w:val="231F20"/>
          <w:w w:val="105"/>
        </w:rPr>
        <w:t>también</w:t>
      </w:r>
      <w:r>
        <w:rPr>
          <w:color w:val="231F20"/>
          <w:spacing w:val="-12"/>
          <w:w w:val="105"/>
        </w:rPr>
        <w:t> </w:t>
      </w:r>
      <w:r>
        <w:rPr>
          <w:color w:val="231F20"/>
          <w:w w:val="105"/>
        </w:rPr>
        <w:t>fue</w:t>
      </w:r>
      <w:r>
        <w:rPr>
          <w:color w:val="231F20"/>
          <w:spacing w:val="-12"/>
          <w:w w:val="105"/>
        </w:rPr>
        <w:t> </w:t>
      </w:r>
      <w:r>
        <w:rPr>
          <w:color w:val="231F20"/>
          <w:w w:val="105"/>
        </w:rPr>
        <w:t>nota- ble</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deuda</w:t>
      </w:r>
      <w:r>
        <w:rPr>
          <w:color w:val="231F20"/>
          <w:spacing w:val="-9"/>
          <w:w w:val="105"/>
        </w:rPr>
        <w:t> </w:t>
      </w:r>
      <w:r>
        <w:rPr>
          <w:color w:val="231F20"/>
          <w:w w:val="105"/>
        </w:rPr>
        <w:t>pública</w:t>
      </w:r>
      <w:r>
        <w:rPr>
          <w:color w:val="231F20"/>
          <w:spacing w:val="-9"/>
          <w:w w:val="105"/>
        </w:rPr>
        <w:t> </w:t>
      </w:r>
      <w:r>
        <w:rPr>
          <w:color w:val="231F20"/>
          <w:w w:val="105"/>
        </w:rPr>
        <w:t>se</w:t>
      </w:r>
      <w:r>
        <w:rPr>
          <w:color w:val="231F20"/>
          <w:spacing w:val="-9"/>
          <w:w w:val="105"/>
        </w:rPr>
        <w:t> </w:t>
      </w:r>
      <w:r>
        <w:rPr>
          <w:color w:val="231F20"/>
          <w:w w:val="105"/>
        </w:rPr>
        <w:t>incrementara</w:t>
      </w:r>
      <w:r>
        <w:rPr>
          <w:color w:val="231F20"/>
          <w:spacing w:val="-9"/>
          <w:w w:val="105"/>
        </w:rPr>
        <w:t> </w:t>
      </w:r>
      <w:r>
        <w:rPr>
          <w:color w:val="231F20"/>
          <w:w w:val="105"/>
        </w:rPr>
        <w:t>fuertemente</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último</w:t>
      </w:r>
      <w:r>
        <w:rPr>
          <w:color w:val="231F20"/>
          <w:spacing w:val="-9"/>
          <w:w w:val="105"/>
        </w:rPr>
        <w:t> </w:t>
      </w:r>
      <w:r>
        <w:rPr>
          <w:color w:val="231F20"/>
          <w:w w:val="105"/>
        </w:rPr>
        <w:t>año.</w:t>
      </w:r>
    </w:p>
    <w:p>
      <w:pPr>
        <w:pStyle w:val="BodyText"/>
        <w:spacing w:before="1"/>
        <w:rPr>
          <w:sz w:val="26"/>
        </w:rPr>
      </w:pPr>
    </w:p>
    <w:p>
      <w:pPr>
        <w:pStyle w:val="BodyText"/>
        <w:spacing w:line="285" w:lineRule="auto"/>
        <w:ind w:left="110" w:right="128"/>
        <w:jc w:val="both"/>
      </w:pPr>
      <w:r>
        <w:rPr>
          <w:color w:val="231F20"/>
          <w:w w:val="105"/>
        </w:rPr>
        <w:t>En el </w:t>
      </w:r>
      <w:r>
        <w:rPr>
          <w:color w:val="231F20"/>
          <w:spacing w:val="-3"/>
          <w:w w:val="105"/>
        </w:rPr>
        <w:t>2007, </w:t>
      </w:r>
      <w:r>
        <w:rPr>
          <w:color w:val="231F20"/>
          <w:w w:val="105"/>
        </w:rPr>
        <w:t>ya bajo la responsabilidad de Durán, los incrementos más notorios fueron en</w:t>
      </w:r>
      <w:r>
        <w:rPr>
          <w:color w:val="231F20"/>
          <w:spacing w:val="-23"/>
          <w:w w:val="105"/>
        </w:rPr>
        <w:t> </w:t>
      </w:r>
      <w:r>
        <w:rPr>
          <w:color w:val="231F20"/>
          <w:w w:val="105"/>
        </w:rPr>
        <w:t>obra</w:t>
      </w:r>
      <w:r>
        <w:rPr>
          <w:color w:val="231F20"/>
          <w:spacing w:val="-23"/>
          <w:w w:val="105"/>
        </w:rPr>
        <w:t> </w:t>
      </w:r>
      <w:r>
        <w:rPr>
          <w:color w:val="231F20"/>
          <w:w w:val="105"/>
        </w:rPr>
        <w:t>pública,</w:t>
      </w:r>
      <w:r>
        <w:rPr>
          <w:color w:val="231F20"/>
          <w:spacing w:val="-23"/>
          <w:w w:val="105"/>
        </w:rPr>
        <w:t> </w:t>
      </w:r>
      <w:r>
        <w:rPr>
          <w:color w:val="231F20"/>
          <w:w w:val="105"/>
        </w:rPr>
        <w:t>servicios</w:t>
      </w:r>
      <w:r>
        <w:rPr>
          <w:color w:val="231F20"/>
          <w:spacing w:val="-23"/>
          <w:w w:val="105"/>
        </w:rPr>
        <w:t> </w:t>
      </w:r>
      <w:r>
        <w:rPr>
          <w:color w:val="231F20"/>
          <w:w w:val="105"/>
        </w:rPr>
        <w:t>generales,</w:t>
      </w:r>
      <w:r>
        <w:rPr>
          <w:color w:val="231F20"/>
          <w:spacing w:val="-23"/>
          <w:w w:val="105"/>
        </w:rPr>
        <w:t> </w:t>
      </w:r>
      <w:r>
        <w:rPr>
          <w:color w:val="231F20"/>
          <w:w w:val="105"/>
        </w:rPr>
        <w:t>adquisición</w:t>
      </w:r>
      <w:r>
        <w:rPr>
          <w:color w:val="231F20"/>
          <w:spacing w:val="-23"/>
          <w:w w:val="105"/>
        </w:rPr>
        <w:t> </w:t>
      </w:r>
      <w:r>
        <w:rPr>
          <w:color w:val="231F20"/>
          <w:w w:val="105"/>
        </w:rPr>
        <w:t>de</w:t>
      </w:r>
      <w:r>
        <w:rPr>
          <w:color w:val="231F20"/>
          <w:spacing w:val="-23"/>
          <w:w w:val="105"/>
        </w:rPr>
        <w:t> </w:t>
      </w:r>
      <w:r>
        <w:rPr>
          <w:color w:val="231F20"/>
          <w:w w:val="105"/>
        </w:rPr>
        <w:t>bienes</w:t>
      </w:r>
      <w:r>
        <w:rPr>
          <w:color w:val="231F20"/>
          <w:spacing w:val="-23"/>
          <w:w w:val="105"/>
        </w:rPr>
        <w:t> </w:t>
      </w:r>
      <w:r>
        <w:rPr>
          <w:color w:val="231F20"/>
          <w:w w:val="105"/>
        </w:rPr>
        <w:t>y</w:t>
      </w:r>
      <w:r>
        <w:rPr>
          <w:color w:val="231F20"/>
          <w:spacing w:val="-23"/>
          <w:w w:val="105"/>
        </w:rPr>
        <w:t> </w:t>
      </w:r>
      <w:r>
        <w:rPr>
          <w:color w:val="231F20"/>
          <w:w w:val="105"/>
        </w:rPr>
        <w:t>servicios</w:t>
      </w:r>
      <w:r>
        <w:rPr>
          <w:color w:val="231F20"/>
          <w:spacing w:val="-23"/>
          <w:w w:val="105"/>
        </w:rPr>
        <w:t> </w:t>
      </w:r>
      <w:r>
        <w:rPr>
          <w:color w:val="231F20"/>
          <w:w w:val="105"/>
        </w:rPr>
        <w:t>personales</w:t>
      </w:r>
      <w:r>
        <w:rPr>
          <w:color w:val="231F20"/>
          <w:spacing w:val="-23"/>
          <w:w w:val="105"/>
        </w:rPr>
        <w:t> </w:t>
      </w:r>
      <w:r>
        <w:rPr>
          <w:color w:val="231F20"/>
          <w:spacing w:val="-5"/>
          <w:w w:val="105"/>
        </w:rPr>
        <w:t>(en</w:t>
      </w:r>
      <w:r>
        <w:rPr>
          <w:color w:val="231F20"/>
          <w:spacing w:val="-23"/>
          <w:w w:val="105"/>
        </w:rPr>
        <w:t> </w:t>
      </w:r>
      <w:r>
        <w:rPr>
          <w:color w:val="231F20"/>
          <w:w w:val="105"/>
        </w:rPr>
        <w:t>ese</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line="285" w:lineRule="auto" w:before="36"/>
        <w:ind w:left="110" w:right="127"/>
        <w:jc w:val="both"/>
      </w:pPr>
      <w:r>
        <w:rPr>
          <w:color w:val="231F20"/>
          <w:spacing w:val="-4"/>
          <w:w w:val="105"/>
        </w:rPr>
        <w:t>orden). </w:t>
      </w:r>
      <w:r>
        <w:rPr>
          <w:color w:val="231F20"/>
          <w:w w:val="105"/>
        </w:rPr>
        <w:t>Aquí hubo una relativamente importante disminución de los dineros erogados para gasto de salarios y remuneraciones, a diferencia de la gestión </w:t>
      </w:r>
      <w:r>
        <w:rPr>
          <w:color w:val="231F20"/>
          <w:spacing w:val="-3"/>
          <w:w w:val="105"/>
        </w:rPr>
        <w:t>anterior, </w:t>
      </w:r>
      <w:r>
        <w:rPr>
          <w:color w:val="231F20"/>
          <w:w w:val="105"/>
        </w:rPr>
        <w:t>lo que se reafirmará en el siguiente año. La obra pública mereció mayor gasto que antaño y se compraron</w:t>
      </w:r>
      <w:r>
        <w:rPr>
          <w:color w:val="231F20"/>
          <w:spacing w:val="-12"/>
          <w:w w:val="105"/>
        </w:rPr>
        <w:t> </w:t>
      </w:r>
      <w:r>
        <w:rPr>
          <w:color w:val="231F20"/>
          <w:w w:val="105"/>
        </w:rPr>
        <w:t>más</w:t>
      </w:r>
      <w:r>
        <w:rPr>
          <w:color w:val="231F20"/>
          <w:spacing w:val="-12"/>
          <w:w w:val="105"/>
        </w:rPr>
        <w:t> </w:t>
      </w:r>
      <w:r>
        <w:rPr>
          <w:color w:val="231F20"/>
          <w:w w:val="105"/>
        </w:rPr>
        <w:t>bienes.</w:t>
      </w:r>
      <w:r>
        <w:rPr>
          <w:color w:val="231F20"/>
          <w:spacing w:val="-12"/>
          <w:w w:val="105"/>
        </w:rPr>
        <w:t> </w:t>
      </w:r>
      <w:r>
        <w:rPr>
          <w:color w:val="231F20"/>
          <w:w w:val="105"/>
        </w:rPr>
        <w:t>La</w:t>
      </w:r>
      <w:r>
        <w:rPr>
          <w:color w:val="231F20"/>
          <w:spacing w:val="-12"/>
          <w:w w:val="105"/>
        </w:rPr>
        <w:t> </w:t>
      </w:r>
      <w:r>
        <w:rPr>
          <w:color w:val="231F20"/>
          <w:w w:val="105"/>
        </w:rPr>
        <w:t>deuda</w:t>
      </w:r>
      <w:r>
        <w:rPr>
          <w:color w:val="231F20"/>
          <w:spacing w:val="-12"/>
          <w:w w:val="105"/>
        </w:rPr>
        <w:t> </w:t>
      </w:r>
      <w:r>
        <w:rPr>
          <w:color w:val="231F20"/>
          <w:w w:val="105"/>
        </w:rPr>
        <w:t>pública</w:t>
      </w:r>
      <w:r>
        <w:rPr>
          <w:color w:val="231F20"/>
          <w:spacing w:val="-12"/>
          <w:w w:val="105"/>
        </w:rPr>
        <w:t> </w:t>
      </w:r>
      <w:r>
        <w:rPr>
          <w:color w:val="231F20"/>
          <w:w w:val="105"/>
        </w:rPr>
        <w:t>fue</w:t>
      </w:r>
      <w:r>
        <w:rPr>
          <w:color w:val="231F20"/>
          <w:spacing w:val="-12"/>
          <w:w w:val="105"/>
        </w:rPr>
        <w:t> </w:t>
      </w:r>
      <w:r>
        <w:rPr>
          <w:color w:val="231F20"/>
          <w:w w:val="105"/>
        </w:rPr>
        <w:t>bien</w:t>
      </w:r>
      <w:r>
        <w:rPr>
          <w:color w:val="231F20"/>
          <w:spacing w:val="-12"/>
          <w:w w:val="105"/>
        </w:rPr>
        <w:t> </w:t>
      </w:r>
      <w:r>
        <w:rPr>
          <w:color w:val="231F20"/>
          <w:w w:val="105"/>
        </w:rPr>
        <w:t>manejada</w:t>
      </w:r>
      <w:r>
        <w:rPr>
          <w:color w:val="231F20"/>
          <w:spacing w:val="-12"/>
          <w:w w:val="105"/>
        </w:rPr>
        <w:t> </w:t>
      </w:r>
      <w:r>
        <w:rPr>
          <w:color w:val="231F20"/>
          <w:w w:val="105"/>
        </w:rPr>
        <w:t>pues</w:t>
      </w:r>
      <w:r>
        <w:rPr>
          <w:color w:val="231F20"/>
          <w:spacing w:val="-12"/>
          <w:w w:val="105"/>
        </w:rPr>
        <w:t> </w:t>
      </w:r>
      <w:r>
        <w:rPr>
          <w:color w:val="231F20"/>
          <w:w w:val="105"/>
        </w:rPr>
        <w:t>se</w:t>
      </w:r>
      <w:r>
        <w:rPr>
          <w:color w:val="231F20"/>
          <w:spacing w:val="-12"/>
          <w:w w:val="105"/>
        </w:rPr>
        <w:t> </w:t>
      </w:r>
      <w:r>
        <w:rPr>
          <w:color w:val="231F20"/>
          <w:w w:val="105"/>
        </w:rPr>
        <w:t>canalizaron</w:t>
      </w:r>
      <w:r>
        <w:rPr>
          <w:color w:val="231F20"/>
          <w:spacing w:val="-12"/>
          <w:w w:val="105"/>
        </w:rPr>
        <w:t> </w:t>
      </w:r>
      <w:r>
        <w:rPr>
          <w:color w:val="231F20"/>
          <w:w w:val="105"/>
        </w:rPr>
        <w:t>menos recursos que en el pasado</w:t>
      </w:r>
      <w:r>
        <w:rPr>
          <w:color w:val="231F20"/>
          <w:spacing w:val="-41"/>
          <w:w w:val="105"/>
        </w:rPr>
        <w:t> </w:t>
      </w:r>
      <w:r>
        <w:rPr>
          <w:color w:val="231F20"/>
          <w:w w:val="105"/>
        </w:rPr>
        <w:t>inmediato.</w:t>
      </w:r>
    </w:p>
    <w:p>
      <w:pPr>
        <w:pStyle w:val="BodyText"/>
        <w:spacing w:before="1"/>
        <w:rPr>
          <w:sz w:val="26"/>
        </w:rPr>
      </w:pPr>
    </w:p>
    <w:p>
      <w:pPr>
        <w:pStyle w:val="BodyText"/>
        <w:spacing w:line="285" w:lineRule="auto"/>
        <w:ind w:left="110" w:right="127"/>
        <w:jc w:val="both"/>
      </w:pPr>
      <w:r>
        <w:rPr>
          <w:color w:val="231F20"/>
          <w:w w:val="105"/>
        </w:rPr>
        <w:t>Para</w:t>
      </w:r>
      <w:r>
        <w:rPr>
          <w:color w:val="231F20"/>
          <w:spacing w:val="-20"/>
          <w:w w:val="105"/>
        </w:rPr>
        <w:t> </w:t>
      </w:r>
      <w:r>
        <w:rPr>
          <w:color w:val="231F20"/>
          <w:w w:val="105"/>
        </w:rPr>
        <w:t>el</w:t>
      </w:r>
      <w:r>
        <w:rPr>
          <w:color w:val="231F20"/>
          <w:spacing w:val="-20"/>
          <w:w w:val="105"/>
        </w:rPr>
        <w:t> </w:t>
      </w:r>
      <w:r>
        <w:rPr>
          <w:color w:val="231F20"/>
          <w:spacing w:val="3"/>
          <w:w w:val="105"/>
        </w:rPr>
        <w:t>2008,</w:t>
      </w:r>
      <w:r>
        <w:rPr>
          <w:color w:val="231F20"/>
          <w:spacing w:val="-20"/>
          <w:w w:val="105"/>
        </w:rPr>
        <w:t> </w:t>
      </w:r>
      <w:r>
        <w:rPr>
          <w:color w:val="231F20"/>
          <w:w w:val="105"/>
        </w:rPr>
        <w:t>las</w:t>
      </w:r>
      <w:r>
        <w:rPr>
          <w:color w:val="231F20"/>
          <w:spacing w:val="-20"/>
          <w:w w:val="105"/>
        </w:rPr>
        <w:t> </w:t>
      </w:r>
      <w:r>
        <w:rPr>
          <w:color w:val="231F20"/>
          <w:w w:val="105"/>
        </w:rPr>
        <w:t>cifras</w:t>
      </w:r>
      <w:r>
        <w:rPr>
          <w:color w:val="231F20"/>
          <w:spacing w:val="-20"/>
          <w:w w:val="105"/>
        </w:rPr>
        <w:t> </w:t>
      </w:r>
      <w:r>
        <w:rPr>
          <w:color w:val="231F20"/>
          <w:w w:val="105"/>
        </w:rPr>
        <w:t>revelan</w:t>
      </w:r>
      <w:r>
        <w:rPr>
          <w:color w:val="231F20"/>
          <w:spacing w:val="-20"/>
          <w:w w:val="105"/>
        </w:rPr>
        <w:t> </w:t>
      </w:r>
      <w:r>
        <w:rPr>
          <w:color w:val="231F20"/>
          <w:w w:val="105"/>
        </w:rPr>
        <w:t>un</w:t>
      </w:r>
      <w:r>
        <w:rPr>
          <w:color w:val="231F20"/>
          <w:spacing w:val="-20"/>
          <w:w w:val="105"/>
        </w:rPr>
        <w:t> </w:t>
      </w:r>
      <w:r>
        <w:rPr>
          <w:color w:val="231F20"/>
          <w:w w:val="105"/>
        </w:rPr>
        <w:t>gran</w:t>
      </w:r>
      <w:r>
        <w:rPr>
          <w:color w:val="231F20"/>
          <w:spacing w:val="-20"/>
          <w:w w:val="105"/>
        </w:rPr>
        <w:t> </w:t>
      </w:r>
      <w:r>
        <w:rPr>
          <w:color w:val="231F20"/>
          <w:w w:val="105"/>
        </w:rPr>
        <w:t>incremento</w:t>
      </w:r>
      <w:r>
        <w:rPr>
          <w:color w:val="231F20"/>
          <w:spacing w:val="-20"/>
          <w:w w:val="105"/>
        </w:rPr>
        <w:t> </w:t>
      </w:r>
      <w:r>
        <w:rPr>
          <w:color w:val="231F20"/>
          <w:w w:val="105"/>
        </w:rPr>
        <w:t>del</w:t>
      </w:r>
      <w:r>
        <w:rPr>
          <w:color w:val="231F20"/>
          <w:spacing w:val="-20"/>
          <w:w w:val="105"/>
        </w:rPr>
        <w:t> </w:t>
      </w:r>
      <w:r>
        <w:rPr>
          <w:color w:val="231F20"/>
          <w:w w:val="105"/>
        </w:rPr>
        <w:t>gasto</w:t>
      </w:r>
      <w:r>
        <w:rPr>
          <w:color w:val="231F20"/>
          <w:spacing w:val="-20"/>
          <w:w w:val="105"/>
        </w:rPr>
        <w:t> </w:t>
      </w:r>
      <w:r>
        <w:rPr>
          <w:color w:val="231F20"/>
          <w:w w:val="105"/>
        </w:rPr>
        <w:t>en</w:t>
      </w:r>
      <w:r>
        <w:rPr>
          <w:color w:val="231F20"/>
          <w:spacing w:val="-20"/>
          <w:w w:val="105"/>
        </w:rPr>
        <w:t> </w:t>
      </w:r>
      <w:r>
        <w:rPr>
          <w:color w:val="231F20"/>
          <w:w w:val="105"/>
        </w:rPr>
        <w:t>obra</w:t>
      </w:r>
      <w:r>
        <w:rPr>
          <w:color w:val="231F20"/>
          <w:spacing w:val="-20"/>
          <w:w w:val="105"/>
        </w:rPr>
        <w:t> </w:t>
      </w:r>
      <w:r>
        <w:rPr>
          <w:color w:val="231F20"/>
          <w:w w:val="105"/>
        </w:rPr>
        <w:t>pública.</w:t>
      </w:r>
      <w:r>
        <w:rPr>
          <w:color w:val="231F20"/>
          <w:spacing w:val="-20"/>
          <w:w w:val="105"/>
        </w:rPr>
        <w:t> </w:t>
      </w:r>
      <w:r>
        <w:rPr>
          <w:color w:val="231F20"/>
          <w:w w:val="105"/>
        </w:rPr>
        <w:t>Sin</w:t>
      </w:r>
      <w:r>
        <w:rPr>
          <w:color w:val="231F20"/>
          <w:spacing w:val="-20"/>
          <w:w w:val="105"/>
        </w:rPr>
        <w:t> </w:t>
      </w:r>
      <w:r>
        <w:rPr>
          <w:color w:val="231F20"/>
          <w:w w:val="105"/>
        </w:rPr>
        <w:t>embar- </w:t>
      </w:r>
      <w:r>
        <w:rPr>
          <w:color w:val="231F20"/>
          <w:spacing w:val="-3"/>
          <w:w w:val="105"/>
        </w:rPr>
        <w:t>go, </w:t>
      </w:r>
      <w:r>
        <w:rPr>
          <w:color w:val="231F20"/>
          <w:w w:val="105"/>
        </w:rPr>
        <w:t>parece ser que este aumento en buena medida se financió a costa de un mayor </w:t>
      </w:r>
      <w:r>
        <w:rPr>
          <w:color w:val="231F20"/>
          <w:spacing w:val="-2"/>
          <w:w w:val="105"/>
        </w:rPr>
        <w:t>en- </w:t>
      </w:r>
      <w:r>
        <w:rPr>
          <w:color w:val="231F20"/>
          <w:w w:val="105"/>
        </w:rPr>
        <w:t>deudamiento</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otros</w:t>
      </w:r>
      <w:r>
        <w:rPr>
          <w:color w:val="231F20"/>
          <w:spacing w:val="-18"/>
          <w:w w:val="105"/>
        </w:rPr>
        <w:t> </w:t>
      </w:r>
      <w:r>
        <w:rPr>
          <w:color w:val="231F20"/>
          <w:w w:val="105"/>
        </w:rPr>
        <w:t>rubros</w:t>
      </w:r>
      <w:r>
        <w:rPr>
          <w:color w:val="231F20"/>
          <w:spacing w:val="-18"/>
          <w:w w:val="105"/>
        </w:rPr>
        <w:t> </w:t>
      </w:r>
      <w:r>
        <w:rPr>
          <w:color w:val="231F20"/>
          <w:w w:val="105"/>
        </w:rPr>
        <w:t>no</w:t>
      </w:r>
      <w:r>
        <w:rPr>
          <w:color w:val="231F20"/>
          <w:spacing w:val="-18"/>
          <w:w w:val="105"/>
        </w:rPr>
        <w:t> </w:t>
      </w:r>
      <w:r>
        <w:rPr>
          <w:color w:val="231F20"/>
          <w:w w:val="105"/>
        </w:rPr>
        <w:t>hubo</w:t>
      </w:r>
      <w:r>
        <w:rPr>
          <w:color w:val="231F20"/>
          <w:spacing w:val="-18"/>
          <w:w w:val="105"/>
        </w:rPr>
        <w:t> </w:t>
      </w:r>
      <w:r>
        <w:rPr>
          <w:color w:val="231F20"/>
          <w:w w:val="105"/>
        </w:rPr>
        <w:t>movimientos</w:t>
      </w:r>
      <w:r>
        <w:rPr>
          <w:color w:val="231F20"/>
          <w:spacing w:val="-18"/>
          <w:w w:val="105"/>
        </w:rPr>
        <w:t> </w:t>
      </w:r>
      <w:r>
        <w:rPr>
          <w:color w:val="231F20"/>
          <w:w w:val="105"/>
        </w:rPr>
        <w:t>relevantes,</w:t>
      </w:r>
      <w:r>
        <w:rPr>
          <w:color w:val="231F20"/>
          <w:spacing w:val="-18"/>
          <w:w w:val="105"/>
        </w:rPr>
        <w:t> </w:t>
      </w:r>
      <w:r>
        <w:rPr>
          <w:color w:val="231F20"/>
          <w:w w:val="105"/>
        </w:rPr>
        <w:t>por</w:t>
      </w:r>
      <w:r>
        <w:rPr>
          <w:color w:val="231F20"/>
          <w:spacing w:val="-18"/>
          <w:w w:val="105"/>
        </w:rPr>
        <w:t> </w:t>
      </w:r>
      <w:r>
        <w:rPr>
          <w:color w:val="231F20"/>
          <w:w w:val="105"/>
        </w:rPr>
        <w:t>lo que</w:t>
      </w:r>
      <w:r>
        <w:rPr>
          <w:color w:val="231F20"/>
          <w:spacing w:val="-10"/>
          <w:w w:val="105"/>
        </w:rPr>
        <w:t> </w:t>
      </w:r>
      <w:r>
        <w:rPr>
          <w:color w:val="231F20"/>
          <w:w w:val="105"/>
        </w:rPr>
        <w:t>es</w:t>
      </w:r>
      <w:r>
        <w:rPr>
          <w:color w:val="231F20"/>
          <w:spacing w:val="-10"/>
          <w:w w:val="105"/>
        </w:rPr>
        <w:t> </w:t>
      </w:r>
      <w:r>
        <w:rPr>
          <w:color w:val="231F20"/>
          <w:w w:val="105"/>
        </w:rPr>
        <w:t>posible</w:t>
      </w:r>
      <w:r>
        <w:rPr>
          <w:color w:val="231F20"/>
          <w:spacing w:val="-10"/>
          <w:w w:val="105"/>
        </w:rPr>
        <w:t> </w:t>
      </w:r>
      <w:r>
        <w:rPr>
          <w:color w:val="231F20"/>
          <w:spacing w:val="2"/>
          <w:w w:val="105"/>
        </w:rPr>
        <w:t>afirmar</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gobierno</w:t>
      </w:r>
      <w:r>
        <w:rPr>
          <w:color w:val="231F20"/>
          <w:spacing w:val="-10"/>
          <w:w w:val="105"/>
        </w:rPr>
        <w:t> </w:t>
      </w:r>
      <w:r>
        <w:rPr>
          <w:color w:val="231F20"/>
          <w:w w:val="105"/>
        </w:rPr>
        <w:t>panista</w:t>
      </w:r>
      <w:r>
        <w:rPr>
          <w:color w:val="231F20"/>
          <w:spacing w:val="-10"/>
          <w:w w:val="105"/>
        </w:rPr>
        <w:t> </w:t>
      </w:r>
      <w:r>
        <w:rPr>
          <w:color w:val="231F20"/>
          <w:w w:val="105"/>
        </w:rPr>
        <w:t>apostó</w:t>
      </w:r>
      <w:r>
        <w:rPr>
          <w:color w:val="231F20"/>
          <w:spacing w:val="-10"/>
          <w:w w:val="105"/>
        </w:rPr>
        <w:t> </w:t>
      </w:r>
      <w:r>
        <w:rPr>
          <w:color w:val="231F20"/>
          <w:w w:val="105"/>
        </w:rPr>
        <w:t>a</w:t>
      </w:r>
      <w:r>
        <w:rPr>
          <w:color w:val="231F20"/>
          <w:spacing w:val="-10"/>
          <w:w w:val="105"/>
        </w:rPr>
        <w:t> </w:t>
      </w:r>
      <w:r>
        <w:rPr>
          <w:color w:val="231F20"/>
          <w:w w:val="105"/>
        </w:rPr>
        <w:t>un</w:t>
      </w:r>
      <w:r>
        <w:rPr>
          <w:color w:val="231F20"/>
          <w:spacing w:val="-10"/>
          <w:w w:val="105"/>
        </w:rPr>
        <w:t> </w:t>
      </w:r>
      <w:r>
        <w:rPr>
          <w:color w:val="231F20"/>
          <w:w w:val="105"/>
        </w:rPr>
        <w:t>gran</w:t>
      </w:r>
      <w:r>
        <w:rPr>
          <w:color w:val="231F20"/>
          <w:spacing w:val="-10"/>
          <w:w w:val="105"/>
        </w:rPr>
        <w:t> </w:t>
      </w:r>
      <w:r>
        <w:rPr>
          <w:color w:val="231F20"/>
          <w:w w:val="105"/>
        </w:rPr>
        <w:t>gasto</w:t>
      </w:r>
      <w:r>
        <w:rPr>
          <w:color w:val="231F20"/>
          <w:spacing w:val="-10"/>
          <w:w w:val="105"/>
        </w:rPr>
        <w:t> </w:t>
      </w:r>
      <w:r>
        <w:rPr>
          <w:color w:val="231F20"/>
          <w:w w:val="105"/>
        </w:rPr>
        <w:t>en</w:t>
      </w:r>
      <w:r>
        <w:rPr>
          <w:color w:val="231F20"/>
          <w:spacing w:val="-10"/>
          <w:w w:val="105"/>
        </w:rPr>
        <w:t> </w:t>
      </w:r>
      <w:r>
        <w:rPr>
          <w:color w:val="231F20"/>
          <w:w w:val="105"/>
        </w:rPr>
        <w:t>obras</w:t>
      </w:r>
      <w:r>
        <w:rPr>
          <w:color w:val="231F20"/>
          <w:spacing w:val="-10"/>
          <w:w w:val="105"/>
        </w:rPr>
        <w:t> </w:t>
      </w:r>
      <w:r>
        <w:rPr>
          <w:color w:val="231F20"/>
          <w:w w:val="105"/>
        </w:rPr>
        <w:t>públicas para</w:t>
      </w:r>
      <w:r>
        <w:rPr>
          <w:color w:val="231F20"/>
          <w:spacing w:val="-14"/>
          <w:w w:val="105"/>
        </w:rPr>
        <w:t> </w:t>
      </w:r>
      <w:r>
        <w:rPr>
          <w:color w:val="231F20"/>
          <w:w w:val="105"/>
        </w:rPr>
        <w:t>asegurar</w:t>
      </w:r>
      <w:r>
        <w:rPr>
          <w:color w:val="231F20"/>
          <w:spacing w:val="-14"/>
          <w:w w:val="105"/>
        </w:rPr>
        <w:t> </w:t>
      </w:r>
      <w:r>
        <w:rPr>
          <w:color w:val="231F20"/>
          <w:w w:val="105"/>
        </w:rPr>
        <w:t>la</w:t>
      </w:r>
      <w:r>
        <w:rPr>
          <w:color w:val="231F20"/>
          <w:spacing w:val="-14"/>
          <w:w w:val="105"/>
        </w:rPr>
        <w:t> </w:t>
      </w:r>
      <w:r>
        <w:rPr>
          <w:color w:val="231F20"/>
          <w:w w:val="105"/>
        </w:rPr>
        <w:t>lealtad</w:t>
      </w:r>
      <w:r>
        <w:rPr>
          <w:color w:val="231F20"/>
          <w:spacing w:val="-14"/>
          <w:w w:val="105"/>
        </w:rPr>
        <w:t> </w:t>
      </w:r>
      <w:r>
        <w:rPr>
          <w:color w:val="231F20"/>
          <w:w w:val="105"/>
        </w:rPr>
        <w:t>del</w:t>
      </w:r>
      <w:r>
        <w:rPr>
          <w:color w:val="231F20"/>
          <w:spacing w:val="-14"/>
          <w:w w:val="105"/>
        </w:rPr>
        <w:t> </w:t>
      </w:r>
      <w:r>
        <w:rPr>
          <w:color w:val="231F20"/>
          <w:w w:val="105"/>
        </w:rPr>
        <w:t>electorado.</w:t>
      </w:r>
      <w:r>
        <w:rPr>
          <w:color w:val="231F20"/>
          <w:spacing w:val="-14"/>
          <w:w w:val="105"/>
        </w:rPr>
        <w:t> </w:t>
      </w:r>
      <w:r>
        <w:rPr>
          <w:color w:val="231F20"/>
          <w:w w:val="105"/>
        </w:rPr>
        <w:t>Llama</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segundo</w:t>
      </w:r>
      <w:r>
        <w:rPr>
          <w:color w:val="231F20"/>
          <w:spacing w:val="-14"/>
          <w:w w:val="105"/>
        </w:rPr>
        <w:t> </w:t>
      </w:r>
      <w:r>
        <w:rPr>
          <w:color w:val="231F20"/>
          <w:w w:val="105"/>
        </w:rPr>
        <w:t>informe</w:t>
      </w:r>
      <w:r>
        <w:rPr>
          <w:color w:val="231F20"/>
          <w:spacing w:val="-14"/>
          <w:w w:val="105"/>
        </w:rPr>
        <w:t> </w:t>
      </w:r>
      <w:r>
        <w:rPr>
          <w:color w:val="231F20"/>
          <w:w w:val="105"/>
        </w:rPr>
        <w:t>de labores</w:t>
      </w:r>
      <w:r>
        <w:rPr>
          <w:color w:val="231F20"/>
          <w:spacing w:val="-10"/>
          <w:w w:val="105"/>
        </w:rPr>
        <w:t> </w:t>
      </w:r>
      <w:r>
        <w:rPr>
          <w:color w:val="231F20"/>
          <w:w w:val="105"/>
        </w:rPr>
        <w:t>el</w:t>
      </w:r>
      <w:r>
        <w:rPr>
          <w:color w:val="231F20"/>
          <w:spacing w:val="-10"/>
          <w:w w:val="105"/>
        </w:rPr>
        <w:t> </w:t>
      </w:r>
      <w:r>
        <w:rPr>
          <w:color w:val="231F20"/>
          <w:w w:val="105"/>
        </w:rPr>
        <w:t>presidente</w:t>
      </w:r>
      <w:r>
        <w:rPr>
          <w:color w:val="231F20"/>
          <w:spacing w:val="-10"/>
          <w:w w:val="105"/>
        </w:rPr>
        <w:t> </w:t>
      </w:r>
      <w:r>
        <w:rPr>
          <w:color w:val="231F20"/>
          <w:w w:val="105"/>
        </w:rPr>
        <w:t>municipal</w:t>
      </w:r>
      <w:r>
        <w:rPr>
          <w:color w:val="231F20"/>
          <w:spacing w:val="-10"/>
          <w:w w:val="105"/>
        </w:rPr>
        <w:t> </w:t>
      </w:r>
      <w:r>
        <w:rPr>
          <w:color w:val="231F20"/>
          <w:w w:val="105"/>
        </w:rPr>
        <w:t>no</w:t>
      </w:r>
      <w:r>
        <w:rPr>
          <w:color w:val="231F20"/>
          <w:spacing w:val="-10"/>
          <w:w w:val="105"/>
        </w:rPr>
        <w:t> </w:t>
      </w:r>
      <w:r>
        <w:rPr>
          <w:color w:val="231F20"/>
          <w:w w:val="105"/>
        </w:rPr>
        <w:t>haya</w:t>
      </w:r>
      <w:r>
        <w:rPr>
          <w:color w:val="231F20"/>
          <w:spacing w:val="-10"/>
          <w:w w:val="105"/>
        </w:rPr>
        <w:t> </w:t>
      </w:r>
      <w:r>
        <w:rPr>
          <w:color w:val="231F20"/>
          <w:w w:val="105"/>
        </w:rPr>
        <w:t>ponderado</w:t>
      </w:r>
      <w:r>
        <w:rPr>
          <w:color w:val="231F20"/>
          <w:spacing w:val="-10"/>
          <w:w w:val="105"/>
        </w:rPr>
        <w:t> </w:t>
      </w:r>
      <w:r>
        <w:rPr>
          <w:color w:val="231F20"/>
          <w:w w:val="105"/>
        </w:rPr>
        <w:t>esta</w:t>
      </w:r>
      <w:r>
        <w:rPr>
          <w:color w:val="231F20"/>
          <w:spacing w:val="-10"/>
          <w:w w:val="105"/>
        </w:rPr>
        <w:t> </w:t>
      </w:r>
      <w:r>
        <w:rPr>
          <w:color w:val="231F20"/>
          <w:w w:val="105"/>
        </w:rPr>
        <w:t>erogación;</w:t>
      </w:r>
      <w:r>
        <w:rPr>
          <w:color w:val="231F20"/>
          <w:spacing w:val="-10"/>
          <w:w w:val="105"/>
        </w:rPr>
        <w:t> </w:t>
      </w:r>
      <w:r>
        <w:rPr>
          <w:color w:val="231F20"/>
          <w:w w:val="105"/>
        </w:rPr>
        <w:t>probablemente</w:t>
      </w:r>
      <w:r>
        <w:rPr>
          <w:color w:val="231F20"/>
          <w:spacing w:val="-10"/>
          <w:w w:val="105"/>
        </w:rPr>
        <w:t> </w:t>
      </w:r>
      <w:r>
        <w:rPr>
          <w:color w:val="231F20"/>
          <w:spacing w:val="-3"/>
          <w:w w:val="105"/>
        </w:rPr>
        <w:t>por-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recursos</w:t>
      </w:r>
      <w:r>
        <w:rPr>
          <w:color w:val="231F20"/>
          <w:spacing w:val="-16"/>
          <w:w w:val="105"/>
        </w:rPr>
        <w:t> </w:t>
      </w:r>
      <w:r>
        <w:rPr>
          <w:color w:val="231F20"/>
          <w:w w:val="105"/>
        </w:rPr>
        <w:t>no</w:t>
      </w:r>
      <w:r>
        <w:rPr>
          <w:color w:val="231F20"/>
          <w:spacing w:val="-16"/>
          <w:w w:val="105"/>
        </w:rPr>
        <w:t> </w:t>
      </w:r>
      <w:r>
        <w:rPr>
          <w:color w:val="231F20"/>
          <w:w w:val="105"/>
        </w:rPr>
        <w:t>hicieron</w:t>
      </w:r>
      <w:r>
        <w:rPr>
          <w:color w:val="231F20"/>
          <w:spacing w:val="-16"/>
          <w:w w:val="105"/>
        </w:rPr>
        <w:t> </w:t>
      </w:r>
      <w:r>
        <w:rPr>
          <w:color w:val="231F20"/>
          <w:w w:val="105"/>
        </w:rPr>
        <w:t>sino</w:t>
      </w:r>
      <w:r>
        <w:rPr>
          <w:color w:val="231F20"/>
          <w:spacing w:val="-16"/>
          <w:w w:val="105"/>
        </w:rPr>
        <w:t> </w:t>
      </w:r>
      <w:r>
        <w:rPr>
          <w:color w:val="231F20"/>
          <w:w w:val="105"/>
        </w:rPr>
        <w:t>aumentar</w:t>
      </w:r>
      <w:r>
        <w:rPr>
          <w:color w:val="231F20"/>
          <w:spacing w:val="-16"/>
          <w:w w:val="105"/>
        </w:rPr>
        <w:t> </w:t>
      </w:r>
      <w:r>
        <w:rPr>
          <w:color w:val="231F20"/>
          <w:w w:val="105"/>
        </w:rPr>
        <w:t>la</w:t>
      </w:r>
      <w:r>
        <w:rPr>
          <w:color w:val="231F20"/>
          <w:spacing w:val="-16"/>
          <w:w w:val="105"/>
        </w:rPr>
        <w:t> </w:t>
      </w:r>
      <w:r>
        <w:rPr>
          <w:color w:val="231F20"/>
          <w:w w:val="105"/>
        </w:rPr>
        <w:t>deuda</w:t>
      </w:r>
      <w:r>
        <w:rPr>
          <w:color w:val="231F20"/>
          <w:spacing w:val="-16"/>
          <w:w w:val="105"/>
        </w:rPr>
        <w:t> </w:t>
      </w:r>
      <w:r>
        <w:rPr>
          <w:color w:val="231F20"/>
          <w:w w:val="105"/>
        </w:rPr>
        <w:t>pública</w:t>
      </w:r>
      <w:r>
        <w:rPr>
          <w:color w:val="231F20"/>
          <w:spacing w:val="-16"/>
          <w:w w:val="105"/>
        </w:rPr>
        <w:t> </w:t>
      </w:r>
      <w:r>
        <w:rPr>
          <w:color w:val="231F20"/>
          <w:w w:val="105"/>
        </w:rPr>
        <w:t>para</w:t>
      </w:r>
      <w:r>
        <w:rPr>
          <w:color w:val="231F20"/>
          <w:spacing w:val="-16"/>
          <w:w w:val="105"/>
        </w:rPr>
        <w:t> </w:t>
      </w:r>
      <w:r>
        <w:rPr>
          <w:color w:val="231F20"/>
          <w:spacing w:val="2"/>
          <w:w w:val="105"/>
        </w:rPr>
        <w:t>futuras</w:t>
      </w:r>
      <w:r>
        <w:rPr>
          <w:color w:val="231F20"/>
          <w:spacing w:val="-16"/>
          <w:w w:val="105"/>
        </w:rPr>
        <w:t> </w:t>
      </w:r>
      <w:r>
        <w:rPr>
          <w:color w:val="231F20"/>
          <w:w w:val="105"/>
        </w:rPr>
        <w:t>administracio- nes.</w:t>
      </w:r>
      <w:r>
        <w:rPr>
          <w:color w:val="231F20"/>
          <w:spacing w:val="-10"/>
          <w:w w:val="105"/>
        </w:rPr>
        <w:t> </w:t>
      </w:r>
      <w:r>
        <w:rPr>
          <w:color w:val="231F20"/>
          <w:spacing w:val="-4"/>
          <w:w w:val="105"/>
        </w:rPr>
        <w:t>Tal</w:t>
      </w:r>
      <w:r>
        <w:rPr>
          <w:color w:val="231F20"/>
          <w:spacing w:val="-10"/>
          <w:w w:val="105"/>
        </w:rPr>
        <w:t> </w:t>
      </w:r>
      <w:r>
        <w:rPr>
          <w:color w:val="231F20"/>
          <w:w w:val="105"/>
        </w:rPr>
        <w:t>acción</w:t>
      </w:r>
      <w:r>
        <w:rPr>
          <w:color w:val="231F20"/>
          <w:spacing w:val="-10"/>
          <w:w w:val="105"/>
        </w:rPr>
        <w:t> </w:t>
      </w:r>
      <w:r>
        <w:rPr>
          <w:color w:val="231F20"/>
          <w:w w:val="105"/>
        </w:rPr>
        <w:t>de</w:t>
      </w:r>
      <w:r>
        <w:rPr>
          <w:color w:val="231F20"/>
          <w:spacing w:val="-10"/>
          <w:w w:val="105"/>
        </w:rPr>
        <w:t> </w:t>
      </w:r>
      <w:r>
        <w:rPr>
          <w:color w:val="231F20"/>
          <w:w w:val="105"/>
        </w:rPr>
        <w:t>gobierno</w:t>
      </w:r>
      <w:r>
        <w:rPr>
          <w:color w:val="231F20"/>
          <w:spacing w:val="-10"/>
          <w:w w:val="105"/>
        </w:rPr>
        <w:t> </w:t>
      </w:r>
      <w:r>
        <w:rPr>
          <w:color w:val="231F20"/>
          <w:w w:val="105"/>
        </w:rPr>
        <w:t>contradijo</w:t>
      </w:r>
      <w:r>
        <w:rPr>
          <w:color w:val="231F20"/>
          <w:spacing w:val="-10"/>
          <w:w w:val="105"/>
        </w:rPr>
        <w:t> </w:t>
      </w:r>
      <w:r>
        <w:rPr>
          <w:color w:val="231F20"/>
          <w:w w:val="105"/>
        </w:rPr>
        <w:t>el</w:t>
      </w:r>
      <w:r>
        <w:rPr>
          <w:color w:val="231F20"/>
          <w:spacing w:val="-10"/>
          <w:w w:val="105"/>
        </w:rPr>
        <w:t> </w:t>
      </w:r>
      <w:r>
        <w:rPr>
          <w:color w:val="231F20"/>
          <w:w w:val="105"/>
        </w:rPr>
        <w:t>ideario</w:t>
      </w:r>
      <w:r>
        <w:rPr>
          <w:color w:val="231F20"/>
          <w:spacing w:val="-10"/>
          <w:w w:val="105"/>
        </w:rPr>
        <w:t> </w:t>
      </w:r>
      <w:r>
        <w:rPr>
          <w:color w:val="231F20"/>
          <w:w w:val="105"/>
        </w:rPr>
        <w:t>panista</w:t>
      </w:r>
      <w:r>
        <w:rPr>
          <w:color w:val="231F20"/>
          <w:spacing w:val="-10"/>
          <w:w w:val="105"/>
        </w:rPr>
        <w:t> </w:t>
      </w:r>
      <w:r>
        <w:rPr>
          <w:color w:val="231F20"/>
          <w:w w:val="105"/>
        </w:rPr>
        <w:t>de</w:t>
      </w:r>
      <w:r>
        <w:rPr>
          <w:color w:val="231F20"/>
          <w:spacing w:val="-10"/>
          <w:w w:val="105"/>
        </w:rPr>
        <w:t> </w:t>
      </w:r>
      <w:r>
        <w:rPr>
          <w:color w:val="231F20"/>
          <w:spacing w:val="-3"/>
          <w:w w:val="105"/>
        </w:rPr>
        <w:t>mucho</w:t>
      </w:r>
      <w:r>
        <w:rPr>
          <w:color w:val="231F20"/>
          <w:spacing w:val="-10"/>
          <w:w w:val="105"/>
        </w:rPr>
        <w:t> </w:t>
      </w:r>
      <w:r>
        <w:rPr>
          <w:color w:val="231F20"/>
          <w:w w:val="105"/>
        </w:rPr>
        <w:t>tiempo,</w:t>
      </w:r>
      <w:r>
        <w:rPr>
          <w:color w:val="231F20"/>
          <w:spacing w:val="-10"/>
          <w:w w:val="105"/>
        </w:rPr>
        <w:t> </w:t>
      </w:r>
      <w:r>
        <w:rPr>
          <w:color w:val="231F20"/>
          <w:w w:val="105"/>
        </w:rPr>
        <w:t>que</w:t>
      </w:r>
      <w:r>
        <w:rPr>
          <w:color w:val="231F20"/>
          <w:spacing w:val="-10"/>
          <w:w w:val="105"/>
        </w:rPr>
        <w:t> </w:t>
      </w:r>
      <w:r>
        <w:rPr>
          <w:color w:val="231F20"/>
          <w:w w:val="105"/>
        </w:rPr>
        <w:t>concibe un</w:t>
      </w:r>
      <w:r>
        <w:rPr>
          <w:color w:val="231F20"/>
          <w:spacing w:val="-23"/>
          <w:w w:val="105"/>
        </w:rPr>
        <w:t> </w:t>
      </w:r>
      <w:r>
        <w:rPr>
          <w:color w:val="231F20"/>
          <w:w w:val="105"/>
        </w:rPr>
        <w:t>estado</w:t>
      </w:r>
      <w:r>
        <w:rPr>
          <w:color w:val="231F20"/>
          <w:spacing w:val="-23"/>
          <w:w w:val="105"/>
        </w:rPr>
        <w:t> </w:t>
      </w:r>
      <w:r>
        <w:rPr>
          <w:color w:val="231F20"/>
          <w:w w:val="105"/>
        </w:rPr>
        <w:t>reducido</w:t>
      </w:r>
      <w:r>
        <w:rPr>
          <w:color w:val="231F20"/>
          <w:spacing w:val="-23"/>
          <w:w w:val="105"/>
        </w:rPr>
        <w:t> </w:t>
      </w:r>
      <w:r>
        <w:rPr>
          <w:color w:val="231F20"/>
          <w:w w:val="105"/>
        </w:rPr>
        <w:t>y</w:t>
      </w:r>
      <w:r>
        <w:rPr>
          <w:color w:val="231F20"/>
          <w:spacing w:val="-23"/>
          <w:w w:val="105"/>
        </w:rPr>
        <w:t> </w:t>
      </w:r>
      <w:r>
        <w:rPr>
          <w:color w:val="231F20"/>
          <w:w w:val="105"/>
        </w:rPr>
        <w:t>eficiente,</w:t>
      </w:r>
      <w:r>
        <w:rPr>
          <w:color w:val="231F20"/>
          <w:spacing w:val="-23"/>
          <w:w w:val="105"/>
        </w:rPr>
        <w:t> </w:t>
      </w:r>
      <w:r>
        <w:rPr>
          <w:color w:val="231F20"/>
          <w:w w:val="105"/>
        </w:rPr>
        <w:t>no</w:t>
      </w:r>
      <w:r>
        <w:rPr>
          <w:color w:val="231F20"/>
          <w:spacing w:val="-23"/>
          <w:w w:val="105"/>
        </w:rPr>
        <w:t> </w:t>
      </w:r>
      <w:r>
        <w:rPr>
          <w:color w:val="231F20"/>
          <w:w w:val="105"/>
        </w:rPr>
        <w:t>comprometido</w:t>
      </w:r>
      <w:r>
        <w:rPr>
          <w:color w:val="231F20"/>
          <w:spacing w:val="-23"/>
          <w:w w:val="105"/>
        </w:rPr>
        <w:t> </w:t>
      </w:r>
      <w:r>
        <w:rPr>
          <w:color w:val="231F20"/>
          <w:w w:val="105"/>
        </w:rPr>
        <w:t>con</w:t>
      </w:r>
      <w:r>
        <w:rPr>
          <w:color w:val="231F20"/>
          <w:spacing w:val="-23"/>
          <w:w w:val="105"/>
        </w:rPr>
        <w:t> </w:t>
      </w:r>
      <w:r>
        <w:rPr>
          <w:color w:val="231F20"/>
          <w:w w:val="105"/>
        </w:rPr>
        <w:t>gasto</w:t>
      </w:r>
      <w:r>
        <w:rPr>
          <w:color w:val="231F20"/>
          <w:spacing w:val="-23"/>
          <w:w w:val="105"/>
        </w:rPr>
        <w:t> </w:t>
      </w:r>
      <w:r>
        <w:rPr>
          <w:color w:val="231F20"/>
          <w:w w:val="105"/>
        </w:rPr>
        <w:t>excesivo</w:t>
      </w:r>
      <w:r>
        <w:rPr>
          <w:color w:val="231F20"/>
          <w:spacing w:val="-23"/>
          <w:w w:val="105"/>
        </w:rPr>
        <w:t> </w:t>
      </w:r>
      <w:r>
        <w:rPr>
          <w:color w:val="231F20"/>
          <w:w w:val="105"/>
        </w:rPr>
        <w:t>a</w:t>
      </w:r>
      <w:r>
        <w:rPr>
          <w:color w:val="231F20"/>
          <w:spacing w:val="-23"/>
          <w:w w:val="105"/>
        </w:rPr>
        <w:t> </w:t>
      </w:r>
      <w:r>
        <w:rPr>
          <w:color w:val="231F20"/>
          <w:w w:val="105"/>
        </w:rPr>
        <w:t>costa</w:t>
      </w:r>
      <w:r>
        <w:rPr>
          <w:color w:val="231F20"/>
          <w:spacing w:val="-23"/>
          <w:w w:val="105"/>
        </w:rPr>
        <w:t> </w:t>
      </w:r>
      <w:r>
        <w:rPr>
          <w:color w:val="231F20"/>
          <w:w w:val="105"/>
        </w:rPr>
        <w:t>de</w:t>
      </w:r>
      <w:r>
        <w:rPr>
          <w:color w:val="231F20"/>
          <w:spacing w:val="-23"/>
          <w:w w:val="105"/>
        </w:rPr>
        <w:t> </w:t>
      </w:r>
      <w:r>
        <w:rPr>
          <w:color w:val="231F20"/>
          <w:w w:val="105"/>
        </w:rPr>
        <w:t>déficit</w:t>
      </w:r>
      <w:r>
        <w:rPr>
          <w:color w:val="231F20"/>
          <w:spacing w:val="-23"/>
          <w:w w:val="105"/>
        </w:rPr>
        <w:t> </w:t>
      </w:r>
      <w:r>
        <w:rPr>
          <w:color w:val="231F20"/>
          <w:w w:val="105"/>
        </w:rPr>
        <w:t>en las</w:t>
      </w:r>
      <w:r>
        <w:rPr>
          <w:color w:val="231F20"/>
          <w:spacing w:val="-21"/>
          <w:w w:val="105"/>
        </w:rPr>
        <w:t> </w:t>
      </w:r>
      <w:r>
        <w:rPr>
          <w:color w:val="231F20"/>
          <w:spacing w:val="2"/>
          <w:w w:val="105"/>
        </w:rPr>
        <w:t>finanzas</w:t>
      </w:r>
      <w:r>
        <w:rPr>
          <w:color w:val="231F20"/>
          <w:spacing w:val="-21"/>
          <w:w w:val="105"/>
        </w:rPr>
        <w:t> </w:t>
      </w:r>
      <w:r>
        <w:rPr>
          <w:color w:val="231F20"/>
          <w:w w:val="105"/>
        </w:rPr>
        <w:t>públicas.</w:t>
      </w:r>
      <w:r>
        <w:rPr>
          <w:color w:val="231F20"/>
          <w:spacing w:val="-21"/>
          <w:w w:val="105"/>
        </w:rPr>
        <w:t> </w:t>
      </w:r>
      <w:r>
        <w:rPr>
          <w:color w:val="231F20"/>
          <w:w w:val="105"/>
        </w:rPr>
        <w:t>De</w:t>
      </w:r>
      <w:r>
        <w:rPr>
          <w:color w:val="231F20"/>
          <w:spacing w:val="-21"/>
          <w:w w:val="105"/>
        </w:rPr>
        <w:t> </w:t>
      </w:r>
      <w:r>
        <w:rPr>
          <w:color w:val="231F20"/>
          <w:w w:val="105"/>
        </w:rPr>
        <w:t>nuevo</w:t>
      </w:r>
      <w:r>
        <w:rPr>
          <w:color w:val="231F20"/>
          <w:spacing w:val="-21"/>
          <w:w w:val="105"/>
        </w:rPr>
        <w:t> </w:t>
      </w:r>
      <w:r>
        <w:rPr>
          <w:color w:val="231F20"/>
          <w:w w:val="105"/>
        </w:rPr>
        <w:t>se</w:t>
      </w:r>
      <w:r>
        <w:rPr>
          <w:color w:val="231F20"/>
          <w:spacing w:val="-21"/>
          <w:w w:val="105"/>
        </w:rPr>
        <w:t> </w:t>
      </w:r>
      <w:r>
        <w:rPr>
          <w:color w:val="231F20"/>
          <w:w w:val="105"/>
        </w:rPr>
        <w:t>presume</w:t>
      </w:r>
      <w:r>
        <w:rPr>
          <w:color w:val="231F20"/>
          <w:spacing w:val="-21"/>
          <w:w w:val="105"/>
        </w:rPr>
        <w:t> </w:t>
      </w:r>
      <w:r>
        <w:rPr>
          <w:color w:val="231F20"/>
          <w:w w:val="105"/>
        </w:rPr>
        <w:t>una</w:t>
      </w:r>
      <w:r>
        <w:rPr>
          <w:color w:val="231F20"/>
          <w:spacing w:val="-21"/>
          <w:w w:val="105"/>
        </w:rPr>
        <w:t> </w:t>
      </w:r>
      <w:r>
        <w:rPr>
          <w:color w:val="231F20"/>
          <w:w w:val="105"/>
        </w:rPr>
        <w:t>lógica</w:t>
      </w:r>
      <w:r>
        <w:rPr>
          <w:color w:val="231F20"/>
          <w:spacing w:val="-21"/>
          <w:w w:val="105"/>
        </w:rPr>
        <w:t> </w:t>
      </w:r>
      <w:r>
        <w:rPr>
          <w:color w:val="231F20"/>
          <w:w w:val="105"/>
        </w:rPr>
        <w:t>electoral</w:t>
      </w:r>
      <w:r>
        <w:rPr>
          <w:color w:val="231F20"/>
          <w:spacing w:val="-21"/>
          <w:w w:val="105"/>
        </w:rPr>
        <w:t> </w:t>
      </w:r>
      <w:r>
        <w:rPr>
          <w:color w:val="231F20"/>
          <w:w w:val="105"/>
        </w:rPr>
        <w:t>en</w:t>
      </w:r>
      <w:r>
        <w:rPr>
          <w:color w:val="231F20"/>
          <w:spacing w:val="-21"/>
          <w:w w:val="105"/>
        </w:rPr>
        <w:t> </w:t>
      </w:r>
      <w:r>
        <w:rPr>
          <w:color w:val="231F20"/>
          <w:w w:val="105"/>
        </w:rPr>
        <w:t>este</w:t>
      </w:r>
      <w:r>
        <w:rPr>
          <w:color w:val="231F20"/>
          <w:spacing w:val="-21"/>
          <w:w w:val="105"/>
        </w:rPr>
        <w:t> </w:t>
      </w:r>
      <w:r>
        <w:rPr>
          <w:color w:val="231F20"/>
          <w:w w:val="105"/>
        </w:rPr>
        <w:t>comportamiento insólito</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panista</w:t>
      </w:r>
      <w:r>
        <w:rPr>
          <w:color w:val="231F20"/>
          <w:spacing w:val="-12"/>
          <w:w w:val="105"/>
        </w:rPr>
        <w:t> </w:t>
      </w:r>
      <w:r>
        <w:rPr>
          <w:color w:val="231F20"/>
          <w:w w:val="105"/>
        </w:rPr>
        <w:t>en</w:t>
      </w:r>
      <w:r>
        <w:rPr>
          <w:color w:val="231F20"/>
          <w:spacing w:val="-12"/>
          <w:w w:val="105"/>
        </w:rPr>
        <w:t> </w:t>
      </w:r>
      <w:r>
        <w:rPr>
          <w:color w:val="231F20"/>
          <w:w w:val="105"/>
        </w:rPr>
        <w:t>Naucalpan.</w:t>
      </w:r>
    </w:p>
    <w:p>
      <w:pPr>
        <w:pStyle w:val="BodyText"/>
        <w:spacing w:before="1"/>
        <w:rPr>
          <w:sz w:val="26"/>
        </w:rPr>
      </w:pPr>
    </w:p>
    <w:p>
      <w:pPr>
        <w:pStyle w:val="Heading5"/>
        <w:spacing w:after="31"/>
        <w:ind w:left="1249" w:right="340"/>
      </w:pPr>
      <w:r>
        <w:rPr>
          <w:color w:val="231F20"/>
          <w:w w:val="105"/>
        </w:rPr>
        <w:t>Tabla 19. Egresos anuales. Naucalpan de Juárez 2006-2008</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44"/>
        <w:gridCol w:w="1800"/>
        <w:gridCol w:w="1738"/>
        <w:gridCol w:w="1751"/>
      </w:tblGrid>
      <w:tr>
        <w:trPr>
          <w:trHeight w:val="322" w:hRule="exact"/>
        </w:trPr>
        <w:tc>
          <w:tcPr>
            <w:tcW w:w="2644" w:type="dxa"/>
          </w:tcPr>
          <w:p>
            <w:pPr/>
          </w:p>
        </w:tc>
        <w:tc>
          <w:tcPr>
            <w:tcW w:w="1800" w:type="dxa"/>
          </w:tcPr>
          <w:p>
            <w:pPr>
              <w:pStyle w:val="TableParagraph"/>
              <w:spacing w:line="163" w:lineRule="exact"/>
              <w:ind w:left="102" w:right="-9"/>
              <w:rPr>
                <w:sz w:val="16"/>
              </w:rPr>
            </w:pPr>
            <w:r>
              <w:rPr>
                <w:color w:val="231F20"/>
                <w:w w:val="85"/>
                <w:sz w:val="16"/>
              </w:rPr>
              <w:t>2006</w:t>
            </w:r>
          </w:p>
        </w:tc>
        <w:tc>
          <w:tcPr>
            <w:tcW w:w="1738" w:type="dxa"/>
          </w:tcPr>
          <w:p>
            <w:pPr>
              <w:pStyle w:val="TableParagraph"/>
              <w:spacing w:line="163" w:lineRule="exact"/>
              <w:ind w:left="102"/>
              <w:rPr>
                <w:sz w:val="16"/>
              </w:rPr>
            </w:pPr>
            <w:r>
              <w:rPr>
                <w:color w:val="231F20"/>
                <w:w w:val="85"/>
                <w:sz w:val="16"/>
              </w:rPr>
              <w:t>2007</w:t>
            </w:r>
          </w:p>
        </w:tc>
        <w:tc>
          <w:tcPr>
            <w:tcW w:w="1751" w:type="dxa"/>
          </w:tcPr>
          <w:p>
            <w:pPr>
              <w:pStyle w:val="TableParagraph"/>
              <w:spacing w:line="163" w:lineRule="exact"/>
              <w:ind w:left="102"/>
              <w:rPr>
                <w:sz w:val="16"/>
              </w:rPr>
            </w:pPr>
            <w:r>
              <w:rPr>
                <w:color w:val="231F20"/>
                <w:w w:val="85"/>
                <w:sz w:val="16"/>
              </w:rPr>
              <w:t>2008</w:t>
            </w:r>
          </w:p>
        </w:tc>
      </w:tr>
      <w:tr>
        <w:trPr>
          <w:trHeight w:val="322" w:hRule="exact"/>
        </w:trPr>
        <w:tc>
          <w:tcPr>
            <w:tcW w:w="2644" w:type="dxa"/>
          </w:tcPr>
          <w:p>
            <w:pPr>
              <w:pStyle w:val="TableParagraph"/>
              <w:spacing w:line="163" w:lineRule="exact"/>
              <w:ind w:left="102"/>
              <w:rPr>
                <w:sz w:val="16"/>
              </w:rPr>
            </w:pPr>
            <w:r>
              <w:rPr>
                <w:color w:val="231F20"/>
                <w:w w:val="85"/>
                <w:sz w:val="16"/>
              </w:rPr>
              <w:t>Total</w:t>
            </w:r>
          </w:p>
        </w:tc>
        <w:tc>
          <w:tcPr>
            <w:tcW w:w="1800" w:type="dxa"/>
          </w:tcPr>
          <w:p>
            <w:pPr>
              <w:pStyle w:val="TableParagraph"/>
              <w:spacing w:line="163" w:lineRule="exact"/>
              <w:ind w:left="102" w:right="-9"/>
              <w:rPr>
                <w:sz w:val="16"/>
              </w:rPr>
            </w:pPr>
            <w:r>
              <w:rPr>
                <w:color w:val="231F20"/>
                <w:w w:val="85"/>
                <w:sz w:val="16"/>
              </w:rPr>
              <w:t>1,832,660,310</w:t>
            </w:r>
          </w:p>
        </w:tc>
        <w:tc>
          <w:tcPr>
            <w:tcW w:w="1738" w:type="dxa"/>
          </w:tcPr>
          <w:p>
            <w:pPr>
              <w:pStyle w:val="TableParagraph"/>
              <w:spacing w:line="163" w:lineRule="exact"/>
              <w:ind w:left="102"/>
              <w:rPr>
                <w:sz w:val="16"/>
              </w:rPr>
            </w:pPr>
            <w:r>
              <w:rPr>
                <w:color w:val="231F20"/>
                <w:w w:val="85"/>
                <w:sz w:val="16"/>
              </w:rPr>
              <w:t>2,272’817,364</w:t>
            </w:r>
          </w:p>
        </w:tc>
        <w:tc>
          <w:tcPr>
            <w:tcW w:w="1751" w:type="dxa"/>
          </w:tcPr>
          <w:p>
            <w:pPr>
              <w:pStyle w:val="TableParagraph"/>
              <w:spacing w:line="163" w:lineRule="exact"/>
              <w:ind w:left="102"/>
              <w:rPr>
                <w:sz w:val="16"/>
              </w:rPr>
            </w:pPr>
            <w:r>
              <w:rPr>
                <w:color w:val="231F20"/>
                <w:w w:val="85"/>
                <w:sz w:val="16"/>
              </w:rPr>
              <w:t>2,957,472,256</w:t>
            </w:r>
          </w:p>
        </w:tc>
      </w:tr>
      <w:tr>
        <w:trPr>
          <w:trHeight w:val="322" w:hRule="exact"/>
        </w:trPr>
        <w:tc>
          <w:tcPr>
            <w:tcW w:w="2644" w:type="dxa"/>
          </w:tcPr>
          <w:p>
            <w:pPr>
              <w:pStyle w:val="TableParagraph"/>
              <w:spacing w:line="163" w:lineRule="exact"/>
              <w:ind w:left="102"/>
              <w:rPr>
                <w:sz w:val="16"/>
              </w:rPr>
            </w:pPr>
            <w:r>
              <w:rPr>
                <w:color w:val="231F20"/>
                <w:w w:val="75"/>
                <w:sz w:val="16"/>
              </w:rPr>
              <w:t>Servicios personales</w:t>
            </w:r>
          </w:p>
        </w:tc>
        <w:tc>
          <w:tcPr>
            <w:tcW w:w="1800" w:type="dxa"/>
          </w:tcPr>
          <w:p>
            <w:pPr>
              <w:pStyle w:val="TableParagraph"/>
              <w:spacing w:line="163" w:lineRule="exact"/>
              <w:ind w:left="152" w:right="-9"/>
              <w:rPr>
                <w:sz w:val="16"/>
              </w:rPr>
            </w:pPr>
            <w:r>
              <w:rPr>
                <w:color w:val="231F20"/>
                <w:w w:val="85"/>
                <w:sz w:val="16"/>
              </w:rPr>
              <w:t>873,125,695</w:t>
            </w:r>
          </w:p>
        </w:tc>
        <w:tc>
          <w:tcPr>
            <w:tcW w:w="1738" w:type="dxa"/>
          </w:tcPr>
          <w:p>
            <w:pPr>
              <w:pStyle w:val="TableParagraph"/>
              <w:spacing w:line="163" w:lineRule="exact"/>
              <w:ind w:left="152"/>
              <w:rPr>
                <w:sz w:val="16"/>
              </w:rPr>
            </w:pPr>
            <w:r>
              <w:rPr>
                <w:color w:val="231F20"/>
                <w:w w:val="85"/>
                <w:sz w:val="16"/>
              </w:rPr>
              <w:t>943’924,945</w:t>
            </w:r>
          </w:p>
        </w:tc>
        <w:tc>
          <w:tcPr>
            <w:tcW w:w="1751" w:type="dxa"/>
          </w:tcPr>
          <w:p>
            <w:pPr>
              <w:pStyle w:val="TableParagraph"/>
              <w:spacing w:line="163" w:lineRule="exact"/>
              <w:ind w:left="152"/>
              <w:rPr>
                <w:sz w:val="16"/>
              </w:rPr>
            </w:pPr>
            <w:r>
              <w:rPr>
                <w:color w:val="231F20"/>
                <w:w w:val="85"/>
                <w:sz w:val="16"/>
              </w:rPr>
              <w:t>980,896,550</w:t>
            </w:r>
          </w:p>
        </w:tc>
      </w:tr>
      <w:tr>
        <w:trPr>
          <w:trHeight w:val="322" w:hRule="exact"/>
        </w:trPr>
        <w:tc>
          <w:tcPr>
            <w:tcW w:w="2644" w:type="dxa"/>
          </w:tcPr>
          <w:p>
            <w:pPr>
              <w:pStyle w:val="TableParagraph"/>
              <w:spacing w:line="163" w:lineRule="exact"/>
              <w:ind w:left="102"/>
              <w:rPr>
                <w:sz w:val="16"/>
              </w:rPr>
            </w:pPr>
            <w:r>
              <w:rPr>
                <w:color w:val="231F20"/>
                <w:w w:val="75"/>
                <w:sz w:val="16"/>
              </w:rPr>
              <w:t>Materiales y suministros</w:t>
            </w:r>
          </w:p>
        </w:tc>
        <w:tc>
          <w:tcPr>
            <w:tcW w:w="1800" w:type="dxa"/>
          </w:tcPr>
          <w:p>
            <w:pPr>
              <w:pStyle w:val="TableParagraph"/>
              <w:spacing w:line="163" w:lineRule="exact"/>
              <w:ind w:left="177" w:right="-9"/>
              <w:rPr>
                <w:sz w:val="16"/>
              </w:rPr>
            </w:pPr>
            <w:r>
              <w:rPr>
                <w:color w:val="231F20"/>
                <w:w w:val="85"/>
                <w:sz w:val="16"/>
              </w:rPr>
              <w:t>87,724,081</w:t>
            </w:r>
          </w:p>
        </w:tc>
        <w:tc>
          <w:tcPr>
            <w:tcW w:w="1738" w:type="dxa"/>
          </w:tcPr>
          <w:p>
            <w:pPr>
              <w:pStyle w:val="TableParagraph"/>
              <w:spacing w:line="163" w:lineRule="exact"/>
              <w:ind w:left="152"/>
              <w:rPr>
                <w:sz w:val="16"/>
              </w:rPr>
            </w:pPr>
            <w:r>
              <w:rPr>
                <w:color w:val="231F20"/>
                <w:w w:val="85"/>
                <w:sz w:val="16"/>
              </w:rPr>
              <w:t>122’398,916</w:t>
            </w:r>
          </w:p>
        </w:tc>
        <w:tc>
          <w:tcPr>
            <w:tcW w:w="1751" w:type="dxa"/>
          </w:tcPr>
          <w:p>
            <w:pPr>
              <w:pStyle w:val="TableParagraph"/>
              <w:spacing w:line="163" w:lineRule="exact"/>
              <w:ind w:left="152"/>
              <w:rPr>
                <w:sz w:val="16"/>
              </w:rPr>
            </w:pPr>
            <w:r>
              <w:rPr>
                <w:color w:val="231F20"/>
                <w:w w:val="85"/>
                <w:sz w:val="16"/>
              </w:rPr>
              <w:t>110,885,107</w:t>
            </w:r>
          </w:p>
        </w:tc>
      </w:tr>
      <w:tr>
        <w:trPr>
          <w:trHeight w:val="322" w:hRule="exact"/>
        </w:trPr>
        <w:tc>
          <w:tcPr>
            <w:tcW w:w="2644" w:type="dxa"/>
          </w:tcPr>
          <w:p>
            <w:pPr>
              <w:pStyle w:val="TableParagraph"/>
              <w:spacing w:line="163" w:lineRule="exact"/>
              <w:ind w:left="102"/>
              <w:rPr>
                <w:sz w:val="16"/>
              </w:rPr>
            </w:pPr>
            <w:r>
              <w:rPr>
                <w:color w:val="231F20"/>
                <w:w w:val="75"/>
                <w:sz w:val="16"/>
              </w:rPr>
              <w:t>Servicios generales</w:t>
            </w:r>
          </w:p>
        </w:tc>
        <w:tc>
          <w:tcPr>
            <w:tcW w:w="1800" w:type="dxa"/>
          </w:tcPr>
          <w:p>
            <w:pPr>
              <w:pStyle w:val="TableParagraph"/>
              <w:spacing w:line="163" w:lineRule="exact"/>
              <w:ind w:left="152" w:right="-9"/>
              <w:rPr>
                <w:sz w:val="16"/>
              </w:rPr>
            </w:pPr>
            <w:r>
              <w:rPr>
                <w:color w:val="231F20"/>
                <w:w w:val="85"/>
                <w:sz w:val="16"/>
              </w:rPr>
              <w:t>203,325,570</w:t>
            </w:r>
          </w:p>
        </w:tc>
        <w:tc>
          <w:tcPr>
            <w:tcW w:w="1738" w:type="dxa"/>
          </w:tcPr>
          <w:p>
            <w:pPr>
              <w:pStyle w:val="TableParagraph"/>
              <w:spacing w:line="163" w:lineRule="exact"/>
              <w:ind w:left="152"/>
              <w:rPr>
                <w:sz w:val="16"/>
              </w:rPr>
            </w:pPr>
            <w:r>
              <w:rPr>
                <w:color w:val="231F20"/>
                <w:w w:val="85"/>
                <w:sz w:val="16"/>
              </w:rPr>
              <w:t>306’100,865</w:t>
            </w:r>
          </w:p>
        </w:tc>
        <w:tc>
          <w:tcPr>
            <w:tcW w:w="1751" w:type="dxa"/>
          </w:tcPr>
          <w:p>
            <w:pPr>
              <w:pStyle w:val="TableParagraph"/>
              <w:spacing w:line="163" w:lineRule="exact"/>
              <w:ind w:left="152"/>
              <w:rPr>
                <w:sz w:val="16"/>
              </w:rPr>
            </w:pPr>
            <w:r>
              <w:rPr>
                <w:color w:val="231F20"/>
                <w:w w:val="85"/>
                <w:sz w:val="16"/>
              </w:rPr>
              <w:t>243,422,009</w:t>
            </w:r>
          </w:p>
        </w:tc>
      </w:tr>
      <w:tr>
        <w:trPr>
          <w:trHeight w:val="322" w:hRule="exact"/>
        </w:trPr>
        <w:tc>
          <w:tcPr>
            <w:tcW w:w="2644" w:type="dxa"/>
          </w:tcPr>
          <w:p>
            <w:pPr>
              <w:pStyle w:val="TableParagraph"/>
              <w:spacing w:line="163" w:lineRule="exact"/>
              <w:ind w:left="102"/>
              <w:rPr>
                <w:sz w:val="16"/>
              </w:rPr>
            </w:pPr>
            <w:r>
              <w:rPr>
                <w:color w:val="231F20"/>
                <w:w w:val="85"/>
                <w:sz w:val="16"/>
              </w:rPr>
              <w:t>Transferencias</w:t>
            </w:r>
          </w:p>
        </w:tc>
        <w:tc>
          <w:tcPr>
            <w:tcW w:w="1800" w:type="dxa"/>
          </w:tcPr>
          <w:p>
            <w:pPr>
              <w:pStyle w:val="TableParagraph"/>
              <w:spacing w:line="163" w:lineRule="exact"/>
              <w:ind w:left="152" w:right="-9"/>
              <w:rPr>
                <w:sz w:val="16"/>
              </w:rPr>
            </w:pPr>
            <w:r>
              <w:rPr>
                <w:color w:val="231F20"/>
                <w:w w:val="85"/>
                <w:sz w:val="16"/>
              </w:rPr>
              <w:t>144,585,019</w:t>
            </w:r>
          </w:p>
        </w:tc>
        <w:tc>
          <w:tcPr>
            <w:tcW w:w="1738" w:type="dxa"/>
          </w:tcPr>
          <w:p>
            <w:pPr>
              <w:pStyle w:val="TableParagraph"/>
              <w:spacing w:line="163" w:lineRule="exact"/>
              <w:ind w:left="152"/>
              <w:rPr>
                <w:sz w:val="16"/>
              </w:rPr>
            </w:pPr>
            <w:r>
              <w:rPr>
                <w:color w:val="231F20"/>
                <w:w w:val="85"/>
                <w:sz w:val="16"/>
              </w:rPr>
              <w:t>207’928,215</w:t>
            </w:r>
          </w:p>
        </w:tc>
        <w:tc>
          <w:tcPr>
            <w:tcW w:w="1751" w:type="dxa"/>
          </w:tcPr>
          <w:p>
            <w:pPr>
              <w:pStyle w:val="TableParagraph"/>
              <w:spacing w:line="163" w:lineRule="exact"/>
              <w:ind w:left="152"/>
              <w:rPr>
                <w:sz w:val="16"/>
              </w:rPr>
            </w:pPr>
            <w:r>
              <w:rPr>
                <w:color w:val="231F20"/>
                <w:w w:val="85"/>
                <w:sz w:val="16"/>
              </w:rPr>
              <w:t>220,081,397</w:t>
            </w:r>
          </w:p>
        </w:tc>
      </w:tr>
      <w:tr>
        <w:trPr>
          <w:trHeight w:val="322" w:hRule="exact"/>
        </w:trPr>
        <w:tc>
          <w:tcPr>
            <w:tcW w:w="2644" w:type="dxa"/>
          </w:tcPr>
          <w:p>
            <w:pPr>
              <w:pStyle w:val="TableParagraph"/>
              <w:spacing w:line="163" w:lineRule="exact"/>
              <w:ind w:left="102"/>
              <w:rPr>
                <w:sz w:val="16"/>
              </w:rPr>
            </w:pPr>
            <w:r>
              <w:rPr>
                <w:color w:val="231F20"/>
                <w:w w:val="75"/>
                <w:sz w:val="16"/>
              </w:rPr>
              <w:t>Bienes muebles e inmuebles</w:t>
            </w:r>
          </w:p>
        </w:tc>
        <w:tc>
          <w:tcPr>
            <w:tcW w:w="1800" w:type="dxa"/>
          </w:tcPr>
          <w:p>
            <w:pPr>
              <w:pStyle w:val="TableParagraph"/>
              <w:spacing w:line="163" w:lineRule="exact"/>
              <w:ind w:left="202" w:right="-9"/>
              <w:rPr>
                <w:sz w:val="16"/>
              </w:rPr>
            </w:pPr>
            <w:r>
              <w:rPr>
                <w:color w:val="231F20"/>
                <w:w w:val="85"/>
                <w:sz w:val="16"/>
              </w:rPr>
              <w:t>17,829,672</w:t>
            </w:r>
          </w:p>
        </w:tc>
        <w:tc>
          <w:tcPr>
            <w:tcW w:w="1738" w:type="dxa"/>
          </w:tcPr>
          <w:p>
            <w:pPr>
              <w:pStyle w:val="TableParagraph"/>
              <w:spacing w:line="163" w:lineRule="exact"/>
              <w:ind w:left="152"/>
              <w:rPr>
                <w:sz w:val="16"/>
              </w:rPr>
            </w:pPr>
            <w:r>
              <w:rPr>
                <w:color w:val="231F20"/>
                <w:w w:val="85"/>
                <w:sz w:val="16"/>
              </w:rPr>
              <w:t>105’766,711</w:t>
            </w:r>
          </w:p>
        </w:tc>
        <w:tc>
          <w:tcPr>
            <w:tcW w:w="1751" w:type="dxa"/>
          </w:tcPr>
          <w:p>
            <w:pPr>
              <w:pStyle w:val="TableParagraph"/>
              <w:spacing w:line="163" w:lineRule="exact"/>
              <w:ind w:left="152"/>
              <w:rPr>
                <w:sz w:val="16"/>
              </w:rPr>
            </w:pPr>
            <w:r>
              <w:rPr>
                <w:color w:val="231F20"/>
                <w:w w:val="85"/>
                <w:sz w:val="16"/>
              </w:rPr>
              <w:t>142,444,408</w:t>
            </w:r>
          </w:p>
        </w:tc>
      </w:tr>
      <w:tr>
        <w:trPr>
          <w:trHeight w:val="322" w:hRule="exact"/>
        </w:trPr>
        <w:tc>
          <w:tcPr>
            <w:tcW w:w="2644" w:type="dxa"/>
          </w:tcPr>
          <w:p>
            <w:pPr>
              <w:pStyle w:val="TableParagraph"/>
              <w:spacing w:line="164" w:lineRule="exact"/>
              <w:ind w:left="101"/>
              <w:rPr>
                <w:sz w:val="16"/>
              </w:rPr>
            </w:pPr>
            <w:r>
              <w:rPr>
                <w:color w:val="231F20"/>
                <w:w w:val="75"/>
                <w:sz w:val="16"/>
              </w:rPr>
              <w:t>Obras públicas</w:t>
            </w:r>
          </w:p>
        </w:tc>
        <w:tc>
          <w:tcPr>
            <w:tcW w:w="1800" w:type="dxa"/>
          </w:tcPr>
          <w:p>
            <w:pPr>
              <w:pStyle w:val="TableParagraph"/>
              <w:spacing w:line="164" w:lineRule="exact"/>
              <w:ind w:left="177" w:right="-9"/>
              <w:rPr>
                <w:sz w:val="16"/>
              </w:rPr>
            </w:pPr>
            <w:r>
              <w:rPr>
                <w:color w:val="231F20"/>
                <w:w w:val="85"/>
                <w:sz w:val="16"/>
              </w:rPr>
              <w:t>307,148,445</w:t>
            </w:r>
          </w:p>
        </w:tc>
        <w:tc>
          <w:tcPr>
            <w:tcW w:w="1738" w:type="dxa"/>
          </w:tcPr>
          <w:p>
            <w:pPr>
              <w:pStyle w:val="TableParagraph"/>
              <w:spacing w:line="164" w:lineRule="exact"/>
              <w:ind w:left="152"/>
              <w:rPr>
                <w:sz w:val="16"/>
              </w:rPr>
            </w:pPr>
            <w:r>
              <w:rPr>
                <w:color w:val="231F20"/>
                <w:w w:val="85"/>
                <w:sz w:val="16"/>
              </w:rPr>
              <w:t>430’611,764</w:t>
            </w:r>
          </w:p>
        </w:tc>
        <w:tc>
          <w:tcPr>
            <w:tcW w:w="1751" w:type="dxa"/>
          </w:tcPr>
          <w:p>
            <w:pPr>
              <w:pStyle w:val="TableParagraph"/>
              <w:spacing w:line="164" w:lineRule="exact"/>
              <w:ind w:left="152"/>
              <w:rPr>
                <w:sz w:val="16"/>
              </w:rPr>
            </w:pPr>
            <w:r>
              <w:rPr>
                <w:color w:val="231F20"/>
                <w:w w:val="85"/>
                <w:sz w:val="16"/>
              </w:rPr>
              <w:t>842,821,188</w:t>
            </w:r>
          </w:p>
        </w:tc>
      </w:tr>
      <w:tr>
        <w:trPr>
          <w:trHeight w:val="322" w:hRule="exact"/>
        </w:trPr>
        <w:tc>
          <w:tcPr>
            <w:tcW w:w="2644" w:type="dxa"/>
          </w:tcPr>
          <w:p>
            <w:pPr>
              <w:pStyle w:val="TableParagraph"/>
              <w:spacing w:line="164" w:lineRule="exact"/>
              <w:ind w:left="101"/>
              <w:rPr>
                <w:sz w:val="16"/>
              </w:rPr>
            </w:pPr>
            <w:r>
              <w:rPr>
                <w:color w:val="231F20"/>
                <w:w w:val="75"/>
                <w:sz w:val="16"/>
              </w:rPr>
              <w:t>Deuda pública</w:t>
            </w:r>
          </w:p>
        </w:tc>
        <w:tc>
          <w:tcPr>
            <w:tcW w:w="1800" w:type="dxa"/>
          </w:tcPr>
          <w:p>
            <w:pPr>
              <w:pStyle w:val="TableParagraph"/>
              <w:spacing w:line="164" w:lineRule="exact"/>
              <w:ind w:left="177" w:right="-9"/>
              <w:rPr>
                <w:sz w:val="16"/>
              </w:rPr>
            </w:pPr>
            <w:r>
              <w:rPr>
                <w:color w:val="231F20"/>
                <w:w w:val="85"/>
                <w:sz w:val="16"/>
              </w:rPr>
              <w:t>198,941,827</w:t>
            </w:r>
          </w:p>
        </w:tc>
        <w:tc>
          <w:tcPr>
            <w:tcW w:w="1738" w:type="dxa"/>
          </w:tcPr>
          <w:p>
            <w:pPr>
              <w:pStyle w:val="TableParagraph"/>
              <w:spacing w:line="164" w:lineRule="exact"/>
              <w:ind w:left="151"/>
              <w:rPr>
                <w:sz w:val="16"/>
              </w:rPr>
            </w:pPr>
            <w:r>
              <w:rPr>
                <w:color w:val="231F20"/>
                <w:w w:val="85"/>
                <w:sz w:val="16"/>
              </w:rPr>
              <w:t>156’085,948</w:t>
            </w:r>
          </w:p>
        </w:tc>
        <w:tc>
          <w:tcPr>
            <w:tcW w:w="1751" w:type="dxa"/>
          </w:tcPr>
          <w:p>
            <w:pPr>
              <w:pStyle w:val="TableParagraph"/>
              <w:spacing w:line="164" w:lineRule="exact"/>
              <w:ind w:left="151"/>
              <w:rPr>
                <w:sz w:val="16"/>
              </w:rPr>
            </w:pPr>
            <w:r>
              <w:rPr>
                <w:color w:val="231F20"/>
                <w:w w:val="85"/>
                <w:sz w:val="16"/>
              </w:rPr>
              <w:t>416,921,597</w:t>
            </w:r>
          </w:p>
        </w:tc>
      </w:tr>
    </w:tbl>
    <w:p>
      <w:pPr>
        <w:pStyle w:val="BodyText"/>
        <w:spacing w:before="6"/>
        <w:rPr>
          <w:b/>
          <w:sz w:val="7"/>
        </w:rPr>
      </w:pPr>
    </w:p>
    <w:p>
      <w:pPr>
        <w:spacing w:before="74"/>
        <w:ind w:left="4533" w:right="-3" w:firstLine="0"/>
        <w:jc w:val="left"/>
        <w:rPr>
          <w:rFonts w:ascii="Calibri" w:hAnsi="Calibri"/>
          <w:sz w:val="16"/>
        </w:rPr>
      </w:pPr>
      <w:r>
        <w:rPr>
          <w:rFonts w:ascii="Calibri" w:hAnsi="Calibri"/>
          <w:color w:val="231F20"/>
          <w:sz w:val="16"/>
        </w:rPr>
        <w:t>Fuente: elaboración propia con datos de Base de datos</w:t>
      </w:r>
    </w:p>
    <w:p>
      <w:pPr>
        <w:spacing w:after="0"/>
        <w:jc w:val="left"/>
        <w:rPr>
          <w:rFonts w:ascii="Calibri" w:hAnsi="Calibri"/>
          <w:sz w:val="16"/>
        </w:rPr>
        <w:sectPr>
          <w:pgSz w:w="9640" w:h="12190"/>
          <w:pgMar w:header="0" w:footer="743" w:top="1120" w:bottom="940" w:left="740" w:right="720"/>
        </w:sectPr>
      </w:pPr>
    </w:p>
    <w:p>
      <w:pPr>
        <w:pStyle w:val="BodyText"/>
        <w:spacing w:before="6"/>
        <w:rPr>
          <w:rFonts w:ascii="Calibri"/>
          <w:sz w:val="8"/>
        </w:rPr>
      </w:pPr>
    </w:p>
    <w:p>
      <w:pPr>
        <w:pStyle w:val="Heading4"/>
        <w:spacing w:line="345" w:lineRule="exact"/>
        <w:rPr>
          <w:i/>
        </w:rPr>
      </w:pPr>
      <w:r>
        <w:rPr>
          <w:i/>
          <w:color w:val="231F20"/>
        </w:rPr>
        <w:t>Conclusiones</w:t>
      </w:r>
    </w:p>
    <w:p>
      <w:pPr>
        <w:pStyle w:val="BodyText"/>
        <w:spacing w:line="285" w:lineRule="auto" w:before="17"/>
        <w:ind w:left="110" w:right="107"/>
        <w:jc w:val="both"/>
      </w:pPr>
      <w:r>
        <w:rPr>
          <w:color w:val="231F20"/>
          <w:w w:val="105"/>
        </w:rPr>
        <w:t>La gestión panista en el municipio de Naucalpan tiene una orientación netamente em- presarial.</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primera</w:t>
      </w:r>
      <w:r>
        <w:rPr>
          <w:color w:val="231F20"/>
          <w:spacing w:val="-23"/>
          <w:w w:val="105"/>
        </w:rPr>
        <w:t> </w:t>
      </w:r>
      <w:r>
        <w:rPr>
          <w:color w:val="231F20"/>
          <w:w w:val="105"/>
        </w:rPr>
        <w:t>administración,</w:t>
      </w:r>
      <w:r>
        <w:rPr>
          <w:color w:val="231F20"/>
          <w:spacing w:val="-23"/>
          <w:w w:val="105"/>
        </w:rPr>
        <w:t> </w:t>
      </w:r>
      <w:r>
        <w:rPr>
          <w:color w:val="231F20"/>
          <w:w w:val="105"/>
        </w:rPr>
        <w:t>destacaron</w:t>
      </w:r>
      <w:r>
        <w:rPr>
          <w:color w:val="231F20"/>
          <w:spacing w:val="-23"/>
          <w:w w:val="105"/>
        </w:rPr>
        <w:t> </w:t>
      </w:r>
      <w:r>
        <w:rPr>
          <w:color w:val="231F20"/>
          <w:w w:val="105"/>
        </w:rPr>
        <w:t>dos</w:t>
      </w:r>
      <w:r>
        <w:rPr>
          <w:color w:val="231F20"/>
          <w:spacing w:val="-23"/>
          <w:w w:val="105"/>
        </w:rPr>
        <w:t> </w:t>
      </w:r>
      <w:r>
        <w:rPr>
          <w:color w:val="231F20"/>
          <w:w w:val="105"/>
        </w:rPr>
        <w:t>prioridades</w:t>
      </w:r>
      <w:r>
        <w:rPr>
          <w:color w:val="231F20"/>
          <w:spacing w:val="-23"/>
          <w:w w:val="105"/>
        </w:rPr>
        <w:t> </w:t>
      </w:r>
      <w:r>
        <w:rPr>
          <w:color w:val="231F20"/>
          <w:w w:val="105"/>
        </w:rPr>
        <w:t>propias</w:t>
      </w:r>
      <w:r>
        <w:rPr>
          <w:color w:val="231F20"/>
          <w:spacing w:val="-23"/>
          <w:w w:val="105"/>
        </w:rPr>
        <w:t> </w:t>
      </w:r>
      <w:r>
        <w:rPr>
          <w:color w:val="231F20"/>
          <w:w w:val="105"/>
        </w:rPr>
        <w:t>de</w:t>
      </w:r>
      <w:r>
        <w:rPr>
          <w:color w:val="231F20"/>
          <w:spacing w:val="-23"/>
          <w:w w:val="105"/>
        </w:rPr>
        <w:t> </w:t>
      </w:r>
      <w:r>
        <w:rPr>
          <w:color w:val="231F20"/>
          <w:w w:val="105"/>
        </w:rPr>
        <w:t>esa</w:t>
      </w:r>
      <w:r>
        <w:rPr>
          <w:color w:val="231F20"/>
          <w:spacing w:val="-23"/>
          <w:w w:val="105"/>
        </w:rPr>
        <w:t> </w:t>
      </w:r>
      <w:r>
        <w:rPr>
          <w:color w:val="231F20"/>
          <w:w w:val="105"/>
        </w:rPr>
        <w:t>orien- tación:</w:t>
      </w:r>
      <w:r>
        <w:rPr>
          <w:color w:val="231F20"/>
          <w:spacing w:val="-13"/>
          <w:w w:val="105"/>
        </w:rPr>
        <w:t> </w:t>
      </w:r>
      <w:r>
        <w:rPr>
          <w:color w:val="231F20"/>
          <w:w w:val="105"/>
        </w:rPr>
        <w:t>la</w:t>
      </w:r>
      <w:r>
        <w:rPr>
          <w:color w:val="231F20"/>
          <w:spacing w:val="-13"/>
          <w:w w:val="105"/>
        </w:rPr>
        <w:t> </w:t>
      </w:r>
      <w:r>
        <w:rPr>
          <w:color w:val="231F20"/>
          <w:w w:val="105"/>
        </w:rPr>
        <w:t>honestidad,</w:t>
      </w:r>
      <w:r>
        <w:rPr>
          <w:color w:val="231F20"/>
          <w:spacing w:val="-13"/>
          <w:w w:val="105"/>
        </w:rPr>
        <w:t> </w:t>
      </w:r>
      <w:r>
        <w:rPr>
          <w:color w:val="231F20"/>
          <w:w w:val="105"/>
        </w:rPr>
        <w:t>como</w:t>
      </w:r>
      <w:r>
        <w:rPr>
          <w:color w:val="231F20"/>
          <w:spacing w:val="-13"/>
          <w:w w:val="105"/>
        </w:rPr>
        <w:t> </w:t>
      </w:r>
      <w:r>
        <w:rPr>
          <w:color w:val="231F20"/>
          <w:w w:val="105"/>
        </w:rPr>
        <w:t>una</w:t>
      </w:r>
      <w:r>
        <w:rPr>
          <w:color w:val="231F20"/>
          <w:spacing w:val="-13"/>
          <w:w w:val="105"/>
        </w:rPr>
        <w:t> </w:t>
      </w:r>
      <w:r>
        <w:rPr>
          <w:color w:val="231F20"/>
          <w:w w:val="105"/>
        </w:rPr>
        <w:t>forma</w:t>
      </w:r>
      <w:r>
        <w:rPr>
          <w:color w:val="231F20"/>
          <w:spacing w:val="-13"/>
          <w:w w:val="105"/>
        </w:rPr>
        <w:t> </w:t>
      </w:r>
      <w:r>
        <w:rPr>
          <w:color w:val="231F20"/>
          <w:w w:val="105"/>
        </w:rPr>
        <w:t>de</w:t>
      </w:r>
      <w:r>
        <w:rPr>
          <w:color w:val="231F20"/>
          <w:spacing w:val="-13"/>
          <w:w w:val="105"/>
        </w:rPr>
        <w:t> </w:t>
      </w:r>
      <w:r>
        <w:rPr>
          <w:color w:val="231F20"/>
          <w:w w:val="105"/>
        </w:rPr>
        <w:t>ser</w:t>
      </w:r>
      <w:r>
        <w:rPr>
          <w:color w:val="231F20"/>
          <w:spacing w:val="-13"/>
          <w:w w:val="105"/>
        </w:rPr>
        <w:t> </w:t>
      </w:r>
      <w:r>
        <w:rPr>
          <w:color w:val="231F20"/>
          <w:w w:val="105"/>
        </w:rPr>
        <w:t>individual,</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eficiencia,</w:t>
      </w:r>
      <w:r>
        <w:rPr>
          <w:color w:val="231F20"/>
          <w:spacing w:val="-13"/>
          <w:w w:val="105"/>
        </w:rPr>
        <w:t> </w:t>
      </w:r>
      <w:r>
        <w:rPr>
          <w:color w:val="231F20"/>
          <w:w w:val="105"/>
        </w:rPr>
        <w:t>como</w:t>
      </w:r>
      <w:r>
        <w:rPr>
          <w:color w:val="231F20"/>
          <w:spacing w:val="-13"/>
          <w:w w:val="105"/>
        </w:rPr>
        <w:t> </w:t>
      </w:r>
      <w:r>
        <w:rPr>
          <w:color w:val="231F20"/>
          <w:w w:val="105"/>
        </w:rPr>
        <w:t>principio de acción de los profesionales en el </w:t>
      </w:r>
      <w:r>
        <w:rPr>
          <w:color w:val="231F20"/>
          <w:spacing w:val="-2"/>
          <w:w w:val="105"/>
        </w:rPr>
        <w:t>poder. </w:t>
      </w:r>
      <w:r>
        <w:rPr>
          <w:color w:val="231F20"/>
          <w:w w:val="105"/>
        </w:rPr>
        <w:t>En la gestión más reciente, tales principios ya</w:t>
      </w:r>
      <w:r>
        <w:rPr>
          <w:color w:val="231F20"/>
          <w:spacing w:val="-5"/>
          <w:w w:val="105"/>
        </w:rPr>
        <w:t> </w:t>
      </w:r>
      <w:r>
        <w:rPr>
          <w:color w:val="231F20"/>
          <w:w w:val="105"/>
        </w:rPr>
        <w:t>no</w:t>
      </w:r>
      <w:r>
        <w:rPr>
          <w:color w:val="231F20"/>
          <w:spacing w:val="-5"/>
          <w:w w:val="105"/>
        </w:rPr>
        <w:t> </w:t>
      </w:r>
      <w:r>
        <w:rPr>
          <w:color w:val="231F20"/>
          <w:w w:val="105"/>
        </w:rPr>
        <w:t>se</w:t>
      </w:r>
      <w:r>
        <w:rPr>
          <w:color w:val="231F20"/>
          <w:spacing w:val="-5"/>
          <w:w w:val="105"/>
        </w:rPr>
        <w:t> </w:t>
      </w:r>
      <w:r>
        <w:rPr>
          <w:color w:val="231F20"/>
          <w:w w:val="105"/>
        </w:rPr>
        <w:t>esgrimieron.</w:t>
      </w:r>
      <w:r>
        <w:rPr>
          <w:color w:val="231F20"/>
          <w:spacing w:val="-5"/>
          <w:w w:val="105"/>
        </w:rPr>
        <w:t> </w:t>
      </w:r>
      <w:r>
        <w:rPr>
          <w:color w:val="231F20"/>
          <w:w w:val="105"/>
        </w:rPr>
        <w:t>Probablemente</w:t>
      </w:r>
      <w:r>
        <w:rPr>
          <w:color w:val="231F20"/>
          <w:spacing w:val="-5"/>
          <w:w w:val="105"/>
        </w:rPr>
        <w:t> </w:t>
      </w:r>
      <w:r>
        <w:rPr>
          <w:color w:val="231F20"/>
          <w:w w:val="105"/>
        </w:rPr>
        <w:t>porque</w:t>
      </w:r>
      <w:r>
        <w:rPr>
          <w:color w:val="231F20"/>
          <w:spacing w:val="-5"/>
          <w:w w:val="105"/>
        </w:rPr>
        <w:t> </w:t>
      </w:r>
      <w:r>
        <w:rPr>
          <w:color w:val="231F20"/>
          <w:w w:val="105"/>
        </w:rPr>
        <w:t>la</w:t>
      </w:r>
      <w:r>
        <w:rPr>
          <w:color w:val="231F20"/>
          <w:spacing w:val="-5"/>
          <w:w w:val="105"/>
        </w:rPr>
        <w:t> </w:t>
      </w:r>
      <w:r>
        <w:rPr>
          <w:color w:val="231F20"/>
          <w:w w:val="105"/>
        </w:rPr>
        <w:t>permanencia</w:t>
      </w:r>
      <w:r>
        <w:rPr>
          <w:color w:val="231F20"/>
          <w:spacing w:val="-5"/>
          <w:w w:val="105"/>
        </w:rPr>
        <w:t> </w:t>
      </w:r>
      <w:r>
        <w:rPr>
          <w:color w:val="231F20"/>
          <w:w w:val="105"/>
        </w:rPr>
        <w:t>del</w:t>
      </w:r>
      <w:r>
        <w:rPr>
          <w:color w:val="231F20"/>
          <w:spacing w:val="-5"/>
          <w:w w:val="105"/>
        </w:rPr>
        <w:t> </w:t>
      </w:r>
      <w:r>
        <w:rPr>
          <w:color w:val="231F20"/>
          <w:w w:val="105"/>
        </w:rPr>
        <w:t>partido</w:t>
      </w:r>
      <w:r>
        <w:rPr>
          <w:color w:val="231F20"/>
          <w:spacing w:val="-5"/>
          <w:w w:val="105"/>
        </w:rPr>
        <w:t> </w:t>
      </w:r>
      <w:r>
        <w:rPr>
          <w:color w:val="231F20"/>
          <w:spacing w:val="2"/>
          <w:w w:val="105"/>
        </w:rPr>
        <w:t>al</w:t>
      </w:r>
      <w:r>
        <w:rPr>
          <w:color w:val="231F20"/>
          <w:spacing w:val="-5"/>
          <w:w w:val="105"/>
        </w:rPr>
        <w:t> </w:t>
      </w:r>
      <w:r>
        <w:rPr>
          <w:color w:val="231F20"/>
          <w:w w:val="105"/>
        </w:rPr>
        <w:t>frente</w:t>
      </w:r>
      <w:r>
        <w:rPr>
          <w:color w:val="231F20"/>
          <w:spacing w:val="-5"/>
          <w:w w:val="105"/>
        </w:rPr>
        <w:t> </w:t>
      </w:r>
      <w:r>
        <w:rPr>
          <w:color w:val="231F20"/>
          <w:w w:val="105"/>
        </w:rPr>
        <w:t>de</w:t>
      </w:r>
      <w:r>
        <w:rPr>
          <w:color w:val="231F20"/>
          <w:spacing w:val="-5"/>
          <w:w w:val="105"/>
        </w:rPr>
        <w:t> </w:t>
      </w:r>
      <w:r>
        <w:rPr>
          <w:color w:val="231F20"/>
          <w:w w:val="105"/>
        </w:rPr>
        <w:t>la alcaldía</w:t>
      </w:r>
      <w:r>
        <w:rPr>
          <w:color w:val="231F20"/>
          <w:spacing w:val="-5"/>
          <w:w w:val="105"/>
        </w:rPr>
        <w:t> </w:t>
      </w:r>
      <w:r>
        <w:rPr>
          <w:color w:val="231F20"/>
          <w:w w:val="105"/>
        </w:rPr>
        <w:t>hacía</w:t>
      </w:r>
      <w:r>
        <w:rPr>
          <w:color w:val="231F20"/>
          <w:spacing w:val="-5"/>
          <w:w w:val="105"/>
        </w:rPr>
        <w:t> </w:t>
      </w:r>
      <w:r>
        <w:rPr>
          <w:color w:val="231F20"/>
          <w:w w:val="105"/>
        </w:rPr>
        <w:t>innecesario</w:t>
      </w:r>
      <w:r>
        <w:rPr>
          <w:color w:val="231F20"/>
          <w:spacing w:val="-5"/>
          <w:w w:val="105"/>
        </w:rPr>
        <w:t> </w:t>
      </w:r>
      <w:r>
        <w:rPr>
          <w:color w:val="231F20"/>
          <w:w w:val="105"/>
        </w:rPr>
        <w:t>asegurar</w:t>
      </w:r>
      <w:r>
        <w:rPr>
          <w:color w:val="231F20"/>
          <w:spacing w:val="-5"/>
          <w:w w:val="105"/>
        </w:rPr>
        <w:t> </w:t>
      </w:r>
      <w:r>
        <w:rPr>
          <w:color w:val="231F20"/>
          <w:w w:val="105"/>
        </w:rPr>
        <w:t>que</w:t>
      </w:r>
      <w:r>
        <w:rPr>
          <w:color w:val="231F20"/>
          <w:spacing w:val="-5"/>
          <w:w w:val="105"/>
        </w:rPr>
        <w:t> </w:t>
      </w:r>
      <w:r>
        <w:rPr>
          <w:color w:val="231F20"/>
          <w:w w:val="105"/>
        </w:rPr>
        <w:t>su</w:t>
      </w:r>
      <w:r>
        <w:rPr>
          <w:color w:val="231F20"/>
          <w:spacing w:val="-5"/>
          <w:w w:val="105"/>
        </w:rPr>
        <w:t> </w:t>
      </w:r>
      <w:r>
        <w:rPr>
          <w:color w:val="231F20"/>
          <w:w w:val="105"/>
        </w:rPr>
        <w:t>gestión</w:t>
      </w:r>
      <w:r>
        <w:rPr>
          <w:color w:val="231F20"/>
          <w:spacing w:val="-5"/>
          <w:w w:val="105"/>
        </w:rPr>
        <w:t> </w:t>
      </w:r>
      <w:r>
        <w:rPr>
          <w:color w:val="231F20"/>
          <w:w w:val="105"/>
        </w:rPr>
        <w:t>sería</w:t>
      </w:r>
      <w:r>
        <w:rPr>
          <w:color w:val="231F20"/>
          <w:spacing w:val="-5"/>
          <w:w w:val="105"/>
        </w:rPr>
        <w:t> </w:t>
      </w:r>
      <w:r>
        <w:rPr>
          <w:color w:val="231F20"/>
          <w:w w:val="105"/>
        </w:rPr>
        <w:t>honesta.</w:t>
      </w:r>
      <w:r>
        <w:rPr>
          <w:color w:val="231F20"/>
          <w:spacing w:val="-5"/>
          <w:w w:val="105"/>
        </w:rPr>
        <w:t> </w:t>
      </w:r>
      <w:r>
        <w:rPr>
          <w:color w:val="231F20"/>
          <w:w w:val="105"/>
        </w:rPr>
        <w:t>El</w:t>
      </w:r>
      <w:r>
        <w:rPr>
          <w:color w:val="231F20"/>
          <w:spacing w:val="-5"/>
          <w:w w:val="105"/>
        </w:rPr>
        <w:t> </w:t>
      </w:r>
      <w:r>
        <w:rPr>
          <w:color w:val="231F20"/>
          <w:w w:val="105"/>
        </w:rPr>
        <w:t>nuevo</w:t>
      </w:r>
      <w:r>
        <w:rPr>
          <w:color w:val="231F20"/>
          <w:spacing w:val="-5"/>
          <w:w w:val="105"/>
        </w:rPr>
        <w:t> </w:t>
      </w:r>
      <w:r>
        <w:rPr>
          <w:color w:val="231F20"/>
          <w:w w:val="105"/>
        </w:rPr>
        <w:t>objetivo</w:t>
      </w:r>
      <w:r>
        <w:rPr>
          <w:color w:val="231F20"/>
          <w:spacing w:val="-5"/>
          <w:w w:val="105"/>
        </w:rPr>
        <w:t> </w:t>
      </w:r>
      <w:r>
        <w:rPr>
          <w:color w:val="231F20"/>
          <w:w w:val="105"/>
        </w:rPr>
        <w:t>fue el de garantizar la seguridad pública. En este caso, se definió un problema, pero no se formuló un plan de</w:t>
      </w:r>
      <w:r>
        <w:rPr>
          <w:color w:val="231F20"/>
          <w:spacing w:val="-25"/>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spacing w:val="-3"/>
          <w:w w:val="105"/>
        </w:rPr>
        <w:t>No</w:t>
      </w:r>
      <w:r>
        <w:rPr>
          <w:color w:val="231F20"/>
          <w:spacing w:val="-16"/>
          <w:w w:val="105"/>
        </w:rPr>
        <w:t> </w:t>
      </w:r>
      <w:r>
        <w:rPr>
          <w:color w:val="231F20"/>
          <w:w w:val="105"/>
        </w:rPr>
        <w:t>obstante,</w:t>
      </w:r>
      <w:r>
        <w:rPr>
          <w:color w:val="231F20"/>
          <w:spacing w:val="-16"/>
          <w:w w:val="105"/>
        </w:rPr>
        <w:t> </w:t>
      </w:r>
      <w:r>
        <w:rPr>
          <w:color w:val="231F20"/>
          <w:spacing w:val="-3"/>
          <w:w w:val="105"/>
        </w:rPr>
        <w:t>los</w:t>
      </w:r>
      <w:r>
        <w:rPr>
          <w:color w:val="231F20"/>
          <w:spacing w:val="-16"/>
          <w:w w:val="105"/>
        </w:rPr>
        <w:t> </w:t>
      </w:r>
      <w:r>
        <w:rPr>
          <w:color w:val="231F20"/>
          <w:w w:val="105"/>
        </w:rPr>
        <w:t>programas</w:t>
      </w:r>
      <w:r>
        <w:rPr>
          <w:color w:val="231F20"/>
          <w:spacing w:val="-16"/>
          <w:w w:val="105"/>
        </w:rPr>
        <w:t> </w:t>
      </w:r>
      <w:r>
        <w:rPr>
          <w:color w:val="231F20"/>
          <w:w w:val="105"/>
        </w:rPr>
        <w:t>y</w:t>
      </w:r>
      <w:r>
        <w:rPr>
          <w:color w:val="231F20"/>
          <w:spacing w:val="-16"/>
          <w:w w:val="105"/>
        </w:rPr>
        <w:t> </w:t>
      </w:r>
      <w:r>
        <w:rPr>
          <w:color w:val="231F20"/>
          <w:w w:val="105"/>
        </w:rPr>
        <w:t>las</w:t>
      </w:r>
      <w:r>
        <w:rPr>
          <w:color w:val="231F20"/>
          <w:spacing w:val="-16"/>
          <w:w w:val="105"/>
        </w:rPr>
        <w:t> </w:t>
      </w:r>
      <w:r>
        <w:rPr>
          <w:color w:val="231F20"/>
          <w:spacing w:val="-4"/>
          <w:w w:val="105"/>
        </w:rPr>
        <w:t>acciones</w:t>
      </w:r>
      <w:r>
        <w:rPr>
          <w:color w:val="231F20"/>
          <w:spacing w:val="-16"/>
          <w:w w:val="105"/>
        </w:rPr>
        <w:t> </w:t>
      </w:r>
      <w:r>
        <w:rPr>
          <w:color w:val="231F20"/>
          <w:w w:val="105"/>
        </w:rPr>
        <w:t>realizadas</w:t>
      </w:r>
      <w:r>
        <w:rPr>
          <w:color w:val="231F20"/>
          <w:spacing w:val="-16"/>
          <w:w w:val="105"/>
        </w:rPr>
        <w:t> </w:t>
      </w:r>
      <w:r>
        <w:rPr>
          <w:color w:val="231F20"/>
          <w:spacing w:val="-3"/>
          <w:w w:val="105"/>
        </w:rPr>
        <w:t>por</w:t>
      </w:r>
      <w:r>
        <w:rPr>
          <w:color w:val="231F20"/>
          <w:spacing w:val="-16"/>
          <w:w w:val="105"/>
        </w:rPr>
        <w:t> </w:t>
      </w:r>
      <w:r>
        <w:rPr>
          <w:color w:val="231F20"/>
          <w:spacing w:val="-3"/>
          <w:w w:val="105"/>
        </w:rPr>
        <w:t>los</w:t>
      </w:r>
      <w:r>
        <w:rPr>
          <w:color w:val="231F20"/>
          <w:spacing w:val="-16"/>
          <w:w w:val="105"/>
        </w:rPr>
        <w:t> </w:t>
      </w:r>
      <w:r>
        <w:rPr>
          <w:color w:val="231F20"/>
          <w:w w:val="105"/>
        </w:rPr>
        <w:t>panistas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poder</w:t>
      </w:r>
      <w:r>
        <w:rPr>
          <w:color w:val="231F20"/>
          <w:spacing w:val="-16"/>
          <w:w w:val="105"/>
        </w:rPr>
        <w:t> </w:t>
      </w:r>
      <w:r>
        <w:rPr>
          <w:color w:val="231F20"/>
          <w:w w:val="105"/>
        </w:rPr>
        <w:t>sí</w:t>
      </w:r>
      <w:r>
        <w:rPr>
          <w:color w:val="231F20"/>
          <w:spacing w:val="-16"/>
          <w:w w:val="105"/>
        </w:rPr>
        <w:t> </w:t>
      </w:r>
      <w:r>
        <w:rPr>
          <w:color w:val="231F20"/>
          <w:w w:val="105"/>
        </w:rPr>
        <w:t>perfi- lan</w:t>
      </w:r>
      <w:r>
        <w:rPr>
          <w:color w:val="231F20"/>
          <w:spacing w:val="-15"/>
          <w:w w:val="105"/>
        </w:rPr>
        <w:t> </w:t>
      </w:r>
      <w:r>
        <w:rPr>
          <w:color w:val="231F20"/>
          <w:w w:val="105"/>
        </w:rPr>
        <w:t>un</w:t>
      </w:r>
      <w:r>
        <w:rPr>
          <w:color w:val="231F20"/>
          <w:spacing w:val="-15"/>
          <w:w w:val="105"/>
        </w:rPr>
        <w:t> </w:t>
      </w:r>
      <w:r>
        <w:rPr>
          <w:color w:val="231F20"/>
          <w:spacing w:val="-3"/>
          <w:w w:val="105"/>
        </w:rPr>
        <w:t>proyecto</w:t>
      </w:r>
      <w:r>
        <w:rPr>
          <w:color w:val="231F20"/>
          <w:spacing w:val="-15"/>
          <w:w w:val="105"/>
        </w:rPr>
        <w:t> </w:t>
      </w:r>
      <w:r>
        <w:rPr>
          <w:color w:val="231F20"/>
          <w:w w:val="105"/>
        </w:rPr>
        <w:t>de</w:t>
      </w:r>
      <w:r>
        <w:rPr>
          <w:color w:val="231F20"/>
          <w:spacing w:val="-15"/>
          <w:w w:val="105"/>
        </w:rPr>
        <w:t> </w:t>
      </w:r>
      <w:r>
        <w:rPr>
          <w:color w:val="231F20"/>
          <w:spacing w:val="-4"/>
          <w:w w:val="105"/>
        </w:rPr>
        <w:t>gobierno</w:t>
      </w:r>
      <w:r>
        <w:rPr>
          <w:color w:val="231F20"/>
          <w:spacing w:val="-15"/>
          <w:w w:val="105"/>
        </w:rPr>
        <w:t> </w:t>
      </w:r>
      <w:r>
        <w:rPr>
          <w:color w:val="231F20"/>
          <w:spacing w:val="-3"/>
          <w:w w:val="105"/>
        </w:rPr>
        <w:t>general.</w:t>
      </w:r>
      <w:r>
        <w:rPr>
          <w:color w:val="231F20"/>
          <w:spacing w:val="-15"/>
          <w:w w:val="105"/>
        </w:rPr>
        <w:t> </w:t>
      </w:r>
      <w:r>
        <w:rPr>
          <w:color w:val="231F20"/>
          <w:w w:val="105"/>
        </w:rPr>
        <w:t>En</w:t>
      </w:r>
      <w:r>
        <w:rPr>
          <w:color w:val="231F20"/>
          <w:spacing w:val="-15"/>
          <w:w w:val="105"/>
        </w:rPr>
        <w:t> </w:t>
      </w:r>
      <w:r>
        <w:rPr>
          <w:color w:val="231F20"/>
          <w:w w:val="105"/>
        </w:rPr>
        <w:t>él</w:t>
      </w:r>
      <w:r>
        <w:rPr>
          <w:color w:val="231F20"/>
          <w:spacing w:val="-15"/>
          <w:w w:val="105"/>
        </w:rPr>
        <w:t> </w:t>
      </w:r>
      <w:r>
        <w:rPr>
          <w:color w:val="231F20"/>
          <w:w w:val="105"/>
        </w:rPr>
        <w:t>se</w:t>
      </w:r>
      <w:r>
        <w:rPr>
          <w:color w:val="231F20"/>
          <w:spacing w:val="-15"/>
          <w:w w:val="105"/>
        </w:rPr>
        <w:t> </w:t>
      </w:r>
      <w:r>
        <w:rPr>
          <w:color w:val="231F20"/>
          <w:spacing w:val="-3"/>
          <w:w w:val="105"/>
        </w:rPr>
        <w:t>aprecia</w:t>
      </w:r>
      <w:r>
        <w:rPr>
          <w:color w:val="231F20"/>
          <w:spacing w:val="-15"/>
          <w:w w:val="105"/>
        </w:rPr>
        <w:t> </w:t>
      </w:r>
      <w:r>
        <w:rPr>
          <w:color w:val="231F20"/>
          <w:w w:val="105"/>
        </w:rPr>
        <w:t>una</w:t>
      </w:r>
      <w:r>
        <w:rPr>
          <w:color w:val="231F20"/>
          <w:spacing w:val="-15"/>
          <w:w w:val="105"/>
        </w:rPr>
        <w:t> </w:t>
      </w:r>
      <w:r>
        <w:rPr>
          <w:color w:val="231F20"/>
          <w:spacing w:val="-3"/>
          <w:w w:val="105"/>
        </w:rPr>
        <w:t>genuina</w:t>
      </w:r>
      <w:r>
        <w:rPr>
          <w:color w:val="231F20"/>
          <w:spacing w:val="-15"/>
          <w:w w:val="105"/>
        </w:rPr>
        <w:t> </w:t>
      </w:r>
      <w:r>
        <w:rPr>
          <w:color w:val="231F20"/>
          <w:spacing w:val="-4"/>
          <w:w w:val="105"/>
        </w:rPr>
        <w:t>preocupación</w:t>
      </w:r>
      <w:r>
        <w:rPr>
          <w:color w:val="231F20"/>
          <w:spacing w:val="-15"/>
          <w:w w:val="105"/>
        </w:rPr>
        <w:t> </w:t>
      </w:r>
      <w:r>
        <w:rPr>
          <w:color w:val="231F20"/>
          <w:spacing w:val="-3"/>
          <w:w w:val="105"/>
        </w:rPr>
        <w:t>por</w:t>
      </w:r>
      <w:r>
        <w:rPr>
          <w:color w:val="231F20"/>
          <w:spacing w:val="-15"/>
          <w:w w:val="105"/>
        </w:rPr>
        <w:t> </w:t>
      </w:r>
      <w:r>
        <w:rPr>
          <w:color w:val="231F20"/>
          <w:spacing w:val="-3"/>
          <w:w w:val="105"/>
        </w:rPr>
        <w:t>hacer </w:t>
      </w:r>
      <w:r>
        <w:rPr>
          <w:color w:val="231F20"/>
          <w:w w:val="105"/>
        </w:rPr>
        <w:t>una</w:t>
      </w:r>
      <w:r>
        <w:rPr>
          <w:color w:val="231F20"/>
          <w:spacing w:val="-11"/>
          <w:w w:val="105"/>
        </w:rPr>
        <w:t> </w:t>
      </w:r>
      <w:r>
        <w:rPr>
          <w:color w:val="231F20"/>
          <w:w w:val="105"/>
        </w:rPr>
        <w:t>administración</w:t>
      </w:r>
      <w:r>
        <w:rPr>
          <w:color w:val="231F20"/>
          <w:spacing w:val="-11"/>
          <w:w w:val="105"/>
        </w:rPr>
        <w:t> </w:t>
      </w:r>
      <w:r>
        <w:rPr>
          <w:color w:val="231F20"/>
          <w:spacing w:val="-3"/>
          <w:w w:val="105"/>
        </w:rPr>
        <w:t>eficiente,</w:t>
      </w:r>
      <w:r>
        <w:rPr>
          <w:color w:val="231F20"/>
          <w:spacing w:val="-11"/>
          <w:w w:val="105"/>
        </w:rPr>
        <w:t> </w:t>
      </w:r>
      <w:r>
        <w:rPr>
          <w:color w:val="231F20"/>
          <w:spacing w:val="-3"/>
          <w:w w:val="105"/>
        </w:rPr>
        <w:t>mejorar</w:t>
      </w:r>
      <w:r>
        <w:rPr>
          <w:color w:val="231F20"/>
          <w:spacing w:val="-11"/>
          <w:w w:val="105"/>
        </w:rPr>
        <w:t> </w:t>
      </w:r>
      <w:r>
        <w:rPr>
          <w:color w:val="231F20"/>
          <w:w w:val="105"/>
        </w:rPr>
        <w:t>la</w:t>
      </w:r>
      <w:r>
        <w:rPr>
          <w:color w:val="231F20"/>
          <w:spacing w:val="-11"/>
          <w:w w:val="105"/>
        </w:rPr>
        <w:t> </w:t>
      </w:r>
      <w:r>
        <w:rPr>
          <w:color w:val="231F20"/>
          <w:w w:val="105"/>
        </w:rPr>
        <w:t>infraestructura</w:t>
      </w:r>
      <w:r>
        <w:rPr>
          <w:color w:val="231F20"/>
          <w:spacing w:val="-11"/>
          <w:w w:val="105"/>
        </w:rPr>
        <w:t> </w:t>
      </w:r>
      <w:r>
        <w:rPr>
          <w:color w:val="231F20"/>
          <w:spacing w:val="-3"/>
          <w:w w:val="105"/>
        </w:rPr>
        <w:t>del</w:t>
      </w:r>
      <w:r>
        <w:rPr>
          <w:color w:val="231F20"/>
          <w:spacing w:val="-11"/>
          <w:w w:val="105"/>
        </w:rPr>
        <w:t> </w:t>
      </w:r>
      <w:r>
        <w:rPr>
          <w:color w:val="231F20"/>
          <w:spacing w:val="-3"/>
          <w:w w:val="105"/>
        </w:rPr>
        <w:t>municipio</w:t>
      </w:r>
      <w:r>
        <w:rPr>
          <w:color w:val="231F20"/>
          <w:spacing w:val="-11"/>
          <w:w w:val="105"/>
        </w:rPr>
        <w:t> </w:t>
      </w:r>
      <w:r>
        <w:rPr>
          <w:color w:val="231F20"/>
          <w:w w:val="105"/>
        </w:rPr>
        <w:t>tanto</w:t>
      </w:r>
      <w:r>
        <w:rPr>
          <w:color w:val="231F20"/>
          <w:spacing w:val="-11"/>
          <w:w w:val="105"/>
        </w:rPr>
        <w:t> </w:t>
      </w:r>
      <w:r>
        <w:rPr>
          <w:color w:val="231F20"/>
          <w:w w:val="105"/>
        </w:rPr>
        <w:t>de</w:t>
      </w:r>
      <w:r>
        <w:rPr>
          <w:color w:val="231F20"/>
          <w:spacing w:val="-11"/>
          <w:w w:val="105"/>
        </w:rPr>
        <w:t> </w:t>
      </w:r>
      <w:r>
        <w:rPr>
          <w:color w:val="231F20"/>
          <w:w w:val="105"/>
        </w:rPr>
        <w:t>servicios </w:t>
      </w:r>
      <w:r>
        <w:rPr>
          <w:color w:val="231F20"/>
          <w:spacing w:val="-3"/>
          <w:w w:val="105"/>
        </w:rPr>
        <w:t>públicos </w:t>
      </w:r>
      <w:r>
        <w:rPr>
          <w:color w:val="231F20"/>
          <w:spacing w:val="-4"/>
          <w:w w:val="105"/>
        </w:rPr>
        <w:t>como </w:t>
      </w:r>
      <w:r>
        <w:rPr>
          <w:color w:val="231F20"/>
          <w:w w:val="105"/>
        </w:rPr>
        <w:t>para estimular al </w:t>
      </w:r>
      <w:r>
        <w:rPr>
          <w:color w:val="231F20"/>
          <w:spacing w:val="-4"/>
          <w:w w:val="105"/>
        </w:rPr>
        <w:t>comercio </w:t>
      </w:r>
      <w:r>
        <w:rPr>
          <w:color w:val="231F20"/>
          <w:w w:val="105"/>
        </w:rPr>
        <w:t>y la industria, impulsar la iniciativa </w:t>
      </w:r>
      <w:r>
        <w:rPr>
          <w:color w:val="231F20"/>
          <w:spacing w:val="-3"/>
          <w:w w:val="105"/>
        </w:rPr>
        <w:t>privada </w:t>
      </w:r>
      <w:r>
        <w:rPr>
          <w:color w:val="231F20"/>
          <w:w w:val="105"/>
        </w:rPr>
        <w:t>para</w:t>
      </w:r>
      <w:r>
        <w:rPr>
          <w:color w:val="231F20"/>
          <w:spacing w:val="-21"/>
          <w:w w:val="105"/>
        </w:rPr>
        <w:t> </w:t>
      </w:r>
      <w:r>
        <w:rPr>
          <w:color w:val="231F20"/>
          <w:w w:val="105"/>
        </w:rPr>
        <w:t>crear</w:t>
      </w:r>
      <w:r>
        <w:rPr>
          <w:color w:val="231F20"/>
          <w:spacing w:val="-21"/>
          <w:w w:val="105"/>
        </w:rPr>
        <w:t> </w:t>
      </w:r>
      <w:r>
        <w:rPr>
          <w:color w:val="231F20"/>
          <w:spacing w:val="-3"/>
          <w:w w:val="105"/>
        </w:rPr>
        <w:t>empresas</w:t>
      </w:r>
      <w:r>
        <w:rPr>
          <w:color w:val="231F20"/>
          <w:spacing w:val="-21"/>
          <w:w w:val="105"/>
        </w:rPr>
        <w:t> </w:t>
      </w:r>
      <w:r>
        <w:rPr>
          <w:color w:val="231F20"/>
          <w:w w:val="105"/>
        </w:rPr>
        <w:t>y</w:t>
      </w:r>
      <w:r>
        <w:rPr>
          <w:color w:val="231F20"/>
          <w:spacing w:val="-21"/>
          <w:w w:val="105"/>
        </w:rPr>
        <w:t> </w:t>
      </w:r>
      <w:r>
        <w:rPr>
          <w:color w:val="231F20"/>
          <w:w w:val="105"/>
        </w:rPr>
        <w:t>desarrollarlas</w:t>
      </w:r>
      <w:r>
        <w:rPr>
          <w:color w:val="231F20"/>
          <w:spacing w:val="-21"/>
          <w:w w:val="105"/>
        </w:rPr>
        <w:t> </w:t>
      </w:r>
      <w:r>
        <w:rPr>
          <w:color w:val="231F20"/>
          <w:spacing w:val="-4"/>
          <w:w w:val="105"/>
        </w:rPr>
        <w:t>plenamente</w:t>
      </w:r>
      <w:r>
        <w:rPr>
          <w:color w:val="231F20"/>
          <w:spacing w:val="-21"/>
          <w:w w:val="105"/>
        </w:rPr>
        <w:t> </w:t>
      </w:r>
      <w:r>
        <w:rPr>
          <w:color w:val="231F20"/>
          <w:spacing w:val="-3"/>
          <w:w w:val="105"/>
        </w:rPr>
        <w:t>(incluso</w:t>
      </w:r>
      <w:r>
        <w:rPr>
          <w:color w:val="231F20"/>
          <w:spacing w:val="-21"/>
          <w:w w:val="105"/>
        </w:rPr>
        <w:t> </w:t>
      </w:r>
      <w:r>
        <w:rPr>
          <w:color w:val="231F20"/>
          <w:spacing w:val="-4"/>
          <w:w w:val="105"/>
        </w:rPr>
        <w:t>como</w:t>
      </w:r>
      <w:r>
        <w:rPr>
          <w:color w:val="231F20"/>
          <w:spacing w:val="-21"/>
          <w:w w:val="105"/>
        </w:rPr>
        <w:t> </w:t>
      </w:r>
      <w:r>
        <w:rPr>
          <w:color w:val="231F20"/>
          <w:spacing w:val="-4"/>
          <w:w w:val="105"/>
        </w:rPr>
        <w:t>exportadoras),</w:t>
      </w:r>
      <w:r>
        <w:rPr>
          <w:color w:val="231F20"/>
          <w:spacing w:val="-21"/>
          <w:w w:val="105"/>
        </w:rPr>
        <w:t> </w:t>
      </w:r>
      <w:r>
        <w:rPr>
          <w:color w:val="231F20"/>
          <w:w w:val="105"/>
        </w:rPr>
        <w:t>e</w:t>
      </w:r>
      <w:r>
        <w:rPr>
          <w:color w:val="231F20"/>
          <w:spacing w:val="-21"/>
          <w:w w:val="105"/>
        </w:rPr>
        <w:t> </w:t>
      </w:r>
      <w:r>
        <w:rPr>
          <w:color w:val="231F20"/>
          <w:w w:val="105"/>
        </w:rPr>
        <w:t>integrar</w:t>
      </w:r>
      <w:r>
        <w:rPr>
          <w:color w:val="231F20"/>
          <w:spacing w:val="-21"/>
          <w:w w:val="105"/>
        </w:rPr>
        <w:t> </w:t>
      </w:r>
      <w:r>
        <w:rPr>
          <w:color w:val="231F20"/>
          <w:w w:val="105"/>
        </w:rPr>
        <w:t>a </w:t>
      </w:r>
      <w:r>
        <w:rPr>
          <w:color w:val="231F20"/>
          <w:spacing w:val="-3"/>
          <w:w w:val="105"/>
        </w:rPr>
        <w:t>los</w:t>
      </w:r>
      <w:r>
        <w:rPr>
          <w:color w:val="231F20"/>
          <w:spacing w:val="-19"/>
          <w:w w:val="105"/>
        </w:rPr>
        <w:t> </w:t>
      </w:r>
      <w:r>
        <w:rPr>
          <w:color w:val="231F20"/>
          <w:spacing w:val="-3"/>
          <w:w w:val="105"/>
        </w:rPr>
        <w:t>empresarios</w:t>
      </w:r>
      <w:r>
        <w:rPr>
          <w:color w:val="231F20"/>
          <w:spacing w:val="-19"/>
          <w:w w:val="105"/>
        </w:rPr>
        <w:t> </w:t>
      </w:r>
      <w:r>
        <w:rPr>
          <w:color w:val="231F20"/>
          <w:w w:val="105"/>
        </w:rPr>
        <w:t>en</w:t>
      </w:r>
      <w:r>
        <w:rPr>
          <w:color w:val="231F20"/>
          <w:spacing w:val="-19"/>
          <w:w w:val="105"/>
        </w:rPr>
        <w:t> </w:t>
      </w:r>
      <w:r>
        <w:rPr>
          <w:color w:val="231F20"/>
          <w:w w:val="105"/>
        </w:rPr>
        <w:t>algunas</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spacing w:val="-3"/>
          <w:w w:val="105"/>
        </w:rPr>
        <w:t>actividades</w:t>
      </w:r>
      <w:r>
        <w:rPr>
          <w:color w:val="231F20"/>
          <w:spacing w:val="-19"/>
          <w:w w:val="105"/>
        </w:rPr>
        <w:t> </w:t>
      </w:r>
      <w:r>
        <w:rPr>
          <w:color w:val="231F20"/>
          <w:spacing w:val="-3"/>
          <w:w w:val="105"/>
        </w:rPr>
        <w:t>del</w:t>
      </w:r>
      <w:r>
        <w:rPr>
          <w:color w:val="231F20"/>
          <w:spacing w:val="-19"/>
          <w:w w:val="105"/>
        </w:rPr>
        <w:t> </w:t>
      </w:r>
      <w:r>
        <w:rPr>
          <w:color w:val="231F20"/>
          <w:spacing w:val="-3"/>
          <w:w w:val="105"/>
        </w:rPr>
        <w:t>ayuntamiento,</w:t>
      </w:r>
      <w:r>
        <w:rPr>
          <w:color w:val="231F20"/>
          <w:spacing w:val="-19"/>
          <w:w w:val="105"/>
        </w:rPr>
        <w:t> </w:t>
      </w:r>
      <w:r>
        <w:rPr>
          <w:color w:val="231F20"/>
          <w:w w:val="105"/>
        </w:rPr>
        <w:t>tales</w:t>
      </w:r>
      <w:r>
        <w:rPr>
          <w:color w:val="231F20"/>
          <w:spacing w:val="-19"/>
          <w:w w:val="105"/>
        </w:rPr>
        <w:t> </w:t>
      </w:r>
      <w:r>
        <w:rPr>
          <w:color w:val="231F20"/>
          <w:spacing w:val="-4"/>
          <w:w w:val="105"/>
        </w:rPr>
        <w:t>como</w:t>
      </w:r>
      <w:r>
        <w:rPr>
          <w:color w:val="231F20"/>
          <w:spacing w:val="-19"/>
          <w:w w:val="105"/>
        </w:rPr>
        <w:t> </w:t>
      </w:r>
      <w:r>
        <w:rPr>
          <w:color w:val="231F20"/>
          <w:w w:val="105"/>
        </w:rPr>
        <w:t>infraestructu- ra,</w:t>
      </w:r>
      <w:r>
        <w:rPr>
          <w:color w:val="231F20"/>
          <w:spacing w:val="-25"/>
          <w:w w:val="105"/>
        </w:rPr>
        <w:t> </w:t>
      </w:r>
      <w:r>
        <w:rPr>
          <w:color w:val="231F20"/>
          <w:spacing w:val="-3"/>
          <w:w w:val="105"/>
        </w:rPr>
        <w:t>gestión</w:t>
      </w:r>
      <w:r>
        <w:rPr>
          <w:color w:val="231F20"/>
          <w:spacing w:val="-25"/>
          <w:w w:val="105"/>
        </w:rPr>
        <w:t> </w:t>
      </w:r>
      <w:r>
        <w:rPr>
          <w:color w:val="231F20"/>
          <w:w w:val="105"/>
        </w:rPr>
        <w:t>social,</w:t>
      </w:r>
      <w:r>
        <w:rPr>
          <w:color w:val="231F20"/>
          <w:spacing w:val="-25"/>
          <w:w w:val="105"/>
        </w:rPr>
        <w:t> </w:t>
      </w:r>
      <w:r>
        <w:rPr>
          <w:color w:val="231F20"/>
          <w:spacing w:val="-4"/>
          <w:w w:val="105"/>
        </w:rPr>
        <w:t>acciones</w:t>
      </w:r>
      <w:r>
        <w:rPr>
          <w:color w:val="231F20"/>
          <w:spacing w:val="-25"/>
          <w:w w:val="105"/>
        </w:rPr>
        <w:t> </w:t>
      </w:r>
      <w:r>
        <w:rPr>
          <w:color w:val="231F20"/>
          <w:w w:val="105"/>
        </w:rPr>
        <w:t>de</w:t>
      </w:r>
      <w:r>
        <w:rPr>
          <w:color w:val="231F20"/>
          <w:spacing w:val="-25"/>
          <w:w w:val="105"/>
        </w:rPr>
        <w:t> </w:t>
      </w:r>
      <w:r>
        <w:rPr>
          <w:color w:val="231F20"/>
          <w:w w:val="105"/>
        </w:rPr>
        <w:t>filantropía,</w:t>
      </w:r>
      <w:r>
        <w:rPr>
          <w:color w:val="231F20"/>
          <w:spacing w:val="-25"/>
          <w:w w:val="105"/>
        </w:rPr>
        <w:t> </w:t>
      </w:r>
      <w:r>
        <w:rPr>
          <w:color w:val="231F20"/>
          <w:spacing w:val="-3"/>
          <w:w w:val="105"/>
        </w:rPr>
        <w:t>fideicomisos</w:t>
      </w:r>
      <w:r>
        <w:rPr>
          <w:color w:val="231F20"/>
          <w:spacing w:val="-25"/>
          <w:w w:val="105"/>
        </w:rPr>
        <w:t> </w:t>
      </w:r>
      <w:r>
        <w:rPr>
          <w:color w:val="231F20"/>
          <w:w w:val="105"/>
        </w:rPr>
        <w:t>y</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sistema</w:t>
      </w:r>
      <w:r>
        <w:rPr>
          <w:color w:val="231F20"/>
          <w:spacing w:val="-25"/>
          <w:w w:val="105"/>
        </w:rPr>
        <w:t> </w:t>
      </w:r>
      <w:r>
        <w:rPr>
          <w:color w:val="231F20"/>
          <w:w w:val="105"/>
        </w:rPr>
        <w:t>de</w:t>
      </w:r>
      <w:r>
        <w:rPr>
          <w:color w:val="231F20"/>
          <w:spacing w:val="-25"/>
          <w:w w:val="105"/>
        </w:rPr>
        <w:t> </w:t>
      </w:r>
      <w:r>
        <w:rPr>
          <w:color w:val="231F20"/>
          <w:spacing w:val="-3"/>
          <w:w w:val="105"/>
        </w:rPr>
        <w:t>microcréditos.</w:t>
      </w:r>
    </w:p>
    <w:p>
      <w:pPr>
        <w:pStyle w:val="BodyText"/>
        <w:spacing w:before="1"/>
        <w:rPr>
          <w:sz w:val="26"/>
        </w:rPr>
      </w:pPr>
    </w:p>
    <w:p>
      <w:pPr>
        <w:pStyle w:val="BodyText"/>
        <w:spacing w:line="285" w:lineRule="auto"/>
        <w:ind w:left="110" w:right="108"/>
        <w:jc w:val="both"/>
      </w:pPr>
      <w:r>
        <w:rPr>
          <w:color w:val="231F20"/>
          <w:w w:val="105"/>
        </w:rPr>
        <w:t>Como se aprecia, la vinculación con este sector es estrecha. Esto se explica, en parte, por</w:t>
      </w:r>
      <w:r>
        <w:rPr>
          <w:color w:val="231F20"/>
          <w:spacing w:val="-5"/>
          <w:w w:val="105"/>
        </w:rPr>
        <w:t> </w:t>
      </w:r>
      <w:r>
        <w:rPr>
          <w:color w:val="231F20"/>
          <w:w w:val="105"/>
        </w:rPr>
        <w:t>las</w:t>
      </w:r>
      <w:r>
        <w:rPr>
          <w:color w:val="231F20"/>
          <w:spacing w:val="-5"/>
          <w:w w:val="105"/>
        </w:rPr>
        <w:t> </w:t>
      </w:r>
      <w:r>
        <w:rPr>
          <w:color w:val="231F20"/>
          <w:w w:val="105"/>
        </w:rPr>
        <w:t>mismas</w:t>
      </w:r>
      <w:r>
        <w:rPr>
          <w:color w:val="231F20"/>
          <w:spacing w:val="-5"/>
          <w:w w:val="105"/>
        </w:rPr>
        <w:t> </w:t>
      </w:r>
      <w:r>
        <w:rPr>
          <w:color w:val="231F20"/>
          <w:w w:val="105"/>
        </w:rPr>
        <w:t>características</w:t>
      </w:r>
      <w:r>
        <w:rPr>
          <w:color w:val="231F20"/>
          <w:spacing w:val="-5"/>
          <w:w w:val="105"/>
        </w:rPr>
        <w:t> </w:t>
      </w:r>
      <w:r>
        <w:rPr>
          <w:color w:val="231F20"/>
          <w:w w:val="105"/>
        </w:rPr>
        <w:t>del</w:t>
      </w:r>
      <w:r>
        <w:rPr>
          <w:color w:val="231F20"/>
          <w:spacing w:val="-5"/>
          <w:w w:val="105"/>
        </w:rPr>
        <w:t> </w:t>
      </w:r>
      <w:r>
        <w:rPr>
          <w:color w:val="231F20"/>
          <w:w w:val="105"/>
        </w:rPr>
        <w:t>municipio</w:t>
      </w:r>
      <w:r>
        <w:rPr>
          <w:color w:val="231F20"/>
          <w:spacing w:val="-5"/>
          <w:w w:val="105"/>
        </w:rPr>
        <w:t> </w:t>
      </w:r>
      <w:r>
        <w:rPr>
          <w:color w:val="231F20"/>
          <w:w w:val="105"/>
        </w:rPr>
        <w:t>como</w:t>
      </w:r>
      <w:r>
        <w:rPr>
          <w:color w:val="231F20"/>
          <w:spacing w:val="-5"/>
          <w:w w:val="105"/>
        </w:rPr>
        <w:t> </w:t>
      </w:r>
      <w:r>
        <w:rPr>
          <w:color w:val="231F20"/>
          <w:w w:val="105"/>
        </w:rPr>
        <w:t>polo</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spacing w:val="-3"/>
          <w:w w:val="105"/>
        </w:rPr>
        <w:t>Pero</w:t>
      </w:r>
      <w:r>
        <w:rPr>
          <w:color w:val="231F20"/>
          <w:spacing w:val="-5"/>
          <w:w w:val="105"/>
        </w:rPr>
        <w:t> </w:t>
      </w:r>
      <w:r>
        <w:rPr>
          <w:color w:val="231F20"/>
          <w:w w:val="105"/>
        </w:rPr>
        <w:t>también</w:t>
      </w:r>
      <w:r>
        <w:rPr>
          <w:color w:val="231F20"/>
          <w:spacing w:val="-5"/>
          <w:w w:val="105"/>
        </w:rPr>
        <w:t> </w:t>
      </w:r>
      <w:r>
        <w:rPr>
          <w:color w:val="231F20"/>
          <w:w w:val="105"/>
        </w:rPr>
        <w:t>se debe</w:t>
      </w:r>
      <w:r>
        <w:rPr>
          <w:color w:val="231F20"/>
          <w:spacing w:val="-6"/>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posiciones</w:t>
      </w:r>
      <w:r>
        <w:rPr>
          <w:color w:val="231F20"/>
          <w:spacing w:val="-6"/>
          <w:w w:val="105"/>
        </w:rPr>
        <w:t> </w:t>
      </w:r>
      <w:r>
        <w:rPr>
          <w:color w:val="231F20"/>
          <w:w w:val="105"/>
        </w:rPr>
        <w:t>ideológicas</w:t>
      </w:r>
      <w:r>
        <w:rPr>
          <w:color w:val="231F20"/>
          <w:spacing w:val="-6"/>
          <w:w w:val="105"/>
        </w:rPr>
        <w:t> </w:t>
      </w:r>
      <w:r>
        <w:rPr>
          <w:color w:val="231F20"/>
          <w:w w:val="105"/>
        </w:rPr>
        <w:t>del</w:t>
      </w:r>
      <w:r>
        <w:rPr>
          <w:color w:val="231F20"/>
          <w:spacing w:val="-6"/>
          <w:w w:val="105"/>
        </w:rPr>
        <w:t> </w:t>
      </w:r>
      <w:r>
        <w:rPr>
          <w:color w:val="231F20"/>
          <w:w w:val="105"/>
        </w:rPr>
        <w:t>panismo,</w:t>
      </w:r>
      <w:r>
        <w:rPr>
          <w:color w:val="231F20"/>
          <w:spacing w:val="-6"/>
          <w:w w:val="105"/>
        </w:rPr>
        <w:t> </w:t>
      </w:r>
      <w:r>
        <w:rPr>
          <w:color w:val="231F20"/>
          <w:w w:val="105"/>
        </w:rPr>
        <w:t>proclives</w:t>
      </w:r>
      <w:r>
        <w:rPr>
          <w:color w:val="231F20"/>
          <w:spacing w:val="-6"/>
          <w:w w:val="105"/>
        </w:rPr>
        <w:t> </w:t>
      </w:r>
      <w:r>
        <w:rPr>
          <w:color w:val="231F20"/>
          <w:w w:val="105"/>
        </w:rPr>
        <w:t>a</w:t>
      </w:r>
      <w:r>
        <w:rPr>
          <w:color w:val="231F20"/>
          <w:spacing w:val="-6"/>
          <w:w w:val="105"/>
        </w:rPr>
        <w:t> </w:t>
      </w:r>
      <w:r>
        <w:rPr>
          <w:color w:val="231F20"/>
          <w:w w:val="105"/>
        </w:rPr>
        <w:t>dar</w:t>
      </w:r>
      <w:r>
        <w:rPr>
          <w:color w:val="231F20"/>
          <w:spacing w:val="-6"/>
          <w:w w:val="105"/>
        </w:rPr>
        <w:t> </w:t>
      </w:r>
      <w:r>
        <w:rPr>
          <w:color w:val="231F20"/>
          <w:w w:val="105"/>
        </w:rPr>
        <w:t>un</w:t>
      </w:r>
      <w:r>
        <w:rPr>
          <w:color w:val="231F20"/>
          <w:spacing w:val="-6"/>
          <w:w w:val="105"/>
        </w:rPr>
        <w:t> </w:t>
      </w:r>
      <w:r>
        <w:rPr>
          <w:color w:val="231F20"/>
          <w:w w:val="105"/>
        </w:rPr>
        <w:t>lugar</w:t>
      </w:r>
      <w:r>
        <w:rPr>
          <w:color w:val="231F20"/>
          <w:spacing w:val="-6"/>
          <w:w w:val="105"/>
        </w:rPr>
        <w:t> </w:t>
      </w:r>
      <w:r>
        <w:rPr>
          <w:color w:val="231F20"/>
          <w:w w:val="105"/>
        </w:rPr>
        <w:t>importante</w:t>
      </w:r>
      <w:r>
        <w:rPr>
          <w:color w:val="231F20"/>
          <w:spacing w:val="-6"/>
          <w:w w:val="105"/>
        </w:rPr>
        <w:t> </w:t>
      </w:r>
      <w:r>
        <w:rPr>
          <w:color w:val="231F20"/>
          <w:w w:val="105"/>
        </w:rPr>
        <w:t>a</w:t>
      </w:r>
      <w:r>
        <w:rPr>
          <w:color w:val="231F20"/>
          <w:spacing w:val="-6"/>
          <w:w w:val="105"/>
        </w:rPr>
        <w:t> </w:t>
      </w:r>
      <w:r>
        <w:rPr>
          <w:color w:val="231F20"/>
          <w:w w:val="105"/>
        </w:rPr>
        <w:t>la </w:t>
      </w:r>
      <w:r>
        <w:rPr>
          <w:color w:val="231F20"/>
        </w:rPr>
        <w:t>iniciativa</w:t>
      </w:r>
      <w:r>
        <w:rPr>
          <w:color w:val="231F20"/>
          <w:spacing w:val="31"/>
        </w:rPr>
        <w:t> </w:t>
      </w:r>
      <w:r>
        <w:rPr>
          <w:color w:val="231F20"/>
        </w:rPr>
        <w:t>privada.</w:t>
      </w:r>
    </w:p>
    <w:p>
      <w:pPr>
        <w:pStyle w:val="BodyText"/>
        <w:spacing w:before="1"/>
        <w:rPr>
          <w:sz w:val="26"/>
        </w:rPr>
      </w:pPr>
    </w:p>
    <w:p>
      <w:pPr>
        <w:pStyle w:val="BodyText"/>
        <w:spacing w:line="285" w:lineRule="auto"/>
        <w:ind w:left="110" w:right="107"/>
        <w:jc w:val="both"/>
      </w:pPr>
      <w:r>
        <w:rPr>
          <w:color w:val="231F20"/>
          <w:w w:val="105"/>
        </w:rPr>
        <w:t>La </w:t>
      </w:r>
      <w:r>
        <w:rPr>
          <w:color w:val="231F20"/>
          <w:spacing w:val="2"/>
          <w:w w:val="105"/>
        </w:rPr>
        <w:t>administración </w:t>
      </w:r>
      <w:r>
        <w:rPr>
          <w:color w:val="231F20"/>
          <w:spacing w:val="3"/>
          <w:w w:val="105"/>
        </w:rPr>
        <w:t>panista, </w:t>
      </w:r>
      <w:r>
        <w:rPr>
          <w:color w:val="231F20"/>
          <w:w w:val="105"/>
        </w:rPr>
        <w:t>ciertamente, mantuvo </w:t>
      </w:r>
      <w:r>
        <w:rPr>
          <w:color w:val="231F20"/>
          <w:spacing w:val="4"/>
          <w:w w:val="105"/>
        </w:rPr>
        <w:t>algunas </w:t>
      </w:r>
      <w:r>
        <w:rPr>
          <w:color w:val="231F20"/>
          <w:spacing w:val="2"/>
          <w:w w:val="105"/>
        </w:rPr>
        <w:t>políticas </w:t>
      </w:r>
      <w:r>
        <w:rPr>
          <w:color w:val="231F20"/>
          <w:w w:val="105"/>
        </w:rPr>
        <w:t>de corte </w:t>
      </w:r>
      <w:r>
        <w:rPr>
          <w:color w:val="231F20"/>
          <w:spacing w:val="2"/>
          <w:w w:val="105"/>
        </w:rPr>
        <w:t>social, </w:t>
      </w:r>
      <w:r>
        <w:rPr>
          <w:color w:val="231F20"/>
          <w:w w:val="105"/>
        </w:rPr>
        <w:t>pero </w:t>
      </w:r>
      <w:r>
        <w:rPr>
          <w:color w:val="231F20"/>
          <w:spacing w:val="2"/>
          <w:w w:val="105"/>
        </w:rPr>
        <w:t>fundamentalmente </w:t>
      </w:r>
      <w:r>
        <w:rPr>
          <w:color w:val="231F20"/>
          <w:w w:val="105"/>
        </w:rPr>
        <w:t>con </w:t>
      </w:r>
      <w:r>
        <w:rPr>
          <w:color w:val="231F20"/>
          <w:spacing w:val="2"/>
          <w:w w:val="105"/>
        </w:rPr>
        <w:t>recursos </w:t>
      </w:r>
      <w:r>
        <w:rPr>
          <w:color w:val="231F20"/>
          <w:w w:val="105"/>
        </w:rPr>
        <w:t>federales. </w:t>
      </w:r>
      <w:r>
        <w:rPr>
          <w:color w:val="231F20"/>
          <w:spacing w:val="2"/>
          <w:w w:val="105"/>
        </w:rPr>
        <w:t>Conservó </w:t>
      </w:r>
      <w:r>
        <w:rPr>
          <w:color w:val="231F20"/>
          <w:spacing w:val="3"/>
          <w:w w:val="105"/>
        </w:rPr>
        <w:t>becas </w:t>
      </w:r>
      <w:r>
        <w:rPr>
          <w:color w:val="231F20"/>
          <w:spacing w:val="2"/>
          <w:w w:val="105"/>
        </w:rPr>
        <w:t>para </w:t>
      </w:r>
      <w:r>
        <w:rPr>
          <w:color w:val="231F20"/>
          <w:w w:val="105"/>
        </w:rPr>
        <w:t>adultos ma- yores y otorgó </w:t>
      </w:r>
      <w:r>
        <w:rPr>
          <w:color w:val="231F20"/>
          <w:spacing w:val="2"/>
          <w:w w:val="105"/>
        </w:rPr>
        <w:t>otras </w:t>
      </w:r>
      <w:r>
        <w:rPr>
          <w:color w:val="231F20"/>
          <w:w w:val="105"/>
        </w:rPr>
        <w:t>a madres solteras, pero su reducido número es evidencia de la </w:t>
      </w:r>
      <w:r>
        <w:rPr>
          <w:color w:val="231F20"/>
          <w:spacing w:val="2"/>
          <w:w w:val="105"/>
        </w:rPr>
        <w:t>poca importancia </w:t>
      </w:r>
      <w:r>
        <w:rPr>
          <w:color w:val="231F20"/>
          <w:w w:val="105"/>
        </w:rPr>
        <w:t>que tiene como </w:t>
      </w:r>
      <w:r>
        <w:rPr>
          <w:color w:val="231F20"/>
          <w:spacing w:val="3"/>
          <w:w w:val="105"/>
        </w:rPr>
        <w:t>parte </w:t>
      </w:r>
      <w:r>
        <w:rPr>
          <w:color w:val="231F20"/>
          <w:w w:val="105"/>
        </w:rPr>
        <w:t>de la </w:t>
      </w:r>
      <w:r>
        <w:rPr>
          <w:color w:val="231F20"/>
          <w:spacing w:val="2"/>
          <w:w w:val="105"/>
        </w:rPr>
        <w:t>tarea </w:t>
      </w:r>
      <w:r>
        <w:rPr>
          <w:color w:val="231F20"/>
          <w:w w:val="105"/>
        </w:rPr>
        <w:t>de gobernar. Puede </w:t>
      </w:r>
      <w:r>
        <w:rPr>
          <w:color w:val="231F20"/>
          <w:spacing w:val="2"/>
          <w:w w:val="105"/>
        </w:rPr>
        <w:t>decirse </w:t>
      </w:r>
      <w:r>
        <w:rPr>
          <w:color w:val="231F20"/>
          <w:w w:val="105"/>
        </w:rPr>
        <w:t>lo </w:t>
      </w:r>
      <w:r>
        <w:rPr>
          <w:color w:val="231F20"/>
          <w:spacing w:val="3"/>
          <w:w w:val="105"/>
        </w:rPr>
        <w:t>mis- </w:t>
      </w:r>
      <w:r>
        <w:rPr>
          <w:color w:val="231F20"/>
          <w:w w:val="105"/>
        </w:rPr>
        <w:t>mo </w:t>
      </w:r>
      <w:r>
        <w:rPr>
          <w:color w:val="231F20"/>
          <w:spacing w:val="2"/>
          <w:w w:val="105"/>
        </w:rPr>
        <w:t>respecto </w:t>
      </w:r>
      <w:r>
        <w:rPr>
          <w:color w:val="231F20"/>
          <w:w w:val="105"/>
        </w:rPr>
        <w:t>de </w:t>
      </w:r>
      <w:r>
        <w:rPr>
          <w:color w:val="231F20"/>
          <w:spacing w:val="2"/>
          <w:w w:val="105"/>
        </w:rPr>
        <w:t>las </w:t>
      </w:r>
      <w:r>
        <w:rPr>
          <w:color w:val="231F20"/>
          <w:w w:val="105"/>
        </w:rPr>
        <w:t>acciones hacia los trabajadores, que son prácticamente </w:t>
      </w:r>
      <w:r>
        <w:rPr>
          <w:color w:val="231F20"/>
          <w:spacing w:val="2"/>
          <w:w w:val="105"/>
        </w:rPr>
        <w:t>nulas. </w:t>
      </w:r>
      <w:r>
        <w:rPr>
          <w:color w:val="231F20"/>
          <w:w w:val="105"/>
        </w:rPr>
        <w:t>Por ejemplo,</w:t>
      </w:r>
      <w:r>
        <w:rPr>
          <w:color w:val="231F20"/>
          <w:spacing w:val="-13"/>
          <w:w w:val="105"/>
        </w:rPr>
        <w:t> </w:t>
      </w:r>
      <w:r>
        <w:rPr>
          <w:color w:val="231F20"/>
          <w:spacing w:val="2"/>
          <w:w w:val="105"/>
        </w:rPr>
        <w:t>para</w:t>
      </w:r>
      <w:r>
        <w:rPr>
          <w:color w:val="231F20"/>
          <w:spacing w:val="-13"/>
          <w:w w:val="105"/>
        </w:rPr>
        <w:t> </w:t>
      </w:r>
      <w:r>
        <w:rPr>
          <w:color w:val="231F20"/>
          <w:spacing w:val="3"/>
          <w:w w:val="105"/>
        </w:rPr>
        <w:t>estimular</w:t>
      </w:r>
      <w:r>
        <w:rPr>
          <w:color w:val="231F20"/>
          <w:spacing w:val="-13"/>
          <w:w w:val="105"/>
        </w:rPr>
        <w:t> </w:t>
      </w:r>
      <w:r>
        <w:rPr>
          <w:color w:val="231F20"/>
          <w:w w:val="105"/>
        </w:rPr>
        <w:t>el</w:t>
      </w:r>
      <w:r>
        <w:rPr>
          <w:color w:val="231F20"/>
          <w:spacing w:val="-13"/>
          <w:w w:val="105"/>
        </w:rPr>
        <w:t> </w:t>
      </w:r>
      <w:r>
        <w:rPr>
          <w:color w:val="231F20"/>
          <w:w w:val="105"/>
        </w:rPr>
        <w:t>empleo,</w:t>
      </w:r>
      <w:r>
        <w:rPr>
          <w:color w:val="231F20"/>
          <w:spacing w:val="-13"/>
          <w:w w:val="105"/>
        </w:rPr>
        <w:t> </w:t>
      </w:r>
      <w:r>
        <w:rPr>
          <w:color w:val="231F20"/>
          <w:w w:val="105"/>
        </w:rPr>
        <w:t>el</w:t>
      </w:r>
      <w:r>
        <w:rPr>
          <w:color w:val="231F20"/>
          <w:spacing w:val="-13"/>
          <w:w w:val="105"/>
        </w:rPr>
        <w:t> </w:t>
      </w:r>
      <w:r>
        <w:rPr>
          <w:color w:val="231F20"/>
          <w:w w:val="105"/>
        </w:rPr>
        <w:t>gobierno</w:t>
      </w:r>
      <w:r>
        <w:rPr>
          <w:color w:val="231F20"/>
          <w:spacing w:val="-13"/>
          <w:w w:val="105"/>
        </w:rPr>
        <w:t> </w:t>
      </w:r>
      <w:r>
        <w:rPr>
          <w:color w:val="231F20"/>
          <w:spacing w:val="3"/>
          <w:w w:val="105"/>
        </w:rPr>
        <w:t>realizó</w:t>
      </w:r>
      <w:r>
        <w:rPr>
          <w:color w:val="231F20"/>
          <w:spacing w:val="-13"/>
          <w:w w:val="105"/>
        </w:rPr>
        <w:t> </w:t>
      </w:r>
      <w:r>
        <w:rPr>
          <w:color w:val="231F20"/>
          <w:w w:val="105"/>
        </w:rPr>
        <w:t>ferias,</w:t>
      </w:r>
      <w:r>
        <w:rPr>
          <w:color w:val="231F20"/>
          <w:spacing w:val="-13"/>
          <w:w w:val="105"/>
        </w:rPr>
        <w:t> </w:t>
      </w:r>
      <w:r>
        <w:rPr>
          <w:color w:val="231F20"/>
          <w:w w:val="105"/>
        </w:rPr>
        <w:t>creó</w:t>
      </w:r>
      <w:r>
        <w:rPr>
          <w:color w:val="231F20"/>
          <w:spacing w:val="-13"/>
          <w:w w:val="105"/>
        </w:rPr>
        <w:t> </w:t>
      </w:r>
      <w:r>
        <w:rPr>
          <w:color w:val="231F20"/>
          <w:spacing w:val="3"/>
          <w:w w:val="105"/>
        </w:rPr>
        <w:t>una</w:t>
      </w:r>
      <w:r>
        <w:rPr>
          <w:color w:val="231F20"/>
          <w:spacing w:val="-13"/>
          <w:w w:val="105"/>
        </w:rPr>
        <w:t> </w:t>
      </w:r>
      <w:r>
        <w:rPr>
          <w:color w:val="231F20"/>
          <w:spacing w:val="2"/>
          <w:w w:val="105"/>
        </w:rPr>
        <w:t>bolsa</w:t>
      </w:r>
      <w:r>
        <w:rPr>
          <w:color w:val="231F20"/>
          <w:spacing w:val="-13"/>
          <w:w w:val="105"/>
        </w:rPr>
        <w:t> </w:t>
      </w:r>
      <w:r>
        <w:rPr>
          <w:color w:val="231F20"/>
          <w:w w:val="105"/>
        </w:rPr>
        <w:t>de</w:t>
      </w:r>
      <w:r>
        <w:rPr>
          <w:color w:val="231F20"/>
          <w:spacing w:val="-13"/>
          <w:w w:val="105"/>
        </w:rPr>
        <w:t> </w:t>
      </w:r>
      <w:r>
        <w:rPr>
          <w:color w:val="231F20"/>
          <w:w w:val="105"/>
        </w:rPr>
        <w:t>trabajo y</w:t>
      </w:r>
      <w:r>
        <w:rPr>
          <w:color w:val="231F20"/>
          <w:spacing w:val="-4"/>
          <w:w w:val="105"/>
        </w:rPr>
        <w:t> </w:t>
      </w:r>
      <w:r>
        <w:rPr>
          <w:color w:val="231F20"/>
          <w:w w:val="105"/>
        </w:rPr>
        <w:t>dio</w:t>
      </w:r>
      <w:r>
        <w:rPr>
          <w:color w:val="231F20"/>
          <w:spacing w:val="-4"/>
          <w:w w:val="105"/>
        </w:rPr>
        <w:t> </w:t>
      </w:r>
      <w:r>
        <w:rPr>
          <w:color w:val="231F20"/>
          <w:w w:val="105"/>
        </w:rPr>
        <w:t>capacitación</w:t>
      </w:r>
      <w:r>
        <w:rPr>
          <w:color w:val="231F20"/>
          <w:spacing w:val="-4"/>
          <w:w w:val="105"/>
        </w:rPr>
        <w:t> </w:t>
      </w:r>
      <w:r>
        <w:rPr>
          <w:color w:val="231F20"/>
          <w:w w:val="105"/>
        </w:rPr>
        <w:t>a</w:t>
      </w:r>
      <w:r>
        <w:rPr>
          <w:color w:val="231F20"/>
          <w:spacing w:val="-4"/>
          <w:w w:val="105"/>
        </w:rPr>
        <w:t> </w:t>
      </w:r>
      <w:r>
        <w:rPr>
          <w:color w:val="231F20"/>
          <w:w w:val="105"/>
        </w:rPr>
        <w:t>desempleados.</w:t>
      </w:r>
      <w:r>
        <w:rPr>
          <w:color w:val="231F20"/>
          <w:spacing w:val="-4"/>
          <w:w w:val="105"/>
        </w:rPr>
        <w:t> </w:t>
      </w:r>
      <w:r>
        <w:rPr>
          <w:color w:val="231F20"/>
          <w:w w:val="105"/>
        </w:rPr>
        <w:t>Ni</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spacing w:val="3"/>
          <w:w w:val="105"/>
        </w:rPr>
        <w:t>discurso</w:t>
      </w:r>
      <w:r>
        <w:rPr>
          <w:color w:val="231F20"/>
          <w:spacing w:val="-4"/>
          <w:w w:val="105"/>
        </w:rPr>
        <w:t> </w:t>
      </w:r>
      <w:r>
        <w:rPr>
          <w:color w:val="231F20"/>
          <w:spacing w:val="3"/>
          <w:w w:val="105"/>
        </w:rPr>
        <w:t>ni</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práctica</w:t>
      </w:r>
      <w:r>
        <w:rPr>
          <w:color w:val="231F20"/>
          <w:spacing w:val="-4"/>
          <w:w w:val="105"/>
        </w:rPr>
        <w:t> </w:t>
      </w:r>
      <w:r>
        <w:rPr>
          <w:color w:val="231F20"/>
          <w:w w:val="105"/>
        </w:rPr>
        <w:t>sostuvo</w:t>
      </w:r>
      <w:r>
        <w:rPr>
          <w:color w:val="231F20"/>
          <w:spacing w:val="-4"/>
          <w:w w:val="105"/>
        </w:rPr>
        <w:t> </w:t>
      </w:r>
      <w:r>
        <w:rPr>
          <w:color w:val="231F20"/>
          <w:spacing w:val="3"/>
          <w:w w:val="105"/>
        </w:rPr>
        <w:t>una</w:t>
      </w:r>
      <w:r>
        <w:rPr>
          <w:color w:val="231F20"/>
          <w:spacing w:val="-4"/>
          <w:w w:val="105"/>
        </w:rPr>
        <w:t> </w:t>
      </w:r>
      <w:r>
        <w:rPr>
          <w:color w:val="231F20"/>
          <w:w w:val="105"/>
        </w:rPr>
        <w:t>po- </w:t>
      </w:r>
      <w:r>
        <w:rPr>
          <w:color w:val="231F20"/>
          <w:spacing w:val="2"/>
          <w:w w:val="105"/>
        </w:rPr>
        <w:t>lítica</w:t>
      </w:r>
      <w:r>
        <w:rPr>
          <w:color w:val="231F20"/>
          <w:spacing w:val="-7"/>
          <w:w w:val="105"/>
        </w:rPr>
        <w:t> </w:t>
      </w:r>
      <w:r>
        <w:rPr>
          <w:color w:val="231F20"/>
          <w:w w:val="105"/>
        </w:rPr>
        <w:t>de</w:t>
      </w:r>
      <w:r>
        <w:rPr>
          <w:color w:val="231F20"/>
          <w:spacing w:val="-7"/>
          <w:w w:val="105"/>
        </w:rPr>
        <w:t> </w:t>
      </w:r>
      <w:r>
        <w:rPr>
          <w:color w:val="231F20"/>
          <w:w w:val="105"/>
        </w:rPr>
        <w:t>defensa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intereses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trabajadores,</w:t>
      </w:r>
      <w:r>
        <w:rPr>
          <w:color w:val="231F20"/>
          <w:spacing w:val="-7"/>
          <w:w w:val="105"/>
        </w:rPr>
        <w:t> </w:t>
      </w:r>
      <w:r>
        <w:rPr>
          <w:color w:val="231F20"/>
          <w:spacing w:val="2"/>
          <w:w w:val="105"/>
        </w:rPr>
        <w:t>para</w:t>
      </w:r>
      <w:r>
        <w:rPr>
          <w:color w:val="231F20"/>
          <w:spacing w:val="-7"/>
          <w:w w:val="105"/>
        </w:rPr>
        <w:t> </w:t>
      </w:r>
      <w:r>
        <w:rPr>
          <w:color w:val="231F20"/>
          <w:w w:val="105"/>
        </w:rPr>
        <w:t>la</w:t>
      </w:r>
      <w:r>
        <w:rPr>
          <w:color w:val="231F20"/>
          <w:spacing w:val="-7"/>
          <w:w w:val="105"/>
        </w:rPr>
        <w:t> </w:t>
      </w:r>
      <w:r>
        <w:rPr>
          <w:color w:val="231F20"/>
          <w:w w:val="105"/>
        </w:rPr>
        <w:t>mejora</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condiciones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6"/>
        <w:jc w:val="both"/>
      </w:pPr>
      <w:r>
        <w:rPr>
          <w:color w:val="231F20"/>
          <w:w w:val="105"/>
        </w:rPr>
        <w:t>laborales o de sus emolumentos. Algo parecido sucedió con el extenso número de naucalpenses dedicados al comercio informal, respecto del cual únicamente buscó re- gularlo para, a su vez, obtener recursos de carácter tributario. Si se contrasta esto con lo que el gobierno hizo a favor de los empresarios, la diferencia es abismal: diversas instancias de la estructura municipal fueron expresamente orientadas a su atención; se les integró en comités y fideicomisos del ayuntamiento; se les asesoró para su fun- cionamiento regular; se les ayudó para buscar una mayor proyección hacia el extran- jero; se les buscó para que colaboraran con obras de infraestructura; y también para que secundaran al panismo en acciones de carácter filantrópico (las cuales, desde la perspectiva de los gobernantes, coadyuvarían al combate a la pobreza).</w:t>
      </w:r>
    </w:p>
    <w:p>
      <w:pPr>
        <w:pStyle w:val="BodyText"/>
        <w:spacing w:before="1"/>
        <w:rPr>
          <w:sz w:val="26"/>
        </w:rPr>
      </w:pPr>
    </w:p>
    <w:p>
      <w:pPr>
        <w:pStyle w:val="BodyText"/>
        <w:spacing w:line="285" w:lineRule="auto"/>
        <w:ind w:left="110" w:right="107"/>
        <w:jc w:val="both"/>
      </w:pPr>
      <w:r>
        <w:rPr>
          <w:color w:val="231F20"/>
          <w:w w:val="105"/>
        </w:rPr>
        <w:t>Con este perfil, el panismo ha ganado ya varias elecciones en Naucalpan, lo que de- nota (en parte) una significativa aceptación de la ciudadanía en torno a sus acciones de gobierno. Pero también esto podría explicarse por los estrechos vínculos que ha confeccionado con el sector empresarial, que es importante no sólo en el municipio sino en el Estado de México.</w:t>
      </w:r>
    </w:p>
    <w:p>
      <w:pPr>
        <w:pStyle w:val="BodyText"/>
        <w:spacing w:before="9"/>
      </w:pPr>
    </w:p>
    <w:p>
      <w:pPr>
        <w:pStyle w:val="Heading3"/>
        <w:ind w:right="574"/>
        <w:jc w:val="left"/>
      </w:pPr>
      <w:r>
        <w:rPr>
          <w:color w:val="231F20"/>
          <w:w w:val="105"/>
        </w:rPr>
        <w:t>Fuentes de consulta</w:t>
      </w:r>
    </w:p>
    <w:p>
      <w:pPr>
        <w:spacing w:line="348" w:lineRule="auto" w:before="75"/>
        <w:ind w:left="393" w:right="303" w:hanging="284"/>
        <w:jc w:val="left"/>
        <w:rPr>
          <w:sz w:val="18"/>
        </w:rPr>
      </w:pPr>
      <w:r>
        <w:rPr>
          <w:color w:val="231F20"/>
          <w:sz w:val="18"/>
        </w:rPr>
        <w:t>AGUILAR RODRÍGUEZ, David, </w:t>
      </w:r>
      <w:r>
        <w:rPr>
          <w:color w:val="231F20"/>
          <w:spacing w:val="3"/>
          <w:sz w:val="18"/>
        </w:rPr>
        <w:t>2006, </w:t>
      </w:r>
      <w:r>
        <w:rPr>
          <w:color w:val="231F20"/>
          <w:sz w:val="18"/>
        </w:rPr>
        <w:t>La evaluación en la gestión pública municipal: Tres estudios      de </w:t>
      </w:r>
      <w:r>
        <w:rPr>
          <w:color w:val="231F20"/>
          <w:spacing w:val="2"/>
          <w:sz w:val="18"/>
        </w:rPr>
        <w:t>caso </w:t>
      </w:r>
      <w:r>
        <w:rPr>
          <w:color w:val="231F20"/>
          <w:sz w:val="18"/>
        </w:rPr>
        <w:t>en materia de servicios públicos, en los municipios de Ecatepec, Naucalpan, y Tlalnepantla </w:t>
      </w:r>
      <w:r>
        <w:rPr>
          <w:color w:val="231F20"/>
          <w:spacing w:val="2"/>
          <w:sz w:val="18"/>
        </w:rPr>
        <w:t>2000-2003, </w:t>
      </w:r>
      <w:r>
        <w:rPr>
          <w:color w:val="231F20"/>
          <w:sz w:val="18"/>
        </w:rPr>
        <w:t>México, UNAM-FCPyS, Tesis de Doctorado en Ciencias Políticas y Sociales, 290   </w:t>
      </w:r>
      <w:r>
        <w:rPr>
          <w:color w:val="231F20"/>
          <w:spacing w:val="1"/>
          <w:sz w:val="18"/>
        </w:rPr>
        <w:t> </w:t>
      </w:r>
      <w:r>
        <w:rPr>
          <w:color w:val="231F20"/>
          <w:sz w:val="18"/>
        </w:rPr>
        <w:t>p</w:t>
      </w:r>
    </w:p>
    <w:p>
      <w:pPr>
        <w:spacing w:line="348" w:lineRule="auto" w:before="3"/>
        <w:ind w:left="393" w:right="357" w:hanging="284"/>
        <w:jc w:val="left"/>
        <w:rPr>
          <w:sz w:val="18"/>
        </w:rPr>
      </w:pPr>
      <w:r>
        <w:rPr>
          <w:color w:val="231F20"/>
          <w:w w:val="105"/>
          <w:sz w:val="18"/>
        </w:rPr>
        <w:t>CAMACHO ALCOCER, Héctor, 2007, Municipios frente a la transparencia, acceso a la información pública y rendición de cuentas, el caso de Naucalpan de Juárez, México, UNAM-Facultad</w:t>
      </w:r>
    </w:p>
    <w:p>
      <w:pPr>
        <w:spacing w:before="3"/>
        <w:ind w:left="393" w:right="574" w:firstLine="0"/>
        <w:jc w:val="left"/>
        <w:rPr>
          <w:sz w:val="18"/>
        </w:rPr>
      </w:pPr>
      <w:r>
        <w:rPr>
          <w:color w:val="231F20"/>
          <w:w w:val="105"/>
          <w:sz w:val="18"/>
        </w:rPr>
        <w:t>de Estudios Superiores Acatlán, Tesis de Licenciatura en Derecho, 433 p.</w:t>
      </w:r>
    </w:p>
    <w:p>
      <w:pPr>
        <w:spacing w:before="93"/>
        <w:ind w:left="110" w:right="574" w:firstLine="0"/>
        <w:jc w:val="left"/>
        <w:rPr>
          <w:sz w:val="18"/>
        </w:rPr>
      </w:pPr>
      <w:r>
        <w:rPr>
          <w:color w:val="231F20"/>
          <w:sz w:val="18"/>
        </w:rPr>
        <w:t>CASTILLO ARELLANO, Hugo Jacobo, 2004, Los efectos de la alternancia  política</w:t>
      </w:r>
    </w:p>
    <w:p>
      <w:pPr>
        <w:spacing w:line="348" w:lineRule="auto" w:before="93"/>
        <w:ind w:left="393" w:right="303" w:firstLine="0"/>
        <w:jc w:val="left"/>
        <w:rPr>
          <w:sz w:val="18"/>
        </w:rPr>
      </w:pPr>
      <w:r>
        <w:rPr>
          <w:color w:val="231F20"/>
          <w:w w:val="105"/>
          <w:sz w:val="18"/>
        </w:rPr>
        <w:t>en la administración pública municipal, estudio de caso: Naucalpan de Juárez, Estado de México, periodo</w:t>
      </w:r>
      <w:r>
        <w:rPr>
          <w:color w:val="231F20"/>
          <w:spacing w:val="-21"/>
          <w:w w:val="105"/>
          <w:sz w:val="18"/>
        </w:rPr>
        <w:t> </w:t>
      </w:r>
      <w:r>
        <w:rPr>
          <w:color w:val="231F20"/>
          <w:w w:val="105"/>
          <w:sz w:val="18"/>
        </w:rPr>
        <w:t>1994-1996</w:t>
      </w:r>
      <w:r>
        <w:rPr>
          <w:color w:val="231F20"/>
          <w:spacing w:val="-21"/>
          <w:w w:val="105"/>
          <w:sz w:val="18"/>
        </w:rPr>
        <w:t> </w:t>
      </w:r>
      <w:r>
        <w:rPr>
          <w:color w:val="231F20"/>
          <w:w w:val="105"/>
          <w:sz w:val="18"/>
        </w:rPr>
        <w:t>y</w:t>
      </w:r>
      <w:r>
        <w:rPr>
          <w:color w:val="231F20"/>
          <w:spacing w:val="-21"/>
          <w:w w:val="105"/>
          <w:sz w:val="18"/>
        </w:rPr>
        <w:t> </w:t>
      </w:r>
      <w:r>
        <w:rPr>
          <w:color w:val="231F20"/>
          <w:w w:val="105"/>
          <w:sz w:val="18"/>
        </w:rPr>
        <w:t>1997-2000,</w:t>
      </w:r>
      <w:r>
        <w:rPr>
          <w:color w:val="231F20"/>
          <w:spacing w:val="-21"/>
          <w:w w:val="105"/>
          <w:sz w:val="18"/>
        </w:rPr>
        <w:t> </w:t>
      </w:r>
      <w:r>
        <w:rPr>
          <w:color w:val="231F20"/>
          <w:w w:val="105"/>
          <w:sz w:val="18"/>
        </w:rPr>
        <w:t>México,</w:t>
      </w:r>
      <w:r>
        <w:rPr>
          <w:color w:val="231F20"/>
          <w:spacing w:val="-21"/>
          <w:w w:val="105"/>
          <w:sz w:val="18"/>
        </w:rPr>
        <w:t> </w:t>
      </w:r>
      <w:r>
        <w:rPr>
          <w:color w:val="231F20"/>
          <w:w w:val="105"/>
          <w:sz w:val="18"/>
        </w:rPr>
        <w:t>UAEM,</w:t>
      </w:r>
      <w:r>
        <w:rPr>
          <w:color w:val="231F20"/>
          <w:spacing w:val="-21"/>
          <w:w w:val="105"/>
          <w:sz w:val="18"/>
        </w:rPr>
        <w:t> </w:t>
      </w:r>
      <w:r>
        <w:rPr>
          <w:color w:val="231F20"/>
          <w:w w:val="105"/>
          <w:sz w:val="18"/>
        </w:rPr>
        <w:t>FCPyAP,</w:t>
      </w:r>
      <w:r>
        <w:rPr>
          <w:color w:val="231F20"/>
          <w:spacing w:val="-21"/>
          <w:w w:val="105"/>
          <w:sz w:val="18"/>
        </w:rPr>
        <w:t> </w:t>
      </w:r>
      <w:r>
        <w:rPr>
          <w:color w:val="231F20"/>
          <w:w w:val="105"/>
          <w:sz w:val="18"/>
        </w:rPr>
        <w:t>Tesis</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licenciatura</w:t>
      </w:r>
      <w:r>
        <w:rPr>
          <w:color w:val="231F20"/>
          <w:spacing w:val="-21"/>
          <w:w w:val="105"/>
          <w:sz w:val="18"/>
        </w:rPr>
        <w:t> </w:t>
      </w:r>
      <w:r>
        <w:rPr>
          <w:color w:val="231F20"/>
          <w:w w:val="105"/>
          <w:sz w:val="18"/>
        </w:rPr>
        <w:t>en</w:t>
      </w:r>
      <w:r>
        <w:rPr>
          <w:color w:val="231F20"/>
          <w:spacing w:val="-21"/>
          <w:w w:val="105"/>
          <w:sz w:val="18"/>
        </w:rPr>
        <w:t> </w:t>
      </w:r>
      <w:r>
        <w:rPr>
          <w:color w:val="231F20"/>
          <w:w w:val="105"/>
          <w:sz w:val="18"/>
        </w:rPr>
        <w:t>Ciencia</w:t>
      </w:r>
      <w:r>
        <w:rPr>
          <w:color w:val="231F20"/>
          <w:spacing w:val="-21"/>
          <w:w w:val="105"/>
          <w:sz w:val="18"/>
        </w:rPr>
        <w:t> </w:t>
      </w:r>
      <w:r>
        <w:rPr>
          <w:color w:val="231F20"/>
          <w:w w:val="105"/>
          <w:sz w:val="18"/>
        </w:rPr>
        <w:t>Política y</w:t>
      </w:r>
      <w:r>
        <w:rPr>
          <w:color w:val="231F20"/>
          <w:spacing w:val="-14"/>
          <w:w w:val="105"/>
          <w:sz w:val="18"/>
        </w:rPr>
        <w:t> </w:t>
      </w:r>
      <w:r>
        <w:rPr>
          <w:color w:val="231F20"/>
          <w:w w:val="105"/>
          <w:sz w:val="18"/>
        </w:rPr>
        <w:t>Administración</w:t>
      </w:r>
      <w:r>
        <w:rPr>
          <w:color w:val="231F20"/>
          <w:spacing w:val="-14"/>
          <w:w w:val="105"/>
          <w:sz w:val="18"/>
        </w:rPr>
        <w:t> </w:t>
      </w:r>
      <w:r>
        <w:rPr>
          <w:color w:val="231F20"/>
          <w:w w:val="105"/>
          <w:sz w:val="18"/>
        </w:rPr>
        <w:t>Pública,</w:t>
      </w:r>
      <w:r>
        <w:rPr>
          <w:color w:val="231F20"/>
          <w:spacing w:val="-14"/>
          <w:w w:val="105"/>
          <w:sz w:val="18"/>
        </w:rPr>
        <w:t> </w:t>
      </w:r>
      <w:r>
        <w:rPr>
          <w:color w:val="231F20"/>
          <w:w w:val="105"/>
          <w:sz w:val="18"/>
        </w:rPr>
        <w:t>México,</w:t>
      </w:r>
      <w:r>
        <w:rPr>
          <w:color w:val="231F20"/>
          <w:spacing w:val="-14"/>
          <w:w w:val="105"/>
          <w:sz w:val="18"/>
        </w:rPr>
        <w:t> </w:t>
      </w:r>
      <w:r>
        <w:rPr>
          <w:color w:val="231F20"/>
          <w:spacing w:val="3"/>
          <w:w w:val="105"/>
          <w:sz w:val="18"/>
        </w:rPr>
        <w:t>2004,</w:t>
      </w:r>
      <w:r>
        <w:rPr>
          <w:color w:val="231F20"/>
          <w:spacing w:val="-14"/>
          <w:w w:val="105"/>
          <w:sz w:val="18"/>
        </w:rPr>
        <w:t> </w:t>
      </w:r>
      <w:r>
        <w:rPr>
          <w:color w:val="231F20"/>
          <w:spacing w:val="-3"/>
          <w:w w:val="105"/>
          <w:sz w:val="18"/>
        </w:rPr>
        <w:t>169</w:t>
      </w:r>
      <w:r>
        <w:rPr>
          <w:color w:val="231F20"/>
          <w:spacing w:val="-14"/>
          <w:w w:val="105"/>
          <w:sz w:val="18"/>
        </w:rPr>
        <w:t> </w:t>
      </w:r>
      <w:r>
        <w:rPr>
          <w:color w:val="231F20"/>
          <w:w w:val="105"/>
          <w:sz w:val="18"/>
        </w:rPr>
        <w:t>p.</w:t>
      </w:r>
    </w:p>
    <w:p>
      <w:pPr>
        <w:spacing w:line="348" w:lineRule="auto" w:before="3"/>
        <w:ind w:left="393" w:right="961" w:hanging="284"/>
        <w:jc w:val="left"/>
        <w:rPr>
          <w:sz w:val="18"/>
        </w:rPr>
      </w:pPr>
      <w:r>
        <w:rPr>
          <w:color w:val="231F20"/>
          <w:sz w:val="18"/>
        </w:rPr>
        <w:t>CERVANTES ZEBADÚA, Ricardo Poery, 1999, Naucalpan de Juárez: monografía municipal, </w:t>
      </w:r>
      <w:r>
        <w:rPr>
          <w:color w:val="231F20"/>
          <w:spacing w:val="-3"/>
          <w:sz w:val="18"/>
        </w:rPr>
        <w:t>Toluca, </w:t>
      </w:r>
      <w:r>
        <w:rPr>
          <w:color w:val="231F20"/>
          <w:sz w:val="18"/>
        </w:rPr>
        <w:t>Estado de México, Gobierno del Estado de México/ Instituto Mexiquense de Cultura / Asociación Mexiquense de Cronistas Municipales, </w:t>
      </w:r>
      <w:r>
        <w:rPr>
          <w:color w:val="231F20"/>
          <w:spacing w:val="-4"/>
          <w:sz w:val="18"/>
        </w:rPr>
        <w:t>178    </w:t>
      </w:r>
      <w:r>
        <w:rPr>
          <w:color w:val="231F20"/>
          <w:spacing w:val="-2"/>
          <w:sz w:val="18"/>
        </w:rPr>
        <w:t> </w:t>
      </w:r>
      <w:r>
        <w:rPr>
          <w:color w:val="231F20"/>
          <w:sz w:val="18"/>
        </w:rPr>
        <w:t>p.</w:t>
      </w:r>
    </w:p>
    <w:p>
      <w:pPr>
        <w:spacing w:after="0" w:line="348" w:lineRule="auto"/>
        <w:jc w:val="left"/>
        <w:rPr>
          <w:sz w:val="18"/>
        </w:rPr>
        <w:sectPr>
          <w:pgSz w:w="9640" w:h="12190"/>
          <w:pgMar w:header="0" w:footer="743" w:top="1120" w:bottom="940" w:left="740" w:right="740"/>
        </w:sectPr>
      </w:pPr>
    </w:p>
    <w:p>
      <w:pPr>
        <w:pStyle w:val="BodyText"/>
        <w:spacing w:before="6"/>
        <w:rPr>
          <w:sz w:val="13"/>
        </w:rPr>
      </w:pPr>
    </w:p>
    <w:p>
      <w:pPr>
        <w:spacing w:before="47"/>
        <w:ind w:left="110" w:right="306" w:firstLine="0"/>
        <w:jc w:val="left"/>
        <w:rPr>
          <w:sz w:val="18"/>
        </w:rPr>
      </w:pPr>
      <w:r>
        <w:rPr>
          <w:color w:val="231F20"/>
          <w:w w:val="105"/>
          <w:sz w:val="18"/>
        </w:rPr>
        <w:t>CONDE BONFIL, Carola, 1996, “El caso de Naucalpan de Juárez, Estado de México”,</w:t>
      </w:r>
    </w:p>
    <w:p>
      <w:pPr>
        <w:spacing w:line="348" w:lineRule="auto" w:before="93"/>
        <w:ind w:left="393" w:right="306" w:firstLine="0"/>
        <w:jc w:val="left"/>
        <w:rPr>
          <w:sz w:val="18"/>
        </w:rPr>
      </w:pPr>
      <w:r>
        <w:rPr>
          <w:color w:val="231F20"/>
          <w:w w:val="105"/>
          <w:sz w:val="18"/>
        </w:rPr>
        <w:t>en:</w:t>
      </w:r>
      <w:r>
        <w:rPr>
          <w:color w:val="231F20"/>
          <w:spacing w:val="-15"/>
          <w:w w:val="105"/>
          <w:sz w:val="18"/>
        </w:rPr>
        <w:t> </w:t>
      </w:r>
      <w:r>
        <w:rPr>
          <w:color w:val="231F20"/>
          <w:w w:val="105"/>
          <w:sz w:val="18"/>
        </w:rPr>
        <w:t>CABRERO</w:t>
      </w:r>
      <w:r>
        <w:rPr>
          <w:color w:val="231F20"/>
          <w:spacing w:val="-15"/>
          <w:w w:val="105"/>
          <w:sz w:val="18"/>
        </w:rPr>
        <w:t> </w:t>
      </w:r>
      <w:r>
        <w:rPr>
          <w:color w:val="231F20"/>
          <w:w w:val="105"/>
          <w:sz w:val="18"/>
        </w:rPr>
        <w:t>MENDOZA</w:t>
      </w:r>
      <w:r>
        <w:rPr>
          <w:color w:val="231F20"/>
          <w:spacing w:val="-15"/>
          <w:w w:val="105"/>
          <w:sz w:val="18"/>
        </w:rPr>
        <w:t> </w:t>
      </w:r>
      <w:r>
        <w:rPr>
          <w:color w:val="231F20"/>
          <w:w w:val="105"/>
          <w:sz w:val="18"/>
        </w:rPr>
        <w:t>(coord.),</w:t>
      </w:r>
      <w:r>
        <w:rPr>
          <w:color w:val="231F20"/>
          <w:spacing w:val="-15"/>
          <w:w w:val="105"/>
          <w:sz w:val="18"/>
        </w:rPr>
        <w:t> </w:t>
      </w:r>
      <w:r>
        <w:rPr>
          <w:color w:val="231F20"/>
          <w:w w:val="105"/>
          <w:sz w:val="18"/>
        </w:rPr>
        <w:t>Enrique,</w:t>
      </w:r>
      <w:r>
        <w:rPr>
          <w:color w:val="231F20"/>
          <w:spacing w:val="-15"/>
          <w:w w:val="105"/>
          <w:sz w:val="18"/>
        </w:rPr>
        <w:t> </w:t>
      </w:r>
      <w:r>
        <w:rPr>
          <w:color w:val="231F20"/>
          <w:w w:val="105"/>
          <w:sz w:val="18"/>
        </w:rPr>
        <w:t>Los</w:t>
      </w:r>
      <w:r>
        <w:rPr>
          <w:color w:val="231F20"/>
          <w:spacing w:val="-15"/>
          <w:w w:val="105"/>
          <w:sz w:val="18"/>
        </w:rPr>
        <w:t> </w:t>
      </w:r>
      <w:r>
        <w:rPr>
          <w:color w:val="231F20"/>
          <w:w w:val="105"/>
          <w:sz w:val="18"/>
        </w:rPr>
        <w:t>dilemas</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modernización</w:t>
      </w:r>
      <w:r>
        <w:rPr>
          <w:color w:val="231F20"/>
          <w:spacing w:val="-15"/>
          <w:w w:val="105"/>
          <w:sz w:val="18"/>
        </w:rPr>
        <w:t> </w:t>
      </w:r>
      <w:r>
        <w:rPr>
          <w:color w:val="231F20"/>
          <w:w w:val="105"/>
          <w:sz w:val="18"/>
        </w:rPr>
        <w:t>municipal: Estudios</w:t>
      </w:r>
      <w:r>
        <w:rPr>
          <w:color w:val="231F20"/>
          <w:spacing w:val="-6"/>
          <w:w w:val="105"/>
          <w:sz w:val="18"/>
        </w:rPr>
        <w:t> </w:t>
      </w:r>
      <w:r>
        <w:rPr>
          <w:color w:val="231F20"/>
          <w:w w:val="105"/>
          <w:sz w:val="18"/>
        </w:rPr>
        <w:t>sobre</w:t>
      </w:r>
      <w:r>
        <w:rPr>
          <w:color w:val="231F20"/>
          <w:spacing w:val="-6"/>
          <w:w w:val="105"/>
          <w:sz w:val="18"/>
        </w:rPr>
        <w:t> </w:t>
      </w:r>
      <w:r>
        <w:rPr>
          <w:color w:val="231F20"/>
          <w:w w:val="105"/>
          <w:sz w:val="18"/>
        </w:rPr>
        <w:t>la</w:t>
      </w:r>
      <w:r>
        <w:rPr>
          <w:color w:val="231F20"/>
          <w:spacing w:val="-6"/>
          <w:w w:val="105"/>
          <w:sz w:val="18"/>
        </w:rPr>
        <w:t> </w:t>
      </w:r>
      <w:r>
        <w:rPr>
          <w:color w:val="231F20"/>
          <w:w w:val="105"/>
          <w:sz w:val="18"/>
        </w:rPr>
        <w:t>gestión</w:t>
      </w:r>
      <w:r>
        <w:rPr>
          <w:color w:val="231F20"/>
          <w:spacing w:val="-6"/>
          <w:w w:val="105"/>
          <w:sz w:val="18"/>
        </w:rPr>
        <w:t> </w:t>
      </w:r>
      <w:r>
        <w:rPr>
          <w:color w:val="231F20"/>
          <w:w w:val="105"/>
          <w:sz w:val="18"/>
        </w:rPr>
        <w:t>hacendaria</w:t>
      </w:r>
      <w:r>
        <w:rPr>
          <w:color w:val="231F20"/>
          <w:spacing w:val="-6"/>
          <w:w w:val="105"/>
          <w:sz w:val="18"/>
        </w:rPr>
        <w:t> </w:t>
      </w:r>
      <w:r>
        <w:rPr>
          <w:color w:val="231F20"/>
          <w:w w:val="105"/>
          <w:sz w:val="18"/>
        </w:rPr>
        <w:t>en</w:t>
      </w:r>
      <w:r>
        <w:rPr>
          <w:color w:val="231F20"/>
          <w:spacing w:val="-6"/>
          <w:w w:val="105"/>
          <w:sz w:val="18"/>
        </w:rPr>
        <w:t> </w:t>
      </w:r>
      <w:r>
        <w:rPr>
          <w:color w:val="231F20"/>
          <w:w w:val="105"/>
          <w:sz w:val="18"/>
        </w:rPr>
        <w:t>municipios</w:t>
      </w:r>
      <w:r>
        <w:rPr>
          <w:color w:val="231F20"/>
          <w:spacing w:val="-6"/>
          <w:w w:val="105"/>
          <w:sz w:val="18"/>
        </w:rPr>
        <w:t> </w:t>
      </w:r>
      <w:r>
        <w:rPr>
          <w:color w:val="231F20"/>
          <w:w w:val="105"/>
          <w:sz w:val="18"/>
        </w:rPr>
        <w:t>urbanos</w:t>
      </w:r>
      <w:r>
        <w:rPr>
          <w:color w:val="231F20"/>
          <w:spacing w:val="-6"/>
          <w:w w:val="105"/>
          <w:sz w:val="18"/>
        </w:rPr>
        <w:t> </w:t>
      </w:r>
      <w:r>
        <w:rPr>
          <w:color w:val="231F20"/>
          <w:w w:val="105"/>
          <w:sz w:val="18"/>
        </w:rPr>
        <w:t>de</w:t>
      </w:r>
      <w:r>
        <w:rPr>
          <w:color w:val="231F20"/>
          <w:spacing w:val="-6"/>
          <w:w w:val="105"/>
          <w:sz w:val="18"/>
        </w:rPr>
        <w:t> </w:t>
      </w:r>
      <w:r>
        <w:rPr>
          <w:color w:val="231F20"/>
          <w:w w:val="105"/>
          <w:sz w:val="18"/>
        </w:rPr>
        <w:t>México,</w:t>
      </w:r>
      <w:r>
        <w:rPr>
          <w:color w:val="231F20"/>
          <w:spacing w:val="-6"/>
          <w:w w:val="105"/>
          <w:sz w:val="18"/>
        </w:rPr>
        <w:t> </w:t>
      </w:r>
      <w:r>
        <w:rPr>
          <w:color w:val="231F20"/>
          <w:w w:val="105"/>
          <w:sz w:val="18"/>
        </w:rPr>
        <w:t>México,</w:t>
      </w:r>
    </w:p>
    <w:p>
      <w:pPr>
        <w:spacing w:before="3"/>
        <w:ind w:left="393" w:right="306" w:firstLine="0"/>
        <w:jc w:val="left"/>
        <w:rPr>
          <w:sz w:val="18"/>
        </w:rPr>
      </w:pPr>
      <w:r>
        <w:rPr>
          <w:color w:val="231F20"/>
          <w:w w:val="105"/>
          <w:sz w:val="18"/>
        </w:rPr>
        <w:t>Centro de Investigación y Docencia Económicas/ Miguel Ángel Porrúa, pp. 329-432.</w:t>
      </w:r>
    </w:p>
    <w:p>
      <w:pPr>
        <w:spacing w:line="348" w:lineRule="auto" w:before="93"/>
        <w:ind w:left="393" w:right="3" w:hanging="284"/>
        <w:jc w:val="left"/>
        <w:rPr>
          <w:sz w:val="18"/>
        </w:rPr>
      </w:pPr>
      <w:r>
        <w:rPr>
          <w:color w:val="231F20"/>
          <w:w w:val="105"/>
          <w:sz w:val="18"/>
        </w:rPr>
        <w:t>CONDE BONFIL, Carola, 1996, Innovación financiera y participación ciudadana: el caso de Naucalpan de Juárez. Toluca, 1994-1996, Estado de México, H. Ayuntamiento Constitucional de</w:t>
      </w:r>
    </w:p>
    <w:p>
      <w:pPr>
        <w:spacing w:before="3"/>
        <w:ind w:left="393" w:right="306" w:firstLine="0"/>
        <w:jc w:val="left"/>
        <w:rPr>
          <w:sz w:val="18"/>
        </w:rPr>
      </w:pPr>
      <w:r>
        <w:rPr>
          <w:color w:val="231F20"/>
          <w:sz w:val="18"/>
        </w:rPr>
        <w:t>Naucalpan de Juárez, 268  p.</w:t>
      </w:r>
    </w:p>
    <w:p>
      <w:pPr>
        <w:spacing w:line="348" w:lineRule="auto" w:before="93"/>
        <w:ind w:left="393" w:right="2091" w:hanging="284"/>
        <w:jc w:val="left"/>
        <w:rPr>
          <w:sz w:val="18"/>
        </w:rPr>
      </w:pPr>
      <w:r>
        <w:rPr>
          <w:color w:val="231F20"/>
          <w:sz w:val="18"/>
        </w:rPr>
        <w:t>DURÁN REVELES, JOSÉ LUIS, 200, Tercer informe de gobierno, 2000, Naucalpan,  Estado  de México.</w:t>
      </w:r>
    </w:p>
    <w:p>
      <w:pPr>
        <w:spacing w:line="348" w:lineRule="auto" w:before="3"/>
        <w:ind w:left="393" w:right="2091" w:hanging="284"/>
        <w:jc w:val="left"/>
        <w:rPr>
          <w:sz w:val="18"/>
        </w:rPr>
      </w:pPr>
      <w:r>
        <w:rPr>
          <w:color w:val="231F20"/>
          <w:sz w:val="18"/>
        </w:rPr>
        <w:t>DURÁN REVELES, JOSÉ LUIS, 2006, Plan de desarrollo municipal. Naucalpan de Juárez, 2006-2009, Naucalpan, Estado de    México.</w:t>
      </w:r>
    </w:p>
    <w:p>
      <w:pPr>
        <w:spacing w:line="348" w:lineRule="auto" w:before="3"/>
        <w:ind w:left="393" w:right="2091" w:hanging="284"/>
        <w:jc w:val="left"/>
        <w:rPr>
          <w:sz w:val="18"/>
        </w:rPr>
      </w:pPr>
      <w:r>
        <w:rPr>
          <w:color w:val="231F20"/>
          <w:sz w:val="18"/>
        </w:rPr>
        <w:t>DURÁN REVELES, JOSÉ LUIS, 2007, Primer informe de gobierno, 2007, Naucalpan,  Estado  de México.</w:t>
      </w:r>
    </w:p>
    <w:p>
      <w:pPr>
        <w:spacing w:line="348" w:lineRule="auto" w:before="3"/>
        <w:ind w:left="393" w:right="2091" w:hanging="284"/>
        <w:jc w:val="left"/>
        <w:rPr>
          <w:sz w:val="18"/>
        </w:rPr>
      </w:pPr>
      <w:r>
        <w:rPr>
          <w:color w:val="231F20"/>
          <w:sz w:val="18"/>
        </w:rPr>
        <w:t>DURÁN REVELES, JOSÉ LUIS, 2008, Primer informe de gobierno, 2008, Naucalpan,  Estado  de México.</w:t>
      </w:r>
    </w:p>
    <w:p>
      <w:pPr>
        <w:spacing w:line="348" w:lineRule="auto" w:before="3"/>
        <w:ind w:left="393" w:right="306" w:hanging="284"/>
        <w:jc w:val="left"/>
        <w:rPr>
          <w:sz w:val="18"/>
        </w:rPr>
      </w:pPr>
      <w:r>
        <w:rPr>
          <w:color w:val="231F20"/>
          <w:sz w:val="18"/>
        </w:rPr>
        <w:t>HERNÁNDEZ RODRÍGUEZ, Rosaura (coord.), 1997, “Naucalpan”, en: “Cuadernos municipales”, México, El Colegio Mexiquense, núm. 8, 69  p.</w:t>
      </w:r>
    </w:p>
    <w:p>
      <w:pPr>
        <w:spacing w:line="348" w:lineRule="auto" w:before="3"/>
        <w:ind w:left="393" w:right="306" w:hanging="284"/>
        <w:jc w:val="left"/>
        <w:rPr>
          <w:sz w:val="18"/>
        </w:rPr>
      </w:pPr>
      <w:r>
        <w:rPr>
          <w:color w:val="231F20"/>
          <w:spacing w:val="2"/>
          <w:w w:val="105"/>
          <w:sz w:val="18"/>
        </w:rPr>
        <w:t>HERNÁNDEZ</w:t>
      </w:r>
      <w:r>
        <w:rPr>
          <w:color w:val="231F20"/>
          <w:spacing w:val="-23"/>
          <w:w w:val="105"/>
          <w:sz w:val="18"/>
        </w:rPr>
        <w:t> </w:t>
      </w:r>
      <w:r>
        <w:rPr>
          <w:color w:val="231F20"/>
          <w:spacing w:val="2"/>
          <w:w w:val="105"/>
          <w:sz w:val="18"/>
        </w:rPr>
        <w:t>VELÁSQUEZ,</w:t>
      </w:r>
      <w:r>
        <w:rPr>
          <w:color w:val="231F20"/>
          <w:spacing w:val="-23"/>
          <w:w w:val="105"/>
          <w:sz w:val="18"/>
        </w:rPr>
        <w:t> </w:t>
      </w:r>
      <w:r>
        <w:rPr>
          <w:color w:val="231F20"/>
          <w:w w:val="105"/>
          <w:sz w:val="18"/>
        </w:rPr>
        <w:t>Erika,</w:t>
      </w:r>
      <w:r>
        <w:rPr>
          <w:color w:val="231F20"/>
          <w:spacing w:val="-23"/>
          <w:w w:val="105"/>
          <w:sz w:val="18"/>
        </w:rPr>
        <w:t> </w:t>
      </w:r>
      <w:r>
        <w:rPr>
          <w:color w:val="231F20"/>
          <w:w w:val="105"/>
          <w:sz w:val="18"/>
        </w:rPr>
        <w:t>2001,</w:t>
      </w:r>
      <w:r>
        <w:rPr>
          <w:color w:val="231F20"/>
          <w:spacing w:val="-23"/>
          <w:w w:val="105"/>
          <w:sz w:val="18"/>
        </w:rPr>
        <w:t> </w:t>
      </w:r>
      <w:r>
        <w:rPr>
          <w:color w:val="231F20"/>
          <w:w w:val="105"/>
          <w:sz w:val="18"/>
        </w:rPr>
        <w:t>“Participación</w:t>
      </w:r>
      <w:r>
        <w:rPr>
          <w:color w:val="231F20"/>
          <w:spacing w:val="-23"/>
          <w:w w:val="105"/>
          <w:sz w:val="18"/>
        </w:rPr>
        <w:t> </w:t>
      </w:r>
      <w:r>
        <w:rPr>
          <w:color w:val="231F20"/>
          <w:w w:val="105"/>
          <w:sz w:val="18"/>
        </w:rPr>
        <w:t>ciudadana</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Naucalpan”</w:t>
      </w:r>
      <w:r>
        <w:rPr>
          <w:color w:val="231F20"/>
          <w:spacing w:val="-23"/>
          <w:w w:val="105"/>
          <w:sz w:val="18"/>
        </w:rPr>
        <w:t> </w:t>
      </w:r>
      <w:r>
        <w:rPr>
          <w:color w:val="231F20"/>
          <w:w w:val="105"/>
          <w:sz w:val="18"/>
        </w:rPr>
        <w:t>(Ensayo),</w:t>
      </w:r>
      <w:r>
        <w:rPr>
          <w:color w:val="231F20"/>
          <w:spacing w:val="-23"/>
          <w:w w:val="105"/>
          <w:sz w:val="18"/>
        </w:rPr>
        <w:t> </w:t>
      </w:r>
      <w:r>
        <w:rPr>
          <w:color w:val="231F20"/>
          <w:w w:val="105"/>
          <w:sz w:val="18"/>
        </w:rPr>
        <w:t>en: “Apuntes</w:t>
      </w:r>
      <w:r>
        <w:rPr>
          <w:color w:val="231F20"/>
          <w:spacing w:val="-16"/>
          <w:w w:val="105"/>
          <w:sz w:val="18"/>
        </w:rPr>
        <w:t> </w:t>
      </w:r>
      <w:r>
        <w:rPr>
          <w:color w:val="231F20"/>
          <w:w w:val="105"/>
          <w:sz w:val="18"/>
        </w:rPr>
        <w:t>Electorales”,</w:t>
      </w:r>
      <w:r>
        <w:rPr>
          <w:color w:val="231F20"/>
          <w:spacing w:val="-16"/>
          <w:w w:val="105"/>
          <w:sz w:val="18"/>
        </w:rPr>
        <w:t> </w:t>
      </w:r>
      <w:r>
        <w:rPr>
          <w:color w:val="231F20"/>
          <w:w w:val="105"/>
          <w:sz w:val="18"/>
        </w:rPr>
        <w:t>2ª</w:t>
      </w:r>
      <w:r>
        <w:rPr>
          <w:color w:val="231F20"/>
          <w:spacing w:val="-16"/>
          <w:w w:val="105"/>
          <w:sz w:val="18"/>
        </w:rPr>
        <w:t> </w:t>
      </w:r>
      <w:r>
        <w:rPr>
          <w:color w:val="231F20"/>
          <w:w w:val="105"/>
          <w:sz w:val="18"/>
        </w:rPr>
        <w:t>época,</w:t>
      </w:r>
      <w:r>
        <w:rPr>
          <w:color w:val="231F20"/>
          <w:spacing w:val="-16"/>
          <w:w w:val="105"/>
          <w:sz w:val="18"/>
        </w:rPr>
        <w:t> </w:t>
      </w:r>
      <w:r>
        <w:rPr>
          <w:color w:val="231F20"/>
          <w:w w:val="105"/>
          <w:sz w:val="18"/>
        </w:rPr>
        <w:t>México,</w:t>
      </w:r>
      <w:r>
        <w:rPr>
          <w:color w:val="231F20"/>
          <w:spacing w:val="-16"/>
          <w:w w:val="105"/>
          <w:sz w:val="18"/>
        </w:rPr>
        <w:t> </w:t>
      </w:r>
      <w:r>
        <w:rPr>
          <w:color w:val="231F20"/>
          <w:w w:val="105"/>
          <w:sz w:val="18"/>
        </w:rPr>
        <w:t>EDOMEX,</w:t>
      </w:r>
      <w:r>
        <w:rPr>
          <w:color w:val="231F20"/>
          <w:spacing w:val="-16"/>
          <w:w w:val="105"/>
          <w:sz w:val="18"/>
        </w:rPr>
        <w:t> </w:t>
      </w:r>
      <w:r>
        <w:rPr>
          <w:color w:val="231F20"/>
          <w:w w:val="105"/>
          <w:sz w:val="18"/>
        </w:rPr>
        <w:t>IEEM,</w:t>
      </w:r>
      <w:r>
        <w:rPr>
          <w:color w:val="231F20"/>
          <w:spacing w:val="-16"/>
          <w:w w:val="105"/>
          <w:sz w:val="18"/>
        </w:rPr>
        <w:t> </w:t>
      </w:r>
      <w:r>
        <w:rPr>
          <w:color w:val="231F20"/>
          <w:w w:val="105"/>
          <w:sz w:val="18"/>
        </w:rPr>
        <w:t>núm.</w:t>
      </w:r>
      <w:r>
        <w:rPr>
          <w:color w:val="231F20"/>
          <w:spacing w:val="-16"/>
          <w:w w:val="105"/>
          <w:sz w:val="18"/>
        </w:rPr>
        <w:t> </w:t>
      </w:r>
      <w:r>
        <w:rPr>
          <w:color w:val="231F20"/>
          <w:w w:val="105"/>
          <w:sz w:val="18"/>
        </w:rPr>
        <w:t>4,</w:t>
      </w:r>
      <w:r>
        <w:rPr>
          <w:color w:val="231F20"/>
          <w:spacing w:val="-16"/>
          <w:w w:val="105"/>
          <w:sz w:val="18"/>
        </w:rPr>
        <w:t> </w:t>
      </w:r>
      <w:r>
        <w:rPr>
          <w:color w:val="231F20"/>
          <w:spacing w:val="2"/>
          <w:w w:val="105"/>
          <w:sz w:val="18"/>
        </w:rPr>
        <w:t>marzo</w:t>
      </w:r>
      <w:r>
        <w:rPr>
          <w:color w:val="231F20"/>
          <w:spacing w:val="-16"/>
          <w:w w:val="105"/>
          <w:sz w:val="18"/>
        </w:rPr>
        <w:t> </w:t>
      </w:r>
      <w:r>
        <w:rPr>
          <w:color w:val="231F20"/>
          <w:w w:val="105"/>
          <w:sz w:val="18"/>
        </w:rPr>
        <w:t>–</w:t>
      </w:r>
      <w:r>
        <w:rPr>
          <w:color w:val="231F20"/>
          <w:spacing w:val="-16"/>
          <w:w w:val="105"/>
          <w:sz w:val="18"/>
        </w:rPr>
        <w:t> </w:t>
      </w:r>
      <w:r>
        <w:rPr>
          <w:color w:val="231F20"/>
          <w:w w:val="105"/>
          <w:sz w:val="18"/>
        </w:rPr>
        <w:t>mayo,</w:t>
      </w:r>
      <w:r>
        <w:rPr>
          <w:color w:val="231F20"/>
          <w:spacing w:val="-16"/>
          <w:w w:val="105"/>
          <w:sz w:val="18"/>
        </w:rPr>
        <w:t> </w:t>
      </w:r>
      <w:r>
        <w:rPr>
          <w:color w:val="231F20"/>
          <w:w w:val="105"/>
          <w:sz w:val="18"/>
        </w:rPr>
        <w:t>pp.</w:t>
      </w:r>
      <w:r>
        <w:rPr>
          <w:color w:val="231F20"/>
          <w:spacing w:val="-16"/>
          <w:w w:val="105"/>
          <w:sz w:val="18"/>
        </w:rPr>
        <w:t> </w:t>
      </w:r>
      <w:r>
        <w:rPr>
          <w:color w:val="231F20"/>
          <w:w w:val="105"/>
          <w:sz w:val="18"/>
        </w:rPr>
        <w:t>69</w:t>
      </w:r>
      <w:r>
        <w:rPr>
          <w:color w:val="231F20"/>
          <w:spacing w:val="-16"/>
          <w:w w:val="105"/>
          <w:sz w:val="18"/>
        </w:rPr>
        <w:t> </w:t>
      </w:r>
      <w:r>
        <w:rPr>
          <w:color w:val="231F20"/>
          <w:w w:val="105"/>
          <w:sz w:val="18"/>
        </w:rPr>
        <w:t>–</w:t>
      </w:r>
      <w:r>
        <w:rPr>
          <w:color w:val="231F20"/>
          <w:spacing w:val="-16"/>
          <w:w w:val="105"/>
          <w:sz w:val="18"/>
        </w:rPr>
        <w:t> </w:t>
      </w:r>
      <w:r>
        <w:rPr>
          <w:color w:val="231F20"/>
          <w:w w:val="105"/>
          <w:sz w:val="18"/>
        </w:rPr>
        <w:t>90.</w:t>
      </w:r>
    </w:p>
    <w:p>
      <w:pPr>
        <w:spacing w:line="348" w:lineRule="auto" w:before="3"/>
        <w:ind w:left="393" w:right="306" w:hanging="284"/>
        <w:jc w:val="left"/>
        <w:rPr>
          <w:sz w:val="18"/>
        </w:rPr>
      </w:pPr>
      <w:r>
        <w:rPr>
          <w:color w:val="231F20"/>
          <w:w w:val="105"/>
          <w:sz w:val="18"/>
        </w:rPr>
        <w:t>SÁMANO FACIO, Lina Laura, 2006, Gestión pública local del recurso agua, un estudio comparado España/ México: caso Granada, Andalucía y Naucalpan de Juárez, Edo. de México, México,</w:t>
      </w:r>
    </w:p>
    <w:p>
      <w:pPr>
        <w:spacing w:line="348" w:lineRule="auto" w:before="3"/>
        <w:ind w:left="393" w:right="614" w:firstLine="0"/>
        <w:jc w:val="left"/>
        <w:rPr>
          <w:sz w:val="18"/>
        </w:rPr>
      </w:pPr>
      <w:r>
        <w:rPr>
          <w:color w:val="231F20"/>
          <w:w w:val="105"/>
          <w:sz w:val="18"/>
        </w:rPr>
        <w:t>UNAM-Facultad</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Estudios</w:t>
      </w:r>
      <w:r>
        <w:rPr>
          <w:color w:val="231F20"/>
          <w:spacing w:val="-10"/>
          <w:w w:val="105"/>
          <w:sz w:val="18"/>
        </w:rPr>
        <w:t> </w:t>
      </w:r>
      <w:r>
        <w:rPr>
          <w:color w:val="231F20"/>
          <w:w w:val="105"/>
          <w:sz w:val="18"/>
        </w:rPr>
        <w:t>Superiores</w:t>
      </w:r>
      <w:r>
        <w:rPr>
          <w:color w:val="231F20"/>
          <w:spacing w:val="-10"/>
          <w:w w:val="105"/>
          <w:sz w:val="18"/>
        </w:rPr>
        <w:t> </w:t>
      </w:r>
      <w:r>
        <w:rPr>
          <w:color w:val="231F20"/>
          <w:w w:val="105"/>
          <w:sz w:val="18"/>
        </w:rPr>
        <w:t>Acatlán,</w:t>
      </w:r>
      <w:r>
        <w:rPr>
          <w:color w:val="231F20"/>
          <w:spacing w:val="-10"/>
          <w:w w:val="105"/>
          <w:sz w:val="18"/>
        </w:rPr>
        <w:t> </w:t>
      </w:r>
      <w:r>
        <w:rPr>
          <w:color w:val="231F20"/>
          <w:w w:val="105"/>
          <w:sz w:val="18"/>
        </w:rPr>
        <w:t>Tesis</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Licenciatura</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Ciencias</w:t>
      </w:r>
      <w:r>
        <w:rPr>
          <w:color w:val="231F20"/>
          <w:spacing w:val="-10"/>
          <w:w w:val="105"/>
          <w:sz w:val="18"/>
        </w:rPr>
        <w:t> </w:t>
      </w:r>
      <w:r>
        <w:rPr>
          <w:color w:val="231F20"/>
          <w:w w:val="105"/>
          <w:sz w:val="18"/>
        </w:rPr>
        <w:t>Políticas y</w:t>
      </w:r>
      <w:r>
        <w:rPr>
          <w:color w:val="231F20"/>
          <w:spacing w:val="-10"/>
          <w:w w:val="105"/>
          <w:sz w:val="18"/>
        </w:rPr>
        <w:t> </w:t>
      </w:r>
      <w:r>
        <w:rPr>
          <w:color w:val="231F20"/>
          <w:w w:val="105"/>
          <w:sz w:val="18"/>
        </w:rPr>
        <w:t>Administración</w:t>
      </w:r>
      <w:r>
        <w:rPr>
          <w:color w:val="231F20"/>
          <w:spacing w:val="-10"/>
          <w:w w:val="105"/>
          <w:sz w:val="18"/>
        </w:rPr>
        <w:t> </w:t>
      </w:r>
      <w:r>
        <w:rPr>
          <w:color w:val="231F20"/>
          <w:w w:val="105"/>
          <w:sz w:val="18"/>
        </w:rPr>
        <w:t>Pública,</w:t>
      </w:r>
      <w:r>
        <w:rPr>
          <w:color w:val="231F20"/>
          <w:spacing w:val="-10"/>
          <w:w w:val="105"/>
          <w:sz w:val="18"/>
        </w:rPr>
        <w:t> </w:t>
      </w:r>
      <w:r>
        <w:rPr>
          <w:color w:val="231F20"/>
          <w:w w:val="105"/>
          <w:sz w:val="18"/>
        </w:rPr>
        <w:t>153</w:t>
      </w:r>
      <w:r>
        <w:rPr>
          <w:color w:val="231F20"/>
          <w:spacing w:val="-10"/>
          <w:w w:val="105"/>
          <w:sz w:val="18"/>
        </w:rPr>
        <w:t> </w:t>
      </w:r>
      <w:r>
        <w:rPr>
          <w:color w:val="231F20"/>
          <w:w w:val="105"/>
          <w:sz w:val="18"/>
        </w:rPr>
        <w:t>p.</w:t>
      </w:r>
    </w:p>
    <w:p>
      <w:pPr>
        <w:spacing w:line="348" w:lineRule="auto" w:before="3"/>
        <w:ind w:left="393" w:right="614" w:hanging="284"/>
        <w:jc w:val="left"/>
        <w:rPr>
          <w:sz w:val="18"/>
        </w:rPr>
      </w:pPr>
      <w:r>
        <w:rPr>
          <w:color w:val="231F20"/>
          <w:sz w:val="18"/>
        </w:rPr>
        <w:t>VÁZQUEZ </w:t>
      </w:r>
      <w:r>
        <w:rPr>
          <w:color w:val="231F20"/>
          <w:spacing w:val="2"/>
          <w:sz w:val="18"/>
        </w:rPr>
        <w:t>MARTÍNEZ, </w:t>
      </w:r>
      <w:r>
        <w:rPr>
          <w:color w:val="231F20"/>
          <w:sz w:val="18"/>
        </w:rPr>
        <w:t>Raúl, 1999, La participación ciudadana y la modernización municipal:    </w:t>
      </w:r>
      <w:r>
        <w:rPr>
          <w:color w:val="231F20"/>
          <w:spacing w:val="2"/>
          <w:sz w:val="18"/>
        </w:rPr>
        <w:t>caso </w:t>
      </w:r>
      <w:r>
        <w:rPr>
          <w:color w:val="231F20"/>
          <w:sz w:val="18"/>
        </w:rPr>
        <w:t>de Naucalpan de Juárez, Estado de México 1994-1996, México, UNAM-Escuela Nacional    de Estudios Profesionales Acatlán, Tesis de Licenciatura en Ciencias Políticas y Administración Pública, 134</w:t>
      </w:r>
      <w:r>
        <w:rPr>
          <w:color w:val="231F20"/>
          <w:spacing w:val="17"/>
          <w:sz w:val="18"/>
        </w:rPr>
        <w:t> </w:t>
      </w:r>
      <w:r>
        <w:rPr>
          <w:color w:val="231F20"/>
          <w:sz w:val="18"/>
        </w:rPr>
        <w:t>p.</w:t>
      </w:r>
    </w:p>
    <w:p>
      <w:pPr>
        <w:spacing w:after="0" w:line="348" w:lineRule="auto"/>
        <w:jc w:val="left"/>
        <w:rPr>
          <w:sz w:val="18"/>
        </w:rPr>
        <w:sectPr>
          <w:pgSz w:w="9640" w:h="12190"/>
          <w:pgMar w:header="0" w:footer="743" w:top="1120" w:bottom="940" w:left="740" w:right="880"/>
        </w:sectPr>
      </w:pPr>
    </w:p>
    <w:p>
      <w:pPr>
        <w:pStyle w:val="BodyText"/>
        <w:spacing w:before="3"/>
        <w:rPr>
          <w:sz w:val="9"/>
        </w:rPr>
      </w:pPr>
    </w:p>
    <w:p>
      <w:pPr>
        <w:spacing w:after="0"/>
        <w:rPr>
          <w:sz w:val="9"/>
        </w:rPr>
        <w:sectPr>
          <w:pgSz w:w="9640" w:h="12190"/>
          <w:pgMar w:header="0" w:footer="743" w:top="1120" w:bottom="940" w:left="740" w:right="740"/>
        </w:sectPr>
      </w:pPr>
    </w:p>
    <w:p>
      <w:pPr>
        <w:pStyle w:val="Heading3"/>
        <w:spacing w:before="21"/>
        <w:ind w:right="-16"/>
        <w:jc w:val="left"/>
      </w:pPr>
      <w:r>
        <w:rPr>
          <w:color w:val="231F20"/>
          <w:w w:val="105"/>
        </w:rPr>
        <w:t>Anexo</w:t>
      </w:r>
      <w:r>
        <w:rPr>
          <w:color w:val="231F20"/>
          <w:spacing w:val="-12"/>
          <w:w w:val="105"/>
        </w:rPr>
        <w:t> </w:t>
      </w:r>
      <w:r>
        <w:rPr>
          <w:color w:val="231F20"/>
          <w:w w:val="105"/>
        </w:rPr>
        <w:t>1</w:t>
      </w:r>
    </w:p>
    <w:p>
      <w:pPr>
        <w:pStyle w:val="BodyText"/>
        <w:spacing w:before="2"/>
        <w:rPr>
          <w:b/>
          <w:sz w:val="31"/>
        </w:rPr>
      </w:pPr>
      <w:r>
        <w:rPr/>
        <w:br w:type="column"/>
      </w:r>
      <w:r>
        <w:rPr>
          <w:b/>
          <w:sz w:val="31"/>
        </w:rPr>
      </w:r>
    </w:p>
    <w:p>
      <w:pPr>
        <w:pStyle w:val="Heading5"/>
        <w:ind w:left="18" w:right="0"/>
      </w:pPr>
      <w:r>
        <w:rPr>
          <w:color w:val="231F20"/>
          <w:w w:val="105"/>
        </w:rPr>
        <w:t>Administración municipal a principios del trienio 2006-2009</w:t>
      </w:r>
    </w:p>
    <w:p>
      <w:pPr>
        <w:spacing w:after="0"/>
        <w:sectPr>
          <w:type w:val="continuous"/>
          <w:pgSz w:w="9640" w:h="12190"/>
          <w:pgMar w:top="0" w:bottom="0" w:left="740" w:right="740"/>
          <w:cols w:num="2" w:equalWidth="0">
            <w:col w:w="1050" w:space="40"/>
            <w:col w:w="7070"/>
          </w:cols>
        </w:sectPr>
      </w:pPr>
    </w:p>
    <w:p>
      <w:pPr>
        <w:pStyle w:val="BodyText"/>
        <w:spacing w:before="9"/>
        <w:rPr>
          <w:b/>
          <w:sz w:val="2"/>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068"/>
        <w:gridCol w:w="3859"/>
      </w:tblGrid>
      <w:tr>
        <w:trPr>
          <w:trHeight w:val="130" w:hRule="exact"/>
        </w:trPr>
        <w:tc>
          <w:tcPr>
            <w:tcW w:w="4068" w:type="dxa"/>
          </w:tcPr>
          <w:p>
            <w:pPr>
              <w:pStyle w:val="TableParagraph"/>
              <w:spacing w:line="160" w:lineRule="exact"/>
              <w:ind w:left="1388" w:right="1388"/>
              <w:jc w:val="center"/>
              <w:rPr>
                <w:b/>
                <w:sz w:val="16"/>
              </w:rPr>
            </w:pPr>
            <w:r>
              <w:rPr>
                <w:b/>
                <w:color w:val="231F20"/>
                <w:w w:val="85"/>
                <w:sz w:val="16"/>
              </w:rPr>
              <w:t>Presidencia Municipal</w:t>
            </w:r>
          </w:p>
        </w:tc>
        <w:tc>
          <w:tcPr>
            <w:tcW w:w="3859" w:type="dxa"/>
          </w:tcPr>
          <w:p>
            <w:pPr>
              <w:pStyle w:val="TableParagraph"/>
              <w:spacing w:line="160" w:lineRule="exact"/>
              <w:ind w:left="1255"/>
              <w:rPr>
                <w:b/>
                <w:sz w:val="16"/>
              </w:rPr>
            </w:pPr>
            <w:r>
              <w:rPr>
                <w:b/>
                <w:color w:val="231F20"/>
                <w:w w:val="85"/>
                <w:sz w:val="16"/>
              </w:rPr>
              <w:t>Integrantes del Cabildo</w:t>
            </w:r>
          </w:p>
        </w:tc>
      </w:tr>
      <w:tr>
        <w:trPr>
          <w:trHeight w:val="130" w:hRule="exact"/>
        </w:trPr>
        <w:tc>
          <w:tcPr>
            <w:tcW w:w="4068" w:type="dxa"/>
          </w:tcPr>
          <w:p>
            <w:pPr>
              <w:pStyle w:val="TableParagraph"/>
              <w:spacing w:line="160" w:lineRule="exact"/>
              <w:rPr>
                <w:sz w:val="16"/>
              </w:rPr>
            </w:pPr>
            <w:r>
              <w:rPr>
                <w:color w:val="231F20"/>
                <w:w w:val="80"/>
                <w:sz w:val="16"/>
              </w:rPr>
              <w:t>Ing. José Luis Durán Reveles</w:t>
            </w:r>
          </w:p>
        </w:tc>
        <w:tc>
          <w:tcPr>
            <w:tcW w:w="3859" w:type="dxa"/>
          </w:tcPr>
          <w:p>
            <w:pPr>
              <w:pStyle w:val="TableParagraph"/>
              <w:spacing w:line="160" w:lineRule="exact"/>
              <w:rPr>
                <w:sz w:val="16"/>
              </w:rPr>
            </w:pPr>
            <w:r>
              <w:rPr>
                <w:color w:val="231F20"/>
                <w:w w:val="80"/>
                <w:sz w:val="16"/>
              </w:rPr>
              <w:t>Ing. José Luis Durán Reveles</w:t>
            </w:r>
          </w:p>
        </w:tc>
      </w:tr>
      <w:tr>
        <w:trPr>
          <w:trHeight w:val="130" w:hRule="exact"/>
        </w:trPr>
        <w:tc>
          <w:tcPr>
            <w:tcW w:w="4068" w:type="dxa"/>
          </w:tcPr>
          <w:p>
            <w:pPr>
              <w:pStyle w:val="TableParagraph"/>
              <w:spacing w:line="160" w:lineRule="exact"/>
              <w:rPr>
                <w:sz w:val="16"/>
              </w:rPr>
            </w:pPr>
            <w:r>
              <w:rPr>
                <w:color w:val="231F20"/>
                <w:w w:val="75"/>
                <w:sz w:val="16"/>
              </w:rPr>
              <w:t>Presidente Municipal Constitucional</w:t>
            </w:r>
          </w:p>
        </w:tc>
        <w:tc>
          <w:tcPr>
            <w:tcW w:w="3859" w:type="dxa"/>
          </w:tcPr>
          <w:p>
            <w:pPr>
              <w:pStyle w:val="TableParagraph"/>
              <w:spacing w:line="160" w:lineRule="exact"/>
              <w:rPr>
                <w:sz w:val="16"/>
              </w:rPr>
            </w:pPr>
            <w:r>
              <w:rPr>
                <w:color w:val="231F20"/>
                <w:w w:val="75"/>
                <w:sz w:val="16"/>
              </w:rPr>
              <w:t>Presidente Municipal Constitucional</w:t>
            </w:r>
          </w:p>
        </w:tc>
      </w:tr>
      <w:tr>
        <w:trPr>
          <w:trHeight w:val="130" w:hRule="exact"/>
        </w:trPr>
        <w:tc>
          <w:tcPr>
            <w:tcW w:w="4068" w:type="dxa"/>
          </w:tcPr>
          <w:p>
            <w:pPr>
              <w:pStyle w:val="TableParagraph"/>
              <w:spacing w:line="160" w:lineRule="exact"/>
              <w:rPr>
                <w:sz w:val="16"/>
              </w:rPr>
            </w:pPr>
            <w:r>
              <w:rPr>
                <w:color w:val="231F20"/>
                <w:w w:val="80"/>
                <w:sz w:val="16"/>
              </w:rPr>
              <w:t>Lic. José Antonio Álvarez Hernández</w:t>
            </w:r>
          </w:p>
        </w:tc>
        <w:tc>
          <w:tcPr>
            <w:tcW w:w="3859" w:type="dxa"/>
          </w:tcPr>
          <w:p>
            <w:pPr>
              <w:pStyle w:val="TableParagraph"/>
              <w:spacing w:line="160" w:lineRule="exact"/>
              <w:rPr>
                <w:sz w:val="16"/>
              </w:rPr>
            </w:pPr>
            <w:r>
              <w:rPr>
                <w:color w:val="231F20"/>
                <w:w w:val="75"/>
                <w:sz w:val="16"/>
              </w:rPr>
              <w:t>Lic. Carlos David Camacho Calderón</w:t>
            </w:r>
          </w:p>
        </w:tc>
      </w:tr>
      <w:tr>
        <w:trPr>
          <w:trHeight w:val="130" w:hRule="exact"/>
        </w:trPr>
        <w:tc>
          <w:tcPr>
            <w:tcW w:w="4068" w:type="dxa"/>
          </w:tcPr>
          <w:p>
            <w:pPr>
              <w:pStyle w:val="TableParagraph"/>
              <w:spacing w:line="160" w:lineRule="exact"/>
              <w:rPr>
                <w:sz w:val="16"/>
              </w:rPr>
            </w:pPr>
            <w:r>
              <w:rPr>
                <w:color w:val="231F20"/>
                <w:w w:val="75"/>
                <w:sz w:val="16"/>
              </w:rPr>
              <w:t>Secretario del H. Ayuntamiento</w:t>
            </w:r>
          </w:p>
        </w:tc>
        <w:tc>
          <w:tcPr>
            <w:tcW w:w="3859" w:type="dxa"/>
          </w:tcPr>
          <w:p>
            <w:pPr>
              <w:pStyle w:val="TableParagraph"/>
              <w:spacing w:line="160" w:lineRule="exact"/>
              <w:rPr>
                <w:sz w:val="16"/>
              </w:rPr>
            </w:pPr>
            <w:r>
              <w:rPr>
                <w:color w:val="231F20"/>
                <w:w w:val="75"/>
                <w:sz w:val="16"/>
              </w:rPr>
              <w:t>Primer Síndico</w:t>
            </w:r>
          </w:p>
        </w:tc>
      </w:tr>
      <w:tr>
        <w:trPr>
          <w:trHeight w:val="130" w:hRule="exact"/>
        </w:trPr>
        <w:tc>
          <w:tcPr>
            <w:tcW w:w="4068" w:type="dxa"/>
          </w:tcPr>
          <w:p>
            <w:pPr>
              <w:pStyle w:val="TableParagraph"/>
              <w:spacing w:line="160" w:lineRule="exact"/>
              <w:rPr>
                <w:sz w:val="16"/>
              </w:rPr>
            </w:pPr>
            <w:r>
              <w:rPr>
                <w:color w:val="231F20"/>
                <w:w w:val="75"/>
                <w:sz w:val="16"/>
              </w:rPr>
              <w:t>C.P. Jesús Everardo Villareal Tijerina</w:t>
            </w:r>
          </w:p>
        </w:tc>
        <w:tc>
          <w:tcPr>
            <w:tcW w:w="3859" w:type="dxa"/>
          </w:tcPr>
          <w:p>
            <w:pPr>
              <w:pStyle w:val="TableParagraph"/>
              <w:spacing w:line="160" w:lineRule="exact"/>
              <w:rPr>
                <w:sz w:val="16"/>
              </w:rPr>
            </w:pPr>
            <w:r>
              <w:rPr>
                <w:color w:val="231F20"/>
                <w:w w:val="80"/>
                <w:sz w:val="16"/>
              </w:rPr>
              <w:t>Lic. Sergio Mancilla Zayas</w:t>
            </w:r>
          </w:p>
        </w:tc>
      </w:tr>
      <w:tr>
        <w:trPr>
          <w:trHeight w:val="130" w:hRule="exact"/>
        </w:trPr>
        <w:tc>
          <w:tcPr>
            <w:tcW w:w="4068" w:type="dxa"/>
          </w:tcPr>
          <w:p>
            <w:pPr>
              <w:pStyle w:val="TableParagraph"/>
              <w:spacing w:line="160" w:lineRule="exact"/>
              <w:rPr>
                <w:sz w:val="16"/>
              </w:rPr>
            </w:pPr>
            <w:r>
              <w:rPr>
                <w:color w:val="231F20"/>
                <w:w w:val="75"/>
                <w:sz w:val="16"/>
              </w:rPr>
              <w:t>Tesorero Municipal</w:t>
            </w:r>
          </w:p>
        </w:tc>
        <w:tc>
          <w:tcPr>
            <w:tcW w:w="3859" w:type="dxa"/>
          </w:tcPr>
          <w:p>
            <w:pPr>
              <w:pStyle w:val="TableParagraph"/>
              <w:spacing w:line="160" w:lineRule="exact"/>
              <w:rPr>
                <w:sz w:val="16"/>
              </w:rPr>
            </w:pPr>
            <w:r>
              <w:rPr>
                <w:color w:val="231F20"/>
                <w:w w:val="75"/>
                <w:sz w:val="16"/>
              </w:rPr>
              <w:t>Tercer Síndico</w:t>
            </w:r>
          </w:p>
        </w:tc>
      </w:tr>
      <w:tr>
        <w:trPr>
          <w:trHeight w:val="130" w:hRule="exact"/>
        </w:trPr>
        <w:tc>
          <w:tcPr>
            <w:tcW w:w="4068" w:type="dxa"/>
          </w:tcPr>
          <w:p>
            <w:pPr>
              <w:pStyle w:val="TableParagraph"/>
              <w:spacing w:line="160" w:lineRule="exact"/>
              <w:rPr>
                <w:sz w:val="16"/>
              </w:rPr>
            </w:pPr>
            <w:r>
              <w:rPr>
                <w:color w:val="231F20"/>
                <w:w w:val="75"/>
                <w:sz w:val="16"/>
              </w:rPr>
              <w:t>Mtro. Roberto Ernesto Peralta Armas</w:t>
            </w:r>
          </w:p>
        </w:tc>
        <w:tc>
          <w:tcPr>
            <w:tcW w:w="3859" w:type="dxa"/>
          </w:tcPr>
          <w:p>
            <w:pPr>
              <w:pStyle w:val="TableParagraph"/>
              <w:spacing w:line="160" w:lineRule="exact"/>
              <w:rPr>
                <w:sz w:val="16"/>
              </w:rPr>
            </w:pPr>
            <w:r>
              <w:rPr>
                <w:color w:val="231F20"/>
                <w:w w:val="75"/>
                <w:sz w:val="16"/>
              </w:rPr>
              <w:t>C.P. Álvaro Curiel Curiel</w:t>
            </w:r>
          </w:p>
        </w:tc>
      </w:tr>
      <w:tr>
        <w:trPr>
          <w:trHeight w:val="130" w:hRule="exact"/>
        </w:trPr>
        <w:tc>
          <w:tcPr>
            <w:tcW w:w="4068" w:type="dxa"/>
          </w:tcPr>
          <w:p>
            <w:pPr>
              <w:pStyle w:val="TableParagraph"/>
              <w:spacing w:line="160" w:lineRule="exact"/>
              <w:rPr>
                <w:sz w:val="16"/>
              </w:rPr>
            </w:pPr>
            <w:r>
              <w:rPr>
                <w:color w:val="231F20"/>
                <w:w w:val="80"/>
                <w:sz w:val="16"/>
              </w:rPr>
              <w:t>Director General de Seguridad Pública y</w:t>
            </w:r>
          </w:p>
        </w:tc>
        <w:tc>
          <w:tcPr>
            <w:tcW w:w="3859" w:type="dxa"/>
          </w:tcPr>
          <w:p>
            <w:pPr>
              <w:pStyle w:val="TableParagraph"/>
              <w:spacing w:line="160" w:lineRule="exact"/>
              <w:rPr>
                <w:sz w:val="16"/>
              </w:rPr>
            </w:pPr>
            <w:r>
              <w:rPr>
                <w:color w:val="231F20"/>
                <w:w w:val="75"/>
                <w:sz w:val="16"/>
              </w:rPr>
              <w:t>Segundo Síndico</w:t>
            </w:r>
          </w:p>
        </w:tc>
      </w:tr>
      <w:tr>
        <w:trPr>
          <w:trHeight w:val="130" w:hRule="exact"/>
        </w:trPr>
        <w:tc>
          <w:tcPr>
            <w:tcW w:w="4068" w:type="dxa"/>
          </w:tcPr>
          <w:p>
            <w:pPr>
              <w:pStyle w:val="TableParagraph"/>
              <w:spacing w:line="160" w:lineRule="exact"/>
              <w:rPr>
                <w:sz w:val="16"/>
              </w:rPr>
            </w:pPr>
            <w:r>
              <w:rPr>
                <w:color w:val="231F20"/>
                <w:w w:val="85"/>
                <w:sz w:val="16"/>
              </w:rPr>
              <w:t>Tránsito</w:t>
            </w:r>
          </w:p>
        </w:tc>
        <w:tc>
          <w:tcPr>
            <w:tcW w:w="3859" w:type="dxa"/>
          </w:tcPr>
          <w:p>
            <w:pPr>
              <w:pStyle w:val="TableParagraph"/>
              <w:spacing w:line="160" w:lineRule="exact"/>
              <w:rPr>
                <w:sz w:val="16"/>
              </w:rPr>
            </w:pPr>
            <w:r>
              <w:rPr>
                <w:color w:val="231F20"/>
                <w:w w:val="75"/>
                <w:sz w:val="16"/>
              </w:rPr>
              <w:t>L.E. Alfredo Oropeza Méndez</w:t>
            </w:r>
          </w:p>
        </w:tc>
      </w:tr>
      <w:tr>
        <w:trPr>
          <w:trHeight w:val="130" w:hRule="exact"/>
        </w:trPr>
        <w:tc>
          <w:tcPr>
            <w:tcW w:w="4068" w:type="dxa"/>
          </w:tcPr>
          <w:p>
            <w:pPr>
              <w:pStyle w:val="TableParagraph"/>
              <w:spacing w:line="160" w:lineRule="exact"/>
              <w:rPr>
                <w:sz w:val="16"/>
              </w:rPr>
            </w:pPr>
            <w:r>
              <w:rPr>
                <w:color w:val="231F20"/>
                <w:w w:val="80"/>
                <w:sz w:val="16"/>
              </w:rPr>
              <w:t>Lic. Raúl Leonel Paredes Vega</w:t>
            </w:r>
          </w:p>
        </w:tc>
        <w:tc>
          <w:tcPr>
            <w:tcW w:w="3859" w:type="dxa"/>
          </w:tcPr>
          <w:p>
            <w:pPr>
              <w:pStyle w:val="TableParagraph"/>
              <w:spacing w:line="160" w:lineRule="exact"/>
              <w:rPr>
                <w:sz w:val="16"/>
              </w:rPr>
            </w:pPr>
            <w:r>
              <w:rPr>
                <w:color w:val="231F20"/>
                <w:w w:val="75"/>
                <w:sz w:val="16"/>
              </w:rPr>
              <w:t>Segundo Regidor</w:t>
            </w:r>
          </w:p>
        </w:tc>
      </w:tr>
      <w:tr>
        <w:trPr>
          <w:trHeight w:val="130" w:hRule="exact"/>
        </w:trPr>
        <w:tc>
          <w:tcPr>
            <w:tcW w:w="4068" w:type="dxa"/>
          </w:tcPr>
          <w:p>
            <w:pPr>
              <w:pStyle w:val="TableParagraph"/>
              <w:spacing w:line="160" w:lineRule="exact"/>
              <w:rPr>
                <w:sz w:val="16"/>
              </w:rPr>
            </w:pPr>
            <w:r>
              <w:rPr>
                <w:color w:val="231F20"/>
                <w:w w:val="75"/>
                <w:sz w:val="16"/>
              </w:rPr>
              <w:t>Director General de Desarrollo Urbano</w:t>
            </w:r>
          </w:p>
        </w:tc>
        <w:tc>
          <w:tcPr>
            <w:tcW w:w="3859" w:type="dxa"/>
          </w:tcPr>
          <w:p>
            <w:pPr>
              <w:pStyle w:val="TableParagraph"/>
              <w:spacing w:line="160" w:lineRule="exact"/>
              <w:rPr>
                <w:sz w:val="16"/>
              </w:rPr>
            </w:pPr>
            <w:r>
              <w:rPr>
                <w:color w:val="231F20"/>
                <w:w w:val="75"/>
                <w:sz w:val="16"/>
              </w:rPr>
              <w:t>C. Armando René Gordillo Contreras</w:t>
            </w:r>
          </w:p>
        </w:tc>
      </w:tr>
      <w:tr>
        <w:trPr>
          <w:trHeight w:val="130" w:hRule="exact"/>
        </w:trPr>
        <w:tc>
          <w:tcPr>
            <w:tcW w:w="4068" w:type="dxa"/>
          </w:tcPr>
          <w:p>
            <w:pPr>
              <w:pStyle w:val="TableParagraph"/>
              <w:spacing w:line="160" w:lineRule="exact"/>
              <w:rPr>
                <w:sz w:val="16"/>
              </w:rPr>
            </w:pPr>
            <w:r>
              <w:rPr>
                <w:color w:val="231F20"/>
                <w:w w:val="80"/>
                <w:sz w:val="16"/>
              </w:rPr>
              <w:t>Ing. Sergio Rodríguez Muñoz</w:t>
            </w:r>
          </w:p>
        </w:tc>
        <w:tc>
          <w:tcPr>
            <w:tcW w:w="3859" w:type="dxa"/>
          </w:tcPr>
          <w:p>
            <w:pPr>
              <w:pStyle w:val="TableParagraph"/>
              <w:spacing w:line="160" w:lineRule="exact"/>
              <w:rPr>
                <w:sz w:val="16"/>
              </w:rPr>
            </w:pPr>
            <w:r>
              <w:rPr>
                <w:color w:val="231F20"/>
                <w:w w:val="75"/>
                <w:sz w:val="16"/>
              </w:rPr>
              <w:t>Primer Regidor</w:t>
            </w:r>
          </w:p>
        </w:tc>
      </w:tr>
      <w:tr>
        <w:trPr>
          <w:trHeight w:val="130" w:hRule="exact"/>
        </w:trPr>
        <w:tc>
          <w:tcPr>
            <w:tcW w:w="4068" w:type="dxa"/>
          </w:tcPr>
          <w:p>
            <w:pPr>
              <w:pStyle w:val="TableParagraph"/>
              <w:spacing w:line="160" w:lineRule="exact"/>
              <w:rPr>
                <w:sz w:val="16"/>
              </w:rPr>
            </w:pPr>
            <w:r>
              <w:rPr>
                <w:color w:val="231F20"/>
                <w:w w:val="75"/>
                <w:sz w:val="16"/>
              </w:rPr>
              <w:t>Director General de Ecología</w:t>
            </w:r>
          </w:p>
        </w:tc>
        <w:tc>
          <w:tcPr>
            <w:tcW w:w="3859" w:type="dxa"/>
          </w:tcPr>
          <w:p>
            <w:pPr>
              <w:pStyle w:val="TableParagraph"/>
              <w:spacing w:line="160" w:lineRule="exact"/>
              <w:rPr>
                <w:sz w:val="16"/>
              </w:rPr>
            </w:pPr>
            <w:r>
              <w:rPr>
                <w:color w:val="231F20"/>
                <w:w w:val="75"/>
                <w:sz w:val="16"/>
              </w:rPr>
              <w:t>C. Marco Antonio Alonso Valdepeña</w:t>
            </w:r>
          </w:p>
        </w:tc>
      </w:tr>
      <w:tr>
        <w:trPr>
          <w:trHeight w:val="130" w:hRule="exact"/>
        </w:trPr>
        <w:tc>
          <w:tcPr>
            <w:tcW w:w="4068" w:type="dxa"/>
          </w:tcPr>
          <w:p>
            <w:pPr>
              <w:pStyle w:val="TableParagraph"/>
              <w:spacing w:line="160" w:lineRule="exact"/>
              <w:rPr>
                <w:sz w:val="16"/>
              </w:rPr>
            </w:pPr>
            <w:r>
              <w:rPr>
                <w:color w:val="231F20"/>
                <w:w w:val="75"/>
                <w:sz w:val="16"/>
              </w:rPr>
              <w:t>Ing. Marco Ernesto Delgado Barrera</w:t>
            </w:r>
          </w:p>
        </w:tc>
        <w:tc>
          <w:tcPr>
            <w:tcW w:w="3859" w:type="dxa"/>
          </w:tcPr>
          <w:p>
            <w:pPr>
              <w:pStyle w:val="TableParagraph"/>
              <w:spacing w:line="160" w:lineRule="exact"/>
              <w:rPr>
                <w:sz w:val="16"/>
              </w:rPr>
            </w:pPr>
            <w:r>
              <w:rPr>
                <w:color w:val="231F20"/>
                <w:w w:val="75"/>
                <w:sz w:val="16"/>
              </w:rPr>
              <w:t>Cuarto Regidor</w:t>
            </w:r>
          </w:p>
        </w:tc>
      </w:tr>
      <w:tr>
        <w:trPr>
          <w:trHeight w:val="130" w:hRule="exact"/>
        </w:trPr>
        <w:tc>
          <w:tcPr>
            <w:tcW w:w="4068" w:type="dxa"/>
          </w:tcPr>
          <w:p>
            <w:pPr>
              <w:pStyle w:val="TableParagraph"/>
              <w:spacing w:line="160" w:lineRule="exact"/>
              <w:rPr>
                <w:sz w:val="16"/>
              </w:rPr>
            </w:pPr>
            <w:r>
              <w:rPr>
                <w:color w:val="231F20"/>
                <w:w w:val="75"/>
                <w:sz w:val="16"/>
              </w:rPr>
              <w:t>Director General de Servicios Públicos</w:t>
            </w:r>
          </w:p>
        </w:tc>
        <w:tc>
          <w:tcPr>
            <w:tcW w:w="3859" w:type="dxa"/>
          </w:tcPr>
          <w:p>
            <w:pPr>
              <w:pStyle w:val="TableParagraph"/>
              <w:spacing w:line="160" w:lineRule="exact"/>
              <w:rPr>
                <w:sz w:val="16"/>
              </w:rPr>
            </w:pPr>
            <w:r>
              <w:rPr>
                <w:color w:val="231F20"/>
                <w:w w:val="75"/>
                <w:sz w:val="16"/>
              </w:rPr>
              <w:t>C. Concepción Cruz García</w:t>
            </w:r>
          </w:p>
        </w:tc>
      </w:tr>
      <w:tr>
        <w:trPr>
          <w:trHeight w:val="130" w:hRule="exact"/>
        </w:trPr>
        <w:tc>
          <w:tcPr>
            <w:tcW w:w="4068" w:type="dxa"/>
          </w:tcPr>
          <w:p>
            <w:pPr>
              <w:pStyle w:val="TableParagraph"/>
              <w:spacing w:line="160" w:lineRule="exact"/>
              <w:rPr>
                <w:sz w:val="16"/>
              </w:rPr>
            </w:pPr>
            <w:r>
              <w:rPr>
                <w:color w:val="231F20"/>
                <w:w w:val="75"/>
                <w:sz w:val="16"/>
              </w:rPr>
              <w:t>C.P. José María Jurado Cobos</w:t>
            </w:r>
          </w:p>
        </w:tc>
        <w:tc>
          <w:tcPr>
            <w:tcW w:w="3859" w:type="dxa"/>
          </w:tcPr>
          <w:p>
            <w:pPr>
              <w:pStyle w:val="TableParagraph"/>
              <w:spacing w:line="160" w:lineRule="exact"/>
              <w:rPr>
                <w:sz w:val="16"/>
              </w:rPr>
            </w:pPr>
            <w:r>
              <w:rPr>
                <w:color w:val="231F20"/>
                <w:w w:val="75"/>
                <w:sz w:val="16"/>
              </w:rPr>
              <w:t>Tercera Regidora</w:t>
            </w:r>
          </w:p>
        </w:tc>
      </w:tr>
      <w:tr>
        <w:trPr>
          <w:trHeight w:val="130" w:hRule="exact"/>
        </w:trPr>
        <w:tc>
          <w:tcPr>
            <w:tcW w:w="4068" w:type="dxa"/>
          </w:tcPr>
          <w:p>
            <w:pPr>
              <w:pStyle w:val="TableParagraph"/>
              <w:spacing w:line="160" w:lineRule="exact"/>
              <w:rPr>
                <w:sz w:val="16"/>
              </w:rPr>
            </w:pPr>
            <w:r>
              <w:rPr>
                <w:color w:val="231F20"/>
                <w:w w:val="75"/>
                <w:sz w:val="16"/>
              </w:rPr>
              <w:t>Director General de Obras Públicas</w:t>
            </w:r>
          </w:p>
        </w:tc>
        <w:tc>
          <w:tcPr>
            <w:tcW w:w="3859" w:type="dxa"/>
          </w:tcPr>
          <w:p>
            <w:pPr>
              <w:pStyle w:val="TableParagraph"/>
              <w:spacing w:line="160" w:lineRule="exact"/>
              <w:rPr>
                <w:sz w:val="16"/>
              </w:rPr>
            </w:pPr>
            <w:r>
              <w:rPr>
                <w:color w:val="231F20"/>
                <w:w w:val="75"/>
                <w:sz w:val="16"/>
              </w:rPr>
              <w:t>C. Carlos Agustín Guerrero Paniagua</w:t>
            </w:r>
          </w:p>
        </w:tc>
      </w:tr>
      <w:tr>
        <w:trPr>
          <w:trHeight w:val="130" w:hRule="exact"/>
        </w:trPr>
        <w:tc>
          <w:tcPr>
            <w:tcW w:w="4068" w:type="dxa"/>
          </w:tcPr>
          <w:p>
            <w:pPr>
              <w:pStyle w:val="TableParagraph"/>
              <w:spacing w:line="160" w:lineRule="exact"/>
              <w:rPr>
                <w:sz w:val="16"/>
              </w:rPr>
            </w:pPr>
            <w:r>
              <w:rPr>
                <w:color w:val="231F20"/>
                <w:w w:val="80"/>
                <w:sz w:val="16"/>
              </w:rPr>
              <w:t>C. Javier Paz Zarza</w:t>
            </w:r>
          </w:p>
        </w:tc>
        <w:tc>
          <w:tcPr>
            <w:tcW w:w="3859" w:type="dxa"/>
          </w:tcPr>
          <w:p>
            <w:pPr>
              <w:pStyle w:val="TableParagraph"/>
              <w:spacing w:line="160" w:lineRule="exact"/>
              <w:rPr>
                <w:sz w:val="16"/>
              </w:rPr>
            </w:pPr>
            <w:r>
              <w:rPr>
                <w:color w:val="231F20"/>
                <w:w w:val="75"/>
                <w:sz w:val="16"/>
              </w:rPr>
              <w:t>Sexto Regidor</w:t>
            </w:r>
          </w:p>
        </w:tc>
      </w:tr>
      <w:tr>
        <w:trPr>
          <w:trHeight w:val="130" w:hRule="exact"/>
        </w:trPr>
        <w:tc>
          <w:tcPr>
            <w:tcW w:w="4068" w:type="dxa"/>
          </w:tcPr>
          <w:p>
            <w:pPr>
              <w:pStyle w:val="TableParagraph"/>
              <w:spacing w:line="160" w:lineRule="exact"/>
              <w:rPr>
                <w:sz w:val="16"/>
              </w:rPr>
            </w:pPr>
            <w:r>
              <w:rPr>
                <w:color w:val="231F20"/>
                <w:w w:val="75"/>
                <w:sz w:val="16"/>
              </w:rPr>
              <w:t>Director General de Desarrollo Social</w:t>
            </w:r>
          </w:p>
        </w:tc>
        <w:tc>
          <w:tcPr>
            <w:tcW w:w="3859" w:type="dxa"/>
          </w:tcPr>
          <w:p>
            <w:pPr>
              <w:pStyle w:val="TableParagraph"/>
              <w:spacing w:line="160" w:lineRule="exact"/>
              <w:rPr>
                <w:sz w:val="16"/>
              </w:rPr>
            </w:pPr>
            <w:r>
              <w:rPr>
                <w:color w:val="231F20"/>
                <w:w w:val="75"/>
                <w:sz w:val="16"/>
              </w:rPr>
              <w:t>Arq. Cyntia Yvette Jurado Gutiérrez</w:t>
            </w:r>
          </w:p>
        </w:tc>
      </w:tr>
      <w:tr>
        <w:trPr>
          <w:trHeight w:val="130" w:hRule="exact"/>
        </w:trPr>
        <w:tc>
          <w:tcPr>
            <w:tcW w:w="4068" w:type="dxa"/>
          </w:tcPr>
          <w:p>
            <w:pPr>
              <w:pStyle w:val="TableParagraph"/>
              <w:spacing w:line="160" w:lineRule="exact"/>
              <w:rPr>
                <w:sz w:val="16"/>
              </w:rPr>
            </w:pPr>
            <w:r>
              <w:rPr>
                <w:color w:val="231F20"/>
                <w:w w:val="75"/>
                <w:sz w:val="16"/>
              </w:rPr>
              <w:t>Lic. José Humberto Morales Zermeño</w:t>
            </w:r>
          </w:p>
        </w:tc>
        <w:tc>
          <w:tcPr>
            <w:tcW w:w="3859" w:type="dxa"/>
          </w:tcPr>
          <w:p>
            <w:pPr>
              <w:pStyle w:val="TableParagraph"/>
              <w:spacing w:line="160" w:lineRule="exact"/>
              <w:rPr>
                <w:sz w:val="16"/>
              </w:rPr>
            </w:pPr>
            <w:r>
              <w:rPr>
                <w:color w:val="231F20"/>
                <w:w w:val="75"/>
                <w:sz w:val="16"/>
              </w:rPr>
              <w:t>Quinta Regidora</w:t>
            </w:r>
          </w:p>
        </w:tc>
      </w:tr>
      <w:tr>
        <w:trPr>
          <w:trHeight w:val="130" w:hRule="exact"/>
        </w:trPr>
        <w:tc>
          <w:tcPr>
            <w:tcW w:w="4068" w:type="dxa"/>
          </w:tcPr>
          <w:p>
            <w:pPr>
              <w:pStyle w:val="TableParagraph"/>
              <w:spacing w:line="160" w:lineRule="exact"/>
              <w:rPr>
                <w:sz w:val="16"/>
              </w:rPr>
            </w:pPr>
            <w:r>
              <w:rPr>
                <w:color w:val="231F20"/>
                <w:w w:val="75"/>
                <w:sz w:val="16"/>
              </w:rPr>
              <w:t>Director General de la Contraloría Interna</w:t>
            </w:r>
          </w:p>
        </w:tc>
        <w:tc>
          <w:tcPr>
            <w:tcW w:w="3859" w:type="dxa"/>
          </w:tcPr>
          <w:p>
            <w:pPr>
              <w:pStyle w:val="TableParagraph"/>
              <w:spacing w:line="160" w:lineRule="exact"/>
              <w:rPr>
                <w:sz w:val="16"/>
              </w:rPr>
            </w:pPr>
            <w:r>
              <w:rPr>
                <w:color w:val="231F20"/>
                <w:w w:val="75"/>
                <w:sz w:val="16"/>
              </w:rPr>
              <w:t>C. Maricela Álvarez Garza</w:t>
            </w:r>
          </w:p>
        </w:tc>
      </w:tr>
      <w:tr>
        <w:trPr>
          <w:trHeight w:val="130" w:hRule="exact"/>
        </w:trPr>
        <w:tc>
          <w:tcPr>
            <w:tcW w:w="4068" w:type="dxa"/>
          </w:tcPr>
          <w:p>
            <w:pPr>
              <w:pStyle w:val="TableParagraph"/>
              <w:spacing w:line="160" w:lineRule="exact"/>
              <w:rPr>
                <w:sz w:val="16"/>
              </w:rPr>
            </w:pPr>
            <w:r>
              <w:rPr>
                <w:color w:val="231F20"/>
                <w:w w:val="80"/>
                <w:sz w:val="16"/>
              </w:rPr>
              <w:t>Lic. Enrique Barragán Reyes</w:t>
            </w:r>
          </w:p>
        </w:tc>
        <w:tc>
          <w:tcPr>
            <w:tcW w:w="3859" w:type="dxa"/>
          </w:tcPr>
          <w:p>
            <w:pPr>
              <w:pStyle w:val="TableParagraph"/>
              <w:spacing w:line="160" w:lineRule="exact"/>
              <w:rPr>
                <w:sz w:val="16"/>
              </w:rPr>
            </w:pPr>
            <w:r>
              <w:rPr>
                <w:color w:val="231F20"/>
                <w:w w:val="75"/>
                <w:sz w:val="16"/>
              </w:rPr>
              <w:t>Octava Regidora</w:t>
            </w:r>
          </w:p>
        </w:tc>
      </w:tr>
      <w:tr>
        <w:trPr>
          <w:trHeight w:val="130" w:hRule="exact"/>
        </w:trPr>
        <w:tc>
          <w:tcPr>
            <w:tcW w:w="4068" w:type="dxa"/>
          </w:tcPr>
          <w:p>
            <w:pPr>
              <w:pStyle w:val="TableParagraph"/>
              <w:spacing w:line="160" w:lineRule="exact"/>
              <w:rPr>
                <w:sz w:val="16"/>
              </w:rPr>
            </w:pPr>
            <w:r>
              <w:rPr>
                <w:color w:val="231F20"/>
                <w:w w:val="75"/>
                <w:sz w:val="16"/>
              </w:rPr>
              <w:t>Director General de Desarrollo</w:t>
            </w:r>
          </w:p>
        </w:tc>
        <w:tc>
          <w:tcPr>
            <w:tcW w:w="3859" w:type="dxa"/>
          </w:tcPr>
          <w:p>
            <w:pPr>
              <w:pStyle w:val="TableParagraph"/>
              <w:spacing w:line="160" w:lineRule="exact"/>
              <w:rPr>
                <w:sz w:val="16"/>
              </w:rPr>
            </w:pPr>
            <w:r>
              <w:rPr>
                <w:color w:val="231F20"/>
                <w:w w:val="75"/>
                <w:sz w:val="16"/>
              </w:rPr>
              <w:t>C. Emilio Díaz Garduño</w:t>
            </w:r>
          </w:p>
        </w:tc>
      </w:tr>
      <w:tr>
        <w:trPr>
          <w:trHeight w:val="130" w:hRule="exact"/>
        </w:trPr>
        <w:tc>
          <w:tcPr>
            <w:tcW w:w="4068" w:type="dxa"/>
          </w:tcPr>
          <w:p>
            <w:pPr>
              <w:pStyle w:val="TableParagraph"/>
              <w:spacing w:line="160" w:lineRule="exact"/>
              <w:rPr>
                <w:sz w:val="16"/>
              </w:rPr>
            </w:pPr>
            <w:r>
              <w:rPr>
                <w:color w:val="231F20"/>
                <w:w w:val="75"/>
                <w:sz w:val="16"/>
              </w:rPr>
              <w:t>y Fomento Económico</w:t>
            </w:r>
          </w:p>
        </w:tc>
        <w:tc>
          <w:tcPr>
            <w:tcW w:w="3859" w:type="dxa"/>
          </w:tcPr>
          <w:p>
            <w:pPr>
              <w:pStyle w:val="TableParagraph"/>
              <w:spacing w:line="160" w:lineRule="exact"/>
              <w:rPr>
                <w:sz w:val="16"/>
              </w:rPr>
            </w:pPr>
            <w:r>
              <w:rPr>
                <w:color w:val="231F20"/>
                <w:w w:val="75"/>
                <w:sz w:val="16"/>
              </w:rPr>
              <w:t>Séptimo Regidor</w:t>
            </w:r>
          </w:p>
        </w:tc>
      </w:tr>
      <w:tr>
        <w:trPr>
          <w:trHeight w:val="130" w:hRule="exact"/>
        </w:trPr>
        <w:tc>
          <w:tcPr>
            <w:tcW w:w="4068" w:type="dxa"/>
          </w:tcPr>
          <w:p>
            <w:pPr>
              <w:pStyle w:val="TableParagraph"/>
              <w:spacing w:line="160" w:lineRule="exact"/>
              <w:rPr>
                <w:sz w:val="16"/>
              </w:rPr>
            </w:pPr>
            <w:r>
              <w:rPr>
                <w:color w:val="231F20"/>
                <w:w w:val="80"/>
                <w:sz w:val="16"/>
              </w:rPr>
              <w:t>C.P. Jorge Borbolla Gálvez</w:t>
            </w:r>
          </w:p>
        </w:tc>
        <w:tc>
          <w:tcPr>
            <w:tcW w:w="3859" w:type="dxa"/>
          </w:tcPr>
          <w:p>
            <w:pPr>
              <w:pStyle w:val="TableParagraph"/>
              <w:spacing w:line="160" w:lineRule="exact"/>
              <w:rPr>
                <w:sz w:val="16"/>
              </w:rPr>
            </w:pPr>
            <w:r>
              <w:rPr>
                <w:color w:val="231F20"/>
                <w:w w:val="75"/>
                <w:sz w:val="16"/>
              </w:rPr>
              <w:t>Lic. Francisco Martín Valverde Trujillo</w:t>
            </w:r>
          </w:p>
        </w:tc>
      </w:tr>
      <w:tr>
        <w:trPr>
          <w:trHeight w:val="130" w:hRule="exact"/>
        </w:trPr>
        <w:tc>
          <w:tcPr>
            <w:tcW w:w="4068" w:type="dxa"/>
          </w:tcPr>
          <w:p>
            <w:pPr>
              <w:pStyle w:val="TableParagraph"/>
              <w:spacing w:line="160" w:lineRule="exact"/>
              <w:rPr>
                <w:sz w:val="16"/>
              </w:rPr>
            </w:pPr>
            <w:r>
              <w:rPr>
                <w:color w:val="231F20"/>
                <w:w w:val="75"/>
                <w:sz w:val="16"/>
              </w:rPr>
              <w:t>Director General de Administración</w:t>
            </w:r>
          </w:p>
        </w:tc>
        <w:tc>
          <w:tcPr>
            <w:tcW w:w="3859" w:type="dxa"/>
          </w:tcPr>
          <w:p>
            <w:pPr>
              <w:pStyle w:val="TableParagraph"/>
              <w:spacing w:line="160" w:lineRule="exact"/>
              <w:rPr>
                <w:sz w:val="16"/>
              </w:rPr>
            </w:pPr>
            <w:r>
              <w:rPr>
                <w:color w:val="231F20"/>
                <w:w w:val="75"/>
                <w:sz w:val="16"/>
              </w:rPr>
              <w:t>Décimo Regidor</w:t>
            </w:r>
          </w:p>
        </w:tc>
      </w:tr>
      <w:tr>
        <w:trPr>
          <w:trHeight w:val="130" w:hRule="exact"/>
        </w:trPr>
        <w:tc>
          <w:tcPr>
            <w:tcW w:w="4068" w:type="dxa"/>
          </w:tcPr>
          <w:p>
            <w:pPr>
              <w:pStyle w:val="TableParagraph"/>
              <w:spacing w:line="160" w:lineRule="exact"/>
              <w:rPr>
                <w:sz w:val="16"/>
              </w:rPr>
            </w:pPr>
            <w:r>
              <w:rPr>
                <w:color w:val="231F20"/>
                <w:w w:val="75"/>
                <w:sz w:val="16"/>
              </w:rPr>
              <w:t>C. Alejandro Aguilar García</w:t>
            </w:r>
          </w:p>
        </w:tc>
        <w:tc>
          <w:tcPr>
            <w:tcW w:w="3859" w:type="dxa"/>
          </w:tcPr>
          <w:p>
            <w:pPr>
              <w:pStyle w:val="TableParagraph"/>
              <w:spacing w:line="160" w:lineRule="exact"/>
              <w:rPr>
                <w:sz w:val="16"/>
              </w:rPr>
            </w:pPr>
            <w:r>
              <w:rPr>
                <w:color w:val="231F20"/>
                <w:w w:val="80"/>
                <w:sz w:val="16"/>
              </w:rPr>
              <w:t>C. Elda Vázquez López</w:t>
            </w:r>
          </w:p>
        </w:tc>
      </w:tr>
      <w:tr>
        <w:trPr>
          <w:trHeight w:val="130" w:hRule="exact"/>
        </w:trPr>
        <w:tc>
          <w:tcPr>
            <w:tcW w:w="4068" w:type="dxa"/>
          </w:tcPr>
          <w:p>
            <w:pPr>
              <w:pStyle w:val="TableParagraph"/>
              <w:spacing w:line="160" w:lineRule="exact"/>
              <w:rPr>
                <w:sz w:val="16"/>
              </w:rPr>
            </w:pPr>
            <w:r>
              <w:rPr>
                <w:color w:val="231F20"/>
                <w:w w:val="75"/>
                <w:sz w:val="16"/>
              </w:rPr>
              <w:t>Dirección General de la Unidad de</w:t>
            </w:r>
          </w:p>
        </w:tc>
        <w:tc>
          <w:tcPr>
            <w:tcW w:w="3859" w:type="dxa"/>
          </w:tcPr>
          <w:p>
            <w:pPr>
              <w:pStyle w:val="TableParagraph"/>
              <w:spacing w:line="160" w:lineRule="exact"/>
              <w:rPr>
                <w:sz w:val="16"/>
              </w:rPr>
            </w:pPr>
            <w:r>
              <w:rPr>
                <w:color w:val="231F20"/>
                <w:w w:val="75"/>
                <w:sz w:val="16"/>
              </w:rPr>
              <w:t>Novena Regidora</w:t>
            </w:r>
          </w:p>
        </w:tc>
      </w:tr>
      <w:tr>
        <w:trPr>
          <w:trHeight w:val="130" w:hRule="exact"/>
        </w:trPr>
        <w:tc>
          <w:tcPr>
            <w:tcW w:w="4068" w:type="dxa"/>
          </w:tcPr>
          <w:p>
            <w:pPr>
              <w:pStyle w:val="TableParagraph"/>
              <w:spacing w:line="160" w:lineRule="exact"/>
              <w:rPr>
                <w:sz w:val="16"/>
              </w:rPr>
            </w:pPr>
            <w:r>
              <w:rPr>
                <w:color w:val="231F20"/>
                <w:w w:val="75"/>
                <w:sz w:val="16"/>
              </w:rPr>
              <w:t>Comunicación Social</w:t>
            </w:r>
          </w:p>
        </w:tc>
        <w:tc>
          <w:tcPr>
            <w:tcW w:w="3859" w:type="dxa"/>
          </w:tcPr>
          <w:p>
            <w:pPr>
              <w:pStyle w:val="TableParagraph"/>
              <w:spacing w:line="160" w:lineRule="exact"/>
              <w:rPr>
                <w:sz w:val="16"/>
              </w:rPr>
            </w:pPr>
            <w:r>
              <w:rPr>
                <w:color w:val="231F20"/>
                <w:w w:val="75"/>
                <w:sz w:val="16"/>
              </w:rPr>
              <w:t>Lic. Adriana Sánchez  Quintana</w:t>
            </w:r>
          </w:p>
        </w:tc>
      </w:tr>
      <w:tr>
        <w:trPr>
          <w:trHeight w:val="130" w:hRule="exact"/>
        </w:trPr>
        <w:tc>
          <w:tcPr>
            <w:tcW w:w="4068" w:type="dxa"/>
          </w:tcPr>
          <w:p>
            <w:pPr>
              <w:pStyle w:val="TableParagraph"/>
              <w:spacing w:line="160" w:lineRule="exact"/>
              <w:rPr>
                <w:sz w:val="16"/>
              </w:rPr>
            </w:pPr>
            <w:r>
              <w:rPr>
                <w:color w:val="231F20"/>
                <w:w w:val="80"/>
                <w:sz w:val="16"/>
              </w:rPr>
              <w:t>C. Bethan Stone de Durán</w:t>
            </w:r>
          </w:p>
        </w:tc>
        <w:tc>
          <w:tcPr>
            <w:tcW w:w="3859" w:type="dxa"/>
          </w:tcPr>
          <w:p>
            <w:pPr>
              <w:pStyle w:val="TableParagraph"/>
              <w:spacing w:line="160" w:lineRule="exact"/>
              <w:rPr>
                <w:sz w:val="16"/>
              </w:rPr>
            </w:pPr>
            <w:r>
              <w:rPr>
                <w:color w:val="231F20"/>
                <w:w w:val="75"/>
                <w:sz w:val="16"/>
              </w:rPr>
              <w:t>Duodécima Regidora</w:t>
            </w:r>
          </w:p>
        </w:tc>
      </w:tr>
      <w:tr>
        <w:trPr>
          <w:trHeight w:val="130" w:hRule="exact"/>
        </w:trPr>
        <w:tc>
          <w:tcPr>
            <w:tcW w:w="4068" w:type="dxa"/>
          </w:tcPr>
          <w:p>
            <w:pPr>
              <w:pStyle w:val="TableParagraph"/>
              <w:spacing w:line="160" w:lineRule="exact"/>
              <w:rPr>
                <w:sz w:val="16"/>
              </w:rPr>
            </w:pPr>
            <w:r>
              <w:rPr>
                <w:color w:val="231F20"/>
                <w:w w:val="80"/>
                <w:sz w:val="16"/>
              </w:rPr>
              <w:t>Presidenta del Sistema Municipal para el</w:t>
            </w:r>
          </w:p>
        </w:tc>
        <w:tc>
          <w:tcPr>
            <w:tcW w:w="3859" w:type="dxa"/>
          </w:tcPr>
          <w:p>
            <w:pPr>
              <w:pStyle w:val="TableParagraph"/>
              <w:spacing w:line="160" w:lineRule="exact"/>
              <w:rPr>
                <w:sz w:val="16"/>
              </w:rPr>
            </w:pPr>
            <w:r>
              <w:rPr>
                <w:color w:val="231F20"/>
                <w:w w:val="75"/>
                <w:sz w:val="16"/>
              </w:rPr>
              <w:t>Lic. Paula Gabriela Pellicer Torres</w:t>
            </w:r>
          </w:p>
        </w:tc>
      </w:tr>
      <w:tr>
        <w:trPr>
          <w:trHeight w:val="130" w:hRule="exact"/>
        </w:trPr>
        <w:tc>
          <w:tcPr>
            <w:tcW w:w="4068" w:type="dxa"/>
          </w:tcPr>
          <w:p>
            <w:pPr>
              <w:pStyle w:val="TableParagraph"/>
              <w:spacing w:line="160" w:lineRule="exact"/>
              <w:rPr>
                <w:sz w:val="16"/>
              </w:rPr>
            </w:pPr>
            <w:r>
              <w:rPr>
                <w:color w:val="231F20"/>
                <w:w w:val="80"/>
                <w:sz w:val="16"/>
              </w:rPr>
              <w:t>Desarrollo Integral de la Familia (DIF)</w:t>
            </w:r>
          </w:p>
        </w:tc>
        <w:tc>
          <w:tcPr>
            <w:tcW w:w="3859" w:type="dxa"/>
          </w:tcPr>
          <w:p>
            <w:pPr>
              <w:pStyle w:val="TableParagraph"/>
              <w:spacing w:line="160" w:lineRule="exact"/>
              <w:rPr>
                <w:sz w:val="16"/>
              </w:rPr>
            </w:pPr>
            <w:r>
              <w:rPr>
                <w:color w:val="231F20"/>
                <w:w w:val="75"/>
                <w:sz w:val="16"/>
              </w:rPr>
              <w:t>Undécima Regidora</w:t>
            </w:r>
          </w:p>
        </w:tc>
      </w:tr>
      <w:tr>
        <w:trPr>
          <w:trHeight w:val="130" w:hRule="exact"/>
        </w:trPr>
        <w:tc>
          <w:tcPr>
            <w:tcW w:w="4068" w:type="dxa"/>
          </w:tcPr>
          <w:p>
            <w:pPr>
              <w:pStyle w:val="TableParagraph"/>
              <w:spacing w:line="160" w:lineRule="exact"/>
              <w:rPr>
                <w:sz w:val="16"/>
              </w:rPr>
            </w:pPr>
            <w:r>
              <w:rPr>
                <w:color w:val="231F20"/>
                <w:w w:val="80"/>
                <w:sz w:val="16"/>
              </w:rPr>
              <w:t>Lic. Luz Espinoza Razo</w:t>
            </w:r>
          </w:p>
        </w:tc>
        <w:tc>
          <w:tcPr>
            <w:tcW w:w="3859" w:type="dxa"/>
          </w:tcPr>
          <w:p>
            <w:pPr>
              <w:pStyle w:val="TableParagraph"/>
              <w:spacing w:line="160" w:lineRule="exact"/>
              <w:rPr>
                <w:sz w:val="16"/>
              </w:rPr>
            </w:pPr>
            <w:r>
              <w:rPr>
                <w:color w:val="231F20"/>
                <w:w w:val="75"/>
                <w:sz w:val="16"/>
              </w:rPr>
              <w:t>Escritora y Periodista Marta Guerrero González</w:t>
            </w:r>
          </w:p>
        </w:tc>
      </w:tr>
      <w:tr>
        <w:trPr>
          <w:trHeight w:val="130" w:hRule="exact"/>
        </w:trPr>
        <w:tc>
          <w:tcPr>
            <w:tcW w:w="4068" w:type="dxa"/>
          </w:tcPr>
          <w:p>
            <w:pPr>
              <w:pStyle w:val="TableParagraph"/>
              <w:spacing w:line="160" w:lineRule="exact"/>
              <w:rPr>
                <w:sz w:val="16"/>
              </w:rPr>
            </w:pPr>
            <w:r>
              <w:rPr>
                <w:color w:val="231F20"/>
                <w:w w:val="80"/>
                <w:sz w:val="16"/>
              </w:rPr>
              <w:t>Directora General del Sistema Municipal para el</w:t>
            </w:r>
          </w:p>
        </w:tc>
        <w:tc>
          <w:tcPr>
            <w:tcW w:w="3859" w:type="dxa"/>
          </w:tcPr>
          <w:p>
            <w:pPr>
              <w:pStyle w:val="TableParagraph"/>
              <w:spacing w:line="160" w:lineRule="exact"/>
              <w:rPr>
                <w:sz w:val="16"/>
              </w:rPr>
            </w:pPr>
            <w:r>
              <w:rPr>
                <w:color w:val="231F20"/>
                <w:w w:val="75"/>
                <w:sz w:val="16"/>
              </w:rPr>
              <w:t>Decimocuarta  Regidora</w:t>
            </w:r>
          </w:p>
        </w:tc>
      </w:tr>
      <w:tr>
        <w:trPr>
          <w:trHeight w:val="130" w:hRule="exact"/>
        </w:trPr>
        <w:tc>
          <w:tcPr>
            <w:tcW w:w="4068" w:type="dxa"/>
          </w:tcPr>
          <w:p>
            <w:pPr>
              <w:pStyle w:val="TableParagraph"/>
              <w:spacing w:line="160" w:lineRule="exact"/>
              <w:rPr>
                <w:sz w:val="16"/>
              </w:rPr>
            </w:pPr>
            <w:r>
              <w:rPr>
                <w:color w:val="231F20"/>
                <w:w w:val="80"/>
                <w:sz w:val="16"/>
              </w:rPr>
              <w:t>Desarrollo Integral de la Familia (DIF)</w:t>
            </w:r>
          </w:p>
        </w:tc>
        <w:tc>
          <w:tcPr>
            <w:tcW w:w="3859" w:type="dxa"/>
          </w:tcPr>
          <w:p>
            <w:pPr>
              <w:pStyle w:val="TableParagraph"/>
              <w:spacing w:line="160" w:lineRule="exact"/>
              <w:rPr>
                <w:sz w:val="16"/>
              </w:rPr>
            </w:pPr>
            <w:r>
              <w:rPr>
                <w:color w:val="231F20"/>
                <w:w w:val="80"/>
                <w:sz w:val="16"/>
              </w:rPr>
              <w:t>C. Rosa María Ruiz García</w:t>
            </w:r>
          </w:p>
        </w:tc>
      </w:tr>
      <w:tr>
        <w:trPr>
          <w:trHeight w:val="130" w:hRule="exact"/>
        </w:trPr>
        <w:tc>
          <w:tcPr>
            <w:tcW w:w="4068" w:type="dxa"/>
          </w:tcPr>
          <w:p>
            <w:pPr>
              <w:pStyle w:val="TableParagraph"/>
              <w:spacing w:line="160" w:lineRule="exact"/>
              <w:rPr>
                <w:sz w:val="16"/>
              </w:rPr>
            </w:pPr>
            <w:r>
              <w:rPr>
                <w:color w:val="231F20"/>
                <w:w w:val="80"/>
                <w:sz w:val="16"/>
              </w:rPr>
              <w:t>C. Evangelina Pérez Zaragoza</w:t>
            </w:r>
          </w:p>
        </w:tc>
        <w:tc>
          <w:tcPr>
            <w:tcW w:w="3859" w:type="dxa"/>
          </w:tcPr>
          <w:p>
            <w:pPr>
              <w:pStyle w:val="TableParagraph"/>
              <w:spacing w:line="160" w:lineRule="exact"/>
              <w:rPr>
                <w:sz w:val="16"/>
              </w:rPr>
            </w:pPr>
            <w:r>
              <w:rPr>
                <w:color w:val="231F20"/>
                <w:w w:val="75"/>
                <w:sz w:val="16"/>
              </w:rPr>
              <w:t>Decimotercera Regidora</w:t>
            </w:r>
          </w:p>
        </w:tc>
      </w:tr>
      <w:tr>
        <w:trPr>
          <w:trHeight w:val="130" w:hRule="exact"/>
        </w:trPr>
        <w:tc>
          <w:tcPr>
            <w:tcW w:w="4068" w:type="dxa"/>
          </w:tcPr>
          <w:p>
            <w:pPr>
              <w:pStyle w:val="TableParagraph"/>
              <w:spacing w:line="160" w:lineRule="exact"/>
              <w:rPr>
                <w:sz w:val="16"/>
              </w:rPr>
            </w:pPr>
            <w:r>
              <w:rPr>
                <w:color w:val="231F20"/>
                <w:w w:val="80"/>
                <w:sz w:val="16"/>
              </w:rPr>
              <w:t>Directora del Instituto de</w:t>
            </w:r>
          </w:p>
        </w:tc>
        <w:tc>
          <w:tcPr>
            <w:tcW w:w="3859" w:type="dxa"/>
          </w:tcPr>
          <w:p>
            <w:pPr>
              <w:pStyle w:val="TableParagraph"/>
              <w:spacing w:line="160" w:lineRule="exact"/>
              <w:rPr>
                <w:sz w:val="16"/>
              </w:rPr>
            </w:pPr>
            <w:r>
              <w:rPr>
                <w:color w:val="231F20"/>
                <w:w w:val="80"/>
                <w:sz w:val="16"/>
              </w:rPr>
              <w:t>C. José Islas Castañeda</w:t>
            </w:r>
          </w:p>
        </w:tc>
      </w:tr>
      <w:tr>
        <w:trPr>
          <w:trHeight w:val="130" w:hRule="exact"/>
        </w:trPr>
        <w:tc>
          <w:tcPr>
            <w:tcW w:w="4068" w:type="dxa"/>
          </w:tcPr>
          <w:p>
            <w:pPr>
              <w:pStyle w:val="TableParagraph"/>
              <w:spacing w:line="160" w:lineRule="exact"/>
              <w:rPr>
                <w:sz w:val="16"/>
              </w:rPr>
            </w:pPr>
            <w:r>
              <w:rPr>
                <w:color w:val="231F20"/>
                <w:w w:val="75"/>
                <w:sz w:val="16"/>
              </w:rPr>
              <w:t>las Mujeres Naucalpenses</w:t>
            </w:r>
          </w:p>
        </w:tc>
        <w:tc>
          <w:tcPr>
            <w:tcW w:w="3859" w:type="dxa"/>
          </w:tcPr>
          <w:p>
            <w:pPr>
              <w:pStyle w:val="TableParagraph"/>
              <w:spacing w:line="160" w:lineRule="exact"/>
              <w:rPr>
                <w:sz w:val="16"/>
              </w:rPr>
            </w:pPr>
            <w:r>
              <w:rPr>
                <w:color w:val="231F20"/>
                <w:w w:val="75"/>
                <w:sz w:val="16"/>
              </w:rPr>
              <w:t>Decimosexto Regidor</w:t>
            </w:r>
          </w:p>
        </w:tc>
      </w:tr>
      <w:tr>
        <w:trPr>
          <w:trHeight w:val="130" w:hRule="exact"/>
        </w:trPr>
        <w:tc>
          <w:tcPr>
            <w:tcW w:w="4068" w:type="dxa"/>
          </w:tcPr>
          <w:p>
            <w:pPr>
              <w:pStyle w:val="TableParagraph"/>
              <w:spacing w:line="160" w:lineRule="exact"/>
              <w:rPr>
                <w:sz w:val="16"/>
              </w:rPr>
            </w:pPr>
            <w:r>
              <w:rPr>
                <w:color w:val="231F20"/>
                <w:w w:val="75"/>
                <w:sz w:val="16"/>
              </w:rPr>
              <w:t>C. Amado Carlos González López</w:t>
            </w:r>
          </w:p>
        </w:tc>
        <w:tc>
          <w:tcPr>
            <w:tcW w:w="3859" w:type="dxa"/>
          </w:tcPr>
          <w:p>
            <w:pPr>
              <w:pStyle w:val="TableParagraph"/>
              <w:spacing w:line="160" w:lineRule="exact"/>
              <w:rPr>
                <w:sz w:val="16"/>
              </w:rPr>
            </w:pPr>
            <w:r>
              <w:rPr>
                <w:color w:val="231F20"/>
                <w:w w:val="75"/>
                <w:sz w:val="16"/>
              </w:rPr>
              <w:t>C. Horacio Pérez Cortés</w:t>
            </w:r>
          </w:p>
        </w:tc>
      </w:tr>
      <w:tr>
        <w:trPr>
          <w:trHeight w:val="130" w:hRule="exact"/>
        </w:trPr>
        <w:tc>
          <w:tcPr>
            <w:tcW w:w="4068" w:type="dxa"/>
          </w:tcPr>
          <w:p>
            <w:pPr>
              <w:pStyle w:val="TableParagraph"/>
              <w:spacing w:line="160" w:lineRule="exact"/>
              <w:rPr>
                <w:sz w:val="16"/>
              </w:rPr>
            </w:pPr>
            <w:r>
              <w:rPr>
                <w:color w:val="231F20"/>
                <w:w w:val="75"/>
                <w:sz w:val="16"/>
              </w:rPr>
              <w:t>Director General de Protección Civil</w:t>
            </w:r>
          </w:p>
        </w:tc>
        <w:tc>
          <w:tcPr>
            <w:tcW w:w="3859" w:type="dxa"/>
          </w:tcPr>
          <w:p>
            <w:pPr>
              <w:pStyle w:val="TableParagraph"/>
              <w:spacing w:line="160" w:lineRule="exact"/>
              <w:rPr>
                <w:sz w:val="16"/>
              </w:rPr>
            </w:pPr>
            <w:r>
              <w:rPr>
                <w:color w:val="231F20"/>
                <w:w w:val="75"/>
                <w:sz w:val="16"/>
              </w:rPr>
              <w:t>Decimoquinto Regidor</w:t>
            </w:r>
          </w:p>
        </w:tc>
      </w:tr>
      <w:tr>
        <w:trPr>
          <w:trHeight w:val="130" w:hRule="exact"/>
        </w:trPr>
        <w:tc>
          <w:tcPr>
            <w:tcW w:w="4068" w:type="dxa"/>
          </w:tcPr>
          <w:p>
            <w:pPr>
              <w:pStyle w:val="TableParagraph"/>
              <w:spacing w:line="160" w:lineRule="exact"/>
              <w:rPr>
                <w:sz w:val="16"/>
              </w:rPr>
            </w:pPr>
            <w:r>
              <w:rPr>
                <w:color w:val="231F20"/>
                <w:w w:val="80"/>
                <w:sz w:val="16"/>
              </w:rPr>
              <w:t>Lic. Manuel Gómez Morin Martínez del Río</w:t>
            </w:r>
          </w:p>
        </w:tc>
        <w:tc>
          <w:tcPr>
            <w:tcW w:w="3859" w:type="dxa"/>
          </w:tcPr>
          <w:p>
            <w:pPr>
              <w:pStyle w:val="TableParagraph"/>
              <w:spacing w:line="160" w:lineRule="exact"/>
              <w:rPr>
                <w:sz w:val="16"/>
              </w:rPr>
            </w:pPr>
            <w:r>
              <w:rPr>
                <w:color w:val="231F20"/>
                <w:w w:val="75"/>
                <w:sz w:val="16"/>
              </w:rPr>
              <w:t>C. Aurelio Torres García</w:t>
            </w:r>
          </w:p>
        </w:tc>
      </w:tr>
      <w:tr>
        <w:trPr>
          <w:trHeight w:val="130" w:hRule="exact"/>
        </w:trPr>
        <w:tc>
          <w:tcPr>
            <w:tcW w:w="4068" w:type="dxa"/>
          </w:tcPr>
          <w:p>
            <w:pPr>
              <w:pStyle w:val="TableParagraph"/>
              <w:spacing w:line="160" w:lineRule="exact"/>
              <w:rPr>
                <w:sz w:val="16"/>
              </w:rPr>
            </w:pPr>
            <w:r>
              <w:rPr>
                <w:color w:val="231F20"/>
                <w:w w:val="75"/>
                <w:sz w:val="16"/>
              </w:rPr>
              <w:t>Director General del Organismo de Agua</w:t>
            </w:r>
          </w:p>
        </w:tc>
        <w:tc>
          <w:tcPr>
            <w:tcW w:w="3859" w:type="dxa"/>
          </w:tcPr>
          <w:p>
            <w:pPr>
              <w:pStyle w:val="TableParagraph"/>
              <w:spacing w:line="160" w:lineRule="exact"/>
              <w:rPr>
                <w:sz w:val="16"/>
              </w:rPr>
            </w:pPr>
            <w:r>
              <w:rPr>
                <w:color w:val="231F20"/>
                <w:w w:val="75"/>
                <w:sz w:val="16"/>
              </w:rPr>
              <w:t>Decimoctavo Regidor</w:t>
            </w:r>
          </w:p>
        </w:tc>
      </w:tr>
      <w:tr>
        <w:trPr>
          <w:trHeight w:val="130" w:hRule="exact"/>
        </w:trPr>
        <w:tc>
          <w:tcPr>
            <w:tcW w:w="4068" w:type="dxa"/>
          </w:tcPr>
          <w:p>
            <w:pPr>
              <w:pStyle w:val="TableParagraph"/>
              <w:spacing w:line="160" w:lineRule="exact"/>
              <w:rPr>
                <w:sz w:val="16"/>
              </w:rPr>
            </w:pPr>
            <w:r>
              <w:rPr>
                <w:color w:val="231F20"/>
                <w:w w:val="75"/>
                <w:sz w:val="16"/>
              </w:rPr>
              <w:t>Potable, Alcantarillado y Saneamiento  (OAPAS)</w:t>
            </w:r>
          </w:p>
        </w:tc>
        <w:tc>
          <w:tcPr>
            <w:tcW w:w="3859" w:type="dxa"/>
          </w:tcPr>
          <w:p>
            <w:pPr>
              <w:pStyle w:val="TableParagraph"/>
              <w:spacing w:line="160" w:lineRule="exact"/>
              <w:rPr>
                <w:sz w:val="16"/>
              </w:rPr>
            </w:pPr>
            <w:r>
              <w:rPr>
                <w:color w:val="231F20"/>
                <w:w w:val="80"/>
                <w:sz w:val="16"/>
              </w:rPr>
              <w:t>C. Ernestina Cruz Ramírez</w:t>
            </w:r>
          </w:p>
        </w:tc>
      </w:tr>
      <w:tr>
        <w:trPr>
          <w:trHeight w:val="130" w:hRule="exact"/>
        </w:trPr>
        <w:tc>
          <w:tcPr>
            <w:tcW w:w="4068" w:type="dxa"/>
          </w:tcPr>
          <w:p>
            <w:pPr>
              <w:pStyle w:val="TableParagraph"/>
              <w:spacing w:line="159" w:lineRule="exact"/>
              <w:rPr>
                <w:sz w:val="16"/>
              </w:rPr>
            </w:pPr>
            <w:r>
              <w:rPr>
                <w:color w:val="231F20"/>
                <w:w w:val="80"/>
                <w:sz w:val="16"/>
              </w:rPr>
              <w:t>Lic. Bernardo Oscar Basilio Sánchez</w:t>
            </w:r>
          </w:p>
        </w:tc>
        <w:tc>
          <w:tcPr>
            <w:tcW w:w="3859" w:type="dxa"/>
          </w:tcPr>
          <w:p>
            <w:pPr>
              <w:pStyle w:val="TableParagraph"/>
              <w:spacing w:line="159" w:lineRule="exact"/>
              <w:rPr>
                <w:sz w:val="16"/>
              </w:rPr>
            </w:pPr>
            <w:r>
              <w:rPr>
                <w:color w:val="231F20"/>
                <w:w w:val="75"/>
                <w:sz w:val="16"/>
              </w:rPr>
              <w:t>Decimoséptima  Regidora</w:t>
            </w:r>
          </w:p>
        </w:tc>
      </w:tr>
      <w:tr>
        <w:trPr>
          <w:trHeight w:val="130" w:hRule="exact"/>
        </w:trPr>
        <w:tc>
          <w:tcPr>
            <w:tcW w:w="4068" w:type="dxa"/>
          </w:tcPr>
          <w:p>
            <w:pPr>
              <w:pStyle w:val="TableParagraph"/>
              <w:spacing w:line="159" w:lineRule="exact"/>
              <w:rPr>
                <w:sz w:val="16"/>
              </w:rPr>
            </w:pPr>
            <w:r>
              <w:rPr>
                <w:color w:val="231F20"/>
                <w:w w:val="75"/>
                <w:sz w:val="16"/>
              </w:rPr>
              <w:t>Encargado de Despacho de</w:t>
            </w:r>
          </w:p>
        </w:tc>
        <w:tc>
          <w:tcPr>
            <w:tcW w:w="3859" w:type="dxa"/>
          </w:tcPr>
          <w:p>
            <w:pPr>
              <w:pStyle w:val="TableParagraph"/>
              <w:spacing w:line="159" w:lineRule="exact"/>
              <w:rPr>
                <w:sz w:val="16"/>
              </w:rPr>
            </w:pPr>
            <w:r>
              <w:rPr>
                <w:color w:val="231F20"/>
                <w:w w:val="75"/>
                <w:sz w:val="16"/>
              </w:rPr>
              <w:t>C. José Francisco Anaya Alcántara</w:t>
            </w:r>
          </w:p>
        </w:tc>
      </w:tr>
      <w:tr>
        <w:trPr>
          <w:trHeight w:val="161" w:hRule="exact"/>
        </w:trPr>
        <w:tc>
          <w:tcPr>
            <w:tcW w:w="4068" w:type="dxa"/>
          </w:tcPr>
          <w:p>
            <w:pPr>
              <w:pStyle w:val="TableParagraph"/>
              <w:spacing w:line="159" w:lineRule="exact"/>
              <w:rPr>
                <w:sz w:val="16"/>
              </w:rPr>
            </w:pPr>
            <w:r>
              <w:rPr>
                <w:color w:val="231F20"/>
                <w:w w:val="75"/>
                <w:sz w:val="16"/>
              </w:rPr>
              <w:t>la Consejería Jurídica</w:t>
            </w:r>
          </w:p>
        </w:tc>
        <w:tc>
          <w:tcPr>
            <w:tcW w:w="3859" w:type="dxa"/>
          </w:tcPr>
          <w:p>
            <w:pPr>
              <w:pStyle w:val="TableParagraph"/>
              <w:spacing w:line="159" w:lineRule="exact"/>
              <w:rPr>
                <w:sz w:val="16"/>
              </w:rPr>
            </w:pPr>
            <w:r>
              <w:rPr>
                <w:color w:val="231F20"/>
                <w:w w:val="75"/>
                <w:sz w:val="16"/>
              </w:rPr>
              <w:t>Decimonoveno Regidor</w:t>
            </w:r>
          </w:p>
        </w:tc>
      </w:tr>
      <w:tr>
        <w:trPr>
          <w:trHeight w:val="674" w:hRule="exact"/>
        </w:trPr>
        <w:tc>
          <w:tcPr>
            <w:tcW w:w="4068" w:type="dxa"/>
          </w:tcPr>
          <w:p>
            <w:pPr>
              <w:pStyle w:val="TableParagraph"/>
              <w:spacing w:line="152" w:lineRule="exact"/>
              <w:rPr>
                <w:sz w:val="16"/>
              </w:rPr>
            </w:pPr>
            <w:r>
              <w:rPr>
                <w:color w:val="231F20"/>
                <w:w w:val="80"/>
                <w:sz w:val="16"/>
              </w:rPr>
              <w:t>Lic. Héctor Bedolla Sánchez</w:t>
            </w:r>
          </w:p>
          <w:p>
            <w:pPr>
              <w:pStyle w:val="TableParagraph"/>
              <w:spacing w:line="180" w:lineRule="exact"/>
              <w:ind w:right="1652"/>
              <w:rPr>
                <w:sz w:val="16"/>
              </w:rPr>
            </w:pPr>
            <w:r>
              <w:rPr>
                <w:color w:val="231F20"/>
                <w:w w:val="75"/>
                <w:sz w:val="16"/>
              </w:rPr>
              <w:t>Vocal Ejecutivo de Asentamientos Humanos </w:t>
            </w:r>
            <w:r>
              <w:rPr>
                <w:color w:val="231F20"/>
                <w:w w:val="85"/>
                <w:sz w:val="16"/>
              </w:rPr>
              <w:t>Lic. Víctor Augusto Armenta Landa </w:t>
            </w:r>
            <w:r>
              <w:rPr>
                <w:color w:val="231F20"/>
                <w:w w:val="75"/>
                <w:sz w:val="16"/>
              </w:rPr>
              <w:t>Secretario Particular de  Presidencia</w:t>
            </w:r>
          </w:p>
        </w:tc>
        <w:tc>
          <w:tcPr>
            <w:tcW w:w="3859" w:type="dxa"/>
          </w:tcPr>
          <w:p>
            <w:pPr/>
          </w:p>
        </w:tc>
      </w:tr>
    </w:tbl>
    <w:p>
      <w:pPr>
        <w:spacing w:after="0"/>
        <w:sectPr>
          <w:type w:val="continuous"/>
          <w:pgSz w:w="9640" w:h="12190"/>
          <w:pgMar w:top="0" w:bottom="0" w:left="740" w:right="7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spacing w:line="389" w:lineRule="exact" w:before="0"/>
        <w:ind w:left="102" w:right="102" w:firstLine="0"/>
        <w:jc w:val="center"/>
        <w:rPr>
          <w:b/>
          <w:sz w:val="34"/>
        </w:rPr>
      </w:pPr>
      <w:r>
        <w:rPr>
          <w:b/>
          <w:color w:val="231F20"/>
          <w:w w:val="105"/>
          <w:sz w:val="34"/>
        </w:rPr>
        <w:t>Tlalnepantla de Baz, 2000 – 2008.</w:t>
      </w:r>
    </w:p>
    <w:p>
      <w:pPr>
        <w:spacing w:before="209"/>
        <w:ind w:left="102" w:right="102" w:firstLine="0"/>
        <w:jc w:val="center"/>
        <w:rPr>
          <w:b/>
          <w:sz w:val="34"/>
        </w:rPr>
      </w:pPr>
      <w:r>
        <w:rPr>
          <w:b/>
          <w:color w:val="231F20"/>
          <w:w w:val="105"/>
          <w:sz w:val="34"/>
        </w:rPr>
        <w:t>Tres gestiones panistas</w:t>
      </w:r>
    </w:p>
    <w:p>
      <w:pPr>
        <w:pStyle w:val="BodyText"/>
        <w:spacing w:before="6"/>
        <w:rPr>
          <w:b/>
          <w:sz w:val="29"/>
        </w:rPr>
      </w:pPr>
    </w:p>
    <w:p>
      <w:pPr>
        <w:spacing w:before="0"/>
        <w:ind w:left="110" w:right="-2" w:firstLine="5919"/>
        <w:jc w:val="left"/>
        <w:rPr>
          <w:i/>
          <w:sz w:val="20"/>
        </w:rPr>
      </w:pPr>
      <w:r>
        <w:rPr>
          <w:i/>
          <w:color w:val="231F20"/>
          <w:sz w:val="20"/>
        </w:rPr>
        <w:t>Alberto Espejel Espinoza</w:t>
      </w:r>
    </w:p>
    <w:p>
      <w:pPr>
        <w:pStyle w:val="BodyText"/>
        <w:rPr>
          <w:i/>
          <w:sz w:val="20"/>
        </w:rPr>
      </w:pPr>
    </w:p>
    <w:p>
      <w:pPr>
        <w:pStyle w:val="BodyText"/>
        <w:spacing w:line="285" w:lineRule="auto" w:before="121"/>
        <w:ind w:left="110" w:right="108"/>
        <w:jc w:val="both"/>
      </w:pPr>
      <w:r>
        <w:rPr>
          <w:color w:val="231F20"/>
          <w:w w:val="105"/>
        </w:rPr>
        <w:t>El</w:t>
      </w:r>
      <w:r>
        <w:rPr>
          <w:color w:val="231F20"/>
          <w:spacing w:val="-14"/>
          <w:w w:val="105"/>
        </w:rPr>
        <w:t> </w:t>
      </w:r>
      <w:r>
        <w:rPr>
          <w:color w:val="231F20"/>
          <w:w w:val="105"/>
        </w:rPr>
        <w:t>estudio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partidos</w:t>
      </w:r>
      <w:r>
        <w:rPr>
          <w:color w:val="231F20"/>
          <w:spacing w:val="-14"/>
          <w:w w:val="105"/>
        </w:rPr>
        <w:t> </w:t>
      </w:r>
      <w:r>
        <w:rPr>
          <w:color w:val="231F20"/>
          <w:w w:val="105"/>
        </w:rPr>
        <w:t>políticos</w:t>
      </w:r>
      <w:r>
        <w:rPr>
          <w:color w:val="231F20"/>
          <w:spacing w:val="-14"/>
          <w:w w:val="105"/>
        </w:rPr>
        <w:t> </w:t>
      </w:r>
      <w:r>
        <w:rPr>
          <w:color w:val="231F20"/>
          <w:w w:val="105"/>
        </w:rPr>
        <w:t>y</w:t>
      </w:r>
      <w:r>
        <w:rPr>
          <w:color w:val="231F20"/>
          <w:spacing w:val="-14"/>
          <w:w w:val="105"/>
        </w:rPr>
        <w:t> </w:t>
      </w:r>
      <w:r>
        <w:rPr>
          <w:color w:val="231F20"/>
          <w:w w:val="105"/>
        </w:rPr>
        <w:t>su</w:t>
      </w:r>
      <w:r>
        <w:rPr>
          <w:color w:val="231F20"/>
          <w:spacing w:val="-14"/>
          <w:w w:val="105"/>
        </w:rPr>
        <w:t> </w:t>
      </w:r>
      <w:r>
        <w:rPr>
          <w:color w:val="231F20"/>
          <w:w w:val="105"/>
        </w:rPr>
        <w:t>relación</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ciudadanía</w:t>
      </w:r>
      <w:r>
        <w:rPr>
          <w:color w:val="231F20"/>
          <w:spacing w:val="-14"/>
          <w:w w:val="105"/>
        </w:rPr>
        <w:t> </w:t>
      </w:r>
      <w:r>
        <w:rPr>
          <w:color w:val="231F20"/>
          <w:w w:val="105"/>
        </w:rPr>
        <w:t>en</w:t>
      </w:r>
      <w:r>
        <w:rPr>
          <w:color w:val="231F20"/>
          <w:spacing w:val="-14"/>
          <w:w w:val="105"/>
        </w:rPr>
        <w:t> </w:t>
      </w:r>
      <w:r>
        <w:rPr>
          <w:color w:val="231F20"/>
          <w:w w:val="105"/>
        </w:rPr>
        <w:t>tanto</w:t>
      </w:r>
      <w:r>
        <w:rPr>
          <w:color w:val="231F20"/>
          <w:spacing w:val="-14"/>
          <w:w w:val="105"/>
        </w:rPr>
        <w:t> </w:t>
      </w:r>
      <w:r>
        <w:rPr>
          <w:color w:val="231F20"/>
          <w:w w:val="105"/>
        </w:rPr>
        <w:t>gobierno,</w:t>
      </w:r>
      <w:r>
        <w:rPr>
          <w:color w:val="231F20"/>
          <w:spacing w:val="-14"/>
          <w:w w:val="105"/>
        </w:rPr>
        <w:t> </w:t>
      </w:r>
      <w:r>
        <w:rPr>
          <w:color w:val="231F20"/>
          <w:w w:val="105"/>
        </w:rPr>
        <w:t>ha sido</w:t>
      </w:r>
      <w:r>
        <w:rPr>
          <w:color w:val="231F20"/>
          <w:spacing w:val="-18"/>
          <w:w w:val="105"/>
        </w:rPr>
        <w:t> </w:t>
      </w:r>
      <w:r>
        <w:rPr>
          <w:color w:val="231F20"/>
          <w:w w:val="105"/>
        </w:rPr>
        <w:t>poco</w:t>
      </w:r>
      <w:r>
        <w:rPr>
          <w:color w:val="231F20"/>
          <w:spacing w:val="-18"/>
          <w:w w:val="105"/>
        </w:rPr>
        <w:t> </w:t>
      </w:r>
      <w:r>
        <w:rPr>
          <w:color w:val="231F20"/>
          <w:w w:val="105"/>
        </w:rPr>
        <w:t>explorado.</w:t>
      </w:r>
      <w:r>
        <w:rPr>
          <w:color w:val="231F20"/>
          <w:spacing w:val="-18"/>
          <w:w w:val="105"/>
        </w:rPr>
        <w:t> </w:t>
      </w:r>
      <w:r>
        <w:rPr>
          <w:color w:val="231F20"/>
          <w:w w:val="105"/>
        </w:rPr>
        <w:t>Este</w:t>
      </w:r>
      <w:r>
        <w:rPr>
          <w:color w:val="231F20"/>
          <w:spacing w:val="-18"/>
          <w:w w:val="105"/>
        </w:rPr>
        <w:t> </w:t>
      </w:r>
      <w:r>
        <w:rPr>
          <w:color w:val="231F20"/>
          <w:w w:val="105"/>
        </w:rPr>
        <w:t>reducido</w:t>
      </w:r>
      <w:r>
        <w:rPr>
          <w:color w:val="231F20"/>
          <w:spacing w:val="-18"/>
          <w:w w:val="105"/>
        </w:rPr>
        <w:t> </w:t>
      </w:r>
      <w:r>
        <w:rPr>
          <w:color w:val="231F20"/>
          <w:w w:val="105"/>
        </w:rPr>
        <w:t>interés</w:t>
      </w:r>
      <w:r>
        <w:rPr>
          <w:color w:val="231F20"/>
          <w:spacing w:val="-18"/>
          <w:w w:val="105"/>
        </w:rPr>
        <w:t> </w:t>
      </w:r>
      <w:r>
        <w:rPr>
          <w:color w:val="231F20"/>
          <w:w w:val="105"/>
        </w:rPr>
        <w:t>quizá</w:t>
      </w:r>
      <w:r>
        <w:rPr>
          <w:color w:val="231F20"/>
          <w:spacing w:val="-18"/>
          <w:w w:val="105"/>
        </w:rPr>
        <w:t> </w:t>
      </w:r>
      <w:r>
        <w:rPr>
          <w:color w:val="231F20"/>
          <w:w w:val="105"/>
        </w:rPr>
        <w:t>haya</w:t>
      </w:r>
      <w:r>
        <w:rPr>
          <w:color w:val="231F20"/>
          <w:spacing w:val="-18"/>
          <w:w w:val="105"/>
        </w:rPr>
        <w:t> </w:t>
      </w:r>
      <w:r>
        <w:rPr>
          <w:color w:val="231F20"/>
          <w:w w:val="105"/>
        </w:rPr>
        <w:t>tenido</w:t>
      </w:r>
      <w:r>
        <w:rPr>
          <w:color w:val="231F20"/>
          <w:spacing w:val="-18"/>
          <w:w w:val="105"/>
        </w:rPr>
        <w:t> </w:t>
      </w:r>
      <w:r>
        <w:rPr>
          <w:color w:val="231F20"/>
          <w:w w:val="105"/>
        </w:rPr>
        <w:t>que</w:t>
      </w:r>
      <w:r>
        <w:rPr>
          <w:color w:val="231F20"/>
          <w:spacing w:val="-18"/>
          <w:w w:val="105"/>
        </w:rPr>
        <w:t> </w:t>
      </w:r>
      <w:r>
        <w:rPr>
          <w:color w:val="231F20"/>
          <w:w w:val="105"/>
        </w:rPr>
        <w:t>ver</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poca</w:t>
      </w:r>
      <w:r>
        <w:rPr>
          <w:color w:val="231F20"/>
          <w:spacing w:val="-18"/>
          <w:w w:val="105"/>
        </w:rPr>
        <w:t> </w:t>
      </w:r>
      <w:r>
        <w:rPr>
          <w:color w:val="231F20"/>
          <w:w w:val="105"/>
        </w:rPr>
        <w:t>impor- tancia</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le</w:t>
      </w:r>
      <w:r>
        <w:rPr>
          <w:color w:val="231F20"/>
          <w:spacing w:val="-9"/>
          <w:w w:val="105"/>
        </w:rPr>
        <w:t> </w:t>
      </w:r>
      <w:r>
        <w:rPr>
          <w:color w:val="231F20"/>
          <w:w w:val="105"/>
        </w:rPr>
        <w:t>ha</w:t>
      </w:r>
      <w:r>
        <w:rPr>
          <w:color w:val="231F20"/>
          <w:spacing w:val="-9"/>
          <w:w w:val="105"/>
        </w:rPr>
        <w:t> </w:t>
      </w:r>
      <w:r>
        <w:rPr>
          <w:color w:val="231F20"/>
          <w:w w:val="105"/>
        </w:rPr>
        <w:t>brindado</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partidos</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funcionamiento</w:t>
      </w:r>
      <w:r>
        <w:rPr>
          <w:color w:val="231F20"/>
          <w:spacing w:val="-9"/>
          <w:w w:val="105"/>
        </w:rPr>
        <w:t> </w:t>
      </w:r>
      <w:r>
        <w:rPr>
          <w:color w:val="231F20"/>
          <w:w w:val="105"/>
        </w:rPr>
        <w:t>y</w:t>
      </w:r>
      <w:r>
        <w:rPr>
          <w:color w:val="231F20"/>
          <w:spacing w:val="-9"/>
          <w:w w:val="105"/>
        </w:rPr>
        <w:t> </w:t>
      </w:r>
      <w:r>
        <w:rPr>
          <w:color w:val="231F20"/>
          <w:w w:val="105"/>
        </w:rPr>
        <w:t>organización</w:t>
      </w:r>
      <w:r>
        <w:rPr>
          <w:color w:val="231F20"/>
          <w:spacing w:val="-9"/>
          <w:w w:val="105"/>
        </w:rPr>
        <w:t> </w:t>
      </w:r>
      <w:r>
        <w:rPr>
          <w:color w:val="231F20"/>
          <w:w w:val="105"/>
        </w:rPr>
        <w:t>interna a</w:t>
      </w:r>
      <w:r>
        <w:rPr>
          <w:color w:val="231F20"/>
          <w:spacing w:val="-15"/>
          <w:w w:val="105"/>
        </w:rPr>
        <w:t> </w:t>
      </w:r>
      <w:r>
        <w:rPr>
          <w:color w:val="231F20"/>
          <w:w w:val="105"/>
        </w:rPr>
        <w:t>nivel</w:t>
      </w:r>
      <w:r>
        <w:rPr>
          <w:color w:val="231F20"/>
          <w:spacing w:val="-15"/>
          <w:w w:val="105"/>
        </w:rPr>
        <w:t> </w:t>
      </w:r>
      <w:r>
        <w:rPr>
          <w:color w:val="231F20"/>
          <w:w w:val="105"/>
        </w:rPr>
        <w:t>nacional;</w:t>
      </w:r>
      <w:r>
        <w:rPr>
          <w:color w:val="231F20"/>
          <w:spacing w:val="-15"/>
          <w:w w:val="105"/>
        </w:rPr>
        <w:t> </w:t>
      </w:r>
      <w:r>
        <w:rPr>
          <w:color w:val="231F20"/>
          <w:spacing w:val="2"/>
          <w:w w:val="105"/>
        </w:rPr>
        <w:t>al</w:t>
      </w:r>
      <w:r>
        <w:rPr>
          <w:color w:val="231F20"/>
          <w:spacing w:val="-15"/>
          <w:w w:val="105"/>
        </w:rPr>
        <w:t> </w:t>
      </w:r>
      <w:r>
        <w:rPr>
          <w:color w:val="231F20"/>
          <w:w w:val="105"/>
        </w:rPr>
        <w:t>aumento</w:t>
      </w:r>
      <w:r>
        <w:rPr>
          <w:color w:val="231F20"/>
          <w:spacing w:val="-15"/>
          <w:w w:val="105"/>
        </w:rPr>
        <w:t> </w:t>
      </w:r>
      <w:r>
        <w:rPr>
          <w:color w:val="231F20"/>
          <w:w w:val="105"/>
        </w:rPr>
        <w:t>o</w:t>
      </w:r>
      <w:r>
        <w:rPr>
          <w:color w:val="231F20"/>
          <w:spacing w:val="-15"/>
          <w:w w:val="105"/>
        </w:rPr>
        <w:t> </w:t>
      </w:r>
      <w:r>
        <w:rPr>
          <w:color w:val="231F20"/>
          <w:w w:val="105"/>
        </w:rPr>
        <w:t>disminución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partidos</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entidades;</w:t>
      </w:r>
      <w:r>
        <w:rPr>
          <w:color w:val="231F20"/>
          <w:spacing w:val="-15"/>
          <w:w w:val="105"/>
        </w:rPr>
        <w:t> </w:t>
      </w:r>
      <w:r>
        <w:rPr>
          <w:color w:val="231F20"/>
          <w:w w:val="105"/>
        </w:rPr>
        <w:t>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alter- nancia</w:t>
      </w:r>
      <w:r>
        <w:rPr>
          <w:color w:val="231F20"/>
          <w:spacing w:val="-13"/>
          <w:w w:val="105"/>
        </w:rPr>
        <w:t> </w:t>
      </w:r>
      <w:r>
        <w:rPr>
          <w:color w:val="231F20"/>
          <w:w w:val="105"/>
        </w:rPr>
        <w:t>política</w:t>
      </w:r>
      <w:r>
        <w:rPr>
          <w:color w:val="231F20"/>
          <w:spacing w:val="-13"/>
          <w:w w:val="105"/>
        </w:rPr>
        <w:t> </w:t>
      </w:r>
      <w:r>
        <w:rPr>
          <w:color w:val="231F20"/>
          <w:w w:val="105"/>
        </w:rPr>
        <w:t>en</w:t>
      </w:r>
      <w:r>
        <w:rPr>
          <w:color w:val="231F20"/>
          <w:spacing w:val="-13"/>
          <w:w w:val="105"/>
        </w:rPr>
        <w:t> </w:t>
      </w:r>
      <w:r>
        <w:rPr>
          <w:color w:val="231F20"/>
          <w:w w:val="105"/>
        </w:rPr>
        <w:t>entidades</w:t>
      </w:r>
      <w:r>
        <w:rPr>
          <w:color w:val="231F20"/>
          <w:spacing w:val="-13"/>
          <w:w w:val="105"/>
        </w:rPr>
        <w:t> </w:t>
      </w:r>
      <w:r>
        <w:rPr>
          <w:color w:val="231F20"/>
          <w:w w:val="105"/>
        </w:rPr>
        <w:t>federativas.</w:t>
      </w:r>
      <w:r>
        <w:rPr>
          <w:color w:val="231F20"/>
          <w:spacing w:val="-13"/>
          <w:w w:val="105"/>
        </w:rPr>
        <w:t> </w:t>
      </w:r>
      <w:r>
        <w:rPr>
          <w:color w:val="231F20"/>
          <w:w w:val="105"/>
        </w:rPr>
        <w:t>Lo</w:t>
      </w:r>
      <w:r>
        <w:rPr>
          <w:color w:val="231F20"/>
          <w:spacing w:val="-13"/>
          <w:w w:val="105"/>
        </w:rPr>
        <w:t> </w:t>
      </w:r>
      <w:r>
        <w:rPr>
          <w:color w:val="231F20"/>
          <w:w w:val="105"/>
        </w:rPr>
        <w:t>relevante</w:t>
      </w:r>
      <w:r>
        <w:rPr>
          <w:color w:val="231F20"/>
          <w:spacing w:val="-13"/>
          <w:w w:val="105"/>
        </w:rPr>
        <w:t> </w:t>
      </w:r>
      <w:r>
        <w:rPr>
          <w:color w:val="231F20"/>
          <w:w w:val="105"/>
        </w:rPr>
        <w:t>del</w:t>
      </w:r>
      <w:r>
        <w:rPr>
          <w:color w:val="231F20"/>
          <w:spacing w:val="-13"/>
          <w:w w:val="105"/>
        </w:rPr>
        <w:t> </w:t>
      </w:r>
      <w:r>
        <w:rPr>
          <w:color w:val="231F20"/>
          <w:w w:val="105"/>
        </w:rPr>
        <w:t>caso</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escasa</w:t>
      </w:r>
      <w:r>
        <w:rPr>
          <w:color w:val="231F20"/>
          <w:spacing w:val="-13"/>
          <w:w w:val="105"/>
        </w:rPr>
        <w:t> </w:t>
      </w:r>
      <w:r>
        <w:rPr>
          <w:color w:val="231F20"/>
          <w:w w:val="105"/>
        </w:rPr>
        <w:t>atención</w:t>
      </w:r>
      <w:r>
        <w:rPr>
          <w:color w:val="231F20"/>
          <w:spacing w:val="-13"/>
          <w:w w:val="105"/>
        </w:rPr>
        <w:t> </w:t>
      </w:r>
      <w:r>
        <w:rPr>
          <w:color w:val="231F20"/>
          <w:w w:val="105"/>
        </w:rPr>
        <w:t>que se</w:t>
      </w:r>
      <w:r>
        <w:rPr>
          <w:color w:val="231F20"/>
          <w:spacing w:val="-17"/>
          <w:w w:val="105"/>
        </w:rPr>
        <w:t> </w:t>
      </w:r>
      <w:r>
        <w:rPr>
          <w:color w:val="231F20"/>
          <w:w w:val="105"/>
        </w:rPr>
        <w:t>ha</w:t>
      </w:r>
      <w:r>
        <w:rPr>
          <w:color w:val="231F20"/>
          <w:spacing w:val="-17"/>
          <w:w w:val="105"/>
        </w:rPr>
        <w:t> </w:t>
      </w:r>
      <w:r>
        <w:rPr>
          <w:color w:val="231F20"/>
          <w:w w:val="105"/>
        </w:rPr>
        <w:t>puesto</w:t>
      </w:r>
      <w:r>
        <w:rPr>
          <w:color w:val="231F20"/>
          <w:spacing w:val="-17"/>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tipo</w:t>
      </w:r>
      <w:r>
        <w:rPr>
          <w:color w:val="231F20"/>
          <w:spacing w:val="-17"/>
          <w:w w:val="105"/>
        </w:rPr>
        <w:t> </w:t>
      </w:r>
      <w:r>
        <w:rPr>
          <w:color w:val="231F20"/>
          <w:w w:val="105"/>
        </w:rPr>
        <w:t>de</w:t>
      </w:r>
      <w:r>
        <w:rPr>
          <w:color w:val="231F20"/>
          <w:spacing w:val="-17"/>
          <w:w w:val="105"/>
        </w:rPr>
        <w:t> </w:t>
      </w:r>
      <w:r>
        <w:rPr>
          <w:color w:val="231F20"/>
          <w:w w:val="105"/>
        </w:rPr>
        <w:t>estudios,</w:t>
      </w:r>
      <w:r>
        <w:rPr>
          <w:color w:val="231F20"/>
          <w:spacing w:val="-17"/>
          <w:w w:val="105"/>
        </w:rPr>
        <w:t> </w:t>
      </w:r>
      <w:r>
        <w:rPr>
          <w:color w:val="231F20"/>
          <w:w w:val="105"/>
        </w:rPr>
        <w:t>importantes</w:t>
      </w:r>
      <w:r>
        <w:rPr>
          <w:color w:val="231F20"/>
          <w:spacing w:val="-17"/>
          <w:w w:val="105"/>
        </w:rPr>
        <w:t> </w:t>
      </w:r>
      <w:r>
        <w:rPr>
          <w:color w:val="231F20"/>
          <w:w w:val="105"/>
        </w:rPr>
        <w:t>en</w:t>
      </w:r>
      <w:r>
        <w:rPr>
          <w:color w:val="231F20"/>
          <w:spacing w:val="-17"/>
          <w:w w:val="105"/>
        </w:rPr>
        <w:t> </w:t>
      </w:r>
      <w:r>
        <w:rPr>
          <w:color w:val="231F20"/>
          <w:w w:val="105"/>
        </w:rPr>
        <w:t>tanto</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niveles</w:t>
      </w:r>
      <w:r>
        <w:rPr>
          <w:color w:val="231F20"/>
          <w:spacing w:val="-17"/>
          <w:w w:val="105"/>
        </w:rPr>
        <w:t> </w:t>
      </w:r>
      <w:r>
        <w:rPr>
          <w:color w:val="231F20"/>
          <w:w w:val="105"/>
        </w:rPr>
        <w:t>locales</w:t>
      </w:r>
      <w:r>
        <w:rPr>
          <w:color w:val="231F20"/>
          <w:spacing w:val="-17"/>
          <w:w w:val="105"/>
        </w:rPr>
        <w:t> </w:t>
      </w:r>
      <w:r>
        <w:rPr>
          <w:color w:val="231F20"/>
          <w:w w:val="105"/>
        </w:rPr>
        <w:t>son</w:t>
      </w:r>
      <w:r>
        <w:rPr>
          <w:color w:val="231F20"/>
          <w:spacing w:val="-17"/>
          <w:w w:val="105"/>
        </w:rPr>
        <w:t> </w:t>
      </w:r>
      <w:r>
        <w:rPr>
          <w:color w:val="231F20"/>
          <w:w w:val="105"/>
        </w:rPr>
        <w:t>los lugares</w:t>
      </w:r>
      <w:r>
        <w:rPr>
          <w:color w:val="231F20"/>
          <w:spacing w:val="-19"/>
          <w:w w:val="105"/>
        </w:rPr>
        <w:t> </w:t>
      </w:r>
      <w:r>
        <w:rPr>
          <w:color w:val="231F20"/>
          <w:spacing w:val="-3"/>
          <w:w w:val="105"/>
        </w:rPr>
        <w:t>donde</w:t>
      </w:r>
      <w:r>
        <w:rPr>
          <w:color w:val="231F20"/>
          <w:spacing w:val="-19"/>
          <w:w w:val="105"/>
        </w:rPr>
        <w:t> </w:t>
      </w:r>
      <w:r>
        <w:rPr>
          <w:color w:val="231F20"/>
          <w:w w:val="105"/>
        </w:rPr>
        <w:t>más</w:t>
      </w:r>
      <w:r>
        <w:rPr>
          <w:color w:val="231F20"/>
          <w:spacing w:val="-19"/>
          <w:w w:val="105"/>
        </w:rPr>
        <w:t> </w:t>
      </w:r>
      <w:r>
        <w:rPr>
          <w:color w:val="231F20"/>
          <w:w w:val="105"/>
        </w:rPr>
        <w:t>se</w:t>
      </w:r>
      <w:r>
        <w:rPr>
          <w:color w:val="231F20"/>
          <w:spacing w:val="-19"/>
          <w:w w:val="105"/>
        </w:rPr>
        <w:t> </w:t>
      </w:r>
      <w:r>
        <w:rPr>
          <w:color w:val="231F20"/>
          <w:w w:val="105"/>
        </w:rPr>
        <w:t>debería</w:t>
      </w:r>
      <w:r>
        <w:rPr>
          <w:color w:val="231F20"/>
          <w:spacing w:val="-19"/>
          <w:w w:val="105"/>
        </w:rPr>
        <w:t> </w:t>
      </w:r>
      <w:r>
        <w:rPr>
          <w:color w:val="231F20"/>
          <w:w w:val="105"/>
        </w:rPr>
        <w:t>percibir</w:t>
      </w:r>
      <w:r>
        <w:rPr>
          <w:color w:val="231F20"/>
          <w:spacing w:val="-19"/>
          <w:w w:val="105"/>
        </w:rPr>
        <w:t> </w:t>
      </w:r>
      <w:r>
        <w:rPr>
          <w:color w:val="231F20"/>
          <w:w w:val="105"/>
        </w:rPr>
        <w:t>el</w:t>
      </w:r>
      <w:r>
        <w:rPr>
          <w:color w:val="231F20"/>
          <w:spacing w:val="-19"/>
          <w:w w:val="105"/>
        </w:rPr>
        <w:t> </w:t>
      </w:r>
      <w:r>
        <w:rPr>
          <w:color w:val="231F20"/>
          <w:w w:val="105"/>
        </w:rPr>
        <w:t>sello</w:t>
      </w:r>
      <w:r>
        <w:rPr>
          <w:color w:val="231F20"/>
          <w:spacing w:val="-19"/>
          <w:w w:val="105"/>
        </w:rPr>
        <w:t> </w:t>
      </w:r>
      <w:r>
        <w:rPr>
          <w:color w:val="231F20"/>
          <w:w w:val="105"/>
        </w:rPr>
        <w:t>ideológico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partidos</w:t>
      </w:r>
      <w:r>
        <w:rPr>
          <w:color w:val="231F20"/>
          <w:spacing w:val="-19"/>
          <w:w w:val="105"/>
        </w:rPr>
        <w:t> </w:t>
      </w:r>
      <w:r>
        <w:rPr>
          <w:color w:val="231F20"/>
          <w:w w:val="105"/>
        </w:rPr>
        <w:t>políticos.</w:t>
      </w:r>
      <w:r>
        <w:rPr>
          <w:color w:val="231F20"/>
          <w:spacing w:val="-19"/>
          <w:w w:val="105"/>
        </w:rPr>
        <w:t> </w:t>
      </w:r>
      <w:r>
        <w:rPr>
          <w:color w:val="231F20"/>
          <w:w w:val="105"/>
        </w:rPr>
        <w:t>Es</w:t>
      </w:r>
      <w:r>
        <w:rPr>
          <w:color w:val="231F20"/>
          <w:spacing w:val="-19"/>
          <w:w w:val="105"/>
        </w:rPr>
        <w:t> </w:t>
      </w:r>
      <w:r>
        <w:rPr>
          <w:color w:val="231F20"/>
          <w:spacing w:val="2"/>
          <w:w w:val="105"/>
        </w:rPr>
        <w:t>ahí </w:t>
      </w:r>
      <w:r>
        <w:rPr>
          <w:color w:val="231F20"/>
          <w:spacing w:val="-3"/>
          <w:w w:val="105"/>
        </w:rPr>
        <w:t>donde</w:t>
      </w:r>
      <w:r>
        <w:rPr>
          <w:color w:val="231F20"/>
          <w:spacing w:val="-14"/>
          <w:w w:val="105"/>
        </w:rPr>
        <w:t> </w:t>
      </w:r>
      <w:r>
        <w:rPr>
          <w:color w:val="231F20"/>
          <w:w w:val="105"/>
        </w:rPr>
        <w:t>podríamos</w:t>
      </w:r>
      <w:r>
        <w:rPr>
          <w:color w:val="231F20"/>
          <w:spacing w:val="-14"/>
          <w:w w:val="105"/>
        </w:rPr>
        <w:t> </w:t>
      </w:r>
      <w:r>
        <w:rPr>
          <w:color w:val="231F20"/>
          <w:w w:val="105"/>
        </w:rPr>
        <w:t>darnos</w:t>
      </w:r>
      <w:r>
        <w:rPr>
          <w:color w:val="231F20"/>
          <w:spacing w:val="-14"/>
          <w:w w:val="105"/>
        </w:rPr>
        <w:t> </w:t>
      </w:r>
      <w:r>
        <w:rPr>
          <w:color w:val="231F20"/>
          <w:w w:val="105"/>
        </w:rPr>
        <w:t>cuenta</w:t>
      </w:r>
      <w:r>
        <w:rPr>
          <w:color w:val="231F20"/>
          <w:spacing w:val="-14"/>
          <w:w w:val="105"/>
        </w:rPr>
        <w:t> </w:t>
      </w:r>
      <w:r>
        <w:rPr>
          <w:color w:val="231F20"/>
          <w:w w:val="105"/>
        </w:rPr>
        <w:t>acerca</w:t>
      </w:r>
      <w:r>
        <w:rPr>
          <w:color w:val="231F20"/>
          <w:spacing w:val="-14"/>
          <w:w w:val="105"/>
        </w:rPr>
        <w:t> </w:t>
      </w:r>
      <w:r>
        <w:rPr>
          <w:color w:val="231F20"/>
          <w:w w:val="105"/>
        </w:rPr>
        <w:t>de</w:t>
      </w:r>
      <w:r>
        <w:rPr>
          <w:color w:val="231F20"/>
          <w:spacing w:val="-14"/>
          <w:w w:val="105"/>
        </w:rPr>
        <w:t> </w:t>
      </w:r>
      <w:r>
        <w:rPr>
          <w:color w:val="231F20"/>
          <w:w w:val="105"/>
        </w:rPr>
        <w:t>si</w:t>
      </w:r>
      <w:r>
        <w:rPr>
          <w:color w:val="231F20"/>
          <w:spacing w:val="-14"/>
          <w:w w:val="105"/>
        </w:rPr>
        <w:t> </w:t>
      </w:r>
      <w:r>
        <w:rPr>
          <w:color w:val="231F20"/>
          <w:w w:val="105"/>
        </w:rPr>
        <w:t>este</w:t>
      </w:r>
      <w:r>
        <w:rPr>
          <w:color w:val="231F20"/>
          <w:spacing w:val="-14"/>
          <w:w w:val="105"/>
        </w:rPr>
        <w:t> </w:t>
      </w:r>
      <w:r>
        <w:rPr>
          <w:color w:val="231F20"/>
          <w:w w:val="105"/>
        </w:rPr>
        <w:t>sello</w:t>
      </w:r>
      <w:r>
        <w:rPr>
          <w:color w:val="231F20"/>
          <w:spacing w:val="-14"/>
          <w:w w:val="105"/>
        </w:rPr>
        <w:t> </w:t>
      </w:r>
      <w:r>
        <w:rPr>
          <w:color w:val="231F20"/>
          <w:w w:val="105"/>
        </w:rPr>
        <w:t>importa</w:t>
      </w:r>
      <w:r>
        <w:rPr>
          <w:color w:val="231F20"/>
          <w:spacing w:val="-14"/>
          <w:w w:val="105"/>
        </w:rPr>
        <w:t> </w:t>
      </w:r>
      <w:r>
        <w:rPr>
          <w:color w:val="231F20"/>
          <w:w w:val="105"/>
        </w:rPr>
        <w:t>o,</w:t>
      </w:r>
      <w:r>
        <w:rPr>
          <w:color w:val="231F20"/>
          <w:spacing w:val="-14"/>
          <w:w w:val="105"/>
        </w:rPr>
        <w:t> </w:t>
      </w:r>
      <w:r>
        <w:rPr>
          <w:color w:val="231F20"/>
          <w:w w:val="105"/>
        </w:rPr>
        <w:t>más</w:t>
      </w:r>
      <w:r>
        <w:rPr>
          <w:color w:val="231F20"/>
          <w:spacing w:val="-14"/>
          <w:w w:val="105"/>
        </w:rPr>
        <w:t> </w:t>
      </w:r>
      <w:r>
        <w:rPr>
          <w:color w:val="231F20"/>
          <w:w w:val="105"/>
        </w:rPr>
        <w:t>bien,</w:t>
      </w:r>
      <w:r>
        <w:rPr>
          <w:color w:val="231F20"/>
          <w:spacing w:val="-14"/>
          <w:w w:val="105"/>
        </w:rPr>
        <w:t> </w:t>
      </w:r>
      <w:r>
        <w:rPr>
          <w:color w:val="231F20"/>
          <w:w w:val="105"/>
        </w:rPr>
        <w:t>la</w:t>
      </w:r>
      <w:r>
        <w:rPr>
          <w:color w:val="231F20"/>
          <w:spacing w:val="-14"/>
          <w:w w:val="105"/>
        </w:rPr>
        <w:t> </w:t>
      </w:r>
      <w:r>
        <w:rPr>
          <w:color w:val="231F20"/>
          <w:w w:val="105"/>
        </w:rPr>
        <w:t>propuesta centrista</w:t>
      </w:r>
      <w:r>
        <w:rPr>
          <w:color w:val="231F20"/>
          <w:spacing w:val="-12"/>
          <w:w w:val="105"/>
        </w:rPr>
        <w:t> </w:t>
      </w:r>
      <w:r>
        <w:rPr>
          <w:color w:val="231F20"/>
          <w:w w:val="105"/>
        </w:rPr>
        <w:t>se</w:t>
      </w:r>
      <w:r>
        <w:rPr>
          <w:color w:val="231F20"/>
          <w:spacing w:val="-12"/>
          <w:w w:val="105"/>
        </w:rPr>
        <w:t> </w:t>
      </w:r>
      <w:r>
        <w:rPr>
          <w:color w:val="231F20"/>
          <w:w w:val="105"/>
        </w:rPr>
        <w:t>materializa</w:t>
      </w:r>
      <w:r>
        <w:rPr>
          <w:color w:val="231F20"/>
          <w:spacing w:val="-12"/>
          <w:w w:val="105"/>
        </w:rPr>
        <w:t> </w:t>
      </w:r>
      <w:r>
        <w:rPr>
          <w:color w:val="231F20"/>
          <w:w w:val="105"/>
        </w:rPr>
        <w:t>en</w:t>
      </w:r>
      <w:r>
        <w:rPr>
          <w:color w:val="231F20"/>
          <w:spacing w:val="-12"/>
          <w:w w:val="105"/>
        </w:rPr>
        <w:t> </w:t>
      </w:r>
      <w:r>
        <w:rPr>
          <w:color w:val="231F20"/>
          <w:w w:val="105"/>
        </w:rPr>
        <w:t>políticas</w:t>
      </w:r>
      <w:r>
        <w:rPr>
          <w:color w:val="231F20"/>
          <w:spacing w:val="-12"/>
          <w:w w:val="105"/>
        </w:rPr>
        <w:t> </w:t>
      </w:r>
      <w:r>
        <w:rPr>
          <w:color w:val="231F20"/>
          <w:w w:val="105"/>
        </w:rPr>
        <w:t>de</w:t>
      </w:r>
      <w:r>
        <w:rPr>
          <w:color w:val="231F20"/>
          <w:spacing w:val="-12"/>
          <w:w w:val="105"/>
        </w:rPr>
        <w:t> </w:t>
      </w:r>
      <w:r>
        <w:rPr>
          <w:color w:val="231F20"/>
          <w:w w:val="105"/>
        </w:rPr>
        <w:t>gobierno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misma</w:t>
      </w:r>
      <w:r>
        <w:rPr>
          <w:color w:val="231F20"/>
          <w:spacing w:val="-12"/>
          <w:w w:val="105"/>
        </w:rPr>
        <w:t> </w:t>
      </w:r>
      <w:r>
        <w:rPr>
          <w:color w:val="231F20"/>
          <w:w w:val="105"/>
        </w:rPr>
        <w:t>índole.</w:t>
      </w:r>
    </w:p>
    <w:p>
      <w:pPr>
        <w:pStyle w:val="BodyText"/>
        <w:spacing w:before="1"/>
        <w:rPr>
          <w:sz w:val="26"/>
        </w:rPr>
      </w:pPr>
    </w:p>
    <w:p>
      <w:pPr>
        <w:pStyle w:val="BodyText"/>
        <w:spacing w:line="285" w:lineRule="auto"/>
        <w:ind w:left="110" w:right="108"/>
        <w:jc w:val="both"/>
      </w:pPr>
      <w:r>
        <w:rPr>
          <w:color w:val="231F20"/>
          <w:w w:val="105"/>
        </w:rPr>
        <w:t>El presente artículo es un análisis general de las gestiones panistas en el municipio de Tlalnepantla de Baz, para tratar de ahondar en el tema de si el PAN ha impreso su se- llo como partido gobernante. Se da cuenta de las políticas implementadas en diversos ámbitos durante tres administraciones panistas, lo que nos permite tener un panorama general de cómo se ha gobernado en el municipio a partir del año 2000.</w:t>
      </w:r>
    </w:p>
    <w:p>
      <w:pPr>
        <w:pStyle w:val="BodyText"/>
        <w:spacing w:before="1"/>
        <w:rPr>
          <w:sz w:val="26"/>
        </w:rPr>
      </w:pPr>
    </w:p>
    <w:p>
      <w:pPr>
        <w:pStyle w:val="BodyText"/>
        <w:spacing w:line="285" w:lineRule="auto"/>
        <w:ind w:left="110" w:right="108"/>
        <w:jc w:val="both"/>
      </w:pPr>
      <w:r>
        <w:rPr>
          <w:color w:val="231F20"/>
        </w:rPr>
        <w:t>Primeramente se pone énfasis en la situación general del municipio y sus antecedentes políticos. El lapso de tiempo seleccionado para el análisis abarca tres presidencias mu- nicipales panistas: 2000-2003, 2003-2006 y 2006-2009. Posteriormente se hace énfasis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en remarcar algunos temas, como los de la modernización administrativa que se ha implementado dichas gestiones. Se muestran avances y retos en esos aspectos. En la segunda y tercera gestiones analizadas, pudimos tener acceso a mayores datos, por lo cual se tratan otros temas, tales como el fortalecimiento de ingresos municipales y la política</w:t>
      </w:r>
      <w:r>
        <w:rPr>
          <w:color w:val="231F20"/>
          <w:spacing w:val="-18"/>
          <w:w w:val="105"/>
        </w:rPr>
        <w:t> </w:t>
      </w:r>
      <w:r>
        <w:rPr>
          <w:color w:val="231F20"/>
          <w:w w:val="105"/>
        </w:rPr>
        <w:t>social</w:t>
      </w:r>
      <w:r>
        <w:rPr>
          <w:color w:val="231F20"/>
          <w:spacing w:val="-18"/>
          <w:w w:val="105"/>
        </w:rPr>
        <w:t> </w:t>
      </w:r>
      <w:r>
        <w:rPr>
          <w:color w:val="231F20"/>
          <w:w w:val="105"/>
        </w:rPr>
        <w:t>(consistente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atención</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le</w:t>
      </w:r>
      <w:r>
        <w:rPr>
          <w:color w:val="231F20"/>
          <w:spacing w:val="-18"/>
          <w:w w:val="105"/>
        </w:rPr>
        <w:t> </w:t>
      </w:r>
      <w:r>
        <w:rPr>
          <w:color w:val="231F20"/>
          <w:w w:val="105"/>
        </w:rPr>
        <w:t>ha</w:t>
      </w:r>
      <w:r>
        <w:rPr>
          <w:color w:val="231F20"/>
          <w:spacing w:val="-18"/>
          <w:w w:val="105"/>
        </w:rPr>
        <w:t> </w:t>
      </w:r>
      <w:r>
        <w:rPr>
          <w:color w:val="231F20"/>
          <w:w w:val="105"/>
        </w:rPr>
        <w:t>dado</w:t>
      </w:r>
      <w:r>
        <w:rPr>
          <w:color w:val="231F20"/>
          <w:spacing w:val="-18"/>
          <w:w w:val="105"/>
        </w:rPr>
        <w:t> </w:t>
      </w:r>
      <w:r>
        <w:rPr>
          <w:color w:val="231F20"/>
          <w:spacing w:val="2"/>
          <w:w w:val="105"/>
        </w:rPr>
        <w:t>al</w:t>
      </w:r>
      <w:r>
        <w:rPr>
          <w:color w:val="231F20"/>
          <w:spacing w:val="-18"/>
          <w:w w:val="105"/>
        </w:rPr>
        <w:t> </w:t>
      </w:r>
      <w:r>
        <w:rPr>
          <w:color w:val="231F20"/>
          <w:w w:val="105"/>
        </w:rPr>
        <w:t>combate</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marginación, las</w:t>
      </w:r>
      <w:r>
        <w:rPr>
          <w:color w:val="231F20"/>
          <w:spacing w:val="-15"/>
          <w:w w:val="105"/>
        </w:rPr>
        <w:t> </w:t>
      </w:r>
      <w:r>
        <w:rPr>
          <w:color w:val="231F20"/>
          <w:w w:val="105"/>
        </w:rPr>
        <w:t>políticas</w:t>
      </w:r>
      <w:r>
        <w:rPr>
          <w:color w:val="231F20"/>
          <w:spacing w:val="-15"/>
          <w:w w:val="105"/>
        </w:rPr>
        <w:t> </w:t>
      </w:r>
      <w:r>
        <w:rPr>
          <w:color w:val="231F20"/>
          <w:w w:val="105"/>
        </w:rPr>
        <w:t>educativas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cobertura</w:t>
      </w:r>
      <w:r>
        <w:rPr>
          <w:color w:val="231F20"/>
          <w:spacing w:val="-15"/>
          <w:w w:val="105"/>
        </w:rPr>
        <w:t> </w:t>
      </w:r>
      <w:r>
        <w:rPr>
          <w:color w:val="231F20"/>
          <w:w w:val="105"/>
        </w:rPr>
        <w:t>de</w:t>
      </w:r>
      <w:r>
        <w:rPr>
          <w:color w:val="231F20"/>
          <w:spacing w:val="-15"/>
          <w:w w:val="105"/>
        </w:rPr>
        <w:t> </w:t>
      </w:r>
      <w:r>
        <w:rPr>
          <w:color w:val="231F20"/>
          <w:w w:val="105"/>
        </w:rPr>
        <w:t>salud).</w:t>
      </w:r>
      <w:r>
        <w:rPr>
          <w:color w:val="231F20"/>
          <w:spacing w:val="-15"/>
          <w:w w:val="105"/>
        </w:rPr>
        <w:t> </w:t>
      </w:r>
      <w:r>
        <w:rPr>
          <w:color w:val="231F20"/>
          <w:spacing w:val="3"/>
          <w:w w:val="105"/>
        </w:rPr>
        <w:t>Al</w:t>
      </w:r>
      <w:r>
        <w:rPr>
          <w:color w:val="231F20"/>
          <w:spacing w:val="-15"/>
          <w:w w:val="105"/>
        </w:rPr>
        <w:t> </w:t>
      </w:r>
      <w:r>
        <w:rPr>
          <w:color w:val="231F20"/>
          <w:w w:val="105"/>
        </w:rPr>
        <w:t>mismo</w:t>
      </w:r>
      <w:r>
        <w:rPr>
          <w:color w:val="231F20"/>
          <w:spacing w:val="-15"/>
          <w:w w:val="105"/>
        </w:rPr>
        <w:t> </w:t>
      </w:r>
      <w:r>
        <w:rPr>
          <w:color w:val="231F20"/>
          <w:w w:val="105"/>
        </w:rPr>
        <w:t>tiempo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tratarán</w:t>
      </w:r>
      <w:r>
        <w:rPr>
          <w:color w:val="231F20"/>
          <w:spacing w:val="-15"/>
          <w:w w:val="105"/>
        </w:rPr>
        <w:t> </w:t>
      </w:r>
      <w:r>
        <w:rPr>
          <w:color w:val="231F20"/>
          <w:w w:val="105"/>
        </w:rPr>
        <w:t>temas como</w:t>
      </w:r>
      <w:r>
        <w:rPr>
          <w:color w:val="231F20"/>
          <w:spacing w:val="-10"/>
          <w:w w:val="105"/>
        </w:rPr>
        <w:t> </w:t>
      </w:r>
      <w:r>
        <w:rPr>
          <w:color w:val="231F20"/>
          <w:w w:val="105"/>
        </w:rPr>
        <w:t>la</w:t>
      </w:r>
      <w:r>
        <w:rPr>
          <w:color w:val="231F20"/>
          <w:spacing w:val="-10"/>
          <w:w w:val="105"/>
        </w:rPr>
        <w:t> </w:t>
      </w:r>
      <w:r>
        <w:rPr>
          <w:color w:val="231F20"/>
          <w:w w:val="105"/>
        </w:rPr>
        <w:t>transparencia,</w:t>
      </w:r>
      <w:r>
        <w:rPr>
          <w:color w:val="231F20"/>
          <w:spacing w:val="-10"/>
          <w:w w:val="105"/>
        </w:rPr>
        <w:t> </w:t>
      </w:r>
      <w:r>
        <w:rPr>
          <w:color w:val="231F20"/>
          <w:w w:val="105"/>
        </w:rPr>
        <w:t>la</w:t>
      </w:r>
      <w:r>
        <w:rPr>
          <w:color w:val="231F20"/>
          <w:spacing w:val="-10"/>
          <w:w w:val="105"/>
        </w:rPr>
        <w:t> </w:t>
      </w:r>
      <w:r>
        <w:rPr>
          <w:color w:val="231F20"/>
          <w:w w:val="105"/>
        </w:rPr>
        <w:t>percepción</w:t>
      </w:r>
      <w:r>
        <w:rPr>
          <w:color w:val="231F20"/>
          <w:spacing w:val="-10"/>
          <w:w w:val="105"/>
        </w:rPr>
        <w:t> </w:t>
      </w:r>
      <w:r>
        <w:rPr>
          <w:color w:val="231F20"/>
          <w:w w:val="105"/>
        </w:rPr>
        <w:t>ciudadana,</w:t>
      </w:r>
      <w:r>
        <w:rPr>
          <w:color w:val="231F20"/>
          <w:spacing w:val="-10"/>
          <w:w w:val="105"/>
        </w:rPr>
        <w:t> </w:t>
      </w:r>
      <w:r>
        <w:rPr>
          <w:color w:val="231F20"/>
          <w:w w:val="105"/>
        </w:rPr>
        <w:t>entre</w:t>
      </w:r>
      <w:r>
        <w:rPr>
          <w:color w:val="231F20"/>
          <w:spacing w:val="-10"/>
          <w:w w:val="105"/>
        </w:rPr>
        <w:t> </w:t>
      </w:r>
      <w:r>
        <w:rPr>
          <w:color w:val="231F20"/>
          <w:w w:val="105"/>
        </w:rPr>
        <w:t>otros.</w:t>
      </w:r>
    </w:p>
    <w:p>
      <w:pPr>
        <w:pStyle w:val="BodyText"/>
        <w:spacing w:before="2"/>
        <w:rPr>
          <w:sz w:val="20"/>
        </w:rPr>
      </w:pPr>
    </w:p>
    <w:p>
      <w:pPr>
        <w:spacing w:before="0"/>
        <w:ind w:left="110" w:right="0" w:firstLine="0"/>
        <w:jc w:val="both"/>
        <w:rPr>
          <w:rFonts w:ascii="Palatino Linotype" w:hAnsi="Palatino Linotype"/>
          <w:i/>
          <w:sz w:val="26"/>
        </w:rPr>
      </w:pPr>
      <w:r>
        <w:rPr>
          <w:rFonts w:ascii="Palatino Linotype" w:hAnsi="Palatino Linotype"/>
          <w:i/>
          <w:color w:val="231F20"/>
          <w:w w:val="105"/>
          <w:sz w:val="26"/>
        </w:rPr>
        <w:t>Antecedentes Político – electorales</w:t>
      </w:r>
    </w:p>
    <w:p>
      <w:pPr>
        <w:pStyle w:val="BodyText"/>
        <w:spacing w:line="285" w:lineRule="auto" w:before="17"/>
        <w:ind w:left="110" w:right="108"/>
        <w:jc w:val="both"/>
      </w:pPr>
      <w:r>
        <w:rPr>
          <w:color w:val="231F20"/>
          <w:w w:val="105"/>
        </w:rPr>
        <w:t>Los</w:t>
      </w:r>
      <w:r>
        <w:rPr>
          <w:color w:val="231F20"/>
          <w:spacing w:val="-12"/>
          <w:w w:val="105"/>
        </w:rPr>
        <w:t> </w:t>
      </w:r>
      <w:r>
        <w:rPr>
          <w:color w:val="231F20"/>
          <w:w w:val="105"/>
        </w:rPr>
        <w:t>estudios</w:t>
      </w:r>
      <w:r>
        <w:rPr>
          <w:color w:val="231F20"/>
          <w:spacing w:val="-12"/>
          <w:w w:val="105"/>
        </w:rPr>
        <w:t> </w:t>
      </w:r>
      <w:r>
        <w:rPr>
          <w:color w:val="231F20"/>
          <w:w w:val="105"/>
        </w:rPr>
        <w:t>de</w:t>
      </w:r>
      <w:r>
        <w:rPr>
          <w:color w:val="231F20"/>
          <w:spacing w:val="-12"/>
          <w:w w:val="105"/>
        </w:rPr>
        <w:t> </w:t>
      </w:r>
      <w:r>
        <w:rPr>
          <w:color w:val="231F20"/>
          <w:w w:val="105"/>
        </w:rPr>
        <w:t>caso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3"/>
          <w:w w:val="105"/>
        </w:rPr>
        <w:t>ámbito</w:t>
      </w:r>
      <w:r>
        <w:rPr>
          <w:color w:val="231F20"/>
          <w:spacing w:val="-12"/>
          <w:w w:val="105"/>
        </w:rPr>
        <w:t> </w:t>
      </w:r>
      <w:r>
        <w:rPr>
          <w:color w:val="231F20"/>
          <w:w w:val="105"/>
        </w:rPr>
        <w:t>municipal</w:t>
      </w:r>
      <w:r>
        <w:rPr>
          <w:color w:val="231F20"/>
          <w:spacing w:val="-12"/>
          <w:w w:val="105"/>
        </w:rPr>
        <w:t> </w:t>
      </w:r>
      <w:r>
        <w:rPr>
          <w:color w:val="231F20"/>
          <w:spacing w:val="-4"/>
          <w:w w:val="105"/>
        </w:rPr>
        <w:t>como</w:t>
      </w:r>
      <w:r>
        <w:rPr>
          <w:color w:val="231F20"/>
          <w:spacing w:val="-12"/>
          <w:w w:val="105"/>
        </w:rPr>
        <w:t> </w:t>
      </w:r>
      <w:r>
        <w:rPr>
          <w:color w:val="231F20"/>
          <w:w w:val="105"/>
        </w:rPr>
        <w:t>el</w:t>
      </w:r>
      <w:r>
        <w:rPr>
          <w:color w:val="231F20"/>
          <w:spacing w:val="-12"/>
          <w:w w:val="105"/>
        </w:rPr>
        <w:t> </w:t>
      </w:r>
      <w:r>
        <w:rPr>
          <w:color w:val="231F20"/>
          <w:spacing w:val="-4"/>
          <w:w w:val="105"/>
        </w:rPr>
        <w:t>presente,</w:t>
      </w:r>
      <w:r>
        <w:rPr>
          <w:color w:val="231F20"/>
          <w:spacing w:val="-12"/>
          <w:w w:val="105"/>
        </w:rPr>
        <w:t> </w:t>
      </w:r>
      <w:r>
        <w:rPr>
          <w:color w:val="231F20"/>
          <w:spacing w:val="-3"/>
          <w:w w:val="105"/>
        </w:rPr>
        <w:t>surgen</w:t>
      </w:r>
      <w:r>
        <w:rPr>
          <w:color w:val="231F20"/>
          <w:spacing w:val="-12"/>
          <w:w w:val="105"/>
        </w:rPr>
        <w:t> </w:t>
      </w:r>
      <w:r>
        <w:rPr>
          <w:color w:val="231F20"/>
          <w:spacing w:val="-4"/>
          <w:w w:val="105"/>
        </w:rPr>
        <w:t>debido</w:t>
      </w:r>
      <w:r>
        <w:rPr>
          <w:color w:val="231F20"/>
          <w:spacing w:val="-12"/>
          <w:w w:val="105"/>
        </w:rPr>
        <w:t> </w:t>
      </w:r>
      <w:r>
        <w:rPr>
          <w:color w:val="231F20"/>
          <w:w w:val="105"/>
        </w:rPr>
        <w:t>a</w:t>
      </w:r>
      <w:r>
        <w:rPr>
          <w:color w:val="231F20"/>
          <w:spacing w:val="-12"/>
          <w:w w:val="105"/>
        </w:rPr>
        <w:t> </w:t>
      </w:r>
      <w:r>
        <w:rPr>
          <w:color w:val="231F20"/>
          <w:spacing w:val="-3"/>
          <w:w w:val="105"/>
        </w:rPr>
        <w:t>dos</w:t>
      </w:r>
      <w:r>
        <w:rPr>
          <w:color w:val="231F20"/>
          <w:spacing w:val="-12"/>
          <w:w w:val="105"/>
        </w:rPr>
        <w:t> </w:t>
      </w:r>
      <w:r>
        <w:rPr>
          <w:color w:val="231F20"/>
          <w:w w:val="105"/>
        </w:rPr>
        <w:t>razo- </w:t>
      </w:r>
      <w:r>
        <w:rPr>
          <w:color w:val="231F20"/>
          <w:spacing w:val="-3"/>
          <w:w w:val="105"/>
        </w:rPr>
        <w:t>nes: por </w:t>
      </w:r>
      <w:r>
        <w:rPr>
          <w:color w:val="231F20"/>
          <w:w w:val="105"/>
        </w:rPr>
        <w:t>un </w:t>
      </w:r>
      <w:r>
        <w:rPr>
          <w:color w:val="231F20"/>
          <w:spacing w:val="-4"/>
          <w:w w:val="105"/>
        </w:rPr>
        <w:t>lado, </w:t>
      </w:r>
      <w:r>
        <w:rPr>
          <w:color w:val="231F20"/>
          <w:w w:val="105"/>
        </w:rPr>
        <w:t>el </w:t>
      </w:r>
      <w:r>
        <w:rPr>
          <w:color w:val="231F20"/>
          <w:spacing w:val="-3"/>
          <w:w w:val="105"/>
        </w:rPr>
        <w:t>municipio </w:t>
      </w:r>
      <w:r>
        <w:rPr>
          <w:color w:val="231F20"/>
          <w:w w:val="105"/>
        </w:rPr>
        <w:t>se ha </w:t>
      </w:r>
      <w:r>
        <w:rPr>
          <w:color w:val="231F20"/>
          <w:spacing w:val="-3"/>
          <w:w w:val="105"/>
        </w:rPr>
        <w:t>convertido </w:t>
      </w:r>
      <w:r>
        <w:rPr>
          <w:color w:val="231F20"/>
          <w:w w:val="105"/>
        </w:rPr>
        <w:t>en el escenario de la transición </w:t>
      </w:r>
      <w:r>
        <w:rPr>
          <w:color w:val="231F20"/>
          <w:spacing w:val="-3"/>
          <w:w w:val="105"/>
        </w:rPr>
        <w:t>política, constituyéndose</w:t>
      </w:r>
      <w:r>
        <w:rPr>
          <w:color w:val="231F20"/>
          <w:spacing w:val="-19"/>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spacing w:val="-4"/>
          <w:w w:val="105"/>
        </w:rPr>
        <w:t>espacio</w:t>
      </w:r>
      <w:r>
        <w:rPr>
          <w:color w:val="231F20"/>
          <w:spacing w:val="-19"/>
          <w:w w:val="105"/>
        </w:rPr>
        <w:t> </w:t>
      </w:r>
      <w:r>
        <w:rPr>
          <w:color w:val="231F20"/>
          <w:w w:val="105"/>
        </w:rPr>
        <w:t>local</w:t>
      </w:r>
      <w:r>
        <w:rPr>
          <w:color w:val="231F20"/>
          <w:spacing w:val="-19"/>
          <w:w w:val="105"/>
        </w:rPr>
        <w:t> </w:t>
      </w:r>
      <w:r>
        <w:rPr>
          <w:color w:val="231F20"/>
          <w:spacing w:val="-4"/>
          <w:w w:val="105"/>
        </w:rPr>
        <w:t>donde</w:t>
      </w:r>
      <w:r>
        <w:rPr>
          <w:color w:val="231F20"/>
          <w:spacing w:val="-19"/>
          <w:w w:val="105"/>
        </w:rPr>
        <w:t> </w:t>
      </w:r>
      <w:r>
        <w:rPr>
          <w:color w:val="231F20"/>
          <w:w w:val="105"/>
        </w:rPr>
        <w:t>se</w:t>
      </w:r>
      <w:r>
        <w:rPr>
          <w:color w:val="231F20"/>
          <w:spacing w:val="-19"/>
          <w:w w:val="105"/>
        </w:rPr>
        <w:t> </w:t>
      </w:r>
      <w:r>
        <w:rPr>
          <w:color w:val="231F20"/>
          <w:spacing w:val="-5"/>
          <w:w w:val="105"/>
        </w:rPr>
        <w:t>produjeron</w:t>
      </w:r>
      <w:r>
        <w:rPr>
          <w:color w:val="231F20"/>
          <w:spacing w:val="-19"/>
          <w:w w:val="105"/>
        </w:rPr>
        <w:t> </w:t>
      </w:r>
      <w:r>
        <w:rPr>
          <w:color w:val="231F20"/>
          <w:w w:val="105"/>
        </w:rPr>
        <w:t>las</w:t>
      </w:r>
      <w:r>
        <w:rPr>
          <w:color w:val="231F20"/>
          <w:spacing w:val="-19"/>
          <w:w w:val="105"/>
        </w:rPr>
        <w:t> </w:t>
      </w:r>
      <w:r>
        <w:rPr>
          <w:color w:val="231F20"/>
          <w:w w:val="105"/>
        </w:rPr>
        <w:t>primeras</w:t>
      </w:r>
      <w:r>
        <w:rPr>
          <w:color w:val="231F20"/>
          <w:spacing w:val="-19"/>
          <w:w w:val="105"/>
        </w:rPr>
        <w:t> </w:t>
      </w:r>
      <w:r>
        <w:rPr>
          <w:color w:val="231F20"/>
          <w:spacing w:val="-3"/>
          <w:w w:val="105"/>
        </w:rPr>
        <w:t>formas</w:t>
      </w:r>
      <w:r>
        <w:rPr>
          <w:color w:val="231F20"/>
          <w:spacing w:val="-19"/>
          <w:w w:val="105"/>
        </w:rPr>
        <w:t> </w:t>
      </w:r>
      <w:r>
        <w:rPr>
          <w:color w:val="231F20"/>
          <w:w w:val="105"/>
        </w:rPr>
        <w:t>de</w:t>
      </w:r>
      <w:r>
        <w:rPr>
          <w:color w:val="231F20"/>
          <w:spacing w:val="-19"/>
          <w:w w:val="105"/>
        </w:rPr>
        <w:t> </w:t>
      </w:r>
      <w:r>
        <w:rPr>
          <w:color w:val="231F20"/>
          <w:w w:val="105"/>
        </w:rPr>
        <w:t>alternan- cia</w:t>
      </w:r>
      <w:r>
        <w:rPr>
          <w:color w:val="231F20"/>
          <w:spacing w:val="-20"/>
          <w:w w:val="105"/>
        </w:rPr>
        <w:t> </w:t>
      </w:r>
      <w:r>
        <w:rPr>
          <w:color w:val="231F20"/>
          <w:spacing w:val="-3"/>
          <w:w w:val="105"/>
        </w:rPr>
        <w:t>política;</w:t>
      </w:r>
      <w:r>
        <w:rPr>
          <w:color w:val="231F20"/>
          <w:spacing w:val="-20"/>
          <w:w w:val="105"/>
        </w:rPr>
        <w:t> </w:t>
      </w:r>
      <w:r>
        <w:rPr>
          <w:color w:val="231F20"/>
          <w:spacing w:val="-8"/>
          <w:w w:val="105"/>
        </w:rPr>
        <w:t>y,</w:t>
      </w:r>
      <w:r>
        <w:rPr>
          <w:color w:val="231F20"/>
          <w:spacing w:val="-20"/>
          <w:w w:val="105"/>
        </w:rPr>
        <w:t> </w:t>
      </w:r>
      <w:r>
        <w:rPr>
          <w:color w:val="231F20"/>
          <w:spacing w:val="-3"/>
          <w:w w:val="105"/>
        </w:rPr>
        <w:t>por</w:t>
      </w:r>
      <w:r>
        <w:rPr>
          <w:color w:val="231F20"/>
          <w:spacing w:val="-20"/>
          <w:w w:val="105"/>
        </w:rPr>
        <w:t> </w:t>
      </w:r>
      <w:r>
        <w:rPr>
          <w:color w:val="231F20"/>
          <w:spacing w:val="-3"/>
          <w:w w:val="105"/>
        </w:rPr>
        <w:t>otro,</w:t>
      </w:r>
      <w:r>
        <w:rPr>
          <w:color w:val="231F20"/>
          <w:spacing w:val="-20"/>
          <w:w w:val="105"/>
        </w:rPr>
        <w:t> </w:t>
      </w:r>
      <w:r>
        <w:rPr>
          <w:color w:val="231F20"/>
          <w:spacing w:val="-3"/>
          <w:w w:val="105"/>
        </w:rPr>
        <w:t>los</w:t>
      </w:r>
      <w:r>
        <w:rPr>
          <w:color w:val="231F20"/>
          <w:spacing w:val="-20"/>
          <w:w w:val="105"/>
        </w:rPr>
        <w:t> </w:t>
      </w:r>
      <w:r>
        <w:rPr>
          <w:color w:val="231F20"/>
          <w:spacing w:val="-4"/>
          <w:w w:val="105"/>
        </w:rPr>
        <w:t>gobiernos</w:t>
      </w:r>
      <w:r>
        <w:rPr>
          <w:color w:val="231F20"/>
          <w:spacing w:val="-20"/>
          <w:w w:val="105"/>
        </w:rPr>
        <w:t> </w:t>
      </w:r>
      <w:r>
        <w:rPr>
          <w:color w:val="231F20"/>
          <w:w w:val="105"/>
        </w:rPr>
        <w:t>locales</w:t>
      </w:r>
      <w:r>
        <w:rPr>
          <w:color w:val="231F20"/>
          <w:spacing w:val="-20"/>
          <w:w w:val="105"/>
        </w:rPr>
        <w:t> </w:t>
      </w:r>
      <w:r>
        <w:rPr>
          <w:color w:val="231F20"/>
          <w:spacing w:val="-3"/>
          <w:w w:val="105"/>
        </w:rPr>
        <w:t>son</w:t>
      </w:r>
      <w:r>
        <w:rPr>
          <w:color w:val="231F20"/>
          <w:spacing w:val="-20"/>
          <w:w w:val="105"/>
        </w:rPr>
        <w:t> </w:t>
      </w:r>
      <w:r>
        <w:rPr>
          <w:color w:val="231F20"/>
          <w:spacing w:val="-3"/>
          <w:w w:val="105"/>
        </w:rPr>
        <w:t>los</w:t>
      </w:r>
      <w:r>
        <w:rPr>
          <w:color w:val="231F20"/>
          <w:spacing w:val="-20"/>
          <w:w w:val="105"/>
        </w:rPr>
        <w:t> </w:t>
      </w:r>
      <w:r>
        <w:rPr>
          <w:color w:val="231F20"/>
          <w:spacing w:val="-3"/>
          <w:w w:val="105"/>
        </w:rPr>
        <w:t>lugares</w:t>
      </w:r>
      <w:r>
        <w:rPr>
          <w:color w:val="231F20"/>
          <w:spacing w:val="-20"/>
          <w:w w:val="105"/>
        </w:rPr>
        <w:t> </w:t>
      </w:r>
      <w:r>
        <w:rPr>
          <w:color w:val="231F20"/>
          <w:spacing w:val="-4"/>
          <w:w w:val="105"/>
        </w:rPr>
        <w:t>idóneos</w:t>
      </w:r>
      <w:r>
        <w:rPr>
          <w:color w:val="231F20"/>
          <w:spacing w:val="-20"/>
          <w:w w:val="105"/>
        </w:rPr>
        <w:t> </w:t>
      </w:r>
      <w:r>
        <w:rPr>
          <w:color w:val="231F20"/>
          <w:spacing w:val="-4"/>
          <w:w w:val="105"/>
        </w:rPr>
        <w:t>donde</w:t>
      </w:r>
      <w:r>
        <w:rPr>
          <w:color w:val="231F20"/>
          <w:spacing w:val="-20"/>
          <w:w w:val="105"/>
        </w:rPr>
        <w:t> </w:t>
      </w:r>
      <w:r>
        <w:rPr>
          <w:color w:val="231F20"/>
          <w:w w:val="105"/>
        </w:rPr>
        <w:t>el</w:t>
      </w:r>
      <w:r>
        <w:rPr>
          <w:color w:val="231F20"/>
          <w:spacing w:val="-20"/>
          <w:w w:val="105"/>
        </w:rPr>
        <w:t> </w:t>
      </w:r>
      <w:r>
        <w:rPr>
          <w:color w:val="231F20"/>
          <w:spacing w:val="-3"/>
          <w:w w:val="105"/>
        </w:rPr>
        <w:t>investigador puede</w:t>
      </w:r>
      <w:r>
        <w:rPr>
          <w:color w:val="231F20"/>
          <w:spacing w:val="-17"/>
          <w:w w:val="105"/>
        </w:rPr>
        <w:t> </w:t>
      </w:r>
      <w:r>
        <w:rPr>
          <w:color w:val="231F20"/>
          <w:spacing w:val="-3"/>
          <w:w w:val="105"/>
        </w:rPr>
        <w:t>tener</w:t>
      </w:r>
      <w:r>
        <w:rPr>
          <w:color w:val="231F20"/>
          <w:spacing w:val="-17"/>
          <w:w w:val="105"/>
        </w:rPr>
        <w:t> </w:t>
      </w:r>
      <w:r>
        <w:rPr>
          <w:color w:val="231F20"/>
          <w:spacing w:val="-3"/>
          <w:w w:val="105"/>
        </w:rPr>
        <w:t>acceso</w:t>
      </w:r>
      <w:r>
        <w:rPr>
          <w:color w:val="231F20"/>
          <w:spacing w:val="-17"/>
          <w:w w:val="105"/>
        </w:rPr>
        <w:t> </w:t>
      </w:r>
      <w:r>
        <w:rPr>
          <w:color w:val="231F20"/>
          <w:w w:val="105"/>
        </w:rPr>
        <w:t>a</w:t>
      </w:r>
      <w:r>
        <w:rPr>
          <w:color w:val="231F20"/>
          <w:spacing w:val="-17"/>
          <w:w w:val="105"/>
        </w:rPr>
        <w:t> </w:t>
      </w:r>
      <w:r>
        <w:rPr>
          <w:color w:val="231F20"/>
          <w:w w:val="105"/>
        </w:rPr>
        <w:t>una</w:t>
      </w:r>
      <w:r>
        <w:rPr>
          <w:color w:val="231F20"/>
          <w:spacing w:val="-17"/>
          <w:w w:val="105"/>
        </w:rPr>
        <w:t> </w:t>
      </w:r>
      <w:r>
        <w:rPr>
          <w:color w:val="231F20"/>
          <w:w w:val="105"/>
        </w:rPr>
        <w:t>variedad</w:t>
      </w:r>
      <w:r>
        <w:rPr>
          <w:color w:val="231F20"/>
          <w:spacing w:val="-17"/>
          <w:w w:val="105"/>
        </w:rPr>
        <w:t> </w:t>
      </w:r>
      <w:r>
        <w:rPr>
          <w:color w:val="231F20"/>
          <w:w w:val="105"/>
        </w:rPr>
        <w:t>de</w:t>
      </w:r>
      <w:r>
        <w:rPr>
          <w:color w:val="231F20"/>
          <w:spacing w:val="-17"/>
          <w:w w:val="105"/>
        </w:rPr>
        <w:t> </w:t>
      </w:r>
      <w:r>
        <w:rPr>
          <w:color w:val="231F20"/>
          <w:spacing w:val="-3"/>
          <w:w w:val="105"/>
        </w:rPr>
        <w:t>información</w:t>
      </w:r>
      <w:r>
        <w:rPr>
          <w:color w:val="231F20"/>
          <w:spacing w:val="-3"/>
          <w:w w:val="105"/>
          <w:position w:val="7"/>
          <w:sz w:val="13"/>
        </w:rPr>
        <w:t>1</w:t>
      </w:r>
      <w:r>
        <w:rPr>
          <w:color w:val="231F20"/>
          <w:spacing w:val="-3"/>
          <w:w w:val="105"/>
        </w:rPr>
        <w:t>.</w:t>
      </w:r>
      <w:r>
        <w:rPr>
          <w:color w:val="231F20"/>
          <w:spacing w:val="-17"/>
          <w:w w:val="105"/>
        </w:rPr>
        <w:t> </w:t>
      </w:r>
      <w:r>
        <w:rPr>
          <w:color w:val="231F20"/>
          <w:w w:val="105"/>
        </w:rPr>
        <w:t>Así,</w:t>
      </w:r>
      <w:r>
        <w:rPr>
          <w:color w:val="231F20"/>
          <w:spacing w:val="-17"/>
          <w:w w:val="105"/>
        </w:rPr>
        <w:t> </w:t>
      </w:r>
      <w:r>
        <w:rPr>
          <w:color w:val="231F20"/>
          <w:w w:val="105"/>
        </w:rPr>
        <w:t>partiendo</w:t>
      </w:r>
      <w:r>
        <w:rPr>
          <w:color w:val="231F20"/>
          <w:spacing w:val="-17"/>
          <w:w w:val="105"/>
        </w:rPr>
        <w:t> </w:t>
      </w:r>
      <w:r>
        <w:rPr>
          <w:color w:val="231F20"/>
          <w:w w:val="105"/>
        </w:rPr>
        <w:t>de</w:t>
      </w:r>
      <w:r>
        <w:rPr>
          <w:color w:val="231F20"/>
          <w:spacing w:val="-17"/>
          <w:w w:val="105"/>
        </w:rPr>
        <w:t> </w:t>
      </w:r>
      <w:r>
        <w:rPr>
          <w:color w:val="231F20"/>
          <w:w w:val="105"/>
        </w:rPr>
        <w:t>esta</w:t>
      </w:r>
      <w:r>
        <w:rPr>
          <w:color w:val="231F20"/>
          <w:spacing w:val="-17"/>
          <w:w w:val="105"/>
        </w:rPr>
        <w:t> </w:t>
      </w:r>
      <w:r>
        <w:rPr>
          <w:color w:val="231F20"/>
          <w:spacing w:val="-4"/>
          <w:w w:val="105"/>
        </w:rPr>
        <w:t>diversidad,</w:t>
      </w:r>
      <w:r>
        <w:rPr>
          <w:color w:val="231F20"/>
          <w:spacing w:val="-17"/>
          <w:w w:val="105"/>
        </w:rPr>
        <w:t> </w:t>
      </w:r>
      <w:r>
        <w:rPr>
          <w:color w:val="231F20"/>
          <w:spacing w:val="-3"/>
          <w:w w:val="105"/>
        </w:rPr>
        <w:t>que </w:t>
      </w:r>
      <w:r>
        <w:rPr>
          <w:color w:val="231F20"/>
          <w:w w:val="105"/>
        </w:rPr>
        <w:t>va</w:t>
      </w:r>
      <w:r>
        <w:rPr>
          <w:color w:val="231F20"/>
          <w:spacing w:val="-9"/>
          <w:w w:val="105"/>
        </w:rPr>
        <w:t> </w:t>
      </w:r>
      <w:r>
        <w:rPr>
          <w:color w:val="231F20"/>
          <w:spacing w:val="-3"/>
          <w:w w:val="105"/>
        </w:rPr>
        <w:t>desde</w:t>
      </w:r>
      <w:r>
        <w:rPr>
          <w:color w:val="231F20"/>
          <w:spacing w:val="-9"/>
          <w:w w:val="105"/>
        </w:rPr>
        <w:t> </w:t>
      </w:r>
      <w:r>
        <w:rPr>
          <w:color w:val="231F20"/>
          <w:spacing w:val="-3"/>
          <w:w w:val="105"/>
        </w:rPr>
        <w:t>indicadores</w:t>
      </w:r>
      <w:r>
        <w:rPr>
          <w:color w:val="231F20"/>
          <w:spacing w:val="-9"/>
          <w:w w:val="105"/>
        </w:rPr>
        <w:t> </w:t>
      </w:r>
      <w:r>
        <w:rPr>
          <w:color w:val="231F20"/>
          <w:w w:val="105"/>
        </w:rPr>
        <w:t>oficiales,</w:t>
      </w:r>
      <w:r>
        <w:rPr>
          <w:color w:val="231F20"/>
          <w:spacing w:val="-9"/>
          <w:w w:val="105"/>
        </w:rPr>
        <w:t> </w:t>
      </w:r>
      <w:r>
        <w:rPr>
          <w:color w:val="231F20"/>
          <w:spacing w:val="-3"/>
          <w:w w:val="105"/>
        </w:rPr>
        <w:t>libros,</w:t>
      </w:r>
      <w:r>
        <w:rPr>
          <w:color w:val="231F20"/>
          <w:spacing w:val="-9"/>
          <w:w w:val="105"/>
        </w:rPr>
        <w:t> </w:t>
      </w:r>
      <w:r>
        <w:rPr>
          <w:color w:val="231F20"/>
          <w:w w:val="105"/>
        </w:rPr>
        <w:t>tesis</w:t>
      </w:r>
      <w:r>
        <w:rPr>
          <w:color w:val="231F20"/>
          <w:spacing w:val="-9"/>
          <w:w w:val="105"/>
        </w:rPr>
        <w:t> </w:t>
      </w:r>
      <w:r>
        <w:rPr>
          <w:color w:val="231F20"/>
          <w:w w:val="105"/>
        </w:rPr>
        <w:t>y</w:t>
      </w:r>
      <w:r>
        <w:rPr>
          <w:color w:val="231F20"/>
          <w:spacing w:val="-9"/>
          <w:w w:val="105"/>
        </w:rPr>
        <w:t> </w:t>
      </w:r>
      <w:r>
        <w:rPr>
          <w:color w:val="231F20"/>
          <w:w w:val="105"/>
        </w:rPr>
        <w:t>artículos</w:t>
      </w:r>
      <w:r>
        <w:rPr>
          <w:color w:val="231F20"/>
          <w:spacing w:val="-9"/>
          <w:w w:val="105"/>
        </w:rPr>
        <w:t> </w:t>
      </w:r>
      <w:r>
        <w:rPr>
          <w:color w:val="231F20"/>
          <w:w w:val="105"/>
        </w:rPr>
        <w:t>periodísticos,</w:t>
      </w:r>
      <w:r>
        <w:rPr>
          <w:color w:val="231F20"/>
          <w:spacing w:val="-9"/>
          <w:w w:val="105"/>
        </w:rPr>
        <w:t> </w:t>
      </w:r>
      <w:r>
        <w:rPr>
          <w:color w:val="231F20"/>
          <w:w w:val="105"/>
        </w:rPr>
        <w:t>se</w:t>
      </w:r>
      <w:r>
        <w:rPr>
          <w:color w:val="231F20"/>
          <w:spacing w:val="-9"/>
          <w:w w:val="105"/>
        </w:rPr>
        <w:t> </w:t>
      </w:r>
      <w:r>
        <w:rPr>
          <w:color w:val="231F20"/>
          <w:spacing w:val="-4"/>
          <w:w w:val="105"/>
        </w:rPr>
        <w:t>pretende</w:t>
      </w:r>
      <w:r>
        <w:rPr>
          <w:color w:val="231F20"/>
          <w:spacing w:val="-9"/>
          <w:w w:val="105"/>
        </w:rPr>
        <w:t> </w:t>
      </w:r>
      <w:r>
        <w:rPr>
          <w:color w:val="231F20"/>
          <w:w w:val="105"/>
        </w:rPr>
        <w:t>realizar esta</w:t>
      </w:r>
      <w:r>
        <w:rPr>
          <w:color w:val="231F20"/>
          <w:spacing w:val="-19"/>
          <w:w w:val="105"/>
        </w:rPr>
        <w:t> </w:t>
      </w:r>
      <w:r>
        <w:rPr>
          <w:color w:val="231F20"/>
          <w:spacing w:val="-3"/>
          <w:w w:val="105"/>
        </w:rPr>
        <w:t>revisión</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spacing w:val="-3"/>
          <w:w w:val="105"/>
        </w:rPr>
        <w:t>gestiones</w:t>
      </w:r>
      <w:r>
        <w:rPr>
          <w:color w:val="231F20"/>
          <w:spacing w:val="-19"/>
          <w:w w:val="105"/>
        </w:rPr>
        <w:t> </w:t>
      </w:r>
      <w:r>
        <w:rPr>
          <w:color w:val="231F20"/>
          <w:w w:val="105"/>
        </w:rPr>
        <w:t>panistas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3"/>
          <w:w w:val="105"/>
        </w:rPr>
        <w:t>municipio</w:t>
      </w:r>
      <w:r>
        <w:rPr>
          <w:color w:val="231F20"/>
          <w:spacing w:val="-19"/>
          <w:w w:val="105"/>
        </w:rPr>
        <w:t> </w:t>
      </w:r>
      <w:r>
        <w:rPr>
          <w:color w:val="231F20"/>
          <w:w w:val="105"/>
        </w:rPr>
        <w:t>de</w:t>
      </w:r>
      <w:r>
        <w:rPr>
          <w:color w:val="231F20"/>
          <w:spacing w:val="-19"/>
          <w:w w:val="105"/>
        </w:rPr>
        <w:t> </w:t>
      </w:r>
      <w:r>
        <w:rPr>
          <w:color w:val="231F20"/>
          <w:w w:val="105"/>
        </w:rPr>
        <w:t>Tlalnepantla</w:t>
      </w:r>
      <w:r>
        <w:rPr>
          <w:color w:val="231F20"/>
          <w:w w:val="105"/>
          <w:position w:val="7"/>
          <w:sz w:val="13"/>
        </w:rPr>
        <w:t>2</w:t>
      </w:r>
      <w:r>
        <w:rPr>
          <w:color w:val="231F20"/>
          <w:w w:val="105"/>
        </w:rPr>
        <w:t>.</w:t>
      </w:r>
    </w:p>
    <w:p>
      <w:pPr>
        <w:pStyle w:val="BodyText"/>
        <w:spacing w:before="1"/>
        <w:rPr>
          <w:sz w:val="26"/>
        </w:rPr>
      </w:pPr>
    </w:p>
    <w:p>
      <w:pPr>
        <w:pStyle w:val="BodyText"/>
        <w:spacing w:line="285" w:lineRule="auto"/>
        <w:ind w:left="110" w:right="108"/>
        <w:jc w:val="both"/>
      </w:pPr>
      <w:r>
        <w:rPr>
          <w:color w:val="231F20"/>
          <w:spacing w:val="4"/>
          <w:w w:val="105"/>
        </w:rPr>
        <w:t>Tlalnepantla </w:t>
      </w:r>
      <w:r>
        <w:rPr>
          <w:color w:val="231F20"/>
          <w:w w:val="105"/>
        </w:rPr>
        <w:t>de </w:t>
      </w:r>
      <w:r>
        <w:rPr>
          <w:color w:val="231F20"/>
          <w:spacing w:val="4"/>
          <w:w w:val="105"/>
        </w:rPr>
        <w:t>Baz </w:t>
      </w:r>
      <w:r>
        <w:rPr>
          <w:color w:val="231F20"/>
          <w:spacing w:val="2"/>
          <w:w w:val="105"/>
        </w:rPr>
        <w:t>ha tenido gobiernos </w:t>
      </w:r>
      <w:r>
        <w:rPr>
          <w:color w:val="231F20"/>
          <w:w w:val="105"/>
        </w:rPr>
        <w:t>de </w:t>
      </w:r>
      <w:r>
        <w:rPr>
          <w:color w:val="231F20"/>
          <w:spacing w:val="3"/>
          <w:w w:val="105"/>
        </w:rPr>
        <w:t>extracción </w:t>
      </w:r>
      <w:r>
        <w:rPr>
          <w:color w:val="231F20"/>
          <w:spacing w:val="5"/>
          <w:w w:val="105"/>
        </w:rPr>
        <w:t>panista </w:t>
      </w:r>
      <w:r>
        <w:rPr>
          <w:color w:val="231F20"/>
          <w:w w:val="105"/>
        </w:rPr>
        <w:t>a lo </w:t>
      </w:r>
      <w:r>
        <w:rPr>
          <w:color w:val="231F20"/>
          <w:spacing w:val="3"/>
          <w:w w:val="105"/>
        </w:rPr>
        <w:t>largo </w:t>
      </w:r>
      <w:r>
        <w:rPr>
          <w:color w:val="231F20"/>
          <w:w w:val="105"/>
        </w:rPr>
        <w:t>de </w:t>
      </w:r>
      <w:r>
        <w:rPr>
          <w:color w:val="231F20"/>
          <w:spacing w:val="2"/>
          <w:w w:val="105"/>
        </w:rPr>
        <w:t>ocho </w:t>
      </w:r>
      <w:r>
        <w:rPr>
          <w:color w:val="231F20"/>
          <w:spacing w:val="3"/>
          <w:w w:val="105"/>
        </w:rPr>
        <w:t>años. </w:t>
      </w:r>
      <w:r>
        <w:rPr>
          <w:color w:val="231F20"/>
          <w:spacing w:val="2"/>
          <w:w w:val="105"/>
        </w:rPr>
        <w:t>El </w:t>
      </w:r>
      <w:r>
        <w:rPr>
          <w:color w:val="231F20"/>
          <w:spacing w:val="4"/>
          <w:w w:val="105"/>
        </w:rPr>
        <w:t>último </w:t>
      </w:r>
      <w:r>
        <w:rPr>
          <w:color w:val="231F20"/>
          <w:spacing w:val="2"/>
          <w:w w:val="105"/>
        </w:rPr>
        <w:t>Presidente </w:t>
      </w:r>
      <w:r>
        <w:rPr>
          <w:color w:val="231F20"/>
          <w:spacing w:val="4"/>
          <w:w w:val="105"/>
        </w:rPr>
        <w:t>Municipal </w:t>
      </w:r>
      <w:r>
        <w:rPr>
          <w:color w:val="231F20"/>
          <w:w w:val="105"/>
        </w:rPr>
        <w:t>no </w:t>
      </w:r>
      <w:r>
        <w:rPr>
          <w:color w:val="231F20"/>
          <w:spacing w:val="5"/>
          <w:w w:val="105"/>
        </w:rPr>
        <w:t>panista </w:t>
      </w:r>
      <w:r>
        <w:rPr>
          <w:color w:val="231F20"/>
          <w:spacing w:val="4"/>
          <w:w w:val="105"/>
        </w:rPr>
        <w:t>fue </w:t>
      </w:r>
      <w:r>
        <w:rPr>
          <w:color w:val="231F20"/>
          <w:spacing w:val="6"/>
          <w:w w:val="105"/>
        </w:rPr>
        <w:t>Arturo </w:t>
      </w:r>
      <w:r>
        <w:rPr>
          <w:color w:val="231F20"/>
          <w:spacing w:val="2"/>
          <w:w w:val="105"/>
        </w:rPr>
        <w:t>Ugalde Meneses </w:t>
      </w:r>
      <w:r>
        <w:rPr>
          <w:color w:val="231F20"/>
          <w:spacing w:val="4"/>
          <w:w w:val="105"/>
        </w:rPr>
        <w:t>para  </w:t>
      </w:r>
      <w:r>
        <w:rPr>
          <w:color w:val="231F20"/>
          <w:w w:val="105"/>
        </w:rPr>
        <w:t>el</w:t>
      </w:r>
      <w:r>
        <w:rPr>
          <w:color w:val="231F20"/>
          <w:spacing w:val="-5"/>
          <w:w w:val="105"/>
        </w:rPr>
        <w:t> </w:t>
      </w:r>
      <w:r>
        <w:rPr>
          <w:color w:val="231F20"/>
          <w:spacing w:val="3"/>
          <w:w w:val="105"/>
        </w:rPr>
        <w:t>periodo</w:t>
      </w:r>
      <w:r>
        <w:rPr>
          <w:color w:val="231F20"/>
          <w:spacing w:val="-5"/>
          <w:w w:val="105"/>
        </w:rPr>
        <w:t> </w:t>
      </w:r>
      <w:r>
        <w:rPr>
          <w:color w:val="231F20"/>
          <w:w w:val="105"/>
        </w:rPr>
        <w:t>1994-1997.</w:t>
      </w:r>
      <w:r>
        <w:rPr>
          <w:color w:val="231F20"/>
          <w:spacing w:val="-5"/>
          <w:w w:val="105"/>
        </w:rPr>
        <w:t> </w:t>
      </w:r>
      <w:r>
        <w:rPr>
          <w:color w:val="231F20"/>
          <w:spacing w:val="3"/>
          <w:w w:val="105"/>
        </w:rPr>
        <w:t>Después</w:t>
      </w:r>
      <w:r>
        <w:rPr>
          <w:color w:val="231F20"/>
          <w:spacing w:val="-5"/>
          <w:w w:val="105"/>
        </w:rPr>
        <w:t> </w:t>
      </w:r>
      <w:r>
        <w:rPr>
          <w:color w:val="231F20"/>
          <w:spacing w:val="5"/>
          <w:w w:val="105"/>
        </w:rPr>
        <w:t>seguirían</w:t>
      </w:r>
      <w:r>
        <w:rPr>
          <w:color w:val="231F20"/>
          <w:spacing w:val="-5"/>
          <w:w w:val="105"/>
        </w:rPr>
        <w:t> </w:t>
      </w:r>
      <w:r>
        <w:rPr>
          <w:color w:val="231F20"/>
          <w:w w:val="105"/>
        </w:rPr>
        <w:t>Ruth</w:t>
      </w:r>
      <w:r>
        <w:rPr>
          <w:color w:val="231F20"/>
          <w:spacing w:val="-5"/>
          <w:w w:val="105"/>
        </w:rPr>
        <w:t> </w:t>
      </w:r>
      <w:r>
        <w:rPr>
          <w:color w:val="231F20"/>
          <w:spacing w:val="2"/>
          <w:w w:val="105"/>
        </w:rPr>
        <w:t>Olvera</w:t>
      </w:r>
      <w:r>
        <w:rPr>
          <w:color w:val="231F20"/>
          <w:spacing w:val="-5"/>
          <w:w w:val="105"/>
        </w:rPr>
        <w:t> </w:t>
      </w:r>
      <w:r>
        <w:rPr>
          <w:color w:val="231F20"/>
          <w:spacing w:val="2"/>
          <w:w w:val="105"/>
        </w:rPr>
        <w:t>Nieto</w:t>
      </w:r>
      <w:r>
        <w:rPr>
          <w:color w:val="231F20"/>
          <w:spacing w:val="-5"/>
          <w:w w:val="105"/>
        </w:rPr>
        <w:t> </w:t>
      </w:r>
      <w:r>
        <w:rPr>
          <w:color w:val="231F20"/>
          <w:w w:val="105"/>
        </w:rPr>
        <w:t>de</w:t>
      </w:r>
      <w:r>
        <w:rPr>
          <w:color w:val="231F20"/>
          <w:spacing w:val="-5"/>
          <w:w w:val="105"/>
        </w:rPr>
        <w:t> </w:t>
      </w:r>
      <w:r>
        <w:rPr>
          <w:color w:val="231F20"/>
          <w:w w:val="105"/>
        </w:rPr>
        <w:t>1997</w:t>
      </w:r>
      <w:r>
        <w:rPr>
          <w:color w:val="231F20"/>
          <w:spacing w:val="-5"/>
          <w:w w:val="105"/>
        </w:rPr>
        <w:t> </w:t>
      </w:r>
      <w:r>
        <w:rPr>
          <w:color w:val="231F20"/>
          <w:spacing w:val="4"/>
          <w:w w:val="105"/>
        </w:rPr>
        <w:t>al</w:t>
      </w:r>
      <w:r>
        <w:rPr>
          <w:color w:val="231F20"/>
          <w:spacing w:val="-5"/>
          <w:w w:val="105"/>
        </w:rPr>
        <w:t> </w:t>
      </w:r>
      <w:r>
        <w:rPr>
          <w:color w:val="231F20"/>
          <w:spacing w:val="6"/>
          <w:w w:val="105"/>
        </w:rPr>
        <w:t>2000,</w:t>
      </w:r>
      <w:r>
        <w:rPr>
          <w:color w:val="231F20"/>
          <w:spacing w:val="-5"/>
          <w:w w:val="105"/>
        </w:rPr>
        <w:t> </w:t>
      </w:r>
      <w:r>
        <w:rPr>
          <w:color w:val="231F20"/>
          <w:w w:val="105"/>
        </w:rPr>
        <w:t>Rubén </w:t>
      </w:r>
      <w:r>
        <w:rPr>
          <w:color w:val="231F20"/>
          <w:w w:val="105"/>
          <w:u w:val="single" w:color="231F20"/>
        </w:rPr>
        <w:t>Mendoza </w:t>
      </w:r>
      <w:r>
        <w:rPr>
          <w:color w:val="231F20"/>
          <w:spacing w:val="3"/>
          <w:w w:val="105"/>
          <w:u w:val="single" w:color="231F20"/>
        </w:rPr>
        <w:t>Ayala</w:t>
      </w:r>
      <w:r>
        <w:rPr>
          <w:color w:val="231F20"/>
          <w:spacing w:val="3"/>
          <w:w w:val="105"/>
          <w:position w:val="7"/>
          <w:sz w:val="13"/>
        </w:rPr>
        <w:t>3  </w:t>
      </w:r>
      <w:r>
        <w:rPr>
          <w:color w:val="231F20"/>
          <w:w w:val="105"/>
        </w:rPr>
        <w:t>de </w:t>
      </w:r>
      <w:r>
        <w:rPr>
          <w:color w:val="231F20"/>
          <w:spacing w:val="7"/>
          <w:w w:val="105"/>
        </w:rPr>
        <w:t>2000 </w:t>
      </w:r>
      <w:r>
        <w:rPr>
          <w:color w:val="231F20"/>
          <w:w w:val="105"/>
        </w:rPr>
        <w:t>a </w:t>
      </w:r>
      <w:r>
        <w:rPr>
          <w:color w:val="231F20"/>
          <w:spacing w:val="5"/>
          <w:w w:val="105"/>
        </w:rPr>
        <w:t>2003, Ulises </w:t>
      </w:r>
      <w:r>
        <w:rPr>
          <w:color w:val="231F20"/>
          <w:spacing w:val="4"/>
          <w:w w:val="105"/>
        </w:rPr>
        <w:t>Ramírez </w:t>
      </w:r>
      <w:r>
        <w:rPr>
          <w:color w:val="231F20"/>
          <w:spacing w:val="2"/>
          <w:w w:val="105"/>
        </w:rPr>
        <w:t>Núñez</w:t>
      </w:r>
      <w:r>
        <w:rPr>
          <w:color w:val="231F20"/>
          <w:spacing w:val="2"/>
          <w:w w:val="105"/>
          <w:position w:val="7"/>
          <w:sz w:val="13"/>
        </w:rPr>
        <w:t>4  </w:t>
      </w:r>
      <w:r>
        <w:rPr>
          <w:color w:val="231F20"/>
          <w:w w:val="105"/>
        </w:rPr>
        <w:t>de </w:t>
      </w:r>
      <w:r>
        <w:rPr>
          <w:color w:val="231F20"/>
          <w:spacing w:val="5"/>
          <w:w w:val="105"/>
        </w:rPr>
        <w:t>2003 </w:t>
      </w:r>
      <w:r>
        <w:rPr>
          <w:color w:val="231F20"/>
          <w:w w:val="105"/>
        </w:rPr>
        <w:t>a </w:t>
      </w:r>
      <w:r>
        <w:rPr>
          <w:color w:val="231F20"/>
          <w:spacing w:val="6"/>
          <w:w w:val="105"/>
        </w:rPr>
        <w:t>2006 </w:t>
      </w:r>
      <w:r>
        <w:rPr>
          <w:color w:val="231F20"/>
          <w:spacing w:val="-5"/>
          <w:w w:val="105"/>
        </w:rPr>
        <w:t>y, </w:t>
      </w:r>
      <w:r>
        <w:rPr>
          <w:color w:val="231F20"/>
          <w:spacing w:val="46"/>
          <w:w w:val="105"/>
        </w:rPr>
        <w:t> </w:t>
      </w:r>
      <w:r>
        <w:rPr>
          <w:color w:val="231F20"/>
          <w:spacing w:val="5"/>
          <w:w w:val="105"/>
        </w:rPr>
        <w:t>final-</w:t>
      </w:r>
    </w:p>
    <w:p>
      <w:pPr>
        <w:pStyle w:val="ListParagraph"/>
        <w:numPr>
          <w:ilvl w:val="0"/>
          <w:numId w:val="15"/>
        </w:numPr>
        <w:tabs>
          <w:tab w:pos="223" w:val="left" w:leader="none"/>
        </w:tabs>
        <w:spacing w:line="149" w:lineRule="exact" w:before="0" w:after="0"/>
        <w:ind w:left="110" w:right="0" w:firstLine="0"/>
        <w:jc w:val="both"/>
        <w:rPr>
          <w:sz w:val="16"/>
        </w:rPr>
      </w:pPr>
      <w:r>
        <w:rPr>
          <w:color w:val="231F20"/>
          <w:sz w:val="16"/>
        </w:rPr>
        <w:t>ARZALUZ</w:t>
      </w:r>
      <w:r>
        <w:rPr>
          <w:color w:val="231F20"/>
          <w:spacing w:val="-10"/>
          <w:sz w:val="16"/>
        </w:rPr>
        <w:t> </w:t>
      </w:r>
      <w:r>
        <w:rPr>
          <w:color w:val="231F20"/>
          <w:sz w:val="16"/>
        </w:rPr>
        <w:t>SOLANO,</w:t>
      </w:r>
      <w:r>
        <w:rPr>
          <w:color w:val="231F20"/>
          <w:spacing w:val="-10"/>
          <w:sz w:val="16"/>
        </w:rPr>
        <w:t> </w:t>
      </w:r>
      <w:r>
        <w:rPr>
          <w:color w:val="231F20"/>
          <w:sz w:val="16"/>
        </w:rPr>
        <w:t>María</w:t>
      </w:r>
      <w:r>
        <w:rPr>
          <w:color w:val="231F20"/>
          <w:spacing w:val="-10"/>
          <w:sz w:val="16"/>
        </w:rPr>
        <w:t> </w:t>
      </w:r>
      <w:r>
        <w:rPr>
          <w:color w:val="231F20"/>
          <w:sz w:val="16"/>
        </w:rPr>
        <w:t>de</w:t>
      </w:r>
      <w:r>
        <w:rPr>
          <w:color w:val="231F20"/>
          <w:spacing w:val="-10"/>
          <w:sz w:val="16"/>
        </w:rPr>
        <w:t> </w:t>
      </w:r>
      <w:r>
        <w:rPr>
          <w:color w:val="231F20"/>
          <w:sz w:val="16"/>
        </w:rPr>
        <w:t>Socorro,</w:t>
      </w:r>
      <w:r>
        <w:rPr>
          <w:color w:val="231F20"/>
          <w:spacing w:val="-10"/>
          <w:sz w:val="16"/>
        </w:rPr>
        <w:t> </w:t>
      </w:r>
      <w:r>
        <w:rPr>
          <w:color w:val="231F20"/>
          <w:sz w:val="16"/>
        </w:rPr>
        <w:t>Participación</w:t>
      </w:r>
      <w:r>
        <w:rPr>
          <w:color w:val="231F20"/>
          <w:spacing w:val="-10"/>
          <w:sz w:val="16"/>
        </w:rPr>
        <w:t> </w:t>
      </w:r>
      <w:r>
        <w:rPr>
          <w:color w:val="231F20"/>
          <w:sz w:val="16"/>
        </w:rPr>
        <w:t>Ciudadana</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Gestión</w:t>
      </w:r>
      <w:r>
        <w:rPr>
          <w:color w:val="231F20"/>
          <w:spacing w:val="-10"/>
          <w:sz w:val="16"/>
        </w:rPr>
        <w:t> </w:t>
      </w:r>
      <w:r>
        <w:rPr>
          <w:color w:val="231F20"/>
          <w:sz w:val="16"/>
        </w:rPr>
        <w:t>Urbana</w:t>
      </w:r>
      <w:r>
        <w:rPr>
          <w:color w:val="231F20"/>
          <w:spacing w:val="-10"/>
          <w:sz w:val="16"/>
        </w:rPr>
        <w:t> </w:t>
      </w:r>
      <w:r>
        <w:rPr>
          <w:color w:val="231F20"/>
          <w:sz w:val="16"/>
        </w:rPr>
        <w:t>de</w:t>
      </w:r>
      <w:r>
        <w:rPr>
          <w:color w:val="231F20"/>
          <w:spacing w:val="-10"/>
          <w:sz w:val="16"/>
        </w:rPr>
        <w:t> </w:t>
      </w:r>
      <w:r>
        <w:rPr>
          <w:color w:val="231F20"/>
          <w:sz w:val="16"/>
        </w:rPr>
        <w:t>Ecatepec,</w:t>
      </w:r>
      <w:r>
        <w:rPr>
          <w:color w:val="231F20"/>
          <w:spacing w:val="-10"/>
          <w:sz w:val="16"/>
        </w:rPr>
        <w:t> </w:t>
      </w:r>
      <w:r>
        <w:rPr>
          <w:color w:val="231F20"/>
          <w:sz w:val="16"/>
        </w:rPr>
        <w:t>Tlalnepantla</w:t>
      </w:r>
      <w:r>
        <w:rPr>
          <w:color w:val="231F20"/>
          <w:spacing w:val="-10"/>
          <w:sz w:val="16"/>
        </w:rPr>
        <w:t> </w:t>
      </w:r>
      <w:r>
        <w:rPr>
          <w:color w:val="231F20"/>
          <w:sz w:val="16"/>
        </w:rPr>
        <w:t>y</w:t>
      </w:r>
      <w:r>
        <w:rPr>
          <w:color w:val="231F20"/>
          <w:spacing w:val="-10"/>
          <w:sz w:val="16"/>
        </w:rPr>
        <w:t> </w:t>
      </w:r>
      <w:r>
        <w:rPr>
          <w:color w:val="231F20"/>
          <w:sz w:val="16"/>
        </w:rPr>
        <w:t>Nezahual-</w:t>
      </w:r>
    </w:p>
    <w:p>
      <w:pPr>
        <w:spacing w:before="4"/>
        <w:ind w:left="110" w:right="0" w:firstLine="0"/>
        <w:jc w:val="both"/>
        <w:rPr>
          <w:rFonts w:ascii="Calibri" w:hAnsi="Calibri"/>
          <w:sz w:val="16"/>
        </w:rPr>
      </w:pPr>
      <w:r>
        <w:rPr>
          <w:rFonts w:ascii="Calibri" w:hAnsi="Calibri"/>
          <w:color w:val="231F20"/>
          <w:w w:val="95"/>
          <w:sz w:val="16"/>
        </w:rPr>
        <w:t>cóyotl 1997-2000, México.</w:t>
      </w:r>
    </w:p>
    <w:p>
      <w:pPr>
        <w:pStyle w:val="ListParagraph"/>
        <w:numPr>
          <w:ilvl w:val="0"/>
          <w:numId w:val="15"/>
        </w:numPr>
        <w:tabs>
          <w:tab w:pos="217" w:val="left" w:leader="none"/>
        </w:tabs>
        <w:spacing w:line="244" w:lineRule="auto" w:before="4" w:after="0"/>
        <w:ind w:left="110" w:right="107" w:firstLine="0"/>
        <w:jc w:val="both"/>
        <w:rPr>
          <w:sz w:val="16"/>
        </w:rPr>
      </w:pPr>
      <w:r>
        <w:rPr>
          <w:color w:val="231F20"/>
          <w:sz w:val="16"/>
        </w:rPr>
        <w:t>La</w:t>
      </w:r>
      <w:r>
        <w:rPr>
          <w:color w:val="231F20"/>
          <w:spacing w:val="-20"/>
          <w:sz w:val="16"/>
        </w:rPr>
        <w:t> </w:t>
      </w:r>
      <w:r>
        <w:rPr>
          <w:color w:val="231F20"/>
          <w:sz w:val="16"/>
        </w:rPr>
        <w:t>toponimia</w:t>
      </w:r>
      <w:r>
        <w:rPr>
          <w:color w:val="231F20"/>
          <w:spacing w:val="-20"/>
          <w:sz w:val="16"/>
        </w:rPr>
        <w:t> </w:t>
      </w:r>
      <w:r>
        <w:rPr>
          <w:color w:val="231F20"/>
          <w:sz w:val="16"/>
        </w:rPr>
        <w:t>Tlalnepantla</w:t>
      </w:r>
      <w:r>
        <w:rPr>
          <w:color w:val="231F20"/>
          <w:spacing w:val="-20"/>
          <w:sz w:val="16"/>
        </w:rPr>
        <w:t> </w:t>
      </w:r>
      <w:r>
        <w:rPr>
          <w:color w:val="231F20"/>
          <w:sz w:val="16"/>
        </w:rPr>
        <w:t>proviene</w:t>
      </w:r>
      <w:r>
        <w:rPr>
          <w:color w:val="231F20"/>
          <w:spacing w:val="-20"/>
          <w:sz w:val="16"/>
        </w:rPr>
        <w:t> </w:t>
      </w:r>
      <w:r>
        <w:rPr>
          <w:color w:val="231F20"/>
          <w:sz w:val="16"/>
        </w:rPr>
        <w:t>del</w:t>
      </w:r>
      <w:r>
        <w:rPr>
          <w:color w:val="231F20"/>
          <w:spacing w:val="-20"/>
          <w:sz w:val="16"/>
        </w:rPr>
        <w:t> </w:t>
      </w:r>
      <w:r>
        <w:rPr>
          <w:color w:val="231F20"/>
          <w:sz w:val="16"/>
        </w:rPr>
        <w:t>náhuatl,</w:t>
      </w:r>
      <w:r>
        <w:rPr>
          <w:color w:val="231F20"/>
          <w:spacing w:val="-20"/>
          <w:sz w:val="16"/>
        </w:rPr>
        <w:t> </w:t>
      </w:r>
      <w:r>
        <w:rPr>
          <w:color w:val="231F20"/>
          <w:sz w:val="16"/>
        </w:rPr>
        <w:t>tlalli:</w:t>
      </w:r>
      <w:r>
        <w:rPr>
          <w:color w:val="231F20"/>
          <w:spacing w:val="-20"/>
          <w:sz w:val="16"/>
        </w:rPr>
        <w:t> </w:t>
      </w:r>
      <w:r>
        <w:rPr>
          <w:color w:val="231F20"/>
          <w:sz w:val="16"/>
        </w:rPr>
        <w:t>tierra</w:t>
      </w:r>
      <w:r>
        <w:rPr>
          <w:color w:val="231F20"/>
          <w:spacing w:val="-20"/>
          <w:sz w:val="16"/>
        </w:rPr>
        <w:t> </w:t>
      </w:r>
      <w:r>
        <w:rPr>
          <w:color w:val="231F20"/>
          <w:sz w:val="16"/>
        </w:rPr>
        <w:t>y</w:t>
      </w:r>
      <w:r>
        <w:rPr>
          <w:color w:val="231F20"/>
          <w:spacing w:val="-20"/>
          <w:sz w:val="16"/>
        </w:rPr>
        <w:t> </w:t>
      </w:r>
      <w:r>
        <w:rPr>
          <w:color w:val="231F20"/>
          <w:sz w:val="16"/>
        </w:rPr>
        <w:t>de</w:t>
      </w:r>
      <w:r>
        <w:rPr>
          <w:color w:val="231F20"/>
          <w:spacing w:val="-20"/>
          <w:sz w:val="16"/>
        </w:rPr>
        <w:t> </w:t>
      </w:r>
      <w:r>
        <w:rPr>
          <w:color w:val="231F20"/>
          <w:sz w:val="16"/>
        </w:rPr>
        <w:t>nepantla:</w:t>
      </w:r>
      <w:r>
        <w:rPr>
          <w:color w:val="231F20"/>
          <w:spacing w:val="-20"/>
          <w:sz w:val="16"/>
        </w:rPr>
        <w:t> </w:t>
      </w:r>
      <w:r>
        <w:rPr>
          <w:color w:val="231F20"/>
          <w:sz w:val="16"/>
        </w:rPr>
        <w:t>de</w:t>
      </w:r>
      <w:r>
        <w:rPr>
          <w:color w:val="231F20"/>
          <w:spacing w:val="-20"/>
          <w:sz w:val="16"/>
        </w:rPr>
        <w:t> </w:t>
      </w:r>
      <w:r>
        <w:rPr>
          <w:color w:val="231F20"/>
          <w:sz w:val="16"/>
        </w:rPr>
        <w:t>en</w:t>
      </w:r>
      <w:r>
        <w:rPr>
          <w:color w:val="231F20"/>
          <w:spacing w:val="-20"/>
          <w:sz w:val="16"/>
        </w:rPr>
        <w:t> </w:t>
      </w:r>
      <w:r>
        <w:rPr>
          <w:color w:val="231F20"/>
          <w:sz w:val="16"/>
        </w:rPr>
        <w:t>medio;</w:t>
      </w:r>
      <w:r>
        <w:rPr>
          <w:color w:val="231F20"/>
          <w:spacing w:val="-20"/>
          <w:sz w:val="16"/>
        </w:rPr>
        <w:t> </w:t>
      </w:r>
      <w:r>
        <w:rPr>
          <w:color w:val="231F20"/>
          <w:sz w:val="16"/>
        </w:rPr>
        <w:t>significa:</w:t>
      </w:r>
      <w:r>
        <w:rPr>
          <w:color w:val="231F20"/>
          <w:spacing w:val="-20"/>
          <w:sz w:val="16"/>
        </w:rPr>
        <w:t> </w:t>
      </w:r>
      <w:r>
        <w:rPr>
          <w:color w:val="231F20"/>
          <w:sz w:val="16"/>
        </w:rPr>
        <w:t>“Tierra</w:t>
      </w:r>
      <w:r>
        <w:rPr>
          <w:color w:val="231F20"/>
          <w:spacing w:val="-20"/>
          <w:sz w:val="16"/>
        </w:rPr>
        <w:t> </w:t>
      </w:r>
      <w:r>
        <w:rPr>
          <w:color w:val="231F20"/>
          <w:sz w:val="16"/>
        </w:rPr>
        <w:t>de</w:t>
      </w:r>
      <w:r>
        <w:rPr>
          <w:color w:val="231F20"/>
          <w:spacing w:val="-20"/>
          <w:sz w:val="16"/>
        </w:rPr>
        <w:t> </w:t>
      </w:r>
      <w:r>
        <w:rPr>
          <w:color w:val="231F20"/>
          <w:sz w:val="16"/>
        </w:rPr>
        <w:t>en</w:t>
      </w:r>
      <w:r>
        <w:rPr>
          <w:color w:val="231F20"/>
          <w:spacing w:val="-20"/>
          <w:sz w:val="16"/>
        </w:rPr>
        <w:t> </w:t>
      </w:r>
      <w:r>
        <w:rPr>
          <w:color w:val="231F20"/>
          <w:sz w:val="16"/>
        </w:rPr>
        <w:t>medio”.</w:t>
      </w:r>
      <w:r>
        <w:rPr>
          <w:color w:val="231F20"/>
          <w:spacing w:val="-20"/>
          <w:sz w:val="16"/>
        </w:rPr>
        <w:t> </w:t>
      </w:r>
      <w:r>
        <w:rPr>
          <w:color w:val="231F20"/>
          <w:sz w:val="16"/>
        </w:rPr>
        <w:t>Alude a</w:t>
      </w:r>
      <w:r>
        <w:rPr>
          <w:color w:val="231F20"/>
          <w:spacing w:val="-4"/>
          <w:sz w:val="16"/>
        </w:rPr>
        <w:t> </w:t>
      </w:r>
      <w:r>
        <w:rPr>
          <w:color w:val="231F20"/>
          <w:sz w:val="16"/>
        </w:rPr>
        <w:t>su</w:t>
      </w:r>
      <w:r>
        <w:rPr>
          <w:color w:val="231F20"/>
          <w:spacing w:val="-4"/>
          <w:sz w:val="16"/>
        </w:rPr>
        <w:t> </w:t>
      </w:r>
      <w:r>
        <w:rPr>
          <w:color w:val="231F20"/>
          <w:sz w:val="16"/>
        </w:rPr>
        <w:t>antigua</w:t>
      </w:r>
      <w:r>
        <w:rPr>
          <w:color w:val="231F20"/>
          <w:spacing w:val="-4"/>
          <w:sz w:val="16"/>
        </w:rPr>
        <w:t> </w:t>
      </w:r>
      <w:r>
        <w:rPr>
          <w:color w:val="231F20"/>
          <w:sz w:val="16"/>
        </w:rPr>
        <w:t>ubicación</w:t>
      </w:r>
      <w:r>
        <w:rPr>
          <w:color w:val="231F20"/>
          <w:spacing w:val="-4"/>
          <w:sz w:val="16"/>
        </w:rPr>
        <w:t> </w:t>
      </w:r>
      <w:r>
        <w:rPr>
          <w:color w:val="231F20"/>
          <w:sz w:val="16"/>
        </w:rPr>
        <w:t>entre</w:t>
      </w:r>
      <w:r>
        <w:rPr>
          <w:color w:val="231F20"/>
          <w:spacing w:val="-4"/>
          <w:sz w:val="16"/>
        </w:rPr>
        <w:t> </w:t>
      </w:r>
      <w:r>
        <w:rPr>
          <w:color w:val="231F20"/>
          <w:sz w:val="16"/>
        </w:rPr>
        <w:t>las</w:t>
      </w:r>
      <w:r>
        <w:rPr>
          <w:color w:val="231F20"/>
          <w:spacing w:val="-4"/>
          <w:sz w:val="16"/>
        </w:rPr>
        <w:t> </w:t>
      </w:r>
      <w:r>
        <w:rPr>
          <w:color w:val="231F20"/>
          <w:sz w:val="16"/>
        </w:rPr>
        <w:t>tierras</w:t>
      </w:r>
      <w:r>
        <w:rPr>
          <w:color w:val="231F20"/>
          <w:spacing w:val="-4"/>
          <w:sz w:val="16"/>
        </w:rPr>
        <w:t> </w:t>
      </w:r>
      <w:r>
        <w:rPr>
          <w:color w:val="231F20"/>
          <w:sz w:val="16"/>
        </w:rPr>
        <w:t>de</w:t>
      </w:r>
      <w:r>
        <w:rPr>
          <w:color w:val="231F20"/>
          <w:spacing w:val="-4"/>
          <w:sz w:val="16"/>
        </w:rPr>
        <w:t> </w:t>
      </w:r>
      <w:r>
        <w:rPr>
          <w:color w:val="231F20"/>
          <w:sz w:val="16"/>
        </w:rPr>
        <w:t>los</w:t>
      </w:r>
      <w:r>
        <w:rPr>
          <w:color w:val="231F20"/>
          <w:spacing w:val="-4"/>
          <w:sz w:val="16"/>
        </w:rPr>
        <w:t> </w:t>
      </w:r>
      <w:r>
        <w:rPr>
          <w:color w:val="231F20"/>
          <w:sz w:val="16"/>
        </w:rPr>
        <w:t>otomíes</w:t>
      </w:r>
      <w:r>
        <w:rPr>
          <w:color w:val="231F20"/>
          <w:spacing w:val="-4"/>
          <w:sz w:val="16"/>
        </w:rPr>
        <w:t> </w:t>
      </w:r>
      <w:r>
        <w:rPr>
          <w:color w:val="231F20"/>
          <w:sz w:val="16"/>
        </w:rPr>
        <w:t>y</w:t>
      </w:r>
      <w:r>
        <w:rPr>
          <w:color w:val="231F20"/>
          <w:spacing w:val="-4"/>
          <w:sz w:val="16"/>
        </w:rPr>
        <w:t> </w:t>
      </w:r>
      <w:r>
        <w:rPr>
          <w:color w:val="231F20"/>
          <w:sz w:val="16"/>
        </w:rPr>
        <w:t>de</w:t>
      </w:r>
      <w:r>
        <w:rPr>
          <w:color w:val="231F20"/>
          <w:spacing w:val="-4"/>
          <w:sz w:val="16"/>
        </w:rPr>
        <w:t> </w:t>
      </w:r>
      <w:r>
        <w:rPr>
          <w:color w:val="231F20"/>
          <w:sz w:val="16"/>
        </w:rPr>
        <w:t>los</w:t>
      </w:r>
      <w:r>
        <w:rPr>
          <w:color w:val="231F20"/>
          <w:spacing w:val="-4"/>
          <w:sz w:val="16"/>
        </w:rPr>
        <w:t> </w:t>
      </w:r>
      <w:r>
        <w:rPr>
          <w:color w:val="231F20"/>
          <w:sz w:val="16"/>
        </w:rPr>
        <w:t>mexicanos.</w:t>
      </w:r>
      <w:r>
        <w:rPr>
          <w:color w:val="231F20"/>
          <w:spacing w:val="-4"/>
          <w:sz w:val="16"/>
        </w:rPr>
        <w:t> </w:t>
      </w:r>
      <w:r>
        <w:rPr>
          <w:color w:val="231F20"/>
          <w:sz w:val="16"/>
        </w:rPr>
        <w:t>Baz</w:t>
      </w:r>
      <w:r>
        <w:rPr>
          <w:color w:val="231F20"/>
          <w:spacing w:val="-4"/>
          <w:sz w:val="16"/>
        </w:rPr>
        <w:t> </w:t>
      </w:r>
      <w:r>
        <w:rPr>
          <w:color w:val="231F20"/>
          <w:sz w:val="16"/>
        </w:rPr>
        <w:t>es</w:t>
      </w:r>
      <w:r>
        <w:rPr>
          <w:color w:val="231F20"/>
          <w:spacing w:val="-4"/>
          <w:sz w:val="16"/>
        </w:rPr>
        <w:t> </w:t>
      </w:r>
      <w:r>
        <w:rPr>
          <w:color w:val="231F20"/>
          <w:sz w:val="16"/>
        </w:rPr>
        <w:t>en</w:t>
      </w:r>
      <w:r>
        <w:rPr>
          <w:color w:val="231F20"/>
          <w:spacing w:val="-4"/>
          <w:sz w:val="16"/>
        </w:rPr>
        <w:t> </w:t>
      </w:r>
      <w:r>
        <w:rPr>
          <w:color w:val="231F20"/>
          <w:sz w:val="16"/>
        </w:rPr>
        <w:t>honor</w:t>
      </w:r>
      <w:r>
        <w:rPr>
          <w:color w:val="231F20"/>
          <w:spacing w:val="-4"/>
          <w:sz w:val="16"/>
        </w:rPr>
        <w:t> </w:t>
      </w:r>
      <w:r>
        <w:rPr>
          <w:color w:val="231F20"/>
          <w:sz w:val="16"/>
        </w:rPr>
        <w:t>de</w:t>
      </w:r>
      <w:r>
        <w:rPr>
          <w:color w:val="231F20"/>
          <w:spacing w:val="-4"/>
          <w:sz w:val="16"/>
        </w:rPr>
        <w:t> </w:t>
      </w:r>
      <w:r>
        <w:rPr>
          <w:color w:val="231F20"/>
          <w:sz w:val="16"/>
        </w:rPr>
        <w:t>Gustavo</w:t>
      </w:r>
      <w:r>
        <w:rPr>
          <w:color w:val="231F20"/>
          <w:spacing w:val="-4"/>
          <w:sz w:val="16"/>
        </w:rPr>
        <w:t> </w:t>
      </w:r>
      <w:r>
        <w:rPr>
          <w:color w:val="231F20"/>
          <w:sz w:val="16"/>
        </w:rPr>
        <w:t>Baz</w:t>
      </w:r>
      <w:r>
        <w:rPr>
          <w:color w:val="231F20"/>
          <w:spacing w:val="-4"/>
          <w:sz w:val="16"/>
        </w:rPr>
        <w:t> </w:t>
      </w:r>
      <w:r>
        <w:rPr>
          <w:color w:val="231F20"/>
          <w:sz w:val="16"/>
        </w:rPr>
        <w:t>Prada,</w:t>
      </w:r>
      <w:r>
        <w:rPr>
          <w:color w:val="231F20"/>
          <w:spacing w:val="-4"/>
          <w:sz w:val="16"/>
        </w:rPr>
        <w:t> </w:t>
      </w:r>
      <w:r>
        <w:rPr>
          <w:color w:val="231F20"/>
          <w:sz w:val="16"/>
        </w:rPr>
        <w:t>nativo</w:t>
      </w:r>
      <w:r>
        <w:rPr>
          <w:color w:val="231F20"/>
          <w:spacing w:val="-4"/>
          <w:sz w:val="16"/>
        </w:rPr>
        <w:t> </w:t>
      </w:r>
      <w:r>
        <w:rPr>
          <w:color w:val="231F20"/>
          <w:sz w:val="16"/>
        </w:rPr>
        <w:t>de Tlalnepantla.</w:t>
      </w:r>
    </w:p>
    <w:p>
      <w:pPr>
        <w:pStyle w:val="ListParagraph"/>
        <w:numPr>
          <w:ilvl w:val="0"/>
          <w:numId w:val="15"/>
        </w:numPr>
        <w:tabs>
          <w:tab w:pos="224" w:val="left" w:leader="none"/>
        </w:tabs>
        <w:spacing w:line="244" w:lineRule="auto" w:before="0" w:after="0"/>
        <w:ind w:left="110" w:right="108" w:firstLine="0"/>
        <w:jc w:val="both"/>
        <w:rPr>
          <w:sz w:val="16"/>
        </w:rPr>
      </w:pPr>
      <w:r>
        <w:rPr>
          <w:color w:val="231F20"/>
          <w:sz w:val="16"/>
        </w:rPr>
        <w:t>Fue</w:t>
      </w:r>
      <w:r>
        <w:rPr>
          <w:color w:val="231F20"/>
          <w:spacing w:val="-6"/>
          <w:sz w:val="16"/>
        </w:rPr>
        <w:t> </w:t>
      </w:r>
      <w:r>
        <w:rPr>
          <w:color w:val="231F20"/>
          <w:sz w:val="16"/>
        </w:rPr>
        <w:t>Secretario</w:t>
      </w:r>
      <w:r>
        <w:rPr>
          <w:color w:val="231F20"/>
          <w:spacing w:val="-6"/>
          <w:sz w:val="16"/>
        </w:rPr>
        <w:t> </w:t>
      </w:r>
      <w:r>
        <w:rPr>
          <w:color w:val="231F20"/>
          <w:sz w:val="16"/>
        </w:rPr>
        <w:t>de</w:t>
      </w:r>
      <w:r>
        <w:rPr>
          <w:color w:val="231F20"/>
          <w:spacing w:val="-6"/>
          <w:sz w:val="16"/>
        </w:rPr>
        <w:t> </w:t>
      </w:r>
      <w:r>
        <w:rPr>
          <w:color w:val="231F20"/>
          <w:sz w:val="16"/>
        </w:rPr>
        <w:t>Estudios</w:t>
      </w:r>
      <w:r>
        <w:rPr>
          <w:color w:val="231F20"/>
          <w:spacing w:val="-6"/>
          <w:sz w:val="16"/>
        </w:rPr>
        <w:t> </w:t>
      </w:r>
      <w:r>
        <w:rPr>
          <w:color w:val="231F20"/>
          <w:sz w:val="16"/>
        </w:rPr>
        <w:t>del</w:t>
      </w:r>
      <w:r>
        <w:rPr>
          <w:color w:val="231F20"/>
          <w:spacing w:val="-6"/>
          <w:sz w:val="16"/>
        </w:rPr>
        <w:t> </w:t>
      </w:r>
      <w:r>
        <w:rPr>
          <w:color w:val="231F20"/>
          <w:sz w:val="16"/>
        </w:rPr>
        <w:t>Comité</w:t>
      </w:r>
      <w:r>
        <w:rPr>
          <w:color w:val="231F20"/>
          <w:spacing w:val="-6"/>
          <w:sz w:val="16"/>
        </w:rPr>
        <w:t> </w:t>
      </w:r>
      <w:r>
        <w:rPr>
          <w:color w:val="231F20"/>
          <w:sz w:val="16"/>
        </w:rPr>
        <w:t>Municipal</w:t>
      </w:r>
      <w:r>
        <w:rPr>
          <w:color w:val="231F20"/>
          <w:spacing w:val="-6"/>
          <w:sz w:val="16"/>
        </w:rPr>
        <w:t> </w:t>
      </w:r>
      <w:r>
        <w:rPr>
          <w:color w:val="231F20"/>
          <w:sz w:val="16"/>
        </w:rPr>
        <w:t>del</w:t>
      </w:r>
      <w:r>
        <w:rPr>
          <w:color w:val="231F20"/>
          <w:spacing w:val="-6"/>
          <w:sz w:val="16"/>
        </w:rPr>
        <w:t> </w:t>
      </w:r>
      <w:r>
        <w:rPr>
          <w:color w:val="231F20"/>
          <w:spacing w:val="-4"/>
          <w:sz w:val="16"/>
        </w:rPr>
        <w:t>PAN</w:t>
      </w:r>
      <w:r>
        <w:rPr>
          <w:color w:val="231F20"/>
          <w:spacing w:val="-6"/>
          <w:sz w:val="16"/>
        </w:rPr>
        <w:t> </w:t>
      </w:r>
      <w:r>
        <w:rPr>
          <w:color w:val="231F20"/>
          <w:sz w:val="16"/>
        </w:rPr>
        <w:t>en</w:t>
      </w:r>
      <w:r>
        <w:rPr>
          <w:color w:val="231F20"/>
          <w:spacing w:val="-6"/>
          <w:sz w:val="16"/>
        </w:rPr>
        <w:t> </w:t>
      </w:r>
      <w:r>
        <w:rPr>
          <w:color w:val="231F20"/>
          <w:sz w:val="16"/>
        </w:rPr>
        <w:t>Tlalnepantla</w:t>
      </w:r>
      <w:r>
        <w:rPr>
          <w:color w:val="231F20"/>
          <w:spacing w:val="-6"/>
          <w:sz w:val="16"/>
        </w:rPr>
        <w:t> </w:t>
      </w:r>
      <w:r>
        <w:rPr>
          <w:color w:val="231F20"/>
          <w:sz w:val="16"/>
        </w:rPr>
        <w:t>de</w:t>
      </w:r>
      <w:r>
        <w:rPr>
          <w:color w:val="231F20"/>
          <w:spacing w:val="-6"/>
          <w:sz w:val="16"/>
        </w:rPr>
        <w:t> </w:t>
      </w:r>
      <w:r>
        <w:rPr>
          <w:color w:val="231F20"/>
          <w:sz w:val="16"/>
        </w:rPr>
        <w:t>Baz;</w:t>
      </w:r>
      <w:r>
        <w:rPr>
          <w:color w:val="231F20"/>
          <w:spacing w:val="-6"/>
          <w:sz w:val="16"/>
        </w:rPr>
        <w:t> </w:t>
      </w:r>
      <w:r>
        <w:rPr>
          <w:color w:val="231F20"/>
          <w:sz w:val="16"/>
        </w:rPr>
        <w:t>Coordinador</w:t>
      </w:r>
      <w:r>
        <w:rPr>
          <w:color w:val="231F20"/>
          <w:spacing w:val="-6"/>
          <w:sz w:val="16"/>
        </w:rPr>
        <w:t> </w:t>
      </w:r>
      <w:r>
        <w:rPr>
          <w:color w:val="231F20"/>
          <w:sz w:val="16"/>
        </w:rPr>
        <w:t>Regional</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campaña</w:t>
      </w:r>
      <w:r>
        <w:rPr>
          <w:color w:val="231F20"/>
          <w:spacing w:val="-6"/>
          <w:sz w:val="16"/>
        </w:rPr>
        <w:t> </w:t>
      </w:r>
      <w:r>
        <w:rPr>
          <w:color w:val="231F20"/>
          <w:sz w:val="16"/>
        </w:rPr>
        <w:t>del Ing.</w:t>
      </w:r>
      <w:r>
        <w:rPr>
          <w:color w:val="231F20"/>
          <w:spacing w:val="-6"/>
          <w:sz w:val="16"/>
        </w:rPr>
        <w:t> </w:t>
      </w:r>
      <w:r>
        <w:rPr>
          <w:color w:val="231F20"/>
          <w:sz w:val="16"/>
        </w:rPr>
        <w:t>José</w:t>
      </w:r>
      <w:r>
        <w:rPr>
          <w:color w:val="231F20"/>
          <w:spacing w:val="-6"/>
          <w:sz w:val="16"/>
        </w:rPr>
        <w:t> </w:t>
      </w:r>
      <w:r>
        <w:rPr>
          <w:color w:val="231F20"/>
          <w:sz w:val="16"/>
        </w:rPr>
        <w:t>Luis</w:t>
      </w:r>
      <w:r>
        <w:rPr>
          <w:color w:val="231F20"/>
          <w:spacing w:val="-6"/>
          <w:sz w:val="16"/>
        </w:rPr>
        <w:t> </w:t>
      </w:r>
      <w:r>
        <w:rPr>
          <w:color w:val="231F20"/>
          <w:sz w:val="16"/>
        </w:rPr>
        <w:t>Durán</w:t>
      </w:r>
      <w:r>
        <w:rPr>
          <w:color w:val="231F20"/>
          <w:spacing w:val="-6"/>
          <w:sz w:val="16"/>
        </w:rPr>
        <w:t> </w:t>
      </w:r>
      <w:r>
        <w:rPr>
          <w:color w:val="231F20"/>
          <w:sz w:val="16"/>
        </w:rPr>
        <w:t>Reveles</w:t>
      </w:r>
      <w:r>
        <w:rPr>
          <w:color w:val="231F20"/>
          <w:spacing w:val="-6"/>
          <w:sz w:val="16"/>
        </w:rPr>
        <w:t> </w:t>
      </w:r>
      <w:r>
        <w:rPr>
          <w:color w:val="231F20"/>
          <w:sz w:val="16"/>
        </w:rPr>
        <w:t>al</w:t>
      </w:r>
      <w:r>
        <w:rPr>
          <w:color w:val="231F20"/>
          <w:spacing w:val="-6"/>
          <w:sz w:val="16"/>
        </w:rPr>
        <w:t> </w:t>
      </w:r>
      <w:r>
        <w:rPr>
          <w:color w:val="231F20"/>
          <w:sz w:val="16"/>
        </w:rPr>
        <w:t>Gobierno</w:t>
      </w:r>
      <w:r>
        <w:rPr>
          <w:color w:val="231F20"/>
          <w:spacing w:val="-6"/>
          <w:sz w:val="16"/>
        </w:rPr>
        <w:t> </w:t>
      </w:r>
      <w:r>
        <w:rPr>
          <w:color w:val="231F20"/>
          <w:sz w:val="16"/>
        </w:rPr>
        <w:t>del</w:t>
      </w:r>
      <w:r>
        <w:rPr>
          <w:color w:val="231F20"/>
          <w:spacing w:val="-6"/>
          <w:sz w:val="16"/>
        </w:rPr>
        <w:t> </w:t>
      </w:r>
      <w:r>
        <w:rPr>
          <w:color w:val="231F20"/>
          <w:sz w:val="16"/>
        </w:rPr>
        <w:t>Estado</w:t>
      </w:r>
      <w:r>
        <w:rPr>
          <w:color w:val="231F20"/>
          <w:spacing w:val="-6"/>
          <w:sz w:val="16"/>
        </w:rPr>
        <w:t> </w:t>
      </w:r>
      <w:r>
        <w:rPr>
          <w:color w:val="231F20"/>
          <w:sz w:val="16"/>
        </w:rPr>
        <w:t>de</w:t>
      </w:r>
      <w:r>
        <w:rPr>
          <w:color w:val="231F20"/>
          <w:spacing w:val="-6"/>
          <w:sz w:val="16"/>
        </w:rPr>
        <w:t> </w:t>
      </w:r>
      <w:r>
        <w:rPr>
          <w:color w:val="231F20"/>
          <w:sz w:val="16"/>
        </w:rPr>
        <w:t>México;</w:t>
      </w:r>
      <w:r>
        <w:rPr>
          <w:color w:val="231F20"/>
          <w:spacing w:val="-6"/>
          <w:sz w:val="16"/>
        </w:rPr>
        <w:t> </w:t>
      </w:r>
      <w:r>
        <w:rPr>
          <w:color w:val="231F20"/>
          <w:sz w:val="16"/>
        </w:rPr>
        <w:t>Comisionado</w:t>
      </w:r>
      <w:r>
        <w:rPr>
          <w:color w:val="231F20"/>
          <w:spacing w:val="-6"/>
          <w:sz w:val="16"/>
        </w:rPr>
        <w:t> </w:t>
      </w:r>
      <w:r>
        <w:rPr>
          <w:color w:val="231F20"/>
          <w:sz w:val="16"/>
        </w:rPr>
        <w:t>del</w:t>
      </w:r>
      <w:r>
        <w:rPr>
          <w:color w:val="231F20"/>
          <w:spacing w:val="-6"/>
          <w:sz w:val="16"/>
        </w:rPr>
        <w:t> </w:t>
      </w:r>
      <w:r>
        <w:rPr>
          <w:color w:val="231F20"/>
          <w:sz w:val="16"/>
        </w:rPr>
        <w:t>CEN</w:t>
      </w:r>
      <w:r>
        <w:rPr>
          <w:color w:val="231F20"/>
          <w:spacing w:val="-6"/>
          <w:sz w:val="16"/>
        </w:rPr>
        <w:t> </w:t>
      </w:r>
      <w:r>
        <w:rPr>
          <w:color w:val="231F20"/>
          <w:sz w:val="16"/>
        </w:rPr>
        <w:t>del</w:t>
      </w:r>
      <w:r>
        <w:rPr>
          <w:color w:val="231F20"/>
          <w:spacing w:val="-6"/>
          <w:sz w:val="16"/>
        </w:rPr>
        <w:t> </w:t>
      </w:r>
      <w:r>
        <w:rPr>
          <w:color w:val="231F20"/>
          <w:spacing w:val="-4"/>
          <w:sz w:val="16"/>
        </w:rPr>
        <w:t>PAN</w:t>
      </w:r>
      <w:r>
        <w:rPr>
          <w:color w:val="231F20"/>
          <w:spacing w:val="-6"/>
          <w:sz w:val="16"/>
        </w:rPr>
        <w:t> </w:t>
      </w:r>
      <w:r>
        <w:rPr>
          <w:color w:val="231F20"/>
          <w:sz w:val="16"/>
        </w:rPr>
        <w:t>en</w:t>
      </w:r>
      <w:r>
        <w:rPr>
          <w:color w:val="231F20"/>
          <w:spacing w:val="-6"/>
          <w:sz w:val="16"/>
        </w:rPr>
        <w:t> </w:t>
      </w:r>
      <w:r>
        <w:rPr>
          <w:color w:val="231F20"/>
          <w:sz w:val="16"/>
        </w:rPr>
        <w:t>las</w:t>
      </w:r>
      <w:r>
        <w:rPr>
          <w:color w:val="231F20"/>
          <w:spacing w:val="-6"/>
          <w:sz w:val="16"/>
        </w:rPr>
        <w:t> </w:t>
      </w:r>
      <w:r>
        <w:rPr>
          <w:color w:val="231F20"/>
          <w:sz w:val="16"/>
        </w:rPr>
        <w:t>elecciones</w:t>
      </w:r>
      <w:r>
        <w:rPr>
          <w:color w:val="231F20"/>
          <w:spacing w:val="-6"/>
          <w:sz w:val="16"/>
        </w:rPr>
        <w:t> </w:t>
      </w:r>
      <w:r>
        <w:rPr>
          <w:color w:val="231F20"/>
          <w:sz w:val="16"/>
        </w:rPr>
        <w:t>de</w:t>
      </w:r>
      <w:r>
        <w:rPr>
          <w:color w:val="231F20"/>
          <w:spacing w:val="-6"/>
          <w:sz w:val="16"/>
        </w:rPr>
        <w:t> </w:t>
      </w:r>
      <w:r>
        <w:rPr>
          <w:color w:val="231F20"/>
          <w:sz w:val="16"/>
        </w:rPr>
        <w:t>Durango, Veracruz</w:t>
      </w:r>
      <w:r>
        <w:rPr>
          <w:color w:val="231F20"/>
          <w:spacing w:val="-11"/>
          <w:sz w:val="16"/>
        </w:rPr>
        <w:t> </w:t>
      </w:r>
      <w:r>
        <w:rPr>
          <w:color w:val="231F20"/>
          <w:sz w:val="16"/>
        </w:rPr>
        <w:t>y</w:t>
      </w:r>
      <w:r>
        <w:rPr>
          <w:color w:val="231F20"/>
          <w:spacing w:val="-11"/>
          <w:sz w:val="16"/>
        </w:rPr>
        <w:t> </w:t>
      </w:r>
      <w:r>
        <w:rPr>
          <w:color w:val="231F20"/>
          <w:sz w:val="16"/>
        </w:rPr>
        <w:t>Sinaloa;</w:t>
      </w:r>
      <w:r>
        <w:rPr>
          <w:color w:val="231F20"/>
          <w:spacing w:val="-11"/>
          <w:sz w:val="16"/>
        </w:rPr>
        <w:t> </w:t>
      </w:r>
      <w:r>
        <w:rPr>
          <w:color w:val="231F20"/>
          <w:sz w:val="16"/>
        </w:rPr>
        <w:t>Representante</w:t>
      </w:r>
      <w:r>
        <w:rPr>
          <w:color w:val="231F20"/>
          <w:spacing w:val="-11"/>
          <w:sz w:val="16"/>
        </w:rPr>
        <w:t> </w:t>
      </w:r>
      <w:r>
        <w:rPr>
          <w:color w:val="231F20"/>
          <w:sz w:val="16"/>
        </w:rPr>
        <w:t>Propietario</w:t>
      </w:r>
      <w:r>
        <w:rPr>
          <w:color w:val="231F20"/>
          <w:spacing w:val="-11"/>
          <w:sz w:val="16"/>
        </w:rPr>
        <w:t> </w:t>
      </w:r>
      <w:r>
        <w:rPr>
          <w:color w:val="231F20"/>
          <w:sz w:val="16"/>
        </w:rPr>
        <w:t>ante</w:t>
      </w:r>
      <w:r>
        <w:rPr>
          <w:color w:val="231F20"/>
          <w:spacing w:val="-11"/>
          <w:sz w:val="16"/>
        </w:rPr>
        <w:t> </w:t>
      </w:r>
      <w:r>
        <w:rPr>
          <w:color w:val="231F20"/>
          <w:sz w:val="16"/>
        </w:rPr>
        <w:t>el</w:t>
      </w:r>
      <w:r>
        <w:rPr>
          <w:color w:val="231F20"/>
          <w:spacing w:val="-11"/>
          <w:sz w:val="16"/>
        </w:rPr>
        <w:t> </w:t>
      </w:r>
      <w:r>
        <w:rPr>
          <w:color w:val="231F20"/>
          <w:sz w:val="16"/>
        </w:rPr>
        <w:t>Consejo</w:t>
      </w:r>
      <w:r>
        <w:rPr>
          <w:color w:val="231F20"/>
          <w:spacing w:val="-11"/>
          <w:sz w:val="16"/>
        </w:rPr>
        <w:t> </w:t>
      </w:r>
      <w:r>
        <w:rPr>
          <w:color w:val="231F20"/>
          <w:sz w:val="16"/>
        </w:rPr>
        <w:t>Municipal</w:t>
      </w:r>
      <w:r>
        <w:rPr>
          <w:color w:val="231F20"/>
          <w:spacing w:val="-11"/>
          <w:sz w:val="16"/>
        </w:rPr>
        <w:t> </w:t>
      </w:r>
      <w:r>
        <w:rPr>
          <w:color w:val="231F20"/>
          <w:sz w:val="16"/>
        </w:rPr>
        <w:t>Electoral</w:t>
      </w:r>
      <w:r>
        <w:rPr>
          <w:color w:val="231F20"/>
          <w:spacing w:val="-11"/>
          <w:sz w:val="16"/>
        </w:rPr>
        <w:t> </w:t>
      </w:r>
      <w:r>
        <w:rPr>
          <w:color w:val="231F20"/>
          <w:sz w:val="16"/>
        </w:rPr>
        <w:t>de</w:t>
      </w:r>
      <w:r>
        <w:rPr>
          <w:color w:val="231F20"/>
          <w:spacing w:val="-11"/>
          <w:sz w:val="16"/>
        </w:rPr>
        <w:t> </w:t>
      </w:r>
      <w:r>
        <w:rPr>
          <w:color w:val="231F20"/>
          <w:sz w:val="16"/>
        </w:rPr>
        <w:t>Tlalnepantla</w:t>
      </w:r>
      <w:r>
        <w:rPr>
          <w:color w:val="231F20"/>
          <w:spacing w:val="-11"/>
          <w:sz w:val="16"/>
        </w:rPr>
        <w:t> </w:t>
      </w:r>
      <w:r>
        <w:rPr>
          <w:color w:val="231F20"/>
          <w:sz w:val="16"/>
        </w:rPr>
        <w:t>de</w:t>
      </w:r>
      <w:r>
        <w:rPr>
          <w:color w:val="231F20"/>
          <w:spacing w:val="-11"/>
          <w:sz w:val="16"/>
        </w:rPr>
        <w:t> </w:t>
      </w:r>
      <w:r>
        <w:rPr>
          <w:color w:val="231F20"/>
          <w:sz w:val="16"/>
        </w:rPr>
        <w:t>Baz</w:t>
      </w:r>
      <w:r>
        <w:rPr>
          <w:color w:val="231F20"/>
          <w:spacing w:val="-11"/>
          <w:sz w:val="16"/>
        </w:rPr>
        <w:t> </w:t>
      </w:r>
      <w:r>
        <w:rPr>
          <w:color w:val="231F20"/>
          <w:spacing w:val="-3"/>
          <w:sz w:val="16"/>
        </w:rPr>
        <w:t>(1996);</w:t>
      </w:r>
      <w:r>
        <w:rPr>
          <w:color w:val="231F20"/>
          <w:spacing w:val="-11"/>
          <w:sz w:val="16"/>
        </w:rPr>
        <w:t> </w:t>
      </w:r>
      <w:r>
        <w:rPr>
          <w:color w:val="231F20"/>
          <w:sz w:val="16"/>
        </w:rPr>
        <w:t>Regidor</w:t>
      </w:r>
      <w:r>
        <w:rPr>
          <w:color w:val="231F20"/>
          <w:spacing w:val="-11"/>
          <w:sz w:val="16"/>
        </w:rPr>
        <w:t> </w:t>
      </w:r>
      <w:r>
        <w:rPr>
          <w:color w:val="231F20"/>
          <w:sz w:val="16"/>
        </w:rPr>
        <w:t>del Ayuntamiento</w:t>
      </w:r>
      <w:r>
        <w:rPr>
          <w:color w:val="231F20"/>
          <w:spacing w:val="-10"/>
          <w:sz w:val="16"/>
        </w:rPr>
        <w:t> </w:t>
      </w:r>
      <w:r>
        <w:rPr>
          <w:color w:val="231F20"/>
          <w:sz w:val="16"/>
        </w:rPr>
        <w:t>de</w:t>
      </w:r>
      <w:r>
        <w:rPr>
          <w:color w:val="231F20"/>
          <w:spacing w:val="-10"/>
          <w:sz w:val="16"/>
        </w:rPr>
        <w:t> </w:t>
      </w:r>
      <w:r>
        <w:rPr>
          <w:color w:val="231F20"/>
          <w:sz w:val="16"/>
        </w:rPr>
        <w:t>Tlalnepantla</w:t>
      </w:r>
      <w:r>
        <w:rPr>
          <w:color w:val="231F20"/>
          <w:spacing w:val="-10"/>
          <w:sz w:val="16"/>
        </w:rPr>
        <w:t> </w:t>
      </w:r>
      <w:r>
        <w:rPr>
          <w:color w:val="231F20"/>
          <w:sz w:val="16"/>
        </w:rPr>
        <w:t>de</w:t>
      </w:r>
      <w:r>
        <w:rPr>
          <w:color w:val="231F20"/>
          <w:spacing w:val="-10"/>
          <w:sz w:val="16"/>
        </w:rPr>
        <w:t> </w:t>
      </w:r>
      <w:r>
        <w:rPr>
          <w:color w:val="231F20"/>
          <w:sz w:val="16"/>
        </w:rPr>
        <w:t>Baz</w:t>
      </w:r>
      <w:r>
        <w:rPr>
          <w:color w:val="231F20"/>
          <w:spacing w:val="-10"/>
          <w:sz w:val="16"/>
        </w:rPr>
        <w:t> </w:t>
      </w:r>
      <w:r>
        <w:rPr>
          <w:color w:val="231F20"/>
          <w:spacing w:val="-3"/>
          <w:sz w:val="16"/>
        </w:rPr>
        <w:t>(1988-1990);</w:t>
      </w:r>
      <w:r>
        <w:rPr>
          <w:color w:val="231F20"/>
          <w:spacing w:val="-10"/>
          <w:sz w:val="16"/>
        </w:rPr>
        <w:t> </w:t>
      </w:r>
      <w:r>
        <w:rPr>
          <w:color w:val="231F20"/>
          <w:sz w:val="16"/>
        </w:rPr>
        <w:t>Diputado</w:t>
      </w:r>
      <w:r>
        <w:rPr>
          <w:color w:val="231F20"/>
          <w:spacing w:val="-10"/>
          <w:sz w:val="16"/>
        </w:rPr>
        <w:t> </w:t>
      </w:r>
      <w:r>
        <w:rPr>
          <w:color w:val="231F20"/>
          <w:sz w:val="16"/>
        </w:rPr>
        <w:t>Federal</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LVII</w:t>
      </w:r>
      <w:r>
        <w:rPr>
          <w:color w:val="231F20"/>
          <w:spacing w:val="-10"/>
          <w:sz w:val="16"/>
        </w:rPr>
        <w:t> </w:t>
      </w:r>
      <w:r>
        <w:rPr>
          <w:color w:val="231F20"/>
          <w:sz w:val="16"/>
        </w:rPr>
        <w:t>Legislatura</w:t>
      </w:r>
      <w:r>
        <w:rPr>
          <w:color w:val="231F20"/>
          <w:spacing w:val="-10"/>
          <w:sz w:val="16"/>
        </w:rPr>
        <w:t> </w:t>
      </w:r>
      <w:r>
        <w:rPr>
          <w:color w:val="231F20"/>
          <w:spacing w:val="-4"/>
          <w:sz w:val="16"/>
        </w:rPr>
        <w:t>(1997-2000);</w:t>
      </w:r>
      <w:r>
        <w:rPr>
          <w:color w:val="231F20"/>
          <w:spacing w:val="-10"/>
          <w:sz w:val="16"/>
        </w:rPr>
        <w:t> </w:t>
      </w:r>
      <w:r>
        <w:rPr>
          <w:color w:val="231F20"/>
          <w:sz w:val="16"/>
        </w:rPr>
        <w:t>Presidente</w:t>
      </w:r>
      <w:r>
        <w:rPr>
          <w:color w:val="231F20"/>
          <w:spacing w:val="-10"/>
          <w:sz w:val="16"/>
        </w:rPr>
        <w:t> </w:t>
      </w:r>
      <w:r>
        <w:rPr>
          <w:color w:val="231F20"/>
          <w:sz w:val="16"/>
        </w:rPr>
        <w:t>Municipal Constitucional</w:t>
      </w:r>
      <w:r>
        <w:rPr>
          <w:color w:val="231F20"/>
          <w:spacing w:val="-15"/>
          <w:sz w:val="16"/>
        </w:rPr>
        <w:t> </w:t>
      </w:r>
      <w:r>
        <w:rPr>
          <w:color w:val="231F20"/>
          <w:sz w:val="16"/>
        </w:rPr>
        <w:t>de</w:t>
      </w:r>
      <w:r>
        <w:rPr>
          <w:color w:val="231F20"/>
          <w:spacing w:val="-15"/>
          <w:sz w:val="16"/>
        </w:rPr>
        <w:t> </w:t>
      </w:r>
      <w:r>
        <w:rPr>
          <w:color w:val="231F20"/>
          <w:sz w:val="16"/>
        </w:rPr>
        <w:t>Tlalnepantla</w:t>
      </w:r>
      <w:r>
        <w:rPr>
          <w:color w:val="231F20"/>
          <w:spacing w:val="-15"/>
          <w:sz w:val="16"/>
        </w:rPr>
        <w:t> </w:t>
      </w:r>
      <w:r>
        <w:rPr>
          <w:color w:val="231F20"/>
          <w:sz w:val="16"/>
        </w:rPr>
        <w:t>de</w:t>
      </w:r>
      <w:r>
        <w:rPr>
          <w:color w:val="231F20"/>
          <w:spacing w:val="-15"/>
          <w:sz w:val="16"/>
        </w:rPr>
        <w:t> </w:t>
      </w:r>
      <w:r>
        <w:rPr>
          <w:color w:val="231F20"/>
          <w:sz w:val="16"/>
        </w:rPr>
        <w:t>Baz</w:t>
      </w:r>
      <w:r>
        <w:rPr>
          <w:color w:val="231F20"/>
          <w:spacing w:val="-15"/>
          <w:sz w:val="16"/>
        </w:rPr>
        <w:t> </w:t>
      </w:r>
      <w:r>
        <w:rPr>
          <w:color w:val="231F20"/>
          <w:sz w:val="16"/>
        </w:rPr>
        <w:t>(2000-2003);</w:t>
      </w:r>
      <w:r>
        <w:rPr>
          <w:color w:val="231F20"/>
          <w:spacing w:val="-15"/>
          <w:sz w:val="16"/>
        </w:rPr>
        <w:t> </w:t>
      </w:r>
      <w:r>
        <w:rPr>
          <w:color w:val="231F20"/>
          <w:sz w:val="16"/>
        </w:rPr>
        <w:t>Presidente</w:t>
      </w:r>
      <w:r>
        <w:rPr>
          <w:color w:val="231F20"/>
          <w:spacing w:val="-15"/>
          <w:sz w:val="16"/>
        </w:rPr>
        <w:t> </w:t>
      </w:r>
      <w:r>
        <w:rPr>
          <w:color w:val="231F20"/>
          <w:sz w:val="16"/>
        </w:rPr>
        <w:t>del</w:t>
      </w:r>
      <w:r>
        <w:rPr>
          <w:color w:val="231F20"/>
          <w:spacing w:val="-15"/>
          <w:sz w:val="16"/>
        </w:rPr>
        <w:t> </w:t>
      </w:r>
      <w:r>
        <w:rPr>
          <w:color w:val="231F20"/>
          <w:sz w:val="16"/>
        </w:rPr>
        <w:t>Consejo</w:t>
      </w:r>
      <w:r>
        <w:rPr>
          <w:color w:val="231F20"/>
          <w:spacing w:val="-15"/>
          <w:sz w:val="16"/>
        </w:rPr>
        <w:t> </w:t>
      </w:r>
      <w:r>
        <w:rPr>
          <w:color w:val="231F20"/>
          <w:sz w:val="16"/>
        </w:rPr>
        <w:t>Cívico</w:t>
      </w:r>
      <w:r>
        <w:rPr>
          <w:color w:val="231F20"/>
          <w:spacing w:val="-15"/>
          <w:sz w:val="16"/>
        </w:rPr>
        <w:t> </w:t>
      </w:r>
      <w:r>
        <w:rPr>
          <w:color w:val="231F20"/>
          <w:sz w:val="16"/>
        </w:rPr>
        <w:t>de</w:t>
      </w:r>
      <w:r>
        <w:rPr>
          <w:color w:val="231F20"/>
          <w:spacing w:val="-15"/>
          <w:sz w:val="16"/>
        </w:rPr>
        <w:t> </w:t>
      </w:r>
      <w:r>
        <w:rPr>
          <w:color w:val="231F20"/>
          <w:sz w:val="16"/>
        </w:rPr>
        <w:t>Tlalnepantla</w:t>
      </w:r>
      <w:r>
        <w:rPr>
          <w:color w:val="231F20"/>
          <w:spacing w:val="-15"/>
          <w:sz w:val="16"/>
        </w:rPr>
        <w:t> </w:t>
      </w:r>
      <w:r>
        <w:rPr>
          <w:color w:val="231F20"/>
          <w:sz w:val="16"/>
        </w:rPr>
        <w:t>de</w:t>
      </w:r>
      <w:r>
        <w:rPr>
          <w:color w:val="231F20"/>
          <w:spacing w:val="-15"/>
          <w:sz w:val="16"/>
        </w:rPr>
        <w:t> </w:t>
      </w:r>
      <w:r>
        <w:rPr>
          <w:color w:val="231F20"/>
          <w:sz w:val="16"/>
        </w:rPr>
        <w:t>Baz</w:t>
      </w:r>
      <w:r>
        <w:rPr>
          <w:color w:val="231F20"/>
          <w:spacing w:val="-15"/>
          <w:sz w:val="16"/>
        </w:rPr>
        <w:t> </w:t>
      </w:r>
      <w:r>
        <w:rPr>
          <w:color w:val="231F20"/>
          <w:spacing w:val="-4"/>
          <w:sz w:val="16"/>
        </w:rPr>
        <w:t>(1995-1997).</w:t>
      </w:r>
    </w:p>
    <w:p>
      <w:pPr>
        <w:pStyle w:val="ListParagraph"/>
        <w:numPr>
          <w:ilvl w:val="0"/>
          <w:numId w:val="15"/>
        </w:numPr>
        <w:tabs>
          <w:tab w:pos="273" w:val="left" w:leader="none"/>
        </w:tabs>
        <w:spacing w:line="244" w:lineRule="auto" w:before="0" w:after="0"/>
        <w:ind w:left="110" w:right="107" w:firstLine="0"/>
        <w:jc w:val="both"/>
        <w:rPr>
          <w:sz w:val="16"/>
        </w:rPr>
      </w:pPr>
      <w:r>
        <w:rPr>
          <w:color w:val="231F20"/>
          <w:sz w:val="16"/>
        </w:rPr>
        <w:t>Es Senador por el Estado de México para el periodo, 2006 – </w:t>
      </w:r>
      <w:r>
        <w:rPr>
          <w:color w:val="231F20"/>
          <w:spacing w:val="-5"/>
          <w:sz w:val="16"/>
        </w:rPr>
        <w:t>2012 </w:t>
      </w:r>
      <w:r>
        <w:rPr>
          <w:color w:val="231F20"/>
          <w:sz w:val="16"/>
        </w:rPr>
        <w:t>(Presidente de la Comisión de Seguridad Pública, Inte- grante</w:t>
      </w:r>
      <w:r>
        <w:rPr>
          <w:color w:val="231F20"/>
          <w:spacing w:val="-18"/>
          <w:sz w:val="16"/>
        </w:rPr>
        <w:t> </w:t>
      </w:r>
      <w:r>
        <w:rPr>
          <w:color w:val="231F20"/>
          <w:sz w:val="16"/>
        </w:rPr>
        <w:t>de</w:t>
      </w:r>
      <w:r>
        <w:rPr>
          <w:color w:val="231F20"/>
          <w:spacing w:val="-18"/>
          <w:sz w:val="16"/>
        </w:rPr>
        <w:t> </w:t>
      </w:r>
      <w:r>
        <w:rPr>
          <w:color w:val="231F20"/>
          <w:sz w:val="16"/>
        </w:rPr>
        <w:t>las</w:t>
      </w:r>
      <w:r>
        <w:rPr>
          <w:color w:val="231F20"/>
          <w:spacing w:val="-18"/>
          <w:sz w:val="16"/>
        </w:rPr>
        <w:t> </w:t>
      </w:r>
      <w:r>
        <w:rPr>
          <w:color w:val="231F20"/>
          <w:sz w:val="16"/>
        </w:rPr>
        <w:t>comisiones</w:t>
      </w:r>
      <w:r>
        <w:rPr>
          <w:color w:val="231F20"/>
          <w:spacing w:val="-18"/>
          <w:sz w:val="16"/>
        </w:rPr>
        <w:t> </w:t>
      </w:r>
      <w:r>
        <w:rPr>
          <w:color w:val="231F20"/>
          <w:sz w:val="16"/>
        </w:rPr>
        <w:t>de</w:t>
      </w:r>
      <w:r>
        <w:rPr>
          <w:color w:val="231F20"/>
          <w:spacing w:val="-18"/>
          <w:sz w:val="16"/>
        </w:rPr>
        <w:t> </w:t>
      </w:r>
      <w:r>
        <w:rPr>
          <w:color w:val="231F20"/>
          <w:sz w:val="16"/>
        </w:rPr>
        <w:t>Puntos</w:t>
      </w:r>
      <w:r>
        <w:rPr>
          <w:color w:val="231F20"/>
          <w:spacing w:val="-18"/>
          <w:sz w:val="16"/>
        </w:rPr>
        <w:t> </w:t>
      </w:r>
      <w:r>
        <w:rPr>
          <w:color w:val="231F20"/>
          <w:sz w:val="16"/>
        </w:rPr>
        <w:t>Constitucionales,</w:t>
      </w:r>
      <w:r>
        <w:rPr>
          <w:color w:val="231F20"/>
          <w:spacing w:val="-18"/>
          <w:sz w:val="16"/>
        </w:rPr>
        <w:t> </w:t>
      </w:r>
      <w:r>
        <w:rPr>
          <w:color w:val="231F20"/>
          <w:sz w:val="16"/>
        </w:rPr>
        <w:t>Distrito</w:t>
      </w:r>
      <w:r>
        <w:rPr>
          <w:color w:val="231F20"/>
          <w:spacing w:val="-18"/>
          <w:sz w:val="16"/>
        </w:rPr>
        <w:t> </w:t>
      </w:r>
      <w:r>
        <w:rPr>
          <w:color w:val="231F20"/>
          <w:sz w:val="16"/>
        </w:rPr>
        <w:t>Federal</w:t>
      </w:r>
      <w:r>
        <w:rPr>
          <w:color w:val="231F20"/>
          <w:spacing w:val="-18"/>
          <w:sz w:val="16"/>
        </w:rPr>
        <w:t> </w:t>
      </w:r>
      <w:r>
        <w:rPr>
          <w:color w:val="231F20"/>
          <w:sz w:val="16"/>
        </w:rPr>
        <w:t>y</w:t>
      </w:r>
      <w:r>
        <w:rPr>
          <w:color w:val="231F20"/>
          <w:spacing w:val="-18"/>
          <w:sz w:val="16"/>
        </w:rPr>
        <w:t> </w:t>
      </w:r>
      <w:r>
        <w:rPr>
          <w:color w:val="231F20"/>
          <w:sz w:val="16"/>
        </w:rPr>
        <w:t>Jurisdiccional);</w:t>
      </w:r>
      <w:r>
        <w:rPr>
          <w:color w:val="231F20"/>
          <w:spacing w:val="-18"/>
          <w:sz w:val="16"/>
        </w:rPr>
        <w:t> </w:t>
      </w:r>
      <w:r>
        <w:rPr>
          <w:color w:val="231F20"/>
          <w:sz w:val="16"/>
        </w:rPr>
        <w:t>Presidente</w:t>
      </w:r>
      <w:r>
        <w:rPr>
          <w:color w:val="231F20"/>
          <w:spacing w:val="-18"/>
          <w:sz w:val="16"/>
        </w:rPr>
        <w:t> </w:t>
      </w:r>
      <w:r>
        <w:rPr>
          <w:color w:val="231F20"/>
          <w:sz w:val="16"/>
        </w:rPr>
        <w:t>Municipal</w:t>
      </w:r>
      <w:r>
        <w:rPr>
          <w:color w:val="231F20"/>
          <w:spacing w:val="-18"/>
          <w:sz w:val="16"/>
        </w:rPr>
        <w:t> </w:t>
      </w:r>
      <w:r>
        <w:rPr>
          <w:color w:val="231F20"/>
          <w:sz w:val="16"/>
        </w:rPr>
        <w:t>Constitucional</w:t>
      </w:r>
      <w:r>
        <w:rPr>
          <w:color w:val="231F20"/>
          <w:spacing w:val="-18"/>
          <w:sz w:val="16"/>
        </w:rPr>
        <w:t> </w:t>
      </w:r>
      <w:r>
        <w:rPr>
          <w:color w:val="231F20"/>
          <w:sz w:val="16"/>
        </w:rPr>
        <w:t>de Tlalnepantla</w:t>
      </w:r>
      <w:r>
        <w:rPr>
          <w:color w:val="231F20"/>
          <w:spacing w:val="-12"/>
          <w:sz w:val="16"/>
        </w:rPr>
        <w:t> </w:t>
      </w:r>
      <w:r>
        <w:rPr>
          <w:color w:val="231F20"/>
          <w:sz w:val="16"/>
        </w:rPr>
        <w:t>de</w:t>
      </w:r>
      <w:r>
        <w:rPr>
          <w:color w:val="231F20"/>
          <w:spacing w:val="-12"/>
          <w:sz w:val="16"/>
        </w:rPr>
        <w:t> </w:t>
      </w:r>
      <w:r>
        <w:rPr>
          <w:color w:val="231F20"/>
          <w:sz w:val="16"/>
        </w:rPr>
        <w:t>Baz,</w:t>
      </w:r>
      <w:r>
        <w:rPr>
          <w:color w:val="231F20"/>
          <w:spacing w:val="-12"/>
          <w:sz w:val="16"/>
        </w:rPr>
        <w:t> </w:t>
      </w:r>
      <w:r>
        <w:rPr>
          <w:color w:val="231F20"/>
          <w:sz w:val="16"/>
        </w:rPr>
        <w:t>H.</w:t>
      </w:r>
      <w:r>
        <w:rPr>
          <w:color w:val="231F20"/>
          <w:spacing w:val="-12"/>
          <w:sz w:val="16"/>
        </w:rPr>
        <w:t> </w:t>
      </w:r>
      <w:r>
        <w:rPr>
          <w:color w:val="231F20"/>
          <w:sz w:val="16"/>
        </w:rPr>
        <w:t>Ayuntamiento</w:t>
      </w:r>
      <w:r>
        <w:rPr>
          <w:color w:val="231F20"/>
          <w:spacing w:val="-12"/>
          <w:sz w:val="16"/>
        </w:rPr>
        <w:t> </w:t>
      </w:r>
      <w:r>
        <w:rPr>
          <w:color w:val="231F20"/>
          <w:sz w:val="16"/>
        </w:rPr>
        <w:t>de</w:t>
      </w:r>
      <w:r>
        <w:rPr>
          <w:color w:val="231F20"/>
          <w:spacing w:val="-12"/>
          <w:sz w:val="16"/>
        </w:rPr>
        <w:t> </w:t>
      </w:r>
      <w:r>
        <w:rPr>
          <w:color w:val="231F20"/>
          <w:sz w:val="16"/>
        </w:rPr>
        <w:t>Tlalnepantla</w:t>
      </w:r>
      <w:r>
        <w:rPr>
          <w:color w:val="231F20"/>
          <w:spacing w:val="-12"/>
          <w:sz w:val="16"/>
        </w:rPr>
        <w:t> </w:t>
      </w:r>
      <w:r>
        <w:rPr>
          <w:color w:val="231F20"/>
          <w:sz w:val="16"/>
        </w:rPr>
        <w:t>de</w:t>
      </w:r>
      <w:r>
        <w:rPr>
          <w:color w:val="231F20"/>
          <w:spacing w:val="-12"/>
          <w:sz w:val="16"/>
        </w:rPr>
        <w:t> </w:t>
      </w:r>
      <w:r>
        <w:rPr>
          <w:color w:val="231F20"/>
          <w:sz w:val="16"/>
        </w:rPr>
        <w:t>Baz</w:t>
      </w:r>
      <w:r>
        <w:rPr>
          <w:color w:val="231F20"/>
          <w:spacing w:val="-12"/>
          <w:sz w:val="16"/>
        </w:rPr>
        <w:t> </w:t>
      </w:r>
      <w:r>
        <w:rPr>
          <w:color w:val="231F20"/>
          <w:sz w:val="16"/>
        </w:rPr>
        <w:t>2003-2006;</w:t>
      </w:r>
      <w:r>
        <w:rPr>
          <w:color w:val="231F20"/>
          <w:spacing w:val="-12"/>
          <w:sz w:val="16"/>
        </w:rPr>
        <w:t> </w:t>
      </w:r>
      <w:r>
        <w:rPr>
          <w:color w:val="231F20"/>
          <w:sz w:val="16"/>
        </w:rPr>
        <w:t>Coordinador</w:t>
      </w:r>
      <w:r>
        <w:rPr>
          <w:color w:val="231F20"/>
          <w:spacing w:val="-12"/>
          <w:sz w:val="16"/>
        </w:rPr>
        <w:t> </w:t>
      </w:r>
      <w:r>
        <w:rPr>
          <w:color w:val="231F20"/>
          <w:sz w:val="16"/>
        </w:rPr>
        <w:t>en</w:t>
      </w:r>
      <w:r>
        <w:rPr>
          <w:color w:val="231F20"/>
          <w:spacing w:val="-12"/>
          <w:sz w:val="16"/>
        </w:rPr>
        <w:t> </w:t>
      </w:r>
      <w:r>
        <w:rPr>
          <w:color w:val="231F20"/>
          <w:sz w:val="16"/>
        </w:rPr>
        <w:t>el</w:t>
      </w:r>
      <w:r>
        <w:rPr>
          <w:color w:val="231F20"/>
          <w:spacing w:val="-12"/>
          <w:sz w:val="16"/>
        </w:rPr>
        <w:t> </w:t>
      </w:r>
      <w:r>
        <w:rPr>
          <w:color w:val="231F20"/>
          <w:sz w:val="16"/>
        </w:rPr>
        <w:t>Estado</w:t>
      </w:r>
      <w:r>
        <w:rPr>
          <w:color w:val="231F20"/>
          <w:spacing w:val="-12"/>
          <w:sz w:val="16"/>
        </w:rPr>
        <w:t> </w:t>
      </w:r>
      <w:r>
        <w:rPr>
          <w:color w:val="231F20"/>
          <w:sz w:val="16"/>
        </w:rPr>
        <w:t>de</w:t>
      </w:r>
      <w:r>
        <w:rPr>
          <w:color w:val="231F20"/>
          <w:spacing w:val="-12"/>
          <w:sz w:val="16"/>
        </w:rPr>
        <w:t> </w:t>
      </w:r>
      <w:r>
        <w:rPr>
          <w:color w:val="231F20"/>
          <w:sz w:val="16"/>
        </w:rPr>
        <w:t>México</w:t>
      </w:r>
      <w:r>
        <w:rPr>
          <w:color w:val="231F20"/>
          <w:spacing w:val="-12"/>
          <w:sz w:val="16"/>
        </w:rPr>
        <w:t> </w:t>
      </w:r>
      <w:r>
        <w:rPr>
          <w:color w:val="231F20"/>
          <w:sz w:val="16"/>
        </w:rPr>
        <w:t>de</w:t>
      </w:r>
      <w:r>
        <w:rPr>
          <w:color w:val="231F20"/>
          <w:spacing w:val="-12"/>
          <w:sz w:val="16"/>
        </w:rPr>
        <w:t> </w:t>
      </w:r>
      <w:r>
        <w:rPr>
          <w:color w:val="231F20"/>
          <w:sz w:val="16"/>
        </w:rPr>
        <w:t>la</w:t>
      </w:r>
      <w:r>
        <w:rPr>
          <w:color w:val="231F20"/>
          <w:spacing w:val="-12"/>
          <w:sz w:val="16"/>
        </w:rPr>
        <w:t> </w:t>
      </w:r>
      <w:r>
        <w:rPr>
          <w:color w:val="231F20"/>
          <w:sz w:val="16"/>
        </w:rPr>
        <w:t>Campaña de Felipe Calderón Hinojosa en el Proceso Interno para la elección de candidato del </w:t>
      </w:r>
      <w:r>
        <w:rPr>
          <w:color w:val="231F20"/>
          <w:spacing w:val="-4"/>
          <w:sz w:val="16"/>
        </w:rPr>
        <w:t>PAN </w:t>
      </w:r>
      <w:r>
        <w:rPr>
          <w:color w:val="231F20"/>
          <w:sz w:val="16"/>
        </w:rPr>
        <w:t>a la Presidencia de la República; Coordinador</w:t>
      </w:r>
      <w:r>
        <w:rPr>
          <w:color w:val="231F20"/>
          <w:spacing w:val="-13"/>
          <w:sz w:val="16"/>
        </w:rPr>
        <w:t> </w:t>
      </w:r>
      <w:r>
        <w:rPr>
          <w:color w:val="231F20"/>
          <w:sz w:val="16"/>
        </w:rPr>
        <w:t>en</w:t>
      </w:r>
      <w:r>
        <w:rPr>
          <w:color w:val="231F20"/>
          <w:spacing w:val="-13"/>
          <w:sz w:val="16"/>
        </w:rPr>
        <w:t> </w:t>
      </w:r>
      <w:r>
        <w:rPr>
          <w:color w:val="231F20"/>
          <w:sz w:val="16"/>
        </w:rPr>
        <w:t>el</w:t>
      </w:r>
      <w:r>
        <w:rPr>
          <w:color w:val="231F20"/>
          <w:spacing w:val="-13"/>
          <w:sz w:val="16"/>
        </w:rPr>
        <w:t> </w:t>
      </w:r>
      <w:r>
        <w:rPr>
          <w:color w:val="231F20"/>
          <w:sz w:val="16"/>
        </w:rPr>
        <w:t>Estado</w:t>
      </w:r>
      <w:r>
        <w:rPr>
          <w:color w:val="231F20"/>
          <w:spacing w:val="-13"/>
          <w:sz w:val="16"/>
        </w:rPr>
        <w:t> </w:t>
      </w:r>
      <w:r>
        <w:rPr>
          <w:color w:val="231F20"/>
          <w:sz w:val="16"/>
        </w:rPr>
        <w:t>de</w:t>
      </w:r>
      <w:r>
        <w:rPr>
          <w:color w:val="231F20"/>
          <w:spacing w:val="-13"/>
          <w:sz w:val="16"/>
        </w:rPr>
        <w:t> </w:t>
      </w:r>
      <w:r>
        <w:rPr>
          <w:color w:val="231F20"/>
          <w:sz w:val="16"/>
        </w:rPr>
        <w:t>México</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Campaña</w:t>
      </w:r>
      <w:r>
        <w:rPr>
          <w:color w:val="231F20"/>
          <w:spacing w:val="-13"/>
          <w:sz w:val="16"/>
        </w:rPr>
        <w:t> </w:t>
      </w:r>
      <w:r>
        <w:rPr>
          <w:color w:val="231F20"/>
          <w:sz w:val="16"/>
        </w:rPr>
        <w:t>de</w:t>
      </w:r>
      <w:r>
        <w:rPr>
          <w:color w:val="231F20"/>
          <w:spacing w:val="-13"/>
          <w:sz w:val="16"/>
        </w:rPr>
        <w:t> </w:t>
      </w:r>
      <w:r>
        <w:rPr>
          <w:color w:val="231F20"/>
          <w:sz w:val="16"/>
        </w:rPr>
        <w:t>Felipe</w:t>
      </w:r>
      <w:r>
        <w:rPr>
          <w:color w:val="231F20"/>
          <w:spacing w:val="-13"/>
          <w:sz w:val="16"/>
        </w:rPr>
        <w:t> </w:t>
      </w:r>
      <w:r>
        <w:rPr>
          <w:color w:val="231F20"/>
          <w:sz w:val="16"/>
        </w:rPr>
        <w:t>Calderón</w:t>
      </w:r>
      <w:r>
        <w:rPr>
          <w:color w:val="231F20"/>
          <w:spacing w:val="-13"/>
          <w:sz w:val="16"/>
        </w:rPr>
        <w:t> </w:t>
      </w:r>
      <w:r>
        <w:rPr>
          <w:color w:val="231F20"/>
          <w:sz w:val="16"/>
        </w:rPr>
        <w:t>a</w:t>
      </w:r>
      <w:r>
        <w:rPr>
          <w:color w:val="231F20"/>
          <w:spacing w:val="-13"/>
          <w:sz w:val="16"/>
        </w:rPr>
        <w:t> </w:t>
      </w:r>
      <w:r>
        <w:rPr>
          <w:color w:val="231F20"/>
          <w:sz w:val="16"/>
        </w:rPr>
        <w:t>la</w:t>
      </w:r>
      <w:r>
        <w:rPr>
          <w:color w:val="231F20"/>
          <w:spacing w:val="-13"/>
          <w:sz w:val="16"/>
        </w:rPr>
        <w:t> </w:t>
      </w:r>
      <w:r>
        <w:rPr>
          <w:color w:val="231F20"/>
          <w:sz w:val="16"/>
        </w:rPr>
        <w:t>Presidencia</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República;</w:t>
      </w:r>
      <w:r>
        <w:rPr>
          <w:color w:val="231F20"/>
          <w:spacing w:val="-13"/>
          <w:sz w:val="16"/>
        </w:rPr>
        <w:t> </w:t>
      </w:r>
      <w:r>
        <w:rPr>
          <w:color w:val="231F20"/>
          <w:sz w:val="16"/>
        </w:rPr>
        <w:t>Diputado</w:t>
      </w:r>
      <w:r>
        <w:rPr>
          <w:color w:val="231F20"/>
          <w:spacing w:val="-13"/>
          <w:sz w:val="16"/>
        </w:rPr>
        <w:t> </w:t>
      </w:r>
      <w:r>
        <w:rPr>
          <w:color w:val="231F20"/>
          <w:sz w:val="16"/>
        </w:rPr>
        <w:t>Federal</w:t>
      </w:r>
      <w:r>
        <w:rPr>
          <w:color w:val="231F20"/>
          <w:spacing w:val="-13"/>
          <w:sz w:val="16"/>
        </w:rPr>
        <w:t> </w:t>
      </w:r>
      <w:r>
        <w:rPr>
          <w:color w:val="231F20"/>
          <w:sz w:val="16"/>
        </w:rPr>
        <w:t>por</w:t>
      </w:r>
    </w:p>
    <w:p>
      <w:pPr>
        <w:spacing w:after="0" w:line="244" w:lineRule="auto"/>
        <w:jc w:val="both"/>
        <w:rPr>
          <w:sz w:val="16"/>
        </w:rPr>
        <w:sectPr>
          <w:pgSz w:w="9640" w:h="12190"/>
          <w:pgMar w:header="0" w:footer="743" w:top="1120" w:bottom="940" w:left="740" w:right="740"/>
        </w:sectPr>
      </w:pPr>
    </w:p>
    <w:p>
      <w:pPr>
        <w:pStyle w:val="BodyText"/>
        <w:spacing w:before="5"/>
        <w:rPr>
          <w:rFonts w:ascii="Calibri"/>
          <w:sz w:val="9"/>
        </w:rPr>
      </w:pPr>
    </w:p>
    <w:p>
      <w:pPr>
        <w:pStyle w:val="BodyText"/>
        <w:spacing w:line="285" w:lineRule="auto" w:before="50"/>
        <w:ind w:left="110" w:right="108" w:hanging="1"/>
        <w:jc w:val="both"/>
      </w:pPr>
      <w:r>
        <w:rPr>
          <w:color w:val="231F20"/>
          <w:w w:val="105"/>
        </w:rPr>
        <w:t>mente, el actual Presidente Municipal Marco Antonio Rodríguez Hurtado</w:t>
      </w:r>
      <w:r>
        <w:rPr>
          <w:color w:val="231F20"/>
          <w:w w:val="105"/>
          <w:position w:val="7"/>
          <w:sz w:val="13"/>
        </w:rPr>
        <w:t>5 </w:t>
      </w:r>
      <w:r>
        <w:rPr>
          <w:color w:val="231F20"/>
          <w:w w:val="105"/>
        </w:rPr>
        <w:t>para el periodo 2006 – 2009</w:t>
      </w:r>
      <w:r>
        <w:rPr>
          <w:color w:val="231F20"/>
          <w:w w:val="105"/>
          <w:position w:val="7"/>
          <w:sz w:val="13"/>
        </w:rPr>
        <w:t>6</w:t>
      </w:r>
      <w:r>
        <w:rPr>
          <w:color w:val="231F20"/>
          <w:w w:val="105"/>
        </w:rPr>
        <w:t>.</w:t>
      </w:r>
    </w:p>
    <w:p>
      <w:pPr>
        <w:pStyle w:val="BodyText"/>
        <w:spacing w:before="1"/>
        <w:rPr>
          <w:sz w:val="26"/>
        </w:rPr>
      </w:pPr>
    </w:p>
    <w:p>
      <w:pPr>
        <w:pStyle w:val="BodyText"/>
        <w:spacing w:line="285" w:lineRule="auto"/>
        <w:ind w:left="110" w:right="108"/>
        <w:jc w:val="both"/>
      </w:pPr>
      <w:r>
        <w:rPr>
          <w:color w:val="231F20"/>
          <w:w w:val="105"/>
        </w:rPr>
        <w:t>Electoralmente hablando, en el municipio de Tlalnepantla, el PAN tiene su bastión principal en los fraccionamientos residenciales del municipio, por su parte, el PRI, en las colonias populares de la localidad, entre ellas las de la zona oriente del muni- cipio, caracterizadas por sus rezagos sociales y en servicios públicos, mientras que el PRD tiene presencia muy escasa y solamente disputa algunas colonias populares al revolucionario institucional.</w:t>
      </w:r>
    </w:p>
    <w:p>
      <w:pPr>
        <w:pStyle w:val="BodyText"/>
        <w:spacing w:before="1"/>
        <w:rPr>
          <w:sz w:val="26"/>
        </w:rPr>
      </w:pPr>
    </w:p>
    <w:p>
      <w:pPr>
        <w:pStyle w:val="BodyText"/>
        <w:spacing w:line="285" w:lineRule="auto"/>
        <w:ind w:left="110" w:right="108"/>
        <w:jc w:val="both"/>
      </w:pPr>
      <w:r>
        <w:rPr>
          <w:color w:val="231F20"/>
          <w:w w:val="105"/>
        </w:rPr>
        <w:t>Ahora veamos cómo se dio la alternancia en Tlalnepantla. En buena medida tiene que ver</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desprendimiento</w:t>
      </w:r>
      <w:r>
        <w:rPr>
          <w:color w:val="231F20"/>
          <w:spacing w:val="-16"/>
          <w:w w:val="105"/>
        </w:rPr>
        <w:t> </w:t>
      </w:r>
      <w:r>
        <w:rPr>
          <w:color w:val="231F20"/>
          <w:w w:val="105"/>
        </w:rPr>
        <w:t>de</w:t>
      </w:r>
      <w:r>
        <w:rPr>
          <w:color w:val="231F20"/>
          <w:spacing w:val="-16"/>
          <w:w w:val="105"/>
        </w:rPr>
        <w:t> </w:t>
      </w:r>
      <w:r>
        <w:rPr>
          <w:color w:val="231F20"/>
          <w:w w:val="105"/>
        </w:rPr>
        <w:t>Mendoza</w:t>
      </w:r>
      <w:r>
        <w:rPr>
          <w:color w:val="231F20"/>
          <w:spacing w:val="-16"/>
          <w:w w:val="105"/>
        </w:rPr>
        <w:t> </w:t>
      </w:r>
      <w:r>
        <w:rPr>
          <w:color w:val="231F20"/>
          <w:w w:val="105"/>
        </w:rPr>
        <w:t>Ayala</w:t>
      </w:r>
      <w:r>
        <w:rPr>
          <w:color w:val="231F20"/>
          <w:spacing w:val="-16"/>
          <w:w w:val="105"/>
        </w:rPr>
        <w:t> </w:t>
      </w:r>
      <w:r>
        <w:rPr>
          <w:color w:val="231F20"/>
          <w:w w:val="105"/>
        </w:rPr>
        <w:t>del</w:t>
      </w:r>
      <w:r>
        <w:rPr>
          <w:color w:val="231F20"/>
          <w:spacing w:val="-16"/>
          <w:w w:val="105"/>
        </w:rPr>
        <w:t> </w:t>
      </w:r>
      <w:r>
        <w:rPr>
          <w:color w:val="231F20"/>
          <w:w w:val="105"/>
        </w:rPr>
        <w:t>PRI</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creación</w:t>
      </w:r>
      <w:r>
        <w:rPr>
          <w:color w:val="231F20"/>
          <w:spacing w:val="-16"/>
          <w:w w:val="105"/>
        </w:rPr>
        <w:t> </w:t>
      </w:r>
      <w:r>
        <w:rPr>
          <w:color w:val="231F20"/>
          <w:w w:val="105"/>
        </w:rPr>
        <w:t>del</w:t>
      </w:r>
      <w:r>
        <w:rPr>
          <w:color w:val="231F20"/>
          <w:spacing w:val="-16"/>
          <w:w w:val="105"/>
        </w:rPr>
        <w:t> </w:t>
      </w:r>
      <w:r>
        <w:rPr>
          <w:color w:val="231F20"/>
          <w:w w:val="105"/>
        </w:rPr>
        <w:t>Consejo</w:t>
      </w:r>
      <w:r>
        <w:rPr>
          <w:color w:val="231F20"/>
          <w:spacing w:val="-16"/>
          <w:w w:val="105"/>
        </w:rPr>
        <w:t> </w:t>
      </w:r>
      <w:r>
        <w:rPr>
          <w:color w:val="231F20"/>
          <w:w w:val="105"/>
        </w:rPr>
        <w:t>Cívico de Tlalnepantla, que sería una estructura político-electoral capaz de </w:t>
      </w:r>
      <w:r>
        <w:rPr>
          <w:color w:val="231F20"/>
          <w:spacing w:val="-3"/>
          <w:w w:val="105"/>
        </w:rPr>
        <w:t>defender </w:t>
      </w:r>
      <w:r>
        <w:rPr>
          <w:color w:val="231F20"/>
          <w:w w:val="105"/>
        </w:rPr>
        <w:t>el voto e integrar</w:t>
      </w:r>
      <w:r>
        <w:rPr>
          <w:color w:val="231F20"/>
          <w:spacing w:val="-22"/>
          <w:w w:val="105"/>
        </w:rPr>
        <w:t> </w:t>
      </w:r>
      <w:r>
        <w:rPr>
          <w:color w:val="231F20"/>
          <w:w w:val="105"/>
        </w:rPr>
        <w:t>la</w:t>
      </w:r>
      <w:r>
        <w:rPr>
          <w:color w:val="231F20"/>
          <w:spacing w:val="-22"/>
          <w:w w:val="105"/>
        </w:rPr>
        <w:t> </w:t>
      </w:r>
      <w:r>
        <w:rPr>
          <w:color w:val="231F20"/>
          <w:w w:val="105"/>
        </w:rPr>
        <w:t>oposición</w:t>
      </w:r>
      <w:r>
        <w:rPr>
          <w:color w:val="231F20"/>
          <w:spacing w:val="-22"/>
          <w:w w:val="105"/>
        </w:rPr>
        <w:t> </w:t>
      </w:r>
      <w:r>
        <w:rPr>
          <w:color w:val="231F20"/>
          <w:spacing w:val="2"/>
          <w:w w:val="105"/>
        </w:rPr>
        <w:t>al</w:t>
      </w:r>
      <w:r>
        <w:rPr>
          <w:color w:val="231F20"/>
          <w:spacing w:val="-22"/>
          <w:w w:val="105"/>
        </w:rPr>
        <w:t> </w:t>
      </w:r>
      <w:r>
        <w:rPr>
          <w:color w:val="231F20"/>
          <w:w w:val="105"/>
        </w:rPr>
        <w:t>PRI</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gobierno</w:t>
      </w:r>
      <w:r>
        <w:rPr>
          <w:color w:val="231F20"/>
          <w:spacing w:val="-22"/>
          <w:w w:val="105"/>
        </w:rPr>
        <w:t> </w:t>
      </w:r>
      <w:r>
        <w:rPr>
          <w:color w:val="231F20"/>
          <w:w w:val="105"/>
        </w:rPr>
        <w:t>municipal.</w:t>
      </w:r>
      <w:r>
        <w:rPr>
          <w:color w:val="231F20"/>
          <w:spacing w:val="-22"/>
          <w:w w:val="105"/>
        </w:rPr>
        <w:t> </w:t>
      </w:r>
      <w:r>
        <w:rPr>
          <w:color w:val="231F20"/>
          <w:w w:val="105"/>
        </w:rPr>
        <w:t>Es</w:t>
      </w:r>
      <w:r>
        <w:rPr>
          <w:color w:val="231F20"/>
          <w:spacing w:val="-22"/>
          <w:w w:val="105"/>
        </w:rPr>
        <w:t> </w:t>
      </w:r>
      <w:r>
        <w:rPr>
          <w:color w:val="231F20"/>
          <w:w w:val="105"/>
        </w:rPr>
        <w:t>decir,</w:t>
      </w:r>
      <w:r>
        <w:rPr>
          <w:color w:val="231F20"/>
          <w:spacing w:val="-22"/>
          <w:w w:val="105"/>
        </w:rPr>
        <w:t> </w:t>
      </w:r>
      <w:r>
        <w:rPr>
          <w:color w:val="231F20"/>
          <w:w w:val="105"/>
        </w:rPr>
        <w:t>el</w:t>
      </w:r>
      <w:r>
        <w:rPr>
          <w:color w:val="231F20"/>
          <w:spacing w:val="-22"/>
          <w:w w:val="105"/>
        </w:rPr>
        <w:t> </w:t>
      </w:r>
      <w:r>
        <w:rPr>
          <w:color w:val="231F20"/>
          <w:w w:val="105"/>
        </w:rPr>
        <w:t>rompimiento</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clase política local y regional marco en buena medida la alternancia, algo </w:t>
      </w:r>
      <w:r>
        <w:rPr>
          <w:color w:val="231F20"/>
          <w:spacing w:val="-3"/>
          <w:w w:val="105"/>
        </w:rPr>
        <w:t>propio </w:t>
      </w:r>
      <w:r>
        <w:rPr>
          <w:color w:val="231F20"/>
          <w:w w:val="105"/>
        </w:rPr>
        <w:t>de nuestro sistema político. Esto, junto con otros factores, como el voto de castigo hacia el PRI, </w:t>
      </w:r>
      <w:r>
        <w:rPr>
          <w:color w:val="231F20"/>
          <w:spacing w:val="-3"/>
          <w:w w:val="105"/>
        </w:rPr>
        <w:t>generó</w:t>
      </w:r>
      <w:r>
        <w:rPr>
          <w:color w:val="231F20"/>
          <w:spacing w:val="-12"/>
          <w:w w:val="105"/>
        </w:rPr>
        <w:t> </w:t>
      </w:r>
      <w:r>
        <w:rPr>
          <w:color w:val="231F20"/>
          <w:w w:val="105"/>
        </w:rPr>
        <w:t>las</w:t>
      </w:r>
      <w:r>
        <w:rPr>
          <w:color w:val="231F20"/>
          <w:spacing w:val="-12"/>
          <w:w w:val="105"/>
        </w:rPr>
        <w:t> </w:t>
      </w:r>
      <w:r>
        <w:rPr>
          <w:color w:val="231F20"/>
          <w:w w:val="105"/>
        </w:rPr>
        <w:t>condiciones</w:t>
      </w:r>
      <w:r>
        <w:rPr>
          <w:color w:val="231F20"/>
          <w:spacing w:val="-12"/>
          <w:w w:val="105"/>
        </w:rPr>
        <w:t> </w:t>
      </w:r>
      <w:r>
        <w:rPr>
          <w:color w:val="231F20"/>
          <w:w w:val="105"/>
        </w:rPr>
        <w:t>políticas</w:t>
      </w:r>
      <w:r>
        <w:rPr>
          <w:color w:val="231F20"/>
          <w:spacing w:val="-12"/>
          <w:w w:val="105"/>
        </w:rPr>
        <w:t> </w:t>
      </w:r>
      <w:r>
        <w:rPr>
          <w:color w:val="231F20"/>
          <w:w w:val="105"/>
        </w:rPr>
        <w:t>para</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spacing w:val="-4"/>
          <w:w w:val="105"/>
        </w:rPr>
        <w:t>PAN</w:t>
      </w:r>
      <w:r>
        <w:rPr>
          <w:color w:val="231F20"/>
          <w:spacing w:val="-12"/>
          <w:w w:val="105"/>
        </w:rPr>
        <w:t> </w:t>
      </w:r>
      <w:r>
        <w:rPr>
          <w:color w:val="231F20"/>
          <w:w w:val="105"/>
        </w:rPr>
        <w:t>triunfara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5"/>
          <w:w w:val="105"/>
        </w:rPr>
        <w:t> </w:t>
      </w:r>
      <w:r>
        <w:rPr>
          <w:color w:val="231F20"/>
          <w:w w:val="105"/>
        </w:rPr>
        <w:t>quebrantamiento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comunicación</w:t>
      </w:r>
      <w:r>
        <w:rPr>
          <w:color w:val="231F20"/>
          <w:spacing w:val="-15"/>
          <w:w w:val="105"/>
        </w:rPr>
        <w:t> </w:t>
      </w:r>
      <w:r>
        <w:rPr>
          <w:color w:val="231F20"/>
          <w:w w:val="105"/>
        </w:rPr>
        <w:t>de</w:t>
      </w:r>
      <w:r>
        <w:rPr>
          <w:color w:val="231F20"/>
          <w:spacing w:val="-15"/>
          <w:w w:val="105"/>
        </w:rPr>
        <w:t> </w:t>
      </w:r>
      <w:r>
        <w:rPr>
          <w:color w:val="231F20"/>
          <w:w w:val="105"/>
        </w:rPr>
        <w:t>Mendoza</w:t>
      </w:r>
      <w:r>
        <w:rPr>
          <w:color w:val="231F20"/>
          <w:spacing w:val="-15"/>
          <w:w w:val="105"/>
        </w:rPr>
        <w:t> </w:t>
      </w:r>
      <w:r>
        <w:rPr>
          <w:color w:val="231F20"/>
          <w:w w:val="105"/>
        </w:rPr>
        <w:t>Ayala</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entonces</w:t>
      </w:r>
      <w:r>
        <w:rPr>
          <w:color w:val="231F20"/>
          <w:spacing w:val="-15"/>
          <w:w w:val="105"/>
        </w:rPr>
        <w:t> </w:t>
      </w:r>
      <w:r>
        <w:rPr>
          <w:color w:val="231F20"/>
          <w:w w:val="105"/>
        </w:rPr>
        <w:t>gobernador </w:t>
      </w:r>
      <w:r>
        <w:rPr>
          <w:color w:val="231F20"/>
          <w:w w:val="105"/>
          <w:u w:val="single" w:color="231F20"/>
        </w:rPr>
        <w:t>del</w:t>
      </w:r>
      <w:r>
        <w:rPr>
          <w:color w:val="231F20"/>
          <w:spacing w:val="-16"/>
          <w:w w:val="105"/>
          <w:u w:val="single" w:color="231F20"/>
        </w:rPr>
        <w:t> </w:t>
      </w:r>
      <w:r>
        <w:rPr>
          <w:color w:val="231F20"/>
          <w:w w:val="105"/>
          <w:u w:val="single" w:color="231F20"/>
        </w:rPr>
        <w:t>Estado</w:t>
      </w:r>
      <w:r>
        <w:rPr>
          <w:color w:val="231F20"/>
          <w:spacing w:val="-16"/>
          <w:w w:val="105"/>
          <w:u w:val="single" w:color="231F20"/>
        </w:rPr>
        <w:t> </w:t>
      </w:r>
      <w:r>
        <w:rPr>
          <w:color w:val="231F20"/>
          <w:w w:val="105"/>
          <w:u w:val="single" w:color="231F20"/>
        </w:rPr>
        <w:t>de</w:t>
      </w:r>
      <w:r>
        <w:rPr>
          <w:color w:val="231F20"/>
          <w:spacing w:val="-16"/>
          <w:w w:val="105"/>
          <w:u w:val="single" w:color="231F20"/>
        </w:rPr>
        <w:t> </w:t>
      </w:r>
      <w:r>
        <w:rPr>
          <w:color w:val="231F20"/>
          <w:w w:val="105"/>
          <w:u w:val="single" w:color="231F20"/>
        </w:rPr>
        <w:t>México,</w:t>
      </w:r>
      <w:r>
        <w:rPr>
          <w:color w:val="231F20"/>
          <w:spacing w:val="-16"/>
          <w:w w:val="105"/>
          <w:u w:val="single" w:color="231F20"/>
        </w:rPr>
        <w:t> </w:t>
      </w:r>
      <w:r>
        <w:rPr>
          <w:color w:val="231F20"/>
          <w:w w:val="105"/>
          <w:u w:val="single" w:color="231F20"/>
        </w:rPr>
        <w:t>Emilio</w:t>
      </w:r>
      <w:r>
        <w:rPr>
          <w:color w:val="231F20"/>
          <w:spacing w:val="-16"/>
          <w:w w:val="105"/>
          <w:u w:val="single" w:color="231F20"/>
        </w:rPr>
        <w:t> </w:t>
      </w:r>
      <w:r>
        <w:rPr>
          <w:color w:val="231F20"/>
          <w:w w:val="105"/>
          <w:u w:val="single" w:color="231F20"/>
        </w:rPr>
        <w:t>Chuayfett,</w:t>
      </w:r>
      <w:r>
        <w:rPr>
          <w:color w:val="231F20"/>
          <w:spacing w:val="-16"/>
          <w:w w:val="105"/>
          <w:u w:val="single" w:color="231F20"/>
        </w:rPr>
        <w:t> </w:t>
      </w:r>
      <w:r>
        <w:rPr>
          <w:color w:val="231F20"/>
          <w:w w:val="105"/>
          <w:u w:val="single" w:color="231F20"/>
        </w:rPr>
        <w:t>debido</w:t>
      </w:r>
      <w:r>
        <w:rPr>
          <w:color w:val="231F20"/>
          <w:spacing w:val="-16"/>
          <w:w w:val="105"/>
          <w:u w:val="single" w:color="231F20"/>
        </w:rPr>
        <w:t> </w:t>
      </w:r>
      <w:r>
        <w:rPr>
          <w:color w:val="231F20"/>
          <w:w w:val="105"/>
          <w:u w:val="single" w:color="231F20"/>
        </w:rPr>
        <w:t>a</w:t>
      </w:r>
      <w:r>
        <w:rPr>
          <w:color w:val="231F20"/>
          <w:spacing w:val="-16"/>
          <w:w w:val="105"/>
          <w:u w:val="single" w:color="231F20"/>
        </w:rPr>
        <w:t> </w:t>
      </w:r>
      <w:r>
        <w:rPr>
          <w:color w:val="231F20"/>
          <w:w w:val="105"/>
          <w:u w:val="single" w:color="231F20"/>
        </w:rPr>
        <w:t>la</w:t>
      </w:r>
      <w:r>
        <w:rPr>
          <w:color w:val="231F20"/>
          <w:spacing w:val="-16"/>
          <w:w w:val="105"/>
          <w:u w:val="single" w:color="231F20"/>
        </w:rPr>
        <w:t> </w:t>
      </w:r>
      <w:r>
        <w:rPr>
          <w:color w:val="231F20"/>
          <w:w w:val="105"/>
          <w:u w:val="single" w:color="231F20"/>
        </w:rPr>
        <w:t>negación</w:t>
      </w:r>
      <w:r>
        <w:rPr>
          <w:color w:val="231F20"/>
          <w:spacing w:val="-16"/>
          <w:w w:val="105"/>
          <w:u w:val="single" w:color="231F20"/>
        </w:rPr>
        <w:t> </w:t>
      </w:r>
      <w:r>
        <w:rPr>
          <w:color w:val="231F20"/>
          <w:w w:val="105"/>
          <w:u w:val="single" w:color="231F20"/>
        </w:rPr>
        <w:t>d</w:t>
      </w:r>
      <w:r>
        <w:rPr>
          <w:color w:val="231F20"/>
          <w:w w:val="105"/>
        </w:rPr>
        <w:t>e</w:t>
      </w:r>
      <w:r>
        <w:rPr>
          <w:color w:val="231F20"/>
          <w:spacing w:val="-16"/>
          <w:w w:val="105"/>
        </w:rPr>
        <w:t> </w:t>
      </w:r>
      <w:r>
        <w:rPr>
          <w:color w:val="231F20"/>
          <w:w w:val="105"/>
        </w:rPr>
        <w:t>apoyar</w:t>
      </w:r>
      <w:r>
        <w:rPr>
          <w:color w:val="231F20"/>
          <w:spacing w:val="-16"/>
          <w:w w:val="105"/>
        </w:rPr>
        <w:t> </w:t>
      </w:r>
      <w:r>
        <w:rPr>
          <w:color w:val="231F20"/>
          <w:w w:val="105"/>
        </w:rPr>
        <w:t>su</w:t>
      </w:r>
      <w:r>
        <w:rPr>
          <w:color w:val="231F20"/>
          <w:spacing w:val="-16"/>
          <w:w w:val="105"/>
        </w:rPr>
        <w:t> </w:t>
      </w:r>
      <w:r>
        <w:rPr>
          <w:color w:val="231F20"/>
          <w:w w:val="105"/>
        </w:rPr>
        <w:t>candidatura</w:t>
      </w:r>
    </w:p>
    <w:p>
      <w:pPr>
        <w:spacing w:line="244" w:lineRule="auto" w:before="53"/>
        <w:ind w:left="110" w:right="108" w:firstLine="0"/>
        <w:jc w:val="both"/>
        <w:rPr>
          <w:rFonts w:ascii="Calibri" w:hAnsi="Calibri"/>
          <w:sz w:val="16"/>
        </w:rPr>
      </w:pPr>
      <w:r>
        <w:rPr>
          <w:rFonts w:ascii="Calibri" w:hAnsi="Calibri"/>
          <w:color w:val="231F20"/>
          <w:sz w:val="16"/>
        </w:rPr>
        <w:t>la</w:t>
      </w:r>
      <w:r>
        <w:rPr>
          <w:rFonts w:ascii="Calibri" w:hAnsi="Calibri"/>
          <w:color w:val="231F20"/>
          <w:spacing w:val="-16"/>
          <w:sz w:val="16"/>
        </w:rPr>
        <w:t> </w:t>
      </w:r>
      <w:r>
        <w:rPr>
          <w:rFonts w:ascii="Calibri" w:hAnsi="Calibri"/>
          <w:color w:val="231F20"/>
          <w:sz w:val="16"/>
        </w:rPr>
        <w:t>LVIII</w:t>
      </w:r>
      <w:r>
        <w:rPr>
          <w:rFonts w:ascii="Calibri" w:hAnsi="Calibri"/>
          <w:color w:val="231F20"/>
          <w:spacing w:val="-16"/>
          <w:sz w:val="16"/>
        </w:rPr>
        <w:t> </w:t>
      </w:r>
      <w:r>
        <w:rPr>
          <w:rFonts w:ascii="Calibri" w:hAnsi="Calibri"/>
          <w:color w:val="231F20"/>
          <w:sz w:val="16"/>
        </w:rPr>
        <w:t>Legislatura,</w:t>
      </w:r>
      <w:r>
        <w:rPr>
          <w:rFonts w:ascii="Calibri" w:hAnsi="Calibri"/>
          <w:color w:val="231F20"/>
          <w:spacing w:val="-16"/>
          <w:sz w:val="16"/>
        </w:rPr>
        <w:t> </w:t>
      </w:r>
      <w:r>
        <w:rPr>
          <w:rFonts w:ascii="Calibri" w:hAnsi="Calibri"/>
          <w:color w:val="231F20"/>
          <w:sz w:val="16"/>
        </w:rPr>
        <w:t>Distrito</w:t>
      </w:r>
      <w:r>
        <w:rPr>
          <w:rFonts w:ascii="Calibri" w:hAnsi="Calibri"/>
          <w:color w:val="231F20"/>
          <w:spacing w:val="-16"/>
          <w:sz w:val="16"/>
        </w:rPr>
        <w:t> </w:t>
      </w:r>
      <w:r>
        <w:rPr>
          <w:rFonts w:ascii="Calibri" w:hAnsi="Calibri"/>
          <w:color w:val="231F20"/>
          <w:sz w:val="16"/>
        </w:rPr>
        <w:t>XV,</w:t>
      </w:r>
      <w:r>
        <w:rPr>
          <w:rFonts w:ascii="Calibri" w:hAnsi="Calibri"/>
          <w:color w:val="231F20"/>
          <w:spacing w:val="-16"/>
          <w:sz w:val="16"/>
        </w:rPr>
        <w:t> </w:t>
      </w:r>
      <w:r>
        <w:rPr>
          <w:rFonts w:ascii="Calibri" w:hAnsi="Calibri"/>
          <w:color w:val="231F20"/>
          <w:sz w:val="16"/>
        </w:rPr>
        <w:t>Tlalnepantla,</w:t>
      </w:r>
      <w:r>
        <w:rPr>
          <w:rFonts w:ascii="Calibri" w:hAnsi="Calibri"/>
          <w:color w:val="231F20"/>
          <w:spacing w:val="-16"/>
          <w:sz w:val="16"/>
        </w:rPr>
        <w:t> </w:t>
      </w:r>
      <w:r>
        <w:rPr>
          <w:rFonts w:ascii="Calibri" w:hAnsi="Calibri"/>
          <w:color w:val="231F20"/>
          <w:sz w:val="16"/>
        </w:rPr>
        <w:t>Estado</w:t>
      </w:r>
      <w:r>
        <w:rPr>
          <w:rFonts w:ascii="Calibri" w:hAnsi="Calibri"/>
          <w:color w:val="231F20"/>
          <w:spacing w:val="-16"/>
          <w:sz w:val="16"/>
        </w:rPr>
        <w:t> </w:t>
      </w:r>
      <w:r>
        <w:rPr>
          <w:rFonts w:ascii="Calibri" w:hAnsi="Calibri"/>
          <w:color w:val="231F20"/>
          <w:sz w:val="16"/>
        </w:rPr>
        <w:t>de</w:t>
      </w:r>
      <w:r>
        <w:rPr>
          <w:rFonts w:ascii="Calibri" w:hAnsi="Calibri"/>
          <w:color w:val="231F20"/>
          <w:spacing w:val="-16"/>
          <w:sz w:val="16"/>
        </w:rPr>
        <w:t> </w:t>
      </w:r>
      <w:r>
        <w:rPr>
          <w:rFonts w:ascii="Calibri" w:hAnsi="Calibri"/>
          <w:color w:val="231F20"/>
          <w:sz w:val="16"/>
        </w:rPr>
        <w:t>México,</w:t>
      </w:r>
      <w:r>
        <w:rPr>
          <w:rFonts w:ascii="Calibri" w:hAnsi="Calibri"/>
          <w:color w:val="231F20"/>
          <w:spacing w:val="-16"/>
          <w:sz w:val="16"/>
        </w:rPr>
        <w:t> </w:t>
      </w:r>
      <w:r>
        <w:rPr>
          <w:rFonts w:ascii="Calibri" w:hAnsi="Calibri"/>
          <w:color w:val="231F20"/>
          <w:sz w:val="16"/>
        </w:rPr>
        <w:t>2000-2003</w:t>
      </w:r>
      <w:r>
        <w:rPr>
          <w:rFonts w:ascii="Calibri" w:hAnsi="Calibri"/>
          <w:color w:val="231F20"/>
          <w:spacing w:val="-16"/>
          <w:sz w:val="16"/>
        </w:rPr>
        <w:t> </w:t>
      </w:r>
      <w:r>
        <w:rPr>
          <w:rFonts w:ascii="Calibri" w:hAnsi="Calibri"/>
          <w:color w:val="231F20"/>
          <w:sz w:val="16"/>
        </w:rPr>
        <w:t>(Integrante</w:t>
      </w:r>
      <w:r>
        <w:rPr>
          <w:rFonts w:ascii="Calibri" w:hAnsi="Calibri"/>
          <w:color w:val="231F20"/>
          <w:spacing w:val="-16"/>
          <w:sz w:val="16"/>
        </w:rPr>
        <w:t> </w:t>
      </w:r>
      <w:r>
        <w:rPr>
          <w:rFonts w:ascii="Calibri" w:hAnsi="Calibri"/>
          <w:color w:val="231F20"/>
          <w:sz w:val="16"/>
        </w:rPr>
        <w:t>de</w:t>
      </w:r>
      <w:r>
        <w:rPr>
          <w:rFonts w:ascii="Calibri" w:hAnsi="Calibri"/>
          <w:color w:val="231F20"/>
          <w:spacing w:val="-16"/>
          <w:sz w:val="16"/>
        </w:rPr>
        <w:t> </w:t>
      </w:r>
      <w:r>
        <w:rPr>
          <w:rFonts w:ascii="Calibri" w:hAnsi="Calibri"/>
          <w:color w:val="231F20"/>
          <w:sz w:val="16"/>
        </w:rPr>
        <w:t>la</w:t>
      </w:r>
      <w:r>
        <w:rPr>
          <w:rFonts w:ascii="Calibri" w:hAnsi="Calibri"/>
          <w:color w:val="231F20"/>
          <w:spacing w:val="-16"/>
          <w:sz w:val="16"/>
        </w:rPr>
        <w:t> </w:t>
      </w:r>
      <w:r>
        <w:rPr>
          <w:rFonts w:ascii="Calibri" w:hAnsi="Calibri"/>
          <w:color w:val="231F20"/>
          <w:sz w:val="16"/>
        </w:rPr>
        <w:t>Comisiones</w:t>
      </w:r>
      <w:r>
        <w:rPr>
          <w:rFonts w:ascii="Calibri" w:hAnsi="Calibri"/>
          <w:color w:val="231F20"/>
          <w:spacing w:val="-16"/>
          <w:sz w:val="16"/>
        </w:rPr>
        <w:t> </w:t>
      </w:r>
      <w:r>
        <w:rPr>
          <w:rFonts w:ascii="Calibri" w:hAnsi="Calibri"/>
          <w:color w:val="231F20"/>
          <w:sz w:val="16"/>
        </w:rPr>
        <w:t>de:</w:t>
      </w:r>
      <w:r>
        <w:rPr>
          <w:rFonts w:ascii="Calibri" w:hAnsi="Calibri"/>
          <w:color w:val="231F20"/>
          <w:spacing w:val="-16"/>
          <w:sz w:val="16"/>
        </w:rPr>
        <w:t> </w:t>
      </w:r>
      <w:r>
        <w:rPr>
          <w:rFonts w:ascii="Calibri" w:hAnsi="Calibri"/>
          <w:color w:val="231F20"/>
          <w:sz w:val="16"/>
        </w:rPr>
        <w:t>Defensa</w:t>
      </w:r>
      <w:r>
        <w:rPr>
          <w:rFonts w:ascii="Calibri" w:hAnsi="Calibri"/>
          <w:color w:val="231F20"/>
          <w:spacing w:val="-16"/>
          <w:sz w:val="16"/>
        </w:rPr>
        <w:t> </w:t>
      </w:r>
      <w:r>
        <w:rPr>
          <w:rFonts w:ascii="Calibri" w:hAnsi="Calibri"/>
          <w:color w:val="231F20"/>
          <w:sz w:val="16"/>
        </w:rPr>
        <w:t>Nacional, Fortalecimiento</w:t>
      </w:r>
      <w:r>
        <w:rPr>
          <w:rFonts w:ascii="Calibri" w:hAnsi="Calibri"/>
          <w:color w:val="231F20"/>
          <w:spacing w:val="-9"/>
          <w:sz w:val="16"/>
        </w:rPr>
        <w:t> </w:t>
      </w:r>
      <w:r>
        <w:rPr>
          <w:rFonts w:ascii="Calibri" w:hAnsi="Calibri"/>
          <w:color w:val="231F20"/>
          <w:sz w:val="16"/>
        </w:rPr>
        <w:t>del</w:t>
      </w:r>
      <w:r>
        <w:rPr>
          <w:rFonts w:ascii="Calibri" w:hAnsi="Calibri"/>
          <w:color w:val="231F20"/>
          <w:spacing w:val="-9"/>
          <w:sz w:val="16"/>
        </w:rPr>
        <w:t> </w:t>
      </w:r>
      <w:r>
        <w:rPr>
          <w:rFonts w:ascii="Calibri" w:hAnsi="Calibri"/>
          <w:color w:val="231F20"/>
          <w:sz w:val="16"/>
        </w:rPr>
        <w:t>Federalismo</w:t>
      </w:r>
      <w:r>
        <w:rPr>
          <w:rFonts w:ascii="Calibri" w:hAnsi="Calibri"/>
          <w:color w:val="231F20"/>
          <w:spacing w:val="-9"/>
          <w:sz w:val="16"/>
        </w:rPr>
        <w:t> </w:t>
      </w:r>
      <w:r>
        <w:rPr>
          <w:rFonts w:ascii="Calibri" w:hAnsi="Calibri"/>
          <w:color w:val="231F20"/>
          <w:sz w:val="16"/>
        </w:rPr>
        <w:t>y</w:t>
      </w:r>
      <w:r>
        <w:rPr>
          <w:rFonts w:ascii="Calibri" w:hAnsi="Calibri"/>
          <w:color w:val="231F20"/>
          <w:spacing w:val="-9"/>
          <w:sz w:val="16"/>
        </w:rPr>
        <w:t> </w:t>
      </w:r>
      <w:r>
        <w:rPr>
          <w:rFonts w:ascii="Calibri" w:hAnsi="Calibri"/>
          <w:color w:val="231F20"/>
          <w:sz w:val="16"/>
        </w:rPr>
        <w:t>Comisión</w:t>
      </w:r>
      <w:r>
        <w:rPr>
          <w:rFonts w:ascii="Calibri" w:hAnsi="Calibri"/>
          <w:color w:val="231F20"/>
          <w:spacing w:val="-9"/>
          <w:sz w:val="16"/>
        </w:rPr>
        <w:t> </w:t>
      </w:r>
      <w:r>
        <w:rPr>
          <w:rFonts w:ascii="Calibri" w:hAnsi="Calibri"/>
          <w:color w:val="231F20"/>
          <w:sz w:val="16"/>
        </w:rPr>
        <w:t>Especial</w:t>
      </w:r>
      <w:r>
        <w:rPr>
          <w:rFonts w:ascii="Calibri" w:hAnsi="Calibri"/>
          <w:color w:val="231F20"/>
          <w:spacing w:val="-9"/>
          <w:sz w:val="16"/>
        </w:rPr>
        <w:t> </w:t>
      </w:r>
      <w:r>
        <w:rPr>
          <w:rFonts w:ascii="Calibri" w:hAnsi="Calibri"/>
          <w:color w:val="231F20"/>
          <w:sz w:val="16"/>
        </w:rPr>
        <w:t>de</w:t>
      </w:r>
      <w:r>
        <w:rPr>
          <w:rFonts w:ascii="Calibri" w:hAnsi="Calibri"/>
          <w:color w:val="231F20"/>
          <w:spacing w:val="-9"/>
          <w:sz w:val="16"/>
        </w:rPr>
        <w:t> </w:t>
      </w:r>
      <w:r>
        <w:rPr>
          <w:rFonts w:ascii="Calibri" w:hAnsi="Calibri"/>
          <w:color w:val="231F20"/>
          <w:sz w:val="16"/>
        </w:rPr>
        <w:t>Seguridad</w:t>
      </w:r>
      <w:r>
        <w:rPr>
          <w:rFonts w:ascii="Calibri" w:hAnsi="Calibri"/>
          <w:color w:val="231F20"/>
          <w:spacing w:val="-9"/>
          <w:sz w:val="16"/>
        </w:rPr>
        <w:t> </w:t>
      </w:r>
      <w:r>
        <w:rPr>
          <w:rFonts w:ascii="Calibri" w:hAnsi="Calibri"/>
          <w:color w:val="231F20"/>
          <w:sz w:val="16"/>
        </w:rPr>
        <w:t>Pública);</w:t>
      </w:r>
      <w:r>
        <w:rPr>
          <w:rFonts w:ascii="Calibri" w:hAnsi="Calibri"/>
          <w:color w:val="231F20"/>
          <w:spacing w:val="-9"/>
          <w:sz w:val="16"/>
        </w:rPr>
        <w:t> </w:t>
      </w:r>
      <w:r>
        <w:rPr>
          <w:rFonts w:ascii="Calibri" w:hAnsi="Calibri"/>
          <w:color w:val="231F20"/>
          <w:sz w:val="16"/>
        </w:rPr>
        <w:t>Secretario</w:t>
      </w:r>
      <w:r>
        <w:rPr>
          <w:rFonts w:ascii="Calibri" w:hAnsi="Calibri"/>
          <w:color w:val="231F20"/>
          <w:spacing w:val="-9"/>
          <w:sz w:val="16"/>
        </w:rPr>
        <w:t> </w:t>
      </w:r>
      <w:r>
        <w:rPr>
          <w:rFonts w:ascii="Calibri" w:hAnsi="Calibri"/>
          <w:color w:val="231F20"/>
          <w:sz w:val="16"/>
        </w:rPr>
        <w:t>del</w:t>
      </w:r>
      <w:r>
        <w:rPr>
          <w:rFonts w:ascii="Calibri" w:hAnsi="Calibri"/>
          <w:color w:val="231F20"/>
          <w:spacing w:val="-9"/>
          <w:sz w:val="16"/>
        </w:rPr>
        <w:t> </w:t>
      </w:r>
      <w:r>
        <w:rPr>
          <w:rFonts w:ascii="Calibri" w:hAnsi="Calibri"/>
          <w:color w:val="231F20"/>
          <w:sz w:val="16"/>
        </w:rPr>
        <w:t>H.</w:t>
      </w:r>
      <w:r>
        <w:rPr>
          <w:rFonts w:ascii="Calibri" w:hAnsi="Calibri"/>
          <w:color w:val="231F20"/>
          <w:spacing w:val="-9"/>
          <w:sz w:val="16"/>
        </w:rPr>
        <w:t> </w:t>
      </w:r>
      <w:r>
        <w:rPr>
          <w:rFonts w:ascii="Calibri" w:hAnsi="Calibri"/>
          <w:color w:val="231F20"/>
          <w:sz w:val="16"/>
        </w:rPr>
        <w:t>Ayuntamiento</w:t>
      </w:r>
      <w:r>
        <w:rPr>
          <w:rFonts w:ascii="Calibri" w:hAnsi="Calibri"/>
          <w:color w:val="231F20"/>
          <w:spacing w:val="-9"/>
          <w:sz w:val="16"/>
        </w:rPr>
        <w:t> </w:t>
      </w:r>
      <w:r>
        <w:rPr>
          <w:rFonts w:ascii="Calibri" w:hAnsi="Calibri"/>
          <w:color w:val="231F20"/>
          <w:sz w:val="16"/>
        </w:rPr>
        <w:t>de</w:t>
      </w:r>
      <w:r>
        <w:rPr>
          <w:rFonts w:ascii="Calibri" w:hAnsi="Calibri"/>
          <w:color w:val="231F20"/>
          <w:spacing w:val="-9"/>
          <w:sz w:val="16"/>
        </w:rPr>
        <w:t> </w:t>
      </w:r>
      <w:r>
        <w:rPr>
          <w:rFonts w:ascii="Calibri" w:hAnsi="Calibri"/>
          <w:color w:val="231F20"/>
          <w:sz w:val="16"/>
        </w:rPr>
        <w:t>Tlalnepantla de Baz, México, H. Ayuntamiento de Tlalnepantla de Baz, 1996-2000; Subcoordinador de Análisis Sociopolítico de la Coor- dinación</w:t>
      </w:r>
      <w:r>
        <w:rPr>
          <w:rFonts w:ascii="Calibri" w:hAnsi="Calibri"/>
          <w:color w:val="231F20"/>
          <w:spacing w:val="-4"/>
          <w:sz w:val="16"/>
        </w:rPr>
        <w:t> </w:t>
      </w:r>
      <w:r>
        <w:rPr>
          <w:rFonts w:ascii="Calibri" w:hAnsi="Calibri"/>
          <w:color w:val="231F20"/>
          <w:sz w:val="16"/>
        </w:rPr>
        <w:t>Técnica</w:t>
      </w:r>
      <w:r>
        <w:rPr>
          <w:rFonts w:ascii="Calibri" w:hAnsi="Calibri"/>
          <w:color w:val="231F20"/>
          <w:spacing w:val="-4"/>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z w:val="16"/>
        </w:rPr>
        <w:t>la</w:t>
      </w:r>
      <w:r>
        <w:rPr>
          <w:rFonts w:ascii="Calibri" w:hAnsi="Calibri"/>
          <w:color w:val="231F20"/>
          <w:spacing w:val="-4"/>
          <w:sz w:val="16"/>
        </w:rPr>
        <w:t> </w:t>
      </w:r>
      <w:r>
        <w:rPr>
          <w:rFonts w:ascii="Calibri" w:hAnsi="Calibri"/>
          <w:color w:val="231F20"/>
          <w:sz w:val="16"/>
        </w:rPr>
        <w:t>Presidencia</w:t>
      </w:r>
      <w:r>
        <w:rPr>
          <w:rFonts w:ascii="Calibri" w:hAnsi="Calibri"/>
          <w:color w:val="231F20"/>
          <w:spacing w:val="-4"/>
          <w:sz w:val="16"/>
        </w:rPr>
        <w:t> </w:t>
      </w:r>
      <w:r>
        <w:rPr>
          <w:rFonts w:ascii="Calibri" w:hAnsi="Calibri"/>
          <w:color w:val="231F20"/>
          <w:sz w:val="16"/>
        </w:rPr>
        <w:t>Municipal</w:t>
      </w:r>
      <w:r>
        <w:rPr>
          <w:rFonts w:ascii="Calibri" w:hAnsi="Calibri"/>
          <w:color w:val="231F20"/>
          <w:spacing w:val="-4"/>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z w:val="16"/>
        </w:rPr>
        <w:t>Naucalpan</w:t>
      </w:r>
      <w:r>
        <w:rPr>
          <w:rFonts w:ascii="Calibri" w:hAnsi="Calibri"/>
          <w:color w:val="231F20"/>
          <w:spacing w:val="-4"/>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z w:val="16"/>
        </w:rPr>
        <w:t>Juárez,</w:t>
      </w:r>
      <w:r>
        <w:rPr>
          <w:rFonts w:ascii="Calibri" w:hAnsi="Calibri"/>
          <w:color w:val="231F20"/>
          <w:spacing w:val="-4"/>
          <w:sz w:val="16"/>
        </w:rPr>
        <w:t> </w:t>
      </w:r>
      <w:r>
        <w:rPr>
          <w:rFonts w:ascii="Calibri" w:hAnsi="Calibri"/>
          <w:color w:val="231F20"/>
          <w:sz w:val="16"/>
        </w:rPr>
        <w:t>H.</w:t>
      </w:r>
      <w:r>
        <w:rPr>
          <w:rFonts w:ascii="Calibri" w:hAnsi="Calibri"/>
          <w:color w:val="231F20"/>
          <w:spacing w:val="-4"/>
          <w:sz w:val="16"/>
        </w:rPr>
        <w:t> </w:t>
      </w:r>
      <w:r>
        <w:rPr>
          <w:rFonts w:ascii="Calibri" w:hAnsi="Calibri"/>
          <w:color w:val="231F20"/>
          <w:sz w:val="16"/>
        </w:rPr>
        <w:t>Ayuntamiento</w:t>
      </w:r>
      <w:r>
        <w:rPr>
          <w:rFonts w:ascii="Calibri" w:hAnsi="Calibri"/>
          <w:color w:val="231F20"/>
          <w:spacing w:val="-4"/>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z w:val="16"/>
        </w:rPr>
        <w:t>Naucalpan</w:t>
      </w:r>
      <w:r>
        <w:rPr>
          <w:rFonts w:ascii="Calibri" w:hAnsi="Calibri"/>
          <w:color w:val="231F20"/>
          <w:spacing w:val="-4"/>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z w:val="16"/>
        </w:rPr>
        <w:t>Juárez</w:t>
      </w:r>
      <w:r>
        <w:rPr>
          <w:rFonts w:ascii="Calibri" w:hAnsi="Calibri"/>
          <w:color w:val="231F20"/>
          <w:spacing w:val="-4"/>
          <w:sz w:val="16"/>
        </w:rPr>
        <w:t> 1993-1996; </w:t>
      </w:r>
      <w:r>
        <w:rPr>
          <w:rFonts w:ascii="Calibri" w:hAnsi="Calibri"/>
          <w:color w:val="231F20"/>
          <w:sz w:val="16"/>
        </w:rPr>
        <w:t>Coordinador administrativo del Instituto de Investigaciones Legislativas de la Cámara de Diputados. </w:t>
      </w:r>
      <w:r>
        <w:rPr>
          <w:rFonts w:ascii="Calibri" w:hAnsi="Calibri"/>
          <w:color w:val="231F20"/>
          <w:spacing w:val="-5"/>
          <w:sz w:val="16"/>
        </w:rPr>
        <w:t>LV </w:t>
      </w:r>
      <w:r>
        <w:rPr>
          <w:rFonts w:ascii="Calibri" w:hAnsi="Calibri"/>
          <w:color w:val="231F20"/>
          <w:sz w:val="16"/>
        </w:rPr>
        <w:t>Legislatura Federal, </w:t>
      </w:r>
      <w:r>
        <w:rPr>
          <w:rFonts w:ascii="Calibri" w:hAnsi="Calibri"/>
          <w:color w:val="231F20"/>
          <w:spacing w:val="-4"/>
          <w:sz w:val="16"/>
        </w:rPr>
        <w:t>1991-1994;</w:t>
      </w:r>
      <w:r>
        <w:rPr>
          <w:rFonts w:ascii="Calibri" w:hAnsi="Calibri"/>
          <w:color w:val="231F20"/>
          <w:spacing w:val="-23"/>
          <w:sz w:val="16"/>
        </w:rPr>
        <w:t> </w:t>
      </w:r>
      <w:r>
        <w:rPr>
          <w:rFonts w:ascii="Calibri" w:hAnsi="Calibri"/>
          <w:color w:val="231F20"/>
          <w:sz w:val="16"/>
        </w:rPr>
        <w:t>Consejero</w:t>
      </w:r>
      <w:r>
        <w:rPr>
          <w:rFonts w:ascii="Calibri" w:hAnsi="Calibri"/>
          <w:color w:val="231F20"/>
          <w:spacing w:val="-23"/>
          <w:sz w:val="16"/>
        </w:rPr>
        <w:t> </w:t>
      </w:r>
      <w:r>
        <w:rPr>
          <w:rFonts w:ascii="Calibri" w:hAnsi="Calibri"/>
          <w:color w:val="231F20"/>
          <w:sz w:val="16"/>
        </w:rPr>
        <w:t>Nacional</w:t>
      </w:r>
      <w:r>
        <w:rPr>
          <w:rFonts w:ascii="Calibri" w:hAnsi="Calibri"/>
          <w:color w:val="231F20"/>
          <w:spacing w:val="-23"/>
          <w:sz w:val="16"/>
        </w:rPr>
        <w:t> </w:t>
      </w:r>
      <w:r>
        <w:rPr>
          <w:rFonts w:ascii="Calibri" w:hAnsi="Calibri"/>
          <w:color w:val="231F20"/>
          <w:sz w:val="16"/>
        </w:rPr>
        <w:t>del</w:t>
      </w:r>
      <w:r>
        <w:rPr>
          <w:rFonts w:ascii="Calibri" w:hAnsi="Calibri"/>
          <w:color w:val="231F20"/>
          <w:spacing w:val="-23"/>
          <w:sz w:val="16"/>
        </w:rPr>
        <w:t> </w:t>
      </w:r>
      <w:r>
        <w:rPr>
          <w:rFonts w:ascii="Calibri" w:hAnsi="Calibri"/>
          <w:color w:val="231F20"/>
          <w:spacing w:val="-3"/>
          <w:sz w:val="16"/>
        </w:rPr>
        <w:t>PAN,</w:t>
      </w:r>
      <w:r>
        <w:rPr>
          <w:rFonts w:ascii="Calibri" w:hAnsi="Calibri"/>
          <w:color w:val="231F20"/>
          <w:spacing w:val="-23"/>
          <w:sz w:val="16"/>
        </w:rPr>
        <w:t> </w:t>
      </w:r>
      <w:r>
        <w:rPr>
          <w:rFonts w:ascii="Calibri" w:hAnsi="Calibri"/>
          <w:color w:val="231F20"/>
          <w:sz w:val="16"/>
        </w:rPr>
        <w:t>2004-2007;</w:t>
      </w:r>
      <w:r>
        <w:rPr>
          <w:rFonts w:ascii="Calibri" w:hAnsi="Calibri"/>
          <w:color w:val="231F20"/>
          <w:spacing w:val="-23"/>
          <w:sz w:val="16"/>
        </w:rPr>
        <w:t> </w:t>
      </w:r>
      <w:r>
        <w:rPr>
          <w:rFonts w:ascii="Calibri" w:hAnsi="Calibri"/>
          <w:color w:val="231F20"/>
          <w:sz w:val="16"/>
        </w:rPr>
        <w:t>Miembro</w:t>
      </w:r>
      <w:r>
        <w:rPr>
          <w:rFonts w:ascii="Calibri" w:hAnsi="Calibri"/>
          <w:color w:val="231F20"/>
          <w:spacing w:val="-23"/>
          <w:sz w:val="16"/>
        </w:rPr>
        <w:t> </w:t>
      </w:r>
      <w:r>
        <w:rPr>
          <w:rFonts w:ascii="Calibri" w:hAnsi="Calibri"/>
          <w:color w:val="231F20"/>
          <w:sz w:val="16"/>
        </w:rPr>
        <w:t>del</w:t>
      </w:r>
      <w:r>
        <w:rPr>
          <w:rFonts w:ascii="Calibri" w:hAnsi="Calibri"/>
          <w:color w:val="231F20"/>
          <w:spacing w:val="-23"/>
          <w:sz w:val="16"/>
        </w:rPr>
        <w:t> </w:t>
      </w:r>
      <w:r>
        <w:rPr>
          <w:rFonts w:ascii="Calibri" w:hAnsi="Calibri"/>
          <w:color w:val="231F20"/>
          <w:sz w:val="16"/>
        </w:rPr>
        <w:t>Comité</w:t>
      </w:r>
      <w:r>
        <w:rPr>
          <w:rFonts w:ascii="Calibri" w:hAnsi="Calibri"/>
          <w:color w:val="231F20"/>
          <w:spacing w:val="-23"/>
          <w:sz w:val="16"/>
        </w:rPr>
        <w:t> </w:t>
      </w:r>
      <w:r>
        <w:rPr>
          <w:rFonts w:ascii="Calibri" w:hAnsi="Calibri"/>
          <w:color w:val="231F20"/>
          <w:sz w:val="16"/>
        </w:rPr>
        <w:t>Directivo</w:t>
      </w:r>
      <w:r>
        <w:rPr>
          <w:rFonts w:ascii="Calibri" w:hAnsi="Calibri"/>
          <w:color w:val="231F20"/>
          <w:spacing w:val="-23"/>
          <w:sz w:val="16"/>
        </w:rPr>
        <w:t> </w:t>
      </w:r>
      <w:r>
        <w:rPr>
          <w:rFonts w:ascii="Calibri" w:hAnsi="Calibri"/>
          <w:color w:val="231F20"/>
          <w:sz w:val="16"/>
        </w:rPr>
        <w:t>Municipal</w:t>
      </w:r>
      <w:r>
        <w:rPr>
          <w:rFonts w:ascii="Calibri" w:hAnsi="Calibri"/>
          <w:color w:val="231F20"/>
          <w:spacing w:val="-23"/>
          <w:sz w:val="16"/>
        </w:rPr>
        <w:t> </w:t>
      </w:r>
      <w:r>
        <w:rPr>
          <w:rFonts w:ascii="Calibri" w:hAnsi="Calibri"/>
          <w:color w:val="231F20"/>
          <w:sz w:val="16"/>
        </w:rPr>
        <w:t>PAN-Tlalnepantla;</w:t>
      </w:r>
      <w:r>
        <w:rPr>
          <w:rFonts w:ascii="Calibri" w:hAnsi="Calibri"/>
          <w:color w:val="231F20"/>
          <w:spacing w:val="-23"/>
          <w:sz w:val="16"/>
        </w:rPr>
        <w:t> </w:t>
      </w:r>
      <w:r>
        <w:rPr>
          <w:rFonts w:ascii="Calibri" w:hAnsi="Calibri"/>
          <w:color w:val="231F20"/>
          <w:sz w:val="16"/>
        </w:rPr>
        <w:t>y</w:t>
      </w:r>
      <w:r>
        <w:rPr>
          <w:rFonts w:ascii="Calibri" w:hAnsi="Calibri"/>
          <w:color w:val="231F20"/>
          <w:spacing w:val="-23"/>
          <w:sz w:val="16"/>
        </w:rPr>
        <w:t> </w:t>
      </w:r>
      <w:r>
        <w:rPr>
          <w:rFonts w:ascii="Calibri" w:hAnsi="Calibri"/>
          <w:color w:val="231F20"/>
          <w:sz w:val="16"/>
        </w:rPr>
        <w:t>Miembro</w:t>
      </w:r>
      <w:r>
        <w:rPr>
          <w:rFonts w:ascii="Calibri" w:hAnsi="Calibri"/>
          <w:color w:val="231F20"/>
          <w:spacing w:val="-23"/>
          <w:sz w:val="16"/>
        </w:rPr>
        <w:t> </w:t>
      </w:r>
      <w:r>
        <w:rPr>
          <w:rFonts w:ascii="Calibri" w:hAnsi="Calibri"/>
          <w:color w:val="231F20"/>
          <w:sz w:val="16"/>
        </w:rPr>
        <w:t>del Comité</w:t>
      </w:r>
      <w:r>
        <w:rPr>
          <w:rFonts w:ascii="Calibri" w:hAnsi="Calibri"/>
          <w:color w:val="231F20"/>
          <w:spacing w:val="-9"/>
          <w:sz w:val="16"/>
        </w:rPr>
        <w:t> </w:t>
      </w:r>
      <w:r>
        <w:rPr>
          <w:rFonts w:ascii="Calibri" w:hAnsi="Calibri"/>
          <w:color w:val="231F20"/>
          <w:sz w:val="16"/>
        </w:rPr>
        <w:t>Directivo</w:t>
      </w:r>
      <w:r>
        <w:rPr>
          <w:rFonts w:ascii="Calibri" w:hAnsi="Calibri"/>
          <w:color w:val="231F20"/>
          <w:spacing w:val="-9"/>
          <w:sz w:val="16"/>
        </w:rPr>
        <w:t> </w:t>
      </w:r>
      <w:r>
        <w:rPr>
          <w:rFonts w:ascii="Calibri" w:hAnsi="Calibri"/>
          <w:color w:val="231F20"/>
          <w:sz w:val="16"/>
        </w:rPr>
        <w:t>Estatal</w:t>
      </w:r>
      <w:r>
        <w:rPr>
          <w:rFonts w:ascii="Calibri" w:hAnsi="Calibri"/>
          <w:color w:val="231F20"/>
          <w:spacing w:val="-9"/>
          <w:sz w:val="16"/>
        </w:rPr>
        <w:t> </w:t>
      </w:r>
      <w:r>
        <w:rPr>
          <w:rFonts w:ascii="Calibri" w:hAnsi="Calibri"/>
          <w:color w:val="231F20"/>
          <w:sz w:val="16"/>
        </w:rPr>
        <w:t>del</w:t>
      </w:r>
      <w:r>
        <w:rPr>
          <w:rFonts w:ascii="Calibri" w:hAnsi="Calibri"/>
          <w:color w:val="231F20"/>
          <w:spacing w:val="-9"/>
          <w:sz w:val="16"/>
        </w:rPr>
        <w:t> </w:t>
      </w:r>
      <w:r>
        <w:rPr>
          <w:rFonts w:ascii="Calibri" w:hAnsi="Calibri"/>
          <w:color w:val="231F20"/>
          <w:spacing w:val="-4"/>
          <w:sz w:val="16"/>
        </w:rPr>
        <w:t>PAN</w:t>
      </w:r>
      <w:r>
        <w:rPr>
          <w:rFonts w:ascii="Calibri" w:hAnsi="Calibri"/>
          <w:color w:val="231F20"/>
          <w:spacing w:val="-9"/>
          <w:sz w:val="16"/>
        </w:rPr>
        <w:t> </w:t>
      </w:r>
      <w:r>
        <w:rPr>
          <w:rFonts w:ascii="Calibri" w:hAnsi="Calibri"/>
          <w:color w:val="231F20"/>
          <w:sz w:val="16"/>
        </w:rPr>
        <w:t>en</w:t>
      </w:r>
      <w:r>
        <w:rPr>
          <w:rFonts w:ascii="Calibri" w:hAnsi="Calibri"/>
          <w:color w:val="231F20"/>
          <w:spacing w:val="-9"/>
          <w:sz w:val="16"/>
        </w:rPr>
        <w:t> </w:t>
      </w:r>
      <w:r>
        <w:rPr>
          <w:rFonts w:ascii="Calibri" w:hAnsi="Calibri"/>
          <w:color w:val="231F20"/>
          <w:sz w:val="16"/>
        </w:rPr>
        <w:t>el</w:t>
      </w:r>
      <w:r>
        <w:rPr>
          <w:rFonts w:ascii="Calibri" w:hAnsi="Calibri"/>
          <w:color w:val="231F20"/>
          <w:spacing w:val="-9"/>
          <w:sz w:val="16"/>
        </w:rPr>
        <w:t> </w:t>
      </w:r>
      <w:r>
        <w:rPr>
          <w:rFonts w:ascii="Calibri" w:hAnsi="Calibri"/>
          <w:color w:val="231F20"/>
          <w:sz w:val="16"/>
        </w:rPr>
        <w:t>Estado</w:t>
      </w:r>
      <w:r>
        <w:rPr>
          <w:rFonts w:ascii="Calibri" w:hAnsi="Calibri"/>
          <w:color w:val="231F20"/>
          <w:spacing w:val="-9"/>
          <w:sz w:val="16"/>
        </w:rPr>
        <w:t> </w:t>
      </w:r>
      <w:r>
        <w:rPr>
          <w:rFonts w:ascii="Calibri" w:hAnsi="Calibri"/>
          <w:color w:val="231F20"/>
          <w:sz w:val="16"/>
        </w:rPr>
        <w:t>de</w:t>
      </w:r>
      <w:r>
        <w:rPr>
          <w:rFonts w:ascii="Calibri" w:hAnsi="Calibri"/>
          <w:color w:val="231F20"/>
          <w:spacing w:val="-9"/>
          <w:sz w:val="16"/>
        </w:rPr>
        <w:t> </w:t>
      </w:r>
      <w:r>
        <w:rPr>
          <w:rFonts w:ascii="Calibri" w:hAnsi="Calibri"/>
          <w:color w:val="231F20"/>
          <w:sz w:val="16"/>
        </w:rPr>
        <w:t>México.</w:t>
      </w:r>
    </w:p>
    <w:p>
      <w:pPr>
        <w:pStyle w:val="ListParagraph"/>
        <w:numPr>
          <w:ilvl w:val="0"/>
          <w:numId w:val="15"/>
        </w:numPr>
        <w:tabs>
          <w:tab w:pos="239" w:val="left" w:leader="none"/>
        </w:tabs>
        <w:spacing w:line="244" w:lineRule="auto" w:before="0" w:after="0"/>
        <w:ind w:left="110" w:right="107" w:firstLine="0"/>
        <w:jc w:val="both"/>
        <w:rPr>
          <w:sz w:val="16"/>
        </w:rPr>
      </w:pPr>
      <w:r>
        <w:rPr>
          <w:color w:val="231F20"/>
          <w:sz w:val="16"/>
        </w:rPr>
        <w:t>Fue Vicepresidente del Consejo Cívico del Municipio de Tlalnepantla de Baz </w:t>
      </w:r>
      <w:r>
        <w:rPr>
          <w:color w:val="231F20"/>
          <w:spacing w:val="-4"/>
          <w:sz w:val="16"/>
        </w:rPr>
        <w:t>(1997-2000); </w:t>
      </w:r>
      <w:r>
        <w:rPr>
          <w:color w:val="231F20"/>
          <w:sz w:val="16"/>
        </w:rPr>
        <w:t>Secretario General del Comité Directivo Municipal del Partido Acción Nacional en Tlalnepantla de Baz </w:t>
      </w:r>
      <w:r>
        <w:rPr>
          <w:color w:val="231F20"/>
          <w:spacing w:val="-4"/>
          <w:sz w:val="16"/>
        </w:rPr>
        <w:t>(1998-1999); </w:t>
      </w:r>
      <w:r>
        <w:rPr>
          <w:color w:val="231F20"/>
          <w:sz w:val="16"/>
        </w:rPr>
        <w:t>Coordinador General de la Oficina de Enlace</w:t>
      </w:r>
      <w:r>
        <w:rPr>
          <w:color w:val="231F20"/>
          <w:spacing w:val="-8"/>
          <w:sz w:val="16"/>
        </w:rPr>
        <w:t> </w:t>
      </w:r>
      <w:r>
        <w:rPr>
          <w:color w:val="231F20"/>
          <w:sz w:val="16"/>
        </w:rPr>
        <w:t>Legislativo</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Diputación</w:t>
      </w:r>
      <w:r>
        <w:rPr>
          <w:color w:val="231F20"/>
          <w:spacing w:val="-8"/>
          <w:sz w:val="16"/>
        </w:rPr>
        <w:t> </w:t>
      </w:r>
      <w:r>
        <w:rPr>
          <w:color w:val="231F20"/>
          <w:sz w:val="16"/>
        </w:rPr>
        <w:t>Federal</w:t>
      </w:r>
      <w:r>
        <w:rPr>
          <w:color w:val="231F20"/>
          <w:spacing w:val="-8"/>
          <w:sz w:val="16"/>
        </w:rPr>
        <w:t> </w:t>
      </w:r>
      <w:r>
        <w:rPr>
          <w:color w:val="231F20"/>
          <w:sz w:val="16"/>
        </w:rPr>
        <w:t>del</w:t>
      </w:r>
      <w:r>
        <w:rPr>
          <w:color w:val="231F20"/>
          <w:spacing w:val="-8"/>
          <w:sz w:val="16"/>
        </w:rPr>
        <w:t> </w:t>
      </w:r>
      <w:r>
        <w:rPr>
          <w:color w:val="231F20"/>
          <w:sz w:val="16"/>
        </w:rPr>
        <w:t>Distrito</w:t>
      </w:r>
      <w:r>
        <w:rPr>
          <w:color w:val="231F20"/>
          <w:spacing w:val="-8"/>
          <w:sz w:val="16"/>
        </w:rPr>
        <w:t> </w:t>
      </w:r>
      <w:r>
        <w:rPr>
          <w:color w:val="231F20"/>
          <w:spacing w:val="2"/>
          <w:sz w:val="16"/>
        </w:rPr>
        <w:t>XV</w:t>
      </w:r>
      <w:r>
        <w:rPr>
          <w:color w:val="231F20"/>
          <w:spacing w:val="-8"/>
          <w:sz w:val="16"/>
        </w:rPr>
        <w:t> </w:t>
      </w:r>
      <w:r>
        <w:rPr>
          <w:color w:val="231F20"/>
          <w:sz w:val="16"/>
        </w:rPr>
        <w:t>de</w:t>
      </w:r>
      <w:r>
        <w:rPr>
          <w:color w:val="231F20"/>
          <w:spacing w:val="-8"/>
          <w:sz w:val="16"/>
        </w:rPr>
        <w:t> </w:t>
      </w:r>
      <w:r>
        <w:rPr>
          <w:color w:val="231F20"/>
          <w:sz w:val="16"/>
        </w:rPr>
        <w:t>Tlalnepantla</w:t>
      </w:r>
      <w:r>
        <w:rPr>
          <w:color w:val="231F20"/>
          <w:spacing w:val="-8"/>
          <w:sz w:val="16"/>
        </w:rPr>
        <w:t> </w:t>
      </w:r>
      <w:r>
        <w:rPr>
          <w:color w:val="231F20"/>
          <w:sz w:val="16"/>
        </w:rPr>
        <w:t>de</w:t>
      </w:r>
      <w:r>
        <w:rPr>
          <w:color w:val="231F20"/>
          <w:spacing w:val="-8"/>
          <w:sz w:val="16"/>
        </w:rPr>
        <w:t> </w:t>
      </w:r>
      <w:r>
        <w:rPr>
          <w:color w:val="231F20"/>
          <w:sz w:val="16"/>
        </w:rPr>
        <w:t>Baz</w:t>
      </w:r>
      <w:r>
        <w:rPr>
          <w:color w:val="231F20"/>
          <w:spacing w:val="-8"/>
          <w:sz w:val="16"/>
        </w:rPr>
        <w:t> </w:t>
      </w:r>
      <w:r>
        <w:rPr>
          <w:color w:val="231F20"/>
          <w:sz w:val="16"/>
        </w:rPr>
        <w:t>(2000-2002);</w:t>
      </w:r>
      <w:r>
        <w:rPr>
          <w:color w:val="231F20"/>
          <w:spacing w:val="-8"/>
          <w:sz w:val="16"/>
        </w:rPr>
        <w:t> </w:t>
      </w:r>
      <w:r>
        <w:rPr>
          <w:color w:val="231F20"/>
          <w:sz w:val="16"/>
        </w:rPr>
        <w:t>Presidente</w:t>
      </w:r>
      <w:r>
        <w:rPr>
          <w:color w:val="231F20"/>
          <w:spacing w:val="-8"/>
          <w:sz w:val="16"/>
        </w:rPr>
        <w:t> </w:t>
      </w:r>
      <w:r>
        <w:rPr>
          <w:color w:val="231F20"/>
          <w:sz w:val="16"/>
        </w:rPr>
        <w:t>Municipal</w:t>
      </w:r>
      <w:r>
        <w:rPr>
          <w:color w:val="231F20"/>
          <w:spacing w:val="-8"/>
          <w:sz w:val="16"/>
        </w:rPr>
        <w:t> </w:t>
      </w:r>
      <w:r>
        <w:rPr>
          <w:color w:val="231F20"/>
          <w:sz w:val="16"/>
        </w:rPr>
        <w:t>de</w:t>
      </w:r>
      <w:r>
        <w:rPr>
          <w:color w:val="231F20"/>
          <w:spacing w:val="-8"/>
          <w:sz w:val="16"/>
        </w:rPr>
        <w:t> </w:t>
      </w:r>
      <w:r>
        <w:rPr>
          <w:color w:val="231F20"/>
          <w:sz w:val="16"/>
        </w:rPr>
        <w:t>Tlal- nepantla de Baz, por Ministerio de Ley (Abril -Agosto 2003); Secretario General del Comité Directivo Municipal del </w:t>
      </w:r>
      <w:r>
        <w:rPr>
          <w:color w:val="231F20"/>
          <w:spacing w:val="-4"/>
          <w:sz w:val="16"/>
        </w:rPr>
        <w:t>PAN </w:t>
      </w:r>
      <w:r>
        <w:rPr>
          <w:color w:val="231F20"/>
          <w:sz w:val="16"/>
        </w:rPr>
        <w:t>en Tlalnepantla de Baz (2002-2005); y Coordinador de Promoción del Voto en las Elecciones para Gobernador del Estado de </w:t>
      </w:r>
      <w:r>
        <w:rPr>
          <w:color w:val="231F20"/>
          <w:w w:val="95"/>
          <w:sz w:val="16"/>
        </w:rPr>
        <w:t>Quintana Roo,</w:t>
      </w:r>
      <w:r>
        <w:rPr>
          <w:color w:val="231F20"/>
          <w:spacing w:val="11"/>
          <w:w w:val="95"/>
          <w:sz w:val="16"/>
        </w:rPr>
        <w:t> </w:t>
      </w:r>
      <w:r>
        <w:rPr>
          <w:color w:val="231F20"/>
          <w:w w:val="95"/>
          <w:sz w:val="16"/>
        </w:rPr>
        <w:t>2005.</w:t>
      </w:r>
    </w:p>
    <w:p>
      <w:pPr>
        <w:pStyle w:val="ListParagraph"/>
        <w:numPr>
          <w:ilvl w:val="0"/>
          <w:numId w:val="15"/>
        </w:numPr>
        <w:tabs>
          <w:tab w:pos="225" w:val="left" w:leader="none"/>
        </w:tabs>
        <w:spacing w:line="244" w:lineRule="auto" w:before="0" w:after="0"/>
        <w:ind w:left="110" w:right="107" w:firstLine="0"/>
        <w:jc w:val="both"/>
        <w:rPr>
          <w:sz w:val="16"/>
        </w:rPr>
      </w:pPr>
      <w:r>
        <w:rPr>
          <w:color w:val="231F20"/>
          <w:sz w:val="16"/>
        </w:rPr>
        <w:t>Cabe</w:t>
      </w:r>
      <w:r>
        <w:rPr>
          <w:color w:val="231F20"/>
          <w:spacing w:val="-4"/>
          <w:sz w:val="16"/>
        </w:rPr>
        <w:t> </w:t>
      </w:r>
      <w:r>
        <w:rPr>
          <w:color w:val="231F20"/>
          <w:sz w:val="16"/>
        </w:rPr>
        <w:t>destacar</w:t>
      </w:r>
      <w:r>
        <w:rPr>
          <w:color w:val="231F20"/>
          <w:spacing w:val="-4"/>
          <w:sz w:val="16"/>
        </w:rPr>
        <w:t> </w:t>
      </w:r>
      <w:r>
        <w:rPr>
          <w:color w:val="231F20"/>
          <w:sz w:val="16"/>
        </w:rPr>
        <w:t>que</w:t>
      </w:r>
      <w:r>
        <w:rPr>
          <w:color w:val="231F20"/>
          <w:spacing w:val="-4"/>
          <w:sz w:val="16"/>
        </w:rPr>
        <w:t> </w:t>
      </w:r>
      <w:r>
        <w:rPr>
          <w:color w:val="231F20"/>
          <w:sz w:val="16"/>
        </w:rPr>
        <w:t>los</w:t>
      </w:r>
      <w:r>
        <w:rPr>
          <w:color w:val="231F20"/>
          <w:spacing w:val="-4"/>
          <w:sz w:val="16"/>
        </w:rPr>
        <w:t> </w:t>
      </w:r>
      <w:r>
        <w:rPr>
          <w:color w:val="231F20"/>
          <w:sz w:val="16"/>
        </w:rPr>
        <w:t>dos</w:t>
      </w:r>
      <w:r>
        <w:rPr>
          <w:color w:val="231F20"/>
          <w:spacing w:val="-4"/>
          <w:sz w:val="16"/>
        </w:rPr>
        <w:t> </w:t>
      </w:r>
      <w:r>
        <w:rPr>
          <w:color w:val="231F20"/>
          <w:sz w:val="16"/>
        </w:rPr>
        <w:t>antecesores</w:t>
      </w:r>
      <w:r>
        <w:rPr>
          <w:color w:val="231F20"/>
          <w:spacing w:val="-4"/>
          <w:sz w:val="16"/>
        </w:rPr>
        <w:t> </w:t>
      </w:r>
      <w:r>
        <w:rPr>
          <w:color w:val="231F20"/>
          <w:sz w:val="16"/>
        </w:rPr>
        <w:t>de</w:t>
      </w:r>
      <w:r>
        <w:rPr>
          <w:color w:val="231F20"/>
          <w:spacing w:val="-4"/>
          <w:sz w:val="16"/>
        </w:rPr>
        <w:t> </w:t>
      </w:r>
      <w:r>
        <w:rPr>
          <w:color w:val="231F20"/>
          <w:sz w:val="16"/>
        </w:rPr>
        <w:t>Rodríguez</w:t>
      </w:r>
      <w:r>
        <w:rPr>
          <w:color w:val="231F20"/>
          <w:spacing w:val="-4"/>
          <w:sz w:val="16"/>
        </w:rPr>
        <w:t> </w:t>
      </w:r>
      <w:r>
        <w:rPr>
          <w:color w:val="231F20"/>
          <w:sz w:val="16"/>
        </w:rPr>
        <w:t>Hurtado</w:t>
      </w:r>
      <w:r>
        <w:rPr>
          <w:color w:val="231F20"/>
          <w:spacing w:val="-4"/>
          <w:sz w:val="16"/>
        </w:rPr>
        <w:t> </w:t>
      </w:r>
      <w:r>
        <w:rPr>
          <w:color w:val="231F20"/>
          <w:sz w:val="16"/>
        </w:rPr>
        <w:t>tienen</w:t>
      </w:r>
      <w:r>
        <w:rPr>
          <w:color w:val="231F20"/>
          <w:spacing w:val="-4"/>
          <w:sz w:val="16"/>
        </w:rPr>
        <w:t> </w:t>
      </w:r>
      <w:r>
        <w:rPr>
          <w:color w:val="231F20"/>
          <w:sz w:val="16"/>
        </w:rPr>
        <w:t>un</w:t>
      </w:r>
      <w:r>
        <w:rPr>
          <w:color w:val="231F20"/>
          <w:spacing w:val="-4"/>
          <w:sz w:val="16"/>
        </w:rPr>
        <w:t> </w:t>
      </w:r>
      <w:r>
        <w:rPr>
          <w:color w:val="231F20"/>
          <w:sz w:val="16"/>
        </w:rPr>
        <w:t>origen</w:t>
      </w:r>
      <w:r>
        <w:rPr>
          <w:color w:val="231F20"/>
          <w:spacing w:val="-4"/>
          <w:sz w:val="16"/>
        </w:rPr>
        <w:t> </w:t>
      </w:r>
      <w:r>
        <w:rPr>
          <w:color w:val="231F20"/>
          <w:sz w:val="16"/>
        </w:rPr>
        <w:t>académico</w:t>
      </w:r>
      <w:r>
        <w:rPr>
          <w:color w:val="231F20"/>
          <w:spacing w:val="-4"/>
          <w:sz w:val="16"/>
        </w:rPr>
        <w:t> </w:t>
      </w:r>
      <w:r>
        <w:rPr>
          <w:color w:val="231F20"/>
          <w:sz w:val="16"/>
        </w:rPr>
        <w:t>similar,</w:t>
      </w:r>
      <w:r>
        <w:rPr>
          <w:color w:val="231F20"/>
          <w:spacing w:val="-4"/>
          <w:sz w:val="16"/>
        </w:rPr>
        <w:t> </w:t>
      </w:r>
      <w:r>
        <w:rPr>
          <w:color w:val="231F20"/>
          <w:sz w:val="16"/>
        </w:rPr>
        <w:t>pues</w:t>
      </w:r>
      <w:r>
        <w:rPr>
          <w:color w:val="231F20"/>
          <w:spacing w:val="-4"/>
          <w:sz w:val="16"/>
        </w:rPr>
        <w:t> </w:t>
      </w:r>
      <w:r>
        <w:rPr>
          <w:color w:val="231F20"/>
          <w:sz w:val="16"/>
        </w:rPr>
        <w:t>ambos</w:t>
      </w:r>
      <w:r>
        <w:rPr>
          <w:color w:val="231F20"/>
          <w:spacing w:val="-4"/>
          <w:sz w:val="16"/>
        </w:rPr>
        <w:t> </w:t>
      </w:r>
      <w:r>
        <w:rPr>
          <w:color w:val="231F20"/>
          <w:sz w:val="16"/>
        </w:rPr>
        <w:t>provienen de</w:t>
      </w:r>
      <w:r>
        <w:rPr>
          <w:color w:val="231F20"/>
          <w:spacing w:val="-9"/>
          <w:sz w:val="16"/>
        </w:rPr>
        <w:t> </w:t>
      </w:r>
      <w:r>
        <w:rPr>
          <w:color w:val="231F20"/>
          <w:sz w:val="16"/>
        </w:rPr>
        <w:t>la</w:t>
      </w:r>
      <w:r>
        <w:rPr>
          <w:color w:val="231F20"/>
          <w:spacing w:val="-9"/>
          <w:sz w:val="16"/>
        </w:rPr>
        <w:t> </w:t>
      </w:r>
      <w:r>
        <w:rPr>
          <w:color w:val="231F20"/>
          <w:sz w:val="16"/>
        </w:rPr>
        <w:t>ENEP</w:t>
      </w:r>
      <w:r>
        <w:rPr>
          <w:color w:val="231F20"/>
          <w:spacing w:val="-9"/>
          <w:sz w:val="16"/>
        </w:rPr>
        <w:t> </w:t>
      </w:r>
      <w:r>
        <w:rPr>
          <w:color w:val="231F20"/>
          <w:sz w:val="16"/>
        </w:rPr>
        <w:t>Acatlán</w:t>
      </w:r>
      <w:r>
        <w:rPr>
          <w:color w:val="231F20"/>
          <w:spacing w:val="-9"/>
          <w:sz w:val="16"/>
        </w:rPr>
        <w:t> </w:t>
      </w:r>
      <w:r>
        <w:rPr>
          <w:color w:val="231F20"/>
          <w:sz w:val="16"/>
        </w:rPr>
        <w:t>y</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licenciatura</w:t>
      </w:r>
      <w:r>
        <w:rPr>
          <w:color w:val="231F20"/>
          <w:spacing w:val="-9"/>
          <w:sz w:val="16"/>
        </w:rPr>
        <w:t> </w:t>
      </w:r>
      <w:r>
        <w:rPr>
          <w:color w:val="231F20"/>
          <w:sz w:val="16"/>
        </w:rPr>
        <w:t>en</w:t>
      </w:r>
      <w:r>
        <w:rPr>
          <w:color w:val="231F20"/>
          <w:spacing w:val="-9"/>
          <w:sz w:val="16"/>
        </w:rPr>
        <w:t> </w:t>
      </w:r>
      <w:r>
        <w:rPr>
          <w:color w:val="231F20"/>
          <w:sz w:val="16"/>
        </w:rPr>
        <w:t>Derecho.</w:t>
      </w:r>
      <w:r>
        <w:rPr>
          <w:color w:val="231F20"/>
          <w:spacing w:val="-9"/>
          <w:sz w:val="16"/>
        </w:rPr>
        <w:t> </w:t>
      </w:r>
      <w:r>
        <w:rPr>
          <w:color w:val="231F20"/>
          <w:sz w:val="16"/>
        </w:rPr>
        <w:t>Quizá</w:t>
      </w:r>
      <w:r>
        <w:rPr>
          <w:color w:val="231F20"/>
          <w:spacing w:val="-9"/>
          <w:sz w:val="16"/>
        </w:rPr>
        <w:t> </w:t>
      </w:r>
      <w:r>
        <w:rPr>
          <w:color w:val="231F20"/>
          <w:sz w:val="16"/>
        </w:rPr>
        <w:t>esto</w:t>
      </w:r>
      <w:r>
        <w:rPr>
          <w:color w:val="231F20"/>
          <w:spacing w:val="-9"/>
          <w:sz w:val="16"/>
        </w:rPr>
        <w:t> </w:t>
      </w:r>
      <w:r>
        <w:rPr>
          <w:color w:val="231F20"/>
          <w:sz w:val="16"/>
        </w:rPr>
        <w:t>permita</w:t>
      </w:r>
      <w:r>
        <w:rPr>
          <w:color w:val="231F20"/>
          <w:spacing w:val="-9"/>
          <w:sz w:val="16"/>
        </w:rPr>
        <w:t> </w:t>
      </w:r>
      <w:r>
        <w:rPr>
          <w:color w:val="231F20"/>
          <w:sz w:val="16"/>
        </w:rPr>
        <w:t>vislumbrar</w:t>
      </w:r>
      <w:r>
        <w:rPr>
          <w:color w:val="231F20"/>
          <w:spacing w:val="-9"/>
          <w:sz w:val="16"/>
        </w:rPr>
        <w:t> </w:t>
      </w:r>
      <w:r>
        <w:rPr>
          <w:color w:val="231F20"/>
          <w:sz w:val="16"/>
        </w:rPr>
        <w:t>el</w:t>
      </w:r>
      <w:r>
        <w:rPr>
          <w:color w:val="231F20"/>
          <w:spacing w:val="-9"/>
          <w:sz w:val="16"/>
        </w:rPr>
        <w:t> </w:t>
      </w:r>
      <w:r>
        <w:rPr>
          <w:color w:val="231F20"/>
          <w:sz w:val="16"/>
        </w:rPr>
        <w:t>nexo</w:t>
      </w:r>
      <w:r>
        <w:rPr>
          <w:color w:val="231F20"/>
          <w:spacing w:val="-9"/>
          <w:sz w:val="16"/>
        </w:rPr>
        <w:t> </w:t>
      </w:r>
      <w:r>
        <w:rPr>
          <w:color w:val="231F20"/>
          <w:sz w:val="16"/>
        </w:rPr>
        <w:t>que</w:t>
      </w:r>
      <w:r>
        <w:rPr>
          <w:color w:val="231F20"/>
          <w:spacing w:val="-9"/>
          <w:sz w:val="16"/>
        </w:rPr>
        <w:t> </w:t>
      </w:r>
      <w:r>
        <w:rPr>
          <w:color w:val="231F20"/>
          <w:sz w:val="16"/>
        </w:rPr>
        <w:t>permite</w:t>
      </w:r>
      <w:r>
        <w:rPr>
          <w:color w:val="231F20"/>
          <w:spacing w:val="-9"/>
          <w:sz w:val="16"/>
        </w:rPr>
        <w:t> </w:t>
      </w:r>
      <w:r>
        <w:rPr>
          <w:color w:val="231F20"/>
          <w:sz w:val="16"/>
        </w:rPr>
        <w:t>que</w:t>
      </w:r>
      <w:r>
        <w:rPr>
          <w:color w:val="231F20"/>
          <w:spacing w:val="-9"/>
          <w:sz w:val="16"/>
        </w:rPr>
        <w:t> </w:t>
      </w:r>
      <w:r>
        <w:rPr>
          <w:color w:val="231F20"/>
          <w:sz w:val="16"/>
        </w:rPr>
        <w:t>haya</w:t>
      </w:r>
      <w:r>
        <w:rPr>
          <w:color w:val="231F20"/>
          <w:spacing w:val="-9"/>
          <w:sz w:val="16"/>
        </w:rPr>
        <w:t> </w:t>
      </w:r>
      <w:r>
        <w:rPr>
          <w:color w:val="231F20"/>
          <w:sz w:val="16"/>
        </w:rPr>
        <w:t>un</w:t>
      </w:r>
      <w:r>
        <w:rPr>
          <w:color w:val="231F20"/>
          <w:spacing w:val="-9"/>
          <w:sz w:val="16"/>
        </w:rPr>
        <w:t> </w:t>
      </w:r>
      <w:r>
        <w:rPr>
          <w:color w:val="231F20"/>
          <w:sz w:val="16"/>
        </w:rPr>
        <w:t>grado</w:t>
      </w:r>
      <w:r>
        <w:rPr>
          <w:color w:val="231F20"/>
          <w:spacing w:val="-9"/>
          <w:sz w:val="16"/>
        </w:rPr>
        <w:t> </w:t>
      </w:r>
      <w:r>
        <w:rPr>
          <w:color w:val="231F20"/>
          <w:sz w:val="16"/>
        </w:rPr>
        <w:t>de solidaridad</w:t>
      </w:r>
      <w:r>
        <w:rPr>
          <w:color w:val="231F20"/>
          <w:spacing w:val="-6"/>
          <w:sz w:val="16"/>
        </w:rPr>
        <w:t> </w:t>
      </w:r>
      <w:r>
        <w:rPr>
          <w:color w:val="231F20"/>
          <w:sz w:val="16"/>
        </w:rPr>
        <w:t>en</w:t>
      </w:r>
      <w:r>
        <w:rPr>
          <w:color w:val="231F20"/>
          <w:spacing w:val="-6"/>
          <w:sz w:val="16"/>
        </w:rPr>
        <w:t> </w:t>
      </w:r>
      <w:r>
        <w:rPr>
          <w:color w:val="231F20"/>
          <w:sz w:val="16"/>
        </w:rPr>
        <w:t>este</w:t>
      </w:r>
      <w:r>
        <w:rPr>
          <w:color w:val="231F20"/>
          <w:spacing w:val="-6"/>
          <w:sz w:val="16"/>
        </w:rPr>
        <w:t> </w:t>
      </w:r>
      <w:r>
        <w:rPr>
          <w:color w:val="231F20"/>
          <w:sz w:val="16"/>
        </w:rPr>
        <w:t>grupo</w:t>
      </w:r>
      <w:r>
        <w:rPr>
          <w:color w:val="231F20"/>
          <w:spacing w:val="-6"/>
          <w:sz w:val="16"/>
        </w:rPr>
        <w:t> </w:t>
      </w:r>
      <w:r>
        <w:rPr>
          <w:color w:val="231F20"/>
          <w:sz w:val="16"/>
        </w:rPr>
        <w:t>político</w:t>
      </w:r>
      <w:r>
        <w:rPr>
          <w:color w:val="231F20"/>
          <w:spacing w:val="-6"/>
          <w:sz w:val="16"/>
        </w:rPr>
        <w:t> </w:t>
      </w:r>
      <w:r>
        <w:rPr>
          <w:color w:val="231F20"/>
          <w:sz w:val="16"/>
        </w:rPr>
        <w:t>y</w:t>
      </w:r>
      <w:r>
        <w:rPr>
          <w:color w:val="231F20"/>
          <w:spacing w:val="-6"/>
          <w:sz w:val="16"/>
        </w:rPr>
        <w:t> </w:t>
      </w:r>
      <w:r>
        <w:rPr>
          <w:color w:val="231F20"/>
          <w:sz w:val="16"/>
        </w:rPr>
        <w:t>con</w:t>
      </w:r>
      <w:r>
        <w:rPr>
          <w:color w:val="231F20"/>
          <w:spacing w:val="-6"/>
          <w:sz w:val="16"/>
        </w:rPr>
        <w:t> </w:t>
      </w:r>
      <w:r>
        <w:rPr>
          <w:color w:val="231F20"/>
          <w:sz w:val="16"/>
        </w:rPr>
        <w:t>estos</w:t>
      </w:r>
      <w:r>
        <w:rPr>
          <w:color w:val="231F20"/>
          <w:spacing w:val="-6"/>
          <w:sz w:val="16"/>
        </w:rPr>
        <w:t> </w:t>
      </w:r>
      <w:r>
        <w:rPr>
          <w:color w:val="231F20"/>
          <w:sz w:val="16"/>
        </w:rPr>
        <w:t>dos</w:t>
      </w:r>
      <w:r>
        <w:rPr>
          <w:color w:val="231F20"/>
          <w:spacing w:val="-6"/>
          <w:sz w:val="16"/>
        </w:rPr>
        <w:t> </w:t>
      </w:r>
      <w:r>
        <w:rPr>
          <w:color w:val="231F20"/>
          <w:sz w:val="16"/>
        </w:rPr>
        <w:t>liderazgos.</w:t>
      </w:r>
    </w:p>
    <w:p>
      <w:pPr>
        <w:spacing w:after="0" w:line="244" w:lineRule="auto"/>
        <w:jc w:val="both"/>
        <w:rPr>
          <w:sz w:val="16"/>
        </w:rPr>
        <w:sectPr>
          <w:footerReference w:type="default" r:id="rId650"/>
          <w:pgSz w:w="9640" w:h="12190"/>
          <w:pgMar w:footer="743" w:header="0" w:top="1120" w:bottom="940" w:left="740" w:right="740"/>
          <w:pgNumType w:start="290"/>
        </w:sectPr>
      </w:pPr>
    </w:p>
    <w:p>
      <w:pPr>
        <w:pStyle w:val="BodyText"/>
        <w:spacing w:before="8"/>
        <w:rPr>
          <w:rFonts w:ascii="Calibri"/>
          <w:sz w:val="10"/>
        </w:rPr>
      </w:pPr>
    </w:p>
    <w:p>
      <w:pPr>
        <w:pStyle w:val="BodyText"/>
        <w:spacing w:line="285" w:lineRule="auto" w:before="35"/>
        <w:ind w:left="110" w:right="107"/>
        <w:jc w:val="both"/>
      </w:pPr>
      <w:r>
        <w:rPr>
          <w:color w:val="231F20"/>
          <w:w w:val="105"/>
        </w:rPr>
        <w:t>rumbo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presidencia</w:t>
      </w:r>
      <w:r>
        <w:rPr>
          <w:color w:val="231F20"/>
          <w:spacing w:val="-10"/>
          <w:w w:val="105"/>
        </w:rPr>
        <w:t> </w:t>
      </w:r>
      <w:r>
        <w:rPr>
          <w:color w:val="231F20"/>
          <w:w w:val="105"/>
        </w:rPr>
        <w:t>municipal</w:t>
      </w:r>
      <w:r>
        <w:rPr>
          <w:color w:val="231F20"/>
          <w:spacing w:val="-10"/>
          <w:w w:val="105"/>
        </w:rPr>
        <w:t> </w:t>
      </w:r>
      <w:r>
        <w:rPr>
          <w:color w:val="231F20"/>
          <w:w w:val="105"/>
        </w:rPr>
        <w:t>de</w:t>
      </w:r>
      <w:r>
        <w:rPr>
          <w:color w:val="231F20"/>
          <w:spacing w:val="-10"/>
          <w:w w:val="105"/>
        </w:rPr>
        <w:t> </w:t>
      </w:r>
      <w:r>
        <w:rPr>
          <w:color w:val="231F20"/>
          <w:w w:val="105"/>
        </w:rPr>
        <w:t>Tlalnepantla</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apoyo</w:t>
      </w:r>
      <w:r>
        <w:rPr>
          <w:color w:val="231F20"/>
          <w:spacing w:val="-10"/>
          <w:w w:val="105"/>
        </w:rPr>
        <w:t> </w:t>
      </w:r>
      <w:r>
        <w:rPr>
          <w:color w:val="231F20"/>
          <w:w w:val="105"/>
        </w:rPr>
        <w:t>brindado</w:t>
      </w:r>
      <w:r>
        <w:rPr>
          <w:color w:val="231F20"/>
          <w:spacing w:val="-10"/>
          <w:w w:val="105"/>
        </w:rPr>
        <w:t> </w:t>
      </w:r>
      <w:r>
        <w:rPr>
          <w:color w:val="231F20"/>
          <w:w w:val="105"/>
        </w:rPr>
        <w:t>a</w:t>
      </w:r>
      <w:r>
        <w:rPr>
          <w:color w:val="231F20"/>
          <w:spacing w:val="-10"/>
          <w:w w:val="105"/>
        </w:rPr>
        <w:t> </w:t>
      </w:r>
      <w:r>
        <w:rPr>
          <w:color w:val="231F20"/>
          <w:spacing w:val="2"/>
          <w:w w:val="105"/>
        </w:rPr>
        <w:t>Arturo</w:t>
      </w:r>
      <w:r>
        <w:rPr>
          <w:color w:val="231F20"/>
          <w:spacing w:val="-10"/>
          <w:w w:val="105"/>
        </w:rPr>
        <w:t> </w:t>
      </w:r>
      <w:r>
        <w:rPr>
          <w:color w:val="231F20"/>
          <w:w w:val="105"/>
        </w:rPr>
        <w:t>Ugalde Meneses, fue el primer episodio del rompimiento con el Revolucionario Institucional. Después,</w:t>
      </w:r>
      <w:r>
        <w:rPr>
          <w:color w:val="231F20"/>
          <w:spacing w:val="-22"/>
          <w:w w:val="105"/>
        </w:rPr>
        <w:t> </w:t>
      </w:r>
      <w:r>
        <w:rPr>
          <w:color w:val="231F20"/>
          <w:w w:val="105"/>
        </w:rPr>
        <w:t>Mendoza</w:t>
      </w:r>
      <w:r>
        <w:rPr>
          <w:color w:val="231F20"/>
          <w:spacing w:val="-22"/>
          <w:w w:val="105"/>
        </w:rPr>
        <w:t> </w:t>
      </w:r>
      <w:r>
        <w:rPr>
          <w:color w:val="231F20"/>
          <w:w w:val="105"/>
        </w:rPr>
        <w:t>Ayala</w:t>
      </w:r>
      <w:r>
        <w:rPr>
          <w:color w:val="231F20"/>
          <w:spacing w:val="-22"/>
          <w:w w:val="105"/>
        </w:rPr>
        <w:t> </w:t>
      </w:r>
      <w:r>
        <w:rPr>
          <w:color w:val="231F20"/>
          <w:w w:val="105"/>
        </w:rPr>
        <w:t>sería</w:t>
      </w:r>
      <w:r>
        <w:rPr>
          <w:color w:val="231F20"/>
          <w:spacing w:val="-22"/>
          <w:w w:val="105"/>
        </w:rPr>
        <w:t> </w:t>
      </w:r>
      <w:r>
        <w:rPr>
          <w:color w:val="231F20"/>
          <w:w w:val="105"/>
        </w:rPr>
        <w:t>excluido</w:t>
      </w:r>
      <w:r>
        <w:rPr>
          <w:color w:val="231F20"/>
          <w:spacing w:val="-22"/>
          <w:w w:val="105"/>
        </w:rPr>
        <w:t> </w:t>
      </w:r>
      <w:r>
        <w:rPr>
          <w:color w:val="231F20"/>
          <w:w w:val="105"/>
        </w:rPr>
        <w:t>de</w:t>
      </w:r>
      <w:r>
        <w:rPr>
          <w:color w:val="231F20"/>
          <w:spacing w:val="-22"/>
          <w:w w:val="105"/>
        </w:rPr>
        <w:t> </w:t>
      </w:r>
      <w:r>
        <w:rPr>
          <w:color w:val="231F20"/>
          <w:w w:val="105"/>
        </w:rPr>
        <w:t>actividades</w:t>
      </w:r>
      <w:r>
        <w:rPr>
          <w:color w:val="231F20"/>
          <w:spacing w:val="-22"/>
          <w:w w:val="105"/>
        </w:rPr>
        <w:t> </w:t>
      </w:r>
      <w:r>
        <w:rPr>
          <w:color w:val="231F20"/>
          <w:w w:val="105"/>
        </w:rPr>
        <w:t>partidistas</w:t>
      </w:r>
      <w:r>
        <w:rPr>
          <w:color w:val="231F20"/>
          <w:spacing w:val="-22"/>
          <w:w w:val="105"/>
        </w:rPr>
        <w:t> </w:t>
      </w:r>
      <w:r>
        <w:rPr>
          <w:color w:val="231F20"/>
          <w:w w:val="105"/>
        </w:rPr>
        <w:t>por</w:t>
      </w:r>
      <w:r>
        <w:rPr>
          <w:color w:val="231F20"/>
          <w:spacing w:val="-22"/>
          <w:w w:val="105"/>
        </w:rPr>
        <w:t> </w:t>
      </w:r>
      <w:r>
        <w:rPr>
          <w:color w:val="231F20"/>
          <w:w w:val="105"/>
        </w:rPr>
        <w:t>Ma.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Ánge- les</w:t>
      </w:r>
      <w:r>
        <w:rPr>
          <w:color w:val="231F20"/>
          <w:spacing w:val="-5"/>
          <w:w w:val="105"/>
        </w:rPr>
        <w:t> </w:t>
      </w:r>
      <w:r>
        <w:rPr>
          <w:color w:val="231F20"/>
          <w:spacing w:val="-3"/>
          <w:w w:val="105"/>
        </w:rPr>
        <w:t>Moreno</w:t>
      </w:r>
      <w:r>
        <w:rPr>
          <w:color w:val="231F20"/>
          <w:spacing w:val="-5"/>
          <w:w w:val="105"/>
        </w:rPr>
        <w:t> </w:t>
      </w:r>
      <w:r>
        <w:rPr>
          <w:color w:val="231F20"/>
          <w:w w:val="105"/>
        </w:rPr>
        <w:t>(Presidenta</w:t>
      </w:r>
      <w:r>
        <w:rPr>
          <w:color w:val="231F20"/>
          <w:spacing w:val="-5"/>
          <w:w w:val="105"/>
        </w:rPr>
        <w:t> </w:t>
      </w:r>
      <w:r>
        <w:rPr>
          <w:color w:val="231F20"/>
          <w:w w:val="105"/>
        </w:rPr>
        <w:t>del</w:t>
      </w:r>
      <w:r>
        <w:rPr>
          <w:color w:val="231F20"/>
          <w:spacing w:val="-5"/>
          <w:w w:val="105"/>
        </w:rPr>
        <w:t> </w:t>
      </w:r>
      <w:r>
        <w:rPr>
          <w:color w:val="231F20"/>
          <w:w w:val="105"/>
        </w:rPr>
        <w:t>PRI)</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Gobernador</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entidad,</w:t>
      </w:r>
      <w:r>
        <w:rPr>
          <w:color w:val="231F20"/>
          <w:spacing w:val="-5"/>
          <w:w w:val="105"/>
        </w:rPr>
        <w:t> </w:t>
      </w:r>
      <w:r>
        <w:rPr>
          <w:color w:val="231F20"/>
          <w:w w:val="105"/>
        </w:rPr>
        <w:t>hasta</w:t>
      </w:r>
      <w:r>
        <w:rPr>
          <w:color w:val="231F20"/>
          <w:spacing w:val="-5"/>
          <w:w w:val="105"/>
        </w:rPr>
        <w:t> </w:t>
      </w:r>
      <w:r>
        <w:rPr>
          <w:color w:val="231F20"/>
          <w:w w:val="105"/>
        </w:rPr>
        <w:t>1995,</w:t>
      </w:r>
      <w:r>
        <w:rPr>
          <w:color w:val="231F20"/>
          <w:spacing w:val="-5"/>
          <w:w w:val="105"/>
        </w:rPr>
        <w:t> </w:t>
      </w:r>
      <w:r>
        <w:rPr>
          <w:color w:val="231F20"/>
          <w:w w:val="105"/>
        </w:rPr>
        <w:t>año</w:t>
      </w:r>
      <w:r>
        <w:rPr>
          <w:color w:val="231F20"/>
          <w:spacing w:val="-5"/>
          <w:w w:val="105"/>
        </w:rPr>
        <w:t> </w:t>
      </w:r>
      <w:r>
        <w:rPr>
          <w:color w:val="231F20"/>
          <w:w w:val="105"/>
        </w:rPr>
        <w:t>en</w:t>
      </w:r>
      <w:r>
        <w:rPr>
          <w:color w:val="231F20"/>
          <w:spacing w:val="-5"/>
          <w:w w:val="105"/>
        </w:rPr>
        <w:t> </w:t>
      </w:r>
      <w:r>
        <w:rPr>
          <w:color w:val="231F20"/>
          <w:w w:val="105"/>
        </w:rPr>
        <w:t>que fundó</w:t>
      </w:r>
      <w:r>
        <w:rPr>
          <w:color w:val="231F20"/>
          <w:spacing w:val="-23"/>
          <w:w w:val="105"/>
        </w:rPr>
        <w:t> </w:t>
      </w:r>
      <w:r>
        <w:rPr>
          <w:color w:val="231F20"/>
          <w:w w:val="105"/>
        </w:rPr>
        <w:t>el</w:t>
      </w:r>
      <w:r>
        <w:rPr>
          <w:color w:val="231F20"/>
          <w:spacing w:val="-23"/>
          <w:w w:val="105"/>
        </w:rPr>
        <w:t> </w:t>
      </w:r>
      <w:r>
        <w:rPr>
          <w:color w:val="231F20"/>
          <w:w w:val="105"/>
        </w:rPr>
        <w:t>Consejo</w:t>
      </w:r>
      <w:r>
        <w:rPr>
          <w:color w:val="231F20"/>
          <w:spacing w:val="-23"/>
          <w:w w:val="105"/>
        </w:rPr>
        <w:t> </w:t>
      </w:r>
      <w:r>
        <w:rPr>
          <w:color w:val="231F20"/>
          <w:w w:val="105"/>
        </w:rPr>
        <w:t>Cívico</w:t>
      </w:r>
      <w:r>
        <w:rPr>
          <w:color w:val="231F20"/>
          <w:spacing w:val="-23"/>
          <w:w w:val="105"/>
        </w:rPr>
        <w:t> </w:t>
      </w:r>
      <w:r>
        <w:rPr>
          <w:color w:val="231F20"/>
          <w:w w:val="105"/>
        </w:rPr>
        <w:t>de</w:t>
      </w:r>
      <w:r>
        <w:rPr>
          <w:color w:val="231F20"/>
          <w:spacing w:val="-23"/>
          <w:w w:val="105"/>
        </w:rPr>
        <w:t> </w:t>
      </w:r>
      <w:r>
        <w:rPr>
          <w:color w:val="231F20"/>
          <w:w w:val="105"/>
        </w:rPr>
        <w:t>Tlalnepantla,</w:t>
      </w:r>
      <w:r>
        <w:rPr>
          <w:color w:val="231F20"/>
          <w:spacing w:val="-23"/>
          <w:w w:val="105"/>
        </w:rPr>
        <w:t> </w:t>
      </w:r>
      <w:r>
        <w:rPr>
          <w:color w:val="231F20"/>
          <w:w w:val="105"/>
        </w:rPr>
        <w:t>bajo</w:t>
      </w:r>
      <w:r>
        <w:rPr>
          <w:color w:val="231F20"/>
          <w:spacing w:val="-23"/>
          <w:w w:val="105"/>
        </w:rPr>
        <w:t> </w:t>
      </w:r>
      <w:r>
        <w:rPr>
          <w:color w:val="231F20"/>
          <w:w w:val="105"/>
        </w:rPr>
        <w:t>dos</w:t>
      </w:r>
      <w:r>
        <w:rPr>
          <w:color w:val="231F20"/>
          <w:spacing w:val="-23"/>
          <w:w w:val="105"/>
        </w:rPr>
        <w:t> </w:t>
      </w:r>
      <w:r>
        <w:rPr>
          <w:color w:val="231F20"/>
          <w:w w:val="105"/>
        </w:rPr>
        <w:t>premisas:</w:t>
      </w:r>
      <w:r>
        <w:rPr>
          <w:color w:val="231F20"/>
          <w:spacing w:val="-23"/>
          <w:w w:val="105"/>
        </w:rPr>
        <w:t> </w:t>
      </w:r>
      <w:r>
        <w:rPr>
          <w:color w:val="231F20"/>
          <w:w w:val="105"/>
        </w:rPr>
        <w:t>ser</w:t>
      </w:r>
      <w:r>
        <w:rPr>
          <w:color w:val="231F20"/>
          <w:spacing w:val="-23"/>
          <w:w w:val="105"/>
        </w:rPr>
        <w:t> </w:t>
      </w:r>
      <w:r>
        <w:rPr>
          <w:color w:val="231F20"/>
          <w:w w:val="105"/>
        </w:rPr>
        <w:t>una</w:t>
      </w:r>
      <w:r>
        <w:rPr>
          <w:color w:val="231F20"/>
          <w:spacing w:val="-23"/>
          <w:w w:val="105"/>
        </w:rPr>
        <w:t> </w:t>
      </w:r>
      <w:r>
        <w:rPr>
          <w:color w:val="231F20"/>
          <w:w w:val="105"/>
        </w:rPr>
        <w:t>instancia</w:t>
      </w:r>
      <w:r>
        <w:rPr>
          <w:color w:val="231F20"/>
          <w:spacing w:val="-23"/>
          <w:w w:val="105"/>
        </w:rPr>
        <w:t> </w:t>
      </w:r>
      <w:r>
        <w:rPr>
          <w:color w:val="231F20"/>
          <w:w w:val="105"/>
        </w:rPr>
        <w:t>ciudadana para reclamar la atención de temas </w:t>
      </w:r>
      <w:r>
        <w:rPr>
          <w:color w:val="231F20"/>
          <w:spacing w:val="2"/>
          <w:w w:val="105"/>
        </w:rPr>
        <w:t>al </w:t>
      </w:r>
      <w:r>
        <w:rPr>
          <w:color w:val="231F20"/>
          <w:w w:val="105"/>
        </w:rPr>
        <w:t>gobierno municipal, y crear una estructura polí- tico territorial que pudiera ganarle </w:t>
      </w:r>
      <w:r>
        <w:rPr>
          <w:color w:val="231F20"/>
          <w:spacing w:val="2"/>
          <w:w w:val="105"/>
        </w:rPr>
        <w:t>al </w:t>
      </w:r>
      <w:r>
        <w:rPr>
          <w:color w:val="231F20"/>
          <w:w w:val="105"/>
        </w:rPr>
        <w:t>PRI a través de otro partido político en </w:t>
      </w:r>
      <w:r>
        <w:rPr>
          <w:color w:val="231F20"/>
          <w:spacing w:val="2"/>
          <w:w w:val="105"/>
        </w:rPr>
        <w:t>virtud </w:t>
      </w:r>
      <w:r>
        <w:rPr>
          <w:color w:val="231F20"/>
          <w:w w:val="105"/>
        </w:rPr>
        <w:t>de la</w:t>
      </w:r>
      <w:r>
        <w:rPr>
          <w:color w:val="231F20"/>
          <w:spacing w:val="-17"/>
          <w:w w:val="105"/>
        </w:rPr>
        <w:t> </w:t>
      </w:r>
      <w:r>
        <w:rPr>
          <w:color w:val="231F20"/>
          <w:w w:val="105"/>
        </w:rPr>
        <w:t>cerrazón</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PRI.</w:t>
      </w:r>
    </w:p>
    <w:p>
      <w:pPr>
        <w:pStyle w:val="BodyText"/>
        <w:spacing w:before="1"/>
        <w:rPr>
          <w:sz w:val="26"/>
        </w:rPr>
      </w:pPr>
    </w:p>
    <w:p>
      <w:pPr>
        <w:pStyle w:val="BodyText"/>
        <w:spacing w:line="285" w:lineRule="auto"/>
        <w:ind w:left="110" w:right="107"/>
        <w:jc w:val="both"/>
      </w:pPr>
      <w:r>
        <w:rPr>
          <w:color w:val="231F20"/>
          <w:w w:val="105"/>
        </w:rPr>
        <w:t>Para</w:t>
      </w:r>
      <w:r>
        <w:rPr>
          <w:color w:val="231F20"/>
          <w:spacing w:val="-14"/>
          <w:w w:val="105"/>
        </w:rPr>
        <w:t> </w:t>
      </w:r>
      <w:r>
        <w:rPr>
          <w:color w:val="231F20"/>
          <w:w w:val="105"/>
        </w:rPr>
        <w:t>esas</w:t>
      </w:r>
      <w:r>
        <w:rPr>
          <w:color w:val="231F20"/>
          <w:spacing w:val="-14"/>
          <w:w w:val="105"/>
        </w:rPr>
        <w:t> </w:t>
      </w:r>
      <w:r>
        <w:rPr>
          <w:color w:val="231F20"/>
          <w:w w:val="105"/>
        </w:rPr>
        <w:t>elecciones,</w:t>
      </w:r>
      <w:r>
        <w:rPr>
          <w:color w:val="231F20"/>
          <w:spacing w:val="-14"/>
          <w:w w:val="105"/>
        </w:rPr>
        <w:t> </w:t>
      </w:r>
      <w:r>
        <w:rPr>
          <w:color w:val="231F20"/>
          <w:w w:val="105"/>
        </w:rPr>
        <w:t>consigue</w:t>
      </w:r>
      <w:r>
        <w:rPr>
          <w:color w:val="231F20"/>
          <w:spacing w:val="-14"/>
          <w:w w:val="105"/>
        </w:rPr>
        <w:t> </w:t>
      </w:r>
      <w:r>
        <w:rPr>
          <w:color w:val="231F20"/>
          <w:w w:val="105"/>
        </w:rPr>
        <w:t>la</w:t>
      </w:r>
      <w:r>
        <w:rPr>
          <w:color w:val="231F20"/>
          <w:spacing w:val="-14"/>
          <w:w w:val="105"/>
        </w:rPr>
        <w:t> </w:t>
      </w:r>
      <w:r>
        <w:rPr>
          <w:color w:val="231F20"/>
          <w:w w:val="105"/>
        </w:rPr>
        <w:t>candidatura</w:t>
      </w:r>
      <w:r>
        <w:rPr>
          <w:color w:val="231F20"/>
          <w:spacing w:val="-14"/>
          <w:w w:val="105"/>
        </w:rPr>
        <w:t> </w:t>
      </w:r>
      <w:r>
        <w:rPr>
          <w:color w:val="231F20"/>
          <w:w w:val="105"/>
        </w:rPr>
        <w:t>del</w:t>
      </w:r>
      <w:r>
        <w:rPr>
          <w:color w:val="231F20"/>
          <w:spacing w:val="-14"/>
          <w:w w:val="105"/>
        </w:rPr>
        <w:t> </w:t>
      </w:r>
      <w:r>
        <w:rPr>
          <w:color w:val="231F20"/>
          <w:spacing w:val="-4"/>
          <w:w w:val="105"/>
        </w:rPr>
        <w:t>PAN</w:t>
      </w:r>
      <w:r>
        <w:rPr>
          <w:color w:val="231F20"/>
          <w:spacing w:val="-14"/>
          <w:w w:val="105"/>
        </w:rPr>
        <w:t> </w:t>
      </w:r>
      <w:r>
        <w:rPr>
          <w:color w:val="231F20"/>
          <w:w w:val="105"/>
        </w:rPr>
        <w:t>sobre</w:t>
      </w:r>
      <w:r>
        <w:rPr>
          <w:color w:val="231F20"/>
          <w:spacing w:val="-14"/>
          <w:w w:val="105"/>
        </w:rPr>
        <w:t> </w:t>
      </w:r>
      <w:r>
        <w:rPr>
          <w:color w:val="231F20"/>
          <w:w w:val="105"/>
        </w:rPr>
        <w:t>Laura</w:t>
      </w:r>
      <w:r>
        <w:rPr>
          <w:color w:val="231F20"/>
          <w:spacing w:val="-14"/>
          <w:w w:val="105"/>
        </w:rPr>
        <w:t> </w:t>
      </w:r>
      <w:r>
        <w:rPr>
          <w:color w:val="231F20"/>
          <w:w w:val="105"/>
        </w:rPr>
        <w:t>Pandal,</w:t>
      </w:r>
      <w:r>
        <w:rPr>
          <w:color w:val="231F20"/>
          <w:spacing w:val="-14"/>
          <w:w w:val="105"/>
        </w:rPr>
        <w:t> </w:t>
      </w:r>
      <w:r>
        <w:rPr>
          <w:color w:val="231F20"/>
          <w:w w:val="105"/>
        </w:rPr>
        <w:t>pero</w:t>
      </w:r>
      <w:r>
        <w:rPr>
          <w:color w:val="231F20"/>
          <w:spacing w:val="-14"/>
          <w:w w:val="105"/>
        </w:rPr>
        <w:t> </w:t>
      </w:r>
      <w:r>
        <w:rPr>
          <w:color w:val="231F20"/>
          <w:w w:val="105"/>
        </w:rPr>
        <w:t>debido a</w:t>
      </w:r>
      <w:r>
        <w:rPr>
          <w:color w:val="231F20"/>
          <w:spacing w:val="-22"/>
          <w:w w:val="105"/>
        </w:rPr>
        <w:t> </w:t>
      </w:r>
      <w:r>
        <w:rPr>
          <w:color w:val="231F20"/>
          <w:w w:val="105"/>
        </w:rPr>
        <w:t>su</w:t>
      </w:r>
      <w:r>
        <w:rPr>
          <w:color w:val="231F20"/>
          <w:spacing w:val="-22"/>
          <w:w w:val="105"/>
        </w:rPr>
        <w:t> </w:t>
      </w:r>
      <w:r>
        <w:rPr>
          <w:color w:val="231F20"/>
          <w:w w:val="105"/>
        </w:rPr>
        <w:t>poca</w:t>
      </w:r>
      <w:r>
        <w:rPr>
          <w:color w:val="231F20"/>
          <w:spacing w:val="-22"/>
          <w:w w:val="105"/>
        </w:rPr>
        <w:t> </w:t>
      </w:r>
      <w:r>
        <w:rPr>
          <w:color w:val="231F20"/>
          <w:w w:val="105"/>
        </w:rPr>
        <w:t>aceptación</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militancia,</w:t>
      </w:r>
      <w:r>
        <w:rPr>
          <w:color w:val="231F20"/>
          <w:spacing w:val="-22"/>
          <w:w w:val="105"/>
        </w:rPr>
        <w:t> </w:t>
      </w:r>
      <w:r>
        <w:rPr>
          <w:color w:val="231F20"/>
          <w:w w:val="105"/>
        </w:rPr>
        <w:t>el</w:t>
      </w:r>
      <w:r>
        <w:rPr>
          <w:color w:val="231F20"/>
          <w:spacing w:val="-22"/>
          <w:w w:val="105"/>
        </w:rPr>
        <w:t> </w:t>
      </w:r>
      <w:r>
        <w:rPr>
          <w:color w:val="231F20"/>
          <w:w w:val="105"/>
        </w:rPr>
        <w:t>presidente</w:t>
      </w:r>
      <w:r>
        <w:rPr>
          <w:color w:val="231F20"/>
          <w:spacing w:val="-22"/>
          <w:w w:val="105"/>
        </w:rPr>
        <w:t> </w:t>
      </w:r>
      <w:r>
        <w:rPr>
          <w:color w:val="231F20"/>
          <w:w w:val="105"/>
        </w:rPr>
        <w:t>del</w:t>
      </w:r>
      <w:r>
        <w:rPr>
          <w:color w:val="231F20"/>
          <w:spacing w:val="-22"/>
          <w:w w:val="105"/>
        </w:rPr>
        <w:t> </w:t>
      </w:r>
      <w:r>
        <w:rPr>
          <w:color w:val="231F20"/>
          <w:spacing w:val="-4"/>
          <w:w w:val="105"/>
        </w:rPr>
        <w:t>PAN</w:t>
      </w:r>
      <w:r>
        <w:rPr>
          <w:color w:val="231F20"/>
          <w:spacing w:val="-22"/>
          <w:w w:val="105"/>
        </w:rPr>
        <w:t> </w:t>
      </w:r>
      <w:r>
        <w:rPr>
          <w:color w:val="231F20"/>
          <w:w w:val="105"/>
        </w:rPr>
        <w:t>Felipe</w:t>
      </w:r>
      <w:r>
        <w:rPr>
          <w:color w:val="231F20"/>
          <w:spacing w:val="-22"/>
          <w:w w:val="105"/>
        </w:rPr>
        <w:t> </w:t>
      </w:r>
      <w:r>
        <w:rPr>
          <w:color w:val="231F20"/>
          <w:w w:val="105"/>
        </w:rPr>
        <w:t>Calderón</w:t>
      </w:r>
      <w:r>
        <w:rPr>
          <w:color w:val="231F20"/>
          <w:spacing w:val="-22"/>
          <w:w w:val="105"/>
        </w:rPr>
        <w:t> </w:t>
      </w:r>
      <w:r>
        <w:rPr>
          <w:color w:val="231F20"/>
          <w:w w:val="105"/>
        </w:rPr>
        <w:t>lo</w:t>
      </w:r>
      <w:r>
        <w:rPr>
          <w:color w:val="231F20"/>
          <w:spacing w:val="-22"/>
          <w:w w:val="105"/>
        </w:rPr>
        <w:t> </w:t>
      </w:r>
      <w:r>
        <w:rPr>
          <w:color w:val="231F20"/>
          <w:w w:val="105"/>
        </w:rPr>
        <w:t>separa</w:t>
      </w:r>
      <w:r>
        <w:rPr>
          <w:color w:val="231F20"/>
          <w:spacing w:val="-22"/>
          <w:w w:val="105"/>
        </w:rPr>
        <w:t> </w:t>
      </w:r>
      <w:r>
        <w:rPr>
          <w:color w:val="231F20"/>
          <w:w w:val="105"/>
        </w:rPr>
        <w:t>de la</w:t>
      </w:r>
      <w:r>
        <w:rPr>
          <w:color w:val="231F20"/>
          <w:spacing w:val="-19"/>
          <w:w w:val="105"/>
        </w:rPr>
        <w:t> </w:t>
      </w:r>
      <w:r>
        <w:rPr>
          <w:color w:val="231F20"/>
          <w:w w:val="105"/>
        </w:rPr>
        <w:t>candidatura</w:t>
      </w:r>
      <w:r>
        <w:rPr>
          <w:color w:val="231F20"/>
          <w:spacing w:val="-19"/>
          <w:w w:val="105"/>
        </w:rPr>
        <w:t> </w:t>
      </w:r>
      <w:r>
        <w:rPr>
          <w:color w:val="231F20"/>
          <w:w w:val="105"/>
        </w:rPr>
        <w:t>y</w:t>
      </w:r>
      <w:r>
        <w:rPr>
          <w:color w:val="231F20"/>
          <w:spacing w:val="-19"/>
          <w:w w:val="105"/>
        </w:rPr>
        <w:t> </w:t>
      </w:r>
      <w:r>
        <w:rPr>
          <w:color w:val="231F20"/>
          <w:w w:val="105"/>
        </w:rPr>
        <w:t>se</w:t>
      </w:r>
      <w:r>
        <w:rPr>
          <w:color w:val="231F20"/>
          <w:spacing w:val="-19"/>
          <w:w w:val="105"/>
        </w:rPr>
        <w:t> </w:t>
      </w:r>
      <w:r>
        <w:rPr>
          <w:color w:val="231F20"/>
          <w:w w:val="105"/>
        </w:rPr>
        <w:t>la</w:t>
      </w:r>
      <w:r>
        <w:rPr>
          <w:color w:val="231F20"/>
          <w:spacing w:val="-19"/>
          <w:w w:val="105"/>
        </w:rPr>
        <w:t> </w:t>
      </w:r>
      <w:r>
        <w:rPr>
          <w:color w:val="231F20"/>
          <w:w w:val="105"/>
        </w:rPr>
        <w:t>otorga</w:t>
      </w:r>
      <w:r>
        <w:rPr>
          <w:color w:val="231F20"/>
          <w:spacing w:val="-19"/>
          <w:w w:val="105"/>
        </w:rPr>
        <w:t> </w:t>
      </w:r>
      <w:r>
        <w:rPr>
          <w:color w:val="231F20"/>
          <w:w w:val="105"/>
        </w:rPr>
        <w:t>a</w:t>
      </w:r>
      <w:r>
        <w:rPr>
          <w:color w:val="231F20"/>
          <w:spacing w:val="-19"/>
          <w:w w:val="105"/>
        </w:rPr>
        <w:t> </w:t>
      </w:r>
      <w:r>
        <w:rPr>
          <w:color w:val="231F20"/>
          <w:w w:val="105"/>
        </w:rPr>
        <w:t>Ruth</w:t>
      </w:r>
      <w:r>
        <w:rPr>
          <w:color w:val="231F20"/>
          <w:spacing w:val="-19"/>
          <w:w w:val="105"/>
        </w:rPr>
        <w:t> </w:t>
      </w:r>
      <w:r>
        <w:rPr>
          <w:color w:val="231F20"/>
          <w:w w:val="105"/>
        </w:rPr>
        <w:t>Olvera,</w:t>
      </w:r>
      <w:r>
        <w:rPr>
          <w:color w:val="231F20"/>
          <w:spacing w:val="-19"/>
          <w:w w:val="105"/>
        </w:rPr>
        <w:t> </w:t>
      </w:r>
      <w:r>
        <w:rPr>
          <w:color w:val="231F20"/>
          <w:w w:val="105"/>
        </w:rPr>
        <w:t>quien</w:t>
      </w:r>
      <w:r>
        <w:rPr>
          <w:color w:val="231F20"/>
          <w:spacing w:val="-19"/>
          <w:w w:val="105"/>
        </w:rPr>
        <w:t> </w:t>
      </w:r>
      <w:r>
        <w:rPr>
          <w:color w:val="231F20"/>
          <w:w w:val="105"/>
        </w:rPr>
        <w:t>había</w:t>
      </w:r>
      <w:r>
        <w:rPr>
          <w:color w:val="231F20"/>
          <w:spacing w:val="-19"/>
          <w:w w:val="105"/>
        </w:rPr>
        <w:t> </w:t>
      </w:r>
      <w:r>
        <w:rPr>
          <w:color w:val="231F20"/>
          <w:w w:val="105"/>
        </w:rPr>
        <w:t>apoyado</w:t>
      </w:r>
      <w:r>
        <w:rPr>
          <w:color w:val="231F20"/>
          <w:spacing w:val="-19"/>
          <w:w w:val="105"/>
        </w:rPr>
        <w:t> </w:t>
      </w:r>
      <w:r>
        <w:rPr>
          <w:color w:val="231F20"/>
          <w:w w:val="105"/>
        </w:rPr>
        <w:t>a</w:t>
      </w:r>
      <w:r>
        <w:rPr>
          <w:color w:val="231F20"/>
          <w:spacing w:val="-19"/>
          <w:w w:val="105"/>
        </w:rPr>
        <w:t> </w:t>
      </w:r>
      <w:r>
        <w:rPr>
          <w:color w:val="231F20"/>
          <w:w w:val="105"/>
        </w:rPr>
        <w:t>Mendoza</w:t>
      </w:r>
      <w:r>
        <w:rPr>
          <w:color w:val="231F20"/>
          <w:spacing w:val="-19"/>
          <w:w w:val="105"/>
        </w:rPr>
        <w:t> </w:t>
      </w:r>
      <w:r>
        <w:rPr>
          <w:color w:val="231F20"/>
          <w:w w:val="105"/>
        </w:rPr>
        <w:t>a</w:t>
      </w:r>
      <w:r>
        <w:rPr>
          <w:color w:val="231F20"/>
          <w:spacing w:val="-19"/>
          <w:w w:val="105"/>
        </w:rPr>
        <w:t> </w:t>
      </w:r>
      <w:r>
        <w:rPr>
          <w:color w:val="231F20"/>
          <w:w w:val="105"/>
        </w:rPr>
        <w:t>su</w:t>
      </w:r>
      <w:r>
        <w:rPr>
          <w:color w:val="231F20"/>
          <w:spacing w:val="-19"/>
          <w:w w:val="105"/>
        </w:rPr>
        <w:t> </w:t>
      </w:r>
      <w:r>
        <w:rPr>
          <w:color w:val="231F20"/>
          <w:w w:val="105"/>
        </w:rPr>
        <w:t>llegada </w:t>
      </w:r>
      <w:r>
        <w:rPr>
          <w:color w:val="231F20"/>
          <w:spacing w:val="2"/>
          <w:w w:val="105"/>
        </w:rPr>
        <w:t>al</w:t>
      </w:r>
      <w:r>
        <w:rPr>
          <w:color w:val="231F20"/>
          <w:spacing w:val="-6"/>
          <w:w w:val="105"/>
        </w:rPr>
        <w:t> </w:t>
      </w:r>
      <w:r>
        <w:rPr>
          <w:color w:val="231F20"/>
          <w:spacing w:val="-4"/>
          <w:w w:val="105"/>
        </w:rPr>
        <w:t>PAN.</w:t>
      </w:r>
      <w:r>
        <w:rPr>
          <w:color w:val="231F20"/>
          <w:spacing w:val="-6"/>
          <w:w w:val="105"/>
        </w:rPr>
        <w:t> </w:t>
      </w:r>
      <w:r>
        <w:rPr>
          <w:color w:val="231F20"/>
          <w:w w:val="105"/>
        </w:rPr>
        <w:t>Triunfa</w:t>
      </w:r>
      <w:r>
        <w:rPr>
          <w:color w:val="231F20"/>
          <w:spacing w:val="-6"/>
          <w:w w:val="105"/>
        </w:rPr>
        <w:t> </w:t>
      </w:r>
      <w:r>
        <w:rPr>
          <w:color w:val="231F20"/>
          <w:w w:val="105"/>
        </w:rPr>
        <w:t>el</w:t>
      </w:r>
      <w:r>
        <w:rPr>
          <w:color w:val="231F20"/>
          <w:spacing w:val="-6"/>
          <w:w w:val="105"/>
        </w:rPr>
        <w:t> </w:t>
      </w:r>
      <w:r>
        <w:rPr>
          <w:color w:val="231F20"/>
          <w:spacing w:val="-4"/>
          <w:w w:val="105"/>
        </w:rPr>
        <w:t>PAN</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96,</w:t>
      </w:r>
      <w:r>
        <w:rPr>
          <w:color w:val="231F20"/>
          <w:spacing w:val="-6"/>
          <w:w w:val="105"/>
        </w:rPr>
        <w:t> </w:t>
      </w:r>
      <w:r>
        <w:rPr>
          <w:color w:val="231F20"/>
          <w:w w:val="105"/>
        </w:rPr>
        <w:t>pero</w:t>
      </w:r>
      <w:r>
        <w:rPr>
          <w:color w:val="231F20"/>
          <w:spacing w:val="-6"/>
          <w:w w:val="105"/>
        </w:rPr>
        <w:t> </w:t>
      </w:r>
      <w:r>
        <w:rPr>
          <w:color w:val="231F20"/>
          <w:w w:val="105"/>
        </w:rPr>
        <w:t>lo</w:t>
      </w:r>
      <w:r>
        <w:rPr>
          <w:color w:val="231F20"/>
          <w:spacing w:val="-6"/>
          <w:w w:val="105"/>
        </w:rPr>
        <w:t> </w:t>
      </w:r>
      <w:r>
        <w:rPr>
          <w:color w:val="231F20"/>
          <w:w w:val="105"/>
        </w:rPr>
        <w:t>hace</w:t>
      </w:r>
      <w:r>
        <w:rPr>
          <w:color w:val="231F20"/>
          <w:spacing w:val="-6"/>
          <w:w w:val="105"/>
        </w:rPr>
        <w:t> </w:t>
      </w:r>
      <w:r>
        <w:rPr>
          <w:color w:val="231F20"/>
          <w:w w:val="105"/>
        </w:rPr>
        <w:t>gracias</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estructura</w:t>
      </w:r>
      <w:r>
        <w:rPr>
          <w:color w:val="231F20"/>
          <w:spacing w:val="-6"/>
          <w:w w:val="105"/>
        </w:rPr>
        <w:t> </w:t>
      </w:r>
      <w:r>
        <w:rPr>
          <w:color w:val="231F20"/>
          <w:w w:val="105"/>
        </w:rPr>
        <w:t>del</w:t>
      </w:r>
      <w:r>
        <w:rPr>
          <w:color w:val="231F20"/>
          <w:spacing w:val="-6"/>
          <w:w w:val="105"/>
        </w:rPr>
        <w:t> </w:t>
      </w:r>
      <w:r>
        <w:rPr>
          <w:color w:val="231F20"/>
          <w:w w:val="105"/>
        </w:rPr>
        <w:t>Consejo</w:t>
      </w:r>
      <w:r>
        <w:rPr>
          <w:color w:val="231F20"/>
          <w:spacing w:val="-6"/>
          <w:w w:val="105"/>
        </w:rPr>
        <w:t> </w:t>
      </w:r>
      <w:r>
        <w:rPr>
          <w:color w:val="231F20"/>
          <w:w w:val="105"/>
        </w:rPr>
        <w:t>Cívi- co</w:t>
      </w:r>
      <w:r>
        <w:rPr>
          <w:color w:val="231F20"/>
          <w:spacing w:val="-7"/>
          <w:w w:val="105"/>
        </w:rPr>
        <w:t> </w:t>
      </w:r>
      <w:r>
        <w:rPr>
          <w:color w:val="231F20"/>
          <w:w w:val="105"/>
        </w:rPr>
        <w:t>y</w:t>
      </w:r>
      <w:r>
        <w:rPr>
          <w:color w:val="231F20"/>
          <w:spacing w:val="-7"/>
          <w:w w:val="105"/>
        </w:rPr>
        <w:t> </w:t>
      </w:r>
      <w:r>
        <w:rPr>
          <w:color w:val="231F20"/>
          <w:spacing w:val="2"/>
          <w:w w:val="105"/>
        </w:rPr>
        <w:t>al</w:t>
      </w:r>
      <w:r>
        <w:rPr>
          <w:color w:val="231F20"/>
          <w:spacing w:val="-7"/>
          <w:w w:val="105"/>
        </w:rPr>
        <w:t> </w:t>
      </w:r>
      <w:r>
        <w:rPr>
          <w:color w:val="231F20"/>
          <w:w w:val="105"/>
        </w:rPr>
        <w:t>voto</w:t>
      </w:r>
      <w:r>
        <w:rPr>
          <w:color w:val="231F20"/>
          <w:spacing w:val="-7"/>
          <w:w w:val="105"/>
        </w:rPr>
        <w:t> </w:t>
      </w:r>
      <w:r>
        <w:rPr>
          <w:color w:val="231F20"/>
          <w:w w:val="105"/>
        </w:rPr>
        <w:t>de</w:t>
      </w:r>
      <w:r>
        <w:rPr>
          <w:color w:val="231F20"/>
          <w:spacing w:val="-7"/>
          <w:w w:val="105"/>
        </w:rPr>
        <w:t> </w:t>
      </w:r>
      <w:r>
        <w:rPr>
          <w:color w:val="231F20"/>
          <w:w w:val="105"/>
        </w:rPr>
        <w:t>castigo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ciudadanía.</w:t>
      </w:r>
      <w:r>
        <w:rPr>
          <w:color w:val="231F20"/>
          <w:spacing w:val="-7"/>
          <w:w w:val="105"/>
        </w:rPr>
        <w:t> </w:t>
      </w:r>
      <w:r>
        <w:rPr>
          <w:color w:val="231F20"/>
          <w:w w:val="105"/>
        </w:rPr>
        <w:t>Es</w:t>
      </w:r>
      <w:r>
        <w:rPr>
          <w:color w:val="231F20"/>
          <w:spacing w:val="-7"/>
          <w:w w:val="105"/>
        </w:rPr>
        <w:t> </w:t>
      </w:r>
      <w:r>
        <w:rPr>
          <w:color w:val="231F20"/>
          <w:w w:val="105"/>
        </w:rPr>
        <w:t>así</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alternancia</w:t>
      </w:r>
      <w:r>
        <w:rPr>
          <w:color w:val="231F20"/>
          <w:spacing w:val="-7"/>
          <w:w w:val="105"/>
        </w:rPr>
        <w:t> </w:t>
      </w:r>
      <w:r>
        <w:rPr>
          <w:color w:val="231F20"/>
          <w:w w:val="105"/>
        </w:rPr>
        <w:t>se</w:t>
      </w:r>
      <w:r>
        <w:rPr>
          <w:color w:val="231F20"/>
          <w:spacing w:val="-7"/>
          <w:w w:val="105"/>
        </w:rPr>
        <w:t> </w:t>
      </w:r>
      <w:r>
        <w:rPr>
          <w:color w:val="231F20"/>
          <w:w w:val="105"/>
        </w:rPr>
        <w:t>da</w:t>
      </w:r>
      <w:r>
        <w:rPr>
          <w:color w:val="231F20"/>
          <w:spacing w:val="-7"/>
          <w:w w:val="105"/>
        </w:rPr>
        <w:t> </w:t>
      </w:r>
      <w:r>
        <w:rPr>
          <w:color w:val="231F20"/>
          <w:w w:val="105"/>
        </w:rPr>
        <w:t>debido</w:t>
      </w:r>
      <w:r>
        <w:rPr>
          <w:color w:val="231F20"/>
          <w:spacing w:val="-7"/>
          <w:w w:val="105"/>
        </w:rPr>
        <w:t> </w:t>
      </w:r>
      <w:r>
        <w:rPr>
          <w:color w:val="231F20"/>
          <w:w w:val="105"/>
        </w:rPr>
        <w:t>a</w:t>
      </w:r>
      <w:r>
        <w:rPr>
          <w:color w:val="231F20"/>
          <w:spacing w:val="-7"/>
          <w:w w:val="105"/>
        </w:rPr>
        <w:t> </w:t>
      </w:r>
      <w:r>
        <w:rPr>
          <w:color w:val="231F20"/>
          <w:w w:val="105"/>
        </w:rPr>
        <w:t>varios factores: la ruptura o escisión del partido dominante y su consecuente debilitamiento, el</w:t>
      </w:r>
      <w:r>
        <w:rPr>
          <w:color w:val="231F20"/>
          <w:spacing w:val="-9"/>
          <w:w w:val="105"/>
        </w:rPr>
        <w:t> </w:t>
      </w:r>
      <w:r>
        <w:rPr>
          <w:color w:val="231F20"/>
          <w:w w:val="105"/>
        </w:rPr>
        <w:t>contrapeso</w:t>
      </w:r>
      <w:r>
        <w:rPr>
          <w:color w:val="231F20"/>
          <w:spacing w:val="-9"/>
          <w:w w:val="105"/>
        </w:rPr>
        <w:t> </w:t>
      </w:r>
      <w:r>
        <w:rPr>
          <w:color w:val="231F20"/>
          <w:w w:val="105"/>
        </w:rPr>
        <w:t>del</w:t>
      </w:r>
      <w:r>
        <w:rPr>
          <w:color w:val="231F20"/>
          <w:spacing w:val="-9"/>
          <w:w w:val="105"/>
        </w:rPr>
        <w:t> </w:t>
      </w:r>
      <w:r>
        <w:rPr>
          <w:color w:val="231F20"/>
          <w:w w:val="105"/>
        </w:rPr>
        <w:t>Consejo</w:t>
      </w:r>
      <w:r>
        <w:rPr>
          <w:color w:val="231F20"/>
          <w:spacing w:val="-9"/>
          <w:w w:val="105"/>
        </w:rPr>
        <w:t> </w:t>
      </w:r>
      <w:r>
        <w:rPr>
          <w:color w:val="231F20"/>
          <w:w w:val="105"/>
        </w:rPr>
        <w:t>Cívico</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voto</w:t>
      </w:r>
      <w:r>
        <w:rPr>
          <w:color w:val="231F20"/>
          <w:spacing w:val="-9"/>
          <w:w w:val="105"/>
        </w:rPr>
        <w:t> </w:t>
      </w:r>
      <w:r>
        <w:rPr>
          <w:color w:val="231F20"/>
          <w:w w:val="105"/>
        </w:rPr>
        <w:t>de</w:t>
      </w:r>
      <w:r>
        <w:rPr>
          <w:color w:val="231F20"/>
          <w:spacing w:val="-9"/>
          <w:w w:val="105"/>
        </w:rPr>
        <w:t> </w:t>
      </w:r>
      <w:r>
        <w:rPr>
          <w:color w:val="231F20"/>
          <w:w w:val="105"/>
        </w:rPr>
        <w:t>castigo.</w:t>
      </w:r>
      <w:r>
        <w:rPr>
          <w:color w:val="231F20"/>
          <w:spacing w:val="-9"/>
          <w:w w:val="105"/>
        </w:rPr>
        <w:t> </w:t>
      </w:r>
      <w:r>
        <w:rPr>
          <w:color w:val="231F20"/>
          <w:w w:val="105"/>
        </w:rPr>
        <w:t>Desde</w:t>
      </w:r>
      <w:r>
        <w:rPr>
          <w:color w:val="231F20"/>
          <w:spacing w:val="-9"/>
          <w:w w:val="105"/>
        </w:rPr>
        <w:t> </w:t>
      </w:r>
      <w:r>
        <w:rPr>
          <w:color w:val="231F20"/>
          <w:w w:val="105"/>
        </w:rPr>
        <w:t>el</w:t>
      </w:r>
      <w:r>
        <w:rPr>
          <w:color w:val="231F20"/>
          <w:spacing w:val="-9"/>
          <w:w w:val="105"/>
        </w:rPr>
        <w:t> </w:t>
      </w:r>
      <w:r>
        <w:rPr>
          <w:color w:val="231F20"/>
          <w:w w:val="105"/>
        </w:rPr>
        <w:t>triunfo</w:t>
      </w:r>
      <w:r>
        <w:rPr>
          <w:color w:val="231F20"/>
          <w:spacing w:val="-9"/>
          <w:w w:val="105"/>
        </w:rPr>
        <w:t> </w:t>
      </w:r>
      <w:r>
        <w:rPr>
          <w:color w:val="231F20"/>
          <w:w w:val="105"/>
        </w:rPr>
        <w:t>de</w:t>
      </w:r>
      <w:r>
        <w:rPr>
          <w:color w:val="231F20"/>
          <w:spacing w:val="-9"/>
          <w:w w:val="105"/>
        </w:rPr>
        <w:t> </w:t>
      </w:r>
      <w:r>
        <w:rPr>
          <w:color w:val="231F20"/>
          <w:w w:val="105"/>
        </w:rPr>
        <w:t>Ruth</w:t>
      </w:r>
      <w:r>
        <w:rPr>
          <w:color w:val="231F20"/>
          <w:spacing w:val="-9"/>
          <w:w w:val="105"/>
        </w:rPr>
        <w:t> </w:t>
      </w:r>
      <w:r>
        <w:rPr>
          <w:color w:val="231F20"/>
          <w:w w:val="105"/>
        </w:rPr>
        <w:t>Olvera, el</w:t>
      </w:r>
      <w:r>
        <w:rPr>
          <w:color w:val="231F20"/>
          <w:spacing w:val="-14"/>
          <w:w w:val="105"/>
        </w:rPr>
        <w:t> </w:t>
      </w:r>
      <w:r>
        <w:rPr>
          <w:color w:val="231F20"/>
          <w:spacing w:val="-4"/>
          <w:w w:val="105"/>
        </w:rPr>
        <w:t>PAN</w:t>
      </w:r>
      <w:r>
        <w:rPr>
          <w:color w:val="231F20"/>
          <w:spacing w:val="-14"/>
          <w:w w:val="105"/>
        </w:rPr>
        <w:t> </w:t>
      </w:r>
      <w:r>
        <w:rPr>
          <w:color w:val="231F20"/>
          <w:w w:val="105"/>
        </w:rPr>
        <w:t>ha</w:t>
      </w:r>
      <w:r>
        <w:rPr>
          <w:color w:val="231F20"/>
          <w:spacing w:val="-14"/>
          <w:w w:val="105"/>
        </w:rPr>
        <w:t> </w:t>
      </w:r>
      <w:r>
        <w:rPr>
          <w:color w:val="231F20"/>
          <w:w w:val="105"/>
        </w:rPr>
        <w:t>gobernado</w:t>
      </w:r>
      <w:r>
        <w:rPr>
          <w:color w:val="231F20"/>
          <w:spacing w:val="-14"/>
          <w:w w:val="105"/>
        </w:rPr>
        <w:t> </w:t>
      </w:r>
      <w:r>
        <w:rPr>
          <w:color w:val="231F20"/>
          <w:w w:val="105"/>
        </w:rPr>
        <w:t>Tlalnepantla,</w:t>
      </w:r>
      <w:r>
        <w:rPr>
          <w:color w:val="231F20"/>
          <w:spacing w:val="-14"/>
          <w:w w:val="105"/>
        </w:rPr>
        <w:t> </w:t>
      </w:r>
      <w:r>
        <w:rPr>
          <w:color w:val="231F20"/>
          <w:w w:val="105"/>
        </w:rPr>
        <w:t>a</w:t>
      </w:r>
      <w:r>
        <w:rPr>
          <w:color w:val="231F20"/>
          <w:spacing w:val="-14"/>
          <w:w w:val="105"/>
        </w:rPr>
        <w:t> </w:t>
      </w:r>
      <w:r>
        <w:rPr>
          <w:color w:val="231F20"/>
          <w:w w:val="105"/>
        </w:rPr>
        <w:t>través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tres</w:t>
      </w:r>
      <w:r>
        <w:rPr>
          <w:color w:val="231F20"/>
          <w:spacing w:val="-14"/>
          <w:w w:val="105"/>
        </w:rPr>
        <w:t> </w:t>
      </w:r>
      <w:r>
        <w:rPr>
          <w:color w:val="231F20"/>
          <w:w w:val="105"/>
        </w:rPr>
        <w:t>gestiones</w:t>
      </w:r>
      <w:r>
        <w:rPr>
          <w:color w:val="231F20"/>
          <w:spacing w:val="-14"/>
          <w:w w:val="105"/>
        </w:rPr>
        <w:t> </w:t>
      </w:r>
      <w:r>
        <w:rPr>
          <w:color w:val="231F20"/>
          <w:w w:val="105"/>
        </w:rPr>
        <w:t>que</w:t>
      </w:r>
      <w:r>
        <w:rPr>
          <w:color w:val="231F20"/>
          <w:spacing w:val="-14"/>
          <w:w w:val="105"/>
        </w:rPr>
        <w:t> </w:t>
      </w:r>
      <w:r>
        <w:rPr>
          <w:color w:val="231F20"/>
          <w:w w:val="105"/>
        </w:rPr>
        <w:t>analizaremos</w:t>
      </w:r>
      <w:r>
        <w:rPr>
          <w:color w:val="231F20"/>
          <w:spacing w:val="-14"/>
          <w:w w:val="105"/>
        </w:rPr>
        <w:t> </w:t>
      </w:r>
      <w:r>
        <w:rPr>
          <w:color w:val="231F20"/>
          <w:w w:val="105"/>
        </w:rPr>
        <w:t>en</w:t>
      </w:r>
      <w:r>
        <w:rPr>
          <w:color w:val="231F20"/>
          <w:spacing w:val="-14"/>
          <w:w w:val="105"/>
        </w:rPr>
        <w:t> </w:t>
      </w:r>
      <w:r>
        <w:rPr>
          <w:color w:val="231F20"/>
          <w:w w:val="105"/>
        </w:rPr>
        <w:t>el presente artículo.</w:t>
      </w:r>
    </w:p>
    <w:p>
      <w:pPr>
        <w:spacing w:after="0" w:line="285" w:lineRule="auto"/>
        <w:jc w:val="both"/>
        <w:sectPr>
          <w:pgSz w:w="9640" w:h="12190"/>
          <w:pgMar w:header="0" w:footer="743" w:top="1120" w:bottom="940" w:left="740" w:right="740"/>
        </w:sectPr>
      </w:pPr>
    </w:p>
    <w:p>
      <w:pPr>
        <w:pStyle w:val="BodyText"/>
        <w:rPr>
          <w:sz w:val="9"/>
        </w:rPr>
      </w:pPr>
    </w:p>
    <w:p>
      <w:pPr>
        <w:pStyle w:val="Heading4"/>
        <w:spacing w:line="345" w:lineRule="exact"/>
        <w:rPr>
          <w:i/>
        </w:rPr>
      </w:pPr>
      <w:r>
        <w:rPr/>
        <w:pict>
          <v:group style="position:absolute;margin-left:72.041611pt;margin-top:23.24194pt;width:336.75pt;height:274.25pt;mso-position-horizontal-relative:page;mso-position-vertical-relative:paragraph;z-index:10432;mso-wrap-distance-left:0;mso-wrap-distance-right:0" coordorigin="1441,465" coordsize="6735,5485">
            <v:shape style="position:absolute;left:1441;top:465;width:6734;height:5484" type="#_x0000_t75" stroked="false">
              <v:imagedata r:id="rId651" o:title=""/>
            </v:shape>
            <v:shape style="position:absolute;left:3417;top:1749;width:641;height:143" type="#_x0000_t75" stroked="false">
              <v:imagedata r:id="rId652" o:title=""/>
            </v:shape>
            <v:shape style="position:absolute;left:4079;top:1715;width:502;height:182" type="#_x0000_t75" stroked="false">
              <v:imagedata r:id="rId653" o:title=""/>
            </v:shape>
            <v:shape style="position:absolute;left:3612;top:1931;width:744;height:154" type="#_x0000_t75" stroked="false">
              <v:imagedata r:id="rId654" o:title=""/>
            </v:shape>
            <v:line style="position:absolute" from="4388,1940" to="4388,2076" stroked="true" strokeweight=".928pt" strokecolor="#231f20"/>
            <v:shape style="position:absolute;left:2814;top:3224;width:222;height:136" type="#_x0000_t75" stroked="false">
              <v:imagedata r:id="rId655" o:title=""/>
            </v:shape>
            <v:shape style="position:absolute;left:3058;top:3187;width:649;height:182" type="#_x0000_t75" stroked="false">
              <v:imagedata r:id="rId656" o:title=""/>
            </v:shape>
            <v:shape style="position:absolute;left:2610;top:3412;width:237;height:136" type="#_x0000_t75" stroked="false">
              <v:imagedata r:id="rId657" o:title=""/>
            </v:shape>
            <v:shape style="position:absolute;left:2914;top:3412;width:108;height:136" coordorigin="2914,3412" coordsize="108,136" path="m3021,3412l2920,3412,2920,3428,2997,3428,2914,3532,2914,3548,3021,3548,3021,3531,2937,3531,3021,3428,3021,3412xe" filled="true" fillcolor="#231f20" stroked="false">
              <v:path arrowok="t"/>
              <v:fill type="solid"/>
            </v:shape>
            <v:shape style="position:absolute;left:3028;top:3412;width:122;height:136" coordorigin="3028,3412" coordsize="122,136" path="m3100,3412l3079,3412,3028,3548,3047,3548,3062,3507,3134,3507,3129,3492,3067,3492,3089,3432,3107,3432,3100,3412xm3134,3507l3115,3507,3129,3548,3149,3548,3134,3507xm3107,3432l3089,3432,3110,3492,3129,3492,3107,3432xe" filled="true" fillcolor="#231f20" stroked="false">
              <v:path arrowok="t"/>
              <v:fill type="solid"/>
            </v:shape>
            <v:shape style="position:absolute;left:3168;top:3412;width:111;height:136" coordorigin="3168,3412" coordsize="111,136" path="m3240,3412l3168,3412,3168,3548,3186,3548,3186,3489,3266,3489,3264,3486,3260,3483,3254,3481,3260,3478,3265,3474,3186,3474,3186,3428,3270,3428,3267,3422,3248,3413,3240,3412xm3266,3489l3234,3489,3240,3490,3243,3492,3249,3495,3252,3501,3254,3538,3254,3541,3255,3545,3255,3546,3256,3548,3279,3548,3279,3545,3276,3543,3274,3541,3272,3534,3272,3530,3270,3499,3269,3493,3266,3489xm3270,3428l3236,3428,3241,3429,3251,3434,3255,3441,3255,3459,3252,3465,3243,3472,3236,3474,3265,3474,3265,3474,3272,3463,3273,3457,3273,3433,3270,3428xe" filled="true" fillcolor="#231f20" stroked="false">
              <v:path arrowok="t"/>
              <v:fill type="solid"/>
            </v:shape>
            <v:shape style="position:absolute;left:3291;top:3412;width:122;height:136" coordorigin="3291,3412" coordsize="122,136" path="m3363,3412l3342,3412,3291,3548,3310,3548,3324,3507,3397,3507,3392,3492,3330,3492,3351,3432,3370,3432,3363,3412xm3397,3507l3377,3507,3392,3548,3412,3548,3397,3507xm3370,3432l3351,3432,3372,3492,3392,3492,3370,3432xe" filled="true" fillcolor="#231f20" stroked="false">
              <v:path arrowok="t"/>
              <v:fill type="solid"/>
            </v:shape>
            <v:shape style="position:absolute;left:3423;top:3408;width:123;height:143" coordorigin="3423,3408" coordsize="123,143" path="m3499,3408l3486,3408,3473,3410,3461,3413,3451,3419,3441,3428,3433,3439,3428,3451,3424,3466,3423,3482,3424,3498,3428,3512,3434,3525,3442,3536,3451,3542,3460,3547,3471,3550,3483,3551,3495,3551,3505,3549,3513,3544,3517,3542,3523,3537,3524,3535,3471,3535,3459,3530,3452,3520,3448,3512,3445,3503,3443,3492,3442,3481,3443,3468,3445,3456,3449,3447,3455,3439,3463,3429,3473,3425,3530,3425,3528,3422,3519,3416,3510,3411,3499,3408xm3545,3530l3529,3530,3533,3548,3545,3548,3545,3530xm3545,3475l3486,3475,3486,3490,3528,3490,3528,3506,3524,3518,3508,3532,3498,3535,3524,3535,3529,3530,3545,3530,3545,3475xm3530,3425l3496,3425,3505,3427,3518,3436,3523,3443,3525,3453,3543,3453,3540,3441,3535,3430,3530,3425xe" filled="true" fillcolor="#231f20" stroked="false">
              <v:path arrowok="t"/>
              <v:fill type="solid"/>
            </v:shape>
            <v:shape style="position:absolute;left:3569;top:3408;width:133;height:144" coordorigin="3569,3408" coordsize="133,144" path="m3634,3408l3618,3410,3604,3415,3592,3422,3582,3433,3576,3444,3572,3455,3569,3467,3569,3477,3569,3482,3569,3495,3572,3508,3577,3520,3584,3531,3594,3540,3606,3546,3619,3550,3634,3552,3649,3550,3663,3546,3675,3538,3678,3535,3636,3535,3624,3534,3614,3531,3605,3526,3599,3520,3591,3509,3587,3497,3588,3480,3588,3468,3591,3457,3595,3447,3601,3439,3610,3429,3621,3425,3681,3425,3677,3421,3665,3414,3651,3410,3634,3408xm3681,3425l3650,3425,3661,3429,3669,3439,3675,3447,3679,3456,3681,3466,3682,3477,3682,3482,3681,3489,3679,3499,3676,3509,3671,3518,3664,3529,3652,3535,3678,3535,3685,3528,3692,3517,3697,3505,3700,3492,3701,3477,3700,3464,3697,3452,3693,3441,3687,3431,3681,3425xe" filled="true" fillcolor="#231f20" stroked="false">
              <v:path arrowok="t"/>
              <v:fill type="solid"/>
            </v:shape>
            <v:shape style="position:absolute;left:3713;top:3412;width:108;height:136" coordorigin="3713,3412" coordsize="108,136" path="m3820,3412l3719,3412,3719,3428,3796,3428,3713,3532,3713,3548,3820,3548,3820,3531,3736,3531,3820,3428,3820,3412xe" filled="true" fillcolor="#231f20" stroked="false">
              <v:path arrowok="t"/>
              <v:fill type="solid"/>
            </v:shape>
            <v:shape style="position:absolute;left:3827;top:3412;width:122;height:136" coordorigin="3827,3412" coordsize="122,136" path="m3898,3412l3878,3412,3827,3548,3845,3548,3860,3507,3933,3507,3928,3492,3866,3492,3887,3432,3906,3432,3898,3412xm3933,3507l3913,3507,3928,3548,3948,3548,3933,3507xm3906,3432l3887,3432,3908,3492,3928,3492,3906,3432xe" filled="true" fillcolor="#231f20" stroked="false">
              <v:path arrowok="t"/>
              <v:fill type="solid"/>
            </v:shape>
            <v:shape style="position:absolute;left:2571;top:4808;width:107;height:136" coordorigin="2571,4808" coordsize="107,136" path="m2593,4808l2571,4808,2571,4943,2589,4943,2589,4834,2609,4834,2593,4808xm2609,4834l2589,4834,2658,4943,2678,4943,2678,4917,2661,4917,2609,4834xm2678,4808l2661,4808,2661,4917,2678,4917,2678,4808xe" filled="true" fillcolor="#231f20" stroked="false">
              <v:path arrowok="t"/>
              <v:fill type="solid"/>
            </v:shape>
            <v:shape style="position:absolute;left:2696;top:4808;width:122;height:136" coordorigin="2696,4808" coordsize="122,136" path="m2768,4808l2748,4808,2696,4943,2715,4943,2730,4903,2803,4903,2797,4888,2735,4888,2757,4828,2776,4828,2768,4808xm2803,4903l2783,4903,2797,4943,2818,4943,2803,4903xm2776,4828l2757,4828,2778,4888,2797,4888,2776,4828xe" filled="true" fillcolor="#231f20" stroked="false">
              <v:path arrowok="t"/>
              <v:fill type="solid"/>
            </v:shape>
            <v:shape style="position:absolute;left:2835;top:4808;width:108;height:140" coordorigin="2835,4808" coordsize="108,140" path="m2854,4808l2835,4808,2836,4901,2838,4913,2842,4922,2850,4933,2860,4941,2873,4945,2889,4947,2905,4945,2918,4941,2928,4933,2930,4931,2874,4931,2865,4926,2860,4916,2856,4909,2854,4901,2854,4808xm2943,4808l2924,4808,2924,4901,2923,4909,2914,4925,2903,4931,2930,4931,2936,4922,2940,4913,2942,4901,2943,4808xe" filled="true" fillcolor="#231f20" stroked="false">
              <v:path arrowok="t"/>
              <v:fill type="solid"/>
            </v:shape>
            <v:shape style="position:absolute;left:2965;top:4804;width:119;height:143" coordorigin="2965,4804" coordsize="119,143" path="m3027,4804l3013,4805,3000,4809,2990,4816,2980,4825,2973,4835,2969,4847,2966,4860,2965,4874,2966,4892,2970,4908,2976,4922,2985,4932,2994,4939,3003,4943,3014,4946,3025,4947,3038,4946,3049,4942,3059,4937,3066,4931,3013,4931,3002,4926,2994,4916,2990,4908,2986,4899,2984,4888,2983,4877,2984,4863,2986,4852,2990,4842,2996,4834,3004,4824,3014,4820,3069,4820,3067,4817,3059,4811,3050,4807,3039,4805,3027,4804xm3084,4893l3066,4893,3064,4902,3061,4910,3050,4925,3040,4931,3066,4931,3068,4929,3077,4920,3082,4908,3084,4893xm3069,4820l3038,4820,3046,4822,3058,4833,3062,4840,3064,4848,3082,4848,3081,4837,3076,4826,3069,4820xe" filled="true" fillcolor="#231f20" stroked="false">
              <v:path arrowok="t"/>
              <v:fill type="solid"/>
            </v:shape>
            <v:shape style="position:absolute;left:3096;top:4808;width:122;height:136" coordorigin="3096,4808" coordsize="122,136" path="m3168,4808l3147,4808,3096,4943,3115,4943,3129,4903,3202,4903,3197,4888,3135,4888,3156,4828,3175,4828,3168,4808xm3202,4903l3183,4903,3197,4943,3217,4943,3202,4903xm3175,4828l3156,4828,3177,4888,3197,4888,3175,4828xe" filled="true" fillcolor="#231f20" stroked="false">
              <v:path arrowok="t"/>
              <v:fill type="solid"/>
            </v:shape>
            <v:shape style="position:absolute;left:3233;top:4808;width:87;height:136" coordorigin="3233,4808" coordsize="87,136" path="m3252,4808l3233,4808,3233,4943,3320,4943,3320,4927,3252,4927,3252,4808xe" filled="true" fillcolor="#231f20" stroked="false">
              <v:path arrowok="t"/>
              <v:fill type="solid"/>
            </v:shape>
            <v:shape style="position:absolute;left:3340;top:4808;width:101;height:136" coordorigin="3340,4808" coordsize="101,136" path="m3413,4808l3340,4808,3340,4943,3359,4943,3359,4886,3415,4886,3425,4882,3434,4870,3359,4870,3359,4823,3436,4823,3423,4811,3413,4808xm3436,4823l3402,4823,3408,4824,3419,4830,3423,4837,3423,4855,3420,4862,3410,4869,3403,4870,3434,4870,3438,4866,3441,4857,3441,4834,3438,4825,3436,4823xe" filled="true" fillcolor="#231f20" stroked="false">
              <v:path arrowok="t"/>
              <v:fill type="solid"/>
            </v:shape>
            <v:shape style="position:absolute;left:3439;top:4808;width:122;height:136" coordorigin="3439,4808" coordsize="122,136" path="m3511,4808l3490,4808,3439,4943,3458,4943,3473,4903,3546,4903,3540,4888,3478,4888,3500,4828,3518,4828,3511,4808xm3546,4903l3526,4903,3540,4943,3560,4943,3546,4903xm3518,4828l3500,4828,3521,4888,3540,4888,3518,4828xe" filled="true" fillcolor="#231f20" stroked="false">
              <v:path arrowok="t"/>
              <v:fill type="solid"/>
            </v:shape>
            <v:shape style="position:absolute;left:3577;top:4808;width:107;height:136" coordorigin="3577,4808" coordsize="107,136" path="m3599,4808l3577,4808,3577,4943,3595,4943,3595,4834,3615,4834,3599,4808xm3615,4834l3595,4834,3663,4943,3684,4943,3684,4917,3666,4917,3615,4834xm3684,4808l3666,4808,3666,4917,3684,4917,3684,4808xe" filled="true" fillcolor="#231f20" stroked="false">
              <v:path arrowok="t"/>
              <v:fill type="solid"/>
            </v:shape>
            <v:shape style="position:absolute;left:5346;top:4981;width:111;height:136" type="#_x0000_t75" stroked="false">
              <v:imagedata r:id="rId658" o:title=""/>
            </v:shape>
            <v:shape style="position:absolute;left:5486;top:4972;width:403;height:154" type="#_x0000_t75" stroked="false">
              <v:imagedata r:id="rId659" o:title=""/>
            </v:shape>
            <v:shape style="position:absolute;left:5916;top:4972;width:286;height:154" type="#_x0000_t75" stroked="false">
              <v:imagedata r:id="rId660" o:title=""/>
            </v:shape>
            <v:shape style="position:absolute;left:5353;top:5169;width:95;height:136" coordorigin="5353,5169" coordsize="95,136" path="m5448,5169l5353,5169,5353,5304,5372,5304,5372,5243,5438,5243,5438,5226,5372,5226,5372,5185,5448,5185,5448,5169xe" filled="true" fillcolor="#231f20" stroked="false">
              <v:path arrowok="t"/>
              <v:fill type="solid"/>
            </v:shape>
            <v:shape style="position:absolute;left:5469;top:5169;width:100;height:136" coordorigin="5469,5169" coordsize="100,136" path="m5567,5169l5469,5169,5469,5304,5569,5304,5569,5288,5487,5288,5487,5242,5561,5242,5561,5226,5487,5226,5487,5185,5567,5185,5567,5169xe" filled="true" fillcolor="#231f20" stroked="false">
              <v:path arrowok="t"/>
              <v:fill type="solid"/>
            </v:shape>
            <v:shape style="position:absolute;left:5594;top:5169;width:111;height:136" coordorigin="5594,5169" coordsize="111,136" path="m5648,5169l5594,5169,5594,5304,5648,5304,5664,5302,5678,5297,5687,5289,5613,5289,5613,5184,5687,5184,5683,5180,5673,5174,5661,5170,5648,5169xm5687,5184l5659,5184,5670,5189,5676,5198,5680,5206,5684,5215,5685,5226,5686,5234,5686,5242,5686,5247,5683,5260,5681,5267,5673,5280,5667,5284,5660,5287,5656,5288,5651,5289,5687,5289,5688,5287,5697,5273,5702,5262,5705,5249,5705,5234,5704,5221,5701,5209,5697,5198,5691,5188,5687,5184xe" filled="true" fillcolor="#231f20" stroked="false">
              <v:path arrowok="t"/>
              <v:fill type="solid"/>
            </v:shape>
            <v:shape style="position:absolute;left:5732;top:5169;width:100;height:136" coordorigin="5732,5169" coordsize="100,136" path="m5830,5169l5732,5169,5732,5304,5832,5304,5832,5288,5750,5288,5750,5242,5824,5242,5824,5226,5750,5226,5750,5185,5830,5185,5830,5169xe" filled="true" fillcolor="#231f20" stroked="false">
              <v:path arrowok="t"/>
              <v:fill type="solid"/>
            </v:shape>
            <v:shape style="position:absolute;left:5858;top:5169;width:111;height:136" coordorigin="5858,5169" coordsize="111,136" path="m5930,5169l5858,5169,5858,5304,5877,5304,5877,5246,5957,5246,5954,5243,5950,5240,5945,5238,5951,5234,5955,5231,5877,5231,5877,5184,5961,5184,5958,5179,5938,5170,5930,5169xm5957,5246l5925,5246,5930,5247,5933,5249,5939,5252,5943,5258,5944,5294,5945,5298,5945,5302,5946,5303,5946,5304,5969,5304,5969,5301,5966,5300,5964,5297,5962,5290,5962,5287,5961,5255,5959,5250,5957,5246xm5961,5184l5926,5184,5931,5185,5942,5191,5945,5197,5945,5216,5943,5222,5933,5229,5926,5231,5955,5231,5955,5230,5962,5220,5964,5213,5964,5190,5961,5184xe" filled="true" fillcolor="#231f20" stroked="false">
              <v:path arrowok="t"/>
              <v:fill type="solid"/>
            </v:shape>
            <v:shape style="position:absolute;left:5981;top:5169;width:122;height:136" coordorigin="5981,5169" coordsize="122,136" path="m6053,5169l6032,5169,5981,5304,6000,5304,6015,5264,6088,5264,6082,5249,6020,5249,6042,5189,6060,5189,6053,5169xm6088,5264l6068,5264,6082,5304,6102,5304,6088,5264xm6060,5189l6042,5189,6063,5249,6082,5249,6060,5189xe" filled="true" fillcolor="#231f20" stroked="false">
              <v:path arrowok="t"/>
              <v:fill type="solid"/>
            </v:shape>
            <v:shape style="position:absolute;left:6119;top:5169;width:87;height:136" coordorigin="6119,5169" coordsize="87,136" path="m6137,5169l6119,5169,6119,5304,6205,5304,6205,5288,6137,5288,6137,5169xe" filled="true" fillcolor="#231f20" stroked="false">
              <v:path arrowok="t"/>
              <v:fill type="solid"/>
            </v:shape>
            <v:shape style="position:absolute;left:4729;top:2494;width:453;height:139" type="#_x0000_t75" stroked="false">
              <v:imagedata r:id="rId661" o:title=""/>
            </v:shape>
            <v:shape style="position:absolute;left:5204;top:2457;width:502;height:182" type="#_x0000_t75" stroked="false">
              <v:imagedata r:id="rId662" o:title=""/>
            </v:shape>
            <v:shape style="position:absolute;left:6385;top:3079;width:100;height:136" coordorigin="6385,3079" coordsize="100,136" path="m6484,3079l6385,3079,6385,3214,6485,3214,6485,3198,6403,3198,6403,3152,6478,3152,6478,3136,6403,3136,6403,3095,6484,3095,6484,3079xe" filled="true" fillcolor="#231f20" stroked="false">
              <v:path arrowok="t"/>
              <v:fill type="solid"/>
            </v:shape>
            <v:shape style="position:absolute;left:6504;top:3075;width:119;height:143" coordorigin="6504,3075" coordsize="119,143" path="m6566,3075l6552,3076,6540,3080,6529,3087,6519,3096,6513,3106,6508,3118,6505,3131,6504,3145,6505,3164,6509,3179,6515,3193,6525,3204,6533,3210,6542,3214,6553,3217,6564,3218,6577,3217,6588,3214,6598,3208,6605,3202,6552,3202,6541,3197,6533,3187,6529,3179,6525,3170,6523,3160,6523,3148,6523,3135,6526,3123,6529,3113,6535,3105,6543,3096,6553,3091,6608,3091,6606,3088,6598,3083,6589,3078,6578,3076,6566,3075xm6623,3164l6605,3164,6603,3173,6600,3181,6590,3197,6579,3202,6605,3202,6607,3200,6616,3191,6621,3179,6623,3164xm6608,3091l6577,3091,6586,3093,6597,3104,6601,3111,6603,3119,6621,3119,6620,3108,6615,3098,6608,3091xe" filled="true" fillcolor="#231f20" stroked="false">
              <v:path arrowok="t"/>
              <v:fill type="solid"/>
            </v:shape>
            <v:shape style="position:absolute;left:6635;top:3079;width:122;height:136" coordorigin="6635,3079" coordsize="122,136" path="m6707,3079l6686,3079,6635,3214,6654,3214,6668,3174,6741,3174,6736,3159,6674,3159,6696,3099,6714,3099,6707,3079xm6741,3174l6722,3174,6736,3214,6756,3214,6741,3174xm6714,3099l6696,3099,6716,3159,6736,3159,6714,3099xe" filled="true" fillcolor="#231f20" stroked="false">
              <v:path arrowok="t"/>
              <v:fill type="solid"/>
            </v:shape>
            <v:shape style="position:absolute;left:6747;top:3079;width:110;height:136" coordorigin="6747,3079" coordsize="110,136" path="m6812,3095l6793,3095,6793,3214,6812,3214,6812,3095xm6857,3079l6747,3079,6747,3095,6857,3095,6857,3079xe" filled="true" fillcolor="#231f20" stroked="false">
              <v:path arrowok="t"/>
              <v:fill type="solid"/>
            </v:shape>
            <v:shape style="position:absolute;left:6876;top:3079;width:100;height:136" coordorigin="6876,3079" coordsize="100,136" path="m6974,3079l6876,3079,6876,3214,6976,3214,6976,3198,6894,3198,6894,3152,6968,3152,6968,3136,6894,3136,6894,3095,6974,3095,6974,3079xe" filled="true" fillcolor="#231f20" stroked="false">
              <v:path arrowok="t"/>
              <v:fill type="solid"/>
            </v:shape>
            <v:shape style="position:absolute;left:7002;top:3079;width:101;height:136" coordorigin="7002,3079" coordsize="101,136" path="m7075,3079l7002,3079,7002,3214,7020,3214,7020,3157,7076,3157,7086,3153,7096,3141,7020,3141,7020,3094,7098,3094,7084,3082,7075,3079xm7098,3094l7064,3094,7069,3095,7081,3101,7084,3108,7084,3126,7082,3133,7072,3140,7065,3141,7096,3141,7100,3137,7103,3128,7103,3105,7099,3096,7098,3094xe" filled="true" fillcolor="#231f20" stroked="false">
              <v:path arrowok="t"/>
              <v:fill type="solid"/>
            </v:shape>
            <v:shape style="position:absolute;left:7128;top:3079;width:100;height:136" coordorigin="7128,3079" coordsize="100,136" path="m7227,3079l7128,3079,7128,3214,7228,3214,7228,3198,7146,3198,7146,3152,7221,3152,7221,3136,7146,3136,7146,3095,7227,3095,7227,3079xe" filled="true" fillcolor="#231f20" stroked="false">
              <v:path arrowok="t"/>
              <v:fill type="solid"/>
            </v:shape>
            <v:shape style="position:absolute;left:7246;top:3075;width:119;height:143" coordorigin="7246,3075" coordsize="119,143" path="m7309,3075l7295,3076,7282,3080,7271,3087,7262,3096,7255,3106,7250,3118,7247,3131,7246,3145,7248,3164,7252,3179,7258,3193,7267,3204,7276,3210,7285,3214,7295,3217,7307,3218,7320,3217,7331,3214,7341,3208,7348,3202,7294,3202,7284,3197,7276,3187,7271,3179,7268,3170,7266,3160,7265,3148,7266,3135,7268,3123,7272,3113,7277,3105,7286,3096,7296,3091,7351,3091,7349,3088,7341,3083,7332,3078,7321,3076,7309,3075xm7365,3164l7348,3164,7346,3173,7343,3181,7332,3197,7322,3202,7348,3202,7350,3200,7359,3191,7364,3179,7365,3164xm7351,3091l7320,3091,7328,3093,7340,3104,7344,3111,7346,3119,7364,3119,7363,3108,7358,3098,7351,3091xe" filled="true" fillcolor="#231f20" stroked="false">
              <v:path arrowok="t"/>
              <v:fill type="solid"/>
            </v:shape>
            <v:shape style="position:absolute;left:6476;top:3867;width:268;height:105" type="#_x0000_t75" stroked="false">
              <v:imagedata r:id="rId663" o:title=""/>
            </v:shape>
            <v:shape style="position:absolute;left:6797;top:3870;width:349;height:102" type="#_x0000_t75" stroked="false">
              <v:imagedata r:id="rId664" o:title=""/>
            </v:shape>
            <v:shape style="position:absolute;left:6356;top:4001;width:915;height:273" type="#_x0000_t75" stroked="false">
              <v:imagedata r:id="rId665" o:title=""/>
            </v:shape>
            <v:shape style="position:absolute;left:3915;top:3632;width:105;height:136" coordorigin="3915,3632" coordsize="105,136" path="m3976,3649l3958,3649,3958,3768,3976,3768,3976,3649xm4019,3632l3915,3632,3915,3649,4019,3649,4019,3632xe" filled="true" fillcolor="#ffffff" stroked="false">
              <v:path arrowok="t"/>
              <v:fill type="solid"/>
            </v:shape>
            <v:shape style="position:absolute;left:4035;top:3632;width:82;height:136" coordorigin="4035,3632" coordsize="82,136" path="m4053,3632l4035,3632,4035,3768,4117,3768,4117,3752,4053,3752,4053,3632xe" filled="true" fillcolor="#ffffff" stroked="false">
              <v:path arrowok="t"/>
              <v:fill type="solid"/>
            </v:shape>
            <v:shape style="position:absolute;left:4124;top:3632;width:115;height:136" coordorigin="4124,3632" coordsize="115,136" path="m4192,3632l4173,3632,4124,3768,4142,3768,4156,3727,4225,3727,4220,3712,4161,3712,4182,3653,4199,3653,4192,3632xm4225,3727l4207,3727,4220,3768,4239,3768,4225,3727xm4199,3653l4182,3653,4202,3712,4220,3712,4199,3653xe" filled="true" fillcolor="#ffffff" stroked="false">
              <v:path arrowok="t"/>
              <v:fill type="solid"/>
            </v:shape>
            <v:shape style="position:absolute;left:4255;top:3632;width:82;height:136" coordorigin="4255,3632" coordsize="82,136" path="m4272,3632l4255,3632,4255,3768,4337,3768,4337,3752,4272,3752,4272,3632xe" filled="true" fillcolor="#ffffff" stroked="false">
              <v:path arrowok="t"/>
              <v:fill type="solid"/>
            </v:shape>
            <v:shape style="position:absolute;left:4355;top:3632;width:102;height:136" coordorigin="4355,3632" coordsize="102,136" path="m4375,3632l4355,3632,4355,3768,4371,3768,4371,3659,4390,3659,4375,3632xm4390,3659l4371,3659,4436,3768,4456,3768,4456,3742,4439,3742,4390,3659xm4456,3632l4439,3632,4439,3742,4456,3742,4456,3632xe" filled="true" fillcolor="#ffffff" stroked="false">
              <v:path arrowok="t"/>
              <v:fill type="solid"/>
            </v:shape>
            <v:shape style="position:absolute;left:4486;top:3632;width:95;height:136" coordorigin="4486,3632" coordsize="95,136" path="m4579,3632l4486,3632,4486,3768,4580,3768,4580,3752,4503,3752,4503,3706,4573,3706,4573,3690,4503,3690,4503,3649,4579,3649,4579,3632xe" filled="true" fillcolor="#ffffff" stroked="false">
              <v:path arrowok="t"/>
              <v:fill type="solid"/>
            </v:shape>
            <v:shape style="position:absolute;left:4605;top:3632;width:96;height:136" coordorigin="4605,3632" coordsize="96,136" path="m4674,3632l4605,3632,4605,3768,4623,3768,4623,3711,4676,3711,4685,3707,4695,3695,4623,3695,4623,3648,4696,3648,4684,3636,4674,3632xm4696,3648l4664,3648,4669,3649,4680,3655,4683,3661,4683,3680,4681,3686,4671,3693,4665,3695,4695,3695,4698,3691,4701,3682,4701,3659,4698,3649,4696,3648xe" filled="true" fillcolor="#ffffff" stroked="false">
              <v:path arrowok="t"/>
              <v:fill type="solid"/>
            </v:shape>
            <v:shape style="position:absolute;left:4699;top:3632;width:115;height:136" coordorigin="4699,3632" coordsize="115,136" path="m4767,3632l4748,3632,4699,3768,4717,3768,4731,3727,4800,3727,4795,3712,4736,3712,4757,3653,4774,3653,4767,3632xm4800,3727l4782,3727,4795,3768,4814,3768,4800,3727xm4774,3653l4757,3653,4777,3712,4795,3712,4774,3653xe" filled="true" fillcolor="#ffffff" stroked="false">
              <v:path arrowok="t"/>
              <v:fill type="solid"/>
            </v:shape>
            <v:shape style="position:absolute;left:4830;top:3632;width:102;height:136" coordorigin="4830,3632" coordsize="102,136" path="m4850,3632l4830,3632,4830,3768,4847,3768,4847,3659,4866,3659,4850,3632xm4866,3659l4847,3659,4912,3768,4931,3768,4931,3742,4915,3742,4866,3659xm4931,3632l4915,3632,4915,3742,4931,3742,4931,3632xe" filled="true" fillcolor="#ffffff" stroked="false">
              <v:path arrowok="t"/>
              <v:fill type="solid"/>
            </v:shape>
            <v:shape style="position:absolute;left:4949;top:3632;width:105;height:136" coordorigin="4949,3632" coordsize="105,136" path="m5010,3649l4992,3649,4992,3768,5010,3768,5010,3649xm5053,3632l4949,3632,4949,3649,5053,3649,5053,3632xe" filled="true" fillcolor="#ffffff" stroked="false">
              <v:path arrowok="t"/>
              <v:fill type="solid"/>
            </v:shape>
            <v:shape style="position:absolute;left:5069;top:3632;width:82;height:136" coordorigin="5069,3632" coordsize="82,136" path="m5086,3632l5069,3632,5069,3768,5151,3768,5151,3752,5086,3752,5086,3632xe" filled="true" fillcolor="#ffffff" stroked="false">
              <v:path arrowok="t"/>
              <v:fill type="solid"/>
            </v:shape>
            <v:shape style="position:absolute;left:5158;top:3632;width:115;height:136" coordorigin="5158,3632" coordsize="115,136" path="m5226,3632l5206,3632,5158,3768,5176,3768,5190,3727,5259,3727,5254,3712,5195,3712,5215,3653,5233,3653,5226,3632xm5259,3727l5240,3727,5254,3768,5273,3768,5259,3727xm5233,3653l5215,3653,5235,3712,5254,3712,5233,3653xe" filled="true" fillcolor="#ffffff" stroked="false">
              <v:path arrowok="t"/>
              <v:fill type="solid"/>
            </v:shape>
            <w10:wrap type="topAndBottom"/>
          </v:group>
        </w:pict>
      </w:r>
      <w:r>
        <w:rPr>
          <w:i/>
          <w:color w:val="231F20"/>
          <w:w w:val="105"/>
        </w:rPr>
        <w:t>Situación General del Municipio</w:t>
      </w:r>
    </w:p>
    <w:p>
      <w:pPr>
        <w:pStyle w:val="BodyText"/>
        <w:spacing w:before="84"/>
        <w:ind w:left="110"/>
        <w:jc w:val="both"/>
        <w:rPr>
          <w:sz w:val="13"/>
        </w:rPr>
      </w:pPr>
      <w:r>
        <w:rPr>
          <w:color w:val="231F20"/>
        </w:rPr>
        <w:t>Datos de contacto y  localización</w:t>
      </w:r>
      <w:r>
        <w:rPr>
          <w:color w:val="231F20"/>
          <w:position w:val="7"/>
          <w:sz w:val="13"/>
        </w:rPr>
        <w:t>7</w:t>
      </w:r>
    </w:p>
    <w:p>
      <w:pPr>
        <w:pStyle w:val="BodyText"/>
        <w:spacing w:before="3"/>
        <w:rPr>
          <w:sz w:val="24"/>
        </w:rPr>
      </w:pPr>
    </w:p>
    <w:p>
      <w:pPr>
        <w:pStyle w:val="Heading4"/>
        <w:rPr>
          <w:i/>
        </w:rPr>
      </w:pPr>
      <w:r>
        <w:rPr>
          <w:i/>
          <w:color w:val="231F20"/>
          <w:w w:val="105"/>
        </w:rPr>
        <w:t>Localización</w:t>
      </w:r>
    </w:p>
    <w:p>
      <w:pPr>
        <w:pStyle w:val="BodyText"/>
        <w:spacing w:line="285" w:lineRule="auto" w:before="16"/>
        <w:ind w:left="110" w:right="108"/>
        <w:jc w:val="both"/>
      </w:pPr>
      <w:r>
        <w:rPr>
          <w:color w:val="231F20"/>
          <w:w w:val="105"/>
        </w:rPr>
        <w:t>El municipio de Tlalnepantla se encuentra ubicado en el Estado de México, que, a su vez,</w:t>
      </w:r>
      <w:r>
        <w:rPr>
          <w:color w:val="231F20"/>
          <w:spacing w:val="-8"/>
          <w:w w:val="105"/>
        </w:rPr>
        <w:t> </w:t>
      </w:r>
      <w:r>
        <w:rPr>
          <w:color w:val="231F20"/>
          <w:w w:val="105"/>
        </w:rPr>
        <w:t>está</w:t>
      </w:r>
      <w:r>
        <w:rPr>
          <w:color w:val="231F20"/>
          <w:spacing w:val="-8"/>
          <w:w w:val="105"/>
        </w:rPr>
        <w:t> </w:t>
      </w:r>
      <w:r>
        <w:rPr>
          <w:color w:val="231F20"/>
          <w:w w:val="105"/>
        </w:rPr>
        <w:t>situado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centro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República</w:t>
      </w:r>
      <w:r>
        <w:rPr>
          <w:color w:val="231F20"/>
          <w:spacing w:val="-8"/>
          <w:w w:val="105"/>
        </w:rPr>
        <w:t> </w:t>
      </w:r>
      <w:r>
        <w:rPr>
          <w:color w:val="231F20"/>
          <w:w w:val="105"/>
        </w:rPr>
        <w:t>y</w:t>
      </w:r>
      <w:r>
        <w:rPr>
          <w:color w:val="231F20"/>
          <w:spacing w:val="-8"/>
          <w:w w:val="105"/>
        </w:rPr>
        <w:t> </w:t>
      </w:r>
      <w:r>
        <w:rPr>
          <w:color w:val="231F20"/>
          <w:w w:val="105"/>
        </w:rPr>
        <w:t>tiene</w:t>
      </w:r>
      <w:r>
        <w:rPr>
          <w:color w:val="231F20"/>
          <w:spacing w:val="-8"/>
          <w:w w:val="105"/>
        </w:rPr>
        <w:t> </w:t>
      </w:r>
      <w:r>
        <w:rPr>
          <w:color w:val="231F20"/>
          <w:w w:val="105"/>
        </w:rPr>
        <w:t>como</w:t>
      </w:r>
      <w:r>
        <w:rPr>
          <w:color w:val="231F20"/>
          <w:spacing w:val="-8"/>
          <w:w w:val="105"/>
        </w:rPr>
        <w:t> </w:t>
      </w:r>
      <w:r>
        <w:rPr>
          <w:color w:val="231F20"/>
          <w:w w:val="105"/>
        </w:rPr>
        <w:t>límites,</w:t>
      </w:r>
      <w:r>
        <w:rPr>
          <w:color w:val="231F20"/>
          <w:spacing w:val="-8"/>
          <w:w w:val="105"/>
        </w:rPr>
        <w:t> </w:t>
      </w:r>
      <w:r>
        <w:rPr>
          <w:color w:val="231F20"/>
          <w:spacing w:val="2"/>
          <w:w w:val="105"/>
        </w:rPr>
        <w:t>al</w:t>
      </w:r>
      <w:r>
        <w:rPr>
          <w:color w:val="231F20"/>
          <w:spacing w:val="-8"/>
          <w:w w:val="105"/>
        </w:rPr>
        <w:t> </w:t>
      </w:r>
      <w:r>
        <w:rPr>
          <w:color w:val="231F20"/>
          <w:w w:val="105"/>
        </w:rPr>
        <w:t>norte,</w:t>
      </w:r>
      <w:r>
        <w:rPr>
          <w:color w:val="231F20"/>
          <w:spacing w:val="-8"/>
          <w:w w:val="105"/>
        </w:rPr>
        <w:t> </w:t>
      </w:r>
      <w:r>
        <w:rPr>
          <w:color w:val="231F20"/>
          <w:w w:val="105"/>
        </w:rPr>
        <w:t>los</w:t>
      </w:r>
      <w:r>
        <w:rPr>
          <w:color w:val="231F20"/>
          <w:spacing w:val="-8"/>
          <w:w w:val="105"/>
        </w:rPr>
        <w:t> </w:t>
      </w:r>
      <w:r>
        <w:rPr>
          <w:color w:val="231F20"/>
          <w:w w:val="105"/>
        </w:rPr>
        <w:t>estados de</w:t>
      </w:r>
      <w:r>
        <w:rPr>
          <w:color w:val="231F20"/>
          <w:spacing w:val="-18"/>
          <w:w w:val="105"/>
        </w:rPr>
        <w:t> </w:t>
      </w:r>
      <w:r>
        <w:rPr>
          <w:color w:val="231F20"/>
          <w:w w:val="105"/>
        </w:rPr>
        <w:t>Querétaro</w:t>
      </w:r>
      <w:r>
        <w:rPr>
          <w:color w:val="231F20"/>
          <w:spacing w:val="-18"/>
          <w:w w:val="105"/>
        </w:rPr>
        <w:t> </w:t>
      </w:r>
      <w:r>
        <w:rPr>
          <w:color w:val="231F20"/>
          <w:w w:val="105"/>
        </w:rPr>
        <w:t>e</w:t>
      </w:r>
      <w:r>
        <w:rPr>
          <w:color w:val="231F20"/>
          <w:spacing w:val="-18"/>
          <w:w w:val="105"/>
        </w:rPr>
        <w:t> </w:t>
      </w:r>
      <w:r>
        <w:rPr>
          <w:color w:val="231F20"/>
          <w:w w:val="105"/>
        </w:rPr>
        <w:t>Hidalgo;</w:t>
      </w:r>
      <w:r>
        <w:rPr>
          <w:color w:val="231F20"/>
          <w:spacing w:val="-18"/>
          <w:w w:val="105"/>
        </w:rPr>
        <w:t> </w:t>
      </w:r>
      <w:r>
        <w:rPr>
          <w:color w:val="231F20"/>
          <w:spacing w:val="2"/>
          <w:w w:val="105"/>
        </w:rPr>
        <w:t>al</w:t>
      </w:r>
      <w:r>
        <w:rPr>
          <w:color w:val="231F20"/>
          <w:spacing w:val="-18"/>
          <w:w w:val="105"/>
        </w:rPr>
        <w:t> </w:t>
      </w:r>
      <w:r>
        <w:rPr>
          <w:color w:val="231F20"/>
          <w:spacing w:val="-3"/>
          <w:w w:val="105"/>
        </w:rPr>
        <w:t>sur,</w:t>
      </w:r>
      <w:r>
        <w:rPr>
          <w:color w:val="231F20"/>
          <w:spacing w:val="-18"/>
          <w:w w:val="105"/>
        </w:rPr>
        <w:t> </w:t>
      </w:r>
      <w:r>
        <w:rPr>
          <w:color w:val="231F20"/>
          <w:spacing w:val="-3"/>
          <w:w w:val="105"/>
        </w:rPr>
        <w:t>Morelos</w:t>
      </w:r>
      <w:r>
        <w:rPr>
          <w:color w:val="231F20"/>
          <w:spacing w:val="-18"/>
          <w:w w:val="105"/>
        </w:rPr>
        <w:t> </w:t>
      </w:r>
      <w:r>
        <w:rPr>
          <w:color w:val="231F20"/>
          <w:w w:val="105"/>
        </w:rPr>
        <w:t>y</w:t>
      </w:r>
      <w:r>
        <w:rPr>
          <w:color w:val="231F20"/>
          <w:spacing w:val="-18"/>
          <w:w w:val="105"/>
        </w:rPr>
        <w:t> </w:t>
      </w:r>
      <w:r>
        <w:rPr>
          <w:color w:val="231F20"/>
          <w:w w:val="105"/>
        </w:rPr>
        <w:t>Guerrero;</w:t>
      </w:r>
      <w:r>
        <w:rPr>
          <w:color w:val="231F20"/>
          <w:spacing w:val="-18"/>
          <w:w w:val="105"/>
        </w:rPr>
        <w:t> </w:t>
      </w:r>
      <w:r>
        <w:rPr>
          <w:color w:val="231F20"/>
          <w:spacing w:val="2"/>
          <w:w w:val="105"/>
        </w:rPr>
        <w:t>al</w:t>
      </w:r>
      <w:r>
        <w:rPr>
          <w:color w:val="231F20"/>
          <w:spacing w:val="-18"/>
          <w:w w:val="105"/>
        </w:rPr>
        <w:t> </w:t>
      </w:r>
      <w:r>
        <w:rPr>
          <w:color w:val="231F20"/>
          <w:w w:val="105"/>
        </w:rPr>
        <w:t>este,</w:t>
      </w:r>
      <w:r>
        <w:rPr>
          <w:color w:val="231F20"/>
          <w:spacing w:val="-18"/>
          <w:w w:val="105"/>
        </w:rPr>
        <w:t> </w:t>
      </w:r>
      <w:r>
        <w:rPr>
          <w:color w:val="231F20"/>
          <w:w w:val="105"/>
        </w:rPr>
        <w:t>Tlaxcala</w:t>
      </w:r>
      <w:r>
        <w:rPr>
          <w:color w:val="231F20"/>
          <w:spacing w:val="-18"/>
          <w:w w:val="105"/>
        </w:rPr>
        <w:t> </w:t>
      </w:r>
      <w:r>
        <w:rPr>
          <w:color w:val="231F20"/>
          <w:w w:val="105"/>
        </w:rPr>
        <w:t>y</w:t>
      </w:r>
      <w:r>
        <w:rPr>
          <w:color w:val="231F20"/>
          <w:spacing w:val="-18"/>
          <w:w w:val="105"/>
        </w:rPr>
        <w:t> </w:t>
      </w:r>
      <w:r>
        <w:rPr>
          <w:color w:val="231F20"/>
          <w:w w:val="105"/>
        </w:rPr>
        <w:t>Puebla,</w:t>
      </w:r>
      <w:r>
        <w:rPr>
          <w:color w:val="231F20"/>
          <w:spacing w:val="-18"/>
          <w:w w:val="105"/>
        </w:rPr>
        <w:t> </w:t>
      </w:r>
      <w:r>
        <w:rPr>
          <w:color w:val="231F20"/>
          <w:w w:val="105"/>
        </w:rPr>
        <w:t>y</w:t>
      </w:r>
      <w:r>
        <w:rPr>
          <w:color w:val="231F20"/>
          <w:spacing w:val="-18"/>
          <w:w w:val="105"/>
        </w:rPr>
        <w:t> </w:t>
      </w:r>
      <w:r>
        <w:rPr>
          <w:color w:val="231F20"/>
          <w:spacing w:val="2"/>
          <w:w w:val="105"/>
        </w:rPr>
        <w:t>al</w:t>
      </w:r>
      <w:r>
        <w:rPr>
          <w:color w:val="231F20"/>
          <w:spacing w:val="-18"/>
          <w:w w:val="105"/>
        </w:rPr>
        <w:t> </w:t>
      </w:r>
      <w:r>
        <w:rPr>
          <w:color w:val="231F20"/>
          <w:w w:val="105"/>
        </w:rPr>
        <w:t>oeste Michoacán.</w:t>
      </w:r>
      <w:r>
        <w:rPr>
          <w:color w:val="231F20"/>
          <w:spacing w:val="-5"/>
          <w:w w:val="105"/>
        </w:rPr>
        <w:t> </w:t>
      </w:r>
      <w:r>
        <w:rPr>
          <w:color w:val="231F20"/>
          <w:w w:val="105"/>
        </w:rPr>
        <w:t>Los</w:t>
      </w:r>
      <w:r>
        <w:rPr>
          <w:color w:val="231F20"/>
          <w:spacing w:val="-5"/>
          <w:w w:val="105"/>
        </w:rPr>
        <w:t> </w:t>
      </w:r>
      <w:r>
        <w:rPr>
          <w:color w:val="231F20"/>
          <w:w w:val="105"/>
        </w:rPr>
        <w:t>terrenos</w:t>
      </w:r>
      <w:r>
        <w:rPr>
          <w:color w:val="231F20"/>
          <w:spacing w:val="-5"/>
          <w:w w:val="105"/>
        </w:rPr>
        <w:t> </w:t>
      </w:r>
      <w:r>
        <w:rPr>
          <w:color w:val="231F20"/>
          <w:w w:val="105"/>
        </w:rPr>
        <w:t>correspondientes</w:t>
      </w:r>
      <w:r>
        <w:rPr>
          <w:color w:val="231F20"/>
          <w:spacing w:val="-5"/>
          <w:w w:val="105"/>
        </w:rPr>
        <w:t> </w:t>
      </w:r>
      <w:r>
        <w:rPr>
          <w:color w:val="231F20"/>
          <w:spacing w:val="2"/>
          <w:w w:val="105"/>
        </w:rPr>
        <w:t>al</w:t>
      </w:r>
      <w:r>
        <w:rPr>
          <w:color w:val="231F20"/>
          <w:spacing w:val="-5"/>
          <w:w w:val="105"/>
        </w:rPr>
        <w:t> </w:t>
      </w:r>
      <w:r>
        <w:rPr>
          <w:color w:val="231F20"/>
          <w:w w:val="105"/>
        </w:rPr>
        <w:t>municipio</w:t>
      </w:r>
      <w:r>
        <w:rPr>
          <w:color w:val="231F20"/>
          <w:spacing w:val="-5"/>
          <w:w w:val="105"/>
        </w:rPr>
        <w:t> </w:t>
      </w:r>
      <w:r>
        <w:rPr>
          <w:color w:val="231F20"/>
          <w:w w:val="105"/>
        </w:rPr>
        <w:t>de</w:t>
      </w:r>
      <w:r>
        <w:rPr>
          <w:color w:val="231F20"/>
          <w:spacing w:val="-5"/>
          <w:w w:val="105"/>
        </w:rPr>
        <w:t> </w:t>
      </w:r>
      <w:r>
        <w:rPr>
          <w:color w:val="231F20"/>
          <w:w w:val="105"/>
        </w:rPr>
        <w:t>Tlalnepantla</w:t>
      </w:r>
      <w:r>
        <w:rPr>
          <w:color w:val="231F20"/>
          <w:spacing w:val="-5"/>
          <w:w w:val="105"/>
        </w:rPr>
        <w:t> </w:t>
      </w:r>
      <w:r>
        <w:rPr>
          <w:color w:val="231F20"/>
          <w:w w:val="105"/>
        </w:rPr>
        <w:t>se</w:t>
      </w:r>
      <w:r>
        <w:rPr>
          <w:color w:val="231F20"/>
          <w:spacing w:val="-5"/>
          <w:w w:val="105"/>
        </w:rPr>
        <w:t> </w:t>
      </w:r>
      <w:r>
        <w:rPr>
          <w:color w:val="231F20"/>
          <w:w w:val="105"/>
        </w:rPr>
        <w:t>sitúan</w:t>
      </w:r>
      <w:r>
        <w:rPr>
          <w:color w:val="231F20"/>
          <w:spacing w:val="-5"/>
          <w:w w:val="105"/>
        </w:rPr>
        <w:t> </w:t>
      </w:r>
      <w:r>
        <w:rPr>
          <w:color w:val="231F20"/>
          <w:w w:val="105"/>
        </w:rPr>
        <w:t>geo- gráficamente</w:t>
      </w:r>
      <w:r>
        <w:rPr>
          <w:color w:val="231F20"/>
          <w:spacing w:val="-13"/>
          <w:w w:val="105"/>
        </w:rPr>
        <w:t> </w:t>
      </w:r>
      <w:r>
        <w:rPr>
          <w:color w:val="231F20"/>
          <w:spacing w:val="2"/>
          <w:w w:val="105"/>
        </w:rPr>
        <w:t>al</w:t>
      </w:r>
      <w:r>
        <w:rPr>
          <w:color w:val="231F20"/>
          <w:spacing w:val="-13"/>
          <w:w w:val="105"/>
        </w:rPr>
        <w:t> </w:t>
      </w:r>
      <w:r>
        <w:rPr>
          <w:color w:val="231F20"/>
          <w:w w:val="105"/>
        </w:rPr>
        <w:t>noroeste</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sobre</w:t>
      </w:r>
      <w:r>
        <w:rPr>
          <w:color w:val="231F20"/>
          <w:spacing w:val="-13"/>
          <w:w w:val="105"/>
        </w:rPr>
        <w:t> </w:t>
      </w:r>
      <w:r>
        <w:rPr>
          <w:color w:val="231F20"/>
          <w:w w:val="105"/>
        </w:rPr>
        <w:t>el</w:t>
      </w:r>
      <w:r>
        <w:rPr>
          <w:color w:val="231F20"/>
          <w:spacing w:val="-13"/>
          <w:w w:val="105"/>
        </w:rPr>
        <w:t> </w:t>
      </w:r>
      <w:r>
        <w:rPr>
          <w:color w:val="231F20"/>
          <w:w w:val="105"/>
        </w:rPr>
        <w:t>Valle</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porción septentrional</w:t>
      </w:r>
      <w:r>
        <w:rPr>
          <w:color w:val="231F20"/>
          <w:spacing w:val="-16"/>
          <w:w w:val="105"/>
        </w:rPr>
        <w:t> </w:t>
      </w:r>
      <w:r>
        <w:rPr>
          <w:color w:val="231F20"/>
          <w:w w:val="105"/>
        </w:rPr>
        <w:t>y</w:t>
      </w:r>
      <w:r>
        <w:rPr>
          <w:color w:val="231F20"/>
          <w:spacing w:val="-16"/>
          <w:w w:val="105"/>
        </w:rPr>
        <w:t> </w:t>
      </w:r>
      <w:r>
        <w:rPr>
          <w:color w:val="231F20"/>
          <w:spacing w:val="2"/>
          <w:w w:val="105"/>
        </w:rPr>
        <w:t>al</w:t>
      </w:r>
      <w:r>
        <w:rPr>
          <w:color w:val="231F20"/>
          <w:spacing w:val="-16"/>
          <w:w w:val="105"/>
        </w:rPr>
        <w:t> </w:t>
      </w:r>
      <w:r>
        <w:rPr>
          <w:color w:val="231F20"/>
          <w:w w:val="105"/>
        </w:rPr>
        <w:t>norte</w:t>
      </w:r>
      <w:r>
        <w:rPr>
          <w:color w:val="231F20"/>
          <w:spacing w:val="-16"/>
          <w:w w:val="105"/>
        </w:rPr>
        <w:t> </w:t>
      </w:r>
      <w:r>
        <w:rPr>
          <w:color w:val="231F20"/>
          <w:w w:val="105"/>
        </w:rPr>
        <w:t>del</w:t>
      </w:r>
      <w:r>
        <w:rPr>
          <w:color w:val="231F20"/>
          <w:spacing w:val="-16"/>
          <w:w w:val="105"/>
        </w:rPr>
        <w:t> </w:t>
      </w:r>
      <w:r>
        <w:rPr>
          <w:color w:val="231F20"/>
          <w:w w:val="105"/>
        </w:rPr>
        <w:t>Distrito</w:t>
      </w:r>
      <w:r>
        <w:rPr>
          <w:color w:val="231F20"/>
          <w:spacing w:val="-16"/>
          <w:w w:val="105"/>
        </w:rPr>
        <w:t> </w:t>
      </w:r>
      <w:r>
        <w:rPr>
          <w:color w:val="231F20"/>
          <w:w w:val="105"/>
        </w:rPr>
        <w:t>Federal.</w:t>
      </w:r>
      <w:r>
        <w:rPr>
          <w:color w:val="231F20"/>
          <w:spacing w:val="-16"/>
          <w:w w:val="105"/>
        </w:rPr>
        <w:t> </w:t>
      </w:r>
      <w:r>
        <w:rPr>
          <w:color w:val="231F20"/>
          <w:w w:val="105"/>
        </w:rPr>
        <w:t>La</w:t>
      </w:r>
      <w:r>
        <w:rPr>
          <w:color w:val="231F20"/>
          <w:spacing w:val="-16"/>
          <w:w w:val="105"/>
        </w:rPr>
        <w:t> </w:t>
      </w:r>
      <w:r>
        <w:rPr>
          <w:color w:val="231F20"/>
          <w:w w:val="105"/>
        </w:rPr>
        <w:t>cabecera</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w w:val="105"/>
        </w:rPr>
        <w:t>Tlalnepantla</w:t>
      </w:r>
      <w:r>
        <w:rPr>
          <w:color w:val="231F20"/>
          <w:spacing w:val="-16"/>
          <w:w w:val="105"/>
        </w:rPr>
        <w:t> </w:t>
      </w:r>
      <w:r>
        <w:rPr>
          <w:color w:val="231F20"/>
          <w:w w:val="105"/>
        </w:rPr>
        <w:t>de </w:t>
      </w:r>
      <w:r>
        <w:rPr>
          <w:color w:val="231F20"/>
          <w:w w:val="105"/>
          <w:u w:val="single" w:color="231F20"/>
        </w:rPr>
        <w:t>Baz,</w:t>
      </w:r>
      <w:r>
        <w:rPr>
          <w:color w:val="231F20"/>
          <w:spacing w:val="-14"/>
          <w:w w:val="105"/>
          <w:u w:val="single" w:color="231F20"/>
        </w:rPr>
        <w:t> </w:t>
      </w:r>
      <w:r>
        <w:rPr>
          <w:color w:val="231F20"/>
          <w:w w:val="105"/>
          <w:u w:val="single" w:color="231F20"/>
        </w:rPr>
        <w:t>se</w:t>
      </w:r>
      <w:r>
        <w:rPr>
          <w:color w:val="231F20"/>
          <w:spacing w:val="-14"/>
          <w:w w:val="105"/>
          <w:u w:val="single" w:color="231F20"/>
        </w:rPr>
        <w:t> </w:t>
      </w:r>
      <w:r>
        <w:rPr>
          <w:color w:val="231F20"/>
          <w:w w:val="105"/>
          <w:u w:val="single" w:color="231F20"/>
        </w:rPr>
        <w:t>ubica</w:t>
      </w:r>
      <w:r>
        <w:rPr>
          <w:color w:val="231F20"/>
          <w:spacing w:val="-14"/>
          <w:w w:val="105"/>
          <w:u w:val="single" w:color="231F20"/>
        </w:rPr>
        <w:t> </w:t>
      </w:r>
      <w:r>
        <w:rPr>
          <w:color w:val="231F20"/>
          <w:w w:val="105"/>
          <w:u w:val="single" w:color="231F20"/>
        </w:rPr>
        <w:t>en</w:t>
      </w:r>
      <w:r>
        <w:rPr>
          <w:color w:val="231F20"/>
          <w:spacing w:val="-14"/>
          <w:w w:val="105"/>
          <w:u w:val="single" w:color="231F20"/>
        </w:rPr>
        <w:t> </w:t>
      </w:r>
      <w:r>
        <w:rPr>
          <w:color w:val="231F20"/>
          <w:w w:val="105"/>
        </w:rPr>
        <w:t>los</w:t>
      </w:r>
      <w:r>
        <w:rPr>
          <w:color w:val="231F20"/>
          <w:spacing w:val="-14"/>
          <w:w w:val="105"/>
        </w:rPr>
        <w:t> </w:t>
      </w:r>
      <w:r>
        <w:rPr>
          <w:color w:val="231F20"/>
          <w:w w:val="105"/>
        </w:rPr>
        <w:t>19º</w:t>
      </w:r>
      <w:r>
        <w:rPr>
          <w:color w:val="231F20"/>
          <w:spacing w:val="-14"/>
          <w:w w:val="105"/>
        </w:rPr>
        <w:t> </w:t>
      </w:r>
      <w:r>
        <w:rPr>
          <w:color w:val="231F20"/>
          <w:w w:val="105"/>
        </w:rPr>
        <w:t>32’</w:t>
      </w:r>
      <w:r>
        <w:rPr>
          <w:color w:val="231F20"/>
          <w:spacing w:val="-14"/>
          <w:w w:val="105"/>
        </w:rPr>
        <w:t> </w:t>
      </w:r>
      <w:r>
        <w:rPr>
          <w:color w:val="231F20"/>
          <w:w w:val="105"/>
        </w:rPr>
        <w:t>de</w:t>
      </w:r>
      <w:r>
        <w:rPr>
          <w:color w:val="231F20"/>
          <w:spacing w:val="-14"/>
          <w:w w:val="105"/>
        </w:rPr>
        <w:t> </w:t>
      </w:r>
      <w:r>
        <w:rPr>
          <w:color w:val="231F20"/>
          <w:w w:val="105"/>
        </w:rPr>
        <w:t>latitud</w:t>
      </w:r>
      <w:r>
        <w:rPr>
          <w:color w:val="231F20"/>
          <w:spacing w:val="-14"/>
          <w:w w:val="105"/>
        </w:rPr>
        <w:t> </w:t>
      </w:r>
      <w:r>
        <w:rPr>
          <w:color w:val="231F20"/>
          <w:w w:val="105"/>
        </w:rPr>
        <w:t>norte</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spacing w:val="3"/>
          <w:w w:val="105"/>
        </w:rPr>
        <w:t>99º</w:t>
      </w:r>
      <w:r>
        <w:rPr>
          <w:color w:val="231F20"/>
          <w:spacing w:val="-14"/>
          <w:w w:val="105"/>
        </w:rPr>
        <w:t> </w:t>
      </w:r>
      <w:r>
        <w:rPr>
          <w:color w:val="231F20"/>
          <w:spacing w:val="-7"/>
          <w:w w:val="105"/>
        </w:rPr>
        <w:t>11’</w:t>
      </w:r>
      <w:r>
        <w:rPr>
          <w:color w:val="231F20"/>
          <w:spacing w:val="-14"/>
          <w:w w:val="105"/>
        </w:rPr>
        <w:t> </w:t>
      </w:r>
      <w:r>
        <w:rPr>
          <w:color w:val="231F20"/>
          <w:w w:val="105"/>
        </w:rPr>
        <w:t>de</w:t>
      </w:r>
      <w:r>
        <w:rPr>
          <w:color w:val="231F20"/>
          <w:spacing w:val="-14"/>
          <w:w w:val="105"/>
        </w:rPr>
        <w:t> </w:t>
      </w:r>
      <w:r>
        <w:rPr>
          <w:color w:val="231F20"/>
          <w:w w:val="105"/>
        </w:rPr>
        <w:t>longitud</w:t>
      </w:r>
      <w:r>
        <w:rPr>
          <w:color w:val="231F20"/>
          <w:spacing w:val="-14"/>
          <w:w w:val="105"/>
        </w:rPr>
        <w:t> </w:t>
      </w:r>
      <w:r>
        <w:rPr>
          <w:color w:val="231F20"/>
          <w:w w:val="105"/>
        </w:rPr>
        <w:t>oeste.</w:t>
      </w:r>
      <w:r>
        <w:rPr>
          <w:color w:val="231F20"/>
          <w:spacing w:val="-14"/>
          <w:w w:val="105"/>
        </w:rPr>
        <w:t> </w:t>
      </w:r>
      <w:r>
        <w:rPr>
          <w:color w:val="231F20"/>
          <w:w w:val="105"/>
        </w:rPr>
        <w:t>Debe</w:t>
      </w:r>
      <w:r>
        <w:rPr>
          <w:color w:val="231F20"/>
          <w:spacing w:val="-14"/>
          <w:w w:val="105"/>
        </w:rPr>
        <w:t> </w:t>
      </w:r>
      <w:r>
        <w:rPr>
          <w:color w:val="231F20"/>
          <w:w w:val="105"/>
        </w:rPr>
        <w:t>men-</w:t>
      </w:r>
    </w:p>
    <w:p>
      <w:pPr>
        <w:pStyle w:val="ListParagraph"/>
        <w:numPr>
          <w:ilvl w:val="0"/>
          <w:numId w:val="15"/>
        </w:numPr>
        <w:tabs>
          <w:tab w:pos="259" w:val="left" w:leader="none"/>
        </w:tabs>
        <w:spacing w:line="240" w:lineRule="auto" w:before="53" w:after="0"/>
        <w:ind w:left="258" w:right="0" w:hanging="148"/>
        <w:jc w:val="both"/>
        <w:rPr>
          <w:sz w:val="16"/>
        </w:rPr>
      </w:pPr>
      <w:r>
        <w:rPr>
          <w:color w:val="231F20"/>
          <w:w w:val="95"/>
          <w:sz w:val="16"/>
        </w:rPr>
        <w:t>Fuente: </w:t>
      </w:r>
      <w:r>
        <w:rPr>
          <w:color w:val="231F20"/>
          <w:spacing w:val="29"/>
          <w:w w:val="95"/>
          <w:sz w:val="16"/>
        </w:rPr>
        <w:t> </w:t>
      </w:r>
      <w:hyperlink r:id="rId666">
        <w:r>
          <w:rPr>
            <w:color w:val="231F20"/>
            <w:w w:val="95"/>
            <w:sz w:val="16"/>
          </w:rPr>
          <w:t>http://www.tlalnepantla.gob.mx/portal/</w:t>
        </w:r>
      </w:hyperlink>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cionarse</w:t>
      </w:r>
      <w:r>
        <w:rPr>
          <w:color w:val="231F20"/>
          <w:spacing w:val="-11"/>
          <w:w w:val="105"/>
        </w:rPr>
        <w:t> </w:t>
      </w:r>
      <w:r>
        <w:rPr>
          <w:color w:val="231F20"/>
          <w:w w:val="105"/>
        </w:rPr>
        <w:t>que</w:t>
      </w:r>
      <w:r>
        <w:rPr>
          <w:color w:val="231F20"/>
          <w:spacing w:val="-11"/>
          <w:w w:val="105"/>
        </w:rPr>
        <w:t> </w:t>
      </w:r>
      <w:r>
        <w:rPr>
          <w:color w:val="231F20"/>
          <w:w w:val="105"/>
        </w:rPr>
        <w:t>este</w:t>
      </w:r>
      <w:r>
        <w:rPr>
          <w:color w:val="231F20"/>
          <w:spacing w:val="-11"/>
          <w:w w:val="105"/>
        </w:rPr>
        <w:t> </w:t>
      </w:r>
      <w:r>
        <w:rPr>
          <w:color w:val="231F20"/>
          <w:w w:val="105"/>
        </w:rPr>
        <w:t>municipio,</w:t>
      </w:r>
      <w:r>
        <w:rPr>
          <w:color w:val="231F20"/>
          <w:spacing w:val="-11"/>
          <w:w w:val="105"/>
        </w:rPr>
        <w:t> </w:t>
      </w:r>
      <w:r>
        <w:rPr>
          <w:color w:val="231F20"/>
          <w:w w:val="105"/>
        </w:rPr>
        <w:t>caso</w:t>
      </w:r>
      <w:r>
        <w:rPr>
          <w:color w:val="231F20"/>
          <w:spacing w:val="-11"/>
          <w:w w:val="105"/>
        </w:rPr>
        <w:t> </w:t>
      </w:r>
      <w:r>
        <w:rPr>
          <w:color w:val="231F20"/>
          <w:w w:val="105"/>
        </w:rPr>
        <w:t>único</w:t>
      </w:r>
      <w:r>
        <w:rPr>
          <w:color w:val="231F20"/>
          <w:spacing w:val="-11"/>
          <w:w w:val="105"/>
        </w:rPr>
        <w:t> </w:t>
      </w:r>
      <w:r>
        <w:rPr>
          <w:color w:val="231F20"/>
          <w:w w:val="105"/>
        </w:rPr>
        <w:t>dentro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estructura</w:t>
      </w:r>
      <w:r>
        <w:rPr>
          <w:color w:val="231F20"/>
          <w:spacing w:val="-11"/>
          <w:w w:val="105"/>
        </w:rPr>
        <w:t> </w:t>
      </w:r>
      <w:r>
        <w:rPr>
          <w:color w:val="231F20"/>
          <w:w w:val="105"/>
        </w:rPr>
        <w:t>geográfica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muni- cipios</w:t>
      </w:r>
      <w:r>
        <w:rPr>
          <w:color w:val="231F20"/>
          <w:spacing w:val="-9"/>
          <w:w w:val="105"/>
        </w:rPr>
        <w:t> </w:t>
      </w:r>
      <w:r>
        <w:rPr>
          <w:color w:val="231F20"/>
          <w:w w:val="105"/>
        </w:rPr>
        <w:t>del</w:t>
      </w:r>
      <w:r>
        <w:rPr>
          <w:color w:val="231F20"/>
          <w:spacing w:val="-9"/>
          <w:w w:val="105"/>
        </w:rPr>
        <w:t> </w:t>
      </w:r>
      <w:r>
        <w:rPr>
          <w:color w:val="231F20"/>
          <w:w w:val="105"/>
        </w:rPr>
        <w:t>Valle</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9"/>
          <w:w w:val="105"/>
        </w:rPr>
        <w:t> </w:t>
      </w:r>
      <w:r>
        <w:rPr>
          <w:color w:val="231F20"/>
          <w:w w:val="105"/>
        </w:rPr>
        <w:t>está</w:t>
      </w:r>
      <w:r>
        <w:rPr>
          <w:color w:val="231F20"/>
          <w:spacing w:val="-9"/>
          <w:w w:val="105"/>
        </w:rPr>
        <w:t> </w:t>
      </w:r>
      <w:r>
        <w:rPr>
          <w:color w:val="231F20"/>
          <w:w w:val="105"/>
        </w:rPr>
        <w:t>constituido</w:t>
      </w:r>
      <w:r>
        <w:rPr>
          <w:color w:val="231F20"/>
          <w:spacing w:val="-9"/>
          <w:w w:val="105"/>
        </w:rPr>
        <w:t> </w:t>
      </w:r>
      <w:r>
        <w:rPr>
          <w:color w:val="231F20"/>
          <w:w w:val="105"/>
        </w:rPr>
        <w:t>por</w:t>
      </w:r>
      <w:r>
        <w:rPr>
          <w:color w:val="231F20"/>
          <w:spacing w:val="-9"/>
          <w:w w:val="105"/>
        </w:rPr>
        <w:t> </w:t>
      </w:r>
      <w:r>
        <w:rPr>
          <w:color w:val="231F20"/>
          <w:w w:val="105"/>
        </w:rPr>
        <w:t>dos</w:t>
      </w:r>
      <w:r>
        <w:rPr>
          <w:color w:val="231F20"/>
          <w:spacing w:val="-9"/>
          <w:w w:val="105"/>
        </w:rPr>
        <w:t> </w:t>
      </w:r>
      <w:r>
        <w:rPr>
          <w:color w:val="231F20"/>
          <w:w w:val="105"/>
        </w:rPr>
        <w:t>zonas</w:t>
      </w:r>
      <w:r>
        <w:rPr>
          <w:color w:val="231F20"/>
          <w:spacing w:val="-9"/>
          <w:w w:val="105"/>
        </w:rPr>
        <w:t> </w:t>
      </w:r>
      <w:r>
        <w:rPr>
          <w:color w:val="231F20"/>
          <w:w w:val="105"/>
        </w:rPr>
        <w:t>no</w:t>
      </w:r>
      <w:r>
        <w:rPr>
          <w:color w:val="231F20"/>
          <w:spacing w:val="-9"/>
          <w:w w:val="105"/>
        </w:rPr>
        <w:t> </w:t>
      </w:r>
      <w:r>
        <w:rPr>
          <w:color w:val="231F20"/>
          <w:w w:val="105"/>
        </w:rPr>
        <w:t>contiguas,</w:t>
      </w:r>
      <w:r>
        <w:rPr>
          <w:color w:val="231F20"/>
          <w:spacing w:val="-9"/>
          <w:w w:val="105"/>
        </w:rPr>
        <w:t> </w:t>
      </w:r>
      <w:r>
        <w:rPr>
          <w:color w:val="231F20"/>
          <w:w w:val="105"/>
        </w:rPr>
        <w:t>interrumpidas por</w:t>
      </w:r>
      <w:r>
        <w:rPr>
          <w:color w:val="231F20"/>
          <w:spacing w:val="-12"/>
          <w:w w:val="105"/>
        </w:rPr>
        <w:t> </w:t>
      </w:r>
      <w:r>
        <w:rPr>
          <w:color w:val="231F20"/>
          <w:w w:val="105"/>
        </w:rPr>
        <w:t>el</w:t>
      </w:r>
      <w:r>
        <w:rPr>
          <w:color w:val="231F20"/>
          <w:spacing w:val="-12"/>
          <w:w w:val="105"/>
        </w:rPr>
        <w:t> </w:t>
      </w:r>
      <w:r>
        <w:rPr>
          <w:color w:val="231F20"/>
          <w:w w:val="105"/>
        </w:rPr>
        <w:t>Distrito</w:t>
      </w:r>
      <w:r>
        <w:rPr>
          <w:color w:val="231F20"/>
          <w:spacing w:val="-12"/>
          <w:w w:val="105"/>
        </w:rPr>
        <w:t> </w:t>
      </w:r>
      <w:r>
        <w:rPr>
          <w:color w:val="231F20"/>
          <w:w w:val="105"/>
        </w:rPr>
        <w:t>Federal:</w:t>
      </w:r>
      <w:r>
        <w:rPr>
          <w:color w:val="231F20"/>
          <w:spacing w:val="-12"/>
          <w:w w:val="105"/>
        </w:rPr>
        <w:t> </w:t>
      </w:r>
      <w:r>
        <w:rPr>
          <w:color w:val="231F20"/>
          <w:w w:val="105"/>
        </w:rPr>
        <w:t>Zona</w:t>
      </w:r>
      <w:r>
        <w:rPr>
          <w:color w:val="231F20"/>
          <w:spacing w:val="-12"/>
          <w:w w:val="105"/>
        </w:rPr>
        <w:t> </w:t>
      </w:r>
      <w:r>
        <w:rPr>
          <w:color w:val="231F20"/>
          <w:w w:val="105"/>
        </w:rPr>
        <w:t>Poniente</w:t>
      </w:r>
      <w:r>
        <w:rPr>
          <w:color w:val="231F20"/>
          <w:spacing w:val="-12"/>
          <w:w w:val="105"/>
        </w:rPr>
        <w:t> </w:t>
      </w:r>
      <w:r>
        <w:rPr>
          <w:color w:val="231F20"/>
          <w:w w:val="105"/>
        </w:rPr>
        <w:t>y</w:t>
      </w:r>
      <w:r>
        <w:rPr>
          <w:color w:val="231F20"/>
          <w:spacing w:val="-12"/>
          <w:w w:val="105"/>
        </w:rPr>
        <w:t> </w:t>
      </w:r>
      <w:r>
        <w:rPr>
          <w:color w:val="231F20"/>
          <w:w w:val="105"/>
        </w:rPr>
        <w:t>Zona</w:t>
      </w:r>
      <w:r>
        <w:rPr>
          <w:color w:val="231F20"/>
          <w:spacing w:val="-12"/>
          <w:w w:val="105"/>
        </w:rPr>
        <w:t> </w:t>
      </w:r>
      <w:r>
        <w:rPr>
          <w:color w:val="231F20"/>
          <w:w w:val="105"/>
        </w:rPr>
        <w:t>Oriente.</w:t>
      </w:r>
    </w:p>
    <w:p>
      <w:pPr>
        <w:pStyle w:val="BodyText"/>
        <w:spacing w:before="1"/>
        <w:rPr>
          <w:sz w:val="26"/>
        </w:rPr>
      </w:pPr>
    </w:p>
    <w:p>
      <w:pPr>
        <w:pStyle w:val="BodyText"/>
        <w:spacing w:line="285" w:lineRule="auto"/>
        <w:ind w:left="110" w:right="107"/>
        <w:jc w:val="both"/>
      </w:pPr>
      <w:r>
        <w:rPr>
          <w:color w:val="231F20"/>
          <w:w w:val="105"/>
        </w:rPr>
        <w:t>El territorio de Tlalnepantla cuenta con </w:t>
      </w:r>
      <w:r>
        <w:rPr>
          <w:color w:val="231F20"/>
          <w:spacing w:val="3"/>
          <w:w w:val="105"/>
        </w:rPr>
        <w:t>8,540 </w:t>
      </w:r>
      <w:r>
        <w:rPr>
          <w:color w:val="231F20"/>
          <w:w w:val="105"/>
        </w:rPr>
        <w:t>hectáreas y se clasifica en dos grandes áreas: la primera está constituida por el área urbana actual y ocupa </w:t>
      </w:r>
      <w:r>
        <w:rPr>
          <w:color w:val="231F20"/>
          <w:spacing w:val="-3"/>
          <w:w w:val="105"/>
        </w:rPr>
        <w:t>6,619.5, </w:t>
      </w:r>
      <w:r>
        <w:rPr>
          <w:color w:val="231F20"/>
          <w:w w:val="105"/>
        </w:rPr>
        <w:t>es decir,  el</w:t>
      </w:r>
      <w:r>
        <w:rPr>
          <w:color w:val="231F20"/>
          <w:spacing w:val="-6"/>
          <w:w w:val="105"/>
        </w:rPr>
        <w:t> </w:t>
      </w:r>
      <w:r>
        <w:rPr>
          <w:color w:val="231F20"/>
          <w:spacing w:val="-5"/>
          <w:w w:val="105"/>
        </w:rPr>
        <w:t>77.5%</w:t>
      </w:r>
      <w:r>
        <w:rPr>
          <w:color w:val="231F20"/>
          <w:spacing w:val="-6"/>
          <w:w w:val="105"/>
        </w:rPr>
        <w:t> </w:t>
      </w:r>
      <w:r>
        <w:rPr>
          <w:color w:val="231F20"/>
          <w:w w:val="105"/>
        </w:rPr>
        <w:t>del</w:t>
      </w:r>
      <w:r>
        <w:rPr>
          <w:color w:val="231F20"/>
          <w:spacing w:val="-6"/>
          <w:w w:val="105"/>
        </w:rPr>
        <w:t> </w:t>
      </w:r>
      <w:r>
        <w:rPr>
          <w:color w:val="231F20"/>
          <w:w w:val="105"/>
        </w:rPr>
        <w:t>total;</w:t>
      </w:r>
      <w:r>
        <w:rPr>
          <w:color w:val="231F20"/>
          <w:spacing w:val="-6"/>
          <w:w w:val="105"/>
        </w:rPr>
        <w:t> </w:t>
      </w:r>
      <w:r>
        <w:rPr>
          <w:color w:val="231F20"/>
          <w:w w:val="105"/>
        </w:rPr>
        <w:t>la</w:t>
      </w:r>
      <w:r>
        <w:rPr>
          <w:color w:val="231F20"/>
          <w:spacing w:val="-6"/>
          <w:w w:val="105"/>
        </w:rPr>
        <w:t> </w:t>
      </w:r>
      <w:r>
        <w:rPr>
          <w:color w:val="231F20"/>
          <w:w w:val="105"/>
        </w:rPr>
        <w:t>segunda,</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área</w:t>
      </w:r>
      <w:r>
        <w:rPr>
          <w:color w:val="231F20"/>
          <w:spacing w:val="-6"/>
          <w:w w:val="105"/>
        </w:rPr>
        <w:t> </w:t>
      </w:r>
      <w:r>
        <w:rPr>
          <w:color w:val="231F20"/>
          <w:w w:val="105"/>
        </w:rPr>
        <w:t>no</w:t>
      </w:r>
      <w:r>
        <w:rPr>
          <w:color w:val="231F20"/>
          <w:spacing w:val="-6"/>
          <w:w w:val="105"/>
        </w:rPr>
        <w:t> </w:t>
      </w:r>
      <w:r>
        <w:rPr>
          <w:color w:val="231F20"/>
          <w:w w:val="105"/>
        </w:rPr>
        <w:t>urbanizable,</w:t>
      </w:r>
      <w:r>
        <w:rPr>
          <w:color w:val="231F20"/>
          <w:spacing w:val="-6"/>
          <w:w w:val="105"/>
        </w:rPr>
        <w:t> </w:t>
      </w:r>
      <w:r>
        <w:rPr>
          <w:color w:val="231F20"/>
          <w:w w:val="105"/>
        </w:rPr>
        <w:t>que</w:t>
      </w:r>
      <w:r>
        <w:rPr>
          <w:color w:val="231F20"/>
          <w:spacing w:val="-6"/>
          <w:w w:val="105"/>
        </w:rPr>
        <w:t> </w:t>
      </w:r>
      <w:r>
        <w:rPr>
          <w:color w:val="231F20"/>
          <w:w w:val="105"/>
        </w:rPr>
        <w:t>consta</w:t>
      </w:r>
      <w:r>
        <w:rPr>
          <w:color w:val="231F20"/>
          <w:spacing w:val="-6"/>
          <w:w w:val="105"/>
        </w:rPr>
        <w:t> </w:t>
      </w:r>
      <w:r>
        <w:rPr>
          <w:color w:val="231F20"/>
          <w:w w:val="105"/>
        </w:rPr>
        <w:t>de</w:t>
      </w:r>
      <w:r>
        <w:rPr>
          <w:color w:val="231F20"/>
          <w:spacing w:val="-6"/>
          <w:w w:val="105"/>
        </w:rPr>
        <w:t> </w:t>
      </w:r>
      <w:r>
        <w:rPr>
          <w:color w:val="231F20"/>
          <w:w w:val="105"/>
        </w:rPr>
        <w:t>1,920.5</w:t>
      </w:r>
      <w:r>
        <w:rPr>
          <w:color w:val="231F20"/>
          <w:spacing w:val="-6"/>
          <w:w w:val="105"/>
        </w:rPr>
        <w:t> </w:t>
      </w:r>
      <w:r>
        <w:rPr>
          <w:color w:val="231F20"/>
          <w:w w:val="105"/>
        </w:rPr>
        <w:t>has.</w:t>
      </w:r>
      <w:r>
        <w:rPr>
          <w:color w:val="231F20"/>
          <w:spacing w:val="-6"/>
          <w:w w:val="105"/>
        </w:rPr>
        <w:t> </w:t>
      </w:r>
      <w:r>
        <w:rPr>
          <w:color w:val="231F20"/>
          <w:w w:val="105"/>
        </w:rPr>
        <w:t>Y cubre el 22.5 restante del territorio municipal. Tlalnepantla está constituido por dos porciones</w:t>
      </w:r>
      <w:r>
        <w:rPr>
          <w:color w:val="231F20"/>
          <w:spacing w:val="-24"/>
          <w:w w:val="105"/>
        </w:rPr>
        <w:t> </w:t>
      </w:r>
      <w:r>
        <w:rPr>
          <w:color w:val="231F20"/>
          <w:w w:val="105"/>
        </w:rPr>
        <w:t>territoriales:</w:t>
      </w:r>
    </w:p>
    <w:p>
      <w:pPr>
        <w:pStyle w:val="ListParagraph"/>
        <w:numPr>
          <w:ilvl w:val="1"/>
          <w:numId w:val="15"/>
        </w:numPr>
        <w:tabs>
          <w:tab w:pos="889"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sz w:val="22"/>
        </w:rPr>
        <w:t>Zona Poniente, con el </w:t>
      </w:r>
      <w:r>
        <w:rPr>
          <w:rFonts w:ascii="Times New Roman" w:hAnsi="Times New Roman"/>
          <w:color w:val="231F20"/>
          <w:spacing w:val="-3"/>
          <w:sz w:val="22"/>
        </w:rPr>
        <w:t>74.6% </w:t>
      </w:r>
      <w:r>
        <w:rPr>
          <w:rFonts w:ascii="Times New Roman" w:hAnsi="Times New Roman"/>
          <w:color w:val="231F20"/>
          <w:sz w:val="22"/>
        </w:rPr>
        <w:t>de la superficie, que limita </w:t>
      </w:r>
      <w:r>
        <w:rPr>
          <w:rFonts w:ascii="Times New Roman" w:hAnsi="Times New Roman"/>
          <w:color w:val="231F20"/>
          <w:spacing w:val="2"/>
          <w:sz w:val="22"/>
        </w:rPr>
        <w:t>al </w:t>
      </w:r>
      <w:r>
        <w:rPr>
          <w:rFonts w:ascii="Times New Roman" w:hAnsi="Times New Roman"/>
          <w:color w:val="231F20"/>
          <w:sz w:val="22"/>
        </w:rPr>
        <w:t>norte con los munici- pios de Cuautitlán </w:t>
      </w:r>
      <w:r>
        <w:rPr>
          <w:rFonts w:ascii="Times New Roman" w:hAnsi="Times New Roman"/>
          <w:color w:val="231F20"/>
          <w:spacing w:val="2"/>
          <w:sz w:val="22"/>
        </w:rPr>
        <w:t>Izcalli </w:t>
      </w:r>
      <w:r>
        <w:rPr>
          <w:rFonts w:ascii="Times New Roman" w:hAnsi="Times New Roman"/>
          <w:color w:val="231F20"/>
          <w:sz w:val="22"/>
        </w:rPr>
        <w:t>y Tultitlán; </w:t>
      </w:r>
      <w:r>
        <w:rPr>
          <w:rFonts w:ascii="Times New Roman" w:hAnsi="Times New Roman"/>
          <w:color w:val="231F20"/>
          <w:spacing w:val="2"/>
          <w:sz w:val="22"/>
        </w:rPr>
        <w:t>al </w:t>
      </w:r>
      <w:r>
        <w:rPr>
          <w:rFonts w:ascii="Times New Roman" w:hAnsi="Times New Roman"/>
          <w:color w:val="231F20"/>
          <w:sz w:val="22"/>
        </w:rPr>
        <w:t>sur con el distrito Federal (Delegación Az- capotzalco) y el Municipio de Naucalpan; </w:t>
      </w:r>
      <w:r>
        <w:rPr>
          <w:rFonts w:ascii="Times New Roman" w:hAnsi="Times New Roman"/>
          <w:color w:val="231F20"/>
          <w:spacing w:val="2"/>
          <w:sz w:val="22"/>
        </w:rPr>
        <w:t>al </w:t>
      </w:r>
      <w:r>
        <w:rPr>
          <w:rFonts w:ascii="Times New Roman" w:hAnsi="Times New Roman"/>
          <w:color w:val="231F20"/>
          <w:sz w:val="22"/>
        </w:rPr>
        <w:t>este con el distrito Federal (Delega- ción Gustavo A. </w:t>
      </w:r>
      <w:r>
        <w:rPr>
          <w:rFonts w:ascii="Times New Roman" w:hAnsi="Times New Roman"/>
          <w:color w:val="231F20"/>
          <w:spacing w:val="-4"/>
          <w:sz w:val="22"/>
        </w:rPr>
        <w:t>Madero); </w:t>
      </w:r>
      <w:r>
        <w:rPr>
          <w:rFonts w:ascii="Times New Roman" w:hAnsi="Times New Roman"/>
          <w:color w:val="231F20"/>
          <w:sz w:val="22"/>
        </w:rPr>
        <w:t>y </w:t>
      </w:r>
      <w:r>
        <w:rPr>
          <w:rFonts w:ascii="Times New Roman" w:hAnsi="Times New Roman"/>
          <w:color w:val="231F20"/>
          <w:spacing w:val="2"/>
          <w:sz w:val="22"/>
        </w:rPr>
        <w:t>al </w:t>
      </w:r>
      <w:r>
        <w:rPr>
          <w:rFonts w:ascii="Times New Roman" w:hAnsi="Times New Roman"/>
          <w:color w:val="231F20"/>
          <w:sz w:val="22"/>
        </w:rPr>
        <w:t>oeste con el Municipio de Atizapán de  </w:t>
      </w:r>
      <w:r>
        <w:rPr>
          <w:rFonts w:ascii="Times New Roman" w:hAnsi="Times New Roman"/>
          <w:color w:val="231F20"/>
          <w:spacing w:val="38"/>
          <w:sz w:val="22"/>
        </w:rPr>
        <w:t> </w:t>
      </w:r>
      <w:r>
        <w:rPr>
          <w:rFonts w:ascii="Times New Roman" w:hAnsi="Times New Roman"/>
          <w:color w:val="231F20"/>
          <w:sz w:val="22"/>
        </w:rPr>
        <w:t>Zaragoza.</w:t>
      </w:r>
    </w:p>
    <w:p>
      <w:pPr>
        <w:pStyle w:val="ListParagraph"/>
        <w:numPr>
          <w:ilvl w:val="1"/>
          <w:numId w:val="15"/>
        </w:numPr>
        <w:tabs>
          <w:tab w:pos="916"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sz w:val="22"/>
        </w:rPr>
        <w:t>Zona Oriente, 25.4% del territorio, y tiene límites </w:t>
      </w:r>
      <w:r>
        <w:rPr>
          <w:rFonts w:ascii="Times New Roman" w:hAnsi="Times New Roman"/>
          <w:color w:val="231F20"/>
          <w:spacing w:val="2"/>
          <w:sz w:val="22"/>
        </w:rPr>
        <w:t>al </w:t>
      </w:r>
      <w:r>
        <w:rPr>
          <w:rFonts w:ascii="Times New Roman" w:hAnsi="Times New Roman"/>
          <w:color w:val="231F20"/>
          <w:sz w:val="22"/>
        </w:rPr>
        <w:t>norte con los municipios    de Ecatepec y Coacalco; </w:t>
      </w:r>
      <w:r>
        <w:rPr>
          <w:rFonts w:ascii="Times New Roman" w:hAnsi="Times New Roman"/>
          <w:color w:val="231F20"/>
          <w:spacing w:val="2"/>
          <w:sz w:val="22"/>
        </w:rPr>
        <w:t>al </w:t>
      </w:r>
      <w:r>
        <w:rPr>
          <w:rFonts w:ascii="Times New Roman" w:hAnsi="Times New Roman"/>
          <w:color w:val="231F20"/>
          <w:sz w:val="22"/>
        </w:rPr>
        <w:t>sur y oeste con el Distrito Federal (Delegación</w:t>
      </w:r>
      <w:r>
        <w:rPr>
          <w:rFonts w:ascii="Times New Roman" w:hAnsi="Times New Roman"/>
          <w:color w:val="231F20"/>
          <w:spacing w:val="24"/>
          <w:sz w:val="22"/>
        </w:rPr>
        <w:t> </w:t>
      </w:r>
      <w:r>
        <w:rPr>
          <w:rFonts w:ascii="Times New Roman" w:hAnsi="Times New Roman"/>
          <w:color w:val="231F20"/>
          <w:sz w:val="22"/>
        </w:rPr>
        <w:t>Gustavo</w:t>
      </w:r>
    </w:p>
    <w:p>
      <w:pPr>
        <w:pStyle w:val="BodyText"/>
        <w:spacing w:before="1"/>
        <w:ind w:left="677"/>
        <w:jc w:val="both"/>
      </w:pPr>
      <w:r>
        <w:rPr>
          <w:color w:val="231F20"/>
          <w:w w:val="105"/>
        </w:rPr>
        <w:t>A. Madero); y al este con el municipio de Ecatepec.</w:t>
      </w:r>
    </w:p>
    <w:p>
      <w:pPr>
        <w:pStyle w:val="BodyText"/>
        <w:spacing w:line="285" w:lineRule="auto" w:before="47"/>
        <w:ind w:left="677" w:right="108"/>
        <w:jc w:val="both"/>
      </w:pPr>
      <w:r>
        <w:rPr>
          <w:color w:val="231F20"/>
          <w:w w:val="105"/>
        </w:rPr>
        <w:t>Tlalnepantla se compone de 223 localidades las cuales se agrupan en 13 dele- gaciones: </w:t>
      </w:r>
      <w:r>
        <w:rPr>
          <w:color w:val="231F20"/>
          <w:spacing w:val="-4"/>
          <w:w w:val="105"/>
        </w:rPr>
        <w:t>11 </w:t>
      </w:r>
      <w:r>
        <w:rPr>
          <w:color w:val="231F20"/>
          <w:w w:val="105"/>
        </w:rPr>
        <w:t>en la Zona Poniente y 2 en la Zona Oriente. Asimismo, se pueden clasificar</w:t>
      </w:r>
      <w:r>
        <w:rPr>
          <w:color w:val="231F20"/>
          <w:spacing w:val="-15"/>
          <w:w w:val="105"/>
        </w:rPr>
        <w:t> </w:t>
      </w:r>
      <w:r>
        <w:rPr>
          <w:color w:val="231F20"/>
          <w:w w:val="105"/>
        </w:rPr>
        <w:t>las</w:t>
      </w:r>
      <w:r>
        <w:rPr>
          <w:color w:val="231F20"/>
          <w:spacing w:val="-15"/>
          <w:w w:val="105"/>
        </w:rPr>
        <w:t> </w:t>
      </w:r>
      <w:r>
        <w:rPr>
          <w:color w:val="231F20"/>
          <w:w w:val="105"/>
        </w:rPr>
        <w:t>localidades</w:t>
      </w:r>
      <w:r>
        <w:rPr>
          <w:color w:val="231F20"/>
          <w:spacing w:val="-15"/>
          <w:w w:val="105"/>
        </w:rPr>
        <w:t> </w:t>
      </w:r>
      <w:r>
        <w:rPr>
          <w:color w:val="231F20"/>
          <w:w w:val="105"/>
        </w:rPr>
        <w:t>según</w:t>
      </w:r>
      <w:r>
        <w:rPr>
          <w:color w:val="231F20"/>
          <w:spacing w:val="-15"/>
          <w:w w:val="105"/>
        </w:rPr>
        <w:t> </w:t>
      </w:r>
      <w:r>
        <w:rPr>
          <w:color w:val="231F20"/>
          <w:w w:val="105"/>
        </w:rPr>
        <w:t>su</w:t>
      </w:r>
      <w:r>
        <w:rPr>
          <w:color w:val="231F20"/>
          <w:spacing w:val="-15"/>
          <w:w w:val="105"/>
        </w:rPr>
        <w:t> </w:t>
      </w:r>
      <w:r>
        <w:rPr>
          <w:color w:val="231F20"/>
          <w:w w:val="105"/>
        </w:rPr>
        <w:t>origen</w:t>
      </w:r>
      <w:r>
        <w:rPr>
          <w:color w:val="231F20"/>
          <w:spacing w:val="-15"/>
          <w:w w:val="105"/>
        </w:rPr>
        <w:t> </w:t>
      </w:r>
      <w:r>
        <w:rPr>
          <w:color w:val="231F20"/>
          <w:w w:val="105"/>
        </w:rPr>
        <w:t>en</w:t>
      </w:r>
      <w:r>
        <w:rPr>
          <w:color w:val="231F20"/>
          <w:spacing w:val="-15"/>
          <w:w w:val="105"/>
        </w:rPr>
        <w:t> </w:t>
      </w:r>
      <w:r>
        <w:rPr>
          <w:color w:val="231F20"/>
          <w:w w:val="105"/>
        </w:rPr>
        <w:t>90</w:t>
      </w:r>
      <w:r>
        <w:rPr>
          <w:color w:val="231F20"/>
          <w:spacing w:val="-15"/>
          <w:w w:val="105"/>
        </w:rPr>
        <w:t> </w:t>
      </w:r>
      <w:r>
        <w:rPr>
          <w:color w:val="231F20"/>
          <w:w w:val="105"/>
        </w:rPr>
        <w:t>colonias,</w:t>
      </w:r>
      <w:r>
        <w:rPr>
          <w:color w:val="231F20"/>
          <w:spacing w:val="-15"/>
          <w:w w:val="105"/>
        </w:rPr>
        <w:t> </w:t>
      </w:r>
      <w:r>
        <w:rPr>
          <w:color w:val="231F20"/>
          <w:w w:val="105"/>
        </w:rPr>
        <w:t>68</w:t>
      </w:r>
      <w:r>
        <w:rPr>
          <w:color w:val="231F20"/>
          <w:spacing w:val="-15"/>
          <w:w w:val="105"/>
        </w:rPr>
        <w:t> </w:t>
      </w:r>
      <w:r>
        <w:rPr>
          <w:color w:val="231F20"/>
          <w:w w:val="105"/>
        </w:rPr>
        <w:t>fraccionamientos,</w:t>
      </w:r>
      <w:r>
        <w:rPr>
          <w:color w:val="231F20"/>
          <w:spacing w:val="-15"/>
          <w:w w:val="105"/>
        </w:rPr>
        <w:t> </w:t>
      </w:r>
      <w:r>
        <w:rPr>
          <w:color w:val="231F20"/>
          <w:w w:val="105"/>
        </w:rPr>
        <w:t>46 unidades</w:t>
      </w:r>
      <w:r>
        <w:rPr>
          <w:color w:val="231F20"/>
          <w:spacing w:val="-18"/>
          <w:w w:val="105"/>
        </w:rPr>
        <w:t> </w:t>
      </w:r>
      <w:r>
        <w:rPr>
          <w:color w:val="231F20"/>
          <w:w w:val="105"/>
        </w:rPr>
        <w:t>habitacionales</w:t>
      </w:r>
      <w:r>
        <w:rPr>
          <w:color w:val="231F20"/>
          <w:spacing w:val="-18"/>
          <w:w w:val="105"/>
        </w:rPr>
        <w:t> </w:t>
      </w:r>
      <w:r>
        <w:rPr>
          <w:color w:val="231F20"/>
          <w:w w:val="105"/>
        </w:rPr>
        <w:t>y</w:t>
      </w:r>
      <w:r>
        <w:rPr>
          <w:color w:val="231F20"/>
          <w:spacing w:val="-18"/>
          <w:w w:val="105"/>
        </w:rPr>
        <w:t> </w:t>
      </w:r>
      <w:r>
        <w:rPr>
          <w:color w:val="231F20"/>
          <w:spacing w:val="-3"/>
          <w:w w:val="105"/>
        </w:rPr>
        <w:t>19</w:t>
      </w:r>
      <w:r>
        <w:rPr>
          <w:color w:val="231F20"/>
          <w:spacing w:val="-18"/>
          <w:w w:val="105"/>
        </w:rPr>
        <w:t> </w:t>
      </w:r>
      <w:r>
        <w:rPr>
          <w:color w:val="231F20"/>
          <w:w w:val="105"/>
        </w:rPr>
        <w:t>pueblos,</w:t>
      </w:r>
      <w:r>
        <w:rPr>
          <w:color w:val="231F20"/>
          <w:spacing w:val="-18"/>
          <w:w w:val="105"/>
        </w:rPr>
        <w:t> </w:t>
      </w:r>
      <w:r>
        <w:rPr>
          <w:color w:val="231F20"/>
          <w:w w:val="105"/>
        </w:rPr>
        <w:t>haciendo</w:t>
      </w:r>
      <w:r>
        <w:rPr>
          <w:color w:val="231F20"/>
          <w:spacing w:val="-18"/>
          <w:w w:val="105"/>
        </w:rPr>
        <w:t> </w:t>
      </w:r>
      <w:r>
        <w:rPr>
          <w:color w:val="231F20"/>
          <w:w w:val="105"/>
        </w:rPr>
        <w:t>un</w:t>
      </w:r>
      <w:r>
        <w:rPr>
          <w:color w:val="231F20"/>
          <w:spacing w:val="-18"/>
          <w:w w:val="105"/>
        </w:rPr>
        <w:t> </w:t>
      </w:r>
      <w:r>
        <w:rPr>
          <w:color w:val="231F20"/>
          <w:w w:val="105"/>
        </w:rPr>
        <w:t>total</w:t>
      </w:r>
      <w:r>
        <w:rPr>
          <w:color w:val="231F20"/>
          <w:spacing w:val="-18"/>
          <w:w w:val="105"/>
        </w:rPr>
        <w:t> </w:t>
      </w:r>
      <w:r>
        <w:rPr>
          <w:color w:val="231F20"/>
          <w:w w:val="105"/>
        </w:rPr>
        <w:t>de</w:t>
      </w:r>
      <w:r>
        <w:rPr>
          <w:color w:val="231F20"/>
          <w:spacing w:val="-18"/>
          <w:w w:val="105"/>
        </w:rPr>
        <w:t> </w:t>
      </w:r>
      <w:r>
        <w:rPr>
          <w:color w:val="231F20"/>
          <w:w w:val="105"/>
        </w:rPr>
        <w:t>223</w:t>
      </w:r>
      <w:r>
        <w:rPr>
          <w:color w:val="231F20"/>
          <w:spacing w:val="-18"/>
          <w:w w:val="105"/>
        </w:rPr>
        <w:t> </w:t>
      </w:r>
      <w:r>
        <w:rPr>
          <w:color w:val="231F20"/>
          <w:w w:val="105"/>
        </w:rPr>
        <w:t>comunidades</w:t>
      </w:r>
      <w:r>
        <w:rPr>
          <w:color w:val="231F20"/>
          <w:spacing w:val="-18"/>
          <w:w w:val="105"/>
        </w:rPr>
        <w:t> </w:t>
      </w:r>
      <w:r>
        <w:rPr>
          <w:color w:val="231F20"/>
          <w:w w:val="105"/>
        </w:rPr>
        <w:t>y</w:t>
      </w:r>
      <w:r>
        <w:rPr>
          <w:color w:val="231F20"/>
          <w:spacing w:val="-18"/>
          <w:w w:val="105"/>
        </w:rPr>
        <w:t> </w:t>
      </w:r>
      <w:r>
        <w:rPr>
          <w:color w:val="231F20"/>
          <w:w w:val="105"/>
        </w:rPr>
        <w:t>15 zonas</w:t>
      </w:r>
      <w:r>
        <w:rPr>
          <w:color w:val="231F20"/>
          <w:spacing w:val="-10"/>
          <w:w w:val="105"/>
        </w:rPr>
        <w:t> </w:t>
      </w:r>
      <w:r>
        <w:rPr>
          <w:color w:val="231F20"/>
          <w:w w:val="105"/>
        </w:rPr>
        <w:t>industriales.</w:t>
      </w:r>
    </w:p>
    <w:p>
      <w:pPr>
        <w:pStyle w:val="BodyText"/>
        <w:spacing w:before="1"/>
        <w:rPr>
          <w:sz w:val="20"/>
        </w:rPr>
      </w:pPr>
    </w:p>
    <w:p>
      <w:pPr>
        <w:pStyle w:val="Heading4"/>
        <w:spacing w:before="1"/>
        <w:rPr>
          <w:i/>
        </w:rPr>
      </w:pPr>
      <w:r>
        <w:rPr>
          <w:i/>
          <w:color w:val="231F20"/>
        </w:rPr>
        <w:t>Datos socioeconómicos</w:t>
      </w:r>
    </w:p>
    <w:p>
      <w:pPr>
        <w:pStyle w:val="BodyText"/>
        <w:spacing w:line="285" w:lineRule="auto" w:before="16"/>
        <w:ind w:left="110" w:right="106"/>
        <w:jc w:val="both"/>
      </w:pPr>
      <w:r>
        <w:rPr/>
        <w:pict>
          <v:line style="position:absolute;mso-position-horizontal-relative:page;mso-position-vertical-relative:paragraph;z-index:10456;mso-wrap-distance-left:0;mso-wrap-distance-right:0" from="42.519699pt,96.069336pt" to="114.519699pt,96.069336pt" stroked="true" strokeweight="1pt" strokecolor="#231f20">
            <w10:wrap type="topAndBottom"/>
          </v:line>
        </w:pict>
      </w:r>
      <w:r>
        <w:rPr>
          <w:color w:val="231F20"/>
          <w:w w:val="105"/>
        </w:rPr>
        <w:t>Se tiene la idea generalizada de que Tlalnepantla es un municipio predominantemente industrializado,</w:t>
      </w:r>
      <w:r>
        <w:rPr>
          <w:color w:val="231F20"/>
          <w:spacing w:val="-4"/>
          <w:w w:val="105"/>
        </w:rPr>
        <w:t> </w:t>
      </w:r>
      <w:r>
        <w:rPr>
          <w:color w:val="231F20"/>
          <w:w w:val="105"/>
        </w:rPr>
        <w:t>pero</w:t>
      </w:r>
      <w:r>
        <w:rPr>
          <w:color w:val="231F20"/>
          <w:spacing w:val="-4"/>
          <w:w w:val="105"/>
        </w:rPr>
        <w:t> </w:t>
      </w:r>
      <w:r>
        <w:rPr>
          <w:color w:val="231F20"/>
          <w:w w:val="105"/>
        </w:rPr>
        <w:t>no</w:t>
      </w:r>
      <w:r>
        <w:rPr>
          <w:color w:val="231F20"/>
          <w:spacing w:val="-4"/>
          <w:w w:val="105"/>
        </w:rPr>
        <w:t> </w:t>
      </w:r>
      <w:r>
        <w:rPr>
          <w:color w:val="231F20"/>
          <w:w w:val="105"/>
        </w:rPr>
        <w:t>debemos</w:t>
      </w:r>
      <w:r>
        <w:rPr>
          <w:color w:val="231F20"/>
          <w:spacing w:val="-4"/>
          <w:w w:val="105"/>
        </w:rPr>
        <w:t> </w:t>
      </w:r>
      <w:r>
        <w:rPr>
          <w:color w:val="231F20"/>
          <w:w w:val="105"/>
        </w:rPr>
        <w:t>encasillarlo</w:t>
      </w:r>
      <w:r>
        <w:rPr>
          <w:color w:val="231F20"/>
          <w:spacing w:val="-4"/>
          <w:w w:val="105"/>
        </w:rPr>
        <w:t> </w:t>
      </w:r>
      <w:r>
        <w:rPr>
          <w:color w:val="231F20"/>
          <w:w w:val="105"/>
        </w:rPr>
        <w:t>con</w:t>
      </w:r>
      <w:r>
        <w:rPr>
          <w:color w:val="231F20"/>
          <w:spacing w:val="-4"/>
          <w:w w:val="105"/>
        </w:rPr>
        <w:t> </w:t>
      </w:r>
      <w:r>
        <w:rPr>
          <w:color w:val="231F20"/>
          <w:w w:val="105"/>
        </w:rPr>
        <w:t>ese</w:t>
      </w:r>
      <w:r>
        <w:rPr>
          <w:color w:val="231F20"/>
          <w:spacing w:val="-4"/>
          <w:w w:val="105"/>
        </w:rPr>
        <w:t> </w:t>
      </w:r>
      <w:r>
        <w:rPr>
          <w:color w:val="231F20"/>
          <w:w w:val="105"/>
        </w:rPr>
        <w:t>calificativo,</w:t>
      </w:r>
      <w:r>
        <w:rPr>
          <w:color w:val="231F20"/>
          <w:spacing w:val="-4"/>
          <w:w w:val="105"/>
        </w:rPr>
        <w:t> </w:t>
      </w:r>
      <w:r>
        <w:rPr>
          <w:color w:val="231F20"/>
          <w:w w:val="105"/>
        </w:rPr>
        <w:t>ya</w:t>
      </w:r>
      <w:r>
        <w:rPr>
          <w:color w:val="231F20"/>
          <w:spacing w:val="-4"/>
          <w:w w:val="105"/>
        </w:rPr>
        <w:t> </w:t>
      </w:r>
      <w:r>
        <w:rPr>
          <w:color w:val="231F20"/>
          <w:w w:val="105"/>
        </w:rPr>
        <w:t>que</w:t>
      </w:r>
      <w:r>
        <w:rPr>
          <w:color w:val="231F20"/>
          <w:spacing w:val="-4"/>
          <w:w w:val="105"/>
        </w:rPr>
        <w:t> </w:t>
      </w:r>
      <w:r>
        <w:rPr>
          <w:color w:val="231F20"/>
          <w:w w:val="105"/>
        </w:rPr>
        <w:t>de</w:t>
      </w:r>
      <w:r>
        <w:rPr>
          <w:color w:val="231F20"/>
          <w:spacing w:val="-4"/>
          <w:w w:val="105"/>
        </w:rPr>
        <w:t> </w:t>
      </w:r>
      <w:r>
        <w:rPr>
          <w:color w:val="231F20"/>
          <w:spacing w:val="4"/>
          <w:w w:val="105"/>
        </w:rPr>
        <w:t>2000</w:t>
      </w:r>
      <w:r>
        <w:rPr>
          <w:color w:val="231F20"/>
          <w:spacing w:val="-4"/>
          <w:w w:val="105"/>
        </w:rPr>
        <w:t> </w:t>
      </w:r>
      <w:r>
        <w:rPr>
          <w:color w:val="231F20"/>
          <w:w w:val="105"/>
        </w:rPr>
        <w:t>a</w:t>
      </w:r>
      <w:r>
        <w:rPr>
          <w:color w:val="231F20"/>
          <w:spacing w:val="-4"/>
          <w:w w:val="105"/>
        </w:rPr>
        <w:t> </w:t>
      </w:r>
      <w:r>
        <w:rPr>
          <w:color w:val="231F20"/>
          <w:w w:val="105"/>
        </w:rPr>
        <w:t>la fecha se han suscitado cambios en la estructura urbana, transformándose en un centro alterno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ciudad</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cuyo</w:t>
      </w:r>
      <w:r>
        <w:rPr>
          <w:color w:val="231F20"/>
          <w:spacing w:val="-11"/>
          <w:w w:val="105"/>
        </w:rPr>
        <w:t> </w:t>
      </w:r>
      <w:r>
        <w:rPr>
          <w:color w:val="231F20"/>
          <w:w w:val="105"/>
        </w:rPr>
        <w:t>carácter</w:t>
      </w:r>
      <w:r>
        <w:rPr>
          <w:color w:val="231F20"/>
          <w:spacing w:val="-11"/>
          <w:w w:val="105"/>
        </w:rPr>
        <w:t> </w:t>
      </w:r>
      <w:r>
        <w:rPr>
          <w:color w:val="231F20"/>
          <w:w w:val="105"/>
        </w:rPr>
        <w:t>ahora</w:t>
      </w:r>
      <w:r>
        <w:rPr>
          <w:color w:val="231F20"/>
          <w:spacing w:val="-11"/>
          <w:w w:val="105"/>
        </w:rPr>
        <w:t> </w:t>
      </w:r>
      <w:r>
        <w:rPr>
          <w:color w:val="231F20"/>
          <w:w w:val="105"/>
        </w:rPr>
        <w:t>es</w:t>
      </w:r>
      <w:r>
        <w:rPr>
          <w:color w:val="231F20"/>
          <w:spacing w:val="-11"/>
          <w:w w:val="105"/>
        </w:rPr>
        <w:t> </w:t>
      </w:r>
      <w:r>
        <w:rPr>
          <w:color w:val="231F20"/>
          <w:w w:val="105"/>
        </w:rPr>
        <w:t>metropolitano</w:t>
      </w:r>
      <w:r>
        <w:rPr>
          <w:color w:val="231F20"/>
          <w:spacing w:val="-11"/>
          <w:w w:val="105"/>
        </w:rPr>
        <w:t> </w:t>
      </w:r>
      <w:r>
        <w:rPr>
          <w:color w:val="231F20"/>
          <w:w w:val="105"/>
        </w:rPr>
        <w:t>y</w:t>
      </w:r>
      <w:r>
        <w:rPr>
          <w:color w:val="231F20"/>
          <w:spacing w:val="-11"/>
          <w:w w:val="105"/>
        </w:rPr>
        <w:t> </w:t>
      </w:r>
      <w:r>
        <w:rPr>
          <w:color w:val="231F20"/>
          <w:w w:val="105"/>
        </w:rPr>
        <w:t>regional.</w:t>
      </w:r>
      <w:r>
        <w:rPr>
          <w:color w:val="231F20"/>
          <w:spacing w:val="-11"/>
          <w:w w:val="105"/>
        </w:rPr>
        <w:t> </w:t>
      </w:r>
      <w:r>
        <w:rPr>
          <w:color w:val="231F20"/>
          <w:w w:val="105"/>
        </w:rPr>
        <w:t>Esto</w:t>
      </w:r>
      <w:r>
        <w:rPr>
          <w:color w:val="231F20"/>
          <w:spacing w:val="-11"/>
          <w:w w:val="105"/>
        </w:rPr>
        <w:t> </w:t>
      </w:r>
      <w:r>
        <w:rPr>
          <w:color w:val="231F20"/>
          <w:w w:val="105"/>
        </w:rPr>
        <w:t>ha sido</w:t>
      </w:r>
      <w:r>
        <w:rPr>
          <w:color w:val="231F20"/>
          <w:spacing w:val="-22"/>
          <w:w w:val="105"/>
        </w:rPr>
        <w:t> </w:t>
      </w:r>
      <w:r>
        <w:rPr>
          <w:color w:val="231F20"/>
          <w:spacing w:val="-3"/>
          <w:w w:val="105"/>
        </w:rPr>
        <w:t>propio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políticas</w:t>
      </w:r>
      <w:r>
        <w:rPr>
          <w:color w:val="231F20"/>
          <w:spacing w:val="-22"/>
          <w:w w:val="105"/>
        </w:rPr>
        <w:t> </w:t>
      </w:r>
      <w:r>
        <w:rPr>
          <w:color w:val="231F20"/>
          <w:w w:val="105"/>
        </w:rPr>
        <w:t>públicas</w:t>
      </w:r>
      <w:r>
        <w:rPr>
          <w:color w:val="231F20"/>
          <w:spacing w:val="-22"/>
          <w:w w:val="105"/>
        </w:rPr>
        <w:t> </w:t>
      </w:r>
      <w:r>
        <w:rPr>
          <w:color w:val="231F20"/>
          <w:w w:val="105"/>
        </w:rPr>
        <w:t>de</w:t>
      </w:r>
      <w:r>
        <w:rPr>
          <w:color w:val="231F20"/>
          <w:spacing w:val="-22"/>
          <w:w w:val="105"/>
        </w:rPr>
        <w:t> </w:t>
      </w:r>
      <w:r>
        <w:rPr>
          <w:color w:val="231F20"/>
          <w:w w:val="105"/>
        </w:rPr>
        <w:t>planeación</w:t>
      </w:r>
      <w:r>
        <w:rPr>
          <w:color w:val="231F20"/>
          <w:spacing w:val="-22"/>
          <w:w w:val="105"/>
        </w:rPr>
        <w:t> </w:t>
      </w:r>
      <w:r>
        <w:rPr>
          <w:color w:val="231F20"/>
          <w:w w:val="105"/>
        </w:rPr>
        <w:t>y</w:t>
      </w:r>
      <w:r>
        <w:rPr>
          <w:color w:val="231F20"/>
          <w:spacing w:val="-22"/>
          <w:w w:val="105"/>
        </w:rPr>
        <w:t> </w:t>
      </w:r>
      <w:r>
        <w:rPr>
          <w:color w:val="231F20"/>
          <w:w w:val="105"/>
        </w:rPr>
        <w:t>los</w:t>
      </w:r>
      <w:r>
        <w:rPr>
          <w:color w:val="231F20"/>
          <w:spacing w:val="-22"/>
          <w:w w:val="105"/>
        </w:rPr>
        <w:t> </w:t>
      </w:r>
      <w:r>
        <w:rPr>
          <w:color w:val="231F20"/>
          <w:w w:val="105"/>
        </w:rPr>
        <w:t>cambios</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usos</w:t>
      </w:r>
      <w:r>
        <w:rPr>
          <w:color w:val="231F20"/>
          <w:spacing w:val="-22"/>
          <w:w w:val="105"/>
        </w:rPr>
        <w:t> </w:t>
      </w:r>
      <w:r>
        <w:rPr>
          <w:color w:val="231F20"/>
          <w:w w:val="105"/>
        </w:rPr>
        <w:t>y</w:t>
      </w:r>
      <w:r>
        <w:rPr>
          <w:color w:val="231F20"/>
          <w:spacing w:val="-22"/>
          <w:w w:val="105"/>
        </w:rPr>
        <w:t> </w:t>
      </w:r>
      <w:r>
        <w:rPr>
          <w:color w:val="231F20"/>
          <w:w w:val="105"/>
        </w:rPr>
        <w:t>destino</w:t>
      </w:r>
      <w:r>
        <w:rPr>
          <w:color w:val="231F20"/>
          <w:spacing w:val="-22"/>
          <w:w w:val="105"/>
        </w:rPr>
        <w:t> </w:t>
      </w:r>
      <w:r>
        <w:rPr>
          <w:color w:val="231F20"/>
          <w:w w:val="105"/>
        </w:rPr>
        <w:t>del suelo,</w:t>
      </w:r>
      <w:r>
        <w:rPr>
          <w:color w:val="231F20"/>
          <w:spacing w:val="-13"/>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la</w:t>
      </w:r>
      <w:r>
        <w:rPr>
          <w:color w:val="231F20"/>
          <w:spacing w:val="-13"/>
          <w:w w:val="105"/>
        </w:rPr>
        <w:t> </w:t>
      </w:r>
      <w:r>
        <w:rPr>
          <w:color w:val="231F20"/>
          <w:w w:val="105"/>
        </w:rPr>
        <w:t>propia</w:t>
      </w:r>
      <w:r>
        <w:rPr>
          <w:color w:val="231F20"/>
          <w:spacing w:val="-13"/>
          <w:w w:val="105"/>
        </w:rPr>
        <w:t> </w:t>
      </w:r>
      <w:r>
        <w:rPr>
          <w:color w:val="231F20"/>
          <w:w w:val="105"/>
        </w:rPr>
        <w:t>dinámica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zona</w:t>
      </w:r>
      <w:r>
        <w:rPr>
          <w:color w:val="231F20"/>
          <w:spacing w:val="-13"/>
          <w:w w:val="105"/>
        </w:rPr>
        <w:t> </w:t>
      </w:r>
      <w:r>
        <w:rPr>
          <w:color w:val="231F20"/>
          <w:w w:val="105"/>
        </w:rPr>
        <w:t>metropolitana</w:t>
      </w:r>
      <w:r>
        <w:rPr>
          <w:color w:val="231F20"/>
          <w:w w:val="105"/>
          <w:position w:val="7"/>
          <w:sz w:val="13"/>
        </w:rPr>
        <w:t>8</w:t>
      </w:r>
      <w:r>
        <w:rPr>
          <w:color w:val="231F20"/>
          <w:w w:val="105"/>
        </w:rPr>
        <w:t>.</w:t>
      </w:r>
    </w:p>
    <w:p>
      <w:pPr>
        <w:pStyle w:val="ListParagraph"/>
        <w:numPr>
          <w:ilvl w:val="0"/>
          <w:numId w:val="15"/>
        </w:numPr>
        <w:tabs>
          <w:tab w:pos="222" w:val="left" w:leader="none"/>
        </w:tabs>
        <w:spacing w:line="244" w:lineRule="auto" w:before="8" w:after="0"/>
        <w:ind w:left="110" w:right="109" w:firstLine="0"/>
        <w:jc w:val="left"/>
        <w:rPr>
          <w:sz w:val="16"/>
        </w:rPr>
      </w:pPr>
      <w:r>
        <w:rPr>
          <w:color w:val="231F20"/>
          <w:sz w:val="16"/>
        </w:rPr>
        <w:t>Para</w:t>
      </w:r>
      <w:r>
        <w:rPr>
          <w:color w:val="231F20"/>
          <w:spacing w:val="-14"/>
          <w:sz w:val="16"/>
        </w:rPr>
        <w:t> </w:t>
      </w:r>
      <w:r>
        <w:rPr>
          <w:color w:val="231F20"/>
          <w:sz w:val="16"/>
        </w:rPr>
        <w:t>un</w:t>
      </w:r>
      <w:r>
        <w:rPr>
          <w:color w:val="231F20"/>
          <w:spacing w:val="-14"/>
          <w:sz w:val="16"/>
        </w:rPr>
        <w:t> </w:t>
      </w:r>
      <w:r>
        <w:rPr>
          <w:color w:val="231F20"/>
          <w:sz w:val="16"/>
        </w:rPr>
        <w:t>estudio</w:t>
      </w:r>
      <w:r>
        <w:rPr>
          <w:color w:val="231F20"/>
          <w:spacing w:val="-14"/>
          <w:sz w:val="16"/>
        </w:rPr>
        <w:t> </w:t>
      </w:r>
      <w:r>
        <w:rPr>
          <w:color w:val="231F20"/>
          <w:sz w:val="16"/>
        </w:rPr>
        <w:t>más</w:t>
      </w:r>
      <w:r>
        <w:rPr>
          <w:color w:val="231F20"/>
          <w:spacing w:val="-14"/>
          <w:sz w:val="16"/>
        </w:rPr>
        <w:t> </w:t>
      </w:r>
      <w:r>
        <w:rPr>
          <w:color w:val="231F20"/>
          <w:sz w:val="16"/>
        </w:rPr>
        <w:t>detallado</w:t>
      </w:r>
      <w:r>
        <w:rPr>
          <w:color w:val="231F20"/>
          <w:spacing w:val="-14"/>
          <w:sz w:val="16"/>
        </w:rPr>
        <w:t> </w:t>
      </w:r>
      <w:r>
        <w:rPr>
          <w:color w:val="231F20"/>
          <w:sz w:val="16"/>
        </w:rPr>
        <w:t>de</w:t>
      </w:r>
      <w:r>
        <w:rPr>
          <w:color w:val="231F20"/>
          <w:spacing w:val="-14"/>
          <w:sz w:val="16"/>
        </w:rPr>
        <w:t> </w:t>
      </w:r>
      <w:r>
        <w:rPr>
          <w:color w:val="231F20"/>
          <w:sz w:val="16"/>
        </w:rPr>
        <w:t>estas</w:t>
      </w:r>
      <w:r>
        <w:rPr>
          <w:color w:val="231F20"/>
          <w:spacing w:val="-14"/>
          <w:sz w:val="16"/>
        </w:rPr>
        <w:t> </w:t>
      </w:r>
      <w:r>
        <w:rPr>
          <w:color w:val="231F20"/>
          <w:sz w:val="16"/>
        </w:rPr>
        <w:t>dinámicas,</w:t>
      </w:r>
      <w:r>
        <w:rPr>
          <w:color w:val="231F20"/>
          <w:spacing w:val="-14"/>
          <w:sz w:val="16"/>
        </w:rPr>
        <w:t> </w:t>
      </w:r>
      <w:r>
        <w:rPr>
          <w:color w:val="231F20"/>
          <w:sz w:val="16"/>
        </w:rPr>
        <w:t>véase:</w:t>
      </w:r>
      <w:r>
        <w:rPr>
          <w:color w:val="231F20"/>
          <w:spacing w:val="-14"/>
          <w:sz w:val="16"/>
        </w:rPr>
        <w:t> </w:t>
      </w:r>
      <w:r>
        <w:rPr>
          <w:color w:val="231F20"/>
          <w:sz w:val="16"/>
        </w:rPr>
        <w:t>MARTÍNEZ</w:t>
      </w:r>
      <w:r>
        <w:rPr>
          <w:color w:val="231F20"/>
          <w:spacing w:val="-14"/>
          <w:sz w:val="16"/>
        </w:rPr>
        <w:t> </w:t>
      </w:r>
      <w:r>
        <w:rPr>
          <w:color w:val="231F20"/>
          <w:sz w:val="16"/>
        </w:rPr>
        <w:t>GRANADOS,</w:t>
      </w:r>
      <w:r>
        <w:rPr>
          <w:color w:val="231F20"/>
          <w:spacing w:val="-14"/>
          <w:sz w:val="16"/>
        </w:rPr>
        <w:t> </w:t>
      </w:r>
      <w:r>
        <w:rPr>
          <w:color w:val="231F20"/>
          <w:sz w:val="16"/>
        </w:rPr>
        <w:t>J.</w:t>
      </w:r>
      <w:r>
        <w:rPr>
          <w:color w:val="231F20"/>
          <w:spacing w:val="-14"/>
          <w:sz w:val="16"/>
        </w:rPr>
        <w:t> </w:t>
      </w:r>
      <w:r>
        <w:rPr>
          <w:color w:val="231F20"/>
          <w:sz w:val="16"/>
        </w:rPr>
        <w:t>Guadalupe,</w:t>
      </w:r>
      <w:r>
        <w:rPr>
          <w:color w:val="231F20"/>
          <w:spacing w:val="-14"/>
          <w:sz w:val="16"/>
        </w:rPr>
        <w:t> </w:t>
      </w:r>
      <w:r>
        <w:rPr>
          <w:color w:val="231F20"/>
          <w:sz w:val="16"/>
        </w:rPr>
        <w:t>Problemática</w:t>
      </w:r>
      <w:r>
        <w:rPr>
          <w:color w:val="231F20"/>
          <w:spacing w:val="-14"/>
          <w:sz w:val="16"/>
        </w:rPr>
        <w:t> </w:t>
      </w:r>
      <w:r>
        <w:rPr>
          <w:color w:val="231F20"/>
          <w:sz w:val="16"/>
        </w:rPr>
        <w:t>y</w:t>
      </w:r>
      <w:r>
        <w:rPr>
          <w:color w:val="231F20"/>
          <w:spacing w:val="-14"/>
          <w:sz w:val="16"/>
        </w:rPr>
        <w:t> </w:t>
      </w:r>
      <w:r>
        <w:rPr>
          <w:color w:val="231F20"/>
          <w:sz w:val="16"/>
        </w:rPr>
        <w:t>perspectiva de</w:t>
      </w:r>
      <w:r>
        <w:rPr>
          <w:color w:val="231F20"/>
          <w:spacing w:val="-10"/>
          <w:sz w:val="16"/>
        </w:rPr>
        <w:t> </w:t>
      </w:r>
      <w:r>
        <w:rPr>
          <w:color w:val="231F20"/>
          <w:sz w:val="16"/>
        </w:rPr>
        <w:t>crecimiento</w:t>
      </w:r>
      <w:r>
        <w:rPr>
          <w:color w:val="231F20"/>
          <w:spacing w:val="-10"/>
          <w:sz w:val="16"/>
        </w:rPr>
        <w:t> </w:t>
      </w:r>
      <w:r>
        <w:rPr>
          <w:color w:val="231F20"/>
          <w:sz w:val="16"/>
        </w:rPr>
        <w:t>habitacional</w:t>
      </w:r>
      <w:r>
        <w:rPr>
          <w:color w:val="231F20"/>
          <w:spacing w:val="-10"/>
          <w:sz w:val="16"/>
        </w:rPr>
        <w:t> </w:t>
      </w:r>
      <w:r>
        <w:rPr>
          <w:color w:val="231F20"/>
          <w:sz w:val="16"/>
        </w:rPr>
        <w:t>popular</w:t>
      </w:r>
      <w:r>
        <w:rPr>
          <w:color w:val="231F20"/>
          <w:spacing w:val="-10"/>
          <w:sz w:val="16"/>
        </w:rPr>
        <w:t> </w:t>
      </w:r>
      <w:r>
        <w:rPr>
          <w:color w:val="231F20"/>
          <w:sz w:val="16"/>
        </w:rPr>
        <w:t>en</w:t>
      </w:r>
      <w:r>
        <w:rPr>
          <w:color w:val="231F20"/>
          <w:spacing w:val="-10"/>
          <w:sz w:val="16"/>
        </w:rPr>
        <w:t> </w:t>
      </w:r>
      <w:r>
        <w:rPr>
          <w:color w:val="231F20"/>
          <w:sz w:val="16"/>
        </w:rPr>
        <w:t>Tlalnepantla</w:t>
      </w:r>
      <w:r>
        <w:rPr>
          <w:color w:val="231F20"/>
          <w:spacing w:val="-10"/>
          <w:sz w:val="16"/>
        </w:rPr>
        <w:t> </w:t>
      </w:r>
      <w:r>
        <w:rPr>
          <w:color w:val="231F20"/>
          <w:sz w:val="16"/>
        </w:rPr>
        <w:t>de</w:t>
      </w:r>
      <w:r>
        <w:rPr>
          <w:color w:val="231F20"/>
          <w:spacing w:val="-10"/>
          <w:sz w:val="16"/>
        </w:rPr>
        <w:t> </w:t>
      </w:r>
      <w:r>
        <w:rPr>
          <w:color w:val="231F20"/>
          <w:sz w:val="16"/>
        </w:rPr>
        <w:t>Baz.</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INEGI,</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año</w:t>
      </w:r>
      <w:r>
        <w:rPr>
          <w:color w:val="231F20"/>
          <w:spacing w:val="-16"/>
          <w:w w:val="105"/>
        </w:rPr>
        <w:t> </w:t>
      </w:r>
      <w:r>
        <w:rPr>
          <w:color w:val="231F20"/>
          <w:spacing w:val="3"/>
          <w:w w:val="105"/>
        </w:rPr>
        <w:t>2000,</w:t>
      </w:r>
      <w:r>
        <w:rPr>
          <w:color w:val="231F20"/>
          <w:spacing w:val="-16"/>
          <w:w w:val="105"/>
        </w:rPr>
        <w:t> </w:t>
      </w:r>
      <w:r>
        <w:rPr>
          <w:color w:val="231F20"/>
          <w:w w:val="105"/>
        </w:rPr>
        <w:t>Tlalnepantla</w:t>
      </w:r>
      <w:r>
        <w:rPr>
          <w:color w:val="231F20"/>
          <w:spacing w:val="-16"/>
          <w:w w:val="105"/>
        </w:rPr>
        <w:t> </w:t>
      </w:r>
      <w:r>
        <w:rPr>
          <w:color w:val="231F20"/>
          <w:w w:val="105"/>
        </w:rPr>
        <w:t>contaba</w:t>
      </w:r>
      <w:r>
        <w:rPr>
          <w:color w:val="231F20"/>
          <w:spacing w:val="-16"/>
          <w:w w:val="105"/>
        </w:rPr>
        <w:t> </w:t>
      </w:r>
      <w:r>
        <w:rPr>
          <w:color w:val="231F20"/>
          <w:w w:val="105"/>
        </w:rPr>
        <w:t>con</w:t>
      </w:r>
      <w:r>
        <w:rPr>
          <w:color w:val="231F20"/>
          <w:spacing w:val="-16"/>
          <w:w w:val="105"/>
        </w:rPr>
        <w:t> </w:t>
      </w:r>
      <w:r>
        <w:rPr>
          <w:color w:val="231F20"/>
          <w:spacing w:val="-4"/>
          <w:w w:val="105"/>
        </w:rPr>
        <w:t>721,415</w:t>
      </w:r>
      <w:r>
        <w:rPr>
          <w:color w:val="231F20"/>
          <w:spacing w:val="-16"/>
          <w:w w:val="105"/>
        </w:rPr>
        <w:t> </w:t>
      </w:r>
      <w:r>
        <w:rPr>
          <w:color w:val="231F20"/>
          <w:w w:val="105"/>
        </w:rPr>
        <w:t>habitantes, con</w:t>
      </w:r>
      <w:r>
        <w:rPr>
          <w:color w:val="231F20"/>
          <w:spacing w:val="-6"/>
          <w:w w:val="105"/>
        </w:rPr>
        <w:t> </w:t>
      </w:r>
      <w:r>
        <w:rPr>
          <w:color w:val="231F20"/>
          <w:w w:val="105"/>
        </w:rPr>
        <w:t>el</w:t>
      </w:r>
      <w:r>
        <w:rPr>
          <w:color w:val="231F20"/>
          <w:spacing w:val="-6"/>
          <w:w w:val="105"/>
        </w:rPr>
        <w:t> </w:t>
      </w:r>
      <w:r>
        <w:rPr>
          <w:color w:val="231F20"/>
          <w:w w:val="105"/>
        </w:rPr>
        <w:t>2.5%</w:t>
      </w:r>
      <w:r>
        <w:rPr>
          <w:color w:val="231F20"/>
          <w:spacing w:val="-6"/>
          <w:w w:val="105"/>
        </w:rPr>
        <w:t> </w:t>
      </w:r>
      <w:r>
        <w:rPr>
          <w:color w:val="231F20"/>
          <w:w w:val="105"/>
        </w:rPr>
        <w:t>de</w:t>
      </w:r>
      <w:r>
        <w:rPr>
          <w:color w:val="231F20"/>
          <w:spacing w:val="-6"/>
          <w:w w:val="105"/>
        </w:rPr>
        <w:t> </w:t>
      </w:r>
      <w:r>
        <w:rPr>
          <w:color w:val="231F20"/>
          <w:w w:val="105"/>
        </w:rPr>
        <w:t>ellos</w:t>
      </w:r>
      <w:r>
        <w:rPr>
          <w:color w:val="231F20"/>
          <w:spacing w:val="-6"/>
          <w:w w:val="105"/>
        </w:rPr>
        <w:t> </w:t>
      </w:r>
      <w:r>
        <w:rPr>
          <w:color w:val="231F20"/>
          <w:w w:val="105"/>
        </w:rPr>
        <w:t>en</w:t>
      </w:r>
      <w:r>
        <w:rPr>
          <w:color w:val="231F20"/>
          <w:spacing w:val="-6"/>
          <w:w w:val="105"/>
        </w:rPr>
        <w:t> </w:t>
      </w:r>
      <w:r>
        <w:rPr>
          <w:color w:val="231F20"/>
          <w:w w:val="105"/>
        </w:rPr>
        <w:t>condición</w:t>
      </w:r>
      <w:r>
        <w:rPr>
          <w:color w:val="231F20"/>
          <w:spacing w:val="-6"/>
          <w:w w:val="105"/>
        </w:rPr>
        <w:t> </w:t>
      </w:r>
      <w:r>
        <w:rPr>
          <w:color w:val="231F20"/>
          <w:w w:val="105"/>
        </w:rPr>
        <w:t>de</w:t>
      </w:r>
      <w:r>
        <w:rPr>
          <w:color w:val="231F20"/>
          <w:spacing w:val="-6"/>
          <w:w w:val="105"/>
        </w:rPr>
        <w:t> </w:t>
      </w:r>
      <w:r>
        <w:rPr>
          <w:color w:val="231F20"/>
          <w:w w:val="105"/>
        </w:rPr>
        <w:t>analfabetismo,</w:t>
      </w:r>
      <w:r>
        <w:rPr>
          <w:color w:val="231F20"/>
          <w:spacing w:val="-6"/>
          <w:w w:val="105"/>
        </w:rPr>
        <w:t> </w:t>
      </w:r>
      <w:r>
        <w:rPr>
          <w:color w:val="231F20"/>
          <w:spacing w:val="-2"/>
          <w:w w:val="105"/>
        </w:rPr>
        <w:t>siendo</w:t>
      </w:r>
      <w:r>
        <w:rPr>
          <w:color w:val="231F20"/>
          <w:spacing w:val="-6"/>
          <w:w w:val="105"/>
        </w:rPr>
        <w:t> </w:t>
      </w:r>
      <w:r>
        <w:rPr>
          <w:color w:val="231F20"/>
          <w:w w:val="105"/>
        </w:rPr>
        <w:t>un</w:t>
      </w:r>
      <w:r>
        <w:rPr>
          <w:color w:val="231F20"/>
          <w:spacing w:val="-6"/>
          <w:w w:val="105"/>
        </w:rPr>
        <w:t> </w:t>
      </w:r>
      <w:r>
        <w:rPr>
          <w:color w:val="231F20"/>
          <w:w w:val="105"/>
        </w:rPr>
        <w:t>municipio</w:t>
      </w:r>
      <w:r>
        <w:rPr>
          <w:color w:val="231F20"/>
          <w:spacing w:val="-6"/>
          <w:w w:val="105"/>
        </w:rPr>
        <w:t> </w:t>
      </w:r>
      <w:r>
        <w:rPr>
          <w:color w:val="231F20"/>
          <w:w w:val="105"/>
        </w:rPr>
        <w:t>predominan- temente</w:t>
      </w:r>
      <w:r>
        <w:rPr>
          <w:color w:val="231F20"/>
          <w:spacing w:val="-10"/>
          <w:w w:val="105"/>
        </w:rPr>
        <w:t> </w:t>
      </w:r>
      <w:r>
        <w:rPr>
          <w:color w:val="231F20"/>
          <w:w w:val="105"/>
        </w:rPr>
        <w:t>urbano.</w:t>
      </w:r>
      <w:r>
        <w:rPr>
          <w:color w:val="231F20"/>
          <w:spacing w:val="-10"/>
          <w:w w:val="105"/>
        </w:rPr>
        <w:t> </w:t>
      </w:r>
      <w:r>
        <w:rPr>
          <w:color w:val="231F20"/>
          <w:w w:val="105"/>
        </w:rPr>
        <w:t>Su</w:t>
      </w:r>
      <w:r>
        <w:rPr>
          <w:color w:val="231F20"/>
          <w:spacing w:val="-10"/>
          <w:w w:val="105"/>
        </w:rPr>
        <w:t> </w:t>
      </w:r>
      <w:r>
        <w:rPr>
          <w:color w:val="231F20"/>
          <w:spacing w:val="-3"/>
          <w:w w:val="105"/>
        </w:rPr>
        <w:t>Población</w:t>
      </w:r>
      <w:r>
        <w:rPr>
          <w:color w:val="231F20"/>
          <w:spacing w:val="-10"/>
          <w:w w:val="105"/>
        </w:rPr>
        <w:t> </w:t>
      </w:r>
      <w:r>
        <w:rPr>
          <w:color w:val="231F20"/>
          <w:w w:val="105"/>
        </w:rPr>
        <w:t>Económicamente</w:t>
      </w:r>
      <w:r>
        <w:rPr>
          <w:color w:val="231F20"/>
          <w:spacing w:val="-10"/>
          <w:w w:val="105"/>
        </w:rPr>
        <w:t> </w:t>
      </w:r>
      <w:r>
        <w:rPr>
          <w:color w:val="231F20"/>
          <w:w w:val="105"/>
        </w:rPr>
        <w:t>Activa</w:t>
      </w:r>
      <w:r>
        <w:rPr>
          <w:color w:val="231F20"/>
          <w:spacing w:val="-10"/>
          <w:w w:val="105"/>
        </w:rPr>
        <w:t> </w:t>
      </w:r>
      <w:r>
        <w:rPr>
          <w:color w:val="231F20"/>
          <w:w w:val="105"/>
        </w:rPr>
        <w:t>era</w:t>
      </w:r>
      <w:r>
        <w:rPr>
          <w:color w:val="231F20"/>
          <w:spacing w:val="-10"/>
          <w:w w:val="105"/>
        </w:rPr>
        <w:t> </w:t>
      </w:r>
      <w:r>
        <w:rPr>
          <w:color w:val="231F20"/>
          <w:w w:val="105"/>
        </w:rPr>
        <w:t>de</w:t>
      </w:r>
      <w:r>
        <w:rPr>
          <w:color w:val="231F20"/>
          <w:spacing w:val="-10"/>
          <w:w w:val="105"/>
        </w:rPr>
        <w:t> </w:t>
      </w:r>
      <w:r>
        <w:rPr>
          <w:color w:val="231F20"/>
          <w:w w:val="105"/>
        </w:rPr>
        <w:t>283,129</w:t>
      </w:r>
      <w:r>
        <w:rPr>
          <w:color w:val="231F20"/>
          <w:spacing w:val="-10"/>
          <w:w w:val="105"/>
        </w:rPr>
        <w:t> </w:t>
      </w:r>
      <w:r>
        <w:rPr>
          <w:color w:val="231F20"/>
          <w:w w:val="105"/>
        </w:rPr>
        <w:t>personas,</w:t>
      </w:r>
      <w:r>
        <w:rPr>
          <w:color w:val="231F20"/>
          <w:spacing w:val="-10"/>
          <w:w w:val="105"/>
        </w:rPr>
        <w:t> </w:t>
      </w:r>
      <w:r>
        <w:rPr>
          <w:color w:val="231F20"/>
          <w:w w:val="105"/>
        </w:rPr>
        <w:t>de</w:t>
      </w:r>
      <w:r>
        <w:rPr>
          <w:color w:val="231F20"/>
          <w:spacing w:val="-10"/>
          <w:w w:val="105"/>
        </w:rPr>
        <w:t> </w:t>
      </w:r>
      <w:r>
        <w:rPr>
          <w:color w:val="231F20"/>
          <w:w w:val="105"/>
        </w:rPr>
        <w:t>las cuales</w:t>
      </w:r>
      <w:r>
        <w:rPr>
          <w:color w:val="231F20"/>
          <w:spacing w:val="-18"/>
          <w:w w:val="105"/>
        </w:rPr>
        <w:t> </w:t>
      </w:r>
      <w:r>
        <w:rPr>
          <w:color w:val="231F20"/>
          <w:w w:val="105"/>
        </w:rPr>
        <w:t>el</w:t>
      </w:r>
      <w:r>
        <w:rPr>
          <w:color w:val="231F20"/>
          <w:spacing w:val="-18"/>
          <w:w w:val="105"/>
        </w:rPr>
        <w:t> </w:t>
      </w:r>
      <w:r>
        <w:rPr>
          <w:color w:val="231F20"/>
          <w:w w:val="105"/>
        </w:rPr>
        <w:t>63%</w:t>
      </w:r>
      <w:r>
        <w:rPr>
          <w:color w:val="231F20"/>
          <w:spacing w:val="-18"/>
          <w:w w:val="105"/>
        </w:rPr>
        <w:t> </w:t>
      </w:r>
      <w:r>
        <w:rPr>
          <w:color w:val="231F20"/>
          <w:w w:val="105"/>
        </w:rPr>
        <w:t>estaba</w:t>
      </w:r>
      <w:r>
        <w:rPr>
          <w:color w:val="231F20"/>
          <w:spacing w:val="-18"/>
          <w:w w:val="105"/>
        </w:rPr>
        <w:t> </w:t>
      </w:r>
      <w:r>
        <w:rPr>
          <w:color w:val="231F20"/>
          <w:w w:val="105"/>
        </w:rPr>
        <w:t>dentro</w:t>
      </w:r>
      <w:r>
        <w:rPr>
          <w:color w:val="231F20"/>
          <w:spacing w:val="-18"/>
          <w:w w:val="105"/>
        </w:rPr>
        <w:t> </w:t>
      </w:r>
      <w:r>
        <w:rPr>
          <w:color w:val="231F20"/>
          <w:w w:val="105"/>
        </w:rPr>
        <w:t>del</w:t>
      </w:r>
      <w:r>
        <w:rPr>
          <w:color w:val="231F20"/>
          <w:spacing w:val="-18"/>
          <w:w w:val="105"/>
        </w:rPr>
        <w:t> </w:t>
      </w:r>
      <w:r>
        <w:rPr>
          <w:color w:val="231F20"/>
          <w:w w:val="105"/>
        </w:rPr>
        <w:t>sector</w:t>
      </w:r>
      <w:r>
        <w:rPr>
          <w:color w:val="231F20"/>
          <w:spacing w:val="-18"/>
          <w:w w:val="105"/>
        </w:rPr>
        <w:t> </w:t>
      </w:r>
      <w:r>
        <w:rPr>
          <w:color w:val="231F20"/>
          <w:w w:val="105"/>
        </w:rPr>
        <w:t>terciario.</w:t>
      </w:r>
    </w:p>
    <w:p>
      <w:pPr>
        <w:pStyle w:val="BodyText"/>
        <w:spacing w:before="1"/>
        <w:rPr>
          <w:sz w:val="26"/>
        </w:rPr>
      </w:pPr>
    </w:p>
    <w:p>
      <w:pPr>
        <w:pStyle w:val="BodyText"/>
        <w:spacing w:line="285" w:lineRule="auto"/>
        <w:ind w:left="110" w:right="108"/>
        <w:jc w:val="both"/>
      </w:pPr>
      <w:r>
        <w:rPr>
          <w:color w:val="231F20"/>
          <w:spacing w:val="-3"/>
          <w:w w:val="105"/>
        </w:rPr>
        <w:t>Su </w:t>
      </w:r>
      <w:r>
        <w:rPr>
          <w:color w:val="231F20"/>
          <w:spacing w:val="-4"/>
          <w:w w:val="105"/>
        </w:rPr>
        <w:t>fuente económica </w:t>
      </w:r>
      <w:r>
        <w:rPr>
          <w:color w:val="231F20"/>
          <w:spacing w:val="-3"/>
          <w:w w:val="105"/>
        </w:rPr>
        <w:t>principal </w:t>
      </w:r>
      <w:r>
        <w:rPr>
          <w:color w:val="231F20"/>
          <w:w w:val="105"/>
        </w:rPr>
        <w:t>es la </w:t>
      </w:r>
      <w:r>
        <w:rPr>
          <w:color w:val="231F20"/>
          <w:spacing w:val="-3"/>
          <w:w w:val="105"/>
        </w:rPr>
        <w:t>industria manufacturera, </w:t>
      </w:r>
      <w:r>
        <w:rPr>
          <w:color w:val="231F20"/>
          <w:spacing w:val="-4"/>
          <w:w w:val="105"/>
        </w:rPr>
        <w:t>que </w:t>
      </w:r>
      <w:r>
        <w:rPr>
          <w:color w:val="231F20"/>
          <w:spacing w:val="-3"/>
          <w:w w:val="105"/>
        </w:rPr>
        <w:t>de </w:t>
      </w:r>
      <w:r>
        <w:rPr>
          <w:color w:val="231F20"/>
          <w:spacing w:val="-5"/>
          <w:w w:val="105"/>
        </w:rPr>
        <w:t>acuerdo </w:t>
      </w:r>
      <w:r>
        <w:rPr>
          <w:color w:val="231F20"/>
          <w:w w:val="105"/>
        </w:rPr>
        <w:t>al </w:t>
      </w:r>
      <w:r>
        <w:rPr>
          <w:color w:val="231F20"/>
          <w:spacing w:val="-3"/>
          <w:w w:val="105"/>
        </w:rPr>
        <w:t>Censo </w:t>
      </w:r>
      <w:r>
        <w:rPr>
          <w:color w:val="231F20"/>
          <w:spacing w:val="-4"/>
          <w:w w:val="105"/>
        </w:rPr>
        <w:t>Económico</w:t>
      </w:r>
      <w:r>
        <w:rPr>
          <w:color w:val="231F20"/>
          <w:spacing w:val="-29"/>
          <w:w w:val="105"/>
        </w:rPr>
        <w:t> </w:t>
      </w:r>
      <w:r>
        <w:rPr>
          <w:color w:val="231F20"/>
          <w:spacing w:val="-3"/>
          <w:w w:val="105"/>
        </w:rPr>
        <w:t>de</w:t>
      </w:r>
      <w:r>
        <w:rPr>
          <w:color w:val="231F20"/>
          <w:spacing w:val="-29"/>
          <w:w w:val="105"/>
        </w:rPr>
        <w:t> </w:t>
      </w:r>
      <w:r>
        <w:rPr>
          <w:color w:val="231F20"/>
          <w:spacing w:val="-5"/>
          <w:w w:val="105"/>
        </w:rPr>
        <w:t>1999,</w:t>
      </w:r>
      <w:r>
        <w:rPr>
          <w:color w:val="231F20"/>
          <w:spacing w:val="-29"/>
          <w:w w:val="105"/>
        </w:rPr>
        <w:t> </w:t>
      </w:r>
      <w:r>
        <w:rPr>
          <w:color w:val="231F20"/>
          <w:spacing w:val="-5"/>
          <w:w w:val="105"/>
        </w:rPr>
        <w:t>generaba</w:t>
      </w:r>
      <w:r>
        <w:rPr>
          <w:color w:val="231F20"/>
          <w:spacing w:val="-29"/>
          <w:w w:val="105"/>
        </w:rPr>
        <w:t> </w:t>
      </w:r>
      <w:r>
        <w:rPr>
          <w:color w:val="231F20"/>
          <w:spacing w:val="-3"/>
          <w:w w:val="105"/>
        </w:rPr>
        <w:t>el</w:t>
      </w:r>
      <w:r>
        <w:rPr>
          <w:color w:val="231F20"/>
          <w:spacing w:val="-29"/>
          <w:w w:val="105"/>
        </w:rPr>
        <w:t> </w:t>
      </w:r>
      <w:r>
        <w:rPr>
          <w:color w:val="231F20"/>
          <w:spacing w:val="-3"/>
          <w:w w:val="105"/>
        </w:rPr>
        <w:t>68%</w:t>
      </w:r>
      <w:r>
        <w:rPr>
          <w:color w:val="231F20"/>
          <w:spacing w:val="-29"/>
          <w:w w:val="105"/>
        </w:rPr>
        <w:t> </w:t>
      </w:r>
      <w:r>
        <w:rPr>
          <w:color w:val="231F20"/>
          <w:spacing w:val="-4"/>
          <w:w w:val="105"/>
        </w:rPr>
        <w:t>del</w:t>
      </w:r>
      <w:r>
        <w:rPr>
          <w:color w:val="231F20"/>
          <w:spacing w:val="-29"/>
          <w:w w:val="105"/>
        </w:rPr>
        <w:t> </w:t>
      </w:r>
      <w:r>
        <w:rPr>
          <w:color w:val="231F20"/>
          <w:spacing w:val="-3"/>
          <w:w w:val="105"/>
        </w:rPr>
        <w:t>valor</w:t>
      </w:r>
      <w:r>
        <w:rPr>
          <w:color w:val="231F20"/>
          <w:spacing w:val="-29"/>
          <w:w w:val="105"/>
        </w:rPr>
        <w:t> </w:t>
      </w:r>
      <w:r>
        <w:rPr>
          <w:color w:val="231F20"/>
          <w:spacing w:val="-4"/>
          <w:w w:val="105"/>
        </w:rPr>
        <w:t>agregado</w:t>
      </w:r>
      <w:r>
        <w:rPr>
          <w:color w:val="231F20"/>
          <w:spacing w:val="-29"/>
          <w:w w:val="105"/>
        </w:rPr>
        <w:t> </w:t>
      </w:r>
      <w:r>
        <w:rPr>
          <w:color w:val="231F20"/>
          <w:spacing w:val="-3"/>
          <w:w w:val="105"/>
        </w:rPr>
        <w:t>municipal.</w:t>
      </w:r>
      <w:r>
        <w:rPr>
          <w:color w:val="231F20"/>
          <w:spacing w:val="-29"/>
          <w:w w:val="105"/>
        </w:rPr>
        <w:t> </w:t>
      </w:r>
      <w:r>
        <w:rPr>
          <w:color w:val="231F20"/>
          <w:spacing w:val="-5"/>
          <w:w w:val="105"/>
        </w:rPr>
        <w:t>Cuenta</w:t>
      </w:r>
      <w:r>
        <w:rPr>
          <w:color w:val="231F20"/>
          <w:spacing w:val="-29"/>
          <w:w w:val="105"/>
        </w:rPr>
        <w:t> </w:t>
      </w:r>
      <w:r>
        <w:rPr>
          <w:color w:val="231F20"/>
          <w:spacing w:val="-4"/>
          <w:w w:val="105"/>
        </w:rPr>
        <w:t>con</w:t>
      </w:r>
      <w:r>
        <w:rPr>
          <w:color w:val="231F20"/>
          <w:spacing w:val="-29"/>
          <w:w w:val="105"/>
        </w:rPr>
        <w:t> </w:t>
      </w:r>
      <w:r>
        <w:rPr>
          <w:color w:val="231F20"/>
          <w:spacing w:val="-9"/>
          <w:w w:val="105"/>
        </w:rPr>
        <w:t>14</w:t>
      </w:r>
      <w:r>
        <w:rPr>
          <w:color w:val="231F20"/>
          <w:spacing w:val="-29"/>
          <w:w w:val="105"/>
        </w:rPr>
        <w:t> </w:t>
      </w:r>
      <w:r>
        <w:rPr>
          <w:color w:val="231F20"/>
          <w:spacing w:val="-3"/>
          <w:w w:val="105"/>
        </w:rPr>
        <w:t>zonas</w:t>
      </w:r>
      <w:r>
        <w:rPr>
          <w:color w:val="231F20"/>
          <w:spacing w:val="-29"/>
          <w:w w:val="105"/>
        </w:rPr>
        <w:t> </w:t>
      </w:r>
      <w:r>
        <w:rPr>
          <w:color w:val="231F20"/>
          <w:spacing w:val="-3"/>
          <w:w w:val="105"/>
        </w:rPr>
        <w:t>in- dustriales</w:t>
      </w:r>
      <w:r>
        <w:rPr>
          <w:color w:val="231F20"/>
          <w:spacing w:val="-19"/>
          <w:w w:val="105"/>
        </w:rPr>
        <w:t> </w:t>
      </w:r>
      <w:r>
        <w:rPr>
          <w:color w:val="231F20"/>
          <w:spacing w:val="-3"/>
          <w:w w:val="105"/>
        </w:rPr>
        <w:t>en</w:t>
      </w:r>
      <w:r>
        <w:rPr>
          <w:color w:val="231F20"/>
          <w:spacing w:val="-19"/>
          <w:w w:val="105"/>
        </w:rPr>
        <w:t> </w:t>
      </w:r>
      <w:r>
        <w:rPr>
          <w:color w:val="231F20"/>
          <w:w w:val="105"/>
        </w:rPr>
        <w:t>las</w:t>
      </w:r>
      <w:r>
        <w:rPr>
          <w:color w:val="231F20"/>
          <w:spacing w:val="-19"/>
          <w:w w:val="105"/>
        </w:rPr>
        <w:t> </w:t>
      </w:r>
      <w:r>
        <w:rPr>
          <w:color w:val="231F20"/>
          <w:w w:val="105"/>
        </w:rPr>
        <w:t>cuales</w:t>
      </w:r>
      <w:r>
        <w:rPr>
          <w:color w:val="231F20"/>
          <w:spacing w:val="-19"/>
          <w:w w:val="105"/>
        </w:rPr>
        <w:t> </w:t>
      </w:r>
      <w:r>
        <w:rPr>
          <w:color w:val="231F20"/>
          <w:w w:val="105"/>
        </w:rPr>
        <w:t>se</w:t>
      </w:r>
      <w:r>
        <w:rPr>
          <w:color w:val="231F20"/>
          <w:spacing w:val="-19"/>
          <w:w w:val="105"/>
        </w:rPr>
        <w:t> </w:t>
      </w:r>
      <w:r>
        <w:rPr>
          <w:color w:val="231F20"/>
          <w:spacing w:val="-3"/>
          <w:w w:val="105"/>
        </w:rPr>
        <w:t>asientan</w:t>
      </w:r>
      <w:r>
        <w:rPr>
          <w:color w:val="231F20"/>
          <w:spacing w:val="-19"/>
          <w:w w:val="105"/>
        </w:rPr>
        <w:t> </w:t>
      </w:r>
      <w:r>
        <w:rPr>
          <w:color w:val="231F20"/>
          <w:w w:val="105"/>
        </w:rPr>
        <w:t>algunas</w:t>
      </w:r>
      <w:r>
        <w:rPr>
          <w:color w:val="231F20"/>
          <w:spacing w:val="-19"/>
          <w:w w:val="105"/>
        </w:rPr>
        <w:t> </w:t>
      </w:r>
      <w:r>
        <w:rPr>
          <w:color w:val="231F20"/>
          <w:spacing w:val="-3"/>
          <w:w w:val="105"/>
        </w:rPr>
        <w:t>de</w:t>
      </w:r>
      <w:r>
        <w:rPr>
          <w:color w:val="231F20"/>
          <w:spacing w:val="-19"/>
          <w:w w:val="105"/>
        </w:rPr>
        <w:t> </w:t>
      </w:r>
      <w:r>
        <w:rPr>
          <w:color w:val="231F20"/>
          <w:w w:val="105"/>
        </w:rPr>
        <w:t>las</w:t>
      </w:r>
      <w:r>
        <w:rPr>
          <w:color w:val="231F20"/>
          <w:spacing w:val="-19"/>
          <w:w w:val="105"/>
        </w:rPr>
        <w:t> </w:t>
      </w:r>
      <w:r>
        <w:rPr>
          <w:color w:val="231F20"/>
          <w:w w:val="105"/>
        </w:rPr>
        <w:t>500</w:t>
      </w:r>
      <w:r>
        <w:rPr>
          <w:color w:val="231F20"/>
          <w:spacing w:val="-19"/>
          <w:w w:val="105"/>
        </w:rPr>
        <w:t> </w:t>
      </w:r>
      <w:r>
        <w:rPr>
          <w:color w:val="231F20"/>
          <w:spacing w:val="-4"/>
          <w:w w:val="105"/>
        </w:rPr>
        <w:t>empresas</w:t>
      </w:r>
      <w:r>
        <w:rPr>
          <w:color w:val="231F20"/>
          <w:spacing w:val="-19"/>
          <w:w w:val="105"/>
        </w:rPr>
        <w:t> </w:t>
      </w:r>
      <w:r>
        <w:rPr>
          <w:color w:val="231F20"/>
          <w:w w:val="105"/>
        </w:rPr>
        <w:t>más</w:t>
      </w:r>
      <w:r>
        <w:rPr>
          <w:color w:val="231F20"/>
          <w:spacing w:val="-19"/>
          <w:w w:val="105"/>
        </w:rPr>
        <w:t> </w:t>
      </w:r>
      <w:r>
        <w:rPr>
          <w:color w:val="231F20"/>
          <w:spacing w:val="-3"/>
          <w:w w:val="105"/>
        </w:rPr>
        <w:t>importantes</w:t>
      </w:r>
      <w:r>
        <w:rPr>
          <w:color w:val="231F20"/>
          <w:spacing w:val="-19"/>
          <w:w w:val="105"/>
        </w:rPr>
        <w:t> </w:t>
      </w:r>
      <w:r>
        <w:rPr>
          <w:color w:val="231F20"/>
          <w:spacing w:val="-4"/>
          <w:w w:val="105"/>
        </w:rPr>
        <w:t>del</w:t>
      </w:r>
      <w:r>
        <w:rPr>
          <w:color w:val="231F20"/>
          <w:spacing w:val="-19"/>
          <w:w w:val="105"/>
        </w:rPr>
        <w:t> </w:t>
      </w:r>
      <w:r>
        <w:rPr>
          <w:color w:val="231F20"/>
          <w:w w:val="105"/>
        </w:rPr>
        <w:t>país.</w:t>
      </w:r>
    </w:p>
    <w:p>
      <w:pPr>
        <w:pStyle w:val="BodyText"/>
        <w:spacing w:before="1"/>
        <w:rPr>
          <w:sz w:val="26"/>
        </w:rPr>
      </w:pPr>
    </w:p>
    <w:p>
      <w:pPr>
        <w:pStyle w:val="BodyText"/>
        <w:spacing w:line="285" w:lineRule="auto"/>
        <w:ind w:left="110" w:right="107"/>
        <w:jc w:val="both"/>
      </w:pPr>
      <w:r>
        <w:rPr>
          <w:color w:val="231F20"/>
          <w:w w:val="105"/>
        </w:rPr>
        <w:t>Su</w:t>
      </w:r>
      <w:r>
        <w:rPr>
          <w:color w:val="231F20"/>
          <w:spacing w:val="-22"/>
          <w:w w:val="105"/>
        </w:rPr>
        <w:t> </w:t>
      </w:r>
      <w:r>
        <w:rPr>
          <w:color w:val="231F20"/>
          <w:w w:val="105"/>
        </w:rPr>
        <w:t>Índice</w:t>
      </w:r>
      <w:r>
        <w:rPr>
          <w:color w:val="231F20"/>
          <w:spacing w:val="-22"/>
          <w:w w:val="105"/>
        </w:rPr>
        <w:t> </w:t>
      </w:r>
      <w:r>
        <w:rPr>
          <w:color w:val="231F20"/>
          <w:w w:val="105"/>
        </w:rPr>
        <w:t>de</w:t>
      </w:r>
      <w:r>
        <w:rPr>
          <w:color w:val="231F20"/>
          <w:spacing w:val="-22"/>
          <w:w w:val="105"/>
        </w:rPr>
        <w:t> </w:t>
      </w:r>
      <w:r>
        <w:rPr>
          <w:color w:val="231F20"/>
          <w:w w:val="105"/>
        </w:rPr>
        <w:t>Desarrollo</w:t>
      </w:r>
      <w:r>
        <w:rPr>
          <w:color w:val="231F20"/>
          <w:spacing w:val="-22"/>
          <w:w w:val="105"/>
        </w:rPr>
        <w:t> </w:t>
      </w:r>
      <w:r>
        <w:rPr>
          <w:color w:val="231F20"/>
          <w:w w:val="105"/>
        </w:rPr>
        <w:t>Humano</w:t>
      </w:r>
      <w:r>
        <w:rPr>
          <w:color w:val="231F20"/>
          <w:spacing w:val="-22"/>
          <w:w w:val="105"/>
        </w:rPr>
        <w:t> </w:t>
      </w:r>
      <w:r>
        <w:rPr>
          <w:color w:val="231F20"/>
          <w:w w:val="105"/>
        </w:rPr>
        <w:t>es</w:t>
      </w:r>
      <w:r>
        <w:rPr>
          <w:color w:val="231F20"/>
          <w:spacing w:val="-22"/>
          <w:w w:val="105"/>
        </w:rPr>
        <w:t> </w:t>
      </w:r>
      <w:r>
        <w:rPr>
          <w:color w:val="231F20"/>
          <w:w w:val="105"/>
        </w:rPr>
        <w:t>alto,</w:t>
      </w:r>
      <w:r>
        <w:rPr>
          <w:color w:val="231F20"/>
          <w:spacing w:val="-22"/>
          <w:w w:val="105"/>
        </w:rPr>
        <w:t> </w:t>
      </w:r>
      <w:r>
        <w:rPr>
          <w:color w:val="231F20"/>
          <w:w w:val="105"/>
        </w:rPr>
        <w:t>de</w:t>
      </w:r>
      <w:r>
        <w:rPr>
          <w:color w:val="231F20"/>
          <w:spacing w:val="-22"/>
          <w:w w:val="105"/>
        </w:rPr>
        <w:t> </w:t>
      </w:r>
      <w:r>
        <w:rPr>
          <w:color w:val="231F20"/>
          <w:w w:val="105"/>
        </w:rPr>
        <w:t>0.8403,</w:t>
      </w:r>
      <w:r>
        <w:rPr>
          <w:color w:val="231F20"/>
          <w:spacing w:val="-22"/>
          <w:w w:val="105"/>
        </w:rPr>
        <w:t> </w:t>
      </w:r>
      <w:r>
        <w:rPr>
          <w:color w:val="231F20"/>
          <w:spacing w:val="-2"/>
          <w:w w:val="105"/>
        </w:rPr>
        <w:t>siendo</w:t>
      </w:r>
      <w:r>
        <w:rPr>
          <w:color w:val="231F20"/>
          <w:spacing w:val="-22"/>
          <w:w w:val="105"/>
        </w:rPr>
        <w:t> </w:t>
      </w:r>
      <w:r>
        <w:rPr>
          <w:color w:val="231F20"/>
          <w:w w:val="105"/>
        </w:rPr>
        <w:t>el</w:t>
      </w:r>
      <w:r>
        <w:rPr>
          <w:color w:val="231F20"/>
          <w:spacing w:val="-22"/>
          <w:w w:val="105"/>
        </w:rPr>
        <w:t> </w:t>
      </w:r>
      <w:r>
        <w:rPr>
          <w:color w:val="231F20"/>
          <w:w w:val="105"/>
        </w:rPr>
        <w:t>número</w:t>
      </w:r>
      <w:r>
        <w:rPr>
          <w:color w:val="231F20"/>
          <w:spacing w:val="-22"/>
          <w:w w:val="105"/>
        </w:rPr>
        <w:t> </w:t>
      </w:r>
      <w:r>
        <w:rPr>
          <w:color w:val="231F20"/>
          <w:w w:val="105"/>
        </w:rPr>
        <w:t>33</w:t>
      </w:r>
      <w:r>
        <w:rPr>
          <w:color w:val="231F20"/>
          <w:spacing w:val="-22"/>
          <w:w w:val="105"/>
        </w:rPr>
        <w:t> </w:t>
      </w:r>
      <w:r>
        <w:rPr>
          <w:color w:val="231F20"/>
          <w:w w:val="105"/>
        </w:rPr>
        <w:t>a</w:t>
      </w:r>
      <w:r>
        <w:rPr>
          <w:color w:val="231F20"/>
          <w:spacing w:val="-22"/>
          <w:w w:val="105"/>
        </w:rPr>
        <w:t> </w:t>
      </w:r>
      <w:r>
        <w:rPr>
          <w:color w:val="231F20"/>
          <w:w w:val="105"/>
        </w:rPr>
        <w:t>nivel</w:t>
      </w:r>
      <w:r>
        <w:rPr>
          <w:color w:val="231F20"/>
          <w:spacing w:val="-22"/>
          <w:w w:val="105"/>
        </w:rPr>
        <w:t> </w:t>
      </w:r>
      <w:r>
        <w:rPr>
          <w:color w:val="231F20"/>
          <w:w w:val="105"/>
        </w:rPr>
        <w:t>nacional y</w:t>
      </w:r>
      <w:r>
        <w:rPr>
          <w:color w:val="231F20"/>
          <w:spacing w:val="-10"/>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más</w:t>
      </w:r>
      <w:r>
        <w:rPr>
          <w:color w:val="231F20"/>
          <w:spacing w:val="-10"/>
          <w:w w:val="105"/>
        </w:rPr>
        <w:t> </w:t>
      </w:r>
      <w:r>
        <w:rPr>
          <w:color w:val="231F20"/>
          <w:w w:val="105"/>
        </w:rPr>
        <w:t>altos</w:t>
      </w:r>
      <w:r>
        <w:rPr>
          <w:color w:val="231F20"/>
          <w:spacing w:val="-9"/>
          <w:w w:val="105"/>
        </w:rPr>
        <w:t> </w:t>
      </w:r>
      <w:r>
        <w:rPr>
          <w:color w:val="231F20"/>
          <w:w w:val="105"/>
        </w:rPr>
        <w:t>a</w:t>
      </w:r>
      <w:r>
        <w:rPr>
          <w:color w:val="231F20"/>
          <w:spacing w:val="-10"/>
          <w:w w:val="105"/>
        </w:rPr>
        <w:t> </w:t>
      </w:r>
      <w:r>
        <w:rPr>
          <w:color w:val="231F20"/>
          <w:w w:val="105"/>
        </w:rPr>
        <w:t>nivel</w:t>
      </w:r>
      <w:r>
        <w:rPr>
          <w:color w:val="231F20"/>
          <w:spacing w:val="-9"/>
          <w:w w:val="105"/>
        </w:rPr>
        <w:t> </w:t>
      </w:r>
      <w:r>
        <w:rPr>
          <w:color w:val="231F20"/>
          <w:w w:val="105"/>
        </w:rPr>
        <w:t>estatal.</w:t>
      </w:r>
      <w:r>
        <w:rPr>
          <w:color w:val="231F20"/>
          <w:spacing w:val="-10"/>
          <w:w w:val="105"/>
        </w:rPr>
        <w:t> </w:t>
      </w:r>
      <w:r>
        <w:rPr>
          <w:color w:val="231F20"/>
          <w:w w:val="105"/>
        </w:rPr>
        <w:t>No</w:t>
      </w:r>
      <w:r>
        <w:rPr>
          <w:color w:val="231F20"/>
          <w:spacing w:val="-9"/>
          <w:w w:val="105"/>
        </w:rPr>
        <w:t> </w:t>
      </w:r>
      <w:r>
        <w:rPr>
          <w:color w:val="231F20"/>
          <w:w w:val="105"/>
        </w:rPr>
        <w:t>obstante,</w:t>
      </w:r>
      <w:r>
        <w:rPr>
          <w:color w:val="231F20"/>
          <w:spacing w:val="-10"/>
          <w:w w:val="105"/>
        </w:rPr>
        <w:t> </w:t>
      </w:r>
      <w:r>
        <w:rPr>
          <w:color w:val="231F20"/>
          <w:w w:val="105"/>
        </w:rPr>
        <w:t>de</w:t>
      </w:r>
      <w:r>
        <w:rPr>
          <w:color w:val="231F20"/>
          <w:spacing w:val="-10"/>
          <w:w w:val="105"/>
        </w:rPr>
        <w:t> </w:t>
      </w:r>
      <w:r>
        <w:rPr>
          <w:color w:val="231F20"/>
          <w:w w:val="105"/>
        </w:rPr>
        <w:t>acuerdo</w:t>
      </w:r>
      <w:r>
        <w:rPr>
          <w:color w:val="231F20"/>
          <w:spacing w:val="-10"/>
          <w:w w:val="105"/>
        </w:rPr>
        <w:t> </w:t>
      </w:r>
      <w:r>
        <w:rPr>
          <w:color w:val="231F20"/>
          <w:spacing w:val="2"/>
          <w:w w:val="105"/>
        </w:rPr>
        <w:t>al</w:t>
      </w:r>
      <w:r>
        <w:rPr>
          <w:color w:val="231F20"/>
          <w:spacing w:val="-10"/>
          <w:w w:val="105"/>
        </w:rPr>
        <w:t> </w:t>
      </w:r>
      <w:r>
        <w:rPr>
          <w:color w:val="231F20"/>
          <w:w w:val="105"/>
        </w:rPr>
        <w:t>Índice</w:t>
      </w:r>
      <w:r>
        <w:rPr>
          <w:color w:val="231F20"/>
          <w:spacing w:val="-10"/>
          <w:w w:val="105"/>
        </w:rPr>
        <w:t> </w:t>
      </w:r>
      <w:r>
        <w:rPr>
          <w:color w:val="231F20"/>
          <w:w w:val="105"/>
        </w:rPr>
        <w:t>de</w:t>
      </w:r>
      <w:r>
        <w:rPr>
          <w:color w:val="231F20"/>
          <w:spacing w:val="-10"/>
          <w:w w:val="105"/>
        </w:rPr>
        <w:t> </w:t>
      </w:r>
      <w:r>
        <w:rPr>
          <w:color w:val="231F20"/>
          <w:w w:val="105"/>
        </w:rPr>
        <w:t>Marginación</w:t>
      </w:r>
      <w:r>
        <w:rPr>
          <w:color w:val="231F20"/>
          <w:spacing w:val="-9"/>
          <w:w w:val="105"/>
        </w:rPr>
        <w:t> </w:t>
      </w:r>
      <w:r>
        <w:rPr>
          <w:color w:val="231F20"/>
          <w:spacing w:val="-5"/>
          <w:w w:val="105"/>
        </w:rPr>
        <w:t>Ur- </w:t>
      </w:r>
      <w:r>
        <w:rPr>
          <w:color w:val="231F20"/>
          <w:w w:val="105"/>
        </w:rPr>
        <w:t>bana</w:t>
      </w:r>
      <w:r>
        <w:rPr>
          <w:color w:val="231F20"/>
          <w:spacing w:val="-27"/>
          <w:w w:val="105"/>
        </w:rPr>
        <w:t> </w:t>
      </w:r>
      <w:r>
        <w:rPr>
          <w:color w:val="231F20"/>
          <w:spacing w:val="4"/>
          <w:w w:val="105"/>
        </w:rPr>
        <w:t>2000</w:t>
      </w:r>
      <w:r>
        <w:rPr>
          <w:color w:val="231F20"/>
          <w:spacing w:val="-27"/>
          <w:w w:val="105"/>
        </w:rPr>
        <w:t> </w:t>
      </w:r>
      <w:r>
        <w:rPr>
          <w:color w:val="231F20"/>
          <w:w w:val="105"/>
        </w:rPr>
        <w:t>realizado</w:t>
      </w:r>
      <w:r>
        <w:rPr>
          <w:color w:val="231F20"/>
          <w:spacing w:val="-27"/>
          <w:w w:val="105"/>
        </w:rPr>
        <w:t> </w:t>
      </w:r>
      <w:r>
        <w:rPr>
          <w:color w:val="231F20"/>
          <w:w w:val="105"/>
        </w:rPr>
        <w:t>por</w:t>
      </w:r>
      <w:r>
        <w:rPr>
          <w:color w:val="231F20"/>
          <w:spacing w:val="-27"/>
          <w:w w:val="105"/>
        </w:rPr>
        <w:t> </w:t>
      </w:r>
      <w:r>
        <w:rPr>
          <w:color w:val="231F20"/>
          <w:w w:val="105"/>
        </w:rPr>
        <w:t>el</w:t>
      </w:r>
      <w:r>
        <w:rPr>
          <w:color w:val="231F20"/>
          <w:spacing w:val="-27"/>
          <w:w w:val="105"/>
        </w:rPr>
        <w:t> </w:t>
      </w:r>
      <w:r>
        <w:rPr>
          <w:color w:val="231F20"/>
          <w:w w:val="105"/>
        </w:rPr>
        <w:t>Consejo</w:t>
      </w:r>
      <w:r>
        <w:rPr>
          <w:color w:val="231F20"/>
          <w:spacing w:val="-27"/>
          <w:w w:val="105"/>
        </w:rPr>
        <w:t> </w:t>
      </w:r>
      <w:r>
        <w:rPr>
          <w:color w:val="231F20"/>
          <w:w w:val="105"/>
        </w:rPr>
        <w:t>Nacional</w:t>
      </w:r>
      <w:r>
        <w:rPr>
          <w:color w:val="231F20"/>
          <w:spacing w:val="-27"/>
          <w:w w:val="105"/>
        </w:rPr>
        <w:t> </w:t>
      </w:r>
      <w:r>
        <w:rPr>
          <w:color w:val="231F20"/>
          <w:w w:val="105"/>
        </w:rPr>
        <w:t>de</w:t>
      </w:r>
      <w:r>
        <w:rPr>
          <w:color w:val="231F20"/>
          <w:spacing w:val="-27"/>
          <w:w w:val="105"/>
        </w:rPr>
        <w:t> </w:t>
      </w:r>
      <w:r>
        <w:rPr>
          <w:color w:val="231F20"/>
          <w:spacing w:val="-3"/>
          <w:w w:val="105"/>
        </w:rPr>
        <w:t>Población,</w:t>
      </w:r>
      <w:r>
        <w:rPr>
          <w:color w:val="231F20"/>
          <w:spacing w:val="-27"/>
          <w:w w:val="105"/>
        </w:rPr>
        <w:t> </w:t>
      </w:r>
      <w:r>
        <w:rPr>
          <w:color w:val="231F20"/>
          <w:w w:val="105"/>
        </w:rPr>
        <w:t>el</w:t>
      </w:r>
      <w:r>
        <w:rPr>
          <w:color w:val="231F20"/>
          <w:spacing w:val="-27"/>
          <w:w w:val="105"/>
        </w:rPr>
        <w:t> </w:t>
      </w:r>
      <w:r>
        <w:rPr>
          <w:color w:val="231F20"/>
          <w:w w:val="105"/>
        </w:rPr>
        <w:t>44.1</w:t>
      </w:r>
      <w:r>
        <w:rPr>
          <w:color w:val="231F20"/>
          <w:spacing w:val="-27"/>
          <w:w w:val="105"/>
        </w:rPr>
        <w:t> </w:t>
      </w:r>
      <w:r>
        <w:rPr>
          <w:color w:val="231F20"/>
          <w:w w:val="105"/>
        </w:rPr>
        <w:t>%</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población</w:t>
      </w:r>
      <w:r>
        <w:rPr>
          <w:color w:val="231F20"/>
          <w:spacing w:val="-27"/>
          <w:w w:val="105"/>
        </w:rPr>
        <w:t> </w:t>
      </w:r>
      <w:r>
        <w:rPr>
          <w:color w:val="231F20"/>
          <w:w w:val="105"/>
        </w:rPr>
        <w:t>vive en</w:t>
      </w:r>
      <w:r>
        <w:rPr>
          <w:color w:val="231F20"/>
          <w:spacing w:val="-11"/>
          <w:w w:val="105"/>
        </w:rPr>
        <w:t> </w:t>
      </w:r>
      <w:r>
        <w:rPr>
          <w:color w:val="231F20"/>
          <w:w w:val="105"/>
        </w:rPr>
        <w:t>condiciones</w:t>
      </w:r>
      <w:r>
        <w:rPr>
          <w:color w:val="231F20"/>
          <w:spacing w:val="-11"/>
          <w:w w:val="105"/>
        </w:rPr>
        <w:t> </w:t>
      </w:r>
      <w:r>
        <w:rPr>
          <w:color w:val="231F20"/>
          <w:w w:val="105"/>
        </w:rPr>
        <w:t>de</w:t>
      </w:r>
      <w:r>
        <w:rPr>
          <w:color w:val="231F20"/>
          <w:spacing w:val="-11"/>
          <w:w w:val="105"/>
        </w:rPr>
        <w:t> </w:t>
      </w:r>
      <w:r>
        <w:rPr>
          <w:color w:val="231F20"/>
          <w:w w:val="105"/>
        </w:rPr>
        <w:t>baja</w:t>
      </w:r>
      <w:r>
        <w:rPr>
          <w:color w:val="231F20"/>
          <w:spacing w:val="-11"/>
          <w:w w:val="105"/>
        </w:rPr>
        <w:t> </w:t>
      </w:r>
      <w:r>
        <w:rPr>
          <w:color w:val="231F20"/>
          <w:w w:val="105"/>
        </w:rPr>
        <w:t>y</w:t>
      </w:r>
      <w:r>
        <w:rPr>
          <w:color w:val="231F20"/>
          <w:spacing w:val="-11"/>
          <w:w w:val="105"/>
        </w:rPr>
        <w:t> </w:t>
      </w:r>
      <w:r>
        <w:rPr>
          <w:color w:val="231F20"/>
          <w:w w:val="105"/>
        </w:rPr>
        <w:t>muy</w:t>
      </w:r>
      <w:r>
        <w:rPr>
          <w:color w:val="231F20"/>
          <w:spacing w:val="-11"/>
          <w:w w:val="105"/>
        </w:rPr>
        <w:t> </w:t>
      </w:r>
      <w:r>
        <w:rPr>
          <w:color w:val="231F20"/>
          <w:w w:val="105"/>
        </w:rPr>
        <w:t>baja</w:t>
      </w:r>
      <w:r>
        <w:rPr>
          <w:color w:val="231F20"/>
          <w:spacing w:val="-11"/>
          <w:w w:val="105"/>
        </w:rPr>
        <w:t> </w:t>
      </w:r>
      <w:r>
        <w:rPr>
          <w:color w:val="231F20"/>
          <w:w w:val="105"/>
        </w:rPr>
        <w:t>marginación,</w:t>
      </w:r>
      <w:r>
        <w:rPr>
          <w:color w:val="231F20"/>
          <w:spacing w:val="-11"/>
          <w:w w:val="105"/>
        </w:rPr>
        <w:t> </w:t>
      </w:r>
      <w:r>
        <w:rPr>
          <w:color w:val="231F20"/>
          <w:w w:val="105"/>
        </w:rPr>
        <w:t>mientras</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26.3%</w:t>
      </w:r>
      <w:r>
        <w:rPr>
          <w:color w:val="231F20"/>
          <w:spacing w:val="-11"/>
          <w:w w:val="105"/>
        </w:rPr>
        <w:t> </w:t>
      </w:r>
      <w:r>
        <w:rPr>
          <w:color w:val="231F20"/>
          <w:w w:val="105"/>
        </w:rPr>
        <w:t>se</w:t>
      </w:r>
      <w:r>
        <w:rPr>
          <w:color w:val="231F20"/>
          <w:spacing w:val="-11"/>
          <w:w w:val="105"/>
        </w:rPr>
        <w:t> </w:t>
      </w:r>
      <w:r>
        <w:rPr>
          <w:color w:val="231F20"/>
          <w:w w:val="105"/>
        </w:rPr>
        <w:t>encuentra</w:t>
      </w:r>
      <w:r>
        <w:rPr>
          <w:color w:val="231F20"/>
          <w:spacing w:val="-11"/>
          <w:w w:val="105"/>
        </w:rPr>
        <w:t> </w:t>
      </w:r>
      <w:r>
        <w:rPr>
          <w:color w:val="231F20"/>
          <w:w w:val="105"/>
        </w:rPr>
        <w:t>en marginación</w:t>
      </w:r>
      <w:r>
        <w:rPr>
          <w:color w:val="231F20"/>
          <w:spacing w:val="-24"/>
          <w:w w:val="105"/>
        </w:rPr>
        <w:t> </w:t>
      </w:r>
      <w:r>
        <w:rPr>
          <w:color w:val="231F20"/>
          <w:w w:val="105"/>
        </w:rPr>
        <w:t>media</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color w:val="231F20"/>
          <w:spacing w:val="-3"/>
          <w:w w:val="105"/>
        </w:rPr>
        <w:t>29.5%</w:t>
      </w:r>
      <w:r>
        <w:rPr>
          <w:color w:val="231F20"/>
          <w:spacing w:val="-24"/>
          <w:w w:val="105"/>
        </w:rPr>
        <w:t> </w:t>
      </w:r>
      <w:r>
        <w:rPr>
          <w:color w:val="231F20"/>
          <w:w w:val="105"/>
        </w:rPr>
        <w:t>se</w:t>
      </w:r>
      <w:r>
        <w:rPr>
          <w:color w:val="231F20"/>
          <w:spacing w:val="-24"/>
          <w:w w:val="105"/>
        </w:rPr>
        <w:t> </w:t>
      </w:r>
      <w:r>
        <w:rPr>
          <w:color w:val="231F20"/>
          <w:w w:val="105"/>
        </w:rPr>
        <w:t>localiza</w:t>
      </w:r>
      <w:r>
        <w:rPr>
          <w:color w:val="231F20"/>
          <w:spacing w:val="-24"/>
          <w:w w:val="105"/>
        </w:rPr>
        <w:t> </w:t>
      </w:r>
      <w:r>
        <w:rPr>
          <w:color w:val="231F20"/>
          <w:w w:val="105"/>
        </w:rPr>
        <w:t>en</w:t>
      </w:r>
      <w:r>
        <w:rPr>
          <w:color w:val="231F20"/>
          <w:spacing w:val="-24"/>
          <w:w w:val="105"/>
        </w:rPr>
        <w:t> </w:t>
      </w:r>
      <w:r>
        <w:rPr>
          <w:color w:val="231F20"/>
          <w:w w:val="105"/>
        </w:rPr>
        <w:t>condiciones</w:t>
      </w:r>
      <w:r>
        <w:rPr>
          <w:color w:val="231F20"/>
          <w:spacing w:val="-24"/>
          <w:w w:val="105"/>
        </w:rPr>
        <w:t> </w:t>
      </w:r>
      <w:r>
        <w:rPr>
          <w:color w:val="231F20"/>
          <w:w w:val="105"/>
        </w:rPr>
        <w:t>de</w:t>
      </w:r>
      <w:r>
        <w:rPr>
          <w:color w:val="231F20"/>
          <w:spacing w:val="-24"/>
          <w:w w:val="105"/>
        </w:rPr>
        <w:t> </w:t>
      </w:r>
      <w:r>
        <w:rPr>
          <w:color w:val="231F20"/>
          <w:w w:val="105"/>
        </w:rPr>
        <w:t>alta</w:t>
      </w:r>
      <w:r>
        <w:rPr>
          <w:color w:val="231F20"/>
          <w:spacing w:val="-24"/>
          <w:w w:val="105"/>
        </w:rPr>
        <w:t> </w:t>
      </w:r>
      <w:r>
        <w:rPr>
          <w:color w:val="231F20"/>
          <w:w w:val="105"/>
        </w:rPr>
        <w:t>y</w:t>
      </w:r>
      <w:r>
        <w:rPr>
          <w:color w:val="231F20"/>
          <w:spacing w:val="-24"/>
          <w:w w:val="105"/>
        </w:rPr>
        <w:t> </w:t>
      </w:r>
      <w:r>
        <w:rPr>
          <w:color w:val="231F20"/>
          <w:w w:val="105"/>
        </w:rPr>
        <w:t>muy</w:t>
      </w:r>
      <w:r>
        <w:rPr>
          <w:color w:val="231F20"/>
          <w:spacing w:val="-24"/>
          <w:w w:val="105"/>
        </w:rPr>
        <w:t> </w:t>
      </w:r>
      <w:r>
        <w:rPr>
          <w:color w:val="231F20"/>
          <w:w w:val="105"/>
        </w:rPr>
        <w:t>alta</w:t>
      </w:r>
      <w:r>
        <w:rPr>
          <w:color w:val="231F20"/>
          <w:spacing w:val="-24"/>
          <w:w w:val="105"/>
        </w:rPr>
        <w:t> </w:t>
      </w:r>
      <w:r>
        <w:rPr>
          <w:color w:val="231F20"/>
          <w:w w:val="105"/>
        </w:rPr>
        <w:t>marginación, lo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traduce</w:t>
      </w:r>
      <w:r>
        <w:rPr>
          <w:color w:val="231F20"/>
          <w:spacing w:val="-17"/>
          <w:w w:val="105"/>
        </w:rPr>
        <w:t> </w:t>
      </w:r>
      <w:r>
        <w:rPr>
          <w:color w:val="231F20"/>
          <w:w w:val="105"/>
        </w:rPr>
        <w:t>en</w:t>
      </w:r>
      <w:r>
        <w:rPr>
          <w:color w:val="231F20"/>
          <w:spacing w:val="-17"/>
          <w:w w:val="105"/>
        </w:rPr>
        <w:t> </w:t>
      </w:r>
      <w:r>
        <w:rPr>
          <w:color w:val="231F20"/>
          <w:w w:val="105"/>
        </w:rPr>
        <w:t>números</w:t>
      </w:r>
      <w:r>
        <w:rPr>
          <w:color w:val="231F20"/>
          <w:spacing w:val="-17"/>
          <w:w w:val="105"/>
        </w:rPr>
        <w:t> </w:t>
      </w:r>
      <w:r>
        <w:rPr>
          <w:color w:val="231F20"/>
          <w:w w:val="105"/>
        </w:rPr>
        <w:t>absolutos</w:t>
      </w:r>
      <w:r>
        <w:rPr>
          <w:color w:val="231F20"/>
          <w:spacing w:val="-17"/>
          <w:w w:val="105"/>
        </w:rPr>
        <w:t> </w:t>
      </w:r>
      <w:r>
        <w:rPr>
          <w:color w:val="231F20"/>
          <w:w w:val="105"/>
        </w:rPr>
        <w:t>en</w:t>
      </w:r>
      <w:r>
        <w:rPr>
          <w:color w:val="231F20"/>
          <w:spacing w:val="-17"/>
          <w:w w:val="105"/>
        </w:rPr>
        <w:t> </w:t>
      </w:r>
      <w:r>
        <w:rPr>
          <w:color w:val="231F20"/>
          <w:spacing w:val="-4"/>
          <w:w w:val="105"/>
        </w:rPr>
        <w:t>213</w:t>
      </w:r>
      <w:r>
        <w:rPr>
          <w:color w:val="231F20"/>
          <w:spacing w:val="-17"/>
          <w:w w:val="105"/>
        </w:rPr>
        <w:t> </w:t>
      </w:r>
      <w:r>
        <w:rPr>
          <w:color w:val="231F20"/>
          <w:spacing w:val="2"/>
          <w:w w:val="105"/>
        </w:rPr>
        <w:t>mil</w:t>
      </w:r>
      <w:r>
        <w:rPr>
          <w:color w:val="231F20"/>
          <w:spacing w:val="-17"/>
          <w:w w:val="105"/>
        </w:rPr>
        <w:t> </w:t>
      </w:r>
      <w:r>
        <w:rPr>
          <w:color w:val="231F20"/>
          <w:spacing w:val="-5"/>
          <w:w w:val="105"/>
        </w:rPr>
        <w:t>179</w:t>
      </w:r>
      <w:r>
        <w:rPr>
          <w:color w:val="231F20"/>
          <w:spacing w:val="-17"/>
          <w:w w:val="105"/>
        </w:rPr>
        <w:t> </w:t>
      </w:r>
      <w:r>
        <w:rPr>
          <w:color w:val="231F20"/>
          <w:w w:val="105"/>
        </w:rPr>
        <w:t>habitantes.</w:t>
      </w:r>
      <w:r>
        <w:rPr>
          <w:color w:val="231F20"/>
          <w:spacing w:val="-17"/>
          <w:w w:val="105"/>
        </w:rPr>
        <w:t> </w:t>
      </w:r>
      <w:r>
        <w:rPr>
          <w:color w:val="231F20"/>
          <w:w w:val="105"/>
        </w:rPr>
        <w:t>Ahora</w:t>
      </w:r>
      <w:r>
        <w:rPr>
          <w:color w:val="231F20"/>
          <w:spacing w:val="-17"/>
          <w:w w:val="105"/>
        </w:rPr>
        <w:t> </w:t>
      </w:r>
      <w:r>
        <w:rPr>
          <w:color w:val="231F20"/>
          <w:w w:val="105"/>
        </w:rPr>
        <w:t>bien,</w:t>
      </w:r>
      <w:r>
        <w:rPr>
          <w:color w:val="231F20"/>
          <w:spacing w:val="-17"/>
          <w:w w:val="105"/>
        </w:rPr>
        <w:t> </w:t>
      </w:r>
      <w:r>
        <w:rPr>
          <w:color w:val="231F20"/>
          <w:w w:val="105"/>
        </w:rPr>
        <w:t>esta</w:t>
      </w:r>
      <w:r>
        <w:rPr>
          <w:color w:val="231F20"/>
          <w:spacing w:val="-17"/>
          <w:w w:val="105"/>
        </w:rPr>
        <w:t> </w:t>
      </w:r>
      <w:r>
        <w:rPr>
          <w:color w:val="231F20"/>
          <w:w w:val="105"/>
        </w:rPr>
        <w:t>mar- ginación</w:t>
      </w:r>
      <w:r>
        <w:rPr>
          <w:color w:val="231F20"/>
          <w:spacing w:val="-10"/>
          <w:w w:val="105"/>
        </w:rPr>
        <w:t> </w:t>
      </w:r>
      <w:r>
        <w:rPr>
          <w:color w:val="231F20"/>
          <w:w w:val="105"/>
        </w:rPr>
        <w:t>se</w:t>
      </w:r>
      <w:r>
        <w:rPr>
          <w:color w:val="231F20"/>
          <w:spacing w:val="-10"/>
          <w:w w:val="105"/>
        </w:rPr>
        <w:t> </w:t>
      </w:r>
      <w:r>
        <w:rPr>
          <w:color w:val="231F20"/>
          <w:w w:val="105"/>
        </w:rPr>
        <w:t>manifiesta</w:t>
      </w:r>
      <w:r>
        <w:rPr>
          <w:color w:val="231F20"/>
          <w:spacing w:val="-10"/>
          <w:w w:val="105"/>
        </w:rPr>
        <w:t> </w:t>
      </w:r>
      <w:r>
        <w:rPr>
          <w:color w:val="231F20"/>
          <w:w w:val="105"/>
        </w:rPr>
        <w:t>en</w:t>
      </w:r>
      <w:r>
        <w:rPr>
          <w:color w:val="231F20"/>
          <w:spacing w:val="-10"/>
          <w:w w:val="105"/>
        </w:rPr>
        <w:t> </w:t>
      </w:r>
      <w:r>
        <w:rPr>
          <w:color w:val="231F20"/>
          <w:w w:val="105"/>
        </w:rPr>
        <w:t>escasez</w:t>
      </w:r>
      <w:r>
        <w:rPr>
          <w:color w:val="231F20"/>
          <w:spacing w:val="-10"/>
          <w:w w:val="105"/>
        </w:rPr>
        <w:t> </w:t>
      </w:r>
      <w:r>
        <w:rPr>
          <w:color w:val="231F20"/>
          <w:w w:val="105"/>
        </w:rPr>
        <w:t>de</w:t>
      </w:r>
      <w:r>
        <w:rPr>
          <w:color w:val="231F20"/>
          <w:spacing w:val="-10"/>
          <w:w w:val="105"/>
        </w:rPr>
        <w:t> </w:t>
      </w:r>
      <w:r>
        <w:rPr>
          <w:color w:val="231F20"/>
          <w:w w:val="105"/>
        </w:rPr>
        <w:t>vivienda</w:t>
      </w:r>
      <w:r>
        <w:rPr>
          <w:color w:val="231F20"/>
          <w:spacing w:val="-10"/>
          <w:w w:val="105"/>
        </w:rPr>
        <w:t> </w:t>
      </w:r>
      <w:r>
        <w:rPr>
          <w:color w:val="231F20"/>
          <w:w w:val="105"/>
        </w:rPr>
        <w:t>y</w:t>
      </w:r>
      <w:r>
        <w:rPr>
          <w:color w:val="231F20"/>
          <w:spacing w:val="-10"/>
          <w:w w:val="105"/>
        </w:rPr>
        <w:t> </w:t>
      </w:r>
      <w:r>
        <w:rPr>
          <w:color w:val="231F20"/>
          <w:w w:val="105"/>
        </w:rPr>
        <w:t>servicios</w:t>
      </w:r>
      <w:r>
        <w:rPr>
          <w:color w:val="231F20"/>
          <w:spacing w:val="-10"/>
          <w:w w:val="105"/>
        </w:rPr>
        <w:t> </w:t>
      </w:r>
      <w:r>
        <w:rPr>
          <w:color w:val="231F20"/>
          <w:w w:val="105"/>
        </w:rPr>
        <w:t>públicos</w:t>
      </w:r>
      <w:r>
        <w:rPr>
          <w:color w:val="231F20"/>
          <w:spacing w:val="-10"/>
          <w:w w:val="105"/>
        </w:rPr>
        <w:t> </w:t>
      </w:r>
      <w:r>
        <w:rPr>
          <w:color w:val="231F20"/>
          <w:w w:val="105"/>
        </w:rPr>
        <w:t>en</w:t>
      </w:r>
      <w:r>
        <w:rPr>
          <w:color w:val="231F20"/>
          <w:spacing w:val="-10"/>
          <w:w w:val="105"/>
        </w:rPr>
        <w:t> </w:t>
      </w:r>
      <w:r>
        <w:rPr>
          <w:color w:val="231F20"/>
          <w:w w:val="105"/>
        </w:rPr>
        <w:t>esas</w:t>
      </w:r>
      <w:r>
        <w:rPr>
          <w:color w:val="231F20"/>
          <w:spacing w:val="-10"/>
          <w:w w:val="105"/>
        </w:rPr>
        <w:t> </w:t>
      </w:r>
      <w:r>
        <w:rPr>
          <w:color w:val="231F20"/>
          <w:w w:val="105"/>
        </w:rPr>
        <w:t>zonas,</w:t>
      </w:r>
      <w:r>
        <w:rPr>
          <w:color w:val="231F20"/>
          <w:spacing w:val="-10"/>
          <w:w w:val="105"/>
        </w:rPr>
        <w:t> </w:t>
      </w:r>
      <w:r>
        <w:rPr>
          <w:color w:val="231F20"/>
          <w:w w:val="105"/>
        </w:rPr>
        <w:t>sobre todo</w:t>
      </w:r>
      <w:r>
        <w:rPr>
          <w:color w:val="231F20"/>
          <w:spacing w:val="-12"/>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zona</w:t>
      </w:r>
      <w:r>
        <w:rPr>
          <w:color w:val="231F20"/>
          <w:spacing w:val="-11"/>
          <w:w w:val="105"/>
        </w:rPr>
        <w:t> </w:t>
      </w:r>
      <w:r>
        <w:rPr>
          <w:color w:val="231F20"/>
          <w:w w:val="105"/>
        </w:rPr>
        <w:t>oriente</w:t>
      </w:r>
      <w:r>
        <w:rPr>
          <w:color w:val="231F20"/>
          <w:spacing w:val="-11"/>
          <w:w w:val="105"/>
        </w:rPr>
        <w:t> </w:t>
      </w:r>
      <w:r>
        <w:rPr>
          <w:color w:val="231F20"/>
          <w:w w:val="105"/>
        </w:rPr>
        <w:t>del</w:t>
      </w:r>
      <w:r>
        <w:rPr>
          <w:color w:val="231F20"/>
          <w:spacing w:val="-12"/>
          <w:w w:val="105"/>
        </w:rPr>
        <w:t> </w:t>
      </w:r>
      <w:r>
        <w:rPr>
          <w:color w:val="231F20"/>
          <w:w w:val="105"/>
        </w:rPr>
        <w:t>municipio.</w:t>
      </w:r>
      <w:r>
        <w:rPr>
          <w:color w:val="231F20"/>
          <w:spacing w:val="-11"/>
          <w:w w:val="105"/>
        </w:rPr>
        <w:t> </w:t>
      </w:r>
      <w:r>
        <w:rPr>
          <w:color w:val="231F20"/>
          <w:w w:val="105"/>
        </w:rPr>
        <w:t>Su</w:t>
      </w:r>
      <w:r>
        <w:rPr>
          <w:color w:val="231F20"/>
          <w:spacing w:val="-11"/>
          <w:w w:val="105"/>
        </w:rPr>
        <w:t> </w:t>
      </w:r>
      <w:r>
        <w:rPr>
          <w:color w:val="231F20"/>
          <w:w w:val="105"/>
        </w:rPr>
        <w:t>índice</w:t>
      </w:r>
      <w:r>
        <w:rPr>
          <w:color w:val="231F20"/>
          <w:spacing w:val="-11"/>
          <w:w w:val="105"/>
        </w:rPr>
        <w:t> </w:t>
      </w:r>
      <w:r>
        <w:rPr>
          <w:color w:val="231F20"/>
          <w:w w:val="105"/>
        </w:rPr>
        <w:t>de</w:t>
      </w:r>
      <w:r>
        <w:rPr>
          <w:color w:val="231F20"/>
          <w:spacing w:val="-11"/>
          <w:w w:val="105"/>
        </w:rPr>
        <w:t> </w:t>
      </w:r>
      <w:r>
        <w:rPr>
          <w:color w:val="231F20"/>
          <w:w w:val="105"/>
        </w:rPr>
        <w:t>marginación</w:t>
      </w:r>
      <w:r>
        <w:rPr>
          <w:color w:val="231F20"/>
          <w:w w:val="105"/>
          <w:position w:val="7"/>
          <w:sz w:val="13"/>
        </w:rPr>
        <w:t>9</w:t>
      </w:r>
      <w:r>
        <w:rPr>
          <w:color w:val="231F20"/>
          <w:spacing w:val="12"/>
          <w:w w:val="105"/>
          <w:position w:val="7"/>
          <w:sz w:val="13"/>
        </w:rPr>
        <w:t> </w:t>
      </w:r>
      <w:r>
        <w:rPr>
          <w:color w:val="231F20"/>
          <w:w w:val="105"/>
        </w:rPr>
        <w:t>municipal</w:t>
      </w:r>
      <w:r>
        <w:rPr>
          <w:color w:val="231F20"/>
          <w:spacing w:val="-11"/>
          <w:w w:val="105"/>
        </w:rPr>
        <w:t> </w:t>
      </w:r>
      <w:r>
        <w:rPr>
          <w:color w:val="231F20"/>
          <w:w w:val="105"/>
        </w:rPr>
        <w:t>es</w:t>
      </w:r>
      <w:r>
        <w:rPr>
          <w:color w:val="231F20"/>
          <w:spacing w:val="-11"/>
          <w:w w:val="105"/>
        </w:rPr>
        <w:t> </w:t>
      </w:r>
      <w:r>
        <w:rPr>
          <w:color w:val="231F20"/>
          <w:w w:val="105"/>
        </w:rPr>
        <w:t>de</w:t>
      </w:r>
      <w:r>
        <w:rPr>
          <w:color w:val="231F20"/>
          <w:spacing w:val="-11"/>
          <w:w w:val="105"/>
        </w:rPr>
        <w:t> </w:t>
      </w:r>
      <w:r>
        <w:rPr>
          <w:color w:val="231F20"/>
          <w:spacing w:val="-3"/>
          <w:w w:val="105"/>
        </w:rPr>
        <w:t>-1.83, </w:t>
      </w:r>
      <w:r>
        <w:rPr>
          <w:color w:val="231F20"/>
          <w:w w:val="105"/>
        </w:rPr>
        <w:t>un</w:t>
      </w:r>
      <w:r>
        <w:rPr>
          <w:color w:val="231F20"/>
          <w:spacing w:val="-14"/>
          <w:w w:val="105"/>
        </w:rPr>
        <w:t> </w:t>
      </w:r>
      <w:r>
        <w:rPr>
          <w:color w:val="231F20"/>
          <w:w w:val="105"/>
        </w:rPr>
        <w:t>grado</w:t>
      </w:r>
      <w:r>
        <w:rPr>
          <w:color w:val="231F20"/>
          <w:spacing w:val="-14"/>
          <w:w w:val="105"/>
        </w:rPr>
        <w:t> </w:t>
      </w:r>
      <w:r>
        <w:rPr>
          <w:color w:val="231F20"/>
          <w:w w:val="105"/>
        </w:rPr>
        <w:t>muy</w:t>
      </w:r>
      <w:r>
        <w:rPr>
          <w:color w:val="231F20"/>
          <w:spacing w:val="-14"/>
          <w:w w:val="105"/>
        </w:rPr>
        <w:t> </w:t>
      </w:r>
      <w:r>
        <w:rPr>
          <w:color w:val="231F20"/>
          <w:w w:val="105"/>
        </w:rPr>
        <w:t>bajo,</w:t>
      </w:r>
      <w:r>
        <w:rPr>
          <w:color w:val="231F20"/>
          <w:spacing w:val="-14"/>
          <w:w w:val="105"/>
        </w:rPr>
        <w:t> </w:t>
      </w:r>
      <w:r>
        <w:rPr>
          <w:color w:val="231F20"/>
          <w:spacing w:val="-2"/>
          <w:w w:val="105"/>
        </w:rPr>
        <w:t>siendo</w:t>
      </w:r>
      <w:r>
        <w:rPr>
          <w:color w:val="231F20"/>
          <w:spacing w:val="-14"/>
          <w:w w:val="105"/>
        </w:rPr>
        <w:t> </w:t>
      </w:r>
      <w:r>
        <w:rPr>
          <w:color w:val="231F20"/>
          <w:w w:val="105"/>
        </w:rPr>
        <w:t>el</w:t>
      </w:r>
      <w:r>
        <w:rPr>
          <w:color w:val="231F20"/>
          <w:spacing w:val="-14"/>
          <w:w w:val="105"/>
        </w:rPr>
        <w:t> </w:t>
      </w:r>
      <w:r>
        <w:rPr>
          <w:color w:val="231F20"/>
          <w:w w:val="105"/>
        </w:rPr>
        <w:t>número</w:t>
      </w:r>
      <w:r>
        <w:rPr>
          <w:color w:val="231F20"/>
          <w:spacing w:val="-14"/>
          <w:w w:val="105"/>
        </w:rPr>
        <w:t> </w:t>
      </w:r>
      <w:r>
        <w:rPr>
          <w:color w:val="231F20"/>
          <w:spacing w:val="-5"/>
          <w:w w:val="105"/>
        </w:rPr>
        <w:t>119</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estatal.</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0480;mso-wrap-distance-left:0;mso-wrap-distance-right:0" from="42.519699pt,17.303835pt" to="330.519699pt,17.303835pt" stroked="true" strokeweight="1pt" strokecolor="#231f20">
            <w10:wrap type="topAndBottom"/>
          </v:line>
        </w:pict>
      </w:r>
    </w:p>
    <w:p>
      <w:pPr>
        <w:spacing w:line="244" w:lineRule="auto" w:before="8"/>
        <w:ind w:left="110" w:right="108" w:firstLine="0"/>
        <w:jc w:val="both"/>
        <w:rPr>
          <w:rFonts w:ascii="Calibri" w:hAnsi="Calibri"/>
          <w:sz w:val="16"/>
        </w:rPr>
      </w:pPr>
      <w:r>
        <w:rPr>
          <w:rFonts w:ascii="Calibri" w:hAnsi="Calibri"/>
          <w:color w:val="231F20"/>
          <w:sz w:val="16"/>
        </w:rPr>
        <w:t>“La</w:t>
      </w:r>
      <w:r>
        <w:rPr>
          <w:rFonts w:ascii="Calibri" w:hAnsi="Calibri"/>
          <w:color w:val="231F20"/>
          <w:spacing w:val="-6"/>
          <w:sz w:val="16"/>
        </w:rPr>
        <w:t> </w:t>
      </w:r>
      <w:r>
        <w:rPr>
          <w:rFonts w:ascii="Calibri" w:hAnsi="Calibri"/>
          <w:color w:val="231F20"/>
          <w:sz w:val="16"/>
        </w:rPr>
        <w:t>mayor</w:t>
      </w:r>
      <w:r>
        <w:rPr>
          <w:rFonts w:ascii="Calibri" w:hAnsi="Calibri"/>
          <w:color w:val="231F20"/>
          <w:spacing w:val="-6"/>
          <w:sz w:val="16"/>
        </w:rPr>
        <w:t> </w:t>
      </w:r>
      <w:r>
        <w:rPr>
          <w:rFonts w:ascii="Calibri" w:hAnsi="Calibri"/>
          <w:color w:val="231F20"/>
          <w:sz w:val="16"/>
        </w:rPr>
        <w:t>concentración</w:t>
      </w:r>
      <w:r>
        <w:rPr>
          <w:rFonts w:ascii="Calibri" w:hAnsi="Calibri"/>
          <w:color w:val="231F20"/>
          <w:spacing w:val="-6"/>
          <w:sz w:val="16"/>
        </w:rPr>
        <w:t> </w:t>
      </w:r>
      <w:r>
        <w:rPr>
          <w:rFonts w:ascii="Calibri" w:hAnsi="Calibri"/>
          <w:color w:val="231F20"/>
          <w:sz w:val="16"/>
        </w:rPr>
        <w:t>de</w:t>
      </w:r>
      <w:r>
        <w:rPr>
          <w:rFonts w:ascii="Calibri" w:hAnsi="Calibri"/>
          <w:color w:val="231F20"/>
          <w:spacing w:val="-6"/>
          <w:sz w:val="16"/>
        </w:rPr>
        <w:t> </w:t>
      </w:r>
      <w:r>
        <w:rPr>
          <w:rFonts w:ascii="Calibri" w:hAnsi="Calibri"/>
          <w:color w:val="231F20"/>
          <w:sz w:val="16"/>
        </w:rPr>
        <w:t>la</w:t>
      </w:r>
      <w:r>
        <w:rPr>
          <w:rFonts w:ascii="Calibri" w:hAnsi="Calibri"/>
          <w:color w:val="231F20"/>
          <w:spacing w:val="-6"/>
          <w:sz w:val="16"/>
        </w:rPr>
        <w:t> </w:t>
      </w:r>
      <w:r>
        <w:rPr>
          <w:rFonts w:ascii="Calibri" w:hAnsi="Calibri"/>
          <w:color w:val="231F20"/>
          <w:sz w:val="16"/>
        </w:rPr>
        <w:t>actividad</w:t>
      </w:r>
      <w:r>
        <w:rPr>
          <w:rFonts w:ascii="Calibri" w:hAnsi="Calibri"/>
          <w:color w:val="231F20"/>
          <w:spacing w:val="-6"/>
          <w:sz w:val="16"/>
        </w:rPr>
        <w:t> </w:t>
      </w:r>
      <w:r>
        <w:rPr>
          <w:rFonts w:ascii="Calibri" w:hAnsi="Calibri"/>
          <w:color w:val="231F20"/>
          <w:sz w:val="16"/>
        </w:rPr>
        <w:t>moderna,</w:t>
      </w:r>
      <w:r>
        <w:rPr>
          <w:rFonts w:ascii="Calibri" w:hAnsi="Calibri"/>
          <w:color w:val="231F20"/>
          <w:spacing w:val="-6"/>
          <w:sz w:val="16"/>
        </w:rPr>
        <w:t> </w:t>
      </w:r>
      <w:r>
        <w:rPr>
          <w:rFonts w:ascii="Calibri" w:hAnsi="Calibri"/>
          <w:color w:val="231F20"/>
          <w:sz w:val="16"/>
        </w:rPr>
        <w:t>de</w:t>
      </w:r>
      <w:r>
        <w:rPr>
          <w:rFonts w:ascii="Calibri" w:hAnsi="Calibri"/>
          <w:color w:val="231F20"/>
          <w:spacing w:val="-6"/>
          <w:sz w:val="16"/>
        </w:rPr>
        <w:t> </w:t>
      </w:r>
      <w:r>
        <w:rPr>
          <w:rFonts w:ascii="Calibri" w:hAnsi="Calibri"/>
          <w:color w:val="231F20"/>
          <w:sz w:val="16"/>
        </w:rPr>
        <w:t>proximidades</w:t>
      </w:r>
      <w:r>
        <w:rPr>
          <w:rFonts w:ascii="Calibri" w:hAnsi="Calibri"/>
          <w:color w:val="231F20"/>
          <w:spacing w:val="-6"/>
          <w:sz w:val="16"/>
        </w:rPr>
        <w:t> </w:t>
      </w:r>
      <w:r>
        <w:rPr>
          <w:rFonts w:ascii="Calibri" w:hAnsi="Calibri"/>
          <w:color w:val="231F20"/>
          <w:sz w:val="16"/>
        </w:rPr>
        <w:t>económicas</w:t>
      </w:r>
      <w:r>
        <w:rPr>
          <w:rFonts w:ascii="Calibri" w:hAnsi="Calibri"/>
          <w:color w:val="231F20"/>
          <w:spacing w:val="-6"/>
          <w:sz w:val="16"/>
        </w:rPr>
        <w:t> </w:t>
      </w:r>
      <w:r>
        <w:rPr>
          <w:rFonts w:ascii="Calibri" w:hAnsi="Calibri"/>
          <w:color w:val="231F20"/>
          <w:sz w:val="16"/>
        </w:rPr>
        <w:t>y</w:t>
      </w:r>
      <w:r>
        <w:rPr>
          <w:rFonts w:ascii="Calibri" w:hAnsi="Calibri"/>
          <w:color w:val="231F20"/>
          <w:spacing w:val="-6"/>
          <w:sz w:val="16"/>
        </w:rPr>
        <w:t> </w:t>
      </w:r>
      <w:r>
        <w:rPr>
          <w:rFonts w:ascii="Calibri" w:hAnsi="Calibri"/>
          <w:color w:val="231F20"/>
          <w:sz w:val="16"/>
        </w:rPr>
        <w:t>el</w:t>
      </w:r>
      <w:r>
        <w:rPr>
          <w:rFonts w:ascii="Calibri" w:hAnsi="Calibri"/>
          <w:color w:val="231F20"/>
          <w:spacing w:val="-6"/>
          <w:sz w:val="16"/>
        </w:rPr>
        <w:t> </w:t>
      </w:r>
      <w:r>
        <w:rPr>
          <w:rFonts w:ascii="Calibri" w:hAnsi="Calibri"/>
          <w:color w:val="231F20"/>
          <w:sz w:val="16"/>
        </w:rPr>
        <w:t>alcance</w:t>
      </w:r>
      <w:r>
        <w:rPr>
          <w:rFonts w:ascii="Calibri" w:hAnsi="Calibri"/>
          <w:color w:val="231F20"/>
          <w:spacing w:val="-6"/>
          <w:sz w:val="16"/>
        </w:rPr>
        <w:t> </w:t>
      </w:r>
      <w:r>
        <w:rPr>
          <w:rFonts w:ascii="Calibri" w:hAnsi="Calibri"/>
          <w:color w:val="231F20"/>
          <w:sz w:val="16"/>
        </w:rPr>
        <w:t>del</w:t>
      </w:r>
      <w:r>
        <w:rPr>
          <w:rFonts w:ascii="Calibri" w:hAnsi="Calibri"/>
          <w:color w:val="231F20"/>
          <w:spacing w:val="-6"/>
          <w:sz w:val="16"/>
        </w:rPr>
        <w:t> </w:t>
      </w:r>
      <w:r>
        <w:rPr>
          <w:rFonts w:ascii="Calibri" w:hAnsi="Calibri"/>
          <w:color w:val="231F20"/>
          <w:sz w:val="16"/>
        </w:rPr>
        <w:t>mercado</w:t>
      </w:r>
      <w:r>
        <w:rPr>
          <w:rFonts w:ascii="Calibri" w:hAnsi="Calibri"/>
          <w:color w:val="231F20"/>
          <w:spacing w:val="-6"/>
          <w:sz w:val="16"/>
        </w:rPr>
        <w:t> </w:t>
      </w:r>
      <w:r>
        <w:rPr>
          <w:rFonts w:ascii="Calibri" w:hAnsi="Calibri"/>
          <w:color w:val="231F20"/>
          <w:sz w:val="16"/>
        </w:rPr>
        <w:t>de</w:t>
      </w:r>
      <w:r>
        <w:rPr>
          <w:rFonts w:ascii="Calibri" w:hAnsi="Calibri"/>
          <w:color w:val="231F20"/>
          <w:spacing w:val="-6"/>
          <w:sz w:val="16"/>
        </w:rPr>
        <w:t> </w:t>
      </w:r>
      <w:r>
        <w:rPr>
          <w:rFonts w:ascii="Calibri" w:hAnsi="Calibri"/>
          <w:color w:val="231F20"/>
          <w:sz w:val="16"/>
        </w:rPr>
        <w:t>consumidores de</w:t>
      </w:r>
      <w:r>
        <w:rPr>
          <w:rFonts w:ascii="Calibri" w:hAnsi="Calibri"/>
          <w:color w:val="231F20"/>
          <w:spacing w:val="-11"/>
          <w:sz w:val="16"/>
        </w:rPr>
        <w:t> </w:t>
      </w:r>
      <w:r>
        <w:rPr>
          <w:rFonts w:ascii="Calibri" w:hAnsi="Calibri"/>
          <w:color w:val="231F20"/>
          <w:sz w:val="16"/>
        </w:rPr>
        <w:t>todos</w:t>
      </w:r>
      <w:r>
        <w:rPr>
          <w:rFonts w:ascii="Calibri" w:hAnsi="Calibri"/>
          <w:color w:val="231F20"/>
          <w:spacing w:val="-11"/>
          <w:sz w:val="16"/>
        </w:rPr>
        <w:t> </w:t>
      </w:r>
      <w:r>
        <w:rPr>
          <w:rFonts w:ascii="Calibri" w:hAnsi="Calibri"/>
          <w:color w:val="231F20"/>
          <w:sz w:val="16"/>
        </w:rPr>
        <w:t>los</w:t>
      </w:r>
      <w:r>
        <w:rPr>
          <w:rFonts w:ascii="Calibri" w:hAnsi="Calibri"/>
          <w:color w:val="231F20"/>
          <w:spacing w:val="-11"/>
          <w:sz w:val="16"/>
        </w:rPr>
        <w:t> </w:t>
      </w:r>
      <w:r>
        <w:rPr>
          <w:rFonts w:ascii="Calibri" w:hAnsi="Calibri"/>
          <w:color w:val="231F20"/>
          <w:sz w:val="16"/>
        </w:rPr>
        <w:t>niveles</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ingreso,</w:t>
      </w:r>
      <w:r>
        <w:rPr>
          <w:rFonts w:ascii="Calibri" w:hAnsi="Calibri"/>
          <w:color w:val="231F20"/>
          <w:spacing w:val="-11"/>
          <w:sz w:val="16"/>
        </w:rPr>
        <w:t> </w:t>
      </w:r>
      <w:r>
        <w:rPr>
          <w:rFonts w:ascii="Calibri" w:hAnsi="Calibri"/>
          <w:color w:val="231F20"/>
          <w:sz w:val="16"/>
        </w:rPr>
        <w:t>han</w:t>
      </w:r>
      <w:r>
        <w:rPr>
          <w:rFonts w:ascii="Calibri" w:hAnsi="Calibri"/>
          <w:color w:val="231F20"/>
          <w:spacing w:val="-11"/>
          <w:sz w:val="16"/>
        </w:rPr>
        <w:t> </w:t>
      </w:r>
      <w:r>
        <w:rPr>
          <w:rFonts w:ascii="Calibri" w:hAnsi="Calibri"/>
          <w:color w:val="231F20"/>
          <w:sz w:val="16"/>
        </w:rPr>
        <w:t>dotado</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diversificación</w:t>
      </w:r>
      <w:r>
        <w:rPr>
          <w:rFonts w:ascii="Calibri" w:hAnsi="Calibri"/>
          <w:color w:val="231F20"/>
          <w:spacing w:val="-11"/>
          <w:sz w:val="16"/>
        </w:rPr>
        <w:t> </w:t>
      </w:r>
      <w:r>
        <w:rPr>
          <w:rFonts w:ascii="Calibri" w:hAnsi="Calibri"/>
          <w:color w:val="231F20"/>
          <w:sz w:val="16"/>
        </w:rPr>
        <w:t>a</w:t>
      </w:r>
      <w:r>
        <w:rPr>
          <w:rFonts w:ascii="Calibri" w:hAnsi="Calibri"/>
          <w:color w:val="231F20"/>
          <w:spacing w:val="-11"/>
          <w:sz w:val="16"/>
        </w:rPr>
        <w:t> </w:t>
      </w:r>
      <w:r>
        <w:rPr>
          <w:rFonts w:ascii="Calibri" w:hAnsi="Calibri"/>
          <w:color w:val="231F20"/>
          <w:sz w:val="16"/>
        </w:rPr>
        <w:t>las</w:t>
      </w:r>
      <w:r>
        <w:rPr>
          <w:rFonts w:ascii="Calibri" w:hAnsi="Calibri"/>
          <w:color w:val="231F20"/>
          <w:spacing w:val="-11"/>
          <w:sz w:val="16"/>
        </w:rPr>
        <w:t> </w:t>
      </w:r>
      <w:r>
        <w:rPr>
          <w:rFonts w:ascii="Calibri" w:hAnsi="Calibri"/>
          <w:color w:val="231F20"/>
          <w:sz w:val="16"/>
        </w:rPr>
        <w:t>periferias</w:t>
      </w:r>
      <w:r>
        <w:rPr>
          <w:rFonts w:ascii="Calibri" w:hAnsi="Calibri"/>
          <w:color w:val="231F20"/>
          <w:spacing w:val="-11"/>
          <w:sz w:val="16"/>
        </w:rPr>
        <w:t> </w:t>
      </w:r>
      <w:r>
        <w:rPr>
          <w:rFonts w:ascii="Calibri" w:hAnsi="Calibri"/>
          <w:color w:val="231F20"/>
          <w:sz w:val="16"/>
        </w:rPr>
        <w:t>poniente</w:t>
      </w:r>
      <w:r>
        <w:rPr>
          <w:rFonts w:ascii="Calibri" w:hAnsi="Calibri"/>
          <w:color w:val="231F20"/>
          <w:spacing w:val="-11"/>
          <w:sz w:val="16"/>
        </w:rPr>
        <w:t> </w:t>
      </w:r>
      <w:r>
        <w:rPr>
          <w:rFonts w:ascii="Calibri" w:hAnsi="Calibri"/>
          <w:color w:val="231F20"/>
          <w:sz w:val="16"/>
        </w:rPr>
        <w:t>y</w:t>
      </w:r>
      <w:r>
        <w:rPr>
          <w:rFonts w:ascii="Calibri" w:hAnsi="Calibri"/>
          <w:color w:val="231F20"/>
          <w:spacing w:val="-11"/>
          <w:sz w:val="16"/>
        </w:rPr>
        <w:t> </w:t>
      </w:r>
      <w:r>
        <w:rPr>
          <w:rFonts w:ascii="Calibri" w:hAnsi="Calibri"/>
          <w:color w:val="231F20"/>
          <w:sz w:val="16"/>
        </w:rPr>
        <w:t>centro</w:t>
      </w:r>
      <w:r>
        <w:rPr>
          <w:rFonts w:ascii="Calibri" w:hAnsi="Calibri"/>
          <w:color w:val="231F20"/>
          <w:spacing w:val="-11"/>
          <w:sz w:val="16"/>
        </w:rPr>
        <w:t> </w:t>
      </w:r>
      <w:r>
        <w:rPr>
          <w:rFonts w:ascii="Calibri" w:hAnsi="Calibri"/>
          <w:color w:val="231F20"/>
          <w:sz w:val="16"/>
        </w:rPr>
        <w:t>nororiente,</w:t>
      </w:r>
      <w:r>
        <w:rPr>
          <w:rFonts w:ascii="Calibri" w:hAnsi="Calibri"/>
          <w:color w:val="231F20"/>
          <w:spacing w:val="-11"/>
          <w:sz w:val="16"/>
        </w:rPr>
        <w:t> </w:t>
      </w:r>
      <w:r>
        <w:rPr>
          <w:rFonts w:ascii="Calibri" w:hAnsi="Calibri"/>
          <w:color w:val="231F20"/>
          <w:sz w:val="16"/>
        </w:rPr>
        <w:t>principalmente</w:t>
      </w:r>
      <w:r>
        <w:rPr>
          <w:rFonts w:ascii="Calibri" w:hAnsi="Calibri"/>
          <w:color w:val="231F20"/>
          <w:spacing w:val="-11"/>
          <w:sz w:val="16"/>
        </w:rPr>
        <w:t> </w:t>
      </w:r>
      <w:r>
        <w:rPr>
          <w:rFonts w:ascii="Calibri" w:hAnsi="Calibri"/>
          <w:color w:val="231F20"/>
          <w:sz w:val="16"/>
        </w:rPr>
        <w:t>al primer</w:t>
      </w:r>
      <w:r>
        <w:rPr>
          <w:rFonts w:ascii="Calibri" w:hAnsi="Calibri"/>
          <w:color w:val="231F20"/>
          <w:spacing w:val="-7"/>
          <w:sz w:val="16"/>
        </w:rPr>
        <w:t> </w:t>
      </w:r>
      <w:r>
        <w:rPr>
          <w:rFonts w:ascii="Calibri" w:hAnsi="Calibri"/>
          <w:color w:val="231F20"/>
          <w:sz w:val="16"/>
        </w:rPr>
        <w:t>grupo</w:t>
      </w:r>
      <w:r>
        <w:rPr>
          <w:rFonts w:ascii="Calibri" w:hAnsi="Calibri"/>
          <w:color w:val="231F20"/>
          <w:spacing w:val="-7"/>
          <w:sz w:val="16"/>
        </w:rPr>
        <w:t> </w:t>
      </w:r>
      <w:r>
        <w:rPr>
          <w:rFonts w:ascii="Calibri" w:hAnsi="Calibri"/>
          <w:color w:val="231F20"/>
          <w:sz w:val="16"/>
        </w:rPr>
        <w:t>(los</w:t>
      </w:r>
      <w:r>
        <w:rPr>
          <w:rFonts w:ascii="Calibri" w:hAnsi="Calibri"/>
          <w:color w:val="231F20"/>
          <w:spacing w:val="-7"/>
          <w:sz w:val="16"/>
        </w:rPr>
        <w:t> </w:t>
      </w:r>
      <w:r>
        <w:rPr>
          <w:rFonts w:ascii="Calibri" w:hAnsi="Calibri"/>
          <w:color w:val="231F20"/>
          <w:sz w:val="16"/>
        </w:rPr>
        <w:t>municipios</w:t>
      </w:r>
      <w:r>
        <w:rPr>
          <w:rFonts w:ascii="Calibri" w:hAnsi="Calibri"/>
          <w:color w:val="231F20"/>
          <w:spacing w:val="-7"/>
          <w:sz w:val="16"/>
        </w:rPr>
        <w:t> </w:t>
      </w:r>
      <w:r>
        <w:rPr>
          <w:rFonts w:ascii="Calibri" w:hAnsi="Calibri"/>
          <w:color w:val="231F20"/>
          <w:sz w:val="16"/>
        </w:rPr>
        <w:t>de</w:t>
      </w:r>
      <w:r>
        <w:rPr>
          <w:rFonts w:ascii="Calibri" w:hAnsi="Calibri"/>
          <w:color w:val="231F20"/>
          <w:spacing w:val="-7"/>
          <w:sz w:val="16"/>
        </w:rPr>
        <w:t> </w:t>
      </w:r>
      <w:r>
        <w:rPr>
          <w:rFonts w:ascii="Calibri" w:hAnsi="Calibri"/>
          <w:color w:val="231F20"/>
          <w:sz w:val="16"/>
        </w:rPr>
        <w:t>Cuautitlán</w:t>
      </w:r>
      <w:r>
        <w:rPr>
          <w:rFonts w:ascii="Calibri" w:hAnsi="Calibri"/>
          <w:color w:val="231F20"/>
          <w:spacing w:val="-7"/>
          <w:sz w:val="16"/>
        </w:rPr>
        <w:t> </w:t>
      </w:r>
      <w:r>
        <w:rPr>
          <w:rFonts w:ascii="Calibri" w:hAnsi="Calibri"/>
          <w:color w:val="231F20"/>
          <w:sz w:val="16"/>
        </w:rPr>
        <w:t>Izcalli,</w:t>
      </w:r>
      <w:r>
        <w:rPr>
          <w:rFonts w:ascii="Calibri" w:hAnsi="Calibri"/>
          <w:color w:val="231F20"/>
          <w:spacing w:val="-7"/>
          <w:sz w:val="16"/>
        </w:rPr>
        <w:t> </w:t>
      </w:r>
      <w:r>
        <w:rPr>
          <w:rFonts w:ascii="Calibri" w:hAnsi="Calibri"/>
          <w:color w:val="231F20"/>
          <w:sz w:val="16"/>
        </w:rPr>
        <w:t>Naucalpan,</w:t>
      </w:r>
      <w:r>
        <w:rPr>
          <w:rFonts w:ascii="Calibri" w:hAnsi="Calibri"/>
          <w:color w:val="231F20"/>
          <w:spacing w:val="-7"/>
          <w:sz w:val="16"/>
        </w:rPr>
        <w:t> </w:t>
      </w:r>
      <w:r>
        <w:rPr>
          <w:rFonts w:ascii="Calibri" w:hAnsi="Calibri"/>
          <w:color w:val="231F20"/>
          <w:sz w:val="16"/>
        </w:rPr>
        <w:t>Tlalnepantla</w:t>
      </w:r>
      <w:r>
        <w:rPr>
          <w:rFonts w:ascii="Calibri" w:hAnsi="Calibri"/>
          <w:color w:val="231F20"/>
          <w:spacing w:val="-7"/>
          <w:sz w:val="16"/>
        </w:rPr>
        <w:t> </w:t>
      </w:r>
      <w:r>
        <w:rPr>
          <w:rFonts w:ascii="Calibri" w:hAnsi="Calibri"/>
          <w:color w:val="231F20"/>
          <w:sz w:val="16"/>
        </w:rPr>
        <w:t>y</w:t>
      </w:r>
      <w:r>
        <w:rPr>
          <w:rFonts w:ascii="Calibri" w:hAnsi="Calibri"/>
          <w:color w:val="231F20"/>
          <w:spacing w:val="-7"/>
          <w:sz w:val="16"/>
        </w:rPr>
        <w:t> </w:t>
      </w:r>
      <w:r>
        <w:rPr>
          <w:rFonts w:ascii="Calibri" w:hAnsi="Calibri"/>
          <w:color w:val="231F20"/>
          <w:sz w:val="16"/>
        </w:rPr>
        <w:t>Huixquilucan</w:t>
      </w:r>
      <w:r>
        <w:rPr>
          <w:rFonts w:ascii="Calibri" w:hAnsi="Calibri"/>
          <w:color w:val="231F20"/>
          <w:spacing w:val="-7"/>
          <w:sz w:val="16"/>
        </w:rPr>
        <w:t> </w:t>
      </w:r>
      <w:r>
        <w:rPr>
          <w:rFonts w:ascii="Calibri" w:hAnsi="Calibri"/>
          <w:color w:val="231F20"/>
          <w:sz w:val="16"/>
        </w:rPr>
        <w:t>y</w:t>
      </w:r>
      <w:r>
        <w:rPr>
          <w:rFonts w:ascii="Calibri" w:hAnsi="Calibri"/>
          <w:color w:val="231F20"/>
          <w:spacing w:val="-7"/>
          <w:sz w:val="16"/>
        </w:rPr>
        <w:t> </w:t>
      </w:r>
      <w:r>
        <w:rPr>
          <w:rFonts w:ascii="Calibri" w:hAnsi="Calibri"/>
          <w:color w:val="231F20"/>
          <w:sz w:val="16"/>
        </w:rPr>
        <w:t>luego</w:t>
      </w:r>
      <w:r>
        <w:rPr>
          <w:rFonts w:ascii="Calibri" w:hAnsi="Calibri"/>
          <w:color w:val="231F20"/>
          <w:spacing w:val="-7"/>
          <w:sz w:val="16"/>
        </w:rPr>
        <w:t> </w:t>
      </w:r>
      <w:r>
        <w:rPr>
          <w:rFonts w:ascii="Calibri" w:hAnsi="Calibri"/>
          <w:color w:val="231F20"/>
          <w:sz w:val="16"/>
        </w:rPr>
        <w:t>a</w:t>
      </w:r>
      <w:r>
        <w:rPr>
          <w:rFonts w:ascii="Calibri" w:hAnsi="Calibri"/>
          <w:color w:val="231F20"/>
          <w:spacing w:val="-7"/>
          <w:sz w:val="16"/>
        </w:rPr>
        <w:t> </w:t>
      </w:r>
      <w:r>
        <w:rPr>
          <w:rFonts w:ascii="Calibri" w:hAnsi="Calibri"/>
          <w:color w:val="231F20"/>
          <w:sz w:val="16"/>
        </w:rPr>
        <w:t>Ecatepec,</w:t>
      </w:r>
      <w:r>
        <w:rPr>
          <w:rFonts w:ascii="Calibri" w:hAnsi="Calibri"/>
          <w:color w:val="231F20"/>
          <w:spacing w:val="-7"/>
          <w:sz w:val="16"/>
        </w:rPr>
        <w:t> </w:t>
      </w:r>
      <w:r>
        <w:rPr>
          <w:rFonts w:ascii="Calibri" w:hAnsi="Calibri"/>
          <w:color w:val="231F20"/>
          <w:sz w:val="16"/>
        </w:rPr>
        <w:t>Coacalco</w:t>
      </w:r>
      <w:r>
        <w:rPr>
          <w:rFonts w:ascii="Calibri" w:hAnsi="Calibri"/>
          <w:color w:val="231F20"/>
          <w:spacing w:val="-7"/>
          <w:sz w:val="16"/>
        </w:rPr>
        <w:t> </w:t>
      </w:r>
      <w:r>
        <w:rPr>
          <w:rFonts w:ascii="Calibri" w:hAnsi="Calibri"/>
          <w:color w:val="231F20"/>
          <w:sz w:val="16"/>
        </w:rPr>
        <w:t>y</w:t>
      </w:r>
      <w:r>
        <w:rPr>
          <w:rFonts w:ascii="Calibri" w:hAnsi="Calibri"/>
          <w:color w:val="231F20"/>
          <w:spacing w:val="-7"/>
          <w:sz w:val="16"/>
        </w:rPr>
        <w:t> </w:t>
      </w:r>
      <w:r>
        <w:rPr>
          <w:rFonts w:ascii="Calibri" w:hAnsi="Calibri"/>
          <w:color w:val="231F20"/>
          <w:sz w:val="16"/>
        </w:rPr>
        <w:t>en parte</w:t>
      </w:r>
      <w:r>
        <w:rPr>
          <w:rFonts w:ascii="Calibri" w:hAnsi="Calibri"/>
          <w:color w:val="231F20"/>
          <w:spacing w:val="-11"/>
          <w:sz w:val="16"/>
        </w:rPr>
        <w:t> </w:t>
      </w:r>
      <w:r>
        <w:rPr>
          <w:rFonts w:ascii="Calibri" w:hAnsi="Calibri"/>
          <w:color w:val="231F20"/>
          <w:sz w:val="16"/>
        </w:rPr>
        <w:t>Nezahualcóyotl),</w:t>
      </w:r>
      <w:r>
        <w:rPr>
          <w:rFonts w:ascii="Calibri" w:hAnsi="Calibri"/>
          <w:color w:val="231F20"/>
          <w:spacing w:val="-11"/>
          <w:sz w:val="16"/>
        </w:rPr>
        <w:t> </w:t>
      </w:r>
      <w:r>
        <w:rPr>
          <w:rFonts w:ascii="Calibri" w:hAnsi="Calibri"/>
          <w:color w:val="231F20"/>
          <w:sz w:val="16"/>
        </w:rPr>
        <w:t>lo</w:t>
      </w:r>
      <w:r>
        <w:rPr>
          <w:rFonts w:ascii="Calibri" w:hAnsi="Calibri"/>
          <w:color w:val="231F20"/>
          <w:spacing w:val="-11"/>
          <w:sz w:val="16"/>
        </w:rPr>
        <w:t> </w:t>
      </w:r>
      <w:r>
        <w:rPr>
          <w:rFonts w:ascii="Calibri" w:hAnsi="Calibri"/>
          <w:color w:val="231F20"/>
          <w:sz w:val="16"/>
        </w:rPr>
        <w:t>cual</w:t>
      </w:r>
      <w:r>
        <w:rPr>
          <w:rFonts w:ascii="Calibri" w:hAnsi="Calibri"/>
          <w:color w:val="231F20"/>
          <w:spacing w:val="-11"/>
          <w:sz w:val="16"/>
        </w:rPr>
        <w:t> </w:t>
      </w:r>
      <w:r>
        <w:rPr>
          <w:rFonts w:ascii="Calibri" w:hAnsi="Calibri"/>
          <w:color w:val="231F20"/>
          <w:sz w:val="16"/>
        </w:rPr>
        <w:t>constituye</w:t>
      </w:r>
      <w:r>
        <w:rPr>
          <w:rFonts w:ascii="Calibri" w:hAnsi="Calibri"/>
          <w:color w:val="231F20"/>
          <w:spacing w:val="-11"/>
          <w:sz w:val="16"/>
        </w:rPr>
        <w:t> </w:t>
      </w:r>
      <w:r>
        <w:rPr>
          <w:rFonts w:ascii="Calibri" w:hAnsi="Calibri"/>
          <w:color w:val="231F20"/>
          <w:sz w:val="16"/>
        </w:rPr>
        <w:t>una</w:t>
      </w:r>
      <w:r>
        <w:rPr>
          <w:rFonts w:ascii="Calibri" w:hAnsi="Calibri"/>
          <w:color w:val="231F20"/>
          <w:spacing w:val="-11"/>
          <w:sz w:val="16"/>
        </w:rPr>
        <w:t> </w:t>
      </w:r>
      <w:r>
        <w:rPr>
          <w:rFonts w:ascii="Calibri" w:hAnsi="Calibri"/>
          <w:color w:val="231F20"/>
          <w:sz w:val="16"/>
        </w:rPr>
        <w:t>mercado</w:t>
      </w:r>
      <w:r>
        <w:rPr>
          <w:rFonts w:ascii="Calibri" w:hAnsi="Calibri"/>
          <w:color w:val="231F20"/>
          <w:spacing w:val="-11"/>
          <w:sz w:val="16"/>
        </w:rPr>
        <w:t> </w:t>
      </w:r>
      <w:r>
        <w:rPr>
          <w:rFonts w:ascii="Calibri" w:hAnsi="Calibri"/>
          <w:color w:val="231F20"/>
          <w:sz w:val="16"/>
        </w:rPr>
        <w:t>regional</w:t>
      </w:r>
      <w:r>
        <w:rPr>
          <w:rFonts w:ascii="Calibri" w:hAnsi="Calibri"/>
          <w:color w:val="231F20"/>
          <w:spacing w:val="-11"/>
          <w:sz w:val="16"/>
        </w:rPr>
        <w:t> </w:t>
      </w:r>
      <w:r>
        <w:rPr>
          <w:rFonts w:ascii="Calibri" w:hAnsi="Calibri"/>
          <w:color w:val="231F20"/>
          <w:sz w:val="16"/>
        </w:rPr>
        <w:t>periférico,</w:t>
      </w:r>
      <w:r>
        <w:rPr>
          <w:rFonts w:ascii="Calibri" w:hAnsi="Calibri"/>
          <w:color w:val="231F20"/>
          <w:spacing w:val="-11"/>
          <w:sz w:val="16"/>
        </w:rPr>
        <w:t> </w:t>
      </w:r>
      <w:r>
        <w:rPr>
          <w:rFonts w:ascii="Calibri" w:hAnsi="Calibri"/>
          <w:color w:val="231F20"/>
          <w:sz w:val="16"/>
        </w:rPr>
        <w:t>ello</w:t>
      </w:r>
      <w:r>
        <w:rPr>
          <w:rFonts w:ascii="Calibri" w:hAnsi="Calibri"/>
          <w:color w:val="231F20"/>
          <w:spacing w:val="-11"/>
          <w:sz w:val="16"/>
        </w:rPr>
        <w:t> </w:t>
      </w:r>
      <w:r>
        <w:rPr>
          <w:rFonts w:ascii="Calibri" w:hAnsi="Calibri"/>
          <w:color w:val="231F20"/>
          <w:sz w:val="16"/>
        </w:rPr>
        <w:t>facilitado</w:t>
      </w:r>
      <w:r>
        <w:rPr>
          <w:rFonts w:ascii="Calibri" w:hAnsi="Calibri"/>
          <w:color w:val="231F20"/>
          <w:spacing w:val="-11"/>
          <w:sz w:val="16"/>
        </w:rPr>
        <w:t> </w:t>
      </w:r>
      <w:r>
        <w:rPr>
          <w:rFonts w:ascii="Calibri" w:hAnsi="Calibri"/>
          <w:color w:val="231F20"/>
          <w:sz w:val="16"/>
        </w:rPr>
        <w:t>por</w:t>
      </w:r>
      <w:r>
        <w:rPr>
          <w:rFonts w:ascii="Calibri" w:hAnsi="Calibri"/>
          <w:color w:val="231F20"/>
          <w:spacing w:val="-11"/>
          <w:sz w:val="16"/>
        </w:rPr>
        <w:t> </w:t>
      </w:r>
      <w:r>
        <w:rPr>
          <w:rFonts w:ascii="Calibri" w:hAnsi="Calibri"/>
          <w:color w:val="231F20"/>
          <w:sz w:val="16"/>
        </w:rPr>
        <w:t>la</w:t>
      </w:r>
      <w:r>
        <w:rPr>
          <w:rFonts w:ascii="Calibri" w:hAnsi="Calibri"/>
          <w:color w:val="231F20"/>
          <w:spacing w:val="-11"/>
          <w:sz w:val="16"/>
        </w:rPr>
        <w:t> </w:t>
      </w:r>
      <w:r>
        <w:rPr>
          <w:rFonts w:ascii="Calibri" w:hAnsi="Calibri"/>
          <w:color w:val="231F20"/>
          <w:sz w:val="16"/>
        </w:rPr>
        <w:t>buena</w:t>
      </w:r>
      <w:r>
        <w:rPr>
          <w:rFonts w:ascii="Calibri" w:hAnsi="Calibri"/>
          <w:color w:val="231F20"/>
          <w:spacing w:val="-11"/>
          <w:sz w:val="16"/>
        </w:rPr>
        <w:t> </w:t>
      </w:r>
      <w:r>
        <w:rPr>
          <w:rFonts w:ascii="Calibri" w:hAnsi="Calibri"/>
          <w:color w:val="231F20"/>
          <w:sz w:val="16"/>
        </w:rPr>
        <w:t>comunicación</w:t>
      </w:r>
      <w:r>
        <w:rPr>
          <w:rFonts w:ascii="Calibri" w:hAnsi="Calibri"/>
          <w:color w:val="231F20"/>
          <w:spacing w:val="-11"/>
          <w:sz w:val="16"/>
        </w:rPr>
        <w:t> </w:t>
      </w:r>
      <w:r>
        <w:rPr>
          <w:rFonts w:ascii="Calibri" w:hAnsi="Calibri"/>
          <w:color w:val="231F20"/>
          <w:sz w:val="16"/>
        </w:rPr>
        <w:t>a</w:t>
      </w:r>
      <w:r>
        <w:rPr>
          <w:rFonts w:ascii="Calibri" w:hAnsi="Calibri"/>
          <w:color w:val="231F20"/>
          <w:spacing w:val="-11"/>
          <w:sz w:val="16"/>
        </w:rPr>
        <w:t> </w:t>
      </w:r>
      <w:r>
        <w:rPr>
          <w:rFonts w:ascii="Calibri" w:hAnsi="Calibri"/>
          <w:color w:val="231F20"/>
          <w:sz w:val="16"/>
        </w:rPr>
        <w:t>través de las vías, ejes y autopista. Sin embargo, el avance de la competitividad y de las estrategias de acumulación deja de lado  a</w:t>
      </w:r>
      <w:r>
        <w:rPr>
          <w:rFonts w:ascii="Calibri" w:hAnsi="Calibri"/>
          <w:color w:val="231F20"/>
          <w:spacing w:val="-4"/>
          <w:sz w:val="16"/>
        </w:rPr>
        <w:t> </w:t>
      </w:r>
      <w:r>
        <w:rPr>
          <w:rFonts w:ascii="Calibri" w:hAnsi="Calibri"/>
          <w:color w:val="231F20"/>
          <w:sz w:val="16"/>
        </w:rPr>
        <w:t>otras</w:t>
      </w:r>
      <w:r>
        <w:rPr>
          <w:rFonts w:ascii="Calibri" w:hAnsi="Calibri"/>
          <w:color w:val="231F20"/>
          <w:spacing w:val="-4"/>
          <w:sz w:val="16"/>
        </w:rPr>
        <w:t> </w:t>
      </w:r>
      <w:r>
        <w:rPr>
          <w:rFonts w:ascii="Calibri" w:hAnsi="Calibri"/>
          <w:color w:val="231F20"/>
          <w:sz w:val="16"/>
        </w:rPr>
        <w:t>periferias,</w:t>
      </w:r>
      <w:r>
        <w:rPr>
          <w:rFonts w:ascii="Calibri" w:hAnsi="Calibri"/>
          <w:color w:val="231F20"/>
          <w:spacing w:val="-4"/>
          <w:sz w:val="16"/>
        </w:rPr>
        <w:t> </w:t>
      </w:r>
      <w:r>
        <w:rPr>
          <w:rFonts w:ascii="Calibri" w:hAnsi="Calibri"/>
          <w:color w:val="231F20"/>
          <w:sz w:val="16"/>
        </w:rPr>
        <w:t>las</w:t>
      </w:r>
      <w:r>
        <w:rPr>
          <w:rFonts w:ascii="Calibri" w:hAnsi="Calibri"/>
          <w:color w:val="231F20"/>
          <w:spacing w:val="-4"/>
          <w:sz w:val="16"/>
        </w:rPr>
        <w:t> </w:t>
      </w:r>
      <w:r>
        <w:rPr>
          <w:rFonts w:ascii="Calibri" w:hAnsi="Calibri"/>
          <w:color w:val="231F20"/>
          <w:sz w:val="16"/>
        </w:rPr>
        <w:t>cuales</w:t>
      </w:r>
      <w:r>
        <w:rPr>
          <w:rFonts w:ascii="Calibri" w:hAnsi="Calibri"/>
          <w:color w:val="231F20"/>
          <w:spacing w:val="-4"/>
          <w:sz w:val="16"/>
        </w:rPr>
        <w:t> </w:t>
      </w:r>
      <w:r>
        <w:rPr>
          <w:rFonts w:ascii="Calibri" w:hAnsi="Calibri"/>
          <w:color w:val="231F20"/>
          <w:sz w:val="16"/>
        </w:rPr>
        <w:t>se</w:t>
      </w:r>
      <w:r>
        <w:rPr>
          <w:rFonts w:ascii="Calibri" w:hAnsi="Calibri"/>
          <w:color w:val="231F20"/>
          <w:spacing w:val="-4"/>
          <w:sz w:val="16"/>
        </w:rPr>
        <w:t> </w:t>
      </w:r>
      <w:r>
        <w:rPr>
          <w:rFonts w:ascii="Calibri" w:hAnsi="Calibri"/>
          <w:color w:val="231F20"/>
          <w:sz w:val="16"/>
        </w:rPr>
        <w:t>integran</w:t>
      </w:r>
      <w:r>
        <w:rPr>
          <w:rFonts w:ascii="Calibri" w:hAnsi="Calibri"/>
          <w:color w:val="231F20"/>
          <w:spacing w:val="-4"/>
          <w:sz w:val="16"/>
        </w:rPr>
        <w:t> </w:t>
      </w:r>
      <w:r>
        <w:rPr>
          <w:rFonts w:ascii="Calibri" w:hAnsi="Calibri"/>
          <w:color w:val="231F20"/>
          <w:sz w:val="16"/>
        </w:rPr>
        <w:t>cuando</w:t>
      </w:r>
      <w:r>
        <w:rPr>
          <w:rFonts w:ascii="Calibri" w:hAnsi="Calibri"/>
          <w:color w:val="231F20"/>
          <w:spacing w:val="-4"/>
          <w:sz w:val="16"/>
        </w:rPr>
        <w:t> </w:t>
      </w:r>
      <w:r>
        <w:rPr>
          <w:rFonts w:ascii="Calibri" w:hAnsi="Calibri"/>
          <w:color w:val="231F20"/>
          <w:sz w:val="16"/>
        </w:rPr>
        <w:t>alguna</w:t>
      </w:r>
      <w:r>
        <w:rPr>
          <w:rFonts w:ascii="Calibri" w:hAnsi="Calibri"/>
          <w:color w:val="231F20"/>
          <w:spacing w:val="-4"/>
          <w:sz w:val="16"/>
        </w:rPr>
        <w:t> </w:t>
      </w:r>
      <w:r>
        <w:rPr>
          <w:rFonts w:ascii="Calibri" w:hAnsi="Calibri"/>
          <w:color w:val="231F20"/>
          <w:sz w:val="16"/>
        </w:rPr>
        <w:t>firma</w:t>
      </w:r>
      <w:r>
        <w:rPr>
          <w:rFonts w:ascii="Calibri" w:hAnsi="Calibri"/>
          <w:color w:val="231F20"/>
          <w:spacing w:val="-4"/>
          <w:sz w:val="16"/>
        </w:rPr>
        <w:t> </w:t>
      </w:r>
      <w:r>
        <w:rPr>
          <w:rFonts w:ascii="Calibri" w:hAnsi="Calibri"/>
          <w:color w:val="231F20"/>
          <w:sz w:val="16"/>
        </w:rPr>
        <w:t>comercial</w:t>
      </w:r>
      <w:r>
        <w:rPr>
          <w:rFonts w:ascii="Calibri" w:hAnsi="Calibri"/>
          <w:color w:val="231F20"/>
          <w:spacing w:val="-4"/>
          <w:sz w:val="16"/>
        </w:rPr>
        <w:t> </w:t>
      </w:r>
      <w:r>
        <w:rPr>
          <w:rFonts w:ascii="Calibri" w:hAnsi="Calibri"/>
          <w:color w:val="231F20"/>
          <w:sz w:val="16"/>
        </w:rPr>
        <w:t>o</w:t>
      </w:r>
      <w:r>
        <w:rPr>
          <w:rFonts w:ascii="Calibri" w:hAnsi="Calibri"/>
          <w:color w:val="231F20"/>
          <w:spacing w:val="-4"/>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z w:val="16"/>
        </w:rPr>
        <w:t>servicios</w:t>
      </w:r>
      <w:r>
        <w:rPr>
          <w:rFonts w:ascii="Calibri" w:hAnsi="Calibri"/>
          <w:color w:val="231F20"/>
          <w:spacing w:val="-4"/>
          <w:sz w:val="16"/>
        </w:rPr>
        <w:t> </w:t>
      </w:r>
      <w:r>
        <w:rPr>
          <w:rFonts w:ascii="Calibri" w:hAnsi="Calibri"/>
          <w:color w:val="231F20"/>
          <w:sz w:val="16"/>
        </w:rPr>
        <w:t>aplican</w:t>
      </w:r>
      <w:r>
        <w:rPr>
          <w:rFonts w:ascii="Calibri" w:hAnsi="Calibri"/>
          <w:color w:val="231F20"/>
          <w:spacing w:val="-4"/>
          <w:sz w:val="16"/>
        </w:rPr>
        <w:t> </w:t>
      </w:r>
      <w:r>
        <w:rPr>
          <w:rFonts w:ascii="Calibri" w:hAnsi="Calibri"/>
          <w:color w:val="231F20"/>
          <w:sz w:val="16"/>
        </w:rPr>
        <w:t>estrategias</w:t>
      </w:r>
      <w:r>
        <w:rPr>
          <w:rFonts w:ascii="Calibri" w:hAnsi="Calibri"/>
          <w:color w:val="231F20"/>
          <w:spacing w:val="-4"/>
          <w:sz w:val="16"/>
        </w:rPr>
        <w:t> </w:t>
      </w:r>
      <w:r>
        <w:rPr>
          <w:rFonts w:ascii="Calibri" w:hAnsi="Calibri"/>
          <w:color w:val="231F20"/>
          <w:sz w:val="16"/>
        </w:rPr>
        <w:t>más</w:t>
      </w:r>
      <w:r>
        <w:rPr>
          <w:rFonts w:ascii="Calibri" w:hAnsi="Calibri"/>
          <w:color w:val="231F20"/>
          <w:spacing w:val="-4"/>
          <w:sz w:val="16"/>
        </w:rPr>
        <w:t> </w:t>
      </w:r>
      <w:r>
        <w:rPr>
          <w:rFonts w:ascii="Calibri" w:hAnsi="Calibri"/>
          <w:color w:val="231F20"/>
          <w:sz w:val="16"/>
        </w:rPr>
        <w:t>flexibles</w:t>
      </w:r>
      <w:r>
        <w:rPr>
          <w:rFonts w:ascii="Calibri" w:hAnsi="Calibri"/>
          <w:color w:val="231F20"/>
          <w:spacing w:val="-4"/>
          <w:sz w:val="16"/>
        </w:rPr>
        <w:t> </w:t>
      </w:r>
      <w:r>
        <w:rPr>
          <w:rFonts w:ascii="Calibri" w:hAnsi="Calibri"/>
          <w:color w:val="231F20"/>
          <w:sz w:val="16"/>
        </w:rPr>
        <w:t>para los</w:t>
      </w:r>
      <w:r>
        <w:rPr>
          <w:rFonts w:ascii="Calibri" w:hAnsi="Calibri"/>
          <w:color w:val="231F20"/>
          <w:spacing w:val="-3"/>
          <w:sz w:val="16"/>
        </w:rPr>
        <w:t> </w:t>
      </w:r>
      <w:r>
        <w:rPr>
          <w:rFonts w:ascii="Calibri" w:hAnsi="Calibri"/>
          <w:color w:val="231F20"/>
          <w:sz w:val="16"/>
        </w:rPr>
        <w:t>consumidores</w:t>
      </w:r>
      <w:r>
        <w:rPr>
          <w:rFonts w:ascii="Calibri" w:hAnsi="Calibri"/>
          <w:color w:val="231F20"/>
          <w:spacing w:val="-3"/>
          <w:sz w:val="16"/>
        </w:rPr>
        <w:t> </w:t>
      </w:r>
      <w:r>
        <w:rPr>
          <w:rFonts w:ascii="Calibri" w:hAnsi="Calibri"/>
          <w:color w:val="231F20"/>
          <w:sz w:val="16"/>
        </w:rPr>
        <w:t>de</w:t>
      </w:r>
      <w:r>
        <w:rPr>
          <w:rFonts w:ascii="Calibri" w:hAnsi="Calibri"/>
          <w:color w:val="231F20"/>
          <w:spacing w:val="-3"/>
          <w:sz w:val="16"/>
        </w:rPr>
        <w:t> </w:t>
      </w:r>
      <w:r>
        <w:rPr>
          <w:rFonts w:ascii="Calibri" w:hAnsi="Calibri"/>
          <w:color w:val="231F20"/>
          <w:sz w:val="16"/>
        </w:rPr>
        <w:t>bajos</w:t>
      </w:r>
      <w:r>
        <w:rPr>
          <w:rFonts w:ascii="Calibri" w:hAnsi="Calibri"/>
          <w:color w:val="231F20"/>
          <w:spacing w:val="-3"/>
          <w:sz w:val="16"/>
        </w:rPr>
        <w:t> </w:t>
      </w:r>
      <w:r>
        <w:rPr>
          <w:rFonts w:ascii="Calibri" w:hAnsi="Calibri"/>
          <w:color w:val="231F20"/>
          <w:sz w:val="16"/>
        </w:rPr>
        <w:t>ingresos”.</w:t>
      </w:r>
      <w:r>
        <w:rPr>
          <w:rFonts w:ascii="Calibri" w:hAnsi="Calibri"/>
          <w:color w:val="231F20"/>
          <w:spacing w:val="-3"/>
          <w:sz w:val="16"/>
        </w:rPr>
        <w:t> </w:t>
      </w:r>
      <w:r>
        <w:rPr>
          <w:rFonts w:ascii="Calibri" w:hAnsi="Calibri"/>
          <w:color w:val="231F20"/>
          <w:sz w:val="16"/>
        </w:rPr>
        <w:t>HOYOS</w:t>
      </w:r>
      <w:r>
        <w:rPr>
          <w:rFonts w:ascii="Calibri" w:hAnsi="Calibri"/>
          <w:color w:val="231F20"/>
          <w:spacing w:val="-3"/>
          <w:sz w:val="16"/>
        </w:rPr>
        <w:t> </w:t>
      </w:r>
      <w:r>
        <w:rPr>
          <w:rFonts w:ascii="Calibri" w:hAnsi="Calibri"/>
          <w:color w:val="231F20"/>
          <w:sz w:val="16"/>
        </w:rPr>
        <w:t>CASTILLO,</w:t>
      </w:r>
      <w:r>
        <w:rPr>
          <w:rFonts w:ascii="Calibri" w:hAnsi="Calibri"/>
          <w:color w:val="231F20"/>
          <w:spacing w:val="-3"/>
          <w:sz w:val="16"/>
        </w:rPr>
        <w:t> </w:t>
      </w:r>
      <w:r>
        <w:rPr>
          <w:rFonts w:ascii="Calibri" w:hAnsi="Calibri"/>
          <w:color w:val="231F20"/>
          <w:sz w:val="16"/>
        </w:rPr>
        <w:t>Guadalupe,</w:t>
      </w:r>
      <w:r>
        <w:rPr>
          <w:rFonts w:ascii="Calibri" w:hAnsi="Calibri"/>
          <w:color w:val="231F20"/>
          <w:spacing w:val="-3"/>
          <w:sz w:val="16"/>
        </w:rPr>
        <w:t> </w:t>
      </w:r>
      <w:r>
        <w:rPr>
          <w:rFonts w:ascii="Calibri" w:hAnsi="Calibri"/>
          <w:color w:val="231F20"/>
          <w:sz w:val="16"/>
        </w:rPr>
        <w:t>La</w:t>
      </w:r>
      <w:r>
        <w:rPr>
          <w:rFonts w:ascii="Calibri" w:hAnsi="Calibri"/>
          <w:color w:val="231F20"/>
          <w:spacing w:val="-3"/>
          <w:sz w:val="16"/>
        </w:rPr>
        <w:t> </w:t>
      </w:r>
      <w:r>
        <w:rPr>
          <w:rFonts w:ascii="Calibri" w:hAnsi="Calibri"/>
          <w:color w:val="231F20"/>
          <w:sz w:val="16"/>
        </w:rPr>
        <w:t>periferia</w:t>
      </w:r>
      <w:r>
        <w:rPr>
          <w:rFonts w:ascii="Calibri" w:hAnsi="Calibri"/>
          <w:color w:val="231F20"/>
          <w:spacing w:val="-3"/>
          <w:sz w:val="16"/>
        </w:rPr>
        <w:t> </w:t>
      </w:r>
      <w:r>
        <w:rPr>
          <w:rFonts w:ascii="Calibri" w:hAnsi="Calibri"/>
          <w:color w:val="231F20"/>
          <w:sz w:val="16"/>
        </w:rPr>
        <w:t>mexiquense</w:t>
      </w:r>
      <w:r>
        <w:rPr>
          <w:rFonts w:ascii="Calibri" w:hAnsi="Calibri"/>
          <w:color w:val="231F20"/>
          <w:spacing w:val="-3"/>
          <w:sz w:val="16"/>
        </w:rPr>
        <w:t> </w:t>
      </w:r>
      <w:r>
        <w:rPr>
          <w:rFonts w:ascii="Calibri" w:hAnsi="Calibri"/>
          <w:color w:val="231F20"/>
          <w:sz w:val="16"/>
        </w:rPr>
        <w:t>en</w:t>
      </w:r>
      <w:r>
        <w:rPr>
          <w:rFonts w:ascii="Calibri" w:hAnsi="Calibri"/>
          <w:color w:val="231F20"/>
          <w:spacing w:val="-3"/>
          <w:sz w:val="16"/>
        </w:rPr>
        <w:t> </w:t>
      </w:r>
      <w:r>
        <w:rPr>
          <w:rFonts w:ascii="Calibri" w:hAnsi="Calibri"/>
          <w:color w:val="231F20"/>
          <w:sz w:val="16"/>
        </w:rPr>
        <w:t>la</w:t>
      </w:r>
      <w:r>
        <w:rPr>
          <w:rFonts w:ascii="Calibri" w:hAnsi="Calibri"/>
          <w:color w:val="231F20"/>
          <w:spacing w:val="-3"/>
          <w:sz w:val="16"/>
        </w:rPr>
        <w:t> </w:t>
      </w:r>
      <w:r>
        <w:rPr>
          <w:rFonts w:ascii="Calibri" w:hAnsi="Calibri"/>
          <w:color w:val="231F20"/>
          <w:sz w:val="16"/>
        </w:rPr>
        <w:t>apertura</w:t>
      </w:r>
      <w:r>
        <w:rPr>
          <w:rFonts w:ascii="Calibri" w:hAnsi="Calibri"/>
          <w:color w:val="231F20"/>
          <w:spacing w:val="-3"/>
          <w:sz w:val="16"/>
        </w:rPr>
        <w:t> </w:t>
      </w:r>
      <w:r>
        <w:rPr>
          <w:rFonts w:ascii="Calibri" w:hAnsi="Calibri"/>
          <w:color w:val="231F20"/>
          <w:sz w:val="16"/>
        </w:rPr>
        <w:t>de</w:t>
      </w:r>
      <w:r>
        <w:rPr>
          <w:rFonts w:ascii="Calibri" w:hAnsi="Calibri"/>
          <w:color w:val="231F20"/>
          <w:spacing w:val="-3"/>
          <w:sz w:val="16"/>
        </w:rPr>
        <w:t> </w:t>
      </w:r>
      <w:r>
        <w:rPr>
          <w:rFonts w:ascii="Calibri" w:hAnsi="Calibri"/>
          <w:color w:val="231F20"/>
          <w:sz w:val="16"/>
        </w:rPr>
        <w:t>la</w:t>
      </w:r>
      <w:r>
        <w:rPr>
          <w:rFonts w:ascii="Calibri" w:hAnsi="Calibri"/>
          <w:color w:val="231F20"/>
          <w:spacing w:val="-3"/>
          <w:sz w:val="16"/>
        </w:rPr>
        <w:t> </w:t>
      </w:r>
      <w:r>
        <w:rPr>
          <w:rFonts w:ascii="Calibri" w:hAnsi="Calibri"/>
          <w:color w:val="231F20"/>
          <w:sz w:val="16"/>
        </w:rPr>
        <w:t>economía urbana</w:t>
      </w:r>
      <w:r>
        <w:rPr>
          <w:rFonts w:ascii="Calibri" w:hAnsi="Calibri"/>
          <w:color w:val="231F20"/>
          <w:spacing w:val="-10"/>
          <w:sz w:val="16"/>
        </w:rPr>
        <w:t> </w:t>
      </w:r>
      <w:r>
        <w:rPr>
          <w:rFonts w:ascii="Calibri" w:hAnsi="Calibri"/>
          <w:color w:val="231F20"/>
          <w:sz w:val="16"/>
        </w:rPr>
        <w:t>de</w:t>
      </w:r>
      <w:r>
        <w:rPr>
          <w:rFonts w:ascii="Calibri" w:hAnsi="Calibri"/>
          <w:color w:val="231F20"/>
          <w:spacing w:val="-10"/>
          <w:sz w:val="16"/>
        </w:rPr>
        <w:t> </w:t>
      </w:r>
      <w:r>
        <w:rPr>
          <w:rFonts w:ascii="Calibri" w:hAnsi="Calibri"/>
          <w:color w:val="231F20"/>
          <w:sz w:val="16"/>
        </w:rPr>
        <w:t>la</w:t>
      </w:r>
      <w:r>
        <w:rPr>
          <w:rFonts w:ascii="Calibri" w:hAnsi="Calibri"/>
          <w:color w:val="231F20"/>
          <w:spacing w:val="-10"/>
          <w:sz w:val="16"/>
        </w:rPr>
        <w:t> </w:t>
      </w:r>
      <w:r>
        <w:rPr>
          <w:rFonts w:ascii="Calibri" w:hAnsi="Calibri"/>
          <w:color w:val="231F20"/>
          <w:sz w:val="16"/>
        </w:rPr>
        <w:t>Ciudad</w:t>
      </w:r>
      <w:r>
        <w:rPr>
          <w:rFonts w:ascii="Calibri" w:hAnsi="Calibri"/>
          <w:color w:val="231F20"/>
          <w:spacing w:val="-10"/>
          <w:sz w:val="16"/>
        </w:rPr>
        <w:t> </w:t>
      </w:r>
      <w:r>
        <w:rPr>
          <w:rFonts w:ascii="Calibri" w:hAnsi="Calibri"/>
          <w:color w:val="231F20"/>
          <w:sz w:val="16"/>
        </w:rPr>
        <w:t>de</w:t>
      </w:r>
      <w:r>
        <w:rPr>
          <w:rFonts w:ascii="Calibri" w:hAnsi="Calibri"/>
          <w:color w:val="231F20"/>
          <w:spacing w:val="-10"/>
          <w:sz w:val="16"/>
        </w:rPr>
        <w:t> </w:t>
      </w:r>
      <w:r>
        <w:rPr>
          <w:rFonts w:ascii="Calibri" w:hAnsi="Calibri"/>
          <w:color w:val="231F20"/>
          <w:sz w:val="16"/>
        </w:rPr>
        <w:t>México,</w:t>
      </w:r>
      <w:r>
        <w:rPr>
          <w:rFonts w:ascii="Calibri" w:hAnsi="Calibri"/>
          <w:color w:val="231F20"/>
          <w:spacing w:val="-10"/>
          <w:sz w:val="16"/>
        </w:rPr>
        <w:t> </w:t>
      </w:r>
      <w:r>
        <w:rPr>
          <w:rFonts w:ascii="Calibri" w:hAnsi="Calibri"/>
          <w:color w:val="231F20"/>
          <w:sz w:val="16"/>
        </w:rPr>
        <w:t>pp.</w:t>
      </w:r>
      <w:r>
        <w:rPr>
          <w:rFonts w:ascii="Calibri" w:hAnsi="Calibri"/>
          <w:color w:val="231F20"/>
          <w:spacing w:val="-10"/>
          <w:sz w:val="16"/>
        </w:rPr>
        <w:t> </w:t>
      </w:r>
      <w:r>
        <w:rPr>
          <w:rFonts w:ascii="Calibri" w:hAnsi="Calibri"/>
          <w:color w:val="231F20"/>
          <w:spacing w:val="-3"/>
          <w:sz w:val="16"/>
        </w:rPr>
        <w:t>71-92.</w:t>
      </w:r>
    </w:p>
    <w:p>
      <w:pPr>
        <w:pStyle w:val="ListParagraph"/>
        <w:numPr>
          <w:ilvl w:val="0"/>
          <w:numId w:val="15"/>
        </w:numPr>
        <w:tabs>
          <w:tab w:pos="254" w:val="left" w:leader="none"/>
        </w:tabs>
        <w:spacing w:line="244" w:lineRule="auto" w:before="0" w:after="0"/>
        <w:ind w:left="110" w:right="108" w:firstLine="0"/>
        <w:jc w:val="both"/>
        <w:rPr>
          <w:sz w:val="16"/>
        </w:rPr>
      </w:pPr>
      <w:r>
        <w:rPr>
          <w:color w:val="231F20"/>
          <w:sz w:val="16"/>
        </w:rPr>
        <w:t>“La</w:t>
      </w:r>
      <w:r>
        <w:rPr>
          <w:color w:val="231F20"/>
          <w:spacing w:val="-11"/>
          <w:sz w:val="16"/>
        </w:rPr>
        <w:t> </w:t>
      </w:r>
      <w:r>
        <w:rPr>
          <w:color w:val="231F20"/>
          <w:sz w:val="16"/>
        </w:rPr>
        <w:t>marginación</w:t>
      </w:r>
      <w:r>
        <w:rPr>
          <w:color w:val="231F20"/>
          <w:spacing w:val="-11"/>
          <w:sz w:val="16"/>
        </w:rPr>
        <w:t> </w:t>
      </w:r>
      <w:r>
        <w:rPr>
          <w:color w:val="231F20"/>
          <w:sz w:val="16"/>
        </w:rPr>
        <w:t>es</w:t>
      </w:r>
      <w:r>
        <w:rPr>
          <w:color w:val="231F20"/>
          <w:spacing w:val="-11"/>
          <w:sz w:val="16"/>
        </w:rPr>
        <w:t> </w:t>
      </w:r>
      <w:r>
        <w:rPr>
          <w:color w:val="231F20"/>
          <w:sz w:val="16"/>
        </w:rPr>
        <w:t>un</w:t>
      </w:r>
      <w:r>
        <w:rPr>
          <w:color w:val="231F20"/>
          <w:spacing w:val="-11"/>
          <w:sz w:val="16"/>
        </w:rPr>
        <w:t> </w:t>
      </w:r>
      <w:r>
        <w:rPr>
          <w:color w:val="231F20"/>
          <w:sz w:val="16"/>
        </w:rPr>
        <w:t>fenómeno</w:t>
      </w:r>
      <w:r>
        <w:rPr>
          <w:color w:val="231F20"/>
          <w:spacing w:val="-11"/>
          <w:sz w:val="16"/>
        </w:rPr>
        <w:t> </w:t>
      </w:r>
      <w:r>
        <w:rPr>
          <w:color w:val="231F20"/>
          <w:sz w:val="16"/>
        </w:rPr>
        <w:t>estructural</w:t>
      </w:r>
      <w:r>
        <w:rPr>
          <w:color w:val="231F20"/>
          <w:spacing w:val="-11"/>
          <w:sz w:val="16"/>
        </w:rPr>
        <w:t> </w:t>
      </w:r>
      <w:r>
        <w:rPr>
          <w:color w:val="231F20"/>
          <w:sz w:val="16"/>
        </w:rPr>
        <w:t>que</w:t>
      </w:r>
      <w:r>
        <w:rPr>
          <w:color w:val="231F20"/>
          <w:spacing w:val="-11"/>
          <w:sz w:val="16"/>
        </w:rPr>
        <w:t> </w:t>
      </w:r>
      <w:r>
        <w:rPr>
          <w:color w:val="231F20"/>
          <w:sz w:val="16"/>
        </w:rPr>
        <w:t>se</w:t>
      </w:r>
      <w:r>
        <w:rPr>
          <w:color w:val="231F20"/>
          <w:spacing w:val="-11"/>
          <w:sz w:val="16"/>
        </w:rPr>
        <w:t> </w:t>
      </w:r>
      <w:r>
        <w:rPr>
          <w:color w:val="231F20"/>
          <w:sz w:val="16"/>
        </w:rPr>
        <w:t>origina</w:t>
      </w:r>
      <w:r>
        <w:rPr>
          <w:color w:val="231F20"/>
          <w:spacing w:val="-11"/>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modalidad,</w:t>
      </w:r>
      <w:r>
        <w:rPr>
          <w:color w:val="231F20"/>
          <w:spacing w:val="-11"/>
          <w:sz w:val="16"/>
        </w:rPr>
        <w:t> </w:t>
      </w:r>
      <w:r>
        <w:rPr>
          <w:color w:val="231F20"/>
          <w:sz w:val="16"/>
        </w:rPr>
        <w:t>estilo</w:t>
      </w:r>
      <w:r>
        <w:rPr>
          <w:color w:val="231F20"/>
          <w:spacing w:val="-11"/>
          <w:sz w:val="16"/>
        </w:rPr>
        <w:t> </w:t>
      </w:r>
      <w:r>
        <w:rPr>
          <w:color w:val="231F20"/>
          <w:sz w:val="16"/>
        </w:rPr>
        <w:t>o</w:t>
      </w:r>
      <w:r>
        <w:rPr>
          <w:color w:val="231F20"/>
          <w:spacing w:val="-11"/>
          <w:sz w:val="16"/>
        </w:rPr>
        <w:t> </w:t>
      </w:r>
      <w:r>
        <w:rPr>
          <w:color w:val="231F20"/>
          <w:sz w:val="16"/>
        </w:rPr>
        <w:t>patrón</w:t>
      </w:r>
      <w:r>
        <w:rPr>
          <w:color w:val="231F20"/>
          <w:spacing w:val="-11"/>
          <w:sz w:val="16"/>
        </w:rPr>
        <w:t> </w:t>
      </w:r>
      <w:r>
        <w:rPr>
          <w:color w:val="231F20"/>
          <w:sz w:val="16"/>
        </w:rPr>
        <w:t>histórico</w:t>
      </w:r>
      <w:r>
        <w:rPr>
          <w:color w:val="231F20"/>
          <w:spacing w:val="-11"/>
          <w:sz w:val="16"/>
        </w:rPr>
        <w:t> </w:t>
      </w:r>
      <w:r>
        <w:rPr>
          <w:color w:val="231F20"/>
          <w:sz w:val="16"/>
        </w:rPr>
        <w:t>de</w:t>
      </w:r>
      <w:r>
        <w:rPr>
          <w:color w:val="231F20"/>
          <w:spacing w:val="-11"/>
          <w:sz w:val="16"/>
        </w:rPr>
        <w:t> </w:t>
      </w:r>
      <w:r>
        <w:rPr>
          <w:color w:val="231F20"/>
          <w:sz w:val="16"/>
        </w:rPr>
        <w:t>desarrollo;</w:t>
      </w:r>
      <w:r>
        <w:rPr>
          <w:color w:val="231F20"/>
          <w:spacing w:val="-11"/>
          <w:sz w:val="16"/>
        </w:rPr>
        <w:t> </w:t>
      </w:r>
      <w:r>
        <w:rPr>
          <w:color w:val="231F20"/>
          <w:sz w:val="16"/>
        </w:rPr>
        <w:t>ésta</w:t>
      </w:r>
      <w:r>
        <w:rPr>
          <w:color w:val="231F20"/>
          <w:spacing w:val="-11"/>
          <w:sz w:val="16"/>
        </w:rPr>
        <w:t> </w:t>
      </w:r>
      <w:r>
        <w:rPr>
          <w:color w:val="231F20"/>
          <w:sz w:val="16"/>
        </w:rPr>
        <w:t>se expresa,</w:t>
      </w:r>
      <w:r>
        <w:rPr>
          <w:color w:val="231F20"/>
          <w:spacing w:val="-8"/>
          <w:sz w:val="16"/>
        </w:rPr>
        <w:t> </w:t>
      </w:r>
      <w:r>
        <w:rPr>
          <w:color w:val="231F20"/>
          <w:sz w:val="16"/>
        </w:rPr>
        <w:t>por</w:t>
      </w:r>
      <w:r>
        <w:rPr>
          <w:color w:val="231F20"/>
          <w:spacing w:val="-8"/>
          <w:sz w:val="16"/>
        </w:rPr>
        <w:t> </w:t>
      </w:r>
      <w:r>
        <w:rPr>
          <w:color w:val="231F20"/>
          <w:sz w:val="16"/>
        </w:rPr>
        <w:t>un</w:t>
      </w:r>
      <w:r>
        <w:rPr>
          <w:color w:val="231F20"/>
          <w:spacing w:val="-8"/>
          <w:sz w:val="16"/>
        </w:rPr>
        <w:t> </w:t>
      </w:r>
      <w:r>
        <w:rPr>
          <w:color w:val="231F20"/>
          <w:sz w:val="16"/>
        </w:rPr>
        <w:t>lado,</w:t>
      </w:r>
      <w:r>
        <w:rPr>
          <w:color w:val="231F20"/>
          <w:spacing w:val="-8"/>
          <w:sz w:val="16"/>
        </w:rPr>
        <w:t> </w:t>
      </w:r>
      <w:r>
        <w:rPr>
          <w:color w:val="231F20"/>
          <w:sz w:val="16"/>
        </w:rPr>
        <w:t>en</w:t>
      </w:r>
      <w:r>
        <w:rPr>
          <w:color w:val="231F20"/>
          <w:spacing w:val="-8"/>
          <w:sz w:val="16"/>
        </w:rPr>
        <w:t> </w:t>
      </w:r>
      <w:r>
        <w:rPr>
          <w:color w:val="231F20"/>
          <w:sz w:val="16"/>
        </w:rPr>
        <w:t>la</w:t>
      </w:r>
      <w:r>
        <w:rPr>
          <w:color w:val="231F20"/>
          <w:spacing w:val="-8"/>
          <w:sz w:val="16"/>
        </w:rPr>
        <w:t> </w:t>
      </w:r>
      <w:r>
        <w:rPr>
          <w:color w:val="231F20"/>
          <w:sz w:val="16"/>
        </w:rPr>
        <w:t>dificultad</w:t>
      </w:r>
      <w:r>
        <w:rPr>
          <w:color w:val="231F20"/>
          <w:spacing w:val="-8"/>
          <w:sz w:val="16"/>
        </w:rPr>
        <w:t> </w:t>
      </w:r>
      <w:r>
        <w:rPr>
          <w:color w:val="231F20"/>
          <w:sz w:val="16"/>
        </w:rPr>
        <w:t>para</w:t>
      </w:r>
      <w:r>
        <w:rPr>
          <w:color w:val="231F20"/>
          <w:spacing w:val="-8"/>
          <w:sz w:val="16"/>
        </w:rPr>
        <w:t> </w:t>
      </w:r>
      <w:r>
        <w:rPr>
          <w:color w:val="231F20"/>
          <w:sz w:val="16"/>
        </w:rPr>
        <w:t>propagar</w:t>
      </w:r>
      <w:r>
        <w:rPr>
          <w:color w:val="231F20"/>
          <w:spacing w:val="-8"/>
          <w:sz w:val="16"/>
        </w:rPr>
        <w:t> </w:t>
      </w:r>
      <w:r>
        <w:rPr>
          <w:color w:val="231F20"/>
          <w:sz w:val="16"/>
        </w:rPr>
        <w:t>el</w:t>
      </w:r>
      <w:r>
        <w:rPr>
          <w:color w:val="231F20"/>
          <w:spacing w:val="-8"/>
          <w:sz w:val="16"/>
        </w:rPr>
        <w:t> </w:t>
      </w:r>
      <w:r>
        <w:rPr>
          <w:color w:val="231F20"/>
          <w:sz w:val="16"/>
        </w:rPr>
        <w:t>progreso</w:t>
      </w:r>
      <w:r>
        <w:rPr>
          <w:color w:val="231F20"/>
          <w:spacing w:val="-8"/>
          <w:sz w:val="16"/>
        </w:rPr>
        <w:t> </w:t>
      </w:r>
      <w:r>
        <w:rPr>
          <w:color w:val="231F20"/>
          <w:sz w:val="16"/>
        </w:rPr>
        <w:t>técnico</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conjunto</w:t>
      </w:r>
    </w:p>
    <w:p>
      <w:pPr>
        <w:spacing w:line="244" w:lineRule="auto" w:before="0"/>
        <w:ind w:left="110" w:right="107" w:firstLine="0"/>
        <w:jc w:val="both"/>
        <w:rPr>
          <w:rFonts w:ascii="Calibri" w:hAnsi="Calibri"/>
          <w:sz w:val="16"/>
        </w:rPr>
      </w:pPr>
      <w:r>
        <w:rPr>
          <w:rFonts w:ascii="Calibri" w:hAnsi="Calibri"/>
          <w:color w:val="231F20"/>
          <w:sz w:val="16"/>
        </w:rPr>
        <w:t>de la estructura productiva y en las regiones del país, y por el otro, en la exclusión de grupos sociales del proceso de desa- rrollo</w:t>
      </w:r>
      <w:r>
        <w:rPr>
          <w:rFonts w:ascii="Calibri" w:hAnsi="Calibri"/>
          <w:color w:val="231F20"/>
          <w:spacing w:val="-11"/>
          <w:sz w:val="16"/>
        </w:rPr>
        <w:t> </w:t>
      </w:r>
      <w:r>
        <w:rPr>
          <w:rFonts w:ascii="Calibri" w:hAnsi="Calibri"/>
          <w:color w:val="231F20"/>
          <w:sz w:val="16"/>
        </w:rPr>
        <w:t>y</w:t>
      </w:r>
      <w:r>
        <w:rPr>
          <w:rFonts w:ascii="Calibri" w:hAnsi="Calibri"/>
          <w:color w:val="231F20"/>
          <w:spacing w:val="-11"/>
          <w:sz w:val="16"/>
        </w:rPr>
        <w:t> </w:t>
      </w:r>
      <w:r>
        <w:rPr>
          <w:rFonts w:ascii="Calibri" w:hAnsi="Calibri"/>
          <w:color w:val="231F20"/>
          <w:sz w:val="16"/>
        </w:rPr>
        <w:t>del</w:t>
      </w:r>
      <w:r>
        <w:rPr>
          <w:rFonts w:ascii="Calibri" w:hAnsi="Calibri"/>
          <w:color w:val="231F20"/>
          <w:spacing w:val="-11"/>
          <w:sz w:val="16"/>
        </w:rPr>
        <w:t> </w:t>
      </w:r>
      <w:r>
        <w:rPr>
          <w:rFonts w:ascii="Calibri" w:hAnsi="Calibri"/>
          <w:color w:val="231F20"/>
          <w:sz w:val="16"/>
        </w:rPr>
        <w:t>disfrute</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sus</w:t>
      </w:r>
      <w:r>
        <w:rPr>
          <w:rFonts w:ascii="Calibri" w:hAnsi="Calibri"/>
          <w:color w:val="231F20"/>
          <w:spacing w:val="-11"/>
          <w:sz w:val="16"/>
        </w:rPr>
        <w:t> </w:t>
      </w:r>
      <w:r>
        <w:rPr>
          <w:rFonts w:ascii="Calibri" w:hAnsi="Calibri"/>
          <w:color w:val="231F20"/>
          <w:sz w:val="16"/>
        </w:rPr>
        <w:t>beneficios.</w:t>
      </w:r>
      <w:r>
        <w:rPr>
          <w:rFonts w:ascii="Calibri" w:hAnsi="Calibri"/>
          <w:color w:val="231F20"/>
          <w:spacing w:val="-11"/>
          <w:sz w:val="16"/>
        </w:rPr>
        <w:t> </w:t>
      </w:r>
      <w:r>
        <w:rPr>
          <w:rFonts w:ascii="Calibri" w:hAnsi="Calibri"/>
          <w:color w:val="231F20"/>
          <w:sz w:val="16"/>
        </w:rPr>
        <w:t>Los</w:t>
      </w:r>
      <w:r>
        <w:rPr>
          <w:rFonts w:ascii="Calibri" w:hAnsi="Calibri"/>
          <w:color w:val="231F20"/>
          <w:spacing w:val="-11"/>
          <w:sz w:val="16"/>
        </w:rPr>
        <w:t> </w:t>
      </w:r>
      <w:r>
        <w:rPr>
          <w:rFonts w:ascii="Calibri" w:hAnsi="Calibri"/>
          <w:color w:val="231F20"/>
          <w:sz w:val="16"/>
        </w:rPr>
        <w:t>procesos</w:t>
      </w:r>
      <w:r>
        <w:rPr>
          <w:rFonts w:ascii="Calibri" w:hAnsi="Calibri"/>
          <w:color w:val="231F20"/>
          <w:spacing w:val="-11"/>
          <w:sz w:val="16"/>
        </w:rPr>
        <w:t> </w:t>
      </w:r>
      <w:r>
        <w:rPr>
          <w:rFonts w:ascii="Calibri" w:hAnsi="Calibri"/>
          <w:color w:val="231F20"/>
          <w:sz w:val="16"/>
        </w:rPr>
        <w:t>que</w:t>
      </w:r>
      <w:r>
        <w:rPr>
          <w:rFonts w:ascii="Calibri" w:hAnsi="Calibri"/>
          <w:color w:val="231F20"/>
          <w:spacing w:val="-11"/>
          <w:sz w:val="16"/>
        </w:rPr>
        <w:t> </w:t>
      </w:r>
      <w:r>
        <w:rPr>
          <w:rFonts w:ascii="Calibri" w:hAnsi="Calibri"/>
          <w:color w:val="231F20"/>
          <w:sz w:val="16"/>
        </w:rPr>
        <w:t>modelan</w:t>
      </w:r>
      <w:r>
        <w:rPr>
          <w:rFonts w:ascii="Calibri" w:hAnsi="Calibri"/>
          <w:color w:val="231F20"/>
          <w:spacing w:val="-11"/>
          <w:sz w:val="16"/>
        </w:rPr>
        <w:t> </w:t>
      </w:r>
      <w:r>
        <w:rPr>
          <w:rFonts w:ascii="Calibri" w:hAnsi="Calibri"/>
          <w:color w:val="231F20"/>
          <w:sz w:val="16"/>
        </w:rPr>
        <w:t>la</w:t>
      </w:r>
      <w:r>
        <w:rPr>
          <w:rFonts w:ascii="Calibri" w:hAnsi="Calibri"/>
          <w:color w:val="231F20"/>
          <w:spacing w:val="-11"/>
          <w:sz w:val="16"/>
        </w:rPr>
        <w:t> </w:t>
      </w:r>
      <w:r>
        <w:rPr>
          <w:rFonts w:ascii="Calibri" w:hAnsi="Calibri"/>
          <w:color w:val="231F20"/>
          <w:sz w:val="16"/>
        </w:rPr>
        <w:t>marginación</w:t>
      </w:r>
      <w:r>
        <w:rPr>
          <w:rFonts w:ascii="Calibri" w:hAnsi="Calibri"/>
          <w:color w:val="231F20"/>
          <w:spacing w:val="-11"/>
          <w:sz w:val="16"/>
        </w:rPr>
        <w:t> </w:t>
      </w:r>
      <w:r>
        <w:rPr>
          <w:rFonts w:ascii="Calibri" w:hAnsi="Calibri"/>
          <w:color w:val="231F20"/>
          <w:sz w:val="16"/>
        </w:rPr>
        <w:t>conforman</w:t>
      </w:r>
      <w:r>
        <w:rPr>
          <w:rFonts w:ascii="Calibri" w:hAnsi="Calibri"/>
          <w:color w:val="231F20"/>
          <w:spacing w:val="-11"/>
          <w:sz w:val="16"/>
        </w:rPr>
        <w:t> </w:t>
      </w:r>
      <w:r>
        <w:rPr>
          <w:rFonts w:ascii="Calibri" w:hAnsi="Calibri"/>
          <w:color w:val="231F20"/>
          <w:sz w:val="16"/>
        </w:rPr>
        <w:t>una</w:t>
      </w:r>
      <w:r>
        <w:rPr>
          <w:rFonts w:ascii="Calibri" w:hAnsi="Calibri"/>
          <w:color w:val="231F20"/>
          <w:spacing w:val="-11"/>
          <w:sz w:val="16"/>
        </w:rPr>
        <w:t> </w:t>
      </w:r>
      <w:r>
        <w:rPr>
          <w:rFonts w:ascii="Calibri" w:hAnsi="Calibri"/>
          <w:color w:val="231F20"/>
          <w:sz w:val="16"/>
        </w:rPr>
        <w:t>precaria</w:t>
      </w:r>
      <w:r>
        <w:rPr>
          <w:rFonts w:ascii="Calibri" w:hAnsi="Calibri"/>
          <w:color w:val="231F20"/>
          <w:spacing w:val="-11"/>
          <w:sz w:val="16"/>
        </w:rPr>
        <w:t> </w:t>
      </w:r>
      <w:r>
        <w:rPr>
          <w:rFonts w:ascii="Calibri" w:hAnsi="Calibri"/>
          <w:color w:val="231F20"/>
          <w:sz w:val="16"/>
        </w:rPr>
        <w:t>estructura</w:t>
      </w:r>
      <w:r>
        <w:rPr>
          <w:rFonts w:ascii="Calibri" w:hAnsi="Calibri"/>
          <w:color w:val="231F20"/>
          <w:spacing w:val="-11"/>
          <w:sz w:val="16"/>
        </w:rPr>
        <w:t> </w:t>
      </w:r>
      <w:r>
        <w:rPr>
          <w:rFonts w:ascii="Calibri" w:hAnsi="Calibri"/>
          <w:color w:val="231F20"/>
          <w:sz w:val="16"/>
        </w:rPr>
        <w:t>de</w:t>
      </w:r>
      <w:r>
        <w:rPr>
          <w:rFonts w:ascii="Calibri" w:hAnsi="Calibri"/>
          <w:color w:val="231F20"/>
          <w:spacing w:val="-11"/>
          <w:sz w:val="16"/>
        </w:rPr>
        <w:t> </w:t>
      </w:r>
      <w:r>
        <w:rPr>
          <w:rFonts w:ascii="Calibri" w:hAnsi="Calibri"/>
          <w:color w:val="231F20"/>
          <w:sz w:val="16"/>
        </w:rPr>
        <w:t>opor- tunidades sociales para los ciudadanos, sus familias y comunidades, y los expone a privaciones, riesgos y vulnerabilidades sociales</w:t>
      </w:r>
      <w:r>
        <w:rPr>
          <w:rFonts w:ascii="Calibri" w:hAnsi="Calibri"/>
          <w:color w:val="231F20"/>
          <w:spacing w:val="-12"/>
          <w:sz w:val="16"/>
        </w:rPr>
        <w:t> </w:t>
      </w:r>
      <w:r>
        <w:rPr>
          <w:rFonts w:ascii="Calibri" w:hAnsi="Calibri"/>
          <w:color w:val="231F20"/>
          <w:sz w:val="16"/>
        </w:rPr>
        <w:t>que</w:t>
      </w:r>
      <w:r>
        <w:rPr>
          <w:rFonts w:ascii="Calibri" w:hAnsi="Calibri"/>
          <w:color w:val="231F20"/>
          <w:spacing w:val="-12"/>
          <w:sz w:val="16"/>
        </w:rPr>
        <w:t> </w:t>
      </w:r>
      <w:r>
        <w:rPr>
          <w:rFonts w:ascii="Calibri" w:hAnsi="Calibri"/>
          <w:color w:val="231F20"/>
          <w:sz w:val="16"/>
        </w:rPr>
        <w:t>a</w:t>
      </w:r>
      <w:r>
        <w:rPr>
          <w:rFonts w:ascii="Calibri" w:hAnsi="Calibri"/>
          <w:color w:val="231F20"/>
          <w:spacing w:val="-12"/>
          <w:sz w:val="16"/>
        </w:rPr>
        <w:t> </w:t>
      </w:r>
      <w:r>
        <w:rPr>
          <w:rFonts w:ascii="Calibri" w:hAnsi="Calibri"/>
          <w:color w:val="231F20"/>
          <w:sz w:val="16"/>
        </w:rPr>
        <w:t>menudo</w:t>
      </w:r>
      <w:r>
        <w:rPr>
          <w:rFonts w:ascii="Calibri" w:hAnsi="Calibri"/>
          <w:color w:val="231F20"/>
          <w:spacing w:val="-12"/>
          <w:sz w:val="16"/>
        </w:rPr>
        <w:t> </w:t>
      </w:r>
      <w:r>
        <w:rPr>
          <w:rFonts w:ascii="Calibri" w:hAnsi="Calibri"/>
          <w:color w:val="231F20"/>
          <w:sz w:val="16"/>
        </w:rPr>
        <w:t>escapan</w:t>
      </w:r>
      <w:r>
        <w:rPr>
          <w:rFonts w:ascii="Calibri" w:hAnsi="Calibri"/>
          <w:color w:val="231F20"/>
          <w:spacing w:val="-12"/>
          <w:sz w:val="16"/>
        </w:rPr>
        <w:t> </w:t>
      </w:r>
      <w:r>
        <w:rPr>
          <w:rFonts w:ascii="Calibri" w:hAnsi="Calibri"/>
          <w:color w:val="231F20"/>
          <w:sz w:val="16"/>
        </w:rPr>
        <w:t>al</w:t>
      </w:r>
      <w:r>
        <w:rPr>
          <w:rFonts w:ascii="Calibri" w:hAnsi="Calibri"/>
          <w:color w:val="231F20"/>
          <w:spacing w:val="-12"/>
          <w:sz w:val="16"/>
        </w:rPr>
        <w:t> </w:t>
      </w:r>
      <w:r>
        <w:rPr>
          <w:rFonts w:ascii="Calibri" w:hAnsi="Calibri"/>
          <w:color w:val="231F20"/>
          <w:sz w:val="16"/>
        </w:rPr>
        <w:t>control</w:t>
      </w:r>
      <w:r>
        <w:rPr>
          <w:rFonts w:ascii="Calibri" w:hAnsi="Calibri"/>
          <w:color w:val="231F20"/>
          <w:spacing w:val="-12"/>
          <w:sz w:val="16"/>
        </w:rPr>
        <w:t> </w:t>
      </w:r>
      <w:r>
        <w:rPr>
          <w:rFonts w:ascii="Calibri" w:hAnsi="Calibri"/>
          <w:color w:val="231F20"/>
          <w:sz w:val="16"/>
        </w:rPr>
        <w:t>personal,</w:t>
      </w:r>
      <w:r>
        <w:rPr>
          <w:rFonts w:ascii="Calibri" w:hAnsi="Calibri"/>
          <w:color w:val="231F20"/>
          <w:spacing w:val="-12"/>
          <w:sz w:val="16"/>
        </w:rPr>
        <w:t> </w:t>
      </w:r>
      <w:r>
        <w:rPr>
          <w:rFonts w:ascii="Calibri" w:hAnsi="Calibri"/>
          <w:color w:val="231F20"/>
          <w:sz w:val="16"/>
        </w:rPr>
        <w:t>familiar</w:t>
      </w:r>
      <w:r>
        <w:rPr>
          <w:rFonts w:ascii="Calibri" w:hAnsi="Calibri"/>
          <w:color w:val="231F20"/>
          <w:spacing w:val="-12"/>
          <w:sz w:val="16"/>
        </w:rPr>
        <w:t> </w:t>
      </w:r>
      <w:r>
        <w:rPr>
          <w:rFonts w:ascii="Calibri" w:hAnsi="Calibri"/>
          <w:color w:val="231F20"/>
          <w:sz w:val="16"/>
        </w:rPr>
        <w:t>y</w:t>
      </w:r>
      <w:r>
        <w:rPr>
          <w:rFonts w:ascii="Calibri" w:hAnsi="Calibri"/>
          <w:color w:val="231F20"/>
          <w:spacing w:val="-12"/>
          <w:sz w:val="16"/>
        </w:rPr>
        <w:t> </w:t>
      </w:r>
      <w:r>
        <w:rPr>
          <w:rFonts w:ascii="Calibri" w:hAnsi="Calibri"/>
          <w:color w:val="231F20"/>
          <w:sz w:val="16"/>
        </w:rPr>
        <w:t>comunitario</w:t>
      </w:r>
      <w:r>
        <w:rPr>
          <w:rFonts w:ascii="Calibri" w:hAnsi="Calibri"/>
          <w:color w:val="231F20"/>
          <w:spacing w:val="-12"/>
          <w:sz w:val="16"/>
        </w:rPr>
        <w:t> </w:t>
      </w:r>
      <w:r>
        <w:rPr>
          <w:rFonts w:ascii="Calibri" w:hAnsi="Calibri"/>
          <w:color w:val="231F20"/>
          <w:sz w:val="16"/>
        </w:rPr>
        <w:t>y</w:t>
      </w:r>
      <w:r>
        <w:rPr>
          <w:rFonts w:ascii="Calibri" w:hAnsi="Calibri"/>
          <w:color w:val="231F20"/>
          <w:spacing w:val="-12"/>
          <w:sz w:val="16"/>
        </w:rPr>
        <w:t> </w:t>
      </w:r>
      <w:r>
        <w:rPr>
          <w:rFonts w:ascii="Calibri" w:hAnsi="Calibri"/>
          <w:color w:val="231F20"/>
          <w:sz w:val="16"/>
        </w:rPr>
        <w:t>cuya</w:t>
      </w:r>
      <w:r>
        <w:rPr>
          <w:rFonts w:ascii="Calibri" w:hAnsi="Calibri"/>
          <w:color w:val="231F20"/>
          <w:spacing w:val="-12"/>
          <w:sz w:val="16"/>
        </w:rPr>
        <w:t> </w:t>
      </w:r>
      <w:r>
        <w:rPr>
          <w:rFonts w:ascii="Calibri" w:hAnsi="Calibri"/>
          <w:color w:val="231F20"/>
          <w:sz w:val="16"/>
        </w:rPr>
        <w:t>reversión</w:t>
      </w:r>
      <w:r>
        <w:rPr>
          <w:rFonts w:ascii="Calibri" w:hAnsi="Calibri"/>
          <w:color w:val="231F20"/>
          <w:spacing w:val="-12"/>
          <w:sz w:val="16"/>
        </w:rPr>
        <w:t> </w:t>
      </w:r>
      <w:r>
        <w:rPr>
          <w:rFonts w:ascii="Calibri" w:hAnsi="Calibri"/>
          <w:color w:val="231F20"/>
          <w:sz w:val="16"/>
        </w:rPr>
        <w:t>requiere</w:t>
      </w:r>
      <w:r>
        <w:rPr>
          <w:rFonts w:ascii="Calibri" w:hAnsi="Calibri"/>
          <w:color w:val="231F20"/>
          <w:spacing w:val="-12"/>
          <w:sz w:val="16"/>
        </w:rPr>
        <w:t> </w:t>
      </w:r>
      <w:r>
        <w:rPr>
          <w:rFonts w:ascii="Calibri" w:hAnsi="Calibri"/>
          <w:color w:val="231F20"/>
          <w:sz w:val="16"/>
        </w:rPr>
        <w:t>el</w:t>
      </w:r>
      <w:r>
        <w:rPr>
          <w:rFonts w:ascii="Calibri" w:hAnsi="Calibri"/>
          <w:color w:val="231F20"/>
          <w:spacing w:val="-12"/>
          <w:sz w:val="16"/>
        </w:rPr>
        <w:t> </w:t>
      </w:r>
      <w:r>
        <w:rPr>
          <w:rFonts w:ascii="Calibri" w:hAnsi="Calibri"/>
          <w:color w:val="231F20"/>
          <w:sz w:val="16"/>
        </w:rPr>
        <w:t>concurso</w:t>
      </w:r>
      <w:r>
        <w:rPr>
          <w:rFonts w:ascii="Calibri" w:hAnsi="Calibri"/>
          <w:color w:val="231F20"/>
          <w:spacing w:val="-12"/>
          <w:sz w:val="16"/>
        </w:rPr>
        <w:t> </w:t>
      </w:r>
      <w:r>
        <w:rPr>
          <w:rFonts w:ascii="Calibri" w:hAnsi="Calibri"/>
          <w:color w:val="231F20"/>
          <w:sz w:val="16"/>
        </w:rPr>
        <w:t>activo</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los agentes</w:t>
      </w:r>
      <w:r>
        <w:rPr>
          <w:rFonts w:ascii="Calibri" w:hAnsi="Calibri"/>
          <w:color w:val="231F20"/>
          <w:spacing w:val="-15"/>
          <w:sz w:val="16"/>
        </w:rPr>
        <w:t> </w:t>
      </w:r>
      <w:r>
        <w:rPr>
          <w:rFonts w:ascii="Calibri" w:hAnsi="Calibri"/>
          <w:color w:val="231F20"/>
          <w:sz w:val="16"/>
        </w:rPr>
        <w:t>públicos,</w:t>
      </w:r>
      <w:r>
        <w:rPr>
          <w:rFonts w:ascii="Calibri" w:hAnsi="Calibri"/>
          <w:color w:val="231F20"/>
          <w:spacing w:val="-15"/>
          <w:sz w:val="16"/>
        </w:rPr>
        <w:t> </w:t>
      </w:r>
      <w:r>
        <w:rPr>
          <w:rFonts w:ascii="Calibri" w:hAnsi="Calibri"/>
          <w:color w:val="231F20"/>
          <w:sz w:val="16"/>
        </w:rPr>
        <w:t>privados</w:t>
      </w:r>
      <w:r>
        <w:rPr>
          <w:rFonts w:ascii="Calibri" w:hAnsi="Calibri"/>
          <w:color w:val="231F20"/>
          <w:spacing w:val="-15"/>
          <w:sz w:val="16"/>
        </w:rPr>
        <w:t> </w:t>
      </w:r>
      <w:r>
        <w:rPr>
          <w:rFonts w:ascii="Calibri" w:hAnsi="Calibri"/>
          <w:color w:val="231F20"/>
          <w:sz w:val="16"/>
        </w:rPr>
        <w:t>y</w:t>
      </w:r>
      <w:r>
        <w:rPr>
          <w:rFonts w:ascii="Calibri" w:hAnsi="Calibri"/>
          <w:color w:val="231F20"/>
          <w:spacing w:val="-15"/>
          <w:sz w:val="16"/>
        </w:rPr>
        <w:t> </w:t>
      </w:r>
      <w:r>
        <w:rPr>
          <w:rFonts w:ascii="Calibri" w:hAnsi="Calibri"/>
          <w:color w:val="231F20"/>
          <w:sz w:val="16"/>
        </w:rPr>
        <w:t>sociales”.</w:t>
      </w:r>
      <w:r>
        <w:rPr>
          <w:rFonts w:ascii="Calibri" w:hAnsi="Calibri"/>
          <w:color w:val="231F20"/>
          <w:spacing w:val="-15"/>
          <w:sz w:val="16"/>
        </w:rPr>
        <w:t> </w:t>
      </w:r>
      <w:r>
        <w:rPr>
          <w:rFonts w:ascii="Calibri" w:hAnsi="Calibri"/>
          <w:color w:val="231F20"/>
          <w:sz w:val="16"/>
        </w:rPr>
        <w:t>“Concepto</w:t>
      </w:r>
      <w:r>
        <w:rPr>
          <w:rFonts w:ascii="Calibri" w:hAnsi="Calibri"/>
          <w:color w:val="231F20"/>
          <w:spacing w:val="-15"/>
          <w:sz w:val="16"/>
        </w:rPr>
        <w:t> </w:t>
      </w:r>
      <w:r>
        <w:rPr>
          <w:rFonts w:ascii="Calibri" w:hAnsi="Calibri"/>
          <w:color w:val="231F20"/>
          <w:sz w:val="16"/>
        </w:rPr>
        <w:t>y</w:t>
      </w:r>
      <w:r>
        <w:rPr>
          <w:rFonts w:ascii="Calibri" w:hAnsi="Calibri"/>
          <w:color w:val="231F20"/>
          <w:spacing w:val="-15"/>
          <w:sz w:val="16"/>
        </w:rPr>
        <w:t> </w:t>
      </w:r>
      <w:r>
        <w:rPr>
          <w:rFonts w:ascii="Calibri" w:hAnsi="Calibri"/>
          <w:color w:val="231F20"/>
          <w:sz w:val="16"/>
        </w:rPr>
        <w:t>dimensiones</w:t>
      </w:r>
      <w:r>
        <w:rPr>
          <w:rFonts w:ascii="Calibri" w:hAnsi="Calibri"/>
          <w:color w:val="231F20"/>
          <w:spacing w:val="-15"/>
          <w:sz w:val="16"/>
        </w:rPr>
        <w:t> </w:t>
      </w:r>
      <w:r>
        <w:rPr>
          <w:rFonts w:ascii="Calibri" w:hAnsi="Calibri"/>
          <w:color w:val="231F20"/>
          <w:sz w:val="16"/>
        </w:rPr>
        <w:t>de</w:t>
      </w:r>
      <w:r>
        <w:rPr>
          <w:rFonts w:ascii="Calibri" w:hAnsi="Calibri"/>
          <w:color w:val="231F20"/>
          <w:spacing w:val="-15"/>
          <w:sz w:val="16"/>
        </w:rPr>
        <w:t> </w:t>
      </w:r>
      <w:r>
        <w:rPr>
          <w:rFonts w:ascii="Calibri" w:hAnsi="Calibri"/>
          <w:color w:val="231F20"/>
          <w:sz w:val="16"/>
        </w:rPr>
        <w:t>la</w:t>
      </w:r>
      <w:r>
        <w:rPr>
          <w:rFonts w:ascii="Calibri" w:hAnsi="Calibri"/>
          <w:color w:val="231F20"/>
          <w:spacing w:val="-15"/>
          <w:sz w:val="16"/>
        </w:rPr>
        <w:t> </w:t>
      </w:r>
      <w:r>
        <w:rPr>
          <w:rFonts w:ascii="Calibri" w:hAnsi="Calibri"/>
          <w:color w:val="231F20"/>
          <w:sz w:val="16"/>
        </w:rPr>
        <w:t>marginación”,</w:t>
      </w:r>
      <w:r>
        <w:rPr>
          <w:rFonts w:ascii="Calibri" w:hAnsi="Calibri"/>
          <w:color w:val="231F20"/>
          <w:spacing w:val="-15"/>
          <w:sz w:val="16"/>
        </w:rPr>
        <w:t> </w:t>
      </w:r>
      <w:r>
        <w:rPr>
          <w:rFonts w:ascii="Calibri" w:hAnsi="Calibri"/>
          <w:color w:val="231F20"/>
          <w:sz w:val="16"/>
        </w:rPr>
        <w:t>en:</w:t>
      </w:r>
      <w:r>
        <w:rPr>
          <w:rFonts w:ascii="Calibri" w:hAnsi="Calibri"/>
          <w:color w:val="231F20"/>
          <w:spacing w:val="-15"/>
          <w:sz w:val="16"/>
        </w:rPr>
        <w:t> </w:t>
      </w:r>
      <w:r>
        <w:rPr>
          <w:rFonts w:ascii="Calibri" w:hAnsi="Calibri"/>
          <w:color w:val="231F20"/>
          <w:sz w:val="16"/>
        </w:rPr>
        <w:t>Índice</w:t>
      </w:r>
      <w:r>
        <w:rPr>
          <w:rFonts w:ascii="Calibri" w:hAnsi="Calibri"/>
          <w:color w:val="231F20"/>
          <w:spacing w:val="-15"/>
          <w:sz w:val="16"/>
        </w:rPr>
        <w:t> </w:t>
      </w:r>
      <w:r>
        <w:rPr>
          <w:rFonts w:ascii="Calibri" w:hAnsi="Calibri"/>
          <w:color w:val="231F20"/>
          <w:sz w:val="16"/>
        </w:rPr>
        <w:t>de</w:t>
      </w:r>
      <w:r>
        <w:rPr>
          <w:rFonts w:ascii="Calibri" w:hAnsi="Calibri"/>
          <w:color w:val="231F20"/>
          <w:spacing w:val="-15"/>
          <w:sz w:val="16"/>
        </w:rPr>
        <w:t> </w:t>
      </w:r>
      <w:r>
        <w:rPr>
          <w:rFonts w:ascii="Calibri" w:hAnsi="Calibri"/>
          <w:color w:val="231F20"/>
          <w:sz w:val="16"/>
        </w:rPr>
        <w:t>Marginación</w:t>
      </w:r>
      <w:r>
        <w:rPr>
          <w:rFonts w:ascii="Calibri" w:hAnsi="Calibri"/>
          <w:color w:val="231F20"/>
          <w:spacing w:val="-15"/>
          <w:sz w:val="16"/>
        </w:rPr>
        <w:t> </w:t>
      </w:r>
      <w:r>
        <w:rPr>
          <w:rFonts w:ascii="Calibri" w:hAnsi="Calibri"/>
          <w:color w:val="231F20"/>
          <w:sz w:val="16"/>
        </w:rPr>
        <w:t>2000.</w:t>
      </w:r>
    </w:p>
    <w:p>
      <w:pPr>
        <w:spacing w:after="0" w:line="244" w:lineRule="auto"/>
        <w:jc w:val="both"/>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Según</w:t>
      </w:r>
      <w:r>
        <w:rPr>
          <w:color w:val="231F20"/>
          <w:spacing w:val="-14"/>
          <w:w w:val="105"/>
        </w:rPr>
        <w:t> </w:t>
      </w:r>
      <w:r>
        <w:rPr>
          <w:color w:val="231F20"/>
          <w:w w:val="105"/>
        </w:rPr>
        <w:t>el</w:t>
      </w:r>
      <w:r>
        <w:rPr>
          <w:color w:val="231F20"/>
          <w:spacing w:val="-14"/>
          <w:w w:val="105"/>
        </w:rPr>
        <w:t> </w:t>
      </w:r>
      <w:r>
        <w:rPr>
          <w:color w:val="231F20"/>
          <w:w w:val="105"/>
        </w:rPr>
        <w:t>Censo</w:t>
      </w:r>
      <w:r>
        <w:rPr>
          <w:color w:val="231F20"/>
          <w:spacing w:val="-14"/>
          <w:w w:val="105"/>
        </w:rPr>
        <w:t> </w:t>
      </w:r>
      <w:r>
        <w:rPr>
          <w:color w:val="231F20"/>
          <w:w w:val="105"/>
        </w:rPr>
        <w:t>Nacional</w:t>
      </w:r>
      <w:r>
        <w:rPr>
          <w:color w:val="231F20"/>
          <w:spacing w:val="-14"/>
          <w:w w:val="105"/>
        </w:rPr>
        <w:t> </w:t>
      </w:r>
      <w:r>
        <w:rPr>
          <w:color w:val="231F20"/>
          <w:w w:val="105"/>
        </w:rPr>
        <w:t>de</w:t>
      </w:r>
      <w:r>
        <w:rPr>
          <w:color w:val="231F20"/>
          <w:spacing w:val="-14"/>
          <w:w w:val="105"/>
        </w:rPr>
        <w:t> </w:t>
      </w:r>
      <w:r>
        <w:rPr>
          <w:color w:val="231F20"/>
          <w:spacing w:val="-3"/>
          <w:w w:val="105"/>
        </w:rPr>
        <w:t>Población</w:t>
      </w:r>
      <w:r>
        <w:rPr>
          <w:color w:val="231F20"/>
          <w:spacing w:val="-14"/>
          <w:w w:val="105"/>
        </w:rPr>
        <w:t> </w:t>
      </w:r>
      <w:r>
        <w:rPr>
          <w:color w:val="231F20"/>
          <w:w w:val="105"/>
        </w:rPr>
        <w:t>y</w:t>
      </w:r>
      <w:r>
        <w:rPr>
          <w:color w:val="231F20"/>
          <w:spacing w:val="-14"/>
          <w:w w:val="105"/>
        </w:rPr>
        <w:t> </w:t>
      </w:r>
      <w:r>
        <w:rPr>
          <w:color w:val="231F20"/>
          <w:w w:val="105"/>
        </w:rPr>
        <w:t>Vivienda,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2000,</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spacing w:val="-4"/>
          <w:w w:val="105"/>
        </w:rPr>
        <w:t>171,252</w:t>
      </w:r>
      <w:r>
        <w:rPr>
          <w:color w:val="231F20"/>
          <w:spacing w:val="-14"/>
          <w:w w:val="105"/>
        </w:rPr>
        <w:t> </w:t>
      </w:r>
      <w:r>
        <w:rPr>
          <w:color w:val="231F20"/>
          <w:w w:val="105"/>
        </w:rPr>
        <w:t>viviendas que existían, el 0.06% estaban construidas con materiales de desecho, el </w:t>
      </w:r>
      <w:r>
        <w:rPr>
          <w:color w:val="231F20"/>
          <w:spacing w:val="-9"/>
          <w:w w:val="105"/>
        </w:rPr>
        <w:t>37.91% </w:t>
      </w:r>
      <w:r>
        <w:rPr>
          <w:color w:val="231F20"/>
          <w:w w:val="105"/>
        </w:rPr>
        <w:t>son </w:t>
      </w:r>
      <w:r>
        <w:rPr>
          <w:color w:val="231F20"/>
          <w:spacing w:val="2"/>
          <w:w w:val="105"/>
        </w:rPr>
        <w:t>familias </w:t>
      </w:r>
      <w:r>
        <w:rPr>
          <w:color w:val="231F20"/>
          <w:w w:val="105"/>
        </w:rPr>
        <w:t>en condición de hacinamiento. De una población total de </w:t>
      </w:r>
      <w:r>
        <w:rPr>
          <w:color w:val="231F20"/>
          <w:spacing w:val="-4"/>
          <w:w w:val="105"/>
        </w:rPr>
        <w:t>721,415 </w:t>
      </w:r>
      <w:r>
        <w:rPr>
          <w:color w:val="231F20"/>
          <w:w w:val="105"/>
        </w:rPr>
        <w:t>habitantes, el</w:t>
      </w:r>
      <w:r>
        <w:rPr>
          <w:color w:val="231F20"/>
          <w:spacing w:val="-16"/>
          <w:w w:val="105"/>
        </w:rPr>
        <w:t> </w:t>
      </w:r>
      <w:r>
        <w:rPr>
          <w:color w:val="231F20"/>
          <w:spacing w:val="-5"/>
          <w:w w:val="105"/>
        </w:rPr>
        <w:t>3.16%</w:t>
      </w:r>
      <w:r>
        <w:rPr>
          <w:color w:val="231F20"/>
          <w:spacing w:val="-16"/>
          <w:w w:val="105"/>
        </w:rPr>
        <w:t> </w:t>
      </w:r>
      <w:r>
        <w:rPr>
          <w:color w:val="231F20"/>
          <w:w w:val="105"/>
        </w:rPr>
        <w:t>de</w:t>
      </w:r>
      <w:r>
        <w:rPr>
          <w:color w:val="231F20"/>
          <w:spacing w:val="-16"/>
          <w:w w:val="105"/>
        </w:rPr>
        <w:t> </w:t>
      </w:r>
      <w:r>
        <w:rPr>
          <w:color w:val="231F20"/>
          <w:w w:val="105"/>
        </w:rPr>
        <w:t>15</w:t>
      </w:r>
      <w:r>
        <w:rPr>
          <w:color w:val="231F20"/>
          <w:spacing w:val="-16"/>
          <w:w w:val="105"/>
        </w:rPr>
        <w:t> </w:t>
      </w:r>
      <w:r>
        <w:rPr>
          <w:color w:val="231F20"/>
          <w:w w:val="105"/>
        </w:rPr>
        <w:t>años</w:t>
      </w:r>
      <w:r>
        <w:rPr>
          <w:color w:val="231F20"/>
          <w:spacing w:val="-16"/>
          <w:w w:val="105"/>
        </w:rPr>
        <w:t> </w:t>
      </w:r>
      <w:r>
        <w:rPr>
          <w:color w:val="231F20"/>
          <w:w w:val="105"/>
        </w:rPr>
        <w:t>o</w:t>
      </w:r>
      <w:r>
        <w:rPr>
          <w:color w:val="231F20"/>
          <w:spacing w:val="-16"/>
          <w:w w:val="105"/>
        </w:rPr>
        <w:t> </w:t>
      </w:r>
      <w:r>
        <w:rPr>
          <w:color w:val="231F20"/>
          <w:w w:val="105"/>
        </w:rPr>
        <w:t>más,</w:t>
      </w:r>
      <w:r>
        <w:rPr>
          <w:color w:val="231F20"/>
          <w:spacing w:val="-16"/>
          <w:w w:val="105"/>
        </w:rPr>
        <w:t> </w:t>
      </w:r>
      <w:r>
        <w:rPr>
          <w:color w:val="231F20"/>
          <w:w w:val="105"/>
        </w:rPr>
        <w:t>son</w:t>
      </w:r>
      <w:r>
        <w:rPr>
          <w:color w:val="231F20"/>
          <w:spacing w:val="-16"/>
          <w:w w:val="105"/>
        </w:rPr>
        <w:t> </w:t>
      </w:r>
      <w:r>
        <w:rPr>
          <w:color w:val="231F20"/>
          <w:w w:val="105"/>
        </w:rPr>
        <w:t>población</w:t>
      </w:r>
      <w:r>
        <w:rPr>
          <w:color w:val="231F20"/>
          <w:spacing w:val="-16"/>
          <w:w w:val="105"/>
        </w:rPr>
        <w:t> </w:t>
      </w:r>
      <w:r>
        <w:rPr>
          <w:color w:val="231F20"/>
          <w:w w:val="105"/>
        </w:rPr>
        <w:t>analfabeta;</w:t>
      </w:r>
      <w:r>
        <w:rPr>
          <w:color w:val="231F20"/>
          <w:spacing w:val="-16"/>
          <w:w w:val="105"/>
        </w:rPr>
        <w:t> </w:t>
      </w:r>
      <w:r>
        <w:rPr>
          <w:color w:val="231F20"/>
          <w:spacing w:val="-3"/>
          <w:w w:val="105"/>
        </w:rPr>
        <w:t>11.23%</w:t>
      </w:r>
      <w:r>
        <w:rPr>
          <w:color w:val="231F20"/>
          <w:spacing w:val="-16"/>
          <w:w w:val="105"/>
        </w:rPr>
        <w:t> </w:t>
      </w:r>
      <w:r>
        <w:rPr>
          <w:color w:val="231F20"/>
          <w:w w:val="105"/>
        </w:rPr>
        <w:t>de</w:t>
      </w:r>
      <w:r>
        <w:rPr>
          <w:color w:val="231F20"/>
          <w:spacing w:val="-16"/>
          <w:w w:val="105"/>
        </w:rPr>
        <w:t> </w:t>
      </w:r>
      <w:r>
        <w:rPr>
          <w:color w:val="231F20"/>
          <w:w w:val="105"/>
        </w:rPr>
        <w:t>15</w:t>
      </w:r>
      <w:r>
        <w:rPr>
          <w:color w:val="231F20"/>
          <w:spacing w:val="-16"/>
          <w:w w:val="105"/>
        </w:rPr>
        <w:t> </w:t>
      </w:r>
      <w:r>
        <w:rPr>
          <w:color w:val="231F20"/>
          <w:w w:val="105"/>
        </w:rPr>
        <w:t>años</w:t>
      </w:r>
      <w:r>
        <w:rPr>
          <w:color w:val="231F20"/>
          <w:spacing w:val="-16"/>
          <w:w w:val="105"/>
        </w:rPr>
        <w:t> </w:t>
      </w:r>
      <w:r>
        <w:rPr>
          <w:color w:val="231F20"/>
          <w:w w:val="105"/>
        </w:rPr>
        <w:t>o</w:t>
      </w:r>
      <w:r>
        <w:rPr>
          <w:color w:val="231F20"/>
          <w:spacing w:val="-16"/>
          <w:w w:val="105"/>
        </w:rPr>
        <w:t> </w:t>
      </w:r>
      <w:r>
        <w:rPr>
          <w:color w:val="231F20"/>
          <w:w w:val="105"/>
        </w:rPr>
        <w:t>más,</w:t>
      </w:r>
      <w:r>
        <w:rPr>
          <w:color w:val="231F20"/>
          <w:spacing w:val="-16"/>
          <w:w w:val="105"/>
        </w:rPr>
        <w:t> </w:t>
      </w:r>
      <w:r>
        <w:rPr>
          <w:color w:val="231F20"/>
          <w:w w:val="105"/>
        </w:rPr>
        <w:t>no</w:t>
      </w:r>
      <w:r>
        <w:rPr>
          <w:color w:val="231F20"/>
          <w:spacing w:val="-16"/>
          <w:w w:val="105"/>
        </w:rPr>
        <w:t> </w:t>
      </w:r>
      <w:r>
        <w:rPr>
          <w:color w:val="231F20"/>
          <w:w w:val="105"/>
        </w:rPr>
        <w:t>tiene la</w:t>
      </w:r>
      <w:r>
        <w:rPr>
          <w:color w:val="231F20"/>
          <w:spacing w:val="-17"/>
          <w:w w:val="105"/>
        </w:rPr>
        <w:t> </w:t>
      </w:r>
      <w:r>
        <w:rPr>
          <w:color w:val="231F20"/>
          <w:w w:val="105"/>
        </w:rPr>
        <w:t>primaria</w:t>
      </w:r>
      <w:r>
        <w:rPr>
          <w:color w:val="231F20"/>
          <w:spacing w:val="-17"/>
          <w:w w:val="105"/>
        </w:rPr>
        <w:t> </w:t>
      </w:r>
      <w:r>
        <w:rPr>
          <w:color w:val="231F20"/>
          <w:w w:val="105"/>
        </w:rPr>
        <w:t>completa;</w:t>
      </w:r>
      <w:r>
        <w:rPr>
          <w:color w:val="231F20"/>
          <w:spacing w:val="-18"/>
          <w:w w:val="105"/>
        </w:rPr>
        <w:t> </w:t>
      </w:r>
      <w:r>
        <w:rPr>
          <w:color w:val="231F20"/>
          <w:w w:val="105"/>
        </w:rPr>
        <w:t>el</w:t>
      </w:r>
      <w:r>
        <w:rPr>
          <w:color w:val="231F20"/>
          <w:spacing w:val="-17"/>
          <w:w w:val="105"/>
        </w:rPr>
        <w:t> </w:t>
      </w:r>
      <w:r>
        <w:rPr>
          <w:color w:val="231F20"/>
          <w:spacing w:val="-6"/>
          <w:w w:val="105"/>
        </w:rPr>
        <w:t>0.11%</w:t>
      </w:r>
      <w:r>
        <w:rPr>
          <w:color w:val="231F20"/>
          <w:spacing w:val="-17"/>
          <w:w w:val="105"/>
        </w:rPr>
        <w:t> </w:t>
      </w:r>
      <w:r>
        <w:rPr>
          <w:color w:val="231F20"/>
          <w:w w:val="105"/>
        </w:rPr>
        <w:t>no</w:t>
      </w:r>
      <w:r>
        <w:rPr>
          <w:color w:val="231F20"/>
          <w:spacing w:val="-18"/>
          <w:w w:val="105"/>
        </w:rPr>
        <w:t> </w:t>
      </w:r>
      <w:r>
        <w:rPr>
          <w:color w:val="231F20"/>
          <w:w w:val="105"/>
        </w:rPr>
        <w:t>posee</w:t>
      </w:r>
      <w:r>
        <w:rPr>
          <w:color w:val="231F20"/>
          <w:spacing w:val="-17"/>
          <w:w w:val="105"/>
        </w:rPr>
        <w:t> </w:t>
      </w:r>
      <w:r>
        <w:rPr>
          <w:color w:val="231F20"/>
          <w:w w:val="105"/>
        </w:rPr>
        <w:t>energía</w:t>
      </w:r>
      <w:r>
        <w:rPr>
          <w:color w:val="231F20"/>
          <w:spacing w:val="-17"/>
          <w:w w:val="105"/>
        </w:rPr>
        <w:t> </w:t>
      </w:r>
      <w:r>
        <w:rPr>
          <w:color w:val="231F20"/>
          <w:w w:val="105"/>
        </w:rPr>
        <w:t>eléctrica,</w:t>
      </w:r>
      <w:r>
        <w:rPr>
          <w:color w:val="231F20"/>
          <w:spacing w:val="-17"/>
          <w:w w:val="105"/>
        </w:rPr>
        <w:t> </w:t>
      </w:r>
      <w:r>
        <w:rPr>
          <w:color w:val="231F20"/>
          <w:w w:val="105"/>
        </w:rPr>
        <w:t>el</w:t>
      </w:r>
      <w:r>
        <w:rPr>
          <w:color w:val="231F20"/>
          <w:spacing w:val="-18"/>
          <w:w w:val="105"/>
        </w:rPr>
        <w:t> </w:t>
      </w:r>
      <w:r>
        <w:rPr>
          <w:color w:val="231F20"/>
          <w:spacing w:val="-3"/>
          <w:w w:val="105"/>
        </w:rPr>
        <w:t>0.93%</w:t>
      </w:r>
      <w:r>
        <w:rPr>
          <w:color w:val="231F20"/>
          <w:spacing w:val="-17"/>
          <w:w w:val="105"/>
        </w:rPr>
        <w:t> </w:t>
      </w:r>
      <w:r>
        <w:rPr>
          <w:color w:val="231F20"/>
          <w:w w:val="105"/>
        </w:rPr>
        <w:t>carece</w:t>
      </w:r>
      <w:r>
        <w:rPr>
          <w:color w:val="231F20"/>
          <w:spacing w:val="-17"/>
          <w:w w:val="105"/>
        </w:rPr>
        <w:t> </w:t>
      </w:r>
      <w:r>
        <w:rPr>
          <w:color w:val="231F20"/>
          <w:w w:val="105"/>
        </w:rPr>
        <w:t>de</w:t>
      </w:r>
      <w:r>
        <w:rPr>
          <w:color w:val="231F20"/>
          <w:spacing w:val="-17"/>
          <w:w w:val="105"/>
        </w:rPr>
        <w:t> </w:t>
      </w:r>
      <w:r>
        <w:rPr>
          <w:color w:val="231F20"/>
          <w:w w:val="105"/>
        </w:rPr>
        <w:t>agua</w:t>
      </w:r>
      <w:r>
        <w:rPr>
          <w:color w:val="231F20"/>
          <w:spacing w:val="-17"/>
          <w:w w:val="105"/>
        </w:rPr>
        <w:t> </w:t>
      </w:r>
      <w:r>
        <w:rPr>
          <w:color w:val="231F20"/>
          <w:w w:val="105"/>
        </w:rPr>
        <w:t>entu- bada;</w:t>
      </w:r>
      <w:r>
        <w:rPr>
          <w:color w:val="231F20"/>
          <w:spacing w:val="-22"/>
          <w:w w:val="105"/>
        </w:rPr>
        <w:t> </w:t>
      </w:r>
      <w:r>
        <w:rPr>
          <w:color w:val="231F20"/>
          <w:w w:val="105"/>
        </w:rPr>
        <w:t>el</w:t>
      </w:r>
      <w:r>
        <w:rPr>
          <w:color w:val="231F20"/>
          <w:spacing w:val="-22"/>
          <w:w w:val="105"/>
        </w:rPr>
        <w:t> </w:t>
      </w:r>
      <w:r>
        <w:rPr>
          <w:color w:val="231F20"/>
          <w:spacing w:val="-3"/>
          <w:w w:val="105"/>
        </w:rPr>
        <w:t>0.10%</w:t>
      </w:r>
      <w:r>
        <w:rPr>
          <w:color w:val="231F20"/>
          <w:spacing w:val="-22"/>
          <w:w w:val="105"/>
        </w:rPr>
        <w:t> </w:t>
      </w:r>
      <w:r>
        <w:rPr>
          <w:color w:val="231F20"/>
          <w:w w:val="105"/>
        </w:rPr>
        <w:t>son</w:t>
      </w:r>
      <w:r>
        <w:rPr>
          <w:color w:val="231F20"/>
          <w:spacing w:val="-22"/>
          <w:w w:val="105"/>
        </w:rPr>
        <w:t> </w:t>
      </w:r>
      <w:r>
        <w:rPr>
          <w:color w:val="231F20"/>
          <w:w w:val="105"/>
        </w:rPr>
        <w:t>ocupantes</w:t>
      </w:r>
      <w:r>
        <w:rPr>
          <w:color w:val="231F20"/>
          <w:spacing w:val="-22"/>
          <w:w w:val="105"/>
        </w:rPr>
        <w:t> </w:t>
      </w:r>
      <w:r>
        <w:rPr>
          <w:color w:val="231F20"/>
          <w:w w:val="105"/>
        </w:rPr>
        <w:t>en</w:t>
      </w:r>
      <w:r>
        <w:rPr>
          <w:color w:val="231F20"/>
          <w:spacing w:val="-22"/>
          <w:w w:val="105"/>
        </w:rPr>
        <w:t> </w:t>
      </w:r>
      <w:r>
        <w:rPr>
          <w:color w:val="231F20"/>
          <w:w w:val="105"/>
        </w:rPr>
        <w:t>viviendas</w:t>
      </w:r>
      <w:r>
        <w:rPr>
          <w:color w:val="231F20"/>
          <w:spacing w:val="-22"/>
          <w:w w:val="105"/>
        </w:rPr>
        <w:t> </w:t>
      </w:r>
      <w:r>
        <w:rPr>
          <w:color w:val="231F20"/>
          <w:w w:val="105"/>
        </w:rPr>
        <w:t>sin</w:t>
      </w:r>
      <w:r>
        <w:rPr>
          <w:color w:val="231F20"/>
          <w:spacing w:val="-22"/>
          <w:w w:val="105"/>
        </w:rPr>
        <w:t> </w:t>
      </w:r>
      <w:r>
        <w:rPr>
          <w:color w:val="231F20"/>
          <w:w w:val="105"/>
        </w:rPr>
        <w:t>drenaje</w:t>
      </w:r>
      <w:r>
        <w:rPr>
          <w:color w:val="231F20"/>
          <w:spacing w:val="-22"/>
          <w:w w:val="105"/>
        </w:rPr>
        <w:t> </w:t>
      </w:r>
      <w:r>
        <w:rPr>
          <w:color w:val="231F20"/>
          <w:w w:val="105"/>
        </w:rPr>
        <w:t>ni</w:t>
      </w:r>
      <w:r>
        <w:rPr>
          <w:color w:val="231F20"/>
          <w:spacing w:val="-22"/>
          <w:w w:val="105"/>
        </w:rPr>
        <w:t> </w:t>
      </w:r>
      <w:r>
        <w:rPr>
          <w:color w:val="231F20"/>
          <w:w w:val="105"/>
        </w:rPr>
        <w:t>servicio</w:t>
      </w:r>
      <w:r>
        <w:rPr>
          <w:color w:val="231F20"/>
          <w:spacing w:val="-22"/>
          <w:w w:val="105"/>
        </w:rPr>
        <w:t> </w:t>
      </w:r>
      <w:r>
        <w:rPr>
          <w:color w:val="231F20"/>
          <w:w w:val="105"/>
        </w:rPr>
        <w:t>sanitario;</w:t>
      </w:r>
      <w:r>
        <w:rPr>
          <w:color w:val="231F20"/>
          <w:spacing w:val="-22"/>
          <w:w w:val="105"/>
        </w:rPr>
        <w:t> </w:t>
      </w:r>
      <w:r>
        <w:rPr>
          <w:color w:val="231F20"/>
          <w:w w:val="105"/>
        </w:rPr>
        <w:t>el</w:t>
      </w:r>
      <w:r>
        <w:rPr>
          <w:color w:val="231F20"/>
          <w:spacing w:val="-22"/>
          <w:w w:val="105"/>
        </w:rPr>
        <w:t> </w:t>
      </w:r>
      <w:r>
        <w:rPr>
          <w:color w:val="231F20"/>
          <w:w w:val="105"/>
        </w:rPr>
        <w:t>1.32%</w:t>
      </w:r>
      <w:r>
        <w:rPr>
          <w:color w:val="231F20"/>
          <w:spacing w:val="-22"/>
          <w:w w:val="105"/>
        </w:rPr>
        <w:t> </w:t>
      </w:r>
      <w:r>
        <w:rPr>
          <w:color w:val="231F20"/>
          <w:w w:val="105"/>
        </w:rPr>
        <w:t>son ocupantes</w:t>
      </w:r>
      <w:r>
        <w:rPr>
          <w:color w:val="231F20"/>
          <w:spacing w:val="-17"/>
          <w:w w:val="105"/>
        </w:rPr>
        <w:t> </w:t>
      </w:r>
      <w:r>
        <w:rPr>
          <w:color w:val="231F20"/>
          <w:w w:val="105"/>
        </w:rPr>
        <w:t>en</w:t>
      </w:r>
      <w:r>
        <w:rPr>
          <w:color w:val="231F20"/>
          <w:spacing w:val="-17"/>
          <w:w w:val="105"/>
        </w:rPr>
        <w:t> </w:t>
      </w:r>
      <w:r>
        <w:rPr>
          <w:color w:val="231F20"/>
          <w:w w:val="105"/>
        </w:rPr>
        <w:t>viviendas</w:t>
      </w:r>
      <w:r>
        <w:rPr>
          <w:color w:val="231F20"/>
          <w:spacing w:val="-17"/>
          <w:w w:val="105"/>
        </w:rPr>
        <w:t> </w:t>
      </w:r>
      <w:r>
        <w:rPr>
          <w:color w:val="231F20"/>
          <w:w w:val="105"/>
        </w:rPr>
        <w:t>sin</w:t>
      </w:r>
      <w:r>
        <w:rPr>
          <w:color w:val="231F20"/>
          <w:spacing w:val="-17"/>
          <w:w w:val="105"/>
        </w:rPr>
        <w:t> </w:t>
      </w:r>
      <w:r>
        <w:rPr>
          <w:color w:val="231F20"/>
          <w:w w:val="105"/>
        </w:rPr>
        <w:t>agua</w:t>
      </w:r>
      <w:r>
        <w:rPr>
          <w:color w:val="231F20"/>
          <w:spacing w:val="-17"/>
          <w:w w:val="105"/>
        </w:rPr>
        <w:t> </w:t>
      </w:r>
      <w:r>
        <w:rPr>
          <w:color w:val="231F20"/>
          <w:w w:val="105"/>
        </w:rPr>
        <w:t>entubada;</w:t>
      </w:r>
      <w:r>
        <w:rPr>
          <w:color w:val="231F20"/>
          <w:spacing w:val="-17"/>
          <w:w w:val="105"/>
        </w:rPr>
        <w:t> </w:t>
      </w:r>
      <w:r>
        <w:rPr>
          <w:color w:val="231F20"/>
          <w:w w:val="105"/>
        </w:rPr>
        <w:t>el</w:t>
      </w:r>
      <w:r>
        <w:rPr>
          <w:color w:val="231F20"/>
          <w:spacing w:val="-17"/>
          <w:w w:val="105"/>
        </w:rPr>
        <w:t> </w:t>
      </w:r>
      <w:r>
        <w:rPr>
          <w:color w:val="231F20"/>
          <w:spacing w:val="-6"/>
          <w:w w:val="105"/>
        </w:rPr>
        <w:t>37.52</w:t>
      </w:r>
      <w:r>
        <w:rPr>
          <w:color w:val="231F20"/>
          <w:spacing w:val="-17"/>
          <w:w w:val="105"/>
        </w:rPr>
        <w:t> </w:t>
      </w:r>
      <w:r>
        <w:rPr>
          <w:color w:val="231F20"/>
          <w:w w:val="105"/>
        </w:rPr>
        <w:t>%</w:t>
      </w:r>
      <w:r>
        <w:rPr>
          <w:color w:val="231F20"/>
          <w:spacing w:val="-17"/>
          <w:w w:val="105"/>
        </w:rPr>
        <w:t> </w:t>
      </w:r>
      <w:r>
        <w:rPr>
          <w:color w:val="231F20"/>
          <w:w w:val="105"/>
        </w:rPr>
        <w:t>es</w:t>
      </w:r>
      <w:r>
        <w:rPr>
          <w:color w:val="231F20"/>
          <w:spacing w:val="-17"/>
          <w:w w:val="105"/>
        </w:rPr>
        <w:t> </w:t>
      </w:r>
      <w:r>
        <w:rPr>
          <w:color w:val="231F20"/>
          <w:w w:val="105"/>
        </w:rPr>
        <w:t>población</w:t>
      </w:r>
      <w:r>
        <w:rPr>
          <w:color w:val="231F20"/>
          <w:spacing w:val="-17"/>
          <w:w w:val="105"/>
        </w:rPr>
        <w:t> </w:t>
      </w:r>
      <w:r>
        <w:rPr>
          <w:color w:val="231F20"/>
          <w:w w:val="105"/>
        </w:rPr>
        <w:t>ocupada</w:t>
      </w:r>
      <w:r>
        <w:rPr>
          <w:color w:val="231F20"/>
          <w:spacing w:val="-17"/>
          <w:w w:val="105"/>
        </w:rPr>
        <w:t> </w:t>
      </w:r>
      <w:r>
        <w:rPr>
          <w:color w:val="231F20"/>
          <w:w w:val="105"/>
        </w:rPr>
        <w:t>con</w:t>
      </w:r>
      <w:r>
        <w:rPr>
          <w:color w:val="231F20"/>
          <w:spacing w:val="-17"/>
          <w:w w:val="105"/>
        </w:rPr>
        <w:t> </w:t>
      </w:r>
      <w:r>
        <w:rPr>
          <w:color w:val="231F20"/>
          <w:w w:val="105"/>
        </w:rPr>
        <w:t>ingreso de hasta 2 salarios</w:t>
      </w:r>
      <w:r>
        <w:rPr>
          <w:color w:val="231F20"/>
          <w:spacing w:val="-27"/>
          <w:w w:val="105"/>
        </w:rPr>
        <w:t> </w:t>
      </w:r>
      <w:r>
        <w:rPr>
          <w:color w:val="231F20"/>
          <w:w w:val="105"/>
        </w:rPr>
        <w:t>mínimos.</w:t>
      </w:r>
    </w:p>
    <w:p>
      <w:pPr>
        <w:pStyle w:val="BodyText"/>
        <w:spacing w:before="1"/>
        <w:rPr>
          <w:sz w:val="26"/>
        </w:rPr>
      </w:pPr>
    </w:p>
    <w:p>
      <w:pPr>
        <w:pStyle w:val="BodyText"/>
        <w:spacing w:line="285" w:lineRule="auto"/>
        <w:ind w:left="110" w:right="107"/>
        <w:jc w:val="both"/>
      </w:pPr>
      <w:r>
        <w:rPr>
          <w:color w:val="231F20"/>
          <w:w w:val="105"/>
        </w:rPr>
        <w:t>Según</w:t>
      </w:r>
      <w:r>
        <w:rPr>
          <w:color w:val="231F20"/>
          <w:spacing w:val="-18"/>
          <w:w w:val="105"/>
        </w:rPr>
        <w:t> </w:t>
      </w:r>
      <w:r>
        <w:rPr>
          <w:color w:val="231F20"/>
          <w:w w:val="105"/>
        </w:rPr>
        <w:t>el</w:t>
      </w:r>
      <w:r>
        <w:rPr>
          <w:color w:val="231F20"/>
          <w:spacing w:val="-18"/>
          <w:w w:val="105"/>
        </w:rPr>
        <w:t> </w:t>
      </w:r>
      <w:r>
        <w:rPr>
          <w:color w:val="231F20"/>
          <w:w w:val="105"/>
        </w:rPr>
        <w:t>Plan</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Municipal</w:t>
      </w:r>
      <w:r>
        <w:rPr>
          <w:color w:val="231F20"/>
          <w:spacing w:val="-18"/>
          <w:w w:val="105"/>
        </w:rPr>
        <w:t> </w:t>
      </w:r>
      <w:r>
        <w:rPr>
          <w:color w:val="231F20"/>
          <w:spacing w:val="3"/>
          <w:w w:val="105"/>
        </w:rPr>
        <w:t>2006</w:t>
      </w:r>
      <w:r>
        <w:rPr>
          <w:color w:val="231F20"/>
          <w:spacing w:val="-18"/>
          <w:w w:val="105"/>
        </w:rPr>
        <w:t> </w:t>
      </w:r>
      <w:r>
        <w:rPr>
          <w:color w:val="231F20"/>
          <w:w w:val="105"/>
        </w:rPr>
        <w:t>–</w:t>
      </w:r>
      <w:r>
        <w:rPr>
          <w:color w:val="231F20"/>
          <w:spacing w:val="-18"/>
          <w:w w:val="105"/>
        </w:rPr>
        <w:t> </w:t>
      </w:r>
      <w:r>
        <w:rPr>
          <w:color w:val="231F20"/>
          <w:w w:val="105"/>
        </w:rPr>
        <w:t>2009,</w:t>
      </w:r>
      <w:r>
        <w:rPr>
          <w:color w:val="231F20"/>
          <w:spacing w:val="-18"/>
          <w:w w:val="105"/>
        </w:rPr>
        <w:t> </w:t>
      </w:r>
      <w:r>
        <w:rPr>
          <w:color w:val="231F20"/>
          <w:w w:val="105"/>
        </w:rPr>
        <w:t>los</w:t>
      </w:r>
      <w:r>
        <w:rPr>
          <w:color w:val="231F20"/>
          <w:spacing w:val="-18"/>
          <w:w w:val="105"/>
        </w:rPr>
        <w:t> </w:t>
      </w:r>
      <w:r>
        <w:rPr>
          <w:color w:val="231F20"/>
          <w:w w:val="105"/>
        </w:rPr>
        <w:t>datos</w:t>
      </w:r>
      <w:r>
        <w:rPr>
          <w:color w:val="231F20"/>
          <w:spacing w:val="-18"/>
          <w:w w:val="105"/>
        </w:rPr>
        <w:t> </w:t>
      </w:r>
      <w:r>
        <w:rPr>
          <w:color w:val="231F20"/>
          <w:w w:val="105"/>
        </w:rPr>
        <w:t>son</w:t>
      </w:r>
      <w:r>
        <w:rPr>
          <w:color w:val="231F20"/>
          <w:spacing w:val="-18"/>
          <w:w w:val="105"/>
        </w:rPr>
        <w:t> </w:t>
      </w:r>
      <w:r>
        <w:rPr>
          <w:color w:val="231F20"/>
          <w:w w:val="105"/>
        </w:rPr>
        <w:t>los</w:t>
      </w:r>
      <w:r>
        <w:rPr>
          <w:color w:val="231F20"/>
          <w:spacing w:val="-18"/>
          <w:w w:val="105"/>
        </w:rPr>
        <w:t> </w:t>
      </w:r>
      <w:r>
        <w:rPr>
          <w:color w:val="231F20"/>
          <w:w w:val="105"/>
        </w:rPr>
        <w:t>siguientes:</w:t>
      </w:r>
      <w:r>
        <w:rPr>
          <w:color w:val="231F20"/>
          <w:spacing w:val="-18"/>
          <w:w w:val="105"/>
        </w:rPr>
        <w:t> </w:t>
      </w:r>
      <w:r>
        <w:rPr>
          <w:color w:val="231F20"/>
          <w:w w:val="105"/>
        </w:rPr>
        <w:t>La</w:t>
      </w:r>
      <w:r>
        <w:rPr>
          <w:color w:val="231F20"/>
          <w:spacing w:val="-18"/>
          <w:w w:val="105"/>
        </w:rPr>
        <w:t> </w:t>
      </w:r>
      <w:r>
        <w:rPr>
          <w:color w:val="231F20"/>
          <w:w w:val="105"/>
        </w:rPr>
        <w:t>po- blación</w:t>
      </w:r>
      <w:r>
        <w:rPr>
          <w:color w:val="231F20"/>
          <w:spacing w:val="-25"/>
          <w:w w:val="105"/>
        </w:rPr>
        <w:t> </w:t>
      </w:r>
      <w:r>
        <w:rPr>
          <w:color w:val="231F20"/>
          <w:w w:val="105"/>
        </w:rPr>
        <w:t>del</w:t>
      </w:r>
      <w:r>
        <w:rPr>
          <w:color w:val="231F20"/>
          <w:spacing w:val="-25"/>
          <w:w w:val="105"/>
        </w:rPr>
        <w:t> </w:t>
      </w:r>
      <w:r>
        <w:rPr>
          <w:color w:val="231F20"/>
          <w:w w:val="105"/>
        </w:rPr>
        <w:t>municipio</w:t>
      </w:r>
      <w:r>
        <w:rPr>
          <w:color w:val="231F20"/>
          <w:spacing w:val="-25"/>
          <w:w w:val="105"/>
        </w:rPr>
        <w:t> </w:t>
      </w:r>
      <w:r>
        <w:rPr>
          <w:color w:val="231F20"/>
          <w:w w:val="105"/>
        </w:rPr>
        <w:t>de</w:t>
      </w:r>
      <w:r>
        <w:rPr>
          <w:color w:val="231F20"/>
          <w:spacing w:val="-25"/>
          <w:w w:val="105"/>
        </w:rPr>
        <w:t> </w:t>
      </w:r>
      <w:r>
        <w:rPr>
          <w:color w:val="231F20"/>
          <w:w w:val="105"/>
        </w:rPr>
        <w:t>Tlalnepantla</w:t>
      </w:r>
      <w:r>
        <w:rPr>
          <w:color w:val="231F20"/>
          <w:spacing w:val="-25"/>
          <w:w w:val="105"/>
        </w:rPr>
        <w:t> </w:t>
      </w:r>
      <w:r>
        <w:rPr>
          <w:color w:val="231F20"/>
          <w:w w:val="105"/>
        </w:rPr>
        <w:t>es</w:t>
      </w:r>
      <w:r>
        <w:rPr>
          <w:color w:val="231F20"/>
          <w:spacing w:val="-25"/>
          <w:w w:val="105"/>
        </w:rPr>
        <w:t> </w:t>
      </w:r>
      <w:r>
        <w:rPr>
          <w:color w:val="231F20"/>
          <w:spacing w:val="-3"/>
          <w:w w:val="105"/>
        </w:rPr>
        <w:t>99.99%</w:t>
      </w:r>
      <w:r>
        <w:rPr>
          <w:color w:val="231F20"/>
          <w:spacing w:val="-25"/>
          <w:w w:val="105"/>
        </w:rPr>
        <w:t> </w:t>
      </w:r>
      <w:r>
        <w:rPr>
          <w:color w:val="231F20"/>
          <w:w w:val="105"/>
        </w:rPr>
        <w:t>urbana10,</w:t>
      </w:r>
      <w:r>
        <w:rPr>
          <w:color w:val="231F20"/>
          <w:spacing w:val="-25"/>
          <w:w w:val="105"/>
        </w:rPr>
        <w:t> </w:t>
      </w:r>
      <w:r>
        <w:rPr>
          <w:color w:val="231F20"/>
          <w:spacing w:val="2"/>
          <w:w w:val="105"/>
        </w:rPr>
        <w:t>al</w:t>
      </w:r>
      <w:r>
        <w:rPr>
          <w:color w:val="231F20"/>
          <w:spacing w:val="-25"/>
          <w:w w:val="105"/>
        </w:rPr>
        <w:t> </w:t>
      </w:r>
      <w:r>
        <w:rPr>
          <w:color w:val="231F20"/>
          <w:w w:val="105"/>
        </w:rPr>
        <w:t>año</w:t>
      </w:r>
      <w:r>
        <w:rPr>
          <w:color w:val="231F20"/>
          <w:spacing w:val="-25"/>
          <w:w w:val="105"/>
        </w:rPr>
        <w:t> </w:t>
      </w:r>
      <w:r>
        <w:rPr>
          <w:color w:val="231F20"/>
          <w:spacing w:val="3"/>
          <w:w w:val="105"/>
        </w:rPr>
        <w:t>2005</w:t>
      </w:r>
      <w:r>
        <w:rPr>
          <w:color w:val="231F20"/>
          <w:spacing w:val="-25"/>
          <w:w w:val="105"/>
        </w:rPr>
        <w:t> </w:t>
      </w:r>
      <w:r>
        <w:rPr>
          <w:color w:val="231F20"/>
          <w:w w:val="105"/>
        </w:rPr>
        <w:t>sólo</w:t>
      </w:r>
      <w:r>
        <w:rPr>
          <w:color w:val="231F20"/>
          <w:spacing w:val="-25"/>
          <w:w w:val="105"/>
        </w:rPr>
        <w:t> </w:t>
      </w:r>
      <w:r>
        <w:rPr>
          <w:color w:val="231F20"/>
          <w:w w:val="105"/>
        </w:rPr>
        <w:t>23</w:t>
      </w:r>
      <w:r>
        <w:rPr>
          <w:color w:val="231F20"/>
          <w:spacing w:val="-25"/>
          <w:w w:val="105"/>
        </w:rPr>
        <w:t> </w:t>
      </w:r>
      <w:r>
        <w:rPr>
          <w:color w:val="231F20"/>
          <w:w w:val="105"/>
        </w:rPr>
        <w:t>personas viven en localidades de menos de 100 habitantes. En los últimos 25 años la población decreció 12.13%, situación que impacta positivamente en la densidad poblacional, la cual disminuyó en </w:t>
      </w:r>
      <w:r>
        <w:rPr>
          <w:color w:val="231F20"/>
          <w:spacing w:val="-4"/>
          <w:w w:val="105"/>
        </w:rPr>
        <w:t>1,105 </w:t>
      </w:r>
      <w:r>
        <w:rPr>
          <w:color w:val="231F20"/>
          <w:w w:val="105"/>
        </w:rPr>
        <w:t>personas por cada kilómetro cuadrado en relación a 1980. La población,</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año</w:t>
      </w:r>
      <w:r>
        <w:rPr>
          <w:color w:val="231F20"/>
          <w:spacing w:val="-8"/>
          <w:w w:val="105"/>
        </w:rPr>
        <w:t> </w:t>
      </w:r>
      <w:r>
        <w:rPr>
          <w:color w:val="231F20"/>
          <w:spacing w:val="2"/>
          <w:w w:val="105"/>
        </w:rPr>
        <w:t>2005,</w:t>
      </w:r>
      <w:r>
        <w:rPr>
          <w:color w:val="231F20"/>
          <w:spacing w:val="-8"/>
          <w:w w:val="105"/>
        </w:rPr>
        <w:t> </w:t>
      </w:r>
      <w:r>
        <w:rPr>
          <w:color w:val="231F20"/>
          <w:w w:val="105"/>
        </w:rPr>
        <w:t>era</w:t>
      </w:r>
      <w:r>
        <w:rPr>
          <w:color w:val="231F20"/>
          <w:spacing w:val="-8"/>
          <w:w w:val="105"/>
        </w:rPr>
        <w:t> </w:t>
      </w:r>
      <w:r>
        <w:rPr>
          <w:color w:val="231F20"/>
          <w:w w:val="105"/>
        </w:rPr>
        <w:t>de</w:t>
      </w:r>
      <w:r>
        <w:rPr>
          <w:color w:val="231F20"/>
          <w:spacing w:val="-8"/>
          <w:w w:val="105"/>
        </w:rPr>
        <w:t> </w:t>
      </w:r>
      <w:r>
        <w:rPr>
          <w:color w:val="231F20"/>
          <w:w w:val="105"/>
        </w:rPr>
        <w:t>683,808</w:t>
      </w:r>
      <w:r>
        <w:rPr>
          <w:color w:val="231F20"/>
          <w:spacing w:val="-8"/>
          <w:w w:val="105"/>
        </w:rPr>
        <w:t> </w:t>
      </w:r>
      <w:r>
        <w:rPr>
          <w:color w:val="231F20"/>
          <w:w w:val="105"/>
        </w:rPr>
        <w:t>habitantes,</w:t>
      </w:r>
      <w:r>
        <w:rPr>
          <w:color w:val="231F20"/>
          <w:spacing w:val="-8"/>
          <w:w w:val="105"/>
        </w:rPr>
        <w:t> </w:t>
      </w:r>
      <w:r>
        <w:rPr>
          <w:color w:val="231F20"/>
          <w:w w:val="105"/>
        </w:rPr>
        <w:t>con</w:t>
      </w:r>
      <w:r>
        <w:rPr>
          <w:color w:val="231F20"/>
          <w:spacing w:val="-8"/>
          <w:w w:val="105"/>
        </w:rPr>
        <w:t> </w:t>
      </w:r>
      <w:r>
        <w:rPr>
          <w:color w:val="231F20"/>
          <w:w w:val="105"/>
        </w:rPr>
        <w:t>una</w:t>
      </w:r>
      <w:r>
        <w:rPr>
          <w:color w:val="231F20"/>
          <w:spacing w:val="-8"/>
          <w:w w:val="105"/>
        </w:rPr>
        <w:t> </w:t>
      </w:r>
      <w:r>
        <w:rPr>
          <w:color w:val="231F20"/>
          <w:w w:val="105"/>
        </w:rPr>
        <w:t>densidad</w:t>
      </w:r>
      <w:r>
        <w:rPr>
          <w:color w:val="231F20"/>
          <w:spacing w:val="-8"/>
          <w:w w:val="105"/>
        </w:rPr>
        <w:t> </w:t>
      </w:r>
      <w:r>
        <w:rPr>
          <w:color w:val="231F20"/>
          <w:w w:val="105"/>
        </w:rPr>
        <w:t>poblacional</w:t>
      </w:r>
      <w:r>
        <w:rPr>
          <w:color w:val="231F20"/>
          <w:spacing w:val="-8"/>
          <w:w w:val="105"/>
        </w:rPr>
        <w:t> </w:t>
      </w:r>
      <w:r>
        <w:rPr>
          <w:color w:val="231F20"/>
          <w:w w:val="105"/>
        </w:rPr>
        <w:t>de </w:t>
      </w:r>
      <w:r>
        <w:rPr>
          <w:color w:val="231F20"/>
          <w:spacing w:val="-3"/>
          <w:w w:val="105"/>
        </w:rPr>
        <w:t>8007.12</w:t>
      </w:r>
      <w:r>
        <w:rPr>
          <w:color w:val="231F20"/>
          <w:spacing w:val="-13"/>
          <w:w w:val="105"/>
        </w:rPr>
        <w:t> </w:t>
      </w:r>
      <w:r>
        <w:rPr>
          <w:color w:val="231F20"/>
          <w:w w:val="105"/>
        </w:rPr>
        <w:t>habitantes</w:t>
      </w:r>
      <w:r>
        <w:rPr>
          <w:color w:val="231F20"/>
          <w:spacing w:val="-13"/>
          <w:w w:val="105"/>
        </w:rPr>
        <w:t> </w:t>
      </w:r>
      <w:r>
        <w:rPr>
          <w:color w:val="231F20"/>
          <w:w w:val="105"/>
        </w:rPr>
        <w:t>por</w:t>
      </w:r>
      <w:r>
        <w:rPr>
          <w:color w:val="231F20"/>
          <w:spacing w:val="-13"/>
          <w:w w:val="105"/>
        </w:rPr>
        <w:t> </w:t>
      </w:r>
      <w:r>
        <w:rPr>
          <w:color w:val="231F20"/>
          <w:spacing w:val="3"/>
          <w:w w:val="105"/>
        </w:rPr>
        <w:t>Km</w:t>
      </w:r>
      <w:r>
        <w:rPr>
          <w:color w:val="231F20"/>
          <w:spacing w:val="3"/>
          <w:w w:val="105"/>
          <w:position w:val="7"/>
          <w:sz w:val="13"/>
        </w:rPr>
        <w:t>2</w:t>
      </w:r>
      <w:r>
        <w:rPr>
          <w:color w:val="231F20"/>
          <w:spacing w:val="3"/>
          <w:w w:val="105"/>
        </w:rPr>
        <w:t>,</w:t>
      </w:r>
      <w:r>
        <w:rPr>
          <w:color w:val="231F20"/>
          <w:spacing w:val="-13"/>
          <w:w w:val="105"/>
        </w:rPr>
        <w:t> </w:t>
      </w:r>
      <w:r>
        <w:rPr>
          <w:color w:val="231F20"/>
          <w:w w:val="105"/>
        </w:rPr>
        <w:t>según</w:t>
      </w:r>
      <w:r>
        <w:rPr>
          <w:color w:val="231F20"/>
          <w:spacing w:val="-13"/>
          <w:w w:val="105"/>
        </w:rPr>
        <w:t> </w:t>
      </w:r>
      <w:r>
        <w:rPr>
          <w:color w:val="231F20"/>
          <w:w w:val="105"/>
        </w:rPr>
        <w:t>el</w:t>
      </w:r>
      <w:r>
        <w:rPr>
          <w:color w:val="231F20"/>
          <w:spacing w:val="-13"/>
          <w:w w:val="105"/>
        </w:rPr>
        <w:t> </w:t>
      </w:r>
      <w:r>
        <w:rPr>
          <w:color w:val="231F20"/>
          <w:w w:val="105"/>
        </w:rPr>
        <w:t>II</w:t>
      </w:r>
      <w:r>
        <w:rPr>
          <w:color w:val="231F20"/>
          <w:spacing w:val="-13"/>
          <w:w w:val="105"/>
        </w:rPr>
        <w:t> </w:t>
      </w:r>
      <w:r>
        <w:rPr>
          <w:color w:val="231F20"/>
          <w:w w:val="105"/>
        </w:rPr>
        <w:t>Conteo</w:t>
      </w:r>
      <w:r>
        <w:rPr>
          <w:color w:val="231F20"/>
          <w:spacing w:val="-13"/>
          <w:w w:val="105"/>
        </w:rPr>
        <w:t> </w:t>
      </w:r>
      <w:r>
        <w:rPr>
          <w:color w:val="231F20"/>
          <w:w w:val="105"/>
        </w:rPr>
        <w:t>de</w:t>
      </w:r>
      <w:r>
        <w:rPr>
          <w:color w:val="231F20"/>
          <w:spacing w:val="-13"/>
          <w:w w:val="105"/>
        </w:rPr>
        <w:t> </w:t>
      </w:r>
      <w:r>
        <w:rPr>
          <w:color w:val="231F20"/>
          <w:spacing w:val="-3"/>
          <w:w w:val="105"/>
        </w:rPr>
        <w:t>Población</w:t>
      </w:r>
      <w:r>
        <w:rPr>
          <w:color w:val="231F20"/>
          <w:spacing w:val="-13"/>
          <w:w w:val="105"/>
        </w:rPr>
        <w:t> </w:t>
      </w:r>
      <w:r>
        <w:rPr>
          <w:color w:val="231F20"/>
          <w:w w:val="105"/>
        </w:rPr>
        <w:t>y</w:t>
      </w:r>
      <w:r>
        <w:rPr>
          <w:color w:val="231F20"/>
          <w:spacing w:val="-13"/>
          <w:w w:val="105"/>
        </w:rPr>
        <w:t> </w:t>
      </w:r>
      <w:r>
        <w:rPr>
          <w:color w:val="231F20"/>
          <w:w w:val="105"/>
        </w:rPr>
        <w:t>Vivienda,</w:t>
      </w:r>
      <w:r>
        <w:rPr>
          <w:color w:val="231F20"/>
          <w:spacing w:val="-13"/>
          <w:w w:val="105"/>
        </w:rPr>
        <w:t> </w:t>
      </w:r>
      <w:r>
        <w:rPr>
          <w:color w:val="231F20"/>
          <w:spacing w:val="2"/>
          <w:w w:val="105"/>
        </w:rPr>
        <w:t>2005.</w:t>
      </w:r>
      <w:r>
        <w:rPr>
          <w:color w:val="231F20"/>
          <w:spacing w:val="-13"/>
          <w:w w:val="105"/>
        </w:rPr>
        <w:t> </w:t>
      </w:r>
      <w:r>
        <w:rPr>
          <w:color w:val="231F20"/>
          <w:w w:val="105"/>
        </w:rPr>
        <w:t>De</w:t>
      </w:r>
      <w:r>
        <w:rPr>
          <w:color w:val="231F20"/>
          <w:spacing w:val="-13"/>
          <w:w w:val="105"/>
        </w:rPr>
        <w:t> </w:t>
      </w:r>
      <w:r>
        <w:rPr>
          <w:color w:val="231F20"/>
          <w:w w:val="105"/>
        </w:rPr>
        <w:t>esta cifra,</w:t>
      </w:r>
      <w:r>
        <w:rPr>
          <w:color w:val="231F20"/>
          <w:spacing w:val="-28"/>
          <w:w w:val="105"/>
        </w:rPr>
        <w:t> </w:t>
      </w:r>
      <w:r>
        <w:rPr>
          <w:color w:val="231F20"/>
          <w:w w:val="105"/>
        </w:rPr>
        <w:t>352,665</w:t>
      </w:r>
      <w:r>
        <w:rPr>
          <w:color w:val="231F20"/>
          <w:spacing w:val="-28"/>
          <w:w w:val="105"/>
        </w:rPr>
        <w:t> </w:t>
      </w:r>
      <w:r>
        <w:rPr>
          <w:color w:val="231F20"/>
          <w:w w:val="105"/>
        </w:rPr>
        <w:t>son</w:t>
      </w:r>
      <w:r>
        <w:rPr>
          <w:color w:val="231F20"/>
          <w:spacing w:val="-28"/>
          <w:w w:val="105"/>
        </w:rPr>
        <w:t> </w:t>
      </w:r>
      <w:r>
        <w:rPr>
          <w:color w:val="231F20"/>
          <w:w w:val="105"/>
        </w:rPr>
        <w:t>mujeres</w:t>
      </w:r>
      <w:r>
        <w:rPr>
          <w:color w:val="231F20"/>
          <w:spacing w:val="-28"/>
          <w:w w:val="105"/>
        </w:rPr>
        <w:t> </w:t>
      </w:r>
      <w:r>
        <w:rPr>
          <w:color w:val="231F20"/>
          <w:w w:val="105"/>
        </w:rPr>
        <w:t>y</w:t>
      </w:r>
      <w:r>
        <w:rPr>
          <w:color w:val="231F20"/>
          <w:spacing w:val="-28"/>
          <w:w w:val="105"/>
        </w:rPr>
        <w:t> </w:t>
      </w:r>
      <w:r>
        <w:rPr>
          <w:color w:val="231F20"/>
          <w:spacing w:val="-6"/>
          <w:w w:val="105"/>
        </w:rPr>
        <w:t>331,143</w:t>
      </w:r>
      <w:r>
        <w:rPr>
          <w:color w:val="231F20"/>
          <w:spacing w:val="-28"/>
          <w:w w:val="105"/>
        </w:rPr>
        <w:t> </w:t>
      </w:r>
      <w:r>
        <w:rPr>
          <w:color w:val="231F20"/>
          <w:w w:val="105"/>
        </w:rPr>
        <w:t>hombres.</w:t>
      </w:r>
    </w:p>
    <w:p>
      <w:pPr>
        <w:pStyle w:val="BodyText"/>
        <w:spacing w:before="3"/>
        <w:rPr>
          <w:sz w:val="20"/>
        </w:rPr>
      </w:pPr>
    </w:p>
    <w:p>
      <w:pPr>
        <w:pStyle w:val="Heading4"/>
        <w:rPr>
          <w:i/>
        </w:rPr>
      </w:pPr>
      <w:r>
        <w:rPr>
          <w:i/>
          <w:color w:val="231F20"/>
        </w:rPr>
        <w:t>Gestión 2000 – 2003</w:t>
      </w:r>
    </w:p>
    <w:p>
      <w:pPr>
        <w:pStyle w:val="BodyText"/>
        <w:spacing w:line="285" w:lineRule="auto" w:before="16"/>
        <w:ind w:left="110" w:right="107"/>
        <w:jc w:val="both"/>
      </w:pPr>
      <w:r>
        <w:rPr>
          <w:color w:val="231F20"/>
          <w:w w:val="105"/>
        </w:rPr>
        <w:t>Antes</w:t>
      </w:r>
      <w:r>
        <w:rPr>
          <w:color w:val="231F20"/>
          <w:spacing w:val="-14"/>
          <w:w w:val="105"/>
        </w:rPr>
        <w:t> </w:t>
      </w:r>
      <w:r>
        <w:rPr>
          <w:color w:val="231F20"/>
          <w:w w:val="105"/>
        </w:rPr>
        <w:t>de</w:t>
      </w:r>
      <w:r>
        <w:rPr>
          <w:color w:val="231F20"/>
          <w:spacing w:val="-14"/>
          <w:w w:val="105"/>
        </w:rPr>
        <w:t> </w:t>
      </w:r>
      <w:r>
        <w:rPr>
          <w:color w:val="231F20"/>
          <w:w w:val="105"/>
        </w:rPr>
        <w:t>iniciar</w:t>
      </w:r>
      <w:r>
        <w:rPr>
          <w:color w:val="231F20"/>
          <w:spacing w:val="-14"/>
          <w:w w:val="105"/>
        </w:rPr>
        <w:t> </w:t>
      </w:r>
      <w:r>
        <w:rPr>
          <w:color w:val="231F20"/>
          <w:w w:val="105"/>
        </w:rPr>
        <w:t>de</w:t>
      </w:r>
      <w:r>
        <w:rPr>
          <w:color w:val="231F20"/>
          <w:spacing w:val="-14"/>
          <w:w w:val="105"/>
        </w:rPr>
        <w:t> </w:t>
      </w:r>
      <w:r>
        <w:rPr>
          <w:color w:val="231F20"/>
          <w:w w:val="105"/>
        </w:rPr>
        <w:t>lleno</w:t>
      </w:r>
      <w:r>
        <w:rPr>
          <w:color w:val="231F20"/>
          <w:spacing w:val="-14"/>
          <w:w w:val="105"/>
        </w:rPr>
        <w:t> </w:t>
      </w:r>
      <w:r>
        <w:rPr>
          <w:color w:val="231F20"/>
          <w:w w:val="105"/>
        </w:rPr>
        <w:t>el</w:t>
      </w:r>
      <w:r>
        <w:rPr>
          <w:color w:val="231F20"/>
          <w:spacing w:val="-14"/>
          <w:w w:val="105"/>
        </w:rPr>
        <w:t> </w:t>
      </w:r>
      <w:r>
        <w:rPr>
          <w:color w:val="231F20"/>
          <w:w w:val="105"/>
        </w:rPr>
        <w:t>estudio</w:t>
      </w:r>
      <w:r>
        <w:rPr>
          <w:color w:val="231F20"/>
          <w:spacing w:val="-14"/>
          <w:w w:val="105"/>
        </w:rPr>
        <w:t> </w:t>
      </w:r>
      <w:r>
        <w:rPr>
          <w:color w:val="231F20"/>
          <w:w w:val="105"/>
        </w:rPr>
        <w:t>de</w:t>
      </w:r>
      <w:r>
        <w:rPr>
          <w:color w:val="231F20"/>
          <w:spacing w:val="-14"/>
          <w:w w:val="105"/>
        </w:rPr>
        <w:t> </w:t>
      </w:r>
      <w:r>
        <w:rPr>
          <w:color w:val="231F20"/>
          <w:w w:val="105"/>
        </w:rPr>
        <w:t>este</w:t>
      </w:r>
      <w:r>
        <w:rPr>
          <w:color w:val="231F20"/>
          <w:spacing w:val="-14"/>
          <w:w w:val="105"/>
        </w:rPr>
        <w:t> </w:t>
      </w:r>
      <w:r>
        <w:rPr>
          <w:color w:val="231F20"/>
          <w:w w:val="105"/>
        </w:rPr>
        <w:t>periodo,</w:t>
      </w:r>
      <w:r>
        <w:rPr>
          <w:color w:val="231F20"/>
          <w:spacing w:val="-14"/>
          <w:w w:val="105"/>
        </w:rPr>
        <w:t> </w:t>
      </w:r>
      <w:r>
        <w:rPr>
          <w:color w:val="231F20"/>
          <w:w w:val="105"/>
        </w:rPr>
        <w:t>debemos</w:t>
      </w:r>
      <w:r>
        <w:rPr>
          <w:color w:val="231F20"/>
          <w:spacing w:val="-14"/>
          <w:w w:val="105"/>
        </w:rPr>
        <w:t> </w:t>
      </w:r>
      <w:r>
        <w:rPr>
          <w:color w:val="231F20"/>
          <w:w w:val="105"/>
        </w:rPr>
        <w:t>hacer</w:t>
      </w:r>
      <w:r>
        <w:rPr>
          <w:color w:val="231F20"/>
          <w:spacing w:val="-14"/>
          <w:w w:val="105"/>
        </w:rPr>
        <w:t> </w:t>
      </w:r>
      <w:r>
        <w:rPr>
          <w:color w:val="231F20"/>
          <w:w w:val="105"/>
        </w:rPr>
        <w:t>una</w:t>
      </w:r>
      <w:r>
        <w:rPr>
          <w:color w:val="231F20"/>
          <w:spacing w:val="-14"/>
          <w:w w:val="105"/>
        </w:rPr>
        <w:t> </w:t>
      </w:r>
      <w:r>
        <w:rPr>
          <w:color w:val="231F20"/>
          <w:w w:val="105"/>
        </w:rPr>
        <w:t>aclaración.</w:t>
      </w:r>
      <w:r>
        <w:rPr>
          <w:color w:val="231F20"/>
          <w:spacing w:val="-14"/>
          <w:w w:val="105"/>
        </w:rPr>
        <w:t> </w:t>
      </w:r>
      <w:r>
        <w:rPr>
          <w:color w:val="231F20"/>
          <w:w w:val="105"/>
        </w:rPr>
        <w:t>Para el periodo de Rubén Mendoza Ayala hubo un déficit de información en comparación con</w:t>
      </w:r>
      <w:r>
        <w:rPr>
          <w:color w:val="231F20"/>
          <w:spacing w:val="-16"/>
          <w:w w:val="105"/>
        </w:rPr>
        <w:t> </w:t>
      </w:r>
      <w:r>
        <w:rPr>
          <w:color w:val="231F20"/>
          <w:w w:val="105"/>
        </w:rPr>
        <w:t>las</w:t>
      </w:r>
      <w:r>
        <w:rPr>
          <w:color w:val="231F20"/>
          <w:spacing w:val="-16"/>
          <w:w w:val="105"/>
        </w:rPr>
        <w:t> </w:t>
      </w:r>
      <w:r>
        <w:rPr>
          <w:color w:val="231F20"/>
          <w:w w:val="105"/>
        </w:rPr>
        <w:t>otras</w:t>
      </w:r>
      <w:r>
        <w:rPr>
          <w:color w:val="231F20"/>
          <w:spacing w:val="-16"/>
          <w:w w:val="105"/>
        </w:rPr>
        <w:t> </w:t>
      </w:r>
      <w:r>
        <w:rPr>
          <w:color w:val="231F20"/>
          <w:w w:val="105"/>
        </w:rPr>
        <w:t>dos</w:t>
      </w:r>
      <w:r>
        <w:rPr>
          <w:color w:val="231F20"/>
          <w:spacing w:val="-16"/>
          <w:w w:val="105"/>
        </w:rPr>
        <w:t> </w:t>
      </w:r>
      <w:r>
        <w:rPr>
          <w:color w:val="231F20"/>
          <w:w w:val="105"/>
        </w:rPr>
        <w:t>gestiones</w:t>
      </w:r>
      <w:r>
        <w:rPr>
          <w:color w:val="231F20"/>
          <w:spacing w:val="-16"/>
          <w:w w:val="105"/>
        </w:rPr>
        <w:t> </w:t>
      </w:r>
      <w:r>
        <w:rPr>
          <w:color w:val="231F20"/>
          <w:w w:val="105"/>
        </w:rPr>
        <w:t>que</w:t>
      </w:r>
      <w:r>
        <w:rPr>
          <w:color w:val="231F20"/>
          <w:spacing w:val="-16"/>
          <w:w w:val="105"/>
        </w:rPr>
        <w:t> </w:t>
      </w:r>
      <w:r>
        <w:rPr>
          <w:color w:val="231F20"/>
          <w:w w:val="105"/>
        </w:rPr>
        <w:t>analizamos,</w:t>
      </w:r>
      <w:r>
        <w:rPr>
          <w:color w:val="231F20"/>
          <w:spacing w:val="-16"/>
          <w:w w:val="105"/>
        </w:rPr>
        <w:t> </w:t>
      </w:r>
      <w:r>
        <w:rPr>
          <w:color w:val="231F20"/>
          <w:w w:val="105"/>
        </w:rPr>
        <w:t>por</w:t>
      </w:r>
      <w:r>
        <w:rPr>
          <w:color w:val="231F20"/>
          <w:spacing w:val="-16"/>
          <w:w w:val="105"/>
        </w:rPr>
        <w:t> </w:t>
      </w:r>
      <w:r>
        <w:rPr>
          <w:color w:val="231F20"/>
          <w:w w:val="105"/>
        </w:rPr>
        <w:t>lo</w:t>
      </w:r>
      <w:r>
        <w:rPr>
          <w:color w:val="231F20"/>
          <w:spacing w:val="-16"/>
          <w:w w:val="105"/>
        </w:rPr>
        <w:t> </w:t>
      </w:r>
      <w:r>
        <w:rPr>
          <w:color w:val="231F20"/>
          <w:w w:val="105"/>
        </w:rPr>
        <w:t>cual</w:t>
      </w:r>
      <w:r>
        <w:rPr>
          <w:color w:val="231F20"/>
          <w:spacing w:val="-16"/>
          <w:w w:val="105"/>
        </w:rPr>
        <w:t> </w:t>
      </w:r>
      <w:r>
        <w:rPr>
          <w:color w:val="231F20"/>
          <w:w w:val="105"/>
        </w:rPr>
        <w:t>se</w:t>
      </w:r>
      <w:r>
        <w:rPr>
          <w:color w:val="231F20"/>
          <w:spacing w:val="-16"/>
          <w:w w:val="105"/>
        </w:rPr>
        <w:t> </w:t>
      </w:r>
      <w:r>
        <w:rPr>
          <w:color w:val="231F20"/>
          <w:w w:val="105"/>
        </w:rPr>
        <w:t>pueden</w:t>
      </w:r>
      <w:r>
        <w:rPr>
          <w:color w:val="231F20"/>
          <w:spacing w:val="-16"/>
          <w:w w:val="105"/>
        </w:rPr>
        <w:t> </w:t>
      </w:r>
      <w:r>
        <w:rPr>
          <w:color w:val="231F20"/>
          <w:w w:val="105"/>
        </w:rPr>
        <w:t>observar</w:t>
      </w:r>
      <w:r>
        <w:rPr>
          <w:color w:val="231F20"/>
          <w:spacing w:val="-16"/>
          <w:w w:val="105"/>
        </w:rPr>
        <w:t> </w:t>
      </w:r>
      <w:r>
        <w:rPr>
          <w:color w:val="231F20"/>
          <w:w w:val="105"/>
        </w:rPr>
        <w:t>menos</w:t>
      </w:r>
      <w:r>
        <w:rPr>
          <w:color w:val="231F20"/>
          <w:spacing w:val="-16"/>
          <w:w w:val="105"/>
        </w:rPr>
        <w:t> </w:t>
      </w:r>
      <w:r>
        <w:rPr>
          <w:color w:val="231F20"/>
          <w:w w:val="105"/>
        </w:rPr>
        <w:t>temas abordados</w:t>
      </w:r>
      <w:r>
        <w:rPr>
          <w:color w:val="231F20"/>
          <w:spacing w:val="-18"/>
          <w:w w:val="105"/>
        </w:rPr>
        <w:t> </w:t>
      </w:r>
      <w:r>
        <w:rPr>
          <w:color w:val="231F20"/>
          <w:w w:val="105"/>
        </w:rPr>
        <w:t>en</w:t>
      </w:r>
      <w:r>
        <w:rPr>
          <w:color w:val="231F20"/>
          <w:spacing w:val="-18"/>
          <w:w w:val="105"/>
        </w:rPr>
        <w:t> </w:t>
      </w:r>
      <w:r>
        <w:rPr>
          <w:color w:val="231F20"/>
          <w:w w:val="105"/>
        </w:rPr>
        <w:t>función</w:t>
      </w:r>
      <w:r>
        <w:rPr>
          <w:color w:val="231F20"/>
          <w:spacing w:val="-18"/>
          <w:w w:val="105"/>
        </w:rPr>
        <w:t> </w:t>
      </w:r>
      <w:r>
        <w:rPr>
          <w:color w:val="231F20"/>
          <w:w w:val="105"/>
        </w:rPr>
        <w:t>del</w:t>
      </w:r>
      <w:r>
        <w:rPr>
          <w:color w:val="231F20"/>
          <w:spacing w:val="-18"/>
          <w:w w:val="105"/>
        </w:rPr>
        <w:t> </w:t>
      </w:r>
      <w:r>
        <w:rPr>
          <w:color w:val="231F20"/>
          <w:w w:val="105"/>
        </w:rPr>
        <w:t>sesgo</w:t>
      </w:r>
      <w:r>
        <w:rPr>
          <w:color w:val="231F20"/>
          <w:spacing w:val="-18"/>
          <w:w w:val="105"/>
        </w:rPr>
        <w:t> </w:t>
      </w:r>
      <w:r>
        <w:rPr>
          <w:color w:val="231F20"/>
          <w:w w:val="105"/>
        </w:rPr>
        <w:t>que</w:t>
      </w:r>
      <w:r>
        <w:rPr>
          <w:color w:val="231F20"/>
          <w:spacing w:val="-18"/>
          <w:w w:val="105"/>
        </w:rPr>
        <w:t> </w:t>
      </w:r>
      <w:r>
        <w:rPr>
          <w:color w:val="231F20"/>
          <w:w w:val="105"/>
        </w:rPr>
        <w:t>provoca</w:t>
      </w:r>
      <w:r>
        <w:rPr>
          <w:color w:val="231F20"/>
          <w:spacing w:val="-18"/>
          <w:w w:val="105"/>
        </w:rPr>
        <w:t> </w:t>
      </w:r>
      <w:r>
        <w:rPr>
          <w:color w:val="231F20"/>
          <w:w w:val="105"/>
        </w:rPr>
        <w:t>la</w:t>
      </w:r>
      <w:r>
        <w:rPr>
          <w:color w:val="231F20"/>
          <w:spacing w:val="-18"/>
          <w:w w:val="105"/>
        </w:rPr>
        <w:t> </w:t>
      </w:r>
      <w:r>
        <w:rPr>
          <w:color w:val="231F20"/>
          <w:w w:val="105"/>
        </w:rPr>
        <w:t>ausencia</w:t>
      </w:r>
      <w:r>
        <w:rPr>
          <w:color w:val="231F20"/>
          <w:spacing w:val="-18"/>
          <w:w w:val="105"/>
        </w:rPr>
        <w:t> </w:t>
      </w:r>
      <w:r>
        <w:rPr>
          <w:color w:val="231F20"/>
          <w:w w:val="105"/>
        </w:rPr>
        <w:t>de</w:t>
      </w:r>
      <w:r>
        <w:rPr>
          <w:color w:val="231F20"/>
          <w:spacing w:val="-18"/>
          <w:w w:val="105"/>
        </w:rPr>
        <w:t> </w:t>
      </w:r>
      <w:r>
        <w:rPr>
          <w:color w:val="231F20"/>
          <w:w w:val="105"/>
        </w:rPr>
        <w:t>datos.</w:t>
      </w:r>
      <w:r>
        <w:rPr>
          <w:color w:val="231F20"/>
          <w:spacing w:val="-18"/>
          <w:w w:val="105"/>
        </w:rPr>
        <w:t> </w:t>
      </w:r>
      <w:r>
        <w:rPr>
          <w:color w:val="231F20"/>
          <w:w w:val="105"/>
        </w:rPr>
        <w:t>La</w:t>
      </w:r>
      <w:r>
        <w:rPr>
          <w:color w:val="231F20"/>
          <w:spacing w:val="-18"/>
          <w:w w:val="105"/>
        </w:rPr>
        <w:t> </w:t>
      </w:r>
      <w:r>
        <w:rPr>
          <w:color w:val="231F20"/>
          <w:w w:val="105"/>
        </w:rPr>
        <w:t>razón</w:t>
      </w:r>
      <w:r>
        <w:rPr>
          <w:color w:val="231F20"/>
          <w:spacing w:val="-18"/>
          <w:w w:val="105"/>
        </w:rPr>
        <w:t> </w:t>
      </w:r>
      <w:r>
        <w:rPr>
          <w:color w:val="231F20"/>
          <w:w w:val="105"/>
        </w:rPr>
        <w:t>fue</w:t>
      </w:r>
      <w:r>
        <w:rPr>
          <w:color w:val="231F20"/>
          <w:spacing w:val="-18"/>
          <w:w w:val="105"/>
        </w:rPr>
        <w:t> </w:t>
      </w:r>
      <w:r>
        <w:rPr>
          <w:color w:val="231F20"/>
          <w:w w:val="105"/>
        </w:rPr>
        <w:t>que</w:t>
      </w:r>
      <w:r>
        <w:rPr>
          <w:color w:val="231F20"/>
          <w:spacing w:val="-18"/>
          <w:w w:val="105"/>
        </w:rPr>
        <w:t> </w:t>
      </w:r>
      <w:r>
        <w:rPr>
          <w:color w:val="231F20"/>
          <w:w w:val="105"/>
        </w:rPr>
        <w:t>tuvi- mos</w:t>
      </w:r>
      <w:r>
        <w:rPr>
          <w:color w:val="231F20"/>
          <w:spacing w:val="-15"/>
          <w:w w:val="105"/>
        </w:rPr>
        <w:t> </w:t>
      </w:r>
      <w:r>
        <w:rPr>
          <w:color w:val="231F20"/>
          <w:w w:val="105"/>
        </w:rPr>
        <w:t>acceso</w:t>
      </w:r>
      <w:r>
        <w:rPr>
          <w:color w:val="231F20"/>
          <w:spacing w:val="-15"/>
          <w:w w:val="105"/>
        </w:rPr>
        <w:t> </w:t>
      </w:r>
      <w:r>
        <w:rPr>
          <w:color w:val="231F20"/>
          <w:w w:val="105"/>
        </w:rPr>
        <w:t>a</w:t>
      </w:r>
      <w:r>
        <w:rPr>
          <w:color w:val="231F20"/>
          <w:spacing w:val="-15"/>
          <w:w w:val="105"/>
        </w:rPr>
        <w:t> </w:t>
      </w:r>
      <w:r>
        <w:rPr>
          <w:color w:val="231F20"/>
          <w:w w:val="105"/>
        </w:rPr>
        <w:t>menos</w:t>
      </w:r>
      <w:r>
        <w:rPr>
          <w:color w:val="231F20"/>
          <w:spacing w:val="-15"/>
          <w:w w:val="105"/>
        </w:rPr>
        <w:t> </w:t>
      </w:r>
      <w:r>
        <w:rPr>
          <w:color w:val="231F20"/>
          <w:w w:val="105"/>
        </w:rPr>
        <w:t>fuentes</w:t>
      </w:r>
      <w:r>
        <w:rPr>
          <w:color w:val="231F20"/>
          <w:spacing w:val="-15"/>
          <w:w w:val="105"/>
        </w:rPr>
        <w:t> </w:t>
      </w:r>
      <w:r>
        <w:rPr>
          <w:color w:val="231F20"/>
          <w:w w:val="105"/>
        </w:rPr>
        <w:t>de</w:t>
      </w:r>
      <w:r>
        <w:rPr>
          <w:color w:val="231F20"/>
          <w:spacing w:val="-15"/>
          <w:w w:val="105"/>
        </w:rPr>
        <w:t> </w:t>
      </w:r>
      <w:r>
        <w:rPr>
          <w:color w:val="231F20"/>
          <w:w w:val="105"/>
        </w:rPr>
        <w:t>información</w:t>
      </w:r>
      <w:r>
        <w:rPr>
          <w:color w:val="231F20"/>
          <w:spacing w:val="-15"/>
          <w:w w:val="105"/>
        </w:rPr>
        <w:t> </w:t>
      </w:r>
      <w:r>
        <w:rPr>
          <w:color w:val="231F20"/>
          <w:w w:val="105"/>
        </w:rPr>
        <w:t>confiables</w:t>
      </w:r>
      <w:r>
        <w:rPr>
          <w:color w:val="231F20"/>
          <w:spacing w:val="-15"/>
          <w:w w:val="105"/>
        </w:rPr>
        <w:t> </w:t>
      </w:r>
      <w:r>
        <w:rPr>
          <w:color w:val="231F20"/>
          <w:w w:val="105"/>
        </w:rPr>
        <w:t>del</w:t>
      </w:r>
      <w:r>
        <w:rPr>
          <w:color w:val="231F20"/>
          <w:spacing w:val="-15"/>
          <w:w w:val="105"/>
        </w:rPr>
        <w:t> </w:t>
      </w:r>
      <w:r>
        <w:rPr>
          <w:color w:val="231F20"/>
          <w:w w:val="105"/>
        </w:rPr>
        <w:t>periodo</w:t>
      </w:r>
      <w:r>
        <w:rPr>
          <w:color w:val="231F20"/>
          <w:spacing w:val="-15"/>
          <w:w w:val="105"/>
        </w:rPr>
        <w:t> </w:t>
      </w:r>
      <w:r>
        <w:rPr>
          <w:color w:val="231F20"/>
          <w:spacing w:val="4"/>
          <w:w w:val="105"/>
        </w:rPr>
        <w:t>2000</w:t>
      </w:r>
      <w:r>
        <w:rPr>
          <w:color w:val="231F20"/>
          <w:spacing w:val="-15"/>
          <w:w w:val="105"/>
        </w:rPr>
        <w:t> </w:t>
      </w:r>
      <w:r>
        <w:rPr>
          <w:color w:val="231F20"/>
          <w:w w:val="105"/>
        </w:rPr>
        <w:t>–</w:t>
      </w:r>
      <w:r>
        <w:rPr>
          <w:color w:val="231F20"/>
          <w:spacing w:val="-15"/>
          <w:w w:val="105"/>
        </w:rPr>
        <w:t> </w:t>
      </w:r>
      <w:r>
        <w:rPr>
          <w:color w:val="231F20"/>
          <w:w w:val="105"/>
        </w:rPr>
        <w:t>2003.</w:t>
      </w:r>
    </w:p>
    <w:p>
      <w:pPr>
        <w:pStyle w:val="BodyText"/>
        <w:spacing w:before="1"/>
        <w:rPr>
          <w:sz w:val="26"/>
        </w:rPr>
      </w:pPr>
    </w:p>
    <w:p>
      <w:pPr>
        <w:pStyle w:val="BodyText"/>
        <w:spacing w:line="285" w:lineRule="auto"/>
        <w:ind w:left="110" w:right="108"/>
        <w:jc w:val="both"/>
      </w:pPr>
      <w:r>
        <w:rPr>
          <w:color w:val="231F20"/>
          <w:w w:val="105"/>
        </w:rPr>
        <w:t>Dentro de la elaboración del Plan de Desarrollo Municipal de la gestión de Mendoza Ayala, se utilizó una metodología que consistía en tomar como base las demandas re- cogidas</w:t>
      </w:r>
      <w:r>
        <w:rPr>
          <w:color w:val="231F20"/>
          <w:spacing w:val="-16"/>
          <w:w w:val="105"/>
        </w:rPr>
        <w:t> </w:t>
      </w:r>
      <w:r>
        <w:rPr>
          <w:color w:val="231F20"/>
          <w:w w:val="105"/>
        </w:rPr>
        <w:t>durante</w:t>
      </w:r>
      <w:r>
        <w:rPr>
          <w:color w:val="231F20"/>
          <w:spacing w:val="-16"/>
          <w:w w:val="105"/>
        </w:rPr>
        <w:t> </w:t>
      </w:r>
      <w:r>
        <w:rPr>
          <w:color w:val="231F20"/>
          <w:w w:val="105"/>
        </w:rPr>
        <w:t>la</w:t>
      </w:r>
      <w:r>
        <w:rPr>
          <w:color w:val="231F20"/>
          <w:spacing w:val="-16"/>
          <w:w w:val="105"/>
        </w:rPr>
        <w:t> </w:t>
      </w:r>
      <w:r>
        <w:rPr>
          <w:color w:val="231F20"/>
          <w:w w:val="105"/>
        </w:rPr>
        <w:t>campaña</w:t>
      </w:r>
      <w:r>
        <w:rPr>
          <w:color w:val="231F20"/>
          <w:spacing w:val="-16"/>
          <w:w w:val="105"/>
        </w:rPr>
        <w:t> </w:t>
      </w:r>
      <w:r>
        <w:rPr>
          <w:color w:val="231F20"/>
          <w:w w:val="105"/>
        </w:rPr>
        <w:t>política,</w:t>
      </w:r>
      <w:r>
        <w:rPr>
          <w:color w:val="231F20"/>
          <w:spacing w:val="-16"/>
          <w:w w:val="105"/>
        </w:rPr>
        <w:t> </w:t>
      </w:r>
      <w:r>
        <w:rPr>
          <w:color w:val="231F20"/>
          <w:w w:val="105"/>
        </w:rPr>
        <w:t>las</w:t>
      </w:r>
      <w:r>
        <w:rPr>
          <w:color w:val="231F20"/>
          <w:spacing w:val="-16"/>
          <w:w w:val="105"/>
        </w:rPr>
        <w:t> </w:t>
      </w:r>
      <w:r>
        <w:rPr>
          <w:color w:val="231F20"/>
          <w:w w:val="105"/>
        </w:rPr>
        <w:t>cuales</w:t>
      </w:r>
      <w:r>
        <w:rPr>
          <w:color w:val="231F20"/>
          <w:spacing w:val="-16"/>
          <w:w w:val="105"/>
        </w:rPr>
        <w:t> </w:t>
      </w:r>
      <w:r>
        <w:rPr>
          <w:color w:val="231F20"/>
          <w:w w:val="105"/>
        </w:rPr>
        <w:t>fueron</w:t>
      </w:r>
      <w:r>
        <w:rPr>
          <w:color w:val="231F20"/>
          <w:spacing w:val="-16"/>
          <w:w w:val="105"/>
        </w:rPr>
        <w:t> </w:t>
      </w:r>
      <w:r>
        <w:rPr>
          <w:color w:val="231F20"/>
          <w:w w:val="105"/>
        </w:rPr>
        <w:t>procesadas</w:t>
      </w:r>
      <w:r>
        <w:rPr>
          <w:color w:val="231F20"/>
          <w:spacing w:val="-16"/>
          <w:w w:val="105"/>
        </w:rPr>
        <w:t> </w:t>
      </w:r>
      <w:r>
        <w:rPr>
          <w:color w:val="231F20"/>
          <w:w w:val="105"/>
        </w:rPr>
        <w:t>y</w:t>
      </w:r>
      <w:r>
        <w:rPr>
          <w:color w:val="231F20"/>
          <w:spacing w:val="-16"/>
          <w:w w:val="105"/>
        </w:rPr>
        <w:t> </w:t>
      </w:r>
      <w:r>
        <w:rPr>
          <w:color w:val="231F20"/>
          <w:w w:val="105"/>
        </w:rPr>
        <w:t>sistematizadas</w:t>
      </w:r>
      <w:r>
        <w:rPr>
          <w:color w:val="231F20"/>
          <w:spacing w:val="-16"/>
          <w:w w:val="105"/>
        </w:rPr>
        <w:t> </w:t>
      </w:r>
      <w:r>
        <w:rPr>
          <w:color w:val="231F20"/>
          <w:w w:val="105"/>
        </w:rPr>
        <w:t>para ser agrupadas en cada uno de los ejes rectores que conformaban la visión de conjunto </w:t>
      </w:r>
      <w:r>
        <w:rPr>
          <w:color w:val="231F20"/>
          <w:w w:val="105"/>
          <w:u w:val="single" w:color="231F20"/>
        </w:rPr>
        <w:t>que orientarían </w:t>
      </w:r>
      <w:r>
        <w:rPr>
          <w:color w:val="231F20"/>
          <w:w w:val="105"/>
        </w:rPr>
        <w:t>las acciones del </w:t>
      </w:r>
      <w:r>
        <w:rPr>
          <w:color w:val="231F20"/>
          <w:spacing w:val="-3"/>
          <w:w w:val="105"/>
        </w:rPr>
        <w:t>gobierno. </w:t>
      </w:r>
      <w:r>
        <w:rPr>
          <w:color w:val="231F20"/>
          <w:w w:val="105"/>
        </w:rPr>
        <w:t>Se llevaron a cabo foros de consulta con</w:t>
      </w:r>
      <w:r>
        <w:rPr>
          <w:color w:val="231F20"/>
          <w:spacing w:val="-17"/>
          <w:w w:val="105"/>
        </w:rPr>
        <w:t> </w:t>
      </w:r>
      <w:r>
        <w:rPr>
          <w:color w:val="231F20"/>
          <w:w w:val="105"/>
        </w:rPr>
        <w:t>los</w:t>
      </w:r>
    </w:p>
    <w:p>
      <w:pPr>
        <w:pStyle w:val="ListParagraph"/>
        <w:numPr>
          <w:ilvl w:val="0"/>
          <w:numId w:val="15"/>
        </w:numPr>
        <w:tabs>
          <w:tab w:pos="330" w:val="left" w:leader="none"/>
        </w:tabs>
        <w:spacing w:line="240" w:lineRule="auto" w:before="53" w:after="0"/>
        <w:ind w:left="329" w:right="0" w:hanging="219"/>
        <w:jc w:val="both"/>
        <w:rPr>
          <w:sz w:val="16"/>
        </w:rPr>
      </w:pPr>
      <w:r>
        <w:rPr>
          <w:color w:val="231F20"/>
          <w:sz w:val="16"/>
        </w:rPr>
        <w:t>II</w:t>
      </w:r>
      <w:r>
        <w:rPr>
          <w:color w:val="231F20"/>
          <w:spacing w:val="-11"/>
          <w:sz w:val="16"/>
        </w:rPr>
        <w:t> </w:t>
      </w:r>
      <w:r>
        <w:rPr>
          <w:color w:val="231F20"/>
          <w:sz w:val="16"/>
        </w:rPr>
        <w:t>Conteo</w:t>
      </w:r>
      <w:r>
        <w:rPr>
          <w:color w:val="231F20"/>
          <w:spacing w:val="-11"/>
          <w:sz w:val="16"/>
        </w:rPr>
        <w:t> </w:t>
      </w:r>
      <w:r>
        <w:rPr>
          <w:color w:val="231F20"/>
          <w:sz w:val="16"/>
        </w:rPr>
        <w:t>de</w:t>
      </w:r>
      <w:r>
        <w:rPr>
          <w:color w:val="231F20"/>
          <w:spacing w:val="-11"/>
          <w:sz w:val="16"/>
        </w:rPr>
        <w:t> </w:t>
      </w:r>
      <w:r>
        <w:rPr>
          <w:color w:val="231F20"/>
          <w:sz w:val="16"/>
        </w:rPr>
        <w:t>Población</w:t>
      </w:r>
      <w:r>
        <w:rPr>
          <w:color w:val="231F20"/>
          <w:spacing w:val="-11"/>
          <w:sz w:val="16"/>
        </w:rPr>
        <w:t> </w:t>
      </w:r>
      <w:r>
        <w:rPr>
          <w:color w:val="231F20"/>
          <w:sz w:val="16"/>
        </w:rPr>
        <w:t>y</w:t>
      </w:r>
      <w:r>
        <w:rPr>
          <w:color w:val="231F20"/>
          <w:spacing w:val="-11"/>
          <w:sz w:val="16"/>
        </w:rPr>
        <w:t> </w:t>
      </w:r>
      <w:r>
        <w:rPr>
          <w:color w:val="231F20"/>
          <w:sz w:val="16"/>
        </w:rPr>
        <w:t>Vivienda</w:t>
      </w:r>
      <w:r>
        <w:rPr>
          <w:color w:val="231F20"/>
          <w:spacing w:val="-11"/>
          <w:sz w:val="16"/>
        </w:rPr>
        <w:t> </w:t>
      </w:r>
      <w:r>
        <w:rPr>
          <w:color w:val="231F20"/>
          <w:sz w:val="16"/>
        </w:rPr>
        <w:t>2005.</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9"/>
        <w:jc w:val="both"/>
      </w:pPr>
      <w:r>
        <w:rPr>
          <w:color w:val="231F20"/>
          <w:w w:val="105"/>
        </w:rPr>
        <w:t>Consejos</w:t>
      </w:r>
      <w:r>
        <w:rPr>
          <w:color w:val="231F20"/>
          <w:spacing w:val="-27"/>
          <w:w w:val="105"/>
        </w:rPr>
        <w:t> </w:t>
      </w:r>
      <w:r>
        <w:rPr>
          <w:color w:val="231F20"/>
          <w:w w:val="105"/>
        </w:rPr>
        <w:t>de</w:t>
      </w:r>
      <w:r>
        <w:rPr>
          <w:color w:val="231F20"/>
          <w:spacing w:val="-27"/>
          <w:w w:val="105"/>
        </w:rPr>
        <w:t> </w:t>
      </w:r>
      <w:r>
        <w:rPr>
          <w:color w:val="231F20"/>
          <w:w w:val="105"/>
        </w:rPr>
        <w:t>Participación,</w:t>
      </w:r>
      <w:r>
        <w:rPr>
          <w:color w:val="231F20"/>
          <w:spacing w:val="-27"/>
          <w:w w:val="105"/>
        </w:rPr>
        <w:t> </w:t>
      </w:r>
      <w:r>
        <w:rPr>
          <w:color w:val="231F20"/>
          <w:w w:val="105"/>
        </w:rPr>
        <w:t>las</w:t>
      </w:r>
      <w:r>
        <w:rPr>
          <w:color w:val="231F20"/>
          <w:spacing w:val="-27"/>
          <w:w w:val="105"/>
        </w:rPr>
        <w:t> </w:t>
      </w:r>
      <w:r>
        <w:rPr>
          <w:color w:val="231F20"/>
          <w:w w:val="105"/>
        </w:rPr>
        <w:t>Asociaciones</w:t>
      </w:r>
      <w:r>
        <w:rPr>
          <w:color w:val="231F20"/>
          <w:spacing w:val="-27"/>
          <w:w w:val="105"/>
        </w:rPr>
        <w:t> </w:t>
      </w:r>
      <w:r>
        <w:rPr>
          <w:color w:val="231F20"/>
          <w:w w:val="105"/>
        </w:rPr>
        <w:t>de</w:t>
      </w:r>
      <w:r>
        <w:rPr>
          <w:color w:val="231F20"/>
          <w:spacing w:val="-27"/>
          <w:w w:val="105"/>
        </w:rPr>
        <w:t> </w:t>
      </w:r>
      <w:r>
        <w:rPr>
          <w:color w:val="231F20"/>
          <w:w w:val="105"/>
        </w:rPr>
        <w:t>Colonos,</w:t>
      </w:r>
      <w:r>
        <w:rPr>
          <w:color w:val="231F20"/>
          <w:spacing w:val="-27"/>
          <w:w w:val="105"/>
        </w:rPr>
        <w:t> </w:t>
      </w:r>
      <w:r>
        <w:rPr>
          <w:color w:val="231F20"/>
          <w:w w:val="105"/>
        </w:rPr>
        <w:t>Asociaciones</w:t>
      </w:r>
      <w:r>
        <w:rPr>
          <w:color w:val="231F20"/>
          <w:spacing w:val="-27"/>
          <w:w w:val="105"/>
        </w:rPr>
        <w:t> </w:t>
      </w:r>
      <w:r>
        <w:rPr>
          <w:color w:val="231F20"/>
          <w:w w:val="105"/>
        </w:rPr>
        <w:t>de</w:t>
      </w:r>
      <w:r>
        <w:rPr>
          <w:color w:val="231F20"/>
          <w:spacing w:val="-27"/>
          <w:w w:val="105"/>
        </w:rPr>
        <w:t> </w:t>
      </w:r>
      <w:r>
        <w:rPr>
          <w:color w:val="231F20"/>
          <w:w w:val="105"/>
        </w:rPr>
        <w:t>Empresarios</w:t>
      </w:r>
      <w:r>
        <w:rPr>
          <w:color w:val="231F20"/>
          <w:spacing w:val="-27"/>
          <w:w w:val="105"/>
        </w:rPr>
        <w:t> </w:t>
      </w:r>
      <w:r>
        <w:rPr>
          <w:color w:val="231F20"/>
          <w:w w:val="105"/>
        </w:rPr>
        <w:t>y Organizaciones no</w:t>
      </w:r>
      <w:r>
        <w:rPr>
          <w:color w:val="231F20"/>
          <w:spacing w:val="-20"/>
          <w:w w:val="105"/>
        </w:rPr>
        <w:t> </w:t>
      </w:r>
      <w:r>
        <w:rPr>
          <w:color w:val="231F20"/>
          <w:w w:val="105"/>
        </w:rPr>
        <w:t>Gubernamentales.</w:t>
      </w:r>
    </w:p>
    <w:p>
      <w:pPr>
        <w:pStyle w:val="BodyText"/>
        <w:spacing w:before="1"/>
        <w:rPr>
          <w:sz w:val="26"/>
        </w:rPr>
      </w:pPr>
    </w:p>
    <w:p>
      <w:pPr>
        <w:pStyle w:val="BodyText"/>
        <w:spacing w:line="285" w:lineRule="auto"/>
        <w:ind w:left="110" w:right="107"/>
        <w:jc w:val="both"/>
      </w:pPr>
      <w:r>
        <w:rPr>
          <w:color w:val="231F20"/>
          <w:w w:val="105"/>
        </w:rPr>
        <w:t>El resultado de estos foros, fue la inclusión de cinco ejes rectores dentro del Plan de Desarrollo Municipal, que </w:t>
      </w:r>
      <w:r>
        <w:rPr>
          <w:color w:val="231F20"/>
          <w:spacing w:val="2"/>
          <w:w w:val="105"/>
        </w:rPr>
        <w:t>guiarían </w:t>
      </w:r>
      <w:r>
        <w:rPr>
          <w:color w:val="231F20"/>
          <w:w w:val="105"/>
        </w:rPr>
        <w:t>durante el trienio el camino de la administración municipal.</w:t>
      </w:r>
      <w:r>
        <w:rPr>
          <w:color w:val="231F20"/>
          <w:spacing w:val="-16"/>
          <w:w w:val="105"/>
        </w:rPr>
        <w:t> </w:t>
      </w:r>
      <w:r>
        <w:rPr>
          <w:color w:val="231F20"/>
          <w:w w:val="105"/>
        </w:rPr>
        <w:t>Cabe</w:t>
      </w:r>
      <w:r>
        <w:rPr>
          <w:color w:val="231F20"/>
          <w:spacing w:val="-16"/>
          <w:w w:val="105"/>
        </w:rPr>
        <w:t> </w:t>
      </w:r>
      <w:r>
        <w:rPr>
          <w:color w:val="231F20"/>
          <w:w w:val="105"/>
        </w:rPr>
        <w:t>resaltar</w:t>
      </w:r>
      <w:r>
        <w:rPr>
          <w:color w:val="231F20"/>
          <w:spacing w:val="-16"/>
          <w:w w:val="105"/>
        </w:rPr>
        <w:t> </w:t>
      </w:r>
      <w:r>
        <w:rPr>
          <w:color w:val="231F20"/>
          <w:w w:val="105"/>
        </w:rPr>
        <w:t>la</w:t>
      </w:r>
      <w:r>
        <w:rPr>
          <w:color w:val="231F20"/>
          <w:spacing w:val="-16"/>
          <w:w w:val="105"/>
        </w:rPr>
        <w:t> </w:t>
      </w:r>
      <w:r>
        <w:rPr>
          <w:color w:val="231F20"/>
          <w:w w:val="105"/>
        </w:rPr>
        <w:t>importancia</w:t>
      </w:r>
      <w:r>
        <w:rPr>
          <w:color w:val="231F20"/>
          <w:spacing w:val="-16"/>
          <w:w w:val="105"/>
        </w:rPr>
        <w:t> </w:t>
      </w:r>
      <w:r>
        <w:rPr>
          <w:color w:val="231F20"/>
          <w:w w:val="105"/>
        </w:rPr>
        <w:t>que</w:t>
      </w:r>
      <w:r>
        <w:rPr>
          <w:color w:val="231F20"/>
          <w:spacing w:val="-16"/>
          <w:w w:val="105"/>
        </w:rPr>
        <w:t> </w:t>
      </w:r>
      <w:r>
        <w:rPr>
          <w:color w:val="231F20"/>
          <w:w w:val="105"/>
        </w:rPr>
        <w:t>tuvo</w:t>
      </w:r>
      <w:r>
        <w:rPr>
          <w:color w:val="231F20"/>
          <w:spacing w:val="-16"/>
          <w:w w:val="105"/>
        </w:rPr>
        <w:t> </w:t>
      </w:r>
      <w:r>
        <w:rPr>
          <w:color w:val="231F20"/>
          <w:w w:val="105"/>
        </w:rPr>
        <w:t>dentro</w:t>
      </w:r>
      <w:r>
        <w:rPr>
          <w:color w:val="231F20"/>
          <w:spacing w:val="-16"/>
          <w:w w:val="105"/>
        </w:rPr>
        <w:t> </w:t>
      </w:r>
      <w:r>
        <w:rPr>
          <w:color w:val="231F20"/>
          <w:w w:val="105"/>
        </w:rPr>
        <w:t>de</w:t>
      </w:r>
      <w:r>
        <w:rPr>
          <w:color w:val="231F20"/>
          <w:spacing w:val="-16"/>
          <w:w w:val="105"/>
        </w:rPr>
        <w:t> </w:t>
      </w:r>
      <w:r>
        <w:rPr>
          <w:color w:val="231F20"/>
          <w:w w:val="105"/>
        </w:rPr>
        <w:t>estos</w:t>
      </w:r>
      <w:r>
        <w:rPr>
          <w:color w:val="231F20"/>
          <w:spacing w:val="-16"/>
          <w:w w:val="105"/>
        </w:rPr>
        <w:t> </w:t>
      </w:r>
      <w:r>
        <w:rPr>
          <w:color w:val="231F20"/>
          <w:w w:val="105"/>
        </w:rPr>
        <w:t>foros</w:t>
      </w:r>
      <w:r>
        <w:rPr>
          <w:color w:val="231F20"/>
          <w:spacing w:val="-16"/>
          <w:w w:val="105"/>
        </w:rPr>
        <w:t> </w:t>
      </w:r>
      <w:r>
        <w:rPr>
          <w:color w:val="231F20"/>
          <w:w w:val="105"/>
        </w:rPr>
        <w:t>el</w:t>
      </w:r>
      <w:r>
        <w:rPr>
          <w:color w:val="231F20"/>
          <w:spacing w:val="-16"/>
          <w:w w:val="105"/>
        </w:rPr>
        <w:t> </w:t>
      </w:r>
      <w:r>
        <w:rPr>
          <w:color w:val="231F20"/>
          <w:w w:val="105"/>
        </w:rPr>
        <w:t>tema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mo- dernización administrativa. </w:t>
      </w:r>
      <w:r>
        <w:rPr>
          <w:color w:val="231F20"/>
          <w:spacing w:val="-3"/>
          <w:w w:val="105"/>
        </w:rPr>
        <w:t>Por </w:t>
      </w:r>
      <w:r>
        <w:rPr>
          <w:color w:val="231F20"/>
          <w:w w:val="105"/>
        </w:rPr>
        <w:t>ello el gobierno municipal tomando plena conciencia de</w:t>
      </w:r>
      <w:r>
        <w:rPr>
          <w:color w:val="231F20"/>
          <w:spacing w:val="-8"/>
          <w:w w:val="105"/>
        </w:rPr>
        <w:t> </w:t>
      </w:r>
      <w:r>
        <w:rPr>
          <w:color w:val="231F20"/>
          <w:w w:val="105"/>
        </w:rPr>
        <w:t>este</w:t>
      </w:r>
      <w:r>
        <w:rPr>
          <w:color w:val="231F20"/>
          <w:spacing w:val="-8"/>
          <w:w w:val="105"/>
        </w:rPr>
        <w:t> </w:t>
      </w:r>
      <w:r>
        <w:rPr>
          <w:color w:val="231F20"/>
          <w:w w:val="105"/>
        </w:rPr>
        <w:t>hecho,</w:t>
      </w:r>
      <w:r>
        <w:rPr>
          <w:color w:val="231F20"/>
          <w:spacing w:val="-8"/>
          <w:w w:val="105"/>
        </w:rPr>
        <w:t> </w:t>
      </w:r>
      <w:r>
        <w:rPr>
          <w:color w:val="231F20"/>
          <w:w w:val="105"/>
        </w:rPr>
        <w:t>decidió</w:t>
      </w:r>
      <w:r>
        <w:rPr>
          <w:color w:val="231F20"/>
          <w:spacing w:val="-8"/>
          <w:w w:val="105"/>
        </w:rPr>
        <w:t> </w:t>
      </w:r>
      <w:r>
        <w:rPr>
          <w:color w:val="231F20"/>
          <w:w w:val="105"/>
        </w:rPr>
        <w:t>destinar</w:t>
      </w:r>
      <w:r>
        <w:rPr>
          <w:color w:val="231F20"/>
          <w:spacing w:val="-8"/>
          <w:w w:val="105"/>
        </w:rPr>
        <w:t> </w:t>
      </w:r>
      <w:r>
        <w:rPr>
          <w:color w:val="231F20"/>
          <w:w w:val="105"/>
        </w:rPr>
        <w:t>un</w:t>
      </w:r>
      <w:r>
        <w:rPr>
          <w:color w:val="231F20"/>
          <w:spacing w:val="-8"/>
          <w:w w:val="105"/>
        </w:rPr>
        <w:t> </w:t>
      </w:r>
      <w:r>
        <w:rPr>
          <w:color w:val="231F20"/>
          <w:w w:val="105"/>
        </w:rPr>
        <w:t>eje</w:t>
      </w:r>
      <w:r>
        <w:rPr>
          <w:color w:val="231F20"/>
          <w:spacing w:val="-8"/>
          <w:w w:val="105"/>
        </w:rPr>
        <w:t> </w:t>
      </w:r>
      <w:r>
        <w:rPr>
          <w:color w:val="231F20"/>
          <w:w w:val="105"/>
        </w:rPr>
        <w:t>rector</w:t>
      </w:r>
      <w:r>
        <w:rPr>
          <w:color w:val="231F20"/>
          <w:spacing w:val="-8"/>
          <w:w w:val="105"/>
        </w:rPr>
        <w:t> </w:t>
      </w:r>
      <w:r>
        <w:rPr>
          <w:color w:val="231F20"/>
          <w:w w:val="105"/>
        </w:rPr>
        <w:t>para</w:t>
      </w:r>
      <w:r>
        <w:rPr>
          <w:color w:val="231F20"/>
          <w:spacing w:val="-8"/>
          <w:w w:val="105"/>
        </w:rPr>
        <w:t> </w:t>
      </w:r>
      <w:r>
        <w:rPr>
          <w:color w:val="231F20"/>
          <w:w w:val="105"/>
        </w:rPr>
        <w:t>dar</w:t>
      </w:r>
      <w:r>
        <w:rPr>
          <w:color w:val="231F20"/>
          <w:spacing w:val="-8"/>
          <w:w w:val="105"/>
        </w:rPr>
        <w:t> </w:t>
      </w:r>
      <w:r>
        <w:rPr>
          <w:color w:val="231F20"/>
          <w:w w:val="105"/>
        </w:rPr>
        <w:t>solución</w:t>
      </w:r>
      <w:r>
        <w:rPr>
          <w:color w:val="231F20"/>
          <w:spacing w:val="-8"/>
          <w:w w:val="105"/>
        </w:rPr>
        <w:t> </w:t>
      </w:r>
      <w:r>
        <w:rPr>
          <w:color w:val="231F20"/>
          <w:w w:val="105"/>
        </w:rPr>
        <w:t>a</w:t>
      </w:r>
      <w:r>
        <w:rPr>
          <w:color w:val="231F20"/>
          <w:spacing w:val="-8"/>
          <w:w w:val="105"/>
        </w:rPr>
        <w:t> </w:t>
      </w:r>
      <w:r>
        <w:rPr>
          <w:color w:val="231F20"/>
          <w:w w:val="105"/>
        </w:rPr>
        <w:t>este</w:t>
      </w:r>
      <w:r>
        <w:rPr>
          <w:color w:val="231F20"/>
          <w:spacing w:val="-8"/>
          <w:w w:val="105"/>
        </w:rPr>
        <w:t> </w:t>
      </w:r>
      <w:r>
        <w:rPr>
          <w:color w:val="231F20"/>
          <w:w w:val="105"/>
        </w:rPr>
        <w:t>requerimiento.</w:t>
      </w:r>
      <w:r>
        <w:rPr>
          <w:color w:val="231F20"/>
          <w:spacing w:val="-8"/>
          <w:w w:val="105"/>
        </w:rPr>
        <w:t> </w:t>
      </w:r>
      <w:r>
        <w:rPr>
          <w:color w:val="231F20"/>
          <w:w w:val="105"/>
        </w:rPr>
        <w:t>De esto nos ocuparemos más</w:t>
      </w:r>
      <w:r>
        <w:rPr>
          <w:color w:val="231F20"/>
          <w:spacing w:val="-38"/>
          <w:w w:val="105"/>
        </w:rPr>
        <w:t> </w:t>
      </w:r>
      <w:r>
        <w:rPr>
          <w:color w:val="231F20"/>
          <w:w w:val="105"/>
        </w:rPr>
        <w:t>adelante.</w:t>
      </w:r>
    </w:p>
    <w:p>
      <w:pPr>
        <w:pStyle w:val="BodyText"/>
        <w:spacing w:before="1"/>
        <w:rPr>
          <w:sz w:val="26"/>
        </w:rPr>
      </w:pPr>
    </w:p>
    <w:p>
      <w:pPr>
        <w:pStyle w:val="BodyText"/>
        <w:spacing w:line="285" w:lineRule="auto"/>
        <w:ind w:left="110" w:right="108"/>
        <w:jc w:val="both"/>
      </w:pPr>
      <w:r>
        <w:rPr>
          <w:color w:val="231F20"/>
          <w:w w:val="105"/>
        </w:rPr>
        <w:t>Ahora</w:t>
      </w:r>
      <w:r>
        <w:rPr>
          <w:color w:val="231F20"/>
          <w:spacing w:val="-7"/>
          <w:w w:val="105"/>
        </w:rPr>
        <w:t> </w:t>
      </w:r>
      <w:r>
        <w:rPr>
          <w:color w:val="231F20"/>
          <w:w w:val="105"/>
        </w:rPr>
        <w:t>bien,</w:t>
      </w:r>
      <w:r>
        <w:rPr>
          <w:color w:val="231F20"/>
          <w:spacing w:val="-7"/>
          <w:w w:val="105"/>
        </w:rPr>
        <w:t> </w:t>
      </w:r>
      <w:r>
        <w:rPr>
          <w:color w:val="231F20"/>
          <w:w w:val="105"/>
        </w:rPr>
        <w:t>ligado</w:t>
      </w:r>
      <w:r>
        <w:rPr>
          <w:color w:val="231F20"/>
          <w:spacing w:val="-7"/>
          <w:w w:val="105"/>
        </w:rPr>
        <w:t> </w:t>
      </w:r>
      <w:r>
        <w:rPr>
          <w:color w:val="231F20"/>
          <w:spacing w:val="2"/>
          <w:w w:val="105"/>
        </w:rPr>
        <w:t>al</w:t>
      </w:r>
      <w:r>
        <w:rPr>
          <w:color w:val="231F20"/>
          <w:spacing w:val="-7"/>
          <w:w w:val="105"/>
        </w:rPr>
        <w:t> </w:t>
      </w:r>
      <w:r>
        <w:rPr>
          <w:color w:val="231F20"/>
          <w:w w:val="105"/>
        </w:rPr>
        <w:t>tema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modernización</w:t>
      </w:r>
      <w:r>
        <w:rPr>
          <w:color w:val="231F20"/>
          <w:spacing w:val="-7"/>
          <w:w w:val="105"/>
        </w:rPr>
        <w:t> </w:t>
      </w:r>
      <w:r>
        <w:rPr>
          <w:color w:val="231F20"/>
          <w:w w:val="105"/>
        </w:rPr>
        <w:t>administrativa,</w:t>
      </w:r>
      <w:r>
        <w:rPr>
          <w:color w:val="231F20"/>
          <w:spacing w:val="-7"/>
          <w:w w:val="105"/>
        </w:rPr>
        <w:t> </w:t>
      </w:r>
      <w:r>
        <w:rPr>
          <w:color w:val="231F20"/>
          <w:w w:val="105"/>
        </w:rPr>
        <w:t>se</w:t>
      </w:r>
      <w:r>
        <w:rPr>
          <w:color w:val="231F20"/>
          <w:spacing w:val="-7"/>
          <w:w w:val="105"/>
        </w:rPr>
        <w:t> </w:t>
      </w:r>
      <w:r>
        <w:rPr>
          <w:color w:val="231F20"/>
          <w:w w:val="105"/>
        </w:rPr>
        <w:t>encuentra</w:t>
      </w:r>
      <w:r>
        <w:rPr>
          <w:color w:val="231F20"/>
          <w:spacing w:val="-7"/>
          <w:w w:val="105"/>
        </w:rPr>
        <w:t> </w:t>
      </w:r>
      <w:r>
        <w:rPr>
          <w:color w:val="231F20"/>
          <w:w w:val="105"/>
        </w:rPr>
        <w:t>el</w:t>
      </w:r>
      <w:r>
        <w:rPr>
          <w:color w:val="231F20"/>
          <w:spacing w:val="-7"/>
          <w:w w:val="105"/>
        </w:rPr>
        <w:t> </w:t>
      </w:r>
      <w:r>
        <w:rPr>
          <w:color w:val="231F20"/>
          <w:w w:val="105"/>
        </w:rPr>
        <w:t>del</w:t>
      </w:r>
      <w:r>
        <w:rPr>
          <w:color w:val="231F20"/>
          <w:spacing w:val="-7"/>
          <w:w w:val="105"/>
        </w:rPr>
        <w:t> </w:t>
      </w:r>
      <w:r>
        <w:rPr>
          <w:color w:val="231F20"/>
          <w:spacing w:val="-4"/>
          <w:w w:val="105"/>
        </w:rPr>
        <w:t>for- </w:t>
      </w:r>
      <w:r>
        <w:rPr>
          <w:color w:val="231F20"/>
          <w:w w:val="105"/>
        </w:rPr>
        <w:t>talecimiento del municipio frente a la federación. </w:t>
      </w:r>
      <w:r>
        <w:rPr>
          <w:color w:val="231F20"/>
          <w:spacing w:val="-3"/>
          <w:w w:val="105"/>
        </w:rPr>
        <w:t>Un </w:t>
      </w:r>
      <w:r>
        <w:rPr>
          <w:color w:val="231F20"/>
          <w:w w:val="105"/>
        </w:rPr>
        <w:t>caso específico a remarcar y </w:t>
      </w:r>
      <w:r>
        <w:rPr>
          <w:color w:val="231F20"/>
          <w:spacing w:val="2"/>
          <w:w w:val="105"/>
        </w:rPr>
        <w:t>al </w:t>
      </w:r>
      <w:r>
        <w:rPr>
          <w:color w:val="231F20"/>
          <w:w w:val="105"/>
        </w:rPr>
        <w:t>mismo tiempo un </w:t>
      </w:r>
      <w:r>
        <w:rPr>
          <w:color w:val="231F20"/>
          <w:spacing w:val="-3"/>
          <w:w w:val="105"/>
        </w:rPr>
        <w:t>ejemplo </w:t>
      </w:r>
      <w:r>
        <w:rPr>
          <w:color w:val="231F20"/>
          <w:w w:val="105"/>
        </w:rPr>
        <w:t>para otros municipios es el fortalecimiento de los ingresos municipales</w:t>
      </w:r>
      <w:r>
        <w:rPr>
          <w:color w:val="231F20"/>
          <w:spacing w:val="-18"/>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recaudación</w:t>
      </w:r>
      <w:r>
        <w:rPr>
          <w:color w:val="231F20"/>
          <w:spacing w:val="-18"/>
          <w:w w:val="105"/>
        </w:rPr>
        <w:t> </w:t>
      </w:r>
      <w:r>
        <w:rPr>
          <w:color w:val="231F20"/>
          <w:w w:val="105"/>
        </w:rPr>
        <w:t>fiscal,</w:t>
      </w:r>
      <w:r>
        <w:rPr>
          <w:color w:val="231F20"/>
          <w:spacing w:val="-18"/>
          <w:w w:val="105"/>
        </w:rPr>
        <w:t> </w:t>
      </w:r>
      <w:r>
        <w:rPr>
          <w:color w:val="231F20"/>
          <w:w w:val="105"/>
        </w:rPr>
        <w:t>superando</w:t>
      </w:r>
      <w:r>
        <w:rPr>
          <w:color w:val="231F20"/>
          <w:spacing w:val="-18"/>
          <w:w w:val="105"/>
        </w:rPr>
        <w:t> </w:t>
      </w:r>
      <w:r>
        <w:rPr>
          <w:color w:val="231F20"/>
          <w:w w:val="105"/>
        </w:rPr>
        <w:t>las</w:t>
      </w:r>
      <w:r>
        <w:rPr>
          <w:color w:val="231F20"/>
          <w:spacing w:val="-18"/>
          <w:w w:val="105"/>
        </w:rPr>
        <w:t> </w:t>
      </w:r>
      <w:r>
        <w:rPr>
          <w:color w:val="231F20"/>
          <w:w w:val="105"/>
        </w:rPr>
        <w:t>aportaciones</w:t>
      </w:r>
      <w:r>
        <w:rPr>
          <w:color w:val="231F20"/>
          <w:spacing w:val="-18"/>
          <w:w w:val="105"/>
        </w:rPr>
        <w:t> </w:t>
      </w:r>
      <w:r>
        <w:rPr>
          <w:color w:val="231F20"/>
          <w:w w:val="105"/>
        </w:rPr>
        <w:t>federales.</w:t>
      </w:r>
    </w:p>
    <w:p>
      <w:pPr>
        <w:pStyle w:val="BodyText"/>
        <w:spacing w:before="1"/>
        <w:rPr>
          <w:sz w:val="26"/>
        </w:rPr>
      </w:pPr>
    </w:p>
    <w:p>
      <w:pPr>
        <w:pStyle w:val="BodyText"/>
        <w:spacing w:line="285" w:lineRule="auto"/>
        <w:ind w:left="110" w:right="107"/>
        <w:jc w:val="both"/>
      </w:pPr>
      <w:r>
        <w:rPr>
          <w:color w:val="231F20"/>
          <w:w w:val="105"/>
        </w:rPr>
        <w:t>Esto, fruto de un proceso mediante el cual el gobierno municipal ha facilitado el pago de los contribuyentes y que éste ha percibido respuestas a sus demandas a través de la acción</w:t>
      </w:r>
      <w:r>
        <w:rPr>
          <w:color w:val="231F20"/>
          <w:spacing w:val="-4"/>
          <w:w w:val="105"/>
        </w:rPr>
        <w:t> </w:t>
      </w:r>
      <w:r>
        <w:rPr>
          <w:color w:val="231F20"/>
          <w:w w:val="105"/>
        </w:rPr>
        <w:t>pública,</w:t>
      </w:r>
      <w:r>
        <w:rPr>
          <w:color w:val="231F20"/>
          <w:spacing w:val="-4"/>
          <w:w w:val="105"/>
        </w:rPr>
        <w:t> </w:t>
      </w:r>
      <w:r>
        <w:rPr>
          <w:color w:val="231F20"/>
          <w:w w:val="105"/>
        </w:rPr>
        <w:t>esto</w:t>
      </w:r>
      <w:r>
        <w:rPr>
          <w:color w:val="231F20"/>
          <w:spacing w:val="-4"/>
          <w:w w:val="105"/>
        </w:rPr>
        <w:t> </w:t>
      </w:r>
      <w:r>
        <w:rPr>
          <w:color w:val="231F20"/>
          <w:w w:val="105"/>
        </w:rPr>
        <w:t>es,</w:t>
      </w:r>
      <w:r>
        <w:rPr>
          <w:color w:val="231F20"/>
          <w:spacing w:val="-4"/>
          <w:w w:val="105"/>
        </w:rPr>
        <w:t> </w:t>
      </w:r>
      <w:r>
        <w:rPr>
          <w:color w:val="231F20"/>
          <w:w w:val="105"/>
        </w:rPr>
        <w:t>ha</w:t>
      </w:r>
      <w:r>
        <w:rPr>
          <w:color w:val="231F20"/>
          <w:spacing w:val="-4"/>
          <w:w w:val="105"/>
        </w:rPr>
        <w:t> </w:t>
      </w:r>
      <w:r>
        <w:rPr>
          <w:color w:val="231F20"/>
          <w:w w:val="105"/>
        </w:rPr>
        <w:t>percibido</w:t>
      </w:r>
      <w:r>
        <w:rPr>
          <w:color w:val="231F20"/>
          <w:spacing w:val="-4"/>
          <w:w w:val="105"/>
        </w:rPr>
        <w:t> </w:t>
      </w:r>
      <w:r>
        <w:rPr>
          <w:color w:val="231F20"/>
          <w:w w:val="105"/>
        </w:rPr>
        <w:t>que</w:t>
      </w:r>
      <w:r>
        <w:rPr>
          <w:color w:val="231F20"/>
          <w:spacing w:val="-4"/>
          <w:w w:val="105"/>
        </w:rPr>
        <w:t> </w:t>
      </w:r>
      <w:r>
        <w:rPr>
          <w:color w:val="231F20"/>
          <w:w w:val="105"/>
        </w:rPr>
        <w:t>sus</w:t>
      </w:r>
      <w:r>
        <w:rPr>
          <w:color w:val="231F20"/>
          <w:spacing w:val="-4"/>
          <w:w w:val="105"/>
        </w:rPr>
        <w:t> </w:t>
      </w:r>
      <w:r>
        <w:rPr>
          <w:color w:val="231F20"/>
          <w:w w:val="105"/>
        </w:rPr>
        <w:t>impuestos</w:t>
      </w:r>
      <w:r>
        <w:rPr>
          <w:color w:val="231F20"/>
          <w:spacing w:val="-4"/>
          <w:w w:val="105"/>
        </w:rPr>
        <w:t> </w:t>
      </w:r>
      <w:r>
        <w:rPr>
          <w:color w:val="231F20"/>
          <w:w w:val="105"/>
        </w:rPr>
        <w:t>cuentan</w:t>
      </w:r>
      <w:r>
        <w:rPr>
          <w:color w:val="231F20"/>
          <w:spacing w:val="-4"/>
          <w:w w:val="105"/>
        </w:rPr>
        <w:t> </w:t>
      </w:r>
      <w:r>
        <w:rPr>
          <w:color w:val="231F20"/>
          <w:w w:val="105"/>
        </w:rPr>
        <w:t>y</w:t>
      </w:r>
      <w:r>
        <w:rPr>
          <w:color w:val="231F20"/>
          <w:spacing w:val="-4"/>
          <w:w w:val="105"/>
        </w:rPr>
        <w:t> </w:t>
      </w:r>
      <w:r>
        <w:rPr>
          <w:color w:val="231F20"/>
          <w:w w:val="105"/>
        </w:rPr>
        <w:t>que</w:t>
      </w:r>
      <w:r>
        <w:rPr>
          <w:color w:val="231F20"/>
          <w:spacing w:val="-4"/>
          <w:w w:val="105"/>
        </w:rPr>
        <w:t> </w:t>
      </w:r>
      <w:r>
        <w:rPr>
          <w:color w:val="231F20"/>
          <w:w w:val="105"/>
        </w:rPr>
        <w:t>a</w:t>
      </w:r>
      <w:r>
        <w:rPr>
          <w:color w:val="231F20"/>
          <w:spacing w:val="-4"/>
          <w:w w:val="105"/>
        </w:rPr>
        <w:t> </w:t>
      </w:r>
      <w:r>
        <w:rPr>
          <w:color w:val="231F20"/>
          <w:w w:val="105"/>
        </w:rPr>
        <w:t>través</w:t>
      </w:r>
      <w:r>
        <w:rPr>
          <w:color w:val="231F20"/>
          <w:spacing w:val="-4"/>
          <w:w w:val="105"/>
        </w:rPr>
        <w:t> </w:t>
      </w:r>
      <w:r>
        <w:rPr>
          <w:color w:val="231F20"/>
          <w:w w:val="105"/>
        </w:rPr>
        <w:t>de</w:t>
      </w:r>
      <w:r>
        <w:rPr>
          <w:color w:val="231F20"/>
          <w:spacing w:val="-4"/>
          <w:w w:val="105"/>
        </w:rPr>
        <w:t> </w:t>
      </w:r>
      <w:r>
        <w:rPr>
          <w:color w:val="231F20"/>
          <w:w w:val="105"/>
        </w:rPr>
        <w:t>ellos incide</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políticas</w:t>
      </w:r>
      <w:r>
        <w:rPr>
          <w:color w:val="231F20"/>
          <w:spacing w:val="-13"/>
          <w:w w:val="105"/>
        </w:rPr>
        <w:t> </w:t>
      </w:r>
      <w:r>
        <w:rPr>
          <w:color w:val="231F20"/>
          <w:w w:val="105"/>
        </w:rPr>
        <w:t>del</w:t>
      </w:r>
      <w:r>
        <w:rPr>
          <w:color w:val="231F20"/>
          <w:spacing w:val="-13"/>
          <w:w w:val="105"/>
        </w:rPr>
        <w:t> </w:t>
      </w:r>
      <w:r>
        <w:rPr>
          <w:color w:val="231F20"/>
          <w:w w:val="105"/>
        </w:rPr>
        <w:t>gobierno</w:t>
      </w:r>
      <w:r>
        <w:rPr>
          <w:color w:val="231F20"/>
          <w:spacing w:val="-13"/>
          <w:w w:val="105"/>
        </w:rPr>
        <w:t> </w:t>
      </w:r>
      <w:r>
        <w:rPr>
          <w:color w:val="231F20"/>
          <w:w w:val="105"/>
        </w:rPr>
        <w:t>en</w:t>
      </w:r>
      <w:r>
        <w:rPr>
          <w:color w:val="231F20"/>
          <w:spacing w:val="-13"/>
          <w:w w:val="105"/>
        </w:rPr>
        <w:t> </w:t>
      </w:r>
      <w:r>
        <w:rPr>
          <w:color w:val="231F20"/>
          <w:w w:val="105"/>
        </w:rPr>
        <w:t>turno.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gestión</w:t>
      </w:r>
      <w:r>
        <w:rPr>
          <w:color w:val="231F20"/>
          <w:spacing w:val="-4"/>
          <w:w w:val="105"/>
        </w:rPr>
        <w:t> </w:t>
      </w:r>
      <w:r>
        <w:rPr>
          <w:color w:val="231F20"/>
          <w:w w:val="105"/>
        </w:rPr>
        <w:t>de</w:t>
      </w:r>
      <w:r>
        <w:rPr>
          <w:color w:val="231F20"/>
          <w:spacing w:val="-4"/>
          <w:w w:val="105"/>
        </w:rPr>
        <w:t> </w:t>
      </w:r>
      <w:r>
        <w:rPr>
          <w:color w:val="231F20"/>
          <w:spacing w:val="4"/>
          <w:w w:val="105"/>
        </w:rPr>
        <w:t>2000</w:t>
      </w:r>
      <w:r>
        <w:rPr>
          <w:color w:val="231F20"/>
          <w:spacing w:val="-4"/>
          <w:w w:val="105"/>
        </w:rPr>
        <w:t> </w:t>
      </w:r>
      <w:r>
        <w:rPr>
          <w:color w:val="231F20"/>
          <w:w w:val="105"/>
        </w:rPr>
        <w:t>–</w:t>
      </w:r>
      <w:r>
        <w:rPr>
          <w:color w:val="231F20"/>
          <w:spacing w:val="-4"/>
          <w:w w:val="105"/>
        </w:rPr>
        <w:t> </w:t>
      </w:r>
      <w:r>
        <w:rPr>
          <w:color w:val="231F20"/>
          <w:spacing w:val="2"/>
          <w:w w:val="105"/>
        </w:rPr>
        <w:t>2003</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encontraba</w:t>
      </w:r>
      <w:r>
        <w:rPr>
          <w:color w:val="231F20"/>
          <w:spacing w:val="-4"/>
          <w:w w:val="105"/>
        </w:rPr>
        <w:t> </w:t>
      </w:r>
      <w:r>
        <w:rPr>
          <w:color w:val="231F20"/>
          <w:spacing w:val="2"/>
          <w:w w:val="105"/>
        </w:rPr>
        <w:t>al</w:t>
      </w:r>
      <w:r>
        <w:rPr>
          <w:color w:val="231F20"/>
          <w:spacing w:val="-4"/>
          <w:w w:val="105"/>
        </w:rPr>
        <w:t> </w:t>
      </w:r>
      <w:r>
        <w:rPr>
          <w:color w:val="231F20"/>
          <w:w w:val="105"/>
        </w:rPr>
        <w:t>frente</w:t>
      </w:r>
      <w:r>
        <w:rPr>
          <w:color w:val="231F20"/>
          <w:spacing w:val="-4"/>
          <w:w w:val="105"/>
        </w:rPr>
        <w:t> </w:t>
      </w:r>
      <w:r>
        <w:rPr>
          <w:color w:val="231F20"/>
          <w:w w:val="105"/>
        </w:rPr>
        <w:t>Mendoza</w:t>
      </w:r>
      <w:r>
        <w:rPr>
          <w:color w:val="231F20"/>
          <w:spacing w:val="-4"/>
          <w:w w:val="105"/>
        </w:rPr>
        <w:t> </w:t>
      </w:r>
      <w:r>
        <w:rPr>
          <w:color w:val="231F20"/>
          <w:w w:val="105"/>
        </w:rPr>
        <w:t>Ayala,</w:t>
      </w:r>
      <w:r>
        <w:rPr>
          <w:color w:val="231F20"/>
          <w:spacing w:val="-4"/>
          <w:w w:val="105"/>
        </w:rPr>
        <w:t> </w:t>
      </w:r>
      <w:r>
        <w:rPr>
          <w:color w:val="231F20"/>
          <w:w w:val="105"/>
        </w:rPr>
        <w:t>se</w:t>
      </w:r>
      <w:r>
        <w:rPr>
          <w:color w:val="231F20"/>
          <w:spacing w:val="-4"/>
          <w:w w:val="105"/>
        </w:rPr>
        <w:t> </w:t>
      </w:r>
      <w:r>
        <w:rPr>
          <w:color w:val="231F20"/>
          <w:w w:val="105"/>
        </w:rPr>
        <w:t>lle- vó a cabo el programa </w:t>
      </w:r>
      <w:r>
        <w:rPr>
          <w:color w:val="231F20"/>
          <w:spacing w:val="-4"/>
          <w:w w:val="105"/>
        </w:rPr>
        <w:t>“Atención </w:t>
      </w:r>
      <w:r>
        <w:rPr>
          <w:color w:val="231F20"/>
          <w:w w:val="105"/>
        </w:rPr>
        <w:t>Ciudadana y Control de </w:t>
      </w:r>
      <w:r>
        <w:rPr>
          <w:color w:val="231F20"/>
          <w:spacing w:val="-3"/>
          <w:w w:val="105"/>
        </w:rPr>
        <w:t>Gestión”, </w:t>
      </w:r>
      <w:r>
        <w:rPr>
          <w:color w:val="231F20"/>
          <w:w w:val="105"/>
        </w:rPr>
        <w:t>a través del cual se daba “respuesta eficiente y efectiva a la ciudadanía a </w:t>
      </w:r>
      <w:r>
        <w:rPr>
          <w:color w:val="231F20"/>
          <w:spacing w:val="2"/>
          <w:w w:val="105"/>
        </w:rPr>
        <w:t>partir </w:t>
      </w:r>
      <w:r>
        <w:rPr>
          <w:color w:val="231F20"/>
          <w:w w:val="105"/>
        </w:rPr>
        <w:t>de un moderno equipo informático”</w:t>
      </w:r>
      <w:r>
        <w:rPr>
          <w:color w:val="231F20"/>
          <w:w w:val="105"/>
          <w:position w:val="7"/>
          <w:sz w:val="13"/>
        </w:rPr>
        <w:t>11</w:t>
      </w:r>
      <w:r>
        <w:rPr>
          <w:color w:val="231F20"/>
          <w:w w:val="105"/>
        </w:rPr>
        <w:t>. Dicho programa se concentró en tres cuestiones ejemplares para otros municipios:</w:t>
      </w:r>
      <w:r>
        <w:rPr>
          <w:color w:val="231F20"/>
          <w:spacing w:val="-24"/>
          <w:w w:val="105"/>
        </w:rPr>
        <w:t> </w:t>
      </w:r>
      <w:r>
        <w:rPr>
          <w:color w:val="231F20"/>
          <w:spacing w:val="-7"/>
          <w:w w:val="105"/>
        </w:rPr>
        <w:t>1)</w:t>
      </w:r>
      <w:r>
        <w:rPr>
          <w:color w:val="231F20"/>
          <w:spacing w:val="-24"/>
          <w:w w:val="105"/>
        </w:rPr>
        <w:t> </w:t>
      </w:r>
      <w:r>
        <w:rPr>
          <w:color w:val="231F20"/>
          <w:w w:val="105"/>
        </w:rPr>
        <w:t>asistencia</w:t>
      </w:r>
      <w:r>
        <w:rPr>
          <w:color w:val="231F20"/>
          <w:spacing w:val="-24"/>
          <w:w w:val="105"/>
        </w:rPr>
        <w:t> </w:t>
      </w:r>
      <w:r>
        <w:rPr>
          <w:color w:val="231F20"/>
          <w:spacing w:val="2"/>
          <w:w w:val="105"/>
        </w:rPr>
        <w:t>al</w:t>
      </w:r>
      <w:r>
        <w:rPr>
          <w:color w:val="231F20"/>
          <w:spacing w:val="-24"/>
          <w:w w:val="105"/>
        </w:rPr>
        <w:t> </w:t>
      </w:r>
      <w:r>
        <w:rPr>
          <w:color w:val="231F20"/>
          <w:w w:val="105"/>
        </w:rPr>
        <w:t>contribuyente</w:t>
      </w:r>
      <w:r>
        <w:rPr>
          <w:color w:val="231F20"/>
          <w:spacing w:val="-24"/>
          <w:w w:val="105"/>
        </w:rPr>
        <w:t> </w:t>
      </w:r>
      <w:r>
        <w:rPr>
          <w:color w:val="231F20"/>
          <w:w w:val="105"/>
        </w:rPr>
        <w:t>y</w:t>
      </w:r>
      <w:r>
        <w:rPr>
          <w:color w:val="231F20"/>
          <w:spacing w:val="-24"/>
          <w:w w:val="105"/>
        </w:rPr>
        <w:t> </w:t>
      </w:r>
      <w:r>
        <w:rPr>
          <w:color w:val="231F20"/>
          <w:spacing w:val="-3"/>
          <w:w w:val="105"/>
        </w:rPr>
        <w:t>fomento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cultura</w:t>
      </w:r>
      <w:r>
        <w:rPr>
          <w:color w:val="231F20"/>
          <w:spacing w:val="-24"/>
          <w:w w:val="105"/>
        </w:rPr>
        <w:t> </w:t>
      </w:r>
      <w:r>
        <w:rPr>
          <w:color w:val="231F20"/>
          <w:w w:val="105"/>
        </w:rPr>
        <w:t>de</w:t>
      </w:r>
      <w:r>
        <w:rPr>
          <w:color w:val="231F20"/>
          <w:spacing w:val="-24"/>
          <w:w w:val="105"/>
        </w:rPr>
        <w:t> </w:t>
      </w:r>
      <w:r>
        <w:rPr>
          <w:color w:val="231F20"/>
          <w:w w:val="105"/>
        </w:rPr>
        <w:t>pago;</w:t>
      </w:r>
      <w:r>
        <w:rPr>
          <w:color w:val="231F20"/>
          <w:spacing w:val="-24"/>
          <w:w w:val="105"/>
        </w:rPr>
        <w:t> </w:t>
      </w:r>
      <w:r>
        <w:rPr>
          <w:color w:val="231F20"/>
          <w:spacing w:val="-4"/>
          <w:w w:val="105"/>
        </w:rPr>
        <w:t>2)</w:t>
      </w:r>
      <w:r>
        <w:rPr>
          <w:color w:val="231F20"/>
          <w:spacing w:val="-24"/>
          <w:w w:val="105"/>
        </w:rPr>
        <w:t> </w:t>
      </w:r>
      <w:r>
        <w:rPr>
          <w:color w:val="231F20"/>
          <w:w w:val="105"/>
        </w:rPr>
        <w:t>moderniza- 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administración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ingresos;</w:t>
      </w:r>
      <w:r>
        <w:rPr>
          <w:color w:val="231F20"/>
          <w:spacing w:val="-15"/>
          <w:w w:val="105"/>
        </w:rPr>
        <w:t> </w:t>
      </w:r>
      <w:r>
        <w:rPr>
          <w:color w:val="231F20"/>
          <w:w w:val="105"/>
        </w:rPr>
        <w:t>y</w:t>
      </w:r>
      <w:r>
        <w:rPr>
          <w:color w:val="231F20"/>
          <w:spacing w:val="-15"/>
          <w:w w:val="105"/>
        </w:rPr>
        <w:t> </w:t>
      </w:r>
      <w:r>
        <w:rPr>
          <w:color w:val="231F20"/>
          <w:spacing w:val="-4"/>
          <w:w w:val="105"/>
        </w:rPr>
        <w:t>3)</w:t>
      </w:r>
      <w:r>
        <w:rPr>
          <w:color w:val="231F20"/>
          <w:spacing w:val="-15"/>
          <w:w w:val="105"/>
        </w:rPr>
        <w:t> </w:t>
      </w:r>
      <w:r>
        <w:rPr>
          <w:color w:val="231F20"/>
          <w:w w:val="105"/>
        </w:rPr>
        <w:t>fortalecimiento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ingresos</w:t>
      </w:r>
      <w:r>
        <w:rPr>
          <w:color w:val="231F20"/>
          <w:spacing w:val="-15"/>
          <w:w w:val="105"/>
        </w:rPr>
        <w:t> </w:t>
      </w:r>
      <w:r>
        <w:rPr>
          <w:color w:val="231F20"/>
          <w:w w:val="105"/>
        </w:rPr>
        <w:t>propios.</w:t>
      </w:r>
    </w:p>
    <w:p>
      <w:pPr>
        <w:pStyle w:val="BodyText"/>
        <w:spacing w:before="1"/>
        <w:rPr>
          <w:sz w:val="26"/>
        </w:rPr>
      </w:pPr>
    </w:p>
    <w:p>
      <w:pPr>
        <w:pStyle w:val="BodyText"/>
        <w:spacing w:line="285" w:lineRule="auto"/>
        <w:ind w:left="110" w:right="108"/>
        <w:jc w:val="both"/>
      </w:pPr>
      <w:r>
        <w:rPr/>
        <w:pict>
          <v:line style="position:absolute;mso-position-horizontal-relative:page;mso-position-vertical-relative:paragraph;z-index:10504;mso-wrap-distance-left:0;mso-wrap-distance-right:0" from="42.519699pt,35.264328pt" to="114.519699pt,35.264328pt" stroked="true" strokeweight="1pt" strokecolor="#231f20">
            <w10:wrap type="topAndBottom"/>
          </v:line>
        </w:pict>
      </w:r>
      <w:r>
        <w:rPr>
          <w:color w:val="231F20"/>
          <w:spacing w:val="2"/>
          <w:w w:val="105"/>
        </w:rPr>
        <w:t>Los</w:t>
      </w:r>
      <w:r>
        <w:rPr>
          <w:color w:val="231F20"/>
          <w:spacing w:val="-9"/>
          <w:w w:val="105"/>
        </w:rPr>
        <w:t> </w:t>
      </w:r>
      <w:r>
        <w:rPr>
          <w:color w:val="231F20"/>
          <w:w w:val="105"/>
        </w:rPr>
        <w:t>resultados</w:t>
      </w:r>
      <w:r>
        <w:rPr>
          <w:color w:val="231F20"/>
          <w:spacing w:val="-9"/>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spacing w:val="2"/>
          <w:w w:val="105"/>
        </w:rPr>
        <w:t>último</w:t>
      </w:r>
      <w:r>
        <w:rPr>
          <w:color w:val="231F20"/>
          <w:spacing w:val="-9"/>
          <w:w w:val="105"/>
        </w:rPr>
        <w:t> </w:t>
      </w:r>
      <w:r>
        <w:rPr>
          <w:color w:val="231F20"/>
          <w:w w:val="105"/>
        </w:rPr>
        <w:t>son</w:t>
      </w:r>
      <w:r>
        <w:rPr>
          <w:color w:val="231F20"/>
          <w:spacing w:val="-9"/>
          <w:w w:val="105"/>
        </w:rPr>
        <w:t> </w:t>
      </w:r>
      <w:r>
        <w:rPr>
          <w:color w:val="231F20"/>
          <w:spacing w:val="2"/>
          <w:w w:val="105"/>
        </w:rPr>
        <w:t>claros,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año</w:t>
      </w:r>
      <w:r>
        <w:rPr>
          <w:color w:val="231F20"/>
          <w:spacing w:val="-9"/>
          <w:w w:val="105"/>
        </w:rPr>
        <w:t> </w:t>
      </w:r>
      <w:r>
        <w:rPr>
          <w:color w:val="231F20"/>
          <w:spacing w:val="5"/>
          <w:w w:val="105"/>
        </w:rPr>
        <w:t>2000,</w:t>
      </w:r>
      <w:r>
        <w:rPr>
          <w:color w:val="231F20"/>
          <w:spacing w:val="-9"/>
          <w:w w:val="105"/>
        </w:rPr>
        <w:t> </w:t>
      </w:r>
      <w:r>
        <w:rPr>
          <w:color w:val="231F20"/>
          <w:spacing w:val="2"/>
          <w:w w:val="105"/>
        </w:rPr>
        <w:t>las</w:t>
      </w:r>
      <w:r>
        <w:rPr>
          <w:color w:val="231F20"/>
          <w:spacing w:val="-9"/>
          <w:w w:val="105"/>
        </w:rPr>
        <w:t> </w:t>
      </w:r>
      <w:r>
        <w:rPr>
          <w:color w:val="231F20"/>
          <w:w w:val="105"/>
        </w:rPr>
        <w:t>aportaciones</w:t>
      </w:r>
      <w:r>
        <w:rPr>
          <w:color w:val="231F20"/>
          <w:spacing w:val="-9"/>
          <w:w w:val="105"/>
        </w:rPr>
        <w:t> </w:t>
      </w:r>
      <w:r>
        <w:rPr>
          <w:color w:val="231F20"/>
          <w:w w:val="105"/>
        </w:rPr>
        <w:t>del</w:t>
      </w:r>
      <w:r>
        <w:rPr>
          <w:color w:val="231F20"/>
          <w:spacing w:val="-9"/>
          <w:w w:val="105"/>
        </w:rPr>
        <w:t> </w:t>
      </w:r>
      <w:r>
        <w:rPr>
          <w:color w:val="231F20"/>
          <w:w w:val="105"/>
        </w:rPr>
        <w:t>gobierno federal</w:t>
      </w:r>
      <w:r>
        <w:rPr>
          <w:color w:val="231F20"/>
          <w:spacing w:val="-6"/>
          <w:w w:val="105"/>
        </w:rPr>
        <w:t> </w:t>
      </w:r>
      <w:r>
        <w:rPr>
          <w:color w:val="231F20"/>
          <w:spacing w:val="2"/>
          <w:w w:val="105"/>
        </w:rPr>
        <w:t>eran</w:t>
      </w:r>
      <w:r>
        <w:rPr>
          <w:color w:val="231F20"/>
          <w:spacing w:val="-6"/>
          <w:w w:val="105"/>
        </w:rPr>
        <w:t> </w:t>
      </w:r>
      <w:r>
        <w:rPr>
          <w:color w:val="231F20"/>
          <w:w w:val="105"/>
        </w:rPr>
        <w:t>de</w:t>
      </w:r>
      <w:r>
        <w:rPr>
          <w:color w:val="231F20"/>
          <w:spacing w:val="-6"/>
          <w:w w:val="105"/>
        </w:rPr>
        <w:t> </w:t>
      </w:r>
      <w:r>
        <w:rPr>
          <w:color w:val="231F20"/>
          <w:w w:val="105"/>
        </w:rPr>
        <w:t>332</w:t>
      </w:r>
      <w:r>
        <w:rPr>
          <w:color w:val="231F20"/>
          <w:spacing w:val="-6"/>
          <w:w w:val="105"/>
        </w:rPr>
        <w:t> </w:t>
      </w:r>
      <w:r>
        <w:rPr>
          <w:color w:val="231F20"/>
          <w:spacing w:val="2"/>
          <w:w w:val="105"/>
        </w:rPr>
        <w:t>millones</w:t>
      </w:r>
      <w:r>
        <w:rPr>
          <w:color w:val="231F20"/>
          <w:spacing w:val="-6"/>
          <w:w w:val="105"/>
        </w:rPr>
        <w:t> </w:t>
      </w:r>
      <w:r>
        <w:rPr>
          <w:color w:val="231F20"/>
          <w:w w:val="105"/>
        </w:rPr>
        <w:t>y</w:t>
      </w:r>
      <w:r>
        <w:rPr>
          <w:color w:val="231F20"/>
          <w:spacing w:val="-6"/>
          <w:w w:val="105"/>
        </w:rPr>
        <w:t> </w:t>
      </w:r>
      <w:r>
        <w:rPr>
          <w:color w:val="231F20"/>
          <w:w w:val="105"/>
        </w:rPr>
        <w:t>los</w:t>
      </w:r>
      <w:r>
        <w:rPr>
          <w:color w:val="231F20"/>
          <w:spacing w:val="-6"/>
          <w:w w:val="105"/>
        </w:rPr>
        <w:t> </w:t>
      </w:r>
      <w:r>
        <w:rPr>
          <w:color w:val="231F20"/>
          <w:w w:val="105"/>
        </w:rPr>
        <w:t>del</w:t>
      </w:r>
      <w:r>
        <w:rPr>
          <w:color w:val="231F20"/>
          <w:spacing w:val="-6"/>
          <w:w w:val="105"/>
        </w:rPr>
        <w:t> </w:t>
      </w:r>
      <w:r>
        <w:rPr>
          <w:color w:val="231F20"/>
          <w:w w:val="105"/>
        </w:rPr>
        <w:t>municipio</w:t>
      </w:r>
      <w:r>
        <w:rPr>
          <w:color w:val="231F20"/>
          <w:spacing w:val="-6"/>
          <w:w w:val="105"/>
        </w:rPr>
        <w:t> </w:t>
      </w:r>
      <w:r>
        <w:rPr>
          <w:color w:val="231F20"/>
          <w:w w:val="105"/>
        </w:rPr>
        <w:t>de</w:t>
      </w:r>
      <w:r>
        <w:rPr>
          <w:color w:val="231F20"/>
          <w:spacing w:val="-6"/>
          <w:w w:val="105"/>
        </w:rPr>
        <w:t> </w:t>
      </w:r>
      <w:r>
        <w:rPr>
          <w:color w:val="231F20"/>
          <w:w w:val="105"/>
        </w:rPr>
        <w:t>322</w:t>
      </w:r>
      <w:r>
        <w:rPr>
          <w:color w:val="231F20"/>
          <w:spacing w:val="-6"/>
          <w:w w:val="105"/>
        </w:rPr>
        <w:t> </w:t>
      </w:r>
      <w:r>
        <w:rPr>
          <w:color w:val="231F20"/>
          <w:spacing w:val="2"/>
          <w:w w:val="105"/>
        </w:rPr>
        <w:t>millones.</w:t>
      </w:r>
      <w:r>
        <w:rPr>
          <w:color w:val="231F20"/>
          <w:spacing w:val="-6"/>
          <w:w w:val="105"/>
        </w:rPr>
        <w:t> </w:t>
      </w:r>
      <w:r>
        <w:rPr>
          <w:color w:val="231F20"/>
          <w:spacing w:val="2"/>
          <w:w w:val="105"/>
        </w:rPr>
        <w:t>Para</w:t>
      </w:r>
      <w:r>
        <w:rPr>
          <w:color w:val="231F20"/>
          <w:spacing w:val="-6"/>
          <w:w w:val="105"/>
        </w:rPr>
        <w:t> </w:t>
      </w:r>
      <w:r>
        <w:rPr>
          <w:color w:val="231F20"/>
          <w:w w:val="105"/>
        </w:rPr>
        <w:t>el</w:t>
      </w:r>
      <w:r>
        <w:rPr>
          <w:color w:val="231F20"/>
          <w:spacing w:val="-6"/>
          <w:w w:val="105"/>
        </w:rPr>
        <w:t> </w:t>
      </w:r>
      <w:r>
        <w:rPr>
          <w:color w:val="231F20"/>
          <w:w w:val="105"/>
        </w:rPr>
        <w:t>año</w:t>
      </w:r>
      <w:r>
        <w:rPr>
          <w:color w:val="231F20"/>
          <w:spacing w:val="-6"/>
          <w:w w:val="105"/>
        </w:rPr>
        <w:t> </w:t>
      </w:r>
      <w:r>
        <w:rPr>
          <w:color w:val="231F20"/>
          <w:w w:val="105"/>
        </w:rPr>
        <w:t>siguien-</w:t>
      </w:r>
    </w:p>
    <w:p>
      <w:pPr>
        <w:pStyle w:val="ListParagraph"/>
        <w:numPr>
          <w:ilvl w:val="0"/>
          <w:numId w:val="15"/>
        </w:numPr>
        <w:tabs>
          <w:tab w:pos="327" w:val="left" w:leader="none"/>
        </w:tabs>
        <w:spacing w:line="244" w:lineRule="auto" w:before="8" w:after="0"/>
        <w:ind w:left="110" w:right="108" w:firstLine="0"/>
        <w:jc w:val="left"/>
        <w:rPr>
          <w:sz w:val="16"/>
        </w:rPr>
      </w:pPr>
      <w:r>
        <w:rPr>
          <w:color w:val="231F20"/>
          <w:sz w:val="16"/>
        </w:rPr>
        <w:t>GARCÍA</w:t>
      </w:r>
      <w:r>
        <w:rPr>
          <w:color w:val="231F20"/>
          <w:spacing w:val="-5"/>
          <w:sz w:val="16"/>
        </w:rPr>
        <w:t> </w:t>
      </w:r>
      <w:r>
        <w:rPr>
          <w:color w:val="231F20"/>
          <w:sz w:val="16"/>
        </w:rPr>
        <w:t>VÁZQUEZ,</w:t>
      </w:r>
      <w:r>
        <w:rPr>
          <w:color w:val="231F20"/>
          <w:spacing w:val="-5"/>
          <w:sz w:val="16"/>
        </w:rPr>
        <w:t> </w:t>
      </w:r>
      <w:r>
        <w:rPr>
          <w:color w:val="231F20"/>
          <w:sz w:val="16"/>
        </w:rPr>
        <w:t>Gilberto</w:t>
      </w:r>
      <w:r>
        <w:rPr>
          <w:color w:val="231F20"/>
          <w:spacing w:val="-5"/>
          <w:sz w:val="16"/>
        </w:rPr>
        <w:t> </w:t>
      </w:r>
      <w:r>
        <w:rPr>
          <w:color w:val="231F20"/>
          <w:sz w:val="16"/>
        </w:rPr>
        <w:t>y</w:t>
      </w:r>
      <w:r>
        <w:rPr>
          <w:color w:val="231F20"/>
          <w:spacing w:val="-5"/>
          <w:sz w:val="16"/>
        </w:rPr>
        <w:t> </w:t>
      </w:r>
      <w:r>
        <w:rPr>
          <w:color w:val="231F20"/>
          <w:sz w:val="16"/>
        </w:rPr>
        <w:t>Mauricio</w:t>
      </w:r>
      <w:r>
        <w:rPr>
          <w:color w:val="231F20"/>
          <w:spacing w:val="-5"/>
          <w:sz w:val="16"/>
        </w:rPr>
        <w:t> </w:t>
      </w:r>
      <w:r>
        <w:rPr>
          <w:color w:val="231F20"/>
          <w:sz w:val="16"/>
        </w:rPr>
        <w:t>LÓPEZ</w:t>
      </w:r>
      <w:r>
        <w:rPr>
          <w:color w:val="231F20"/>
          <w:spacing w:val="-5"/>
          <w:sz w:val="16"/>
        </w:rPr>
        <w:t> </w:t>
      </w:r>
      <w:r>
        <w:rPr>
          <w:color w:val="231F20"/>
          <w:sz w:val="16"/>
        </w:rPr>
        <w:t>GONZÁLEZ,</w:t>
      </w:r>
      <w:r>
        <w:rPr>
          <w:color w:val="231F20"/>
          <w:spacing w:val="-5"/>
          <w:sz w:val="16"/>
        </w:rPr>
        <w:t> </w:t>
      </w:r>
      <w:r>
        <w:rPr>
          <w:color w:val="231F20"/>
          <w:sz w:val="16"/>
        </w:rPr>
        <w:t>Fortalecimiento</w:t>
      </w:r>
      <w:r>
        <w:rPr>
          <w:color w:val="231F20"/>
          <w:spacing w:val="-5"/>
          <w:sz w:val="16"/>
        </w:rPr>
        <w:t> </w:t>
      </w:r>
      <w:r>
        <w:rPr>
          <w:color w:val="231F20"/>
          <w:sz w:val="16"/>
        </w:rPr>
        <w:t>de</w:t>
      </w:r>
      <w:r>
        <w:rPr>
          <w:color w:val="231F20"/>
          <w:spacing w:val="-5"/>
          <w:sz w:val="16"/>
        </w:rPr>
        <w:t> </w:t>
      </w:r>
      <w:r>
        <w:rPr>
          <w:color w:val="231F20"/>
          <w:sz w:val="16"/>
        </w:rPr>
        <w:t>ingresos</w:t>
      </w:r>
      <w:r>
        <w:rPr>
          <w:color w:val="231F20"/>
          <w:spacing w:val="-5"/>
          <w:sz w:val="16"/>
        </w:rPr>
        <w:t> </w:t>
      </w:r>
      <w:r>
        <w:rPr>
          <w:color w:val="231F20"/>
          <w:sz w:val="16"/>
        </w:rPr>
        <w:t>municipales.</w:t>
      </w:r>
      <w:r>
        <w:rPr>
          <w:color w:val="231F20"/>
          <w:spacing w:val="-5"/>
          <w:sz w:val="16"/>
        </w:rPr>
        <w:t> </w:t>
      </w:r>
      <w:r>
        <w:rPr>
          <w:color w:val="231F20"/>
          <w:sz w:val="16"/>
        </w:rPr>
        <w:t>Tlalnepantla</w:t>
      </w:r>
      <w:r>
        <w:rPr>
          <w:color w:val="231F20"/>
          <w:spacing w:val="-5"/>
          <w:sz w:val="16"/>
        </w:rPr>
        <w:t> </w:t>
      </w:r>
      <w:r>
        <w:rPr>
          <w:color w:val="231F20"/>
          <w:sz w:val="16"/>
        </w:rPr>
        <w:t>de</w:t>
      </w:r>
      <w:r>
        <w:rPr>
          <w:color w:val="231F20"/>
          <w:spacing w:val="-5"/>
          <w:sz w:val="16"/>
        </w:rPr>
        <w:t> </w:t>
      </w:r>
      <w:r>
        <w:rPr>
          <w:color w:val="231F20"/>
          <w:sz w:val="16"/>
        </w:rPr>
        <w:t>Baz, Estado</w:t>
      </w:r>
      <w:r>
        <w:rPr>
          <w:color w:val="231F20"/>
          <w:spacing w:val="-18"/>
          <w:sz w:val="16"/>
        </w:rPr>
        <w:t> </w:t>
      </w:r>
      <w:r>
        <w:rPr>
          <w:color w:val="231F20"/>
          <w:sz w:val="16"/>
        </w:rPr>
        <w:t>de</w:t>
      </w:r>
      <w:r>
        <w:rPr>
          <w:color w:val="231F20"/>
          <w:spacing w:val="-18"/>
          <w:sz w:val="16"/>
        </w:rPr>
        <w:t> </w:t>
      </w:r>
      <w:r>
        <w:rPr>
          <w:color w:val="231F20"/>
          <w:sz w:val="16"/>
        </w:rPr>
        <w:t>México,</w:t>
      </w:r>
      <w:r>
        <w:rPr>
          <w:color w:val="231F20"/>
          <w:spacing w:val="-18"/>
          <w:sz w:val="16"/>
        </w:rPr>
        <w:t> </w:t>
      </w:r>
      <w:r>
        <w:rPr>
          <w:color w:val="231F20"/>
          <w:sz w:val="16"/>
        </w:rPr>
        <w:t>p.</w:t>
      </w:r>
      <w:r>
        <w:rPr>
          <w:color w:val="231F20"/>
          <w:spacing w:val="-18"/>
          <w:sz w:val="16"/>
        </w:rPr>
        <w:t> </w:t>
      </w:r>
      <w:r>
        <w:rPr>
          <w:color w:val="231F20"/>
          <w:sz w:val="16"/>
        </w:rPr>
        <w:t>240.</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9"/>
        <w:jc w:val="both"/>
      </w:pPr>
      <w:r>
        <w:rPr>
          <w:color w:val="231F20"/>
          <w:w w:val="105"/>
        </w:rPr>
        <w:t>te,</w:t>
      </w:r>
      <w:r>
        <w:rPr>
          <w:color w:val="231F20"/>
          <w:spacing w:val="-5"/>
          <w:w w:val="105"/>
        </w:rPr>
        <w:t> </w:t>
      </w:r>
      <w:r>
        <w:rPr>
          <w:color w:val="231F20"/>
          <w:spacing w:val="2"/>
          <w:w w:val="105"/>
        </w:rPr>
        <w:t>las</w:t>
      </w:r>
      <w:r>
        <w:rPr>
          <w:color w:val="231F20"/>
          <w:spacing w:val="-5"/>
          <w:w w:val="105"/>
        </w:rPr>
        <w:t> </w:t>
      </w:r>
      <w:r>
        <w:rPr>
          <w:color w:val="231F20"/>
          <w:w w:val="105"/>
        </w:rPr>
        <w:t>aportaciones</w:t>
      </w:r>
      <w:r>
        <w:rPr>
          <w:color w:val="231F20"/>
          <w:spacing w:val="-5"/>
          <w:w w:val="105"/>
        </w:rPr>
        <w:t> </w:t>
      </w:r>
      <w:r>
        <w:rPr>
          <w:color w:val="231F20"/>
          <w:w w:val="105"/>
        </w:rPr>
        <w:t>federales</w:t>
      </w:r>
      <w:r>
        <w:rPr>
          <w:color w:val="231F20"/>
          <w:spacing w:val="-5"/>
          <w:w w:val="105"/>
        </w:rPr>
        <w:t> </w:t>
      </w:r>
      <w:r>
        <w:rPr>
          <w:color w:val="231F20"/>
          <w:spacing w:val="2"/>
          <w:w w:val="105"/>
        </w:rPr>
        <w:t>eran</w:t>
      </w:r>
      <w:r>
        <w:rPr>
          <w:color w:val="231F20"/>
          <w:spacing w:val="-5"/>
          <w:w w:val="105"/>
        </w:rPr>
        <w:t> </w:t>
      </w:r>
      <w:r>
        <w:rPr>
          <w:color w:val="231F20"/>
          <w:w w:val="105"/>
        </w:rPr>
        <w:t>de</w:t>
      </w:r>
      <w:r>
        <w:rPr>
          <w:color w:val="231F20"/>
          <w:spacing w:val="-5"/>
          <w:w w:val="105"/>
        </w:rPr>
        <w:t> </w:t>
      </w:r>
      <w:r>
        <w:rPr>
          <w:color w:val="231F20"/>
          <w:w w:val="105"/>
        </w:rPr>
        <w:t>357</w:t>
      </w:r>
      <w:r>
        <w:rPr>
          <w:color w:val="231F20"/>
          <w:spacing w:val="-5"/>
          <w:w w:val="105"/>
        </w:rPr>
        <w:t> </w:t>
      </w:r>
      <w:r>
        <w:rPr>
          <w:color w:val="231F20"/>
          <w:spacing w:val="2"/>
          <w:w w:val="105"/>
        </w:rPr>
        <w:t>millones</w:t>
      </w:r>
      <w:r>
        <w:rPr>
          <w:color w:val="231F20"/>
          <w:spacing w:val="-5"/>
          <w:w w:val="105"/>
        </w:rPr>
        <w:t> </w:t>
      </w:r>
      <w:r>
        <w:rPr>
          <w:color w:val="231F20"/>
          <w:w w:val="105"/>
        </w:rPr>
        <w:t>y</w:t>
      </w:r>
      <w:r>
        <w:rPr>
          <w:color w:val="231F20"/>
          <w:spacing w:val="-5"/>
          <w:w w:val="105"/>
        </w:rPr>
        <w:t> </w:t>
      </w:r>
      <w:r>
        <w:rPr>
          <w:color w:val="231F20"/>
          <w:spacing w:val="2"/>
          <w:w w:val="105"/>
        </w:rPr>
        <w:t>las</w:t>
      </w:r>
      <w:r>
        <w:rPr>
          <w:color w:val="231F20"/>
          <w:spacing w:val="-5"/>
          <w:w w:val="105"/>
        </w:rPr>
        <w:t> </w:t>
      </w:r>
      <w:r>
        <w:rPr>
          <w:color w:val="231F20"/>
          <w:spacing w:val="2"/>
          <w:w w:val="105"/>
        </w:rPr>
        <w:t>municipales</w:t>
      </w:r>
      <w:r>
        <w:rPr>
          <w:color w:val="231F20"/>
          <w:spacing w:val="-5"/>
          <w:w w:val="105"/>
        </w:rPr>
        <w:t> </w:t>
      </w:r>
      <w:r>
        <w:rPr>
          <w:color w:val="231F20"/>
          <w:w w:val="105"/>
        </w:rPr>
        <w:t>de</w:t>
      </w:r>
      <w:r>
        <w:rPr>
          <w:color w:val="231F20"/>
          <w:spacing w:val="-5"/>
          <w:w w:val="105"/>
        </w:rPr>
        <w:t> </w:t>
      </w:r>
      <w:r>
        <w:rPr>
          <w:color w:val="231F20"/>
          <w:w w:val="105"/>
        </w:rPr>
        <w:t>452</w:t>
      </w:r>
      <w:r>
        <w:rPr>
          <w:color w:val="231F20"/>
          <w:spacing w:val="-5"/>
          <w:w w:val="105"/>
        </w:rPr>
        <w:t> </w:t>
      </w:r>
      <w:r>
        <w:rPr>
          <w:color w:val="231F20"/>
          <w:spacing w:val="2"/>
          <w:w w:val="105"/>
        </w:rPr>
        <w:t>millones. </w:t>
      </w:r>
      <w:r>
        <w:rPr>
          <w:color w:val="231F20"/>
          <w:w w:val="105"/>
        </w:rPr>
        <w:t>La percepción de la ciudadanía </w:t>
      </w:r>
      <w:r>
        <w:rPr>
          <w:color w:val="231F20"/>
          <w:spacing w:val="3"/>
          <w:w w:val="105"/>
        </w:rPr>
        <w:t>al </w:t>
      </w:r>
      <w:r>
        <w:rPr>
          <w:color w:val="231F20"/>
          <w:spacing w:val="2"/>
          <w:w w:val="105"/>
        </w:rPr>
        <w:t>respecto </w:t>
      </w:r>
      <w:r>
        <w:rPr>
          <w:color w:val="231F20"/>
          <w:w w:val="105"/>
        </w:rPr>
        <w:t>ha sido favorable</w:t>
      </w:r>
      <w:r>
        <w:rPr>
          <w:color w:val="231F20"/>
          <w:w w:val="105"/>
          <w:position w:val="7"/>
          <w:sz w:val="13"/>
        </w:rPr>
        <w:t>12. </w:t>
      </w:r>
      <w:r>
        <w:rPr>
          <w:color w:val="231F20"/>
          <w:w w:val="105"/>
        </w:rPr>
        <w:t>Eso puede </w:t>
      </w:r>
      <w:r>
        <w:rPr>
          <w:color w:val="231F20"/>
          <w:spacing w:val="2"/>
          <w:w w:val="105"/>
        </w:rPr>
        <w:t>sustentarse </w:t>
      </w:r>
      <w:r>
        <w:rPr>
          <w:color w:val="231F20"/>
          <w:w w:val="105"/>
        </w:rPr>
        <w:t>apoyado en el hecho de que no se ha reducido la recaudación </w:t>
      </w:r>
      <w:r>
        <w:rPr>
          <w:color w:val="231F20"/>
          <w:spacing w:val="4"/>
          <w:w w:val="105"/>
        </w:rPr>
        <w:t>fiscal </w:t>
      </w:r>
      <w:r>
        <w:rPr>
          <w:color w:val="231F20"/>
          <w:w w:val="105"/>
        </w:rPr>
        <w:t>del municipio, sobrepasando siempre </w:t>
      </w:r>
      <w:r>
        <w:rPr>
          <w:color w:val="231F20"/>
          <w:spacing w:val="2"/>
          <w:w w:val="105"/>
        </w:rPr>
        <w:t>las </w:t>
      </w:r>
      <w:r>
        <w:rPr>
          <w:color w:val="231F20"/>
          <w:w w:val="105"/>
        </w:rPr>
        <w:t>aportaciones federales. Esto generó </w:t>
      </w:r>
      <w:r>
        <w:rPr>
          <w:color w:val="231F20"/>
          <w:spacing w:val="3"/>
          <w:w w:val="105"/>
        </w:rPr>
        <w:t>un </w:t>
      </w:r>
      <w:r>
        <w:rPr>
          <w:color w:val="231F20"/>
          <w:w w:val="105"/>
        </w:rPr>
        <w:t>compromiso entre gobierno y ciudadanía, en donde </w:t>
      </w:r>
      <w:r>
        <w:rPr>
          <w:color w:val="231F20"/>
          <w:spacing w:val="-3"/>
          <w:w w:val="105"/>
        </w:rPr>
        <w:t>(en </w:t>
      </w:r>
      <w:r>
        <w:rPr>
          <w:color w:val="231F20"/>
          <w:w w:val="105"/>
        </w:rPr>
        <w:t>teoría) los primeros se comprometen a dotar de </w:t>
      </w:r>
      <w:r>
        <w:rPr>
          <w:color w:val="231F20"/>
          <w:spacing w:val="2"/>
          <w:w w:val="105"/>
        </w:rPr>
        <w:t>servicios</w:t>
      </w:r>
      <w:r>
        <w:rPr>
          <w:color w:val="231F20"/>
          <w:spacing w:val="-12"/>
          <w:w w:val="105"/>
        </w:rPr>
        <w:t> </w:t>
      </w:r>
      <w:r>
        <w:rPr>
          <w:color w:val="231F20"/>
          <w:spacing w:val="2"/>
          <w:w w:val="105"/>
        </w:rPr>
        <w:t>más</w:t>
      </w:r>
      <w:r>
        <w:rPr>
          <w:color w:val="231F20"/>
          <w:spacing w:val="-12"/>
          <w:w w:val="105"/>
        </w:rPr>
        <w:t> </w:t>
      </w:r>
      <w:r>
        <w:rPr>
          <w:color w:val="231F20"/>
          <w:w w:val="105"/>
        </w:rPr>
        <w:t>eficientes</w:t>
      </w:r>
      <w:r>
        <w:rPr>
          <w:color w:val="231F20"/>
          <w:spacing w:val="-12"/>
          <w:w w:val="105"/>
        </w:rPr>
        <w:t> </w:t>
      </w:r>
      <w:r>
        <w:rPr>
          <w:color w:val="231F20"/>
          <w:w w:val="105"/>
        </w:rPr>
        <w:t>y</w:t>
      </w:r>
      <w:r>
        <w:rPr>
          <w:color w:val="231F20"/>
          <w:spacing w:val="-12"/>
          <w:w w:val="105"/>
        </w:rPr>
        <w:t> </w:t>
      </w:r>
      <w:r>
        <w:rPr>
          <w:color w:val="231F20"/>
          <w:spacing w:val="2"/>
          <w:w w:val="105"/>
        </w:rPr>
        <w:t>transparentes</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segundos</w:t>
      </w:r>
      <w:r>
        <w:rPr>
          <w:color w:val="231F20"/>
          <w:spacing w:val="-12"/>
          <w:w w:val="105"/>
        </w:rPr>
        <w:t> </w:t>
      </w:r>
      <w:r>
        <w:rPr>
          <w:color w:val="231F20"/>
          <w:spacing w:val="3"/>
          <w:w w:val="105"/>
        </w:rPr>
        <w:t>al</w:t>
      </w:r>
      <w:r>
        <w:rPr>
          <w:color w:val="231F20"/>
          <w:spacing w:val="-12"/>
          <w:w w:val="105"/>
        </w:rPr>
        <w:t> </w:t>
      </w:r>
      <w:r>
        <w:rPr>
          <w:color w:val="231F20"/>
          <w:w w:val="105"/>
        </w:rPr>
        <w:t>pago</w:t>
      </w:r>
      <w:r>
        <w:rPr>
          <w:color w:val="231F20"/>
          <w:spacing w:val="-12"/>
          <w:w w:val="105"/>
        </w:rPr>
        <w:t> </w:t>
      </w:r>
      <w:r>
        <w:rPr>
          <w:color w:val="231F20"/>
          <w:w w:val="105"/>
        </w:rPr>
        <w:t>de</w:t>
      </w:r>
      <w:r>
        <w:rPr>
          <w:color w:val="231F20"/>
          <w:spacing w:val="-12"/>
          <w:w w:val="105"/>
        </w:rPr>
        <w:t> </w:t>
      </w:r>
      <w:r>
        <w:rPr>
          <w:color w:val="231F20"/>
          <w:w w:val="105"/>
        </w:rPr>
        <w:t>impuestos</w:t>
      </w:r>
      <w:r>
        <w:rPr>
          <w:color w:val="231F20"/>
          <w:spacing w:val="-12"/>
          <w:w w:val="105"/>
        </w:rPr>
        <w:t> </w:t>
      </w:r>
      <w:r>
        <w:rPr>
          <w:color w:val="231F20"/>
          <w:w w:val="105"/>
        </w:rPr>
        <w:t>que</w:t>
      </w:r>
      <w:r>
        <w:rPr>
          <w:color w:val="231F20"/>
          <w:spacing w:val="-12"/>
          <w:w w:val="105"/>
        </w:rPr>
        <w:t> </w:t>
      </w:r>
      <w:r>
        <w:rPr>
          <w:color w:val="231F20"/>
          <w:spacing w:val="3"/>
          <w:w w:val="105"/>
        </w:rPr>
        <w:t>hasta </w:t>
      </w:r>
      <w:r>
        <w:rPr>
          <w:color w:val="231F20"/>
          <w:w w:val="105"/>
        </w:rPr>
        <w:t>el </w:t>
      </w:r>
      <w:r>
        <w:rPr>
          <w:color w:val="231F20"/>
          <w:spacing w:val="2"/>
          <w:w w:val="105"/>
        </w:rPr>
        <w:t>día </w:t>
      </w:r>
      <w:r>
        <w:rPr>
          <w:color w:val="231F20"/>
          <w:w w:val="105"/>
        </w:rPr>
        <w:t>de hoy continua en</w:t>
      </w:r>
      <w:r>
        <w:rPr>
          <w:color w:val="231F20"/>
          <w:spacing w:val="-1"/>
          <w:w w:val="105"/>
        </w:rPr>
        <w:t> </w:t>
      </w:r>
      <w:r>
        <w:rPr>
          <w:color w:val="231F20"/>
          <w:spacing w:val="2"/>
          <w:w w:val="105"/>
        </w:rPr>
        <w:t>Tlalnepantla.</w:t>
      </w:r>
    </w:p>
    <w:p>
      <w:pPr>
        <w:pStyle w:val="BodyText"/>
        <w:spacing w:before="1"/>
        <w:rPr>
          <w:sz w:val="26"/>
        </w:rPr>
      </w:pPr>
    </w:p>
    <w:p>
      <w:pPr>
        <w:pStyle w:val="BodyText"/>
        <w:spacing w:line="285" w:lineRule="auto"/>
        <w:ind w:left="110" w:right="107"/>
        <w:jc w:val="both"/>
      </w:pPr>
      <w:r>
        <w:rPr>
          <w:color w:val="231F20"/>
          <w:w w:val="105"/>
        </w:rPr>
        <w:t>Este programa y su continuidad han logrado reducir tres aspectos importantes en este ámbito:</w:t>
      </w:r>
      <w:r>
        <w:rPr>
          <w:color w:val="231F20"/>
          <w:spacing w:val="-22"/>
          <w:w w:val="105"/>
        </w:rPr>
        <w:t> </w:t>
      </w:r>
      <w:r>
        <w:rPr>
          <w:color w:val="231F20"/>
          <w:w w:val="105"/>
        </w:rPr>
        <w:t>los</w:t>
      </w:r>
      <w:r>
        <w:rPr>
          <w:color w:val="231F20"/>
          <w:spacing w:val="-22"/>
          <w:w w:val="105"/>
        </w:rPr>
        <w:t> </w:t>
      </w:r>
      <w:r>
        <w:rPr>
          <w:color w:val="231F20"/>
          <w:w w:val="105"/>
        </w:rPr>
        <w:t>altos</w:t>
      </w:r>
      <w:r>
        <w:rPr>
          <w:color w:val="231F20"/>
          <w:spacing w:val="-22"/>
          <w:w w:val="105"/>
        </w:rPr>
        <w:t> </w:t>
      </w:r>
      <w:r>
        <w:rPr>
          <w:color w:val="231F20"/>
          <w:w w:val="105"/>
        </w:rPr>
        <w:t>índices</w:t>
      </w:r>
      <w:r>
        <w:rPr>
          <w:color w:val="231F20"/>
          <w:spacing w:val="-22"/>
          <w:w w:val="105"/>
        </w:rPr>
        <w:t> </w:t>
      </w:r>
      <w:r>
        <w:rPr>
          <w:color w:val="231F20"/>
          <w:w w:val="105"/>
        </w:rPr>
        <w:t>de</w:t>
      </w:r>
      <w:r>
        <w:rPr>
          <w:color w:val="231F20"/>
          <w:spacing w:val="-22"/>
          <w:w w:val="105"/>
        </w:rPr>
        <w:t> </w:t>
      </w:r>
      <w:r>
        <w:rPr>
          <w:color w:val="231F20"/>
          <w:w w:val="105"/>
        </w:rPr>
        <w:t>contribuyentes</w:t>
      </w:r>
      <w:r>
        <w:rPr>
          <w:color w:val="231F20"/>
          <w:spacing w:val="-22"/>
          <w:w w:val="105"/>
        </w:rPr>
        <w:t> </w:t>
      </w:r>
      <w:r>
        <w:rPr>
          <w:color w:val="231F20"/>
          <w:w w:val="105"/>
        </w:rPr>
        <w:t>en</w:t>
      </w:r>
      <w:r>
        <w:rPr>
          <w:color w:val="231F20"/>
          <w:spacing w:val="-22"/>
          <w:w w:val="105"/>
        </w:rPr>
        <w:t> </w:t>
      </w:r>
      <w:r>
        <w:rPr>
          <w:color w:val="231F20"/>
          <w:w w:val="105"/>
        </w:rPr>
        <w:t>rezago,</w:t>
      </w:r>
      <w:r>
        <w:rPr>
          <w:color w:val="231F20"/>
          <w:spacing w:val="-22"/>
          <w:w w:val="105"/>
        </w:rPr>
        <w:t> </w:t>
      </w:r>
      <w:r>
        <w:rPr>
          <w:color w:val="231F20"/>
          <w:w w:val="105"/>
        </w:rPr>
        <w:t>la</w:t>
      </w:r>
      <w:r>
        <w:rPr>
          <w:color w:val="231F20"/>
          <w:spacing w:val="-22"/>
          <w:w w:val="105"/>
        </w:rPr>
        <w:t> </w:t>
      </w:r>
      <w:r>
        <w:rPr>
          <w:color w:val="231F20"/>
          <w:w w:val="105"/>
        </w:rPr>
        <w:t>escasa</w:t>
      </w:r>
      <w:r>
        <w:rPr>
          <w:color w:val="231F20"/>
          <w:spacing w:val="-22"/>
          <w:w w:val="105"/>
        </w:rPr>
        <w:t> </w:t>
      </w:r>
      <w:r>
        <w:rPr>
          <w:color w:val="231F20"/>
          <w:w w:val="105"/>
        </w:rPr>
        <w:t>fiscalización</w:t>
      </w:r>
      <w:r>
        <w:rPr>
          <w:color w:val="231F20"/>
          <w:spacing w:val="-22"/>
          <w:w w:val="105"/>
        </w:rPr>
        <w:t> </w:t>
      </w:r>
      <w:r>
        <w:rPr>
          <w:color w:val="231F20"/>
          <w:spacing w:val="2"/>
          <w:w w:val="105"/>
        </w:rPr>
        <w:t>al</w:t>
      </w:r>
      <w:r>
        <w:rPr>
          <w:color w:val="231F20"/>
          <w:spacing w:val="-22"/>
          <w:w w:val="105"/>
        </w:rPr>
        <w:t> </w:t>
      </w:r>
      <w:r>
        <w:rPr>
          <w:color w:val="231F20"/>
          <w:w w:val="105"/>
        </w:rPr>
        <w:t>contribu- yente,</w:t>
      </w:r>
      <w:r>
        <w:rPr>
          <w:color w:val="231F20"/>
          <w:spacing w:val="-9"/>
          <w:w w:val="105"/>
        </w:rPr>
        <w:t> </w:t>
      </w:r>
      <w:r>
        <w:rPr>
          <w:color w:val="231F20"/>
          <w:w w:val="105"/>
        </w:rPr>
        <w:t>la</w:t>
      </w:r>
      <w:r>
        <w:rPr>
          <w:color w:val="231F20"/>
          <w:spacing w:val="-9"/>
          <w:w w:val="105"/>
        </w:rPr>
        <w:t> </w:t>
      </w:r>
      <w:r>
        <w:rPr>
          <w:color w:val="231F20"/>
          <w:w w:val="105"/>
        </w:rPr>
        <w:t>fuerte</w:t>
      </w:r>
      <w:r>
        <w:rPr>
          <w:color w:val="231F20"/>
          <w:spacing w:val="-9"/>
          <w:w w:val="105"/>
        </w:rPr>
        <w:t> </w:t>
      </w:r>
      <w:r>
        <w:rPr>
          <w:color w:val="231F20"/>
          <w:w w:val="105"/>
        </w:rPr>
        <w:t>dependencia</w:t>
      </w:r>
      <w:r>
        <w:rPr>
          <w:color w:val="231F20"/>
          <w:spacing w:val="-9"/>
          <w:w w:val="105"/>
        </w:rPr>
        <w:t> </w:t>
      </w:r>
      <w:r>
        <w:rPr>
          <w:color w:val="231F20"/>
          <w:w w:val="105"/>
        </w:rPr>
        <w:t>financiera</w:t>
      </w:r>
      <w:r>
        <w:rPr>
          <w:color w:val="231F20"/>
          <w:spacing w:val="-9"/>
          <w:w w:val="105"/>
        </w:rPr>
        <w:t> </w:t>
      </w:r>
      <w:r>
        <w:rPr>
          <w:color w:val="231F20"/>
          <w:w w:val="105"/>
        </w:rPr>
        <w:t>del</w:t>
      </w:r>
      <w:r>
        <w:rPr>
          <w:color w:val="231F20"/>
          <w:spacing w:val="-9"/>
          <w:w w:val="105"/>
        </w:rPr>
        <w:t> </w:t>
      </w:r>
      <w:r>
        <w:rPr>
          <w:color w:val="231F20"/>
          <w:w w:val="105"/>
        </w:rPr>
        <w:t>ámbito</w:t>
      </w:r>
      <w:r>
        <w:rPr>
          <w:color w:val="231F20"/>
          <w:spacing w:val="-9"/>
          <w:w w:val="105"/>
        </w:rPr>
        <w:t> </w:t>
      </w:r>
      <w:r>
        <w:rPr>
          <w:color w:val="231F20"/>
          <w:w w:val="105"/>
        </w:rPr>
        <w:t>federal</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lentitud</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proceso</w:t>
      </w:r>
      <w:r>
        <w:rPr>
          <w:color w:val="231F20"/>
          <w:spacing w:val="-9"/>
          <w:w w:val="105"/>
        </w:rPr>
        <w:t> </w:t>
      </w:r>
      <w:r>
        <w:rPr>
          <w:color w:val="231F20"/>
          <w:w w:val="105"/>
        </w:rPr>
        <w:t>de cobro </w:t>
      </w:r>
      <w:r>
        <w:rPr>
          <w:color w:val="231F20"/>
          <w:spacing w:val="2"/>
          <w:w w:val="105"/>
        </w:rPr>
        <w:t>al</w:t>
      </w:r>
      <w:r>
        <w:rPr>
          <w:color w:val="231F20"/>
          <w:spacing w:val="-40"/>
          <w:w w:val="105"/>
        </w:rPr>
        <w:t> </w:t>
      </w:r>
      <w:r>
        <w:rPr>
          <w:color w:val="231F20"/>
          <w:w w:val="105"/>
        </w:rPr>
        <w:t>contribuyente.</w:t>
      </w:r>
    </w:p>
    <w:p>
      <w:pPr>
        <w:pStyle w:val="BodyText"/>
        <w:spacing w:before="1"/>
        <w:rPr>
          <w:sz w:val="26"/>
        </w:rPr>
      </w:pPr>
    </w:p>
    <w:p>
      <w:pPr>
        <w:pStyle w:val="BodyText"/>
        <w:spacing w:line="285" w:lineRule="auto"/>
        <w:ind w:left="110" w:right="108"/>
        <w:jc w:val="both"/>
      </w:pPr>
      <w:r>
        <w:rPr>
          <w:color w:val="231F20"/>
          <w:w w:val="105"/>
        </w:rPr>
        <w:t>La gestión de Mendoza Ayala le imprimió mucha importancia a la modernización </w:t>
      </w:r>
      <w:r>
        <w:rPr>
          <w:color w:val="231F20"/>
          <w:spacing w:val="-3"/>
          <w:w w:val="105"/>
        </w:rPr>
        <w:t>ad- </w:t>
      </w:r>
      <w:r>
        <w:rPr>
          <w:color w:val="231F20"/>
          <w:w w:val="105"/>
        </w:rPr>
        <w:t>ministrativa, prueba de ello es el eje rector Modernización Integral de la “Administra- ción Pública Municipal”, cuyo objetivo general era desarrollar una eficiente y</w:t>
      </w:r>
      <w:r>
        <w:rPr>
          <w:color w:val="231F20"/>
          <w:spacing w:val="-34"/>
          <w:w w:val="105"/>
        </w:rPr>
        <w:t> </w:t>
      </w:r>
      <w:r>
        <w:rPr>
          <w:color w:val="231F20"/>
          <w:w w:val="105"/>
        </w:rPr>
        <w:t>honesta administración</w:t>
      </w:r>
      <w:r>
        <w:rPr>
          <w:color w:val="231F20"/>
          <w:spacing w:val="-15"/>
          <w:w w:val="105"/>
        </w:rPr>
        <w:t> </w:t>
      </w:r>
      <w:r>
        <w:rPr>
          <w:color w:val="231F20"/>
          <w:w w:val="105"/>
        </w:rPr>
        <w:t>municipal</w:t>
      </w:r>
      <w:r>
        <w:rPr>
          <w:color w:val="231F20"/>
          <w:spacing w:val="-15"/>
          <w:w w:val="105"/>
        </w:rPr>
        <w:t> </w:t>
      </w:r>
      <w:r>
        <w:rPr>
          <w:color w:val="231F20"/>
          <w:spacing w:val="2"/>
          <w:w w:val="105"/>
        </w:rPr>
        <w:t>al</w:t>
      </w:r>
      <w:r>
        <w:rPr>
          <w:color w:val="231F20"/>
          <w:spacing w:val="-15"/>
          <w:w w:val="105"/>
        </w:rPr>
        <w:t> </w:t>
      </w:r>
      <w:r>
        <w:rPr>
          <w:color w:val="231F20"/>
          <w:w w:val="105"/>
        </w:rPr>
        <w:t>servicio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ciudadanía</w:t>
      </w:r>
      <w:r>
        <w:rPr>
          <w:color w:val="231F20"/>
          <w:spacing w:val="-15"/>
          <w:w w:val="105"/>
        </w:rPr>
        <w:t> </w:t>
      </w:r>
      <w:r>
        <w:rPr>
          <w:color w:val="231F20"/>
          <w:w w:val="105"/>
        </w:rPr>
        <w:t>y</w:t>
      </w:r>
      <w:r>
        <w:rPr>
          <w:color w:val="231F20"/>
          <w:spacing w:val="-15"/>
          <w:w w:val="105"/>
        </w:rPr>
        <w:t> </w:t>
      </w:r>
      <w:r>
        <w:rPr>
          <w:color w:val="231F20"/>
          <w:w w:val="105"/>
        </w:rPr>
        <w:t>procurar</w:t>
      </w:r>
      <w:r>
        <w:rPr>
          <w:color w:val="231F20"/>
          <w:spacing w:val="-15"/>
          <w:w w:val="105"/>
        </w:rPr>
        <w:t> </w:t>
      </w:r>
      <w:r>
        <w:rPr>
          <w:color w:val="231F20"/>
          <w:w w:val="105"/>
        </w:rPr>
        <w:t>la</w:t>
      </w:r>
      <w:r>
        <w:rPr>
          <w:color w:val="231F20"/>
          <w:spacing w:val="-15"/>
          <w:w w:val="105"/>
        </w:rPr>
        <w:t> </w:t>
      </w:r>
      <w:r>
        <w:rPr>
          <w:color w:val="231F20"/>
          <w:w w:val="105"/>
        </w:rPr>
        <w:t>estricta</w:t>
      </w:r>
      <w:r>
        <w:rPr>
          <w:color w:val="231F20"/>
          <w:spacing w:val="-15"/>
          <w:w w:val="105"/>
        </w:rPr>
        <w:t> </w:t>
      </w:r>
      <w:r>
        <w:rPr>
          <w:color w:val="231F20"/>
          <w:w w:val="105"/>
        </w:rPr>
        <w:t>observancia jurídica</w:t>
      </w:r>
      <w:r>
        <w:rPr>
          <w:color w:val="231F20"/>
          <w:spacing w:val="-9"/>
          <w:w w:val="105"/>
        </w:rPr>
        <w:t> </w:t>
      </w:r>
      <w:r>
        <w:rPr>
          <w:color w:val="231F20"/>
          <w:w w:val="105"/>
        </w:rPr>
        <w:t>en</w:t>
      </w:r>
      <w:r>
        <w:rPr>
          <w:color w:val="231F20"/>
          <w:spacing w:val="-9"/>
          <w:w w:val="105"/>
        </w:rPr>
        <w:t> </w:t>
      </w:r>
      <w:r>
        <w:rPr>
          <w:color w:val="231F20"/>
          <w:w w:val="105"/>
        </w:rPr>
        <w:t>actos</w:t>
      </w:r>
      <w:r>
        <w:rPr>
          <w:color w:val="231F20"/>
          <w:spacing w:val="-9"/>
          <w:w w:val="105"/>
        </w:rPr>
        <w:t> </w:t>
      </w:r>
      <w:r>
        <w:rPr>
          <w:color w:val="231F20"/>
          <w:w w:val="105"/>
        </w:rPr>
        <w:t>de</w:t>
      </w:r>
      <w:r>
        <w:rPr>
          <w:color w:val="231F20"/>
          <w:spacing w:val="-9"/>
          <w:w w:val="105"/>
        </w:rPr>
        <w:t> </w:t>
      </w:r>
      <w:r>
        <w:rPr>
          <w:color w:val="231F20"/>
          <w:w w:val="105"/>
        </w:rPr>
        <w:t>gobierno</w:t>
      </w:r>
      <w:r>
        <w:rPr>
          <w:color w:val="231F20"/>
          <w:spacing w:val="-9"/>
          <w:w w:val="105"/>
        </w:rPr>
        <w:t> </w:t>
      </w:r>
      <w:r>
        <w:rPr>
          <w:color w:val="231F20"/>
          <w:w w:val="105"/>
        </w:rPr>
        <w:t>para</w:t>
      </w:r>
      <w:r>
        <w:rPr>
          <w:color w:val="231F20"/>
          <w:spacing w:val="-9"/>
          <w:w w:val="105"/>
        </w:rPr>
        <w:t> </w:t>
      </w:r>
      <w:r>
        <w:rPr>
          <w:color w:val="231F20"/>
          <w:w w:val="105"/>
        </w:rPr>
        <w:t>dar</w:t>
      </w:r>
      <w:r>
        <w:rPr>
          <w:color w:val="231F20"/>
          <w:spacing w:val="-9"/>
          <w:w w:val="105"/>
        </w:rPr>
        <w:t> </w:t>
      </w:r>
      <w:r>
        <w:rPr>
          <w:color w:val="231F20"/>
          <w:w w:val="105"/>
        </w:rPr>
        <w:t>confianza.</w:t>
      </w:r>
    </w:p>
    <w:p>
      <w:pPr>
        <w:pStyle w:val="BodyText"/>
        <w:spacing w:before="1"/>
        <w:rPr>
          <w:sz w:val="26"/>
        </w:rPr>
      </w:pPr>
    </w:p>
    <w:p>
      <w:pPr>
        <w:pStyle w:val="BodyText"/>
        <w:spacing w:line="285" w:lineRule="auto"/>
        <w:ind w:left="110" w:right="107"/>
        <w:jc w:val="both"/>
        <w:rPr>
          <w:sz w:val="13"/>
        </w:rPr>
      </w:pPr>
      <w:r>
        <w:rPr>
          <w:color w:val="231F20"/>
          <w:w w:val="105"/>
        </w:rPr>
        <w:t>Ahora bien, antes de observarlo más detenidamente, habría que decir algunas cosas respecto a la modernización administrativa. Tlalnepantla es un municipio donde se presentan dos cuestiones vinculadas a los indicadores antes vistos: 1) una situación distinta respecto a la cobertura, problemas y deficiencias en el nivel de infraestruc- tura, equipamiento, recursos humanos, materiales y técnicos para avanzar hacia una cobertura con calidad y eficiencia en la prestación de los servicios públicos, en com- paración con otros municipios que no son metropolitanos; y 2) que pasa por una fase de estabilización-consolidación del crecimiento urbano, en la que si bien siguen exis- tiendo problemas graves, las capacidades técnicas y de previsión se han desarrollado, </w:t>
      </w:r>
      <w:r>
        <w:rPr>
          <w:color w:val="231F20"/>
          <w:w w:val="105"/>
          <w:u w:val="single" w:color="231F20"/>
        </w:rPr>
        <w:t>lo cual abre la p</w:t>
      </w:r>
      <w:r>
        <w:rPr>
          <w:color w:val="231F20"/>
          <w:w w:val="105"/>
        </w:rPr>
        <w:t>osibilidad de enfrentar los retos con una mayor solidez institucional</w:t>
      </w:r>
      <w:r>
        <w:rPr>
          <w:color w:val="231F20"/>
          <w:w w:val="105"/>
          <w:position w:val="7"/>
          <w:sz w:val="13"/>
        </w:rPr>
        <w:t>13.</w:t>
      </w:r>
    </w:p>
    <w:p>
      <w:pPr>
        <w:pStyle w:val="ListParagraph"/>
        <w:numPr>
          <w:ilvl w:val="0"/>
          <w:numId w:val="15"/>
        </w:numPr>
        <w:tabs>
          <w:tab w:pos="332" w:val="left" w:leader="none"/>
        </w:tabs>
        <w:spacing w:line="244" w:lineRule="auto" w:before="37" w:after="0"/>
        <w:ind w:left="110" w:right="109" w:firstLine="0"/>
        <w:jc w:val="both"/>
        <w:rPr>
          <w:sz w:val="16"/>
        </w:rPr>
      </w:pPr>
      <w:r>
        <w:rPr>
          <w:color w:val="231F20"/>
          <w:sz w:val="16"/>
        </w:rPr>
        <w:t>“El</w:t>
      </w:r>
      <w:r>
        <w:rPr>
          <w:color w:val="231F20"/>
          <w:spacing w:val="-6"/>
          <w:sz w:val="16"/>
        </w:rPr>
        <w:t> </w:t>
      </w:r>
      <w:r>
        <w:rPr>
          <w:color w:val="231F20"/>
          <w:sz w:val="16"/>
        </w:rPr>
        <w:t>sentimiento</w:t>
      </w:r>
      <w:r>
        <w:rPr>
          <w:color w:val="231F20"/>
          <w:spacing w:val="-6"/>
          <w:sz w:val="16"/>
        </w:rPr>
        <w:t> </w:t>
      </w:r>
      <w:r>
        <w:rPr>
          <w:color w:val="231F20"/>
          <w:sz w:val="16"/>
        </w:rPr>
        <w:t>general</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ciudadanos</w:t>
      </w:r>
      <w:r>
        <w:rPr>
          <w:color w:val="231F20"/>
          <w:spacing w:val="-6"/>
          <w:sz w:val="16"/>
        </w:rPr>
        <w:t> </w:t>
      </w:r>
      <w:r>
        <w:rPr>
          <w:color w:val="231F20"/>
          <w:sz w:val="16"/>
        </w:rPr>
        <w:t>es</w:t>
      </w:r>
      <w:r>
        <w:rPr>
          <w:color w:val="231F20"/>
          <w:spacing w:val="-6"/>
          <w:sz w:val="16"/>
        </w:rPr>
        <w:t> </w:t>
      </w:r>
      <w:r>
        <w:rPr>
          <w:color w:val="231F20"/>
          <w:sz w:val="16"/>
        </w:rPr>
        <w:t>que</w:t>
      </w:r>
      <w:r>
        <w:rPr>
          <w:color w:val="231F20"/>
          <w:spacing w:val="-6"/>
          <w:sz w:val="16"/>
        </w:rPr>
        <w:t> </w:t>
      </w:r>
      <w:r>
        <w:rPr>
          <w:color w:val="231F20"/>
          <w:sz w:val="16"/>
        </w:rPr>
        <w:t>la</w:t>
      </w:r>
      <w:r>
        <w:rPr>
          <w:color w:val="231F20"/>
          <w:spacing w:val="-6"/>
          <w:sz w:val="16"/>
        </w:rPr>
        <w:t> </w:t>
      </w:r>
      <w:r>
        <w:rPr>
          <w:color w:val="231F20"/>
          <w:sz w:val="16"/>
        </w:rPr>
        <w:t>actual</w:t>
      </w:r>
      <w:r>
        <w:rPr>
          <w:color w:val="231F20"/>
          <w:spacing w:val="-6"/>
          <w:sz w:val="16"/>
        </w:rPr>
        <w:t> </w:t>
      </w:r>
      <w:r>
        <w:rPr>
          <w:color w:val="231F20"/>
          <w:sz w:val="16"/>
        </w:rPr>
        <w:t>administración</w:t>
      </w:r>
      <w:r>
        <w:rPr>
          <w:color w:val="231F20"/>
          <w:spacing w:val="-6"/>
          <w:sz w:val="16"/>
        </w:rPr>
        <w:t> </w:t>
      </w:r>
      <w:r>
        <w:rPr>
          <w:color w:val="231F20"/>
          <w:sz w:val="16"/>
        </w:rPr>
        <w:t>ha</w:t>
      </w:r>
      <w:r>
        <w:rPr>
          <w:color w:val="231F20"/>
          <w:spacing w:val="-6"/>
          <w:sz w:val="16"/>
        </w:rPr>
        <w:t> </w:t>
      </w:r>
      <w:r>
        <w:rPr>
          <w:color w:val="231F20"/>
          <w:sz w:val="16"/>
        </w:rPr>
        <w:t>empleado</w:t>
      </w:r>
      <w:r>
        <w:rPr>
          <w:color w:val="231F20"/>
          <w:spacing w:val="-6"/>
          <w:sz w:val="16"/>
        </w:rPr>
        <w:t> </w:t>
      </w:r>
      <w:r>
        <w:rPr>
          <w:color w:val="231F20"/>
          <w:sz w:val="16"/>
        </w:rPr>
        <w:t>eficientemente</w:t>
      </w:r>
      <w:r>
        <w:rPr>
          <w:color w:val="231F20"/>
          <w:spacing w:val="-6"/>
          <w:sz w:val="16"/>
        </w:rPr>
        <w:t> </w:t>
      </w:r>
      <w:r>
        <w:rPr>
          <w:color w:val="231F20"/>
          <w:sz w:val="16"/>
        </w:rPr>
        <w:t>los</w:t>
      </w:r>
      <w:r>
        <w:rPr>
          <w:color w:val="231F20"/>
          <w:spacing w:val="-6"/>
          <w:sz w:val="16"/>
        </w:rPr>
        <w:t> </w:t>
      </w:r>
      <w:r>
        <w:rPr>
          <w:color w:val="231F20"/>
          <w:sz w:val="16"/>
        </w:rPr>
        <w:t>recursos</w:t>
      </w:r>
      <w:r>
        <w:rPr>
          <w:color w:val="231F20"/>
          <w:spacing w:val="-6"/>
          <w:sz w:val="16"/>
        </w:rPr>
        <w:t> </w:t>
      </w:r>
      <w:r>
        <w:rPr>
          <w:color w:val="231F20"/>
          <w:sz w:val="16"/>
        </w:rPr>
        <w:t>con los</w:t>
      </w:r>
      <w:r>
        <w:rPr>
          <w:color w:val="231F20"/>
          <w:spacing w:val="-23"/>
          <w:sz w:val="16"/>
        </w:rPr>
        <w:t> </w:t>
      </w:r>
      <w:r>
        <w:rPr>
          <w:color w:val="231F20"/>
          <w:sz w:val="16"/>
        </w:rPr>
        <w:t>que</w:t>
      </w:r>
      <w:r>
        <w:rPr>
          <w:color w:val="231F20"/>
          <w:spacing w:val="-23"/>
          <w:sz w:val="16"/>
        </w:rPr>
        <w:t> </w:t>
      </w:r>
      <w:r>
        <w:rPr>
          <w:color w:val="231F20"/>
          <w:sz w:val="16"/>
        </w:rPr>
        <w:t>cuenta”,</w:t>
      </w:r>
      <w:r>
        <w:rPr>
          <w:color w:val="231F20"/>
          <w:spacing w:val="-23"/>
          <w:sz w:val="16"/>
        </w:rPr>
        <w:t> </w:t>
      </w:r>
      <w:r>
        <w:rPr>
          <w:color w:val="231F20"/>
          <w:sz w:val="16"/>
        </w:rPr>
        <w:t>Ibíd.,</w:t>
      </w:r>
      <w:r>
        <w:rPr>
          <w:color w:val="231F20"/>
          <w:spacing w:val="-23"/>
          <w:sz w:val="16"/>
        </w:rPr>
        <w:t> </w:t>
      </w:r>
      <w:r>
        <w:rPr>
          <w:color w:val="231F20"/>
          <w:sz w:val="16"/>
        </w:rPr>
        <w:t>p.</w:t>
      </w:r>
      <w:r>
        <w:rPr>
          <w:color w:val="231F20"/>
          <w:spacing w:val="-23"/>
          <w:sz w:val="16"/>
        </w:rPr>
        <w:t> </w:t>
      </w:r>
      <w:r>
        <w:rPr>
          <w:color w:val="231F20"/>
          <w:spacing w:val="-7"/>
          <w:sz w:val="16"/>
        </w:rPr>
        <w:t>247.</w:t>
      </w:r>
    </w:p>
    <w:p>
      <w:pPr>
        <w:pStyle w:val="ListParagraph"/>
        <w:numPr>
          <w:ilvl w:val="0"/>
          <w:numId w:val="15"/>
        </w:numPr>
        <w:tabs>
          <w:tab w:pos="292" w:val="left" w:leader="none"/>
        </w:tabs>
        <w:spacing w:line="240" w:lineRule="auto" w:before="0" w:after="0"/>
        <w:ind w:left="291" w:right="0" w:hanging="181"/>
        <w:jc w:val="both"/>
        <w:rPr>
          <w:sz w:val="16"/>
        </w:rPr>
      </w:pPr>
      <w:r>
        <w:rPr>
          <w:color w:val="231F20"/>
          <w:sz w:val="16"/>
        </w:rPr>
        <w:t>AGUILAR</w:t>
      </w:r>
      <w:r>
        <w:rPr>
          <w:color w:val="231F20"/>
          <w:spacing w:val="-9"/>
          <w:sz w:val="16"/>
        </w:rPr>
        <w:t> </w:t>
      </w:r>
      <w:r>
        <w:rPr>
          <w:color w:val="231F20"/>
          <w:sz w:val="16"/>
        </w:rPr>
        <w:t>RODRÍGUEZ,</w:t>
      </w:r>
      <w:r>
        <w:rPr>
          <w:color w:val="231F20"/>
          <w:spacing w:val="-9"/>
          <w:sz w:val="16"/>
        </w:rPr>
        <w:t> </w:t>
      </w:r>
      <w:r>
        <w:rPr>
          <w:color w:val="231F20"/>
          <w:sz w:val="16"/>
        </w:rPr>
        <w:t>David,</w:t>
      </w:r>
      <w:r>
        <w:rPr>
          <w:color w:val="231F20"/>
          <w:spacing w:val="-9"/>
          <w:sz w:val="16"/>
        </w:rPr>
        <w:t> </w:t>
      </w:r>
      <w:r>
        <w:rPr>
          <w:color w:val="231F20"/>
          <w:sz w:val="16"/>
        </w:rPr>
        <w:t>La</w:t>
      </w:r>
      <w:r>
        <w:rPr>
          <w:color w:val="231F20"/>
          <w:spacing w:val="-9"/>
          <w:sz w:val="16"/>
        </w:rPr>
        <w:t> </w:t>
      </w:r>
      <w:r>
        <w:rPr>
          <w:color w:val="231F20"/>
          <w:sz w:val="16"/>
        </w:rPr>
        <w:t>Evaluación</w:t>
      </w:r>
      <w:r>
        <w:rPr>
          <w:color w:val="231F20"/>
          <w:spacing w:val="-9"/>
          <w:sz w:val="16"/>
        </w:rPr>
        <w:t> </w:t>
      </w:r>
      <w:r>
        <w:rPr>
          <w:color w:val="231F20"/>
          <w:sz w:val="16"/>
        </w:rPr>
        <w:t>en</w:t>
      </w:r>
      <w:r>
        <w:rPr>
          <w:color w:val="231F20"/>
          <w:spacing w:val="-9"/>
          <w:sz w:val="16"/>
        </w:rPr>
        <w:t> </w:t>
      </w:r>
      <w:r>
        <w:rPr>
          <w:color w:val="231F20"/>
          <w:sz w:val="16"/>
        </w:rPr>
        <w:t>la</w:t>
      </w:r>
      <w:r>
        <w:rPr>
          <w:color w:val="231F20"/>
          <w:spacing w:val="-9"/>
          <w:sz w:val="16"/>
        </w:rPr>
        <w:t> </w:t>
      </w:r>
      <w:r>
        <w:rPr>
          <w:color w:val="231F20"/>
          <w:sz w:val="16"/>
        </w:rPr>
        <w:t>Gestión</w:t>
      </w:r>
      <w:r>
        <w:rPr>
          <w:color w:val="231F20"/>
          <w:spacing w:val="-9"/>
          <w:sz w:val="16"/>
        </w:rPr>
        <w:t> </w:t>
      </w:r>
      <w:r>
        <w:rPr>
          <w:color w:val="231F20"/>
          <w:sz w:val="16"/>
        </w:rPr>
        <w:t>Pública</w:t>
      </w:r>
      <w:r>
        <w:rPr>
          <w:color w:val="231F20"/>
          <w:spacing w:val="-9"/>
          <w:sz w:val="16"/>
        </w:rPr>
        <w:t> </w:t>
      </w:r>
      <w:r>
        <w:rPr>
          <w:color w:val="231F20"/>
          <w:sz w:val="16"/>
        </w:rPr>
        <w:t>Municipal.</w:t>
      </w:r>
      <w:r>
        <w:rPr>
          <w:color w:val="231F20"/>
          <w:spacing w:val="-9"/>
          <w:sz w:val="16"/>
        </w:rPr>
        <w:t> </w:t>
      </w:r>
      <w:r>
        <w:rPr>
          <w:color w:val="231F20"/>
          <w:spacing w:val="-3"/>
          <w:sz w:val="16"/>
        </w:rPr>
        <w:t>Tres</w:t>
      </w:r>
      <w:r>
        <w:rPr>
          <w:color w:val="231F20"/>
          <w:spacing w:val="-9"/>
          <w:sz w:val="16"/>
        </w:rPr>
        <w:t> </w:t>
      </w:r>
      <w:r>
        <w:rPr>
          <w:color w:val="231F20"/>
          <w:sz w:val="16"/>
        </w:rPr>
        <w:t>estudios</w:t>
      </w:r>
      <w:r>
        <w:rPr>
          <w:color w:val="231F20"/>
          <w:spacing w:val="-9"/>
          <w:sz w:val="16"/>
        </w:rPr>
        <w:t> </w:t>
      </w:r>
      <w:r>
        <w:rPr>
          <w:color w:val="231F20"/>
          <w:sz w:val="16"/>
        </w:rPr>
        <w:t>de</w:t>
      </w:r>
      <w:r>
        <w:rPr>
          <w:color w:val="231F20"/>
          <w:spacing w:val="-9"/>
          <w:sz w:val="16"/>
        </w:rPr>
        <w:t> </w:t>
      </w:r>
      <w:r>
        <w:rPr>
          <w:color w:val="231F20"/>
          <w:sz w:val="16"/>
        </w:rPr>
        <w:t>caso</w:t>
      </w:r>
      <w:r>
        <w:rPr>
          <w:color w:val="231F20"/>
          <w:spacing w:val="-9"/>
          <w:sz w:val="16"/>
        </w:rPr>
        <w:t> </w:t>
      </w:r>
      <w:r>
        <w:rPr>
          <w:color w:val="231F20"/>
          <w:sz w:val="16"/>
        </w:rPr>
        <w:t>en</w:t>
      </w:r>
      <w:r>
        <w:rPr>
          <w:color w:val="231F20"/>
          <w:spacing w:val="-9"/>
          <w:sz w:val="16"/>
        </w:rPr>
        <w:t> </w:t>
      </w:r>
      <w:r>
        <w:rPr>
          <w:color w:val="231F20"/>
          <w:sz w:val="16"/>
        </w:rPr>
        <w:t>materia</w:t>
      </w:r>
      <w:r>
        <w:rPr>
          <w:color w:val="231F20"/>
          <w:spacing w:val="-9"/>
          <w:sz w:val="16"/>
        </w:rPr>
        <w:t> </w:t>
      </w:r>
      <w:r>
        <w:rPr>
          <w:color w:val="231F20"/>
          <w:sz w:val="16"/>
        </w:rPr>
        <w:t>de</w:t>
      </w:r>
      <w:r>
        <w:rPr>
          <w:color w:val="231F20"/>
          <w:spacing w:val="-9"/>
          <w:sz w:val="16"/>
        </w:rPr>
        <w:t> </w:t>
      </w:r>
      <w:r>
        <w:rPr>
          <w:color w:val="231F20"/>
          <w:sz w:val="16"/>
        </w:rPr>
        <w:t>servicios</w:t>
      </w:r>
    </w:p>
    <w:p>
      <w:pPr>
        <w:spacing w:after="0" w:line="240" w:lineRule="auto"/>
        <w:jc w:val="both"/>
        <w:rPr>
          <w:sz w:val="16"/>
        </w:rPr>
        <w:sectPr>
          <w:pgSz w:w="9640" w:h="12190"/>
          <w:pgMar w:header="0" w:footer="743" w:top="1120" w:bottom="940" w:left="740" w:right="740"/>
        </w:sectPr>
      </w:pPr>
    </w:p>
    <w:p>
      <w:pPr>
        <w:pStyle w:val="BodyText"/>
        <w:rPr>
          <w:rFonts w:ascii="Calibri"/>
          <w:sz w:val="20"/>
        </w:rPr>
      </w:pPr>
    </w:p>
    <w:p>
      <w:pPr>
        <w:pStyle w:val="BodyText"/>
        <w:spacing w:before="2"/>
        <w:rPr>
          <w:rFonts w:ascii="Calibri"/>
          <w:sz w:val="15"/>
        </w:rPr>
      </w:pPr>
    </w:p>
    <w:p>
      <w:pPr>
        <w:pStyle w:val="BodyText"/>
        <w:spacing w:line="285" w:lineRule="auto" w:before="36"/>
        <w:ind w:left="110" w:right="107"/>
        <w:jc w:val="both"/>
      </w:pPr>
      <w:r>
        <w:rPr>
          <w:color w:val="231F20"/>
          <w:w w:val="105"/>
        </w:rPr>
        <w:t>El</w:t>
      </w:r>
      <w:r>
        <w:rPr>
          <w:color w:val="231F20"/>
          <w:spacing w:val="-10"/>
          <w:w w:val="105"/>
        </w:rPr>
        <w:t> </w:t>
      </w:r>
      <w:r>
        <w:rPr>
          <w:color w:val="231F20"/>
          <w:w w:val="105"/>
        </w:rPr>
        <w:t>hecho</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Tlalnepantla</w:t>
      </w:r>
      <w:r>
        <w:rPr>
          <w:color w:val="231F20"/>
          <w:spacing w:val="-10"/>
          <w:w w:val="105"/>
        </w:rPr>
        <w:t> </w:t>
      </w:r>
      <w:r>
        <w:rPr>
          <w:color w:val="231F20"/>
          <w:w w:val="105"/>
        </w:rPr>
        <w:t>se</w:t>
      </w:r>
      <w:r>
        <w:rPr>
          <w:color w:val="231F20"/>
          <w:spacing w:val="-10"/>
          <w:w w:val="105"/>
        </w:rPr>
        <w:t> </w:t>
      </w:r>
      <w:r>
        <w:rPr>
          <w:color w:val="231F20"/>
          <w:w w:val="105"/>
        </w:rPr>
        <w:t>hayan</w:t>
      </w:r>
      <w:r>
        <w:rPr>
          <w:color w:val="231F20"/>
          <w:spacing w:val="-10"/>
          <w:w w:val="105"/>
        </w:rPr>
        <w:t> </w:t>
      </w:r>
      <w:r>
        <w:rPr>
          <w:color w:val="231F20"/>
          <w:w w:val="105"/>
        </w:rPr>
        <w:t>dado</w:t>
      </w:r>
      <w:r>
        <w:rPr>
          <w:color w:val="231F20"/>
          <w:spacing w:val="-10"/>
          <w:w w:val="105"/>
        </w:rPr>
        <w:t> </w:t>
      </w:r>
      <w:r>
        <w:rPr>
          <w:color w:val="231F20"/>
          <w:w w:val="105"/>
        </w:rPr>
        <w:t>estos</w:t>
      </w:r>
      <w:r>
        <w:rPr>
          <w:color w:val="231F20"/>
          <w:spacing w:val="-10"/>
          <w:w w:val="105"/>
        </w:rPr>
        <w:t> </w:t>
      </w:r>
      <w:r>
        <w:rPr>
          <w:color w:val="231F20"/>
          <w:w w:val="105"/>
        </w:rPr>
        <w:t>procesos</w:t>
      </w:r>
      <w:r>
        <w:rPr>
          <w:color w:val="231F20"/>
          <w:spacing w:val="-10"/>
          <w:w w:val="105"/>
        </w:rPr>
        <w:t> </w:t>
      </w:r>
      <w:r>
        <w:rPr>
          <w:color w:val="231F20"/>
          <w:w w:val="105"/>
        </w:rPr>
        <w:t>de</w:t>
      </w:r>
      <w:r>
        <w:rPr>
          <w:color w:val="231F20"/>
          <w:spacing w:val="-10"/>
          <w:w w:val="105"/>
        </w:rPr>
        <w:t> </w:t>
      </w:r>
      <w:r>
        <w:rPr>
          <w:color w:val="231F20"/>
          <w:w w:val="105"/>
        </w:rPr>
        <w:t>modernización</w:t>
      </w:r>
      <w:r>
        <w:rPr>
          <w:color w:val="231F20"/>
          <w:spacing w:val="-10"/>
          <w:w w:val="105"/>
        </w:rPr>
        <w:t> </w:t>
      </w:r>
      <w:r>
        <w:rPr>
          <w:color w:val="231F20"/>
          <w:w w:val="105"/>
        </w:rPr>
        <w:t>admi- nistrativa,</w:t>
      </w:r>
      <w:r>
        <w:rPr>
          <w:color w:val="231F20"/>
          <w:spacing w:val="-8"/>
          <w:w w:val="105"/>
        </w:rPr>
        <w:t> </w:t>
      </w:r>
      <w:r>
        <w:rPr>
          <w:color w:val="231F20"/>
          <w:w w:val="105"/>
        </w:rPr>
        <w:t>es</w:t>
      </w:r>
      <w:r>
        <w:rPr>
          <w:color w:val="231F20"/>
          <w:spacing w:val="-8"/>
          <w:w w:val="105"/>
        </w:rPr>
        <w:t> </w:t>
      </w:r>
      <w:r>
        <w:rPr>
          <w:color w:val="231F20"/>
          <w:w w:val="105"/>
        </w:rPr>
        <w:t>debido</w:t>
      </w:r>
      <w:r>
        <w:rPr>
          <w:color w:val="231F20"/>
          <w:spacing w:val="-8"/>
          <w:w w:val="105"/>
        </w:rPr>
        <w:t> </w:t>
      </w:r>
      <w:r>
        <w:rPr>
          <w:color w:val="231F20"/>
          <w:w w:val="105"/>
        </w:rPr>
        <w:t>a</w:t>
      </w:r>
      <w:r>
        <w:rPr>
          <w:color w:val="231F20"/>
          <w:spacing w:val="-8"/>
          <w:w w:val="105"/>
        </w:rPr>
        <w:t> </w:t>
      </w:r>
      <w:r>
        <w:rPr>
          <w:color w:val="231F20"/>
          <w:w w:val="105"/>
        </w:rPr>
        <w:t>que</w:t>
      </w:r>
      <w:r>
        <w:rPr>
          <w:color w:val="231F20"/>
          <w:spacing w:val="-8"/>
          <w:w w:val="105"/>
        </w:rPr>
        <w:t> </w:t>
      </w:r>
      <w:r>
        <w:rPr>
          <w:color w:val="231F20"/>
          <w:w w:val="105"/>
        </w:rPr>
        <w:t>un</w:t>
      </w:r>
      <w:r>
        <w:rPr>
          <w:color w:val="231F20"/>
          <w:spacing w:val="-8"/>
          <w:w w:val="105"/>
        </w:rPr>
        <w:t> </w:t>
      </w:r>
      <w:r>
        <w:rPr>
          <w:color w:val="231F20"/>
          <w:w w:val="105"/>
        </w:rPr>
        <w:t>municipio</w:t>
      </w:r>
      <w:r>
        <w:rPr>
          <w:color w:val="231F20"/>
          <w:spacing w:val="-8"/>
          <w:w w:val="105"/>
        </w:rPr>
        <w:t> </w:t>
      </w:r>
      <w:r>
        <w:rPr>
          <w:color w:val="231F20"/>
          <w:w w:val="105"/>
        </w:rPr>
        <w:t>metropolitano</w:t>
      </w:r>
      <w:r>
        <w:rPr>
          <w:color w:val="231F20"/>
          <w:spacing w:val="-8"/>
          <w:w w:val="105"/>
        </w:rPr>
        <w:t> </w:t>
      </w:r>
      <w:r>
        <w:rPr>
          <w:color w:val="231F20"/>
          <w:w w:val="105"/>
        </w:rPr>
        <w:t>tiene</w:t>
      </w:r>
      <w:r>
        <w:rPr>
          <w:color w:val="231F20"/>
          <w:spacing w:val="-8"/>
          <w:w w:val="105"/>
        </w:rPr>
        <w:t> </w:t>
      </w:r>
      <w:r>
        <w:rPr>
          <w:color w:val="231F20"/>
          <w:w w:val="105"/>
        </w:rPr>
        <w:t>resueltas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mayoría</w:t>
      </w:r>
      <w:r>
        <w:rPr>
          <w:color w:val="231F20"/>
          <w:spacing w:val="-8"/>
          <w:w w:val="105"/>
        </w:rPr>
        <w:t> </w:t>
      </w:r>
      <w:r>
        <w:rPr>
          <w:color w:val="231F20"/>
          <w:w w:val="105"/>
        </w:rPr>
        <w:t>de sus comunidades las necesidades de infraestructura básica, por lo que puede destinar parte</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recursos</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implementación</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política</w:t>
      </w:r>
      <w:r>
        <w:rPr>
          <w:color w:val="231F20"/>
          <w:spacing w:val="-12"/>
          <w:w w:val="105"/>
        </w:rPr>
        <w:t> </w:t>
      </w:r>
      <w:r>
        <w:rPr>
          <w:color w:val="231F20"/>
          <w:w w:val="105"/>
        </w:rPr>
        <w:t>pública</w:t>
      </w:r>
      <w:r>
        <w:rPr>
          <w:color w:val="231F20"/>
          <w:spacing w:val="-12"/>
          <w:w w:val="105"/>
        </w:rPr>
        <w:t> </w:t>
      </w:r>
      <w:r>
        <w:rPr>
          <w:color w:val="231F20"/>
          <w:w w:val="105"/>
        </w:rPr>
        <w:t>de</w:t>
      </w:r>
      <w:r>
        <w:rPr>
          <w:color w:val="231F20"/>
          <w:spacing w:val="-12"/>
          <w:w w:val="105"/>
        </w:rPr>
        <w:t> </w:t>
      </w:r>
      <w:r>
        <w:rPr>
          <w:color w:val="231F20"/>
          <w:w w:val="105"/>
        </w:rPr>
        <w:t>modernización</w:t>
      </w:r>
      <w:r>
        <w:rPr>
          <w:color w:val="231F20"/>
          <w:spacing w:val="-12"/>
          <w:w w:val="105"/>
        </w:rPr>
        <w:t> </w:t>
      </w:r>
      <w:r>
        <w:rPr>
          <w:color w:val="231F20"/>
          <w:spacing w:val="-3"/>
          <w:w w:val="105"/>
        </w:rPr>
        <w:t>ad- </w:t>
      </w:r>
      <w:r>
        <w:rPr>
          <w:color w:val="231F20"/>
          <w:w w:val="105"/>
        </w:rPr>
        <w:t>ministrativa.</w:t>
      </w:r>
      <w:r>
        <w:rPr>
          <w:color w:val="231F20"/>
          <w:spacing w:val="-20"/>
          <w:w w:val="105"/>
        </w:rPr>
        <w:t> </w:t>
      </w:r>
      <w:r>
        <w:rPr>
          <w:color w:val="231F20"/>
          <w:w w:val="105"/>
        </w:rPr>
        <w:t>Además</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cuenta</w:t>
      </w:r>
      <w:r>
        <w:rPr>
          <w:color w:val="231F20"/>
          <w:spacing w:val="-20"/>
          <w:w w:val="105"/>
        </w:rPr>
        <w:t> </w:t>
      </w:r>
      <w:r>
        <w:rPr>
          <w:color w:val="231F20"/>
          <w:w w:val="105"/>
        </w:rPr>
        <w:t>con</w:t>
      </w:r>
      <w:r>
        <w:rPr>
          <w:color w:val="231F20"/>
          <w:spacing w:val="-20"/>
          <w:w w:val="105"/>
        </w:rPr>
        <w:t> </w:t>
      </w:r>
      <w:r>
        <w:rPr>
          <w:color w:val="231F20"/>
          <w:w w:val="105"/>
        </w:rPr>
        <w:t>los</w:t>
      </w:r>
      <w:r>
        <w:rPr>
          <w:color w:val="231F20"/>
          <w:spacing w:val="-20"/>
          <w:w w:val="105"/>
        </w:rPr>
        <w:t> </w:t>
      </w:r>
      <w:r>
        <w:rPr>
          <w:color w:val="231F20"/>
          <w:w w:val="105"/>
        </w:rPr>
        <w:t>recursos</w:t>
      </w:r>
      <w:r>
        <w:rPr>
          <w:color w:val="231F20"/>
          <w:spacing w:val="-20"/>
          <w:w w:val="105"/>
        </w:rPr>
        <w:t> </w:t>
      </w:r>
      <w:r>
        <w:rPr>
          <w:color w:val="231F20"/>
          <w:w w:val="105"/>
        </w:rPr>
        <w:t>humanos,</w:t>
      </w:r>
      <w:r>
        <w:rPr>
          <w:color w:val="231F20"/>
          <w:spacing w:val="-20"/>
          <w:w w:val="105"/>
        </w:rPr>
        <w:t> </w:t>
      </w:r>
      <w:r>
        <w:rPr>
          <w:color w:val="231F20"/>
          <w:w w:val="105"/>
        </w:rPr>
        <w:t>materiales</w:t>
      </w:r>
      <w:r>
        <w:rPr>
          <w:color w:val="231F20"/>
          <w:spacing w:val="-20"/>
          <w:w w:val="105"/>
        </w:rPr>
        <w:t> </w:t>
      </w:r>
      <w:r>
        <w:rPr>
          <w:color w:val="231F20"/>
          <w:w w:val="105"/>
        </w:rPr>
        <w:t>y</w:t>
      </w:r>
      <w:r>
        <w:rPr>
          <w:color w:val="231F20"/>
          <w:spacing w:val="-20"/>
          <w:w w:val="105"/>
        </w:rPr>
        <w:t> </w:t>
      </w:r>
      <w:r>
        <w:rPr>
          <w:color w:val="231F20"/>
          <w:w w:val="105"/>
        </w:rPr>
        <w:t>financieros, asimismo está rodeado de factores externos que lo convierten en el candidato ideal, </w:t>
      </w:r>
      <w:r>
        <w:rPr>
          <w:color w:val="231F20"/>
          <w:spacing w:val="2"/>
          <w:w w:val="105"/>
        </w:rPr>
        <w:t>al </w:t>
      </w:r>
      <w:r>
        <w:rPr>
          <w:color w:val="231F20"/>
          <w:w w:val="105"/>
        </w:rPr>
        <w:t>contar</w:t>
      </w:r>
      <w:r>
        <w:rPr>
          <w:color w:val="231F20"/>
          <w:spacing w:val="-9"/>
          <w:w w:val="105"/>
        </w:rPr>
        <w:t> </w:t>
      </w:r>
      <w:r>
        <w:rPr>
          <w:color w:val="231F20"/>
          <w:w w:val="105"/>
        </w:rPr>
        <w:t>con</w:t>
      </w:r>
      <w:r>
        <w:rPr>
          <w:color w:val="231F20"/>
          <w:spacing w:val="-9"/>
          <w:w w:val="105"/>
        </w:rPr>
        <w:t> </w:t>
      </w:r>
      <w:r>
        <w:rPr>
          <w:color w:val="231F20"/>
          <w:w w:val="105"/>
        </w:rPr>
        <w:t>toda</w:t>
      </w:r>
      <w:r>
        <w:rPr>
          <w:color w:val="231F20"/>
          <w:spacing w:val="-9"/>
          <w:w w:val="105"/>
        </w:rPr>
        <w:t> </w:t>
      </w:r>
      <w:r>
        <w:rPr>
          <w:color w:val="231F20"/>
          <w:w w:val="105"/>
        </w:rPr>
        <w:t>la</w:t>
      </w:r>
      <w:r>
        <w:rPr>
          <w:color w:val="231F20"/>
          <w:spacing w:val="-9"/>
          <w:w w:val="105"/>
        </w:rPr>
        <w:t> </w:t>
      </w:r>
      <w:r>
        <w:rPr>
          <w:color w:val="231F20"/>
          <w:w w:val="105"/>
        </w:rPr>
        <w:t>infraestructura</w:t>
      </w:r>
      <w:r>
        <w:rPr>
          <w:color w:val="231F20"/>
          <w:spacing w:val="-9"/>
          <w:w w:val="105"/>
        </w:rPr>
        <w:t> </w:t>
      </w:r>
      <w:r>
        <w:rPr>
          <w:color w:val="231F20"/>
          <w:w w:val="105"/>
        </w:rPr>
        <w:t>de</w:t>
      </w:r>
      <w:r>
        <w:rPr>
          <w:color w:val="231F20"/>
          <w:spacing w:val="-9"/>
          <w:w w:val="105"/>
        </w:rPr>
        <w:t> </w:t>
      </w:r>
      <w:r>
        <w:rPr>
          <w:color w:val="231F20"/>
          <w:w w:val="105"/>
        </w:rPr>
        <w:t>telecomunicaciones,</w:t>
      </w:r>
      <w:r>
        <w:rPr>
          <w:color w:val="231F20"/>
          <w:spacing w:val="-9"/>
          <w:w w:val="105"/>
        </w:rPr>
        <w:t> </w:t>
      </w:r>
      <w:r>
        <w:rPr>
          <w:color w:val="231F20"/>
          <w:w w:val="105"/>
        </w:rPr>
        <w:t>con</w:t>
      </w:r>
      <w:r>
        <w:rPr>
          <w:color w:val="231F20"/>
          <w:spacing w:val="-9"/>
          <w:w w:val="105"/>
        </w:rPr>
        <w:t> </w:t>
      </w:r>
      <w:r>
        <w:rPr>
          <w:color w:val="231F20"/>
          <w:w w:val="105"/>
        </w:rPr>
        <w:t>instituciones</w:t>
      </w:r>
      <w:r>
        <w:rPr>
          <w:color w:val="231F20"/>
          <w:spacing w:val="-9"/>
          <w:w w:val="105"/>
        </w:rPr>
        <w:t> </w:t>
      </w:r>
      <w:r>
        <w:rPr>
          <w:color w:val="231F20"/>
          <w:w w:val="105"/>
        </w:rPr>
        <w:t>educativas, derivadas</w:t>
      </w:r>
      <w:r>
        <w:rPr>
          <w:color w:val="231F20"/>
          <w:spacing w:val="-11"/>
          <w:w w:val="105"/>
        </w:rPr>
        <w:t> </w:t>
      </w:r>
      <w:r>
        <w:rPr>
          <w:color w:val="231F20"/>
          <w:w w:val="105"/>
        </w:rPr>
        <w:t>de</w:t>
      </w:r>
      <w:r>
        <w:rPr>
          <w:color w:val="231F20"/>
          <w:spacing w:val="-11"/>
          <w:w w:val="105"/>
        </w:rPr>
        <w:t> </w:t>
      </w:r>
      <w:r>
        <w:rPr>
          <w:color w:val="231F20"/>
          <w:w w:val="105"/>
        </w:rPr>
        <w:t>pertenecer</w:t>
      </w:r>
      <w:r>
        <w:rPr>
          <w:color w:val="231F20"/>
          <w:spacing w:val="-11"/>
          <w:w w:val="105"/>
        </w:rPr>
        <w:t> </w:t>
      </w:r>
      <w:r>
        <w:rPr>
          <w:color w:val="231F20"/>
          <w:w w:val="105"/>
        </w:rPr>
        <w:t>a</w:t>
      </w:r>
      <w:r>
        <w:rPr>
          <w:color w:val="231F20"/>
          <w:spacing w:val="-11"/>
          <w:w w:val="105"/>
        </w:rPr>
        <w:t> </w:t>
      </w:r>
      <w:r>
        <w:rPr>
          <w:color w:val="231F20"/>
          <w:w w:val="105"/>
        </w:rPr>
        <w:t>una</w:t>
      </w:r>
      <w:r>
        <w:rPr>
          <w:color w:val="231F20"/>
          <w:spacing w:val="-11"/>
          <w:w w:val="105"/>
        </w:rPr>
        <w:t> </w:t>
      </w:r>
      <w:r>
        <w:rPr>
          <w:color w:val="231F20"/>
          <w:w w:val="105"/>
        </w:rPr>
        <w:t>gran</w:t>
      </w:r>
      <w:r>
        <w:rPr>
          <w:color w:val="231F20"/>
          <w:spacing w:val="-11"/>
          <w:w w:val="105"/>
        </w:rPr>
        <w:t> </w:t>
      </w:r>
      <w:r>
        <w:rPr>
          <w:color w:val="231F20"/>
          <w:w w:val="105"/>
        </w:rPr>
        <w:t>metrópoli.</w:t>
      </w:r>
      <w:r>
        <w:rPr>
          <w:color w:val="231F20"/>
          <w:spacing w:val="-11"/>
          <w:w w:val="105"/>
        </w:rPr>
        <w:t> </w:t>
      </w:r>
      <w:r>
        <w:rPr>
          <w:color w:val="231F20"/>
          <w:w w:val="105"/>
        </w:rPr>
        <w:t>De</w:t>
      </w:r>
      <w:r>
        <w:rPr>
          <w:color w:val="231F20"/>
          <w:spacing w:val="-11"/>
          <w:w w:val="105"/>
        </w:rPr>
        <w:t> </w:t>
      </w:r>
      <w:r>
        <w:rPr>
          <w:color w:val="231F20"/>
          <w:spacing w:val="2"/>
          <w:w w:val="105"/>
        </w:rPr>
        <w:t>ahí</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planteen</w:t>
      </w:r>
      <w:r>
        <w:rPr>
          <w:color w:val="231F20"/>
          <w:spacing w:val="-11"/>
          <w:w w:val="105"/>
        </w:rPr>
        <w:t> </w:t>
      </w:r>
      <w:r>
        <w:rPr>
          <w:color w:val="231F20"/>
          <w:w w:val="105"/>
        </w:rPr>
        <w:t>el</w:t>
      </w:r>
      <w:r>
        <w:rPr>
          <w:color w:val="231F20"/>
          <w:spacing w:val="-11"/>
          <w:w w:val="105"/>
        </w:rPr>
        <w:t> </w:t>
      </w:r>
      <w:r>
        <w:rPr>
          <w:color w:val="231F20"/>
          <w:w w:val="105"/>
        </w:rPr>
        <w:t>uso</w:t>
      </w:r>
      <w:r>
        <w:rPr>
          <w:color w:val="231F20"/>
          <w:spacing w:val="-11"/>
          <w:w w:val="105"/>
        </w:rPr>
        <w:t> </w:t>
      </w:r>
      <w:r>
        <w:rPr>
          <w:color w:val="231F20"/>
          <w:w w:val="105"/>
        </w:rPr>
        <w:t>de</w:t>
      </w:r>
      <w:r>
        <w:rPr>
          <w:color w:val="231F20"/>
          <w:spacing w:val="-11"/>
          <w:w w:val="105"/>
        </w:rPr>
        <w:t> </w:t>
      </w:r>
      <w:r>
        <w:rPr>
          <w:color w:val="231F20"/>
          <w:w w:val="105"/>
        </w:rPr>
        <w:t>medidas en la administración municipal de reorganización, modernización y de incorporación de</w:t>
      </w:r>
      <w:r>
        <w:rPr>
          <w:color w:val="231F20"/>
          <w:spacing w:val="-21"/>
          <w:w w:val="105"/>
        </w:rPr>
        <w:t> </w:t>
      </w:r>
      <w:r>
        <w:rPr>
          <w:color w:val="231F20"/>
          <w:w w:val="105"/>
        </w:rPr>
        <w:t>modelos</w:t>
      </w:r>
      <w:r>
        <w:rPr>
          <w:color w:val="231F20"/>
          <w:spacing w:val="-21"/>
          <w:w w:val="105"/>
        </w:rPr>
        <w:t> </w:t>
      </w:r>
      <w:r>
        <w:rPr>
          <w:color w:val="231F20"/>
          <w:w w:val="105"/>
        </w:rPr>
        <w:t>de</w:t>
      </w:r>
      <w:r>
        <w:rPr>
          <w:color w:val="231F20"/>
          <w:spacing w:val="-21"/>
          <w:w w:val="105"/>
        </w:rPr>
        <w:t> </w:t>
      </w:r>
      <w:r>
        <w:rPr>
          <w:color w:val="231F20"/>
          <w:w w:val="105"/>
        </w:rPr>
        <w:t>gerencia</w:t>
      </w:r>
      <w:r>
        <w:rPr>
          <w:color w:val="231F20"/>
          <w:spacing w:val="-21"/>
          <w:w w:val="105"/>
        </w:rPr>
        <w:t> </w:t>
      </w:r>
      <w:r>
        <w:rPr>
          <w:color w:val="231F20"/>
          <w:w w:val="105"/>
        </w:rPr>
        <w:t>pública</w:t>
      </w:r>
      <w:r>
        <w:rPr>
          <w:color w:val="231F20"/>
          <w:spacing w:val="-21"/>
          <w:w w:val="105"/>
        </w:rPr>
        <w:t> </w:t>
      </w:r>
      <w:r>
        <w:rPr>
          <w:color w:val="231F20"/>
          <w:w w:val="105"/>
        </w:rPr>
        <w:t>municipal.</w:t>
      </w:r>
    </w:p>
    <w:p>
      <w:pPr>
        <w:pStyle w:val="BodyText"/>
        <w:spacing w:before="1"/>
        <w:rPr>
          <w:sz w:val="26"/>
        </w:rPr>
      </w:pPr>
    </w:p>
    <w:p>
      <w:pPr>
        <w:pStyle w:val="BodyText"/>
        <w:spacing w:line="285" w:lineRule="auto"/>
        <w:ind w:left="110" w:right="107"/>
        <w:jc w:val="both"/>
      </w:pPr>
      <w:r>
        <w:rPr>
          <w:color w:val="231F20"/>
          <w:w w:val="105"/>
        </w:rPr>
        <w:t>La</w:t>
      </w:r>
      <w:r>
        <w:rPr>
          <w:color w:val="231F20"/>
          <w:spacing w:val="-11"/>
          <w:w w:val="105"/>
        </w:rPr>
        <w:t> </w:t>
      </w:r>
      <w:r>
        <w:rPr>
          <w:color w:val="231F20"/>
          <w:w w:val="105"/>
        </w:rPr>
        <w:t>gestión</w:t>
      </w:r>
      <w:r>
        <w:rPr>
          <w:color w:val="231F20"/>
          <w:spacing w:val="-11"/>
          <w:w w:val="105"/>
        </w:rPr>
        <w:t> </w:t>
      </w:r>
      <w:r>
        <w:rPr>
          <w:color w:val="231F20"/>
          <w:spacing w:val="3"/>
          <w:w w:val="105"/>
        </w:rPr>
        <w:t>panista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de</w:t>
      </w:r>
      <w:r>
        <w:rPr>
          <w:color w:val="231F20"/>
          <w:spacing w:val="-11"/>
          <w:w w:val="105"/>
        </w:rPr>
        <w:t> </w:t>
      </w:r>
      <w:r>
        <w:rPr>
          <w:color w:val="231F20"/>
          <w:spacing w:val="2"/>
          <w:w w:val="105"/>
        </w:rPr>
        <w:t>Tlalnepantla</w:t>
      </w:r>
      <w:r>
        <w:rPr>
          <w:color w:val="231F20"/>
          <w:spacing w:val="-11"/>
          <w:w w:val="105"/>
        </w:rPr>
        <w:t> </w:t>
      </w:r>
      <w:r>
        <w:rPr>
          <w:color w:val="231F20"/>
          <w:w w:val="105"/>
        </w:rPr>
        <w:t>de</w:t>
      </w:r>
      <w:r>
        <w:rPr>
          <w:color w:val="231F20"/>
          <w:spacing w:val="-11"/>
          <w:w w:val="105"/>
        </w:rPr>
        <w:t> </w:t>
      </w:r>
      <w:r>
        <w:rPr>
          <w:color w:val="231F20"/>
          <w:spacing w:val="3"/>
          <w:w w:val="105"/>
        </w:rPr>
        <w:t>Baz</w:t>
      </w:r>
      <w:r>
        <w:rPr>
          <w:color w:val="231F20"/>
          <w:spacing w:val="-11"/>
          <w:w w:val="105"/>
        </w:rPr>
        <w:t> </w:t>
      </w:r>
      <w:r>
        <w:rPr>
          <w:color w:val="231F20"/>
          <w:w w:val="105"/>
        </w:rPr>
        <w:t>ha</w:t>
      </w:r>
      <w:r>
        <w:rPr>
          <w:color w:val="231F20"/>
          <w:spacing w:val="-11"/>
          <w:w w:val="105"/>
        </w:rPr>
        <w:t> </w:t>
      </w:r>
      <w:r>
        <w:rPr>
          <w:color w:val="231F20"/>
          <w:w w:val="105"/>
        </w:rPr>
        <w:t>marcado</w:t>
      </w:r>
      <w:r>
        <w:rPr>
          <w:color w:val="231F20"/>
          <w:spacing w:val="-11"/>
          <w:w w:val="105"/>
        </w:rPr>
        <w:t> </w:t>
      </w:r>
      <w:r>
        <w:rPr>
          <w:color w:val="231F20"/>
          <w:spacing w:val="3"/>
          <w:w w:val="105"/>
        </w:rPr>
        <w:t>una</w:t>
      </w:r>
      <w:r>
        <w:rPr>
          <w:color w:val="231F20"/>
          <w:spacing w:val="-11"/>
          <w:w w:val="105"/>
        </w:rPr>
        <w:t> </w:t>
      </w:r>
      <w:r>
        <w:rPr>
          <w:color w:val="231F20"/>
          <w:w w:val="105"/>
        </w:rPr>
        <w:t>huella</w:t>
      </w:r>
      <w:r>
        <w:rPr>
          <w:color w:val="231F20"/>
          <w:spacing w:val="-11"/>
          <w:w w:val="105"/>
        </w:rPr>
        <w:t> </w:t>
      </w:r>
      <w:r>
        <w:rPr>
          <w:color w:val="231F20"/>
          <w:w w:val="105"/>
        </w:rPr>
        <w:t>muy </w:t>
      </w:r>
      <w:r>
        <w:rPr>
          <w:color w:val="231F20"/>
          <w:spacing w:val="3"/>
          <w:w w:val="105"/>
        </w:rPr>
        <w:t>peculiar </w:t>
      </w:r>
      <w:r>
        <w:rPr>
          <w:color w:val="231F20"/>
          <w:w w:val="105"/>
        </w:rPr>
        <w:t>a lo largo de estos años: los intentos de modernización </w:t>
      </w:r>
      <w:r>
        <w:rPr>
          <w:color w:val="231F20"/>
          <w:spacing w:val="3"/>
          <w:w w:val="105"/>
        </w:rPr>
        <w:t>administrativa, mis- </w:t>
      </w:r>
      <w:r>
        <w:rPr>
          <w:color w:val="231F20"/>
          <w:w w:val="105"/>
        </w:rPr>
        <w:t>mos que se </w:t>
      </w:r>
      <w:r>
        <w:rPr>
          <w:color w:val="231F20"/>
          <w:spacing w:val="3"/>
          <w:w w:val="105"/>
        </w:rPr>
        <w:t>tratarán </w:t>
      </w:r>
      <w:r>
        <w:rPr>
          <w:color w:val="231F20"/>
          <w:w w:val="105"/>
        </w:rPr>
        <w:t>de </w:t>
      </w:r>
      <w:r>
        <w:rPr>
          <w:color w:val="231F20"/>
          <w:spacing w:val="2"/>
          <w:w w:val="105"/>
        </w:rPr>
        <w:t>mostrar </w:t>
      </w:r>
      <w:r>
        <w:rPr>
          <w:color w:val="231F20"/>
          <w:w w:val="105"/>
        </w:rPr>
        <w:t>a lo largo de este capítulo. Estos gobiernos </w:t>
      </w:r>
      <w:r>
        <w:rPr>
          <w:color w:val="231F20"/>
          <w:spacing w:val="3"/>
          <w:w w:val="105"/>
        </w:rPr>
        <w:t>panistas han </w:t>
      </w:r>
      <w:r>
        <w:rPr>
          <w:color w:val="231F20"/>
          <w:w w:val="105"/>
        </w:rPr>
        <w:t>estado permeados por lo que en </w:t>
      </w:r>
      <w:r>
        <w:rPr>
          <w:color w:val="231F20"/>
          <w:spacing w:val="2"/>
          <w:w w:val="105"/>
        </w:rPr>
        <w:t>administración </w:t>
      </w:r>
      <w:r>
        <w:rPr>
          <w:color w:val="231F20"/>
          <w:w w:val="105"/>
        </w:rPr>
        <w:t>pública se conoce como nueva gerencia</w:t>
      </w:r>
      <w:r>
        <w:rPr>
          <w:color w:val="231F20"/>
          <w:spacing w:val="-8"/>
          <w:w w:val="105"/>
        </w:rPr>
        <w:t> </w:t>
      </w:r>
      <w:r>
        <w:rPr>
          <w:color w:val="231F20"/>
          <w:w w:val="105"/>
        </w:rPr>
        <w:t>pública,</w:t>
      </w:r>
      <w:r>
        <w:rPr>
          <w:color w:val="231F20"/>
          <w:spacing w:val="-8"/>
          <w:w w:val="105"/>
        </w:rPr>
        <w:t> </w:t>
      </w:r>
      <w:r>
        <w:rPr>
          <w:color w:val="231F20"/>
          <w:w w:val="105"/>
        </w:rPr>
        <w:t>el</w:t>
      </w:r>
      <w:r>
        <w:rPr>
          <w:color w:val="231F20"/>
          <w:spacing w:val="-8"/>
          <w:w w:val="105"/>
        </w:rPr>
        <w:t> </w:t>
      </w:r>
      <w:r>
        <w:rPr>
          <w:color w:val="231F20"/>
          <w:w w:val="105"/>
        </w:rPr>
        <w:t>mejoramiento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2"/>
          <w:w w:val="105"/>
        </w:rPr>
        <w:t>calidad</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spacing w:val="2"/>
          <w:w w:val="105"/>
        </w:rPr>
        <w:t>servicio</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spacing w:val="2"/>
          <w:w w:val="105"/>
        </w:rPr>
        <w:t>visión</w:t>
      </w:r>
      <w:r>
        <w:rPr>
          <w:color w:val="231F20"/>
          <w:spacing w:val="-8"/>
          <w:w w:val="105"/>
        </w:rPr>
        <w:t> </w:t>
      </w:r>
      <w:r>
        <w:rPr>
          <w:color w:val="231F20"/>
          <w:w w:val="105"/>
        </w:rPr>
        <w:t>de</w:t>
      </w:r>
      <w:r>
        <w:rPr>
          <w:color w:val="231F20"/>
          <w:spacing w:val="-8"/>
          <w:w w:val="105"/>
        </w:rPr>
        <w:t> </w:t>
      </w:r>
      <w:r>
        <w:rPr>
          <w:color w:val="231F20"/>
          <w:spacing w:val="2"/>
          <w:w w:val="105"/>
        </w:rPr>
        <w:t>servicio</w:t>
      </w:r>
      <w:r>
        <w:rPr>
          <w:color w:val="231F20"/>
          <w:spacing w:val="-8"/>
          <w:w w:val="105"/>
        </w:rPr>
        <w:t> </w:t>
      </w:r>
      <w:r>
        <w:rPr>
          <w:color w:val="231F20"/>
          <w:spacing w:val="3"/>
          <w:w w:val="105"/>
        </w:rPr>
        <w:t>al </w:t>
      </w:r>
      <w:r>
        <w:rPr>
          <w:color w:val="231F20"/>
          <w:w w:val="105"/>
        </w:rPr>
        <w:t>cliente.</w:t>
      </w:r>
      <w:r>
        <w:rPr>
          <w:color w:val="231F20"/>
          <w:spacing w:val="-10"/>
          <w:w w:val="105"/>
        </w:rPr>
        <w:t> </w:t>
      </w:r>
      <w:r>
        <w:rPr>
          <w:color w:val="231F20"/>
          <w:w w:val="105"/>
        </w:rPr>
        <w:t>En</w:t>
      </w:r>
      <w:r>
        <w:rPr>
          <w:color w:val="231F20"/>
          <w:spacing w:val="-10"/>
          <w:w w:val="105"/>
        </w:rPr>
        <w:t> </w:t>
      </w:r>
      <w:r>
        <w:rPr>
          <w:color w:val="231F20"/>
          <w:spacing w:val="3"/>
          <w:w w:val="105"/>
        </w:rPr>
        <w:t>estas</w:t>
      </w:r>
      <w:r>
        <w:rPr>
          <w:color w:val="231F20"/>
          <w:spacing w:val="-10"/>
          <w:w w:val="105"/>
        </w:rPr>
        <w:t> </w:t>
      </w:r>
      <w:r>
        <w:rPr>
          <w:color w:val="231F20"/>
          <w:w w:val="105"/>
        </w:rPr>
        <w:t>gestiones</w:t>
      </w:r>
      <w:r>
        <w:rPr>
          <w:color w:val="231F20"/>
          <w:spacing w:val="-10"/>
          <w:w w:val="105"/>
        </w:rPr>
        <w:t> </w:t>
      </w:r>
      <w:r>
        <w:rPr>
          <w:color w:val="231F20"/>
          <w:w w:val="105"/>
        </w:rPr>
        <w:t>se</w:t>
      </w:r>
      <w:r>
        <w:rPr>
          <w:color w:val="231F20"/>
          <w:spacing w:val="-10"/>
          <w:w w:val="105"/>
        </w:rPr>
        <w:t> </w:t>
      </w:r>
      <w:r>
        <w:rPr>
          <w:color w:val="231F20"/>
          <w:spacing w:val="2"/>
          <w:w w:val="105"/>
        </w:rPr>
        <w:t>vislumbra</w:t>
      </w:r>
      <w:r>
        <w:rPr>
          <w:color w:val="231F20"/>
          <w:spacing w:val="-10"/>
          <w:w w:val="105"/>
        </w:rPr>
        <w:t> </w:t>
      </w:r>
      <w:r>
        <w:rPr>
          <w:color w:val="231F20"/>
          <w:spacing w:val="3"/>
          <w:w w:val="105"/>
        </w:rPr>
        <w:t>una</w:t>
      </w:r>
      <w:r>
        <w:rPr>
          <w:color w:val="231F20"/>
          <w:spacing w:val="-10"/>
          <w:w w:val="105"/>
        </w:rPr>
        <w:t> </w:t>
      </w:r>
      <w:r>
        <w:rPr>
          <w:color w:val="231F20"/>
          <w:w w:val="105"/>
        </w:rPr>
        <w:t>intención</w:t>
      </w:r>
      <w:r>
        <w:rPr>
          <w:color w:val="231F20"/>
          <w:spacing w:val="-10"/>
          <w:w w:val="105"/>
        </w:rPr>
        <w:t> </w:t>
      </w:r>
      <w:r>
        <w:rPr>
          <w:color w:val="231F20"/>
          <w:w w:val="105"/>
        </w:rPr>
        <w:t>de</w:t>
      </w:r>
      <w:r>
        <w:rPr>
          <w:color w:val="231F20"/>
          <w:spacing w:val="-10"/>
          <w:w w:val="105"/>
        </w:rPr>
        <w:t> </w:t>
      </w:r>
      <w:r>
        <w:rPr>
          <w:color w:val="231F20"/>
          <w:spacing w:val="2"/>
          <w:w w:val="105"/>
        </w:rPr>
        <w:t>cambiar</w:t>
      </w:r>
      <w:r>
        <w:rPr>
          <w:color w:val="231F20"/>
          <w:spacing w:val="-10"/>
          <w:w w:val="105"/>
        </w:rPr>
        <w:t> </w:t>
      </w:r>
      <w:r>
        <w:rPr>
          <w:color w:val="231F20"/>
          <w:w w:val="105"/>
        </w:rPr>
        <w:t>el</w:t>
      </w:r>
      <w:r>
        <w:rPr>
          <w:color w:val="231F20"/>
          <w:spacing w:val="-10"/>
          <w:w w:val="105"/>
        </w:rPr>
        <w:t> </w:t>
      </w:r>
      <w:r>
        <w:rPr>
          <w:color w:val="231F20"/>
          <w:w w:val="105"/>
        </w:rPr>
        <w:t>qué</w:t>
      </w:r>
      <w:r>
        <w:rPr>
          <w:color w:val="231F20"/>
          <w:spacing w:val="-10"/>
          <w:w w:val="105"/>
        </w:rPr>
        <w:t> </w:t>
      </w:r>
      <w:r>
        <w:rPr>
          <w:color w:val="231F20"/>
          <w:w w:val="105"/>
        </w:rPr>
        <w:t>hace,</w:t>
      </w:r>
      <w:r>
        <w:rPr>
          <w:color w:val="231F20"/>
          <w:spacing w:val="-10"/>
          <w:w w:val="105"/>
        </w:rPr>
        <w:t> </w:t>
      </w:r>
      <w:r>
        <w:rPr>
          <w:color w:val="231F20"/>
          <w:w w:val="105"/>
        </w:rPr>
        <w:t>el</w:t>
      </w:r>
      <w:r>
        <w:rPr>
          <w:color w:val="231F20"/>
          <w:spacing w:val="-10"/>
          <w:w w:val="105"/>
        </w:rPr>
        <w:t> </w:t>
      </w:r>
      <w:r>
        <w:rPr>
          <w:color w:val="231F20"/>
          <w:w w:val="105"/>
        </w:rPr>
        <w:t>cómo y por qué lo hace el</w:t>
      </w:r>
      <w:r>
        <w:rPr>
          <w:color w:val="231F20"/>
          <w:spacing w:val="-34"/>
          <w:w w:val="105"/>
        </w:rPr>
        <w:t> </w:t>
      </w:r>
      <w:r>
        <w:rPr>
          <w:color w:val="231F20"/>
          <w:w w:val="105"/>
        </w:rPr>
        <w:t>gobierno.</w:t>
      </w:r>
    </w:p>
    <w:p>
      <w:pPr>
        <w:pStyle w:val="BodyText"/>
        <w:spacing w:before="1"/>
        <w:rPr>
          <w:sz w:val="26"/>
        </w:rPr>
      </w:pPr>
    </w:p>
    <w:p>
      <w:pPr>
        <w:pStyle w:val="BodyText"/>
        <w:spacing w:line="285" w:lineRule="auto"/>
        <w:ind w:left="110" w:right="108"/>
        <w:jc w:val="both"/>
      </w:pPr>
      <w:r>
        <w:rPr>
          <w:color w:val="231F20"/>
          <w:w w:val="105"/>
        </w:rPr>
        <w:t>Es justo apuntar, como ya se ha hecho en otros estudios, que </w:t>
      </w:r>
      <w:r>
        <w:rPr>
          <w:color w:val="231F20"/>
          <w:spacing w:val="-4"/>
          <w:w w:val="105"/>
        </w:rPr>
        <w:t>“es </w:t>
      </w:r>
      <w:r>
        <w:rPr>
          <w:color w:val="231F20"/>
          <w:w w:val="105"/>
        </w:rPr>
        <w:t>probable que los </w:t>
      </w:r>
      <w:r>
        <w:rPr>
          <w:color w:val="231F20"/>
          <w:spacing w:val="-3"/>
          <w:w w:val="105"/>
        </w:rPr>
        <w:t>mu- </w:t>
      </w:r>
      <w:r>
        <w:rPr>
          <w:color w:val="231F20"/>
          <w:w w:val="105"/>
        </w:rPr>
        <w:t>nicipios</w:t>
      </w:r>
      <w:r>
        <w:rPr>
          <w:color w:val="231F20"/>
          <w:spacing w:val="-11"/>
          <w:w w:val="105"/>
        </w:rPr>
        <w:t> </w:t>
      </w:r>
      <w:r>
        <w:rPr>
          <w:color w:val="231F20"/>
          <w:w w:val="105"/>
        </w:rPr>
        <w:t>del</w:t>
      </w:r>
      <w:r>
        <w:rPr>
          <w:color w:val="231F20"/>
          <w:spacing w:val="-11"/>
          <w:w w:val="105"/>
        </w:rPr>
        <w:t> </w:t>
      </w:r>
      <w:r>
        <w:rPr>
          <w:color w:val="231F20"/>
          <w:spacing w:val="-4"/>
          <w:w w:val="105"/>
        </w:rPr>
        <w:t>PAN</w:t>
      </w:r>
      <w:r>
        <w:rPr>
          <w:color w:val="231F20"/>
          <w:spacing w:val="-11"/>
          <w:w w:val="105"/>
        </w:rPr>
        <w:t> </w:t>
      </w:r>
      <w:r>
        <w:rPr>
          <w:color w:val="231F20"/>
          <w:w w:val="105"/>
        </w:rPr>
        <w:t>sean</w:t>
      </w:r>
      <w:r>
        <w:rPr>
          <w:color w:val="231F20"/>
          <w:spacing w:val="-11"/>
          <w:w w:val="105"/>
        </w:rPr>
        <w:t> </w:t>
      </w:r>
      <w:r>
        <w:rPr>
          <w:color w:val="231F20"/>
          <w:w w:val="105"/>
        </w:rPr>
        <w:t>dirigidos</w:t>
      </w:r>
      <w:r>
        <w:rPr>
          <w:color w:val="231F20"/>
          <w:spacing w:val="-11"/>
          <w:w w:val="105"/>
        </w:rPr>
        <w:t> </w:t>
      </w:r>
      <w:r>
        <w:rPr>
          <w:color w:val="231F20"/>
          <w:w w:val="105"/>
        </w:rPr>
        <w:t>con</w:t>
      </w:r>
      <w:r>
        <w:rPr>
          <w:color w:val="231F20"/>
          <w:spacing w:val="-11"/>
          <w:w w:val="105"/>
        </w:rPr>
        <w:t> </w:t>
      </w:r>
      <w:r>
        <w:rPr>
          <w:color w:val="231F20"/>
          <w:w w:val="105"/>
        </w:rPr>
        <w:t>más</w:t>
      </w:r>
      <w:r>
        <w:rPr>
          <w:color w:val="231F20"/>
          <w:spacing w:val="-11"/>
          <w:w w:val="105"/>
        </w:rPr>
        <w:t> </w:t>
      </w:r>
      <w:r>
        <w:rPr>
          <w:color w:val="231F20"/>
          <w:w w:val="105"/>
        </w:rPr>
        <w:t>eficiencia,</w:t>
      </w:r>
      <w:r>
        <w:rPr>
          <w:color w:val="231F20"/>
          <w:spacing w:val="-11"/>
          <w:w w:val="105"/>
        </w:rPr>
        <w:t> </w:t>
      </w:r>
      <w:r>
        <w:rPr>
          <w:color w:val="231F20"/>
          <w:w w:val="105"/>
        </w:rPr>
        <w:t>porque</w:t>
      </w:r>
      <w:r>
        <w:rPr>
          <w:color w:val="231F20"/>
          <w:spacing w:val="-11"/>
          <w:w w:val="105"/>
        </w:rPr>
        <w:t> </w:t>
      </w:r>
      <w:r>
        <w:rPr>
          <w:color w:val="231F20"/>
          <w:w w:val="105"/>
        </w:rPr>
        <w:t>muchos</w:t>
      </w:r>
      <w:r>
        <w:rPr>
          <w:color w:val="231F20"/>
          <w:spacing w:val="-11"/>
          <w:w w:val="105"/>
        </w:rPr>
        <w:t> </w:t>
      </w:r>
      <w:r>
        <w:rPr>
          <w:color w:val="231F20"/>
          <w:w w:val="105"/>
        </w:rPr>
        <w:t>panistas</w:t>
      </w:r>
      <w:r>
        <w:rPr>
          <w:color w:val="231F20"/>
          <w:spacing w:val="-11"/>
          <w:w w:val="105"/>
        </w:rPr>
        <w:t> </w:t>
      </w:r>
      <w:r>
        <w:rPr>
          <w:color w:val="231F20"/>
          <w:w w:val="105"/>
        </w:rPr>
        <w:t>provienen del</w:t>
      </w:r>
      <w:r>
        <w:rPr>
          <w:color w:val="231F20"/>
          <w:spacing w:val="-6"/>
          <w:w w:val="105"/>
        </w:rPr>
        <w:t> </w:t>
      </w:r>
      <w:r>
        <w:rPr>
          <w:color w:val="231F20"/>
          <w:w w:val="105"/>
        </w:rPr>
        <w:t>sector</w:t>
      </w:r>
      <w:r>
        <w:rPr>
          <w:color w:val="231F20"/>
          <w:spacing w:val="-6"/>
          <w:w w:val="105"/>
        </w:rPr>
        <w:t> </w:t>
      </w:r>
      <w:r>
        <w:rPr>
          <w:color w:val="231F20"/>
          <w:w w:val="105"/>
        </w:rPr>
        <w:t>empresarial,</w:t>
      </w:r>
      <w:r>
        <w:rPr>
          <w:color w:val="231F20"/>
          <w:spacing w:val="-6"/>
          <w:w w:val="105"/>
        </w:rPr>
        <w:t> </w:t>
      </w:r>
      <w:r>
        <w:rPr>
          <w:color w:val="231F20"/>
          <w:w w:val="105"/>
        </w:rPr>
        <w:t>o</w:t>
      </w:r>
      <w:r>
        <w:rPr>
          <w:color w:val="231F20"/>
          <w:spacing w:val="-6"/>
          <w:w w:val="105"/>
        </w:rPr>
        <w:t> </w:t>
      </w:r>
      <w:r>
        <w:rPr>
          <w:color w:val="231F20"/>
          <w:w w:val="105"/>
        </w:rPr>
        <w:t>porque</w:t>
      </w:r>
      <w:r>
        <w:rPr>
          <w:color w:val="231F20"/>
          <w:spacing w:val="-6"/>
          <w:w w:val="105"/>
        </w:rPr>
        <w:t> </w:t>
      </w:r>
      <w:r>
        <w:rPr>
          <w:color w:val="231F20"/>
          <w:w w:val="105"/>
        </w:rPr>
        <w:t>la</w:t>
      </w:r>
      <w:r>
        <w:rPr>
          <w:color w:val="231F20"/>
          <w:spacing w:val="-6"/>
          <w:w w:val="105"/>
        </w:rPr>
        <w:t> </w:t>
      </w:r>
      <w:r>
        <w:rPr>
          <w:color w:val="231F20"/>
          <w:w w:val="105"/>
        </w:rPr>
        <w:t>honestidad</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eficiencia</w:t>
      </w:r>
      <w:r>
        <w:rPr>
          <w:color w:val="231F20"/>
          <w:spacing w:val="-6"/>
          <w:w w:val="105"/>
        </w:rPr>
        <w:t> </w:t>
      </w:r>
      <w:r>
        <w:rPr>
          <w:color w:val="231F20"/>
          <w:w w:val="105"/>
        </w:rPr>
        <w:t>son</w:t>
      </w:r>
      <w:r>
        <w:rPr>
          <w:color w:val="231F20"/>
          <w:spacing w:val="-6"/>
          <w:w w:val="105"/>
        </w:rPr>
        <w:t> </w:t>
      </w:r>
      <w:r>
        <w:rPr>
          <w:color w:val="231F20"/>
          <w:w w:val="105"/>
        </w:rPr>
        <w:t>temas</w:t>
      </w:r>
      <w:r>
        <w:rPr>
          <w:color w:val="231F20"/>
          <w:spacing w:val="-6"/>
          <w:w w:val="105"/>
        </w:rPr>
        <w:t> </w:t>
      </w:r>
      <w:r>
        <w:rPr>
          <w:color w:val="231F20"/>
          <w:w w:val="105"/>
        </w:rPr>
        <w:t>fundamentales en</w:t>
      </w:r>
      <w:r>
        <w:rPr>
          <w:color w:val="231F20"/>
          <w:spacing w:val="-19"/>
          <w:w w:val="105"/>
        </w:rPr>
        <w:t> </w:t>
      </w:r>
      <w:r>
        <w:rPr>
          <w:color w:val="231F20"/>
          <w:w w:val="105"/>
        </w:rPr>
        <w:t>la</w:t>
      </w:r>
      <w:r>
        <w:rPr>
          <w:color w:val="231F20"/>
          <w:spacing w:val="-19"/>
          <w:w w:val="105"/>
        </w:rPr>
        <w:t> </w:t>
      </w:r>
      <w:r>
        <w:rPr>
          <w:color w:val="231F20"/>
          <w:w w:val="105"/>
        </w:rPr>
        <w:t>plataforma</w:t>
      </w:r>
      <w:r>
        <w:rPr>
          <w:color w:val="231F20"/>
          <w:spacing w:val="-19"/>
          <w:w w:val="105"/>
        </w:rPr>
        <w:t> </w:t>
      </w:r>
      <w:r>
        <w:rPr>
          <w:color w:val="231F20"/>
          <w:w w:val="105"/>
        </w:rPr>
        <w:t>del</w:t>
      </w:r>
      <w:r>
        <w:rPr>
          <w:color w:val="231F20"/>
          <w:spacing w:val="-19"/>
          <w:w w:val="105"/>
        </w:rPr>
        <w:t> </w:t>
      </w:r>
      <w:r>
        <w:rPr>
          <w:color w:val="231F20"/>
          <w:w w:val="105"/>
        </w:rPr>
        <w:t>partido”</w:t>
      </w:r>
      <w:r>
        <w:rPr>
          <w:color w:val="231F20"/>
          <w:w w:val="105"/>
          <w:position w:val="7"/>
          <w:sz w:val="13"/>
        </w:rPr>
        <w:t>14</w:t>
      </w:r>
      <w:r>
        <w:rPr>
          <w:color w:val="231F20"/>
          <w:w w:val="105"/>
        </w:rPr>
        <w:t>.</w:t>
      </w:r>
    </w:p>
    <w:p>
      <w:pPr>
        <w:pStyle w:val="BodyText"/>
        <w:rPr>
          <w:sz w:val="26"/>
        </w:rPr>
      </w:pPr>
    </w:p>
    <w:p>
      <w:pPr>
        <w:pStyle w:val="BodyText"/>
        <w:spacing w:line="285" w:lineRule="auto"/>
        <w:ind w:left="110" w:right="107"/>
        <w:jc w:val="both"/>
      </w:pPr>
      <w:r>
        <w:rPr>
          <w:color w:val="231F20"/>
          <w:spacing w:val="-3"/>
          <w:w w:val="105"/>
        </w:rPr>
        <w:t>Pero </w:t>
      </w:r>
      <w:r>
        <w:rPr>
          <w:color w:val="231F20"/>
          <w:w w:val="105"/>
        </w:rPr>
        <w:t>también es posible que la modernización administrativa de Tlalnepantla tenga sus antecedentes en la visión municipal que incluso implementaron gobiernos priístas como</w:t>
      </w:r>
      <w:r>
        <w:rPr>
          <w:color w:val="231F20"/>
          <w:spacing w:val="-4"/>
          <w:w w:val="105"/>
        </w:rPr>
        <w:t> </w:t>
      </w:r>
      <w:r>
        <w:rPr>
          <w:color w:val="231F20"/>
          <w:w w:val="105"/>
        </w:rPr>
        <w:t>es</w:t>
      </w:r>
      <w:r>
        <w:rPr>
          <w:color w:val="231F20"/>
          <w:spacing w:val="-4"/>
          <w:w w:val="105"/>
        </w:rPr>
        <w:t> </w:t>
      </w:r>
      <w:r>
        <w:rPr>
          <w:color w:val="231F20"/>
          <w:w w:val="105"/>
        </w:rPr>
        <w:t>el</w:t>
      </w:r>
      <w:r>
        <w:rPr>
          <w:color w:val="231F20"/>
          <w:spacing w:val="-4"/>
          <w:w w:val="105"/>
        </w:rPr>
        <w:t> </w:t>
      </w:r>
      <w:r>
        <w:rPr>
          <w:color w:val="231F20"/>
          <w:w w:val="105"/>
        </w:rPr>
        <w:t>caso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gestión</w:t>
      </w:r>
      <w:r>
        <w:rPr>
          <w:color w:val="231F20"/>
          <w:spacing w:val="-4"/>
          <w:w w:val="105"/>
        </w:rPr>
        <w:t> </w:t>
      </w:r>
      <w:r>
        <w:rPr>
          <w:color w:val="231F20"/>
          <w:w w:val="105"/>
        </w:rPr>
        <w:t>de</w:t>
      </w:r>
      <w:r>
        <w:rPr>
          <w:color w:val="231F20"/>
          <w:spacing w:val="-4"/>
          <w:w w:val="105"/>
        </w:rPr>
        <w:t> </w:t>
      </w:r>
      <w:r>
        <w:rPr>
          <w:color w:val="231F20"/>
          <w:spacing w:val="2"/>
          <w:w w:val="105"/>
        </w:rPr>
        <w:t>Arturo</w:t>
      </w:r>
      <w:r>
        <w:rPr>
          <w:color w:val="231F20"/>
          <w:spacing w:val="-4"/>
          <w:w w:val="105"/>
        </w:rPr>
        <w:t> </w:t>
      </w:r>
      <w:r>
        <w:rPr>
          <w:color w:val="231F20"/>
          <w:w w:val="105"/>
        </w:rPr>
        <w:t>Ugalde</w:t>
      </w:r>
      <w:r>
        <w:rPr>
          <w:color w:val="231F20"/>
          <w:spacing w:val="-4"/>
          <w:w w:val="105"/>
        </w:rPr>
        <w:t> </w:t>
      </w:r>
      <w:r>
        <w:rPr>
          <w:color w:val="231F20"/>
          <w:w w:val="105"/>
        </w:rPr>
        <w:t>Meneses</w:t>
      </w:r>
      <w:r>
        <w:rPr>
          <w:color w:val="231F20"/>
          <w:spacing w:val="-4"/>
          <w:w w:val="105"/>
        </w:rPr>
        <w:t> </w:t>
      </w:r>
      <w:r>
        <w:rPr>
          <w:color w:val="231F20"/>
          <w:spacing w:val="-3"/>
          <w:w w:val="105"/>
        </w:rPr>
        <w:t>(94</w:t>
      </w:r>
      <w:r>
        <w:rPr>
          <w:color w:val="231F20"/>
          <w:spacing w:val="-4"/>
          <w:w w:val="105"/>
        </w:rPr>
        <w:t> </w:t>
      </w:r>
      <w:r>
        <w:rPr>
          <w:color w:val="231F20"/>
          <w:w w:val="105"/>
        </w:rPr>
        <w:t>–</w:t>
      </w:r>
      <w:r>
        <w:rPr>
          <w:color w:val="231F20"/>
          <w:spacing w:val="-4"/>
          <w:w w:val="105"/>
        </w:rPr>
        <w:t> </w:t>
      </w:r>
      <w:r>
        <w:rPr>
          <w:color w:val="231F20"/>
          <w:spacing w:val="-3"/>
          <w:w w:val="105"/>
        </w:rPr>
        <w:t>97).</w:t>
      </w:r>
      <w:r>
        <w:rPr>
          <w:color w:val="231F20"/>
          <w:spacing w:val="-4"/>
          <w:w w:val="105"/>
        </w:rPr>
        <w:t> </w:t>
      </w:r>
      <w:r>
        <w:rPr>
          <w:color w:val="231F20"/>
          <w:w w:val="105"/>
        </w:rPr>
        <w:t>En</w:t>
      </w:r>
      <w:r>
        <w:rPr>
          <w:color w:val="231F20"/>
          <w:spacing w:val="-4"/>
          <w:w w:val="105"/>
        </w:rPr>
        <w:t> </w:t>
      </w:r>
      <w:r>
        <w:rPr>
          <w:color w:val="231F20"/>
          <w:w w:val="105"/>
        </w:rPr>
        <w:t>ese</w:t>
      </w:r>
      <w:r>
        <w:rPr>
          <w:color w:val="231F20"/>
          <w:spacing w:val="-4"/>
          <w:w w:val="105"/>
        </w:rPr>
        <w:t> </w:t>
      </w:r>
      <w:r>
        <w:rPr>
          <w:color w:val="231F20"/>
          <w:w w:val="105"/>
        </w:rPr>
        <w:t>entonces</w:t>
      </w:r>
      <w:r>
        <w:rPr>
          <w:color w:val="231F20"/>
          <w:spacing w:val="-4"/>
          <w:w w:val="105"/>
        </w:rPr>
        <w:t> </w:t>
      </w:r>
      <w:r>
        <w:rPr>
          <w:color w:val="231F20"/>
          <w:w w:val="105"/>
        </w:rPr>
        <w:t>se</w:t>
      </w:r>
    </w:p>
    <w:p>
      <w:pPr>
        <w:pStyle w:val="BodyText"/>
        <w:spacing w:before="7"/>
        <w:rPr>
          <w:sz w:val="13"/>
        </w:rPr>
      </w:pPr>
      <w:r>
        <w:rPr/>
        <w:pict>
          <v:line style="position:absolute;mso-position-horizontal-relative:page;mso-position-vertical-relative:paragraph;z-index:10528;mso-wrap-distance-left:0;mso-wrap-distance-right:0" from="42.519699pt,10.300693pt" to="330.519699pt,10.300693pt" stroked="true" strokeweight="1pt" strokecolor="#231f20">
            <w10:wrap type="topAndBottom"/>
          </v:line>
        </w:pict>
      </w:r>
    </w:p>
    <w:p>
      <w:pPr>
        <w:spacing w:before="8"/>
        <w:ind w:left="110" w:right="574" w:firstLine="0"/>
        <w:jc w:val="left"/>
        <w:rPr>
          <w:rFonts w:ascii="Calibri" w:hAnsi="Calibri"/>
          <w:sz w:val="16"/>
        </w:rPr>
      </w:pPr>
      <w:r>
        <w:rPr>
          <w:rFonts w:ascii="Calibri" w:hAnsi="Calibri"/>
          <w:color w:val="231F20"/>
          <w:sz w:val="16"/>
        </w:rPr>
        <w:t>públicos, en los municipios de Ecatepec, Naucalpan y Tlalnepantla 2000 – 2003, p. 160.</w:t>
      </w:r>
    </w:p>
    <w:p>
      <w:pPr>
        <w:pStyle w:val="ListParagraph"/>
        <w:numPr>
          <w:ilvl w:val="0"/>
          <w:numId w:val="15"/>
        </w:numPr>
        <w:tabs>
          <w:tab w:pos="300" w:val="left" w:leader="none"/>
        </w:tabs>
        <w:spacing w:line="244" w:lineRule="auto" w:before="4" w:after="0"/>
        <w:ind w:left="110" w:right="108" w:firstLine="0"/>
        <w:jc w:val="left"/>
        <w:rPr>
          <w:sz w:val="16"/>
        </w:rPr>
      </w:pPr>
      <w:r>
        <w:rPr>
          <w:color w:val="231F20"/>
          <w:sz w:val="16"/>
        </w:rPr>
        <w:t>CLEARY, MATTHEW R., Competencia electoral, influencia ciudadana y desempeño del gobierno en los municipios mexi- canos,</w:t>
      </w:r>
      <w:r>
        <w:rPr>
          <w:color w:val="231F20"/>
          <w:spacing w:val="-24"/>
          <w:sz w:val="16"/>
        </w:rPr>
        <w:t> </w:t>
      </w:r>
      <w:r>
        <w:rPr>
          <w:color w:val="231F20"/>
          <w:sz w:val="16"/>
        </w:rPr>
        <w:t>p.</w:t>
      </w:r>
      <w:r>
        <w:rPr>
          <w:color w:val="231F20"/>
          <w:spacing w:val="-24"/>
          <w:sz w:val="16"/>
        </w:rPr>
        <w:t> </w:t>
      </w:r>
      <w:r>
        <w:rPr>
          <w:color w:val="231F20"/>
          <w:sz w:val="16"/>
        </w:rPr>
        <w:t>188.</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presentó una “experiencia innovadora en la gestión financiera”, ya que se realizó una actualización de los estados financieros del municipio y se implementó la técnica de calidad total en los procesos de trabajo de su tesorería.</w:t>
      </w:r>
    </w:p>
    <w:p>
      <w:pPr>
        <w:pStyle w:val="BodyText"/>
        <w:spacing w:before="1"/>
        <w:rPr>
          <w:sz w:val="26"/>
        </w:rPr>
      </w:pPr>
    </w:p>
    <w:p>
      <w:pPr>
        <w:pStyle w:val="BodyText"/>
        <w:spacing w:line="285" w:lineRule="auto"/>
        <w:ind w:left="110" w:right="107"/>
        <w:jc w:val="both"/>
      </w:pPr>
      <w:r>
        <w:rPr>
          <w:color w:val="231F20"/>
          <w:w w:val="105"/>
        </w:rPr>
        <w:t>Desde aquellos años, se vislumbraba el rápido crecimiento industrial y comercial del municipio</w:t>
      </w:r>
      <w:r>
        <w:rPr>
          <w:color w:val="231F20"/>
          <w:spacing w:val="-3"/>
          <w:w w:val="105"/>
        </w:rPr>
        <w:t> </w:t>
      </w:r>
      <w:r>
        <w:rPr>
          <w:color w:val="231F20"/>
          <w:w w:val="105"/>
        </w:rPr>
        <w:t>y</w:t>
      </w:r>
      <w:r>
        <w:rPr>
          <w:color w:val="231F20"/>
          <w:spacing w:val="-3"/>
          <w:w w:val="105"/>
        </w:rPr>
        <w:t> </w:t>
      </w:r>
      <w:r>
        <w:rPr>
          <w:color w:val="231F20"/>
          <w:w w:val="105"/>
        </w:rPr>
        <w:t>los</w:t>
      </w:r>
      <w:r>
        <w:rPr>
          <w:color w:val="231F20"/>
          <w:spacing w:val="-3"/>
          <w:w w:val="105"/>
        </w:rPr>
        <w:t> </w:t>
      </w:r>
      <w:r>
        <w:rPr>
          <w:color w:val="231F20"/>
          <w:w w:val="105"/>
        </w:rPr>
        <w:t>problemas</w:t>
      </w:r>
      <w:r>
        <w:rPr>
          <w:color w:val="231F20"/>
          <w:spacing w:val="-3"/>
          <w:w w:val="105"/>
        </w:rPr>
        <w:t> </w:t>
      </w:r>
      <w:r>
        <w:rPr>
          <w:color w:val="231F20"/>
          <w:w w:val="105"/>
        </w:rPr>
        <w:t>que</w:t>
      </w:r>
      <w:r>
        <w:rPr>
          <w:color w:val="231F20"/>
          <w:spacing w:val="-3"/>
          <w:w w:val="105"/>
        </w:rPr>
        <w:t> </w:t>
      </w:r>
      <w:r>
        <w:rPr>
          <w:color w:val="231F20"/>
          <w:w w:val="105"/>
        </w:rPr>
        <w:t>han</w:t>
      </w:r>
      <w:r>
        <w:rPr>
          <w:color w:val="231F20"/>
          <w:spacing w:val="-3"/>
          <w:w w:val="105"/>
        </w:rPr>
        <w:t> </w:t>
      </w:r>
      <w:r>
        <w:rPr>
          <w:color w:val="231F20"/>
          <w:w w:val="105"/>
        </w:rPr>
        <w:t>sido</w:t>
      </w:r>
      <w:r>
        <w:rPr>
          <w:color w:val="231F20"/>
          <w:spacing w:val="-3"/>
          <w:w w:val="105"/>
        </w:rPr>
        <w:t> </w:t>
      </w:r>
      <w:r>
        <w:rPr>
          <w:color w:val="231F20"/>
          <w:w w:val="105"/>
        </w:rPr>
        <w:t>de</w:t>
      </w:r>
      <w:r>
        <w:rPr>
          <w:color w:val="231F20"/>
          <w:spacing w:val="-3"/>
          <w:w w:val="105"/>
        </w:rPr>
        <w:t> </w:t>
      </w:r>
      <w:r>
        <w:rPr>
          <w:color w:val="231F20"/>
          <w:w w:val="105"/>
        </w:rPr>
        <w:t>primer</w:t>
      </w:r>
      <w:r>
        <w:rPr>
          <w:color w:val="231F20"/>
          <w:spacing w:val="-3"/>
          <w:w w:val="105"/>
        </w:rPr>
        <w:t> </w:t>
      </w:r>
      <w:r>
        <w:rPr>
          <w:color w:val="231F20"/>
          <w:w w:val="105"/>
        </w:rPr>
        <w:t>orden</w:t>
      </w:r>
      <w:r>
        <w:rPr>
          <w:color w:val="231F20"/>
          <w:spacing w:val="-3"/>
          <w:w w:val="105"/>
        </w:rPr>
        <w:t> </w:t>
      </w:r>
      <w:r>
        <w:rPr>
          <w:color w:val="231F20"/>
          <w:w w:val="105"/>
        </w:rPr>
        <w:t>en</w:t>
      </w:r>
      <w:r>
        <w:rPr>
          <w:color w:val="231F20"/>
          <w:spacing w:val="-3"/>
          <w:w w:val="105"/>
        </w:rPr>
        <w:t> </w:t>
      </w:r>
      <w:r>
        <w:rPr>
          <w:color w:val="231F20"/>
          <w:w w:val="105"/>
        </w:rPr>
        <w:t>las</w:t>
      </w:r>
      <w:r>
        <w:rPr>
          <w:color w:val="231F20"/>
          <w:spacing w:val="-3"/>
          <w:w w:val="105"/>
        </w:rPr>
        <w:t> </w:t>
      </w:r>
      <w:r>
        <w:rPr>
          <w:color w:val="231F20"/>
          <w:w w:val="105"/>
        </w:rPr>
        <w:t>gestiones</w:t>
      </w:r>
      <w:r>
        <w:rPr>
          <w:color w:val="231F20"/>
          <w:spacing w:val="-3"/>
          <w:w w:val="105"/>
        </w:rPr>
        <w:t> </w:t>
      </w:r>
      <w:r>
        <w:rPr>
          <w:color w:val="231F20"/>
          <w:w w:val="105"/>
        </w:rPr>
        <w:t>del</w:t>
      </w:r>
      <w:r>
        <w:rPr>
          <w:color w:val="231F20"/>
          <w:spacing w:val="-3"/>
          <w:w w:val="105"/>
        </w:rPr>
        <w:t> </w:t>
      </w:r>
      <w:r>
        <w:rPr>
          <w:color w:val="231F20"/>
          <w:w w:val="105"/>
        </w:rPr>
        <w:t>gobierno de</w:t>
      </w:r>
      <w:r>
        <w:rPr>
          <w:color w:val="231F20"/>
          <w:spacing w:val="-16"/>
          <w:w w:val="105"/>
        </w:rPr>
        <w:t> </w:t>
      </w:r>
      <w:r>
        <w:rPr>
          <w:color w:val="231F20"/>
          <w:w w:val="105"/>
        </w:rPr>
        <w:t>Tlalnepantla,</w:t>
      </w:r>
      <w:r>
        <w:rPr>
          <w:color w:val="231F20"/>
          <w:spacing w:val="-16"/>
          <w:w w:val="105"/>
        </w:rPr>
        <w:t> </w:t>
      </w:r>
      <w:r>
        <w:rPr>
          <w:color w:val="231F20"/>
          <w:w w:val="105"/>
        </w:rPr>
        <w:t>tales</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color w:val="231F20"/>
          <w:w w:val="105"/>
        </w:rPr>
        <w:t>desigualdad</w:t>
      </w:r>
      <w:r>
        <w:rPr>
          <w:color w:val="231F20"/>
          <w:spacing w:val="-16"/>
          <w:w w:val="105"/>
        </w:rPr>
        <w:t> </w:t>
      </w:r>
      <w:r>
        <w:rPr>
          <w:color w:val="231F20"/>
          <w:w w:val="105"/>
        </w:rPr>
        <w:t>económica,</w:t>
      </w:r>
      <w:r>
        <w:rPr>
          <w:color w:val="231F20"/>
          <w:spacing w:val="-16"/>
          <w:w w:val="105"/>
        </w:rPr>
        <w:t> </w:t>
      </w:r>
      <w:r>
        <w:rPr>
          <w:color w:val="231F20"/>
          <w:w w:val="105"/>
        </w:rPr>
        <w:t>la</w:t>
      </w:r>
      <w:r>
        <w:rPr>
          <w:color w:val="231F20"/>
          <w:spacing w:val="-16"/>
          <w:w w:val="105"/>
        </w:rPr>
        <w:t> </w:t>
      </w:r>
      <w:r>
        <w:rPr>
          <w:color w:val="231F20"/>
          <w:w w:val="105"/>
        </w:rPr>
        <w:t>contaminación</w:t>
      </w:r>
      <w:r>
        <w:rPr>
          <w:color w:val="231F20"/>
          <w:spacing w:val="-16"/>
          <w:w w:val="105"/>
        </w:rPr>
        <w:t> </w:t>
      </w:r>
      <w:r>
        <w:rPr>
          <w:color w:val="231F20"/>
          <w:w w:val="105"/>
        </w:rPr>
        <w:t>del</w:t>
      </w:r>
      <w:r>
        <w:rPr>
          <w:color w:val="231F20"/>
          <w:spacing w:val="-16"/>
          <w:w w:val="105"/>
        </w:rPr>
        <w:t> </w:t>
      </w:r>
      <w:r>
        <w:rPr>
          <w:color w:val="231F20"/>
          <w:w w:val="105"/>
        </w:rPr>
        <w:t>medio</w:t>
      </w:r>
      <w:r>
        <w:rPr>
          <w:color w:val="231F20"/>
          <w:spacing w:val="-16"/>
          <w:w w:val="105"/>
        </w:rPr>
        <w:t> </w:t>
      </w:r>
      <w:r>
        <w:rPr>
          <w:color w:val="231F20"/>
          <w:w w:val="105"/>
        </w:rPr>
        <w:t>am- biente</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insuficiencia</w:t>
      </w:r>
      <w:r>
        <w:rPr>
          <w:color w:val="231F20"/>
          <w:spacing w:val="-19"/>
          <w:w w:val="105"/>
        </w:rPr>
        <w:t> </w:t>
      </w:r>
      <w:r>
        <w:rPr>
          <w:color w:val="231F20"/>
          <w:w w:val="105"/>
        </w:rPr>
        <w:t>de</w:t>
      </w:r>
      <w:r>
        <w:rPr>
          <w:color w:val="231F20"/>
          <w:spacing w:val="-19"/>
          <w:w w:val="105"/>
        </w:rPr>
        <w:t> </w:t>
      </w:r>
      <w:r>
        <w:rPr>
          <w:color w:val="231F20"/>
          <w:w w:val="105"/>
        </w:rPr>
        <w:t>recursos</w:t>
      </w:r>
      <w:r>
        <w:rPr>
          <w:color w:val="231F20"/>
          <w:spacing w:val="-19"/>
          <w:w w:val="105"/>
        </w:rPr>
        <w:t> </w:t>
      </w:r>
      <w:r>
        <w:rPr>
          <w:color w:val="231F20"/>
          <w:w w:val="105"/>
        </w:rPr>
        <w:t>financieros.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gestión</w:t>
      </w:r>
      <w:r>
        <w:rPr>
          <w:color w:val="231F20"/>
          <w:spacing w:val="-5"/>
          <w:w w:val="105"/>
        </w:rPr>
        <w:t> </w:t>
      </w:r>
      <w:r>
        <w:rPr>
          <w:color w:val="231F20"/>
          <w:w w:val="105"/>
        </w:rPr>
        <w:t>de</w:t>
      </w:r>
      <w:r>
        <w:rPr>
          <w:color w:val="231F20"/>
          <w:spacing w:val="-5"/>
          <w:w w:val="105"/>
        </w:rPr>
        <w:t> </w:t>
      </w:r>
      <w:r>
        <w:rPr>
          <w:color w:val="231F20"/>
          <w:w w:val="105"/>
        </w:rPr>
        <w:t>94–97</w:t>
      </w:r>
      <w:r>
        <w:rPr>
          <w:color w:val="231F20"/>
          <w:spacing w:val="-5"/>
          <w:w w:val="105"/>
        </w:rPr>
        <w:t> </w:t>
      </w:r>
      <w:r>
        <w:rPr>
          <w:color w:val="231F20"/>
          <w:w w:val="105"/>
        </w:rPr>
        <w:t>se</w:t>
      </w:r>
      <w:r>
        <w:rPr>
          <w:color w:val="231F20"/>
          <w:spacing w:val="-5"/>
          <w:w w:val="105"/>
        </w:rPr>
        <w:t> </w:t>
      </w:r>
      <w:r>
        <w:rPr>
          <w:color w:val="231F20"/>
          <w:w w:val="105"/>
        </w:rPr>
        <w:t>dieron</w:t>
      </w:r>
      <w:r>
        <w:rPr>
          <w:color w:val="231F20"/>
          <w:spacing w:val="-5"/>
          <w:w w:val="105"/>
        </w:rPr>
        <w:t> </w:t>
      </w:r>
      <w:r>
        <w:rPr>
          <w:color w:val="231F20"/>
          <w:w w:val="105"/>
        </w:rPr>
        <w:t>pasos</w:t>
      </w:r>
      <w:r>
        <w:rPr>
          <w:color w:val="231F20"/>
          <w:spacing w:val="-5"/>
          <w:w w:val="105"/>
        </w:rPr>
        <w:t> </w:t>
      </w:r>
      <w:r>
        <w:rPr>
          <w:color w:val="231F20"/>
          <w:w w:val="105"/>
        </w:rPr>
        <w:t>hacia</w:t>
      </w:r>
      <w:r>
        <w:rPr>
          <w:color w:val="231F20"/>
          <w:spacing w:val="-5"/>
          <w:w w:val="105"/>
        </w:rPr>
        <w:t> </w:t>
      </w:r>
      <w:r>
        <w:rPr>
          <w:color w:val="231F20"/>
          <w:w w:val="105"/>
        </w:rPr>
        <w:t>la</w:t>
      </w:r>
      <w:r>
        <w:rPr>
          <w:color w:val="231F20"/>
          <w:spacing w:val="-5"/>
          <w:w w:val="105"/>
        </w:rPr>
        <w:t> </w:t>
      </w:r>
      <w:r>
        <w:rPr>
          <w:color w:val="231F20"/>
          <w:w w:val="105"/>
        </w:rPr>
        <w:t>reforma</w:t>
      </w:r>
      <w:r>
        <w:rPr>
          <w:color w:val="231F20"/>
          <w:spacing w:val="-5"/>
          <w:w w:val="105"/>
        </w:rPr>
        <w:t> </w:t>
      </w:r>
      <w:r>
        <w:rPr>
          <w:color w:val="231F20"/>
          <w:w w:val="105"/>
        </w:rPr>
        <w:t>administrativa</w:t>
      </w:r>
      <w:r>
        <w:rPr>
          <w:color w:val="231F20"/>
          <w:spacing w:val="-5"/>
          <w:w w:val="105"/>
        </w:rPr>
        <w:t> </w:t>
      </w:r>
      <w:r>
        <w:rPr>
          <w:color w:val="231F20"/>
          <w:w w:val="105"/>
        </w:rPr>
        <w:t>(sistema</w:t>
      </w:r>
      <w:r>
        <w:rPr>
          <w:color w:val="231F20"/>
          <w:spacing w:val="-5"/>
          <w:w w:val="105"/>
        </w:rPr>
        <w:t> </w:t>
      </w:r>
      <w:r>
        <w:rPr>
          <w:color w:val="231F20"/>
          <w:w w:val="105"/>
        </w:rPr>
        <w:t>muni- cipal</w:t>
      </w:r>
      <w:r>
        <w:rPr>
          <w:color w:val="231F20"/>
          <w:spacing w:val="-25"/>
          <w:w w:val="105"/>
        </w:rPr>
        <w:t> </w:t>
      </w:r>
      <w:r>
        <w:rPr>
          <w:color w:val="231F20"/>
          <w:w w:val="105"/>
        </w:rPr>
        <w:t>de</w:t>
      </w:r>
      <w:r>
        <w:rPr>
          <w:color w:val="231F20"/>
          <w:spacing w:val="-25"/>
          <w:w w:val="105"/>
        </w:rPr>
        <w:t> </w:t>
      </w:r>
      <w:r>
        <w:rPr>
          <w:color w:val="231F20"/>
          <w:w w:val="105"/>
        </w:rPr>
        <w:t>información),</w:t>
      </w:r>
      <w:r>
        <w:rPr>
          <w:color w:val="231F20"/>
          <w:spacing w:val="-25"/>
          <w:w w:val="105"/>
        </w:rPr>
        <w:t> </w:t>
      </w:r>
      <w:r>
        <w:rPr>
          <w:color w:val="231F20"/>
          <w:w w:val="105"/>
        </w:rPr>
        <w:t>la</w:t>
      </w:r>
      <w:r>
        <w:rPr>
          <w:color w:val="231F20"/>
          <w:spacing w:val="-25"/>
          <w:w w:val="105"/>
        </w:rPr>
        <w:t> </w:t>
      </w:r>
      <w:r>
        <w:rPr>
          <w:color w:val="231F20"/>
          <w:w w:val="105"/>
        </w:rPr>
        <w:t>modernización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hacienda</w:t>
      </w:r>
      <w:r>
        <w:rPr>
          <w:color w:val="231F20"/>
          <w:spacing w:val="-25"/>
          <w:w w:val="105"/>
        </w:rPr>
        <w:t> </w:t>
      </w:r>
      <w:r>
        <w:rPr>
          <w:color w:val="231F20"/>
          <w:w w:val="105"/>
        </w:rPr>
        <w:t>pública</w:t>
      </w:r>
      <w:r>
        <w:rPr>
          <w:color w:val="231F20"/>
          <w:spacing w:val="-25"/>
          <w:w w:val="105"/>
        </w:rPr>
        <w:t> </w:t>
      </w:r>
      <w:r>
        <w:rPr>
          <w:color w:val="231F20"/>
          <w:w w:val="105"/>
        </w:rPr>
        <w:t>municipal</w:t>
      </w:r>
      <w:r>
        <w:rPr>
          <w:color w:val="231F20"/>
          <w:spacing w:val="-25"/>
          <w:w w:val="105"/>
        </w:rPr>
        <w:t> </w:t>
      </w:r>
      <w:r>
        <w:rPr>
          <w:color w:val="231F20"/>
          <w:w w:val="105"/>
        </w:rPr>
        <w:t>(actualización del</w:t>
      </w:r>
      <w:r>
        <w:rPr>
          <w:color w:val="231F20"/>
          <w:spacing w:val="-20"/>
          <w:w w:val="105"/>
        </w:rPr>
        <w:t> </w:t>
      </w:r>
      <w:r>
        <w:rPr>
          <w:color w:val="231F20"/>
          <w:w w:val="105"/>
        </w:rPr>
        <w:t>marco</w:t>
      </w:r>
      <w:r>
        <w:rPr>
          <w:color w:val="231F20"/>
          <w:spacing w:val="-20"/>
          <w:w w:val="105"/>
        </w:rPr>
        <w:t> </w:t>
      </w:r>
      <w:r>
        <w:rPr>
          <w:color w:val="231F20"/>
          <w:w w:val="105"/>
        </w:rPr>
        <w:t>legal)</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modernización</w:t>
      </w:r>
      <w:r>
        <w:rPr>
          <w:color w:val="231F20"/>
          <w:spacing w:val="-20"/>
          <w:w w:val="105"/>
        </w:rPr>
        <w:t> </w:t>
      </w:r>
      <w:r>
        <w:rPr>
          <w:color w:val="231F20"/>
          <w:w w:val="105"/>
        </w:rPr>
        <w:t>financiera</w:t>
      </w:r>
      <w:r>
        <w:rPr>
          <w:color w:val="231F20"/>
          <w:spacing w:val="-20"/>
          <w:w w:val="105"/>
        </w:rPr>
        <w:t> </w:t>
      </w:r>
      <w:r>
        <w:rPr>
          <w:color w:val="231F20"/>
          <w:w w:val="105"/>
        </w:rPr>
        <w:t>(sistema</w:t>
      </w:r>
      <w:r>
        <w:rPr>
          <w:color w:val="231F20"/>
          <w:spacing w:val="-20"/>
          <w:w w:val="105"/>
        </w:rPr>
        <w:t> </w:t>
      </w:r>
      <w:r>
        <w:rPr>
          <w:color w:val="231F20"/>
          <w:w w:val="105"/>
        </w:rPr>
        <w:t>de</w:t>
      </w:r>
      <w:r>
        <w:rPr>
          <w:color w:val="231F20"/>
          <w:spacing w:val="-20"/>
          <w:w w:val="105"/>
        </w:rPr>
        <w:t> </w:t>
      </w:r>
      <w:r>
        <w:rPr>
          <w:color w:val="231F20"/>
          <w:w w:val="105"/>
        </w:rPr>
        <w:t>información</w:t>
      </w:r>
      <w:r>
        <w:rPr>
          <w:color w:val="231F20"/>
          <w:spacing w:val="-20"/>
          <w:w w:val="105"/>
        </w:rPr>
        <w:t> </w:t>
      </w:r>
      <w:r>
        <w:rPr>
          <w:color w:val="231F20"/>
          <w:w w:val="105"/>
        </w:rPr>
        <w:t>financiera).</w:t>
      </w:r>
    </w:p>
    <w:p>
      <w:pPr>
        <w:pStyle w:val="BodyText"/>
        <w:spacing w:before="1"/>
        <w:rPr>
          <w:sz w:val="26"/>
        </w:rPr>
      </w:pPr>
    </w:p>
    <w:p>
      <w:pPr>
        <w:pStyle w:val="BodyText"/>
        <w:spacing w:line="285" w:lineRule="auto"/>
        <w:ind w:left="110" w:right="108"/>
        <w:jc w:val="both"/>
      </w:pPr>
      <w:r>
        <w:rPr>
          <w:color w:val="231F20"/>
          <w:spacing w:val="-3"/>
          <w:w w:val="105"/>
        </w:rPr>
        <w:t>Por</w:t>
      </w:r>
      <w:r>
        <w:rPr>
          <w:color w:val="231F20"/>
          <w:spacing w:val="-7"/>
          <w:w w:val="105"/>
        </w:rPr>
        <w:t> </w:t>
      </w:r>
      <w:r>
        <w:rPr>
          <w:color w:val="231F20"/>
          <w:w w:val="105"/>
        </w:rPr>
        <w:t>lo</w:t>
      </w:r>
      <w:r>
        <w:rPr>
          <w:color w:val="231F20"/>
          <w:spacing w:val="-7"/>
          <w:w w:val="105"/>
        </w:rPr>
        <w:t> </w:t>
      </w:r>
      <w:r>
        <w:rPr>
          <w:color w:val="231F20"/>
          <w:spacing w:val="-3"/>
          <w:w w:val="105"/>
        </w:rPr>
        <w:t>anterior,</w:t>
      </w:r>
      <w:r>
        <w:rPr>
          <w:color w:val="231F20"/>
          <w:spacing w:val="-7"/>
          <w:w w:val="105"/>
        </w:rPr>
        <w:t> </w:t>
      </w:r>
      <w:r>
        <w:rPr>
          <w:color w:val="231F20"/>
          <w:w w:val="105"/>
        </w:rPr>
        <w:t>quizá</w:t>
      </w:r>
      <w:r>
        <w:rPr>
          <w:color w:val="231F20"/>
          <w:spacing w:val="-7"/>
          <w:w w:val="105"/>
        </w:rPr>
        <w:t> </w:t>
      </w:r>
      <w:r>
        <w:rPr>
          <w:color w:val="231F20"/>
          <w:w w:val="105"/>
        </w:rPr>
        <w:t>no</w:t>
      </w:r>
      <w:r>
        <w:rPr>
          <w:color w:val="231F20"/>
          <w:spacing w:val="-7"/>
          <w:w w:val="105"/>
        </w:rPr>
        <w:t> </w:t>
      </w:r>
      <w:r>
        <w:rPr>
          <w:color w:val="231F20"/>
          <w:w w:val="105"/>
        </w:rPr>
        <w:t>debamos</w:t>
      </w:r>
      <w:r>
        <w:rPr>
          <w:color w:val="231F20"/>
          <w:spacing w:val="-7"/>
          <w:w w:val="105"/>
        </w:rPr>
        <w:t> </w:t>
      </w:r>
      <w:r>
        <w:rPr>
          <w:color w:val="231F20"/>
          <w:w w:val="105"/>
        </w:rPr>
        <w:t>atribuir</w:t>
      </w:r>
      <w:r>
        <w:rPr>
          <w:color w:val="231F20"/>
          <w:spacing w:val="-7"/>
          <w:w w:val="105"/>
        </w:rPr>
        <w:t> </w:t>
      </w:r>
      <w:r>
        <w:rPr>
          <w:color w:val="231F20"/>
          <w:w w:val="105"/>
        </w:rPr>
        <w:t>del</w:t>
      </w:r>
      <w:r>
        <w:rPr>
          <w:color w:val="231F20"/>
          <w:spacing w:val="-7"/>
          <w:w w:val="105"/>
        </w:rPr>
        <w:t> </w:t>
      </w:r>
      <w:r>
        <w:rPr>
          <w:color w:val="231F20"/>
          <w:w w:val="105"/>
        </w:rPr>
        <w:t>todo</w:t>
      </w:r>
      <w:r>
        <w:rPr>
          <w:color w:val="231F20"/>
          <w:spacing w:val="-7"/>
          <w:w w:val="105"/>
        </w:rPr>
        <w:t> </w:t>
      </w:r>
      <w:r>
        <w:rPr>
          <w:color w:val="231F20"/>
          <w:w w:val="105"/>
        </w:rPr>
        <w:t>esta</w:t>
      </w:r>
      <w:r>
        <w:rPr>
          <w:color w:val="231F20"/>
          <w:spacing w:val="-7"/>
          <w:w w:val="105"/>
        </w:rPr>
        <w:t> </w:t>
      </w:r>
      <w:r>
        <w:rPr>
          <w:color w:val="231F20"/>
          <w:w w:val="105"/>
        </w:rPr>
        <w:t>modernización</w:t>
      </w:r>
      <w:r>
        <w:rPr>
          <w:color w:val="231F20"/>
          <w:spacing w:val="-7"/>
          <w:w w:val="105"/>
        </w:rPr>
        <w:t> </w:t>
      </w:r>
      <w:r>
        <w:rPr>
          <w:color w:val="231F20"/>
          <w:w w:val="105"/>
        </w:rPr>
        <w:t>exclusivamente </w:t>
      </w:r>
      <w:r>
        <w:rPr>
          <w:color w:val="231F20"/>
          <w:spacing w:val="2"/>
          <w:w w:val="105"/>
        </w:rPr>
        <w:t>al</w:t>
      </w:r>
      <w:r>
        <w:rPr>
          <w:color w:val="231F20"/>
          <w:spacing w:val="-7"/>
          <w:w w:val="105"/>
        </w:rPr>
        <w:t> </w:t>
      </w:r>
      <w:r>
        <w:rPr>
          <w:color w:val="231F20"/>
          <w:spacing w:val="-4"/>
          <w:w w:val="105"/>
        </w:rPr>
        <w:t>PAN,</w:t>
      </w:r>
      <w:r>
        <w:rPr>
          <w:color w:val="231F20"/>
          <w:spacing w:val="-7"/>
          <w:w w:val="105"/>
        </w:rPr>
        <w:t> </w:t>
      </w:r>
      <w:r>
        <w:rPr>
          <w:color w:val="231F20"/>
          <w:w w:val="105"/>
        </w:rPr>
        <w:t>debido</w:t>
      </w:r>
      <w:r>
        <w:rPr>
          <w:color w:val="231F20"/>
          <w:spacing w:val="-7"/>
          <w:w w:val="105"/>
        </w:rPr>
        <w:t> </w:t>
      </w:r>
      <w:r>
        <w:rPr>
          <w:color w:val="231F20"/>
          <w:w w:val="105"/>
        </w:rPr>
        <w:t>a</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vislumbran</w:t>
      </w:r>
      <w:r>
        <w:rPr>
          <w:color w:val="231F20"/>
          <w:spacing w:val="-7"/>
          <w:w w:val="105"/>
        </w:rPr>
        <w:t> </w:t>
      </w:r>
      <w:r>
        <w:rPr>
          <w:color w:val="231F20"/>
          <w:w w:val="105"/>
        </w:rPr>
        <w:t>rasgos</w:t>
      </w:r>
      <w:r>
        <w:rPr>
          <w:color w:val="231F20"/>
          <w:spacing w:val="-7"/>
          <w:w w:val="105"/>
        </w:rPr>
        <w:t> </w:t>
      </w:r>
      <w:r>
        <w:rPr>
          <w:color w:val="231F20"/>
          <w:w w:val="105"/>
        </w:rPr>
        <w:t>de</w:t>
      </w:r>
      <w:r>
        <w:rPr>
          <w:color w:val="231F20"/>
          <w:spacing w:val="-7"/>
          <w:w w:val="105"/>
        </w:rPr>
        <w:t> </w:t>
      </w:r>
      <w:r>
        <w:rPr>
          <w:color w:val="231F20"/>
          <w:w w:val="105"/>
        </w:rPr>
        <w:t>estos</w:t>
      </w:r>
      <w:r>
        <w:rPr>
          <w:color w:val="231F20"/>
          <w:spacing w:val="-7"/>
          <w:w w:val="105"/>
        </w:rPr>
        <w:t> </w:t>
      </w:r>
      <w:r>
        <w:rPr>
          <w:color w:val="231F20"/>
          <w:w w:val="105"/>
        </w:rPr>
        <w:t>intentos</w:t>
      </w:r>
      <w:r>
        <w:rPr>
          <w:color w:val="231F20"/>
          <w:spacing w:val="-7"/>
          <w:w w:val="105"/>
        </w:rPr>
        <w:t> </w:t>
      </w:r>
      <w:r>
        <w:rPr>
          <w:color w:val="231F20"/>
          <w:w w:val="105"/>
        </w:rPr>
        <w:t>en</w:t>
      </w:r>
      <w:r>
        <w:rPr>
          <w:color w:val="231F20"/>
          <w:spacing w:val="-7"/>
          <w:w w:val="105"/>
        </w:rPr>
        <w:t> </w:t>
      </w:r>
      <w:r>
        <w:rPr>
          <w:color w:val="231F20"/>
          <w:w w:val="105"/>
        </w:rPr>
        <w:t>gestiones</w:t>
      </w:r>
      <w:r>
        <w:rPr>
          <w:color w:val="231F20"/>
          <w:spacing w:val="-7"/>
          <w:w w:val="105"/>
        </w:rPr>
        <w:t> </w:t>
      </w:r>
      <w:r>
        <w:rPr>
          <w:color w:val="231F20"/>
          <w:w w:val="105"/>
        </w:rPr>
        <w:t>priístas.</w:t>
      </w:r>
      <w:r>
        <w:rPr>
          <w:color w:val="231F20"/>
          <w:spacing w:val="-7"/>
          <w:w w:val="105"/>
        </w:rPr>
        <w:t> </w:t>
      </w:r>
      <w:r>
        <w:rPr>
          <w:color w:val="231F20"/>
          <w:w w:val="105"/>
        </w:rPr>
        <w:t>Esto nos podría llevar a apuntar como origen de estos procesos: </w:t>
      </w:r>
      <w:r>
        <w:rPr>
          <w:color w:val="231F20"/>
          <w:spacing w:val="-7"/>
          <w:w w:val="105"/>
        </w:rPr>
        <w:t>1) </w:t>
      </w:r>
      <w:r>
        <w:rPr>
          <w:color w:val="231F20"/>
          <w:w w:val="105"/>
        </w:rPr>
        <w:t>la modernización admi- nistrativa</w:t>
      </w:r>
      <w:r>
        <w:rPr>
          <w:color w:val="231F20"/>
          <w:spacing w:val="-10"/>
          <w:w w:val="105"/>
        </w:rPr>
        <w:t> </w:t>
      </w:r>
      <w:r>
        <w:rPr>
          <w:color w:val="231F20"/>
          <w:w w:val="105"/>
        </w:rPr>
        <w:t>provocada</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situación</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contexto</w:t>
      </w:r>
      <w:r>
        <w:rPr>
          <w:color w:val="231F20"/>
          <w:spacing w:val="-10"/>
          <w:w w:val="105"/>
        </w:rPr>
        <w:t> </w:t>
      </w:r>
      <w:r>
        <w:rPr>
          <w:color w:val="231F20"/>
          <w:w w:val="105"/>
        </w:rPr>
        <w:t>del</w:t>
      </w:r>
      <w:r>
        <w:rPr>
          <w:color w:val="231F20"/>
          <w:spacing w:val="-10"/>
          <w:w w:val="105"/>
        </w:rPr>
        <w:t> </w:t>
      </w:r>
      <w:r>
        <w:rPr>
          <w:color w:val="231F20"/>
          <w:w w:val="105"/>
        </w:rPr>
        <w:t>municipio,</w:t>
      </w:r>
      <w:r>
        <w:rPr>
          <w:color w:val="231F20"/>
          <w:spacing w:val="-10"/>
          <w:w w:val="105"/>
        </w:rPr>
        <w:t> </w:t>
      </w:r>
      <w:r>
        <w:rPr>
          <w:color w:val="231F20"/>
          <w:w w:val="105"/>
        </w:rPr>
        <w:t>esto</w:t>
      </w:r>
      <w:r>
        <w:rPr>
          <w:color w:val="231F20"/>
          <w:spacing w:val="-10"/>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municipio metropolitano, aunado a las demandas de un cierto tipo de ciudadanía más exigente</w:t>
      </w:r>
      <w:r>
        <w:rPr>
          <w:color w:val="231F20"/>
          <w:spacing w:val="-37"/>
          <w:w w:val="105"/>
        </w:rPr>
        <w:t> </w:t>
      </w:r>
      <w:r>
        <w:rPr>
          <w:color w:val="231F20"/>
          <w:w w:val="105"/>
        </w:rPr>
        <w:t>y;</w:t>
      </w:r>
    </w:p>
    <w:p>
      <w:pPr>
        <w:pStyle w:val="BodyText"/>
        <w:spacing w:before="1"/>
        <w:ind w:left="110"/>
        <w:jc w:val="both"/>
      </w:pPr>
      <w:r>
        <w:rPr>
          <w:color w:val="231F20"/>
        </w:rPr>
        <w:t>2) el impulso hacia la eficiencia, fruto de la plataforma del   partido.</w:t>
      </w:r>
    </w:p>
    <w:p>
      <w:pPr>
        <w:pStyle w:val="BodyText"/>
        <w:spacing w:before="2"/>
        <w:rPr>
          <w:sz w:val="30"/>
        </w:rPr>
      </w:pPr>
    </w:p>
    <w:p>
      <w:pPr>
        <w:pStyle w:val="BodyText"/>
        <w:spacing w:line="285" w:lineRule="auto"/>
        <w:ind w:left="110" w:right="108"/>
        <w:jc w:val="both"/>
        <w:rPr>
          <w:sz w:val="13"/>
        </w:rPr>
      </w:pPr>
      <w:r>
        <w:rPr>
          <w:color w:val="231F20"/>
          <w:w w:val="105"/>
        </w:rPr>
        <w:t>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encabezado</w:t>
      </w:r>
      <w:r>
        <w:rPr>
          <w:color w:val="231F20"/>
          <w:spacing w:val="-12"/>
          <w:w w:val="105"/>
        </w:rPr>
        <w:t> </w:t>
      </w:r>
      <w:r>
        <w:rPr>
          <w:color w:val="231F20"/>
          <w:w w:val="105"/>
        </w:rPr>
        <w:t>por</w:t>
      </w:r>
      <w:r>
        <w:rPr>
          <w:color w:val="231F20"/>
          <w:spacing w:val="-12"/>
          <w:w w:val="105"/>
        </w:rPr>
        <w:t> </w:t>
      </w:r>
      <w:r>
        <w:rPr>
          <w:color w:val="231F20"/>
          <w:w w:val="105"/>
        </w:rPr>
        <w:t>Mendoza</w:t>
      </w:r>
      <w:r>
        <w:rPr>
          <w:color w:val="231F20"/>
          <w:spacing w:val="-12"/>
          <w:w w:val="105"/>
        </w:rPr>
        <w:t> </w:t>
      </w:r>
      <w:r>
        <w:rPr>
          <w:color w:val="231F20"/>
          <w:w w:val="105"/>
        </w:rPr>
        <w:t>Ayala,</w:t>
      </w:r>
      <w:r>
        <w:rPr>
          <w:color w:val="231F20"/>
          <w:spacing w:val="-12"/>
          <w:w w:val="105"/>
        </w:rPr>
        <w:t> </w:t>
      </w:r>
      <w:r>
        <w:rPr>
          <w:color w:val="231F20"/>
          <w:w w:val="105"/>
        </w:rPr>
        <w:t>tuvo</w:t>
      </w:r>
      <w:r>
        <w:rPr>
          <w:color w:val="231F20"/>
          <w:spacing w:val="-12"/>
          <w:w w:val="105"/>
        </w:rPr>
        <w:t> </w:t>
      </w:r>
      <w:r>
        <w:rPr>
          <w:color w:val="231F20"/>
          <w:w w:val="105"/>
        </w:rPr>
        <w:t>un</w:t>
      </w:r>
      <w:r>
        <w:rPr>
          <w:color w:val="231F20"/>
          <w:spacing w:val="-12"/>
          <w:w w:val="105"/>
        </w:rPr>
        <w:t> </w:t>
      </w:r>
      <w:r>
        <w:rPr>
          <w:color w:val="231F20"/>
          <w:w w:val="105"/>
        </w:rPr>
        <w:t>gran</w:t>
      </w:r>
      <w:r>
        <w:rPr>
          <w:color w:val="231F20"/>
          <w:spacing w:val="-12"/>
          <w:w w:val="105"/>
        </w:rPr>
        <w:t> </w:t>
      </w:r>
      <w:r>
        <w:rPr>
          <w:color w:val="231F20"/>
          <w:w w:val="105"/>
        </w:rPr>
        <w:t>interés</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me- jora administrativa y los procesos de calidad hacia el ciudadano, impulsando nuevas herramientas,</w:t>
      </w:r>
      <w:r>
        <w:rPr>
          <w:color w:val="231F20"/>
          <w:spacing w:val="-12"/>
          <w:w w:val="105"/>
        </w:rPr>
        <w:t> </w:t>
      </w:r>
      <w:r>
        <w:rPr>
          <w:color w:val="231F20"/>
          <w:w w:val="105"/>
        </w:rPr>
        <w:t>tales</w:t>
      </w:r>
      <w:r>
        <w:rPr>
          <w:color w:val="231F20"/>
          <w:spacing w:val="-12"/>
          <w:w w:val="105"/>
        </w:rPr>
        <w:t> </w:t>
      </w:r>
      <w:r>
        <w:rPr>
          <w:color w:val="231F20"/>
          <w:w w:val="105"/>
        </w:rPr>
        <w:t>como</w:t>
      </w:r>
      <w:r>
        <w:rPr>
          <w:color w:val="231F20"/>
          <w:spacing w:val="-12"/>
          <w:w w:val="105"/>
        </w:rPr>
        <w:t> </w:t>
      </w:r>
      <w:r>
        <w:rPr>
          <w:color w:val="231F20"/>
          <w:w w:val="105"/>
        </w:rPr>
        <w:t>las</w:t>
      </w:r>
      <w:r>
        <w:rPr>
          <w:color w:val="231F20"/>
          <w:spacing w:val="-12"/>
          <w:w w:val="105"/>
        </w:rPr>
        <w:t> </w:t>
      </w:r>
      <w:r>
        <w:rPr>
          <w:color w:val="231F20"/>
          <w:w w:val="105"/>
        </w:rPr>
        <w:t>informáticas</w:t>
      </w:r>
      <w:r>
        <w:rPr>
          <w:color w:val="231F20"/>
          <w:w w:val="105"/>
          <w:position w:val="7"/>
          <w:sz w:val="13"/>
        </w:rPr>
        <w:t>15.</w:t>
      </w:r>
    </w:p>
    <w:p>
      <w:pPr>
        <w:pStyle w:val="BodyText"/>
        <w:rPr>
          <w:sz w:val="26"/>
        </w:rPr>
      </w:pPr>
    </w:p>
    <w:p>
      <w:pPr>
        <w:pStyle w:val="BodyText"/>
        <w:spacing w:before="1"/>
        <w:ind w:left="110"/>
        <w:jc w:val="both"/>
      </w:pPr>
      <w:r>
        <w:rPr>
          <w:color w:val="231F20"/>
          <w:w w:val="105"/>
        </w:rPr>
        <w:t>Para</w:t>
      </w:r>
      <w:r>
        <w:rPr>
          <w:color w:val="231F20"/>
          <w:spacing w:val="-20"/>
          <w:w w:val="105"/>
        </w:rPr>
        <w:t> </w:t>
      </w:r>
      <w:r>
        <w:rPr>
          <w:color w:val="231F20"/>
          <w:spacing w:val="-3"/>
          <w:w w:val="105"/>
        </w:rPr>
        <w:t>gestión</w:t>
      </w:r>
      <w:r>
        <w:rPr>
          <w:color w:val="231F20"/>
          <w:spacing w:val="-20"/>
          <w:w w:val="105"/>
        </w:rPr>
        <w:t> </w:t>
      </w:r>
      <w:r>
        <w:rPr>
          <w:color w:val="231F20"/>
          <w:spacing w:val="-3"/>
          <w:w w:val="105"/>
        </w:rPr>
        <w:t>del</w:t>
      </w:r>
      <w:r>
        <w:rPr>
          <w:color w:val="231F20"/>
          <w:spacing w:val="-20"/>
          <w:w w:val="105"/>
        </w:rPr>
        <w:t> </w:t>
      </w:r>
      <w:r>
        <w:rPr>
          <w:color w:val="231F20"/>
          <w:w w:val="105"/>
        </w:rPr>
        <w:t>2000–2003,</w:t>
      </w:r>
      <w:r>
        <w:rPr>
          <w:color w:val="231F20"/>
          <w:spacing w:val="-20"/>
          <w:w w:val="105"/>
        </w:rPr>
        <w:t> </w:t>
      </w:r>
      <w:r>
        <w:rPr>
          <w:color w:val="231F20"/>
          <w:w w:val="105"/>
        </w:rPr>
        <w:t>una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virtudes</w:t>
      </w:r>
      <w:r>
        <w:rPr>
          <w:color w:val="231F20"/>
          <w:spacing w:val="-20"/>
          <w:w w:val="105"/>
        </w:rPr>
        <w:t> </w:t>
      </w:r>
      <w:r>
        <w:rPr>
          <w:color w:val="231F20"/>
          <w:spacing w:val="-3"/>
          <w:w w:val="105"/>
        </w:rPr>
        <w:t>del</w:t>
      </w:r>
      <w:r>
        <w:rPr>
          <w:color w:val="231F20"/>
          <w:spacing w:val="-20"/>
          <w:w w:val="105"/>
        </w:rPr>
        <w:t> </w:t>
      </w:r>
      <w:r>
        <w:rPr>
          <w:color w:val="231F20"/>
          <w:spacing w:val="-5"/>
          <w:w w:val="105"/>
        </w:rPr>
        <w:t>e-Gobierno</w:t>
      </w:r>
      <w:r>
        <w:rPr>
          <w:color w:val="231F20"/>
          <w:spacing w:val="-5"/>
          <w:w w:val="105"/>
          <w:position w:val="7"/>
          <w:sz w:val="13"/>
        </w:rPr>
        <w:t>16</w:t>
      </w:r>
      <w:r>
        <w:rPr>
          <w:color w:val="231F20"/>
          <w:spacing w:val="4"/>
          <w:w w:val="105"/>
          <w:position w:val="7"/>
          <w:sz w:val="13"/>
        </w:rPr>
        <w:t> </w:t>
      </w:r>
      <w:r>
        <w:rPr>
          <w:color w:val="231F20"/>
          <w:w w:val="105"/>
        </w:rPr>
        <w:t>es</w:t>
      </w:r>
      <w:r>
        <w:rPr>
          <w:color w:val="231F20"/>
          <w:spacing w:val="-20"/>
          <w:w w:val="105"/>
        </w:rPr>
        <w:t> </w:t>
      </w:r>
      <w:r>
        <w:rPr>
          <w:color w:val="231F20"/>
          <w:spacing w:val="-3"/>
          <w:w w:val="105"/>
        </w:rPr>
        <w:t>que</w:t>
      </w:r>
      <w:r>
        <w:rPr>
          <w:color w:val="231F20"/>
          <w:spacing w:val="-20"/>
          <w:w w:val="105"/>
        </w:rPr>
        <w:t> </w:t>
      </w:r>
      <w:r>
        <w:rPr>
          <w:color w:val="231F20"/>
          <w:w w:val="105"/>
        </w:rPr>
        <w:t>es</w:t>
      </w:r>
      <w:r>
        <w:rPr>
          <w:color w:val="231F20"/>
          <w:spacing w:val="-20"/>
          <w:w w:val="105"/>
        </w:rPr>
        <w:t> </w:t>
      </w:r>
      <w:r>
        <w:rPr>
          <w:color w:val="231F20"/>
          <w:w w:val="105"/>
        </w:rPr>
        <w:t>un</w:t>
      </w:r>
      <w:r>
        <w:rPr>
          <w:color w:val="231F20"/>
          <w:spacing w:val="-20"/>
          <w:w w:val="105"/>
        </w:rPr>
        <w:t> </w:t>
      </w:r>
      <w:r>
        <w:rPr>
          <w:color w:val="231F20"/>
          <w:w w:val="105"/>
        </w:rPr>
        <w:t>mecanismo</w:t>
      </w:r>
    </w:p>
    <w:p>
      <w:pPr>
        <w:pStyle w:val="BodyText"/>
        <w:spacing w:before="11"/>
        <w:rPr>
          <w:sz w:val="8"/>
        </w:rPr>
      </w:pPr>
      <w:r>
        <w:rPr/>
        <w:pict>
          <v:line style="position:absolute;mso-position-horizontal-relative:page;mso-position-vertical-relative:paragraph;z-index:10552;mso-wrap-distance-left:0;mso-wrap-distance-right:0" from="42.519699pt,7.623199pt" to="114.519699pt,7.623199pt" stroked="true" strokeweight="1pt" strokecolor="#231f20">
            <w10:wrap type="topAndBottom"/>
          </v:line>
        </w:pict>
      </w:r>
    </w:p>
    <w:p>
      <w:pPr>
        <w:pStyle w:val="ListParagraph"/>
        <w:numPr>
          <w:ilvl w:val="0"/>
          <w:numId w:val="15"/>
        </w:numPr>
        <w:tabs>
          <w:tab w:pos="340" w:val="left" w:leader="none"/>
        </w:tabs>
        <w:spacing w:line="244" w:lineRule="auto" w:before="8" w:after="0"/>
        <w:ind w:left="110" w:right="107" w:firstLine="0"/>
        <w:jc w:val="both"/>
        <w:rPr>
          <w:sz w:val="16"/>
        </w:rPr>
      </w:pPr>
      <w:r>
        <w:rPr>
          <w:color w:val="231F20"/>
          <w:sz w:val="16"/>
        </w:rPr>
        <w:t>“hemos entendido las necesidades de los nuevos tiempos y hemos aprendido que la Administración debe acercarse al Ciudadano y garantizarle una atención oportuna, que facilite su participación y que fortalezca su compromiso social. Por ello,</w:t>
      </w:r>
      <w:r>
        <w:rPr>
          <w:color w:val="231F20"/>
          <w:spacing w:val="-12"/>
          <w:sz w:val="16"/>
        </w:rPr>
        <w:t> </w:t>
      </w:r>
      <w:r>
        <w:rPr>
          <w:color w:val="231F20"/>
          <w:sz w:val="16"/>
        </w:rPr>
        <w:t>la</w:t>
      </w:r>
      <w:r>
        <w:rPr>
          <w:color w:val="231F20"/>
          <w:spacing w:val="-12"/>
          <w:sz w:val="16"/>
        </w:rPr>
        <w:t> </w:t>
      </w:r>
      <w:r>
        <w:rPr>
          <w:color w:val="231F20"/>
          <w:sz w:val="16"/>
        </w:rPr>
        <w:t>implantación</w:t>
      </w:r>
      <w:r>
        <w:rPr>
          <w:color w:val="231F20"/>
          <w:spacing w:val="-12"/>
          <w:sz w:val="16"/>
        </w:rPr>
        <w:t> </w:t>
      </w:r>
      <w:r>
        <w:rPr>
          <w:color w:val="231F20"/>
          <w:sz w:val="16"/>
        </w:rPr>
        <w:t>de</w:t>
      </w:r>
      <w:r>
        <w:rPr>
          <w:color w:val="231F20"/>
          <w:spacing w:val="-12"/>
          <w:sz w:val="16"/>
        </w:rPr>
        <w:t> </w:t>
      </w:r>
      <w:r>
        <w:rPr>
          <w:color w:val="231F20"/>
          <w:sz w:val="16"/>
        </w:rPr>
        <w:t>sistemas</w:t>
      </w:r>
      <w:r>
        <w:rPr>
          <w:color w:val="231F20"/>
          <w:spacing w:val="-12"/>
          <w:sz w:val="16"/>
        </w:rPr>
        <w:t> </w:t>
      </w:r>
      <w:r>
        <w:rPr>
          <w:color w:val="231F20"/>
          <w:sz w:val="16"/>
        </w:rPr>
        <w:t>informáticos</w:t>
      </w:r>
      <w:r>
        <w:rPr>
          <w:color w:val="231F20"/>
          <w:spacing w:val="-12"/>
          <w:sz w:val="16"/>
        </w:rPr>
        <w:t> </w:t>
      </w:r>
      <w:r>
        <w:rPr>
          <w:color w:val="231F20"/>
          <w:sz w:val="16"/>
        </w:rPr>
        <w:t>se</w:t>
      </w:r>
      <w:r>
        <w:rPr>
          <w:color w:val="231F20"/>
          <w:spacing w:val="-12"/>
          <w:sz w:val="16"/>
        </w:rPr>
        <w:t> </w:t>
      </w:r>
      <w:r>
        <w:rPr>
          <w:color w:val="231F20"/>
          <w:sz w:val="16"/>
        </w:rPr>
        <w:t>ha</w:t>
      </w:r>
      <w:r>
        <w:rPr>
          <w:color w:val="231F20"/>
          <w:spacing w:val="-12"/>
          <w:sz w:val="16"/>
        </w:rPr>
        <w:t> </w:t>
      </w:r>
      <w:r>
        <w:rPr>
          <w:color w:val="231F20"/>
          <w:sz w:val="16"/>
        </w:rPr>
        <w:t>convertido</w:t>
      </w:r>
      <w:r>
        <w:rPr>
          <w:color w:val="231F20"/>
          <w:spacing w:val="-12"/>
          <w:sz w:val="16"/>
        </w:rPr>
        <w:t> </w:t>
      </w:r>
      <w:r>
        <w:rPr>
          <w:color w:val="231F20"/>
          <w:sz w:val="16"/>
        </w:rPr>
        <w:t>en</w:t>
      </w:r>
      <w:r>
        <w:rPr>
          <w:color w:val="231F20"/>
          <w:spacing w:val="-12"/>
          <w:sz w:val="16"/>
        </w:rPr>
        <w:t> </w:t>
      </w:r>
      <w:r>
        <w:rPr>
          <w:color w:val="231F20"/>
          <w:sz w:val="16"/>
        </w:rPr>
        <w:t>un</w:t>
      </w:r>
      <w:r>
        <w:rPr>
          <w:color w:val="231F20"/>
          <w:spacing w:val="-12"/>
          <w:sz w:val="16"/>
        </w:rPr>
        <w:t> </w:t>
      </w:r>
      <w:r>
        <w:rPr>
          <w:color w:val="231F20"/>
          <w:sz w:val="16"/>
        </w:rPr>
        <w:t>renglón</w:t>
      </w:r>
      <w:r>
        <w:rPr>
          <w:color w:val="231F20"/>
          <w:spacing w:val="-12"/>
          <w:sz w:val="16"/>
        </w:rPr>
        <w:t> </w:t>
      </w:r>
      <w:r>
        <w:rPr>
          <w:color w:val="231F20"/>
          <w:sz w:val="16"/>
        </w:rPr>
        <w:t>estratégico</w:t>
      </w:r>
      <w:r>
        <w:rPr>
          <w:color w:val="231F20"/>
          <w:spacing w:val="-12"/>
          <w:sz w:val="16"/>
        </w:rPr>
        <w:t> </w:t>
      </w:r>
      <w:r>
        <w:rPr>
          <w:color w:val="231F20"/>
          <w:sz w:val="16"/>
        </w:rPr>
        <w:t>en</w:t>
      </w:r>
      <w:r>
        <w:rPr>
          <w:color w:val="231F20"/>
          <w:spacing w:val="-12"/>
          <w:sz w:val="16"/>
        </w:rPr>
        <w:t> </w:t>
      </w:r>
      <w:r>
        <w:rPr>
          <w:color w:val="231F20"/>
          <w:sz w:val="16"/>
        </w:rPr>
        <w:t>este</w:t>
      </w:r>
      <w:r>
        <w:rPr>
          <w:color w:val="231F20"/>
          <w:spacing w:val="-12"/>
          <w:sz w:val="16"/>
        </w:rPr>
        <w:t> </w:t>
      </w:r>
      <w:r>
        <w:rPr>
          <w:color w:val="231F20"/>
          <w:sz w:val="16"/>
        </w:rPr>
        <w:t>periodo</w:t>
      </w:r>
      <w:r>
        <w:rPr>
          <w:color w:val="231F20"/>
          <w:spacing w:val="-12"/>
          <w:sz w:val="16"/>
        </w:rPr>
        <w:t> </w:t>
      </w:r>
      <w:r>
        <w:rPr>
          <w:color w:val="231F20"/>
          <w:sz w:val="16"/>
        </w:rPr>
        <w:t>de</w:t>
      </w:r>
      <w:r>
        <w:rPr>
          <w:color w:val="231F20"/>
          <w:spacing w:val="-12"/>
          <w:sz w:val="16"/>
        </w:rPr>
        <w:t> </w:t>
      </w:r>
      <w:r>
        <w:rPr>
          <w:color w:val="231F20"/>
          <w:sz w:val="16"/>
        </w:rPr>
        <w:t>Gobierno</w:t>
      </w:r>
      <w:r>
        <w:rPr>
          <w:color w:val="231F20"/>
          <w:spacing w:val="-12"/>
          <w:sz w:val="16"/>
        </w:rPr>
        <w:t> </w:t>
      </w:r>
      <w:r>
        <w:rPr>
          <w:color w:val="231F20"/>
          <w:spacing w:val="2"/>
          <w:sz w:val="16"/>
        </w:rPr>
        <w:t>2000- </w:t>
      </w:r>
      <w:r>
        <w:rPr>
          <w:color w:val="231F20"/>
          <w:spacing w:val="-2"/>
          <w:sz w:val="16"/>
        </w:rPr>
        <w:t>2003”. </w:t>
      </w:r>
      <w:r>
        <w:rPr>
          <w:color w:val="231F20"/>
          <w:sz w:val="16"/>
        </w:rPr>
        <w:t>De ahí que una de las grandes apuestas de esta gestión haya sido el e-Gobierno (Gobierno Electrónico). MENDOZA </w:t>
      </w:r>
      <w:r>
        <w:rPr>
          <w:color w:val="231F20"/>
          <w:spacing w:val="-3"/>
          <w:sz w:val="16"/>
        </w:rPr>
        <w:t>AYALA,</w:t>
      </w:r>
      <w:r>
        <w:rPr>
          <w:color w:val="231F20"/>
          <w:spacing w:val="-6"/>
          <w:sz w:val="16"/>
        </w:rPr>
        <w:t> </w:t>
      </w:r>
      <w:r>
        <w:rPr>
          <w:color w:val="231F20"/>
          <w:sz w:val="16"/>
        </w:rPr>
        <w:t>Rubén</w:t>
      </w:r>
      <w:r>
        <w:rPr>
          <w:color w:val="231F20"/>
          <w:spacing w:val="-6"/>
          <w:sz w:val="16"/>
        </w:rPr>
        <w:t> </w:t>
      </w:r>
      <w:r>
        <w:rPr>
          <w:color w:val="231F20"/>
          <w:sz w:val="16"/>
        </w:rPr>
        <w:t>y</w:t>
      </w:r>
      <w:r>
        <w:rPr>
          <w:color w:val="231F20"/>
          <w:spacing w:val="-6"/>
          <w:sz w:val="16"/>
        </w:rPr>
        <w:t> </w:t>
      </w:r>
      <w:r>
        <w:rPr>
          <w:color w:val="231F20"/>
          <w:sz w:val="16"/>
        </w:rPr>
        <w:t>Teresa</w:t>
      </w:r>
      <w:r>
        <w:rPr>
          <w:color w:val="231F20"/>
          <w:spacing w:val="-6"/>
          <w:sz w:val="16"/>
        </w:rPr>
        <w:t> </w:t>
      </w:r>
      <w:r>
        <w:rPr>
          <w:color w:val="231F20"/>
          <w:sz w:val="16"/>
        </w:rPr>
        <w:t>GARDUÑO</w:t>
      </w:r>
      <w:r>
        <w:rPr>
          <w:color w:val="231F20"/>
          <w:spacing w:val="-6"/>
          <w:sz w:val="16"/>
        </w:rPr>
        <w:t> </w:t>
      </w:r>
      <w:r>
        <w:rPr>
          <w:color w:val="231F20"/>
          <w:sz w:val="16"/>
        </w:rPr>
        <w:t>SUÁREZ,</w:t>
      </w:r>
      <w:r>
        <w:rPr>
          <w:color w:val="231F20"/>
          <w:spacing w:val="-6"/>
          <w:sz w:val="16"/>
        </w:rPr>
        <w:t> </w:t>
      </w:r>
      <w:r>
        <w:rPr>
          <w:color w:val="231F20"/>
          <w:sz w:val="16"/>
        </w:rPr>
        <w:t>Un</w:t>
      </w:r>
      <w:r>
        <w:rPr>
          <w:color w:val="231F20"/>
          <w:spacing w:val="-6"/>
          <w:sz w:val="16"/>
        </w:rPr>
        <w:t> </w:t>
      </w:r>
      <w:r>
        <w:rPr>
          <w:color w:val="231F20"/>
          <w:sz w:val="16"/>
        </w:rPr>
        <w:t>modelo</w:t>
      </w:r>
      <w:r>
        <w:rPr>
          <w:color w:val="231F20"/>
          <w:spacing w:val="-6"/>
          <w:sz w:val="16"/>
        </w:rPr>
        <w:t> </w:t>
      </w:r>
      <w:r>
        <w:rPr>
          <w:color w:val="231F20"/>
          <w:sz w:val="16"/>
        </w:rPr>
        <w:t>de</w:t>
      </w:r>
      <w:r>
        <w:rPr>
          <w:color w:val="231F20"/>
          <w:spacing w:val="-6"/>
          <w:sz w:val="16"/>
        </w:rPr>
        <w:t> </w:t>
      </w:r>
      <w:r>
        <w:rPr>
          <w:color w:val="231F20"/>
          <w:sz w:val="16"/>
        </w:rPr>
        <w:t>nueva</w:t>
      </w:r>
      <w:r>
        <w:rPr>
          <w:color w:val="231F20"/>
          <w:spacing w:val="-6"/>
          <w:sz w:val="16"/>
        </w:rPr>
        <w:t> </w:t>
      </w:r>
      <w:r>
        <w:rPr>
          <w:color w:val="231F20"/>
          <w:sz w:val="16"/>
        </w:rPr>
        <w:t>gestión</w:t>
      </w:r>
      <w:r>
        <w:rPr>
          <w:color w:val="231F20"/>
          <w:spacing w:val="-6"/>
          <w:sz w:val="16"/>
        </w:rPr>
        <w:t> </w:t>
      </w:r>
      <w:r>
        <w:rPr>
          <w:color w:val="231F20"/>
          <w:sz w:val="16"/>
        </w:rPr>
        <w:t>gubernamental.</w:t>
      </w:r>
      <w:r>
        <w:rPr>
          <w:color w:val="231F20"/>
          <w:spacing w:val="-6"/>
          <w:sz w:val="16"/>
        </w:rPr>
        <w:t> </w:t>
      </w:r>
      <w:r>
        <w:rPr>
          <w:color w:val="231F20"/>
          <w:sz w:val="16"/>
        </w:rPr>
        <w:t>El</w:t>
      </w:r>
      <w:r>
        <w:rPr>
          <w:color w:val="231F20"/>
          <w:spacing w:val="-6"/>
          <w:sz w:val="16"/>
        </w:rPr>
        <w:t> </w:t>
      </w:r>
      <w:r>
        <w:rPr>
          <w:color w:val="231F20"/>
          <w:sz w:val="16"/>
        </w:rPr>
        <w:t>gobierno</w:t>
      </w:r>
      <w:r>
        <w:rPr>
          <w:color w:val="231F20"/>
          <w:spacing w:val="-6"/>
          <w:sz w:val="16"/>
        </w:rPr>
        <w:t> </w:t>
      </w:r>
      <w:r>
        <w:rPr>
          <w:color w:val="231F20"/>
          <w:sz w:val="16"/>
        </w:rPr>
        <w:t>electrónico</w:t>
      </w:r>
      <w:r>
        <w:rPr>
          <w:color w:val="231F20"/>
          <w:spacing w:val="-6"/>
          <w:sz w:val="16"/>
        </w:rPr>
        <w:t> </w:t>
      </w:r>
      <w:r>
        <w:rPr>
          <w:color w:val="231F20"/>
          <w:sz w:val="16"/>
        </w:rPr>
        <w:t>al</w:t>
      </w:r>
      <w:r>
        <w:rPr>
          <w:color w:val="231F20"/>
          <w:spacing w:val="-6"/>
          <w:sz w:val="16"/>
        </w:rPr>
        <w:t> </w:t>
      </w:r>
      <w:r>
        <w:rPr>
          <w:color w:val="231F20"/>
          <w:sz w:val="16"/>
        </w:rPr>
        <w:t>servicio de</w:t>
      </w:r>
      <w:r>
        <w:rPr>
          <w:color w:val="231F20"/>
          <w:spacing w:val="-13"/>
          <w:sz w:val="16"/>
        </w:rPr>
        <w:t> </w:t>
      </w:r>
      <w:r>
        <w:rPr>
          <w:color w:val="231F20"/>
          <w:sz w:val="16"/>
        </w:rPr>
        <w:t>los</w:t>
      </w:r>
      <w:r>
        <w:rPr>
          <w:color w:val="231F20"/>
          <w:spacing w:val="-13"/>
          <w:sz w:val="16"/>
        </w:rPr>
        <w:t> </w:t>
      </w:r>
      <w:r>
        <w:rPr>
          <w:color w:val="231F20"/>
          <w:sz w:val="16"/>
        </w:rPr>
        <w:t>ciudadanos,</w:t>
      </w:r>
      <w:r>
        <w:rPr>
          <w:color w:val="231F20"/>
          <w:spacing w:val="-13"/>
          <w:sz w:val="16"/>
        </w:rPr>
        <w:t> </w:t>
      </w:r>
      <w:r>
        <w:rPr>
          <w:color w:val="231F20"/>
          <w:sz w:val="16"/>
        </w:rPr>
        <w:t>p.</w:t>
      </w:r>
      <w:r>
        <w:rPr>
          <w:color w:val="231F20"/>
          <w:spacing w:val="-13"/>
          <w:sz w:val="16"/>
        </w:rPr>
        <w:t> </w:t>
      </w:r>
      <w:r>
        <w:rPr>
          <w:color w:val="231F20"/>
          <w:spacing w:val="-3"/>
          <w:sz w:val="16"/>
        </w:rPr>
        <w:t>109.</w:t>
      </w:r>
    </w:p>
    <w:p>
      <w:pPr>
        <w:pStyle w:val="ListParagraph"/>
        <w:numPr>
          <w:ilvl w:val="0"/>
          <w:numId w:val="15"/>
        </w:numPr>
        <w:tabs>
          <w:tab w:pos="300" w:val="left" w:leader="none"/>
        </w:tabs>
        <w:spacing w:line="244" w:lineRule="auto" w:before="0" w:after="0"/>
        <w:ind w:left="110" w:right="108" w:firstLine="0"/>
        <w:jc w:val="both"/>
        <w:rPr>
          <w:sz w:val="16"/>
        </w:rPr>
      </w:pPr>
      <w:r>
        <w:rPr>
          <w:color w:val="231F20"/>
          <w:sz w:val="16"/>
        </w:rPr>
        <w:t>También llamado gobierno electrónico, que consiste en el aprovechamiento de las tecnologías de la información en un proceso</w:t>
      </w:r>
      <w:r>
        <w:rPr>
          <w:color w:val="231F20"/>
          <w:spacing w:val="-13"/>
          <w:sz w:val="16"/>
        </w:rPr>
        <w:t> </w:t>
      </w:r>
      <w:r>
        <w:rPr>
          <w:color w:val="231F20"/>
          <w:sz w:val="16"/>
        </w:rPr>
        <w:t>de</w:t>
      </w:r>
      <w:r>
        <w:rPr>
          <w:color w:val="231F20"/>
          <w:spacing w:val="-13"/>
          <w:sz w:val="16"/>
        </w:rPr>
        <w:t> </w:t>
      </w:r>
      <w:r>
        <w:rPr>
          <w:color w:val="231F20"/>
          <w:sz w:val="16"/>
        </w:rPr>
        <w:t>innovación</w:t>
      </w:r>
      <w:r>
        <w:rPr>
          <w:color w:val="231F20"/>
          <w:spacing w:val="-13"/>
          <w:sz w:val="16"/>
        </w:rPr>
        <w:t> </w:t>
      </w:r>
      <w:r>
        <w:rPr>
          <w:color w:val="231F20"/>
          <w:sz w:val="16"/>
        </w:rPr>
        <w:t>continua</w:t>
      </w:r>
      <w:r>
        <w:rPr>
          <w:color w:val="231F20"/>
          <w:spacing w:val="-13"/>
          <w:sz w:val="16"/>
        </w:rPr>
        <w:t> </w:t>
      </w:r>
      <w:r>
        <w:rPr>
          <w:color w:val="231F20"/>
          <w:sz w:val="16"/>
        </w:rPr>
        <w:t>para</w:t>
      </w:r>
      <w:r>
        <w:rPr>
          <w:color w:val="231F20"/>
          <w:spacing w:val="-13"/>
          <w:sz w:val="16"/>
        </w:rPr>
        <w:t> </w:t>
      </w:r>
      <w:r>
        <w:rPr>
          <w:color w:val="231F20"/>
          <w:sz w:val="16"/>
        </w:rPr>
        <w:t>prestar</w:t>
      </w:r>
      <w:r>
        <w:rPr>
          <w:color w:val="231F20"/>
          <w:spacing w:val="-13"/>
          <w:sz w:val="16"/>
        </w:rPr>
        <w:t> </w:t>
      </w:r>
      <w:r>
        <w:rPr>
          <w:color w:val="231F20"/>
          <w:sz w:val="16"/>
        </w:rPr>
        <w:t>servicios</w:t>
      </w:r>
      <w:r>
        <w:rPr>
          <w:color w:val="231F20"/>
          <w:spacing w:val="-13"/>
          <w:sz w:val="16"/>
        </w:rPr>
        <w:t> </w:t>
      </w:r>
      <w:r>
        <w:rPr>
          <w:color w:val="231F20"/>
          <w:sz w:val="16"/>
        </w:rPr>
        <w:t>de</w:t>
      </w:r>
      <w:r>
        <w:rPr>
          <w:color w:val="231F20"/>
          <w:spacing w:val="-13"/>
          <w:sz w:val="16"/>
        </w:rPr>
        <w:t> </w:t>
      </w:r>
      <w:r>
        <w:rPr>
          <w:color w:val="231F20"/>
          <w:sz w:val="16"/>
        </w:rPr>
        <w:t>calidad.</w:t>
      </w:r>
      <w:r>
        <w:rPr>
          <w:color w:val="231F20"/>
          <w:spacing w:val="-13"/>
          <w:sz w:val="16"/>
        </w:rPr>
        <w:t> </w:t>
      </w:r>
      <w:r>
        <w:rPr>
          <w:color w:val="231F20"/>
          <w:sz w:val="16"/>
        </w:rPr>
        <w:t>Y</w:t>
      </w:r>
      <w:r>
        <w:rPr>
          <w:color w:val="231F20"/>
          <w:spacing w:val="-13"/>
          <w:sz w:val="16"/>
        </w:rPr>
        <w:t> </w:t>
      </w:r>
      <w:r>
        <w:rPr>
          <w:color w:val="231F20"/>
          <w:sz w:val="16"/>
        </w:rPr>
        <w:t>cuyos</w:t>
      </w:r>
      <w:r>
        <w:rPr>
          <w:color w:val="231F20"/>
          <w:spacing w:val="-13"/>
          <w:sz w:val="16"/>
        </w:rPr>
        <w:t> </w:t>
      </w:r>
      <w:r>
        <w:rPr>
          <w:color w:val="231F20"/>
          <w:sz w:val="16"/>
        </w:rPr>
        <w:t>objetivos</w:t>
      </w:r>
      <w:r>
        <w:rPr>
          <w:color w:val="231F20"/>
          <w:spacing w:val="-13"/>
          <w:sz w:val="16"/>
        </w:rPr>
        <w:t> </w:t>
      </w:r>
      <w:r>
        <w:rPr>
          <w:color w:val="231F20"/>
          <w:sz w:val="16"/>
        </w:rPr>
        <w:t>son,</w:t>
      </w:r>
      <w:r>
        <w:rPr>
          <w:color w:val="231F20"/>
          <w:spacing w:val="-13"/>
          <w:sz w:val="16"/>
        </w:rPr>
        <w:t> </w:t>
      </w:r>
      <w:r>
        <w:rPr>
          <w:color w:val="231F20"/>
          <w:sz w:val="16"/>
        </w:rPr>
        <w:t>entre</w:t>
      </w:r>
      <w:r>
        <w:rPr>
          <w:color w:val="231F20"/>
          <w:spacing w:val="-13"/>
          <w:sz w:val="16"/>
        </w:rPr>
        <w:t> </w:t>
      </w:r>
      <w:r>
        <w:rPr>
          <w:color w:val="231F20"/>
          <w:sz w:val="16"/>
        </w:rPr>
        <w:t>otros:</w:t>
      </w:r>
      <w:r>
        <w:rPr>
          <w:color w:val="231F20"/>
          <w:spacing w:val="-13"/>
          <w:sz w:val="16"/>
        </w:rPr>
        <w:t> </w:t>
      </w:r>
      <w:r>
        <w:rPr>
          <w:color w:val="231F20"/>
          <w:sz w:val="16"/>
        </w:rPr>
        <w:t>mejorar</w:t>
      </w:r>
      <w:r>
        <w:rPr>
          <w:color w:val="231F20"/>
          <w:spacing w:val="-13"/>
          <w:sz w:val="16"/>
        </w:rPr>
        <w:t> </w:t>
      </w:r>
      <w:r>
        <w:rPr>
          <w:color w:val="231F20"/>
          <w:sz w:val="16"/>
        </w:rPr>
        <w:t>la</w:t>
      </w:r>
      <w:r>
        <w:rPr>
          <w:color w:val="231F20"/>
          <w:spacing w:val="-13"/>
          <w:sz w:val="16"/>
        </w:rPr>
        <w:t> </w:t>
      </w:r>
      <w:r>
        <w:rPr>
          <w:color w:val="231F20"/>
          <w:sz w:val="16"/>
        </w:rPr>
        <w:t>calidad</w:t>
      </w:r>
      <w:r>
        <w:rPr>
          <w:color w:val="231F20"/>
          <w:spacing w:val="-13"/>
          <w:sz w:val="16"/>
        </w:rPr>
        <w:t> </w:t>
      </w:r>
      <w:r>
        <w:rPr>
          <w:color w:val="231F20"/>
          <w:sz w:val="16"/>
        </w:rPr>
        <w:t>de</w:t>
      </w:r>
      <w:r>
        <w:rPr>
          <w:color w:val="231F20"/>
          <w:spacing w:val="-13"/>
          <w:sz w:val="16"/>
        </w:rPr>
        <w:t> </w:t>
      </w:r>
      <w:r>
        <w:rPr>
          <w:color w:val="231F20"/>
          <w:sz w:val="16"/>
        </w:rPr>
        <w:t>los</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que </w:t>
      </w:r>
      <w:r>
        <w:rPr>
          <w:color w:val="231F20"/>
          <w:w w:val="105"/>
        </w:rPr>
        <w:t>garantiza la </w:t>
      </w:r>
      <w:r>
        <w:rPr>
          <w:color w:val="231F20"/>
          <w:spacing w:val="-4"/>
          <w:w w:val="105"/>
        </w:rPr>
        <w:t>rendición </w:t>
      </w:r>
      <w:r>
        <w:rPr>
          <w:color w:val="231F20"/>
          <w:w w:val="105"/>
        </w:rPr>
        <w:t>de cuentas. En esa </w:t>
      </w:r>
      <w:r>
        <w:rPr>
          <w:color w:val="231F20"/>
          <w:spacing w:val="-3"/>
          <w:w w:val="105"/>
        </w:rPr>
        <w:t>gestión </w:t>
      </w:r>
      <w:r>
        <w:rPr>
          <w:color w:val="231F20"/>
          <w:w w:val="105"/>
        </w:rPr>
        <w:t>se </w:t>
      </w:r>
      <w:r>
        <w:rPr>
          <w:color w:val="231F20"/>
          <w:spacing w:val="-3"/>
          <w:w w:val="105"/>
        </w:rPr>
        <w:t>identificaba </w:t>
      </w:r>
      <w:r>
        <w:rPr>
          <w:color w:val="231F20"/>
          <w:w w:val="105"/>
        </w:rPr>
        <w:t>una </w:t>
      </w:r>
      <w:r>
        <w:rPr>
          <w:color w:val="231F20"/>
          <w:spacing w:val="-4"/>
          <w:w w:val="105"/>
        </w:rPr>
        <w:t>necesidad </w:t>
      </w:r>
      <w:r>
        <w:rPr>
          <w:color w:val="231F20"/>
          <w:w w:val="105"/>
        </w:rPr>
        <w:t>de </w:t>
      </w:r>
      <w:r>
        <w:rPr>
          <w:color w:val="231F20"/>
          <w:spacing w:val="-3"/>
          <w:w w:val="105"/>
        </w:rPr>
        <w:t>renovar</w:t>
      </w:r>
      <w:r>
        <w:rPr>
          <w:color w:val="231F20"/>
          <w:spacing w:val="-13"/>
          <w:w w:val="105"/>
        </w:rPr>
        <w:t> </w:t>
      </w:r>
      <w:r>
        <w:rPr>
          <w:color w:val="231F20"/>
          <w:spacing w:val="-3"/>
          <w:w w:val="105"/>
        </w:rPr>
        <w:t>los</w:t>
      </w:r>
      <w:r>
        <w:rPr>
          <w:color w:val="231F20"/>
          <w:spacing w:val="-13"/>
          <w:w w:val="105"/>
        </w:rPr>
        <w:t> </w:t>
      </w:r>
      <w:r>
        <w:rPr>
          <w:color w:val="231F20"/>
          <w:spacing w:val="-3"/>
          <w:w w:val="105"/>
        </w:rPr>
        <w:t>métodos</w:t>
      </w:r>
      <w:r>
        <w:rPr>
          <w:color w:val="231F20"/>
          <w:spacing w:val="-13"/>
          <w:w w:val="105"/>
        </w:rPr>
        <w:t> </w:t>
      </w:r>
      <w:r>
        <w:rPr>
          <w:color w:val="231F20"/>
          <w:w w:val="105"/>
        </w:rPr>
        <w:t>y</w:t>
      </w:r>
      <w:r>
        <w:rPr>
          <w:color w:val="231F20"/>
          <w:spacing w:val="-13"/>
          <w:w w:val="105"/>
        </w:rPr>
        <w:t> </w:t>
      </w:r>
      <w:r>
        <w:rPr>
          <w:color w:val="231F20"/>
          <w:spacing w:val="-3"/>
          <w:w w:val="105"/>
        </w:rPr>
        <w:t>los</w:t>
      </w:r>
      <w:r>
        <w:rPr>
          <w:color w:val="231F20"/>
          <w:spacing w:val="-13"/>
          <w:w w:val="105"/>
        </w:rPr>
        <w:t> </w:t>
      </w:r>
      <w:r>
        <w:rPr>
          <w:color w:val="231F20"/>
          <w:spacing w:val="-3"/>
          <w:w w:val="105"/>
        </w:rPr>
        <w:t>procedimientos</w:t>
      </w:r>
      <w:r>
        <w:rPr>
          <w:color w:val="231F20"/>
          <w:spacing w:val="-13"/>
          <w:w w:val="105"/>
        </w:rPr>
        <w:t> </w:t>
      </w:r>
      <w:r>
        <w:rPr>
          <w:color w:val="231F20"/>
          <w:spacing w:val="-3"/>
          <w:w w:val="105"/>
        </w:rPr>
        <w:t>con</w:t>
      </w:r>
      <w:r>
        <w:rPr>
          <w:color w:val="231F20"/>
          <w:spacing w:val="-13"/>
          <w:w w:val="105"/>
        </w:rPr>
        <w:t> </w:t>
      </w:r>
      <w:r>
        <w:rPr>
          <w:color w:val="231F20"/>
          <w:spacing w:val="-3"/>
          <w:w w:val="105"/>
        </w:rPr>
        <w:t>los</w:t>
      </w:r>
      <w:r>
        <w:rPr>
          <w:color w:val="231F20"/>
          <w:spacing w:val="-13"/>
          <w:w w:val="105"/>
        </w:rPr>
        <w:t> </w:t>
      </w:r>
      <w:r>
        <w:rPr>
          <w:color w:val="231F20"/>
          <w:w w:val="105"/>
        </w:rPr>
        <w:t>cuales</w:t>
      </w:r>
      <w:r>
        <w:rPr>
          <w:color w:val="231F20"/>
          <w:spacing w:val="-13"/>
          <w:w w:val="105"/>
        </w:rPr>
        <w:t> </w:t>
      </w:r>
      <w:r>
        <w:rPr>
          <w:color w:val="231F20"/>
          <w:w w:val="105"/>
        </w:rPr>
        <w:t>el</w:t>
      </w:r>
      <w:r>
        <w:rPr>
          <w:color w:val="231F20"/>
          <w:spacing w:val="-13"/>
          <w:w w:val="105"/>
        </w:rPr>
        <w:t> </w:t>
      </w:r>
      <w:r>
        <w:rPr>
          <w:color w:val="231F20"/>
          <w:spacing w:val="-4"/>
          <w:w w:val="105"/>
        </w:rPr>
        <w:t>gobierno</w:t>
      </w:r>
      <w:r>
        <w:rPr>
          <w:color w:val="231F20"/>
          <w:spacing w:val="-13"/>
          <w:w w:val="105"/>
        </w:rPr>
        <w:t> </w:t>
      </w:r>
      <w:r>
        <w:rPr>
          <w:color w:val="231F20"/>
          <w:w w:val="105"/>
        </w:rPr>
        <w:t>se</w:t>
      </w:r>
      <w:r>
        <w:rPr>
          <w:color w:val="231F20"/>
          <w:spacing w:val="-13"/>
          <w:w w:val="105"/>
        </w:rPr>
        <w:t> </w:t>
      </w:r>
      <w:r>
        <w:rPr>
          <w:color w:val="231F20"/>
          <w:spacing w:val="-4"/>
          <w:w w:val="105"/>
        </w:rPr>
        <w:t>acercaba</w:t>
      </w:r>
      <w:r>
        <w:rPr>
          <w:color w:val="231F20"/>
          <w:spacing w:val="-13"/>
          <w:w w:val="105"/>
        </w:rPr>
        <w:t> </w:t>
      </w:r>
      <w:r>
        <w:rPr>
          <w:color w:val="231F20"/>
          <w:w w:val="105"/>
        </w:rPr>
        <w:t>al</w:t>
      </w:r>
      <w:r>
        <w:rPr>
          <w:color w:val="231F20"/>
          <w:spacing w:val="-13"/>
          <w:w w:val="105"/>
        </w:rPr>
        <w:t> </w:t>
      </w:r>
      <w:r>
        <w:rPr>
          <w:color w:val="231F20"/>
          <w:spacing w:val="-4"/>
          <w:w w:val="105"/>
        </w:rPr>
        <w:t>ciuda- </w:t>
      </w:r>
      <w:r>
        <w:rPr>
          <w:color w:val="231F20"/>
          <w:w w:val="105"/>
        </w:rPr>
        <w:t>dano</w:t>
      </w:r>
      <w:r>
        <w:rPr>
          <w:color w:val="231F20"/>
          <w:spacing w:val="-16"/>
          <w:w w:val="105"/>
        </w:rPr>
        <w:t> </w:t>
      </w:r>
      <w:r>
        <w:rPr>
          <w:color w:val="231F20"/>
          <w:w w:val="105"/>
        </w:rPr>
        <w:t>y</w:t>
      </w:r>
      <w:r>
        <w:rPr>
          <w:color w:val="231F20"/>
          <w:spacing w:val="-16"/>
          <w:w w:val="105"/>
        </w:rPr>
        <w:t> </w:t>
      </w:r>
      <w:r>
        <w:rPr>
          <w:color w:val="231F20"/>
          <w:spacing w:val="-3"/>
          <w:w w:val="105"/>
        </w:rPr>
        <w:t>pretendía</w:t>
      </w:r>
      <w:r>
        <w:rPr>
          <w:color w:val="231F20"/>
          <w:spacing w:val="-16"/>
          <w:w w:val="105"/>
        </w:rPr>
        <w:t> </w:t>
      </w:r>
      <w:r>
        <w:rPr>
          <w:color w:val="231F20"/>
          <w:spacing w:val="-4"/>
          <w:w w:val="105"/>
        </w:rPr>
        <w:t>hacerlos</w:t>
      </w:r>
      <w:r>
        <w:rPr>
          <w:color w:val="231F20"/>
          <w:spacing w:val="-16"/>
          <w:w w:val="105"/>
        </w:rPr>
        <w:t> </w:t>
      </w:r>
      <w:r>
        <w:rPr>
          <w:color w:val="231F20"/>
          <w:spacing w:val="-3"/>
          <w:w w:val="105"/>
        </w:rPr>
        <w:t>efectivos,</w:t>
      </w:r>
      <w:r>
        <w:rPr>
          <w:color w:val="231F20"/>
          <w:spacing w:val="-16"/>
          <w:w w:val="105"/>
        </w:rPr>
        <w:t> </w:t>
      </w:r>
      <w:r>
        <w:rPr>
          <w:color w:val="231F20"/>
          <w:w w:val="105"/>
        </w:rPr>
        <w:t>transparentes</w:t>
      </w:r>
      <w:r>
        <w:rPr>
          <w:color w:val="231F20"/>
          <w:spacing w:val="-16"/>
          <w:w w:val="105"/>
        </w:rPr>
        <w:t> </w:t>
      </w:r>
      <w:r>
        <w:rPr>
          <w:color w:val="231F20"/>
          <w:w w:val="105"/>
        </w:rPr>
        <w:t>y</w:t>
      </w:r>
      <w:r>
        <w:rPr>
          <w:color w:val="231F20"/>
          <w:spacing w:val="-16"/>
          <w:w w:val="105"/>
        </w:rPr>
        <w:t> </w:t>
      </w:r>
      <w:r>
        <w:rPr>
          <w:color w:val="231F20"/>
          <w:spacing w:val="-3"/>
          <w:w w:val="105"/>
        </w:rPr>
        <w:t>responsables</w:t>
      </w:r>
      <w:r>
        <w:rPr>
          <w:color w:val="231F20"/>
          <w:spacing w:val="-16"/>
          <w:w w:val="105"/>
        </w:rPr>
        <w:t> </w:t>
      </w:r>
      <w:r>
        <w:rPr>
          <w:color w:val="231F20"/>
          <w:w w:val="105"/>
        </w:rPr>
        <w:t>ante</w:t>
      </w:r>
      <w:r>
        <w:rPr>
          <w:color w:val="231F20"/>
          <w:spacing w:val="-16"/>
          <w:w w:val="105"/>
        </w:rPr>
        <w:t> </w:t>
      </w:r>
      <w:r>
        <w:rPr>
          <w:color w:val="231F20"/>
          <w:w w:val="105"/>
        </w:rPr>
        <w:t>la</w:t>
      </w:r>
      <w:r>
        <w:rPr>
          <w:color w:val="231F20"/>
          <w:spacing w:val="-16"/>
          <w:w w:val="105"/>
        </w:rPr>
        <w:t> </w:t>
      </w:r>
      <w:r>
        <w:rPr>
          <w:color w:val="231F20"/>
          <w:spacing w:val="-3"/>
          <w:w w:val="105"/>
        </w:rPr>
        <w:t>ciudadanía.</w:t>
      </w:r>
    </w:p>
    <w:p>
      <w:pPr>
        <w:pStyle w:val="BodyText"/>
        <w:spacing w:before="1"/>
        <w:rPr>
          <w:sz w:val="26"/>
        </w:rPr>
      </w:pPr>
    </w:p>
    <w:p>
      <w:pPr>
        <w:pStyle w:val="BodyText"/>
        <w:spacing w:line="285" w:lineRule="auto"/>
        <w:ind w:left="110" w:right="106"/>
        <w:jc w:val="both"/>
      </w:pPr>
      <w:r>
        <w:rPr>
          <w:color w:val="231F20"/>
          <w:w w:val="105"/>
        </w:rPr>
        <w:t>El</w:t>
      </w:r>
      <w:r>
        <w:rPr>
          <w:color w:val="231F20"/>
          <w:spacing w:val="-27"/>
          <w:w w:val="105"/>
        </w:rPr>
        <w:t> </w:t>
      </w:r>
      <w:r>
        <w:rPr>
          <w:color w:val="231F20"/>
          <w:w w:val="105"/>
        </w:rPr>
        <w:t>e-Gobierno</w:t>
      </w:r>
      <w:r>
        <w:rPr>
          <w:color w:val="231F20"/>
          <w:spacing w:val="-27"/>
          <w:w w:val="105"/>
        </w:rPr>
        <w:t> </w:t>
      </w:r>
      <w:r>
        <w:rPr>
          <w:color w:val="231F20"/>
          <w:w w:val="105"/>
        </w:rPr>
        <w:t>implicaba</w:t>
      </w:r>
      <w:r>
        <w:rPr>
          <w:color w:val="231F20"/>
          <w:spacing w:val="-27"/>
          <w:w w:val="105"/>
        </w:rPr>
        <w:t> </w:t>
      </w:r>
      <w:r>
        <w:rPr>
          <w:color w:val="231F20"/>
          <w:w w:val="105"/>
        </w:rPr>
        <w:t>cambios</w:t>
      </w:r>
      <w:r>
        <w:rPr>
          <w:color w:val="231F20"/>
          <w:spacing w:val="-27"/>
          <w:w w:val="105"/>
        </w:rPr>
        <w:t> </w:t>
      </w:r>
      <w:r>
        <w:rPr>
          <w:color w:val="231F20"/>
          <w:w w:val="105"/>
        </w:rPr>
        <w:t>en</w:t>
      </w:r>
      <w:r>
        <w:rPr>
          <w:color w:val="231F20"/>
          <w:spacing w:val="-27"/>
          <w:w w:val="105"/>
        </w:rPr>
        <w:t> </w:t>
      </w:r>
      <w:r>
        <w:rPr>
          <w:color w:val="231F20"/>
          <w:w w:val="105"/>
        </w:rPr>
        <w:t>coordinación,</w:t>
      </w:r>
      <w:r>
        <w:rPr>
          <w:color w:val="231F20"/>
          <w:spacing w:val="-27"/>
          <w:w w:val="105"/>
        </w:rPr>
        <w:t> </w:t>
      </w:r>
      <w:r>
        <w:rPr>
          <w:color w:val="231F20"/>
          <w:w w:val="105"/>
        </w:rPr>
        <w:t>comunicación</w:t>
      </w:r>
      <w:r>
        <w:rPr>
          <w:color w:val="231F20"/>
          <w:spacing w:val="-27"/>
          <w:w w:val="105"/>
        </w:rPr>
        <w:t> </w:t>
      </w:r>
      <w:r>
        <w:rPr>
          <w:color w:val="231F20"/>
          <w:w w:val="105"/>
        </w:rPr>
        <w:t>y</w:t>
      </w:r>
      <w:r>
        <w:rPr>
          <w:color w:val="231F20"/>
          <w:spacing w:val="-27"/>
          <w:w w:val="105"/>
        </w:rPr>
        <w:t> </w:t>
      </w:r>
      <w:r>
        <w:rPr>
          <w:color w:val="231F20"/>
          <w:w w:val="105"/>
        </w:rPr>
        <w:t>participación</w:t>
      </w:r>
      <w:r>
        <w:rPr>
          <w:color w:val="231F20"/>
          <w:spacing w:val="-27"/>
          <w:w w:val="105"/>
        </w:rPr>
        <w:t> </w:t>
      </w:r>
      <w:r>
        <w:rPr>
          <w:color w:val="231F20"/>
          <w:w w:val="105"/>
        </w:rPr>
        <w:t>dentro y</w:t>
      </w:r>
      <w:r>
        <w:rPr>
          <w:color w:val="231F20"/>
          <w:spacing w:val="-17"/>
          <w:w w:val="105"/>
        </w:rPr>
        <w:t> </w:t>
      </w:r>
      <w:r>
        <w:rPr>
          <w:color w:val="231F20"/>
          <w:w w:val="105"/>
        </w:rPr>
        <w:t>fuera</w:t>
      </w:r>
      <w:r>
        <w:rPr>
          <w:color w:val="231F20"/>
          <w:spacing w:val="-17"/>
          <w:w w:val="105"/>
        </w:rPr>
        <w:t> </w:t>
      </w:r>
      <w:r>
        <w:rPr>
          <w:color w:val="231F20"/>
          <w:w w:val="105"/>
        </w:rPr>
        <w:t>del</w:t>
      </w:r>
      <w:r>
        <w:rPr>
          <w:color w:val="231F20"/>
          <w:spacing w:val="-17"/>
          <w:w w:val="105"/>
        </w:rPr>
        <w:t> </w:t>
      </w:r>
      <w:r>
        <w:rPr>
          <w:color w:val="231F20"/>
          <w:w w:val="105"/>
        </w:rPr>
        <w:t>gobierno,</w:t>
      </w:r>
      <w:r>
        <w:rPr>
          <w:color w:val="231F20"/>
          <w:spacing w:val="-17"/>
          <w:w w:val="105"/>
        </w:rPr>
        <w:t> </w:t>
      </w:r>
      <w:r>
        <w:rPr>
          <w:color w:val="231F20"/>
          <w:w w:val="105"/>
        </w:rPr>
        <w:t>por</w:t>
      </w:r>
      <w:r>
        <w:rPr>
          <w:color w:val="231F20"/>
          <w:spacing w:val="-17"/>
          <w:w w:val="105"/>
        </w:rPr>
        <w:t> </w:t>
      </w:r>
      <w:r>
        <w:rPr>
          <w:color w:val="231F20"/>
          <w:spacing w:val="-3"/>
          <w:w w:val="105"/>
        </w:rPr>
        <w:t>ejemplo,</w:t>
      </w:r>
      <w:r>
        <w:rPr>
          <w:color w:val="231F20"/>
          <w:spacing w:val="-17"/>
          <w:w w:val="105"/>
        </w:rPr>
        <w:t> </w:t>
      </w:r>
      <w:r>
        <w:rPr>
          <w:color w:val="231F20"/>
          <w:w w:val="105"/>
        </w:rPr>
        <w:t>la</w:t>
      </w:r>
      <w:r>
        <w:rPr>
          <w:color w:val="231F20"/>
          <w:spacing w:val="-17"/>
          <w:w w:val="105"/>
        </w:rPr>
        <w:t> </w:t>
      </w:r>
      <w:r>
        <w:rPr>
          <w:color w:val="231F20"/>
          <w:w w:val="105"/>
        </w:rPr>
        <w:t>intención</w:t>
      </w:r>
      <w:r>
        <w:rPr>
          <w:color w:val="231F20"/>
          <w:spacing w:val="-17"/>
          <w:w w:val="105"/>
        </w:rPr>
        <w:t> </w:t>
      </w:r>
      <w:r>
        <w:rPr>
          <w:color w:val="231F20"/>
          <w:w w:val="105"/>
        </w:rPr>
        <w:t>de</w:t>
      </w:r>
      <w:r>
        <w:rPr>
          <w:color w:val="231F20"/>
          <w:spacing w:val="-17"/>
          <w:w w:val="105"/>
        </w:rPr>
        <w:t> </w:t>
      </w:r>
      <w:r>
        <w:rPr>
          <w:color w:val="231F20"/>
          <w:w w:val="105"/>
        </w:rPr>
        <w:t>mejorar</w:t>
      </w:r>
      <w:r>
        <w:rPr>
          <w:color w:val="231F20"/>
          <w:spacing w:val="-17"/>
          <w:w w:val="105"/>
        </w:rPr>
        <w:t> </w:t>
      </w:r>
      <w:r>
        <w:rPr>
          <w:color w:val="231F20"/>
          <w:w w:val="105"/>
        </w:rPr>
        <w:t>los</w:t>
      </w:r>
      <w:r>
        <w:rPr>
          <w:color w:val="231F20"/>
          <w:spacing w:val="-17"/>
          <w:w w:val="105"/>
        </w:rPr>
        <w:t> </w:t>
      </w:r>
      <w:r>
        <w:rPr>
          <w:color w:val="231F20"/>
          <w:w w:val="105"/>
        </w:rPr>
        <w:t>servicios</w:t>
      </w:r>
      <w:r>
        <w:rPr>
          <w:color w:val="231F20"/>
          <w:spacing w:val="-17"/>
          <w:w w:val="105"/>
        </w:rPr>
        <w:t> </w:t>
      </w:r>
      <w:r>
        <w:rPr>
          <w:color w:val="231F20"/>
          <w:w w:val="105"/>
        </w:rPr>
        <w:t>públicos</w:t>
      </w:r>
      <w:r>
        <w:rPr>
          <w:color w:val="231F20"/>
          <w:spacing w:val="-17"/>
          <w:w w:val="105"/>
        </w:rPr>
        <w:t> </w:t>
      </w:r>
      <w:r>
        <w:rPr>
          <w:color w:val="231F20"/>
          <w:w w:val="105"/>
        </w:rPr>
        <w:t>a</w:t>
      </w:r>
      <w:r>
        <w:rPr>
          <w:color w:val="231F20"/>
          <w:spacing w:val="-17"/>
          <w:w w:val="105"/>
        </w:rPr>
        <w:t> </w:t>
      </w:r>
      <w:r>
        <w:rPr>
          <w:color w:val="231F20"/>
          <w:w w:val="105"/>
        </w:rPr>
        <w:t>través del</w:t>
      </w:r>
      <w:r>
        <w:rPr>
          <w:color w:val="231F20"/>
          <w:spacing w:val="-12"/>
          <w:w w:val="105"/>
        </w:rPr>
        <w:t> </w:t>
      </w:r>
      <w:r>
        <w:rPr>
          <w:color w:val="231F20"/>
          <w:w w:val="105"/>
        </w:rPr>
        <w:t>incremento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eficiencia,</w:t>
      </w:r>
      <w:r>
        <w:rPr>
          <w:color w:val="231F20"/>
          <w:spacing w:val="-12"/>
          <w:w w:val="105"/>
        </w:rPr>
        <w:t> </w:t>
      </w:r>
      <w:r>
        <w:rPr>
          <w:color w:val="231F20"/>
          <w:w w:val="105"/>
        </w:rPr>
        <w:t>la</w:t>
      </w:r>
      <w:r>
        <w:rPr>
          <w:color w:val="231F20"/>
          <w:spacing w:val="-12"/>
          <w:w w:val="105"/>
        </w:rPr>
        <w:t> </w:t>
      </w:r>
      <w:r>
        <w:rPr>
          <w:color w:val="231F20"/>
          <w:w w:val="105"/>
        </w:rPr>
        <w:t>reducción</w:t>
      </w:r>
      <w:r>
        <w:rPr>
          <w:color w:val="231F20"/>
          <w:spacing w:val="-12"/>
          <w:w w:val="105"/>
        </w:rPr>
        <w:t> </w:t>
      </w:r>
      <w:r>
        <w:rPr>
          <w:color w:val="231F20"/>
          <w:w w:val="105"/>
        </w:rPr>
        <w:t>de</w:t>
      </w:r>
      <w:r>
        <w:rPr>
          <w:color w:val="231F20"/>
          <w:spacing w:val="-12"/>
          <w:w w:val="105"/>
        </w:rPr>
        <w:t> </w:t>
      </w:r>
      <w:r>
        <w:rPr>
          <w:color w:val="231F20"/>
          <w:w w:val="105"/>
        </w:rPr>
        <w:t>tiempos</w:t>
      </w:r>
      <w:r>
        <w:rPr>
          <w:color w:val="231F20"/>
          <w:spacing w:val="-12"/>
          <w:w w:val="105"/>
        </w:rPr>
        <w:t> </w:t>
      </w:r>
      <w:r>
        <w:rPr>
          <w:color w:val="231F20"/>
          <w:w w:val="105"/>
        </w:rPr>
        <w:t>de</w:t>
      </w:r>
      <w:r>
        <w:rPr>
          <w:color w:val="231F20"/>
          <w:spacing w:val="-12"/>
          <w:w w:val="105"/>
        </w:rPr>
        <w:t> </w:t>
      </w:r>
      <w:r>
        <w:rPr>
          <w:color w:val="231F20"/>
          <w:w w:val="105"/>
        </w:rPr>
        <w:t>respuesta,</w:t>
      </w:r>
      <w:r>
        <w:rPr>
          <w:color w:val="231F20"/>
          <w:spacing w:val="-12"/>
          <w:w w:val="105"/>
        </w:rPr>
        <w:t> </w:t>
      </w:r>
      <w:r>
        <w:rPr>
          <w:color w:val="231F20"/>
          <w:w w:val="105"/>
        </w:rPr>
        <w:t>la</w:t>
      </w:r>
      <w:r>
        <w:rPr>
          <w:color w:val="231F20"/>
          <w:spacing w:val="-12"/>
          <w:w w:val="105"/>
        </w:rPr>
        <w:t> </w:t>
      </w:r>
      <w:r>
        <w:rPr>
          <w:color w:val="231F20"/>
          <w:w w:val="105"/>
        </w:rPr>
        <w:t>eliminación</w:t>
      </w:r>
      <w:r>
        <w:rPr>
          <w:color w:val="231F20"/>
          <w:spacing w:val="-12"/>
          <w:w w:val="105"/>
        </w:rPr>
        <w:t> </w:t>
      </w:r>
      <w:r>
        <w:rPr>
          <w:color w:val="231F20"/>
          <w:w w:val="105"/>
        </w:rPr>
        <w:t>de requisitos</w:t>
      </w:r>
      <w:r>
        <w:rPr>
          <w:color w:val="231F20"/>
          <w:spacing w:val="-17"/>
          <w:w w:val="105"/>
        </w:rPr>
        <w:t> </w:t>
      </w:r>
      <w:r>
        <w:rPr>
          <w:color w:val="231F20"/>
          <w:w w:val="105"/>
        </w:rPr>
        <w:t>innecesarios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consecuente</w:t>
      </w:r>
      <w:r>
        <w:rPr>
          <w:color w:val="231F20"/>
          <w:spacing w:val="-17"/>
          <w:w w:val="105"/>
        </w:rPr>
        <w:t> </w:t>
      </w:r>
      <w:r>
        <w:rPr>
          <w:color w:val="231F20"/>
          <w:w w:val="105"/>
        </w:rPr>
        <w:t>creación</w:t>
      </w:r>
      <w:r>
        <w:rPr>
          <w:color w:val="231F20"/>
          <w:spacing w:val="-17"/>
          <w:w w:val="105"/>
        </w:rPr>
        <w:t> </w:t>
      </w:r>
      <w:r>
        <w:rPr>
          <w:color w:val="231F20"/>
          <w:w w:val="105"/>
        </w:rPr>
        <w:t>de</w:t>
      </w:r>
      <w:r>
        <w:rPr>
          <w:color w:val="231F20"/>
          <w:spacing w:val="-17"/>
          <w:w w:val="105"/>
        </w:rPr>
        <w:t> </w:t>
      </w:r>
      <w:r>
        <w:rPr>
          <w:color w:val="231F20"/>
          <w:w w:val="105"/>
        </w:rPr>
        <w:t>incentivos</w:t>
      </w:r>
      <w:r>
        <w:rPr>
          <w:color w:val="231F20"/>
          <w:spacing w:val="-17"/>
          <w:w w:val="105"/>
        </w:rPr>
        <w:t> </w:t>
      </w:r>
      <w:r>
        <w:rPr>
          <w:color w:val="231F20"/>
          <w:w w:val="105"/>
        </w:rPr>
        <w:t>para</w:t>
      </w:r>
      <w:r>
        <w:rPr>
          <w:color w:val="231F20"/>
          <w:spacing w:val="-17"/>
          <w:w w:val="105"/>
        </w:rPr>
        <w:t> </w:t>
      </w:r>
      <w:r>
        <w:rPr>
          <w:color w:val="231F20"/>
          <w:w w:val="105"/>
        </w:rPr>
        <w:t>participar</w:t>
      </w:r>
      <w:r>
        <w:rPr>
          <w:color w:val="231F20"/>
          <w:spacing w:val="-17"/>
          <w:w w:val="105"/>
        </w:rPr>
        <w:t> </w:t>
      </w:r>
      <w:r>
        <w:rPr>
          <w:color w:val="231F20"/>
          <w:w w:val="105"/>
        </w:rPr>
        <w:t>así</w:t>
      </w:r>
      <w:r>
        <w:rPr>
          <w:color w:val="231F20"/>
          <w:spacing w:val="-17"/>
          <w:w w:val="105"/>
        </w:rPr>
        <w:t> </w:t>
      </w:r>
      <w:r>
        <w:rPr>
          <w:color w:val="231F20"/>
          <w:w w:val="105"/>
        </w:rPr>
        <w:t>como el</w:t>
      </w:r>
      <w:r>
        <w:rPr>
          <w:color w:val="231F20"/>
          <w:spacing w:val="-10"/>
          <w:w w:val="105"/>
        </w:rPr>
        <w:t> </w:t>
      </w:r>
      <w:r>
        <w:rPr>
          <w:color w:val="231F20"/>
          <w:w w:val="105"/>
        </w:rPr>
        <w:t>acercamiento</w:t>
      </w:r>
      <w:r>
        <w:rPr>
          <w:color w:val="231F20"/>
          <w:spacing w:val="-10"/>
          <w:w w:val="105"/>
        </w:rPr>
        <w:t> </w:t>
      </w:r>
      <w:r>
        <w:rPr>
          <w:color w:val="231F20"/>
          <w:w w:val="105"/>
        </w:rPr>
        <w:t>con</w:t>
      </w:r>
      <w:r>
        <w:rPr>
          <w:color w:val="231F20"/>
          <w:spacing w:val="-10"/>
          <w:w w:val="105"/>
        </w:rPr>
        <w:t> </w:t>
      </w:r>
      <w:r>
        <w:rPr>
          <w:color w:val="231F20"/>
          <w:w w:val="105"/>
        </w:rPr>
        <w:t>las</w:t>
      </w:r>
      <w:r>
        <w:rPr>
          <w:color w:val="231F20"/>
          <w:spacing w:val="-10"/>
          <w:w w:val="105"/>
        </w:rPr>
        <w:t> </w:t>
      </w:r>
      <w:r>
        <w:rPr>
          <w:color w:val="231F20"/>
          <w:w w:val="105"/>
        </w:rPr>
        <w:t>instancias</w:t>
      </w:r>
      <w:r>
        <w:rPr>
          <w:color w:val="231F20"/>
          <w:spacing w:val="-10"/>
          <w:w w:val="105"/>
        </w:rPr>
        <w:t> </w:t>
      </w:r>
      <w:r>
        <w:rPr>
          <w:color w:val="231F20"/>
          <w:w w:val="105"/>
        </w:rPr>
        <w:t>de</w:t>
      </w:r>
      <w:r>
        <w:rPr>
          <w:color w:val="231F20"/>
          <w:spacing w:val="-10"/>
          <w:w w:val="105"/>
        </w:rPr>
        <w:t> </w:t>
      </w:r>
      <w:r>
        <w:rPr>
          <w:color w:val="231F20"/>
          <w:spacing w:val="-3"/>
          <w:w w:val="105"/>
        </w:rPr>
        <w:t>gobierno.</w:t>
      </w:r>
    </w:p>
    <w:p>
      <w:pPr>
        <w:pStyle w:val="BodyText"/>
        <w:spacing w:before="1"/>
        <w:rPr>
          <w:sz w:val="26"/>
        </w:rPr>
      </w:pPr>
    </w:p>
    <w:p>
      <w:pPr>
        <w:pStyle w:val="BodyText"/>
        <w:spacing w:line="285" w:lineRule="auto"/>
        <w:ind w:left="110" w:right="108"/>
        <w:jc w:val="both"/>
        <w:rPr>
          <w:sz w:val="13"/>
        </w:rPr>
      </w:pPr>
      <w:r>
        <w:rPr>
          <w:color w:val="231F20"/>
          <w:w w:val="105"/>
        </w:rPr>
        <w:t>En</w:t>
      </w:r>
      <w:r>
        <w:rPr>
          <w:color w:val="231F20"/>
          <w:spacing w:val="-5"/>
          <w:w w:val="105"/>
        </w:rPr>
        <w:t> </w:t>
      </w:r>
      <w:r>
        <w:rPr>
          <w:color w:val="231F20"/>
          <w:w w:val="105"/>
        </w:rPr>
        <w:t>esta</w:t>
      </w:r>
      <w:r>
        <w:rPr>
          <w:color w:val="231F20"/>
          <w:spacing w:val="-5"/>
          <w:w w:val="105"/>
        </w:rPr>
        <w:t> </w:t>
      </w:r>
      <w:r>
        <w:rPr>
          <w:color w:val="231F20"/>
          <w:w w:val="105"/>
        </w:rPr>
        <w:t>gestión</w:t>
      </w:r>
      <w:r>
        <w:rPr>
          <w:color w:val="231F20"/>
          <w:spacing w:val="-5"/>
          <w:w w:val="105"/>
        </w:rPr>
        <w:t> </w:t>
      </w:r>
      <w:r>
        <w:rPr>
          <w:color w:val="231F20"/>
          <w:w w:val="105"/>
        </w:rPr>
        <w:t>se</w:t>
      </w:r>
      <w:r>
        <w:rPr>
          <w:color w:val="231F20"/>
          <w:spacing w:val="-5"/>
          <w:w w:val="105"/>
        </w:rPr>
        <w:t> </w:t>
      </w:r>
      <w:r>
        <w:rPr>
          <w:color w:val="231F20"/>
          <w:w w:val="105"/>
        </w:rPr>
        <w:t>crearon</w:t>
      </w:r>
      <w:r>
        <w:rPr>
          <w:color w:val="231F20"/>
          <w:spacing w:val="-5"/>
          <w:w w:val="105"/>
        </w:rPr>
        <w:t> </w:t>
      </w:r>
      <w:r>
        <w:rPr>
          <w:color w:val="231F20"/>
          <w:w w:val="105"/>
        </w:rPr>
        <w:t>varias</w:t>
      </w:r>
      <w:r>
        <w:rPr>
          <w:color w:val="231F20"/>
          <w:spacing w:val="-5"/>
          <w:w w:val="105"/>
        </w:rPr>
        <w:t> </w:t>
      </w:r>
      <w:r>
        <w:rPr>
          <w:color w:val="231F20"/>
          <w:w w:val="105"/>
        </w:rPr>
        <w:t>herramientas</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intención</w:t>
      </w:r>
      <w:r>
        <w:rPr>
          <w:color w:val="231F20"/>
          <w:spacing w:val="-5"/>
          <w:w w:val="105"/>
        </w:rPr>
        <w:t> </w:t>
      </w:r>
      <w:r>
        <w:rPr>
          <w:color w:val="231F20"/>
          <w:w w:val="105"/>
        </w:rPr>
        <w:t>de</w:t>
      </w:r>
      <w:r>
        <w:rPr>
          <w:color w:val="231F20"/>
          <w:spacing w:val="-5"/>
          <w:w w:val="105"/>
        </w:rPr>
        <w:t> </w:t>
      </w:r>
      <w:r>
        <w:rPr>
          <w:color w:val="231F20"/>
          <w:w w:val="105"/>
        </w:rPr>
        <w:t>cumplir</w:t>
      </w:r>
      <w:r>
        <w:rPr>
          <w:color w:val="231F20"/>
          <w:spacing w:val="-5"/>
          <w:w w:val="105"/>
        </w:rPr>
        <w:t> </w:t>
      </w:r>
      <w:r>
        <w:rPr>
          <w:color w:val="231F20"/>
          <w:w w:val="105"/>
        </w:rPr>
        <w:t>estas</w:t>
      </w:r>
      <w:r>
        <w:rPr>
          <w:color w:val="231F20"/>
          <w:spacing w:val="-5"/>
          <w:w w:val="105"/>
        </w:rPr>
        <w:t> </w:t>
      </w:r>
      <w:r>
        <w:rPr>
          <w:color w:val="231F20"/>
          <w:w w:val="105"/>
        </w:rPr>
        <w:t>ideas: Módulo de Atención Ciudadana y Tlalnetel; Ventanilla Única de Gestión; Centro de Atención</w:t>
      </w:r>
      <w:r>
        <w:rPr>
          <w:color w:val="231F20"/>
          <w:spacing w:val="-12"/>
          <w:w w:val="105"/>
        </w:rPr>
        <w:t> </w:t>
      </w:r>
      <w:r>
        <w:rPr>
          <w:color w:val="231F20"/>
          <w:w w:val="105"/>
        </w:rPr>
        <w:t>Empresarial</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Sistema</w:t>
      </w:r>
      <w:r>
        <w:rPr>
          <w:color w:val="231F20"/>
          <w:spacing w:val="-12"/>
          <w:w w:val="105"/>
        </w:rPr>
        <w:t> </w:t>
      </w:r>
      <w:r>
        <w:rPr>
          <w:color w:val="231F20"/>
          <w:w w:val="105"/>
        </w:rPr>
        <w:t>de</w:t>
      </w:r>
      <w:r>
        <w:rPr>
          <w:color w:val="231F20"/>
          <w:spacing w:val="-12"/>
          <w:w w:val="105"/>
        </w:rPr>
        <w:t> </w:t>
      </w:r>
      <w:r>
        <w:rPr>
          <w:color w:val="231F20"/>
          <w:w w:val="105"/>
        </w:rPr>
        <w:t>Apertura</w:t>
      </w:r>
      <w:r>
        <w:rPr>
          <w:color w:val="231F20"/>
          <w:spacing w:val="-12"/>
          <w:w w:val="105"/>
        </w:rPr>
        <w:t> </w:t>
      </w:r>
      <w:r>
        <w:rPr>
          <w:color w:val="231F20"/>
          <w:w w:val="105"/>
        </w:rPr>
        <w:t>Rápida</w:t>
      </w:r>
      <w:r>
        <w:rPr>
          <w:color w:val="231F20"/>
          <w:spacing w:val="-12"/>
          <w:w w:val="105"/>
        </w:rPr>
        <w:t> </w:t>
      </w:r>
      <w:r>
        <w:rPr>
          <w:color w:val="231F20"/>
          <w:w w:val="105"/>
        </w:rPr>
        <w:t>de</w:t>
      </w:r>
      <w:r>
        <w:rPr>
          <w:color w:val="231F20"/>
          <w:spacing w:val="-12"/>
          <w:w w:val="105"/>
        </w:rPr>
        <w:t> </w:t>
      </w:r>
      <w:r>
        <w:rPr>
          <w:color w:val="231F20"/>
          <w:w w:val="105"/>
        </w:rPr>
        <w:t>Empresas;</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Quioscos</w:t>
      </w:r>
      <w:r>
        <w:rPr>
          <w:color w:val="231F20"/>
          <w:spacing w:val="-12"/>
          <w:w w:val="105"/>
        </w:rPr>
        <w:t> </w:t>
      </w:r>
      <w:r>
        <w:rPr>
          <w:color w:val="231F20"/>
          <w:w w:val="105"/>
        </w:rPr>
        <w:t>de Información</w:t>
      </w:r>
      <w:r>
        <w:rPr>
          <w:color w:val="231F20"/>
          <w:w w:val="105"/>
          <w:position w:val="7"/>
          <w:sz w:val="13"/>
        </w:rPr>
        <w:t>17.</w:t>
      </w:r>
    </w:p>
    <w:p>
      <w:pPr>
        <w:pStyle w:val="BodyText"/>
        <w:spacing w:before="1"/>
        <w:rPr>
          <w:sz w:val="26"/>
        </w:rPr>
      </w:pPr>
    </w:p>
    <w:p>
      <w:pPr>
        <w:pStyle w:val="BodyText"/>
        <w:spacing w:line="285" w:lineRule="auto"/>
        <w:ind w:left="110" w:right="107"/>
        <w:jc w:val="both"/>
      </w:pPr>
      <w:r>
        <w:rPr>
          <w:color w:val="231F20"/>
          <w:w w:val="105"/>
        </w:rPr>
        <w:t>No obstante estos esfuerzos, es un hecho que existen demandas no canalizables por estos medios, por </w:t>
      </w:r>
      <w:r>
        <w:rPr>
          <w:color w:val="231F20"/>
          <w:spacing w:val="-3"/>
          <w:w w:val="105"/>
        </w:rPr>
        <w:t>ejemplo, </w:t>
      </w:r>
      <w:r>
        <w:rPr>
          <w:color w:val="231F20"/>
          <w:w w:val="105"/>
        </w:rPr>
        <w:t>de la gente en situación de marginación, e incluso de gente que</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encuentra</w:t>
      </w:r>
      <w:r>
        <w:rPr>
          <w:color w:val="231F20"/>
          <w:spacing w:val="-4"/>
          <w:w w:val="105"/>
        </w:rPr>
        <w:t> </w:t>
      </w:r>
      <w:r>
        <w:rPr>
          <w:color w:val="231F20"/>
          <w:w w:val="105"/>
        </w:rPr>
        <w:t>en</w:t>
      </w:r>
      <w:r>
        <w:rPr>
          <w:color w:val="231F20"/>
          <w:spacing w:val="-4"/>
          <w:w w:val="105"/>
        </w:rPr>
        <w:t> </w:t>
      </w:r>
      <w:r>
        <w:rPr>
          <w:color w:val="231F20"/>
          <w:w w:val="105"/>
        </w:rPr>
        <w:t>esa</w:t>
      </w:r>
      <w:r>
        <w:rPr>
          <w:color w:val="231F20"/>
          <w:spacing w:val="-4"/>
          <w:w w:val="105"/>
        </w:rPr>
        <w:t> </w:t>
      </w:r>
      <w:r>
        <w:rPr>
          <w:color w:val="231F20"/>
          <w:w w:val="105"/>
        </w:rPr>
        <w:t>situación,</w:t>
      </w:r>
      <w:r>
        <w:rPr>
          <w:color w:val="231F20"/>
          <w:spacing w:val="-4"/>
          <w:w w:val="105"/>
        </w:rPr>
        <w:t> </w:t>
      </w:r>
      <w:r>
        <w:rPr>
          <w:color w:val="231F20"/>
          <w:w w:val="105"/>
        </w:rPr>
        <w:t>pero</w:t>
      </w:r>
      <w:r>
        <w:rPr>
          <w:color w:val="231F20"/>
          <w:spacing w:val="-4"/>
          <w:w w:val="105"/>
        </w:rPr>
        <w:t> </w:t>
      </w:r>
      <w:r>
        <w:rPr>
          <w:color w:val="231F20"/>
          <w:w w:val="105"/>
        </w:rPr>
        <w:t>que</w:t>
      </w:r>
      <w:r>
        <w:rPr>
          <w:color w:val="231F20"/>
          <w:spacing w:val="-4"/>
          <w:w w:val="105"/>
        </w:rPr>
        <w:t> </w:t>
      </w:r>
      <w:r>
        <w:rPr>
          <w:color w:val="231F20"/>
          <w:w w:val="105"/>
        </w:rPr>
        <w:t>no</w:t>
      </w:r>
      <w:r>
        <w:rPr>
          <w:color w:val="231F20"/>
          <w:spacing w:val="-4"/>
          <w:w w:val="105"/>
        </w:rPr>
        <w:t> </w:t>
      </w:r>
      <w:r>
        <w:rPr>
          <w:color w:val="231F20"/>
          <w:w w:val="105"/>
        </w:rPr>
        <w:t>tiene</w:t>
      </w:r>
      <w:r>
        <w:rPr>
          <w:color w:val="231F20"/>
          <w:spacing w:val="-4"/>
          <w:w w:val="105"/>
        </w:rPr>
        <w:t> </w:t>
      </w:r>
      <w:r>
        <w:rPr>
          <w:color w:val="231F20"/>
          <w:w w:val="105"/>
        </w:rPr>
        <w:t>posibilidades</w:t>
      </w:r>
      <w:r>
        <w:rPr>
          <w:color w:val="231F20"/>
          <w:spacing w:val="-4"/>
          <w:w w:val="105"/>
        </w:rPr>
        <w:t> </w:t>
      </w:r>
      <w:r>
        <w:rPr>
          <w:color w:val="231F20"/>
          <w:w w:val="105"/>
        </w:rPr>
        <w:t>de</w:t>
      </w:r>
      <w:r>
        <w:rPr>
          <w:color w:val="231F20"/>
          <w:spacing w:val="-4"/>
          <w:w w:val="105"/>
        </w:rPr>
        <w:t> </w:t>
      </w:r>
      <w:r>
        <w:rPr>
          <w:color w:val="231F20"/>
          <w:w w:val="105"/>
        </w:rPr>
        <w:t>tener</w:t>
      </w:r>
      <w:r>
        <w:rPr>
          <w:color w:val="231F20"/>
          <w:spacing w:val="-4"/>
          <w:w w:val="105"/>
        </w:rPr>
        <w:t> </w:t>
      </w:r>
      <w:r>
        <w:rPr>
          <w:color w:val="231F20"/>
          <w:w w:val="105"/>
        </w:rPr>
        <w:t>acceso</w:t>
      </w:r>
      <w:r>
        <w:rPr>
          <w:color w:val="231F20"/>
          <w:spacing w:val="-4"/>
          <w:w w:val="105"/>
        </w:rPr>
        <w:t> </w:t>
      </w:r>
      <w:r>
        <w:rPr>
          <w:color w:val="231F20"/>
          <w:w w:val="105"/>
        </w:rPr>
        <w:t>a internet</w:t>
      </w:r>
      <w:r>
        <w:rPr>
          <w:color w:val="231F20"/>
          <w:spacing w:val="-10"/>
          <w:w w:val="105"/>
        </w:rPr>
        <w:t> </w:t>
      </w:r>
      <w:r>
        <w:rPr>
          <w:color w:val="231F20"/>
          <w:w w:val="105"/>
        </w:rPr>
        <w:t>o</w:t>
      </w:r>
      <w:r>
        <w:rPr>
          <w:color w:val="231F20"/>
          <w:spacing w:val="-10"/>
          <w:w w:val="105"/>
        </w:rPr>
        <w:t> </w:t>
      </w:r>
      <w:r>
        <w:rPr>
          <w:color w:val="231F20"/>
          <w:spacing w:val="-3"/>
          <w:w w:val="105"/>
        </w:rPr>
        <w:t>teléfono,</w:t>
      </w:r>
      <w:r>
        <w:rPr>
          <w:color w:val="231F20"/>
          <w:spacing w:val="-10"/>
          <w:w w:val="105"/>
        </w:rPr>
        <w:t> </w:t>
      </w:r>
      <w:r>
        <w:rPr>
          <w:color w:val="231F20"/>
          <w:w w:val="105"/>
        </w:rPr>
        <w:t>o</w:t>
      </w:r>
      <w:r>
        <w:rPr>
          <w:color w:val="231F20"/>
          <w:spacing w:val="-10"/>
          <w:w w:val="105"/>
        </w:rPr>
        <w:t> </w:t>
      </w:r>
      <w:r>
        <w:rPr>
          <w:color w:val="231F20"/>
          <w:w w:val="105"/>
        </w:rPr>
        <w:t>no</w:t>
      </w:r>
      <w:r>
        <w:rPr>
          <w:color w:val="231F20"/>
          <w:spacing w:val="-10"/>
          <w:w w:val="105"/>
        </w:rPr>
        <w:t> </w:t>
      </w:r>
      <w:r>
        <w:rPr>
          <w:color w:val="231F20"/>
          <w:w w:val="105"/>
        </w:rPr>
        <w:t>cuenta</w:t>
      </w:r>
      <w:r>
        <w:rPr>
          <w:color w:val="231F20"/>
          <w:spacing w:val="-10"/>
          <w:w w:val="105"/>
        </w:rPr>
        <w:t> </w:t>
      </w:r>
      <w:r>
        <w:rPr>
          <w:color w:val="231F20"/>
          <w:w w:val="105"/>
        </w:rPr>
        <w:t>con</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económicos</w:t>
      </w:r>
      <w:r>
        <w:rPr>
          <w:color w:val="231F20"/>
          <w:spacing w:val="-10"/>
          <w:w w:val="105"/>
        </w:rPr>
        <w:t> </w:t>
      </w:r>
      <w:r>
        <w:rPr>
          <w:color w:val="231F20"/>
          <w:w w:val="105"/>
        </w:rPr>
        <w:t>o</w:t>
      </w:r>
      <w:r>
        <w:rPr>
          <w:color w:val="231F20"/>
          <w:spacing w:val="-10"/>
          <w:w w:val="105"/>
        </w:rPr>
        <w:t> </w:t>
      </w:r>
      <w:r>
        <w:rPr>
          <w:color w:val="231F20"/>
          <w:w w:val="105"/>
        </w:rPr>
        <w:t>el</w:t>
      </w:r>
      <w:r>
        <w:rPr>
          <w:color w:val="231F20"/>
          <w:spacing w:val="-10"/>
          <w:w w:val="105"/>
        </w:rPr>
        <w:t> </w:t>
      </w:r>
      <w:r>
        <w:rPr>
          <w:color w:val="231F20"/>
          <w:w w:val="105"/>
        </w:rPr>
        <w:t>tiempo</w:t>
      </w:r>
      <w:r>
        <w:rPr>
          <w:color w:val="231F20"/>
          <w:spacing w:val="-10"/>
          <w:w w:val="105"/>
        </w:rPr>
        <w:t> </w:t>
      </w:r>
      <w:r>
        <w:rPr>
          <w:color w:val="231F20"/>
          <w:w w:val="105"/>
        </w:rPr>
        <w:t>para</w:t>
      </w:r>
      <w:r>
        <w:rPr>
          <w:color w:val="231F20"/>
          <w:spacing w:val="-10"/>
          <w:w w:val="105"/>
        </w:rPr>
        <w:t> </w:t>
      </w:r>
      <w:r>
        <w:rPr>
          <w:color w:val="231F20"/>
          <w:w w:val="105"/>
        </w:rPr>
        <w:t>trasladar- se</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presidencia</w:t>
      </w:r>
      <w:r>
        <w:rPr>
          <w:color w:val="231F20"/>
          <w:spacing w:val="-10"/>
          <w:w w:val="105"/>
        </w:rPr>
        <w:t> </w:t>
      </w:r>
      <w:r>
        <w:rPr>
          <w:color w:val="231F20"/>
          <w:w w:val="105"/>
        </w:rPr>
        <w:t>municipal</w:t>
      </w:r>
      <w:r>
        <w:rPr>
          <w:color w:val="231F20"/>
          <w:spacing w:val="-10"/>
          <w:w w:val="105"/>
        </w:rPr>
        <w:t> </w:t>
      </w:r>
      <w:r>
        <w:rPr>
          <w:color w:val="231F20"/>
          <w:w w:val="105"/>
        </w:rPr>
        <w:t>y</w:t>
      </w:r>
      <w:r>
        <w:rPr>
          <w:color w:val="231F20"/>
          <w:spacing w:val="-10"/>
          <w:w w:val="105"/>
        </w:rPr>
        <w:t> </w:t>
      </w:r>
      <w:r>
        <w:rPr>
          <w:color w:val="231F20"/>
          <w:w w:val="105"/>
        </w:rPr>
        <w:t>externar</w:t>
      </w:r>
      <w:r>
        <w:rPr>
          <w:color w:val="231F20"/>
          <w:spacing w:val="-10"/>
          <w:w w:val="105"/>
        </w:rPr>
        <w:t> </w:t>
      </w:r>
      <w:r>
        <w:rPr>
          <w:color w:val="231F20"/>
          <w:w w:val="105"/>
        </w:rPr>
        <w:t>sus</w:t>
      </w:r>
      <w:r>
        <w:rPr>
          <w:color w:val="231F20"/>
          <w:spacing w:val="-10"/>
          <w:w w:val="105"/>
        </w:rPr>
        <w:t> </w:t>
      </w:r>
      <w:r>
        <w:rPr>
          <w:color w:val="231F20"/>
          <w:w w:val="105"/>
        </w:rPr>
        <w:t>demandas.</w:t>
      </w:r>
      <w:r>
        <w:rPr>
          <w:color w:val="231F20"/>
          <w:spacing w:val="-10"/>
          <w:w w:val="105"/>
        </w:rPr>
        <w:t> </w:t>
      </w:r>
      <w:r>
        <w:rPr>
          <w:color w:val="231F20"/>
          <w:w w:val="105"/>
        </w:rPr>
        <w:t>Esa</w:t>
      </w:r>
      <w:r>
        <w:rPr>
          <w:color w:val="231F20"/>
          <w:spacing w:val="-10"/>
          <w:w w:val="105"/>
        </w:rPr>
        <w:t> </w:t>
      </w:r>
      <w:r>
        <w:rPr>
          <w:color w:val="231F20"/>
          <w:w w:val="105"/>
        </w:rPr>
        <w:t>gente</w:t>
      </w:r>
      <w:r>
        <w:rPr>
          <w:color w:val="231F20"/>
          <w:spacing w:val="-10"/>
          <w:w w:val="105"/>
        </w:rPr>
        <w:t> </w:t>
      </w:r>
      <w:r>
        <w:rPr>
          <w:color w:val="231F20"/>
          <w:w w:val="105"/>
        </w:rPr>
        <w:t>sigue</w:t>
      </w:r>
      <w:r>
        <w:rPr>
          <w:color w:val="231F20"/>
          <w:spacing w:val="-10"/>
          <w:w w:val="105"/>
        </w:rPr>
        <w:t> </w:t>
      </w:r>
      <w:r>
        <w:rPr>
          <w:color w:val="231F20"/>
          <w:w w:val="105"/>
        </w:rPr>
        <w:t>quedando</w:t>
      </w:r>
      <w:r>
        <w:rPr>
          <w:color w:val="231F20"/>
          <w:spacing w:val="-10"/>
          <w:w w:val="105"/>
        </w:rPr>
        <w:t> </w:t>
      </w:r>
      <w:r>
        <w:rPr>
          <w:color w:val="231F20"/>
          <w:w w:val="105"/>
        </w:rPr>
        <w:t>fuera de</w:t>
      </w:r>
      <w:r>
        <w:rPr>
          <w:color w:val="231F20"/>
          <w:spacing w:val="-14"/>
          <w:w w:val="105"/>
        </w:rPr>
        <w:t> </w:t>
      </w:r>
      <w:r>
        <w:rPr>
          <w:color w:val="231F20"/>
          <w:w w:val="105"/>
        </w:rPr>
        <w:t>estos</w:t>
      </w:r>
      <w:r>
        <w:rPr>
          <w:color w:val="231F20"/>
          <w:spacing w:val="-14"/>
          <w:w w:val="105"/>
        </w:rPr>
        <w:t> </w:t>
      </w:r>
      <w:r>
        <w:rPr>
          <w:color w:val="231F20"/>
          <w:w w:val="105"/>
        </w:rPr>
        <w:t>enfoques</w:t>
      </w:r>
      <w:r>
        <w:rPr>
          <w:color w:val="231F20"/>
          <w:spacing w:val="-14"/>
          <w:w w:val="105"/>
        </w:rPr>
        <w:t> </w:t>
      </w:r>
      <w:r>
        <w:rPr>
          <w:color w:val="231F20"/>
          <w:w w:val="105"/>
        </w:rPr>
        <w:t>de</w:t>
      </w:r>
      <w:r>
        <w:rPr>
          <w:color w:val="231F20"/>
          <w:spacing w:val="-14"/>
          <w:w w:val="105"/>
        </w:rPr>
        <w:t> </w:t>
      </w:r>
      <w:r>
        <w:rPr>
          <w:color w:val="231F20"/>
          <w:w w:val="105"/>
        </w:rPr>
        <w:t>modernización</w:t>
      </w:r>
      <w:r>
        <w:rPr>
          <w:color w:val="231F20"/>
          <w:spacing w:val="-14"/>
          <w:w w:val="105"/>
        </w:rPr>
        <w:t> </w:t>
      </w:r>
      <w:r>
        <w:rPr>
          <w:color w:val="231F20"/>
          <w:w w:val="105"/>
        </w:rPr>
        <w:t>y</w:t>
      </w:r>
      <w:r>
        <w:rPr>
          <w:color w:val="231F20"/>
          <w:spacing w:val="-14"/>
          <w:w w:val="105"/>
        </w:rPr>
        <w:t> </w:t>
      </w:r>
      <w:r>
        <w:rPr>
          <w:color w:val="231F20"/>
          <w:w w:val="105"/>
        </w:rPr>
        <w:t>ese</w:t>
      </w:r>
      <w:r>
        <w:rPr>
          <w:color w:val="231F20"/>
          <w:spacing w:val="-14"/>
          <w:w w:val="105"/>
        </w:rPr>
        <w:t> </w:t>
      </w:r>
      <w:r>
        <w:rPr>
          <w:color w:val="231F20"/>
          <w:w w:val="105"/>
        </w:rPr>
        <w:t>es</w:t>
      </w:r>
      <w:r>
        <w:rPr>
          <w:color w:val="231F20"/>
          <w:spacing w:val="-14"/>
          <w:w w:val="105"/>
        </w:rPr>
        <w:t> </w:t>
      </w:r>
      <w:r>
        <w:rPr>
          <w:color w:val="231F20"/>
          <w:w w:val="105"/>
        </w:rPr>
        <w:t>el</w:t>
      </w:r>
      <w:r>
        <w:rPr>
          <w:color w:val="231F20"/>
          <w:spacing w:val="-14"/>
          <w:w w:val="105"/>
        </w:rPr>
        <w:t> </w:t>
      </w:r>
      <w:r>
        <w:rPr>
          <w:color w:val="231F20"/>
          <w:w w:val="105"/>
        </w:rPr>
        <w:t>gran</w:t>
      </w:r>
      <w:r>
        <w:rPr>
          <w:color w:val="231F20"/>
          <w:spacing w:val="-14"/>
          <w:w w:val="105"/>
        </w:rPr>
        <w:t> </w:t>
      </w:r>
      <w:r>
        <w:rPr>
          <w:color w:val="231F20"/>
          <w:w w:val="105"/>
        </w:rPr>
        <w:t>déficit</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mismos.</w:t>
      </w:r>
    </w:p>
    <w:p>
      <w:pPr>
        <w:pStyle w:val="BodyText"/>
        <w:spacing w:before="1"/>
        <w:rPr>
          <w:sz w:val="26"/>
        </w:rPr>
      </w:pPr>
    </w:p>
    <w:p>
      <w:pPr>
        <w:pStyle w:val="BodyText"/>
        <w:spacing w:line="285" w:lineRule="auto"/>
        <w:ind w:left="110" w:right="107"/>
        <w:jc w:val="both"/>
      </w:pPr>
      <w:r>
        <w:rPr>
          <w:color w:val="231F20"/>
          <w:w w:val="105"/>
        </w:rPr>
        <w:t>El</w:t>
      </w:r>
      <w:r>
        <w:rPr>
          <w:color w:val="231F20"/>
          <w:spacing w:val="-20"/>
          <w:w w:val="105"/>
        </w:rPr>
        <w:t> </w:t>
      </w:r>
      <w:r>
        <w:rPr>
          <w:color w:val="231F20"/>
          <w:spacing w:val="-3"/>
          <w:w w:val="105"/>
        </w:rPr>
        <w:t>acercamiento</w:t>
      </w:r>
      <w:r>
        <w:rPr>
          <w:color w:val="231F20"/>
          <w:spacing w:val="-20"/>
          <w:w w:val="105"/>
        </w:rPr>
        <w:t> </w:t>
      </w:r>
      <w:r>
        <w:rPr>
          <w:color w:val="231F20"/>
          <w:spacing w:val="-3"/>
          <w:w w:val="105"/>
        </w:rPr>
        <w:t>con</w:t>
      </w:r>
      <w:r>
        <w:rPr>
          <w:color w:val="231F20"/>
          <w:spacing w:val="-20"/>
          <w:w w:val="105"/>
        </w:rPr>
        <w:t> </w:t>
      </w:r>
      <w:r>
        <w:rPr>
          <w:color w:val="231F20"/>
          <w:w w:val="105"/>
        </w:rPr>
        <w:t>la</w:t>
      </w:r>
      <w:r>
        <w:rPr>
          <w:color w:val="231F20"/>
          <w:spacing w:val="-20"/>
          <w:w w:val="105"/>
        </w:rPr>
        <w:t> </w:t>
      </w:r>
      <w:r>
        <w:rPr>
          <w:color w:val="231F20"/>
          <w:spacing w:val="-4"/>
          <w:w w:val="105"/>
        </w:rPr>
        <w:t>gente</w:t>
      </w:r>
      <w:r>
        <w:rPr>
          <w:color w:val="231F20"/>
          <w:spacing w:val="-20"/>
          <w:w w:val="105"/>
        </w:rPr>
        <w:t> </w:t>
      </w:r>
      <w:r>
        <w:rPr>
          <w:color w:val="231F20"/>
          <w:spacing w:val="-3"/>
          <w:w w:val="105"/>
        </w:rPr>
        <w:t>que</w:t>
      </w:r>
      <w:r>
        <w:rPr>
          <w:color w:val="231F20"/>
          <w:spacing w:val="-20"/>
          <w:w w:val="105"/>
        </w:rPr>
        <w:t> </w:t>
      </w:r>
      <w:r>
        <w:rPr>
          <w:color w:val="231F20"/>
          <w:spacing w:val="-3"/>
          <w:w w:val="105"/>
        </w:rPr>
        <w:t>no</w:t>
      </w:r>
      <w:r>
        <w:rPr>
          <w:color w:val="231F20"/>
          <w:spacing w:val="-20"/>
          <w:w w:val="105"/>
        </w:rPr>
        <w:t> </w:t>
      </w:r>
      <w:r>
        <w:rPr>
          <w:color w:val="231F20"/>
          <w:spacing w:val="-3"/>
          <w:w w:val="105"/>
        </w:rPr>
        <w:t>tiene</w:t>
      </w:r>
      <w:r>
        <w:rPr>
          <w:color w:val="231F20"/>
          <w:spacing w:val="-20"/>
          <w:w w:val="105"/>
        </w:rPr>
        <w:t> </w:t>
      </w:r>
      <w:r>
        <w:rPr>
          <w:color w:val="231F20"/>
          <w:spacing w:val="-3"/>
          <w:w w:val="105"/>
        </w:rPr>
        <w:t>cabida</w:t>
      </w:r>
      <w:r>
        <w:rPr>
          <w:color w:val="231F20"/>
          <w:spacing w:val="-20"/>
          <w:w w:val="105"/>
        </w:rPr>
        <w:t> </w:t>
      </w:r>
      <w:r>
        <w:rPr>
          <w:color w:val="231F20"/>
          <w:w w:val="105"/>
        </w:rPr>
        <w:t>en</w:t>
      </w:r>
      <w:r>
        <w:rPr>
          <w:color w:val="231F20"/>
          <w:spacing w:val="-20"/>
          <w:w w:val="105"/>
        </w:rPr>
        <w:t> </w:t>
      </w:r>
      <w:r>
        <w:rPr>
          <w:color w:val="231F20"/>
          <w:w w:val="105"/>
        </w:rPr>
        <w:t>estos</w:t>
      </w:r>
      <w:r>
        <w:rPr>
          <w:color w:val="231F20"/>
          <w:spacing w:val="-20"/>
          <w:w w:val="105"/>
        </w:rPr>
        <w:t> </w:t>
      </w:r>
      <w:r>
        <w:rPr>
          <w:color w:val="231F20"/>
          <w:spacing w:val="-3"/>
          <w:w w:val="105"/>
        </w:rPr>
        <w:t>enfoques</w:t>
      </w:r>
      <w:r>
        <w:rPr>
          <w:color w:val="231F20"/>
          <w:spacing w:val="-20"/>
          <w:w w:val="105"/>
        </w:rPr>
        <w:t> </w:t>
      </w:r>
      <w:r>
        <w:rPr>
          <w:color w:val="231F20"/>
          <w:spacing w:val="-3"/>
          <w:w w:val="105"/>
        </w:rPr>
        <w:t>debe</w:t>
      </w:r>
      <w:r>
        <w:rPr>
          <w:color w:val="231F20"/>
          <w:spacing w:val="-20"/>
          <w:w w:val="105"/>
        </w:rPr>
        <w:t> </w:t>
      </w:r>
      <w:r>
        <w:rPr>
          <w:color w:val="231F20"/>
          <w:spacing w:val="-2"/>
          <w:w w:val="105"/>
        </w:rPr>
        <w:t>ser</w:t>
      </w:r>
      <w:r>
        <w:rPr>
          <w:color w:val="231F20"/>
          <w:spacing w:val="-20"/>
          <w:w w:val="105"/>
        </w:rPr>
        <w:t> </w:t>
      </w:r>
      <w:r>
        <w:rPr>
          <w:color w:val="231F20"/>
          <w:spacing w:val="-4"/>
          <w:w w:val="105"/>
        </w:rPr>
        <w:t>prioridad</w:t>
      </w:r>
      <w:r>
        <w:rPr>
          <w:color w:val="231F20"/>
          <w:spacing w:val="-20"/>
          <w:w w:val="105"/>
        </w:rPr>
        <w:t> </w:t>
      </w:r>
      <w:r>
        <w:rPr>
          <w:color w:val="231F20"/>
          <w:w w:val="105"/>
        </w:rPr>
        <w:t>para impulsar</w:t>
      </w:r>
      <w:r>
        <w:rPr>
          <w:color w:val="231F20"/>
          <w:spacing w:val="-27"/>
          <w:w w:val="105"/>
        </w:rPr>
        <w:t> </w:t>
      </w:r>
      <w:r>
        <w:rPr>
          <w:color w:val="231F20"/>
          <w:spacing w:val="-4"/>
          <w:w w:val="105"/>
        </w:rPr>
        <w:t>nuevos</w:t>
      </w:r>
      <w:r>
        <w:rPr>
          <w:color w:val="231F20"/>
          <w:spacing w:val="-27"/>
          <w:w w:val="105"/>
        </w:rPr>
        <w:t> </w:t>
      </w:r>
      <w:r>
        <w:rPr>
          <w:color w:val="231F20"/>
          <w:w w:val="105"/>
        </w:rPr>
        <w:t>mecanismos</w:t>
      </w:r>
      <w:r>
        <w:rPr>
          <w:color w:val="231F20"/>
          <w:spacing w:val="-27"/>
          <w:w w:val="105"/>
        </w:rPr>
        <w:t> </w:t>
      </w:r>
      <w:r>
        <w:rPr>
          <w:color w:val="231F20"/>
          <w:w w:val="105"/>
        </w:rPr>
        <w:t>de</w:t>
      </w:r>
      <w:r>
        <w:rPr>
          <w:color w:val="231F20"/>
          <w:spacing w:val="-27"/>
          <w:w w:val="105"/>
        </w:rPr>
        <w:t> </w:t>
      </w:r>
      <w:r>
        <w:rPr>
          <w:color w:val="231F20"/>
          <w:spacing w:val="-3"/>
          <w:w w:val="105"/>
        </w:rPr>
        <w:t>acercamiento</w:t>
      </w:r>
      <w:r>
        <w:rPr>
          <w:color w:val="231F20"/>
          <w:spacing w:val="-27"/>
          <w:w w:val="105"/>
        </w:rPr>
        <w:t> </w:t>
      </w:r>
      <w:r>
        <w:rPr>
          <w:color w:val="231F20"/>
          <w:spacing w:val="-3"/>
          <w:w w:val="105"/>
        </w:rPr>
        <w:t>entre</w:t>
      </w:r>
      <w:r>
        <w:rPr>
          <w:color w:val="231F20"/>
          <w:spacing w:val="-27"/>
          <w:w w:val="105"/>
        </w:rPr>
        <w:t> </w:t>
      </w:r>
      <w:r>
        <w:rPr>
          <w:color w:val="231F20"/>
          <w:w w:val="105"/>
        </w:rPr>
        <w:t>el</w:t>
      </w:r>
      <w:r>
        <w:rPr>
          <w:color w:val="231F20"/>
          <w:spacing w:val="-27"/>
          <w:w w:val="105"/>
        </w:rPr>
        <w:t> </w:t>
      </w:r>
      <w:r>
        <w:rPr>
          <w:color w:val="231F20"/>
          <w:spacing w:val="-4"/>
          <w:w w:val="105"/>
        </w:rPr>
        <w:t>gobierno</w:t>
      </w:r>
      <w:r>
        <w:rPr>
          <w:color w:val="231F20"/>
          <w:spacing w:val="-27"/>
          <w:w w:val="105"/>
        </w:rPr>
        <w:t> </w:t>
      </w:r>
      <w:r>
        <w:rPr>
          <w:color w:val="231F20"/>
          <w:w w:val="105"/>
        </w:rPr>
        <w:t>y</w:t>
      </w:r>
      <w:r>
        <w:rPr>
          <w:color w:val="231F20"/>
          <w:spacing w:val="-27"/>
          <w:w w:val="105"/>
        </w:rPr>
        <w:t> </w:t>
      </w:r>
      <w:r>
        <w:rPr>
          <w:color w:val="231F20"/>
          <w:w w:val="105"/>
        </w:rPr>
        <w:t>grupos</w:t>
      </w:r>
      <w:r>
        <w:rPr>
          <w:color w:val="231F20"/>
          <w:spacing w:val="-27"/>
          <w:w w:val="105"/>
        </w:rPr>
        <w:t> </w:t>
      </w:r>
      <w:r>
        <w:rPr>
          <w:color w:val="231F20"/>
          <w:w w:val="105"/>
        </w:rPr>
        <w:t>vulnerables,</w:t>
      </w:r>
      <w:r>
        <w:rPr>
          <w:color w:val="231F20"/>
          <w:spacing w:val="-27"/>
          <w:w w:val="105"/>
        </w:rPr>
        <w:t> </w:t>
      </w:r>
      <w:r>
        <w:rPr>
          <w:color w:val="231F20"/>
          <w:w w:val="105"/>
        </w:rPr>
        <w:t>po- </w:t>
      </w:r>
      <w:r>
        <w:rPr>
          <w:color w:val="231F20"/>
          <w:spacing w:val="-4"/>
          <w:w w:val="105"/>
        </w:rPr>
        <w:t>blación</w:t>
      </w:r>
      <w:r>
        <w:rPr>
          <w:color w:val="231F20"/>
          <w:spacing w:val="-32"/>
          <w:w w:val="105"/>
        </w:rPr>
        <w:t> </w:t>
      </w:r>
      <w:r>
        <w:rPr>
          <w:color w:val="231F20"/>
          <w:w w:val="105"/>
        </w:rPr>
        <w:t>marginada</w:t>
      </w:r>
      <w:r>
        <w:rPr>
          <w:color w:val="231F20"/>
          <w:spacing w:val="-32"/>
          <w:w w:val="105"/>
        </w:rPr>
        <w:t> </w:t>
      </w:r>
      <w:r>
        <w:rPr>
          <w:color w:val="231F20"/>
          <w:w w:val="105"/>
        </w:rPr>
        <w:t>y</w:t>
      </w:r>
      <w:r>
        <w:rPr>
          <w:color w:val="231F20"/>
          <w:spacing w:val="-32"/>
          <w:w w:val="105"/>
        </w:rPr>
        <w:t> </w:t>
      </w:r>
      <w:r>
        <w:rPr>
          <w:color w:val="231F20"/>
          <w:spacing w:val="-3"/>
          <w:w w:val="105"/>
        </w:rPr>
        <w:t>otros</w:t>
      </w:r>
      <w:r>
        <w:rPr>
          <w:color w:val="231F20"/>
          <w:spacing w:val="-32"/>
          <w:w w:val="105"/>
        </w:rPr>
        <w:t> </w:t>
      </w:r>
      <w:r>
        <w:rPr>
          <w:color w:val="231F20"/>
          <w:w w:val="105"/>
        </w:rPr>
        <w:t>grupos</w:t>
      </w:r>
      <w:r>
        <w:rPr>
          <w:color w:val="231F20"/>
          <w:spacing w:val="-32"/>
          <w:w w:val="105"/>
        </w:rPr>
        <w:t> </w:t>
      </w:r>
      <w:r>
        <w:rPr>
          <w:color w:val="231F20"/>
          <w:w w:val="105"/>
        </w:rPr>
        <w:t>cuyas</w:t>
      </w:r>
      <w:r>
        <w:rPr>
          <w:color w:val="231F20"/>
          <w:spacing w:val="-32"/>
          <w:w w:val="105"/>
        </w:rPr>
        <w:t> </w:t>
      </w:r>
      <w:r>
        <w:rPr>
          <w:color w:val="231F20"/>
          <w:spacing w:val="-4"/>
          <w:w w:val="105"/>
        </w:rPr>
        <w:t>necesidades</w:t>
      </w:r>
      <w:r>
        <w:rPr>
          <w:color w:val="231F20"/>
          <w:spacing w:val="-32"/>
          <w:w w:val="105"/>
        </w:rPr>
        <w:t> </w:t>
      </w:r>
      <w:r>
        <w:rPr>
          <w:color w:val="231F20"/>
          <w:w w:val="105"/>
        </w:rPr>
        <w:t>primordiales</w:t>
      </w:r>
      <w:r>
        <w:rPr>
          <w:color w:val="231F20"/>
          <w:spacing w:val="-32"/>
          <w:w w:val="105"/>
        </w:rPr>
        <w:t> </w:t>
      </w:r>
      <w:r>
        <w:rPr>
          <w:color w:val="231F20"/>
          <w:spacing w:val="-3"/>
          <w:w w:val="105"/>
        </w:rPr>
        <w:t>son</w:t>
      </w:r>
      <w:r>
        <w:rPr>
          <w:color w:val="231F20"/>
          <w:spacing w:val="-32"/>
          <w:w w:val="105"/>
        </w:rPr>
        <w:t> </w:t>
      </w:r>
      <w:r>
        <w:rPr>
          <w:color w:val="231F20"/>
          <w:spacing w:val="-3"/>
          <w:w w:val="105"/>
        </w:rPr>
        <w:t>los</w:t>
      </w:r>
      <w:r>
        <w:rPr>
          <w:color w:val="231F20"/>
          <w:spacing w:val="-32"/>
          <w:w w:val="105"/>
        </w:rPr>
        <w:t> </w:t>
      </w:r>
      <w:r>
        <w:rPr>
          <w:color w:val="231F20"/>
          <w:w w:val="105"/>
        </w:rPr>
        <w:t>servicios</w:t>
      </w:r>
      <w:r>
        <w:rPr>
          <w:color w:val="231F20"/>
          <w:spacing w:val="-32"/>
          <w:w w:val="105"/>
        </w:rPr>
        <w:t> </w:t>
      </w:r>
      <w:r>
        <w:rPr>
          <w:color w:val="231F20"/>
          <w:spacing w:val="-3"/>
          <w:w w:val="105"/>
        </w:rPr>
        <w:t>básicos </w:t>
      </w:r>
      <w:r>
        <w:rPr>
          <w:color w:val="231F20"/>
          <w:w w:val="105"/>
        </w:rPr>
        <w:t>y</w:t>
      </w:r>
      <w:r>
        <w:rPr>
          <w:color w:val="231F20"/>
          <w:spacing w:val="-23"/>
          <w:w w:val="105"/>
        </w:rPr>
        <w:t> </w:t>
      </w:r>
      <w:r>
        <w:rPr>
          <w:color w:val="231F20"/>
          <w:w w:val="105"/>
        </w:rPr>
        <w:t>la</w:t>
      </w:r>
      <w:r>
        <w:rPr>
          <w:color w:val="231F20"/>
          <w:spacing w:val="-23"/>
          <w:w w:val="105"/>
        </w:rPr>
        <w:t> </w:t>
      </w:r>
      <w:r>
        <w:rPr>
          <w:color w:val="231F20"/>
          <w:spacing w:val="-3"/>
          <w:w w:val="105"/>
        </w:rPr>
        <w:t>alimentación.</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caso</w:t>
      </w:r>
      <w:r>
        <w:rPr>
          <w:color w:val="231F20"/>
          <w:spacing w:val="-23"/>
          <w:w w:val="105"/>
        </w:rPr>
        <w:t> </w:t>
      </w:r>
      <w:r>
        <w:rPr>
          <w:color w:val="231F20"/>
          <w:spacing w:val="-3"/>
          <w:w w:val="105"/>
        </w:rPr>
        <w:t>del</w:t>
      </w:r>
      <w:r>
        <w:rPr>
          <w:color w:val="231F20"/>
          <w:spacing w:val="-23"/>
          <w:w w:val="105"/>
        </w:rPr>
        <w:t> </w:t>
      </w:r>
      <w:r>
        <w:rPr>
          <w:color w:val="231F20"/>
          <w:spacing w:val="-3"/>
          <w:w w:val="105"/>
        </w:rPr>
        <w:t>municipio</w:t>
      </w:r>
      <w:r>
        <w:rPr>
          <w:color w:val="231F20"/>
          <w:spacing w:val="-23"/>
          <w:w w:val="105"/>
        </w:rPr>
        <w:t> </w:t>
      </w:r>
      <w:r>
        <w:rPr>
          <w:color w:val="231F20"/>
          <w:w w:val="105"/>
        </w:rPr>
        <w:t>de</w:t>
      </w:r>
      <w:r>
        <w:rPr>
          <w:color w:val="231F20"/>
          <w:spacing w:val="-23"/>
          <w:w w:val="105"/>
        </w:rPr>
        <w:t> </w:t>
      </w:r>
      <w:r>
        <w:rPr>
          <w:color w:val="231F20"/>
          <w:w w:val="105"/>
        </w:rPr>
        <w:t>Tlalnepantla,</w:t>
      </w:r>
      <w:r>
        <w:rPr>
          <w:color w:val="231F20"/>
          <w:spacing w:val="-23"/>
          <w:w w:val="105"/>
        </w:rPr>
        <w:t> </w:t>
      </w:r>
      <w:r>
        <w:rPr>
          <w:color w:val="231F20"/>
          <w:spacing w:val="-3"/>
          <w:w w:val="105"/>
        </w:rPr>
        <w:t>nos</w:t>
      </w:r>
      <w:r>
        <w:rPr>
          <w:color w:val="231F20"/>
          <w:spacing w:val="-23"/>
          <w:w w:val="105"/>
        </w:rPr>
        <w:t> </w:t>
      </w:r>
      <w:r>
        <w:rPr>
          <w:color w:val="231F20"/>
          <w:spacing w:val="-3"/>
          <w:w w:val="105"/>
        </w:rPr>
        <w:t>referimos</w:t>
      </w:r>
      <w:r>
        <w:rPr>
          <w:color w:val="231F20"/>
          <w:spacing w:val="-23"/>
          <w:w w:val="105"/>
        </w:rPr>
        <w:t> </w:t>
      </w:r>
      <w:r>
        <w:rPr>
          <w:color w:val="231F20"/>
          <w:w w:val="105"/>
        </w:rPr>
        <w:t>a</w:t>
      </w:r>
      <w:r>
        <w:rPr>
          <w:color w:val="231F20"/>
          <w:spacing w:val="-23"/>
          <w:w w:val="105"/>
        </w:rPr>
        <w:t> </w:t>
      </w:r>
      <w:r>
        <w:rPr>
          <w:color w:val="231F20"/>
          <w:spacing w:val="-3"/>
          <w:w w:val="105"/>
        </w:rPr>
        <w:t>quienes</w:t>
      </w:r>
      <w:r>
        <w:rPr>
          <w:color w:val="231F20"/>
          <w:spacing w:val="-23"/>
          <w:w w:val="105"/>
        </w:rPr>
        <w:t> </w:t>
      </w:r>
      <w:r>
        <w:rPr>
          <w:color w:val="231F20"/>
          <w:w w:val="105"/>
        </w:rPr>
        <w:t>se</w:t>
      </w:r>
      <w:r>
        <w:rPr>
          <w:color w:val="231F20"/>
          <w:spacing w:val="-23"/>
          <w:w w:val="105"/>
        </w:rPr>
        <w:t> </w:t>
      </w:r>
      <w:r>
        <w:rPr>
          <w:color w:val="231F20"/>
          <w:spacing w:val="-4"/>
          <w:w w:val="105"/>
        </w:rPr>
        <w:t>en-</w:t>
      </w:r>
    </w:p>
    <w:p>
      <w:pPr>
        <w:pStyle w:val="BodyText"/>
        <w:spacing w:before="7"/>
        <w:rPr>
          <w:sz w:val="13"/>
        </w:rPr>
      </w:pPr>
      <w:r>
        <w:rPr/>
        <w:pict>
          <v:line style="position:absolute;mso-position-horizontal-relative:page;mso-position-vertical-relative:paragraph;z-index:10576;mso-wrap-distance-left:0;mso-wrap-distance-right:0" from="42.519699pt,10.279696pt" to="330.519699pt,10.279696pt" stroked="true" strokeweight="1pt" strokecolor="#231f20">
            <w10:wrap type="topAndBottom"/>
          </v:line>
        </w:pict>
      </w:r>
    </w:p>
    <w:p>
      <w:pPr>
        <w:spacing w:line="244" w:lineRule="auto" w:before="8"/>
        <w:ind w:left="110" w:right="107" w:firstLine="0"/>
        <w:jc w:val="both"/>
        <w:rPr>
          <w:rFonts w:ascii="Calibri" w:hAnsi="Calibri"/>
          <w:sz w:val="16"/>
        </w:rPr>
      </w:pPr>
      <w:r>
        <w:rPr>
          <w:rFonts w:ascii="Calibri" w:hAnsi="Calibri"/>
          <w:color w:val="231F20"/>
          <w:sz w:val="16"/>
        </w:rPr>
        <w:t>servicios</w:t>
      </w:r>
      <w:r>
        <w:rPr>
          <w:rFonts w:ascii="Calibri" w:hAnsi="Calibri"/>
          <w:color w:val="231F20"/>
          <w:spacing w:val="-10"/>
          <w:sz w:val="16"/>
        </w:rPr>
        <w:t> </w:t>
      </w:r>
      <w:r>
        <w:rPr>
          <w:rFonts w:ascii="Calibri" w:hAnsi="Calibri"/>
          <w:color w:val="231F20"/>
          <w:sz w:val="16"/>
        </w:rPr>
        <w:t>públicos,</w:t>
      </w:r>
      <w:r>
        <w:rPr>
          <w:rFonts w:ascii="Calibri" w:hAnsi="Calibri"/>
          <w:color w:val="231F20"/>
          <w:spacing w:val="-10"/>
          <w:sz w:val="16"/>
        </w:rPr>
        <w:t> </w:t>
      </w:r>
      <w:r>
        <w:rPr>
          <w:rFonts w:ascii="Calibri" w:hAnsi="Calibri"/>
          <w:color w:val="231F20"/>
          <w:sz w:val="16"/>
        </w:rPr>
        <w:t>mejorar</w:t>
      </w:r>
      <w:r>
        <w:rPr>
          <w:rFonts w:ascii="Calibri" w:hAnsi="Calibri"/>
          <w:color w:val="231F20"/>
          <w:spacing w:val="-10"/>
          <w:sz w:val="16"/>
        </w:rPr>
        <w:t> </w:t>
      </w:r>
      <w:r>
        <w:rPr>
          <w:rFonts w:ascii="Calibri" w:hAnsi="Calibri"/>
          <w:color w:val="231F20"/>
          <w:sz w:val="16"/>
        </w:rPr>
        <w:t>el</w:t>
      </w:r>
      <w:r>
        <w:rPr>
          <w:rFonts w:ascii="Calibri" w:hAnsi="Calibri"/>
          <w:color w:val="231F20"/>
          <w:spacing w:val="-10"/>
          <w:sz w:val="16"/>
        </w:rPr>
        <w:t> </w:t>
      </w:r>
      <w:r>
        <w:rPr>
          <w:rFonts w:ascii="Calibri" w:hAnsi="Calibri"/>
          <w:color w:val="231F20"/>
          <w:sz w:val="16"/>
        </w:rPr>
        <w:t>acceso</w:t>
      </w:r>
      <w:r>
        <w:rPr>
          <w:rFonts w:ascii="Calibri" w:hAnsi="Calibri"/>
          <w:color w:val="231F20"/>
          <w:spacing w:val="-10"/>
          <w:sz w:val="16"/>
        </w:rPr>
        <w:t> </w:t>
      </w:r>
      <w:r>
        <w:rPr>
          <w:rFonts w:ascii="Calibri" w:hAnsi="Calibri"/>
          <w:color w:val="231F20"/>
          <w:sz w:val="16"/>
        </w:rPr>
        <w:t>a</w:t>
      </w:r>
      <w:r>
        <w:rPr>
          <w:rFonts w:ascii="Calibri" w:hAnsi="Calibri"/>
          <w:color w:val="231F20"/>
          <w:spacing w:val="-10"/>
          <w:sz w:val="16"/>
        </w:rPr>
        <w:t> </w:t>
      </w:r>
      <w:r>
        <w:rPr>
          <w:rFonts w:ascii="Calibri" w:hAnsi="Calibri"/>
          <w:color w:val="231F20"/>
          <w:sz w:val="16"/>
        </w:rPr>
        <w:t>información</w:t>
      </w:r>
      <w:r>
        <w:rPr>
          <w:rFonts w:ascii="Calibri" w:hAnsi="Calibri"/>
          <w:color w:val="231F20"/>
          <w:spacing w:val="-10"/>
          <w:sz w:val="16"/>
        </w:rPr>
        <w:t> </w:t>
      </w:r>
      <w:r>
        <w:rPr>
          <w:rFonts w:ascii="Calibri" w:hAnsi="Calibri"/>
          <w:color w:val="231F20"/>
          <w:sz w:val="16"/>
        </w:rPr>
        <w:t>pública,</w:t>
      </w:r>
      <w:r>
        <w:rPr>
          <w:rFonts w:ascii="Calibri" w:hAnsi="Calibri"/>
          <w:color w:val="231F20"/>
          <w:spacing w:val="-10"/>
          <w:sz w:val="16"/>
        </w:rPr>
        <w:t> </w:t>
      </w:r>
      <w:r>
        <w:rPr>
          <w:rFonts w:ascii="Calibri" w:hAnsi="Calibri"/>
          <w:color w:val="231F20"/>
          <w:sz w:val="16"/>
        </w:rPr>
        <w:t>incrementar</w:t>
      </w:r>
      <w:r>
        <w:rPr>
          <w:rFonts w:ascii="Calibri" w:hAnsi="Calibri"/>
          <w:color w:val="231F20"/>
          <w:spacing w:val="-10"/>
          <w:sz w:val="16"/>
        </w:rPr>
        <w:t> </w:t>
      </w:r>
      <w:r>
        <w:rPr>
          <w:rFonts w:ascii="Calibri" w:hAnsi="Calibri"/>
          <w:color w:val="231F20"/>
          <w:sz w:val="16"/>
        </w:rPr>
        <w:t>la</w:t>
      </w:r>
      <w:r>
        <w:rPr>
          <w:rFonts w:ascii="Calibri" w:hAnsi="Calibri"/>
          <w:color w:val="231F20"/>
          <w:spacing w:val="-10"/>
          <w:sz w:val="16"/>
        </w:rPr>
        <w:t> </w:t>
      </w:r>
      <w:r>
        <w:rPr>
          <w:rFonts w:ascii="Calibri" w:hAnsi="Calibri"/>
          <w:color w:val="231F20"/>
          <w:sz w:val="16"/>
        </w:rPr>
        <w:t>participación</w:t>
      </w:r>
      <w:r>
        <w:rPr>
          <w:rFonts w:ascii="Calibri" w:hAnsi="Calibri"/>
          <w:color w:val="231F20"/>
          <w:spacing w:val="-10"/>
          <w:sz w:val="16"/>
        </w:rPr>
        <w:t> </w:t>
      </w:r>
      <w:r>
        <w:rPr>
          <w:rFonts w:ascii="Calibri" w:hAnsi="Calibri"/>
          <w:color w:val="231F20"/>
          <w:sz w:val="16"/>
        </w:rPr>
        <w:t>ciudadana,</w:t>
      </w:r>
      <w:r>
        <w:rPr>
          <w:rFonts w:ascii="Calibri" w:hAnsi="Calibri"/>
          <w:color w:val="231F20"/>
          <w:spacing w:val="-10"/>
          <w:sz w:val="16"/>
        </w:rPr>
        <w:t> </w:t>
      </w:r>
      <w:r>
        <w:rPr>
          <w:rFonts w:ascii="Calibri" w:hAnsi="Calibri"/>
          <w:color w:val="231F20"/>
          <w:sz w:val="16"/>
        </w:rPr>
        <w:t>mejorar</w:t>
      </w:r>
      <w:r>
        <w:rPr>
          <w:rFonts w:ascii="Calibri" w:hAnsi="Calibri"/>
          <w:color w:val="231F20"/>
          <w:spacing w:val="-10"/>
          <w:sz w:val="16"/>
        </w:rPr>
        <w:t> </w:t>
      </w:r>
      <w:r>
        <w:rPr>
          <w:rFonts w:ascii="Calibri" w:hAnsi="Calibri"/>
          <w:color w:val="231F20"/>
          <w:sz w:val="16"/>
        </w:rPr>
        <w:t>la</w:t>
      </w:r>
      <w:r>
        <w:rPr>
          <w:rFonts w:ascii="Calibri" w:hAnsi="Calibri"/>
          <w:color w:val="231F20"/>
          <w:spacing w:val="-10"/>
          <w:sz w:val="16"/>
        </w:rPr>
        <w:t> </w:t>
      </w:r>
      <w:r>
        <w:rPr>
          <w:rFonts w:ascii="Calibri" w:hAnsi="Calibri"/>
          <w:color w:val="231F20"/>
          <w:sz w:val="16"/>
        </w:rPr>
        <w:t>accesibilidad de los servicios, entregándolos por medios electrónicos, reducción de Costos, mayor captación de ingresos, y rendición de cuentas</w:t>
      </w:r>
      <w:r>
        <w:rPr>
          <w:rFonts w:ascii="Calibri" w:hAnsi="Calibri"/>
          <w:color w:val="231F20"/>
          <w:spacing w:val="-15"/>
          <w:sz w:val="16"/>
        </w:rPr>
        <w:t> </w:t>
      </w:r>
      <w:r>
        <w:rPr>
          <w:rFonts w:ascii="Calibri" w:hAnsi="Calibri"/>
          <w:color w:val="231F20"/>
          <w:sz w:val="16"/>
        </w:rPr>
        <w:t>a</w:t>
      </w:r>
      <w:r>
        <w:rPr>
          <w:rFonts w:ascii="Calibri" w:hAnsi="Calibri"/>
          <w:color w:val="231F20"/>
          <w:spacing w:val="-15"/>
          <w:sz w:val="16"/>
        </w:rPr>
        <w:t> </w:t>
      </w:r>
      <w:r>
        <w:rPr>
          <w:rFonts w:ascii="Calibri" w:hAnsi="Calibri"/>
          <w:color w:val="231F20"/>
          <w:sz w:val="16"/>
        </w:rPr>
        <w:t>la</w:t>
      </w:r>
      <w:r>
        <w:rPr>
          <w:rFonts w:ascii="Calibri" w:hAnsi="Calibri"/>
          <w:color w:val="231F20"/>
          <w:spacing w:val="-15"/>
          <w:sz w:val="16"/>
        </w:rPr>
        <w:t> </w:t>
      </w:r>
      <w:r>
        <w:rPr>
          <w:rFonts w:ascii="Calibri" w:hAnsi="Calibri"/>
          <w:color w:val="231F20"/>
          <w:sz w:val="16"/>
        </w:rPr>
        <w:t>ciudadanía.</w:t>
      </w:r>
      <w:r>
        <w:rPr>
          <w:rFonts w:ascii="Calibri" w:hAnsi="Calibri"/>
          <w:color w:val="231F20"/>
          <w:spacing w:val="-15"/>
          <w:sz w:val="16"/>
        </w:rPr>
        <w:t> </w:t>
      </w:r>
      <w:hyperlink r:id="rId668">
        <w:r>
          <w:rPr>
            <w:rFonts w:ascii="Calibri" w:hAnsi="Calibri"/>
            <w:color w:val="231F20"/>
            <w:sz w:val="16"/>
          </w:rPr>
          <w:t>http://www.e-gobierno.gob.mx/</w:t>
        </w:r>
      </w:hyperlink>
    </w:p>
    <w:p>
      <w:pPr>
        <w:pStyle w:val="ListParagraph"/>
        <w:numPr>
          <w:ilvl w:val="0"/>
          <w:numId w:val="15"/>
        </w:numPr>
        <w:tabs>
          <w:tab w:pos="304" w:val="left" w:leader="none"/>
        </w:tabs>
        <w:spacing w:line="244" w:lineRule="auto" w:before="0" w:after="0"/>
        <w:ind w:left="110" w:right="108" w:firstLine="0"/>
        <w:jc w:val="both"/>
        <w:rPr>
          <w:sz w:val="16"/>
        </w:rPr>
      </w:pPr>
      <w:r>
        <w:rPr>
          <w:color w:val="231F20"/>
          <w:sz w:val="16"/>
        </w:rPr>
        <w:t>“requerimos una nueva Administración Publica, innovadora, responsable, de calidad, transparente en el manejo de los recursos, subsidiaria, eficiente, humanista y que promueva el bien común”. MENDOZA </w:t>
      </w:r>
      <w:r>
        <w:rPr>
          <w:color w:val="231F20"/>
          <w:spacing w:val="-3"/>
          <w:sz w:val="16"/>
        </w:rPr>
        <w:t>AYALA, </w:t>
      </w:r>
      <w:r>
        <w:rPr>
          <w:color w:val="231F20"/>
          <w:sz w:val="16"/>
        </w:rPr>
        <w:t>Rubén y Teresa GARDUÑO SUÁREZ,</w:t>
      </w:r>
      <w:r>
        <w:rPr>
          <w:color w:val="231F20"/>
          <w:spacing w:val="-21"/>
          <w:sz w:val="16"/>
        </w:rPr>
        <w:t> </w:t>
      </w:r>
      <w:r>
        <w:rPr>
          <w:color w:val="231F20"/>
          <w:sz w:val="16"/>
        </w:rPr>
        <w:t>Op.</w:t>
      </w:r>
      <w:r>
        <w:rPr>
          <w:color w:val="231F20"/>
          <w:spacing w:val="-21"/>
          <w:sz w:val="16"/>
        </w:rPr>
        <w:t> </w:t>
      </w:r>
      <w:r>
        <w:rPr>
          <w:color w:val="231F20"/>
          <w:sz w:val="16"/>
        </w:rPr>
        <w:t>Cit.,</w:t>
      </w:r>
      <w:r>
        <w:rPr>
          <w:color w:val="231F20"/>
          <w:spacing w:val="-21"/>
          <w:sz w:val="16"/>
        </w:rPr>
        <w:t> </w:t>
      </w:r>
      <w:r>
        <w:rPr>
          <w:color w:val="231F20"/>
          <w:sz w:val="16"/>
        </w:rPr>
        <w:t>p.</w:t>
      </w:r>
      <w:r>
        <w:rPr>
          <w:color w:val="231F20"/>
          <w:spacing w:val="-21"/>
          <w:sz w:val="16"/>
        </w:rPr>
        <w:t> </w:t>
      </w:r>
      <w:r>
        <w:rPr>
          <w:color w:val="231F20"/>
          <w:spacing w:val="-3"/>
          <w:sz w:val="16"/>
        </w:rPr>
        <w:t>130.</w:t>
      </w:r>
    </w:p>
    <w:p>
      <w:pPr>
        <w:spacing w:after="0" w:line="244" w:lineRule="auto"/>
        <w:jc w:val="both"/>
        <w:rPr>
          <w:sz w:val="16"/>
        </w:rPr>
        <w:sectPr>
          <w:footerReference w:type="default" r:id="rId667"/>
          <w:pgSz w:w="9640" w:h="12190"/>
          <w:pgMar w:footer="743" w:header="0" w:top="1120" w:bottom="940" w:left="740" w:right="740"/>
          <w:pgNumType w:start="300"/>
        </w:sectPr>
      </w:pPr>
    </w:p>
    <w:p>
      <w:pPr>
        <w:pStyle w:val="BodyText"/>
        <w:spacing w:before="8"/>
        <w:rPr>
          <w:rFonts w:ascii="Calibri"/>
          <w:sz w:val="10"/>
        </w:rPr>
      </w:pPr>
    </w:p>
    <w:p>
      <w:pPr>
        <w:pStyle w:val="BodyText"/>
        <w:spacing w:line="285" w:lineRule="auto" w:before="35"/>
        <w:ind w:left="110" w:right="107"/>
        <w:jc w:val="both"/>
      </w:pPr>
      <w:r>
        <w:rPr>
          <w:color w:val="231F20"/>
          <w:w w:val="105"/>
        </w:rPr>
        <w:t>cuentran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spacing w:val="-3"/>
          <w:w w:val="105"/>
        </w:rPr>
        <w:t>zona</w:t>
      </w:r>
      <w:r>
        <w:rPr>
          <w:color w:val="231F20"/>
          <w:spacing w:val="-14"/>
          <w:w w:val="105"/>
        </w:rPr>
        <w:t> </w:t>
      </w:r>
      <w:r>
        <w:rPr>
          <w:color w:val="231F20"/>
          <w:spacing w:val="-4"/>
          <w:w w:val="105"/>
        </w:rPr>
        <w:t>oriente</w:t>
      </w:r>
      <w:r>
        <w:rPr>
          <w:color w:val="231F20"/>
          <w:spacing w:val="-14"/>
          <w:w w:val="105"/>
        </w:rPr>
        <w:t> </w:t>
      </w:r>
      <w:r>
        <w:rPr>
          <w:color w:val="231F20"/>
          <w:spacing w:val="-3"/>
          <w:w w:val="105"/>
        </w:rPr>
        <w:t>del</w:t>
      </w:r>
      <w:r>
        <w:rPr>
          <w:color w:val="231F20"/>
          <w:spacing w:val="-14"/>
          <w:w w:val="105"/>
        </w:rPr>
        <w:t> </w:t>
      </w:r>
      <w:r>
        <w:rPr>
          <w:color w:val="231F20"/>
          <w:spacing w:val="-4"/>
          <w:w w:val="105"/>
        </w:rPr>
        <w:t>municipio.</w:t>
      </w:r>
      <w:r>
        <w:rPr>
          <w:color w:val="231F20"/>
          <w:spacing w:val="-14"/>
          <w:w w:val="105"/>
        </w:rPr>
        <w:t> </w:t>
      </w:r>
      <w:r>
        <w:rPr>
          <w:color w:val="231F20"/>
          <w:spacing w:val="-5"/>
          <w:w w:val="105"/>
        </w:rPr>
        <w:t>Por</w:t>
      </w:r>
      <w:r>
        <w:rPr>
          <w:color w:val="231F20"/>
          <w:spacing w:val="-14"/>
          <w:w w:val="105"/>
        </w:rPr>
        <w:t> </w:t>
      </w:r>
      <w:r>
        <w:rPr>
          <w:color w:val="231F20"/>
          <w:spacing w:val="-3"/>
          <w:w w:val="105"/>
        </w:rPr>
        <w:t>otro</w:t>
      </w:r>
      <w:r>
        <w:rPr>
          <w:color w:val="231F20"/>
          <w:spacing w:val="-14"/>
          <w:w w:val="105"/>
        </w:rPr>
        <w:t> </w:t>
      </w:r>
      <w:r>
        <w:rPr>
          <w:color w:val="231F20"/>
          <w:spacing w:val="-4"/>
          <w:w w:val="105"/>
        </w:rPr>
        <w:t>lado,</w:t>
      </w:r>
      <w:r>
        <w:rPr>
          <w:color w:val="231F20"/>
          <w:spacing w:val="-14"/>
          <w:w w:val="105"/>
        </w:rPr>
        <w:t> </w:t>
      </w:r>
      <w:r>
        <w:rPr>
          <w:color w:val="231F20"/>
          <w:w w:val="105"/>
        </w:rPr>
        <w:t>es</w:t>
      </w:r>
      <w:r>
        <w:rPr>
          <w:color w:val="231F20"/>
          <w:spacing w:val="-14"/>
          <w:w w:val="105"/>
        </w:rPr>
        <w:t> </w:t>
      </w:r>
      <w:r>
        <w:rPr>
          <w:color w:val="231F20"/>
          <w:w w:val="105"/>
        </w:rPr>
        <w:t>una</w:t>
      </w:r>
      <w:r>
        <w:rPr>
          <w:color w:val="231F20"/>
          <w:spacing w:val="-14"/>
          <w:w w:val="105"/>
        </w:rPr>
        <w:t> </w:t>
      </w:r>
      <w:r>
        <w:rPr>
          <w:color w:val="231F20"/>
          <w:w w:val="105"/>
        </w:rPr>
        <w:t>constante</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spacing w:val="-3"/>
          <w:w w:val="105"/>
        </w:rPr>
        <w:t>gestiones </w:t>
      </w:r>
      <w:r>
        <w:rPr>
          <w:color w:val="231F20"/>
          <w:w w:val="105"/>
        </w:rPr>
        <w:t>panistas</w:t>
      </w:r>
      <w:r>
        <w:rPr>
          <w:color w:val="231F20"/>
          <w:spacing w:val="-12"/>
          <w:w w:val="105"/>
        </w:rPr>
        <w:t> </w:t>
      </w:r>
      <w:r>
        <w:rPr>
          <w:color w:val="231F20"/>
          <w:w w:val="105"/>
        </w:rPr>
        <w:t>el</w:t>
      </w:r>
      <w:r>
        <w:rPr>
          <w:color w:val="231F20"/>
          <w:spacing w:val="-12"/>
          <w:w w:val="105"/>
        </w:rPr>
        <w:t> </w:t>
      </w:r>
      <w:r>
        <w:rPr>
          <w:color w:val="231F20"/>
          <w:w w:val="105"/>
        </w:rPr>
        <w:t>darle</w:t>
      </w:r>
      <w:r>
        <w:rPr>
          <w:color w:val="231F20"/>
          <w:spacing w:val="-12"/>
          <w:w w:val="105"/>
        </w:rPr>
        <w:t> </w:t>
      </w:r>
      <w:r>
        <w:rPr>
          <w:color w:val="231F20"/>
          <w:spacing w:val="-4"/>
          <w:w w:val="105"/>
        </w:rPr>
        <w:t>prioridad</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spacing w:val="-3"/>
          <w:w w:val="105"/>
        </w:rPr>
        <w:t>competitividad</w:t>
      </w:r>
      <w:r>
        <w:rPr>
          <w:color w:val="231F20"/>
          <w:spacing w:val="-12"/>
          <w:w w:val="105"/>
        </w:rPr>
        <w:t> </w:t>
      </w:r>
      <w:r>
        <w:rPr>
          <w:color w:val="231F20"/>
          <w:w w:val="105"/>
        </w:rPr>
        <w:t>empresarial,</w:t>
      </w:r>
      <w:r>
        <w:rPr>
          <w:color w:val="231F20"/>
          <w:spacing w:val="-12"/>
          <w:w w:val="105"/>
        </w:rPr>
        <w:t> </w:t>
      </w:r>
      <w:r>
        <w:rPr>
          <w:color w:val="231F20"/>
          <w:w w:val="105"/>
        </w:rPr>
        <w:t>de</w:t>
      </w:r>
      <w:r>
        <w:rPr>
          <w:color w:val="231F20"/>
          <w:spacing w:val="-12"/>
          <w:w w:val="105"/>
        </w:rPr>
        <w:t> </w:t>
      </w:r>
      <w:r>
        <w:rPr>
          <w:color w:val="231F20"/>
          <w:w w:val="105"/>
        </w:rPr>
        <w:t>ahí</w:t>
      </w:r>
      <w:r>
        <w:rPr>
          <w:color w:val="231F20"/>
          <w:spacing w:val="-12"/>
          <w:w w:val="105"/>
        </w:rPr>
        <w:t> </w:t>
      </w:r>
      <w:r>
        <w:rPr>
          <w:color w:val="231F20"/>
          <w:spacing w:val="-3"/>
          <w:w w:val="105"/>
        </w:rPr>
        <w:t>que</w:t>
      </w:r>
      <w:r>
        <w:rPr>
          <w:color w:val="231F20"/>
          <w:spacing w:val="-12"/>
          <w:w w:val="105"/>
        </w:rPr>
        <w:t> </w:t>
      </w:r>
      <w:r>
        <w:rPr>
          <w:color w:val="231F20"/>
          <w:w w:val="105"/>
        </w:rPr>
        <w:t>se</w:t>
      </w:r>
      <w:r>
        <w:rPr>
          <w:color w:val="231F20"/>
          <w:spacing w:val="-12"/>
          <w:w w:val="105"/>
        </w:rPr>
        <w:t> </w:t>
      </w:r>
      <w:r>
        <w:rPr>
          <w:color w:val="231F20"/>
          <w:w w:val="105"/>
        </w:rPr>
        <w:t>hayan</w:t>
      </w:r>
      <w:r>
        <w:rPr>
          <w:color w:val="231F20"/>
          <w:spacing w:val="-12"/>
          <w:w w:val="105"/>
        </w:rPr>
        <w:t> </w:t>
      </w:r>
      <w:r>
        <w:rPr>
          <w:color w:val="231F20"/>
          <w:spacing w:val="-4"/>
          <w:w w:val="105"/>
        </w:rPr>
        <w:t>creado</w:t>
      </w:r>
      <w:r>
        <w:rPr>
          <w:color w:val="231F20"/>
          <w:spacing w:val="-12"/>
          <w:w w:val="105"/>
        </w:rPr>
        <w:t> </w:t>
      </w:r>
      <w:r>
        <w:rPr>
          <w:color w:val="231F20"/>
          <w:w w:val="105"/>
        </w:rPr>
        <w:t>el </w:t>
      </w:r>
      <w:r>
        <w:rPr>
          <w:color w:val="231F20"/>
          <w:spacing w:val="-3"/>
          <w:w w:val="105"/>
        </w:rPr>
        <w:t>Centro</w:t>
      </w:r>
      <w:r>
        <w:rPr>
          <w:color w:val="231F20"/>
          <w:spacing w:val="-21"/>
          <w:w w:val="105"/>
        </w:rPr>
        <w:t> </w:t>
      </w:r>
      <w:r>
        <w:rPr>
          <w:color w:val="231F20"/>
          <w:w w:val="105"/>
        </w:rPr>
        <w:t>de</w:t>
      </w:r>
      <w:r>
        <w:rPr>
          <w:color w:val="231F20"/>
          <w:spacing w:val="-21"/>
          <w:w w:val="105"/>
        </w:rPr>
        <w:t> </w:t>
      </w:r>
      <w:r>
        <w:rPr>
          <w:color w:val="231F20"/>
          <w:spacing w:val="-4"/>
          <w:w w:val="105"/>
        </w:rPr>
        <w:t>Atención</w:t>
      </w:r>
      <w:r>
        <w:rPr>
          <w:color w:val="231F20"/>
          <w:spacing w:val="-21"/>
          <w:w w:val="105"/>
        </w:rPr>
        <w:t> </w:t>
      </w:r>
      <w:r>
        <w:rPr>
          <w:color w:val="231F20"/>
          <w:w w:val="105"/>
        </w:rPr>
        <w:t>Empresarial</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Sistema</w:t>
      </w:r>
      <w:r>
        <w:rPr>
          <w:color w:val="231F20"/>
          <w:spacing w:val="-21"/>
          <w:w w:val="105"/>
        </w:rPr>
        <w:t> </w:t>
      </w:r>
      <w:r>
        <w:rPr>
          <w:color w:val="231F20"/>
          <w:w w:val="105"/>
        </w:rPr>
        <w:t>de</w:t>
      </w:r>
      <w:r>
        <w:rPr>
          <w:color w:val="231F20"/>
          <w:spacing w:val="-21"/>
          <w:w w:val="105"/>
        </w:rPr>
        <w:t> </w:t>
      </w:r>
      <w:r>
        <w:rPr>
          <w:color w:val="231F20"/>
          <w:w w:val="105"/>
        </w:rPr>
        <w:t>Apertura</w:t>
      </w:r>
      <w:r>
        <w:rPr>
          <w:color w:val="231F20"/>
          <w:spacing w:val="-21"/>
          <w:w w:val="105"/>
        </w:rPr>
        <w:t> </w:t>
      </w:r>
      <w:r>
        <w:rPr>
          <w:color w:val="231F20"/>
          <w:spacing w:val="-4"/>
          <w:w w:val="105"/>
        </w:rPr>
        <w:t>Rápida</w:t>
      </w:r>
      <w:r>
        <w:rPr>
          <w:color w:val="231F20"/>
          <w:spacing w:val="-21"/>
          <w:w w:val="105"/>
        </w:rPr>
        <w:t> </w:t>
      </w:r>
      <w:r>
        <w:rPr>
          <w:color w:val="231F20"/>
          <w:w w:val="105"/>
        </w:rPr>
        <w:t>de</w:t>
      </w:r>
      <w:r>
        <w:rPr>
          <w:color w:val="231F20"/>
          <w:spacing w:val="-21"/>
          <w:w w:val="105"/>
        </w:rPr>
        <w:t> </w:t>
      </w:r>
      <w:r>
        <w:rPr>
          <w:color w:val="231F20"/>
          <w:spacing w:val="-3"/>
          <w:w w:val="105"/>
        </w:rPr>
        <w:t>Empresas.</w:t>
      </w:r>
    </w:p>
    <w:p>
      <w:pPr>
        <w:pStyle w:val="BodyText"/>
        <w:spacing w:before="1"/>
        <w:rPr>
          <w:sz w:val="26"/>
        </w:rPr>
      </w:pPr>
    </w:p>
    <w:p>
      <w:pPr>
        <w:pStyle w:val="BodyText"/>
        <w:spacing w:line="285" w:lineRule="auto"/>
        <w:ind w:left="110" w:right="108"/>
        <w:jc w:val="both"/>
      </w:pPr>
      <w:r>
        <w:rPr>
          <w:color w:val="231F20"/>
          <w:w w:val="105"/>
        </w:rPr>
        <w:t>Asimismo, los panistas se manifestaron contra el analfabetismo educativo por lo cual se</w:t>
      </w:r>
      <w:r>
        <w:rPr>
          <w:color w:val="231F20"/>
          <w:spacing w:val="-9"/>
          <w:w w:val="105"/>
        </w:rPr>
        <w:t> </w:t>
      </w:r>
      <w:r>
        <w:rPr>
          <w:color w:val="231F20"/>
          <w:w w:val="105"/>
        </w:rPr>
        <w:t>alentaron</w:t>
      </w:r>
      <w:r>
        <w:rPr>
          <w:color w:val="231F20"/>
          <w:spacing w:val="-9"/>
          <w:w w:val="105"/>
        </w:rPr>
        <w:t> </w:t>
      </w:r>
      <w:r>
        <w:rPr>
          <w:color w:val="231F20"/>
          <w:w w:val="105"/>
        </w:rPr>
        <w:t>programas</w:t>
      </w:r>
      <w:r>
        <w:rPr>
          <w:color w:val="231F20"/>
          <w:spacing w:val="-9"/>
          <w:w w:val="105"/>
        </w:rPr>
        <w:t> </w:t>
      </w:r>
      <w:r>
        <w:rPr>
          <w:color w:val="231F20"/>
          <w:w w:val="105"/>
        </w:rPr>
        <w:t>en</w:t>
      </w:r>
      <w:r>
        <w:rPr>
          <w:color w:val="231F20"/>
          <w:spacing w:val="-9"/>
          <w:w w:val="105"/>
        </w:rPr>
        <w:t> </w:t>
      </w:r>
      <w:r>
        <w:rPr>
          <w:color w:val="231F20"/>
          <w:w w:val="105"/>
        </w:rPr>
        <w:t>beneficio</w:t>
      </w:r>
      <w:r>
        <w:rPr>
          <w:color w:val="231F20"/>
          <w:spacing w:val="-9"/>
          <w:w w:val="105"/>
        </w:rPr>
        <w:t> </w:t>
      </w:r>
      <w:r>
        <w:rPr>
          <w:color w:val="231F20"/>
          <w:w w:val="105"/>
        </w:rPr>
        <w:t>de</w:t>
      </w:r>
      <w:r>
        <w:rPr>
          <w:color w:val="231F20"/>
          <w:spacing w:val="-9"/>
          <w:w w:val="105"/>
        </w:rPr>
        <w:t> </w:t>
      </w:r>
      <w:r>
        <w:rPr>
          <w:color w:val="231F20"/>
          <w:w w:val="105"/>
        </w:rPr>
        <w:t>más</w:t>
      </w:r>
      <w:r>
        <w:rPr>
          <w:color w:val="231F20"/>
          <w:spacing w:val="-9"/>
          <w:w w:val="105"/>
        </w:rPr>
        <w:t> </w:t>
      </w:r>
      <w:r>
        <w:rPr>
          <w:color w:val="231F20"/>
          <w:w w:val="105"/>
        </w:rPr>
        <w:t>de</w:t>
      </w:r>
      <w:r>
        <w:rPr>
          <w:color w:val="231F20"/>
          <w:spacing w:val="-9"/>
          <w:w w:val="105"/>
        </w:rPr>
        <w:t> </w:t>
      </w:r>
      <w:r>
        <w:rPr>
          <w:color w:val="231F20"/>
          <w:spacing w:val="-3"/>
          <w:w w:val="105"/>
        </w:rPr>
        <w:t>70</w:t>
      </w:r>
      <w:r>
        <w:rPr>
          <w:color w:val="231F20"/>
          <w:spacing w:val="-9"/>
          <w:w w:val="105"/>
        </w:rPr>
        <w:t> </w:t>
      </w:r>
      <w:r>
        <w:rPr>
          <w:color w:val="231F20"/>
          <w:w w:val="105"/>
        </w:rPr>
        <w:t>escuelas</w:t>
      </w:r>
      <w:r>
        <w:rPr>
          <w:color w:val="231F20"/>
          <w:spacing w:val="-9"/>
          <w:w w:val="105"/>
        </w:rPr>
        <w:t> </w:t>
      </w:r>
      <w:r>
        <w:rPr>
          <w:color w:val="231F20"/>
          <w:w w:val="105"/>
        </w:rPr>
        <w:t>primarias</w:t>
      </w:r>
      <w:r>
        <w:rPr>
          <w:color w:val="231F20"/>
          <w:spacing w:val="-9"/>
          <w:w w:val="105"/>
        </w:rPr>
        <w:t> </w:t>
      </w:r>
      <w:r>
        <w:rPr>
          <w:color w:val="231F20"/>
          <w:w w:val="105"/>
        </w:rPr>
        <w:t>y</w:t>
      </w:r>
      <w:r>
        <w:rPr>
          <w:color w:val="231F20"/>
          <w:spacing w:val="-9"/>
          <w:w w:val="105"/>
        </w:rPr>
        <w:t> </w:t>
      </w:r>
      <w:r>
        <w:rPr>
          <w:color w:val="231F20"/>
          <w:w w:val="105"/>
        </w:rPr>
        <w:t>20</w:t>
      </w:r>
      <w:r>
        <w:rPr>
          <w:color w:val="231F20"/>
          <w:spacing w:val="-9"/>
          <w:w w:val="105"/>
        </w:rPr>
        <w:t> </w:t>
      </w:r>
      <w:r>
        <w:rPr>
          <w:color w:val="231F20"/>
          <w:w w:val="105"/>
        </w:rPr>
        <w:t>secundarias, con equipo de cómputo necesario para su funcionamiento. No obstante, el esfuerzo es insuficiente</w:t>
      </w:r>
      <w:r>
        <w:rPr>
          <w:color w:val="231F20"/>
          <w:spacing w:val="-23"/>
          <w:w w:val="105"/>
        </w:rPr>
        <w:t> </w:t>
      </w:r>
      <w:r>
        <w:rPr>
          <w:color w:val="231F20"/>
          <w:w w:val="105"/>
        </w:rPr>
        <w:t>toda</w:t>
      </w:r>
      <w:r>
        <w:rPr>
          <w:color w:val="231F20"/>
          <w:spacing w:val="-23"/>
          <w:w w:val="105"/>
        </w:rPr>
        <w:t> </w:t>
      </w:r>
      <w:r>
        <w:rPr>
          <w:color w:val="231F20"/>
          <w:w w:val="105"/>
        </w:rPr>
        <w:t>vez</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ese</w:t>
      </w:r>
      <w:r>
        <w:rPr>
          <w:color w:val="231F20"/>
          <w:spacing w:val="-23"/>
          <w:w w:val="105"/>
        </w:rPr>
        <w:t> </w:t>
      </w:r>
      <w:r>
        <w:rPr>
          <w:color w:val="231F20"/>
          <w:w w:val="105"/>
        </w:rPr>
        <w:t>tiempo</w:t>
      </w:r>
      <w:r>
        <w:rPr>
          <w:color w:val="231F20"/>
          <w:spacing w:val="-23"/>
          <w:w w:val="105"/>
        </w:rPr>
        <w:t> </w:t>
      </w:r>
      <w:r>
        <w:rPr>
          <w:color w:val="231F20"/>
          <w:w w:val="105"/>
        </w:rPr>
        <w:t>eran</w:t>
      </w:r>
      <w:r>
        <w:rPr>
          <w:color w:val="231F20"/>
          <w:spacing w:val="-23"/>
          <w:w w:val="105"/>
        </w:rPr>
        <w:t> </w:t>
      </w:r>
      <w:r>
        <w:rPr>
          <w:color w:val="231F20"/>
          <w:w w:val="105"/>
        </w:rPr>
        <w:t>más</w:t>
      </w:r>
      <w:r>
        <w:rPr>
          <w:color w:val="231F20"/>
          <w:spacing w:val="-23"/>
          <w:w w:val="105"/>
        </w:rPr>
        <w:t> </w:t>
      </w:r>
      <w:r>
        <w:rPr>
          <w:color w:val="231F20"/>
          <w:w w:val="105"/>
        </w:rPr>
        <w:t>de</w:t>
      </w:r>
      <w:r>
        <w:rPr>
          <w:color w:val="231F20"/>
          <w:spacing w:val="-23"/>
          <w:w w:val="105"/>
        </w:rPr>
        <w:t> </w:t>
      </w:r>
      <w:r>
        <w:rPr>
          <w:color w:val="231F20"/>
          <w:w w:val="105"/>
        </w:rPr>
        <w:t>150</w:t>
      </w:r>
      <w:r>
        <w:rPr>
          <w:color w:val="231F20"/>
          <w:spacing w:val="-23"/>
          <w:w w:val="105"/>
        </w:rPr>
        <w:t> </w:t>
      </w:r>
      <w:r>
        <w:rPr>
          <w:color w:val="231F20"/>
          <w:w w:val="105"/>
        </w:rPr>
        <w:t>escuelas</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municipio,</w:t>
      </w:r>
      <w:r>
        <w:rPr>
          <w:color w:val="231F20"/>
          <w:spacing w:val="-23"/>
          <w:w w:val="105"/>
        </w:rPr>
        <w:t> </w:t>
      </w:r>
      <w:r>
        <w:rPr>
          <w:color w:val="231F20"/>
          <w:w w:val="105"/>
        </w:rPr>
        <w:t>lo</w:t>
      </w:r>
      <w:r>
        <w:rPr>
          <w:color w:val="231F20"/>
          <w:spacing w:val="-23"/>
          <w:w w:val="105"/>
        </w:rPr>
        <w:t> </w:t>
      </w:r>
      <w:r>
        <w:rPr>
          <w:color w:val="231F20"/>
          <w:w w:val="105"/>
        </w:rPr>
        <w:t>cual significa</w:t>
      </w:r>
      <w:r>
        <w:rPr>
          <w:color w:val="231F20"/>
          <w:spacing w:val="-15"/>
          <w:w w:val="105"/>
        </w:rPr>
        <w:t> </w:t>
      </w:r>
      <w:r>
        <w:rPr>
          <w:color w:val="231F20"/>
          <w:w w:val="105"/>
        </w:rPr>
        <w:t>que</w:t>
      </w:r>
      <w:r>
        <w:rPr>
          <w:color w:val="231F20"/>
          <w:spacing w:val="-15"/>
          <w:w w:val="105"/>
        </w:rPr>
        <w:t> </w:t>
      </w:r>
      <w:r>
        <w:rPr>
          <w:color w:val="231F20"/>
          <w:w w:val="105"/>
        </w:rPr>
        <w:t>ni</w:t>
      </w:r>
      <w:r>
        <w:rPr>
          <w:color w:val="231F20"/>
          <w:spacing w:val="-15"/>
          <w:w w:val="105"/>
        </w:rPr>
        <w:t> </w:t>
      </w:r>
      <w:r>
        <w:rPr>
          <w:color w:val="231F20"/>
          <w:w w:val="105"/>
        </w:rPr>
        <w:t>la</w:t>
      </w:r>
      <w:r>
        <w:rPr>
          <w:color w:val="231F20"/>
          <w:spacing w:val="-15"/>
          <w:w w:val="105"/>
        </w:rPr>
        <w:t> </w:t>
      </w:r>
      <w:r>
        <w:rPr>
          <w:color w:val="231F20"/>
          <w:w w:val="105"/>
        </w:rPr>
        <w:t>mitad</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escuelas</w:t>
      </w:r>
      <w:r>
        <w:rPr>
          <w:color w:val="231F20"/>
          <w:spacing w:val="-15"/>
          <w:w w:val="105"/>
        </w:rPr>
        <w:t> </w:t>
      </w:r>
      <w:r>
        <w:rPr>
          <w:color w:val="231F20"/>
          <w:w w:val="105"/>
        </w:rPr>
        <w:t>fueron</w:t>
      </w:r>
      <w:r>
        <w:rPr>
          <w:color w:val="231F20"/>
          <w:spacing w:val="-15"/>
          <w:w w:val="105"/>
        </w:rPr>
        <w:t> </w:t>
      </w:r>
      <w:r>
        <w:rPr>
          <w:color w:val="231F20"/>
          <w:w w:val="105"/>
        </w:rPr>
        <w:t>beneficiadas</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programa.</w:t>
      </w:r>
    </w:p>
    <w:p>
      <w:pPr>
        <w:pStyle w:val="BodyText"/>
        <w:spacing w:before="1"/>
        <w:rPr>
          <w:sz w:val="26"/>
        </w:rPr>
      </w:pPr>
    </w:p>
    <w:p>
      <w:pPr>
        <w:pStyle w:val="BodyText"/>
        <w:spacing w:line="285" w:lineRule="auto"/>
        <w:ind w:left="110" w:right="107"/>
        <w:jc w:val="both"/>
      </w:pPr>
      <w:r>
        <w:rPr>
          <w:color w:val="231F20"/>
          <w:w w:val="105"/>
        </w:rPr>
        <w:t>Otra cuestión a resaltar en esta gestión es la del embovedamiento del Río de los Re- medios,</w:t>
      </w:r>
      <w:r>
        <w:rPr>
          <w:color w:val="231F20"/>
          <w:spacing w:val="-10"/>
          <w:w w:val="105"/>
        </w:rPr>
        <w:t> </w:t>
      </w:r>
      <w:r>
        <w:rPr>
          <w:color w:val="231F20"/>
          <w:w w:val="105"/>
        </w:rPr>
        <w:t>que</w:t>
      </w:r>
      <w:r>
        <w:rPr>
          <w:color w:val="231F20"/>
          <w:spacing w:val="-10"/>
          <w:w w:val="105"/>
        </w:rPr>
        <w:t> </w:t>
      </w:r>
      <w:r>
        <w:rPr>
          <w:color w:val="231F20"/>
          <w:w w:val="105"/>
        </w:rPr>
        <w:t>ejemplifica</w:t>
      </w:r>
      <w:r>
        <w:rPr>
          <w:color w:val="231F20"/>
          <w:spacing w:val="-10"/>
          <w:w w:val="105"/>
        </w:rPr>
        <w:t> </w:t>
      </w:r>
      <w:r>
        <w:rPr>
          <w:color w:val="231F20"/>
          <w:w w:val="105"/>
        </w:rPr>
        <w:t>algo</w:t>
      </w:r>
      <w:r>
        <w:rPr>
          <w:color w:val="231F20"/>
          <w:spacing w:val="-10"/>
          <w:w w:val="105"/>
        </w:rPr>
        <w:t> </w:t>
      </w:r>
      <w:r>
        <w:rPr>
          <w:color w:val="231F20"/>
          <w:w w:val="105"/>
        </w:rPr>
        <w:t>que</w:t>
      </w:r>
      <w:r>
        <w:rPr>
          <w:color w:val="231F20"/>
          <w:spacing w:val="-10"/>
          <w:w w:val="105"/>
        </w:rPr>
        <w:t> </w:t>
      </w:r>
      <w:r>
        <w:rPr>
          <w:color w:val="231F20"/>
          <w:w w:val="105"/>
        </w:rPr>
        <w:t>muchas</w:t>
      </w:r>
      <w:r>
        <w:rPr>
          <w:color w:val="231F20"/>
          <w:spacing w:val="-10"/>
          <w:w w:val="105"/>
        </w:rPr>
        <w:t> </w:t>
      </w:r>
      <w:r>
        <w:rPr>
          <w:color w:val="231F20"/>
          <w:w w:val="105"/>
        </w:rPr>
        <w:t>veces</w:t>
      </w:r>
      <w:r>
        <w:rPr>
          <w:color w:val="231F20"/>
          <w:spacing w:val="-10"/>
          <w:w w:val="105"/>
        </w:rPr>
        <w:t> </w:t>
      </w:r>
      <w:r>
        <w:rPr>
          <w:color w:val="231F20"/>
          <w:w w:val="105"/>
        </w:rPr>
        <w:t>se</w:t>
      </w:r>
      <w:r>
        <w:rPr>
          <w:color w:val="231F20"/>
          <w:spacing w:val="-10"/>
          <w:w w:val="105"/>
        </w:rPr>
        <w:t> </w:t>
      </w:r>
      <w:r>
        <w:rPr>
          <w:color w:val="231F20"/>
          <w:w w:val="105"/>
        </w:rPr>
        <w:t>deja</w:t>
      </w:r>
      <w:r>
        <w:rPr>
          <w:color w:val="231F20"/>
          <w:spacing w:val="-10"/>
          <w:w w:val="105"/>
        </w:rPr>
        <w:t> </w:t>
      </w:r>
      <w:r>
        <w:rPr>
          <w:color w:val="231F20"/>
          <w:w w:val="105"/>
        </w:rPr>
        <w:t>de</w:t>
      </w:r>
      <w:r>
        <w:rPr>
          <w:color w:val="231F20"/>
          <w:spacing w:val="-10"/>
          <w:w w:val="105"/>
        </w:rPr>
        <w:t> </w:t>
      </w:r>
      <w:r>
        <w:rPr>
          <w:color w:val="231F20"/>
          <w:w w:val="105"/>
        </w:rPr>
        <w:t>lado</w:t>
      </w:r>
      <w:r>
        <w:rPr>
          <w:color w:val="231F20"/>
          <w:spacing w:val="-10"/>
          <w:w w:val="105"/>
        </w:rPr>
        <w:t> </w:t>
      </w:r>
      <w:r>
        <w:rPr>
          <w:color w:val="231F20"/>
          <w:w w:val="105"/>
        </w:rPr>
        <w:t>y</w:t>
      </w:r>
      <w:r>
        <w:rPr>
          <w:color w:val="231F20"/>
          <w:spacing w:val="-10"/>
          <w:w w:val="105"/>
        </w:rPr>
        <w:t> </w:t>
      </w:r>
      <w:r>
        <w:rPr>
          <w:color w:val="231F20"/>
          <w:w w:val="105"/>
        </w:rPr>
        <w:t>es</w:t>
      </w:r>
      <w:r>
        <w:rPr>
          <w:color w:val="231F20"/>
          <w:spacing w:val="-10"/>
          <w:w w:val="105"/>
        </w:rPr>
        <w:t> </w:t>
      </w:r>
      <w:r>
        <w:rPr>
          <w:color w:val="231F20"/>
          <w:w w:val="105"/>
        </w:rPr>
        <w:t>muy</w:t>
      </w:r>
      <w:r>
        <w:rPr>
          <w:color w:val="231F20"/>
          <w:spacing w:val="-10"/>
          <w:w w:val="105"/>
        </w:rPr>
        <w:t> </w:t>
      </w:r>
      <w:r>
        <w:rPr>
          <w:color w:val="231F20"/>
          <w:w w:val="105"/>
        </w:rPr>
        <w:t>importante:</w:t>
      </w:r>
      <w:r>
        <w:rPr>
          <w:color w:val="231F20"/>
          <w:spacing w:val="-10"/>
          <w:w w:val="105"/>
        </w:rPr>
        <w:t> </w:t>
      </w:r>
      <w:r>
        <w:rPr>
          <w:color w:val="231F20"/>
          <w:w w:val="105"/>
        </w:rPr>
        <w:t>la realización</w:t>
      </w:r>
      <w:r>
        <w:rPr>
          <w:color w:val="231F20"/>
          <w:spacing w:val="-22"/>
          <w:w w:val="105"/>
        </w:rPr>
        <w:t> </w:t>
      </w:r>
      <w:r>
        <w:rPr>
          <w:color w:val="231F20"/>
          <w:w w:val="105"/>
        </w:rPr>
        <w:t>de</w:t>
      </w:r>
      <w:r>
        <w:rPr>
          <w:color w:val="231F20"/>
          <w:spacing w:val="-22"/>
          <w:w w:val="105"/>
        </w:rPr>
        <w:t> </w:t>
      </w:r>
      <w:r>
        <w:rPr>
          <w:color w:val="231F20"/>
          <w:w w:val="105"/>
        </w:rPr>
        <w:t>obras</w:t>
      </w:r>
      <w:r>
        <w:rPr>
          <w:color w:val="231F20"/>
          <w:spacing w:val="-22"/>
          <w:w w:val="105"/>
        </w:rPr>
        <w:t> </w:t>
      </w:r>
      <w:r>
        <w:rPr>
          <w:color w:val="231F20"/>
          <w:w w:val="105"/>
        </w:rPr>
        <w:t>poco</w:t>
      </w:r>
      <w:r>
        <w:rPr>
          <w:color w:val="231F20"/>
          <w:spacing w:val="-22"/>
          <w:w w:val="105"/>
        </w:rPr>
        <w:t> </w:t>
      </w:r>
      <w:r>
        <w:rPr>
          <w:color w:val="231F20"/>
          <w:w w:val="105"/>
        </w:rPr>
        <w:t>visibles</w:t>
      </w:r>
      <w:r>
        <w:rPr>
          <w:color w:val="231F20"/>
          <w:spacing w:val="-22"/>
          <w:w w:val="105"/>
        </w:rPr>
        <w:t> </w:t>
      </w:r>
      <w:r>
        <w:rPr>
          <w:color w:val="231F20"/>
          <w:spacing w:val="2"/>
          <w:w w:val="105"/>
        </w:rPr>
        <w:t>al</w:t>
      </w:r>
      <w:r>
        <w:rPr>
          <w:color w:val="231F20"/>
          <w:spacing w:val="-22"/>
          <w:w w:val="105"/>
        </w:rPr>
        <w:t> </w:t>
      </w:r>
      <w:r>
        <w:rPr>
          <w:color w:val="231F20"/>
          <w:w w:val="105"/>
        </w:rPr>
        <w:t>ciudadano</w:t>
      </w:r>
      <w:r>
        <w:rPr>
          <w:color w:val="231F20"/>
          <w:spacing w:val="-22"/>
          <w:w w:val="105"/>
        </w:rPr>
        <w:t> </w:t>
      </w:r>
      <w:r>
        <w:rPr>
          <w:color w:val="231F20"/>
          <w:w w:val="105"/>
        </w:rPr>
        <w:t>pero</w:t>
      </w:r>
      <w:r>
        <w:rPr>
          <w:color w:val="231F20"/>
          <w:spacing w:val="-22"/>
          <w:w w:val="105"/>
        </w:rPr>
        <w:t> </w:t>
      </w:r>
      <w:r>
        <w:rPr>
          <w:color w:val="231F20"/>
          <w:w w:val="105"/>
        </w:rPr>
        <w:t>muy</w:t>
      </w:r>
      <w:r>
        <w:rPr>
          <w:color w:val="231F20"/>
          <w:spacing w:val="-22"/>
          <w:w w:val="105"/>
        </w:rPr>
        <w:t> </w:t>
      </w:r>
      <w:r>
        <w:rPr>
          <w:color w:val="231F20"/>
          <w:w w:val="105"/>
        </w:rPr>
        <w:t>necesarias</w:t>
      </w:r>
      <w:r>
        <w:rPr>
          <w:color w:val="231F20"/>
          <w:spacing w:val="-22"/>
          <w:w w:val="105"/>
        </w:rPr>
        <w:t> </w:t>
      </w:r>
      <w:r>
        <w:rPr>
          <w:color w:val="231F20"/>
          <w:w w:val="105"/>
        </w:rPr>
        <w:t>y</w:t>
      </w:r>
      <w:r>
        <w:rPr>
          <w:color w:val="231F20"/>
          <w:spacing w:val="-22"/>
          <w:w w:val="105"/>
        </w:rPr>
        <w:t> </w:t>
      </w:r>
      <w:r>
        <w:rPr>
          <w:color w:val="231F20"/>
          <w:w w:val="105"/>
        </w:rPr>
        <w:t>que</w:t>
      </w:r>
      <w:r>
        <w:rPr>
          <w:color w:val="231F20"/>
          <w:spacing w:val="-22"/>
          <w:w w:val="105"/>
        </w:rPr>
        <w:t> </w:t>
      </w:r>
      <w:r>
        <w:rPr>
          <w:color w:val="231F20"/>
          <w:w w:val="105"/>
        </w:rPr>
        <w:t>muchas</w:t>
      </w:r>
      <w:r>
        <w:rPr>
          <w:color w:val="231F20"/>
          <w:spacing w:val="-22"/>
          <w:w w:val="105"/>
        </w:rPr>
        <w:t> </w:t>
      </w:r>
      <w:r>
        <w:rPr>
          <w:color w:val="231F20"/>
          <w:w w:val="105"/>
        </w:rPr>
        <w:t>veces por poner la mirada en las elecciones se dejan de lado o para mejores tiempos. Si bien esta obra aparece como poco atractiva, </w:t>
      </w:r>
      <w:r>
        <w:rPr>
          <w:color w:val="231F20"/>
          <w:spacing w:val="2"/>
          <w:w w:val="105"/>
        </w:rPr>
        <w:t>al </w:t>
      </w:r>
      <w:r>
        <w:rPr>
          <w:color w:val="231F20"/>
          <w:w w:val="105"/>
        </w:rPr>
        <w:t>igual que otras, suelen mejorar la calidad de vida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población,</w:t>
      </w:r>
      <w:r>
        <w:rPr>
          <w:color w:val="231F20"/>
          <w:spacing w:val="-15"/>
          <w:w w:val="105"/>
        </w:rPr>
        <w:t> </w:t>
      </w:r>
      <w:r>
        <w:rPr>
          <w:color w:val="231F20"/>
          <w:w w:val="105"/>
        </w:rPr>
        <w:t>ampliando</w:t>
      </w:r>
      <w:r>
        <w:rPr>
          <w:color w:val="231F20"/>
          <w:spacing w:val="-15"/>
          <w:w w:val="105"/>
        </w:rPr>
        <w:t> </w:t>
      </w:r>
      <w:r>
        <w:rPr>
          <w:color w:val="231F20"/>
          <w:w w:val="105"/>
        </w:rPr>
        <w:t>la</w:t>
      </w:r>
      <w:r>
        <w:rPr>
          <w:color w:val="231F20"/>
          <w:spacing w:val="-15"/>
          <w:w w:val="105"/>
        </w:rPr>
        <w:t> </w:t>
      </w:r>
      <w:r>
        <w:rPr>
          <w:color w:val="231F20"/>
          <w:w w:val="105"/>
        </w:rPr>
        <w:t>cobertura</w:t>
      </w:r>
      <w:r>
        <w:rPr>
          <w:color w:val="231F20"/>
          <w:spacing w:val="-15"/>
          <w:w w:val="105"/>
        </w:rPr>
        <w:t> </w:t>
      </w:r>
      <w:r>
        <w:rPr>
          <w:color w:val="231F20"/>
          <w:w w:val="105"/>
        </w:rPr>
        <w:t>de</w:t>
      </w:r>
      <w:r>
        <w:rPr>
          <w:color w:val="231F20"/>
          <w:spacing w:val="-15"/>
          <w:w w:val="105"/>
        </w:rPr>
        <w:t> </w:t>
      </w:r>
      <w:r>
        <w:rPr>
          <w:color w:val="231F20"/>
          <w:w w:val="105"/>
        </w:rPr>
        <w:t>agua</w:t>
      </w:r>
      <w:r>
        <w:rPr>
          <w:color w:val="231F20"/>
          <w:spacing w:val="-15"/>
          <w:w w:val="105"/>
        </w:rPr>
        <w:t> </w:t>
      </w:r>
      <w:r>
        <w:rPr>
          <w:color w:val="231F20"/>
          <w:w w:val="105"/>
        </w:rPr>
        <w:t>potable</w:t>
      </w:r>
      <w:r>
        <w:rPr>
          <w:color w:val="231F20"/>
          <w:spacing w:val="-15"/>
          <w:w w:val="105"/>
        </w:rPr>
        <w:t> </w:t>
      </w:r>
      <w:r>
        <w:rPr>
          <w:color w:val="231F20"/>
          <w:w w:val="105"/>
        </w:rPr>
        <w:t>del</w:t>
      </w:r>
      <w:r>
        <w:rPr>
          <w:color w:val="231F20"/>
          <w:spacing w:val="-15"/>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Pese</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avances</w:t>
      </w:r>
      <w:r>
        <w:rPr>
          <w:color w:val="231F20"/>
          <w:spacing w:val="-19"/>
          <w:w w:val="105"/>
        </w:rPr>
        <w:t> </w:t>
      </w:r>
      <w:r>
        <w:rPr>
          <w:color w:val="231F20"/>
          <w:w w:val="105"/>
        </w:rPr>
        <w:t>durante</w:t>
      </w:r>
      <w:r>
        <w:rPr>
          <w:color w:val="231F20"/>
          <w:spacing w:val="-19"/>
          <w:w w:val="105"/>
        </w:rPr>
        <w:t> </w:t>
      </w:r>
      <w:r>
        <w:rPr>
          <w:color w:val="231F20"/>
          <w:w w:val="105"/>
        </w:rPr>
        <w:t>esta</w:t>
      </w:r>
      <w:r>
        <w:rPr>
          <w:color w:val="231F20"/>
          <w:spacing w:val="-19"/>
          <w:w w:val="105"/>
        </w:rPr>
        <w:t> </w:t>
      </w:r>
      <w:r>
        <w:rPr>
          <w:color w:val="231F20"/>
          <w:w w:val="105"/>
        </w:rPr>
        <w:t>gestión,</w:t>
      </w:r>
      <w:r>
        <w:rPr>
          <w:color w:val="231F20"/>
          <w:spacing w:val="-19"/>
          <w:w w:val="105"/>
        </w:rPr>
        <w:t> </w:t>
      </w:r>
      <w:r>
        <w:rPr>
          <w:color w:val="231F20"/>
          <w:w w:val="105"/>
        </w:rPr>
        <w:t>se</w:t>
      </w:r>
      <w:r>
        <w:rPr>
          <w:color w:val="231F20"/>
          <w:spacing w:val="-19"/>
          <w:w w:val="105"/>
        </w:rPr>
        <w:t> </w:t>
      </w:r>
      <w:r>
        <w:rPr>
          <w:color w:val="231F20"/>
          <w:w w:val="105"/>
        </w:rPr>
        <w:t>dejó</w:t>
      </w:r>
      <w:r>
        <w:rPr>
          <w:color w:val="231F20"/>
          <w:spacing w:val="-19"/>
          <w:w w:val="105"/>
        </w:rPr>
        <w:t> </w:t>
      </w:r>
      <w:r>
        <w:rPr>
          <w:color w:val="231F20"/>
          <w:w w:val="105"/>
        </w:rPr>
        <w:t>para</w:t>
      </w:r>
      <w:r>
        <w:rPr>
          <w:color w:val="231F20"/>
          <w:spacing w:val="-19"/>
          <w:w w:val="105"/>
        </w:rPr>
        <w:t> </w:t>
      </w:r>
      <w:r>
        <w:rPr>
          <w:color w:val="231F20"/>
          <w:w w:val="105"/>
        </w:rPr>
        <w:t>mejores</w:t>
      </w:r>
      <w:r>
        <w:rPr>
          <w:color w:val="231F20"/>
          <w:spacing w:val="-19"/>
          <w:w w:val="105"/>
        </w:rPr>
        <w:t> </w:t>
      </w:r>
      <w:r>
        <w:rPr>
          <w:color w:val="231F20"/>
          <w:w w:val="105"/>
        </w:rPr>
        <w:t>ocasiones</w:t>
      </w:r>
      <w:r>
        <w:rPr>
          <w:color w:val="231F20"/>
          <w:spacing w:val="-19"/>
          <w:w w:val="105"/>
        </w:rPr>
        <w:t> </w:t>
      </w:r>
      <w:r>
        <w:rPr>
          <w:color w:val="231F20"/>
          <w:w w:val="105"/>
        </w:rPr>
        <w:t>cuestiones</w:t>
      </w:r>
      <w:r>
        <w:rPr>
          <w:color w:val="231F20"/>
          <w:spacing w:val="-19"/>
          <w:w w:val="105"/>
        </w:rPr>
        <w:t> </w:t>
      </w:r>
      <w:r>
        <w:rPr>
          <w:color w:val="231F20"/>
          <w:w w:val="105"/>
        </w:rPr>
        <w:t>como el</w:t>
      </w:r>
      <w:r>
        <w:rPr>
          <w:color w:val="231F20"/>
          <w:spacing w:val="-21"/>
          <w:w w:val="105"/>
        </w:rPr>
        <w:t> </w:t>
      </w:r>
      <w:r>
        <w:rPr>
          <w:color w:val="231F20"/>
          <w:w w:val="105"/>
        </w:rPr>
        <w:t>desarrollo</w:t>
      </w:r>
      <w:r>
        <w:rPr>
          <w:color w:val="231F20"/>
          <w:spacing w:val="-21"/>
          <w:w w:val="105"/>
        </w:rPr>
        <w:t> </w:t>
      </w:r>
      <w:r>
        <w:rPr>
          <w:color w:val="231F20"/>
          <w:w w:val="105"/>
        </w:rPr>
        <w:t>social</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zona</w:t>
      </w:r>
      <w:r>
        <w:rPr>
          <w:color w:val="231F20"/>
          <w:spacing w:val="-21"/>
          <w:w w:val="105"/>
        </w:rPr>
        <w:t> </w:t>
      </w:r>
      <w:r>
        <w:rPr>
          <w:color w:val="231F20"/>
          <w:w w:val="105"/>
        </w:rPr>
        <w:t>oriente</w:t>
      </w:r>
      <w:r>
        <w:rPr>
          <w:color w:val="231F20"/>
          <w:spacing w:val="-21"/>
          <w:w w:val="105"/>
        </w:rPr>
        <w:t> </w:t>
      </w:r>
      <w:r>
        <w:rPr>
          <w:color w:val="231F20"/>
          <w:w w:val="105"/>
        </w:rPr>
        <w:t>del</w:t>
      </w:r>
      <w:r>
        <w:rPr>
          <w:color w:val="231F20"/>
          <w:spacing w:val="-21"/>
          <w:w w:val="105"/>
        </w:rPr>
        <w:t> </w:t>
      </w:r>
      <w:r>
        <w:rPr>
          <w:color w:val="231F20"/>
          <w:w w:val="105"/>
        </w:rPr>
        <w:t>municipio.</w:t>
      </w:r>
      <w:r>
        <w:rPr>
          <w:color w:val="231F20"/>
          <w:spacing w:val="-21"/>
          <w:w w:val="105"/>
        </w:rPr>
        <w:t> </w:t>
      </w:r>
      <w:r>
        <w:rPr>
          <w:color w:val="231F20"/>
          <w:w w:val="105"/>
        </w:rPr>
        <w:t>El</w:t>
      </w:r>
      <w:r>
        <w:rPr>
          <w:color w:val="231F20"/>
          <w:spacing w:val="-21"/>
          <w:w w:val="105"/>
        </w:rPr>
        <w:t> </w:t>
      </w:r>
      <w:r>
        <w:rPr>
          <w:color w:val="231F20"/>
          <w:w w:val="105"/>
        </w:rPr>
        <w:t>gobierno</w:t>
      </w:r>
      <w:r>
        <w:rPr>
          <w:color w:val="231F20"/>
          <w:spacing w:val="-21"/>
          <w:w w:val="105"/>
        </w:rPr>
        <w:t> </w:t>
      </w:r>
      <w:r>
        <w:rPr>
          <w:color w:val="231F20"/>
          <w:w w:val="105"/>
        </w:rPr>
        <w:t>de</w:t>
      </w:r>
      <w:r>
        <w:rPr>
          <w:color w:val="231F20"/>
          <w:spacing w:val="-21"/>
          <w:w w:val="105"/>
        </w:rPr>
        <w:t> </w:t>
      </w:r>
      <w:r>
        <w:rPr>
          <w:color w:val="231F20"/>
          <w:w w:val="105"/>
        </w:rPr>
        <w:t>Mendoza</w:t>
      </w:r>
      <w:r>
        <w:rPr>
          <w:color w:val="231F20"/>
          <w:spacing w:val="-21"/>
          <w:w w:val="105"/>
        </w:rPr>
        <w:t> </w:t>
      </w:r>
      <w:r>
        <w:rPr>
          <w:color w:val="231F20"/>
          <w:w w:val="105"/>
        </w:rPr>
        <w:t>se</w:t>
      </w:r>
      <w:r>
        <w:rPr>
          <w:color w:val="231F20"/>
          <w:spacing w:val="-21"/>
          <w:w w:val="105"/>
        </w:rPr>
        <w:t> </w:t>
      </w:r>
      <w:r>
        <w:rPr>
          <w:color w:val="231F20"/>
          <w:w w:val="105"/>
        </w:rPr>
        <w:t>caracte- rizó por desarrollar las estructuras y herramientas modernas para atacar los problemas que</w:t>
      </w:r>
      <w:r>
        <w:rPr>
          <w:color w:val="231F20"/>
          <w:spacing w:val="-12"/>
          <w:w w:val="105"/>
        </w:rPr>
        <w:t> </w:t>
      </w:r>
      <w:r>
        <w:rPr>
          <w:color w:val="231F20"/>
          <w:w w:val="105"/>
        </w:rPr>
        <w:t>aquejan</w:t>
      </w:r>
      <w:r>
        <w:rPr>
          <w:color w:val="231F20"/>
          <w:spacing w:val="-12"/>
          <w:w w:val="105"/>
        </w:rPr>
        <w:t> </w:t>
      </w:r>
      <w:r>
        <w:rPr>
          <w:color w:val="231F20"/>
          <w:spacing w:val="2"/>
          <w:w w:val="105"/>
        </w:rPr>
        <w:t>al</w:t>
      </w:r>
      <w:r>
        <w:rPr>
          <w:color w:val="231F20"/>
          <w:spacing w:val="-12"/>
          <w:w w:val="105"/>
        </w:rPr>
        <w:t> </w:t>
      </w:r>
      <w:r>
        <w:rPr>
          <w:color w:val="231F20"/>
          <w:w w:val="105"/>
        </w:rPr>
        <w:t>municipio</w:t>
      </w:r>
      <w:r>
        <w:rPr>
          <w:color w:val="231F20"/>
          <w:spacing w:val="-12"/>
          <w:w w:val="105"/>
        </w:rPr>
        <w:t> </w:t>
      </w:r>
      <w:r>
        <w:rPr>
          <w:color w:val="231F20"/>
          <w:w w:val="105"/>
        </w:rPr>
        <w:t>de</w:t>
      </w:r>
      <w:r>
        <w:rPr>
          <w:color w:val="231F20"/>
          <w:spacing w:val="-12"/>
          <w:w w:val="105"/>
        </w:rPr>
        <w:t> </w:t>
      </w:r>
      <w:r>
        <w:rPr>
          <w:color w:val="231F20"/>
          <w:w w:val="105"/>
        </w:rPr>
        <w:t>Tlalnepantla.</w:t>
      </w:r>
    </w:p>
    <w:p>
      <w:pPr>
        <w:pStyle w:val="BodyText"/>
        <w:spacing w:before="1"/>
        <w:rPr>
          <w:sz w:val="26"/>
        </w:rPr>
      </w:pPr>
    </w:p>
    <w:p>
      <w:pPr>
        <w:pStyle w:val="BodyText"/>
        <w:spacing w:line="285" w:lineRule="auto"/>
        <w:ind w:left="110" w:right="108"/>
        <w:jc w:val="both"/>
      </w:pPr>
      <w:r>
        <w:rPr>
          <w:color w:val="231F20"/>
          <w:w w:val="105"/>
        </w:rPr>
        <w:t>Para</w:t>
      </w:r>
      <w:r>
        <w:rPr>
          <w:color w:val="231F20"/>
          <w:spacing w:val="-10"/>
          <w:w w:val="105"/>
        </w:rPr>
        <w:t> </w:t>
      </w:r>
      <w:r>
        <w:rPr>
          <w:color w:val="231F20"/>
          <w:w w:val="105"/>
        </w:rPr>
        <w:t>terminar</w:t>
      </w:r>
      <w:r>
        <w:rPr>
          <w:color w:val="231F20"/>
          <w:spacing w:val="-10"/>
          <w:w w:val="105"/>
        </w:rPr>
        <w:t> </w:t>
      </w:r>
      <w:r>
        <w:rPr>
          <w:color w:val="231F20"/>
          <w:w w:val="105"/>
        </w:rPr>
        <w:t>con</w:t>
      </w:r>
      <w:r>
        <w:rPr>
          <w:color w:val="231F20"/>
          <w:spacing w:val="-10"/>
          <w:w w:val="105"/>
        </w:rPr>
        <w:t> </w:t>
      </w:r>
      <w:r>
        <w:rPr>
          <w:color w:val="231F20"/>
          <w:w w:val="105"/>
        </w:rPr>
        <w:t>esta</w:t>
      </w:r>
      <w:r>
        <w:rPr>
          <w:color w:val="231F20"/>
          <w:spacing w:val="-10"/>
          <w:w w:val="105"/>
        </w:rPr>
        <w:t> </w:t>
      </w:r>
      <w:r>
        <w:rPr>
          <w:color w:val="231F20"/>
          <w:w w:val="105"/>
        </w:rPr>
        <w:t>gestión,</w:t>
      </w:r>
      <w:r>
        <w:rPr>
          <w:color w:val="231F20"/>
          <w:spacing w:val="-10"/>
          <w:w w:val="105"/>
        </w:rPr>
        <w:t> </w:t>
      </w:r>
      <w:r>
        <w:rPr>
          <w:color w:val="231F20"/>
          <w:w w:val="105"/>
        </w:rPr>
        <w:t>veamos</w:t>
      </w:r>
      <w:r>
        <w:rPr>
          <w:color w:val="231F20"/>
          <w:spacing w:val="-10"/>
          <w:w w:val="105"/>
        </w:rPr>
        <w:t> </w:t>
      </w:r>
      <w:r>
        <w:rPr>
          <w:color w:val="231F20"/>
          <w:w w:val="105"/>
        </w:rPr>
        <w:t>la</w:t>
      </w:r>
      <w:r>
        <w:rPr>
          <w:color w:val="231F20"/>
          <w:spacing w:val="-10"/>
          <w:w w:val="105"/>
        </w:rPr>
        <w:t> </w:t>
      </w:r>
      <w:r>
        <w:rPr>
          <w:color w:val="231F20"/>
          <w:w w:val="105"/>
        </w:rPr>
        <w:t>situación</w:t>
      </w:r>
      <w:r>
        <w:rPr>
          <w:color w:val="231F20"/>
          <w:spacing w:val="-10"/>
          <w:w w:val="105"/>
        </w:rPr>
        <w:t> </w:t>
      </w:r>
      <w:r>
        <w:rPr>
          <w:color w:val="231F20"/>
          <w:w w:val="105"/>
        </w:rPr>
        <w:t>actual</w:t>
      </w:r>
      <w:r>
        <w:rPr>
          <w:color w:val="231F20"/>
          <w:spacing w:val="-10"/>
          <w:w w:val="105"/>
        </w:rPr>
        <w:t> </w:t>
      </w:r>
      <w:r>
        <w:rPr>
          <w:color w:val="231F20"/>
          <w:w w:val="105"/>
        </w:rPr>
        <w:t>de</w:t>
      </w:r>
      <w:r>
        <w:rPr>
          <w:color w:val="231F20"/>
          <w:spacing w:val="-10"/>
          <w:w w:val="105"/>
        </w:rPr>
        <w:t> </w:t>
      </w:r>
      <w:r>
        <w:rPr>
          <w:color w:val="231F20"/>
          <w:w w:val="105"/>
        </w:rPr>
        <w:t>Mendoza</w:t>
      </w:r>
      <w:r>
        <w:rPr>
          <w:color w:val="231F20"/>
          <w:spacing w:val="-10"/>
          <w:w w:val="105"/>
        </w:rPr>
        <w:t> </w:t>
      </w:r>
      <w:r>
        <w:rPr>
          <w:color w:val="231F20"/>
          <w:w w:val="105"/>
        </w:rPr>
        <w:t>Ayala</w:t>
      </w:r>
      <w:r>
        <w:rPr>
          <w:color w:val="231F20"/>
          <w:spacing w:val="-10"/>
          <w:w w:val="105"/>
        </w:rPr>
        <w:t> </w:t>
      </w:r>
      <w:r>
        <w:rPr>
          <w:color w:val="231F20"/>
          <w:w w:val="105"/>
        </w:rPr>
        <w:t>y</w:t>
      </w:r>
      <w:r>
        <w:rPr>
          <w:color w:val="231F20"/>
          <w:spacing w:val="-10"/>
          <w:w w:val="105"/>
        </w:rPr>
        <w:t> </w:t>
      </w:r>
      <w:r>
        <w:rPr>
          <w:color w:val="231F20"/>
          <w:w w:val="105"/>
        </w:rPr>
        <w:t>su</w:t>
      </w:r>
      <w:r>
        <w:rPr>
          <w:color w:val="231F20"/>
          <w:spacing w:val="-10"/>
          <w:w w:val="105"/>
        </w:rPr>
        <w:t> </w:t>
      </w:r>
      <w:r>
        <w:rPr>
          <w:color w:val="231F20"/>
          <w:w w:val="105"/>
        </w:rPr>
        <w:t>rela- ción</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spacing w:val="-4"/>
          <w:w w:val="105"/>
        </w:rPr>
        <w:t>PAN.</w:t>
      </w:r>
      <w:r>
        <w:rPr>
          <w:color w:val="231F20"/>
          <w:spacing w:val="-5"/>
          <w:w w:val="105"/>
        </w:rPr>
        <w:t> </w:t>
      </w:r>
      <w:r>
        <w:rPr>
          <w:color w:val="231F20"/>
          <w:spacing w:val="3"/>
          <w:w w:val="105"/>
        </w:rPr>
        <w:t>Al</w:t>
      </w:r>
      <w:r>
        <w:rPr>
          <w:color w:val="231F20"/>
          <w:spacing w:val="-5"/>
          <w:w w:val="105"/>
        </w:rPr>
        <w:t> </w:t>
      </w:r>
      <w:r>
        <w:rPr>
          <w:color w:val="231F20"/>
          <w:w w:val="105"/>
        </w:rPr>
        <w:t>término</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5"/>
          <w:w w:val="105"/>
        </w:rPr>
        <w:t> </w:t>
      </w:r>
      <w:r>
        <w:rPr>
          <w:color w:val="231F20"/>
          <w:w w:val="105"/>
        </w:rPr>
        <w:t>mandato</w:t>
      </w:r>
      <w:r>
        <w:rPr>
          <w:color w:val="231F20"/>
          <w:spacing w:val="-5"/>
          <w:w w:val="105"/>
        </w:rPr>
        <w:t> </w:t>
      </w:r>
      <w:r>
        <w:rPr>
          <w:color w:val="231F20"/>
          <w:w w:val="105"/>
        </w:rPr>
        <w:t>y</w:t>
      </w:r>
      <w:r>
        <w:rPr>
          <w:color w:val="231F20"/>
          <w:spacing w:val="-5"/>
          <w:w w:val="105"/>
        </w:rPr>
        <w:t> </w:t>
      </w:r>
      <w:r>
        <w:rPr>
          <w:color w:val="231F20"/>
          <w:w w:val="105"/>
        </w:rPr>
        <w:t>durante</w:t>
      </w:r>
      <w:r>
        <w:rPr>
          <w:color w:val="231F20"/>
          <w:spacing w:val="-5"/>
          <w:w w:val="105"/>
        </w:rPr>
        <w:t> </w:t>
      </w:r>
      <w:r>
        <w:rPr>
          <w:color w:val="231F20"/>
          <w:w w:val="105"/>
        </w:rPr>
        <w:t>su</w:t>
      </w:r>
      <w:r>
        <w:rPr>
          <w:color w:val="231F20"/>
          <w:spacing w:val="-5"/>
          <w:w w:val="105"/>
        </w:rPr>
        <w:t> </w:t>
      </w:r>
      <w:r>
        <w:rPr>
          <w:color w:val="231F20"/>
          <w:w w:val="105"/>
        </w:rPr>
        <w:t>campaña</w:t>
      </w:r>
      <w:r>
        <w:rPr>
          <w:color w:val="231F20"/>
          <w:spacing w:val="-5"/>
          <w:w w:val="105"/>
        </w:rPr>
        <w:t> </w:t>
      </w:r>
      <w:r>
        <w:rPr>
          <w:color w:val="231F20"/>
          <w:w w:val="105"/>
        </w:rPr>
        <w:t>a</w:t>
      </w:r>
      <w:r>
        <w:rPr>
          <w:color w:val="231F20"/>
          <w:spacing w:val="-5"/>
          <w:w w:val="105"/>
        </w:rPr>
        <w:t> </w:t>
      </w:r>
      <w:r>
        <w:rPr>
          <w:color w:val="231F20"/>
          <w:w w:val="105"/>
        </w:rPr>
        <w:t>gobernador</w:t>
      </w:r>
      <w:r>
        <w:rPr>
          <w:color w:val="231F20"/>
          <w:spacing w:val="-5"/>
          <w:w w:val="105"/>
        </w:rPr>
        <w:t> </w:t>
      </w:r>
      <w:r>
        <w:rPr>
          <w:color w:val="231F20"/>
          <w:w w:val="105"/>
        </w:rPr>
        <w:t>por</w:t>
      </w:r>
      <w:r>
        <w:rPr>
          <w:color w:val="231F20"/>
          <w:spacing w:val="-5"/>
          <w:w w:val="105"/>
        </w:rPr>
        <w:t> </w:t>
      </w:r>
      <w:r>
        <w:rPr>
          <w:color w:val="231F20"/>
          <w:w w:val="105"/>
        </w:rPr>
        <w:t>el 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(2005),</w:t>
      </w:r>
      <w:r>
        <w:rPr>
          <w:color w:val="231F20"/>
          <w:spacing w:val="-13"/>
          <w:w w:val="105"/>
        </w:rPr>
        <w:t> </w:t>
      </w:r>
      <w:r>
        <w:rPr>
          <w:color w:val="231F20"/>
          <w:w w:val="105"/>
        </w:rPr>
        <w:t>se</w:t>
      </w:r>
      <w:r>
        <w:rPr>
          <w:color w:val="231F20"/>
          <w:spacing w:val="-13"/>
          <w:w w:val="105"/>
        </w:rPr>
        <w:t> </w:t>
      </w:r>
      <w:r>
        <w:rPr>
          <w:color w:val="231F20"/>
          <w:w w:val="105"/>
        </w:rPr>
        <w:t>haría</w:t>
      </w:r>
      <w:r>
        <w:rPr>
          <w:color w:val="231F20"/>
          <w:spacing w:val="-13"/>
          <w:w w:val="105"/>
        </w:rPr>
        <w:t> </w:t>
      </w:r>
      <w:r>
        <w:rPr>
          <w:color w:val="231F20"/>
          <w:w w:val="105"/>
        </w:rPr>
        <w:t>acreedor</w:t>
      </w:r>
      <w:r>
        <w:rPr>
          <w:color w:val="231F20"/>
          <w:spacing w:val="-13"/>
          <w:w w:val="105"/>
        </w:rPr>
        <w:t> </w:t>
      </w:r>
      <w:r>
        <w:rPr>
          <w:color w:val="231F20"/>
          <w:w w:val="105"/>
        </w:rPr>
        <w:t>a</w:t>
      </w:r>
      <w:r>
        <w:rPr>
          <w:color w:val="231F20"/>
          <w:spacing w:val="-13"/>
          <w:w w:val="105"/>
        </w:rPr>
        <w:t> </w:t>
      </w:r>
      <w:r>
        <w:rPr>
          <w:color w:val="231F20"/>
          <w:w w:val="105"/>
        </w:rPr>
        <w:t>algunas</w:t>
      </w:r>
      <w:r>
        <w:rPr>
          <w:color w:val="231F20"/>
          <w:spacing w:val="-13"/>
          <w:w w:val="105"/>
        </w:rPr>
        <w:t> </w:t>
      </w:r>
      <w:r>
        <w:rPr>
          <w:color w:val="231F20"/>
          <w:w w:val="105"/>
        </w:rPr>
        <w:t>denuncias</w:t>
      </w:r>
      <w:r>
        <w:rPr>
          <w:color w:val="231F20"/>
          <w:spacing w:val="-13"/>
          <w:w w:val="105"/>
        </w:rPr>
        <w:t> </w:t>
      </w:r>
      <w:r>
        <w:rPr>
          <w:color w:val="231F20"/>
          <w:w w:val="105"/>
        </w:rPr>
        <w:t>y</w:t>
      </w:r>
      <w:r>
        <w:rPr>
          <w:color w:val="231F20"/>
          <w:spacing w:val="-13"/>
          <w:w w:val="105"/>
        </w:rPr>
        <w:t> </w:t>
      </w:r>
      <w:r>
        <w:rPr>
          <w:color w:val="231F20"/>
          <w:w w:val="105"/>
        </w:rPr>
        <w:t>demandas</w:t>
      </w:r>
      <w:r>
        <w:rPr>
          <w:color w:val="231F20"/>
          <w:spacing w:val="-13"/>
          <w:w w:val="105"/>
        </w:rPr>
        <w:t> </w:t>
      </w:r>
      <w:r>
        <w:rPr>
          <w:color w:val="231F20"/>
          <w:w w:val="105"/>
        </w:rPr>
        <w:t>por</w:t>
      </w:r>
      <w:r>
        <w:rPr>
          <w:color w:val="231F20"/>
          <w:spacing w:val="-13"/>
          <w:w w:val="105"/>
        </w:rPr>
        <w:t> </w:t>
      </w:r>
      <w:r>
        <w:rPr>
          <w:color w:val="231F20"/>
          <w:w w:val="105"/>
        </w:rPr>
        <w:t>accio- nes</w:t>
      </w:r>
      <w:r>
        <w:rPr>
          <w:color w:val="231F20"/>
          <w:spacing w:val="-5"/>
          <w:w w:val="105"/>
        </w:rPr>
        <w:t> </w:t>
      </w:r>
      <w:r>
        <w:rPr>
          <w:color w:val="231F20"/>
          <w:w w:val="105"/>
        </w:rPr>
        <w:t>llevadas</w:t>
      </w:r>
      <w:r>
        <w:rPr>
          <w:color w:val="231F20"/>
          <w:spacing w:val="-5"/>
          <w:w w:val="105"/>
        </w:rPr>
        <w:t> </w:t>
      </w:r>
      <w:r>
        <w:rPr>
          <w:color w:val="231F20"/>
          <w:w w:val="105"/>
        </w:rPr>
        <w:t>a</w:t>
      </w:r>
      <w:r>
        <w:rPr>
          <w:color w:val="231F20"/>
          <w:spacing w:val="-5"/>
          <w:w w:val="105"/>
        </w:rPr>
        <w:t> </w:t>
      </w:r>
      <w:r>
        <w:rPr>
          <w:color w:val="231F20"/>
          <w:w w:val="105"/>
        </w:rPr>
        <w:t>cabo</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gestión.</w:t>
      </w:r>
      <w:r>
        <w:rPr>
          <w:color w:val="231F20"/>
          <w:spacing w:val="-5"/>
          <w:w w:val="105"/>
        </w:rPr>
        <w:t> </w:t>
      </w:r>
      <w:r>
        <w:rPr>
          <w:color w:val="231F20"/>
          <w:w w:val="105"/>
        </w:rPr>
        <w:t>Esto,</w:t>
      </w:r>
      <w:r>
        <w:rPr>
          <w:color w:val="231F20"/>
          <w:spacing w:val="-5"/>
          <w:w w:val="105"/>
        </w:rPr>
        <w:t> </w:t>
      </w:r>
      <w:r>
        <w:rPr>
          <w:color w:val="231F20"/>
          <w:w w:val="105"/>
        </w:rPr>
        <w:t>aunado</w:t>
      </w:r>
      <w:r>
        <w:rPr>
          <w:color w:val="231F20"/>
          <w:spacing w:val="-5"/>
          <w:w w:val="105"/>
        </w:rPr>
        <w:t> </w:t>
      </w:r>
      <w:r>
        <w:rPr>
          <w:color w:val="231F20"/>
          <w:w w:val="105"/>
        </w:rPr>
        <w:t>a</w:t>
      </w:r>
      <w:r>
        <w:rPr>
          <w:color w:val="231F20"/>
          <w:spacing w:val="-5"/>
          <w:w w:val="105"/>
        </w:rPr>
        <w:t> </w:t>
      </w:r>
      <w:r>
        <w:rPr>
          <w:color w:val="231F20"/>
          <w:w w:val="105"/>
        </w:rPr>
        <w:t>una</w:t>
      </w:r>
      <w:r>
        <w:rPr>
          <w:color w:val="231F20"/>
          <w:spacing w:val="-5"/>
          <w:w w:val="105"/>
        </w:rPr>
        <w:t> </w:t>
      </w:r>
      <w:r>
        <w:rPr>
          <w:color w:val="231F20"/>
          <w:w w:val="105"/>
        </w:rPr>
        <w:t>serie</w:t>
      </w:r>
      <w:r>
        <w:rPr>
          <w:color w:val="231F20"/>
          <w:spacing w:val="-5"/>
          <w:w w:val="105"/>
        </w:rPr>
        <w:t> </w:t>
      </w:r>
      <w:r>
        <w:rPr>
          <w:color w:val="231F20"/>
          <w:w w:val="105"/>
        </w:rPr>
        <w:t>de</w:t>
      </w:r>
      <w:r>
        <w:rPr>
          <w:color w:val="231F20"/>
          <w:spacing w:val="-5"/>
          <w:w w:val="105"/>
        </w:rPr>
        <w:t> </w:t>
      </w:r>
      <w:r>
        <w:rPr>
          <w:color w:val="231F20"/>
          <w:w w:val="105"/>
        </w:rPr>
        <w:t>diferencias</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actual presidente</w:t>
      </w:r>
      <w:r>
        <w:rPr>
          <w:color w:val="231F20"/>
          <w:spacing w:val="-13"/>
          <w:w w:val="105"/>
        </w:rPr>
        <w:t> </w:t>
      </w:r>
      <w:r>
        <w:rPr>
          <w:color w:val="231F20"/>
          <w:w w:val="105"/>
        </w:rPr>
        <w:t>municipal</w:t>
      </w:r>
      <w:r>
        <w:rPr>
          <w:color w:val="231F20"/>
          <w:spacing w:val="-13"/>
          <w:w w:val="105"/>
        </w:rPr>
        <w:t> </w:t>
      </w:r>
      <w:r>
        <w:rPr>
          <w:color w:val="231F20"/>
          <w:w w:val="105"/>
        </w:rPr>
        <w:t>de</w:t>
      </w:r>
      <w:r>
        <w:rPr>
          <w:color w:val="231F20"/>
          <w:spacing w:val="-13"/>
          <w:w w:val="105"/>
        </w:rPr>
        <w:t> </w:t>
      </w:r>
      <w:r>
        <w:rPr>
          <w:color w:val="231F20"/>
          <w:w w:val="105"/>
        </w:rPr>
        <w:t>Tlalnepantla,</w:t>
      </w:r>
      <w:r>
        <w:rPr>
          <w:color w:val="231F20"/>
          <w:spacing w:val="-13"/>
          <w:w w:val="105"/>
        </w:rPr>
        <w:t> </w:t>
      </w:r>
      <w:r>
        <w:rPr>
          <w:color w:val="231F20"/>
          <w:w w:val="105"/>
        </w:rPr>
        <w:t>desembocaría</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expulsión</w:t>
      </w:r>
      <w:r>
        <w:rPr>
          <w:color w:val="231F20"/>
          <w:spacing w:val="-13"/>
          <w:w w:val="105"/>
        </w:rPr>
        <w:t> </w:t>
      </w:r>
      <w:r>
        <w:rPr>
          <w:color w:val="231F20"/>
          <w:w w:val="105"/>
        </w:rPr>
        <w:t>del</w:t>
      </w:r>
      <w:r>
        <w:rPr>
          <w:color w:val="231F20"/>
          <w:spacing w:val="-13"/>
          <w:w w:val="105"/>
        </w:rPr>
        <w:t> </w:t>
      </w:r>
      <w:r>
        <w:rPr>
          <w:color w:val="231F20"/>
          <w:spacing w:val="-4"/>
          <w:w w:val="105"/>
        </w:rPr>
        <w:t>PAN</w:t>
      </w:r>
      <w:r>
        <w:rPr>
          <w:color w:val="231F20"/>
          <w:spacing w:val="-13"/>
          <w:w w:val="105"/>
        </w:rPr>
        <w:t> </w:t>
      </w:r>
      <w:r>
        <w:rPr>
          <w:color w:val="231F20"/>
          <w:w w:val="105"/>
        </w:rPr>
        <w:t>en</w:t>
      </w:r>
      <w:r>
        <w:rPr>
          <w:color w:val="231F20"/>
          <w:spacing w:val="-13"/>
          <w:w w:val="105"/>
        </w:rPr>
        <w:t> </w:t>
      </w:r>
      <w:r>
        <w:rPr>
          <w:color w:val="231F20"/>
          <w:spacing w:val="2"/>
          <w:w w:val="105"/>
        </w:rPr>
        <w:t>2008.</w:t>
      </w:r>
    </w:p>
    <w:p>
      <w:pPr>
        <w:pStyle w:val="BodyText"/>
        <w:spacing w:before="1"/>
        <w:rPr>
          <w:sz w:val="26"/>
        </w:rPr>
      </w:pPr>
    </w:p>
    <w:p>
      <w:pPr>
        <w:pStyle w:val="BodyText"/>
        <w:spacing w:line="285" w:lineRule="auto"/>
        <w:ind w:left="110" w:right="106"/>
        <w:jc w:val="both"/>
      </w:pPr>
      <w:r>
        <w:rPr>
          <w:color w:val="231F20"/>
          <w:spacing w:val="-3"/>
          <w:w w:val="105"/>
        </w:rPr>
        <w:t>Por</w:t>
      </w:r>
      <w:r>
        <w:rPr>
          <w:color w:val="231F20"/>
          <w:spacing w:val="-20"/>
          <w:w w:val="105"/>
        </w:rPr>
        <w:t> </w:t>
      </w:r>
      <w:r>
        <w:rPr>
          <w:color w:val="231F20"/>
          <w:w w:val="105"/>
        </w:rPr>
        <w:t>un</w:t>
      </w:r>
      <w:r>
        <w:rPr>
          <w:color w:val="231F20"/>
          <w:spacing w:val="-20"/>
          <w:w w:val="105"/>
        </w:rPr>
        <w:t> </w:t>
      </w:r>
      <w:r>
        <w:rPr>
          <w:color w:val="231F20"/>
          <w:w w:val="105"/>
        </w:rPr>
        <w:t>lado,</w:t>
      </w:r>
      <w:r>
        <w:rPr>
          <w:color w:val="231F20"/>
          <w:spacing w:val="-20"/>
          <w:w w:val="105"/>
        </w:rPr>
        <w:t> </w:t>
      </w:r>
      <w:r>
        <w:rPr>
          <w:color w:val="231F20"/>
          <w:w w:val="105"/>
        </w:rPr>
        <w:t>a</w:t>
      </w:r>
      <w:r>
        <w:rPr>
          <w:color w:val="231F20"/>
          <w:spacing w:val="-20"/>
          <w:w w:val="105"/>
        </w:rPr>
        <w:t> </w:t>
      </w:r>
      <w:r>
        <w:rPr>
          <w:color w:val="231F20"/>
          <w:w w:val="105"/>
        </w:rPr>
        <w:t>Mendoza</w:t>
      </w:r>
      <w:r>
        <w:rPr>
          <w:color w:val="231F20"/>
          <w:spacing w:val="-20"/>
          <w:w w:val="105"/>
        </w:rPr>
        <w:t> </w:t>
      </w:r>
      <w:r>
        <w:rPr>
          <w:color w:val="231F20"/>
          <w:w w:val="105"/>
        </w:rPr>
        <w:t>Ayala</w:t>
      </w:r>
      <w:r>
        <w:rPr>
          <w:color w:val="231F20"/>
          <w:spacing w:val="-20"/>
          <w:w w:val="105"/>
        </w:rPr>
        <w:t> </w:t>
      </w:r>
      <w:r>
        <w:rPr>
          <w:color w:val="231F20"/>
          <w:w w:val="105"/>
        </w:rPr>
        <w:t>se</w:t>
      </w:r>
      <w:r>
        <w:rPr>
          <w:color w:val="231F20"/>
          <w:spacing w:val="-20"/>
          <w:w w:val="105"/>
        </w:rPr>
        <w:t> </w:t>
      </w:r>
      <w:r>
        <w:rPr>
          <w:color w:val="231F20"/>
          <w:w w:val="105"/>
        </w:rPr>
        <w:t>le</w:t>
      </w:r>
      <w:r>
        <w:rPr>
          <w:color w:val="231F20"/>
          <w:spacing w:val="-20"/>
          <w:w w:val="105"/>
        </w:rPr>
        <w:t> </w:t>
      </w:r>
      <w:r>
        <w:rPr>
          <w:color w:val="231F20"/>
          <w:w w:val="105"/>
        </w:rPr>
        <w:t>acusó</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desfalco</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hacienda</w:t>
      </w:r>
      <w:r>
        <w:rPr>
          <w:color w:val="231F20"/>
          <w:spacing w:val="-20"/>
          <w:w w:val="105"/>
        </w:rPr>
        <w:t> </w:t>
      </w:r>
      <w:r>
        <w:rPr>
          <w:color w:val="231F20"/>
          <w:w w:val="105"/>
        </w:rPr>
        <w:t>pública</w:t>
      </w:r>
      <w:r>
        <w:rPr>
          <w:color w:val="231F20"/>
          <w:spacing w:val="-20"/>
          <w:w w:val="105"/>
        </w:rPr>
        <w:t> </w:t>
      </w:r>
      <w:r>
        <w:rPr>
          <w:color w:val="231F20"/>
          <w:w w:val="105"/>
        </w:rPr>
        <w:t>municipal de</w:t>
      </w:r>
      <w:r>
        <w:rPr>
          <w:color w:val="231F20"/>
          <w:spacing w:val="-22"/>
          <w:w w:val="105"/>
        </w:rPr>
        <w:t> </w:t>
      </w:r>
      <w:r>
        <w:rPr>
          <w:color w:val="231F20"/>
          <w:w w:val="105"/>
        </w:rPr>
        <w:t>Tlalnepantla</w:t>
      </w:r>
      <w:r>
        <w:rPr>
          <w:color w:val="231F20"/>
          <w:spacing w:val="-22"/>
          <w:w w:val="105"/>
        </w:rPr>
        <w:t> </w:t>
      </w:r>
      <w:r>
        <w:rPr>
          <w:color w:val="231F20"/>
          <w:w w:val="105"/>
        </w:rPr>
        <w:t>superior</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spacing w:val="2"/>
          <w:w w:val="105"/>
        </w:rPr>
        <w:t>500</w:t>
      </w:r>
      <w:r>
        <w:rPr>
          <w:color w:val="231F20"/>
          <w:spacing w:val="-22"/>
          <w:w w:val="105"/>
        </w:rPr>
        <w:t> </w:t>
      </w:r>
      <w:r>
        <w:rPr>
          <w:color w:val="231F20"/>
          <w:w w:val="105"/>
        </w:rPr>
        <w:t>millones</w:t>
      </w:r>
      <w:r>
        <w:rPr>
          <w:color w:val="231F20"/>
          <w:spacing w:val="-22"/>
          <w:w w:val="105"/>
        </w:rPr>
        <w:t> </w:t>
      </w:r>
      <w:r>
        <w:rPr>
          <w:color w:val="231F20"/>
          <w:w w:val="105"/>
        </w:rPr>
        <w:t>de</w:t>
      </w:r>
      <w:r>
        <w:rPr>
          <w:color w:val="231F20"/>
          <w:spacing w:val="-22"/>
          <w:w w:val="105"/>
        </w:rPr>
        <w:t> </w:t>
      </w:r>
      <w:r>
        <w:rPr>
          <w:color w:val="231F20"/>
          <w:w w:val="105"/>
        </w:rPr>
        <w:t>pesos,</w:t>
      </w:r>
      <w:r>
        <w:rPr>
          <w:color w:val="231F20"/>
          <w:spacing w:val="-22"/>
          <w:w w:val="105"/>
        </w:rPr>
        <w:t> </w:t>
      </w:r>
      <w:r>
        <w:rPr>
          <w:color w:val="231F20"/>
          <w:w w:val="105"/>
        </w:rPr>
        <w:t>recursos</w:t>
      </w:r>
      <w:r>
        <w:rPr>
          <w:color w:val="231F20"/>
          <w:spacing w:val="-22"/>
          <w:w w:val="105"/>
        </w:rPr>
        <w:t> </w:t>
      </w:r>
      <w:r>
        <w:rPr>
          <w:color w:val="231F20"/>
          <w:w w:val="105"/>
        </w:rPr>
        <w:t>que</w:t>
      </w:r>
      <w:r>
        <w:rPr>
          <w:color w:val="231F20"/>
          <w:spacing w:val="-22"/>
          <w:w w:val="105"/>
        </w:rPr>
        <w:t> </w:t>
      </w:r>
      <w:r>
        <w:rPr>
          <w:color w:val="231F20"/>
          <w:w w:val="105"/>
        </w:rPr>
        <w:t>presuntamente</w:t>
      </w:r>
      <w:r>
        <w:rPr>
          <w:color w:val="231F20"/>
          <w:spacing w:val="-22"/>
          <w:w w:val="105"/>
        </w:rPr>
        <w:t> </w:t>
      </w:r>
      <w:r>
        <w:rPr>
          <w:color w:val="231F20"/>
          <w:w w:val="105"/>
        </w:rPr>
        <w:t>habría desviado</w:t>
      </w:r>
      <w:r>
        <w:rPr>
          <w:color w:val="231F20"/>
          <w:spacing w:val="-13"/>
          <w:w w:val="105"/>
        </w:rPr>
        <w:t> </w:t>
      </w:r>
      <w:r>
        <w:rPr>
          <w:color w:val="231F20"/>
          <w:w w:val="105"/>
        </w:rPr>
        <w:t>para</w:t>
      </w:r>
      <w:r>
        <w:rPr>
          <w:color w:val="231F20"/>
          <w:spacing w:val="-13"/>
          <w:w w:val="105"/>
        </w:rPr>
        <w:t> </w:t>
      </w:r>
      <w:r>
        <w:rPr>
          <w:color w:val="231F20"/>
          <w:w w:val="105"/>
        </w:rPr>
        <w:t>financiar</w:t>
      </w:r>
      <w:r>
        <w:rPr>
          <w:color w:val="231F20"/>
          <w:spacing w:val="-13"/>
          <w:w w:val="105"/>
        </w:rPr>
        <w:t> </w:t>
      </w:r>
      <w:r>
        <w:rPr>
          <w:color w:val="231F20"/>
          <w:w w:val="105"/>
        </w:rPr>
        <w:t>su</w:t>
      </w:r>
      <w:r>
        <w:rPr>
          <w:color w:val="231F20"/>
          <w:spacing w:val="-13"/>
          <w:w w:val="105"/>
        </w:rPr>
        <w:t> </w:t>
      </w:r>
      <w:r>
        <w:rPr>
          <w:color w:val="231F20"/>
          <w:w w:val="105"/>
        </w:rPr>
        <w:t>campaña</w:t>
      </w:r>
      <w:r>
        <w:rPr>
          <w:color w:val="231F20"/>
          <w:spacing w:val="-13"/>
          <w:w w:val="105"/>
        </w:rPr>
        <w:t> </w:t>
      </w:r>
      <w:r>
        <w:rPr>
          <w:color w:val="231F20"/>
          <w:w w:val="105"/>
        </w:rPr>
        <w:t>proselitista</w:t>
      </w:r>
      <w:r>
        <w:rPr>
          <w:color w:val="231F20"/>
          <w:spacing w:val="-13"/>
          <w:w w:val="105"/>
        </w:rPr>
        <w:t> </w:t>
      </w:r>
      <w:r>
        <w:rPr>
          <w:color w:val="231F20"/>
          <w:w w:val="105"/>
        </w:rPr>
        <w:t>en</w:t>
      </w:r>
      <w:r>
        <w:rPr>
          <w:color w:val="231F20"/>
          <w:spacing w:val="-13"/>
          <w:w w:val="105"/>
        </w:rPr>
        <w:t> </w:t>
      </w:r>
      <w:r>
        <w:rPr>
          <w:color w:val="231F20"/>
          <w:w w:val="105"/>
        </w:rPr>
        <w:t>busca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gubernatura.</w:t>
      </w:r>
      <w:r>
        <w:rPr>
          <w:color w:val="231F20"/>
          <w:spacing w:val="-13"/>
          <w:w w:val="105"/>
        </w:rPr>
        <w:t> </w:t>
      </w:r>
      <w:r>
        <w:rPr>
          <w:color w:val="231F20"/>
          <w:spacing w:val="-3"/>
          <w:w w:val="105"/>
        </w:rPr>
        <w:t>También</w:t>
      </w:r>
      <w:r>
        <w:rPr>
          <w:color w:val="231F20"/>
          <w:spacing w:val="-13"/>
          <w:w w:val="105"/>
        </w:rPr>
        <w:t> </w:t>
      </w:r>
      <w:r>
        <w:rPr>
          <w:color w:val="231F20"/>
          <w:w w:val="105"/>
        </w:rPr>
        <w:t>se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le</w:t>
      </w:r>
      <w:r>
        <w:rPr>
          <w:color w:val="231F20"/>
          <w:spacing w:val="-12"/>
          <w:w w:val="105"/>
        </w:rPr>
        <w:t> </w:t>
      </w:r>
      <w:r>
        <w:rPr>
          <w:color w:val="231F20"/>
          <w:w w:val="105"/>
        </w:rPr>
        <w:t>acusó</w:t>
      </w:r>
      <w:r>
        <w:rPr>
          <w:color w:val="231F20"/>
          <w:spacing w:val="-12"/>
          <w:w w:val="105"/>
        </w:rPr>
        <w:t> </w:t>
      </w:r>
      <w:r>
        <w:rPr>
          <w:color w:val="231F20"/>
          <w:w w:val="105"/>
        </w:rPr>
        <w:t>de</w:t>
      </w:r>
      <w:r>
        <w:rPr>
          <w:color w:val="231F20"/>
          <w:spacing w:val="-12"/>
          <w:w w:val="105"/>
        </w:rPr>
        <w:t> </w:t>
      </w:r>
      <w:r>
        <w:rPr>
          <w:color w:val="231F20"/>
          <w:w w:val="105"/>
        </w:rPr>
        <w:t>haber</w:t>
      </w:r>
      <w:r>
        <w:rPr>
          <w:color w:val="231F20"/>
          <w:spacing w:val="-12"/>
          <w:w w:val="105"/>
        </w:rPr>
        <w:t> </w:t>
      </w:r>
      <w:r>
        <w:rPr>
          <w:color w:val="231F20"/>
          <w:w w:val="105"/>
        </w:rPr>
        <w:t>asignado</w:t>
      </w:r>
      <w:r>
        <w:rPr>
          <w:color w:val="231F20"/>
          <w:spacing w:val="-12"/>
          <w:w w:val="105"/>
        </w:rPr>
        <w:t> </w:t>
      </w:r>
      <w:r>
        <w:rPr>
          <w:color w:val="231F20"/>
          <w:w w:val="105"/>
        </w:rPr>
        <w:t>un</w:t>
      </w:r>
      <w:r>
        <w:rPr>
          <w:color w:val="231F20"/>
          <w:spacing w:val="-12"/>
          <w:w w:val="105"/>
        </w:rPr>
        <w:t> </w:t>
      </w:r>
      <w:r>
        <w:rPr>
          <w:color w:val="231F20"/>
          <w:w w:val="105"/>
        </w:rPr>
        <w:t>cuantioso</w:t>
      </w:r>
      <w:r>
        <w:rPr>
          <w:color w:val="231F20"/>
          <w:spacing w:val="-12"/>
          <w:w w:val="105"/>
        </w:rPr>
        <w:t> </w:t>
      </w:r>
      <w:r>
        <w:rPr>
          <w:color w:val="231F20"/>
          <w:w w:val="105"/>
        </w:rPr>
        <w:t>salario</w:t>
      </w:r>
      <w:r>
        <w:rPr>
          <w:color w:val="231F20"/>
          <w:spacing w:val="-12"/>
          <w:w w:val="105"/>
        </w:rPr>
        <w:t> </w:t>
      </w:r>
      <w:r>
        <w:rPr>
          <w:color w:val="231F20"/>
          <w:w w:val="105"/>
        </w:rPr>
        <w:t>como</w:t>
      </w:r>
      <w:r>
        <w:rPr>
          <w:color w:val="231F20"/>
          <w:spacing w:val="-12"/>
          <w:w w:val="105"/>
        </w:rPr>
        <w:t> </w:t>
      </w:r>
      <w:r>
        <w:rPr>
          <w:color w:val="231F20"/>
          <w:w w:val="105"/>
        </w:rPr>
        <w:t>presidenta</w:t>
      </w:r>
      <w:r>
        <w:rPr>
          <w:color w:val="231F20"/>
          <w:spacing w:val="-12"/>
          <w:w w:val="105"/>
        </w:rPr>
        <w:t> </w:t>
      </w:r>
      <w:r>
        <w:rPr>
          <w:color w:val="231F20"/>
          <w:w w:val="105"/>
        </w:rPr>
        <w:t>del</w:t>
      </w:r>
      <w:r>
        <w:rPr>
          <w:color w:val="231F20"/>
          <w:spacing w:val="-12"/>
          <w:w w:val="105"/>
        </w:rPr>
        <w:t> </w:t>
      </w:r>
      <w:r>
        <w:rPr>
          <w:color w:val="231F20"/>
          <w:spacing w:val="-6"/>
          <w:w w:val="105"/>
        </w:rPr>
        <w:t>DIF,</w:t>
      </w:r>
      <w:r>
        <w:rPr>
          <w:color w:val="231F20"/>
          <w:spacing w:val="-12"/>
          <w:w w:val="105"/>
        </w:rPr>
        <w:t> </w:t>
      </w:r>
      <w:r>
        <w:rPr>
          <w:color w:val="231F20"/>
          <w:w w:val="105"/>
        </w:rPr>
        <w:t>superior</w:t>
      </w:r>
      <w:r>
        <w:rPr>
          <w:color w:val="231F20"/>
          <w:spacing w:val="-12"/>
          <w:w w:val="105"/>
        </w:rPr>
        <w:t> </w:t>
      </w:r>
      <w:r>
        <w:rPr>
          <w:color w:val="231F20"/>
          <w:w w:val="105"/>
        </w:rPr>
        <w:t>a</w:t>
      </w:r>
      <w:r>
        <w:rPr>
          <w:color w:val="231F20"/>
          <w:spacing w:val="-12"/>
          <w:w w:val="105"/>
        </w:rPr>
        <w:t> </w:t>
      </w:r>
      <w:r>
        <w:rPr>
          <w:color w:val="231F20"/>
          <w:w w:val="105"/>
        </w:rPr>
        <w:t>los 100</w:t>
      </w:r>
      <w:r>
        <w:rPr>
          <w:color w:val="231F20"/>
          <w:spacing w:val="-23"/>
          <w:w w:val="105"/>
        </w:rPr>
        <w:t> </w:t>
      </w:r>
      <w:r>
        <w:rPr>
          <w:color w:val="231F20"/>
          <w:spacing w:val="2"/>
          <w:w w:val="105"/>
        </w:rPr>
        <w:t>mil</w:t>
      </w:r>
      <w:r>
        <w:rPr>
          <w:color w:val="231F20"/>
          <w:spacing w:val="-23"/>
          <w:w w:val="105"/>
        </w:rPr>
        <w:t> </w:t>
      </w:r>
      <w:r>
        <w:rPr>
          <w:color w:val="231F20"/>
          <w:w w:val="105"/>
        </w:rPr>
        <w:t>pesos</w:t>
      </w:r>
      <w:r>
        <w:rPr>
          <w:color w:val="231F20"/>
          <w:spacing w:val="-23"/>
          <w:w w:val="105"/>
        </w:rPr>
        <w:t> </w:t>
      </w:r>
      <w:r>
        <w:rPr>
          <w:color w:val="231F20"/>
          <w:w w:val="105"/>
        </w:rPr>
        <w:t>mensuales,</w:t>
      </w:r>
      <w:r>
        <w:rPr>
          <w:color w:val="231F20"/>
          <w:spacing w:val="-23"/>
          <w:w w:val="105"/>
        </w:rPr>
        <w:t> </w:t>
      </w:r>
      <w:r>
        <w:rPr>
          <w:color w:val="231F20"/>
          <w:w w:val="105"/>
        </w:rPr>
        <w:t>cuando</w:t>
      </w:r>
      <w:r>
        <w:rPr>
          <w:color w:val="231F20"/>
          <w:spacing w:val="-23"/>
          <w:w w:val="105"/>
        </w:rPr>
        <w:t> </w:t>
      </w:r>
      <w:r>
        <w:rPr>
          <w:color w:val="231F20"/>
          <w:w w:val="105"/>
        </w:rPr>
        <w:t>supuestamente</w:t>
      </w:r>
      <w:r>
        <w:rPr>
          <w:color w:val="231F20"/>
          <w:spacing w:val="-23"/>
          <w:w w:val="105"/>
        </w:rPr>
        <w:t> </w:t>
      </w:r>
      <w:r>
        <w:rPr>
          <w:color w:val="231F20"/>
          <w:w w:val="105"/>
        </w:rPr>
        <w:t>el</w:t>
      </w:r>
      <w:r>
        <w:rPr>
          <w:color w:val="231F20"/>
          <w:spacing w:val="-23"/>
          <w:w w:val="105"/>
        </w:rPr>
        <w:t> </w:t>
      </w:r>
      <w:r>
        <w:rPr>
          <w:color w:val="231F20"/>
          <w:w w:val="105"/>
        </w:rPr>
        <w:t>cargo</w:t>
      </w:r>
      <w:r>
        <w:rPr>
          <w:color w:val="231F20"/>
          <w:spacing w:val="-23"/>
          <w:w w:val="105"/>
        </w:rPr>
        <w:t> </w:t>
      </w:r>
      <w:r>
        <w:rPr>
          <w:color w:val="231F20"/>
          <w:w w:val="105"/>
        </w:rPr>
        <w:t>era</w:t>
      </w:r>
      <w:r>
        <w:rPr>
          <w:color w:val="231F20"/>
          <w:spacing w:val="-23"/>
          <w:w w:val="105"/>
        </w:rPr>
        <w:t> </w:t>
      </w:r>
      <w:r>
        <w:rPr>
          <w:color w:val="231F20"/>
          <w:w w:val="105"/>
        </w:rPr>
        <w:t>“honorario”.</w:t>
      </w:r>
      <w:r>
        <w:rPr>
          <w:color w:val="231F20"/>
          <w:spacing w:val="-23"/>
          <w:w w:val="105"/>
        </w:rPr>
        <w:t> </w:t>
      </w:r>
      <w:r>
        <w:rPr>
          <w:color w:val="231F20"/>
          <w:spacing w:val="-8"/>
          <w:w w:val="105"/>
        </w:rPr>
        <w:t>Y,</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otro, debido</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manifestaciones</w:t>
      </w:r>
      <w:r>
        <w:rPr>
          <w:color w:val="231F20"/>
          <w:spacing w:val="-12"/>
          <w:w w:val="105"/>
        </w:rPr>
        <w:t> </w:t>
      </w:r>
      <w:r>
        <w:rPr>
          <w:color w:val="231F20"/>
          <w:w w:val="105"/>
        </w:rPr>
        <w:t>que</w:t>
      </w:r>
      <w:r>
        <w:rPr>
          <w:color w:val="231F20"/>
          <w:spacing w:val="-12"/>
          <w:w w:val="105"/>
        </w:rPr>
        <w:t> </w:t>
      </w:r>
      <w:r>
        <w:rPr>
          <w:color w:val="231F20"/>
          <w:w w:val="105"/>
        </w:rPr>
        <w:t>realizó</w:t>
      </w:r>
      <w:r>
        <w:rPr>
          <w:color w:val="231F20"/>
          <w:spacing w:val="-12"/>
          <w:w w:val="105"/>
        </w:rPr>
        <w:t> </w:t>
      </w:r>
      <w:r>
        <w:rPr>
          <w:color w:val="231F20"/>
          <w:w w:val="105"/>
        </w:rPr>
        <w:t>durante</w:t>
      </w:r>
      <w:r>
        <w:rPr>
          <w:color w:val="231F20"/>
          <w:spacing w:val="-12"/>
          <w:w w:val="105"/>
        </w:rPr>
        <w:t> </w:t>
      </w:r>
      <w:r>
        <w:rPr>
          <w:color w:val="231F20"/>
          <w:w w:val="105"/>
        </w:rPr>
        <w:t>su</w:t>
      </w:r>
      <w:r>
        <w:rPr>
          <w:color w:val="231F20"/>
          <w:spacing w:val="-12"/>
          <w:w w:val="105"/>
        </w:rPr>
        <w:t> </w:t>
      </w:r>
      <w:r>
        <w:rPr>
          <w:color w:val="231F20"/>
          <w:w w:val="105"/>
        </w:rPr>
        <w:t>campaña</w:t>
      </w:r>
      <w:r>
        <w:rPr>
          <w:color w:val="231F20"/>
          <w:spacing w:val="-12"/>
          <w:w w:val="105"/>
        </w:rPr>
        <w:t> </w:t>
      </w:r>
      <w:r>
        <w:rPr>
          <w:color w:val="231F20"/>
          <w:w w:val="105"/>
        </w:rPr>
        <w:t>en</w:t>
      </w:r>
      <w:r>
        <w:rPr>
          <w:color w:val="231F20"/>
          <w:spacing w:val="-12"/>
          <w:w w:val="105"/>
        </w:rPr>
        <w:t> </w:t>
      </w:r>
      <w:r>
        <w:rPr>
          <w:color w:val="231F20"/>
          <w:w w:val="105"/>
        </w:rPr>
        <w:t>contra</w:t>
      </w:r>
      <w:r>
        <w:rPr>
          <w:color w:val="231F20"/>
          <w:spacing w:val="-12"/>
          <w:w w:val="105"/>
        </w:rPr>
        <w:t> </w:t>
      </w:r>
      <w:r>
        <w:rPr>
          <w:color w:val="231F20"/>
          <w:w w:val="105"/>
        </w:rPr>
        <w:t>del</w:t>
      </w:r>
      <w:r>
        <w:rPr>
          <w:color w:val="231F20"/>
          <w:spacing w:val="-12"/>
          <w:w w:val="105"/>
        </w:rPr>
        <w:t> </w:t>
      </w:r>
      <w:r>
        <w:rPr>
          <w:color w:val="231F20"/>
          <w:w w:val="105"/>
        </w:rPr>
        <w:t>actual</w:t>
      </w:r>
      <w:r>
        <w:rPr>
          <w:color w:val="231F20"/>
          <w:spacing w:val="-12"/>
          <w:w w:val="105"/>
        </w:rPr>
        <w:t> </w:t>
      </w:r>
      <w:r>
        <w:rPr>
          <w:color w:val="231F20"/>
          <w:w w:val="105"/>
        </w:rPr>
        <w:t>presi- dente</w:t>
      </w:r>
      <w:r>
        <w:rPr>
          <w:color w:val="231F20"/>
          <w:spacing w:val="-13"/>
          <w:w w:val="105"/>
        </w:rPr>
        <w:t> </w:t>
      </w:r>
      <w:r>
        <w:rPr>
          <w:color w:val="231F20"/>
          <w:w w:val="105"/>
        </w:rPr>
        <w:t>municipal</w:t>
      </w:r>
      <w:r>
        <w:rPr>
          <w:color w:val="231F20"/>
          <w:spacing w:val="-13"/>
          <w:w w:val="105"/>
        </w:rPr>
        <w:t> </w:t>
      </w:r>
      <w:r>
        <w:rPr>
          <w:color w:val="231F20"/>
          <w:w w:val="105"/>
        </w:rPr>
        <w:t>de</w:t>
      </w:r>
      <w:r>
        <w:rPr>
          <w:color w:val="231F20"/>
          <w:spacing w:val="-13"/>
          <w:w w:val="105"/>
        </w:rPr>
        <w:t> </w:t>
      </w:r>
      <w:r>
        <w:rPr>
          <w:color w:val="231F20"/>
          <w:w w:val="105"/>
        </w:rPr>
        <w:t>Tlalnepantla,</w:t>
      </w:r>
      <w:r>
        <w:rPr>
          <w:color w:val="231F20"/>
          <w:spacing w:val="-13"/>
          <w:w w:val="105"/>
        </w:rPr>
        <w:t> </w:t>
      </w:r>
      <w:r>
        <w:rPr>
          <w:color w:val="231F20"/>
          <w:w w:val="105"/>
        </w:rPr>
        <w:t>para</w:t>
      </w:r>
      <w:r>
        <w:rPr>
          <w:color w:val="231F20"/>
          <w:spacing w:val="-13"/>
          <w:w w:val="105"/>
        </w:rPr>
        <w:t> </w:t>
      </w:r>
      <w:r>
        <w:rPr>
          <w:color w:val="231F20"/>
          <w:w w:val="105"/>
        </w:rPr>
        <w:t>reclamar</w:t>
      </w:r>
      <w:r>
        <w:rPr>
          <w:color w:val="231F20"/>
          <w:spacing w:val="-13"/>
          <w:w w:val="105"/>
        </w:rPr>
        <w:t> </w:t>
      </w:r>
      <w:r>
        <w:rPr>
          <w:color w:val="231F20"/>
          <w:w w:val="105"/>
        </w:rPr>
        <w:t>diferentes</w:t>
      </w:r>
      <w:r>
        <w:rPr>
          <w:color w:val="231F20"/>
          <w:spacing w:val="-13"/>
          <w:w w:val="105"/>
        </w:rPr>
        <w:t> </w:t>
      </w:r>
      <w:r>
        <w:rPr>
          <w:color w:val="231F20"/>
          <w:w w:val="105"/>
        </w:rPr>
        <w:t>acciones</w:t>
      </w:r>
      <w:r>
        <w:rPr>
          <w:color w:val="231F20"/>
          <w:spacing w:val="-13"/>
          <w:w w:val="105"/>
        </w:rPr>
        <w:t> </w:t>
      </w:r>
      <w:r>
        <w:rPr>
          <w:color w:val="231F20"/>
          <w:w w:val="105"/>
        </w:rPr>
        <w:t>de</w:t>
      </w:r>
      <w:r>
        <w:rPr>
          <w:color w:val="231F20"/>
          <w:spacing w:val="-13"/>
          <w:w w:val="105"/>
        </w:rPr>
        <w:t> </w:t>
      </w:r>
      <w:r>
        <w:rPr>
          <w:color w:val="231F20"/>
          <w:w w:val="105"/>
        </w:rPr>
        <w:t>gobierno</w:t>
      </w:r>
      <w:r>
        <w:rPr>
          <w:color w:val="231F20"/>
          <w:spacing w:val="-13"/>
          <w:w w:val="105"/>
        </w:rPr>
        <w:t> </w:t>
      </w:r>
      <w:r>
        <w:rPr>
          <w:color w:val="231F20"/>
          <w:w w:val="105"/>
        </w:rPr>
        <w:t>con</w:t>
      </w:r>
      <w:r>
        <w:rPr>
          <w:color w:val="231F20"/>
          <w:spacing w:val="-13"/>
          <w:w w:val="105"/>
        </w:rPr>
        <w:t> </w:t>
      </w:r>
      <w:r>
        <w:rPr>
          <w:color w:val="231F20"/>
          <w:w w:val="105"/>
        </w:rPr>
        <w:t>las que</w:t>
      </w:r>
      <w:r>
        <w:rPr>
          <w:color w:val="231F20"/>
          <w:spacing w:val="-14"/>
          <w:w w:val="105"/>
        </w:rPr>
        <w:t> </w:t>
      </w:r>
      <w:r>
        <w:rPr>
          <w:color w:val="231F20"/>
          <w:w w:val="105"/>
        </w:rPr>
        <w:t>supuestamente</w:t>
      </w:r>
      <w:r>
        <w:rPr>
          <w:color w:val="231F20"/>
          <w:spacing w:val="-14"/>
          <w:w w:val="105"/>
        </w:rPr>
        <w:t> </w:t>
      </w:r>
      <w:r>
        <w:rPr>
          <w:color w:val="231F20"/>
          <w:w w:val="105"/>
        </w:rPr>
        <w:t>no</w:t>
      </w:r>
      <w:r>
        <w:rPr>
          <w:color w:val="231F20"/>
          <w:spacing w:val="-14"/>
          <w:w w:val="105"/>
        </w:rPr>
        <w:t> </w:t>
      </w:r>
      <w:r>
        <w:rPr>
          <w:color w:val="231F20"/>
          <w:w w:val="105"/>
        </w:rPr>
        <w:t>estaban</w:t>
      </w:r>
      <w:r>
        <w:rPr>
          <w:color w:val="231F20"/>
          <w:spacing w:val="-14"/>
          <w:w w:val="105"/>
        </w:rPr>
        <w:t> </w:t>
      </w: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los</w:t>
      </w:r>
      <w:r>
        <w:rPr>
          <w:color w:val="231F20"/>
          <w:spacing w:val="-14"/>
          <w:w w:val="105"/>
        </w:rPr>
        <w:t> </w:t>
      </w:r>
      <w:r>
        <w:rPr>
          <w:color w:val="231F20"/>
          <w:w w:val="105"/>
        </w:rPr>
        <w:t>miembros</w:t>
      </w:r>
      <w:r>
        <w:rPr>
          <w:color w:val="231F20"/>
          <w:spacing w:val="-14"/>
          <w:w w:val="105"/>
        </w:rPr>
        <w:t> </w:t>
      </w:r>
      <w:r>
        <w:rPr>
          <w:color w:val="231F20"/>
          <w:w w:val="105"/>
        </w:rPr>
        <w:t>del</w:t>
      </w:r>
      <w:r>
        <w:rPr>
          <w:color w:val="231F20"/>
          <w:spacing w:val="-14"/>
          <w:w w:val="105"/>
        </w:rPr>
        <w:t> </w:t>
      </w:r>
      <w:r>
        <w:rPr>
          <w:color w:val="231F20"/>
          <w:w w:val="105"/>
        </w:rPr>
        <w:t>Consejo</w:t>
      </w:r>
      <w:r>
        <w:rPr>
          <w:color w:val="231F20"/>
          <w:spacing w:val="-14"/>
          <w:w w:val="105"/>
        </w:rPr>
        <w:t> </w:t>
      </w:r>
      <w:r>
        <w:rPr>
          <w:color w:val="231F20"/>
          <w:w w:val="105"/>
        </w:rPr>
        <w:t>Cívico.</w:t>
      </w:r>
    </w:p>
    <w:p>
      <w:pPr>
        <w:pStyle w:val="BodyText"/>
        <w:spacing w:before="1"/>
        <w:rPr>
          <w:sz w:val="26"/>
        </w:rPr>
      </w:pPr>
    </w:p>
    <w:p>
      <w:pPr>
        <w:pStyle w:val="BodyText"/>
        <w:spacing w:line="285" w:lineRule="auto"/>
        <w:ind w:left="110" w:right="108"/>
        <w:jc w:val="both"/>
      </w:pPr>
      <w:r>
        <w:rPr>
          <w:color w:val="231F20"/>
          <w:w w:val="105"/>
        </w:rPr>
        <w:t>Lo</w:t>
      </w:r>
      <w:r>
        <w:rPr>
          <w:color w:val="231F20"/>
          <w:spacing w:val="-5"/>
          <w:w w:val="105"/>
        </w:rPr>
        <w:t> </w:t>
      </w:r>
      <w:r>
        <w:rPr>
          <w:color w:val="231F20"/>
          <w:w w:val="105"/>
        </w:rPr>
        <w:t>importante</w:t>
      </w:r>
      <w:r>
        <w:rPr>
          <w:color w:val="231F20"/>
          <w:spacing w:val="-5"/>
          <w:w w:val="105"/>
        </w:rPr>
        <w:t> </w:t>
      </w:r>
      <w:r>
        <w:rPr>
          <w:color w:val="231F20"/>
          <w:w w:val="105"/>
        </w:rPr>
        <w:t>de</w:t>
      </w:r>
      <w:r>
        <w:rPr>
          <w:color w:val="231F20"/>
          <w:spacing w:val="-5"/>
          <w:w w:val="105"/>
        </w:rPr>
        <w:t> </w:t>
      </w:r>
      <w:r>
        <w:rPr>
          <w:color w:val="231F20"/>
          <w:w w:val="105"/>
        </w:rPr>
        <w:t>esta</w:t>
      </w:r>
      <w:r>
        <w:rPr>
          <w:color w:val="231F20"/>
          <w:spacing w:val="-5"/>
          <w:w w:val="105"/>
        </w:rPr>
        <w:t> </w:t>
      </w:r>
      <w:r>
        <w:rPr>
          <w:color w:val="231F20"/>
          <w:w w:val="105"/>
        </w:rPr>
        <w:t>situación</w:t>
      </w:r>
      <w:r>
        <w:rPr>
          <w:color w:val="231F20"/>
          <w:spacing w:val="-5"/>
          <w:w w:val="105"/>
        </w:rPr>
        <w:t> </w:t>
      </w:r>
      <w:r>
        <w:rPr>
          <w:color w:val="231F20"/>
          <w:w w:val="105"/>
        </w:rPr>
        <w:t>es</w:t>
      </w:r>
      <w:r>
        <w:rPr>
          <w:color w:val="231F20"/>
          <w:spacing w:val="-5"/>
          <w:w w:val="105"/>
        </w:rPr>
        <w:t> </w:t>
      </w:r>
      <w:r>
        <w:rPr>
          <w:color w:val="231F20"/>
          <w:w w:val="105"/>
        </w:rPr>
        <w:t>que</w:t>
      </w:r>
      <w:r>
        <w:rPr>
          <w:color w:val="231F20"/>
          <w:spacing w:val="-5"/>
          <w:w w:val="105"/>
        </w:rPr>
        <w:t> </w:t>
      </w:r>
      <w:r>
        <w:rPr>
          <w:color w:val="231F20"/>
          <w:w w:val="105"/>
        </w:rPr>
        <w:t>traería</w:t>
      </w:r>
      <w:r>
        <w:rPr>
          <w:color w:val="231F20"/>
          <w:spacing w:val="-5"/>
          <w:w w:val="105"/>
        </w:rPr>
        <w:t> </w:t>
      </w:r>
      <w:r>
        <w:rPr>
          <w:color w:val="231F20"/>
          <w:w w:val="105"/>
        </w:rPr>
        <w:t>complicaciones</w:t>
      </w:r>
      <w:r>
        <w:rPr>
          <w:color w:val="231F20"/>
          <w:spacing w:val="-5"/>
          <w:w w:val="105"/>
        </w:rPr>
        <w:t> </w:t>
      </w:r>
      <w:r>
        <w:rPr>
          <w:color w:val="231F20"/>
          <w:spacing w:val="2"/>
          <w:w w:val="105"/>
        </w:rPr>
        <w:t>al</w:t>
      </w:r>
      <w:r>
        <w:rPr>
          <w:color w:val="231F20"/>
          <w:spacing w:val="-5"/>
          <w:w w:val="105"/>
        </w:rPr>
        <w:t> </w:t>
      </w:r>
      <w:r>
        <w:rPr>
          <w:color w:val="231F20"/>
          <w:spacing w:val="-4"/>
          <w:w w:val="105"/>
        </w:rPr>
        <w:t>PAN</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municipio, debido </w:t>
      </w:r>
      <w:r>
        <w:rPr>
          <w:color w:val="231F20"/>
          <w:spacing w:val="2"/>
          <w:w w:val="105"/>
        </w:rPr>
        <w:t>al </w:t>
      </w:r>
      <w:r>
        <w:rPr>
          <w:color w:val="231F20"/>
          <w:w w:val="105"/>
        </w:rPr>
        <w:t>capital político y social de Mendoza Ayala y la estructura político electoral que representa el Consejo Cívico a su mando. Habrá que observar con detenimiento las próximas elecciones de </w:t>
      </w:r>
      <w:r>
        <w:rPr>
          <w:color w:val="231F20"/>
          <w:spacing w:val="2"/>
          <w:w w:val="105"/>
        </w:rPr>
        <w:t>2009 </w:t>
      </w:r>
      <w:r>
        <w:rPr>
          <w:color w:val="231F20"/>
          <w:w w:val="105"/>
        </w:rPr>
        <w:t>y ver que tanto pesa la expulsión de Mendoza</w:t>
      </w:r>
      <w:r>
        <w:rPr>
          <w:color w:val="231F20"/>
          <w:spacing w:val="-31"/>
          <w:w w:val="105"/>
        </w:rPr>
        <w:t> </w:t>
      </w:r>
      <w:r>
        <w:rPr>
          <w:color w:val="231F20"/>
          <w:w w:val="105"/>
        </w:rPr>
        <w:t>Ayala, electoralmente</w:t>
      </w:r>
      <w:r>
        <w:rPr>
          <w:color w:val="231F20"/>
          <w:spacing w:val="-18"/>
          <w:w w:val="105"/>
        </w:rPr>
        <w:t> </w:t>
      </w:r>
      <w:r>
        <w:rPr>
          <w:color w:val="231F20"/>
          <w:w w:val="105"/>
        </w:rPr>
        <w:t>hablando,</w:t>
      </w:r>
      <w:r>
        <w:rPr>
          <w:color w:val="231F20"/>
          <w:spacing w:val="-18"/>
          <w:w w:val="105"/>
        </w:rPr>
        <w:t> </w:t>
      </w:r>
      <w:r>
        <w:rPr>
          <w:color w:val="231F20"/>
          <w:spacing w:val="2"/>
          <w:w w:val="105"/>
        </w:rPr>
        <w:t>al</w:t>
      </w:r>
      <w:r>
        <w:rPr>
          <w:color w:val="231F20"/>
          <w:spacing w:val="-18"/>
          <w:w w:val="105"/>
        </w:rPr>
        <w:t> </w:t>
      </w:r>
      <w:r>
        <w:rPr>
          <w:color w:val="231F20"/>
          <w:spacing w:val="-4"/>
          <w:w w:val="105"/>
        </w:rPr>
        <w:t>PAN.</w:t>
      </w:r>
    </w:p>
    <w:p>
      <w:pPr>
        <w:pStyle w:val="BodyText"/>
        <w:spacing w:before="2"/>
        <w:rPr>
          <w:sz w:val="20"/>
        </w:rPr>
      </w:pPr>
    </w:p>
    <w:p>
      <w:pPr>
        <w:pStyle w:val="Heading4"/>
        <w:rPr>
          <w:i/>
        </w:rPr>
      </w:pPr>
      <w:r>
        <w:rPr>
          <w:i/>
          <w:color w:val="231F20"/>
        </w:rPr>
        <w:t>Gestión 2003–2006</w:t>
      </w:r>
    </w:p>
    <w:p>
      <w:pPr>
        <w:pStyle w:val="BodyText"/>
        <w:spacing w:line="285" w:lineRule="auto" w:before="17"/>
        <w:ind w:left="110" w:right="107"/>
        <w:jc w:val="both"/>
      </w:pPr>
      <w:r>
        <w:rPr>
          <w:color w:val="231F20"/>
          <w:w w:val="105"/>
        </w:rPr>
        <w:t>En</w:t>
      </w:r>
      <w:r>
        <w:rPr>
          <w:color w:val="231F20"/>
          <w:spacing w:val="-18"/>
          <w:w w:val="105"/>
        </w:rPr>
        <w:t> </w:t>
      </w:r>
      <w:r>
        <w:rPr>
          <w:color w:val="231F20"/>
          <w:w w:val="105"/>
        </w:rPr>
        <w:t>esta</w:t>
      </w:r>
      <w:r>
        <w:rPr>
          <w:color w:val="231F20"/>
          <w:spacing w:val="-18"/>
          <w:w w:val="105"/>
        </w:rPr>
        <w:t> </w:t>
      </w:r>
      <w:r>
        <w:rPr>
          <w:color w:val="231F20"/>
          <w:spacing w:val="-3"/>
          <w:w w:val="105"/>
        </w:rPr>
        <w:t>gestión</w:t>
      </w:r>
      <w:r>
        <w:rPr>
          <w:color w:val="231F20"/>
          <w:spacing w:val="-18"/>
          <w:w w:val="105"/>
        </w:rPr>
        <w:t> </w:t>
      </w:r>
      <w:r>
        <w:rPr>
          <w:color w:val="231F20"/>
          <w:w w:val="105"/>
        </w:rPr>
        <w:t>de</w:t>
      </w:r>
      <w:r>
        <w:rPr>
          <w:color w:val="231F20"/>
          <w:spacing w:val="-18"/>
          <w:w w:val="105"/>
        </w:rPr>
        <w:t> </w:t>
      </w:r>
      <w:r>
        <w:rPr>
          <w:color w:val="231F20"/>
          <w:w w:val="105"/>
        </w:rPr>
        <w:t>Ulises</w:t>
      </w:r>
      <w:r>
        <w:rPr>
          <w:color w:val="231F20"/>
          <w:spacing w:val="-18"/>
          <w:w w:val="105"/>
        </w:rPr>
        <w:t> </w:t>
      </w:r>
      <w:r>
        <w:rPr>
          <w:color w:val="231F20"/>
          <w:w w:val="105"/>
        </w:rPr>
        <w:t>Ramírez,</w:t>
      </w:r>
      <w:r>
        <w:rPr>
          <w:color w:val="231F20"/>
          <w:spacing w:val="-18"/>
          <w:w w:val="105"/>
        </w:rPr>
        <w:t> </w:t>
      </w:r>
      <w:r>
        <w:rPr>
          <w:color w:val="231F20"/>
          <w:w w:val="105"/>
        </w:rPr>
        <w:t>al</w:t>
      </w:r>
      <w:r>
        <w:rPr>
          <w:color w:val="231F20"/>
          <w:spacing w:val="-18"/>
          <w:w w:val="105"/>
        </w:rPr>
        <w:t> </w:t>
      </w:r>
      <w:r>
        <w:rPr>
          <w:color w:val="231F20"/>
          <w:w w:val="105"/>
        </w:rPr>
        <w:t>igual</w:t>
      </w:r>
      <w:r>
        <w:rPr>
          <w:color w:val="231F20"/>
          <w:spacing w:val="-18"/>
          <w:w w:val="105"/>
        </w:rPr>
        <w:t> </w:t>
      </w:r>
      <w:r>
        <w:rPr>
          <w:color w:val="231F20"/>
          <w:spacing w:val="-3"/>
          <w:w w:val="105"/>
        </w:rPr>
        <w:t>que</w:t>
      </w:r>
      <w:r>
        <w:rPr>
          <w:color w:val="231F20"/>
          <w:spacing w:val="-18"/>
          <w:w w:val="105"/>
        </w:rPr>
        <w:t> </w:t>
      </w:r>
      <w:r>
        <w:rPr>
          <w:color w:val="231F20"/>
          <w:w w:val="105"/>
        </w:rPr>
        <w:t>la</w:t>
      </w:r>
      <w:r>
        <w:rPr>
          <w:color w:val="231F20"/>
          <w:spacing w:val="-18"/>
          <w:w w:val="105"/>
        </w:rPr>
        <w:t> </w:t>
      </w:r>
      <w:r>
        <w:rPr>
          <w:color w:val="231F20"/>
          <w:spacing w:val="-4"/>
          <w:w w:val="105"/>
        </w:rPr>
        <w:t>anterior,</w:t>
      </w:r>
      <w:r>
        <w:rPr>
          <w:color w:val="231F20"/>
          <w:spacing w:val="-18"/>
          <w:w w:val="105"/>
        </w:rPr>
        <w:t> </w:t>
      </w:r>
      <w:r>
        <w:rPr>
          <w:color w:val="231F20"/>
          <w:w w:val="105"/>
        </w:rPr>
        <w:t>se</w:t>
      </w:r>
      <w:r>
        <w:rPr>
          <w:color w:val="231F20"/>
          <w:spacing w:val="-18"/>
          <w:w w:val="105"/>
        </w:rPr>
        <w:t> </w:t>
      </w:r>
      <w:r>
        <w:rPr>
          <w:color w:val="231F20"/>
          <w:w w:val="105"/>
        </w:rPr>
        <w:t>realizaron</w:t>
      </w:r>
      <w:r>
        <w:rPr>
          <w:color w:val="231F20"/>
          <w:spacing w:val="-18"/>
          <w:w w:val="105"/>
        </w:rPr>
        <w:t> </w:t>
      </w:r>
      <w:r>
        <w:rPr>
          <w:color w:val="231F20"/>
          <w:spacing w:val="-4"/>
          <w:w w:val="105"/>
        </w:rPr>
        <w:t>foros</w:t>
      </w:r>
      <w:r>
        <w:rPr>
          <w:color w:val="231F20"/>
          <w:spacing w:val="-18"/>
          <w:w w:val="105"/>
        </w:rPr>
        <w:t> </w:t>
      </w:r>
      <w:r>
        <w:rPr>
          <w:color w:val="231F20"/>
          <w:w w:val="105"/>
        </w:rPr>
        <w:t>y</w:t>
      </w:r>
      <w:r>
        <w:rPr>
          <w:color w:val="231F20"/>
          <w:spacing w:val="-18"/>
          <w:w w:val="105"/>
        </w:rPr>
        <w:t> </w:t>
      </w:r>
      <w:r>
        <w:rPr>
          <w:color w:val="231F20"/>
          <w:w w:val="105"/>
        </w:rPr>
        <w:t>consultas para</w:t>
      </w:r>
      <w:r>
        <w:rPr>
          <w:color w:val="231F20"/>
          <w:spacing w:val="-27"/>
          <w:w w:val="105"/>
        </w:rPr>
        <w:t> </w:t>
      </w:r>
      <w:r>
        <w:rPr>
          <w:color w:val="231F20"/>
          <w:spacing w:val="-4"/>
          <w:w w:val="105"/>
        </w:rPr>
        <w:t>recoger</w:t>
      </w:r>
      <w:r>
        <w:rPr>
          <w:color w:val="231F20"/>
          <w:spacing w:val="-27"/>
          <w:w w:val="105"/>
        </w:rPr>
        <w:t> </w:t>
      </w:r>
      <w:r>
        <w:rPr>
          <w:color w:val="231F20"/>
          <w:w w:val="105"/>
        </w:rPr>
        <w:t>las</w:t>
      </w:r>
      <w:r>
        <w:rPr>
          <w:color w:val="231F20"/>
          <w:spacing w:val="-27"/>
          <w:w w:val="105"/>
        </w:rPr>
        <w:t> </w:t>
      </w:r>
      <w:r>
        <w:rPr>
          <w:color w:val="231F20"/>
          <w:w w:val="105"/>
        </w:rPr>
        <w:t>demandas</w:t>
      </w:r>
      <w:r>
        <w:rPr>
          <w:color w:val="231F20"/>
          <w:spacing w:val="-27"/>
          <w:w w:val="105"/>
        </w:rPr>
        <w:t> </w:t>
      </w:r>
      <w:r>
        <w:rPr>
          <w:color w:val="231F20"/>
          <w:spacing w:val="-3"/>
          <w:w w:val="105"/>
        </w:rPr>
        <w:t>ciudadanas</w:t>
      </w:r>
      <w:r>
        <w:rPr>
          <w:color w:val="231F20"/>
          <w:spacing w:val="-27"/>
          <w:w w:val="105"/>
        </w:rPr>
        <w:t> </w:t>
      </w:r>
      <w:r>
        <w:rPr>
          <w:color w:val="231F20"/>
          <w:w w:val="105"/>
        </w:rPr>
        <w:t>durante</w:t>
      </w:r>
      <w:r>
        <w:rPr>
          <w:color w:val="231F20"/>
          <w:spacing w:val="-27"/>
          <w:w w:val="105"/>
        </w:rPr>
        <w:t> </w:t>
      </w:r>
      <w:r>
        <w:rPr>
          <w:color w:val="231F20"/>
          <w:w w:val="105"/>
        </w:rPr>
        <w:t>la</w:t>
      </w:r>
      <w:r>
        <w:rPr>
          <w:color w:val="231F20"/>
          <w:spacing w:val="-27"/>
          <w:w w:val="105"/>
        </w:rPr>
        <w:t> </w:t>
      </w:r>
      <w:r>
        <w:rPr>
          <w:color w:val="231F20"/>
          <w:w w:val="105"/>
        </w:rPr>
        <w:t>campaña</w:t>
      </w:r>
      <w:r>
        <w:rPr>
          <w:color w:val="231F20"/>
          <w:spacing w:val="-27"/>
          <w:w w:val="105"/>
        </w:rPr>
        <w:t> </w:t>
      </w:r>
      <w:r>
        <w:rPr>
          <w:color w:val="231F20"/>
          <w:w w:val="105"/>
        </w:rPr>
        <w:t>y</w:t>
      </w:r>
      <w:r>
        <w:rPr>
          <w:color w:val="231F20"/>
          <w:spacing w:val="-27"/>
          <w:w w:val="105"/>
        </w:rPr>
        <w:t> </w:t>
      </w:r>
      <w:r>
        <w:rPr>
          <w:color w:val="231F20"/>
          <w:w w:val="105"/>
        </w:rPr>
        <w:t>ya</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spacing w:val="-4"/>
          <w:w w:val="105"/>
        </w:rPr>
        <w:t>gobierno</w:t>
      </w:r>
      <w:r>
        <w:rPr>
          <w:color w:val="231F20"/>
          <w:spacing w:val="-27"/>
          <w:w w:val="105"/>
        </w:rPr>
        <w:t> </w:t>
      </w:r>
      <w:r>
        <w:rPr>
          <w:color w:val="231F20"/>
          <w:spacing w:val="-3"/>
          <w:w w:val="105"/>
        </w:rPr>
        <w:t>fueron</w:t>
      </w:r>
      <w:r>
        <w:rPr>
          <w:color w:val="231F20"/>
          <w:spacing w:val="-27"/>
          <w:w w:val="105"/>
        </w:rPr>
        <w:t> </w:t>
      </w:r>
      <w:r>
        <w:rPr>
          <w:color w:val="231F20"/>
          <w:w w:val="105"/>
        </w:rPr>
        <w:t>plas- madas</w:t>
      </w:r>
      <w:r>
        <w:rPr>
          <w:color w:val="231F20"/>
          <w:spacing w:val="-23"/>
          <w:w w:val="105"/>
        </w:rPr>
        <w:t> </w:t>
      </w:r>
      <w:r>
        <w:rPr>
          <w:color w:val="231F20"/>
          <w:w w:val="105"/>
        </w:rPr>
        <w:t>en</w:t>
      </w:r>
      <w:r>
        <w:rPr>
          <w:color w:val="231F20"/>
          <w:spacing w:val="-23"/>
          <w:w w:val="105"/>
        </w:rPr>
        <w:t> </w:t>
      </w:r>
      <w:r>
        <w:rPr>
          <w:color w:val="231F20"/>
          <w:spacing w:val="-3"/>
          <w:w w:val="105"/>
        </w:rPr>
        <w:t>los</w:t>
      </w:r>
      <w:r>
        <w:rPr>
          <w:color w:val="231F20"/>
          <w:spacing w:val="-23"/>
          <w:w w:val="105"/>
        </w:rPr>
        <w:t> </w:t>
      </w:r>
      <w:r>
        <w:rPr>
          <w:color w:val="231F20"/>
          <w:spacing w:val="-3"/>
          <w:w w:val="105"/>
        </w:rPr>
        <w:t>ejes</w:t>
      </w:r>
      <w:r>
        <w:rPr>
          <w:color w:val="231F20"/>
          <w:spacing w:val="-23"/>
          <w:w w:val="105"/>
        </w:rPr>
        <w:t> </w:t>
      </w:r>
      <w:r>
        <w:rPr>
          <w:color w:val="231F20"/>
          <w:spacing w:val="-3"/>
          <w:w w:val="105"/>
        </w:rPr>
        <w:t>rectores</w:t>
      </w:r>
      <w:r>
        <w:rPr>
          <w:color w:val="231F20"/>
          <w:spacing w:val="-23"/>
          <w:w w:val="105"/>
        </w:rPr>
        <w:t> </w:t>
      </w:r>
      <w:r>
        <w:rPr>
          <w:color w:val="231F20"/>
          <w:spacing w:val="-3"/>
          <w:w w:val="105"/>
        </w:rPr>
        <w:t>del</w:t>
      </w:r>
      <w:r>
        <w:rPr>
          <w:color w:val="231F20"/>
          <w:spacing w:val="-23"/>
          <w:w w:val="105"/>
        </w:rPr>
        <w:t> </w:t>
      </w:r>
      <w:r>
        <w:rPr>
          <w:color w:val="231F20"/>
          <w:w w:val="105"/>
        </w:rPr>
        <w:t>Plan</w:t>
      </w:r>
      <w:r>
        <w:rPr>
          <w:color w:val="231F20"/>
          <w:spacing w:val="-23"/>
          <w:w w:val="105"/>
        </w:rPr>
        <w:t> </w:t>
      </w:r>
      <w:r>
        <w:rPr>
          <w:color w:val="231F20"/>
          <w:w w:val="105"/>
        </w:rPr>
        <w:t>de</w:t>
      </w:r>
      <w:r>
        <w:rPr>
          <w:color w:val="231F20"/>
          <w:spacing w:val="-23"/>
          <w:w w:val="105"/>
        </w:rPr>
        <w:t> </w:t>
      </w:r>
      <w:r>
        <w:rPr>
          <w:color w:val="231F20"/>
          <w:w w:val="105"/>
        </w:rPr>
        <w:t>Desarrollo</w:t>
      </w:r>
      <w:r>
        <w:rPr>
          <w:color w:val="231F20"/>
          <w:spacing w:val="-23"/>
          <w:w w:val="105"/>
        </w:rPr>
        <w:t> </w:t>
      </w:r>
      <w:r>
        <w:rPr>
          <w:color w:val="231F20"/>
          <w:w w:val="105"/>
        </w:rPr>
        <w:t>Municipal.</w:t>
      </w:r>
      <w:r>
        <w:rPr>
          <w:color w:val="231F20"/>
          <w:spacing w:val="-23"/>
          <w:w w:val="105"/>
        </w:rPr>
        <w:t> </w:t>
      </w:r>
      <w:r>
        <w:rPr>
          <w:color w:val="231F20"/>
          <w:w w:val="105"/>
        </w:rPr>
        <w:t>Ahí</w:t>
      </w:r>
      <w:r>
        <w:rPr>
          <w:color w:val="231F20"/>
          <w:spacing w:val="-23"/>
          <w:w w:val="105"/>
        </w:rPr>
        <w:t> </w:t>
      </w:r>
      <w:r>
        <w:rPr>
          <w:color w:val="231F20"/>
          <w:spacing w:val="-3"/>
          <w:w w:val="105"/>
        </w:rPr>
        <w:t>pudimos</w:t>
      </w:r>
      <w:r>
        <w:rPr>
          <w:color w:val="231F20"/>
          <w:spacing w:val="-23"/>
          <w:w w:val="105"/>
        </w:rPr>
        <w:t> </w:t>
      </w:r>
      <w:r>
        <w:rPr>
          <w:color w:val="231F20"/>
          <w:w w:val="105"/>
        </w:rPr>
        <w:t>observar</w:t>
      </w:r>
      <w:r>
        <w:rPr>
          <w:color w:val="231F20"/>
          <w:spacing w:val="-23"/>
          <w:w w:val="105"/>
        </w:rPr>
        <w:t> </w:t>
      </w:r>
      <w:r>
        <w:rPr>
          <w:color w:val="231F20"/>
          <w:spacing w:val="-3"/>
          <w:w w:val="105"/>
        </w:rPr>
        <w:t>que</w:t>
      </w:r>
      <w:r>
        <w:rPr>
          <w:color w:val="231F20"/>
          <w:spacing w:val="-23"/>
          <w:w w:val="105"/>
        </w:rPr>
        <w:t> </w:t>
      </w:r>
      <w:r>
        <w:rPr>
          <w:color w:val="231F20"/>
          <w:w w:val="105"/>
        </w:rPr>
        <w:t>la segunda</w:t>
      </w:r>
      <w:r>
        <w:rPr>
          <w:color w:val="231F20"/>
          <w:spacing w:val="-20"/>
          <w:w w:val="105"/>
        </w:rPr>
        <w:t> </w:t>
      </w:r>
      <w:r>
        <w:rPr>
          <w:color w:val="231F20"/>
          <w:spacing w:val="-3"/>
          <w:w w:val="105"/>
        </w:rPr>
        <w:t>demanda</w:t>
      </w:r>
      <w:r>
        <w:rPr>
          <w:color w:val="231F20"/>
          <w:spacing w:val="-20"/>
          <w:w w:val="105"/>
        </w:rPr>
        <w:t> </w:t>
      </w:r>
      <w:r>
        <w:rPr>
          <w:color w:val="231F20"/>
          <w:w w:val="105"/>
        </w:rPr>
        <w:t>más</w:t>
      </w:r>
      <w:r>
        <w:rPr>
          <w:color w:val="231F20"/>
          <w:spacing w:val="-20"/>
          <w:w w:val="105"/>
        </w:rPr>
        <w:t> </w:t>
      </w:r>
      <w:r>
        <w:rPr>
          <w:color w:val="231F20"/>
          <w:w w:val="105"/>
        </w:rPr>
        <w:t>importante</w:t>
      </w:r>
      <w:r>
        <w:rPr>
          <w:color w:val="231F20"/>
          <w:spacing w:val="-20"/>
          <w:w w:val="105"/>
        </w:rPr>
        <w:t> </w:t>
      </w:r>
      <w:r>
        <w:rPr>
          <w:color w:val="231F20"/>
          <w:w w:val="105"/>
        </w:rPr>
        <w:t>es</w:t>
      </w:r>
      <w:r>
        <w:rPr>
          <w:color w:val="231F20"/>
          <w:spacing w:val="-20"/>
          <w:w w:val="105"/>
        </w:rPr>
        <w:t> </w:t>
      </w:r>
      <w:r>
        <w:rPr>
          <w:color w:val="231F20"/>
          <w:w w:val="105"/>
        </w:rPr>
        <w:t>la</w:t>
      </w:r>
      <w:r>
        <w:rPr>
          <w:color w:val="231F20"/>
          <w:spacing w:val="-20"/>
          <w:w w:val="105"/>
        </w:rPr>
        <w:t> </w:t>
      </w:r>
      <w:r>
        <w:rPr>
          <w:color w:val="231F20"/>
          <w:spacing w:val="-3"/>
          <w:w w:val="105"/>
        </w:rPr>
        <w:t>del</w:t>
      </w:r>
      <w:r>
        <w:rPr>
          <w:color w:val="231F20"/>
          <w:spacing w:val="-20"/>
          <w:w w:val="105"/>
        </w:rPr>
        <w:t> </w:t>
      </w:r>
      <w:r>
        <w:rPr>
          <w:color w:val="231F20"/>
          <w:w w:val="105"/>
        </w:rPr>
        <w:t>“Desarrollo</w:t>
      </w:r>
      <w:r>
        <w:rPr>
          <w:color w:val="231F20"/>
          <w:spacing w:val="-20"/>
          <w:w w:val="105"/>
        </w:rPr>
        <w:t> </w:t>
      </w:r>
      <w:r>
        <w:rPr>
          <w:color w:val="231F20"/>
          <w:spacing w:val="-3"/>
          <w:w w:val="105"/>
        </w:rPr>
        <w:t>Social”,</w:t>
      </w:r>
      <w:r>
        <w:rPr>
          <w:color w:val="231F20"/>
          <w:spacing w:val="-20"/>
          <w:w w:val="105"/>
        </w:rPr>
        <w:t> </w:t>
      </w:r>
      <w:r>
        <w:rPr>
          <w:color w:val="231F20"/>
          <w:spacing w:val="-3"/>
          <w:w w:val="105"/>
        </w:rPr>
        <w:t>abarcando</w:t>
      </w:r>
      <w:r>
        <w:rPr>
          <w:color w:val="231F20"/>
          <w:spacing w:val="-20"/>
          <w:w w:val="105"/>
        </w:rPr>
        <w:t> </w:t>
      </w:r>
      <w:r>
        <w:rPr>
          <w:color w:val="231F20"/>
          <w:w w:val="105"/>
        </w:rPr>
        <w:t>en</w:t>
      </w:r>
      <w:r>
        <w:rPr>
          <w:color w:val="231F20"/>
          <w:spacing w:val="-20"/>
          <w:w w:val="105"/>
        </w:rPr>
        <w:t> </w:t>
      </w:r>
      <w:r>
        <w:rPr>
          <w:color w:val="231F20"/>
          <w:spacing w:val="-4"/>
          <w:w w:val="105"/>
        </w:rPr>
        <w:t>conjunto</w:t>
      </w:r>
      <w:r>
        <w:rPr>
          <w:color w:val="231F20"/>
          <w:spacing w:val="-20"/>
          <w:w w:val="105"/>
        </w:rPr>
        <w:t> </w:t>
      </w:r>
      <w:r>
        <w:rPr>
          <w:color w:val="231F20"/>
          <w:w w:val="105"/>
        </w:rPr>
        <w:t>el 22%.</w:t>
      </w:r>
      <w:r>
        <w:rPr>
          <w:color w:val="231F20"/>
          <w:spacing w:val="-30"/>
          <w:w w:val="105"/>
        </w:rPr>
        <w:t> </w:t>
      </w:r>
      <w:r>
        <w:rPr>
          <w:color w:val="231F20"/>
          <w:w w:val="105"/>
        </w:rPr>
        <w:t>La</w:t>
      </w:r>
      <w:r>
        <w:rPr>
          <w:color w:val="231F20"/>
          <w:spacing w:val="-30"/>
          <w:w w:val="105"/>
        </w:rPr>
        <w:t> </w:t>
      </w:r>
      <w:r>
        <w:rPr>
          <w:color w:val="231F20"/>
          <w:w w:val="105"/>
        </w:rPr>
        <w:t>“Seguridad</w:t>
      </w:r>
      <w:r>
        <w:rPr>
          <w:color w:val="231F20"/>
          <w:spacing w:val="-30"/>
          <w:w w:val="105"/>
        </w:rPr>
        <w:t> </w:t>
      </w:r>
      <w:r>
        <w:rPr>
          <w:color w:val="231F20"/>
          <w:spacing w:val="-4"/>
          <w:w w:val="105"/>
        </w:rPr>
        <w:t>Ciudadana”</w:t>
      </w:r>
      <w:r>
        <w:rPr>
          <w:color w:val="231F20"/>
          <w:spacing w:val="-30"/>
          <w:w w:val="105"/>
        </w:rPr>
        <w:t> </w:t>
      </w:r>
      <w:r>
        <w:rPr>
          <w:color w:val="231F20"/>
          <w:spacing w:val="-4"/>
          <w:w w:val="105"/>
        </w:rPr>
        <w:t>representó</w:t>
      </w:r>
      <w:r>
        <w:rPr>
          <w:color w:val="231F20"/>
          <w:spacing w:val="-30"/>
          <w:w w:val="105"/>
        </w:rPr>
        <w:t> </w:t>
      </w:r>
      <w:r>
        <w:rPr>
          <w:color w:val="231F20"/>
          <w:w w:val="105"/>
        </w:rPr>
        <w:t>el</w:t>
      </w:r>
      <w:r>
        <w:rPr>
          <w:color w:val="231F20"/>
          <w:spacing w:val="-30"/>
          <w:w w:val="105"/>
        </w:rPr>
        <w:t> </w:t>
      </w:r>
      <w:r>
        <w:rPr>
          <w:color w:val="231F20"/>
          <w:spacing w:val="-8"/>
          <w:w w:val="105"/>
        </w:rPr>
        <w:t>7.6%</w:t>
      </w:r>
      <w:r>
        <w:rPr>
          <w:color w:val="231F20"/>
          <w:spacing w:val="-30"/>
          <w:w w:val="105"/>
        </w:rPr>
        <w:t> </w:t>
      </w:r>
      <w:r>
        <w:rPr>
          <w:color w:val="231F20"/>
          <w:spacing w:val="-3"/>
          <w:w w:val="105"/>
        </w:rPr>
        <w:t>del</w:t>
      </w:r>
      <w:r>
        <w:rPr>
          <w:color w:val="231F20"/>
          <w:spacing w:val="-30"/>
          <w:w w:val="105"/>
        </w:rPr>
        <w:t> </w:t>
      </w:r>
      <w:r>
        <w:rPr>
          <w:color w:val="231F20"/>
          <w:w w:val="105"/>
        </w:rPr>
        <w:t>total</w:t>
      </w:r>
      <w:r>
        <w:rPr>
          <w:color w:val="231F20"/>
          <w:spacing w:val="-30"/>
          <w:w w:val="105"/>
        </w:rPr>
        <w:t> </w:t>
      </w:r>
      <w:r>
        <w:rPr>
          <w:color w:val="231F20"/>
          <w:w w:val="105"/>
        </w:rPr>
        <w:t>las</w:t>
      </w:r>
      <w:r>
        <w:rPr>
          <w:color w:val="231F20"/>
          <w:spacing w:val="-30"/>
          <w:w w:val="105"/>
        </w:rPr>
        <w:t> </w:t>
      </w:r>
      <w:r>
        <w:rPr>
          <w:color w:val="231F20"/>
          <w:w w:val="105"/>
        </w:rPr>
        <w:t>demandas</w:t>
      </w:r>
      <w:r>
        <w:rPr>
          <w:color w:val="231F20"/>
          <w:spacing w:val="-30"/>
          <w:w w:val="105"/>
        </w:rPr>
        <w:t> </w:t>
      </w:r>
      <w:r>
        <w:rPr>
          <w:color w:val="231F20"/>
          <w:w w:val="105"/>
        </w:rPr>
        <w:t>y</w:t>
      </w:r>
      <w:r>
        <w:rPr>
          <w:color w:val="231F20"/>
          <w:spacing w:val="-30"/>
          <w:w w:val="105"/>
        </w:rPr>
        <w:t> </w:t>
      </w:r>
      <w:r>
        <w:rPr>
          <w:color w:val="231F20"/>
          <w:w w:val="105"/>
        </w:rPr>
        <w:t>la</w:t>
      </w:r>
      <w:r>
        <w:rPr>
          <w:color w:val="231F20"/>
          <w:spacing w:val="-30"/>
          <w:w w:val="105"/>
        </w:rPr>
        <w:t> </w:t>
      </w:r>
      <w:r>
        <w:rPr>
          <w:color w:val="231F20"/>
          <w:spacing w:val="-3"/>
          <w:w w:val="105"/>
        </w:rPr>
        <w:t>Moderniza- 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Administración</w:t>
      </w:r>
      <w:r>
        <w:rPr>
          <w:color w:val="231F20"/>
          <w:spacing w:val="-18"/>
          <w:w w:val="105"/>
        </w:rPr>
        <w:t> </w:t>
      </w:r>
      <w:r>
        <w:rPr>
          <w:color w:val="231F20"/>
          <w:spacing w:val="-3"/>
          <w:w w:val="105"/>
        </w:rPr>
        <w:t>Pública,</w:t>
      </w:r>
      <w:r>
        <w:rPr>
          <w:color w:val="231F20"/>
          <w:spacing w:val="-18"/>
          <w:w w:val="105"/>
        </w:rPr>
        <w:t> </w:t>
      </w:r>
      <w:r>
        <w:rPr>
          <w:color w:val="231F20"/>
          <w:spacing w:val="-4"/>
          <w:w w:val="105"/>
        </w:rPr>
        <w:t>representó</w:t>
      </w:r>
      <w:r>
        <w:rPr>
          <w:color w:val="231F20"/>
          <w:spacing w:val="-18"/>
          <w:w w:val="105"/>
        </w:rPr>
        <w:t> </w:t>
      </w:r>
      <w:r>
        <w:rPr>
          <w:color w:val="231F20"/>
          <w:spacing w:val="-4"/>
          <w:w w:val="105"/>
        </w:rPr>
        <w:t>menos</w:t>
      </w:r>
      <w:r>
        <w:rPr>
          <w:color w:val="231F20"/>
          <w:spacing w:val="-18"/>
          <w:w w:val="105"/>
        </w:rPr>
        <w:t> </w:t>
      </w:r>
      <w:r>
        <w:rPr>
          <w:color w:val="231F20"/>
          <w:spacing w:val="-3"/>
          <w:w w:val="105"/>
        </w:rPr>
        <w:t>del</w:t>
      </w:r>
      <w:r>
        <w:rPr>
          <w:color w:val="231F20"/>
          <w:spacing w:val="-18"/>
          <w:w w:val="105"/>
        </w:rPr>
        <w:t> </w:t>
      </w:r>
      <w:r>
        <w:rPr>
          <w:color w:val="231F20"/>
          <w:spacing w:val="-8"/>
          <w:w w:val="105"/>
        </w:rPr>
        <w:t>1%</w:t>
      </w:r>
      <w:r>
        <w:rPr>
          <w:color w:val="231F20"/>
          <w:spacing w:val="-18"/>
          <w:w w:val="105"/>
        </w:rPr>
        <w:t> </w:t>
      </w:r>
      <w:r>
        <w:rPr>
          <w:color w:val="231F20"/>
          <w:spacing w:val="-3"/>
          <w:w w:val="105"/>
        </w:rPr>
        <w:t>del</w:t>
      </w:r>
      <w:r>
        <w:rPr>
          <w:color w:val="231F20"/>
          <w:spacing w:val="-18"/>
          <w:w w:val="105"/>
        </w:rPr>
        <w:t> </w:t>
      </w:r>
      <w:r>
        <w:rPr>
          <w:color w:val="231F20"/>
          <w:w w:val="105"/>
        </w:rPr>
        <w:t>total</w:t>
      </w:r>
      <w:r>
        <w:rPr>
          <w:color w:val="231F20"/>
          <w:spacing w:val="-18"/>
          <w:w w:val="105"/>
        </w:rPr>
        <w:t> </w:t>
      </w:r>
      <w:r>
        <w:rPr>
          <w:color w:val="231F20"/>
          <w:w w:val="105"/>
        </w:rPr>
        <w:t>de</w:t>
      </w:r>
      <w:r>
        <w:rPr>
          <w:color w:val="231F20"/>
          <w:spacing w:val="-18"/>
          <w:w w:val="105"/>
        </w:rPr>
        <w:t> </w:t>
      </w:r>
      <w:r>
        <w:rPr>
          <w:color w:val="231F20"/>
          <w:spacing w:val="-3"/>
          <w:w w:val="105"/>
        </w:rPr>
        <w:t>peticiones.</w:t>
      </w:r>
    </w:p>
    <w:p>
      <w:pPr>
        <w:pStyle w:val="BodyText"/>
        <w:spacing w:before="1"/>
        <w:rPr>
          <w:sz w:val="26"/>
        </w:rPr>
      </w:pPr>
    </w:p>
    <w:p>
      <w:pPr>
        <w:pStyle w:val="BodyText"/>
        <w:spacing w:line="285" w:lineRule="auto"/>
        <w:ind w:left="110" w:right="107"/>
        <w:jc w:val="both"/>
      </w:pPr>
      <w:r>
        <w:rPr>
          <w:color w:val="231F20"/>
          <w:w w:val="105"/>
        </w:rPr>
        <w:t>Siguiendo</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modernización</w:t>
      </w:r>
      <w:r>
        <w:rPr>
          <w:color w:val="231F20"/>
          <w:spacing w:val="-9"/>
          <w:w w:val="105"/>
        </w:rPr>
        <w:t> </w:t>
      </w:r>
      <w:r>
        <w:rPr>
          <w:color w:val="231F20"/>
          <w:w w:val="105"/>
        </w:rPr>
        <w:t>administrativa</w:t>
      </w:r>
      <w:r>
        <w:rPr>
          <w:color w:val="231F20"/>
          <w:spacing w:val="-9"/>
          <w:w w:val="105"/>
        </w:rPr>
        <w:t> </w:t>
      </w:r>
      <w:r>
        <w:rPr>
          <w:color w:val="231F20"/>
          <w:w w:val="105"/>
        </w:rPr>
        <w:t>y</w:t>
      </w:r>
      <w:r>
        <w:rPr>
          <w:color w:val="231F20"/>
          <w:spacing w:val="-9"/>
          <w:w w:val="105"/>
        </w:rPr>
        <w:t> </w:t>
      </w:r>
      <w:r>
        <w:rPr>
          <w:color w:val="231F20"/>
          <w:w w:val="105"/>
        </w:rPr>
        <w:t>retomando</w:t>
      </w:r>
      <w:r>
        <w:rPr>
          <w:color w:val="231F20"/>
          <w:spacing w:val="-9"/>
          <w:w w:val="105"/>
        </w:rPr>
        <w:t> </w:t>
      </w:r>
      <w:r>
        <w:rPr>
          <w:color w:val="231F20"/>
          <w:w w:val="105"/>
        </w:rPr>
        <w:t>programas</w:t>
      </w:r>
      <w:r>
        <w:rPr>
          <w:color w:val="231F20"/>
          <w:spacing w:val="-9"/>
          <w:w w:val="105"/>
        </w:rPr>
        <w:t> </w:t>
      </w:r>
      <w:r>
        <w:rPr>
          <w:color w:val="231F20"/>
          <w:w w:val="105"/>
        </w:rPr>
        <w:t>como</w:t>
      </w:r>
      <w:r>
        <w:rPr>
          <w:color w:val="231F20"/>
          <w:spacing w:val="-9"/>
          <w:w w:val="105"/>
        </w:rPr>
        <w:t> </w:t>
      </w:r>
      <w:r>
        <w:rPr>
          <w:color w:val="231F20"/>
          <w:w w:val="105"/>
        </w:rPr>
        <w:t>el</w:t>
      </w:r>
      <w:r>
        <w:rPr>
          <w:color w:val="231F20"/>
          <w:spacing w:val="-9"/>
          <w:w w:val="105"/>
        </w:rPr>
        <w:t> </w:t>
      </w:r>
      <w:r>
        <w:rPr>
          <w:color w:val="231F20"/>
          <w:w w:val="105"/>
        </w:rPr>
        <w:t>de</w:t>
      </w:r>
      <w:r>
        <w:rPr>
          <w:color w:val="231F20"/>
          <w:spacing w:val="-9"/>
          <w:w w:val="105"/>
        </w:rPr>
        <w:t> </w:t>
      </w:r>
      <w:r>
        <w:rPr>
          <w:color w:val="231F20"/>
          <w:w w:val="105"/>
        </w:rPr>
        <w:t>in- glés</w:t>
      </w:r>
      <w:r>
        <w:rPr>
          <w:color w:val="231F20"/>
          <w:spacing w:val="-15"/>
          <w:w w:val="105"/>
        </w:rPr>
        <w:t> </w:t>
      </w:r>
      <w:r>
        <w:rPr>
          <w:color w:val="231F20"/>
          <w:w w:val="105"/>
        </w:rPr>
        <w:t>y</w:t>
      </w:r>
      <w:r>
        <w:rPr>
          <w:color w:val="231F20"/>
          <w:spacing w:val="-15"/>
          <w:w w:val="105"/>
        </w:rPr>
        <w:t> </w:t>
      </w:r>
      <w:r>
        <w:rPr>
          <w:color w:val="231F20"/>
          <w:w w:val="105"/>
        </w:rPr>
        <w:t>cómputo</w:t>
      </w:r>
      <w:r>
        <w:rPr>
          <w:color w:val="231F20"/>
          <w:spacing w:val="-15"/>
          <w:w w:val="105"/>
        </w:rPr>
        <w:t> </w:t>
      </w:r>
      <w:r>
        <w:rPr>
          <w:color w:val="231F20"/>
          <w:w w:val="105"/>
        </w:rPr>
        <w:t>para</w:t>
      </w:r>
      <w:r>
        <w:rPr>
          <w:color w:val="231F20"/>
          <w:spacing w:val="-15"/>
          <w:w w:val="105"/>
        </w:rPr>
        <w:t> </w:t>
      </w:r>
      <w:r>
        <w:rPr>
          <w:color w:val="231F20"/>
          <w:w w:val="105"/>
        </w:rPr>
        <w:t>los</w:t>
      </w:r>
      <w:r>
        <w:rPr>
          <w:color w:val="231F20"/>
          <w:spacing w:val="-15"/>
          <w:w w:val="105"/>
        </w:rPr>
        <w:t> </w:t>
      </w:r>
      <w:r>
        <w:rPr>
          <w:color w:val="231F20"/>
          <w:w w:val="105"/>
        </w:rPr>
        <w:t>estudiantes</w:t>
      </w:r>
      <w:r>
        <w:rPr>
          <w:color w:val="231F20"/>
          <w:spacing w:val="-15"/>
          <w:w w:val="105"/>
        </w:rPr>
        <w:t> </w:t>
      </w:r>
      <w:r>
        <w:rPr>
          <w:color w:val="231F20"/>
          <w:w w:val="105"/>
        </w:rPr>
        <w:t>de</w:t>
      </w:r>
      <w:r>
        <w:rPr>
          <w:color w:val="231F20"/>
          <w:spacing w:val="-15"/>
          <w:w w:val="105"/>
        </w:rPr>
        <w:t> </w:t>
      </w:r>
      <w:r>
        <w:rPr>
          <w:color w:val="231F20"/>
          <w:w w:val="105"/>
        </w:rPr>
        <w:t>primarias;</w:t>
      </w:r>
      <w:r>
        <w:rPr>
          <w:color w:val="231F20"/>
          <w:spacing w:val="-15"/>
          <w:w w:val="105"/>
        </w:rPr>
        <w:t> </w:t>
      </w:r>
      <w:r>
        <w:rPr>
          <w:color w:val="231F20"/>
          <w:w w:val="105"/>
        </w:rPr>
        <w:t>el</w:t>
      </w:r>
      <w:r>
        <w:rPr>
          <w:color w:val="231F20"/>
          <w:spacing w:val="-15"/>
          <w:w w:val="105"/>
        </w:rPr>
        <w:t> </w:t>
      </w:r>
      <w:r>
        <w:rPr>
          <w:color w:val="231F20"/>
          <w:w w:val="105"/>
        </w:rPr>
        <w:t>fortalecimiento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ingresos</w:t>
      </w:r>
      <w:r>
        <w:rPr>
          <w:color w:val="231F20"/>
          <w:spacing w:val="-15"/>
          <w:w w:val="105"/>
        </w:rPr>
        <w:t> </w:t>
      </w:r>
      <w:r>
        <w:rPr>
          <w:color w:val="231F20"/>
          <w:spacing w:val="-3"/>
          <w:w w:val="105"/>
        </w:rPr>
        <w:t>mu- </w:t>
      </w:r>
      <w:r>
        <w:rPr>
          <w:color w:val="231F20"/>
          <w:w w:val="105"/>
        </w:rPr>
        <w:t>nicipales</w:t>
      </w:r>
      <w:r>
        <w:rPr>
          <w:color w:val="231F20"/>
          <w:spacing w:val="-5"/>
          <w:w w:val="105"/>
        </w:rPr>
        <w:t> </w:t>
      </w:r>
      <w:r>
        <w:rPr>
          <w:color w:val="231F20"/>
          <w:w w:val="105"/>
        </w:rPr>
        <w:t>a</w:t>
      </w:r>
      <w:r>
        <w:rPr>
          <w:color w:val="231F20"/>
          <w:spacing w:val="-5"/>
          <w:w w:val="105"/>
        </w:rPr>
        <w:t> </w:t>
      </w:r>
      <w:r>
        <w:rPr>
          <w:color w:val="231F20"/>
          <w:w w:val="105"/>
        </w:rPr>
        <w:t>través</w:t>
      </w:r>
      <w:r>
        <w:rPr>
          <w:color w:val="231F20"/>
          <w:spacing w:val="-5"/>
          <w:w w:val="105"/>
        </w:rPr>
        <w:t> </w:t>
      </w:r>
      <w:r>
        <w:rPr>
          <w:color w:val="231F20"/>
          <w:w w:val="105"/>
        </w:rPr>
        <w:t>del</w:t>
      </w:r>
      <w:r>
        <w:rPr>
          <w:color w:val="231F20"/>
          <w:spacing w:val="-5"/>
          <w:w w:val="105"/>
        </w:rPr>
        <w:t> </w:t>
      </w:r>
      <w:r>
        <w:rPr>
          <w:color w:val="231F20"/>
          <w:w w:val="105"/>
        </w:rPr>
        <w:t>cobro</w:t>
      </w:r>
      <w:r>
        <w:rPr>
          <w:color w:val="231F20"/>
          <w:spacing w:val="-5"/>
          <w:w w:val="105"/>
        </w:rPr>
        <w:t> </w:t>
      </w:r>
      <w:r>
        <w:rPr>
          <w:color w:val="231F20"/>
          <w:w w:val="105"/>
        </w:rPr>
        <w:t>de</w:t>
      </w:r>
      <w:r>
        <w:rPr>
          <w:color w:val="231F20"/>
          <w:spacing w:val="-5"/>
          <w:w w:val="105"/>
        </w:rPr>
        <w:t> </w:t>
      </w:r>
      <w:r>
        <w:rPr>
          <w:color w:val="231F20"/>
          <w:w w:val="105"/>
        </w:rPr>
        <w:t>impuestos;</w:t>
      </w:r>
      <w:r>
        <w:rPr>
          <w:color w:val="231F20"/>
          <w:spacing w:val="-5"/>
          <w:w w:val="105"/>
        </w:rPr>
        <w:t> </w:t>
      </w:r>
      <w:r>
        <w:rPr>
          <w:color w:val="231F20"/>
          <w:w w:val="105"/>
        </w:rPr>
        <w:t>el</w:t>
      </w:r>
      <w:r>
        <w:rPr>
          <w:color w:val="231F20"/>
          <w:spacing w:val="-5"/>
          <w:w w:val="105"/>
        </w:rPr>
        <w:t> </w:t>
      </w:r>
      <w:r>
        <w:rPr>
          <w:color w:val="231F20"/>
          <w:w w:val="105"/>
        </w:rPr>
        <w:t>mejoramiento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administración</w:t>
      </w:r>
      <w:r>
        <w:rPr>
          <w:color w:val="231F20"/>
          <w:spacing w:val="-5"/>
          <w:w w:val="105"/>
        </w:rPr>
        <w:t> </w:t>
      </w:r>
      <w:r>
        <w:rPr>
          <w:color w:val="231F20"/>
          <w:w w:val="105"/>
        </w:rPr>
        <w:t>muni- cipal,</w:t>
      </w:r>
      <w:r>
        <w:rPr>
          <w:color w:val="231F20"/>
          <w:spacing w:val="-10"/>
          <w:w w:val="105"/>
        </w:rPr>
        <w:t> </w:t>
      </w:r>
      <w:r>
        <w:rPr>
          <w:color w:val="231F20"/>
          <w:w w:val="105"/>
        </w:rPr>
        <w:t>la</w:t>
      </w:r>
      <w:r>
        <w:rPr>
          <w:color w:val="231F20"/>
          <w:spacing w:val="-10"/>
          <w:w w:val="105"/>
        </w:rPr>
        <w:t> </w:t>
      </w:r>
      <w:r>
        <w:rPr>
          <w:color w:val="231F20"/>
          <w:w w:val="105"/>
        </w:rPr>
        <w:t>gestión</w:t>
      </w:r>
      <w:r>
        <w:rPr>
          <w:color w:val="231F20"/>
          <w:spacing w:val="-10"/>
          <w:w w:val="105"/>
        </w:rPr>
        <w:t> </w:t>
      </w:r>
      <w:r>
        <w:rPr>
          <w:color w:val="231F20"/>
          <w:w w:val="105"/>
        </w:rPr>
        <w:t>panista</w:t>
      </w:r>
      <w:r>
        <w:rPr>
          <w:color w:val="231F20"/>
          <w:spacing w:val="-10"/>
          <w:w w:val="105"/>
        </w:rPr>
        <w:t> </w:t>
      </w:r>
      <w:r>
        <w:rPr>
          <w:color w:val="231F20"/>
          <w:w w:val="105"/>
        </w:rPr>
        <w:t>de</w:t>
      </w:r>
      <w:r>
        <w:rPr>
          <w:color w:val="231F20"/>
          <w:spacing w:val="-10"/>
          <w:w w:val="105"/>
        </w:rPr>
        <w:t> </w:t>
      </w:r>
      <w:r>
        <w:rPr>
          <w:color w:val="231F20"/>
          <w:spacing w:val="2"/>
          <w:w w:val="105"/>
        </w:rPr>
        <w:t>Ulises</w:t>
      </w:r>
      <w:r>
        <w:rPr>
          <w:color w:val="231F20"/>
          <w:spacing w:val="-10"/>
          <w:w w:val="105"/>
        </w:rPr>
        <w:t> </w:t>
      </w:r>
      <w:r>
        <w:rPr>
          <w:color w:val="231F20"/>
          <w:w w:val="105"/>
        </w:rPr>
        <w:t>Ramírez</w:t>
      </w:r>
      <w:r>
        <w:rPr>
          <w:color w:val="231F20"/>
          <w:spacing w:val="-10"/>
          <w:w w:val="105"/>
        </w:rPr>
        <w:t> </w:t>
      </w:r>
      <w:r>
        <w:rPr>
          <w:color w:val="231F20"/>
          <w:w w:val="105"/>
        </w:rPr>
        <w:t>da</w:t>
      </w:r>
      <w:r>
        <w:rPr>
          <w:color w:val="231F20"/>
          <w:spacing w:val="-10"/>
          <w:w w:val="105"/>
        </w:rPr>
        <w:t> </w:t>
      </w:r>
      <w:r>
        <w:rPr>
          <w:color w:val="231F20"/>
          <w:w w:val="105"/>
        </w:rPr>
        <w:t>una</w:t>
      </w:r>
      <w:r>
        <w:rPr>
          <w:color w:val="231F20"/>
          <w:spacing w:val="-10"/>
          <w:w w:val="105"/>
        </w:rPr>
        <w:t> </w:t>
      </w:r>
      <w:r>
        <w:rPr>
          <w:color w:val="231F20"/>
          <w:w w:val="105"/>
        </w:rPr>
        <w:t>gran</w:t>
      </w:r>
      <w:r>
        <w:rPr>
          <w:color w:val="231F20"/>
          <w:spacing w:val="-10"/>
          <w:w w:val="105"/>
        </w:rPr>
        <w:t> </w:t>
      </w:r>
      <w:r>
        <w:rPr>
          <w:color w:val="231F20"/>
          <w:w w:val="105"/>
        </w:rPr>
        <w:t>continuidad</w:t>
      </w:r>
      <w:r>
        <w:rPr>
          <w:color w:val="231F20"/>
          <w:spacing w:val="-10"/>
          <w:w w:val="105"/>
        </w:rPr>
        <w:t> </w:t>
      </w:r>
      <w:r>
        <w:rPr>
          <w:color w:val="231F20"/>
          <w:w w:val="105"/>
        </w:rPr>
        <w:t>en</w:t>
      </w:r>
      <w:r>
        <w:rPr>
          <w:color w:val="231F20"/>
          <w:spacing w:val="-10"/>
          <w:w w:val="105"/>
        </w:rPr>
        <w:t> </w:t>
      </w:r>
      <w:r>
        <w:rPr>
          <w:color w:val="231F20"/>
          <w:w w:val="105"/>
        </w:rPr>
        <w:t>temas</w:t>
      </w:r>
      <w:r>
        <w:rPr>
          <w:color w:val="231F20"/>
          <w:spacing w:val="-10"/>
          <w:w w:val="105"/>
        </w:rPr>
        <w:t> </w:t>
      </w:r>
      <w:r>
        <w:rPr>
          <w:color w:val="231F20"/>
          <w:w w:val="105"/>
        </w:rPr>
        <w:t>de</w:t>
      </w:r>
      <w:r>
        <w:rPr>
          <w:color w:val="231F20"/>
          <w:spacing w:val="-10"/>
          <w:w w:val="105"/>
        </w:rPr>
        <w:t> </w:t>
      </w:r>
      <w:r>
        <w:rPr>
          <w:color w:val="231F20"/>
          <w:w w:val="105"/>
        </w:rPr>
        <w:t>primer orden para la gestión</w:t>
      </w:r>
      <w:r>
        <w:rPr>
          <w:color w:val="231F20"/>
          <w:spacing w:val="-36"/>
          <w:w w:val="105"/>
        </w:rPr>
        <w:t> </w:t>
      </w:r>
      <w:r>
        <w:rPr>
          <w:color w:val="231F20"/>
          <w:w w:val="105"/>
        </w:rPr>
        <w:t>anterior.</w:t>
      </w:r>
    </w:p>
    <w:p>
      <w:pPr>
        <w:pStyle w:val="BodyText"/>
        <w:spacing w:before="1"/>
        <w:rPr>
          <w:sz w:val="26"/>
        </w:rPr>
      </w:pPr>
    </w:p>
    <w:p>
      <w:pPr>
        <w:pStyle w:val="BodyText"/>
        <w:spacing w:line="285" w:lineRule="auto"/>
        <w:ind w:left="110" w:right="108"/>
        <w:jc w:val="both"/>
      </w:pPr>
      <w:r>
        <w:rPr>
          <w:color w:val="231F20"/>
          <w:w w:val="105"/>
        </w:rPr>
        <w:t>Respecto del fortalecimiento de los ingresos municipales, esta gestión continuó con</w:t>
      </w:r>
      <w:r>
        <w:rPr>
          <w:color w:val="231F20"/>
          <w:spacing w:val="-33"/>
          <w:w w:val="105"/>
        </w:rPr>
        <w:t> </w:t>
      </w:r>
      <w:r>
        <w:rPr>
          <w:color w:val="231F20"/>
          <w:w w:val="105"/>
        </w:rPr>
        <w:t>el aumento de la obtención de ingresos </w:t>
      </w:r>
      <w:r>
        <w:rPr>
          <w:color w:val="231F20"/>
          <w:spacing w:val="-3"/>
          <w:w w:val="105"/>
        </w:rPr>
        <w:t>propios </w:t>
      </w:r>
      <w:r>
        <w:rPr>
          <w:color w:val="231F20"/>
          <w:w w:val="105"/>
        </w:rPr>
        <w:t>frente a las aportaciones federales. Du- rante</w:t>
      </w:r>
      <w:r>
        <w:rPr>
          <w:color w:val="231F20"/>
          <w:spacing w:val="-7"/>
          <w:w w:val="105"/>
        </w:rPr>
        <w:t> </w:t>
      </w:r>
      <w:r>
        <w:rPr>
          <w:color w:val="231F20"/>
          <w:w w:val="105"/>
        </w:rPr>
        <w:t>el</w:t>
      </w:r>
      <w:r>
        <w:rPr>
          <w:color w:val="231F20"/>
          <w:spacing w:val="-7"/>
          <w:w w:val="105"/>
        </w:rPr>
        <w:t> </w:t>
      </w:r>
      <w:r>
        <w:rPr>
          <w:color w:val="231F20"/>
          <w:w w:val="105"/>
        </w:rPr>
        <w:t>período</w:t>
      </w:r>
      <w:r>
        <w:rPr>
          <w:color w:val="231F20"/>
          <w:spacing w:val="-7"/>
          <w:w w:val="105"/>
        </w:rPr>
        <w:t> </w:t>
      </w:r>
      <w:r>
        <w:rPr>
          <w:color w:val="231F20"/>
          <w:w w:val="105"/>
        </w:rPr>
        <w:t>comprendido</w:t>
      </w:r>
      <w:r>
        <w:rPr>
          <w:color w:val="231F20"/>
          <w:spacing w:val="-7"/>
          <w:w w:val="105"/>
        </w:rPr>
        <w:t> </w:t>
      </w:r>
      <w:r>
        <w:rPr>
          <w:color w:val="231F20"/>
          <w:w w:val="105"/>
        </w:rPr>
        <w:t>del</w:t>
      </w:r>
      <w:r>
        <w:rPr>
          <w:color w:val="231F20"/>
          <w:spacing w:val="-7"/>
          <w:w w:val="105"/>
        </w:rPr>
        <w:t> </w:t>
      </w:r>
      <w:r>
        <w:rPr>
          <w:color w:val="231F20"/>
          <w:w w:val="105"/>
        </w:rPr>
        <w:t>mes</w:t>
      </w:r>
      <w:r>
        <w:rPr>
          <w:color w:val="231F20"/>
          <w:spacing w:val="-7"/>
          <w:w w:val="105"/>
        </w:rPr>
        <w:t> </w:t>
      </w:r>
      <w:r>
        <w:rPr>
          <w:color w:val="231F20"/>
          <w:w w:val="105"/>
        </w:rPr>
        <w:t>de</w:t>
      </w:r>
      <w:r>
        <w:rPr>
          <w:color w:val="231F20"/>
          <w:spacing w:val="-7"/>
          <w:w w:val="105"/>
        </w:rPr>
        <w:t> </w:t>
      </w:r>
      <w:r>
        <w:rPr>
          <w:color w:val="231F20"/>
          <w:w w:val="105"/>
        </w:rPr>
        <w:t>Agosto</w:t>
      </w:r>
      <w:r>
        <w:rPr>
          <w:color w:val="231F20"/>
          <w:spacing w:val="-7"/>
          <w:w w:val="105"/>
        </w:rPr>
        <w:t> </w:t>
      </w:r>
      <w:r>
        <w:rPr>
          <w:color w:val="231F20"/>
          <w:w w:val="105"/>
        </w:rPr>
        <w:t>de</w:t>
      </w:r>
      <w:r>
        <w:rPr>
          <w:color w:val="231F20"/>
          <w:spacing w:val="-7"/>
          <w:w w:val="105"/>
        </w:rPr>
        <w:t> </w:t>
      </w:r>
      <w:r>
        <w:rPr>
          <w:color w:val="231F20"/>
          <w:spacing w:val="3"/>
          <w:w w:val="105"/>
        </w:rPr>
        <w:t>2004</w:t>
      </w:r>
      <w:r>
        <w:rPr>
          <w:color w:val="231F20"/>
          <w:spacing w:val="-7"/>
          <w:w w:val="105"/>
        </w:rPr>
        <w:t> </w:t>
      </w:r>
      <w:r>
        <w:rPr>
          <w:color w:val="231F20"/>
          <w:w w:val="105"/>
        </w:rPr>
        <w:t>a</w:t>
      </w:r>
      <w:r>
        <w:rPr>
          <w:color w:val="231F20"/>
          <w:spacing w:val="-7"/>
          <w:w w:val="105"/>
        </w:rPr>
        <w:t> </w:t>
      </w:r>
      <w:r>
        <w:rPr>
          <w:color w:val="231F20"/>
          <w:w w:val="105"/>
        </w:rPr>
        <w:t>Julio</w:t>
      </w:r>
      <w:r>
        <w:rPr>
          <w:color w:val="231F20"/>
          <w:spacing w:val="-7"/>
          <w:w w:val="105"/>
        </w:rPr>
        <w:t> </w:t>
      </w:r>
      <w:r>
        <w:rPr>
          <w:color w:val="231F20"/>
          <w:w w:val="105"/>
        </w:rPr>
        <w:t>de</w:t>
      </w:r>
      <w:r>
        <w:rPr>
          <w:color w:val="231F20"/>
          <w:spacing w:val="-7"/>
          <w:w w:val="105"/>
        </w:rPr>
        <w:t> </w:t>
      </w:r>
      <w:r>
        <w:rPr>
          <w:color w:val="231F20"/>
          <w:spacing w:val="2"/>
          <w:w w:val="105"/>
        </w:rPr>
        <w:t>2005,</w:t>
      </w:r>
      <w:r>
        <w:rPr>
          <w:color w:val="231F20"/>
          <w:spacing w:val="-7"/>
          <w:w w:val="105"/>
        </w:rPr>
        <w:t> </w:t>
      </w:r>
      <w:r>
        <w:rPr>
          <w:color w:val="231F20"/>
          <w:w w:val="105"/>
        </w:rPr>
        <w:t>los</w:t>
      </w:r>
      <w:r>
        <w:rPr>
          <w:color w:val="231F20"/>
          <w:spacing w:val="-7"/>
          <w:w w:val="105"/>
        </w:rPr>
        <w:t> </w:t>
      </w:r>
      <w:r>
        <w:rPr>
          <w:color w:val="231F20"/>
          <w:w w:val="105"/>
        </w:rPr>
        <w:t>Ingresos Propios</w:t>
      </w:r>
      <w:r>
        <w:rPr>
          <w:color w:val="231F20"/>
          <w:spacing w:val="-12"/>
          <w:w w:val="105"/>
        </w:rPr>
        <w:t> </w:t>
      </w:r>
      <w:r>
        <w:rPr>
          <w:color w:val="231F20"/>
          <w:w w:val="105"/>
        </w:rPr>
        <w:t>obtenidos</w:t>
      </w:r>
      <w:r>
        <w:rPr>
          <w:color w:val="231F20"/>
          <w:spacing w:val="-12"/>
          <w:w w:val="105"/>
        </w:rPr>
        <w:t> </w:t>
      </w:r>
      <w:r>
        <w:rPr>
          <w:color w:val="231F20"/>
          <w:w w:val="105"/>
        </w:rPr>
        <w:t>fueron</w:t>
      </w:r>
      <w:r>
        <w:rPr>
          <w:color w:val="231F20"/>
          <w:spacing w:val="-12"/>
          <w:w w:val="105"/>
        </w:rPr>
        <w:t> </w:t>
      </w:r>
      <w:r>
        <w:rPr>
          <w:color w:val="231F20"/>
          <w:w w:val="105"/>
        </w:rPr>
        <w:t>de</w:t>
      </w:r>
      <w:r>
        <w:rPr>
          <w:color w:val="231F20"/>
          <w:spacing w:val="-12"/>
          <w:w w:val="105"/>
        </w:rPr>
        <w:t> </w:t>
      </w:r>
      <w:r>
        <w:rPr>
          <w:color w:val="231F20"/>
          <w:spacing w:val="-3"/>
          <w:w w:val="105"/>
        </w:rPr>
        <w:t>553.1</w:t>
      </w:r>
      <w:r>
        <w:rPr>
          <w:color w:val="231F20"/>
          <w:spacing w:val="-12"/>
          <w:w w:val="105"/>
        </w:rPr>
        <w:t> </w:t>
      </w:r>
      <w:r>
        <w:rPr>
          <w:color w:val="231F20"/>
          <w:w w:val="105"/>
        </w:rPr>
        <w:t>millones</w:t>
      </w:r>
      <w:r>
        <w:rPr>
          <w:color w:val="231F20"/>
          <w:spacing w:val="-12"/>
          <w:w w:val="105"/>
        </w:rPr>
        <w:t> </w:t>
      </w:r>
      <w:r>
        <w:rPr>
          <w:color w:val="231F20"/>
          <w:w w:val="105"/>
        </w:rPr>
        <w:t>de</w:t>
      </w:r>
      <w:r>
        <w:rPr>
          <w:color w:val="231F20"/>
          <w:spacing w:val="-12"/>
          <w:w w:val="105"/>
        </w:rPr>
        <w:t> </w:t>
      </w:r>
      <w:r>
        <w:rPr>
          <w:color w:val="231F20"/>
          <w:w w:val="105"/>
        </w:rPr>
        <w:t>pesos,</w:t>
      </w:r>
      <w:r>
        <w:rPr>
          <w:color w:val="231F20"/>
          <w:spacing w:val="-12"/>
          <w:w w:val="105"/>
        </w:rPr>
        <w:t> </w:t>
      </w:r>
      <w:r>
        <w:rPr>
          <w:color w:val="231F20"/>
          <w:w w:val="105"/>
        </w:rPr>
        <w:t>cifra</w:t>
      </w:r>
      <w:r>
        <w:rPr>
          <w:color w:val="231F20"/>
          <w:spacing w:val="-12"/>
          <w:w w:val="105"/>
        </w:rPr>
        <w:t> </w:t>
      </w:r>
      <w:r>
        <w:rPr>
          <w:color w:val="231F20"/>
          <w:w w:val="105"/>
        </w:rPr>
        <w:t>superior</w:t>
      </w:r>
      <w:r>
        <w:rPr>
          <w:color w:val="231F20"/>
          <w:spacing w:val="-12"/>
          <w:w w:val="105"/>
        </w:rPr>
        <w:t> </w:t>
      </w:r>
      <w:r>
        <w:rPr>
          <w:color w:val="231F20"/>
          <w:w w:val="105"/>
        </w:rPr>
        <w:t>en</w:t>
      </w:r>
      <w:r>
        <w:rPr>
          <w:color w:val="231F20"/>
          <w:spacing w:val="-12"/>
          <w:w w:val="105"/>
        </w:rPr>
        <w:t> </w:t>
      </w:r>
      <w:r>
        <w:rPr>
          <w:color w:val="231F20"/>
          <w:spacing w:val="-7"/>
          <w:w w:val="105"/>
        </w:rPr>
        <w:t>27.7</w:t>
      </w:r>
      <w:r>
        <w:rPr>
          <w:color w:val="231F20"/>
          <w:spacing w:val="-12"/>
          <w:w w:val="105"/>
        </w:rPr>
        <w:t> </w:t>
      </w:r>
      <w:r>
        <w:rPr>
          <w:color w:val="231F20"/>
          <w:w w:val="105"/>
        </w:rPr>
        <w:t>millones</w:t>
      </w:r>
      <w:r>
        <w:rPr>
          <w:color w:val="231F20"/>
          <w:spacing w:val="-12"/>
          <w:w w:val="105"/>
        </w:rPr>
        <w:t> </w:t>
      </w:r>
      <w:r>
        <w:rPr>
          <w:color w:val="231F20"/>
          <w:w w:val="105"/>
        </w:rPr>
        <w:t>de pesos</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recibidos</w:t>
      </w:r>
      <w:r>
        <w:rPr>
          <w:color w:val="231F20"/>
          <w:spacing w:val="-24"/>
          <w:w w:val="105"/>
        </w:rPr>
        <w:t> </w:t>
      </w:r>
      <w:r>
        <w:rPr>
          <w:color w:val="231F20"/>
          <w:w w:val="105"/>
        </w:rPr>
        <w:t>por</w:t>
      </w:r>
      <w:r>
        <w:rPr>
          <w:color w:val="231F20"/>
          <w:spacing w:val="-24"/>
          <w:w w:val="105"/>
        </w:rPr>
        <w:t> </w:t>
      </w:r>
      <w:r>
        <w:rPr>
          <w:color w:val="231F20"/>
          <w:w w:val="105"/>
        </w:rPr>
        <w:t>concepto</w:t>
      </w:r>
      <w:r>
        <w:rPr>
          <w:color w:val="231F20"/>
          <w:spacing w:val="-24"/>
          <w:w w:val="105"/>
        </w:rPr>
        <w:t> </w:t>
      </w:r>
      <w:r>
        <w:rPr>
          <w:color w:val="231F20"/>
          <w:w w:val="105"/>
        </w:rPr>
        <w:t>de</w:t>
      </w:r>
      <w:r>
        <w:rPr>
          <w:color w:val="231F20"/>
          <w:spacing w:val="-24"/>
          <w:w w:val="105"/>
        </w:rPr>
        <w:t> </w:t>
      </w:r>
      <w:r>
        <w:rPr>
          <w:color w:val="231F20"/>
          <w:w w:val="105"/>
        </w:rPr>
        <w:t>participaciones</w:t>
      </w:r>
      <w:r>
        <w:rPr>
          <w:color w:val="231F20"/>
          <w:spacing w:val="-24"/>
          <w:w w:val="105"/>
        </w:rPr>
        <w:t> </w:t>
      </w:r>
      <w:r>
        <w:rPr>
          <w:color w:val="231F20"/>
          <w:w w:val="105"/>
        </w:rPr>
        <w:t>federales,</w:t>
      </w:r>
      <w:r>
        <w:rPr>
          <w:color w:val="231F20"/>
          <w:spacing w:val="-24"/>
          <w:w w:val="105"/>
        </w:rPr>
        <w:t> </w:t>
      </w:r>
      <w:r>
        <w:rPr>
          <w:color w:val="231F20"/>
          <w:w w:val="105"/>
        </w:rPr>
        <w:t>que</w:t>
      </w:r>
      <w:r>
        <w:rPr>
          <w:color w:val="231F20"/>
          <w:spacing w:val="-24"/>
          <w:w w:val="105"/>
        </w:rPr>
        <w:t> </w:t>
      </w:r>
      <w:r>
        <w:rPr>
          <w:color w:val="231F20"/>
          <w:w w:val="105"/>
        </w:rPr>
        <w:t>fueron</w:t>
      </w:r>
      <w:r>
        <w:rPr>
          <w:color w:val="231F20"/>
          <w:spacing w:val="-24"/>
          <w:w w:val="105"/>
        </w:rPr>
        <w:t> </w:t>
      </w:r>
      <w:r>
        <w:rPr>
          <w:color w:val="231F20"/>
          <w:w w:val="105"/>
        </w:rPr>
        <w:t>de</w:t>
      </w:r>
      <w:r>
        <w:rPr>
          <w:color w:val="231F20"/>
          <w:spacing w:val="-24"/>
          <w:w w:val="105"/>
        </w:rPr>
        <w:t> </w:t>
      </w:r>
      <w:r>
        <w:rPr>
          <w:color w:val="231F20"/>
          <w:w w:val="105"/>
        </w:rPr>
        <w:t>525.3,</w:t>
      </w:r>
      <w:r>
        <w:rPr>
          <w:color w:val="231F20"/>
          <w:spacing w:val="-24"/>
          <w:w w:val="105"/>
        </w:rPr>
        <w:t> </w:t>
      </w:r>
      <w:r>
        <w:rPr>
          <w:color w:val="231F20"/>
          <w:w w:val="105"/>
        </w:rPr>
        <w:t>dis-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minuyendo</w:t>
      </w:r>
      <w:r>
        <w:rPr>
          <w:color w:val="231F20"/>
          <w:spacing w:val="-13"/>
          <w:w w:val="105"/>
        </w:rPr>
        <w:t> </w:t>
      </w:r>
      <w:r>
        <w:rPr>
          <w:color w:val="231F20"/>
          <w:w w:val="105"/>
        </w:rPr>
        <w:t>con</w:t>
      </w:r>
      <w:r>
        <w:rPr>
          <w:color w:val="231F20"/>
          <w:spacing w:val="-13"/>
          <w:w w:val="105"/>
        </w:rPr>
        <w:t> </w:t>
      </w:r>
      <w:r>
        <w:rPr>
          <w:color w:val="231F20"/>
          <w:w w:val="105"/>
        </w:rPr>
        <w:t>ello</w:t>
      </w:r>
      <w:r>
        <w:rPr>
          <w:color w:val="231F20"/>
          <w:spacing w:val="-13"/>
          <w:w w:val="105"/>
        </w:rPr>
        <w:t> </w:t>
      </w:r>
      <w:r>
        <w:rPr>
          <w:color w:val="231F20"/>
          <w:w w:val="105"/>
        </w:rPr>
        <w:t>la</w:t>
      </w:r>
      <w:r>
        <w:rPr>
          <w:color w:val="231F20"/>
          <w:spacing w:val="-13"/>
          <w:w w:val="105"/>
        </w:rPr>
        <w:t> </w:t>
      </w:r>
      <w:r>
        <w:rPr>
          <w:color w:val="231F20"/>
          <w:w w:val="105"/>
        </w:rPr>
        <w:t>dependencia</w:t>
      </w:r>
      <w:r>
        <w:rPr>
          <w:color w:val="231F20"/>
          <w:spacing w:val="-13"/>
          <w:w w:val="105"/>
        </w:rPr>
        <w:t> </w:t>
      </w:r>
      <w:r>
        <w:rPr>
          <w:color w:val="231F20"/>
          <w:w w:val="105"/>
        </w:rPr>
        <w:t>económica</w:t>
      </w:r>
      <w:r>
        <w:rPr>
          <w:color w:val="231F20"/>
          <w:spacing w:val="-13"/>
          <w:w w:val="105"/>
        </w:rPr>
        <w:t> </w:t>
      </w:r>
      <w:r>
        <w:rPr>
          <w:color w:val="231F20"/>
          <w:w w:val="105"/>
        </w:rPr>
        <w:t>del</w:t>
      </w:r>
      <w:r>
        <w:rPr>
          <w:color w:val="231F20"/>
          <w:spacing w:val="-13"/>
          <w:w w:val="105"/>
        </w:rPr>
        <w:t> </w:t>
      </w:r>
      <w:r>
        <w:rPr>
          <w:color w:val="231F20"/>
          <w:w w:val="105"/>
        </w:rPr>
        <w:t>municipio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ingresos</w:t>
      </w:r>
      <w:r>
        <w:rPr>
          <w:color w:val="231F20"/>
          <w:spacing w:val="-13"/>
          <w:w w:val="105"/>
        </w:rPr>
        <w:t> </w:t>
      </w:r>
      <w:r>
        <w:rPr>
          <w:color w:val="231F20"/>
          <w:w w:val="105"/>
        </w:rPr>
        <w:t>derivados del</w:t>
      </w:r>
      <w:r>
        <w:rPr>
          <w:color w:val="231F20"/>
          <w:spacing w:val="-23"/>
          <w:w w:val="105"/>
        </w:rPr>
        <w:t> </w:t>
      </w:r>
      <w:r>
        <w:rPr>
          <w:color w:val="231F20"/>
          <w:w w:val="105"/>
        </w:rPr>
        <w:t>Sistema</w:t>
      </w:r>
      <w:r>
        <w:rPr>
          <w:color w:val="231F20"/>
          <w:spacing w:val="-23"/>
          <w:w w:val="105"/>
        </w:rPr>
        <w:t> </w:t>
      </w:r>
      <w:r>
        <w:rPr>
          <w:color w:val="231F20"/>
          <w:w w:val="105"/>
        </w:rPr>
        <w:t>Nacional</w:t>
      </w:r>
      <w:r>
        <w:rPr>
          <w:color w:val="231F20"/>
          <w:spacing w:val="-23"/>
          <w:w w:val="105"/>
        </w:rPr>
        <w:t> </w:t>
      </w:r>
      <w:r>
        <w:rPr>
          <w:color w:val="231F20"/>
          <w:w w:val="105"/>
        </w:rPr>
        <w:t>de</w:t>
      </w:r>
      <w:r>
        <w:rPr>
          <w:color w:val="231F20"/>
          <w:spacing w:val="-23"/>
          <w:w w:val="105"/>
        </w:rPr>
        <w:t> </w:t>
      </w:r>
      <w:r>
        <w:rPr>
          <w:color w:val="231F20"/>
          <w:w w:val="105"/>
        </w:rPr>
        <w:t>Coordinación</w:t>
      </w:r>
      <w:r>
        <w:rPr>
          <w:color w:val="231F20"/>
          <w:spacing w:val="-23"/>
          <w:w w:val="105"/>
        </w:rPr>
        <w:t> </w:t>
      </w:r>
      <w:r>
        <w:rPr>
          <w:color w:val="231F20"/>
          <w:w w:val="105"/>
        </w:rPr>
        <w:t>Fiscal.</w:t>
      </w:r>
    </w:p>
    <w:p>
      <w:pPr>
        <w:pStyle w:val="BodyText"/>
        <w:spacing w:before="1"/>
        <w:rPr>
          <w:sz w:val="26"/>
        </w:rPr>
      </w:pPr>
    </w:p>
    <w:p>
      <w:pPr>
        <w:pStyle w:val="BodyText"/>
        <w:spacing w:line="285" w:lineRule="auto"/>
        <w:ind w:left="110" w:right="108"/>
        <w:jc w:val="both"/>
      </w:pPr>
      <w:r>
        <w:rPr>
          <w:color w:val="231F20"/>
          <w:w w:val="105"/>
        </w:rPr>
        <w:t>Esta</w:t>
      </w:r>
      <w:r>
        <w:rPr>
          <w:color w:val="231F20"/>
          <w:spacing w:val="-13"/>
          <w:w w:val="105"/>
        </w:rPr>
        <w:t> </w:t>
      </w:r>
      <w:r>
        <w:rPr>
          <w:color w:val="231F20"/>
          <w:spacing w:val="-4"/>
          <w:w w:val="105"/>
        </w:rPr>
        <w:t>gestión</w:t>
      </w:r>
      <w:r>
        <w:rPr>
          <w:color w:val="231F20"/>
          <w:spacing w:val="-13"/>
          <w:w w:val="105"/>
        </w:rPr>
        <w:t> </w:t>
      </w:r>
      <w:r>
        <w:rPr>
          <w:color w:val="231F20"/>
          <w:spacing w:val="-4"/>
          <w:w w:val="105"/>
        </w:rPr>
        <w:t>continuó</w:t>
      </w:r>
      <w:r>
        <w:rPr>
          <w:color w:val="231F20"/>
          <w:spacing w:val="-13"/>
          <w:w w:val="105"/>
        </w:rPr>
        <w:t> </w:t>
      </w:r>
      <w:r>
        <w:rPr>
          <w:color w:val="231F20"/>
          <w:spacing w:val="-4"/>
          <w:w w:val="105"/>
        </w:rPr>
        <w:t>con</w:t>
      </w:r>
      <w:r>
        <w:rPr>
          <w:color w:val="231F20"/>
          <w:spacing w:val="-13"/>
          <w:w w:val="105"/>
        </w:rPr>
        <w:t> </w:t>
      </w:r>
      <w:r>
        <w:rPr>
          <w:color w:val="231F20"/>
          <w:spacing w:val="-4"/>
          <w:w w:val="105"/>
        </w:rPr>
        <w:t>los</w:t>
      </w:r>
      <w:r>
        <w:rPr>
          <w:color w:val="231F20"/>
          <w:spacing w:val="-13"/>
          <w:w w:val="105"/>
        </w:rPr>
        <w:t> </w:t>
      </w:r>
      <w:r>
        <w:rPr>
          <w:color w:val="231F20"/>
          <w:spacing w:val="-3"/>
          <w:w w:val="105"/>
        </w:rPr>
        <w:t>programas</w:t>
      </w:r>
      <w:r>
        <w:rPr>
          <w:color w:val="231F20"/>
          <w:spacing w:val="-13"/>
          <w:w w:val="105"/>
        </w:rPr>
        <w:t> </w:t>
      </w:r>
      <w:r>
        <w:rPr>
          <w:color w:val="231F20"/>
          <w:spacing w:val="-3"/>
          <w:w w:val="105"/>
        </w:rPr>
        <w:t>de</w:t>
      </w:r>
      <w:r>
        <w:rPr>
          <w:color w:val="231F20"/>
          <w:spacing w:val="-13"/>
          <w:w w:val="105"/>
        </w:rPr>
        <w:t> </w:t>
      </w:r>
      <w:r>
        <w:rPr>
          <w:color w:val="231F20"/>
          <w:spacing w:val="-5"/>
          <w:w w:val="105"/>
        </w:rPr>
        <w:t>educación,</w:t>
      </w:r>
      <w:r>
        <w:rPr>
          <w:color w:val="231F20"/>
          <w:spacing w:val="-13"/>
          <w:w w:val="105"/>
        </w:rPr>
        <w:t> </w:t>
      </w:r>
      <w:r>
        <w:rPr>
          <w:color w:val="231F20"/>
          <w:spacing w:val="-5"/>
          <w:w w:val="105"/>
        </w:rPr>
        <w:t>poniendo</w:t>
      </w:r>
      <w:r>
        <w:rPr>
          <w:color w:val="231F20"/>
          <w:spacing w:val="-13"/>
          <w:w w:val="105"/>
        </w:rPr>
        <w:t> </w:t>
      </w:r>
      <w:r>
        <w:rPr>
          <w:color w:val="231F20"/>
          <w:w w:val="105"/>
        </w:rPr>
        <w:t>énfasis</w:t>
      </w:r>
      <w:r>
        <w:rPr>
          <w:color w:val="231F20"/>
          <w:spacing w:val="-13"/>
          <w:w w:val="105"/>
        </w:rPr>
        <w:t> </w:t>
      </w:r>
      <w:r>
        <w:rPr>
          <w:color w:val="231F20"/>
          <w:spacing w:val="-3"/>
          <w:w w:val="105"/>
        </w:rPr>
        <w:t>en</w:t>
      </w:r>
      <w:r>
        <w:rPr>
          <w:color w:val="231F20"/>
          <w:spacing w:val="-13"/>
          <w:w w:val="105"/>
        </w:rPr>
        <w:t> </w:t>
      </w:r>
      <w:r>
        <w:rPr>
          <w:color w:val="231F20"/>
          <w:w w:val="105"/>
        </w:rPr>
        <w:t>la</w:t>
      </w:r>
      <w:r>
        <w:rPr>
          <w:color w:val="231F20"/>
          <w:spacing w:val="-13"/>
          <w:w w:val="105"/>
        </w:rPr>
        <w:t> </w:t>
      </w:r>
      <w:r>
        <w:rPr>
          <w:color w:val="231F20"/>
          <w:spacing w:val="-4"/>
          <w:w w:val="105"/>
        </w:rPr>
        <w:t>moderniza- ción</w:t>
      </w:r>
      <w:r>
        <w:rPr>
          <w:color w:val="231F20"/>
          <w:spacing w:val="-10"/>
          <w:w w:val="105"/>
        </w:rPr>
        <w:t> </w:t>
      </w:r>
      <w:r>
        <w:rPr>
          <w:color w:val="231F20"/>
          <w:spacing w:val="-4"/>
          <w:w w:val="105"/>
        </w:rPr>
        <w:t>educativa</w:t>
      </w:r>
      <w:r>
        <w:rPr>
          <w:color w:val="231F20"/>
          <w:spacing w:val="-10"/>
          <w:w w:val="105"/>
        </w:rPr>
        <w:t> </w:t>
      </w:r>
      <w:r>
        <w:rPr>
          <w:color w:val="231F20"/>
          <w:w w:val="105"/>
        </w:rPr>
        <w:t>a</w:t>
      </w:r>
      <w:r>
        <w:rPr>
          <w:color w:val="231F20"/>
          <w:spacing w:val="-10"/>
          <w:w w:val="105"/>
        </w:rPr>
        <w:t> </w:t>
      </w:r>
      <w:r>
        <w:rPr>
          <w:color w:val="231F20"/>
          <w:spacing w:val="-4"/>
          <w:w w:val="105"/>
        </w:rPr>
        <w:t>través</w:t>
      </w:r>
      <w:r>
        <w:rPr>
          <w:color w:val="231F20"/>
          <w:spacing w:val="-10"/>
          <w:w w:val="105"/>
        </w:rPr>
        <w:t> </w:t>
      </w:r>
      <w:r>
        <w:rPr>
          <w:color w:val="231F20"/>
          <w:spacing w:val="-3"/>
          <w:w w:val="105"/>
        </w:rPr>
        <w:t>de</w:t>
      </w:r>
      <w:r>
        <w:rPr>
          <w:color w:val="231F20"/>
          <w:spacing w:val="-10"/>
          <w:w w:val="105"/>
        </w:rPr>
        <w:t> </w:t>
      </w:r>
      <w:r>
        <w:rPr>
          <w:color w:val="231F20"/>
          <w:w w:val="105"/>
        </w:rPr>
        <w:t>la</w:t>
      </w:r>
      <w:r>
        <w:rPr>
          <w:color w:val="231F20"/>
          <w:spacing w:val="-10"/>
          <w:w w:val="105"/>
        </w:rPr>
        <w:t> </w:t>
      </w:r>
      <w:r>
        <w:rPr>
          <w:color w:val="231F20"/>
          <w:spacing w:val="-5"/>
          <w:w w:val="105"/>
        </w:rPr>
        <w:t>dotación</w:t>
      </w:r>
      <w:r>
        <w:rPr>
          <w:color w:val="231F20"/>
          <w:spacing w:val="-10"/>
          <w:w w:val="105"/>
        </w:rPr>
        <w:t> </w:t>
      </w:r>
      <w:r>
        <w:rPr>
          <w:color w:val="231F20"/>
          <w:spacing w:val="-3"/>
          <w:w w:val="105"/>
        </w:rPr>
        <w:t>de</w:t>
      </w:r>
      <w:r>
        <w:rPr>
          <w:color w:val="231F20"/>
          <w:spacing w:val="-10"/>
          <w:w w:val="105"/>
        </w:rPr>
        <w:t> </w:t>
      </w:r>
      <w:r>
        <w:rPr>
          <w:color w:val="231F20"/>
          <w:spacing w:val="-5"/>
          <w:w w:val="105"/>
        </w:rPr>
        <w:t>cómputo</w:t>
      </w:r>
      <w:r>
        <w:rPr>
          <w:color w:val="231F20"/>
          <w:spacing w:val="-10"/>
          <w:w w:val="105"/>
        </w:rPr>
        <w:t> </w:t>
      </w:r>
      <w:r>
        <w:rPr>
          <w:color w:val="231F20"/>
          <w:w w:val="105"/>
        </w:rPr>
        <w:t>e</w:t>
      </w:r>
      <w:r>
        <w:rPr>
          <w:color w:val="231F20"/>
          <w:spacing w:val="-10"/>
          <w:w w:val="105"/>
        </w:rPr>
        <w:t> </w:t>
      </w:r>
      <w:r>
        <w:rPr>
          <w:color w:val="231F20"/>
          <w:w w:val="105"/>
        </w:rPr>
        <w:t>inglés</w:t>
      </w:r>
      <w:r>
        <w:rPr>
          <w:color w:val="231F20"/>
          <w:spacing w:val="-10"/>
          <w:w w:val="105"/>
        </w:rPr>
        <w:t> </w:t>
      </w:r>
      <w:r>
        <w:rPr>
          <w:color w:val="231F20"/>
          <w:w w:val="105"/>
        </w:rPr>
        <w:t>para</w:t>
      </w:r>
      <w:r>
        <w:rPr>
          <w:color w:val="231F20"/>
          <w:spacing w:val="-10"/>
          <w:w w:val="105"/>
        </w:rPr>
        <w:t> </w:t>
      </w:r>
      <w:r>
        <w:rPr>
          <w:color w:val="231F20"/>
          <w:spacing w:val="-3"/>
          <w:w w:val="105"/>
        </w:rPr>
        <w:t>alumnos</w:t>
      </w:r>
      <w:r>
        <w:rPr>
          <w:color w:val="231F20"/>
          <w:spacing w:val="-10"/>
          <w:w w:val="105"/>
        </w:rPr>
        <w:t> </w:t>
      </w:r>
      <w:r>
        <w:rPr>
          <w:color w:val="231F20"/>
          <w:spacing w:val="-3"/>
          <w:w w:val="105"/>
        </w:rPr>
        <w:t>de</w:t>
      </w:r>
      <w:r>
        <w:rPr>
          <w:color w:val="231F20"/>
          <w:spacing w:val="-10"/>
          <w:w w:val="105"/>
        </w:rPr>
        <w:t> </w:t>
      </w:r>
      <w:r>
        <w:rPr>
          <w:color w:val="231F20"/>
          <w:spacing w:val="-5"/>
          <w:w w:val="105"/>
        </w:rPr>
        <w:t>educación</w:t>
      </w:r>
      <w:r>
        <w:rPr>
          <w:color w:val="231F20"/>
          <w:spacing w:val="-10"/>
          <w:w w:val="105"/>
        </w:rPr>
        <w:t> </w:t>
      </w:r>
      <w:r>
        <w:rPr>
          <w:color w:val="231F20"/>
          <w:spacing w:val="-4"/>
          <w:w w:val="105"/>
        </w:rPr>
        <w:t>bá- </w:t>
      </w:r>
      <w:r>
        <w:rPr>
          <w:color w:val="231F20"/>
          <w:spacing w:val="-3"/>
          <w:w w:val="105"/>
        </w:rPr>
        <w:t>sica.</w:t>
      </w:r>
      <w:r>
        <w:rPr>
          <w:color w:val="231F20"/>
          <w:spacing w:val="-23"/>
          <w:w w:val="105"/>
        </w:rPr>
        <w:t> </w:t>
      </w:r>
      <w:r>
        <w:rPr>
          <w:color w:val="231F20"/>
          <w:w w:val="105"/>
        </w:rPr>
        <w:t>A</w:t>
      </w:r>
      <w:r>
        <w:rPr>
          <w:color w:val="231F20"/>
          <w:spacing w:val="-23"/>
          <w:w w:val="105"/>
        </w:rPr>
        <w:t> </w:t>
      </w:r>
      <w:r>
        <w:rPr>
          <w:color w:val="231F20"/>
          <w:spacing w:val="-4"/>
          <w:w w:val="105"/>
        </w:rPr>
        <w:t>los</w:t>
      </w:r>
      <w:r>
        <w:rPr>
          <w:color w:val="231F20"/>
          <w:spacing w:val="-23"/>
          <w:w w:val="105"/>
        </w:rPr>
        <w:t> </w:t>
      </w:r>
      <w:r>
        <w:rPr>
          <w:color w:val="231F20"/>
          <w:spacing w:val="-3"/>
          <w:w w:val="105"/>
        </w:rPr>
        <w:t>100</w:t>
      </w:r>
      <w:r>
        <w:rPr>
          <w:color w:val="231F20"/>
          <w:spacing w:val="-23"/>
          <w:w w:val="105"/>
        </w:rPr>
        <w:t> </w:t>
      </w:r>
      <w:r>
        <w:rPr>
          <w:color w:val="231F20"/>
          <w:w w:val="105"/>
        </w:rPr>
        <w:t>días</w:t>
      </w:r>
      <w:r>
        <w:rPr>
          <w:color w:val="231F20"/>
          <w:spacing w:val="-23"/>
          <w:w w:val="105"/>
        </w:rPr>
        <w:t> </w:t>
      </w:r>
      <w:r>
        <w:rPr>
          <w:color w:val="231F20"/>
          <w:w w:val="105"/>
        </w:rPr>
        <w:t>se</w:t>
      </w:r>
      <w:r>
        <w:rPr>
          <w:color w:val="231F20"/>
          <w:spacing w:val="-23"/>
          <w:w w:val="105"/>
        </w:rPr>
        <w:t> </w:t>
      </w:r>
      <w:r>
        <w:rPr>
          <w:color w:val="231F20"/>
          <w:spacing w:val="-3"/>
          <w:w w:val="105"/>
        </w:rPr>
        <w:t>habían</w:t>
      </w:r>
      <w:r>
        <w:rPr>
          <w:color w:val="231F20"/>
          <w:spacing w:val="-23"/>
          <w:w w:val="105"/>
        </w:rPr>
        <w:t> </w:t>
      </w:r>
      <w:r>
        <w:rPr>
          <w:color w:val="231F20"/>
          <w:spacing w:val="-4"/>
          <w:w w:val="105"/>
        </w:rPr>
        <w:t>beneficiado</w:t>
      </w:r>
      <w:r>
        <w:rPr>
          <w:color w:val="231F20"/>
          <w:spacing w:val="-23"/>
          <w:w w:val="105"/>
        </w:rPr>
        <w:t> </w:t>
      </w:r>
      <w:r>
        <w:rPr>
          <w:color w:val="231F20"/>
          <w:w w:val="105"/>
        </w:rPr>
        <w:t>a</w:t>
      </w:r>
      <w:r>
        <w:rPr>
          <w:color w:val="231F20"/>
          <w:spacing w:val="-23"/>
          <w:w w:val="105"/>
        </w:rPr>
        <w:t> </w:t>
      </w:r>
      <w:r>
        <w:rPr>
          <w:color w:val="231F20"/>
          <w:w w:val="105"/>
        </w:rPr>
        <w:t>1200</w:t>
      </w:r>
      <w:r>
        <w:rPr>
          <w:color w:val="231F20"/>
          <w:spacing w:val="-23"/>
          <w:w w:val="105"/>
        </w:rPr>
        <w:t> </w:t>
      </w:r>
      <w:r>
        <w:rPr>
          <w:color w:val="231F20"/>
          <w:spacing w:val="-3"/>
          <w:w w:val="105"/>
        </w:rPr>
        <w:t>alumnos</w:t>
      </w:r>
      <w:r>
        <w:rPr>
          <w:color w:val="231F20"/>
          <w:spacing w:val="-23"/>
          <w:w w:val="105"/>
        </w:rPr>
        <w:t> </w:t>
      </w:r>
      <w:r>
        <w:rPr>
          <w:color w:val="231F20"/>
          <w:spacing w:val="-4"/>
          <w:w w:val="105"/>
        </w:rPr>
        <w:t>con</w:t>
      </w:r>
      <w:r>
        <w:rPr>
          <w:color w:val="231F20"/>
          <w:spacing w:val="-23"/>
          <w:w w:val="105"/>
        </w:rPr>
        <w:t> </w:t>
      </w:r>
      <w:r>
        <w:rPr>
          <w:color w:val="231F20"/>
          <w:w w:val="105"/>
        </w:rPr>
        <w:t>clases</w:t>
      </w:r>
      <w:r>
        <w:rPr>
          <w:color w:val="231F20"/>
          <w:spacing w:val="-23"/>
          <w:w w:val="105"/>
        </w:rPr>
        <w:t> </w:t>
      </w:r>
      <w:r>
        <w:rPr>
          <w:color w:val="231F20"/>
          <w:spacing w:val="-3"/>
          <w:w w:val="105"/>
        </w:rPr>
        <w:t>de</w:t>
      </w:r>
      <w:r>
        <w:rPr>
          <w:color w:val="231F20"/>
          <w:spacing w:val="-23"/>
          <w:w w:val="105"/>
        </w:rPr>
        <w:t> </w:t>
      </w:r>
      <w:r>
        <w:rPr>
          <w:color w:val="231F20"/>
          <w:w w:val="105"/>
        </w:rPr>
        <w:t>inglés</w:t>
      </w:r>
      <w:r>
        <w:rPr>
          <w:color w:val="231F20"/>
          <w:spacing w:val="-23"/>
          <w:w w:val="105"/>
        </w:rPr>
        <w:t> </w:t>
      </w:r>
      <w:r>
        <w:rPr>
          <w:color w:val="231F20"/>
          <w:w w:val="105"/>
        </w:rPr>
        <w:t>y</w:t>
      </w:r>
      <w:r>
        <w:rPr>
          <w:color w:val="231F20"/>
          <w:spacing w:val="-23"/>
          <w:w w:val="105"/>
        </w:rPr>
        <w:t> </w:t>
      </w:r>
      <w:r>
        <w:rPr>
          <w:color w:val="231F20"/>
          <w:w w:val="105"/>
        </w:rPr>
        <w:t>22</w:t>
      </w:r>
      <w:r>
        <w:rPr>
          <w:color w:val="231F20"/>
          <w:spacing w:val="-23"/>
          <w:w w:val="105"/>
        </w:rPr>
        <w:t> </w:t>
      </w:r>
      <w:r>
        <w:rPr>
          <w:color w:val="231F20"/>
          <w:spacing w:val="-5"/>
          <w:w w:val="105"/>
        </w:rPr>
        <w:t>centros </w:t>
      </w:r>
      <w:r>
        <w:rPr>
          <w:color w:val="231F20"/>
          <w:w w:val="105"/>
        </w:rPr>
        <w:t>para</w:t>
      </w:r>
      <w:r>
        <w:rPr>
          <w:color w:val="231F20"/>
          <w:spacing w:val="-16"/>
          <w:w w:val="105"/>
        </w:rPr>
        <w:t> </w:t>
      </w:r>
      <w:r>
        <w:rPr>
          <w:color w:val="231F20"/>
          <w:w w:val="105"/>
        </w:rPr>
        <w:t>la</w:t>
      </w:r>
      <w:r>
        <w:rPr>
          <w:color w:val="231F20"/>
          <w:spacing w:val="-16"/>
          <w:w w:val="105"/>
        </w:rPr>
        <w:t> </w:t>
      </w:r>
      <w:r>
        <w:rPr>
          <w:color w:val="231F20"/>
          <w:spacing w:val="-3"/>
          <w:w w:val="105"/>
        </w:rPr>
        <w:t>enseñanza</w:t>
      </w:r>
      <w:r>
        <w:rPr>
          <w:color w:val="231F20"/>
          <w:spacing w:val="-16"/>
          <w:w w:val="105"/>
        </w:rPr>
        <w:t> </w:t>
      </w:r>
      <w:r>
        <w:rPr>
          <w:color w:val="231F20"/>
          <w:spacing w:val="-4"/>
          <w:w w:val="105"/>
        </w:rPr>
        <w:t>del</w:t>
      </w:r>
      <w:r>
        <w:rPr>
          <w:color w:val="231F20"/>
          <w:spacing w:val="-16"/>
          <w:w w:val="105"/>
        </w:rPr>
        <w:t> </w:t>
      </w:r>
      <w:r>
        <w:rPr>
          <w:color w:val="231F20"/>
          <w:spacing w:val="-4"/>
          <w:w w:val="105"/>
        </w:rPr>
        <w:t>idioma</w:t>
      </w:r>
      <w:r>
        <w:rPr>
          <w:color w:val="231F20"/>
          <w:spacing w:val="-16"/>
          <w:w w:val="105"/>
        </w:rPr>
        <w:t> </w:t>
      </w:r>
      <w:r>
        <w:rPr>
          <w:color w:val="231F20"/>
          <w:w w:val="105"/>
        </w:rPr>
        <w:t>a</w:t>
      </w:r>
      <w:r>
        <w:rPr>
          <w:color w:val="231F20"/>
          <w:spacing w:val="-16"/>
          <w:w w:val="105"/>
        </w:rPr>
        <w:t> </w:t>
      </w:r>
      <w:r>
        <w:rPr>
          <w:color w:val="231F20"/>
          <w:spacing w:val="-3"/>
          <w:w w:val="105"/>
        </w:rPr>
        <w:t>alumnos</w:t>
      </w:r>
      <w:r>
        <w:rPr>
          <w:color w:val="231F20"/>
          <w:spacing w:val="-16"/>
          <w:w w:val="105"/>
        </w:rPr>
        <w:t> </w:t>
      </w:r>
      <w:r>
        <w:rPr>
          <w:color w:val="231F20"/>
          <w:spacing w:val="-3"/>
          <w:w w:val="105"/>
        </w:rPr>
        <w:t>de</w:t>
      </w:r>
      <w:r>
        <w:rPr>
          <w:color w:val="231F20"/>
          <w:spacing w:val="-16"/>
          <w:w w:val="105"/>
        </w:rPr>
        <w:t> </w:t>
      </w:r>
      <w:r>
        <w:rPr>
          <w:color w:val="231F20"/>
          <w:spacing w:val="-3"/>
          <w:w w:val="105"/>
        </w:rPr>
        <w:t>6º</w:t>
      </w:r>
      <w:r>
        <w:rPr>
          <w:color w:val="231F20"/>
          <w:spacing w:val="-16"/>
          <w:w w:val="105"/>
        </w:rPr>
        <w:t> </w:t>
      </w:r>
      <w:r>
        <w:rPr>
          <w:color w:val="231F20"/>
          <w:spacing w:val="-3"/>
          <w:w w:val="105"/>
        </w:rPr>
        <w:t>grado</w:t>
      </w:r>
      <w:r>
        <w:rPr>
          <w:color w:val="231F20"/>
          <w:spacing w:val="-16"/>
          <w:w w:val="105"/>
        </w:rPr>
        <w:t> </w:t>
      </w:r>
      <w:r>
        <w:rPr>
          <w:color w:val="231F20"/>
          <w:spacing w:val="-3"/>
          <w:w w:val="105"/>
        </w:rPr>
        <w:t>en</w:t>
      </w:r>
      <w:r>
        <w:rPr>
          <w:color w:val="231F20"/>
          <w:spacing w:val="-16"/>
          <w:w w:val="105"/>
        </w:rPr>
        <w:t> </w:t>
      </w:r>
      <w:r>
        <w:rPr>
          <w:color w:val="231F20"/>
          <w:spacing w:val="-3"/>
          <w:w w:val="105"/>
        </w:rPr>
        <w:t>escuelas</w:t>
      </w:r>
      <w:r>
        <w:rPr>
          <w:color w:val="231F20"/>
          <w:spacing w:val="-16"/>
          <w:w w:val="105"/>
        </w:rPr>
        <w:t> </w:t>
      </w:r>
      <w:r>
        <w:rPr>
          <w:color w:val="231F20"/>
          <w:spacing w:val="-4"/>
          <w:w w:val="105"/>
        </w:rPr>
        <w:t>públicas.</w:t>
      </w:r>
      <w:r>
        <w:rPr>
          <w:color w:val="231F20"/>
          <w:spacing w:val="-16"/>
          <w:w w:val="105"/>
        </w:rPr>
        <w:t> </w:t>
      </w:r>
      <w:r>
        <w:rPr>
          <w:color w:val="231F20"/>
          <w:spacing w:val="-3"/>
          <w:w w:val="105"/>
        </w:rPr>
        <w:t>Con</w:t>
      </w:r>
      <w:r>
        <w:rPr>
          <w:color w:val="231F20"/>
          <w:spacing w:val="-16"/>
          <w:w w:val="105"/>
        </w:rPr>
        <w:t> </w:t>
      </w:r>
      <w:r>
        <w:rPr>
          <w:color w:val="231F20"/>
          <w:spacing w:val="-4"/>
          <w:w w:val="105"/>
        </w:rPr>
        <w:t>datos</w:t>
      </w:r>
      <w:r>
        <w:rPr>
          <w:color w:val="231F20"/>
          <w:spacing w:val="-16"/>
          <w:w w:val="105"/>
        </w:rPr>
        <w:t> </w:t>
      </w:r>
      <w:r>
        <w:rPr>
          <w:color w:val="231F20"/>
          <w:spacing w:val="-5"/>
          <w:w w:val="105"/>
        </w:rPr>
        <w:t>relati- </w:t>
      </w:r>
      <w:r>
        <w:rPr>
          <w:color w:val="231F20"/>
          <w:spacing w:val="-4"/>
          <w:w w:val="105"/>
        </w:rPr>
        <w:t>vos</w:t>
      </w:r>
      <w:r>
        <w:rPr>
          <w:color w:val="231F20"/>
          <w:spacing w:val="-12"/>
          <w:w w:val="105"/>
        </w:rPr>
        <w:t> </w:t>
      </w:r>
      <w:r>
        <w:rPr>
          <w:color w:val="231F20"/>
          <w:w w:val="105"/>
        </w:rPr>
        <w:t>al</w:t>
      </w:r>
      <w:r>
        <w:rPr>
          <w:color w:val="231F20"/>
          <w:spacing w:val="-12"/>
          <w:w w:val="105"/>
        </w:rPr>
        <w:t> </w:t>
      </w:r>
      <w:r>
        <w:rPr>
          <w:color w:val="231F20"/>
          <w:spacing w:val="-8"/>
          <w:w w:val="105"/>
        </w:rPr>
        <w:t>Tercer</w:t>
      </w:r>
      <w:r>
        <w:rPr>
          <w:color w:val="231F20"/>
          <w:spacing w:val="-12"/>
          <w:w w:val="105"/>
        </w:rPr>
        <w:t> </w:t>
      </w:r>
      <w:r>
        <w:rPr>
          <w:color w:val="231F20"/>
          <w:spacing w:val="-3"/>
          <w:w w:val="105"/>
        </w:rPr>
        <w:t>Informe</w:t>
      </w:r>
      <w:r>
        <w:rPr>
          <w:color w:val="231F20"/>
          <w:spacing w:val="-12"/>
          <w:w w:val="105"/>
        </w:rPr>
        <w:t> </w:t>
      </w:r>
      <w:r>
        <w:rPr>
          <w:color w:val="231F20"/>
          <w:spacing w:val="-3"/>
          <w:w w:val="105"/>
        </w:rPr>
        <w:t>de</w:t>
      </w:r>
      <w:r>
        <w:rPr>
          <w:color w:val="231F20"/>
          <w:spacing w:val="-12"/>
          <w:w w:val="105"/>
        </w:rPr>
        <w:t> </w:t>
      </w:r>
      <w:r>
        <w:rPr>
          <w:color w:val="231F20"/>
          <w:spacing w:val="-5"/>
          <w:w w:val="105"/>
        </w:rPr>
        <w:t>Gobierno,</w:t>
      </w:r>
      <w:r>
        <w:rPr>
          <w:color w:val="231F20"/>
          <w:spacing w:val="-12"/>
          <w:w w:val="105"/>
        </w:rPr>
        <w:t> </w:t>
      </w:r>
      <w:r>
        <w:rPr>
          <w:color w:val="231F20"/>
          <w:spacing w:val="-4"/>
          <w:w w:val="105"/>
        </w:rPr>
        <w:t>podemos</w:t>
      </w:r>
      <w:r>
        <w:rPr>
          <w:color w:val="231F20"/>
          <w:spacing w:val="-12"/>
          <w:w w:val="105"/>
        </w:rPr>
        <w:t> </w:t>
      </w:r>
      <w:r>
        <w:rPr>
          <w:color w:val="231F20"/>
          <w:w w:val="105"/>
        </w:rPr>
        <w:t>observar</w:t>
      </w:r>
      <w:r>
        <w:rPr>
          <w:color w:val="231F20"/>
          <w:spacing w:val="-12"/>
          <w:w w:val="105"/>
        </w:rPr>
        <w:t> </w:t>
      </w:r>
      <w:r>
        <w:rPr>
          <w:color w:val="231F20"/>
          <w:spacing w:val="-4"/>
          <w:w w:val="105"/>
        </w:rPr>
        <w:t>que</w:t>
      </w:r>
      <w:r>
        <w:rPr>
          <w:color w:val="231F20"/>
          <w:spacing w:val="-12"/>
          <w:w w:val="105"/>
        </w:rPr>
        <w:t> </w:t>
      </w:r>
      <w:r>
        <w:rPr>
          <w:color w:val="231F20"/>
          <w:spacing w:val="-3"/>
          <w:w w:val="105"/>
        </w:rPr>
        <w:t>el</w:t>
      </w:r>
      <w:r>
        <w:rPr>
          <w:color w:val="231F20"/>
          <w:spacing w:val="-12"/>
          <w:w w:val="105"/>
        </w:rPr>
        <w:t> </w:t>
      </w:r>
      <w:r>
        <w:rPr>
          <w:color w:val="231F20"/>
          <w:spacing w:val="-5"/>
          <w:w w:val="105"/>
        </w:rPr>
        <w:t>“Gobierno</w:t>
      </w:r>
      <w:r>
        <w:rPr>
          <w:color w:val="231F20"/>
          <w:spacing w:val="-12"/>
          <w:w w:val="105"/>
        </w:rPr>
        <w:t> </w:t>
      </w:r>
      <w:r>
        <w:rPr>
          <w:color w:val="231F20"/>
          <w:spacing w:val="-4"/>
          <w:w w:val="105"/>
        </w:rPr>
        <w:t>con</w:t>
      </w:r>
      <w:r>
        <w:rPr>
          <w:color w:val="231F20"/>
          <w:spacing w:val="-12"/>
          <w:w w:val="105"/>
        </w:rPr>
        <w:t> </w:t>
      </w:r>
      <w:r>
        <w:rPr>
          <w:color w:val="231F20"/>
          <w:spacing w:val="-3"/>
          <w:w w:val="105"/>
        </w:rPr>
        <w:t>visión</w:t>
      </w:r>
      <w:r>
        <w:rPr>
          <w:color w:val="231F20"/>
          <w:spacing w:val="-12"/>
          <w:w w:val="105"/>
        </w:rPr>
        <w:t> </w:t>
      </w:r>
      <w:r>
        <w:rPr>
          <w:color w:val="231F20"/>
          <w:spacing w:val="-4"/>
          <w:w w:val="105"/>
        </w:rPr>
        <w:t>huma- </w:t>
      </w:r>
      <w:r>
        <w:rPr>
          <w:color w:val="231F20"/>
          <w:spacing w:val="-9"/>
          <w:w w:val="105"/>
        </w:rPr>
        <w:t>na”,</w:t>
      </w:r>
      <w:r>
        <w:rPr>
          <w:color w:val="231F20"/>
          <w:spacing w:val="-19"/>
          <w:w w:val="105"/>
        </w:rPr>
        <w:t> </w:t>
      </w:r>
      <w:r>
        <w:rPr>
          <w:color w:val="231F20"/>
          <w:spacing w:val="-4"/>
          <w:w w:val="105"/>
        </w:rPr>
        <w:t>continuó</w:t>
      </w:r>
      <w:r>
        <w:rPr>
          <w:color w:val="231F20"/>
          <w:spacing w:val="-19"/>
          <w:w w:val="105"/>
        </w:rPr>
        <w:t> </w:t>
      </w:r>
      <w:r>
        <w:rPr>
          <w:color w:val="231F20"/>
          <w:w w:val="105"/>
        </w:rPr>
        <w:t>la</w:t>
      </w:r>
      <w:r>
        <w:rPr>
          <w:color w:val="231F20"/>
          <w:spacing w:val="-19"/>
          <w:w w:val="105"/>
        </w:rPr>
        <w:t> </w:t>
      </w:r>
      <w:r>
        <w:rPr>
          <w:color w:val="231F20"/>
          <w:spacing w:val="-3"/>
          <w:w w:val="105"/>
        </w:rPr>
        <w:t>enseñanza</w:t>
      </w:r>
      <w:r>
        <w:rPr>
          <w:color w:val="231F20"/>
          <w:spacing w:val="-19"/>
          <w:w w:val="105"/>
        </w:rPr>
        <w:t> </w:t>
      </w:r>
      <w:r>
        <w:rPr>
          <w:color w:val="231F20"/>
          <w:spacing w:val="-4"/>
          <w:w w:val="105"/>
        </w:rPr>
        <w:t>del</w:t>
      </w:r>
      <w:r>
        <w:rPr>
          <w:color w:val="231F20"/>
          <w:spacing w:val="-19"/>
          <w:w w:val="105"/>
        </w:rPr>
        <w:t> </w:t>
      </w:r>
      <w:r>
        <w:rPr>
          <w:color w:val="231F20"/>
          <w:w w:val="105"/>
        </w:rPr>
        <w:t>inglés</w:t>
      </w:r>
      <w:r>
        <w:rPr>
          <w:color w:val="231F20"/>
          <w:spacing w:val="-19"/>
          <w:w w:val="105"/>
        </w:rPr>
        <w:t> </w:t>
      </w:r>
      <w:r>
        <w:rPr>
          <w:color w:val="231F20"/>
          <w:spacing w:val="-5"/>
          <w:w w:val="105"/>
        </w:rPr>
        <w:t>cubriendo</w:t>
      </w:r>
      <w:r>
        <w:rPr>
          <w:color w:val="231F20"/>
          <w:spacing w:val="-19"/>
          <w:w w:val="105"/>
        </w:rPr>
        <w:t> </w:t>
      </w:r>
      <w:r>
        <w:rPr>
          <w:color w:val="231F20"/>
          <w:spacing w:val="-4"/>
          <w:w w:val="105"/>
        </w:rPr>
        <w:t>232</w:t>
      </w:r>
      <w:r>
        <w:rPr>
          <w:color w:val="231F20"/>
          <w:spacing w:val="-19"/>
          <w:w w:val="105"/>
        </w:rPr>
        <w:t> </w:t>
      </w:r>
      <w:r>
        <w:rPr>
          <w:color w:val="231F20"/>
          <w:spacing w:val="-3"/>
          <w:w w:val="105"/>
        </w:rPr>
        <w:t>escuelas</w:t>
      </w:r>
      <w:r>
        <w:rPr>
          <w:color w:val="231F20"/>
          <w:spacing w:val="-19"/>
          <w:w w:val="105"/>
        </w:rPr>
        <w:t> </w:t>
      </w:r>
      <w:r>
        <w:rPr>
          <w:color w:val="231F20"/>
          <w:w w:val="105"/>
        </w:rPr>
        <w:t>primarias</w:t>
      </w:r>
      <w:r>
        <w:rPr>
          <w:color w:val="231F20"/>
          <w:spacing w:val="-19"/>
          <w:w w:val="105"/>
        </w:rPr>
        <w:t> </w:t>
      </w:r>
      <w:r>
        <w:rPr>
          <w:color w:val="231F20"/>
          <w:spacing w:val="-3"/>
          <w:w w:val="105"/>
        </w:rPr>
        <w:t>de</w:t>
      </w:r>
      <w:r>
        <w:rPr>
          <w:color w:val="231F20"/>
          <w:spacing w:val="-19"/>
          <w:w w:val="105"/>
        </w:rPr>
        <w:t> </w:t>
      </w:r>
      <w:r>
        <w:rPr>
          <w:color w:val="231F20"/>
          <w:spacing w:val="-3"/>
          <w:w w:val="105"/>
        </w:rPr>
        <w:t>Tlalnepantla.</w:t>
      </w:r>
    </w:p>
    <w:p>
      <w:pPr>
        <w:pStyle w:val="BodyText"/>
        <w:spacing w:before="1"/>
        <w:rPr>
          <w:sz w:val="26"/>
        </w:rPr>
      </w:pPr>
    </w:p>
    <w:p>
      <w:pPr>
        <w:pStyle w:val="BodyText"/>
        <w:spacing w:line="285" w:lineRule="auto"/>
        <w:ind w:left="110" w:right="107"/>
        <w:jc w:val="both"/>
        <w:rPr>
          <w:sz w:val="13"/>
        </w:rPr>
      </w:pPr>
      <w:r>
        <w:rPr>
          <w:color w:val="231F20"/>
          <w:w w:val="105"/>
        </w:rPr>
        <w:t>En</w:t>
      </w:r>
      <w:r>
        <w:rPr>
          <w:color w:val="231F20"/>
          <w:spacing w:val="-14"/>
          <w:w w:val="105"/>
        </w:rPr>
        <w:t> </w:t>
      </w:r>
      <w:r>
        <w:rPr>
          <w:color w:val="231F20"/>
          <w:w w:val="105"/>
        </w:rPr>
        <w:t>educación</w:t>
      </w:r>
      <w:r>
        <w:rPr>
          <w:color w:val="231F20"/>
          <w:spacing w:val="-14"/>
          <w:w w:val="105"/>
        </w:rPr>
        <w:t> </w:t>
      </w:r>
      <w:r>
        <w:rPr>
          <w:color w:val="231F20"/>
          <w:w w:val="105"/>
        </w:rPr>
        <w:t>se</w:t>
      </w:r>
      <w:r>
        <w:rPr>
          <w:color w:val="231F20"/>
          <w:spacing w:val="-14"/>
          <w:w w:val="105"/>
        </w:rPr>
        <w:t> </w:t>
      </w:r>
      <w:r>
        <w:rPr>
          <w:color w:val="231F20"/>
          <w:w w:val="105"/>
        </w:rPr>
        <w:t>llevaron</w:t>
      </w:r>
      <w:r>
        <w:rPr>
          <w:color w:val="231F20"/>
          <w:spacing w:val="-14"/>
          <w:w w:val="105"/>
        </w:rPr>
        <w:t> </w:t>
      </w:r>
      <w:r>
        <w:rPr>
          <w:color w:val="231F20"/>
          <w:w w:val="105"/>
        </w:rPr>
        <w:t>a</w:t>
      </w:r>
      <w:r>
        <w:rPr>
          <w:color w:val="231F20"/>
          <w:spacing w:val="-14"/>
          <w:w w:val="105"/>
        </w:rPr>
        <w:t> </w:t>
      </w:r>
      <w:r>
        <w:rPr>
          <w:color w:val="231F20"/>
          <w:w w:val="105"/>
        </w:rPr>
        <w:t>cabo</w:t>
      </w:r>
      <w:r>
        <w:rPr>
          <w:color w:val="231F20"/>
          <w:spacing w:val="-14"/>
          <w:w w:val="105"/>
        </w:rPr>
        <w:t> </w:t>
      </w:r>
      <w:r>
        <w:rPr>
          <w:color w:val="231F20"/>
          <w:w w:val="105"/>
        </w:rPr>
        <w:t>gastos</w:t>
      </w:r>
      <w:r>
        <w:rPr>
          <w:color w:val="231F20"/>
          <w:spacing w:val="-14"/>
          <w:w w:val="105"/>
        </w:rPr>
        <w:t> </w:t>
      </w:r>
      <w:r>
        <w:rPr>
          <w:color w:val="231F20"/>
          <w:w w:val="105"/>
        </w:rPr>
        <w:t>por</w:t>
      </w:r>
      <w:r>
        <w:rPr>
          <w:color w:val="231F20"/>
          <w:spacing w:val="-14"/>
          <w:w w:val="105"/>
        </w:rPr>
        <w:t> </w:t>
      </w:r>
      <w:r>
        <w:rPr>
          <w:color w:val="231F20"/>
          <w:w w:val="105"/>
        </w:rPr>
        <w:t>un</w:t>
      </w:r>
      <w:r>
        <w:rPr>
          <w:color w:val="231F20"/>
          <w:spacing w:val="-14"/>
          <w:w w:val="105"/>
        </w:rPr>
        <w:t> </w:t>
      </w:r>
      <w:r>
        <w:rPr>
          <w:color w:val="231F20"/>
          <w:spacing w:val="-3"/>
          <w:w w:val="105"/>
        </w:rPr>
        <w:t>monto</w:t>
      </w:r>
      <w:r>
        <w:rPr>
          <w:color w:val="231F20"/>
          <w:spacing w:val="-14"/>
          <w:w w:val="105"/>
        </w:rPr>
        <w:t> </w:t>
      </w:r>
      <w:r>
        <w:rPr>
          <w:color w:val="231F20"/>
          <w:w w:val="105"/>
        </w:rPr>
        <w:t>de</w:t>
      </w:r>
      <w:r>
        <w:rPr>
          <w:color w:val="231F20"/>
          <w:spacing w:val="-14"/>
          <w:w w:val="105"/>
        </w:rPr>
        <w:t> </w:t>
      </w:r>
      <w:r>
        <w:rPr>
          <w:color w:val="231F20"/>
          <w:w w:val="105"/>
        </w:rPr>
        <w:t>92</w:t>
      </w:r>
      <w:r>
        <w:rPr>
          <w:color w:val="231F20"/>
          <w:spacing w:val="-14"/>
          <w:w w:val="105"/>
        </w:rPr>
        <w:t> </w:t>
      </w:r>
      <w:r>
        <w:rPr>
          <w:color w:val="231F20"/>
          <w:w w:val="105"/>
        </w:rPr>
        <w:t>millones</w:t>
      </w:r>
      <w:r>
        <w:rPr>
          <w:color w:val="231F20"/>
          <w:spacing w:val="-14"/>
          <w:w w:val="105"/>
        </w:rPr>
        <w:t> </w:t>
      </w:r>
      <w:r>
        <w:rPr>
          <w:color w:val="231F20"/>
          <w:w w:val="105"/>
        </w:rPr>
        <w:t>508</w:t>
      </w:r>
      <w:r>
        <w:rPr>
          <w:color w:val="231F20"/>
          <w:spacing w:val="-14"/>
          <w:w w:val="105"/>
        </w:rPr>
        <w:t> </w:t>
      </w:r>
      <w:r>
        <w:rPr>
          <w:color w:val="231F20"/>
          <w:spacing w:val="2"/>
          <w:w w:val="105"/>
        </w:rPr>
        <w:t>mil</w:t>
      </w:r>
      <w:r>
        <w:rPr>
          <w:color w:val="231F20"/>
          <w:spacing w:val="-14"/>
          <w:w w:val="105"/>
        </w:rPr>
        <w:t> </w:t>
      </w:r>
      <w:r>
        <w:rPr>
          <w:color w:val="231F20"/>
          <w:w w:val="105"/>
        </w:rPr>
        <w:t>687</w:t>
      </w:r>
      <w:r>
        <w:rPr>
          <w:color w:val="231F20"/>
          <w:spacing w:val="-14"/>
          <w:w w:val="105"/>
        </w:rPr>
        <w:t> </w:t>
      </w:r>
      <w:r>
        <w:rPr>
          <w:color w:val="231F20"/>
          <w:w w:val="105"/>
        </w:rPr>
        <w:t>pesos, en los programas: Inglés para Nuestros Hijos, Estímulos Económicos a la Educación Básica,</w:t>
      </w:r>
      <w:r>
        <w:rPr>
          <w:color w:val="231F20"/>
          <w:spacing w:val="-11"/>
          <w:w w:val="105"/>
        </w:rPr>
        <w:t> </w:t>
      </w:r>
      <w:r>
        <w:rPr>
          <w:color w:val="231F20"/>
          <w:w w:val="105"/>
        </w:rPr>
        <w:t>Destino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Modernización</w:t>
      </w:r>
      <w:r>
        <w:rPr>
          <w:color w:val="231F20"/>
          <w:spacing w:val="-11"/>
          <w:w w:val="105"/>
        </w:rPr>
        <w:t> </w:t>
      </w:r>
      <w:r>
        <w:rPr>
          <w:color w:val="231F20"/>
          <w:w w:val="105"/>
        </w:rPr>
        <w:t>Educativa,</w:t>
      </w:r>
      <w:r>
        <w:rPr>
          <w:color w:val="231F20"/>
          <w:spacing w:val="-11"/>
          <w:w w:val="105"/>
        </w:rPr>
        <w:t> </w:t>
      </w:r>
      <w:r>
        <w:rPr>
          <w:color w:val="231F20"/>
          <w:w w:val="105"/>
        </w:rPr>
        <w:t>y</w:t>
      </w:r>
      <w:r>
        <w:rPr>
          <w:color w:val="231F20"/>
          <w:spacing w:val="-11"/>
          <w:w w:val="105"/>
        </w:rPr>
        <w:t> </w:t>
      </w:r>
      <w:r>
        <w:rPr>
          <w:color w:val="231F20"/>
          <w:w w:val="105"/>
        </w:rPr>
        <w:t>Escuelas</w:t>
      </w:r>
      <w:r>
        <w:rPr>
          <w:color w:val="231F20"/>
          <w:spacing w:val="-11"/>
          <w:w w:val="105"/>
        </w:rPr>
        <w:t> </w:t>
      </w:r>
      <w:r>
        <w:rPr>
          <w:color w:val="231F20"/>
          <w:w w:val="105"/>
        </w:rPr>
        <w:t>Dignas.</w:t>
      </w:r>
      <w:r>
        <w:rPr>
          <w:color w:val="231F20"/>
          <w:spacing w:val="-11"/>
          <w:w w:val="105"/>
        </w:rPr>
        <w:t> </w:t>
      </w:r>
      <w:r>
        <w:rPr>
          <w:color w:val="231F20"/>
          <w:w w:val="105"/>
        </w:rPr>
        <w:t>En</w:t>
      </w:r>
      <w:r>
        <w:rPr>
          <w:color w:val="231F20"/>
          <w:spacing w:val="-11"/>
          <w:w w:val="105"/>
        </w:rPr>
        <w:t> </w:t>
      </w:r>
      <w:r>
        <w:rPr>
          <w:color w:val="231F20"/>
          <w:w w:val="105"/>
        </w:rPr>
        <w:t>cuanto</w:t>
      </w:r>
      <w:r>
        <w:rPr>
          <w:color w:val="231F20"/>
          <w:spacing w:val="-11"/>
          <w:w w:val="105"/>
        </w:rPr>
        <w:t> </w:t>
      </w:r>
      <w:r>
        <w:rPr>
          <w:color w:val="231F20"/>
          <w:spacing w:val="2"/>
          <w:w w:val="105"/>
        </w:rPr>
        <w:t>al</w:t>
      </w:r>
      <w:r>
        <w:rPr>
          <w:color w:val="231F20"/>
          <w:spacing w:val="-11"/>
          <w:w w:val="105"/>
        </w:rPr>
        <w:t> </w:t>
      </w:r>
      <w:r>
        <w:rPr>
          <w:color w:val="231F20"/>
          <w:w w:val="105"/>
        </w:rPr>
        <w:t>primer programa,</w:t>
      </w:r>
      <w:r>
        <w:rPr>
          <w:color w:val="231F20"/>
          <w:spacing w:val="-10"/>
          <w:w w:val="105"/>
        </w:rPr>
        <w:t> </w:t>
      </w:r>
      <w:r>
        <w:rPr>
          <w:color w:val="231F20"/>
          <w:w w:val="105"/>
        </w:rPr>
        <w:t>los</w:t>
      </w:r>
      <w:r>
        <w:rPr>
          <w:color w:val="231F20"/>
          <w:spacing w:val="-10"/>
          <w:w w:val="105"/>
        </w:rPr>
        <w:t> </w:t>
      </w:r>
      <w:r>
        <w:rPr>
          <w:color w:val="231F20"/>
          <w:w w:val="105"/>
        </w:rPr>
        <w:t>resultados</w:t>
      </w:r>
      <w:r>
        <w:rPr>
          <w:color w:val="231F20"/>
          <w:spacing w:val="-10"/>
          <w:w w:val="105"/>
        </w:rPr>
        <w:t> </w:t>
      </w:r>
      <w:r>
        <w:rPr>
          <w:color w:val="231F20"/>
          <w:w w:val="105"/>
        </w:rPr>
        <w:t>finales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gestión</w:t>
      </w:r>
      <w:r>
        <w:rPr>
          <w:color w:val="231F20"/>
          <w:spacing w:val="-10"/>
          <w:w w:val="105"/>
        </w:rPr>
        <w:t> </w:t>
      </w:r>
      <w:r>
        <w:rPr>
          <w:color w:val="231F20"/>
          <w:w w:val="105"/>
        </w:rPr>
        <w:t>fueron</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100%</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alumnos</w:t>
      </w:r>
      <w:r>
        <w:rPr>
          <w:color w:val="231F20"/>
          <w:spacing w:val="-10"/>
          <w:w w:val="105"/>
        </w:rPr>
        <w:t> </w:t>
      </w:r>
      <w:r>
        <w:rPr>
          <w:color w:val="231F20"/>
          <w:w w:val="105"/>
        </w:rPr>
        <w:t>del</w:t>
      </w:r>
      <w:r>
        <w:rPr>
          <w:color w:val="231F20"/>
          <w:spacing w:val="-10"/>
          <w:w w:val="105"/>
        </w:rPr>
        <w:t> </w:t>
      </w:r>
      <w:r>
        <w:rPr>
          <w:color w:val="231F20"/>
          <w:w w:val="105"/>
        </w:rPr>
        <w:t>6º grado</w:t>
      </w:r>
      <w:r>
        <w:rPr>
          <w:color w:val="231F20"/>
          <w:spacing w:val="-12"/>
          <w:w w:val="105"/>
        </w:rPr>
        <w:t> </w:t>
      </w:r>
      <w:r>
        <w:rPr>
          <w:color w:val="231F20"/>
          <w:w w:val="105"/>
        </w:rPr>
        <w:t>del</w:t>
      </w:r>
      <w:r>
        <w:rPr>
          <w:color w:val="231F20"/>
          <w:spacing w:val="-12"/>
          <w:w w:val="105"/>
        </w:rPr>
        <w:t> </w:t>
      </w:r>
      <w:r>
        <w:rPr>
          <w:color w:val="231F20"/>
          <w:w w:val="105"/>
        </w:rPr>
        <w:t>total</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escuelas</w:t>
      </w:r>
      <w:r>
        <w:rPr>
          <w:color w:val="231F20"/>
          <w:spacing w:val="-12"/>
          <w:w w:val="105"/>
        </w:rPr>
        <w:t> </w:t>
      </w:r>
      <w:r>
        <w:rPr>
          <w:color w:val="231F20"/>
          <w:w w:val="105"/>
        </w:rPr>
        <w:t>primarias</w:t>
      </w:r>
      <w:r>
        <w:rPr>
          <w:color w:val="231F20"/>
          <w:spacing w:val="-12"/>
          <w:w w:val="105"/>
        </w:rPr>
        <w:t> </w:t>
      </w:r>
      <w:r>
        <w:rPr>
          <w:color w:val="231F20"/>
          <w:w w:val="105"/>
        </w:rPr>
        <w:t>oficiales,</w:t>
      </w:r>
      <w:r>
        <w:rPr>
          <w:color w:val="231F20"/>
          <w:spacing w:val="-12"/>
          <w:w w:val="105"/>
        </w:rPr>
        <w:t> </w:t>
      </w:r>
      <w:r>
        <w:rPr>
          <w:color w:val="231F20"/>
          <w:w w:val="105"/>
        </w:rPr>
        <w:t>egresaron</w:t>
      </w:r>
      <w:r>
        <w:rPr>
          <w:color w:val="231F20"/>
          <w:spacing w:val="-12"/>
          <w:w w:val="105"/>
        </w:rPr>
        <w:t> </w:t>
      </w:r>
      <w:r>
        <w:rPr>
          <w:color w:val="231F20"/>
          <w:w w:val="105"/>
        </w:rPr>
        <w:t>con</w:t>
      </w:r>
      <w:r>
        <w:rPr>
          <w:color w:val="231F20"/>
          <w:spacing w:val="-12"/>
          <w:w w:val="105"/>
        </w:rPr>
        <w:t> </w:t>
      </w:r>
      <w:r>
        <w:rPr>
          <w:color w:val="231F20"/>
          <w:w w:val="105"/>
        </w:rPr>
        <w:t>un</w:t>
      </w:r>
      <w:r>
        <w:rPr>
          <w:color w:val="231F20"/>
          <w:spacing w:val="-12"/>
          <w:w w:val="105"/>
        </w:rPr>
        <w:t> </w:t>
      </w:r>
      <w:r>
        <w:rPr>
          <w:color w:val="231F20"/>
          <w:w w:val="105"/>
        </w:rPr>
        <w:t>curso</w:t>
      </w:r>
      <w:r>
        <w:rPr>
          <w:color w:val="231F20"/>
          <w:spacing w:val="-12"/>
          <w:w w:val="105"/>
        </w:rPr>
        <w:t> </w:t>
      </w:r>
      <w:r>
        <w:rPr>
          <w:color w:val="231F20"/>
          <w:w w:val="105"/>
        </w:rPr>
        <w:t>propedéutico de inglés (lo que no es lo mismo que tengan una sólida enseñanza de inglés como</w:t>
      </w:r>
      <w:r>
        <w:rPr>
          <w:color w:val="231F20"/>
          <w:spacing w:val="-29"/>
          <w:w w:val="105"/>
        </w:rPr>
        <w:t> </w:t>
      </w:r>
      <w:r>
        <w:rPr>
          <w:color w:val="231F20"/>
          <w:spacing w:val="-3"/>
          <w:w w:val="105"/>
        </w:rPr>
        <w:t>mu- </w:t>
      </w:r>
      <w:r>
        <w:rPr>
          <w:color w:val="231F20"/>
          <w:w w:val="105"/>
        </w:rPr>
        <w:t>chas</w:t>
      </w:r>
      <w:r>
        <w:rPr>
          <w:color w:val="231F20"/>
          <w:spacing w:val="-14"/>
          <w:w w:val="105"/>
        </w:rPr>
        <w:t> </w:t>
      </w:r>
      <w:r>
        <w:rPr>
          <w:color w:val="231F20"/>
          <w:w w:val="105"/>
        </w:rPr>
        <w:t>veces</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querido</w:t>
      </w:r>
      <w:r>
        <w:rPr>
          <w:color w:val="231F20"/>
          <w:spacing w:val="-14"/>
          <w:w w:val="105"/>
        </w:rPr>
        <w:t> </w:t>
      </w:r>
      <w:r>
        <w:rPr>
          <w:color w:val="231F20"/>
          <w:w w:val="105"/>
        </w:rPr>
        <w:t>hacer</w:t>
      </w:r>
      <w:r>
        <w:rPr>
          <w:color w:val="231F20"/>
          <w:spacing w:val="-14"/>
          <w:w w:val="105"/>
        </w:rPr>
        <w:t> </w:t>
      </w:r>
      <w:r>
        <w:rPr>
          <w:color w:val="231F20"/>
          <w:spacing w:val="-3"/>
          <w:w w:val="105"/>
        </w:rPr>
        <w:t>creer).</w:t>
      </w:r>
      <w:r>
        <w:rPr>
          <w:color w:val="231F20"/>
          <w:spacing w:val="-14"/>
          <w:w w:val="105"/>
        </w:rPr>
        <w:t> </w:t>
      </w:r>
      <w:r>
        <w:rPr>
          <w:color w:val="231F20"/>
          <w:spacing w:val="2"/>
          <w:w w:val="105"/>
        </w:rPr>
        <w:t>Existían</w:t>
      </w:r>
      <w:r>
        <w:rPr>
          <w:color w:val="231F20"/>
          <w:spacing w:val="-14"/>
          <w:w w:val="105"/>
        </w:rPr>
        <w:t> </w:t>
      </w:r>
      <w:r>
        <w:rPr>
          <w:color w:val="231F20"/>
          <w:w w:val="105"/>
        </w:rPr>
        <w:t>en</w:t>
      </w:r>
      <w:r>
        <w:rPr>
          <w:color w:val="231F20"/>
          <w:spacing w:val="-14"/>
          <w:w w:val="105"/>
        </w:rPr>
        <w:t> </w:t>
      </w:r>
      <w:r>
        <w:rPr>
          <w:color w:val="231F20"/>
          <w:w w:val="105"/>
        </w:rPr>
        <w:t>ese</w:t>
      </w:r>
      <w:r>
        <w:rPr>
          <w:color w:val="231F20"/>
          <w:spacing w:val="-14"/>
          <w:w w:val="105"/>
        </w:rPr>
        <w:t> </w:t>
      </w:r>
      <w:r>
        <w:rPr>
          <w:color w:val="231F20"/>
          <w:w w:val="105"/>
        </w:rPr>
        <w:t>entonces,</w:t>
      </w:r>
      <w:r>
        <w:rPr>
          <w:color w:val="231F20"/>
          <w:spacing w:val="-14"/>
          <w:w w:val="105"/>
        </w:rPr>
        <w:t> </w:t>
      </w:r>
      <w:r>
        <w:rPr>
          <w:color w:val="231F20"/>
          <w:w w:val="105"/>
        </w:rPr>
        <w:t>un</w:t>
      </w:r>
      <w:r>
        <w:rPr>
          <w:color w:val="231F20"/>
          <w:spacing w:val="-14"/>
          <w:w w:val="105"/>
        </w:rPr>
        <w:t> </w:t>
      </w:r>
      <w:r>
        <w:rPr>
          <w:color w:val="231F20"/>
          <w:w w:val="105"/>
        </w:rPr>
        <w:t>total</w:t>
      </w:r>
      <w:r>
        <w:rPr>
          <w:color w:val="231F20"/>
          <w:spacing w:val="-14"/>
          <w:w w:val="105"/>
        </w:rPr>
        <w:t> </w:t>
      </w:r>
      <w:r>
        <w:rPr>
          <w:color w:val="231F20"/>
          <w:w w:val="105"/>
        </w:rPr>
        <w:t>de</w:t>
      </w:r>
      <w:r>
        <w:rPr>
          <w:color w:val="231F20"/>
          <w:spacing w:val="-14"/>
          <w:w w:val="105"/>
        </w:rPr>
        <w:t> </w:t>
      </w:r>
      <w:r>
        <w:rPr>
          <w:color w:val="231F20"/>
          <w:w w:val="105"/>
        </w:rPr>
        <w:t>450</w:t>
      </w:r>
      <w:r>
        <w:rPr>
          <w:color w:val="231F20"/>
          <w:spacing w:val="-14"/>
          <w:w w:val="105"/>
        </w:rPr>
        <w:t> </w:t>
      </w:r>
      <w:r>
        <w:rPr>
          <w:color w:val="231F20"/>
          <w:w w:val="105"/>
        </w:rPr>
        <w:t>escuelas primarias públicas de Tlalnepantla, y es interesante hacer notar que anteriormente el programa de inglés existía en primarias públicas, sin embargo, el costo era asimilado por</w:t>
      </w:r>
      <w:r>
        <w:rPr>
          <w:color w:val="231F20"/>
          <w:spacing w:val="-12"/>
          <w:w w:val="105"/>
        </w:rPr>
        <w:t> </w:t>
      </w:r>
      <w:r>
        <w:rPr>
          <w:color w:val="231F20"/>
          <w:w w:val="105"/>
        </w:rPr>
        <w:t>los</w:t>
      </w:r>
      <w:r>
        <w:rPr>
          <w:color w:val="231F20"/>
          <w:spacing w:val="-12"/>
          <w:w w:val="105"/>
        </w:rPr>
        <w:t> </w:t>
      </w:r>
      <w:r>
        <w:rPr>
          <w:color w:val="231F20"/>
          <w:w w:val="105"/>
        </w:rPr>
        <w:t>padres</w:t>
      </w:r>
      <w:r>
        <w:rPr>
          <w:color w:val="231F20"/>
          <w:spacing w:val="-12"/>
          <w:w w:val="105"/>
        </w:rPr>
        <w:t> </w:t>
      </w:r>
      <w:r>
        <w:rPr>
          <w:color w:val="231F20"/>
          <w:w w:val="105"/>
        </w:rPr>
        <w:t>de</w:t>
      </w:r>
      <w:r>
        <w:rPr>
          <w:color w:val="231F20"/>
          <w:spacing w:val="-12"/>
          <w:w w:val="105"/>
        </w:rPr>
        <w:t> </w:t>
      </w:r>
      <w:r>
        <w:rPr>
          <w:color w:val="231F20"/>
          <w:w w:val="105"/>
        </w:rPr>
        <w:t>familia,</w:t>
      </w:r>
      <w:r>
        <w:rPr>
          <w:color w:val="231F20"/>
          <w:spacing w:val="-12"/>
          <w:w w:val="105"/>
        </w:rPr>
        <w:t> </w:t>
      </w:r>
      <w:r>
        <w:rPr>
          <w:color w:val="231F20"/>
          <w:w w:val="105"/>
        </w:rPr>
        <w:t>no</w:t>
      </w:r>
      <w:r>
        <w:rPr>
          <w:color w:val="231F20"/>
          <w:spacing w:val="-12"/>
          <w:w w:val="105"/>
        </w:rPr>
        <w:t> </w:t>
      </w:r>
      <w:r>
        <w:rPr>
          <w:color w:val="231F20"/>
          <w:w w:val="105"/>
        </w:rPr>
        <w:t>por</w:t>
      </w:r>
      <w:r>
        <w:rPr>
          <w:color w:val="231F20"/>
          <w:spacing w:val="-12"/>
          <w:w w:val="105"/>
        </w:rPr>
        <w:t> </w:t>
      </w:r>
      <w:r>
        <w:rPr>
          <w:color w:val="231F20"/>
          <w:w w:val="105"/>
        </w:rPr>
        <w:t>el</w:t>
      </w:r>
      <w:r>
        <w:rPr>
          <w:color w:val="231F20"/>
          <w:spacing w:val="-12"/>
          <w:w w:val="105"/>
        </w:rPr>
        <w:t> </w:t>
      </w:r>
      <w:r>
        <w:rPr>
          <w:color w:val="231F20"/>
          <w:spacing w:val="-3"/>
          <w:w w:val="105"/>
        </w:rPr>
        <w:t>gobierno</w:t>
      </w:r>
      <w:r>
        <w:rPr>
          <w:color w:val="231F20"/>
          <w:spacing w:val="-3"/>
          <w:w w:val="105"/>
          <w:position w:val="7"/>
          <w:sz w:val="13"/>
        </w:rPr>
        <w:t>18.</w:t>
      </w:r>
    </w:p>
    <w:p>
      <w:pPr>
        <w:pStyle w:val="BodyText"/>
        <w:rPr>
          <w:sz w:val="26"/>
        </w:rPr>
      </w:pPr>
    </w:p>
    <w:p>
      <w:pPr>
        <w:pStyle w:val="BodyText"/>
        <w:spacing w:line="285" w:lineRule="auto"/>
        <w:ind w:left="110" w:right="107"/>
        <w:jc w:val="both"/>
      </w:pPr>
      <w:r>
        <w:rPr/>
        <w:pict>
          <v:line style="position:absolute;mso-position-horizontal-relative:page;mso-position-vertical-relative:paragraph;z-index:10600;mso-wrap-distance-left:0;mso-wrap-distance-right:0" from="42.519699pt,125.272232pt" to="114.519699pt,125.272232pt" stroked="true" strokeweight="1pt" strokecolor="#231f20">
            <w10:wrap type="topAndBottom"/>
          </v:line>
        </w:pict>
      </w:r>
      <w:r>
        <w:rPr>
          <w:color w:val="231F20"/>
          <w:spacing w:val="-3"/>
          <w:w w:val="105"/>
        </w:rPr>
        <w:t>Retomando </w:t>
      </w:r>
      <w:r>
        <w:rPr>
          <w:color w:val="231F20"/>
          <w:w w:val="105"/>
        </w:rPr>
        <w:t>la </w:t>
      </w:r>
      <w:r>
        <w:rPr>
          <w:color w:val="231F20"/>
          <w:spacing w:val="-3"/>
          <w:w w:val="105"/>
        </w:rPr>
        <w:t>cuestión </w:t>
      </w:r>
      <w:r>
        <w:rPr>
          <w:color w:val="231F20"/>
          <w:w w:val="105"/>
        </w:rPr>
        <w:t>de la </w:t>
      </w:r>
      <w:r>
        <w:rPr>
          <w:color w:val="231F20"/>
          <w:spacing w:val="-3"/>
          <w:w w:val="105"/>
        </w:rPr>
        <w:t>modernización </w:t>
      </w:r>
      <w:r>
        <w:rPr>
          <w:color w:val="231F20"/>
          <w:w w:val="105"/>
        </w:rPr>
        <w:t>administrativa, es importante </w:t>
      </w:r>
      <w:r>
        <w:rPr>
          <w:color w:val="231F20"/>
          <w:spacing w:val="-3"/>
          <w:w w:val="105"/>
        </w:rPr>
        <w:t>destacar, que dentro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spacing w:val="-4"/>
          <w:w w:val="105"/>
        </w:rPr>
        <w:t>acciones</w:t>
      </w:r>
      <w:r>
        <w:rPr>
          <w:color w:val="231F20"/>
          <w:spacing w:val="-6"/>
          <w:w w:val="105"/>
        </w:rPr>
        <w:t> </w:t>
      </w:r>
      <w:r>
        <w:rPr>
          <w:color w:val="231F20"/>
          <w:w w:val="105"/>
        </w:rPr>
        <w:t>de</w:t>
      </w:r>
      <w:r>
        <w:rPr>
          <w:color w:val="231F20"/>
          <w:spacing w:val="-6"/>
          <w:w w:val="105"/>
        </w:rPr>
        <w:t> </w:t>
      </w:r>
      <w:r>
        <w:rPr>
          <w:color w:val="231F20"/>
          <w:w w:val="105"/>
        </w:rPr>
        <w:t>esta</w:t>
      </w:r>
      <w:r>
        <w:rPr>
          <w:color w:val="231F20"/>
          <w:spacing w:val="-6"/>
          <w:w w:val="105"/>
        </w:rPr>
        <w:t> </w:t>
      </w:r>
      <w:r>
        <w:rPr>
          <w:color w:val="231F20"/>
          <w:spacing w:val="-3"/>
          <w:w w:val="105"/>
        </w:rPr>
        <w:t>gestión</w:t>
      </w:r>
      <w:r>
        <w:rPr>
          <w:color w:val="231F20"/>
          <w:spacing w:val="-6"/>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spacing w:val="-3"/>
          <w:w w:val="105"/>
        </w:rPr>
        <w:t>tema,</w:t>
      </w:r>
      <w:r>
        <w:rPr>
          <w:color w:val="231F20"/>
          <w:spacing w:val="-6"/>
          <w:w w:val="105"/>
        </w:rPr>
        <w:t> </w:t>
      </w:r>
      <w:r>
        <w:rPr>
          <w:color w:val="231F20"/>
          <w:w w:val="105"/>
        </w:rPr>
        <w:t>se</w:t>
      </w:r>
      <w:r>
        <w:rPr>
          <w:color w:val="231F20"/>
          <w:spacing w:val="-6"/>
          <w:w w:val="105"/>
        </w:rPr>
        <w:t> </w:t>
      </w:r>
      <w:r>
        <w:rPr>
          <w:color w:val="231F20"/>
          <w:w w:val="105"/>
        </w:rPr>
        <w:t>encuentran:</w:t>
      </w:r>
      <w:r>
        <w:rPr>
          <w:color w:val="231F20"/>
          <w:spacing w:val="-6"/>
          <w:w w:val="105"/>
        </w:rPr>
        <w:t> </w:t>
      </w:r>
      <w:r>
        <w:rPr>
          <w:color w:val="231F20"/>
          <w:w w:val="105"/>
        </w:rPr>
        <w:t>la</w:t>
      </w:r>
      <w:r>
        <w:rPr>
          <w:color w:val="231F20"/>
          <w:spacing w:val="-6"/>
          <w:w w:val="105"/>
        </w:rPr>
        <w:t> </w:t>
      </w:r>
      <w:r>
        <w:rPr>
          <w:color w:val="231F20"/>
          <w:spacing w:val="-4"/>
          <w:w w:val="105"/>
        </w:rPr>
        <w:t>aprobación</w:t>
      </w:r>
      <w:r>
        <w:rPr>
          <w:color w:val="231F20"/>
          <w:spacing w:val="-6"/>
          <w:w w:val="105"/>
        </w:rPr>
        <w:t> </w:t>
      </w:r>
      <w:r>
        <w:rPr>
          <w:color w:val="231F20"/>
          <w:spacing w:val="-3"/>
          <w:w w:val="105"/>
        </w:rPr>
        <w:t>del</w:t>
      </w:r>
      <w:r>
        <w:rPr>
          <w:color w:val="231F20"/>
          <w:spacing w:val="-6"/>
          <w:w w:val="105"/>
        </w:rPr>
        <w:t> </w:t>
      </w:r>
      <w:r>
        <w:rPr>
          <w:color w:val="231F20"/>
          <w:spacing w:val="-4"/>
          <w:w w:val="105"/>
        </w:rPr>
        <w:t>Re- </w:t>
      </w:r>
      <w:r>
        <w:rPr>
          <w:color w:val="231F20"/>
          <w:w w:val="105"/>
        </w:rPr>
        <w:t>glamento</w:t>
      </w:r>
      <w:r>
        <w:rPr>
          <w:color w:val="231F20"/>
          <w:spacing w:val="-16"/>
          <w:w w:val="105"/>
        </w:rPr>
        <w:t> </w:t>
      </w:r>
      <w:r>
        <w:rPr>
          <w:color w:val="231F20"/>
          <w:w w:val="105"/>
        </w:rPr>
        <w:t>de</w:t>
      </w:r>
      <w:r>
        <w:rPr>
          <w:color w:val="231F20"/>
          <w:spacing w:val="-16"/>
          <w:w w:val="105"/>
        </w:rPr>
        <w:t> </w:t>
      </w:r>
      <w:r>
        <w:rPr>
          <w:color w:val="231F20"/>
          <w:w w:val="105"/>
        </w:rPr>
        <w:t>Servicio</w:t>
      </w:r>
      <w:r>
        <w:rPr>
          <w:color w:val="231F20"/>
          <w:spacing w:val="-16"/>
          <w:w w:val="105"/>
        </w:rPr>
        <w:t> </w:t>
      </w:r>
      <w:r>
        <w:rPr>
          <w:color w:val="231F20"/>
          <w:w w:val="105"/>
        </w:rPr>
        <w:t>Civil</w:t>
      </w:r>
      <w:r>
        <w:rPr>
          <w:color w:val="231F20"/>
          <w:spacing w:val="-16"/>
          <w:w w:val="105"/>
        </w:rPr>
        <w:t> </w:t>
      </w:r>
      <w:r>
        <w:rPr>
          <w:color w:val="231F20"/>
          <w:w w:val="105"/>
        </w:rPr>
        <w:t>de</w:t>
      </w:r>
      <w:r>
        <w:rPr>
          <w:color w:val="231F20"/>
          <w:spacing w:val="-16"/>
          <w:w w:val="105"/>
        </w:rPr>
        <w:t> </w:t>
      </w:r>
      <w:r>
        <w:rPr>
          <w:color w:val="231F20"/>
          <w:w w:val="105"/>
        </w:rPr>
        <w:t>Carrera;</w:t>
      </w:r>
      <w:r>
        <w:rPr>
          <w:color w:val="231F20"/>
          <w:spacing w:val="-16"/>
          <w:w w:val="105"/>
        </w:rPr>
        <w:t> </w:t>
      </w:r>
      <w:r>
        <w:rPr>
          <w:color w:val="231F20"/>
          <w:w w:val="105"/>
        </w:rPr>
        <w:t>la</w:t>
      </w:r>
      <w:r>
        <w:rPr>
          <w:color w:val="231F20"/>
          <w:spacing w:val="-16"/>
          <w:w w:val="105"/>
        </w:rPr>
        <w:t> </w:t>
      </w:r>
      <w:r>
        <w:rPr>
          <w:color w:val="231F20"/>
          <w:spacing w:val="-3"/>
          <w:w w:val="105"/>
        </w:rPr>
        <w:t>revisión</w:t>
      </w:r>
      <w:r>
        <w:rPr>
          <w:color w:val="231F20"/>
          <w:spacing w:val="-16"/>
          <w:w w:val="105"/>
        </w:rPr>
        <w:t> </w:t>
      </w:r>
      <w:r>
        <w:rPr>
          <w:color w:val="231F20"/>
          <w:w w:val="105"/>
        </w:rPr>
        <w:t>y</w:t>
      </w:r>
      <w:r>
        <w:rPr>
          <w:color w:val="231F20"/>
          <w:spacing w:val="-16"/>
          <w:w w:val="105"/>
        </w:rPr>
        <w:t> </w:t>
      </w:r>
      <w:r>
        <w:rPr>
          <w:color w:val="231F20"/>
          <w:spacing w:val="-4"/>
          <w:w w:val="105"/>
        </w:rPr>
        <w:t>aprobación</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spacing w:val="-4"/>
          <w:w w:val="105"/>
        </w:rPr>
        <w:t>nuevo</w:t>
      </w:r>
      <w:r>
        <w:rPr>
          <w:color w:val="231F20"/>
          <w:spacing w:val="-16"/>
          <w:w w:val="105"/>
        </w:rPr>
        <w:t> </w:t>
      </w:r>
      <w:r>
        <w:rPr>
          <w:color w:val="231F20"/>
          <w:spacing w:val="-3"/>
          <w:w w:val="105"/>
        </w:rPr>
        <w:t>tabulador</w:t>
      </w:r>
      <w:r>
        <w:rPr>
          <w:color w:val="231F20"/>
          <w:spacing w:val="-16"/>
          <w:w w:val="105"/>
        </w:rPr>
        <w:t> </w:t>
      </w:r>
      <w:r>
        <w:rPr>
          <w:color w:val="231F20"/>
          <w:w w:val="105"/>
        </w:rPr>
        <w:t>de </w:t>
      </w:r>
      <w:r>
        <w:rPr>
          <w:color w:val="231F20"/>
          <w:spacing w:val="-4"/>
          <w:w w:val="105"/>
        </w:rPr>
        <w:t>sueldos;</w:t>
      </w:r>
      <w:r>
        <w:rPr>
          <w:color w:val="231F20"/>
          <w:spacing w:val="-12"/>
          <w:w w:val="105"/>
        </w:rPr>
        <w:t> </w:t>
      </w:r>
      <w:r>
        <w:rPr>
          <w:color w:val="231F20"/>
          <w:w w:val="105"/>
        </w:rPr>
        <w:t>la</w:t>
      </w:r>
      <w:r>
        <w:rPr>
          <w:color w:val="231F20"/>
          <w:spacing w:val="-12"/>
          <w:w w:val="105"/>
        </w:rPr>
        <w:t> </w:t>
      </w:r>
      <w:r>
        <w:rPr>
          <w:color w:val="231F20"/>
          <w:w w:val="105"/>
        </w:rPr>
        <w:t>actualización</w:t>
      </w:r>
      <w:r>
        <w:rPr>
          <w:color w:val="231F20"/>
          <w:spacing w:val="-12"/>
          <w:w w:val="105"/>
        </w:rPr>
        <w:t> </w:t>
      </w:r>
      <w:r>
        <w:rPr>
          <w:color w:val="231F20"/>
          <w:spacing w:val="-3"/>
          <w:w w:val="105"/>
        </w:rPr>
        <w:t>del</w:t>
      </w:r>
      <w:r>
        <w:rPr>
          <w:color w:val="231F20"/>
          <w:spacing w:val="-12"/>
          <w:w w:val="105"/>
        </w:rPr>
        <w:t> </w:t>
      </w:r>
      <w:r>
        <w:rPr>
          <w:color w:val="231F20"/>
          <w:w w:val="105"/>
        </w:rPr>
        <w:t>equipo</w:t>
      </w:r>
      <w:r>
        <w:rPr>
          <w:color w:val="231F20"/>
          <w:spacing w:val="-12"/>
          <w:w w:val="105"/>
        </w:rPr>
        <w:t> </w:t>
      </w:r>
      <w:r>
        <w:rPr>
          <w:color w:val="231F20"/>
          <w:spacing w:val="-4"/>
          <w:w w:val="105"/>
        </w:rPr>
        <w:t>telefónico;</w:t>
      </w:r>
      <w:r>
        <w:rPr>
          <w:color w:val="231F20"/>
          <w:spacing w:val="-12"/>
          <w:w w:val="105"/>
        </w:rPr>
        <w:t> </w:t>
      </w:r>
      <w:r>
        <w:rPr>
          <w:color w:val="231F20"/>
          <w:spacing w:val="-3"/>
          <w:w w:val="105"/>
        </w:rPr>
        <w:t>que</w:t>
      </w:r>
      <w:r>
        <w:rPr>
          <w:color w:val="231F20"/>
          <w:spacing w:val="-12"/>
          <w:w w:val="105"/>
        </w:rPr>
        <w:t> </w:t>
      </w:r>
      <w:r>
        <w:rPr>
          <w:color w:val="231F20"/>
          <w:w w:val="105"/>
        </w:rPr>
        <w:t>a</w:t>
      </w:r>
      <w:r>
        <w:rPr>
          <w:color w:val="231F20"/>
          <w:spacing w:val="-12"/>
          <w:w w:val="105"/>
        </w:rPr>
        <w:t> </w:t>
      </w:r>
      <w:r>
        <w:rPr>
          <w:color w:val="231F20"/>
          <w:w w:val="105"/>
        </w:rPr>
        <w:t>partir</w:t>
      </w:r>
      <w:r>
        <w:rPr>
          <w:color w:val="231F20"/>
          <w:spacing w:val="-12"/>
          <w:w w:val="105"/>
        </w:rPr>
        <w:t> </w:t>
      </w:r>
      <w:r>
        <w:rPr>
          <w:color w:val="231F20"/>
          <w:spacing w:val="-3"/>
          <w:w w:val="105"/>
        </w:rPr>
        <w:t>del</w:t>
      </w:r>
      <w:r>
        <w:rPr>
          <w:color w:val="231F20"/>
          <w:spacing w:val="-12"/>
          <w:w w:val="105"/>
        </w:rPr>
        <w:t> </w:t>
      </w:r>
      <w:r>
        <w:rPr>
          <w:color w:val="231F20"/>
          <w:w w:val="105"/>
        </w:rPr>
        <w:t>23</w:t>
      </w:r>
      <w:r>
        <w:rPr>
          <w:color w:val="231F20"/>
          <w:spacing w:val="-12"/>
          <w:w w:val="105"/>
        </w:rPr>
        <w:t> </w:t>
      </w:r>
      <w:r>
        <w:rPr>
          <w:color w:val="231F20"/>
          <w:w w:val="105"/>
        </w:rPr>
        <w:t>de</w:t>
      </w:r>
      <w:r>
        <w:rPr>
          <w:color w:val="231F20"/>
          <w:spacing w:val="-12"/>
          <w:w w:val="105"/>
        </w:rPr>
        <w:t> </w:t>
      </w:r>
      <w:r>
        <w:rPr>
          <w:color w:val="231F20"/>
          <w:spacing w:val="-4"/>
          <w:w w:val="105"/>
        </w:rPr>
        <w:t>mayo</w:t>
      </w:r>
      <w:r>
        <w:rPr>
          <w:color w:val="231F20"/>
          <w:spacing w:val="-12"/>
          <w:w w:val="105"/>
        </w:rPr>
        <w:t> </w:t>
      </w:r>
      <w:r>
        <w:rPr>
          <w:color w:val="231F20"/>
          <w:spacing w:val="-3"/>
          <w:w w:val="105"/>
        </w:rPr>
        <w:t>del</w:t>
      </w:r>
      <w:r>
        <w:rPr>
          <w:color w:val="231F20"/>
          <w:spacing w:val="-12"/>
          <w:w w:val="105"/>
        </w:rPr>
        <w:t> </w:t>
      </w:r>
      <w:r>
        <w:rPr>
          <w:color w:val="231F20"/>
          <w:w w:val="105"/>
        </w:rPr>
        <w:t>2005,</w:t>
      </w:r>
      <w:r>
        <w:rPr>
          <w:color w:val="231F20"/>
          <w:spacing w:val="-12"/>
          <w:w w:val="105"/>
        </w:rPr>
        <w:t> </w:t>
      </w:r>
      <w:r>
        <w:rPr>
          <w:color w:val="231F20"/>
          <w:spacing w:val="-6"/>
          <w:w w:val="105"/>
        </w:rPr>
        <w:t>for- </w:t>
      </w:r>
      <w:r>
        <w:rPr>
          <w:color w:val="231F20"/>
          <w:w w:val="105"/>
        </w:rPr>
        <w:t>ma</w:t>
      </w:r>
      <w:r>
        <w:rPr>
          <w:color w:val="231F20"/>
          <w:spacing w:val="-18"/>
          <w:w w:val="105"/>
        </w:rPr>
        <w:t> </w:t>
      </w:r>
      <w:r>
        <w:rPr>
          <w:color w:val="231F20"/>
          <w:w w:val="105"/>
        </w:rPr>
        <w:t>parte</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Red</w:t>
      </w:r>
      <w:r>
        <w:rPr>
          <w:color w:val="231F20"/>
          <w:spacing w:val="-18"/>
          <w:w w:val="105"/>
        </w:rPr>
        <w:t> </w:t>
      </w:r>
      <w:r>
        <w:rPr>
          <w:color w:val="231F20"/>
          <w:w w:val="105"/>
        </w:rPr>
        <w:t>Mundial</w:t>
      </w:r>
      <w:r>
        <w:rPr>
          <w:color w:val="231F20"/>
          <w:spacing w:val="-18"/>
          <w:w w:val="105"/>
        </w:rPr>
        <w:t> </w:t>
      </w:r>
      <w:r>
        <w:rPr>
          <w:color w:val="231F20"/>
          <w:w w:val="105"/>
        </w:rPr>
        <w:t>de</w:t>
      </w:r>
      <w:r>
        <w:rPr>
          <w:color w:val="231F20"/>
          <w:spacing w:val="-18"/>
          <w:w w:val="105"/>
        </w:rPr>
        <w:t> </w:t>
      </w:r>
      <w:r>
        <w:rPr>
          <w:color w:val="231F20"/>
          <w:w w:val="105"/>
        </w:rPr>
        <w:t>Calidad</w:t>
      </w:r>
      <w:r>
        <w:rPr>
          <w:color w:val="231F20"/>
          <w:spacing w:val="-18"/>
          <w:w w:val="105"/>
        </w:rPr>
        <w:t> </w:t>
      </w:r>
      <w:r>
        <w:rPr>
          <w:color w:val="231F20"/>
          <w:spacing w:val="-4"/>
          <w:w w:val="105"/>
        </w:rPr>
        <w:t>sobre</w:t>
      </w:r>
      <w:r>
        <w:rPr>
          <w:color w:val="231F20"/>
          <w:spacing w:val="-18"/>
          <w:w w:val="105"/>
        </w:rPr>
        <w:t> </w:t>
      </w:r>
      <w:r>
        <w:rPr>
          <w:color w:val="231F20"/>
          <w:spacing w:val="-4"/>
          <w:w w:val="105"/>
        </w:rPr>
        <w:t>gobiernos</w:t>
      </w:r>
      <w:r>
        <w:rPr>
          <w:color w:val="231F20"/>
          <w:spacing w:val="-18"/>
          <w:w w:val="105"/>
        </w:rPr>
        <w:t> </w:t>
      </w:r>
      <w:r>
        <w:rPr>
          <w:color w:val="231F20"/>
          <w:w w:val="105"/>
        </w:rPr>
        <w:t>confiables;</w:t>
      </w:r>
      <w:r>
        <w:rPr>
          <w:color w:val="231F20"/>
          <w:spacing w:val="-18"/>
          <w:w w:val="105"/>
        </w:rPr>
        <w:t> </w:t>
      </w:r>
      <w:r>
        <w:rPr>
          <w:color w:val="231F20"/>
          <w:spacing w:val="-3"/>
          <w:w w:val="105"/>
        </w:rPr>
        <w:t>los</w:t>
      </w:r>
      <w:r>
        <w:rPr>
          <w:color w:val="231F20"/>
          <w:spacing w:val="-18"/>
          <w:w w:val="105"/>
        </w:rPr>
        <w:t> </w:t>
      </w:r>
      <w:r>
        <w:rPr>
          <w:color w:val="231F20"/>
          <w:spacing w:val="-8"/>
          <w:w w:val="105"/>
        </w:rPr>
        <w:t>14</w:t>
      </w:r>
      <w:r>
        <w:rPr>
          <w:color w:val="231F20"/>
          <w:spacing w:val="-18"/>
          <w:w w:val="105"/>
        </w:rPr>
        <w:t> </w:t>
      </w:r>
      <w:r>
        <w:rPr>
          <w:color w:val="231F20"/>
          <w:w w:val="105"/>
        </w:rPr>
        <w:t>certificados</w:t>
      </w:r>
      <w:r>
        <w:rPr>
          <w:color w:val="231F20"/>
          <w:spacing w:val="-18"/>
          <w:w w:val="105"/>
        </w:rPr>
        <w:t> </w:t>
      </w:r>
      <w:r>
        <w:rPr>
          <w:color w:val="231F20"/>
          <w:w w:val="105"/>
        </w:rPr>
        <w:t>de calidad,</w:t>
      </w:r>
      <w:r>
        <w:rPr>
          <w:color w:val="231F20"/>
          <w:spacing w:val="-13"/>
          <w:w w:val="105"/>
        </w:rPr>
        <w:t> </w:t>
      </w:r>
      <w:r>
        <w:rPr>
          <w:color w:val="231F20"/>
          <w:w w:val="105"/>
        </w:rPr>
        <w:t>abarcando</w:t>
      </w:r>
      <w:r>
        <w:rPr>
          <w:color w:val="231F20"/>
          <w:spacing w:val="-13"/>
          <w:w w:val="105"/>
        </w:rPr>
        <w:t> </w:t>
      </w:r>
      <w:r>
        <w:rPr>
          <w:color w:val="231F20"/>
          <w:w w:val="105"/>
        </w:rPr>
        <w:t>67</w:t>
      </w:r>
      <w:r>
        <w:rPr>
          <w:color w:val="231F20"/>
          <w:spacing w:val="-13"/>
          <w:w w:val="105"/>
        </w:rPr>
        <w:t> </w:t>
      </w:r>
      <w:r>
        <w:rPr>
          <w:color w:val="231F20"/>
          <w:spacing w:val="-3"/>
          <w:w w:val="105"/>
        </w:rPr>
        <w:t>procesos</w:t>
      </w:r>
      <w:r>
        <w:rPr>
          <w:color w:val="231F20"/>
          <w:spacing w:val="-13"/>
          <w:w w:val="105"/>
        </w:rPr>
        <w:t> </w:t>
      </w:r>
      <w:r>
        <w:rPr>
          <w:color w:val="231F20"/>
          <w:w w:val="105"/>
        </w:rPr>
        <w:t>en</w:t>
      </w:r>
      <w:r>
        <w:rPr>
          <w:color w:val="231F20"/>
          <w:spacing w:val="-13"/>
          <w:w w:val="105"/>
        </w:rPr>
        <w:t> </w:t>
      </w:r>
      <w:r>
        <w:rPr>
          <w:color w:val="231F20"/>
          <w:spacing w:val="-4"/>
          <w:w w:val="105"/>
        </w:rPr>
        <w:t>donde</w:t>
      </w:r>
      <w:r>
        <w:rPr>
          <w:color w:val="231F20"/>
          <w:spacing w:val="-13"/>
          <w:w w:val="105"/>
        </w:rPr>
        <w:t> </w:t>
      </w:r>
      <w:r>
        <w:rPr>
          <w:color w:val="231F20"/>
          <w:w w:val="105"/>
        </w:rPr>
        <w:t>participan</w:t>
      </w:r>
      <w:r>
        <w:rPr>
          <w:color w:val="231F20"/>
          <w:spacing w:val="-13"/>
          <w:w w:val="105"/>
        </w:rPr>
        <w:t> </w:t>
      </w:r>
      <w:r>
        <w:rPr>
          <w:color w:val="231F20"/>
          <w:w w:val="105"/>
        </w:rPr>
        <w:t>más</w:t>
      </w:r>
      <w:r>
        <w:rPr>
          <w:color w:val="231F20"/>
          <w:spacing w:val="-13"/>
          <w:w w:val="105"/>
        </w:rPr>
        <w:t> </w:t>
      </w:r>
      <w:r>
        <w:rPr>
          <w:color w:val="231F20"/>
          <w:w w:val="105"/>
        </w:rPr>
        <w:t>de</w:t>
      </w:r>
      <w:r>
        <w:rPr>
          <w:color w:val="231F20"/>
          <w:spacing w:val="-13"/>
          <w:w w:val="105"/>
        </w:rPr>
        <w:t> </w:t>
      </w:r>
      <w:r>
        <w:rPr>
          <w:color w:val="231F20"/>
          <w:w w:val="105"/>
        </w:rPr>
        <w:t>2</w:t>
      </w:r>
      <w:r>
        <w:rPr>
          <w:color w:val="231F20"/>
          <w:spacing w:val="-13"/>
          <w:w w:val="105"/>
        </w:rPr>
        <w:t> </w:t>
      </w:r>
      <w:r>
        <w:rPr>
          <w:color w:val="231F20"/>
          <w:w w:val="105"/>
        </w:rPr>
        <w:t>mil</w:t>
      </w:r>
      <w:r>
        <w:rPr>
          <w:color w:val="231F20"/>
          <w:spacing w:val="-13"/>
          <w:w w:val="105"/>
        </w:rPr>
        <w:t> </w:t>
      </w:r>
      <w:r>
        <w:rPr>
          <w:color w:val="231F20"/>
          <w:w w:val="105"/>
        </w:rPr>
        <w:t>servidores</w:t>
      </w:r>
      <w:r>
        <w:rPr>
          <w:color w:val="231F20"/>
          <w:spacing w:val="-13"/>
          <w:w w:val="105"/>
        </w:rPr>
        <w:t> </w:t>
      </w:r>
      <w:r>
        <w:rPr>
          <w:color w:val="231F20"/>
          <w:spacing w:val="-3"/>
          <w:w w:val="105"/>
        </w:rPr>
        <w:t>públicos;</w:t>
      </w:r>
      <w:r>
        <w:rPr>
          <w:color w:val="231F20"/>
          <w:spacing w:val="-13"/>
          <w:w w:val="105"/>
        </w:rPr>
        <w:t> </w:t>
      </w:r>
      <w:r>
        <w:rPr>
          <w:color w:val="231F20"/>
          <w:w w:val="105"/>
        </w:rPr>
        <w:t>el Sistema</w:t>
      </w:r>
      <w:r>
        <w:rPr>
          <w:color w:val="231F20"/>
          <w:spacing w:val="-22"/>
          <w:w w:val="105"/>
        </w:rPr>
        <w:t> </w:t>
      </w:r>
      <w:r>
        <w:rPr>
          <w:color w:val="231F20"/>
          <w:w w:val="105"/>
        </w:rPr>
        <w:t>de</w:t>
      </w:r>
      <w:r>
        <w:rPr>
          <w:color w:val="231F20"/>
          <w:spacing w:val="-22"/>
          <w:w w:val="105"/>
        </w:rPr>
        <w:t> </w:t>
      </w:r>
      <w:r>
        <w:rPr>
          <w:color w:val="231F20"/>
          <w:spacing w:val="-3"/>
          <w:w w:val="105"/>
        </w:rPr>
        <w:t>Gestión</w:t>
      </w:r>
      <w:r>
        <w:rPr>
          <w:color w:val="231F20"/>
          <w:spacing w:val="-22"/>
          <w:w w:val="105"/>
        </w:rPr>
        <w:t> </w:t>
      </w:r>
      <w:r>
        <w:rPr>
          <w:color w:val="231F20"/>
          <w:w w:val="105"/>
        </w:rPr>
        <w:t>de</w:t>
      </w:r>
      <w:r>
        <w:rPr>
          <w:color w:val="231F20"/>
          <w:spacing w:val="-22"/>
          <w:w w:val="105"/>
        </w:rPr>
        <w:t> </w:t>
      </w:r>
      <w:r>
        <w:rPr>
          <w:color w:val="231F20"/>
          <w:w w:val="105"/>
        </w:rPr>
        <w:t>Calidad</w:t>
      </w:r>
      <w:r>
        <w:rPr>
          <w:color w:val="231F20"/>
          <w:spacing w:val="-22"/>
          <w:w w:val="105"/>
        </w:rPr>
        <w:t> </w:t>
      </w:r>
      <w:r>
        <w:rPr>
          <w:color w:val="231F20"/>
          <w:spacing w:val="-3"/>
          <w:w w:val="105"/>
        </w:rPr>
        <w:t>que</w:t>
      </w:r>
      <w:r>
        <w:rPr>
          <w:color w:val="231F20"/>
          <w:spacing w:val="-22"/>
          <w:w w:val="105"/>
        </w:rPr>
        <w:t> </w:t>
      </w:r>
      <w:r>
        <w:rPr>
          <w:color w:val="231F20"/>
          <w:w w:val="105"/>
        </w:rPr>
        <w:t>está</w:t>
      </w:r>
      <w:r>
        <w:rPr>
          <w:color w:val="231F20"/>
          <w:spacing w:val="-22"/>
          <w:w w:val="105"/>
        </w:rPr>
        <w:t> </w:t>
      </w:r>
      <w:r>
        <w:rPr>
          <w:color w:val="231F20"/>
          <w:w w:val="105"/>
        </w:rPr>
        <w:t>certificado</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spacing w:val="-3"/>
          <w:w w:val="105"/>
        </w:rPr>
        <w:t>Norma</w:t>
      </w:r>
      <w:r>
        <w:rPr>
          <w:color w:val="231F20"/>
          <w:spacing w:val="-22"/>
          <w:w w:val="105"/>
        </w:rPr>
        <w:t> </w:t>
      </w:r>
      <w:r>
        <w:rPr>
          <w:color w:val="231F20"/>
          <w:w w:val="105"/>
        </w:rPr>
        <w:t>ISO-9001:2000;</w:t>
      </w:r>
      <w:r>
        <w:rPr>
          <w:color w:val="231F20"/>
          <w:spacing w:val="-22"/>
          <w:w w:val="105"/>
        </w:rPr>
        <w:t> </w:t>
      </w:r>
      <w:r>
        <w:rPr>
          <w:color w:val="231F20"/>
          <w:w w:val="105"/>
        </w:rPr>
        <w:t>la</w:t>
      </w:r>
      <w:r>
        <w:rPr>
          <w:color w:val="231F20"/>
          <w:spacing w:val="-22"/>
          <w:w w:val="105"/>
        </w:rPr>
        <w:t> </w:t>
      </w:r>
      <w:r>
        <w:rPr>
          <w:color w:val="231F20"/>
          <w:w w:val="105"/>
        </w:rPr>
        <w:t>insta- </w:t>
      </w:r>
      <w:r>
        <w:rPr>
          <w:color w:val="231F20"/>
          <w:spacing w:val="-4"/>
          <w:w w:val="105"/>
        </w:rPr>
        <w:t>lación</w:t>
      </w:r>
      <w:r>
        <w:rPr>
          <w:color w:val="231F20"/>
          <w:spacing w:val="-21"/>
          <w:w w:val="105"/>
        </w:rPr>
        <w:t> </w:t>
      </w:r>
      <w:r>
        <w:rPr>
          <w:color w:val="231F20"/>
          <w:spacing w:val="-3"/>
          <w:w w:val="105"/>
        </w:rPr>
        <w:t>del</w:t>
      </w:r>
      <w:r>
        <w:rPr>
          <w:color w:val="231F20"/>
          <w:spacing w:val="-21"/>
          <w:w w:val="105"/>
        </w:rPr>
        <w:t> </w:t>
      </w:r>
      <w:r>
        <w:rPr>
          <w:color w:val="231F20"/>
          <w:spacing w:val="-3"/>
          <w:w w:val="105"/>
        </w:rPr>
        <w:t>Consejo</w:t>
      </w:r>
      <w:r>
        <w:rPr>
          <w:color w:val="231F20"/>
          <w:spacing w:val="-21"/>
          <w:w w:val="105"/>
        </w:rPr>
        <w:t> </w:t>
      </w:r>
      <w:r>
        <w:rPr>
          <w:color w:val="231F20"/>
          <w:spacing w:val="-3"/>
          <w:w w:val="105"/>
        </w:rPr>
        <w:t>del</w:t>
      </w:r>
      <w:r>
        <w:rPr>
          <w:color w:val="231F20"/>
          <w:spacing w:val="-21"/>
          <w:w w:val="105"/>
        </w:rPr>
        <w:t> </w:t>
      </w:r>
      <w:r>
        <w:rPr>
          <w:color w:val="231F20"/>
          <w:w w:val="105"/>
        </w:rPr>
        <w:t>Instituto</w:t>
      </w:r>
      <w:r>
        <w:rPr>
          <w:color w:val="231F20"/>
          <w:spacing w:val="-21"/>
          <w:w w:val="105"/>
        </w:rPr>
        <w:t> </w:t>
      </w:r>
      <w:r>
        <w:rPr>
          <w:color w:val="231F20"/>
          <w:w w:val="105"/>
        </w:rPr>
        <w:t>Municipal</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Transparencia</w:t>
      </w:r>
      <w:r>
        <w:rPr>
          <w:color w:val="231F20"/>
          <w:spacing w:val="-21"/>
          <w:w w:val="105"/>
        </w:rPr>
        <w:t> </w:t>
      </w:r>
      <w:r>
        <w:rPr>
          <w:color w:val="231F20"/>
          <w:w w:val="105"/>
        </w:rPr>
        <w:t>y</w:t>
      </w:r>
      <w:r>
        <w:rPr>
          <w:color w:val="231F20"/>
          <w:spacing w:val="-21"/>
          <w:w w:val="105"/>
        </w:rPr>
        <w:t> </w:t>
      </w:r>
      <w:r>
        <w:rPr>
          <w:color w:val="231F20"/>
          <w:spacing w:val="-3"/>
          <w:w w:val="105"/>
        </w:rPr>
        <w:t>Acceso</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spacing w:val="-3"/>
          <w:w w:val="105"/>
        </w:rPr>
        <w:t>Información,</w:t>
      </w:r>
    </w:p>
    <w:p>
      <w:pPr>
        <w:pStyle w:val="ListParagraph"/>
        <w:numPr>
          <w:ilvl w:val="0"/>
          <w:numId w:val="15"/>
        </w:numPr>
        <w:tabs>
          <w:tab w:pos="300" w:val="left" w:leader="none"/>
        </w:tabs>
        <w:spacing w:line="244" w:lineRule="auto" w:before="8" w:after="0"/>
        <w:ind w:left="110" w:right="108" w:firstLine="0"/>
        <w:jc w:val="left"/>
        <w:rPr>
          <w:sz w:val="16"/>
        </w:rPr>
      </w:pPr>
      <w:r>
        <w:rPr>
          <w:color w:val="231F20"/>
          <w:sz w:val="16"/>
        </w:rPr>
        <w:t>Declaraciones</w:t>
      </w:r>
      <w:r>
        <w:rPr>
          <w:color w:val="231F20"/>
          <w:spacing w:val="-5"/>
          <w:sz w:val="16"/>
        </w:rPr>
        <w:t> </w:t>
      </w:r>
      <w:r>
        <w:rPr>
          <w:color w:val="231F20"/>
          <w:sz w:val="16"/>
        </w:rPr>
        <w:t>de</w:t>
      </w:r>
      <w:r>
        <w:rPr>
          <w:color w:val="231F20"/>
          <w:spacing w:val="-5"/>
          <w:sz w:val="16"/>
        </w:rPr>
        <w:t> </w:t>
      </w:r>
      <w:r>
        <w:rPr>
          <w:color w:val="231F20"/>
          <w:sz w:val="16"/>
        </w:rPr>
        <w:t>Rosario</w:t>
      </w:r>
      <w:r>
        <w:rPr>
          <w:color w:val="231F20"/>
          <w:spacing w:val="-5"/>
          <w:sz w:val="16"/>
        </w:rPr>
        <w:t> </w:t>
      </w:r>
      <w:r>
        <w:rPr>
          <w:color w:val="231F20"/>
          <w:sz w:val="16"/>
        </w:rPr>
        <w:t>Reynoso</w:t>
      </w:r>
      <w:r>
        <w:rPr>
          <w:color w:val="231F20"/>
          <w:spacing w:val="-5"/>
          <w:sz w:val="16"/>
        </w:rPr>
        <w:t> </w:t>
      </w:r>
      <w:r>
        <w:rPr>
          <w:color w:val="231F20"/>
          <w:sz w:val="16"/>
        </w:rPr>
        <w:t>Orihuela,</w:t>
      </w:r>
      <w:r>
        <w:rPr>
          <w:color w:val="231F20"/>
          <w:spacing w:val="-5"/>
          <w:sz w:val="16"/>
        </w:rPr>
        <w:t> </w:t>
      </w:r>
      <w:r>
        <w:rPr>
          <w:color w:val="231F20"/>
          <w:sz w:val="16"/>
        </w:rPr>
        <w:t>jefa</w:t>
      </w:r>
      <w:r>
        <w:rPr>
          <w:color w:val="231F20"/>
          <w:spacing w:val="-5"/>
          <w:sz w:val="16"/>
        </w:rPr>
        <w:t> </w:t>
      </w:r>
      <w:r>
        <w:rPr>
          <w:color w:val="231F20"/>
          <w:sz w:val="16"/>
        </w:rPr>
        <w:t>del</w:t>
      </w:r>
      <w:r>
        <w:rPr>
          <w:color w:val="231F20"/>
          <w:spacing w:val="-5"/>
          <w:sz w:val="16"/>
        </w:rPr>
        <w:t> </w:t>
      </w:r>
      <w:r>
        <w:rPr>
          <w:color w:val="231F20"/>
          <w:sz w:val="16"/>
        </w:rPr>
        <w:t>Departamento</w:t>
      </w:r>
      <w:r>
        <w:rPr>
          <w:color w:val="231F20"/>
          <w:spacing w:val="-5"/>
          <w:sz w:val="16"/>
        </w:rPr>
        <w:t> </w:t>
      </w:r>
      <w:r>
        <w:rPr>
          <w:color w:val="231F20"/>
          <w:sz w:val="16"/>
        </w:rPr>
        <w:t>Regional</w:t>
      </w:r>
      <w:r>
        <w:rPr>
          <w:color w:val="231F20"/>
          <w:spacing w:val="-5"/>
          <w:sz w:val="16"/>
        </w:rPr>
        <w:t> </w:t>
      </w:r>
      <w:r>
        <w:rPr>
          <w:color w:val="231F20"/>
          <w:sz w:val="16"/>
        </w:rPr>
        <w:t>de</w:t>
      </w:r>
      <w:r>
        <w:rPr>
          <w:color w:val="231F20"/>
          <w:spacing w:val="-5"/>
          <w:sz w:val="16"/>
        </w:rPr>
        <w:t> </w:t>
      </w:r>
      <w:r>
        <w:rPr>
          <w:color w:val="231F20"/>
          <w:sz w:val="16"/>
        </w:rPr>
        <w:t>Educación</w:t>
      </w:r>
      <w:r>
        <w:rPr>
          <w:color w:val="231F20"/>
          <w:spacing w:val="-5"/>
          <w:sz w:val="16"/>
        </w:rPr>
        <w:t> </w:t>
      </w:r>
      <w:r>
        <w:rPr>
          <w:color w:val="231F20"/>
          <w:sz w:val="16"/>
        </w:rPr>
        <w:t>Básica</w:t>
      </w:r>
      <w:r>
        <w:rPr>
          <w:color w:val="231F20"/>
          <w:spacing w:val="-5"/>
          <w:sz w:val="16"/>
        </w:rPr>
        <w:t> </w:t>
      </w:r>
      <w:r>
        <w:rPr>
          <w:color w:val="231F20"/>
          <w:sz w:val="16"/>
        </w:rPr>
        <w:t>en:</w:t>
      </w:r>
      <w:r>
        <w:rPr>
          <w:color w:val="231F20"/>
          <w:spacing w:val="-5"/>
          <w:sz w:val="16"/>
        </w:rPr>
        <w:t> </w:t>
      </w:r>
      <w:r>
        <w:rPr>
          <w:color w:val="231F20"/>
          <w:sz w:val="16"/>
        </w:rPr>
        <w:t>El</w:t>
      </w:r>
      <w:r>
        <w:rPr>
          <w:color w:val="231F20"/>
          <w:spacing w:val="-5"/>
          <w:sz w:val="16"/>
        </w:rPr>
        <w:t> </w:t>
      </w:r>
      <w:r>
        <w:rPr>
          <w:color w:val="231F20"/>
          <w:sz w:val="16"/>
        </w:rPr>
        <w:t>Universal,</w:t>
      </w:r>
      <w:r>
        <w:rPr>
          <w:color w:val="231F20"/>
          <w:spacing w:val="-5"/>
          <w:sz w:val="16"/>
        </w:rPr>
        <w:t> </w:t>
      </w:r>
      <w:r>
        <w:rPr>
          <w:color w:val="231F20"/>
          <w:spacing w:val="-4"/>
          <w:sz w:val="16"/>
        </w:rPr>
        <w:t>16</w:t>
      </w:r>
      <w:r>
        <w:rPr>
          <w:color w:val="231F20"/>
          <w:spacing w:val="-5"/>
          <w:sz w:val="16"/>
        </w:rPr>
        <w:t> </w:t>
      </w:r>
      <w:r>
        <w:rPr>
          <w:color w:val="231F20"/>
          <w:sz w:val="16"/>
        </w:rPr>
        <w:t>de octubre de</w:t>
      </w:r>
      <w:r>
        <w:rPr>
          <w:color w:val="231F20"/>
          <w:spacing w:val="-27"/>
          <w:sz w:val="16"/>
        </w:rPr>
        <w:t> </w:t>
      </w:r>
      <w:r>
        <w:rPr>
          <w:color w:val="231F20"/>
          <w:sz w:val="16"/>
        </w:rPr>
        <w:t>2003.</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spacing w:val="-3"/>
          <w:w w:val="105"/>
        </w:rPr>
        <w:t>además</w:t>
      </w:r>
      <w:r>
        <w:rPr>
          <w:color w:val="231F20"/>
          <w:spacing w:val="-19"/>
          <w:w w:val="105"/>
        </w:rPr>
        <w:t> </w:t>
      </w:r>
      <w:r>
        <w:rPr>
          <w:color w:val="231F20"/>
          <w:w w:val="105"/>
        </w:rPr>
        <w:t>de</w:t>
      </w:r>
      <w:r>
        <w:rPr>
          <w:color w:val="231F20"/>
          <w:spacing w:val="-19"/>
          <w:w w:val="105"/>
        </w:rPr>
        <w:t> </w:t>
      </w:r>
      <w:r>
        <w:rPr>
          <w:color w:val="231F20"/>
          <w:spacing w:val="-3"/>
          <w:w w:val="105"/>
        </w:rPr>
        <w:t>que</w:t>
      </w:r>
      <w:r>
        <w:rPr>
          <w:color w:val="231F20"/>
          <w:spacing w:val="-19"/>
          <w:w w:val="105"/>
        </w:rPr>
        <w:t> </w:t>
      </w:r>
      <w:r>
        <w:rPr>
          <w:color w:val="231F20"/>
          <w:w w:val="105"/>
        </w:rPr>
        <w:t>a</w:t>
      </w:r>
      <w:r>
        <w:rPr>
          <w:color w:val="231F20"/>
          <w:spacing w:val="-19"/>
          <w:w w:val="105"/>
        </w:rPr>
        <w:t> </w:t>
      </w:r>
      <w:r>
        <w:rPr>
          <w:color w:val="231F20"/>
          <w:spacing w:val="-3"/>
          <w:w w:val="105"/>
        </w:rPr>
        <w:t>través</w:t>
      </w:r>
      <w:r>
        <w:rPr>
          <w:color w:val="231F20"/>
          <w:spacing w:val="-19"/>
          <w:w w:val="105"/>
        </w:rPr>
        <w:t> </w:t>
      </w:r>
      <w:r>
        <w:rPr>
          <w:color w:val="231F20"/>
          <w:spacing w:val="-3"/>
          <w:w w:val="105"/>
        </w:rPr>
        <w:t>del</w:t>
      </w:r>
      <w:r>
        <w:rPr>
          <w:color w:val="231F20"/>
          <w:spacing w:val="-19"/>
          <w:w w:val="105"/>
        </w:rPr>
        <w:t> </w:t>
      </w:r>
      <w:r>
        <w:rPr>
          <w:color w:val="231F20"/>
          <w:w w:val="105"/>
        </w:rPr>
        <w:t>portal</w:t>
      </w:r>
      <w:r>
        <w:rPr>
          <w:color w:val="231F20"/>
          <w:spacing w:val="-19"/>
          <w:w w:val="105"/>
        </w:rPr>
        <w:t> </w:t>
      </w:r>
      <w:r>
        <w:rPr>
          <w:color w:val="231F20"/>
          <w:spacing w:val="-3"/>
          <w:w w:val="105"/>
        </w:rPr>
        <w:t>del</w:t>
      </w:r>
      <w:r>
        <w:rPr>
          <w:color w:val="231F20"/>
          <w:spacing w:val="-19"/>
          <w:w w:val="105"/>
        </w:rPr>
        <w:t> </w:t>
      </w:r>
      <w:r>
        <w:rPr>
          <w:color w:val="231F20"/>
          <w:spacing w:val="-4"/>
          <w:w w:val="105"/>
        </w:rPr>
        <w:t>gobierno</w:t>
      </w:r>
      <w:r>
        <w:rPr>
          <w:color w:val="231F20"/>
          <w:spacing w:val="-19"/>
          <w:w w:val="105"/>
        </w:rPr>
        <w:t> </w:t>
      </w:r>
      <w:r>
        <w:rPr>
          <w:color w:val="231F20"/>
          <w:w w:val="105"/>
        </w:rPr>
        <w:t>de</w:t>
      </w:r>
      <w:r>
        <w:rPr>
          <w:color w:val="231F20"/>
          <w:spacing w:val="-19"/>
          <w:w w:val="105"/>
        </w:rPr>
        <w:t> </w:t>
      </w:r>
      <w:r>
        <w:rPr>
          <w:color w:val="231F20"/>
          <w:w w:val="105"/>
        </w:rPr>
        <w:t>Tlalnepantla</w:t>
      </w:r>
      <w:r>
        <w:rPr>
          <w:color w:val="231F20"/>
          <w:spacing w:val="-19"/>
          <w:w w:val="105"/>
        </w:rPr>
        <w:t> </w:t>
      </w:r>
      <w:r>
        <w:rPr>
          <w:color w:val="231F20"/>
          <w:w w:val="105"/>
        </w:rPr>
        <w:t>se</w:t>
      </w:r>
      <w:r>
        <w:rPr>
          <w:color w:val="231F20"/>
          <w:spacing w:val="-19"/>
          <w:w w:val="105"/>
        </w:rPr>
        <w:t> </w:t>
      </w:r>
      <w:r>
        <w:rPr>
          <w:color w:val="231F20"/>
          <w:spacing w:val="-3"/>
          <w:w w:val="105"/>
        </w:rPr>
        <w:t>puede</w:t>
      </w:r>
      <w:r>
        <w:rPr>
          <w:color w:val="231F20"/>
          <w:spacing w:val="-19"/>
          <w:w w:val="105"/>
        </w:rPr>
        <w:t> </w:t>
      </w:r>
      <w:r>
        <w:rPr>
          <w:color w:val="231F20"/>
          <w:w w:val="105"/>
        </w:rPr>
        <w:t>solicitar</w:t>
      </w:r>
      <w:r>
        <w:rPr>
          <w:color w:val="231F20"/>
          <w:spacing w:val="-19"/>
          <w:w w:val="105"/>
        </w:rPr>
        <w:t> </w:t>
      </w:r>
      <w:r>
        <w:rPr>
          <w:color w:val="231F20"/>
          <w:spacing w:val="-3"/>
          <w:w w:val="105"/>
        </w:rPr>
        <w:t>informa- ción</w:t>
      </w:r>
      <w:r>
        <w:rPr>
          <w:color w:val="231F20"/>
          <w:spacing w:val="-21"/>
          <w:w w:val="105"/>
        </w:rPr>
        <w:t> </w:t>
      </w:r>
      <w:r>
        <w:rPr>
          <w:color w:val="231F20"/>
          <w:w w:val="105"/>
        </w:rPr>
        <w:t>y</w:t>
      </w:r>
      <w:r>
        <w:rPr>
          <w:color w:val="231F20"/>
          <w:spacing w:val="-21"/>
          <w:w w:val="105"/>
        </w:rPr>
        <w:t> </w:t>
      </w:r>
      <w:r>
        <w:rPr>
          <w:color w:val="231F20"/>
          <w:w w:val="105"/>
        </w:rPr>
        <w:t>levantar</w:t>
      </w:r>
      <w:r>
        <w:rPr>
          <w:color w:val="231F20"/>
          <w:spacing w:val="-21"/>
          <w:w w:val="105"/>
        </w:rPr>
        <w:t> </w:t>
      </w:r>
      <w:r>
        <w:rPr>
          <w:color w:val="231F20"/>
          <w:spacing w:val="-3"/>
          <w:w w:val="105"/>
        </w:rPr>
        <w:t>quejas</w:t>
      </w:r>
      <w:r>
        <w:rPr>
          <w:color w:val="231F20"/>
          <w:spacing w:val="-21"/>
          <w:w w:val="105"/>
        </w:rPr>
        <w:t> </w:t>
      </w:r>
      <w:r>
        <w:rPr>
          <w:color w:val="231F20"/>
          <w:w w:val="105"/>
        </w:rPr>
        <w:t>y</w:t>
      </w:r>
      <w:r>
        <w:rPr>
          <w:color w:val="231F20"/>
          <w:spacing w:val="-21"/>
          <w:w w:val="105"/>
        </w:rPr>
        <w:t> </w:t>
      </w:r>
      <w:r>
        <w:rPr>
          <w:color w:val="231F20"/>
          <w:w w:val="105"/>
        </w:rPr>
        <w:t>demandas</w:t>
      </w:r>
      <w:r>
        <w:rPr>
          <w:color w:val="231F20"/>
          <w:spacing w:val="-21"/>
          <w:w w:val="105"/>
        </w:rPr>
        <w:t> </w:t>
      </w:r>
      <w:r>
        <w:rPr>
          <w:color w:val="231F20"/>
          <w:w w:val="105"/>
        </w:rPr>
        <w:t>de</w:t>
      </w:r>
      <w:r>
        <w:rPr>
          <w:color w:val="231F20"/>
          <w:spacing w:val="-21"/>
          <w:w w:val="105"/>
        </w:rPr>
        <w:t> </w:t>
      </w:r>
      <w:r>
        <w:rPr>
          <w:color w:val="231F20"/>
          <w:w w:val="105"/>
        </w:rPr>
        <w:t>servicios</w:t>
      </w:r>
      <w:r>
        <w:rPr>
          <w:color w:val="231F20"/>
          <w:spacing w:val="-21"/>
          <w:w w:val="105"/>
        </w:rPr>
        <w:t> </w:t>
      </w:r>
      <w:r>
        <w:rPr>
          <w:color w:val="231F20"/>
          <w:spacing w:val="-3"/>
          <w:w w:val="105"/>
        </w:rPr>
        <w:t>públicos,</w:t>
      </w:r>
      <w:r>
        <w:rPr>
          <w:color w:val="231F20"/>
          <w:spacing w:val="-21"/>
          <w:w w:val="105"/>
        </w:rPr>
        <w:t> </w:t>
      </w:r>
      <w:r>
        <w:rPr>
          <w:color w:val="231F20"/>
          <w:w w:val="105"/>
        </w:rPr>
        <w:t>así</w:t>
      </w:r>
      <w:r>
        <w:rPr>
          <w:color w:val="231F20"/>
          <w:spacing w:val="-21"/>
          <w:w w:val="105"/>
        </w:rPr>
        <w:t> </w:t>
      </w:r>
      <w:r>
        <w:rPr>
          <w:color w:val="231F20"/>
          <w:spacing w:val="-4"/>
          <w:w w:val="105"/>
        </w:rPr>
        <w:t>como</w:t>
      </w:r>
      <w:r>
        <w:rPr>
          <w:color w:val="231F20"/>
          <w:spacing w:val="-21"/>
          <w:w w:val="105"/>
        </w:rPr>
        <w:t> </w:t>
      </w:r>
      <w:r>
        <w:rPr>
          <w:color w:val="231F20"/>
          <w:w w:val="105"/>
        </w:rPr>
        <w:t>un</w:t>
      </w:r>
      <w:r>
        <w:rPr>
          <w:color w:val="231F20"/>
          <w:spacing w:val="-21"/>
          <w:w w:val="105"/>
        </w:rPr>
        <w:t> </w:t>
      </w:r>
      <w:r>
        <w:rPr>
          <w:color w:val="231F20"/>
          <w:w w:val="105"/>
        </w:rPr>
        <w:t>Call</w:t>
      </w:r>
      <w:r>
        <w:rPr>
          <w:color w:val="231F20"/>
          <w:spacing w:val="-21"/>
          <w:w w:val="105"/>
        </w:rPr>
        <w:t> </w:t>
      </w:r>
      <w:r>
        <w:rPr>
          <w:color w:val="231F20"/>
          <w:spacing w:val="-4"/>
          <w:w w:val="105"/>
        </w:rPr>
        <w:t>Center.</w:t>
      </w:r>
    </w:p>
    <w:p>
      <w:pPr>
        <w:pStyle w:val="BodyText"/>
        <w:spacing w:before="1"/>
        <w:rPr>
          <w:sz w:val="26"/>
        </w:rPr>
      </w:pPr>
    </w:p>
    <w:p>
      <w:pPr>
        <w:pStyle w:val="BodyText"/>
        <w:spacing w:line="285" w:lineRule="auto"/>
        <w:ind w:left="110" w:right="108"/>
        <w:jc w:val="both"/>
      </w:pPr>
      <w:r>
        <w:rPr>
          <w:color w:val="231F20"/>
          <w:w w:val="105"/>
        </w:rPr>
        <w:t>Pese</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avances</w:t>
      </w:r>
      <w:r>
        <w:rPr>
          <w:color w:val="231F20"/>
          <w:spacing w:val="-7"/>
          <w:w w:val="105"/>
        </w:rPr>
        <w:t> </w:t>
      </w:r>
      <w:r>
        <w:rPr>
          <w:color w:val="231F20"/>
          <w:w w:val="105"/>
        </w:rPr>
        <w:t>en</w:t>
      </w:r>
      <w:r>
        <w:rPr>
          <w:color w:val="231F20"/>
          <w:spacing w:val="-7"/>
          <w:w w:val="105"/>
        </w:rPr>
        <w:t> </w:t>
      </w:r>
      <w:r>
        <w:rPr>
          <w:color w:val="231F20"/>
          <w:w w:val="105"/>
        </w:rPr>
        <w:t>modernización</w:t>
      </w:r>
      <w:r>
        <w:rPr>
          <w:color w:val="231F20"/>
          <w:spacing w:val="-7"/>
          <w:w w:val="105"/>
        </w:rPr>
        <w:t> </w:t>
      </w:r>
      <w:r>
        <w:rPr>
          <w:color w:val="231F20"/>
          <w:w w:val="105"/>
        </w:rPr>
        <w:t>administrativa,</w:t>
      </w:r>
      <w:r>
        <w:rPr>
          <w:color w:val="231F20"/>
          <w:spacing w:val="-7"/>
          <w:w w:val="105"/>
        </w:rPr>
        <w:t> </w:t>
      </w:r>
      <w:r>
        <w:rPr>
          <w:color w:val="231F20"/>
          <w:w w:val="105"/>
        </w:rPr>
        <w:t>los</w:t>
      </w:r>
      <w:r>
        <w:rPr>
          <w:color w:val="231F20"/>
          <w:spacing w:val="-7"/>
          <w:w w:val="105"/>
        </w:rPr>
        <w:t> </w:t>
      </w:r>
      <w:r>
        <w:rPr>
          <w:color w:val="231F20"/>
          <w:w w:val="105"/>
        </w:rPr>
        <w:t>retos</w:t>
      </w:r>
      <w:r>
        <w:rPr>
          <w:color w:val="231F20"/>
          <w:spacing w:val="-7"/>
          <w:w w:val="105"/>
        </w:rPr>
        <w:t> </w:t>
      </w:r>
      <w:r>
        <w:rPr>
          <w:color w:val="231F20"/>
          <w:w w:val="105"/>
        </w:rPr>
        <w:t>siguieron</w:t>
      </w:r>
      <w:r>
        <w:rPr>
          <w:color w:val="231F20"/>
          <w:spacing w:val="-7"/>
          <w:w w:val="105"/>
        </w:rPr>
        <w:t> </w:t>
      </w:r>
      <w:r>
        <w:rPr>
          <w:color w:val="231F20"/>
          <w:spacing w:val="-2"/>
          <w:w w:val="105"/>
        </w:rPr>
        <w:t>siendo</w:t>
      </w:r>
      <w:r>
        <w:rPr>
          <w:color w:val="231F20"/>
          <w:spacing w:val="-7"/>
          <w:w w:val="105"/>
        </w:rPr>
        <w:t> </w:t>
      </w:r>
      <w:r>
        <w:rPr>
          <w:color w:val="231F20"/>
          <w:w w:val="105"/>
        </w:rPr>
        <w:t>mayús- culos, por </w:t>
      </w:r>
      <w:r>
        <w:rPr>
          <w:color w:val="231F20"/>
          <w:spacing w:val="-3"/>
          <w:w w:val="105"/>
        </w:rPr>
        <w:t>ejemplo, </w:t>
      </w:r>
      <w:r>
        <w:rPr>
          <w:color w:val="231F20"/>
          <w:w w:val="105"/>
        </w:rPr>
        <w:t>consolidar todas las tareas que se habían realizado, y tener una ad- ministración integrada y no seccionada por cada una de las direcciones que formaban la</w:t>
      </w:r>
      <w:r>
        <w:rPr>
          <w:color w:val="231F20"/>
          <w:spacing w:val="-3"/>
          <w:w w:val="105"/>
        </w:rPr>
        <w:t> </w:t>
      </w:r>
      <w:r>
        <w:rPr>
          <w:color w:val="231F20"/>
          <w:w w:val="105"/>
        </w:rPr>
        <w:t>administración.</w:t>
      </w:r>
    </w:p>
    <w:p>
      <w:pPr>
        <w:pStyle w:val="BodyText"/>
        <w:spacing w:before="1"/>
        <w:rPr>
          <w:sz w:val="26"/>
        </w:rPr>
      </w:pPr>
    </w:p>
    <w:p>
      <w:pPr>
        <w:pStyle w:val="BodyText"/>
        <w:spacing w:line="285" w:lineRule="auto"/>
        <w:ind w:left="110" w:right="107"/>
        <w:jc w:val="both"/>
      </w:pPr>
      <w:r>
        <w:rPr>
          <w:color w:val="231F20"/>
          <w:w w:val="105"/>
        </w:rPr>
        <w:t>Para poder desarrollar todo esto era importante proporcionar a la ciudadanía los me- dios</w:t>
      </w:r>
      <w:r>
        <w:rPr>
          <w:color w:val="231F20"/>
          <w:spacing w:val="-6"/>
          <w:w w:val="105"/>
        </w:rPr>
        <w:t> </w:t>
      </w:r>
      <w:r>
        <w:rPr>
          <w:color w:val="231F20"/>
          <w:w w:val="105"/>
        </w:rPr>
        <w:t>para</w:t>
      </w:r>
      <w:r>
        <w:rPr>
          <w:color w:val="231F20"/>
          <w:spacing w:val="-6"/>
          <w:w w:val="105"/>
        </w:rPr>
        <w:t> </w:t>
      </w:r>
      <w:r>
        <w:rPr>
          <w:color w:val="231F20"/>
          <w:w w:val="105"/>
        </w:rPr>
        <w:t>manifestar</w:t>
      </w:r>
      <w:r>
        <w:rPr>
          <w:color w:val="231F20"/>
          <w:spacing w:val="-6"/>
          <w:w w:val="105"/>
        </w:rPr>
        <w:t> </w:t>
      </w:r>
      <w:r>
        <w:rPr>
          <w:color w:val="231F20"/>
          <w:w w:val="105"/>
        </w:rPr>
        <w:t>sus</w:t>
      </w:r>
      <w:r>
        <w:rPr>
          <w:color w:val="231F20"/>
          <w:spacing w:val="-6"/>
          <w:w w:val="105"/>
        </w:rPr>
        <w:t> </w:t>
      </w:r>
      <w:r>
        <w:rPr>
          <w:color w:val="231F20"/>
          <w:w w:val="105"/>
        </w:rPr>
        <w:t>inconformidades</w:t>
      </w:r>
      <w:r>
        <w:rPr>
          <w:color w:val="231F20"/>
          <w:spacing w:val="-6"/>
          <w:w w:val="105"/>
        </w:rPr>
        <w:t> </w:t>
      </w:r>
      <w:r>
        <w:rPr>
          <w:color w:val="231F20"/>
          <w:w w:val="105"/>
        </w:rPr>
        <w:t>y</w:t>
      </w:r>
      <w:r>
        <w:rPr>
          <w:color w:val="231F20"/>
          <w:spacing w:val="-6"/>
          <w:w w:val="105"/>
        </w:rPr>
        <w:t> </w:t>
      </w:r>
      <w:r>
        <w:rPr>
          <w:color w:val="231F20"/>
          <w:w w:val="105"/>
        </w:rPr>
        <w:t>reconocimiento</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buena</w:t>
      </w:r>
      <w:r>
        <w:rPr>
          <w:color w:val="231F20"/>
          <w:spacing w:val="-6"/>
          <w:w w:val="105"/>
        </w:rPr>
        <w:t> </w:t>
      </w:r>
      <w:r>
        <w:rPr>
          <w:color w:val="231F20"/>
          <w:w w:val="105"/>
        </w:rPr>
        <w:t>atención,</w:t>
      </w:r>
      <w:r>
        <w:rPr>
          <w:color w:val="231F20"/>
          <w:spacing w:val="-6"/>
          <w:w w:val="105"/>
        </w:rPr>
        <w:t> </w:t>
      </w:r>
      <w:r>
        <w:rPr>
          <w:color w:val="231F20"/>
          <w:w w:val="105"/>
        </w:rPr>
        <w:t>en los casos que lo considerara pertinente. Así como tener información oportuna y veraz de</w:t>
      </w:r>
      <w:r>
        <w:rPr>
          <w:color w:val="231F20"/>
          <w:spacing w:val="-15"/>
          <w:w w:val="105"/>
        </w:rPr>
        <w:t> </w:t>
      </w:r>
      <w:r>
        <w:rPr>
          <w:color w:val="231F20"/>
          <w:w w:val="105"/>
        </w:rPr>
        <w:t>las</w:t>
      </w:r>
      <w:r>
        <w:rPr>
          <w:color w:val="231F20"/>
          <w:spacing w:val="-15"/>
          <w:w w:val="105"/>
        </w:rPr>
        <w:t> </w:t>
      </w:r>
      <w:r>
        <w:rPr>
          <w:color w:val="231F20"/>
          <w:w w:val="105"/>
        </w:rPr>
        <w:t>políticas</w:t>
      </w:r>
      <w:r>
        <w:rPr>
          <w:color w:val="231F20"/>
          <w:spacing w:val="-15"/>
          <w:w w:val="105"/>
        </w:rPr>
        <w:t> </w:t>
      </w:r>
      <w:r>
        <w:rPr>
          <w:color w:val="231F20"/>
          <w:w w:val="105"/>
        </w:rPr>
        <w:t>que</w:t>
      </w:r>
      <w:r>
        <w:rPr>
          <w:color w:val="231F20"/>
          <w:spacing w:val="-15"/>
          <w:w w:val="105"/>
        </w:rPr>
        <w:t> </w:t>
      </w:r>
      <w:r>
        <w:rPr>
          <w:color w:val="231F20"/>
          <w:w w:val="105"/>
        </w:rPr>
        <w:t>efectuaba</w:t>
      </w:r>
      <w:r>
        <w:rPr>
          <w:color w:val="231F20"/>
          <w:spacing w:val="-15"/>
          <w:w w:val="105"/>
        </w:rPr>
        <w:t> </w:t>
      </w: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aunado</w:t>
      </w:r>
      <w:r>
        <w:rPr>
          <w:color w:val="231F20"/>
          <w:spacing w:val="-15"/>
          <w:w w:val="105"/>
        </w:rPr>
        <w:t> </w:t>
      </w:r>
      <w:r>
        <w:rPr>
          <w:color w:val="231F20"/>
          <w:w w:val="105"/>
        </w:rPr>
        <w:t>a</w:t>
      </w:r>
      <w:r>
        <w:rPr>
          <w:color w:val="231F20"/>
          <w:spacing w:val="-15"/>
          <w:w w:val="105"/>
        </w:rPr>
        <w:t> </w:t>
      </w:r>
      <w:r>
        <w:rPr>
          <w:color w:val="231F20"/>
          <w:w w:val="105"/>
        </w:rPr>
        <w:t>una</w:t>
      </w:r>
      <w:r>
        <w:rPr>
          <w:color w:val="231F20"/>
          <w:spacing w:val="-15"/>
          <w:w w:val="105"/>
        </w:rPr>
        <w:t> </w:t>
      </w:r>
      <w:r>
        <w:rPr>
          <w:color w:val="231F20"/>
          <w:w w:val="105"/>
        </w:rPr>
        <w:t>rendición</w:t>
      </w:r>
      <w:r>
        <w:rPr>
          <w:color w:val="231F20"/>
          <w:spacing w:val="-15"/>
          <w:w w:val="105"/>
        </w:rPr>
        <w:t> </w:t>
      </w:r>
      <w:r>
        <w:rPr>
          <w:color w:val="231F20"/>
          <w:w w:val="105"/>
        </w:rPr>
        <w:t>de</w:t>
      </w:r>
      <w:r>
        <w:rPr>
          <w:color w:val="231F20"/>
          <w:spacing w:val="-15"/>
          <w:w w:val="105"/>
        </w:rPr>
        <w:t> </w:t>
      </w:r>
      <w:r>
        <w:rPr>
          <w:color w:val="231F20"/>
          <w:w w:val="105"/>
        </w:rPr>
        <w:t>cuentas</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ciuda- danía.</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último</w:t>
      </w:r>
      <w:r>
        <w:rPr>
          <w:color w:val="231F20"/>
          <w:spacing w:val="-15"/>
          <w:w w:val="105"/>
        </w:rPr>
        <w:t> </w:t>
      </w:r>
      <w:r>
        <w:rPr>
          <w:color w:val="231F20"/>
          <w:w w:val="105"/>
        </w:rPr>
        <w:t>punto,</w:t>
      </w:r>
      <w:r>
        <w:rPr>
          <w:color w:val="231F20"/>
          <w:spacing w:val="-15"/>
          <w:w w:val="105"/>
        </w:rPr>
        <w:t> </w:t>
      </w:r>
      <w:r>
        <w:rPr>
          <w:color w:val="231F20"/>
          <w:w w:val="105"/>
        </w:rPr>
        <w:t>podemos</w:t>
      </w:r>
      <w:r>
        <w:rPr>
          <w:color w:val="231F20"/>
          <w:spacing w:val="-15"/>
          <w:w w:val="105"/>
        </w:rPr>
        <w:t> </w:t>
      </w:r>
      <w:r>
        <w:rPr>
          <w:color w:val="231F20"/>
          <w:w w:val="105"/>
        </w:rPr>
        <w:t>observar</w:t>
      </w:r>
      <w:r>
        <w:rPr>
          <w:color w:val="231F20"/>
          <w:spacing w:val="-15"/>
          <w:w w:val="105"/>
        </w:rPr>
        <w:t> </w:t>
      </w:r>
      <w:r>
        <w:rPr>
          <w:color w:val="231F20"/>
          <w:w w:val="105"/>
        </w:rPr>
        <w:t>que</w:t>
      </w:r>
      <w:r>
        <w:rPr>
          <w:color w:val="231F20"/>
          <w:spacing w:val="-15"/>
          <w:w w:val="105"/>
        </w:rPr>
        <w:t> </w:t>
      </w:r>
      <w:r>
        <w:rPr>
          <w:color w:val="231F20"/>
          <w:w w:val="105"/>
        </w:rPr>
        <w:t>Tlalnepantla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año</w:t>
      </w:r>
      <w:r>
        <w:rPr>
          <w:color w:val="231F20"/>
          <w:spacing w:val="-15"/>
          <w:w w:val="105"/>
        </w:rPr>
        <w:t> </w:t>
      </w:r>
      <w:r>
        <w:rPr>
          <w:color w:val="231F20"/>
          <w:w w:val="105"/>
        </w:rPr>
        <w:t>de</w:t>
      </w:r>
      <w:r>
        <w:rPr>
          <w:color w:val="231F20"/>
          <w:spacing w:val="-15"/>
          <w:w w:val="105"/>
        </w:rPr>
        <w:t> </w:t>
      </w:r>
      <w:r>
        <w:rPr>
          <w:color w:val="231F20"/>
          <w:spacing w:val="3"/>
          <w:w w:val="105"/>
        </w:rPr>
        <w:t>2004</w:t>
      </w:r>
      <w:r>
        <w:rPr>
          <w:color w:val="231F20"/>
          <w:spacing w:val="-15"/>
          <w:w w:val="105"/>
        </w:rPr>
        <w:t> </w:t>
      </w:r>
      <w:r>
        <w:rPr>
          <w:color w:val="231F20"/>
          <w:w w:val="105"/>
        </w:rPr>
        <w:t>creo el</w:t>
      </w:r>
      <w:r>
        <w:rPr>
          <w:color w:val="231F20"/>
          <w:spacing w:val="-18"/>
          <w:w w:val="105"/>
        </w:rPr>
        <w:t> </w:t>
      </w:r>
      <w:r>
        <w:rPr>
          <w:color w:val="231F20"/>
          <w:w w:val="105"/>
        </w:rPr>
        <w:t>Instituto</w:t>
      </w:r>
      <w:r>
        <w:rPr>
          <w:color w:val="231F20"/>
          <w:spacing w:val="-18"/>
          <w:w w:val="105"/>
        </w:rPr>
        <w:t> </w:t>
      </w:r>
      <w:r>
        <w:rPr>
          <w:color w:val="231F20"/>
          <w:w w:val="105"/>
        </w:rPr>
        <w:t>Municipal</w:t>
      </w:r>
      <w:r>
        <w:rPr>
          <w:color w:val="231F20"/>
          <w:spacing w:val="-18"/>
          <w:w w:val="105"/>
        </w:rPr>
        <w:t> </w:t>
      </w:r>
      <w:r>
        <w:rPr>
          <w:color w:val="231F20"/>
          <w:w w:val="105"/>
        </w:rPr>
        <w:t>de</w:t>
      </w:r>
      <w:r>
        <w:rPr>
          <w:color w:val="231F20"/>
          <w:spacing w:val="-18"/>
          <w:w w:val="105"/>
        </w:rPr>
        <w:t> </w:t>
      </w:r>
      <w:r>
        <w:rPr>
          <w:color w:val="231F20"/>
          <w:w w:val="105"/>
        </w:rPr>
        <w:t>Transparencia</w:t>
      </w:r>
      <w:r>
        <w:rPr>
          <w:color w:val="231F20"/>
          <w:spacing w:val="-18"/>
          <w:w w:val="105"/>
        </w:rPr>
        <w:t> </w:t>
      </w:r>
      <w:r>
        <w:rPr>
          <w:color w:val="231F20"/>
          <w:w w:val="105"/>
        </w:rPr>
        <w:t>y</w:t>
      </w:r>
      <w:r>
        <w:rPr>
          <w:color w:val="231F20"/>
          <w:spacing w:val="-18"/>
          <w:w w:val="105"/>
        </w:rPr>
        <w:t> </w:t>
      </w:r>
      <w:r>
        <w:rPr>
          <w:color w:val="231F20"/>
          <w:w w:val="105"/>
        </w:rPr>
        <w:t>Acceso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Información</w:t>
      </w:r>
      <w:r>
        <w:rPr>
          <w:color w:val="231F20"/>
          <w:spacing w:val="-18"/>
          <w:w w:val="105"/>
        </w:rPr>
        <w:t> </w:t>
      </w:r>
      <w:r>
        <w:rPr>
          <w:color w:val="231F20"/>
          <w:w w:val="105"/>
        </w:rPr>
        <w:t>Pública.</w:t>
      </w:r>
      <w:r>
        <w:rPr>
          <w:color w:val="231F20"/>
          <w:spacing w:val="-18"/>
          <w:w w:val="105"/>
        </w:rPr>
        <w:t> </w:t>
      </w:r>
      <w:r>
        <w:rPr>
          <w:color w:val="231F20"/>
          <w:w w:val="105"/>
        </w:rPr>
        <w:t>Actualmen- te</w:t>
      </w:r>
      <w:r>
        <w:rPr>
          <w:color w:val="231F20"/>
          <w:spacing w:val="-13"/>
          <w:w w:val="105"/>
        </w:rPr>
        <w:t> </w:t>
      </w:r>
      <w:r>
        <w:rPr>
          <w:color w:val="231F20"/>
          <w:w w:val="105"/>
        </w:rPr>
        <w:t>cuenta</w:t>
      </w:r>
      <w:r>
        <w:rPr>
          <w:color w:val="231F20"/>
          <w:spacing w:val="-13"/>
          <w:w w:val="105"/>
        </w:rPr>
        <w:t> </w:t>
      </w:r>
      <w:r>
        <w:rPr>
          <w:color w:val="231F20"/>
          <w:w w:val="105"/>
        </w:rPr>
        <w:t>con</w:t>
      </w:r>
      <w:r>
        <w:rPr>
          <w:color w:val="231F20"/>
          <w:spacing w:val="-13"/>
          <w:w w:val="105"/>
        </w:rPr>
        <w:t> </w:t>
      </w:r>
      <w:r>
        <w:rPr>
          <w:color w:val="231F20"/>
          <w:w w:val="105"/>
        </w:rPr>
        <w:t>un</w:t>
      </w:r>
      <w:r>
        <w:rPr>
          <w:color w:val="231F20"/>
          <w:spacing w:val="-13"/>
          <w:w w:val="105"/>
        </w:rPr>
        <w:t> </w:t>
      </w:r>
      <w:r>
        <w:rPr>
          <w:color w:val="231F20"/>
          <w:w w:val="105"/>
        </w:rPr>
        <w:t>Reglamento</w:t>
      </w:r>
      <w:r>
        <w:rPr>
          <w:color w:val="231F20"/>
          <w:spacing w:val="-13"/>
          <w:w w:val="105"/>
        </w:rPr>
        <w:t> </w:t>
      </w:r>
      <w:r>
        <w:rPr>
          <w:color w:val="231F20"/>
          <w:w w:val="105"/>
        </w:rPr>
        <w:t>de</w:t>
      </w:r>
      <w:r>
        <w:rPr>
          <w:color w:val="231F20"/>
          <w:spacing w:val="-13"/>
          <w:w w:val="105"/>
        </w:rPr>
        <w:t> </w:t>
      </w:r>
      <w:r>
        <w:rPr>
          <w:color w:val="231F20"/>
          <w:w w:val="105"/>
        </w:rPr>
        <w:t>Transparencia</w:t>
      </w:r>
      <w:r>
        <w:rPr>
          <w:color w:val="231F20"/>
          <w:spacing w:val="-13"/>
          <w:w w:val="105"/>
        </w:rPr>
        <w:t> </w:t>
      </w:r>
      <w:r>
        <w:rPr>
          <w:color w:val="231F20"/>
          <w:w w:val="105"/>
        </w:rPr>
        <w:t>y</w:t>
      </w:r>
      <w:r>
        <w:rPr>
          <w:color w:val="231F20"/>
          <w:spacing w:val="-13"/>
          <w:w w:val="105"/>
        </w:rPr>
        <w:t> </w:t>
      </w:r>
      <w:r>
        <w:rPr>
          <w:color w:val="231F20"/>
          <w:w w:val="105"/>
        </w:rPr>
        <w:t>Acceso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Información.</w:t>
      </w:r>
    </w:p>
    <w:p>
      <w:pPr>
        <w:pStyle w:val="BodyText"/>
        <w:spacing w:before="1"/>
        <w:rPr>
          <w:sz w:val="26"/>
        </w:rPr>
      </w:pPr>
    </w:p>
    <w:p>
      <w:pPr>
        <w:pStyle w:val="BodyText"/>
        <w:spacing w:line="285" w:lineRule="auto"/>
        <w:ind w:left="110" w:right="106"/>
        <w:jc w:val="both"/>
      </w:pPr>
      <w:r>
        <w:rPr>
          <w:color w:val="231F20"/>
          <w:w w:val="105"/>
        </w:rPr>
        <w:t>El problema es la difusión de esta institución y de estas reglas en las comunidades del municipio,</w:t>
      </w:r>
      <w:r>
        <w:rPr>
          <w:color w:val="231F20"/>
          <w:spacing w:val="-8"/>
          <w:w w:val="105"/>
        </w:rPr>
        <w:t> </w:t>
      </w:r>
      <w:r>
        <w:rPr>
          <w:color w:val="231F20"/>
          <w:w w:val="105"/>
        </w:rPr>
        <w:t>ya</w:t>
      </w:r>
      <w:r>
        <w:rPr>
          <w:color w:val="231F20"/>
          <w:spacing w:val="-8"/>
          <w:w w:val="105"/>
        </w:rPr>
        <w:t> </w:t>
      </w:r>
      <w:r>
        <w:rPr>
          <w:color w:val="231F20"/>
          <w:w w:val="105"/>
        </w:rPr>
        <w:t>que</w:t>
      </w:r>
      <w:r>
        <w:rPr>
          <w:color w:val="231F20"/>
          <w:spacing w:val="-8"/>
          <w:w w:val="105"/>
        </w:rPr>
        <w:t> </w:t>
      </w:r>
      <w:r>
        <w:rPr>
          <w:color w:val="231F20"/>
          <w:w w:val="105"/>
        </w:rPr>
        <w:t>sólo</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hecho</w:t>
      </w:r>
      <w:r>
        <w:rPr>
          <w:color w:val="231F20"/>
          <w:spacing w:val="-8"/>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página</w:t>
      </w:r>
      <w:r>
        <w:rPr>
          <w:color w:val="231F20"/>
          <w:spacing w:val="-8"/>
          <w:w w:val="105"/>
        </w:rPr>
        <w:t> </w:t>
      </w:r>
      <w:r>
        <w:rPr>
          <w:color w:val="231F20"/>
          <w:w w:val="105"/>
        </w:rPr>
        <w:t>de</w:t>
      </w:r>
      <w:r>
        <w:rPr>
          <w:color w:val="231F20"/>
          <w:spacing w:val="-8"/>
          <w:w w:val="105"/>
        </w:rPr>
        <w:t> </w:t>
      </w:r>
      <w:r>
        <w:rPr>
          <w:color w:val="231F20"/>
          <w:w w:val="105"/>
        </w:rPr>
        <w:t>Internet.</w:t>
      </w:r>
      <w:r>
        <w:rPr>
          <w:color w:val="231F20"/>
          <w:spacing w:val="-8"/>
          <w:w w:val="105"/>
        </w:rPr>
        <w:t> </w:t>
      </w:r>
      <w:r>
        <w:rPr>
          <w:color w:val="231F20"/>
          <w:w w:val="105"/>
        </w:rPr>
        <w:t>Es</w:t>
      </w:r>
      <w:r>
        <w:rPr>
          <w:color w:val="231F20"/>
          <w:spacing w:val="-8"/>
          <w:w w:val="105"/>
        </w:rPr>
        <w:t> </w:t>
      </w:r>
      <w:r>
        <w:rPr>
          <w:color w:val="231F20"/>
          <w:w w:val="105"/>
        </w:rPr>
        <w:t>importante</w:t>
      </w:r>
      <w:r>
        <w:rPr>
          <w:color w:val="231F20"/>
          <w:spacing w:val="-8"/>
          <w:w w:val="105"/>
        </w:rPr>
        <w:t> </w:t>
      </w:r>
      <w:r>
        <w:rPr>
          <w:color w:val="231F20"/>
          <w:w w:val="105"/>
        </w:rPr>
        <w:t>que se</w:t>
      </w:r>
      <w:r>
        <w:rPr>
          <w:color w:val="231F20"/>
          <w:spacing w:val="-12"/>
          <w:w w:val="105"/>
        </w:rPr>
        <w:t> </w:t>
      </w:r>
      <w:r>
        <w:rPr>
          <w:color w:val="231F20"/>
          <w:w w:val="105"/>
        </w:rPr>
        <w:t>difunda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comunidad</w:t>
      </w:r>
      <w:r>
        <w:rPr>
          <w:color w:val="231F20"/>
          <w:spacing w:val="-12"/>
          <w:w w:val="105"/>
        </w:rPr>
        <w:t> </w:t>
      </w:r>
      <w:r>
        <w:rPr>
          <w:color w:val="231F20"/>
          <w:w w:val="105"/>
        </w:rPr>
        <w:t>y</w:t>
      </w:r>
      <w:r>
        <w:rPr>
          <w:color w:val="231F20"/>
          <w:spacing w:val="-12"/>
          <w:w w:val="105"/>
        </w:rPr>
        <w:t> </w:t>
      </w:r>
      <w:r>
        <w:rPr>
          <w:color w:val="231F20"/>
          <w:w w:val="105"/>
        </w:rPr>
        <w:t>sobre</w:t>
      </w:r>
      <w:r>
        <w:rPr>
          <w:color w:val="231F20"/>
          <w:spacing w:val="-12"/>
          <w:w w:val="105"/>
        </w:rPr>
        <w:t> </w:t>
      </w:r>
      <w:r>
        <w:rPr>
          <w:color w:val="231F20"/>
          <w:w w:val="105"/>
        </w:rPr>
        <w:t>todo</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facilite</w:t>
      </w:r>
      <w:r>
        <w:rPr>
          <w:color w:val="231F20"/>
          <w:spacing w:val="-12"/>
          <w:w w:val="105"/>
        </w:rPr>
        <w:t> </w:t>
      </w:r>
      <w:r>
        <w:rPr>
          <w:color w:val="231F20"/>
          <w:w w:val="105"/>
        </w:rPr>
        <w:t>el</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información,</w:t>
      </w:r>
      <w:r>
        <w:rPr>
          <w:color w:val="231F20"/>
          <w:spacing w:val="-12"/>
          <w:w w:val="105"/>
        </w:rPr>
        <w:t> </w:t>
      </w:r>
      <w:r>
        <w:rPr>
          <w:color w:val="231F20"/>
          <w:w w:val="105"/>
        </w:rPr>
        <w:t>pues si</w:t>
      </w:r>
      <w:r>
        <w:rPr>
          <w:color w:val="231F20"/>
          <w:spacing w:val="-14"/>
          <w:w w:val="105"/>
        </w:rPr>
        <w:t> </w:t>
      </w:r>
      <w:r>
        <w:rPr>
          <w:color w:val="231F20"/>
          <w:w w:val="105"/>
        </w:rPr>
        <w:t>se</w:t>
      </w:r>
      <w:r>
        <w:rPr>
          <w:color w:val="231F20"/>
          <w:spacing w:val="-14"/>
          <w:w w:val="105"/>
        </w:rPr>
        <w:t> </w:t>
      </w:r>
      <w:r>
        <w:rPr>
          <w:color w:val="231F20"/>
          <w:w w:val="105"/>
        </w:rPr>
        <w:t>deja</w:t>
      </w:r>
      <w:r>
        <w:rPr>
          <w:color w:val="231F20"/>
          <w:spacing w:val="-14"/>
          <w:w w:val="105"/>
        </w:rPr>
        <w:t> </w:t>
      </w:r>
      <w:r>
        <w:rPr>
          <w:color w:val="231F20"/>
          <w:w w:val="105"/>
        </w:rPr>
        <w:t>sólo</w:t>
      </w:r>
      <w:r>
        <w:rPr>
          <w:color w:val="231F20"/>
          <w:spacing w:val="-14"/>
          <w:w w:val="105"/>
        </w:rPr>
        <w:t> </w:t>
      </w:r>
      <w:r>
        <w:rPr>
          <w:color w:val="231F20"/>
          <w:w w:val="105"/>
        </w:rPr>
        <w:t>a</w:t>
      </w:r>
      <w:r>
        <w:rPr>
          <w:color w:val="231F20"/>
          <w:spacing w:val="-14"/>
          <w:w w:val="105"/>
        </w:rPr>
        <w:t> </w:t>
      </w:r>
      <w:r>
        <w:rPr>
          <w:color w:val="231F20"/>
          <w:w w:val="105"/>
        </w:rPr>
        <w:t>través</w:t>
      </w:r>
      <w:r>
        <w:rPr>
          <w:color w:val="231F20"/>
          <w:spacing w:val="-14"/>
          <w:w w:val="105"/>
        </w:rPr>
        <w:t> </w:t>
      </w:r>
      <w:r>
        <w:rPr>
          <w:color w:val="231F20"/>
          <w:w w:val="105"/>
        </w:rPr>
        <w:t>de</w:t>
      </w:r>
      <w:r>
        <w:rPr>
          <w:color w:val="231F20"/>
          <w:spacing w:val="-14"/>
          <w:w w:val="105"/>
        </w:rPr>
        <w:t> </w:t>
      </w:r>
      <w:r>
        <w:rPr>
          <w:color w:val="231F20"/>
          <w:w w:val="105"/>
        </w:rPr>
        <w:t>internet,</w:t>
      </w:r>
      <w:r>
        <w:rPr>
          <w:color w:val="231F20"/>
          <w:spacing w:val="-14"/>
          <w:w w:val="105"/>
        </w:rPr>
        <w:t> </w:t>
      </w:r>
      <w:r>
        <w:rPr>
          <w:color w:val="231F20"/>
          <w:w w:val="105"/>
        </w:rPr>
        <w:t>una</w:t>
      </w:r>
      <w:r>
        <w:rPr>
          <w:color w:val="231F20"/>
          <w:spacing w:val="-14"/>
          <w:w w:val="105"/>
        </w:rPr>
        <w:t> </w:t>
      </w:r>
      <w:r>
        <w:rPr>
          <w:color w:val="231F20"/>
          <w:w w:val="105"/>
        </w:rPr>
        <w:t>llamada</w:t>
      </w:r>
      <w:r>
        <w:rPr>
          <w:color w:val="231F20"/>
          <w:spacing w:val="-14"/>
          <w:w w:val="105"/>
        </w:rPr>
        <w:t> </w:t>
      </w:r>
      <w:r>
        <w:rPr>
          <w:color w:val="231F20"/>
          <w:w w:val="105"/>
        </w:rPr>
        <w:t>telefónica</w:t>
      </w:r>
      <w:r>
        <w:rPr>
          <w:color w:val="231F20"/>
          <w:spacing w:val="-14"/>
          <w:w w:val="105"/>
        </w:rPr>
        <w:t> </w:t>
      </w:r>
      <w:r>
        <w:rPr>
          <w:color w:val="231F20"/>
          <w:w w:val="105"/>
        </w:rPr>
        <w:t>o</w:t>
      </w:r>
      <w:r>
        <w:rPr>
          <w:color w:val="231F20"/>
          <w:spacing w:val="-14"/>
          <w:w w:val="105"/>
        </w:rPr>
        <w:t> </w:t>
      </w:r>
      <w:r>
        <w:rPr>
          <w:color w:val="231F20"/>
          <w:w w:val="105"/>
        </w:rPr>
        <w:t>ir</w:t>
      </w:r>
      <w:r>
        <w:rPr>
          <w:color w:val="231F20"/>
          <w:spacing w:val="-14"/>
          <w:w w:val="105"/>
        </w:rPr>
        <w:t> </w:t>
      </w:r>
      <w:r>
        <w:rPr>
          <w:color w:val="231F20"/>
          <w:spacing w:val="2"/>
          <w:w w:val="105"/>
        </w:rPr>
        <w:t>al</w:t>
      </w:r>
      <w:r>
        <w:rPr>
          <w:color w:val="231F20"/>
          <w:spacing w:val="-14"/>
          <w:w w:val="105"/>
        </w:rPr>
        <w:t> </w:t>
      </w:r>
      <w:r>
        <w:rPr>
          <w:color w:val="231F20"/>
          <w:w w:val="105"/>
        </w:rPr>
        <w:t>municipio,</w:t>
      </w:r>
      <w:r>
        <w:rPr>
          <w:color w:val="231F20"/>
          <w:spacing w:val="-14"/>
          <w:w w:val="105"/>
        </w:rPr>
        <w:t> </w:t>
      </w:r>
      <w:r>
        <w:rPr>
          <w:color w:val="231F20"/>
          <w:w w:val="105"/>
        </w:rPr>
        <w:t>se</w:t>
      </w:r>
      <w:r>
        <w:rPr>
          <w:color w:val="231F20"/>
          <w:spacing w:val="-14"/>
          <w:w w:val="105"/>
        </w:rPr>
        <w:t> </w:t>
      </w:r>
      <w:r>
        <w:rPr>
          <w:color w:val="231F20"/>
          <w:w w:val="105"/>
        </w:rPr>
        <w:t>convierte en</w:t>
      </w:r>
      <w:r>
        <w:rPr>
          <w:color w:val="231F20"/>
          <w:spacing w:val="-13"/>
          <w:w w:val="105"/>
        </w:rPr>
        <w:t> </w:t>
      </w:r>
      <w:r>
        <w:rPr>
          <w:color w:val="231F20"/>
          <w:w w:val="105"/>
        </w:rPr>
        <w:t>algo</w:t>
      </w:r>
      <w:r>
        <w:rPr>
          <w:color w:val="231F20"/>
          <w:spacing w:val="-13"/>
          <w:w w:val="105"/>
        </w:rPr>
        <w:t> </w:t>
      </w:r>
      <w:r>
        <w:rPr>
          <w:color w:val="231F20"/>
          <w:w w:val="105"/>
        </w:rPr>
        <w:t>de</w:t>
      </w:r>
      <w:r>
        <w:rPr>
          <w:color w:val="231F20"/>
          <w:spacing w:val="-13"/>
          <w:w w:val="105"/>
        </w:rPr>
        <w:t> </w:t>
      </w:r>
      <w:r>
        <w:rPr>
          <w:color w:val="231F20"/>
          <w:w w:val="105"/>
        </w:rPr>
        <w:t>fácil</w:t>
      </w:r>
      <w:r>
        <w:rPr>
          <w:color w:val="231F20"/>
          <w:spacing w:val="-13"/>
          <w:w w:val="105"/>
        </w:rPr>
        <w:t> </w:t>
      </w:r>
      <w:r>
        <w:rPr>
          <w:color w:val="231F20"/>
          <w:w w:val="105"/>
        </w:rPr>
        <w:t>acceso</w:t>
      </w:r>
      <w:r>
        <w:rPr>
          <w:color w:val="231F20"/>
          <w:spacing w:val="-13"/>
          <w:w w:val="105"/>
        </w:rPr>
        <w:t> </w:t>
      </w:r>
      <w:r>
        <w:rPr>
          <w:color w:val="231F20"/>
          <w:w w:val="105"/>
        </w:rPr>
        <w:t>sólo</w:t>
      </w:r>
      <w:r>
        <w:rPr>
          <w:color w:val="231F20"/>
          <w:spacing w:val="-13"/>
          <w:w w:val="105"/>
        </w:rPr>
        <w:t> </w:t>
      </w:r>
      <w:r>
        <w:rPr>
          <w:color w:val="231F20"/>
          <w:w w:val="105"/>
        </w:rPr>
        <w:t>para</w:t>
      </w:r>
      <w:r>
        <w:rPr>
          <w:color w:val="231F20"/>
          <w:spacing w:val="-13"/>
          <w:w w:val="105"/>
        </w:rPr>
        <w:t> </w:t>
      </w:r>
      <w:r>
        <w:rPr>
          <w:color w:val="231F20"/>
          <w:w w:val="105"/>
        </w:rPr>
        <w:t>un</w:t>
      </w:r>
      <w:r>
        <w:rPr>
          <w:color w:val="231F20"/>
          <w:spacing w:val="-13"/>
          <w:w w:val="105"/>
        </w:rPr>
        <w:t> </w:t>
      </w:r>
      <w:r>
        <w:rPr>
          <w:color w:val="231F20"/>
          <w:w w:val="105"/>
        </w:rPr>
        <w:t>segmento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y</w:t>
      </w:r>
      <w:r>
        <w:rPr>
          <w:color w:val="231F20"/>
          <w:spacing w:val="-13"/>
          <w:w w:val="105"/>
        </w:rPr>
        <w:t> </w:t>
      </w:r>
      <w:r>
        <w:rPr>
          <w:color w:val="231F20"/>
          <w:w w:val="105"/>
        </w:rPr>
        <w:t>no</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gran</w:t>
      </w:r>
      <w:r>
        <w:rPr>
          <w:color w:val="231F20"/>
          <w:spacing w:val="-13"/>
          <w:w w:val="105"/>
        </w:rPr>
        <w:t> </w:t>
      </w:r>
      <w:r>
        <w:rPr>
          <w:color w:val="231F20"/>
          <w:w w:val="105"/>
        </w:rPr>
        <w:t>mayoría de los</w:t>
      </w:r>
      <w:r>
        <w:rPr>
          <w:color w:val="231F20"/>
          <w:spacing w:val="-47"/>
          <w:w w:val="105"/>
        </w:rPr>
        <w:t> </w:t>
      </w:r>
      <w:r>
        <w:rPr>
          <w:color w:val="231F20"/>
          <w:w w:val="105"/>
        </w:rPr>
        <w:t>ciudadanos.</w:t>
      </w:r>
    </w:p>
    <w:p>
      <w:pPr>
        <w:pStyle w:val="BodyText"/>
        <w:spacing w:before="1"/>
        <w:rPr>
          <w:sz w:val="26"/>
        </w:rPr>
      </w:pPr>
    </w:p>
    <w:p>
      <w:pPr>
        <w:pStyle w:val="BodyText"/>
        <w:spacing w:line="285" w:lineRule="auto"/>
        <w:ind w:left="110" w:right="108"/>
        <w:jc w:val="both"/>
      </w:pPr>
      <w:r>
        <w:rPr/>
        <w:pict>
          <v:line style="position:absolute;mso-position-horizontal-relative:page;mso-position-vertical-relative:paragraph;z-index:10624;mso-wrap-distance-left:0;mso-wrap-distance-right:0" from="42.519699pt,65.221237pt" to="114.519699pt,65.221237pt" stroked="true" strokeweight="1pt" strokecolor="#231f20">
            <w10:wrap type="topAndBottom"/>
          </v:line>
        </w:pict>
      </w:r>
      <w:r>
        <w:rPr>
          <w:color w:val="231F20"/>
          <w:spacing w:val="-3"/>
          <w:w w:val="105"/>
        </w:rPr>
        <w:t>Dentro del eje rector </w:t>
      </w:r>
      <w:r>
        <w:rPr>
          <w:color w:val="231F20"/>
          <w:w w:val="105"/>
        </w:rPr>
        <w:t>de Desarrollo Social, </w:t>
      </w:r>
      <w:r>
        <w:rPr>
          <w:color w:val="231F20"/>
          <w:spacing w:val="-3"/>
          <w:w w:val="105"/>
        </w:rPr>
        <w:t>planteaba </w:t>
      </w:r>
      <w:r>
        <w:rPr>
          <w:color w:val="231F20"/>
          <w:spacing w:val="-4"/>
          <w:w w:val="105"/>
        </w:rPr>
        <w:t>como </w:t>
      </w:r>
      <w:r>
        <w:rPr>
          <w:color w:val="231F20"/>
          <w:w w:val="105"/>
        </w:rPr>
        <w:t>una de sus </w:t>
      </w:r>
      <w:r>
        <w:rPr>
          <w:color w:val="231F20"/>
          <w:spacing w:val="-4"/>
          <w:w w:val="105"/>
        </w:rPr>
        <w:t>preocupaciones </w:t>
      </w:r>
      <w:r>
        <w:rPr>
          <w:color w:val="231F20"/>
          <w:spacing w:val="-3"/>
          <w:w w:val="105"/>
        </w:rPr>
        <w:t>principales combatir </w:t>
      </w:r>
      <w:r>
        <w:rPr>
          <w:color w:val="231F20"/>
          <w:w w:val="105"/>
        </w:rPr>
        <w:t>el </w:t>
      </w:r>
      <w:r>
        <w:rPr>
          <w:color w:val="231F20"/>
          <w:spacing w:val="-4"/>
          <w:w w:val="105"/>
        </w:rPr>
        <w:t>problema </w:t>
      </w:r>
      <w:r>
        <w:rPr>
          <w:color w:val="231F20"/>
          <w:w w:val="105"/>
        </w:rPr>
        <w:t>de </w:t>
      </w:r>
      <w:r>
        <w:rPr>
          <w:color w:val="231F20"/>
          <w:spacing w:val="-3"/>
          <w:w w:val="105"/>
        </w:rPr>
        <w:t>carencia </w:t>
      </w:r>
      <w:r>
        <w:rPr>
          <w:color w:val="231F20"/>
          <w:w w:val="105"/>
        </w:rPr>
        <w:t>de vivienda digna en </w:t>
      </w:r>
      <w:r>
        <w:rPr>
          <w:color w:val="231F20"/>
          <w:spacing w:val="-3"/>
          <w:w w:val="105"/>
        </w:rPr>
        <w:t>los sectores </w:t>
      </w:r>
      <w:r>
        <w:rPr>
          <w:color w:val="231F20"/>
          <w:w w:val="105"/>
        </w:rPr>
        <w:t>margi- </w:t>
      </w:r>
      <w:r>
        <w:rPr>
          <w:color w:val="231F20"/>
          <w:spacing w:val="-4"/>
          <w:w w:val="105"/>
        </w:rPr>
        <w:t>nados </w:t>
      </w:r>
      <w:r>
        <w:rPr>
          <w:color w:val="231F20"/>
          <w:spacing w:val="-3"/>
          <w:w w:val="105"/>
        </w:rPr>
        <w:t>del municipio, </w:t>
      </w:r>
      <w:r>
        <w:rPr>
          <w:color w:val="231F20"/>
          <w:spacing w:val="-4"/>
          <w:w w:val="105"/>
        </w:rPr>
        <w:t>sobre </w:t>
      </w:r>
      <w:r>
        <w:rPr>
          <w:color w:val="231F20"/>
          <w:spacing w:val="-3"/>
          <w:w w:val="105"/>
        </w:rPr>
        <w:t>todo </w:t>
      </w:r>
      <w:r>
        <w:rPr>
          <w:color w:val="231F20"/>
          <w:w w:val="105"/>
        </w:rPr>
        <w:t>en la </w:t>
      </w:r>
      <w:r>
        <w:rPr>
          <w:color w:val="231F20"/>
          <w:spacing w:val="-3"/>
          <w:w w:val="105"/>
        </w:rPr>
        <w:t>zona </w:t>
      </w:r>
      <w:r>
        <w:rPr>
          <w:color w:val="231F20"/>
          <w:spacing w:val="-4"/>
          <w:w w:val="105"/>
        </w:rPr>
        <w:t>oriente </w:t>
      </w:r>
      <w:r>
        <w:rPr>
          <w:color w:val="231F20"/>
          <w:spacing w:val="-3"/>
          <w:w w:val="105"/>
        </w:rPr>
        <w:t>del </w:t>
      </w:r>
      <w:r>
        <w:rPr>
          <w:color w:val="231F20"/>
          <w:spacing w:val="-4"/>
          <w:w w:val="105"/>
        </w:rPr>
        <w:t>municipio. </w:t>
      </w:r>
      <w:r>
        <w:rPr>
          <w:color w:val="231F20"/>
          <w:spacing w:val="-5"/>
          <w:w w:val="105"/>
        </w:rPr>
        <w:t>Por </w:t>
      </w:r>
      <w:r>
        <w:rPr>
          <w:color w:val="231F20"/>
          <w:w w:val="105"/>
        </w:rPr>
        <w:t>su parte, el </w:t>
      </w:r>
      <w:r>
        <w:rPr>
          <w:color w:val="231F20"/>
          <w:spacing w:val="-3"/>
          <w:w w:val="105"/>
        </w:rPr>
        <w:t>bando </w:t>
      </w:r>
      <w:r>
        <w:rPr>
          <w:color w:val="231F20"/>
          <w:w w:val="105"/>
        </w:rPr>
        <w:t>municipal</w:t>
      </w:r>
      <w:r>
        <w:rPr>
          <w:color w:val="231F20"/>
          <w:w w:val="105"/>
          <w:position w:val="7"/>
          <w:sz w:val="13"/>
        </w:rPr>
        <w:t>19</w:t>
      </w:r>
      <w:r>
        <w:rPr>
          <w:color w:val="231F20"/>
          <w:spacing w:val="2"/>
          <w:w w:val="105"/>
          <w:position w:val="7"/>
          <w:sz w:val="13"/>
        </w:rPr>
        <w:t> </w:t>
      </w:r>
      <w:r>
        <w:rPr>
          <w:color w:val="231F20"/>
          <w:w w:val="105"/>
        </w:rPr>
        <w:t>manifestaba</w:t>
      </w:r>
      <w:r>
        <w:rPr>
          <w:color w:val="231F20"/>
          <w:spacing w:val="-23"/>
          <w:w w:val="105"/>
        </w:rPr>
        <w:t> </w:t>
      </w:r>
      <w:r>
        <w:rPr>
          <w:color w:val="231F20"/>
          <w:spacing w:val="-4"/>
          <w:w w:val="105"/>
        </w:rPr>
        <w:t>como</w:t>
      </w:r>
      <w:r>
        <w:rPr>
          <w:color w:val="231F20"/>
          <w:spacing w:val="-23"/>
          <w:w w:val="105"/>
        </w:rPr>
        <w:t> </w:t>
      </w:r>
      <w:r>
        <w:rPr>
          <w:color w:val="231F20"/>
          <w:w w:val="105"/>
        </w:rPr>
        <w:t>fin</w:t>
      </w:r>
      <w:r>
        <w:rPr>
          <w:color w:val="231F20"/>
          <w:spacing w:val="-23"/>
          <w:w w:val="105"/>
        </w:rPr>
        <w:t> </w:t>
      </w:r>
      <w:r>
        <w:rPr>
          <w:color w:val="231F20"/>
          <w:w w:val="105"/>
        </w:rPr>
        <w:t>esencial</w:t>
      </w:r>
      <w:r>
        <w:rPr>
          <w:color w:val="231F20"/>
          <w:spacing w:val="-23"/>
          <w:w w:val="105"/>
        </w:rPr>
        <w:t> </w:t>
      </w:r>
      <w:r>
        <w:rPr>
          <w:color w:val="231F20"/>
          <w:spacing w:val="-3"/>
          <w:w w:val="105"/>
        </w:rPr>
        <w:t>del</w:t>
      </w:r>
      <w:r>
        <w:rPr>
          <w:color w:val="231F20"/>
          <w:spacing w:val="-23"/>
          <w:w w:val="105"/>
        </w:rPr>
        <w:t> </w:t>
      </w:r>
      <w:r>
        <w:rPr>
          <w:color w:val="231F20"/>
          <w:spacing w:val="-4"/>
          <w:w w:val="105"/>
        </w:rPr>
        <w:t>Gobierno</w:t>
      </w:r>
      <w:r>
        <w:rPr>
          <w:color w:val="231F20"/>
          <w:spacing w:val="-23"/>
          <w:w w:val="105"/>
        </w:rPr>
        <w:t> </w:t>
      </w:r>
      <w:r>
        <w:rPr>
          <w:color w:val="231F20"/>
          <w:w w:val="105"/>
        </w:rPr>
        <w:t>Municipal,</w:t>
      </w:r>
      <w:r>
        <w:rPr>
          <w:color w:val="231F20"/>
          <w:spacing w:val="-23"/>
          <w:w w:val="105"/>
        </w:rPr>
        <w:t> </w:t>
      </w:r>
      <w:r>
        <w:rPr>
          <w:color w:val="231F20"/>
          <w:w w:val="105"/>
        </w:rPr>
        <w:t>lograr</w:t>
      </w:r>
      <w:r>
        <w:rPr>
          <w:color w:val="231F20"/>
          <w:spacing w:val="-23"/>
          <w:w w:val="105"/>
        </w:rPr>
        <w:t> </w:t>
      </w:r>
      <w:r>
        <w:rPr>
          <w:color w:val="231F20"/>
          <w:w w:val="105"/>
        </w:rPr>
        <w:t>el</w:t>
      </w:r>
      <w:r>
        <w:rPr>
          <w:color w:val="231F20"/>
          <w:spacing w:val="-23"/>
          <w:w w:val="105"/>
        </w:rPr>
        <w:t> </w:t>
      </w:r>
      <w:r>
        <w:rPr>
          <w:color w:val="231F20"/>
          <w:spacing w:val="-4"/>
          <w:w w:val="105"/>
        </w:rPr>
        <w:t>bien</w:t>
      </w:r>
      <w:r>
        <w:rPr>
          <w:color w:val="231F20"/>
          <w:spacing w:val="-23"/>
          <w:w w:val="105"/>
        </w:rPr>
        <w:t> </w:t>
      </w:r>
      <w:r>
        <w:rPr>
          <w:color w:val="231F20"/>
          <w:spacing w:val="-3"/>
          <w:w w:val="105"/>
        </w:rPr>
        <w:t>común</w:t>
      </w:r>
    </w:p>
    <w:p>
      <w:pPr>
        <w:pStyle w:val="ListParagraph"/>
        <w:numPr>
          <w:ilvl w:val="0"/>
          <w:numId w:val="15"/>
        </w:numPr>
        <w:tabs>
          <w:tab w:pos="350" w:val="left" w:leader="none"/>
        </w:tabs>
        <w:spacing w:line="244" w:lineRule="auto" w:before="8" w:after="0"/>
        <w:ind w:left="110" w:right="108" w:firstLine="0"/>
        <w:jc w:val="both"/>
        <w:rPr>
          <w:sz w:val="16"/>
        </w:rPr>
      </w:pPr>
      <w:r>
        <w:rPr>
          <w:color w:val="231F20"/>
          <w:sz w:val="16"/>
        </w:rPr>
        <w:t>El cual es definido como “de interés público, tiene por objeto establecer las normas generales básicas para orientar el régimen de gobierno, la organización y el funcionamiento de la Administración Pública Municipal, hacia el bienestar social y el desarrollo humano del municipio… Sus disposiciones son de observancia general y obligatoria en todo el territorio </w:t>
      </w:r>
      <w:r>
        <w:rPr>
          <w:color w:val="231F20"/>
          <w:w w:val="95"/>
          <w:sz w:val="16"/>
        </w:rPr>
        <w:t>municipal”. </w:t>
      </w:r>
      <w:hyperlink r:id="rId669">
        <w:r>
          <w:rPr>
            <w:color w:val="231F20"/>
            <w:w w:val="95"/>
            <w:sz w:val="16"/>
          </w:rPr>
          <w:t>http://www.ordenjuridico.gob.mx/Estatal/ESTADO%20DE%20MEXICO/Municipios/Tlalnepantla%20de%20Baz/</w:t>
        </w:r>
      </w:hyperlink>
      <w:r>
        <w:rPr>
          <w:color w:val="231F20"/>
          <w:w w:val="95"/>
          <w:sz w:val="16"/>
        </w:rPr>
        <w:t> </w:t>
      </w:r>
      <w:r>
        <w:rPr>
          <w:color w:val="231F20"/>
          <w:sz w:val="16"/>
        </w:rPr>
        <w:t>TLABan1.pd</w:t>
      </w:r>
    </w:p>
    <w:p>
      <w:pPr>
        <w:spacing w:after="0" w:line="244" w:lineRule="auto"/>
        <w:jc w:val="both"/>
        <w:rPr>
          <w:sz w:val="16"/>
        </w:rPr>
        <w:sectPr>
          <w:pgSz w:w="9640" w:h="12190"/>
          <w:pgMar w:header="0" w:footer="743" w:top="1120" w:bottom="940" w:left="740" w:right="740"/>
        </w:sectPr>
      </w:pPr>
    </w:p>
    <w:p>
      <w:pPr>
        <w:pStyle w:val="BodyText"/>
        <w:spacing w:before="5"/>
        <w:rPr>
          <w:rFonts w:ascii="Calibri"/>
          <w:sz w:val="9"/>
        </w:rPr>
      </w:pPr>
    </w:p>
    <w:p>
      <w:pPr>
        <w:pStyle w:val="BodyText"/>
        <w:spacing w:line="285" w:lineRule="auto" w:before="50"/>
        <w:ind w:left="110" w:right="107" w:hanging="1"/>
        <w:jc w:val="both"/>
      </w:pP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spacing w:val="-3"/>
          <w:w w:val="105"/>
        </w:rPr>
        <w:t>humano</w:t>
      </w:r>
      <w:r>
        <w:rPr>
          <w:color w:val="231F20"/>
          <w:spacing w:val="-3"/>
          <w:w w:val="105"/>
          <w:position w:val="7"/>
          <w:sz w:val="13"/>
        </w:rPr>
        <w:t>20</w:t>
      </w:r>
      <w:r>
        <w:rPr>
          <w:color w:val="231F20"/>
          <w:spacing w:val="11"/>
          <w:w w:val="105"/>
          <w:position w:val="7"/>
          <w:sz w:val="13"/>
        </w:rPr>
        <w:t> </w:t>
      </w:r>
      <w:r>
        <w:rPr>
          <w:color w:val="231F20"/>
          <w:w w:val="105"/>
        </w:rPr>
        <w:t>de</w:t>
      </w:r>
      <w:r>
        <w:rPr>
          <w:color w:val="231F20"/>
          <w:spacing w:val="-13"/>
          <w:w w:val="105"/>
        </w:rPr>
        <w:t> </w:t>
      </w:r>
      <w:r>
        <w:rPr>
          <w:color w:val="231F20"/>
          <w:w w:val="105"/>
        </w:rPr>
        <w:t>sus</w:t>
      </w:r>
      <w:r>
        <w:rPr>
          <w:color w:val="231F20"/>
          <w:spacing w:val="-13"/>
          <w:w w:val="105"/>
        </w:rPr>
        <w:t> </w:t>
      </w:r>
      <w:r>
        <w:rPr>
          <w:color w:val="231F20"/>
          <w:spacing w:val="-3"/>
          <w:w w:val="105"/>
        </w:rPr>
        <w:t>habitantes</w:t>
      </w:r>
      <w:r>
        <w:rPr>
          <w:color w:val="231F20"/>
          <w:spacing w:val="-3"/>
          <w:w w:val="105"/>
          <w:position w:val="7"/>
          <w:sz w:val="13"/>
        </w:rPr>
        <w:t>21.</w:t>
      </w:r>
      <w:r>
        <w:rPr>
          <w:color w:val="231F20"/>
          <w:spacing w:val="11"/>
          <w:w w:val="105"/>
          <w:position w:val="7"/>
          <w:sz w:val="13"/>
        </w:rPr>
        <w:t> </w:t>
      </w:r>
      <w:r>
        <w:rPr>
          <w:color w:val="231F20"/>
          <w:w w:val="105"/>
        </w:rPr>
        <w:t>Para</w:t>
      </w:r>
      <w:r>
        <w:rPr>
          <w:color w:val="231F20"/>
          <w:spacing w:val="-13"/>
          <w:w w:val="105"/>
        </w:rPr>
        <w:t> </w:t>
      </w:r>
      <w:r>
        <w:rPr>
          <w:color w:val="231F20"/>
          <w:w w:val="105"/>
        </w:rPr>
        <w:t>dar</w:t>
      </w:r>
      <w:r>
        <w:rPr>
          <w:color w:val="231F20"/>
          <w:spacing w:val="-13"/>
          <w:w w:val="105"/>
        </w:rPr>
        <w:t> </w:t>
      </w:r>
      <w:r>
        <w:rPr>
          <w:color w:val="231F20"/>
          <w:w w:val="105"/>
        </w:rPr>
        <w:t>seguimiento</w:t>
      </w:r>
      <w:r>
        <w:rPr>
          <w:color w:val="231F20"/>
          <w:spacing w:val="-13"/>
          <w:w w:val="105"/>
        </w:rPr>
        <w:t> </w:t>
      </w:r>
      <w:r>
        <w:rPr>
          <w:color w:val="231F20"/>
          <w:w w:val="105"/>
        </w:rPr>
        <w:t>a</w:t>
      </w:r>
      <w:r>
        <w:rPr>
          <w:color w:val="231F20"/>
          <w:spacing w:val="-13"/>
          <w:w w:val="105"/>
        </w:rPr>
        <w:t> </w:t>
      </w:r>
      <w:r>
        <w:rPr>
          <w:color w:val="231F20"/>
          <w:spacing w:val="-3"/>
          <w:w w:val="105"/>
        </w:rPr>
        <w:t>lo</w:t>
      </w:r>
      <w:r>
        <w:rPr>
          <w:color w:val="231F20"/>
          <w:spacing w:val="-13"/>
          <w:w w:val="105"/>
        </w:rPr>
        <w:t> </w:t>
      </w:r>
      <w:r>
        <w:rPr>
          <w:color w:val="231F20"/>
          <w:spacing w:val="-4"/>
          <w:w w:val="105"/>
        </w:rPr>
        <w:t>anterior,</w:t>
      </w:r>
      <w:r>
        <w:rPr>
          <w:color w:val="231F20"/>
          <w:spacing w:val="-13"/>
          <w:w w:val="105"/>
        </w:rPr>
        <w:t> </w:t>
      </w:r>
      <w:r>
        <w:rPr>
          <w:color w:val="231F20"/>
          <w:w w:val="105"/>
        </w:rPr>
        <w:t>se</w:t>
      </w:r>
      <w:r>
        <w:rPr>
          <w:color w:val="231F20"/>
          <w:spacing w:val="-13"/>
          <w:w w:val="105"/>
        </w:rPr>
        <w:t> </w:t>
      </w:r>
      <w:r>
        <w:rPr>
          <w:color w:val="231F20"/>
          <w:spacing w:val="-3"/>
          <w:w w:val="105"/>
        </w:rPr>
        <w:t>imple- </w:t>
      </w:r>
      <w:r>
        <w:rPr>
          <w:color w:val="231F20"/>
          <w:spacing w:val="-4"/>
          <w:w w:val="105"/>
        </w:rPr>
        <w:t>mentó</w:t>
      </w:r>
      <w:r>
        <w:rPr>
          <w:color w:val="231F20"/>
          <w:spacing w:val="-8"/>
          <w:w w:val="105"/>
        </w:rPr>
        <w:t> </w:t>
      </w:r>
      <w:r>
        <w:rPr>
          <w:color w:val="231F20"/>
          <w:w w:val="105"/>
        </w:rPr>
        <w:t>el</w:t>
      </w:r>
      <w:r>
        <w:rPr>
          <w:color w:val="231F20"/>
          <w:spacing w:val="-8"/>
          <w:w w:val="105"/>
        </w:rPr>
        <w:t> </w:t>
      </w:r>
      <w:r>
        <w:rPr>
          <w:color w:val="231F20"/>
          <w:w w:val="105"/>
        </w:rPr>
        <w:t>programa</w:t>
      </w:r>
      <w:r>
        <w:rPr>
          <w:color w:val="231F20"/>
          <w:spacing w:val="-8"/>
          <w:w w:val="105"/>
        </w:rPr>
        <w:t> </w:t>
      </w:r>
      <w:r>
        <w:rPr>
          <w:color w:val="231F20"/>
          <w:w w:val="105"/>
        </w:rPr>
        <w:t>llamado</w:t>
      </w:r>
      <w:r>
        <w:rPr>
          <w:color w:val="231F20"/>
          <w:spacing w:val="-8"/>
          <w:w w:val="105"/>
        </w:rPr>
        <w:t> </w:t>
      </w:r>
      <w:r>
        <w:rPr>
          <w:color w:val="231F20"/>
          <w:spacing w:val="-3"/>
          <w:w w:val="105"/>
        </w:rPr>
        <w:t>“Vivienda</w:t>
      </w:r>
      <w:r>
        <w:rPr>
          <w:color w:val="231F20"/>
          <w:spacing w:val="-8"/>
          <w:w w:val="105"/>
        </w:rPr>
        <w:t> </w:t>
      </w:r>
      <w:r>
        <w:rPr>
          <w:color w:val="231F20"/>
          <w:spacing w:val="-3"/>
          <w:w w:val="105"/>
        </w:rPr>
        <w:t>Popular</w:t>
      </w:r>
      <w:r>
        <w:rPr>
          <w:color w:val="231F20"/>
          <w:spacing w:val="-8"/>
          <w:w w:val="105"/>
        </w:rPr>
        <w:t> </w:t>
      </w:r>
      <w:r>
        <w:rPr>
          <w:color w:val="231F20"/>
          <w:w w:val="105"/>
        </w:rPr>
        <w:t>y</w:t>
      </w:r>
      <w:r>
        <w:rPr>
          <w:color w:val="231F20"/>
          <w:spacing w:val="-8"/>
          <w:w w:val="105"/>
        </w:rPr>
        <w:t> </w:t>
      </w:r>
      <w:r>
        <w:rPr>
          <w:color w:val="231F20"/>
          <w:spacing w:val="-3"/>
          <w:w w:val="105"/>
        </w:rPr>
        <w:t>Organización</w:t>
      </w:r>
      <w:r>
        <w:rPr>
          <w:color w:val="231F20"/>
          <w:spacing w:val="-8"/>
          <w:w w:val="105"/>
        </w:rPr>
        <w:t> </w:t>
      </w:r>
      <w:r>
        <w:rPr>
          <w:color w:val="231F20"/>
          <w:w w:val="105"/>
        </w:rPr>
        <w:t>Comunitaria”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3"/>
          <w:w w:val="105"/>
        </w:rPr>
        <w:t>zona conocida</w:t>
      </w:r>
      <w:r>
        <w:rPr>
          <w:color w:val="231F20"/>
          <w:spacing w:val="-14"/>
          <w:w w:val="105"/>
        </w:rPr>
        <w:t> </w:t>
      </w:r>
      <w:r>
        <w:rPr>
          <w:color w:val="231F20"/>
          <w:spacing w:val="-4"/>
          <w:w w:val="105"/>
        </w:rPr>
        <w:t>como</w:t>
      </w:r>
      <w:r>
        <w:rPr>
          <w:color w:val="231F20"/>
          <w:spacing w:val="-14"/>
          <w:w w:val="105"/>
        </w:rPr>
        <w:t> </w:t>
      </w:r>
      <w:r>
        <w:rPr>
          <w:color w:val="231F20"/>
          <w:w w:val="105"/>
        </w:rPr>
        <w:t>“La</w:t>
      </w:r>
      <w:r>
        <w:rPr>
          <w:color w:val="231F20"/>
          <w:spacing w:val="-14"/>
          <w:w w:val="105"/>
        </w:rPr>
        <w:t> </w:t>
      </w:r>
      <w:r>
        <w:rPr>
          <w:color w:val="231F20"/>
          <w:spacing w:val="-4"/>
          <w:w w:val="105"/>
        </w:rPr>
        <w:t>Petrolera”</w:t>
      </w:r>
      <w:r>
        <w:rPr>
          <w:color w:val="231F20"/>
          <w:spacing w:val="-14"/>
          <w:w w:val="105"/>
        </w:rPr>
        <w:t> </w:t>
      </w:r>
      <w:r>
        <w:rPr>
          <w:color w:val="231F20"/>
          <w:w w:val="105"/>
          <w:position w:val="7"/>
          <w:sz w:val="13"/>
        </w:rPr>
        <w:t>22,</w:t>
      </w:r>
      <w:r>
        <w:rPr>
          <w:color w:val="231F20"/>
          <w:spacing w:val="10"/>
          <w:w w:val="105"/>
          <w:position w:val="7"/>
          <w:sz w:val="13"/>
        </w:rPr>
        <w:t> </w:t>
      </w:r>
      <w:r>
        <w:rPr>
          <w:color w:val="231F20"/>
          <w:spacing w:val="-3"/>
          <w:w w:val="105"/>
        </w:rPr>
        <w:t>que</w:t>
      </w:r>
      <w:r>
        <w:rPr>
          <w:color w:val="231F20"/>
          <w:spacing w:val="-14"/>
          <w:w w:val="105"/>
        </w:rPr>
        <w:t> </w:t>
      </w:r>
      <w:r>
        <w:rPr>
          <w:color w:val="231F20"/>
          <w:spacing w:val="-3"/>
          <w:w w:val="105"/>
        </w:rPr>
        <w:t>forma</w:t>
      </w:r>
      <w:r>
        <w:rPr>
          <w:color w:val="231F20"/>
          <w:spacing w:val="-14"/>
          <w:w w:val="105"/>
        </w:rPr>
        <w:t> </w:t>
      </w:r>
      <w:r>
        <w:rPr>
          <w:color w:val="231F20"/>
          <w:w w:val="105"/>
        </w:rPr>
        <w:t>parte</w:t>
      </w:r>
      <w:r>
        <w:rPr>
          <w:color w:val="231F20"/>
          <w:spacing w:val="-14"/>
          <w:w w:val="105"/>
        </w:rPr>
        <w:t> </w:t>
      </w:r>
      <w:r>
        <w:rPr>
          <w:color w:val="231F20"/>
          <w:spacing w:val="-3"/>
          <w:w w:val="105"/>
        </w:rPr>
        <w:t>del</w:t>
      </w:r>
      <w:r>
        <w:rPr>
          <w:color w:val="231F20"/>
          <w:spacing w:val="-14"/>
          <w:w w:val="105"/>
        </w:rPr>
        <w:t> </w:t>
      </w:r>
      <w:r>
        <w:rPr>
          <w:color w:val="231F20"/>
          <w:spacing w:val="-4"/>
          <w:w w:val="105"/>
        </w:rPr>
        <w:t>lado</w:t>
      </w:r>
      <w:r>
        <w:rPr>
          <w:color w:val="231F20"/>
          <w:spacing w:val="-14"/>
          <w:w w:val="105"/>
        </w:rPr>
        <w:t> </w:t>
      </w:r>
      <w:r>
        <w:rPr>
          <w:color w:val="231F20"/>
          <w:spacing w:val="-3"/>
          <w:w w:val="105"/>
        </w:rPr>
        <w:t>Oriente</w:t>
      </w:r>
      <w:r>
        <w:rPr>
          <w:color w:val="231F20"/>
          <w:spacing w:val="-14"/>
          <w:w w:val="105"/>
        </w:rPr>
        <w:t> </w:t>
      </w:r>
      <w:r>
        <w:rPr>
          <w:color w:val="231F20"/>
          <w:spacing w:val="-3"/>
          <w:w w:val="105"/>
        </w:rPr>
        <w:t>del</w:t>
      </w:r>
      <w:r>
        <w:rPr>
          <w:color w:val="231F20"/>
          <w:spacing w:val="-14"/>
          <w:w w:val="105"/>
        </w:rPr>
        <w:t> </w:t>
      </w:r>
      <w:r>
        <w:rPr>
          <w:color w:val="231F20"/>
          <w:spacing w:val="-4"/>
          <w:w w:val="105"/>
        </w:rPr>
        <w:t>municipio.</w:t>
      </w:r>
    </w:p>
    <w:p>
      <w:pPr>
        <w:pStyle w:val="BodyText"/>
        <w:spacing w:before="1"/>
        <w:rPr>
          <w:sz w:val="26"/>
        </w:rPr>
      </w:pPr>
    </w:p>
    <w:p>
      <w:pPr>
        <w:pStyle w:val="BodyText"/>
        <w:spacing w:line="285" w:lineRule="auto"/>
        <w:ind w:left="110" w:right="107"/>
        <w:jc w:val="both"/>
      </w:pPr>
      <w:r>
        <w:rPr>
          <w:color w:val="231F20"/>
        </w:rPr>
        <w:t>Este programa consistía en organizar a una comunidad en situación de pobreza para         la toma de decisiones, fomentando la creación de capital social como una solución </w:t>
      </w:r>
      <w:r>
        <w:rPr>
          <w:color w:val="231F20"/>
          <w:spacing w:val="2"/>
        </w:rPr>
        <w:t>al </w:t>
      </w:r>
      <w:r>
        <w:rPr>
          <w:color w:val="231F20"/>
        </w:rPr>
        <w:t>problema de la escasez de vivienda en zonas marginadas del municipio. Este programa tuvo impactos en las condiciones de vida de ciertas </w:t>
      </w:r>
      <w:r>
        <w:rPr>
          <w:color w:val="231F20"/>
          <w:spacing w:val="2"/>
        </w:rPr>
        <w:t>familias </w:t>
      </w:r>
      <w:r>
        <w:rPr>
          <w:color w:val="231F20"/>
        </w:rPr>
        <w:t>beneficiarias. Se presenta- ron avances importantes en la toma de decisiones y la participación de los miembros       de la comunidad, así como el compromiso por la obtención de una vivienda digna que asumían los miembros de la sociedad y el gobierno en turno, poniendo los primeros la mano de obra y el </w:t>
      </w:r>
      <w:r>
        <w:rPr>
          <w:color w:val="231F20"/>
          <w:spacing w:val="-3"/>
        </w:rPr>
        <w:t>10% </w:t>
      </w:r>
      <w:r>
        <w:rPr>
          <w:color w:val="231F20"/>
        </w:rPr>
        <w:t>del total y el gobierno el capital restante, y gestionando las ma- quinas necesarias con el sector  </w:t>
      </w:r>
      <w:r>
        <w:rPr>
          <w:color w:val="231F20"/>
          <w:spacing w:val="6"/>
        </w:rPr>
        <w:t> </w:t>
      </w:r>
      <w:r>
        <w:rPr>
          <w:color w:val="231F20"/>
        </w:rPr>
        <w:t>privado.</w:t>
      </w:r>
    </w:p>
    <w:p>
      <w:pPr>
        <w:pStyle w:val="BodyText"/>
        <w:spacing w:before="1"/>
        <w:rPr>
          <w:sz w:val="26"/>
        </w:rPr>
      </w:pPr>
    </w:p>
    <w:p>
      <w:pPr>
        <w:pStyle w:val="BodyText"/>
        <w:spacing w:line="285" w:lineRule="auto"/>
        <w:ind w:left="110" w:right="107"/>
        <w:jc w:val="both"/>
      </w:pPr>
      <w:r>
        <w:rPr>
          <w:color w:val="231F20"/>
          <w:w w:val="105"/>
        </w:rPr>
        <w:t>Para el 2005 el municipio continuaba dicho programa, cuyo objeto era generar un fondo de ahorro comunitario para construir algunas viviendas de la comunidad, promoviendo la participación de la comunidad en estas construcciones. Al 25 de julio 2005 se entregaron 61 bonos del Programa de Ahorro, Subsidio y Crédito para la Vivienda, cuando lo contemplado era de 220.</w:t>
      </w:r>
    </w:p>
    <w:p>
      <w:pPr>
        <w:pStyle w:val="BodyText"/>
        <w:rPr>
          <w:sz w:val="20"/>
        </w:rPr>
      </w:pPr>
    </w:p>
    <w:p>
      <w:pPr>
        <w:pStyle w:val="BodyText"/>
        <w:spacing w:before="7"/>
        <w:rPr>
          <w:sz w:val="19"/>
        </w:rPr>
      </w:pPr>
      <w:r>
        <w:rPr/>
        <w:pict>
          <v:line style="position:absolute;mso-position-horizontal-relative:page;mso-position-vertical-relative:paragraph;z-index:10648;mso-wrap-distance-left:0;mso-wrap-distance-right:0" from="42.519699pt,13.764575pt" to="114.519699pt,13.764575pt" stroked="true" strokeweight="1pt" strokecolor="#231f20">
            <w10:wrap type="topAndBottom"/>
          </v:line>
        </w:pict>
      </w:r>
    </w:p>
    <w:p>
      <w:pPr>
        <w:pStyle w:val="ListParagraph"/>
        <w:numPr>
          <w:ilvl w:val="0"/>
          <w:numId w:val="15"/>
        </w:numPr>
        <w:tabs>
          <w:tab w:pos="337" w:val="left" w:leader="none"/>
        </w:tabs>
        <w:spacing w:line="244" w:lineRule="auto" w:before="8" w:after="0"/>
        <w:ind w:left="110" w:right="107" w:firstLine="0"/>
        <w:jc w:val="left"/>
        <w:rPr>
          <w:sz w:val="16"/>
        </w:rPr>
      </w:pPr>
      <w:r>
        <w:rPr>
          <w:color w:val="231F20"/>
          <w:sz w:val="16"/>
        </w:rPr>
        <w:t>Según</w:t>
      </w:r>
      <w:r>
        <w:rPr>
          <w:color w:val="231F20"/>
          <w:spacing w:val="-5"/>
          <w:sz w:val="16"/>
        </w:rPr>
        <w:t> </w:t>
      </w:r>
      <w:r>
        <w:rPr>
          <w:color w:val="231F20"/>
          <w:sz w:val="16"/>
        </w:rPr>
        <w:t>el</w:t>
      </w:r>
      <w:r>
        <w:rPr>
          <w:color w:val="231F20"/>
          <w:spacing w:val="-5"/>
          <w:sz w:val="16"/>
        </w:rPr>
        <w:t> </w:t>
      </w:r>
      <w:r>
        <w:rPr>
          <w:color w:val="231F20"/>
          <w:sz w:val="16"/>
        </w:rPr>
        <w:t>PNUD</w:t>
      </w:r>
      <w:r>
        <w:rPr>
          <w:color w:val="231F20"/>
          <w:spacing w:val="-5"/>
          <w:sz w:val="16"/>
        </w:rPr>
        <w:t> </w:t>
      </w:r>
      <w:r>
        <w:rPr>
          <w:color w:val="231F20"/>
          <w:sz w:val="16"/>
        </w:rPr>
        <w:t>el</w:t>
      </w:r>
      <w:r>
        <w:rPr>
          <w:color w:val="231F20"/>
          <w:spacing w:val="-5"/>
          <w:sz w:val="16"/>
        </w:rPr>
        <w:t> </w:t>
      </w:r>
      <w:r>
        <w:rPr>
          <w:color w:val="231F20"/>
          <w:sz w:val="16"/>
        </w:rPr>
        <w:t>desarrollo</w:t>
      </w:r>
      <w:r>
        <w:rPr>
          <w:color w:val="231F20"/>
          <w:spacing w:val="-5"/>
          <w:sz w:val="16"/>
        </w:rPr>
        <w:t> </w:t>
      </w:r>
      <w:r>
        <w:rPr>
          <w:color w:val="231F20"/>
          <w:sz w:val="16"/>
        </w:rPr>
        <w:t>humano</w:t>
      </w:r>
      <w:r>
        <w:rPr>
          <w:color w:val="231F20"/>
          <w:spacing w:val="-5"/>
          <w:sz w:val="16"/>
        </w:rPr>
        <w:t> </w:t>
      </w:r>
      <w:r>
        <w:rPr>
          <w:color w:val="231F20"/>
          <w:sz w:val="16"/>
        </w:rPr>
        <w:t>es</w:t>
      </w:r>
      <w:r>
        <w:rPr>
          <w:color w:val="231F20"/>
          <w:spacing w:val="-5"/>
          <w:sz w:val="16"/>
        </w:rPr>
        <w:t> </w:t>
      </w:r>
      <w:r>
        <w:rPr>
          <w:color w:val="231F20"/>
          <w:sz w:val="16"/>
        </w:rPr>
        <w:t>“El</w:t>
      </w:r>
      <w:r>
        <w:rPr>
          <w:color w:val="231F20"/>
          <w:spacing w:val="-5"/>
          <w:sz w:val="16"/>
        </w:rPr>
        <w:t> </w:t>
      </w:r>
      <w:r>
        <w:rPr>
          <w:color w:val="231F20"/>
          <w:sz w:val="16"/>
        </w:rPr>
        <w:t>desarrollo</w:t>
      </w:r>
      <w:r>
        <w:rPr>
          <w:color w:val="231F20"/>
          <w:spacing w:val="-5"/>
          <w:sz w:val="16"/>
        </w:rPr>
        <w:t> </w:t>
      </w:r>
      <w:r>
        <w:rPr>
          <w:color w:val="231F20"/>
          <w:sz w:val="16"/>
        </w:rPr>
        <w:t>de</w:t>
      </w:r>
      <w:r>
        <w:rPr>
          <w:color w:val="231F20"/>
          <w:spacing w:val="-5"/>
          <w:sz w:val="16"/>
        </w:rPr>
        <w:t> </w:t>
      </w:r>
      <w:r>
        <w:rPr>
          <w:color w:val="231F20"/>
          <w:sz w:val="16"/>
        </w:rPr>
        <w:t>un</w:t>
      </w:r>
      <w:r>
        <w:rPr>
          <w:color w:val="231F20"/>
          <w:spacing w:val="-5"/>
          <w:sz w:val="16"/>
        </w:rPr>
        <w:t> </w:t>
      </w:r>
      <w:r>
        <w:rPr>
          <w:color w:val="231F20"/>
          <w:sz w:val="16"/>
        </w:rPr>
        <w:t>país</w:t>
      </w:r>
      <w:r>
        <w:rPr>
          <w:color w:val="231F20"/>
          <w:spacing w:val="-5"/>
          <w:sz w:val="16"/>
        </w:rPr>
        <w:t> </w:t>
      </w:r>
      <w:r>
        <w:rPr>
          <w:color w:val="231F20"/>
          <w:sz w:val="16"/>
        </w:rPr>
        <w:t>no</w:t>
      </w:r>
      <w:r>
        <w:rPr>
          <w:color w:val="231F20"/>
          <w:spacing w:val="-5"/>
          <w:sz w:val="16"/>
        </w:rPr>
        <w:t> </w:t>
      </w:r>
      <w:r>
        <w:rPr>
          <w:color w:val="231F20"/>
          <w:sz w:val="16"/>
        </w:rPr>
        <w:t>puede</w:t>
      </w:r>
      <w:r>
        <w:rPr>
          <w:color w:val="231F20"/>
          <w:spacing w:val="-5"/>
          <w:sz w:val="16"/>
        </w:rPr>
        <w:t> </w:t>
      </w:r>
      <w:r>
        <w:rPr>
          <w:color w:val="231F20"/>
          <w:sz w:val="16"/>
        </w:rPr>
        <w:t>ser</w:t>
      </w:r>
      <w:r>
        <w:rPr>
          <w:color w:val="231F20"/>
          <w:spacing w:val="-5"/>
          <w:sz w:val="16"/>
        </w:rPr>
        <w:t> </w:t>
      </w:r>
      <w:r>
        <w:rPr>
          <w:color w:val="231F20"/>
          <w:sz w:val="16"/>
        </w:rPr>
        <w:t>entendido</w:t>
      </w:r>
      <w:r>
        <w:rPr>
          <w:color w:val="231F20"/>
          <w:spacing w:val="-5"/>
          <w:sz w:val="16"/>
        </w:rPr>
        <w:t> </w:t>
      </w:r>
      <w:r>
        <w:rPr>
          <w:color w:val="231F20"/>
          <w:sz w:val="16"/>
        </w:rPr>
        <w:t>desde</w:t>
      </w:r>
      <w:r>
        <w:rPr>
          <w:color w:val="231F20"/>
          <w:spacing w:val="-5"/>
          <w:sz w:val="16"/>
        </w:rPr>
        <w:t> </w:t>
      </w:r>
      <w:r>
        <w:rPr>
          <w:color w:val="231F20"/>
          <w:sz w:val="16"/>
        </w:rPr>
        <w:t>la</w:t>
      </w:r>
      <w:r>
        <w:rPr>
          <w:color w:val="231F20"/>
          <w:spacing w:val="-5"/>
          <w:sz w:val="16"/>
        </w:rPr>
        <w:t> </w:t>
      </w:r>
      <w:r>
        <w:rPr>
          <w:color w:val="231F20"/>
          <w:sz w:val="16"/>
        </w:rPr>
        <w:t>perspectiva</w:t>
      </w:r>
      <w:r>
        <w:rPr>
          <w:color w:val="231F20"/>
          <w:spacing w:val="-5"/>
          <w:sz w:val="16"/>
        </w:rPr>
        <w:t> </w:t>
      </w:r>
      <w:r>
        <w:rPr>
          <w:color w:val="231F20"/>
          <w:sz w:val="16"/>
        </w:rPr>
        <w:t>única</w:t>
      </w:r>
      <w:r>
        <w:rPr>
          <w:color w:val="231F20"/>
          <w:spacing w:val="-5"/>
          <w:sz w:val="16"/>
        </w:rPr>
        <w:t> </w:t>
      </w:r>
      <w:r>
        <w:rPr>
          <w:color w:val="231F20"/>
          <w:sz w:val="16"/>
        </w:rPr>
        <w:t>del crecimiento económico. El propósito final del desarrollo se encuentra en cada uno de sus habitantes y en las posibilidades que ellos tienen para elegir una vida en la que puedan realizar a plenitud su potencial como seres humanos. El desarrollo humano consiste en la libertad que gozan los individuos para elegir entre distintas opciones y formas de vida. Los factores fundamentales</w:t>
      </w:r>
      <w:r>
        <w:rPr>
          <w:color w:val="231F20"/>
          <w:spacing w:val="-14"/>
          <w:sz w:val="16"/>
        </w:rPr>
        <w:t> </w:t>
      </w:r>
      <w:r>
        <w:rPr>
          <w:color w:val="231F20"/>
          <w:sz w:val="16"/>
        </w:rPr>
        <w:t>que</w:t>
      </w:r>
      <w:r>
        <w:rPr>
          <w:color w:val="231F20"/>
          <w:spacing w:val="-14"/>
          <w:sz w:val="16"/>
        </w:rPr>
        <w:t> </w:t>
      </w:r>
      <w:r>
        <w:rPr>
          <w:color w:val="231F20"/>
          <w:sz w:val="16"/>
        </w:rPr>
        <w:t>permiten</w:t>
      </w:r>
      <w:r>
        <w:rPr>
          <w:color w:val="231F20"/>
          <w:spacing w:val="-14"/>
          <w:sz w:val="16"/>
        </w:rPr>
        <w:t> </w:t>
      </w:r>
      <w:r>
        <w:rPr>
          <w:color w:val="231F20"/>
          <w:sz w:val="16"/>
        </w:rPr>
        <w:t>a</w:t>
      </w:r>
      <w:r>
        <w:rPr>
          <w:color w:val="231F20"/>
          <w:spacing w:val="-14"/>
          <w:sz w:val="16"/>
        </w:rPr>
        <w:t> </w:t>
      </w:r>
      <w:r>
        <w:rPr>
          <w:color w:val="231F20"/>
          <w:sz w:val="16"/>
        </w:rPr>
        <w:t>las</w:t>
      </w:r>
      <w:r>
        <w:rPr>
          <w:color w:val="231F20"/>
          <w:spacing w:val="-14"/>
          <w:sz w:val="16"/>
        </w:rPr>
        <w:t> </w:t>
      </w:r>
      <w:r>
        <w:rPr>
          <w:color w:val="231F20"/>
          <w:sz w:val="16"/>
        </w:rPr>
        <w:t>personas</w:t>
      </w:r>
      <w:r>
        <w:rPr>
          <w:color w:val="231F20"/>
          <w:spacing w:val="-14"/>
          <w:sz w:val="16"/>
        </w:rPr>
        <w:t> </w:t>
      </w:r>
      <w:r>
        <w:rPr>
          <w:color w:val="231F20"/>
          <w:sz w:val="16"/>
        </w:rPr>
        <w:t>ser</w:t>
      </w:r>
      <w:r>
        <w:rPr>
          <w:color w:val="231F20"/>
          <w:spacing w:val="-14"/>
          <w:sz w:val="16"/>
        </w:rPr>
        <w:t> </w:t>
      </w:r>
      <w:r>
        <w:rPr>
          <w:color w:val="231F20"/>
          <w:sz w:val="16"/>
        </w:rPr>
        <w:t>libres</w:t>
      </w:r>
      <w:r>
        <w:rPr>
          <w:color w:val="231F20"/>
          <w:spacing w:val="-14"/>
          <w:sz w:val="16"/>
        </w:rPr>
        <w:t> </w:t>
      </w:r>
      <w:r>
        <w:rPr>
          <w:color w:val="231F20"/>
          <w:sz w:val="16"/>
        </w:rPr>
        <w:t>en</w:t>
      </w:r>
      <w:r>
        <w:rPr>
          <w:color w:val="231F20"/>
          <w:spacing w:val="-14"/>
          <w:sz w:val="16"/>
        </w:rPr>
        <w:t> </w:t>
      </w:r>
      <w:r>
        <w:rPr>
          <w:color w:val="231F20"/>
          <w:sz w:val="16"/>
        </w:rPr>
        <w:t>ese</w:t>
      </w:r>
      <w:r>
        <w:rPr>
          <w:color w:val="231F20"/>
          <w:spacing w:val="-14"/>
          <w:sz w:val="16"/>
        </w:rPr>
        <w:t> </w:t>
      </w:r>
      <w:r>
        <w:rPr>
          <w:color w:val="231F20"/>
          <w:sz w:val="16"/>
        </w:rPr>
        <w:t>sentido,</w:t>
      </w:r>
      <w:r>
        <w:rPr>
          <w:color w:val="231F20"/>
          <w:spacing w:val="-14"/>
          <w:sz w:val="16"/>
        </w:rPr>
        <w:t> </w:t>
      </w:r>
      <w:r>
        <w:rPr>
          <w:color w:val="231F20"/>
          <w:sz w:val="16"/>
        </w:rPr>
        <w:t>son</w:t>
      </w:r>
      <w:r>
        <w:rPr>
          <w:color w:val="231F20"/>
          <w:spacing w:val="-14"/>
          <w:sz w:val="16"/>
        </w:rPr>
        <w:t> </w:t>
      </w:r>
      <w:r>
        <w:rPr>
          <w:color w:val="231F20"/>
          <w:sz w:val="16"/>
        </w:rPr>
        <w:t>la</w:t>
      </w:r>
      <w:r>
        <w:rPr>
          <w:color w:val="231F20"/>
          <w:spacing w:val="-14"/>
          <w:sz w:val="16"/>
        </w:rPr>
        <w:t> </w:t>
      </w:r>
      <w:r>
        <w:rPr>
          <w:color w:val="231F20"/>
          <w:sz w:val="16"/>
        </w:rPr>
        <w:t>posibilidad</w:t>
      </w:r>
      <w:r>
        <w:rPr>
          <w:color w:val="231F20"/>
          <w:spacing w:val="-14"/>
          <w:sz w:val="16"/>
        </w:rPr>
        <w:t> </w:t>
      </w:r>
      <w:r>
        <w:rPr>
          <w:color w:val="231F20"/>
          <w:sz w:val="16"/>
        </w:rPr>
        <w:t>de</w:t>
      </w:r>
      <w:r>
        <w:rPr>
          <w:color w:val="231F20"/>
          <w:spacing w:val="-14"/>
          <w:sz w:val="16"/>
        </w:rPr>
        <w:t> </w:t>
      </w:r>
      <w:r>
        <w:rPr>
          <w:color w:val="231F20"/>
          <w:sz w:val="16"/>
        </w:rPr>
        <w:t>alcanzar</w:t>
      </w:r>
      <w:r>
        <w:rPr>
          <w:color w:val="231F20"/>
          <w:spacing w:val="-14"/>
          <w:sz w:val="16"/>
        </w:rPr>
        <w:t> </w:t>
      </w:r>
      <w:r>
        <w:rPr>
          <w:color w:val="231F20"/>
          <w:sz w:val="16"/>
        </w:rPr>
        <w:t>una</w:t>
      </w:r>
      <w:r>
        <w:rPr>
          <w:color w:val="231F20"/>
          <w:spacing w:val="-14"/>
          <w:sz w:val="16"/>
        </w:rPr>
        <w:t> </w:t>
      </w:r>
      <w:r>
        <w:rPr>
          <w:color w:val="231F20"/>
          <w:sz w:val="16"/>
        </w:rPr>
        <w:t>vida</w:t>
      </w:r>
      <w:r>
        <w:rPr>
          <w:color w:val="231F20"/>
          <w:spacing w:val="-14"/>
          <w:sz w:val="16"/>
        </w:rPr>
        <w:t> </w:t>
      </w:r>
      <w:r>
        <w:rPr>
          <w:color w:val="231F20"/>
          <w:sz w:val="16"/>
        </w:rPr>
        <w:t>larga</w:t>
      </w:r>
      <w:r>
        <w:rPr>
          <w:color w:val="231F20"/>
          <w:spacing w:val="-14"/>
          <w:sz w:val="16"/>
        </w:rPr>
        <w:t> </w:t>
      </w:r>
      <w:r>
        <w:rPr>
          <w:color w:val="231F20"/>
          <w:sz w:val="16"/>
        </w:rPr>
        <w:t>y</w:t>
      </w:r>
      <w:r>
        <w:rPr>
          <w:color w:val="231F20"/>
          <w:spacing w:val="-14"/>
          <w:sz w:val="16"/>
        </w:rPr>
        <w:t> </w:t>
      </w:r>
      <w:r>
        <w:rPr>
          <w:color w:val="231F20"/>
          <w:sz w:val="16"/>
        </w:rPr>
        <w:t>saludable, poder adquirir conocimientos individual y socialmente valiosos, y tener la oportunidad de obtener los recursos necesarios para</w:t>
      </w:r>
      <w:r>
        <w:rPr>
          <w:color w:val="231F20"/>
          <w:spacing w:val="-3"/>
          <w:sz w:val="16"/>
        </w:rPr>
        <w:t> </w:t>
      </w:r>
      <w:r>
        <w:rPr>
          <w:color w:val="231F20"/>
          <w:sz w:val="16"/>
        </w:rPr>
        <w:t>disfrutar</w:t>
      </w:r>
      <w:r>
        <w:rPr>
          <w:color w:val="231F20"/>
          <w:spacing w:val="-3"/>
          <w:sz w:val="16"/>
        </w:rPr>
        <w:t> </w:t>
      </w:r>
      <w:r>
        <w:rPr>
          <w:color w:val="231F20"/>
          <w:sz w:val="16"/>
        </w:rPr>
        <w:t>un</w:t>
      </w:r>
      <w:r>
        <w:rPr>
          <w:color w:val="231F20"/>
          <w:spacing w:val="-3"/>
          <w:sz w:val="16"/>
        </w:rPr>
        <w:t> </w:t>
      </w:r>
      <w:r>
        <w:rPr>
          <w:color w:val="231F20"/>
          <w:sz w:val="16"/>
        </w:rPr>
        <w:t>nivel</w:t>
      </w:r>
      <w:r>
        <w:rPr>
          <w:color w:val="231F20"/>
          <w:spacing w:val="-3"/>
          <w:sz w:val="16"/>
        </w:rPr>
        <w:t> </w:t>
      </w:r>
      <w:r>
        <w:rPr>
          <w:color w:val="231F20"/>
          <w:sz w:val="16"/>
        </w:rPr>
        <w:t>de</w:t>
      </w:r>
      <w:r>
        <w:rPr>
          <w:color w:val="231F20"/>
          <w:spacing w:val="-3"/>
          <w:sz w:val="16"/>
        </w:rPr>
        <w:t> </w:t>
      </w:r>
      <w:r>
        <w:rPr>
          <w:color w:val="231F20"/>
          <w:sz w:val="16"/>
        </w:rPr>
        <w:t>vida</w:t>
      </w:r>
      <w:r>
        <w:rPr>
          <w:color w:val="231F20"/>
          <w:spacing w:val="-3"/>
          <w:sz w:val="16"/>
        </w:rPr>
        <w:t> </w:t>
      </w:r>
      <w:r>
        <w:rPr>
          <w:color w:val="231F20"/>
          <w:sz w:val="16"/>
        </w:rPr>
        <w:t>decoroso.</w:t>
      </w:r>
      <w:r>
        <w:rPr>
          <w:color w:val="231F20"/>
          <w:spacing w:val="-3"/>
          <w:sz w:val="16"/>
        </w:rPr>
        <w:t> </w:t>
      </w:r>
      <w:r>
        <w:rPr>
          <w:color w:val="231F20"/>
          <w:sz w:val="16"/>
        </w:rPr>
        <w:t>En</w:t>
      </w:r>
      <w:r>
        <w:rPr>
          <w:color w:val="231F20"/>
          <w:spacing w:val="-3"/>
          <w:sz w:val="16"/>
        </w:rPr>
        <w:t> </w:t>
      </w:r>
      <w:r>
        <w:rPr>
          <w:color w:val="231F20"/>
          <w:sz w:val="16"/>
        </w:rPr>
        <w:t>el</w:t>
      </w:r>
      <w:r>
        <w:rPr>
          <w:color w:val="231F20"/>
          <w:spacing w:val="-3"/>
          <w:sz w:val="16"/>
        </w:rPr>
        <w:t> </w:t>
      </w:r>
      <w:r>
        <w:rPr>
          <w:color w:val="231F20"/>
          <w:sz w:val="16"/>
        </w:rPr>
        <w:t>núcleo</w:t>
      </w:r>
      <w:r>
        <w:rPr>
          <w:color w:val="231F20"/>
          <w:spacing w:val="-3"/>
          <w:sz w:val="16"/>
        </w:rPr>
        <w:t> </w:t>
      </w:r>
      <w:r>
        <w:rPr>
          <w:color w:val="231F20"/>
          <w:sz w:val="16"/>
        </w:rPr>
        <w:t>del</w:t>
      </w:r>
      <w:r>
        <w:rPr>
          <w:color w:val="231F20"/>
          <w:spacing w:val="-3"/>
          <w:sz w:val="16"/>
        </w:rPr>
        <w:t> </w:t>
      </w:r>
      <w:r>
        <w:rPr>
          <w:color w:val="231F20"/>
          <w:sz w:val="16"/>
        </w:rPr>
        <w:t>concepto</w:t>
      </w:r>
      <w:r>
        <w:rPr>
          <w:color w:val="231F20"/>
          <w:spacing w:val="-3"/>
          <w:sz w:val="16"/>
        </w:rPr>
        <w:t> </w:t>
      </w:r>
      <w:r>
        <w:rPr>
          <w:color w:val="231F20"/>
          <w:sz w:val="16"/>
        </w:rPr>
        <w:t>de</w:t>
      </w:r>
      <w:r>
        <w:rPr>
          <w:color w:val="231F20"/>
          <w:spacing w:val="-3"/>
          <w:sz w:val="16"/>
        </w:rPr>
        <w:t> </w:t>
      </w:r>
      <w:r>
        <w:rPr>
          <w:color w:val="231F20"/>
          <w:sz w:val="16"/>
        </w:rPr>
        <w:t>desarrollo</w:t>
      </w:r>
      <w:r>
        <w:rPr>
          <w:color w:val="231F20"/>
          <w:spacing w:val="-3"/>
          <w:sz w:val="16"/>
        </w:rPr>
        <w:t> </w:t>
      </w:r>
      <w:r>
        <w:rPr>
          <w:color w:val="231F20"/>
          <w:sz w:val="16"/>
        </w:rPr>
        <w:t>humano</w:t>
      </w:r>
      <w:r>
        <w:rPr>
          <w:color w:val="231F20"/>
          <w:spacing w:val="-3"/>
          <w:sz w:val="16"/>
        </w:rPr>
        <w:t> </w:t>
      </w:r>
      <w:r>
        <w:rPr>
          <w:color w:val="231F20"/>
          <w:sz w:val="16"/>
        </w:rPr>
        <w:t>se</w:t>
      </w:r>
      <w:r>
        <w:rPr>
          <w:color w:val="231F20"/>
          <w:spacing w:val="-3"/>
          <w:sz w:val="16"/>
        </w:rPr>
        <w:t> </w:t>
      </w:r>
      <w:r>
        <w:rPr>
          <w:color w:val="231F20"/>
          <w:sz w:val="16"/>
        </w:rPr>
        <w:t>encuentran</w:t>
      </w:r>
      <w:r>
        <w:rPr>
          <w:color w:val="231F20"/>
          <w:spacing w:val="-3"/>
          <w:sz w:val="16"/>
        </w:rPr>
        <w:t> </w:t>
      </w:r>
      <w:r>
        <w:rPr>
          <w:color w:val="231F20"/>
          <w:sz w:val="16"/>
        </w:rPr>
        <w:t>las</w:t>
      </w:r>
      <w:r>
        <w:rPr>
          <w:color w:val="231F20"/>
          <w:spacing w:val="-3"/>
          <w:sz w:val="16"/>
        </w:rPr>
        <w:t> </w:t>
      </w:r>
      <w:r>
        <w:rPr>
          <w:color w:val="231F20"/>
          <w:sz w:val="16"/>
        </w:rPr>
        <w:t>personas</w:t>
      </w:r>
      <w:r>
        <w:rPr>
          <w:color w:val="231F20"/>
          <w:spacing w:val="-3"/>
          <w:sz w:val="16"/>
        </w:rPr>
        <w:t> </w:t>
      </w:r>
      <w:r>
        <w:rPr>
          <w:color w:val="231F20"/>
          <w:sz w:val="16"/>
        </w:rPr>
        <w:t>y</w:t>
      </w:r>
      <w:r>
        <w:rPr>
          <w:color w:val="231F20"/>
          <w:spacing w:val="-3"/>
          <w:sz w:val="16"/>
        </w:rPr>
        <w:t> </w:t>
      </w:r>
      <w:r>
        <w:rPr>
          <w:color w:val="231F20"/>
          <w:sz w:val="16"/>
        </w:rPr>
        <w:t>sus oportunidades, no la riqueza que poseen, el ingreso que devengan, o las mercancías y servicios que consumen. El objetivo del</w:t>
      </w:r>
      <w:r>
        <w:rPr>
          <w:color w:val="231F20"/>
          <w:spacing w:val="-18"/>
          <w:sz w:val="16"/>
        </w:rPr>
        <w:t> </w:t>
      </w:r>
      <w:r>
        <w:rPr>
          <w:color w:val="231F20"/>
          <w:sz w:val="16"/>
        </w:rPr>
        <w:t>desarrollo</w:t>
      </w:r>
      <w:r>
        <w:rPr>
          <w:color w:val="231F20"/>
          <w:spacing w:val="-18"/>
          <w:sz w:val="16"/>
        </w:rPr>
        <w:t> </w:t>
      </w:r>
      <w:r>
        <w:rPr>
          <w:color w:val="231F20"/>
          <w:sz w:val="16"/>
        </w:rPr>
        <w:t>es</w:t>
      </w:r>
      <w:r>
        <w:rPr>
          <w:color w:val="231F20"/>
          <w:spacing w:val="-18"/>
          <w:sz w:val="16"/>
        </w:rPr>
        <w:t> </w:t>
      </w:r>
      <w:r>
        <w:rPr>
          <w:color w:val="231F20"/>
          <w:sz w:val="16"/>
        </w:rPr>
        <w:t>crear</w:t>
      </w:r>
      <w:r>
        <w:rPr>
          <w:color w:val="231F20"/>
          <w:spacing w:val="-18"/>
          <w:sz w:val="16"/>
        </w:rPr>
        <w:t> </w:t>
      </w:r>
      <w:r>
        <w:rPr>
          <w:color w:val="231F20"/>
          <w:sz w:val="16"/>
        </w:rPr>
        <w:t>un</w:t>
      </w:r>
      <w:r>
        <w:rPr>
          <w:color w:val="231F20"/>
          <w:spacing w:val="-18"/>
          <w:sz w:val="16"/>
        </w:rPr>
        <w:t> </w:t>
      </w:r>
      <w:r>
        <w:rPr>
          <w:color w:val="231F20"/>
          <w:sz w:val="16"/>
        </w:rPr>
        <w:t>ambiente</w:t>
      </w:r>
      <w:r>
        <w:rPr>
          <w:color w:val="231F20"/>
          <w:spacing w:val="-18"/>
          <w:sz w:val="16"/>
        </w:rPr>
        <w:t> </w:t>
      </w:r>
      <w:r>
        <w:rPr>
          <w:color w:val="231F20"/>
          <w:sz w:val="16"/>
        </w:rPr>
        <w:t>que</w:t>
      </w:r>
      <w:r>
        <w:rPr>
          <w:color w:val="231F20"/>
          <w:spacing w:val="-18"/>
          <w:sz w:val="16"/>
        </w:rPr>
        <w:t> </w:t>
      </w:r>
      <w:r>
        <w:rPr>
          <w:color w:val="231F20"/>
          <w:sz w:val="16"/>
        </w:rPr>
        <w:t>permita</w:t>
      </w:r>
      <w:r>
        <w:rPr>
          <w:color w:val="231F20"/>
          <w:spacing w:val="-18"/>
          <w:sz w:val="16"/>
        </w:rPr>
        <w:t> </w:t>
      </w:r>
      <w:r>
        <w:rPr>
          <w:color w:val="231F20"/>
          <w:sz w:val="16"/>
        </w:rPr>
        <w:t>a</w:t>
      </w:r>
      <w:r>
        <w:rPr>
          <w:color w:val="231F20"/>
          <w:spacing w:val="-18"/>
          <w:sz w:val="16"/>
        </w:rPr>
        <w:t> </w:t>
      </w:r>
      <w:r>
        <w:rPr>
          <w:color w:val="231F20"/>
          <w:sz w:val="16"/>
        </w:rPr>
        <w:t>las</w:t>
      </w:r>
      <w:r>
        <w:rPr>
          <w:color w:val="231F20"/>
          <w:spacing w:val="-18"/>
          <w:sz w:val="16"/>
        </w:rPr>
        <w:t> </w:t>
      </w:r>
      <w:r>
        <w:rPr>
          <w:color w:val="231F20"/>
          <w:sz w:val="16"/>
        </w:rPr>
        <w:t>personas</w:t>
      </w:r>
      <w:r>
        <w:rPr>
          <w:color w:val="231F20"/>
          <w:spacing w:val="-18"/>
          <w:sz w:val="16"/>
        </w:rPr>
        <w:t> </w:t>
      </w:r>
      <w:r>
        <w:rPr>
          <w:color w:val="231F20"/>
          <w:sz w:val="16"/>
        </w:rPr>
        <w:t>disfrutar</w:t>
      </w:r>
      <w:r>
        <w:rPr>
          <w:color w:val="231F20"/>
          <w:spacing w:val="-18"/>
          <w:sz w:val="16"/>
        </w:rPr>
        <w:t> </w:t>
      </w:r>
      <w:r>
        <w:rPr>
          <w:color w:val="231F20"/>
          <w:sz w:val="16"/>
        </w:rPr>
        <w:t>de</w:t>
      </w:r>
      <w:r>
        <w:rPr>
          <w:color w:val="231F20"/>
          <w:spacing w:val="-18"/>
          <w:sz w:val="16"/>
        </w:rPr>
        <w:t> </w:t>
      </w:r>
      <w:r>
        <w:rPr>
          <w:color w:val="231F20"/>
          <w:sz w:val="16"/>
        </w:rPr>
        <w:t>vidas</w:t>
      </w:r>
      <w:r>
        <w:rPr>
          <w:color w:val="231F20"/>
          <w:spacing w:val="-18"/>
          <w:sz w:val="16"/>
        </w:rPr>
        <w:t> </w:t>
      </w:r>
      <w:r>
        <w:rPr>
          <w:color w:val="231F20"/>
          <w:sz w:val="16"/>
        </w:rPr>
        <w:t>largas,</w:t>
      </w:r>
      <w:r>
        <w:rPr>
          <w:color w:val="231F20"/>
          <w:spacing w:val="-18"/>
          <w:sz w:val="16"/>
        </w:rPr>
        <w:t> </w:t>
      </w:r>
      <w:r>
        <w:rPr>
          <w:color w:val="231F20"/>
          <w:sz w:val="16"/>
        </w:rPr>
        <w:t>saludables</w:t>
      </w:r>
      <w:r>
        <w:rPr>
          <w:color w:val="231F20"/>
          <w:spacing w:val="-18"/>
          <w:sz w:val="16"/>
        </w:rPr>
        <w:t> </w:t>
      </w:r>
      <w:r>
        <w:rPr>
          <w:color w:val="231F20"/>
          <w:sz w:val="16"/>
        </w:rPr>
        <w:t>y</w:t>
      </w:r>
      <w:r>
        <w:rPr>
          <w:color w:val="231F20"/>
          <w:spacing w:val="-18"/>
          <w:sz w:val="16"/>
        </w:rPr>
        <w:t> </w:t>
      </w:r>
      <w:r>
        <w:rPr>
          <w:color w:val="231F20"/>
          <w:sz w:val="16"/>
        </w:rPr>
        <w:t>creativas.</w:t>
      </w:r>
      <w:r>
        <w:rPr>
          <w:color w:val="231F20"/>
          <w:spacing w:val="-18"/>
          <w:sz w:val="16"/>
        </w:rPr>
        <w:t> </w:t>
      </w:r>
      <w:r>
        <w:rPr>
          <w:color w:val="231F20"/>
          <w:sz w:val="16"/>
        </w:rPr>
        <w:t>El</w:t>
      </w:r>
      <w:r>
        <w:rPr>
          <w:color w:val="231F20"/>
          <w:spacing w:val="-18"/>
          <w:sz w:val="16"/>
        </w:rPr>
        <w:t> </w:t>
      </w:r>
      <w:r>
        <w:rPr>
          <w:color w:val="231F20"/>
          <w:sz w:val="16"/>
        </w:rPr>
        <w:t>desarrollo</w:t>
      </w:r>
      <w:r>
        <w:rPr>
          <w:color w:val="231F20"/>
          <w:spacing w:val="-18"/>
          <w:sz w:val="16"/>
        </w:rPr>
        <w:t> </w:t>
      </w:r>
      <w:r>
        <w:rPr>
          <w:color w:val="231F20"/>
          <w:sz w:val="16"/>
        </w:rPr>
        <w:t>es, de</w:t>
      </w:r>
      <w:r>
        <w:rPr>
          <w:color w:val="231F20"/>
          <w:spacing w:val="-13"/>
          <w:sz w:val="16"/>
        </w:rPr>
        <w:t> </w:t>
      </w:r>
      <w:r>
        <w:rPr>
          <w:color w:val="231F20"/>
          <w:sz w:val="16"/>
        </w:rPr>
        <w:t>hecho,</w:t>
      </w:r>
      <w:r>
        <w:rPr>
          <w:color w:val="231F20"/>
          <w:spacing w:val="-13"/>
          <w:sz w:val="16"/>
        </w:rPr>
        <w:t> </w:t>
      </w:r>
      <w:r>
        <w:rPr>
          <w:color w:val="231F20"/>
          <w:sz w:val="16"/>
        </w:rPr>
        <w:t>un</w:t>
      </w:r>
      <w:r>
        <w:rPr>
          <w:color w:val="231F20"/>
          <w:spacing w:val="-13"/>
          <w:sz w:val="16"/>
        </w:rPr>
        <w:t> </w:t>
      </w:r>
      <w:r>
        <w:rPr>
          <w:color w:val="231F20"/>
          <w:sz w:val="16"/>
        </w:rPr>
        <w:t>compromiso</w:t>
      </w:r>
      <w:r>
        <w:rPr>
          <w:color w:val="231F20"/>
          <w:spacing w:val="-13"/>
          <w:sz w:val="16"/>
        </w:rPr>
        <w:t> </w:t>
      </w:r>
      <w:r>
        <w:rPr>
          <w:color w:val="231F20"/>
          <w:sz w:val="16"/>
        </w:rPr>
        <w:t>trascendental</w:t>
      </w:r>
      <w:r>
        <w:rPr>
          <w:color w:val="231F20"/>
          <w:spacing w:val="-13"/>
          <w:sz w:val="16"/>
        </w:rPr>
        <w:t> </w:t>
      </w:r>
      <w:r>
        <w:rPr>
          <w:color w:val="231F20"/>
          <w:sz w:val="16"/>
        </w:rPr>
        <w:t>con</w:t>
      </w:r>
      <w:r>
        <w:rPr>
          <w:color w:val="231F20"/>
          <w:spacing w:val="-13"/>
          <w:sz w:val="16"/>
        </w:rPr>
        <w:t> </w:t>
      </w:r>
      <w:r>
        <w:rPr>
          <w:color w:val="231F20"/>
          <w:sz w:val="16"/>
        </w:rPr>
        <w:t>las</w:t>
      </w:r>
      <w:r>
        <w:rPr>
          <w:color w:val="231F20"/>
          <w:spacing w:val="-13"/>
          <w:sz w:val="16"/>
        </w:rPr>
        <w:t> </w:t>
      </w:r>
      <w:r>
        <w:rPr>
          <w:color w:val="231F20"/>
          <w:sz w:val="16"/>
        </w:rPr>
        <w:t>posibilidades</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libertad”.</w:t>
      </w:r>
      <w:r>
        <w:rPr>
          <w:color w:val="231F20"/>
          <w:spacing w:val="-13"/>
          <w:sz w:val="16"/>
        </w:rPr>
        <w:t> </w:t>
      </w:r>
      <w:hyperlink r:id="rId670">
        <w:r>
          <w:rPr>
            <w:color w:val="231F20"/>
            <w:sz w:val="16"/>
          </w:rPr>
          <w:t>http://www.undp.org.mx/desarrollohumano/</w:t>
        </w:r>
      </w:hyperlink>
      <w:r>
        <w:rPr>
          <w:color w:val="231F20"/>
          <w:sz w:val="16"/>
        </w:rPr>
        <w:t> 21Artículo </w:t>
      </w:r>
      <w:r>
        <w:rPr>
          <w:color w:val="231F20"/>
          <w:spacing w:val="-6"/>
          <w:sz w:val="16"/>
        </w:rPr>
        <w:t>12 </w:t>
      </w:r>
      <w:r>
        <w:rPr>
          <w:color w:val="231F20"/>
          <w:sz w:val="16"/>
        </w:rPr>
        <w:t>del Bando Municipal de Tlalnepantla, </w:t>
      </w:r>
      <w:hyperlink r:id="rId671">
        <w:r>
          <w:rPr>
            <w:color w:val="231F20"/>
            <w:sz w:val="16"/>
          </w:rPr>
          <w:t>http://www.edomexico.gob.mx/legistel/cnt/bdoest_Tlalnepantla.htm.</w:t>
        </w:r>
      </w:hyperlink>
      <w:r>
        <w:rPr>
          <w:color w:val="231F20"/>
          <w:sz w:val="16"/>
        </w:rPr>
        <w:t> 22Ubicada en la zona oriente del municipio, sus miembros carecen de seguridad social, servicios básicos, poseían ingresos escasos</w:t>
      </w:r>
      <w:r>
        <w:rPr>
          <w:color w:val="231F20"/>
          <w:spacing w:val="-8"/>
          <w:sz w:val="16"/>
        </w:rPr>
        <w:t> </w:t>
      </w:r>
      <w:r>
        <w:rPr>
          <w:color w:val="231F20"/>
          <w:sz w:val="16"/>
        </w:rPr>
        <w:t>e</w:t>
      </w:r>
      <w:r>
        <w:rPr>
          <w:color w:val="231F20"/>
          <w:spacing w:val="-8"/>
          <w:sz w:val="16"/>
        </w:rPr>
        <w:t> </w:t>
      </w:r>
      <w:r>
        <w:rPr>
          <w:color w:val="231F20"/>
          <w:sz w:val="16"/>
        </w:rPr>
        <w:t>inciertos,</w:t>
      </w:r>
      <w:r>
        <w:rPr>
          <w:color w:val="231F20"/>
          <w:spacing w:val="-8"/>
          <w:sz w:val="16"/>
        </w:rPr>
        <w:t> </w:t>
      </w:r>
      <w:r>
        <w:rPr>
          <w:color w:val="231F20"/>
          <w:sz w:val="16"/>
        </w:rPr>
        <w:t>y</w:t>
      </w:r>
      <w:r>
        <w:rPr>
          <w:color w:val="231F20"/>
          <w:spacing w:val="-8"/>
          <w:sz w:val="16"/>
        </w:rPr>
        <w:t> </w:t>
      </w:r>
      <w:r>
        <w:rPr>
          <w:color w:val="231F20"/>
          <w:sz w:val="16"/>
        </w:rPr>
        <w:t>trabajaban</w:t>
      </w:r>
      <w:r>
        <w:rPr>
          <w:color w:val="231F20"/>
          <w:spacing w:val="-8"/>
          <w:sz w:val="16"/>
        </w:rPr>
        <w:t> </w:t>
      </w:r>
      <w:r>
        <w:rPr>
          <w:color w:val="231F20"/>
          <w:sz w:val="16"/>
        </w:rPr>
        <w:t>en</w:t>
      </w:r>
      <w:r>
        <w:rPr>
          <w:color w:val="231F20"/>
          <w:spacing w:val="-8"/>
          <w:sz w:val="16"/>
        </w:rPr>
        <w:t> </w:t>
      </w:r>
      <w:r>
        <w:rPr>
          <w:color w:val="231F20"/>
          <w:sz w:val="16"/>
        </w:rPr>
        <w:t>la</w:t>
      </w:r>
      <w:r>
        <w:rPr>
          <w:color w:val="231F20"/>
          <w:spacing w:val="-8"/>
          <w:sz w:val="16"/>
        </w:rPr>
        <w:t> </w:t>
      </w:r>
      <w:r>
        <w:rPr>
          <w:color w:val="231F20"/>
          <w:sz w:val="16"/>
        </w:rPr>
        <w:t>informalidad,</w:t>
      </w:r>
      <w:r>
        <w:rPr>
          <w:color w:val="231F20"/>
          <w:spacing w:val="-8"/>
          <w:sz w:val="16"/>
        </w:rPr>
        <w:t> </w:t>
      </w:r>
      <w:r>
        <w:rPr>
          <w:color w:val="231F20"/>
          <w:sz w:val="16"/>
        </w:rPr>
        <w:t>así</w:t>
      </w:r>
      <w:r>
        <w:rPr>
          <w:color w:val="231F20"/>
          <w:spacing w:val="-8"/>
          <w:sz w:val="16"/>
        </w:rPr>
        <w:t> </w:t>
      </w:r>
      <w:r>
        <w:rPr>
          <w:color w:val="231F20"/>
          <w:sz w:val="16"/>
        </w:rPr>
        <w:t>como</w:t>
      </w:r>
      <w:r>
        <w:rPr>
          <w:color w:val="231F20"/>
          <w:spacing w:val="-8"/>
          <w:sz w:val="16"/>
        </w:rPr>
        <w:t> </w:t>
      </w:r>
      <w:r>
        <w:rPr>
          <w:color w:val="231F20"/>
          <w:sz w:val="16"/>
        </w:rPr>
        <w:t>eran</w:t>
      </w:r>
      <w:r>
        <w:rPr>
          <w:color w:val="231F20"/>
          <w:spacing w:val="-8"/>
          <w:sz w:val="16"/>
        </w:rPr>
        <w:t> </w:t>
      </w:r>
      <w:r>
        <w:rPr>
          <w:color w:val="231F20"/>
          <w:sz w:val="16"/>
        </w:rPr>
        <w:t>blancos</w:t>
      </w:r>
      <w:r>
        <w:rPr>
          <w:color w:val="231F20"/>
          <w:spacing w:val="-8"/>
          <w:sz w:val="16"/>
        </w:rPr>
        <w:t> </w:t>
      </w:r>
      <w:r>
        <w:rPr>
          <w:color w:val="231F20"/>
          <w:sz w:val="16"/>
        </w:rPr>
        <w:t>de</w:t>
      </w:r>
      <w:r>
        <w:rPr>
          <w:color w:val="231F20"/>
          <w:spacing w:val="-8"/>
          <w:sz w:val="16"/>
        </w:rPr>
        <w:t> </w:t>
      </w:r>
      <w:r>
        <w:rPr>
          <w:color w:val="231F20"/>
          <w:sz w:val="16"/>
        </w:rPr>
        <w:t>las</w:t>
      </w:r>
      <w:r>
        <w:rPr>
          <w:color w:val="231F20"/>
          <w:spacing w:val="-8"/>
          <w:sz w:val="16"/>
        </w:rPr>
        <w:t> </w:t>
      </w:r>
      <w:r>
        <w:rPr>
          <w:color w:val="231F20"/>
          <w:sz w:val="16"/>
        </w:rPr>
        <w:t>adicciones</w:t>
      </w:r>
      <w:r>
        <w:rPr>
          <w:color w:val="231F20"/>
          <w:spacing w:val="-8"/>
          <w:sz w:val="16"/>
        </w:rPr>
        <w:t> </w:t>
      </w:r>
      <w:r>
        <w:rPr>
          <w:color w:val="231F20"/>
          <w:sz w:val="16"/>
        </w:rPr>
        <w:t>y</w:t>
      </w:r>
      <w:r>
        <w:rPr>
          <w:color w:val="231F20"/>
          <w:spacing w:val="-8"/>
          <w:sz w:val="16"/>
        </w:rPr>
        <w:t> </w:t>
      </w:r>
      <w:r>
        <w:rPr>
          <w:color w:val="231F20"/>
          <w:sz w:val="16"/>
        </w:rPr>
        <w:t>problemas</w:t>
      </w:r>
      <w:r>
        <w:rPr>
          <w:color w:val="231F20"/>
          <w:spacing w:val="-8"/>
          <w:sz w:val="16"/>
        </w:rPr>
        <w:t> </w:t>
      </w:r>
      <w:r>
        <w:rPr>
          <w:color w:val="231F20"/>
          <w:sz w:val="16"/>
        </w:rPr>
        <w:t>emocionales</w:t>
      </w:r>
      <w:r>
        <w:rPr>
          <w:color w:val="231F20"/>
          <w:spacing w:val="-8"/>
          <w:sz w:val="16"/>
        </w:rPr>
        <w:t> </w:t>
      </w:r>
      <w:r>
        <w:rPr>
          <w:color w:val="231F20"/>
          <w:sz w:val="16"/>
        </w:rPr>
        <w:t>y</w:t>
      </w:r>
      <w:r>
        <w:rPr>
          <w:color w:val="231F20"/>
          <w:spacing w:val="-8"/>
          <w:sz w:val="16"/>
        </w:rPr>
        <w:t> </w:t>
      </w:r>
      <w:r>
        <w:rPr>
          <w:color w:val="231F20"/>
          <w:sz w:val="16"/>
        </w:rPr>
        <w:t>dis- funcionales</w:t>
      </w:r>
      <w:r>
        <w:rPr>
          <w:color w:val="231F20"/>
          <w:spacing w:val="-10"/>
          <w:sz w:val="16"/>
        </w:rPr>
        <w:t> </w:t>
      </w:r>
      <w:r>
        <w:rPr>
          <w:color w:val="231F20"/>
          <w:sz w:val="16"/>
        </w:rPr>
        <w:t>en</w:t>
      </w:r>
      <w:r>
        <w:rPr>
          <w:color w:val="231F20"/>
          <w:spacing w:val="-10"/>
          <w:sz w:val="16"/>
        </w:rPr>
        <w:t> </w:t>
      </w:r>
      <w:r>
        <w:rPr>
          <w:color w:val="231F20"/>
          <w:sz w:val="16"/>
        </w:rPr>
        <w:t>las</w:t>
      </w:r>
      <w:r>
        <w:rPr>
          <w:color w:val="231F20"/>
          <w:spacing w:val="-10"/>
          <w:sz w:val="16"/>
        </w:rPr>
        <w:t> </w:t>
      </w:r>
      <w:r>
        <w:rPr>
          <w:color w:val="231F20"/>
          <w:sz w:val="16"/>
        </w:rPr>
        <w:t>familias</w:t>
      </w:r>
      <w:r>
        <w:rPr>
          <w:color w:val="231F20"/>
          <w:spacing w:val="-10"/>
          <w:sz w:val="16"/>
        </w:rPr>
        <w:t> </w:t>
      </w:r>
      <w:r>
        <w:rPr>
          <w:color w:val="231F20"/>
          <w:sz w:val="16"/>
        </w:rPr>
        <w:t>de</w:t>
      </w:r>
      <w:r>
        <w:rPr>
          <w:color w:val="231F20"/>
          <w:spacing w:val="-10"/>
          <w:sz w:val="16"/>
        </w:rPr>
        <w:t> </w:t>
      </w:r>
      <w:r>
        <w:rPr>
          <w:color w:val="231F20"/>
          <w:sz w:val="16"/>
        </w:rPr>
        <w:t>la</w:t>
      </w:r>
      <w:r>
        <w:rPr>
          <w:color w:val="231F20"/>
          <w:spacing w:val="-10"/>
          <w:sz w:val="16"/>
        </w:rPr>
        <w:t> </w:t>
      </w:r>
      <w:r>
        <w:rPr>
          <w:color w:val="231F20"/>
          <w:sz w:val="16"/>
        </w:rPr>
        <w:t>zona</w:t>
      </w:r>
      <w:r>
        <w:rPr>
          <w:color w:val="231F20"/>
          <w:spacing w:val="-10"/>
          <w:sz w:val="16"/>
        </w:rPr>
        <w:t> </w:t>
      </w:r>
      <w:r>
        <w:rPr>
          <w:color w:val="231F20"/>
          <w:sz w:val="16"/>
        </w:rPr>
        <w:t>compuesta</w:t>
      </w:r>
      <w:r>
        <w:rPr>
          <w:color w:val="231F20"/>
          <w:spacing w:val="-10"/>
          <w:sz w:val="16"/>
        </w:rPr>
        <w:t> </w:t>
      </w:r>
      <w:r>
        <w:rPr>
          <w:color w:val="231F20"/>
          <w:sz w:val="16"/>
        </w:rPr>
        <w:t>por</w:t>
      </w:r>
      <w:r>
        <w:rPr>
          <w:color w:val="231F20"/>
          <w:spacing w:val="-10"/>
          <w:sz w:val="16"/>
        </w:rPr>
        <w:t> </w:t>
      </w:r>
      <w:r>
        <w:rPr>
          <w:color w:val="231F20"/>
          <w:sz w:val="16"/>
        </w:rPr>
        <w:t>220</w:t>
      </w:r>
      <w:r>
        <w:rPr>
          <w:color w:val="231F20"/>
          <w:spacing w:val="-10"/>
          <w:sz w:val="16"/>
        </w:rPr>
        <w:t> </w:t>
      </w:r>
      <w:r>
        <w:rPr>
          <w:color w:val="231F20"/>
          <w:sz w:val="16"/>
        </w:rPr>
        <w:t>familias.</w:t>
      </w:r>
      <w:r>
        <w:rPr>
          <w:color w:val="231F20"/>
          <w:spacing w:val="-10"/>
          <w:sz w:val="16"/>
        </w:rPr>
        <w:t> </w:t>
      </w:r>
      <w:r>
        <w:rPr>
          <w:color w:val="231F20"/>
          <w:sz w:val="16"/>
        </w:rPr>
        <w:t>PIÑA</w:t>
      </w:r>
      <w:r>
        <w:rPr>
          <w:color w:val="231F20"/>
          <w:spacing w:val="-10"/>
          <w:sz w:val="16"/>
        </w:rPr>
        <w:t> </w:t>
      </w:r>
      <w:r>
        <w:rPr>
          <w:color w:val="231F20"/>
          <w:sz w:val="16"/>
        </w:rPr>
        <w:t>AHUMADA,</w:t>
      </w:r>
      <w:r>
        <w:rPr>
          <w:color w:val="231F20"/>
          <w:spacing w:val="-10"/>
          <w:sz w:val="16"/>
        </w:rPr>
        <w:t> </w:t>
      </w:r>
      <w:r>
        <w:rPr>
          <w:color w:val="231F20"/>
          <w:sz w:val="16"/>
        </w:rPr>
        <w:t>José</w:t>
      </w:r>
      <w:r>
        <w:rPr>
          <w:color w:val="231F20"/>
          <w:spacing w:val="-10"/>
          <w:sz w:val="16"/>
        </w:rPr>
        <w:t> </w:t>
      </w:r>
      <w:r>
        <w:rPr>
          <w:color w:val="231F20"/>
          <w:sz w:val="16"/>
        </w:rPr>
        <w:t>Antonio,</w:t>
      </w:r>
      <w:r>
        <w:rPr>
          <w:color w:val="231F20"/>
          <w:spacing w:val="-10"/>
          <w:sz w:val="16"/>
        </w:rPr>
        <w:t> </w:t>
      </w:r>
      <w:r>
        <w:rPr>
          <w:color w:val="231F20"/>
          <w:sz w:val="16"/>
        </w:rPr>
        <w:t>Capital</w:t>
      </w:r>
      <w:r>
        <w:rPr>
          <w:color w:val="231F20"/>
          <w:spacing w:val="-10"/>
          <w:sz w:val="16"/>
        </w:rPr>
        <w:t> </w:t>
      </w:r>
      <w:r>
        <w:rPr>
          <w:color w:val="231F20"/>
          <w:sz w:val="16"/>
        </w:rPr>
        <w:t>social</w:t>
      </w:r>
      <w:r>
        <w:rPr>
          <w:color w:val="231F20"/>
          <w:spacing w:val="-10"/>
          <w:sz w:val="16"/>
        </w:rPr>
        <w:t> </w:t>
      </w:r>
      <w:r>
        <w:rPr>
          <w:color w:val="231F20"/>
          <w:sz w:val="16"/>
        </w:rPr>
        <w:t>y</w:t>
      </w:r>
      <w:r>
        <w:rPr>
          <w:color w:val="231F20"/>
          <w:spacing w:val="-10"/>
          <w:sz w:val="16"/>
        </w:rPr>
        <w:t> </w:t>
      </w:r>
      <w:r>
        <w:rPr>
          <w:color w:val="231F20"/>
          <w:sz w:val="16"/>
        </w:rPr>
        <w:t>superación de</w:t>
      </w:r>
      <w:r>
        <w:rPr>
          <w:color w:val="231F20"/>
          <w:spacing w:val="-11"/>
          <w:sz w:val="16"/>
        </w:rPr>
        <w:t> </w:t>
      </w:r>
      <w:r>
        <w:rPr>
          <w:color w:val="231F20"/>
          <w:sz w:val="16"/>
        </w:rPr>
        <w:t>la</w:t>
      </w:r>
      <w:r>
        <w:rPr>
          <w:color w:val="231F20"/>
          <w:spacing w:val="-11"/>
          <w:sz w:val="16"/>
        </w:rPr>
        <w:t> </w:t>
      </w:r>
      <w:r>
        <w:rPr>
          <w:color w:val="231F20"/>
          <w:sz w:val="16"/>
        </w:rPr>
        <w:t>pobreza:</w:t>
      </w:r>
      <w:r>
        <w:rPr>
          <w:color w:val="231F20"/>
          <w:spacing w:val="-11"/>
          <w:sz w:val="16"/>
        </w:rPr>
        <w:t> </w:t>
      </w:r>
      <w:r>
        <w:rPr>
          <w:color w:val="231F20"/>
          <w:sz w:val="16"/>
        </w:rPr>
        <w:t>el</w:t>
      </w:r>
      <w:r>
        <w:rPr>
          <w:color w:val="231F20"/>
          <w:spacing w:val="-11"/>
          <w:sz w:val="16"/>
        </w:rPr>
        <w:t> </w:t>
      </w:r>
      <w:r>
        <w:rPr>
          <w:color w:val="231F20"/>
          <w:sz w:val="16"/>
        </w:rPr>
        <w:t>caso</w:t>
      </w:r>
      <w:r>
        <w:rPr>
          <w:color w:val="231F20"/>
          <w:spacing w:val="-11"/>
          <w:sz w:val="16"/>
        </w:rPr>
        <w:t> </w:t>
      </w:r>
      <w:r>
        <w:rPr>
          <w:color w:val="231F20"/>
          <w:sz w:val="16"/>
        </w:rPr>
        <w:t>del</w:t>
      </w:r>
      <w:r>
        <w:rPr>
          <w:color w:val="231F20"/>
          <w:spacing w:val="-11"/>
          <w:sz w:val="16"/>
        </w:rPr>
        <w:t> </w:t>
      </w:r>
      <w:r>
        <w:rPr>
          <w:color w:val="231F20"/>
          <w:sz w:val="16"/>
        </w:rPr>
        <w:t>Programa</w:t>
      </w:r>
      <w:r>
        <w:rPr>
          <w:color w:val="231F20"/>
          <w:spacing w:val="-11"/>
          <w:sz w:val="16"/>
        </w:rPr>
        <w:t> </w:t>
      </w:r>
      <w:r>
        <w:rPr>
          <w:color w:val="231F20"/>
          <w:sz w:val="16"/>
        </w:rPr>
        <w:t>Vivienda</w:t>
      </w:r>
      <w:r>
        <w:rPr>
          <w:color w:val="231F20"/>
          <w:spacing w:val="-11"/>
          <w:sz w:val="16"/>
        </w:rPr>
        <w:t> </w:t>
      </w:r>
      <w:r>
        <w:rPr>
          <w:color w:val="231F20"/>
          <w:sz w:val="16"/>
        </w:rPr>
        <w:t>Popular</w:t>
      </w:r>
      <w:r>
        <w:rPr>
          <w:color w:val="231F20"/>
          <w:spacing w:val="-11"/>
          <w:sz w:val="16"/>
        </w:rPr>
        <w:t> </w:t>
      </w:r>
      <w:r>
        <w:rPr>
          <w:color w:val="231F20"/>
          <w:sz w:val="16"/>
        </w:rPr>
        <w:t>y</w:t>
      </w:r>
      <w:r>
        <w:rPr>
          <w:color w:val="231F20"/>
          <w:spacing w:val="-11"/>
          <w:sz w:val="16"/>
        </w:rPr>
        <w:t> </w:t>
      </w:r>
      <w:r>
        <w:rPr>
          <w:color w:val="231F20"/>
          <w:sz w:val="16"/>
        </w:rPr>
        <w:t>Organización</w:t>
      </w:r>
      <w:r>
        <w:rPr>
          <w:color w:val="231F20"/>
          <w:spacing w:val="-11"/>
          <w:sz w:val="16"/>
        </w:rPr>
        <w:t> </w:t>
      </w:r>
      <w:r>
        <w:rPr>
          <w:color w:val="231F20"/>
          <w:sz w:val="16"/>
        </w:rPr>
        <w:t>Comunitaria,</w:t>
      </w:r>
      <w:r>
        <w:rPr>
          <w:color w:val="231F20"/>
          <w:spacing w:val="-11"/>
          <w:sz w:val="16"/>
        </w:rPr>
        <w:t> </w:t>
      </w:r>
      <w:r>
        <w:rPr>
          <w:color w:val="231F20"/>
          <w:sz w:val="16"/>
        </w:rPr>
        <w:t>p.</w:t>
      </w:r>
      <w:r>
        <w:rPr>
          <w:color w:val="231F20"/>
          <w:spacing w:val="-11"/>
          <w:sz w:val="16"/>
        </w:rPr>
        <w:t> </w:t>
      </w:r>
      <w:r>
        <w:rPr>
          <w:color w:val="231F20"/>
          <w:spacing w:val="-6"/>
          <w:sz w:val="16"/>
        </w:rPr>
        <w:t>110.</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6"/>
        <w:jc w:val="both"/>
      </w:pPr>
      <w:r>
        <w:rPr>
          <w:color w:val="231F20"/>
          <w:w w:val="105"/>
        </w:rPr>
        <w:t>El</w:t>
      </w:r>
      <w:r>
        <w:rPr>
          <w:color w:val="231F20"/>
          <w:spacing w:val="-17"/>
          <w:w w:val="105"/>
        </w:rPr>
        <w:t> </w:t>
      </w:r>
      <w:r>
        <w:rPr>
          <w:color w:val="231F20"/>
          <w:w w:val="105"/>
        </w:rPr>
        <w:t>impacto</w:t>
      </w:r>
      <w:r>
        <w:rPr>
          <w:color w:val="231F20"/>
          <w:spacing w:val="-17"/>
          <w:w w:val="105"/>
        </w:rPr>
        <w:t> </w:t>
      </w:r>
      <w:r>
        <w:rPr>
          <w:color w:val="231F20"/>
          <w:w w:val="105"/>
        </w:rPr>
        <w:t>del</w:t>
      </w:r>
      <w:r>
        <w:rPr>
          <w:color w:val="231F20"/>
          <w:spacing w:val="-17"/>
          <w:w w:val="105"/>
        </w:rPr>
        <w:t> </w:t>
      </w:r>
      <w:r>
        <w:rPr>
          <w:color w:val="231F20"/>
          <w:w w:val="105"/>
        </w:rPr>
        <w:t>programa</w:t>
      </w:r>
      <w:r>
        <w:rPr>
          <w:color w:val="231F20"/>
          <w:spacing w:val="-17"/>
          <w:w w:val="105"/>
        </w:rPr>
        <w:t> </w:t>
      </w:r>
      <w:r>
        <w:rPr>
          <w:color w:val="231F20"/>
          <w:w w:val="105"/>
        </w:rPr>
        <w:t>en</w:t>
      </w:r>
      <w:r>
        <w:rPr>
          <w:color w:val="231F20"/>
          <w:spacing w:val="-17"/>
          <w:w w:val="105"/>
        </w:rPr>
        <w:t> </w:t>
      </w:r>
      <w:r>
        <w:rPr>
          <w:color w:val="231F20"/>
          <w:w w:val="105"/>
        </w:rPr>
        <w:t>números</w:t>
      </w:r>
      <w:r>
        <w:rPr>
          <w:color w:val="231F20"/>
          <w:spacing w:val="-17"/>
          <w:w w:val="105"/>
        </w:rPr>
        <w:t> </w:t>
      </w:r>
      <w:r>
        <w:rPr>
          <w:color w:val="231F20"/>
          <w:w w:val="105"/>
        </w:rPr>
        <w:t>no</w:t>
      </w:r>
      <w:r>
        <w:rPr>
          <w:color w:val="231F20"/>
          <w:spacing w:val="-17"/>
          <w:w w:val="105"/>
        </w:rPr>
        <w:t> </w:t>
      </w:r>
      <w:r>
        <w:rPr>
          <w:color w:val="231F20"/>
          <w:w w:val="105"/>
        </w:rPr>
        <w:t>ha</w:t>
      </w:r>
      <w:r>
        <w:rPr>
          <w:color w:val="231F20"/>
          <w:spacing w:val="-17"/>
          <w:w w:val="105"/>
        </w:rPr>
        <w:t> </w:t>
      </w:r>
      <w:r>
        <w:rPr>
          <w:color w:val="231F20"/>
          <w:w w:val="105"/>
        </w:rPr>
        <w:t>sido</w:t>
      </w:r>
      <w:r>
        <w:rPr>
          <w:color w:val="231F20"/>
          <w:spacing w:val="-17"/>
          <w:w w:val="105"/>
        </w:rPr>
        <w:t> </w:t>
      </w:r>
      <w:r>
        <w:rPr>
          <w:color w:val="231F20"/>
          <w:w w:val="105"/>
        </w:rPr>
        <w:t>el</w:t>
      </w:r>
      <w:r>
        <w:rPr>
          <w:color w:val="231F20"/>
          <w:spacing w:val="-18"/>
          <w:w w:val="105"/>
        </w:rPr>
        <w:t> </w:t>
      </w:r>
      <w:r>
        <w:rPr>
          <w:color w:val="231F20"/>
          <w:w w:val="105"/>
        </w:rPr>
        <w:t>esperado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spacing w:val="-3"/>
          <w:w w:val="105"/>
        </w:rPr>
        <w:t>propio</w:t>
      </w:r>
      <w:r>
        <w:rPr>
          <w:color w:val="231F20"/>
          <w:spacing w:val="-17"/>
          <w:w w:val="105"/>
        </w:rPr>
        <w:t> </w:t>
      </w:r>
      <w:r>
        <w:rPr>
          <w:color w:val="231F20"/>
          <w:w w:val="105"/>
        </w:rPr>
        <w:t>gobierno,</w:t>
      </w:r>
      <w:r>
        <w:rPr>
          <w:color w:val="231F20"/>
          <w:spacing w:val="-17"/>
          <w:w w:val="105"/>
        </w:rPr>
        <w:t> </w:t>
      </w:r>
      <w:r>
        <w:rPr>
          <w:color w:val="231F20"/>
          <w:w w:val="105"/>
        </w:rPr>
        <w:t>pero el impacto en la zona fue importante, pues alentó la confianza, generando una </w:t>
      </w:r>
      <w:r>
        <w:rPr>
          <w:color w:val="231F20"/>
          <w:spacing w:val="-3"/>
          <w:w w:val="105"/>
        </w:rPr>
        <w:t>comu- </w:t>
      </w:r>
      <w:r>
        <w:rPr>
          <w:color w:val="231F20"/>
          <w:w w:val="105"/>
        </w:rPr>
        <w:t>nidad más participativa y organizada no sólo frente </w:t>
      </w:r>
      <w:r>
        <w:rPr>
          <w:color w:val="231F20"/>
          <w:spacing w:val="2"/>
          <w:w w:val="105"/>
        </w:rPr>
        <w:t>al </w:t>
      </w:r>
      <w:r>
        <w:rPr>
          <w:color w:val="231F20"/>
          <w:w w:val="105"/>
        </w:rPr>
        <w:t>programa y sus beneficios, sino también</w:t>
      </w:r>
      <w:r>
        <w:rPr>
          <w:color w:val="231F20"/>
          <w:spacing w:val="-15"/>
          <w:w w:val="105"/>
        </w:rPr>
        <w:t> </w:t>
      </w:r>
      <w:r>
        <w:rPr>
          <w:color w:val="231F20"/>
          <w:w w:val="105"/>
        </w:rPr>
        <w:t>frente</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políticas</w:t>
      </w:r>
      <w:r>
        <w:rPr>
          <w:color w:val="231F20"/>
          <w:spacing w:val="-15"/>
          <w:w w:val="105"/>
        </w:rPr>
        <w:t> </w:t>
      </w:r>
      <w:r>
        <w:rPr>
          <w:color w:val="231F20"/>
          <w:w w:val="105"/>
        </w:rPr>
        <w:t>del</w:t>
      </w:r>
      <w:r>
        <w:rPr>
          <w:color w:val="231F20"/>
          <w:spacing w:val="-15"/>
          <w:w w:val="105"/>
        </w:rPr>
        <w:t> </w:t>
      </w:r>
      <w:r>
        <w:rPr>
          <w:color w:val="231F20"/>
          <w:w w:val="105"/>
        </w:rPr>
        <w:t>gobierno</w:t>
      </w:r>
      <w:r>
        <w:rPr>
          <w:color w:val="231F20"/>
          <w:spacing w:val="-15"/>
          <w:w w:val="105"/>
        </w:rPr>
        <w:t> </w:t>
      </w:r>
      <w:r>
        <w:rPr>
          <w:color w:val="231F20"/>
          <w:w w:val="105"/>
        </w:rPr>
        <w:t>mismo.</w:t>
      </w:r>
    </w:p>
    <w:p>
      <w:pPr>
        <w:pStyle w:val="BodyText"/>
        <w:spacing w:before="1"/>
        <w:rPr>
          <w:sz w:val="26"/>
        </w:rPr>
      </w:pPr>
    </w:p>
    <w:p>
      <w:pPr>
        <w:pStyle w:val="BodyText"/>
        <w:spacing w:line="285" w:lineRule="auto"/>
        <w:ind w:left="110" w:right="106"/>
        <w:jc w:val="both"/>
      </w:pPr>
      <w:r>
        <w:rPr>
          <w:color w:val="231F20"/>
          <w:w w:val="105"/>
        </w:rPr>
        <w:t>El</w:t>
      </w:r>
      <w:r>
        <w:rPr>
          <w:color w:val="231F20"/>
          <w:spacing w:val="-6"/>
          <w:w w:val="105"/>
        </w:rPr>
        <w:t> </w:t>
      </w:r>
      <w:r>
        <w:rPr>
          <w:color w:val="231F20"/>
          <w:w w:val="105"/>
        </w:rPr>
        <w:t>problema</w:t>
      </w:r>
      <w:r>
        <w:rPr>
          <w:color w:val="231F20"/>
          <w:spacing w:val="-6"/>
          <w:w w:val="105"/>
        </w:rPr>
        <w:t> </w:t>
      </w:r>
      <w:r>
        <w:rPr>
          <w:color w:val="231F20"/>
          <w:w w:val="105"/>
        </w:rPr>
        <w:t>es</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siguió</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mismo</w:t>
      </w:r>
      <w:r>
        <w:rPr>
          <w:color w:val="231F20"/>
          <w:spacing w:val="-6"/>
          <w:w w:val="105"/>
        </w:rPr>
        <w:t> </w:t>
      </w:r>
      <w:r>
        <w:rPr>
          <w:color w:val="231F20"/>
          <w:w w:val="105"/>
        </w:rPr>
        <w:t>ritmo</w:t>
      </w:r>
      <w:r>
        <w:rPr>
          <w:color w:val="231F20"/>
          <w:spacing w:val="-6"/>
          <w:w w:val="105"/>
        </w:rPr>
        <w:t> </w:t>
      </w:r>
      <w:r>
        <w:rPr>
          <w:color w:val="231F20"/>
          <w:w w:val="105"/>
        </w:rPr>
        <w:t>de</w:t>
      </w:r>
      <w:r>
        <w:rPr>
          <w:color w:val="231F20"/>
          <w:spacing w:val="-6"/>
          <w:w w:val="105"/>
        </w:rPr>
        <w:t> </w:t>
      </w:r>
      <w:r>
        <w:rPr>
          <w:color w:val="231F20"/>
          <w:w w:val="105"/>
        </w:rPr>
        <w:t>trabajo,</w:t>
      </w:r>
      <w:r>
        <w:rPr>
          <w:color w:val="231F20"/>
          <w:spacing w:val="-6"/>
          <w:w w:val="105"/>
        </w:rPr>
        <w:t> </w:t>
      </w:r>
      <w:r>
        <w:rPr>
          <w:color w:val="231F20"/>
          <w:w w:val="105"/>
        </w:rPr>
        <w:t>por</w:t>
      </w:r>
      <w:r>
        <w:rPr>
          <w:color w:val="231F20"/>
          <w:spacing w:val="-6"/>
          <w:w w:val="105"/>
        </w:rPr>
        <w:t> </w:t>
      </w:r>
      <w:r>
        <w:rPr>
          <w:color w:val="231F20"/>
          <w:w w:val="105"/>
        </w:rPr>
        <w:t>ende,</w:t>
      </w:r>
      <w:r>
        <w:rPr>
          <w:color w:val="231F20"/>
          <w:spacing w:val="-6"/>
          <w:w w:val="105"/>
        </w:rPr>
        <w:t> </w:t>
      </w:r>
      <w:r>
        <w:rPr>
          <w:color w:val="231F20"/>
          <w:w w:val="105"/>
        </w:rPr>
        <w:t>el</w:t>
      </w:r>
      <w:r>
        <w:rPr>
          <w:color w:val="231F20"/>
          <w:spacing w:val="-6"/>
          <w:w w:val="105"/>
        </w:rPr>
        <w:t> </w:t>
      </w:r>
      <w:r>
        <w:rPr>
          <w:color w:val="231F20"/>
          <w:w w:val="105"/>
        </w:rPr>
        <w:t>número</w:t>
      </w:r>
      <w:r>
        <w:rPr>
          <w:color w:val="231F20"/>
          <w:spacing w:val="-6"/>
          <w:w w:val="105"/>
        </w:rPr>
        <w:t> </w:t>
      </w:r>
      <w:r>
        <w:rPr>
          <w:color w:val="231F20"/>
          <w:w w:val="105"/>
        </w:rPr>
        <w:t>de créditos y viviendas fue menos del programado. Además, habría que ir más </w:t>
      </w:r>
      <w:r>
        <w:rPr>
          <w:color w:val="231F20"/>
          <w:spacing w:val="2"/>
          <w:w w:val="105"/>
        </w:rPr>
        <w:t>allá </w:t>
      </w:r>
      <w:r>
        <w:rPr>
          <w:color w:val="231F20"/>
          <w:w w:val="105"/>
        </w:rPr>
        <w:t>de la dotación</w:t>
      </w:r>
      <w:r>
        <w:rPr>
          <w:color w:val="231F20"/>
          <w:spacing w:val="-18"/>
          <w:w w:val="105"/>
        </w:rPr>
        <w:t> </w:t>
      </w:r>
      <w:r>
        <w:rPr>
          <w:color w:val="231F20"/>
          <w:w w:val="105"/>
        </w:rPr>
        <w:t>de</w:t>
      </w:r>
      <w:r>
        <w:rPr>
          <w:color w:val="231F20"/>
          <w:spacing w:val="-18"/>
          <w:w w:val="105"/>
        </w:rPr>
        <w:t> </w:t>
      </w:r>
      <w:r>
        <w:rPr>
          <w:color w:val="231F20"/>
          <w:w w:val="105"/>
        </w:rPr>
        <w:t>vivienda</w:t>
      </w:r>
      <w:r>
        <w:rPr>
          <w:color w:val="231F20"/>
          <w:spacing w:val="-18"/>
          <w:w w:val="105"/>
        </w:rPr>
        <w:t> </w:t>
      </w:r>
      <w:r>
        <w:rPr>
          <w:color w:val="231F20"/>
          <w:w w:val="105"/>
        </w:rPr>
        <w:t>y</w:t>
      </w:r>
      <w:r>
        <w:rPr>
          <w:color w:val="231F20"/>
          <w:spacing w:val="-18"/>
          <w:w w:val="105"/>
        </w:rPr>
        <w:t> </w:t>
      </w:r>
      <w:r>
        <w:rPr>
          <w:color w:val="231F20"/>
          <w:w w:val="105"/>
        </w:rPr>
        <w:t>apuntar</w:t>
      </w:r>
      <w:r>
        <w:rPr>
          <w:color w:val="231F20"/>
          <w:spacing w:val="-18"/>
          <w:w w:val="105"/>
        </w:rPr>
        <w:t> </w:t>
      </w:r>
      <w:r>
        <w:rPr>
          <w:color w:val="231F20"/>
          <w:w w:val="105"/>
        </w:rPr>
        <w:t>hacia</w:t>
      </w:r>
      <w:r>
        <w:rPr>
          <w:color w:val="231F20"/>
          <w:spacing w:val="-18"/>
          <w:w w:val="105"/>
        </w:rPr>
        <w:t> </w:t>
      </w:r>
      <w:r>
        <w:rPr>
          <w:color w:val="231F20"/>
          <w:w w:val="105"/>
        </w:rPr>
        <w:t>la</w:t>
      </w:r>
      <w:r>
        <w:rPr>
          <w:color w:val="231F20"/>
          <w:spacing w:val="-18"/>
          <w:w w:val="105"/>
        </w:rPr>
        <w:t> </w:t>
      </w:r>
      <w:r>
        <w:rPr>
          <w:color w:val="231F20"/>
          <w:w w:val="105"/>
        </w:rPr>
        <w:t>igualdad</w:t>
      </w:r>
      <w:r>
        <w:rPr>
          <w:color w:val="231F20"/>
          <w:spacing w:val="-18"/>
          <w:w w:val="105"/>
        </w:rPr>
        <w:t> </w:t>
      </w:r>
      <w:r>
        <w:rPr>
          <w:color w:val="231F20"/>
          <w:w w:val="105"/>
        </w:rPr>
        <w:t>de</w:t>
      </w:r>
      <w:r>
        <w:rPr>
          <w:color w:val="231F20"/>
          <w:spacing w:val="-18"/>
          <w:w w:val="105"/>
        </w:rPr>
        <w:t> </w:t>
      </w:r>
      <w:r>
        <w:rPr>
          <w:color w:val="231F20"/>
          <w:w w:val="105"/>
        </w:rPr>
        <w:t>oportunidades</w:t>
      </w:r>
      <w:r>
        <w:rPr>
          <w:color w:val="231F20"/>
          <w:spacing w:val="-18"/>
          <w:w w:val="105"/>
        </w:rPr>
        <w:t> </w:t>
      </w:r>
      <w:r>
        <w:rPr>
          <w:color w:val="231F20"/>
          <w:w w:val="105"/>
        </w:rPr>
        <w:t>laborales,</w:t>
      </w:r>
      <w:r>
        <w:rPr>
          <w:color w:val="231F20"/>
          <w:spacing w:val="-18"/>
          <w:w w:val="105"/>
        </w:rPr>
        <w:t> </w:t>
      </w:r>
      <w:r>
        <w:rPr>
          <w:color w:val="231F20"/>
          <w:w w:val="105"/>
        </w:rPr>
        <w:t>educativas y</w:t>
      </w:r>
      <w:r>
        <w:rPr>
          <w:color w:val="231F20"/>
          <w:spacing w:val="-11"/>
          <w:w w:val="105"/>
        </w:rPr>
        <w:t> </w:t>
      </w:r>
      <w:r>
        <w:rPr>
          <w:color w:val="231F20"/>
          <w:w w:val="105"/>
        </w:rPr>
        <w:t>de</w:t>
      </w:r>
      <w:r>
        <w:rPr>
          <w:color w:val="231F20"/>
          <w:spacing w:val="-11"/>
          <w:w w:val="105"/>
        </w:rPr>
        <w:t> </w:t>
      </w:r>
      <w:r>
        <w:rPr>
          <w:color w:val="231F20"/>
          <w:w w:val="105"/>
        </w:rPr>
        <w:t>seguridad</w:t>
      </w:r>
      <w:r>
        <w:rPr>
          <w:color w:val="231F20"/>
          <w:spacing w:val="-11"/>
          <w:w w:val="105"/>
        </w:rPr>
        <w:t> </w:t>
      </w:r>
      <w:r>
        <w:rPr>
          <w:color w:val="231F20"/>
          <w:w w:val="105"/>
        </w:rPr>
        <w:t>social</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zona</w:t>
      </w:r>
      <w:r>
        <w:rPr>
          <w:color w:val="231F20"/>
          <w:spacing w:val="-11"/>
          <w:w w:val="105"/>
        </w:rPr>
        <w:t> </w:t>
      </w:r>
      <w:r>
        <w:rPr>
          <w:color w:val="231F20"/>
          <w:w w:val="105"/>
        </w:rPr>
        <w:t>oriente</w:t>
      </w:r>
      <w:r>
        <w:rPr>
          <w:color w:val="231F20"/>
          <w:spacing w:val="-11"/>
          <w:w w:val="105"/>
        </w:rPr>
        <w:t> </w:t>
      </w:r>
      <w:r>
        <w:rPr>
          <w:color w:val="231F20"/>
          <w:w w:val="105"/>
        </w:rPr>
        <w:t>del</w:t>
      </w:r>
      <w:r>
        <w:rPr>
          <w:color w:val="231F20"/>
          <w:spacing w:val="-11"/>
          <w:w w:val="105"/>
        </w:rPr>
        <w:t> </w:t>
      </w:r>
      <w:r>
        <w:rPr>
          <w:color w:val="231F20"/>
          <w:w w:val="105"/>
        </w:rPr>
        <w:t>municipio</w:t>
      </w:r>
      <w:r>
        <w:rPr>
          <w:color w:val="231F20"/>
          <w:spacing w:val="-11"/>
          <w:w w:val="105"/>
        </w:rPr>
        <w:t> </w:t>
      </w:r>
      <w:r>
        <w:rPr>
          <w:color w:val="231F20"/>
          <w:w w:val="105"/>
        </w:rPr>
        <w:t>de</w:t>
      </w:r>
      <w:r>
        <w:rPr>
          <w:color w:val="231F20"/>
          <w:spacing w:val="-11"/>
          <w:w w:val="105"/>
        </w:rPr>
        <w:t> </w:t>
      </w:r>
      <w:r>
        <w:rPr>
          <w:color w:val="231F20"/>
          <w:w w:val="105"/>
        </w:rPr>
        <w:t>Tlalnepantla.</w:t>
      </w:r>
      <w:r>
        <w:rPr>
          <w:color w:val="231F20"/>
          <w:spacing w:val="-11"/>
          <w:w w:val="105"/>
        </w:rPr>
        <w:t> </w:t>
      </w:r>
      <w:r>
        <w:rPr>
          <w:color w:val="231F20"/>
          <w:w w:val="105"/>
        </w:rPr>
        <w:t>Justo</w:t>
      </w:r>
      <w:r>
        <w:rPr>
          <w:color w:val="231F20"/>
          <w:spacing w:val="-11"/>
          <w:w w:val="105"/>
        </w:rPr>
        <w:t> </w:t>
      </w:r>
      <w:r>
        <w:rPr>
          <w:color w:val="231F20"/>
          <w:w w:val="105"/>
        </w:rPr>
        <w:t>como</w:t>
      </w:r>
      <w:r>
        <w:rPr>
          <w:color w:val="231F20"/>
          <w:spacing w:val="-11"/>
          <w:w w:val="105"/>
        </w:rPr>
        <w:t> </w:t>
      </w:r>
      <w:r>
        <w:rPr>
          <w:color w:val="231F20"/>
          <w:w w:val="105"/>
        </w:rPr>
        <w:t>lo indica</w:t>
      </w:r>
      <w:r>
        <w:rPr>
          <w:color w:val="231F20"/>
          <w:spacing w:val="-13"/>
          <w:w w:val="105"/>
        </w:rPr>
        <w:t> </w:t>
      </w:r>
      <w:r>
        <w:rPr>
          <w:color w:val="231F20"/>
          <w:w w:val="105"/>
        </w:rPr>
        <w:t>el</w:t>
      </w:r>
      <w:r>
        <w:rPr>
          <w:color w:val="231F20"/>
          <w:spacing w:val="-13"/>
          <w:w w:val="105"/>
        </w:rPr>
        <w:t> </w:t>
      </w:r>
      <w:r>
        <w:rPr>
          <w:color w:val="231F20"/>
          <w:w w:val="105"/>
        </w:rPr>
        <w:t>Plan</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Municipal</w:t>
      </w:r>
      <w:r>
        <w:rPr>
          <w:color w:val="231F20"/>
          <w:spacing w:val="-13"/>
          <w:w w:val="105"/>
        </w:rPr>
        <w:t> </w:t>
      </w:r>
      <w:r>
        <w:rPr>
          <w:color w:val="231F20"/>
          <w:w w:val="105"/>
        </w:rPr>
        <w:t>de</w:t>
      </w:r>
      <w:r>
        <w:rPr>
          <w:color w:val="231F20"/>
          <w:spacing w:val="-13"/>
          <w:w w:val="105"/>
        </w:rPr>
        <w:t> </w:t>
      </w:r>
      <w:r>
        <w:rPr>
          <w:color w:val="231F20"/>
          <w:w w:val="105"/>
        </w:rPr>
        <w:t>cada</w:t>
      </w:r>
      <w:r>
        <w:rPr>
          <w:color w:val="231F20"/>
          <w:spacing w:val="-13"/>
          <w:w w:val="105"/>
        </w:rPr>
        <w:t> </w:t>
      </w:r>
      <w:r>
        <w:rPr>
          <w:color w:val="231F20"/>
          <w:w w:val="105"/>
        </w:rPr>
        <w:t>una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tres</w:t>
      </w:r>
      <w:r>
        <w:rPr>
          <w:color w:val="231F20"/>
          <w:spacing w:val="-13"/>
          <w:w w:val="105"/>
        </w:rPr>
        <w:t> </w:t>
      </w:r>
      <w:r>
        <w:rPr>
          <w:color w:val="231F20"/>
          <w:w w:val="105"/>
        </w:rPr>
        <w:t>gestiones.</w:t>
      </w:r>
    </w:p>
    <w:p>
      <w:pPr>
        <w:pStyle w:val="BodyText"/>
        <w:spacing w:before="1"/>
        <w:rPr>
          <w:sz w:val="26"/>
        </w:rPr>
      </w:pPr>
    </w:p>
    <w:p>
      <w:pPr>
        <w:pStyle w:val="BodyText"/>
        <w:spacing w:line="285" w:lineRule="auto"/>
        <w:ind w:left="110" w:right="107"/>
        <w:jc w:val="both"/>
        <w:rPr>
          <w:sz w:val="13"/>
        </w:rPr>
      </w:pPr>
      <w:r>
        <w:rPr>
          <w:color w:val="231F20"/>
          <w:w w:val="105"/>
        </w:rPr>
        <w:t>Así pues, la zona oriente del municipio, aun cuando su población sea inferior a la que habita la zona poniente, sigue careciendo de servicios públicos. Esto, aun cuando el gobierno municipal califica estos entornos sociales como de los más importantes, por ser puntos de referencia que permiten evaluar, financiera y técnicamente, las políticas gubernamentales que integran la agenda de los asuntos públicos. Si bien el municipio cuenta</w:t>
      </w:r>
      <w:r>
        <w:rPr>
          <w:color w:val="231F20"/>
          <w:spacing w:val="-6"/>
          <w:w w:val="105"/>
        </w:rPr>
        <w:t> </w:t>
      </w:r>
      <w:r>
        <w:rPr>
          <w:color w:val="231F20"/>
          <w:w w:val="105"/>
        </w:rPr>
        <w:t>con</w:t>
      </w:r>
      <w:r>
        <w:rPr>
          <w:color w:val="231F20"/>
          <w:spacing w:val="-6"/>
          <w:w w:val="105"/>
        </w:rPr>
        <w:t> </w:t>
      </w:r>
      <w:r>
        <w:rPr>
          <w:color w:val="231F20"/>
          <w:w w:val="105"/>
        </w:rPr>
        <w:t>altos</w:t>
      </w:r>
      <w:r>
        <w:rPr>
          <w:color w:val="231F20"/>
          <w:spacing w:val="-6"/>
          <w:w w:val="105"/>
        </w:rPr>
        <w:t> </w:t>
      </w:r>
      <w:r>
        <w:rPr>
          <w:color w:val="231F20"/>
          <w:w w:val="105"/>
        </w:rPr>
        <w:t>niveles</w:t>
      </w:r>
      <w:r>
        <w:rPr>
          <w:color w:val="231F20"/>
          <w:spacing w:val="-6"/>
          <w:w w:val="105"/>
        </w:rPr>
        <w:t> </w:t>
      </w:r>
      <w:r>
        <w:rPr>
          <w:color w:val="231F20"/>
          <w:w w:val="105"/>
        </w:rPr>
        <w:t>de</w:t>
      </w:r>
      <w:r>
        <w:rPr>
          <w:color w:val="231F20"/>
          <w:spacing w:val="-6"/>
          <w:w w:val="105"/>
        </w:rPr>
        <w:t> </w:t>
      </w:r>
      <w:r>
        <w:rPr>
          <w:color w:val="231F20"/>
          <w:w w:val="105"/>
        </w:rPr>
        <w:t>dotación</w:t>
      </w:r>
      <w:r>
        <w:rPr>
          <w:color w:val="231F20"/>
          <w:spacing w:val="-6"/>
          <w:w w:val="105"/>
        </w:rPr>
        <w:t> </w:t>
      </w:r>
      <w:r>
        <w:rPr>
          <w:color w:val="231F20"/>
          <w:w w:val="105"/>
        </w:rPr>
        <w:t>de</w:t>
      </w:r>
      <w:r>
        <w:rPr>
          <w:color w:val="231F20"/>
          <w:spacing w:val="-6"/>
          <w:w w:val="105"/>
        </w:rPr>
        <w:t> </w:t>
      </w:r>
      <w:r>
        <w:rPr>
          <w:color w:val="231F20"/>
          <w:w w:val="105"/>
        </w:rPr>
        <w:t>satisfactores</w:t>
      </w:r>
      <w:r>
        <w:rPr>
          <w:color w:val="231F20"/>
          <w:spacing w:val="-6"/>
          <w:w w:val="105"/>
        </w:rPr>
        <w:t> </w:t>
      </w:r>
      <w:r>
        <w:rPr>
          <w:color w:val="231F20"/>
          <w:w w:val="105"/>
        </w:rPr>
        <w:t>urbanos,</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muchos</w:t>
      </w:r>
      <w:r>
        <w:rPr>
          <w:color w:val="231F20"/>
          <w:spacing w:val="-6"/>
          <w:w w:val="105"/>
        </w:rPr>
        <w:t> </w:t>
      </w:r>
      <w:r>
        <w:rPr>
          <w:color w:val="231F20"/>
          <w:w w:val="105"/>
        </w:rPr>
        <w:t>casos tienen una cobertura regional metropolitana, aún existe insuficiencia en algunos ser- vicios para atender ciertas necesidades básicas de su población, sobre todo en la Zona Oriente del</w:t>
      </w:r>
      <w:r>
        <w:rPr>
          <w:color w:val="231F20"/>
          <w:spacing w:val="-37"/>
          <w:w w:val="105"/>
        </w:rPr>
        <w:t> </w:t>
      </w:r>
      <w:r>
        <w:rPr>
          <w:color w:val="231F20"/>
          <w:w w:val="105"/>
        </w:rPr>
        <w:t>municipio</w:t>
      </w:r>
      <w:r>
        <w:rPr>
          <w:color w:val="231F20"/>
          <w:w w:val="105"/>
          <w:position w:val="7"/>
          <w:sz w:val="13"/>
        </w:rPr>
        <w:t>23.</w:t>
      </w:r>
    </w:p>
    <w:p>
      <w:pPr>
        <w:pStyle w:val="BodyText"/>
        <w:rPr>
          <w:sz w:val="26"/>
        </w:rPr>
      </w:pPr>
    </w:p>
    <w:p>
      <w:pPr>
        <w:pStyle w:val="BodyText"/>
        <w:spacing w:line="285" w:lineRule="auto"/>
        <w:ind w:left="110" w:right="108"/>
        <w:jc w:val="both"/>
      </w:pPr>
      <w:r>
        <w:rPr>
          <w:color w:val="231F20"/>
          <w:w w:val="105"/>
        </w:rPr>
        <w:t>Otro</w:t>
      </w:r>
      <w:r>
        <w:rPr>
          <w:color w:val="231F20"/>
          <w:spacing w:val="-9"/>
          <w:w w:val="105"/>
        </w:rPr>
        <w:t> </w:t>
      </w:r>
      <w:r>
        <w:rPr>
          <w:color w:val="231F20"/>
          <w:w w:val="105"/>
        </w:rPr>
        <w:t>aspecto</w:t>
      </w:r>
      <w:r>
        <w:rPr>
          <w:color w:val="231F20"/>
          <w:spacing w:val="-9"/>
          <w:w w:val="105"/>
        </w:rPr>
        <w:t> </w:t>
      </w:r>
      <w:r>
        <w:rPr>
          <w:color w:val="231F20"/>
          <w:w w:val="105"/>
        </w:rPr>
        <w:t>a</w:t>
      </w:r>
      <w:r>
        <w:rPr>
          <w:color w:val="231F20"/>
          <w:spacing w:val="-9"/>
          <w:w w:val="105"/>
        </w:rPr>
        <w:t> </w:t>
      </w:r>
      <w:r>
        <w:rPr>
          <w:color w:val="231F20"/>
          <w:w w:val="105"/>
        </w:rPr>
        <w:t>resaltar</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administración</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programa</w:t>
      </w:r>
      <w:r>
        <w:rPr>
          <w:color w:val="231F20"/>
          <w:spacing w:val="-9"/>
          <w:w w:val="105"/>
        </w:rPr>
        <w:t> </w:t>
      </w:r>
      <w:r>
        <w:rPr>
          <w:color w:val="231F20"/>
          <w:w w:val="105"/>
        </w:rPr>
        <w:t>de</w:t>
      </w:r>
      <w:r>
        <w:rPr>
          <w:color w:val="231F20"/>
          <w:spacing w:val="-9"/>
          <w:w w:val="105"/>
        </w:rPr>
        <w:t> </w:t>
      </w:r>
      <w:r>
        <w:rPr>
          <w:color w:val="231F20"/>
          <w:w w:val="105"/>
        </w:rPr>
        <w:t>rehabilitación</w:t>
      </w:r>
      <w:r>
        <w:rPr>
          <w:color w:val="231F20"/>
          <w:spacing w:val="-9"/>
          <w:w w:val="105"/>
        </w:rPr>
        <w:t> </w:t>
      </w:r>
      <w:r>
        <w:rPr>
          <w:color w:val="231F20"/>
          <w:w w:val="105"/>
        </w:rPr>
        <w:t>del</w:t>
      </w:r>
      <w:r>
        <w:rPr>
          <w:color w:val="231F20"/>
          <w:spacing w:val="-9"/>
          <w:w w:val="105"/>
        </w:rPr>
        <w:t> </w:t>
      </w:r>
      <w:r>
        <w:rPr>
          <w:color w:val="231F20"/>
          <w:w w:val="105"/>
        </w:rPr>
        <w:t>cen- tro</w:t>
      </w:r>
      <w:r>
        <w:rPr>
          <w:color w:val="231F20"/>
          <w:spacing w:val="-6"/>
          <w:w w:val="105"/>
        </w:rPr>
        <w:t> </w:t>
      </w:r>
      <w:r>
        <w:rPr>
          <w:color w:val="231F20"/>
          <w:w w:val="105"/>
        </w:rPr>
        <w:t>de</w:t>
      </w:r>
      <w:r>
        <w:rPr>
          <w:color w:val="231F20"/>
          <w:spacing w:val="-6"/>
          <w:w w:val="105"/>
        </w:rPr>
        <w:t> </w:t>
      </w:r>
      <w:r>
        <w:rPr>
          <w:color w:val="231F20"/>
          <w:w w:val="105"/>
        </w:rPr>
        <w:t>Tlalnepantla,</w:t>
      </w:r>
      <w:r>
        <w:rPr>
          <w:color w:val="231F20"/>
          <w:spacing w:val="-6"/>
          <w:w w:val="105"/>
        </w:rPr>
        <w:t> </w:t>
      </w:r>
      <w:r>
        <w:rPr>
          <w:color w:val="231F20"/>
          <w:w w:val="105"/>
        </w:rPr>
        <w:t>el</w:t>
      </w:r>
      <w:r>
        <w:rPr>
          <w:color w:val="231F20"/>
          <w:spacing w:val="-7"/>
          <w:w w:val="105"/>
        </w:rPr>
        <w:t> </w:t>
      </w:r>
      <w:r>
        <w:rPr>
          <w:color w:val="231F20"/>
          <w:w w:val="105"/>
        </w:rPr>
        <w:t>cual</w:t>
      </w:r>
      <w:r>
        <w:rPr>
          <w:color w:val="231F20"/>
          <w:spacing w:val="-6"/>
          <w:w w:val="105"/>
        </w:rPr>
        <w:t> </w:t>
      </w:r>
      <w:r>
        <w:rPr>
          <w:color w:val="231F20"/>
          <w:w w:val="105"/>
        </w:rPr>
        <w:t>incluyó</w:t>
      </w:r>
      <w:r>
        <w:rPr>
          <w:color w:val="231F20"/>
          <w:spacing w:val="-6"/>
          <w:w w:val="105"/>
        </w:rPr>
        <w:t> </w:t>
      </w:r>
      <w:r>
        <w:rPr>
          <w:color w:val="231F20"/>
          <w:w w:val="105"/>
        </w:rPr>
        <w:t>la</w:t>
      </w:r>
      <w:r>
        <w:rPr>
          <w:color w:val="231F20"/>
          <w:spacing w:val="-7"/>
          <w:w w:val="105"/>
        </w:rPr>
        <w:t> </w:t>
      </w:r>
      <w:r>
        <w:rPr>
          <w:color w:val="231F20"/>
          <w:w w:val="105"/>
        </w:rPr>
        <w:t>sustitución</w:t>
      </w:r>
      <w:r>
        <w:rPr>
          <w:color w:val="231F20"/>
          <w:spacing w:val="-6"/>
          <w:w w:val="105"/>
        </w:rPr>
        <w:t> </w:t>
      </w:r>
      <w:r>
        <w:rPr>
          <w:color w:val="231F20"/>
          <w:w w:val="105"/>
        </w:rPr>
        <w:t>de</w:t>
      </w:r>
      <w:r>
        <w:rPr>
          <w:color w:val="231F20"/>
          <w:spacing w:val="-6"/>
          <w:w w:val="105"/>
        </w:rPr>
        <w:t> </w:t>
      </w:r>
      <w:r>
        <w:rPr>
          <w:color w:val="231F20"/>
          <w:w w:val="105"/>
        </w:rPr>
        <w:t>pavimento</w:t>
      </w:r>
      <w:r>
        <w:rPr>
          <w:color w:val="231F20"/>
          <w:spacing w:val="-6"/>
          <w:w w:val="105"/>
        </w:rPr>
        <w:t> </w:t>
      </w:r>
      <w:r>
        <w:rPr>
          <w:color w:val="231F20"/>
          <w:w w:val="105"/>
        </w:rPr>
        <w:t>y</w:t>
      </w:r>
      <w:r>
        <w:rPr>
          <w:color w:val="231F20"/>
          <w:spacing w:val="-7"/>
          <w:w w:val="105"/>
        </w:rPr>
        <w:t> </w:t>
      </w:r>
      <w:r>
        <w:rPr>
          <w:color w:val="231F20"/>
          <w:w w:val="105"/>
        </w:rPr>
        <w:t>banquetas,</w:t>
      </w:r>
      <w:r>
        <w:rPr>
          <w:color w:val="231F20"/>
          <w:spacing w:val="-7"/>
          <w:w w:val="105"/>
        </w:rPr>
        <w:t> </w:t>
      </w:r>
      <w:r>
        <w:rPr>
          <w:color w:val="231F20"/>
          <w:w w:val="105"/>
        </w:rPr>
        <w:t>el</w:t>
      </w:r>
      <w:r>
        <w:rPr>
          <w:color w:val="231F20"/>
          <w:spacing w:val="-6"/>
          <w:w w:val="105"/>
        </w:rPr>
        <w:t> </w:t>
      </w:r>
      <w:r>
        <w:rPr>
          <w:color w:val="231F20"/>
          <w:w w:val="105"/>
        </w:rPr>
        <w:t>reorde- namiento</w:t>
      </w:r>
      <w:r>
        <w:rPr>
          <w:color w:val="231F20"/>
          <w:spacing w:val="-18"/>
          <w:w w:val="105"/>
        </w:rPr>
        <w:t> </w:t>
      </w:r>
      <w:r>
        <w:rPr>
          <w:color w:val="231F20"/>
          <w:w w:val="105"/>
        </w:rPr>
        <w:t>del</w:t>
      </w:r>
      <w:r>
        <w:rPr>
          <w:color w:val="231F20"/>
          <w:spacing w:val="-18"/>
          <w:w w:val="105"/>
        </w:rPr>
        <w:t> </w:t>
      </w:r>
      <w:r>
        <w:rPr>
          <w:color w:val="231F20"/>
          <w:w w:val="105"/>
        </w:rPr>
        <w:t>comercio</w:t>
      </w:r>
      <w:r>
        <w:rPr>
          <w:color w:val="231F20"/>
          <w:spacing w:val="-18"/>
          <w:w w:val="105"/>
        </w:rPr>
        <w:t> </w:t>
      </w:r>
      <w:r>
        <w:rPr>
          <w:color w:val="231F20"/>
          <w:w w:val="105"/>
        </w:rPr>
        <w:t>informal</w:t>
      </w:r>
      <w:r>
        <w:rPr>
          <w:color w:val="231F20"/>
          <w:spacing w:val="-18"/>
          <w:w w:val="105"/>
        </w:rPr>
        <w:t> </w:t>
      </w:r>
      <w:r>
        <w:rPr>
          <w:color w:val="231F20"/>
          <w:w w:val="105"/>
        </w:rPr>
        <w:t>hacia</w:t>
      </w:r>
      <w:r>
        <w:rPr>
          <w:color w:val="231F20"/>
          <w:spacing w:val="-18"/>
          <w:w w:val="105"/>
        </w:rPr>
        <w:t> </w:t>
      </w:r>
      <w:r>
        <w:rPr>
          <w:color w:val="231F20"/>
          <w:w w:val="105"/>
        </w:rPr>
        <w:t>la</w:t>
      </w:r>
      <w:r>
        <w:rPr>
          <w:color w:val="231F20"/>
          <w:spacing w:val="-18"/>
          <w:w w:val="105"/>
        </w:rPr>
        <w:t> </w:t>
      </w:r>
      <w:r>
        <w:rPr>
          <w:color w:val="231F20"/>
          <w:w w:val="105"/>
        </w:rPr>
        <w:t>Plaza</w:t>
      </w:r>
      <w:r>
        <w:rPr>
          <w:color w:val="231F20"/>
          <w:spacing w:val="-18"/>
          <w:w w:val="105"/>
        </w:rPr>
        <w:t> </w:t>
      </w:r>
      <w:r>
        <w:rPr>
          <w:color w:val="231F20"/>
          <w:w w:val="105"/>
        </w:rPr>
        <w:t>Millenium,</w:t>
      </w:r>
      <w:r>
        <w:rPr>
          <w:color w:val="231F20"/>
          <w:spacing w:val="-18"/>
          <w:w w:val="105"/>
        </w:rPr>
        <w:t> </w:t>
      </w:r>
      <w:r>
        <w:rPr>
          <w:color w:val="231F20"/>
          <w:w w:val="105"/>
        </w:rPr>
        <w:t>y</w:t>
      </w:r>
      <w:r>
        <w:rPr>
          <w:color w:val="231F20"/>
          <w:spacing w:val="-18"/>
          <w:w w:val="105"/>
        </w:rPr>
        <w:t> </w:t>
      </w:r>
      <w:r>
        <w:rPr>
          <w:color w:val="231F20"/>
          <w:w w:val="105"/>
        </w:rPr>
        <w:t>obras</w:t>
      </w:r>
      <w:r>
        <w:rPr>
          <w:color w:val="231F20"/>
          <w:spacing w:val="-18"/>
          <w:w w:val="105"/>
        </w:rPr>
        <w:t> </w:t>
      </w:r>
      <w:r>
        <w:rPr>
          <w:color w:val="231F20"/>
          <w:w w:val="105"/>
        </w:rPr>
        <w:t>de</w:t>
      </w:r>
      <w:r>
        <w:rPr>
          <w:color w:val="231F20"/>
          <w:spacing w:val="-18"/>
          <w:w w:val="105"/>
        </w:rPr>
        <w:t> </w:t>
      </w:r>
      <w:r>
        <w:rPr>
          <w:color w:val="231F20"/>
          <w:w w:val="105"/>
        </w:rPr>
        <w:t>pintura,</w:t>
      </w:r>
      <w:r>
        <w:rPr>
          <w:color w:val="231F20"/>
          <w:spacing w:val="-18"/>
          <w:w w:val="105"/>
        </w:rPr>
        <w:t> </w:t>
      </w:r>
      <w:r>
        <w:rPr>
          <w:color w:val="231F20"/>
          <w:w w:val="105"/>
        </w:rPr>
        <w:t>jardinería y balizamiento, además de la concesión a una empresa del nuevo servicio de parquí- metros.</w:t>
      </w:r>
      <w:r>
        <w:rPr>
          <w:color w:val="231F20"/>
          <w:spacing w:val="-7"/>
          <w:w w:val="105"/>
        </w:rPr>
        <w:t> Todo </w:t>
      </w:r>
      <w:r>
        <w:rPr>
          <w:color w:val="231F20"/>
          <w:w w:val="105"/>
        </w:rPr>
        <w:t>esto</w:t>
      </w:r>
      <w:r>
        <w:rPr>
          <w:color w:val="231F20"/>
          <w:spacing w:val="-7"/>
          <w:w w:val="105"/>
        </w:rPr>
        <w:t> </w:t>
      </w:r>
      <w:r>
        <w:rPr>
          <w:color w:val="231F20"/>
          <w:w w:val="105"/>
        </w:rPr>
        <w:t>contribuyó</w:t>
      </w:r>
      <w:r>
        <w:rPr>
          <w:color w:val="231F20"/>
          <w:spacing w:val="-7"/>
          <w:w w:val="105"/>
        </w:rPr>
        <w:t> </w:t>
      </w:r>
      <w:r>
        <w:rPr>
          <w:color w:val="231F20"/>
          <w:w w:val="105"/>
        </w:rPr>
        <w:t>a</w:t>
      </w:r>
      <w:r>
        <w:rPr>
          <w:color w:val="231F20"/>
          <w:spacing w:val="-7"/>
          <w:w w:val="105"/>
        </w:rPr>
        <w:t> </w:t>
      </w:r>
      <w:r>
        <w:rPr>
          <w:color w:val="231F20"/>
          <w:w w:val="105"/>
        </w:rPr>
        <w:t>mejorar</w:t>
      </w:r>
      <w:r>
        <w:rPr>
          <w:color w:val="231F20"/>
          <w:spacing w:val="-7"/>
          <w:w w:val="105"/>
        </w:rPr>
        <w:t> </w:t>
      </w:r>
      <w:r>
        <w:rPr>
          <w:color w:val="231F20"/>
          <w:w w:val="105"/>
        </w:rPr>
        <w:t>las</w:t>
      </w:r>
      <w:r>
        <w:rPr>
          <w:color w:val="231F20"/>
          <w:spacing w:val="-7"/>
          <w:w w:val="105"/>
        </w:rPr>
        <w:t> </w:t>
      </w:r>
      <w:r>
        <w:rPr>
          <w:color w:val="231F20"/>
          <w:w w:val="105"/>
        </w:rPr>
        <w:t>vialidades,</w:t>
      </w:r>
      <w:r>
        <w:rPr>
          <w:color w:val="231F20"/>
          <w:spacing w:val="-7"/>
          <w:w w:val="105"/>
        </w:rPr>
        <w:t> </w:t>
      </w:r>
      <w:r>
        <w:rPr>
          <w:color w:val="231F20"/>
          <w:w w:val="105"/>
        </w:rPr>
        <w:t>a</w:t>
      </w:r>
      <w:r>
        <w:rPr>
          <w:color w:val="231F20"/>
          <w:spacing w:val="-7"/>
          <w:w w:val="105"/>
        </w:rPr>
        <w:t> </w:t>
      </w:r>
      <w:r>
        <w:rPr>
          <w:color w:val="231F20"/>
          <w:w w:val="105"/>
        </w:rPr>
        <w:t>realzar</w:t>
      </w:r>
      <w:r>
        <w:rPr>
          <w:color w:val="231F20"/>
          <w:spacing w:val="-7"/>
          <w:w w:val="105"/>
        </w:rPr>
        <w:t> </w:t>
      </w:r>
      <w:r>
        <w:rPr>
          <w:color w:val="231F20"/>
          <w:w w:val="105"/>
        </w:rPr>
        <w:t>la</w:t>
      </w:r>
      <w:r>
        <w:rPr>
          <w:color w:val="231F20"/>
          <w:spacing w:val="-7"/>
          <w:w w:val="105"/>
        </w:rPr>
        <w:t> </w:t>
      </w:r>
      <w:r>
        <w:rPr>
          <w:color w:val="231F20"/>
          <w:w w:val="105"/>
        </w:rPr>
        <w:t>imagen</w:t>
      </w:r>
      <w:r>
        <w:rPr>
          <w:color w:val="231F20"/>
          <w:spacing w:val="-7"/>
          <w:w w:val="105"/>
        </w:rPr>
        <w:t> </w:t>
      </w:r>
      <w:r>
        <w:rPr>
          <w:color w:val="231F20"/>
          <w:w w:val="105"/>
        </w:rPr>
        <w:t>urbana,</w:t>
      </w:r>
      <w:r>
        <w:rPr>
          <w:color w:val="231F20"/>
          <w:spacing w:val="-7"/>
          <w:w w:val="105"/>
        </w:rPr>
        <w:t> </w:t>
      </w:r>
      <w:r>
        <w:rPr>
          <w:color w:val="231F20"/>
          <w:w w:val="105"/>
        </w:rPr>
        <w:t>y</w:t>
      </w:r>
      <w:r>
        <w:rPr>
          <w:color w:val="231F20"/>
          <w:spacing w:val="-7"/>
          <w:w w:val="105"/>
        </w:rPr>
        <w:t> </w:t>
      </w:r>
      <w:r>
        <w:rPr>
          <w:color w:val="231F20"/>
          <w:w w:val="105"/>
        </w:rPr>
        <w:t>en general</w:t>
      </w:r>
      <w:r>
        <w:rPr>
          <w:color w:val="231F20"/>
          <w:spacing w:val="-10"/>
          <w:w w:val="105"/>
        </w:rPr>
        <w:t> </w:t>
      </w:r>
      <w:r>
        <w:rPr>
          <w:color w:val="231F20"/>
          <w:w w:val="105"/>
        </w:rPr>
        <w:t>se</w:t>
      </w:r>
      <w:r>
        <w:rPr>
          <w:color w:val="231F20"/>
          <w:spacing w:val="-10"/>
          <w:w w:val="105"/>
        </w:rPr>
        <w:t> </w:t>
      </w:r>
      <w:r>
        <w:rPr>
          <w:color w:val="231F20"/>
          <w:w w:val="105"/>
        </w:rPr>
        <w:t>buscó</w:t>
      </w:r>
      <w:r>
        <w:rPr>
          <w:color w:val="231F20"/>
          <w:spacing w:val="-10"/>
          <w:w w:val="105"/>
        </w:rPr>
        <w:t> </w:t>
      </w:r>
      <w:r>
        <w:rPr>
          <w:color w:val="231F20"/>
          <w:w w:val="105"/>
        </w:rPr>
        <w:t>elevar</w:t>
      </w:r>
      <w:r>
        <w:rPr>
          <w:color w:val="231F20"/>
          <w:spacing w:val="-10"/>
          <w:w w:val="105"/>
        </w:rPr>
        <w:t> </w:t>
      </w:r>
      <w:r>
        <w:rPr>
          <w:color w:val="231F20"/>
          <w:w w:val="105"/>
        </w:rPr>
        <w:t>el</w:t>
      </w:r>
      <w:r>
        <w:rPr>
          <w:color w:val="231F20"/>
          <w:spacing w:val="-10"/>
          <w:w w:val="105"/>
        </w:rPr>
        <w:t> </w:t>
      </w:r>
      <w:r>
        <w:rPr>
          <w:color w:val="231F20"/>
          <w:w w:val="105"/>
        </w:rPr>
        <w:t>nivel</w:t>
      </w:r>
      <w:r>
        <w:rPr>
          <w:color w:val="231F20"/>
          <w:spacing w:val="-10"/>
          <w:w w:val="105"/>
        </w:rPr>
        <w:t> </w:t>
      </w:r>
      <w:r>
        <w:rPr>
          <w:color w:val="231F20"/>
          <w:w w:val="105"/>
        </w:rPr>
        <w:t>de</w:t>
      </w:r>
      <w:r>
        <w:rPr>
          <w:color w:val="231F20"/>
          <w:spacing w:val="-10"/>
          <w:w w:val="105"/>
        </w:rPr>
        <w:t> </w:t>
      </w:r>
      <w:r>
        <w:rPr>
          <w:color w:val="231F20"/>
          <w:w w:val="105"/>
        </w:rPr>
        <w:t>vida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habitantes</w:t>
      </w:r>
      <w:r>
        <w:rPr>
          <w:color w:val="231F20"/>
          <w:spacing w:val="-10"/>
          <w:w w:val="105"/>
        </w:rPr>
        <w:t> </w:t>
      </w:r>
      <w:r>
        <w:rPr>
          <w:color w:val="231F20"/>
          <w:w w:val="105"/>
        </w:rPr>
        <w:t>del</w:t>
      </w:r>
      <w:r>
        <w:rPr>
          <w:color w:val="231F20"/>
          <w:spacing w:val="-10"/>
          <w:w w:val="105"/>
        </w:rPr>
        <w:t> </w:t>
      </w:r>
      <w:r>
        <w:rPr>
          <w:color w:val="231F20"/>
          <w:w w:val="105"/>
        </w:rPr>
        <w:t>centro</w:t>
      </w:r>
      <w:r>
        <w:rPr>
          <w:color w:val="231F20"/>
          <w:spacing w:val="-10"/>
          <w:w w:val="105"/>
        </w:rPr>
        <w:t> </w:t>
      </w:r>
      <w:r>
        <w:rPr>
          <w:color w:val="231F20"/>
          <w:w w:val="105"/>
        </w:rPr>
        <w:t>del</w:t>
      </w:r>
      <w:r>
        <w:rPr>
          <w:color w:val="231F20"/>
          <w:spacing w:val="-10"/>
          <w:w w:val="105"/>
        </w:rPr>
        <w:t> </w:t>
      </w:r>
      <w:r>
        <w:rPr>
          <w:color w:val="231F20"/>
          <w:w w:val="105"/>
        </w:rPr>
        <w:t>municipio.</w:t>
      </w:r>
      <w:r>
        <w:rPr>
          <w:color w:val="231F20"/>
          <w:spacing w:val="-10"/>
          <w:w w:val="105"/>
        </w:rPr>
        <w:t> </w:t>
      </w:r>
      <w:r>
        <w:rPr>
          <w:color w:val="231F20"/>
          <w:spacing w:val="-3"/>
          <w:w w:val="105"/>
        </w:rPr>
        <w:t>Pero </w:t>
      </w:r>
      <w:r>
        <w:rPr>
          <w:color w:val="231F20"/>
          <w:w w:val="105"/>
        </w:rPr>
        <w:t>se</w:t>
      </w:r>
      <w:r>
        <w:rPr>
          <w:color w:val="231F20"/>
          <w:spacing w:val="-8"/>
          <w:w w:val="105"/>
        </w:rPr>
        <w:t> </w:t>
      </w:r>
      <w:r>
        <w:rPr>
          <w:color w:val="231F20"/>
          <w:w w:val="105"/>
        </w:rPr>
        <w:t>encontró</w:t>
      </w:r>
      <w:r>
        <w:rPr>
          <w:color w:val="231F20"/>
          <w:spacing w:val="-8"/>
          <w:w w:val="105"/>
        </w:rPr>
        <w:t> </w:t>
      </w:r>
      <w:r>
        <w:rPr>
          <w:color w:val="231F20"/>
          <w:w w:val="105"/>
        </w:rPr>
        <w:t>con</w:t>
      </w:r>
      <w:r>
        <w:rPr>
          <w:color w:val="231F20"/>
          <w:spacing w:val="-8"/>
          <w:w w:val="105"/>
        </w:rPr>
        <w:t> </w:t>
      </w:r>
      <w:r>
        <w:rPr>
          <w:color w:val="231F20"/>
          <w:w w:val="105"/>
        </w:rPr>
        <w:t>problemas</w:t>
      </w:r>
      <w:r>
        <w:rPr>
          <w:color w:val="231F20"/>
          <w:spacing w:val="-8"/>
          <w:w w:val="105"/>
        </w:rPr>
        <w:t> </w:t>
      </w:r>
      <w:r>
        <w:rPr>
          <w:color w:val="231F20"/>
          <w:w w:val="105"/>
        </w:rPr>
        <w:t>frente</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ambulantes</w:t>
      </w:r>
      <w:r>
        <w:rPr>
          <w:color w:val="231F20"/>
          <w:spacing w:val="-8"/>
          <w:w w:val="105"/>
        </w:rPr>
        <w:t> </w:t>
      </w:r>
      <w:r>
        <w:rPr>
          <w:color w:val="231F20"/>
          <w:w w:val="105"/>
        </w:rPr>
        <w:t>del</w:t>
      </w:r>
      <w:r>
        <w:rPr>
          <w:color w:val="231F20"/>
          <w:spacing w:val="-8"/>
          <w:w w:val="105"/>
        </w:rPr>
        <w:t> </w:t>
      </w:r>
      <w:r>
        <w:rPr>
          <w:color w:val="231F20"/>
          <w:w w:val="105"/>
        </w:rPr>
        <w:t>Centro</w:t>
      </w:r>
      <w:r>
        <w:rPr>
          <w:color w:val="231F20"/>
          <w:spacing w:val="-8"/>
          <w:w w:val="105"/>
        </w:rPr>
        <w:t> </w:t>
      </w:r>
      <w:r>
        <w:rPr>
          <w:color w:val="231F20"/>
          <w:w w:val="105"/>
        </w:rPr>
        <w:t>Histórico</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enfrenta- mientos</w:t>
      </w:r>
      <w:r>
        <w:rPr>
          <w:color w:val="231F20"/>
          <w:spacing w:val="-8"/>
          <w:w w:val="105"/>
        </w:rPr>
        <w:t> </w:t>
      </w:r>
      <w:r>
        <w:rPr>
          <w:color w:val="231F20"/>
          <w:w w:val="105"/>
        </w:rPr>
        <w:t>entre</w:t>
      </w:r>
      <w:r>
        <w:rPr>
          <w:color w:val="231F20"/>
          <w:spacing w:val="-8"/>
          <w:w w:val="105"/>
        </w:rPr>
        <w:t> </w:t>
      </w:r>
      <w:r>
        <w:rPr>
          <w:color w:val="231F20"/>
          <w:w w:val="105"/>
        </w:rPr>
        <w:t>comerciantes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fuerza</w:t>
      </w:r>
      <w:r>
        <w:rPr>
          <w:color w:val="231F20"/>
          <w:spacing w:val="-8"/>
          <w:w w:val="105"/>
        </w:rPr>
        <w:t> </w:t>
      </w:r>
      <w:r>
        <w:rPr>
          <w:color w:val="231F20"/>
          <w:w w:val="105"/>
        </w:rPr>
        <w:t>pública,</w:t>
      </w:r>
      <w:r>
        <w:rPr>
          <w:color w:val="231F20"/>
          <w:spacing w:val="-8"/>
          <w:w w:val="105"/>
        </w:rPr>
        <w:t> </w:t>
      </w:r>
      <w:r>
        <w:rPr>
          <w:color w:val="231F20"/>
          <w:spacing w:val="2"/>
          <w:w w:val="105"/>
        </w:rPr>
        <w:t>al</w:t>
      </w:r>
      <w:r>
        <w:rPr>
          <w:color w:val="231F20"/>
          <w:spacing w:val="-8"/>
          <w:w w:val="105"/>
        </w:rPr>
        <w:t> </w:t>
      </w:r>
      <w:r>
        <w:rPr>
          <w:color w:val="231F20"/>
          <w:w w:val="105"/>
        </w:rPr>
        <w:t>negarse</w:t>
      </w:r>
      <w:r>
        <w:rPr>
          <w:color w:val="231F20"/>
          <w:spacing w:val="-8"/>
          <w:w w:val="105"/>
        </w:rPr>
        <w:t> </w:t>
      </w:r>
      <w:r>
        <w:rPr>
          <w:color w:val="231F20"/>
          <w:w w:val="105"/>
        </w:rPr>
        <w:t>aquéllos</w:t>
      </w:r>
      <w:r>
        <w:rPr>
          <w:color w:val="231F20"/>
          <w:spacing w:val="-8"/>
          <w:w w:val="105"/>
        </w:rPr>
        <w:t> </w:t>
      </w:r>
      <w:r>
        <w:rPr>
          <w:color w:val="231F20"/>
          <w:w w:val="105"/>
        </w:rPr>
        <w:t>a</w:t>
      </w:r>
      <w:r>
        <w:rPr>
          <w:color w:val="231F20"/>
          <w:spacing w:val="-8"/>
          <w:w w:val="105"/>
        </w:rPr>
        <w:t> </w:t>
      </w:r>
      <w:r>
        <w:rPr>
          <w:color w:val="231F20"/>
          <w:w w:val="105"/>
        </w:rPr>
        <w:t>ser</w:t>
      </w:r>
      <w:r>
        <w:rPr>
          <w:color w:val="231F20"/>
          <w:spacing w:val="-8"/>
          <w:w w:val="105"/>
        </w:rPr>
        <w:t> </w:t>
      </w:r>
      <w:r>
        <w:rPr>
          <w:color w:val="231F20"/>
          <w:w w:val="105"/>
        </w:rPr>
        <w:t>reubicados</w:t>
      </w:r>
      <w:r>
        <w:rPr>
          <w:color w:val="231F20"/>
          <w:spacing w:val="-8"/>
          <w:w w:val="105"/>
        </w:rPr>
        <w:t> </w:t>
      </w:r>
      <w:r>
        <w:rPr>
          <w:color w:val="231F20"/>
          <w:w w:val="105"/>
        </w:rPr>
        <w:t>en </w:t>
      </w:r>
      <w:r>
        <w:rPr>
          <w:color w:val="231F20"/>
          <w:w w:val="105"/>
          <w:u w:val="single" w:color="231F20"/>
        </w:rPr>
        <w:t>dicha plaza. Ad</w:t>
      </w:r>
      <w:r>
        <w:rPr>
          <w:color w:val="231F20"/>
          <w:w w:val="105"/>
        </w:rPr>
        <w:t>emás, el establecimiento de parquímetros en el centro de</w:t>
      </w:r>
      <w:r>
        <w:rPr>
          <w:color w:val="231F20"/>
          <w:spacing w:val="19"/>
          <w:w w:val="105"/>
        </w:rPr>
        <w:t> </w:t>
      </w:r>
      <w:r>
        <w:rPr>
          <w:color w:val="231F20"/>
          <w:w w:val="105"/>
        </w:rPr>
        <w:t>Tlalnepantla</w:t>
      </w:r>
    </w:p>
    <w:p>
      <w:pPr>
        <w:pStyle w:val="ListParagraph"/>
        <w:numPr>
          <w:ilvl w:val="0"/>
          <w:numId w:val="16"/>
        </w:numPr>
        <w:tabs>
          <w:tab w:pos="338" w:val="left" w:leader="none"/>
        </w:tabs>
        <w:spacing w:line="240" w:lineRule="auto" w:before="53" w:after="0"/>
        <w:ind w:left="110" w:right="0" w:firstLine="0"/>
        <w:jc w:val="both"/>
        <w:rPr>
          <w:sz w:val="16"/>
        </w:rPr>
      </w:pPr>
      <w:r>
        <w:rPr>
          <w:color w:val="231F20"/>
          <w:sz w:val="16"/>
        </w:rPr>
        <w:t>Plan</w:t>
      </w:r>
      <w:r>
        <w:rPr>
          <w:color w:val="231F20"/>
          <w:spacing w:val="-19"/>
          <w:sz w:val="16"/>
        </w:rPr>
        <w:t> </w:t>
      </w:r>
      <w:r>
        <w:rPr>
          <w:color w:val="231F20"/>
          <w:sz w:val="16"/>
        </w:rPr>
        <w:t>de</w:t>
      </w:r>
      <w:r>
        <w:rPr>
          <w:color w:val="231F20"/>
          <w:spacing w:val="-19"/>
          <w:sz w:val="16"/>
        </w:rPr>
        <w:t> </w:t>
      </w:r>
      <w:r>
        <w:rPr>
          <w:color w:val="231F20"/>
          <w:sz w:val="16"/>
        </w:rPr>
        <w:t>Desarrollo</w:t>
      </w:r>
      <w:r>
        <w:rPr>
          <w:color w:val="231F20"/>
          <w:spacing w:val="-19"/>
          <w:sz w:val="16"/>
        </w:rPr>
        <w:t> </w:t>
      </w:r>
      <w:r>
        <w:rPr>
          <w:color w:val="231F20"/>
          <w:sz w:val="16"/>
        </w:rPr>
        <w:t>Municipal</w:t>
      </w:r>
      <w:r>
        <w:rPr>
          <w:color w:val="231F20"/>
          <w:spacing w:val="-19"/>
          <w:sz w:val="16"/>
        </w:rPr>
        <w:t> </w:t>
      </w:r>
      <w:r>
        <w:rPr>
          <w:color w:val="231F20"/>
          <w:sz w:val="16"/>
        </w:rPr>
        <w:t>2000-2003,</w:t>
      </w:r>
      <w:r>
        <w:rPr>
          <w:color w:val="231F20"/>
          <w:spacing w:val="-19"/>
          <w:sz w:val="16"/>
        </w:rPr>
        <w:t> </w:t>
      </w:r>
      <w:r>
        <w:rPr>
          <w:color w:val="231F20"/>
          <w:sz w:val="16"/>
        </w:rPr>
        <w:t>H.</w:t>
      </w:r>
      <w:r>
        <w:rPr>
          <w:color w:val="231F20"/>
          <w:spacing w:val="-19"/>
          <w:sz w:val="16"/>
        </w:rPr>
        <w:t> </w:t>
      </w:r>
      <w:r>
        <w:rPr>
          <w:color w:val="231F20"/>
          <w:sz w:val="16"/>
        </w:rPr>
        <w:t>Ayuntamiento</w:t>
      </w:r>
      <w:r>
        <w:rPr>
          <w:color w:val="231F20"/>
          <w:spacing w:val="-19"/>
          <w:sz w:val="16"/>
        </w:rPr>
        <w:t> </w:t>
      </w:r>
      <w:r>
        <w:rPr>
          <w:color w:val="231F20"/>
          <w:sz w:val="16"/>
        </w:rPr>
        <w:t>de</w:t>
      </w:r>
      <w:r>
        <w:rPr>
          <w:color w:val="231F20"/>
          <w:spacing w:val="-19"/>
          <w:sz w:val="16"/>
        </w:rPr>
        <w:t> </w:t>
      </w:r>
      <w:r>
        <w:rPr>
          <w:color w:val="231F20"/>
          <w:sz w:val="16"/>
        </w:rPr>
        <w:t>Tlalnepantla,</w:t>
      </w:r>
      <w:r>
        <w:rPr>
          <w:color w:val="231F20"/>
          <w:spacing w:val="-19"/>
          <w:sz w:val="16"/>
        </w:rPr>
        <w:t> </w:t>
      </w:r>
      <w:r>
        <w:rPr>
          <w:color w:val="231F20"/>
          <w:sz w:val="16"/>
        </w:rPr>
        <w:t>2000,</w:t>
      </w:r>
      <w:r>
        <w:rPr>
          <w:color w:val="231F20"/>
          <w:spacing w:val="-19"/>
          <w:sz w:val="16"/>
        </w:rPr>
        <w:t> </w:t>
      </w:r>
      <w:r>
        <w:rPr>
          <w:color w:val="231F20"/>
          <w:sz w:val="16"/>
        </w:rPr>
        <w:t>p.</w:t>
      </w:r>
      <w:r>
        <w:rPr>
          <w:color w:val="231F20"/>
          <w:spacing w:val="-19"/>
          <w:sz w:val="16"/>
        </w:rPr>
        <w:t> </w:t>
      </w:r>
      <w:r>
        <w:rPr>
          <w:color w:val="231F20"/>
          <w:spacing w:val="-9"/>
          <w:sz w:val="16"/>
        </w:rPr>
        <w:t>17.</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w w:val="105"/>
        </w:rPr>
        <w:t>fue rechazado desde el principio por los residentes.</w:t>
      </w:r>
    </w:p>
    <w:p>
      <w:pPr>
        <w:pStyle w:val="BodyText"/>
        <w:spacing w:before="2"/>
        <w:rPr>
          <w:sz w:val="30"/>
        </w:rPr>
      </w:pPr>
    </w:p>
    <w:p>
      <w:pPr>
        <w:pStyle w:val="BodyText"/>
        <w:spacing w:line="285" w:lineRule="auto"/>
        <w:ind w:left="110" w:right="107"/>
        <w:jc w:val="both"/>
      </w:pPr>
      <w:r>
        <w:rPr>
          <w:color w:val="231F20"/>
        </w:rPr>
        <w:t>Un programa interesante fue el del “Presupuesto Participativo”, que consistía en que mediante Asamblea en las comunidades se decidiera la aplicación del 25% de lo recauda- do por el impuesto predial, para obras o acciones de impacto social, a 100 días se habían comprado 5 patrullas en Valle Dorado y contratado 20 nuevos elementos    policíacos.</w:t>
      </w:r>
    </w:p>
    <w:p>
      <w:pPr>
        <w:pStyle w:val="BodyText"/>
        <w:spacing w:before="1"/>
        <w:rPr>
          <w:sz w:val="26"/>
        </w:rPr>
      </w:pPr>
    </w:p>
    <w:p>
      <w:pPr>
        <w:pStyle w:val="BodyText"/>
        <w:spacing w:line="285" w:lineRule="auto"/>
        <w:ind w:left="110" w:right="108"/>
        <w:jc w:val="both"/>
      </w:pPr>
      <w:r>
        <w:rPr>
          <w:color w:val="231F20"/>
          <w:w w:val="105"/>
        </w:rPr>
        <w:t>Otra</w:t>
      </w:r>
      <w:r>
        <w:rPr>
          <w:color w:val="231F20"/>
          <w:spacing w:val="-15"/>
          <w:w w:val="105"/>
        </w:rPr>
        <w:t> </w:t>
      </w:r>
      <w:r>
        <w:rPr>
          <w:color w:val="231F20"/>
          <w:w w:val="105"/>
        </w:rPr>
        <w:t>cuestión</w:t>
      </w:r>
      <w:r>
        <w:rPr>
          <w:color w:val="231F20"/>
          <w:spacing w:val="-15"/>
          <w:w w:val="105"/>
        </w:rPr>
        <w:t> </w:t>
      </w:r>
      <w:r>
        <w:rPr>
          <w:color w:val="231F20"/>
          <w:w w:val="105"/>
        </w:rPr>
        <w:t>característica</w:t>
      </w:r>
      <w:r>
        <w:rPr>
          <w:color w:val="231F20"/>
          <w:spacing w:val="-15"/>
          <w:w w:val="105"/>
        </w:rPr>
        <w:t> </w:t>
      </w:r>
      <w:r>
        <w:rPr>
          <w:color w:val="231F20"/>
          <w:w w:val="105"/>
        </w:rPr>
        <w:t>de</w:t>
      </w:r>
      <w:r>
        <w:rPr>
          <w:color w:val="231F20"/>
          <w:spacing w:val="-15"/>
          <w:w w:val="105"/>
        </w:rPr>
        <w:t> </w:t>
      </w:r>
      <w:r>
        <w:rPr>
          <w:color w:val="231F20"/>
          <w:w w:val="105"/>
        </w:rPr>
        <w:t>esta</w:t>
      </w:r>
      <w:r>
        <w:rPr>
          <w:color w:val="231F20"/>
          <w:spacing w:val="-15"/>
          <w:w w:val="105"/>
        </w:rPr>
        <w:t> </w:t>
      </w:r>
      <w:r>
        <w:rPr>
          <w:color w:val="231F20"/>
          <w:w w:val="105"/>
        </w:rPr>
        <w:t>gestión,</w:t>
      </w:r>
      <w:r>
        <w:rPr>
          <w:color w:val="231F20"/>
          <w:spacing w:val="-15"/>
          <w:w w:val="105"/>
        </w:rPr>
        <w:t> </w:t>
      </w:r>
      <w:r>
        <w:rPr>
          <w:color w:val="231F20"/>
          <w:w w:val="105"/>
        </w:rPr>
        <w:t>fue</w:t>
      </w:r>
      <w:r>
        <w:rPr>
          <w:color w:val="231F20"/>
          <w:spacing w:val="-15"/>
          <w:w w:val="105"/>
        </w:rPr>
        <w:t> </w:t>
      </w:r>
      <w:r>
        <w:rPr>
          <w:color w:val="231F20"/>
          <w:w w:val="105"/>
        </w:rPr>
        <w:t>el</w:t>
      </w:r>
      <w:r>
        <w:rPr>
          <w:color w:val="231F20"/>
          <w:spacing w:val="-15"/>
          <w:w w:val="105"/>
        </w:rPr>
        <w:t> </w:t>
      </w:r>
      <w:r>
        <w:rPr>
          <w:color w:val="231F20"/>
          <w:w w:val="105"/>
        </w:rPr>
        <w:t>apoyo</w:t>
      </w:r>
      <w:r>
        <w:rPr>
          <w:color w:val="231F20"/>
          <w:spacing w:val="-15"/>
          <w:w w:val="105"/>
        </w:rPr>
        <w:t> </w:t>
      </w:r>
      <w:r>
        <w:rPr>
          <w:color w:val="231F20"/>
          <w:spacing w:val="2"/>
          <w:w w:val="105"/>
        </w:rPr>
        <w:t>al</w:t>
      </w:r>
      <w:r>
        <w:rPr>
          <w:color w:val="231F20"/>
          <w:spacing w:val="-15"/>
          <w:w w:val="105"/>
        </w:rPr>
        <w:t> </w:t>
      </w:r>
      <w:r>
        <w:rPr>
          <w:color w:val="231F20"/>
          <w:w w:val="105"/>
        </w:rPr>
        <w:t>empresariado,</w:t>
      </w:r>
      <w:r>
        <w:rPr>
          <w:color w:val="231F20"/>
          <w:spacing w:val="-15"/>
          <w:w w:val="105"/>
        </w:rPr>
        <w:t> </w:t>
      </w:r>
      <w:r>
        <w:rPr>
          <w:color w:val="231F20"/>
          <w:w w:val="105"/>
        </w:rPr>
        <w:t>promoviendo en</w:t>
      </w:r>
      <w:r>
        <w:rPr>
          <w:color w:val="231F20"/>
          <w:spacing w:val="-16"/>
          <w:w w:val="105"/>
        </w:rPr>
        <w:t> </w:t>
      </w:r>
      <w:r>
        <w:rPr>
          <w:color w:val="231F20"/>
          <w:w w:val="105"/>
        </w:rPr>
        <w:t>todo</w:t>
      </w:r>
      <w:r>
        <w:rPr>
          <w:color w:val="231F20"/>
          <w:spacing w:val="-16"/>
          <w:w w:val="105"/>
        </w:rPr>
        <w:t> </w:t>
      </w:r>
      <w:r>
        <w:rPr>
          <w:color w:val="231F20"/>
          <w:spacing w:val="-3"/>
          <w:w w:val="105"/>
        </w:rPr>
        <w:t>momento</w:t>
      </w:r>
      <w:r>
        <w:rPr>
          <w:color w:val="231F20"/>
          <w:spacing w:val="-16"/>
          <w:w w:val="105"/>
        </w:rPr>
        <w:t> </w:t>
      </w:r>
      <w:r>
        <w:rPr>
          <w:color w:val="231F20"/>
          <w:w w:val="105"/>
        </w:rPr>
        <w:t>la</w:t>
      </w:r>
      <w:r>
        <w:rPr>
          <w:color w:val="231F20"/>
          <w:spacing w:val="-16"/>
          <w:w w:val="105"/>
        </w:rPr>
        <w:t> </w:t>
      </w:r>
      <w:r>
        <w:rPr>
          <w:color w:val="231F20"/>
          <w:w w:val="105"/>
        </w:rPr>
        <w:t>competitividad.</w:t>
      </w:r>
      <w:r>
        <w:rPr>
          <w:color w:val="231F20"/>
          <w:spacing w:val="-16"/>
          <w:w w:val="105"/>
        </w:rPr>
        <w:t> </w:t>
      </w:r>
      <w:r>
        <w:rPr>
          <w:color w:val="231F20"/>
          <w:w w:val="105"/>
        </w:rPr>
        <w:t>Pese</w:t>
      </w:r>
      <w:r>
        <w:rPr>
          <w:color w:val="231F20"/>
          <w:spacing w:val="-16"/>
          <w:w w:val="105"/>
        </w:rPr>
        <w:t> </w:t>
      </w:r>
      <w:r>
        <w:rPr>
          <w:color w:val="231F20"/>
          <w:w w:val="105"/>
        </w:rPr>
        <w:t>a</w:t>
      </w:r>
      <w:r>
        <w:rPr>
          <w:color w:val="231F20"/>
          <w:spacing w:val="-16"/>
          <w:w w:val="105"/>
        </w:rPr>
        <w:t> </w:t>
      </w:r>
      <w:r>
        <w:rPr>
          <w:color w:val="231F20"/>
          <w:w w:val="105"/>
        </w:rPr>
        <w:t>manifestar</w:t>
      </w:r>
      <w:r>
        <w:rPr>
          <w:color w:val="231F20"/>
          <w:spacing w:val="-16"/>
          <w:w w:val="105"/>
        </w:rPr>
        <w:t> </w:t>
      </w:r>
      <w:r>
        <w:rPr>
          <w:color w:val="231F20"/>
          <w:w w:val="105"/>
        </w:rPr>
        <w:t>un</w:t>
      </w:r>
      <w:r>
        <w:rPr>
          <w:color w:val="231F20"/>
          <w:spacing w:val="-16"/>
          <w:w w:val="105"/>
        </w:rPr>
        <w:t> </w:t>
      </w:r>
      <w:r>
        <w:rPr>
          <w:color w:val="231F20"/>
          <w:w w:val="105"/>
        </w:rPr>
        <w:t>compromiso</w:t>
      </w:r>
      <w:r>
        <w:rPr>
          <w:color w:val="231F20"/>
          <w:spacing w:val="-16"/>
          <w:w w:val="105"/>
        </w:rPr>
        <w:t> </w:t>
      </w:r>
      <w:r>
        <w:rPr>
          <w:color w:val="231F20"/>
          <w:spacing w:val="-5"/>
          <w:w w:val="105"/>
        </w:rPr>
        <w:t>“con</w:t>
      </w:r>
      <w:r>
        <w:rPr>
          <w:color w:val="231F20"/>
          <w:spacing w:val="-16"/>
          <w:w w:val="105"/>
        </w:rPr>
        <w:t> </w:t>
      </w:r>
      <w:r>
        <w:rPr>
          <w:color w:val="231F20"/>
          <w:w w:val="105"/>
        </w:rPr>
        <w:t>los</w:t>
      </w:r>
      <w:r>
        <w:rPr>
          <w:color w:val="231F20"/>
          <w:spacing w:val="-16"/>
          <w:w w:val="105"/>
        </w:rPr>
        <w:t> </w:t>
      </w:r>
      <w:r>
        <w:rPr>
          <w:color w:val="231F20"/>
          <w:w w:val="105"/>
        </w:rPr>
        <w:t>que</w:t>
      </w:r>
      <w:r>
        <w:rPr>
          <w:color w:val="231F20"/>
          <w:spacing w:val="-16"/>
          <w:w w:val="105"/>
        </w:rPr>
        <w:t> </w:t>
      </w:r>
      <w:r>
        <w:rPr>
          <w:color w:val="231F20"/>
          <w:w w:val="105"/>
        </w:rPr>
        <w:t>me- nos</w:t>
      </w:r>
      <w:r>
        <w:rPr>
          <w:color w:val="231F20"/>
          <w:spacing w:val="-16"/>
          <w:w w:val="105"/>
        </w:rPr>
        <w:t> </w:t>
      </w:r>
      <w:r>
        <w:rPr>
          <w:color w:val="231F20"/>
          <w:spacing w:val="-4"/>
          <w:w w:val="105"/>
        </w:rPr>
        <w:t>tienen”,</w:t>
      </w:r>
      <w:r>
        <w:rPr>
          <w:color w:val="231F20"/>
          <w:spacing w:val="-16"/>
          <w:w w:val="105"/>
        </w:rPr>
        <w:t> </w:t>
      </w:r>
      <w:r>
        <w:rPr>
          <w:color w:val="231F20"/>
          <w:w w:val="105"/>
        </w:rPr>
        <w:t>es</w:t>
      </w:r>
      <w:r>
        <w:rPr>
          <w:color w:val="231F20"/>
          <w:spacing w:val="-16"/>
          <w:w w:val="105"/>
        </w:rPr>
        <w:t> </w:t>
      </w:r>
      <w:r>
        <w:rPr>
          <w:color w:val="231F20"/>
          <w:w w:val="105"/>
        </w:rPr>
        <w:t>un</w:t>
      </w:r>
      <w:r>
        <w:rPr>
          <w:color w:val="231F20"/>
          <w:spacing w:val="-16"/>
          <w:w w:val="105"/>
        </w:rPr>
        <w:t> </w:t>
      </w:r>
      <w:r>
        <w:rPr>
          <w:color w:val="231F20"/>
          <w:w w:val="105"/>
        </w:rPr>
        <w:t>hecho</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gente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zona</w:t>
      </w:r>
      <w:r>
        <w:rPr>
          <w:color w:val="231F20"/>
          <w:spacing w:val="-16"/>
          <w:w w:val="105"/>
        </w:rPr>
        <w:t> </w:t>
      </w:r>
      <w:r>
        <w:rPr>
          <w:color w:val="231F20"/>
          <w:w w:val="105"/>
        </w:rPr>
        <w:t>oriente</w:t>
      </w:r>
      <w:r>
        <w:rPr>
          <w:color w:val="231F20"/>
          <w:spacing w:val="-16"/>
          <w:w w:val="105"/>
        </w:rPr>
        <w:t> </w:t>
      </w:r>
      <w:r>
        <w:rPr>
          <w:color w:val="231F20"/>
          <w:w w:val="105"/>
        </w:rPr>
        <w:t>no</w:t>
      </w:r>
      <w:r>
        <w:rPr>
          <w:color w:val="231F20"/>
          <w:spacing w:val="-16"/>
          <w:w w:val="105"/>
        </w:rPr>
        <w:t> </w:t>
      </w:r>
      <w:r>
        <w:rPr>
          <w:color w:val="231F20"/>
          <w:w w:val="105"/>
        </w:rPr>
        <w:t>ha</w:t>
      </w:r>
      <w:r>
        <w:rPr>
          <w:color w:val="231F20"/>
          <w:spacing w:val="-16"/>
          <w:w w:val="105"/>
        </w:rPr>
        <w:t> </w:t>
      </w:r>
      <w:r>
        <w:rPr>
          <w:color w:val="231F20"/>
          <w:w w:val="105"/>
        </w:rPr>
        <w:t>sido</w:t>
      </w:r>
      <w:r>
        <w:rPr>
          <w:color w:val="231F20"/>
          <w:spacing w:val="-16"/>
          <w:w w:val="105"/>
        </w:rPr>
        <w:t> </w:t>
      </w:r>
      <w:r>
        <w:rPr>
          <w:color w:val="231F20"/>
          <w:w w:val="105"/>
        </w:rPr>
        <w:t>una</w:t>
      </w:r>
      <w:r>
        <w:rPr>
          <w:color w:val="231F20"/>
          <w:spacing w:val="-16"/>
          <w:w w:val="105"/>
        </w:rPr>
        <w:t> </w:t>
      </w:r>
      <w:r>
        <w:rPr>
          <w:color w:val="231F20"/>
          <w:w w:val="105"/>
        </w:rPr>
        <w:t>prioridad</w:t>
      </w:r>
      <w:r>
        <w:rPr>
          <w:color w:val="231F20"/>
          <w:spacing w:val="-16"/>
          <w:w w:val="105"/>
        </w:rPr>
        <w:t> </w:t>
      </w:r>
      <w:r>
        <w:rPr>
          <w:color w:val="231F20"/>
          <w:w w:val="105"/>
        </w:rPr>
        <w:t>como</w:t>
      </w:r>
      <w:r>
        <w:rPr>
          <w:color w:val="231F20"/>
          <w:spacing w:val="-16"/>
          <w:w w:val="105"/>
        </w:rPr>
        <w:t> </w:t>
      </w:r>
      <w:r>
        <w:rPr>
          <w:color w:val="231F20"/>
          <w:w w:val="105"/>
        </w:rPr>
        <w:t>sí lo</w:t>
      </w:r>
      <w:r>
        <w:rPr>
          <w:color w:val="231F20"/>
          <w:spacing w:val="-9"/>
          <w:w w:val="105"/>
        </w:rPr>
        <w:t> </w:t>
      </w:r>
      <w:r>
        <w:rPr>
          <w:color w:val="231F20"/>
          <w:w w:val="105"/>
        </w:rPr>
        <w:t>ha</w:t>
      </w:r>
      <w:r>
        <w:rPr>
          <w:color w:val="231F20"/>
          <w:spacing w:val="-9"/>
          <w:w w:val="105"/>
        </w:rPr>
        <w:t> </w:t>
      </w:r>
      <w:r>
        <w:rPr>
          <w:color w:val="231F20"/>
          <w:w w:val="105"/>
        </w:rPr>
        <w:t>sido</w:t>
      </w:r>
      <w:r>
        <w:rPr>
          <w:color w:val="231F20"/>
          <w:spacing w:val="-9"/>
          <w:w w:val="105"/>
        </w:rPr>
        <w:t> </w:t>
      </w:r>
      <w:r>
        <w:rPr>
          <w:color w:val="231F20"/>
          <w:w w:val="105"/>
        </w:rPr>
        <w:t>el</w:t>
      </w:r>
      <w:r>
        <w:rPr>
          <w:color w:val="231F20"/>
          <w:spacing w:val="-9"/>
          <w:w w:val="105"/>
        </w:rPr>
        <w:t> </w:t>
      </w:r>
      <w:r>
        <w:rPr>
          <w:color w:val="231F20"/>
          <w:w w:val="105"/>
        </w:rPr>
        <w:t>sector</w:t>
      </w:r>
      <w:r>
        <w:rPr>
          <w:color w:val="231F20"/>
          <w:spacing w:val="-9"/>
          <w:w w:val="105"/>
        </w:rPr>
        <w:t> </w:t>
      </w:r>
      <w:r>
        <w:rPr>
          <w:color w:val="231F20"/>
          <w:w w:val="105"/>
        </w:rPr>
        <w:t>empresarial.</w:t>
      </w:r>
      <w:r>
        <w:rPr>
          <w:color w:val="231F20"/>
          <w:spacing w:val="-9"/>
          <w:w w:val="105"/>
        </w:rPr>
        <w:t> </w:t>
      </w:r>
      <w:r>
        <w:rPr>
          <w:color w:val="231F20"/>
          <w:w w:val="105"/>
        </w:rPr>
        <w:t>Ni</w:t>
      </w:r>
      <w:r>
        <w:rPr>
          <w:color w:val="231F20"/>
          <w:spacing w:val="-9"/>
          <w:w w:val="105"/>
        </w:rPr>
        <w:t> </w:t>
      </w:r>
      <w:r>
        <w:rPr>
          <w:color w:val="231F20"/>
          <w:w w:val="105"/>
        </w:rPr>
        <w:t>el</w:t>
      </w:r>
      <w:r>
        <w:rPr>
          <w:color w:val="231F20"/>
          <w:spacing w:val="-9"/>
          <w:w w:val="105"/>
        </w:rPr>
        <w:t> </w:t>
      </w:r>
      <w:r>
        <w:rPr>
          <w:color w:val="231F20"/>
          <w:w w:val="105"/>
        </w:rPr>
        <w:t>entorno,</w:t>
      </w:r>
      <w:r>
        <w:rPr>
          <w:color w:val="231F20"/>
          <w:spacing w:val="-9"/>
          <w:w w:val="105"/>
        </w:rPr>
        <w:t> </w:t>
      </w:r>
      <w:r>
        <w:rPr>
          <w:color w:val="231F20"/>
          <w:w w:val="105"/>
        </w:rPr>
        <w:t>ni</w:t>
      </w:r>
      <w:r>
        <w:rPr>
          <w:color w:val="231F20"/>
          <w:spacing w:val="-9"/>
          <w:w w:val="105"/>
        </w:rPr>
        <w:t> </w:t>
      </w:r>
      <w:r>
        <w:rPr>
          <w:color w:val="231F20"/>
          <w:spacing w:val="-3"/>
          <w:w w:val="105"/>
        </w:rPr>
        <w:t>mucho</w:t>
      </w:r>
      <w:r>
        <w:rPr>
          <w:color w:val="231F20"/>
          <w:spacing w:val="-9"/>
          <w:w w:val="105"/>
        </w:rPr>
        <w:t> </w:t>
      </w:r>
      <w:r>
        <w:rPr>
          <w:color w:val="231F20"/>
          <w:w w:val="105"/>
        </w:rPr>
        <w:t>menos</w:t>
      </w:r>
      <w:r>
        <w:rPr>
          <w:color w:val="231F20"/>
          <w:spacing w:val="-9"/>
          <w:w w:val="105"/>
        </w:rPr>
        <w:t> </w:t>
      </w:r>
      <w:r>
        <w:rPr>
          <w:color w:val="231F20"/>
          <w:w w:val="105"/>
        </w:rPr>
        <w:t>las</w:t>
      </w:r>
      <w:r>
        <w:rPr>
          <w:color w:val="231F20"/>
          <w:spacing w:val="-9"/>
          <w:w w:val="105"/>
        </w:rPr>
        <w:t> </w:t>
      </w:r>
      <w:r>
        <w:rPr>
          <w:color w:val="231F20"/>
          <w:w w:val="105"/>
        </w:rPr>
        <w:t>condiciones</w:t>
      </w:r>
      <w:r>
        <w:rPr>
          <w:color w:val="231F20"/>
          <w:spacing w:val="-9"/>
          <w:w w:val="105"/>
        </w:rPr>
        <w:t> </w:t>
      </w:r>
      <w:r>
        <w:rPr>
          <w:color w:val="231F20"/>
          <w:w w:val="105"/>
        </w:rPr>
        <w:t>de</w:t>
      </w:r>
      <w:r>
        <w:rPr>
          <w:color w:val="231F20"/>
          <w:spacing w:val="-9"/>
          <w:w w:val="105"/>
        </w:rPr>
        <w:t> </w:t>
      </w:r>
      <w:r>
        <w:rPr>
          <w:color w:val="231F20"/>
          <w:w w:val="105"/>
        </w:rPr>
        <w:t>vida de</w:t>
      </w:r>
      <w:r>
        <w:rPr>
          <w:color w:val="231F20"/>
          <w:spacing w:val="-9"/>
          <w:w w:val="105"/>
        </w:rPr>
        <w:t> </w:t>
      </w:r>
      <w:r>
        <w:rPr>
          <w:color w:val="231F20"/>
          <w:w w:val="105"/>
        </w:rPr>
        <w:t>los</w:t>
      </w:r>
      <w:r>
        <w:rPr>
          <w:color w:val="231F20"/>
          <w:spacing w:val="-9"/>
          <w:w w:val="105"/>
        </w:rPr>
        <w:t> </w:t>
      </w:r>
      <w:r>
        <w:rPr>
          <w:color w:val="231F20"/>
          <w:w w:val="105"/>
        </w:rPr>
        <w:t>tlalnepantlenses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zona</w:t>
      </w:r>
      <w:r>
        <w:rPr>
          <w:color w:val="231F20"/>
          <w:spacing w:val="-9"/>
          <w:w w:val="105"/>
        </w:rPr>
        <w:t> </w:t>
      </w:r>
      <w:r>
        <w:rPr>
          <w:color w:val="231F20"/>
          <w:w w:val="105"/>
        </w:rPr>
        <w:t>oriente</w:t>
      </w:r>
      <w:r>
        <w:rPr>
          <w:color w:val="231F20"/>
          <w:spacing w:val="-9"/>
          <w:w w:val="105"/>
        </w:rPr>
        <w:t> </w:t>
      </w:r>
      <w:r>
        <w:rPr>
          <w:color w:val="231F20"/>
          <w:w w:val="105"/>
        </w:rPr>
        <w:t>se</w:t>
      </w:r>
      <w:r>
        <w:rPr>
          <w:color w:val="231F20"/>
          <w:spacing w:val="-9"/>
          <w:w w:val="105"/>
        </w:rPr>
        <w:t> </w:t>
      </w:r>
      <w:r>
        <w:rPr>
          <w:color w:val="231F20"/>
          <w:w w:val="105"/>
        </w:rPr>
        <w:t>han</w:t>
      </w:r>
      <w:r>
        <w:rPr>
          <w:color w:val="231F20"/>
          <w:spacing w:val="-9"/>
          <w:w w:val="105"/>
        </w:rPr>
        <w:t> </w:t>
      </w:r>
      <w:r>
        <w:rPr>
          <w:color w:val="231F20"/>
          <w:w w:val="105"/>
        </w:rPr>
        <w:t>incrementado</w:t>
      </w:r>
      <w:r>
        <w:rPr>
          <w:color w:val="231F20"/>
          <w:spacing w:val="-9"/>
          <w:w w:val="105"/>
        </w:rPr>
        <w:t> </w:t>
      </w:r>
      <w:r>
        <w:rPr>
          <w:color w:val="231F20"/>
          <w:w w:val="105"/>
        </w:rPr>
        <w:t>para</w:t>
      </w:r>
      <w:r>
        <w:rPr>
          <w:color w:val="231F20"/>
          <w:spacing w:val="-9"/>
          <w:w w:val="105"/>
        </w:rPr>
        <w:t> </w:t>
      </w:r>
      <w:r>
        <w:rPr>
          <w:color w:val="231F20"/>
          <w:w w:val="105"/>
        </w:rPr>
        <w:t>estar</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w w:val="105"/>
        </w:rPr>
        <w:t>nivel</w:t>
      </w:r>
      <w:r>
        <w:rPr>
          <w:color w:val="231F20"/>
          <w:spacing w:val="-9"/>
          <w:w w:val="105"/>
        </w:rPr>
        <w:t> </w:t>
      </w:r>
      <w:r>
        <w:rPr>
          <w:color w:val="231F20"/>
          <w:w w:val="105"/>
        </w:rPr>
        <w:t>de “igualdad</w:t>
      </w:r>
      <w:r>
        <w:rPr>
          <w:color w:val="231F20"/>
          <w:spacing w:val="-34"/>
          <w:w w:val="105"/>
        </w:rPr>
        <w:t> </w:t>
      </w:r>
      <w:r>
        <w:rPr>
          <w:color w:val="231F20"/>
          <w:w w:val="105"/>
        </w:rPr>
        <w:t>de</w:t>
      </w:r>
      <w:r>
        <w:rPr>
          <w:color w:val="231F20"/>
          <w:spacing w:val="-34"/>
          <w:w w:val="105"/>
        </w:rPr>
        <w:t> </w:t>
      </w:r>
      <w:r>
        <w:rPr>
          <w:color w:val="231F20"/>
          <w:w w:val="105"/>
        </w:rPr>
        <w:t>oportunidades”.</w:t>
      </w:r>
    </w:p>
    <w:p>
      <w:pPr>
        <w:pStyle w:val="BodyText"/>
        <w:spacing w:before="1"/>
        <w:rPr>
          <w:sz w:val="26"/>
        </w:rPr>
      </w:pPr>
    </w:p>
    <w:p>
      <w:pPr>
        <w:pStyle w:val="BodyText"/>
        <w:spacing w:line="285" w:lineRule="auto"/>
        <w:ind w:left="110" w:right="108"/>
        <w:jc w:val="both"/>
      </w:pPr>
      <w:r>
        <w:rPr>
          <w:color w:val="231F20"/>
          <w:w w:val="105"/>
        </w:rPr>
        <w:t>En torno a la política social, podemos ver que, pese a declarar que tiene como objeti- vo </w:t>
      </w:r>
      <w:r>
        <w:rPr>
          <w:color w:val="231F20"/>
          <w:spacing w:val="-3"/>
          <w:w w:val="105"/>
        </w:rPr>
        <w:t>promover </w:t>
      </w:r>
      <w:r>
        <w:rPr>
          <w:color w:val="231F20"/>
          <w:w w:val="105"/>
        </w:rPr>
        <w:t>y perfeccionar las “potencialidades de la persona </w:t>
      </w:r>
      <w:r>
        <w:rPr>
          <w:color w:val="231F20"/>
          <w:spacing w:val="-3"/>
          <w:w w:val="105"/>
        </w:rPr>
        <w:t>humana”, </w:t>
      </w:r>
      <w:r>
        <w:rPr>
          <w:color w:val="231F20"/>
          <w:w w:val="105"/>
        </w:rPr>
        <w:t>tomando en cuenta la </w:t>
      </w:r>
      <w:r>
        <w:rPr>
          <w:color w:val="231F20"/>
          <w:spacing w:val="2"/>
          <w:w w:val="105"/>
        </w:rPr>
        <w:t>familia </w:t>
      </w:r>
      <w:r>
        <w:rPr>
          <w:color w:val="231F20"/>
          <w:w w:val="105"/>
        </w:rPr>
        <w:t>y la comunidad, intentando proporcionar </w:t>
      </w:r>
      <w:r>
        <w:rPr>
          <w:color w:val="231F20"/>
          <w:spacing w:val="-3"/>
          <w:w w:val="105"/>
        </w:rPr>
        <w:t>“mejores </w:t>
      </w:r>
      <w:r>
        <w:rPr>
          <w:color w:val="231F20"/>
          <w:w w:val="105"/>
        </w:rPr>
        <w:t>oportunidades de desarrollo” de quienes menos tienen, es un hecho que son insuficientes las jornadas comunitarias,</w:t>
      </w:r>
      <w:r>
        <w:rPr>
          <w:color w:val="231F20"/>
          <w:spacing w:val="-4"/>
          <w:w w:val="105"/>
        </w:rPr>
        <w:t> </w:t>
      </w:r>
      <w:r>
        <w:rPr>
          <w:color w:val="231F20"/>
          <w:w w:val="105"/>
        </w:rPr>
        <w:t>de</w:t>
      </w:r>
      <w:r>
        <w:rPr>
          <w:color w:val="231F20"/>
          <w:spacing w:val="-4"/>
          <w:w w:val="105"/>
        </w:rPr>
        <w:t> </w:t>
      </w:r>
      <w:r>
        <w:rPr>
          <w:color w:val="231F20"/>
          <w:w w:val="105"/>
        </w:rPr>
        <w:t>atención</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spacing w:val="-3"/>
          <w:w w:val="105"/>
        </w:rPr>
        <w:t>mujer</w:t>
      </w:r>
      <w:r>
        <w:rPr>
          <w:color w:val="231F20"/>
          <w:spacing w:val="-4"/>
          <w:w w:val="105"/>
        </w:rPr>
        <w:t> </w:t>
      </w:r>
      <w:r>
        <w:rPr>
          <w:color w:val="231F20"/>
          <w:w w:val="105"/>
        </w:rPr>
        <w:t>y</w:t>
      </w:r>
      <w:r>
        <w:rPr>
          <w:color w:val="231F20"/>
          <w:spacing w:val="-4"/>
          <w:w w:val="105"/>
        </w:rPr>
        <w:t> </w:t>
      </w:r>
      <w:r>
        <w:rPr>
          <w:color w:val="231F20"/>
          <w:spacing w:val="2"/>
          <w:w w:val="105"/>
        </w:rPr>
        <w:t>al</w:t>
      </w:r>
      <w:r>
        <w:rPr>
          <w:color w:val="231F20"/>
          <w:spacing w:val="-4"/>
          <w:w w:val="105"/>
        </w:rPr>
        <w:t> </w:t>
      </w:r>
      <w:r>
        <w:rPr>
          <w:color w:val="231F20"/>
          <w:w w:val="105"/>
        </w:rPr>
        <w:t>adulto</w:t>
      </w:r>
      <w:r>
        <w:rPr>
          <w:color w:val="231F20"/>
          <w:spacing w:val="-4"/>
          <w:w w:val="105"/>
        </w:rPr>
        <w:t> </w:t>
      </w:r>
      <w:r>
        <w:rPr>
          <w:color w:val="231F20"/>
          <w:w w:val="105"/>
        </w:rPr>
        <w:t>mayor</w:t>
      </w:r>
      <w:r>
        <w:rPr>
          <w:color w:val="231F20"/>
          <w:spacing w:val="-4"/>
          <w:w w:val="105"/>
        </w:rPr>
        <w:t> </w:t>
      </w:r>
      <w:r>
        <w:rPr>
          <w:color w:val="231F20"/>
          <w:w w:val="105"/>
        </w:rPr>
        <w:t>que</w:t>
      </w:r>
      <w:r>
        <w:rPr>
          <w:color w:val="231F20"/>
          <w:spacing w:val="-4"/>
          <w:w w:val="105"/>
        </w:rPr>
        <w:t> </w:t>
      </w:r>
      <w:r>
        <w:rPr>
          <w:color w:val="231F20"/>
          <w:w w:val="105"/>
        </w:rPr>
        <w:t>solamente</w:t>
      </w:r>
      <w:r>
        <w:rPr>
          <w:color w:val="231F20"/>
          <w:spacing w:val="-4"/>
          <w:w w:val="105"/>
        </w:rPr>
        <w:t> </w:t>
      </w:r>
      <w:r>
        <w:rPr>
          <w:color w:val="231F20"/>
          <w:w w:val="105"/>
        </w:rPr>
        <w:t>beneficiaron</w:t>
      </w:r>
      <w:r>
        <w:rPr>
          <w:color w:val="231F20"/>
          <w:spacing w:val="-4"/>
          <w:w w:val="105"/>
        </w:rPr>
        <w:t> </w:t>
      </w:r>
      <w:r>
        <w:rPr>
          <w:color w:val="231F20"/>
          <w:w w:val="105"/>
        </w:rPr>
        <w:t>a</w:t>
      </w:r>
      <w:r>
        <w:rPr>
          <w:color w:val="231F20"/>
          <w:spacing w:val="-4"/>
          <w:w w:val="105"/>
        </w:rPr>
        <w:t> </w:t>
      </w:r>
      <w:r>
        <w:rPr>
          <w:color w:val="231F20"/>
          <w:w w:val="105"/>
        </w:rPr>
        <w:t>4 </w:t>
      </w:r>
      <w:r>
        <w:rPr>
          <w:color w:val="231F20"/>
          <w:spacing w:val="2"/>
          <w:w w:val="105"/>
        </w:rPr>
        <w:t>mil </w:t>
      </w:r>
      <w:r>
        <w:rPr>
          <w:color w:val="231F20"/>
          <w:w w:val="105"/>
        </w:rPr>
        <w:t>877</w:t>
      </w:r>
      <w:r>
        <w:rPr>
          <w:color w:val="231F20"/>
          <w:spacing w:val="-44"/>
          <w:w w:val="105"/>
        </w:rPr>
        <w:t> </w:t>
      </w:r>
      <w:r>
        <w:rPr>
          <w:color w:val="231F20"/>
          <w:w w:val="105"/>
        </w:rPr>
        <w:t>personas.</w:t>
      </w:r>
    </w:p>
    <w:p>
      <w:pPr>
        <w:pStyle w:val="BodyText"/>
        <w:spacing w:before="1"/>
        <w:rPr>
          <w:sz w:val="26"/>
        </w:rPr>
      </w:pPr>
    </w:p>
    <w:p>
      <w:pPr>
        <w:pStyle w:val="BodyText"/>
        <w:spacing w:line="285" w:lineRule="auto"/>
        <w:ind w:left="110" w:right="106"/>
        <w:jc w:val="both"/>
        <w:rPr>
          <w:sz w:val="13"/>
        </w:rPr>
      </w:pPr>
      <w:r>
        <w:rPr>
          <w:color w:val="231F20"/>
          <w:w w:val="105"/>
        </w:rPr>
        <w:t>Igualmente en su periodo cobró importancia el tema de la seguridad pública, pues se detectaron </w:t>
      </w:r>
      <w:r>
        <w:rPr>
          <w:color w:val="231F20"/>
          <w:spacing w:val="-7"/>
          <w:w w:val="105"/>
        </w:rPr>
        <w:t>74 </w:t>
      </w:r>
      <w:r>
        <w:rPr>
          <w:color w:val="231F20"/>
          <w:w w:val="105"/>
        </w:rPr>
        <w:t>colonias y comunidades de alto riesgo por su incidencia delictiva, en el municipio, a lo cual el gobierno contestó con la implementación de un dispositivo de seguridad</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calificó</w:t>
      </w:r>
      <w:r>
        <w:rPr>
          <w:color w:val="231F20"/>
          <w:spacing w:val="-20"/>
          <w:w w:val="105"/>
        </w:rPr>
        <w:t> </w:t>
      </w:r>
      <w:r>
        <w:rPr>
          <w:color w:val="231F20"/>
          <w:w w:val="105"/>
        </w:rPr>
        <w:t>fuera</w:t>
      </w:r>
      <w:r>
        <w:rPr>
          <w:color w:val="231F20"/>
          <w:spacing w:val="-20"/>
          <w:w w:val="105"/>
        </w:rPr>
        <w:t> </w:t>
      </w:r>
      <w:r>
        <w:rPr>
          <w:color w:val="231F20"/>
          <w:w w:val="105"/>
        </w:rPr>
        <w:t>del</w:t>
      </w:r>
      <w:r>
        <w:rPr>
          <w:color w:val="231F20"/>
          <w:spacing w:val="-20"/>
          <w:w w:val="105"/>
        </w:rPr>
        <w:t> </w:t>
      </w:r>
      <w:r>
        <w:rPr>
          <w:color w:val="231F20"/>
          <w:w w:val="105"/>
        </w:rPr>
        <w:t>gobierno</w:t>
      </w:r>
      <w:r>
        <w:rPr>
          <w:color w:val="231F20"/>
          <w:spacing w:val="-20"/>
          <w:w w:val="105"/>
        </w:rPr>
        <w:t> </w:t>
      </w:r>
      <w:r>
        <w:rPr>
          <w:color w:val="231F20"/>
          <w:w w:val="105"/>
        </w:rPr>
        <w:t>de</w:t>
      </w:r>
      <w:r>
        <w:rPr>
          <w:color w:val="231F20"/>
          <w:spacing w:val="-20"/>
          <w:w w:val="105"/>
        </w:rPr>
        <w:t> </w:t>
      </w:r>
      <w:r>
        <w:rPr>
          <w:color w:val="231F20"/>
          <w:w w:val="105"/>
        </w:rPr>
        <w:t>toque</w:t>
      </w:r>
      <w:r>
        <w:rPr>
          <w:color w:val="231F20"/>
          <w:spacing w:val="-20"/>
          <w:w w:val="105"/>
        </w:rPr>
        <w:t> </w:t>
      </w:r>
      <w:r>
        <w:rPr>
          <w:color w:val="231F20"/>
          <w:w w:val="105"/>
        </w:rPr>
        <w:t>de</w:t>
      </w:r>
      <w:r>
        <w:rPr>
          <w:color w:val="231F20"/>
          <w:spacing w:val="-20"/>
          <w:w w:val="105"/>
        </w:rPr>
        <w:t> </w:t>
      </w:r>
      <w:r>
        <w:rPr>
          <w:color w:val="231F20"/>
          <w:w w:val="105"/>
        </w:rPr>
        <w:t>queda,</w:t>
      </w:r>
      <w:r>
        <w:rPr>
          <w:color w:val="231F20"/>
          <w:spacing w:val="-20"/>
          <w:w w:val="105"/>
        </w:rPr>
        <w:t> </w:t>
      </w:r>
      <w:r>
        <w:rPr>
          <w:color w:val="231F20"/>
          <w:w w:val="105"/>
        </w:rPr>
        <w:t>consistente</w:t>
      </w:r>
      <w:r>
        <w:rPr>
          <w:color w:val="231F20"/>
          <w:spacing w:val="-20"/>
          <w:w w:val="105"/>
        </w:rPr>
        <w:t> </w:t>
      </w:r>
      <w:r>
        <w:rPr>
          <w:color w:val="231F20"/>
          <w:w w:val="105"/>
        </w:rPr>
        <w:t>en</w:t>
      </w:r>
      <w:r>
        <w:rPr>
          <w:color w:val="231F20"/>
          <w:spacing w:val="-20"/>
          <w:w w:val="105"/>
        </w:rPr>
        <w:t> </w:t>
      </w:r>
      <w:r>
        <w:rPr>
          <w:color w:val="231F20"/>
          <w:w w:val="105"/>
        </w:rPr>
        <w:t>dar</w:t>
      </w:r>
      <w:r>
        <w:rPr>
          <w:color w:val="231F20"/>
          <w:spacing w:val="-20"/>
          <w:w w:val="105"/>
        </w:rPr>
        <w:t> </w:t>
      </w:r>
      <w:r>
        <w:rPr>
          <w:color w:val="231F20"/>
          <w:w w:val="105"/>
        </w:rPr>
        <w:t>mayor presencia</w:t>
      </w:r>
      <w:r>
        <w:rPr>
          <w:color w:val="231F20"/>
          <w:spacing w:val="-18"/>
          <w:w w:val="105"/>
        </w:rPr>
        <w:t> </w:t>
      </w:r>
      <w:r>
        <w:rPr>
          <w:color w:val="231F20"/>
          <w:w w:val="105"/>
        </w:rPr>
        <w:t>policiaca</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calles,</w:t>
      </w:r>
      <w:r>
        <w:rPr>
          <w:color w:val="231F20"/>
          <w:spacing w:val="-18"/>
          <w:w w:val="105"/>
        </w:rPr>
        <w:t> </w:t>
      </w:r>
      <w:r>
        <w:rPr>
          <w:color w:val="231F20"/>
          <w:w w:val="105"/>
        </w:rPr>
        <w:t>realizar</w:t>
      </w:r>
      <w:r>
        <w:rPr>
          <w:color w:val="231F20"/>
          <w:spacing w:val="-18"/>
          <w:w w:val="105"/>
        </w:rPr>
        <w:t> </w:t>
      </w:r>
      <w:r>
        <w:rPr>
          <w:color w:val="231F20"/>
          <w:w w:val="105"/>
        </w:rPr>
        <w:t>rondines,</w:t>
      </w:r>
      <w:r>
        <w:rPr>
          <w:color w:val="231F20"/>
          <w:spacing w:val="-18"/>
          <w:w w:val="105"/>
        </w:rPr>
        <w:t> </w:t>
      </w:r>
      <w:r>
        <w:rPr>
          <w:color w:val="231F20"/>
          <w:w w:val="105"/>
        </w:rPr>
        <w:t>inspección</w:t>
      </w:r>
      <w:r>
        <w:rPr>
          <w:color w:val="231F20"/>
          <w:spacing w:val="-18"/>
          <w:w w:val="105"/>
        </w:rPr>
        <w:t> </w:t>
      </w:r>
      <w:r>
        <w:rPr>
          <w:color w:val="231F20"/>
          <w:w w:val="105"/>
        </w:rPr>
        <w:t>física</w:t>
      </w:r>
      <w:r>
        <w:rPr>
          <w:color w:val="231F20"/>
          <w:spacing w:val="-18"/>
          <w:w w:val="105"/>
        </w:rPr>
        <w:t> </w:t>
      </w:r>
      <w:r>
        <w:rPr>
          <w:color w:val="231F20"/>
          <w:w w:val="105"/>
        </w:rPr>
        <w:t>a</w:t>
      </w:r>
      <w:r>
        <w:rPr>
          <w:color w:val="231F20"/>
          <w:spacing w:val="-18"/>
          <w:w w:val="105"/>
        </w:rPr>
        <w:t> </w:t>
      </w:r>
      <w:r>
        <w:rPr>
          <w:color w:val="231F20"/>
          <w:w w:val="105"/>
        </w:rPr>
        <w:t>usuarios</w:t>
      </w:r>
      <w:r>
        <w:rPr>
          <w:color w:val="231F20"/>
          <w:spacing w:val="-18"/>
          <w:w w:val="105"/>
        </w:rPr>
        <w:t> </w:t>
      </w:r>
      <w:r>
        <w:rPr>
          <w:color w:val="231F20"/>
          <w:w w:val="105"/>
        </w:rPr>
        <w:t>de</w:t>
      </w:r>
      <w:r>
        <w:rPr>
          <w:color w:val="231F20"/>
          <w:spacing w:val="-18"/>
          <w:w w:val="105"/>
        </w:rPr>
        <w:t> </w:t>
      </w:r>
      <w:r>
        <w:rPr>
          <w:color w:val="231F20"/>
          <w:w w:val="105"/>
        </w:rPr>
        <w:t>trans- porte público, revisión de vehículos en tránsito, así como revisión en bares y cantinas, entre</w:t>
      </w:r>
      <w:r>
        <w:rPr>
          <w:color w:val="231F20"/>
          <w:spacing w:val="-23"/>
          <w:w w:val="105"/>
        </w:rPr>
        <w:t> </w:t>
      </w:r>
      <w:r>
        <w:rPr>
          <w:color w:val="231F20"/>
          <w:w w:val="105"/>
        </w:rPr>
        <w:t>las</w:t>
      </w:r>
      <w:r>
        <w:rPr>
          <w:color w:val="231F20"/>
          <w:spacing w:val="-23"/>
          <w:w w:val="105"/>
        </w:rPr>
        <w:t> </w:t>
      </w:r>
      <w:r>
        <w:rPr>
          <w:color w:val="231F20"/>
          <w:w w:val="105"/>
        </w:rPr>
        <w:t>22:00</w:t>
      </w:r>
      <w:r>
        <w:rPr>
          <w:color w:val="231F20"/>
          <w:spacing w:val="-23"/>
          <w:w w:val="105"/>
        </w:rPr>
        <w:t> </w:t>
      </w:r>
      <w:r>
        <w:rPr>
          <w:color w:val="231F20"/>
          <w:w w:val="105"/>
        </w:rPr>
        <w:t>y</w:t>
      </w:r>
      <w:r>
        <w:rPr>
          <w:color w:val="231F20"/>
          <w:spacing w:val="-23"/>
          <w:w w:val="105"/>
        </w:rPr>
        <w:t> </w:t>
      </w:r>
      <w:r>
        <w:rPr>
          <w:color w:val="231F20"/>
          <w:w w:val="105"/>
        </w:rPr>
        <w:t>las</w:t>
      </w:r>
      <w:r>
        <w:rPr>
          <w:color w:val="231F20"/>
          <w:spacing w:val="-23"/>
          <w:w w:val="105"/>
        </w:rPr>
        <w:t> </w:t>
      </w:r>
      <w:r>
        <w:rPr>
          <w:color w:val="231F20"/>
          <w:w w:val="105"/>
        </w:rPr>
        <w:t>5:00</w:t>
      </w:r>
      <w:r>
        <w:rPr>
          <w:color w:val="231F20"/>
          <w:w w:val="105"/>
          <w:position w:val="7"/>
          <w:sz w:val="13"/>
        </w:rPr>
        <w:t>24.</w:t>
      </w:r>
    </w:p>
    <w:p>
      <w:pPr>
        <w:pStyle w:val="BodyText"/>
        <w:spacing w:line="285" w:lineRule="auto"/>
        <w:ind w:left="110" w:right="107"/>
        <w:jc w:val="both"/>
      </w:pPr>
      <w:r>
        <w:rPr>
          <w:color w:val="231F20"/>
          <w:w w:val="105"/>
        </w:rPr>
        <w:t>La</w:t>
      </w:r>
      <w:r>
        <w:rPr>
          <w:color w:val="231F20"/>
          <w:spacing w:val="-12"/>
          <w:w w:val="105"/>
        </w:rPr>
        <w:t> </w:t>
      </w:r>
      <w:r>
        <w:rPr>
          <w:color w:val="231F20"/>
          <w:w w:val="105"/>
        </w:rPr>
        <w:t>mayor</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sitios</w:t>
      </w:r>
      <w:r>
        <w:rPr>
          <w:color w:val="231F20"/>
          <w:spacing w:val="-12"/>
          <w:w w:val="105"/>
        </w:rPr>
        <w:t> </w:t>
      </w:r>
      <w:r>
        <w:rPr>
          <w:color w:val="231F20"/>
          <w:w w:val="105"/>
        </w:rPr>
        <w:t>de</w:t>
      </w:r>
      <w:r>
        <w:rPr>
          <w:color w:val="231F20"/>
          <w:spacing w:val="-12"/>
          <w:w w:val="105"/>
        </w:rPr>
        <w:t> </w:t>
      </w:r>
      <w:r>
        <w:rPr>
          <w:color w:val="231F20"/>
          <w:w w:val="105"/>
        </w:rPr>
        <w:t>inseguridad</w:t>
      </w:r>
      <w:r>
        <w:rPr>
          <w:color w:val="231F20"/>
          <w:spacing w:val="-12"/>
          <w:w w:val="105"/>
        </w:rPr>
        <w:t> </w:t>
      </w:r>
      <w:r>
        <w:rPr>
          <w:color w:val="231F20"/>
          <w:w w:val="105"/>
        </w:rPr>
        <w:t>estaban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zona</w:t>
      </w:r>
      <w:r>
        <w:rPr>
          <w:color w:val="231F20"/>
          <w:spacing w:val="-12"/>
          <w:w w:val="105"/>
        </w:rPr>
        <w:t> </w:t>
      </w:r>
      <w:r>
        <w:rPr>
          <w:color w:val="231F20"/>
          <w:w w:val="105"/>
        </w:rPr>
        <w:t>oriente</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w w:val="105"/>
        </w:rPr>
        <w:t>El </w:t>
      </w:r>
      <w:r>
        <w:rPr>
          <w:color w:val="231F20"/>
          <w:w w:val="105"/>
          <w:u w:val="single" w:color="231F20"/>
        </w:rPr>
        <w:t>problema</w:t>
      </w:r>
      <w:r>
        <w:rPr>
          <w:color w:val="231F20"/>
          <w:spacing w:val="-5"/>
          <w:w w:val="105"/>
          <w:u w:val="single" w:color="231F20"/>
        </w:rPr>
        <w:t> </w:t>
      </w:r>
      <w:r>
        <w:rPr>
          <w:color w:val="231F20"/>
          <w:w w:val="105"/>
          <w:u w:val="single" w:color="231F20"/>
        </w:rPr>
        <w:t>con</w:t>
      </w:r>
      <w:r>
        <w:rPr>
          <w:color w:val="231F20"/>
          <w:spacing w:val="-5"/>
          <w:w w:val="105"/>
          <w:u w:val="single" w:color="231F20"/>
        </w:rPr>
        <w:t> </w:t>
      </w:r>
      <w:r>
        <w:rPr>
          <w:color w:val="231F20"/>
          <w:w w:val="105"/>
          <w:u w:val="single" w:color="231F20"/>
        </w:rPr>
        <w:t>e</w:t>
      </w:r>
      <w:r>
        <w:rPr>
          <w:color w:val="231F20"/>
          <w:w w:val="105"/>
        </w:rPr>
        <w:t>sos</w:t>
      </w:r>
      <w:r>
        <w:rPr>
          <w:color w:val="231F20"/>
          <w:spacing w:val="-5"/>
          <w:w w:val="105"/>
        </w:rPr>
        <w:t> </w:t>
      </w:r>
      <w:r>
        <w:rPr>
          <w:color w:val="231F20"/>
          <w:w w:val="105"/>
        </w:rPr>
        <w:t>operativos</w:t>
      </w:r>
      <w:r>
        <w:rPr>
          <w:color w:val="231F20"/>
          <w:spacing w:val="-5"/>
          <w:w w:val="105"/>
        </w:rPr>
        <w:t> </w:t>
      </w:r>
      <w:r>
        <w:rPr>
          <w:color w:val="231F20"/>
          <w:w w:val="105"/>
        </w:rPr>
        <w:t>era</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atacaban</w:t>
      </w:r>
      <w:r>
        <w:rPr>
          <w:color w:val="231F20"/>
          <w:spacing w:val="-5"/>
          <w:w w:val="105"/>
        </w:rPr>
        <w:t> </w:t>
      </w:r>
      <w:r>
        <w:rPr>
          <w:color w:val="231F20"/>
          <w:w w:val="105"/>
        </w:rPr>
        <w:t>el</w:t>
      </w:r>
      <w:r>
        <w:rPr>
          <w:color w:val="231F20"/>
          <w:spacing w:val="-5"/>
          <w:w w:val="105"/>
        </w:rPr>
        <w:t> </w:t>
      </w:r>
      <w:r>
        <w:rPr>
          <w:color w:val="231F20"/>
          <w:w w:val="105"/>
        </w:rPr>
        <w:t>problema</w:t>
      </w:r>
      <w:r>
        <w:rPr>
          <w:color w:val="231F20"/>
          <w:spacing w:val="-5"/>
          <w:w w:val="105"/>
        </w:rPr>
        <w:t> </w:t>
      </w:r>
      <w:r>
        <w:rPr>
          <w:color w:val="231F20"/>
          <w:w w:val="105"/>
        </w:rPr>
        <w:t>de</w:t>
      </w:r>
      <w:r>
        <w:rPr>
          <w:color w:val="231F20"/>
          <w:spacing w:val="-5"/>
          <w:w w:val="105"/>
        </w:rPr>
        <w:t> </w:t>
      </w:r>
      <w:r>
        <w:rPr>
          <w:color w:val="231F20"/>
          <w:w w:val="105"/>
        </w:rPr>
        <w:t>raíz.</w:t>
      </w:r>
      <w:r>
        <w:rPr>
          <w:color w:val="231F20"/>
          <w:spacing w:val="-5"/>
          <w:w w:val="105"/>
        </w:rPr>
        <w:t> </w:t>
      </w:r>
      <w:r>
        <w:rPr>
          <w:color w:val="231F20"/>
          <w:w w:val="105"/>
        </w:rPr>
        <w:t>En</w:t>
      </w:r>
      <w:r>
        <w:rPr>
          <w:color w:val="231F20"/>
          <w:spacing w:val="-5"/>
          <w:w w:val="105"/>
        </w:rPr>
        <w:t> </w:t>
      </w:r>
      <w:r>
        <w:rPr>
          <w:color w:val="231F20"/>
          <w:w w:val="105"/>
        </w:rPr>
        <w:t>realidad</w:t>
      </w:r>
      <w:r>
        <w:rPr>
          <w:color w:val="231F20"/>
          <w:spacing w:val="-5"/>
          <w:w w:val="105"/>
        </w:rPr>
        <w:t> </w:t>
      </w:r>
      <w:r>
        <w:rPr>
          <w:color w:val="231F20"/>
          <w:w w:val="105"/>
        </w:rPr>
        <w:t>los</w:t>
      </w:r>
    </w:p>
    <w:p>
      <w:pPr>
        <w:pStyle w:val="ListParagraph"/>
        <w:numPr>
          <w:ilvl w:val="0"/>
          <w:numId w:val="16"/>
        </w:numPr>
        <w:tabs>
          <w:tab w:pos="296" w:val="left" w:leader="none"/>
        </w:tabs>
        <w:spacing w:line="240" w:lineRule="auto" w:before="18" w:after="0"/>
        <w:ind w:left="295" w:right="0" w:hanging="185"/>
        <w:jc w:val="both"/>
        <w:rPr>
          <w:rFonts w:ascii="Arial"/>
          <w:sz w:val="20"/>
        </w:rPr>
      </w:pPr>
      <w:r>
        <w:rPr>
          <w:color w:val="231F20"/>
          <w:sz w:val="16"/>
        </w:rPr>
        <w:t>El</w:t>
      </w:r>
      <w:r>
        <w:rPr>
          <w:color w:val="231F20"/>
          <w:spacing w:val="-11"/>
          <w:sz w:val="16"/>
        </w:rPr>
        <w:t> </w:t>
      </w:r>
      <w:r>
        <w:rPr>
          <w:color w:val="231F20"/>
          <w:sz w:val="16"/>
        </w:rPr>
        <w:t>Universal,</w:t>
      </w:r>
      <w:r>
        <w:rPr>
          <w:color w:val="231F20"/>
          <w:spacing w:val="-11"/>
          <w:sz w:val="16"/>
        </w:rPr>
        <w:t> </w:t>
      </w:r>
      <w:r>
        <w:rPr>
          <w:color w:val="231F20"/>
          <w:sz w:val="16"/>
        </w:rPr>
        <w:t>09</w:t>
      </w:r>
      <w:r>
        <w:rPr>
          <w:color w:val="231F20"/>
          <w:spacing w:val="-11"/>
          <w:sz w:val="16"/>
        </w:rPr>
        <w:t> </w:t>
      </w:r>
      <w:r>
        <w:rPr>
          <w:color w:val="231F20"/>
          <w:sz w:val="16"/>
        </w:rPr>
        <w:t>y</w:t>
      </w:r>
      <w:r>
        <w:rPr>
          <w:color w:val="231F20"/>
          <w:spacing w:val="-11"/>
          <w:sz w:val="16"/>
        </w:rPr>
        <w:t> </w:t>
      </w:r>
      <w:r>
        <w:rPr>
          <w:color w:val="231F20"/>
          <w:spacing w:val="-4"/>
          <w:sz w:val="16"/>
        </w:rPr>
        <w:t>10</w:t>
      </w:r>
      <w:r>
        <w:rPr>
          <w:color w:val="231F20"/>
          <w:spacing w:val="-11"/>
          <w:sz w:val="16"/>
        </w:rPr>
        <w:t> </w:t>
      </w:r>
      <w:r>
        <w:rPr>
          <w:color w:val="231F20"/>
          <w:sz w:val="16"/>
        </w:rPr>
        <w:t>de</w:t>
      </w:r>
      <w:r>
        <w:rPr>
          <w:color w:val="231F20"/>
          <w:spacing w:val="-11"/>
          <w:sz w:val="16"/>
        </w:rPr>
        <w:t> </w:t>
      </w:r>
      <w:r>
        <w:rPr>
          <w:color w:val="231F20"/>
          <w:sz w:val="16"/>
        </w:rPr>
        <w:t>junio</w:t>
      </w:r>
      <w:r>
        <w:rPr>
          <w:color w:val="231F20"/>
          <w:spacing w:val="-11"/>
          <w:sz w:val="16"/>
        </w:rPr>
        <w:t> </w:t>
      </w:r>
      <w:r>
        <w:rPr>
          <w:color w:val="231F20"/>
          <w:sz w:val="16"/>
        </w:rPr>
        <w:t>de</w:t>
      </w:r>
      <w:r>
        <w:rPr>
          <w:color w:val="231F20"/>
          <w:spacing w:val="-11"/>
          <w:sz w:val="16"/>
        </w:rPr>
        <w:t> </w:t>
      </w:r>
      <w:r>
        <w:rPr>
          <w:color w:val="231F20"/>
          <w:sz w:val="16"/>
        </w:rPr>
        <w:t>2004</w:t>
      </w:r>
      <w:r>
        <w:rPr>
          <w:rFonts w:ascii="Arial"/>
          <w:color w:val="231F20"/>
          <w:sz w:val="20"/>
        </w:rPr>
        <w:t>.</w:t>
      </w:r>
    </w:p>
    <w:p>
      <w:pPr>
        <w:spacing w:after="0" w:line="240" w:lineRule="auto"/>
        <w:jc w:val="both"/>
        <w:rPr>
          <w:rFonts w:ascii="Arial"/>
          <w:sz w:val="20"/>
        </w:rPr>
        <w:sectPr>
          <w:pgSz w:w="9640" w:h="12190"/>
          <w:pgMar w:header="0" w:footer="743" w:top="1120" w:bottom="940" w:left="740" w:right="740"/>
        </w:sectPr>
      </w:pPr>
    </w:p>
    <w:p>
      <w:pPr>
        <w:pStyle w:val="BodyText"/>
        <w:spacing w:before="3"/>
        <w:rPr>
          <w:rFonts w:ascii="Arial"/>
          <w:sz w:val="11"/>
        </w:rPr>
      </w:pPr>
    </w:p>
    <w:p>
      <w:pPr>
        <w:pStyle w:val="BodyText"/>
        <w:spacing w:line="285" w:lineRule="auto" w:before="36"/>
        <w:ind w:left="110" w:right="106"/>
        <w:jc w:val="both"/>
        <w:rPr>
          <w:sz w:val="13"/>
        </w:rPr>
      </w:pPr>
      <w:r>
        <w:rPr>
          <w:color w:val="231F20"/>
          <w:w w:val="105"/>
        </w:rPr>
        <w:t>operativos eran mediáticos, pero no iban </w:t>
      </w:r>
      <w:r>
        <w:rPr>
          <w:color w:val="231F20"/>
          <w:spacing w:val="2"/>
          <w:w w:val="105"/>
        </w:rPr>
        <w:t>al </w:t>
      </w:r>
      <w:r>
        <w:rPr>
          <w:color w:val="231F20"/>
          <w:spacing w:val="-3"/>
          <w:w w:val="105"/>
        </w:rPr>
        <w:t>fondo </w:t>
      </w:r>
      <w:r>
        <w:rPr>
          <w:color w:val="231F20"/>
          <w:w w:val="105"/>
        </w:rPr>
        <w:t>de problemas como la marginación, la</w:t>
      </w:r>
      <w:r>
        <w:rPr>
          <w:color w:val="231F20"/>
          <w:spacing w:val="-12"/>
          <w:w w:val="105"/>
        </w:rPr>
        <w:t> </w:t>
      </w:r>
      <w:r>
        <w:rPr>
          <w:color w:val="231F20"/>
          <w:w w:val="105"/>
        </w:rPr>
        <w:t>carencia</w:t>
      </w:r>
      <w:r>
        <w:rPr>
          <w:color w:val="231F20"/>
          <w:spacing w:val="-12"/>
          <w:w w:val="105"/>
        </w:rPr>
        <w:t> </w:t>
      </w:r>
      <w:r>
        <w:rPr>
          <w:color w:val="231F20"/>
          <w:w w:val="105"/>
        </w:rPr>
        <w:t>de</w:t>
      </w:r>
      <w:r>
        <w:rPr>
          <w:color w:val="231F20"/>
          <w:spacing w:val="-12"/>
          <w:w w:val="105"/>
        </w:rPr>
        <w:t> </w:t>
      </w:r>
      <w:r>
        <w:rPr>
          <w:color w:val="231F20"/>
          <w:w w:val="105"/>
        </w:rPr>
        <w:t>vivienda</w:t>
      </w:r>
      <w:r>
        <w:rPr>
          <w:color w:val="231F20"/>
          <w:spacing w:val="-12"/>
          <w:w w:val="105"/>
        </w:rPr>
        <w:t> </w:t>
      </w:r>
      <w:r>
        <w:rPr>
          <w:color w:val="231F20"/>
          <w:w w:val="105"/>
        </w:rPr>
        <w:t>digna,</w:t>
      </w:r>
      <w:r>
        <w:rPr>
          <w:color w:val="231F20"/>
          <w:spacing w:val="-12"/>
          <w:w w:val="105"/>
        </w:rPr>
        <w:t> </w:t>
      </w:r>
      <w:r>
        <w:rPr>
          <w:color w:val="231F20"/>
          <w:w w:val="105"/>
        </w:rPr>
        <w:t>la</w:t>
      </w:r>
      <w:r>
        <w:rPr>
          <w:color w:val="231F20"/>
          <w:spacing w:val="-12"/>
          <w:w w:val="105"/>
        </w:rPr>
        <w:t> </w:t>
      </w:r>
      <w:r>
        <w:rPr>
          <w:color w:val="231F20"/>
          <w:w w:val="105"/>
        </w:rPr>
        <w:t>falta</w:t>
      </w:r>
      <w:r>
        <w:rPr>
          <w:color w:val="231F20"/>
          <w:spacing w:val="-12"/>
          <w:w w:val="105"/>
        </w:rPr>
        <w:t> </w:t>
      </w:r>
      <w:r>
        <w:rPr>
          <w:color w:val="231F20"/>
          <w:w w:val="105"/>
        </w:rPr>
        <w:t>de</w:t>
      </w:r>
      <w:r>
        <w:rPr>
          <w:color w:val="231F20"/>
          <w:spacing w:val="-12"/>
          <w:w w:val="105"/>
        </w:rPr>
        <w:t> </w:t>
      </w:r>
      <w:r>
        <w:rPr>
          <w:color w:val="231F20"/>
          <w:w w:val="105"/>
        </w:rPr>
        <w:t>educación</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pobreza.</w:t>
      </w:r>
      <w:r>
        <w:rPr>
          <w:color w:val="231F20"/>
          <w:spacing w:val="-12"/>
          <w:w w:val="105"/>
        </w:rPr>
        <w:t> </w:t>
      </w:r>
      <w:r>
        <w:rPr>
          <w:color w:val="231F20"/>
          <w:w w:val="105"/>
        </w:rPr>
        <w:t>Con</w:t>
      </w:r>
      <w:r>
        <w:rPr>
          <w:color w:val="231F20"/>
          <w:spacing w:val="-12"/>
          <w:w w:val="105"/>
        </w:rPr>
        <w:t> </w:t>
      </w:r>
      <w:r>
        <w:rPr>
          <w:color w:val="231F20"/>
          <w:w w:val="105"/>
        </w:rPr>
        <w:t>datos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propia Comisión</w:t>
      </w:r>
      <w:r>
        <w:rPr>
          <w:color w:val="231F20"/>
          <w:spacing w:val="-6"/>
          <w:w w:val="105"/>
        </w:rPr>
        <w:t> </w:t>
      </w:r>
      <w:r>
        <w:rPr>
          <w:color w:val="231F20"/>
          <w:w w:val="105"/>
        </w:rPr>
        <w:t>edilicia</w:t>
      </w:r>
      <w:r>
        <w:rPr>
          <w:color w:val="231F20"/>
          <w:spacing w:val="-6"/>
          <w:w w:val="105"/>
        </w:rPr>
        <w:t> </w:t>
      </w:r>
      <w:r>
        <w:rPr>
          <w:color w:val="231F20"/>
          <w:w w:val="105"/>
        </w:rPr>
        <w:t>de</w:t>
      </w:r>
      <w:r>
        <w:rPr>
          <w:color w:val="231F20"/>
          <w:spacing w:val="-6"/>
          <w:w w:val="105"/>
        </w:rPr>
        <w:t> </w:t>
      </w:r>
      <w:r>
        <w:rPr>
          <w:color w:val="231F20"/>
          <w:w w:val="105"/>
        </w:rPr>
        <w:t>Seguridad</w:t>
      </w:r>
      <w:r>
        <w:rPr>
          <w:color w:val="231F20"/>
          <w:spacing w:val="-6"/>
          <w:w w:val="105"/>
        </w:rPr>
        <w:t> </w:t>
      </w:r>
      <w:r>
        <w:rPr>
          <w:color w:val="231F20"/>
          <w:w w:val="105"/>
        </w:rPr>
        <w:t>Pública</w:t>
      </w:r>
      <w:r>
        <w:rPr>
          <w:color w:val="231F20"/>
          <w:spacing w:val="-6"/>
          <w:w w:val="105"/>
        </w:rPr>
        <w:t> </w:t>
      </w:r>
      <w:r>
        <w:rPr>
          <w:color w:val="231F20"/>
          <w:w w:val="105"/>
        </w:rPr>
        <w:t>en</w:t>
      </w:r>
      <w:r>
        <w:rPr>
          <w:color w:val="231F20"/>
          <w:spacing w:val="-6"/>
          <w:w w:val="105"/>
        </w:rPr>
        <w:t> </w:t>
      </w:r>
      <w:r>
        <w:rPr>
          <w:color w:val="231F20"/>
          <w:w w:val="105"/>
        </w:rPr>
        <w:t>su</w:t>
      </w:r>
      <w:r>
        <w:rPr>
          <w:color w:val="231F20"/>
          <w:spacing w:val="-6"/>
          <w:w w:val="105"/>
        </w:rPr>
        <w:t> </w:t>
      </w:r>
      <w:r>
        <w:rPr>
          <w:color w:val="231F20"/>
          <w:w w:val="105"/>
        </w:rPr>
        <w:t>informe</w:t>
      </w:r>
      <w:r>
        <w:rPr>
          <w:color w:val="231F20"/>
          <w:spacing w:val="-6"/>
          <w:w w:val="105"/>
        </w:rPr>
        <w:t> </w:t>
      </w:r>
      <w:r>
        <w:rPr>
          <w:color w:val="231F20"/>
          <w:spacing w:val="2"/>
          <w:w w:val="105"/>
        </w:rPr>
        <w:t>al</w:t>
      </w:r>
      <w:r>
        <w:rPr>
          <w:color w:val="231F20"/>
          <w:spacing w:val="-6"/>
          <w:w w:val="105"/>
        </w:rPr>
        <w:t> </w:t>
      </w:r>
      <w:r>
        <w:rPr>
          <w:color w:val="231F20"/>
          <w:w w:val="105"/>
        </w:rPr>
        <w:t>respecto</w:t>
      </w:r>
      <w:r>
        <w:rPr>
          <w:color w:val="231F20"/>
          <w:spacing w:val="-6"/>
          <w:w w:val="105"/>
        </w:rPr>
        <w:t> </w:t>
      </w:r>
      <w:r>
        <w:rPr>
          <w:color w:val="231F20"/>
          <w:w w:val="105"/>
        </w:rPr>
        <w:t>de</w:t>
      </w:r>
      <w:r>
        <w:rPr>
          <w:color w:val="231F20"/>
          <w:spacing w:val="-6"/>
          <w:w w:val="105"/>
        </w:rPr>
        <w:t> </w:t>
      </w:r>
      <w:r>
        <w:rPr>
          <w:color w:val="231F20"/>
          <w:w w:val="105"/>
        </w:rPr>
        <w:t>este</w:t>
      </w:r>
      <w:r>
        <w:rPr>
          <w:color w:val="231F20"/>
          <w:spacing w:val="-6"/>
          <w:w w:val="105"/>
        </w:rPr>
        <w:t> </w:t>
      </w:r>
      <w:r>
        <w:rPr>
          <w:color w:val="231F20"/>
          <w:w w:val="105"/>
        </w:rPr>
        <w:t>programa,</w:t>
      </w:r>
      <w:r>
        <w:rPr>
          <w:color w:val="231F20"/>
          <w:spacing w:val="-6"/>
          <w:w w:val="105"/>
        </w:rPr>
        <w:t> </w:t>
      </w:r>
      <w:r>
        <w:rPr>
          <w:color w:val="231F20"/>
          <w:w w:val="105"/>
        </w:rPr>
        <w:t>se puede observar un aumento de los índices delictivos cuando el programa ya operaba. Durante</w:t>
      </w:r>
      <w:r>
        <w:rPr>
          <w:color w:val="231F20"/>
          <w:spacing w:val="-9"/>
          <w:w w:val="105"/>
        </w:rPr>
        <w:t> </w:t>
      </w:r>
      <w:r>
        <w:rPr>
          <w:color w:val="231F20"/>
          <w:w w:val="105"/>
        </w:rPr>
        <w:t>la</w:t>
      </w:r>
      <w:r>
        <w:rPr>
          <w:color w:val="231F20"/>
          <w:spacing w:val="-9"/>
          <w:w w:val="105"/>
        </w:rPr>
        <w:t> </w:t>
      </w:r>
      <w:r>
        <w:rPr>
          <w:color w:val="231F20"/>
          <w:w w:val="105"/>
        </w:rPr>
        <w:t>primera</w:t>
      </w:r>
      <w:r>
        <w:rPr>
          <w:color w:val="231F20"/>
          <w:spacing w:val="-9"/>
          <w:w w:val="105"/>
        </w:rPr>
        <w:t> </w:t>
      </w:r>
      <w:r>
        <w:rPr>
          <w:color w:val="231F20"/>
          <w:w w:val="105"/>
        </w:rPr>
        <w:t>quincena</w:t>
      </w:r>
      <w:r>
        <w:rPr>
          <w:color w:val="231F20"/>
          <w:spacing w:val="-9"/>
          <w:w w:val="105"/>
        </w:rPr>
        <w:t> </w:t>
      </w:r>
      <w:r>
        <w:rPr>
          <w:color w:val="231F20"/>
          <w:w w:val="105"/>
        </w:rPr>
        <w:t>de</w:t>
      </w:r>
      <w:r>
        <w:rPr>
          <w:color w:val="231F20"/>
          <w:spacing w:val="-9"/>
          <w:w w:val="105"/>
        </w:rPr>
        <w:t> </w:t>
      </w:r>
      <w:r>
        <w:rPr>
          <w:color w:val="231F20"/>
          <w:w w:val="105"/>
        </w:rPr>
        <w:t>mayo</w:t>
      </w:r>
      <w:r>
        <w:rPr>
          <w:color w:val="231F20"/>
          <w:spacing w:val="-9"/>
          <w:w w:val="105"/>
        </w:rPr>
        <w:t> </w:t>
      </w:r>
      <w:r>
        <w:rPr>
          <w:color w:val="231F20"/>
          <w:w w:val="105"/>
        </w:rPr>
        <w:t>hubo</w:t>
      </w:r>
      <w:r>
        <w:rPr>
          <w:color w:val="231F20"/>
          <w:spacing w:val="-9"/>
          <w:w w:val="105"/>
        </w:rPr>
        <w:t> </w:t>
      </w:r>
      <w:r>
        <w:rPr>
          <w:color w:val="231F20"/>
          <w:w w:val="105"/>
        </w:rPr>
        <w:t>82</w:t>
      </w:r>
      <w:r>
        <w:rPr>
          <w:color w:val="231F20"/>
          <w:spacing w:val="-9"/>
          <w:w w:val="105"/>
        </w:rPr>
        <w:t> </w:t>
      </w:r>
      <w:r>
        <w:rPr>
          <w:color w:val="231F20"/>
          <w:w w:val="105"/>
        </w:rPr>
        <w:t>robos</w:t>
      </w:r>
      <w:r>
        <w:rPr>
          <w:color w:val="231F20"/>
          <w:spacing w:val="-9"/>
          <w:w w:val="105"/>
        </w:rPr>
        <w:t> </w:t>
      </w:r>
      <w:r>
        <w:rPr>
          <w:color w:val="231F20"/>
          <w:w w:val="105"/>
        </w:rPr>
        <w:t>de</w:t>
      </w:r>
      <w:r>
        <w:rPr>
          <w:color w:val="231F20"/>
          <w:spacing w:val="-9"/>
          <w:w w:val="105"/>
        </w:rPr>
        <w:t> </w:t>
      </w:r>
      <w:r>
        <w:rPr>
          <w:color w:val="231F20"/>
          <w:w w:val="105"/>
        </w:rPr>
        <w:t>vehículos,</w:t>
      </w:r>
      <w:r>
        <w:rPr>
          <w:color w:val="231F20"/>
          <w:spacing w:val="-9"/>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mismo</w:t>
      </w:r>
      <w:r>
        <w:rPr>
          <w:color w:val="231F20"/>
          <w:spacing w:val="-9"/>
          <w:w w:val="105"/>
        </w:rPr>
        <w:t> </w:t>
      </w:r>
      <w:r>
        <w:rPr>
          <w:color w:val="231F20"/>
          <w:w w:val="105"/>
        </w:rPr>
        <w:t>lapso de</w:t>
      </w:r>
      <w:r>
        <w:rPr>
          <w:color w:val="231F20"/>
          <w:spacing w:val="-13"/>
          <w:w w:val="105"/>
        </w:rPr>
        <w:t> </w:t>
      </w:r>
      <w:r>
        <w:rPr>
          <w:color w:val="231F20"/>
          <w:w w:val="105"/>
        </w:rPr>
        <w:t>junio,</w:t>
      </w:r>
      <w:r>
        <w:rPr>
          <w:color w:val="231F20"/>
          <w:spacing w:val="-13"/>
          <w:w w:val="105"/>
        </w:rPr>
        <w:t> </w:t>
      </w:r>
      <w:r>
        <w:rPr>
          <w:color w:val="231F20"/>
          <w:w w:val="105"/>
        </w:rPr>
        <w:t>se</w:t>
      </w:r>
      <w:r>
        <w:rPr>
          <w:color w:val="231F20"/>
          <w:spacing w:val="-13"/>
          <w:w w:val="105"/>
        </w:rPr>
        <w:t> </w:t>
      </w:r>
      <w:r>
        <w:rPr>
          <w:color w:val="231F20"/>
          <w:w w:val="105"/>
        </w:rPr>
        <w:t>incrementó</w:t>
      </w:r>
      <w:r>
        <w:rPr>
          <w:color w:val="231F20"/>
          <w:spacing w:val="-13"/>
          <w:w w:val="105"/>
        </w:rPr>
        <w:t> </w:t>
      </w:r>
      <w:r>
        <w:rPr>
          <w:color w:val="231F20"/>
          <w:w w:val="105"/>
        </w:rPr>
        <w:t>a</w:t>
      </w:r>
      <w:r>
        <w:rPr>
          <w:color w:val="231F20"/>
          <w:spacing w:val="-13"/>
          <w:w w:val="105"/>
        </w:rPr>
        <w:t> </w:t>
      </w:r>
      <w:r>
        <w:rPr>
          <w:color w:val="231F20"/>
          <w:w w:val="105"/>
        </w:rPr>
        <w:t>87</w:t>
      </w:r>
      <w:r>
        <w:rPr>
          <w:color w:val="231F20"/>
          <w:spacing w:val="-13"/>
          <w:w w:val="105"/>
        </w:rPr>
        <w:t> </w:t>
      </w:r>
      <w:r>
        <w:rPr>
          <w:color w:val="231F20"/>
          <w:w w:val="105"/>
        </w:rPr>
        <w:t>unidades.</w:t>
      </w:r>
      <w:r>
        <w:rPr>
          <w:color w:val="231F20"/>
          <w:spacing w:val="-13"/>
          <w:w w:val="105"/>
        </w:rPr>
        <w:t> </w:t>
      </w:r>
      <w:r>
        <w:rPr>
          <w:color w:val="231F20"/>
          <w:w w:val="105"/>
        </w:rPr>
        <w:t>El</w:t>
      </w:r>
      <w:r>
        <w:rPr>
          <w:color w:val="231F20"/>
          <w:spacing w:val="-13"/>
          <w:w w:val="105"/>
        </w:rPr>
        <w:t> </w:t>
      </w:r>
      <w:r>
        <w:rPr>
          <w:color w:val="231F20"/>
          <w:w w:val="105"/>
        </w:rPr>
        <w:t>robo</w:t>
      </w:r>
      <w:r>
        <w:rPr>
          <w:color w:val="231F20"/>
          <w:spacing w:val="-13"/>
          <w:w w:val="105"/>
        </w:rPr>
        <w:t> </w:t>
      </w:r>
      <w:r>
        <w:rPr>
          <w:color w:val="231F20"/>
          <w:w w:val="105"/>
        </w:rPr>
        <w:t>en</w:t>
      </w:r>
      <w:r>
        <w:rPr>
          <w:color w:val="231F20"/>
          <w:spacing w:val="-13"/>
          <w:w w:val="105"/>
        </w:rPr>
        <w:t> </w:t>
      </w:r>
      <w:r>
        <w:rPr>
          <w:color w:val="231F20"/>
          <w:w w:val="105"/>
        </w:rPr>
        <w:t>vía</w:t>
      </w:r>
      <w:r>
        <w:rPr>
          <w:color w:val="231F20"/>
          <w:spacing w:val="-13"/>
          <w:w w:val="105"/>
        </w:rPr>
        <w:t> </w:t>
      </w:r>
      <w:r>
        <w:rPr>
          <w:color w:val="231F20"/>
          <w:w w:val="105"/>
        </w:rPr>
        <w:t>pública</w:t>
      </w:r>
      <w:r>
        <w:rPr>
          <w:color w:val="231F20"/>
          <w:spacing w:val="-13"/>
          <w:w w:val="105"/>
        </w:rPr>
        <w:t> </w:t>
      </w:r>
      <w:r>
        <w:rPr>
          <w:color w:val="231F20"/>
          <w:w w:val="105"/>
        </w:rPr>
        <w:t>aumentó</w:t>
      </w:r>
      <w:r>
        <w:rPr>
          <w:color w:val="231F20"/>
          <w:spacing w:val="-13"/>
          <w:w w:val="105"/>
        </w:rPr>
        <w:t> </w:t>
      </w:r>
      <w:r>
        <w:rPr>
          <w:color w:val="231F20"/>
          <w:w w:val="105"/>
        </w:rPr>
        <w:t>de</w:t>
      </w:r>
      <w:r>
        <w:rPr>
          <w:color w:val="231F20"/>
          <w:spacing w:val="-13"/>
          <w:w w:val="105"/>
        </w:rPr>
        <w:t> </w:t>
      </w:r>
      <w:r>
        <w:rPr>
          <w:color w:val="231F20"/>
          <w:spacing w:val="2"/>
          <w:w w:val="105"/>
        </w:rPr>
        <w:t>64</w:t>
      </w:r>
      <w:r>
        <w:rPr>
          <w:color w:val="231F20"/>
          <w:spacing w:val="-13"/>
          <w:w w:val="105"/>
        </w:rPr>
        <w:t> </w:t>
      </w:r>
      <w:r>
        <w:rPr>
          <w:color w:val="231F20"/>
          <w:w w:val="105"/>
        </w:rPr>
        <w:t>casos</w:t>
      </w:r>
      <w:r>
        <w:rPr>
          <w:color w:val="231F20"/>
          <w:spacing w:val="-13"/>
          <w:w w:val="105"/>
        </w:rPr>
        <w:t> </w:t>
      </w:r>
      <w:r>
        <w:rPr>
          <w:color w:val="231F20"/>
          <w:w w:val="105"/>
        </w:rPr>
        <w:t>a</w:t>
      </w:r>
      <w:r>
        <w:rPr>
          <w:color w:val="231F20"/>
          <w:spacing w:val="-13"/>
          <w:w w:val="105"/>
        </w:rPr>
        <w:t> </w:t>
      </w:r>
      <w:r>
        <w:rPr>
          <w:color w:val="231F20"/>
          <w:w w:val="105"/>
        </w:rPr>
        <w:t>94, el</w:t>
      </w:r>
      <w:r>
        <w:rPr>
          <w:color w:val="231F20"/>
          <w:spacing w:val="-8"/>
          <w:w w:val="105"/>
        </w:rPr>
        <w:t> </w:t>
      </w:r>
      <w:r>
        <w:rPr>
          <w:color w:val="231F20"/>
          <w:w w:val="105"/>
        </w:rPr>
        <w:t>robo</w:t>
      </w:r>
      <w:r>
        <w:rPr>
          <w:color w:val="231F20"/>
          <w:spacing w:val="-8"/>
          <w:w w:val="105"/>
        </w:rPr>
        <w:t> </w:t>
      </w:r>
      <w:r>
        <w:rPr>
          <w:color w:val="231F20"/>
          <w:w w:val="105"/>
        </w:rPr>
        <w:t>a</w:t>
      </w:r>
      <w:r>
        <w:rPr>
          <w:color w:val="231F20"/>
          <w:spacing w:val="-8"/>
          <w:w w:val="105"/>
        </w:rPr>
        <w:t> </w:t>
      </w:r>
      <w:r>
        <w:rPr>
          <w:color w:val="231F20"/>
          <w:w w:val="105"/>
        </w:rPr>
        <w:t>casa-habitación</w:t>
      </w:r>
      <w:r>
        <w:rPr>
          <w:color w:val="231F20"/>
          <w:spacing w:val="-8"/>
          <w:w w:val="105"/>
        </w:rPr>
        <w:t> </w:t>
      </w:r>
      <w:r>
        <w:rPr>
          <w:color w:val="231F20"/>
          <w:w w:val="105"/>
        </w:rPr>
        <w:t>también</w:t>
      </w:r>
      <w:r>
        <w:rPr>
          <w:color w:val="231F20"/>
          <w:spacing w:val="-8"/>
          <w:w w:val="105"/>
        </w:rPr>
        <w:t> </w:t>
      </w:r>
      <w:r>
        <w:rPr>
          <w:color w:val="231F20"/>
          <w:w w:val="105"/>
        </w:rPr>
        <w:t>subió</w:t>
      </w:r>
      <w:r>
        <w:rPr>
          <w:color w:val="231F20"/>
          <w:spacing w:val="-8"/>
          <w:w w:val="105"/>
        </w:rPr>
        <w:t> </w:t>
      </w:r>
      <w:r>
        <w:rPr>
          <w:color w:val="231F20"/>
          <w:w w:val="105"/>
        </w:rPr>
        <w:t>de</w:t>
      </w:r>
      <w:r>
        <w:rPr>
          <w:color w:val="231F20"/>
          <w:spacing w:val="-8"/>
          <w:w w:val="105"/>
        </w:rPr>
        <w:t> </w:t>
      </w:r>
      <w:r>
        <w:rPr>
          <w:color w:val="231F20"/>
          <w:w w:val="105"/>
        </w:rPr>
        <w:t>12</w:t>
      </w:r>
      <w:r>
        <w:rPr>
          <w:color w:val="231F20"/>
          <w:spacing w:val="-8"/>
          <w:w w:val="105"/>
        </w:rPr>
        <w:t> </w:t>
      </w:r>
      <w:r>
        <w:rPr>
          <w:color w:val="231F20"/>
          <w:w w:val="105"/>
        </w:rPr>
        <w:t>a</w:t>
      </w:r>
      <w:r>
        <w:rPr>
          <w:color w:val="231F20"/>
          <w:spacing w:val="-8"/>
          <w:w w:val="105"/>
        </w:rPr>
        <w:t> </w:t>
      </w:r>
      <w:r>
        <w:rPr>
          <w:color w:val="231F20"/>
          <w:w w:val="105"/>
        </w:rPr>
        <w:t>13</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robo</w:t>
      </w:r>
      <w:r>
        <w:rPr>
          <w:color w:val="231F20"/>
          <w:spacing w:val="-8"/>
          <w:w w:val="105"/>
        </w:rPr>
        <w:t> </w:t>
      </w:r>
      <w:r>
        <w:rPr>
          <w:color w:val="231F20"/>
          <w:w w:val="105"/>
        </w:rPr>
        <w:t>de</w:t>
      </w:r>
      <w:r>
        <w:rPr>
          <w:color w:val="231F20"/>
          <w:spacing w:val="-8"/>
          <w:w w:val="105"/>
        </w:rPr>
        <w:t> </w:t>
      </w:r>
      <w:r>
        <w:rPr>
          <w:color w:val="231F20"/>
          <w:w w:val="105"/>
        </w:rPr>
        <w:t>autopartes</w:t>
      </w:r>
      <w:r>
        <w:rPr>
          <w:color w:val="231F20"/>
          <w:spacing w:val="-8"/>
          <w:w w:val="105"/>
        </w:rPr>
        <w:t> </w:t>
      </w:r>
      <w:r>
        <w:rPr>
          <w:color w:val="231F20"/>
          <w:w w:val="105"/>
        </w:rPr>
        <w:t>pasó</w:t>
      </w:r>
      <w:r>
        <w:rPr>
          <w:color w:val="231F20"/>
          <w:spacing w:val="-8"/>
          <w:w w:val="105"/>
        </w:rPr>
        <w:t> </w:t>
      </w:r>
      <w:r>
        <w:rPr>
          <w:color w:val="231F20"/>
          <w:w w:val="105"/>
        </w:rPr>
        <w:t>de</w:t>
      </w:r>
      <w:r>
        <w:rPr>
          <w:color w:val="231F20"/>
          <w:spacing w:val="-8"/>
          <w:w w:val="105"/>
        </w:rPr>
        <w:t> </w:t>
      </w:r>
      <w:r>
        <w:rPr>
          <w:color w:val="231F20"/>
          <w:spacing w:val="-4"/>
          <w:w w:val="105"/>
        </w:rPr>
        <w:t>11</w:t>
      </w:r>
      <w:r>
        <w:rPr>
          <w:color w:val="231F20"/>
          <w:spacing w:val="-8"/>
          <w:w w:val="105"/>
        </w:rPr>
        <w:t> </w:t>
      </w:r>
      <w:r>
        <w:rPr>
          <w:color w:val="231F20"/>
          <w:w w:val="105"/>
        </w:rPr>
        <w:t>a </w:t>
      </w:r>
      <w:r>
        <w:rPr>
          <w:color w:val="231F20"/>
          <w:spacing w:val="-6"/>
          <w:w w:val="105"/>
        </w:rPr>
        <w:t>17</w:t>
      </w:r>
      <w:r>
        <w:rPr>
          <w:color w:val="231F20"/>
          <w:spacing w:val="-15"/>
          <w:w w:val="105"/>
        </w:rPr>
        <w:t> </w:t>
      </w:r>
      <w:r>
        <w:rPr>
          <w:color w:val="231F20"/>
          <w:w w:val="105"/>
        </w:rPr>
        <w:t>denuncias.</w:t>
      </w:r>
      <w:r>
        <w:rPr>
          <w:color w:val="231F20"/>
          <w:spacing w:val="-15"/>
          <w:w w:val="105"/>
        </w:rPr>
        <w:t> </w:t>
      </w:r>
      <w:r>
        <w:rPr>
          <w:color w:val="231F20"/>
          <w:w w:val="105"/>
        </w:rPr>
        <w:t>Los</w:t>
      </w:r>
      <w:r>
        <w:rPr>
          <w:color w:val="231F20"/>
          <w:spacing w:val="-15"/>
          <w:w w:val="105"/>
        </w:rPr>
        <w:t> </w:t>
      </w:r>
      <w:r>
        <w:rPr>
          <w:color w:val="231F20"/>
          <w:w w:val="105"/>
        </w:rPr>
        <w:t>homicidios</w:t>
      </w:r>
      <w:r>
        <w:rPr>
          <w:color w:val="231F20"/>
          <w:spacing w:val="-15"/>
          <w:w w:val="105"/>
        </w:rPr>
        <w:t> </w:t>
      </w:r>
      <w:r>
        <w:rPr>
          <w:color w:val="231F20"/>
          <w:w w:val="105"/>
        </w:rPr>
        <w:t>subieron</w:t>
      </w:r>
      <w:r>
        <w:rPr>
          <w:color w:val="231F20"/>
          <w:spacing w:val="-15"/>
          <w:w w:val="105"/>
        </w:rPr>
        <w:t> </w:t>
      </w:r>
      <w:r>
        <w:rPr>
          <w:color w:val="231F20"/>
          <w:w w:val="105"/>
        </w:rPr>
        <w:t>de</w:t>
      </w:r>
      <w:r>
        <w:rPr>
          <w:color w:val="231F20"/>
          <w:spacing w:val="-15"/>
          <w:w w:val="105"/>
        </w:rPr>
        <w:t> </w:t>
      </w:r>
      <w:r>
        <w:rPr>
          <w:color w:val="231F20"/>
          <w:w w:val="105"/>
        </w:rPr>
        <w:t>6</w:t>
      </w:r>
      <w:r>
        <w:rPr>
          <w:color w:val="231F20"/>
          <w:spacing w:val="-15"/>
          <w:w w:val="105"/>
        </w:rPr>
        <w:t> </w:t>
      </w:r>
      <w:r>
        <w:rPr>
          <w:color w:val="231F20"/>
          <w:w w:val="105"/>
        </w:rPr>
        <w:t>a</w:t>
      </w:r>
      <w:r>
        <w:rPr>
          <w:color w:val="231F20"/>
          <w:spacing w:val="-15"/>
          <w:w w:val="105"/>
        </w:rPr>
        <w:t> </w:t>
      </w:r>
      <w:r>
        <w:rPr>
          <w:color w:val="231F20"/>
          <w:w w:val="105"/>
        </w:rPr>
        <w:t>8.</w:t>
      </w:r>
      <w:r>
        <w:rPr>
          <w:color w:val="231F20"/>
          <w:spacing w:val="-15"/>
          <w:w w:val="105"/>
        </w:rPr>
        <w:t> </w:t>
      </w:r>
      <w:r>
        <w:rPr>
          <w:color w:val="231F20"/>
          <w:w w:val="105"/>
        </w:rPr>
        <w:t>Estas</w:t>
      </w:r>
      <w:r>
        <w:rPr>
          <w:color w:val="231F20"/>
          <w:spacing w:val="-15"/>
          <w:w w:val="105"/>
        </w:rPr>
        <w:t> </w:t>
      </w:r>
      <w:r>
        <w:rPr>
          <w:color w:val="231F20"/>
          <w:w w:val="105"/>
        </w:rPr>
        <w:t>son</w:t>
      </w:r>
      <w:r>
        <w:rPr>
          <w:color w:val="231F20"/>
          <w:spacing w:val="-15"/>
          <w:w w:val="105"/>
        </w:rPr>
        <w:t> </w:t>
      </w:r>
      <w:r>
        <w:rPr>
          <w:color w:val="231F20"/>
          <w:w w:val="105"/>
        </w:rPr>
        <w:t>las</w:t>
      </w:r>
      <w:r>
        <w:rPr>
          <w:color w:val="231F20"/>
          <w:spacing w:val="-15"/>
          <w:w w:val="105"/>
        </w:rPr>
        <w:t> </w:t>
      </w:r>
      <w:r>
        <w:rPr>
          <w:color w:val="231F20"/>
          <w:w w:val="105"/>
        </w:rPr>
        <w:t>cifras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6"/>
          <w:w w:val="105"/>
        </w:rPr>
        <w:t>17</w:t>
      </w:r>
      <w:r>
        <w:rPr>
          <w:color w:val="231F20"/>
          <w:spacing w:val="-15"/>
          <w:w w:val="105"/>
        </w:rPr>
        <w:t> </w:t>
      </w:r>
      <w:r>
        <w:rPr>
          <w:color w:val="231F20"/>
          <w:w w:val="105"/>
        </w:rPr>
        <w:t>días</w:t>
      </w:r>
      <w:r>
        <w:rPr>
          <w:color w:val="231F20"/>
          <w:spacing w:val="-15"/>
          <w:w w:val="105"/>
        </w:rPr>
        <w:t> </w:t>
      </w:r>
      <w:r>
        <w:rPr>
          <w:color w:val="231F20"/>
          <w:w w:val="105"/>
        </w:rPr>
        <w:t>de</w:t>
      </w:r>
      <w:r>
        <w:rPr>
          <w:color w:val="231F20"/>
          <w:spacing w:val="-15"/>
          <w:w w:val="105"/>
        </w:rPr>
        <w:t> </w:t>
      </w:r>
      <w:r>
        <w:rPr>
          <w:color w:val="231F20"/>
          <w:w w:val="105"/>
        </w:rPr>
        <w:t>los operativos contra la</w:t>
      </w:r>
      <w:r>
        <w:rPr>
          <w:color w:val="231F20"/>
          <w:spacing w:val="-38"/>
          <w:w w:val="105"/>
        </w:rPr>
        <w:t> </w:t>
      </w:r>
      <w:r>
        <w:rPr>
          <w:color w:val="231F20"/>
          <w:w w:val="105"/>
        </w:rPr>
        <w:t>inseguridad</w:t>
      </w:r>
      <w:r>
        <w:rPr>
          <w:color w:val="231F20"/>
          <w:w w:val="105"/>
          <w:position w:val="7"/>
          <w:sz w:val="13"/>
        </w:rPr>
        <w:t>25.</w:t>
      </w:r>
    </w:p>
    <w:p>
      <w:pPr>
        <w:pStyle w:val="BodyText"/>
        <w:spacing w:before="1"/>
        <w:rPr>
          <w:sz w:val="26"/>
        </w:rPr>
      </w:pPr>
    </w:p>
    <w:p>
      <w:pPr>
        <w:pStyle w:val="BodyText"/>
        <w:spacing w:line="285" w:lineRule="auto"/>
        <w:ind w:left="110" w:right="108"/>
        <w:jc w:val="both"/>
      </w:pPr>
      <w:r>
        <w:rPr>
          <w:color w:val="231F20"/>
          <w:spacing w:val="-3"/>
          <w:w w:val="105"/>
        </w:rPr>
        <w:t>También</w:t>
      </w:r>
      <w:r>
        <w:rPr>
          <w:color w:val="231F20"/>
          <w:spacing w:val="-5"/>
          <w:w w:val="105"/>
        </w:rPr>
        <w:t> </w:t>
      </w:r>
      <w:r>
        <w:rPr>
          <w:color w:val="231F20"/>
          <w:w w:val="105"/>
        </w:rPr>
        <w:t>es</w:t>
      </w:r>
      <w:r>
        <w:rPr>
          <w:color w:val="231F20"/>
          <w:spacing w:val="-5"/>
          <w:w w:val="105"/>
        </w:rPr>
        <w:t> </w:t>
      </w:r>
      <w:r>
        <w:rPr>
          <w:color w:val="231F20"/>
          <w:w w:val="105"/>
        </w:rPr>
        <w:t>importante</w:t>
      </w:r>
      <w:r>
        <w:rPr>
          <w:color w:val="231F20"/>
          <w:spacing w:val="-5"/>
          <w:w w:val="105"/>
        </w:rPr>
        <w:t> </w:t>
      </w:r>
      <w:r>
        <w:rPr>
          <w:color w:val="231F20"/>
          <w:w w:val="105"/>
        </w:rPr>
        <w:t>mencionar</w:t>
      </w:r>
      <w:r>
        <w:rPr>
          <w:color w:val="231F20"/>
          <w:spacing w:val="-5"/>
          <w:w w:val="105"/>
        </w:rPr>
        <w:t> </w:t>
      </w:r>
      <w:r>
        <w:rPr>
          <w:color w:val="231F20"/>
          <w:w w:val="105"/>
        </w:rPr>
        <w:t>las</w:t>
      </w:r>
      <w:r>
        <w:rPr>
          <w:color w:val="231F20"/>
          <w:spacing w:val="-5"/>
          <w:w w:val="105"/>
        </w:rPr>
        <w:t> </w:t>
      </w:r>
      <w:r>
        <w:rPr>
          <w:color w:val="231F20"/>
          <w:w w:val="105"/>
        </w:rPr>
        <w:t>grandes</w:t>
      </w:r>
      <w:r>
        <w:rPr>
          <w:color w:val="231F20"/>
          <w:spacing w:val="-5"/>
          <w:w w:val="105"/>
        </w:rPr>
        <w:t> </w:t>
      </w:r>
      <w:r>
        <w:rPr>
          <w:color w:val="231F20"/>
          <w:w w:val="105"/>
        </w:rPr>
        <w:t>ausencias</w:t>
      </w:r>
      <w:r>
        <w:rPr>
          <w:color w:val="231F20"/>
          <w:spacing w:val="-5"/>
          <w:w w:val="105"/>
        </w:rPr>
        <w:t> </w:t>
      </w:r>
      <w:r>
        <w:rPr>
          <w:color w:val="231F20"/>
          <w:w w:val="105"/>
        </w:rPr>
        <w:t>del</w:t>
      </w:r>
      <w:r>
        <w:rPr>
          <w:color w:val="231F20"/>
          <w:spacing w:val="-5"/>
          <w:w w:val="105"/>
        </w:rPr>
        <w:t> </w:t>
      </w:r>
      <w:r>
        <w:rPr>
          <w:color w:val="231F20"/>
          <w:w w:val="105"/>
        </w:rPr>
        <w:t>titular</w:t>
      </w:r>
      <w:r>
        <w:rPr>
          <w:color w:val="231F20"/>
          <w:spacing w:val="-5"/>
          <w:w w:val="105"/>
        </w:rPr>
        <w:t> </w:t>
      </w:r>
      <w:r>
        <w:rPr>
          <w:color w:val="231F20"/>
          <w:w w:val="105"/>
        </w:rPr>
        <w:t>del</w:t>
      </w:r>
      <w:r>
        <w:rPr>
          <w:color w:val="231F20"/>
          <w:spacing w:val="-5"/>
          <w:w w:val="105"/>
        </w:rPr>
        <w:t> </w:t>
      </w:r>
      <w:r>
        <w:rPr>
          <w:color w:val="231F20"/>
          <w:w w:val="105"/>
        </w:rPr>
        <w:t>gobierno</w:t>
      </w:r>
      <w:r>
        <w:rPr>
          <w:color w:val="231F20"/>
          <w:spacing w:val="-5"/>
          <w:w w:val="105"/>
        </w:rPr>
        <w:t> </w:t>
      </w:r>
      <w:r>
        <w:rPr>
          <w:color w:val="231F20"/>
          <w:w w:val="105"/>
        </w:rPr>
        <w:t>muni- cipal,</w:t>
      </w:r>
      <w:r>
        <w:rPr>
          <w:color w:val="231F20"/>
          <w:spacing w:val="-14"/>
          <w:w w:val="105"/>
        </w:rPr>
        <w:t> </w:t>
      </w:r>
      <w:r>
        <w:rPr>
          <w:color w:val="231F20"/>
          <w:spacing w:val="2"/>
          <w:w w:val="105"/>
        </w:rPr>
        <w:t>Ulises</w:t>
      </w:r>
      <w:r>
        <w:rPr>
          <w:color w:val="231F20"/>
          <w:spacing w:val="-14"/>
          <w:w w:val="105"/>
        </w:rPr>
        <w:t> </w:t>
      </w:r>
      <w:r>
        <w:rPr>
          <w:color w:val="231F20"/>
          <w:w w:val="105"/>
        </w:rPr>
        <w:t>Ramírez</w:t>
      </w:r>
      <w:r>
        <w:rPr>
          <w:color w:val="231F20"/>
          <w:spacing w:val="-14"/>
          <w:w w:val="105"/>
        </w:rPr>
        <w:t> </w:t>
      </w:r>
      <w:r>
        <w:rPr>
          <w:color w:val="231F20"/>
          <w:w w:val="105"/>
        </w:rPr>
        <w:t>Núñez,</w:t>
      </w:r>
      <w:r>
        <w:rPr>
          <w:color w:val="231F20"/>
          <w:spacing w:val="-14"/>
          <w:w w:val="105"/>
        </w:rPr>
        <w:t> </w:t>
      </w:r>
      <w:r>
        <w:rPr>
          <w:color w:val="231F20"/>
          <w:w w:val="105"/>
        </w:rPr>
        <w:t>quien</w:t>
      </w:r>
      <w:r>
        <w:rPr>
          <w:color w:val="231F20"/>
          <w:spacing w:val="-14"/>
          <w:w w:val="105"/>
        </w:rPr>
        <w:t> </w:t>
      </w:r>
      <w:r>
        <w:rPr>
          <w:color w:val="231F20"/>
          <w:w w:val="105"/>
        </w:rPr>
        <w:t>estuvo</w:t>
      </w:r>
      <w:r>
        <w:rPr>
          <w:color w:val="231F20"/>
          <w:spacing w:val="-14"/>
          <w:w w:val="105"/>
        </w:rPr>
        <w:t> </w:t>
      </w:r>
      <w:r>
        <w:rPr>
          <w:color w:val="231F20"/>
          <w:w w:val="105"/>
        </w:rPr>
        <w:t>separado</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gobierno</w:t>
      </w:r>
      <w:r>
        <w:rPr>
          <w:color w:val="231F20"/>
          <w:spacing w:val="-14"/>
          <w:w w:val="105"/>
        </w:rPr>
        <w:t> </w:t>
      </w:r>
      <w:r>
        <w:rPr>
          <w:color w:val="231F20"/>
          <w:w w:val="105"/>
        </w:rPr>
        <w:t>debido</w:t>
      </w:r>
      <w:r>
        <w:rPr>
          <w:color w:val="231F20"/>
          <w:spacing w:val="-14"/>
          <w:w w:val="105"/>
        </w:rPr>
        <w:t> </w:t>
      </w:r>
      <w:r>
        <w:rPr>
          <w:color w:val="231F20"/>
          <w:w w:val="105"/>
        </w:rPr>
        <w:t>a</w:t>
      </w:r>
      <w:r>
        <w:rPr>
          <w:color w:val="231F20"/>
          <w:spacing w:val="-14"/>
          <w:w w:val="105"/>
        </w:rPr>
        <w:t> </w:t>
      </w:r>
      <w:r>
        <w:rPr>
          <w:color w:val="231F20"/>
          <w:w w:val="105"/>
        </w:rPr>
        <w:t>sus</w:t>
      </w:r>
      <w:r>
        <w:rPr>
          <w:color w:val="231F20"/>
          <w:spacing w:val="-14"/>
          <w:w w:val="105"/>
        </w:rPr>
        <w:t> </w:t>
      </w:r>
      <w:r>
        <w:rPr>
          <w:color w:val="231F20"/>
          <w:w w:val="105"/>
        </w:rPr>
        <w:t>solici- tudes</w:t>
      </w:r>
      <w:r>
        <w:rPr>
          <w:color w:val="231F20"/>
          <w:spacing w:val="-11"/>
          <w:w w:val="105"/>
        </w:rPr>
        <w:t> </w:t>
      </w:r>
      <w:r>
        <w:rPr>
          <w:color w:val="231F20"/>
          <w:w w:val="105"/>
        </w:rPr>
        <w:t>de</w:t>
      </w:r>
      <w:r>
        <w:rPr>
          <w:color w:val="231F20"/>
          <w:spacing w:val="-11"/>
          <w:w w:val="105"/>
        </w:rPr>
        <w:t> </w:t>
      </w:r>
      <w:r>
        <w:rPr>
          <w:color w:val="231F20"/>
          <w:w w:val="105"/>
        </w:rPr>
        <w:t>licencia,</w:t>
      </w:r>
      <w:r>
        <w:rPr>
          <w:color w:val="231F20"/>
          <w:spacing w:val="-11"/>
          <w:w w:val="105"/>
        </w:rPr>
        <w:t> </w:t>
      </w:r>
      <w:r>
        <w:rPr>
          <w:color w:val="231F20"/>
          <w:w w:val="105"/>
        </w:rPr>
        <w:t>las</w:t>
      </w:r>
      <w:r>
        <w:rPr>
          <w:color w:val="231F20"/>
          <w:spacing w:val="-11"/>
          <w:w w:val="105"/>
        </w:rPr>
        <w:t> </w:t>
      </w:r>
      <w:r>
        <w:rPr>
          <w:color w:val="231F20"/>
          <w:w w:val="105"/>
        </w:rPr>
        <w:t>cuales,</w:t>
      </w:r>
      <w:r>
        <w:rPr>
          <w:color w:val="231F20"/>
          <w:spacing w:val="-11"/>
          <w:w w:val="105"/>
        </w:rPr>
        <w:t> </w:t>
      </w:r>
      <w:r>
        <w:rPr>
          <w:color w:val="231F20"/>
          <w:w w:val="105"/>
        </w:rPr>
        <w:t>dicho</w:t>
      </w:r>
      <w:r>
        <w:rPr>
          <w:color w:val="231F20"/>
          <w:spacing w:val="-11"/>
          <w:w w:val="105"/>
        </w:rPr>
        <w:t> </w:t>
      </w:r>
      <w:r>
        <w:rPr>
          <w:color w:val="231F20"/>
          <w:w w:val="105"/>
        </w:rPr>
        <w:t>sea</w:t>
      </w:r>
      <w:r>
        <w:rPr>
          <w:color w:val="231F20"/>
          <w:spacing w:val="-11"/>
          <w:w w:val="105"/>
        </w:rPr>
        <w:t> </w:t>
      </w:r>
      <w:r>
        <w:rPr>
          <w:color w:val="231F20"/>
          <w:w w:val="105"/>
        </w:rPr>
        <w:t>de</w:t>
      </w:r>
      <w:r>
        <w:rPr>
          <w:color w:val="231F20"/>
          <w:spacing w:val="-11"/>
          <w:w w:val="105"/>
        </w:rPr>
        <w:t> </w:t>
      </w:r>
      <w:r>
        <w:rPr>
          <w:color w:val="231F20"/>
          <w:w w:val="105"/>
        </w:rPr>
        <w:t>paso,</w:t>
      </w:r>
      <w:r>
        <w:rPr>
          <w:color w:val="231F20"/>
          <w:spacing w:val="-11"/>
          <w:w w:val="105"/>
        </w:rPr>
        <w:t> </w:t>
      </w:r>
      <w:r>
        <w:rPr>
          <w:color w:val="231F20"/>
          <w:w w:val="105"/>
        </w:rPr>
        <w:t>se</w:t>
      </w:r>
      <w:r>
        <w:rPr>
          <w:color w:val="231F20"/>
          <w:spacing w:val="-11"/>
          <w:w w:val="105"/>
        </w:rPr>
        <w:t> </w:t>
      </w:r>
      <w:r>
        <w:rPr>
          <w:color w:val="231F20"/>
          <w:w w:val="105"/>
        </w:rPr>
        <w:t>debieron</w:t>
      </w:r>
      <w:r>
        <w:rPr>
          <w:color w:val="231F20"/>
          <w:spacing w:val="-11"/>
          <w:w w:val="105"/>
        </w:rPr>
        <w:t> </w:t>
      </w:r>
      <w:r>
        <w:rPr>
          <w:color w:val="231F20"/>
          <w:w w:val="105"/>
        </w:rPr>
        <w:t>a</w:t>
      </w:r>
      <w:r>
        <w:rPr>
          <w:color w:val="231F20"/>
          <w:spacing w:val="-11"/>
          <w:w w:val="105"/>
        </w:rPr>
        <w:t> </w:t>
      </w:r>
      <w:r>
        <w:rPr>
          <w:color w:val="231F20"/>
          <w:w w:val="105"/>
        </w:rPr>
        <w:t>su</w:t>
      </w:r>
      <w:r>
        <w:rPr>
          <w:color w:val="231F20"/>
          <w:spacing w:val="-11"/>
          <w:w w:val="105"/>
        </w:rPr>
        <w:t> </w:t>
      </w:r>
      <w:r>
        <w:rPr>
          <w:color w:val="231F20"/>
          <w:w w:val="105"/>
        </w:rPr>
        <w:t>participación</w:t>
      </w:r>
      <w:r>
        <w:rPr>
          <w:color w:val="231F20"/>
          <w:spacing w:val="-11"/>
          <w:w w:val="105"/>
        </w:rPr>
        <w:t> </w:t>
      </w:r>
      <w:r>
        <w:rPr>
          <w:color w:val="231F20"/>
          <w:w w:val="105"/>
        </w:rPr>
        <w:t>en</w:t>
      </w:r>
      <w:r>
        <w:rPr>
          <w:color w:val="231F20"/>
          <w:spacing w:val="-11"/>
          <w:w w:val="105"/>
        </w:rPr>
        <w:t> </w:t>
      </w:r>
      <w:r>
        <w:rPr>
          <w:color w:val="231F20"/>
          <w:w w:val="105"/>
        </w:rPr>
        <w:t>activi- dades</w:t>
      </w:r>
      <w:r>
        <w:rPr>
          <w:color w:val="231F20"/>
          <w:spacing w:val="-6"/>
          <w:w w:val="105"/>
        </w:rPr>
        <w:t> </w:t>
      </w:r>
      <w:r>
        <w:rPr>
          <w:color w:val="231F20"/>
          <w:w w:val="105"/>
        </w:rPr>
        <w:t>proselitistas</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6"/>
          <w:w w:val="105"/>
        </w:rPr>
        <w:t> </w:t>
      </w:r>
      <w:r>
        <w:rPr>
          <w:color w:val="231F20"/>
          <w:w w:val="105"/>
        </w:rPr>
        <w:t>partido,</w:t>
      </w:r>
      <w:r>
        <w:rPr>
          <w:color w:val="231F20"/>
          <w:spacing w:val="-6"/>
          <w:w w:val="105"/>
        </w:rPr>
        <w:t> </w:t>
      </w:r>
      <w:r>
        <w:rPr>
          <w:color w:val="231F20"/>
          <w:w w:val="105"/>
        </w:rPr>
        <w:t>ya</w:t>
      </w:r>
      <w:r>
        <w:rPr>
          <w:color w:val="231F20"/>
          <w:spacing w:val="-6"/>
          <w:w w:val="105"/>
        </w:rPr>
        <w:t> </w:t>
      </w:r>
      <w:r>
        <w:rPr>
          <w:color w:val="231F20"/>
          <w:w w:val="105"/>
        </w:rPr>
        <w:t>sea</w:t>
      </w:r>
      <w:r>
        <w:rPr>
          <w:color w:val="231F20"/>
          <w:spacing w:val="-6"/>
          <w:w w:val="105"/>
        </w:rPr>
        <w:t> </w:t>
      </w:r>
      <w:r>
        <w:rPr>
          <w:color w:val="231F20"/>
          <w:w w:val="105"/>
        </w:rPr>
        <w:t>coordinando</w:t>
      </w:r>
      <w:r>
        <w:rPr>
          <w:color w:val="231F20"/>
          <w:spacing w:val="-6"/>
          <w:w w:val="105"/>
        </w:rPr>
        <w:t> </w:t>
      </w:r>
      <w:r>
        <w:rPr>
          <w:color w:val="231F20"/>
          <w:w w:val="105"/>
        </w:rPr>
        <w:t>las</w:t>
      </w:r>
      <w:r>
        <w:rPr>
          <w:color w:val="231F20"/>
          <w:spacing w:val="-6"/>
          <w:w w:val="105"/>
        </w:rPr>
        <w:t> </w:t>
      </w:r>
      <w:r>
        <w:rPr>
          <w:color w:val="231F20"/>
          <w:w w:val="105"/>
        </w:rPr>
        <w:t>campañas</w:t>
      </w:r>
      <w:r>
        <w:rPr>
          <w:color w:val="231F20"/>
          <w:spacing w:val="-6"/>
          <w:w w:val="105"/>
        </w:rPr>
        <w:t> </w:t>
      </w:r>
      <w:r>
        <w:rPr>
          <w:color w:val="231F20"/>
          <w:w w:val="105"/>
        </w:rPr>
        <w:t>de</w:t>
      </w:r>
      <w:r>
        <w:rPr>
          <w:color w:val="231F20"/>
          <w:spacing w:val="-6"/>
          <w:w w:val="105"/>
        </w:rPr>
        <w:t> </w:t>
      </w:r>
      <w:r>
        <w:rPr>
          <w:color w:val="231F20"/>
          <w:w w:val="105"/>
        </w:rPr>
        <w:t>Rubén</w:t>
      </w:r>
      <w:r>
        <w:rPr>
          <w:color w:val="231F20"/>
          <w:spacing w:val="-6"/>
          <w:w w:val="105"/>
        </w:rPr>
        <w:t> </w:t>
      </w:r>
      <w:r>
        <w:rPr>
          <w:color w:val="231F20"/>
          <w:w w:val="105"/>
        </w:rPr>
        <w:t>Mendoza Ayala</w:t>
      </w:r>
      <w:r>
        <w:rPr>
          <w:color w:val="231F20"/>
          <w:spacing w:val="-16"/>
          <w:w w:val="105"/>
        </w:rPr>
        <w:t> </w:t>
      </w:r>
      <w:r>
        <w:rPr>
          <w:color w:val="231F20"/>
          <w:w w:val="105"/>
        </w:rPr>
        <w:t>a</w:t>
      </w:r>
      <w:r>
        <w:rPr>
          <w:color w:val="231F20"/>
          <w:spacing w:val="-16"/>
          <w:w w:val="105"/>
        </w:rPr>
        <w:t> </w:t>
      </w:r>
      <w:r>
        <w:rPr>
          <w:color w:val="231F20"/>
          <w:w w:val="105"/>
        </w:rPr>
        <w:t>gobernador</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o</w:t>
      </w:r>
      <w:r>
        <w:rPr>
          <w:color w:val="231F20"/>
          <w:spacing w:val="-16"/>
          <w:w w:val="105"/>
        </w:rPr>
        <w:t> </w:t>
      </w:r>
      <w:r>
        <w:rPr>
          <w:color w:val="231F20"/>
          <w:w w:val="105"/>
        </w:rPr>
        <w:t>de</w:t>
      </w:r>
      <w:r>
        <w:rPr>
          <w:color w:val="231F20"/>
          <w:spacing w:val="-16"/>
          <w:w w:val="105"/>
        </w:rPr>
        <w:t> </w:t>
      </w:r>
      <w:r>
        <w:rPr>
          <w:color w:val="231F20"/>
          <w:w w:val="105"/>
        </w:rPr>
        <w:t>Felipe</w:t>
      </w:r>
      <w:r>
        <w:rPr>
          <w:color w:val="231F20"/>
          <w:spacing w:val="-16"/>
          <w:w w:val="105"/>
        </w:rPr>
        <w:t> </w:t>
      </w:r>
      <w:r>
        <w:rPr>
          <w:color w:val="231F20"/>
          <w:w w:val="105"/>
        </w:rPr>
        <w:t>Calderón</w:t>
      </w:r>
      <w:r>
        <w:rPr>
          <w:color w:val="231F20"/>
          <w:spacing w:val="-16"/>
          <w:w w:val="105"/>
        </w:rPr>
        <w:t> </w:t>
      </w:r>
      <w:r>
        <w:rPr>
          <w:color w:val="231F20"/>
          <w:w w:val="105"/>
        </w:rPr>
        <w:t>Hinojosa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Presiden- cia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República,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o</w:t>
      </w:r>
      <w:r>
        <w:rPr>
          <w:color w:val="231F20"/>
          <w:spacing w:val="-13"/>
          <w:w w:val="105"/>
        </w:rPr>
        <w:t> </w:t>
      </w:r>
      <w:r>
        <w:rPr>
          <w:color w:val="231F20"/>
          <w:w w:val="105"/>
        </w:rPr>
        <w:t>la</w:t>
      </w:r>
      <w:r>
        <w:rPr>
          <w:color w:val="231F20"/>
          <w:spacing w:val="-13"/>
          <w:w w:val="105"/>
        </w:rPr>
        <w:t> </w:t>
      </w:r>
      <w:r>
        <w:rPr>
          <w:color w:val="231F20"/>
          <w:w w:val="105"/>
        </w:rPr>
        <w:t>suya</w:t>
      </w:r>
      <w:r>
        <w:rPr>
          <w:color w:val="231F20"/>
          <w:spacing w:val="-13"/>
          <w:w w:val="105"/>
        </w:rPr>
        <w:t> </w:t>
      </w:r>
      <w:r>
        <w:rPr>
          <w:color w:val="231F20"/>
          <w:w w:val="105"/>
        </w:rPr>
        <w:t>como</w:t>
      </w:r>
      <w:r>
        <w:rPr>
          <w:color w:val="231F20"/>
          <w:spacing w:val="-13"/>
          <w:w w:val="105"/>
        </w:rPr>
        <w:t> </w:t>
      </w:r>
      <w:r>
        <w:rPr>
          <w:color w:val="231F20"/>
          <w:w w:val="105"/>
        </w:rPr>
        <w:t>candidato</w:t>
      </w:r>
      <w:r>
        <w:rPr>
          <w:color w:val="231F20"/>
          <w:spacing w:val="-13"/>
          <w:w w:val="105"/>
        </w:rPr>
        <w:t> </w:t>
      </w:r>
      <w:r>
        <w:rPr>
          <w:color w:val="231F20"/>
          <w:spacing w:val="2"/>
          <w:w w:val="105"/>
        </w:rPr>
        <w:t>al</w:t>
      </w:r>
      <w:r>
        <w:rPr>
          <w:color w:val="231F20"/>
          <w:spacing w:val="-13"/>
          <w:w w:val="105"/>
        </w:rPr>
        <w:t> </w:t>
      </w:r>
      <w:r>
        <w:rPr>
          <w:color w:val="231F20"/>
          <w:w w:val="105"/>
        </w:rPr>
        <w:t>Senado</w:t>
      </w:r>
      <w:r>
        <w:rPr>
          <w:color w:val="231F20"/>
          <w:w w:val="105"/>
          <w:position w:val="7"/>
          <w:sz w:val="13"/>
        </w:rPr>
        <w:t>26.</w:t>
      </w:r>
      <w:r>
        <w:rPr>
          <w:color w:val="231F20"/>
          <w:spacing w:val="10"/>
          <w:w w:val="105"/>
          <w:position w:val="7"/>
          <w:sz w:val="13"/>
        </w:rPr>
        <w:t> </w:t>
      </w:r>
      <w:r>
        <w:rPr>
          <w:color w:val="231F20"/>
          <w:w w:val="105"/>
        </w:rPr>
        <w:t>Esto refleja</w:t>
      </w:r>
      <w:r>
        <w:rPr>
          <w:color w:val="231F20"/>
          <w:spacing w:val="-17"/>
          <w:w w:val="105"/>
        </w:rPr>
        <w:t> </w:t>
      </w:r>
      <w:r>
        <w:rPr>
          <w:color w:val="231F20"/>
          <w:w w:val="105"/>
        </w:rPr>
        <w:t>poca</w:t>
      </w:r>
      <w:r>
        <w:rPr>
          <w:color w:val="231F20"/>
          <w:spacing w:val="-17"/>
          <w:w w:val="105"/>
        </w:rPr>
        <w:t> </w:t>
      </w:r>
      <w:r>
        <w:rPr>
          <w:color w:val="231F20"/>
          <w:w w:val="105"/>
        </w:rPr>
        <w:t>seriedad</w:t>
      </w:r>
      <w:r>
        <w:rPr>
          <w:color w:val="231F20"/>
          <w:spacing w:val="-17"/>
          <w:w w:val="105"/>
        </w:rPr>
        <w:t> </w:t>
      </w:r>
      <w:r>
        <w:rPr>
          <w:color w:val="231F20"/>
          <w:w w:val="105"/>
        </w:rPr>
        <w:t>frente</w:t>
      </w:r>
      <w:r>
        <w:rPr>
          <w:color w:val="231F20"/>
          <w:spacing w:val="-17"/>
          <w:w w:val="105"/>
        </w:rPr>
        <w:t> </w:t>
      </w:r>
      <w:r>
        <w:rPr>
          <w:color w:val="231F20"/>
          <w:spacing w:val="2"/>
          <w:w w:val="105"/>
        </w:rPr>
        <w:t>al</w:t>
      </w:r>
      <w:r>
        <w:rPr>
          <w:color w:val="231F20"/>
          <w:spacing w:val="-17"/>
          <w:w w:val="105"/>
        </w:rPr>
        <w:t> </w:t>
      </w:r>
      <w:r>
        <w:rPr>
          <w:color w:val="231F20"/>
          <w:w w:val="105"/>
        </w:rPr>
        <w:t>compromiso</w:t>
      </w:r>
      <w:r>
        <w:rPr>
          <w:color w:val="231F20"/>
          <w:spacing w:val="-17"/>
          <w:w w:val="105"/>
        </w:rPr>
        <w:t> </w:t>
      </w:r>
      <w:r>
        <w:rPr>
          <w:color w:val="231F20"/>
          <w:w w:val="105"/>
        </w:rPr>
        <w:t>adquirido</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ciudadanía</w:t>
      </w:r>
      <w:r>
        <w:rPr>
          <w:color w:val="231F20"/>
          <w:spacing w:val="-17"/>
          <w:w w:val="105"/>
        </w:rPr>
        <w:t> </w:t>
      </w:r>
      <w:r>
        <w:rPr>
          <w:color w:val="231F20"/>
          <w:w w:val="105"/>
        </w:rPr>
        <w:t>tlalnepantlense, ya</w:t>
      </w:r>
      <w:r>
        <w:rPr>
          <w:color w:val="231F20"/>
          <w:spacing w:val="-16"/>
          <w:w w:val="105"/>
        </w:rPr>
        <w:t> </w:t>
      </w:r>
      <w:r>
        <w:rPr>
          <w:color w:val="231F20"/>
          <w:w w:val="105"/>
        </w:rPr>
        <w:t>que</w:t>
      </w:r>
      <w:r>
        <w:rPr>
          <w:color w:val="231F20"/>
          <w:spacing w:val="-16"/>
          <w:w w:val="105"/>
        </w:rPr>
        <w:t> </w:t>
      </w:r>
      <w:r>
        <w:rPr>
          <w:color w:val="231F20"/>
          <w:w w:val="105"/>
        </w:rPr>
        <w:t>casi</w:t>
      </w:r>
      <w:r>
        <w:rPr>
          <w:color w:val="231F20"/>
          <w:spacing w:val="-16"/>
          <w:w w:val="105"/>
        </w:rPr>
        <w:t> </w:t>
      </w:r>
      <w:r>
        <w:rPr>
          <w:color w:val="231F20"/>
          <w:w w:val="105"/>
        </w:rPr>
        <w:t>el</w:t>
      </w:r>
      <w:r>
        <w:rPr>
          <w:color w:val="231F20"/>
          <w:spacing w:val="-16"/>
          <w:w w:val="105"/>
        </w:rPr>
        <w:t> </w:t>
      </w:r>
      <w:r>
        <w:rPr>
          <w:color w:val="231F20"/>
          <w:w w:val="105"/>
        </w:rPr>
        <w:t>20%</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periodo</w:t>
      </w:r>
      <w:r>
        <w:rPr>
          <w:color w:val="231F20"/>
          <w:spacing w:val="-16"/>
          <w:w w:val="105"/>
        </w:rPr>
        <w:t> </w:t>
      </w:r>
      <w:r>
        <w:rPr>
          <w:color w:val="231F20"/>
          <w:w w:val="105"/>
        </w:rPr>
        <w:t>estuvo</w:t>
      </w:r>
      <w:r>
        <w:rPr>
          <w:color w:val="231F20"/>
          <w:spacing w:val="-16"/>
          <w:w w:val="105"/>
        </w:rPr>
        <w:t> </w:t>
      </w:r>
      <w:r>
        <w:rPr>
          <w:color w:val="231F20"/>
          <w:w w:val="105"/>
        </w:rPr>
        <w:t>separado</w:t>
      </w:r>
      <w:r>
        <w:rPr>
          <w:color w:val="231F20"/>
          <w:spacing w:val="-16"/>
          <w:w w:val="105"/>
        </w:rPr>
        <w:t> </w:t>
      </w:r>
      <w:r>
        <w:rPr>
          <w:color w:val="231F20"/>
          <w:w w:val="105"/>
        </w:rPr>
        <w:t>del</w:t>
      </w:r>
      <w:r>
        <w:rPr>
          <w:color w:val="231F20"/>
          <w:spacing w:val="-16"/>
          <w:w w:val="105"/>
        </w:rPr>
        <w:t> </w:t>
      </w:r>
      <w:r>
        <w:rPr>
          <w:color w:val="231F20"/>
          <w:w w:val="105"/>
        </w:rPr>
        <w:t>cargo</w:t>
      </w:r>
      <w:r>
        <w:rPr>
          <w:color w:val="231F20"/>
          <w:spacing w:val="-16"/>
          <w:w w:val="105"/>
        </w:rPr>
        <w:t> </w:t>
      </w:r>
      <w:r>
        <w:rPr>
          <w:color w:val="231F20"/>
          <w:w w:val="105"/>
        </w:rPr>
        <w:t>en</w:t>
      </w:r>
      <w:r>
        <w:rPr>
          <w:color w:val="231F20"/>
          <w:spacing w:val="-16"/>
          <w:w w:val="105"/>
        </w:rPr>
        <w:t> </w:t>
      </w:r>
      <w:r>
        <w:rPr>
          <w:color w:val="231F20"/>
          <w:w w:val="105"/>
        </w:rPr>
        <w:t>actos</w:t>
      </w:r>
      <w:r>
        <w:rPr>
          <w:color w:val="231F20"/>
          <w:spacing w:val="-16"/>
          <w:w w:val="105"/>
        </w:rPr>
        <w:t> </w:t>
      </w:r>
      <w:r>
        <w:rPr>
          <w:color w:val="231F20"/>
          <w:w w:val="105"/>
        </w:rPr>
        <w:t>proselitistas.</w:t>
      </w:r>
    </w:p>
    <w:p>
      <w:pPr>
        <w:pStyle w:val="BodyText"/>
      </w:pPr>
    </w:p>
    <w:p>
      <w:pPr>
        <w:pStyle w:val="BodyText"/>
        <w:spacing w:before="2"/>
        <w:rPr>
          <w:sz w:val="30"/>
        </w:rPr>
      </w:pPr>
    </w:p>
    <w:p>
      <w:pPr>
        <w:pStyle w:val="BodyText"/>
        <w:spacing w:line="285" w:lineRule="auto" w:before="1"/>
        <w:ind w:left="110" w:right="108"/>
        <w:jc w:val="both"/>
      </w:pPr>
      <w:r>
        <w:rPr>
          <w:color w:val="231F20"/>
          <w:w w:val="105"/>
        </w:rPr>
        <w:t>Así,</w:t>
      </w:r>
      <w:r>
        <w:rPr>
          <w:color w:val="231F20"/>
          <w:spacing w:val="-11"/>
          <w:w w:val="105"/>
        </w:rPr>
        <w:t> </w:t>
      </w:r>
      <w:r>
        <w:rPr>
          <w:color w:val="231F20"/>
          <w:w w:val="105"/>
        </w:rPr>
        <w:t>podemos</w:t>
      </w:r>
      <w:r>
        <w:rPr>
          <w:color w:val="231F20"/>
          <w:spacing w:val="-11"/>
          <w:w w:val="105"/>
        </w:rPr>
        <w:t> </w:t>
      </w:r>
      <w:r>
        <w:rPr>
          <w:color w:val="231F20"/>
          <w:w w:val="105"/>
        </w:rPr>
        <w:t>observar</w:t>
      </w:r>
      <w:r>
        <w:rPr>
          <w:color w:val="231F20"/>
          <w:spacing w:val="-11"/>
          <w:w w:val="105"/>
        </w:rPr>
        <w:t> </w:t>
      </w:r>
      <w:r>
        <w:rPr>
          <w:color w:val="231F20"/>
          <w:w w:val="105"/>
        </w:rPr>
        <w:t>los</w:t>
      </w:r>
      <w:r>
        <w:rPr>
          <w:color w:val="231F20"/>
          <w:spacing w:val="-11"/>
          <w:w w:val="105"/>
        </w:rPr>
        <w:t> </w:t>
      </w:r>
      <w:r>
        <w:rPr>
          <w:color w:val="231F20"/>
          <w:w w:val="105"/>
        </w:rPr>
        <w:t>avances</w:t>
      </w:r>
      <w:r>
        <w:rPr>
          <w:color w:val="231F20"/>
          <w:spacing w:val="-11"/>
          <w:w w:val="105"/>
        </w:rPr>
        <w:t> </w:t>
      </w:r>
      <w:r>
        <w:rPr>
          <w:color w:val="231F20"/>
          <w:w w:val="105"/>
        </w:rPr>
        <w:t>en</w:t>
      </w:r>
      <w:r>
        <w:rPr>
          <w:color w:val="231F20"/>
          <w:spacing w:val="-11"/>
          <w:w w:val="105"/>
        </w:rPr>
        <w:t> </w:t>
      </w:r>
      <w:r>
        <w:rPr>
          <w:color w:val="231F20"/>
          <w:w w:val="105"/>
        </w:rPr>
        <w:t>torno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modernización</w:t>
      </w:r>
      <w:r>
        <w:rPr>
          <w:color w:val="231F20"/>
          <w:spacing w:val="-11"/>
          <w:w w:val="105"/>
        </w:rPr>
        <w:t> </w:t>
      </w:r>
      <w:r>
        <w:rPr>
          <w:color w:val="231F20"/>
          <w:w w:val="105"/>
        </w:rPr>
        <w:t>administrativa</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spacing w:val="-4"/>
          <w:w w:val="105"/>
        </w:rPr>
        <w:t>for- </w:t>
      </w:r>
      <w:r>
        <w:rPr>
          <w:color w:val="231F20"/>
          <w:w w:val="105"/>
        </w:rPr>
        <w:t>talecimiento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ingresos</w:t>
      </w:r>
      <w:r>
        <w:rPr>
          <w:color w:val="231F20"/>
          <w:spacing w:val="-6"/>
          <w:w w:val="105"/>
        </w:rPr>
        <w:t> </w:t>
      </w:r>
      <w:r>
        <w:rPr>
          <w:color w:val="231F20"/>
          <w:w w:val="105"/>
        </w:rPr>
        <w:t>propios.</w:t>
      </w:r>
      <w:r>
        <w:rPr>
          <w:color w:val="231F20"/>
          <w:spacing w:val="-6"/>
          <w:w w:val="105"/>
        </w:rPr>
        <w:t> </w:t>
      </w:r>
      <w:r>
        <w:rPr>
          <w:color w:val="231F20"/>
          <w:w w:val="105"/>
        </w:rPr>
        <w:t>Asimismo,</w:t>
      </w:r>
      <w:r>
        <w:rPr>
          <w:color w:val="231F20"/>
          <w:spacing w:val="-6"/>
          <w:w w:val="105"/>
        </w:rPr>
        <w:t> </w:t>
      </w:r>
      <w:r>
        <w:rPr>
          <w:color w:val="231F20"/>
          <w:w w:val="105"/>
        </w:rPr>
        <w:t>observamos</w:t>
      </w:r>
      <w:r>
        <w:rPr>
          <w:color w:val="231F20"/>
          <w:spacing w:val="-6"/>
          <w:w w:val="105"/>
        </w:rPr>
        <w:t> </w:t>
      </w:r>
      <w:r>
        <w:rPr>
          <w:color w:val="231F20"/>
          <w:w w:val="105"/>
        </w:rPr>
        <w:t>problemas</w:t>
      </w:r>
      <w:r>
        <w:rPr>
          <w:color w:val="231F20"/>
          <w:spacing w:val="-6"/>
          <w:w w:val="105"/>
        </w:rPr>
        <w:t> </w:t>
      </w:r>
      <w:r>
        <w:rPr>
          <w:color w:val="231F20"/>
          <w:w w:val="105"/>
        </w:rPr>
        <w:t>o</w:t>
      </w:r>
      <w:r>
        <w:rPr>
          <w:color w:val="231F20"/>
          <w:spacing w:val="-6"/>
          <w:w w:val="105"/>
        </w:rPr>
        <w:t> </w:t>
      </w:r>
      <w:r>
        <w:rPr>
          <w:color w:val="231F20"/>
          <w:w w:val="105"/>
        </w:rPr>
        <w:t>rezagos</w:t>
      </w:r>
      <w:r>
        <w:rPr>
          <w:color w:val="231F20"/>
          <w:spacing w:val="-6"/>
          <w:w w:val="105"/>
        </w:rPr>
        <w:t> </w:t>
      </w:r>
      <w:r>
        <w:rPr>
          <w:color w:val="231F20"/>
          <w:w w:val="105"/>
        </w:rPr>
        <w:t>que</w:t>
      </w:r>
    </w:p>
    <w:p>
      <w:pPr>
        <w:pStyle w:val="BodyText"/>
        <w:spacing w:before="7"/>
        <w:rPr>
          <w:sz w:val="13"/>
        </w:rPr>
      </w:pPr>
      <w:r>
        <w:rPr/>
        <w:pict>
          <v:line style="position:absolute;mso-position-horizontal-relative:page;mso-position-vertical-relative:paragraph;z-index:10672;mso-wrap-distance-left:0;mso-wrap-distance-right:0" from="42.519699pt,10.292697pt" to="114.519699pt,10.292697pt" stroked="true" strokeweight="1pt" strokecolor="#231f20">
            <w10:wrap type="topAndBottom"/>
          </v:line>
        </w:pict>
      </w:r>
    </w:p>
    <w:p>
      <w:pPr>
        <w:pStyle w:val="ListParagraph"/>
        <w:numPr>
          <w:ilvl w:val="0"/>
          <w:numId w:val="16"/>
        </w:numPr>
        <w:tabs>
          <w:tab w:pos="338" w:val="left" w:leader="none"/>
        </w:tabs>
        <w:spacing w:line="240" w:lineRule="auto" w:before="8" w:after="0"/>
        <w:ind w:left="337" w:right="0" w:hanging="227"/>
        <w:jc w:val="both"/>
        <w:rPr>
          <w:sz w:val="16"/>
        </w:rPr>
      </w:pPr>
      <w:r>
        <w:rPr>
          <w:color w:val="231F20"/>
          <w:sz w:val="16"/>
        </w:rPr>
        <w:t>El</w:t>
      </w:r>
      <w:r>
        <w:rPr>
          <w:color w:val="231F20"/>
          <w:spacing w:val="-14"/>
          <w:sz w:val="16"/>
        </w:rPr>
        <w:t> </w:t>
      </w:r>
      <w:r>
        <w:rPr>
          <w:color w:val="231F20"/>
          <w:sz w:val="16"/>
        </w:rPr>
        <w:t>Universal,</w:t>
      </w:r>
      <w:r>
        <w:rPr>
          <w:color w:val="231F20"/>
          <w:spacing w:val="-14"/>
          <w:sz w:val="16"/>
        </w:rPr>
        <w:t> </w:t>
      </w:r>
      <w:r>
        <w:rPr>
          <w:color w:val="231F20"/>
          <w:sz w:val="16"/>
        </w:rPr>
        <w:t>29</w:t>
      </w:r>
      <w:r>
        <w:rPr>
          <w:color w:val="231F20"/>
          <w:spacing w:val="-14"/>
          <w:sz w:val="16"/>
        </w:rPr>
        <w:t> </w:t>
      </w:r>
      <w:r>
        <w:rPr>
          <w:color w:val="231F20"/>
          <w:sz w:val="16"/>
        </w:rPr>
        <w:t>de</w:t>
      </w:r>
      <w:r>
        <w:rPr>
          <w:color w:val="231F20"/>
          <w:spacing w:val="-14"/>
          <w:sz w:val="16"/>
        </w:rPr>
        <w:t> </w:t>
      </w:r>
      <w:r>
        <w:rPr>
          <w:color w:val="231F20"/>
          <w:sz w:val="16"/>
        </w:rPr>
        <w:t>junio</w:t>
      </w:r>
      <w:r>
        <w:rPr>
          <w:color w:val="231F20"/>
          <w:spacing w:val="-14"/>
          <w:sz w:val="16"/>
        </w:rPr>
        <w:t> </w:t>
      </w:r>
      <w:r>
        <w:rPr>
          <w:color w:val="231F20"/>
          <w:sz w:val="16"/>
        </w:rPr>
        <w:t>de</w:t>
      </w:r>
      <w:r>
        <w:rPr>
          <w:color w:val="231F20"/>
          <w:spacing w:val="-14"/>
          <w:sz w:val="16"/>
        </w:rPr>
        <w:t> </w:t>
      </w:r>
      <w:r>
        <w:rPr>
          <w:color w:val="231F20"/>
          <w:sz w:val="16"/>
        </w:rPr>
        <w:t>2004.</w:t>
      </w:r>
    </w:p>
    <w:p>
      <w:pPr>
        <w:pStyle w:val="ListParagraph"/>
        <w:numPr>
          <w:ilvl w:val="0"/>
          <w:numId w:val="16"/>
        </w:numPr>
        <w:tabs>
          <w:tab w:pos="302" w:val="left" w:leader="none"/>
        </w:tabs>
        <w:spacing w:line="244" w:lineRule="auto" w:before="4" w:after="0"/>
        <w:ind w:left="110" w:right="108" w:firstLine="0"/>
        <w:jc w:val="both"/>
        <w:rPr>
          <w:sz w:val="16"/>
        </w:rPr>
      </w:pPr>
      <w:r>
        <w:rPr>
          <w:color w:val="231F20"/>
          <w:sz w:val="16"/>
        </w:rPr>
        <w:t>Además</w:t>
      </w:r>
      <w:r>
        <w:rPr>
          <w:color w:val="231F20"/>
          <w:spacing w:val="-5"/>
          <w:sz w:val="16"/>
        </w:rPr>
        <w:t> </w:t>
      </w:r>
      <w:r>
        <w:rPr>
          <w:color w:val="231F20"/>
          <w:sz w:val="16"/>
        </w:rPr>
        <w:t>de</w:t>
      </w:r>
      <w:r>
        <w:rPr>
          <w:color w:val="231F20"/>
          <w:spacing w:val="-5"/>
          <w:sz w:val="16"/>
        </w:rPr>
        <w:t> </w:t>
      </w:r>
      <w:r>
        <w:rPr>
          <w:color w:val="231F20"/>
          <w:sz w:val="16"/>
        </w:rPr>
        <w:t>sus</w:t>
      </w:r>
      <w:r>
        <w:rPr>
          <w:color w:val="231F20"/>
          <w:spacing w:val="-5"/>
          <w:sz w:val="16"/>
        </w:rPr>
        <w:t> </w:t>
      </w:r>
      <w:r>
        <w:rPr>
          <w:color w:val="231F20"/>
          <w:sz w:val="16"/>
        </w:rPr>
        <w:t>constantes</w:t>
      </w:r>
      <w:r>
        <w:rPr>
          <w:color w:val="231F20"/>
          <w:spacing w:val="-5"/>
          <w:sz w:val="16"/>
        </w:rPr>
        <w:t> </w:t>
      </w:r>
      <w:r>
        <w:rPr>
          <w:color w:val="231F20"/>
          <w:sz w:val="16"/>
        </w:rPr>
        <w:t>licencias,</w:t>
      </w:r>
      <w:r>
        <w:rPr>
          <w:color w:val="231F20"/>
          <w:spacing w:val="-5"/>
          <w:sz w:val="16"/>
        </w:rPr>
        <w:t> </w:t>
      </w:r>
      <w:r>
        <w:rPr>
          <w:color w:val="231F20"/>
          <w:sz w:val="16"/>
        </w:rPr>
        <w:t>con</w:t>
      </w:r>
      <w:r>
        <w:rPr>
          <w:color w:val="231F20"/>
          <w:spacing w:val="-5"/>
          <w:sz w:val="16"/>
        </w:rPr>
        <w:t> </w:t>
      </w:r>
      <w:r>
        <w:rPr>
          <w:color w:val="231F20"/>
          <w:sz w:val="16"/>
        </w:rPr>
        <w:t>las</w:t>
      </w:r>
      <w:r>
        <w:rPr>
          <w:color w:val="231F20"/>
          <w:spacing w:val="-5"/>
          <w:sz w:val="16"/>
        </w:rPr>
        <w:t> </w:t>
      </w:r>
      <w:r>
        <w:rPr>
          <w:color w:val="231F20"/>
          <w:sz w:val="16"/>
        </w:rPr>
        <w:t>cuales</w:t>
      </w:r>
      <w:r>
        <w:rPr>
          <w:color w:val="231F20"/>
          <w:spacing w:val="-5"/>
          <w:sz w:val="16"/>
        </w:rPr>
        <w:t> </w:t>
      </w:r>
      <w:r>
        <w:rPr>
          <w:color w:val="231F20"/>
          <w:sz w:val="16"/>
        </w:rPr>
        <w:t>sumaba</w:t>
      </w:r>
      <w:r>
        <w:rPr>
          <w:color w:val="231F20"/>
          <w:spacing w:val="-5"/>
          <w:sz w:val="16"/>
        </w:rPr>
        <w:t> </w:t>
      </w:r>
      <w:r>
        <w:rPr>
          <w:color w:val="231F20"/>
          <w:sz w:val="16"/>
        </w:rPr>
        <w:t>poco</w:t>
      </w:r>
      <w:r>
        <w:rPr>
          <w:color w:val="231F20"/>
          <w:spacing w:val="-5"/>
          <w:sz w:val="16"/>
        </w:rPr>
        <w:t> </w:t>
      </w:r>
      <w:r>
        <w:rPr>
          <w:color w:val="231F20"/>
          <w:sz w:val="16"/>
        </w:rPr>
        <w:t>más</w:t>
      </w:r>
      <w:r>
        <w:rPr>
          <w:color w:val="231F20"/>
          <w:spacing w:val="-5"/>
          <w:sz w:val="16"/>
        </w:rPr>
        <w:t> </w:t>
      </w:r>
      <w:r>
        <w:rPr>
          <w:color w:val="231F20"/>
          <w:sz w:val="16"/>
        </w:rPr>
        <w:t>de</w:t>
      </w:r>
      <w:r>
        <w:rPr>
          <w:color w:val="231F20"/>
          <w:spacing w:val="-5"/>
          <w:sz w:val="16"/>
        </w:rPr>
        <w:t> </w:t>
      </w:r>
      <w:r>
        <w:rPr>
          <w:color w:val="231F20"/>
          <w:sz w:val="16"/>
        </w:rPr>
        <w:t>6</w:t>
      </w:r>
      <w:r>
        <w:rPr>
          <w:color w:val="231F20"/>
          <w:spacing w:val="-5"/>
          <w:sz w:val="16"/>
        </w:rPr>
        <w:t> </w:t>
      </w:r>
      <w:r>
        <w:rPr>
          <w:color w:val="231F20"/>
          <w:sz w:val="16"/>
        </w:rPr>
        <w:t>meses,</w:t>
      </w:r>
      <w:r>
        <w:rPr>
          <w:color w:val="231F20"/>
          <w:spacing w:val="-5"/>
          <w:sz w:val="16"/>
        </w:rPr>
        <w:t> </w:t>
      </w:r>
      <w:r>
        <w:rPr>
          <w:color w:val="231F20"/>
          <w:sz w:val="16"/>
        </w:rPr>
        <w:t>3</w:t>
      </w:r>
      <w:r>
        <w:rPr>
          <w:color w:val="231F20"/>
          <w:spacing w:val="-5"/>
          <w:sz w:val="16"/>
        </w:rPr>
        <w:t> </w:t>
      </w:r>
      <w:r>
        <w:rPr>
          <w:color w:val="231F20"/>
          <w:sz w:val="16"/>
        </w:rPr>
        <w:t>semanas</w:t>
      </w:r>
      <w:r>
        <w:rPr>
          <w:color w:val="231F20"/>
          <w:spacing w:val="-5"/>
          <w:sz w:val="16"/>
        </w:rPr>
        <w:t> </w:t>
      </w:r>
      <w:r>
        <w:rPr>
          <w:color w:val="231F20"/>
          <w:sz w:val="16"/>
        </w:rPr>
        <w:t>y</w:t>
      </w:r>
      <w:r>
        <w:rPr>
          <w:color w:val="231F20"/>
          <w:spacing w:val="-5"/>
          <w:sz w:val="16"/>
        </w:rPr>
        <w:t> </w:t>
      </w:r>
      <w:r>
        <w:rPr>
          <w:color w:val="231F20"/>
          <w:sz w:val="16"/>
        </w:rPr>
        <w:t>2</w:t>
      </w:r>
      <w:r>
        <w:rPr>
          <w:color w:val="231F20"/>
          <w:spacing w:val="-5"/>
          <w:sz w:val="16"/>
        </w:rPr>
        <w:t> </w:t>
      </w:r>
      <w:r>
        <w:rPr>
          <w:color w:val="231F20"/>
          <w:sz w:val="16"/>
        </w:rPr>
        <w:t>días</w:t>
      </w:r>
      <w:r>
        <w:rPr>
          <w:color w:val="231F20"/>
          <w:spacing w:val="-5"/>
          <w:sz w:val="16"/>
        </w:rPr>
        <w:t> </w:t>
      </w:r>
      <w:r>
        <w:rPr>
          <w:color w:val="231F20"/>
          <w:sz w:val="16"/>
        </w:rPr>
        <w:t>fuera</w:t>
      </w:r>
      <w:r>
        <w:rPr>
          <w:color w:val="231F20"/>
          <w:spacing w:val="-5"/>
          <w:sz w:val="16"/>
        </w:rPr>
        <w:t> </w:t>
      </w:r>
      <w:r>
        <w:rPr>
          <w:color w:val="231F20"/>
          <w:sz w:val="16"/>
        </w:rPr>
        <w:t>del</w:t>
      </w:r>
      <w:r>
        <w:rPr>
          <w:color w:val="231F20"/>
          <w:spacing w:val="-5"/>
          <w:sz w:val="16"/>
        </w:rPr>
        <w:t> </w:t>
      </w:r>
      <w:r>
        <w:rPr>
          <w:color w:val="231F20"/>
          <w:sz w:val="16"/>
        </w:rPr>
        <w:t>gobierno, lo que equivalió al </w:t>
      </w:r>
      <w:r>
        <w:rPr>
          <w:color w:val="231F20"/>
          <w:spacing w:val="-3"/>
          <w:sz w:val="16"/>
        </w:rPr>
        <w:t>19% </w:t>
      </w:r>
      <w:r>
        <w:rPr>
          <w:color w:val="231F20"/>
          <w:sz w:val="16"/>
        </w:rPr>
        <w:t>del tiempo por el que fue electo. El problema radica en que en la mayoría de esos permisos, el ex presidente</w:t>
      </w:r>
      <w:r>
        <w:rPr>
          <w:color w:val="231F20"/>
          <w:spacing w:val="-4"/>
          <w:sz w:val="16"/>
        </w:rPr>
        <w:t> </w:t>
      </w:r>
      <w:r>
        <w:rPr>
          <w:color w:val="231F20"/>
          <w:sz w:val="16"/>
        </w:rPr>
        <w:t>municipal</w:t>
      </w:r>
      <w:r>
        <w:rPr>
          <w:color w:val="231F20"/>
          <w:spacing w:val="-4"/>
          <w:sz w:val="16"/>
        </w:rPr>
        <w:t> </w:t>
      </w:r>
      <w:r>
        <w:rPr>
          <w:color w:val="231F20"/>
          <w:sz w:val="16"/>
        </w:rPr>
        <w:t>se</w:t>
      </w:r>
      <w:r>
        <w:rPr>
          <w:color w:val="231F20"/>
          <w:spacing w:val="-4"/>
          <w:sz w:val="16"/>
        </w:rPr>
        <w:t> </w:t>
      </w:r>
      <w:r>
        <w:rPr>
          <w:color w:val="231F20"/>
          <w:sz w:val="16"/>
        </w:rPr>
        <w:t>abocaba</w:t>
      </w:r>
      <w:r>
        <w:rPr>
          <w:color w:val="231F20"/>
          <w:spacing w:val="-4"/>
          <w:sz w:val="16"/>
        </w:rPr>
        <w:t> </w:t>
      </w:r>
      <w:r>
        <w:rPr>
          <w:color w:val="231F20"/>
          <w:sz w:val="16"/>
        </w:rPr>
        <w:t>a</w:t>
      </w:r>
      <w:r>
        <w:rPr>
          <w:color w:val="231F20"/>
          <w:spacing w:val="-4"/>
          <w:sz w:val="16"/>
        </w:rPr>
        <w:t> </w:t>
      </w:r>
      <w:r>
        <w:rPr>
          <w:color w:val="231F20"/>
          <w:sz w:val="16"/>
        </w:rPr>
        <w:t>tareas</w:t>
      </w:r>
      <w:r>
        <w:rPr>
          <w:color w:val="231F20"/>
          <w:spacing w:val="-4"/>
          <w:sz w:val="16"/>
        </w:rPr>
        <w:t> </w:t>
      </w:r>
      <w:r>
        <w:rPr>
          <w:color w:val="231F20"/>
          <w:sz w:val="16"/>
        </w:rPr>
        <w:t>de</w:t>
      </w:r>
      <w:r>
        <w:rPr>
          <w:color w:val="231F20"/>
          <w:spacing w:val="-4"/>
          <w:sz w:val="16"/>
        </w:rPr>
        <w:t> </w:t>
      </w:r>
      <w:r>
        <w:rPr>
          <w:color w:val="231F20"/>
          <w:sz w:val="16"/>
        </w:rPr>
        <w:t>proselitismo</w:t>
      </w:r>
      <w:r>
        <w:rPr>
          <w:color w:val="231F20"/>
          <w:spacing w:val="-4"/>
          <w:sz w:val="16"/>
        </w:rPr>
        <w:t> </w:t>
      </w:r>
      <w:r>
        <w:rPr>
          <w:color w:val="231F20"/>
          <w:sz w:val="16"/>
        </w:rPr>
        <w:t>electoral</w:t>
      </w:r>
      <w:r>
        <w:rPr>
          <w:color w:val="231F20"/>
          <w:spacing w:val="-4"/>
          <w:sz w:val="16"/>
        </w:rPr>
        <w:t> </w:t>
      </w:r>
      <w:r>
        <w:rPr>
          <w:color w:val="231F20"/>
          <w:sz w:val="16"/>
        </w:rPr>
        <w:t>a</w:t>
      </w:r>
      <w:r>
        <w:rPr>
          <w:color w:val="231F20"/>
          <w:spacing w:val="-4"/>
          <w:sz w:val="16"/>
        </w:rPr>
        <w:t> </w:t>
      </w:r>
      <w:r>
        <w:rPr>
          <w:color w:val="231F20"/>
          <w:sz w:val="16"/>
        </w:rPr>
        <w:t>favor</w:t>
      </w:r>
      <w:r>
        <w:rPr>
          <w:color w:val="231F20"/>
          <w:spacing w:val="-4"/>
          <w:sz w:val="16"/>
        </w:rPr>
        <w:t> </w:t>
      </w:r>
      <w:r>
        <w:rPr>
          <w:color w:val="231F20"/>
          <w:sz w:val="16"/>
        </w:rPr>
        <w:t>del</w:t>
      </w:r>
      <w:r>
        <w:rPr>
          <w:color w:val="231F20"/>
          <w:spacing w:val="-4"/>
          <w:sz w:val="16"/>
        </w:rPr>
        <w:t> PAN </w:t>
      </w:r>
      <w:r>
        <w:rPr>
          <w:color w:val="231F20"/>
          <w:sz w:val="16"/>
        </w:rPr>
        <w:t>en</w:t>
      </w:r>
      <w:r>
        <w:rPr>
          <w:color w:val="231F20"/>
          <w:spacing w:val="-4"/>
          <w:sz w:val="16"/>
        </w:rPr>
        <w:t> </w:t>
      </w:r>
      <w:r>
        <w:rPr>
          <w:color w:val="231F20"/>
          <w:sz w:val="16"/>
        </w:rPr>
        <w:t>la</w:t>
      </w:r>
      <w:r>
        <w:rPr>
          <w:color w:val="231F20"/>
          <w:spacing w:val="-4"/>
          <w:sz w:val="16"/>
        </w:rPr>
        <w:t> </w:t>
      </w:r>
      <w:r>
        <w:rPr>
          <w:color w:val="231F20"/>
          <w:sz w:val="16"/>
        </w:rPr>
        <w:t>contiendas</w:t>
      </w:r>
      <w:r>
        <w:rPr>
          <w:color w:val="231F20"/>
          <w:spacing w:val="-4"/>
          <w:sz w:val="16"/>
        </w:rPr>
        <w:t> </w:t>
      </w:r>
      <w:r>
        <w:rPr>
          <w:color w:val="231F20"/>
          <w:sz w:val="16"/>
        </w:rPr>
        <w:t>por</w:t>
      </w:r>
      <w:r>
        <w:rPr>
          <w:color w:val="231F20"/>
          <w:spacing w:val="-4"/>
          <w:sz w:val="16"/>
        </w:rPr>
        <w:t> </w:t>
      </w:r>
      <w:r>
        <w:rPr>
          <w:color w:val="231F20"/>
          <w:sz w:val="16"/>
        </w:rPr>
        <w:t>la</w:t>
      </w:r>
      <w:r>
        <w:rPr>
          <w:color w:val="231F20"/>
          <w:spacing w:val="-4"/>
          <w:sz w:val="16"/>
        </w:rPr>
        <w:t> </w:t>
      </w:r>
      <w:r>
        <w:rPr>
          <w:color w:val="231F20"/>
          <w:sz w:val="16"/>
        </w:rPr>
        <w:t>gubernatura</w:t>
      </w:r>
      <w:r>
        <w:rPr>
          <w:color w:val="231F20"/>
          <w:spacing w:val="-4"/>
          <w:sz w:val="16"/>
        </w:rPr>
        <w:t> </w:t>
      </w:r>
      <w:r>
        <w:rPr>
          <w:color w:val="231F20"/>
          <w:sz w:val="16"/>
        </w:rPr>
        <w:t>del Estado</w:t>
      </w:r>
      <w:r>
        <w:rPr>
          <w:color w:val="231F20"/>
          <w:spacing w:val="-15"/>
          <w:sz w:val="16"/>
        </w:rPr>
        <w:t> </w:t>
      </w:r>
      <w:r>
        <w:rPr>
          <w:color w:val="231F20"/>
          <w:sz w:val="16"/>
        </w:rPr>
        <w:t>de</w:t>
      </w:r>
      <w:r>
        <w:rPr>
          <w:color w:val="231F20"/>
          <w:spacing w:val="-15"/>
          <w:sz w:val="16"/>
        </w:rPr>
        <w:t> </w:t>
      </w:r>
      <w:r>
        <w:rPr>
          <w:color w:val="231F20"/>
          <w:sz w:val="16"/>
        </w:rPr>
        <w:t>México</w:t>
      </w:r>
      <w:r>
        <w:rPr>
          <w:color w:val="231F20"/>
          <w:spacing w:val="-15"/>
          <w:sz w:val="16"/>
        </w:rPr>
        <w:t> </w:t>
      </w:r>
      <w:r>
        <w:rPr>
          <w:color w:val="231F20"/>
          <w:sz w:val="16"/>
        </w:rPr>
        <w:t>(Mendoza</w:t>
      </w:r>
      <w:r>
        <w:rPr>
          <w:color w:val="231F20"/>
          <w:spacing w:val="-15"/>
          <w:sz w:val="16"/>
        </w:rPr>
        <w:t> </w:t>
      </w:r>
      <w:r>
        <w:rPr>
          <w:color w:val="231F20"/>
          <w:sz w:val="16"/>
        </w:rPr>
        <w:t>Ayala),</w:t>
      </w:r>
      <w:r>
        <w:rPr>
          <w:color w:val="231F20"/>
          <w:spacing w:val="-15"/>
          <w:sz w:val="16"/>
        </w:rPr>
        <w:t> </w:t>
      </w:r>
      <w:r>
        <w:rPr>
          <w:color w:val="231F20"/>
          <w:sz w:val="16"/>
        </w:rPr>
        <w:t>por</w:t>
      </w:r>
      <w:r>
        <w:rPr>
          <w:color w:val="231F20"/>
          <w:spacing w:val="-15"/>
          <w:sz w:val="16"/>
        </w:rPr>
        <w:t> </w:t>
      </w:r>
      <w:r>
        <w:rPr>
          <w:color w:val="231F20"/>
          <w:sz w:val="16"/>
        </w:rPr>
        <w:t>la</w:t>
      </w:r>
      <w:r>
        <w:rPr>
          <w:color w:val="231F20"/>
          <w:spacing w:val="-15"/>
          <w:sz w:val="16"/>
        </w:rPr>
        <w:t> </w:t>
      </w:r>
      <w:r>
        <w:rPr>
          <w:color w:val="231F20"/>
          <w:sz w:val="16"/>
        </w:rPr>
        <w:t>Presidencia</w:t>
      </w:r>
      <w:r>
        <w:rPr>
          <w:color w:val="231F20"/>
          <w:spacing w:val="-15"/>
          <w:sz w:val="16"/>
        </w:rPr>
        <w:t> </w:t>
      </w:r>
      <w:r>
        <w:rPr>
          <w:color w:val="231F20"/>
          <w:sz w:val="16"/>
        </w:rPr>
        <w:t>de</w:t>
      </w:r>
      <w:r>
        <w:rPr>
          <w:color w:val="231F20"/>
          <w:spacing w:val="-15"/>
          <w:sz w:val="16"/>
        </w:rPr>
        <w:t> </w:t>
      </w:r>
      <w:r>
        <w:rPr>
          <w:color w:val="231F20"/>
          <w:sz w:val="16"/>
        </w:rPr>
        <w:t>la</w:t>
      </w:r>
      <w:r>
        <w:rPr>
          <w:color w:val="231F20"/>
          <w:spacing w:val="-15"/>
          <w:sz w:val="16"/>
        </w:rPr>
        <w:t> </w:t>
      </w:r>
      <w:r>
        <w:rPr>
          <w:color w:val="231F20"/>
          <w:sz w:val="16"/>
        </w:rPr>
        <w:t>República</w:t>
      </w:r>
      <w:r>
        <w:rPr>
          <w:color w:val="231F20"/>
          <w:spacing w:val="-15"/>
          <w:sz w:val="16"/>
        </w:rPr>
        <w:t> </w:t>
      </w:r>
      <w:r>
        <w:rPr>
          <w:color w:val="231F20"/>
          <w:sz w:val="16"/>
        </w:rPr>
        <w:t>(Felipe</w:t>
      </w:r>
      <w:r>
        <w:rPr>
          <w:color w:val="231F20"/>
          <w:spacing w:val="-15"/>
          <w:sz w:val="16"/>
        </w:rPr>
        <w:t> </w:t>
      </w:r>
      <w:r>
        <w:rPr>
          <w:color w:val="231F20"/>
          <w:sz w:val="16"/>
        </w:rPr>
        <w:t>Calderón)</w:t>
      </w:r>
      <w:r>
        <w:rPr>
          <w:color w:val="231F20"/>
          <w:spacing w:val="-15"/>
          <w:sz w:val="16"/>
        </w:rPr>
        <w:t> </w:t>
      </w:r>
      <w:r>
        <w:rPr>
          <w:color w:val="231F20"/>
          <w:sz w:val="16"/>
        </w:rPr>
        <w:t>y</w:t>
      </w:r>
      <w:r>
        <w:rPr>
          <w:color w:val="231F20"/>
          <w:spacing w:val="-15"/>
          <w:sz w:val="16"/>
        </w:rPr>
        <w:t> </w:t>
      </w:r>
      <w:r>
        <w:rPr>
          <w:color w:val="231F20"/>
          <w:sz w:val="16"/>
        </w:rPr>
        <w:t>la</w:t>
      </w:r>
      <w:r>
        <w:rPr>
          <w:color w:val="231F20"/>
          <w:spacing w:val="-15"/>
          <w:sz w:val="16"/>
        </w:rPr>
        <w:t> </w:t>
      </w:r>
      <w:r>
        <w:rPr>
          <w:color w:val="231F20"/>
          <w:sz w:val="16"/>
        </w:rPr>
        <w:t>suya</w:t>
      </w:r>
      <w:r>
        <w:rPr>
          <w:color w:val="231F20"/>
          <w:spacing w:val="-15"/>
          <w:sz w:val="16"/>
        </w:rPr>
        <w:t> </w:t>
      </w:r>
      <w:r>
        <w:rPr>
          <w:color w:val="231F20"/>
          <w:sz w:val="16"/>
        </w:rPr>
        <w:t>hacia</w:t>
      </w:r>
      <w:r>
        <w:rPr>
          <w:color w:val="231F20"/>
          <w:spacing w:val="-15"/>
          <w:sz w:val="16"/>
        </w:rPr>
        <w:t> </w:t>
      </w:r>
      <w:r>
        <w:rPr>
          <w:color w:val="231F20"/>
          <w:sz w:val="16"/>
        </w:rPr>
        <w:t>el</w:t>
      </w:r>
      <w:r>
        <w:rPr>
          <w:color w:val="231F20"/>
          <w:spacing w:val="-15"/>
          <w:sz w:val="16"/>
        </w:rPr>
        <w:t> </w:t>
      </w:r>
      <w:r>
        <w:rPr>
          <w:color w:val="231F20"/>
          <w:sz w:val="16"/>
        </w:rPr>
        <w:t>Senado.</w:t>
      </w:r>
      <w:r>
        <w:rPr>
          <w:color w:val="231F20"/>
          <w:spacing w:val="-15"/>
          <w:sz w:val="16"/>
        </w:rPr>
        <w:t> </w:t>
      </w:r>
      <w:r>
        <w:rPr>
          <w:color w:val="231F20"/>
          <w:sz w:val="16"/>
        </w:rPr>
        <w:t>El</w:t>
      </w:r>
      <w:r>
        <w:rPr>
          <w:color w:val="231F20"/>
          <w:spacing w:val="-15"/>
          <w:sz w:val="16"/>
        </w:rPr>
        <w:t> </w:t>
      </w:r>
      <w:r>
        <w:rPr>
          <w:color w:val="231F20"/>
          <w:sz w:val="16"/>
        </w:rPr>
        <w:t>Universal, </w:t>
      </w:r>
      <w:r>
        <w:rPr>
          <w:color w:val="231F20"/>
          <w:spacing w:val="-6"/>
          <w:sz w:val="16"/>
        </w:rPr>
        <w:t>13</w:t>
      </w:r>
      <w:r>
        <w:rPr>
          <w:color w:val="231F20"/>
          <w:spacing w:val="-12"/>
          <w:sz w:val="16"/>
        </w:rPr>
        <w:t> </w:t>
      </w:r>
      <w:r>
        <w:rPr>
          <w:color w:val="231F20"/>
          <w:sz w:val="16"/>
        </w:rPr>
        <w:t>de</w:t>
      </w:r>
      <w:r>
        <w:rPr>
          <w:color w:val="231F20"/>
          <w:spacing w:val="-12"/>
          <w:sz w:val="16"/>
        </w:rPr>
        <w:t> </w:t>
      </w:r>
      <w:r>
        <w:rPr>
          <w:color w:val="231F20"/>
          <w:sz w:val="16"/>
        </w:rPr>
        <w:t>julio</w:t>
      </w:r>
      <w:r>
        <w:rPr>
          <w:color w:val="231F20"/>
          <w:spacing w:val="-12"/>
          <w:sz w:val="16"/>
        </w:rPr>
        <w:t> </w:t>
      </w:r>
      <w:r>
        <w:rPr>
          <w:color w:val="231F20"/>
          <w:sz w:val="16"/>
        </w:rPr>
        <w:t>de</w:t>
      </w:r>
      <w:r>
        <w:rPr>
          <w:color w:val="231F20"/>
          <w:spacing w:val="-12"/>
          <w:sz w:val="16"/>
        </w:rPr>
        <w:t> </w:t>
      </w:r>
      <w:r>
        <w:rPr>
          <w:color w:val="231F20"/>
          <w:sz w:val="16"/>
        </w:rPr>
        <w:t>2006.</w:t>
      </w:r>
      <w:r>
        <w:rPr>
          <w:color w:val="231F20"/>
          <w:spacing w:val="-12"/>
          <w:sz w:val="16"/>
        </w:rPr>
        <w:t> </w:t>
      </w:r>
      <w:r>
        <w:rPr>
          <w:color w:val="231F20"/>
          <w:sz w:val="16"/>
        </w:rPr>
        <w:t>Incluso</w:t>
      </w:r>
      <w:r>
        <w:rPr>
          <w:color w:val="231F20"/>
          <w:spacing w:val="-12"/>
          <w:sz w:val="16"/>
        </w:rPr>
        <w:t> </w:t>
      </w:r>
      <w:r>
        <w:rPr>
          <w:color w:val="231F20"/>
          <w:sz w:val="16"/>
        </w:rPr>
        <w:t>se</w:t>
      </w:r>
      <w:r>
        <w:rPr>
          <w:color w:val="231F20"/>
          <w:spacing w:val="-12"/>
          <w:sz w:val="16"/>
        </w:rPr>
        <w:t> </w:t>
      </w:r>
      <w:r>
        <w:rPr>
          <w:color w:val="231F20"/>
          <w:sz w:val="16"/>
        </w:rPr>
        <w:t>haría</w:t>
      </w:r>
      <w:r>
        <w:rPr>
          <w:color w:val="231F20"/>
          <w:spacing w:val="-12"/>
          <w:sz w:val="16"/>
        </w:rPr>
        <w:t> </w:t>
      </w:r>
      <w:r>
        <w:rPr>
          <w:color w:val="231F20"/>
          <w:sz w:val="16"/>
        </w:rPr>
        <w:t>acreedor</w:t>
      </w:r>
      <w:r>
        <w:rPr>
          <w:color w:val="231F20"/>
          <w:spacing w:val="-12"/>
          <w:sz w:val="16"/>
        </w:rPr>
        <w:t> </w:t>
      </w:r>
      <w:r>
        <w:rPr>
          <w:color w:val="231F20"/>
          <w:sz w:val="16"/>
        </w:rPr>
        <w:t>a</w:t>
      </w:r>
      <w:r>
        <w:rPr>
          <w:color w:val="231F20"/>
          <w:spacing w:val="-12"/>
          <w:sz w:val="16"/>
        </w:rPr>
        <w:t> </w:t>
      </w:r>
      <w:r>
        <w:rPr>
          <w:color w:val="231F20"/>
          <w:sz w:val="16"/>
        </w:rPr>
        <w:t>una</w:t>
      </w:r>
      <w:r>
        <w:rPr>
          <w:color w:val="231F20"/>
          <w:spacing w:val="-12"/>
          <w:sz w:val="16"/>
        </w:rPr>
        <w:t> </w:t>
      </w:r>
      <w:r>
        <w:rPr>
          <w:color w:val="231F20"/>
          <w:sz w:val="16"/>
        </w:rPr>
        <w:t>denuncia</w:t>
      </w:r>
      <w:r>
        <w:rPr>
          <w:color w:val="231F20"/>
          <w:spacing w:val="-12"/>
          <w:sz w:val="16"/>
        </w:rPr>
        <w:t> </w:t>
      </w:r>
      <w:r>
        <w:rPr>
          <w:color w:val="231F20"/>
          <w:sz w:val="16"/>
        </w:rPr>
        <w:t>de</w:t>
      </w:r>
      <w:r>
        <w:rPr>
          <w:color w:val="231F20"/>
          <w:spacing w:val="-12"/>
          <w:sz w:val="16"/>
        </w:rPr>
        <w:t> </w:t>
      </w:r>
      <w:r>
        <w:rPr>
          <w:color w:val="231F20"/>
          <w:sz w:val="16"/>
        </w:rPr>
        <w:t>parte</w:t>
      </w:r>
      <w:r>
        <w:rPr>
          <w:color w:val="231F20"/>
          <w:spacing w:val="-12"/>
          <w:sz w:val="16"/>
        </w:rPr>
        <w:t> </w:t>
      </w:r>
      <w:r>
        <w:rPr>
          <w:color w:val="231F20"/>
          <w:sz w:val="16"/>
        </w:rPr>
        <w:t>del</w:t>
      </w:r>
      <w:r>
        <w:rPr>
          <w:color w:val="231F20"/>
          <w:spacing w:val="-12"/>
          <w:sz w:val="16"/>
        </w:rPr>
        <w:t> </w:t>
      </w:r>
      <w:r>
        <w:rPr>
          <w:color w:val="231F20"/>
          <w:sz w:val="16"/>
        </w:rPr>
        <w:t>IEEM</w:t>
      </w:r>
      <w:r>
        <w:rPr>
          <w:color w:val="231F20"/>
          <w:spacing w:val="-12"/>
          <w:sz w:val="16"/>
        </w:rPr>
        <w:t> </w:t>
      </w:r>
      <w:r>
        <w:rPr>
          <w:color w:val="231F20"/>
          <w:sz w:val="16"/>
        </w:rPr>
        <w:t>ante</w:t>
      </w:r>
      <w:r>
        <w:rPr>
          <w:color w:val="231F20"/>
          <w:spacing w:val="-12"/>
          <w:sz w:val="16"/>
        </w:rPr>
        <w:t> </w:t>
      </w:r>
      <w:r>
        <w:rPr>
          <w:color w:val="231F20"/>
          <w:sz w:val="16"/>
        </w:rPr>
        <w:t>la</w:t>
      </w:r>
      <w:r>
        <w:rPr>
          <w:color w:val="231F20"/>
          <w:spacing w:val="-12"/>
          <w:sz w:val="16"/>
        </w:rPr>
        <w:t> </w:t>
      </w:r>
      <w:r>
        <w:rPr>
          <w:color w:val="231F20"/>
          <w:sz w:val="16"/>
        </w:rPr>
        <w:t>Contraloría</w:t>
      </w:r>
      <w:r>
        <w:rPr>
          <w:color w:val="231F20"/>
          <w:spacing w:val="-12"/>
          <w:sz w:val="16"/>
        </w:rPr>
        <w:t> </w:t>
      </w:r>
      <w:r>
        <w:rPr>
          <w:color w:val="231F20"/>
          <w:sz w:val="16"/>
        </w:rPr>
        <w:t>Interna</w:t>
      </w:r>
      <w:r>
        <w:rPr>
          <w:color w:val="231F20"/>
          <w:spacing w:val="-12"/>
          <w:sz w:val="16"/>
        </w:rPr>
        <w:t> </w:t>
      </w:r>
      <w:r>
        <w:rPr>
          <w:color w:val="231F20"/>
          <w:sz w:val="16"/>
        </w:rPr>
        <w:t>del</w:t>
      </w:r>
      <w:r>
        <w:rPr>
          <w:color w:val="231F20"/>
          <w:spacing w:val="-12"/>
          <w:sz w:val="16"/>
        </w:rPr>
        <w:t> </w:t>
      </w:r>
      <w:r>
        <w:rPr>
          <w:color w:val="231F20"/>
          <w:sz w:val="16"/>
        </w:rPr>
        <w:t>Poder</w:t>
      </w:r>
      <w:r>
        <w:rPr>
          <w:color w:val="231F20"/>
          <w:spacing w:val="-12"/>
          <w:sz w:val="16"/>
        </w:rPr>
        <w:t> </w:t>
      </w:r>
      <w:r>
        <w:rPr>
          <w:color w:val="231F20"/>
          <w:sz w:val="16"/>
        </w:rPr>
        <w:t>Legislati- vo</w:t>
      </w:r>
      <w:r>
        <w:rPr>
          <w:color w:val="231F20"/>
          <w:spacing w:val="-11"/>
          <w:sz w:val="16"/>
        </w:rPr>
        <w:t> </w:t>
      </w:r>
      <w:r>
        <w:rPr>
          <w:color w:val="231F20"/>
          <w:sz w:val="16"/>
        </w:rPr>
        <w:t>por</w:t>
      </w:r>
      <w:r>
        <w:rPr>
          <w:color w:val="231F20"/>
          <w:spacing w:val="-11"/>
          <w:sz w:val="16"/>
        </w:rPr>
        <w:t> </w:t>
      </w:r>
      <w:r>
        <w:rPr>
          <w:color w:val="231F20"/>
          <w:sz w:val="16"/>
        </w:rPr>
        <w:t>su</w:t>
      </w:r>
      <w:r>
        <w:rPr>
          <w:color w:val="231F20"/>
          <w:spacing w:val="-11"/>
          <w:sz w:val="16"/>
        </w:rPr>
        <w:t> </w:t>
      </w:r>
      <w:r>
        <w:rPr>
          <w:color w:val="231F20"/>
          <w:sz w:val="16"/>
        </w:rPr>
        <w:t>presunta</w:t>
      </w:r>
      <w:r>
        <w:rPr>
          <w:color w:val="231F20"/>
          <w:spacing w:val="-11"/>
          <w:sz w:val="16"/>
        </w:rPr>
        <w:t> </w:t>
      </w:r>
      <w:r>
        <w:rPr>
          <w:color w:val="231F20"/>
          <w:sz w:val="16"/>
        </w:rPr>
        <w:t>participación</w:t>
      </w:r>
      <w:r>
        <w:rPr>
          <w:color w:val="231F20"/>
          <w:spacing w:val="-11"/>
          <w:sz w:val="16"/>
        </w:rPr>
        <w:t> </w:t>
      </w:r>
      <w:r>
        <w:rPr>
          <w:color w:val="231F20"/>
          <w:sz w:val="16"/>
        </w:rPr>
        <w:t>en</w:t>
      </w:r>
      <w:r>
        <w:rPr>
          <w:color w:val="231F20"/>
          <w:spacing w:val="-11"/>
          <w:sz w:val="16"/>
        </w:rPr>
        <w:t> </w:t>
      </w:r>
      <w:r>
        <w:rPr>
          <w:color w:val="231F20"/>
          <w:sz w:val="16"/>
        </w:rPr>
        <w:t>actos</w:t>
      </w:r>
      <w:r>
        <w:rPr>
          <w:color w:val="231F20"/>
          <w:spacing w:val="-11"/>
          <w:sz w:val="16"/>
        </w:rPr>
        <w:t> </w:t>
      </w:r>
      <w:r>
        <w:rPr>
          <w:color w:val="231F20"/>
          <w:sz w:val="16"/>
        </w:rPr>
        <w:t>proselitistas</w:t>
      </w:r>
      <w:r>
        <w:rPr>
          <w:color w:val="231F20"/>
          <w:spacing w:val="-11"/>
          <w:sz w:val="16"/>
        </w:rPr>
        <w:t> </w:t>
      </w:r>
      <w:r>
        <w:rPr>
          <w:color w:val="231F20"/>
          <w:sz w:val="16"/>
        </w:rPr>
        <w:t>del</w:t>
      </w:r>
      <w:r>
        <w:rPr>
          <w:color w:val="231F20"/>
          <w:spacing w:val="-11"/>
          <w:sz w:val="16"/>
        </w:rPr>
        <w:t> </w:t>
      </w:r>
      <w:r>
        <w:rPr>
          <w:color w:val="231F20"/>
          <w:sz w:val="16"/>
        </w:rPr>
        <w:t>candidato</w:t>
      </w:r>
      <w:r>
        <w:rPr>
          <w:color w:val="231F20"/>
          <w:spacing w:val="-11"/>
          <w:sz w:val="16"/>
        </w:rPr>
        <w:t> </w:t>
      </w:r>
      <w:r>
        <w:rPr>
          <w:color w:val="231F20"/>
          <w:sz w:val="16"/>
        </w:rPr>
        <w:t>panista</w:t>
      </w:r>
      <w:r>
        <w:rPr>
          <w:color w:val="231F20"/>
          <w:spacing w:val="-11"/>
          <w:sz w:val="16"/>
        </w:rPr>
        <w:t> </w:t>
      </w:r>
      <w:r>
        <w:rPr>
          <w:color w:val="231F20"/>
          <w:sz w:val="16"/>
        </w:rPr>
        <w:t>a</w:t>
      </w:r>
      <w:r>
        <w:rPr>
          <w:color w:val="231F20"/>
          <w:spacing w:val="-11"/>
          <w:sz w:val="16"/>
        </w:rPr>
        <w:t> </w:t>
      </w:r>
      <w:r>
        <w:rPr>
          <w:color w:val="231F20"/>
          <w:sz w:val="16"/>
        </w:rPr>
        <w:t>la</w:t>
      </w:r>
      <w:r>
        <w:rPr>
          <w:color w:val="231F20"/>
          <w:spacing w:val="-11"/>
          <w:sz w:val="16"/>
        </w:rPr>
        <w:t> </w:t>
      </w:r>
      <w:r>
        <w:rPr>
          <w:color w:val="231F20"/>
          <w:sz w:val="16"/>
        </w:rPr>
        <w:t>Presidencia</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República,</w:t>
      </w:r>
      <w:r>
        <w:rPr>
          <w:color w:val="231F20"/>
          <w:spacing w:val="-11"/>
          <w:sz w:val="16"/>
        </w:rPr>
        <w:t> </w:t>
      </w:r>
      <w:r>
        <w:rPr>
          <w:color w:val="231F20"/>
          <w:sz w:val="16"/>
        </w:rPr>
        <w:t>Felipe</w:t>
      </w:r>
      <w:r>
        <w:rPr>
          <w:color w:val="231F20"/>
          <w:spacing w:val="-11"/>
          <w:sz w:val="16"/>
        </w:rPr>
        <w:t> </w:t>
      </w:r>
      <w:r>
        <w:rPr>
          <w:color w:val="231F20"/>
          <w:sz w:val="16"/>
        </w:rPr>
        <w:t>Calderón Hinojosa.</w:t>
      </w:r>
      <w:r>
        <w:rPr>
          <w:color w:val="231F20"/>
          <w:spacing w:val="-9"/>
          <w:sz w:val="16"/>
        </w:rPr>
        <w:t> </w:t>
      </w:r>
      <w:r>
        <w:rPr>
          <w:color w:val="231F20"/>
          <w:sz w:val="16"/>
        </w:rPr>
        <w:t>Miércoles</w:t>
      </w:r>
      <w:r>
        <w:rPr>
          <w:color w:val="231F20"/>
          <w:spacing w:val="-9"/>
          <w:sz w:val="16"/>
        </w:rPr>
        <w:t> </w:t>
      </w:r>
      <w:r>
        <w:rPr>
          <w:color w:val="231F20"/>
          <w:sz w:val="16"/>
        </w:rPr>
        <w:t>08</w:t>
      </w:r>
      <w:r>
        <w:rPr>
          <w:color w:val="231F20"/>
          <w:spacing w:val="-9"/>
          <w:sz w:val="16"/>
        </w:rPr>
        <w:t> </w:t>
      </w:r>
      <w:r>
        <w:rPr>
          <w:color w:val="231F20"/>
          <w:sz w:val="16"/>
        </w:rPr>
        <w:t>de</w:t>
      </w:r>
      <w:r>
        <w:rPr>
          <w:color w:val="231F20"/>
          <w:spacing w:val="-9"/>
          <w:sz w:val="16"/>
        </w:rPr>
        <w:t> </w:t>
      </w:r>
      <w:r>
        <w:rPr>
          <w:color w:val="231F20"/>
          <w:sz w:val="16"/>
        </w:rPr>
        <w:t>marzo</w:t>
      </w:r>
      <w:r>
        <w:rPr>
          <w:color w:val="231F20"/>
          <w:spacing w:val="-9"/>
          <w:sz w:val="16"/>
        </w:rPr>
        <w:t> </w:t>
      </w:r>
      <w:r>
        <w:rPr>
          <w:color w:val="231F20"/>
          <w:sz w:val="16"/>
        </w:rPr>
        <w:t>de</w:t>
      </w:r>
      <w:r>
        <w:rPr>
          <w:color w:val="231F20"/>
          <w:spacing w:val="-9"/>
          <w:sz w:val="16"/>
        </w:rPr>
        <w:t> </w:t>
      </w:r>
      <w:r>
        <w:rPr>
          <w:color w:val="231F20"/>
          <w:sz w:val="16"/>
        </w:rPr>
        <w:t>2006.</w:t>
      </w:r>
      <w:r>
        <w:rPr>
          <w:color w:val="231F20"/>
          <w:spacing w:val="-9"/>
          <w:sz w:val="16"/>
        </w:rPr>
        <w:t> </w:t>
      </w:r>
      <w:r>
        <w:rPr>
          <w:color w:val="231F20"/>
          <w:sz w:val="16"/>
        </w:rPr>
        <w:t>Por</w:t>
      </w:r>
      <w:r>
        <w:rPr>
          <w:color w:val="231F20"/>
          <w:spacing w:val="-9"/>
          <w:sz w:val="16"/>
        </w:rPr>
        <w:t> </w:t>
      </w:r>
      <w:r>
        <w:rPr>
          <w:color w:val="231F20"/>
          <w:sz w:val="16"/>
        </w:rPr>
        <w:t>ello,</w:t>
      </w:r>
      <w:r>
        <w:rPr>
          <w:color w:val="231F20"/>
          <w:spacing w:val="-9"/>
          <w:sz w:val="16"/>
        </w:rPr>
        <w:t> </w:t>
      </w:r>
      <w:r>
        <w:rPr>
          <w:color w:val="231F20"/>
          <w:sz w:val="16"/>
        </w:rPr>
        <w:t>al</w:t>
      </w:r>
      <w:r>
        <w:rPr>
          <w:color w:val="231F20"/>
          <w:spacing w:val="-9"/>
          <w:sz w:val="16"/>
        </w:rPr>
        <w:t> </w:t>
      </w:r>
      <w:r>
        <w:rPr>
          <w:color w:val="231F20"/>
          <w:sz w:val="16"/>
        </w:rPr>
        <w:t>final</w:t>
      </w:r>
      <w:r>
        <w:rPr>
          <w:color w:val="231F20"/>
          <w:spacing w:val="-9"/>
          <w:sz w:val="16"/>
        </w:rPr>
        <w:t> </w:t>
      </w:r>
      <w:r>
        <w:rPr>
          <w:color w:val="231F20"/>
          <w:sz w:val="16"/>
        </w:rPr>
        <w:t>del</w:t>
      </w:r>
      <w:r>
        <w:rPr>
          <w:color w:val="231F20"/>
          <w:spacing w:val="-9"/>
          <w:sz w:val="16"/>
        </w:rPr>
        <w:t> </w:t>
      </w:r>
      <w:r>
        <w:rPr>
          <w:color w:val="231F20"/>
          <w:sz w:val="16"/>
        </w:rPr>
        <w:t>periodo</w:t>
      </w:r>
      <w:r>
        <w:rPr>
          <w:color w:val="231F20"/>
          <w:spacing w:val="-9"/>
          <w:sz w:val="16"/>
        </w:rPr>
        <w:t> </w:t>
      </w:r>
      <w:r>
        <w:rPr>
          <w:color w:val="231F20"/>
          <w:sz w:val="16"/>
        </w:rPr>
        <w:t>asumió</w:t>
      </w:r>
      <w:r>
        <w:rPr>
          <w:color w:val="231F20"/>
          <w:spacing w:val="-9"/>
          <w:sz w:val="16"/>
        </w:rPr>
        <w:t> </w:t>
      </w:r>
      <w:r>
        <w:rPr>
          <w:color w:val="231F20"/>
          <w:sz w:val="16"/>
        </w:rPr>
        <w:t>el</w:t>
      </w:r>
      <w:r>
        <w:rPr>
          <w:color w:val="231F20"/>
          <w:spacing w:val="-9"/>
          <w:sz w:val="16"/>
        </w:rPr>
        <w:t> </w:t>
      </w:r>
      <w:r>
        <w:rPr>
          <w:color w:val="231F20"/>
          <w:sz w:val="16"/>
        </w:rPr>
        <w:t>cargo</w:t>
      </w:r>
      <w:r>
        <w:rPr>
          <w:color w:val="231F20"/>
          <w:spacing w:val="-9"/>
          <w:sz w:val="16"/>
        </w:rPr>
        <w:t> </w:t>
      </w:r>
      <w:r>
        <w:rPr>
          <w:color w:val="231F20"/>
          <w:sz w:val="16"/>
        </w:rPr>
        <w:t>José</w:t>
      </w:r>
      <w:r>
        <w:rPr>
          <w:color w:val="231F20"/>
          <w:spacing w:val="-9"/>
          <w:sz w:val="16"/>
        </w:rPr>
        <w:t> </w:t>
      </w:r>
      <w:r>
        <w:rPr>
          <w:color w:val="231F20"/>
          <w:sz w:val="16"/>
        </w:rPr>
        <w:t>Eduardo</w:t>
      </w:r>
      <w:r>
        <w:rPr>
          <w:color w:val="231F20"/>
          <w:spacing w:val="-9"/>
          <w:sz w:val="16"/>
        </w:rPr>
        <w:t> </w:t>
      </w:r>
      <w:r>
        <w:rPr>
          <w:color w:val="231F20"/>
          <w:sz w:val="16"/>
        </w:rPr>
        <w:t>Cisneros</w:t>
      </w:r>
      <w:r>
        <w:rPr>
          <w:color w:val="231F20"/>
          <w:spacing w:val="-9"/>
          <w:sz w:val="16"/>
        </w:rPr>
        <w:t> </w:t>
      </w:r>
      <w:r>
        <w:rPr>
          <w:color w:val="231F20"/>
          <w:sz w:val="16"/>
        </w:rPr>
        <w:t>Valencia.</w:t>
      </w:r>
      <w:r>
        <w:rPr>
          <w:color w:val="231F20"/>
          <w:spacing w:val="-9"/>
          <w:sz w:val="16"/>
        </w:rPr>
        <w:t> </w:t>
      </w:r>
      <w:r>
        <w:rPr>
          <w:color w:val="231F20"/>
          <w:sz w:val="16"/>
        </w:rPr>
        <w:t>O</w:t>
      </w:r>
      <w:r>
        <w:rPr>
          <w:color w:val="231F20"/>
          <w:spacing w:val="-9"/>
          <w:sz w:val="16"/>
        </w:rPr>
        <w:t> </w:t>
      </w:r>
      <w:r>
        <w:rPr>
          <w:color w:val="231F20"/>
          <w:sz w:val="16"/>
        </w:rPr>
        <w:t>las denuncias</w:t>
      </w:r>
      <w:r>
        <w:rPr>
          <w:color w:val="231F20"/>
          <w:spacing w:val="-7"/>
          <w:sz w:val="16"/>
        </w:rPr>
        <w:t> </w:t>
      </w:r>
      <w:r>
        <w:rPr>
          <w:color w:val="231F20"/>
          <w:sz w:val="16"/>
        </w:rPr>
        <w:t>por</w:t>
      </w:r>
      <w:r>
        <w:rPr>
          <w:color w:val="231F20"/>
          <w:spacing w:val="-7"/>
          <w:sz w:val="16"/>
        </w:rPr>
        <w:t> </w:t>
      </w:r>
      <w:r>
        <w:rPr>
          <w:color w:val="231F20"/>
          <w:sz w:val="16"/>
        </w:rPr>
        <w:t>desvío</w:t>
      </w:r>
      <w:r>
        <w:rPr>
          <w:color w:val="231F20"/>
          <w:spacing w:val="-7"/>
          <w:sz w:val="16"/>
        </w:rPr>
        <w:t> </w:t>
      </w:r>
      <w:r>
        <w:rPr>
          <w:color w:val="231F20"/>
          <w:sz w:val="16"/>
        </w:rPr>
        <w:t>de</w:t>
      </w:r>
      <w:r>
        <w:rPr>
          <w:color w:val="231F20"/>
          <w:spacing w:val="-7"/>
          <w:sz w:val="16"/>
        </w:rPr>
        <w:t> </w:t>
      </w:r>
      <w:r>
        <w:rPr>
          <w:color w:val="231F20"/>
          <w:sz w:val="16"/>
        </w:rPr>
        <w:t>recursos,</w:t>
      </w:r>
      <w:r>
        <w:rPr>
          <w:color w:val="231F20"/>
          <w:spacing w:val="-7"/>
          <w:sz w:val="16"/>
        </w:rPr>
        <w:t> </w:t>
      </w:r>
      <w:r>
        <w:rPr>
          <w:color w:val="231F20"/>
          <w:sz w:val="16"/>
        </w:rPr>
        <w:t>en</w:t>
      </w:r>
      <w:r>
        <w:rPr>
          <w:color w:val="231F20"/>
          <w:spacing w:val="-7"/>
          <w:sz w:val="16"/>
        </w:rPr>
        <w:t> </w:t>
      </w:r>
      <w:r>
        <w:rPr>
          <w:color w:val="231F20"/>
          <w:sz w:val="16"/>
        </w:rPr>
        <w:t>donde</w:t>
      </w:r>
      <w:r>
        <w:rPr>
          <w:color w:val="231F20"/>
          <w:spacing w:val="-7"/>
          <w:sz w:val="16"/>
        </w:rPr>
        <w:t> </w:t>
      </w:r>
      <w:r>
        <w:rPr>
          <w:color w:val="231F20"/>
          <w:sz w:val="16"/>
        </w:rPr>
        <w:t>se</w:t>
      </w:r>
      <w:r>
        <w:rPr>
          <w:color w:val="231F20"/>
          <w:spacing w:val="-7"/>
          <w:sz w:val="16"/>
        </w:rPr>
        <w:t> </w:t>
      </w:r>
      <w:r>
        <w:rPr>
          <w:color w:val="231F20"/>
          <w:sz w:val="16"/>
        </w:rPr>
        <w:t>presumía</w:t>
      </w:r>
      <w:r>
        <w:rPr>
          <w:color w:val="231F20"/>
          <w:spacing w:val="-7"/>
          <w:sz w:val="16"/>
        </w:rPr>
        <w:t> </w:t>
      </w:r>
      <w:r>
        <w:rPr>
          <w:color w:val="231F20"/>
          <w:sz w:val="16"/>
        </w:rPr>
        <w:t>que</w:t>
      </w:r>
      <w:r>
        <w:rPr>
          <w:color w:val="231F20"/>
          <w:spacing w:val="-7"/>
          <w:sz w:val="16"/>
        </w:rPr>
        <w:t> </w:t>
      </w:r>
      <w:r>
        <w:rPr>
          <w:color w:val="231F20"/>
          <w:sz w:val="16"/>
        </w:rPr>
        <w:t>bonos</w:t>
      </w:r>
      <w:r>
        <w:rPr>
          <w:color w:val="231F20"/>
          <w:spacing w:val="-7"/>
          <w:sz w:val="16"/>
        </w:rPr>
        <w:t> </w:t>
      </w:r>
      <w:r>
        <w:rPr>
          <w:color w:val="231F20"/>
          <w:sz w:val="16"/>
        </w:rPr>
        <w:t>de</w:t>
      </w:r>
      <w:r>
        <w:rPr>
          <w:color w:val="231F20"/>
          <w:spacing w:val="-7"/>
          <w:sz w:val="16"/>
        </w:rPr>
        <w:t> </w:t>
      </w:r>
      <w:r>
        <w:rPr>
          <w:color w:val="231F20"/>
          <w:sz w:val="16"/>
        </w:rPr>
        <w:t>funcionarios</w:t>
      </w:r>
      <w:r>
        <w:rPr>
          <w:color w:val="231F20"/>
          <w:spacing w:val="-7"/>
          <w:sz w:val="16"/>
        </w:rPr>
        <w:t> </w:t>
      </w:r>
      <w:r>
        <w:rPr>
          <w:color w:val="231F20"/>
          <w:sz w:val="16"/>
        </w:rPr>
        <w:t>municipales</w:t>
      </w:r>
      <w:r>
        <w:rPr>
          <w:color w:val="231F20"/>
          <w:spacing w:val="-7"/>
          <w:sz w:val="16"/>
        </w:rPr>
        <w:t> </w:t>
      </w:r>
      <w:r>
        <w:rPr>
          <w:color w:val="231F20"/>
          <w:sz w:val="16"/>
        </w:rPr>
        <w:t>pasarían</w:t>
      </w:r>
      <w:r>
        <w:rPr>
          <w:color w:val="231F20"/>
          <w:spacing w:val="-7"/>
          <w:sz w:val="16"/>
        </w:rPr>
        <w:t> </w:t>
      </w:r>
      <w:r>
        <w:rPr>
          <w:color w:val="231F20"/>
          <w:sz w:val="16"/>
        </w:rPr>
        <w:t>presuntamente</w:t>
      </w:r>
      <w:r>
        <w:rPr>
          <w:color w:val="231F20"/>
          <w:spacing w:val="-7"/>
          <w:sz w:val="16"/>
        </w:rPr>
        <w:t> </w:t>
      </w:r>
      <w:r>
        <w:rPr>
          <w:color w:val="231F20"/>
          <w:sz w:val="16"/>
        </w:rPr>
        <w:t>a la</w:t>
      </w:r>
      <w:r>
        <w:rPr>
          <w:color w:val="231F20"/>
          <w:spacing w:val="-8"/>
          <w:sz w:val="16"/>
        </w:rPr>
        <w:t> </w:t>
      </w:r>
      <w:r>
        <w:rPr>
          <w:color w:val="231F20"/>
          <w:sz w:val="16"/>
        </w:rPr>
        <w:t>campaña</w:t>
      </w:r>
      <w:r>
        <w:rPr>
          <w:color w:val="231F20"/>
          <w:spacing w:val="-8"/>
          <w:sz w:val="16"/>
        </w:rPr>
        <w:t> </w:t>
      </w:r>
      <w:r>
        <w:rPr>
          <w:color w:val="231F20"/>
          <w:sz w:val="16"/>
        </w:rPr>
        <w:t>de</w:t>
      </w:r>
      <w:r>
        <w:rPr>
          <w:color w:val="231F20"/>
          <w:spacing w:val="-8"/>
          <w:sz w:val="16"/>
        </w:rPr>
        <w:t> </w:t>
      </w:r>
      <w:r>
        <w:rPr>
          <w:color w:val="231F20"/>
          <w:sz w:val="16"/>
        </w:rPr>
        <w:t>Calderón</w:t>
      </w:r>
      <w:r>
        <w:rPr>
          <w:color w:val="231F20"/>
          <w:spacing w:val="-8"/>
          <w:sz w:val="16"/>
        </w:rPr>
        <w:t> </w:t>
      </w:r>
      <w:r>
        <w:rPr>
          <w:color w:val="231F20"/>
          <w:sz w:val="16"/>
        </w:rPr>
        <w:t>Hinojosa.</w:t>
      </w:r>
      <w:r>
        <w:rPr>
          <w:color w:val="231F20"/>
          <w:spacing w:val="-8"/>
          <w:sz w:val="16"/>
        </w:rPr>
        <w:t> </w:t>
      </w:r>
      <w:r>
        <w:rPr>
          <w:color w:val="231F20"/>
          <w:sz w:val="16"/>
        </w:rPr>
        <w:t>El</w:t>
      </w:r>
      <w:r>
        <w:rPr>
          <w:color w:val="231F20"/>
          <w:spacing w:val="-8"/>
          <w:sz w:val="16"/>
        </w:rPr>
        <w:t> </w:t>
      </w:r>
      <w:r>
        <w:rPr>
          <w:color w:val="231F20"/>
          <w:sz w:val="16"/>
        </w:rPr>
        <w:t>Universal,</w:t>
      </w:r>
      <w:r>
        <w:rPr>
          <w:color w:val="231F20"/>
          <w:spacing w:val="-8"/>
          <w:sz w:val="16"/>
        </w:rPr>
        <w:t> </w:t>
      </w:r>
      <w:r>
        <w:rPr>
          <w:color w:val="231F20"/>
          <w:spacing w:val="-6"/>
          <w:sz w:val="16"/>
        </w:rPr>
        <w:t>17</w:t>
      </w:r>
      <w:r>
        <w:rPr>
          <w:color w:val="231F20"/>
          <w:spacing w:val="-8"/>
          <w:sz w:val="16"/>
        </w:rPr>
        <w:t> </w:t>
      </w:r>
      <w:r>
        <w:rPr>
          <w:color w:val="231F20"/>
          <w:sz w:val="16"/>
        </w:rPr>
        <w:t>de</w:t>
      </w:r>
      <w:r>
        <w:rPr>
          <w:color w:val="231F20"/>
          <w:spacing w:val="-8"/>
          <w:sz w:val="16"/>
        </w:rPr>
        <w:t> </w:t>
      </w:r>
      <w:r>
        <w:rPr>
          <w:color w:val="231F20"/>
          <w:sz w:val="16"/>
        </w:rPr>
        <w:t>junio</w:t>
      </w:r>
      <w:r>
        <w:rPr>
          <w:color w:val="231F20"/>
          <w:spacing w:val="-8"/>
          <w:sz w:val="16"/>
        </w:rPr>
        <w:t> </w:t>
      </w:r>
      <w:r>
        <w:rPr>
          <w:color w:val="231F20"/>
          <w:sz w:val="16"/>
        </w:rPr>
        <w:t>de</w:t>
      </w:r>
      <w:r>
        <w:rPr>
          <w:color w:val="231F20"/>
          <w:spacing w:val="-8"/>
          <w:sz w:val="16"/>
        </w:rPr>
        <w:t> </w:t>
      </w:r>
      <w:r>
        <w:rPr>
          <w:color w:val="231F20"/>
          <w:sz w:val="16"/>
        </w:rPr>
        <w:t>2006.</w:t>
      </w:r>
      <w:r>
        <w:rPr>
          <w:color w:val="231F20"/>
          <w:spacing w:val="-8"/>
          <w:sz w:val="16"/>
        </w:rPr>
        <w:t> </w:t>
      </w:r>
      <w:r>
        <w:rPr>
          <w:color w:val="231F20"/>
          <w:sz w:val="16"/>
        </w:rPr>
        <w:t>O</w:t>
      </w:r>
      <w:r>
        <w:rPr>
          <w:color w:val="231F20"/>
          <w:spacing w:val="-8"/>
          <w:sz w:val="16"/>
        </w:rPr>
        <w:t> </w:t>
      </w:r>
      <w:r>
        <w:rPr>
          <w:color w:val="231F20"/>
          <w:sz w:val="16"/>
        </w:rPr>
        <w:t>incluso</w:t>
      </w:r>
      <w:r>
        <w:rPr>
          <w:color w:val="231F20"/>
          <w:spacing w:val="-8"/>
          <w:sz w:val="16"/>
        </w:rPr>
        <w:t> </w:t>
      </w:r>
      <w:r>
        <w:rPr>
          <w:color w:val="231F20"/>
          <w:sz w:val="16"/>
        </w:rPr>
        <w:t>cuando</w:t>
      </w:r>
      <w:r>
        <w:rPr>
          <w:color w:val="231F20"/>
          <w:spacing w:val="-8"/>
          <w:sz w:val="16"/>
        </w:rPr>
        <w:t> </w:t>
      </w:r>
      <w:r>
        <w:rPr>
          <w:color w:val="231F20"/>
          <w:sz w:val="16"/>
        </w:rPr>
        <w:t>participaba</w:t>
      </w:r>
      <w:r>
        <w:rPr>
          <w:color w:val="231F20"/>
          <w:spacing w:val="-8"/>
          <w:sz w:val="16"/>
        </w:rPr>
        <w:t> </w:t>
      </w:r>
      <w:r>
        <w:rPr>
          <w:color w:val="231F20"/>
          <w:sz w:val="16"/>
        </w:rPr>
        <w:t>en</w:t>
      </w:r>
      <w:r>
        <w:rPr>
          <w:color w:val="231F20"/>
          <w:spacing w:val="-8"/>
          <w:sz w:val="16"/>
        </w:rPr>
        <w:t> </w:t>
      </w:r>
      <w:r>
        <w:rPr>
          <w:color w:val="231F20"/>
          <w:sz w:val="16"/>
        </w:rPr>
        <w:t>las</w:t>
      </w:r>
      <w:r>
        <w:rPr>
          <w:color w:val="231F20"/>
          <w:spacing w:val="-8"/>
          <w:sz w:val="16"/>
        </w:rPr>
        <w:t> </w:t>
      </w:r>
      <w:r>
        <w:rPr>
          <w:color w:val="231F20"/>
          <w:sz w:val="16"/>
        </w:rPr>
        <w:t>campañas</w:t>
      </w:r>
      <w:r>
        <w:rPr>
          <w:color w:val="231F20"/>
          <w:spacing w:val="-8"/>
          <w:sz w:val="16"/>
        </w:rPr>
        <w:t> </w:t>
      </w:r>
      <w:r>
        <w:rPr>
          <w:color w:val="231F20"/>
          <w:sz w:val="16"/>
        </w:rPr>
        <w:t>electora- les</w:t>
      </w:r>
      <w:r>
        <w:rPr>
          <w:color w:val="231F20"/>
          <w:spacing w:val="-13"/>
          <w:sz w:val="16"/>
        </w:rPr>
        <w:t> </w:t>
      </w:r>
      <w:r>
        <w:rPr>
          <w:color w:val="231F20"/>
          <w:sz w:val="16"/>
        </w:rPr>
        <w:t>y</w:t>
      </w:r>
      <w:r>
        <w:rPr>
          <w:color w:val="231F20"/>
          <w:spacing w:val="-13"/>
          <w:sz w:val="16"/>
        </w:rPr>
        <w:t> </w:t>
      </w:r>
      <w:r>
        <w:rPr>
          <w:color w:val="231F20"/>
          <w:sz w:val="16"/>
        </w:rPr>
        <w:t>cobraba</w:t>
      </w:r>
      <w:r>
        <w:rPr>
          <w:color w:val="231F20"/>
          <w:spacing w:val="-13"/>
          <w:sz w:val="16"/>
        </w:rPr>
        <w:t> </w:t>
      </w:r>
      <w:r>
        <w:rPr>
          <w:color w:val="231F20"/>
          <w:sz w:val="16"/>
        </w:rPr>
        <w:t>su</w:t>
      </w:r>
      <w:r>
        <w:rPr>
          <w:color w:val="231F20"/>
          <w:spacing w:val="-13"/>
          <w:sz w:val="16"/>
        </w:rPr>
        <w:t> </w:t>
      </w:r>
      <w:r>
        <w:rPr>
          <w:color w:val="231F20"/>
          <w:sz w:val="16"/>
        </w:rPr>
        <w:t>sueldo</w:t>
      </w:r>
      <w:r>
        <w:rPr>
          <w:color w:val="231F20"/>
          <w:spacing w:val="-13"/>
          <w:sz w:val="16"/>
        </w:rPr>
        <w:t> </w:t>
      </w:r>
      <w:r>
        <w:rPr>
          <w:color w:val="231F20"/>
          <w:sz w:val="16"/>
        </w:rPr>
        <w:t>de</w:t>
      </w:r>
      <w:r>
        <w:rPr>
          <w:color w:val="231F20"/>
          <w:spacing w:val="-13"/>
          <w:sz w:val="16"/>
        </w:rPr>
        <w:t> </w:t>
      </w:r>
      <w:r>
        <w:rPr>
          <w:color w:val="231F20"/>
          <w:sz w:val="16"/>
        </w:rPr>
        <w:t>funcionario</w:t>
      </w:r>
      <w:r>
        <w:rPr>
          <w:color w:val="231F20"/>
          <w:spacing w:val="-13"/>
          <w:sz w:val="16"/>
        </w:rPr>
        <w:t> </w:t>
      </w:r>
      <w:r>
        <w:rPr>
          <w:color w:val="231F20"/>
          <w:sz w:val="16"/>
        </w:rPr>
        <w:t>electoral,</w:t>
      </w:r>
      <w:r>
        <w:rPr>
          <w:color w:val="231F20"/>
          <w:spacing w:val="-13"/>
          <w:sz w:val="16"/>
        </w:rPr>
        <w:t> </w:t>
      </w:r>
      <w:r>
        <w:rPr>
          <w:color w:val="231F20"/>
          <w:sz w:val="16"/>
        </w:rPr>
        <w:t>cuestión</w:t>
      </w:r>
      <w:r>
        <w:rPr>
          <w:color w:val="231F20"/>
          <w:spacing w:val="-13"/>
          <w:sz w:val="16"/>
        </w:rPr>
        <w:t> </w:t>
      </w:r>
      <w:r>
        <w:rPr>
          <w:color w:val="231F20"/>
          <w:sz w:val="16"/>
        </w:rPr>
        <w:t>denunciada</w:t>
      </w:r>
      <w:r>
        <w:rPr>
          <w:color w:val="231F20"/>
          <w:spacing w:val="-13"/>
          <w:sz w:val="16"/>
        </w:rPr>
        <w:t> </w:t>
      </w:r>
      <w:r>
        <w:rPr>
          <w:color w:val="231F20"/>
          <w:sz w:val="16"/>
        </w:rPr>
        <w:t>por</w:t>
      </w:r>
      <w:r>
        <w:rPr>
          <w:color w:val="231F20"/>
          <w:spacing w:val="-13"/>
          <w:sz w:val="16"/>
        </w:rPr>
        <w:t> </w:t>
      </w:r>
      <w:r>
        <w:rPr>
          <w:color w:val="231F20"/>
          <w:sz w:val="16"/>
        </w:rPr>
        <w:t>el</w:t>
      </w:r>
      <w:r>
        <w:rPr>
          <w:color w:val="231F20"/>
          <w:spacing w:val="-13"/>
          <w:sz w:val="16"/>
        </w:rPr>
        <w:t> </w:t>
      </w:r>
      <w:r>
        <w:rPr>
          <w:color w:val="231F20"/>
          <w:sz w:val="16"/>
        </w:rPr>
        <w:t>regidor</w:t>
      </w:r>
      <w:r>
        <w:rPr>
          <w:color w:val="231F20"/>
          <w:spacing w:val="-13"/>
          <w:sz w:val="16"/>
        </w:rPr>
        <w:t> </w:t>
      </w:r>
      <w:r>
        <w:rPr>
          <w:color w:val="231F20"/>
          <w:sz w:val="16"/>
        </w:rPr>
        <w:t>perredista</w:t>
      </w:r>
      <w:r>
        <w:rPr>
          <w:color w:val="231F20"/>
          <w:spacing w:val="-13"/>
          <w:sz w:val="16"/>
        </w:rPr>
        <w:t> </w:t>
      </w:r>
      <w:r>
        <w:rPr>
          <w:color w:val="231F20"/>
          <w:sz w:val="16"/>
        </w:rPr>
        <w:t>José</w:t>
      </w:r>
      <w:r>
        <w:rPr>
          <w:color w:val="231F20"/>
          <w:spacing w:val="-13"/>
          <w:sz w:val="16"/>
        </w:rPr>
        <w:t> </w:t>
      </w:r>
      <w:r>
        <w:rPr>
          <w:color w:val="231F20"/>
          <w:sz w:val="16"/>
        </w:rPr>
        <w:t>Luis</w:t>
      </w:r>
      <w:r>
        <w:rPr>
          <w:color w:val="231F20"/>
          <w:spacing w:val="-13"/>
          <w:sz w:val="16"/>
        </w:rPr>
        <w:t> </w:t>
      </w:r>
      <w:r>
        <w:rPr>
          <w:color w:val="231F20"/>
          <w:sz w:val="16"/>
        </w:rPr>
        <w:t>Cortés</w:t>
      </w:r>
      <w:r>
        <w:rPr>
          <w:color w:val="231F20"/>
          <w:spacing w:val="-13"/>
          <w:sz w:val="16"/>
        </w:rPr>
        <w:t> </w:t>
      </w:r>
      <w:r>
        <w:rPr>
          <w:color w:val="231F20"/>
          <w:sz w:val="16"/>
        </w:rPr>
        <w:t>y</w:t>
      </w:r>
      <w:r>
        <w:rPr>
          <w:color w:val="231F20"/>
          <w:spacing w:val="-13"/>
          <w:sz w:val="16"/>
        </w:rPr>
        <w:t> </w:t>
      </w:r>
      <w:r>
        <w:rPr>
          <w:color w:val="231F20"/>
          <w:sz w:val="16"/>
        </w:rPr>
        <w:t>conformada por</w:t>
      </w:r>
      <w:r>
        <w:rPr>
          <w:color w:val="231F20"/>
          <w:spacing w:val="-12"/>
          <w:sz w:val="16"/>
        </w:rPr>
        <w:t> </w:t>
      </w:r>
      <w:r>
        <w:rPr>
          <w:color w:val="231F20"/>
          <w:sz w:val="16"/>
        </w:rPr>
        <w:t>la</w:t>
      </w:r>
      <w:r>
        <w:rPr>
          <w:color w:val="231F20"/>
          <w:spacing w:val="-12"/>
          <w:sz w:val="16"/>
        </w:rPr>
        <w:t> </w:t>
      </w:r>
      <w:r>
        <w:rPr>
          <w:color w:val="231F20"/>
          <w:sz w:val="16"/>
        </w:rPr>
        <w:t>Fiscalía</w:t>
      </w:r>
      <w:r>
        <w:rPr>
          <w:color w:val="231F20"/>
          <w:spacing w:val="-12"/>
          <w:sz w:val="16"/>
        </w:rPr>
        <w:t> </w:t>
      </w:r>
      <w:r>
        <w:rPr>
          <w:color w:val="231F20"/>
          <w:sz w:val="16"/>
        </w:rPr>
        <w:t>Especializada</w:t>
      </w:r>
      <w:r>
        <w:rPr>
          <w:color w:val="231F20"/>
          <w:spacing w:val="-12"/>
          <w:sz w:val="16"/>
        </w:rPr>
        <w:t> </w:t>
      </w:r>
      <w:r>
        <w:rPr>
          <w:color w:val="231F20"/>
          <w:sz w:val="16"/>
        </w:rPr>
        <w:t>para</w:t>
      </w:r>
      <w:r>
        <w:rPr>
          <w:color w:val="231F20"/>
          <w:spacing w:val="-12"/>
          <w:sz w:val="16"/>
        </w:rPr>
        <w:t> </w:t>
      </w:r>
      <w:r>
        <w:rPr>
          <w:color w:val="231F20"/>
          <w:sz w:val="16"/>
        </w:rPr>
        <w:t>la</w:t>
      </w:r>
      <w:r>
        <w:rPr>
          <w:color w:val="231F20"/>
          <w:spacing w:val="-12"/>
          <w:sz w:val="16"/>
        </w:rPr>
        <w:t> </w:t>
      </w:r>
      <w:r>
        <w:rPr>
          <w:color w:val="231F20"/>
          <w:sz w:val="16"/>
        </w:rPr>
        <w:t>Atención</w:t>
      </w:r>
      <w:r>
        <w:rPr>
          <w:color w:val="231F20"/>
          <w:spacing w:val="-12"/>
          <w:sz w:val="16"/>
        </w:rPr>
        <w:t> </w:t>
      </w:r>
      <w:r>
        <w:rPr>
          <w:color w:val="231F20"/>
          <w:sz w:val="16"/>
        </w:rPr>
        <w:t>de</w:t>
      </w:r>
      <w:r>
        <w:rPr>
          <w:color w:val="231F20"/>
          <w:spacing w:val="-12"/>
          <w:sz w:val="16"/>
        </w:rPr>
        <w:t> </w:t>
      </w:r>
      <w:r>
        <w:rPr>
          <w:color w:val="231F20"/>
          <w:sz w:val="16"/>
        </w:rPr>
        <w:t>Delitos</w:t>
      </w:r>
      <w:r>
        <w:rPr>
          <w:color w:val="231F20"/>
          <w:spacing w:val="-12"/>
          <w:sz w:val="16"/>
        </w:rPr>
        <w:t> </w:t>
      </w:r>
      <w:r>
        <w:rPr>
          <w:color w:val="231F20"/>
          <w:sz w:val="16"/>
        </w:rPr>
        <w:t>Electorales.</w:t>
      </w:r>
      <w:r>
        <w:rPr>
          <w:color w:val="231F20"/>
          <w:spacing w:val="-12"/>
          <w:sz w:val="16"/>
        </w:rPr>
        <w:t> </w:t>
      </w:r>
      <w:r>
        <w:rPr>
          <w:color w:val="231F20"/>
          <w:sz w:val="16"/>
        </w:rPr>
        <w:t>El</w:t>
      </w:r>
      <w:r>
        <w:rPr>
          <w:color w:val="231F20"/>
          <w:spacing w:val="-12"/>
          <w:sz w:val="16"/>
        </w:rPr>
        <w:t> </w:t>
      </w:r>
      <w:r>
        <w:rPr>
          <w:color w:val="231F20"/>
          <w:sz w:val="16"/>
        </w:rPr>
        <w:t>Universal,</w:t>
      </w:r>
      <w:r>
        <w:rPr>
          <w:color w:val="231F20"/>
          <w:spacing w:val="-12"/>
          <w:sz w:val="16"/>
        </w:rPr>
        <w:t> </w:t>
      </w:r>
      <w:r>
        <w:rPr>
          <w:color w:val="231F20"/>
          <w:sz w:val="16"/>
        </w:rPr>
        <w:t>22</w:t>
      </w:r>
      <w:r>
        <w:rPr>
          <w:color w:val="231F20"/>
          <w:spacing w:val="-12"/>
          <w:sz w:val="16"/>
        </w:rPr>
        <w:t> </w:t>
      </w:r>
      <w:r>
        <w:rPr>
          <w:color w:val="231F20"/>
          <w:sz w:val="16"/>
        </w:rPr>
        <w:t>de</w:t>
      </w:r>
      <w:r>
        <w:rPr>
          <w:color w:val="231F20"/>
          <w:spacing w:val="-12"/>
          <w:sz w:val="16"/>
        </w:rPr>
        <w:t> </w:t>
      </w:r>
      <w:r>
        <w:rPr>
          <w:color w:val="231F20"/>
          <w:sz w:val="16"/>
        </w:rPr>
        <w:t>mayo</w:t>
      </w:r>
      <w:r>
        <w:rPr>
          <w:color w:val="231F20"/>
          <w:spacing w:val="-12"/>
          <w:sz w:val="16"/>
        </w:rPr>
        <w:t> </w:t>
      </w:r>
      <w:r>
        <w:rPr>
          <w:color w:val="231F20"/>
          <w:sz w:val="16"/>
        </w:rPr>
        <w:t>de</w:t>
      </w:r>
      <w:r>
        <w:rPr>
          <w:color w:val="231F20"/>
          <w:spacing w:val="-12"/>
          <w:sz w:val="16"/>
        </w:rPr>
        <w:t> </w:t>
      </w:r>
      <w:r>
        <w:rPr>
          <w:color w:val="231F20"/>
          <w:sz w:val="16"/>
        </w:rPr>
        <w:t>2006.</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esta</w:t>
      </w:r>
      <w:r>
        <w:rPr>
          <w:color w:val="231F20"/>
          <w:spacing w:val="-9"/>
          <w:w w:val="105"/>
        </w:rPr>
        <w:t> </w:t>
      </w:r>
      <w:r>
        <w:rPr>
          <w:color w:val="231F20"/>
          <w:w w:val="105"/>
        </w:rPr>
        <w:t>gestión</w:t>
      </w:r>
      <w:r>
        <w:rPr>
          <w:color w:val="231F20"/>
          <w:spacing w:val="-9"/>
          <w:w w:val="105"/>
        </w:rPr>
        <w:t> </w:t>
      </w:r>
      <w:r>
        <w:rPr>
          <w:color w:val="231F20"/>
          <w:w w:val="105"/>
        </w:rPr>
        <w:t>han</w:t>
      </w:r>
      <w:r>
        <w:rPr>
          <w:color w:val="231F20"/>
          <w:spacing w:val="-9"/>
          <w:w w:val="105"/>
        </w:rPr>
        <w:t> </w:t>
      </w:r>
      <w:r>
        <w:rPr>
          <w:color w:val="231F20"/>
          <w:w w:val="105"/>
        </w:rPr>
        <w:t>descuidado:</w:t>
      </w:r>
      <w:r>
        <w:rPr>
          <w:color w:val="231F20"/>
          <w:spacing w:val="-9"/>
          <w:w w:val="105"/>
        </w:rPr>
        <w:t> </w:t>
      </w:r>
      <w:r>
        <w:rPr>
          <w:color w:val="231F20"/>
          <w:w w:val="105"/>
        </w:rPr>
        <w:t>seguridad</w:t>
      </w:r>
      <w:r>
        <w:rPr>
          <w:color w:val="231F20"/>
          <w:spacing w:val="-9"/>
          <w:w w:val="105"/>
        </w:rPr>
        <w:t> </w:t>
      </w:r>
      <w:r>
        <w:rPr>
          <w:color w:val="231F20"/>
          <w:w w:val="105"/>
        </w:rPr>
        <w:t>pública,</w:t>
      </w:r>
      <w:r>
        <w:rPr>
          <w:color w:val="231F20"/>
          <w:spacing w:val="-9"/>
          <w:w w:val="105"/>
        </w:rPr>
        <w:t> </w:t>
      </w:r>
      <w:r>
        <w:rPr>
          <w:color w:val="231F20"/>
          <w:w w:val="105"/>
        </w:rPr>
        <w:t>pobreza,</w:t>
      </w:r>
      <w:r>
        <w:rPr>
          <w:color w:val="231F20"/>
          <w:spacing w:val="-9"/>
          <w:w w:val="105"/>
        </w:rPr>
        <w:t> </w:t>
      </w:r>
      <w:r>
        <w:rPr>
          <w:color w:val="231F20"/>
          <w:w w:val="105"/>
        </w:rPr>
        <w:t>y</w:t>
      </w:r>
      <w:r>
        <w:rPr>
          <w:color w:val="231F20"/>
          <w:spacing w:val="-9"/>
          <w:w w:val="105"/>
        </w:rPr>
        <w:t> </w:t>
      </w:r>
      <w:r>
        <w:rPr>
          <w:color w:val="231F20"/>
          <w:w w:val="105"/>
        </w:rPr>
        <w:t>educación,</w:t>
      </w:r>
      <w:r>
        <w:rPr>
          <w:color w:val="231F20"/>
          <w:spacing w:val="-9"/>
          <w:w w:val="105"/>
        </w:rPr>
        <w:t> </w:t>
      </w:r>
      <w:r>
        <w:rPr>
          <w:color w:val="231F20"/>
          <w:w w:val="105"/>
        </w:rPr>
        <w:t>pues</w:t>
      </w:r>
      <w:r>
        <w:rPr>
          <w:color w:val="231F20"/>
          <w:spacing w:val="-9"/>
          <w:w w:val="105"/>
        </w:rPr>
        <w:t> </w:t>
      </w:r>
      <w:r>
        <w:rPr>
          <w:color w:val="231F20"/>
          <w:w w:val="105"/>
        </w:rPr>
        <w:t>los</w:t>
      </w:r>
      <w:r>
        <w:rPr>
          <w:color w:val="231F20"/>
          <w:spacing w:val="-9"/>
          <w:w w:val="105"/>
        </w:rPr>
        <w:t> </w:t>
      </w:r>
      <w:r>
        <w:rPr>
          <w:color w:val="231F20"/>
          <w:w w:val="105"/>
        </w:rPr>
        <w:t>progra- mas</w:t>
      </w:r>
      <w:r>
        <w:rPr>
          <w:color w:val="231F20"/>
          <w:spacing w:val="-17"/>
          <w:w w:val="105"/>
        </w:rPr>
        <w:t> </w:t>
      </w:r>
      <w:r>
        <w:rPr>
          <w:color w:val="231F20"/>
          <w:spacing w:val="2"/>
          <w:w w:val="105"/>
        </w:rPr>
        <w:t>al</w:t>
      </w:r>
      <w:r>
        <w:rPr>
          <w:color w:val="231F20"/>
          <w:spacing w:val="-17"/>
          <w:w w:val="105"/>
        </w:rPr>
        <w:t> </w:t>
      </w:r>
      <w:r>
        <w:rPr>
          <w:color w:val="231F20"/>
          <w:w w:val="105"/>
        </w:rPr>
        <w:t>respecto</w:t>
      </w:r>
      <w:r>
        <w:rPr>
          <w:color w:val="231F20"/>
          <w:spacing w:val="-17"/>
          <w:w w:val="105"/>
        </w:rPr>
        <w:t> </w:t>
      </w:r>
      <w:r>
        <w:rPr>
          <w:color w:val="231F20"/>
          <w:w w:val="105"/>
        </w:rPr>
        <w:t>han</w:t>
      </w:r>
      <w:r>
        <w:rPr>
          <w:color w:val="231F20"/>
          <w:spacing w:val="-17"/>
          <w:w w:val="105"/>
        </w:rPr>
        <w:t> </w:t>
      </w:r>
      <w:r>
        <w:rPr>
          <w:color w:val="231F20"/>
          <w:w w:val="105"/>
        </w:rPr>
        <w:t>resultado</w:t>
      </w:r>
      <w:r>
        <w:rPr>
          <w:color w:val="231F20"/>
          <w:spacing w:val="-17"/>
          <w:w w:val="105"/>
        </w:rPr>
        <w:t> </w:t>
      </w:r>
      <w:r>
        <w:rPr>
          <w:color w:val="231F20"/>
          <w:w w:val="105"/>
        </w:rPr>
        <w:t>insuficientes</w:t>
      </w:r>
      <w:r>
        <w:rPr>
          <w:color w:val="231F20"/>
          <w:spacing w:val="-17"/>
          <w:w w:val="105"/>
        </w:rPr>
        <w:t> </w:t>
      </w:r>
      <w:r>
        <w:rPr>
          <w:color w:val="231F20"/>
          <w:w w:val="105"/>
        </w:rPr>
        <w:t>y</w:t>
      </w:r>
      <w:r>
        <w:rPr>
          <w:color w:val="231F20"/>
          <w:spacing w:val="-17"/>
          <w:w w:val="105"/>
        </w:rPr>
        <w:t> </w:t>
      </w:r>
      <w:r>
        <w:rPr>
          <w:color w:val="231F20"/>
          <w:w w:val="105"/>
        </w:rPr>
        <w:t>sobre</w:t>
      </w:r>
      <w:r>
        <w:rPr>
          <w:color w:val="231F20"/>
          <w:spacing w:val="-17"/>
          <w:w w:val="105"/>
        </w:rPr>
        <w:t> </w:t>
      </w:r>
      <w:r>
        <w:rPr>
          <w:color w:val="231F20"/>
          <w:w w:val="105"/>
        </w:rPr>
        <w:t>todo</w:t>
      </w:r>
      <w:r>
        <w:rPr>
          <w:color w:val="231F20"/>
          <w:spacing w:val="-17"/>
          <w:w w:val="105"/>
        </w:rPr>
        <w:t> </w:t>
      </w:r>
      <w:r>
        <w:rPr>
          <w:color w:val="231F20"/>
          <w:w w:val="105"/>
        </w:rPr>
        <w:t>han</w:t>
      </w:r>
      <w:r>
        <w:rPr>
          <w:color w:val="231F20"/>
          <w:spacing w:val="-17"/>
          <w:w w:val="105"/>
        </w:rPr>
        <w:t> </w:t>
      </w:r>
      <w:r>
        <w:rPr>
          <w:color w:val="231F20"/>
          <w:spacing w:val="-2"/>
          <w:w w:val="105"/>
        </w:rPr>
        <w:t>dejado</w:t>
      </w:r>
      <w:r>
        <w:rPr>
          <w:color w:val="231F20"/>
          <w:spacing w:val="-17"/>
          <w:w w:val="105"/>
        </w:rPr>
        <w:t> </w:t>
      </w:r>
      <w:r>
        <w:rPr>
          <w:color w:val="231F20"/>
          <w:w w:val="105"/>
        </w:rPr>
        <w:t>prácticamente</w:t>
      </w:r>
      <w:r>
        <w:rPr>
          <w:color w:val="231F20"/>
          <w:spacing w:val="-17"/>
          <w:w w:val="105"/>
        </w:rPr>
        <w:t> </w:t>
      </w:r>
      <w:r>
        <w:rPr>
          <w:color w:val="231F20"/>
          <w:w w:val="105"/>
        </w:rPr>
        <w:t>fuera a</w:t>
      </w:r>
      <w:r>
        <w:rPr>
          <w:color w:val="231F20"/>
          <w:spacing w:val="-15"/>
          <w:w w:val="105"/>
        </w:rPr>
        <w:t> </w:t>
      </w:r>
      <w:r>
        <w:rPr>
          <w:color w:val="231F20"/>
          <w:w w:val="105"/>
        </w:rPr>
        <w:t>la</w:t>
      </w:r>
      <w:r>
        <w:rPr>
          <w:color w:val="231F20"/>
          <w:spacing w:val="-15"/>
          <w:w w:val="105"/>
        </w:rPr>
        <w:t> </w:t>
      </w:r>
      <w:r>
        <w:rPr>
          <w:color w:val="231F20"/>
          <w:w w:val="105"/>
        </w:rPr>
        <w:t>zona</w:t>
      </w:r>
      <w:r>
        <w:rPr>
          <w:color w:val="231F20"/>
          <w:spacing w:val="-15"/>
          <w:w w:val="105"/>
        </w:rPr>
        <w:t> </w:t>
      </w:r>
      <w:r>
        <w:rPr>
          <w:color w:val="231F20"/>
          <w:w w:val="105"/>
        </w:rPr>
        <w:t>oriente</w:t>
      </w:r>
      <w:r>
        <w:rPr>
          <w:color w:val="231F20"/>
          <w:spacing w:val="-15"/>
          <w:w w:val="105"/>
        </w:rPr>
        <w:t> </w:t>
      </w:r>
      <w:r>
        <w:rPr>
          <w:color w:val="231F20"/>
          <w:w w:val="105"/>
        </w:rPr>
        <w:t>del</w:t>
      </w:r>
      <w:r>
        <w:rPr>
          <w:color w:val="231F20"/>
          <w:spacing w:val="-15"/>
          <w:w w:val="105"/>
        </w:rPr>
        <w:t> </w:t>
      </w:r>
      <w:r>
        <w:rPr>
          <w:color w:val="231F20"/>
          <w:w w:val="105"/>
        </w:rPr>
        <w:t>municipio.</w:t>
      </w:r>
    </w:p>
    <w:p>
      <w:pPr>
        <w:pStyle w:val="BodyText"/>
        <w:spacing w:before="3"/>
        <w:rPr>
          <w:sz w:val="20"/>
        </w:rPr>
      </w:pPr>
    </w:p>
    <w:p>
      <w:pPr>
        <w:pStyle w:val="Heading4"/>
        <w:rPr>
          <w:i/>
        </w:rPr>
      </w:pPr>
      <w:r>
        <w:rPr>
          <w:i/>
          <w:color w:val="231F20"/>
        </w:rPr>
        <w:t>Gestión 2006–2009</w:t>
      </w:r>
    </w:p>
    <w:p>
      <w:pPr>
        <w:pStyle w:val="BodyText"/>
        <w:spacing w:line="285" w:lineRule="auto" w:before="16"/>
        <w:ind w:left="110" w:right="107"/>
        <w:jc w:val="both"/>
      </w:pPr>
      <w:r>
        <w:rPr>
          <w:color w:val="231F20"/>
          <w:w w:val="105"/>
        </w:rPr>
        <w:t>En el año 2006 llegaría a la presidencia municipal el Lic. Marco Antonio Rodríguez Hurtado, quien en la elaboración del Plan de Desarrollo Municipal, dio continuidad a la recolección de las demandas ciudadanas de diferentes formas, como en las an- teriores gestiones.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6"/>
          <w:w w:val="105"/>
        </w:rPr>
        <w:t> </w:t>
      </w:r>
      <w:r>
        <w:rPr>
          <w:color w:val="231F20"/>
          <w:w w:val="105"/>
        </w:rPr>
        <w:t>gestión</w:t>
      </w:r>
      <w:r>
        <w:rPr>
          <w:color w:val="231F20"/>
          <w:spacing w:val="-6"/>
          <w:w w:val="105"/>
        </w:rPr>
        <w:t> </w:t>
      </w:r>
      <w:r>
        <w:rPr>
          <w:color w:val="231F20"/>
          <w:spacing w:val="3"/>
          <w:w w:val="105"/>
        </w:rPr>
        <w:t>2006</w:t>
      </w:r>
      <w:r>
        <w:rPr>
          <w:color w:val="231F20"/>
          <w:spacing w:val="-6"/>
          <w:w w:val="105"/>
        </w:rPr>
        <w:t> </w:t>
      </w:r>
      <w:r>
        <w:rPr>
          <w:color w:val="231F20"/>
          <w:w w:val="105"/>
        </w:rPr>
        <w:t>–</w:t>
      </w:r>
      <w:r>
        <w:rPr>
          <w:color w:val="231F20"/>
          <w:spacing w:val="-6"/>
          <w:w w:val="105"/>
        </w:rPr>
        <w:t> </w:t>
      </w:r>
      <w:r>
        <w:rPr>
          <w:color w:val="231F20"/>
          <w:w w:val="105"/>
        </w:rPr>
        <w:t>2009,</w:t>
      </w:r>
      <w:r>
        <w:rPr>
          <w:color w:val="231F20"/>
          <w:spacing w:val="-6"/>
          <w:w w:val="105"/>
        </w:rPr>
        <w:t> </w:t>
      </w:r>
      <w:r>
        <w:rPr>
          <w:color w:val="231F20"/>
          <w:w w:val="105"/>
        </w:rPr>
        <w:t>no</w:t>
      </w:r>
      <w:r>
        <w:rPr>
          <w:color w:val="231F20"/>
          <w:spacing w:val="-6"/>
          <w:w w:val="105"/>
        </w:rPr>
        <w:t> </w:t>
      </w:r>
      <w:r>
        <w:rPr>
          <w:color w:val="231F20"/>
          <w:w w:val="105"/>
        </w:rPr>
        <w:t>puede</w:t>
      </w:r>
      <w:r>
        <w:rPr>
          <w:color w:val="231F20"/>
          <w:spacing w:val="-6"/>
          <w:w w:val="105"/>
        </w:rPr>
        <w:t> </w:t>
      </w:r>
      <w:r>
        <w:rPr>
          <w:color w:val="231F20"/>
          <w:w w:val="105"/>
        </w:rPr>
        <w:t>ser</w:t>
      </w:r>
      <w:r>
        <w:rPr>
          <w:color w:val="231F20"/>
          <w:spacing w:val="-6"/>
          <w:w w:val="105"/>
        </w:rPr>
        <w:t> </w:t>
      </w:r>
      <w:r>
        <w:rPr>
          <w:color w:val="231F20"/>
          <w:w w:val="105"/>
        </w:rPr>
        <w:t>tratada</w:t>
      </w:r>
      <w:r>
        <w:rPr>
          <w:color w:val="231F20"/>
          <w:spacing w:val="-6"/>
          <w:w w:val="105"/>
        </w:rPr>
        <w:t> </w:t>
      </w:r>
      <w:r>
        <w:rPr>
          <w:color w:val="231F20"/>
          <w:w w:val="105"/>
        </w:rPr>
        <w:t>como</w:t>
      </w:r>
      <w:r>
        <w:rPr>
          <w:color w:val="231F20"/>
          <w:spacing w:val="-6"/>
          <w:w w:val="105"/>
        </w:rPr>
        <w:t> </w:t>
      </w:r>
      <w:r>
        <w:rPr>
          <w:color w:val="231F20"/>
          <w:w w:val="105"/>
        </w:rPr>
        <w:t>las</w:t>
      </w:r>
      <w:r>
        <w:rPr>
          <w:color w:val="231F20"/>
          <w:spacing w:val="-6"/>
          <w:w w:val="105"/>
        </w:rPr>
        <w:t> </w:t>
      </w:r>
      <w:r>
        <w:rPr>
          <w:color w:val="231F20"/>
          <w:w w:val="105"/>
        </w:rPr>
        <w:t>anteriores,</w:t>
      </w:r>
      <w:r>
        <w:rPr>
          <w:color w:val="231F20"/>
          <w:spacing w:val="-6"/>
          <w:w w:val="105"/>
        </w:rPr>
        <w:t> </w:t>
      </w:r>
      <w:r>
        <w:rPr>
          <w:color w:val="231F20"/>
          <w:w w:val="105"/>
        </w:rPr>
        <w:t>pues</w:t>
      </w:r>
      <w:r>
        <w:rPr>
          <w:color w:val="231F20"/>
          <w:spacing w:val="-6"/>
          <w:w w:val="105"/>
        </w:rPr>
        <w:t> </w:t>
      </w:r>
      <w:r>
        <w:rPr>
          <w:color w:val="231F20"/>
          <w:w w:val="105"/>
        </w:rPr>
        <w:t>sigue</w:t>
      </w:r>
      <w:r>
        <w:rPr>
          <w:color w:val="231F20"/>
          <w:spacing w:val="-6"/>
          <w:w w:val="105"/>
        </w:rPr>
        <w:t> </w:t>
      </w:r>
      <w:r>
        <w:rPr>
          <w:color w:val="231F20"/>
          <w:w w:val="105"/>
        </w:rPr>
        <w:t>en</w:t>
      </w:r>
      <w:r>
        <w:rPr>
          <w:color w:val="231F20"/>
          <w:spacing w:val="-6"/>
          <w:w w:val="105"/>
        </w:rPr>
        <w:t> </w:t>
      </w:r>
      <w:r>
        <w:rPr>
          <w:color w:val="231F20"/>
          <w:w w:val="105"/>
        </w:rPr>
        <w:t>curso. No</w:t>
      </w:r>
      <w:r>
        <w:rPr>
          <w:color w:val="231F20"/>
          <w:spacing w:val="-9"/>
          <w:w w:val="105"/>
        </w:rPr>
        <w:t> </w:t>
      </w:r>
      <w:r>
        <w:rPr>
          <w:color w:val="231F20"/>
          <w:w w:val="105"/>
        </w:rPr>
        <w:t>obstante,</w:t>
      </w:r>
      <w:r>
        <w:rPr>
          <w:color w:val="231F20"/>
          <w:spacing w:val="-9"/>
          <w:w w:val="105"/>
        </w:rPr>
        <w:t> </w:t>
      </w:r>
      <w:r>
        <w:rPr>
          <w:color w:val="231F20"/>
          <w:w w:val="105"/>
        </w:rPr>
        <w:t>sí</w:t>
      </w:r>
      <w:r>
        <w:rPr>
          <w:color w:val="231F20"/>
          <w:spacing w:val="-9"/>
          <w:w w:val="105"/>
        </w:rPr>
        <w:t> </w:t>
      </w:r>
      <w:r>
        <w:rPr>
          <w:color w:val="231F20"/>
          <w:w w:val="105"/>
        </w:rPr>
        <w:t>podemos</w:t>
      </w:r>
      <w:r>
        <w:rPr>
          <w:color w:val="231F20"/>
          <w:spacing w:val="-9"/>
          <w:w w:val="105"/>
        </w:rPr>
        <w:t> </w:t>
      </w:r>
      <w:r>
        <w:rPr>
          <w:color w:val="231F20"/>
          <w:w w:val="105"/>
        </w:rPr>
        <w:t>ver</w:t>
      </w:r>
      <w:r>
        <w:rPr>
          <w:color w:val="231F20"/>
          <w:spacing w:val="-9"/>
          <w:w w:val="105"/>
        </w:rPr>
        <w:t> </w:t>
      </w:r>
      <w:r>
        <w:rPr>
          <w:color w:val="231F20"/>
          <w:w w:val="105"/>
        </w:rPr>
        <w:t>algunas</w:t>
      </w:r>
      <w:r>
        <w:rPr>
          <w:color w:val="231F20"/>
          <w:spacing w:val="-9"/>
          <w:w w:val="105"/>
        </w:rPr>
        <w:t> </w:t>
      </w:r>
      <w:r>
        <w:rPr>
          <w:color w:val="231F20"/>
          <w:w w:val="105"/>
        </w:rPr>
        <w:t>cuestiones</w:t>
      </w:r>
      <w:r>
        <w:rPr>
          <w:color w:val="231F20"/>
          <w:spacing w:val="-9"/>
          <w:w w:val="105"/>
        </w:rPr>
        <w:t> </w:t>
      </w:r>
      <w:r>
        <w:rPr>
          <w:color w:val="231F20"/>
          <w:w w:val="105"/>
        </w:rPr>
        <w:t>importantes</w:t>
      </w:r>
      <w:r>
        <w:rPr>
          <w:color w:val="231F20"/>
          <w:spacing w:val="-9"/>
          <w:w w:val="105"/>
        </w:rPr>
        <w:t> </w:t>
      </w:r>
      <w:r>
        <w:rPr>
          <w:color w:val="231F20"/>
          <w:spacing w:val="2"/>
          <w:w w:val="105"/>
        </w:rPr>
        <w:t>al</w:t>
      </w:r>
      <w:r>
        <w:rPr>
          <w:color w:val="231F20"/>
          <w:spacing w:val="-9"/>
          <w:w w:val="105"/>
        </w:rPr>
        <w:t> </w:t>
      </w:r>
      <w:r>
        <w:rPr>
          <w:color w:val="231F20"/>
          <w:w w:val="105"/>
        </w:rPr>
        <w:t>respecto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gestión</w:t>
      </w:r>
      <w:r>
        <w:rPr>
          <w:color w:val="231F20"/>
          <w:spacing w:val="-9"/>
          <w:w w:val="105"/>
        </w:rPr>
        <w:t> </w:t>
      </w:r>
      <w:r>
        <w:rPr>
          <w:color w:val="231F20"/>
          <w:w w:val="105"/>
        </w:rPr>
        <w:t>y de</w:t>
      </w:r>
      <w:r>
        <w:rPr>
          <w:color w:val="231F20"/>
          <w:spacing w:val="-16"/>
          <w:w w:val="105"/>
        </w:rPr>
        <w:t> </w:t>
      </w:r>
      <w:r>
        <w:rPr>
          <w:color w:val="231F20"/>
          <w:w w:val="105"/>
        </w:rPr>
        <w:t>cuestiones</w:t>
      </w:r>
      <w:r>
        <w:rPr>
          <w:color w:val="231F20"/>
          <w:spacing w:val="-16"/>
          <w:w w:val="105"/>
        </w:rPr>
        <w:t> </w:t>
      </w:r>
      <w:r>
        <w:rPr>
          <w:color w:val="231F20"/>
          <w:w w:val="105"/>
        </w:rPr>
        <w:t>que</w:t>
      </w:r>
      <w:r>
        <w:rPr>
          <w:color w:val="231F20"/>
          <w:spacing w:val="-16"/>
          <w:w w:val="105"/>
        </w:rPr>
        <w:t> </w:t>
      </w:r>
      <w:r>
        <w:rPr>
          <w:color w:val="231F20"/>
          <w:w w:val="105"/>
        </w:rPr>
        <w:t>las</w:t>
      </w:r>
      <w:r>
        <w:rPr>
          <w:color w:val="231F20"/>
          <w:spacing w:val="-16"/>
          <w:w w:val="105"/>
        </w:rPr>
        <w:t> </w:t>
      </w:r>
      <w:r>
        <w:rPr>
          <w:color w:val="231F20"/>
          <w:w w:val="105"/>
        </w:rPr>
        <w:t>anteriores</w:t>
      </w:r>
      <w:r>
        <w:rPr>
          <w:color w:val="231F20"/>
          <w:spacing w:val="-16"/>
          <w:w w:val="105"/>
        </w:rPr>
        <w:t> </w:t>
      </w:r>
      <w:r>
        <w:rPr>
          <w:color w:val="231F20"/>
          <w:w w:val="105"/>
        </w:rPr>
        <w:t>gestiones</w:t>
      </w:r>
      <w:r>
        <w:rPr>
          <w:color w:val="231F20"/>
          <w:spacing w:val="-16"/>
          <w:w w:val="105"/>
        </w:rPr>
        <w:t> </w:t>
      </w:r>
      <w:r>
        <w:rPr>
          <w:color w:val="231F20"/>
          <w:w w:val="105"/>
        </w:rPr>
        <w:t>han</w:t>
      </w:r>
      <w:r>
        <w:rPr>
          <w:color w:val="231F20"/>
          <w:spacing w:val="-16"/>
          <w:w w:val="105"/>
        </w:rPr>
        <w:t> </w:t>
      </w:r>
      <w:r>
        <w:rPr>
          <w:color w:val="231F20"/>
          <w:w w:val="105"/>
        </w:rPr>
        <w:t>tratado,</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color w:val="231F20"/>
          <w:w w:val="105"/>
        </w:rPr>
        <w:t>modernización</w:t>
      </w:r>
      <w:r>
        <w:rPr>
          <w:color w:val="231F20"/>
          <w:spacing w:val="-16"/>
          <w:w w:val="105"/>
        </w:rPr>
        <w:t> </w:t>
      </w:r>
      <w:r>
        <w:rPr>
          <w:color w:val="231F20"/>
          <w:w w:val="105"/>
        </w:rPr>
        <w:t>adminis- trativa,</w:t>
      </w:r>
      <w:r>
        <w:rPr>
          <w:color w:val="231F20"/>
          <w:spacing w:val="-21"/>
          <w:w w:val="105"/>
        </w:rPr>
        <w:t> </w:t>
      </w:r>
      <w:r>
        <w:rPr>
          <w:color w:val="231F20"/>
          <w:w w:val="105"/>
        </w:rPr>
        <w:t>la</w:t>
      </w:r>
      <w:r>
        <w:rPr>
          <w:color w:val="231F20"/>
          <w:spacing w:val="-21"/>
          <w:w w:val="105"/>
        </w:rPr>
        <w:t> </w:t>
      </w:r>
      <w:r>
        <w:rPr>
          <w:color w:val="231F20"/>
          <w:w w:val="105"/>
        </w:rPr>
        <w:t>educación,</w:t>
      </w:r>
      <w:r>
        <w:rPr>
          <w:color w:val="231F20"/>
          <w:spacing w:val="-21"/>
          <w:w w:val="105"/>
        </w:rPr>
        <w:t> </w:t>
      </w:r>
      <w:r>
        <w:rPr>
          <w:color w:val="231F20"/>
          <w:w w:val="105"/>
        </w:rPr>
        <w:t>salud,</w:t>
      </w:r>
      <w:r>
        <w:rPr>
          <w:color w:val="231F20"/>
          <w:spacing w:val="-21"/>
          <w:w w:val="105"/>
        </w:rPr>
        <w:t> </w:t>
      </w:r>
      <w:r>
        <w:rPr>
          <w:color w:val="231F20"/>
          <w:w w:val="105"/>
        </w:rPr>
        <w:t>vivienda</w:t>
      </w:r>
      <w:r>
        <w:rPr>
          <w:color w:val="231F20"/>
          <w:spacing w:val="-21"/>
          <w:w w:val="105"/>
        </w:rPr>
        <w:t> </w:t>
      </w:r>
      <w:r>
        <w:rPr>
          <w:color w:val="231F20"/>
          <w:w w:val="105"/>
        </w:rPr>
        <w:t>y</w:t>
      </w:r>
      <w:r>
        <w:rPr>
          <w:color w:val="231F20"/>
          <w:spacing w:val="-21"/>
          <w:w w:val="105"/>
        </w:rPr>
        <w:t> </w:t>
      </w:r>
      <w:r>
        <w:rPr>
          <w:color w:val="231F20"/>
          <w:w w:val="105"/>
        </w:rPr>
        <w:t>transparencia.</w:t>
      </w:r>
    </w:p>
    <w:p>
      <w:pPr>
        <w:pStyle w:val="BodyText"/>
        <w:spacing w:before="1"/>
        <w:rPr>
          <w:sz w:val="26"/>
        </w:rPr>
      </w:pPr>
    </w:p>
    <w:p>
      <w:pPr>
        <w:pStyle w:val="BodyText"/>
        <w:spacing w:line="285" w:lineRule="auto"/>
        <w:ind w:left="110" w:right="108"/>
        <w:jc w:val="both"/>
      </w:pPr>
      <w:r>
        <w:rPr>
          <w:color w:val="231F20"/>
          <w:w w:val="105"/>
        </w:rPr>
        <w:t>Según</w:t>
      </w:r>
      <w:r>
        <w:rPr>
          <w:color w:val="231F20"/>
          <w:spacing w:val="-18"/>
          <w:w w:val="105"/>
        </w:rPr>
        <w:t> </w:t>
      </w:r>
      <w:r>
        <w:rPr>
          <w:color w:val="231F20"/>
          <w:w w:val="105"/>
        </w:rPr>
        <w:t>el</w:t>
      </w:r>
      <w:r>
        <w:rPr>
          <w:color w:val="231F20"/>
          <w:spacing w:val="-18"/>
          <w:w w:val="105"/>
        </w:rPr>
        <w:t> </w:t>
      </w:r>
      <w:r>
        <w:rPr>
          <w:color w:val="231F20"/>
          <w:w w:val="105"/>
        </w:rPr>
        <w:t>municipio,</w:t>
      </w:r>
      <w:r>
        <w:rPr>
          <w:color w:val="231F20"/>
          <w:spacing w:val="-18"/>
          <w:w w:val="105"/>
        </w:rPr>
        <w:t> </w:t>
      </w:r>
      <w:r>
        <w:rPr>
          <w:color w:val="231F20"/>
          <w:w w:val="105"/>
        </w:rPr>
        <w:t>con</w:t>
      </w:r>
      <w:r>
        <w:rPr>
          <w:color w:val="231F20"/>
          <w:spacing w:val="-18"/>
          <w:w w:val="105"/>
        </w:rPr>
        <w:t> </w:t>
      </w:r>
      <w:r>
        <w:rPr>
          <w:color w:val="231F20"/>
          <w:w w:val="105"/>
        </w:rPr>
        <w:t>cifras</w:t>
      </w:r>
      <w:r>
        <w:rPr>
          <w:color w:val="231F20"/>
          <w:spacing w:val="-18"/>
          <w:w w:val="105"/>
        </w:rPr>
        <w:t> </w:t>
      </w:r>
      <w:r>
        <w:rPr>
          <w:color w:val="231F20"/>
          <w:w w:val="105"/>
        </w:rPr>
        <w:t>derivadas</w:t>
      </w:r>
      <w:r>
        <w:rPr>
          <w:color w:val="231F20"/>
          <w:spacing w:val="-18"/>
          <w:w w:val="105"/>
        </w:rPr>
        <w:t> </w:t>
      </w:r>
      <w:r>
        <w:rPr>
          <w:color w:val="231F20"/>
          <w:w w:val="105"/>
        </w:rPr>
        <w:t>del</w:t>
      </w:r>
      <w:r>
        <w:rPr>
          <w:color w:val="231F20"/>
          <w:spacing w:val="-18"/>
          <w:w w:val="105"/>
        </w:rPr>
        <w:t> </w:t>
      </w:r>
      <w:r>
        <w:rPr>
          <w:color w:val="231F20"/>
          <w:w w:val="105"/>
        </w:rPr>
        <w:t>Plan</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Municipal</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sección de</w:t>
      </w:r>
      <w:r>
        <w:rPr>
          <w:color w:val="231F20"/>
          <w:spacing w:val="-17"/>
          <w:w w:val="105"/>
        </w:rPr>
        <w:t> </w:t>
      </w:r>
      <w:r>
        <w:rPr>
          <w:color w:val="231F20"/>
          <w:w w:val="105"/>
        </w:rPr>
        <w:t>diagnóstico</w:t>
      </w:r>
      <w:r>
        <w:rPr>
          <w:color w:val="231F20"/>
          <w:w w:val="105"/>
          <w:position w:val="7"/>
          <w:sz w:val="13"/>
        </w:rPr>
        <w:t>27,</w:t>
      </w:r>
      <w:r>
        <w:rPr>
          <w:color w:val="231F20"/>
          <w:spacing w:val="7"/>
          <w:w w:val="105"/>
          <w:position w:val="7"/>
          <w:sz w:val="13"/>
        </w:rPr>
        <w:t> </w:t>
      </w:r>
      <w:r>
        <w:rPr>
          <w:color w:val="231F20"/>
          <w:w w:val="105"/>
        </w:rPr>
        <w:t>la</w:t>
      </w:r>
      <w:r>
        <w:rPr>
          <w:color w:val="231F20"/>
          <w:spacing w:val="-17"/>
          <w:w w:val="105"/>
        </w:rPr>
        <w:t> </w:t>
      </w:r>
      <w:r>
        <w:rPr>
          <w:color w:val="231F20"/>
          <w:w w:val="105"/>
        </w:rPr>
        <w:t>cuestión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educación</w:t>
      </w:r>
      <w:r>
        <w:rPr>
          <w:color w:val="231F20"/>
          <w:spacing w:val="-17"/>
          <w:w w:val="105"/>
        </w:rPr>
        <w:t> </w:t>
      </w:r>
      <w:r>
        <w:rPr>
          <w:color w:val="231F20"/>
          <w:spacing w:val="2"/>
          <w:w w:val="105"/>
        </w:rPr>
        <w:t>“ha</w:t>
      </w:r>
      <w:r>
        <w:rPr>
          <w:color w:val="231F20"/>
          <w:spacing w:val="-17"/>
          <w:w w:val="105"/>
        </w:rPr>
        <w:t> </w:t>
      </w:r>
      <w:r>
        <w:rPr>
          <w:color w:val="231F20"/>
          <w:w w:val="105"/>
        </w:rPr>
        <w:t>mejorado</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modernización</w:t>
      </w:r>
      <w:r>
        <w:rPr>
          <w:color w:val="231F20"/>
          <w:spacing w:val="-17"/>
          <w:w w:val="105"/>
        </w:rPr>
        <w:t> </w:t>
      </w:r>
      <w:r>
        <w:rPr>
          <w:color w:val="231F20"/>
          <w:w w:val="105"/>
        </w:rPr>
        <w:t>y</w:t>
      </w:r>
      <w:r>
        <w:rPr>
          <w:color w:val="231F20"/>
          <w:spacing w:val="-17"/>
          <w:w w:val="105"/>
        </w:rPr>
        <w:t> </w:t>
      </w:r>
      <w:r>
        <w:rPr>
          <w:color w:val="231F20"/>
          <w:w w:val="105"/>
        </w:rPr>
        <w:t>equi- pamiento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escuelas”,</w:t>
      </w:r>
      <w:r>
        <w:rPr>
          <w:color w:val="231F20"/>
          <w:spacing w:val="-11"/>
          <w:w w:val="105"/>
        </w:rPr>
        <w:t> </w:t>
      </w:r>
      <w:r>
        <w:rPr>
          <w:color w:val="231F20"/>
          <w:w w:val="105"/>
        </w:rPr>
        <w:t>elevando</w:t>
      </w:r>
      <w:r>
        <w:rPr>
          <w:color w:val="231F20"/>
          <w:spacing w:val="-11"/>
          <w:w w:val="105"/>
        </w:rPr>
        <w:t> </w:t>
      </w:r>
      <w:r>
        <w:rPr>
          <w:color w:val="231F20"/>
          <w:w w:val="105"/>
        </w:rPr>
        <w:t>el</w:t>
      </w:r>
      <w:r>
        <w:rPr>
          <w:color w:val="231F20"/>
          <w:spacing w:val="-11"/>
          <w:w w:val="105"/>
        </w:rPr>
        <w:t> </w:t>
      </w:r>
      <w:r>
        <w:rPr>
          <w:color w:val="231F20"/>
          <w:w w:val="105"/>
        </w:rPr>
        <w:t>nivel</w:t>
      </w:r>
      <w:r>
        <w:rPr>
          <w:color w:val="231F20"/>
          <w:spacing w:val="-11"/>
          <w:w w:val="105"/>
        </w:rPr>
        <w:t> </w:t>
      </w:r>
      <w:r>
        <w:rPr>
          <w:color w:val="231F20"/>
          <w:w w:val="105"/>
        </w:rPr>
        <w:t>académico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alumnos</w:t>
      </w:r>
      <w:r>
        <w:rPr>
          <w:color w:val="231F20"/>
          <w:spacing w:val="-11"/>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w:t>
      </w:r>
      <w:r>
        <w:rPr>
          <w:color w:val="231F20"/>
          <w:spacing w:val="-11"/>
          <w:w w:val="105"/>
        </w:rPr>
        <w:t> </w:t>
      </w:r>
      <w:r>
        <w:rPr>
          <w:color w:val="231F20"/>
          <w:w w:val="105"/>
        </w:rPr>
        <w:t>pro- gramas</w:t>
      </w:r>
      <w:r>
        <w:rPr>
          <w:color w:val="231F20"/>
          <w:spacing w:val="-6"/>
          <w:w w:val="105"/>
        </w:rPr>
        <w:t> </w:t>
      </w:r>
      <w:r>
        <w:rPr>
          <w:color w:val="231F20"/>
          <w:spacing w:val="-3"/>
          <w:w w:val="105"/>
        </w:rPr>
        <w:t>como:</w:t>
      </w:r>
      <w:r>
        <w:rPr>
          <w:color w:val="231F20"/>
          <w:spacing w:val="-6"/>
          <w:w w:val="105"/>
        </w:rPr>
        <w:t> </w:t>
      </w:r>
      <w:r>
        <w:rPr>
          <w:color w:val="231F20"/>
          <w:w w:val="105"/>
        </w:rPr>
        <w:t>“Destino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Modernización</w:t>
      </w:r>
      <w:r>
        <w:rPr>
          <w:color w:val="231F20"/>
          <w:spacing w:val="-6"/>
          <w:w w:val="105"/>
        </w:rPr>
        <w:t> </w:t>
      </w:r>
      <w:r>
        <w:rPr>
          <w:color w:val="231F20"/>
          <w:w w:val="105"/>
        </w:rPr>
        <w:t>Educativa”</w:t>
      </w:r>
      <w:r>
        <w:rPr>
          <w:color w:val="231F20"/>
          <w:spacing w:val="-6"/>
          <w:w w:val="105"/>
        </w:rPr>
        <w:t> </w:t>
      </w:r>
      <w:r>
        <w:rPr>
          <w:color w:val="231F20"/>
          <w:spacing w:val="-4"/>
          <w:w w:val="105"/>
        </w:rPr>
        <w:t>(que</w:t>
      </w:r>
      <w:r>
        <w:rPr>
          <w:color w:val="231F20"/>
          <w:spacing w:val="-6"/>
          <w:w w:val="105"/>
        </w:rPr>
        <w:t> </w:t>
      </w:r>
      <w:r>
        <w:rPr>
          <w:color w:val="231F20"/>
          <w:w w:val="105"/>
        </w:rPr>
        <w:t>consistía</w:t>
      </w:r>
      <w:r>
        <w:rPr>
          <w:color w:val="231F20"/>
          <w:spacing w:val="-6"/>
          <w:w w:val="105"/>
        </w:rPr>
        <w:t> </w:t>
      </w:r>
      <w:r>
        <w:rPr>
          <w:color w:val="231F20"/>
          <w:w w:val="105"/>
        </w:rPr>
        <w:t>en</w:t>
      </w:r>
      <w:r>
        <w:rPr>
          <w:color w:val="231F20"/>
          <w:spacing w:val="-6"/>
          <w:w w:val="105"/>
        </w:rPr>
        <w:t> </w:t>
      </w:r>
      <w:r>
        <w:rPr>
          <w:color w:val="231F20"/>
          <w:spacing w:val="2"/>
          <w:w w:val="105"/>
        </w:rPr>
        <w:t>instalar</w:t>
      </w:r>
      <w:r>
        <w:rPr>
          <w:color w:val="231F20"/>
          <w:spacing w:val="-6"/>
          <w:w w:val="105"/>
        </w:rPr>
        <w:t> </w:t>
      </w:r>
      <w:r>
        <w:rPr>
          <w:color w:val="231F20"/>
          <w:w w:val="105"/>
        </w:rPr>
        <w:t>aulas de</w:t>
      </w:r>
      <w:r>
        <w:rPr>
          <w:color w:val="231F20"/>
          <w:spacing w:val="-19"/>
          <w:w w:val="105"/>
        </w:rPr>
        <w:t> </w:t>
      </w:r>
      <w:r>
        <w:rPr>
          <w:color w:val="231F20"/>
          <w:w w:val="105"/>
        </w:rPr>
        <w:t>cómputo,</w:t>
      </w:r>
      <w:r>
        <w:rPr>
          <w:color w:val="231F20"/>
          <w:spacing w:val="-19"/>
          <w:w w:val="105"/>
        </w:rPr>
        <w:t> </w:t>
      </w:r>
      <w:r>
        <w:rPr>
          <w:color w:val="231F20"/>
          <w:w w:val="105"/>
        </w:rPr>
        <w:t>pizarrones</w:t>
      </w:r>
      <w:r>
        <w:rPr>
          <w:color w:val="231F20"/>
          <w:spacing w:val="-19"/>
          <w:w w:val="105"/>
        </w:rPr>
        <w:t> </w:t>
      </w:r>
      <w:r>
        <w:rPr>
          <w:color w:val="231F20"/>
          <w:w w:val="105"/>
        </w:rPr>
        <w:t>electrónicos,</w:t>
      </w:r>
      <w:r>
        <w:rPr>
          <w:color w:val="231F20"/>
          <w:spacing w:val="-19"/>
          <w:w w:val="105"/>
        </w:rPr>
        <w:t> </w:t>
      </w:r>
      <w:r>
        <w:rPr>
          <w:color w:val="231F20"/>
          <w:w w:val="105"/>
        </w:rPr>
        <w:t>servicio</w:t>
      </w:r>
      <w:r>
        <w:rPr>
          <w:color w:val="231F20"/>
          <w:spacing w:val="-19"/>
          <w:w w:val="105"/>
        </w:rPr>
        <w:t> </w:t>
      </w:r>
      <w:r>
        <w:rPr>
          <w:color w:val="231F20"/>
          <w:w w:val="105"/>
        </w:rPr>
        <w:t>de</w:t>
      </w:r>
      <w:r>
        <w:rPr>
          <w:color w:val="231F20"/>
          <w:spacing w:val="-19"/>
          <w:w w:val="105"/>
        </w:rPr>
        <w:t> </w:t>
      </w:r>
      <w:r>
        <w:rPr>
          <w:color w:val="231F20"/>
          <w:w w:val="105"/>
        </w:rPr>
        <w:t>Internet),</w:t>
      </w:r>
      <w:r>
        <w:rPr>
          <w:color w:val="231F20"/>
          <w:spacing w:val="-19"/>
          <w:w w:val="105"/>
        </w:rPr>
        <w:t> </w:t>
      </w:r>
      <w:r>
        <w:rPr>
          <w:color w:val="231F20"/>
          <w:w w:val="105"/>
        </w:rPr>
        <w:t>“Inglés</w:t>
      </w:r>
      <w:r>
        <w:rPr>
          <w:color w:val="231F20"/>
          <w:spacing w:val="-19"/>
          <w:w w:val="105"/>
        </w:rPr>
        <w:t> </w:t>
      </w:r>
      <w:r>
        <w:rPr>
          <w:color w:val="231F20"/>
          <w:w w:val="105"/>
        </w:rPr>
        <w:t>para</w:t>
      </w:r>
      <w:r>
        <w:rPr>
          <w:color w:val="231F20"/>
          <w:spacing w:val="-19"/>
          <w:w w:val="105"/>
        </w:rPr>
        <w:t> </w:t>
      </w:r>
      <w:r>
        <w:rPr>
          <w:color w:val="231F20"/>
          <w:w w:val="105"/>
        </w:rPr>
        <w:t>Nuestros</w:t>
      </w:r>
      <w:r>
        <w:rPr>
          <w:color w:val="231F20"/>
          <w:spacing w:val="-19"/>
          <w:w w:val="105"/>
        </w:rPr>
        <w:t> </w:t>
      </w:r>
      <w:r>
        <w:rPr>
          <w:color w:val="231F20"/>
          <w:w w:val="105"/>
        </w:rPr>
        <w:t>Hijos” (dar cursos propedéuticos del idioma inglés a los alumnos de </w:t>
      </w:r>
      <w:r>
        <w:rPr>
          <w:color w:val="231F20"/>
          <w:spacing w:val="-3"/>
          <w:w w:val="105"/>
        </w:rPr>
        <w:t>6° grado) </w:t>
      </w:r>
      <w:r>
        <w:rPr>
          <w:color w:val="231F20"/>
          <w:w w:val="105"/>
        </w:rPr>
        <w:t>y “Estímulos Económicos</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Educación</w:t>
      </w:r>
      <w:r>
        <w:rPr>
          <w:color w:val="231F20"/>
          <w:spacing w:val="-5"/>
          <w:w w:val="105"/>
        </w:rPr>
        <w:t> </w:t>
      </w:r>
      <w:r>
        <w:rPr>
          <w:color w:val="231F20"/>
          <w:w w:val="105"/>
        </w:rPr>
        <w:t>Básica”</w:t>
      </w:r>
      <w:r>
        <w:rPr>
          <w:color w:val="231F20"/>
          <w:spacing w:val="-5"/>
          <w:w w:val="105"/>
        </w:rPr>
        <w:t> </w:t>
      </w:r>
      <w:r>
        <w:rPr>
          <w:color w:val="231F20"/>
          <w:w w:val="105"/>
        </w:rPr>
        <w:t>(proporcionar</w:t>
      </w:r>
      <w:r>
        <w:rPr>
          <w:color w:val="231F20"/>
          <w:spacing w:val="-5"/>
          <w:w w:val="105"/>
        </w:rPr>
        <w:t> </w:t>
      </w:r>
      <w:r>
        <w:rPr>
          <w:color w:val="231F20"/>
          <w:w w:val="105"/>
        </w:rPr>
        <w:t>becas</w:t>
      </w:r>
      <w:r>
        <w:rPr>
          <w:color w:val="231F20"/>
          <w:spacing w:val="-5"/>
          <w:w w:val="105"/>
        </w:rPr>
        <w:t> </w:t>
      </w:r>
      <w:r>
        <w:rPr>
          <w:color w:val="231F20"/>
          <w:w w:val="105"/>
        </w:rPr>
        <w:t>municipales</w:t>
      </w:r>
      <w:r>
        <w:rPr>
          <w:color w:val="231F20"/>
          <w:spacing w:val="-5"/>
          <w:w w:val="105"/>
        </w:rPr>
        <w:t> </w:t>
      </w:r>
      <w:r>
        <w:rPr>
          <w:color w:val="231F20"/>
          <w:w w:val="105"/>
        </w:rPr>
        <w:t>y</w:t>
      </w:r>
      <w:r>
        <w:rPr>
          <w:color w:val="231F20"/>
          <w:spacing w:val="-5"/>
          <w:w w:val="105"/>
        </w:rPr>
        <w:t> </w:t>
      </w:r>
      <w:r>
        <w:rPr>
          <w:color w:val="231F20"/>
          <w:w w:val="105"/>
        </w:rPr>
        <w:t>becas</w:t>
      </w:r>
      <w:r>
        <w:rPr>
          <w:color w:val="231F20"/>
          <w:spacing w:val="-5"/>
          <w:w w:val="105"/>
        </w:rPr>
        <w:t> </w:t>
      </w:r>
      <w:r>
        <w:rPr>
          <w:color w:val="231F20"/>
          <w:w w:val="105"/>
        </w:rPr>
        <w:t>de</w:t>
      </w:r>
      <w:r>
        <w:rPr>
          <w:color w:val="231F20"/>
          <w:spacing w:val="-5"/>
          <w:w w:val="105"/>
        </w:rPr>
        <w:t> </w:t>
      </w:r>
      <w:r>
        <w:rPr>
          <w:color w:val="231F20"/>
          <w:w w:val="105"/>
        </w:rPr>
        <w:t>ramo </w:t>
      </w:r>
      <w:r>
        <w:rPr>
          <w:color w:val="231F20"/>
          <w:spacing w:val="-4"/>
          <w:w w:val="105"/>
        </w:rPr>
        <w:t>33).</w:t>
      </w:r>
      <w:r>
        <w:rPr>
          <w:color w:val="231F20"/>
          <w:spacing w:val="-8"/>
          <w:w w:val="105"/>
        </w:rPr>
        <w:t> </w:t>
      </w:r>
      <w:r>
        <w:rPr>
          <w:color w:val="231F20"/>
          <w:w w:val="105"/>
        </w:rPr>
        <w:t>Los</w:t>
      </w:r>
      <w:r>
        <w:rPr>
          <w:color w:val="231F20"/>
          <w:spacing w:val="-8"/>
          <w:w w:val="105"/>
        </w:rPr>
        <w:t> </w:t>
      </w:r>
      <w:r>
        <w:rPr>
          <w:color w:val="231F20"/>
          <w:w w:val="105"/>
        </w:rPr>
        <w:t>dos</w:t>
      </w:r>
      <w:r>
        <w:rPr>
          <w:color w:val="231F20"/>
          <w:spacing w:val="-8"/>
          <w:w w:val="105"/>
        </w:rPr>
        <w:t> </w:t>
      </w:r>
      <w:r>
        <w:rPr>
          <w:color w:val="231F20"/>
          <w:w w:val="105"/>
        </w:rPr>
        <w:t>primeros</w:t>
      </w:r>
      <w:r>
        <w:rPr>
          <w:color w:val="231F20"/>
          <w:spacing w:val="-8"/>
          <w:w w:val="105"/>
        </w:rPr>
        <w:t> </w:t>
      </w:r>
      <w:r>
        <w:rPr>
          <w:color w:val="231F20"/>
          <w:w w:val="105"/>
        </w:rPr>
        <w:t>siguen</w:t>
      </w:r>
      <w:r>
        <w:rPr>
          <w:color w:val="231F20"/>
          <w:spacing w:val="-8"/>
          <w:w w:val="105"/>
        </w:rPr>
        <w:t> </w:t>
      </w:r>
      <w:r>
        <w:rPr>
          <w:color w:val="231F20"/>
          <w:w w:val="105"/>
        </w:rPr>
        <w:t>vigentes.</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continuado</w:t>
      </w:r>
      <w:r>
        <w:rPr>
          <w:color w:val="231F20"/>
          <w:spacing w:val="-8"/>
          <w:w w:val="105"/>
        </w:rPr>
        <w:t> </w:t>
      </w:r>
      <w:r>
        <w:rPr>
          <w:color w:val="231F20"/>
          <w:w w:val="105"/>
        </w:rPr>
        <w:t>con</w:t>
      </w:r>
      <w:r>
        <w:rPr>
          <w:color w:val="231F20"/>
          <w:spacing w:val="-8"/>
          <w:w w:val="105"/>
        </w:rPr>
        <w:t> </w:t>
      </w:r>
      <w:r>
        <w:rPr>
          <w:color w:val="231F20"/>
          <w:w w:val="105"/>
        </w:rPr>
        <w:t>los</w:t>
      </w:r>
      <w:r>
        <w:rPr>
          <w:color w:val="231F20"/>
          <w:spacing w:val="-8"/>
          <w:w w:val="105"/>
        </w:rPr>
        <w:t> </w:t>
      </w:r>
      <w:r>
        <w:rPr>
          <w:color w:val="231F20"/>
          <w:w w:val="105"/>
        </w:rPr>
        <w:t>programas</w:t>
      </w:r>
      <w:r>
        <w:rPr>
          <w:color w:val="231F20"/>
          <w:spacing w:val="-8"/>
          <w:w w:val="105"/>
        </w:rPr>
        <w:t> </w:t>
      </w:r>
      <w:r>
        <w:rPr>
          <w:color w:val="231F20"/>
          <w:w w:val="105"/>
        </w:rPr>
        <w:t>de</w:t>
      </w:r>
      <w:r>
        <w:rPr>
          <w:color w:val="231F20"/>
          <w:spacing w:val="-8"/>
          <w:w w:val="105"/>
        </w:rPr>
        <w:t> </w:t>
      </w:r>
      <w:r>
        <w:rPr>
          <w:color w:val="231F20"/>
          <w:w w:val="105"/>
        </w:rPr>
        <w:t>inglés</w:t>
      </w:r>
      <w:r>
        <w:rPr>
          <w:color w:val="231F20"/>
          <w:spacing w:val="-8"/>
          <w:w w:val="105"/>
        </w:rPr>
        <w:t> </w:t>
      </w:r>
      <w:r>
        <w:rPr>
          <w:color w:val="231F20"/>
          <w:w w:val="105"/>
        </w:rPr>
        <w:t>y cómputo,</w:t>
      </w:r>
      <w:r>
        <w:rPr>
          <w:color w:val="231F20"/>
          <w:spacing w:val="-21"/>
          <w:w w:val="105"/>
        </w:rPr>
        <w:t> </w:t>
      </w:r>
      <w:r>
        <w:rPr>
          <w:color w:val="231F20"/>
          <w:w w:val="105"/>
        </w:rPr>
        <w:t>teniendo</w:t>
      </w:r>
      <w:r>
        <w:rPr>
          <w:color w:val="231F20"/>
          <w:spacing w:val="-21"/>
          <w:w w:val="105"/>
        </w:rPr>
        <w:t> </w:t>
      </w:r>
      <w:r>
        <w:rPr>
          <w:color w:val="231F20"/>
          <w:w w:val="105"/>
        </w:rPr>
        <w:t>75,000</w:t>
      </w:r>
      <w:r>
        <w:rPr>
          <w:color w:val="231F20"/>
          <w:spacing w:val="-21"/>
          <w:w w:val="105"/>
        </w:rPr>
        <w:t> </w:t>
      </w:r>
      <w:r>
        <w:rPr>
          <w:color w:val="231F20"/>
          <w:w w:val="105"/>
        </w:rPr>
        <w:t>alumnos</w:t>
      </w:r>
      <w:r>
        <w:rPr>
          <w:color w:val="231F20"/>
          <w:spacing w:val="-21"/>
          <w:w w:val="105"/>
        </w:rPr>
        <w:t> </w:t>
      </w:r>
      <w:r>
        <w:rPr>
          <w:color w:val="231F20"/>
          <w:w w:val="105"/>
        </w:rPr>
        <w:t>beneficiados</w:t>
      </w:r>
      <w:r>
        <w:rPr>
          <w:color w:val="231F20"/>
          <w:spacing w:val="-21"/>
          <w:w w:val="105"/>
        </w:rPr>
        <w:t> </w:t>
      </w:r>
      <w:r>
        <w:rPr>
          <w:color w:val="231F20"/>
          <w:w w:val="105"/>
        </w:rPr>
        <w:t>en</w:t>
      </w:r>
      <w:r>
        <w:rPr>
          <w:color w:val="231F20"/>
          <w:spacing w:val="-21"/>
          <w:w w:val="105"/>
        </w:rPr>
        <w:t> </w:t>
      </w:r>
      <w:r>
        <w:rPr>
          <w:color w:val="231F20"/>
          <w:w w:val="105"/>
        </w:rPr>
        <w:t>primarias</w:t>
      </w:r>
      <w:r>
        <w:rPr>
          <w:color w:val="231F20"/>
          <w:spacing w:val="-21"/>
          <w:w w:val="105"/>
        </w:rPr>
        <w:t> </w:t>
      </w:r>
      <w:r>
        <w:rPr>
          <w:color w:val="231F20"/>
          <w:w w:val="105"/>
        </w:rPr>
        <w:t>y</w:t>
      </w:r>
      <w:r>
        <w:rPr>
          <w:color w:val="231F20"/>
          <w:spacing w:val="-21"/>
          <w:w w:val="105"/>
        </w:rPr>
        <w:t> </w:t>
      </w:r>
      <w:r>
        <w:rPr>
          <w:color w:val="231F20"/>
          <w:w w:val="105"/>
        </w:rPr>
        <w:t>secundarias</w:t>
      </w:r>
      <w:r>
        <w:rPr>
          <w:color w:val="231F20"/>
          <w:w w:val="105"/>
          <w:position w:val="7"/>
          <w:sz w:val="13"/>
        </w:rPr>
        <w:t>28</w:t>
      </w:r>
      <w:r>
        <w:rPr>
          <w:color w:val="231F20"/>
          <w:w w:val="105"/>
        </w:rPr>
        <w:t>.</w:t>
      </w:r>
      <w:r>
        <w:rPr>
          <w:color w:val="231F20"/>
          <w:spacing w:val="-21"/>
          <w:w w:val="105"/>
        </w:rPr>
        <w:t> </w:t>
      </w:r>
      <w:r>
        <w:rPr>
          <w:color w:val="231F20"/>
          <w:w w:val="105"/>
        </w:rPr>
        <w:t>Respecto </w:t>
      </w:r>
      <w:r>
        <w:rPr>
          <w:color w:val="231F20"/>
          <w:spacing w:val="2"/>
          <w:w w:val="105"/>
        </w:rPr>
        <w:t>al</w:t>
      </w:r>
      <w:r>
        <w:rPr>
          <w:color w:val="231F20"/>
          <w:spacing w:val="-12"/>
          <w:w w:val="105"/>
        </w:rPr>
        <w:t> </w:t>
      </w:r>
      <w:r>
        <w:rPr>
          <w:color w:val="231F20"/>
          <w:w w:val="105"/>
        </w:rPr>
        <w:t>inglés,</w:t>
      </w:r>
      <w:r>
        <w:rPr>
          <w:color w:val="231F20"/>
          <w:spacing w:val="-12"/>
          <w:w w:val="105"/>
        </w:rPr>
        <w:t> </w:t>
      </w:r>
      <w:r>
        <w:rPr>
          <w:color w:val="231F20"/>
          <w:w w:val="105"/>
        </w:rPr>
        <w:t>con</w:t>
      </w:r>
      <w:r>
        <w:rPr>
          <w:color w:val="231F20"/>
          <w:spacing w:val="-12"/>
          <w:w w:val="105"/>
        </w:rPr>
        <w:t> </w:t>
      </w:r>
      <w:r>
        <w:rPr>
          <w:color w:val="231F20"/>
          <w:w w:val="105"/>
        </w:rPr>
        <w:t>un</w:t>
      </w:r>
      <w:r>
        <w:rPr>
          <w:color w:val="231F20"/>
          <w:spacing w:val="-12"/>
          <w:w w:val="105"/>
        </w:rPr>
        <w:t> </w:t>
      </w:r>
      <w:r>
        <w:rPr>
          <w:color w:val="231F20"/>
          <w:w w:val="105"/>
        </w:rPr>
        <w:t>total</w:t>
      </w:r>
      <w:r>
        <w:rPr>
          <w:color w:val="231F20"/>
          <w:spacing w:val="-12"/>
          <w:w w:val="105"/>
        </w:rPr>
        <w:t> </w:t>
      </w:r>
      <w:r>
        <w:rPr>
          <w:color w:val="231F20"/>
          <w:w w:val="105"/>
        </w:rPr>
        <w:t>de</w:t>
      </w:r>
      <w:r>
        <w:rPr>
          <w:color w:val="231F20"/>
          <w:spacing w:val="-12"/>
          <w:w w:val="105"/>
        </w:rPr>
        <w:t> </w:t>
      </w:r>
      <w:r>
        <w:rPr>
          <w:color w:val="231F20"/>
          <w:w w:val="105"/>
        </w:rPr>
        <w:t>232</w:t>
      </w:r>
      <w:r>
        <w:rPr>
          <w:color w:val="231F20"/>
          <w:spacing w:val="-12"/>
          <w:w w:val="105"/>
        </w:rPr>
        <w:t> </w:t>
      </w:r>
      <w:r>
        <w:rPr>
          <w:color w:val="231F20"/>
          <w:w w:val="105"/>
        </w:rPr>
        <w:t>escuelas,</w:t>
      </w:r>
      <w:r>
        <w:rPr>
          <w:color w:val="231F20"/>
          <w:spacing w:val="-12"/>
          <w:w w:val="105"/>
        </w:rPr>
        <w:t> </w:t>
      </w:r>
      <w:r>
        <w:rPr>
          <w:color w:val="231F20"/>
          <w:w w:val="105"/>
        </w:rPr>
        <w:t>fueron</w:t>
      </w:r>
      <w:r>
        <w:rPr>
          <w:color w:val="231F20"/>
          <w:spacing w:val="-12"/>
          <w:w w:val="105"/>
        </w:rPr>
        <w:t> </w:t>
      </w:r>
      <w:r>
        <w:rPr>
          <w:color w:val="231F20"/>
          <w:w w:val="105"/>
        </w:rPr>
        <w:t>10,500</w:t>
      </w:r>
      <w:r>
        <w:rPr>
          <w:color w:val="231F20"/>
          <w:spacing w:val="-12"/>
          <w:w w:val="105"/>
        </w:rPr>
        <w:t> </w:t>
      </w:r>
      <w:r>
        <w:rPr>
          <w:color w:val="231F20"/>
          <w:w w:val="105"/>
        </w:rPr>
        <w:t>los</w:t>
      </w:r>
      <w:r>
        <w:rPr>
          <w:color w:val="231F20"/>
          <w:spacing w:val="-12"/>
          <w:w w:val="105"/>
        </w:rPr>
        <w:t> </w:t>
      </w:r>
      <w:r>
        <w:rPr>
          <w:color w:val="231F20"/>
          <w:w w:val="105"/>
        </w:rPr>
        <w:t>alumnos</w:t>
      </w:r>
      <w:r>
        <w:rPr>
          <w:color w:val="231F20"/>
          <w:spacing w:val="-12"/>
          <w:w w:val="105"/>
        </w:rPr>
        <w:t> </w:t>
      </w:r>
      <w:r>
        <w:rPr>
          <w:color w:val="231F20"/>
          <w:w w:val="105"/>
        </w:rPr>
        <w:t>atendidos</w:t>
      </w:r>
      <w:r>
        <w:rPr>
          <w:color w:val="231F20"/>
          <w:spacing w:val="-12"/>
          <w:w w:val="105"/>
        </w:rPr>
        <w:t> </w:t>
      </w:r>
      <w:r>
        <w:rPr>
          <w:color w:val="231F20"/>
          <w:w w:val="105"/>
        </w:rPr>
        <w:t>y</w:t>
      </w:r>
      <w:r>
        <w:rPr>
          <w:color w:val="231F20"/>
          <w:spacing w:val="-12"/>
          <w:w w:val="105"/>
        </w:rPr>
        <w:t> </w:t>
      </w:r>
      <w:r>
        <w:rPr>
          <w:color w:val="231F20"/>
          <w:w w:val="105"/>
        </w:rPr>
        <w:t>83</w:t>
      </w:r>
      <w:r>
        <w:rPr>
          <w:color w:val="231F20"/>
          <w:spacing w:val="-12"/>
          <w:w w:val="105"/>
        </w:rPr>
        <w:t> </w:t>
      </w:r>
      <w:r>
        <w:rPr>
          <w:color w:val="231F20"/>
          <w:spacing w:val="-3"/>
          <w:w w:val="105"/>
        </w:rPr>
        <w:t>profe- </w:t>
      </w:r>
      <w:r>
        <w:rPr>
          <w:color w:val="231F20"/>
          <w:w w:val="105"/>
        </w:rPr>
        <w:t>sores contratados para </w:t>
      </w:r>
      <w:r>
        <w:rPr>
          <w:color w:val="231F20"/>
          <w:spacing w:val="2"/>
          <w:w w:val="105"/>
        </w:rPr>
        <w:t>tal</w:t>
      </w:r>
      <w:r>
        <w:rPr>
          <w:color w:val="231F20"/>
          <w:spacing w:val="-27"/>
          <w:w w:val="105"/>
        </w:rPr>
        <w:t> </w:t>
      </w:r>
      <w:r>
        <w:rPr>
          <w:color w:val="231F20"/>
          <w:w w:val="105"/>
        </w:rPr>
        <w:t>propósito.</w:t>
      </w:r>
    </w:p>
    <w:p>
      <w:pPr>
        <w:pStyle w:val="BodyText"/>
        <w:spacing w:line="285" w:lineRule="auto" w:before="1"/>
        <w:ind w:left="110" w:right="109"/>
        <w:jc w:val="both"/>
      </w:pPr>
      <w:r>
        <w:rPr>
          <w:color w:val="231F20"/>
          <w:w w:val="105"/>
        </w:rPr>
        <w:t>Los indicadores educativos según el nivel educativo mostraban grandes retos, sobre todo</w:t>
      </w:r>
      <w:r>
        <w:rPr>
          <w:color w:val="231F20"/>
          <w:spacing w:val="-18"/>
          <w:w w:val="105"/>
        </w:rPr>
        <w:t> </w:t>
      </w:r>
      <w:r>
        <w:rPr>
          <w:color w:val="231F20"/>
          <w:w w:val="105"/>
        </w:rPr>
        <w:t>en</w:t>
      </w:r>
      <w:r>
        <w:rPr>
          <w:color w:val="231F20"/>
          <w:spacing w:val="-18"/>
          <w:w w:val="105"/>
        </w:rPr>
        <w:t> </w:t>
      </w:r>
      <w:r>
        <w:rPr>
          <w:color w:val="231F20"/>
          <w:w w:val="105"/>
        </w:rPr>
        <w:t>secundaria,</w:t>
      </w:r>
      <w:r>
        <w:rPr>
          <w:color w:val="231F20"/>
          <w:spacing w:val="-18"/>
          <w:w w:val="105"/>
        </w:rPr>
        <w:t> </w:t>
      </w:r>
      <w:r>
        <w:rPr>
          <w:color w:val="231F20"/>
          <w:w w:val="105"/>
        </w:rPr>
        <w:t>bachillerato</w:t>
      </w:r>
      <w:r>
        <w:rPr>
          <w:color w:val="231F20"/>
          <w:spacing w:val="-18"/>
          <w:w w:val="105"/>
        </w:rPr>
        <w:t> </w:t>
      </w:r>
      <w:r>
        <w:rPr>
          <w:color w:val="231F20"/>
          <w:w w:val="105"/>
        </w:rPr>
        <w:t>y</w:t>
      </w:r>
      <w:r>
        <w:rPr>
          <w:color w:val="231F20"/>
          <w:spacing w:val="-18"/>
          <w:w w:val="105"/>
        </w:rPr>
        <w:t> </w:t>
      </w:r>
      <w:r>
        <w:rPr>
          <w:color w:val="231F20"/>
          <w:w w:val="105"/>
        </w:rPr>
        <w:t>profesional</w:t>
      </w:r>
      <w:r>
        <w:rPr>
          <w:color w:val="231F20"/>
          <w:spacing w:val="-18"/>
          <w:w w:val="105"/>
        </w:rPr>
        <w:t> </w:t>
      </w:r>
      <w:r>
        <w:rPr>
          <w:color w:val="231F20"/>
          <w:w w:val="105"/>
        </w:rPr>
        <w:t>técnico.</w:t>
      </w:r>
      <w:r>
        <w:rPr>
          <w:color w:val="231F20"/>
          <w:spacing w:val="-18"/>
          <w:w w:val="105"/>
        </w:rPr>
        <w:t> </w:t>
      </w:r>
      <w:r>
        <w:rPr>
          <w:color w:val="231F20"/>
          <w:w w:val="105"/>
        </w:rPr>
        <w:t>En</w:t>
      </w:r>
      <w:r>
        <w:rPr>
          <w:color w:val="231F20"/>
          <w:spacing w:val="-18"/>
          <w:w w:val="105"/>
        </w:rPr>
        <w:t> </w:t>
      </w:r>
      <w:r>
        <w:rPr>
          <w:color w:val="231F20"/>
          <w:w w:val="105"/>
        </w:rPr>
        <w:t>primaria</w:t>
      </w:r>
      <w:r>
        <w:rPr>
          <w:color w:val="231F20"/>
          <w:spacing w:val="-18"/>
          <w:w w:val="105"/>
        </w:rPr>
        <w:t> </w:t>
      </w:r>
      <w:r>
        <w:rPr>
          <w:color w:val="231F20"/>
          <w:w w:val="105"/>
        </w:rPr>
        <w:t>el</w:t>
      </w:r>
      <w:r>
        <w:rPr>
          <w:color w:val="231F20"/>
          <w:spacing w:val="-18"/>
          <w:w w:val="105"/>
        </w:rPr>
        <w:t> </w:t>
      </w:r>
      <w:r>
        <w:rPr>
          <w:color w:val="231F20"/>
          <w:w w:val="105"/>
        </w:rPr>
        <w:t>nivel</w:t>
      </w:r>
      <w:r>
        <w:rPr>
          <w:color w:val="231F20"/>
          <w:spacing w:val="-18"/>
          <w:w w:val="105"/>
        </w:rPr>
        <w:t> </w:t>
      </w:r>
      <w:r>
        <w:rPr>
          <w:color w:val="231F20"/>
          <w:w w:val="105"/>
        </w:rPr>
        <w:t>de</w:t>
      </w:r>
      <w:r>
        <w:rPr>
          <w:color w:val="231F20"/>
          <w:spacing w:val="-18"/>
          <w:w w:val="105"/>
        </w:rPr>
        <w:t> </w:t>
      </w:r>
      <w:r>
        <w:rPr>
          <w:color w:val="231F20"/>
          <w:w w:val="105"/>
        </w:rPr>
        <w:t>deserción</w:t>
      </w:r>
    </w:p>
    <w:p>
      <w:pPr>
        <w:pStyle w:val="BodyText"/>
        <w:spacing w:before="7"/>
        <w:rPr>
          <w:sz w:val="13"/>
        </w:rPr>
      </w:pPr>
      <w:r>
        <w:rPr/>
        <w:pict>
          <v:line style="position:absolute;mso-position-horizontal-relative:page;mso-position-vertical-relative:paragraph;z-index:10696;mso-wrap-distance-left:0;mso-wrap-distance-right:0" from="42.519699pt,10.289691pt" to="114.519699pt,10.289691pt" stroked="true" strokeweight="1pt" strokecolor="#231f20">
            <w10:wrap type="topAndBottom"/>
          </v:line>
        </w:pict>
      </w:r>
    </w:p>
    <w:p>
      <w:pPr>
        <w:pStyle w:val="ListParagraph"/>
        <w:numPr>
          <w:ilvl w:val="0"/>
          <w:numId w:val="16"/>
        </w:numPr>
        <w:tabs>
          <w:tab w:pos="299" w:val="left" w:leader="none"/>
        </w:tabs>
        <w:spacing w:line="240" w:lineRule="auto" w:before="8" w:after="0"/>
        <w:ind w:left="298" w:right="0" w:hanging="188"/>
        <w:jc w:val="left"/>
        <w:rPr>
          <w:sz w:val="16"/>
        </w:rPr>
      </w:pPr>
      <w:r>
        <w:rPr>
          <w:color w:val="231F20"/>
          <w:sz w:val="16"/>
        </w:rPr>
        <w:t>A</w:t>
      </w:r>
      <w:r>
        <w:rPr>
          <w:color w:val="231F20"/>
          <w:spacing w:val="-10"/>
          <w:sz w:val="16"/>
        </w:rPr>
        <w:t> </w:t>
      </w:r>
      <w:r>
        <w:rPr>
          <w:color w:val="231F20"/>
          <w:sz w:val="16"/>
        </w:rPr>
        <w:t>su</w:t>
      </w:r>
      <w:r>
        <w:rPr>
          <w:color w:val="231F20"/>
          <w:spacing w:val="-10"/>
          <w:sz w:val="16"/>
        </w:rPr>
        <w:t> </w:t>
      </w:r>
      <w:r>
        <w:rPr>
          <w:color w:val="231F20"/>
          <w:sz w:val="16"/>
        </w:rPr>
        <w:t>vez</w:t>
      </w:r>
      <w:r>
        <w:rPr>
          <w:color w:val="231F20"/>
          <w:spacing w:val="-10"/>
          <w:sz w:val="16"/>
        </w:rPr>
        <w:t> </w:t>
      </w:r>
      <w:r>
        <w:rPr>
          <w:color w:val="231F20"/>
          <w:sz w:val="16"/>
        </w:rPr>
        <w:t>estas</w:t>
      </w:r>
      <w:r>
        <w:rPr>
          <w:color w:val="231F20"/>
          <w:spacing w:val="-10"/>
          <w:sz w:val="16"/>
        </w:rPr>
        <w:t> </w:t>
      </w:r>
      <w:r>
        <w:rPr>
          <w:color w:val="231F20"/>
          <w:sz w:val="16"/>
        </w:rPr>
        <w:t>cifras</w:t>
      </w:r>
      <w:r>
        <w:rPr>
          <w:color w:val="231F20"/>
          <w:spacing w:val="-10"/>
          <w:sz w:val="16"/>
        </w:rPr>
        <w:t> </w:t>
      </w:r>
      <w:r>
        <w:rPr>
          <w:color w:val="231F20"/>
          <w:sz w:val="16"/>
        </w:rPr>
        <w:t>fueron</w:t>
      </w:r>
      <w:r>
        <w:rPr>
          <w:color w:val="231F20"/>
          <w:spacing w:val="-10"/>
          <w:sz w:val="16"/>
        </w:rPr>
        <w:t> </w:t>
      </w:r>
      <w:r>
        <w:rPr>
          <w:color w:val="231F20"/>
          <w:sz w:val="16"/>
        </w:rPr>
        <w:t>tomadas</w:t>
      </w:r>
      <w:r>
        <w:rPr>
          <w:color w:val="231F20"/>
          <w:spacing w:val="-10"/>
          <w:sz w:val="16"/>
        </w:rPr>
        <w:t> </w:t>
      </w:r>
      <w:r>
        <w:rPr>
          <w:color w:val="231F20"/>
          <w:sz w:val="16"/>
        </w:rPr>
        <w:t>del</w:t>
      </w:r>
      <w:r>
        <w:rPr>
          <w:color w:val="231F20"/>
          <w:spacing w:val="-10"/>
          <w:sz w:val="16"/>
        </w:rPr>
        <w:t> </w:t>
      </w:r>
      <w:r>
        <w:rPr>
          <w:color w:val="231F20"/>
          <w:sz w:val="16"/>
        </w:rPr>
        <w:t>II</w:t>
      </w:r>
      <w:r>
        <w:rPr>
          <w:color w:val="231F20"/>
          <w:spacing w:val="-10"/>
          <w:sz w:val="16"/>
        </w:rPr>
        <w:t> </w:t>
      </w:r>
      <w:r>
        <w:rPr>
          <w:color w:val="231F20"/>
          <w:sz w:val="16"/>
        </w:rPr>
        <w:t>Conteo</w:t>
      </w:r>
      <w:r>
        <w:rPr>
          <w:color w:val="231F20"/>
          <w:spacing w:val="-10"/>
          <w:sz w:val="16"/>
        </w:rPr>
        <w:t> </w:t>
      </w:r>
      <w:r>
        <w:rPr>
          <w:color w:val="231F20"/>
          <w:sz w:val="16"/>
        </w:rPr>
        <w:t>de</w:t>
      </w:r>
      <w:r>
        <w:rPr>
          <w:color w:val="231F20"/>
          <w:spacing w:val="-10"/>
          <w:sz w:val="16"/>
        </w:rPr>
        <w:t> </w:t>
      </w:r>
      <w:r>
        <w:rPr>
          <w:color w:val="231F20"/>
          <w:sz w:val="16"/>
        </w:rPr>
        <w:t>Población</w:t>
      </w:r>
      <w:r>
        <w:rPr>
          <w:color w:val="231F20"/>
          <w:spacing w:val="-10"/>
          <w:sz w:val="16"/>
        </w:rPr>
        <w:t> </w:t>
      </w:r>
      <w:r>
        <w:rPr>
          <w:color w:val="231F20"/>
          <w:sz w:val="16"/>
        </w:rPr>
        <w:t>y</w:t>
      </w:r>
      <w:r>
        <w:rPr>
          <w:color w:val="231F20"/>
          <w:spacing w:val="-10"/>
          <w:sz w:val="16"/>
        </w:rPr>
        <w:t> </w:t>
      </w:r>
      <w:r>
        <w:rPr>
          <w:color w:val="231F20"/>
          <w:sz w:val="16"/>
        </w:rPr>
        <w:t>Vivienda,</w:t>
      </w:r>
      <w:r>
        <w:rPr>
          <w:color w:val="231F20"/>
          <w:spacing w:val="-10"/>
          <w:sz w:val="16"/>
        </w:rPr>
        <w:t> </w:t>
      </w:r>
      <w:r>
        <w:rPr>
          <w:color w:val="231F20"/>
          <w:sz w:val="16"/>
        </w:rPr>
        <w:t>2005.</w:t>
      </w:r>
    </w:p>
    <w:p>
      <w:pPr>
        <w:pStyle w:val="ListParagraph"/>
        <w:numPr>
          <w:ilvl w:val="0"/>
          <w:numId w:val="16"/>
        </w:numPr>
        <w:tabs>
          <w:tab w:pos="301" w:val="left" w:leader="none"/>
        </w:tabs>
        <w:spacing w:line="244" w:lineRule="auto" w:before="4" w:after="0"/>
        <w:ind w:left="110" w:right="108" w:firstLine="0"/>
        <w:jc w:val="left"/>
        <w:rPr>
          <w:sz w:val="16"/>
        </w:rPr>
      </w:pPr>
      <w:r>
        <w:rPr>
          <w:color w:val="231F20"/>
          <w:sz w:val="16"/>
        </w:rPr>
        <w:t>Hay</w:t>
      </w:r>
      <w:r>
        <w:rPr>
          <w:color w:val="231F20"/>
          <w:spacing w:val="-9"/>
          <w:sz w:val="16"/>
        </w:rPr>
        <w:t> </w:t>
      </w:r>
      <w:r>
        <w:rPr>
          <w:color w:val="231F20"/>
          <w:sz w:val="16"/>
        </w:rPr>
        <w:t>que</w:t>
      </w:r>
      <w:r>
        <w:rPr>
          <w:color w:val="231F20"/>
          <w:spacing w:val="-10"/>
          <w:sz w:val="16"/>
        </w:rPr>
        <w:t> </w:t>
      </w:r>
      <w:r>
        <w:rPr>
          <w:color w:val="231F20"/>
          <w:sz w:val="16"/>
        </w:rPr>
        <w:t>tomar</w:t>
      </w:r>
      <w:r>
        <w:rPr>
          <w:color w:val="231F20"/>
          <w:spacing w:val="-10"/>
          <w:sz w:val="16"/>
        </w:rPr>
        <w:t> </w:t>
      </w:r>
      <w:r>
        <w:rPr>
          <w:color w:val="231F20"/>
          <w:sz w:val="16"/>
        </w:rPr>
        <w:t>en</w:t>
      </w:r>
      <w:r>
        <w:rPr>
          <w:color w:val="231F20"/>
          <w:spacing w:val="-9"/>
          <w:sz w:val="16"/>
        </w:rPr>
        <w:t> </w:t>
      </w:r>
      <w:r>
        <w:rPr>
          <w:color w:val="231F20"/>
          <w:sz w:val="16"/>
        </w:rPr>
        <w:t>cuenta</w:t>
      </w:r>
      <w:r>
        <w:rPr>
          <w:color w:val="231F20"/>
          <w:spacing w:val="-9"/>
          <w:sz w:val="16"/>
        </w:rPr>
        <w:t> </w:t>
      </w:r>
      <w:r>
        <w:rPr>
          <w:color w:val="231F20"/>
          <w:sz w:val="16"/>
        </w:rPr>
        <w:t>la</w:t>
      </w:r>
      <w:r>
        <w:rPr>
          <w:color w:val="231F20"/>
          <w:spacing w:val="-10"/>
          <w:sz w:val="16"/>
        </w:rPr>
        <w:t> </w:t>
      </w:r>
      <w:r>
        <w:rPr>
          <w:color w:val="231F20"/>
          <w:sz w:val="16"/>
        </w:rPr>
        <w:t>diferencia</w:t>
      </w:r>
      <w:r>
        <w:rPr>
          <w:color w:val="231F20"/>
          <w:spacing w:val="-9"/>
          <w:sz w:val="16"/>
        </w:rPr>
        <w:t> </w:t>
      </w:r>
      <w:r>
        <w:rPr>
          <w:color w:val="231F20"/>
          <w:sz w:val="16"/>
        </w:rPr>
        <w:t>entre</w:t>
      </w:r>
      <w:r>
        <w:rPr>
          <w:color w:val="231F20"/>
          <w:spacing w:val="-9"/>
          <w:sz w:val="16"/>
        </w:rPr>
        <w:t> </w:t>
      </w:r>
      <w:r>
        <w:rPr>
          <w:color w:val="231F20"/>
          <w:sz w:val="16"/>
        </w:rPr>
        <w:t>plantel</w:t>
      </w:r>
      <w:r>
        <w:rPr>
          <w:color w:val="231F20"/>
          <w:spacing w:val="-9"/>
          <w:sz w:val="16"/>
        </w:rPr>
        <w:t> </w:t>
      </w:r>
      <w:r>
        <w:rPr>
          <w:color w:val="231F20"/>
          <w:sz w:val="16"/>
        </w:rPr>
        <w:t>y</w:t>
      </w:r>
      <w:r>
        <w:rPr>
          <w:color w:val="231F20"/>
          <w:spacing w:val="-10"/>
          <w:sz w:val="16"/>
        </w:rPr>
        <w:t> </w:t>
      </w:r>
      <w:r>
        <w:rPr>
          <w:color w:val="231F20"/>
          <w:sz w:val="16"/>
        </w:rPr>
        <w:t>escuela,</w:t>
      </w:r>
      <w:r>
        <w:rPr>
          <w:color w:val="231F20"/>
          <w:spacing w:val="-9"/>
          <w:sz w:val="16"/>
        </w:rPr>
        <w:t> </w:t>
      </w:r>
      <w:r>
        <w:rPr>
          <w:color w:val="231F20"/>
          <w:sz w:val="16"/>
        </w:rPr>
        <w:t>al</w:t>
      </w:r>
      <w:r>
        <w:rPr>
          <w:color w:val="231F20"/>
          <w:spacing w:val="-10"/>
          <w:sz w:val="16"/>
        </w:rPr>
        <w:t> </w:t>
      </w:r>
      <w:r>
        <w:rPr>
          <w:color w:val="231F20"/>
          <w:sz w:val="16"/>
        </w:rPr>
        <w:t>respecto</w:t>
      </w:r>
      <w:r>
        <w:rPr>
          <w:color w:val="231F20"/>
          <w:spacing w:val="-10"/>
          <w:sz w:val="16"/>
        </w:rPr>
        <w:t> </w:t>
      </w:r>
      <w:r>
        <w:rPr>
          <w:color w:val="231F20"/>
          <w:sz w:val="16"/>
        </w:rPr>
        <w:t>falta</w:t>
      </w:r>
      <w:r>
        <w:rPr>
          <w:color w:val="231F20"/>
          <w:spacing w:val="-9"/>
          <w:sz w:val="16"/>
        </w:rPr>
        <w:t> </w:t>
      </w:r>
      <w:r>
        <w:rPr>
          <w:color w:val="231F20"/>
          <w:sz w:val="16"/>
        </w:rPr>
        <w:t>saber</w:t>
      </w:r>
      <w:r>
        <w:rPr>
          <w:color w:val="231F20"/>
          <w:spacing w:val="-9"/>
          <w:sz w:val="16"/>
        </w:rPr>
        <w:t> </w:t>
      </w:r>
      <w:r>
        <w:rPr>
          <w:color w:val="231F20"/>
          <w:sz w:val="16"/>
        </w:rPr>
        <w:t>cuántos</w:t>
      </w:r>
      <w:r>
        <w:rPr>
          <w:color w:val="231F20"/>
          <w:spacing w:val="-9"/>
          <w:sz w:val="16"/>
        </w:rPr>
        <w:t> </w:t>
      </w:r>
      <w:r>
        <w:rPr>
          <w:color w:val="231F20"/>
          <w:sz w:val="16"/>
        </w:rPr>
        <w:t>planteles</w:t>
      </w:r>
      <w:r>
        <w:rPr>
          <w:color w:val="231F20"/>
          <w:spacing w:val="-9"/>
          <w:sz w:val="16"/>
        </w:rPr>
        <w:t> </w:t>
      </w:r>
      <w:r>
        <w:rPr>
          <w:color w:val="231F20"/>
          <w:sz w:val="16"/>
        </w:rPr>
        <w:t>y</w:t>
      </w:r>
      <w:r>
        <w:rPr>
          <w:color w:val="231F20"/>
          <w:spacing w:val="-10"/>
          <w:sz w:val="16"/>
        </w:rPr>
        <w:t> </w:t>
      </w:r>
      <w:r>
        <w:rPr>
          <w:color w:val="231F20"/>
          <w:sz w:val="16"/>
        </w:rPr>
        <w:t>escuelas</w:t>
      </w:r>
      <w:r>
        <w:rPr>
          <w:color w:val="231F20"/>
          <w:spacing w:val="-9"/>
          <w:sz w:val="16"/>
        </w:rPr>
        <w:t> </w:t>
      </w:r>
      <w:r>
        <w:rPr>
          <w:color w:val="231F20"/>
          <w:sz w:val="16"/>
        </w:rPr>
        <w:t>benefi- ciados</w:t>
      </w:r>
      <w:r>
        <w:rPr>
          <w:color w:val="231F20"/>
          <w:spacing w:val="-8"/>
          <w:sz w:val="16"/>
        </w:rPr>
        <w:t> </w:t>
      </w:r>
      <w:r>
        <w:rPr>
          <w:color w:val="231F20"/>
          <w:sz w:val="16"/>
        </w:rPr>
        <w:t>tienen</w:t>
      </w:r>
      <w:r>
        <w:rPr>
          <w:color w:val="231F20"/>
          <w:spacing w:val="-8"/>
          <w:sz w:val="16"/>
        </w:rPr>
        <w:t> </w:t>
      </w:r>
      <w:r>
        <w:rPr>
          <w:color w:val="231F20"/>
          <w:sz w:val="16"/>
        </w:rPr>
        <w:t>equipos</w:t>
      </w:r>
      <w:r>
        <w:rPr>
          <w:color w:val="231F20"/>
          <w:spacing w:val="-8"/>
          <w:sz w:val="16"/>
        </w:rPr>
        <w:t> </w:t>
      </w:r>
      <w:r>
        <w:rPr>
          <w:color w:val="231F20"/>
          <w:sz w:val="16"/>
        </w:rPr>
        <w:t>que</w:t>
      </w:r>
      <w:r>
        <w:rPr>
          <w:color w:val="231F20"/>
          <w:spacing w:val="-8"/>
          <w:sz w:val="16"/>
        </w:rPr>
        <w:t> </w:t>
      </w:r>
      <w:r>
        <w:rPr>
          <w:color w:val="231F20"/>
          <w:sz w:val="16"/>
        </w:rPr>
        <w:t>cubran</w:t>
      </w:r>
      <w:r>
        <w:rPr>
          <w:color w:val="231F20"/>
          <w:spacing w:val="-8"/>
          <w:sz w:val="16"/>
        </w:rPr>
        <w:t> </w:t>
      </w:r>
      <w:r>
        <w:rPr>
          <w:color w:val="231F20"/>
          <w:sz w:val="16"/>
        </w:rPr>
        <w:t>el</w:t>
      </w:r>
      <w:r>
        <w:rPr>
          <w:color w:val="231F20"/>
          <w:spacing w:val="-8"/>
          <w:sz w:val="16"/>
        </w:rPr>
        <w:t> </w:t>
      </w:r>
      <w:r>
        <w:rPr>
          <w:color w:val="231F20"/>
          <w:sz w:val="16"/>
        </w:rPr>
        <w:t>100%</w:t>
      </w:r>
      <w:r>
        <w:rPr>
          <w:color w:val="231F20"/>
          <w:spacing w:val="-8"/>
          <w:sz w:val="16"/>
        </w:rPr>
        <w:t> </w:t>
      </w:r>
      <w:r>
        <w:rPr>
          <w:color w:val="231F20"/>
          <w:sz w:val="16"/>
        </w:rPr>
        <w:t>de</w:t>
      </w:r>
      <w:r>
        <w:rPr>
          <w:color w:val="231F20"/>
          <w:spacing w:val="-8"/>
          <w:sz w:val="16"/>
        </w:rPr>
        <w:t> </w:t>
      </w:r>
      <w:r>
        <w:rPr>
          <w:color w:val="231F20"/>
          <w:sz w:val="16"/>
        </w:rPr>
        <w:t>sus</w:t>
      </w:r>
      <w:r>
        <w:rPr>
          <w:color w:val="231F20"/>
          <w:spacing w:val="-8"/>
          <w:sz w:val="16"/>
        </w:rPr>
        <w:t> </w:t>
      </w:r>
      <w:r>
        <w:rPr>
          <w:color w:val="231F20"/>
          <w:sz w:val="16"/>
        </w:rPr>
        <w:t>matrículas.</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rPr>
          <w:sz w:val="13"/>
        </w:rPr>
      </w:pPr>
      <w:r>
        <w:rPr>
          <w:color w:val="231F20"/>
          <w:w w:val="105"/>
        </w:rPr>
        <w:t>es</w:t>
      </w:r>
      <w:r>
        <w:rPr>
          <w:color w:val="231F20"/>
          <w:spacing w:val="-22"/>
          <w:w w:val="105"/>
        </w:rPr>
        <w:t> </w:t>
      </w:r>
      <w:r>
        <w:rPr>
          <w:color w:val="231F20"/>
          <w:w w:val="105"/>
        </w:rPr>
        <w:t>de</w:t>
      </w:r>
      <w:r>
        <w:rPr>
          <w:color w:val="231F20"/>
          <w:spacing w:val="-22"/>
          <w:w w:val="105"/>
        </w:rPr>
        <w:t> </w:t>
      </w:r>
      <w:r>
        <w:rPr>
          <w:color w:val="231F20"/>
          <w:w w:val="105"/>
        </w:rPr>
        <w:t>9.3,</w:t>
      </w:r>
      <w:r>
        <w:rPr>
          <w:color w:val="231F20"/>
          <w:spacing w:val="-22"/>
          <w:w w:val="105"/>
        </w:rPr>
        <w:t> </w:t>
      </w:r>
      <w:r>
        <w:rPr>
          <w:color w:val="231F20"/>
          <w:w w:val="105"/>
        </w:rPr>
        <w:t>pero</w:t>
      </w:r>
      <w:r>
        <w:rPr>
          <w:color w:val="231F20"/>
          <w:spacing w:val="-22"/>
          <w:w w:val="105"/>
        </w:rPr>
        <w:t> </w:t>
      </w:r>
      <w:r>
        <w:rPr>
          <w:color w:val="231F20"/>
          <w:w w:val="105"/>
        </w:rPr>
        <w:t>lo</w:t>
      </w:r>
      <w:r>
        <w:rPr>
          <w:color w:val="231F20"/>
          <w:spacing w:val="-22"/>
          <w:w w:val="105"/>
        </w:rPr>
        <w:t> </w:t>
      </w:r>
      <w:r>
        <w:rPr>
          <w:color w:val="231F20"/>
          <w:w w:val="105"/>
        </w:rPr>
        <w:t>alarmante</w:t>
      </w:r>
      <w:r>
        <w:rPr>
          <w:color w:val="231F20"/>
          <w:spacing w:val="-22"/>
          <w:w w:val="105"/>
        </w:rPr>
        <w:t> </w:t>
      </w:r>
      <w:r>
        <w:rPr>
          <w:color w:val="231F20"/>
          <w:w w:val="105"/>
        </w:rPr>
        <w:t>es</w:t>
      </w:r>
      <w:r>
        <w:rPr>
          <w:color w:val="231F20"/>
          <w:spacing w:val="-22"/>
          <w:w w:val="105"/>
        </w:rPr>
        <w:t> </w:t>
      </w:r>
      <w:r>
        <w:rPr>
          <w:color w:val="231F20"/>
          <w:w w:val="105"/>
        </w:rPr>
        <w:t>la</w:t>
      </w:r>
      <w:r>
        <w:rPr>
          <w:color w:val="231F20"/>
          <w:spacing w:val="-22"/>
          <w:w w:val="105"/>
        </w:rPr>
        <w:t> </w:t>
      </w:r>
      <w:r>
        <w:rPr>
          <w:color w:val="231F20"/>
          <w:w w:val="105"/>
        </w:rPr>
        <w:t>reprobación,</w:t>
      </w:r>
      <w:r>
        <w:rPr>
          <w:color w:val="231F20"/>
          <w:spacing w:val="-22"/>
          <w:w w:val="105"/>
        </w:rPr>
        <w:t> </w:t>
      </w:r>
      <w:r>
        <w:rPr>
          <w:color w:val="231F20"/>
          <w:w w:val="105"/>
        </w:rPr>
        <w:t>que</w:t>
      </w:r>
      <w:r>
        <w:rPr>
          <w:color w:val="231F20"/>
          <w:spacing w:val="-22"/>
          <w:w w:val="105"/>
        </w:rPr>
        <w:t> </w:t>
      </w:r>
      <w:r>
        <w:rPr>
          <w:color w:val="231F20"/>
          <w:w w:val="105"/>
        </w:rPr>
        <w:t>asciende</w:t>
      </w:r>
      <w:r>
        <w:rPr>
          <w:color w:val="231F20"/>
          <w:spacing w:val="-22"/>
          <w:w w:val="105"/>
        </w:rPr>
        <w:t> </w:t>
      </w:r>
      <w:r>
        <w:rPr>
          <w:color w:val="231F20"/>
          <w:spacing w:val="2"/>
          <w:w w:val="105"/>
        </w:rPr>
        <w:t>al</w:t>
      </w:r>
      <w:r>
        <w:rPr>
          <w:color w:val="231F20"/>
          <w:spacing w:val="-22"/>
          <w:w w:val="105"/>
        </w:rPr>
        <w:t> </w:t>
      </w:r>
      <w:r>
        <w:rPr>
          <w:color w:val="231F20"/>
          <w:spacing w:val="-4"/>
          <w:w w:val="105"/>
        </w:rPr>
        <w:t>27.02.</w:t>
      </w:r>
      <w:r>
        <w:rPr>
          <w:color w:val="231F20"/>
          <w:spacing w:val="-22"/>
          <w:w w:val="105"/>
        </w:rPr>
        <w:t> </w:t>
      </w:r>
      <w:r>
        <w:rPr>
          <w:color w:val="231F20"/>
          <w:w w:val="105"/>
        </w:rPr>
        <w:t>En</w:t>
      </w:r>
      <w:r>
        <w:rPr>
          <w:color w:val="231F20"/>
          <w:spacing w:val="-22"/>
          <w:w w:val="105"/>
        </w:rPr>
        <w:t> </w:t>
      </w:r>
      <w:r>
        <w:rPr>
          <w:color w:val="231F20"/>
          <w:w w:val="105"/>
        </w:rPr>
        <w:t>bachillerato,</w:t>
      </w:r>
      <w:r>
        <w:rPr>
          <w:color w:val="231F20"/>
          <w:spacing w:val="-22"/>
          <w:w w:val="105"/>
        </w:rPr>
        <w:t> </w:t>
      </w:r>
      <w:r>
        <w:rPr>
          <w:color w:val="231F20"/>
          <w:w w:val="105"/>
        </w:rPr>
        <w:t>hay una</w:t>
      </w:r>
      <w:r>
        <w:rPr>
          <w:color w:val="231F20"/>
          <w:spacing w:val="-13"/>
          <w:w w:val="105"/>
        </w:rPr>
        <w:t> </w:t>
      </w:r>
      <w:r>
        <w:rPr>
          <w:color w:val="231F20"/>
          <w:w w:val="105"/>
        </w:rPr>
        <w:t>deserción</w:t>
      </w:r>
      <w:r>
        <w:rPr>
          <w:color w:val="231F20"/>
          <w:spacing w:val="-13"/>
          <w:w w:val="105"/>
        </w:rPr>
        <w:t> </w:t>
      </w:r>
      <w:r>
        <w:rPr>
          <w:color w:val="231F20"/>
          <w:w w:val="105"/>
        </w:rPr>
        <w:t>del</w:t>
      </w:r>
      <w:r>
        <w:rPr>
          <w:color w:val="231F20"/>
          <w:spacing w:val="-13"/>
          <w:w w:val="105"/>
        </w:rPr>
        <w:t> </w:t>
      </w:r>
      <w:r>
        <w:rPr>
          <w:color w:val="231F20"/>
          <w:w w:val="105"/>
        </w:rPr>
        <w:t>15.69</w:t>
      </w:r>
      <w:r>
        <w:rPr>
          <w:color w:val="231F20"/>
          <w:spacing w:val="-13"/>
          <w:w w:val="105"/>
        </w:rPr>
        <w:t> </w:t>
      </w:r>
      <w:r>
        <w:rPr>
          <w:color w:val="231F20"/>
          <w:w w:val="105"/>
        </w:rPr>
        <w:t>y</w:t>
      </w:r>
      <w:r>
        <w:rPr>
          <w:color w:val="231F20"/>
          <w:spacing w:val="-13"/>
          <w:w w:val="105"/>
        </w:rPr>
        <w:t> </w:t>
      </w:r>
      <w:r>
        <w:rPr>
          <w:color w:val="231F20"/>
          <w:w w:val="105"/>
        </w:rPr>
        <w:t>una</w:t>
      </w:r>
      <w:r>
        <w:rPr>
          <w:color w:val="231F20"/>
          <w:spacing w:val="-13"/>
          <w:w w:val="105"/>
        </w:rPr>
        <w:t> </w:t>
      </w:r>
      <w:r>
        <w:rPr>
          <w:color w:val="231F20"/>
          <w:spacing w:val="-3"/>
          <w:w w:val="105"/>
        </w:rPr>
        <w:t>reprobación</w:t>
      </w:r>
      <w:r>
        <w:rPr>
          <w:color w:val="231F20"/>
          <w:spacing w:val="-13"/>
          <w:w w:val="105"/>
        </w:rPr>
        <w:t> </w:t>
      </w:r>
      <w:r>
        <w:rPr>
          <w:color w:val="231F20"/>
          <w:w w:val="105"/>
        </w:rPr>
        <w:t>del</w:t>
      </w:r>
      <w:r>
        <w:rPr>
          <w:color w:val="231F20"/>
          <w:spacing w:val="-13"/>
          <w:w w:val="105"/>
        </w:rPr>
        <w:t> </w:t>
      </w:r>
      <w:r>
        <w:rPr>
          <w:color w:val="231F20"/>
          <w:spacing w:val="-5"/>
          <w:w w:val="105"/>
        </w:rPr>
        <w:t>31.74%.</w:t>
      </w:r>
      <w:r>
        <w:rPr>
          <w:color w:val="231F20"/>
          <w:spacing w:val="-13"/>
          <w:w w:val="105"/>
        </w:rPr>
        <w:t> </w:t>
      </w:r>
      <w:r>
        <w:rPr>
          <w:color w:val="231F20"/>
          <w:w w:val="105"/>
        </w:rPr>
        <w:t>Y</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nivel</w:t>
      </w:r>
      <w:r>
        <w:rPr>
          <w:color w:val="231F20"/>
          <w:spacing w:val="-13"/>
          <w:w w:val="105"/>
        </w:rPr>
        <w:t> </w:t>
      </w:r>
      <w:r>
        <w:rPr>
          <w:color w:val="231F20"/>
          <w:w w:val="105"/>
        </w:rPr>
        <w:t>profesional</w:t>
      </w:r>
      <w:r>
        <w:rPr>
          <w:color w:val="231F20"/>
          <w:spacing w:val="-13"/>
          <w:w w:val="105"/>
        </w:rPr>
        <w:t> </w:t>
      </w:r>
      <w:r>
        <w:rPr>
          <w:color w:val="231F20"/>
          <w:w w:val="105"/>
        </w:rPr>
        <w:t>técnico hay</w:t>
      </w:r>
      <w:r>
        <w:rPr>
          <w:color w:val="231F20"/>
          <w:spacing w:val="-17"/>
          <w:w w:val="105"/>
        </w:rPr>
        <w:t> </w:t>
      </w:r>
      <w:r>
        <w:rPr>
          <w:color w:val="231F20"/>
          <w:w w:val="105"/>
        </w:rPr>
        <w:t>una</w:t>
      </w:r>
      <w:r>
        <w:rPr>
          <w:color w:val="231F20"/>
          <w:spacing w:val="-17"/>
          <w:w w:val="105"/>
        </w:rPr>
        <w:t> </w:t>
      </w:r>
      <w:r>
        <w:rPr>
          <w:color w:val="231F20"/>
          <w:w w:val="105"/>
        </w:rPr>
        <w:t>deserción</w:t>
      </w:r>
      <w:r>
        <w:rPr>
          <w:color w:val="231F20"/>
          <w:spacing w:val="-17"/>
          <w:w w:val="105"/>
        </w:rPr>
        <w:t> </w:t>
      </w:r>
      <w:r>
        <w:rPr>
          <w:color w:val="231F20"/>
          <w:w w:val="105"/>
        </w:rPr>
        <w:t>de</w:t>
      </w:r>
      <w:r>
        <w:rPr>
          <w:color w:val="231F20"/>
          <w:spacing w:val="-17"/>
          <w:w w:val="105"/>
        </w:rPr>
        <w:t> </w:t>
      </w:r>
      <w:r>
        <w:rPr>
          <w:color w:val="231F20"/>
          <w:w w:val="105"/>
        </w:rPr>
        <w:t>34.11</w:t>
      </w:r>
      <w:r>
        <w:rPr>
          <w:color w:val="231F20"/>
          <w:spacing w:val="-17"/>
          <w:w w:val="105"/>
        </w:rPr>
        <w:t> </w:t>
      </w:r>
      <w:r>
        <w:rPr>
          <w:color w:val="231F20"/>
          <w:w w:val="105"/>
        </w:rPr>
        <w:t>y</w:t>
      </w:r>
      <w:r>
        <w:rPr>
          <w:color w:val="231F20"/>
          <w:spacing w:val="-17"/>
          <w:w w:val="105"/>
        </w:rPr>
        <w:t> </w:t>
      </w:r>
      <w:r>
        <w:rPr>
          <w:color w:val="231F20"/>
          <w:w w:val="105"/>
        </w:rPr>
        <w:t>una</w:t>
      </w:r>
      <w:r>
        <w:rPr>
          <w:color w:val="231F20"/>
          <w:spacing w:val="-17"/>
          <w:w w:val="105"/>
        </w:rPr>
        <w:t> </w:t>
      </w:r>
      <w:r>
        <w:rPr>
          <w:color w:val="231F20"/>
          <w:spacing w:val="-3"/>
          <w:w w:val="105"/>
        </w:rPr>
        <w:t>reprobación</w:t>
      </w:r>
      <w:r>
        <w:rPr>
          <w:color w:val="231F20"/>
          <w:spacing w:val="-17"/>
          <w:w w:val="105"/>
        </w:rPr>
        <w:t> </w:t>
      </w:r>
      <w:r>
        <w:rPr>
          <w:color w:val="231F20"/>
          <w:w w:val="105"/>
        </w:rPr>
        <w:t>de</w:t>
      </w:r>
      <w:r>
        <w:rPr>
          <w:color w:val="231F20"/>
          <w:spacing w:val="-17"/>
          <w:w w:val="105"/>
        </w:rPr>
        <w:t> </w:t>
      </w:r>
      <w:r>
        <w:rPr>
          <w:color w:val="231F20"/>
          <w:w w:val="105"/>
        </w:rPr>
        <w:t>41.60</w:t>
      </w:r>
      <w:r>
        <w:rPr>
          <w:color w:val="231F20"/>
          <w:w w:val="105"/>
          <w:position w:val="7"/>
          <w:sz w:val="13"/>
        </w:rPr>
        <w:t>29.</w:t>
      </w:r>
    </w:p>
    <w:p>
      <w:pPr>
        <w:pStyle w:val="BodyText"/>
        <w:spacing w:before="1"/>
        <w:rPr>
          <w:sz w:val="26"/>
        </w:rPr>
      </w:pPr>
    </w:p>
    <w:p>
      <w:pPr>
        <w:pStyle w:val="BodyText"/>
        <w:spacing w:line="285" w:lineRule="auto"/>
        <w:ind w:left="110" w:right="108"/>
        <w:jc w:val="both"/>
      </w:pPr>
      <w:r>
        <w:rPr>
          <w:color w:val="231F20"/>
          <w:w w:val="105"/>
        </w:rPr>
        <w:t>En el municipio se encuentran 24 bibliotecas, la cobertura de cultura por cada mil ha- bitantes es de 14.62, lo que significa que las 41 casas de cultura han sido insuficientes o que no ha existido una buena difusión. La cultura no ha sido la gran apuesta de las gestiones anteriores.</w:t>
      </w:r>
    </w:p>
    <w:p>
      <w:pPr>
        <w:pStyle w:val="BodyText"/>
        <w:spacing w:before="1"/>
        <w:rPr>
          <w:sz w:val="26"/>
        </w:rPr>
      </w:pPr>
    </w:p>
    <w:p>
      <w:pPr>
        <w:pStyle w:val="BodyText"/>
        <w:spacing w:line="285" w:lineRule="auto"/>
        <w:ind w:left="110" w:right="107"/>
        <w:jc w:val="both"/>
      </w:pPr>
      <w:r>
        <w:rPr>
          <w:color w:val="231F20"/>
          <w:w w:val="105"/>
        </w:rPr>
        <w:t>Respecto</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salud,</w:t>
      </w:r>
      <w:r>
        <w:rPr>
          <w:color w:val="231F20"/>
          <w:spacing w:val="-27"/>
          <w:w w:val="105"/>
        </w:rPr>
        <w:t> </w:t>
      </w:r>
      <w:r>
        <w:rPr>
          <w:color w:val="231F20"/>
          <w:w w:val="105"/>
        </w:rPr>
        <w:t>en</w:t>
      </w:r>
      <w:r>
        <w:rPr>
          <w:color w:val="231F20"/>
          <w:spacing w:val="-27"/>
          <w:w w:val="105"/>
        </w:rPr>
        <w:t> </w:t>
      </w:r>
      <w:r>
        <w:rPr>
          <w:color w:val="231F20"/>
          <w:w w:val="105"/>
        </w:rPr>
        <w:t>Tlalnepantla</w:t>
      </w:r>
      <w:r>
        <w:rPr>
          <w:color w:val="231F20"/>
          <w:spacing w:val="-27"/>
          <w:w w:val="105"/>
        </w:rPr>
        <w:t> </w:t>
      </w:r>
      <w:r>
        <w:rPr>
          <w:color w:val="231F20"/>
          <w:w w:val="105"/>
        </w:rPr>
        <w:t>solo</w:t>
      </w:r>
      <w:r>
        <w:rPr>
          <w:color w:val="231F20"/>
          <w:spacing w:val="-27"/>
          <w:w w:val="105"/>
        </w:rPr>
        <w:t> </w:t>
      </w:r>
      <w:r>
        <w:rPr>
          <w:color w:val="231F20"/>
          <w:w w:val="105"/>
        </w:rPr>
        <w:t>el</w:t>
      </w:r>
      <w:r>
        <w:rPr>
          <w:color w:val="231F20"/>
          <w:spacing w:val="-27"/>
          <w:w w:val="105"/>
        </w:rPr>
        <w:t> </w:t>
      </w:r>
      <w:r>
        <w:rPr>
          <w:color w:val="231F20"/>
          <w:w w:val="105"/>
        </w:rPr>
        <w:t>55.43%</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población</w:t>
      </w:r>
      <w:r>
        <w:rPr>
          <w:color w:val="231F20"/>
          <w:spacing w:val="-27"/>
          <w:w w:val="105"/>
        </w:rPr>
        <w:t> </w:t>
      </w:r>
      <w:r>
        <w:rPr>
          <w:color w:val="231F20"/>
          <w:w w:val="105"/>
        </w:rPr>
        <w:t>tiene</w:t>
      </w:r>
      <w:r>
        <w:rPr>
          <w:color w:val="231F20"/>
          <w:spacing w:val="-27"/>
          <w:w w:val="105"/>
        </w:rPr>
        <w:t> </w:t>
      </w:r>
      <w:r>
        <w:rPr>
          <w:color w:val="231F20"/>
          <w:w w:val="105"/>
        </w:rPr>
        <w:t>seguridad</w:t>
      </w:r>
      <w:r>
        <w:rPr>
          <w:color w:val="231F20"/>
          <w:spacing w:val="-27"/>
          <w:w w:val="105"/>
        </w:rPr>
        <w:t> </w:t>
      </w:r>
      <w:r>
        <w:rPr>
          <w:color w:val="231F20"/>
          <w:w w:val="105"/>
        </w:rPr>
        <w:t>social a</w:t>
      </w:r>
      <w:r>
        <w:rPr>
          <w:color w:val="231F20"/>
          <w:spacing w:val="-5"/>
          <w:w w:val="105"/>
        </w:rPr>
        <w:t> </w:t>
      </w:r>
      <w:r>
        <w:rPr>
          <w:color w:val="231F20"/>
          <w:w w:val="105"/>
        </w:rPr>
        <w:t>través</w:t>
      </w:r>
      <w:r>
        <w:rPr>
          <w:color w:val="231F20"/>
          <w:spacing w:val="-5"/>
          <w:w w:val="105"/>
        </w:rPr>
        <w:t> </w:t>
      </w:r>
      <w:r>
        <w:rPr>
          <w:color w:val="231F20"/>
          <w:w w:val="105"/>
        </w:rPr>
        <w:t>de</w:t>
      </w:r>
      <w:r>
        <w:rPr>
          <w:color w:val="231F20"/>
          <w:spacing w:val="-5"/>
          <w:w w:val="105"/>
        </w:rPr>
        <w:t> </w:t>
      </w:r>
      <w:r>
        <w:rPr>
          <w:color w:val="231F20"/>
          <w:w w:val="105"/>
        </w:rPr>
        <w:t>IMSS;</w:t>
      </w:r>
      <w:r>
        <w:rPr>
          <w:color w:val="231F20"/>
          <w:spacing w:val="-5"/>
          <w:w w:val="105"/>
        </w:rPr>
        <w:t> </w:t>
      </w:r>
      <w:r>
        <w:rPr>
          <w:color w:val="231F20"/>
          <w:w w:val="105"/>
        </w:rPr>
        <w:t>ISSSTE,</w:t>
      </w:r>
      <w:r>
        <w:rPr>
          <w:color w:val="231F20"/>
          <w:spacing w:val="-5"/>
          <w:w w:val="105"/>
        </w:rPr>
        <w:t> </w:t>
      </w:r>
      <w:r>
        <w:rPr>
          <w:color w:val="231F20"/>
          <w:w w:val="105"/>
        </w:rPr>
        <w:t>PEMEX,</w:t>
      </w:r>
      <w:r>
        <w:rPr>
          <w:color w:val="231F20"/>
          <w:spacing w:val="-5"/>
          <w:w w:val="105"/>
        </w:rPr>
        <w:t> </w:t>
      </w:r>
      <w:r>
        <w:rPr>
          <w:color w:val="231F20"/>
          <w:w w:val="105"/>
        </w:rPr>
        <w:t>Seguro</w:t>
      </w:r>
      <w:r>
        <w:rPr>
          <w:color w:val="231F20"/>
          <w:spacing w:val="-5"/>
          <w:w w:val="105"/>
        </w:rPr>
        <w:t> </w:t>
      </w:r>
      <w:r>
        <w:rPr>
          <w:color w:val="231F20"/>
          <w:w w:val="105"/>
        </w:rPr>
        <w:t>Popular</w:t>
      </w:r>
      <w:r>
        <w:rPr>
          <w:color w:val="231F20"/>
          <w:spacing w:val="-5"/>
          <w:w w:val="105"/>
        </w:rPr>
        <w:t> </w:t>
      </w:r>
      <w:r>
        <w:rPr>
          <w:color w:val="231F20"/>
          <w:w w:val="105"/>
        </w:rPr>
        <w:t>y</w:t>
      </w:r>
      <w:r>
        <w:rPr>
          <w:color w:val="231F20"/>
          <w:spacing w:val="-5"/>
          <w:w w:val="105"/>
        </w:rPr>
        <w:t> </w:t>
      </w:r>
      <w:r>
        <w:rPr>
          <w:color w:val="231F20"/>
          <w:w w:val="105"/>
        </w:rPr>
        <w:t>otros.</w:t>
      </w:r>
      <w:r>
        <w:rPr>
          <w:color w:val="231F20"/>
          <w:spacing w:val="-5"/>
          <w:w w:val="105"/>
        </w:rPr>
        <w:t> </w:t>
      </w:r>
      <w:r>
        <w:rPr>
          <w:color w:val="231F20"/>
          <w:w w:val="105"/>
        </w:rPr>
        <w:t>Se</w:t>
      </w:r>
      <w:r>
        <w:rPr>
          <w:color w:val="231F20"/>
          <w:spacing w:val="-5"/>
          <w:w w:val="105"/>
        </w:rPr>
        <w:t> </w:t>
      </w:r>
      <w:r>
        <w:rPr>
          <w:color w:val="231F20"/>
          <w:w w:val="105"/>
        </w:rPr>
        <w:t>presenta</w:t>
      </w:r>
      <w:r>
        <w:rPr>
          <w:color w:val="231F20"/>
          <w:spacing w:val="-5"/>
          <w:w w:val="105"/>
        </w:rPr>
        <w:t> </w:t>
      </w:r>
      <w:r>
        <w:rPr>
          <w:color w:val="231F20"/>
          <w:w w:val="105"/>
        </w:rPr>
        <w:t>un</w:t>
      </w:r>
      <w:r>
        <w:rPr>
          <w:color w:val="231F20"/>
          <w:spacing w:val="-5"/>
          <w:w w:val="105"/>
        </w:rPr>
        <w:t> </w:t>
      </w:r>
      <w:r>
        <w:rPr>
          <w:color w:val="231F20"/>
          <w:w w:val="105"/>
        </w:rPr>
        <w:t>déficit</w:t>
      </w:r>
      <w:r>
        <w:rPr>
          <w:color w:val="231F20"/>
          <w:spacing w:val="-5"/>
          <w:w w:val="105"/>
        </w:rPr>
        <w:t> </w:t>
      </w:r>
      <w:r>
        <w:rPr>
          <w:color w:val="231F20"/>
          <w:w w:val="105"/>
        </w:rPr>
        <w:t>de </w:t>
      </w:r>
      <w:r>
        <w:rPr>
          <w:color w:val="231F20"/>
          <w:spacing w:val="-3"/>
          <w:w w:val="105"/>
        </w:rPr>
        <w:t>39.32%</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rezagada</w:t>
      </w:r>
      <w:r>
        <w:rPr>
          <w:color w:val="231F20"/>
          <w:spacing w:val="-7"/>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ámbito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vida</w:t>
      </w:r>
      <w:r>
        <w:rPr>
          <w:color w:val="231F20"/>
          <w:spacing w:val="-7"/>
          <w:w w:val="105"/>
        </w:rPr>
        <w:t> </w:t>
      </w:r>
      <w:r>
        <w:rPr>
          <w:color w:val="231F20"/>
          <w:w w:val="105"/>
        </w:rPr>
        <w:t>municipal.</w:t>
      </w:r>
      <w:r>
        <w:rPr>
          <w:color w:val="231F20"/>
          <w:spacing w:val="-7"/>
          <w:w w:val="105"/>
        </w:rPr>
        <w:t> </w:t>
      </w:r>
      <w:r>
        <w:rPr>
          <w:color w:val="231F20"/>
          <w:w w:val="105"/>
        </w:rPr>
        <w:t>Existen</w:t>
      </w:r>
      <w:r>
        <w:rPr>
          <w:color w:val="231F20"/>
          <w:spacing w:val="-7"/>
          <w:w w:val="105"/>
        </w:rPr>
        <w:t> </w:t>
      </w:r>
      <w:r>
        <w:rPr>
          <w:color w:val="231F20"/>
          <w:w w:val="105"/>
        </w:rPr>
        <w:t>268,860 personas</w:t>
      </w:r>
      <w:r>
        <w:rPr>
          <w:color w:val="231F20"/>
          <w:spacing w:val="-10"/>
          <w:w w:val="105"/>
        </w:rPr>
        <w:t> </w:t>
      </w:r>
      <w:r>
        <w:rPr>
          <w:color w:val="231F20"/>
          <w:w w:val="105"/>
        </w:rPr>
        <w:t>sin</w:t>
      </w:r>
      <w:r>
        <w:rPr>
          <w:color w:val="231F20"/>
          <w:spacing w:val="-10"/>
          <w:w w:val="105"/>
        </w:rPr>
        <w:t> </w:t>
      </w:r>
      <w:r>
        <w:rPr>
          <w:color w:val="231F20"/>
          <w:w w:val="105"/>
        </w:rPr>
        <w:t>seguridad</w:t>
      </w:r>
      <w:r>
        <w:rPr>
          <w:color w:val="231F20"/>
          <w:spacing w:val="-10"/>
          <w:w w:val="105"/>
        </w:rPr>
        <w:t> </w:t>
      </w:r>
      <w:r>
        <w:rPr>
          <w:color w:val="231F20"/>
          <w:w w:val="105"/>
        </w:rPr>
        <w:t>social.</w:t>
      </w:r>
      <w:r>
        <w:rPr>
          <w:color w:val="231F20"/>
          <w:spacing w:val="-10"/>
          <w:w w:val="105"/>
        </w:rPr>
        <w:t> </w:t>
      </w:r>
      <w:r>
        <w:rPr>
          <w:color w:val="231F20"/>
          <w:w w:val="105"/>
        </w:rPr>
        <w:t>Para</w:t>
      </w:r>
      <w:r>
        <w:rPr>
          <w:color w:val="231F20"/>
          <w:spacing w:val="-10"/>
          <w:w w:val="105"/>
        </w:rPr>
        <w:t> </w:t>
      </w:r>
      <w:r>
        <w:rPr>
          <w:color w:val="231F20"/>
          <w:w w:val="105"/>
        </w:rPr>
        <w:t>cubrir</w:t>
      </w:r>
      <w:r>
        <w:rPr>
          <w:color w:val="231F20"/>
          <w:spacing w:val="-10"/>
          <w:w w:val="105"/>
        </w:rPr>
        <w:t> </w:t>
      </w:r>
      <w:r>
        <w:rPr>
          <w:color w:val="231F20"/>
          <w:w w:val="105"/>
        </w:rPr>
        <w:t>ese</w:t>
      </w:r>
      <w:r>
        <w:rPr>
          <w:color w:val="231F20"/>
          <w:spacing w:val="-10"/>
          <w:w w:val="105"/>
        </w:rPr>
        <w:t> </w:t>
      </w:r>
      <w:r>
        <w:rPr>
          <w:color w:val="231F20"/>
          <w:w w:val="105"/>
        </w:rPr>
        <w:t>déficit</w:t>
      </w:r>
      <w:r>
        <w:rPr>
          <w:color w:val="231F20"/>
          <w:spacing w:val="-10"/>
          <w:w w:val="105"/>
        </w:rPr>
        <w:t> </w:t>
      </w:r>
      <w:r>
        <w:rPr>
          <w:color w:val="231F20"/>
          <w:w w:val="105"/>
        </w:rPr>
        <w:t>de</w:t>
      </w:r>
      <w:r>
        <w:rPr>
          <w:color w:val="231F20"/>
          <w:spacing w:val="-10"/>
          <w:w w:val="105"/>
        </w:rPr>
        <w:t> </w:t>
      </w:r>
      <w:r>
        <w:rPr>
          <w:color w:val="231F20"/>
          <w:w w:val="105"/>
        </w:rPr>
        <w:t>atención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instituciones</w:t>
      </w:r>
      <w:r>
        <w:rPr>
          <w:color w:val="231F20"/>
          <w:spacing w:val="-10"/>
          <w:w w:val="105"/>
        </w:rPr>
        <w:t> </w:t>
      </w:r>
      <w:r>
        <w:rPr>
          <w:color w:val="231F20"/>
          <w:w w:val="105"/>
        </w:rPr>
        <w:t>de salud</w:t>
      </w:r>
      <w:r>
        <w:rPr>
          <w:color w:val="231F20"/>
          <w:spacing w:val="-23"/>
          <w:w w:val="105"/>
        </w:rPr>
        <w:t> </w:t>
      </w:r>
      <w:r>
        <w:rPr>
          <w:color w:val="231F20"/>
          <w:w w:val="105"/>
        </w:rPr>
        <w:t>pública,</w:t>
      </w:r>
      <w:r>
        <w:rPr>
          <w:color w:val="231F20"/>
          <w:spacing w:val="-23"/>
          <w:w w:val="105"/>
        </w:rPr>
        <w:t> </w:t>
      </w:r>
      <w:r>
        <w:rPr>
          <w:color w:val="231F20"/>
          <w:w w:val="105"/>
        </w:rPr>
        <w:t>el</w:t>
      </w:r>
      <w:r>
        <w:rPr>
          <w:color w:val="231F20"/>
          <w:spacing w:val="-23"/>
          <w:w w:val="105"/>
        </w:rPr>
        <w:t> </w:t>
      </w:r>
      <w:r>
        <w:rPr>
          <w:color w:val="231F20"/>
          <w:w w:val="105"/>
        </w:rPr>
        <w:t>Sistema</w:t>
      </w:r>
      <w:r>
        <w:rPr>
          <w:color w:val="231F20"/>
          <w:spacing w:val="-23"/>
          <w:w w:val="105"/>
        </w:rPr>
        <w:t> </w:t>
      </w:r>
      <w:r>
        <w:rPr>
          <w:color w:val="231F20"/>
          <w:w w:val="105"/>
        </w:rPr>
        <w:t>Municipal</w:t>
      </w:r>
      <w:r>
        <w:rPr>
          <w:color w:val="231F20"/>
          <w:spacing w:val="-23"/>
          <w:w w:val="105"/>
        </w:rPr>
        <w:t> </w:t>
      </w:r>
      <w:r>
        <w:rPr>
          <w:color w:val="231F20"/>
          <w:w w:val="105"/>
        </w:rPr>
        <w:t>DIF</w:t>
      </w:r>
      <w:r>
        <w:rPr>
          <w:color w:val="231F20"/>
          <w:spacing w:val="-23"/>
          <w:w w:val="105"/>
        </w:rPr>
        <w:t> </w:t>
      </w:r>
      <w:r>
        <w:rPr>
          <w:color w:val="231F20"/>
          <w:w w:val="105"/>
        </w:rPr>
        <w:t>contaba</w:t>
      </w:r>
      <w:r>
        <w:rPr>
          <w:color w:val="231F20"/>
          <w:spacing w:val="-23"/>
          <w:w w:val="105"/>
        </w:rPr>
        <w:t> </w:t>
      </w:r>
      <w:r>
        <w:rPr>
          <w:color w:val="231F20"/>
          <w:w w:val="105"/>
        </w:rPr>
        <w:t>con</w:t>
      </w:r>
      <w:r>
        <w:rPr>
          <w:color w:val="231F20"/>
          <w:spacing w:val="-23"/>
          <w:w w:val="105"/>
        </w:rPr>
        <w:t> </w:t>
      </w:r>
      <w:r>
        <w:rPr>
          <w:color w:val="231F20"/>
          <w:w w:val="105"/>
        </w:rPr>
        <w:t>2</w:t>
      </w:r>
      <w:r>
        <w:rPr>
          <w:color w:val="231F20"/>
          <w:spacing w:val="-23"/>
          <w:w w:val="105"/>
        </w:rPr>
        <w:t> </w:t>
      </w:r>
      <w:r>
        <w:rPr>
          <w:color w:val="231F20"/>
          <w:w w:val="105"/>
        </w:rPr>
        <w:t>clínicas</w:t>
      </w:r>
      <w:r>
        <w:rPr>
          <w:color w:val="231F20"/>
          <w:spacing w:val="-23"/>
          <w:w w:val="105"/>
        </w:rPr>
        <w:t> </w:t>
      </w:r>
      <w:r>
        <w:rPr>
          <w:color w:val="231F20"/>
          <w:w w:val="105"/>
        </w:rPr>
        <w:t>de</w:t>
      </w:r>
      <w:r>
        <w:rPr>
          <w:color w:val="231F20"/>
          <w:spacing w:val="-23"/>
          <w:w w:val="105"/>
        </w:rPr>
        <w:t> </w:t>
      </w:r>
      <w:r>
        <w:rPr>
          <w:color w:val="231F20"/>
          <w:w w:val="105"/>
        </w:rPr>
        <w:t>salud</w:t>
      </w:r>
      <w:r>
        <w:rPr>
          <w:color w:val="231F20"/>
          <w:spacing w:val="-23"/>
          <w:w w:val="105"/>
        </w:rPr>
        <w:t> </w:t>
      </w:r>
      <w:r>
        <w:rPr>
          <w:color w:val="231F20"/>
          <w:w w:val="105"/>
        </w:rPr>
        <w:t>–</w:t>
      </w:r>
      <w:r>
        <w:rPr>
          <w:color w:val="231F20"/>
          <w:spacing w:val="-23"/>
          <w:w w:val="105"/>
        </w:rPr>
        <w:t> </w:t>
      </w:r>
      <w:r>
        <w:rPr>
          <w:color w:val="231F20"/>
          <w:w w:val="105"/>
        </w:rPr>
        <w:t>Santa</w:t>
      </w:r>
      <w:r>
        <w:rPr>
          <w:color w:val="231F20"/>
          <w:spacing w:val="-23"/>
          <w:w w:val="105"/>
        </w:rPr>
        <w:t> </w:t>
      </w:r>
      <w:r>
        <w:rPr>
          <w:color w:val="231F20"/>
          <w:w w:val="105"/>
        </w:rPr>
        <w:t>Mónica, ubicada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zona</w:t>
      </w:r>
      <w:r>
        <w:rPr>
          <w:color w:val="231F20"/>
          <w:spacing w:val="-12"/>
          <w:w w:val="105"/>
        </w:rPr>
        <w:t> </w:t>
      </w:r>
      <w:r>
        <w:rPr>
          <w:color w:val="231F20"/>
          <w:w w:val="105"/>
        </w:rPr>
        <w:t>poniente</w:t>
      </w:r>
      <w:r>
        <w:rPr>
          <w:color w:val="231F20"/>
          <w:spacing w:val="-12"/>
          <w:w w:val="105"/>
        </w:rPr>
        <w:t> </w:t>
      </w:r>
      <w:r>
        <w:rPr>
          <w:color w:val="231F20"/>
          <w:w w:val="105"/>
        </w:rPr>
        <w:t>y</w:t>
      </w:r>
      <w:r>
        <w:rPr>
          <w:color w:val="231F20"/>
          <w:spacing w:val="-12"/>
          <w:w w:val="105"/>
        </w:rPr>
        <w:t> </w:t>
      </w:r>
      <w:r>
        <w:rPr>
          <w:color w:val="231F20"/>
          <w:w w:val="105"/>
        </w:rPr>
        <w:t>Cristina</w:t>
      </w:r>
      <w:r>
        <w:rPr>
          <w:color w:val="231F20"/>
          <w:spacing w:val="-12"/>
          <w:w w:val="105"/>
        </w:rPr>
        <w:t> </w:t>
      </w:r>
      <w:r>
        <w:rPr>
          <w:color w:val="231F20"/>
          <w:w w:val="105"/>
        </w:rPr>
        <w:t>Pacheco,</w:t>
      </w:r>
      <w:r>
        <w:rPr>
          <w:color w:val="231F20"/>
          <w:spacing w:val="-12"/>
          <w:w w:val="105"/>
        </w:rPr>
        <w:t> </w:t>
      </w:r>
      <w:r>
        <w:rPr>
          <w:color w:val="231F20"/>
          <w:w w:val="105"/>
        </w:rPr>
        <w:t>localizado</w:t>
      </w:r>
      <w:r>
        <w:rPr>
          <w:color w:val="231F20"/>
          <w:spacing w:val="-12"/>
          <w:w w:val="105"/>
        </w:rPr>
        <w:t> </w:t>
      </w:r>
      <w:r>
        <w:rPr>
          <w:color w:val="231F20"/>
          <w:w w:val="105"/>
        </w:rPr>
        <w:t>en</w:t>
      </w:r>
      <w:r>
        <w:rPr>
          <w:color w:val="231F20"/>
          <w:spacing w:val="-12"/>
          <w:w w:val="105"/>
        </w:rPr>
        <w:t> </w:t>
      </w:r>
      <w:r>
        <w:rPr>
          <w:color w:val="231F20"/>
          <w:w w:val="105"/>
        </w:rPr>
        <w:t>zona</w:t>
      </w:r>
      <w:r>
        <w:rPr>
          <w:color w:val="231F20"/>
          <w:spacing w:val="-12"/>
          <w:w w:val="105"/>
        </w:rPr>
        <w:t> </w:t>
      </w:r>
      <w:r>
        <w:rPr>
          <w:color w:val="231F20"/>
          <w:w w:val="105"/>
        </w:rPr>
        <w:t>oriente</w:t>
      </w:r>
      <w:r>
        <w:rPr>
          <w:color w:val="231F20"/>
          <w:spacing w:val="-12"/>
          <w:w w:val="105"/>
        </w:rPr>
        <w:t> </w:t>
      </w:r>
      <w:r>
        <w:rPr>
          <w:color w:val="231F20"/>
          <w:w w:val="105"/>
        </w:rPr>
        <w:t>y</w:t>
      </w:r>
      <w:r>
        <w:rPr>
          <w:color w:val="231F20"/>
          <w:spacing w:val="-12"/>
          <w:w w:val="105"/>
        </w:rPr>
        <w:t> </w:t>
      </w:r>
      <w:r>
        <w:rPr>
          <w:color w:val="231F20"/>
          <w:w w:val="105"/>
        </w:rPr>
        <w:t>atienden</w:t>
      </w:r>
      <w:r>
        <w:rPr>
          <w:color w:val="231F20"/>
          <w:spacing w:val="-12"/>
          <w:w w:val="105"/>
        </w:rPr>
        <w:t> </w:t>
      </w:r>
      <w:r>
        <w:rPr>
          <w:color w:val="231F20"/>
          <w:w w:val="105"/>
        </w:rPr>
        <w:t>a </w:t>
      </w:r>
      <w:r>
        <w:rPr>
          <w:color w:val="231F20"/>
          <w:spacing w:val="-2"/>
          <w:w w:val="105"/>
        </w:rPr>
        <w:t>40,417</w:t>
      </w:r>
      <w:r>
        <w:rPr>
          <w:color w:val="231F20"/>
          <w:spacing w:val="-15"/>
          <w:w w:val="105"/>
        </w:rPr>
        <w:t> </w:t>
      </w:r>
      <w:r>
        <w:rPr>
          <w:color w:val="231F20"/>
          <w:w w:val="105"/>
        </w:rPr>
        <w:t>personas</w:t>
      </w:r>
      <w:r>
        <w:rPr>
          <w:color w:val="231F20"/>
          <w:spacing w:val="-15"/>
          <w:w w:val="105"/>
        </w:rPr>
        <w:t> </w:t>
      </w:r>
      <w:r>
        <w:rPr>
          <w:color w:val="231F20"/>
          <w:w w:val="105"/>
        </w:rPr>
        <w:t>anualmente,</w:t>
      </w:r>
      <w:r>
        <w:rPr>
          <w:color w:val="231F20"/>
          <w:spacing w:val="-15"/>
          <w:w w:val="105"/>
        </w:rPr>
        <w:t> </w:t>
      </w:r>
      <w:r>
        <w:rPr>
          <w:color w:val="231F20"/>
          <w:w w:val="105"/>
        </w:rPr>
        <w:t>además</w:t>
      </w:r>
      <w:r>
        <w:rPr>
          <w:color w:val="231F20"/>
          <w:spacing w:val="-15"/>
          <w:w w:val="105"/>
        </w:rPr>
        <w:t> </w:t>
      </w:r>
      <w:r>
        <w:rPr>
          <w:color w:val="231F20"/>
          <w:w w:val="105"/>
        </w:rPr>
        <w:t>se</w:t>
      </w:r>
      <w:r>
        <w:rPr>
          <w:color w:val="231F20"/>
          <w:spacing w:val="-15"/>
          <w:w w:val="105"/>
        </w:rPr>
        <w:t> </w:t>
      </w:r>
      <w:r>
        <w:rPr>
          <w:color w:val="231F20"/>
          <w:w w:val="105"/>
        </w:rPr>
        <w:t>cuenta</w:t>
      </w:r>
      <w:r>
        <w:rPr>
          <w:color w:val="231F20"/>
          <w:spacing w:val="-15"/>
          <w:w w:val="105"/>
        </w:rPr>
        <w:t> </w:t>
      </w:r>
      <w:r>
        <w:rPr>
          <w:color w:val="231F20"/>
          <w:w w:val="105"/>
        </w:rPr>
        <w:t>con</w:t>
      </w:r>
      <w:r>
        <w:rPr>
          <w:color w:val="231F20"/>
          <w:spacing w:val="-15"/>
          <w:w w:val="105"/>
        </w:rPr>
        <w:t> </w:t>
      </w:r>
      <w:r>
        <w:rPr>
          <w:color w:val="231F20"/>
          <w:w w:val="105"/>
        </w:rPr>
        <w:t>22</w:t>
      </w:r>
      <w:r>
        <w:rPr>
          <w:color w:val="231F20"/>
          <w:spacing w:val="-15"/>
          <w:w w:val="105"/>
        </w:rPr>
        <w:t> </w:t>
      </w:r>
      <w:r>
        <w:rPr>
          <w:color w:val="231F20"/>
          <w:w w:val="105"/>
        </w:rPr>
        <w:t>consultorios</w:t>
      </w:r>
      <w:r>
        <w:rPr>
          <w:color w:val="231F20"/>
          <w:spacing w:val="-15"/>
          <w:w w:val="105"/>
        </w:rPr>
        <w:t> </w:t>
      </w:r>
      <w:r>
        <w:rPr>
          <w:color w:val="231F20"/>
          <w:w w:val="105"/>
        </w:rPr>
        <w:t>periféricos,</w:t>
      </w:r>
      <w:r>
        <w:rPr>
          <w:color w:val="231F20"/>
          <w:spacing w:val="-15"/>
          <w:w w:val="105"/>
        </w:rPr>
        <w:t> </w:t>
      </w:r>
      <w:r>
        <w:rPr>
          <w:color w:val="231F20"/>
          <w:w w:val="105"/>
        </w:rPr>
        <w:t>15</w:t>
      </w:r>
      <w:r>
        <w:rPr>
          <w:color w:val="231F20"/>
          <w:spacing w:val="-15"/>
          <w:w w:val="105"/>
        </w:rPr>
        <w:t> </w:t>
      </w:r>
      <w:r>
        <w:rPr>
          <w:color w:val="231F20"/>
          <w:w w:val="105"/>
        </w:rPr>
        <w:t>en</w:t>
      </w:r>
      <w:r>
        <w:rPr>
          <w:color w:val="231F20"/>
          <w:spacing w:val="-15"/>
          <w:w w:val="105"/>
        </w:rPr>
        <w:t> </w:t>
      </w:r>
      <w:r>
        <w:rPr>
          <w:color w:val="231F20"/>
          <w:w w:val="105"/>
        </w:rPr>
        <w:t>la zona poniente y 7 en zona oriente, </w:t>
      </w:r>
      <w:r>
        <w:rPr>
          <w:color w:val="231F20"/>
          <w:spacing w:val="-3"/>
          <w:w w:val="105"/>
        </w:rPr>
        <w:t>donde </w:t>
      </w:r>
      <w:r>
        <w:rPr>
          <w:color w:val="231F20"/>
          <w:w w:val="105"/>
        </w:rPr>
        <w:t>se proporcionan los mismos servicios. Es de resaltar</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zona</w:t>
      </w:r>
      <w:r>
        <w:rPr>
          <w:color w:val="231F20"/>
          <w:spacing w:val="-13"/>
          <w:w w:val="105"/>
        </w:rPr>
        <w:t> </w:t>
      </w:r>
      <w:r>
        <w:rPr>
          <w:color w:val="231F20"/>
          <w:w w:val="105"/>
        </w:rPr>
        <w:t>con</w:t>
      </w:r>
      <w:r>
        <w:rPr>
          <w:color w:val="231F20"/>
          <w:spacing w:val="-13"/>
          <w:w w:val="105"/>
        </w:rPr>
        <w:t> </w:t>
      </w:r>
      <w:r>
        <w:rPr>
          <w:color w:val="231F20"/>
          <w:w w:val="105"/>
        </w:rPr>
        <w:t>mayor</w:t>
      </w:r>
      <w:r>
        <w:rPr>
          <w:color w:val="231F20"/>
          <w:spacing w:val="-13"/>
          <w:w w:val="105"/>
        </w:rPr>
        <w:t> </w:t>
      </w:r>
      <w:r>
        <w:rPr>
          <w:color w:val="231F20"/>
          <w:w w:val="105"/>
        </w:rPr>
        <w:t>atraso,</w:t>
      </w:r>
      <w:r>
        <w:rPr>
          <w:color w:val="231F20"/>
          <w:spacing w:val="-13"/>
          <w:w w:val="105"/>
        </w:rPr>
        <w:t> </w:t>
      </w:r>
      <w:r>
        <w:rPr>
          <w:color w:val="231F20"/>
          <w:w w:val="105"/>
        </w:rPr>
        <w:t>halla</w:t>
      </w:r>
      <w:r>
        <w:rPr>
          <w:color w:val="231F20"/>
          <w:spacing w:val="-13"/>
          <w:w w:val="105"/>
        </w:rPr>
        <w:t> </w:t>
      </w:r>
      <w:r>
        <w:rPr>
          <w:color w:val="231F20"/>
          <w:w w:val="105"/>
        </w:rPr>
        <w:t>solo</w:t>
      </w:r>
      <w:r>
        <w:rPr>
          <w:color w:val="231F20"/>
          <w:spacing w:val="-13"/>
          <w:w w:val="105"/>
        </w:rPr>
        <w:t> </w:t>
      </w:r>
      <w:r>
        <w:rPr>
          <w:color w:val="231F20"/>
          <w:w w:val="105"/>
        </w:rPr>
        <w:t>7</w:t>
      </w:r>
      <w:r>
        <w:rPr>
          <w:color w:val="231F20"/>
          <w:spacing w:val="-13"/>
          <w:w w:val="105"/>
        </w:rPr>
        <w:t> </w:t>
      </w:r>
      <w:r>
        <w:rPr>
          <w:color w:val="231F20"/>
          <w:w w:val="105"/>
        </w:rPr>
        <w:t>consultorios</w:t>
      </w:r>
      <w:r>
        <w:rPr>
          <w:color w:val="231F20"/>
          <w:spacing w:val="-13"/>
          <w:w w:val="105"/>
        </w:rPr>
        <w:t> </w:t>
      </w:r>
      <w:r>
        <w:rPr>
          <w:color w:val="231F20"/>
          <w:w w:val="105"/>
        </w:rPr>
        <w:t>periféricos.</w:t>
      </w:r>
    </w:p>
    <w:p>
      <w:pPr>
        <w:pStyle w:val="BodyText"/>
        <w:spacing w:before="1"/>
        <w:rPr>
          <w:sz w:val="26"/>
        </w:rPr>
      </w:pPr>
    </w:p>
    <w:p>
      <w:pPr>
        <w:pStyle w:val="BodyText"/>
        <w:spacing w:line="285" w:lineRule="auto"/>
        <w:ind w:left="110" w:right="108"/>
        <w:jc w:val="both"/>
      </w:pPr>
      <w:r>
        <w:rPr>
          <w:color w:val="231F20"/>
          <w:w w:val="105"/>
        </w:rPr>
        <w:t>Estos</w:t>
      </w:r>
      <w:r>
        <w:rPr>
          <w:color w:val="231F20"/>
          <w:spacing w:val="-10"/>
          <w:w w:val="105"/>
        </w:rPr>
        <w:t> </w:t>
      </w:r>
      <w:r>
        <w:rPr>
          <w:color w:val="231F20"/>
          <w:w w:val="105"/>
        </w:rPr>
        <w:t>datos</w:t>
      </w:r>
      <w:r>
        <w:rPr>
          <w:color w:val="231F20"/>
          <w:spacing w:val="-10"/>
          <w:w w:val="105"/>
        </w:rPr>
        <w:t> </w:t>
      </w:r>
      <w:r>
        <w:rPr>
          <w:color w:val="231F20"/>
          <w:spacing w:val="2"/>
          <w:w w:val="105"/>
        </w:rPr>
        <w:t>dan</w:t>
      </w:r>
      <w:r>
        <w:rPr>
          <w:color w:val="231F20"/>
          <w:spacing w:val="-10"/>
          <w:w w:val="105"/>
        </w:rPr>
        <w:t> </w:t>
      </w:r>
      <w:r>
        <w:rPr>
          <w:color w:val="231F20"/>
          <w:spacing w:val="3"/>
          <w:w w:val="105"/>
        </w:rPr>
        <w:t>un</w:t>
      </w:r>
      <w:r>
        <w:rPr>
          <w:color w:val="231F20"/>
          <w:spacing w:val="-10"/>
          <w:w w:val="105"/>
        </w:rPr>
        <w:t> </w:t>
      </w:r>
      <w:r>
        <w:rPr>
          <w:color w:val="231F20"/>
          <w:spacing w:val="2"/>
          <w:w w:val="105"/>
        </w:rPr>
        <w:t>panorama</w:t>
      </w:r>
      <w:r>
        <w:rPr>
          <w:color w:val="231F20"/>
          <w:spacing w:val="-10"/>
          <w:w w:val="105"/>
        </w:rPr>
        <w:t> </w:t>
      </w:r>
      <w:r>
        <w:rPr>
          <w:color w:val="231F20"/>
          <w:w w:val="105"/>
        </w:rPr>
        <w:t>con</w:t>
      </w:r>
      <w:r>
        <w:rPr>
          <w:color w:val="231F20"/>
          <w:spacing w:val="-10"/>
          <w:w w:val="105"/>
        </w:rPr>
        <w:t> </w:t>
      </w:r>
      <w:r>
        <w:rPr>
          <w:color w:val="231F20"/>
          <w:spacing w:val="2"/>
          <w:w w:val="105"/>
        </w:rPr>
        <w:t>varios</w:t>
      </w:r>
      <w:r>
        <w:rPr>
          <w:color w:val="231F20"/>
          <w:spacing w:val="-10"/>
          <w:w w:val="105"/>
        </w:rPr>
        <w:t> </w:t>
      </w:r>
      <w:r>
        <w:rPr>
          <w:color w:val="231F20"/>
          <w:w w:val="105"/>
        </w:rPr>
        <w:t>retos</w:t>
      </w:r>
      <w:r>
        <w:rPr>
          <w:color w:val="231F20"/>
          <w:spacing w:val="-10"/>
          <w:w w:val="105"/>
        </w:rPr>
        <w:t> </w:t>
      </w:r>
      <w:r>
        <w:rPr>
          <w:color w:val="231F20"/>
          <w:spacing w:val="2"/>
          <w:w w:val="105"/>
        </w:rPr>
        <w:t>para</w:t>
      </w:r>
      <w:r>
        <w:rPr>
          <w:color w:val="231F20"/>
          <w:spacing w:val="-10"/>
          <w:w w:val="105"/>
        </w:rPr>
        <w:t> </w:t>
      </w:r>
      <w:r>
        <w:rPr>
          <w:color w:val="231F20"/>
          <w:w w:val="105"/>
        </w:rPr>
        <w:t>la</w:t>
      </w:r>
      <w:r>
        <w:rPr>
          <w:color w:val="231F20"/>
          <w:spacing w:val="-10"/>
          <w:w w:val="105"/>
        </w:rPr>
        <w:t> </w:t>
      </w:r>
      <w:r>
        <w:rPr>
          <w:color w:val="231F20"/>
          <w:w w:val="105"/>
        </w:rPr>
        <w:t>gestión</w:t>
      </w:r>
      <w:r>
        <w:rPr>
          <w:color w:val="231F20"/>
          <w:spacing w:val="-10"/>
          <w:w w:val="105"/>
        </w:rPr>
        <w:t> </w:t>
      </w:r>
      <w:r>
        <w:rPr>
          <w:color w:val="231F20"/>
          <w:spacing w:val="2"/>
          <w:w w:val="105"/>
        </w:rPr>
        <w:t>2006-2009.</w:t>
      </w:r>
      <w:r>
        <w:rPr>
          <w:color w:val="231F20"/>
          <w:spacing w:val="-10"/>
          <w:w w:val="105"/>
        </w:rPr>
        <w:t> </w:t>
      </w:r>
      <w:r>
        <w:rPr>
          <w:color w:val="231F20"/>
          <w:w w:val="105"/>
        </w:rPr>
        <w:t>Antes</w:t>
      </w:r>
      <w:r>
        <w:rPr>
          <w:color w:val="231F20"/>
          <w:spacing w:val="-10"/>
          <w:w w:val="105"/>
        </w:rPr>
        <w:t> </w:t>
      </w:r>
      <w:r>
        <w:rPr>
          <w:color w:val="231F20"/>
          <w:w w:val="105"/>
        </w:rPr>
        <w:t>de</w:t>
      </w:r>
      <w:r>
        <w:rPr>
          <w:color w:val="231F20"/>
          <w:spacing w:val="-10"/>
          <w:w w:val="105"/>
        </w:rPr>
        <w:t> </w:t>
      </w:r>
      <w:r>
        <w:rPr>
          <w:color w:val="231F20"/>
          <w:w w:val="105"/>
        </w:rPr>
        <w:t>pa- </w:t>
      </w:r>
      <w:r>
        <w:rPr>
          <w:color w:val="231F20"/>
          <w:spacing w:val="3"/>
          <w:w w:val="105"/>
        </w:rPr>
        <w:t>sar</w:t>
      </w:r>
      <w:r>
        <w:rPr>
          <w:color w:val="231F20"/>
          <w:spacing w:val="-9"/>
          <w:w w:val="105"/>
        </w:rPr>
        <w:t> </w:t>
      </w:r>
      <w:r>
        <w:rPr>
          <w:color w:val="231F20"/>
          <w:w w:val="105"/>
        </w:rPr>
        <w:t>a</w:t>
      </w:r>
      <w:r>
        <w:rPr>
          <w:color w:val="231F20"/>
          <w:spacing w:val="-9"/>
          <w:w w:val="105"/>
        </w:rPr>
        <w:t> </w:t>
      </w:r>
      <w:r>
        <w:rPr>
          <w:color w:val="231F20"/>
          <w:w w:val="105"/>
        </w:rPr>
        <w:t>ver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spacing w:val="3"/>
          <w:w w:val="105"/>
        </w:rPr>
        <w:t>hizo</w:t>
      </w:r>
      <w:r>
        <w:rPr>
          <w:color w:val="231F20"/>
          <w:spacing w:val="-9"/>
          <w:w w:val="105"/>
        </w:rPr>
        <w:t> </w:t>
      </w:r>
      <w:r>
        <w:rPr>
          <w:color w:val="231F20"/>
          <w:spacing w:val="3"/>
          <w:w w:val="105"/>
        </w:rPr>
        <w:t>hasta</w:t>
      </w:r>
      <w:r>
        <w:rPr>
          <w:color w:val="231F20"/>
          <w:spacing w:val="-9"/>
          <w:w w:val="105"/>
        </w:rPr>
        <w:t> </w:t>
      </w:r>
      <w:r>
        <w:rPr>
          <w:color w:val="231F20"/>
          <w:w w:val="105"/>
        </w:rPr>
        <w:t>el</w:t>
      </w:r>
      <w:r>
        <w:rPr>
          <w:color w:val="231F20"/>
          <w:spacing w:val="-9"/>
          <w:w w:val="105"/>
        </w:rPr>
        <w:t> </w:t>
      </w:r>
      <w:r>
        <w:rPr>
          <w:color w:val="231F20"/>
          <w:spacing w:val="4"/>
          <w:w w:val="105"/>
        </w:rPr>
        <w:t>2008,</w:t>
      </w:r>
      <w:r>
        <w:rPr>
          <w:color w:val="231F20"/>
          <w:spacing w:val="-9"/>
          <w:w w:val="105"/>
        </w:rPr>
        <w:t> </w:t>
      </w:r>
      <w:r>
        <w:rPr>
          <w:color w:val="231F20"/>
          <w:spacing w:val="3"/>
          <w:w w:val="105"/>
        </w:rPr>
        <w:t>según</w:t>
      </w:r>
      <w:r>
        <w:rPr>
          <w:color w:val="231F20"/>
          <w:spacing w:val="-9"/>
          <w:w w:val="105"/>
        </w:rPr>
        <w:t> </w:t>
      </w:r>
      <w:r>
        <w:rPr>
          <w:color w:val="231F20"/>
          <w:w w:val="105"/>
        </w:rPr>
        <w:t>los</w:t>
      </w:r>
      <w:r>
        <w:rPr>
          <w:color w:val="231F20"/>
          <w:spacing w:val="-9"/>
          <w:w w:val="105"/>
        </w:rPr>
        <w:t> </w:t>
      </w:r>
      <w:r>
        <w:rPr>
          <w:color w:val="231F20"/>
          <w:w w:val="105"/>
        </w:rPr>
        <w:t>datos</w:t>
      </w:r>
      <w:r>
        <w:rPr>
          <w:color w:val="231F20"/>
          <w:spacing w:val="-9"/>
          <w:w w:val="105"/>
        </w:rPr>
        <w:t> </w:t>
      </w:r>
      <w:r>
        <w:rPr>
          <w:color w:val="231F20"/>
          <w:w w:val="105"/>
        </w:rPr>
        <w:t>del</w:t>
      </w:r>
      <w:r>
        <w:rPr>
          <w:color w:val="231F20"/>
          <w:spacing w:val="-9"/>
          <w:w w:val="105"/>
        </w:rPr>
        <w:t> </w:t>
      </w:r>
      <w:r>
        <w:rPr>
          <w:color w:val="231F20"/>
          <w:w w:val="105"/>
        </w:rPr>
        <w:t>Segundo</w:t>
      </w:r>
      <w:r>
        <w:rPr>
          <w:color w:val="231F20"/>
          <w:spacing w:val="-9"/>
          <w:w w:val="105"/>
        </w:rPr>
        <w:t> </w:t>
      </w:r>
      <w:r>
        <w:rPr>
          <w:color w:val="231F20"/>
          <w:w w:val="105"/>
        </w:rPr>
        <w:t>Informe</w:t>
      </w:r>
      <w:r>
        <w:rPr>
          <w:color w:val="231F20"/>
          <w:spacing w:val="-9"/>
          <w:w w:val="105"/>
        </w:rPr>
        <w:t> </w:t>
      </w:r>
      <w:r>
        <w:rPr>
          <w:color w:val="231F20"/>
          <w:w w:val="105"/>
        </w:rPr>
        <w:t>de</w:t>
      </w:r>
      <w:r>
        <w:rPr>
          <w:color w:val="231F20"/>
          <w:spacing w:val="-9"/>
          <w:w w:val="105"/>
        </w:rPr>
        <w:t> </w:t>
      </w:r>
      <w:r>
        <w:rPr>
          <w:color w:val="231F20"/>
          <w:w w:val="105"/>
        </w:rPr>
        <w:t>Gobier- no del municipio de </w:t>
      </w:r>
      <w:r>
        <w:rPr>
          <w:color w:val="231F20"/>
          <w:spacing w:val="2"/>
          <w:w w:val="105"/>
        </w:rPr>
        <w:t>Tlalnepantla, </w:t>
      </w:r>
      <w:r>
        <w:rPr>
          <w:color w:val="231F20"/>
          <w:w w:val="105"/>
        </w:rPr>
        <w:t>observemos </w:t>
      </w:r>
      <w:r>
        <w:rPr>
          <w:color w:val="231F20"/>
          <w:spacing w:val="2"/>
          <w:w w:val="105"/>
        </w:rPr>
        <w:t>cuáles eran las </w:t>
      </w:r>
      <w:r>
        <w:rPr>
          <w:color w:val="231F20"/>
          <w:w w:val="105"/>
        </w:rPr>
        <w:t>acciones a emprender </w:t>
      </w:r>
      <w:r>
        <w:rPr>
          <w:color w:val="231F20"/>
          <w:spacing w:val="2"/>
          <w:w w:val="105"/>
        </w:rPr>
        <w:t>basadas </w:t>
      </w:r>
      <w:r>
        <w:rPr>
          <w:color w:val="231F20"/>
          <w:w w:val="105"/>
        </w:rPr>
        <w:t>en el</w:t>
      </w:r>
      <w:r>
        <w:rPr>
          <w:color w:val="231F20"/>
          <w:spacing w:val="-21"/>
          <w:w w:val="105"/>
        </w:rPr>
        <w:t> </w:t>
      </w:r>
      <w:r>
        <w:rPr>
          <w:color w:val="231F20"/>
          <w:w w:val="105"/>
        </w:rPr>
        <w:t>diagnóstico.</w:t>
      </w:r>
    </w:p>
    <w:p>
      <w:pPr>
        <w:pStyle w:val="BodyText"/>
        <w:spacing w:before="1"/>
        <w:rPr>
          <w:sz w:val="26"/>
        </w:rPr>
      </w:pPr>
    </w:p>
    <w:p>
      <w:pPr>
        <w:pStyle w:val="BodyText"/>
        <w:spacing w:line="285" w:lineRule="auto"/>
        <w:ind w:left="110" w:right="106"/>
        <w:jc w:val="both"/>
      </w:pPr>
      <w:r>
        <w:rPr/>
        <w:pict>
          <v:line style="position:absolute;mso-position-horizontal-relative:page;mso-position-vertical-relative:paragraph;z-index:10720;mso-wrap-distance-left:0;mso-wrap-distance-right:0" from="42.519699pt,80.225235pt" to="114.519699pt,80.225235pt" stroked="true" strokeweight="1pt" strokecolor="#231f20">
            <w10:wrap type="topAndBottom"/>
          </v:line>
        </w:pict>
      </w:r>
      <w:r>
        <w:rPr>
          <w:color w:val="231F20"/>
          <w:w w:val="105"/>
        </w:rPr>
        <w:t>El Plan de Desarrollo Municipal, en tanto que, instrumento y eje rector de las políti- cas municipales para la solución de las necesidades y demandas de la ciudadanía, nos permite observar cuales eran las acciones que se pretendían llevar a cabo para dichos fines.</w:t>
      </w:r>
      <w:r>
        <w:rPr>
          <w:color w:val="231F20"/>
          <w:spacing w:val="-8"/>
          <w:w w:val="105"/>
        </w:rPr>
        <w:t> </w:t>
      </w:r>
      <w:r>
        <w:rPr>
          <w:color w:val="231F20"/>
          <w:w w:val="105"/>
        </w:rPr>
        <w:t>Nuevamente</w:t>
      </w:r>
      <w:r>
        <w:rPr>
          <w:color w:val="231F20"/>
          <w:spacing w:val="-8"/>
          <w:w w:val="105"/>
        </w:rPr>
        <w:t> </w:t>
      </w:r>
      <w:r>
        <w:rPr>
          <w:color w:val="231F20"/>
          <w:w w:val="105"/>
        </w:rPr>
        <w:t>estas</w:t>
      </w:r>
      <w:r>
        <w:rPr>
          <w:color w:val="231F20"/>
          <w:spacing w:val="-8"/>
          <w:w w:val="105"/>
        </w:rPr>
        <w:t> </w:t>
      </w:r>
      <w:r>
        <w:rPr>
          <w:color w:val="231F20"/>
          <w:w w:val="105"/>
        </w:rPr>
        <w:t>acciones</w:t>
      </w:r>
      <w:r>
        <w:rPr>
          <w:color w:val="231F20"/>
          <w:spacing w:val="-8"/>
          <w:w w:val="105"/>
        </w:rPr>
        <w:t> </w:t>
      </w:r>
      <w:r>
        <w:rPr>
          <w:color w:val="231F20"/>
          <w:w w:val="105"/>
        </w:rPr>
        <w:t>se</w:t>
      </w:r>
      <w:r>
        <w:rPr>
          <w:color w:val="231F20"/>
          <w:spacing w:val="-8"/>
          <w:w w:val="105"/>
        </w:rPr>
        <w:t> </w:t>
      </w:r>
      <w:r>
        <w:rPr>
          <w:color w:val="231F20"/>
          <w:w w:val="105"/>
        </w:rPr>
        <w:t>nutrieron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demandas</w:t>
      </w:r>
      <w:r>
        <w:rPr>
          <w:color w:val="231F20"/>
          <w:spacing w:val="-8"/>
          <w:w w:val="105"/>
        </w:rPr>
        <w:t> </w:t>
      </w:r>
      <w:r>
        <w:rPr>
          <w:color w:val="231F20"/>
          <w:w w:val="105"/>
        </w:rPr>
        <w:t>ciudadanas,</w:t>
      </w:r>
      <w:r>
        <w:rPr>
          <w:color w:val="231F20"/>
          <w:spacing w:val="-8"/>
          <w:w w:val="105"/>
        </w:rPr>
        <w:t> </w:t>
      </w:r>
      <w:r>
        <w:rPr>
          <w:color w:val="231F20"/>
          <w:w w:val="105"/>
        </w:rPr>
        <w:t>esto</w:t>
      </w:r>
      <w:r>
        <w:rPr>
          <w:color w:val="231F20"/>
          <w:spacing w:val="-8"/>
          <w:w w:val="105"/>
        </w:rPr>
        <w:t> </w:t>
      </w:r>
      <w:r>
        <w:rPr>
          <w:color w:val="231F20"/>
          <w:w w:val="105"/>
        </w:rPr>
        <w:t>es,</w:t>
      </w:r>
      <w:r>
        <w:rPr>
          <w:color w:val="231F20"/>
          <w:spacing w:val="-8"/>
          <w:w w:val="105"/>
        </w:rPr>
        <w:t> </w:t>
      </w:r>
      <w:r>
        <w:rPr>
          <w:color w:val="231F20"/>
          <w:w w:val="105"/>
        </w:rPr>
        <w:t>no solo</w:t>
      </w:r>
      <w:r>
        <w:rPr>
          <w:color w:val="231F20"/>
          <w:spacing w:val="-15"/>
          <w:w w:val="105"/>
        </w:rPr>
        <w:t> </w:t>
      </w:r>
      <w:r>
        <w:rPr>
          <w:color w:val="231F20"/>
          <w:w w:val="105"/>
        </w:rPr>
        <w:t>se</w:t>
      </w:r>
      <w:r>
        <w:rPr>
          <w:color w:val="231F20"/>
          <w:spacing w:val="-15"/>
          <w:w w:val="105"/>
        </w:rPr>
        <w:t> </w:t>
      </w:r>
      <w:r>
        <w:rPr>
          <w:color w:val="231F20"/>
          <w:w w:val="105"/>
        </w:rPr>
        <w:t>partió</w:t>
      </w:r>
      <w:r>
        <w:rPr>
          <w:color w:val="231F20"/>
          <w:spacing w:val="-15"/>
          <w:w w:val="105"/>
        </w:rPr>
        <w:t> </w:t>
      </w:r>
      <w:r>
        <w:rPr>
          <w:color w:val="231F20"/>
          <w:w w:val="105"/>
        </w:rPr>
        <w:t>del</w:t>
      </w:r>
      <w:r>
        <w:rPr>
          <w:color w:val="231F20"/>
          <w:spacing w:val="-15"/>
          <w:w w:val="105"/>
        </w:rPr>
        <w:t> </w:t>
      </w:r>
      <w:r>
        <w:rPr>
          <w:color w:val="231F20"/>
          <w:w w:val="105"/>
        </w:rPr>
        <w:t>diagnóstico,</w:t>
      </w:r>
      <w:r>
        <w:rPr>
          <w:color w:val="231F20"/>
          <w:spacing w:val="-15"/>
          <w:w w:val="105"/>
        </w:rPr>
        <w:t> </w:t>
      </w:r>
      <w:r>
        <w:rPr>
          <w:color w:val="231F20"/>
          <w:w w:val="105"/>
        </w:rPr>
        <w:t>sino</w:t>
      </w:r>
      <w:r>
        <w:rPr>
          <w:color w:val="231F20"/>
          <w:spacing w:val="-15"/>
          <w:w w:val="105"/>
        </w:rPr>
        <w:t> </w:t>
      </w:r>
      <w:r>
        <w:rPr>
          <w:color w:val="231F20"/>
          <w:w w:val="105"/>
        </w:rPr>
        <w:t>que</w:t>
      </w:r>
      <w:r>
        <w:rPr>
          <w:color w:val="231F20"/>
          <w:spacing w:val="-15"/>
          <w:w w:val="105"/>
        </w:rPr>
        <w:t> </w:t>
      </w:r>
      <w:r>
        <w:rPr>
          <w:color w:val="231F20"/>
          <w:w w:val="105"/>
        </w:rPr>
        <w:t>también</w:t>
      </w:r>
      <w:r>
        <w:rPr>
          <w:color w:val="231F20"/>
          <w:spacing w:val="-15"/>
          <w:w w:val="105"/>
        </w:rPr>
        <w:t> </w:t>
      </w:r>
      <w:r>
        <w:rPr>
          <w:color w:val="231F20"/>
          <w:w w:val="105"/>
        </w:rPr>
        <w:t>fueron</w:t>
      </w:r>
      <w:r>
        <w:rPr>
          <w:color w:val="231F20"/>
          <w:spacing w:val="-15"/>
          <w:w w:val="105"/>
        </w:rPr>
        <w:t> </w:t>
      </w:r>
      <w:r>
        <w:rPr>
          <w:color w:val="231F20"/>
          <w:w w:val="105"/>
        </w:rPr>
        <w:t>consideradas</w:t>
      </w:r>
      <w:r>
        <w:rPr>
          <w:color w:val="231F20"/>
          <w:spacing w:val="-15"/>
          <w:w w:val="105"/>
        </w:rPr>
        <w:t> </w:t>
      </w:r>
      <w:r>
        <w:rPr>
          <w:color w:val="231F20"/>
          <w:w w:val="105"/>
        </w:rPr>
        <w:t>las</w:t>
      </w:r>
      <w:r>
        <w:rPr>
          <w:color w:val="231F20"/>
          <w:spacing w:val="-15"/>
          <w:w w:val="105"/>
        </w:rPr>
        <w:t> </w:t>
      </w:r>
      <w:r>
        <w:rPr>
          <w:color w:val="231F20"/>
          <w:w w:val="105"/>
        </w:rPr>
        <w:t>demandas</w:t>
      </w:r>
      <w:r>
        <w:rPr>
          <w:color w:val="231F20"/>
          <w:spacing w:val="-15"/>
          <w:w w:val="105"/>
        </w:rPr>
        <w:t> </w:t>
      </w:r>
      <w:r>
        <w:rPr>
          <w:color w:val="231F20"/>
          <w:w w:val="105"/>
        </w:rPr>
        <w:t>de</w:t>
      </w:r>
      <w:r>
        <w:rPr>
          <w:color w:val="231F20"/>
          <w:spacing w:val="-15"/>
          <w:w w:val="105"/>
        </w:rPr>
        <w:t> </w:t>
      </w:r>
      <w:r>
        <w:rPr>
          <w:color w:val="231F20"/>
          <w:w w:val="105"/>
        </w:rPr>
        <w:t>la</w:t>
      </w:r>
    </w:p>
    <w:p>
      <w:pPr>
        <w:pStyle w:val="ListParagraph"/>
        <w:numPr>
          <w:ilvl w:val="0"/>
          <w:numId w:val="16"/>
        </w:numPr>
        <w:tabs>
          <w:tab w:pos="324" w:val="left" w:leader="none"/>
        </w:tabs>
        <w:spacing w:line="244" w:lineRule="auto" w:before="8" w:after="0"/>
        <w:ind w:left="110" w:right="107" w:firstLine="0"/>
        <w:jc w:val="left"/>
        <w:rPr>
          <w:sz w:val="16"/>
        </w:rPr>
      </w:pPr>
      <w:r>
        <w:rPr>
          <w:color w:val="231F20"/>
          <w:sz w:val="16"/>
        </w:rPr>
        <w:t>Dentro</w:t>
      </w:r>
      <w:r>
        <w:rPr>
          <w:color w:val="231F20"/>
          <w:spacing w:val="-15"/>
          <w:sz w:val="16"/>
        </w:rPr>
        <w:t> </w:t>
      </w:r>
      <w:r>
        <w:rPr>
          <w:color w:val="231F20"/>
          <w:sz w:val="16"/>
        </w:rPr>
        <w:t>del</w:t>
      </w:r>
      <w:r>
        <w:rPr>
          <w:color w:val="231F20"/>
          <w:spacing w:val="-15"/>
          <w:sz w:val="16"/>
        </w:rPr>
        <w:t> </w:t>
      </w:r>
      <w:r>
        <w:rPr>
          <w:color w:val="231F20"/>
          <w:sz w:val="16"/>
        </w:rPr>
        <w:t>Plan</w:t>
      </w:r>
      <w:r>
        <w:rPr>
          <w:color w:val="231F20"/>
          <w:spacing w:val="-15"/>
          <w:sz w:val="16"/>
        </w:rPr>
        <w:t> </w:t>
      </w:r>
      <w:r>
        <w:rPr>
          <w:color w:val="231F20"/>
          <w:sz w:val="16"/>
        </w:rPr>
        <w:t>de</w:t>
      </w:r>
      <w:r>
        <w:rPr>
          <w:color w:val="231F20"/>
          <w:spacing w:val="-15"/>
          <w:sz w:val="16"/>
        </w:rPr>
        <w:t> </w:t>
      </w:r>
      <w:r>
        <w:rPr>
          <w:color w:val="231F20"/>
          <w:sz w:val="16"/>
        </w:rPr>
        <w:t>Desarrollo</w:t>
      </w:r>
      <w:r>
        <w:rPr>
          <w:color w:val="231F20"/>
          <w:spacing w:val="-15"/>
          <w:sz w:val="16"/>
        </w:rPr>
        <w:t> </w:t>
      </w:r>
      <w:r>
        <w:rPr>
          <w:color w:val="231F20"/>
          <w:sz w:val="16"/>
        </w:rPr>
        <w:t>Municipal,</w:t>
      </w:r>
      <w:r>
        <w:rPr>
          <w:color w:val="231F20"/>
          <w:spacing w:val="-15"/>
          <w:sz w:val="16"/>
        </w:rPr>
        <w:t> </w:t>
      </w:r>
      <w:r>
        <w:rPr>
          <w:color w:val="231F20"/>
          <w:sz w:val="16"/>
        </w:rPr>
        <w:t>y</w:t>
      </w:r>
      <w:r>
        <w:rPr>
          <w:color w:val="231F20"/>
          <w:spacing w:val="-15"/>
          <w:sz w:val="16"/>
        </w:rPr>
        <w:t> </w:t>
      </w:r>
      <w:r>
        <w:rPr>
          <w:color w:val="231F20"/>
          <w:sz w:val="16"/>
        </w:rPr>
        <w:t>a</w:t>
      </w:r>
      <w:r>
        <w:rPr>
          <w:color w:val="231F20"/>
          <w:spacing w:val="-15"/>
          <w:sz w:val="16"/>
        </w:rPr>
        <w:t> </w:t>
      </w:r>
      <w:r>
        <w:rPr>
          <w:color w:val="231F20"/>
          <w:sz w:val="16"/>
        </w:rPr>
        <w:t>su</w:t>
      </w:r>
      <w:r>
        <w:rPr>
          <w:color w:val="231F20"/>
          <w:spacing w:val="-15"/>
          <w:sz w:val="16"/>
        </w:rPr>
        <w:t> </w:t>
      </w:r>
      <w:r>
        <w:rPr>
          <w:color w:val="231F20"/>
          <w:sz w:val="16"/>
        </w:rPr>
        <w:t>vez</w:t>
      </w:r>
      <w:r>
        <w:rPr>
          <w:color w:val="231F20"/>
          <w:spacing w:val="-15"/>
          <w:sz w:val="16"/>
        </w:rPr>
        <w:t> </w:t>
      </w:r>
      <w:r>
        <w:rPr>
          <w:color w:val="231F20"/>
          <w:sz w:val="16"/>
        </w:rPr>
        <w:t>tomadas</w:t>
      </w:r>
      <w:r>
        <w:rPr>
          <w:color w:val="231F20"/>
          <w:spacing w:val="-15"/>
          <w:sz w:val="16"/>
        </w:rPr>
        <w:t> </w:t>
      </w:r>
      <w:r>
        <w:rPr>
          <w:color w:val="231F20"/>
          <w:sz w:val="16"/>
        </w:rPr>
        <w:t>del</w:t>
      </w:r>
      <w:r>
        <w:rPr>
          <w:color w:val="231F20"/>
          <w:spacing w:val="-15"/>
          <w:sz w:val="16"/>
        </w:rPr>
        <w:t> </w:t>
      </w:r>
      <w:r>
        <w:rPr>
          <w:color w:val="231F20"/>
          <w:sz w:val="16"/>
        </w:rPr>
        <w:t>Sistema</w:t>
      </w:r>
      <w:r>
        <w:rPr>
          <w:color w:val="231F20"/>
          <w:spacing w:val="-15"/>
          <w:sz w:val="16"/>
        </w:rPr>
        <w:t> </w:t>
      </w:r>
      <w:r>
        <w:rPr>
          <w:color w:val="231F20"/>
          <w:sz w:val="16"/>
        </w:rPr>
        <w:t>Municipal</w:t>
      </w:r>
      <w:r>
        <w:rPr>
          <w:color w:val="231F20"/>
          <w:spacing w:val="-15"/>
          <w:sz w:val="16"/>
        </w:rPr>
        <w:t> </w:t>
      </w:r>
      <w:r>
        <w:rPr>
          <w:color w:val="231F20"/>
          <w:sz w:val="16"/>
        </w:rPr>
        <w:t>de</w:t>
      </w:r>
      <w:r>
        <w:rPr>
          <w:color w:val="231F20"/>
          <w:spacing w:val="-15"/>
          <w:sz w:val="16"/>
        </w:rPr>
        <w:t> </w:t>
      </w:r>
      <w:r>
        <w:rPr>
          <w:color w:val="231F20"/>
          <w:sz w:val="16"/>
        </w:rPr>
        <w:t>Información</w:t>
      </w:r>
      <w:r>
        <w:rPr>
          <w:color w:val="231F20"/>
          <w:spacing w:val="-15"/>
          <w:sz w:val="16"/>
        </w:rPr>
        <w:t> </w:t>
      </w:r>
      <w:r>
        <w:rPr>
          <w:color w:val="231F20"/>
          <w:sz w:val="16"/>
        </w:rPr>
        <w:t>Estadística</w:t>
      </w:r>
      <w:r>
        <w:rPr>
          <w:color w:val="231F20"/>
          <w:spacing w:val="-15"/>
          <w:sz w:val="16"/>
        </w:rPr>
        <w:t> </w:t>
      </w:r>
      <w:r>
        <w:rPr>
          <w:color w:val="231F20"/>
          <w:sz w:val="16"/>
        </w:rPr>
        <w:t>y</w:t>
      </w:r>
      <w:r>
        <w:rPr>
          <w:color w:val="231F20"/>
          <w:spacing w:val="-15"/>
          <w:sz w:val="16"/>
        </w:rPr>
        <w:t> </w:t>
      </w:r>
      <w:r>
        <w:rPr>
          <w:color w:val="231F20"/>
          <w:sz w:val="16"/>
        </w:rPr>
        <w:t>Geográfica con</w:t>
      </w:r>
      <w:r>
        <w:rPr>
          <w:color w:val="231F20"/>
          <w:spacing w:val="-14"/>
          <w:sz w:val="16"/>
        </w:rPr>
        <w:t> </w:t>
      </w:r>
      <w:r>
        <w:rPr>
          <w:color w:val="231F20"/>
          <w:sz w:val="16"/>
        </w:rPr>
        <w:t>datos</w:t>
      </w:r>
      <w:r>
        <w:rPr>
          <w:color w:val="231F20"/>
          <w:spacing w:val="-14"/>
          <w:sz w:val="16"/>
        </w:rPr>
        <w:t> </w:t>
      </w:r>
      <w:r>
        <w:rPr>
          <w:color w:val="231F20"/>
          <w:sz w:val="16"/>
        </w:rPr>
        <w:t>del</w:t>
      </w:r>
      <w:r>
        <w:rPr>
          <w:color w:val="231F20"/>
          <w:spacing w:val="-14"/>
          <w:sz w:val="16"/>
        </w:rPr>
        <w:t> </w:t>
      </w:r>
      <w:r>
        <w:rPr>
          <w:color w:val="231F20"/>
          <w:sz w:val="16"/>
        </w:rPr>
        <w:t>Sistema</w:t>
      </w:r>
      <w:r>
        <w:rPr>
          <w:color w:val="231F20"/>
          <w:spacing w:val="-14"/>
          <w:sz w:val="16"/>
        </w:rPr>
        <w:t> </w:t>
      </w:r>
      <w:r>
        <w:rPr>
          <w:color w:val="231F20"/>
          <w:sz w:val="16"/>
        </w:rPr>
        <w:t>Nacional</w:t>
      </w:r>
      <w:r>
        <w:rPr>
          <w:color w:val="231F20"/>
          <w:spacing w:val="-14"/>
          <w:sz w:val="16"/>
        </w:rPr>
        <w:t> </w:t>
      </w:r>
      <w:r>
        <w:rPr>
          <w:color w:val="231F20"/>
          <w:sz w:val="16"/>
        </w:rPr>
        <w:t>de</w:t>
      </w:r>
      <w:r>
        <w:rPr>
          <w:color w:val="231F20"/>
          <w:spacing w:val="-14"/>
          <w:sz w:val="16"/>
        </w:rPr>
        <w:t> </w:t>
      </w:r>
      <w:r>
        <w:rPr>
          <w:color w:val="231F20"/>
          <w:sz w:val="16"/>
        </w:rPr>
        <w:t>Información</w:t>
      </w:r>
      <w:r>
        <w:rPr>
          <w:color w:val="231F20"/>
          <w:spacing w:val="-14"/>
          <w:sz w:val="16"/>
        </w:rPr>
        <w:t> </w:t>
      </w:r>
      <w:r>
        <w:rPr>
          <w:color w:val="231F20"/>
          <w:sz w:val="16"/>
        </w:rPr>
        <w:t>Educativa</w:t>
      </w:r>
      <w:r>
        <w:rPr>
          <w:color w:val="231F20"/>
          <w:spacing w:val="-14"/>
          <w:sz w:val="16"/>
        </w:rPr>
        <w:t> </w:t>
      </w:r>
      <w:r>
        <w:rPr>
          <w:color w:val="231F20"/>
          <w:sz w:val="16"/>
        </w:rPr>
        <w:t>(SNIE),</w:t>
      </w:r>
      <w:r>
        <w:rPr>
          <w:color w:val="231F20"/>
          <w:spacing w:val="-14"/>
          <w:sz w:val="16"/>
        </w:rPr>
        <w:t> </w:t>
      </w:r>
      <w:r>
        <w:rPr>
          <w:color w:val="231F20"/>
          <w:sz w:val="16"/>
        </w:rPr>
        <w:t>Secretaría</w:t>
      </w:r>
      <w:r>
        <w:rPr>
          <w:color w:val="231F20"/>
          <w:spacing w:val="-14"/>
          <w:sz w:val="16"/>
        </w:rPr>
        <w:t> </w:t>
      </w:r>
      <w:r>
        <w:rPr>
          <w:color w:val="231F20"/>
          <w:sz w:val="16"/>
        </w:rPr>
        <w:t>de</w:t>
      </w:r>
      <w:r>
        <w:rPr>
          <w:color w:val="231F20"/>
          <w:spacing w:val="-14"/>
          <w:sz w:val="16"/>
        </w:rPr>
        <w:t> </w:t>
      </w:r>
      <w:r>
        <w:rPr>
          <w:color w:val="231F20"/>
          <w:sz w:val="16"/>
        </w:rPr>
        <w:t>Educación</w:t>
      </w:r>
      <w:r>
        <w:rPr>
          <w:color w:val="231F20"/>
          <w:spacing w:val="-14"/>
          <w:sz w:val="16"/>
        </w:rPr>
        <w:t> </w:t>
      </w:r>
      <w:r>
        <w:rPr>
          <w:color w:val="231F20"/>
          <w:sz w:val="16"/>
        </w:rPr>
        <w:t>Pública,</w:t>
      </w:r>
      <w:r>
        <w:rPr>
          <w:color w:val="231F20"/>
          <w:spacing w:val="-14"/>
          <w:sz w:val="16"/>
        </w:rPr>
        <w:t> </w:t>
      </w:r>
      <w:r>
        <w:rPr>
          <w:color w:val="231F20"/>
          <w:sz w:val="16"/>
        </w:rPr>
        <w:t>ciclo</w:t>
      </w:r>
      <w:r>
        <w:rPr>
          <w:color w:val="231F20"/>
          <w:spacing w:val="-14"/>
          <w:sz w:val="16"/>
        </w:rPr>
        <w:t> </w:t>
      </w:r>
      <w:r>
        <w:rPr>
          <w:color w:val="231F20"/>
          <w:sz w:val="16"/>
        </w:rPr>
        <w:t>escolar</w:t>
      </w:r>
      <w:r>
        <w:rPr>
          <w:color w:val="231F20"/>
          <w:spacing w:val="-14"/>
          <w:sz w:val="16"/>
        </w:rPr>
        <w:t> </w:t>
      </w:r>
      <w:r>
        <w:rPr>
          <w:color w:val="231F20"/>
          <w:sz w:val="16"/>
        </w:rPr>
        <w:t>2005-2006.</w:t>
      </w:r>
    </w:p>
    <w:p>
      <w:pPr>
        <w:spacing w:after="0" w:line="244" w:lineRule="auto"/>
        <w:jc w:val="left"/>
        <w:rPr>
          <w:sz w:val="16"/>
        </w:rPr>
        <w:sectPr>
          <w:footerReference w:type="default" r:id="rId672"/>
          <w:pgSz w:w="9640" w:h="12190"/>
          <w:pgMar w:footer="743" w:header="0" w:top="1120" w:bottom="940" w:left="740" w:right="740"/>
          <w:pgNumType w:start="310"/>
        </w:sectPr>
      </w:pPr>
    </w:p>
    <w:p>
      <w:pPr>
        <w:pStyle w:val="BodyText"/>
        <w:spacing w:before="8"/>
        <w:rPr>
          <w:rFonts w:ascii="Calibri"/>
          <w:sz w:val="10"/>
        </w:rPr>
      </w:pPr>
    </w:p>
    <w:p>
      <w:pPr>
        <w:pStyle w:val="BodyText"/>
        <w:spacing w:line="285" w:lineRule="auto" w:before="35"/>
        <w:ind w:left="110" w:right="108"/>
        <w:jc w:val="both"/>
      </w:pPr>
      <w:r>
        <w:rPr>
          <w:color w:val="231F20"/>
          <w:w w:val="105"/>
        </w:rPr>
        <w:t>ciudadanía,</w:t>
      </w:r>
      <w:r>
        <w:rPr>
          <w:color w:val="231F20"/>
          <w:spacing w:val="-24"/>
          <w:w w:val="105"/>
        </w:rPr>
        <w:t> </w:t>
      </w:r>
      <w:r>
        <w:rPr>
          <w:color w:val="231F20"/>
          <w:w w:val="105"/>
        </w:rPr>
        <w:t>a</w:t>
      </w:r>
      <w:r>
        <w:rPr>
          <w:color w:val="231F20"/>
          <w:spacing w:val="-24"/>
          <w:w w:val="105"/>
        </w:rPr>
        <w:t> </w:t>
      </w:r>
      <w:r>
        <w:rPr>
          <w:color w:val="231F20"/>
          <w:w w:val="105"/>
        </w:rPr>
        <w:t>través</w:t>
      </w:r>
      <w:r>
        <w:rPr>
          <w:color w:val="231F20"/>
          <w:spacing w:val="-24"/>
          <w:w w:val="105"/>
        </w:rPr>
        <w:t> </w:t>
      </w:r>
      <w:r>
        <w:rPr>
          <w:color w:val="231F20"/>
          <w:w w:val="105"/>
        </w:rPr>
        <w:t>de</w:t>
      </w:r>
      <w:r>
        <w:rPr>
          <w:color w:val="231F20"/>
          <w:spacing w:val="-24"/>
          <w:w w:val="105"/>
        </w:rPr>
        <w:t> </w:t>
      </w:r>
      <w:r>
        <w:rPr>
          <w:color w:val="231F20"/>
          <w:w w:val="105"/>
        </w:rPr>
        <w:t>varios</w:t>
      </w:r>
      <w:r>
        <w:rPr>
          <w:color w:val="231F20"/>
          <w:spacing w:val="-24"/>
          <w:w w:val="105"/>
        </w:rPr>
        <w:t> </w:t>
      </w:r>
      <w:r>
        <w:rPr>
          <w:color w:val="231F20"/>
          <w:w w:val="105"/>
        </w:rPr>
        <w:t>mecanismos: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campaña</w:t>
      </w:r>
      <w:r>
        <w:rPr>
          <w:color w:val="231F20"/>
          <w:spacing w:val="-24"/>
          <w:w w:val="105"/>
        </w:rPr>
        <w:t> </w:t>
      </w:r>
      <w:r>
        <w:rPr>
          <w:color w:val="231F20"/>
          <w:w w:val="105"/>
        </w:rPr>
        <w:t>electoral;</w:t>
      </w:r>
      <w:r>
        <w:rPr>
          <w:color w:val="231F20"/>
          <w:spacing w:val="-24"/>
          <w:w w:val="105"/>
        </w:rPr>
        <w:t> </w:t>
      </w:r>
      <w:r>
        <w:rPr>
          <w:color w:val="231F20"/>
          <w:w w:val="105"/>
        </w:rPr>
        <w:t>del</w:t>
      </w:r>
      <w:r>
        <w:rPr>
          <w:color w:val="231F20"/>
          <w:spacing w:val="-25"/>
          <w:w w:val="105"/>
        </w:rPr>
        <w:t> </w:t>
      </w:r>
      <w:r>
        <w:rPr>
          <w:color w:val="231F20"/>
          <w:w w:val="105"/>
        </w:rPr>
        <w:t>Sistema</w:t>
      </w:r>
      <w:r>
        <w:rPr>
          <w:color w:val="231F20"/>
          <w:spacing w:val="-24"/>
          <w:w w:val="105"/>
        </w:rPr>
        <w:t> </w:t>
      </w:r>
      <w:r>
        <w:rPr>
          <w:color w:val="231F20"/>
          <w:w w:val="105"/>
        </w:rPr>
        <w:t>Integral de</w:t>
      </w:r>
      <w:r>
        <w:rPr>
          <w:color w:val="231F20"/>
          <w:spacing w:val="-6"/>
          <w:w w:val="105"/>
        </w:rPr>
        <w:t> </w:t>
      </w:r>
      <w:r>
        <w:rPr>
          <w:color w:val="231F20"/>
          <w:w w:val="105"/>
        </w:rPr>
        <w:t>Atención</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Gestión</w:t>
      </w:r>
      <w:r>
        <w:rPr>
          <w:color w:val="231F20"/>
          <w:spacing w:val="-6"/>
          <w:w w:val="105"/>
        </w:rPr>
        <w:t> </w:t>
      </w:r>
      <w:r>
        <w:rPr>
          <w:color w:val="231F20"/>
          <w:w w:val="105"/>
        </w:rPr>
        <w:t>Ciudadana;</w:t>
      </w:r>
      <w:r>
        <w:rPr>
          <w:color w:val="231F20"/>
          <w:spacing w:val="-6"/>
          <w:w w:val="105"/>
        </w:rPr>
        <w:t> </w:t>
      </w:r>
      <w:r>
        <w:rPr>
          <w:color w:val="231F20"/>
          <w:w w:val="105"/>
        </w:rPr>
        <w:t>de</w:t>
      </w:r>
      <w:r>
        <w:rPr>
          <w:color w:val="231F20"/>
          <w:spacing w:val="-6"/>
          <w:w w:val="105"/>
        </w:rPr>
        <w:t> </w:t>
      </w:r>
      <w:r>
        <w:rPr>
          <w:color w:val="231F20"/>
          <w:w w:val="105"/>
        </w:rPr>
        <w:t>encuestas</w:t>
      </w:r>
      <w:r>
        <w:rPr>
          <w:color w:val="231F20"/>
          <w:spacing w:val="-6"/>
          <w:w w:val="105"/>
        </w:rPr>
        <w:t> </w:t>
      </w:r>
      <w:r>
        <w:rPr>
          <w:color w:val="231F20"/>
          <w:w w:val="105"/>
        </w:rPr>
        <w:t>de</w:t>
      </w:r>
      <w:r>
        <w:rPr>
          <w:color w:val="231F20"/>
          <w:spacing w:val="-6"/>
          <w:w w:val="105"/>
        </w:rPr>
        <w:t> </w:t>
      </w:r>
      <w:r>
        <w:rPr>
          <w:color w:val="231F20"/>
          <w:w w:val="105"/>
        </w:rPr>
        <w:t>Evaluación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Administración Pública</w:t>
      </w:r>
      <w:r>
        <w:rPr>
          <w:color w:val="231F20"/>
          <w:spacing w:val="-20"/>
          <w:w w:val="105"/>
        </w:rPr>
        <w:t> </w:t>
      </w:r>
      <w:r>
        <w:rPr>
          <w:color w:val="231F20"/>
          <w:w w:val="105"/>
        </w:rPr>
        <w:t>Municipal,</w:t>
      </w:r>
      <w:r>
        <w:rPr>
          <w:color w:val="231F20"/>
          <w:spacing w:val="-20"/>
          <w:w w:val="105"/>
        </w:rPr>
        <w:t> </w:t>
      </w:r>
      <w:r>
        <w:rPr>
          <w:color w:val="231F20"/>
          <w:w w:val="105"/>
        </w:rPr>
        <w:t>2003-2005;</w:t>
      </w:r>
      <w:r>
        <w:rPr>
          <w:color w:val="231F20"/>
          <w:spacing w:val="-20"/>
          <w:w w:val="105"/>
        </w:rPr>
        <w:t> </w:t>
      </w:r>
      <w:r>
        <w:rPr>
          <w:color w:val="231F20"/>
          <w:w w:val="105"/>
        </w:rPr>
        <w:t>del</w:t>
      </w:r>
      <w:r>
        <w:rPr>
          <w:color w:val="231F20"/>
          <w:spacing w:val="-20"/>
          <w:w w:val="105"/>
        </w:rPr>
        <w:t> </w:t>
      </w:r>
      <w:r>
        <w:rPr>
          <w:color w:val="231F20"/>
          <w:spacing w:val="-3"/>
          <w:w w:val="105"/>
        </w:rPr>
        <w:t>Foro</w:t>
      </w:r>
      <w:r>
        <w:rPr>
          <w:color w:val="231F20"/>
          <w:spacing w:val="-20"/>
          <w:w w:val="105"/>
        </w:rPr>
        <w:t> </w:t>
      </w:r>
      <w:r>
        <w:rPr>
          <w:color w:val="231F20"/>
          <w:w w:val="105"/>
        </w:rPr>
        <w:t>de</w:t>
      </w:r>
      <w:r>
        <w:rPr>
          <w:color w:val="231F20"/>
          <w:spacing w:val="-20"/>
          <w:w w:val="105"/>
        </w:rPr>
        <w:t> </w:t>
      </w:r>
      <w:r>
        <w:rPr>
          <w:color w:val="231F20"/>
          <w:w w:val="105"/>
        </w:rPr>
        <w:t>participación</w:t>
      </w:r>
      <w:r>
        <w:rPr>
          <w:color w:val="231F20"/>
          <w:spacing w:val="-20"/>
          <w:w w:val="105"/>
        </w:rPr>
        <w:t> </w:t>
      </w:r>
      <w:r>
        <w:rPr>
          <w:color w:val="231F20"/>
          <w:w w:val="105"/>
        </w:rPr>
        <w:t>en</w:t>
      </w:r>
      <w:r>
        <w:rPr>
          <w:color w:val="231F20"/>
          <w:spacing w:val="-20"/>
          <w:w w:val="105"/>
        </w:rPr>
        <w:t> </w:t>
      </w:r>
      <w:r>
        <w:rPr>
          <w:color w:val="231F20"/>
          <w:w w:val="105"/>
        </w:rPr>
        <w:t>línea,</w:t>
      </w:r>
      <w:r>
        <w:rPr>
          <w:color w:val="231F20"/>
          <w:spacing w:val="-20"/>
          <w:w w:val="105"/>
        </w:rPr>
        <w:t> </w:t>
      </w:r>
      <w:r>
        <w:rPr>
          <w:color w:val="231F20"/>
          <w:w w:val="105"/>
        </w:rPr>
        <w:t>mediante</w:t>
      </w:r>
      <w:r>
        <w:rPr>
          <w:color w:val="231F20"/>
          <w:spacing w:val="-20"/>
          <w:w w:val="105"/>
        </w:rPr>
        <w:t> </w:t>
      </w:r>
      <w:r>
        <w:rPr>
          <w:color w:val="231F20"/>
          <w:w w:val="105"/>
        </w:rPr>
        <w:t>el</w:t>
      </w:r>
      <w:r>
        <w:rPr>
          <w:color w:val="231F20"/>
          <w:spacing w:val="-20"/>
          <w:w w:val="105"/>
        </w:rPr>
        <w:t> </w:t>
      </w:r>
      <w:r>
        <w:rPr>
          <w:color w:val="231F20"/>
          <w:w w:val="105"/>
        </w:rPr>
        <w:t>portal</w:t>
      </w:r>
      <w:r>
        <w:rPr>
          <w:color w:val="231F20"/>
          <w:spacing w:val="-20"/>
          <w:w w:val="105"/>
        </w:rPr>
        <w:t> </w:t>
      </w:r>
      <w:r>
        <w:rPr>
          <w:color w:val="231F20"/>
          <w:w w:val="105"/>
        </w:rPr>
        <w:t>del municipio</w:t>
      </w:r>
      <w:r>
        <w:rPr>
          <w:color w:val="231F20"/>
          <w:spacing w:val="-21"/>
          <w:w w:val="105"/>
        </w:rPr>
        <w:t> </w:t>
      </w:r>
      <w:r>
        <w:rPr>
          <w:color w:val="231F20"/>
          <w:w w:val="105"/>
        </w:rPr>
        <w:t>de</w:t>
      </w:r>
      <w:r>
        <w:rPr>
          <w:color w:val="231F20"/>
          <w:spacing w:val="-21"/>
          <w:w w:val="105"/>
        </w:rPr>
        <w:t> </w:t>
      </w:r>
      <w:r>
        <w:rPr>
          <w:color w:val="231F20"/>
          <w:w w:val="105"/>
        </w:rPr>
        <w:t>Tlalnepantla;</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aportaciones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integrantes</w:t>
      </w:r>
      <w:r>
        <w:rPr>
          <w:color w:val="231F20"/>
          <w:spacing w:val="-21"/>
          <w:w w:val="105"/>
        </w:rPr>
        <w:t> </w:t>
      </w:r>
      <w:r>
        <w:rPr>
          <w:color w:val="231F20"/>
          <w:w w:val="105"/>
        </w:rPr>
        <w:t>del</w:t>
      </w:r>
      <w:r>
        <w:rPr>
          <w:color w:val="231F20"/>
          <w:spacing w:val="-21"/>
          <w:w w:val="105"/>
        </w:rPr>
        <w:t> </w:t>
      </w:r>
      <w:r>
        <w:rPr>
          <w:color w:val="231F20"/>
          <w:w w:val="105"/>
        </w:rPr>
        <w:t>H.</w:t>
      </w:r>
      <w:r>
        <w:rPr>
          <w:color w:val="231F20"/>
          <w:spacing w:val="-21"/>
          <w:w w:val="105"/>
        </w:rPr>
        <w:t> </w:t>
      </w:r>
      <w:r>
        <w:rPr>
          <w:color w:val="231F20"/>
          <w:w w:val="105"/>
        </w:rPr>
        <w:t>Ayuntamiento y</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COPLADEMUN.</w:t>
      </w:r>
    </w:p>
    <w:p>
      <w:pPr>
        <w:pStyle w:val="BodyText"/>
        <w:spacing w:before="1"/>
        <w:rPr>
          <w:sz w:val="26"/>
        </w:rPr>
      </w:pPr>
    </w:p>
    <w:p>
      <w:pPr>
        <w:pStyle w:val="BodyText"/>
        <w:spacing w:line="285" w:lineRule="auto"/>
        <w:ind w:left="110" w:right="107"/>
        <w:jc w:val="both"/>
      </w:pPr>
      <w:r>
        <w:rPr>
          <w:color w:val="231F20"/>
          <w:w w:val="105"/>
        </w:rPr>
        <w:t>El</w:t>
      </w:r>
      <w:r>
        <w:rPr>
          <w:color w:val="231F20"/>
          <w:spacing w:val="-4"/>
          <w:w w:val="105"/>
        </w:rPr>
        <w:t> </w:t>
      </w:r>
      <w:r>
        <w:rPr>
          <w:color w:val="231F20"/>
          <w:w w:val="105"/>
        </w:rPr>
        <w:t>municipio</w:t>
      </w:r>
      <w:r>
        <w:rPr>
          <w:color w:val="231F20"/>
          <w:spacing w:val="-4"/>
          <w:w w:val="105"/>
        </w:rPr>
        <w:t> </w:t>
      </w:r>
      <w:r>
        <w:rPr>
          <w:color w:val="231F20"/>
          <w:w w:val="105"/>
        </w:rPr>
        <w:t>se</w:t>
      </w:r>
      <w:r>
        <w:rPr>
          <w:color w:val="231F20"/>
          <w:spacing w:val="-4"/>
          <w:w w:val="105"/>
        </w:rPr>
        <w:t> </w:t>
      </w:r>
      <w:r>
        <w:rPr>
          <w:color w:val="231F20"/>
          <w:w w:val="105"/>
        </w:rPr>
        <w:t>manifiesta</w:t>
      </w:r>
      <w:r>
        <w:rPr>
          <w:color w:val="231F20"/>
          <w:spacing w:val="-4"/>
          <w:w w:val="105"/>
        </w:rPr>
        <w:t> </w:t>
      </w:r>
      <w:r>
        <w:rPr>
          <w:color w:val="231F20"/>
          <w:w w:val="105"/>
        </w:rPr>
        <w:t>por</w:t>
      </w:r>
      <w:r>
        <w:rPr>
          <w:color w:val="231F20"/>
          <w:spacing w:val="-4"/>
          <w:w w:val="105"/>
        </w:rPr>
        <w:t> </w:t>
      </w:r>
      <w:r>
        <w:rPr>
          <w:color w:val="231F20"/>
          <w:w w:val="105"/>
        </w:rPr>
        <w:t>otorgar</w:t>
      </w:r>
      <w:r>
        <w:rPr>
          <w:color w:val="231F20"/>
          <w:spacing w:val="-4"/>
          <w:w w:val="105"/>
        </w:rPr>
        <w:t> </w:t>
      </w:r>
      <w:r>
        <w:rPr>
          <w:color w:val="231F20"/>
          <w:spacing w:val="2"/>
          <w:w w:val="105"/>
        </w:rPr>
        <w:t>al</w:t>
      </w:r>
      <w:r>
        <w:rPr>
          <w:color w:val="231F20"/>
          <w:spacing w:val="-4"/>
          <w:w w:val="105"/>
        </w:rPr>
        <w:t> </w:t>
      </w:r>
      <w:r>
        <w:rPr>
          <w:color w:val="231F20"/>
          <w:w w:val="105"/>
        </w:rPr>
        <w:t>ciudadano</w:t>
      </w:r>
      <w:r>
        <w:rPr>
          <w:color w:val="231F20"/>
          <w:spacing w:val="-4"/>
          <w:w w:val="105"/>
        </w:rPr>
        <w:t> </w:t>
      </w:r>
      <w:r>
        <w:rPr>
          <w:color w:val="231F20"/>
          <w:w w:val="105"/>
        </w:rPr>
        <w:t>“un</w:t>
      </w:r>
      <w:r>
        <w:rPr>
          <w:color w:val="231F20"/>
          <w:spacing w:val="-4"/>
          <w:w w:val="105"/>
        </w:rPr>
        <w:t> </w:t>
      </w:r>
      <w:r>
        <w:rPr>
          <w:color w:val="231F20"/>
          <w:w w:val="105"/>
        </w:rPr>
        <w:t>ambiente</w:t>
      </w:r>
      <w:r>
        <w:rPr>
          <w:color w:val="231F20"/>
          <w:spacing w:val="-4"/>
          <w:w w:val="105"/>
        </w:rPr>
        <w:t> </w:t>
      </w:r>
      <w:r>
        <w:rPr>
          <w:color w:val="231F20"/>
          <w:w w:val="105"/>
        </w:rPr>
        <w:t>seguro</w:t>
      </w:r>
      <w:r>
        <w:rPr>
          <w:color w:val="231F20"/>
          <w:spacing w:val="-4"/>
          <w:w w:val="105"/>
        </w:rPr>
        <w:t> </w:t>
      </w:r>
      <w:r>
        <w:rPr>
          <w:color w:val="231F20"/>
          <w:w w:val="105"/>
        </w:rPr>
        <w:t>y</w:t>
      </w:r>
      <w:r>
        <w:rPr>
          <w:color w:val="231F20"/>
          <w:spacing w:val="-4"/>
          <w:w w:val="105"/>
        </w:rPr>
        <w:t> </w:t>
      </w:r>
      <w:r>
        <w:rPr>
          <w:color w:val="231F20"/>
          <w:w w:val="105"/>
        </w:rPr>
        <w:t>de</w:t>
      </w:r>
      <w:r>
        <w:rPr>
          <w:color w:val="231F20"/>
          <w:spacing w:val="-4"/>
          <w:w w:val="105"/>
        </w:rPr>
        <w:t> </w:t>
      </w:r>
      <w:r>
        <w:rPr>
          <w:color w:val="231F20"/>
          <w:w w:val="105"/>
        </w:rPr>
        <w:t>oportu- nidades</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priorizando</w:t>
      </w:r>
      <w:r>
        <w:rPr>
          <w:color w:val="231F20"/>
          <w:spacing w:val="-14"/>
          <w:w w:val="105"/>
        </w:rPr>
        <w:t> </w:t>
      </w:r>
      <w:r>
        <w:rPr>
          <w:color w:val="231F20"/>
          <w:w w:val="105"/>
        </w:rPr>
        <w:t>en</w:t>
      </w:r>
      <w:r>
        <w:rPr>
          <w:color w:val="231F20"/>
          <w:spacing w:val="-14"/>
          <w:w w:val="105"/>
        </w:rPr>
        <w:t> </w:t>
      </w:r>
      <w:r>
        <w:rPr>
          <w:color w:val="231F20"/>
          <w:w w:val="105"/>
        </w:rPr>
        <w:t>todo</w:t>
      </w:r>
      <w:r>
        <w:rPr>
          <w:color w:val="231F20"/>
          <w:spacing w:val="-14"/>
          <w:w w:val="105"/>
        </w:rPr>
        <w:t> </w:t>
      </w:r>
      <w:r>
        <w:rPr>
          <w:color w:val="231F20"/>
          <w:spacing w:val="-3"/>
          <w:w w:val="105"/>
        </w:rPr>
        <w:t>momento</w:t>
      </w:r>
      <w:r>
        <w:rPr>
          <w:color w:val="231F20"/>
          <w:spacing w:val="-14"/>
          <w:w w:val="105"/>
        </w:rPr>
        <w:t> </w:t>
      </w:r>
      <w:r>
        <w:rPr>
          <w:color w:val="231F20"/>
          <w:w w:val="105"/>
        </w:rPr>
        <w:t>sus</w:t>
      </w:r>
      <w:r>
        <w:rPr>
          <w:color w:val="231F20"/>
          <w:spacing w:val="-14"/>
          <w:w w:val="105"/>
        </w:rPr>
        <w:t> </w:t>
      </w:r>
      <w:r>
        <w:rPr>
          <w:color w:val="231F20"/>
          <w:w w:val="105"/>
        </w:rPr>
        <w:t>esfuerzos,</w:t>
      </w:r>
      <w:r>
        <w:rPr>
          <w:color w:val="231F20"/>
          <w:spacing w:val="-14"/>
          <w:w w:val="105"/>
        </w:rPr>
        <w:t> </w:t>
      </w:r>
      <w:r>
        <w:rPr>
          <w:color w:val="231F20"/>
          <w:w w:val="105"/>
        </w:rPr>
        <w:t>hacia</w:t>
      </w:r>
      <w:r>
        <w:rPr>
          <w:color w:val="231F20"/>
          <w:spacing w:val="-14"/>
          <w:w w:val="105"/>
        </w:rPr>
        <w:t> </w:t>
      </w:r>
      <w:r>
        <w:rPr>
          <w:color w:val="231F20"/>
          <w:w w:val="105"/>
        </w:rPr>
        <w:t>la</w:t>
      </w:r>
      <w:r>
        <w:rPr>
          <w:color w:val="231F20"/>
          <w:spacing w:val="-14"/>
          <w:w w:val="105"/>
        </w:rPr>
        <w:t> </w:t>
      </w:r>
      <w:r>
        <w:rPr>
          <w:color w:val="231F20"/>
          <w:spacing w:val="-3"/>
          <w:w w:val="105"/>
        </w:rPr>
        <w:t>“población </w:t>
      </w:r>
      <w:r>
        <w:rPr>
          <w:color w:val="231F20"/>
          <w:w w:val="105"/>
        </w:rPr>
        <w:t>más</w:t>
      </w:r>
      <w:r>
        <w:rPr>
          <w:color w:val="231F20"/>
          <w:spacing w:val="-16"/>
          <w:w w:val="105"/>
        </w:rPr>
        <w:t> </w:t>
      </w:r>
      <w:r>
        <w:rPr>
          <w:color w:val="231F20"/>
          <w:w w:val="105"/>
        </w:rPr>
        <w:t>vulnerable”.</w:t>
      </w:r>
      <w:r>
        <w:rPr>
          <w:color w:val="231F20"/>
          <w:spacing w:val="-16"/>
          <w:w w:val="105"/>
        </w:rPr>
        <w:t> </w:t>
      </w:r>
      <w:r>
        <w:rPr>
          <w:color w:val="231F20"/>
          <w:w w:val="105"/>
        </w:rPr>
        <w:t>Las</w:t>
      </w:r>
      <w:r>
        <w:rPr>
          <w:color w:val="231F20"/>
          <w:spacing w:val="-16"/>
          <w:w w:val="105"/>
        </w:rPr>
        <w:t> </w:t>
      </w:r>
      <w:r>
        <w:rPr>
          <w:color w:val="231F20"/>
          <w:w w:val="105"/>
        </w:rPr>
        <w:t>acciones,</w:t>
      </w:r>
      <w:r>
        <w:rPr>
          <w:color w:val="231F20"/>
          <w:spacing w:val="-16"/>
          <w:w w:val="105"/>
        </w:rPr>
        <w:t> </w:t>
      </w:r>
      <w:r>
        <w:rPr>
          <w:color w:val="231F20"/>
          <w:w w:val="105"/>
        </w:rPr>
        <w:t>se</w:t>
      </w:r>
      <w:r>
        <w:rPr>
          <w:color w:val="231F20"/>
          <w:spacing w:val="-16"/>
          <w:w w:val="105"/>
        </w:rPr>
        <w:t> </w:t>
      </w:r>
      <w:r>
        <w:rPr>
          <w:color w:val="231F20"/>
          <w:w w:val="105"/>
        </w:rPr>
        <w:t>apunta,</w:t>
      </w:r>
      <w:r>
        <w:rPr>
          <w:color w:val="231F20"/>
          <w:spacing w:val="-16"/>
          <w:w w:val="105"/>
        </w:rPr>
        <w:t> </w:t>
      </w:r>
      <w:r>
        <w:rPr>
          <w:color w:val="231F20"/>
          <w:w w:val="105"/>
        </w:rPr>
        <w:t>se</w:t>
      </w:r>
      <w:r>
        <w:rPr>
          <w:color w:val="231F20"/>
          <w:spacing w:val="-16"/>
          <w:w w:val="105"/>
        </w:rPr>
        <w:t> </w:t>
      </w:r>
      <w:r>
        <w:rPr>
          <w:color w:val="231F20"/>
          <w:spacing w:val="2"/>
          <w:w w:val="105"/>
        </w:rPr>
        <w:t>dirigirán</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seguridad</w:t>
      </w:r>
      <w:r>
        <w:rPr>
          <w:color w:val="231F20"/>
          <w:spacing w:val="-16"/>
          <w:w w:val="105"/>
        </w:rPr>
        <w:t> </w:t>
      </w:r>
      <w:r>
        <w:rPr>
          <w:color w:val="231F20"/>
          <w:w w:val="105"/>
        </w:rPr>
        <w:t>pública,</w:t>
      </w:r>
      <w:r>
        <w:rPr>
          <w:color w:val="231F20"/>
          <w:spacing w:val="-16"/>
          <w:w w:val="105"/>
        </w:rPr>
        <w:t> </w:t>
      </w:r>
      <w:r>
        <w:rPr>
          <w:color w:val="231F20"/>
          <w:w w:val="105"/>
        </w:rPr>
        <w:t>desarrollo económico, educación, apoyo a grupos vulnerables, infraestructura y desarrollo</w:t>
      </w:r>
      <w:r>
        <w:rPr>
          <w:color w:val="231F20"/>
          <w:spacing w:val="-40"/>
          <w:w w:val="105"/>
        </w:rPr>
        <w:t> </w:t>
      </w:r>
      <w:r>
        <w:rPr>
          <w:color w:val="231F20"/>
          <w:w w:val="105"/>
        </w:rPr>
        <w:t>muni- cipal sustentable. El compromiso que alude asumir la gestión es el de corresponder </w:t>
      </w:r>
      <w:r>
        <w:rPr>
          <w:color w:val="231F20"/>
          <w:spacing w:val="2"/>
          <w:w w:val="105"/>
        </w:rPr>
        <w:t>al </w:t>
      </w:r>
      <w:r>
        <w:rPr>
          <w:color w:val="231F20"/>
          <w:w w:val="105"/>
        </w:rPr>
        <w:t>voto</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electores</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ciudadanía</w:t>
      </w:r>
      <w:r>
        <w:rPr>
          <w:color w:val="231F20"/>
          <w:spacing w:val="-18"/>
          <w:w w:val="105"/>
        </w:rPr>
        <w:t> </w:t>
      </w:r>
      <w:r>
        <w:rPr>
          <w:color w:val="231F20"/>
          <w:w w:val="105"/>
        </w:rPr>
        <w:t>en</w:t>
      </w:r>
      <w:r>
        <w:rPr>
          <w:color w:val="231F20"/>
          <w:spacing w:val="-18"/>
          <w:w w:val="105"/>
        </w:rPr>
        <w:t> </w:t>
      </w:r>
      <w:r>
        <w:rPr>
          <w:color w:val="231F20"/>
          <w:w w:val="105"/>
        </w:rPr>
        <w:t>general.</w:t>
      </w:r>
    </w:p>
    <w:p>
      <w:pPr>
        <w:pStyle w:val="BodyText"/>
        <w:spacing w:before="1"/>
        <w:rPr>
          <w:sz w:val="26"/>
        </w:rPr>
      </w:pPr>
    </w:p>
    <w:p>
      <w:pPr>
        <w:pStyle w:val="BodyText"/>
        <w:spacing w:line="285" w:lineRule="auto"/>
        <w:ind w:left="110" w:right="108"/>
        <w:jc w:val="both"/>
      </w:pPr>
      <w:r>
        <w:rPr>
          <w:color w:val="231F20"/>
        </w:rPr>
        <w:t>Las demandas sociales más significativas </w:t>
      </w:r>
      <w:r>
        <w:rPr>
          <w:color w:val="231F20"/>
          <w:spacing w:val="-3"/>
        </w:rPr>
        <w:t>son </w:t>
      </w:r>
      <w:r>
        <w:rPr>
          <w:color w:val="231F20"/>
        </w:rPr>
        <w:t>las de seguridad </w:t>
      </w:r>
      <w:r>
        <w:rPr>
          <w:color w:val="231F20"/>
          <w:spacing w:val="-3"/>
        </w:rPr>
        <w:t>pública </w:t>
      </w:r>
      <w:r>
        <w:rPr>
          <w:color w:val="231F20"/>
          <w:spacing w:val="-5"/>
        </w:rPr>
        <w:t>(robo </w:t>
      </w:r>
      <w:r>
        <w:rPr>
          <w:color w:val="231F20"/>
        </w:rPr>
        <w:t>a transeúntes, </w:t>
      </w:r>
      <w:r>
        <w:rPr>
          <w:color w:val="231F20"/>
          <w:spacing w:val="-4"/>
        </w:rPr>
        <w:t>habitaciones, </w:t>
      </w:r>
      <w:r>
        <w:rPr>
          <w:color w:val="231F20"/>
        </w:rPr>
        <w:t>vehículos, </w:t>
      </w:r>
      <w:r>
        <w:rPr>
          <w:color w:val="231F20"/>
          <w:spacing w:val="-4"/>
        </w:rPr>
        <w:t>drogadicción, </w:t>
      </w:r>
      <w:r>
        <w:rPr>
          <w:color w:val="231F20"/>
        </w:rPr>
        <w:t>vandalismo, falta de patrullaje y </w:t>
      </w:r>
      <w:r>
        <w:rPr>
          <w:color w:val="231F20"/>
          <w:spacing w:val="-3"/>
        </w:rPr>
        <w:t>secuestro) con </w:t>
      </w:r>
      <w:r>
        <w:rPr>
          <w:color w:val="231F20"/>
        </w:rPr>
        <w:t>el 50%, desarrollo urbano (transporte y vialidad, saneamiento vial, obras </w:t>
      </w:r>
      <w:r>
        <w:rPr>
          <w:color w:val="231F20"/>
          <w:spacing w:val="-3"/>
        </w:rPr>
        <w:t>públicas, </w:t>
      </w:r>
      <w:r>
        <w:rPr>
          <w:color w:val="231F20"/>
          <w:spacing w:val="-4"/>
        </w:rPr>
        <w:t>recolec- </w:t>
      </w:r>
      <w:r>
        <w:rPr>
          <w:color w:val="231F20"/>
          <w:spacing w:val="-3"/>
        </w:rPr>
        <w:t>ción </w:t>
      </w:r>
      <w:r>
        <w:rPr>
          <w:color w:val="231F20"/>
        </w:rPr>
        <w:t>de basura) </w:t>
      </w:r>
      <w:r>
        <w:rPr>
          <w:color w:val="231F20"/>
          <w:spacing w:val="-3"/>
        </w:rPr>
        <w:t>con </w:t>
      </w:r>
      <w:r>
        <w:rPr>
          <w:color w:val="231F20"/>
          <w:spacing w:val="-4"/>
        </w:rPr>
        <w:t>49.4%, </w:t>
      </w:r>
      <w:r>
        <w:rPr>
          <w:color w:val="231F20"/>
        </w:rPr>
        <w:t>agua y saneamiento </w:t>
      </w:r>
      <w:r>
        <w:rPr>
          <w:color w:val="231F20"/>
          <w:spacing w:val="-4"/>
        </w:rPr>
        <w:t>(reparación </w:t>
      </w:r>
      <w:r>
        <w:rPr>
          <w:color w:val="231F20"/>
        </w:rPr>
        <w:t>de fugas, </w:t>
      </w:r>
      <w:r>
        <w:rPr>
          <w:color w:val="231F20"/>
          <w:spacing w:val="-3"/>
        </w:rPr>
        <w:t>limpieza </w:t>
      </w:r>
      <w:r>
        <w:rPr>
          <w:color w:val="231F20"/>
        </w:rPr>
        <w:t>de tanques, </w:t>
      </w:r>
      <w:r>
        <w:rPr>
          <w:color w:val="231F20"/>
          <w:spacing w:val="-3"/>
        </w:rPr>
        <w:t>cambio </w:t>
      </w:r>
      <w:r>
        <w:rPr>
          <w:color w:val="231F20"/>
        </w:rPr>
        <w:t>de la </w:t>
      </w:r>
      <w:r>
        <w:rPr>
          <w:color w:val="231F20"/>
          <w:spacing w:val="-3"/>
        </w:rPr>
        <w:t>red </w:t>
      </w:r>
      <w:r>
        <w:rPr>
          <w:color w:val="231F20"/>
        </w:rPr>
        <w:t>de agua </w:t>
      </w:r>
      <w:r>
        <w:rPr>
          <w:color w:val="231F20"/>
          <w:spacing w:val="-4"/>
        </w:rPr>
        <w:t>potable) </w:t>
      </w:r>
      <w:r>
        <w:rPr>
          <w:color w:val="231F20"/>
          <w:spacing w:val="-3"/>
        </w:rPr>
        <w:t>con 35%, </w:t>
      </w:r>
      <w:r>
        <w:rPr>
          <w:color w:val="231F20"/>
        </w:rPr>
        <w:t>electrificación y </w:t>
      </w:r>
      <w:r>
        <w:rPr>
          <w:color w:val="231F20"/>
          <w:spacing w:val="-3"/>
        </w:rPr>
        <w:t>alumbrado público </w:t>
      </w:r>
      <w:r>
        <w:rPr>
          <w:color w:val="231F20"/>
          <w:spacing w:val="-4"/>
        </w:rPr>
        <w:t>(manteni- </w:t>
      </w:r>
      <w:r>
        <w:rPr>
          <w:color w:val="231F20"/>
          <w:spacing w:val="-3"/>
        </w:rPr>
        <w:t>miento </w:t>
      </w:r>
      <w:r>
        <w:rPr>
          <w:color w:val="231F20"/>
        </w:rPr>
        <w:t>constante de la </w:t>
      </w:r>
      <w:r>
        <w:rPr>
          <w:color w:val="231F20"/>
          <w:spacing w:val="-3"/>
        </w:rPr>
        <w:t>red </w:t>
      </w:r>
      <w:r>
        <w:rPr>
          <w:color w:val="231F20"/>
        </w:rPr>
        <w:t>de </w:t>
      </w:r>
      <w:r>
        <w:rPr>
          <w:color w:val="231F20"/>
          <w:spacing w:val="-4"/>
        </w:rPr>
        <w:t>alumbrado) </w:t>
      </w:r>
      <w:r>
        <w:rPr>
          <w:color w:val="231F20"/>
          <w:spacing w:val="-3"/>
        </w:rPr>
        <w:t>con </w:t>
      </w:r>
      <w:r>
        <w:rPr>
          <w:color w:val="231F20"/>
          <w:spacing w:val="-9"/>
        </w:rPr>
        <w:t>17.8% </w:t>
      </w:r>
      <w:r>
        <w:rPr>
          <w:color w:val="231F20"/>
        </w:rPr>
        <w:t>y medio </w:t>
      </w:r>
      <w:r>
        <w:rPr>
          <w:color w:val="231F20"/>
          <w:spacing w:val="-4"/>
        </w:rPr>
        <w:t>ambiente </w:t>
      </w:r>
      <w:r>
        <w:rPr>
          <w:color w:val="231F20"/>
          <w:spacing w:val="-3"/>
        </w:rPr>
        <w:t>con   10.6%</w:t>
      </w:r>
      <w:r>
        <w:rPr>
          <w:color w:val="231F20"/>
          <w:spacing w:val="-3"/>
          <w:position w:val="7"/>
          <w:sz w:val="13"/>
        </w:rPr>
        <w:t>30</w:t>
      </w:r>
      <w:r>
        <w:rPr>
          <w:color w:val="231F20"/>
          <w:spacing w:val="-3"/>
        </w:rPr>
        <w:t>.</w:t>
      </w:r>
    </w:p>
    <w:p>
      <w:pPr>
        <w:pStyle w:val="BodyText"/>
        <w:rPr>
          <w:sz w:val="26"/>
        </w:rPr>
      </w:pPr>
    </w:p>
    <w:p>
      <w:pPr>
        <w:pStyle w:val="BodyText"/>
        <w:spacing w:line="285" w:lineRule="auto"/>
        <w:ind w:left="110" w:right="107"/>
        <w:jc w:val="both"/>
      </w:pPr>
      <w:r>
        <w:rPr>
          <w:color w:val="231F20"/>
          <w:w w:val="105"/>
        </w:rPr>
        <w:t>De </w:t>
      </w:r>
      <w:r>
        <w:rPr>
          <w:color w:val="231F20"/>
          <w:spacing w:val="2"/>
          <w:w w:val="105"/>
        </w:rPr>
        <w:t>ahí </w:t>
      </w:r>
      <w:r>
        <w:rPr>
          <w:color w:val="231F20"/>
          <w:w w:val="105"/>
        </w:rPr>
        <w:t>que, las prioridades por pilares sean: en cuanto </w:t>
      </w:r>
      <w:r>
        <w:rPr>
          <w:color w:val="231F20"/>
          <w:spacing w:val="2"/>
          <w:w w:val="105"/>
        </w:rPr>
        <w:t>al </w:t>
      </w:r>
      <w:r>
        <w:rPr>
          <w:color w:val="231F20"/>
          <w:w w:val="105"/>
        </w:rPr>
        <w:t>desarrollo social, el uso de nuevas</w:t>
      </w:r>
      <w:r>
        <w:rPr>
          <w:color w:val="231F20"/>
          <w:spacing w:val="-28"/>
          <w:w w:val="105"/>
        </w:rPr>
        <w:t> </w:t>
      </w:r>
      <w:r>
        <w:rPr>
          <w:color w:val="231F20"/>
          <w:w w:val="105"/>
        </w:rPr>
        <w:t>tecnologías</w:t>
      </w:r>
      <w:r>
        <w:rPr>
          <w:color w:val="231F20"/>
          <w:spacing w:val="-28"/>
          <w:w w:val="105"/>
        </w:rPr>
        <w:t> </w:t>
      </w:r>
      <w:r>
        <w:rPr>
          <w:color w:val="231F20"/>
          <w:w w:val="105"/>
        </w:rPr>
        <w:t>en</w:t>
      </w:r>
      <w:r>
        <w:rPr>
          <w:color w:val="231F20"/>
          <w:spacing w:val="-28"/>
          <w:w w:val="105"/>
        </w:rPr>
        <w:t> </w:t>
      </w:r>
      <w:r>
        <w:rPr>
          <w:color w:val="231F20"/>
          <w:w w:val="105"/>
        </w:rPr>
        <w:t>apoyo</w:t>
      </w:r>
      <w:r>
        <w:rPr>
          <w:color w:val="231F20"/>
          <w:spacing w:val="-28"/>
          <w:w w:val="105"/>
        </w:rPr>
        <w:t> </w:t>
      </w:r>
      <w:r>
        <w:rPr>
          <w:color w:val="231F20"/>
          <w:w w:val="105"/>
        </w:rPr>
        <w:t>a</w:t>
      </w:r>
      <w:r>
        <w:rPr>
          <w:color w:val="231F20"/>
          <w:spacing w:val="-28"/>
          <w:w w:val="105"/>
        </w:rPr>
        <w:t> </w:t>
      </w:r>
      <w:r>
        <w:rPr>
          <w:color w:val="231F20"/>
          <w:w w:val="105"/>
        </w:rPr>
        <w:t>los</w:t>
      </w:r>
      <w:r>
        <w:rPr>
          <w:color w:val="231F20"/>
          <w:spacing w:val="-28"/>
          <w:w w:val="105"/>
        </w:rPr>
        <w:t> </w:t>
      </w:r>
      <w:r>
        <w:rPr>
          <w:color w:val="231F20"/>
          <w:w w:val="105"/>
        </w:rPr>
        <w:t>programas</w:t>
      </w:r>
      <w:r>
        <w:rPr>
          <w:color w:val="231F20"/>
          <w:spacing w:val="-28"/>
          <w:w w:val="105"/>
        </w:rPr>
        <w:t> </w:t>
      </w:r>
      <w:r>
        <w:rPr>
          <w:color w:val="231F20"/>
          <w:w w:val="105"/>
        </w:rPr>
        <w:t>educativos,</w:t>
      </w:r>
      <w:r>
        <w:rPr>
          <w:color w:val="231F20"/>
          <w:spacing w:val="-28"/>
          <w:w w:val="105"/>
        </w:rPr>
        <w:t> </w:t>
      </w:r>
      <w:r>
        <w:rPr>
          <w:color w:val="231F20"/>
          <w:w w:val="105"/>
        </w:rPr>
        <w:t>y</w:t>
      </w:r>
      <w:r>
        <w:rPr>
          <w:color w:val="231F20"/>
          <w:spacing w:val="-28"/>
          <w:w w:val="105"/>
        </w:rPr>
        <w:t> </w:t>
      </w:r>
      <w:r>
        <w:rPr>
          <w:color w:val="231F20"/>
          <w:w w:val="105"/>
        </w:rPr>
        <w:t>la</w:t>
      </w:r>
      <w:r>
        <w:rPr>
          <w:color w:val="231F20"/>
          <w:spacing w:val="-28"/>
          <w:w w:val="105"/>
        </w:rPr>
        <w:t> </w:t>
      </w:r>
      <w:r>
        <w:rPr>
          <w:color w:val="231F20"/>
          <w:w w:val="105"/>
        </w:rPr>
        <w:t>promoción</w:t>
      </w:r>
      <w:r>
        <w:rPr>
          <w:color w:val="231F20"/>
          <w:spacing w:val="-28"/>
          <w:w w:val="105"/>
        </w:rPr>
        <w:t> </w:t>
      </w:r>
      <w:r>
        <w:rPr>
          <w:color w:val="231F20"/>
          <w:w w:val="105"/>
        </w:rPr>
        <w:t>de</w:t>
      </w:r>
      <w:r>
        <w:rPr>
          <w:color w:val="231F20"/>
          <w:spacing w:val="-28"/>
          <w:w w:val="105"/>
        </w:rPr>
        <w:t> </w:t>
      </w:r>
      <w:r>
        <w:rPr>
          <w:color w:val="231F20"/>
          <w:w w:val="105"/>
        </w:rPr>
        <w:t>espacios</w:t>
      </w:r>
      <w:r>
        <w:rPr>
          <w:color w:val="231F20"/>
          <w:spacing w:val="-28"/>
          <w:w w:val="105"/>
        </w:rPr>
        <w:t> </w:t>
      </w:r>
      <w:r>
        <w:rPr>
          <w:color w:val="231F20"/>
          <w:w w:val="105"/>
        </w:rPr>
        <w:t>cul- turales</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fortalecimiento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acciones</w:t>
      </w:r>
      <w:r>
        <w:rPr>
          <w:color w:val="231F20"/>
          <w:spacing w:val="-22"/>
          <w:w w:val="105"/>
        </w:rPr>
        <w:t> </w:t>
      </w:r>
      <w:r>
        <w:rPr>
          <w:color w:val="231F20"/>
          <w:w w:val="105"/>
        </w:rPr>
        <w:t>en</w:t>
      </w:r>
      <w:r>
        <w:rPr>
          <w:color w:val="231F20"/>
          <w:spacing w:val="-22"/>
          <w:w w:val="105"/>
        </w:rPr>
        <w:t> </w:t>
      </w:r>
      <w:r>
        <w:rPr>
          <w:color w:val="231F20"/>
          <w:w w:val="105"/>
        </w:rPr>
        <w:t>materia</w:t>
      </w:r>
      <w:r>
        <w:rPr>
          <w:color w:val="231F20"/>
          <w:spacing w:val="-22"/>
          <w:w w:val="105"/>
        </w:rPr>
        <w:t> </w:t>
      </w:r>
      <w:r>
        <w:rPr>
          <w:color w:val="231F20"/>
          <w:w w:val="105"/>
        </w:rPr>
        <w:t>de</w:t>
      </w:r>
      <w:r>
        <w:rPr>
          <w:color w:val="231F20"/>
          <w:spacing w:val="-22"/>
          <w:w w:val="105"/>
        </w:rPr>
        <w:t> </w:t>
      </w:r>
      <w:r>
        <w:rPr>
          <w:color w:val="231F20"/>
          <w:w w:val="105"/>
        </w:rPr>
        <w:t>salud;</w:t>
      </w:r>
      <w:r>
        <w:rPr>
          <w:color w:val="231F20"/>
          <w:spacing w:val="-22"/>
          <w:w w:val="105"/>
        </w:rPr>
        <w:t> </w:t>
      </w:r>
      <w:r>
        <w:rPr>
          <w:color w:val="231F20"/>
          <w:w w:val="105"/>
        </w:rPr>
        <w:t>en</w:t>
      </w:r>
      <w:r>
        <w:rPr>
          <w:color w:val="231F20"/>
          <w:spacing w:val="-22"/>
          <w:w w:val="105"/>
        </w:rPr>
        <w:t> </w:t>
      </w:r>
      <w:r>
        <w:rPr>
          <w:color w:val="231F20"/>
          <w:w w:val="105"/>
        </w:rPr>
        <w:t>seguridad</w:t>
      </w:r>
      <w:r>
        <w:rPr>
          <w:color w:val="231F20"/>
          <w:spacing w:val="-22"/>
          <w:w w:val="105"/>
        </w:rPr>
        <w:t> </w:t>
      </w:r>
      <w:r>
        <w:rPr>
          <w:color w:val="231F20"/>
          <w:w w:val="105"/>
        </w:rPr>
        <w:t>económica, se</w:t>
      </w:r>
      <w:r>
        <w:rPr>
          <w:color w:val="231F20"/>
          <w:spacing w:val="-13"/>
          <w:w w:val="105"/>
        </w:rPr>
        <w:t> </w:t>
      </w:r>
      <w:r>
        <w:rPr>
          <w:color w:val="231F20"/>
          <w:w w:val="105"/>
        </w:rPr>
        <w:t>plantea</w:t>
      </w:r>
      <w:r>
        <w:rPr>
          <w:color w:val="231F20"/>
          <w:spacing w:val="-13"/>
          <w:w w:val="105"/>
        </w:rPr>
        <w:t> </w:t>
      </w:r>
      <w:r>
        <w:rPr>
          <w:color w:val="231F20"/>
          <w:spacing w:val="-3"/>
          <w:w w:val="105"/>
        </w:rPr>
        <w:t>promover</w:t>
      </w:r>
      <w:r>
        <w:rPr>
          <w:color w:val="231F20"/>
          <w:spacing w:val="-13"/>
          <w:w w:val="105"/>
        </w:rPr>
        <w:t> </w:t>
      </w:r>
      <w:r>
        <w:rPr>
          <w:color w:val="231F20"/>
          <w:w w:val="105"/>
        </w:rPr>
        <w:t>la</w:t>
      </w:r>
      <w:r>
        <w:rPr>
          <w:color w:val="231F20"/>
          <w:spacing w:val="-13"/>
          <w:w w:val="105"/>
        </w:rPr>
        <w:t> </w:t>
      </w:r>
      <w:r>
        <w:rPr>
          <w:color w:val="231F20"/>
          <w:w w:val="105"/>
        </w:rPr>
        <w:t>utilización</w:t>
      </w:r>
      <w:r>
        <w:rPr>
          <w:color w:val="231F20"/>
          <w:spacing w:val="-13"/>
          <w:w w:val="105"/>
        </w:rPr>
        <w:t> </w:t>
      </w:r>
      <w:r>
        <w:rPr>
          <w:color w:val="231F20"/>
          <w:w w:val="105"/>
        </w:rPr>
        <w:t>de</w:t>
      </w:r>
      <w:r>
        <w:rPr>
          <w:color w:val="231F20"/>
          <w:spacing w:val="-13"/>
          <w:w w:val="105"/>
        </w:rPr>
        <w:t> </w:t>
      </w:r>
      <w:r>
        <w:rPr>
          <w:color w:val="231F20"/>
          <w:w w:val="105"/>
        </w:rPr>
        <w:t>financiamiento</w:t>
      </w:r>
      <w:r>
        <w:rPr>
          <w:color w:val="231F20"/>
          <w:spacing w:val="-13"/>
          <w:w w:val="105"/>
        </w:rPr>
        <w:t> </w:t>
      </w:r>
      <w:r>
        <w:rPr>
          <w:color w:val="231F20"/>
          <w:w w:val="105"/>
        </w:rPr>
        <w:t>de</w:t>
      </w:r>
      <w:r>
        <w:rPr>
          <w:color w:val="231F20"/>
          <w:spacing w:val="-13"/>
          <w:w w:val="105"/>
        </w:rPr>
        <w:t> </w:t>
      </w:r>
      <w:r>
        <w:rPr>
          <w:color w:val="231F20"/>
          <w:w w:val="105"/>
        </w:rPr>
        <w:t>programas</w:t>
      </w:r>
      <w:r>
        <w:rPr>
          <w:color w:val="231F20"/>
          <w:spacing w:val="-13"/>
          <w:w w:val="105"/>
        </w:rPr>
        <w:t> </w:t>
      </w:r>
      <w:r>
        <w:rPr>
          <w:color w:val="231F20"/>
          <w:w w:val="105"/>
        </w:rPr>
        <w:t>federales</w:t>
      </w:r>
      <w:r>
        <w:rPr>
          <w:color w:val="231F20"/>
          <w:spacing w:val="-13"/>
          <w:w w:val="105"/>
        </w:rPr>
        <w:t> </w:t>
      </w:r>
      <w:r>
        <w:rPr>
          <w:color w:val="231F20"/>
          <w:w w:val="105"/>
        </w:rPr>
        <w:t>y</w:t>
      </w:r>
      <w:r>
        <w:rPr>
          <w:color w:val="231F20"/>
          <w:spacing w:val="-13"/>
          <w:w w:val="105"/>
        </w:rPr>
        <w:t> </w:t>
      </w:r>
      <w:r>
        <w:rPr>
          <w:color w:val="231F20"/>
          <w:w w:val="105"/>
        </w:rPr>
        <w:t>estatales para</w:t>
      </w:r>
      <w:r>
        <w:rPr>
          <w:color w:val="231F20"/>
          <w:spacing w:val="-23"/>
          <w:w w:val="105"/>
        </w:rPr>
        <w:t> </w:t>
      </w:r>
      <w:r>
        <w:rPr>
          <w:color w:val="231F20"/>
          <w:w w:val="105"/>
        </w:rPr>
        <w:t>el</w:t>
      </w:r>
      <w:r>
        <w:rPr>
          <w:color w:val="231F20"/>
          <w:spacing w:val="-23"/>
          <w:w w:val="105"/>
        </w:rPr>
        <w:t> </w:t>
      </w:r>
      <w:r>
        <w:rPr>
          <w:color w:val="231F20"/>
          <w:w w:val="105"/>
        </w:rPr>
        <w:t>desarrollo</w:t>
      </w:r>
      <w:r>
        <w:rPr>
          <w:color w:val="231F20"/>
          <w:spacing w:val="-23"/>
          <w:w w:val="105"/>
        </w:rPr>
        <w:t> </w:t>
      </w:r>
      <w:r>
        <w:rPr>
          <w:color w:val="231F20"/>
          <w:w w:val="105"/>
        </w:rPr>
        <w:t>de</w:t>
      </w:r>
      <w:r>
        <w:rPr>
          <w:color w:val="231F20"/>
          <w:spacing w:val="-23"/>
          <w:w w:val="105"/>
        </w:rPr>
        <w:t> </w:t>
      </w:r>
      <w:r>
        <w:rPr>
          <w:color w:val="231F20"/>
          <w:w w:val="105"/>
        </w:rPr>
        <w:t>proyectos</w:t>
      </w:r>
      <w:r>
        <w:rPr>
          <w:color w:val="231F20"/>
          <w:spacing w:val="-23"/>
          <w:w w:val="105"/>
        </w:rPr>
        <w:t> </w:t>
      </w:r>
      <w:r>
        <w:rPr>
          <w:color w:val="231F20"/>
          <w:w w:val="105"/>
        </w:rPr>
        <w:t>productivos</w:t>
      </w:r>
      <w:r>
        <w:rPr>
          <w:color w:val="231F20"/>
          <w:spacing w:val="-23"/>
          <w:w w:val="105"/>
        </w:rPr>
        <w:t> </w:t>
      </w:r>
      <w:r>
        <w:rPr>
          <w:color w:val="231F20"/>
          <w:w w:val="105"/>
        </w:rPr>
        <w:t>y</w:t>
      </w:r>
      <w:r>
        <w:rPr>
          <w:color w:val="231F20"/>
          <w:spacing w:val="-23"/>
          <w:w w:val="105"/>
        </w:rPr>
        <w:t> </w:t>
      </w:r>
      <w:r>
        <w:rPr>
          <w:color w:val="231F20"/>
          <w:w w:val="105"/>
        </w:rPr>
        <w:t>empresas</w:t>
      </w:r>
      <w:r>
        <w:rPr>
          <w:color w:val="231F20"/>
          <w:spacing w:val="-23"/>
          <w:w w:val="105"/>
        </w:rPr>
        <w:t> </w:t>
      </w:r>
      <w:r>
        <w:rPr>
          <w:color w:val="231F20"/>
          <w:w w:val="105"/>
        </w:rPr>
        <w:t>sociales,</w:t>
      </w:r>
      <w:r>
        <w:rPr>
          <w:color w:val="231F20"/>
          <w:spacing w:val="-23"/>
          <w:w w:val="105"/>
        </w:rPr>
        <w:t> </w:t>
      </w:r>
      <w:r>
        <w:rPr>
          <w:color w:val="231F20"/>
          <w:w w:val="105"/>
        </w:rPr>
        <w:t>elevación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niveles de competitividad en el municipio, fortalecimiento de la simplificación de trámites y servicios</w:t>
      </w:r>
      <w:r>
        <w:rPr>
          <w:color w:val="231F20"/>
          <w:spacing w:val="-7"/>
          <w:w w:val="105"/>
        </w:rPr>
        <w:t> </w:t>
      </w:r>
      <w:r>
        <w:rPr>
          <w:color w:val="231F20"/>
          <w:w w:val="105"/>
        </w:rPr>
        <w:t>para</w:t>
      </w:r>
      <w:r>
        <w:rPr>
          <w:color w:val="231F20"/>
          <w:spacing w:val="-7"/>
          <w:w w:val="105"/>
        </w:rPr>
        <w:t> </w:t>
      </w:r>
      <w:r>
        <w:rPr>
          <w:color w:val="231F20"/>
          <w:w w:val="105"/>
        </w:rPr>
        <w:t>apertura</w:t>
      </w:r>
      <w:r>
        <w:rPr>
          <w:color w:val="231F20"/>
          <w:spacing w:val="-7"/>
          <w:w w:val="105"/>
        </w:rPr>
        <w:t> </w:t>
      </w:r>
      <w:r>
        <w:rPr>
          <w:color w:val="231F20"/>
          <w:w w:val="105"/>
        </w:rPr>
        <w:t>de</w:t>
      </w:r>
      <w:r>
        <w:rPr>
          <w:color w:val="231F20"/>
          <w:spacing w:val="-7"/>
          <w:w w:val="105"/>
        </w:rPr>
        <w:t> </w:t>
      </w:r>
      <w:r>
        <w:rPr>
          <w:color w:val="231F20"/>
          <w:w w:val="105"/>
        </w:rPr>
        <w:t>nuevas</w:t>
      </w:r>
      <w:r>
        <w:rPr>
          <w:color w:val="231F20"/>
          <w:spacing w:val="-7"/>
          <w:w w:val="105"/>
        </w:rPr>
        <w:t> </w:t>
      </w:r>
      <w:r>
        <w:rPr>
          <w:color w:val="231F20"/>
          <w:w w:val="105"/>
        </w:rPr>
        <w:t>empresas,</w:t>
      </w:r>
      <w:r>
        <w:rPr>
          <w:color w:val="231F20"/>
          <w:spacing w:val="-7"/>
          <w:w w:val="105"/>
        </w:rPr>
        <w:t> </w:t>
      </w:r>
      <w:r>
        <w:rPr>
          <w:color w:val="231F20"/>
          <w:w w:val="105"/>
        </w:rPr>
        <w:t>proporcionar</w:t>
      </w:r>
      <w:r>
        <w:rPr>
          <w:color w:val="231F20"/>
          <w:spacing w:val="-7"/>
          <w:w w:val="105"/>
        </w:rPr>
        <w:t> </w:t>
      </w:r>
      <w:r>
        <w:rPr>
          <w:color w:val="231F20"/>
          <w:w w:val="105"/>
        </w:rPr>
        <w:t>el</w:t>
      </w:r>
      <w:r>
        <w:rPr>
          <w:color w:val="231F20"/>
          <w:spacing w:val="-7"/>
          <w:w w:val="105"/>
        </w:rPr>
        <w:t> </w:t>
      </w:r>
      <w:r>
        <w:rPr>
          <w:color w:val="231F20"/>
          <w:w w:val="105"/>
        </w:rPr>
        <w:t>servicio</w:t>
      </w:r>
      <w:r>
        <w:rPr>
          <w:color w:val="231F20"/>
          <w:spacing w:val="-7"/>
          <w:w w:val="105"/>
        </w:rPr>
        <w:t> </w:t>
      </w:r>
      <w:r>
        <w:rPr>
          <w:color w:val="231F20"/>
          <w:w w:val="105"/>
        </w:rPr>
        <w:t>de</w:t>
      </w:r>
      <w:r>
        <w:rPr>
          <w:color w:val="231F20"/>
          <w:spacing w:val="-7"/>
          <w:w w:val="105"/>
        </w:rPr>
        <w:t> </w:t>
      </w:r>
      <w:r>
        <w:rPr>
          <w:color w:val="231F20"/>
          <w:w w:val="105"/>
        </w:rPr>
        <w:t>agua</w:t>
      </w:r>
      <w:r>
        <w:rPr>
          <w:color w:val="231F20"/>
          <w:spacing w:val="-7"/>
          <w:w w:val="105"/>
        </w:rPr>
        <w:t> </w:t>
      </w:r>
      <w:r>
        <w:rPr>
          <w:color w:val="231F20"/>
          <w:w w:val="105"/>
        </w:rPr>
        <w:t>potable</w:t>
      </w:r>
      <w:r>
        <w:rPr>
          <w:color w:val="231F20"/>
          <w:spacing w:val="-7"/>
          <w:w w:val="105"/>
        </w:rPr>
        <w:t> </w:t>
      </w:r>
      <w:r>
        <w:rPr>
          <w:color w:val="231F20"/>
          <w:w w:val="105"/>
        </w:rPr>
        <w:t>a todas</w:t>
      </w:r>
      <w:r>
        <w:rPr>
          <w:color w:val="231F20"/>
          <w:spacing w:val="-12"/>
          <w:w w:val="105"/>
        </w:rPr>
        <w:t> </w:t>
      </w:r>
      <w:r>
        <w:rPr>
          <w:color w:val="231F20"/>
          <w:w w:val="105"/>
        </w:rPr>
        <w:t>las</w:t>
      </w:r>
      <w:r>
        <w:rPr>
          <w:color w:val="231F20"/>
          <w:spacing w:val="-12"/>
          <w:w w:val="105"/>
        </w:rPr>
        <w:t> </w:t>
      </w:r>
      <w:r>
        <w:rPr>
          <w:color w:val="231F20"/>
          <w:w w:val="105"/>
        </w:rPr>
        <w:t>comunidades,</w:t>
      </w:r>
      <w:r>
        <w:rPr>
          <w:color w:val="231F20"/>
          <w:spacing w:val="-12"/>
          <w:w w:val="105"/>
        </w:rPr>
        <w:t> </w:t>
      </w:r>
      <w:r>
        <w:rPr>
          <w:color w:val="231F20"/>
          <w:w w:val="105"/>
        </w:rPr>
        <w:t>garantizar</w:t>
      </w:r>
      <w:r>
        <w:rPr>
          <w:color w:val="231F20"/>
          <w:spacing w:val="-12"/>
          <w:w w:val="105"/>
        </w:rPr>
        <w:t> </w:t>
      </w:r>
      <w:r>
        <w:rPr>
          <w:color w:val="231F20"/>
          <w:w w:val="105"/>
        </w:rPr>
        <w:t>más</w:t>
      </w:r>
      <w:r>
        <w:rPr>
          <w:color w:val="231F20"/>
          <w:spacing w:val="-12"/>
          <w:w w:val="105"/>
        </w:rPr>
        <w:t> </w:t>
      </w:r>
      <w:r>
        <w:rPr>
          <w:color w:val="231F20"/>
          <w:w w:val="105"/>
        </w:rPr>
        <w:t>y</w:t>
      </w:r>
      <w:r>
        <w:rPr>
          <w:color w:val="231F20"/>
          <w:spacing w:val="-12"/>
          <w:w w:val="105"/>
        </w:rPr>
        <w:t> </w:t>
      </w:r>
      <w:r>
        <w:rPr>
          <w:color w:val="231F20"/>
          <w:w w:val="105"/>
        </w:rPr>
        <w:t>mejores</w:t>
      </w:r>
      <w:r>
        <w:rPr>
          <w:color w:val="231F20"/>
          <w:spacing w:val="-12"/>
          <w:w w:val="105"/>
        </w:rPr>
        <w:t> </w:t>
      </w:r>
      <w:r>
        <w:rPr>
          <w:color w:val="231F20"/>
          <w:w w:val="105"/>
        </w:rPr>
        <w:t>servicios</w:t>
      </w:r>
      <w:r>
        <w:rPr>
          <w:color w:val="231F20"/>
          <w:spacing w:val="-12"/>
          <w:w w:val="105"/>
        </w:rPr>
        <w:t> </w:t>
      </w:r>
      <w:r>
        <w:rPr>
          <w:color w:val="231F20"/>
          <w:w w:val="105"/>
        </w:rPr>
        <w:t>públicos</w:t>
      </w:r>
      <w:r>
        <w:rPr>
          <w:color w:val="231F20"/>
          <w:spacing w:val="-12"/>
          <w:w w:val="105"/>
        </w:rPr>
        <w:t> </w:t>
      </w:r>
      <w:r>
        <w:rPr>
          <w:color w:val="231F20"/>
          <w:w w:val="105"/>
        </w:rPr>
        <w:t>y</w:t>
      </w:r>
      <w:r>
        <w:rPr>
          <w:color w:val="231F20"/>
          <w:spacing w:val="-12"/>
          <w:w w:val="105"/>
        </w:rPr>
        <w:t> </w:t>
      </w:r>
      <w:r>
        <w:rPr>
          <w:color w:val="231F20"/>
          <w:w w:val="105"/>
        </w:rPr>
        <w:t>cubrir</w:t>
      </w:r>
      <w:r>
        <w:rPr>
          <w:color w:val="231F20"/>
          <w:spacing w:val="-12"/>
          <w:w w:val="105"/>
        </w:rPr>
        <w:t> </w:t>
      </w:r>
      <w:r>
        <w:rPr>
          <w:color w:val="231F20"/>
          <w:spacing w:val="2"/>
          <w:w w:val="105"/>
        </w:rPr>
        <w:t>al</w:t>
      </w:r>
      <w:r>
        <w:rPr>
          <w:color w:val="231F20"/>
          <w:spacing w:val="-12"/>
          <w:w w:val="105"/>
        </w:rPr>
        <w:t> </w:t>
      </w:r>
      <w:r>
        <w:rPr>
          <w:color w:val="231F20"/>
          <w:w w:val="105"/>
        </w:rPr>
        <w:t>100%</w:t>
      </w:r>
      <w:r>
        <w:rPr>
          <w:color w:val="231F20"/>
          <w:spacing w:val="-12"/>
          <w:w w:val="105"/>
        </w:rPr>
        <w:t> </w:t>
      </w:r>
      <w:r>
        <w:rPr>
          <w:color w:val="231F20"/>
          <w:w w:val="105"/>
        </w:rPr>
        <w:t>la</w:t>
      </w:r>
    </w:p>
    <w:p>
      <w:pPr>
        <w:pStyle w:val="BodyText"/>
        <w:spacing w:before="7"/>
        <w:rPr>
          <w:sz w:val="13"/>
        </w:rPr>
      </w:pPr>
      <w:r>
        <w:rPr/>
        <w:pict>
          <v:line style="position:absolute;mso-position-horizontal-relative:page;mso-position-vertical-relative:paragraph;z-index:10744;mso-wrap-distance-left:0;mso-wrap-distance-right:0" from="42.519699pt,10.280795pt" to="114.519699pt,10.280795pt" stroked="true" strokeweight="1pt" strokecolor="#231f20">
            <w10:wrap type="topAndBottom"/>
          </v:line>
        </w:pict>
      </w:r>
    </w:p>
    <w:p>
      <w:pPr>
        <w:pStyle w:val="ListParagraph"/>
        <w:numPr>
          <w:ilvl w:val="0"/>
          <w:numId w:val="16"/>
        </w:numPr>
        <w:tabs>
          <w:tab w:pos="350" w:val="left" w:leader="none"/>
        </w:tabs>
        <w:spacing w:line="244" w:lineRule="auto" w:before="8" w:after="0"/>
        <w:ind w:left="110" w:right="108" w:firstLine="0"/>
        <w:jc w:val="both"/>
        <w:rPr>
          <w:sz w:val="16"/>
        </w:rPr>
      </w:pPr>
      <w:r>
        <w:rPr>
          <w:color w:val="231F20"/>
          <w:sz w:val="16"/>
        </w:rPr>
        <w:t>Las</w:t>
      </w:r>
      <w:r>
        <w:rPr>
          <w:color w:val="231F20"/>
          <w:spacing w:val="-4"/>
          <w:sz w:val="16"/>
        </w:rPr>
        <w:t> </w:t>
      </w:r>
      <w:r>
        <w:rPr>
          <w:color w:val="231F20"/>
          <w:sz w:val="16"/>
        </w:rPr>
        <w:t>demandas</w:t>
      </w:r>
      <w:r>
        <w:rPr>
          <w:color w:val="231F20"/>
          <w:spacing w:val="-4"/>
          <w:sz w:val="16"/>
        </w:rPr>
        <w:t> </w:t>
      </w:r>
      <w:r>
        <w:rPr>
          <w:color w:val="231F20"/>
          <w:sz w:val="16"/>
        </w:rPr>
        <w:t>sociales</w:t>
      </w:r>
      <w:r>
        <w:rPr>
          <w:color w:val="231F20"/>
          <w:spacing w:val="-4"/>
          <w:sz w:val="16"/>
        </w:rPr>
        <w:t> </w:t>
      </w:r>
      <w:r>
        <w:rPr>
          <w:color w:val="231F20"/>
          <w:sz w:val="16"/>
        </w:rPr>
        <w:t>se</w:t>
      </w:r>
      <w:r>
        <w:rPr>
          <w:color w:val="231F20"/>
          <w:spacing w:val="-4"/>
          <w:sz w:val="16"/>
        </w:rPr>
        <w:t> </w:t>
      </w:r>
      <w:r>
        <w:rPr>
          <w:color w:val="231F20"/>
          <w:sz w:val="16"/>
        </w:rPr>
        <w:t>captaron</w:t>
      </w:r>
      <w:r>
        <w:rPr>
          <w:color w:val="231F20"/>
          <w:spacing w:val="-4"/>
          <w:sz w:val="16"/>
        </w:rPr>
        <w:t> </w:t>
      </w:r>
      <w:r>
        <w:rPr>
          <w:color w:val="231F20"/>
          <w:sz w:val="16"/>
        </w:rPr>
        <w:t>a</w:t>
      </w:r>
      <w:r>
        <w:rPr>
          <w:color w:val="231F20"/>
          <w:spacing w:val="-4"/>
          <w:sz w:val="16"/>
        </w:rPr>
        <w:t> </w:t>
      </w:r>
      <w:r>
        <w:rPr>
          <w:color w:val="231F20"/>
          <w:sz w:val="16"/>
        </w:rPr>
        <w:t>través</w:t>
      </w:r>
      <w:r>
        <w:rPr>
          <w:color w:val="231F20"/>
          <w:spacing w:val="-4"/>
          <w:sz w:val="16"/>
        </w:rPr>
        <w:t> </w:t>
      </w:r>
      <w:r>
        <w:rPr>
          <w:color w:val="231F20"/>
          <w:sz w:val="16"/>
        </w:rPr>
        <w:t>de</w:t>
      </w:r>
      <w:r>
        <w:rPr>
          <w:color w:val="231F20"/>
          <w:spacing w:val="-4"/>
          <w:sz w:val="16"/>
        </w:rPr>
        <w:t> </w:t>
      </w:r>
      <w:r>
        <w:rPr>
          <w:color w:val="231F20"/>
          <w:sz w:val="16"/>
        </w:rPr>
        <w:t>los</w:t>
      </w:r>
      <w:r>
        <w:rPr>
          <w:color w:val="231F20"/>
          <w:spacing w:val="-4"/>
          <w:sz w:val="16"/>
        </w:rPr>
        <w:t> </w:t>
      </w:r>
      <w:r>
        <w:rPr>
          <w:color w:val="231F20"/>
          <w:sz w:val="16"/>
        </w:rPr>
        <w:t>siguientes</w:t>
      </w:r>
      <w:r>
        <w:rPr>
          <w:color w:val="231F20"/>
          <w:spacing w:val="-4"/>
          <w:sz w:val="16"/>
        </w:rPr>
        <w:t> </w:t>
      </w:r>
      <w:r>
        <w:rPr>
          <w:color w:val="231F20"/>
          <w:sz w:val="16"/>
        </w:rPr>
        <w:t>mecanismos:</w:t>
      </w:r>
      <w:r>
        <w:rPr>
          <w:color w:val="231F20"/>
          <w:spacing w:val="-4"/>
          <w:sz w:val="16"/>
        </w:rPr>
        <w:t> </w:t>
      </w:r>
      <w:r>
        <w:rPr>
          <w:color w:val="231F20"/>
          <w:sz w:val="16"/>
        </w:rPr>
        <w:t>Portal</w:t>
      </w:r>
      <w:r>
        <w:rPr>
          <w:color w:val="231F20"/>
          <w:spacing w:val="-4"/>
          <w:sz w:val="16"/>
        </w:rPr>
        <w:t> </w:t>
      </w:r>
      <w:r>
        <w:rPr>
          <w:color w:val="231F20"/>
          <w:sz w:val="16"/>
        </w:rPr>
        <w:t>de</w:t>
      </w:r>
      <w:r>
        <w:rPr>
          <w:color w:val="231F20"/>
          <w:spacing w:val="-4"/>
          <w:sz w:val="16"/>
        </w:rPr>
        <w:t> </w:t>
      </w:r>
      <w:r>
        <w:rPr>
          <w:color w:val="231F20"/>
          <w:sz w:val="16"/>
        </w:rPr>
        <w:t>Internet,</w:t>
      </w:r>
      <w:r>
        <w:rPr>
          <w:color w:val="231F20"/>
          <w:spacing w:val="-4"/>
          <w:sz w:val="16"/>
        </w:rPr>
        <w:t> </w:t>
      </w:r>
      <w:r>
        <w:rPr>
          <w:color w:val="231F20"/>
          <w:sz w:val="16"/>
        </w:rPr>
        <w:t>Sistema</w:t>
      </w:r>
      <w:r>
        <w:rPr>
          <w:color w:val="231F20"/>
          <w:spacing w:val="-4"/>
          <w:sz w:val="16"/>
        </w:rPr>
        <w:t> </w:t>
      </w:r>
      <w:r>
        <w:rPr>
          <w:color w:val="231F20"/>
          <w:sz w:val="16"/>
        </w:rPr>
        <w:t>Integral</w:t>
      </w:r>
      <w:r>
        <w:rPr>
          <w:color w:val="231F20"/>
          <w:spacing w:val="-4"/>
          <w:sz w:val="16"/>
        </w:rPr>
        <w:t> </w:t>
      </w:r>
      <w:r>
        <w:rPr>
          <w:color w:val="231F20"/>
          <w:sz w:val="16"/>
        </w:rPr>
        <w:t>de</w:t>
      </w:r>
      <w:r>
        <w:rPr>
          <w:color w:val="231F20"/>
          <w:spacing w:val="-4"/>
          <w:sz w:val="16"/>
        </w:rPr>
        <w:t> </w:t>
      </w:r>
      <w:r>
        <w:rPr>
          <w:color w:val="231F20"/>
          <w:sz w:val="16"/>
        </w:rPr>
        <w:t>Aten- ción</w:t>
      </w:r>
      <w:r>
        <w:rPr>
          <w:color w:val="231F20"/>
          <w:spacing w:val="-8"/>
          <w:sz w:val="16"/>
        </w:rPr>
        <w:t> </w:t>
      </w:r>
      <w:r>
        <w:rPr>
          <w:color w:val="231F20"/>
          <w:sz w:val="16"/>
        </w:rPr>
        <w:t>a</w:t>
      </w:r>
      <w:r>
        <w:rPr>
          <w:color w:val="231F20"/>
          <w:spacing w:val="-8"/>
          <w:sz w:val="16"/>
        </w:rPr>
        <w:t> </w:t>
      </w:r>
      <w:r>
        <w:rPr>
          <w:color w:val="231F20"/>
          <w:sz w:val="16"/>
        </w:rPr>
        <w:t>la</w:t>
      </w:r>
      <w:r>
        <w:rPr>
          <w:color w:val="231F20"/>
          <w:spacing w:val="-8"/>
          <w:sz w:val="16"/>
        </w:rPr>
        <w:t> </w:t>
      </w:r>
      <w:r>
        <w:rPr>
          <w:color w:val="231F20"/>
          <w:sz w:val="16"/>
        </w:rPr>
        <w:t>Gestión</w:t>
      </w:r>
      <w:r>
        <w:rPr>
          <w:color w:val="231F20"/>
          <w:spacing w:val="-8"/>
          <w:sz w:val="16"/>
        </w:rPr>
        <w:t> </w:t>
      </w:r>
      <w:r>
        <w:rPr>
          <w:color w:val="231F20"/>
          <w:sz w:val="16"/>
        </w:rPr>
        <w:t>Ciudadana,</w:t>
      </w:r>
      <w:r>
        <w:rPr>
          <w:color w:val="231F20"/>
          <w:spacing w:val="-8"/>
          <w:sz w:val="16"/>
        </w:rPr>
        <w:t> </w:t>
      </w:r>
      <w:r>
        <w:rPr>
          <w:color w:val="231F20"/>
          <w:sz w:val="16"/>
        </w:rPr>
        <w:t>periódico</w:t>
      </w:r>
      <w:r>
        <w:rPr>
          <w:color w:val="231F20"/>
          <w:spacing w:val="-8"/>
          <w:sz w:val="16"/>
        </w:rPr>
        <w:t> </w:t>
      </w:r>
      <w:r>
        <w:rPr>
          <w:color w:val="231F20"/>
          <w:sz w:val="16"/>
        </w:rPr>
        <w:t>Reforma,</w:t>
      </w:r>
      <w:r>
        <w:rPr>
          <w:color w:val="231F20"/>
          <w:spacing w:val="-8"/>
          <w:sz w:val="16"/>
        </w:rPr>
        <w:t> </w:t>
      </w:r>
      <w:r>
        <w:rPr>
          <w:color w:val="231F20"/>
          <w:sz w:val="16"/>
        </w:rPr>
        <w:t>Buzón</w:t>
      </w:r>
      <w:r>
        <w:rPr>
          <w:color w:val="231F20"/>
          <w:spacing w:val="-8"/>
          <w:sz w:val="16"/>
        </w:rPr>
        <w:t> </w:t>
      </w:r>
      <w:r>
        <w:rPr>
          <w:color w:val="231F20"/>
          <w:sz w:val="16"/>
        </w:rPr>
        <w:t>del</w:t>
      </w:r>
      <w:r>
        <w:rPr>
          <w:color w:val="231F20"/>
          <w:spacing w:val="-8"/>
          <w:sz w:val="16"/>
        </w:rPr>
        <w:t> </w:t>
      </w:r>
      <w:r>
        <w:rPr>
          <w:color w:val="231F20"/>
          <w:sz w:val="16"/>
        </w:rPr>
        <w:t>Candidato</w:t>
      </w:r>
      <w:r>
        <w:rPr>
          <w:color w:val="231F20"/>
          <w:spacing w:val="-8"/>
          <w:sz w:val="16"/>
        </w:rPr>
        <w:t> </w:t>
      </w:r>
      <w:r>
        <w:rPr>
          <w:color w:val="231F20"/>
          <w:sz w:val="16"/>
        </w:rPr>
        <w:t>Lic.</w:t>
      </w:r>
      <w:r>
        <w:rPr>
          <w:color w:val="231F20"/>
          <w:spacing w:val="-8"/>
          <w:sz w:val="16"/>
        </w:rPr>
        <w:t> </w:t>
      </w:r>
      <w:r>
        <w:rPr>
          <w:color w:val="231F20"/>
          <w:sz w:val="16"/>
        </w:rPr>
        <w:t>Marco</w:t>
      </w:r>
      <w:r>
        <w:rPr>
          <w:color w:val="231F20"/>
          <w:spacing w:val="-8"/>
          <w:sz w:val="16"/>
        </w:rPr>
        <w:t> </w:t>
      </w:r>
      <w:r>
        <w:rPr>
          <w:color w:val="231F20"/>
          <w:sz w:val="16"/>
        </w:rPr>
        <w:t>Antonio</w:t>
      </w:r>
      <w:r>
        <w:rPr>
          <w:color w:val="231F20"/>
          <w:spacing w:val="-8"/>
          <w:sz w:val="16"/>
        </w:rPr>
        <w:t> </w:t>
      </w:r>
      <w:r>
        <w:rPr>
          <w:color w:val="231F20"/>
          <w:sz w:val="16"/>
        </w:rPr>
        <w:t>Rodríguez</w:t>
      </w:r>
      <w:r>
        <w:rPr>
          <w:color w:val="231F20"/>
          <w:spacing w:val="-8"/>
          <w:sz w:val="16"/>
        </w:rPr>
        <w:t> </w:t>
      </w:r>
      <w:r>
        <w:rPr>
          <w:color w:val="231F20"/>
          <w:sz w:val="16"/>
        </w:rPr>
        <w:t>Hurtado</w:t>
      </w:r>
      <w:r>
        <w:rPr>
          <w:color w:val="231F20"/>
          <w:spacing w:val="-8"/>
          <w:sz w:val="16"/>
        </w:rPr>
        <w:t> </w:t>
      </w:r>
      <w:r>
        <w:rPr>
          <w:color w:val="231F20"/>
          <w:sz w:val="16"/>
        </w:rPr>
        <w:t>y</w:t>
      </w:r>
      <w:r>
        <w:rPr>
          <w:color w:val="231F20"/>
          <w:spacing w:val="-8"/>
          <w:sz w:val="16"/>
        </w:rPr>
        <w:t> </w:t>
      </w:r>
      <w:r>
        <w:rPr>
          <w:color w:val="231F20"/>
          <w:sz w:val="16"/>
        </w:rPr>
        <w:t>encuestas</w:t>
      </w:r>
      <w:r>
        <w:rPr>
          <w:color w:val="231F20"/>
          <w:spacing w:val="-8"/>
          <w:sz w:val="16"/>
        </w:rPr>
        <w:t> </w:t>
      </w:r>
      <w:r>
        <w:rPr>
          <w:color w:val="231F20"/>
          <w:sz w:val="16"/>
        </w:rPr>
        <w:t>de evaluación</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administración</w:t>
      </w:r>
      <w:r>
        <w:rPr>
          <w:color w:val="231F20"/>
          <w:spacing w:val="-16"/>
          <w:sz w:val="16"/>
        </w:rPr>
        <w:t> </w:t>
      </w:r>
      <w:r>
        <w:rPr>
          <w:color w:val="231F20"/>
          <w:sz w:val="16"/>
        </w:rPr>
        <w:t>2003-2006.</w:t>
      </w:r>
      <w:r>
        <w:rPr>
          <w:color w:val="231F20"/>
          <w:spacing w:val="-16"/>
          <w:sz w:val="16"/>
        </w:rPr>
        <w:t> </w:t>
      </w:r>
      <w:r>
        <w:rPr>
          <w:color w:val="231F20"/>
          <w:sz w:val="16"/>
        </w:rPr>
        <w:t>Véase:</w:t>
      </w:r>
      <w:r>
        <w:rPr>
          <w:color w:val="231F20"/>
          <w:spacing w:val="-16"/>
          <w:sz w:val="16"/>
        </w:rPr>
        <w:t> </w:t>
      </w:r>
      <w:r>
        <w:rPr>
          <w:color w:val="231F20"/>
          <w:sz w:val="16"/>
        </w:rPr>
        <w:t>Plan</w:t>
      </w:r>
      <w:r>
        <w:rPr>
          <w:color w:val="231F20"/>
          <w:spacing w:val="-16"/>
          <w:sz w:val="16"/>
        </w:rPr>
        <w:t> </w:t>
      </w:r>
      <w:r>
        <w:rPr>
          <w:color w:val="231F20"/>
          <w:sz w:val="16"/>
        </w:rPr>
        <w:t>de</w:t>
      </w:r>
      <w:r>
        <w:rPr>
          <w:color w:val="231F20"/>
          <w:spacing w:val="-16"/>
          <w:sz w:val="16"/>
        </w:rPr>
        <w:t> </w:t>
      </w:r>
      <w:r>
        <w:rPr>
          <w:color w:val="231F20"/>
          <w:sz w:val="16"/>
        </w:rPr>
        <w:t>Desarrollo</w:t>
      </w:r>
      <w:r>
        <w:rPr>
          <w:color w:val="231F20"/>
          <w:spacing w:val="-16"/>
          <w:sz w:val="16"/>
        </w:rPr>
        <w:t> </w:t>
      </w:r>
      <w:r>
        <w:rPr>
          <w:color w:val="231F20"/>
          <w:sz w:val="16"/>
        </w:rPr>
        <w:t>Municipal</w:t>
      </w:r>
      <w:r>
        <w:rPr>
          <w:color w:val="231F20"/>
          <w:spacing w:val="-16"/>
          <w:sz w:val="16"/>
        </w:rPr>
        <w:t> </w:t>
      </w:r>
      <w:r>
        <w:rPr>
          <w:color w:val="231F20"/>
          <w:sz w:val="16"/>
        </w:rPr>
        <w:t>2006</w:t>
      </w:r>
      <w:r>
        <w:rPr>
          <w:color w:val="231F20"/>
          <w:spacing w:val="-16"/>
          <w:sz w:val="16"/>
        </w:rPr>
        <w:t> </w:t>
      </w:r>
      <w:r>
        <w:rPr>
          <w:color w:val="231F20"/>
          <w:sz w:val="16"/>
        </w:rPr>
        <w:t>–</w:t>
      </w:r>
      <w:r>
        <w:rPr>
          <w:color w:val="231F20"/>
          <w:spacing w:val="-16"/>
          <w:sz w:val="16"/>
        </w:rPr>
        <w:t> </w:t>
      </w:r>
      <w:r>
        <w:rPr>
          <w:color w:val="231F20"/>
          <w:sz w:val="16"/>
        </w:rPr>
        <w:t>2009,</w:t>
      </w:r>
      <w:r>
        <w:rPr>
          <w:color w:val="231F20"/>
          <w:spacing w:val="-16"/>
          <w:sz w:val="16"/>
        </w:rPr>
        <w:t> </w:t>
      </w:r>
      <w:r>
        <w:rPr>
          <w:color w:val="231F20"/>
          <w:sz w:val="16"/>
        </w:rPr>
        <w:t>capítulo</w:t>
      </w:r>
      <w:r>
        <w:rPr>
          <w:color w:val="231F20"/>
          <w:spacing w:val="-16"/>
          <w:sz w:val="16"/>
        </w:rPr>
        <w:t> </w:t>
      </w:r>
      <w:r>
        <w:rPr>
          <w:color w:val="231F20"/>
          <w:sz w:val="16"/>
        </w:rPr>
        <w:t>2.</w:t>
      </w:r>
      <w:r>
        <w:rPr>
          <w:color w:val="231F20"/>
          <w:spacing w:val="-16"/>
          <w:sz w:val="16"/>
        </w:rPr>
        <w:t> </w:t>
      </w:r>
      <w:r>
        <w:rPr>
          <w:color w:val="231F20"/>
          <w:sz w:val="16"/>
        </w:rPr>
        <w:t>Demandas</w:t>
      </w:r>
      <w:r>
        <w:rPr>
          <w:color w:val="231F20"/>
          <w:spacing w:val="-16"/>
          <w:sz w:val="16"/>
        </w:rPr>
        <w:t> </w:t>
      </w:r>
      <w:r>
        <w:rPr>
          <w:color w:val="231F20"/>
          <w:sz w:val="16"/>
        </w:rPr>
        <w:t>Sociales.</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prestación</w:t>
      </w:r>
      <w:r>
        <w:rPr>
          <w:color w:val="231F20"/>
          <w:spacing w:val="-7"/>
          <w:w w:val="105"/>
        </w:rPr>
        <w:t> </w:t>
      </w:r>
      <w:r>
        <w:rPr>
          <w:color w:val="231F20"/>
          <w:w w:val="105"/>
        </w:rPr>
        <w:t>del</w:t>
      </w:r>
      <w:r>
        <w:rPr>
          <w:color w:val="231F20"/>
          <w:spacing w:val="-7"/>
          <w:w w:val="105"/>
        </w:rPr>
        <w:t> </w:t>
      </w:r>
      <w:r>
        <w:rPr>
          <w:color w:val="231F20"/>
          <w:w w:val="105"/>
        </w:rPr>
        <w:t>alumbrado;</w:t>
      </w:r>
      <w:r>
        <w:rPr>
          <w:color w:val="231F20"/>
          <w:spacing w:val="-7"/>
          <w:w w:val="105"/>
        </w:rPr>
        <w:t> </w:t>
      </w:r>
      <w:r>
        <w:rPr>
          <w:color w:val="231F20"/>
          <w:w w:val="105"/>
        </w:rPr>
        <w:t>en</w:t>
      </w:r>
      <w:r>
        <w:rPr>
          <w:color w:val="231F20"/>
          <w:spacing w:val="-7"/>
          <w:w w:val="105"/>
        </w:rPr>
        <w:t> </w:t>
      </w:r>
      <w:r>
        <w:rPr>
          <w:color w:val="231F20"/>
          <w:w w:val="105"/>
        </w:rPr>
        <w:t>seguridad</w:t>
      </w:r>
      <w:r>
        <w:rPr>
          <w:color w:val="231F20"/>
          <w:spacing w:val="-7"/>
          <w:w w:val="105"/>
        </w:rPr>
        <w:t> </w:t>
      </w:r>
      <w:r>
        <w:rPr>
          <w:color w:val="231F20"/>
          <w:w w:val="105"/>
        </w:rPr>
        <w:t>pública,</w:t>
      </w:r>
      <w:r>
        <w:rPr>
          <w:color w:val="231F20"/>
          <w:spacing w:val="-7"/>
          <w:w w:val="105"/>
        </w:rPr>
        <w:t> </w:t>
      </w:r>
      <w:r>
        <w:rPr>
          <w:color w:val="231F20"/>
          <w:w w:val="105"/>
        </w:rPr>
        <w:t>se</w:t>
      </w:r>
      <w:r>
        <w:rPr>
          <w:color w:val="231F20"/>
          <w:spacing w:val="-7"/>
          <w:w w:val="105"/>
        </w:rPr>
        <w:t> </w:t>
      </w:r>
      <w:r>
        <w:rPr>
          <w:color w:val="231F20"/>
          <w:w w:val="105"/>
        </w:rPr>
        <w:t>plantea</w:t>
      </w:r>
      <w:r>
        <w:rPr>
          <w:color w:val="231F20"/>
          <w:spacing w:val="-7"/>
          <w:w w:val="105"/>
        </w:rPr>
        <w:t> </w:t>
      </w:r>
      <w:r>
        <w:rPr>
          <w:color w:val="231F20"/>
          <w:w w:val="105"/>
        </w:rPr>
        <w:t>garantizarla</w:t>
      </w:r>
      <w:r>
        <w:rPr>
          <w:color w:val="231F20"/>
          <w:spacing w:val="-7"/>
          <w:w w:val="105"/>
        </w:rPr>
        <w:t> </w:t>
      </w:r>
      <w:r>
        <w:rPr>
          <w:color w:val="231F20"/>
          <w:w w:val="105"/>
        </w:rPr>
        <w:t>e</w:t>
      </w:r>
      <w:r>
        <w:rPr>
          <w:color w:val="231F20"/>
          <w:spacing w:val="-7"/>
          <w:w w:val="105"/>
        </w:rPr>
        <w:t> </w:t>
      </w:r>
      <w:r>
        <w:rPr>
          <w:color w:val="231F20"/>
          <w:w w:val="105"/>
        </w:rPr>
        <w:t>impulsar</w:t>
      </w:r>
      <w:r>
        <w:rPr>
          <w:color w:val="231F20"/>
          <w:spacing w:val="-7"/>
          <w:w w:val="105"/>
        </w:rPr>
        <w:t> </w:t>
      </w:r>
      <w:r>
        <w:rPr>
          <w:color w:val="231F20"/>
          <w:w w:val="105"/>
        </w:rPr>
        <w:t>una política</w:t>
      </w:r>
      <w:r>
        <w:rPr>
          <w:color w:val="231F20"/>
          <w:spacing w:val="-24"/>
          <w:w w:val="105"/>
        </w:rPr>
        <w:t> </w:t>
      </w:r>
      <w:r>
        <w:rPr>
          <w:color w:val="231F20"/>
          <w:w w:val="105"/>
        </w:rPr>
        <w:t>integral</w:t>
      </w:r>
      <w:r>
        <w:rPr>
          <w:color w:val="231F20"/>
          <w:spacing w:val="-24"/>
          <w:w w:val="105"/>
        </w:rPr>
        <w:t> </w:t>
      </w:r>
      <w:r>
        <w:rPr>
          <w:color w:val="231F20"/>
          <w:w w:val="105"/>
        </w:rPr>
        <w:t>que</w:t>
      </w:r>
      <w:r>
        <w:rPr>
          <w:color w:val="231F20"/>
          <w:spacing w:val="-24"/>
          <w:w w:val="105"/>
        </w:rPr>
        <w:t> </w:t>
      </w:r>
      <w:r>
        <w:rPr>
          <w:color w:val="231F20"/>
          <w:w w:val="105"/>
        </w:rPr>
        <w:t>ataque</w:t>
      </w:r>
      <w:r>
        <w:rPr>
          <w:color w:val="231F20"/>
          <w:spacing w:val="-24"/>
          <w:w w:val="105"/>
        </w:rPr>
        <w:t> </w:t>
      </w:r>
      <w:r>
        <w:rPr>
          <w:color w:val="231F20"/>
          <w:w w:val="105"/>
        </w:rPr>
        <w:t>de</w:t>
      </w:r>
      <w:r>
        <w:rPr>
          <w:color w:val="231F20"/>
          <w:spacing w:val="-24"/>
          <w:w w:val="105"/>
        </w:rPr>
        <w:t> </w:t>
      </w:r>
      <w:r>
        <w:rPr>
          <w:color w:val="231F20"/>
          <w:w w:val="105"/>
        </w:rPr>
        <w:t>manera</w:t>
      </w:r>
      <w:r>
        <w:rPr>
          <w:color w:val="231F20"/>
          <w:spacing w:val="-24"/>
          <w:w w:val="105"/>
        </w:rPr>
        <w:t> </w:t>
      </w:r>
      <w:r>
        <w:rPr>
          <w:color w:val="231F20"/>
          <w:w w:val="105"/>
        </w:rPr>
        <w:t>preventiva</w:t>
      </w:r>
      <w:r>
        <w:rPr>
          <w:color w:val="231F20"/>
          <w:spacing w:val="-24"/>
          <w:w w:val="105"/>
        </w:rPr>
        <w:t> </w:t>
      </w:r>
      <w:r>
        <w:rPr>
          <w:color w:val="231F20"/>
          <w:w w:val="105"/>
        </w:rPr>
        <w:t>las</w:t>
      </w:r>
      <w:r>
        <w:rPr>
          <w:color w:val="231F20"/>
          <w:spacing w:val="-24"/>
          <w:w w:val="105"/>
        </w:rPr>
        <w:t> </w:t>
      </w:r>
      <w:r>
        <w:rPr>
          <w:color w:val="231F20"/>
          <w:w w:val="105"/>
        </w:rPr>
        <w:t>condiciones</w:t>
      </w:r>
      <w:r>
        <w:rPr>
          <w:color w:val="231F20"/>
          <w:spacing w:val="-24"/>
          <w:w w:val="105"/>
        </w:rPr>
        <w:t> </w:t>
      </w:r>
      <w:r>
        <w:rPr>
          <w:color w:val="231F20"/>
          <w:w w:val="105"/>
        </w:rPr>
        <w:t>socioeconómicas</w:t>
      </w:r>
      <w:r>
        <w:rPr>
          <w:color w:val="231F20"/>
          <w:spacing w:val="-24"/>
          <w:w w:val="105"/>
        </w:rPr>
        <w:t> </w:t>
      </w:r>
      <w:r>
        <w:rPr>
          <w:color w:val="231F20"/>
          <w:w w:val="105"/>
        </w:rPr>
        <w:t>y</w:t>
      </w:r>
      <w:r>
        <w:rPr>
          <w:color w:val="231F20"/>
          <w:spacing w:val="-24"/>
          <w:w w:val="105"/>
        </w:rPr>
        <w:t> </w:t>
      </w:r>
      <w:r>
        <w:rPr>
          <w:color w:val="231F20"/>
          <w:w w:val="105"/>
        </w:rPr>
        <w:t>es- paciales</w:t>
      </w:r>
      <w:r>
        <w:rPr>
          <w:color w:val="231F20"/>
          <w:spacing w:val="-11"/>
          <w:w w:val="105"/>
        </w:rPr>
        <w:t> </w:t>
      </w:r>
      <w:r>
        <w:rPr>
          <w:color w:val="231F20"/>
          <w:w w:val="105"/>
        </w:rPr>
        <w:t>que</w:t>
      </w:r>
      <w:r>
        <w:rPr>
          <w:color w:val="231F20"/>
          <w:spacing w:val="-11"/>
          <w:w w:val="105"/>
        </w:rPr>
        <w:t> </w:t>
      </w:r>
      <w:r>
        <w:rPr>
          <w:color w:val="231F20"/>
          <w:w w:val="105"/>
        </w:rPr>
        <w:t>generan</w:t>
      </w:r>
      <w:r>
        <w:rPr>
          <w:color w:val="231F20"/>
          <w:spacing w:val="-11"/>
          <w:w w:val="105"/>
        </w:rPr>
        <w:t> </w:t>
      </w:r>
      <w:r>
        <w:rPr>
          <w:color w:val="231F20"/>
          <w:w w:val="105"/>
        </w:rPr>
        <w:t>las</w:t>
      </w:r>
      <w:r>
        <w:rPr>
          <w:color w:val="231F20"/>
          <w:spacing w:val="-11"/>
          <w:w w:val="105"/>
        </w:rPr>
        <w:t> </w:t>
      </w:r>
      <w:r>
        <w:rPr>
          <w:color w:val="231F20"/>
          <w:w w:val="105"/>
        </w:rPr>
        <w:t>conductas</w:t>
      </w:r>
      <w:r>
        <w:rPr>
          <w:color w:val="231F20"/>
          <w:spacing w:val="-11"/>
          <w:w w:val="105"/>
        </w:rPr>
        <w:t> </w:t>
      </w:r>
      <w:r>
        <w:rPr>
          <w:color w:val="231F20"/>
          <w:w w:val="105"/>
        </w:rPr>
        <w:t>delictivas</w:t>
      </w:r>
      <w:r>
        <w:rPr>
          <w:color w:val="231F20"/>
          <w:spacing w:val="-11"/>
          <w:w w:val="105"/>
        </w:rPr>
        <w:t> </w:t>
      </w:r>
      <w:r>
        <w:rPr>
          <w:color w:val="231F20"/>
          <w:w w:val="105"/>
        </w:rPr>
        <w:t>y</w:t>
      </w:r>
      <w:r>
        <w:rPr>
          <w:color w:val="231F20"/>
          <w:spacing w:val="-11"/>
          <w:w w:val="105"/>
        </w:rPr>
        <w:t> </w:t>
      </w:r>
      <w:r>
        <w:rPr>
          <w:color w:val="231F20"/>
          <w:w w:val="105"/>
        </w:rPr>
        <w:t>fortalecer</w:t>
      </w:r>
      <w:r>
        <w:rPr>
          <w:color w:val="231F20"/>
          <w:spacing w:val="-11"/>
          <w:w w:val="105"/>
        </w:rPr>
        <w:t> </w:t>
      </w:r>
      <w:r>
        <w:rPr>
          <w:color w:val="231F20"/>
          <w:w w:val="105"/>
        </w:rPr>
        <w:t>mecanismos</w:t>
      </w:r>
      <w:r>
        <w:rPr>
          <w:color w:val="231F20"/>
          <w:spacing w:val="-11"/>
          <w:w w:val="105"/>
        </w:rPr>
        <w:t> </w:t>
      </w:r>
      <w:r>
        <w:rPr>
          <w:color w:val="231F20"/>
          <w:w w:val="105"/>
        </w:rPr>
        <w:t>de</w:t>
      </w:r>
      <w:r>
        <w:rPr>
          <w:color w:val="231F20"/>
          <w:spacing w:val="-11"/>
          <w:w w:val="105"/>
        </w:rPr>
        <w:t> </w:t>
      </w:r>
      <w:r>
        <w:rPr>
          <w:color w:val="231F20"/>
          <w:w w:val="105"/>
        </w:rPr>
        <w:t>participación ciudadana; en seguridad integral se habla de impulsar una cultura de transparencia y acceso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información</w:t>
      </w:r>
      <w:r>
        <w:rPr>
          <w:color w:val="231F20"/>
          <w:spacing w:val="-5"/>
          <w:w w:val="105"/>
        </w:rPr>
        <w:t> </w:t>
      </w:r>
      <w:r>
        <w:rPr>
          <w:color w:val="231F20"/>
          <w:w w:val="105"/>
        </w:rPr>
        <w:t>pública</w:t>
      </w:r>
      <w:r>
        <w:rPr>
          <w:color w:val="231F20"/>
          <w:spacing w:val="-5"/>
          <w:w w:val="105"/>
        </w:rPr>
        <w:t> </w:t>
      </w:r>
      <w:r>
        <w:rPr>
          <w:color w:val="231F20"/>
          <w:w w:val="105"/>
        </w:rPr>
        <w:t>para</w:t>
      </w:r>
      <w:r>
        <w:rPr>
          <w:color w:val="231F20"/>
          <w:spacing w:val="-5"/>
          <w:w w:val="105"/>
        </w:rPr>
        <w:t> </w:t>
      </w:r>
      <w:r>
        <w:rPr>
          <w:color w:val="231F20"/>
          <w:w w:val="105"/>
        </w:rPr>
        <w:t>una</w:t>
      </w:r>
      <w:r>
        <w:rPr>
          <w:color w:val="231F20"/>
          <w:spacing w:val="-5"/>
          <w:w w:val="105"/>
        </w:rPr>
        <w:t> </w:t>
      </w:r>
      <w:r>
        <w:rPr>
          <w:color w:val="231F20"/>
          <w:w w:val="105"/>
        </w:rPr>
        <w:t>mejor</w:t>
      </w:r>
      <w:r>
        <w:rPr>
          <w:color w:val="231F20"/>
          <w:spacing w:val="-5"/>
          <w:w w:val="105"/>
        </w:rPr>
        <w:t> </w:t>
      </w:r>
      <w:r>
        <w:rPr>
          <w:color w:val="231F20"/>
          <w:w w:val="105"/>
        </w:rPr>
        <w:t>rendición</w:t>
      </w:r>
      <w:r>
        <w:rPr>
          <w:color w:val="231F20"/>
          <w:spacing w:val="-5"/>
          <w:w w:val="105"/>
        </w:rPr>
        <w:t> </w:t>
      </w:r>
      <w:r>
        <w:rPr>
          <w:color w:val="231F20"/>
          <w:w w:val="105"/>
        </w:rPr>
        <w:t>de</w:t>
      </w:r>
      <w:r>
        <w:rPr>
          <w:color w:val="231F20"/>
          <w:spacing w:val="-5"/>
          <w:w w:val="105"/>
        </w:rPr>
        <w:t> </w:t>
      </w:r>
      <w:r>
        <w:rPr>
          <w:color w:val="231F20"/>
          <w:w w:val="105"/>
        </w:rPr>
        <w:t>cuentas,</w:t>
      </w:r>
      <w:r>
        <w:rPr>
          <w:color w:val="231F20"/>
          <w:spacing w:val="-5"/>
          <w:w w:val="105"/>
        </w:rPr>
        <w:t> </w:t>
      </w:r>
      <w:r>
        <w:rPr>
          <w:color w:val="231F20"/>
          <w:w w:val="105"/>
        </w:rPr>
        <w:t>continuar</w:t>
      </w:r>
      <w:r>
        <w:rPr>
          <w:color w:val="231F20"/>
          <w:spacing w:val="-5"/>
          <w:w w:val="105"/>
        </w:rPr>
        <w:t> </w:t>
      </w:r>
      <w:r>
        <w:rPr>
          <w:color w:val="231F20"/>
          <w:w w:val="105"/>
        </w:rPr>
        <w:t>la</w:t>
      </w:r>
      <w:r>
        <w:rPr>
          <w:color w:val="231F20"/>
          <w:spacing w:val="-5"/>
          <w:w w:val="105"/>
        </w:rPr>
        <w:t> </w:t>
      </w:r>
      <w:r>
        <w:rPr>
          <w:color w:val="231F20"/>
          <w:w w:val="105"/>
        </w:rPr>
        <w:t>mo- dernización integral de los sistemas informáticos de la administración y el impulso de un</w:t>
      </w:r>
      <w:r>
        <w:rPr>
          <w:color w:val="231F20"/>
          <w:spacing w:val="-14"/>
          <w:w w:val="105"/>
        </w:rPr>
        <w:t> </w:t>
      </w:r>
      <w:r>
        <w:rPr>
          <w:color w:val="231F20"/>
          <w:w w:val="105"/>
        </w:rPr>
        <w:t>programa</w:t>
      </w:r>
      <w:r>
        <w:rPr>
          <w:color w:val="231F20"/>
          <w:spacing w:val="-14"/>
          <w:w w:val="105"/>
        </w:rPr>
        <w:t> </w:t>
      </w:r>
      <w:r>
        <w:rPr>
          <w:color w:val="231F20"/>
          <w:w w:val="105"/>
        </w:rPr>
        <w:t>de</w:t>
      </w:r>
      <w:r>
        <w:rPr>
          <w:color w:val="231F20"/>
          <w:spacing w:val="-14"/>
          <w:w w:val="105"/>
        </w:rPr>
        <w:t> </w:t>
      </w:r>
      <w:r>
        <w:rPr>
          <w:color w:val="231F20"/>
          <w:w w:val="105"/>
        </w:rPr>
        <w:t>recaudación,</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spacing w:val="2"/>
          <w:w w:val="105"/>
        </w:rPr>
        <w:t>fin</w:t>
      </w:r>
      <w:r>
        <w:rPr>
          <w:color w:val="231F20"/>
          <w:spacing w:val="-14"/>
          <w:w w:val="105"/>
        </w:rPr>
        <w:t> </w:t>
      </w:r>
      <w:r>
        <w:rPr>
          <w:color w:val="231F20"/>
          <w:w w:val="105"/>
        </w:rPr>
        <w:t>de</w:t>
      </w:r>
      <w:r>
        <w:rPr>
          <w:color w:val="231F20"/>
          <w:spacing w:val="-14"/>
          <w:w w:val="105"/>
        </w:rPr>
        <w:t> </w:t>
      </w:r>
      <w:r>
        <w:rPr>
          <w:color w:val="231F20"/>
          <w:w w:val="105"/>
        </w:rPr>
        <w:t>generar</w:t>
      </w:r>
      <w:r>
        <w:rPr>
          <w:color w:val="231F20"/>
          <w:spacing w:val="-14"/>
          <w:w w:val="105"/>
        </w:rPr>
        <w:t> </w:t>
      </w:r>
      <w:r>
        <w:rPr>
          <w:color w:val="231F20"/>
          <w:w w:val="105"/>
        </w:rPr>
        <w:t>mayores</w:t>
      </w:r>
      <w:r>
        <w:rPr>
          <w:color w:val="231F20"/>
          <w:spacing w:val="-14"/>
          <w:w w:val="105"/>
        </w:rPr>
        <w:t> </w:t>
      </w:r>
      <w:r>
        <w:rPr>
          <w:color w:val="231F20"/>
          <w:w w:val="105"/>
        </w:rPr>
        <w:t>ingresos</w:t>
      </w:r>
      <w:r>
        <w:rPr>
          <w:color w:val="231F20"/>
          <w:spacing w:val="-14"/>
          <w:w w:val="105"/>
        </w:rPr>
        <w:t> </w:t>
      </w:r>
      <w:r>
        <w:rPr>
          <w:color w:val="231F20"/>
          <w:w w:val="105"/>
        </w:rPr>
        <w:t>propios.</w:t>
      </w:r>
    </w:p>
    <w:p>
      <w:pPr>
        <w:pStyle w:val="BodyText"/>
        <w:spacing w:before="1"/>
        <w:rPr>
          <w:sz w:val="26"/>
        </w:rPr>
      </w:pPr>
    </w:p>
    <w:p>
      <w:pPr>
        <w:pStyle w:val="BodyText"/>
        <w:spacing w:line="285" w:lineRule="auto"/>
        <w:ind w:left="110" w:right="108"/>
        <w:jc w:val="both"/>
      </w:pPr>
      <w:r>
        <w:rPr>
          <w:color w:val="231F20"/>
          <w:w w:val="105"/>
        </w:rPr>
        <w:t>Ahora</w:t>
      </w:r>
      <w:r>
        <w:rPr>
          <w:color w:val="231F20"/>
          <w:spacing w:val="-8"/>
          <w:w w:val="105"/>
        </w:rPr>
        <w:t> </w:t>
      </w:r>
      <w:r>
        <w:rPr>
          <w:color w:val="231F20"/>
          <w:w w:val="105"/>
        </w:rPr>
        <w:t>bien,</w:t>
      </w:r>
      <w:r>
        <w:rPr>
          <w:color w:val="231F20"/>
          <w:spacing w:val="-8"/>
          <w:w w:val="105"/>
        </w:rPr>
        <w:t> </w:t>
      </w:r>
      <w:r>
        <w:rPr>
          <w:color w:val="231F20"/>
          <w:w w:val="105"/>
        </w:rPr>
        <w:t>veamos</w:t>
      </w:r>
      <w:r>
        <w:rPr>
          <w:color w:val="231F20"/>
          <w:spacing w:val="-8"/>
          <w:w w:val="105"/>
        </w:rPr>
        <w:t> </w:t>
      </w:r>
      <w:r>
        <w:rPr>
          <w:color w:val="231F20"/>
          <w:w w:val="105"/>
        </w:rPr>
        <w:t>que</w:t>
      </w:r>
      <w:r>
        <w:rPr>
          <w:color w:val="231F20"/>
          <w:spacing w:val="-8"/>
          <w:w w:val="105"/>
        </w:rPr>
        <w:t> </w:t>
      </w:r>
      <w:r>
        <w:rPr>
          <w:color w:val="231F20"/>
          <w:w w:val="105"/>
        </w:rPr>
        <w:t>tanto</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logrado</w:t>
      </w:r>
      <w:r>
        <w:rPr>
          <w:color w:val="231F20"/>
          <w:spacing w:val="-8"/>
          <w:w w:val="105"/>
        </w:rPr>
        <w:t> </w:t>
      </w:r>
      <w:r>
        <w:rPr>
          <w:color w:val="231F20"/>
          <w:w w:val="105"/>
        </w:rPr>
        <w:t>de</w:t>
      </w:r>
      <w:r>
        <w:rPr>
          <w:color w:val="231F20"/>
          <w:spacing w:val="-8"/>
          <w:w w:val="105"/>
        </w:rPr>
        <w:t> </w:t>
      </w:r>
      <w:r>
        <w:rPr>
          <w:color w:val="231F20"/>
          <w:w w:val="105"/>
        </w:rPr>
        <w:t>estas</w:t>
      </w:r>
      <w:r>
        <w:rPr>
          <w:color w:val="231F20"/>
          <w:spacing w:val="-8"/>
          <w:w w:val="105"/>
        </w:rPr>
        <w:t> </w:t>
      </w:r>
      <w:r>
        <w:rPr>
          <w:color w:val="231F20"/>
          <w:w w:val="105"/>
        </w:rPr>
        <w:t>prioridades</w:t>
      </w:r>
      <w:r>
        <w:rPr>
          <w:color w:val="231F20"/>
          <w:spacing w:val="-8"/>
          <w:w w:val="105"/>
        </w:rPr>
        <w:t> </w:t>
      </w:r>
      <w:r>
        <w:rPr>
          <w:color w:val="231F20"/>
          <w:w w:val="105"/>
        </w:rPr>
        <w:t>y</w:t>
      </w:r>
      <w:r>
        <w:rPr>
          <w:color w:val="231F20"/>
          <w:spacing w:val="-8"/>
          <w:w w:val="105"/>
        </w:rPr>
        <w:t> </w:t>
      </w:r>
      <w:r>
        <w:rPr>
          <w:color w:val="231F20"/>
          <w:w w:val="105"/>
        </w:rPr>
        <w:t>otras</w:t>
      </w:r>
      <w:r>
        <w:rPr>
          <w:color w:val="231F20"/>
          <w:spacing w:val="-8"/>
          <w:w w:val="105"/>
        </w:rPr>
        <w:t> </w:t>
      </w:r>
      <w:r>
        <w:rPr>
          <w:color w:val="231F20"/>
          <w:w w:val="105"/>
        </w:rPr>
        <w:t>cuestiones</w:t>
      </w:r>
      <w:r>
        <w:rPr>
          <w:color w:val="231F20"/>
          <w:spacing w:val="-8"/>
          <w:w w:val="105"/>
        </w:rPr>
        <w:t> </w:t>
      </w:r>
      <w:r>
        <w:rPr>
          <w:color w:val="231F20"/>
          <w:w w:val="105"/>
        </w:rPr>
        <w:t>im- portantes, observando lo acontecido hasta el Primer y Segundo Informe de Gobierno de</w:t>
      </w:r>
      <w:r>
        <w:rPr>
          <w:color w:val="231F20"/>
          <w:spacing w:val="-14"/>
          <w:w w:val="105"/>
        </w:rPr>
        <w:t> </w:t>
      </w:r>
      <w:r>
        <w:rPr>
          <w:color w:val="231F20"/>
          <w:w w:val="105"/>
        </w:rPr>
        <w:t>la</w:t>
      </w:r>
      <w:r>
        <w:rPr>
          <w:color w:val="231F20"/>
          <w:spacing w:val="-14"/>
          <w:w w:val="105"/>
        </w:rPr>
        <w:t> </w:t>
      </w:r>
      <w:r>
        <w:rPr>
          <w:color w:val="231F20"/>
          <w:w w:val="105"/>
        </w:rPr>
        <w:t>gestión</w:t>
      </w:r>
      <w:r>
        <w:rPr>
          <w:color w:val="231F20"/>
          <w:spacing w:val="-14"/>
          <w:w w:val="105"/>
        </w:rPr>
        <w:t> </w:t>
      </w:r>
      <w:r>
        <w:rPr>
          <w:color w:val="231F20"/>
          <w:w w:val="105"/>
        </w:rPr>
        <w:t>en</w:t>
      </w:r>
      <w:r>
        <w:rPr>
          <w:color w:val="231F20"/>
          <w:spacing w:val="-14"/>
          <w:w w:val="105"/>
        </w:rPr>
        <w:t> </w:t>
      </w:r>
      <w:r>
        <w:rPr>
          <w:color w:val="231F20"/>
          <w:w w:val="105"/>
        </w:rPr>
        <w:t>curso,</w:t>
      </w:r>
      <w:r>
        <w:rPr>
          <w:color w:val="231F20"/>
          <w:spacing w:val="-14"/>
          <w:w w:val="105"/>
        </w:rPr>
        <w:t> </w:t>
      </w:r>
      <w:r>
        <w:rPr>
          <w:color w:val="231F20"/>
          <w:w w:val="105"/>
        </w:rPr>
        <w:t>el</w:t>
      </w:r>
      <w:r>
        <w:rPr>
          <w:color w:val="231F20"/>
          <w:spacing w:val="-14"/>
          <w:w w:val="105"/>
        </w:rPr>
        <w:t> </w:t>
      </w:r>
      <w:r>
        <w:rPr>
          <w:color w:val="231F20"/>
          <w:w w:val="105"/>
        </w:rPr>
        <w:t>Informe</w:t>
      </w:r>
      <w:r>
        <w:rPr>
          <w:color w:val="231F20"/>
          <w:spacing w:val="-14"/>
          <w:w w:val="105"/>
        </w:rPr>
        <w:t> </w:t>
      </w:r>
      <w:r>
        <w:rPr>
          <w:color w:val="231F20"/>
          <w:w w:val="105"/>
        </w:rPr>
        <w:t>Anual</w:t>
      </w:r>
      <w:r>
        <w:rPr>
          <w:color w:val="231F20"/>
          <w:spacing w:val="-14"/>
          <w:w w:val="105"/>
        </w:rPr>
        <w:t> </w:t>
      </w:r>
      <w:r>
        <w:rPr>
          <w:color w:val="231F20"/>
          <w:w w:val="105"/>
        </w:rPr>
        <w:t>de</w:t>
      </w:r>
      <w:r>
        <w:rPr>
          <w:color w:val="231F20"/>
          <w:spacing w:val="-14"/>
          <w:w w:val="105"/>
        </w:rPr>
        <w:t> </w:t>
      </w:r>
      <w:r>
        <w:rPr>
          <w:color w:val="231F20"/>
          <w:w w:val="105"/>
        </w:rPr>
        <w:t>Ejecución</w:t>
      </w:r>
      <w:r>
        <w:rPr>
          <w:color w:val="231F20"/>
          <w:spacing w:val="-14"/>
          <w:w w:val="105"/>
        </w:rPr>
        <w:t> </w:t>
      </w:r>
      <w:r>
        <w:rPr>
          <w:color w:val="231F20"/>
          <w:w w:val="105"/>
        </w:rPr>
        <w:t>del</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Municipal correspondiente </w:t>
      </w:r>
      <w:r>
        <w:rPr>
          <w:color w:val="231F20"/>
          <w:spacing w:val="2"/>
          <w:w w:val="105"/>
        </w:rPr>
        <w:t>al </w:t>
      </w:r>
      <w:r>
        <w:rPr>
          <w:color w:val="231F20"/>
          <w:w w:val="105"/>
        </w:rPr>
        <w:t>ejercicio </w:t>
      </w:r>
      <w:r>
        <w:rPr>
          <w:color w:val="231F20"/>
          <w:spacing w:val="3"/>
          <w:w w:val="105"/>
        </w:rPr>
        <w:t>2006 </w:t>
      </w:r>
      <w:r>
        <w:rPr>
          <w:color w:val="231F20"/>
          <w:w w:val="105"/>
        </w:rPr>
        <w:t>y los reportes del trimestre enero-marzo del 2007. Además</w:t>
      </w:r>
      <w:r>
        <w:rPr>
          <w:color w:val="231F20"/>
          <w:spacing w:val="-12"/>
          <w:w w:val="105"/>
        </w:rPr>
        <w:t> </w:t>
      </w:r>
      <w:r>
        <w:rPr>
          <w:color w:val="231F20"/>
          <w:w w:val="105"/>
        </w:rPr>
        <w:t>retomamos</w:t>
      </w:r>
      <w:r>
        <w:rPr>
          <w:color w:val="231F20"/>
          <w:spacing w:val="-12"/>
          <w:w w:val="105"/>
        </w:rPr>
        <w:t> </w:t>
      </w:r>
      <w:r>
        <w:rPr>
          <w:color w:val="231F20"/>
          <w:w w:val="105"/>
        </w:rPr>
        <w:t>datos</w:t>
      </w:r>
      <w:r>
        <w:rPr>
          <w:color w:val="231F20"/>
          <w:spacing w:val="-12"/>
          <w:w w:val="105"/>
        </w:rPr>
        <w:t> </w:t>
      </w:r>
      <w:r>
        <w:rPr>
          <w:color w:val="231F20"/>
          <w:w w:val="105"/>
        </w:rPr>
        <w:t>del</w:t>
      </w:r>
      <w:r>
        <w:rPr>
          <w:color w:val="231F20"/>
          <w:spacing w:val="-12"/>
          <w:w w:val="105"/>
        </w:rPr>
        <w:t> </w:t>
      </w:r>
      <w:r>
        <w:rPr>
          <w:color w:val="231F20"/>
          <w:w w:val="105"/>
        </w:rPr>
        <w:t>INEGI</w:t>
      </w:r>
      <w:r>
        <w:rPr>
          <w:color w:val="231F20"/>
          <w:spacing w:val="-12"/>
          <w:w w:val="105"/>
        </w:rPr>
        <w:t> </w:t>
      </w:r>
      <w:r>
        <w:rPr>
          <w:color w:val="231F20"/>
          <w:w w:val="105"/>
        </w:rPr>
        <w:t>del</w:t>
      </w:r>
      <w:r>
        <w:rPr>
          <w:color w:val="231F20"/>
          <w:spacing w:val="-12"/>
          <w:w w:val="105"/>
        </w:rPr>
        <w:t> </w:t>
      </w:r>
      <w:r>
        <w:rPr>
          <w:color w:val="231F20"/>
          <w:spacing w:val="3"/>
          <w:w w:val="105"/>
        </w:rPr>
        <w:t>2008</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CONAPO</w:t>
      </w:r>
      <w:r>
        <w:rPr>
          <w:color w:val="231F20"/>
          <w:spacing w:val="-12"/>
          <w:w w:val="105"/>
        </w:rPr>
        <w:t> </w:t>
      </w:r>
      <w:r>
        <w:rPr>
          <w:color w:val="231F20"/>
          <w:w w:val="105"/>
        </w:rPr>
        <w:t>para</w:t>
      </w:r>
      <w:r>
        <w:rPr>
          <w:color w:val="231F20"/>
          <w:spacing w:val="-12"/>
          <w:w w:val="105"/>
        </w:rPr>
        <w:t> </w:t>
      </w:r>
      <w:r>
        <w:rPr>
          <w:color w:val="231F20"/>
          <w:w w:val="105"/>
        </w:rPr>
        <w:t>observar</w:t>
      </w:r>
      <w:r>
        <w:rPr>
          <w:color w:val="231F20"/>
          <w:spacing w:val="-12"/>
          <w:w w:val="105"/>
        </w:rPr>
        <w:t> </w:t>
      </w:r>
      <w:r>
        <w:rPr>
          <w:color w:val="231F20"/>
          <w:w w:val="105"/>
        </w:rPr>
        <w:t>la</w:t>
      </w:r>
      <w:r>
        <w:rPr>
          <w:color w:val="231F20"/>
          <w:spacing w:val="-12"/>
          <w:w w:val="105"/>
        </w:rPr>
        <w:t> </w:t>
      </w:r>
      <w:r>
        <w:rPr>
          <w:color w:val="231F20"/>
          <w:w w:val="105"/>
        </w:rPr>
        <w:t>situa- ción</w:t>
      </w:r>
      <w:r>
        <w:rPr>
          <w:color w:val="231F20"/>
          <w:spacing w:val="-17"/>
          <w:w w:val="105"/>
        </w:rPr>
        <w:t> </w:t>
      </w:r>
      <w:r>
        <w:rPr>
          <w:color w:val="231F20"/>
          <w:w w:val="105"/>
        </w:rPr>
        <w:t>actual</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gestión</w:t>
      </w:r>
      <w:r>
        <w:rPr>
          <w:color w:val="231F20"/>
          <w:spacing w:val="-17"/>
          <w:w w:val="105"/>
        </w:rPr>
        <w:t> </w:t>
      </w:r>
      <w:r>
        <w:rPr>
          <w:color w:val="231F20"/>
          <w:w w:val="105"/>
        </w:rPr>
        <w:t>y</w:t>
      </w:r>
      <w:r>
        <w:rPr>
          <w:color w:val="231F20"/>
          <w:spacing w:val="-17"/>
          <w:w w:val="105"/>
        </w:rPr>
        <w:t> </w:t>
      </w:r>
      <w:r>
        <w:rPr>
          <w:color w:val="231F20"/>
          <w:w w:val="105"/>
        </w:rPr>
        <w:t>del</w:t>
      </w:r>
      <w:r>
        <w:rPr>
          <w:color w:val="231F20"/>
          <w:spacing w:val="-17"/>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En</w:t>
      </w:r>
      <w:r>
        <w:rPr>
          <w:color w:val="231F20"/>
          <w:spacing w:val="-8"/>
          <w:w w:val="105"/>
        </w:rPr>
        <w:t> </w:t>
      </w:r>
      <w:r>
        <w:rPr>
          <w:color w:val="231F20"/>
          <w:w w:val="105"/>
        </w:rPr>
        <w:t>cuanto</w:t>
      </w:r>
      <w:r>
        <w:rPr>
          <w:color w:val="231F20"/>
          <w:spacing w:val="-8"/>
          <w:w w:val="105"/>
        </w:rPr>
        <w:t> </w:t>
      </w:r>
      <w:r>
        <w:rPr>
          <w:color w:val="231F20"/>
          <w:spacing w:val="2"/>
          <w:w w:val="105"/>
        </w:rPr>
        <w:t>al</w:t>
      </w:r>
      <w:r>
        <w:rPr>
          <w:color w:val="231F20"/>
          <w:spacing w:val="-8"/>
          <w:w w:val="105"/>
        </w:rPr>
        <w:t> </w:t>
      </w:r>
      <w:r>
        <w:rPr>
          <w:color w:val="231F20"/>
          <w:w w:val="105"/>
        </w:rPr>
        <w:t>fortalecimiento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ingresos</w:t>
      </w:r>
      <w:r>
        <w:rPr>
          <w:color w:val="231F20"/>
          <w:spacing w:val="-8"/>
          <w:w w:val="105"/>
        </w:rPr>
        <w:t> </w:t>
      </w:r>
      <w:r>
        <w:rPr>
          <w:color w:val="231F20"/>
          <w:w w:val="105"/>
        </w:rPr>
        <w:t>municipales,</w:t>
      </w:r>
      <w:r>
        <w:rPr>
          <w:color w:val="231F20"/>
          <w:spacing w:val="-8"/>
          <w:w w:val="105"/>
        </w:rPr>
        <w:t> </w:t>
      </w:r>
      <w:r>
        <w:rPr>
          <w:color w:val="231F20"/>
          <w:w w:val="105"/>
        </w:rPr>
        <w:t>se</w:t>
      </w:r>
      <w:r>
        <w:rPr>
          <w:color w:val="231F20"/>
          <w:spacing w:val="-8"/>
          <w:w w:val="105"/>
        </w:rPr>
        <w:t> </w:t>
      </w:r>
      <w:r>
        <w:rPr>
          <w:color w:val="231F20"/>
          <w:w w:val="105"/>
        </w:rPr>
        <w:t>implementó</w:t>
      </w:r>
      <w:r>
        <w:rPr>
          <w:color w:val="231F20"/>
          <w:spacing w:val="-8"/>
          <w:w w:val="105"/>
        </w:rPr>
        <w:t> </w:t>
      </w:r>
      <w:r>
        <w:rPr>
          <w:color w:val="231F20"/>
          <w:w w:val="105"/>
        </w:rPr>
        <w:t>el</w:t>
      </w:r>
      <w:r>
        <w:rPr>
          <w:color w:val="231F20"/>
          <w:spacing w:val="-8"/>
          <w:w w:val="105"/>
        </w:rPr>
        <w:t> </w:t>
      </w:r>
      <w:r>
        <w:rPr>
          <w:color w:val="231F20"/>
          <w:w w:val="105"/>
        </w:rPr>
        <w:t>“Programa de</w:t>
      </w:r>
      <w:r>
        <w:rPr>
          <w:color w:val="231F20"/>
          <w:spacing w:val="-15"/>
          <w:w w:val="105"/>
        </w:rPr>
        <w:t> </w:t>
      </w:r>
      <w:r>
        <w:rPr>
          <w:color w:val="231F20"/>
          <w:w w:val="105"/>
        </w:rPr>
        <w:t>Fortalecimiento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Hacienda</w:t>
      </w:r>
      <w:r>
        <w:rPr>
          <w:color w:val="231F20"/>
          <w:spacing w:val="-15"/>
          <w:w w:val="105"/>
        </w:rPr>
        <w:t> </w:t>
      </w:r>
      <w:r>
        <w:rPr>
          <w:color w:val="231F20"/>
          <w:w w:val="105"/>
        </w:rPr>
        <w:t>Pública</w:t>
      </w:r>
      <w:r>
        <w:rPr>
          <w:color w:val="231F20"/>
          <w:spacing w:val="-15"/>
          <w:w w:val="105"/>
        </w:rPr>
        <w:t> </w:t>
      </w:r>
      <w:r>
        <w:rPr>
          <w:color w:val="231F20"/>
          <w:w w:val="105"/>
        </w:rPr>
        <w:t>Municipal”,</w:t>
      </w:r>
      <w:r>
        <w:rPr>
          <w:color w:val="231F20"/>
          <w:spacing w:val="-15"/>
          <w:w w:val="105"/>
        </w:rPr>
        <w:t> </w:t>
      </w:r>
      <w:r>
        <w:rPr>
          <w:color w:val="231F20"/>
          <w:w w:val="105"/>
        </w:rPr>
        <w:t>que</w:t>
      </w:r>
      <w:r>
        <w:rPr>
          <w:color w:val="231F20"/>
          <w:spacing w:val="-15"/>
          <w:w w:val="105"/>
        </w:rPr>
        <w:t> </w:t>
      </w:r>
      <w:r>
        <w:rPr>
          <w:color w:val="231F20"/>
          <w:w w:val="105"/>
        </w:rPr>
        <w:t>según</w:t>
      </w:r>
      <w:r>
        <w:rPr>
          <w:color w:val="231F20"/>
          <w:spacing w:val="-15"/>
          <w:w w:val="105"/>
        </w:rPr>
        <w:t> </w:t>
      </w:r>
      <w:r>
        <w:rPr>
          <w:color w:val="231F20"/>
          <w:w w:val="105"/>
        </w:rPr>
        <w:t>el</w:t>
      </w:r>
      <w:r>
        <w:rPr>
          <w:color w:val="231F20"/>
          <w:spacing w:val="-15"/>
          <w:w w:val="105"/>
        </w:rPr>
        <w:t> </w:t>
      </w:r>
      <w:r>
        <w:rPr>
          <w:color w:val="231F20"/>
          <w:w w:val="105"/>
        </w:rPr>
        <w:t>Plan</w:t>
      </w:r>
      <w:r>
        <w:rPr>
          <w:color w:val="231F20"/>
          <w:spacing w:val="-15"/>
          <w:w w:val="105"/>
        </w:rPr>
        <w:t> </w:t>
      </w:r>
      <w:r>
        <w:rPr>
          <w:color w:val="231F20"/>
          <w:w w:val="105"/>
        </w:rPr>
        <w:t>de</w:t>
      </w:r>
      <w:r>
        <w:rPr>
          <w:color w:val="231F20"/>
          <w:spacing w:val="-15"/>
          <w:w w:val="105"/>
        </w:rPr>
        <w:t> </w:t>
      </w:r>
      <w:r>
        <w:rPr>
          <w:color w:val="231F20"/>
          <w:w w:val="105"/>
        </w:rPr>
        <w:t>Desarrollo Municipal</w:t>
      </w:r>
      <w:r>
        <w:rPr>
          <w:color w:val="231F20"/>
          <w:spacing w:val="-15"/>
          <w:w w:val="105"/>
        </w:rPr>
        <w:t> </w:t>
      </w:r>
      <w:r>
        <w:rPr>
          <w:color w:val="231F20"/>
          <w:w w:val="105"/>
        </w:rPr>
        <w:t>tenía</w:t>
      </w:r>
      <w:r>
        <w:rPr>
          <w:color w:val="231F20"/>
          <w:spacing w:val="-15"/>
          <w:w w:val="105"/>
        </w:rPr>
        <w:t> </w:t>
      </w:r>
      <w:r>
        <w:rPr>
          <w:color w:val="231F20"/>
          <w:w w:val="105"/>
        </w:rPr>
        <w:t>los</w:t>
      </w:r>
      <w:r>
        <w:rPr>
          <w:color w:val="231F20"/>
          <w:spacing w:val="-15"/>
          <w:w w:val="105"/>
        </w:rPr>
        <w:t> </w:t>
      </w:r>
      <w:r>
        <w:rPr>
          <w:color w:val="231F20"/>
          <w:w w:val="105"/>
        </w:rPr>
        <w:t>siguientes</w:t>
      </w:r>
      <w:r>
        <w:rPr>
          <w:color w:val="231F20"/>
          <w:spacing w:val="-15"/>
          <w:w w:val="105"/>
        </w:rPr>
        <w:t> </w:t>
      </w:r>
      <w:r>
        <w:rPr>
          <w:color w:val="231F20"/>
          <w:w w:val="105"/>
        </w:rPr>
        <w:t>objetivos:</w:t>
      </w:r>
      <w:r>
        <w:rPr>
          <w:color w:val="231F20"/>
          <w:spacing w:val="-15"/>
          <w:w w:val="105"/>
        </w:rPr>
        <w:t> </w:t>
      </w:r>
      <w:r>
        <w:rPr>
          <w:color w:val="231F20"/>
          <w:w w:val="105"/>
        </w:rPr>
        <w:t>fortalecer</w:t>
      </w:r>
      <w:r>
        <w:rPr>
          <w:color w:val="231F20"/>
          <w:spacing w:val="-15"/>
          <w:w w:val="105"/>
        </w:rPr>
        <w:t> </w:t>
      </w:r>
      <w:r>
        <w:rPr>
          <w:color w:val="231F20"/>
          <w:w w:val="105"/>
        </w:rPr>
        <w:t>la</w:t>
      </w:r>
      <w:r>
        <w:rPr>
          <w:color w:val="231F20"/>
          <w:spacing w:val="-15"/>
          <w:w w:val="105"/>
        </w:rPr>
        <w:t> </w:t>
      </w:r>
      <w:r>
        <w:rPr>
          <w:color w:val="231F20"/>
          <w:w w:val="105"/>
        </w:rPr>
        <w:t>recaudación</w:t>
      </w:r>
      <w:r>
        <w:rPr>
          <w:color w:val="231F20"/>
          <w:spacing w:val="-15"/>
          <w:w w:val="105"/>
        </w:rPr>
        <w:t> </w:t>
      </w:r>
      <w:r>
        <w:rPr>
          <w:color w:val="231F20"/>
          <w:w w:val="105"/>
        </w:rPr>
        <w:t>Municipal,</w:t>
      </w:r>
      <w:r>
        <w:rPr>
          <w:color w:val="231F20"/>
          <w:spacing w:val="-15"/>
          <w:w w:val="105"/>
        </w:rPr>
        <w:t> </w:t>
      </w:r>
      <w:r>
        <w:rPr>
          <w:color w:val="231F20"/>
          <w:w w:val="105"/>
        </w:rPr>
        <w:t>fomentar el cumplimiento voluntario de las obligaciones fiscales, y administrativas y establecer valores reales de suelo en el Municipio a través del sistema catastral. Con ello se</w:t>
      </w:r>
      <w:r>
        <w:rPr>
          <w:color w:val="231F20"/>
          <w:spacing w:val="-36"/>
          <w:w w:val="105"/>
        </w:rPr>
        <w:t> </w:t>
      </w:r>
      <w:r>
        <w:rPr>
          <w:color w:val="231F20"/>
          <w:w w:val="105"/>
        </w:rPr>
        <w:t>daba continuidad</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hecho</w:t>
      </w:r>
      <w:r>
        <w:rPr>
          <w:color w:val="231F20"/>
          <w:spacing w:val="-7"/>
          <w:w w:val="105"/>
        </w:rPr>
        <w:t> </w:t>
      </w:r>
      <w:r>
        <w:rPr>
          <w:color w:val="231F20"/>
          <w:w w:val="105"/>
        </w:rPr>
        <w:t>por</w:t>
      </w:r>
      <w:r>
        <w:rPr>
          <w:color w:val="231F20"/>
          <w:spacing w:val="-7"/>
          <w:w w:val="105"/>
        </w:rPr>
        <w:t> </w:t>
      </w:r>
      <w:r>
        <w:rPr>
          <w:color w:val="231F20"/>
          <w:w w:val="105"/>
        </w:rPr>
        <w:t>las</w:t>
      </w:r>
      <w:r>
        <w:rPr>
          <w:color w:val="231F20"/>
          <w:spacing w:val="-7"/>
          <w:w w:val="105"/>
        </w:rPr>
        <w:t> </w:t>
      </w:r>
      <w:r>
        <w:rPr>
          <w:color w:val="231F20"/>
          <w:w w:val="105"/>
        </w:rPr>
        <w:t>administraciones</w:t>
      </w:r>
      <w:r>
        <w:rPr>
          <w:color w:val="231F20"/>
          <w:spacing w:val="-7"/>
          <w:w w:val="105"/>
        </w:rPr>
        <w:t> </w:t>
      </w:r>
      <w:r>
        <w:rPr>
          <w:color w:val="231F20"/>
          <w:w w:val="105"/>
        </w:rPr>
        <w:t>anteriores.</w:t>
      </w:r>
    </w:p>
    <w:p>
      <w:pPr>
        <w:pStyle w:val="BodyText"/>
        <w:spacing w:before="1"/>
        <w:rPr>
          <w:sz w:val="26"/>
        </w:rPr>
      </w:pPr>
    </w:p>
    <w:p>
      <w:pPr>
        <w:pStyle w:val="BodyText"/>
        <w:spacing w:line="285" w:lineRule="auto"/>
        <w:ind w:left="110" w:right="32"/>
      </w:pP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intención</w:t>
      </w:r>
      <w:r>
        <w:rPr>
          <w:color w:val="231F20"/>
          <w:spacing w:val="-8"/>
          <w:w w:val="105"/>
        </w:rPr>
        <w:t> </w:t>
      </w:r>
      <w:r>
        <w:rPr>
          <w:color w:val="231F20"/>
          <w:w w:val="105"/>
        </w:rPr>
        <w:t>de</w:t>
      </w:r>
      <w:r>
        <w:rPr>
          <w:color w:val="231F20"/>
          <w:spacing w:val="-8"/>
          <w:w w:val="105"/>
        </w:rPr>
        <w:t> </w:t>
      </w:r>
      <w:r>
        <w:rPr>
          <w:color w:val="231F20"/>
          <w:w w:val="105"/>
        </w:rPr>
        <w:t>mejorar</w:t>
      </w:r>
      <w:r>
        <w:rPr>
          <w:color w:val="231F20"/>
          <w:spacing w:val="-8"/>
          <w:w w:val="105"/>
        </w:rPr>
        <w:t> </w:t>
      </w:r>
      <w:r>
        <w:rPr>
          <w:color w:val="231F20"/>
          <w:w w:val="105"/>
        </w:rPr>
        <w:t>los</w:t>
      </w:r>
      <w:r>
        <w:rPr>
          <w:color w:val="231F20"/>
          <w:spacing w:val="-8"/>
          <w:w w:val="105"/>
        </w:rPr>
        <w:t> </w:t>
      </w:r>
      <w:r>
        <w:rPr>
          <w:color w:val="231F20"/>
          <w:w w:val="105"/>
        </w:rPr>
        <w:t>sistemas</w:t>
      </w:r>
      <w:r>
        <w:rPr>
          <w:color w:val="231F20"/>
          <w:spacing w:val="-8"/>
          <w:w w:val="105"/>
        </w:rPr>
        <w:t> </w:t>
      </w:r>
      <w:r>
        <w:rPr>
          <w:color w:val="231F20"/>
          <w:w w:val="105"/>
        </w:rPr>
        <w:t>y</w:t>
      </w:r>
      <w:r>
        <w:rPr>
          <w:color w:val="231F20"/>
          <w:spacing w:val="-8"/>
          <w:w w:val="105"/>
        </w:rPr>
        <w:t> </w:t>
      </w:r>
      <w:r>
        <w:rPr>
          <w:color w:val="231F20"/>
          <w:w w:val="105"/>
        </w:rPr>
        <w:t>procedimientos,</w:t>
      </w:r>
      <w:r>
        <w:rPr>
          <w:color w:val="231F20"/>
          <w:spacing w:val="-8"/>
          <w:w w:val="105"/>
        </w:rPr>
        <w:t> </w:t>
      </w:r>
      <w:r>
        <w:rPr>
          <w:color w:val="231F20"/>
          <w:w w:val="105"/>
        </w:rPr>
        <w:t>se</w:t>
      </w:r>
      <w:r>
        <w:rPr>
          <w:color w:val="231F20"/>
          <w:spacing w:val="-8"/>
          <w:w w:val="105"/>
        </w:rPr>
        <w:t> </w:t>
      </w:r>
      <w:r>
        <w:rPr>
          <w:color w:val="231F20"/>
          <w:w w:val="105"/>
        </w:rPr>
        <w:t>modernizaron</w:t>
      </w:r>
      <w:r>
        <w:rPr>
          <w:color w:val="231F20"/>
          <w:spacing w:val="-8"/>
          <w:w w:val="105"/>
        </w:rPr>
        <w:t> </w:t>
      </w:r>
      <w:r>
        <w:rPr>
          <w:color w:val="231F20"/>
          <w:w w:val="105"/>
        </w:rPr>
        <w:t>y</w:t>
      </w:r>
      <w:r>
        <w:rPr>
          <w:color w:val="231F20"/>
          <w:spacing w:val="-8"/>
          <w:w w:val="105"/>
        </w:rPr>
        <w:t> </w:t>
      </w:r>
      <w:r>
        <w:rPr>
          <w:color w:val="231F20"/>
          <w:w w:val="105"/>
        </w:rPr>
        <w:t>amplia- ron</w:t>
      </w:r>
      <w:r>
        <w:rPr>
          <w:color w:val="231F20"/>
          <w:spacing w:val="-7"/>
          <w:w w:val="105"/>
        </w:rPr>
        <w:t> </w:t>
      </w:r>
      <w:r>
        <w:rPr>
          <w:color w:val="231F20"/>
          <w:w w:val="105"/>
        </w:rPr>
        <w:t>los</w:t>
      </w:r>
      <w:r>
        <w:rPr>
          <w:color w:val="231F20"/>
          <w:spacing w:val="-7"/>
          <w:w w:val="105"/>
        </w:rPr>
        <w:t> </w:t>
      </w:r>
      <w:r>
        <w:rPr>
          <w:color w:val="231F20"/>
          <w:w w:val="105"/>
        </w:rPr>
        <w:t>equipos</w:t>
      </w:r>
      <w:r>
        <w:rPr>
          <w:color w:val="231F20"/>
          <w:spacing w:val="-7"/>
          <w:w w:val="105"/>
        </w:rPr>
        <w:t> </w:t>
      </w:r>
      <w:r>
        <w:rPr>
          <w:color w:val="231F20"/>
          <w:w w:val="105"/>
        </w:rPr>
        <w:t>informáticos.</w:t>
      </w:r>
      <w:r>
        <w:rPr>
          <w:color w:val="231F20"/>
          <w:spacing w:val="-7"/>
          <w:w w:val="105"/>
        </w:rPr>
        <w:t> </w:t>
      </w:r>
      <w:r>
        <w:rPr>
          <w:color w:val="231F20"/>
          <w:w w:val="105"/>
        </w:rPr>
        <w:t>Y</w:t>
      </w:r>
      <w:r>
        <w:rPr>
          <w:color w:val="231F20"/>
          <w:spacing w:val="-7"/>
          <w:w w:val="105"/>
        </w:rPr>
        <w:t> </w:t>
      </w:r>
      <w:r>
        <w:rPr>
          <w:color w:val="231F20"/>
          <w:w w:val="105"/>
        </w:rPr>
        <w:t>se</w:t>
      </w:r>
      <w:r>
        <w:rPr>
          <w:color w:val="231F20"/>
          <w:spacing w:val="-7"/>
          <w:w w:val="105"/>
        </w:rPr>
        <w:t> </w:t>
      </w:r>
      <w:r>
        <w:rPr>
          <w:color w:val="231F20"/>
          <w:w w:val="105"/>
        </w:rPr>
        <w:t>fortaleció</w:t>
      </w:r>
      <w:r>
        <w:rPr>
          <w:color w:val="231F20"/>
          <w:spacing w:val="-7"/>
          <w:w w:val="105"/>
        </w:rPr>
        <w:t> </w:t>
      </w:r>
      <w:r>
        <w:rPr>
          <w:color w:val="231F20"/>
          <w:w w:val="105"/>
        </w:rPr>
        <w:t>la</w:t>
      </w:r>
      <w:r>
        <w:rPr>
          <w:color w:val="231F20"/>
          <w:spacing w:val="-7"/>
          <w:w w:val="105"/>
        </w:rPr>
        <w:t> </w:t>
      </w:r>
      <w:r>
        <w:rPr>
          <w:color w:val="231F20"/>
          <w:w w:val="105"/>
        </w:rPr>
        <w:t>infraestructura</w:t>
      </w:r>
      <w:r>
        <w:rPr>
          <w:color w:val="231F20"/>
          <w:spacing w:val="-7"/>
          <w:w w:val="105"/>
        </w:rPr>
        <w:t> </w:t>
      </w:r>
      <w:r>
        <w:rPr>
          <w:color w:val="231F20"/>
          <w:w w:val="105"/>
        </w:rPr>
        <w:t>recaudatoria</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am- pliación</w:t>
      </w:r>
      <w:r>
        <w:rPr>
          <w:color w:val="231F20"/>
          <w:spacing w:val="-10"/>
          <w:w w:val="105"/>
        </w:rPr>
        <w:t> </w:t>
      </w:r>
      <w:r>
        <w:rPr>
          <w:color w:val="231F20"/>
          <w:w w:val="105"/>
        </w:rPr>
        <w:t>del</w:t>
      </w:r>
      <w:r>
        <w:rPr>
          <w:color w:val="231F20"/>
          <w:spacing w:val="-10"/>
          <w:w w:val="105"/>
        </w:rPr>
        <w:t> </w:t>
      </w:r>
      <w:r>
        <w:rPr>
          <w:color w:val="231F20"/>
          <w:w w:val="105"/>
        </w:rPr>
        <w:t>número</w:t>
      </w:r>
      <w:r>
        <w:rPr>
          <w:color w:val="231F20"/>
          <w:spacing w:val="-10"/>
          <w:w w:val="105"/>
        </w:rPr>
        <w:t> </w:t>
      </w:r>
      <w:r>
        <w:rPr>
          <w:color w:val="231F20"/>
          <w:w w:val="105"/>
        </w:rPr>
        <w:t>de</w:t>
      </w:r>
      <w:r>
        <w:rPr>
          <w:color w:val="231F20"/>
          <w:spacing w:val="-10"/>
          <w:w w:val="105"/>
        </w:rPr>
        <w:t> </w:t>
      </w:r>
      <w:r>
        <w:rPr>
          <w:color w:val="231F20"/>
          <w:w w:val="105"/>
        </w:rPr>
        <w:t>cajas</w:t>
      </w:r>
      <w:r>
        <w:rPr>
          <w:color w:val="231F20"/>
          <w:spacing w:val="-10"/>
          <w:w w:val="105"/>
        </w:rPr>
        <w:t> </w:t>
      </w:r>
      <w:r>
        <w:rPr>
          <w:color w:val="231F20"/>
          <w:w w:val="105"/>
        </w:rPr>
        <w:t>receptoras</w:t>
      </w:r>
      <w:r>
        <w:rPr>
          <w:color w:val="231F20"/>
          <w:spacing w:val="-10"/>
          <w:w w:val="105"/>
        </w:rPr>
        <w:t> </w:t>
      </w:r>
      <w:r>
        <w:rPr>
          <w:color w:val="231F20"/>
          <w:w w:val="105"/>
        </w:rPr>
        <w:t>de</w:t>
      </w:r>
      <w:r>
        <w:rPr>
          <w:color w:val="231F20"/>
          <w:spacing w:val="-10"/>
          <w:w w:val="105"/>
        </w:rPr>
        <w:t> </w:t>
      </w:r>
      <w:r>
        <w:rPr>
          <w:color w:val="231F20"/>
          <w:spacing w:val="-2"/>
          <w:w w:val="105"/>
        </w:rPr>
        <w:t>cobro,</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instalación</w:t>
      </w:r>
      <w:r>
        <w:rPr>
          <w:color w:val="231F20"/>
          <w:spacing w:val="-10"/>
          <w:w w:val="105"/>
        </w:rPr>
        <w:t> </w:t>
      </w:r>
      <w:r>
        <w:rPr>
          <w:color w:val="231F20"/>
          <w:w w:val="105"/>
        </w:rPr>
        <w:t>de</w:t>
      </w:r>
      <w:r>
        <w:rPr>
          <w:color w:val="231F20"/>
          <w:spacing w:val="-10"/>
          <w:w w:val="105"/>
        </w:rPr>
        <w:t> </w:t>
      </w:r>
      <w:r>
        <w:rPr>
          <w:color w:val="231F20"/>
          <w:w w:val="105"/>
        </w:rPr>
        <w:t>7</w:t>
      </w:r>
      <w:r>
        <w:rPr>
          <w:color w:val="231F20"/>
          <w:spacing w:val="-10"/>
          <w:w w:val="105"/>
        </w:rPr>
        <w:t> </w:t>
      </w:r>
      <w:r>
        <w:rPr>
          <w:color w:val="231F20"/>
          <w:w w:val="105"/>
        </w:rPr>
        <w:t>módulos en tiendas de autoservicio, que son los de mayor afluencia de contribuyentes.</w:t>
      </w:r>
      <w:r>
        <w:rPr>
          <w:color w:val="231F20"/>
          <w:spacing w:val="-36"/>
          <w:w w:val="105"/>
        </w:rPr>
        <w:t> </w:t>
      </w:r>
      <w:r>
        <w:rPr>
          <w:color w:val="231F20"/>
          <w:w w:val="105"/>
        </w:rPr>
        <w:t>Además celebraron convenios con 4 bancos para el cobro del Impuesto Predial, con lo que se benefició</w:t>
      </w:r>
      <w:r>
        <w:rPr>
          <w:color w:val="231F20"/>
          <w:spacing w:val="-18"/>
          <w:w w:val="105"/>
        </w:rPr>
        <w:t> </w:t>
      </w:r>
      <w:r>
        <w:rPr>
          <w:color w:val="231F20"/>
          <w:w w:val="105"/>
        </w:rPr>
        <w:t>el</w:t>
      </w:r>
      <w:r>
        <w:rPr>
          <w:color w:val="231F20"/>
          <w:spacing w:val="-18"/>
          <w:w w:val="105"/>
        </w:rPr>
        <w:t> </w:t>
      </w:r>
      <w:r>
        <w:rPr>
          <w:color w:val="231F20"/>
          <w:w w:val="105"/>
        </w:rPr>
        <w:t>servicio</w:t>
      </w:r>
      <w:r>
        <w:rPr>
          <w:color w:val="231F20"/>
          <w:spacing w:val="-18"/>
          <w:w w:val="105"/>
        </w:rPr>
        <w:t> </w:t>
      </w:r>
      <w:r>
        <w:rPr>
          <w:color w:val="231F20"/>
          <w:w w:val="105"/>
        </w:rPr>
        <w:t>de</w:t>
      </w:r>
      <w:r>
        <w:rPr>
          <w:color w:val="231F20"/>
          <w:spacing w:val="-18"/>
          <w:w w:val="105"/>
        </w:rPr>
        <w:t> </w:t>
      </w:r>
      <w:r>
        <w:rPr>
          <w:color w:val="231F20"/>
          <w:w w:val="105"/>
        </w:rPr>
        <w:t>recaudación</w:t>
      </w:r>
      <w:r>
        <w:rPr>
          <w:color w:val="231F20"/>
          <w:spacing w:val="-18"/>
          <w:w w:val="105"/>
        </w:rPr>
        <w:t> </w:t>
      </w:r>
      <w:r>
        <w:rPr>
          <w:color w:val="231F20"/>
          <w:spacing w:val="2"/>
          <w:w w:val="105"/>
        </w:rPr>
        <w:t>al</w:t>
      </w:r>
      <w:r>
        <w:rPr>
          <w:color w:val="231F20"/>
          <w:spacing w:val="-18"/>
          <w:w w:val="105"/>
        </w:rPr>
        <w:t> </w:t>
      </w:r>
      <w:r>
        <w:rPr>
          <w:color w:val="231F20"/>
          <w:w w:val="105"/>
        </w:rPr>
        <w:t>incrementarse</w:t>
      </w:r>
      <w:r>
        <w:rPr>
          <w:color w:val="231F20"/>
          <w:spacing w:val="-18"/>
          <w:w w:val="105"/>
        </w:rPr>
        <w:t> </w:t>
      </w:r>
      <w:r>
        <w:rPr>
          <w:color w:val="231F20"/>
          <w:w w:val="105"/>
        </w:rPr>
        <w:t>en</w:t>
      </w:r>
      <w:r>
        <w:rPr>
          <w:color w:val="231F20"/>
          <w:spacing w:val="-18"/>
          <w:w w:val="105"/>
        </w:rPr>
        <w:t> </w:t>
      </w:r>
      <w:r>
        <w:rPr>
          <w:color w:val="231F20"/>
          <w:w w:val="105"/>
        </w:rPr>
        <w:t>un</w:t>
      </w:r>
      <w:r>
        <w:rPr>
          <w:color w:val="231F20"/>
          <w:spacing w:val="-18"/>
          <w:w w:val="105"/>
        </w:rPr>
        <w:t> </w:t>
      </w:r>
      <w:r>
        <w:rPr>
          <w:color w:val="231F20"/>
          <w:spacing w:val="-7"/>
          <w:w w:val="105"/>
        </w:rPr>
        <w:t>14</w:t>
      </w:r>
      <w:r>
        <w:rPr>
          <w:color w:val="231F20"/>
          <w:spacing w:val="-18"/>
          <w:w w:val="105"/>
        </w:rPr>
        <w:t> </w:t>
      </w:r>
      <w:r>
        <w:rPr>
          <w:color w:val="231F20"/>
          <w:w w:val="105"/>
        </w:rPr>
        <w:t>%</w:t>
      </w:r>
      <w:r>
        <w:rPr>
          <w:color w:val="231F20"/>
          <w:spacing w:val="-18"/>
          <w:w w:val="105"/>
        </w:rPr>
        <w:t> </w:t>
      </w:r>
      <w:r>
        <w:rPr>
          <w:color w:val="231F20"/>
          <w:w w:val="105"/>
        </w:rPr>
        <w:t>y</w:t>
      </w:r>
      <w:r>
        <w:rPr>
          <w:color w:val="231F20"/>
          <w:spacing w:val="-18"/>
          <w:w w:val="105"/>
        </w:rPr>
        <w:t> </w:t>
      </w:r>
      <w:r>
        <w:rPr>
          <w:color w:val="231F20"/>
          <w:w w:val="105"/>
        </w:rPr>
        <w:t>pasar</w:t>
      </w:r>
      <w:r>
        <w:rPr>
          <w:color w:val="231F20"/>
          <w:spacing w:val="-18"/>
          <w:w w:val="105"/>
        </w:rPr>
        <w:t> </w:t>
      </w:r>
      <w:r>
        <w:rPr>
          <w:color w:val="231F20"/>
          <w:w w:val="105"/>
        </w:rPr>
        <w:t>de</w:t>
      </w:r>
      <w:r>
        <w:rPr>
          <w:color w:val="231F20"/>
          <w:spacing w:val="-18"/>
          <w:w w:val="105"/>
        </w:rPr>
        <w:t> </w:t>
      </w:r>
      <w:r>
        <w:rPr>
          <w:color w:val="231F20"/>
          <w:w w:val="105"/>
        </w:rPr>
        <w:t>8</w:t>
      </w:r>
      <w:r>
        <w:rPr>
          <w:color w:val="231F20"/>
          <w:spacing w:val="-18"/>
          <w:w w:val="105"/>
        </w:rPr>
        <w:t> </w:t>
      </w:r>
      <w:r>
        <w:rPr>
          <w:color w:val="231F20"/>
          <w:spacing w:val="2"/>
          <w:w w:val="105"/>
        </w:rPr>
        <w:t>mil</w:t>
      </w:r>
      <w:r>
        <w:rPr>
          <w:color w:val="231F20"/>
          <w:spacing w:val="-18"/>
          <w:w w:val="105"/>
        </w:rPr>
        <w:t> </w:t>
      </w:r>
      <w:r>
        <w:rPr>
          <w:color w:val="231F20"/>
          <w:spacing w:val="-4"/>
          <w:w w:val="105"/>
        </w:rPr>
        <w:t>861</w:t>
      </w:r>
      <w:r>
        <w:rPr>
          <w:color w:val="231F20"/>
          <w:spacing w:val="-18"/>
          <w:w w:val="105"/>
        </w:rPr>
        <w:t> </w:t>
      </w:r>
      <w:r>
        <w:rPr>
          <w:color w:val="231F20"/>
          <w:w w:val="105"/>
        </w:rPr>
        <w:t>en el</w:t>
      </w:r>
      <w:r>
        <w:rPr>
          <w:color w:val="231F20"/>
          <w:spacing w:val="-13"/>
          <w:w w:val="105"/>
        </w:rPr>
        <w:t> </w:t>
      </w:r>
      <w:r>
        <w:rPr>
          <w:color w:val="231F20"/>
          <w:w w:val="105"/>
        </w:rPr>
        <w:t>año</w:t>
      </w:r>
      <w:r>
        <w:rPr>
          <w:color w:val="231F20"/>
          <w:spacing w:val="-13"/>
          <w:w w:val="105"/>
        </w:rPr>
        <w:t> </w:t>
      </w:r>
      <w:r>
        <w:rPr>
          <w:color w:val="231F20"/>
          <w:spacing w:val="3"/>
          <w:w w:val="105"/>
        </w:rPr>
        <w:t>2006</w:t>
      </w:r>
      <w:r>
        <w:rPr>
          <w:color w:val="231F20"/>
          <w:spacing w:val="-13"/>
          <w:w w:val="105"/>
        </w:rPr>
        <w:t> </w:t>
      </w:r>
      <w:r>
        <w:rPr>
          <w:color w:val="231F20"/>
          <w:w w:val="105"/>
        </w:rPr>
        <w:t>a</w:t>
      </w:r>
      <w:r>
        <w:rPr>
          <w:color w:val="231F20"/>
          <w:spacing w:val="-13"/>
          <w:w w:val="105"/>
        </w:rPr>
        <w:t> </w:t>
      </w:r>
      <w:r>
        <w:rPr>
          <w:color w:val="231F20"/>
          <w:spacing w:val="-5"/>
          <w:w w:val="105"/>
        </w:rPr>
        <w:t>10</w:t>
      </w:r>
      <w:r>
        <w:rPr>
          <w:color w:val="231F20"/>
          <w:spacing w:val="-13"/>
          <w:w w:val="105"/>
        </w:rPr>
        <w:t> </w:t>
      </w:r>
      <w:r>
        <w:rPr>
          <w:color w:val="231F20"/>
          <w:spacing w:val="2"/>
          <w:w w:val="105"/>
        </w:rPr>
        <w:t>mil</w:t>
      </w:r>
      <w:r>
        <w:rPr>
          <w:color w:val="231F20"/>
          <w:spacing w:val="-13"/>
          <w:w w:val="105"/>
        </w:rPr>
        <w:t> </w:t>
      </w:r>
      <w:r>
        <w:rPr>
          <w:color w:val="231F20"/>
          <w:w w:val="105"/>
        </w:rPr>
        <w:t>94</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año</w:t>
      </w:r>
      <w:r>
        <w:rPr>
          <w:color w:val="231F20"/>
          <w:spacing w:val="-13"/>
          <w:w w:val="105"/>
        </w:rPr>
        <w:t> </w:t>
      </w:r>
      <w:r>
        <w:rPr>
          <w:color w:val="231F20"/>
          <w:spacing w:val="2"/>
          <w:w w:val="105"/>
        </w:rPr>
        <w:t>2007</w:t>
      </w:r>
      <w:r>
        <w:rPr>
          <w:color w:val="231F20"/>
          <w:spacing w:val="-13"/>
          <w:w w:val="105"/>
        </w:rPr>
        <w:t> </w:t>
      </w:r>
      <w:r>
        <w:rPr>
          <w:color w:val="231F20"/>
          <w:w w:val="105"/>
        </w:rPr>
        <w:t>el</w:t>
      </w:r>
      <w:r>
        <w:rPr>
          <w:color w:val="231F20"/>
          <w:spacing w:val="-13"/>
          <w:w w:val="105"/>
        </w:rPr>
        <w:t> </w:t>
      </w:r>
      <w:r>
        <w:rPr>
          <w:color w:val="231F20"/>
          <w:w w:val="105"/>
        </w:rPr>
        <w:t>número</w:t>
      </w:r>
      <w:r>
        <w:rPr>
          <w:color w:val="231F20"/>
          <w:spacing w:val="-13"/>
          <w:w w:val="105"/>
        </w:rPr>
        <w:t> </w:t>
      </w:r>
      <w:r>
        <w:rPr>
          <w:color w:val="231F20"/>
          <w:w w:val="105"/>
        </w:rPr>
        <w:t>de</w:t>
      </w:r>
      <w:r>
        <w:rPr>
          <w:color w:val="231F20"/>
          <w:spacing w:val="-13"/>
          <w:w w:val="105"/>
        </w:rPr>
        <w:t> </w:t>
      </w:r>
      <w:r>
        <w:rPr>
          <w:color w:val="231F20"/>
          <w:w w:val="105"/>
        </w:rPr>
        <w:t>pagos</w:t>
      </w:r>
      <w:r>
        <w:rPr>
          <w:color w:val="231F20"/>
          <w:spacing w:val="-13"/>
          <w:w w:val="105"/>
        </w:rPr>
        <w:t> </w:t>
      </w:r>
      <w:r>
        <w:rPr>
          <w:color w:val="231F20"/>
          <w:w w:val="105"/>
        </w:rPr>
        <w:t>recibidos</w:t>
      </w:r>
      <w:r>
        <w:rPr>
          <w:color w:val="231F20"/>
          <w:spacing w:val="-13"/>
          <w:w w:val="105"/>
        </w:rPr>
        <w:t> </w:t>
      </w:r>
      <w:r>
        <w:rPr>
          <w:color w:val="231F20"/>
          <w:w w:val="105"/>
        </w:rPr>
        <w:t>por</w:t>
      </w:r>
      <w:r>
        <w:rPr>
          <w:color w:val="231F20"/>
          <w:spacing w:val="-13"/>
          <w:w w:val="105"/>
        </w:rPr>
        <w:t> </w:t>
      </w:r>
      <w:r>
        <w:rPr>
          <w:color w:val="231F20"/>
          <w:w w:val="105"/>
        </w:rPr>
        <w:t>estos</w:t>
      </w:r>
      <w:r>
        <w:rPr>
          <w:color w:val="231F20"/>
          <w:spacing w:val="-13"/>
          <w:w w:val="105"/>
        </w:rPr>
        <w:t> </w:t>
      </w:r>
      <w:r>
        <w:rPr>
          <w:color w:val="231F20"/>
          <w:w w:val="105"/>
        </w:rPr>
        <w:t>medios. Adicionalmente, el municipio realizó una campaña para fomentar la cultura de pago, con</w:t>
      </w:r>
      <w:r>
        <w:rPr>
          <w:color w:val="231F20"/>
          <w:spacing w:val="-27"/>
          <w:w w:val="105"/>
        </w:rPr>
        <w:t> </w:t>
      </w:r>
      <w:r>
        <w:rPr>
          <w:color w:val="231F20"/>
          <w:w w:val="105"/>
        </w:rPr>
        <w:t>50</w:t>
      </w:r>
      <w:r>
        <w:rPr>
          <w:color w:val="231F20"/>
          <w:spacing w:val="-27"/>
          <w:w w:val="105"/>
        </w:rPr>
        <w:t> </w:t>
      </w:r>
      <w:r>
        <w:rPr>
          <w:color w:val="231F20"/>
          <w:spacing w:val="2"/>
          <w:w w:val="105"/>
        </w:rPr>
        <w:t>mil</w:t>
      </w:r>
      <w:r>
        <w:rPr>
          <w:color w:val="231F20"/>
          <w:spacing w:val="-27"/>
          <w:w w:val="105"/>
        </w:rPr>
        <w:t> </w:t>
      </w:r>
      <w:r>
        <w:rPr>
          <w:color w:val="231F20"/>
          <w:w w:val="105"/>
        </w:rPr>
        <w:t>folletos</w:t>
      </w:r>
      <w:r>
        <w:rPr>
          <w:color w:val="231F20"/>
          <w:spacing w:val="-27"/>
          <w:w w:val="105"/>
        </w:rPr>
        <w:t> </w:t>
      </w:r>
      <w:r>
        <w:rPr>
          <w:color w:val="231F20"/>
          <w:w w:val="105"/>
        </w:rPr>
        <w:t>y</w:t>
      </w:r>
      <w:r>
        <w:rPr>
          <w:color w:val="231F20"/>
          <w:spacing w:val="-27"/>
          <w:w w:val="105"/>
        </w:rPr>
        <w:t> </w:t>
      </w:r>
      <w:r>
        <w:rPr>
          <w:color w:val="231F20"/>
          <w:w w:val="105"/>
        </w:rPr>
        <w:t>trípticos</w:t>
      </w:r>
      <w:r>
        <w:rPr>
          <w:color w:val="231F20"/>
          <w:spacing w:val="-27"/>
          <w:w w:val="105"/>
        </w:rPr>
        <w:t> </w:t>
      </w:r>
      <w:r>
        <w:rPr>
          <w:color w:val="231F20"/>
          <w:w w:val="105"/>
        </w:rPr>
        <w:t>para</w:t>
      </w:r>
      <w:r>
        <w:rPr>
          <w:color w:val="231F20"/>
          <w:spacing w:val="-27"/>
          <w:w w:val="105"/>
        </w:rPr>
        <w:t> </w:t>
      </w:r>
      <w:r>
        <w:rPr>
          <w:color w:val="231F20"/>
          <w:w w:val="105"/>
        </w:rPr>
        <w:t>mostrar</w:t>
      </w:r>
      <w:r>
        <w:rPr>
          <w:color w:val="231F20"/>
          <w:spacing w:val="-27"/>
          <w:w w:val="105"/>
        </w:rPr>
        <w:t> </w:t>
      </w:r>
      <w:r>
        <w:rPr>
          <w:color w:val="231F20"/>
          <w:w w:val="105"/>
        </w:rPr>
        <w:t>derechos</w:t>
      </w:r>
      <w:r>
        <w:rPr>
          <w:color w:val="231F20"/>
          <w:spacing w:val="-27"/>
          <w:w w:val="105"/>
        </w:rPr>
        <w:t> </w:t>
      </w:r>
      <w:r>
        <w:rPr>
          <w:color w:val="231F20"/>
          <w:w w:val="105"/>
        </w:rPr>
        <w:t>y</w:t>
      </w:r>
      <w:r>
        <w:rPr>
          <w:color w:val="231F20"/>
          <w:spacing w:val="-27"/>
          <w:w w:val="105"/>
        </w:rPr>
        <w:t> </w:t>
      </w:r>
      <w:r>
        <w:rPr>
          <w:color w:val="231F20"/>
          <w:w w:val="105"/>
        </w:rPr>
        <w:t>obligaciones</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contribuyentes</w:t>
      </w:r>
    </w:p>
    <w:p>
      <w:pPr>
        <w:spacing w:after="0" w:line="285" w:lineRule="auto"/>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en</w:t>
      </w:r>
      <w:r>
        <w:rPr>
          <w:color w:val="231F20"/>
          <w:spacing w:val="-12"/>
          <w:w w:val="105"/>
        </w:rPr>
        <w:t> </w:t>
      </w:r>
      <w:r>
        <w:rPr>
          <w:color w:val="231F20"/>
          <w:w w:val="105"/>
        </w:rPr>
        <w:t>materia</w:t>
      </w:r>
      <w:r>
        <w:rPr>
          <w:color w:val="231F20"/>
          <w:spacing w:val="-12"/>
          <w:w w:val="105"/>
        </w:rPr>
        <w:t> </w:t>
      </w:r>
      <w:r>
        <w:rPr>
          <w:color w:val="231F20"/>
          <w:spacing w:val="2"/>
          <w:w w:val="105"/>
        </w:rPr>
        <w:t>fiscal</w:t>
      </w:r>
      <w:r>
        <w:rPr>
          <w:color w:val="231F20"/>
          <w:spacing w:val="-12"/>
          <w:w w:val="105"/>
        </w:rPr>
        <w:t> </w:t>
      </w:r>
      <w:r>
        <w:rPr>
          <w:color w:val="231F20"/>
          <w:w w:val="105"/>
        </w:rPr>
        <w:t>y</w:t>
      </w:r>
      <w:r>
        <w:rPr>
          <w:color w:val="231F20"/>
          <w:spacing w:val="-12"/>
          <w:w w:val="105"/>
        </w:rPr>
        <w:t> </w:t>
      </w:r>
      <w:r>
        <w:rPr>
          <w:color w:val="231F20"/>
          <w:w w:val="105"/>
        </w:rPr>
        <w:t>25</w:t>
      </w:r>
      <w:r>
        <w:rPr>
          <w:color w:val="231F20"/>
          <w:spacing w:val="-12"/>
          <w:w w:val="105"/>
        </w:rPr>
        <w:t> </w:t>
      </w:r>
      <w:r>
        <w:rPr>
          <w:color w:val="231F20"/>
          <w:spacing w:val="2"/>
          <w:w w:val="105"/>
        </w:rPr>
        <w:t>mil</w:t>
      </w:r>
      <w:r>
        <w:rPr>
          <w:color w:val="231F20"/>
          <w:spacing w:val="-12"/>
          <w:w w:val="105"/>
        </w:rPr>
        <w:t> </w:t>
      </w:r>
      <w:r>
        <w:rPr>
          <w:color w:val="231F20"/>
          <w:w w:val="105"/>
        </w:rPr>
        <w:t>para</w:t>
      </w:r>
      <w:r>
        <w:rPr>
          <w:color w:val="231F20"/>
          <w:spacing w:val="-12"/>
          <w:w w:val="105"/>
        </w:rPr>
        <w:t> </w:t>
      </w:r>
      <w:r>
        <w:rPr>
          <w:color w:val="231F20"/>
          <w:w w:val="105"/>
        </w:rPr>
        <w:t>informar</w:t>
      </w:r>
      <w:r>
        <w:rPr>
          <w:color w:val="231F20"/>
          <w:spacing w:val="-12"/>
          <w:w w:val="105"/>
        </w:rPr>
        <w:t> </w:t>
      </w:r>
      <w:r>
        <w:rPr>
          <w:color w:val="231F20"/>
          <w:w w:val="105"/>
        </w:rPr>
        <w:t>requisitos</w:t>
      </w:r>
      <w:r>
        <w:rPr>
          <w:color w:val="231F20"/>
          <w:spacing w:val="-12"/>
          <w:w w:val="105"/>
        </w:rPr>
        <w:t> </w:t>
      </w:r>
      <w:r>
        <w:rPr>
          <w:color w:val="231F20"/>
          <w:w w:val="105"/>
        </w:rPr>
        <w:t>y</w:t>
      </w:r>
      <w:r>
        <w:rPr>
          <w:color w:val="231F20"/>
          <w:spacing w:val="-12"/>
          <w:w w:val="105"/>
        </w:rPr>
        <w:t> </w:t>
      </w:r>
      <w:r>
        <w:rPr>
          <w:color w:val="231F20"/>
          <w:w w:val="105"/>
        </w:rPr>
        <w:t>procedimientos</w:t>
      </w:r>
      <w:r>
        <w:rPr>
          <w:color w:val="231F20"/>
          <w:spacing w:val="-12"/>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realización de</w:t>
      </w:r>
      <w:r>
        <w:rPr>
          <w:color w:val="231F20"/>
          <w:spacing w:val="-10"/>
          <w:w w:val="105"/>
        </w:rPr>
        <w:t> </w:t>
      </w:r>
      <w:r>
        <w:rPr>
          <w:color w:val="231F20"/>
          <w:w w:val="105"/>
        </w:rPr>
        <w:t>trámites</w:t>
      </w:r>
      <w:r>
        <w:rPr>
          <w:color w:val="231F20"/>
          <w:spacing w:val="-10"/>
          <w:w w:val="105"/>
        </w:rPr>
        <w:t> </w:t>
      </w:r>
      <w:r>
        <w:rPr>
          <w:color w:val="231F20"/>
          <w:w w:val="105"/>
        </w:rPr>
        <w:t>y</w:t>
      </w:r>
      <w:r>
        <w:rPr>
          <w:color w:val="231F20"/>
          <w:spacing w:val="-10"/>
          <w:w w:val="105"/>
        </w:rPr>
        <w:t> </w:t>
      </w:r>
      <w:r>
        <w:rPr>
          <w:color w:val="231F20"/>
          <w:w w:val="105"/>
        </w:rPr>
        <w:t>pagos</w:t>
      </w:r>
      <w:r>
        <w:rPr>
          <w:color w:val="231F20"/>
          <w:spacing w:val="-10"/>
          <w:w w:val="105"/>
        </w:rPr>
        <w:t> </w:t>
      </w:r>
      <w:r>
        <w:rPr>
          <w:color w:val="231F20"/>
          <w:w w:val="105"/>
        </w:rPr>
        <w:t>de</w:t>
      </w:r>
      <w:r>
        <w:rPr>
          <w:color w:val="231F20"/>
          <w:spacing w:val="-10"/>
          <w:w w:val="105"/>
        </w:rPr>
        <w:t> </w:t>
      </w:r>
      <w:r>
        <w:rPr>
          <w:color w:val="231F20"/>
          <w:w w:val="105"/>
        </w:rPr>
        <w:t>contribuciones</w:t>
      </w:r>
      <w:r>
        <w:rPr>
          <w:color w:val="231F20"/>
          <w:spacing w:val="-10"/>
          <w:w w:val="105"/>
        </w:rPr>
        <w:t> </w:t>
      </w:r>
      <w:r>
        <w:rPr>
          <w:color w:val="231F20"/>
          <w:w w:val="105"/>
        </w:rPr>
        <w:t>municipales.</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emisión</w:t>
      </w:r>
      <w:r>
        <w:rPr>
          <w:color w:val="231F20"/>
          <w:spacing w:val="-10"/>
          <w:w w:val="105"/>
        </w:rPr>
        <w:t> </w:t>
      </w:r>
      <w:r>
        <w:rPr>
          <w:color w:val="231F20"/>
          <w:w w:val="105"/>
        </w:rPr>
        <w:t>y</w:t>
      </w:r>
      <w:r>
        <w:rPr>
          <w:color w:val="231F20"/>
          <w:spacing w:val="-10"/>
          <w:w w:val="105"/>
        </w:rPr>
        <w:t> </w:t>
      </w:r>
      <w:r>
        <w:rPr>
          <w:color w:val="231F20"/>
          <w:w w:val="105"/>
        </w:rPr>
        <w:t>distribución de 13 </w:t>
      </w:r>
      <w:r>
        <w:rPr>
          <w:color w:val="231F20"/>
          <w:spacing w:val="2"/>
          <w:w w:val="105"/>
        </w:rPr>
        <w:t>mil 806 cartas </w:t>
      </w:r>
      <w:r>
        <w:rPr>
          <w:color w:val="231F20"/>
          <w:w w:val="105"/>
        </w:rPr>
        <w:t>invitación, exhortándolos en su caso, a regularizar las inconsis- tencias o irregularidades pendientes. Y se dio asesoría a los contribuyentes a través</w:t>
      </w:r>
      <w:r>
        <w:rPr>
          <w:color w:val="231F20"/>
          <w:spacing w:val="-34"/>
          <w:w w:val="105"/>
        </w:rPr>
        <w:t> </w:t>
      </w:r>
      <w:r>
        <w:rPr>
          <w:color w:val="231F20"/>
          <w:w w:val="105"/>
        </w:rPr>
        <w:t>de internet,</w:t>
      </w:r>
      <w:r>
        <w:rPr>
          <w:color w:val="231F20"/>
          <w:spacing w:val="-14"/>
          <w:w w:val="105"/>
        </w:rPr>
        <w:t> </w:t>
      </w:r>
      <w:r>
        <w:rPr>
          <w:color w:val="231F20"/>
          <w:w w:val="105"/>
        </w:rPr>
        <w:t>Tlalnetel</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Área</w:t>
      </w:r>
      <w:r>
        <w:rPr>
          <w:color w:val="231F20"/>
          <w:spacing w:val="-14"/>
          <w:w w:val="105"/>
        </w:rPr>
        <w:t> </w:t>
      </w:r>
      <w:r>
        <w:rPr>
          <w:color w:val="231F20"/>
          <w:w w:val="105"/>
        </w:rPr>
        <w:t>de</w:t>
      </w:r>
      <w:r>
        <w:rPr>
          <w:color w:val="231F20"/>
          <w:spacing w:val="-14"/>
          <w:w w:val="105"/>
        </w:rPr>
        <w:t> </w:t>
      </w:r>
      <w:r>
        <w:rPr>
          <w:color w:val="231F20"/>
          <w:w w:val="105"/>
        </w:rPr>
        <w:t>Asistencia</w:t>
      </w:r>
      <w:r>
        <w:rPr>
          <w:color w:val="231F20"/>
          <w:spacing w:val="-14"/>
          <w:w w:val="105"/>
        </w:rPr>
        <w:t> </w:t>
      </w:r>
      <w:r>
        <w:rPr>
          <w:color w:val="231F20"/>
          <w:w w:val="105"/>
        </w:rPr>
        <w:t>y</w:t>
      </w:r>
      <w:r>
        <w:rPr>
          <w:color w:val="231F20"/>
          <w:spacing w:val="-14"/>
          <w:w w:val="105"/>
        </w:rPr>
        <w:t> </w:t>
      </w:r>
      <w:r>
        <w:rPr>
          <w:color w:val="231F20"/>
          <w:w w:val="105"/>
        </w:rPr>
        <w:t>Orientación</w:t>
      </w:r>
      <w:r>
        <w:rPr>
          <w:color w:val="231F20"/>
          <w:spacing w:val="-14"/>
          <w:w w:val="105"/>
        </w:rPr>
        <w:t> </w:t>
      </w:r>
      <w:r>
        <w:rPr>
          <w:color w:val="231F20"/>
          <w:spacing w:val="2"/>
          <w:w w:val="105"/>
        </w:rPr>
        <w:t>al</w:t>
      </w:r>
      <w:r>
        <w:rPr>
          <w:color w:val="231F20"/>
          <w:spacing w:val="-14"/>
          <w:w w:val="105"/>
        </w:rPr>
        <w:t> </w:t>
      </w:r>
      <w:r>
        <w:rPr>
          <w:color w:val="231F20"/>
          <w:w w:val="105"/>
        </w:rPr>
        <w:t>Contribuyente.</w:t>
      </w:r>
    </w:p>
    <w:p>
      <w:pPr>
        <w:pStyle w:val="BodyText"/>
        <w:spacing w:before="1"/>
        <w:rPr>
          <w:sz w:val="26"/>
        </w:rPr>
      </w:pPr>
    </w:p>
    <w:p>
      <w:pPr>
        <w:pStyle w:val="BodyText"/>
        <w:spacing w:line="285" w:lineRule="auto"/>
        <w:ind w:left="110" w:right="107"/>
        <w:jc w:val="both"/>
      </w:pPr>
      <w:r>
        <w:rPr>
          <w:color w:val="231F20"/>
          <w:spacing w:val="-6"/>
        </w:rPr>
        <w:t>Ya </w:t>
      </w:r>
      <w:r>
        <w:rPr>
          <w:color w:val="231F20"/>
        </w:rPr>
        <w:t>en </w:t>
      </w:r>
      <w:r>
        <w:rPr>
          <w:color w:val="231F20"/>
          <w:spacing w:val="3"/>
        </w:rPr>
        <w:t>cifras, </w:t>
      </w:r>
      <w:r>
        <w:rPr>
          <w:color w:val="231F20"/>
        </w:rPr>
        <w:t>los </w:t>
      </w:r>
      <w:r>
        <w:rPr>
          <w:color w:val="231F20"/>
          <w:spacing w:val="2"/>
        </w:rPr>
        <w:t>ingresos </w:t>
      </w:r>
      <w:r>
        <w:rPr>
          <w:color w:val="231F20"/>
        </w:rPr>
        <w:t>obtenidos durante el período del </w:t>
      </w:r>
      <w:r>
        <w:rPr>
          <w:color w:val="231F20"/>
          <w:spacing w:val="-4"/>
        </w:rPr>
        <w:t>1° </w:t>
      </w:r>
      <w:r>
        <w:rPr>
          <w:color w:val="231F20"/>
        </w:rPr>
        <w:t>de agosto </w:t>
      </w:r>
      <w:r>
        <w:rPr>
          <w:color w:val="231F20"/>
          <w:spacing w:val="5"/>
        </w:rPr>
        <w:t>2006 </w:t>
      </w:r>
      <w:r>
        <w:rPr>
          <w:color w:val="231F20"/>
          <w:spacing w:val="3"/>
        </w:rPr>
        <w:t>al </w:t>
      </w:r>
      <w:r>
        <w:rPr>
          <w:color w:val="231F20"/>
          <w:spacing w:val="-4"/>
        </w:rPr>
        <w:t>31 </w:t>
      </w:r>
      <w:r>
        <w:rPr>
          <w:color w:val="231F20"/>
        </w:rPr>
        <w:t>de </w:t>
      </w:r>
      <w:r>
        <w:rPr>
          <w:color w:val="231F20"/>
          <w:spacing w:val="2"/>
        </w:rPr>
        <w:t>julio </w:t>
      </w:r>
      <w:r>
        <w:rPr>
          <w:color w:val="231F20"/>
        </w:rPr>
        <w:t>de 2007, </w:t>
      </w:r>
      <w:r>
        <w:rPr>
          <w:color w:val="231F20"/>
          <w:spacing w:val="2"/>
        </w:rPr>
        <w:t>fue </w:t>
      </w:r>
      <w:r>
        <w:rPr>
          <w:color w:val="231F20"/>
        </w:rPr>
        <w:t>de 1 </w:t>
      </w:r>
      <w:r>
        <w:rPr>
          <w:color w:val="231F20"/>
          <w:spacing w:val="4"/>
        </w:rPr>
        <w:t>mil </w:t>
      </w:r>
      <w:r>
        <w:rPr>
          <w:color w:val="231F20"/>
        </w:rPr>
        <w:t>658 </w:t>
      </w:r>
      <w:r>
        <w:rPr>
          <w:color w:val="231F20"/>
          <w:spacing w:val="2"/>
        </w:rPr>
        <w:t>millones </w:t>
      </w:r>
      <w:r>
        <w:rPr>
          <w:color w:val="231F20"/>
        </w:rPr>
        <w:t>de </w:t>
      </w:r>
      <w:r>
        <w:rPr>
          <w:color w:val="231F20"/>
          <w:spacing w:val="2"/>
        </w:rPr>
        <w:t>pesos, </w:t>
      </w:r>
      <w:r>
        <w:rPr>
          <w:color w:val="231F20"/>
        </w:rPr>
        <w:t>de los </w:t>
      </w:r>
      <w:r>
        <w:rPr>
          <w:color w:val="231F20"/>
          <w:spacing w:val="2"/>
        </w:rPr>
        <w:t>cuales </w:t>
      </w:r>
      <w:r>
        <w:rPr>
          <w:color w:val="231F20"/>
        </w:rPr>
        <w:t>560.4 </w:t>
      </w:r>
      <w:r>
        <w:rPr>
          <w:color w:val="231F20"/>
          <w:spacing w:val="2"/>
        </w:rPr>
        <w:t>millones </w:t>
      </w:r>
      <w:r>
        <w:rPr>
          <w:color w:val="231F20"/>
        </w:rPr>
        <w:t>de </w:t>
      </w:r>
      <w:r>
        <w:rPr>
          <w:color w:val="231F20"/>
          <w:spacing w:val="2"/>
        </w:rPr>
        <w:t>pesos </w:t>
      </w:r>
      <w:r>
        <w:rPr>
          <w:color w:val="231F20"/>
        </w:rPr>
        <w:t>corresponden a los </w:t>
      </w:r>
      <w:r>
        <w:rPr>
          <w:color w:val="231F20"/>
          <w:spacing w:val="2"/>
        </w:rPr>
        <w:t>ingresos </w:t>
      </w:r>
      <w:r>
        <w:rPr>
          <w:color w:val="231F20"/>
        </w:rPr>
        <w:t>propios; 330.1 </w:t>
      </w:r>
      <w:r>
        <w:rPr>
          <w:color w:val="231F20"/>
          <w:spacing w:val="2"/>
        </w:rPr>
        <w:t>millones </w:t>
      </w:r>
      <w:r>
        <w:rPr>
          <w:color w:val="231F20"/>
        </w:rPr>
        <w:t>corresponden a </w:t>
      </w:r>
      <w:r>
        <w:rPr>
          <w:color w:val="231F20"/>
          <w:spacing w:val="2"/>
        </w:rPr>
        <w:t>las </w:t>
      </w:r>
      <w:r>
        <w:rPr>
          <w:color w:val="231F20"/>
        </w:rPr>
        <w:t>aportaciones federales del Ramo 33; 135 </w:t>
      </w:r>
      <w:r>
        <w:rPr>
          <w:color w:val="231F20"/>
          <w:spacing w:val="2"/>
        </w:rPr>
        <w:t>millones </w:t>
      </w:r>
      <w:r>
        <w:rPr>
          <w:color w:val="231F20"/>
        </w:rPr>
        <w:t>a </w:t>
      </w:r>
      <w:r>
        <w:rPr>
          <w:color w:val="231F20"/>
          <w:spacing w:val="2"/>
        </w:rPr>
        <w:t>financiamiento; </w:t>
      </w:r>
      <w:r>
        <w:rPr>
          <w:color w:val="231F20"/>
          <w:spacing w:val="3"/>
        </w:rPr>
        <w:t>72.5 </w:t>
      </w:r>
      <w:r>
        <w:rPr>
          <w:color w:val="231F20"/>
          <w:spacing w:val="2"/>
        </w:rPr>
        <w:t>millones </w:t>
      </w:r>
      <w:r>
        <w:rPr>
          <w:color w:val="231F20"/>
        </w:rPr>
        <w:t>a otros </w:t>
      </w:r>
      <w:r>
        <w:rPr>
          <w:color w:val="231F20"/>
          <w:spacing w:val="2"/>
        </w:rPr>
        <w:t>ingresos;    </w:t>
      </w:r>
      <w:r>
        <w:rPr>
          <w:color w:val="231F20"/>
        </w:rPr>
        <w:t>y </w:t>
      </w:r>
      <w:r>
        <w:rPr>
          <w:color w:val="231F20"/>
          <w:spacing w:val="-4"/>
        </w:rPr>
        <w:t>559.9 </w:t>
      </w:r>
      <w:r>
        <w:rPr>
          <w:color w:val="231F20"/>
          <w:spacing w:val="2"/>
        </w:rPr>
        <w:t>millones </w:t>
      </w:r>
      <w:r>
        <w:rPr>
          <w:color w:val="231F20"/>
        </w:rPr>
        <w:t>de pesos son </w:t>
      </w:r>
      <w:r>
        <w:rPr>
          <w:color w:val="231F20"/>
          <w:spacing w:val="2"/>
        </w:rPr>
        <w:t>ingresos </w:t>
      </w:r>
      <w:r>
        <w:rPr>
          <w:color w:val="231F20"/>
        </w:rPr>
        <w:t>derivados del Sistema Nacional de Coordina-  ción </w:t>
      </w:r>
      <w:r>
        <w:rPr>
          <w:color w:val="231F20"/>
          <w:spacing w:val="2"/>
        </w:rPr>
        <w:t>Fiscal </w:t>
      </w:r>
      <w:r>
        <w:rPr>
          <w:color w:val="231F20"/>
        </w:rPr>
        <w:t>y de </w:t>
      </w:r>
      <w:r>
        <w:rPr>
          <w:color w:val="231F20"/>
          <w:spacing w:val="2"/>
        </w:rPr>
        <w:t>las </w:t>
      </w:r>
      <w:r>
        <w:rPr>
          <w:color w:val="231F20"/>
        </w:rPr>
        <w:t>Aportaciones </w:t>
      </w:r>
      <w:r>
        <w:rPr>
          <w:color w:val="231F20"/>
          <w:spacing w:val="2"/>
        </w:rPr>
        <w:t>Estatales. </w:t>
      </w:r>
      <w:r>
        <w:rPr>
          <w:color w:val="231F20"/>
        </w:rPr>
        <w:t>Se superaron en </w:t>
      </w:r>
      <w:r>
        <w:rPr>
          <w:color w:val="231F20"/>
          <w:spacing w:val="2"/>
        </w:rPr>
        <w:t>0.5 millones </w:t>
      </w:r>
      <w:r>
        <w:rPr>
          <w:color w:val="231F20"/>
        </w:rPr>
        <w:t>de pesos </w:t>
      </w:r>
      <w:r>
        <w:rPr>
          <w:color w:val="231F20"/>
          <w:spacing w:val="2"/>
        </w:rPr>
        <w:t>las </w:t>
      </w:r>
      <w:r>
        <w:rPr>
          <w:color w:val="231F20"/>
        </w:rPr>
        <w:t>aportaciones  </w:t>
      </w:r>
      <w:r>
        <w:rPr>
          <w:color w:val="231F20"/>
          <w:spacing w:val="1"/>
        </w:rPr>
        <w:t> </w:t>
      </w:r>
      <w:r>
        <w:rPr>
          <w:color w:val="231F20"/>
        </w:rPr>
        <w:t>federales.</w:t>
      </w:r>
    </w:p>
    <w:p>
      <w:pPr>
        <w:pStyle w:val="BodyText"/>
        <w:spacing w:before="1"/>
        <w:rPr>
          <w:sz w:val="26"/>
        </w:rPr>
      </w:pPr>
    </w:p>
    <w:p>
      <w:pPr>
        <w:pStyle w:val="BodyText"/>
        <w:spacing w:line="285" w:lineRule="auto"/>
        <w:ind w:left="110" w:right="107"/>
        <w:jc w:val="both"/>
      </w:pPr>
      <w:r>
        <w:rPr>
          <w:color w:val="231F20"/>
          <w:w w:val="105"/>
        </w:rPr>
        <w:t>De</w:t>
      </w:r>
      <w:r>
        <w:rPr>
          <w:color w:val="231F20"/>
          <w:spacing w:val="-25"/>
          <w:w w:val="105"/>
        </w:rPr>
        <w:t> </w:t>
      </w:r>
      <w:r>
        <w:rPr>
          <w:color w:val="231F20"/>
          <w:w w:val="105"/>
        </w:rPr>
        <w:t>ahí,</w:t>
      </w:r>
      <w:r>
        <w:rPr>
          <w:color w:val="231F20"/>
          <w:spacing w:val="-25"/>
          <w:w w:val="105"/>
        </w:rPr>
        <w:t> </w:t>
      </w:r>
      <w:r>
        <w:rPr>
          <w:color w:val="231F20"/>
          <w:w w:val="105"/>
        </w:rPr>
        <w:t>se</w:t>
      </w:r>
      <w:r>
        <w:rPr>
          <w:color w:val="231F20"/>
          <w:spacing w:val="-25"/>
          <w:w w:val="105"/>
        </w:rPr>
        <w:t> </w:t>
      </w:r>
      <w:r>
        <w:rPr>
          <w:color w:val="231F20"/>
          <w:w w:val="105"/>
        </w:rPr>
        <w:t>puede</w:t>
      </w:r>
      <w:r>
        <w:rPr>
          <w:color w:val="231F20"/>
          <w:spacing w:val="-25"/>
          <w:w w:val="105"/>
        </w:rPr>
        <w:t> </w:t>
      </w:r>
      <w:r>
        <w:rPr>
          <w:color w:val="231F20"/>
          <w:w w:val="105"/>
        </w:rPr>
        <w:t>observar</w:t>
      </w:r>
      <w:r>
        <w:rPr>
          <w:color w:val="231F20"/>
          <w:spacing w:val="-25"/>
          <w:w w:val="105"/>
        </w:rPr>
        <w:t> </w:t>
      </w:r>
      <w:r>
        <w:rPr>
          <w:color w:val="231F20"/>
          <w:w w:val="105"/>
        </w:rPr>
        <w:t>que</w:t>
      </w:r>
      <w:r>
        <w:rPr>
          <w:color w:val="231F20"/>
          <w:spacing w:val="-25"/>
          <w:w w:val="105"/>
        </w:rPr>
        <w:t> </w:t>
      </w:r>
      <w:r>
        <w:rPr>
          <w:color w:val="231F20"/>
          <w:w w:val="105"/>
        </w:rPr>
        <w:t>la</w:t>
      </w:r>
      <w:r>
        <w:rPr>
          <w:color w:val="231F20"/>
          <w:spacing w:val="-25"/>
          <w:w w:val="105"/>
        </w:rPr>
        <w:t> </w:t>
      </w:r>
      <w:r>
        <w:rPr>
          <w:color w:val="231F20"/>
          <w:w w:val="105"/>
        </w:rPr>
        <w:t>adecuada</w:t>
      </w:r>
      <w:r>
        <w:rPr>
          <w:color w:val="231F20"/>
          <w:spacing w:val="-25"/>
          <w:w w:val="105"/>
        </w:rPr>
        <w:t> </w:t>
      </w:r>
      <w:r>
        <w:rPr>
          <w:color w:val="231F20"/>
          <w:w w:val="105"/>
        </w:rPr>
        <w:t>política</w:t>
      </w:r>
      <w:r>
        <w:rPr>
          <w:color w:val="231F20"/>
          <w:spacing w:val="-25"/>
          <w:w w:val="105"/>
        </w:rPr>
        <w:t> </w:t>
      </w:r>
      <w:r>
        <w:rPr>
          <w:color w:val="231F20"/>
          <w:spacing w:val="2"/>
          <w:w w:val="105"/>
        </w:rPr>
        <w:t>fiscal</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mayor</w:t>
      </w:r>
      <w:r>
        <w:rPr>
          <w:color w:val="231F20"/>
          <w:spacing w:val="-25"/>
          <w:w w:val="105"/>
        </w:rPr>
        <w:t> </w:t>
      </w:r>
      <w:r>
        <w:rPr>
          <w:color w:val="231F20"/>
          <w:w w:val="105"/>
        </w:rPr>
        <w:t>ímpetu</w:t>
      </w:r>
      <w:r>
        <w:rPr>
          <w:color w:val="231F20"/>
          <w:spacing w:val="-25"/>
          <w:w w:val="105"/>
        </w:rPr>
        <w:t> </w:t>
      </w:r>
      <w:r>
        <w:rPr>
          <w:color w:val="231F20"/>
          <w:w w:val="105"/>
        </w:rPr>
        <w:t>recaudatorio, permitió mejorar la obtención de ingresos propios, pues durante el período </w:t>
      </w:r>
      <w:r>
        <w:rPr>
          <w:color w:val="231F20"/>
          <w:spacing w:val="-3"/>
          <w:w w:val="105"/>
        </w:rPr>
        <w:t>compren- </w:t>
      </w:r>
      <w:r>
        <w:rPr>
          <w:color w:val="231F20"/>
          <w:w w:val="105"/>
        </w:rPr>
        <w:t>dido</w:t>
      </w:r>
      <w:r>
        <w:rPr>
          <w:color w:val="231F20"/>
          <w:spacing w:val="-10"/>
          <w:w w:val="105"/>
        </w:rPr>
        <w:t> </w:t>
      </w:r>
      <w:r>
        <w:rPr>
          <w:color w:val="231F20"/>
          <w:w w:val="105"/>
        </w:rPr>
        <w:t>del</w:t>
      </w:r>
      <w:r>
        <w:rPr>
          <w:color w:val="231F20"/>
          <w:spacing w:val="-10"/>
          <w:w w:val="105"/>
        </w:rPr>
        <w:t> </w:t>
      </w:r>
      <w:r>
        <w:rPr>
          <w:color w:val="231F20"/>
          <w:w w:val="105"/>
        </w:rPr>
        <w:t>mes</w:t>
      </w:r>
      <w:r>
        <w:rPr>
          <w:color w:val="231F20"/>
          <w:spacing w:val="-10"/>
          <w:w w:val="105"/>
        </w:rPr>
        <w:t> </w:t>
      </w:r>
      <w:r>
        <w:rPr>
          <w:color w:val="231F20"/>
          <w:w w:val="105"/>
        </w:rPr>
        <w:t>de</w:t>
      </w:r>
      <w:r>
        <w:rPr>
          <w:color w:val="231F20"/>
          <w:spacing w:val="-10"/>
          <w:w w:val="105"/>
        </w:rPr>
        <w:t> </w:t>
      </w:r>
      <w:r>
        <w:rPr>
          <w:color w:val="231F20"/>
          <w:w w:val="105"/>
        </w:rPr>
        <w:t>agosto</w:t>
      </w:r>
      <w:r>
        <w:rPr>
          <w:color w:val="231F20"/>
          <w:spacing w:val="-10"/>
          <w:w w:val="105"/>
        </w:rPr>
        <w:t> </w:t>
      </w:r>
      <w:r>
        <w:rPr>
          <w:color w:val="231F20"/>
          <w:w w:val="105"/>
        </w:rPr>
        <w:t>del</w:t>
      </w:r>
      <w:r>
        <w:rPr>
          <w:color w:val="231F20"/>
          <w:spacing w:val="-10"/>
          <w:w w:val="105"/>
        </w:rPr>
        <w:t> </w:t>
      </w:r>
      <w:r>
        <w:rPr>
          <w:color w:val="231F20"/>
          <w:w w:val="105"/>
        </w:rPr>
        <w:t>año</w:t>
      </w:r>
      <w:r>
        <w:rPr>
          <w:color w:val="231F20"/>
          <w:spacing w:val="-10"/>
          <w:w w:val="105"/>
        </w:rPr>
        <w:t> </w:t>
      </w:r>
      <w:r>
        <w:rPr>
          <w:color w:val="231F20"/>
          <w:spacing w:val="3"/>
          <w:w w:val="105"/>
        </w:rPr>
        <w:t>2006</w:t>
      </w:r>
      <w:r>
        <w:rPr>
          <w:color w:val="231F20"/>
          <w:spacing w:val="-10"/>
          <w:w w:val="105"/>
        </w:rPr>
        <w:t> </w:t>
      </w:r>
      <w:r>
        <w:rPr>
          <w:color w:val="231F20"/>
          <w:spacing w:val="2"/>
          <w:w w:val="105"/>
        </w:rPr>
        <w:t>al</w:t>
      </w:r>
      <w:r>
        <w:rPr>
          <w:color w:val="231F20"/>
          <w:spacing w:val="-10"/>
          <w:w w:val="105"/>
        </w:rPr>
        <w:t> </w:t>
      </w:r>
      <w:r>
        <w:rPr>
          <w:color w:val="231F20"/>
          <w:w w:val="105"/>
        </w:rPr>
        <w:t>mes</w:t>
      </w:r>
      <w:r>
        <w:rPr>
          <w:color w:val="231F20"/>
          <w:spacing w:val="-10"/>
          <w:w w:val="105"/>
        </w:rPr>
        <w:t> </w:t>
      </w:r>
      <w:r>
        <w:rPr>
          <w:color w:val="231F20"/>
          <w:w w:val="105"/>
        </w:rPr>
        <w:t>de</w:t>
      </w:r>
      <w:r>
        <w:rPr>
          <w:color w:val="231F20"/>
          <w:spacing w:val="-10"/>
          <w:w w:val="105"/>
        </w:rPr>
        <w:t> </w:t>
      </w:r>
      <w:r>
        <w:rPr>
          <w:color w:val="231F20"/>
          <w:w w:val="105"/>
        </w:rPr>
        <w:t>julio</w:t>
      </w:r>
      <w:r>
        <w:rPr>
          <w:color w:val="231F20"/>
          <w:spacing w:val="-10"/>
          <w:w w:val="105"/>
        </w:rPr>
        <w:t> </w:t>
      </w:r>
      <w:r>
        <w:rPr>
          <w:color w:val="231F20"/>
          <w:w w:val="105"/>
        </w:rPr>
        <w:t>del</w:t>
      </w:r>
      <w:r>
        <w:rPr>
          <w:color w:val="231F20"/>
          <w:spacing w:val="-10"/>
          <w:w w:val="105"/>
        </w:rPr>
        <w:t> </w:t>
      </w:r>
      <w:r>
        <w:rPr>
          <w:color w:val="231F20"/>
          <w:spacing w:val="-3"/>
          <w:w w:val="105"/>
        </w:rPr>
        <w:t>2007,</w:t>
      </w:r>
      <w:r>
        <w:rPr>
          <w:color w:val="231F20"/>
          <w:spacing w:val="-10"/>
          <w:w w:val="105"/>
        </w:rPr>
        <w:t> </w:t>
      </w:r>
      <w:r>
        <w:rPr>
          <w:color w:val="231F20"/>
          <w:w w:val="105"/>
        </w:rPr>
        <w:t>se</w:t>
      </w:r>
      <w:r>
        <w:rPr>
          <w:color w:val="231F20"/>
          <w:spacing w:val="-10"/>
          <w:w w:val="105"/>
        </w:rPr>
        <w:t> </w:t>
      </w:r>
      <w:r>
        <w:rPr>
          <w:color w:val="231F20"/>
          <w:w w:val="105"/>
        </w:rPr>
        <w:t>tuvo</w:t>
      </w:r>
      <w:r>
        <w:rPr>
          <w:color w:val="231F20"/>
          <w:spacing w:val="-10"/>
          <w:w w:val="105"/>
        </w:rPr>
        <w:t> </w:t>
      </w:r>
      <w:r>
        <w:rPr>
          <w:color w:val="231F20"/>
          <w:w w:val="105"/>
        </w:rPr>
        <w:t>un</w:t>
      </w:r>
      <w:r>
        <w:rPr>
          <w:color w:val="231F20"/>
          <w:spacing w:val="-10"/>
          <w:w w:val="105"/>
        </w:rPr>
        <w:t> </w:t>
      </w:r>
      <w:r>
        <w:rPr>
          <w:color w:val="231F20"/>
          <w:w w:val="105"/>
        </w:rPr>
        <w:t>incremento</w:t>
      </w:r>
      <w:r>
        <w:rPr>
          <w:color w:val="231F20"/>
          <w:spacing w:val="-10"/>
          <w:w w:val="105"/>
        </w:rPr>
        <w:t> </w:t>
      </w:r>
      <w:r>
        <w:rPr>
          <w:color w:val="231F20"/>
          <w:w w:val="105"/>
        </w:rPr>
        <w:t>de </w:t>
      </w:r>
      <w:r>
        <w:rPr>
          <w:color w:val="231F20"/>
          <w:spacing w:val="-3"/>
          <w:w w:val="105"/>
        </w:rPr>
        <w:t>1.013%,</w:t>
      </w:r>
      <w:r>
        <w:rPr>
          <w:color w:val="231F20"/>
          <w:spacing w:val="-26"/>
          <w:w w:val="105"/>
        </w:rPr>
        <w:t> </w:t>
      </w:r>
      <w:r>
        <w:rPr>
          <w:color w:val="231F20"/>
          <w:w w:val="105"/>
        </w:rPr>
        <w:t>que</w:t>
      </w:r>
      <w:r>
        <w:rPr>
          <w:color w:val="231F20"/>
          <w:spacing w:val="-26"/>
          <w:w w:val="105"/>
        </w:rPr>
        <w:t> </w:t>
      </w:r>
      <w:r>
        <w:rPr>
          <w:color w:val="231F20"/>
          <w:w w:val="105"/>
        </w:rPr>
        <w:t>equivale</w:t>
      </w:r>
      <w:r>
        <w:rPr>
          <w:color w:val="231F20"/>
          <w:spacing w:val="-26"/>
          <w:w w:val="105"/>
        </w:rPr>
        <w:t> </w:t>
      </w:r>
      <w:r>
        <w:rPr>
          <w:color w:val="231F20"/>
          <w:w w:val="105"/>
        </w:rPr>
        <w:t>a</w:t>
      </w:r>
      <w:r>
        <w:rPr>
          <w:color w:val="231F20"/>
          <w:spacing w:val="-26"/>
          <w:w w:val="105"/>
        </w:rPr>
        <w:t> </w:t>
      </w:r>
      <w:r>
        <w:rPr>
          <w:color w:val="231F20"/>
          <w:spacing w:val="-6"/>
          <w:w w:val="105"/>
        </w:rPr>
        <w:t>7.3</w:t>
      </w:r>
      <w:r>
        <w:rPr>
          <w:color w:val="231F20"/>
          <w:spacing w:val="-26"/>
          <w:w w:val="105"/>
        </w:rPr>
        <w:t> </w:t>
      </w:r>
      <w:r>
        <w:rPr>
          <w:color w:val="231F20"/>
          <w:w w:val="105"/>
        </w:rPr>
        <w:t>millones</w:t>
      </w:r>
      <w:r>
        <w:rPr>
          <w:color w:val="231F20"/>
          <w:spacing w:val="-26"/>
          <w:w w:val="105"/>
        </w:rPr>
        <w:t> </w:t>
      </w:r>
      <w:r>
        <w:rPr>
          <w:color w:val="231F20"/>
          <w:w w:val="105"/>
        </w:rPr>
        <w:t>de</w:t>
      </w:r>
      <w:r>
        <w:rPr>
          <w:color w:val="231F20"/>
          <w:spacing w:val="-26"/>
          <w:w w:val="105"/>
        </w:rPr>
        <w:t> </w:t>
      </w:r>
      <w:r>
        <w:rPr>
          <w:color w:val="231F20"/>
          <w:w w:val="105"/>
        </w:rPr>
        <w:t>pesos</w:t>
      </w:r>
      <w:r>
        <w:rPr>
          <w:color w:val="231F20"/>
          <w:spacing w:val="-26"/>
          <w:w w:val="105"/>
        </w:rPr>
        <w:t> </w:t>
      </w:r>
      <w:r>
        <w:rPr>
          <w:color w:val="231F20"/>
          <w:w w:val="105"/>
        </w:rPr>
        <w:t>más</w:t>
      </w:r>
      <w:r>
        <w:rPr>
          <w:color w:val="231F20"/>
          <w:spacing w:val="-26"/>
          <w:w w:val="105"/>
        </w:rPr>
        <w:t> </w:t>
      </w:r>
      <w:r>
        <w:rPr>
          <w:color w:val="231F20"/>
          <w:w w:val="105"/>
        </w:rPr>
        <w:t>de</w:t>
      </w:r>
      <w:r>
        <w:rPr>
          <w:color w:val="231F20"/>
          <w:spacing w:val="-26"/>
          <w:w w:val="105"/>
        </w:rPr>
        <w:t> </w:t>
      </w:r>
      <w:r>
        <w:rPr>
          <w:color w:val="231F20"/>
          <w:w w:val="105"/>
        </w:rPr>
        <w:t>lo</w:t>
      </w:r>
      <w:r>
        <w:rPr>
          <w:color w:val="231F20"/>
          <w:spacing w:val="-26"/>
          <w:w w:val="105"/>
        </w:rPr>
        <w:t> </w:t>
      </w:r>
      <w:r>
        <w:rPr>
          <w:color w:val="231F20"/>
          <w:w w:val="105"/>
        </w:rPr>
        <w:t>recaudado</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período</w:t>
      </w:r>
      <w:r>
        <w:rPr>
          <w:color w:val="231F20"/>
          <w:spacing w:val="-26"/>
          <w:w w:val="105"/>
        </w:rPr>
        <w:t> </w:t>
      </w:r>
      <w:r>
        <w:rPr>
          <w:color w:val="231F20"/>
          <w:w w:val="105"/>
        </w:rPr>
        <w:t>de</w:t>
      </w:r>
      <w:r>
        <w:rPr>
          <w:color w:val="231F20"/>
          <w:spacing w:val="-26"/>
          <w:w w:val="105"/>
        </w:rPr>
        <w:t> </w:t>
      </w:r>
      <w:r>
        <w:rPr>
          <w:color w:val="231F20"/>
          <w:w w:val="105"/>
        </w:rPr>
        <w:t>agosto de</w:t>
      </w:r>
      <w:r>
        <w:rPr>
          <w:color w:val="231F20"/>
          <w:spacing w:val="-22"/>
          <w:w w:val="105"/>
        </w:rPr>
        <w:t> </w:t>
      </w:r>
      <w:r>
        <w:rPr>
          <w:color w:val="231F20"/>
          <w:spacing w:val="3"/>
          <w:w w:val="105"/>
        </w:rPr>
        <w:t>2005</w:t>
      </w:r>
      <w:r>
        <w:rPr>
          <w:color w:val="231F20"/>
          <w:spacing w:val="-22"/>
          <w:w w:val="105"/>
        </w:rPr>
        <w:t> </w:t>
      </w:r>
      <w:r>
        <w:rPr>
          <w:color w:val="231F20"/>
          <w:w w:val="105"/>
        </w:rPr>
        <w:t>a</w:t>
      </w:r>
      <w:r>
        <w:rPr>
          <w:color w:val="231F20"/>
          <w:spacing w:val="-22"/>
          <w:w w:val="105"/>
        </w:rPr>
        <w:t> </w:t>
      </w:r>
      <w:r>
        <w:rPr>
          <w:color w:val="231F20"/>
          <w:w w:val="105"/>
        </w:rPr>
        <w:t>julio</w:t>
      </w:r>
      <w:r>
        <w:rPr>
          <w:color w:val="231F20"/>
          <w:spacing w:val="-22"/>
          <w:w w:val="105"/>
        </w:rPr>
        <w:t> </w:t>
      </w:r>
      <w:r>
        <w:rPr>
          <w:color w:val="231F20"/>
          <w:w w:val="105"/>
        </w:rPr>
        <w:t>de</w:t>
      </w:r>
      <w:r>
        <w:rPr>
          <w:color w:val="231F20"/>
          <w:spacing w:val="-22"/>
          <w:w w:val="105"/>
        </w:rPr>
        <w:t> </w:t>
      </w:r>
      <w:r>
        <w:rPr>
          <w:color w:val="231F20"/>
          <w:spacing w:val="3"/>
          <w:w w:val="105"/>
        </w:rPr>
        <w:t>2006.</w:t>
      </w:r>
      <w:r>
        <w:rPr>
          <w:color w:val="231F20"/>
          <w:spacing w:val="-22"/>
          <w:w w:val="105"/>
        </w:rPr>
        <w:t> </w:t>
      </w:r>
      <w:r>
        <w:rPr>
          <w:color w:val="231F20"/>
          <w:w w:val="105"/>
        </w:rPr>
        <w:t>Dentro</w:t>
      </w:r>
      <w:r>
        <w:rPr>
          <w:color w:val="231F20"/>
          <w:spacing w:val="-22"/>
          <w:w w:val="105"/>
        </w:rPr>
        <w:t> </w:t>
      </w:r>
      <w:r>
        <w:rPr>
          <w:color w:val="231F20"/>
          <w:w w:val="105"/>
        </w:rPr>
        <w:t>del</w:t>
      </w:r>
      <w:r>
        <w:rPr>
          <w:color w:val="231F20"/>
          <w:spacing w:val="-22"/>
          <w:w w:val="105"/>
        </w:rPr>
        <w:t> </w:t>
      </w:r>
      <w:r>
        <w:rPr>
          <w:color w:val="231F20"/>
          <w:w w:val="105"/>
        </w:rPr>
        <w:t>apartado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Ingresos</w:t>
      </w:r>
      <w:r>
        <w:rPr>
          <w:color w:val="231F20"/>
          <w:spacing w:val="-22"/>
          <w:w w:val="105"/>
        </w:rPr>
        <w:t> </w:t>
      </w:r>
      <w:r>
        <w:rPr>
          <w:color w:val="231F20"/>
          <w:w w:val="105"/>
        </w:rPr>
        <w:t>Propios</w:t>
      </w:r>
      <w:r>
        <w:rPr>
          <w:color w:val="231F20"/>
          <w:spacing w:val="-22"/>
          <w:w w:val="105"/>
        </w:rPr>
        <w:t> </w:t>
      </w:r>
      <w:r>
        <w:rPr>
          <w:color w:val="231F20"/>
          <w:w w:val="105"/>
        </w:rPr>
        <w:t>destaca</w:t>
      </w:r>
      <w:r>
        <w:rPr>
          <w:color w:val="231F20"/>
          <w:spacing w:val="-22"/>
          <w:w w:val="105"/>
        </w:rPr>
        <w:t> </w:t>
      </w:r>
      <w:r>
        <w:rPr>
          <w:color w:val="231F20"/>
          <w:w w:val="105"/>
        </w:rPr>
        <w:t>el</w:t>
      </w:r>
      <w:r>
        <w:rPr>
          <w:color w:val="231F20"/>
          <w:spacing w:val="-22"/>
          <w:w w:val="105"/>
        </w:rPr>
        <w:t> </w:t>
      </w:r>
      <w:r>
        <w:rPr>
          <w:color w:val="231F20"/>
          <w:w w:val="105"/>
        </w:rPr>
        <w:t>Impuesto Predial, el cual tuvo una recaudación de 266.4 millones de pesos, cifra superior en 23 millones</w:t>
      </w:r>
      <w:r>
        <w:rPr>
          <w:color w:val="231F20"/>
          <w:spacing w:val="-8"/>
          <w:w w:val="105"/>
        </w:rPr>
        <w:t> </w:t>
      </w:r>
      <w:r>
        <w:rPr>
          <w:color w:val="231F20"/>
          <w:w w:val="105"/>
        </w:rPr>
        <w:t>de</w:t>
      </w:r>
      <w:r>
        <w:rPr>
          <w:color w:val="231F20"/>
          <w:spacing w:val="-8"/>
          <w:w w:val="105"/>
        </w:rPr>
        <w:t> </w:t>
      </w:r>
      <w:r>
        <w:rPr>
          <w:color w:val="231F20"/>
          <w:w w:val="105"/>
        </w:rPr>
        <w:t>pesos</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obtenida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mismo</w:t>
      </w:r>
      <w:r>
        <w:rPr>
          <w:color w:val="231F20"/>
          <w:spacing w:val="-8"/>
          <w:w w:val="105"/>
        </w:rPr>
        <w:t> </w:t>
      </w:r>
      <w:r>
        <w:rPr>
          <w:color w:val="231F20"/>
          <w:w w:val="105"/>
        </w:rPr>
        <w:t>período</w:t>
      </w:r>
      <w:r>
        <w:rPr>
          <w:color w:val="231F20"/>
          <w:spacing w:val="-8"/>
          <w:w w:val="105"/>
        </w:rPr>
        <w:t> </w:t>
      </w:r>
      <w:r>
        <w:rPr>
          <w:color w:val="231F20"/>
          <w:w w:val="105"/>
        </w:rPr>
        <w:t>anterior.</w:t>
      </w:r>
      <w:r>
        <w:rPr>
          <w:color w:val="231F20"/>
          <w:spacing w:val="-8"/>
          <w:w w:val="105"/>
        </w:rPr>
        <w:t> </w:t>
      </w:r>
      <w:r>
        <w:rPr>
          <w:color w:val="231F20"/>
          <w:w w:val="105"/>
        </w:rPr>
        <w:t>Una</w:t>
      </w:r>
      <w:r>
        <w:rPr>
          <w:color w:val="231F20"/>
          <w:spacing w:val="-8"/>
          <w:w w:val="105"/>
        </w:rPr>
        <w:t> </w:t>
      </w:r>
      <w:r>
        <w:rPr>
          <w:color w:val="231F20"/>
          <w:w w:val="105"/>
        </w:rPr>
        <w:t>cifra</w:t>
      </w:r>
      <w:r>
        <w:rPr>
          <w:color w:val="231F20"/>
          <w:spacing w:val="-8"/>
          <w:w w:val="105"/>
        </w:rPr>
        <w:t> </w:t>
      </w:r>
      <w:r>
        <w:rPr>
          <w:color w:val="231F20"/>
          <w:w w:val="105"/>
        </w:rPr>
        <w:t>anterior</w:t>
      </w:r>
      <w:r>
        <w:rPr>
          <w:color w:val="231F20"/>
          <w:spacing w:val="-8"/>
          <w:w w:val="105"/>
        </w:rPr>
        <w:t> </w:t>
      </w:r>
      <w:r>
        <w:rPr>
          <w:color w:val="231F20"/>
          <w:w w:val="105"/>
        </w:rPr>
        <w:t>es</w:t>
      </w:r>
      <w:r>
        <w:rPr>
          <w:color w:val="231F20"/>
          <w:spacing w:val="-8"/>
          <w:w w:val="105"/>
        </w:rPr>
        <w:t> </w:t>
      </w:r>
      <w:r>
        <w:rPr>
          <w:color w:val="231F20"/>
          <w:w w:val="105"/>
        </w:rPr>
        <w:t>que </w:t>
      </w:r>
      <w:r>
        <w:rPr>
          <w:color w:val="231F20"/>
          <w:spacing w:val="2"/>
          <w:w w:val="105"/>
        </w:rPr>
        <w:t>al</w:t>
      </w:r>
      <w:r>
        <w:rPr>
          <w:color w:val="231F20"/>
          <w:spacing w:val="-11"/>
          <w:w w:val="105"/>
        </w:rPr>
        <w:t> </w:t>
      </w:r>
      <w:r>
        <w:rPr>
          <w:color w:val="231F20"/>
          <w:w w:val="105"/>
        </w:rPr>
        <w:t>mes</w:t>
      </w:r>
      <w:r>
        <w:rPr>
          <w:color w:val="231F20"/>
          <w:spacing w:val="-11"/>
          <w:w w:val="105"/>
        </w:rPr>
        <w:t> </w:t>
      </w:r>
      <w:r>
        <w:rPr>
          <w:color w:val="231F20"/>
          <w:w w:val="105"/>
        </w:rPr>
        <w:t>de</w:t>
      </w:r>
      <w:r>
        <w:rPr>
          <w:color w:val="231F20"/>
          <w:spacing w:val="-11"/>
          <w:w w:val="105"/>
        </w:rPr>
        <w:t> </w:t>
      </w:r>
      <w:r>
        <w:rPr>
          <w:color w:val="231F20"/>
          <w:w w:val="105"/>
        </w:rPr>
        <w:t>mayo</w:t>
      </w:r>
      <w:r>
        <w:rPr>
          <w:color w:val="231F20"/>
          <w:spacing w:val="-11"/>
          <w:w w:val="105"/>
        </w:rPr>
        <w:t> </w:t>
      </w:r>
      <w:r>
        <w:rPr>
          <w:color w:val="231F20"/>
          <w:w w:val="105"/>
        </w:rPr>
        <w:t>del</w:t>
      </w:r>
      <w:r>
        <w:rPr>
          <w:color w:val="231F20"/>
          <w:spacing w:val="-11"/>
          <w:w w:val="105"/>
        </w:rPr>
        <w:t> </w:t>
      </w:r>
      <w:r>
        <w:rPr>
          <w:color w:val="231F20"/>
          <w:spacing w:val="-3"/>
          <w:w w:val="105"/>
        </w:rPr>
        <w:t>2007,</w:t>
      </w:r>
      <w:r>
        <w:rPr>
          <w:color w:val="231F20"/>
          <w:spacing w:val="-11"/>
          <w:w w:val="105"/>
        </w:rPr>
        <w:t> </w:t>
      </w:r>
      <w:r>
        <w:rPr>
          <w:color w:val="231F20"/>
          <w:spacing w:val="-6"/>
          <w:w w:val="105"/>
        </w:rPr>
        <w:t>118</w:t>
      </w:r>
      <w:r>
        <w:rPr>
          <w:color w:val="231F20"/>
          <w:spacing w:val="-11"/>
          <w:w w:val="105"/>
        </w:rPr>
        <w:t> </w:t>
      </w:r>
      <w:r>
        <w:rPr>
          <w:color w:val="231F20"/>
          <w:spacing w:val="2"/>
          <w:w w:val="105"/>
        </w:rPr>
        <w:t>mil</w:t>
      </w:r>
      <w:r>
        <w:rPr>
          <w:color w:val="231F20"/>
          <w:spacing w:val="-11"/>
          <w:w w:val="105"/>
        </w:rPr>
        <w:t> </w:t>
      </w:r>
      <w:r>
        <w:rPr>
          <w:color w:val="231F20"/>
          <w:spacing w:val="-4"/>
          <w:w w:val="105"/>
        </w:rPr>
        <w:t>581</w:t>
      </w:r>
      <w:r>
        <w:rPr>
          <w:color w:val="231F20"/>
          <w:spacing w:val="-11"/>
          <w:w w:val="105"/>
        </w:rPr>
        <w:t> </w:t>
      </w:r>
      <w:r>
        <w:rPr>
          <w:color w:val="231F20"/>
          <w:w w:val="105"/>
        </w:rPr>
        <w:t>contribuyentes</w:t>
      </w:r>
      <w:r>
        <w:rPr>
          <w:color w:val="231F20"/>
          <w:spacing w:val="-11"/>
          <w:w w:val="105"/>
        </w:rPr>
        <w:t> </w:t>
      </w:r>
      <w:r>
        <w:rPr>
          <w:color w:val="231F20"/>
          <w:w w:val="105"/>
        </w:rPr>
        <w:t>cubrieron</w:t>
      </w:r>
      <w:r>
        <w:rPr>
          <w:color w:val="231F20"/>
          <w:spacing w:val="-11"/>
          <w:w w:val="105"/>
        </w:rPr>
        <w:t> </w:t>
      </w:r>
      <w:r>
        <w:rPr>
          <w:color w:val="231F20"/>
          <w:w w:val="105"/>
        </w:rPr>
        <w:t>su</w:t>
      </w:r>
      <w:r>
        <w:rPr>
          <w:color w:val="231F20"/>
          <w:spacing w:val="-11"/>
          <w:w w:val="105"/>
        </w:rPr>
        <w:t> </w:t>
      </w:r>
      <w:r>
        <w:rPr>
          <w:color w:val="231F20"/>
          <w:w w:val="105"/>
        </w:rPr>
        <w:t>impuesto</w:t>
      </w:r>
      <w:r>
        <w:rPr>
          <w:color w:val="231F20"/>
          <w:spacing w:val="-11"/>
          <w:w w:val="105"/>
        </w:rPr>
        <w:t> </w:t>
      </w:r>
      <w:r>
        <w:rPr>
          <w:color w:val="231F20"/>
          <w:w w:val="105"/>
        </w:rPr>
        <w:t>predial,</w:t>
      </w:r>
      <w:r>
        <w:rPr>
          <w:color w:val="231F20"/>
          <w:spacing w:val="-11"/>
          <w:w w:val="105"/>
        </w:rPr>
        <w:t> </w:t>
      </w:r>
      <w:r>
        <w:rPr>
          <w:color w:val="231F20"/>
          <w:w w:val="105"/>
        </w:rPr>
        <w:t>de un</w:t>
      </w:r>
      <w:r>
        <w:rPr>
          <w:color w:val="231F20"/>
          <w:spacing w:val="-10"/>
          <w:w w:val="105"/>
        </w:rPr>
        <w:t> </w:t>
      </w:r>
      <w:r>
        <w:rPr>
          <w:color w:val="231F20"/>
          <w:w w:val="105"/>
        </w:rPr>
        <w:t>total</w:t>
      </w:r>
      <w:r>
        <w:rPr>
          <w:color w:val="231F20"/>
          <w:spacing w:val="-10"/>
          <w:w w:val="105"/>
        </w:rPr>
        <w:t> </w:t>
      </w:r>
      <w:r>
        <w:rPr>
          <w:color w:val="231F20"/>
          <w:w w:val="105"/>
        </w:rPr>
        <w:t>de</w:t>
      </w:r>
      <w:r>
        <w:rPr>
          <w:color w:val="231F20"/>
          <w:spacing w:val="-10"/>
          <w:w w:val="105"/>
        </w:rPr>
        <w:t> </w:t>
      </w:r>
      <w:r>
        <w:rPr>
          <w:color w:val="231F20"/>
          <w:spacing w:val="-5"/>
          <w:w w:val="105"/>
        </w:rPr>
        <w:t>151</w:t>
      </w:r>
      <w:r>
        <w:rPr>
          <w:color w:val="231F20"/>
          <w:spacing w:val="-10"/>
          <w:w w:val="105"/>
        </w:rPr>
        <w:t> </w:t>
      </w:r>
      <w:r>
        <w:rPr>
          <w:color w:val="231F20"/>
          <w:spacing w:val="2"/>
          <w:w w:val="105"/>
        </w:rPr>
        <w:t>mil</w:t>
      </w:r>
      <w:r>
        <w:rPr>
          <w:color w:val="231F20"/>
          <w:spacing w:val="-10"/>
          <w:w w:val="105"/>
        </w:rPr>
        <w:t> </w:t>
      </w:r>
      <w:r>
        <w:rPr>
          <w:color w:val="231F20"/>
          <w:spacing w:val="-3"/>
          <w:w w:val="105"/>
        </w:rPr>
        <w:t>522</w:t>
      </w:r>
      <w:r>
        <w:rPr>
          <w:color w:val="231F20"/>
          <w:spacing w:val="-10"/>
          <w:w w:val="105"/>
        </w:rPr>
        <w:t> </w:t>
      </w:r>
      <w:r>
        <w:rPr>
          <w:color w:val="231F20"/>
          <w:w w:val="105"/>
        </w:rPr>
        <w:t>registrados.</w:t>
      </w:r>
    </w:p>
    <w:p>
      <w:pPr>
        <w:pStyle w:val="BodyText"/>
        <w:spacing w:before="1"/>
        <w:rPr>
          <w:sz w:val="26"/>
        </w:rPr>
      </w:pPr>
    </w:p>
    <w:p>
      <w:pPr>
        <w:pStyle w:val="BodyText"/>
        <w:spacing w:line="285" w:lineRule="auto"/>
        <w:ind w:left="110" w:right="108"/>
        <w:jc w:val="both"/>
      </w:pPr>
      <w:r>
        <w:rPr>
          <w:color w:val="231F20"/>
          <w:w w:val="105"/>
        </w:rPr>
        <w:t>En el segundo año las cifras fueron la siguientes: durante el período del 1º de agosto 2007 al 31 de julio de 2008, la suma de los ingresos ascendió a 2 mil 150 millones de pesos, de los cuales 605 millones fueron Ingresos Propios; 169.3 millones de Apor- taciones Federales del Ramo 33; 182.5 millones de Financiamiento; 155.8 millones de Otros Ingresos; y 733.6 millones de pesos de ingresos derivados del Sistema Na- cional de Coordinación Fiscal y de las Aportaciones Estatales.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En</w:t>
      </w:r>
      <w:r>
        <w:rPr>
          <w:color w:val="231F20"/>
          <w:spacing w:val="-27"/>
          <w:w w:val="105"/>
        </w:rPr>
        <w:t> </w:t>
      </w:r>
      <w:r>
        <w:rPr>
          <w:color w:val="231F20"/>
          <w:spacing w:val="-3"/>
          <w:w w:val="105"/>
        </w:rPr>
        <w:t>torno</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spacing w:val="-4"/>
          <w:w w:val="105"/>
        </w:rPr>
        <w:t>educación</w:t>
      </w:r>
      <w:r>
        <w:rPr>
          <w:color w:val="231F20"/>
          <w:spacing w:val="-27"/>
          <w:w w:val="105"/>
        </w:rPr>
        <w:t> </w:t>
      </w:r>
      <w:r>
        <w:rPr>
          <w:color w:val="231F20"/>
          <w:spacing w:val="-3"/>
          <w:w w:val="105"/>
        </w:rPr>
        <w:t>podemos</w:t>
      </w:r>
      <w:r>
        <w:rPr>
          <w:color w:val="231F20"/>
          <w:spacing w:val="-27"/>
          <w:w w:val="105"/>
        </w:rPr>
        <w:t> </w:t>
      </w:r>
      <w:r>
        <w:rPr>
          <w:color w:val="231F20"/>
          <w:w w:val="105"/>
        </w:rPr>
        <w:t>observar</w:t>
      </w:r>
      <w:r>
        <w:rPr>
          <w:color w:val="231F20"/>
          <w:spacing w:val="-27"/>
          <w:w w:val="105"/>
        </w:rPr>
        <w:t> </w:t>
      </w:r>
      <w:r>
        <w:rPr>
          <w:color w:val="231F20"/>
          <w:spacing w:val="-3"/>
          <w:w w:val="105"/>
        </w:rPr>
        <w:t>que</w:t>
      </w:r>
      <w:r>
        <w:rPr>
          <w:color w:val="231F20"/>
          <w:spacing w:val="-27"/>
          <w:w w:val="105"/>
        </w:rPr>
        <w:t> </w:t>
      </w:r>
      <w:r>
        <w:rPr>
          <w:color w:val="231F20"/>
          <w:w w:val="105"/>
        </w:rPr>
        <w:t>la</w:t>
      </w:r>
      <w:r>
        <w:rPr>
          <w:color w:val="231F20"/>
          <w:spacing w:val="-27"/>
          <w:w w:val="105"/>
        </w:rPr>
        <w:t> </w:t>
      </w:r>
      <w:r>
        <w:rPr>
          <w:color w:val="231F20"/>
          <w:spacing w:val="-3"/>
          <w:w w:val="105"/>
        </w:rPr>
        <w:t>gestión</w:t>
      </w:r>
      <w:r>
        <w:rPr>
          <w:color w:val="231F20"/>
          <w:spacing w:val="-27"/>
          <w:w w:val="105"/>
        </w:rPr>
        <w:t> </w:t>
      </w:r>
      <w:r>
        <w:rPr>
          <w:color w:val="231F20"/>
          <w:w w:val="105"/>
        </w:rPr>
        <w:t>actual</w:t>
      </w:r>
      <w:r>
        <w:rPr>
          <w:color w:val="231F20"/>
          <w:spacing w:val="-27"/>
          <w:w w:val="105"/>
        </w:rPr>
        <w:t> </w:t>
      </w:r>
      <w:r>
        <w:rPr>
          <w:color w:val="231F20"/>
          <w:spacing w:val="-3"/>
          <w:w w:val="105"/>
        </w:rPr>
        <w:t>continuó</w:t>
      </w:r>
      <w:r>
        <w:rPr>
          <w:color w:val="231F20"/>
          <w:spacing w:val="-27"/>
          <w:w w:val="105"/>
        </w:rPr>
        <w:t> </w:t>
      </w:r>
      <w:r>
        <w:rPr>
          <w:color w:val="231F20"/>
          <w:spacing w:val="-3"/>
          <w:w w:val="105"/>
        </w:rPr>
        <w:t>con</w:t>
      </w:r>
      <w:r>
        <w:rPr>
          <w:color w:val="231F20"/>
          <w:spacing w:val="-27"/>
          <w:w w:val="105"/>
        </w:rPr>
        <w:t> </w:t>
      </w:r>
      <w:r>
        <w:rPr>
          <w:color w:val="231F20"/>
          <w:w w:val="105"/>
        </w:rPr>
        <w:t>el</w:t>
      </w:r>
      <w:r>
        <w:rPr>
          <w:color w:val="231F20"/>
          <w:spacing w:val="-27"/>
          <w:w w:val="105"/>
        </w:rPr>
        <w:t> </w:t>
      </w:r>
      <w:r>
        <w:rPr>
          <w:color w:val="231F20"/>
          <w:w w:val="105"/>
        </w:rPr>
        <w:t>“Programa Inglés</w:t>
      </w:r>
      <w:r>
        <w:rPr>
          <w:color w:val="231F20"/>
          <w:spacing w:val="-8"/>
          <w:w w:val="105"/>
        </w:rPr>
        <w:t> </w:t>
      </w:r>
      <w:r>
        <w:rPr>
          <w:color w:val="231F20"/>
          <w:w w:val="105"/>
        </w:rPr>
        <w:t>para</w:t>
      </w:r>
      <w:r>
        <w:rPr>
          <w:color w:val="231F20"/>
          <w:spacing w:val="-8"/>
          <w:w w:val="105"/>
        </w:rPr>
        <w:t> </w:t>
      </w:r>
      <w:r>
        <w:rPr>
          <w:color w:val="231F20"/>
          <w:spacing w:val="-3"/>
          <w:w w:val="105"/>
        </w:rPr>
        <w:t>Nuestros</w:t>
      </w:r>
      <w:r>
        <w:rPr>
          <w:color w:val="231F20"/>
          <w:spacing w:val="-8"/>
          <w:w w:val="105"/>
        </w:rPr>
        <w:t> </w:t>
      </w:r>
      <w:r>
        <w:rPr>
          <w:color w:val="231F20"/>
          <w:spacing w:val="-6"/>
          <w:w w:val="105"/>
        </w:rPr>
        <w:t>Hijos”,</w:t>
      </w:r>
      <w:r>
        <w:rPr>
          <w:color w:val="231F20"/>
          <w:spacing w:val="-8"/>
          <w:w w:val="105"/>
        </w:rPr>
        <w:t> </w:t>
      </w:r>
      <w:r>
        <w:rPr>
          <w:color w:val="231F20"/>
          <w:w w:val="105"/>
        </w:rPr>
        <w:t>para</w:t>
      </w:r>
      <w:r>
        <w:rPr>
          <w:color w:val="231F20"/>
          <w:spacing w:val="-8"/>
          <w:w w:val="105"/>
        </w:rPr>
        <w:t> </w:t>
      </w:r>
      <w:r>
        <w:rPr>
          <w:color w:val="231F20"/>
          <w:w w:val="105"/>
        </w:rPr>
        <w:t>ello</w:t>
      </w:r>
      <w:r>
        <w:rPr>
          <w:color w:val="231F20"/>
          <w:spacing w:val="-8"/>
          <w:w w:val="105"/>
        </w:rPr>
        <w:t> </w:t>
      </w:r>
      <w:r>
        <w:rPr>
          <w:color w:val="231F20"/>
          <w:w w:val="105"/>
        </w:rPr>
        <w:t>el</w:t>
      </w:r>
      <w:r>
        <w:rPr>
          <w:color w:val="231F20"/>
          <w:spacing w:val="-8"/>
          <w:w w:val="105"/>
        </w:rPr>
        <w:t> </w:t>
      </w:r>
      <w:r>
        <w:rPr>
          <w:color w:val="231F20"/>
          <w:spacing w:val="-3"/>
          <w:w w:val="105"/>
        </w:rPr>
        <w:t>municipio</w:t>
      </w:r>
      <w:r>
        <w:rPr>
          <w:color w:val="231F20"/>
          <w:spacing w:val="-8"/>
          <w:w w:val="105"/>
        </w:rPr>
        <w:t> </w:t>
      </w:r>
      <w:r>
        <w:rPr>
          <w:color w:val="231F20"/>
          <w:spacing w:val="-3"/>
          <w:w w:val="105"/>
        </w:rPr>
        <w:t>contaba</w:t>
      </w:r>
      <w:r>
        <w:rPr>
          <w:color w:val="231F20"/>
          <w:spacing w:val="-8"/>
          <w:w w:val="105"/>
        </w:rPr>
        <w:t> </w:t>
      </w:r>
      <w:r>
        <w:rPr>
          <w:color w:val="231F20"/>
          <w:spacing w:val="-3"/>
          <w:w w:val="105"/>
        </w:rPr>
        <w:t>con</w:t>
      </w:r>
      <w:r>
        <w:rPr>
          <w:color w:val="231F20"/>
          <w:spacing w:val="-8"/>
          <w:w w:val="105"/>
        </w:rPr>
        <w:t> </w:t>
      </w:r>
      <w:r>
        <w:rPr>
          <w:color w:val="231F20"/>
          <w:w w:val="105"/>
        </w:rPr>
        <w:t>80</w:t>
      </w:r>
      <w:r>
        <w:rPr>
          <w:color w:val="231F20"/>
          <w:spacing w:val="-8"/>
          <w:w w:val="105"/>
        </w:rPr>
        <w:t> </w:t>
      </w:r>
      <w:r>
        <w:rPr>
          <w:color w:val="231F20"/>
          <w:spacing w:val="-4"/>
          <w:w w:val="105"/>
        </w:rPr>
        <w:t>profesores</w:t>
      </w:r>
      <w:r>
        <w:rPr>
          <w:color w:val="231F20"/>
          <w:spacing w:val="-8"/>
          <w:w w:val="105"/>
        </w:rPr>
        <w:t> </w:t>
      </w:r>
      <w:r>
        <w:rPr>
          <w:color w:val="231F20"/>
          <w:spacing w:val="-3"/>
          <w:w w:val="105"/>
        </w:rPr>
        <w:t>que</w:t>
      </w:r>
      <w:r>
        <w:rPr>
          <w:color w:val="231F20"/>
          <w:spacing w:val="-8"/>
          <w:w w:val="105"/>
        </w:rPr>
        <w:t> </w:t>
      </w:r>
      <w:r>
        <w:rPr>
          <w:color w:val="231F20"/>
          <w:w w:val="105"/>
        </w:rPr>
        <w:t>daban servicio</w:t>
      </w:r>
      <w:r>
        <w:rPr>
          <w:color w:val="231F20"/>
          <w:spacing w:val="-15"/>
          <w:w w:val="105"/>
        </w:rPr>
        <w:t> </w:t>
      </w:r>
      <w:r>
        <w:rPr>
          <w:color w:val="231F20"/>
          <w:w w:val="105"/>
        </w:rPr>
        <w:t>en</w:t>
      </w:r>
      <w:r>
        <w:rPr>
          <w:color w:val="231F20"/>
          <w:spacing w:val="-15"/>
          <w:w w:val="105"/>
        </w:rPr>
        <w:t> </w:t>
      </w:r>
      <w:r>
        <w:rPr>
          <w:color w:val="231F20"/>
          <w:spacing w:val="-3"/>
          <w:w w:val="105"/>
        </w:rPr>
        <w:t>237</w:t>
      </w:r>
      <w:r>
        <w:rPr>
          <w:color w:val="231F20"/>
          <w:spacing w:val="-15"/>
          <w:w w:val="105"/>
        </w:rPr>
        <w:t> </w:t>
      </w:r>
      <w:r>
        <w:rPr>
          <w:color w:val="231F20"/>
          <w:w w:val="105"/>
        </w:rPr>
        <w:t>primarias</w:t>
      </w:r>
      <w:r>
        <w:rPr>
          <w:color w:val="231F20"/>
          <w:spacing w:val="-15"/>
          <w:w w:val="105"/>
        </w:rPr>
        <w:t> </w:t>
      </w:r>
      <w:r>
        <w:rPr>
          <w:color w:val="231F20"/>
          <w:w w:val="105"/>
        </w:rPr>
        <w:t>inscritas,</w:t>
      </w:r>
      <w:r>
        <w:rPr>
          <w:color w:val="231F20"/>
          <w:spacing w:val="-15"/>
          <w:w w:val="105"/>
        </w:rPr>
        <w:t> </w:t>
      </w:r>
      <w:r>
        <w:rPr>
          <w:color w:val="231F20"/>
          <w:spacing w:val="-3"/>
          <w:w w:val="105"/>
        </w:rPr>
        <w:t>beneficiando</w:t>
      </w:r>
      <w:r>
        <w:rPr>
          <w:color w:val="231F20"/>
          <w:spacing w:val="-15"/>
          <w:w w:val="105"/>
        </w:rPr>
        <w:t> </w:t>
      </w:r>
      <w:r>
        <w:rPr>
          <w:color w:val="231F20"/>
          <w:w w:val="105"/>
        </w:rPr>
        <w:t>a</w:t>
      </w:r>
      <w:r>
        <w:rPr>
          <w:color w:val="231F20"/>
          <w:spacing w:val="-15"/>
          <w:w w:val="105"/>
        </w:rPr>
        <w:t> </w:t>
      </w:r>
      <w:r>
        <w:rPr>
          <w:color w:val="231F20"/>
          <w:spacing w:val="-6"/>
          <w:w w:val="105"/>
        </w:rPr>
        <w:t>10</w:t>
      </w:r>
      <w:r>
        <w:rPr>
          <w:color w:val="231F20"/>
          <w:spacing w:val="-15"/>
          <w:w w:val="105"/>
        </w:rPr>
        <w:t> </w:t>
      </w:r>
      <w:r>
        <w:rPr>
          <w:color w:val="231F20"/>
          <w:w w:val="105"/>
        </w:rPr>
        <w:t>mil</w:t>
      </w:r>
      <w:r>
        <w:rPr>
          <w:color w:val="231F20"/>
          <w:spacing w:val="-15"/>
          <w:w w:val="105"/>
        </w:rPr>
        <w:t> </w:t>
      </w:r>
      <w:r>
        <w:rPr>
          <w:color w:val="231F20"/>
          <w:w w:val="105"/>
        </w:rPr>
        <w:t>500</w:t>
      </w:r>
      <w:r>
        <w:rPr>
          <w:color w:val="231F20"/>
          <w:spacing w:val="-15"/>
          <w:w w:val="105"/>
        </w:rPr>
        <w:t> </w:t>
      </w:r>
      <w:r>
        <w:rPr>
          <w:color w:val="231F20"/>
          <w:w w:val="105"/>
        </w:rPr>
        <w:t>alumnos.</w:t>
      </w:r>
      <w:r>
        <w:rPr>
          <w:color w:val="231F20"/>
          <w:spacing w:val="-15"/>
          <w:w w:val="105"/>
        </w:rPr>
        <w:t> </w:t>
      </w:r>
      <w:r>
        <w:rPr>
          <w:color w:val="231F20"/>
          <w:spacing w:val="-3"/>
          <w:w w:val="105"/>
        </w:rPr>
        <w:t>Además,</w:t>
      </w:r>
      <w:r>
        <w:rPr>
          <w:color w:val="231F20"/>
          <w:spacing w:val="-15"/>
          <w:w w:val="105"/>
        </w:rPr>
        <w:t> </w:t>
      </w:r>
      <w:r>
        <w:rPr>
          <w:color w:val="231F20"/>
          <w:w w:val="105"/>
        </w:rPr>
        <w:t>se</w:t>
      </w:r>
      <w:r>
        <w:rPr>
          <w:color w:val="231F20"/>
          <w:spacing w:val="-15"/>
          <w:w w:val="105"/>
        </w:rPr>
        <w:t> </w:t>
      </w:r>
      <w:r>
        <w:rPr>
          <w:color w:val="231F20"/>
          <w:w w:val="105"/>
        </w:rPr>
        <w:t>hizo </w:t>
      </w:r>
      <w:r>
        <w:rPr>
          <w:color w:val="231F20"/>
          <w:spacing w:val="-3"/>
          <w:w w:val="105"/>
        </w:rPr>
        <w:t>entrega </w:t>
      </w:r>
      <w:r>
        <w:rPr>
          <w:color w:val="231F20"/>
          <w:w w:val="105"/>
        </w:rPr>
        <w:t>de un </w:t>
      </w:r>
      <w:r>
        <w:rPr>
          <w:color w:val="231F20"/>
          <w:spacing w:val="-3"/>
          <w:w w:val="105"/>
        </w:rPr>
        <w:t>libro </w:t>
      </w:r>
      <w:r>
        <w:rPr>
          <w:color w:val="231F20"/>
          <w:w w:val="105"/>
        </w:rPr>
        <w:t>de texto de inglés, </w:t>
      </w:r>
      <w:r>
        <w:rPr>
          <w:color w:val="231F20"/>
          <w:spacing w:val="-3"/>
          <w:w w:val="105"/>
        </w:rPr>
        <w:t>exclusivamente diseñado </w:t>
      </w:r>
      <w:r>
        <w:rPr>
          <w:color w:val="231F20"/>
          <w:w w:val="105"/>
        </w:rPr>
        <w:t>para el </w:t>
      </w:r>
      <w:r>
        <w:rPr>
          <w:color w:val="231F20"/>
          <w:spacing w:val="-4"/>
          <w:w w:val="105"/>
        </w:rPr>
        <w:t>Municipio, </w:t>
      </w:r>
      <w:r>
        <w:rPr>
          <w:color w:val="231F20"/>
          <w:w w:val="105"/>
        </w:rPr>
        <w:t>a </w:t>
      </w:r>
      <w:r>
        <w:rPr>
          <w:color w:val="231F20"/>
          <w:spacing w:val="-4"/>
          <w:w w:val="105"/>
        </w:rPr>
        <w:t>los </w:t>
      </w:r>
      <w:r>
        <w:rPr>
          <w:color w:val="231F20"/>
          <w:w w:val="105"/>
        </w:rPr>
        <w:t>alumnos</w:t>
      </w:r>
      <w:r>
        <w:rPr>
          <w:color w:val="231F20"/>
          <w:spacing w:val="-21"/>
          <w:w w:val="105"/>
        </w:rPr>
        <w:t> </w:t>
      </w:r>
      <w:r>
        <w:rPr>
          <w:color w:val="231F20"/>
          <w:spacing w:val="-3"/>
          <w:w w:val="105"/>
        </w:rPr>
        <w:t>beneficiados</w:t>
      </w:r>
      <w:r>
        <w:rPr>
          <w:color w:val="231F20"/>
          <w:spacing w:val="-21"/>
          <w:w w:val="105"/>
        </w:rPr>
        <w:t> </w:t>
      </w:r>
      <w:r>
        <w:rPr>
          <w:color w:val="231F20"/>
          <w:spacing w:val="-3"/>
          <w:w w:val="105"/>
        </w:rPr>
        <w:t>del</w:t>
      </w:r>
      <w:r>
        <w:rPr>
          <w:color w:val="231F20"/>
          <w:spacing w:val="-21"/>
          <w:w w:val="105"/>
        </w:rPr>
        <w:t> </w:t>
      </w:r>
      <w:r>
        <w:rPr>
          <w:color w:val="231F20"/>
          <w:w w:val="105"/>
        </w:rPr>
        <w:t>programa,</w:t>
      </w:r>
      <w:r>
        <w:rPr>
          <w:color w:val="231F20"/>
          <w:spacing w:val="-21"/>
          <w:w w:val="105"/>
        </w:rPr>
        <w:t> </w:t>
      </w:r>
      <w:r>
        <w:rPr>
          <w:color w:val="231F20"/>
          <w:w w:val="105"/>
        </w:rPr>
        <w:t>mediante</w:t>
      </w:r>
      <w:r>
        <w:rPr>
          <w:color w:val="231F20"/>
          <w:spacing w:val="-21"/>
          <w:w w:val="105"/>
        </w:rPr>
        <w:t> </w:t>
      </w:r>
      <w:r>
        <w:rPr>
          <w:color w:val="231F20"/>
          <w:w w:val="105"/>
        </w:rPr>
        <w:t>una</w:t>
      </w:r>
      <w:r>
        <w:rPr>
          <w:color w:val="231F20"/>
          <w:spacing w:val="-21"/>
          <w:w w:val="105"/>
        </w:rPr>
        <w:t> </w:t>
      </w:r>
      <w:r>
        <w:rPr>
          <w:color w:val="231F20"/>
          <w:spacing w:val="-4"/>
          <w:w w:val="105"/>
        </w:rPr>
        <w:t>inversión</w:t>
      </w:r>
      <w:r>
        <w:rPr>
          <w:color w:val="231F20"/>
          <w:spacing w:val="-21"/>
          <w:w w:val="105"/>
        </w:rPr>
        <w:t> </w:t>
      </w:r>
      <w:r>
        <w:rPr>
          <w:color w:val="231F20"/>
          <w:w w:val="105"/>
        </w:rPr>
        <w:t>de</w:t>
      </w:r>
      <w:r>
        <w:rPr>
          <w:color w:val="231F20"/>
          <w:spacing w:val="-21"/>
          <w:w w:val="105"/>
        </w:rPr>
        <w:t> </w:t>
      </w:r>
      <w:r>
        <w:rPr>
          <w:color w:val="231F20"/>
          <w:w w:val="105"/>
        </w:rPr>
        <w:t>1</w:t>
      </w:r>
      <w:r>
        <w:rPr>
          <w:color w:val="231F20"/>
          <w:spacing w:val="-21"/>
          <w:w w:val="105"/>
        </w:rPr>
        <w:t> </w:t>
      </w:r>
      <w:r>
        <w:rPr>
          <w:color w:val="231F20"/>
          <w:w w:val="105"/>
        </w:rPr>
        <w:t>millón</w:t>
      </w:r>
      <w:r>
        <w:rPr>
          <w:color w:val="231F20"/>
          <w:spacing w:val="-21"/>
          <w:w w:val="105"/>
        </w:rPr>
        <w:t> </w:t>
      </w:r>
      <w:r>
        <w:rPr>
          <w:color w:val="231F20"/>
          <w:spacing w:val="2"/>
          <w:w w:val="105"/>
        </w:rPr>
        <w:t>400</w:t>
      </w:r>
      <w:r>
        <w:rPr>
          <w:color w:val="231F20"/>
          <w:spacing w:val="-21"/>
          <w:w w:val="105"/>
        </w:rPr>
        <w:t> </w:t>
      </w:r>
      <w:r>
        <w:rPr>
          <w:color w:val="231F20"/>
          <w:w w:val="105"/>
        </w:rPr>
        <w:t>mil</w:t>
      </w:r>
      <w:r>
        <w:rPr>
          <w:color w:val="231F20"/>
          <w:spacing w:val="-21"/>
          <w:w w:val="105"/>
        </w:rPr>
        <w:t> </w:t>
      </w:r>
      <w:r>
        <w:rPr>
          <w:color w:val="231F20"/>
          <w:w w:val="105"/>
        </w:rPr>
        <w:t>pesos.</w:t>
      </w:r>
    </w:p>
    <w:p>
      <w:pPr>
        <w:pStyle w:val="BodyText"/>
        <w:spacing w:before="1"/>
        <w:rPr>
          <w:sz w:val="26"/>
        </w:rPr>
      </w:pPr>
    </w:p>
    <w:p>
      <w:pPr>
        <w:pStyle w:val="BodyText"/>
        <w:spacing w:line="285" w:lineRule="auto"/>
        <w:ind w:left="110" w:right="107"/>
        <w:jc w:val="both"/>
      </w:pPr>
      <w:r>
        <w:rPr>
          <w:color w:val="231F20"/>
          <w:w w:val="105"/>
        </w:rPr>
        <w:t>El “Programa Escuelas Interactivas: Educación Global” fue retomado por esta admi- nistración.</w:t>
      </w:r>
      <w:r>
        <w:rPr>
          <w:color w:val="231F20"/>
          <w:spacing w:val="-7"/>
          <w:w w:val="105"/>
        </w:rPr>
        <w:t> </w:t>
      </w:r>
      <w:r>
        <w:rPr>
          <w:color w:val="231F20"/>
          <w:w w:val="105"/>
        </w:rPr>
        <w:t>Este</w:t>
      </w:r>
      <w:r>
        <w:rPr>
          <w:color w:val="231F20"/>
          <w:spacing w:val="-7"/>
          <w:w w:val="105"/>
        </w:rPr>
        <w:t> </w:t>
      </w:r>
      <w:r>
        <w:rPr>
          <w:color w:val="231F20"/>
          <w:w w:val="105"/>
        </w:rPr>
        <w:t>programa</w:t>
      </w:r>
      <w:r>
        <w:rPr>
          <w:color w:val="231F20"/>
          <w:spacing w:val="-7"/>
          <w:w w:val="105"/>
        </w:rPr>
        <w:t> </w:t>
      </w:r>
      <w:r>
        <w:rPr>
          <w:color w:val="231F20"/>
          <w:w w:val="105"/>
        </w:rPr>
        <w:t>consistió</w:t>
      </w:r>
      <w:r>
        <w:rPr>
          <w:color w:val="231F20"/>
          <w:spacing w:val="-7"/>
          <w:w w:val="105"/>
        </w:rPr>
        <w:t> </w:t>
      </w:r>
      <w:r>
        <w:rPr>
          <w:color w:val="231F20"/>
          <w:w w:val="105"/>
        </w:rPr>
        <w:t>en</w:t>
      </w:r>
      <w:r>
        <w:rPr>
          <w:color w:val="231F20"/>
          <w:spacing w:val="-7"/>
          <w:w w:val="105"/>
        </w:rPr>
        <w:t> </w:t>
      </w:r>
      <w:r>
        <w:rPr>
          <w:color w:val="231F20"/>
          <w:w w:val="105"/>
        </w:rPr>
        <w:t>dotar</w:t>
      </w:r>
      <w:r>
        <w:rPr>
          <w:color w:val="231F20"/>
          <w:spacing w:val="-7"/>
          <w:w w:val="105"/>
        </w:rPr>
        <w:t> </w:t>
      </w:r>
      <w:r>
        <w:rPr>
          <w:color w:val="231F20"/>
          <w:w w:val="105"/>
        </w:rPr>
        <w:t>de</w:t>
      </w:r>
      <w:r>
        <w:rPr>
          <w:color w:val="231F20"/>
          <w:spacing w:val="-7"/>
          <w:w w:val="105"/>
        </w:rPr>
        <w:t> </w:t>
      </w:r>
      <w:r>
        <w:rPr>
          <w:color w:val="231F20"/>
          <w:w w:val="105"/>
        </w:rPr>
        <w:t>tecnología</w:t>
      </w:r>
      <w:r>
        <w:rPr>
          <w:color w:val="231F20"/>
          <w:spacing w:val="-7"/>
          <w:w w:val="105"/>
        </w:rPr>
        <w:t> </w:t>
      </w:r>
      <w:r>
        <w:rPr>
          <w:color w:val="231F20"/>
          <w:w w:val="105"/>
        </w:rPr>
        <w:t>de</w:t>
      </w:r>
      <w:r>
        <w:rPr>
          <w:color w:val="231F20"/>
          <w:spacing w:val="-7"/>
          <w:w w:val="105"/>
        </w:rPr>
        <w:t> </w:t>
      </w:r>
      <w:r>
        <w:rPr>
          <w:color w:val="231F20"/>
          <w:w w:val="105"/>
        </w:rPr>
        <w:t>punta</w:t>
      </w:r>
      <w:r>
        <w:rPr>
          <w:color w:val="231F20"/>
          <w:spacing w:val="-7"/>
          <w:w w:val="105"/>
        </w:rPr>
        <w:t> </w:t>
      </w:r>
      <w:r>
        <w:rPr>
          <w:color w:val="231F20"/>
          <w:w w:val="105"/>
        </w:rPr>
        <w:t>a</w:t>
      </w:r>
      <w:r>
        <w:rPr>
          <w:color w:val="231F20"/>
          <w:spacing w:val="-7"/>
          <w:w w:val="105"/>
        </w:rPr>
        <w:t> </w:t>
      </w:r>
      <w:r>
        <w:rPr>
          <w:color w:val="231F20"/>
          <w:w w:val="105"/>
        </w:rPr>
        <w:t>escuelas</w:t>
      </w:r>
      <w:r>
        <w:rPr>
          <w:color w:val="231F20"/>
          <w:spacing w:val="-7"/>
          <w:w w:val="105"/>
        </w:rPr>
        <w:t> </w:t>
      </w:r>
      <w:r>
        <w:rPr>
          <w:color w:val="231F20"/>
          <w:w w:val="105"/>
        </w:rPr>
        <w:t>de</w:t>
      </w:r>
      <w:r>
        <w:rPr>
          <w:color w:val="231F20"/>
          <w:spacing w:val="-7"/>
          <w:w w:val="105"/>
        </w:rPr>
        <w:t> </w:t>
      </w:r>
      <w:r>
        <w:rPr>
          <w:color w:val="231F20"/>
          <w:w w:val="105"/>
        </w:rPr>
        <w:t>nivel preescolar,</w:t>
      </w:r>
      <w:r>
        <w:rPr>
          <w:color w:val="231F20"/>
          <w:spacing w:val="-20"/>
          <w:w w:val="105"/>
        </w:rPr>
        <w:t> </w:t>
      </w:r>
      <w:r>
        <w:rPr>
          <w:color w:val="231F20"/>
          <w:w w:val="105"/>
        </w:rPr>
        <w:t>primaria,</w:t>
      </w:r>
      <w:r>
        <w:rPr>
          <w:color w:val="231F20"/>
          <w:spacing w:val="-20"/>
          <w:w w:val="105"/>
        </w:rPr>
        <w:t> </w:t>
      </w:r>
      <w:r>
        <w:rPr>
          <w:color w:val="231F20"/>
          <w:w w:val="105"/>
        </w:rPr>
        <w:t>secundaria,</w:t>
      </w:r>
      <w:r>
        <w:rPr>
          <w:color w:val="231F20"/>
          <w:spacing w:val="-20"/>
          <w:w w:val="105"/>
        </w:rPr>
        <w:t> </w:t>
      </w:r>
      <w:r>
        <w:rPr>
          <w:color w:val="231F20"/>
          <w:w w:val="105"/>
        </w:rPr>
        <w:t>nivel</w:t>
      </w:r>
      <w:r>
        <w:rPr>
          <w:color w:val="231F20"/>
          <w:spacing w:val="-20"/>
          <w:w w:val="105"/>
        </w:rPr>
        <w:t> </w:t>
      </w:r>
      <w:r>
        <w:rPr>
          <w:color w:val="231F20"/>
          <w:w w:val="105"/>
        </w:rPr>
        <w:t>medio</w:t>
      </w:r>
      <w:r>
        <w:rPr>
          <w:color w:val="231F20"/>
          <w:spacing w:val="-20"/>
          <w:w w:val="105"/>
        </w:rPr>
        <w:t> </w:t>
      </w:r>
      <w:r>
        <w:rPr>
          <w:color w:val="231F20"/>
          <w:w w:val="105"/>
        </w:rPr>
        <w:t>superior</w:t>
      </w:r>
      <w:r>
        <w:rPr>
          <w:color w:val="231F20"/>
          <w:spacing w:val="-20"/>
          <w:w w:val="105"/>
        </w:rPr>
        <w:t> </w:t>
      </w:r>
      <w:r>
        <w:rPr>
          <w:color w:val="231F20"/>
          <w:w w:val="105"/>
        </w:rPr>
        <w:t>y</w:t>
      </w:r>
      <w:r>
        <w:rPr>
          <w:color w:val="231F20"/>
          <w:spacing w:val="-20"/>
          <w:w w:val="105"/>
        </w:rPr>
        <w:t> </w:t>
      </w:r>
      <w:r>
        <w:rPr>
          <w:color w:val="231F20"/>
          <w:w w:val="105"/>
        </w:rPr>
        <w:t>escuelas</w:t>
      </w:r>
      <w:r>
        <w:rPr>
          <w:color w:val="231F20"/>
          <w:spacing w:val="-20"/>
          <w:w w:val="105"/>
        </w:rPr>
        <w:t> </w:t>
      </w:r>
      <w:r>
        <w:rPr>
          <w:color w:val="231F20"/>
          <w:w w:val="105"/>
        </w:rPr>
        <w:t>de</w:t>
      </w:r>
      <w:r>
        <w:rPr>
          <w:color w:val="231F20"/>
          <w:spacing w:val="-20"/>
          <w:w w:val="105"/>
        </w:rPr>
        <w:t> </w:t>
      </w:r>
      <w:r>
        <w:rPr>
          <w:color w:val="231F20"/>
          <w:w w:val="105"/>
        </w:rPr>
        <w:t>educación</w:t>
      </w:r>
      <w:r>
        <w:rPr>
          <w:color w:val="231F20"/>
          <w:spacing w:val="-20"/>
          <w:w w:val="105"/>
        </w:rPr>
        <w:t> </w:t>
      </w:r>
      <w:r>
        <w:rPr>
          <w:color w:val="231F20"/>
          <w:w w:val="105"/>
        </w:rPr>
        <w:t>especial, instalando</w:t>
      </w:r>
      <w:r>
        <w:rPr>
          <w:color w:val="231F20"/>
          <w:spacing w:val="-5"/>
          <w:w w:val="105"/>
        </w:rPr>
        <w:t> </w:t>
      </w:r>
      <w:r>
        <w:rPr>
          <w:color w:val="231F20"/>
          <w:w w:val="105"/>
        </w:rPr>
        <w:t>en</w:t>
      </w:r>
      <w:r>
        <w:rPr>
          <w:color w:val="231F20"/>
          <w:spacing w:val="-5"/>
          <w:w w:val="105"/>
        </w:rPr>
        <w:t> </w:t>
      </w:r>
      <w:r>
        <w:rPr>
          <w:color w:val="231F20"/>
          <w:spacing w:val="-2"/>
          <w:w w:val="105"/>
        </w:rPr>
        <w:t>201</w:t>
      </w:r>
      <w:r>
        <w:rPr>
          <w:color w:val="231F20"/>
          <w:spacing w:val="-5"/>
          <w:w w:val="105"/>
        </w:rPr>
        <w:t> </w:t>
      </w:r>
      <w:r>
        <w:rPr>
          <w:color w:val="231F20"/>
          <w:w w:val="105"/>
        </w:rPr>
        <w:t>aulas</w:t>
      </w:r>
      <w:r>
        <w:rPr>
          <w:color w:val="231F20"/>
          <w:spacing w:val="-5"/>
          <w:w w:val="105"/>
        </w:rPr>
        <w:t> </w:t>
      </w:r>
      <w:r>
        <w:rPr>
          <w:color w:val="231F20"/>
          <w:w w:val="105"/>
        </w:rPr>
        <w:t>el</w:t>
      </w:r>
      <w:r>
        <w:rPr>
          <w:color w:val="231F20"/>
          <w:spacing w:val="-5"/>
          <w:w w:val="105"/>
        </w:rPr>
        <w:t> </w:t>
      </w:r>
      <w:r>
        <w:rPr>
          <w:color w:val="231F20"/>
          <w:w w:val="105"/>
        </w:rPr>
        <w:t>pizarrón</w:t>
      </w:r>
      <w:r>
        <w:rPr>
          <w:color w:val="231F20"/>
          <w:spacing w:val="-5"/>
          <w:w w:val="105"/>
        </w:rPr>
        <w:t> </w:t>
      </w:r>
      <w:r>
        <w:rPr>
          <w:color w:val="231F20"/>
          <w:w w:val="105"/>
        </w:rPr>
        <w:t>electrónico,</w:t>
      </w:r>
      <w:r>
        <w:rPr>
          <w:color w:val="231F20"/>
          <w:spacing w:val="-5"/>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el</w:t>
      </w:r>
      <w:r>
        <w:rPr>
          <w:color w:val="231F20"/>
          <w:spacing w:val="-5"/>
          <w:w w:val="105"/>
        </w:rPr>
        <w:t> </w:t>
      </w:r>
      <w:r>
        <w:rPr>
          <w:color w:val="231F20"/>
          <w:w w:val="105"/>
        </w:rPr>
        <w:t>servicio</w:t>
      </w:r>
      <w:r>
        <w:rPr>
          <w:color w:val="231F20"/>
          <w:spacing w:val="-5"/>
          <w:w w:val="105"/>
        </w:rPr>
        <w:t> </w:t>
      </w:r>
      <w:r>
        <w:rPr>
          <w:color w:val="231F20"/>
          <w:w w:val="105"/>
        </w:rPr>
        <w:t>de</w:t>
      </w:r>
      <w:r>
        <w:rPr>
          <w:color w:val="231F20"/>
          <w:spacing w:val="-5"/>
          <w:w w:val="105"/>
        </w:rPr>
        <w:t> </w:t>
      </w:r>
      <w:r>
        <w:rPr>
          <w:color w:val="231F20"/>
          <w:w w:val="105"/>
        </w:rPr>
        <w:t>internet</w:t>
      </w:r>
      <w:r>
        <w:rPr>
          <w:color w:val="231F20"/>
          <w:spacing w:val="-5"/>
          <w:w w:val="105"/>
        </w:rPr>
        <w:t> </w:t>
      </w:r>
      <w:r>
        <w:rPr>
          <w:color w:val="231F20"/>
          <w:w w:val="105"/>
        </w:rPr>
        <w:t>en</w:t>
      </w:r>
      <w:r>
        <w:rPr>
          <w:color w:val="231F20"/>
          <w:spacing w:val="-5"/>
          <w:w w:val="105"/>
        </w:rPr>
        <w:t> </w:t>
      </w:r>
      <w:r>
        <w:rPr>
          <w:color w:val="231F20"/>
          <w:w w:val="105"/>
        </w:rPr>
        <w:t>233 primarias y 65</w:t>
      </w:r>
      <w:r>
        <w:rPr>
          <w:color w:val="231F20"/>
          <w:spacing w:val="-32"/>
          <w:w w:val="105"/>
        </w:rPr>
        <w:t> </w:t>
      </w:r>
      <w:r>
        <w:rPr>
          <w:color w:val="231F20"/>
          <w:w w:val="105"/>
        </w:rPr>
        <w:t>secundarias.</w:t>
      </w:r>
    </w:p>
    <w:p>
      <w:pPr>
        <w:pStyle w:val="BodyText"/>
        <w:spacing w:before="1"/>
        <w:rPr>
          <w:sz w:val="26"/>
        </w:rPr>
      </w:pPr>
    </w:p>
    <w:p>
      <w:pPr>
        <w:pStyle w:val="BodyText"/>
        <w:spacing w:line="285" w:lineRule="auto"/>
        <w:ind w:left="110" w:right="108"/>
        <w:jc w:val="both"/>
      </w:pPr>
      <w:r>
        <w:rPr>
          <w:color w:val="231F20"/>
        </w:rPr>
        <w:t>En el aspecto de la educación, el municipio realizó obras y acciones en las escuelas públi- cas en torno a Construcción de 5 aulas con especificaciones tipo CAPFCE31, y obras en 71 planteles, 56 de la zona poniente y 15 de zona oriente, lo cual benefició a 44 mil 287 alumnos, con una inversión de 20 millones 168 mil 714 pesos. Las obras tenían como objetivo el mejoramiento de las instalaciones   educativas.</w:t>
      </w:r>
    </w:p>
    <w:p>
      <w:pPr>
        <w:pStyle w:val="BodyText"/>
        <w:spacing w:before="1"/>
        <w:rPr>
          <w:sz w:val="26"/>
        </w:rPr>
      </w:pPr>
    </w:p>
    <w:p>
      <w:pPr>
        <w:pStyle w:val="BodyText"/>
        <w:spacing w:line="285" w:lineRule="auto"/>
        <w:ind w:left="110" w:right="108"/>
        <w:jc w:val="both"/>
      </w:pPr>
      <w:r>
        <w:rPr>
          <w:color w:val="231F20"/>
          <w:w w:val="105"/>
        </w:rPr>
        <w:t>Durante</w:t>
      </w:r>
      <w:r>
        <w:rPr>
          <w:color w:val="231F20"/>
          <w:spacing w:val="-16"/>
          <w:w w:val="105"/>
        </w:rPr>
        <w:t> </w:t>
      </w:r>
      <w:r>
        <w:rPr>
          <w:color w:val="231F20"/>
          <w:w w:val="105"/>
        </w:rPr>
        <w:t>el</w:t>
      </w:r>
      <w:r>
        <w:rPr>
          <w:color w:val="231F20"/>
          <w:spacing w:val="-16"/>
          <w:w w:val="105"/>
        </w:rPr>
        <w:t> </w:t>
      </w:r>
      <w:r>
        <w:rPr>
          <w:color w:val="231F20"/>
          <w:w w:val="105"/>
        </w:rPr>
        <w:t>segundo</w:t>
      </w:r>
      <w:r>
        <w:rPr>
          <w:color w:val="231F20"/>
          <w:spacing w:val="-16"/>
          <w:w w:val="105"/>
        </w:rPr>
        <w:t> </w:t>
      </w:r>
      <w:r>
        <w:rPr>
          <w:color w:val="231F20"/>
          <w:w w:val="105"/>
        </w:rPr>
        <w:t>año</w:t>
      </w:r>
      <w:r>
        <w:rPr>
          <w:color w:val="231F20"/>
          <w:spacing w:val="-16"/>
          <w:w w:val="105"/>
        </w:rPr>
        <w:t> </w:t>
      </w:r>
      <w:r>
        <w:rPr>
          <w:color w:val="231F20"/>
          <w:w w:val="105"/>
        </w:rPr>
        <w:t>de</w:t>
      </w:r>
      <w:r>
        <w:rPr>
          <w:color w:val="231F20"/>
          <w:spacing w:val="-16"/>
          <w:w w:val="105"/>
        </w:rPr>
        <w:t> </w:t>
      </w:r>
      <w:r>
        <w:rPr>
          <w:color w:val="231F20"/>
          <w:w w:val="105"/>
        </w:rPr>
        <w:t>gestión</w:t>
      </w:r>
      <w:r>
        <w:rPr>
          <w:color w:val="231F20"/>
          <w:spacing w:val="-16"/>
          <w:w w:val="105"/>
        </w:rPr>
        <w:t> </w:t>
      </w:r>
      <w:r>
        <w:rPr>
          <w:color w:val="231F20"/>
          <w:w w:val="105"/>
        </w:rPr>
        <w:t>se</w:t>
      </w:r>
      <w:r>
        <w:rPr>
          <w:color w:val="231F20"/>
          <w:spacing w:val="-16"/>
          <w:w w:val="105"/>
        </w:rPr>
        <w:t> </w:t>
      </w:r>
      <w:r>
        <w:rPr>
          <w:color w:val="231F20"/>
          <w:w w:val="105"/>
        </w:rPr>
        <w:t>continuó</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Programa</w:t>
      </w:r>
      <w:r>
        <w:rPr>
          <w:color w:val="231F20"/>
          <w:spacing w:val="-16"/>
          <w:w w:val="105"/>
        </w:rPr>
        <w:t> </w:t>
      </w:r>
      <w:r>
        <w:rPr>
          <w:color w:val="231F20"/>
          <w:w w:val="105"/>
        </w:rPr>
        <w:t>de</w:t>
      </w:r>
      <w:r>
        <w:rPr>
          <w:color w:val="231F20"/>
          <w:spacing w:val="-16"/>
          <w:w w:val="105"/>
        </w:rPr>
        <w:t> </w:t>
      </w:r>
      <w:r>
        <w:rPr>
          <w:color w:val="231F20"/>
          <w:w w:val="105"/>
        </w:rPr>
        <w:t>Inglés</w:t>
      </w:r>
      <w:r>
        <w:rPr>
          <w:color w:val="231F20"/>
          <w:spacing w:val="-16"/>
          <w:w w:val="105"/>
        </w:rPr>
        <w:t> </w:t>
      </w:r>
      <w:r>
        <w:rPr>
          <w:color w:val="231F20"/>
          <w:w w:val="105"/>
        </w:rPr>
        <w:t>para</w:t>
      </w:r>
      <w:r>
        <w:rPr>
          <w:color w:val="231F20"/>
          <w:spacing w:val="-16"/>
          <w:w w:val="105"/>
        </w:rPr>
        <w:t> </w:t>
      </w:r>
      <w:r>
        <w:rPr>
          <w:color w:val="231F20"/>
          <w:w w:val="105"/>
        </w:rPr>
        <w:t>Nuestros Hijos,</w:t>
      </w:r>
      <w:r>
        <w:rPr>
          <w:color w:val="231F20"/>
          <w:spacing w:val="-8"/>
          <w:w w:val="105"/>
        </w:rPr>
        <w:t> </w:t>
      </w:r>
      <w:r>
        <w:rPr>
          <w:color w:val="231F20"/>
          <w:w w:val="105"/>
        </w:rPr>
        <w:t>previendo</w:t>
      </w:r>
      <w:r>
        <w:rPr>
          <w:color w:val="231F20"/>
          <w:spacing w:val="-8"/>
          <w:w w:val="105"/>
        </w:rPr>
        <w:t> </w:t>
      </w:r>
      <w:r>
        <w:rPr>
          <w:color w:val="231F20"/>
          <w:w w:val="105"/>
        </w:rPr>
        <w:t>ampliar</w:t>
      </w:r>
      <w:r>
        <w:rPr>
          <w:color w:val="231F20"/>
          <w:spacing w:val="-8"/>
          <w:w w:val="105"/>
        </w:rPr>
        <w:t> </w:t>
      </w:r>
      <w:r>
        <w:rPr>
          <w:color w:val="231F20"/>
          <w:w w:val="105"/>
        </w:rPr>
        <w:t>el</w:t>
      </w:r>
      <w:r>
        <w:rPr>
          <w:color w:val="231F20"/>
          <w:spacing w:val="-8"/>
          <w:w w:val="105"/>
        </w:rPr>
        <w:t> </w:t>
      </w:r>
      <w:r>
        <w:rPr>
          <w:color w:val="231F20"/>
          <w:w w:val="105"/>
        </w:rPr>
        <w:t>curso</w:t>
      </w:r>
      <w:r>
        <w:rPr>
          <w:color w:val="231F20"/>
          <w:spacing w:val="-8"/>
          <w:w w:val="105"/>
        </w:rPr>
        <w:t> </w:t>
      </w:r>
      <w:r>
        <w:rPr>
          <w:color w:val="231F20"/>
          <w:w w:val="105"/>
        </w:rPr>
        <w:t>introductorio</w:t>
      </w:r>
      <w:r>
        <w:rPr>
          <w:color w:val="231F20"/>
          <w:spacing w:val="-8"/>
          <w:w w:val="105"/>
        </w:rPr>
        <w:t> </w:t>
      </w:r>
      <w:r>
        <w:rPr>
          <w:color w:val="231F20"/>
          <w:w w:val="105"/>
        </w:rPr>
        <w:t>de</w:t>
      </w:r>
      <w:r>
        <w:rPr>
          <w:color w:val="231F20"/>
          <w:spacing w:val="-8"/>
          <w:w w:val="105"/>
        </w:rPr>
        <w:t> </w:t>
      </w:r>
      <w:r>
        <w:rPr>
          <w:color w:val="231F20"/>
          <w:w w:val="105"/>
        </w:rPr>
        <w:t>inglés</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alumnos</w:t>
      </w:r>
      <w:r>
        <w:rPr>
          <w:color w:val="231F20"/>
          <w:spacing w:val="-8"/>
          <w:w w:val="105"/>
        </w:rPr>
        <w:t> </w:t>
      </w:r>
      <w:r>
        <w:rPr>
          <w:color w:val="231F20"/>
          <w:w w:val="105"/>
        </w:rPr>
        <w:t>de</w:t>
      </w:r>
      <w:r>
        <w:rPr>
          <w:color w:val="231F20"/>
          <w:spacing w:val="-8"/>
          <w:w w:val="105"/>
        </w:rPr>
        <w:t> </w:t>
      </w:r>
      <w:r>
        <w:rPr>
          <w:color w:val="231F20"/>
          <w:spacing w:val="-3"/>
          <w:w w:val="105"/>
        </w:rPr>
        <w:t>5º</w:t>
      </w:r>
      <w:r>
        <w:rPr>
          <w:color w:val="231F20"/>
          <w:spacing w:val="-8"/>
          <w:w w:val="105"/>
        </w:rPr>
        <w:t> </w:t>
      </w:r>
      <w:r>
        <w:rPr>
          <w:color w:val="231F20"/>
          <w:w w:val="105"/>
        </w:rPr>
        <w:t>año</w:t>
      </w:r>
      <w:r>
        <w:rPr>
          <w:color w:val="231F20"/>
          <w:spacing w:val="-8"/>
          <w:w w:val="105"/>
        </w:rPr>
        <w:t> </w:t>
      </w:r>
      <w:r>
        <w:rPr>
          <w:color w:val="231F20"/>
          <w:w w:val="105"/>
        </w:rPr>
        <w:t>esco- lar. A través del Programa de Escuelas Interactivas – Educación Global se habilitaron </w:t>
      </w:r>
      <w:r>
        <w:rPr>
          <w:color w:val="231F20"/>
          <w:spacing w:val="-5"/>
          <w:w w:val="105"/>
        </w:rPr>
        <w:t>179 </w:t>
      </w:r>
      <w:r>
        <w:rPr>
          <w:color w:val="231F20"/>
          <w:w w:val="105"/>
        </w:rPr>
        <w:t>aulas de cómputo de 297 escuelas primarias y secundarias, equipándolas con 283 computadoras de última generación. Esta cobertura abarcó a </w:t>
      </w:r>
      <w:r>
        <w:rPr>
          <w:color w:val="231F20"/>
          <w:spacing w:val="-4"/>
          <w:w w:val="105"/>
        </w:rPr>
        <w:t>75 </w:t>
      </w:r>
      <w:r>
        <w:rPr>
          <w:color w:val="231F20"/>
          <w:spacing w:val="2"/>
          <w:w w:val="105"/>
        </w:rPr>
        <w:t>mil </w:t>
      </w:r>
      <w:r>
        <w:rPr>
          <w:color w:val="231F20"/>
          <w:w w:val="105"/>
        </w:rPr>
        <w:t>alumnos de 297 escuelas.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mes</w:t>
      </w:r>
      <w:r>
        <w:rPr>
          <w:color w:val="231F20"/>
          <w:spacing w:val="-18"/>
          <w:w w:val="105"/>
        </w:rPr>
        <w:t> </w:t>
      </w:r>
      <w:r>
        <w:rPr>
          <w:color w:val="231F20"/>
          <w:w w:val="105"/>
        </w:rPr>
        <w:t>de</w:t>
      </w:r>
      <w:r>
        <w:rPr>
          <w:color w:val="231F20"/>
          <w:spacing w:val="-18"/>
          <w:w w:val="105"/>
        </w:rPr>
        <w:t> </w:t>
      </w:r>
      <w:r>
        <w:rPr>
          <w:color w:val="231F20"/>
          <w:w w:val="105"/>
        </w:rPr>
        <w:t>septiembre</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Consejo</w:t>
      </w:r>
      <w:r>
        <w:rPr>
          <w:color w:val="231F20"/>
          <w:spacing w:val="-18"/>
          <w:w w:val="105"/>
        </w:rPr>
        <w:t> </w:t>
      </w:r>
      <w:r>
        <w:rPr>
          <w:color w:val="231F20"/>
          <w:w w:val="105"/>
        </w:rPr>
        <w:t>Iberoamericano</w:t>
      </w:r>
      <w:r>
        <w:rPr>
          <w:color w:val="231F20"/>
          <w:spacing w:val="-18"/>
          <w:w w:val="105"/>
        </w:rPr>
        <w:t> </w:t>
      </w:r>
      <w:r>
        <w:rPr>
          <w:color w:val="231F20"/>
          <w:w w:val="105"/>
        </w:rPr>
        <w:t>en</w:t>
      </w:r>
      <w:r>
        <w:rPr>
          <w:color w:val="231F20"/>
          <w:spacing w:val="-18"/>
          <w:w w:val="105"/>
        </w:rPr>
        <w:t> </w:t>
      </w:r>
      <w:r>
        <w:rPr>
          <w:color w:val="231F20"/>
          <w:spacing w:val="-3"/>
          <w:w w:val="105"/>
        </w:rPr>
        <w:t>Honor</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Calidad Educativa con sede en Lima, Perú, </w:t>
      </w:r>
      <w:r>
        <w:rPr>
          <w:color w:val="231F20"/>
          <w:spacing w:val="-2"/>
          <w:w w:val="105"/>
        </w:rPr>
        <w:t>otorgó </w:t>
      </w:r>
      <w:r>
        <w:rPr>
          <w:color w:val="231F20"/>
          <w:spacing w:val="2"/>
          <w:w w:val="105"/>
        </w:rPr>
        <w:t>al </w:t>
      </w:r>
      <w:r>
        <w:rPr>
          <w:color w:val="231F20"/>
          <w:w w:val="105"/>
        </w:rPr>
        <w:t>municipio el Premio Iberoamericano a la Excelencia</w:t>
      </w:r>
      <w:r>
        <w:rPr>
          <w:color w:val="231F20"/>
          <w:spacing w:val="-18"/>
          <w:w w:val="105"/>
        </w:rPr>
        <w:t> </w:t>
      </w:r>
      <w:r>
        <w:rPr>
          <w:color w:val="231F20"/>
          <w:w w:val="105"/>
        </w:rPr>
        <w:t>Educativa</w:t>
      </w:r>
      <w:r>
        <w:rPr>
          <w:color w:val="231F20"/>
          <w:spacing w:val="-18"/>
          <w:w w:val="105"/>
        </w:rPr>
        <w:t> </w:t>
      </w:r>
      <w:r>
        <w:rPr>
          <w:color w:val="231F20"/>
          <w:spacing w:val="-3"/>
          <w:w w:val="105"/>
        </w:rPr>
        <w:t>2007.</w:t>
      </w:r>
      <w:r>
        <w:rPr>
          <w:color w:val="231F20"/>
          <w:spacing w:val="-18"/>
          <w:w w:val="105"/>
        </w:rPr>
        <w:t> </w:t>
      </w:r>
      <w:r>
        <w:rPr>
          <w:color w:val="231F20"/>
          <w:w w:val="105"/>
        </w:rPr>
        <w:t>No</w:t>
      </w:r>
      <w:r>
        <w:rPr>
          <w:color w:val="231F20"/>
          <w:spacing w:val="-18"/>
          <w:w w:val="105"/>
        </w:rPr>
        <w:t> </w:t>
      </w:r>
      <w:r>
        <w:rPr>
          <w:color w:val="231F20"/>
          <w:w w:val="105"/>
        </w:rPr>
        <w:t>obstante,</w:t>
      </w:r>
      <w:r>
        <w:rPr>
          <w:color w:val="231F20"/>
          <w:spacing w:val="-18"/>
          <w:w w:val="105"/>
        </w:rPr>
        <w:t> </w:t>
      </w:r>
      <w:r>
        <w:rPr>
          <w:color w:val="231F20"/>
          <w:w w:val="105"/>
        </w:rPr>
        <w:t>Tlalnepantla</w:t>
      </w:r>
      <w:r>
        <w:rPr>
          <w:color w:val="231F20"/>
          <w:spacing w:val="-18"/>
          <w:w w:val="105"/>
        </w:rPr>
        <w:t> </w:t>
      </w:r>
      <w:r>
        <w:rPr>
          <w:color w:val="231F20"/>
          <w:w w:val="105"/>
        </w:rPr>
        <w:t>cuenta</w:t>
      </w:r>
      <w:r>
        <w:rPr>
          <w:color w:val="231F20"/>
          <w:spacing w:val="-18"/>
          <w:w w:val="105"/>
        </w:rPr>
        <w:t> </w:t>
      </w:r>
      <w:r>
        <w:rPr>
          <w:color w:val="231F20"/>
          <w:w w:val="105"/>
        </w:rPr>
        <w:t>con</w:t>
      </w:r>
      <w:r>
        <w:rPr>
          <w:color w:val="231F20"/>
          <w:spacing w:val="-18"/>
          <w:w w:val="105"/>
        </w:rPr>
        <w:t> </w:t>
      </w:r>
      <w:r>
        <w:rPr>
          <w:color w:val="231F20"/>
          <w:w w:val="105"/>
        </w:rPr>
        <w:t>una</w:t>
      </w:r>
      <w:r>
        <w:rPr>
          <w:color w:val="231F20"/>
          <w:spacing w:val="-18"/>
          <w:w w:val="105"/>
        </w:rPr>
        <w:t> </w:t>
      </w:r>
      <w:r>
        <w:rPr>
          <w:color w:val="231F20"/>
          <w:w w:val="105"/>
        </w:rPr>
        <w:t>matrícula</w:t>
      </w:r>
      <w:r>
        <w:rPr>
          <w:color w:val="231F20"/>
          <w:spacing w:val="-18"/>
          <w:w w:val="105"/>
        </w:rPr>
        <w:t> </w:t>
      </w:r>
      <w:r>
        <w:rPr>
          <w:color w:val="231F20"/>
          <w:w w:val="105"/>
        </w:rPr>
        <w:t>escolar</w:t>
      </w:r>
    </w:p>
    <w:p>
      <w:pPr>
        <w:pStyle w:val="BodyText"/>
        <w:spacing w:before="5"/>
        <w:rPr>
          <w:sz w:val="9"/>
        </w:rPr>
      </w:pPr>
      <w:r>
        <w:rPr/>
        <w:pict>
          <v:line style="position:absolute;mso-position-horizontal-relative:page;mso-position-vertical-relative:paragraph;z-index:10768;mso-wrap-distance-left:0;mso-wrap-distance-right:0" from="42.519699pt,7.916201pt" to="114.519699pt,7.916201pt" stroked="true" strokeweight="1pt" strokecolor="#231f20">
            <w10:wrap type="topAndBottom"/>
          </v:line>
        </w:pict>
      </w:r>
    </w:p>
    <w:p>
      <w:pPr>
        <w:pStyle w:val="ListParagraph"/>
        <w:numPr>
          <w:ilvl w:val="0"/>
          <w:numId w:val="16"/>
        </w:numPr>
        <w:tabs>
          <w:tab w:pos="329" w:val="left" w:leader="none"/>
        </w:tabs>
        <w:spacing w:line="244" w:lineRule="auto" w:before="8" w:after="0"/>
        <w:ind w:left="110" w:right="108" w:firstLine="0"/>
        <w:jc w:val="both"/>
        <w:rPr>
          <w:sz w:val="16"/>
        </w:rPr>
      </w:pPr>
      <w:r>
        <w:rPr>
          <w:color w:val="231F20"/>
          <w:sz w:val="16"/>
        </w:rPr>
        <w:t>“El</w:t>
      </w:r>
      <w:r>
        <w:rPr>
          <w:color w:val="231F20"/>
          <w:spacing w:val="-6"/>
          <w:sz w:val="16"/>
        </w:rPr>
        <w:t> </w:t>
      </w:r>
      <w:r>
        <w:rPr>
          <w:color w:val="231F20"/>
          <w:sz w:val="16"/>
        </w:rPr>
        <w:t>Comité</w:t>
      </w:r>
      <w:r>
        <w:rPr>
          <w:color w:val="231F20"/>
          <w:spacing w:val="-6"/>
          <w:sz w:val="16"/>
        </w:rPr>
        <w:t> </w:t>
      </w:r>
      <w:r>
        <w:rPr>
          <w:color w:val="231F20"/>
          <w:sz w:val="16"/>
        </w:rPr>
        <w:t>Administrador</w:t>
      </w:r>
      <w:r>
        <w:rPr>
          <w:color w:val="231F20"/>
          <w:spacing w:val="-6"/>
          <w:sz w:val="16"/>
        </w:rPr>
        <w:t> </w:t>
      </w:r>
      <w:r>
        <w:rPr>
          <w:color w:val="231F20"/>
          <w:sz w:val="16"/>
        </w:rPr>
        <w:t>del</w:t>
      </w:r>
      <w:r>
        <w:rPr>
          <w:color w:val="231F20"/>
          <w:spacing w:val="-6"/>
          <w:sz w:val="16"/>
        </w:rPr>
        <w:t> </w:t>
      </w:r>
      <w:r>
        <w:rPr>
          <w:color w:val="231F20"/>
          <w:sz w:val="16"/>
        </w:rPr>
        <w:t>Programa</w:t>
      </w:r>
      <w:r>
        <w:rPr>
          <w:color w:val="231F20"/>
          <w:spacing w:val="-6"/>
          <w:sz w:val="16"/>
        </w:rPr>
        <w:t> </w:t>
      </w:r>
      <w:r>
        <w:rPr>
          <w:color w:val="231F20"/>
          <w:sz w:val="16"/>
        </w:rPr>
        <w:t>Federal</w:t>
      </w:r>
      <w:r>
        <w:rPr>
          <w:color w:val="231F20"/>
          <w:spacing w:val="-6"/>
          <w:sz w:val="16"/>
        </w:rPr>
        <w:t> </w:t>
      </w:r>
      <w:r>
        <w:rPr>
          <w:color w:val="231F20"/>
          <w:sz w:val="16"/>
        </w:rPr>
        <w:t>de</w:t>
      </w:r>
      <w:r>
        <w:rPr>
          <w:color w:val="231F20"/>
          <w:spacing w:val="-6"/>
          <w:sz w:val="16"/>
        </w:rPr>
        <w:t> </w:t>
      </w:r>
      <w:r>
        <w:rPr>
          <w:color w:val="231F20"/>
          <w:sz w:val="16"/>
        </w:rPr>
        <w:t>Construcción</w:t>
      </w:r>
      <w:r>
        <w:rPr>
          <w:color w:val="231F20"/>
          <w:spacing w:val="-6"/>
          <w:sz w:val="16"/>
        </w:rPr>
        <w:t> </w:t>
      </w:r>
      <w:r>
        <w:rPr>
          <w:color w:val="231F20"/>
          <w:sz w:val="16"/>
        </w:rPr>
        <w:t>de</w:t>
      </w:r>
      <w:r>
        <w:rPr>
          <w:color w:val="231F20"/>
          <w:spacing w:val="-6"/>
          <w:sz w:val="16"/>
        </w:rPr>
        <w:t> </w:t>
      </w:r>
      <w:r>
        <w:rPr>
          <w:color w:val="231F20"/>
          <w:sz w:val="16"/>
        </w:rPr>
        <w:t>Escuelas,</w:t>
      </w:r>
      <w:r>
        <w:rPr>
          <w:color w:val="231F20"/>
          <w:spacing w:val="-6"/>
          <w:sz w:val="16"/>
        </w:rPr>
        <w:t> </w:t>
      </w:r>
      <w:r>
        <w:rPr>
          <w:color w:val="231F20"/>
          <w:sz w:val="16"/>
        </w:rPr>
        <w:t>es</w:t>
      </w:r>
      <w:r>
        <w:rPr>
          <w:color w:val="231F20"/>
          <w:spacing w:val="-6"/>
          <w:sz w:val="16"/>
        </w:rPr>
        <w:t> </w:t>
      </w:r>
      <w:r>
        <w:rPr>
          <w:color w:val="231F20"/>
          <w:sz w:val="16"/>
        </w:rPr>
        <w:t>un</w:t>
      </w:r>
      <w:r>
        <w:rPr>
          <w:color w:val="231F20"/>
          <w:spacing w:val="-6"/>
          <w:sz w:val="16"/>
        </w:rPr>
        <w:t> </w:t>
      </w:r>
      <w:r>
        <w:rPr>
          <w:color w:val="231F20"/>
          <w:sz w:val="16"/>
        </w:rPr>
        <w:t>organismo</w:t>
      </w:r>
      <w:r>
        <w:rPr>
          <w:color w:val="231F20"/>
          <w:spacing w:val="-6"/>
          <w:sz w:val="16"/>
        </w:rPr>
        <w:t> </w:t>
      </w:r>
      <w:r>
        <w:rPr>
          <w:color w:val="231F20"/>
          <w:sz w:val="16"/>
        </w:rPr>
        <w:t>público</w:t>
      </w:r>
      <w:r>
        <w:rPr>
          <w:color w:val="231F20"/>
          <w:spacing w:val="-6"/>
          <w:sz w:val="16"/>
        </w:rPr>
        <w:t> </w:t>
      </w:r>
      <w:r>
        <w:rPr>
          <w:color w:val="231F20"/>
          <w:sz w:val="16"/>
        </w:rPr>
        <w:t>con</w:t>
      </w:r>
      <w:r>
        <w:rPr>
          <w:color w:val="231F20"/>
          <w:spacing w:val="-6"/>
          <w:sz w:val="16"/>
        </w:rPr>
        <w:t> </w:t>
      </w:r>
      <w:r>
        <w:rPr>
          <w:color w:val="231F20"/>
          <w:sz w:val="16"/>
        </w:rPr>
        <w:t>personalidad jurídica</w:t>
      </w:r>
      <w:r>
        <w:rPr>
          <w:color w:val="231F20"/>
          <w:spacing w:val="-7"/>
          <w:sz w:val="16"/>
        </w:rPr>
        <w:t> </w:t>
      </w:r>
      <w:r>
        <w:rPr>
          <w:color w:val="231F20"/>
          <w:sz w:val="16"/>
        </w:rPr>
        <w:t>y</w:t>
      </w:r>
      <w:r>
        <w:rPr>
          <w:color w:val="231F20"/>
          <w:spacing w:val="-7"/>
          <w:sz w:val="16"/>
        </w:rPr>
        <w:t> </w:t>
      </w:r>
      <w:r>
        <w:rPr>
          <w:color w:val="231F20"/>
          <w:sz w:val="16"/>
        </w:rPr>
        <w:t>patrimonio</w:t>
      </w:r>
      <w:r>
        <w:rPr>
          <w:color w:val="231F20"/>
          <w:spacing w:val="-7"/>
          <w:sz w:val="16"/>
        </w:rPr>
        <w:t> </w:t>
      </w:r>
      <w:r>
        <w:rPr>
          <w:color w:val="231F20"/>
          <w:sz w:val="16"/>
        </w:rPr>
        <w:t>propios,</w:t>
      </w:r>
      <w:r>
        <w:rPr>
          <w:color w:val="231F20"/>
          <w:spacing w:val="-7"/>
          <w:sz w:val="16"/>
        </w:rPr>
        <w:t> </w:t>
      </w:r>
      <w:r>
        <w:rPr>
          <w:color w:val="231F20"/>
          <w:sz w:val="16"/>
        </w:rPr>
        <w:t>sectorizado</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Secretaría</w:t>
      </w:r>
      <w:r>
        <w:rPr>
          <w:color w:val="231F20"/>
          <w:spacing w:val="-7"/>
          <w:sz w:val="16"/>
        </w:rPr>
        <w:t> </w:t>
      </w:r>
      <w:r>
        <w:rPr>
          <w:color w:val="231F20"/>
          <w:sz w:val="16"/>
        </w:rPr>
        <w:t>de</w:t>
      </w:r>
      <w:r>
        <w:rPr>
          <w:color w:val="231F20"/>
          <w:spacing w:val="-7"/>
          <w:sz w:val="16"/>
        </w:rPr>
        <w:t> </w:t>
      </w:r>
      <w:r>
        <w:rPr>
          <w:color w:val="231F20"/>
          <w:sz w:val="16"/>
        </w:rPr>
        <w:t>Educación</w:t>
      </w:r>
      <w:r>
        <w:rPr>
          <w:color w:val="231F20"/>
          <w:spacing w:val="-7"/>
          <w:sz w:val="16"/>
        </w:rPr>
        <w:t> </w:t>
      </w:r>
      <w:r>
        <w:rPr>
          <w:color w:val="231F20"/>
          <w:sz w:val="16"/>
        </w:rPr>
        <w:t>Pública,</w:t>
      </w:r>
      <w:r>
        <w:rPr>
          <w:color w:val="231F20"/>
          <w:spacing w:val="-7"/>
          <w:sz w:val="16"/>
        </w:rPr>
        <w:t> </w:t>
      </w:r>
      <w:r>
        <w:rPr>
          <w:color w:val="231F20"/>
          <w:sz w:val="16"/>
        </w:rPr>
        <w:t>que</w:t>
      </w:r>
      <w:r>
        <w:rPr>
          <w:color w:val="231F20"/>
          <w:spacing w:val="-7"/>
          <w:sz w:val="16"/>
        </w:rPr>
        <w:t> </w:t>
      </w:r>
      <w:r>
        <w:rPr>
          <w:color w:val="231F20"/>
          <w:sz w:val="16"/>
        </w:rPr>
        <w:t>tiene</w:t>
      </w:r>
      <w:r>
        <w:rPr>
          <w:color w:val="231F20"/>
          <w:spacing w:val="-7"/>
          <w:sz w:val="16"/>
        </w:rPr>
        <w:t> </w:t>
      </w:r>
      <w:r>
        <w:rPr>
          <w:color w:val="231F20"/>
          <w:sz w:val="16"/>
        </w:rPr>
        <w:t>la</w:t>
      </w:r>
      <w:r>
        <w:rPr>
          <w:color w:val="231F20"/>
          <w:spacing w:val="-7"/>
          <w:sz w:val="16"/>
        </w:rPr>
        <w:t> </w:t>
      </w:r>
      <w:r>
        <w:rPr>
          <w:color w:val="231F20"/>
          <w:sz w:val="16"/>
        </w:rPr>
        <w:t>responsabilidad</w:t>
      </w:r>
      <w:r>
        <w:rPr>
          <w:color w:val="231F20"/>
          <w:spacing w:val="-7"/>
          <w:sz w:val="16"/>
        </w:rPr>
        <w:t> </w:t>
      </w:r>
      <w:r>
        <w:rPr>
          <w:color w:val="231F20"/>
          <w:sz w:val="16"/>
        </w:rPr>
        <w:t>de</w:t>
      </w:r>
      <w:r>
        <w:rPr>
          <w:color w:val="231F20"/>
          <w:spacing w:val="-7"/>
          <w:sz w:val="16"/>
        </w:rPr>
        <w:t> </w:t>
      </w:r>
      <w:r>
        <w:rPr>
          <w:color w:val="231F20"/>
          <w:sz w:val="16"/>
        </w:rPr>
        <w:t>promover</w:t>
      </w:r>
      <w:r>
        <w:rPr>
          <w:color w:val="231F20"/>
          <w:spacing w:val="-7"/>
          <w:sz w:val="16"/>
        </w:rPr>
        <w:t> </w:t>
      </w:r>
      <w:r>
        <w:rPr>
          <w:color w:val="231F20"/>
          <w:sz w:val="16"/>
        </w:rPr>
        <w:t>el mejoramiento,</w:t>
      </w:r>
      <w:r>
        <w:rPr>
          <w:color w:val="231F20"/>
          <w:spacing w:val="-9"/>
          <w:sz w:val="16"/>
        </w:rPr>
        <w:t> </w:t>
      </w:r>
      <w:r>
        <w:rPr>
          <w:color w:val="231F20"/>
          <w:sz w:val="16"/>
        </w:rPr>
        <w:t>seguridad,</w:t>
      </w:r>
      <w:r>
        <w:rPr>
          <w:color w:val="231F20"/>
          <w:spacing w:val="-9"/>
          <w:sz w:val="16"/>
        </w:rPr>
        <w:t> </w:t>
      </w:r>
      <w:r>
        <w:rPr>
          <w:color w:val="231F20"/>
          <w:sz w:val="16"/>
        </w:rPr>
        <w:t>calidad</w:t>
      </w:r>
      <w:r>
        <w:rPr>
          <w:color w:val="231F20"/>
          <w:spacing w:val="-9"/>
          <w:sz w:val="16"/>
        </w:rPr>
        <w:t> </w:t>
      </w:r>
      <w:r>
        <w:rPr>
          <w:color w:val="231F20"/>
          <w:sz w:val="16"/>
        </w:rPr>
        <w:t>y</w:t>
      </w:r>
      <w:r>
        <w:rPr>
          <w:color w:val="231F20"/>
          <w:spacing w:val="-9"/>
          <w:sz w:val="16"/>
        </w:rPr>
        <w:t> </w:t>
      </w:r>
      <w:r>
        <w:rPr>
          <w:color w:val="231F20"/>
          <w:sz w:val="16"/>
        </w:rPr>
        <w:t>pertinencia</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infraestructura</w:t>
      </w:r>
      <w:r>
        <w:rPr>
          <w:color w:val="231F20"/>
          <w:spacing w:val="-9"/>
          <w:sz w:val="16"/>
        </w:rPr>
        <w:t> </w:t>
      </w:r>
      <w:r>
        <w:rPr>
          <w:color w:val="231F20"/>
          <w:sz w:val="16"/>
        </w:rPr>
        <w:t>física</w:t>
      </w:r>
      <w:r>
        <w:rPr>
          <w:color w:val="231F20"/>
          <w:spacing w:val="-9"/>
          <w:sz w:val="16"/>
        </w:rPr>
        <w:t> </w:t>
      </w:r>
      <w:r>
        <w:rPr>
          <w:color w:val="231F20"/>
          <w:sz w:val="16"/>
        </w:rPr>
        <w:t>educativa</w:t>
      </w:r>
      <w:r>
        <w:rPr>
          <w:color w:val="231F20"/>
          <w:spacing w:val="-9"/>
          <w:sz w:val="16"/>
        </w:rPr>
        <w:t> </w:t>
      </w:r>
      <w:r>
        <w:rPr>
          <w:color w:val="231F20"/>
          <w:sz w:val="16"/>
        </w:rPr>
        <w:t>pública,</w:t>
      </w:r>
      <w:r>
        <w:rPr>
          <w:color w:val="231F20"/>
          <w:spacing w:val="-9"/>
          <w:sz w:val="16"/>
        </w:rPr>
        <w:t> </w:t>
      </w:r>
      <w:r>
        <w:rPr>
          <w:color w:val="231F20"/>
          <w:sz w:val="16"/>
        </w:rPr>
        <w:t>mediante</w:t>
      </w:r>
      <w:r>
        <w:rPr>
          <w:color w:val="231F20"/>
          <w:spacing w:val="-9"/>
          <w:sz w:val="16"/>
        </w:rPr>
        <w:t> </w:t>
      </w:r>
      <w:r>
        <w:rPr>
          <w:color w:val="231F20"/>
          <w:sz w:val="16"/>
        </w:rPr>
        <w:t>la</w:t>
      </w:r>
      <w:r>
        <w:rPr>
          <w:color w:val="231F20"/>
          <w:spacing w:val="-9"/>
          <w:sz w:val="16"/>
        </w:rPr>
        <w:t> </w:t>
      </w:r>
      <w:r>
        <w:rPr>
          <w:color w:val="231F20"/>
          <w:sz w:val="16"/>
        </w:rPr>
        <w:t>emisión</w:t>
      </w:r>
      <w:r>
        <w:rPr>
          <w:color w:val="231F20"/>
          <w:spacing w:val="-9"/>
          <w:sz w:val="16"/>
        </w:rPr>
        <w:t> </w:t>
      </w:r>
      <w:r>
        <w:rPr>
          <w:color w:val="231F20"/>
          <w:sz w:val="16"/>
        </w:rPr>
        <w:t>y</w:t>
      </w:r>
      <w:r>
        <w:rPr>
          <w:color w:val="231F20"/>
          <w:spacing w:val="-9"/>
          <w:sz w:val="16"/>
        </w:rPr>
        <w:t> </w:t>
      </w:r>
      <w:r>
        <w:rPr>
          <w:color w:val="231F20"/>
          <w:sz w:val="16"/>
        </w:rPr>
        <w:t>difusión de</w:t>
      </w:r>
      <w:r>
        <w:rPr>
          <w:color w:val="231F20"/>
          <w:spacing w:val="-10"/>
          <w:sz w:val="16"/>
        </w:rPr>
        <w:t> </w:t>
      </w:r>
      <w:r>
        <w:rPr>
          <w:color w:val="231F20"/>
          <w:sz w:val="16"/>
        </w:rPr>
        <w:t>la</w:t>
      </w:r>
      <w:r>
        <w:rPr>
          <w:color w:val="231F20"/>
          <w:spacing w:val="-10"/>
          <w:sz w:val="16"/>
        </w:rPr>
        <w:t> </w:t>
      </w:r>
      <w:r>
        <w:rPr>
          <w:color w:val="231F20"/>
          <w:sz w:val="16"/>
        </w:rPr>
        <w:t>normatividad</w:t>
      </w:r>
      <w:r>
        <w:rPr>
          <w:color w:val="231F20"/>
          <w:spacing w:val="-10"/>
          <w:sz w:val="16"/>
        </w:rPr>
        <w:t> </w:t>
      </w:r>
      <w:r>
        <w:rPr>
          <w:color w:val="231F20"/>
          <w:sz w:val="16"/>
        </w:rPr>
        <w:t>vigente</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materia;</w:t>
      </w:r>
      <w:r>
        <w:rPr>
          <w:color w:val="231F20"/>
          <w:spacing w:val="-10"/>
          <w:sz w:val="16"/>
        </w:rPr>
        <w:t> </w:t>
      </w:r>
      <w:r>
        <w:rPr>
          <w:color w:val="231F20"/>
          <w:sz w:val="16"/>
        </w:rPr>
        <w:t>así</w:t>
      </w:r>
      <w:r>
        <w:rPr>
          <w:color w:val="231F20"/>
          <w:spacing w:val="-10"/>
          <w:sz w:val="16"/>
        </w:rPr>
        <w:t> </w:t>
      </w:r>
      <w:r>
        <w:rPr>
          <w:color w:val="231F20"/>
          <w:sz w:val="16"/>
        </w:rPr>
        <w:t>como,</w:t>
      </w:r>
      <w:r>
        <w:rPr>
          <w:color w:val="231F20"/>
          <w:spacing w:val="-10"/>
          <w:sz w:val="16"/>
        </w:rPr>
        <w:t> </w:t>
      </w:r>
      <w:r>
        <w:rPr>
          <w:color w:val="231F20"/>
          <w:sz w:val="16"/>
        </w:rPr>
        <w:t>a</w:t>
      </w:r>
      <w:r>
        <w:rPr>
          <w:color w:val="231F20"/>
          <w:spacing w:val="-10"/>
          <w:sz w:val="16"/>
        </w:rPr>
        <w:t> </w:t>
      </w:r>
      <w:r>
        <w:rPr>
          <w:color w:val="231F20"/>
          <w:sz w:val="16"/>
        </w:rPr>
        <w:t>través</w:t>
      </w:r>
      <w:r>
        <w:rPr>
          <w:color w:val="231F20"/>
          <w:spacing w:val="-10"/>
          <w:sz w:val="16"/>
        </w:rPr>
        <w:t> </w:t>
      </w:r>
      <w:r>
        <w:rPr>
          <w:color w:val="231F20"/>
          <w:sz w:val="16"/>
        </w:rPr>
        <w:t>de</w:t>
      </w:r>
      <w:r>
        <w:rPr>
          <w:color w:val="231F20"/>
          <w:spacing w:val="-10"/>
          <w:sz w:val="16"/>
        </w:rPr>
        <w:t> </w:t>
      </w:r>
      <w:r>
        <w:rPr>
          <w:color w:val="231F20"/>
          <w:sz w:val="16"/>
        </w:rPr>
        <w:t>la</w:t>
      </w:r>
      <w:r>
        <w:rPr>
          <w:color w:val="231F20"/>
          <w:spacing w:val="-10"/>
          <w:sz w:val="16"/>
        </w:rPr>
        <w:t> </w:t>
      </w:r>
      <w:r>
        <w:rPr>
          <w:color w:val="231F20"/>
          <w:sz w:val="16"/>
        </w:rPr>
        <w:t>verificación</w:t>
      </w:r>
      <w:r>
        <w:rPr>
          <w:color w:val="231F20"/>
          <w:spacing w:val="-10"/>
          <w:sz w:val="16"/>
        </w:rPr>
        <w:t> </w:t>
      </w:r>
      <w:r>
        <w:rPr>
          <w:color w:val="231F20"/>
          <w:sz w:val="16"/>
        </w:rPr>
        <w:t>y</w:t>
      </w:r>
      <w:r>
        <w:rPr>
          <w:color w:val="231F20"/>
          <w:spacing w:val="-10"/>
          <w:sz w:val="16"/>
        </w:rPr>
        <w:t> </w:t>
      </w:r>
      <w:r>
        <w:rPr>
          <w:color w:val="231F20"/>
          <w:sz w:val="16"/>
        </w:rPr>
        <w:t>evaluación</w:t>
      </w:r>
      <w:r>
        <w:rPr>
          <w:color w:val="231F20"/>
          <w:spacing w:val="-10"/>
          <w:sz w:val="16"/>
        </w:rPr>
        <w:t> </w:t>
      </w:r>
      <w:r>
        <w:rPr>
          <w:color w:val="231F20"/>
          <w:sz w:val="16"/>
        </w:rPr>
        <w:t>de</w:t>
      </w:r>
      <w:r>
        <w:rPr>
          <w:color w:val="231F20"/>
          <w:spacing w:val="-10"/>
          <w:sz w:val="16"/>
        </w:rPr>
        <w:t> </w:t>
      </w:r>
      <w:r>
        <w:rPr>
          <w:color w:val="231F20"/>
          <w:sz w:val="16"/>
        </w:rPr>
        <w:t>su</w:t>
      </w:r>
      <w:r>
        <w:rPr>
          <w:color w:val="231F20"/>
          <w:spacing w:val="-10"/>
          <w:sz w:val="16"/>
        </w:rPr>
        <w:t> </w:t>
      </w:r>
      <w:r>
        <w:rPr>
          <w:color w:val="231F20"/>
          <w:sz w:val="16"/>
        </w:rPr>
        <w:t>aplicación.</w:t>
      </w:r>
      <w:r>
        <w:rPr>
          <w:color w:val="231F20"/>
          <w:spacing w:val="-10"/>
          <w:sz w:val="16"/>
        </w:rPr>
        <w:t> </w:t>
      </w:r>
      <w:r>
        <w:rPr>
          <w:color w:val="231F20"/>
          <w:sz w:val="16"/>
        </w:rPr>
        <w:t>Además,</w:t>
      </w:r>
      <w:r>
        <w:rPr>
          <w:color w:val="231F20"/>
          <w:spacing w:val="-10"/>
          <w:sz w:val="16"/>
        </w:rPr>
        <w:t> </w:t>
      </w:r>
      <w:r>
        <w:rPr>
          <w:color w:val="231F20"/>
          <w:sz w:val="16"/>
        </w:rPr>
        <w:t>al</w:t>
      </w:r>
      <w:r>
        <w:rPr>
          <w:color w:val="231F20"/>
          <w:spacing w:val="-10"/>
          <w:sz w:val="16"/>
        </w:rPr>
        <w:t> </w:t>
      </w:r>
      <w:r>
        <w:rPr>
          <w:color w:val="231F20"/>
          <w:sz w:val="16"/>
        </w:rPr>
        <w:t>orga- nismo</w:t>
      </w:r>
      <w:r>
        <w:rPr>
          <w:color w:val="231F20"/>
          <w:spacing w:val="-8"/>
          <w:sz w:val="16"/>
        </w:rPr>
        <w:t> </w:t>
      </w:r>
      <w:r>
        <w:rPr>
          <w:color w:val="231F20"/>
          <w:sz w:val="16"/>
        </w:rPr>
        <w:t>busca</w:t>
      </w:r>
      <w:r>
        <w:rPr>
          <w:color w:val="231F20"/>
          <w:spacing w:val="-8"/>
          <w:sz w:val="16"/>
        </w:rPr>
        <w:t> </w:t>
      </w:r>
      <w:r>
        <w:rPr>
          <w:color w:val="231F20"/>
          <w:sz w:val="16"/>
        </w:rPr>
        <w:t>apoyar</w:t>
      </w:r>
      <w:r>
        <w:rPr>
          <w:color w:val="231F20"/>
          <w:spacing w:val="-8"/>
          <w:sz w:val="16"/>
        </w:rPr>
        <w:t> </w:t>
      </w:r>
      <w:r>
        <w:rPr>
          <w:color w:val="231F20"/>
          <w:sz w:val="16"/>
        </w:rPr>
        <w:t>y</w:t>
      </w:r>
      <w:r>
        <w:rPr>
          <w:color w:val="231F20"/>
          <w:spacing w:val="-8"/>
          <w:sz w:val="16"/>
        </w:rPr>
        <w:t> </w:t>
      </w:r>
      <w:r>
        <w:rPr>
          <w:color w:val="231F20"/>
          <w:sz w:val="16"/>
        </w:rPr>
        <w:t>prever</w:t>
      </w:r>
      <w:r>
        <w:rPr>
          <w:color w:val="231F20"/>
          <w:spacing w:val="-8"/>
          <w:sz w:val="16"/>
        </w:rPr>
        <w:t> </w:t>
      </w:r>
      <w:r>
        <w:rPr>
          <w:color w:val="231F20"/>
          <w:sz w:val="16"/>
        </w:rPr>
        <w:t>la</w:t>
      </w:r>
      <w:r>
        <w:rPr>
          <w:color w:val="231F20"/>
          <w:spacing w:val="-8"/>
          <w:sz w:val="16"/>
        </w:rPr>
        <w:t> </w:t>
      </w:r>
      <w:r>
        <w:rPr>
          <w:color w:val="231F20"/>
          <w:sz w:val="16"/>
        </w:rPr>
        <w:t>seguridad</w:t>
      </w:r>
      <w:r>
        <w:rPr>
          <w:color w:val="231F20"/>
          <w:spacing w:val="-8"/>
          <w:sz w:val="16"/>
        </w:rPr>
        <w:t> </w:t>
      </w:r>
      <w:r>
        <w:rPr>
          <w:color w:val="231F20"/>
          <w:sz w:val="16"/>
        </w:rPr>
        <w:t>de</w:t>
      </w:r>
      <w:r>
        <w:rPr>
          <w:color w:val="231F20"/>
          <w:spacing w:val="-8"/>
          <w:sz w:val="16"/>
        </w:rPr>
        <w:t> </w:t>
      </w:r>
      <w:r>
        <w:rPr>
          <w:color w:val="231F20"/>
          <w:sz w:val="16"/>
        </w:rPr>
        <w:t>alumnos</w:t>
      </w:r>
      <w:r>
        <w:rPr>
          <w:color w:val="231F20"/>
          <w:spacing w:val="-8"/>
          <w:sz w:val="16"/>
        </w:rPr>
        <w:t> </w:t>
      </w:r>
      <w:r>
        <w:rPr>
          <w:color w:val="231F20"/>
          <w:sz w:val="16"/>
        </w:rPr>
        <w:t>y</w:t>
      </w:r>
      <w:r>
        <w:rPr>
          <w:color w:val="231F20"/>
          <w:spacing w:val="-8"/>
          <w:sz w:val="16"/>
        </w:rPr>
        <w:t> </w:t>
      </w:r>
      <w:r>
        <w:rPr>
          <w:color w:val="231F20"/>
          <w:sz w:val="16"/>
        </w:rPr>
        <w:t>maestros,</w:t>
      </w:r>
      <w:r>
        <w:rPr>
          <w:color w:val="231F20"/>
          <w:spacing w:val="-8"/>
          <w:sz w:val="16"/>
        </w:rPr>
        <w:t> </w:t>
      </w:r>
      <w:r>
        <w:rPr>
          <w:color w:val="231F20"/>
          <w:sz w:val="16"/>
        </w:rPr>
        <w:t>al</w:t>
      </w:r>
      <w:r>
        <w:rPr>
          <w:color w:val="231F20"/>
          <w:spacing w:val="-8"/>
          <w:sz w:val="16"/>
        </w:rPr>
        <w:t> </w:t>
      </w:r>
      <w:r>
        <w:rPr>
          <w:color w:val="231F20"/>
          <w:sz w:val="16"/>
        </w:rPr>
        <w:t>contar</w:t>
      </w:r>
      <w:r>
        <w:rPr>
          <w:color w:val="231F20"/>
          <w:spacing w:val="-8"/>
          <w:sz w:val="16"/>
        </w:rPr>
        <w:t> </w:t>
      </w:r>
      <w:r>
        <w:rPr>
          <w:color w:val="231F20"/>
          <w:sz w:val="16"/>
        </w:rPr>
        <w:t>con</w:t>
      </w:r>
      <w:r>
        <w:rPr>
          <w:color w:val="231F20"/>
          <w:spacing w:val="-8"/>
          <w:sz w:val="16"/>
        </w:rPr>
        <w:t> </w:t>
      </w:r>
      <w:r>
        <w:rPr>
          <w:color w:val="231F20"/>
          <w:sz w:val="16"/>
        </w:rPr>
        <w:t>edificios</w:t>
      </w:r>
      <w:r>
        <w:rPr>
          <w:color w:val="231F20"/>
          <w:spacing w:val="-8"/>
          <w:sz w:val="16"/>
        </w:rPr>
        <w:t> </w:t>
      </w:r>
      <w:r>
        <w:rPr>
          <w:color w:val="231F20"/>
          <w:sz w:val="16"/>
        </w:rPr>
        <w:t>más</w:t>
      </w:r>
      <w:r>
        <w:rPr>
          <w:color w:val="231F20"/>
          <w:spacing w:val="-8"/>
          <w:sz w:val="16"/>
        </w:rPr>
        <w:t> </w:t>
      </w:r>
      <w:r>
        <w:rPr>
          <w:color w:val="231F20"/>
          <w:sz w:val="16"/>
        </w:rPr>
        <w:t>seguros</w:t>
      </w:r>
      <w:r>
        <w:rPr>
          <w:color w:val="231F20"/>
          <w:spacing w:val="-8"/>
          <w:sz w:val="16"/>
        </w:rPr>
        <w:t> </w:t>
      </w:r>
      <w:r>
        <w:rPr>
          <w:color w:val="231F20"/>
          <w:sz w:val="16"/>
        </w:rPr>
        <w:t>y</w:t>
      </w:r>
      <w:r>
        <w:rPr>
          <w:color w:val="231F20"/>
          <w:spacing w:val="-8"/>
          <w:sz w:val="16"/>
        </w:rPr>
        <w:t> </w:t>
      </w:r>
      <w:r>
        <w:rPr>
          <w:color w:val="231F20"/>
          <w:sz w:val="16"/>
        </w:rPr>
        <w:t>menos</w:t>
      </w:r>
      <w:r>
        <w:rPr>
          <w:color w:val="231F20"/>
          <w:spacing w:val="-8"/>
          <w:sz w:val="16"/>
        </w:rPr>
        <w:t> </w:t>
      </w:r>
      <w:r>
        <w:rPr>
          <w:color w:val="231F20"/>
          <w:sz w:val="16"/>
        </w:rPr>
        <w:t>vulnerables</w:t>
      </w:r>
      <w:r>
        <w:rPr>
          <w:color w:val="231F20"/>
          <w:spacing w:val="-8"/>
          <w:sz w:val="16"/>
        </w:rPr>
        <w:t> </w:t>
      </w:r>
      <w:r>
        <w:rPr>
          <w:color w:val="231F20"/>
          <w:sz w:val="16"/>
        </w:rPr>
        <w:t>a los</w:t>
      </w:r>
      <w:r>
        <w:rPr>
          <w:color w:val="231F20"/>
          <w:spacing w:val="-23"/>
          <w:sz w:val="16"/>
        </w:rPr>
        <w:t> </w:t>
      </w:r>
      <w:r>
        <w:rPr>
          <w:color w:val="231F20"/>
          <w:sz w:val="16"/>
        </w:rPr>
        <w:t>efectos</w:t>
      </w:r>
      <w:r>
        <w:rPr>
          <w:color w:val="231F20"/>
          <w:spacing w:val="-23"/>
          <w:sz w:val="16"/>
        </w:rPr>
        <w:t> </w:t>
      </w:r>
      <w:r>
        <w:rPr>
          <w:color w:val="231F20"/>
          <w:sz w:val="16"/>
        </w:rPr>
        <w:t>inducidos</w:t>
      </w:r>
      <w:r>
        <w:rPr>
          <w:color w:val="231F20"/>
          <w:spacing w:val="-23"/>
          <w:sz w:val="16"/>
        </w:rPr>
        <w:t> </w:t>
      </w:r>
      <w:r>
        <w:rPr>
          <w:color w:val="231F20"/>
          <w:sz w:val="16"/>
        </w:rPr>
        <w:t>por</w:t>
      </w:r>
      <w:r>
        <w:rPr>
          <w:color w:val="231F20"/>
          <w:spacing w:val="-23"/>
          <w:sz w:val="16"/>
        </w:rPr>
        <w:t> </w:t>
      </w:r>
      <w:r>
        <w:rPr>
          <w:color w:val="231F20"/>
          <w:sz w:val="16"/>
        </w:rPr>
        <w:t>fenómenos</w:t>
      </w:r>
      <w:r>
        <w:rPr>
          <w:color w:val="231F20"/>
          <w:spacing w:val="-23"/>
          <w:sz w:val="16"/>
        </w:rPr>
        <w:t> </w:t>
      </w:r>
      <w:r>
        <w:rPr>
          <w:color w:val="231F20"/>
          <w:sz w:val="16"/>
        </w:rPr>
        <w:t>naturales</w:t>
      </w:r>
      <w:r>
        <w:rPr>
          <w:color w:val="231F20"/>
          <w:spacing w:val="-23"/>
          <w:sz w:val="16"/>
        </w:rPr>
        <w:t> </w:t>
      </w:r>
      <w:r>
        <w:rPr>
          <w:color w:val="231F20"/>
          <w:sz w:val="16"/>
        </w:rPr>
        <w:t>recurrentes”.</w:t>
      </w:r>
      <w:r>
        <w:rPr>
          <w:color w:val="231F20"/>
          <w:spacing w:val="-23"/>
          <w:sz w:val="16"/>
        </w:rPr>
        <w:t> </w:t>
      </w:r>
      <w:hyperlink r:id="rId673">
        <w:r>
          <w:rPr>
            <w:color w:val="231F20"/>
            <w:sz w:val="16"/>
          </w:rPr>
          <w:t>http://www.capfce.gob.mx/</w:t>
        </w:r>
      </w:hyperlink>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9"/>
        <w:jc w:val="both"/>
      </w:pPr>
      <w:r>
        <w:rPr>
          <w:color w:val="231F20"/>
          <w:w w:val="105"/>
        </w:rPr>
        <w:t>de</w:t>
      </w:r>
      <w:r>
        <w:rPr>
          <w:color w:val="231F20"/>
          <w:spacing w:val="-17"/>
          <w:w w:val="105"/>
        </w:rPr>
        <w:t> </w:t>
      </w:r>
      <w:r>
        <w:rPr>
          <w:color w:val="231F20"/>
          <w:w w:val="105"/>
        </w:rPr>
        <w:t>86,603</w:t>
      </w:r>
      <w:r>
        <w:rPr>
          <w:color w:val="231F20"/>
          <w:spacing w:val="-17"/>
          <w:w w:val="105"/>
        </w:rPr>
        <w:t> </w:t>
      </w:r>
      <w:r>
        <w:rPr>
          <w:color w:val="231F20"/>
          <w:w w:val="105"/>
        </w:rPr>
        <w:t>alumnos,</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significa</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cuestiones</w:t>
      </w:r>
      <w:r>
        <w:rPr>
          <w:color w:val="231F20"/>
          <w:spacing w:val="-17"/>
          <w:w w:val="105"/>
        </w:rPr>
        <w:t> </w:t>
      </w:r>
      <w:r>
        <w:rPr>
          <w:color w:val="231F20"/>
          <w:w w:val="105"/>
        </w:rPr>
        <w:t>de</w:t>
      </w:r>
      <w:r>
        <w:rPr>
          <w:color w:val="231F20"/>
          <w:spacing w:val="-17"/>
          <w:w w:val="105"/>
        </w:rPr>
        <w:t> </w:t>
      </w:r>
      <w:r>
        <w:rPr>
          <w:color w:val="231F20"/>
          <w:w w:val="105"/>
        </w:rPr>
        <w:t>cómputo</w:t>
      </w:r>
      <w:r>
        <w:rPr>
          <w:color w:val="231F20"/>
          <w:spacing w:val="-17"/>
          <w:w w:val="105"/>
        </w:rPr>
        <w:t> </w:t>
      </w:r>
      <w:r>
        <w:rPr>
          <w:color w:val="231F20"/>
          <w:w w:val="105"/>
        </w:rPr>
        <w:t>aún</w:t>
      </w:r>
      <w:r>
        <w:rPr>
          <w:color w:val="231F20"/>
          <w:spacing w:val="-17"/>
          <w:w w:val="105"/>
        </w:rPr>
        <w:t> </w:t>
      </w:r>
      <w:r>
        <w:rPr>
          <w:color w:val="231F20"/>
          <w:w w:val="105"/>
        </w:rPr>
        <w:t>hay</w:t>
      </w:r>
      <w:r>
        <w:rPr>
          <w:color w:val="231F20"/>
          <w:spacing w:val="-17"/>
          <w:w w:val="105"/>
        </w:rPr>
        <w:t> </w:t>
      </w:r>
      <w:r>
        <w:rPr>
          <w:color w:val="231F20"/>
          <w:w w:val="105"/>
        </w:rPr>
        <w:t>alumnos</w:t>
      </w:r>
      <w:r>
        <w:rPr>
          <w:color w:val="231F20"/>
          <w:spacing w:val="-17"/>
          <w:w w:val="105"/>
        </w:rPr>
        <w:t> </w:t>
      </w:r>
      <w:r>
        <w:rPr>
          <w:color w:val="231F20"/>
          <w:w w:val="105"/>
        </w:rPr>
        <w:t>que no</w:t>
      </w:r>
      <w:r>
        <w:rPr>
          <w:color w:val="231F20"/>
          <w:spacing w:val="-12"/>
          <w:w w:val="105"/>
        </w:rPr>
        <w:t> </w:t>
      </w:r>
      <w:r>
        <w:rPr>
          <w:color w:val="231F20"/>
          <w:w w:val="105"/>
        </w:rPr>
        <w:t>han</w:t>
      </w:r>
      <w:r>
        <w:rPr>
          <w:color w:val="231F20"/>
          <w:spacing w:val="-12"/>
          <w:w w:val="105"/>
        </w:rPr>
        <w:t> </w:t>
      </w:r>
      <w:r>
        <w:rPr>
          <w:color w:val="231F20"/>
          <w:w w:val="105"/>
        </w:rPr>
        <w:t>sido</w:t>
      </w:r>
      <w:r>
        <w:rPr>
          <w:color w:val="231F20"/>
          <w:spacing w:val="-12"/>
          <w:w w:val="105"/>
        </w:rPr>
        <w:t> </w:t>
      </w:r>
      <w:r>
        <w:rPr>
          <w:color w:val="231F20"/>
          <w:w w:val="105"/>
        </w:rPr>
        <w:t>beneficiados</w:t>
      </w:r>
      <w:r>
        <w:rPr>
          <w:color w:val="231F20"/>
          <w:spacing w:val="-12"/>
          <w:w w:val="105"/>
        </w:rPr>
        <w:t> </w:t>
      </w:r>
      <w:r>
        <w:rPr>
          <w:color w:val="231F20"/>
          <w:w w:val="105"/>
        </w:rPr>
        <w:t>con</w:t>
      </w:r>
      <w:r>
        <w:rPr>
          <w:color w:val="231F20"/>
          <w:spacing w:val="-12"/>
          <w:w w:val="105"/>
        </w:rPr>
        <w:t> </w:t>
      </w:r>
      <w:r>
        <w:rPr>
          <w:color w:val="231F20"/>
          <w:w w:val="105"/>
        </w:rPr>
        <w:t>este</w:t>
      </w:r>
      <w:r>
        <w:rPr>
          <w:color w:val="231F20"/>
          <w:spacing w:val="-12"/>
          <w:w w:val="105"/>
        </w:rPr>
        <w:t> </w:t>
      </w:r>
      <w:r>
        <w:rPr>
          <w:color w:val="231F20"/>
          <w:w w:val="105"/>
        </w:rPr>
        <w:t>programa.</w:t>
      </w:r>
    </w:p>
    <w:p>
      <w:pPr>
        <w:pStyle w:val="BodyText"/>
        <w:spacing w:before="1"/>
        <w:rPr>
          <w:sz w:val="26"/>
        </w:rPr>
      </w:pPr>
    </w:p>
    <w:p>
      <w:pPr>
        <w:pStyle w:val="BodyText"/>
        <w:spacing w:line="285" w:lineRule="auto"/>
        <w:ind w:left="110" w:right="108"/>
        <w:jc w:val="both"/>
      </w:pPr>
      <w:r>
        <w:rPr>
          <w:color w:val="231F20"/>
        </w:rPr>
        <w:t>En torno a la salud, quizá falte focalizar más los programas y acciones de medicina Ge- neral y Especialidades, Planificación Familiar, Laboratorio, Odontología, Unidades Mó- viles, Atención Psicológica Integral, Prevención contra el Alcoholismo y Drogadicción, Atención a Personas con Discapacidad, Programa   NUTRIDIF.</w:t>
      </w:r>
    </w:p>
    <w:p>
      <w:pPr>
        <w:pStyle w:val="BodyText"/>
        <w:spacing w:before="1"/>
        <w:rPr>
          <w:sz w:val="26"/>
        </w:rPr>
      </w:pPr>
    </w:p>
    <w:p>
      <w:pPr>
        <w:pStyle w:val="BodyText"/>
        <w:spacing w:line="285" w:lineRule="auto"/>
        <w:ind w:left="110" w:right="107"/>
        <w:jc w:val="both"/>
        <w:rPr>
          <w:sz w:val="13"/>
        </w:rPr>
      </w:pPr>
      <w:r>
        <w:rPr>
          <w:color w:val="231F20"/>
          <w:spacing w:val="-4"/>
          <w:w w:val="105"/>
        </w:rPr>
        <w:t>Hoy</w:t>
      </w:r>
      <w:r>
        <w:rPr>
          <w:color w:val="231F20"/>
          <w:spacing w:val="-25"/>
          <w:w w:val="105"/>
        </w:rPr>
        <w:t> </w:t>
      </w:r>
      <w:r>
        <w:rPr>
          <w:color w:val="231F20"/>
          <w:w w:val="105"/>
        </w:rPr>
        <w:t>existen</w:t>
      </w:r>
      <w:r>
        <w:rPr>
          <w:color w:val="231F20"/>
          <w:spacing w:val="-25"/>
          <w:w w:val="105"/>
        </w:rPr>
        <w:t> </w:t>
      </w:r>
      <w:r>
        <w:rPr>
          <w:color w:val="231F20"/>
          <w:w w:val="105"/>
        </w:rPr>
        <w:t>en</w:t>
      </w:r>
      <w:r>
        <w:rPr>
          <w:color w:val="231F20"/>
          <w:spacing w:val="-25"/>
          <w:w w:val="105"/>
        </w:rPr>
        <w:t> </w:t>
      </w:r>
      <w:r>
        <w:rPr>
          <w:color w:val="231F20"/>
          <w:w w:val="105"/>
        </w:rPr>
        <w:t>total</w:t>
      </w:r>
      <w:r>
        <w:rPr>
          <w:color w:val="231F20"/>
          <w:spacing w:val="-25"/>
          <w:w w:val="105"/>
        </w:rPr>
        <w:t> </w:t>
      </w:r>
      <w:r>
        <w:rPr>
          <w:color w:val="231F20"/>
          <w:w w:val="105"/>
        </w:rPr>
        <w:t>6</w:t>
      </w:r>
      <w:r>
        <w:rPr>
          <w:color w:val="231F20"/>
          <w:spacing w:val="-25"/>
          <w:w w:val="105"/>
        </w:rPr>
        <w:t> </w:t>
      </w:r>
      <w:r>
        <w:rPr>
          <w:color w:val="231F20"/>
          <w:spacing w:val="-3"/>
          <w:w w:val="105"/>
        </w:rPr>
        <w:t>subsistemas</w:t>
      </w:r>
      <w:r>
        <w:rPr>
          <w:color w:val="231F20"/>
          <w:spacing w:val="-25"/>
          <w:w w:val="105"/>
        </w:rPr>
        <w:t> </w:t>
      </w:r>
      <w:r>
        <w:rPr>
          <w:color w:val="231F20"/>
          <w:spacing w:val="-3"/>
          <w:w w:val="105"/>
        </w:rPr>
        <w:t>del</w:t>
      </w:r>
      <w:r>
        <w:rPr>
          <w:color w:val="231F20"/>
          <w:spacing w:val="-25"/>
          <w:w w:val="105"/>
        </w:rPr>
        <w:t> </w:t>
      </w:r>
      <w:r>
        <w:rPr>
          <w:color w:val="231F20"/>
          <w:w w:val="105"/>
        </w:rPr>
        <w:t>Sistema</w:t>
      </w:r>
      <w:r>
        <w:rPr>
          <w:color w:val="231F20"/>
          <w:spacing w:val="-25"/>
          <w:w w:val="105"/>
        </w:rPr>
        <w:t> </w:t>
      </w:r>
      <w:r>
        <w:rPr>
          <w:color w:val="231F20"/>
          <w:w w:val="105"/>
        </w:rPr>
        <w:t>Municipal</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w w:val="105"/>
        </w:rPr>
        <w:t>Desarrollo</w:t>
      </w:r>
      <w:r>
        <w:rPr>
          <w:color w:val="231F20"/>
          <w:spacing w:val="-25"/>
          <w:w w:val="105"/>
        </w:rPr>
        <w:t> </w:t>
      </w:r>
      <w:r>
        <w:rPr>
          <w:color w:val="231F20"/>
          <w:w w:val="105"/>
        </w:rPr>
        <w:t>Integral</w:t>
      </w:r>
      <w:r>
        <w:rPr>
          <w:color w:val="231F20"/>
          <w:spacing w:val="-25"/>
          <w:w w:val="105"/>
        </w:rPr>
        <w:t> </w:t>
      </w:r>
      <w:r>
        <w:rPr>
          <w:color w:val="231F20"/>
          <w:w w:val="105"/>
        </w:rPr>
        <w:t>de</w:t>
      </w:r>
      <w:r>
        <w:rPr>
          <w:color w:val="231F20"/>
          <w:spacing w:val="-25"/>
          <w:w w:val="105"/>
        </w:rPr>
        <w:t> </w:t>
      </w:r>
      <w:r>
        <w:rPr>
          <w:color w:val="231F20"/>
          <w:w w:val="105"/>
        </w:rPr>
        <w:t>la Familia</w:t>
      </w:r>
      <w:r>
        <w:rPr>
          <w:color w:val="231F20"/>
          <w:spacing w:val="-22"/>
          <w:w w:val="105"/>
        </w:rPr>
        <w:t> </w:t>
      </w:r>
      <w:r>
        <w:rPr>
          <w:color w:val="231F20"/>
          <w:spacing w:val="-3"/>
          <w:w w:val="105"/>
        </w:rPr>
        <w:t>(DIF)</w:t>
      </w:r>
      <w:r>
        <w:rPr>
          <w:color w:val="231F20"/>
          <w:spacing w:val="-22"/>
          <w:w w:val="105"/>
        </w:rPr>
        <w:t> </w:t>
      </w:r>
      <w:r>
        <w:rPr>
          <w:color w:val="231F20"/>
          <w:spacing w:val="-4"/>
          <w:w w:val="105"/>
        </w:rPr>
        <w:t>donde</w:t>
      </w:r>
      <w:r>
        <w:rPr>
          <w:color w:val="231F20"/>
          <w:spacing w:val="-22"/>
          <w:w w:val="105"/>
        </w:rPr>
        <w:t> </w:t>
      </w:r>
      <w:r>
        <w:rPr>
          <w:color w:val="231F20"/>
          <w:w w:val="105"/>
        </w:rPr>
        <w:t>se</w:t>
      </w:r>
      <w:r>
        <w:rPr>
          <w:color w:val="231F20"/>
          <w:spacing w:val="-22"/>
          <w:w w:val="105"/>
        </w:rPr>
        <w:t> </w:t>
      </w:r>
      <w:r>
        <w:rPr>
          <w:color w:val="231F20"/>
          <w:w w:val="105"/>
        </w:rPr>
        <w:t>brinda</w:t>
      </w:r>
      <w:r>
        <w:rPr>
          <w:color w:val="231F20"/>
          <w:spacing w:val="-22"/>
          <w:w w:val="105"/>
        </w:rPr>
        <w:t> </w:t>
      </w:r>
      <w:r>
        <w:rPr>
          <w:color w:val="231F20"/>
          <w:spacing w:val="-4"/>
          <w:w w:val="105"/>
        </w:rPr>
        <w:t>atención</w:t>
      </w:r>
      <w:r>
        <w:rPr>
          <w:color w:val="231F20"/>
          <w:spacing w:val="-22"/>
          <w:w w:val="105"/>
        </w:rPr>
        <w:t> </w:t>
      </w:r>
      <w:r>
        <w:rPr>
          <w:color w:val="231F20"/>
          <w:spacing w:val="-3"/>
          <w:w w:val="105"/>
        </w:rPr>
        <w:t>médico</w:t>
      </w:r>
      <w:r>
        <w:rPr>
          <w:color w:val="231F20"/>
          <w:spacing w:val="-22"/>
          <w:w w:val="105"/>
        </w:rPr>
        <w:t> </w:t>
      </w:r>
      <w:r>
        <w:rPr>
          <w:color w:val="231F20"/>
          <w:w w:val="105"/>
        </w:rPr>
        <w:t>asistencial</w:t>
      </w:r>
      <w:r>
        <w:rPr>
          <w:color w:val="231F20"/>
          <w:spacing w:val="-22"/>
          <w:w w:val="105"/>
        </w:rPr>
        <w:t> </w:t>
      </w:r>
      <w:r>
        <w:rPr>
          <w:color w:val="231F20"/>
          <w:w w:val="105"/>
        </w:rPr>
        <w:t>en</w:t>
      </w:r>
      <w:r>
        <w:rPr>
          <w:color w:val="231F20"/>
          <w:spacing w:val="-22"/>
          <w:w w:val="105"/>
        </w:rPr>
        <w:t> </w:t>
      </w:r>
      <w:r>
        <w:rPr>
          <w:color w:val="231F20"/>
          <w:w w:val="105"/>
        </w:rPr>
        <w:t>ambas</w:t>
      </w:r>
      <w:r>
        <w:rPr>
          <w:color w:val="231F20"/>
          <w:spacing w:val="-22"/>
          <w:w w:val="105"/>
        </w:rPr>
        <w:t> </w:t>
      </w:r>
      <w:r>
        <w:rPr>
          <w:color w:val="231F20"/>
          <w:w w:val="105"/>
        </w:rPr>
        <w:t>zonas</w:t>
      </w:r>
      <w:r>
        <w:rPr>
          <w:color w:val="231F20"/>
          <w:spacing w:val="-22"/>
          <w:w w:val="105"/>
        </w:rPr>
        <w:t> </w:t>
      </w:r>
      <w:r>
        <w:rPr>
          <w:color w:val="231F20"/>
          <w:spacing w:val="-3"/>
          <w:w w:val="105"/>
        </w:rPr>
        <w:t>del</w:t>
      </w:r>
      <w:r>
        <w:rPr>
          <w:color w:val="231F20"/>
          <w:spacing w:val="-22"/>
          <w:w w:val="105"/>
        </w:rPr>
        <w:t> </w:t>
      </w:r>
      <w:r>
        <w:rPr>
          <w:color w:val="231F20"/>
          <w:spacing w:val="-4"/>
          <w:w w:val="105"/>
        </w:rPr>
        <w:t>municipio. </w:t>
      </w:r>
      <w:r>
        <w:rPr>
          <w:color w:val="231F20"/>
          <w:spacing w:val="-5"/>
          <w:w w:val="105"/>
        </w:rPr>
        <w:t>Pero</w:t>
      </w:r>
      <w:r>
        <w:rPr>
          <w:color w:val="231F20"/>
          <w:spacing w:val="-17"/>
          <w:w w:val="105"/>
        </w:rPr>
        <w:t> </w:t>
      </w:r>
      <w:r>
        <w:rPr>
          <w:color w:val="231F20"/>
          <w:w w:val="105"/>
        </w:rPr>
        <w:t>la</w:t>
      </w:r>
      <w:r>
        <w:rPr>
          <w:color w:val="231F20"/>
          <w:spacing w:val="-17"/>
          <w:w w:val="105"/>
        </w:rPr>
        <w:t> </w:t>
      </w:r>
      <w:r>
        <w:rPr>
          <w:color w:val="231F20"/>
          <w:spacing w:val="-4"/>
          <w:w w:val="105"/>
        </w:rPr>
        <w:t>prioridad</w:t>
      </w:r>
      <w:r>
        <w:rPr>
          <w:color w:val="231F20"/>
          <w:spacing w:val="-17"/>
          <w:w w:val="105"/>
        </w:rPr>
        <w:t> </w:t>
      </w:r>
      <w:r>
        <w:rPr>
          <w:color w:val="231F20"/>
          <w:w w:val="105"/>
        </w:rPr>
        <w:t>la</w:t>
      </w:r>
      <w:r>
        <w:rPr>
          <w:color w:val="231F20"/>
          <w:spacing w:val="-17"/>
          <w:w w:val="105"/>
        </w:rPr>
        <w:t> </w:t>
      </w:r>
      <w:r>
        <w:rPr>
          <w:color w:val="231F20"/>
          <w:spacing w:val="-3"/>
          <w:w w:val="105"/>
        </w:rPr>
        <w:t>tiene</w:t>
      </w:r>
      <w:r>
        <w:rPr>
          <w:color w:val="231F20"/>
          <w:spacing w:val="-17"/>
          <w:w w:val="105"/>
        </w:rPr>
        <w:t> </w:t>
      </w:r>
      <w:r>
        <w:rPr>
          <w:color w:val="231F20"/>
          <w:w w:val="105"/>
        </w:rPr>
        <w:t>la</w:t>
      </w:r>
      <w:r>
        <w:rPr>
          <w:color w:val="231F20"/>
          <w:spacing w:val="-17"/>
          <w:w w:val="105"/>
        </w:rPr>
        <w:t> </w:t>
      </w:r>
      <w:r>
        <w:rPr>
          <w:color w:val="231F20"/>
          <w:spacing w:val="-3"/>
          <w:w w:val="105"/>
        </w:rPr>
        <w:t>zona</w:t>
      </w:r>
      <w:r>
        <w:rPr>
          <w:color w:val="231F20"/>
          <w:spacing w:val="-17"/>
          <w:w w:val="105"/>
        </w:rPr>
        <w:t> </w:t>
      </w:r>
      <w:r>
        <w:rPr>
          <w:color w:val="231F20"/>
          <w:spacing w:val="-3"/>
          <w:w w:val="105"/>
        </w:rPr>
        <w:t>poniente,</w:t>
      </w:r>
      <w:r>
        <w:rPr>
          <w:color w:val="231F20"/>
          <w:spacing w:val="-17"/>
          <w:w w:val="105"/>
        </w:rPr>
        <w:t> </w:t>
      </w:r>
      <w:r>
        <w:rPr>
          <w:color w:val="231F20"/>
          <w:w w:val="105"/>
        </w:rPr>
        <w:t>abarcando</w:t>
      </w:r>
      <w:r>
        <w:rPr>
          <w:color w:val="231F20"/>
          <w:spacing w:val="-17"/>
          <w:w w:val="105"/>
        </w:rPr>
        <w:t> </w:t>
      </w:r>
      <w:r>
        <w:rPr>
          <w:color w:val="231F20"/>
          <w:spacing w:val="-3"/>
          <w:w w:val="105"/>
        </w:rPr>
        <w:t>los</w:t>
      </w:r>
      <w:r>
        <w:rPr>
          <w:color w:val="231F20"/>
          <w:spacing w:val="-17"/>
          <w:w w:val="105"/>
        </w:rPr>
        <w:t> </w:t>
      </w:r>
      <w:r>
        <w:rPr>
          <w:color w:val="231F20"/>
          <w:spacing w:val="-4"/>
          <w:w w:val="105"/>
        </w:rPr>
        <w:t>mejores</w:t>
      </w:r>
      <w:r>
        <w:rPr>
          <w:color w:val="231F20"/>
          <w:spacing w:val="-17"/>
          <w:w w:val="105"/>
        </w:rPr>
        <w:t> </w:t>
      </w:r>
      <w:r>
        <w:rPr>
          <w:color w:val="231F20"/>
          <w:w w:val="105"/>
        </w:rPr>
        <w:t>servicios</w:t>
      </w:r>
      <w:r>
        <w:rPr>
          <w:color w:val="231F20"/>
          <w:spacing w:val="-17"/>
          <w:w w:val="105"/>
        </w:rPr>
        <w:t> </w:t>
      </w:r>
      <w:r>
        <w:rPr>
          <w:color w:val="231F20"/>
          <w:w w:val="105"/>
        </w:rPr>
        <w:t>de</w:t>
      </w:r>
      <w:r>
        <w:rPr>
          <w:color w:val="231F20"/>
          <w:spacing w:val="-17"/>
          <w:w w:val="105"/>
        </w:rPr>
        <w:t> </w:t>
      </w:r>
      <w:r>
        <w:rPr>
          <w:color w:val="231F20"/>
          <w:w w:val="105"/>
        </w:rPr>
        <w:t>salud</w:t>
      </w:r>
      <w:r>
        <w:rPr>
          <w:color w:val="231F20"/>
          <w:spacing w:val="-17"/>
          <w:w w:val="105"/>
        </w:rPr>
        <w:t> </w:t>
      </w:r>
      <w:r>
        <w:rPr>
          <w:color w:val="231F20"/>
          <w:spacing w:val="-4"/>
          <w:w w:val="105"/>
        </w:rPr>
        <w:t>como atención </w:t>
      </w:r>
      <w:r>
        <w:rPr>
          <w:color w:val="231F20"/>
          <w:w w:val="105"/>
        </w:rPr>
        <w:t>a </w:t>
      </w:r>
      <w:r>
        <w:rPr>
          <w:color w:val="231F20"/>
          <w:spacing w:val="-3"/>
          <w:w w:val="105"/>
        </w:rPr>
        <w:t>personas </w:t>
      </w:r>
      <w:r>
        <w:rPr>
          <w:color w:val="231F20"/>
          <w:spacing w:val="-2"/>
          <w:w w:val="105"/>
        </w:rPr>
        <w:t>discapacitadas, </w:t>
      </w:r>
      <w:r>
        <w:rPr>
          <w:color w:val="231F20"/>
          <w:spacing w:val="-4"/>
          <w:w w:val="105"/>
        </w:rPr>
        <w:t>laboratorio, </w:t>
      </w:r>
      <w:r>
        <w:rPr>
          <w:color w:val="231F20"/>
          <w:w w:val="105"/>
        </w:rPr>
        <w:t>etc., en </w:t>
      </w:r>
      <w:r>
        <w:rPr>
          <w:color w:val="231F20"/>
          <w:spacing w:val="-3"/>
          <w:w w:val="105"/>
        </w:rPr>
        <w:t>comparación con </w:t>
      </w:r>
      <w:r>
        <w:rPr>
          <w:color w:val="231F20"/>
          <w:w w:val="105"/>
        </w:rPr>
        <w:t>la </w:t>
      </w:r>
      <w:r>
        <w:rPr>
          <w:color w:val="231F20"/>
          <w:spacing w:val="-3"/>
          <w:w w:val="105"/>
        </w:rPr>
        <w:t>zona </w:t>
      </w:r>
      <w:r>
        <w:rPr>
          <w:color w:val="231F20"/>
          <w:spacing w:val="-4"/>
          <w:w w:val="105"/>
        </w:rPr>
        <w:t>oriente </w:t>
      </w:r>
      <w:r>
        <w:rPr>
          <w:color w:val="231F20"/>
          <w:w w:val="105"/>
        </w:rPr>
        <w:t>quien</w:t>
      </w:r>
      <w:r>
        <w:rPr>
          <w:color w:val="231F20"/>
          <w:spacing w:val="-24"/>
          <w:w w:val="105"/>
        </w:rPr>
        <w:t> </w:t>
      </w:r>
      <w:r>
        <w:rPr>
          <w:color w:val="231F20"/>
          <w:w w:val="105"/>
        </w:rPr>
        <w:t>apenas</w:t>
      </w:r>
      <w:r>
        <w:rPr>
          <w:color w:val="231F20"/>
          <w:spacing w:val="-24"/>
          <w:w w:val="105"/>
        </w:rPr>
        <w:t> </w:t>
      </w:r>
      <w:r>
        <w:rPr>
          <w:color w:val="231F20"/>
          <w:spacing w:val="-3"/>
          <w:w w:val="105"/>
        </w:rPr>
        <w:t>cuenta</w:t>
      </w:r>
      <w:r>
        <w:rPr>
          <w:color w:val="231F20"/>
          <w:spacing w:val="-24"/>
          <w:w w:val="105"/>
        </w:rPr>
        <w:t> </w:t>
      </w:r>
      <w:r>
        <w:rPr>
          <w:color w:val="231F20"/>
          <w:spacing w:val="-3"/>
          <w:w w:val="105"/>
        </w:rPr>
        <w:t>con</w:t>
      </w:r>
      <w:r>
        <w:rPr>
          <w:color w:val="231F20"/>
          <w:spacing w:val="-24"/>
          <w:w w:val="105"/>
        </w:rPr>
        <w:t> </w:t>
      </w:r>
      <w:r>
        <w:rPr>
          <w:color w:val="231F20"/>
          <w:w w:val="105"/>
        </w:rPr>
        <w:t>servicios</w:t>
      </w:r>
      <w:r>
        <w:rPr>
          <w:color w:val="231F20"/>
          <w:spacing w:val="-24"/>
          <w:w w:val="105"/>
        </w:rPr>
        <w:t> </w:t>
      </w:r>
      <w:r>
        <w:rPr>
          <w:color w:val="231F20"/>
          <w:spacing w:val="-3"/>
          <w:w w:val="105"/>
        </w:rPr>
        <w:t>básicos:</w:t>
      </w:r>
      <w:r>
        <w:rPr>
          <w:color w:val="231F20"/>
          <w:spacing w:val="-24"/>
          <w:w w:val="105"/>
        </w:rPr>
        <w:t> </w:t>
      </w:r>
      <w:r>
        <w:rPr>
          <w:color w:val="231F20"/>
          <w:w w:val="105"/>
        </w:rPr>
        <w:t>medicina</w:t>
      </w:r>
      <w:r>
        <w:rPr>
          <w:color w:val="231F20"/>
          <w:spacing w:val="-24"/>
          <w:w w:val="105"/>
        </w:rPr>
        <w:t> </w:t>
      </w:r>
      <w:r>
        <w:rPr>
          <w:color w:val="231F20"/>
          <w:spacing w:val="-3"/>
          <w:w w:val="105"/>
        </w:rPr>
        <w:t>general,</w:t>
      </w:r>
      <w:r>
        <w:rPr>
          <w:color w:val="231F20"/>
          <w:spacing w:val="-24"/>
          <w:w w:val="105"/>
        </w:rPr>
        <w:t> </w:t>
      </w:r>
      <w:r>
        <w:rPr>
          <w:color w:val="231F20"/>
          <w:spacing w:val="-3"/>
          <w:w w:val="105"/>
        </w:rPr>
        <w:t>por</w:t>
      </w:r>
      <w:r>
        <w:rPr>
          <w:color w:val="231F20"/>
          <w:spacing w:val="-24"/>
          <w:w w:val="105"/>
        </w:rPr>
        <w:t> </w:t>
      </w:r>
      <w:r>
        <w:rPr>
          <w:color w:val="231F20"/>
          <w:spacing w:val="-3"/>
          <w:w w:val="105"/>
        </w:rPr>
        <w:t>ejemplo</w:t>
      </w:r>
      <w:r>
        <w:rPr>
          <w:color w:val="231F20"/>
          <w:spacing w:val="-3"/>
          <w:w w:val="105"/>
          <w:position w:val="7"/>
          <w:sz w:val="13"/>
        </w:rPr>
        <w:t>32.</w:t>
      </w:r>
    </w:p>
    <w:p>
      <w:pPr>
        <w:pStyle w:val="BodyText"/>
        <w:spacing w:before="1"/>
        <w:rPr>
          <w:sz w:val="26"/>
        </w:rPr>
      </w:pPr>
    </w:p>
    <w:p>
      <w:pPr>
        <w:pStyle w:val="BodyText"/>
        <w:spacing w:line="285" w:lineRule="auto"/>
        <w:ind w:left="110" w:right="106"/>
        <w:jc w:val="both"/>
      </w:pPr>
      <w:r>
        <w:rPr>
          <w:color w:val="231F20"/>
          <w:w w:val="105"/>
        </w:rPr>
        <w:t>Además</w:t>
      </w:r>
      <w:r>
        <w:rPr>
          <w:color w:val="231F20"/>
          <w:spacing w:val="-22"/>
          <w:w w:val="105"/>
        </w:rPr>
        <w:t> </w:t>
      </w:r>
      <w:r>
        <w:rPr>
          <w:color w:val="231F20"/>
          <w:w w:val="105"/>
        </w:rPr>
        <w:t>el</w:t>
      </w:r>
      <w:r>
        <w:rPr>
          <w:color w:val="231F20"/>
          <w:spacing w:val="-22"/>
          <w:w w:val="105"/>
        </w:rPr>
        <w:t> </w:t>
      </w:r>
      <w:r>
        <w:rPr>
          <w:color w:val="231F20"/>
          <w:w w:val="105"/>
        </w:rPr>
        <w:t>municipio</w:t>
      </w:r>
      <w:r>
        <w:rPr>
          <w:color w:val="231F20"/>
          <w:spacing w:val="-22"/>
          <w:w w:val="105"/>
        </w:rPr>
        <w:t> </w:t>
      </w:r>
      <w:r>
        <w:rPr>
          <w:color w:val="231F20"/>
          <w:w w:val="105"/>
        </w:rPr>
        <w:t>apostó</w:t>
      </w:r>
      <w:r>
        <w:rPr>
          <w:color w:val="231F20"/>
          <w:spacing w:val="-22"/>
          <w:w w:val="105"/>
        </w:rPr>
        <w:t> </w:t>
      </w:r>
      <w:r>
        <w:rPr>
          <w:color w:val="231F20"/>
          <w:spacing w:val="-4"/>
          <w:w w:val="105"/>
        </w:rPr>
        <w:t>(como</w:t>
      </w:r>
      <w:r>
        <w:rPr>
          <w:color w:val="231F20"/>
          <w:spacing w:val="-22"/>
          <w:w w:val="105"/>
        </w:rPr>
        <w:t> </w:t>
      </w:r>
      <w:r>
        <w:rPr>
          <w:color w:val="231F20"/>
          <w:w w:val="105"/>
        </w:rPr>
        <w:t>lo</w:t>
      </w:r>
      <w:r>
        <w:rPr>
          <w:color w:val="231F20"/>
          <w:spacing w:val="-22"/>
          <w:w w:val="105"/>
        </w:rPr>
        <w:t> </w:t>
      </w:r>
      <w:r>
        <w:rPr>
          <w:color w:val="231F20"/>
          <w:w w:val="105"/>
        </w:rPr>
        <w:t>han</w:t>
      </w:r>
      <w:r>
        <w:rPr>
          <w:color w:val="231F20"/>
          <w:spacing w:val="-22"/>
          <w:w w:val="105"/>
        </w:rPr>
        <w:t> </w:t>
      </w:r>
      <w:r>
        <w:rPr>
          <w:color w:val="231F20"/>
          <w:w w:val="105"/>
        </w:rPr>
        <w:t>hecho</w:t>
      </w:r>
      <w:r>
        <w:rPr>
          <w:color w:val="231F20"/>
          <w:spacing w:val="-22"/>
          <w:w w:val="105"/>
        </w:rPr>
        <w:t> </w:t>
      </w:r>
      <w:r>
        <w:rPr>
          <w:color w:val="231F20"/>
          <w:w w:val="105"/>
        </w:rPr>
        <w:t>las</w:t>
      </w:r>
      <w:r>
        <w:rPr>
          <w:color w:val="231F20"/>
          <w:spacing w:val="-22"/>
          <w:w w:val="105"/>
        </w:rPr>
        <w:t> </w:t>
      </w:r>
      <w:r>
        <w:rPr>
          <w:color w:val="231F20"/>
          <w:w w:val="105"/>
        </w:rPr>
        <w:t>dos</w:t>
      </w:r>
      <w:r>
        <w:rPr>
          <w:color w:val="231F20"/>
          <w:spacing w:val="-22"/>
          <w:w w:val="105"/>
        </w:rPr>
        <w:t> </w:t>
      </w:r>
      <w:r>
        <w:rPr>
          <w:color w:val="231F20"/>
          <w:w w:val="105"/>
        </w:rPr>
        <w:t>anteriores</w:t>
      </w:r>
      <w:r>
        <w:rPr>
          <w:color w:val="231F20"/>
          <w:spacing w:val="-22"/>
          <w:w w:val="105"/>
        </w:rPr>
        <w:t> </w:t>
      </w:r>
      <w:r>
        <w:rPr>
          <w:color w:val="231F20"/>
          <w:w w:val="105"/>
        </w:rPr>
        <w:t>gestiones)</w:t>
      </w:r>
      <w:r>
        <w:rPr>
          <w:color w:val="231F20"/>
          <w:spacing w:val="-22"/>
          <w:w w:val="105"/>
        </w:rPr>
        <w:t> </w:t>
      </w:r>
      <w:r>
        <w:rPr>
          <w:color w:val="231F20"/>
          <w:spacing w:val="2"/>
          <w:w w:val="105"/>
        </w:rPr>
        <w:t>al</w:t>
      </w:r>
      <w:r>
        <w:rPr>
          <w:color w:val="231F20"/>
          <w:spacing w:val="-22"/>
          <w:w w:val="105"/>
        </w:rPr>
        <w:t> </w:t>
      </w:r>
      <w:r>
        <w:rPr>
          <w:color w:val="231F20"/>
          <w:spacing w:val="-3"/>
          <w:w w:val="105"/>
        </w:rPr>
        <w:t>fomento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inversión</w:t>
      </w:r>
      <w:r>
        <w:rPr>
          <w:color w:val="231F20"/>
          <w:spacing w:val="-5"/>
          <w:w w:val="105"/>
        </w:rPr>
        <w:t> </w:t>
      </w:r>
      <w:r>
        <w:rPr>
          <w:color w:val="231F20"/>
          <w:w w:val="105"/>
        </w:rPr>
        <w:t>como</w:t>
      </w:r>
      <w:r>
        <w:rPr>
          <w:color w:val="231F20"/>
          <w:spacing w:val="-5"/>
          <w:w w:val="105"/>
        </w:rPr>
        <w:t> </w:t>
      </w:r>
      <w:r>
        <w:rPr>
          <w:color w:val="231F20"/>
          <w:w w:val="105"/>
        </w:rPr>
        <w:t>una</w:t>
      </w:r>
      <w:r>
        <w:rPr>
          <w:color w:val="231F20"/>
          <w:spacing w:val="-5"/>
          <w:w w:val="105"/>
        </w:rPr>
        <w:t> </w:t>
      </w:r>
      <w:r>
        <w:rPr>
          <w:color w:val="231F20"/>
          <w:w w:val="105"/>
        </w:rPr>
        <w:t>pieza</w:t>
      </w:r>
      <w:r>
        <w:rPr>
          <w:color w:val="231F20"/>
          <w:spacing w:val="-5"/>
          <w:w w:val="105"/>
        </w:rPr>
        <w:t> </w:t>
      </w:r>
      <w:r>
        <w:rPr>
          <w:color w:val="231F20"/>
          <w:w w:val="105"/>
        </w:rPr>
        <w:t>clave</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generación</w:t>
      </w:r>
      <w:r>
        <w:rPr>
          <w:color w:val="231F20"/>
          <w:spacing w:val="-5"/>
          <w:w w:val="105"/>
        </w:rPr>
        <w:t> </w:t>
      </w:r>
      <w:r>
        <w:rPr>
          <w:color w:val="231F20"/>
          <w:w w:val="105"/>
        </w:rPr>
        <w:t>de</w:t>
      </w:r>
      <w:r>
        <w:rPr>
          <w:color w:val="231F20"/>
          <w:spacing w:val="-5"/>
          <w:w w:val="105"/>
        </w:rPr>
        <w:t> </w:t>
      </w:r>
      <w:r>
        <w:rPr>
          <w:color w:val="231F20"/>
          <w:w w:val="105"/>
        </w:rPr>
        <w:t>empleos</w:t>
      </w:r>
      <w:r>
        <w:rPr>
          <w:color w:val="231F20"/>
          <w:spacing w:val="-5"/>
          <w:w w:val="105"/>
        </w:rPr>
        <w:t> </w:t>
      </w:r>
      <w:r>
        <w:rPr>
          <w:color w:val="231F20"/>
          <w:w w:val="105"/>
        </w:rPr>
        <w:t>y</w:t>
      </w:r>
      <w:r>
        <w:rPr>
          <w:color w:val="231F20"/>
          <w:spacing w:val="-5"/>
          <w:w w:val="105"/>
        </w:rPr>
        <w:t> </w:t>
      </w:r>
      <w:r>
        <w:rPr>
          <w:color w:val="231F20"/>
          <w:w w:val="105"/>
        </w:rPr>
        <w:t>oportunidades</w:t>
      </w:r>
      <w:r>
        <w:rPr>
          <w:color w:val="231F20"/>
          <w:spacing w:val="-5"/>
          <w:w w:val="105"/>
        </w:rPr>
        <w:t> </w:t>
      </w:r>
      <w:r>
        <w:rPr>
          <w:color w:val="231F20"/>
          <w:w w:val="105"/>
        </w:rPr>
        <w:t>para contar</w:t>
      </w:r>
      <w:r>
        <w:rPr>
          <w:color w:val="231F20"/>
          <w:spacing w:val="-19"/>
          <w:w w:val="105"/>
        </w:rPr>
        <w:t> </w:t>
      </w:r>
      <w:r>
        <w:rPr>
          <w:color w:val="231F20"/>
          <w:w w:val="105"/>
        </w:rPr>
        <w:t>con</w:t>
      </w:r>
      <w:r>
        <w:rPr>
          <w:color w:val="231F20"/>
          <w:spacing w:val="-19"/>
          <w:w w:val="105"/>
        </w:rPr>
        <w:t> </w:t>
      </w:r>
      <w:r>
        <w:rPr>
          <w:color w:val="231F20"/>
          <w:w w:val="105"/>
        </w:rPr>
        <w:t>una</w:t>
      </w:r>
      <w:r>
        <w:rPr>
          <w:color w:val="231F20"/>
          <w:spacing w:val="-19"/>
          <w:w w:val="105"/>
        </w:rPr>
        <w:t> </w:t>
      </w:r>
      <w:r>
        <w:rPr>
          <w:color w:val="231F20"/>
          <w:spacing w:val="-2"/>
          <w:w w:val="105"/>
        </w:rPr>
        <w:t>“economía</w:t>
      </w:r>
      <w:r>
        <w:rPr>
          <w:color w:val="231F20"/>
          <w:spacing w:val="-19"/>
          <w:w w:val="105"/>
        </w:rPr>
        <w:t> </w:t>
      </w:r>
      <w:r>
        <w:rPr>
          <w:color w:val="231F20"/>
          <w:spacing w:val="-4"/>
          <w:w w:val="105"/>
        </w:rPr>
        <w:t>sólida”.</w:t>
      </w:r>
      <w:r>
        <w:rPr>
          <w:color w:val="231F20"/>
          <w:spacing w:val="-19"/>
          <w:w w:val="105"/>
        </w:rPr>
        <w:t> </w:t>
      </w:r>
      <w:r>
        <w:rPr>
          <w:color w:val="231F20"/>
          <w:w w:val="105"/>
        </w:rPr>
        <w:t>Llegó</w:t>
      </w:r>
      <w:r>
        <w:rPr>
          <w:color w:val="231F20"/>
          <w:spacing w:val="-19"/>
          <w:w w:val="105"/>
        </w:rPr>
        <w:t> </w:t>
      </w:r>
      <w:r>
        <w:rPr>
          <w:color w:val="231F20"/>
          <w:w w:val="105"/>
        </w:rPr>
        <w:t>incluso</w:t>
      </w:r>
      <w:r>
        <w:rPr>
          <w:color w:val="231F20"/>
          <w:spacing w:val="-19"/>
          <w:w w:val="105"/>
        </w:rPr>
        <w:t> </w:t>
      </w:r>
      <w:r>
        <w:rPr>
          <w:color w:val="231F20"/>
          <w:w w:val="105"/>
        </w:rPr>
        <w:t>a</w:t>
      </w:r>
      <w:r>
        <w:rPr>
          <w:color w:val="231F20"/>
          <w:spacing w:val="-19"/>
          <w:w w:val="105"/>
        </w:rPr>
        <w:t> </w:t>
      </w:r>
      <w:r>
        <w:rPr>
          <w:color w:val="231F20"/>
          <w:w w:val="105"/>
        </w:rPr>
        <w:t>ser</w:t>
      </w:r>
      <w:r>
        <w:rPr>
          <w:color w:val="231F20"/>
          <w:spacing w:val="-19"/>
          <w:w w:val="105"/>
        </w:rPr>
        <w:t> </w:t>
      </w:r>
      <w:r>
        <w:rPr>
          <w:color w:val="231F20"/>
          <w:w w:val="105"/>
        </w:rPr>
        <w:t>el</w:t>
      </w:r>
      <w:r>
        <w:rPr>
          <w:color w:val="231F20"/>
          <w:spacing w:val="-19"/>
          <w:w w:val="105"/>
        </w:rPr>
        <w:t> </w:t>
      </w:r>
      <w:r>
        <w:rPr>
          <w:color w:val="231F20"/>
          <w:w w:val="105"/>
        </w:rPr>
        <w:t>primer</w:t>
      </w:r>
      <w:r>
        <w:rPr>
          <w:color w:val="231F20"/>
          <w:spacing w:val="-19"/>
          <w:w w:val="105"/>
        </w:rPr>
        <w:t> </w:t>
      </w:r>
      <w:r>
        <w:rPr>
          <w:color w:val="231F20"/>
          <w:w w:val="105"/>
        </w:rPr>
        <w:t>lugar</w:t>
      </w:r>
      <w:r>
        <w:rPr>
          <w:color w:val="231F20"/>
          <w:spacing w:val="-19"/>
          <w:w w:val="105"/>
        </w:rPr>
        <w:t> </w:t>
      </w:r>
      <w:r>
        <w:rPr>
          <w:color w:val="231F20"/>
          <w:w w:val="105"/>
        </w:rPr>
        <w:t>en</w:t>
      </w:r>
      <w:r>
        <w:rPr>
          <w:color w:val="231F20"/>
          <w:spacing w:val="-19"/>
          <w:w w:val="105"/>
        </w:rPr>
        <w:t> </w:t>
      </w:r>
      <w:r>
        <w:rPr>
          <w:color w:val="231F20"/>
          <w:w w:val="105"/>
        </w:rPr>
        <w:t>Competitividad en</w:t>
      </w:r>
      <w:r>
        <w:rPr>
          <w:color w:val="231F20"/>
          <w:spacing w:val="-12"/>
          <w:w w:val="105"/>
        </w:rPr>
        <w:t> </w:t>
      </w:r>
      <w:r>
        <w:rPr>
          <w:color w:val="231F20"/>
          <w:w w:val="105"/>
        </w:rPr>
        <w:t>el</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según</w:t>
      </w:r>
      <w:r>
        <w:rPr>
          <w:color w:val="231F20"/>
          <w:spacing w:val="-12"/>
          <w:w w:val="105"/>
        </w:rPr>
        <w:t> </w:t>
      </w:r>
      <w:r>
        <w:rPr>
          <w:color w:val="231F20"/>
          <w:w w:val="105"/>
        </w:rPr>
        <w:t>la</w:t>
      </w:r>
      <w:r>
        <w:rPr>
          <w:color w:val="231F20"/>
          <w:spacing w:val="-12"/>
          <w:w w:val="105"/>
        </w:rPr>
        <w:t> </w:t>
      </w:r>
      <w:r>
        <w:rPr>
          <w:color w:val="231F20"/>
          <w:w w:val="105"/>
        </w:rPr>
        <w:t>propia</w:t>
      </w:r>
      <w:r>
        <w:rPr>
          <w:color w:val="231F20"/>
          <w:spacing w:val="-12"/>
          <w:w w:val="105"/>
        </w:rPr>
        <w:t> </w:t>
      </w:r>
      <w:r>
        <w:rPr>
          <w:color w:val="231F20"/>
          <w:w w:val="105"/>
        </w:rPr>
        <w:t>Secretaria</w:t>
      </w:r>
      <w:r>
        <w:rPr>
          <w:color w:val="231F20"/>
          <w:spacing w:val="-12"/>
          <w:w w:val="105"/>
        </w:rPr>
        <w:t> </w:t>
      </w:r>
      <w:r>
        <w:rPr>
          <w:color w:val="231F20"/>
          <w:w w:val="105"/>
        </w:rPr>
        <w:t>del</w:t>
      </w:r>
      <w:r>
        <w:rPr>
          <w:color w:val="231F20"/>
          <w:spacing w:val="-12"/>
          <w:w w:val="105"/>
        </w:rPr>
        <w:t> </w:t>
      </w:r>
      <w:r>
        <w:rPr>
          <w:color w:val="231F20"/>
          <w:spacing w:val="-3"/>
          <w:w w:val="105"/>
        </w:rPr>
        <w:t>Trabajo</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del</w:t>
      </w:r>
      <w:r>
        <w:rPr>
          <w:color w:val="231F20"/>
          <w:spacing w:val="-12"/>
          <w:w w:val="105"/>
        </w:rPr>
        <w:t> </w:t>
      </w:r>
      <w:r>
        <w:rPr>
          <w:color w:val="231F20"/>
          <w:w w:val="105"/>
        </w:rPr>
        <w:t>Estado de México. Para </w:t>
      </w:r>
      <w:r>
        <w:rPr>
          <w:color w:val="231F20"/>
          <w:spacing w:val="2"/>
          <w:w w:val="105"/>
        </w:rPr>
        <w:t>alcanzar </w:t>
      </w:r>
      <w:r>
        <w:rPr>
          <w:color w:val="231F20"/>
          <w:w w:val="105"/>
        </w:rPr>
        <w:t>este objetivo se llevaron a cabo cursos de capacitación para emprendedores y empresarios. Aunado a ello se estrechó la relación entre el gobierno municipal</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Consejo</w:t>
      </w:r>
      <w:r>
        <w:rPr>
          <w:color w:val="231F20"/>
          <w:spacing w:val="-6"/>
          <w:w w:val="105"/>
        </w:rPr>
        <w:t> </w:t>
      </w:r>
      <w:r>
        <w:rPr>
          <w:color w:val="231F20"/>
          <w:w w:val="105"/>
        </w:rPr>
        <w:t>Consultivo</w:t>
      </w:r>
      <w:r>
        <w:rPr>
          <w:color w:val="231F20"/>
          <w:spacing w:val="-6"/>
          <w:w w:val="105"/>
        </w:rPr>
        <w:t> </w:t>
      </w:r>
      <w:r>
        <w:rPr>
          <w:color w:val="231F20"/>
          <w:w w:val="105"/>
        </w:rPr>
        <w:t>Económico</w:t>
      </w:r>
      <w:r>
        <w:rPr>
          <w:color w:val="231F20"/>
          <w:spacing w:val="-6"/>
          <w:w w:val="105"/>
        </w:rPr>
        <w:t> </w:t>
      </w:r>
      <w:r>
        <w:rPr>
          <w:color w:val="231F20"/>
          <w:w w:val="105"/>
        </w:rPr>
        <w:t>de</w:t>
      </w:r>
      <w:r>
        <w:rPr>
          <w:color w:val="231F20"/>
          <w:spacing w:val="-6"/>
          <w:w w:val="105"/>
        </w:rPr>
        <w:t> </w:t>
      </w:r>
      <w:r>
        <w:rPr>
          <w:color w:val="231F20"/>
          <w:w w:val="105"/>
        </w:rPr>
        <w:t>Tlalnepantla</w:t>
      </w:r>
      <w:r>
        <w:rPr>
          <w:color w:val="231F20"/>
          <w:spacing w:val="-6"/>
          <w:w w:val="105"/>
        </w:rPr>
        <w:t> </w:t>
      </w:r>
      <w:r>
        <w:rPr>
          <w:color w:val="231F20"/>
          <w:w w:val="105"/>
        </w:rPr>
        <w:t>de</w:t>
      </w:r>
      <w:r>
        <w:rPr>
          <w:color w:val="231F20"/>
          <w:spacing w:val="-6"/>
          <w:w w:val="105"/>
        </w:rPr>
        <w:t> </w:t>
      </w:r>
      <w:r>
        <w:rPr>
          <w:color w:val="231F20"/>
          <w:w w:val="105"/>
        </w:rPr>
        <w:t>Baz,</w:t>
      </w:r>
      <w:r>
        <w:rPr>
          <w:color w:val="231F20"/>
          <w:spacing w:val="-6"/>
          <w:w w:val="105"/>
        </w:rPr>
        <w:t> </w:t>
      </w:r>
      <w:r>
        <w:rPr>
          <w:color w:val="231F20"/>
          <w:w w:val="105"/>
        </w:rPr>
        <w:t>además</w:t>
      </w:r>
      <w:r>
        <w:rPr>
          <w:color w:val="231F20"/>
          <w:spacing w:val="-6"/>
          <w:w w:val="105"/>
        </w:rPr>
        <w:t> </w:t>
      </w:r>
      <w:r>
        <w:rPr>
          <w:color w:val="231F20"/>
          <w:w w:val="105"/>
        </w:rPr>
        <w:t>de</w:t>
      </w:r>
      <w:r>
        <w:rPr>
          <w:color w:val="231F20"/>
          <w:spacing w:val="-6"/>
          <w:w w:val="105"/>
        </w:rPr>
        <w:t> </w:t>
      </w:r>
      <w:r>
        <w:rPr>
          <w:color w:val="231F20"/>
          <w:w w:val="105"/>
        </w:rPr>
        <w:t>que se</w:t>
      </w:r>
      <w:r>
        <w:rPr>
          <w:color w:val="231F20"/>
          <w:spacing w:val="-14"/>
          <w:w w:val="105"/>
        </w:rPr>
        <w:t> </w:t>
      </w:r>
      <w:r>
        <w:rPr>
          <w:color w:val="231F20"/>
          <w:w w:val="105"/>
        </w:rPr>
        <w:t>crearon</w:t>
      </w:r>
      <w:r>
        <w:rPr>
          <w:color w:val="231F20"/>
          <w:spacing w:val="-14"/>
          <w:w w:val="105"/>
        </w:rPr>
        <w:t> </w:t>
      </w:r>
      <w:r>
        <w:rPr>
          <w:color w:val="231F20"/>
          <w:w w:val="105"/>
        </w:rPr>
        <w:t>mecanismos</w:t>
      </w:r>
      <w:r>
        <w:rPr>
          <w:color w:val="231F20"/>
          <w:spacing w:val="-14"/>
          <w:w w:val="105"/>
        </w:rPr>
        <w:t> </w:t>
      </w:r>
      <w:r>
        <w:rPr>
          <w:color w:val="231F20"/>
          <w:w w:val="105"/>
        </w:rPr>
        <w:t>que</w:t>
      </w:r>
      <w:r>
        <w:rPr>
          <w:color w:val="231F20"/>
          <w:spacing w:val="-14"/>
          <w:w w:val="105"/>
        </w:rPr>
        <w:t> </w:t>
      </w:r>
      <w:r>
        <w:rPr>
          <w:color w:val="231F20"/>
          <w:w w:val="105"/>
        </w:rPr>
        <w:t>fomentan</w:t>
      </w:r>
      <w:r>
        <w:rPr>
          <w:color w:val="231F20"/>
          <w:spacing w:val="-14"/>
          <w:w w:val="105"/>
        </w:rPr>
        <w:t> </w:t>
      </w:r>
      <w:r>
        <w:rPr>
          <w:color w:val="231F20"/>
          <w:w w:val="105"/>
        </w:rPr>
        <w:t>la</w:t>
      </w:r>
      <w:r>
        <w:rPr>
          <w:color w:val="231F20"/>
          <w:spacing w:val="-14"/>
          <w:w w:val="105"/>
        </w:rPr>
        <w:t> </w:t>
      </w:r>
      <w:r>
        <w:rPr>
          <w:color w:val="231F20"/>
          <w:w w:val="105"/>
        </w:rPr>
        <w:t>apertura</w:t>
      </w:r>
      <w:r>
        <w:rPr>
          <w:color w:val="231F20"/>
          <w:spacing w:val="-14"/>
          <w:w w:val="105"/>
        </w:rPr>
        <w:t> </w:t>
      </w:r>
      <w:r>
        <w:rPr>
          <w:color w:val="231F20"/>
          <w:w w:val="105"/>
        </w:rPr>
        <w:t>rápida</w:t>
      </w:r>
      <w:r>
        <w:rPr>
          <w:color w:val="231F20"/>
          <w:spacing w:val="-14"/>
          <w:w w:val="105"/>
        </w:rPr>
        <w:t> </w:t>
      </w:r>
      <w:r>
        <w:rPr>
          <w:color w:val="231F20"/>
          <w:w w:val="105"/>
        </w:rPr>
        <w:t>de</w:t>
      </w:r>
      <w:r>
        <w:rPr>
          <w:color w:val="231F20"/>
          <w:spacing w:val="-14"/>
          <w:w w:val="105"/>
        </w:rPr>
        <w:t> </w:t>
      </w:r>
      <w:r>
        <w:rPr>
          <w:color w:val="231F20"/>
          <w:w w:val="105"/>
        </w:rPr>
        <w:t>empresas</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Centro</w:t>
      </w:r>
      <w:r>
        <w:rPr>
          <w:color w:val="231F20"/>
          <w:spacing w:val="-14"/>
          <w:w w:val="105"/>
        </w:rPr>
        <w:t> </w:t>
      </w:r>
      <w:r>
        <w:rPr>
          <w:color w:val="231F20"/>
          <w:w w:val="105"/>
        </w:rPr>
        <w:t>de Atención</w:t>
      </w:r>
      <w:r>
        <w:rPr>
          <w:color w:val="231F20"/>
          <w:spacing w:val="-16"/>
          <w:w w:val="105"/>
        </w:rPr>
        <w:t> </w:t>
      </w:r>
      <w:r>
        <w:rPr>
          <w:color w:val="231F20"/>
          <w:w w:val="105"/>
        </w:rPr>
        <w:t>Empresarial</w:t>
      </w:r>
      <w:r>
        <w:rPr>
          <w:color w:val="231F20"/>
          <w:spacing w:val="-16"/>
          <w:w w:val="105"/>
        </w:rPr>
        <w:t> </w:t>
      </w:r>
      <w:r>
        <w:rPr>
          <w:color w:val="231F20"/>
          <w:w w:val="105"/>
        </w:rPr>
        <w:t>de</w:t>
      </w:r>
      <w:r>
        <w:rPr>
          <w:color w:val="231F20"/>
          <w:spacing w:val="-16"/>
          <w:w w:val="105"/>
        </w:rPr>
        <w:t> </w:t>
      </w:r>
      <w:r>
        <w:rPr>
          <w:color w:val="231F20"/>
          <w:w w:val="105"/>
        </w:rPr>
        <w:t>Tlalnepantla.</w:t>
      </w:r>
    </w:p>
    <w:p>
      <w:pPr>
        <w:pStyle w:val="BodyText"/>
        <w:spacing w:before="1"/>
        <w:rPr>
          <w:sz w:val="26"/>
        </w:rPr>
      </w:pPr>
    </w:p>
    <w:p>
      <w:pPr>
        <w:pStyle w:val="BodyText"/>
        <w:spacing w:line="285" w:lineRule="auto"/>
        <w:ind w:left="110" w:right="108"/>
        <w:jc w:val="both"/>
      </w:pPr>
      <w:r>
        <w:rPr>
          <w:color w:val="231F20"/>
          <w:w w:val="105"/>
        </w:rPr>
        <w:t>Respecto</w:t>
      </w:r>
      <w:r>
        <w:rPr>
          <w:color w:val="231F20"/>
          <w:spacing w:val="-14"/>
          <w:w w:val="105"/>
        </w:rPr>
        <w:t> </w:t>
      </w:r>
      <w:r>
        <w:rPr>
          <w:color w:val="231F20"/>
          <w:spacing w:val="2"/>
          <w:w w:val="105"/>
        </w:rPr>
        <w:t>al</w:t>
      </w:r>
      <w:r>
        <w:rPr>
          <w:color w:val="231F20"/>
          <w:spacing w:val="-14"/>
          <w:w w:val="105"/>
        </w:rPr>
        <w:t> </w:t>
      </w:r>
      <w:r>
        <w:rPr>
          <w:color w:val="231F20"/>
          <w:w w:val="105"/>
        </w:rPr>
        <w:t>servicio</w:t>
      </w:r>
      <w:r>
        <w:rPr>
          <w:color w:val="231F20"/>
          <w:spacing w:val="-14"/>
          <w:w w:val="105"/>
        </w:rPr>
        <w:t> </w:t>
      </w:r>
      <w:r>
        <w:rPr>
          <w:color w:val="231F20"/>
          <w:w w:val="105"/>
        </w:rPr>
        <w:t>de</w:t>
      </w:r>
      <w:r>
        <w:rPr>
          <w:color w:val="231F20"/>
          <w:spacing w:val="-14"/>
          <w:w w:val="105"/>
        </w:rPr>
        <w:t> </w:t>
      </w:r>
      <w:r>
        <w:rPr>
          <w:color w:val="231F20"/>
          <w:w w:val="105"/>
        </w:rPr>
        <w:t>agua,</w:t>
      </w:r>
      <w:r>
        <w:rPr>
          <w:color w:val="231F20"/>
          <w:spacing w:val="-14"/>
          <w:w w:val="105"/>
        </w:rPr>
        <w:t> </w:t>
      </w:r>
      <w:r>
        <w:rPr>
          <w:color w:val="231F20"/>
          <w:w w:val="105"/>
        </w:rPr>
        <w:t>las</w:t>
      </w:r>
      <w:r>
        <w:rPr>
          <w:color w:val="231F20"/>
          <w:spacing w:val="-14"/>
          <w:w w:val="105"/>
        </w:rPr>
        <w:t> </w:t>
      </w:r>
      <w:r>
        <w:rPr>
          <w:color w:val="231F20"/>
          <w:w w:val="105"/>
        </w:rPr>
        <w:t>acciones</w:t>
      </w:r>
      <w:r>
        <w:rPr>
          <w:color w:val="231F20"/>
          <w:spacing w:val="-14"/>
          <w:w w:val="105"/>
        </w:rPr>
        <w:t> </w:t>
      </w:r>
      <w:r>
        <w:rPr>
          <w:color w:val="231F20"/>
          <w:w w:val="105"/>
        </w:rPr>
        <w:t>y</w:t>
      </w:r>
      <w:r>
        <w:rPr>
          <w:color w:val="231F20"/>
          <w:spacing w:val="-14"/>
          <w:w w:val="105"/>
        </w:rPr>
        <w:t> </w:t>
      </w:r>
      <w:r>
        <w:rPr>
          <w:color w:val="231F20"/>
          <w:w w:val="105"/>
        </w:rPr>
        <w:t>programas</w:t>
      </w:r>
      <w:r>
        <w:rPr>
          <w:color w:val="231F20"/>
          <w:spacing w:val="-14"/>
          <w:w w:val="105"/>
        </w:rPr>
        <w:t> </w:t>
      </w:r>
      <w:r>
        <w:rPr>
          <w:color w:val="231F20"/>
          <w:w w:val="105"/>
        </w:rPr>
        <w:t>del</w:t>
      </w:r>
      <w:r>
        <w:rPr>
          <w:color w:val="231F20"/>
          <w:spacing w:val="-14"/>
          <w:w w:val="105"/>
        </w:rPr>
        <w:t> </w:t>
      </w:r>
      <w:r>
        <w:rPr>
          <w:color w:val="231F20"/>
          <w:w w:val="105"/>
        </w:rPr>
        <w:t>Organismo</w:t>
      </w:r>
      <w:r>
        <w:rPr>
          <w:color w:val="231F20"/>
          <w:spacing w:val="-14"/>
          <w:w w:val="105"/>
        </w:rPr>
        <w:t> </w:t>
      </w:r>
      <w:r>
        <w:rPr>
          <w:color w:val="231F20"/>
          <w:w w:val="105"/>
        </w:rPr>
        <w:t>Público</w:t>
      </w:r>
      <w:r>
        <w:rPr>
          <w:color w:val="231F20"/>
          <w:spacing w:val="-14"/>
          <w:w w:val="105"/>
        </w:rPr>
        <w:t> </w:t>
      </w:r>
      <w:r>
        <w:rPr>
          <w:color w:val="231F20"/>
          <w:w w:val="105"/>
        </w:rPr>
        <w:t>Descen- tralizado para la Prestación de los Servicios de Agua Potable, Alcantarillado y Sanea- miento</w:t>
      </w:r>
      <w:r>
        <w:rPr>
          <w:color w:val="231F20"/>
          <w:spacing w:val="-10"/>
          <w:w w:val="105"/>
        </w:rPr>
        <w:t> </w:t>
      </w:r>
      <w:r>
        <w:rPr>
          <w:color w:val="231F20"/>
          <w:w w:val="105"/>
        </w:rPr>
        <w:t>de</w:t>
      </w:r>
      <w:r>
        <w:rPr>
          <w:color w:val="231F20"/>
          <w:spacing w:val="-10"/>
          <w:w w:val="105"/>
        </w:rPr>
        <w:t> </w:t>
      </w:r>
      <w:r>
        <w:rPr>
          <w:color w:val="231F20"/>
          <w:w w:val="105"/>
        </w:rPr>
        <w:t>Tlalnepantla</w:t>
      </w:r>
      <w:r>
        <w:rPr>
          <w:color w:val="231F20"/>
          <w:spacing w:val="-10"/>
          <w:w w:val="105"/>
        </w:rPr>
        <w:t> </w:t>
      </w:r>
      <w:r>
        <w:rPr>
          <w:color w:val="231F20"/>
          <w:spacing w:val="-5"/>
          <w:w w:val="105"/>
        </w:rPr>
        <w:t>(OPDM)</w:t>
      </w:r>
      <w:r>
        <w:rPr>
          <w:color w:val="231F20"/>
          <w:spacing w:val="-10"/>
          <w:w w:val="105"/>
        </w:rPr>
        <w:t> </w:t>
      </w:r>
      <w:r>
        <w:rPr>
          <w:color w:val="231F20"/>
          <w:w w:val="105"/>
        </w:rPr>
        <w:t>llevó</w:t>
      </w:r>
      <w:r>
        <w:rPr>
          <w:color w:val="231F20"/>
          <w:spacing w:val="-10"/>
          <w:w w:val="105"/>
        </w:rPr>
        <w:t> </w:t>
      </w:r>
      <w:r>
        <w:rPr>
          <w:color w:val="231F20"/>
          <w:w w:val="105"/>
        </w:rPr>
        <w:t>a</w:t>
      </w:r>
      <w:r>
        <w:rPr>
          <w:color w:val="231F20"/>
          <w:spacing w:val="-10"/>
          <w:w w:val="105"/>
        </w:rPr>
        <w:t> </w:t>
      </w:r>
      <w:r>
        <w:rPr>
          <w:color w:val="231F20"/>
          <w:w w:val="105"/>
        </w:rPr>
        <w:t>cabo</w:t>
      </w:r>
      <w:r>
        <w:rPr>
          <w:color w:val="231F20"/>
          <w:spacing w:val="-10"/>
          <w:w w:val="105"/>
        </w:rPr>
        <w:t> </w:t>
      </w:r>
      <w:r>
        <w:rPr>
          <w:color w:val="231F20"/>
          <w:w w:val="105"/>
        </w:rPr>
        <w:t>acciones</w:t>
      </w:r>
      <w:r>
        <w:rPr>
          <w:color w:val="231F20"/>
          <w:spacing w:val="-10"/>
          <w:w w:val="105"/>
        </w:rPr>
        <w:t> </w:t>
      </w:r>
      <w:r>
        <w:rPr>
          <w:color w:val="231F20"/>
          <w:w w:val="105"/>
        </w:rPr>
        <w:t>de</w:t>
      </w:r>
      <w:r>
        <w:rPr>
          <w:color w:val="231F20"/>
          <w:spacing w:val="-10"/>
          <w:w w:val="105"/>
        </w:rPr>
        <w:t> </w:t>
      </w:r>
      <w:r>
        <w:rPr>
          <w:color w:val="231F20"/>
          <w:w w:val="105"/>
        </w:rPr>
        <w:t>Operación</w:t>
      </w:r>
      <w:r>
        <w:rPr>
          <w:color w:val="231F20"/>
          <w:spacing w:val="-10"/>
          <w:w w:val="105"/>
        </w:rPr>
        <w:t> </w:t>
      </w:r>
      <w:r>
        <w:rPr>
          <w:color w:val="231F20"/>
          <w:w w:val="105"/>
        </w:rPr>
        <w:t>Hidráulica,</w:t>
      </w:r>
      <w:r>
        <w:rPr>
          <w:color w:val="231F20"/>
          <w:spacing w:val="-10"/>
          <w:w w:val="105"/>
        </w:rPr>
        <w:t> </w:t>
      </w:r>
      <w:r>
        <w:rPr>
          <w:color w:val="231F20"/>
          <w:w w:val="105"/>
        </w:rPr>
        <w:t>Cons- trucción,</w:t>
      </w:r>
      <w:r>
        <w:rPr>
          <w:color w:val="231F20"/>
          <w:spacing w:val="-18"/>
          <w:w w:val="105"/>
        </w:rPr>
        <w:t> </w:t>
      </w:r>
      <w:r>
        <w:rPr>
          <w:color w:val="231F20"/>
          <w:w w:val="105"/>
        </w:rPr>
        <w:t>Tratamiento</w:t>
      </w:r>
      <w:r>
        <w:rPr>
          <w:color w:val="231F20"/>
          <w:spacing w:val="-18"/>
          <w:w w:val="105"/>
        </w:rPr>
        <w:t> </w:t>
      </w:r>
      <w:r>
        <w:rPr>
          <w:color w:val="231F20"/>
          <w:w w:val="105"/>
        </w:rPr>
        <w:t>de</w:t>
      </w:r>
      <w:r>
        <w:rPr>
          <w:color w:val="231F20"/>
          <w:spacing w:val="-18"/>
          <w:w w:val="105"/>
        </w:rPr>
        <w:t> </w:t>
      </w:r>
      <w:r>
        <w:rPr>
          <w:color w:val="231F20"/>
          <w:w w:val="105"/>
        </w:rPr>
        <w:t>Aguas</w:t>
      </w:r>
      <w:r>
        <w:rPr>
          <w:color w:val="231F20"/>
          <w:spacing w:val="-18"/>
          <w:w w:val="105"/>
        </w:rPr>
        <w:t> </w:t>
      </w:r>
      <w:r>
        <w:rPr>
          <w:color w:val="231F20"/>
          <w:w w:val="105"/>
        </w:rPr>
        <w:t>Residuales,</w:t>
      </w:r>
      <w:r>
        <w:rPr>
          <w:color w:val="231F20"/>
          <w:spacing w:val="-18"/>
          <w:w w:val="105"/>
        </w:rPr>
        <w:t> </w:t>
      </w:r>
      <w:r>
        <w:rPr>
          <w:color w:val="231F20"/>
          <w:w w:val="105"/>
        </w:rPr>
        <w:t>Equipamiento</w:t>
      </w:r>
      <w:r>
        <w:rPr>
          <w:color w:val="231F20"/>
          <w:spacing w:val="-18"/>
          <w:w w:val="105"/>
        </w:rPr>
        <w:t> </w:t>
      </w:r>
      <w:r>
        <w:rPr>
          <w:color w:val="231F20"/>
          <w:w w:val="105"/>
        </w:rPr>
        <w:t>Vehicular,</w:t>
      </w:r>
      <w:r>
        <w:rPr>
          <w:color w:val="231F20"/>
          <w:spacing w:val="-18"/>
          <w:w w:val="105"/>
        </w:rPr>
        <w:t> </w:t>
      </w:r>
      <w:r>
        <w:rPr>
          <w:color w:val="231F20"/>
          <w:w w:val="105"/>
        </w:rPr>
        <w:t>entre</w:t>
      </w:r>
      <w:r>
        <w:rPr>
          <w:color w:val="231F20"/>
          <w:spacing w:val="-18"/>
          <w:w w:val="105"/>
        </w:rPr>
        <w:t> </w:t>
      </w:r>
      <w:r>
        <w:rPr>
          <w:color w:val="231F20"/>
          <w:w w:val="105"/>
        </w:rPr>
        <w:t>otras.</w:t>
      </w:r>
    </w:p>
    <w:p>
      <w:pPr>
        <w:pStyle w:val="BodyText"/>
        <w:spacing w:line="285" w:lineRule="auto" w:before="1"/>
        <w:ind w:left="110" w:right="108"/>
        <w:jc w:val="both"/>
      </w:pPr>
      <w:r>
        <w:rPr>
          <w:color w:val="231F20"/>
          <w:w w:val="105"/>
        </w:rPr>
        <w:t>Sin embargo, es de resaltar que dichas acciones no fueron debidamente focalizadas </w:t>
      </w:r>
      <w:r>
        <w:rPr>
          <w:color w:val="231F20"/>
          <w:w w:val="105"/>
          <w:u w:val="single" w:color="231F20"/>
        </w:rPr>
        <w:t>atendiendo</w:t>
      </w:r>
      <w:r>
        <w:rPr>
          <w:color w:val="231F20"/>
          <w:spacing w:val="-17"/>
          <w:w w:val="105"/>
          <w:u w:val="single" w:color="231F20"/>
        </w:rPr>
        <w:t> </w:t>
      </w:r>
      <w:r>
        <w:rPr>
          <w:color w:val="231F20"/>
          <w:w w:val="105"/>
          <w:u w:val="single" w:color="231F20"/>
        </w:rPr>
        <w:t>a</w:t>
      </w:r>
      <w:r>
        <w:rPr>
          <w:color w:val="231F20"/>
          <w:spacing w:val="-17"/>
          <w:w w:val="105"/>
          <w:u w:val="single" w:color="231F20"/>
        </w:rPr>
        <w:t> </w:t>
      </w:r>
      <w:r>
        <w:rPr>
          <w:color w:val="231F20"/>
          <w:w w:val="105"/>
          <w:u w:val="single" w:color="231F20"/>
        </w:rPr>
        <w:t>los</w:t>
      </w:r>
      <w:r>
        <w:rPr>
          <w:color w:val="231F20"/>
          <w:spacing w:val="-17"/>
          <w:w w:val="105"/>
          <w:u w:val="single" w:color="231F20"/>
        </w:rPr>
        <w:t> </w:t>
      </w:r>
      <w:r>
        <w:rPr>
          <w:color w:val="231F20"/>
          <w:w w:val="105"/>
        </w:rPr>
        <w:t>grupos</w:t>
      </w:r>
      <w:r>
        <w:rPr>
          <w:color w:val="231F20"/>
          <w:spacing w:val="-17"/>
          <w:w w:val="105"/>
        </w:rPr>
        <w:t> </w:t>
      </w:r>
      <w:r>
        <w:rPr>
          <w:color w:val="231F20"/>
          <w:w w:val="105"/>
        </w:rPr>
        <w:t>vulnerables</w:t>
      </w:r>
      <w:r>
        <w:rPr>
          <w:color w:val="231F20"/>
          <w:spacing w:val="-17"/>
          <w:w w:val="105"/>
        </w:rPr>
        <w:t> </w:t>
      </w:r>
      <w:r>
        <w:rPr>
          <w:color w:val="231F20"/>
          <w:w w:val="105"/>
        </w:rPr>
        <w:t>como</w:t>
      </w:r>
      <w:r>
        <w:rPr>
          <w:color w:val="231F20"/>
          <w:spacing w:val="-17"/>
          <w:w w:val="105"/>
        </w:rPr>
        <w:t> </w:t>
      </w:r>
      <w:r>
        <w:rPr>
          <w:color w:val="231F20"/>
          <w:w w:val="105"/>
        </w:rPr>
        <w:t>apuntan</w:t>
      </w:r>
      <w:r>
        <w:rPr>
          <w:color w:val="231F20"/>
          <w:spacing w:val="-17"/>
          <w:w w:val="105"/>
        </w:rPr>
        <w:t> </w:t>
      </w:r>
      <w:r>
        <w:rPr>
          <w:color w:val="231F20"/>
          <w:w w:val="105"/>
        </w:rPr>
        <w:t>el</w:t>
      </w:r>
      <w:r>
        <w:rPr>
          <w:color w:val="231F20"/>
          <w:spacing w:val="-17"/>
          <w:w w:val="105"/>
        </w:rPr>
        <w:t> </w:t>
      </w:r>
      <w:r>
        <w:rPr>
          <w:color w:val="231F20"/>
          <w:w w:val="105"/>
        </w:rPr>
        <w:t>Plan</w:t>
      </w:r>
      <w:r>
        <w:rPr>
          <w:color w:val="231F20"/>
          <w:spacing w:val="-17"/>
          <w:w w:val="105"/>
        </w:rPr>
        <w:t> </w:t>
      </w:r>
      <w:r>
        <w:rPr>
          <w:color w:val="231F20"/>
          <w:w w:val="105"/>
        </w:rPr>
        <w:t>de</w:t>
      </w:r>
      <w:r>
        <w:rPr>
          <w:color w:val="231F20"/>
          <w:spacing w:val="-17"/>
          <w:w w:val="105"/>
        </w:rPr>
        <w:t> </w:t>
      </w:r>
      <w:r>
        <w:rPr>
          <w:color w:val="231F20"/>
          <w:w w:val="105"/>
        </w:rPr>
        <w:t>Desarrollo</w:t>
      </w:r>
      <w:r>
        <w:rPr>
          <w:color w:val="231F20"/>
          <w:spacing w:val="-17"/>
          <w:w w:val="105"/>
        </w:rPr>
        <w:t> </w:t>
      </w:r>
      <w:r>
        <w:rPr>
          <w:color w:val="231F20"/>
          <w:w w:val="105"/>
        </w:rPr>
        <w:t>Municipal,</w:t>
      </w:r>
      <w:r>
        <w:rPr>
          <w:color w:val="231F20"/>
          <w:spacing w:val="-17"/>
          <w:w w:val="105"/>
        </w:rPr>
        <w:t> </w:t>
      </w:r>
      <w:r>
        <w:rPr>
          <w:color w:val="231F20"/>
          <w:w w:val="105"/>
        </w:rPr>
        <w:t>por</w:t>
      </w:r>
    </w:p>
    <w:p>
      <w:pPr>
        <w:pStyle w:val="ListParagraph"/>
        <w:numPr>
          <w:ilvl w:val="0"/>
          <w:numId w:val="16"/>
        </w:numPr>
        <w:tabs>
          <w:tab w:pos="333" w:val="left" w:leader="none"/>
        </w:tabs>
        <w:spacing w:line="240" w:lineRule="auto" w:before="52" w:after="0"/>
        <w:ind w:left="332" w:right="0" w:hanging="222"/>
        <w:jc w:val="both"/>
        <w:rPr>
          <w:sz w:val="16"/>
        </w:rPr>
      </w:pPr>
      <w:r>
        <w:rPr>
          <w:color w:val="231F20"/>
          <w:sz w:val="16"/>
        </w:rPr>
        <w:t>Segundo</w:t>
      </w:r>
      <w:r>
        <w:rPr>
          <w:color w:val="231F20"/>
          <w:spacing w:val="-15"/>
          <w:sz w:val="16"/>
        </w:rPr>
        <w:t> </w:t>
      </w:r>
      <w:r>
        <w:rPr>
          <w:color w:val="231F20"/>
          <w:sz w:val="16"/>
        </w:rPr>
        <w:t>Informe</w:t>
      </w:r>
      <w:r>
        <w:rPr>
          <w:color w:val="231F20"/>
          <w:spacing w:val="-15"/>
          <w:sz w:val="16"/>
        </w:rPr>
        <w:t> </w:t>
      </w:r>
      <w:r>
        <w:rPr>
          <w:color w:val="231F20"/>
          <w:sz w:val="16"/>
        </w:rPr>
        <w:t>de</w:t>
      </w:r>
      <w:r>
        <w:rPr>
          <w:color w:val="231F20"/>
          <w:spacing w:val="-15"/>
          <w:sz w:val="16"/>
        </w:rPr>
        <w:t> </w:t>
      </w:r>
      <w:r>
        <w:rPr>
          <w:color w:val="231F20"/>
          <w:sz w:val="16"/>
        </w:rPr>
        <w:t>Gobierno,</w:t>
      </w:r>
      <w:r>
        <w:rPr>
          <w:color w:val="231F20"/>
          <w:spacing w:val="-15"/>
          <w:sz w:val="16"/>
        </w:rPr>
        <w:t> </w:t>
      </w:r>
      <w:r>
        <w:rPr>
          <w:color w:val="231F20"/>
          <w:sz w:val="16"/>
        </w:rPr>
        <w:t>H.</w:t>
      </w:r>
      <w:r>
        <w:rPr>
          <w:color w:val="231F20"/>
          <w:spacing w:val="-15"/>
          <w:sz w:val="16"/>
        </w:rPr>
        <w:t> </w:t>
      </w:r>
      <w:r>
        <w:rPr>
          <w:color w:val="231F20"/>
          <w:sz w:val="16"/>
        </w:rPr>
        <w:t>Ayuntamiento</w:t>
      </w:r>
      <w:r>
        <w:rPr>
          <w:color w:val="231F20"/>
          <w:spacing w:val="-15"/>
          <w:sz w:val="16"/>
        </w:rPr>
        <w:t> </w:t>
      </w:r>
      <w:r>
        <w:rPr>
          <w:color w:val="231F20"/>
          <w:sz w:val="16"/>
        </w:rPr>
        <w:t>de</w:t>
      </w:r>
      <w:r>
        <w:rPr>
          <w:color w:val="231F20"/>
          <w:spacing w:val="-15"/>
          <w:sz w:val="16"/>
        </w:rPr>
        <w:t> </w:t>
      </w:r>
      <w:r>
        <w:rPr>
          <w:color w:val="231F20"/>
          <w:sz w:val="16"/>
        </w:rPr>
        <w:t>Tlalnepantla,</w:t>
      </w:r>
      <w:r>
        <w:rPr>
          <w:color w:val="231F20"/>
          <w:spacing w:val="-15"/>
          <w:sz w:val="16"/>
        </w:rPr>
        <w:t> </w:t>
      </w:r>
      <w:r>
        <w:rPr>
          <w:color w:val="231F20"/>
          <w:sz w:val="16"/>
        </w:rPr>
        <w:t>México,</w:t>
      </w:r>
      <w:r>
        <w:rPr>
          <w:color w:val="231F20"/>
          <w:spacing w:val="-15"/>
          <w:sz w:val="16"/>
        </w:rPr>
        <w:t> </w:t>
      </w:r>
      <w:r>
        <w:rPr>
          <w:color w:val="231F20"/>
          <w:sz w:val="16"/>
        </w:rPr>
        <w:t>2008,</w:t>
      </w:r>
      <w:r>
        <w:rPr>
          <w:color w:val="231F20"/>
          <w:spacing w:val="-15"/>
          <w:sz w:val="16"/>
        </w:rPr>
        <w:t> </w:t>
      </w:r>
      <w:r>
        <w:rPr>
          <w:color w:val="231F20"/>
          <w:sz w:val="16"/>
        </w:rPr>
        <w:t>pp.</w:t>
      </w:r>
      <w:r>
        <w:rPr>
          <w:color w:val="231F20"/>
          <w:spacing w:val="-15"/>
          <w:sz w:val="16"/>
        </w:rPr>
        <w:t> </w:t>
      </w:r>
      <w:r>
        <w:rPr>
          <w:color w:val="231F20"/>
          <w:sz w:val="16"/>
        </w:rPr>
        <w:t>48–53.</w:t>
      </w:r>
    </w:p>
    <w:p>
      <w:pPr>
        <w:spacing w:after="0" w:line="240" w:lineRule="auto"/>
        <w:jc w:val="both"/>
        <w:rPr>
          <w:sz w:val="16"/>
        </w:rPr>
        <w:sectPr>
          <w:pgSz w:w="9640" w:h="12190"/>
          <w:pgMar w:header="0" w:footer="743" w:top="1120" w:bottom="940" w:left="740" w:right="740"/>
        </w:sectPr>
      </w:pPr>
    </w:p>
    <w:p>
      <w:pPr>
        <w:pStyle w:val="BodyText"/>
        <w:spacing w:before="5"/>
        <w:rPr>
          <w:rFonts w:ascii="Calibri"/>
          <w:sz w:val="9"/>
        </w:rPr>
      </w:pPr>
    </w:p>
    <w:p>
      <w:pPr>
        <w:pStyle w:val="BodyText"/>
        <w:spacing w:before="50"/>
        <w:ind w:left="110"/>
        <w:jc w:val="both"/>
      </w:pPr>
      <w:r>
        <w:rPr>
          <w:color w:val="231F20"/>
          <w:w w:val="105"/>
        </w:rPr>
        <w:t>ejemplo, la zona oriente donde existe gente con más de 20 años sin agua entubada</w:t>
      </w:r>
      <w:r>
        <w:rPr>
          <w:color w:val="231F20"/>
          <w:w w:val="105"/>
          <w:position w:val="7"/>
          <w:sz w:val="13"/>
        </w:rPr>
        <w:t>33</w:t>
      </w:r>
      <w:r>
        <w:rPr>
          <w:color w:val="231F20"/>
          <w:w w:val="105"/>
        </w:rPr>
        <w:t>.</w:t>
      </w:r>
    </w:p>
    <w:p>
      <w:pPr>
        <w:pStyle w:val="BodyText"/>
        <w:spacing w:before="2"/>
        <w:rPr>
          <w:sz w:val="30"/>
        </w:rPr>
      </w:pPr>
    </w:p>
    <w:p>
      <w:pPr>
        <w:pStyle w:val="BodyText"/>
        <w:spacing w:line="285" w:lineRule="auto"/>
        <w:ind w:left="110" w:right="107"/>
        <w:jc w:val="both"/>
      </w:pPr>
      <w:r>
        <w:rPr>
          <w:color w:val="231F20"/>
          <w:w w:val="105"/>
        </w:rPr>
        <w:t>En cuanto </w:t>
      </w:r>
      <w:r>
        <w:rPr>
          <w:color w:val="231F20"/>
          <w:spacing w:val="2"/>
          <w:w w:val="105"/>
        </w:rPr>
        <w:t>al </w:t>
      </w:r>
      <w:r>
        <w:rPr>
          <w:color w:val="231F20"/>
          <w:w w:val="105"/>
        </w:rPr>
        <w:t>acercamiento con la ciudadanía, no a través de medios electrónicos, la presente</w:t>
      </w:r>
      <w:r>
        <w:rPr>
          <w:color w:val="231F20"/>
          <w:spacing w:val="-14"/>
          <w:w w:val="105"/>
        </w:rPr>
        <w:t> </w:t>
      </w:r>
      <w:r>
        <w:rPr>
          <w:color w:val="231F20"/>
          <w:w w:val="105"/>
        </w:rPr>
        <w:t>gestión</w:t>
      </w:r>
      <w:r>
        <w:rPr>
          <w:color w:val="231F20"/>
          <w:spacing w:val="-14"/>
          <w:w w:val="105"/>
        </w:rPr>
        <w:t> </w:t>
      </w:r>
      <w:r>
        <w:rPr>
          <w:color w:val="231F20"/>
          <w:w w:val="105"/>
        </w:rPr>
        <w:t>realizó</w:t>
      </w:r>
      <w:r>
        <w:rPr>
          <w:color w:val="231F20"/>
          <w:spacing w:val="-14"/>
          <w:w w:val="105"/>
        </w:rPr>
        <w:t> </w:t>
      </w:r>
      <w:r>
        <w:rPr>
          <w:color w:val="231F20"/>
          <w:spacing w:val="-3"/>
          <w:w w:val="105"/>
        </w:rPr>
        <w:t>379</w:t>
      </w:r>
      <w:r>
        <w:rPr>
          <w:color w:val="231F20"/>
          <w:spacing w:val="-14"/>
          <w:w w:val="105"/>
        </w:rPr>
        <w:t> </w:t>
      </w:r>
      <w:r>
        <w:rPr>
          <w:color w:val="231F20"/>
          <w:w w:val="105"/>
        </w:rPr>
        <w:t>visitas</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comunidades,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cuales</w:t>
      </w:r>
      <w:r>
        <w:rPr>
          <w:color w:val="231F20"/>
          <w:spacing w:val="-14"/>
          <w:w w:val="105"/>
        </w:rPr>
        <w:t> </w:t>
      </w:r>
      <w:r>
        <w:rPr>
          <w:color w:val="231F20"/>
          <w:w w:val="105"/>
        </w:rPr>
        <w:t>290</w:t>
      </w:r>
      <w:r>
        <w:rPr>
          <w:color w:val="231F20"/>
          <w:spacing w:val="-14"/>
          <w:w w:val="105"/>
        </w:rPr>
        <w:t> </w:t>
      </w:r>
      <w:r>
        <w:rPr>
          <w:color w:val="231F20"/>
          <w:w w:val="105"/>
        </w:rPr>
        <w:t>fueron</w:t>
      </w:r>
      <w:r>
        <w:rPr>
          <w:color w:val="231F20"/>
          <w:spacing w:val="-14"/>
          <w:w w:val="105"/>
        </w:rPr>
        <w:t> </w:t>
      </w:r>
      <w:r>
        <w:rPr>
          <w:color w:val="231F20"/>
          <w:w w:val="105"/>
        </w:rPr>
        <w:t>en</w:t>
      </w:r>
      <w:r>
        <w:rPr>
          <w:color w:val="231F20"/>
          <w:spacing w:val="-14"/>
          <w:w w:val="105"/>
        </w:rPr>
        <w:t> </w:t>
      </w:r>
      <w:r>
        <w:rPr>
          <w:color w:val="231F20"/>
          <w:w w:val="105"/>
        </w:rPr>
        <w:t>zona poniente</w:t>
      </w:r>
      <w:r>
        <w:rPr>
          <w:color w:val="231F20"/>
          <w:spacing w:val="-17"/>
          <w:w w:val="105"/>
        </w:rPr>
        <w:t> </w:t>
      </w:r>
      <w:r>
        <w:rPr>
          <w:color w:val="231F20"/>
          <w:w w:val="105"/>
        </w:rPr>
        <w:t>y</w:t>
      </w:r>
      <w:r>
        <w:rPr>
          <w:color w:val="231F20"/>
          <w:spacing w:val="-17"/>
          <w:w w:val="105"/>
        </w:rPr>
        <w:t> </w:t>
      </w:r>
      <w:r>
        <w:rPr>
          <w:color w:val="231F20"/>
          <w:w w:val="105"/>
        </w:rPr>
        <w:t>89</w:t>
      </w:r>
      <w:r>
        <w:rPr>
          <w:color w:val="231F20"/>
          <w:spacing w:val="-17"/>
          <w:w w:val="105"/>
        </w:rPr>
        <w:t> </w:t>
      </w:r>
      <w:r>
        <w:rPr>
          <w:color w:val="231F20"/>
          <w:w w:val="105"/>
        </w:rPr>
        <w:t>en</w:t>
      </w:r>
      <w:r>
        <w:rPr>
          <w:color w:val="231F20"/>
          <w:spacing w:val="-17"/>
          <w:w w:val="105"/>
        </w:rPr>
        <w:t> </w:t>
      </w:r>
      <w:r>
        <w:rPr>
          <w:color w:val="231F20"/>
          <w:w w:val="105"/>
        </w:rPr>
        <w:t>zona</w:t>
      </w:r>
      <w:r>
        <w:rPr>
          <w:color w:val="231F20"/>
          <w:spacing w:val="-17"/>
          <w:w w:val="105"/>
        </w:rPr>
        <w:t> </w:t>
      </w:r>
      <w:r>
        <w:rPr>
          <w:color w:val="231F20"/>
          <w:w w:val="105"/>
        </w:rPr>
        <w:t>oriente.</w:t>
      </w:r>
      <w:r>
        <w:rPr>
          <w:color w:val="231F20"/>
          <w:spacing w:val="-17"/>
          <w:w w:val="105"/>
        </w:rPr>
        <w:t> </w:t>
      </w:r>
      <w:r>
        <w:rPr>
          <w:color w:val="231F20"/>
          <w:w w:val="105"/>
        </w:rPr>
        <w:t>Esto</w:t>
      </w:r>
      <w:r>
        <w:rPr>
          <w:color w:val="231F20"/>
          <w:spacing w:val="-17"/>
          <w:w w:val="105"/>
        </w:rPr>
        <w:t> </w:t>
      </w:r>
      <w:r>
        <w:rPr>
          <w:color w:val="231F20"/>
          <w:w w:val="105"/>
        </w:rPr>
        <w:t>se</w:t>
      </w:r>
      <w:r>
        <w:rPr>
          <w:color w:val="231F20"/>
          <w:spacing w:val="-17"/>
          <w:w w:val="105"/>
        </w:rPr>
        <w:t> </w:t>
      </w:r>
      <w:r>
        <w:rPr>
          <w:color w:val="231F20"/>
          <w:w w:val="105"/>
        </w:rPr>
        <w:t>hizo</w:t>
      </w:r>
      <w:r>
        <w:rPr>
          <w:color w:val="231F20"/>
          <w:spacing w:val="-17"/>
          <w:w w:val="105"/>
        </w:rPr>
        <w:t> </w:t>
      </w:r>
      <w:r>
        <w:rPr>
          <w:color w:val="231F20"/>
          <w:w w:val="105"/>
        </w:rPr>
        <w:t>así,</w:t>
      </w:r>
      <w:r>
        <w:rPr>
          <w:color w:val="231F20"/>
          <w:spacing w:val="-17"/>
          <w:w w:val="105"/>
        </w:rPr>
        <w:t> </w:t>
      </w:r>
      <w:r>
        <w:rPr>
          <w:color w:val="231F20"/>
          <w:w w:val="105"/>
        </w:rPr>
        <w:t>aludiendo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distribución</w:t>
      </w:r>
      <w:r>
        <w:rPr>
          <w:color w:val="231F20"/>
          <w:spacing w:val="-17"/>
          <w:w w:val="105"/>
        </w:rPr>
        <w:t> </w:t>
      </w:r>
      <w:r>
        <w:rPr>
          <w:color w:val="231F20"/>
          <w:w w:val="105"/>
        </w:rPr>
        <w:t>geográfica</w:t>
      </w:r>
      <w:r>
        <w:rPr>
          <w:color w:val="231F20"/>
          <w:spacing w:val="-17"/>
          <w:w w:val="105"/>
        </w:rPr>
        <w:t> </w:t>
      </w:r>
      <w:r>
        <w:rPr>
          <w:color w:val="231F20"/>
          <w:w w:val="105"/>
        </w:rPr>
        <w:t>de las</w:t>
      </w:r>
      <w:r>
        <w:rPr>
          <w:color w:val="231F20"/>
          <w:spacing w:val="-19"/>
          <w:w w:val="105"/>
        </w:rPr>
        <w:t> </w:t>
      </w:r>
      <w:r>
        <w:rPr>
          <w:color w:val="231F20"/>
          <w:w w:val="105"/>
        </w:rPr>
        <w:t>comunidades</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atendiendo</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problemáticas</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comunidades,</w:t>
      </w:r>
      <w:r>
        <w:rPr>
          <w:color w:val="231F20"/>
          <w:spacing w:val="-19"/>
          <w:w w:val="105"/>
        </w:rPr>
        <w:t> </w:t>
      </w:r>
      <w:r>
        <w:rPr>
          <w:color w:val="231F20"/>
          <w:w w:val="105"/>
        </w:rPr>
        <w:t>las</w:t>
      </w:r>
      <w:r>
        <w:rPr>
          <w:color w:val="231F20"/>
          <w:spacing w:val="-19"/>
          <w:w w:val="105"/>
        </w:rPr>
        <w:t> </w:t>
      </w:r>
      <w:r>
        <w:rPr>
          <w:color w:val="231F20"/>
          <w:w w:val="105"/>
        </w:rPr>
        <w:t>cuales</w:t>
      </w:r>
      <w:r>
        <w:rPr>
          <w:color w:val="231F20"/>
          <w:spacing w:val="-19"/>
          <w:w w:val="105"/>
        </w:rPr>
        <w:t> </w:t>
      </w:r>
      <w:r>
        <w:rPr>
          <w:color w:val="231F20"/>
          <w:w w:val="105"/>
        </w:rPr>
        <w:t>son distintas en la zona poniente y oriente. Quizá esto muestra como la gestión no se pre- ocupa por tomar en cuenta los contextos o las situaciones específicas que marca cada zona.</w:t>
      </w:r>
      <w:r>
        <w:rPr>
          <w:color w:val="231F20"/>
          <w:spacing w:val="-20"/>
          <w:w w:val="105"/>
        </w:rPr>
        <w:t> </w:t>
      </w:r>
      <w:r>
        <w:rPr>
          <w:color w:val="231F20"/>
          <w:w w:val="105"/>
        </w:rPr>
        <w:t>No</w:t>
      </w:r>
      <w:r>
        <w:rPr>
          <w:color w:val="231F20"/>
          <w:spacing w:val="-20"/>
          <w:w w:val="105"/>
        </w:rPr>
        <w:t> </w:t>
      </w:r>
      <w:r>
        <w:rPr>
          <w:color w:val="231F20"/>
          <w:w w:val="105"/>
        </w:rPr>
        <w:t>focaliza</w:t>
      </w:r>
      <w:r>
        <w:rPr>
          <w:color w:val="231F20"/>
          <w:spacing w:val="-20"/>
          <w:w w:val="105"/>
        </w:rPr>
        <w:t> </w:t>
      </w:r>
      <w:r>
        <w:rPr>
          <w:color w:val="231F20"/>
          <w:w w:val="105"/>
        </w:rPr>
        <w:t>correctamente</w:t>
      </w:r>
      <w:r>
        <w:rPr>
          <w:color w:val="231F20"/>
          <w:spacing w:val="-20"/>
          <w:w w:val="105"/>
        </w:rPr>
        <w:t> </w:t>
      </w:r>
      <w:r>
        <w:rPr>
          <w:color w:val="231F20"/>
          <w:w w:val="105"/>
        </w:rPr>
        <w:t>los</w:t>
      </w:r>
      <w:r>
        <w:rPr>
          <w:color w:val="231F20"/>
          <w:spacing w:val="-20"/>
          <w:w w:val="105"/>
        </w:rPr>
        <w:t> </w:t>
      </w:r>
      <w:r>
        <w:rPr>
          <w:color w:val="231F20"/>
          <w:w w:val="105"/>
        </w:rPr>
        <w:t>problemas</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soluciones.</w:t>
      </w:r>
    </w:p>
    <w:p>
      <w:pPr>
        <w:pStyle w:val="BodyText"/>
        <w:spacing w:before="1"/>
        <w:rPr>
          <w:sz w:val="26"/>
        </w:rPr>
      </w:pPr>
    </w:p>
    <w:p>
      <w:pPr>
        <w:pStyle w:val="BodyText"/>
        <w:spacing w:line="285" w:lineRule="auto"/>
        <w:ind w:left="110" w:right="106"/>
        <w:jc w:val="both"/>
        <w:rPr>
          <w:sz w:val="13"/>
        </w:rPr>
      </w:pPr>
      <w:r>
        <w:rPr>
          <w:color w:val="231F20"/>
          <w:spacing w:val="3"/>
          <w:w w:val="105"/>
        </w:rPr>
        <w:t>Al</w:t>
      </w:r>
      <w:r>
        <w:rPr>
          <w:color w:val="231F20"/>
          <w:spacing w:val="-4"/>
          <w:w w:val="105"/>
        </w:rPr>
        <w:t> </w:t>
      </w:r>
      <w:r>
        <w:rPr>
          <w:color w:val="231F20"/>
          <w:w w:val="105"/>
        </w:rPr>
        <w:t>respecto,</w:t>
      </w:r>
      <w:r>
        <w:rPr>
          <w:color w:val="231F20"/>
          <w:spacing w:val="-4"/>
          <w:w w:val="105"/>
        </w:rPr>
        <w:t> </w:t>
      </w:r>
      <w:r>
        <w:rPr>
          <w:color w:val="231F20"/>
          <w:w w:val="105"/>
        </w:rPr>
        <w:t>el</w:t>
      </w:r>
      <w:r>
        <w:rPr>
          <w:color w:val="231F20"/>
          <w:spacing w:val="-4"/>
          <w:w w:val="105"/>
        </w:rPr>
        <w:t> </w:t>
      </w:r>
      <w:r>
        <w:rPr>
          <w:color w:val="231F20"/>
          <w:w w:val="105"/>
        </w:rPr>
        <w:t>municipio</w:t>
      </w:r>
      <w:r>
        <w:rPr>
          <w:color w:val="231F20"/>
          <w:spacing w:val="-4"/>
          <w:w w:val="105"/>
        </w:rPr>
        <w:t> </w:t>
      </w:r>
      <w:r>
        <w:rPr>
          <w:color w:val="231F20"/>
          <w:w w:val="105"/>
        </w:rPr>
        <w:t>realizó</w:t>
      </w:r>
      <w:r>
        <w:rPr>
          <w:color w:val="231F20"/>
          <w:spacing w:val="-4"/>
          <w:w w:val="105"/>
        </w:rPr>
        <w:t> </w:t>
      </w:r>
      <w:r>
        <w:rPr>
          <w:color w:val="231F20"/>
          <w:w w:val="105"/>
        </w:rPr>
        <w:t>el</w:t>
      </w:r>
      <w:r>
        <w:rPr>
          <w:color w:val="231F20"/>
          <w:spacing w:val="-4"/>
          <w:w w:val="105"/>
        </w:rPr>
        <w:t> </w:t>
      </w:r>
      <w:r>
        <w:rPr>
          <w:color w:val="231F20"/>
          <w:w w:val="105"/>
        </w:rPr>
        <w:t>Programa</w:t>
      </w:r>
      <w:r>
        <w:rPr>
          <w:color w:val="231F20"/>
          <w:spacing w:val="-4"/>
          <w:w w:val="105"/>
        </w:rPr>
        <w:t> </w:t>
      </w:r>
      <w:r>
        <w:rPr>
          <w:color w:val="231F20"/>
          <w:w w:val="105"/>
        </w:rPr>
        <w:t>de</w:t>
      </w:r>
      <w:r>
        <w:rPr>
          <w:color w:val="231F20"/>
          <w:spacing w:val="-4"/>
          <w:w w:val="105"/>
        </w:rPr>
        <w:t> </w:t>
      </w:r>
      <w:r>
        <w:rPr>
          <w:color w:val="231F20"/>
          <w:w w:val="105"/>
        </w:rPr>
        <w:t>Apoyo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Vivienda.</w:t>
      </w:r>
      <w:r>
        <w:rPr>
          <w:color w:val="231F20"/>
          <w:spacing w:val="-4"/>
          <w:w w:val="105"/>
        </w:rPr>
        <w:t> </w:t>
      </w:r>
      <w:r>
        <w:rPr>
          <w:color w:val="231F20"/>
          <w:w w:val="105"/>
        </w:rPr>
        <w:t>Con</w:t>
      </w:r>
      <w:r>
        <w:rPr>
          <w:color w:val="231F20"/>
          <w:spacing w:val="-4"/>
          <w:w w:val="105"/>
        </w:rPr>
        <w:t> </w:t>
      </w:r>
      <w:r>
        <w:rPr>
          <w:color w:val="231F20"/>
          <w:w w:val="105"/>
        </w:rPr>
        <w:t>una</w:t>
      </w:r>
      <w:r>
        <w:rPr>
          <w:color w:val="231F20"/>
          <w:spacing w:val="-4"/>
          <w:w w:val="105"/>
        </w:rPr>
        <w:t> </w:t>
      </w:r>
      <w:r>
        <w:rPr>
          <w:color w:val="231F20"/>
          <w:w w:val="105"/>
        </w:rPr>
        <w:t>inver- sión de 6 millones 598 </w:t>
      </w:r>
      <w:r>
        <w:rPr>
          <w:color w:val="231F20"/>
          <w:spacing w:val="2"/>
          <w:w w:val="105"/>
        </w:rPr>
        <w:t>mil </w:t>
      </w:r>
      <w:r>
        <w:rPr>
          <w:color w:val="231F20"/>
          <w:w w:val="105"/>
        </w:rPr>
        <w:t>397 pesos dentro de este programa de apoyo a los grupos vulnerables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primer</w:t>
      </w:r>
      <w:r>
        <w:rPr>
          <w:color w:val="231F20"/>
          <w:spacing w:val="-5"/>
          <w:w w:val="105"/>
        </w:rPr>
        <w:t> </w:t>
      </w:r>
      <w:r>
        <w:rPr>
          <w:color w:val="231F20"/>
          <w:w w:val="105"/>
        </w:rPr>
        <w:t>año</w:t>
      </w:r>
      <w:r>
        <w:rPr>
          <w:color w:val="231F20"/>
          <w:spacing w:val="-5"/>
          <w:w w:val="105"/>
        </w:rPr>
        <w:t> </w:t>
      </w:r>
      <w:r>
        <w:rPr>
          <w:color w:val="231F20"/>
          <w:w w:val="105"/>
        </w:rPr>
        <w:t>fueron</w:t>
      </w:r>
      <w:r>
        <w:rPr>
          <w:color w:val="231F20"/>
          <w:spacing w:val="-5"/>
          <w:w w:val="105"/>
        </w:rPr>
        <w:t> </w:t>
      </w:r>
      <w:r>
        <w:rPr>
          <w:color w:val="231F20"/>
          <w:w w:val="105"/>
        </w:rPr>
        <w:t>entregados</w:t>
      </w:r>
      <w:r>
        <w:rPr>
          <w:color w:val="231F20"/>
          <w:spacing w:val="-5"/>
          <w:w w:val="105"/>
        </w:rPr>
        <w:t> </w:t>
      </w:r>
      <w:r>
        <w:rPr>
          <w:color w:val="231F20"/>
          <w:w w:val="105"/>
        </w:rPr>
        <w:t>diversos</w:t>
      </w:r>
      <w:r>
        <w:rPr>
          <w:color w:val="231F20"/>
          <w:spacing w:val="-5"/>
          <w:w w:val="105"/>
        </w:rPr>
        <w:t> </w:t>
      </w:r>
      <w:r>
        <w:rPr>
          <w:color w:val="231F20"/>
          <w:w w:val="105"/>
        </w:rPr>
        <w:t>materiales para coadyuvar con la edificación de un espacio digno para los que menos tienen, lo cual</w:t>
      </w:r>
      <w:r>
        <w:rPr>
          <w:color w:val="231F20"/>
          <w:spacing w:val="-17"/>
          <w:w w:val="105"/>
        </w:rPr>
        <w:t> </w:t>
      </w:r>
      <w:r>
        <w:rPr>
          <w:color w:val="231F20"/>
          <w:w w:val="105"/>
        </w:rPr>
        <w:t>incluye</w:t>
      </w:r>
      <w:r>
        <w:rPr>
          <w:color w:val="231F20"/>
          <w:spacing w:val="-17"/>
          <w:w w:val="105"/>
        </w:rPr>
        <w:t> </w:t>
      </w:r>
      <w:r>
        <w:rPr>
          <w:color w:val="231F20"/>
          <w:w w:val="105"/>
        </w:rPr>
        <w:t>desde</w:t>
      </w:r>
      <w:r>
        <w:rPr>
          <w:color w:val="231F20"/>
          <w:spacing w:val="-17"/>
          <w:w w:val="105"/>
        </w:rPr>
        <w:t> </w:t>
      </w:r>
      <w:r>
        <w:rPr>
          <w:color w:val="231F20"/>
          <w:w w:val="105"/>
        </w:rPr>
        <w:t>construcción</w:t>
      </w:r>
      <w:r>
        <w:rPr>
          <w:color w:val="231F20"/>
          <w:spacing w:val="-17"/>
          <w:w w:val="105"/>
        </w:rPr>
        <w:t> </w:t>
      </w:r>
      <w:r>
        <w:rPr>
          <w:color w:val="231F20"/>
          <w:w w:val="105"/>
        </w:rPr>
        <w:t>de</w:t>
      </w:r>
      <w:r>
        <w:rPr>
          <w:color w:val="231F20"/>
          <w:spacing w:val="-17"/>
          <w:w w:val="105"/>
        </w:rPr>
        <w:t> </w:t>
      </w:r>
      <w:r>
        <w:rPr>
          <w:color w:val="231F20"/>
          <w:w w:val="105"/>
        </w:rPr>
        <w:t>hogares</w:t>
      </w:r>
      <w:r>
        <w:rPr>
          <w:color w:val="231F20"/>
          <w:spacing w:val="-17"/>
          <w:w w:val="105"/>
        </w:rPr>
        <w:t> </w:t>
      </w:r>
      <w:r>
        <w:rPr>
          <w:color w:val="231F20"/>
          <w:w w:val="105"/>
        </w:rPr>
        <w:t>hasta</w:t>
      </w:r>
      <w:r>
        <w:rPr>
          <w:color w:val="231F20"/>
          <w:spacing w:val="-17"/>
          <w:w w:val="105"/>
        </w:rPr>
        <w:t> </w:t>
      </w:r>
      <w:r>
        <w:rPr>
          <w:color w:val="231F20"/>
          <w:w w:val="105"/>
        </w:rPr>
        <w:t>saneamiento</w:t>
      </w:r>
      <w:r>
        <w:rPr>
          <w:color w:val="231F20"/>
          <w:spacing w:val="-17"/>
          <w:w w:val="105"/>
        </w:rPr>
        <w:t> </w:t>
      </w:r>
      <w:r>
        <w:rPr>
          <w:color w:val="231F20"/>
          <w:w w:val="105"/>
        </w:rPr>
        <w:t>en</w:t>
      </w:r>
      <w:r>
        <w:rPr>
          <w:color w:val="231F20"/>
          <w:spacing w:val="-17"/>
          <w:w w:val="105"/>
        </w:rPr>
        <w:t> </w:t>
      </w:r>
      <w:r>
        <w:rPr>
          <w:color w:val="231F20"/>
          <w:spacing w:val="-6"/>
          <w:w w:val="105"/>
        </w:rPr>
        <w:t>16</w:t>
      </w:r>
      <w:r>
        <w:rPr>
          <w:color w:val="231F20"/>
          <w:spacing w:val="-17"/>
          <w:w w:val="105"/>
        </w:rPr>
        <w:t> </w:t>
      </w:r>
      <w:r>
        <w:rPr>
          <w:color w:val="231F20"/>
          <w:w w:val="105"/>
        </w:rPr>
        <w:t>colonias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zona oriente</w:t>
      </w:r>
      <w:r>
        <w:rPr>
          <w:color w:val="231F20"/>
          <w:spacing w:val="-13"/>
          <w:w w:val="105"/>
        </w:rPr>
        <w:t> </w:t>
      </w:r>
      <w:r>
        <w:rPr>
          <w:color w:val="231F20"/>
          <w:w w:val="105"/>
        </w:rPr>
        <w:t>y</w:t>
      </w:r>
      <w:r>
        <w:rPr>
          <w:color w:val="231F20"/>
          <w:spacing w:val="-13"/>
          <w:w w:val="105"/>
        </w:rPr>
        <w:t> </w:t>
      </w:r>
      <w:r>
        <w:rPr>
          <w:color w:val="231F20"/>
          <w:w w:val="105"/>
        </w:rPr>
        <w:t>25</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zona</w:t>
      </w:r>
      <w:r>
        <w:rPr>
          <w:color w:val="231F20"/>
          <w:spacing w:val="-13"/>
          <w:w w:val="105"/>
        </w:rPr>
        <w:t> </w:t>
      </w:r>
      <w:r>
        <w:rPr>
          <w:color w:val="231F20"/>
          <w:w w:val="105"/>
        </w:rPr>
        <w:t>poniente</w:t>
      </w:r>
      <w:r>
        <w:rPr>
          <w:color w:val="231F20"/>
          <w:w w:val="105"/>
          <w:position w:val="7"/>
          <w:sz w:val="13"/>
        </w:rPr>
        <w:t>34.</w:t>
      </w:r>
    </w:p>
    <w:p>
      <w:pPr>
        <w:pStyle w:val="BodyText"/>
        <w:rPr>
          <w:sz w:val="26"/>
        </w:rPr>
      </w:pPr>
    </w:p>
    <w:p>
      <w:pPr>
        <w:pStyle w:val="BodyText"/>
        <w:spacing w:line="285" w:lineRule="auto" w:before="1"/>
        <w:ind w:left="110" w:right="107"/>
        <w:jc w:val="both"/>
        <w:rPr>
          <w:sz w:val="13"/>
        </w:rPr>
      </w:pPr>
      <w:r>
        <w:rPr>
          <w:color w:val="231F20"/>
          <w:w w:val="105"/>
        </w:rPr>
        <w:t>En</w:t>
      </w:r>
      <w:r>
        <w:rPr>
          <w:color w:val="231F20"/>
          <w:spacing w:val="-21"/>
          <w:w w:val="105"/>
        </w:rPr>
        <w:t> </w:t>
      </w:r>
      <w:r>
        <w:rPr>
          <w:color w:val="231F20"/>
          <w:w w:val="105"/>
        </w:rPr>
        <w:t>cuanto</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cuestión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seguridad</w:t>
      </w:r>
      <w:r>
        <w:rPr>
          <w:color w:val="231F20"/>
          <w:spacing w:val="-21"/>
          <w:w w:val="105"/>
        </w:rPr>
        <w:t> </w:t>
      </w:r>
      <w:r>
        <w:rPr>
          <w:color w:val="231F20"/>
          <w:w w:val="105"/>
        </w:rPr>
        <w:t>pública,</w:t>
      </w:r>
      <w:r>
        <w:rPr>
          <w:color w:val="231F20"/>
          <w:spacing w:val="-21"/>
          <w:w w:val="105"/>
        </w:rPr>
        <w:t> </w:t>
      </w:r>
      <w:r>
        <w:rPr>
          <w:color w:val="231F20"/>
          <w:w w:val="105"/>
        </w:rPr>
        <w:t>los</w:t>
      </w:r>
      <w:r>
        <w:rPr>
          <w:color w:val="231F20"/>
          <w:spacing w:val="-21"/>
          <w:w w:val="105"/>
        </w:rPr>
        <w:t> </w:t>
      </w:r>
      <w:r>
        <w:rPr>
          <w:color w:val="231F20"/>
          <w:w w:val="105"/>
        </w:rPr>
        <w:t>datos</w:t>
      </w:r>
      <w:r>
        <w:rPr>
          <w:color w:val="231F20"/>
          <w:spacing w:val="-21"/>
          <w:w w:val="105"/>
        </w:rPr>
        <w:t> </w:t>
      </w:r>
      <w:r>
        <w:rPr>
          <w:color w:val="231F20"/>
          <w:w w:val="105"/>
        </w:rPr>
        <w:t>señalan</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incidencia</w:t>
      </w:r>
      <w:r>
        <w:rPr>
          <w:color w:val="231F20"/>
          <w:spacing w:val="-21"/>
          <w:w w:val="105"/>
        </w:rPr>
        <w:t> </w:t>
      </w:r>
      <w:r>
        <w:rPr>
          <w:color w:val="231F20"/>
          <w:w w:val="105"/>
        </w:rPr>
        <w:t>delic- tiva</w:t>
      </w:r>
      <w:r>
        <w:rPr>
          <w:color w:val="231F20"/>
          <w:spacing w:val="-17"/>
          <w:w w:val="105"/>
        </w:rPr>
        <w:t> </w:t>
      </w:r>
      <w:r>
        <w:rPr>
          <w:color w:val="231F20"/>
          <w:w w:val="105"/>
        </w:rPr>
        <w:t>por</w:t>
      </w:r>
      <w:r>
        <w:rPr>
          <w:color w:val="231F20"/>
          <w:spacing w:val="-17"/>
          <w:w w:val="105"/>
        </w:rPr>
        <w:t> </w:t>
      </w:r>
      <w:r>
        <w:rPr>
          <w:color w:val="231F20"/>
          <w:w w:val="105"/>
        </w:rPr>
        <w:t>año</w:t>
      </w:r>
      <w:r>
        <w:rPr>
          <w:color w:val="231F20"/>
          <w:spacing w:val="-17"/>
          <w:w w:val="105"/>
        </w:rPr>
        <w:t> </w:t>
      </w:r>
      <w:r>
        <w:rPr>
          <w:color w:val="231F20"/>
          <w:w w:val="105"/>
        </w:rPr>
        <w:t>se</w:t>
      </w:r>
      <w:r>
        <w:rPr>
          <w:color w:val="231F20"/>
          <w:spacing w:val="-17"/>
          <w:w w:val="105"/>
        </w:rPr>
        <w:t> </w:t>
      </w:r>
      <w:r>
        <w:rPr>
          <w:color w:val="231F20"/>
          <w:w w:val="105"/>
        </w:rPr>
        <w:t>mantuvo</w:t>
      </w:r>
      <w:r>
        <w:rPr>
          <w:color w:val="231F20"/>
          <w:spacing w:val="-17"/>
          <w:w w:val="105"/>
        </w:rPr>
        <w:t> </w:t>
      </w:r>
      <w:r>
        <w:rPr>
          <w:color w:val="231F20"/>
          <w:w w:val="105"/>
        </w:rPr>
        <w:t>volátil,</w:t>
      </w:r>
      <w:r>
        <w:rPr>
          <w:color w:val="231F20"/>
          <w:spacing w:val="-17"/>
          <w:w w:val="105"/>
        </w:rPr>
        <w:t> </w:t>
      </w:r>
      <w:r>
        <w:rPr>
          <w:color w:val="231F20"/>
          <w:w w:val="105"/>
        </w:rPr>
        <w:t>pues</w:t>
      </w:r>
      <w:r>
        <w:rPr>
          <w:color w:val="231F20"/>
          <w:spacing w:val="-17"/>
          <w:w w:val="105"/>
        </w:rPr>
        <w:t> </w:t>
      </w:r>
      <w:r>
        <w:rPr>
          <w:color w:val="231F20"/>
          <w:w w:val="105"/>
        </w:rPr>
        <w:t>en</w:t>
      </w:r>
      <w:r>
        <w:rPr>
          <w:color w:val="231F20"/>
          <w:spacing w:val="-17"/>
          <w:w w:val="105"/>
        </w:rPr>
        <w:t> </w:t>
      </w:r>
      <w:r>
        <w:rPr>
          <w:color w:val="231F20"/>
          <w:w w:val="105"/>
        </w:rPr>
        <w:t>enero</w:t>
      </w:r>
      <w:r>
        <w:rPr>
          <w:color w:val="231F20"/>
          <w:spacing w:val="-17"/>
          <w:w w:val="105"/>
        </w:rPr>
        <w:t> </w:t>
      </w:r>
      <w:r>
        <w:rPr>
          <w:color w:val="231F20"/>
          <w:w w:val="105"/>
        </w:rPr>
        <w:t>de</w:t>
      </w:r>
      <w:r>
        <w:rPr>
          <w:color w:val="231F20"/>
          <w:spacing w:val="-17"/>
          <w:w w:val="105"/>
        </w:rPr>
        <w:t> </w:t>
      </w:r>
      <w:r>
        <w:rPr>
          <w:color w:val="231F20"/>
          <w:spacing w:val="3"/>
          <w:w w:val="105"/>
        </w:rPr>
        <w:t>2006</w:t>
      </w:r>
      <w:r>
        <w:rPr>
          <w:color w:val="231F20"/>
          <w:spacing w:val="-17"/>
          <w:w w:val="105"/>
        </w:rPr>
        <w:t> </w:t>
      </w:r>
      <w:r>
        <w:rPr>
          <w:color w:val="231F20"/>
          <w:w w:val="105"/>
        </w:rPr>
        <w:t>inició</w:t>
      </w:r>
      <w:r>
        <w:rPr>
          <w:color w:val="231F20"/>
          <w:spacing w:val="-17"/>
          <w:w w:val="105"/>
        </w:rPr>
        <w:t> </w:t>
      </w:r>
      <w:r>
        <w:rPr>
          <w:color w:val="231F20"/>
          <w:w w:val="105"/>
        </w:rPr>
        <w:t>con</w:t>
      </w:r>
      <w:r>
        <w:rPr>
          <w:color w:val="231F20"/>
          <w:spacing w:val="-17"/>
          <w:w w:val="105"/>
        </w:rPr>
        <w:t> </w:t>
      </w:r>
      <w:r>
        <w:rPr>
          <w:color w:val="231F20"/>
          <w:w w:val="105"/>
        </w:rPr>
        <w:t>489</w:t>
      </w:r>
      <w:r>
        <w:rPr>
          <w:color w:val="231F20"/>
          <w:spacing w:val="-17"/>
          <w:w w:val="105"/>
        </w:rPr>
        <w:t> </w:t>
      </w:r>
      <w:r>
        <w:rPr>
          <w:color w:val="231F20"/>
          <w:w w:val="105"/>
        </w:rPr>
        <w:t>por</w:t>
      </w:r>
      <w:r>
        <w:rPr>
          <w:color w:val="231F20"/>
          <w:spacing w:val="-17"/>
          <w:w w:val="105"/>
        </w:rPr>
        <w:t> </w:t>
      </w:r>
      <w:r>
        <w:rPr>
          <w:color w:val="231F20"/>
          <w:w w:val="105"/>
        </w:rPr>
        <w:t>mes</w:t>
      </w:r>
      <w:r>
        <w:rPr>
          <w:color w:val="231F20"/>
          <w:spacing w:val="-17"/>
          <w:w w:val="105"/>
        </w:rPr>
        <w:t> </w:t>
      </w:r>
      <w:r>
        <w:rPr>
          <w:color w:val="231F20"/>
          <w:w w:val="105"/>
        </w:rPr>
        <w:t>y</w:t>
      </w:r>
      <w:r>
        <w:rPr>
          <w:color w:val="231F20"/>
          <w:spacing w:val="-17"/>
          <w:w w:val="105"/>
        </w:rPr>
        <w:t> </w:t>
      </w:r>
      <w:r>
        <w:rPr>
          <w:color w:val="231F20"/>
          <w:w w:val="105"/>
        </w:rPr>
        <w:t>terminó en</w:t>
      </w:r>
      <w:r>
        <w:rPr>
          <w:color w:val="231F20"/>
          <w:spacing w:val="-17"/>
          <w:w w:val="105"/>
        </w:rPr>
        <w:t> </w:t>
      </w:r>
      <w:r>
        <w:rPr>
          <w:color w:val="231F20"/>
          <w:w w:val="105"/>
        </w:rPr>
        <w:t>554</w:t>
      </w:r>
      <w:r>
        <w:rPr>
          <w:color w:val="231F20"/>
          <w:spacing w:val="-17"/>
          <w:w w:val="105"/>
        </w:rPr>
        <w:t> </w:t>
      </w:r>
      <w:r>
        <w:rPr>
          <w:color w:val="231F20"/>
          <w:w w:val="105"/>
        </w:rPr>
        <w:t>en</w:t>
      </w:r>
      <w:r>
        <w:rPr>
          <w:color w:val="231F20"/>
          <w:spacing w:val="-17"/>
          <w:w w:val="105"/>
        </w:rPr>
        <w:t> </w:t>
      </w:r>
      <w:r>
        <w:rPr>
          <w:color w:val="231F20"/>
          <w:w w:val="105"/>
        </w:rPr>
        <w:t>junio</w:t>
      </w:r>
      <w:r>
        <w:rPr>
          <w:color w:val="231F20"/>
          <w:spacing w:val="-17"/>
          <w:w w:val="105"/>
        </w:rPr>
        <w:t> </w:t>
      </w:r>
      <w:r>
        <w:rPr>
          <w:color w:val="231F20"/>
          <w:w w:val="105"/>
        </w:rPr>
        <w:t>de</w:t>
      </w:r>
      <w:r>
        <w:rPr>
          <w:color w:val="231F20"/>
          <w:spacing w:val="-17"/>
          <w:w w:val="105"/>
        </w:rPr>
        <w:t> </w:t>
      </w:r>
      <w:r>
        <w:rPr>
          <w:color w:val="231F20"/>
          <w:spacing w:val="3"/>
          <w:w w:val="105"/>
        </w:rPr>
        <w:t>2008,</w:t>
      </w:r>
      <w:r>
        <w:rPr>
          <w:color w:val="231F20"/>
          <w:spacing w:val="-17"/>
          <w:w w:val="105"/>
        </w:rPr>
        <w:t> </w:t>
      </w:r>
      <w:r>
        <w:rPr>
          <w:color w:val="231F20"/>
          <w:w w:val="105"/>
        </w:rPr>
        <w:t>logrando</w:t>
      </w:r>
      <w:r>
        <w:rPr>
          <w:color w:val="231F20"/>
          <w:spacing w:val="-17"/>
          <w:w w:val="105"/>
        </w:rPr>
        <w:t> </w:t>
      </w:r>
      <w:r>
        <w:rPr>
          <w:color w:val="231F20"/>
          <w:w w:val="105"/>
        </w:rPr>
        <w:t>el</w:t>
      </w:r>
      <w:r>
        <w:rPr>
          <w:color w:val="231F20"/>
          <w:spacing w:val="-17"/>
          <w:w w:val="105"/>
        </w:rPr>
        <w:t> </w:t>
      </w:r>
      <w:r>
        <w:rPr>
          <w:color w:val="231F20"/>
          <w:w w:val="105"/>
        </w:rPr>
        <w:t>nivel</w:t>
      </w:r>
      <w:r>
        <w:rPr>
          <w:color w:val="231F20"/>
          <w:spacing w:val="-17"/>
          <w:w w:val="105"/>
        </w:rPr>
        <w:t> </w:t>
      </w:r>
      <w:r>
        <w:rPr>
          <w:color w:val="231F20"/>
          <w:w w:val="105"/>
        </w:rPr>
        <w:t>más</w:t>
      </w:r>
      <w:r>
        <w:rPr>
          <w:color w:val="231F20"/>
          <w:spacing w:val="-17"/>
          <w:w w:val="105"/>
        </w:rPr>
        <w:t> </w:t>
      </w:r>
      <w:r>
        <w:rPr>
          <w:color w:val="231F20"/>
          <w:w w:val="105"/>
        </w:rPr>
        <w:t>bajo</w:t>
      </w:r>
      <w:r>
        <w:rPr>
          <w:color w:val="231F20"/>
          <w:spacing w:val="-17"/>
          <w:w w:val="105"/>
        </w:rPr>
        <w:t> </w:t>
      </w:r>
      <w:r>
        <w:rPr>
          <w:color w:val="231F20"/>
          <w:w w:val="105"/>
        </w:rPr>
        <w:t>en</w:t>
      </w:r>
      <w:r>
        <w:rPr>
          <w:color w:val="231F20"/>
          <w:spacing w:val="-17"/>
          <w:w w:val="105"/>
        </w:rPr>
        <w:t> </w:t>
      </w:r>
      <w:r>
        <w:rPr>
          <w:color w:val="231F20"/>
          <w:w w:val="105"/>
        </w:rPr>
        <w:t>mayo</w:t>
      </w:r>
      <w:r>
        <w:rPr>
          <w:color w:val="231F20"/>
          <w:spacing w:val="-17"/>
          <w:w w:val="105"/>
        </w:rPr>
        <w:t> </w:t>
      </w:r>
      <w:r>
        <w:rPr>
          <w:color w:val="231F20"/>
          <w:w w:val="105"/>
        </w:rPr>
        <w:t>de</w:t>
      </w:r>
      <w:r>
        <w:rPr>
          <w:color w:val="231F20"/>
          <w:spacing w:val="-17"/>
          <w:w w:val="105"/>
        </w:rPr>
        <w:t> </w:t>
      </w:r>
      <w:r>
        <w:rPr>
          <w:color w:val="231F20"/>
          <w:spacing w:val="2"/>
          <w:w w:val="105"/>
        </w:rPr>
        <w:t>2007</w:t>
      </w:r>
      <w:r>
        <w:rPr>
          <w:color w:val="231F20"/>
          <w:spacing w:val="-17"/>
          <w:w w:val="105"/>
        </w:rPr>
        <w:t> </w:t>
      </w:r>
      <w:r>
        <w:rPr>
          <w:color w:val="231F20"/>
          <w:w w:val="105"/>
        </w:rPr>
        <w:t>con</w:t>
      </w:r>
      <w:r>
        <w:rPr>
          <w:color w:val="231F20"/>
          <w:spacing w:val="-17"/>
          <w:w w:val="105"/>
        </w:rPr>
        <w:t> </w:t>
      </w:r>
      <w:r>
        <w:rPr>
          <w:color w:val="231F20"/>
          <w:spacing w:val="2"/>
          <w:w w:val="105"/>
        </w:rPr>
        <w:t>434.</w:t>
      </w:r>
      <w:r>
        <w:rPr>
          <w:color w:val="231F20"/>
          <w:spacing w:val="2"/>
          <w:w w:val="105"/>
          <w:position w:val="7"/>
          <w:sz w:val="13"/>
        </w:rPr>
        <w:t>35</w:t>
      </w:r>
    </w:p>
    <w:p>
      <w:pPr>
        <w:pStyle w:val="BodyText"/>
      </w:pPr>
    </w:p>
    <w:p>
      <w:pPr>
        <w:pStyle w:val="BodyText"/>
        <w:spacing w:before="2"/>
        <w:rPr>
          <w:sz w:val="30"/>
        </w:rPr>
      </w:pPr>
    </w:p>
    <w:p>
      <w:pPr>
        <w:pStyle w:val="BodyText"/>
        <w:spacing w:line="285" w:lineRule="auto"/>
        <w:ind w:left="110" w:right="109"/>
        <w:jc w:val="both"/>
      </w:pPr>
      <w:r>
        <w:rPr>
          <w:color w:val="231F20"/>
          <w:w w:val="105"/>
        </w:rPr>
        <w:t>Respecto a la </w:t>
      </w:r>
      <w:r>
        <w:rPr>
          <w:color w:val="231F20"/>
          <w:spacing w:val="2"/>
          <w:w w:val="105"/>
        </w:rPr>
        <w:t>transparencia </w:t>
      </w:r>
      <w:r>
        <w:rPr>
          <w:color w:val="231F20"/>
          <w:w w:val="105"/>
        </w:rPr>
        <w:t>y rendición de cuentas, y con la intención de </w:t>
      </w:r>
      <w:r>
        <w:rPr>
          <w:color w:val="231F20"/>
          <w:spacing w:val="2"/>
          <w:w w:val="105"/>
        </w:rPr>
        <w:t>informar </w:t>
      </w:r>
      <w:r>
        <w:rPr>
          <w:color w:val="231F20"/>
          <w:spacing w:val="61"/>
          <w:w w:val="105"/>
        </w:rPr>
        <w:t> </w:t>
      </w:r>
      <w:r>
        <w:rPr>
          <w:color w:val="231F20"/>
          <w:spacing w:val="2"/>
          <w:w w:val="105"/>
        </w:rPr>
        <w:t>las</w:t>
      </w:r>
      <w:r>
        <w:rPr>
          <w:color w:val="231F20"/>
          <w:spacing w:val="26"/>
          <w:w w:val="105"/>
        </w:rPr>
        <w:t> </w:t>
      </w:r>
      <w:r>
        <w:rPr>
          <w:color w:val="231F20"/>
          <w:w w:val="105"/>
        </w:rPr>
        <w:t>principales</w:t>
      </w:r>
      <w:r>
        <w:rPr>
          <w:color w:val="231F20"/>
          <w:spacing w:val="26"/>
          <w:w w:val="105"/>
        </w:rPr>
        <w:t> </w:t>
      </w:r>
      <w:r>
        <w:rPr>
          <w:color w:val="231F20"/>
          <w:w w:val="105"/>
        </w:rPr>
        <w:t>obras</w:t>
      </w:r>
      <w:r>
        <w:rPr>
          <w:color w:val="231F20"/>
          <w:spacing w:val="26"/>
          <w:w w:val="105"/>
        </w:rPr>
        <w:t> </w:t>
      </w:r>
      <w:r>
        <w:rPr>
          <w:color w:val="231F20"/>
          <w:w w:val="105"/>
        </w:rPr>
        <w:t>y</w:t>
      </w:r>
      <w:r>
        <w:rPr>
          <w:color w:val="231F20"/>
          <w:spacing w:val="26"/>
          <w:w w:val="105"/>
        </w:rPr>
        <w:t> </w:t>
      </w:r>
      <w:r>
        <w:rPr>
          <w:color w:val="231F20"/>
          <w:w w:val="105"/>
        </w:rPr>
        <w:t>acciones</w:t>
      </w:r>
      <w:r>
        <w:rPr>
          <w:color w:val="231F20"/>
          <w:spacing w:val="26"/>
          <w:w w:val="105"/>
        </w:rPr>
        <w:t> </w:t>
      </w:r>
      <w:r>
        <w:rPr>
          <w:color w:val="231F20"/>
          <w:w w:val="105"/>
        </w:rPr>
        <w:t>de</w:t>
      </w:r>
      <w:r>
        <w:rPr>
          <w:color w:val="231F20"/>
          <w:spacing w:val="26"/>
          <w:w w:val="105"/>
        </w:rPr>
        <w:t> </w:t>
      </w:r>
      <w:r>
        <w:rPr>
          <w:color w:val="231F20"/>
          <w:w w:val="105"/>
        </w:rPr>
        <w:t>gobierno,</w:t>
      </w:r>
      <w:r>
        <w:rPr>
          <w:color w:val="231F20"/>
          <w:spacing w:val="26"/>
          <w:w w:val="105"/>
        </w:rPr>
        <w:t> </w:t>
      </w:r>
      <w:r>
        <w:rPr>
          <w:color w:val="231F20"/>
          <w:w w:val="105"/>
        </w:rPr>
        <w:t>se</w:t>
      </w:r>
      <w:r>
        <w:rPr>
          <w:color w:val="231F20"/>
          <w:spacing w:val="26"/>
          <w:w w:val="105"/>
        </w:rPr>
        <w:t> </w:t>
      </w:r>
      <w:r>
        <w:rPr>
          <w:color w:val="231F20"/>
          <w:w w:val="105"/>
        </w:rPr>
        <w:t>creó</w:t>
      </w:r>
      <w:r>
        <w:rPr>
          <w:color w:val="231F20"/>
          <w:spacing w:val="26"/>
          <w:w w:val="105"/>
        </w:rPr>
        <w:t> </w:t>
      </w:r>
      <w:r>
        <w:rPr>
          <w:color w:val="231F20"/>
          <w:w w:val="105"/>
        </w:rPr>
        <w:t>el</w:t>
      </w:r>
      <w:r>
        <w:rPr>
          <w:color w:val="231F20"/>
          <w:spacing w:val="26"/>
          <w:w w:val="105"/>
        </w:rPr>
        <w:t> </w:t>
      </w:r>
      <w:r>
        <w:rPr>
          <w:color w:val="231F20"/>
          <w:w w:val="105"/>
        </w:rPr>
        <w:t>periódico</w:t>
      </w:r>
      <w:r>
        <w:rPr>
          <w:color w:val="231F20"/>
          <w:spacing w:val="26"/>
          <w:w w:val="105"/>
        </w:rPr>
        <w:t> </w:t>
      </w:r>
      <w:r>
        <w:rPr>
          <w:color w:val="231F20"/>
          <w:spacing w:val="2"/>
          <w:w w:val="105"/>
        </w:rPr>
        <w:t>mural</w:t>
      </w:r>
      <w:r>
        <w:rPr>
          <w:color w:val="231F20"/>
          <w:spacing w:val="26"/>
          <w:w w:val="105"/>
        </w:rPr>
        <w:t> </w:t>
      </w:r>
      <w:r>
        <w:rPr>
          <w:color w:val="231F20"/>
          <w:spacing w:val="2"/>
          <w:w w:val="105"/>
        </w:rPr>
        <w:t>“Esfuerzo</w:t>
      </w:r>
    </w:p>
    <w:p>
      <w:pPr>
        <w:pStyle w:val="BodyText"/>
        <w:spacing w:before="7"/>
        <w:rPr>
          <w:sz w:val="13"/>
        </w:rPr>
      </w:pPr>
      <w:r>
        <w:rPr/>
        <w:pict>
          <v:line style="position:absolute;mso-position-horizontal-relative:page;mso-position-vertical-relative:paragraph;z-index:10792;mso-wrap-distance-left:0;mso-wrap-distance-right:0" from="42.519699pt,10.300601pt" to="114.519699pt,10.300601pt" stroked="true" strokeweight="1pt" strokecolor="#231f20">
            <w10:wrap type="topAndBottom"/>
          </v:line>
        </w:pict>
      </w:r>
    </w:p>
    <w:p>
      <w:pPr>
        <w:pStyle w:val="ListParagraph"/>
        <w:numPr>
          <w:ilvl w:val="0"/>
          <w:numId w:val="16"/>
        </w:numPr>
        <w:tabs>
          <w:tab w:pos="306" w:val="left" w:leader="none"/>
        </w:tabs>
        <w:spacing w:line="244" w:lineRule="auto" w:before="8" w:after="0"/>
        <w:ind w:left="110" w:right="107" w:firstLine="0"/>
        <w:jc w:val="both"/>
        <w:rPr>
          <w:sz w:val="16"/>
        </w:rPr>
      </w:pPr>
      <w:r>
        <w:rPr>
          <w:color w:val="231F20"/>
          <w:sz w:val="16"/>
        </w:rPr>
        <w:t>Como por ejemplo, Tepeolulco, una de las comunidades más marginadas de Tlalnepantla y que forma parte de la zona oriente del municipio, en donde sus habitantes se manifestaron frente al OPDM para exigir suministro de agua, del que carecen desde hace 20 años y tienen que abastecerse a través de pipas, señalando que son más de tres mil afectados por la falta de agua. Además, denunciando el incumplimiento de las promesas de la actual gestión municipal de dotar de agua y electricidad a la localidad: “La red de agua fue un desastre, nos prometieron que en este año estaba la red de agua y fue totalmente</w:t>
      </w:r>
      <w:r>
        <w:rPr>
          <w:color w:val="231F20"/>
          <w:spacing w:val="-9"/>
          <w:sz w:val="16"/>
        </w:rPr>
        <w:t> </w:t>
      </w:r>
      <w:r>
        <w:rPr>
          <w:color w:val="231F20"/>
          <w:sz w:val="16"/>
        </w:rPr>
        <w:t>falso.</w:t>
      </w:r>
      <w:r>
        <w:rPr>
          <w:color w:val="231F20"/>
          <w:spacing w:val="-9"/>
          <w:sz w:val="16"/>
        </w:rPr>
        <w:t> </w:t>
      </w:r>
      <w:r>
        <w:rPr>
          <w:color w:val="231F20"/>
          <w:sz w:val="16"/>
        </w:rPr>
        <w:t>Ahora</w:t>
      </w:r>
      <w:r>
        <w:rPr>
          <w:color w:val="231F20"/>
          <w:spacing w:val="-9"/>
          <w:sz w:val="16"/>
        </w:rPr>
        <w:t> </w:t>
      </w:r>
      <w:r>
        <w:rPr>
          <w:color w:val="231F20"/>
          <w:sz w:val="16"/>
        </w:rPr>
        <w:t>nos</w:t>
      </w:r>
      <w:r>
        <w:rPr>
          <w:color w:val="231F20"/>
          <w:spacing w:val="-9"/>
          <w:sz w:val="16"/>
        </w:rPr>
        <w:t> </w:t>
      </w:r>
      <w:r>
        <w:rPr>
          <w:color w:val="231F20"/>
          <w:sz w:val="16"/>
        </w:rPr>
        <w:t>quieren</w:t>
      </w:r>
      <w:r>
        <w:rPr>
          <w:color w:val="231F20"/>
          <w:spacing w:val="-9"/>
          <w:sz w:val="16"/>
        </w:rPr>
        <w:t> </w:t>
      </w:r>
      <w:r>
        <w:rPr>
          <w:color w:val="231F20"/>
          <w:sz w:val="16"/>
        </w:rPr>
        <w:t>engañar</w:t>
      </w:r>
      <w:r>
        <w:rPr>
          <w:color w:val="231F20"/>
          <w:spacing w:val="-9"/>
          <w:sz w:val="16"/>
        </w:rPr>
        <w:t> </w:t>
      </w:r>
      <w:r>
        <w:rPr>
          <w:color w:val="231F20"/>
          <w:sz w:val="16"/>
        </w:rPr>
        <w:t>con</w:t>
      </w:r>
      <w:r>
        <w:rPr>
          <w:color w:val="231F20"/>
          <w:spacing w:val="-9"/>
          <w:sz w:val="16"/>
        </w:rPr>
        <w:t> </w:t>
      </w:r>
      <w:r>
        <w:rPr>
          <w:color w:val="231F20"/>
          <w:sz w:val="16"/>
        </w:rPr>
        <w:t>sus</w:t>
      </w:r>
      <w:r>
        <w:rPr>
          <w:color w:val="231F20"/>
          <w:spacing w:val="-9"/>
          <w:sz w:val="16"/>
        </w:rPr>
        <w:t> </w:t>
      </w:r>
      <w:r>
        <w:rPr>
          <w:color w:val="231F20"/>
          <w:sz w:val="16"/>
        </w:rPr>
        <w:t>máquinas,</w:t>
      </w:r>
      <w:r>
        <w:rPr>
          <w:color w:val="231F20"/>
          <w:spacing w:val="-9"/>
          <w:sz w:val="16"/>
        </w:rPr>
        <w:t> </w:t>
      </w:r>
      <w:r>
        <w:rPr>
          <w:color w:val="231F20"/>
          <w:sz w:val="16"/>
        </w:rPr>
        <w:t>pero</w:t>
      </w:r>
      <w:r>
        <w:rPr>
          <w:color w:val="231F20"/>
          <w:spacing w:val="-9"/>
          <w:sz w:val="16"/>
        </w:rPr>
        <w:t> </w:t>
      </w:r>
      <w:r>
        <w:rPr>
          <w:color w:val="231F20"/>
          <w:sz w:val="16"/>
        </w:rPr>
        <w:t>ya</w:t>
      </w:r>
      <w:r>
        <w:rPr>
          <w:color w:val="231F20"/>
          <w:spacing w:val="-9"/>
          <w:sz w:val="16"/>
        </w:rPr>
        <w:t> </w:t>
      </w:r>
      <w:r>
        <w:rPr>
          <w:color w:val="231F20"/>
          <w:sz w:val="16"/>
        </w:rPr>
        <w:t>no</w:t>
      </w:r>
      <w:r>
        <w:rPr>
          <w:color w:val="231F20"/>
          <w:spacing w:val="-9"/>
          <w:sz w:val="16"/>
        </w:rPr>
        <w:t> </w:t>
      </w:r>
      <w:r>
        <w:rPr>
          <w:color w:val="231F20"/>
          <w:sz w:val="16"/>
        </w:rPr>
        <w:t>les</w:t>
      </w:r>
      <w:r>
        <w:rPr>
          <w:color w:val="231F20"/>
          <w:spacing w:val="-9"/>
          <w:sz w:val="16"/>
        </w:rPr>
        <w:t> </w:t>
      </w:r>
      <w:r>
        <w:rPr>
          <w:color w:val="231F20"/>
          <w:sz w:val="16"/>
        </w:rPr>
        <w:t>creemos.</w:t>
      </w:r>
      <w:r>
        <w:rPr>
          <w:color w:val="231F20"/>
          <w:spacing w:val="-9"/>
          <w:sz w:val="16"/>
        </w:rPr>
        <w:t> </w:t>
      </w:r>
      <w:r>
        <w:rPr>
          <w:color w:val="231F20"/>
          <w:sz w:val="16"/>
        </w:rPr>
        <w:t>Nuestra</w:t>
      </w:r>
      <w:r>
        <w:rPr>
          <w:color w:val="231F20"/>
          <w:spacing w:val="-9"/>
          <w:sz w:val="16"/>
        </w:rPr>
        <w:t> </w:t>
      </w:r>
      <w:r>
        <w:rPr>
          <w:color w:val="231F20"/>
          <w:sz w:val="16"/>
        </w:rPr>
        <w:t>comunidad</w:t>
      </w:r>
      <w:r>
        <w:rPr>
          <w:color w:val="231F20"/>
          <w:spacing w:val="-9"/>
          <w:sz w:val="16"/>
        </w:rPr>
        <w:t> </w:t>
      </w:r>
      <w:r>
        <w:rPr>
          <w:color w:val="231F20"/>
          <w:sz w:val="16"/>
        </w:rPr>
        <w:t>está</w:t>
      </w:r>
      <w:r>
        <w:rPr>
          <w:color w:val="231F20"/>
          <w:spacing w:val="-9"/>
          <w:sz w:val="16"/>
        </w:rPr>
        <w:t> </w:t>
      </w:r>
      <w:r>
        <w:rPr>
          <w:color w:val="231F20"/>
          <w:sz w:val="16"/>
        </w:rPr>
        <w:t>olvidada”, destacó</w:t>
      </w:r>
      <w:r>
        <w:rPr>
          <w:color w:val="231F20"/>
          <w:spacing w:val="-17"/>
          <w:sz w:val="16"/>
        </w:rPr>
        <w:t> </w:t>
      </w:r>
      <w:r>
        <w:rPr>
          <w:color w:val="231F20"/>
          <w:sz w:val="16"/>
        </w:rPr>
        <w:t>Graciela</w:t>
      </w:r>
      <w:r>
        <w:rPr>
          <w:color w:val="231F20"/>
          <w:spacing w:val="-17"/>
          <w:sz w:val="16"/>
        </w:rPr>
        <w:t> </w:t>
      </w:r>
      <w:r>
        <w:rPr>
          <w:color w:val="231F20"/>
          <w:sz w:val="16"/>
        </w:rPr>
        <w:t>Garibay</w:t>
      </w:r>
      <w:r>
        <w:rPr>
          <w:color w:val="231F20"/>
          <w:spacing w:val="-17"/>
          <w:sz w:val="16"/>
        </w:rPr>
        <w:t> </w:t>
      </w:r>
      <w:r>
        <w:rPr>
          <w:color w:val="231F20"/>
          <w:sz w:val="16"/>
        </w:rPr>
        <w:t>Morales,</w:t>
      </w:r>
      <w:r>
        <w:rPr>
          <w:color w:val="231F20"/>
          <w:spacing w:val="-17"/>
          <w:sz w:val="16"/>
        </w:rPr>
        <w:t> </w:t>
      </w:r>
      <w:r>
        <w:rPr>
          <w:color w:val="231F20"/>
          <w:sz w:val="16"/>
        </w:rPr>
        <w:t>representante</w:t>
      </w:r>
      <w:r>
        <w:rPr>
          <w:color w:val="231F20"/>
          <w:spacing w:val="-17"/>
          <w:sz w:val="16"/>
        </w:rPr>
        <w:t> </w:t>
      </w:r>
      <w:r>
        <w:rPr>
          <w:color w:val="231F20"/>
          <w:sz w:val="16"/>
        </w:rPr>
        <w:t>de</w:t>
      </w:r>
      <w:r>
        <w:rPr>
          <w:color w:val="231F20"/>
          <w:spacing w:val="-17"/>
          <w:sz w:val="16"/>
        </w:rPr>
        <w:t> </w:t>
      </w:r>
      <w:r>
        <w:rPr>
          <w:color w:val="231F20"/>
          <w:sz w:val="16"/>
        </w:rPr>
        <w:t>Tepeolulco.</w:t>
      </w:r>
      <w:r>
        <w:rPr>
          <w:color w:val="231F20"/>
          <w:spacing w:val="-17"/>
          <w:sz w:val="16"/>
        </w:rPr>
        <w:t> </w:t>
      </w:r>
      <w:r>
        <w:rPr>
          <w:color w:val="231F20"/>
          <w:sz w:val="16"/>
        </w:rPr>
        <w:t>El</w:t>
      </w:r>
      <w:r>
        <w:rPr>
          <w:color w:val="231F20"/>
          <w:spacing w:val="-17"/>
          <w:sz w:val="16"/>
        </w:rPr>
        <w:t> </w:t>
      </w:r>
      <w:r>
        <w:rPr>
          <w:color w:val="231F20"/>
          <w:sz w:val="16"/>
        </w:rPr>
        <w:t>Universal,</w:t>
      </w:r>
      <w:r>
        <w:rPr>
          <w:color w:val="231F20"/>
          <w:spacing w:val="-17"/>
          <w:sz w:val="16"/>
        </w:rPr>
        <w:t> </w:t>
      </w:r>
      <w:r>
        <w:rPr>
          <w:color w:val="231F20"/>
          <w:spacing w:val="-4"/>
          <w:sz w:val="16"/>
        </w:rPr>
        <w:t>16</w:t>
      </w:r>
      <w:r>
        <w:rPr>
          <w:color w:val="231F20"/>
          <w:spacing w:val="-17"/>
          <w:sz w:val="16"/>
        </w:rPr>
        <w:t> </w:t>
      </w:r>
      <w:r>
        <w:rPr>
          <w:color w:val="231F20"/>
          <w:sz w:val="16"/>
        </w:rPr>
        <w:t>de</w:t>
      </w:r>
      <w:r>
        <w:rPr>
          <w:color w:val="231F20"/>
          <w:spacing w:val="-17"/>
          <w:sz w:val="16"/>
        </w:rPr>
        <w:t> </w:t>
      </w:r>
      <w:r>
        <w:rPr>
          <w:color w:val="231F20"/>
          <w:sz w:val="16"/>
        </w:rPr>
        <w:t>diciembre</w:t>
      </w:r>
      <w:r>
        <w:rPr>
          <w:color w:val="231F20"/>
          <w:spacing w:val="-17"/>
          <w:sz w:val="16"/>
        </w:rPr>
        <w:t> </w:t>
      </w:r>
      <w:r>
        <w:rPr>
          <w:color w:val="231F20"/>
          <w:sz w:val="16"/>
        </w:rPr>
        <w:t>de</w:t>
      </w:r>
      <w:r>
        <w:rPr>
          <w:color w:val="231F20"/>
          <w:spacing w:val="-17"/>
          <w:sz w:val="16"/>
        </w:rPr>
        <w:t> </w:t>
      </w:r>
      <w:r>
        <w:rPr>
          <w:color w:val="231F20"/>
          <w:sz w:val="16"/>
        </w:rPr>
        <w:t>2008</w:t>
      </w:r>
    </w:p>
    <w:p>
      <w:pPr>
        <w:pStyle w:val="ListParagraph"/>
        <w:numPr>
          <w:ilvl w:val="0"/>
          <w:numId w:val="16"/>
        </w:numPr>
        <w:tabs>
          <w:tab w:pos="339" w:val="left" w:leader="none"/>
        </w:tabs>
        <w:spacing w:line="244" w:lineRule="auto" w:before="0" w:after="0"/>
        <w:ind w:left="110" w:right="2917" w:firstLine="0"/>
        <w:jc w:val="left"/>
        <w:rPr>
          <w:sz w:val="16"/>
        </w:rPr>
      </w:pPr>
      <w:r>
        <w:rPr>
          <w:color w:val="231F20"/>
          <w:sz w:val="16"/>
        </w:rPr>
        <w:t>Primer</w:t>
      </w:r>
      <w:r>
        <w:rPr>
          <w:color w:val="231F20"/>
          <w:spacing w:val="-17"/>
          <w:sz w:val="16"/>
        </w:rPr>
        <w:t> </w:t>
      </w:r>
      <w:r>
        <w:rPr>
          <w:color w:val="231F20"/>
          <w:sz w:val="16"/>
        </w:rPr>
        <w:t>Informe</w:t>
      </w:r>
      <w:r>
        <w:rPr>
          <w:color w:val="231F20"/>
          <w:spacing w:val="-17"/>
          <w:sz w:val="16"/>
        </w:rPr>
        <w:t> </w:t>
      </w:r>
      <w:r>
        <w:rPr>
          <w:color w:val="231F20"/>
          <w:sz w:val="16"/>
        </w:rPr>
        <w:t>de</w:t>
      </w:r>
      <w:r>
        <w:rPr>
          <w:color w:val="231F20"/>
          <w:spacing w:val="-17"/>
          <w:sz w:val="16"/>
        </w:rPr>
        <w:t> </w:t>
      </w:r>
      <w:r>
        <w:rPr>
          <w:color w:val="231F20"/>
          <w:sz w:val="16"/>
        </w:rPr>
        <w:t>Gobierno,</w:t>
      </w:r>
      <w:r>
        <w:rPr>
          <w:color w:val="231F20"/>
          <w:spacing w:val="-17"/>
          <w:sz w:val="16"/>
        </w:rPr>
        <w:t> </w:t>
      </w:r>
      <w:r>
        <w:rPr>
          <w:color w:val="231F20"/>
          <w:sz w:val="16"/>
        </w:rPr>
        <w:t>H.</w:t>
      </w:r>
      <w:r>
        <w:rPr>
          <w:color w:val="231F20"/>
          <w:spacing w:val="-17"/>
          <w:sz w:val="16"/>
        </w:rPr>
        <w:t> </w:t>
      </w:r>
      <w:r>
        <w:rPr>
          <w:color w:val="231F20"/>
          <w:sz w:val="16"/>
        </w:rPr>
        <w:t>Ayuntamiento</w:t>
      </w:r>
      <w:r>
        <w:rPr>
          <w:color w:val="231F20"/>
          <w:spacing w:val="-17"/>
          <w:sz w:val="16"/>
        </w:rPr>
        <w:t> </w:t>
      </w:r>
      <w:r>
        <w:rPr>
          <w:color w:val="231F20"/>
          <w:sz w:val="16"/>
        </w:rPr>
        <w:t>de</w:t>
      </w:r>
      <w:r>
        <w:rPr>
          <w:color w:val="231F20"/>
          <w:spacing w:val="-17"/>
          <w:sz w:val="16"/>
        </w:rPr>
        <w:t> </w:t>
      </w:r>
      <w:r>
        <w:rPr>
          <w:color w:val="231F20"/>
          <w:sz w:val="16"/>
        </w:rPr>
        <w:t>Tlalnepantla,</w:t>
      </w:r>
      <w:r>
        <w:rPr>
          <w:color w:val="231F20"/>
          <w:spacing w:val="-17"/>
          <w:sz w:val="16"/>
        </w:rPr>
        <w:t> </w:t>
      </w:r>
      <w:r>
        <w:rPr>
          <w:color w:val="231F20"/>
          <w:sz w:val="16"/>
        </w:rPr>
        <w:t>México,</w:t>
      </w:r>
      <w:r>
        <w:rPr>
          <w:color w:val="231F20"/>
          <w:spacing w:val="-17"/>
          <w:sz w:val="16"/>
        </w:rPr>
        <w:t> </w:t>
      </w:r>
      <w:r>
        <w:rPr>
          <w:color w:val="231F20"/>
          <w:spacing w:val="-4"/>
          <w:sz w:val="16"/>
        </w:rPr>
        <w:t>2007. </w:t>
      </w:r>
      <w:r>
        <w:rPr>
          <w:color w:val="231F20"/>
          <w:sz w:val="16"/>
        </w:rPr>
        <w:t>35</w:t>
      </w:r>
      <w:r>
        <w:rPr>
          <w:color w:val="231F20"/>
          <w:spacing w:val="16"/>
          <w:sz w:val="16"/>
        </w:rPr>
        <w:t> </w:t>
      </w:r>
      <w:r>
        <w:rPr>
          <w:color w:val="231F20"/>
          <w:sz w:val="16"/>
        </w:rPr>
        <w:t>Índices</w:t>
      </w:r>
      <w:r>
        <w:rPr>
          <w:color w:val="231F20"/>
          <w:spacing w:val="-11"/>
          <w:sz w:val="16"/>
        </w:rPr>
        <w:t> </w:t>
      </w:r>
      <w:r>
        <w:rPr>
          <w:color w:val="231F20"/>
          <w:sz w:val="16"/>
        </w:rPr>
        <w:t>Delictivos</w:t>
      </w:r>
      <w:r>
        <w:rPr>
          <w:color w:val="231F20"/>
          <w:spacing w:val="-11"/>
          <w:sz w:val="16"/>
        </w:rPr>
        <w:t> </w:t>
      </w:r>
      <w:r>
        <w:rPr>
          <w:color w:val="231F20"/>
          <w:sz w:val="16"/>
        </w:rPr>
        <w:t>Generales</w:t>
      </w:r>
      <w:r>
        <w:rPr>
          <w:color w:val="231F20"/>
          <w:spacing w:val="-11"/>
          <w:sz w:val="16"/>
        </w:rPr>
        <w:t> </w:t>
      </w:r>
      <w:r>
        <w:rPr>
          <w:color w:val="231F20"/>
          <w:sz w:val="16"/>
        </w:rPr>
        <w:t>de</w:t>
      </w:r>
      <w:r>
        <w:rPr>
          <w:color w:val="231F20"/>
          <w:spacing w:val="-11"/>
          <w:sz w:val="16"/>
        </w:rPr>
        <w:t> </w:t>
      </w:r>
      <w:r>
        <w:rPr>
          <w:color w:val="231F20"/>
          <w:sz w:val="16"/>
        </w:rPr>
        <w:t>Tlalnepantla</w:t>
      </w:r>
      <w:r>
        <w:rPr>
          <w:color w:val="231F20"/>
          <w:spacing w:val="-11"/>
          <w:sz w:val="16"/>
        </w:rPr>
        <w:t> </w:t>
      </w:r>
      <w:r>
        <w:rPr>
          <w:color w:val="231F20"/>
          <w:sz w:val="16"/>
        </w:rPr>
        <w:t>de</w:t>
      </w:r>
      <w:r>
        <w:rPr>
          <w:color w:val="231F20"/>
          <w:spacing w:val="-11"/>
          <w:sz w:val="16"/>
        </w:rPr>
        <w:t> </w:t>
      </w:r>
      <w:r>
        <w:rPr>
          <w:color w:val="231F20"/>
          <w:sz w:val="16"/>
        </w:rPr>
        <w:t>Baz.</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Compartido”. Además, se concertó </w:t>
      </w:r>
      <w:r>
        <w:rPr>
          <w:color w:val="231F20"/>
          <w:spacing w:val="3"/>
          <w:w w:val="105"/>
        </w:rPr>
        <w:t>un </w:t>
      </w:r>
      <w:r>
        <w:rPr>
          <w:color w:val="231F20"/>
          <w:w w:val="105"/>
        </w:rPr>
        <w:t>convenio con el </w:t>
      </w:r>
      <w:r>
        <w:rPr>
          <w:color w:val="231F20"/>
          <w:spacing w:val="2"/>
          <w:w w:val="105"/>
        </w:rPr>
        <w:t>Instituto </w:t>
      </w:r>
      <w:r>
        <w:rPr>
          <w:color w:val="231F20"/>
          <w:w w:val="105"/>
        </w:rPr>
        <w:t>de Transparencia y Acceso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Información</w:t>
      </w:r>
      <w:r>
        <w:rPr>
          <w:color w:val="231F20"/>
          <w:spacing w:val="-7"/>
          <w:w w:val="105"/>
        </w:rPr>
        <w:t> </w:t>
      </w:r>
      <w:r>
        <w:rPr>
          <w:color w:val="231F20"/>
          <w:w w:val="105"/>
        </w:rPr>
        <w:t>Pública</w:t>
      </w:r>
      <w:r>
        <w:rPr>
          <w:color w:val="231F20"/>
          <w:spacing w:val="-7"/>
          <w:w w:val="105"/>
        </w:rPr>
        <w:t> </w:t>
      </w:r>
      <w:r>
        <w:rPr>
          <w:color w:val="231F20"/>
          <w:w w:val="105"/>
        </w:rPr>
        <w:t>del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spacing w:val="2"/>
          <w:w w:val="105"/>
        </w:rPr>
        <w:t>mediante</w:t>
      </w:r>
      <w:r>
        <w:rPr>
          <w:color w:val="231F20"/>
          <w:spacing w:val="-7"/>
          <w:w w:val="105"/>
        </w:rPr>
        <w:t> </w:t>
      </w:r>
      <w:r>
        <w:rPr>
          <w:color w:val="231F20"/>
          <w:w w:val="105"/>
        </w:rPr>
        <w:t>el</w:t>
      </w:r>
      <w:r>
        <w:rPr>
          <w:color w:val="231F20"/>
          <w:spacing w:val="-7"/>
          <w:w w:val="105"/>
        </w:rPr>
        <w:t> </w:t>
      </w:r>
      <w:r>
        <w:rPr>
          <w:color w:val="231F20"/>
          <w:spacing w:val="3"/>
          <w:w w:val="105"/>
        </w:rPr>
        <w:t>cual</w:t>
      </w:r>
      <w:r>
        <w:rPr>
          <w:color w:val="231F20"/>
          <w:spacing w:val="-7"/>
          <w:w w:val="105"/>
        </w:rPr>
        <w:t> </w:t>
      </w:r>
      <w:r>
        <w:rPr>
          <w:color w:val="231F20"/>
          <w:spacing w:val="2"/>
          <w:w w:val="105"/>
        </w:rPr>
        <w:t>Tlalnepantla </w:t>
      </w:r>
      <w:r>
        <w:rPr>
          <w:color w:val="231F20"/>
          <w:w w:val="105"/>
        </w:rPr>
        <w:t>se </w:t>
      </w:r>
      <w:r>
        <w:rPr>
          <w:color w:val="231F20"/>
          <w:spacing w:val="2"/>
          <w:w w:val="105"/>
        </w:rPr>
        <w:t>adhirió </w:t>
      </w:r>
      <w:r>
        <w:rPr>
          <w:color w:val="231F20"/>
          <w:spacing w:val="3"/>
          <w:w w:val="105"/>
        </w:rPr>
        <w:t>al </w:t>
      </w:r>
      <w:r>
        <w:rPr>
          <w:color w:val="231F20"/>
          <w:w w:val="105"/>
        </w:rPr>
        <w:t>Sistema de Control de Solicitudes de Información del Estado de México (SICOSIEM),</w:t>
      </w:r>
      <w:r>
        <w:rPr>
          <w:color w:val="231F20"/>
          <w:spacing w:val="-16"/>
          <w:w w:val="105"/>
        </w:rPr>
        <w:t> </w:t>
      </w:r>
      <w:r>
        <w:rPr>
          <w:color w:val="231F20"/>
          <w:w w:val="105"/>
        </w:rPr>
        <w:t>abriendo</w:t>
      </w:r>
      <w:r>
        <w:rPr>
          <w:color w:val="231F20"/>
          <w:spacing w:val="-16"/>
          <w:w w:val="105"/>
        </w:rPr>
        <w:t> </w:t>
      </w:r>
      <w:r>
        <w:rPr>
          <w:color w:val="231F20"/>
          <w:w w:val="105"/>
        </w:rPr>
        <w:t>así</w:t>
      </w:r>
      <w:r>
        <w:rPr>
          <w:color w:val="231F20"/>
          <w:spacing w:val="-16"/>
          <w:w w:val="105"/>
        </w:rPr>
        <w:t> </w:t>
      </w:r>
      <w:r>
        <w:rPr>
          <w:color w:val="231F20"/>
          <w:w w:val="105"/>
        </w:rPr>
        <w:t>otro</w:t>
      </w:r>
      <w:r>
        <w:rPr>
          <w:color w:val="231F20"/>
          <w:spacing w:val="-16"/>
          <w:w w:val="105"/>
        </w:rPr>
        <w:t> </w:t>
      </w:r>
      <w:r>
        <w:rPr>
          <w:color w:val="231F20"/>
          <w:spacing w:val="4"/>
          <w:w w:val="105"/>
        </w:rPr>
        <w:t>canal</w:t>
      </w:r>
      <w:r>
        <w:rPr>
          <w:color w:val="231F20"/>
          <w:spacing w:val="-16"/>
          <w:w w:val="105"/>
        </w:rPr>
        <w:t> </w:t>
      </w:r>
      <w:r>
        <w:rPr>
          <w:color w:val="231F20"/>
          <w:spacing w:val="2"/>
          <w:w w:val="105"/>
        </w:rPr>
        <w:t>para</w:t>
      </w:r>
      <w:r>
        <w:rPr>
          <w:color w:val="231F20"/>
          <w:spacing w:val="-16"/>
          <w:w w:val="105"/>
        </w:rPr>
        <w:t> </w:t>
      </w:r>
      <w:r>
        <w:rPr>
          <w:color w:val="231F20"/>
          <w:w w:val="105"/>
        </w:rPr>
        <w:t>el</w:t>
      </w:r>
      <w:r>
        <w:rPr>
          <w:color w:val="231F20"/>
          <w:spacing w:val="-16"/>
          <w:w w:val="105"/>
        </w:rPr>
        <w:t> </w:t>
      </w:r>
      <w:r>
        <w:rPr>
          <w:color w:val="231F20"/>
          <w:spacing w:val="2"/>
          <w:w w:val="105"/>
        </w:rPr>
        <w:t>ingreso</w:t>
      </w:r>
      <w:r>
        <w:rPr>
          <w:color w:val="231F20"/>
          <w:spacing w:val="-16"/>
          <w:w w:val="105"/>
        </w:rPr>
        <w:t> </w:t>
      </w:r>
      <w:r>
        <w:rPr>
          <w:color w:val="231F20"/>
          <w:w w:val="105"/>
        </w:rPr>
        <w:t>de</w:t>
      </w:r>
      <w:r>
        <w:rPr>
          <w:color w:val="231F20"/>
          <w:spacing w:val="-16"/>
          <w:w w:val="105"/>
        </w:rPr>
        <w:t> </w:t>
      </w:r>
      <w:r>
        <w:rPr>
          <w:color w:val="231F20"/>
          <w:w w:val="105"/>
        </w:rPr>
        <w:t>solicitudes.</w:t>
      </w:r>
      <w:r>
        <w:rPr>
          <w:color w:val="231F20"/>
          <w:spacing w:val="-16"/>
          <w:w w:val="105"/>
        </w:rPr>
        <w:t> </w:t>
      </w: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spacing w:val="2"/>
          <w:w w:val="105"/>
        </w:rPr>
        <w:t>las </w:t>
      </w:r>
      <w:r>
        <w:rPr>
          <w:color w:val="231F20"/>
          <w:spacing w:val="3"/>
          <w:w w:val="105"/>
        </w:rPr>
        <w:t>cifras </w:t>
      </w:r>
      <w:r>
        <w:rPr>
          <w:color w:val="231F20"/>
          <w:w w:val="105"/>
        </w:rPr>
        <w:t>del </w:t>
      </w:r>
      <w:r>
        <w:rPr>
          <w:color w:val="231F20"/>
          <w:spacing w:val="2"/>
          <w:w w:val="105"/>
        </w:rPr>
        <w:t>ayuntamiento </w:t>
      </w:r>
      <w:r>
        <w:rPr>
          <w:color w:val="231F20"/>
          <w:w w:val="105"/>
        </w:rPr>
        <w:t>de </w:t>
      </w:r>
      <w:r>
        <w:rPr>
          <w:color w:val="231F20"/>
          <w:spacing w:val="2"/>
          <w:w w:val="105"/>
        </w:rPr>
        <w:t>Tlalnepantla, </w:t>
      </w:r>
      <w:r>
        <w:rPr>
          <w:color w:val="231F20"/>
          <w:w w:val="105"/>
        </w:rPr>
        <w:t>entre el periodo del </w:t>
      </w:r>
      <w:r>
        <w:rPr>
          <w:color w:val="231F20"/>
          <w:spacing w:val="-3"/>
          <w:w w:val="105"/>
        </w:rPr>
        <w:t>18 </w:t>
      </w:r>
      <w:r>
        <w:rPr>
          <w:color w:val="231F20"/>
          <w:w w:val="105"/>
        </w:rPr>
        <w:t>de agosto de </w:t>
      </w:r>
      <w:r>
        <w:rPr>
          <w:color w:val="231F20"/>
          <w:spacing w:val="4"/>
          <w:w w:val="105"/>
        </w:rPr>
        <w:t>2007 </w:t>
      </w:r>
      <w:r>
        <w:rPr>
          <w:color w:val="231F20"/>
          <w:spacing w:val="3"/>
          <w:w w:val="105"/>
        </w:rPr>
        <w:t>al </w:t>
      </w:r>
      <w:r>
        <w:rPr>
          <w:color w:val="231F20"/>
          <w:spacing w:val="-4"/>
          <w:w w:val="105"/>
        </w:rPr>
        <w:t>31</w:t>
      </w:r>
      <w:r>
        <w:rPr>
          <w:color w:val="231F20"/>
          <w:spacing w:val="-14"/>
          <w:w w:val="105"/>
        </w:rPr>
        <w:t> </w:t>
      </w:r>
      <w:r>
        <w:rPr>
          <w:color w:val="231F20"/>
          <w:w w:val="105"/>
        </w:rPr>
        <w:t>de</w:t>
      </w:r>
      <w:r>
        <w:rPr>
          <w:color w:val="231F20"/>
          <w:spacing w:val="-14"/>
          <w:w w:val="105"/>
        </w:rPr>
        <w:t> </w:t>
      </w:r>
      <w:r>
        <w:rPr>
          <w:color w:val="231F20"/>
          <w:spacing w:val="2"/>
          <w:w w:val="105"/>
        </w:rPr>
        <w:t>julio</w:t>
      </w:r>
      <w:r>
        <w:rPr>
          <w:color w:val="231F20"/>
          <w:spacing w:val="-14"/>
          <w:w w:val="105"/>
        </w:rPr>
        <w:t> </w:t>
      </w:r>
      <w:r>
        <w:rPr>
          <w:color w:val="231F20"/>
          <w:w w:val="105"/>
        </w:rPr>
        <w:t>de</w:t>
      </w:r>
      <w:r>
        <w:rPr>
          <w:color w:val="231F20"/>
          <w:spacing w:val="-14"/>
          <w:w w:val="105"/>
        </w:rPr>
        <w:t> </w:t>
      </w:r>
      <w:r>
        <w:rPr>
          <w:color w:val="231F20"/>
          <w:spacing w:val="4"/>
          <w:w w:val="105"/>
        </w:rPr>
        <w:t>2008,</w:t>
      </w:r>
      <w:r>
        <w:rPr>
          <w:color w:val="231F20"/>
          <w:spacing w:val="-14"/>
          <w:w w:val="105"/>
        </w:rPr>
        <w:t> </w:t>
      </w:r>
      <w:r>
        <w:rPr>
          <w:color w:val="231F20"/>
          <w:w w:val="105"/>
        </w:rPr>
        <w:t>el</w:t>
      </w:r>
      <w:r>
        <w:rPr>
          <w:color w:val="231F20"/>
          <w:spacing w:val="-14"/>
          <w:w w:val="105"/>
        </w:rPr>
        <w:t> </w:t>
      </w:r>
      <w:r>
        <w:rPr>
          <w:color w:val="231F20"/>
          <w:spacing w:val="2"/>
          <w:w w:val="105"/>
        </w:rPr>
        <w:t>Instituto</w:t>
      </w:r>
      <w:r>
        <w:rPr>
          <w:color w:val="231F20"/>
          <w:spacing w:val="-14"/>
          <w:w w:val="105"/>
        </w:rPr>
        <w:t> </w:t>
      </w:r>
      <w:r>
        <w:rPr>
          <w:color w:val="231F20"/>
          <w:spacing w:val="2"/>
          <w:w w:val="105"/>
        </w:rPr>
        <w:t>Municipal</w:t>
      </w:r>
      <w:r>
        <w:rPr>
          <w:color w:val="231F20"/>
          <w:spacing w:val="-14"/>
          <w:w w:val="105"/>
        </w:rPr>
        <w:t> </w:t>
      </w:r>
      <w:r>
        <w:rPr>
          <w:color w:val="231F20"/>
          <w:w w:val="105"/>
        </w:rPr>
        <w:t>de</w:t>
      </w:r>
      <w:r>
        <w:rPr>
          <w:color w:val="231F20"/>
          <w:spacing w:val="-14"/>
          <w:w w:val="105"/>
        </w:rPr>
        <w:t> </w:t>
      </w:r>
      <w:r>
        <w:rPr>
          <w:color w:val="231F20"/>
          <w:w w:val="105"/>
        </w:rPr>
        <w:t>Transparencia</w:t>
      </w:r>
      <w:r>
        <w:rPr>
          <w:color w:val="231F20"/>
          <w:spacing w:val="-14"/>
          <w:w w:val="105"/>
        </w:rPr>
        <w:t> </w:t>
      </w:r>
      <w:r>
        <w:rPr>
          <w:color w:val="231F20"/>
          <w:w w:val="105"/>
        </w:rPr>
        <w:t>y</w:t>
      </w:r>
      <w:r>
        <w:rPr>
          <w:color w:val="231F20"/>
          <w:spacing w:val="-14"/>
          <w:w w:val="105"/>
        </w:rPr>
        <w:t> </w:t>
      </w:r>
      <w:r>
        <w:rPr>
          <w:color w:val="231F20"/>
          <w:w w:val="105"/>
        </w:rPr>
        <w:t>Acceso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Información Pública recibió y atendió </w:t>
      </w:r>
      <w:r>
        <w:rPr>
          <w:color w:val="231F20"/>
          <w:spacing w:val="3"/>
          <w:w w:val="105"/>
        </w:rPr>
        <w:t>un </w:t>
      </w:r>
      <w:r>
        <w:rPr>
          <w:color w:val="231F20"/>
          <w:spacing w:val="2"/>
          <w:w w:val="105"/>
        </w:rPr>
        <w:t>total </w:t>
      </w:r>
      <w:r>
        <w:rPr>
          <w:color w:val="231F20"/>
          <w:w w:val="105"/>
        </w:rPr>
        <w:t>de 198 solicitudes ciudadanas. De </w:t>
      </w:r>
      <w:r>
        <w:rPr>
          <w:color w:val="231F20"/>
          <w:spacing w:val="3"/>
          <w:w w:val="105"/>
        </w:rPr>
        <w:t>éstas, </w:t>
      </w:r>
      <w:r>
        <w:rPr>
          <w:color w:val="231F20"/>
          <w:w w:val="105"/>
        </w:rPr>
        <w:t>65 fueron </w:t>
      </w:r>
      <w:r>
        <w:rPr>
          <w:color w:val="231F20"/>
          <w:spacing w:val="2"/>
          <w:w w:val="105"/>
        </w:rPr>
        <w:t>ingresadas </w:t>
      </w:r>
      <w:r>
        <w:rPr>
          <w:color w:val="231F20"/>
          <w:w w:val="105"/>
        </w:rPr>
        <w:t>a través del Sistema de Control de Solicitudes de Información del Estado de México (SICOSIEM). Se </w:t>
      </w:r>
      <w:r>
        <w:rPr>
          <w:color w:val="231F20"/>
          <w:spacing w:val="2"/>
          <w:w w:val="105"/>
        </w:rPr>
        <w:t>realizaron </w:t>
      </w:r>
      <w:r>
        <w:rPr>
          <w:color w:val="231F20"/>
          <w:w w:val="105"/>
        </w:rPr>
        <w:t>57 </w:t>
      </w:r>
      <w:r>
        <w:rPr>
          <w:color w:val="231F20"/>
          <w:spacing w:val="4"/>
          <w:w w:val="105"/>
        </w:rPr>
        <w:t>mil </w:t>
      </w:r>
      <w:r>
        <w:rPr>
          <w:color w:val="231F20"/>
          <w:w w:val="105"/>
        </w:rPr>
        <w:t>158 </w:t>
      </w:r>
      <w:r>
        <w:rPr>
          <w:color w:val="231F20"/>
          <w:spacing w:val="2"/>
          <w:w w:val="105"/>
        </w:rPr>
        <w:t>consultas </w:t>
      </w:r>
      <w:r>
        <w:rPr>
          <w:color w:val="231F20"/>
          <w:spacing w:val="3"/>
          <w:w w:val="105"/>
        </w:rPr>
        <w:t>directas al </w:t>
      </w:r>
      <w:r>
        <w:rPr>
          <w:color w:val="231F20"/>
          <w:spacing w:val="2"/>
          <w:w w:val="105"/>
        </w:rPr>
        <w:t>apartado </w:t>
      </w:r>
      <w:r>
        <w:rPr>
          <w:color w:val="231F20"/>
          <w:w w:val="105"/>
        </w:rPr>
        <w:t>de </w:t>
      </w:r>
      <w:r>
        <w:rPr>
          <w:color w:val="231F20"/>
          <w:spacing w:val="2"/>
          <w:w w:val="105"/>
        </w:rPr>
        <w:t>transparencia</w:t>
      </w:r>
      <w:r>
        <w:rPr>
          <w:color w:val="231F20"/>
          <w:spacing w:val="-10"/>
          <w:w w:val="105"/>
        </w:rPr>
        <w:t> </w:t>
      </w:r>
      <w:r>
        <w:rPr>
          <w:color w:val="231F20"/>
          <w:w w:val="105"/>
        </w:rPr>
        <w:t>del</w:t>
      </w:r>
      <w:r>
        <w:rPr>
          <w:color w:val="231F20"/>
          <w:spacing w:val="-10"/>
          <w:w w:val="105"/>
        </w:rPr>
        <w:t> </w:t>
      </w:r>
      <w:r>
        <w:rPr>
          <w:color w:val="231F20"/>
          <w:spacing w:val="3"/>
          <w:w w:val="105"/>
        </w:rPr>
        <w:t>portal</w:t>
      </w:r>
      <w:r>
        <w:rPr>
          <w:color w:val="231F20"/>
          <w:spacing w:val="-10"/>
          <w:w w:val="105"/>
        </w:rPr>
        <w:t> </w:t>
      </w:r>
      <w:r>
        <w:rPr>
          <w:color w:val="231F20"/>
          <w:w w:val="105"/>
        </w:rPr>
        <w:t>del</w:t>
      </w:r>
      <w:r>
        <w:rPr>
          <w:color w:val="231F20"/>
          <w:spacing w:val="-10"/>
          <w:w w:val="105"/>
        </w:rPr>
        <w:t> </w:t>
      </w:r>
      <w:r>
        <w:rPr>
          <w:color w:val="231F20"/>
          <w:spacing w:val="2"/>
          <w:w w:val="105"/>
        </w:rPr>
        <w:t>ayuntamiento;</w:t>
      </w:r>
      <w:r>
        <w:rPr>
          <w:color w:val="231F20"/>
          <w:spacing w:val="-10"/>
          <w:w w:val="105"/>
        </w:rPr>
        <w:t> </w:t>
      </w:r>
      <w:r>
        <w:rPr>
          <w:color w:val="231F20"/>
          <w:spacing w:val="2"/>
          <w:w w:val="105"/>
        </w:rPr>
        <w:t>asimismo,</w:t>
      </w:r>
      <w:r>
        <w:rPr>
          <w:color w:val="231F20"/>
          <w:spacing w:val="-10"/>
          <w:w w:val="105"/>
        </w:rPr>
        <w:t> </w:t>
      </w:r>
      <w:r>
        <w:rPr>
          <w:color w:val="231F20"/>
          <w:w w:val="105"/>
        </w:rPr>
        <w:t>se</w:t>
      </w:r>
      <w:r>
        <w:rPr>
          <w:color w:val="231F20"/>
          <w:spacing w:val="-10"/>
          <w:w w:val="105"/>
        </w:rPr>
        <w:t> </w:t>
      </w:r>
      <w:r>
        <w:rPr>
          <w:color w:val="231F20"/>
          <w:spacing w:val="2"/>
          <w:w w:val="105"/>
        </w:rPr>
        <w:t>registraron</w:t>
      </w:r>
      <w:r>
        <w:rPr>
          <w:color w:val="231F20"/>
          <w:spacing w:val="-10"/>
          <w:w w:val="105"/>
        </w:rPr>
        <w:t> </w:t>
      </w:r>
      <w:r>
        <w:rPr>
          <w:color w:val="231F20"/>
          <w:w w:val="105"/>
        </w:rPr>
        <w:t>3</w:t>
      </w:r>
      <w:r>
        <w:rPr>
          <w:color w:val="231F20"/>
          <w:spacing w:val="-10"/>
          <w:w w:val="105"/>
        </w:rPr>
        <w:t> </w:t>
      </w:r>
      <w:r>
        <w:rPr>
          <w:color w:val="231F20"/>
          <w:spacing w:val="4"/>
          <w:w w:val="105"/>
        </w:rPr>
        <w:t>mil</w:t>
      </w:r>
      <w:r>
        <w:rPr>
          <w:color w:val="231F20"/>
          <w:spacing w:val="-10"/>
          <w:w w:val="105"/>
        </w:rPr>
        <w:t> </w:t>
      </w:r>
      <w:r>
        <w:rPr>
          <w:color w:val="231F20"/>
          <w:w w:val="105"/>
        </w:rPr>
        <w:t>737</w:t>
      </w:r>
      <w:r>
        <w:rPr>
          <w:color w:val="231F20"/>
          <w:spacing w:val="-10"/>
          <w:w w:val="105"/>
        </w:rPr>
        <w:t> </w:t>
      </w:r>
      <w:r>
        <w:rPr>
          <w:color w:val="231F20"/>
          <w:w w:val="105"/>
        </w:rPr>
        <w:t>consul- </w:t>
      </w:r>
      <w:r>
        <w:rPr>
          <w:color w:val="231F20"/>
          <w:spacing w:val="3"/>
          <w:w w:val="105"/>
        </w:rPr>
        <w:t>tas</w:t>
      </w:r>
      <w:r>
        <w:rPr>
          <w:color w:val="231F20"/>
          <w:spacing w:val="-12"/>
          <w:w w:val="105"/>
        </w:rPr>
        <w:t> </w:t>
      </w:r>
      <w:r>
        <w:rPr>
          <w:color w:val="231F20"/>
          <w:w w:val="105"/>
        </w:rPr>
        <w:t>telefónicas</w:t>
      </w:r>
      <w:r>
        <w:rPr>
          <w:color w:val="231F20"/>
          <w:spacing w:val="-12"/>
          <w:w w:val="105"/>
        </w:rPr>
        <w:t> </w:t>
      </w:r>
      <w:r>
        <w:rPr>
          <w:color w:val="231F20"/>
          <w:w w:val="105"/>
        </w:rPr>
        <w:t>a</w:t>
      </w:r>
      <w:r>
        <w:rPr>
          <w:color w:val="231F20"/>
          <w:spacing w:val="-12"/>
          <w:w w:val="105"/>
        </w:rPr>
        <w:t> </w:t>
      </w:r>
      <w:r>
        <w:rPr>
          <w:color w:val="231F20"/>
          <w:spacing w:val="2"/>
          <w:w w:val="105"/>
        </w:rPr>
        <w:t>Tlalnetel,</w:t>
      </w:r>
      <w:r>
        <w:rPr>
          <w:color w:val="231F20"/>
          <w:spacing w:val="-12"/>
          <w:w w:val="105"/>
        </w:rPr>
        <w:t> </w:t>
      </w:r>
      <w:r>
        <w:rPr>
          <w:color w:val="231F20"/>
          <w:w w:val="105"/>
        </w:rPr>
        <w:t>relativas</w:t>
      </w:r>
      <w:r>
        <w:rPr>
          <w:color w:val="231F20"/>
          <w:spacing w:val="-12"/>
          <w:w w:val="105"/>
        </w:rPr>
        <w:t> </w:t>
      </w:r>
      <w:r>
        <w:rPr>
          <w:color w:val="231F20"/>
          <w:w w:val="105"/>
        </w:rPr>
        <w:t>a</w:t>
      </w:r>
      <w:r>
        <w:rPr>
          <w:color w:val="231F20"/>
          <w:spacing w:val="-12"/>
          <w:w w:val="105"/>
        </w:rPr>
        <w:t> </w:t>
      </w:r>
      <w:r>
        <w:rPr>
          <w:color w:val="231F20"/>
          <w:spacing w:val="3"/>
          <w:w w:val="105"/>
        </w:rPr>
        <w:t>trámites</w:t>
      </w:r>
      <w:r>
        <w:rPr>
          <w:color w:val="231F20"/>
          <w:spacing w:val="-12"/>
          <w:w w:val="105"/>
        </w:rPr>
        <w:t> </w:t>
      </w:r>
      <w:r>
        <w:rPr>
          <w:color w:val="231F20"/>
          <w:w w:val="105"/>
        </w:rPr>
        <w:t>y</w:t>
      </w:r>
      <w:r>
        <w:rPr>
          <w:color w:val="231F20"/>
          <w:spacing w:val="-12"/>
          <w:w w:val="105"/>
        </w:rPr>
        <w:t> </w:t>
      </w:r>
      <w:r>
        <w:rPr>
          <w:color w:val="231F20"/>
          <w:spacing w:val="2"/>
          <w:w w:val="105"/>
        </w:rPr>
        <w:t>servicios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2"/>
          <w:w w:val="105"/>
        </w:rPr>
        <w:t>administración</w:t>
      </w:r>
      <w:r>
        <w:rPr>
          <w:color w:val="231F20"/>
          <w:spacing w:val="-12"/>
          <w:w w:val="105"/>
        </w:rPr>
        <w:t> </w:t>
      </w:r>
      <w:r>
        <w:rPr>
          <w:color w:val="231F20"/>
          <w:w w:val="105"/>
        </w:rPr>
        <w:t>pública </w:t>
      </w:r>
      <w:r>
        <w:rPr>
          <w:color w:val="231F20"/>
          <w:spacing w:val="2"/>
          <w:w w:val="105"/>
        </w:rPr>
        <w:t>municipal, </w:t>
      </w:r>
      <w:r>
        <w:rPr>
          <w:color w:val="231F20"/>
          <w:w w:val="105"/>
        </w:rPr>
        <w:t>de </w:t>
      </w:r>
      <w:r>
        <w:rPr>
          <w:color w:val="231F20"/>
          <w:spacing w:val="4"/>
          <w:w w:val="105"/>
        </w:rPr>
        <w:t>tal </w:t>
      </w:r>
      <w:r>
        <w:rPr>
          <w:color w:val="231F20"/>
          <w:w w:val="105"/>
        </w:rPr>
        <w:t>manera que en conjunto superan </w:t>
      </w:r>
      <w:r>
        <w:rPr>
          <w:color w:val="231F20"/>
          <w:spacing w:val="2"/>
          <w:w w:val="105"/>
        </w:rPr>
        <w:t>las </w:t>
      </w:r>
      <w:r>
        <w:rPr>
          <w:color w:val="231F20"/>
          <w:w w:val="105"/>
        </w:rPr>
        <w:t>60 </w:t>
      </w:r>
      <w:r>
        <w:rPr>
          <w:color w:val="231F20"/>
          <w:spacing w:val="4"/>
          <w:w w:val="105"/>
        </w:rPr>
        <w:t>mil </w:t>
      </w:r>
      <w:r>
        <w:rPr>
          <w:color w:val="231F20"/>
          <w:spacing w:val="2"/>
          <w:w w:val="105"/>
        </w:rPr>
        <w:t>consultas. </w:t>
      </w:r>
      <w:r>
        <w:rPr>
          <w:color w:val="231F20"/>
          <w:w w:val="105"/>
        </w:rPr>
        <w:t>En cuanto a los </w:t>
      </w:r>
      <w:r>
        <w:rPr>
          <w:color w:val="231F20"/>
          <w:spacing w:val="2"/>
          <w:w w:val="105"/>
        </w:rPr>
        <w:t>recursos </w:t>
      </w:r>
      <w:r>
        <w:rPr>
          <w:color w:val="231F20"/>
          <w:w w:val="105"/>
        </w:rPr>
        <w:t>de </w:t>
      </w:r>
      <w:r>
        <w:rPr>
          <w:color w:val="231F20"/>
          <w:spacing w:val="2"/>
          <w:w w:val="105"/>
        </w:rPr>
        <w:t>revisión </w:t>
      </w:r>
      <w:r>
        <w:rPr>
          <w:color w:val="231F20"/>
          <w:w w:val="105"/>
        </w:rPr>
        <w:t>a cargo del </w:t>
      </w:r>
      <w:r>
        <w:rPr>
          <w:color w:val="231F20"/>
          <w:spacing w:val="2"/>
          <w:w w:val="105"/>
        </w:rPr>
        <w:t>Instituto, </w:t>
      </w:r>
      <w:r>
        <w:rPr>
          <w:color w:val="231F20"/>
          <w:w w:val="105"/>
        </w:rPr>
        <w:t>se atendieron </w:t>
      </w:r>
      <w:r>
        <w:rPr>
          <w:color w:val="231F20"/>
          <w:spacing w:val="-6"/>
          <w:w w:val="105"/>
        </w:rPr>
        <w:t>14 </w:t>
      </w:r>
      <w:r>
        <w:rPr>
          <w:color w:val="231F20"/>
          <w:w w:val="105"/>
        </w:rPr>
        <w:t>inconformidades </w:t>
      </w:r>
      <w:r>
        <w:rPr>
          <w:color w:val="231F20"/>
          <w:spacing w:val="2"/>
          <w:w w:val="105"/>
        </w:rPr>
        <w:t>las cuales</w:t>
      </w:r>
      <w:r>
        <w:rPr>
          <w:color w:val="231F20"/>
          <w:spacing w:val="-6"/>
          <w:w w:val="105"/>
        </w:rPr>
        <w:t> </w:t>
      </w:r>
      <w:r>
        <w:rPr>
          <w:color w:val="231F20"/>
          <w:w w:val="105"/>
        </w:rPr>
        <w:t>fueron</w:t>
      </w:r>
      <w:r>
        <w:rPr>
          <w:color w:val="231F20"/>
          <w:spacing w:val="-6"/>
          <w:w w:val="105"/>
        </w:rPr>
        <w:t> </w:t>
      </w:r>
      <w:r>
        <w:rPr>
          <w:color w:val="231F20"/>
          <w:w w:val="105"/>
        </w:rPr>
        <w:t>resueltas</w:t>
      </w:r>
      <w:r>
        <w:rPr>
          <w:color w:val="231F20"/>
          <w:spacing w:val="-6"/>
          <w:w w:val="105"/>
        </w:rPr>
        <w:t> </w:t>
      </w:r>
      <w:r>
        <w:rPr>
          <w:color w:val="231F20"/>
          <w:w w:val="105"/>
        </w:rPr>
        <w:t>favorablemente</w:t>
      </w:r>
      <w:r>
        <w:rPr>
          <w:color w:val="231F20"/>
          <w:spacing w:val="-6"/>
          <w:w w:val="105"/>
        </w:rPr>
        <w:t> </w:t>
      </w:r>
      <w:r>
        <w:rPr>
          <w:color w:val="231F20"/>
          <w:spacing w:val="2"/>
          <w:w w:val="105"/>
        </w:rPr>
        <w:t>para</w:t>
      </w:r>
      <w:r>
        <w:rPr>
          <w:color w:val="231F20"/>
          <w:spacing w:val="-6"/>
          <w:w w:val="105"/>
        </w:rPr>
        <w:t> </w:t>
      </w:r>
      <w:r>
        <w:rPr>
          <w:color w:val="231F20"/>
          <w:w w:val="105"/>
        </w:rPr>
        <w:t>el</w:t>
      </w:r>
      <w:r>
        <w:rPr>
          <w:color w:val="231F20"/>
          <w:spacing w:val="-6"/>
          <w:w w:val="105"/>
        </w:rPr>
        <w:t> </w:t>
      </w:r>
      <w:r>
        <w:rPr>
          <w:color w:val="231F20"/>
          <w:w w:val="105"/>
        </w:rPr>
        <w:t>ciudadano</w:t>
      </w:r>
      <w:r>
        <w:rPr>
          <w:color w:val="231F20"/>
          <w:spacing w:val="-6"/>
          <w:w w:val="105"/>
        </w:rPr>
        <w:t> </w:t>
      </w:r>
      <w:r>
        <w:rPr>
          <w:color w:val="231F20"/>
          <w:spacing w:val="3"/>
          <w:w w:val="105"/>
        </w:rPr>
        <w:t>al</w:t>
      </w:r>
      <w:r>
        <w:rPr>
          <w:color w:val="231F20"/>
          <w:spacing w:val="-6"/>
          <w:w w:val="105"/>
        </w:rPr>
        <w:t> </w:t>
      </w:r>
      <w:r>
        <w:rPr>
          <w:color w:val="231F20"/>
          <w:w w:val="105"/>
        </w:rPr>
        <w:t>100</w:t>
      </w:r>
      <w:r>
        <w:rPr>
          <w:color w:val="231F20"/>
          <w:spacing w:val="-6"/>
          <w:w w:val="105"/>
        </w:rPr>
        <w:t> </w:t>
      </w:r>
      <w:r>
        <w:rPr>
          <w:color w:val="231F20"/>
          <w:w w:val="105"/>
        </w:rPr>
        <w:t>por</w:t>
      </w:r>
      <w:r>
        <w:rPr>
          <w:color w:val="231F20"/>
          <w:spacing w:val="-6"/>
          <w:w w:val="105"/>
        </w:rPr>
        <w:t> </w:t>
      </w:r>
      <w:r>
        <w:rPr>
          <w:color w:val="231F20"/>
          <w:w w:val="105"/>
        </w:rPr>
        <w:t>ciento,</w:t>
      </w:r>
      <w:r>
        <w:rPr>
          <w:color w:val="231F20"/>
          <w:spacing w:val="-6"/>
          <w:w w:val="105"/>
        </w:rPr>
        <w:t> </w:t>
      </w:r>
      <w:r>
        <w:rPr>
          <w:color w:val="231F20"/>
          <w:w w:val="105"/>
        </w:rPr>
        <w:t>ya</w:t>
      </w:r>
      <w:r>
        <w:rPr>
          <w:color w:val="231F20"/>
          <w:spacing w:val="-6"/>
          <w:w w:val="105"/>
        </w:rPr>
        <w:t> </w:t>
      </w:r>
      <w:r>
        <w:rPr>
          <w:color w:val="231F20"/>
          <w:w w:val="105"/>
        </w:rPr>
        <w:t>que</w:t>
      </w:r>
      <w:r>
        <w:rPr>
          <w:color w:val="231F20"/>
          <w:spacing w:val="-6"/>
          <w:w w:val="105"/>
        </w:rPr>
        <w:t> </w:t>
      </w:r>
      <w:r>
        <w:rPr>
          <w:color w:val="231F20"/>
          <w:spacing w:val="2"/>
          <w:w w:val="105"/>
        </w:rPr>
        <w:t>las </w:t>
      </w:r>
      <w:r>
        <w:rPr>
          <w:color w:val="231F20"/>
          <w:w w:val="105"/>
        </w:rPr>
        <w:t>respuestas </w:t>
      </w:r>
      <w:r>
        <w:rPr>
          <w:color w:val="231F20"/>
          <w:spacing w:val="2"/>
          <w:w w:val="105"/>
        </w:rPr>
        <w:t>habían </w:t>
      </w:r>
      <w:r>
        <w:rPr>
          <w:color w:val="231F20"/>
          <w:w w:val="105"/>
        </w:rPr>
        <w:t>resultado</w:t>
      </w:r>
      <w:r>
        <w:rPr>
          <w:color w:val="231F20"/>
          <w:spacing w:val="13"/>
          <w:w w:val="105"/>
        </w:rPr>
        <w:t> </w:t>
      </w:r>
      <w:r>
        <w:rPr>
          <w:color w:val="231F20"/>
          <w:spacing w:val="2"/>
          <w:w w:val="105"/>
        </w:rPr>
        <w:t>parciales</w:t>
      </w:r>
      <w:r>
        <w:rPr>
          <w:color w:val="231F20"/>
          <w:spacing w:val="2"/>
          <w:w w:val="105"/>
          <w:position w:val="7"/>
          <w:sz w:val="13"/>
        </w:rPr>
        <w:t>36</w:t>
      </w:r>
      <w:r>
        <w:rPr>
          <w:color w:val="231F20"/>
          <w:spacing w:val="2"/>
          <w:w w:val="105"/>
        </w:rPr>
        <w:t>.</w:t>
      </w:r>
    </w:p>
    <w:p>
      <w:pPr>
        <w:pStyle w:val="BodyText"/>
        <w:rPr>
          <w:sz w:val="26"/>
        </w:rPr>
      </w:pPr>
    </w:p>
    <w:p>
      <w:pPr>
        <w:pStyle w:val="BodyText"/>
        <w:spacing w:line="285" w:lineRule="auto"/>
        <w:ind w:left="110" w:right="107"/>
        <w:jc w:val="both"/>
      </w:pPr>
      <w:r>
        <w:rPr>
          <w:color w:val="231F20"/>
        </w:rPr>
        <w:t>Pero, nuevamente queda pendiente el </w:t>
      </w:r>
      <w:r>
        <w:rPr>
          <w:color w:val="231F20"/>
          <w:spacing w:val="2"/>
        </w:rPr>
        <w:t>aspecto </w:t>
      </w:r>
      <w:r>
        <w:rPr>
          <w:color w:val="231F20"/>
        </w:rPr>
        <w:t>de cómo acercarse a la  gente  que  no cuenta con medios como el teléfono o el Internet: cómo </w:t>
      </w:r>
      <w:r>
        <w:rPr>
          <w:color w:val="231F20"/>
          <w:spacing w:val="2"/>
        </w:rPr>
        <w:t>informarles </w:t>
      </w:r>
      <w:r>
        <w:rPr>
          <w:color w:val="231F20"/>
        </w:rPr>
        <w:t>de lo que hace          el gobierno, cómo pueden accesar a los </w:t>
      </w:r>
      <w:r>
        <w:rPr>
          <w:color w:val="231F20"/>
          <w:spacing w:val="2"/>
        </w:rPr>
        <w:t>servicios </w:t>
      </w:r>
      <w:r>
        <w:rPr>
          <w:color w:val="231F20"/>
        </w:rPr>
        <w:t>del municipio y cómo </w:t>
      </w:r>
      <w:r>
        <w:rPr>
          <w:color w:val="231F20"/>
          <w:spacing w:val="2"/>
        </w:rPr>
        <w:t>recabar </w:t>
      </w:r>
      <w:r>
        <w:rPr>
          <w:color w:val="231F20"/>
        </w:rPr>
        <w:t>sus demandas  y</w:t>
      </w:r>
      <w:r>
        <w:rPr>
          <w:color w:val="231F20"/>
          <w:spacing w:val="51"/>
        </w:rPr>
        <w:t> </w:t>
      </w:r>
      <w:r>
        <w:rPr>
          <w:color w:val="231F20"/>
        </w:rPr>
        <w:t>necesidades.</w:t>
      </w:r>
    </w:p>
    <w:p>
      <w:pPr>
        <w:pStyle w:val="BodyText"/>
        <w:spacing w:before="1"/>
        <w:rPr>
          <w:sz w:val="26"/>
        </w:rPr>
      </w:pPr>
    </w:p>
    <w:p>
      <w:pPr>
        <w:pStyle w:val="BodyText"/>
        <w:spacing w:line="285" w:lineRule="auto"/>
        <w:ind w:left="110" w:right="108"/>
        <w:jc w:val="both"/>
      </w:pPr>
      <w:r>
        <w:rPr>
          <w:color w:val="231F20"/>
          <w:w w:val="105"/>
        </w:rPr>
        <w:t>En el segundo año de gestión, como parte de la modernización administrativa, el </w:t>
      </w:r>
      <w:r>
        <w:rPr>
          <w:color w:val="231F20"/>
          <w:spacing w:val="-3"/>
          <w:w w:val="105"/>
        </w:rPr>
        <w:t>mu- </w:t>
      </w:r>
      <w:r>
        <w:rPr>
          <w:color w:val="231F20"/>
          <w:w w:val="105"/>
        </w:rPr>
        <w:t>nicipio realizó la instalación del Sistema de Entrega-Recepción de documentos, ape- lando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transparencia</w:t>
      </w:r>
      <w:r>
        <w:rPr>
          <w:color w:val="231F20"/>
          <w:spacing w:val="-5"/>
          <w:w w:val="105"/>
        </w:rPr>
        <w:t> </w:t>
      </w:r>
      <w:r>
        <w:rPr>
          <w:color w:val="231F20"/>
          <w:w w:val="105"/>
        </w:rPr>
        <w:t>y</w:t>
      </w:r>
      <w:r>
        <w:rPr>
          <w:color w:val="231F20"/>
          <w:spacing w:val="-5"/>
          <w:w w:val="105"/>
        </w:rPr>
        <w:t> </w:t>
      </w:r>
      <w:r>
        <w:rPr>
          <w:color w:val="231F20"/>
          <w:w w:val="105"/>
        </w:rPr>
        <w:t>preservación</w:t>
      </w:r>
      <w:r>
        <w:rPr>
          <w:color w:val="231F20"/>
          <w:spacing w:val="-5"/>
          <w:w w:val="105"/>
        </w:rPr>
        <w:t> </w:t>
      </w:r>
      <w:r>
        <w:rPr>
          <w:color w:val="231F20"/>
          <w:w w:val="105"/>
        </w:rPr>
        <w:t>de</w:t>
      </w:r>
      <w:r>
        <w:rPr>
          <w:color w:val="231F20"/>
          <w:spacing w:val="-5"/>
          <w:w w:val="105"/>
        </w:rPr>
        <w:t> </w:t>
      </w:r>
      <w:r>
        <w:rPr>
          <w:color w:val="231F20"/>
          <w:w w:val="105"/>
        </w:rPr>
        <w:t>documentos,</w:t>
      </w:r>
      <w:r>
        <w:rPr>
          <w:color w:val="231F20"/>
          <w:spacing w:val="-5"/>
          <w:w w:val="105"/>
        </w:rPr>
        <w:t> </w:t>
      </w:r>
      <w:r>
        <w:rPr>
          <w:color w:val="231F20"/>
          <w:w w:val="105"/>
        </w:rPr>
        <w:t>archivos,</w:t>
      </w:r>
      <w:r>
        <w:rPr>
          <w:color w:val="231F20"/>
          <w:spacing w:val="-5"/>
          <w:w w:val="105"/>
        </w:rPr>
        <w:t> </w:t>
      </w:r>
      <w:r>
        <w:rPr>
          <w:color w:val="231F20"/>
          <w:w w:val="105"/>
        </w:rPr>
        <w:t>programas,</w:t>
      </w:r>
      <w:r>
        <w:rPr>
          <w:color w:val="231F20"/>
          <w:spacing w:val="-5"/>
          <w:w w:val="105"/>
        </w:rPr>
        <w:t> </w:t>
      </w:r>
      <w:r>
        <w:rPr>
          <w:color w:val="231F20"/>
          <w:w w:val="105"/>
        </w:rPr>
        <w:t>acciones y</w:t>
      </w:r>
      <w:r>
        <w:rPr>
          <w:color w:val="231F20"/>
          <w:spacing w:val="-11"/>
          <w:w w:val="105"/>
        </w:rPr>
        <w:t> </w:t>
      </w:r>
      <w:r>
        <w:rPr>
          <w:color w:val="231F20"/>
          <w:w w:val="105"/>
        </w:rPr>
        <w:t>proyectos</w:t>
      </w:r>
      <w:r>
        <w:rPr>
          <w:color w:val="231F20"/>
          <w:spacing w:val="-11"/>
          <w:w w:val="105"/>
        </w:rPr>
        <w:t> </w:t>
      </w:r>
      <w:r>
        <w:rPr>
          <w:color w:val="231F20"/>
          <w:w w:val="105"/>
        </w:rPr>
        <w:t>de</w:t>
      </w:r>
      <w:r>
        <w:rPr>
          <w:color w:val="231F20"/>
          <w:spacing w:val="-11"/>
          <w:w w:val="105"/>
        </w:rPr>
        <w:t> </w:t>
      </w:r>
      <w:r>
        <w:rPr>
          <w:color w:val="231F20"/>
          <w:w w:val="105"/>
        </w:rPr>
        <w:t>todas</w:t>
      </w:r>
      <w:r>
        <w:rPr>
          <w:color w:val="231F20"/>
          <w:spacing w:val="-11"/>
          <w:w w:val="105"/>
        </w:rPr>
        <w:t> </w:t>
      </w:r>
      <w:r>
        <w:rPr>
          <w:color w:val="231F20"/>
          <w:w w:val="105"/>
        </w:rPr>
        <w:t>las</w:t>
      </w:r>
      <w:r>
        <w:rPr>
          <w:color w:val="231F20"/>
          <w:spacing w:val="-11"/>
          <w:w w:val="105"/>
        </w:rPr>
        <w:t> </w:t>
      </w:r>
      <w:r>
        <w:rPr>
          <w:color w:val="231F20"/>
          <w:w w:val="105"/>
        </w:rPr>
        <w:t>dependencias.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fecha</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único</w:t>
      </w:r>
      <w:r>
        <w:rPr>
          <w:color w:val="231F20"/>
          <w:spacing w:val="-11"/>
          <w:w w:val="105"/>
        </w:rPr>
        <w:t> </w:t>
      </w:r>
      <w:r>
        <w:rPr>
          <w:color w:val="231F20"/>
          <w:w w:val="105"/>
        </w:rPr>
        <w:t>municipio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Estado</w:t>
      </w:r>
      <w:r>
        <w:rPr>
          <w:color w:val="231F20"/>
          <w:spacing w:val="-11"/>
          <w:w w:val="105"/>
        </w:rPr>
        <w:t> </w:t>
      </w:r>
      <w:r>
        <w:rPr>
          <w:color w:val="231F20"/>
          <w:w w:val="105"/>
        </w:rPr>
        <w:t>de México</w:t>
      </w:r>
      <w:r>
        <w:rPr>
          <w:color w:val="231F20"/>
          <w:spacing w:val="-14"/>
          <w:w w:val="105"/>
        </w:rPr>
        <w:t> </w:t>
      </w:r>
      <w:r>
        <w:rPr>
          <w:color w:val="231F20"/>
          <w:spacing w:val="-3"/>
          <w:w w:val="105"/>
        </w:rPr>
        <w:t>donde</w:t>
      </w:r>
      <w:r>
        <w:rPr>
          <w:color w:val="231F20"/>
          <w:spacing w:val="-14"/>
          <w:w w:val="105"/>
        </w:rPr>
        <w:t> </w:t>
      </w:r>
      <w:r>
        <w:rPr>
          <w:color w:val="231F20"/>
          <w:w w:val="105"/>
        </w:rPr>
        <w:t>la</w:t>
      </w:r>
      <w:r>
        <w:rPr>
          <w:color w:val="231F20"/>
          <w:spacing w:val="-14"/>
          <w:w w:val="105"/>
        </w:rPr>
        <w:t> </w:t>
      </w:r>
      <w:r>
        <w:rPr>
          <w:color w:val="231F20"/>
          <w:w w:val="105"/>
        </w:rPr>
        <w:t>entrega-</w:t>
      </w:r>
      <w:r>
        <w:rPr>
          <w:color w:val="231F20"/>
          <w:spacing w:val="-14"/>
          <w:w w:val="105"/>
        </w:rPr>
        <w:t> </w:t>
      </w:r>
      <w:r>
        <w:rPr>
          <w:color w:val="231F20"/>
          <w:w w:val="105"/>
        </w:rPr>
        <w:t>recepción</w:t>
      </w:r>
      <w:r>
        <w:rPr>
          <w:color w:val="231F20"/>
          <w:spacing w:val="-14"/>
          <w:w w:val="105"/>
        </w:rPr>
        <w:t> </w:t>
      </w:r>
      <w:r>
        <w:rPr>
          <w:color w:val="231F20"/>
          <w:w w:val="105"/>
        </w:rPr>
        <w:t>esta</w:t>
      </w:r>
      <w:r>
        <w:rPr>
          <w:color w:val="231F20"/>
          <w:spacing w:val="-14"/>
          <w:w w:val="105"/>
        </w:rPr>
        <w:t> </w:t>
      </w:r>
      <w:r>
        <w:rPr>
          <w:color w:val="231F20"/>
          <w:w w:val="105"/>
        </w:rPr>
        <w:t>sistematizada.</w:t>
      </w:r>
    </w:p>
    <w:p>
      <w:pPr>
        <w:pStyle w:val="BodyText"/>
        <w:spacing w:before="1"/>
        <w:rPr>
          <w:sz w:val="26"/>
        </w:rPr>
      </w:pPr>
    </w:p>
    <w:p>
      <w:pPr>
        <w:pStyle w:val="BodyText"/>
        <w:spacing w:line="285" w:lineRule="auto"/>
        <w:ind w:left="110" w:right="108"/>
        <w:jc w:val="both"/>
      </w:pPr>
      <w:r>
        <w:rPr>
          <w:color w:val="231F20"/>
          <w:w w:val="105"/>
        </w:rPr>
        <w:t>Nuevamente,</w:t>
      </w:r>
      <w:r>
        <w:rPr>
          <w:color w:val="231F20"/>
          <w:spacing w:val="-9"/>
          <w:w w:val="105"/>
        </w:rPr>
        <w:t> </w:t>
      </w:r>
      <w:r>
        <w:rPr>
          <w:color w:val="231F20"/>
          <w:w w:val="105"/>
        </w:rPr>
        <w:t>podemos</w:t>
      </w:r>
      <w:r>
        <w:rPr>
          <w:color w:val="231F20"/>
          <w:spacing w:val="-9"/>
          <w:w w:val="105"/>
        </w:rPr>
        <w:t> </w:t>
      </w:r>
      <w:r>
        <w:rPr>
          <w:color w:val="231F20"/>
          <w:w w:val="105"/>
        </w:rPr>
        <w:t>constatar</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continuó</w:t>
      </w:r>
      <w:r>
        <w:rPr>
          <w:color w:val="231F20"/>
          <w:spacing w:val="-9"/>
          <w:w w:val="105"/>
        </w:rPr>
        <w:t> </w:t>
      </w:r>
      <w:r>
        <w:rPr>
          <w:color w:val="231F20"/>
          <w:w w:val="105"/>
        </w:rPr>
        <w:t>con</w:t>
      </w:r>
      <w:r>
        <w:rPr>
          <w:color w:val="231F20"/>
          <w:spacing w:val="-9"/>
          <w:w w:val="105"/>
        </w:rPr>
        <w:t> </w:t>
      </w:r>
      <w:r>
        <w:rPr>
          <w:color w:val="231F20"/>
          <w:w w:val="105"/>
        </w:rPr>
        <w:t>avances</w:t>
      </w:r>
      <w:r>
        <w:rPr>
          <w:color w:val="231F20"/>
          <w:spacing w:val="-9"/>
          <w:w w:val="105"/>
        </w:rPr>
        <w:t> </w:t>
      </w:r>
      <w:r>
        <w:rPr>
          <w:color w:val="231F20"/>
          <w:w w:val="105"/>
        </w:rPr>
        <w:t>en</w:t>
      </w:r>
      <w:r>
        <w:rPr>
          <w:color w:val="231F20"/>
          <w:spacing w:val="-9"/>
          <w:w w:val="105"/>
        </w:rPr>
        <w:t> </w:t>
      </w:r>
      <w:r>
        <w:rPr>
          <w:color w:val="231F20"/>
          <w:w w:val="105"/>
        </w:rPr>
        <w:t>torno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moderniza- ción</w:t>
      </w:r>
      <w:r>
        <w:rPr>
          <w:color w:val="231F20"/>
          <w:spacing w:val="-11"/>
          <w:w w:val="105"/>
        </w:rPr>
        <w:t> </w:t>
      </w:r>
      <w:r>
        <w:rPr>
          <w:color w:val="231F20"/>
          <w:w w:val="105"/>
        </w:rPr>
        <w:t>administrativa</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fortalecimiento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ingresos</w:t>
      </w:r>
      <w:r>
        <w:rPr>
          <w:color w:val="231F20"/>
          <w:spacing w:val="-11"/>
          <w:w w:val="105"/>
        </w:rPr>
        <w:t> </w:t>
      </w:r>
      <w:r>
        <w:rPr>
          <w:color w:val="231F20"/>
          <w:w w:val="105"/>
        </w:rPr>
        <w:t>propios.</w:t>
      </w:r>
      <w:r>
        <w:rPr>
          <w:color w:val="231F20"/>
          <w:spacing w:val="-11"/>
          <w:w w:val="105"/>
        </w:rPr>
        <w:t> </w:t>
      </w:r>
      <w:r>
        <w:rPr>
          <w:color w:val="231F20"/>
          <w:spacing w:val="-3"/>
          <w:w w:val="105"/>
        </w:rPr>
        <w:t>Pero,</w:t>
      </w:r>
      <w:r>
        <w:rPr>
          <w:color w:val="231F20"/>
          <w:spacing w:val="-11"/>
          <w:w w:val="105"/>
        </w:rPr>
        <w:t> </w:t>
      </w:r>
      <w:r>
        <w:rPr>
          <w:color w:val="231F20"/>
          <w:w w:val="105"/>
        </w:rPr>
        <w:t>teniendo</w:t>
      </w:r>
      <w:r>
        <w:rPr>
          <w:color w:val="231F20"/>
          <w:spacing w:val="-11"/>
          <w:w w:val="105"/>
        </w:rPr>
        <w:t> </w:t>
      </w:r>
      <w:r>
        <w:rPr>
          <w:color w:val="231F20"/>
          <w:w w:val="105"/>
        </w:rPr>
        <w:t>rezagos </w:t>
      </w:r>
      <w:r>
        <w:rPr>
          <w:color w:val="231F20"/>
          <w:w w:val="105"/>
          <w:u w:val="single" w:color="231F20"/>
        </w:rPr>
        <w:t>en</w:t>
      </w:r>
      <w:r>
        <w:rPr>
          <w:color w:val="231F20"/>
          <w:spacing w:val="-21"/>
          <w:w w:val="105"/>
          <w:u w:val="single" w:color="231F20"/>
        </w:rPr>
        <w:t> </w:t>
      </w:r>
      <w:r>
        <w:rPr>
          <w:color w:val="231F20"/>
          <w:w w:val="105"/>
          <w:u w:val="single" w:color="231F20"/>
        </w:rPr>
        <w:t>materia</w:t>
      </w:r>
      <w:r>
        <w:rPr>
          <w:color w:val="231F20"/>
          <w:spacing w:val="-21"/>
          <w:w w:val="105"/>
          <w:u w:val="single" w:color="231F20"/>
        </w:rPr>
        <w:t> </w:t>
      </w:r>
      <w:r>
        <w:rPr>
          <w:color w:val="231F20"/>
          <w:w w:val="105"/>
          <w:u w:val="single" w:color="231F20"/>
        </w:rPr>
        <w:t>de</w:t>
      </w:r>
      <w:r>
        <w:rPr>
          <w:color w:val="231F20"/>
          <w:spacing w:val="-21"/>
          <w:w w:val="105"/>
          <w:u w:val="single" w:color="231F20"/>
        </w:rPr>
        <w:t> </w:t>
      </w:r>
      <w:r>
        <w:rPr>
          <w:color w:val="231F20"/>
          <w:w w:val="105"/>
          <w:u w:val="single" w:color="231F20"/>
        </w:rPr>
        <w:t>vi</w:t>
      </w:r>
      <w:r>
        <w:rPr>
          <w:color w:val="231F20"/>
          <w:w w:val="105"/>
        </w:rPr>
        <w:t>vienda,</w:t>
      </w:r>
      <w:r>
        <w:rPr>
          <w:color w:val="231F20"/>
          <w:spacing w:val="-21"/>
          <w:w w:val="105"/>
        </w:rPr>
        <w:t> </w:t>
      </w:r>
      <w:r>
        <w:rPr>
          <w:color w:val="231F20"/>
          <w:w w:val="105"/>
        </w:rPr>
        <w:t>pobreza</w:t>
      </w:r>
      <w:r>
        <w:rPr>
          <w:color w:val="231F20"/>
          <w:spacing w:val="-21"/>
          <w:w w:val="105"/>
        </w:rPr>
        <w:t> </w:t>
      </w:r>
      <w:r>
        <w:rPr>
          <w:color w:val="231F20"/>
          <w:w w:val="105"/>
        </w:rPr>
        <w:t>y</w:t>
      </w:r>
      <w:r>
        <w:rPr>
          <w:color w:val="231F20"/>
          <w:spacing w:val="-21"/>
          <w:w w:val="105"/>
        </w:rPr>
        <w:t> </w:t>
      </w:r>
      <w:r>
        <w:rPr>
          <w:color w:val="231F20"/>
          <w:w w:val="105"/>
        </w:rPr>
        <w:t>educación,</w:t>
      </w:r>
      <w:r>
        <w:rPr>
          <w:color w:val="231F20"/>
          <w:spacing w:val="-21"/>
          <w:w w:val="105"/>
        </w:rPr>
        <w:t> </w:t>
      </w:r>
      <w:r>
        <w:rPr>
          <w:color w:val="231F20"/>
          <w:w w:val="105"/>
        </w:rPr>
        <w:t>pues</w:t>
      </w:r>
      <w:r>
        <w:rPr>
          <w:color w:val="231F20"/>
          <w:spacing w:val="-21"/>
          <w:w w:val="105"/>
        </w:rPr>
        <w:t> </w:t>
      </w:r>
      <w:r>
        <w:rPr>
          <w:color w:val="231F20"/>
          <w:w w:val="105"/>
        </w:rPr>
        <w:t>los</w:t>
      </w:r>
      <w:r>
        <w:rPr>
          <w:color w:val="231F20"/>
          <w:spacing w:val="-21"/>
          <w:w w:val="105"/>
        </w:rPr>
        <w:t> </w:t>
      </w:r>
      <w:r>
        <w:rPr>
          <w:color w:val="231F20"/>
          <w:w w:val="105"/>
        </w:rPr>
        <w:t>programas</w:t>
      </w:r>
      <w:r>
        <w:rPr>
          <w:color w:val="231F20"/>
          <w:spacing w:val="-21"/>
          <w:w w:val="105"/>
        </w:rPr>
        <w:t> </w:t>
      </w:r>
      <w:r>
        <w:rPr>
          <w:color w:val="231F20"/>
          <w:spacing w:val="2"/>
          <w:w w:val="105"/>
        </w:rPr>
        <w:t>al</w:t>
      </w:r>
      <w:r>
        <w:rPr>
          <w:color w:val="231F20"/>
          <w:spacing w:val="-21"/>
          <w:w w:val="105"/>
        </w:rPr>
        <w:t> </w:t>
      </w:r>
      <w:r>
        <w:rPr>
          <w:color w:val="231F20"/>
          <w:w w:val="105"/>
        </w:rPr>
        <w:t>respecto</w:t>
      </w:r>
      <w:r>
        <w:rPr>
          <w:color w:val="231F20"/>
          <w:spacing w:val="-21"/>
          <w:w w:val="105"/>
        </w:rPr>
        <w:t> </w:t>
      </w:r>
      <w:r>
        <w:rPr>
          <w:color w:val="231F20"/>
          <w:w w:val="105"/>
        </w:rPr>
        <w:t>no</w:t>
      </w:r>
      <w:r>
        <w:rPr>
          <w:color w:val="231F20"/>
          <w:spacing w:val="-21"/>
          <w:w w:val="105"/>
        </w:rPr>
        <w:t> </w:t>
      </w:r>
      <w:r>
        <w:rPr>
          <w:color w:val="231F20"/>
          <w:w w:val="105"/>
        </w:rPr>
        <w:t>han</w:t>
      </w:r>
      <w:r>
        <w:rPr>
          <w:color w:val="231F20"/>
          <w:spacing w:val="-21"/>
          <w:w w:val="105"/>
        </w:rPr>
        <w:t> </w:t>
      </w:r>
      <w:r>
        <w:rPr>
          <w:color w:val="231F20"/>
          <w:w w:val="105"/>
        </w:rPr>
        <w:t>sido</w:t>
      </w:r>
    </w:p>
    <w:p>
      <w:pPr>
        <w:pStyle w:val="ListParagraph"/>
        <w:numPr>
          <w:ilvl w:val="0"/>
          <w:numId w:val="17"/>
        </w:numPr>
        <w:tabs>
          <w:tab w:pos="297" w:val="left" w:leader="none"/>
        </w:tabs>
        <w:spacing w:line="240" w:lineRule="auto" w:before="53" w:after="0"/>
        <w:ind w:left="110" w:right="0" w:firstLine="0"/>
        <w:jc w:val="both"/>
        <w:rPr>
          <w:sz w:val="16"/>
        </w:rPr>
      </w:pPr>
      <w:r>
        <w:rPr>
          <w:color w:val="231F20"/>
          <w:spacing w:val="-7"/>
          <w:w w:val="95"/>
          <w:sz w:val="16"/>
        </w:rPr>
        <w:t>13 </w:t>
      </w:r>
      <w:r>
        <w:rPr>
          <w:color w:val="231F20"/>
          <w:w w:val="95"/>
          <w:sz w:val="16"/>
        </w:rPr>
        <w:t>de Agosto de 2008.</w:t>
      </w:r>
      <w:r>
        <w:rPr>
          <w:color w:val="231F20"/>
          <w:spacing w:val="15"/>
          <w:w w:val="95"/>
          <w:sz w:val="16"/>
        </w:rPr>
        <w:t> </w:t>
      </w:r>
      <w:hyperlink r:id="rId674">
        <w:r>
          <w:rPr>
            <w:color w:val="231F20"/>
            <w:w w:val="95"/>
            <w:sz w:val="16"/>
          </w:rPr>
          <w:t>http://www.ciudadnorte.info/746/afirma-ayuntamiento-de-tlalnepantla-ser-transparente/index.html</w:t>
        </w:r>
      </w:hyperlink>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rPr>
        <w:t>bien focalizados, dejando excluida a la zona oriente del </w:t>
      </w:r>
      <w:r>
        <w:rPr>
          <w:color w:val="231F20"/>
          <w:spacing w:val="53"/>
        </w:rPr>
        <w:t> </w:t>
      </w:r>
      <w:r>
        <w:rPr>
          <w:color w:val="231F20"/>
        </w:rPr>
        <w:t>municipio.</w:t>
      </w:r>
    </w:p>
    <w:p>
      <w:pPr>
        <w:pStyle w:val="BodyText"/>
        <w:spacing w:before="3"/>
        <w:rPr>
          <w:sz w:val="24"/>
        </w:rPr>
      </w:pPr>
    </w:p>
    <w:p>
      <w:pPr>
        <w:pStyle w:val="Heading4"/>
        <w:rPr>
          <w:i/>
        </w:rPr>
      </w:pPr>
      <w:r>
        <w:rPr>
          <w:i/>
          <w:color w:val="231F20"/>
        </w:rPr>
        <w:t>Conclusiones</w:t>
      </w:r>
    </w:p>
    <w:p>
      <w:pPr>
        <w:pStyle w:val="BodyText"/>
        <w:spacing w:line="285" w:lineRule="auto" w:before="16"/>
        <w:ind w:left="110" w:right="110"/>
        <w:jc w:val="both"/>
      </w:pPr>
      <w:r>
        <w:rPr>
          <w:color w:val="231F20"/>
          <w:w w:val="105"/>
        </w:rPr>
        <w:t>Han</w:t>
      </w:r>
      <w:r>
        <w:rPr>
          <w:color w:val="231F20"/>
          <w:spacing w:val="-11"/>
          <w:w w:val="105"/>
        </w:rPr>
        <w:t> </w:t>
      </w:r>
      <w:r>
        <w:rPr>
          <w:color w:val="231F20"/>
          <w:spacing w:val="-4"/>
          <w:w w:val="105"/>
        </w:rPr>
        <w:t>sido</w:t>
      </w:r>
      <w:r>
        <w:rPr>
          <w:color w:val="231F20"/>
          <w:spacing w:val="-11"/>
          <w:w w:val="105"/>
        </w:rPr>
        <w:t> </w:t>
      </w:r>
      <w:r>
        <w:rPr>
          <w:color w:val="231F20"/>
          <w:w w:val="105"/>
        </w:rPr>
        <w:t>varios</w:t>
      </w:r>
      <w:r>
        <w:rPr>
          <w:color w:val="231F20"/>
          <w:spacing w:val="-11"/>
          <w:w w:val="105"/>
        </w:rPr>
        <w:t> </w:t>
      </w:r>
      <w:r>
        <w:rPr>
          <w:color w:val="231F20"/>
          <w:spacing w:val="-3"/>
          <w:w w:val="105"/>
        </w:rPr>
        <w:t>los</w:t>
      </w:r>
      <w:r>
        <w:rPr>
          <w:color w:val="231F20"/>
          <w:spacing w:val="-11"/>
          <w:w w:val="105"/>
        </w:rPr>
        <w:t> </w:t>
      </w:r>
      <w:r>
        <w:rPr>
          <w:color w:val="231F20"/>
          <w:spacing w:val="-3"/>
          <w:w w:val="105"/>
        </w:rPr>
        <w:t>datos</w:t>
      </w:r>
      <w:r>
        <w:rPr>
          <w:color w:val="231F20"/>
          <w:spacing w:val="-11"/>
          <w:w w:val="105"/>
        </w:rPr>
        <w:t> </w:t>
      </w:r>
      <w:r>
        <w:rPr>
          <w:color w:val="231F20"/>
          <w:spacing w:val="-3"/>
          <w:w w:val="105"/>
        </w:rPr>
        <w:t>que</w:t>
      </w:r>
      <w:r>
        <w:rPr>
          <w:color w:val="231F20"/>
          <w:spacing w:val="-11"/>
          <w:w w:val="105"/>
        </w:rPr>
        <w:t> </w:t>
      </w:r>
      <w:r>
        <w:rPr>
          <w:color w:val="231F20"/>
          <w:w w:val="105"/>
        </w:rPr>
        <w:t>tratamos</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spacing w:val="-3"/>
          <w:w w:val="105"/>
        </w:rPr>
        <w:t>gestiones</w:t>
      </w:r>
      <w:r>
        <w:rPr>
          <w:color w:val="231F20"/>
          <w:spacing w:val="-11"/>
          <w:w w:val="105"/>
        </w:rPr>
        <w:t> </w:t>
      </w:r>
      <w:r>
        <w:rPr>
          <w:color w:val="231F20"/>
          <w:w w:val="105"/>
        </w:rPr>
        <w:t>panistas</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spacing w:val="-3"/>
          <w:w w:val="105"/>
        </w:rPr>
        <w:t>los</w:t>
      </w:r>
      <w:r>
        <w:rPr>
          <w:color w:val="231F20"/>
          <w:spacing w:val="-11"/>
          <w:w w:val="105"/>
        </w:rPr>
        <w:t> </w:t>
      </w:r>
      <w:r>
        <w:rPr>
          <w:color w:val="231F20"/>
          <w:w w:val="105"/>
        </w:rPr>
        <w:t>cuales</w:t>
      </w:r>
      <w:r>
        <w:rPr>
          <w:color w:val="231F20"/>
          <w:spacing w:val="-11"/>
          <w:w w:val="105"/>
        </w:rPr>
        <w:t> </w:t>
      </w:r>
      <w:r>
        <w:rPr>
          <w:color w:val="231F20"/>
          <w:spacing w:val="-4"/>
          <w:w w:val="105"/>
        </w:rPr>
        <w:t>podemos </w:t>
      </w:r>
      <w:r>
        <w:rPr>
          <w:color w:val="231F20"/>
          <w:w w:val="105"/>
        </w:rPr>
        <w:t>extraer algunas </w:t>
      </w:r>
      <w:r>
        <w:rPr>
          <w:color w:val="231F20"/>
          <w:spacing w:val="-3"/>
          <w:w w:val="105"/>
        </w:rPr>
        <w:t>cuestiones </w:t>
      </w:r>
      <w:r>
        <w:rPr>
          <w:color w:val="231F20"/>
          <w:w w:val="105"/>
        </w:rPr>
        <w:t>importantes. Vimos </w:t>
      </w:r>
      <w:r>
        <w:rPr>
          <w:color w:val="231F20"/>
          <w:spacing w:val="-3"/>
          <w:w w:val="105"/>
        </w:rPr>
        <w:t>cuestiones </w:t>
      </w:r>
      <w:r>
        <w:rPr>
          <w:color w:val="231F20"/>
          <w:w w:val="105"/>
        </w:rPr>
        <w:t>relativas a la </w:t>
      </w:r>
      <w:r>
        <w:rPr>
          <w:color w:val="231F20"/>
          <w:spacing w:val="-3"/>
          <w:w w:val="105"/>
        </w:rPr>
        <w:t>modernización </w:t>
      </w:r>
      <w:r>
        <w:rPr>
          <w:color w:val="231F20"/>
          <w:w w:val="105"/>
        </w:rPr>
        <w:t>administrativa</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tres</w:t>
      </w:r>
      <w:r>
        <w:rPr>
          <w:color w:val="231F20"/>
          <w:spacing w:val="-19"/>
          <w:w w:val="105"/>
        </w:rPr>
        <w:t> </w:t>
      </w:r>
      <w:r>
        <w:rPr>
          <w:color w:val="231F20"/>
          <w:spacing w:val="-3"/>
          <w:w w:val="105"/>
        </w:rPr>
        <w:t>gestiones,</w:t>
      </w:r>
      <w:r>
        <w:rPr>
          <w:color w:val="231F20"/>
          <w:spacing w:val="-19"/>
          <w:w w:val="105"/>
        </w:rPr>
        <w:t> </w:t>
      </w:r>
      <w:r>
        <w:rPr>
          <w:color w:val="231F20"/>
          <w:w w:val="105"/>
        </w:rPr>
        <w:t>el</w:t>
      </w:r>
      <w:r>
        <w:rPr>
          <w:color w:val="231F20"/>
          <w:spacing w:val="-19"/>
          <w:w w:val="105"/>
        </w:rPr>
        <w:t> </w:t>
      </w:r>
      <w:r>
        <w:rPr>
          <w:color w:val="231F20"/>
          <w:w w:val="105"/>
        </w:rPr>
        <w:t>fortalecimiento</w:t>
      </w:r>
      <w:r>
        <w:rPr>
          <w:color w:val="231F20"/>
          <w:spacing w:val="-19"/>
          <w:w w:val="105"/>
        </w:rPr>
        <w:t> </w:t>
      </w:r>
      <w:r>
        <w:rPr>
          <w:color w:val="231F20"/>
          <w:w w:val="105"/>
        </w:rPr>
        <w:t>de</w:t>
      </w:r>
      <w:r>
        <w:rPr>
          <w:color w:val="231F20"/>
          <w:spacing w:val="-19"/>
          <w:w w:val="105"/>
        </w:rPr>
        <w:t> </w:t>
      </w:r>
      <w:r>
        <w:rPr>
          <w:color w:val="231F20"/>
          <w:spacing w:val="-3"/>
          <w:w w:val="105"/>
        </w:rPr>
        <w:t>los</w:t>
      </w:r>
      <w:r>
        <w:rPr>
          <w:color w:val="231F20"/>
          <w:spacing w:val="-19"/>
          <w:w w:val="105"/>
        </w:rPr>
        <w:t> </w:t>
      </w:r>
      <w:r>
        <w:rPr>
          <w:color w:val="231F20"/>
          <w:w w:val="105"/>
        </w:rPr>
        <w:t>ingresos</w:t>
      </w:r>
      <w:r>
        <w:rPr>
          <w:color w:val="231F20"/>
          <w:spacing w:val="-19"/>
          <w:w w:val="105"/>
        </w:rPr>
        <w:t> </w:t>
      </w:r>
      <w:r>
        <w:rPr>
          <w:color w:val="231F20"/>
          <w:spacing w:val="-4"/>
          <w:w w:val="105"/>
        </w:rPr>
        <w:t>propios</w:t>
      </w:r>
      <w:r>
        <w:rPr>
          <w:color w:val="231F20"/>
          <w:spacing w:val="-19"/>
          <w:w w:val="105"/>
        </w:rPr>
        <w:t> </w:t>
      </w:r>
      <w:r>
        <w:rPr>
          <w:color w:val="231F20"/>
          <w:spacing w:val="-3"/>
          <w:w w:val="105"/>
        </w:rPr>
        <w:t>frente</w:t>
      </w:r>
      <w:r>
        <w:rPr>
          <w:color w:val="231F20"/>
          <w:spacing w:val="-19"/>
          <w:w w:val="105"/>
        </w:rPr>
        <w:t> </w:t>
      </w:r>
      <w:r>
        <w:rPr>
          <w:color w:val="231F20"/>
          <w:w w:val="105"/>
        </w:rPr>
        <w:t>a</w:t>
      </w:r>
      <w:r>
        <w:rPr>
          <w:color w:val="231F20"/>
          <w:spacing w:val="-19"/>
          <w:w w:val="105"/>
        </w:rPr>
        <w:t> </w:t>
      </w:r>
      <w:r>
        <w:rPr>
          <w:color w:val="231F20"/>
          <w:spacing w:val="-4"/>
          <w:w w:val="105"/>
        </w:rPr>
        <w:t>los </w:t>
      </w:r>
      <w:r>
        <w:rPr>
          <w:color w:val="231F20"/>
          <w:spacing w:val="-3"/>
          <w:w w:val="105"/>
        </w:rPr>
        <w:t>federales,</w:t>
      </w:r>
      <w:r>
        <w:rPr>
          <w:color w:val="231F20"/>
          <w:spacing w:val="-13"/>
          <w:w w:val="105"/>
        </w:rPr>
        <w:t> </w:t>
      </w:r>
      <w:r>
        <w:rPr>
          <w:color w:val="231F20"/>
          <w:w w:val="105"/>
        </w:rPr>
        <w:t>así</w:t>
      </w:r>
      <w:r>
        <w:rPr>
          <w:color w:val="231F20"/>
          <w:spacing w:val="-13"/>
          <w:w w:val="105"/>
        </w:rPr>
        <w:t> </w:t>
      </w:r>
      <w:r>
        <w:rPr>
          <w:color w:val="231F20"/>
          <w:spacing w:val="-4"/>
          <w:w w:val="105"/>
        </w:rPr>
        <w:t>como</w:t>
      </w:r>
      <w:r>
        <w:rPr>
          <w:color w:val="231F20"/>
          <w:spacing w:val="-13"/>
          <w:w w:val="105"/>
        </w:rPr>
        <w:t> </w:t>
      </w:r>
      <w:r>
        <w:rPr>
          <w:color w:val="231F20"/>
          <w:spacing w:val="-3"/>
          <w:w w:val="105"/>
        </w:rPr>
        <w:t>lo</w:t>
      </w:r>
      <w:r>
        <w:rPr>
          <w:color w:val="231F20"/>
          <w:spacing w:val="-13"/>
          <w:w w:val="105"/>
        </w:rPr>
        <w:t> </w:t>
      </w:r>
      <w:r>
        <w:rPr>
          <w:color w:val="231F20"/>
          <w:spacing w:val="-4"/>
          <w:w w:val="105"/>
        </w:rPr>
        <w:t>referente</w:t>
      </w:r>
      <w:r>
        <w:rPr>
          <w:color w:val="231F20"/>
          <w:spacing w:val="-13"/>
          <w:w w:val="105"/>
        </w:rPr>
        <w:t> </w:t>
      </w:r>
      <w:r>
        <w:rPr>
          <w:color w:val="231F20"/>
          <w:w w:val="105"/>
        </w:rPr>
        <w:t>al</w:t>
      </w:r>
      <w:r>
        <w:rPr>
          <w:color w:val="231F20"/>
          <w:spacing w:val="-13"/>
          <w:w w:val="105"/>
        </w:rPr>
        <w:t> </w:t>
      </w:r>
      <w:r>
        <w:rPr>
          <w:color w:val="231F20"/>
          <w:w w:val="105"/>
        </w:rPr>
        <w:t>desarrollo</w:t>
      </w:r>
      <w:r>
        <w:rPr>
          <w:color w:val="231F20"/>
          <w:spacing w:val="-13"/>
          <w:w w:val="105"/>
        </w:rPr>
        <w:t> </w:t>
      </w:r>
      <w:r>
        <w:rPr>
          <w:color w:val="231F20"/>
          <w:w w:val="105"/>
        </w:rPr>
        <w:t>humano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spacing w:val="-3"/>
          <w:w w:val="105"/>
        </w:rPr>
        <w:t>entidad.</w:t>
      </w:r>
      <w:r>
        <w:rPr>
          <w:color w:val="231F20"/>
          <w:spacing w:val="-13"/>
          <w:w w:val="105"/>
        </w:rPr>
        <w:t> </w:t>
      </w:r>
      <w:r>
        <w:rPr>
          <w:color w:val="231F20"/>
          <w:w w:val="105"/>
        </w:rPr>
        <w:t>Los</w:t>
      </w:r>
      <w:r>
        <w:rPr>
          <w:color w:val="231F20"/>
          <w:spacing w:val="-13"/>
          <w:w w:val="105"/>
        </w:rPr>
        <w:t> </w:t>
      </w:r>
      <w:r>
        <w:rPr>
          <w:color w:val="231F20"/>
          <w:w w:val="105"/>
        </w:rPr>
        <w:t>tres</w:t>
      </w:r>
      <w:r>
        <w:rPr>
          <w:color w:val="231F20"/>
          <w:spacing w:val="-13"/>
          <w:w w:val="105"/>
        </w:rPr>
        <w:t> </w:t>
      </w:r>
      <w:r>
        <w:rPr>
          <w:color w:val="231F20"/>
          <w:w w:val="105"/>
        </w:rPr>
        <w:t>aspectos</w:t>
      </w:r>
      <w:r>
        <w:rPr>
          <w:color w:val="231F20"/>
          <w:spacing w:val="-13"/>
          <w:w w:val="105"/>
        </w:rPr>
        <w:t> </w:t>
      </w:r>
      <w:r>
        <w:rPr>
          <w:color w:val="231F20"/>
          <w:spacing w:val="-4"/>
          <w:w w:val="105"/>
        </w:rPr>
        <w:t>nos </w:t>
      </w:r>
      <w:r>
        <w:rPr>
          <w:color w:val="231F20"/>
          <w:spacing w:val="-3"/>
          <w:w w:val="105"/>
        </w:rPr>
        <w:t>permiten</w:t>
      </w:r>
      <w:r>
        <w:rPr>
          <w:color w:val="231F20"/>
          <w:spacing w:val="-9"/>
          <w:w w:val="105"/>
        </w:rPr>
        <w:t> </w:t>
      </w:r>
      <w:r>
        <w:rPr>
          <w:color w:val="231F20"/>
          <w:w w:val="105"/>
        </w:rPr>
        <w:t>marcar</w:t>
      </w:r>
      <w:r>
        <w:rPr>
          <w:color w:val="231F20"/>
          <w:spacing w:val="-9"/>
          <w:w w:val="105"/>
        </w:rPr>
        <w:t> </w:t>
      </w:r>
      <w:r>
        <w:rPr>
          <w:color w:val="231F20"/>
          <w:spacing w:val="-3"/>
          <w:w w:val="105"/>
        </w:rPr>
        <w:t>continuidades</w:t>
      </w:r>
      <w:r>
        <w:rPr>
          <w:color w:val="231F20"/>
          <w:spacing w:val="-9"/>
          <w:w w:val="105"/>
        </w:rPr>
        <w:t> </w:t>
      </w:r>
      <w:r>
        <w:rPr>
          <w:color w:val="231F20"/>
          <w:w w:val="105"/>
        </w:rPr>
        <w:t>en</w:t>
      </w:r>
      <w:r>
        <w:rPr>
          <w:color w:val="231F20"/>
          <w:spacing w:val="-9"/>
          <w:w w:val="105"/>
        </w:rPr>
        <w:t> </w:t>
      </w:r>
      <w:r>
        <w:rPr>
          <w:color w:val="231F20"/>
          <w:spacing w:val="-3"/>
          <w:w w:val="105"/>
        </w:rPr>
        <w:t>los</w:t>
      </w:r>
      <w:r>
        <w:rPr>
          <w:color w:val="231F20"/>
          <w:spacing w:val="-9"/>
          <w:w w:val="105"/>
        </w:rPr>
        <w:t> </w:t>
      </w:r>
      <w:r>
        <w:rPr>
          <w:color w:val="231F20"/>
          <w:spacing w:val="-4"/>
          <w:w w:val="105"/>
        </w:rPr>
        <w:t>gobiernos</w:t>
      </w:r>
      <w:r>
        <w:rPr>
          <w:color w:val="231F20"/>
          <w:spacing w:val="-9"/>
          <w:w w:val="105"/>
        </w:rPr>
        <w:t> </w:t>
      </w:r>
      <w:r>
        <w:rPr>
          <w:color w:val="231F20"/>
          <w:w w:val="105"/>
        </w:rPr>
        <w:t>panistas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municipio</w:t>
      </w:r>
      <w:r>
        <w:rPr>
          <w:color w:val="231F20"/>
          <w:spacing w:val="-9"/>
          <w:w w:val="105"/>
        </w:rPr>
        <w:t> </w:t>
      </w:r>
      <w:r>
        <w:rPr>
          <w:color w:val="231F20"/>
          <w:w w:val="105"/>
        </w:rPr>
        <w:t>en</w:t>
      </w:r>
      <w:r>
        <w:rPr>
          <w:color w:val="231F20"/>
          <w:spacing w:val="-9"/>
          <w:w w:val="105"/>
        </w:rPr>
        <w:t> </w:t>
      </w:r>
      <w:r>
        <w:rPr>
          <w:color w:val="231F20"/>
          <w:spacing w:val="-2"/>
          <w:w w:val="105"/>
        </w:rPr>
        <w:t>cuestión.</w:t>
      </w:r>
    </w:p>
    <w:p>
      <w:pPr>
        <w:pStyle w:val="BodyText"/>
        <w:spacing w:before="1"/>
        <w:rPr>
          <w:sz w:val="26"/>
        </w:rPr>
      </w:pPr>
    </w:p>
    <w:p>
      <w:pPr>
        <w:pStyle w:val="BodyText"/>
        <w:spacing w:line="285" w:lineRule="auto"/>
        <w:ind w:left="110" w:right="108"/>
        <w:jc w:val="both"/>
      </w:pPr>
      <w:r>
        <w:rPr>
          <w:color w:val="231F20"/>
          <w:w w:val="105"/>
        </w:rPr>
        <w:t>Precisamente</w:t>
      </w:r>
      <w:r>
        <w:rPr>
          <w:color w:val="231F20"/>
          <w:spacing w:val="-9"/>
          <w:w w:val="105"/>
        </w:rPr>
        <w:t> </w:t>
      </w:r>
      <w:r>
        <w:rPr>
          <w:color w:val="231F20"/>
          <w:w w:val="105"/>
        </w:rPr>
        <w:t>la</w:t>
      </w:r>
      <w:r>
        <w:rPr>
          <w:color w:val="231F20"/>
          <w:spacing w:val="-9"/>
          <w:w w:val="105"/>
        </w:rPr>
        <w:t> </w:t>
      </w:r>
      <w:r>
        <w:rPr>
          <w:color w:val="231F20"/>
          <w:w w:val="105"/>
        </w:rPr>
        <w:t>primera</w:t>
      </w:r>
      <w:r>
        <w:rPr>
          <w:color w:val="231F20"/>
          <w:spacing w:val="-9"/>
          <w:w w:val="105"/>
        </w:rPr>
        <w:t> </w:t>
      </w:r>
      <w:r>
        <w:rPr>
          <w:color w:val="231F20"/>
          <w:w w:val="105"/>
        </w:rPr>
        <w:t>línea</w:t>
      </w:r>
      <w:r>
        <w:rPr>
          <w:color w:val="231F20"/>
          <w:spacing w:val="-9"/>
          <w:w w:val="105"/>
        </w:rPr>
        <w:t> </w:t>
      </w:r>
      <w:r>
        <w:rPr>
          <w:color w:val="231F20"/>
          <w:w w:val="105"/>
        </w:rPr>
        <w:t>de</w:t>
      </w:r>
      <w:r>
        <w:rPr>
          <w:color w:val="231F20"/>
          <w:spacing w:val="-9"/>
          <w:w w:val="105"/>
        </w:rPr>
        <w:t> </w:t>
      </w:r>
      <w:r>
        <w:rPr>
          <w:color w:val="231F20"/>
          <w:w w:val="105"/>
        </w:rPr>
        <w:t>continuidad</w:t>
      </w:r>
      <w:r>
        <w:rPr>
          <w:color w:val="231F20"/>
          <w:spacing w:val="-9"/>
          <w:w w:val="105"/>
        </w:rPr>
        <w:t> </w:t>
      </w:r>
      <w:r>
        <w:rPr>
          <w:color w:val="231F20"/>
          <w:w w:val="105"/>
        </w:rPr>
        <w:t>marcada</w:t>
      </w:r>
      <w:r>
        <w:rPr>
          <w:color w:val="231F20"/>
          <w:spacing w:val="-9"/>
          <w:w w:val="105"/>
        </w:rPr>
        <w:t> </w:t>
      </w:r>
      <w:r>
        <w:rPr>
          <w:color w:val="231F20"/>
          <w:w w:val="105"/>
        </w:rPr>
        <w:t>es</w:t>
      </w:r>
      <w:r>
        <w:rPr>
          <w:color w:val="231F20"/>
          <w:spacing w:val="-9"/>
          <w:w w:val="105"/>
        </w:rPr>
        <w:t> </w:t>
      </w:r>
      <w:r>
        <w:rPr>
          <w:color w:val="231F20"/>
          <w:w w:val="105"/>
        </w:rPr>
        <w:t>la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modernización</w:t>
      </w:r>
      <w:r>
        <w:rPr>
          <w:color w:val="231F20"/>
          <w:spacing w:val="-9"/>
          <w:w w:val="105"/>
        </w:rPr>
        <w:t> </w:t>
      </w:r>
      <w:r>
        <w:rPr>
          <w:color w:val="231F20"/>
          <w:w w:val="105"/>
        </w:rPr>
        <w:t>admi- nistrativa.</w:t>
      </w:r>
      <w:r>
        <w:rPr>
          <w:color w:val="231F20"/>
          <w:spacing w:val="-5"/>
          <w:w w:val="105"/>
        </w:rPr>
        <w:t> </w:t>
      </w:r>
      <w:r>
        <w:rPr>
          <w:color w:val="231F20"/>
          <w:w w:val="105"/>
        </w:rPr>
        <w:t>Las</w:t>
      </w:r>
      <w:r>
        <w:rPr>
          <w:color w:val="231F20"/>
          <w:spacing w:val="-5"/>
          <w:w w:val="105"/>
        </w:rPr>
        <w:t> </w:t>
      </w:r>
      <w:r>
        <w:rPr>
          <w:color w:val="231F20"/>
          <w:w w:val="105"/>
        </w:rPr>
        <w:t>tres</w:t>
      </w:r>
      <w:r>
        <w:rPr>
          <w:color w:val="231F20"/>
          <w:spacing w:val="-5"/>
          <w:w w:val="105"/>
        </w:rPr>
        <w:t> </w:t>
      </w:r>
      <w:r>
        <w:rPr>
          <w:color w:val="231F20"/>
          <w:w w:val="105"/>
        </w:rPr>
        <w:t>gestiones</w:t>
      </w:r>
      <w:r>
        <w:rPr>
          <w:color w:val="231F20"/>
          <w:spacing w:val="-5"/>
          <w:w w:val="105"/>
        </w:rPr>
        <w:t> </w:t>
      </w:r>
      <w:r>
        <w:rPr>
          <w:color w:val="231F20"/>
          <w:w w:val="105"/>
        </w:rPr>
        <w:t>dieron</w:t>
      </w:r>
      <w:r>
        <w:rPr>
          <w:color w:val="231F20"/>
          <w:spacing w:val="-5"/>
          <w:w w:val="105"/>
        </w:rPr>
        <w:t> </w:t>
      </w:r>
      <w:r>
        <w:rPr>
          <w:color w:val="231F20"/>
          <w:w w:val="105"/>
        </w:rPr>
        <w:t>pasos</w:t>
      </w:r>
      <w:r>
        <w:rPr>
          <w:color w:val="231F20"/>
          <w:spacing w:val="-5"/>
          <w:w w:val="105"/>
        </w:rPr>
        <w:t> </w:t>
      </w:r>
      <w:r>
        <w:rPr>
          <w:color w:val="231F20"/>
          <w:w w:val="105"/>
        </w:rPr>
        <w:t>encaminados</w:t>
      </w:r>
      <w:r>
        <w:rPr>
          <w:color w:val="231F20"/>
          <w:spacing w:val="-5"/>
          <w:w w:val="105"/>
        </w:rPr>
        <w:t> </w:t>
      </w:r>
      <w:r>
        <w:rPr>
          <w:color w:val="231F20"/>
          <w:w w:val="105"/>
        </w:rPr>
        <w:t>a</w:t>
      </w:r>
      <w:r>
        <w:rPr>
          <w:color w:val="231F20"/>
          <w:spacing w:val="-5"/>
          <w:w w:val="105"/>
        </w:rPr>
        <w:t> </w:t>
      </w:r>
      <w:r>
        <w:rPr>
          <w:color w:val="231F20"/>
          <w:w w:val="105"/>
        </w:rPr>
        <w:t>lograr</w:t>
      </w:r>
      <w:r>
        <w:rPr>
          <w:color w:val="231F20"/>
          <w:spacing w:val="-5"/>
          <w:w w:val="105"/>
        </w:rPr>
        <w:t> </w:t>
      </w:r>
      <w:r>
        <w:rPr>
          <w:color w:val="231F20"/>
          <w:w w:val="105"/>
        </w:rPr>
        <w:t>mejores</w:t>
      </w:r>
      <w:r>
        <w:rPr>
          <w:color w:val="231F20"/>
          <w:spacing w:val="-5"/>
          <w:w w:val="105"/>
        </w:rPr>
        <w:t> </w:t>
      </w:r>
      <w:r>
        <w:rPr>
          <w:color w:val="231F20"/>
          <w:w w:val="105"/>
        </w:rPr>
        <w:t>estándares</w:t>
      </w:r>
      <w:r>
        <w:rPr>
          <w:color w:val="231F20"/>
          <w:spacing w:val="-5"/>
          <w:w w:val="105"/>
        </w:rPr>
        <w:t> </w:t>
      </w:r>
      <w:r>
        <w:rPr>
          <w:color w:val="231F20"/>
          <w:w w:val="105"/>
        </w:rPr>
        <w:t>de satisfacción </w:t>
      </w:r>
      <w:r>
        <w:rPr>
          <w:color w:val="231F20"/>
          <w:spacing w:val="2"/>
          <w:w w:val="105"/>
        </w:rPr>
        <w:t>al </w:t>
      </w:r>
      <w:r>
        <w:rPr>
          <w:color w:val="231F20"/>
          <w:w w:val="105"/>
        </w:rPr>
        <w:t>ciudadano. En el artículo pudimos observar diferentes acciones de esta modernización</w:t>
      </w:r>
      <w:r>
        <w:rPr>
          <w:color w:val="231F20"/>
          <w:spacing w:val="-5"/>
          <w:w w:val="105"/>
        </w:rPr>
        <w:t> </w:t>
      </w:r>
      <w:r>
        <w:rPr>
          <w:color w:val="231F20"/>
          <w:w w:val="105"/>
        </w:rPr>
        <w:t>administrativa:</w:t>
      </w:r>
      <w:r>
        <w:rPr>
          <w:color w:val="231F20"/>
          <w:spacing w:val="-5"/>
          <w:w w:val="105"/>
        </w:rPr>
        <w:t> </w:t>
      </w:r>
      <w:r>
        <w:rPr>
          <w:color w:val="231F20"/>
          <w:w w:val="105"/>
        </w:rPr>
        <w:t>desde</w:t>
      </w:r>
      <w:r>
        <w:rPr>
          <w:color w:val="231F20"/>
          <w:spacing w:val="-5"/>
          <w:w w:val="105"/>
        </w:rPr>
        <w:t> </w:t>
      </w:r>
      <w:r>
        <w:rPr>
          <w:color w:val="231F20"/>
          <w:w w:val="105"/>
        </w:rPr>
        <w:t>las</w:t>
      </w:r>
      <w:r>
        <w:rPr>
          <w:color w:val="231F20"/>
          <w:spacing w:val="-5"/>
          <w:w w:val="105"/>
        </w:rPr>
        <w:t> </w:t>
      </w:r>
      <w:r>
        <w:rPr>
          <w:color w:val="231F20"/>
          <w:w w:val="105"/>
        </w:rPr>
        <w:t>que</w:t>
      </w:r>
      <w:r>
        <w:rPr>
          <w:color w:val="231F20"/>
          <w:spacing w:val="-5"/>
          <w:w w:val="105"/>
        </w:rPr>
        <w:t> </w:t>
      </w:r>
      <w:r>
        <w:rPr>
          <w:color w:val="231F20"/>
          <w:w w:val="105"/>
        </w:rPr>
        <w:t>pasan</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e-Gobierno,</w:t>
      </w:r>
      <w:r>
        <w:rPr>
          <w:color w:val="231F20"/>
          <w:spacing w:val="-5"/>
          <w:w w:val="105"/>
        </w:rPr>
        <w:t> </w:t>
      </w:r>
      <w:r>
        <w:rPr>
          <w:color w:val="231F20"/>
          <w:w w:val="105"/>
        </w:rPr>
        <w:t>hasta</w:t>
      </w:r>
      <w:r>
        <w:rPr>
          <w:color w:val="231F20"/>
          <w:spacing w:val="-5"/>
          <w:w w:val="105"/>
        </w:rPr>
        <w:t> </w:t>
      </w:r>
      <w:r>
        <w:rPr>
          <w:color w:val="231F20"/>
          <w:w w:val="105"/>
        </w:rPr>
        <w:t>la</w:t>
      </w:r>
      <w:r>
        <w:rPr>
          <w:color w:val="231F20"/>
          <w:spacing w:val="-5"/>
          <w:w w:val="105"/>
        </w:rPr>
        <w:t> </w:t>
      </w:r>
      <w:r>
        <w:rPr>
          <w:color w:val="231F20"/>
          <w:w w:val="105"/>
        </w:rPr>
        <w:t>agiliza- ción de trámites en ventanillas de cobro o la sistematización de la entrega- recepción que</w:t>
      </w:r>
      <w:r>
        <w:rPr>
          <w:color w:val="231F20"/>
          <w:spacing w:val="-14"/>
          <w:w w:val="105"/>
        </w:rPr>
        <w:t> </w:t>
      </w:r>
      <w:r>
        <w:rPr>
          <w:color w:val="231F20"/>
          <w:w w:val="105"/>
        </w:rPr>
        <w:t>se</w:t>
      </w:r>
      <w:r>
        <w:rPr>
          <w:color w:val="231F20"/>
          <w:spacing w:val="-14"/>
          <w:w w:val="105"/>
        </w:rPr>
        <w:t> </w:t>
      </w:r>
      <w:r>
        <w:rPr>
          <w:color w:val="231F20"/>
          <w:w w:val="105"/>
        </w:rPr>
        <w:t>llevó</w:t>
      </w:r>
      <w:r>
        <w:rPr>
          <w:color w:val="231F20"/>
          <w:spacing w:val="-14"/>
          <w:w w:val="105"/>
        </w:rPr>
        <w:t> </w:t>
      </w:r>
      <w:r>
        <w:rPr>
          <w:color w:val="231F20"/>
          <w:w w:val="105"/>
        </w:rPr>
        <w:t>a</w:t>
      </w:r>
      <w:r>
        <w:rPr>
          <w:color w:val="231F20"/>
          <w:spacing w:val="-14"/>
          <w:w w:val="105"/>
        </w:rPr>
        <w:t> </w:t>
      </w:r>
      <w:r>
        <w:rPr>
          <w:color w:val="231F20"/>
          <w:w w:val="105"/>
        </w:rPr>
        <w:t>cabo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última</w:t>
      </w:r>
      <w:r>
        <w:rPr>
          <w:color w:val="231F20"/>
          <w:spacing w:val="-14"/>
          <w:w w:val="105"/>
        </w:rPr>
        <w:t> </w:t>
      </w:r>
      <w:r>
        <w:rPr>
          <w:color w:val="231F20"/>
          <w:w w:val="105"/>
        </w:rPr>
        <w:t>gestión.</w:t>
      </w:r>
    </w:p>
    <w:p>
      <w:pPr>
        <w:pStyle w:val="BodyText"/>
        <w:spacing w:before="1"/>
        <w:rPr>
          <w:sz w:val="26"/>
        </w:rPr>
      </w:pPr>
    </w:p>
    <w:p>
      <w:pPr>
        <w:pStyle w:val="BodyText"/>
        <w:spacing w:line="285" w:lineRule="auto"/>
        <w:ind w:left="110" w:right="107"/>
        <w:jc w:val="both"/>
      </w:pPr>
      <w:r>
        <w:rPr>
          <w:color w:val="231F20"/>
          <w:w w:val="105"/>
        </w:rPr>
        <w:t>De esta forma, el desempeño institucional se ha visto fortalecido </w:t>
      </w:r>
      <w:r>
        <w:rPr>
          <w:color w:val="231F20"/>
          <w:spacing w:val="2"/>
          <w:w w:val="105"/>
        </w:rPr>
        <w:t>al </w:t>
      </w:r>
      <w:r>
        <w:rPr>
          <w:color w:val="231F20"/>
          <w:w w:val="105"/>
        </w:rPr>
        <w:t>contar con un mo- derno</w:t>
      </w:r>
      <w:r>
        <w:rPr>
          <w:color w:val="231F20"/>
          <w:spacing w:val="-15"/>
          <w:w w:val="105"/>
        </w:rPr>
        <w:t> </w:t>
      </w:r>
      <w:r>
        <w:rPr>
          <w:color w:val="231F20"/>
          <w:w w:val="105"/>
        </w:rPr>
        <w:t>sistema</w:t>
      </w:r>
      <w:r>
        <w:rPr>
          <w:color w:val="231F20"/>
          <w:spacing w:val="-15"/>
          <w:w w:val="105"/>
        </w:rPr>
        <w:t> </w:t>
      </w:r>
      <w:r>
        <w:rPr>
          <w:color w:val="231F20"/>
          <w:w w:val="105"/>
        </w:rPr>
        <w:t>de</w:t>
      </w:r>
      <w:r>
        <w:rPr>
          <w:color w:val="231F20"/>
          <w:spacing w:val="-15"/>
          <w:w w:val="105"/>
        </w:rPr>
        <w:t> </w:t>
      </w:r>
      <w:r>
        <w:rPr>
          <w:color w:val="231F20"/>
          <w:w w:val="105"/>
        </w:rPr>
        <w:t>información</w:t>
      </w:r>
      <w:r>
        <w:rPr>
          <w:color w:val="231F20"/>
          <w:spacing w:val="-15"/>
          <w:w w:val="105"/>
        </w:rPr>
        <w:t> </w:t>
      </w:r>
      <w:r>
        <w:rPr>
          <w:color w:val="231F20"/>
          <w:w w:val="105"/>
        </w:rPr>
        <w:t>municipal,</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de</w:t>
      </w:r>
      <w:r>
        <w:rPr>
          <w:color w:val="231F20"/>
          <w:spacing w:val="-15"/>
          <w:w w:val="105"/>
        </w:rPr>
        <w:t> </w:t>
      </w:r>
      <w:r>
        <w:rPr>
          <w:color w:val="231F20"/>
          <w:w w:val="105"/>
        </w:rPr>
        <w:t>respuestas</w:t>
      </w:r>
      <w:r>
        <w:rPr>
          <w:color w:val="231F20"/>
          <w:spacing w:val="-15"/>
          <w:w w:val="105"/>
        </w:rPr>
        <w:t> </w:t>
      </w:r>
      <w:r>
        <w:rPr>
          <w:color w:val="231F20"/>
          <w:w w:val="105"/>
        </w:rPr>
        <w:t>más</w:t>
      </w:r>
      <w:r>
        <w:rPr>
          <w:color w:val="231F20"/>
          <w:spacing w:val="-15"/>
          <w:w w:val="105"/>
        </w:rPr>
        <w:t> </w:t>
      </w:r>
      <w:r>
        <w:rPr>
          <w:color w:val="231F20"/>
          <w:w w:val="105"/>
        </w:rPr>
        <w:t>rápidas</w:t>
      </w:r>
      <w:r>
        <w:rPr>
          <w:color w:val="231F20"/>
          <w:spacing w:val="-15"/>
          <w:w w:val="105"/>
        </w:rPr>
        <w:t> </w:t>
      </w:r>
      <w:r>
        <w:rPr>
          <w:color w:val="231F20"/>
          <w:w w:val="105"/>
        </w:rPr>
        <w:t>y</w:t>
      </w:r>
      <w:r>
        <w:rPr>
          <w:color w:val="231F20"/>
          <w:spacing w:val="-15"/>
          <w:w w:val="105"/>
        </w:rPr>
        <w:t> </w:t>
      </w:r>
      <w:r>
        <w:rPr>
          <w:color w:val="231F20"/>
          <w:w w:val="105"/>
        </w:rPr>
        <w:t>eficaces en trámites administrativos. Esto, a su vez, ha implicado una reducción de costos </w:t>
      </w:r>
      <w:r>
        <w:rPr>
          <w:color w:val="231F20"/>
          <w:spacing w:val="-3"/>
          <w:w w:val="105"/>
        </w:rPr>
        <w:t>ad- </w:t>
      </w:r>
      <w:r>
        <w:rPr>
          <w:color w:val="231F20"/>
          <w:w w:val="105"/>
        </w:rPr>
        <w:t>ministrativos y ha ido acompañado de un aumento en la transparencia de los procesos administrativos.</w:t>
      </w:r>
      <w:r>
        <w:rPr>
          <w:color w:val="231F20"/>
          <w:spacing w:val="-11"/>
          <w:w w:val="105"/>
        </w:rPr>
        <w:t> </w:t>
      </w:r>
      <w:r>
        <w:rPr>
          <w:color w:val="231F20"/>
          <w:w w:val="105"/>
        </w:rPr>
        <w:t>Ahora</w:t>
      </w:r>
      <w:r>
        <w:rPr>
          <w:color w:val="231F20"/>
          <w:spacing w:val="-11"/>
          <w:w w:val="105"/>
        </w:rPr>
        <w:t> </w:t>
      </w:r>
      <w:r>
        <w:rPr>
          <w:color w:val="231F20"/>
          <w:w w:val="105"/>
        </w:rPr>
        <w:t>bien,</w:t>
      </w:r>
      <w:r>
        <w:rPr>
          <w:color w:val="231F20"/>
          <w:spacing w:val="-11"/>
          <w:w w:val="105"/>
        </w:rPr>
        <w:t> </w:t>
      </w:r>
      <w:r>
        <w:rPr>
          <w:color w:val="231F20"/>
          <w:spacing w:val="2"/>
          <w:w w:val="105"/>
        </w:rPr>
        <w:t>al</w:t>
      </w:r>
      <w:r>
        <w:rPr>
          <w:color w:val="231F20"/>
          <w:spacing w:val="-11"/>
          <w:w w:val="105"/>
        </w:rPr>
        <w:t> </w:t>
      </w:r>
      <w:r>
        <w:rPr>
          <w:color w:val="231F20"/>
          <w:w w:val="105"/>
        </w:rPr>
        <w:t>inicio</w:t>
      </w:r>
      <w:r>
        <w:rPr>
          <w:color w:val="231F20"/>
          <w:spacing w:val="-11"/>
          <w:w w:val="105"/>
        </w:rPr>
        <w:t> </w:t>
      </w:r>
      <w:r>
        <w:rPr>
          <w:color w:val="231F20"/>
          <w:w w:val="105"/>
        </w:rPr>
        <w:t>del</w:t>
      </w:r>
      <w:r>
        <w:rPr>
          <w:color w:val="231F20"/>
          <w:spacing w:val="-11"/>
          <w:w w:val="105"/>
        </w:rPr>
        <w:t> </w:t>
      </w:r>
      <w:r>
        <w:rPr>
          <w:color w:val="231F20"/>
          <w:spacing w:val="2"/>
          <w:w w:val="105"/>
        </w:rPr>
        <w:t>análisis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primer</w:t>
      </w:r>
      <w:r>
        <w:rPr>
          <w:color w:val="231F20"/>
          <w:spacing w:val="-11"/>
          <w:w w:val="105"/>
        </w:rPr>
        <w:t> </w:t>
      </w:r>
      <w:r>
        <w:rPr>
          <w:color w:val="231F20"/>
          <w:w w:val="105"/>
        </w:rPr>
        <w:t>gestión,</w:t>
      </w:r>
      <w:r>
        <w:rPr>
          <w:color w:val="231F20"/>
          <w:spacing w:val="-11"/>
          <w:w w:val="105"/>
        </w:rPr>
        <w:t> </w:t>
      </w:r>
      <w:r>
        <w:rPr>
          <w:color w:val="231F20"/>
          <w:w w:val="105"/>
        </w:rPr>
        <w:t>se</w:t>
      </w:r>
      <w:r>
        <w:rPr>
          <w:color w:val="231F20"/>
          <w:spacing w:val="-11"/>
          <w:w w:val="105"/>
        </w:rPr>
        <w:t> </w:t>
      </w:r>
      <w:r>
        <w:rPr>
          <w:color w:val="231F20"/>
          <w:w w:val="105"/>
        </w:rPr>
        <w:t>apuntaba</w:t>
      </w:r>
      <w:r>
        <w:rPr>
          <w:color w:val="231F20"/>
          <w:spacing w:val="-11"/>
          <w:w w:val="105"/>
        </w:rPr>
        <w:t> </w:t>
      </w:r>
      <w:r>
        <w:rPr>
          <w:color w:val="231F20"/>
          <w:w w:val="105"/>
        </w:rPr>
        <w:t>que quizá esto no sólo tenga que ver con el sello panista, sino que también se deba a las exigencias</w:t>
      </w:r>
      <w:r>
        <w:rPr>
          <w:color w:val="231F20"/>
          <w:spacing w:val="-13"/>
          <w:w w:val="105"/>
        </w:rPr>
        <w:t> </w:t>
      </w:r>
      <w:r>
        <w:rPr>
          <w:color w:val="231F20"/>
          <w:w w:val="105"/>
        </w:rPr>
        <w:t>propias</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municipio</w:t>
      </w:r>
      <w:r>
        <w:rPr>
          <w:color w:val="231F20"/>
          <w:spacing w:val="-13"/>
          <w:w w:val="105"/>
        </w:rPr>
        <w:t> </w:t>
      </w:r>
      <w:r>
        <w:rPr>
          <w:color w:val="231F20"/>
          <w:w w:val="105"/>
        </w:rPr>
        <w:t>metropolitano.</w:t>
      </w:r>
      <w:r>
        <w:rPr>
          <w:color w:val="231F20"/>
          <w:spacing w:val="-13"/>
          <w:w w:val="105"/>
        </w:rPr>
        <w:t> </w:t>
      </w:r>
      <w:r>
        <w:rPr>
          <w:color w:val="231F20"/>
          <w:w w:val="105"/>
        </w:rPr>
        <w:t>Cabe</w:t>
      </w:r>
      <w:r>
        <w:rPr>
          <w:color w:val="231F20"/>
          <w:spacing w:val="-13"/>
          <w:w w:val="105"/>
        </w:rPr>
        <w:t> </w:t>
      </w:r>
      <w:r>
        <w:rPr>
          <w:color w:val="231F20"/>
          <w:w w:val="105"/>
        </w:rPr>
        <w:t>recordar</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última</w:t>
      </w:r>
      <w:r>
        <w:rPr>
          <w:color w:val="231F20"/>
          <w:spacing w:val="-13"/>
          <w:w w:val="105"/>
        </w:rPr>
        <w:t> </w:t>
      </w:r>
      <w:r>
        <w:rPr>
          <w:color w:val="231F20"/>
          <w:w w:val="105"/>
        </w:rPr>
        <w:t>gestión priísta ya trataba de mejorar en este</w:t>
      </w:r>
      <w:r>
        <w:rPr>
          <w:color w:val="231F20"/>
          <w:spacing w:val="-26"/>
          <w:w w:val="105"/>
        </w:rPr>
        <w:t> </w:t>
      </w:r>
      <w:r>
        <w:rPr>
          <w:color w:val="231F20"/>
          <w:w w:val="105"/>
        </w:rPr>
        <w:t>terreno.</w:t>
      </w:r>
    </w:p>
    <w:p>
      <w:pPr>
        <w:pStyle w:val="BodyText"/>
        <w:spacing w:before="1"/>
        <w:rPr>
          <w:sz w:val="26"/>
        </w:rPr>
      </w:pPr>
    </w:p>
    <w:p>
      <w:pPr>
        <w:pStyle w:val="BodyText"/>
        <w:spacing w:line="285" w:lineRule="auto"/>
        <w:ind w:left="110" w:right="108"/>
        <w:jc w:val="both"/>
      </w:pPr>
      <w:r>
        <w:rPr>
          <w:color w:val="231F20"/>
          <w:w w:val="105"/>
        </w:rPr>
        <w:t>Una segunda continuidad, que tiene que ver igualmente con el desempeño institu- cional, es el de la autonomía financiera, la cual hemos observado, se ha incrementa- do a lo largo de las gestiones panistas, gracias a las recaudaciones fiscales exitosas que ha logrado el municipio.</w:t>
      </w:r>
    </w:p>
    <w:p>
      <w:pPr>
        <w:pStyle w:val="BodyText"/>
        <w:spacing w:before="1"/>
        <w:rPr>
          <w:sz w:val="26"/>
        </w:rPr>
      </w:pPr>
    </w:p>
    <w:p>
      <w:pPr>
        <w:pStyle w:val="BodyText"/>
        <w:ind w:left="110"/>
        <w:jc w:val="both"/>
      </w:pPr>
      <w:r>
        <w:rPr>
          <w:color w:val="231F20"/>
          <w:w w:val="105"/>
        </w:rPr>
        <w:t>Las</w:t>
      </w:r>
      <w:r>
        <w:rPr>
          <w:color w:val="231F20"/>
          <w:spacing w:val="-16"/>
          <w:w w:val="105"/>
        </w:rPr>
        <w:t> </w:t>
      </w:r>
      <w:r>
        <w:rPr>
          <w:color w:val="231F20"/>
          <w:w w:val="105"/>
        </w:rPr>
        <w:t>gestiones</w:t>
      </w:r>
      <w:r>
        <w:rPr>
          <w:color w:val="231F20"/>
          <w:spacing w:val="-16"/>
          <w:w w:val="105"/>
        </w:rPr>
        <w:t> </w:t>
      </w:r>
      <w:r>
        <w:rPr>
          <w:color w:val="231F20"/>
          <w:w w:val="105"/>
        </w:rPr>
        <w:t>analizadas</w:t>
      </w:r>
      <w:r>
        <w:rPr>
          <w:color w:val="231F20"/>
          <w:spacing w:val="-16"/>
          <w:w w:val="105"/>
        </w:rPr>
        <w:t> </w:t>
      </w:r>
      <w:r>
        <w:rPr>
          <w:color w:val="231F20"/>
          <w:w w:val="105"/>
        </w:rPr>
        <w:t>han</w:t>
      </w:r>
      <w:r>
        <w:rPr>
          <w:color w:val="231F20"/>
          <w:spacing w:val="-16"/>
          <w:w w:val="105"/>
        </w:rPr>
        <w:t> </w:t>
      </w:r>
      <w:r>
        <w:rPr>
          <w:color w:val="231F20"/>
          <w:w w:val="105"/>
        </w:rPr>
        <w:t>alcanzado</w:t>
      </w:r>
      <w:r>
        <w:rPr>
          <w:color w:val="231F20"/>
          <w:spacing w:val="-16"/>
          <w:w w:val="105"/>
        </w:rPr>
        <w:t> </w:t>
      </w:r>
      <w:r>
        <w:rPr>
          <w:color w:val="231F20"/>
          <w:w w:val="105"/>
        </w:rPr>
        <w:t>incrementos</w:t>
      </w:r>
      <w:r>
        <w:rPr>
          <w:color w:val="231F20"/>
          <w:spacing w:val="-16"/>
          <w:w w:val="105"/>
        </w:rPr>
        <w:t> </w:t>
      </w:r>
      <w:r>
        <w:rPr>
          <w:color w:val="231F20"/>
          <w:w w:val="105"/>
        </w:rPr>
        <w:t>sustanciales</w:t>
      </w:r>
      <w:r>
        <w:rPr>
          <w:color w:val="231F20"/>
          <w:spacing w:val="-16"/>
          <w:w w:val="105"/>
        </w:rPr>
        <w:t> </w:t>
      </w:r>
      <w:r>
        <w:rPr>
          <w:color w:val="231F20"/>
          <w:w w:val="105"/>
        </w:rPr>
        <w:t>frente</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aportacio-</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nes</w:t>
      </w:r>
      <w:r>
        <w:rPr>
          <w:color w:val="231F20"/>
          <w:spacing w:val="-27"/>
          <w:w w:val="105"/>
        </w:rPr>
        <w:t> </w:t>
      </w:r>
      <w:r>
        <w:rPr>
          <w:color w:val="231F20"/>
          <w:w w:val="105"/>
        </w:rPr>
        <w:t>federales,</w:t>
      </w:r>
      <w:r>
        <w:rPr>
          <w:color w:val="231F20"/>
          <w:spacing w:val="-27"/>
          <w:w w:val="105"/>
        </w:rPr>
        <w:t> </w:t>
      </w:r>
      <w:r>
        <w:rPr>
          <w:color w:val="231F20"/>
          <w:w w:val="105"/>
        </w:rPr>
        <w:t>logrando</w:t>
      </w:r>
      <w:r>
        <w:rPr>
          <w:color w:val="231F20"/>
          <w:spacing w:val="-27"/>
          <w:w w:val="105"/>
        </w:rPr>
        <w:t> </w:t>
      </w:r>
      <w:r>
        <w:rPr>
          <w:color w:val="231F20"/>
          <w:w w:val="105"/>
        </w:rPr>
        <w:t>menor</w:t>
      </w:r>
      <w:r>
        <w:rPr>
          <w:color w:val="231F20"/>
          <w:spacing w:val="-27"/>
          <w:w w:val="105"/>
        </w:rPr>
        <w:t> </w:t>
      </w:r>
      <w:r>
        <w:rPr>
          <w:color w:val="231F20"/>
          <w:w w:val="105"/>
        </w:rPr>
        <w:t>dependencia</w:t>
      </w:r>
      <w:r>
        <w:rPr>
          <w:color w:val="231F20"/>
          <w:spacing w:val="-27"/>
          <w:w w:val="105"/>
        </w:rPr>
        <w:t> </w:t>
      </w:r>
      <w:r>
        <w:rPr>
          <w:color w:val="231F20"/>
          <w:w w:val="105"/>
        </w:rPr>
        <w:t>económica</w:t>
      </w:r>
      <w:r>
        <w:rPr>
          <w:color w:val="231F20"/>
          <w:spacing w:val="-27"/>
          <w:w w:val="105"/>
        </w:rPr>
        <w:t> </w:t>
      </w:r>
      <w:r>
        <w:rPr>
          <w:color w:val="231F20"/>
          <w:w w:val="105"/>
        </w:rPr>
        <w:t>y</w:t>
      </w:r>
      <w:r>
        <w:rPr>
          <w:color w:val="231F20"/>
          <w:spacing w:val="-27"/>
          <w:w w:val="105"/>
        </w:rPr>
        <w:t> </w:t>
      </w:r>
      <w:r>
        <w:rPr>
          <w:color w:val="231F20"/>
          <w:w w:val="105"/>
        </w:rPr>
        <w:t>mayor</w:t>
      </w:r>
      <w:r>
        <w:rPr>
          <w:color w:val="231F20"/>
          <w:spacing w:val="-27"/>
          <w:w w:val="105"/>
        </w:rPr>
        <w:t> </w:t>
      </w:r>
      <w:r>
        <w:rPr>
          <w:color w:val="231F20"/>
          <w:w w:val="105"/>
        </w:rPr>
        <w:t>libertad</w:t>
      </w:r>
      <w:r>
        <w:rPr>
          <w:color w:val="231F20"/>
          <w:spacing w:val="-27"/>
          <w:w w:val="105"/>
        </w:rPr>
        <w:t> </w:t>
      </w:r>
      <w:r>
        <w:rPr>
          <w:color w:val="231F20"/>
          <w:w w:val="105"/>
        </w:rPr>
        <w:t>de</w:t>
      </w:r>
      <w:r>
        <w:rPr>
          <w:color w:val="231F20"/>
          <w:spacing w:val="-27"/>
          <w:w w:val="105"/>
        </w:rPr>
        <w:t> </w:t>
      </w:r>
      <w:r>
        <w:rPr>
          <w:color w:val="231F20"/>
          <w:w w:val="105"/>
        </w:rPr>
        <w:t>ejecución</w:t>
      </w:r>
      <w:r>
        <w:rPr>
          <w:color w:val="231F20"/>
          <w:spacing w:val="-27"/>
          <w:w w:val="105"/>
        </w:rPr>
        <w:t> </w:t>
      </w:r>
      <w:r>
        <w:rPr>
          <w:color w:val="231F20"/>
          <w:w w:val="105"/>
        </w:rPr>
        <w:t>del presupuesto basado principalmente en ingresos propios. El gran reto es una adecuada focalización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ingresos</w:t>
      </w:r>
      <w:r>
        <w:rPr>
          <w:color w:val="231F20"/>
          <w:spacing w:val="-24"/>
          <w:w w:val="105"/>
        </w:rPr>
        <w:t> </w:t>
      </w:r>
      <w:r>
        <w:rPr>
          <w:color w:val="231F20"/>
          <w:w w:val="105"/>
        </w:rPr>
        <w:t>y</w:t>
      </w:r>
      <w:r>
        <w:rPr>
          <w:color w:val="231F20"/>
          <w:spacing w:val="-24"/>
          <w:w w:val="105"/>
        </w:rPr>
        <w:t> </w:t>
      </w:r>
      <w:r>
        <w:rPr>
          <w:color w:val="231F20"/>
          <w:w w:val="105"/>
        </w:rPr>
        <w:t>egresos,</w:t>
      </w:r>
      <w:r>
        <w:rPr>
          <w:color w:val="231F20"/>
          <w:spacing w:val="-24"/>
          <w:w w:val="105"/>
        </w:rPr>
        <w:t> </w:t>
      </w:r>
      <w:r>
        <w:rPr>
          <w:color w:val="231F20"/>
          <w:w w:val="105"/>
        </w:rPr>
        <w:t>para</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traduzcan</w:t>
      </w:r>
      <w:r>
        <w:rPr>
          <w:color w:val="231F20"/>
          <w:spacing w:val="-24"/>
          <w:w w:val="105"/>
        </w:rPr>
        <w:t> </w:t>
      </w:r>
      <w:r>
        <w:rPr>
          <w:color w:val="231F20"/>
          <w:w w:val="105"/>
        </w:rPr>
        <w:t>en</w:t>
      </w:r>
      <w:r>
        <w:rPr>
          <w:color w:val="231F20"/>
          <w:spacing w:val="-24"/>
          <w:w w:val="105"/>
        </w:rPr>
        <w:t> </w:t>
      </w:r>
      <w:r>
        <w:rPr>
          <w:color w:val="231F20"/>
          <w:w w:val="105"/>
        </w:rPr>
        <w:t>mejores</w:t>
      </w:r>
      <w:r>
        <w:rPr>
          <w:color w:val="231F20"/>
          <w:spacing w:val="-24"/>
          <w:w w:val="105"/>
        </w:rPr>
        <w:t> </w:t>
      </w:r>
      <w:r>
        <w:rPr>
          <w:color w:val="231F20"/>
          <w:w w:val="105"/>
        </w:rPr>
        <w:t>beneficios</w:t>
      </w:r>
      <w:r>
        <w:rPr>
          <w:color w:val="231F20"/>
          <w:spacing w:val="-24"/>
          <w:w w:val="105"/>
        </w:rPr>
        <w:t> </w:t>
      </w:r>
      <w:r>
        <w:rPr>
          <w:color w:val="231F20"/>
          <w:w w:val="105"/>
        </w:rPr>
        <w:t>hacia la</w:t>
      </w:r>
      <w:r>
        <w:rPr>
          <w:color w:val="231F20"/>
          <w:spacing w:val="-24"/>
          <w:w w:val="105"/>
        </w:rPr>
        <w:t> </w:t>
      </w:r>
      <w:r>
        <w:rPr>
          <w:color w:val="231F20"/>
          <w:w w:val="105"/>
        </w:rPr>
        <w:t>población</w:t>
      </w:r>
      <w:r>
        <w:rPr>
          <w:color w:val="231F20"/>
          <w:spacing w:val="-24"/>
          <w:w w:val="105"/>
        </w:rPr>
        <w:t> </w:t>
      </w:r>
      <w:r>
        <w:rPr>
          <w:color w:val="231F20"/>
          <w:w w:val="105"/>
        </w:rPr>
        <w:t>más</w:t>
      </w:r>
      <w:r>
        <w:rPr>
          <w:color w:val="231F20"/>
          <w:spacing w:val="-24"/>
          <w:w w:val="105"/>
        </w:rPr>
        <w:t> </w:t>
      </w:r>
      <w:r>
        <w:rPr>
          <w:color w:val="231F20"/>
          <w:w w:val="105"/>
        </w:rPr>
        <w:t>vulnerable.</w:t>
      </w:r>
    </w:p>
    <w:p>
      <w:pPr>
        <w:pStyle w:val="BodyText"/>
        <w:spacing w:before="1"/>
        <w:rPr>
          <w:sz w:val="26"/>
        </w:rPr>
      </w:pPr>
    </w:p>
    <w:p>
      <w:pPr>
        <w:pStyle w:val="BodyText"/>
        <w:spacing w:line="285" w:lineRule="auto"/>
        <w:ind w:left="110" w:right="108"/>
        <w:jc w:val="both"/>
      </w:pPr>
      <w:r>
        <w:rPr>
          <w:color w:val="231F20"/>
          <w:w w:val="105"/>
        </w:rPr>
        <w:t>La</w:t>
      </w:r>
      <w:r>
        <w:rPr>
          <w:color w:val="231F20"/>
          <w:spacing w:val="-22"/>
          <w:w w:val="105"/>
        </w:rPr>
        <w:t> </w:t>
      </w:r>
      <w:r>
        <w:rPr>
          <w:color w:val="231F20"/>
          <w:w w:val="105"/>
        </w:rPr>
        <w:t>tercera</w:t>
      </w:r>
      <w:r>
        <w:rPr>
          <w:color w:val="231F20"/>
          <w:spacing w:val="-22"/>
          <w:w w:val="105"/>
        </w:rPr>
        <w:t> </w:t>
      </w:r>
      <w:r>
        <w:rPr>
          <w:color w:val="231F20"/>
          <w:w w:val="105"/>
        </w:rPr>
        <w:t>continuidad</w:t>
      </w:r>
      <w:r>
        <w:rPr>
          <w:color w:val="231F20"/>
          <w:spacing w:val="-22"/>
          <w:w w:val="105"/>
        </w:rPr>
        <w:t> </w:t>
      </w:r>
      <w:r>
        <w:rPr>
          <w:color w:val="231F20"/>
          <w:w w:val="105"/>
        </w:rPr>
        <w:t>tiene</w:t>
      </w:r>
      <w:r>
        <w:rPr>
          <w:color w:val="231F20"/>
          <w:spacing w:val="-22"/>
          <w:w w:val="105"/>
        </w:rPr>
        <w:t> </w:t>
      </w:r>
      <w:r>
        <w:rPr>
          <w:color w:val="231F20"/>
          <w:w w:val="105"/>
        </w:rPr>
        <w:t>que</w:t>
      </w:r>
      <w:r>
        <w:rPr>
          <w:color w:val="231F20"/>
          <w:spacing w:val="-22"/>
          <w:w w:val="105"/>
        </w:rPr>
        <w:t> </w:t>
      </w:r>
      <w:r>
        <w:rPr>
          <w:color w:val="231F20"/>
          <w:w w:val="105"/>
        </w:rPr>
        <w:t>ver</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anterior.</w:t>
      </w:r>
      <w:r>
        <w:rPr>
          <w:color w:val="231F20"/>
          <w:spacing w:val="-22"/>
          <w:w w:val="105"/>
        </w:rPr>
        <w:t> </w:t>
      </w:r>
      <w:r>
        <w:rPr>
          <w:color w:val="231F20"/>
          <w:w w:val="105"/>
        </w:rPr>
        <w:t>La</w:t>
      </w:r>
      <w:r>
        <w:rPr>
          <w:color w:val="231F20"/>
          <w:spacing w:val="-22"/>
          <w:w w:val="105"/>
        </w:rPr>
        <w:t> </w:t>
      </w:r>
      <w:r>
        <w:rPr>
          <w:color w:val="231F20"/>
          <w:w w:val="105"/>
        </w:rPr>
        <w:t>focalización</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acciones,</w:t>
      </w:r>
      <w:r>
        <w:rPr>
          <w:color w:val="231F20"/>
          <w:spacing w:val="-22"/>
          <w:w w:val="105"/>
        </w:rPr>
        <w:t> </w:t>
      </w:r>
      <w:r>
        <w:rPr>
          <w:color w:val="231F20"/>
          <w:w w:val="105"/>
        </w:rPr>
        <w:t>pro- gramas</w:t>
      </w:r>
      <w:r>
        <w:rPr>
          <w:color w:val="231F20"/>
          <w:spacing w:val="-18"/>
          <w:w w:val="105"/>
        </w:rPr>
        <w:t> </w:t>
      </w:r>
      <w:r>
        <w:rPr>
          <w:color w:val="231F20"/>
          <w:w w:val="105"/>
        </w:rPr>
        <w:t>y</w:t>
      </w:r>
      <w:r>
        <w:rPr>
          <w:color w:val="231F20"/>
          <w:spacing w:val="-18"/>
          <w:w w:val="105"/>
        </w:rPr>
        <w:t> </w:t>
      </w:r>
      <w:r>
        <w:rPr>
          <w:color w:val="231F20"/>
          <w:w w:val="105"/>
        </w:rPr>
        <w:t>políticas</w:t>
      </w:r>
      <w:r>
        <w:rPr>
          <w:color w:val="231F20"/>
          <w:spacing w:val="-18"/>
          <w:w w:val="105"/>
        </w:rPr>
        <w:t> </w:t>
      </w:r>
      <w:r>
        <w:rPr>
          <w:color w:val="231F20"/>
          <w:w w:val="105"/>
        </w:rPr>
        <w:t>en</w:t>
      </w:r>
      <w:r>
        <w:rPr>
          <w:color w:val="231F20"/>
          <w:spacing w:val="-18"/>
          <w:w w:val="105"/>
        </w:rPr>
        <w:t> </w:t>
      </w:r>
      <w:r>
        <w:rPr>
          <w:color w:val="231F20"/>
          <w:w w:val="105"/>
        </w:rPr>
        <w:t>beneficio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población</w:t>
      </w:r>
      <w:r>
        <w:rPr>
          <w:color w:val="231F20"/>
          <w:spacing w:val="-18"/>
          <w:w w:val="105"/>
        </w:rPr>
        <w:t> </w:t>
      </w:r>
      <w:r>
        <w:rPr>
          <w:color w:val="231F20"/>
          <w:w w:val="105"/>
        </w:rPr>
        <w:t>marginada</w:t>
      </w:r>
      <w:r>
        <w:rPr>
          <w:color w:val="231F20"/>
          <w:spacing w:val="-18"/>
          <w:w w:val="105"/>
        </w:rPr>
        <w:t> </w:t>
      </w:r>
      <w:r>
        <w:rPr>
          <w:color w:val="231F20"/>
          <w:w w:val="105"/>
        </w:rPr>
        <w:t>es</w:t>
      </w:r>
      <w:r>
        <w:rPr>
          <w:color w:val="231F20"/>
          <w:spacing w:val="-18"/>
          <w:w w:val="105"/>
        </w:rPr>
        <w:t> </w:t>
      </w:r>
      <w:r>
        <w:rPr>
          <w:color w:val="231F20"/>
          <w:w w:val="105"/>
        </w:rPr>
        <w:t>todavía</w:t>
      </w:r>
      <w:r>
        <w:rPr>
          <w:color w:val="231F20"/>
          <w:spacing w:val="-18"/>
          <w:w w:val="105"/>
        </w:rPr>
        <w:t> </w:t>
      </w:r>
      <w:r>
        <w:rPr>
          <w:color w:val="231F20"/>
          <w:w w:val="105"/>
        </w:rPr>
        <w:t>una</w:t>
      </w:r>
      <w:r>
        <w:rPr>
          <w:color w:val="231F20"/>
          <w:spacing w:val="-18"/>
          <w:w w:val="105"/>
        </w:rPr>
        <w:t> </w:t>
      </w:r>
      <w:r>
        <w:rPr>
          <w:color w:val="231F20"/>
          <w:w w:val="105"/>
        </w:rPr>
        <w:t>tarea</w:t>
      </w:r>
      <w:r>
        <w:rPr>
          <w:color w:val="231F20"/>
          <w:spacing w:val="-18"/>
          <w:w w:val="105"/>
        </w:rPr>
        <w:t> </w:t>
      </w:r>
      <w:r>
        <w:rPr>
          <w:color w:val="231F20"/>
          <w:w w:val="105"/>
        </w:rPr>
        <w:t>pendien- te,</w:t>
      </w:r>
      <w:r>
        <w:rPr>
          <w:color w:val="231F20"/>
          <w:spacing w:val="-9"/>
          <w:w w:val="105"/>
        </w:rPr>
        <w:t> </w:t>
      </w:r>
      <w:r>
        <w:rPr>
          <w:color w:val="231F20"/>
          <w:w w:val="105"/>
        </w:rPr>
        <w:t>pues</w:t>
      </w:r>
      <w:r>
        <w:rPr>
          <w:color w:val="231F20"/>
          <w:spacing w:val="-9"/>
          <w:w w:val="105"/>
        </w:rPr>
        <w:t> </w:t>
      </w:r>
      <w:r>
        <w:rPr>
          <w:color w:val="231F20"/>
          <w:w w:val="105"/>
        </w:rPr>
        <w:t>las</w:t>
      </w:r>
      <w:r>
        <w:rPr>
          <w:color w:val="231F20"/>
          <w:spacing w:val="-9"/>
          <w:w w:val="105"/>
        </w:rPr>
        <w:t> </w:t>
      </w:r>
      <w:r>
        <w:rPr>
          <w:color w:val="231F20"/>
          <w:w w:val="105"/>
        </w:rPr>
        <w:t>tres</w:t>
      </w:r>
      <w:r>
        <w:rPr>
          <w:color w:val="231F20"/>
          <w:spacing w:val="-9"/>
          <w:w w:val="105"/>
        </w:rPr>
        <w:t> </w:t>
      </w:r>
      <w:r>
        <w:rPr>
          <w:color w:val="231F20"/>
          <w:w w:val="105"/>
        </w:rPr>
        <w:t>gestiones</w:t>
      </w:r>
      <w:r>
        <w:rPr>
          <w:color w:val="231F20"/>
          <w:spacing w:val="-9"/>
          <w:w w:val="105"/>
        </w:rPr>
        <w:t> </w:t>
      </w:r>
      <w:r>
        <w:rPr>
          <w:color w:val="231F20"/>
          <w:w w:val="105"/>
        </w:rPr>
        <w:t>poco</w:t>
      </w:r>
      <w:r>
        <w:rPr>
          <w:color w:val="231F20"/>
          <w:spacing w:val="-9"/>
          <w:w w:val="105"/>
        </w:rPr>
        <w:t> </w:t>
      </w:r>
      <w:r>
        <w:rPr>
          <w:color w:val="231F20"/>
          <w:w w:val="105"/>
        </w:rPr>
        <w:t>hicieron</w:t>
      </w:r>
      <w:r>
        <w:rPr>
          <w:color w:val="231F20"/>
          <w:spacing w:val="-9"/>
          <w:w w:val="105"/>
        </w:rPr>
        <w:t> </w:t>
      </w:r>
      <w:r>
        <w:rPr>
          <w:color w:val="231F20"/>
          <w:spacing w:val="2"/>
          <w:w w:val="105"/>
        </w:rPr>
        <w:t>al</w:t>
      </w:r>
      <w:r>
        <w:rPr>
          <w:color w:val="231F20"/>
          <w:spacing w:val="-9"/>
          <w:w w:val="105"/>
        </w:rPr>
        <w:t> </w:t>
      </w:r>
      <w:r>
        <w:rPr>
          <w:color w:val="231F20"/>
          <w:w w:val="105"/>
        </w:rPr>
        <w:t>respecto.</w:t>
      </w:r>
      <w:r>
        <w:rPr>
          <w:color w:val="231F20"/>
          <w:spacing w:val="-9"/>
          <w:w w:val="105"/>
        </w:rPr>
        <w:t> </w:t>
      </w:r>
      <w:r>
        <w:rPr>
          <w:color w:val="231F20"/>
          <w:w w:val="105"/>
        </w:rPr>
        <w:t>De</w:t>
      </w:r>
      <w:r>
        <w:rPr>
          <w:color w:val="231F20"/>
          <w:spacing w:val="-9"/>
          <w:w w:val="105"/>
        </w:rPr>
        <w:t> </w:t>
      </w:r>
      <w:r>
        <w:rPr>
          <w:color w:val="231F20"/>
          <w:spacing w:val="2"/>
          <w:w w:val="105"/>
        </w:rPr>
        <w:t>ahí</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últimos</w:t>
      </w:r>
      <w:r>
        <w:rPr>
          <w:color w:val="231F20"/>
          <w:spacing w:val="-9"/>
          <w:w w:val="105"/>
        </w:rPr>
        <w:t> </w:t>
      </w:r>
      <w:r>
        <w:rPr>
          <w:color w:val="231F20"/>
          <w:w w:val="105"/>
        </w:rPr>
        <w:t>indicadores que</w:t>
      </w:r>
      <w:r>
        <w:rPr>
          <w:color w:val="231F20"/>
          <w:spacing w:val="-18"/>
          <w:w w:val="105"/>
        </w:rPr>
        <w:t> </w:t>
      </w:r>
      <w:r>
        <w:rPr>
          <w:color w:val="231F20"/>
          <w:w w:val="105"/>
        </w:rPr>
        <w:t>mostramos</w:t>
      </w:r>
      <w:r>
        <w:rPr>
          <w:color w:val="231F20"/>
          <w:spacing w:val="-18"/>
          <w:w w:val="105"/>
        </w:rPr>
        <w:t> </w:t>
      </w:r>
      <w:r>
        <w:rPr>
          <w:color w:val="231F20"/>
          <w:w w:val="105"/>
        </w:rPr>
        <w:t>reflejen</w:t>
      </w:r>
      <w:r>
        <w:rPr>
          <w:color w:val="231F20"/>
          <w:spacing w:val="-18"/>
          <w:w w:val="105"/>
        </w:rPr>
        <w:t> </w:t>
      </w:r>
      <w:r>
        <w:rPr>
          <w:color w:val="231F20"/>
          <w:w w:val="105"/>
        </w:rPr>
        <w:t>avances</w:t>
      </w:r>
      <w:r>
        <w:rPr>
          <w:color w:val="231F20"/>
          <w:spacing w:val="-18"/>
          <w:w w:val="105"/>
        </w:rPr>
        <w:t> </w:t>
      </w:r>
      <w:r>
        <w:rPr>
          <w:color w:val="231F20"/>
          <w:w w:val="105"/>
        </w:rPr>
        <w:t>muy</w:t>
      </w:r>
      <w:r>
        <w:rPr>
          <w:color w:val="231F20"/>
          <w:spacing w:val="-18"/>
          <w:w w:val="105"/>
        </w:rPr>
        <w:t> </w:t>
      </w:r>
      <w:r>
        <w:rPr>
          <w:color w:val="231F20"/>
          <w:w w:val="105"/>
        </w:rPr>
        <w:t>reducidos.</w:t>
      </w:r>
    </w:p>
    <w:p>
      <w:pPr>
        <w:pStyle w:val="BodyText"/>
        <w:spacing w:before="1"/>
        <w:rPr>
          <w:sz w:val="26"/>
        </w:rPr>
      </w:pPr>
    </w:p>
    <w:p>
      <w:pPr>
        <w:pStyle w:val="BodyText"/>
        <w:spacing w:line="285" w:lineRule="auto"/>
        <w:ind w:left="110" w:right="107"/>
        <w:jc w:val="both"/>
      </w:pPr>
      <w:r>
        <w:rPr>
          <w:color w:val="231F20"/>
          <w:w w:val="105"/>
        </w:rPr>
        <w:t>La</w:t>
      </w:r>
      <w:r>
        <w:rPr>
          <w:color w:val="231F20"/>
          <w:spacing w:val="-20"/>
          <w:w w:val="105"/>
        </w:rPr>
        <w:t> </w:t>
      </w:r>
      <w:r>
        <w:rPr>
          <w:color w:val="231F20"/>
          <w:spacing w:val="2"/>
          <w:w w:val="105"/>
        </w:rPr>
        <w:t>cuarta</w:t>
      </w:r>
      <w:r>
        <w:rPr>
          <w:color w:val="231F20"/>
          <w:spacing w:val="-20"/>
          <w:w w:val="105"/>
        </w:rPr>
        <w:t> </w:t>
      </w:r>
      <w:r>
        <w:rPr>
          <w:color w:val="231F20"/>
          <w:w w:val="105"/>
        </w:rPr>
        <w:t>continuidad</w:t>
      </w:r>
      <w:r>
        <w:rPr>
          <w:color w:val="231F20"/>
          <w:spacing w:val="-20"/>
          <w:w w:val="105"/>
        </w:rPr>
        <w:t> </w:t>
      </w:r>
      <w:r>
        <w:rPr>
          <w:color w:val="231F20"/>
          <w:w w:val="105"/>
        </w:rPr>
        <w:t>se</w:t>
      </w:r>
      <w:r>
        <w:rPr>
          <w:color w:val="231F20"/>
          <w:spacing w:val="-20"/>
          <w:w w:val="105"/>
        </w:rPr>
        <w:t> </w:t>
      </w:r>
      <w:r>
        <w:rPr>
          <w:color w:val="231F20"/>
          <w:w w:val="105"/>
        </w:rPr>
        <w:t>desprende</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anterior.</w:t>
      </w:r>
      <w:r>
        <w:rPr>
          <w:color w:val="231F20"/>
          <w:spacing w:val="-20"/>
          <w:w w:val="105"/>
        </w:rPr>
        <w:t> </w:t>
      </w:r>
      <w:r>
        <w:rPr>
          <w:color w:val="231F20"/>
          <w:w w:val="105"/>
        </w:rPr>
        <w:t>El</w:t>
      </w:r>
      <w:r>
        <w:rPr>
          <w:color w:val="231F20"/>
          <w:spacing w:val="-20"/>
          <w:w w:val="105"/>
        </w:rPr>
        <w:t> </w:t>
      </w:r>
      <w:r>
        <w:rPr>
          <w:color w:val="231F20"/>
          <w:spacing w:val="2"/>
          <w:w w:val="105"/>
        </w:rPr>
        <w:t>análisis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gestiones,</w:t>
      </w:r>
      <w:r>
        <w:rPr>
          <w:color w:val="231F20"/>
          <w:spacing w:val="-20"/>
          <w:w w:val="105"/>
        </w:rPr>
        <w:t> </w:t>
      </w:r>
      <w:r>
        <w:rPr>
          <w:color w:val="231F20"/>
          <w:w w:val="105"/>
        </w:rPr>
        <w:t>los</w:t>
      </w:r>
      <w:r>
        <w:rPr>
          <w:color w:val="231F20"/>
          <w:spacing w:val="-20"/>
          <w:w w:val="105"/>
        </w:rPr>
        <w:t> </w:t>
      </w:r>
      <w:r>
        <w:rPr>
          <w:color w:val="231F20"/>
          <w:w w:val="105"/>
        </w:rPr>
        <w:t>planes de desarrollo y los programas y políticas de las gestiones nos permiten apuntar que es superior</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competitividad</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ámbito</w:t>
      </w:r>
      <w:r>
        <w:rPr>
          <w:color w:val="231F20"/>
          <w:spacing w:val="-14"/>
          <w:w w:val="105"/>
        </w:rPr>
        <w:t> </w:t>
      </w:r>
      <w:r>
        <w:rPr>
          <w:color w:val="231F20"/>
          <w:w w:val="105"/>
        </w:rPr>
        <w:t>empresarial</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referi- da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marginación</w:t>
      </w:r>
      <w:r>
        <w:rPr>
          <w:color w:val="231F20"/>
          <w:spacing w:val="-9"/>
          <w:w w:val="105"/>
        </w:rPr>
        <w:t> </w:t>
      </w:r>
      <w:r>
        <w:rPr>
          <w:color w:val="231F20"/>
          <w:w w:val="105"/>
        </w:rPr>
        <w:t>de</w:t>
      </w:r>
      <w:r>
        <w:rPr>
          <w:color w:val="231F20"/>
          <w:spacing w:val="-9"/>
          <w:w w:val="105"/>
        </w:rPr>
        <w:t> </w:t>
      </w:r>
      <w:r>
        <w:rPr>
          <w:color w:val="231F20"/>
          <w:w w:val="105"/>
        </w:rPr>
        <w:t>habitantes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zona</w:t>
      </w:r>
      <w:r>
        <w:rPr>
          <w:color w:val="231F20"/>
          <w:spacing w:val="-9"/>
          <w:w w:val="105"/>
        </w:rPr>
        <w:t> </w:t>
      </w:r>
      <w:r>
        <w:rPr>
          <w:color w:val="231F20"/>
          <w:w w:val="105"/>
        </w:rPr>
        <w:t>oriente.</w:t>
      </w:r>
    </w:p>
    <w:p>
      <w:pPr>
        <w:pStyle w:val="BodyText"/>
        <w:spacing w:before="1"/>
        <w:rPr>
          <w:sz w:val="26"/>
        </w:rPr>
      </w:pPr>
    </w:p>
    <w:p>
      <w:pPr>
        <w:pStyle w:val="BodyText"/>
        <w:spacing w:line="285" w:lineRule="auto"/>
        <w:ind w:left="110" w:right="107"/>
        <w:jc w:val="both"/>
      </w:pPr>
      <w:r>
        <w:rPr>
          <w:color w:val="231F20"/>
          <w:w w:val="105"/>
        </w:rPr>
        <w:t>Diversas instancias de la estructura municipal fueron orientadas a la atención </w:t>
      </w:r>
      <w:r>
        <w:rPr>
          <w:color w:val="231F20"/>
          <w:spacing w:val="-2"/>
          <w:w w:val="105"/>
        </w:rPr>
        <w:t>empre- </w:t>
      </w:r>
      <w:r>
        <w:rPr>
          <w:color w:val="231F20"/>
          <w:w w:val="105"/>
        </w:rPr>
        <w:t>sarial, contando con instancias especiales de asesoramiento para su funcionamiento (Centro de Atención Empresarial), así como otras dedicadas a la implementación de procesos</w:t>
      </w:r>
      <w:r>
        <w:rPr>
          <w:color w:val="231F20"/>
          <w:spacing w:val="-5"/>
          <w:w w:val="105"/>
        </w:rPr>
        <w:t> </w:t>
      </w:r>
      <w:r>
        <w:rPr>
          <w:color w:val="231F20"/>
          <w:w w:val="105"/>
        </w:rPr>
        <w:t>rápidos</w:t>
      </w:r>
      <w:r>
        <w:rPr>
          <w:color w:val="231F20"/>
          <w:spacing w:val="-5"/>
          <w:w w:val="105"/>
        </w:rPr>
        <w:t> </w:t>
      </w:r>
      <w:r>
        <w:rPr>
          <w:color w:val="231F20"/>
          <w:w w:val="105"/>
        </w:rPr>
        <w:t>de</w:t>
      </w:r>
      <w:r>
        <w:rPr>
          <w:color w:val="231F20"/>
          <w:spacing w:val="-5"/>
          <w:w w:val="105"/>
        </w:rPr>
        <w:t> </w:t>
      </w:r>
      <w:r>
        <w:rPr>
          <w:color w:val="231F20"/>
          <w:w w:val="105"/>
        </w:rPr>
        <w:t>apertura</w:t>
      </w:r>
      <w:r>
        <w:rPr>
          <w:color w:val="231F20"/>
          <w:spacing w:val="-5"/>
          <w:w w:val="105"/>
        </w:rPr>
        <w:t> </w:t>
      </w:r>
      <w:r>
        <w:rPr>
          <w:color w:val="231F20"/>
          <w:w w:val="105"/>
        </w:rPr>
        <w:t>de</w:t>
      </w:r>
      <w:r>
        <w:rPr>
          <w:color w:val="231F20"/>
          <w:spacing w:val="-5"/>
          <w:w w:val="105"/>
        </w:rPr>
        <w:t> </w:t>
      </w:r>
      <w:r>
        <w:rPr>
          <w:color w:val="231F20"/>
          <w:w w:val="105"/>
        </w:rPr>
        <w:t>empresas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localidad</w:t>
      </w:r>
      <w:r>
        <w:rPr>
          <w:color w:val="231F20"/>
          <w:spacing w:val="-5"/>
          <w:w w:val="105"/>
        </w:rPr>
        <w:t> </w:t>
      </w:r>
      <w:r>
        <w:rPr>
          <w:color w:val="231F20"/>
          <w:w w:val="105"/>
        </w:rPr>
        <w:t>(Sistema</w:t>
      </w:r>
      <w:r>
        <w:rPr>
          <w:color w:val="231F20"/>
          <w:spacing w:val="-5"/>
          <w:w w:val="105"/>
        </w:rPr>
        <w:t> </w:t>
      </w:r>
      <w:r>
        <w:rPr>
          <w:color w:val="231F20"/>
          <w:w w:val="105"/>
        </w:rPr>
        <w:t>de</w:t>
      </w:r>
      <w:r>
        <w:rPr>
          <w:color w:val="231F20"/>
          <w:spacing w:val="-5"/>
          <w:w w:val="105"/>
        </w:rPr>
        <w:t> </w:t>
      </w:r>
      <w:r>
        <w:rPr>
          <w:color w:val="231F20"/>
          <w:w w:val="105"/>
        </w:rPr>
        <w:t>Apertura</w:t>
      </w:r>
      <w:r>
        <w:rPr>
          <w:color w:val="231F20"/>
          <w:spacing w:val="-5"/>
          <w:w w:val="105"/>
        </w:rPr>
        <w:t> </w:t>
      </w:r>
      <w:r>
        <w:rPr>
          <w:color w:val="231F20"/>
          <w:w w:val="105"/>
        </w:rPr>
        <w:t>Rápida de </w:t>
      </w:r>
      <w:r>
        <w:rPr>
          <w:color w:val="231F20"/>
          <w:spacing w:val="-3"/>
          <w:w w:val="105"/>
        </w:rPr>
        <w:t>Empresas). </w:t>
      </w:r>
      <w:r>
        <w:rPr>
          <w:color w:val="231F20"/>
          <w:w w:val="105"/>
        </w:rPr>
        <w:t>Además, la opinión del sector empresarial </w:t>
      </w:r>
      <w:r>
        <w:rPr>
          <w:color w:val="231F20"/>
          <w:spacing w:val="-3"/>
          <w:w w:val="105"/>
        </w:rPr>
        <w:t>siempre </w:t>
      </w:r>
      <w:r>
        <w:rPr>
          <w:color w:val="231F20"/>
          <w:w w:val="105"/>
        </w:rPr>
        <w:t>se tomó en cuenta para</w:t>
      </w:r>
      <w:r>
        <w:rPr>
          <w:color w:val="231F20"/>
          <w:spacing w:val="-5"/>
          <w:w w:val="105"/>
        </w:rPr>
        <w:t> </w:t>
      </w:r>
      <w:r>
        <w:rPr>
          <w:color w:val="231F20"/>
          <w:w w:val="105"/>
        </w:rPr>
        <w:t>la</w:t>
      </w:r>
      <w:r>
        <w:rPr>
          <w:color w:val="231F20"/>
          <w:spacing w:val="-5"/>
          <w:w w:val="105"/>
        </w:rPr>
        <w:t> </w:t>
      </w:r>
      <w:r>
        <w:rPr>
          <w:color w:val="231F20"/>
          <w:w w:val="105"/>
        </w:rPr>
        <w:t>instrumentación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planes</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municipales</w:t>
      </w:r>
      <w:r>
        <w:rPr>
          <w:color w:val="231F20"/>
          <w:spacing w:val="-5"/>
          <w:w w:val="105"/>
        </w:rPr>
        <w:t> </w:t>
      </w:r>
      <w:r>
        <w:rPr>
          <w:color w:val="231F20"/>
          <w:spacing w:val="-7"/>
          <w:w w:val="105"/>
        </w:rPr>
        <w:t>y,</w:t>
      </w:r>
      <w:r>
        <w:rPr>
          <w:color w:val="231F20"/>
          <w:spacing w:val="-5"/>
          <w:w w:val="105"/>
        </w:rPr>
        <w:t> </w:t>
      </w:r>
      <w:r>
        <w:rPr>
          <w:color w:val="231F20"/>
          <w:w w:val="105"/>
        </w:rPr>
        <w:t>por</w:t>
      </w:r>
      <w:r>
        <w:rPr>
          <w:color w:val="231F20"/>
          <w:spacing w:val="-5"/>
          <w:w w:val="105"/>
        </w:rPr>
        <w:t> </w:t>
      </w:r>
      <w:r>
        <w:rPr>
          <w:color w:val="231F20"/>
          <w:w w:val="105"/>
        </w:rPr>
        <w:t>tanto,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po- líticas</w:t>
      </w:r>
      <w:r>
        <w:rPr>
          <w:color w:val="231F20"/>
          <w:spacing w:val="-18"/>
          <w:w w:val="105"/>
        </w:rPr>
        <w:t> </w:t>
      </w:r>
      <w:r>
        <w:rPr>
          <w:color w:val="231F20"/>
          <w:w w:val="105"/>
        </w:rPr>
        <w:t>a</w:t>
      </w:r>
      <w:r>
        <w:rPr>
          <w:color w:val="231F20"/>
          <w:spacing w:val="-18"/>
          <w:w w:val="105"/>
        </w:rPr>
        <w:t> </w:t>
      </w:r>
      <w:r>
        <w:rPr>
          <w:color w:val="231F20"/>
          <w:w w:val="105"/>
        </w:rPr>
        <w:t>seguir</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localidad.</w:t>
      </w:r>
    </w:p>
    <w:p>
      <w:pPr>
        <w:pStyle w:val="BodyText"/>
        <w:spacing w:before="1"/>
        <w:rPr>
          <w:sz w:val="26"/>
        </w:rPr>
      </w:pPr>
    </w:p>
    <w:p>
      <w:pPr>
        <w:pStyle w:val="BodyText"/>
        <w:spacing w:line="285" w:lineRule="auto"/>
        <w:ind w:left="110" w:right="108"/>
        <w:jc w:val="both"/>
      </w:pPr>
      <w:r>
        <w:rPr>
          <w:color w:val="231F20"/>
          <w:w w:val="105"/>
        </w:rPr>
        <w:t>Esto</w:t>
      </w:r>
      <w:r>
        <w:rPr>
          <w:color w:val="231F20"/>
          <w:spacing w:val="-9"/>
          <w:w w:val="105"/>
        </w:rPr>
        <w:t> </w:t>
      </w:r>
      <w:r>
        <w:rPr>
          <w:color w:val="231F20"/>
          <w:w w:val="105"/>
        </w:rPr>
        <w:t>evidentemente</w:t>
      </w:r>
      <w:r>
        <w:rPr>
          <w:color w:val="231F20"/>
          <w:spacing w:val="-9"/>
          <w:w w:val="105"/>
        </w:rPr>
        <w:t> </w:t>
      </w:r>
      <w:r>
        <w:rPr>
          <w:color w:val="231F20"/>
          <w:w w:val="105"/>
        </w:rPr>
        <w:t>tiene</w:t>
      </w:r>
      <w:r>
        <w:rPr>
          <w:color w:val="231F20"/>
          <w:spacing w:val="-9"/>
          <w:w w:val="105"/>
        </w:rPr>
        <w:t> </w:t>
      </w:r>
      <w:r>
        <w:rPr>
          <w:color w:val="231F20"/>
          <w:w w:val="105"/>
        </w:rPr>
        <w:t>que</w:t>
      </w:r>
      <w:r>
        <w:rPr>
          <w:color w:val="231F20"/>
          <w:spacing w:val="-9"/>
          <w:w w:val="105"/>
        </w:rPr>
        <w:t> </w:t>
      </w:r>
      <w:r>
        <w:rPr>
          <w:color w:val="231F20"/>
          <w:w w:val="105"/>
        </w:rPr>
        <w:t>ver</w:t>
      </w:r>
      <w:r>
        <w:rPr>
          <w:color w:val="231F20"/>
          <w:spacing w:val="-9"/>
          <w:w w:val="105"/>
        </w:rPr>
        <w:t> </w:t>
      </w:r>
      <w:r>
        <w:rPr>
          <w:color w:val="231F20"/>
          <w:w w:val="105"/>
        </w:rPr>
        <w:t>con</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23%</w:t>
      </w:r>
      <w:r>
        <w:rPr>
          <w:color w:val="231F20"/>
          <w:spacing w:val="-9"/>
          <w:w w:val="105"/>
        </w:rPr>
        <w:t> </w:t>
      </w:r>
      <w:r>
        <w:rPr>
          <w:color w:val="231F20"/>
          <w:w w:val="105"/>
        </w:rPr>
        <w:t>del</w:t>
      </w:r>
      <w:r>
        <w:rPr>
          <w:color w:val="231F20"/>
          <w:spacing w:val="-9"/>
          <w:w w:val="105"/>
        </w:rPr>
        <w:t> </w:t>
      </w:r>
      <w:r>
        <w:rPr>
          <w:color w:val="231F20"/>
          <w:w w:val="105"/>
        </w:rPr>
        <w:t>PIB</w:t>
      </w:r>
      <w:r>
        <w:rPr>
          <w:color w:val="231F20"/>
          <w:spacing w:val="-9"/>
          <w:w w:val="105"/>
        </w:rPr>
        <w:t> </w:t>
      </w:r>
      <w:r>
        <w:rPr>
          <w:color w:val="231F20"/>
          <w:w w:val="105"/>
        </w:rPr>
        <w:t>municipal</w:t>
      </w:r>
      <w:r>
        <w:rPr>
          <w:color w:val="231F20"/>
          <w:spacing w:val="-9"/>
          <w:w w:val="105"/>
        </w:rPr>
        <w:t> </w:t>
      </w:r>
      <w:r>
        <w:rPr>
          <w:color w:val="231F20"/>
          <w:w w:val="105"/>
        </w:rPr>
        <w:t>lo</w:t>
      </w:r>
      <w:r>
        <w:rPr>
          <w:color w:val="231F20"/>
          <w:spacing w:val="-9"/>
          <w:w w:val="105"/>
        </w:rPr>
        <w:t> </w:t>
      </w:r>
      <w:r>
        <w:rPr>
          <w:color w:val="231F20"/>
          <w:w w:val="105"/>
        </w:rPr>
        <w:t>aporta</w:t>
      </w:r>
      <w:r>
        <w:rPr>
          <w:color w:val="231F20"/>
          <w:spacing w:val="-9"/>
          <w:w w:val="105"/>
        </w:rPr>
        <w:t> </w:t>
      </w:r>
      <w:r>
        <w:rPr>
          <w:color w:val="231F20"/>
          <w:w w:val="105"/>
        </w:rPr>
        <w:t>la</w:t>
      </w:r>
      <w:r>
        <w:rPr>
          <w:color w:val="231F20"/>
          <w:spacing w:val="-9"/>
          <w:w w:val="105"/>
        </w:rPr>
        <w:t> </w:t>
      </w:r>
      <w:r>
        <w:rPr>
          <w:color w:val="231F20"/>
          <w:w w:val="105"/>
        </w:rPr>
        <w:t>activi- dad</w:t>
      </w:r>
      <w:r>
        <w:rPr>
          <w:color w:val="231F20"/>
          <w:spacing w:val="-14"/>
          <w:w w:val="105"/>
        </w:rPr>
        <w:t> </w:t>
      </w:r>
      <w:r>
        <w:rPr>
          <w:color w:val="231F20"/>
          <w:w w:val="105"/>
        </w:rPr>
        <w:t>comercial,</w:t>
      </w:r>
      <w:r>
        <w:rPr>
          <w:color w:val="231F20"/>
          <w:spacing w:val="-14"/>
          <w:w w:val="105"/>
        </w:rPr>
        <w:t> </w:t>
      </w:r>
      <w:r>
        <w:rPr>
          <w:color w:val="231F20"/>
          <w:w w:val="105"/>
        </w:rPr>
        <w:t>de</w:t>
      </w:r>
      <w:r>
        <w:rPr>
          <w:color w:val="231F20"/>
          <w:spacing w:val="-14"/>
          <w:w w:val="105"/>
        </w:rPr>
        <w:t> </w:t>
      </w:r>
      <w:r>
        <w:rPr>
          <w:color w:val="231F20"/>
          <w:spacing w:val="2"/>
          <w:w w:val="105"/>
        </w:rPr>
        <w:t>ahí</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gestiones</w:t>
      </w:r>
      <w:r>
        <w:rPr>
          <w:color w:val="231F20"/>
          <w:spacing w:val="-14"/>
          <w:w w:val="105"/>
        </w:rPr>
        <w:t> </w:t>
      </w:r>
      <w:r>
        <w:rPr>
          <w:color w:val="231F20"/>
          <w:w w:val="105"/>
        </w:rPr>
        <w:t>panistas</w:t>
      </w:r>
      <w:r>
        <w:rPr>
          <w:color w:val="231F20"/>
          <w:spacing w:val="-14"/>
          <w:w w:val="105"/>
        </w:rPr>
        <w:t> </w:t>
      </w:r>
      <w:r>
        <w:rPr>
          <w:color w:val="231F20"/>
          <w:w w:val="105"/>
        </w:rPr>
        <w:t>hayan</w:t>
      </w:r>
      <w:r>
        <w:rPr>
          <w:color w:val="231F20"/>
          <w:spacing w:val="-14"/>
          <w:w w:val="105"/>
        </w:rPr>
        <w:t> </w:t>
      </w:r>
      <w:r>
        <w:rPr>
          <w:color w:val="231F20"/>
          <w:w w:val="105"/>
        </w:rPr>
        <w:t>dado</w:t>
      </w:r>
      <w:r>
        <w:rPr>
          <w:color w:val="231F20"/>
          <w:spacing w:val="-14"/>
          <w:w w:val="105"/>
        </w:rPr>
        <w:t> </w:t>
      </w:r>
      <w:r>
        <w:rPr>
          <w:color w:val="231F20"/>
          <w:w w:val="105"/>
        </w:rPr>
        <w:t>un</w:t>
      </w:r>
      <w:r>
        <w:rPr>
          <w:color w:val="231F20"/>
          <w:spacing w:val="-14"/>
          <w:w w:val="105"/>
        </w:rPr>
        <w:t> </w:t>
      </w:r>
      <w:r>
        <w:rPr>
          <w:color w:val="231F20"/>
          <w:w w:val="105"/>
        </w:rPr>
        <w:t>lugar</w:t>
      </w:r>
      <w:r>
        <w:rPr>
          <w:color w:val="231F20"/>
          <w:spacing w:val="-14"/>
          <w:w w:val="105"/>
        </w:rPr>
        <w:t> </w:t>
      </w:r>
      <w:r>
        <w:rPr>
          <w:color w:val="231F20"/>
          <w:w w:val="105"/>
        </w:rPr>
        <w:t>muy</w:t>
      </w:r>
      <w:r>
        <w:rPr>
          <w:color w:val="231F20"/>
          <w:spacing w:val="-14"/>
          <w:w w:val="105"/>
        </w:rPr>
        <w:t> </w:t>
      </w:r>
      <w:r>
        <w:rPr>
          <w:color w:val="231F20"/>
          <w:w w:val="105"/>
        </w:rPr>
        <w:t>importante</w:t>
      </w:r>
      <w:r>
        <w:rPr>
          <w:color w:val="231F20"/>
          <w:spacing w:val="-14"/>
          <w:w w:val="105"/>
        </w:rPr>
        <w:t> </w:t>
      </w:r>
      <w:r>
        <w:rPr>
          <w:color w:val="231F20"/>
          <w:spacing w:val="2"/>
          <w:w w:val="105"/>
        </w:rPr>
        <w:t>al </w:t>
      </w:r>
      <w:r>
        <w:rPr>
          <w:color w:val="231F20"/>
          <w:w w:val="105"/>
        </w:rPr>
        <w:t>sector</w:t>
      </w:r>
      <w:r>
        <w:rPr>
          <w:color w:val="231F20"/>
          <w:spacing w:val="-7"/>
          <w:w w:val="105"/>
        </w:rPr>
        <w:t> </w:t>
      </w:r>
      <w:r>
        <w:rPr>
          <w:color w:val="231F20"/>
          <w:w w:val="105"/>
        </w:rPr>
        <w:t>empresarial.</w:t>
      </w:r>
      <w:r>
        <w:rPr>
          <w:color w:val="231F20"/>
          <w:spacing w:val="-7"/>
          <w:w w:val="105"/>
        </w:rPr>
        <w:t> </w:t>
      </w:r>
      <w:r>
        <w:rPr>
          <w:color w:val="231F20"/>
          <w:w w:val="105"/>
        </w:rPr>
        <w:t>Ahora</w:t>
      </w:r>
      <w:r>
        <w:rPr>
          <w:color w:val="231F20"/>
          <w:spacing w:val="-7"/>
          <w:w w:val="105"/>
        </w:rPr>
        <w:t> </w:t>
      </w:r>
      <w:r>
        <w:rPr>
          <w:color w:val="231F20"/>
          <w:w w:val="105"/>
        </w:rPr>
        <w:t>bien,</w:t>
      </w:r>
      <w:r>
        <w:rPr>
          <w:color w:val="231F20"/>
          <w:spacing w:val="-7"/>
          <w:w w:val="105"/>
        </w:rPr>
        <w:t> </w:t>
      </w:r>
      <w:r>
        <w:rPr>
          <w:color w:val="231F20"/>
          <w:w w:val="105"/>
        </w:rPr>
        <w:t>aun</w:t>
      </w:r>
      <w:r>
        <w:rPr>
          <w:color w:val="231F20"/>
          <w:spacing w:val="-7"/>
          <w:w w:val="105"/>
        </w:rPr>
        <w:t> </w:t>
      </w:r>
      <w:r>
        <w:rPr>
          <w:color w:val="231F20"/>
          <w:w w:val="105"/>
        </w:rPr>
        <w:t>así,</w:t>
      </w:r>
      <w:r>
        <w:rPr>
          <w:color w:val="231F20"/>
          <w:spacing w:val="-7"/>
          <w:w w:val="105"/>
        </w:rPr>
        <w:t> </w:t>
      </w:r>
      <w:r>
        <w:rPr>
          <w:color w:val="231F20"/>
          <w:w w:val="105"/>
        </w:rPr>
        <w:t>no</w:t>
      </w:r>
      <w:r>
        <w:rPr>
          <w:color w:val="231F20"/>
          <w:spacing w:val="-7"/>
          <w:w w:val="105"/>
        </w:rPr>
        <w:t> </w:t>
      </w:r>
      <w:r>
        <w:rPr>
          <w:color w:val="231F20"/>
          <w:w w:val="105"/>
        </w:rPr>
        <w:t>debiera</w:t>
      </w:r>
      <w:r>
        <w:rPr>
          <w:color w:val="231F20"/>
          <w:spacing w:val="-7"/>
          <w:w w:val="105"/>
        </w:rPr>
        <w:t> </w:t>
      </w:r>
      <w:r>
        <w:rPr>
          <w:color w:val="231F20"/>
          <w:w w:val="105"/>
        </w:rPr>
        <w:t>ser</w:t>
      </w:r>
      <w:r>
        <w:rPr>
          <w:color w:val="231F20"/>
          <w:spacing w:val="-7"/>
          <w:w w:val="105"/>
        </w:rPr>
        <w:t> </w:t>
      </w:r>
      <w:r>
        <w:rPr>
          <w:color w:val="231F20"/>
          <w:w w:val="105"/>
        </w:rPr>
        <w:t>esta</w:t>
      </w:r>
      <w:r>
        <w:rPr>
          <w:color w:val="231F20"/>
          <w:spacing w:val="-7"/>
          <w:w w:val="105"/>
        </w:rPr>
        <w:t> </w:t>
      </w:r>
      <w:r>
        <w:rPr>
          <w:color w:val="231F20"/>
          <w:w w:val="105"/>
        </w:rPr>
        <w:t>la</w:t>
      </w:r>
      <w:r>
        <w:rPr>
          <w:color w:val="231F20"/>
          <w:spacing w:val="-7"/>
          <w:w w:val="105"/>
        </w:rPr>
        <w:t> </w:t>
      </w:r>
      <w:r>
        <w:rPr>
          <w:color w:val="231F20"/>
          <w:w w:val="105"/>
        </w:rPr>
        <w:t>justificación</w:t>
      </w:r>
      <w:r>
        <w:rPr>
          <w:color w:val="231F20"/>
          <w:spacing w:val="-7"/>
          <w:w w:val="105"/>
        </w:rPr>
        <w:t> </w:t>
      </w:r>
      <w:r>
        <w:rPr>
          <w:color w:val="231F20"/>
          <w:w w:val="105"/>
        </w:rPr>
        <w:t>para</w:t>
      </w:r>
      <w:r>
        <w:rPr>
          <w:color w:val="231F20"/>
          <w:spacing w:val="-7"/>
          <w:w w:val="105"/>
        </w:rPr>
        <w:t> </w:t>
      </w:r>
      <w:r>
        <w:rPr>
          <w:color w:val="231F20"/>
          <w:w w:val="105"/>
        </w:rPr>
        <w:t>dejarle un</w:t>
      </w:r>
      <w:r>
        <w:rPr>
          <w:color w:val="231F20"/>
          <w:spacing w:val="-12"/>
          <w:w w:val="105"/>
        </w:rPr>
        <w:t> </w:t>
      </w:r>
      <w:r>
        <w:rPr>
          <w:color w:val="231F20"/>
          <w:w w:val="105"/>
        </w:rPr>
        <w:t>segundo</w:t>
      </w:r>
      <w:r>
        <w:rPr>
          <w:color w:val="231F20"/>
          <w:spacing w:val="-12"/>
          <w:w w:val="105"/>
        </w:rPr>
        <w:t> </w:t>
      </w:r>
      <w:r>
        <w:rPr>
          <w:color w:val="231F20"/>
          <w:w w:val="105"/>
        </w:rPr>
        <w:t>lugar</w:t>
      </w:r>
      <w:r>
        <w:rPr>
          <w:color w:val="231F20"/>
          <w:spacing w:val="-12"/>
          <w:w w:val="105"/>
        </w:rPr>
        <w:t> </w:t>
      </w:r>
      <w:r>
        <w:rPr>
          <w:color w:val="231F20"/>
          <w:w w:val="105"/>
        </w:rPr>
        <w:t>de</w:t>
      </w:r>
      <w:r>
        <w:rPr>
          <w:color w:val="231F20"/>
          <w:spacing w:val="-12"/>
          <w:w w:val="105"/>
        </w:rPr>
        <w:t> </w:t>
      </w:r>
      <w:r>
        <w:rPr>
          <w:color w:val="231F20"/>
          <w:w w:val="105"/>
        </w:rPr>
        <w:t>prioridad,</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ciudadanía</w:t>
      </w:r>
      <w:r>
        <w:rPr>
          <w:color w:val="231F20"/>
          <w:spacing w:val="-12"/>
          <w:w w:val="105"/>
        </w:rPr>
        <w:t> </w:t>
      </w:r>
      <w:r>
        <w:rPr>
          <w:color w:val="231F20"/>
          <w:w w:val="105"/>
        </w:rPr>
        <w:t>más</w:t>
      </w:r>
      <w:r>
        <w:rPr>
          <w:color w:val="231F20"/>
          <w:spacing w:val="-12"/>
          <w:w w:val="105"/>
        </w:rPr>
        <w:t> </w:t>
      </w:r>
      <w:r>
        <w:rPr>
          <w:color w:val="231F20"/>
          <w:w w:val="105"/>
        </w:rPr>
        <w:t>vulnerable.</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0"/>
          <w:w w:val="105"/>
        </w:rPr>
        <w:t> </w:t>
      </w:r>
      <w:r>
        <w:rPr>
          <w:color w:val="231F20"/>
          <w:w w:val="105"/>
        </w:rPr>
        <w:t>argumento</w:t>
      </w:r>
      <w:r>
        <w:rPr>
          <w:color w:val="231F20"/>
          <w:spacing w:val="-10"/>
          <w:w w:val="105"/>
        </w:rPr>
        <w:t> </w:t>
      </w:r>
      <w:r>
        <w:rPr>
          <w:color w:val="231F20"/>
          <w:w w:val="105"/>
        </w:rPr>
        <w:t>de</w:t>
      </w:r>
      <w:r>
        <w:rPr>
          <w:color w:val="231F20"/>
          <w:spacing w:val="-10"/>
          <w:w w:val="105"/>
        </w:rPr>
        <w:t> </w:t>
      </w:r>
      <w:r>
        <w:rPr>
          <w:color w:val="231F20"/>
          <w:w w:val="105"/>
        </w:rPr>
        <w:t>por</w:t>
      </w:r>
      <w:r>
        <w:rPr>
          <w:color w:val="231F20"/>
          <w:spacing w:val="-10"/>
          <w:w w:val="105"/>
        </w:rPr>
        <w:t> </w:t>
      </w:r>
      <w:r>
        <w:rPr>
          <w:color w:val="231F20"/>
          <w:w w:val="105"/>
        </w:rPr>
        <w:t>qué</w:t>
      </w:r>
      <w:r>
        <w:rPr>
          <w:color w:val="231F20"/>
          <w:spacing w:val="-10"/>
          <w:w w:val="105"/>
        </w:rPr>
        <w:t> </w:t>
      </w:r>
      <w:r>
        <w:rPr>
          <w:color w:val="231F20"/>
          <w:w w:val="105"/>
        </w:rPr>
        <w:t>se</w:t>
      </w:r>
      <w:r>
        <w:rPr>
          <w:color w:val="231F20"/>
          <w:spacing w:val="-10"/>
          <w:w w:val="105"/>
        </w:rPr>
        <w:t> </w:t>
      </w:r>
      <w:r>
        <w:rPr>
          <w:color w:val="231F20"/>
          <w:w w:val="105"/>
        </w:rPr>
        <w:t>invierte</w:t>
      </w:r>
      <w:r>
        <w:rPr>
          <w:color w:val="231F20"/>
          <w:spacing w:val="-10"/>
          <w:w w:val="105"/>
        </w:rPr>
        <w:t> </w:t>
      </w:r>
      <w:r>
        <w:rPr>
          <w:color w:val="231F20"/>
          <w:w w:val="105"/>
        </w:rPr>
        <w:t>más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zona</w:t>
      </w:r>
      <w:r>
        <w:rPr>
          <w:color w:val="231F20"/>
          <w:spacing w:val="-10"/>
          <w:w w:val="105"/>
        </w:rPr>
        <w:t> </w:t>
      </w:r>
      <w:r>
        <w:rPr>
          <w:color w:val="231F20"/>
          <w:w w:val="105"/>
        </w:rPr>
        <w:t>poniente</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oriente</w:t>
      </w:r>
      <w:r>
        <w:rPr>
          <w:color w:val="231F20"/>
          <w:spacing w:val="-10"/>
          <w:w w:val="105"/>
        </w:rPr>
        <w:t> </w:t>
      </w:r>
      <w:r>
        <w:rPr>
          <w:color w:val="231F20"/>
          <w:w w:val="105"/>
        </w:rPr>
        <w:t>en</w:t>
      </w:r>
      <w:r>
        <w:rPr>
          <w:color w:val="231F20"/>
          <w:spacing w:val="-9"/>
          <w:w w:val="105"/>
        </w:rPr>
        <w:t> </w:t>
      </w:r>
      <w:r>
        <w:rPr>
          <w:color w:val="231F20"/>
          <w:spacing w:val="2"/>
          <w:w w:val="105"/>
        </w:rPr>
        <w:t>virtud </w:t>
      </w:r>
      <w:r>
        <w:rPr>
          <w:color w:val="231F20"/>
          <w:w w:val="105"/>
        </w:rPr>
        <w:t>de</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aportan</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economía</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es</w:t>
      </w:r>
      <w:r>
        <w:rPr>
          <w:color w:val="231F20"/>
          <w:spacing w:val="-18"/>
          <w:w w:val="105"/>
        </w:rPr>
        <w:t> </w:t>
      </w:r>
      <w:r>
        <w:rPr>
          <w:color w:val="231F20"/>
          <w:w w:val="105"/>
        </w:rPr>
        <w:t>poco</w:t>
      </w:r>
      <w:r>
        <w:rPr>
          <w:color w:val="231F20"/>
          <w:spacing w:val="-18"/>
          <w:w w:val="105"/>
        </w:rPr>
        <w:t> </w:t>
      </w:r>
      <w:r>
        <w:rPr>
          <w:color w:val="231F20"/>
          <w:w w:val="105"/>
        </w:rPr>
        <w:t>atinado.</w:t>
      </w:r>
      <w:r>
        <w:rPr>
          <w:color w:val="231F20"/>
          <w:spacing w:val="-18"/>
          <w:w w:val="105"/>
        </w:rPr>
        <w:t> </w:t>
      </w:r>
      <w:r>
        <w:rPr>
          <w:color w:val="231F20"/>
          <w:w w:val="105"/>
        </w:rPr>
        <w:t>El</w:t>
      </w:r>
      <w:r>
        <w:rPr>
          <w:color w:val="231F20"/>
          <w:spacing w:val="-18"/>
          <w:w w:val="105"/>
        </w:rPr>
        <w:t> </w:t>
      </w:r>
      <w:r>
        <w:rPr>
          <w:color w:val="231F20"/>
          <w:w w:val="105"/>
        </w:rPr>
        <w:t>gobierno</w:t>
      </w:r>
      <w:r>
        <w:rPr>
          <w:color w:val="231F20"/>
          <w:spacing w:val="-18"/>
          <w:w w:val="105"/>
        </w:rPr>
        <w:t> </w:t>
      </w:r>
      <w:r>
        <w:rPr>
          <w:color w:val="231F20"/>
          <w:w w:val="105"/>
        </w:rPr>
        <w:t>ha</w:t>
      </w:r>
      <w:r>
        <w:rPr>
          <w:color w:val="231F20"/>
          <w:spacing w:val="-18"/>
          <w:w w:val="105"/>
        </w:rPr>
        <w:t> </w:t>
      </w:r>
      <w:r>
        <w:rPr>
          <w:color w:val="231F20"/>
          <w:w w:val="105"/>
        </w:rPr>
        <w:t>sido</w:t>
      </w:r>
      <w:r>
        <w:rPr>
          <w:color w:val="231F20"/>
          <w:spacing w:val="-18"/>
          <w:w w:val="105"/>
        </w:rPr>
        <w:t> </w:t>
      </w:r>
      <w:r>
        <w:rPr>
          <w:color w:val="231F20"/>
          <w:w w:val="105"/>
        </w:rPr>
        <w:t>elec- to por la mayoría de los habitantes, incluyendo cierto número de habitantes de la</w:t>
      </w:r>
      <w:r>
        <w:rPr>
          <w:color w:val="231F20"/>
          <w:spacing w:val="-35"/>
          <w:w w:val="105"/>
        </w:rPr>
        <w:t> </w:t>
      </w:r>
      <w:r>
        <w:rPr>
          <w:color w:val="231F20"/>
          <w:w w:val="105"/>
        </w:rPr>
        <w:t>zona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oriente,</w:t>
      </w:r>
      <w:r>
        <w:rPr>
          <w:color w:val="231F20"/>
          <w:spacing w:val="-9"/>
          <w:w w:val="105"/>
        </w:rPr>
        <w:t> </w:t>
      </w:r>
      <w:r>
        <w:rPr>
          <w:color w:val="231F20"/>
          <w:w w:val="105"/>
        </w:rPr>
        <w:t>por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encuentra</w:t>
      </w:r>
      <w:r>
        <w:rPr>
          <w:color w:val="231F20"/>
          <w:spacing w:val="-9"/>
          <w:w w:val="105"/>
        </w:rPr>
        <w:t> </w:t>
      </w:r>
      <w:r>
        <w:rPr>
          <w:color w:val="231F20"/>
          <w:w w:val="105"/>
        </w:rPr>
        <w:t>obligado</w:t>
      </w:r>
      <w:r>
        <w:rPr>
          <w:color w:val="231F20"/>
          <w:spacing w:val="-9"/>
          <w:w w:val="105"/>
        </w:rPr>
        <w:t> </w:t>
      </w:r>
      <w:r>
        <w:rPr>
          <w:color w:val="231F20"/>
          <w:w w:val="105"/>
        </w:rPr>
        <w:t>a</w:t>
      </w:r>
      <w:r>
        <w:rPr>
          <w:color w:val="231F20"/>
          <w:spacing w:val="-9"/>
          <w:w w:val="105"/>
        </w:rPr>
        <w:t> </w:t>
      </w:r>
      <w:r>
        <w:rPr>
          <w:color w:val="231F20"/>
          <w:w w:val="105"/>
        </w:rPr>
        <w:t>atender</w:t>
      </w:r>
      <w:r>
        <w:rPr>
          <w:color w:val="231F20"/>
          <w:spacing w:val="-9"/>
          <w:w w:val="105"/>
        </w:rPr>
        <w:t> </w:t>
      </w:r>
      <w:r>
        <w:rPr>
          <w:color w:val="231F20"/>
          <w:w w:val="105"/>
        </w:rPr>
        <w:t>y</w:t>
      </w:r>
      <w:r>
        <w:rPr>
          <w:color w:val="231F20"/>
          <w:spacing w:val="-9"/>
          <w:w w:val="105"/>
        </w:rPr>
        <w:t> </w:t>
      </w:r>
      <w:r>
        <w:rPr>
          <w:color w:val="231F20"/>
          <w:w w:val="105"/>
        </w:rPr>
        <w:t>resolver</w:t>
      </w:r>
      <w:r>
        <w:rPr>
          <w:color w:val="231F20"/>
          <w:spacing w:val="-9"/>
          <w:w w:val="105"/>
        </w:rPr>
        <w:t> </w:t>
      </w:r>
      <w:r>
        <w:rPr>
          <w:color w:val="231F20"/>
          <w:w w:val="105"/>
        </w:rPr>
        <w:t>las</w:t>
      </w:r>
      <w:r>
        <w:rPr>
          <w:color w:val="231F20"/>
          <w:spacing w:val="-9"/>
          <w:w w:val="105"/>
        </w:rPr>
        <w:t> </w:t>
      </w:r>
      <w:r>
        <w:rPr>
          <w:color w:val="231F20"/>
          <w:w w:val="105"/>
        </w:rPr>
        <w:t>necesidades</w:t>
      </w:r>
      <w:r>
        <w:rPr>
          <w:color w:val="231F20"/>
          <w:spacing w:val="-9"/>
          <w:w w:val="105"/>
        </w:rPr>
        <w:t> </w:t>
      </w:r>
      <w:r>
        <w:rPr>
          <w:color w:val="231F20"/>
          <w:w w:val="105"/>
        </w:rPr>
        <w:t>y</w:t>
      </w:r>
      <w:r>
        <w:rPr>
          <w:color w:val="231F20"/>
          <w:spacing w:val="-9"/>
          <w:w w:val="105"/>
        </w:rPr>
        <w:t> </w:t>
      </w:r>
      <w:r>
        <w:rPr>
          <w:color w:val="231F20"/>
          <w:w w:val="105"/>
        </w:rPr>
        <w:t>deman- das</w:t>
      </w:r>
      <w:r>
        <w:rPr>
          <w:color w:val="231F20"/>
          <w:spacing w:val="-16"/>
          <w:w w:val="105"/>
        </w:rPr>
        <w:t> </w:t>
      </w:r>
      <w:r>
        <w:rPr>
          <w:color w:val="231F20"/>
          <w:w w:val="105"/>
        </w:rPr>
        <w:t>de</w:t>
      </w:r>
      <w:r>
        <w:rPr>
          <w:color w:val="231F20"/>
          <w:spacing w:val="-16"/>
          <w:w w:val="105"/>
        </w:rPr>
        <w:t> </w:t>
      </w:r>
      <w:r>
        <w:rPr>
          <w:color w:val="231F20"/>
          <w:w w:val="105"/>
        </w:rPr>
        <w:t>toda</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del</w:t>
      </w:r>
      <w:r>
        <w:rPr>
          <w:color w:val="231F20"/>
          <w:spacing w:val="-16"/>
          <w:w w:val="105"/>
        </w:rPr>
        <w:t> </w:t>
      </w:r>
      <w:r>
        <w:rPr>
          <w:color w:val="231F20"/>
          <w:w w:val="105"/>
        </w:rPr>
        <w:t>municipio.</w:t>
      </w:r>
    </w:p>
    <w:p>
      <w:pPr>
        <w:pStyle w:val="BodyText"/>
        <w:spacing w:before="1"/>
        <w:rPr>
          <w:sz w:val="26"/>
        </w:rPr>
      </w:pPr>
    </w:p>
    <w:p>
      <w:pPr>
        <w:pStyle w:val="BodyText"/>
        <w:spacing w:line="285" w:lineRule="auto"/>
        <w:ind w:left="110" w:right="108"/>
        <w:jc w:val="both"/>
      </w:pPr>
      <w:r>
        <w:rPr>
          <w:color w:val="231F20"/>
          <w:w w:val="105"/>
        </w:rPr>
        <w:t>La doctrina panista muestra gran preocupación por el desarrollo humano sustentable, cuestión</w:t>
      </w:r>
      <w:r>
        <w:rPr>
          <w:color w:val="231F20"/>
          <w:spacing w:val="-5"/>
          <w:w w:val="105"/>
        </w:rPr>
        <w:t> </w:t>
      </w:r>
      <w:r>
        <w:rPr>
          <w:color w:val="231F20"/>
          <w:w w:val="105"/>
        </w:rPr>
        <w:t>que</w:t>
      </w:r>
      <w:r>
        <w:rPr>
          <w:color w:val="231F20"/>
          <w:spacing w:val="-5"/>
          <w:w w:val="105"/>
        </w:rPr>
        <w:t> </w:t>
      </w:r>
      <w:r>
        <w:rPr>
          <w:color w:val="231F20"/>
          <w:w w:val="105"/>
        </w:rPr>
        <w:t>fue</w:t>
      </w:r>
      <w:r>
        <w:rPr>
          <w:color w:val="231F20"/>
          <w:spacing w:val="-5"/>
          <w:w w:val="105"/>
        </w:rPr>
        <w:t> </w:t>
      </w:r>
      <w:r>
        <w:rPr>
          <w:color w:val="231F20"/>
          <w:w w:val="105"/>
        </w:rPr>
        <w:t>poco</w:t>
      </w:r>
      <w:r>
        <w:rPr>
          <w:color w:val="231F20"/>
          <w:spacing w:val="-5"/>
          <w:w w:val="105"/>
        </w:rPr>
        <w:t> </w:t>
      </w:r>
      <w:r>
        <w:rPr>
          <w:color w:val="231F20"/>
          <w:w w:val="105"/>
        </w:rPr>
        <w:t>mostrada</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tres</w:t>
      </w:r>
      <w:r>
        <w:rPr>
          <w:color w:val="231F20"/>
          <w:spacing w:val="-5"/>
          <w:w w:val="105"/>
        </w:rPr>
        <w:t> </w:t>
      </w:r>
      <w:r>
        <w:rPr>
          <w:color w:val="231F20"/>
          <w:w w:val="105"/>
        </w:rPr>
        <w:t>gestiones</w:t>
      </w:r>
      <w:r>
        <w:rPr>
          <w:color w:val="231F20"/>
          <w:spacing w:val="-5"/>
          <w:w w:val="105"/>
        </w:rPr>
        <w:t> </w:t>
      </w:r>
      <w:r>
        <w:rPr>
          <w:color w:val="231F20"/>
          <w:w w:val="105"/>
        </w:rPr>
        <w:t>panistas.</w:t>
      </w:r>
      <w:r>
        <w:rPr>
          <w:color w:val="231F20"/>
          <w:spacing w:val="-5"/>
          <w:w w:val="105"/>
        </w:rPr>
        <w:t> </w:t>
      </w:r>
      <w:r>
        <w:rPr>
          <w:color w:val="231F20"/>
          <w:spacing w:val="-3"/>
          <w:w w:val="105"/>
        </w:rPr>
        <w:t>Por</w:t>
      </w:r>
      <w:r>
        <w:rPr>
          <w:color w:val="231F20"/>
          <w:spacing w:val="-5"/>
          <w:w w:val="105"/>
        </w:rPr>
        <w:t> </w:t>
      </w:r>
      <w:r>
        <w:rPr>
          <w:color w:val="231F20"/>
          <w:spacing w:val="-3"/>
          <w:w w:val="105"/>
        </w:rPr>
        <w:t>ejemplo,</w:t>
      </w:r>
      <w:r>
        <w:rPr>
          <w:color w:val="231F20"/>
          <w:spacing w:val="-5"/>
          <w:w w:val="105"/>
        </w:rPr>
        <w:t> </w:t>
      </w:r>
      <w:r>
        <w:rPr>
          <w:color w:val="231F20"/>
          <w:w w:val="105"/>
        </w:rPr>
        <w:t>la</w:t>
      </w:r>
      <w:r>
        <w:rPr>
          <w:color w:val="231F20"/>
          <w:spacing w:val="-5"/>
          <w:w w:val="105"/>
        </w:rPr>
        <w:t> </w:t>
      </w:r>
      <w:r>
        <w:rPr>
          <w:color w:val="231F20"/>
          <w:w w:val="105"/>
        </w:rPr>
        <w:t>Declara- ción</w:t>
      </w:r>
      <w:r>
        <w:rPr>
          <w:color w:val="231F20"/>
          <w:spacing w:val="-20"/>
          <w:w w:val="105"/>
        </w:rPr>
        <w:t> </w:t>
      </w:r>
      <w:r>
        <w:rPr>
          <w:color w:val="231F20"/>
          <w:w w:val="105"/>
        </w:rPr>
        <w:t>de</w:t>
      </w:r>
      <w:r>
        <w:rPr>
          <w:color w:val="231F20"/>
          <w:spacing w:val="-20"/>
          <w:w w:val="105"/>
        </w:rPr>
        <w:t> </w:t>
      </w:r>
      <w:r>
        <w:rPr>
          <w:color w:val="231F20"/>
          <w:w w:val="105"/>
        </w:rPr>
        <w:t>Principios</w:t>
      </w:r>
      <w:r>
        <w:rPr>
          <w:color w:val="231F20"/>
          <w:spacing w:val="-20"/>
          <w:w w:val="105"/>
        </w:rPr>
        <w:t> </w:t>
      </w:r>
      <w:r>
        <w:rPr>
          <w:color w:val="231F20"/>
          <w:w w:val="105"/>
        </w:rPr>
        <w:t>del</w:t>
      </w:r>
      <w:r>
        <w:rPr>
          <w:color w:val="231F20"/>
          <w:spacing w:val="-20"/>
          <w:w w:val="105"/>
        </w:rPr>
        <w:t> </w:t>
      </w:r>
      <w:r>
        <w:rPr>
          <w:color w:val="231F20"/>
          <w:spacing w:val="-4"/>
          <w:w w:val="105"/>
        </w:rPr>
        <w:t>PAN,</w:t>
      </w:r>
      <w:r>
        <w:rPr>
          <w:color w:val="231F20"/>
          <w:spacing w:val="-20"/>
          <w:w w:val="105"/>
        </w:rPr>
        <w:t> </w:t>
      </w:r>
      <w:r>
        <w:rPr>
          <w:color w:val="231F20"/>
          <w:w w:val="105"/>
        </w:rPr>
        <w:t>menciona</w:t>
      </w:r>
      <w:r>
        <w:rPr>
          <w:color w:val="231F20"/>
          <w:spacing w:val="-20"/>
          <w:w w:val="105"/>
        </w:rPr>
        <w:t> </w:t>
      </w:r>
      <w:r>
        <w:rPr>
          <w:color w:val="231F20"/>
          <w:w w:val="105"/>
        </w:rPr>
        <w:t>que:</w:t>
      </w:r>
    </w:p>
    <w:p>
      <w:pPr>
        <w:pStyle w:val="BodyText"/>
        <w:spacing w:line="285" w:lineRule="auto" w:before="1"/>
        <w:ind w:left="677" w:right="107"/>
        <w:jc w:val="both"/>
        <w:rPr>
          <w:sz w:val="13"/>
        </w:rPr>
      </w:pPr>
      <w:r>
        <w:rPr>
          <w:color w:val="231F20"/>
        </w:rPr>
        <w:t>El desarrollo humano </w:t>
      </w:r>
      <w:r>
        <w:rPr>
          <w:color w:val="231F20"/>
          <w:spacing w:val="-3"/>
        </w:rPr>
        <w:t>sustentable </w:t>
      </w:r>
      <w:r>
        <w:rPr>
          <w:color w:val="231F20"/>
        </w:rPr>
        <w:t>es el </w:t>
      </w:r>
      <w:r>
        <w:rPr>
          <w:color w:val="231F20"/>
          <w:spacing w:val="-3"/>
        </w:rPr>
        <w:t>proceso </w:t>
      </w:r>
      <w:r>
        <w:rPr>
          <w:color w:val="231F20"/>
        </w:rPr>
        <w:t>de </w:t>
      </w:r>
      <w:r>
        <w:rPr>
          <w:color w:val="231F20"/>
          <w:spacing w:val="-4"/>
        </w:rPr>
        <w:t>aumento </w:t>
      </w:r>
      <w:r>
        <w:rPr>
          <w:color w:val="231F20"/>
        </w:rPr>
        <w:t>de las </w:t>
      </w:r>
      <w:r>
        <w:rPr>
          <w:color w:val="231F20"/>
          <w:spacing w:val="-4"/>
        </w:rPr>
        <w:t>capacidades </w:t>
      </w:r>
      <w:r>
        <w:rPr>
          <w:color w:val="231F20"/>
        </w:rPr>
        <w:t>y la libertad de todas las </w:t>
      </w:r>
      <w:r>
        <w:rPr>
          <w:color w:val="231F20"/>
          <w:spacing w:val="-3"/>
        </w:rPr>
        <w:t>personas </w:t>
      </w:r>
      <w:r>
        <w:rPr>
          <w:color w:val="231F20"/>
        </w:rPr>
        <w:t>para vivir dignamente sin </w:t>
      </w:r>
      <w:r>
        <w:rPr>
          <w:color w:val="231F20"/>
          <w:spacing w:val="-4"/>
        </w:rPr>
        <w:t>comprometer </w:t>
      </w:r>
      <w:r>
        <w:rPr>
          <w:color w:val="231F20"/>
        </w:rPr>
        <w:t>el </w:t>
      </w:r>
      <w:r>
        <w:rPr>
          <w:color w:val="231F20"/>
          <w:spacing w:val="-3"/>
        </w:rPr>
        <w:t>potencial   </w:t>
      </w:r>
      <w:r>
        <w:rPr>
          <w:color w:val="231F20"/>
        </w:rPr>
        <w:t>de las </w:t>
      </w:r>
      <w:r>
        <w:rPr>
          <w:color w:val="231F20"/>
          <w:spacing w:val="-4"/>
        </w:rPr>
        <w:t>generaciones </w:t>
      </w:r>
      <w:r>
        <w:rPr>
          <w:color w:val="231F20"/>
        </w:rPr>
        <w:t>futuras. Es el paso, para </w:t>
      </w:r>
      <w:r>
        <w:rPr>
          <w:color w:val="231F20"/>
          <w:spacing w:val="-3"/>
        </w:rPr>
        <w:t>cada </w:t>
      </w:r>
      <w:r>
        <w:rPr>
          <w:color w:val="231F20"/>
          <w:spacing w:val="-4"/>
        </w:rPr>
        <w:t>hombre </w:t>
      </w:r>
      <w:r>
        <w:rPr>
          <w:color w:val="231F20"/>
        </w:rPr>
        <w:t>y para </w:t>
      </w:r>
      <w:r>
        <w:rPr>
          <w:color w:val="231F20"/>
          <w:spacing w:val="-3"/>
        </w:rPr>
        <w:t>todos los </w:t>
      </w:r>
      <w:r>
        <w:rPr>
          <w:color w:val="231F20"/>
          <w:spacing w:val="-4"/>
        </w:rPr>
        <w:t>hombres, </w:t>
      </w:r>
      <w:r>
        <w:rPr>
          <w:color w:val="231F20"/>
        </w:rPr>
        <w:t>de </w:t>
      </w:r>
      <w:r>
        <w:rPr>
          <w:color w:val="231F20"/>
          <w:spacing w:val="-4"/>
        </w:rPr>
        <w:t>condiciones </w:t>
      </w:r>
      <w:r>
        <w:rPr>
          <w:color w:val="231F20"/>
        </w:rPr>
        <w:t>de vida </w:t>
      </w:r>
      <w:r>
        <w:rPr>
          <w:color w:val="231F20"/>
          <w:spacing w:val="-4"/>
        </w:rPr>
        <w:t>menos </w:t>
      </w:r>
      <w:r>
        <w:rPr>
          <w:color w:val="231F20"/>
        </w:rPr>
        <w:t>humanas a </w:t>
      </w:r>
      <w:r>
        <w:rPr>
          <w:color w:val="231F20"/>
          <w:spacing w:val="-4"/>
        </w:rPr>
        <w:t>condiciones </w:t>
      </w:r>
      <w:r>
        <w:rPr>
          <w:color w:val="231F20"/>
        </w:rPr>
        <w:t>de vida más humanas. Para    el desarrollo humano </w:t>
      </w:r>
      <w:r>
        <w:rPr>
          <w:color w:val="231F20"/>
          <w:spacing w:val="-3"/>
        </w:rPr>
        <w:t>sustentable, los seres </w:t>
      </w:r>
      <w:r>
        <w:rPr>
          <w:color w:val="231F20"/>
        </w:rPr>
        <w:t>humanos </w:t>
      </w:r>
      <w:r>
        <w:rPr>
          <w:color w:val="231F20"/>
          <w:spacing w:val="-3"/>
        </w:rPr>
        <w:t>no son </w:t>
      </w:r>
      <w:r>
        <w:rPr>
          <w:color w:val="231F20"/>
          <w:spacing w:val="-4"/>
        </w:rPr>
        <w:t>meros </w:t>
      </w:r>
      <w:r>
        <w:rPr>
          <w:color w:val="231F20"/>
          <w:spacing w:val="-3"/>
        </w:rPr>
        <w:t>beneficiarios </w:t>
      </w:r>
      <w:r>
        <w:rPr>
          <w:color w:val="231F20"/>
        </w:rPr>
        <w:t>de programas asistenciales, sino </w:t>
      </w:r>
      <w:r>
        <w:rPr>
          <w:color w:val="231F20"/>
          <w:spacing w:val="-4"/>
        </w:rPr>
        <w:t>verdaderos agentes </w:t>
      </w:r>
      <w:r>
        <w:rPr>
          <w:color w:val="231F20"/>
        </w:rPr>
        <w:t>de </w:t>
      </w:r>
      <w:r>
        <w:rPr>
          <w:color w:val="231F20"/>
          <w:spacing w:val="-3"/>
        </w:rPr>
        <w:t>cambio </w:t>
      </w:r>
      <w:r>
        <w:rPr>
          <w:color w:val="231F20"/>
        </w:rPr>
        <w:t>en el </w:t>
      </w:r>
      <w:r>
        <w:rPr>
          <w:color w:val="231F20"/>
          <w:spacing w:val="-4"/>
        </w:rPr>
        <w:t>proceso. </w:t>
      </w:r>
      <w:r>
        <w:rPr>
          <w:color w:val="231F20"/>
          <w:spacing w:val="-3"/>
        </w:rPr>
        <w:t>No </w:t>
      </w:r>
      <w:r>
        <w:rPr>
          <w:color w:val="231F20"/>
        </w:rPr>
        <w:t>basta </w:t>
      </w:r>
      <w:r>
        <w:rPr>
          <w:color w:val="231F20"/>
          <w:spacing w:val="-4"/>
        </w:rPr>
        <w:t>proporcionar bienes </w:t>
      </w:r>
      <w:r>
        <w:rPr>
          <w:color w:val="231F20"/>
        </w:rPr>
        <w:t>y servicios materiales a grupos de </w:t>
      </w:r>
      <w:r>
        <w:rPr>
          <w:color w:val="231F20"/>
          <w:spacing w:val="-4"/>
        </w:rPr>
        <w:t>población </w:t>
      </w:r>
      <w:r>
        <w:rPr>
          <w:color w:val="231F20"/>
          <w:spacing w:val="-3"/>
        </w:rPr>
        <w:t>que padecen pri- vaciones, </w:t>
      </w:r>
      <w:r>
        <w:rPr>
          <w:color w:val="231F20"/>
        </w:rPr>
        <w:t>sino </w:t>
      </w:r>
      <w:r>
        <w:rPr>
          <w:color w:val="231F20"/>
          <w:spacing w:val="-3"/>
        </w:rPr>
        <w:t>que deben </w:t>
      </w:r>
      <w:r>
        <w:rPr>
          <w:color w:val="231F20"/>
        </w:rPr>
        <w:t>ampliarse las </w:t>
      </w:r>
      <w:r>
        <w:rPr>
          <w:color w:val="231F20"/>
          <w:spacing w:val="-4"/>
        </w:rPr>
        <w:t>capacidades </w:t>
      </w:r>
      <w:r>
        <w:rPr>
          <w:color w:val="231F20"/>
        </w:rPr>
        <w:t>humanas… La búsqueda de un desarrollo </w:t>
      </w:r>
      <w:r>
        <w:rPr>
          <w:color w:val="231F20"/>
          <w:spacing w:val="-3"/>
        </w:rPr>
        <w:t>sustentable debe tener dentro </w:t>
      </w:r>
      <w:r>
        <w:rPr>
          <w:color w:val="231F20"/>
        </w:rPr>
        <w:t>de sus más altas </w:t>
      </w:r>
      <w:r>
        <w:rPr>
          <w:color w:val="231F20"/>
          <w:spacing w:val="-4"/>
        </w:rPr>
        <w:t>prioridades </w:t>
      </w:r>
      <w:r>
        <w:rPr>
          <w:color w:val="231F20"/>
        </w:rPr>
        <w:t>la eliminación de la </w:t>
      </w:r>
      <w:r>
        <w:rPr>
          <w:color w:val="231F20"/>
          <w:spacing w:val="-3"/>
        </w:rPr>
        <w:t>pobreza </w:t>
      </w:r>
      <w:r>
        <w:rPr>
          <w:color w:val="231F20"/>
        </w:rPr>
        <w:t>de la </w:t>
      </w:r>
      <w:r>
        <w:rPr>
          <w:color w:val="231F20"/>
          <w:spacing w:val="-4"/>
        </w:rPr>
        <w:t>generación </w:t>
      </w:r>
      <w:r>
        <w:rPr>
          <w:color w:val="231F20"/>
          <w:spacing w:val="1"/>
        </w:rPr>
        <w:t> </w:t>
      </w:r>
      <w:r>
        <w:rPr>
          <w:color w:val="231F20"/>
        </w:rPr>
        <w:t>actual</w:t>
      </w:r>
      <w:r>
        <w:rPr>
          <w:color w:val="231F20"/>
          <w:position w:val="7"/>
          <w:sz w:val="13"/>
        </w:rPr>
        <w:t>37.</w:t>
      </w:r>
    </w:p>
    <w:p>
      <w:pPr>
        <w:pStyle w:val="BodyText"/>
        <w:rPr>
          <w:sz w:val="26"/>
        </w:rPr>
      </w:pPr>
    </w:p>
    <w:p>
      <w:pPr>
        <w:pStyle w:val="BodyText"/>
        <w:spacing w:line="285" w:lineRule="auto"/>
        <w:ind w:left="110" w:right="108"/>
        <w:jc w:val="both"/>
      </w:pPr>
      <w:r>
        <w:rPr>
          <w:color w:val="231F20"/>
          <w:w w:val="105"/>
        </w:rPr>
        <w:t>Este</w:t>
      </w:r>
      <w:r>
        <w:rPr>
          <w:color w:val="231F20"/>
          <w:spacing w:val="-14"/>
          <w:w w:val="105"/>
        </w:rPr>
        <w:t> </w:t>
      </w:r>
      <w:r>
        <w:rPr>
          <w:color w:val="231F20"/>
          <w:w w:val="105"/>
        </w:rPr>
        <w:t>aumento</w:t>
      </w:r>
      <w:r>
        <w:rPr>
          <w:color w:val="231F20"/>
          <w:spacing w:val="-14"/>
          <w:w w:val="105"/>
        </w:rPr>
        <w:t> </w:t>
      </w:r>
      <w:r>
        <w:rPr>
          <w:color w:val="231F20"/>
          <w:w w:val="105"/>
        </w:rPr>
        <w:t>de</w:t>
      </w:r>
      <w:r>
        <w:rPr>
          <w:color w:val="231F20"/>
          <w:spacing w:val="-14"/>
          <w:w w:val="105"/>
        </w:rPr>
        <w:t> </w:t>
      </w:r>
      <w:r>
        <w:rPr>
          <w:color w:val="231F20"/>
          <w:w w:val="105"/>
        </w:rPr>
        <w:t>capacidades</w:t>
      </w:r>
      <w:r>
        <w:rPr>
          <w:color w:val="231F20"/>
          <w:spacing w:val="-14"/>
          <w:w w:val="105"/>
        </w:rPr>
        <w:t> </w:t>
      </w:r>
      <w:r>
        <w:rPr>
          <w:color w:val="231F20"/>
          <w:w w:val="105"/>
        </w:rPr>
        <w:t>humanas</w:t>
      </w:r>
      <w:r>
        <w:rPr>
          <w:color w:val="231F20"/>
          <w:spacing w:val="-14"/>
          <w:w w:val="105"/>
        </w:rPr>
        <w:t> </w:t>
      </w:r>
      <w:r>
        <w:rPr>
          <w:color w:val="231F20"/>
          <w:w w:val="105"/>
        </w:rPr>
        <w:t>ha</w:t>
      </w:r>
      <w:r>
        <w:rPr>
          <w:color w:val="231F20"/>
          <w:spacing w:val="-14"/>
          <w:w w:val="105"/>
        </w:rPr>
        <w:t> </w:t>
      </w:r>
      <w:r>
        <w:rPr>
          <w:color w:val="231F20"/>
          <w:w w:val="105"/>
        </w:rPr>
        <w:t>brillado</w:t>
      </w:r>
      <w:r>
        <w:rPr>
          <w:color w:val="231F20"/>
          <w:spacing w:val="-14"/>
          <w:w w:val="105"/>
        </w:rPr>
        <w:t> </w:t>
      </w:r>
      <w:r>
        <w:rPr>
          <w:color w:val="231F20"/>
          <w:w w:val="105"/>
        </w:rPr>
        <w:t>por</w:t>
      </w:r>
      <w:r>
        <w:rPr>
          <w:color w:val="231F20"/>
          <w:spacing w:val="-14"/>
          <w:w w:val="105"/>
        </w:rPr>
        <w:t> </w:t>
      </w:r>
      <w:r>
        <w:rPr>
          <w:color w:val="231F20"/>
          <w:w w:val="105"/>
        </w:rPr>
        <w:t>su</w:t>
      </w:r>
      <w:r>
        <w:rPr>
          <w:color w:val="231F20"/>
          <w:spacing w:val="-14"/>
          <w:w w:val="105"/>
        </w:rPr>
        <w:t> </w:t>
      </w:r>
      <w:r>
        <w:rPr>
          <w:color w:val="231F20"/>
          <w:w w:val="105"/>
        </w:rPr>
        <w:t>ausencia</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tres</w:t>
      </w:r>
      <w:r>
        <w:rPr>
          <w:color w:val="231F20"/>
          <w:spacing w:val="-14"/>
          <w:w w:val="105"/>
        </w:rPr>
        <w:t> </w:t>
      </w:r>
      <w:r>
        <w:rPr>
          <w:color w:val="231F20"/>
          <w:w w:val="105"/>
        </w:rPr>
        <w:t>gestiones; cuando</w:t>
      </w:r>
      <w:r>
        <w:rPr>
          <w:color w:val="231F20"/>
          <w:spacing w:val="-12"/>
          <w:w w:val="105"/>
        </w:rPr>
        <w:t> </w:t>
      </w:r>
      <w:r>
        <w:rPr>
          <w:color w:val="231F20"/>
          <w:spacing w:val="-3"/>
          <w:w w:val="105"/>
        </w:rPr>
        <w:t>mucho,</w:t>
      </w:r>
      <w:r>
        <w:rPr>
          <w:color w:val="231F20"/>
          <w:spacing w:val="-12"/>
          <w:w w:val="105"/>
        </w:rPr>
        <w:t> </w:t>
      </w:r>
      <w:r>
        <w:rPr>
          <w:color w:val="231F20"/>
          <w:w w:val="105"/>
        </w:rPr>
        <w:t>ha</w:t>
      </w:r>
      <w:r>
        <w:rPr>
          <w:color w:val="231F20"/>
          <w:spacing w:val="-12"/>
          <w:w w:val="105"/>
        </w:rPr>
        <w:t> </w:t>
      </w:r>
      <w:r>
        <w:rPr>
          <w:color w:val="231F20"/>
          <w:w w:val="105"/>
        </w:rPr>
        <w:t>habido</w:t>
      </w:r>
      <w:r>
        <w:rPr>
          <w:color w:val="231F20"/>
          <w:spacing w:val="-12"/>
          <w:w w:val="105"/>
        </w:rPr>
        <w:t> </w:t>
      </w:r>
      <w:r>
        <w:rPr>
          <w:color w:val="231F20"/>
          <w:w w:val="105"/>
        </w:rPr>
        <w:t>programas</w:t>
      </w:r>
      <w:r>
        <w:rPr>
          <w:color w:val="231F20"/>
          <w:spacing w:val="-12"/>
          <w:w w:val="105"/>
        </w:rPr>
        <w:t> </w:t>
      </w:r>
      <w:r>
        <w:rPr>
          <w:color w:val="231F20"/>
          <w:w w:val="105"/>
        </w:rPr>
        <w:t>mal</w:t>
      </w:r>
      <w:r>
        <w:rPr>
          <w:color w:val="231F20"/>
          <w:spacing w:val="-12"/>
          <w:w w:val="105"/>
        </w:rPr>
        <w:t> </w:t>
      </w:r>
      <w:r>
        <w:rPr>
          <w:color w:val="231F20"/>
          <w:w w:val="105"/>
        </w:rPr>
        <w:t>focalizados</w:t>
      </w:r>
      <w:r>
        <w:rPr>
          <w:color w:val="231F20"/>
          <w:spacing w:val="-12"/>
          <w:w w:val="105"/>
        </w:rPr>
        <w:t> </w:t>
      </w:r>
      <w:r>
        <w:rPr>
          <w:color w:val="231F20"/>
          <w:w w:val="105"/>
        </w:rPr>
        <w:t>de</w:t>
      </w:r>
      <w:r>
        <w:rPr>
          <w:color w:val="231F20"/>
          <w:spacing w:val="-12"/>
          <w:w w:val="105"/>
        </w:rPr>
        <w:t> </w:t>
      </w:r>
      <w:r>
        <w:rPr>
          <w:color w:val="231F20"/>
          <w:w w:val="105"/>
        </w:rPr>
        <w:t>combate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pobreza.</w:t>
      </w:r>
      <w:r>
        <w:rPr>
          <w:color w:val="231F20"/>
          <w:spacing w:val="-12"/>
          <w:w w:val="105"/>
        </w:rPr>
        <w:t> </w:t>
      </w:r>
      <w:r>
        <w:rPr>
          <w:color w:val="231F20"/>
          <w:w w:val="105"/>
        </w:rPr>
        <w:t>Es</w:t>
      </w:r>
      <w:r>
        <w:rPr>
          <w:color w:val="231F20"/>
          <w:spacing w:val="-12"/>
          <w:w w:val="105"/>
        </w:rPr>
        <w:t> </w:t>
      </w:r>
      <w:r>
        <w:rPr>
          <w:color w:val="231F20"/>
          <w:w w:val="105"/>
        </w:rPr>
        <w:t>claro que</w:t>
      </w:r>
      <w:r>
        <w:rPr>
          <w:color w:val="231F20"/>
          <w:spacing w:val="-22"/>
          <w:w w:val="105"/>
        </w:rPr>
        <w:t> </w:t>
      </w:r>
      <w:r>
        <w:rPr>
          <w:color w:val="231F20"/>
          <w:w w:val="105"/>
        </w:rPr>
        <w:t>inclusive</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política</w:t>
      </w:r>
      <w:r>
        <w:rPr>
          <w:color w:val="231F20"/>
          <w:spacing w:val="-22"/>
          <w:w w:val="105"/>
        </w:rPr>
        <w:t> </w:t>
      </w:r>
      <w:r>
        <w:rPr>
          <w:color w:val="231F20"/>
          <w:w w:val="105"/>
        </w:rPr>
        <w:t>social</w:t>
      </w:r>
      <w:r>
        <w:rPr>
          <w:color w:val="231F20"/>
          <w:spacing w:val="-22"/>
          <w:w w:val="105"/>
        </w:rPr>
        <w:t> </w:t>
      </w:r>
      <w:r>
        <w:rPr>
          <w:color w:val="231F20"/>
          <w:w w:val="105"/>
        </w:rPr>
        <w:t>se</w:t>
      </w:r>
      <w:r>
        <w:rPr>
          <w:color w:val="231F20"/>
          <w:spacing w:val="-22"/>
          <w:w w:val="105"/>
        </w:rPr>
        <w:t> </w:t>
      </w:r>
      <w:r>
        <w:rPr>
          <w:color w:val="231F20"/>
          <w:w w:val="105"/>
        </w:rPr>
        <w:t>da</w:t>
      </w:r>
      <w:r>
        <w:rPr>
          <w:color w:val="231F20"/>
          <w:spacing w:val="-22"/>
          <w:w w:val="105"/>
        </w:rPr>
        <w:t> </w:t>
      </w:r>
      <w:r>
        <w:rPr>
          <w:color w:val="231F20"/>
          <w:w w:val="105"/>
        </w:rPr>
        <w:t>prioridad</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atención</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zona</w:t>
      </w:r>
      <w:r>
        <w:rPr>
          <w:color w:val="231F20"/>
          <w:spacing w:val="-22"/>
          <w:w w:val="105"/>
        </w:rPr>
        <w:t> </w:t>
      </w:r>
      <w:r>
        <w:rPr>
          <w:color w:val="231F20"/>
          <w:w w:val="105"/>
        </w:rPr>
        <w:t>poniente,</w:t>
      </w:r>
      <w:r>
        <w:rPr>
          <w:color w:val="231F20"/>
          <w:spacing w:val="-22"/>
          <w:w w:val="105"/>
        </w:rPr>
        <w:t> </w:t>
      </w:r>
      <w:r>
        <w:rPr>
          <w:color w:val="231F20"/>
          <w:w w:val="105"/>
        </w:rPr>
        <w:t>que</w:t>
      </w:r>
      <w:r>
        <w:rPr>
          <w:color w:val="231F20"/>
          <w:spacing w:val="-22"/>
          <w:w w:val="105"/>
        </w:rPr>
        <w:t> </w:t>
      </w:r>
      <w:r>
        <w:rPr>
          <w:color w:val="231F20"/>
          <w:w w:val="105"/>
        </w:rPr>
        <w:t>es la</w:t>
      </w:r>
      <w:r>
        <w:rPr>
          <w:color w:val="231F20"/>
          <w:spacing w:val="-20"/>
          <w:w w:val="105"/>
        </w:rPr>
        <w:t> </w:t>
      </w:r>
      <w:r>
        <w:rPr>
          <w:color w:val="231F20"/>
          <w:w w:val="105"/>
        </w:rPr>
        <w:t>más</w:t>
      </w:r>
      <w:r>
        <w:rPr>
          <w:color w:val="231F20"/>
          <w:spacing w:val="-20"/>
          <w:w w:val="105"/>
        </w:rPr>
        <w:t> </w:t>
      </w:r>
      <w:r>
        <w:rPr>
          <w:color w:val="231F20"/>
          <w:w w:val="105"/>
        </w:rPr>
        <w:t>industrializada</w:t>
      </w:r>
      <w:r>
        <w:rPr>
          <w:color w:val="231F20"/>
          <w:spacing w:val="-20"/>
          <w:w w:val="105"/>
        </w:rPr>
        <w:t> </w:t>
      </w:r>
      <w:r>
        <w:rPr>
          <w:color w:val="231F20"/>
          <w:w w:val="105"/>
        </w:rPr>
        <w:t>y</w:t>
      </w:r>
      <w:r>
        <w:rPr>
          <w:color w:val="231F20"/>
          <w:spacing w:val="-20"/>
          <w:w w:val="105"/>
        </w:rPr>
        <w:t> </w:t>
      </w:r>
      <w:r>
        <w:rPr>
          <w:color w:val="231F20"/>
          <w:w w:val="105"/>
        </w:rPr>
        <w:t>comercial</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que</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zona</w:t>
      </w:r>
      <w:r>
        <w:rPr>
          <w:color w:val="231F20"/>
          <w:spacing w:val="-20"/>
          <w:w w:val="105"/>
        </w:rPr>
        <w:t> </w:t>
      </w:r>
      <w:r>
        <w:rPr>
          <w:color w:val="231F20"/>
          <w:w w:val="105"/>
        </w:rPr>
        <w:t>oriente.</w:t>
      </w:r>
      <w:r>
        <w:rPr>
          <w:color w:val="231F20"/>
          <w:spacing w:val="-20"/>
          <w:w w:val="105"/>
        </w:rPr>
        <w:t> </w:t>
      </w:r>
      <w:r>
        <w:rPr>
          <w:color w:val="231F20"/>
          <w:w w:val="105"/>
        </w:rPr>
        <w:t>Dicha</w:t>
      </w:r>
      <w:r>
        <w:rPr>
          <w:color w:val="231F20"/>
          <w:spacing w:val="-20"/>
          <w:w w:val="105"/>
        </w:rPr>
        <w:t> </w:t>
      </w:r>
      <w:r>
        <w:rPr>
          <w:color w:val="231F20"/>
          <w:w w:val="105"/>
        </w:rPr>
        <w:t>zona</w:t>
      </w:r>
      <w:r>
        <w:rPr>
          <w:color w:val="231F20"/>
          <w:spacing w:val="-20"/>
          <w:w w:val="105"/>
        </w:rPr>
        <w:t> </w:t>
      </w:r>
      <w:r>
        <w:rPr>
          <w:color w:val="231F20"/>
          <w:w w:val="105"/>
        </w:rPr>
        <w:t>goza de</w:t>
      </w:r>
      <w:r>
        <w:rPr>
          <w:color w:val="231F20"/>
          <w:spacing w:val="-21"/>
          <w:w w:val="105"/>
        </w:rPr>
        <w:t> </w:t>
      </w:r>
      <w:r>
        <w:rPr>
          <w:color w:val="231F20"/>
          <w:w w:val="105"/>
        </w:rPr>
        <w:t>mejores</w:t>
      </w:r>
      <w:r>
        <w:rPr>
          <w:color w:val="231F20"/>
          <w:spacing w:val="-21"/>
          <w:w w:val="105"/>
        </w:rPr>
        <w:t> </w:t>
      </w:r>
      <w:r>
        <w:rPr>
          <w:color w:val="231F20"/>
          <w:w w:val="105"/>
        </w:rPr>
        <w:t>servicios</w:t>
      </w:r>
      <w:r>
        <w:rPr>
          <w:color w:val="231F20"/>
          <w:spacing w:val="-21"/>
          <w:w w:val="105"/>
        </w:rPr>
        <w:t> </w:t>
      </w:r>
      <w:r>
        <w:rPr>
          <w:color w:val="231F20"/>
          <w:w w:val="105"/>
        </w:rPr>
        <w:t>públicos,</w:t>
      </w:r>
      <w:r>
        <w:rPr>
          <w:color w:val="231F20"/>
          <w:spacing w:val="-21"/>
          <w:w w:val="105"/>
        </w:rPr>
        <w:t> </w:t>
      </w:r>
      <w:r>
        <w:rPr>
          <w:color w:val="231F20"/>
          <w:w w:val="105"/>
        </w:rPr>
        <w:t>mayor</w:t>
      </w:r>
      <w:r>
        <w:rPr>
          <w:color w:val="231F20"/>
          <w:spacing w:val="-21"/>
          <w:w w:val="105"/>
        </w:rPr>
        <w:t> </w:t>
      </w:r>
      <w:r>
        <w:rPr>
          <w:color w:val="231F20"/>
          <w:w w:val="105"/>
        </w:rPr>
        <w:t>inversión</w:t>
      </w:r>
      <w:r>
        <w:rPr>
          <w:color w:val="231F20"/>
          <w:spacing w:val="-21"/>
          <w:w w:val="105"/>
        </w:rPr>
        <w:t> </w:t>
      </w:r>
      <w:r>
        <w:rPr>
          <w:color w:val="231F20"/>
          <w:w w:val="105"/>
        </w:rPr>
        <w:t>educativa</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salubridad,</w:t>
      </w:r>
      <w:r>
        <w:rPr>
          <w:color w:val="231F20"/>
          <w:spacing w:val="-21"/>
          <w:w w:val="105"/>
        </w:rPr>
        <w:t> </w:t>
      </w:r>
      <w:r>
        <w:rPr>
          <w:color w:val="231F20"/>
          <w:w w:val="105"/>
        </w:rPr>
        <w:t>entre</w:t>
      </w:r>
      <w:r>
        <w:rPr>
          <w:color w:val="231F20"/>
          <w:spacing w:val="-21"/>
          <w:w w:val="105"/>
        </w:rPr>
        <w:t> </w:t>
      </w:r>
      <w:r>
        <w:rPr>
          <w:color w:val="231F20"/>
          <w:w w:val="105"/>
        </w:rPr>
        <w:t>otros.</w:t>
      </w:r>
    </w:p>
    <w:p>
      <w:pPr>
        <w:pStyle w:val="BodyText"/>
        <w:spacing w:before="1"/>
        <w:rPr>
          <w:sz w:val="26"/>
        </w:rPr>
      </w:pPr>
    </w:p>
    <w:p>
      <w:pPr>
        <w:pStyle w:val="BodyText"/>
        <w:spacing w:line="285" w:lineRule="auto"/>
        <w:ind w:left="110" w:right="108"/>
        <w:jc w:val="both"/>
      </w:pPr>
      <w:r>
        <w:rPr/>
        <w:pict>
          <v:line style="position:absolute;mso-position-horizontal-relative:page;mso-position-vertical-relative:paragraph;z-index:10816;mso-wrap-distance-left:0;mso-wrap-distance-right:0" from="42.519699pt,35.259125pt" to="114.519699pt,35.259125pt" stroked="true" strokeweight="1pt" strokecolor="#231f20">
            <w10:wrap type="topAndBottom"/>
          </v:line>
        </w:pict>
      </w:r>
      <w:r>
        <w:rPr>
          <w:color w:val="231F20"/>
        </w:rPr>
        <w:t>Los esfuerzos realizados hasta ahora parecen insuficientes, pues una cuando los habi- tantes de la zona oriente tengan acceso a la educación</w:t>
      </w:r>
      <w:r>
        <w:rPr>
          <w:color w:val="231F20"/>
          <w:position w:val="7"/>
          <w:sz w:val="13"/>
        </w:rPr>
        <w:t>38</w:t>
      </w:r>
      <w:r>
        <w:rPr>
          <w:color w:val="231F20"/>
        </w:rPr>
        <w:t>, carecen de seguridad social y</w:t>
      </w:r>
    </w:p>
    <w:p>
      <w:pPr>
        <w:pStyle w:val="ListParagraph"/>
        <w:numPr>
          <w:ilvl w:val="0"/>
          <w:numId w:val="17"/>
        </w:numPr>
        <w:tabs>
          <w:tab w:pos="296" w:val="left" w:leader="none"/>
        </w:tabs>
        <w:spacing w:line="240" w:lineRule="auto" w:before="8" w:after="0"/>
        <w:ind w:left="296" w:right="0" w:hanging="186"/>
        <w:jc w:val="both"/>
        <w:rPr>
          <w:sz w:val="16"/>
        </w:rPr>
      </w:pPr>
      <w:r>
        <w:rPr>
          <w:color w:val="231F20"/>
          <w:sz w:val="16"/>
        </w:rPr>
        <w:t>Declaración</w:t>
      </w:r>
      <w:r>
        <w:rPr>
          <w:color w:val="231F20"/>
          <w:spacing w:val="-14"/>
          <w:sz w:val="16"/>
        </w:rPr>
        <w:t> </w:t>
      </w:r>
      <w:r>
        <w:rPr>
          <w:color w:val="231F20"/>
          <w:sz w:val="16"/>
        </w:rPr>
        <w:t>de</w:t>
      </w:r>
      <w:r>
        <w:rPr>
          <w:color w:val="231F20"/>
          <w:spacing w:val="-14"/>
          <w:sz w:val="16"/>
        </w:rPr>
        <w:t> </w:t>
      </w:r>
      <w:r>
        <w:rPr>
          <w:color w:val="231F20"/>
          <w:sz w:val="16"/>
        </w:rPr>
        <w:t>principios,</w:t>
      </w:r>
      <w:r>
        <w:rPr>
          <w:color w:val="231F20"/>
          <w:spacing w:val="-14"/>
          <w:sz w:val="16"/>
        </w:rPr>
        <w:t> </w:t>
      </w:r>
      <w:r>
        <w:rPr>
          <w:color w:val="231F20"/>
          <w:spacing w:val="-3"/>
          <w:sz w:val="16"/>
        </w:rPr>
        <w:t>PAN,</w:t>
      </w:r>
      <w:r>
        <w:rPr>
          <w:color w:val="231F20"/>
          <w:spacing w:val="-14"/>
          <w:sz w:val="16"/>
        </w:rPr>
        <w:t> </w:t>
      </w:r>
      <w:r>
        <w:rPr>
          <w:color w:val="231F20"/>
          <w:sz w:val="16"/>
        </w:rPr>
        <w:t>2008.</w:t>
      </w:r>
    </w:p>
    <w:p>
      <w:pPr>
        <w:pStyle w:val="ListParagraph"/>
        <w:numPr>
          <w:ilvl w:val="0"/>
          <w:numId w:val="17"/>
        </w:numPr>
        <w:tabs>
          <w:tab w:pos="308" w:val="left" w:leader="none"/>
        </w:tabs>
        <w:spacing w:line="244" w:lineRule="auto" w:before="4" w:after="0"/>
        <w:ind w:left="110" w:right="106" w:firstLine="0"/>
        <w:jc w:val="both"/>
        <w:rPr>
          <w:sz w:val="16"/>
        </w:rPr>
      </w:pPr>
      <w:r>
        <w:rPr>
          <w:color w:val="231F20"/>
          <w:sz w:val="16"/>
        </w:rPr>
        <w:t>“El acceso al conocimiento constituye un aspecto crucial para que las personas puedan realizar el proyecto de vida que tienen</w:t>
      </w:r>
      <w:r>
        <w:rPr>
          <w:color w:val="231F20"/>
          <w:spacing w:val="-12"/>
          <w:sz w:val="16"/>
        </w:rPr>
        <w:t> </w:t>
      </w:r>
      <w:r>
        <w:rPr>
          <w:color w:val="231F20"/>
          <w:sz w:val="16"/>
        </w:rPr>
        <w:t>razones</w:t>
      </w:r>
      <w:r>
        <w:rPr>
          <w:color w:val="231F20"/>
          <w:spacing w:val="-12"/>
          <w:sz w:val="16"/>
        </w:rPr>
        <w:t> </w:t>
      </w:r>
      <w:r>
        <w:rPr>
          <w:color w:val="231F20"/>
          <w:sz w:val="16"/>
        </w:rPr>
        <w:t>para</w:t>
      </w:r>
      <w:r>
        <w:rPr>
          <w:color w:val="231F20"/>
          <w:spacing w:val="-12"/>
          <w:sz w:val="16"/>
        </w:rPr>
        <w:t> </w:t>
      </w:r>
      <w:r>
        <w:rPr>
          <w:color w:val="231F20"/>
          <w:sz w:val="16"/>
        </w:rPr>
        <w:t>valorar.</w:t>
      </w:r>
      <w:r>
        <w:rPr>
          <w:color w:val="231F20"/>
          <w:spacing w:val="-12"/>
          <w:sz w:val="16"/>
        </w:rPr>
        <w:t> </w:t>
      </w:r>
      <w:r>
        <w:rPr>
          <w:color w:val="231F20"/>
          <w:sz w:val="16"/>
        </w:rPr>
        <w:t>Asimismo,</w:t>
      </w:r>
      <w:r>
        <w:rPr>
          <w:color w:val="231F20"/>
          <w:spacing w:val="-12"/>
          <w:sz w:val="16"/>
        </w:rPr>
        <w:t> </w:t>
      </w:r>
      <w:r>
        <w:rPr>
          <w:color w:val="231F20"/>
          <w:sz w:val="16"/>
        </w:rPr>
        <w:t>la</w:t>
      </w:r>
      <w:r>
        <w:rPr>
          <w:color w:val="231F20"/>
          <w:spacing w:val="-12"/>
          <w:sz w:val="16"/>
        </w:rPr>
        <w:t> </w:t>
      </w:r>
      <w:r>
        <w:rPr>
          <w:color w:val="231F20"/>
          <w:sz w:val="16"/>
        </w:rPr>
        <w:t>escolaridad</w:t>
      </w:r>
      <w:r>
        <w:rPr>
          <w:color w:val="231F20"/>
          <w:spacing w:val="-12"/>
          <w:sz w:val="16"/>
        </w:rPr>
        <w:t> </w:t>
      </w:r>
      <w:r>
        <w:rPr>
          <w:color w:val="231F20"/>
          <w:sz w:val="16"/>
        </w:rPr>
        <w:t>de</w:t>
      </w:r>
      <w:r>
        <w:rPr>
          <w:color w:val="231F20"/>
          <w:spacing w:val="-12"/>
          <w:sz w:val="16"/>
        </w:rPr>
        <w:t> </w:t>
      </w:r>
      <w:r>
        <w:rPr>
          <w:color w:val="231F20"/>
          <w:sz w:val="16"/>
        </w:rPr>
        <w:t>la</w:t>
      </w:r>
      <w:r>
        <w:rPr>
          <w:color w:val="231F20"/>
          <w:spacing w:val="-12"/>
          <w:sz w:val="16"/>
        </w:rPr>
        <w:t> </w:t>
      </w:r>
      <w:r>
        <w:rPr>
          <w:color w:val="231F20"/>
          <w:sz w:val="16"/>
        </w:rPr>
        <w:t>población</w:t>
      </w:r>
      <w:r>
        <w:rPr>
          <w:color w:val="231F20"/>
          <w:spacing w:val="-12"/>
          <w:sz w:val="16"/>
        </w:rPr>
        <w:t> </w:t>
      </w:r>
      <w:r>
        <w:rPr>
          <w:color w:val="231F20"/>
          <w:sz w:val="16"/>
        </w:rPr>
        <w:t>constituye</w:t>
      </w:r>
      <w:r>
        <w:rPr>
          <w:color w:val="231F20"/>
          <w:spacing w:val="-12"/>
          <w:sz w:val="16"/>
        </w:rPr>
        <w:t> </w:t>
      </w:r>
      <w:r>
        <w:rPr>
          <w:color w:val="231F20"/>
          <w:sz w:val="16"/>
        </w:rPr>
        <w:t>uno</w:t>
      </w:r>
      <w:r>
        <w:rPr>
          <w:color w:val="231F20"/>
          <w:spacing w:val="-12"/>
          <w:sz w:val="16"/>
        </w:rPr>
        <w:t> </w:t>
      </w:r>
      <w:r>
        <w:rPr>
          <w:color w:val="231F20"/>
          <w:sz w:val="16"/>
        </w:rPr>
        <w:t>de</w:t>
      </w:r>
      <w:r>
        <w:rPr>
          <w:color w:val="231F20"/>
          <w:spacing w:val="-12"/>
          <w:sz w:val="16"/>
        </w:rPr>
        <w:t> </w:t>
      </w:r>
      <w:r>
        <w:rPr>
          <w:color w:val="231F20"/>
          <w:sz w:val="16"/>
        </w:rPr>
        <w:t>los</w:t>
      </w:r>
      <w:r>
        <w:rPr>
          <w:color w:val="231F20"/>
          <w:spacing w:val="-12"/>
          <w:sz w:val="16"/>
        </w:rPr>
        <w:t> </w:t>
      </w:r>
      <w:r>
        <w:rPr>
          <w:color w:val="231F20"/>
          <w:sz w:val="16"/>
        </w:rPr>
        <w:t>factores</w:t>
      </w:r>
      <w:r>
        <w:rPr>
          <w:color w:val="231F20"/>
          <w:spacing w:val="-12"/>
          <w:sz w:val="16"/>
        </w:rPr>
        <w:t> </w:t>
      </w:r>
      <w:r>
        <w:rPr>
          <w:color w:val="231F20"/>
          <w:sz w:val="16"/>
        </w:rPr>
        <w:t>decisivos</w:t>
      </w:r>
      <w:r>
        <w:rPr>
          <w:color w:val="231F20"/>
          <w:spacing w:val="-12"/>
          <w:sz w:val="16"/>
        </w:rPr>
        <w:t> </w:t>
      </w:r>
      <w:r>
        <w:rPr>
          <w:color w:val="231F20"/>
          <w:sz w:val="16"/>
        </w:rPr>
        <w:t>para</w:t>
      </w:r>
      <w:r>
        <w:rPr>
          <w:color w:val="231F20"/>
          <w:spacing w:val="-12"/>
          <w:sz w:val="16"/>
        </w:rPr>
        <w:t> </w:t>
      </w:r>
      <w:r>
        <w:rPr>
          <w:color w:val="231F20"/>
          <w:sz w:val="16"/>
        </w:rPr>
        <w:t>aumentar la</w:t>
      </w:r>
      <w:r>
        <w:rPr>
          <w:color w:val="231F20"/>
          <w:spacing w:val="-9"/>
          <w:sz w:val="16"/>
        </w:rPr>
        <w:t> </w:t>
      </w:r>
      <w:r>
        <w:rPr>
          <w:color w:val="231F20"/>
          <w:sz w:val="16"/>
        </w:rPr>
        <w:t>productividad</w:t>
      </w:r>
      <w:r>
        <w:rPr>
          <w:color w:val="231F20"/>
          <w:spacing w:val="-9"/>
          <w:sz w:val="16"/>
        </w:rPr>
        <w:t> </w:t>
      </w:r>
      <w:r>
        <w:rPr>
          <w:color w:val="231F20"/>
          <w:sz w:val="16"/>
        </w:rPr>
        <w:t>del</w:t>
      </w:r>
      <w:r>
        <w:rPr>
          <w:color w:val="231F20"/>
          <w:spacing w:val="-9"/>
          <w:sz w:val="16"/>
        </w:rPr>
        <w:t> </w:t>
      </w:r>
      <w:r>
        <w:rPr>
          <w:color w:val="231F20"/>
          <w:sz w:val="16"/>
        </w:rPr>
        <w:t>trabajo</w:t>
      </w:r>
      <w:r>
        <w:rPr>
          <w:color w:val="231F20"/>
          <w:spacing w:val="-9"/>
          <w:sz w:val="16"/>
        </w:rPr>
        <w:t> </w:t>
      </w:r>
      <w:r>
        <w:rPr>
          <w:color w:val="231F20"/>
          <w:sz w:val="16"/>
        </w:rPr>
        <w:t>e</w:t>
      </w:r>
      <w:r>
        <w:rPr>
          <w:color w:val="231F20"/>
          <w:spacing w:val="-9"/>
          <w:sz w:val="16"/>
        </w:rPr>
        <w:t> </w:t>
      </w:r>
      <w:r>
        <w:rPr>
          <w:color w:val="231F20"/>
          <w:sz w:val="16"/>
        </w:rPr>
        <w:t>incorporar</w:t>
      </w:r>
      <w:r>
        <w:rPr>
          <w:color w:val="231F20"/>
          <w:spacing w:val="-9"/>
          <w:sz w:val="16"/>
        </w:rPr>
        <w:t> </w:t>
      </w:r>
      <w:r>
        <w:rPr>
          <w:color w:val="231F20"/>
          <w:sz w:val="16"/>
        </w:rPr>
        <w:t>la</w:t>
      </w:r>
      <w:r>
        <w:rPr>
          <w:color w:val="231F20"/>
          <w:spacing w:val="-9"/>
          <w:sz w:val="16"/>
        </w:rPr>
        <w:t> </w:t>
      </w:r>
      <w:r>
        <w:rPr>
          <w:color w:val="231F20"/>
          <w:sz w:val="16"/>
        </w:rPr>
        <w:t>innovación</w:t>
      </w:r>
      <w:r>
        <w:rPr>
          <w:color w:val="231F20"/>
          <w:spacing w:val="-9"/>
          <w:sz w:val="16"/>
        </w:rPr>
        <w:t> </w:t>
      </w:r>
      <w:r>
        <w:rPr>
          <w:color w:val="231F20"/>
          <w:sz w:val="16"/>
        </w:rPr>
        <w:t>tecnológica,</w:t>
      </w:r>
      <w:r>
        <w:rPr>
          <w:color w:val="231F20"/>
          <w:spacing w:val="-9"/>
          <w:sz w:val="16"/>
        </w:rPr>
        <w:t> </w:t>
      </w:r>
      <w:r>
        <w:rPr>
          <w:color w:val="231F20"/>
          <w:sz w:val="16"/>
        </w:rPr>
        <w:t>y</w:t>
      </w:r>
      <w:r>
        <w:rPr>
          <w:color w:val="231F20"/>
          <w:spacing w:val="-9"/>
          <w:sz w:val="16"/>
        </w:rPr>
        <w:t> </w:t>
      </w:r>
      <w:r>
        <w:rPr>
          <w:color w:val="231F20"/>
          <w:sz w:val="16"/>
        </w:rPr>
        <w:t>con</w:t>
      </w:r>
      <w:r>
        <w:rPr>
          <w:color w:val="231F20"/>
          <w:spacing w:val="-9"/>
          <w:sz w:val="16"/>
        </w:rPr>
        <w:t> </w:t>
      </w:r>
      <w:r>
        <w:rPr>
          <w:color w:val="231F20"/>
          <w:sz w:val="16"/>
        </w:rPr>
        <w:t>ello</w:t>
      </w:r>
      <w:r>
        <w:rPr>
          <w:color w:val="231F20"/>
          <w:spacing w:val="-9"/>
          <w:sz w:val="16"/>
        </w:rPr>
        <w:t> </w:t>
      </w:r>
      <w:r>
        <w:rPr>
          <w:color w:val="231F20"/>
          <w:sz w:val="16"/>
        </w:rPr>
        <w:t>fortalecer</w:t>
      </w:r>
      <w:r>
        <w:rPr>
          <w:color w:val="231F20"/>
          <w:spacing w:val="-9"/>
          <w:sz w:val="16"/>
        </w:rPr>
        <w:t> </w:t>
      </w:r>
      <w:r>
        <w:rPr>
          <w:color w:val="231F20"/>
          <w:sz w:val="16"/>
        </w:rPr>
        <w:t>la</w:t>
      </w:r>
      <w:r>
        <w:rPr>
          <w:color w:val="231F20"/>
          <w:spacing w:val="-9"/>
          <w:sz w:val="16"/>
        </w:rPr>
        <w:t> </w:t>
      </w:r>
      <w:r>
        <w:rPr>
          <w:color w:val="231F20"/>
          <w:sz w:val="16"/>
        </w:rPr>
        <w:t>competitividad</w:t>
      </w:r>
      <w:r>
        <w:rPr>
          <w:color w:val="231F20"/>
          <w:spacing w:val="-9"/>
          <w:sz w:val="16"/>
        </w:rPr>
        <w:t> </w:t>
      </w:r>
      <w:r>
        <w:rPr>
          <w:color w:val="231F20"/>
          <w:sz w:val="16"/>
        </w:rPr>
        <w:t>de</w:t>
      </w:r>
      <w:r>
        <w:rPr>
          <w:color w:val="231F20"/>
          <w:spacing w:val="-9"/>
          <w:sz w:val="16"/>
        </w:rPr>
        <w:t> </w:t>
      </w:r>
      <w:r>
        <w:rPr>
          <w:color w:val="231F20"/>
          <w:sz w:val="16"/>
        </w:rPr>
        <w:t>las</w:t>
      </w:r>
      <w:r>
        <w:rPr>
          <w:color w:val="231F20"/>
          <w:spacing w:val="-9"/>
          <w:sz w:val="16"/>
        </w:rPr>
        <w:t> </w:t>
      </w:r>
      <w:r>
        <w:rPr>
          <w:color w:val="231F20"/>
          <w:sz w:val="16"/>
        </w:rPr>
        <w:t>economías. Como se comprenderá, los rezagos y las deserciones del sistema educativo definen situaciones sociales excluyentes… Sin duda</w:t>
      </w:r>
      <w:r>
        <w:rPr>
          <w:color w:val="231F20"/>
          <w:spacing w:val="-13"/>
          <w:sz w:val="16"/>
        </w:rPr>
        <w:t> </w:t>
      </w:r>
      <w:r>
        <w:rPr>
          <w:color w:val="231F20"/>
          <w:sz w:val="16"/>
        </w:rPr>
        <w:t>la</w:t>
      </w:r>
      <w:r>
        <w:rPr>
          <w:color w:val="231F20"/>
          <w:spacing w:val="-13"/>
          <w:sz w:val="16"/>
        </w:rPr>
        <w:t> </w:t>
      </w:r>
      <w:r>
        <w:rPr>
          <w:color w:val="231F20"/>
          <w:sz w:val="16"/>
        </w:rPr>
        <w:t>mayor</w:t>
      </w:r>
      <w:r>
        <w:rPr>
          <w:color w:val="231F20"/>
          <w:spacing w:val="-13"/>
          <w:sz w:val="16"/>
        </w:rPr>
        <w:t> </w:t>
      </w:r>
      <w:r>
        <w:rPr>
          <w:color w:val="231F20"/>
          <w:sz w:val="16"/>
        </w:rPr>
        <w:t>intensidad</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marginación</w:t>
      </w:r>
      <w:r>
        <w:rPr>
          <w:color w:val="231F20"/>
          <w:spacing w:val="-13"/>
          <w:sz w:val="16"/>
        </w:rPr>
        <w:t> </w:t>
      </w:r>
      <w:r>
        <w:rPr>
          <w:color w:val="231F20"/>
          <w:sz w:val="16"/>
        </w:rPr>
        <w:t>social,</w:t>
      </w:r>
      <w:r>
        <w:rPr>
          <w:color w:val="231F20"/>
          <w:spacing w:val="-13"/>
          <w:sz w:val="16"/>
        </w:rPr>
        <w:t> </w:t>
      </w:r>
      <w:r>
        <w:rPr>
          <w:color w:val="231F20"/>
          <w:sz w:val="16"/>
        </w:rPr>
        <w:t>derivada</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falta</w:t>
      </w:r>
      <w:r>
        <w:rPr>
          <w:color w:val="231F20"/>
          <w:spacing w:val="-13"/>
          <w:sz w:val="16"/>
        </w:rPr>
        <w:t> </w:t>
      </w:r>
      <w:r>
        <w:rPr>
          <w:color w:val="231F20"/>
          <w:sz w:val="16"/>
        </w:rPr>
        <w:t>de</w:t>
      </w:r>
      <w:r>
        <w:rPr>
          <w:color w:val="231F20"/>
          <w:spacing w:val="-13"/>
          <w:sz w:val="16"/>
        </w:rPr>
        <w:t> </w:t>
      </w:r>
      <w:r>
        <w:rPr>
          <w:color w:val="231F20"/>
          <w:sz w:val="16"/>
        </w:rPr>
        <w:t>participación</w:t>
      </w:r>
      <w:r>
        <w:rPr>
          <w:color w:val="231F20"/>
          <w:spacing w:val="-13"/>
          <w:sz w:val="16"/>
        </w:rPr>
        <w:t> </w:t>
      </w:r>
      <w:r>
        <w:rPr>
          <w:color w:val="231F20"/>
          <w:sz w:val="16"/>
        </w:rPr>
        <w:t>en</w:t>
      </w:r>
      <w:r>
        <w:rPr>
          <w:color w:val="231F20"/>
          <w:spacing w:val="-13"/>
          <w:sz w:val="16"/>
        </w:rPr>
        <w:t> </w:t>
      </w:r>
      <w:r>
        <w:rPr>
          <w:color w:val="231F20"/>
          <w:sz w:val="16"/>
        </w:rPr>
        <w:t>el</w:t>
      </w:r>
      <w:r>
        <w:rPr>
          <w:color w:val="231F20"/>
          <w:spacing w:val="-13"/>
          <w:sz w:val="16"/>
        </w:rPr>
        <w:t> </w:t>
      </w:r>
      <w:r>
        <w:rPr>
          <w:color w:val="231F20"/>
          <w:sz w:val="16"/>
        </w:rPr>
        <w:t>sistema</w:t>
      </w:r>
      <w:r>
        <w:rPr>
          <w:color w:val="231F20"/>
          <w:spacing w:val="-13"/>
          <w:sz w:val="16"/>
        </w:rPr>
        <w:t> </w:t>
      </w:r>
      <w:r>
        <w:rPr>
          <w:color w:val="231F20"/>
          <w:sz w:val="16"/>
        </w:rPr>
        <w:t>educativo,</w:t>
      </w:r>
      <w:r>
        <w:rPr>
          <w:color w:val="231F20"/>
          <w:spacing w:val="-13"/>
          <w:sz w:val="16"/>
        </w:rPr>
        <w:t> </w:t>
      </w:r>
      <w:r>
        <w:rPr>
          <w:color w:val="231F20"/>
          <w:sz w:val="16"/>
        </w:rPr>
        <w:t>se</w:t>
      </w:r>
      <w:r>
        <w:rPr>
          <w:color w:val="231F20"/>
          <w:spacing w:val="-13"/>
          <w:sz w:val="16"/>
        </w:rPr>
        <w:t> </w:t>
      </w:r>
      <w:r>
        <w:rPr>
          <w:color w:val="231F20"/>
          <w:sz w:val="16"/>
        </w:rPr>
        <w:t>registra</w:t>
      </w:r>
      <w:r>
        <w:rPr>
          <w:color w:val="231F20"/>
          <w:spacing w:val="-13"/>
          <w:sz w:val="16"/>
        </w:rPr>
        <w:t> </w:t>
      </w:r>
      <w:r>
        <w:rPr>
          <w:color w:val="231F20"/>
          <w:sz w:val="16"/>
        </w:rPr>
        <w:t>en la</w:t>
      </w:r>
      <w:r>
        <w:rPr>
          <w:color w:val="231F20"/>
          <w:spacing w:val="-8"/>
          <w:sz w:val="16"/>
        </w:rPr>
        <w:t> </w:t>
      </w:r>
      <w:r>
        <w:rPr>
          <w:color w:val="231F20"/>
          <w:sz w:val="16"/>
        </w:rPr>
        <w:t>población</w:t>
      </w:r>
      <w:r>
        <w:rPr>
          <w:color w:val="231F20"/>
          <w:spacing w:val="-8"/>
          <w:sz w:val="16"/>
        </w:rPr>
        <w:t> </w:t>
      </w:r>
      <w:r>
        <w:rPr>
          <w:color w:val="231F20"/>
          <w:sz w:val="16"/>
        </w:rPr>
        <w:t>que</w:t>
      </w:r>
      <w:r>
        <w:rPr>
          <w:color w:val="231F20"/>
          <w:spacing w:val="-8"/>
          <w:sz w:val="16"/>
        </w:rPr>
        <w:t> </w:t>
      </w:r>
      <w:r>
        <w:rPr>
          <w:color w:val="231F20"/>
          <w:sz w:val="16"/>
        </w:rPr>
        <w:t>carece</w:t>
      </w:r>
      <w:r>
        <w:rPr>
          <w:color w:val="231F20"/>
          <w:spacing w:val="-8"/>
          <w:sz w:val="16"/>
        </w:rPr>
        <w:t> </w:t>
      </w:r>
      <w:r>
        <w:rPr>
          <w:color w:val="231F20"/>
          <w:sz w:val="16"/>
        </w:rPr>
        <w:t>de</w:t>
      </w:r>
      <w:r>
        <w:rPr>
          <w:color w:val="231F20"/>
          <w:spacing w:val="-8"/>
          <w:sz w:val="16"/>
        </w:rPr>
        <w:t> </w:t>
      </w:r>
      <w:r>
        <w:rPr>
          <w:color w:val="231F20"/>
          <w:sz w:val="16"/>
        </w:rPr>
        <w:t>los</w:t>
      </w:r>
      <w:r>
        <w:rPr>
          <w:color w:val="231F20"/>
          <w:spacing w:val="-8"/>
          <w:sz w:val="16"/>
        </w:rPr>
        <w:t> </w:t>
      </w:r>
      <w:r>
        <w:rPr>
          <w:color w:val="231F20"/>
          <w:sz w:val="16"/>
        </w:rPr>
        <w:t>conocimientos</w:t>
      </w:r>
      <w:r>
        <w:rPr>
          <w:color w:val="231F20"/>
          <w:spacing w:val="-8"/>
          <w:sz w:val="16"/>
        </w:rPr>
        <w:t> </w:t>
      </w:r>
      <w:r>
        <w:rPr>
          <w:color w:val="231F20"/>
          <w:sz w:val="16"/>
        </w:rPr>
        <w:t>que</w:t>
      </w:r>
      <w:r>
        <w:rPr>
          <w:color w:val="231F20"/>
          <w:spacing w:val="-8"/>
          <w:sz w:val="16"/>
        </w:rPr>
        <w:t> </w:t>
      </w:r>
      <w:r>
        <w:rPr>
          <w:color w:val="231F20"/>
          <w:sz w:val="16"/>
        </w:rPr>
        <w:t>pueden</w:t>
      </w:r>
      <w:r>
        <w:rPr>
          <w:color w:val="231F20"/>
          <w:spacing w:val="-8"/>
          <w:sz w:val="16"/>
        </w:rPr>
        <w:t> </w:t>
      </w:r>
      <w:r>
        <w:rPr>
          <w:color w:val="231F20"/>
          <w:sz w:val="16"/>
        </w:rPr>
        <w:t>adquirirse</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primer</w:t>
      </w:r>
      <w:r>
        <w:rPr>
          <w:color w:val="231F20"/>
          <w:spacing w:val="-8"/>
          <w:sz w:val="16"/>
        </w:rPr>
        <w:t> </w:t>
      </w:r>
      <w:r>
        <w:rPr>
          <w:color w:val="231F20"/>
          <w:sz w:val="16"/>
        </w:rPr>
        <w:t>nivel</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educación</w:t>
      </w:r>
      <w:r>
        <w:rPr>
          <w:color w:val="231F20"/>
          <w:spacing w:val="-8"/>
          <w:sz w:val="16"/>
        </w:rPr>
        <w:t> </w:t>
      </w:r>
      <w:r>
        <w:rPr>
          <w:color w:val="231F20"/>
          <w:sz w:val="16"/>
        </w:rPr>
        <w:t>básica,</w:t>
      </w:r>
      <w:r>
        <w:rPr>
          <w:color w:val="231F20"/>
          <w:spacing w:val="-8"/>
          <w:sz w:val="16"/>
        </w:rPr>
        <w:t> </w:t>
      </w:r>
      <w:r>
        <w:rPr>
          <w:color w:val="231F20"/>
          <w:sz w:val="16"/>
        </w:rPr>
        <w:t>cuya</w:t>
      </w:r>
      <w:r>
        <w:rPr>
          <w:color w:val="231F20"/>
          <w:spacing w:val="-8"/>
          <w:sz w:val="16"/>
        </w:rPr>
        <w:t> </w:t>
      </w:r>
      <w:r>
        <w:rPr>
          <w:color w:val="231F20"/>
          <w:sz w:val="16"/>
        </w:rPr>
        <w:t>desven- taja</w:t>
      </w:r>
      <w:r>
        <w:rPr>
          <w:color w:val="231F20"/>
          <w:spacing w:val="-9"/>
          <w:sz w:val="16"/>
        </w:rPr>
        <w:t> </w:t>
      </w:r>
      <w:r>
        <w:rPr>
          <w:color w:val="231F20"/>
          <w:sz w:val="16"/>
        </w:rPr>
        <w:t>se</w:t>
      </w:r>
      <w:r>
        <w:rPr>
          <w:color w:val="231F20"/>
          <w:spacing w:val="-9"/>
          <w:sz w:val="16"/>
        </w:rPr>
        <w:t> </w:t>
      </w:r>
      <w:r>
        <w:rPr>
          <w:color w:val="231F20"/>
          <w:sz w:val="16"/>
        </w:rPr>
        <w:t>acentúa</w:t>
      </w:r>
      <w:r>
        <w:rPr>
          <w:color w:val="231F20"/>
          <w:spacing w:val="-9"/>
          <w:sz w:val="16"/>
        </w:rPr>
        <w:t> </w:t>
      </w:r>
      <w:r>
        <w:rPr>
          <w:color w:val="231F20"/>
          <w:sz w:val="16"/>
        </w:rPr>
        <w:t>entre</w:t>
      </w:r>
      <w:r>
        <w:rPr>
          <w:color w:val="231F20"/>
          <w:spacing w:val="-9"/>
          <w:sz w:val="16"/>
        </w:rPr>
        <w:t> </w:t>
      </w:r>
      <w:r>
        <w:rPr>
          <w:color w:val="231F20"/>
          <w:sz w:val="16"/>
        </w:rPr>
        <w:t>los</w:t>
      </w:r>
      <w:r>
        <w:rPr>
          <w:color w:val="231F20"/>
          <w:spacing w:val="-9"/>
          <w:sz w:val="16"/>
        </w:rPr>
        <w:t> </w:t>
      </w:r>
      <w:r>
        <w:rPr>
          <w:color w:val="231F20"/>
          <w:sz w:val="16"/>
        </w:rPr>
        <w:t>adultos.</w:t>
      </w:r>
      <w:r>
        <w:rPr>
          <w:color w:val="231F20"/>
          <w:spacing w:val="-9"/>
          <w:sz w:val="16"/>
        </w:rPr>
        <w:t> </w:t>
      </w:r>
      <w:r>
        <w:rPr>
          <w:color w:val="231F20"/>
          <w:sz w:val="16"/>
        </w:rPr>
        <w:t>En</w:t>
      </w:r>
      <w:r>
        <w:rPr>
          <w:color w:val="231F20"/>
          <w:spacing w:val="-9"/>
          <w:sz w:val="16"/>
        </w:rPr>
        <w:t> </w:t>
      </w:r>
      <w:r>
        <w:rPr>
          <w:color w:val="231F20"/>
          <w:sz w:val="16"/>
        </w:rPr>
        <w:t>atención</w:t>
      </w:r>
      <w:r>
        <w:rPr>
          <w:color w:val="231F20"/>
          <w:spacing w:val="-9"/>
          <w:sz w:val="16"/>
        </w:rPr>
        <w:t> </w:t>
      </w:r>
      <w:r>
        <w:rPr>
          <w:color w:val="231F20"/>
          <w:sz w:val="16"/>
        </w:rPr>
        <w:t>a</w:t>
      </w:r>
      <w:r>
        <w:rPr>
          <w:color w:val="231F20"/>
          <w:spacing w:val="-9"/>
          <w:sz w:val="16"/>
        </w:rPr>
        <w:t> </w:t>
      </w:r>
      <w:r>
        <w:rPr>
          <w:color w:val="231F20"/>
          <w:sz w:val="16"/>
        </w:rPr>
        <w:t>estas</w:t>
      </w:r>
      <w:r>
        <w:rPr>
          <w:color w:val="231F20"/>
          <w:spacing w:val="-9"/>
          <w:sz w:val="16"/>
        </w:rPr>
        <w:t> </w:t>
      </w:r>
      <w:r>
        <w:rPr>
          <w:color w:val="231F20"/>
          <w:sz w:val="16"/>
        </w:rPr>
        <w:t>consideraciones,</w:t>
      </w:r>
      <w:r>
        <w:rPr>
          <w:color w:val="231F20"/>
          <w:spacing w:val="-9"/>
          <w:sz w:val="16"/>
        </w:rPr>
        <w:t> </w:t>
      </w:r>
      <w:r>
        <w:rPr>
          <w:color w:val="231F20"/>
          <w:sz w:val="16"/>
        </w:rPr>
        <w:t>los</w:t>
      </w:r>
      <w:r>
        <w:rPr>
          <w:color w:val="231F20"/>
          <w:spacing w:val="-9"/>
          <w:sz w:val="16"/>
        </w:rPr>
        <w:t> </w:t>
      </w:r>
      <w:r>
        <w:rPr>
          <w:color w:val="231F20"/>
          <w:sz w:val="16"/>
        </w:rPr>
        <w:t>indicadores</w:t>
      </w:r>
      <w:r>
        <w:rPr>
          <w:color w:val="231F20"/>
          <w:spacing w:val="-9"/>
          <w:sz w:val="16"/>
        </w:rPr>
        <w:t> </w:t>
      </w:r>
      <w:r>
        <w:rPr>
          <w:color w:val="231F20"/>
          <w:sz w:val="16"/>
        </w:rPr>
        <w:t>de</w:t>
      </w:r>
      <w:r>
        <w:rPr>
          <w:color w:val="231F20"/>
          <w:spacing w:val="-9"/>
          <w:sz w:val="16"/>
        </w:rPr>
        <w:t> </w:t>
      </w:r>
      <w:r>
        <w:rPr>
          <w:color w:val="231F20"/>
          <w:sz w:val="16"/>
        </w:rPr>
        <w:t>educación</w:t>
      </w:r>
      <w:r>
        <w:rPr>
          <w:color w:val="231F20"/>
          <w:spacing w:val="-9"/>
          <w:sz w:val="16"/>
        </w:rPr>
        <w:t> </w:t>
      </w:r>
      <w:r>
        <w:rPr>
          <w:color w:val="231F20"/>
          <w:sz w:val="16"/>
        </w:rPr>
        <w:t>que</w:t>
      </w:r>
      <w:r>
        <w:rPr>
          <w:color w:val="231F20"/>
          <w:spacing w:val="-9"/>
          <w:sz w:val="16"/>
        </w:rPr>
        <w:t> </w:t>
      </w:r>
      <w:r>
        <w:rPr>
          <w:color w:val="231F20"/>
          <w:sz w:val="16"/>
        </w:rPr>
        <w:t>reflejan</w:t>
      </w:r>
      <w:r>
        <w:rPr>
          <w:color w:val="231F20"/>
          <w:spacing w:val="-9"/>
          <w:sz w:val="16"/>
        </w:rPr>
        <w:t> </w:t>
      </w:r>
      <w:r>
        <w:rPr>
          <w:color w:val="231F20"/>
          <w:sz w:val="16"/>
        </w:rPr>
        <w:t>los</w:t>
      </w:r>
      <w:r>
        <w:rPr>
          <w:color w:val="231F20"/>
          <w:spacing w:val="-9"/>
          <w:sz w:val="16"/>
        </w:rPr>
        <w:t> </w:t>
      </w:r>
      <w:r>
        <w:rPr>
          <w:color w:val="231F20"/>
          <w:sz w:val="16"/>
        </w:rPr>
        <w:t>rezagos</w:t>
      </w:r>
    </w:p>
    <w:p>
      <w:pPr>
        <w:spacing w:after="0" w:line="244" w:lineRule="auto"/>
        <w:jc w:val="both"/>
        <w:rPr>
          <w:sz w:val="16"/>
        </w:rPr>
        <w:sectPr>
          <w:footerReference w:type="default" r:id="rId675"/>
          <w:pgSz w:w="9640" w:h="12190"/>
          <w:pgMar w:footer="683" w:header="0" w:top="1120" w:bottom="880" w:left="740" w:right="740"/>
          <w:pgNumType w:start="320"/>
        </w:sectPr>
      </w:pPr>
    </w:p>
    <w:p>
      <w:pPr>
        <w:pStyle w:val="BodyText"/>
        <w:spacing w:before="5"/>
        <w:rPr>
          <w:rFonts w:ascii="Calibri"/>
          <w:sz w:val="9"/>
        </w:rPr>
      </w:pPr>
    </w:p>
    <w:p>
      <w:pPr>
        <w:pStyle w:val="BodyText"/>
        <w:spacing w:line="285" w:lineRule="auto" w:before="50"/>
        <w:ind w:left="110" w:right="107" w:hanging="1"/>
        <w:jc w:val="both"/>
      </w:pPr>
      <w:r>
        <w:rPr>
          <w:color w:val="231F20"/>
          <w:w w:val="105"/>
        </w:rPr>
        <w:t>de viviendas dignas</w:t>
      </w:r>
      <w:r>
        <w:rPr>
          <w:color w:val="231F20"/>
          <w:w w:val="105"/>
          <w:position w:val="7"/>
          <w:sz w:val="13"/>
        </w:rPr>
        <w:t>39. </w:t>
      </w:r>
      <w:r>
        <w:rPr>
          <w:color w:val="231F20"/>
          <w:w w:val="105"/>
        </w:rPr>
        <w:t>La solución requiere de visiones integrales que ataquen los pro- blemas</w:t>
      </w:r>
      <w:r>
        <w:rPr>
          <w:color w:val="231F20"/>
          <w:spacing w:val="-9"/>
          <w:w w:val="105"/>
        </w:rPr>
        <w:t> </w:t>
      </w:r>
      <w:r>
        <w:rPr>
          <w:color w:val="231F20"/>
          <w:w w:val="105"/>
        </w:rPr>
        <w:t>desde</w:t>
      </w:r>
      <w:r>
        <w:rPr>
          <w:color w:val="231F20"/>
          <w:spacing w:val="-9"/>
          <w:w w:val="105"/>
        </w:rPr>
        <w:t> </w:t>
      </w:r>
      <w:r>
        <w:rPr>
          <w:color w:val="231F20"/>
          <w:w w:val="105"/>
        </w:rPr>
        <w:t>sus</w:t>
      </w:r>
      <w:r>
        <w:rPr>
          <w:color w:val="231F20"/>
          <w:spacing w:val="-9"/>
          <w:w w:val="105"/>
        </w:rPr>
        <w:t> </w:t>
      </w:r>
      <w:r>
        <w:rPr>
          <w:color w:val="231F20"/>
          <w:w w:val="105"/>
        </w:rPr>
        <w:t>causas</w:t>
      </w:r>
      <w:r>
        <w:rPr>
          <w:color w:val="231F20"/>
          <w:spacing w:val="-9"/>
          <w:w w:val="105"/>
        </w:rPr>
        <w:t> </w:t>
      </w:r>
      <w:r>
        <w:rPr>
          <w:color w:val="231F20"/>
          <w:w w:val="105"/>
        </w:rPr>
        <w:t>estructurales.</w:t>
      </w:r>
      <w:r>
        <w:rPr>
          <w:color w:val="231F20"/>
          <w:spacing w:val="-9"/>
          <w:w w:val="105"/>
        </w:rPr>
        <w:t> </w:t>
      </w:r>
      <w:r>
        <w:rPr>
          <w:color w:val="231F20"/>
          <w:w w:val="105"/>
        </w:rPr>
        <w:t>Aún</w:t>
      </w:r>
      <w:r>
        <w:rPr>
          <w:color w:val="231F20"/>
          <w:spacing w:val="-9"/>
          <w:w w:val="105"/>
        </w:rPr>
        <w:t> </w:t>
      </w:r>
      <w:r>
        <w:rPr>
          <w:color w:val="231F20"/>
          <w:w w:val="105"/>
        </w:rPr>
        <w:t>falta</w:t>
      </w:r>
      <w:r>
        <w:rPr>
          <w:color w:val="231F20"/>
          <w:spacing w:val="-9"/>
          <w:w w:val="105"/>
        </w:rPr>
        <w:t> </w:t>
      </w:r>
      <w:r>
        <w:rPr>
          <w:color w:val="231F20"/>
          <w:spacing w:val="-3"/>
          <w:w w:val="105"/>
        </w:rPr>
        <w:t>mucho</w:t>
      </w:r>
      <w:r>
        <w:rPr>
          <w:color w:val="231F20"/>
          <w:spacing w:val="-9"/>
          <w:w w:val="105"/>
        </w:rPr>
        <w:t> </w:t>
      </w:r>
      <w:r>
        <w:rPr>
          <w:color w:val="231F20"/>
          <w:w w:val="105"/>
        </w:rPr>
        <w:t>por</w:t>
      </w:r>
      <w:r>
        <w:rPr>
          <w:color w:val="231F20"/>
          <w:spacing w:val="-9"/>
          <w:w w:val="105"/>
        </w:rPr>
        <w:t> </w:t>
      </w:r>
      <w:r>
        <w:rPr>
          <w:color w:val="231F20"/>
          <w:w w:val="105"/>
        </w:rPr>
        <w:t>hacer</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zona</w:t>
      </w:r>
      <w:r>
        <w:rPr>
          <w:color w:val="231F20"/>
          <w:spacing w:val="-9"/>
          <w:w w:val="105"/>
        </w:rPr>
        <w:t> </w:t>
      </w:r>
      <w:r>
        <w:rPr>
          <w:color w:val="231F20"/>
          <w:w w:val="105"/>
        </w:rPr>
        <w:t>oriente</w:t>
      </w:r>
      <w:r>
        <w:rPr>
          <w:color w:val="231F20"/>
          <w:spacing w:val="-9"/>
          <w:w w:val="105"/>
        </w:rPr>
        <w:t> </w:t>
      </w:r>
      <w:r>
        <w:rPr>
          <w:color w:val="231F20"/>
          <w:w w:val="105"/>
        </w:rPr>
        <w:t>en términos</w:t>
      </w:r>
      <w:r>
        <w:rPr>
          <w:color w:val="231F20"/>
          <w:spacing w:val="-14"/>
          <w:w w:val="105"/>
        </w:rPr>
        <w:t> </w:t>
      </w:r>
      <w:r>
        <w:rPr>
          <w:color w:val="231F20"/>
          <w:w w:val="105"/>
        </w:rPr>
        <w:t>de</w:t>
      </w:r>
      <w:r>
        <w:rPr>
          <w:color w:val="231F20"/>
          <w:spacing w:val="-14"/>
          <w:w w:val="105"/>
        </w:rPr>
        <w:t> </w:t>
      </w:r>
      <w:r>
        <w:rPr>
          <w:color w:val="231F20"/>
          <w:w w:val="105"/>
        </w:rPr>
        <w:t>salud,</w:t>
      </w:r>
      <w:r>
        <w:rPr>
          <w:color w:val="231F20"/>
          <w:spacing w:val="-14"/>
          <w:w w:val="105"/>
        </w:rPr>
        <w:t> </w:t>
      </w:r>
      <w:r>
        <w:rPr>
          <w:color w:val="231F20"/>
          <w:w w:val="105"/>
        </w:rPr>
        <w:t>vivienda,</w:t>
      </w:r>
      <w:r>
        <w:rPr>
          <w:color w:val="231F20"/>
          <w:spacing w:val="-14"/>
          <w:w w:val="105"/>
        </w:rPr>
        <w:t> </w:t>
      </w:r>
      <w:r>
        <w:rPr>
          <w:color w:val="231F20"/>
          <w:w w:val="105"/>
        </w:rPr>
        <w:t>educación</w:t>
      </w:r>
      <w:r>
        <w:rPr>
          <w:color w:val="231F20"/>
          <w:spacing w:val="-14"/>
          <w:w w:val="105"/>
        </w:rPr>
        <w:t> </w:t>
      </w:r>
      <w:r>
        <w:rPr>
          <w:color w:val="231F20"/>
          <w:w w:val="105"/>
        </w:rPr>
        <w:t>y</w:t>
      </w:r>
      <w:r>
        <w:rPr>
          <w:color w:val="231F20"/>
          <w:spacing w:val="-14"/>
          <w:w w:val="105"/>
        </w:rPr>
        <w:t> </w:t>
      </w:r>
      <w:r>
        <w:rPr>
          <w:color w:val="231F20"/>
          <w:w w:val="105"/>
        </w:rPr>
        <w:t>oportunidades</w:t>
      </w:r>
      <w:r>
        <w:rPr>
          <w:color w:val="231F20"/>
          <w:spacing w:val="-14"/>
          <w:w w:val="105"/>
        </w:rPr>
        <w:t> </w:t>
      </w:r>
      <w:r>
        <w:rPr>
          <w:color w:val="231F20"/>
          <w:w w:val="105"/>
        </w:rPr>
        <w:t>de</w:t>
      </w:r>
      <w:r>
        <w:rPr>
          <w:color w:val="231F20"/>
          <w:spacing w:val="-14"/>
          <w:w w:val="105"/>
        </w:rPr>
        <w:t> </w:t>
      </w:r>
      <w:r>
        <w:rPr>
          <w:color w:val="231F20"/>
          <w:w w:val="105"/>
        </w:rPr>
        <w:t>trabajo.</w:t>
      </w:r>
    </w:p>
    <w:p>
      <w:pPr>
        <w:pStyle w:val="BodyText"/>
        <w:spacing w:before="1"/>
        <w:rPr>
          <w:sz w:val="26"/>
        </w:rPr>
      </w:pPr>
    </w:p>
    <w:p>
      <w:pPr>
        <w:pStyle w:val="BodyText"/>
        <w:spacing w:line="285" w:lineRule="auto"/>
        <w:ind w:left="110" w:right="107"/>
        <w:jc w:val="both"/>
      </w:pPr>
      <w:r>
        <w:rPr>
          <w:color w:val="231F20"/>
        </w:rPr>
        <w:t>Haciendo una comparación de diversos indicadores sociodemográficos con los que se cuenta a través del INEGI, la CONAPO y el </w:t>
      </w:r>
      <w:r>
        <w:rPr>
          <w:color w:val="231F20"/>
          <w:spacing w:val="-3"/>
        </w:rPr>
        <w:t>propio </w:t>
      </w:r>
      <w:r>
        <w:rPr>
          <w:color w:val="231F20"/>
        </w:rPr>
        <w:t>municipio, del </w:t>
      </w:r>
      <w:r>
        <w:rPr>
          <w:color w:val="231F20"/>
          <w:spacing w:val="4"/>
        </w:rPr>
        <w:t>2000 </w:t>
      </w:r>
      <w:r>
        <w:rPr>
          <w:color w:val="231F20"/>
          <w:spacing w:val="2"/>
        </w:rPr>
        <w:t>al 2005, </w:t>
      </w:r>
      <w:r>
        <w:rPr>
          <w:color w:val="231F20"/>
        </w:rPr>
        <w:t>tenemos que la situación fue la siguiente. En cuanto a la población, decreció de </w:t>
      </w:r>
      <w:r>
        <w:rPr>
          <w:color w:val="231F20"/>
          <w:spacing w:val="-4"/>
        </w:rPr>
        <w:t>721,415 </w:t>
      </w:r>
      <w:r>
        <w:rPr>
          <w:color w:val="231F20"/>
        </w:rPr>
        <w:t>a 683,808 habitantes. El porcentaje de población analfabeta de 15 años o más disminuyó de 3.66%   a </w:t>
      </w:r>
      <w:r>
        <w:rPr>
          <w:color w:val="231F20"/>
          <w:spacing w:val="-4"/>
        </w:rPr>
        <w:t>3.16%. </w:t>
      </w:r>
      <w:r>
        <w:rPr>
          <w:color w:val="231F20"/>
        </w:rPr>
        <w:t>Igualmente lo hizo la población sin primaria completa de 15 años o más, pa- sando de </w:t>
      </w:r>
      <w:r>
        <w:rPr>
          <w:color w:val="231F20"/>
          <w:spacing w:val="-5"/>
        </w:rPr>
        <w:t>14.10% </w:t>
      </w:r>
      <w:r>
        <w:rPr>
          <w:color w:val="231F20"/>
        </w:rPr>
        <w:t>a 11.23. Los ocupantes en viviendas sin drenaje ni servicio sanitario exclusivo eran </w:t>
      </w:r>
      <w:r>
        <w:rPr>
          <w:color w:val="231F20"/>
          <w:spacing w:val="-4"/>
        </w:rPr>
        <w:t>0.41% </w:t>
      </w:r>
      <w:r>
        <w:rPr>
          <w:color w:val="231F20"/>
        </w:rPr>
        <w:t>y disminuyeron a 0.10%. Los ocupantes en viviendas sin energía eléctrica de </w:t>
      </w:r>
      <w:r>
        <w:rPr>
          <w:color w:val="231F20"/>
          <w:spacing w:val="-6"/>
        </w:rPr>
        <w:t>0.11% </w:t>
      </w:r>
      <w:r>
        <w:rPr>
          <w:color w:val="231F20"/>
        </w:rPr>
        <w:t>se aumentaron a </w:t>
      </w:r>
      <w:r>
        <w:rPr>
          <w:color w:val="231F20"/>
          <w:spacing w:val="-4"/>
        </w:rPr>
        <w:t>0.14%. </w:t>
      </w:r>
      <w:r>
        <w:rPr>
          <w:color w:val="231F20"/>
        </w:rPr>
        <w:t>Mientras que los ocupantes en viviendas sin agua entubada crecieron de </w:t>
      </w:r>
      <w:r>
        <w:rPr>
          <w:color w:val="231F20"/>
          <w:spacing w:val="-3"/>
        </w:rPr>
        <w:t>0.93% </w:t>
      </w:r>
      <w:r>
        <w:rPr>
          <w:color w:val="231F20"/>
        </w:rPr>
        <w:t>a 1.32%. La población ocupada con ingreso de hasta    2 salarios mínimos se redujo de 45.58% a </w:t>
      </w:r>
      <w:r>
        <w:rPr>
          <w:color w:val="231F20"/>
          <w:spacing w:val="-4"/>
        </w:rPr>
        <w:t>37.52%. </w:t>
      </w:r>
      <w:r>
        <w:rPr>
          <w:color w:val="231F20"/>
        </w:rPr>
        <w:t>Finalmente, el índice de marginación cayó de </w:t>
      </w:r>
      <w:r>
        <w:rPr>
          <w:color w:val="231F20"/>
          <w:spacing w:val="-3"/>
        </w:rPr>
        <w:t>-1.82332 </w:t>
      </w:r>
      <w:r>
        <w:rPr>
          <w:color w:val="231F20"/>
        </w:rPr>
        <w:t>a </w:t>
      </w:r>
      <w:r>
        <w:rPr>
          <w:color w:val="231F20"/>
          <w:spacing w:val="-3"/>
        </w:rPr>
        <w:t>-1.78496.</w:t>
      </w:r>
    </w:p>
    <w:p>
      <w:pPr>
        <w:pStyle w:val="BodyText"/>
        <w:spacing w:before="1"/>
        <w:rPr>
          <w:sz w:val="26"/>
        </w:rPr>
      </w:pPr>
    </w:p>
    <w:p>
      <w:pPr>
        <w:pStyle w:val="BodyText"/>
        <w:spacing w:line="285" w:lineRule="auto"/>
        <w:ind w:left="110" w:right="107"/>
        <w:jc w:val="both"/>
      </w:pPr>
      <w:r>
        <w:rPr>
          <w:color w:val="231F20"/>
          <w:w w:val="105"/>
        </w:rPr>
        <w:t>Si</w:t>
      </w:r>
      <w:r>
        <w:rPr>
          <w:color w:val="231F20"/>
          <w:spacing w:val="-11"/>
          <w:w w:val="105"/>
        </w:rPr>
        <w:t> </w:t>
      </w:r>
      <w:r>
        <w:rPr>
          <w:color w:val="231F20"/>
          <w:w w:val="105"/>
        </w:rPr>
        <w:t>bien</w:t>
      </w:r>
      <w:r>
        <w:rPr>
          <w:color w:val="231F20"/>
          <w:spacing w:val="-11"/>
          <w:w w:val="105"/>
        </w:rPr>
        <w:t> </w:t>
      </w:r>
      <w:r>
        <w:rPr>
          <w:color w:val="231F20"/>
          <w:w w:val="105"/>
        </w:rPr>
        <w:t>el</w:t>
      </w:r>
      <w:r>
        <w:rPr>
          <w:color w:val="231F20"/>
          <w:spacing w:val="-12"/>
          <w:w w:val="105"/>
        </w:rPr>
        <w:t> </w:t>
      </w:r>
      <w:r>
        <w:rPr>
          <w:color w:val="231F20"/>
          <w:w w:val="105"/>
        </w:rPr>
        <w:t>grado</w:t>
      </w:r>
      <w:r>
        <w:rPr>
          <w:color w:val="231F20"/>
          <w:spacing w:val="-11"/>
          <w:w w:val="105"/>
        </w:rPr>
        <w:t> </w:t>
      </w:r>
      <w:r>
        <w:rPr>
          <w:color w:val="231F20"/>
          <w:w w:val="105"/>
        </w:rPr>
        <w:t>de</w:t>
      </w:r>
      <w:r>
        <w:rPr>
          <w:color w:val="231F20"/>
          <w:spacing w:val="-11"/>
          <w:w w:val="105"/>
        </w:rPr>
        <w:t> </w:t>
      </w:r>
      <w:r>
        <w:rPr>
          <w:color w:val="231F20"/>
          <w:w w:val="105"/>
        </w:rPr>
        <w:t>satisfacción</w:t>
      </w:r>
      <w:r>
        <w:rPr>
          <w:color w:val="231F20"/>
          <w:spacing w:val="-12"/>
          <w:w w:val="105"/>
        </w:rPr>
        <w:t> </w:t>
      </w:r>
      <w:r>
        <w:rPr>
          <w:color w:val="231F20"/>
          <w:w w:val="105"/>
        </w:rPr>
        <w:t>de</w:t>
      </w:r>
      <w:r>
        <w:rPr>
          <w:color w:val="231F20"/>
          <w:spacing w:val="-11"/>
          <w:w w:val="105"/>
        </w:rPr>
        <w:t> </w:t>
      </w:r>
      <w:r>
        <w:rPr>
          <w:color w:val="231F20"/>
          <w:w w:val="105"/>
        </w:rPr>
        <w:t>servicios</w:t>
      </w:r>
      <w:r>
        <w:rPr>
          <w:color w:val="231F20"/>
          <w:spacing w:val="-11"/>
          <w:w w:val="105"/>
        </w:rPr>
        <w:t> </w:t>
      </w:r>
      <w:r>
        <w:rPr>
          <w:color w:val="231F20"/>
          <w:w w:val="105"/>
        </w:rPr>
        <w:t>recibidos</w:t>
      </w:r>
      <w:r>
        <w:rPr>
          <w:color w:val="231F20"/>
          <w:spacing w:val="-11"/>
          <w:w w:val="105"/>
        </w:rPr>
        <w:t> </w:t>
      </w:r>
      <w:r>
        <w:rPr>
          <w:color w:val="231F20"/>
          <w:w w:val="105"/>
        </w:rPr>
        <w:t>por</w:t>
      </w:r>
      <w:r>
        <w:rPr>
          <w:color w:val="231F20"/>
          <w:spacing w:val="-11"/>
          <w:w w:val="105"/>
        </w:rPr>
        <w:t> </w:t>
      </w:r>
      <w:r>
        <w:rPr>
          <w:color w:val="231F20"/>
          <w:w w:val="105"/>
        </w:rPr>
        <w:t>vivienda</w:t>
      </w:r>
      <w:r>
        <w:rPr>
          <w:color w:val="231F20"/>
          <w:spacing w:val="-12"/>
          <w:w w:val="105"/>
        </w:rPr>
        <w:t> </w:t>
      </w:r>
      <w:r>
        <w:rPr>
          <w:color w:val="231F20"/>
          <w:w w:val="105"/>
        </w:rPr>
        <w:t>como</w:t>
      </w:r>
      <w:r>
        <w:rPr>
          <w:color w:val="231F20"/>
          <w:spacing w:val="-11"/>
          <w:w w:val="105"/>
        </w:rPr>
        <w:t> </w:t>
      </w:r>
      <w:r>
        <w:rPr>
          <w:color w:val="231F20"/>
          <w:w w:val="105"/>
        </w:rPr>
        <w:t>vimos</w:t>
      </w:r>
      <w:r>
        <w:rPr>
          <w:color w:val="231F20"/>
          <w:spacing w:val="-11"/>
          <w:w w:val="105"/>
        </w:rPr>
        <w:t> </w:t>
      </w:r>
      <w:r>
        <w:rPr>
          <w:color w:val="231F20"/>
          <w:w w:val="105"/>
        </w:rPr>
        <w:t>es</w:t>
      </w:r>
      <w:r>
        <w:rPr>
          <w:color w:val="231F20"/>
          <w:spacing w:val="-12"/>
          <w:w w:val="105"/>
        </w:rPr>
        <w:t> </w:t>
      </w:r>
      <w:r>
        <w:rPr>
          <w:color w:val="231F20"/>
          <w:w w:val="105"/>
        </w:rPr>
        <w:t>alto, sobre</w:t>
      </w:r>
      <w:r>
        <w:rPr>
          <w:color w:val="231F20"/>
          <w:spacing w:val="-7"/>
          <w:w w:val="105"/>
        </w:rPr>
        <w:t> </w:t>
      </w:r>
      <w:r>
        <w:rPr>
          <w:color w:val="231F20"/>
          <w:w w:val="105"/>
        </w:rPr>
        <w:t>todo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zona</w:t>
      </w:r>
      <w:r>
        <w:rPr>
          <w:color w:val="231F20"/>
          <w:spacing w:val="-7"/>
          <w:w w:val="105"/>
        </w:rPr>
        <w:t> </w:t>
      </w:r>
      <w:r>
        <w:rPr>
          <w:color w:val="231F20"/>
          <w:w w:val="105"/>
        </w:rPr>
        <w:t>poniente,</w:t>
      </w:r>
      <w:r>
        <w:rPr>
          <w:color w:val="231F20"/>
          <w:spacing w:val="-7"/>
          <w:w w:val="105"/>
        </w:rPr>
        <w:t> </w:t>
      </w:r>
      <w:r>
        <w:rPr>
          <w:color w:val="231F20"/>
          <w:w w:val="105"/>
        </w:rPr>
        <w:t>aún</w:t>
      </w:r>
      <w:r>
        <w:rPr>
          <w:color w:val="231F20"/>
          <w:spacing w:val="-7"/>
          <w:w w:val="105"/>
        </w:rPr>
        <w:t> </w:t>
      </w:r>
      <w:r>
        <w:rPr>
          <w:color w:val="231F20"/>
          <w:w w:val="105"/>
        </w:rPr>
        <w:t>existe</w:t>
      </w:r>
      <w:r>
        <w:rPr>
          <w:color w:val="231F20"/>
          <w:spacing w:val="-7"/>
          <w:w w:val="105"/>
        </w:rPr>
        <w:t> </w:t>
      </w:r>
      <w:r>
        <w:rPr>
          <w:color w:val="231F20"/>
          <w:w w:val="105"/>
        </w:rPr>
        <w:t>una</w:t>
      </w:r>
      <w:r>
        <w:rPr>
          <w:color w:val="231F20"/>
          <w:spacing w:val="-7"/>
          <w:w w:val="105"/>
        </w:rPr>
        <w:t> </w:t>
      </w:r>
      <w:r>
        <w:rPr>
          <w:color w:val="231F20"/>
          <w:w w:val="105"/>
        </w:rPr>
        <w:t>cantidad</w:t>
      </w:r>
      <w:r>
        <w:rPr>
          <w:color w:val="231F20"/>
          <w:spacing w:val="-7"/>
          <w:w w:val="105"/>
        </w:rPr>
        <w:t> </w:t>
      </w:r>
      <w:r>
        <w:rPr>
          <w:color w:val="231F20"/>
          <w:w w:val="105"/>
        </w:rPr>
        <w:t>de</w:t>
      </w:r>
      <w:r>
        <w:rPr>
          <w:color w:val="231F20"/>
          <w:spacing w:val="-7"/>
          <w:w w:val="105"/>
        </w:rPr>
        <w:t> </w:t>
      </w:r>
      <w:r>
        <w:rPr>
          <w:color w:val="231F20"/>
          <w:w w:val="105"/>
        </w:rPr>
        <w:t>viviendas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zona</w:t>
      </w:r>
      <w:r>
        <w:rPr>
          <w:color w:val="231F20"/>
          <w:spacing w:val="-7"/>
          <w:w w:val="105"/>
        </w:rPr>
        <w:t> </w:t>
      </w:r>
      <w:r>
        <w:rPr>
          <w:color w:val="231F20"/>
          <w:w w:val="105"/>
        </w:rPr>
        <w:t>oriente que</w:t>
      </w:r>
      <w:r>
        <w:rPr>
          <w:color w:val="231F20"/>
          <w:spacing w:val="-4"/>
          <w:w w:val="105"/>
        </w:rPr>
        <w:t> </w:t>
      </w:r>
      <w:r>
        <w:rPr>
          <w:color w:val="231F20"/>
          <w:w w:val="105"/>
        </w:rPr>
        <w:t>no</w:t>
      </w:r>
      <w:r>
        <w:rPr>
          <w:color w:val="231F20"/>
          <w:spacing w:val="-4"/>
          <w:w w:val="105"/>
        </w:rPr>
        <w:t> </w:t>
      </w:r>
      <w:r>
        <w:rPr>
          <w:color w:val="231F20"/>
          <w:w w:val="105"/>
        </w:rPr>
        <w:t>pueden</w:t>
      </w:r>
      <w:r>
        <w:rPr>
          <w:color w:val="231F20"/>
          <w:spacing w:val="-4"/>
          <w:w w:val="105"/>
        </w:rPr>
        <w:t> </w:t>
      </w:r>
      <w:r>
        <w:rPr>
          <w:color w:val="231F20"/>
          <w:w w:val="105"/>
        </w:rPr>
        <w:t>ser</w:t>
      </w:r>
      <w:r>
        <w:rPr>
          <w:color w:val="231F20"/>
          <w:spacing w:val="-4"/>
          <w:w w:val="105"/>
        </w:rPr>
        <w:t> </w:t>
      </w:r>
      <w:r>
        <w:rPr>
          <w:color w:val="231F20"/>
          <w:w w:val="105"/>
        </w:rPr>
        <w:t>calificadas</w:t>
      </w:r>
      <w:r>
        <w:rPr>
          <w:color w:val="231F20"/>
          <w:spacing w:val="-4"/>
          <w:w w:val="105"/>
        </w:rPr>
        <w:t> </w:t>
      </w:r>
      <w:r>
        <w:rPr>
          <w:color w:val="231F20"/>
          <w:w w:val="105"/>
        </w:rPr>
        <w:t>de</w:t>
      </w:r>
      <w:r>
        <w:rPr>
          <w:color w:val="231F20"/>
          <w:spacing w:val="-4"/>
          <w:w w:val="105"/>
        </w:rPr>
        <w:t> </w:t>
      </w:r>
      <w:r>
        <w:rPr>
          <w:color w:val="231F20"/>
          <w:w w:val="105"/>
        </w:rPr>
        <w:t>dignas.</w:t>
      </w:r>
      <w:r>
        <w:rPr>
          <w:color w:val="231F20"/>
          <w:spacing w:val="-4"/>
          <w:w w:val="105"/>
        </w:rPr>
        <w:t> </w:t>
      </w:r>
      <w:r>
        <w:rPr>
          <w:color w:val="231F20"/>
          <w:w w:val="105"/>
        </w:rPr>
        <w:t>Lo</w:t>
      </w:r>
      <w:r>
        <w:rPr>
          <w:color w:val="231F20"/>
          <w:spacing w:val="-4"/>
          <w:w w:val="105"/>
        </w:rPr>
        <w:t> </w:t>
      </w:r>
      <w:r>
        <w:rPr>
          <w:color w:val="231F20"/>
          <w:w w:val="105"/>
        </w:rPr>
        <w:t>peor</w:t>
      </w:r>
      <w:r>
        <w:rPr>
          <w:color w:val="231F20"/>
          <w:spacing w:val="-4"/>
          <w:w w:val="105"/>
        </w:rPr>
        <w:t> </w:t>
      </w:r>
      <w:r>
        <w:rPr>
          <w:color w:val="231F20"/>
          <w:w w:val="105"/>
        </w:rPr>
        <w:t>es</w:t>
      </w:r>
      <w:r>
        <w:rPr>
          <w:color w:val="231F20"/>
          <w:spacing w:val="-4"/>
          <w:w w:val="105"/>
        </w:rPr>
        <w:t> </w:t>
      </w:r>
      <w:r>
        <w:rPr>
          <w:color w:val="231F20"/>
          <w:w w:val="105"/>
        </w:rPr>
        <w:t>que</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w w:val="105"/>
        </w:rPr>
        <w:t>largo</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tres</w:t>
      </w:r>
      <w:r>
        <w:rPr>
          <w:color w:val="231F20"/>
          <w:spacing w:val="-4"/>
          <w:w w:val="105"/>
        </w:rPr>
        <w:t> </w:t>
      </w:r>
      <w:r>
        <w:rPr>
          <w:color w:val="231F20"/>
          <w:w w:val="105"/>
        </w:rPr>
        <w:t>gestiones ese número no se redujo prácticamente</w:t>
      </w:r>
      <w:r>
        <w:rPr>
          <w:color w:val="231F20"/>
          <w:spacing w:val="-37"/>
          <w:w w:val="105"/>
        </w:rPr>
        <w:t> </w:t>
      </w:r>
      <w:r>
        <w:rPr>
          <w:color w:val="231F20"/>
          <w:w w:val="105"/>
        </w:rPr>
        <w:t>nada.</w:t>
      </w:r>
    </w:p>
    <w:p>
      <w:pPr>
        <w:pStyle w:val="BodyText"/>
        <w:spacing w:before="1"/>
        <w:rPr>
          <w:sz w:val="26"/>
        </w:rPr>
      </w:pPr>
    </w:p>
    <w:p>
      <w:pPr>
        <w:pStyle w:val="BodyText"/>
        <w:spacing w:line="285" w:lineRule="auto" w:before="1"/>
        <w:ind w:left="110" w:right="106"/>
        <w:jc w:val="both"/>
      </w:pPr>
      <w:r>
        <w:rPr>
          <w:color w:val="231F20"/>
          <w:w w:val="105"/>
        </w:rPr>
        <w:t>El que la marginación sea </w:t>
      </w:r>
      <w:r>
        <w:rPr>
          <w:color w:val="231F20"/>
          <w:spacing w:val="2"/>
          <w:w w:val="105"/>
        </w:rPr>
        <w:t>tan </w:t>
      </w:r>
      <w:r>
        <w:rPr>
          <w:color w:val="231F20"/>
          <w:w w:val="105"/>
        </w:rPr>
        <w:t>baja en el municipio, es un dato muy interesante que permite plantear la hipótesis de que no sólo se debe a las gestiones panistas, sino que también</w:t>
      </w:r>
      <w:r>
        <w:rPr>
          <w:color w:val="231F20"/>
          <w:spacing w:val="-19"/>
          <w:w w:val="105"/>
        </w:rPr>
        <w:t> </w:t>
      </w:r>
      <w:r>
        <w:rPr>
          <w:color w:val="231F20"/>
          <w:w w:val="105"/>
        </w:rPr>
        <w:t>influyó</w:t>
      </w:r>
      <w:r>
        <w:rPr>
          <w:color w:val="231F20"/>
          <w:spacing w:val="-19"/>
          <w:w w:val="105"/>
        </w:rPr>
        <w:t> </w:t>
      </w:r>
      <w:r>
        <w:rPr>
          <w:color w:val="231F20"/>
          <w:w w:val="105"/>
        </w:rPr>
        <w:t>la</w:t>
      </w:r>
      <w:r>
        <w:rPr>
          <w:color w:val="231F20"/>
          <w:spacing w:val="-19"/>
          <w:w w:val="105"/>
        </w:rPr>
        <w:t> </w:t>
      </w:r>
      <w:r>
        <w:rPr>
          <w:color w:val="231F20"/>
          <w:w w:val="105"/>
        </w:rPr>
        <w:t>industrialización</w:t>
      </w:r>
      <w:r>
        <w:rPr>
          <w:color w:val="231F20"/>
          <w:spacing w:val="-19"/>
          <w:w w:val="105"/>
        </w:rPr>
        <w:t> </w:t>
      </w:r>
      <w:r>
        <w:rPr>
          <w:color w:val="231F20"/>
          <w:w w:val="105"/>
        </w:rPr>
        <w:t>y</w:t>
      </w:r>
      <w:r>
        <w:rPr>
          <w:color w:val="231F20"/>
          <w:spacing w:val="-19"/>
          <w:w w:val="105"/>
        </w:rPr>
        <w:t> </w:t>
      </w:r>
      <w:r>
        <w:rPr>
          <w:color w:val="231F20"/>
          <w:w w:val="105"/>
        </w:rPr>
        <w:t>comercialización</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durante</w:t>
      </w:r>
      <w:r>
        <w:rPr>
          <w:color w:val="231F20"/>
          <w:spacing w:val="-19"/>
          <w:w w:val="105"/>
        </w:rPr>
        <w:t> </w:t>
      </w:r>
      <w:r>
        <w:rPr>
          <w:color w:val="231F20"/>
          <w:w w:val="105"/>
        </w:rPr>
        <w:t>un</w:t>
      </w:r>
      <w:r>
        <w:rPr>
          <w:color w:val="231F20"/>
          <w:spacing w:val="-19"/>
          <w:w w:val="105"/>
        </w:rPr>
        <w:t> </w:t>
      </w:r>
      <w:r>
        <w:rPr>
          <w:color w:val="231F20"/>
          <w:w w:val="105"/>
        </w:rPr>
        <w:t>par</w:t>
      </w:r>
      <w:r>
        <w:rPr>
          <w:color w:val="231F20"/>
          <w:spacing w:val="-19"/>
          <w:w w:val="105"/>
        </w:rPr>
        <w:t> </w:t>
      </w:r>
      <w:r>
        <w:rPr>
          <w:color w:val="231F20"/>
          <w:w w:val="105"/>
        </w:rPr>
        <w:t>de décadas.</w:t>
      </w:r>
      <w:r>
        <w:rPr>
          <w:color w:val="231F20"/>
          <w:spacing w:val="-21"/>
          <w:w w:val="105"/>
        </w:rPr>
        <w:t> </w:t>
      </w:r>
      <w:r>
        <w:rPr>
          <w:color w:val="231F20"/>
          <w:spacing w:val="-3"/>
          <w:w w:val="105"/>
        </w:rPr>
        <w:t>Pero</w:t>
      </w:r>
      <w:r>
        <w:rPr>
          <w:color w:val="231F20"/>
          <w:spacing w:val="-21"/>
          <w:w w:val="105"/>
        </w:rPr>
        <w:t> </w:t>
      </w:r>
      <w:r>
        <w:rPr>
          <w:color w:val="231F20"/>
          <w:w w:val="105"/>
        </w:rPr>
        <w:t>eso</w:t>
      </w:r>
      <w:r>
        <w:rPr>
          <w:color w:val="231F20"/>
          <w:spacing w:val="-21"/>
          <w:w w:val="105"/>
        </w:rPr>
        <w:t> </w:t>
      </w:r>
      <w:r>
        <w:rPr>
          <w:color w:val="231F20"/>
          <w:w w:val="105"/>
        </w:rPr>
        <w:t>no</w:t>
      </w:r>
      <w:r>
        <w:rPr>
          <w:color w:val="231F20"/>
          <w:spacing w:val="-21"/>
          <w:w w:val="105"/>
        </w:rPr>
        <w:t> </w:t>
      </w:r>
      <w:r>
        <w:rPr>
          <w:color w:val="231F20"/>
          <w:w w:val="105"/>
        </w:rPr>
        <w:t>exime</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gestiones</w:t>
      </w:r>
      <w:r>
        <w:rPr>
          <w:color w:val="231F20"/>
          <w:spacing w:val="-21"/>
          <w:w w:val="105"/>
        </w:rPr>
        <w:t> </w:t>
      </w:r>
      <w:r>
        <w:rPr>
          <w:color w:val="231F20"/>
          <w:w w:val="105"/>
        </w:rPr>
        <w:t>de</w:t>
      </w:r>
      <w:r>
        <w:rPr>
          <w:color w:val="231F20"/>
          <w:spacing w:val="-21"/>
          <w:w w:val="105"/>
        </w:rPr>
        <w:t> </w:t>
      </w:r>
      <w:r>
        <w:rPr>
          <w:color w:val="231F20"/>
          <w:w w:val="105"/>
        </w:rPr>
        <w:t>dar</w:t>
      </w:r>
      <w:r>
        <w:rPr>
          <w:color w:val="231F20"/>
          <w:spacing w:val="-21"/>
          <w:w w:val="105"/>
        </w:rPr>
        <w:t> </w:t>
      </w:r>
      <w:r>
        <w:rPr>
          <w:color w:val="231F20"/>
          <w:w w:val="105"/>
        </w:rPr>
        <w:t>prioridad</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competitividad</w:t>
      </w:r>
      <w:r>
        <w:rPr>
          <w:color w:val="231F20"/>
          <w:spacing w:val="-21"/>
          <w:w w:val="105"/>
        </w:rPr>
        <w:t> </w:t>
      </w:r>
      <w:r>
        <w:rPr>
          <w:color w:val="231F20"/>
          <w:w w:val="105"/>
        </w:rPr>
        <w:t>empresa- rial</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zona</w:t>
      </w:r>
      <w:r>
        <w:rPr>
          <w:color w:val="231F20"/>
          <w:spacing w:val="-10"/>
          <w:w w:val="105"/>
        </w:rPr>
        <w:t> </w:t>
      </w:r>
      <w:r>
        <w:rPr>
          <w:color w:val="231F20"/>
          <w:w w:val="105"/>
        </w:rPr>
        <w:t>poniente</w:t>
      </w:r>
      <w:r>
        <w:rPr>
          <w:color w:val="231F20"/>
          <w:spacing w:val="-10"/>
          <w:w w:val="105"/>
        </w:rPr>
        <w:t> </w:t>
      </w:r>
      <w:r>
        <w:rPr>
          <w:color w:val="231F20"/>
          <w:w w:val="105"/>
        </w:rPr>
        <w:t>frente</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vulnerabilidad</w:t>
      </w:r>
      <w:r>
        <w:rPr>
          <w:color w:val="231F20"/>
          <w:spacing w:val="-10"/>
          <w:w w:val="105"/>
        </w:rPr>
        <w:t> </w:t>
      </w:r>
      <w:r>
        <w:rPr>
          <w:color w:val="231F20"/>
          <w:w w:val="105"/>
        </w:rPr>
        <w:t>de</w:t>
      </w:r>
      <w:r>
        <w:rPr>
          <w:color w:val="231F20"/>
          <w:spacing w:val="-10"/>
          <w:w w:val="105"/>
        </w:rPr>
        <w:t> </w:t>
      </w:r>
      <w:r>
        <w:rPr>
          <w:color w:val="231F20"/>
          <w:w w:val="105"/>
        </w:rPr>
        <w:t>habitante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zona</w:t>
      </w:r>
      <w:r>
        <w:rPr>
          <w:color w:val="231F20"/>
          <w:spacing w:val="-10"/>
          <w:w w:val="105"/>
        </w:rPr>
        <w:t> </w:t>
      </w:r>
      <w:r>
        <w:rPr>
          <w:color w:val="231F20"/>
          <w:w w:val="105"/>
        </w:rPr>
        <w:t>oriente.</w:t>
      </w:r>
    </w:p>
    <w:p>
      <w:pPr>
        <w:pStyle w:val="BodyText"/>
        <w:spacing w:before="6"/>
        <w:rPr>
          <w:sz w:val="13"/>
        </w:rPr>
      </w:pPr>
      <w:r>
        <w:rPr/>
        <w:pict>
          <v:line style="position:absolute;mso-position-horizontal-relative:page;mso-position-vertical-relative:paragraph;z-index:10840;mso-wrap-distance-left:0;mso-wrap-distance-right:0" from="42.519699pt,10.227695pt" to="330.519699pt,10.227695pt" stroked="true" strokeweight="1pt" strokecolor="#231f20">
            <w10:wrap type="topAndBottom"/>
          </v:line>
        </w:pict>
      </w:r>
    </w:p>
    <w:p>
      <w:pPr>
        <w:spacing w:line="244" w:lineRule="auto" w:before="8"/>
        <w:ind w:left="110" w:right="-2" w:firstLine="0"/>
        <w:jc w:val="left"/>
        <w:rPr>
          <w:rFonts w:ascii="Calibri" w:hAnsi="Calibri"/>
          <w:sz w:val="16"/>
        </w:rPr>
      </w:pPr>
      <w:r>
        <w:rPr>
          <w:rFonts w:ascii="Calibri" w:hAnsi="Calibri"/>
          <w:color w:val="231F20"/>
          <w:sz w:val="16"/>
        </w:rPr>
        <w:t>más significativos, así como la población en mayor desventaja, son: g) Porcentaje de la población de 15 años o más que es analfabeta; h) Porcentaje de población de 15 años o más sin primaria completa”. Índice de Marginación 2000.</w:t>
      </w:r>
    </w:p>
    <w:p>
      <w:pPr>
        <w:pStyle w:val="ListParagraph"/>
        <w:numPr>
          <w:ilvl w:val="0"/>
          <w:numId w:val="17"/>
        </w:numPr>
        <w:tabs>
          <w:tab w:pos="354" w:val="left" w:leader="none"/>
        </w:tabs>
        <w:spacing w:line="244" w:lineRule="auto" w:before="0" w:after="0"/>
        <w:ind w:left="110" w:right="110" w:firstLine="0"/>
        <w:jc w:val="left"/>
        <w:rPr>
          <w:sz w:val="16"/>
        </w:rPr>
      </w:pPr>
      <w:r>
        <w:rPr>
          <w:color w:val="231F20"/>
          <w:sz w:val="16"/>
        </w:rPr>
        <w:t>“La población que habita viviendas que carecen de energía eléctrica, agua entubada, drenaje, sanitario exclusivo o de tamaño</w:t>
      </w:r>
      <w:r>
        <w:rPr>
          <w:color w:val="231F20"/>
          <w:spacing w:val="-7"/>
          <w:sz w:val="16"/>
        </w:rPr>
        <w:t> </w:t>
      </w:r>
      <w:r>
        <w:rPr>
          <w:color w:val="231F20"/>
          <w:sz w:val="16"/>
        </w:rPr>
        <w:t>inadecuado,</w:t>
      </w:r>
      <w:r>
        <w:rPr>
          <w:color w:val="231F20"/>
          <w:spacing w:val="-7"/>
          <w:sz w:val="16"/>
        </w:rPr>
        <w:t> </w:t>
      </w:r>
      <w:r>
        <w:rPr>
          <w:color w:val="231F20"/>
          <w:sz w:val="16"/>
        </w:rPr>
        <w:t>está</w:t>
      </w:r>
      <w:r>
        <w:rPr>
          <w:color w:val="231F20"/>
          <w:spacing w:val="-7"/>
          <w:sz w:val="16"/>
        </w:rPr>
        <w:t> </w:t>
      </w:r>
      <w:r>
        <w:rPr>
          <w:color w:val="231F20"/>
          <w:sz w:val="16"/>
        </w:rPr>
        <w:t>expuesta</w:t>
      </w:r>
      <w:r>
        <w:rPr>
          <w:color w:val="231F20"/>
          <w:spacing w:val="-7"/>
          <w:sz w:val="16"/>
        </w:rPr>
        <w:t> </w:t>
      </w:r>
      <w:r>
        <w:rPr>
          <w:color w:val="231F20"/>
          <w:sz w:val="16"/>
        </w:rPr>
        <w:t>a</w:t>
      </w:r>
      <w:r>
        <w:rPr>
          <w:color w:val="231F20"/>
          <w:spacing w:val="-7"/>
          <w:sz w:val="16"/>
        </w:rPr>
        <w:t> </w:t>
      </w:r>
      <w:r>
        <w:rPr>
          <w:color w:val="231F20"/>
          <w:sz w:val="16"/>
        </w:rPr>
        <w:t>mayores</w:t>
      </w:r>
      <w:r>
        <w:rPr>
          <w:color w:val="231F20"/>
          <w:spacing w:val="-7"/>
          <w:sz w:val="16"/>
        </w:rPr>
        <w:t> </w:t>
      </w:r>
      <w:r>
        <w:rPr>
          <w:color w:val="231F20"/>
          <w:sz w:val="16"/>
        </w:rPr>
        <w:t>impedimentos</w:t>
      </w:r>
      <w:r>
        <w:rPr>
          <w:color w:val="231F20"/>
          <w:spacing w:val="-7"/>
          <w:sz w:val="16"/>
        </w:rPr>
        <w:t> </w:t>
      </w:r>
      <w:r>
        <w:rPr>
          <w:color w:val="231F20"/>
          <w:sz w:val="16"/>
        </w:rPr>
        <w:t>para</w:t>
      </w:r>
      <w:r>
        <w:rPr>
          <w:color w:val="231F20"/>
          <w:spacing w:val="-7"/>
          <w:sz w:val="16"/>
        </w:rPr>
        <w:t> </w:t>
      </w:r>
      <w:r>
        <w:rPr>
          <w:color w:val="231F20"/>
          <w:sz w:val="16"/>
        </w:rPr>
        <w:t>gozar</w:t>
      </w:r>
      <w:r>
        <w:rPr>
          <w:color w:val="231F20"/>
          <w:spacing w:val="-7"/>
          <w:sz w:val="16"/>
        </w:rPr>
        <w:t> </w:t>
      </w:r>
      <w:r>
        <w:rPr>
          <w:color w:val="231F20"/>
          <w:sz w:val="16"/>
        </w:rPr>
        <w:t>de</w:t>
      </w:r>
      <w:r>
        <w:rPr>
          <w:color w:val="231F20"/>
          <w:spacing w:val="-7"/>
          <w:sz w:val="16"/>
        </w:rPr>
        <w:t> </w:t>
      </w:r>
      <w:r>
        <w:rPr>
          <w:color w:val="231F20"/>
          <w:sz w:val="16"/>
        </w:rPr>
        <w:t>una</w:t>
      </w:r>
      <w:r>
        <w:rPr>
          <w:color w:val="231F20"/>
          <w:spacing w:val="-7"/>
          <w:sz w:val="16"/>
        </w:rPr>
        <w:t> </w:t>
      </w:r>
      <w:r>
        <w:rPr>
          <w:color w:val="231F20"/>
          <w:sz w:val="16"/>
        </w:rPr>
        <w:t>vida</w:t>
      </w:r>
      <w:r>
        <w:rPr>
          <w:color w:val="231F20"/>
          <w:spacing w:val="-7"/>
          <w:sz w:val="16"/>
        </w:rPr>
        <w:t> </w:t>
      </w:r>
      <w:r>
        <w:rPr>
          <w:color w:val="231F20"/>
          <w:sz w:val="16"/>
        </w:rPr>
        <w:t>larga</w:t>
      </w:r>
      <w:r>
        <w:rPr>
          <w:color w:val="231F20"/>
          <w:spacing w:val="-7"/>
          <w:sz w:val="16"/>
        </w:rPr>
        <w:t> </w:t>
      </w:r>
      <w:r>
        <w:rPr>
          <w:color w:val="231F20"/>
          <w:sz w:val="16"/>
        </w:rPr>
        <w:t>y</w:t>
      </w:r>
    </w:p>
    <w:p>
      <w:pPr>
        <w:spacing w:line="244" w:lineRule="auto" w:before="0"/>
        <w:ind w:left="110" w:right="-2" w:firstLine="0"/>
        <w:jc w:val="left"/>
        <w:rPr>
          <w:rFonts w:ascii="Calibri" w:hAnsi="Calibri"/>
          <w:sz w:val="16"/>
        </w:rPr>
      </w:pPr>
      <w:r>
        <w:rPr>
          <w:rFonts w:ascii="Calibri" w:hAnsi="Calibri"/>
          <w:color w:val="231F20"/>
          <w:sz w:val="16"/>
        </w:rPr>
        <w:t>saludable y dificulta el aprendizaje de los menores de edad, entre otras privaciones cruciales en la vida de las familias y sus </w:t>
      </w:r>
      <w:r>
        <w:rPr>
          <w:rFonts w:ascii="Calibri" w:hAnsi="Calibri"/>
          <w:color w:val="231F20"/>
          <w:w w:val="95"/>
          <w:sz w:val="16"/>
        </w:rPr>
        <w:t>integrantes”. Ibíd.</w:t>
      </w:r>
    </w:p>
    <w:p>
      <w:pPr>
        <w:spacing w:after="0" w:line="244" w:lineRule="auto"/>
        <w:jc w:val="left"/>
        <w:rPr>
          <w:rFonts w:ascii="Calibri" w:hAnsi="Calibri"/>
          <w:sz w:val="16"/>
        </w:rPr>
        <w:sectPr>
          <w:pgSz w:w="9640" w:h="12190"/>
          <w:pgMar w:header="0" w:footer="68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Además</w:t>
      </w:r>
      <w:r>
        <w:rPr>
          <w:color w:val="231F20"/>
          <w:spacing w:val="-15"/>
          <w:w w:val="105"/>
        </w:rPr>
        <w:t> </w:t>
      </w:r>
      <w:r>
        <w:rPr>
          <w:color w:val="231F20"/>
          <w:w w:val="105"/>
        </w:rPr>
        <w:t>de</w:t>
      </w:r>
      <w:r>
        <w:rPr>
          <w:color w:val="231F20"/>
          <w:spacing w:val="-14"/>
          <w:w w:val="105"/>
        </w:rPr>
        <w:t> </w:t>
      </w:r>
      <w:r>
        <w:rPr>
          <w:color w:val="231F20"/>
          <w:w w:val="105"/>
        </w:rPr>
        <w:t>las</w:t>
      </w:r>
      <w:r>
        <w:rPr>
          <w:color w:val="231F20"/>
          <w:spacing w:val="-15"/>
          <w:w w:val="105"/>
        </w:rPr>
        <w:t> </w:t>
      </w:r>
      <w:r>
        <w:rPr>
          <w:color w:val="231F20"/>
          <w:w w:val="105"/>
        </w:rPr>
        <w:t>líneas</w:t>
      </w:r>
      <w:r>
        <w:rPr>
          <w:color w:val="231F20"/>
          <w:spacing w:val="-15"/>
          <w:w w:val="105"/>
        </w:rPr>
        <w:t> </w:t>
      </w:r>
      <w:r>
        <w:rPr>
          <w:color w:val="231F20"/>
          <w:w w:val="105"/>
        </w:rPr>
        <w:t>de</w:t>
      </w:r>
      <w:r>
        <w:rPr>
          <w:color w:val="231F20"/>
          <w:spacing w:val="-14"/>
          <w:w w:val="105"/>
        </w:rPr>
        <w:t> </w:t>
      </w:r>
      <w:r>
        <w:rPr>
          <w:color w:val="231F20"/>
          <w:w w:val="105"/>
        </w:rPr>
        <w:t>continuidad</w:t>
      </w:r>
      <w:r>
        <w:rPr>
          <w:color w:val="231F20"/>
          <w:spacing w:val="-14"/>
          <w:w w:val="105"/>
        </w:rPr>
        <w:t> </w:t>
      </w:r>
      <w:r>
        <w:rPr>
          <w:color w:val="231F20"/>
          <w:w w:val="105"/>
        </w:rPr>
        <w:t>ya</w:t>
      </w:r>
      <w:r>
        <w:rPr>
          <w:color w:val="231F20"/>
          <w:spacing w:val="-15"/>
          <w:w w:val="105"/>
        </w:rPr>
        <w:t> </w:t>
      </w:r>
      <w:r>
        <w:rPr>
          <w:color w:val="231F20"/>
          <w:w w:val="105"/>
        </w:rPr>
        <w:t>señaladas,</w:t>
      </w:r>
      <w:r>
        <w:rPr>
          <w:color w:val="231F20"/>
          <w:spacing w:val="-14"/>
          <w:w w:val="105"/>
        </w:rPr>
        <w:t> </w:t>
      </w:r>
      <w:r>
        <w:rPr>
          <w:color w:val="231F20"/>
          <w:w w:val="105"/>
        </w:rPr>
        <w:t>pudimos</w:t>
      </w:r>
      <w:r>
        <w:rPr>
          <w:color w:val="231F20"/>
          <w:spacing w:val="-15"/>
          <w:w w:val="105"/>
        </w:rPr>
        <w:t> </w:t>
      </w:r>
      <w:r>
        <w:rPr>
          <w:color w:val="231F20"/>
          <w:w w:val="105"/>
        </w:rPr>
        <w:t>observar</w:t>
      </w:r>
      <w:r>
        <w:rPr>
          <w:color w:val="231F20"/>
          <w:spacing w:val="-14"/>
          <w:w w:val="105"/>
        </w:rPr>
        <w:t> </w:t>
      </w:r>
      <w:r>
        <w:rPr>
          <w:color w:val="231F20"/>
          <w:w w:val="105"/>
        </w:rPr>
        <w:t>otros</w:t>
      </w:r>
      <w:r>
        <w:rPr>
          <w:color w:val="231F20"/>
          <w:spacing w:val="-14"/>
          <w:w w:val="105"/>
        </w:rPr>
        <w:t> </w:t>
      </w:r>
      <w:r>
        <w:rPr>
          <w:color w:val="231F20"/>
          <w:w w:val="105"/>
        </w:rPr>
        <w:t>datos</w:t>
      </w:r>
      <w:r>
        <w:rPr>
          <w:color w:val="231F20"/>
          <w:spacing w:val="-14"/>
          <w:w w:val="105"/>
        </w:rPr>
        <w:t> </w:t>
      </w:r>
      <w:r>
        <w:rPr>
          <w:color w:val="231F20"/>
          <w:w w:val="105"/>
        </w:rPr>
        <w:t>intere- santes en la gestiones panistas, que mostraremos a continuación. Como se vio, dentro de</w:t>
      </w:r>
      <w:r>
        <w:rPr>
          <w:color w:val="231F20"/>
          <w:spacing w:val="-15"/>
          <w:w w:val="105"/>
        </w:rPr>
        <w:t> </w:t>
      </w:r>
      <w:r>
        <w:rPr>
          <w:color w:val="231F20"/>
          <w:w w:val="105"/>
        </w:rPr>
        <w:t>los</w:t>
      </w:r>
      <w:r>
        <w:rPr>
          <w:color w:val="231F20"/>
          <w:spacing w:val="-15"/>
          <w:w w:val="105"/>
        </w:rPr>
        <w:t> </w:t>
      </w:r>
      <w:r>
        <w:rPr>
          <w:color w:val="231F20"/>
          <w:w w:val="105"/>
        </w:rPr>
        <w:t>planes</w:t>
      </w:r>
      <w:r>
        <w:rPr>
          <w:color w:val="231F20"/>
          <w:spacing w:val="-15"/>
          <w:w w:val="105"/>
        </w:rPr>
        <w:t> </w:t>
      </w:r>
      <w:r>
        <w:rPr>
          <w:color w:val="231F20"/>
          <w:w w:val="105"/>
        </w:rPr>
        <w:t>de</w:t>
      </w:r>
      <w:r>
        <w:rPr>
          <w:color w:val="231F20"/>
          <w:spacing w:val="-15"/>
          <w:w w:val="105"/>
        </w:rPr>
        <w:t> </w:t>
      </w:r>
      <w:r>
        <w:rPr>
          <w:color w:val="231F20"/>
          <w:w w:val="105"/>
        </w:rPr>
        <w:t>desarrollo</w:t>
      </w:r>
      <w:r>
        <w:rPr>
          <w:color w:val="231F20"/>
          <w:spacing w:val="-15"/>
          <w:w w:val="105"/>
        </w:rPr>
        <w:t> </w:t>
      </w:r>
      <w:r>
        <w:rPr>
          <w:color w:val="231F20"/>
          <w:w w:val="105"/>
        </w:rPr>
        <w:t>municipales,</w:t>
      </w:r>
      <w:r>
        <w:rPr>
          <w:color w:val="231F20"/>
          <w:spacing w:val="-15"/>
          <w:w w:val="105"/>
        </w:rPr>
        <w:t> </w:t>
      </w:r>
      <w:r>
        <w:rPr>
          <w:color w:val="231F20"/>
          <w:w w:val="105"/>
        </w:rPr>
        <w:t>las</w:t>
      </w:r>
      <w:r>
        <w:rPr>
          <w:color w:val="231F20"/>
          <w:spacing w:val="-15"/>
          <w:w w:val="105"/>
        </w:rPr>
        <w:t> </w:t>
      </w:r>
      <w:r>
        <w:rPr>
          <w:color w:val="231F20"/>
          <w:w w:val="105"/>
        </w:rPr>
        <w:t>demandas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ciudadanía,</w:t>
      </w:r>
      <w:r>
        <w:rPr>
          <w:color w:val="231F20"/>
          <w:spacing w:val="-15"/>
          <w:w w:val="105"/>
        </w:rPr>
        <w:t> </w:t>
      </w:r>
      <w:r>
        <w:rPr>
          <w:color w:val="231F20"/>
          <w:w w:val="105"/>
        </w:rPr>
        <w:t>fueron</w:t>
      </w:r>
      <w:r>
        <w:rPr>
          <w:color w:val="231F20"/>
          <w:spacing w:val="-15"/>
          <w:w w:val="105"/>
        </w:rPr>
        <w:t> </w:t>
      </w:r>
      <w:r>
        <w:rPr>
          <w:color w:val="231F20"/>
          <w:w w:val="105"/>
        </w:rPr>
        <w:t>tomadas en cuenta e incorporadas a las políticas ejercidas por el gobierno en turno: así, alum- brado,</w:t>
      </w:r>
      <w:r>
        <w:rPr>
          <w:color w:val="231F20"/>
          <w:spacing w:val="-10"/>
          <w:w w:val="105"/>
        </w:rPr>
        <w:t> </w:t>
      </w:r>
      <w:r>
        <w:rPr>
          <w:color w:val="231F20"/>
          <w:w w:val="105"/>
        </w:rPr>
        <w:t>drenaje,</w:t>
      </w:r>
      <w:r>
        <w:rPr>
          <w:color w:val="231F20"/>
          <w:spacing w:val="-10"/>
          <w:w w:val="105"/>
        </w:rPr>
        <w:t> </w:t>
      </w:r>
      <w:r>
        <w:rPr>
          <w:color w:val="231F20"/>
          <w:w w:val="105"/>
        </w:rPr>
        <w:t>pavimentación,</w:t>
      </w:r>
      <w:r>
        <w:rPr>
          <w:color w:val="231F20"/>
          <w:spacing w:val="-10"/>
          <w:w w:val="105"/>
        </w:rPr>
        <w:t> </w:t>
      </w:r>
      <w:r>
        <w:rPr>
          <w:color w:val="231F20"/>
          <w:w w:val="105"/>
        </w:rPr>
        <w:t>entre</w:t>
      </w:r>
      <w:r>
        <w:rPr>
          <w:color w:val="231F20"/>
          <w:spacing w:val="-10"/>
          <w:w w:val="105"/>
        </w:rPr>
        <w:t> </w:t>
      </w:r>
      <w:r>
        <w:rPr>
          <w:color w:val="231F20"/>
          <w:w w:val="105"/>
        </w:rPr>
        <w:t>otras</w:t>
      </w:r>
      <w:r>
        <w:rPr>
          <w:color w:val="231F20"/>
          <w:spacing w:val="-10"/>
          <w:w w:val="105"/>
        </w:rPr>
        <w:t> </w:t>
      </w:r>
      <w:r>
        <w:rPr>
          <w:color w:val="231F20"/>
          <w:w w:val="105"/>
        </w:rPr>
        <w:t>fueron</w:t>
      </w:r>
      <w:r>
        <w:rPr>
          <w:color w:val="231F20"/>
          <w:spacing w:val="-10"/>
          <w:w w:val="105"/>
        </w:rPr>
        <w:t> </w:t>
      </w:r>
      <w:r>
        <w:rPr>
          <w:color w:val="231F20"/>
          <w:w w:val="105"/>
        </w:rPr>
        <w:t>realizadas</w:t>
      </w:r>
      <w:r>
        <w:rPr>
          <w:color w:val="231F20"/>
          <w:spacing w:val="-10"/>
          <w:w w:val="105"/>
        </w:rPr>
        <w:t> </w:t>
      </w:r>
      <w:r>
        <w:rPr>
          <w:color w:val="231F20"/>
          <w:w w:val="105"/>
        </w:rPr>
        <w:t>atendiendo</w:t>
      </w:r>
      <w:r>
        <w:rPr>
          <w:color w:val="231F20"/>
          <w:spacing w:val="-10"/>
          <w:w w:val="105"/>
        </w:rPr>
        <w:t> </w:t>
      </w:r>
      <w:r>
        <w:rPr>
          <w:color w:val="231F20"/>
          <w:w w:val="105"/>
        </w:rPr>
        <w:t>sobre</w:t>
      </w:r>
      <w:r>
        <w:rPr>
          <w:color w:val="231F20"/>
          <w:spacing w:val="-10"/>
          <w:w w:val="105"/>
        </w:rPr>
        <w:t> </w:t>
      </w:r>
      <w:r>
        <w:rPr>
          <w:color w:val="231F20"/>
          <w:w w:val="105"/>
        </w:rPr>
        <w:t>todo</w:t>
      </w:r>
      <w:r>
        <w:rPr>
          <w:color w:val="231F20"/>
          <w:spacing w:val="-10"/>
          <w:w w:val="105"/>
        </w:rPr>
        <w:t> </w:t>
      </w:r>
      <w:r>
        <w:rPr>
          <w:color w:val="231F20"/>
          <w:w w:val="105"/>
        </w:rPr>
        <w:t>a</w:t>
      </w:r>
      <w:r>
        <w:rPr>
          <w:color w:val="231F20"/>
          <w:spacing w:val="-10"/>
          <w:w w:val="105"/>
        </w:rPr>
        <w:t> </w:t>
      </w:r>
      <w:r>
        <w:rPr>
          <w:color w:val="231F20"/>
          <w:w w:val="105"/>
        </w:rPr>
        <w:t>la zona</w:t>
      </w:r>
      <w:r>
        <w:rPr>
          <w:color w:val="231F20"/>
          <w:spacing w:val="-9"/>
          <w:w w:val="105"/>
        </w:rPr>
        <w:t> </w:t>
      </w:r>
      <w:r>
        <w:rPr>
          <w:color w:val="231F20"/>
          <w:w w:val="105"/>
        </w:rPr>
        <w:t>poniente</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w w:val="105"/>
        </w:rPr>
        <w:t>Aun</w:t>
      </w:r>
      <w:r>
        <w:rPr>
          <w:color w:val="231F20"/>
          <w:spacing w:val="-9"/>
          <w:w w:val="105"/>
        </w:rPr>
        <w:t> </w:t>
      </w:r>
      <w:r>
        <w:rPr>
          <w:color w:val="231F20"/>
          <w:w w:val="105"/>
        </w:rPr>
        <w:t>así,</w:t>
      </w:r>
      <w:r>
        <w:rPr>
          <w:color w:val="231F20"/>
          <w:spacing w:val="-9"/>
          <w:w w:val="105"/>
        </w:rPr>
        <w:t> </w:t>
      </w:r>
      <w:r>
        <w:rPr>
          <w:color w:val="231F20"/>
          <w:w w:val="105"/>
        </w:rPr>
        <w:t>este</w:t>
      </w:r>
      <w:r>
        <w:rPr>
          <w:color w:val="231F20"/>
          <w:spacing w:val="-9"/>
          <w:w w:val="105"/>
        </w:rPr>
        <w:t> </w:t>
      </w:r>
      <w:r>
        <w:rPr>
          <w:color w:val="231F20"/>
          <w:w w:val="105"/>
        </w:rPr>
        <w:t>es</w:t>
      </w:r>
      <w:r>
        <w:rPr>
          <w:color w:val="231F20"/>
          <w:spacing w:val="-9"/>
          <w:w w:val="105"/>
        </w:rPr>
        <w:t> </w:t>
      </w:r>
      <w:r>
        <w:rPr>
          <w:color w:val="231F20"/>
          <w:w w:val="105"/>
        </w:rPr>
        <w:t>un</w:t>
      </w:r>
      <w:r>
        <w:rPr>
          <w:color w:val="231F20"/>
          <w:spacing w:val="-9"/>
          <w:w w:val="105"/>
        </w:rPr>
        <w:t> </w:t>
      </w:r>
      <w:r>
        <w:rPr>
          <w:color w:val="231F20"/>
          <w:w w:val="105"/>
        </w:rPr>
        <w:t>buen</w:t>
      </w:r>
      <w:r>
        <w:rPr>
          <w:color w:val="231F20"/>
          <w:spacing w:val="-9"/>
          <w:w w:val="105"/>
        </w:rPr>
        <w:t> </w:t>
      </w:r>
      <w:r>
        <w:rPr>
          <w:color w:val="231F20"/>
          <w:spacing w:val="-3"/>
          <w:w w:val="105"/>
        </w:rPr>
        <w:t>ejemplo</w:t>
      </w:r>
      <w:r>
        <w:rPr>
          <w:color w:val="231F20"/>
          <w:spacing w:val="-9"/>
          <w:w w:val="105"/>
        </w:rPr>
        <w:t> </w:t>
      </w:r>
      <w:r>
        <w:rPr>
          <w:color w:val="231F20"/>
          <w:w w:val="105"/>
        </w:rPr>
        <w:t>de</w:t>
      </w:r>
      <w:r>
        <w:rPr>
          <w:color w:val="231F20"/>
          <w:spacing w:val="-9"/>
          <w:w w:val="105"/>
        </w:rPr>
        <w:t> </w:t>
      </w:r>
      <w:r>
        <w:rPr>
          <w:color w:val="231F20"/>
          <w:w w:val="105"/>
        </w:rPr>
        <w:t>cómo</w:t>
      </w:r>
      <w:r>
        <w:rPr>
          <w:color w:val="231F20"/>
          <w:spacing w:val="-9"/>
          <w:w w:val="105"/>
        </w:rPr>
        <w:t> </w:t>
      </w:r>
      <w:r>
        <w:rPr>
          <w:color w:val="231F20"/>
          <w:w w:val="105"/>
        </w:rPr>
        <w:t>los</w:t>
      </w:r>
      <w:r>
        <w:rPr>
          <w:color w:val="231F20"/>
          <w:spacing w:val="-9"/>
          <w:w w:val="105"/>
        </w:rPr>
        <w:t> </w:t>
      </w:r>
      <w:r>
        <w:rPr>
          <w:color w:val="231F20"/>
          <w:w w:val="105"/>
        </w:rPr>
        <w:t>ciudadanos afectaron</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agenda</w:t>
      </w:r>
      <w:r>
        <w:rPr>
          <w:color w:val="231F20"/>
          <w:spacing w:val="-20"/>
          <w:w w:val="105"/>
        </w:rPr>
        <w:t> </w:t>
      </w:r>
      <w:r>
        <w:rPr>
          <w:color w:val="231F20"/>
          <w:w w:val="105"/>
        </w:rPr>
        <w:t>pública</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En</w:t>
      </w:r>
      <w:r>
        <w:rPr>
          <w:color w:val="231F20"/>
          <w:spacing w:val="-20"/>
          <w:w w:val="105"/>
        </w:rPr>
        <w:t> </w:t>
      </w:r>
      <w:r>
        <w:rPr>
          <w:color w:val="231F20"/>
          <w:w w:val="105"/>
        </w:rPr>
        <w:t>otras</w:t>
      </w:r>
      <w:r>
        <w:rPr>
          <w:color w:val="231F20"/>
          <w:spacing w:val="-20"/>
          <w:w w:val="105"/>
        </w:rPr>
        <w:t> </w:t>
      </w:r>
      <w:r>
        <w:rPr>
          <w:color w:val="231F20"/>
          <w:w w:val="105"/>
        </w:rPr>
        <w:t>palabras,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0"/>
          <w:w w:val="105"/>
        </w:rPr>
        <w:t> </w:t>
      </w:r>
      <w:r>
        <w:rPr>
          <w:color w:val="231F20"/>
          <w:w w:val="105"/>
        </w:rPr>
        <w:t>Tlal- nepantla</w:t>
      </w:r>
      <w:r>
        <w:rPr>
          <w:color w:val="231F20"/>
          <w:spacing w:val="-12"/>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dado</w:t>
      </w:r>
      <w:r>
        <w:rPr>
          <w:color w:val="231F20"/>
          <w:spacing w:val="-12"/>
          <w:w w:val="105"/>
        </w:rPr>
        <w:t> </w:t>
      </w:r>
      <w:r>
        <w:rPr>
          <w:color w:val="231F20"/>
          <w:w w:val="105"/>
        </w:rPr>
        <w:t>una</w:t>
      </w:r>
      <w:r>
        <w:rPr>
          <w:color w:val="231F20"/>
          <w:spacing w:val="-12"/>
          <w:w w:val="105"/>
        </w:rPr>
        <w:t> </w:t>
      </w:r>
      <w:r>
        <w:rPr>
          <w:color w:val="231F20"/>
          <w:w w:val="105"/>
        </w:rPr>
        <w:t>integración</w:t>
      </w:r>
      <w:r>
        <w:rPr>
          <w:color w:val="231F20"/>
          <w:spacing w:val="-12"/>
          <w:w w:val="105"/>
        </w:rPr>
        <w:t> </w:t>
      </w:r>
      <w:r>
        <w:rPr>
          <w:color w:val="231F20"/>
          <w:w w:val="105"/>
        </w:rPr>
        <w:t>social</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toma</w:t>
      </w:r>
      <w:r>
        <w:rPr>
          <w:color w:val="231F20"/>
          <w:spacing w:val="-12"/>
          <w:w w:val="105"/>
        </w:rPr>
        <w:t> </w:t>
      </w:r>
      <w:r>
        <w:rPr>
          <w:color w:val="231F20"/>
          <w:w w:val="105"/>
        </w:rPr>
        <w:t>de</w:t>
      </w:r>
      <w:r>
        <w:rPr>
          <w:color w:val="231F20"/>
          <w:spacing w:val="-12"/>
          <w:w w:val="105"/>
        </w:rPr>
        <w:t> </w:t>
      </w:r>
      <w:r>
        <w:rPr>
          <w:color w:val="231F20"/>
          <w:w w:val="105"/>
        </w:rPr>
        <w:t>decisiones</w:t>
      </w:r>
      <w:r>
        <w:rPr>
          <w:color w:val="231F20"/>
          <w:spacing w:val="-12"/>
          <w:w w:val="105"/>
        </w:rPr>
        <w:t> </w:t>
      </w:r>
      <w:r>
        <w:rPr>
          <w:color w:val="231F20"/>
          <w:w w:val="105"/>
        </w:rPr>
        <w:t>aceptable.</w:t>
      </w:r>
    </w:p>
    <w:p>
      <w:pPr>
        <w:pStyle w:val="BodyText"/>
        <w:spacing w:before="1"/>
        <w:rPr>
          <w:sz w:val="26"/>
        </w:rPr>
      </w:pPr>
    </w:p>
    <w:p>
      <w:pPr>
        <w:pStyle w:val="BodyText"/>
        <w:spacing w:line="285" w:lineRule="auto"/>
        <w:ind w:left="110" w:right="107"/>
        <w:jc w:val="both"/>
      </w:pPr>
      <w:r>
        <w:rPr>
          <w:color w:val="231F20"/>
          <w:spacing w:val="-3"/>
          <w:w w:val="105"/>
        </w:rPr>
        <w:t>Si</w:t>
      </w:r>
      <w:r>
        <w:rPr>
          <w:color w:val="231F20"/>
          <w:spacing w:val="-28"/>
          <w:w w:val="105"/>
        </w:rPr>
        <w:t> </w:t>
      </w:r>
      <w:r>
        <w:rPr>
          <w:color w:val="231F20"/>
          <w:spacing w:val="-5"/>
          <w:w w:val="105"/>
        </w:rPr>
        <w:t>bien</w:t>
      </w:r>
      <w:r>
        <w:rPr>
          <w:color w:val="231F20"/>
          <w:spacing w:val="-28"/>
          <w:w w:val="105"/>
        </w:rPr>
        <w:t> </w:t>
      </w:r>
      <w:r>
        <w:rPr>
          <w:color w:val="231F20"/>
          <w:spacing w:val="-3"/>
          <w:w w:val="105"/>
        </w:rPr>
        <w:t>no</w:t>
      </w:r>
      <w:r>
        <w:rPr>
          <w:color w:val="231F20"/>
          <w:spacing w:val="-28"/>
          <w:w w:val="105"/>
        </w:rPr>
        <w:t> </w:t>
      </w:r>
      <w:r>
        <w:rPr>
          <w:color w:val="231F20"/>
          <w:spacing w:val="-3"/>
          <w:w w:val="105"/>
        </w:rPr>
        <w:t>existen</w:t>
      </w:r>
      <w:r>
        <w:rPr>
          <w:color w:val="231F20"/>
          <w:spacing w:val="-28"/>
          <w:w w:val="105"/>
        </w:rPr>
        <w:t> </w:t>
      </w:r>
      <w:r>
        <w:rPr>
          <w:color w:val="231F20"/>
          <w:spacing w:val="-3"/>
          <w:w w:val="105"/>
        </w:rPr>
        <w:t>mecanismos</w:t>
      </w:r>
      <w:r>
        <w:rPr>
          <w:color w:val="231F20"/>
          <w:spacing w:val="-28"/>
          <w:w w:val="105"/>
        </w:rPr>
        <w:t> </w:t>
      </w:r>
      <w:r>
        <w:rPr>
          <w:color w:val="231F20"/>
          <w:spacing w:val="-4"/>
          <w:w w:val="105"/>
        </w:rPr>
        <w:t>expresos</w:t>
      </w:r>
      <w:r>
        <w:rPr>
          <w:color w:val="231F20"/>
          <w:spacing w:val="-28"/>
          <w:w w:val="105"/>
        </w:rPr>
        <w:t> </w:t>
      </w:r>
      <w:r>
        <w:rPr>
          <w:color w:val="231F20"/>
          <w:spacing w:val="-3"/>
          <w:w w:val="105"/>
        </w:rPr>
        <w:t>en</w:t>
      </w:r>
      <w:r>
        <w:rPr>
          <w:color w:val="231F20"/>
          <w:spacing w:val="-28"/>
          <w:w w:val="105"/>
        </w:rPr>
        <w:t> </w:t>
      </w:r>
      <w:r>
        <w:rPr>
          <w:color w:val="231F20"/>
          <w:spacing w:val="-4"/>
          <w:w w:val="105"/>
        </w:rPr>
        <w:t>los</w:t>
      </w:r>
      <w:r>
        <w:rPr>
          <w:color w:val="231F20"/>
          <w:spacing w:val="-28"/>
          <w:w w:val="105"/>
        </w:rPr>
        <w:t> </w:t>
      </w:r>
      <w:r>
        <w:rPr>
          <w:color w:val="231F20"/>
          <w:w w:val="105"/>
        </w:rPr>
        <w:t>cuales</w:t>
      </w:r>
      <w:r>
        <w:rPr>
          <w:color w:val="231F20"/>
          <w:spacing w:val="-28"/>
          <w:w w:val="105"/>
        </w:rPr>
        <w:t> </w:t>
      </w:r>
      <w:r>
        <w:rPr>
          <w:color w:val="231F20"/>
          <w:w w:val="105"/>
        </w:rPr>
        <w:t>se</w:t>
      </w:r>
      <w:r>
        <w:rPr>
          <w:color w:val="231F20"/>
          <w:spacing w:val="-28"/>
          <w:w w:val="105"/>
        </w:rPr>
        <w:t> </w:t>
      </w:r>
      <w:r>
        <w:rPr>
          <w:color w:val="231F20"/>
          <w:spacing w:val="-4"/>
          <w:w w:val="105"/>
        </w:rPr>
        <w:t>pueda</w:t>
      </w:r>
      <w:r>
        <w:rPr>
          <w:color w:val="231F20"/>
          <w:spacing w:val="-28"/>
          <w:w w:val="105"/>
        </w:rPr>
        <w:t> </w:t>
      </w:r>
      <w:r>
        <w:rPr>
          <w:color w:val="231F20"/>
          <w:w w:val="105"/>
        </w:rPr>
        <w:t>materializar</w:t>
      </w:r>
      <w:r>
        <w:rPr>
          <w:color w:val="231F20"/>
          <w:spacing w:val="-28"/>
          <w:w w:val="105"/>
        </w:rPr>
        <w:t> </w:t>
      </w:r>
      <w:r>
        <w:rPr>
          <w:color w:val="231F20"/>
          <w:w w:val="105"/>
        </w:rPr>
        <w:t>la</w:t>
      </w:r>
      <w:r>
        <w:rPr>
          <w:color w:val="231F20"/>
          <w:spacing w:val="-28"/>
          <w:w w:val="105"/>
        </w:rPr>
        <w:t> </w:t>
      </w:r>
      <w:r>
        <w:rPr>
          <w:color w:val="231F20"/>
          <w:spacing w:val="-4"/>
          <w:w w:val="105"/>
        </w:rPr>
        <w:t>participación </w:t>
      </w:r>
      <w:r>
        <w:rPr>
          <w:color w:val="231F20"/>
          <w:w w:val="105"/>
        </w:rPr>
        <w:t>social</w:t>
      </w:r>
      <w:r>
        <w:rPr>
          <w:color w:val="231F20"/>
          <w:spacing w:val="-21"/>
          <w:w w:val="105"/>
        </w:rPr>
        <w:t> </w:t>
      </w:r>
      <w:r>
        <w:rPr>
          <w:color w:val="231F20"/>
          <w:spacing w:val="-3"/>
          <w:w w:val="105"/>
        </w:rPr>
        <w:t>en</w:t>
      </w:r>
      <w:r>
        <w:rPr>
          <w:color w:val="231F20"/>
          <w:spacing w:val="-21"/>
          <w:w w:val="105"/>
        </w:rPr>
        <w:t> </w:t>
      </w:r>
      <w:r>
        <w:rPr>
          <w:color w:val="231F20"/>
          <w:w w:val="105"/>
        </w:rPr>
        <w:t>la</w:t>
      </w:r>
      <w:r>
        <w:rPr>
          <w:color w:val="231F20"/>
          <w:spacing w:val="-21"/>
          <w:w w:val="105"/>
        </w:rPr>
        <w:t> </w:t>
      </w:r>
      <w:r>
        <w:rPr>
          <w:color w:val="231F20"/>
          <w:spacing w:val="-4"/>
          <w:w w:val="105"/>
        </w:rPr>
        <w:t>toma</w:t>
      </w:r>
      <w:r>
        <w:rPr>
          <w:color w:val="231F20"/>
          <w:spacing w:val="-21"/>
          <w:w w:val="105"/>
        </w:rPr>
        <w:t> </w:t>
      </w:r>
      <w:r>
        <w:rPr>
          <w:color w:val="231F20"/>
          <w:spacing w:val="-3"/>
          <w:w w:val="105"/>
        </w:rPr>
        <w:t>de</w:t>
      </w:r>
      <w:r>
        <w:rPr>
          <w:color w:val="231F20"/>
          <w:spacing w:val="-21"/>
          <w:w w:val="105"/>
        </w:rPr>
        <w:t> </w:t>
      </w:r>
      <w:r>
        <w:rPr>
          <w:color w:val="231F20"/>
          <w:spacing w:val="-4"/>
          <w:w w:val="105"/>
        </w:rPr>
        <w:t>decisiones,</w:t>
      </w:r>
      <w:r>
        <w:rPr>
          <w:color w:val="231F20"/>
          <w:spacing w:val="-21"/>
          <w:w w:val="105"/>
        </w:rPr>
        <w:t> </w:t>
      </w:r>
      <w:r>
        <w:rPr>
          <w:color w:val="231F20"/>
          <w:w w:val="105"/>
        </w:rPr>
        <w:t>más</w:t>
      </w:r>
      <w:r>
        <w:rPr>
          <w:color w:val="231F20"/>
          <w:spacing w:val="-21"/>
          <w:w w:val="105"/>
        </w:rPr>
        <w:t> </w:t>
      </w:r>
      <w:r>
        <w:rPr>
          <w:color w:val="231F20"/>
          <w:w w:val="105"/>
        </w:rPr>
        <w:t>allá</w:t>
      </w:r>
      <w:r>
        <w:rPr>
          <w:color w:val="231F20"/>
          <w:spacing w:val="-21"/>
          <w:w w:val="105"/>
        </w:rPr>
        <w:t> </w:t>
      </w:r>
      <w:r>
        <w:rPr>
          <w:color w:val="231F20"/>
          <w:spacing w:val="-3"/>
          <w:w w:val="105"/>
        </w:rPr>
        <w:t>de</w:t>
      </w:r>
      <w:r>
        <w:rPr>
          <w:color w:val="231F20"/>
          <w:spacing w:val="-21"/>
          <w:w w:val="105"/>
        </w:rPr>
        <w:t> </w:t>
      </w:r>
      <w:r>
        <w:rPr>
          <w:color w:val="231F20"/>
          <w:spacing w:val="-4"/>
          <w:w w:val="105"/>
        </w:rPr>
        <w:t>recoger</w:t>
      </w:r>
      <w:r>
        <w:rPr>
          <w:color w:val="231F20"/>
          <w:spacing w:val="-21"/>
          <w:w w:val="105"/>
        </w:rPr>
        <w:t> </w:t>
      </w:r>
      <w:r>
        <w:rPr>
          <w:color w:val="231F20"/>
          <w:w w:val="105"/>
        </w:rPr>
        <w:t>las</w:t>
      </w:r>
      <w:r>
        <w:rPr>
          <w:color w:val="231F20"/>
          <w:spacing w:val="-21"/>
          <w:w w:val="105"/>
        </w:rPr>
        <w:t> </w:t>
      </w:r>
      <w:r>
        <w:rPr>
          <w:color w:val="231F20"/>
          <w:spacing w:val="-3"/>
          <w:w w:val="105"/>
        </w:rPr>
        <w:t>demandas</w:t>
      </w:r>
      <w:r>
        <w:rPr>
          <w:color w:val="231F20"/>
          <w:spacing w:val="-21"/>
          <w:w w:val="105"/>
        </w:rPr>
        <w:t> </w:t>
      </w:r>
      <w:r>
        <w:rPr>
          <w:color w:val="231F20"/>
          <w:spacing w:val="-3"/>
          <w:w w:val="105"/>
        </w:rPr>
        <w:t>de</w:t>
      </w:r>
      <w:r>
        <w:rPr>
          <w:color w:val="231F20"/>
          <w:spacing w:val="-21"/>
          <w:w w:val="105"/>
        </w:rPr>
        <w:t> </w:t>
      </w:r>
      <w:r>
        <w:rPr>
          <w:color w:val="231F20"/>
          <w:w w:val="105"/>
        </w:rPr>
        <w:t>la</w:t>
      </w:r>
      <w:r>
        <w:rPr>
          <w:color w:val="231F20"/>
          <w:spacing w:val="-21"/>
          <w:w w:val="105"/>
        </w:rPr>
        <w:t> </w:t>
      </w:r>
      <w:r>
        <w:rPr>
          <w:color w:val="231F20"/>
          <w:spacing w:val="-4"/>
          <w:w w:val="105"/>
        </w:rPr>
        <w:t>ciudadanía</w:t>
      </w:r>
      <w:r>
        <w:rPr>
          <w:color w:val="231F20"/>
          <w:spacing w:val="-21"/>
          <w:w w:val="105"/>
        </w:rPr>
        <w:t> </w:t>
      </w:r>
      <w:r>
        <w:rPr>
          <w:color w:val="231F20"/>
          <w:spacing w:val="-3"/>
          <w:w w:val="105"/>
        </w:rPr>
        <w:t>en</w:t>
      </w:r>
      <w:r>
        <w:rPr>
          <w:color w:val="231F20"/>
          <w:spacing w:val="-21"/>
          <w:w w:val="105"/>
        </w:rPr>
        <w:t> </w:t>
      </w:r>
      <w:r>
        <w:rPr>
          <w:color w:val="231F20"/>
          <w:w w:val="105"/>
        </w:rPr>
        <w:t>cam- paña,</w:t>
      </w:r>
      <w:r>
        <w:rPr>
          <w:color w:val="231F20"/>
          <w:spacing w:val="-11"/>
          <w:w w:val="105"/>
        </w:rPr>
        <w:t> </w:t>
      </w:r>
      <w:r>
        <w:rPr>
          <w:color w:val="231F20"/>
          <w:w w:val="105"/>
        </w:rPr>
        <w:t>la</w:t>
      </w:r>
      <w:r>
        <w:rPr>
          <w:color w:val="231F20"/>
          <w:spacing w:val="-11"/>
          <w:w w:val="105"/>
        </w:rPr>
        <w:t> </w:t>
      </w:r>
      <w:r>
        <w:rPr>
          <w:color w:val="231F20"/>
          <w:w w:val="105"/>
        </w:rPr>
        <w:t>última</w:t>
      </w:r>
      <w:r>
        <w:rPr>
          <w:color w:val="231F20"/>
          <w:spacing w:val="-11"/>
          <w:w w:val="105"/>
        </w:rPr>
        <w:t> </w:t>
      </w:r>
      <w:r>
        <w:rPr>
          <w:color w:val="231F20"/>
          <w:spacing w:val="-4"/>
          <w:w w:val="105"/>
        </w:rPr>
        <w:t>gestión</w:t>
      </w:r>
      <w:r>
        <w:rPr>
          <w:color w:val="231F20"/>
          <w:spacing w:val="-11"/>
          <w:w w:val="105"/>
        </w:rPr>
        <w:t> </w:t>
      </w:r>
      <w:r>
        <w:rPr>
          <w:color w:val="231F20"/>
          <w:w w:val="105"/>
        </w:rPr>
        <w:t>panista</w:t>
      </w:r>
      <w:r>
        <w:rPr>
          <w:color w:val="231F20"/>
          <w:spacing w:val="-11"/>
          <w:w w:val="105"/>
        </w:rPr>
        <w:t> </w:t>
      </w:r>
      <w:r>
        <w:rPr>
          <w:color w:val="231F20"/>
          <w:spacing w:val="-5"/>
          <w:w w:val="105"/>
        </w:rPr>
        <w:t>implementó</w:t>
      </w:r>
      <w:r>
        <w:rPr>
          <w:color w:val="231F20"/>
          <w:spacing w:val="-11"/>
          <w:w w:val="105"/>
        </w:rPr>
        <w:t> </w:t>
      </w:r>
      <w:r>
        <w:rPr>
          <w:color w:val="231F20"/>
          <w:w w:val="105"/>
        </w:rPr>
        <w:t>un</w:t>
      </w:r>
      <w:r>
        <w:rPr>
          <w:color w:val="231F20"/>
          <w:spacing w:val="-11"/>
          <w:w w:val="105"/>
        </w:rPr>
        <w:t> </w:t>
      </w:r>
      <w:r>
        <w:rPr>
          <w:color w:val="231F20"/>
          <w:spacing w:val="-3"/>
          <w:w w:val="105"/>
        </w:rPr>
        <w:t>programa</w:t>
      </w:r>
      <w:r>
        <w:rPr>
          <w:color w:val="231F20"/>
          <w:spacing w:val="-11"/>
          <w:w w:val="105"/>
        </w:rPr>
        <w:t> </w:t>
      </w:r>
      <w:r>
        <w:rPr>
          <w:color w:val="231F20"/>
          <w:spacing w:val="-4"/>
          <w:w w:val="105"/>
        </w:rPr>
        <w:t>interesante</w:t>
      </w:r>
      <w:r>
        <w:rPr>
          <w:color w:val="231F20"/>
          <w:spacing w:val="-11"/>
          <w:w w:val="105"/>
        </w:rPr>
        <w:t> </w:t>
      </w:r>
      <w:r>
        <w:rPr>
          <w:color w:val="231F20"/>
          <w:spacing w:val="-3"/>
          <w:w w:val="105"/>
        </w:rPr>
        <w:t>llamado</w:t>
      </w:r>
      <w:r>
        <w:rPr>
          <w:color w:val="231F20"/>
          <w:spacing w:val="-11"/>
          <w:w w:val="105"/>
        </w:rPr>
        <w:t> </w:t>
      </w:r>
      <w:r>
        <w:rPr>
          <w:color w:val="231F20"/>
          <w:spacing w:val="-5"/>
          <w:w w:val="105"/>
        </w:rPr>
        <w:t>Presupuesto </w:t>
      </w:r>
      <w:r>
        <w:rPr>
          <w:color w:val="231F20"/>
          <w:spacing w:val="-4"/>
          <w:w w:val="105"/>
        </w:rPr>
        <w:t>Participativo,</w:t>
      </w:r>
      <w:r>
        <w:rPr>
          <w:color w:val="231F20"/>
          <w:spacing w:val="-24"/>
          <w:w w:val="105"/>
        </w:rPr>
        <w:t> </w:t>
      </w:r>
      <w:r>
        <w:rPr>
          <w:color w:val="231F20"/>
          <w:spacing w:val="-4"/>
          <w:w w:val="105"/>
        </w:rPr>
        <w:t>que</w:t>
      </w:r>
      <w:r>
        <w:rPr>
          <w:color w:val="231F20"/>
          <w:spacing w:val="-24"/>
          <w:w w:val="105"/>
        </w:rPr>
        <w:t> </w:t>
      </w:r>
      <w:r>
        <w:rPr>
          <w:color w:val="231F20"/>
          <w:spacing w:val="-3"/>
          <w:w w:val="105"/>
        </w:rPr>
        <w:t>consistía</w:t>
      </w:r>
      <w:r>
        <w:rPr>
          <w:color w:val="231F20"/>
          <w:spacing w:val="-24"/>
          <w:w w:val="105"/>
        </w:rPr>
        <w:t> </w:t>
      </w:r>
      <w:r>
        <w:rPr>
          <w:color w:val="231F20"/>
          <w:spacing w:val="-3"/>
          <w:w w:val="105"/>
        </w:rPr>
        <w:t>en</w:t>
      </w:r>
      <w:r>
        <w:rPr>
          <w:color w:val="231F20"/>
          <w:spacing w:val="-24"/>
          <w:w w:val="105"/>
        </w:rPr>
        <w:t> </w:t>
      </w:r>
      <w:r>
        <w:rPr>
          <w:color w:val="231F20"/>
          <w:spacing w:val="-4"/>
          <w:w w:val="105"/>
        </w:rPr>
        <w:t>que</w:t>
      </w:r>
      <w:r>
        <w:rPr>
          <w:color w:val="231F20"/>
          <w:spacing w:val="-24"/>
          <w:w w:val="105"/>
        </w:rPr>
        <w:t> </w:t>
      </w:r>
      <w:r>
        <w:rPr>
          <w:color w:val="231F20"/>
          <w:w w:val="105"/>
        </w:rPr>
        <w:t>a</w:t>
      </w:r>
      <w:r>
        <w:rPr>
          <w:color w:val="231F20"/>
          <w:spacing w:val="-24"/>
          <w:w w:val="105"/>
        </w:rPr>
        <w:t> </w:t>
      </w:r>
      <w:r>
        <w:rPr>
          <w:color w:val="231F20"/>
          <w:spacing w:val="-4"/>
          <w:w w:val="105"/>
        </w:rPr>
        <w:t>través</w:t>
      </w:r>
      <w:r>
        <w:rPr>
          <w:color w:val="231F20"/>
          <w:spacing w:val="-24"/>
          <w:w w:val="105"/>
        </w:rPr>
        <w:t> </w:t>
      </w:r>
      <w:r>
        <w:rPr>
          <w:color w:val="231F20"/>
          <w:spacing w:val="-3"/>
          <w:w w:val="105"/>
        </w:rPr>
        <w:t>de</w:t>
      </w:r>
      <w:r>
        <w:rPr>
          <w:color w:val="231F20"/>
          <w:spacing w:val="-24"/>
          <w:w w:val="105"/>
        </w:rPr>
        <w:t> </w:t>
      </w:r>
      <w:r>
        <w:rPr>
          <w:color w:val="231F20"/>
          <w:w w:val="105"/>
        </w:rPr>
        <w:t>la</w:t>
      </w:r>
      <w:r>
        <w:rPr>
          <w:color w:val="231F20"/>
          <w:spacing w:val="-24"/>
          <w:w w:val="105"/>
        </w:rPr>
        <w:t> </w:t>
      </w:r>
      <w:r>
        <w:rPr>
          <w:color w:val="231F20"/>
          <w:spacing w:val="-3"/>
          <w:w w:val="105"/>
        </w:rPr>
        <w:t>Asamblea</w:t>
      </w:r>
      <w:r>
        <w:rPr>
          <w:color w:val="231F20"/>
          <w:spacing w:val="-24"/>
          <w:w w:val="105"/>
        </w:rPr>
        <w:t> </w:t>
      </w:r>
      <w:r>
        <w:rPr>
          <w:color w:val="231F20"/>
          <w:spacing w:val="-3"/>
          <w:w w:val="105"/>
        </w:rPr>
        <w:t>en</w:t>
      </w:r>
      <w:r>
        <w:rPr>
          <w:color w:val="231F20"/>
          <w:spacing w:val="-24"/>
          <w:w w:val="105"/>
        </w:rPr>
        <w:t> </w:t>
      </w:r>
      <w:r>
        <w:rPr>
          <w:color w:val="231F20"/>
          <w:w w:val="105"/>
        </w:rPr>
        <w:t>las</w:t>
      </w:r>
      <w:r>
        <w:rPr>
          <w:color w:val="231F20"/>
          <w:spacing w:val="-24"/>
          <w:w w:val="105"/>
        </w:rPr>
        <w:t> </w:t>
      </w:r>
      <w:r>
        <w:rPr>
          <w:color w:val="231F20"/>
          <w:spacing w:val="-4"/>
          <w:w w:val="105"/>
        </w:rPr>
        <w:t>comunidades,</w:t>
      </w:r>
      <w:r>
        <w:rPr>
          <w:color w:val="231F20"/>
          <w:spacing w:val="-24"/>
          <w:w w:val="105"/>
        </w:rPr>
        <w:t> </w:t>
      </w:r>
      <w:r>
        <w:rPr>
          <w:color w:val="231F20"/>
          <w:w w:val="105"/>
        </w:rPr>
        <w:t>se</w:t>
      </w:r>
      <w:r>
        <w:rPr>
          <w:color w:val="231F20"/>
          <w:spacing w:val="-24"/>
          <w:w w:val="105"/>
        </w:rPr>
        <w:t> </w:t>
      </w:r>
      <w:r>
        <w:rPr>
          <w:color w:val="231F20"/>
          <w:spacing w:val="-4"/>
          <w:w w:val="105"/>
        </w:rPr>
        <w:t>decidiera </w:t>
      </w:r>
      <w:r>
        <w:rPr>
          <w:color w:val="231F20"/>
          <w:w w:val="105"/>
        </w:rPr>
        <w:t>la</w:t>
      </w:r>
      <w:r>
        <w:rPr>
          <w:color w:val="231F20"/>
          <w:spacing w:val="-7"/>
          <w:w w:val="105"/>
        </w:rPr>
        <w:t> </w:t>
      </w:r>
      <w:r>
        <w:rPr>
          <w:color w:val="231F20"/>
          <w:spacing w:val="-5"/>
          <w:w w:val="105"/>
        </w:rPr>
        <w:t>aplicación</w:t>
      </w:r>
      <w:r>
        <w:rPr>
          <w:color w:val="231F20"/>
          <w:spacing w:val="-7"/>
          <w:w w:val="105"/>
        </w:rPr>
        <w:t> </w:t>
      </w:r>
      <w:r>
        <w:rPr>
          <w:color w:val="231F20"/>
          <w:w w:val="105"/>
        </w:rPr>
        <w:t>una</w:t>
      </w:r>
      <w:r>
        <w:rPr>
          <w:color w:val="231F20"/>
          <w:spacing w:val="-7"/>
          <w:w w:val="105"/>
        </w:rPr>
        <w:t> </w:t>
      </w:r>
      <w:r>
        <w:rPr>
          <w:color w:val="231F20"/>
          <w:w w:val="105"/>
        </w:rPr>
        <w:t>cuarta</w:t>
      </w:r>
      <w:r>
        <w:rPr>
          <w:color w:val="231F20"/>
          <w:spacing w:val="-7"/>
          <w:w w:val="105"/>
        </w:rPr>
        <w:t> </w:t>
      </w:r>
      <w:r>
        <w:rPr>
          <w:color w:val="231F20"/>
          <w:w w:val="105"/>
        </w:rPr>
        <w:t>parte</w:t>
      </w:r>
      <w:r>
        <w:rPr>
          <w:color w:val="231F20"/>
          <w:spacing w:val="-7"/>
          <w:w w:val="105"/>
        </w:rPr>
        <w:t> </w:t>
      </w:r>
      <w:r>
        <w:rPr>
          <w:color w:val="231F20"/>
          <w:spacing w:val="-3"/>
          <w:w w:val="105"/>
        </w:rPr>
        <w:t>de</w:t>
      </w:r>
      <w:r>
        <w:rPr>
          <w:color w:val="231F20"/>
          <w:spacing w:val="-7"/>
          <w:w w:val="105"/>
        </w:rPr>
        <w:t> </w:t>
      </w:r>
      <w:r>
        <w:rPr>
          <w:color w:val="231F20"/>
          <w:spacing w:val="-3"/>
          <w:w w:val="105"/>
        </w:rPr>
        <w:t>lo</w:t>
      </w:r>
      <w:r>
        <w:rPr>
          <w:color w:val="231F20"/>
          <w:spacing w:val="-7"/>
          <w:w w:val="105"/>
        </w:rPr>
        <w:t> </w:t>
      </w:r>
      <w:r>
        <w:rPr>
          <w:color w:val="231F20"/>
          <w:spacing w:val="-5"/>
          <w:w w:val="105"/>
        </w:rPr>
        <w:t>recaudado</w:t>
      </w:r>
      <w:r>
        <w:rPr>
          <w:color w:val="231F20"/>
          <w:spacing w:val="-7"/>
          <w:w w:val="105"/>
        </w:rPr>
        <w:t> </w:t>
      </w:r>
      <w:r>
        <w:rPr>
          <w:color w:val="231F20"/>
          <w:spacing w:val="-3"/>
          <w:w w:val="105"/>
        </w:rPr>
        <w:t>mediante</w:t>
      </w:r>
      <w:r>
        <w:rPr>
          <w:color w:val="231F20"/>
          <w:spacing w:val="-7"/>
          <w:w w:val="105"/>
        </w:rPr>
        <w:t> </w:t>
      </w:r>
      <w:r>
        <w:rPr>
          <w:color w:val="231F20"/>
          <w:spacing w:val="-3"/>
          <w:w w:val="105"/>
        </w:rPr>
        <w:t>el</w:t>
      </w:r>
      <w:r>
        <w:rPr>
          <w:color w:val="231F20"/>
          <w:spacing w:val="-7"/>
          <w:w w:val="105"/>
        </w:rPr>
        <w:t> </w:t>
      </w:r>
      <w:r>
        <w:rPr>
          <w:color w:val="231F20"/>
          <w:spacing w:val="-4"/>
          <w:w w:val="105"/>
        </w:rPr>
        <w:t>impuesto</w:t>
      </w:r>
      <w:r>
        <w:rPr>
          <w:color w:val="231F20"/>
          <w:spacing w:val="-7"/>
          <w:w w:val="105"/>
        </w:rPr>
        <w:t> </w:t>
      </w:r>
      <w:r>
        <w:rPr>
          <w:color w:val="231F20"/>
          <w:spacing w:val="-3"/>
          <w:w w:val="105"/>
        </w:rPr>
        <w:t>predial,</w:t>
      </w:r>
      <w:r>
        <w:rPr>
          <w:color w:val="231F20"/>
          <w:spacing w:val="-7"/>
          <w:w w:val="105"/>
        </w:rPr>
        <w:t> </w:t>
      </w:r>
      <w:r>
        <w:rPr>
          <w:color w:val="231F20"/>
          <w:w w:val="105"/>
        </w:rPr>
        <w:t>para</w:t>
      </w:r>
      <w:r>
        <w:rPr>
          <w:color w:val="231F20"/>
          <w:spacing w:val="-7"/>
          <w:w w:val="105"/>
        </w:rPr>
        <w:t> </w:t>
      </w:r>
      <w:r>
        <w:rPr>
          <w:color w:val="231F20"/>
          <w:spacing w:val="-3"/>
          <w:w w:val="105"/>
        </w:rPr>
        <w:t>obras</w:t>
      </w:r>
      <w:r>
        <w:rPr>
          <w:color w:val="231F20"/>
          <w:spacing w:val="-7"/>
          <w:w w:val="105"/>
        </w:rPr>
        <w:t> </w:t>
      </w:r>
      <w:r>
        <w:rPr>
          <w:color w:val="231F20"/>
          <w:w w:val="105"/>
        </w:rPr>
        <w:t>y </w:t>
      </w:r>
      <w:r>
        <w:rPr>
          <w:color w:val="231F20"/>
          <w:spacing w:val="-5"/>
          <w:w w:val="105"/>
        </w:rPr>
        <w:t>acciones</w:t>
      </w:r>
      <w:r>
        <w:rPr>
          <w:color w:val="231F20"/>
          <w:spacing w:val="-21"/>
          <w:w w:val="105"/>
        </w:rPr>
        <w:t> </w:t>
      </w:r>
      <w:r>
        <w:rPr>
          <w:color w:val="231F20"/>
          <w:spacing w:val="-3"/>
          <w:w w:val="105"/>
        </w:rPr>
        <w:t>de</w:t>
      </w:r>
      <w:r>
        <w:rPr>
          <w:color w:val="231F20"/>
          <w:spacing w:val="-21"/>
          <w:w w:val="105"/>
        </w:rPr>
        <w:t> </w:t>
      </w:r>
      <w:r>
        <w:rPr>
          <w:color w:val="231F20"/>
          <w:spacing w:val="-3"/>
          <w:w w:val="105"/>
        </w:rPr>
        <w:t>impacto</w:t>
      </w:r>
      <w:r>
        <w:rPr>
          <w:color w:val="231F20"/>
          <w:spacing w:val="-21"/>
          <w:w w:val="105"/>
        </w:rPr>
        <w:t> </w:t>
      </w:r>
      <w:r>
        <w:rPr>
          <w:color w:val="231F20"/>
          <w:w w:val="105"/>
        </w:rPr>
        <w:t>social</w:t>
      </w:r>
      <w:r>
        <w:rPr>
          <w:color w:val="231F20"/>
          <w:spacing w:val="-21"/>
          <w:w w:val="105"/>
        </w:rPr>
        <w:t> </w:t>
      </w:r>
      <w:r>
        <w:rPr>
          <w:color w:val="231F20"/>
          <w:spacing w:val="-3"/>
          <w:w w:val="105"/>
        </w:rPr>
        <w:t>en</w:t>
      </w:r>
      <w:r>
        <w:rPr>
          <w:color w:val="231F20"/>
          <w:spacing w:val="-21"/>
          <w:w w:val="105"/>
        </w:rPr>
        <w:t> </w:t>
      </w:r>
      <w:r>
        <w:rPr>
          <w:color w:val="231F20"/>
          <w:spacing w:val="-3"/>
          <w:w w:val="105"/>
        </w:rPr>
        <w:t>el</w:t>
      </w:r>
      <w:r>
        <w:rPr>
          <w:color w:val="231F20"/>
          <w:spacing w:val="-21"/>
          <w:w w:val="105"/>
        </w:rPr>
        <w:t> </w:t>
      </w:r>
      <w:r>
        <w:rPr>
          <w:color w:val="231F20"/>
          <w:spacing w:val="-5"/>
          <w:w w:val="105"/>
        </w:rPr>
        <w:t>municipio.</w:t>
      </w:r>
      <w:r>
        <w:rPr>
          <w:color w:val="231F20"/>
          <w:spacing w:val="-21"/>
          <w:w w:val="105"/>
        </w:rPr>
        <w:t> </w:t>
      </w:r>
      <w:r>
        <w:rPr>
          <w:color w:val="231F20"/>
          <w:spacing w:val="-3"/>
          <w:w w:val="105"/>
        </w:rPr>
        <w:t>Su</w:t>
      </w:r>
      <w:r>
        <w:rPr>
          <w:color w:val="231F20"/>
          <w:spacing w:val="-21"/>
          <w:w w:val="105"/>
        </w:rPr>
        <w:t> </w:t>
      </w:r>
      <w:r>
        <w:rPr>
          <w:color w:val="231F20"/>
          <w:spacing w:val="-3"/>
          <w:w w:val="105"/>
        </w:rPr>
        <w:t>alcance,</w:t>
      </w:r>
      <w:r>
        <w:rPr>
          <w:color w:val="231F20"/>
          <w:spacing w:val="-21"/>
          <w:w w:val="105"/>
        </w:rPr>
        <w:t> </w:t>
      </w:r>
      <w:r>
        <w:rPr>
          <w:color w:val="231F20"/>
          <w:w w:val="105"/>
        </w:rPr>
        <w:t>sin</w:t>
      </w:r>
      <w:r>
        <w:rPr>
          <w:color w:val="231F20"/>
          <w:spacing w:val="-21"/>
          <w:w w:val="105"/>
        </w:rPr>
        <w:t> </w:t>
      </w:r>
      <w:r>
        <w:rPr>
          <w:color w:val="231F20"/>
          <w:spacing w:val="-4"/>
          <w:w w:val="105"/>
        </w:rPr>
        <w:t>embargo,</w:t>
      </w:r>
      <w:r>
        <w:rPr>
          <w:color w:val="231F20"/>
          <w:spacing w:val="-21"/>
          <w:w w:val="105"/>
        </w:rPr>
        <w:t> </w:t>
      </w:r>
      <w:r>
        <w:rPr>
          <w:color w:val="231F20"/>
          <w:w w:val="105"/>
        </w:rPr>
        <w:t>es</w:t>
      </w:r>
      <w:r>
        <w:rPr>
          <w:color w:val="231F20"/>
          <w:spacing w:val="-21"/>
          <w:w w:val="105"/>
        </w:rPr>
        <w:t> </w:t>
      </w:r>
      <w:r>
        <w:rPr>
          <w:color w:val="231F20"/>
          <w:spacing w:val="-3"/>
          <w:w w:val="105"/>
        </w:rPr>
        <w:t>limitado.</w:t>
      </w:r>
    </w:p>
    <w:p>
      <w:pPr>
        <w:pStyle w:val="BodyText"/>
        <w:spacing w:before="1"/>
        <w:rPr>
          <w:sz w:val="26"/>
        </w:rPr>
      </w:pPr>
    </w:p>
    <w:p>
      <w:pPr>
        <w:pStyle w:val="BodyText"/>
        <w:spacing w:line="285" w:lineRule="auto"/>
        <w:ind w:left="110" w:right="107"/>
        <w:jc w:val="both"/>
      </w:pPr>
      <w:r>
        <w:rPr>
          <w:color w:val="231F20"/>
          <w:w w:val="105"/>
        </w:rPr>
        <w:t>La</w:t>
      </w:r>
      <w:r>
        <w:rPr>
          <w:color w:val="231F20"/>
          <w:spacing w:val="-20"/>
          <w:w w:val="105"/>
        </w:rPr>
        <w:t> </w:t>
      </w:r>
      <w:r>
        <w:rPr>
          <w:color w:val="231F20"/>
          <w:w w:val="105"/>
        </w:rPr>
        <w:t>atención</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ciudadana</w:t>
      </w:r>
      <w:r>
        <w:rPr>
          <w:color w:val="231F20"/>
          <w:spacing w:val="-20"/>
          <w:w w:val="105"/>
        </w:rPr>
        <w:t> </w:t>
      </w:r>
      <w:r>
        <w:rPr>
          <w:color w:val="231F20"/>
          <w:w w:val="105"/>
        </w:rPr>
        <w:t>es</w:t>
      </w:r>
      <w:r>
        <w:rPr>
          <w:color w:val="231F20"/>
          <w:spacing w:val="-20"/>
          <w:w w:val="105"/>
        </w:rPr>
        <w:t> </w:t>
      </w:r>
      <w:r>
        <w:rPr>
          <w:color w:val="231F20"/>
          <w:w w:val="105"/>
        </w:rPr>
        <w:t>otro</w:t>
      </w:r>
      <w:r>
        <w:rPr>
          <w:color w:val="231F20"/>
          <w:spacing w:val="-20"/>
          <w:w w:val="105"/>
        </w:rPr>
        <w:t> </w:t>
      </w:r>
      <w:r>
        <w:rPr>
          <w:color w:val="231F20"/>
          <w:w w:val="105"/>
        </w:rPr>
        <w:t>punto</w:t>
      </w:r>
      <w:r>
        <w:rPr>
          <w:color w:val="231F20"/>
          <w:spacing w:val="-20"/>
          <w:w w:val="105"/>
        </w:rPr>
        <w:t> </w:t>
      </w:r>
      <w:r>
        <w:rPr>
          <w:color w:val="231F20"/>
          <w:w w:val="105"/>
        </w:rPr>
        <w:t>importante,</w:t>
      </w:r>
      <w:r>
        <w:rPr>
          <w:color w:val="231F20"/>
          <w:spacing w:val="-20"/>
          <w:w w:val="105"/>
        </w:rPr>
        <w:t> </w:t>
      </w:r>
      <w:r>
        <w:rPr>
          <w:color w:val="231F20"/>
          <w:w w:val="105"/>
        </w:rPr>
        <w:t>pues</w:t>
      </w:r>
      <w:r>
        <w:rPr>
          <w:color w:val="231F20"/>
          <w:spacing w:val="-20"/>
          <w:w w:val="105"/>
        </w:rPr>
        <w:t> </w:t>
      </w:r>
      <w:r>
        <w:rPr>
          <w:color w:val="231F20"/>
          <w:w w:val="105"/>
        </w:rPr>
        <w:t>se</w:t>
      </w:r>
      <w:r>
        <w:rPr>
          <w:color w:val="231F20"/>
          <w:spacing w:val="-20"/>
          <w:w w:val="105"/>
        </w:rPr>
        <w:t> </w:t>
      </w:r>
      <w:r>
        <w:rPr>
          <w:color w:val="231F20"/>
          <w:w w:val="105"/>
        </w:rPr>
        <w:t>lleva</w:t>
      </w:r>
      <w:r>
        <w:rPr>
          <w:color w:val="231F20"/>
          <w:spacing w:val="-20"/>
          <w:w w:val="105"/>
        </w:rPr>
        <w:t> </w:t>
      </w:r>
      <w:r>
        <w:rPr>
          <w:color w:val="231F20"/>
          <w:w w:val="105"/>
        </w:rPr>
        <w:t>a</w:t>
      </w:r>
      <w:r>
        <w:rPr>
          <w:color w:val="231F20"/>
          <w:spacing w:val="-20"/>
          <w:w w:val="105"/>
        </w:rPr>
        <w:t> </w:t>
      </w:r>
      <w:r>
        <w:rPr>
          <w:color w:val="231F20"/>
          <w:w w:val="105"/>
        </w:rPr>
        <w:t>cabo</w:t>
      </w:r>
      <w:r>
        <w:rPr>
          <w:color w:val="231F20"/>
          <w:spacing w:val="-20"/>
          <w:w w:val="105"/>
        </w:rPr>
        <w:t> </w:t>
      </w:r>
      <w:r>
        <w:rPr>
          <w:color w:val="231F20"/>
          <w:w w:val="105"/>
        </w:rPr>
        <w:t>no</w:t>
      </w:r>
      <w:r>
        <w:rPr>
          <w:color w:val="231F20"/>
          <w:spacing w:val="-20"/>
          <w:w w:val="105"/>
        </w:rPr>
        <w:t> </w:t>
      </w:r>
      <w:r>
        <w:rPr>
          <w:color w:val="231F20"/>
          <w:w w:val="105"/>
        </w:rPr>
        <w:t>sólo</w:t>
      </w:r>
      <w:r>
        <w:rPr>
          <w:color w:val="231F20"/>
          <w:spacing w:val="-20"/>
          <w:w w:val="105"/>
        </w:rPr>
        <w:t> </w:t>
      </w:r>
      <w:r>
        <w:rPr>
          <w:color w:val="231F20"/>
          <w:w w:val="105"/>
        </w:rPr>
        <w:t>a</w:t>
      </w:r>
      <w:r>
        <w:rPr>
          <w:color w:val="231F20"/>
          <w:spacing w:val="-20"/>
          <w:w w:val="105"/>
        </w:rPr>
        <w:t> </w:t>
      </w:r>
      <w:r>
        <w:rPr>
          <w:color w:val="231F20"/>
          <w:w w:val="105"/>
        </w:rPr>
        <w:t>través de las ventanillas municipales, sino que además se cuenta con el </w:t>
      </w:r>
      <w:r>
        <w:rPr>
          <w:color w:val="231F20"/>
          <w:spacing w:val="2"/>
          <w:w w:val="105"/>
        </w:rPr>
        <w:t>call</w:t>
      </w:r>
      <w:r>
        <w:rPr>
          <w:color w:val="231F20"/>
          <w:spacing w:val="-39"/>
          <w:w w:val="105"/>
        </w:rPr>
        <w:t> </w:t>
      </w:r>
      <w:r>
        <w:rPr>
          <w:color w:val="231F20"/>
          <w:w w:val="105"/>
        </w:rPr>
        <w:t>center y el portal de internet, abriendo nuevos canales para le relación gobierno sociedad. Sin embargo, aun</w:t>
      </w:r>
      <w:r>
        <w:rPr>
          <w:color w:val="231F20"/>
          <w:spacing w:val="-10"/>
          <w:w w:val="105"/>
        </w:rPr>
        <w:t> </w:t>
      </w:r>
      <w:r>
        <w:rPr>
          <w:color w:val="231F20"/>
          <w:w w:val="105"/>
        </w:rPr>
        <w:t>así,</w:t>
      </w:r>
      <w:r>
        <w:rPr>
          <w:color w:val="231F20"/>
          <w:spacing w:val="-10"/>
          <w:w w:val="105"/>
        </w:rPr>
        <w:t> </w:t>
      </w:r>
      <w:r>
        <w:rPr>
          <w:color w:val="231F20"/>
          <w:w w:val="105"/>
        </w:rPr>
        <w:t>quedan</w:t>
      </w:r>
      <w:r>
        <w:rPr>
          <w:color w:val="231F20"/>
          <w:spacing w:val="-10"/>
          <w:w w:val="105"/>
        </w:rPr>
        <w:t> </w:t>
      </w:r>
      <w:r>
        <w:rPr>
          <w:color w:val="231F20"/>
          <w:w w:val="105"/>
        </w:rPr>
        <w:t>fuera</w:t>
      </w:r>
      <w:r>
        <w:rPr>
          <w:color w:val="231F20"/>
          <w:spacing w:val="-10"/>
          <w:w w:val="105"/>
        </w:rPr>
        <w:t> </w:t>
      </w:r>
      <w:r>
        <w:rPr>
          <w:color w:val="231F20"/>
          <w:w w:val="105"/>
        </w:rPr>
        <w:t>de</w:t>
      </w:r>
      <w:r>
        <w:rPr>
          <w:color w:val="231F20"/>
          <w:spacing w:val="-10"/>
          <w:w w:val="105"/>
        </w:rPr>
        <w:t> </w:t>
      </w:r>
      <w:r>
        <w:rPr>
          <w:color w:val="231F20"/>
          <w:w w:val="105"/>
        </w:rPr>
        <w:t>esta</w:t>
      </w:r>
      <w:r>
        <w:rPr>
          <w:color w:val="231F20"/>
          <w:spacing w:val="-10"/>
          <w:w w:val="105"/>
        </w:rPr>
        <w:t> </w:t>
      </w:r>
      <w:r>
        <w:rPr>
          <w:color w:val="231F20"/>
          <w:w w:val="105"/>
        </w:rPr>
        <w:t>relación</w:t>
      </w:r>
      <w:r>
        <w:rPr>
          <w:color w:val="231F20"/>
          <w:spacing w:val="-10"/>
          <w:w w:val="105"/>
        </w:rPr>
        <w:t> </w:t>
      </w:r>
      <w:r>
        <w:rPr>
          <w:color w:val="231F20"/>
          <w:w w:val="105"/>
        </w:rPr>
        <w:t>los</w:t>
      </w:r>
      <w:r>
        <w:rPr>
          <w:color w:val="231F20"/>
          <w:spacing w:val="-10"/>
          <w:w w:val="105"/>
        </w:rPr>
        <w:t> </w:t>
      </w:r>
      <w:r>
        <w:rPr>
          <w:color w:val="231F20"/>
          <w:w w:val="105"/>
        </w:rPr>
        <w:t>grupos</w:t>
      </w:r>
      <w:r>
        <w:rPr>
          <w:color w:val="231F20"/>
          <w:spacing w:val="-10"/>
          <w:w w:val="105"/>
        </w:rPr>
        <w:t> </w:t>
      </w:r>
      <w:r>
        <w:rPr>
          <w:color w:val="231F20"/>
          <w:w w:val="105"/>
        </w:rPr>
        <w:t>marginados</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tiene</w:t>
      </w:r>
      <w:r>
        <w:rPr>
          <w:color w:val="231F20"/>
          <w:spacing w:val="-10"/>
          <w:w w:val="105"/>
        </w:rPr>
        <w:t> </w:t>
      </w:r>
      <w:r>
        <w:rPr>
          <w:color w:val="231F20"/>
          <w:w w:val="105"/>
        </w:rPr>
        <w:t>acceso</w:t>
      </w:r>
      <w:r>
        <w:rPr>
          <w:color w:val="231F20"/>
          <w:spacing w:val="-10"/>
          <w:w w:val="105"/>
        </w:rPr>
        <w:t> </w:t>
      </w:r>
      <w:r>
        <w:rPr>
          <w:color w:val="231F20"/>
          <w:w w:val="105"/>
        </w:rPr>
        <w:t>a</w:t>
      </w:r>
      <w:r>
        <w:rPr>
          <w:color w:val="231F20"/>
          <w:spacing w:val="-10"/>
          <w:w w:val="105"/>
        </w:rPr>
        <w:t> </w:t>
      </w:r>
      <w:r>
        <w:rPr>
          <w:color w:val="231F20"/>
          <w:w w:val="105"/>
        </w:rPr>
        <w:t>este tipo de</w:t>
      </w:r>
      <w:r>
        <w:rPr>
          <w:color w:val="231F20"/>
          <w:spacing w:val="-19"/>
          <w:w w:val="105"/>
        </w:rPr>
        <w:t> </w:t>
      </w:r>
      <w:r>
        <w:rPr>
          <w:color w:val="231F20"/>
          <w:w w:val="105"/>
        </w:rPr>
        <w:t>interacción.</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8"/>
          <w:w w:val="105"/>
        </w:rPr>
        <w:t> </w:t>
      </w:r>
      <w:r>
        <w:rPr>
          <w:color w:val="231F20"/>
          <w:w w:val="105"/>
        </w:rPr>
        <w:t>Programa</w:t>
      </w:r>
      <w:r>
        <w:rPr>
          <w:color w:val="231F20"/>
          <w:spacing w:val="-18"/>
          <w:w w:val="105"/>
        </w:rPr>
        <w:t> </w:t>
      </w:r>
      <w:r>
        <w:rPr>
          <w:color w:val="231F20"/>
          <w:w w:val="105"/>
        </w:rPr>
        <w:t>de</w:t>
      </w:r>
      <w:r>
        <w:rPr>
          <w:color w:val="231F20"/>
          <w:spacing w:val="-18"/>
          <w:w w:val="105"/>
        </w:rPr>
        <w:t> </w:t>
      </w:r>
      <w:r>
        <w:rPr>
          <w:color w:val="231F20"/>
          <w:w w:val="105"/>
        </w:rPr>
        <w:t>vivienda,</w:t>
      </w:r>
      <w:r>
        <w:rPr>
          <w:color w:val="231F20"/>
          <w:spacing w:val="-18"/>
          <w:w w:val="105"/>
        </w:rPr>
        <w:t> </w:t>
      </w:r>
      <w:r>
        <w:rPr>
          <w:color w:val="231F20"/>
          <w:w w:val="105"/>
        </w:rPr>
        <w:t>que</w:t>
      </w:r>
      <w:r>
        <w:rPr>
          <w:color w:val="231F20"/>
          <w:spacing w:val="-18"/>
          <w:w w:val="105"/>
        </w:rPr>
        <w:t> </w:t>
      </w:r>
      <w:r>
        <w:rPr>
          <w:color w:val="231F20"/>
          <w:w w:val="105"/>
        </w:rPr>
        <w:t>las</w:t>
      </w:r>
      <w:r>
        <w:rPr>
          <w:color w:val="231F20"/>
          <w:spacing w:val="-18"/>
          <w:w w:val="105"/>
        </w:rPr>
        <w:t> </w:t>
      </w:r>
      <w:r>
        <w:rPr>
          <w:color w:val="231F20"/>
          <w:w w:val="105"/>
        </w:rPr>
        <w:t>tres</w:t>
      </w:r>
      <w:r>
        <w:rPr>
          <w:color w:val="231F20"/>
          <w:spacing w:val="-18"/>
          <w:w w:val="105"/>
        </w:rPr>
        <w:t> </w:t>
      </w:r>
      <w:r>
        <w:rPr>
          <w:color w:val="231F20"/>
          <w:w w:val="105"/>
        </w:rPr>
        <w:t>gestiones</w:t>
      </w:r>
      <w:r>
        <w:rPr>
          <w:color w:val="231F20"/>
          <w:spacing w:val="-18"/>
          <w:w w:val="105"/>
        </w:rPr>
        <w:t> </w:t>
      </w:r>
      <w:r>
        <w:rPr>
          <w:color w:val="231F20"/>
          <w:w w:val="105"/>
        </w:rPr>
        <w:t>llevaron</w:t>
      </w:r>
      <w:r>
        <w:rPr>
          <w:color w:val="231F20"/>
          <w:spacing w:val="-18"/>
          <w:w w:val="105"/>
        </w:rPr>
        <w:t> </w:t>
      </w:r>
      <w:r>
        <w:rPr>
          <w:color w:val="231F20"/>
          <w:w w:val="105"/>
        </w:rPr>
        <w:t>a</w:t>
      </w:r>
      <w:r>
        <w:rPr>
          <w:color w:val="231F20"/>
          <w:spacing w:val="-18"/>
          <w:w w:val="105"/>
        </w:rPr>
        <w:t> </w:t>
      </w:r>
      <w:r>
        <w:rPr>
          <w:color w:val="231F20"/>
          <w:w w:val="105"/>
        </w:rPr>
        <w:t>cabo,</w:t>
      </w:r>
      <w:r>
        <w:rPr>
          <w:color w:val="231F20"/>
          <w:spacing w:val="-18"/>
          <w:w w:val="105"/>
        </w:rPr>
        <w:t> </w:t>
      </w:r>
      <w:r>
        <w:rPr>
          <w:color w:val="231F20"/>
          <w:w w:val="105"/>
        </w:rPr>
        <w:t>fue</w:t>
      </w:r>
      <w:r>
        <w:rPr>
          <w:color w:val="231F20"/>
          <w:spacing w:val="-18"/>
          <w:w w:val="105"/>
        </w:rPr>
        <w:t> </w:t>
      </w:r>
      <w:r>
        <w:rPr>
          <w:color w:val="231F20"/>
          <w:w w:val="105"/>
        </w:rPr>
        <w:t>insuficiente</w:t>
      </w:r>
      <w:r>
        <w:rPr>
          <w:color w:val="231F20"/>
          <w:spacing w:val="-18"/>
          <w:w w:val="105"/>
        </w:rPr>
        <w:t> </w:t>
      </w:r>
      <w:r>
        <w:rPr>
          <w:color w:val="231F20"/>
          <w:w w:val="105"/>
        </w:rPr>
        <w:t>para</w:t>
      </w:r>
      <w:r>
        <w:rPr>
          <w:color w:val="231F20"/>
          <w:spacing w:val="-18"/>
          <w:w w:val="105"/>
        </w:rPr>
        <w:t> </w:t>
      </w:r>
      <w:r>
        <w:rPr>
          <w:color w:val="231F20"/>
          <w:w w:val="105"/>
        </w:rPr>
        <w:t>los </w:t>
      </w:r>
      <w:r>
        <w:rPr>
          <w:color w:val="231F20"/>
          <w:spacing w:val="-3"/>
          <w:w w:val="105"/>
        </w:rPr>
        <w:t>propios</w:t>
      </w:r>
      <w:r>
        <w:rPr>
          <w:color w:val="231F20"/>
          <w:spacing w:val="-19"/>
          <w:w w:val="105"/>
        </w:rPr>
        <w:t> </w:t>
      </w:r>
      <w:r>
        <w:rPr>
          <w:color w:val="231F20"/>
          <w:w w:val="105"/>
        </w:rPr>
        <w:t>objetivos</w:t>
      </w:r>
      <w:r>
        <w:rPr>
          <w:color w:val="231F20"/>
          <w:spacing w:val="-18"/>
          <w:w w:val="105"/>
        </w:rPr>
        <w:t> </w:t>
      </w:r>
      <w:r>
        <w:rPr>
          <w:color w:val="231F20"/>
          <w:w w:val="105"/>
        </w:rPr>
        <w:t>trazados</w:t>
      </w:r>
      <w:r>
        <w:rPr>
          <w:color w:val="231F20"/>
          <w:spacing w:val="-18"/>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planes</w:t>
      </w:r>
      <w:r>
        <w:rPr>
          <w:color w:val="231F20"/>
          <w:spacing w:val="-19"/>
          <w:w w:val="105"/>
        </w:rPr>
        <w:t> </w:t>
      </w:r>
      <w:r>
        <w:rPr>
          <w:color w:val="231F20"/>
          <w:w w:val="105"/>
        </w:rPr>
        <w:t>de</w:t>
      </w:r>
      <w:r>
        <w:rPr>
          <w:color w:val="231F20"/>
          <w:spacing w:val="-18"/>
          <w:w w:val="105"/>
        </w:rPr>
        <w:t> </w:t>
      </w:r>
      <w:r>
        <w:rPr>
          <w:color w:val="231F20"/>
          <w:w w:val="105"/>
        </w:rPr>
        <w:t>desarrollo</w:t>
      </w:r>
      <w:r>
        <w:rPr>
          <w:color w:val="231F20"/>
          <w:spacing w:val="-19"/>
          <w:w w:val="105"/>
        </w:rPr>
        <w:t> </w:t>
      </w:r>
      <w:r>
        <w:rPr>
          <w:color w:val="231F20"/>
          <w:spacing w:val="-7"/>
          <w:w w:val="105"/>
        </w:rPr>
        <w:t>y,</w:t>
      </w:r>
      <w:r>
        <w:rPr>
          <w:color w:val="231F20"/>
          <w:spacing w:val="-18"/>
          <w:w w:val="105"/>
        </w:rPr>
        <w:t> </w:t>
      </w:r>
      <w:r>
        <w:rPr>
          <w:color w:val="231F20"/>
          <w:w w:val="105"/>
        </w:rPr>
        <w:t>sobre</w:t>
      </w:r>
      <w:r>
        <w:rPr>
          <w:color w:val="231F20"/>
          <w:spacing w:val="-19"/>
          <w:w w:val="105"/>
        </w:rPr>
        <w:t> </w:t>
      </w:r>
      <w:r>
        <w:rPr>
          <w:color w:val="231F20"/>
          <w:w w:val="105"/>
        </w:rPr>
        <w:t>todo,</w:t>
      </w:r>
      <w:r>
        <w:rPr>
          <w:color w:val="231F20"/>
          <w:spacing w:val="-19"/>
          <w:w w:val="105"/>
        </w:rPr>
        <w:t> </w:t>
      </w:r>
      <w:r>
        <w:rPr>
          <w:color w:val="231F20"/>
          <w:w w:val="105"/>
        </w:rPr>
        <w:t>para</w:t>
      </w:r>
      <w:r>
        <w:rPr>
          <w:color w:val="231F20"/>
          <w:spacing w:val="-19"/>
          <w:w w:val="105"/>
        </w:rPr>
        <w:t> </w:t>
      </w:r>
      <w:r>
        <w:rPr>
          <w:color w:val="231F20"/>
          <w:w w:val="105"/>
        </w:rPr>
        <w:t>las</w:t>
      </w:r>
      <w:r>
        <w:rPr>
          <w:color w:val="231F20"/>
          <w:spacing w:val="-18"/>
          <w:w w:val="105"/>
        </w:rPr>
        <w:t> </w:t>
      </w:r>
      <w:r>
        <w:rPr>
          <w:color w:val="231F20"/>
          <w:w w:val="105"/>
        </w:rPr>
        <w:t>necesidades de</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marginada.</w:t>
      </w:r>
    </w:p>
    <w:p>
      <w:pPr>
        <w:pStyle w:val="BodyText"/>
        <w:spacing w:before="1"/>
        <w:rPr>
          <w:sz w:val="26"/>
        </w:rPr>
      </w:pPr>
    </w:p>
    <w:p>
      <w:pPr>
        <w:pStyle w:val="BodyText"/>
        <w:spacing w:line="285" w:lineRule="auto"/>
        <w:ind w:left="110" w:right="108"/>
        <w:jc w:val="both"/>
      </w:pPr>
      <w:r>
        <w:rPr>
          <w:color w:val="231F20"/>
          <w:w w:val="105"/>
        </w:rPr>
        <w:t>El </w:t>
      </w:r>
      <w:r>
        <w:rPr>
          <w:color w:val="231F20"/>
          <w:spacing w:val="-3"/>
          <w:w w:val="105"/>
        </w:rPr>
        <w:t>municipio </w:t>
      </w:r>
      <w:r>
        <w:rPr>
          <w:color w:val="231F20"/>
          <w:w w:val="105"/>
        </w:rPr>
        <w:t>fue </w:t>
      </w:r>
      <w:r>
        <w:rPr>
          <w:color w:val="231F20"/>
          <w:spacing w:val="-5"/>
          <w:w w:val="105"/>
        </w:rPr>
        <w:t>pionero </w:t>
      </w:r>
      <w:r>
        <w:rPr>
          <w:color w:val="231F20"/>
          <w:w w:val="105"/>
        </w:rPr>
        <w:t>en </w:t>
      </w:r>
      <w:r>
        <w:rPr>
          <w:color w:val="231F20"/>
          <w:spacing w:val="-3"/>
          <w:w w:val="105"/>
        </w:rPr>
        <w:t>materia </w:t>
      </w:r>
      <w:r>
        <w:rPr>
          <w:color w:val="231F20"/>
          <w:w w:val="105"/>
        </w:rPr>
        <w:t>de </w:t>
      </w:r>
      <w:r>
        <w:rPr>
          <w:color w:val="231F20"/>
          <w:spacing w:val="-4"/>
          <w:w w:val="105"/>
        </w:rPr>
        <w:t>rendición </w:t>
      </w:r>
      <w:r>
        <w:rPr>
          <w:color w:val="231F20"/>
          <w:w w:val="105"/>
        </w:rPr>
        <w:t>de cuentas, inaugurando uno de </w:t>
      </w:r>
      <w:r>
        <w:rPr>
          <w:color w:val="231F20"/>
          <w:spacing w:val="-4"/>
          <w:w w:val="105"/>
        </w:rPr>
        <w:t>los </w:t>
      </w:r>
      <w:r>
        <w:rPr>
          <w:color w:val="231F20"/>
          <w:spacing w:val="-3"/>
          <w:w w:val="105"/>
        </w:rPr>
        <w:t>primeros</w:t>
      </w:r>
      <w:r>
        <w:rPr>
          <w:color w:val="231F20"/>
          <w:spacing w:val="-22"/>
          <w:w w:val="105"/>
        </w:rPr>
        <w:t> </w:t>
      </w:r>
      <w:r>
        <w:rPr>
          <w:color w:val="231F20"/>
          <w:spacing w:val="-3"/>
          <w:w w:val="105"/>
        </w:rPr>
        <w:t>órganos</w:t>
      </w:r>
      <w:r>
        <w:rPr>
          <w:color w:val="231F20"/>
          <w:spacing w:val="-22"/>
          <w:w w:val="105"/>
        </w:rPr>
        <w:t> </w:t>
      </w:r>
      <w:r>
        <w:rPr>
          <w:color w:val="231F20"/>
          <w:spacing w:val="-3"/>
          <w:w w:val="105"/>
        </w:rPr>
        <w:t>municipales</w:t>
      </w:r>
      <w:r>
        <w:rPr>
          <w:color w:val="231F20"/>
          <w:spacing w:val="-22"/>
          <w:w w:val="105"/>
        </w:rPr>
        <w:t> </w:t>
      </w:r>
      <w:r>
        <w:rPr>
          <w:color w:val="231F20"/>
          <w:w w:val="105"/>
        </w:rPr>
        <w:t>especializados</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spacing w:val="-3"/>
          <w:w w:val="105"/>
        </w:rPr>
        <w:t>materia.</w:t>
      </w:r>
      <w:r>
        <w:rPr>
          <w:color w:val="231F20"/>
          <w:spacing w:val="-22"/>
          <w:w w:val="105"/>
        </w:rPr>
        <w:t> </w:t>
      </w:r>
      <w:r>
        <w:rPr>
          <w:color w:val="231F20"/>
          <w:w w:val="105"/>
        </w:rPr>
        <w:t>La</w:t>
      </w:r>
      <w:r>
        <w:rPr>
          <w:color w:val="231F20"/>
          <w:spacing w:val="-22"/>
          <w:w w:val="105"/>
        </w:rPr>
        <w:t> </w:t>
      </w:r>
      <w:r>
        <w:rPr>
          <w:color w:val="231F20"/>
          <w:spacing w:val="-3"/>
          <w:w w:val="105"/>
        </w:rPr>
        <w:t>entrada</w:t>
      </w:r>
      <w:r>
        <w:rPr>
          <w:color w:val="231F20"/>
          <w:spacing w:val="-22"/>
          <w:w w:val="105"/>
        </w:rPr>
        <w:t> </w:t>
      </w:r>
      <w:r>
        <w:rPr>
          <w:color w:val="231F20"/>
          <w:w w:val="105"/>
        </w:rPr>
        <w:t>en</w:t>
      </w:r>
      <w:r>
        <w:rPr>
          <w:color w:val="231F20"/>
          <w:spacing w:val="-22"/>
          <w:w w:val="105"/>
        </w:rPr>
        <w:t> </w:t>
      </w:r>
      <w:r>
        <w:rPr>
          <w:color w:val="231F20"/>
          <w:w w:val="105"/>
        </w:rPr>
        <w:t>marcha</w:t>
      </w:r>
      <w:r>
        <w:rPr>
          <w:color w:val="231F20"/>
          <w:spacing w:val="-22"/>
          <w:w w:val="105"/>
        </w:rPr>
        <w:t> </w:t>
      </w:r>
      <w:r>
        <w:rPr>
          <w:color w:val="231F20"/>
          <w:spacing w:val="-3"/>
          <w:w w:val="105"/>
        </w:rPr>
        <w:t>del</w:t>
      </w:r>
      <w:r>
        <w:rPr>
          <w:color w:val="231F20"/>
          <w:spacing w:val="-22"/>
          <w:w w:val="105"/>
        </w:rPr>
        <w:t> </w:t>
      </w:r>
      <w:r>
        <w:rPr>
          <w:color w:val="231F20"/>
          <w:w w:val="105"/>
        </w:rPr>
        <w:t>Ins- tituto</w:t>
      </w:r>
      <w:r>
        <w:rPr>
          <w:color w:val="231F20"/>
          <w:spacing w:val="-16"/>
          <w:w w:val="105"/>
        </w:rPr>
        <w:t> </w:t>
      </w:r>
      <w:r>
        <w:rPr>
          <w:color w:val="231F20"/>
          <w:w w:val="105"/>
        </w:rPr>
        <w:t>Municipal</w:t>
      </w:r>
      <w:r>
        <w:rPr>
          <w:color w:val="231F20"/>
          <w:spacing w:val="-17"/>
          <w:w w:val="105"/>
        </w:rPr>
        <w:t> </w:t>
      </w:r>
      <w:r>
        <w:rPr>
          <w:color w:val="231F20"/>
          <w:w w:val="105"/>
        </w:rPr>
        <w:t>de</w:t>
      </w:r>
      <w:r>
        <w:rPr>
          <w:color w:val="231F20"/>
          <w:spacing w:val="-16"/>
          <w:w w:val="105"/>
        </w:rPr>
        <w:t> </w:t>
      </w:r>
      <w:r>
        <w:rPr>
          <w:color w:val="231F20"/>
          <w:spacing w:val="-3"/>
          <w:w w:val="105"/>
        </w:rPr>
        <w:t>Transparencia</w:t>
      </w:r>
      <w:r>
        <w:rPr>
          <w:color w:val="231F20"/>
          <w:spacing w:val="-16"/>
          <w:w w:val="105"/>
        </w:rPr>
        <w:t> </w:t>
      </w:r>
      <w:r>
        <w:rPr>
          <w:color w:val="231F20"/>
          <w:w w:val="105"/>
        </w:rPr>
        <w:t>y</w:t>
      </w:r>
      <w:r>
        <w:rPr>
          <w:color w:val="231F20"/>
          <w:spacing w:val="-16"/>
          <w:w w:val="105"/>
        </w:rPr>
        <w:t> </w:t>
      </w:r>
      <w:r>
        <w:rPr>
          <w:color w:val="231F20"/>
          <w:spacing w:val="-3"/>
          <w:w w:val="105"/>
        </w:rPr>
        <w:t>Acceso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spacing w:val="-3"/>
          <w:w w:val="105"/>
        </w:rPr>
        <w:t>Información</w:t>
      </w:r>
      <w:r>
        <w:rPr>
          <w:color w:val="231F20"/>
          <w:spacing w:val="-16"/>
          <w:w w:val="105"/>
        </w:rPr>
        <w:t> </w:t>
      </w:r>
      <w:r>
        <w:rPr>
          <w:color w:val="231F20"/>
          <w:spacing w:val="-3"/>
          <w:w w:val="105"/>
        </w:rPr>
        <w:t>Pública</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portal</w:t>
      </w:r>
      <w:r>
        <w:rPr>
          <w:color w:val="231F20"/>
          <w:spacing w:val="-16"/>
          <w:w w:val="105"/>
        </w:rPr>
        <w:t> </w:t>
      </w:r>
      <w:r>
        <w:rPr>
          <w:color w:val="231F20"/>
          <w:w w:val="105"/>
        </w:rPr>
        <w:t>de</w:t>
      </w:r>
      <w:r>
        <w:rPr>
          <w:color w:val="231F20"/>
          <w:spacing w:val="-16"/>
          <w:w w:val="105"/>
        </w:rPr>
        <w:t> </w:t>
      </w:r>
      <w:r>
        <w:rPr>
          <w:color w:val="231F20"/>
          <w:w w:val="105"/>
        </w:rPr>
        <w:t>trans- </w:t>
      </w:r>
      <w:r>
        <w:rPr>
          <w:color w:val="231F20"/>
          <w:spacing w:val="-3"/>
          <w:w w:val="105"/>
        </w:rPr>
        <w:t>parencia</w:t>
      </w:r>
      <w:r>
        <w:rPr>
          <w:color w:val="231F20"/>
          <w:spacing w:val="-18"/>
          <w:w w:val="105"/>
        </w:rPr>
        <w:t> </w:t>
      </w:r>
      <w:r>
        <w:rPr>
          <w:color w:val="231F20"/>
          <w:w w:val="105"/>
        </w:rPr>
        <w:t>han</w:t>
      </w:r>
      <w:r>
        <w:rPr>
          <w:color w:val="231F20"/>
          <w:spacing w:val="-18"/>
          <w:w w:val="105"/>
        </w:rPr>
        <w:t> </w:t>
      </w:r>
      <w:r>
        <w:rPr>
          <w:color w:val="231F20"/>
          <w:spacing w:val="-4"/>
          <w:w w:val="105"/>
        </w:rPr>
        <w:t>sido</w:t>
      </w:r>
      <w:r>
        <w:rPr>
          <w:color w:val="231F20"/>
          <w:spacing w:val="-18"/>
          <w:w w:val="105"/>
        </w:rPr>
        <w:t> </w:t>
      </w:r>
      <w:r>
        <w:rPr>
          <w:color w:val="231F20"/>
          <w:w w:val="105"/>
        </w:rPr>
        <w:t>grandes</w:t>
      </w:r>
      <w:r>
        <w:rPr>
          <w:color w:val="231F20"/>
          <w:spacing w:val="-18"/>
          <w:w w:val="105"/>
        </w:rPr>
        <w:t> </w:t>
      </w:r>
      <w:r>
        <w:rPr>
          <w:color w:val="231F20"/>
          <w:spacing w:val="-3"/>
          <w:w w:val="105"/>
        </w:rPr>
        <w:t>aciertos</w:t>
      </w:r>
      <w:r>
        <w:rPr>
          <w:color w:val="231F20"/>
          <w:spacing w:val="-18"/>
          <w:w w:val="105"/>
        </w:rPr>
        <w:t> </w:t>
      </w:r>
      <w:r>
        <w:rPr>
          <w:color w:val="231F20"/>
          <w:w w:val="105"/>
        </w:rPr>
        <w:t>para</w:t>
      </w:r>
      <w:r>
        <w:rPr>
          <w:color w:val="231F20"/>
          <w:spacing w:val="-18"/>
          <w:w w:val="105"/>
        </w:rPr>
        <w:t> </w:t>
      </w:r>
      <w:r>
        <w:rPr>
          <w:color w:val="231F20"/>
          <w:w w:val="105"/>
        </w:rPr>
        <w:t>dotar</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spacing w:val="-3"/>
          <w:w w:val="105"/>
        </w:rPr>
        <w:t>ciudadanía,</w:t>
      </w:r>
      <w:r>
        <w:rPr>
          <w:color w:val="231F20"/>
          <w:spacing w:val="-18"/>
          <w:w w:val="105"/>
        </w:rPr>
        <w:t> </w:t>
      </w:r>
      <w:r>
        <w:rPr>
          <w:color w:val="231F20"/>
          <w:spacing w:val="-3"/>
          <w:w w:val="105"/>
        </w:rPr>
        <w:t>que</w:t>
      </w:r>
      <w:r>
        <w:rPr>
          <w:color w:val="231F20"/>
          <w:spacing w:val="-18"/>
          <w:w w:val="105"/>
        </w:rPr>
        <w:t> </w:t>
      </w:r>
      <w:r>
        <w:rPr>
          <w:color w:val="231F20"/>
          <w:spacing w:val="-3"/>
          <w:w w:val="105"/>
        </w:rPr>
        <w:t>cuenta</w:t>
      </w:r>
      <w:r>
        <w:rPr>
          <w:color w:val="231F20"/>
          <w:spacing w:val="-18"/>
          <w:w w:val="105"/>
        </w:rPr>
        <w:t> </w:t>
      </w:r>
      <w:r>
        <w:rPr>
          <w:color w:val="231F20"/>
          <w:spacing w:val="-3"/>
          <w:w w:val="105"/>
        </w:rPr>
        <w:t>con</w:t>
      </w:r>
      <w:r>
        <w:rPr>
          <w:color w:val="231F20"/>
          <w:spacing w:val="-18"/>
          <w:w w:val="105"/>
        </w:rPr>
        <w:t> </w:t>
      </w:r>
      <w:r>
        <w:rPr>
          <w:color w:val="231F20"/>
          <w:w w:val="105"/>
        </w:rPr>
        <w:t>estas</w:t>
      </w:r>
      <w:r>
        <w:rPr>
          <w:color w:val="231F20"/>
          <w:spacing w:val="-18"/>
          <w:w w:val="105"/>
        </w:rPr>
        <w:t> </w:t>
      </w:r>
      <w:r>
        <w:rPr>
          <w:color w:val="231F20"/>
          <w:spacing w:val="-4"/>
          <w:w w:val="105"/>
        </w:rPr>
        <w:t>posibi- </w:t>
      </w:r>
      <w:r>
        <w:rPr>
          <w:color w:val="231F20"/>
          <w:spacing w:val="-3"/>
          <w:w w:val="105"/>
        </w:rPr>
        <w:t>lidades,</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spacing w:val="-3"/>
          <w:w w:val="105"/>
        </w:rPr>
        <w:t>empoderamiento</w:t>
      </w:r>
      <w:r>
        <w:rPr>
          <w:color w:val="231F20"/>
          <w:spacing w:val="-10"/>
          <w:w w:val="105"/>
        </w:rPr>
        <w:t> </w:t>
      </w:r>
      <w:r>
        <w:rPr>
          <w:color w:val="231F20"/>
          <w:spacing w:val="-3"/>
          <w:w w:val="105"/>
        </w:rPr>
        <w:t>enmarcado</w:t>
      </w:r>
      <w:r>
        <w:rPr>
          <w:color w:val="231F20"/>
          <w:spacing w:val="-10"/>
          <w:w w:val="105"/>
        </w:rPr>
        <w:t> </w:t>
      </w:r>
      <w:r>
        <w:rPr>
          <w:color w:val="231F20"/>
          <w:w w:val="105"/>
        </w:rPr>
        <w:t>en</w:t>
      </w:r>
      <w:r>
        <w:rPr>
          <w:color w:val="231F20"/>
          <w:spacing w:val="-10"/>
          <w:w w:val="105"/>
        </w:rPr>
        <w:t> </w:t>
      </w:r>
      <w:r>
        <w:rPr>
          <w:color w:val="231F20"/>
          <w:spacing w:val="-3"/>
          <w:w w:val="105"/>
        </w:rPr>
        <w:t>dos</w:t>
      </w:r>
      <w:r>
        <w:rPr>
          <w:color w:val="231F20"/>
          <w:spacing w:val="-10"/>
          <w:w w:val="105"/>
        </w:rPr>
        <w:t> </w:t>
      </w:r>
      <w:r>
        <w:rPr>
          <w:color w:val="231F20"/>
          <w:spacing w:val="-3"/>
          <w:w w:val="105"/>
        </w:rPr>
        <w:t>cuestiones:</w:t>
      </w:r>
      <w:r>
        <w:rPr>
          <w:color w:val="231F20"/>
          <w:spacing w:val="-10"/>
          <w:w w:val="105"/>
        </w:rPr>
        <w:t> </w:t>
      </w:r>
      <w:r>
        <w:rPr>
          <w:color w:val="231F20"/>
          <w:w w:val="105"/>
        </w:rPr>
        <w:t>el</w:t>
      </w:r>
      <w:r>
        <w:rPr>
          <w:color w:val="231F20"/>
          <w:spacing w:val="-10"/>
          <w:w w:val="105"/>
        </w:rPr>
        <w:t> </w:t>
      </w:r>
      <w:r>
        <w:rPr>
          <w:color w:val="231F20"/>
          <w:spacing w:val="-4"/>
          <w:w w:val="105"/>
        </w:rPr>
        <w:t>derecho</w:t>
      </w:r>
      <w:r>
        <w:rPr>
          <w:color w:val="231F20"/>
          <w:spacing w:val="-10"/>
          <w:w w:val="105"/>
        </w:rPr>
        <w:t> </w:t>
      </w:r>
      <w:r>
        <w:rPr>
          <w:color w:val="231F20"/>
          <w:w w:val="105"/>
        </w:rPr>
        <w:t>a</w:t>
      </w:r>
      <w:r>
        <w:rPr>
          <w:color w:val="231F20"/>
          <w:spacing w:val="-10"/>
          <w:w w:val="105"/>
        </w:rPr>
        <w:t> </w:t>
      </w:r>
      <w:r>
        <w:rPr>
          <w:color w:val="231F20"/>
          <w:spacing w:val="-2"/>
          <w:w w:val="105"/>
        </w:rPr>
        <w:t>ser</w:t>
      </w:r>
      <w:r>
        <w:rPr>
          <w:color w:val="231F20"/>
          <w:spacing w:val="-10"/>
          <w:w w:val="105"/>
        </w:rPr>
        <w:t> </w:t>
      </w:r>
      <w:r>
        <w:rPr>
          <w:color w:val="231F20"/>
          <w:spacing w:val="-3"/>
          <w:w w:val="105"/>
        </w:rPr>
        <w:t>informado</w:t>
      </w:r>
    </w:p>
    <w:p>
      <w:pPr>
        <w:spacing w:after="0" w:line="285" w:lineRule="auto"/>
        <w:jc w:val="both"/>
        <w:sectPr>
          <w:pgSz w:w="9640" w:h="12190"/>
          <w:pgMar w:header="0" w:footer="683" w:top="1120" w:bottom="940" w:left="740" w:right="740"/>
        </w:sectPr>
      </w:pPr>
    </w:p>
    <w:p>
      <w:pPr>
        <w:pStyle w:val="BodyText"/>
        <w:spacing w:before="3"/>
        <w:rPr>
          <w:sz w:val="11"/>
        </w:rPr>
      </w:pPr>
    </w:p>
    <w:p>
      <w:pPr>
        <w:pStyle w:val="BodyText"/>
        <w:spacing w:before="36"/>
        <w:ind w:left="110"/>
        <w:jc w:val="both"/>
      </w:pPr>
      <w:r>
        <w:rPr>
          <w:color w:val="231F20"/>
        </w:rPr>
        <w:t>de lo que hace el gobierno y la posibilidad de vigilancia y monitoreo del   mismo.</w:t>
      </w:r>
    </w:p>
    <w:p>
      <w:pPr>
        <w:pStyle w:val="BodyText"/>
        <w:spacing w:before="2"/>
        <w:rPr>
          <w:sz w:val="30"/>
        </w:rPr>
      </w:pPr>
    </w:p>
    <w:p>
      <w:pPr>
        <w:pStyle w:val="BodyText"/>
        <w:spacing w:line="285" w:lineRule="auto"/>
        <w:ind w:left="110" w:right="108"/>
        <w:jc w:val="both"/>
      </w:pPr>
      <w:r>
        <w:rPr>
          <w:color w:val="231F20"/>
          <w:w w:val="105"/>
        </w:rPr>
        <w:t>Sin embargo, la existencia de ciertas denuncias hacia los presidentes municipales en torno</w:t>
      </w:r>
      <w:r>
        <w:rPr>
          <w:color w:val="231F20"/>
          <w:spacing w:val="-9"/>
          <w:w w:val="105"/>
        </w:rPr>
        <w:t> </w:t>
      </w:r>
      <w:r>
        <w:rPr>
          <w:color w:val="231F20"/>
          <w:spacing w:val="2"/>
          <w:w w:val="105"/>
        </w:rPr>
        <w:t>al</w:t>
      </w:r>
      <w:r>
        <w:rPr>
          <w:color w:val="231F20"/>
          <w:spacing w:val="-9"/>
          <w:w w:val="105"/>
        </w:rPr>
        <w:t> </w:t>
      </w:r>
      <w:r>
        <w:rPr>
          <w:color w:val="231F20"/>
          <w:w w:val="105"/>
        </w:rPr>
        <w:t>mal</w:t>
      </w:r>
      <w:r>
        <w:rPr>
          <w:color w:val="231F20"/>
          <w:spacing w:val="-9"/>
          <w:w w:val="105"/>
        </w:rPr>
        <w:t> </w:t>
      </w:r>
      <w:r>
        <w:rPr>
          <w:color w:val="231F20"/>
          <w:w w:val="105"/>
        </w:rPr>
        <w:t>manejo</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gestiones,</w:t>
      </w:r>
      <w:r>
        <w:rPr>
          <w:color w:val="231F20"/>
          <w:spacing w:val="-9"/>
          <w:w w:val="105"/>
        </w:rPr>
        <w:t> </w:t>
      </w:r>
      <w:r>
        <w:rPr>
          <w:color w:val="231F20"/>
          <w:w w:val="105"/>
        </w:rPr>
        <w:t>ponen</w:t>
      </w:r>
      <w:r>
        <w:rPr>
          <w:color w:val="231F20"/>
          <w:spacing w:val="-9"/>
          <w:w w:val="105"/>
        </w:rPr>
        <w:t> </w:t>
      </w:r>
      <w:r>
        <w:rPr>
          <w:color w:val="231F20"/>
          <w:w w:val="105"/>
        </w:rPr>
        <w:t>en</w:t>
      </w:r>
      <w:r>
        <w:rPr>
          <w:color w:val="231F20"/>
          <w:spacing w:val="-9"/>
          <w:w w:val="105"/>
        </w:rPr>
        <w:t> </w:t>
      </w:r>
      <w:r>
        <w:rPr>
          <w:color w:val="231F20"/>
          <w:w w:val="105"/>
        </w:rPr>
        <w:t>entredicho</w:t>
      </w:r>
      <w:r>
        <w:rPr>
          <w:color w:val="231F20"/>
          <w:spacing w:val="-9"/>
          <w:w w:val="105"/>
        </w:rPr>
        <w:t> </w:t>
      </w:r>
      <w:r>
        <w:rPr>
          <w:color w:val="231F20"/>
          <w:w w:val="105"/>
        </w:rPr>
        <w:t>la</w:t>
      </w:r>
      <w:r>
        <w:rPr>
          <w:color w:val="231F20"/>
          <w:spacing w:val="-9"/>
          <w:w w:val="105"/>
        </w:rPr>
        <w:t> </w:t>
      </w:r>
      <w:r>
        <w:rPr>
          <w:color w:val="231F20"/>
          <w:w w:val="105"/>
        </w:rPr>
        <w:t>rendición</w:t>
      </w:r>
      <w:r>
        <w:rPr>
          <w:color w:val="231F20"/>
          <w:spacing w:val="-9"/>
          <w:w w:val="105"/>
        </w:rPr>
        <w:t> </w:t>
      </w:r>
      <w:r>
        <w:rPr>
          <w:color w:val="231F20"/>
          <w:w w:val="105"/>
        </w:rPr>
        <w:t>de</w:t>
      </w:r>
      <w:r>
        <w:rPr>
          <w:color w:val="231F20"/>
          <w:spacing w:val="-9"/>
          <w:w w:val="105"/>
        </w:rPr>
        <w:t> </w:t>
      </w:r>
      <w:r>
        <w:rPr>
          <w:color w:val="231F20"/>
          <w:w w:val="105"/>
        </w:rPr>
        <w:t>cuentas</w:t>
      </w:r>
      <w:r>
        <w:rPr>
          <w:color w:val="231F20"/>
          <w:spacing w:val="-9"/>
          <w:w w:val="105"/>
        </w:rPr>
        <w:t> </w:t>
      </w:r>
      <w:r>
        <w:rPr>
          <w:color w:val="231F20"/>
          <w:w w:val="105"/>
        </w:rPr>
        <w:t>en</w:t>
      </w:r>
      <w:r>
        <w:rPr>
          <w:color w:val="231F20"/>
          <w:spacing w:val="-9"/>
          <w:w w:val="105"/>
        </w:rPr>
        <w:t> </w:t>
      </w:r>
      <w:r>
        <w:rPr>
          <w:color w:val="231F20"/>
          <w:w w:val="105"/>
        </w:rPr>
        <w:t>el municipio</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transparencia</w:t>
      </w:r>
      <w:r>
        <w:rPr>
          <w:color w:val="231F20"/>
          <w:spacing w:val="-12"/>
          <w:w w:val="105"/>
        </w:rPr>
        <w:t> </w:t>
      </w:r>
      <w:r>
        <w:rPr>
          <w:color w:val="231F20"/>
          <w:w w:val="105"/>
        </w:rPr>
        <w:t>del</w:t>
      </w:r>
      <w:r>
        <w:rPr>
          <w:color w:val="231F20"/>
          <w:spacing w:val="-12"/>
          <w:w w:val="105"/>
        </w:rPr>
        <w:t> </w:t>
      </w:r>
      <w:r>
        <w:rPr>
          <w:color w:val="231F20"/>
          <w:w w:val="105"/>
        </w:rPr>
        <w:t>ejercicio</w:t>
      </w:r>
      <w:r>
        <w:rPr>
          <w:color w:val="231F20"/>
          <w:spacing w:val="-12"/>
          <w:w w:val="105"/>
        </w:rPr>
        <w:t> </w:t>
      </w:r>
      <w:r>
        <w:rPr>
          <w:color w:val="231F20"/>
          <w:w w:val="105"/>
        </w:rPr>
        <w:t>gubernamental.</w:t>
      </w:r>
      <w:r>
        <w:rPr>
          <w:color w:val="231F20"/>
          <w:spacing w:val="-12"/>
          <w:w w:val="105"/>
        </w:rPr>
        <w:t> </w:t>
      </w:r>
      <w:r>
        <w:rPr>
          <w:color w:val="231F20"/>
          <w:w w:val="105"/>
        </w:rPr>
        <w:t>El</w:t>
      </w:r>
      <w:r>
        <w:rPr>
          <w:color w:val="231F20"/>
          <w:spacing w:val="-12"/>
          <w:w w:val="105"/>
        </w:rPr>
        <w:t> </w:t>
      </w:r>
      <w:r>
        <w:rPr>
          <w:color w:val="231F20"/>
          <w:w w:val="105"/>
        </w:rPr>
        <w:t>caso</w:t>
      </w:r>
      <w:r>
        <w:rPr>
          <w:color w:val="231F20"/>
          <w:spacing w:val="-12"/>
          <w:w w:val="105"/>
        </w:rPr>
        <w:t> </w:t>
      </w:r>
      <w:r>
        <w:rPr>
          <w:color w:val="231F20"/>
          <w:w w:val="105"/>
        </w:rPr>
        <w:t>Mendoza</w:t>
      </w:r>
      <w:r>
        <w:rPr>
          <w:color w:val="231F20"/>
          <w:spacing w:val="-12"/>
          <w:w w:val="105"/>
        </w:rPr>
        <w:t> </w:t>
      </w:r>
      <w:r>
        <w:rPr>
          <w:color w:val="231F20"/>
          <w:w w:val="105"/>
        </w:rPr>
        <w:t>Ayala</w:t>
      </w:r>
      <w:r>
        <w:rPr>
          <w:color w:val="231F20"/>
          <w:spacing w:val="-12"/>
          <w:w w:val="105"/>
        </w:rPr>
        <w:t> </w:t>
      </w:r>
      <w:r>
        <w:rPr>
          <w:color w:val="231F20"/>
          <w:w w:val="105"/>
        </w:rPr>
        <w:t>es</w:t>
      </w:r>
      <w:r>
        <w:rPr>
          <w:color w:val="231F20"/>
          <w:spacing w:val="-12"/>
          <w:w w:val="105"/>
        </w:rPr>
        <w:t> </w:t>
      </w:r>
      <w:r>
        <w:rPr>
          <w:color w:val="231F20"/>
          <w:w w:val="105"/>
        </w:rPr>
        <w:t>el más</w:t>
      </w:r>
      <w:r>
        <w:rPr>
          <w:color w:val="231F20"/>
          <w:spacing w:val="-9"/>
          <w:w w:val="105"/>
        </w:rPr>
        <w:t> </w:t>
      </w:r>
      <w:r>
        <w:rPr>
          <w:color w:val="231F20"/>
          <w:w w:val="105"/>
        </w:rPr>
        <w:t>contundente,</w:t>
      </w:r>
      <w:r>
        <w:rPr>
          <w:color w:val="231F20"/>
          <w:spacing w:val="-9"/>
          <w:w w:val="105"/>
        </w:rPr>
        <w:t> </w:t>
      </w:r>
      <w:r>
        <w:rPr>
          <w:color w:val="231F20"/>
          <w:spacing w:val="2"/>
          <w:w w:val="105"/>
        </w:rPr>
        <w:t>tan</w:t>
      </w:r>
      <w:r>
        <w:rPr>
          <w:color w:val="231F20"/>
          <w:spacing w:val="-9"/>
          <w:w w:val="105"/>
        </w:rPr>
        <w:t> </w:t>
      </w:r>
      <w:r>
        <w:rPr>
          <w:color w:val="231F20"/>
          <w:w w:val="105"/>
        </w:rPr>
        <w:t>es</w:t>
      </w:r>
      <w:r>
        <w:rPr>
          <w:color w:val="231F20"/>
          <w:spacing w:val="-9"/>
          <w:w w:val="105"/>
        </w:rPr>
        <w:t> </w:t>
      </w:r>
      <w:r>
        <w:rPr>
          <w:color w:val="231F20"/>
          <w:w w:val="105"/>
        </w:rPr>
        <w:t>así</w:t>
      </w:r>
      <w:r>
        <w:rPr>
          <w:color w:val="231F20"/>
          <w:spacing w:val="-9"/>
          <w:w w:val="105"/>
        </w:rPr>
        <w:t> </w:t>
      </w:r>
      <w:r>
        <w:rPr>
          <w:color w:val="231F20"/>
          <w:w w:val="105"/>
        </w:rPr>
        <w:t>que</w:t>
      </w:r>
      <w:r>
        <w:rPr>
          <w:color w:val="231F20"/>
          <w:spacing w:val="-9"/>
          <w:w w:val="105"/>
        </w:rPr>
        <w:t> </w:t>
      </w:r>
      <w:r>
        <w:rPr>
          <w:color w:val="231F20"/>
          <w:w w:val="105"/>
        </w:rPr>
        <w:t>esta</w:t>
      </w:r>
      <w:r>
        <w:rPr>
          <w:color w:val="231F20"/>
          <w:spacing w:val="-9"/>
          <w:w w:val="105"/>
        </w:rPr>
        <w:t> </w:t>
      </w:r>
      <w:r>
        <w:rPr>
          <w:color w:val="231F20"/>
          <w:w w:val="105"/>
        </w:rPr>
        <w:t>fue</w:t>
      </w:r>
      <w:r>
        <w:rPr>
          <w:color w:val="231F20"/>
          <w:spacing w:val="-9"/>
          <w:w w:val="105"/>
        </w:rPr>
        <w:t> </w:t>
      </w:r>
      <w:r>
        <w:rPr>
          <w:color w:val="231F20"/>
          <w:w w:val="105"/>
        </w:rPr>
        <w:t>una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razones</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expulsión</w:t>
      </w:r>
      <w:r>
        <w:rPr>
          <w:color w:val="231F20"/>
          <w:spacing w:val="-9"/>
          <w:w w:val="105"/>
        </w:rPr>
        <w:t> </w:t>
      </w:r>
      <w:r>
        <w:rPr>
          <w:color w:val="231F20"/>
          <w:w w:val="105"/>
        </w:rPr>
        <w:t>del</w:t>
      </w:r>
      <w:r>
        <w:rPr>
          <w:color w:val="231F20"/>
          <w:spacing w:val="-9"/>
          <w:w w:val="105"/>
        </w:rPr>
        <w:t> </w:t>
      </w:r>
      <w:r>
        <w:rPr>
          <w:color w:val="231F20"/>
          <w:spacing w:val="-4"/>
          <w:w w:val="105"/>
        </w:rPr>
        <w:t>PAN.</w:t>
      </w:r>
    </w:p>
    <w:p>
      <w:pPr>
        <w:pStyle w:val="BodyText"/>
        <w:spacing w:before="1"/>
        <w:rPr>
          <w:sz w:val="26"/>
        </w:rPr>
      </w:pPr>
    </w:p>
    <w:p>
      <w:pPr>
        <w:pStyle w:val="BodyText"/>
        <w:spacing w:line="285" w:lineRule="auto"/>
        <w:ind w:left="110" w:right="107"/>
        <w:jc w:val="both"/>
      </w:pPr>
      <w:r>
        <w:rPr>
          <w:color w:val="231F20"/>
          <w:w w:val="105"/>
        </w:rPr>
        <w:t>Para </w:t>
      </w:r>
      <w:r>
        <w:rPr>
          <w:color w:val="231F20"/>
          <w:spacing w:val="-3"/>
          <w:w w:val="105"/>
        </w:rPr>
        <w:t>concluir: </w:t>
      </w:r>
      <w:r>
        <w:rPr>
          <w:color w:val="231F20"/>
          <w:w w:val="105"/>
        </w:rPr>
        <w:t>el </w:t>
      </w:r>
      <w:r>
        <w:rPr>
          <w:color w:val="231F20"/>
          <w:spacing w:val="-3"/>
          <w:w w:val="105"/>
        </w:rPr>
        <w:t>municipio </w:t>
      </w:r>
      <w:r>
        <w:rPr>
          <w:color w:val="231F20"/>
          <w:w w:val="105"/>
        </w:rPr>
        <w:t>de Tlalnepantla ha </w:t>
      </w:r>
      <w:r>
        <w:rPr>
          <w:color w:val="231F20"/>
          <w:spacing w:val="-3"/>
          <w:w w:val="105"/>
        </w:rPr>
        <w:t>tenido </w:t>
      </w:r>
      <w:r>
        <w:rPr>
          <w:color w:val="231F20"/>
          <w:w w:val="105"/>
        </w:rPr>
        <w:t>grandes aportes de parte de las </w:t>
      </w:r>
      <w:r>
        <w:rPr>
          <w:color w:val="231F20"/>
          <w:spacing w:val="-3"/>
          <w:w w:val="105"/>
        </w:rPr>
        <w:t>gestiones</w:t>
      </w:r>
      <w:r>
        <w:rPr>
          <w:color w:val="231F20"/>
          <w:spacing w:val="-27"/>
          <w:w w:val="105"/>
        </w:rPr>
        <w:t> </w:t>
      </w:r>
      <w:r>
        <w:rPr>
          <w:color w:val="231F20"/>
          <w:w w:val="105"/>
        </w:rPr>
        <w:t>panistas</w:t>
      </w:r>
      <w:r>
        <w:rPr>
          <w:color w:val="231F20"/>
          <w:spacing w:val="-27"/>
          <w:w w:val="105"/>
        </w:rPr>
        <w:t> </w:t>
      </w:r>
      <w:r>
        <w:rPr>
          <w:color w:val="231F20"/>
          <w:w w:val="105"/>
        </w:rPr>
        <w:t>analizadas,</w:t>
      </w:r>
      <w:r>
        <w:rPr>
          <w:color w:val="231F20"/>
          <w:spacing w:val="-27"/>
          <w:w w:val="105"/>
        </w:rPr>
        <w:t> </w:t>
      </w:r>
      <w:r>
        <w:rPr>
          <w:color w:val="231F20"/>
          <w:w w:val="105"/>
        </w:rPr>
        <w:t>mismos</w:t>
      </w:r>
      <w:r>
        <w:rPr>
          <w:color w:val="231F20"/>
          <w:spacing w:val="-27"/>
          <w:w w:val="105"/>
        </w:rPr>
        <w:t> </w:t>
      </w:r>
      <w:r>
        <w:rPr>
          <w:color w:val="231F20"/>
          <w:spacing w:val="-3"/>
          <w:w w:val="105"/>
        </w:rPr>
        <w:t>que</w:t>
      </w:r>
      <w:r>
        <w:rPr>
          <w:color w:val="231F20"/>
          <w:spacing w:val="-27"/>
          <w:w w:val="105"/>
        </w:rPr>
        <w:t> </w:t>
      </w:r>
      <w:r>
        <w:rPr>
          <w:color w:val="231F20"/>
          <w:w w:val="105"/>
        </w:rPr>
        <w:t>permiten</w:t>
      </w:r>
      <w:r>
        <w:rPr>
          <w:color w:val="231F20"/>
          <w:spacing w:val="-27"/>
          <w:w w:val="105"/>
        </w:rPr>
        <w:t> </w:t>
      </w:r>
      <w:r>
        <w:rPr>
          <w:color w:val="231F20"/>
          <w:spacing w:val="-4"/>
          <w:w w:val="105"/>
        </w:rPr>
        <w:t>ver</w:t>
      </w:r>
      <w:r>
        <w:rPr>
          <w:color w:val="231F20"/>
          <w:spacing w:val="-27"/>
          <w:w w:val="105"/>
        </w:rPr>
        <w:t> </w:t>
      </w:r>
      <w:r>
        <w:rPr>
          <w:color w:val="231F20"/>
          <w:w w:val="105"/>
        </w:rPr>
        <w:t>el</w:t>
      </w:r>
      <w:r>
        <w:rPr>
          <w:color w:val="231F20"/>
          <w:spacing w:val="-27"/>
          <w:w w:val="105"/>
        </w:rPr>
        <w:t> </w:t>
      </w:r>
      <w:r>
        <w:rPr>
          <w:color w:val="231F20"/>
          <w:w w:val="105"/>
        </w:rPr>
        <w:t>sello</w:t>
      </w:r>
      <w:r>
        <w:rPr>
          <w:color w:val="231F20"/>
          <w:spacing w:val="-27"/>
          <w:w w:val="105"/>
        </w:rPr>
        <w:t> </w:t>
      </w:r>
      <w:r>
        <w:rPr>
          <w:color w:val="231F20"/>
          <w:spacing w:val="-3"/>
          <w:w w:val="105"/>
        </w:rPr>
        <w:t>del</w:t>
      </w:r>
      <w:r>
        <w:rPr>
          <w:color w:val="231F20"/>
          <w:spacing w:val="-27"/>
          <w:w w:val="105"/>
        </w:rPr>
        <w:t> </w:t>
      </w:r>
      <w:r>
        <w:rPr>
          <w:color w:val="231F20"/>
          <w:w w:val="105"/>
        </w:rPr>
        <w:t>partido</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spacing w:val="-4"/>
          <w:w w:val="105"/>
        </w:rPr>
        <w:t>gobierno. </w:t>
      </w:r>
      <w:r>
        <w:rPr>
          <w:color w:val="231F20"/>
          <w:spacing w:val="-5"/>
          <w:w w:val="105"/>
        </w:rPr>
        <w:t>Tanto</w:t>
      </w:r>
      <w:r>
        <w:rPr>
          <w:color w:val="231F20"/>
          <w:spacing w:val="-22"/>
          <w:w w:val="105"/>
        </w:rPr>
        <w:t> </w:t>
      </w:r>
      <w:r>
        <w:rPr>
          <w:color w:val="231F20"/>
          <w:w w:val="105"/>
        </w:rPr>
        <w:t>el</w:t>
      </w:r>
      <w:r>
        <w:rPr>
          <w:color w:val="231F20"/>
          <w:spacing w:val="-22"/>
          <w:w w:val="105"/>
        </w:rPr>
        <w:t> </w:t>
      </w:r>
      <w:r>
        <w:rPr>
          <w:color w:val="231F20"/>
          <w:spacing w:val="-4"/>
          <w:w w:val="105"/>
        </w:rPr>
        <w:t>apoyo</w:t>
      </w:r>
      <w:r>
        <w:rPr>
          <w:color w:val="231F20"/>
          <w:spacing w:val="-22"/>
          <w:w w:val="105"/>
        </w:rPr>
        <w:t> </w:t>
      </w:r>
      <w:r>
        <w:rPr>
          <w:color w:val="231F20"/>
          <w:w w:val="105"/>
        </w:rPr>
        <w:t>al</w:t>
      </w:r>
      <w:r>
        <w:rPr>
          <w:color w:val="231F20"/>
          <w:spacing w:val="-22"/>
          <w:w w:val="105"/>
        </w:rPr>
        <w:t> </w:t>
      </w:r>
      <w:r>
        <w:rPr>
          <w:color w:val="231F20"/>
          <w:w w:val="105"/>
        </w:rPr>
        <w:t>sector</w:t>
      </w:r>
      <w:r>
        <w:rPr>
          <w:color w:val="231F20"/>
          <w:spacing w:val="-22"/>
          <w:w w:val="105"/>
        </w:rPr>
        <w:t> </w:t>
      </w:r>
      <w:r>
        <w:rPr>
          <w:color w:val="231F20"/>
          <w:w w:val="105"/>
        </w:rPr>
        <w:t>empresarial,</w:t>
      </w:r>
      <w:r>
        <w:rPr>
          <w:color w:val="231F20"/>
          <w:spacing w:val="-22"/>
          <w:w w:val="105"/>
        </w:rPr>
        <w:t> </w:t>
      </w:r>
      <w:r>
        <w:rPr>
          <w:color w:val="231F20"/>
          <w:spacing w:val="-4"/>
          <w:w w:val="105"/>
        </w:rPr>
        <w:t>como</w:t>
      </w:r>
      <w:r>
        <w:rPr>
          <w:color w:val="231F20"/>
          <w:spacing w:val="-22"/>
          <w:w w:val="105"/>
        </w:rPr>
        <w:t> </w:t>
      </w:r>
      <w:r>
        <w:rPr>
          <w:color w:val="231F20"/>
          <w:w w:val="105"/>
        </w:rPr>
        <w:t>la</w:t>
      </w:r>
      <w:r>
        <w:rPr>
          <w:color w:val="231F20"/>
          <w:spacing w:val="-22"/>
          <w:w w:val="105"/>
        </w:rPr>
        <w:t> </w:t>
      </w:r>
      <w:r>
        <w:rPr>
          <w:color w:val="231F20"/>
          <w:spacing w:val="-4"/>
          <w:w w:val="105"/>
        </w:rPr>
        <w:t>autonomía</w:t>
      </w:r>
      <w:r>
        <w:rPr>
          <w:color w:val="231F20"/>
          <w:spacing w:val="-22"/>
          <w:w w:val="105"/>
        </w:rPr>
        <w:t> </w:t>
      </w:r>
      <w:r>
        <w:rPr>
          <w:color w:val="231F20"/>
          <w:w w:val="105"/>
        </w:rPr>
        <w:t>financiera</w:t>
      </w:r>
      <w:r>
        <w:rPr>
          <w:color w:val="231F20"/>
          <w:spacing w:val="-22"/>
          <w:w w:val="105"/>
        </w:rPr>
        <w:t> </w:t>
      </w:r>
      <w:r>
        <w:rPr>
          <w:color w:val="231F20"/>
          <w:spacing w:val="-3"/>
          <w:w w:val="105"/>
        </w:rPr>
        <w:t>son</w:t>
      </w:r>
      <w:r>
        <w:rPr>
          <w:color w:val="231F20"/>
          <w:spacing w:val="-22"/>
          <w:w w:val="105"/>
        </w:rPr>
        <w:t> </w:t>
      </w:r>
      <w:r>
        <w:rPr>
          <w:color w:val="231F20"/>
          <w:w w:val="105"/>
        </w:rPr>
        <w:t>rasgos</w:t>
      </w:r>
      <w:r>
        <w:rPr>
          <w:color w:val="231F20"/>
          <w:spacing w:val="-22"/>
          <w:w w:val="105"/>
        </w:rPr>
        <w:t> </w:t>
      </w:r>
      <w:r>
        <w:rPr>
          <w:color w:val="231F20"/>
          <w:w w:val="105"/>
        </w:rPr>
        <w:t>distintivos de </w:t>
      </w:r>
      <w:r>
        <w:rPr>
          <w:color w:val="231F20"/>
          <w:spacing w:val="-3"/>
          <w:w w:val="105"/>
        </w:rPr>
        <w:t>los </w:t>
      </w:r>
      <w:r>
        <w:rPr>
          <w:color w:val="231F20"/>
          <w:spacing w:val="-4"/>
          <w:w w:val="105"/>
        </w:rPr>
        <w:t>gobiernos </w:t>
      </w:r>
      <w:r>
        <w:rPr>
          <w:color w:val="231F20"/>
          <w:w w:val="105"/>
        </w:rPr>
        <w:t>panistas. La </w:t>
      </w:r>
      <w:r>
        <w:rPr>
          <w:color w:val="231F20"/>
          <w:spacing w:val="-4"/>
          <w:w w:val="105"/>
        </w:rPr>
        <w:t>preocupación </w:t>
      </w:r>
      <w:r>
        <w:rPr>
          <w:color w:val="231F20"/>
          <w:spacing w:val="-3"/>
          <w:w w:val="105"/>
        </w:rPr>
        <w:t>por </w:t>
      </w:r>
      <w:r>
        <w:rPr>
          <w:color w:val="231F20"/>
          <w:w w:val="105"/>
        </w:rPr>
        <w:t>la </w:t>
      </w:r>
      <w:r>
        <w:rPr>
          <w:color w:val="231F20"/>
          <w:spacing w:val="-3"/>
          <w:w w:val="105"/>
        </w:rPr>
        <w:t>modernización </w:t>
      </w:r>
      <w:r>
        <w:rPr>
          <w:color w:val="231F20"/>
          <w:w w:val="105"/>
        </w:rPr>
        <w:t>administrativa </w:t>
      </w:r>
      <w:r>
        <w:rPr>
          <w:color w:val="231F20"/>
          <w:spacing w:val="-3"/>
          <w:w w:val="105"/>
        </w:rPr>
        <w:t>no sólo obedece</w:t>
      </w:r>
      <w:r>
        <w:rPr>
          <w:color w:val="231F20"/>
          <w:spacing w:val="-20"/>
          <w:w w:val="105"/>
        </w:rPr>
        <w:t> </w:t>
      </w:r>
      <w:r>
        <w:rPr>
          <w:color w:val="231F20"/>
          <w:w w:val="105"/>
        </w:rPr>
        <w:t>a</w:t>
      </w:r>
      <w:r>
        <w:rPr>
          <w:color w:val="231F20"/>
          <w:spacing w:val="-20"/>
          <w:w w:val="105"/>
        </w:rPr>
        <w:t> </w:t>
      </w:r>
      <w:r>
        <w:rPr>
          <w:color w:val="231F20"/>
          <w:spacing w:val="-3"/>
          <w:w w:val="105"/>
        </w:rPr>
        <w:t>los</w:t>
      </w:r>
      <w:r>
        <w:rPr>
          <w:color w:val="231F20"/>
          <w:spacing w:val="-20"/>
          <w:w w:val="105"/>
        </w:rPr>
        <w:t> </w:t>
      </w:r>
      <w:r>
        <w:rPr>
          <w:color w:val="231F20"/>
          <w:w w:val="105"/>
        </w:rPr>
        <w:t>fines</w:t>
      </w:r>
      <w:r>
        <w:rPr>
          <w:color w:val="231F20"/>
          <w:spacing w:val="-20"/>
          <w:w w:val="105"/>
        </w:rPr>
        <w:t> </w:t>
      </w:r>
      <w:r>
        <w:rPr>
          <w:color w:val="231F20"/>
          <w:spacing w:val="-3"/>
          <w:w w:val="105"/>
        </w:rPr>
        <w:t>del</w:t>
      </w:r>
      <w:r>
        <w:rPr>
          <w:color w:val="231F20"/>
          <w:spacing w:val="-20"/>
          <w:w w:val="105"/>
        </w:rPr>
        <w:t> </w:t>
      </w:r>
      <w:r>
        <w:rPr>
          <w:color w:val="231F20"/>
          <w:w w:val="105"/>
        </w:rPr>
        <w:t>panismo,</w:t>
      </w:r>
      <w:r>
        <w:rPr>
          <w:color w:val="231F20"/>
          <w:spacing w:val="-20"/>
          <w:w w:val="105"/>
        </w:rPr>
        <w:t> </w:t>
      </w:r>
      <w:r>
        <w:rPr>
          <w:color w:val="231F20"/>
          <w:w w:val="105"/>
        </w:rPr>
        <w:t>sino</w:t>
      </w:r>
      <w:r>
        <w:rPr>
          <w:color w:val="231F20"/>
          <w:spacing w:val="-20"/>
          <w:w w:val="105"/>
        </w:rPr>
        <w:t> </w:t>
      </w:r>
      <w:r>
        <w:rPr>
          <w:color w:val="231F20"/>
          <w:spacing w:val="-3"/>
          <w:w w:val="105"/>
        </w:rPr>
        <w:t>que</w:t>
      </w:r>
      <w:r>
        <w:rPr>
          <w:color w:val="231F20"/>
          <w:spacing w:val="-20"/>
          <w:w w:val="105"/>
        </w:rPr>
        <w:t> </w:t>
      </w:r>
      <w:r>
        <w:rPr>
          <w:color w:val="231F20"/>
          <w:spacing w:val="-3"/>
          <w:w w:val="105"/>
        </w:rPr>
        <w:t>tienen</w:t>
      </w:r>
      <w:r>
        <w:rPr>
          <w:color w:val="231F20"/>
          <w:spacing w:val="-20"/>
          <w:w w:val="105"/>
        </w:rPr>
        <w:t> </w:t>
      </w:r>
      <w:r>
        <w:rPr>
          <w:color w:val="231F20"/>
          <w:w w:val="105"/>
        </w:rPr>
        <w:t>más</w:t>
      </w:r>
      <w:r>
        <w:rPr>
          <w:color w:val="231F20"/>
          <w:spacing w:val="-20"/>
          <w:w w:val="105"/>
        </w:rPr>
        <w:t> </w:t>
      </w:r>
      <w:r>
        <w:rPr>
          <w:color w:val="231F20"/>
          <w:spacing w:val="-4"/>
          <w:w w:val="105"/>
        </w:rPr>
        <w:t>relación</w:t>
      </w:r>
      <w:r>
        <w:rPr>
          <w:color w:val="231F20"/>
          <w:spacing w:val="-20"/>
          <w:w w:val="105"/>
        </w:rPr>
        <w:t> </w:t>
      </w:r>
      <w:r>
        <w:rPr>
          <w:color w:val="231F20"/>
          <w:spacing w:val="-3"/>
          <w:w w:val="105"/>
        </w:rPr>
        <w:t>con</w:t>
      </w:r>
      <w:r>
        <w:rPr>
          <w:color w:val="231F20"/>
          <w:spacing w:val="-20"/>
          <w:w w:val="105"/>
        </w:rPr>
        <w:t> </w:t>
      </w:r>
      <w:r>
        <w:rPr>
          <w:color w:val="231F20"/>
          <w:w w:val="105"/>
        </w:rPr>
        <w:t>las</w:t>
      </w:r>
      <w:r>
        <w:rPr>
          <w:color w:val="231F20"/>
          <w:spacing w:val="-20"/>
          <w:w w:val="105"/>
        </w:rPr>
        <w:t> </w:t>
      </w:r>
      <w:r>
        <w:rPr>
          <w:color w:val="231F20"/>
          <w:w w:val="105"/>
        </w:rPr>
        <w:t>características</w:t>
      </w:r>
      <w:r>
        <w:rPr>
          <w:color w:val="231F20"/>
          <w:spacing w:val="-20"/>
          <w:w w:val="105"/>
        </w:rPr>
        <w:t> </w:t>
      </w:r>
      <w:r>
        <w:rPr>
          <w:color w:val="231F20"/>
          <w:w w:val="105"/>
        </w:rPr>
        <w:t>de</w:t>
      </w:r>
      <w:r>
        <w:rPr>
          <w:color w:val="231F20"/>
          <w:spacing w:val="-20"/>
          <w:w w:val="105"/>
        </w:rPr>
        <w:t> </w:t>
      </w:r>
      <w:r>
        <w:rPr>
          <w:color w:val="231F20"/>
          <w:w w:val="105"/>
        </w:rPr>
        <w:t>un </w:t>
      </w:r>
      <w:r>
        <w:rPr>
          <w:color w:val="231F20"/>
          <w:spacing w:val="-3"/>
          <w:w w:val="105"/>
        </w:rPr>
        <w:t>municipio metropolitano </w:t>
      </w:r>
      <w:r>
        <w:rPr>
          <w:color w:val="231F20"/>
          <w:spacing w:val="-4"/>
          <w:w w:val="105"/>
        </w:rPr>
        <w:t>como </w:t>
      </w:r>
      <w:r>
        <w:rPr>
          <w:color w:val="231F20"/>
          <w:spacing w:val="-3"/>
          <w:w w:val="105"/>
        </w:rPr>
        <w:t>lo </w:t>
      </w:r>
      <w:r>
        <w:rPr>
          <w:color w:val="231F20"/>
          <w:w w:val="105"/>
        </w:rPr>
        <w:t>es Tlalnepantla. Otros rasgos </w:t>
      </w:r>
      <w:r>
        <w:rPr>
          <w:color w:val="231F20"/>
          <w:spacing w:val="-3"/>
          <w:w w:val="105"/>
        </w:rPr>
        <w:t>interesantes </w:t>
      </w:r>
      <w:r>
        <w:rPr>
          <w:color w:val="231F20"/>
          <w:w w:val="105"/>
        </w:rPr>
        <w:t>de las </w:t>
      </w:r>
      <w:r>
        <w:rPr>
          <w:color w:val="231F20"/>
          <w:spacing w:val="-3"/>
          <w:w w:val="105"/>
        </w:rPr>
        <w:t>ges- tiones</w:t>
      </w:r>
      <w:r>
        <w:rPr>
          <w:color w:val="231F20"/>
          <w:spacing w:val="-25"/>
          <w:w w:val="105"/>
        </w:rPr>
        <w:t> </w:t>
      </w:r>
      <w:r>
        <w:rPr>
          <w:color w:val="231F20"/>
          <w:w w:val="105"/>
        </w:rPr>
        <w:t>panistas</w:t>
      </w:r>
      <w:r>
        <w:rPr>
          <w:color w:val="231F20"/>
          <w:spacing w:val="-25"/>
          <w:w w:val="105"/>
        </w:rPr>
        <w:t> </w:t>
      </w:r>
      <w:r>
        <w:rPr>
          <w:color w:val="231F20"/>
          <w:spacing w:val="-3"/>
          <w:w w:val="105"/>
        </w:rPr>
        <w:t>son</w:t>
      </w:r>
      <w:r>
        <w:rPr>
          <w:color w:val="231F20"/>
          <w:spacing w:val="-25"/>
          <w:w w:val="105"/>
        </w:rPr>
        <w:t> </w:t>
      </w:r>
      <w:r>
        <w:rPr>
          <w:color w:val="231F20"/>
          <w:w w:val="105"/>
        </w:rPr>
        <w:t>la</w:t>
      </w:r>
      <w:r>
        <w:rPr>
          <w:color w:val="231F20"/>
          <w:spacing w:val="-25"/>
          <w:w w:val="105"/>
        </w:rPr>
        <w:t> </w:t>
      </w:r>
      <w:r>
        <w:rPr>
          <w:color w:val="231F20"/>
          <w:spacing w:val="-3"/>
          <w:w w:val="105"/>
        </w:rPr>
        <w:t>inclusión</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demandas</w:t>
      </w:r>
      <w:r>
        <w:rPr>
          <w:color w:val="231F20"/>
          <w:spacing w:val="-25"/>
          <w:w w:val="105"/>
        </w:rPr>
        <w:t> </w:t>
      </w:r>
      <w:r>
        <w:rPr>
          <w:color w:val="231F20"/>
          <w:spacing w:val="-3"/>
          <w:w w:val="105"/>
        </w:rPr>
        <w:t>ciudadanas</w:t>
      </w:r>
      <w:r>
        <w:rPr>
          <w:color w:val="231F20"/>
          <w:spacing w:val="-25"/>
          <w:w w:val="105"/>
        </w:rPr>
        <w:t> </w:t>
      </w:r>
      <w:r>
        <w:rPr>
          <w:color w:val="231F20"/>
          <w:w w:val="105"/>
        </w:rPr>
        <w:t>en</w:t>
      </w:r>
      <w:r>
        <w:rPr>
          <w:color w:val="231F20"/>
          <w:spacing w:val="-25"/>
          <w:w w:val="105"/>
        </w:rPr>
        <w:t> </w:t>
      </w:r>
      <w:r>
        <w:rPr>
          <w:color w:val="231F20"/>
          <w:spacing w:val="-3"/>
          <w:w w:val="105"/>
        </w:rPr>
        <w:t>los</w:t>
      </w:r>
      <w:r>
        <w:rPr>
          <w:color w:val="231F20"/>
          <w:spacing w:val="-25"/>
          <w:w w:val="105"/>
        </w:rPr>
        <w:t> </w:t>
      </w:r>
      <w:r>
        <w:rPr>
          <w:color w:val="231F20"/>
          <w:w w:val="105"/>
        </w:rPr>
        <w:t>planes</w:t>
      </w:r>
      <w:r>
        <w:rPr>
          <w:color w:val="231F20"/>
          <w:spacing w:val="-25"/>
          <w:w w:val="105"/>
        </w:rPr>
        <w:t> </w:t>
      </w:r>
      <w:r>
        <w:rPr>
          <w:color w:val="231F20"/>
          <w:w w:val="105"/>
        </w:rPr>
        <w:t>y</w:t>
      </w:r>
      <w:r>
        <w:rPr>
          <w:color w:val="231F20"/>
          <w:spacing w:val="-25"/>
          <w:w w:val="105"/>
        </w:rPr>
        <w:t> </w:t>
      </w:r>
      <w:r>
        <w:rPr>
          <w:color w:val="231F20"/>
          <w:w w:val="105"/>
        </w:rPr>
        <w:t>programas,</w:t>
      </w:r>
      <w:r>
        <w:rPr>
          <w:color w:val="231F20"/>
          <w:spacing w:val="-25"/>
          <w:w w:val="105"/>
        </w:rPr>
        <w:t> </w:t>
      </w:r>
      <w:r>
        <w:rPr>
          <w:color w:val="231F20"/>
          <w:w w:val="105"/>
        </w:rPr>
        <w:t>así </w:t>
      </w:r>
      <w:r>
        <w:rPr>
          <w:color w:val="231F20"/>
          <w:spacing w:val="-4"/>
          <w:w w:val="105"/>
        </w:rPr>
        <w:t>como</w:t>
      </w:r>
      <w:r>
        <w:rPr>
          <w:color w:val="231F20"/>
          <w:spacing w:val="-16"/>
          <w:w w:val="105"/>
        </w:rPr>
        <w:t> </w:t>
      </w:r>
      <w:r>
        <w:rPr>
          <w:color w:val="231F20"/>
          <w:spacing w:val="-3"/>
          <w:w w:val="105"/>
        </w:rPr>
        <w:t>los</w:t>
      </w:r>
      <w:r>
        <w:rPr>
          <w:color w:val="231F20"/>
          <w:spacing w:val="-16"/>
          <w:w w:val="105"/>
        </w:rPr>
        <w:t> </w:t>
      </w:r>
      <w:r>
        <w:rPr>
          <w:color w:val="231F20"/>
          <w:spacing w:val="-3"/>
          <w:w w:val="105"/>
        </w:rPr>
        <w:t>procesos</w:t>
      </w:r>
      <w:r>
        <w:rPr>
          <w:color w:val="231F20"/>
          <w:spacing w:val="-16"/>
          <w:w w:val="105"/>
        </w:rPr>
        <w:t> </w:t>
      </w:r>
      <w:r>
        <w:rPr>
          <w:color w:val="231F20"/>
          <w:w w:val="105"/>
        </w:rPr>
        <w:t>de</w:t>
      </w:r>
      <w:r>
        <w:rPr>
          <w:color w:val="231F20"/>
          <w:spacing w:val="-16"/>
          <w:w w:val="105"/>
        </w:rPr>
        <w:t> </w:t>
      </w:r>
      <w:r>
        <w:rPr>
          <w:color w:val="231F20"/>
          <w:w w:val="105"/>
        </w:rPr>
        <w:t>transparencia</w:t>
      </w:r>
      <w:r>
        <w:rPr>
          <w:color w:val="231F20"/>
          <w:spacing w:val="-16"/>
          <w:w w:val="105"/>
        </w:rPr>
        <w:t> </w:t>
      </w:r>
      <w:r>
        <w:rPr>
          <w:color w:val="231F20"/>
          <w:spacing w:val="-3"/>
          <w:w w:val="105"/>
        </w:rPr>
        <w:t>que</w:t>
      </w:r>
      <w:r>
        <w:rPr>
          <w:color w:val="231F20"/>
          <w:spacing w:val="-16"/>
          <w:w w:val="105"/>
        </w:rPr>
        <w:t> </w:t>
      </w:r>
      <w:r>
        <w:rPr>
          <w:color w:val="231F20"/>
          <w:w w:val="105"/>
        </w:rPr>
        <w:t>ha</w:t>
      </w:r>
      <w:r>
        <w:rPr>
          <w:color w:val="231F20"/>
          <w:spacing w:val="-16"/>
          <w:w w:val="105"/>
        </w:rPr>
        <w:t> </w:t>
      </w:r>
      <w:r>
        <w:rPr>
          <w:color w:val="231F20"/>
          <w:spacing w:val="-4"/>
          <w:w w:val="105"/>
        </w:rPr>
        <w:t>implementado</w:t>
      </w:r>
      <w:r>
        <w:rPr>
          <w:color w:val="231F20"/>
          <w:spacing w:val="-16"/>
          <w:w w:val="105"/>
        </w:rPr>
        <w:t> </w:t>
      </w:r>
      <w:r>
        <w:rPr>
          <w:color w:val="231F20"/>
          <w:w w:val="105"/>
        </w:rPr>
        <w:t>la</w:t>
      </w:r>
      <w:r>
        <w:rPr>
          <w:color w:val="231F20"/>
          <w:spacing w:val="-16"/>
          <w:w w:val="105"/>
        </w:rPr>
        <w:t> </w:t>
      </w:r>
      <w:r>
        <w:rPr>
          <w:color w:val="231F20"/>
          <w:w w:val="105"/>
        </w:rPr>
        <w:t>localidad.</w:t>
      </w:r>
    </w:p>
    <w:p>
      <w:pPr>
        <w:pStyle w:val="BodyText"/>
        <w:spacing w:before="1"/>
        <w:rPr>
          <w:sz w:val="26"/>
        </w:rPr>
      </w:pPr>
    </w:p>
    <w:p>
      <w:pPr>
        <w:pStyle w:val="BodyText"/>
        <w:spacing w:line="285" w:lineRule="auto"/>
        <w:ind w:left="110" w:right="108"/>
        <w:jc w:val="both"/>
      </w:pPr>
      <w:r>
        <w:rPr>
          <w:color w:val="231F20"/>
          <w:w w:val="105"/>
        </w:rPr>
        <w:t>La gran tarea pendiente de estas gestiones es la de brindar mayor atención a la reduc- 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pobreza</w:t>
      </w:r>
      <w:r>
        <w:rPr>
          <w:color w:val="231F20"/>
          <w:spacing w:val="-5"/>
          <w:w w:val="105"/>
        </w:rPr>
        <w:t> </w:t>
      </w:r>
      <w:r>
        <w:rPr>
          <w:color w:val="231F20"/>
          <w:w w:val="105"/>
        </w:rPr>
        <w:t>y</w:t>
      </w:r>
      <w:r>
        <w:rPr>
          <w:color w:val="231F20"/>
          <w:spacing w:val="-5"/>
          <w:w w:val="105"/>
        </w:rPr>
        <w:t> </w:t>
      </w:r>
      <w:r>
        <w:rPr>
          <w:color w:val="231F20"/>
          <w:w w:val="105"/>
        </w:rPr>
        <w:t>marginación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habitantes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zona</w:t>
      </w:r>
      <w:r>
        <w:rPr>
          <w:color w:val="231F20"/>
          <w:spacing w:val="-5"/>
          <w:w w:val="105"/>
        </w:rPr>
        <w:t> </w:t>
      </w:r>
      <w:r>
        <w:rPr>
          <w:color w:val="231F20"/>
          <w:w w:val="105"/>
        </w:rPr>
        <w:t>oriente</w:t>
      </w:r>
      <w:r>
        <w:rPr>
          <w:color w:val="231F20"/>
          <w:spacing w:val="-5"/>
          <w:w w:val="105"/>
        </w:rPr>
        <w:t> </w:t>
      </w:r>
      <w:r>
        <w:rPr>
          <w:color w:val="231F20"/>
          <w:w w:val="105"/>
        </w:rPr>
        <w:t>y</w:t>
      </w:r>
      <w:r>
        <w:rPr>
          <w:color w:val="231F20"/>
          <w:spacing w:val="-5"/>
          <w:w w:val="105"/>
        </w:rPr>
        <w:t> </w:t>
      </w:r>
      <w:r>
        <w:rPr>
          <w:color w:val="231F20"/>
          <w:w w:val="105"/>
        </w:rPr>
        <w:t>su</w:t>
      </w:r>
      <w:r>
        <w:rPr>
          <w:color w:val="231F20"/>
          <w:spacing w:val="-5"/>
          <w:w w:val="105"/>
        </w:rPr>
        <w:t> </w:t>
      </w:r>
      <w:r>
        <w:rPr>
          <w:color w:val="231F20"/>
          <w:w w:val="105"/>
        </w:rPr>
        <w:t>consecuente exclusión</w:t>
      </w:r>
      <w:r>
        <w:rPr>
          <w:color w:val="231F20"/>
          <w:spacing w:val="-27"/>
          <w:w w:val="105"/>
        </w:rPr>
        <w:t> </w:t>
      </w:r>
      <w:r>
        <w:rPr>
          <w:color w:val="231F20"/>
          <w:w w:val="105"/>
        </w:rPr>
        <w:t>de</w:t>
      </w:r>
      <w:r>
        <w:rPr>
          <w:color w:val="231F20"/>
          <w:spacing w:val="-27"/>
          <w:w w:val="105"/>
        </w:rPr>
        <w:t> </w:t>
      </w:r>
      <w:r>
        <w:rPr>
          <w:color w:val="231F20"/>
          <w:w w:val="105"/>
        </w:rPr>
        <w:t>ámbitos</w:t>
      </w:r>
      <w:r>
        <w:rPr>
          <w:color w:val="231F20"/>
          <w:spacing w:val="-27"/>
          <w:w w:val="105"/>
        </w:rPr>
        <w:t> </w:t>
      </w:r>
      <w:r>
        <w:rPr>
          <w:color w:val="231F20"/>
          <w:w w:val="105"/>
        </w:rPr>
        <w:t>laborales,</w:t>
      </w:r>
      <w:r>
        <w:rPr>
          <w:color w:val="231F20"/>
          <w:spacing w:val="-27"/>
          <w:w w:val="105"/>
        </w:rPr>
        <w:t> </w:t>
      </w:r>
      <w:r>
        <w:rPr>
          <w:color w:val="231F20"/>
          <w:w w:val="105"/>
        </w:rPr>
        <w:t>educativos,</w:t>
      </w:r>
      <w:r>
        <w:rPr>
          <w:color w:val="231F20"/>
          <w:spacing w:val="-27"/>
          <w:w w:val="105"/>
        </w:rPr>
        <w:t> </w:t>
      </w:r>
      <w:r>
        <w:rPr>
          <w:color w:val="231F20"/>
          <w:w w:val="105"/>
        </w:rPr>
        <w:t>de</w:t>
      </w:r>
      <w:r>
        <w:rPr>
          <w:color w:val="231F20"/>
          <w:spacing w:val="-27"/>
          <w:w w:val="105"/>
        </w:rPr>
        <w:t> </w:t>
      </w:r>
      <w:r>
        <w:rPr>
          <w:color w:val="231F20"/>
          <w:w w:val="105"/>
        </w:rPr>
        <w:t>salubridad</w:t>
      </w:r>
      <w:r>
        <w:rPr>
          <w:color w:val="231F20"/>
          <w:spacing w:val="-27"/>
          <w:w w:val="105"/>
        </w:rPr>
        <w:t> </w:t>
      </w:r>
      <w:r>
        <w:rPr>
          <w:color w:val="231F20"/>
          <w:w w:val="105"/>
        </w:rPr>
        <w:t>y</w:t>
      </w:r>
      <w:r>
        <w:rPr>
          <w:color w:val="231F20"/>
          <w:spacing w:val="-27"/>
          <w:w w:val="105"/>
        </w:rPr>
        <w:t> </w:t>
      </w:r>
      <w:r>
        <w:rPr>
          <w:color w:val="231F20"/>
          <w:w w:val="105"/>
        </w:rPr>
        <w:t>vivienda.</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8"/>
          <w:w w:val="105"/>
        </w:rPr>
        <w:t> </w:t>
      </w:r>
      <w:r>
        <w:rPr>
          <w:color w:val="231F20"/>
          <w:spacing w:val="-4"/>
          <w:w w:val="105"/>
        </w:rPr>
        <w:t>PAN</w:t>
      </w:r>
      <w:r>
        <w:rPr>
          <w:color w:val="231F20"/>
          <w:spacing w:val="-18"/>
          <w:w w:val="105"/>
        </w:rPr>
        <w:t> </w:t>
      </w:r>
      <w:r>
        <w:rPr>
          <w:color w:val="231F20"/>
          <w:w w:val="105"/>
        </w:rPr>
        <w:t>ha</w:t>
      </w:r>
      <w:r>
        <w:rPr>
          <w:color w:val="231F20"/>
          <w:spacing w:val="-18"/>
          <w:w w:val="105"/>
        </w:rPr>
        <w:t> </w:t>
      </w:r>
      <w:r>
        <w:rPr>
          <w:color w:val="231F20"/>
          <w:w w:val="105"/>
        </w:rPr>
        <w:t>logrado</w:t>
      </w:r>
      <w:r>
        <w:rPr>
          <w:color w:val="231F20"/>
          <w:spacing w:val="-18"/>
          <w:w w:val="105"/>
        </w:rPr>
        <w:t> </w:t>
      </w:r>
      <w:r>
        <w:rPr>
          <w:color w:val="231F20"/>
          <w:w w:val="105"/>
        </w:rPr>
        <w:t>triunfar</w:t>
      </w:r>
      <w:r>
        <w:rPr>
          <w:color w:val="231F20"/>
          <w:spacing w:val="-18"/>
          <w:w w:val="105"/>
        </w:rPr>
        <w:t> </w:t>
      </w:r>
      <w:r>
        <w:rPr>
          <w:color w:val="231F20"/>
          <w:w w:val="105"/>
        </w:rPr>
        <w:t>en</w:t>
      </w:r>
      <w:r>
        <w:rPr>
          <w:color w:val="231F20"/>
          <w:spacing w:val="-18"/>
          <w:w w:val="105"/>
        </w:rPr>
        <w:t> </w:t>
      </w:r>
      <w:r>
        <w:rPr>
          <w:color w:val="231F20"/>
          <w:w w:val="105"/>
        </w:rPr>
        <w:t>tres</w:t>
      </w:r>
      <w:r>
        <w:rPr>
          <w:color w:val="231F20"/>
          <w:spacing w:val="-18"/>
          <w:w w:val="105"/>
        </w:rPr>
        <w:t> </w:t>
      </w:r>
      <w:r>
        <w:rPr>
          <w:color w:val="231F20"/>
          <w:w w:val="105"/>
        </w:rPr>
        <w:t>ocasiones</w:t>
      </w:r>
      <w:r>
        <w:rPr>
          <w:color w:val="231F20"/>
          <w:spacing w:val="-18"/>
          <w:w w:val="105"/>
        </w:rPr>
        <w:t> </w:t>
      </w:r>
      <w:r>
        <w:rPr>
          <w:color w:val="231F20"/>
          <w:w w:val="105"/>
        </w:rPr>
        <w:t>consecutivas</w:t>
      </w:r>
      <w:r>
        <w:rPr>
          <w:color w:val="231F20"/>
          <w:spacing w:val="-18"/>
          <w:w w:val="105"/>
        </w:rPr>
        <w:t> </w:t>
      </w:r>
      <w:r>
        <w:rPr>
          <w:color w:val="231F20"/>
          <w:w w:val="105"/>
        </w:rPr>
        <w:t>dentro</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de</w:t>
      </w:r>
      <w:r>
        <w:rPr>
          <w:color w:val="231F20"/>
          <w:spacing w:val="-18"/>
          <w:w w:val="105"/>
        </w:rPr>
        <w:t> </w:t>
      </w:r>
      <w:r>
        <w:rPr>
          <w:color w:val="231F20"/>
          <w:w w:val="105"/>
        </w:rPr>
        <w:t>Tlal- nepantla, cuestión que lleva a reconocer la satisfacción de una parte mayoritaria de la población</w:t>
      </w:r>
      <w:r>
        <w:rPr>
          <w:color w:val="231F20"/>
          <w:spacing w:val="-10"/>
          <w:w w:val="105"/>
        </w:rPr>
        <w:t> </w:t>
      </w:r>
      <w:r>
        <w:rPr>
          <w:color w:val="231F20"/>
          <w:w w:val="105"/>
        </w:rPr>
        <w:t>del</w:t>
      </w:r>
      <w:r>
        <w:rPr>
          <w:color w:val="231F20"/>
          <w:spacing w:val="-10"/>
          <w:w w:val="105"/>
        </w:rPr>
        <w:t> </w:t>
      </w:r>
      <w:r>
        <w:rPr>
          <w:color w:val="231F20"/>
          <w:w w:val="105"/>
        </w:rPr>
        <w:t>municipio,</w:t>
      </w:r>
      <w:r>
        <w:rPr>
          <w:color w:val="231F20"/>
          <w:spacing w:val="-10"/>
          <w:w w:val="105"/>
        </w:rPr>
        <w:t> </w:t>
      </w:r>
      <w:r>
        <w:rPr>
          <w:color w:val="231F20"/>
          <w:w w:val="105"/>
        </w:rPr>
        <w:t>sobre</w:t>
      </w:r>
      <w:r>
        <w:rPr>
          <w:color w:val="231F20"/>
          <w:spacing w:val="-10"/>
          <w:w w:val="105"/>
        </w:rPr>
        <w:t> </w:t>
      </w:r>
      <w:r>
        <w:rPr>
          <w:color w:val="231F20"/>
          <w:w w:val="105"/>
        </w:rPr>
        <w:t>todo</w:t>
      </w:r>
      <w:r>
        <w:rPr>
          <w:color w:val="231F20"/>
          <w:spacing w:val="-10"/>
          <w:w w:val="105"/>
        </w:rPr>
        <w:t> </w:t>
      </w:r>
      <w:r>
        <w:rPr>
          <w:color w:val="231F20"/>
          <w:w w:val="105"/>
        </w:rPr>
        <w:t>la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zona</w:t>
      </w:r>
      <w:r>
        <w:rPr>
          <w:color w:val="231F20"/>
          <w:spacing w:val="-10"/>
          <w:w w:val="105"/>
        </w:rPr>
        <w:t> </w:t>
      </w:r>
      <w:r>
        <w:rPr>
          <w:color w:val="231F20"/>
          <w:w w:val="105"/>
        </w:rPr>
        <w:t>poniente,</w:t>
      </w:r>
      <w:r>
        <w:rPr>
          <w:color w:val="231F20"/>
          <w:spacing w:val="-10"/>
          <w:w w:val="105"/>
        </w:rPr>
        <w:t> </w:t>
      </w:r>
      <w:r>
        <w:rPr>
          <w:color w:val="231F20"/>
          <w:w w:val="105"/>
        </w:rPr>
        <w:t>frente</w:t>
      </w:r>
      <w:r>
        <w:rPr>
          <w:color w:val="231F20"/>
          <w:spacing w:val="-10"/>
          <w:w w:val="105"/>
        </w:rPr>
        <w:t> </w:t>
      </w:r>
      <w:r>
        <w:rPr>
          <w:color w:val="231F20"/>
          <w:w w:val="105"/>
        </w:rPr>
        <w:t>a</w:t>
      </w:r>
      <w:r>
        <w:rPr>
          <w:color w:val="231F20"/>
          <w:spacing w:val="-10"/>
          <w:w w:val="105"/>
        </w:rPr>
        <w:t> </w:t>
      </w:r>
      <w:r>
        <w:rPr>
          <w:color w:val="231F20"/>
          <w:w w:val="105"/>
        </w:rPr>
        <w:t>su</w:t>
      </w:r>
      <w:r>
        <w:rPr>
          <w:color w:val="231F20"/>
          <w:spacing w:val="-10"/>
          <w:w w:val="105"/>
        </w:rPr>
        <w:t> </w:t>
      </w:r>
      <w:r>
        <w:rPr>
          <w:color w:val="231F20"/>
          <w:w w:val="105"/>
        </w:rPr>
        <w:t>quehacer</w:t>
      </w:r>
      <w:r>
        <w:rPr>
          <w:color w:val="231F20"/>
          <w:spacing w:val="-10"/>
          <w:w w:val="105"/>
        </w:rPr>
        <w:t> </w:t>
      </w:r>
      <w:r>
        <w:rPr>
          <w:color w:val="231F20"/>
          <w:w w:val="105"/>
        </w:rPr>
        <w:t>guber- namental.</w:t>
      </w:r>
      <w:r>
        <w:rPr>
          <w:color w:val="231F20"/>
          <w:spacing w:val="-16"/>
          <w:w w:val="105"/>
        </w:rPr>
        <w:t> </w:t>
      </w:r>
      <w:r>
        <w:rPr>
          <w:color w:val="231F20"/>
          <w:w w:val="105"/>
        </w:rPr>
        <w:t>He</w:t>
      </w:r>
      <w:r>
        <w:rPr>
          <w:color w:val="231F20"/>
          <w:spacing w:val="-16"/>
          <w:w w:val="105"/>
        </w:rPr>
        <w:t> </w:t>
      </w:r>
      <w:r>
        <w:rPr>
          <w:color w:val="231F20"/>
          <w:w w:val="105"/>
        </w:rPr>
        <w:t>aquí</w:t>
      </w:r>
      <w:r>
        <w:rPr>
          <w:color w:val="231F20"/>
          <w:spacing w:val="-16"/>
          <w:w w:val="105"/>
        </w:rPr>
        <w:t> </w:t>
      </w:r>
      <w:r>
        <w:rPr>
          <w:color w:val="231F20"/>
          <w:w w:val="105"/>
        </w:rPr>
        <w:t>una</w:t>
      </w:r>
      <w:r>
        <w:rPr>
          <w:color w:val="231F20"/>
          <w:spacing w:val="-16"/>
          <w:w w:val="105"/>
        </w:rPr>
        <w:t> </w:t>
      </w:r>
      <w:r>
        <w:rPr>
          <w:color w:val="231F20"/>
          <w:w w:val="105"/>
        </w:rPr>
        <w:t>asignatura</w:t>
      </w:r>
      <w:r>
        <w:rPr>
          <w:color w:val="231F20"/>
          <w:spacing w:val="-16"/>
          <w:w w:val="105"/>
        </w:rPr>
        <w:t> </w:t>
      </w:r>
      <w:r>
        <w:rPr>
          <w:color w:val="231F20"/>
          <w:w w:val="105"/>
        </w:rPr>
        <w:t>pendiente:</w:t>
      </w:r>
      <w:r>
        <w:rPr>
          <w:color w:val="231F20"/>
          <w:spacing w:val="-16"/>
          <w:w w:val="105"/>
        </w:rPr>
        <w:t> </w:t>
      </w:r>
      <w:r>
        <w:rPr>
          <w:color w:val="231F20"/>
          <w:w w:val="105"/>
        </w:rPr>
        <w:t>el</w:t>
      </w:r>
      <w:r>
        <w:rPr>
          <w:color w:val="231F20"/>
          <w:spacing w:val="-16"/>
          <w:w w:val="105"/>
        </w:rPr>
        <w:t> </w:t>
      </w:r>
      <w:r>
        <w:rPr>
          <w:color w:val="231F20"/>
          <w:spacing w:val="2"/>
          <w:w w:val="105"/>
        </w:rPr>
        <w:t>análisis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evaluación</w:t>
      </w:r>
      <w:r>
        <w:rPr>
          <w:color w:val="231F20"/>
          <w:spacing w:val="-16"/>
          <w:w w:val="105"/>
        </w:rPr>
        <w:t> </w:t>
      </w:r>
      <w:r>
        <w:rPr>
          <w:color w:val="231F20"/>
          <w:w w:val="105"/>
        </w:rPr>
        <w:t>del</w:t>
      </w:r>
      <w:r>
        <w:rPr>
          <w:color w:val="231F20"/>
          <w:spacing w:val="-16"/>
          <w:w w:val="105"/>
        </w:rPr>
        <w:t> </w:t>
      </w:r>
      <w:r>
        <w:rPr>
          <w:color w:val="231F20"/>
          <w:w w:val="105"/>
        </w:rPr>
        <w:t>desempeño gubernamental</w:t>
      </w:r>
      <w:r>
        <w:rPr>
          <w:color w:val="231F20"/>
          <w:spacing w:val="-4"/>
          <w:w w:val="105"/>
        </w:rPr>
        <w:t> </w:t>
      </w:r>
      <w:r>
        <w:rPr>
          <w:color w:val="231F20"/>
          <w:w w:val="105"/>
        </w:rPr>
        <w:t>por</w:t>
      </w:r>
      <w:r>
        <w:rPr>
          <w:color w:val="231F20"/>
          <w:spacing w:val="-4"/>
          <w:w w:val="105"/>
        </w:rPr>
        <w:t> </w:t>
      </w:r>
      <w:r>
        <w:rPr>
          <w:color w:val="231F20"/>
          <w:w w:val="105"/>
        </w:rPr>
        <w:t>parte</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ciudadanía.</w:t>
      </w:r>
      <w:r>
        <w:rPr>
          <w:color w:val="231F20"/>
          <w:spacing w:val="-4"/>
          <w:w w:val="105"/>
        </w:rPr>
        <w:t> </w:t>
      </w:r>
      <w:r>
        <w:rPr>
          <w:color w:val="231F20"/>
          <w:spacing w:val="-3"/>
          <w:w w:val="105"/>
        </w:rPr>
        <w:t>Por</w:t>
      </w:r>
      <w:r>
        <w:rPr>
          <w:color w:val="231F20"/>
          <w:spacing w:val="-4"/>
          <w:w w:val="105"/>
        </w:rPr>
        <w:t> </w:t>
      </w:r>
      <w:r>
        <w:rPr>
          <w:color w:val="231F20"/>
          <w:w w:val="105"/>
        </w:rPr>
        <w:t>otro</w:t>
      </w:r>
      <w:r>
        <w:rPr>
          <w:color w:val="231F20"/>
          <w:spacing w:val="-4"/>
          <w:w w:val="105"/>
        </w:rPr>
        <w:t> </w:t>
      </w:r>
      <w:r>
        <w:rPr>
          <w:color w:val="231F20"/>
          <w:w w:val="105"/>
        </w:rPr>
        <w:t>lado,</w:t>
      </w:r>
      <w:r>
        <w:rPr>
          <w:color w:val="231F20"/>
          <w:spacing w:val="-4"/>
          <w:w w:val="105"/>
        </w:rPr>
        <w:t> </w:t>
      </w:r>
      <w:r>
        <w:rPr>
          <w:color w:val="231F20"/>
          <w:w w:val="105"/>
        </w:rPr>
        <w:t>también</w:t>
      </w:r>
      <w:r>
        <w:rPr>
          <w:color w:val="231F20"/>
          <w:spacing w:val="-4"/>
          <w:w w:val="105"/>
        </w:rPr>
        <w:t> </w:t>
      </w:r>
      <w:r>
        <w:rPr>
          <w:color w:val="231F20"/>
          <w:w w:val="105"/>
        </w:rPr>
        <w:t>hace</w:t>
      </w:r>
      <w:r>
        <w:rPr>
          <w:color w:val="231F20"/>
          <w:spacing w:val="-4"/>
          <w:w w:val="105"/>
        </w:rPr>
        <w:t> </w:t>
      </w:r>
      <w:r>
        <w:rPr>
          <w:color w:val="231F20"/>
          <w:w w:val="105"/>
        </w:rPr>
        <w:t>falta</w:t>
      </w:r>
      <w:r>
        <w:rPr>
          <w:color w:val="231F20"/>
          <w:spacing w:val="-4"/>
          <w:w w:val="105"/>
        </w:rPr>
        <w:t> </w:t>
      </w:r>
      <w:r>
        <w:rPr>
          <w:color w:val="231F20"/>
          <w:w w:val="105"/>
        </w:rPr>
        <w:t>un</w:t>
      </w:r>
      <w:r>
        <w:rPr>
          <w:color w:val="231F20"/>
          <w:spacing w:val="-4"/>
          <w:w w:val="105"/>
        </w:rPr>
        <w:t> </w:t>
      </w:r>
      <w:r>
        <w:rPr>
          <w:color w:val="231F20"/>
          <w:w w:val="105"/>
        </w:rPr>
        <w:t>estudio sobre la influencia de la oposición como canalizador de demandas ciudadanas y como copartícipe</w:t>
      </w:r>
      <w:r>
        <w:rPr>
          <w:color w:val="231F20"/>
          <w:spacing w:val="-20"/>
          <w:w w:val="105"/>
        </w:rPr>
        <w:t> </w:t>
      </w:r>
      <w:r>
        <w:rPr>
          <w:color w:val="231F20"/>
          <w:w w:val="105"/>
        </w:rPr>
        <w:t>de</w:t>
      </w:r>
      <w:r>
        <w:rPr>
          <w:color w:val="231F20"/>
          <w:spacing w:val="-20"/>
          <w:w w:val="105"/>
        </w:rPr>
        <w:t> </w:t>
      </w:r>
      <w:r>
        <w:rPr>
          <w:color w:val="231F20"/>
          <w:w w:val="105"/>
        </w:rPr>
        <w:t>decisiones</w:t>
      </w:r>
      <w:r>
        <w:rPr>
          <w:color w:val="231F20"/>
          <w:spacing w:val="-20"/>
          <w:w w:val="105"/>
        </w:rPr>
        <w:t> </w:t>
      </w:r>
      <w:r>
        <w:rPr>
          <w:color w:val="231F20"/>
          <w:w w:val="105"/>
        </w:rPr>
        <w:t>de</w:t>
      </w:r>
      <w:r>
        <w:rPr>
          <w:color w:val="231F20"/>
          <w:spacing w:val="-20"/>
          <w:w w:val="105"/>
        </w:rPr>
        <w:t> </w:t>
      </w:r>
      <w:r>
        <w:rPr>
          <w:color w:val="231F20"/>
          <w:w w:val="105"/>
        </w:rPr>
        <w:t>gobierno</w:t>
      </w:r>
      <w:r>
        <w:rPr>
          <w:color w:val="231F20"/>
          <w:spacing w:val="-20"/>
          <w:w w:val="105"/>
        </w:rPr>
        <w:t> </w:t>
      </w:r>
      <w:r>
        <w:rPr>
          <w:color w:val="231F20"/>
          <w:w w:val="105"/>
        </w:rPr>
        <w:t>relevantes.</w:t>
      </w:r>
    </w:p>
    <w:p>
      <w:pPr>
        <w:spacing w:after="0" w:line="285" w:lineRule="auto"/>
        <w:jc w:val="both"/>
        <w:sectPr>
          <w:pgSz w:w="9640" w:h="12190"/>
          <w:pgMar w:header="0" w:footer="683" w:top="1120" w:bottom="940" w:left="740" w:right="740"/>
        </w:sectPr>
      </w:pPr>
    </w:p>
    <w:p>
      <w:pPr>
        <w:pStyle w:val="BodyText"/>
        <w:spacing w:before="3"/>
        <w:rPr>
          <w:sz w:val="9"/>
        </w:rPr>
      </w:pPr>
    </w:p>
    <w:p>
      <w:pPr>
        <w:pStyle w:val="Heading3"/>
        <w:spacing w:line="284" w:lineRule="exact" w:before="21"/>
        <w:ind w:right="5276"/>
        <w:jc w:val="left"/>
      </w:pPr>
      <w:r>
        <w:rPr>
          <w:color w:val="231F20"/>
          <w:w w:val="105"/>
        </w:rPr>
        <w:t>Fuentes de consulta</w:t>
      </w:r>
    </w:p>
    <w:p>
      <w:pPr>
        <w:pStyle w:val="Heading4"/>
        <w:spacing w:line="336" w:lineRule="exact"/>
        <w:ind w:right="5276"/>
        <w:jc w:val="left"/>
        <w:rPr>
          <w:i/>
        </w:rPr>
      </w:pPr>
      <w:r>
        <w:rPr>
          <w:i/>
          <w:color w:val="231F20"/>
        </w:rPr>
        <w:t>Documentos Oficiales</w:t>
      </w:r>
    </w:p>
    <w:p>
      <w:pPr>
        <w:spacing w:line="348" w:lineRule="auto" w:before="54"/>
        <w:ind w:left="393" w:right="5276" w:hanging="284"/>
        <w:jc w:val="left"/>
        <w:rPr>
          <w:sz w:val="18"/>
        </w:rPr>
      </w:pPr>
      <w:r>
        <w:rPr>
          <w:color w:val="231F20"/>
          <w:sz w:val="18"/>
        </w:rPr>
        <w:t>II Conteo de Población y Vivienda, 2005, México, INEGI, 2006.</w:t>
      </w:r>
    </w:p>
    <w:p>
      <w:pPr>
        <w:spacing w:before="3"/>
        <w:ind w:left="110" w:right="5276" w:firstLine="0"/>
        <w:jc w:val="left"/>
        <w:rPr>
          <w:sz w:val="18"/>
        </w:rPr>
      </w:pPr>
      <w:r>
        <w:rPr>
          <w:color w:val="231F20"/>
          <w:w w:val="105"/>
          <w:sz w:val="18"/>
        </w:rPr>
        <w:t>100 días de Gobierno,</w:t>
      </w:r>
    </w:p>
    <w:p>
      <w:pPr>
        <w:spacing w:before="93"/>
        <w:ind w:left="393" w:right="1281" w:firstLine="0"/>
        <w:jc w:val="left"/>
        <w:rPr>
          <w:sz w:val="18"/>
        </w:rPr>
      </w:pPr>
      <w:r>
        <w:rPr>
          <w:color w:val="231F20"/>
          <w:w w:val="105"/>
          <w:sz w:val="18"/>
        </w:rPr>
        <w:t>México, H. Ayuntamiento de Tlalnepantla, 2006.</w:t>
      </w:r>
    </w:p>
    <w:p>
      <w:pPr>
        <w:spacing w:line="348" w:lineRule="auto" w:before="93"/>
        <w:ind w:left="393" w:right="5451" w:hanging="284"/>
        <w:jc w:val="left"/>
        <w:rPr>
          <w:sz w:val="18"/>
        </w:rPr>
      </w:pPr>
      <w:r>
        <w:rPr>
          <w:color w:val="231F20"/>
          <w:sz w:val="18"/>
        </w:rPr>
        <w:t>Declaración de Principios, México, PAN, 2008.</w:t>
      </w:r>
    </w:p>
    <w:p>
      <w:pPr>
        <w:spacing w:line="348" w:lineRule="auto" w:before="3"/>
        <w:ind w:left="393" w:right="5276" w:hanging="284"/>
        <w:jc w:val="left"/>
        <w:rPr>
          <w:sz w:val="18"/>
        </w:rPr>
      </w:pPr>
      <w:r>
        <w:rPr>
          <w:color w:val="231F20"/>
          <w:sz w:val="18"/>
        </w:rPr>
        <w:t>Índice de Marginación 2000, México, CONAPO, 2000.</w:t>
      </w:r>
    </w:p>
    <w:p>
      <w:pPr>
        <w:spacing w:line="348" w:lineRule="auto" w:before="3"/>
        <w:ind w:left="393" w:right="1281" w:hanging="284"/>
        <w:jc w:val="left"/>
        <w:rPr>
          <w:sz w:val="18"/>
        </w:rPr>
      </w:pPr>
      <w:r>
        <w:rPr>
          <w:color w:val="231F20"/>
          <w:sz w:val="18"/>
        </w:rPr>
        <w:t>Pilares del Humanismo, México, PAN, </w:t>
      </w:r>
      <w:hyperlink r:id="rId676">
        <w:r>
          <w:rPr>
            <w:color w:val="231F20"/>
            <w:sz w:val="18"/>
          </w:rPr>
          <w:t>http://www.pan.org.mx/docs/pilares_humanismo.pdf.</w:t>
        </w:r>
      </w:hyperlink>
    </w:p>
    <w:p>
      <w:pPr>
        <w:spacing w:before="3"/>
        <w:ind w:left="110" w:right="1281" w:firstLine="0"/>
        <w:jc w:val="left"/>
        <w:rPr>
          <w:sz w:val="18"/>
        </w:rPr>
      </w:pPr>
      <w:r>
        <w:rPr>
          <w:color w:val="231F20"/>
          <w:w w:val="105"/>
          <w:sz w:val="18"/>
        </w:rPr>
        <w:t>Plan de Desarrollo Municipal 2000-2003,</w:t>
      </w:r>
    </w:p>
    <w:p>
      <w:pPr>
        <w:spacing w:line="348" w:lineRule="auto" w:before="93"/>
        <w:ind w:left="110" w:right="4281" w:firstLine="283"/>
        <w:jc w:val="left"/>
        <w:rPr>
          <w:sz w:val="18"/>
        </w:rPr>
      </w:pPr>
      <w:r>
        <w:rPr>
          <w:color w:val="231F20"/>
          <w:w w:val="105"/>
          <w:sz w:val="18"/>
        </w:rPr>
        <w:t>H. Ayuntamiento de Tlalnepantla, 2000. Plan de Desarrollo Municipal 2003 – 2006,</w:t>
      </w:r>
    </w:p>
    <w:p>
      <w:pPr>
        <w:spacing w:before="3"/>
        <w:ind w:left="393" w:right="1281" w:firstLine="0"/>
        <w:jc w:val="left"/>
        <w:rPr>
          <w:sz w:val="18"/>
        </w:rPr>
      </w:pPr>
      <w:r>
        <w:rPr>
          <w:color w:val="231F20"/>
          <w:w w:val="105"/>
          <w:sz w:val="18"/>
        </w:rPr>
        <w:t>México, H. Ayuntamiento de Tlalnepantla, 2003.</w:t>
      </w:r>
    </w:p>
    <w:p>
      <w:pPr>
        <w:spacing w:before="93"/>
        <w:ind w:left="110" w:right="1281" w:firstLine="0"/>
        <w:jc w:val="left"/>
        <w:rPr>
          <w:sz w:val="18"/>
        </w:rPr>
      </w:pPr>
      <w:r>
        <w:rPr>
          <w:color w:val="231F20"/>
          <w:w w:val="105"/>
          <w:sz w:val="18"/>
        </w:rPr>
        <w:t>Plan de Desarrollo Municipal 2006 – 2009,</w:t>
      </w:r>
    </w:p>
    <w:p>
      <w:pPr>
        <w:spacing w:before="93"/>
        <w:ind w:left="393" w:right="1281" w:firstLine="0"/>
        <w:jc w:val="left"/>
        <w:rPr>
          <w:sz w:val="18"/>
        </w:rPr>
      </w:pPr>
      <w:r>
        <w:rPr>
          <w:color w:val="231F20"/>
          <w:w w:val="105"/>
          <w:sz w:val="18"/>
        </w:rPr>
        <w:t>México, H. Ayuntamiento de Tlalnepantla, 2006.</w:t>
      </w:r>
    </w:p>
    <w:p>
      <w:pPr>
        <w:spacing w:before="93"/>
        <w:ind w:left="110" w:right="5276" w:firstLine="0"/>
        <w:jc w:val="left"/>
        <w:rPr>
          <w:sz w:val="18"/>
        </w:rPr>
      </w:pPr>
      <w:r>
        <w:rPr>
          <w:color w:val="231F20"/>
          <w:w w:val="105"/>
          <w:sz w:val="18"/>
        </w:rPr>
        <w:t>Primer Informe de Gobierno,</w:t>
      </w:r>
    </w:p>
    <w:p>
      <w:pPr>
        <w:spacing w:before="93"/>
        <w:ind w:left="393" w:right="1281" w:firstLine="0"/>
        <w:jc w:val="left"/>
        <w:rPr>
          <w:sz w:val="18"/>
        </w:rPr>
      </w:pPr>
      <w:r>
        <w:rPr>
          <w:color w:val="231F20"/>
          <w:w w:val="105"/>
          <w:sz w:val="18"/>
        </w:rPr>
        <w:t>México, H. Ayuntamiento de Tlalnepantla, 2007.</w:t>
      </w:r>
    </w:p>
    <w:p>
      <w:pPr>
        <w:spacing w:before="93"/>
        <w:ind w:left="110" w:right="5276" w:firstLine="0"/>
        <w:jc w:val="left"/>
        <w:rPr>
          <w:sz w:val="18"/>
        </w:rPr>
      </w:pPr>
      <w:r>
        <w:rPr>
          <w:color w:val="231F20"/>
          <w:w w:val="105"/>
          <w:sz w:val="18"/>
        </w:rPr>
        <w:t>Segundo Informe de Gobierno,</w:t>
      </w:r>
    </w:p>
    <w:p>
      <w:pPr>
        <w:spacing w:before="93"/>
        <w:ind w:left="436" w:right="1281" w:firstLine="0"/>
        <w:jc w:val="left"/>
        <w:rPr>
          <w:sz w:val="18"/>
        </w:rPr>
      </w:pPr>
      <w:r>
        <w:rPr>
          <w:color w:val="231F20"/>
          <w:w w:val="105"/>
          <w:sz w:val="18"/>
        </w:rPr>
        <w:t>México, H. Ayuntamiento de Tlalnepantla, 2008.</w:t>
      </w:r>
    </w:p>
    <w:p>
      <w:pPr>
        <w:pStyle w:val="BodyText"/>
        <w:rPr>
          <w:sz w:val="25"/>
        </w:rPr>
      </w:pPr>
    </w:p>
    <w:p>
      <w:pPr>
        <w:pStyle w:val="Heading4"/>
        <w:ind w:right="5276"/>
        <w:jc w:val="left"/>
        <w:rPr>
          <w:i/>
        </w:rPr>
      </w:pPr>
      <w:r>
        <w:rPr>
          <w:i/>
          <w:color w:val="231F20"/>
          <w:w w:val="105"/>
        </w:rPr>
        <w:t>Bibliografía</w:t>
      </w:r>
    </w:p>
    <w:p>
      <w:pPr>
        <w:spacing w:line="348" w:lineRule="auto" w:before="54"/>
        <w:ind w:left="393" w:right="0" w:hanging="284"/>
        <w:jc w:val="left"/>
        <w:rPr>
          <w:sz w:val="18"/>
        </w:rPr>
      </w:pPr>
      <w:r>
        <w:rPr>
          <w:color w:val="231F20"/>
          <w:sz w:val="18"/>
        </w:rPr>
        <w:t>CÁRDENAS ZEPEDA, Alfonso y José SANTOS ZAVALA, “El caso de Tlalnepantla, Estado de México”, en: CABRERO MENDOZA, Enrique, Los dilemas de la organización: Estudios de caso sobre</w:t>
      </w:r>
    </w:p>
    <w:p>
      <w:pPr>
        <w:spacing w:before="3"/>
        <w:ind w:left="393" w:right="0" w:firstLine="0"/>
        <w:jc w:val="left"/>
        <w:rPr>
          <w:sz w:val="18"/>
        </w:rPr>
      </w:pPr>
      <w:r>
        <w:rPr>
          <w:color w:val="231F20"/>
          <w:w w:val="105"/>
          <w:sz w:val="18"/>
        </w:rPr>
        <w:t>la gestión hacendaria en municipios urbanos de México, México, Porrúa, pp. 527 – 589.</w:t>
      </w:r>
    </w:p>
    <w:p>
      <w:pPr>
        <w:spacing w:line="348" w:lineRule="auto" w:before="93"/>
        <w:ind w:left="393" w:right="201" w:hanging="284"/>
        <w:jc w:val="left"/>
        <w:rPr>
          <w:sz w:val="18"/>
        </w:rPr>
      </w:pPr>
      <w:r>
        <w:rPr>
          <w:color w:val="231F20"/>
          <w:w w:val="105"/>
          <w:sz w:val="18"/>
        </w:rPr>
        <w:t>ARZALUZ SOLANO, María de Socorro, Participación Ciudadana en la Gestión Urbana de Ecatepec, Tlalnepantla y Nezahualcóyotl 1997-2000, México, Premio IAPEM 2002 Modalidad: Investigaciones teóricas, y teórico-prácticas. IAPEM, Toluca, Estado de México, 2002, p. 32</w:t>
      </w:r>
    </w:p>
    <w:p>
      <w:pPr>
        <w:spacing w:after="0" w:line="348" w:lineRule="auto"/>
        <w:jc w:val="left"/>
        <w:rPr>
          <w:sz w:val="18"/>
        </w:rPr>
        <w:sectPr>
          <w:pgSz w:w="9640" w:h="12190"/>
          <w:pgMar w:header="0" w:footer="683" w:top="1120" w:bottom="940" w:left="740" w:right="860"/>
        </w:sectPr>
      </w:pPr>
    </w:p>
    <w:p>
      <w:pPr>
        <w:pStyle w:val="BodyText"/>
        <w:spacing w:before="6"/>
        <w:rPr>
          <w:sz w:val="13"/>
        </w:rPr>
      </w:pPr>
    </w:p>
    <w:p>
      <w:pPr>
        <w:spacing w:line="348" w:lineRule="auto" w:before="47"/>
        <w:ind w:left="393" w:right="159" w:hanging="284"/>
        <w:jc w:val="left"/>
        <w:rPr>
          <w:sz w:val="18"/>
        </w:rPr>
      </w:pPr>
      <w:r>
        <w:rPr>
          <w:color w:val="231F20"/>
          <w:w w:val="105"/>
          <w:sz w:val="18"/>
        </w:rPr>
        <w:t>PEÑA</w:t>
      </w:r>
      <w:r>
        <w:rPr>
          <w:color w:val="231F20"/>
          <w:spacing w:val="-14"/>
          <w:w w:val="105"/>
          <w:sz w:val="18"/>
        </w:rPr>
        <w:t> </w:t>
      </w:r>
      <w:r>
        <w:rPr>
          <w:color w:val="231F20"/>
          <w:spacing w:val="2"/>
          <w:w w:val="105"/>
          <w:sz w:val="18"/>
        </w:rPr>
        <w:t>AHUMADA,</w:t>
      </w:r>
      <w:r>
        <w:rPr>
          <w:color w:val="231F20"/>
          <w:spacing w:val="-14"/>
          <w:w w:val="105"/>
          <w:sz w:val="18"/>
        </w:rPr>
        <w:t> </w:t>
      </w:r>
      <w:r>
        <w:rPr>
          <w:color w:val="231F20"/>
          <w:w w:val="105"/>
          <w:sz w:val="18"/>
        </w:rPr>
        <w:t>José</w:t>
      </w:r>
      <w:r>
        <w:rPr>
          <w:color w:val="231F20"/>
          <w:spacing w:val="-14"/>
          <w:w w:val="105"/>
          <w:sz w:val="18"/>
        </w:rPr>
        <w:t> </w:t>
      </w:r>
      <w:r>
        <w:rPr>
          <w:color w:val="231F20"/>
          <w:w w:val="105"/>
          <w:sz w:val="18"/>
        </w:rPr>
        <w:t>Antonio,</w:t>
      </w:r>
      <w:r>
        <w:rPr>
          <w:color w:val="231F20"/>
          <w:spacing w:val="-14"/>
          <w:w w:val="105"/>
          <w:sz w:val="18"/>
        </w:rPr>
        <w:t> </w:t>
      </w:r>
      <w:r>
        <w:rPr>
          <w:color w:val="231F20"/>
          <w:w w:val="105"/>
          <w:sz w:val="18"/>
        </w:rPr>
        <w:t>“Capital</w:t>
      </w:r>
      <w:r>
        <w:rPr>
          <w:color w:val="231F20"/>
          <w:spacing w:val="-14"/>
          <w:w w:val="105"/>
          <w:sz w:val="18"/>
        </w:rPr>
        <w:t> </w:t>
      </w:r>
      <w:r>
        <w:rPr>
          <w:color w:val="231F20"/>
          <w:w w:val="105"/>
          <w:sz w:val="18"/>
        </w:rPr>
        <w:t>social</w:t>
      </w:r>
      <w:r>
        <w:rPr>
          <w:color w:val="231F20"/>
          <w:spacing w:val="-14"/>
          <w:w w:val="105"/>
          <w:sz w:val="18"/>
        </w:rPr>
        <w:t> </w:t>
      </w:r>
      <w:r>
        <w:rPr>
          <w:color w:val="231F20"/>
          <w:w w:val="105"/>
          <w:sz w:val="18"/>
        </w:rPr>
        <w:t>y</w:t>
      </w:r>
      <w:r>
        <w:rPr>
          <w:color w:val="231F20"/>
          <w:spacing w:val="-14"/>
          <w:w w:val="105"/>
          <w:sz w:val="18"/>
        </w:rPr>
        <w:t> </w:t>
      </w:r>
      <w:r>
        <w:rPr>
          <w:color w:val="231F20"/>
          <w:w w:val="105"/>
          <w:sz w:val="18"/>
        </w:rPr>
        <w:t>superación</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pobreza:</w:t>
      </w:r>
      <w:r>
        <w:rPr>
          <w:color w:val="231F20"/>
          <w:spacing w:val="-14"/>
          <w:w w:val="105"/>
          <w:sz w:val="18"/>
        </w:rPr>
        <w:t> </w:t>
      </w:r>
      <w:r>
        <w:rPr>
          <w:color w:val="231F20"/>
          <w:w w:val="105"/>
          <w:sz w:val="18"/>
        </w:rPr>
        <w:t>el</w:t>
      </w:r>
      <w:r>
        <w:rPr>
          <w:color w:val="231F20"/>
          <w:spacing w:val="-14"/>
          <w:w w:val="105"/>
          <w:sz w:val="18"/>
        </w:rPr>
        <w:t> </w:t>
      </w:r>
      <w:r>
        <w:rPr>
          <w:color w:val="231F20"/>
          <w:spacing w:val="2"/>
          <w:w w:val="105"/>
          <w:sz w:val="18"/>
        </w:rPr>
        <w:t>caso</w:t>
      </w:r>
      <w:r>
        <w:rPr>
          <w:color w:val="231F20"/>
          <w:spacing w:val="-14"/>
          <w:w w:val="105"/>
          <w:sz w:val="18"/>
        </w:rPr>
        <w:t> </w:t>
      </w:r>
      <w:r>
        <w:rPr>
          <w:color w:val="231F20"/>
          <w:w w:val="105"/>
          <w:sz w:val="18"/>
        </w:rPr>
        <w:t>del</w:t>
      </w:r>
      <w:r>
        <w:rPr>
          <w:color w:val="231F20"/>
          <w:spacing w:val="-14"/>
          <w:w w:val="105"/>
          <w:sz w:val="18"/>
        </w:rPr>
        <w:t> </w:t>
      </w:r>
      <w:r>
        <w:rPr>
          <w:color w:val="231F20"/>
          <w:w w:val="105"/>
          <w:sz w:val="18"/>
        </w:rPr>
        <w:t>Programa Vivienda</w:t>
      </w:r>
      <w:r>
        <w:rPr>
          <w:color w:val="231F20"/>
          <w:spacing w:val="-12"/>
          <w:w w:val="105"/>
          <w:sz w:val="18"/>
        </w:rPr>
        <w:t> </w:t>
      </w:r>
      <w:r>
        <w:rPr>
          <w:color w:val="231F20"/>
          <w:w w:val="105"/>
          <w:sz w:val="18"/>
        </w:rPr>
        <w:t>Popular</w:t>
      </w:r>
      <w:r>
        <w:rPr>
          <w:color w:val="231F20"/>
          <w:spacing w:val="-12"/>
          <w:w w:val="105"/>
          <w:sz w:val="18"/>
        </w:rPr>
        <w:t> </w:t>
      </w:r>
      <w:r>
        <w:rPr>
          <w:color w:val="231F20"/>
          <w:w w:val="105"/>
          <w:sz w:val="18"/>
        </w:rPr>
        <w:t>y</w:t>
      </w:r>
      <w:r>
        <w:rPr>
          <w:color w:val="231F20"/>
          <w:spacing w:val="-12"/>
          <w:w w:val="105"/>
          <w:sz w:val="18"/>
        </w:rPr>
        <w:t> </w:t>
      </w:r>
      <w:r>
        <w:rPr>
          <w:color w:val="231F20"/>
          <w:w w:val="105"/>
          <w:sz w:val="18"/>
        </w:rPr>
        <w:t>Organización</w:t>
      </w:r>
      <w:r>
        <w:rPr>
          <w:color w:val="231F20"/>
          <w:spacing w:val="-12"/>
          <w:w w:val="105"/>
          <w:sz w:val="18"/>
        </w:rPr>
        <w:t> </w:t>
      </w:r>
      <w:r>
        <w:rPr>
          <w:color w:val="231F20"/>
          <w:w w:val="105"/>
          <w:sz w:val="18"/>
        </w:rPr>
        <w:t>Comunitaria”,</w:t>
      </w:r>
      <w:r>
        <w:rPr>
          <w:color w:val="231F20"/>
          <w:spacing w:val="-12"/>
          <w:w w:val="105"/>
          <w:sz w:val="18"/>
        </w:rPr>
        <w:t> </w:t>
      </w:r>
      <w:r>
        <w:rPr>
          <w:color w:val="231F20"/>
          <w:w w:val="105"/>
          <w:sz w:val="18"/>
        </w:rPr>
        <w:t>en:</w:t>
      </w:r>
      <w:r>
        <w:rPr>
          <w:color w:val="231F20"/>
          <w:spacing w:val="-12"/>
          <w:w w:val="105"/>
          <w:sz w:val="18"/>
        </w:rPr>
        <w:t> </w:t>
      </w:r>
      <w:r>
        <w:rPr>
          <w:color w:val="231F20"/>
          <w:w w:val="105"/>
          <w:sz w:val="18"/>
        </w:rPr>
        <w:t>Gobiernos</w:t>
      </w:r>
      <w:r>
        <w:rPr>
          <w:color w:val="231F20"/>
          <w:spacing w:val="-12"/>
          <w:w w:val="105"/>
          <w:sz w:val="18"/>
        </w:rPr>
        <w:t> </w:t>
      </w:r>
      <w:r>
        <w:rPr>
          <w:color w:val="231F20"/>
          <w:w w:val="105"/>
          <w:sz w:val="18"/>
        </w:rPr>
        <w:t>Locales</w:t>
      </w:r>
      <w:r>
        <w:rPr>
          <w:color w:val="231F20"/>
          <w:spacing w:val="-12"/>
          <w:w w:val="105"/>
          <w:sz w:val="18"/>
        </w:rPr>
        <w:t> </w:t>
      </w:r>
      <w:r>
        <w:rPr>
          <w:color w:val="231F20"/>
          <w:w w:val="105"/>
          <w:sz w:val="18"/>
        </w:rPr>
        <w:t>Trabajando,</w:t>
      </w:r>
    </w:p>
    <w:p>
      <w:pPr>
        <w:spacing w:before="3"/>
        <w:ind w:left="393" w:right="1090" w:firstLine="0"/>
        <w:jc w:val="left"/>
        <w:rPr>
          <w:sz w:val="18"/>
        </w:rPr>
      </w:pPr>
      <w:r>
        <w:rPr>
          <w:color w:val="231F20"/>
          <w:sz w:val="18"/>
        </w:rPr>
        <w:t>México, CIDE, 2004, pp. 104 – 119.</w:t>
      </w:r>
    </w:p>
    <w:p>
      <w:pPr>
        <w:spacing w:line="348" w:lineRule="auto" w:before="93"/>
        <w:ind w:left="393" w:right="1925" w:hanging="284"/>
        <w:jc w:val="left"/>
        <w:rPr>
          <w:sz w:val="18"/>
        </w:rPr>
      </w:pPr>
      <w:r>
        <w:rPr>
          <w:color w:val="231F20"/>
          <w:sz w:val="18"/>
        </w:rPr>
        <w:t>FERNÁNDEZ Domínguez, Miguel Ángel, “Emisión de certificados bursátiles”, en: Gobiernos Locales Trabajando, México, CIDE, 2004, pp. 287 –   302.</w:t>
      </w:r>
    </w:p>
    <w:p>
      <w:pPr>
        <w:spacing w:line="348" w:lineRule="auto" w:before="3"/>
        <w:ind w:left="393" w:right="725" w:hanging="284"/>
        <w:jc w:val="left"/>
        <w:rPr>
          <w:sz w:val="18"/>
        </w:rPr>
      </w:pPr>
      <w:r>
        <w:rPr>
          <w:color w:val="231F20"/>
          <w:w w:val="105"/>
          <w:sz w:val="18"/>
        </w:rPr>
        <w:t>GARCÍA</w:t>
      </w:r>
      <w:r>
        <w:rPr>
          <w:color w:val="231F20"/>
          <w:spacing w:val="-20"/>
          <w:w w:val="105"/>
          <w:sz w:val="18"/>
        </w:rPr>
        <w:t> </w:t>
      </w:r>
      <w:r>
        <w:rPr>
          <w:color w:val="231F20"/>
          <w:w w:val="105"/>
          <w:sz w:val="18"/>
        </w:rPr>
        <w:t>VÁZQUEZ,</w:t>
      </w:r>
      <w:r>
        <w:rPr>
          <w:color w:val="231F20"/>
          <w:spacing w:val="-20"/>
          <w:w w:val="105"/>
          <w:sz w:val="18"/>
        </w:rPr>
        <w:t> </w:t>
      </w:r>
      <w:r>
        <w:rPr>
          <w:color w:val="231F20"/>
          <w:w w:val="105"/>
          <w:sz w:val="18"/>
        </w:rPr>
        <w:t>Gilberto</w:t>
      </w:r>
      <w:r>
        <w:rPr>
          <w:color w:val="231F20"/>
          <w:spacing w:val="-20"/>
          <w:w w:val="105"/>
          <w:sz w:val="18"/>
        </w:rPr>
        <w:t> </w:t>
      </w:r>
      <w:r>
        <w:rPr>
          <w:color w:val="231F20"/>
          <w:w w:val="105"/>
          <w:sz w:val="18"/>
        </w:rPr>
        <w:t>y</w:t>
      </w:r>
      <w:r>
        <w:rPr>
          <w:color w:val="231F20"/>
          <w:spacing w:val="-20"/>
          <w:w w:val="105"/>
          <w:sz w:val="18"/>
        </w:rPr>
        <w:t> </w:t>
      </w:r>
      <w:r>
        <w:rPr>
          <w:color w:val="231F20"/>
          <w:w w:val="105"/>
          <w:sz w:val="18"/>
        </w:rPr>
        <w:t>Mauricio</w:t>
      </w:r>
      <w:r>
        <w:rPr>
          <w:color w:val="231F20"/>
          <w:spacing w:val="-20"/>
          <w:w w:val="105"/>
          <w:sz w:val="18"/>
        </w:rPr>
        <w:t> </w:t>
      </w:r>
      <w:r>
        <w:rPr>
          <w:color w:val="231F20"/>
          <w:w w:val="105"/>
          <w:sz w:val="18"/>
        </w:rPr>
        <w:t>LÓPEZ</w:t>
      </w:r>
      <w:r>
        <w:rPr>
          <w:color w:val="231F20"/>
          <w:spacing w:val="-20"/>
          <w:w w:val="105"/>
          <w:sz w:val="18"/>
        </w:rPr>
        <w:t> </w:t>
      </w:r>
      <w:r>
        <w:rPr>
          <w:color w:val="231F20"/>
          <w:spacing w:val="2"/>
          <w:w w:val="105"/>
          <w:sz w:val="18"/>
        </w:rPr>
        <w:t>GONZÁLEZ,</w:t>
      </w:r>
      <w:r>
        <w:rPr>
          <w:color w:val="231F20"/>
          <w:spacing w:val="-20"/>
          <w:w w:val="105"/>
          <w:sz w:val="18"/>
        </w:rPr>
        <w:t> </w:t>
      </w:r>
      <w:r>
        <w:rPr>
          <w:color w:val="231F20"/>
          <w:w w:val="105"/>
          <w:sz w:val="18"/>
        </w:rPr>
        <w:t>“Fortalecimiento</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ingresos municipales. Tlalnepantla de </w:t>
      </w:r>
      <w:r>
        <w:rPr>
          <w:color w:val="231F20"/>
          <w:spacing w:val="2"/>
          <w:w w:val="105"/>
          <w:sz w:val="18"/>
        </w:rPr>
        <w:t>Baz, </w:t>
      </w:r>
      <w:r>
        <w:rPr>
          <w:color w:val="231F20"/>
          <w:w w:val="105"/>
          <w:sz w:val="18"/>
        </w:rPr>
        <w:t>Estado de México”, en: Gobiernos Locales Trabajando, México,</w:t>
      </w:r>
      <w:r>
        <w:rPr>
          <w:color w:val="231F20"/>
          <w:spacing w:val="-19"/>
          <w:w w:val="105"/>
          <w:sz w:val="18"/>
        </w:rPr>
        <w:t> </w:t>
      </w:r>
      <w:r>
        <w:rPr>
          <w:color w:val="231F20"/>
          <w:w w:val="105"/>
          <w:sz w:val="18"/>
        </w:rPr>
        <w:t>CIDE,</w:t>
      </w:r>
      <w:r>
        <w:rPr>
          <w:color w:val="231F20"/>
          <w:spacing w:val="-19"/>
          <w:w w:val="105"/>
          <w:sz w:val="18"/>
        </w:rPr>
        <w:t> </w:t>
      </w:r>
      <w:r>
        <w:rPr>
          <w:color w:val="231F20"/>
          <w:spacing w:val="2"/>
          <w:w w:val="105"/>
          <w:sz w:val="18"/>
        </w:rPr>
        <w:t>2003,</w:t>
      </w:r>
      <w:r>
        <w:rPr>
          <w:color w:val="231F20"/>
          <w:spacing w:val="-19"/>
          <w:w w:val="105"/>
          <w:sz w:val="18"/>
        </w:rPr>
        <w:t> </w:t>
      </w:r>
      <w:r>
        <w:rPr>
          <w:color w:val="231F20"/>
          <w:w w:val="105"/>
          <w:sz w:val="18"/>
        </w:rPr>
        <w:t>pp.</w:t>
      </w:r>
      <w:r>
        <w:rPr>
          <w:color w:val="231F20"/>
          <w:spacing w:val="-19"/>
          <w:w w:val="105"/>
          <w:sz w:val="18"/>
        </w:rPr>
        <w:t> </w:t>
      </w:r>
      <w:r>
        <w:rPr>
          <w:color w:val="231F20"/>
          <w:w w:val="105"/>
          <w:sz w:val="18"/>
        </w:rPr>
        <w:t>235</w:t>
      </w:r>
      <w:r>
        <w:rPr>
          <w:color w:val="231F20"/>
          <w:spacing w:val="-19"/>
          <w:w w:val="105"/>
          <w:sz w:val="18"/>
        </w:rPr>
        <w:t> </w:t>
      </w:r>
      <w:r>
        <w:rPr>
          <w:color w:val="231F20"/>
          <w:w w:val="105"/>
          <w:sz w:val="18"/>
        </w:rPr>
        <w:t>–</w:t>
      </w:r>
      <w:r>
        <w:rPr>
          <w:color w:val="231F20"/>
          <w:spacing w:val="-19"/>
          <w:w w:val="105"/>
          <w:sz w:val="18"/>
        </w:rPr>
        <w:t> </w:t>
      </w:r>
      <w:r>
        <w:rPr>
          <w:color w:val="231F20"/>
          <w:w w:val="105"/>
          <w:sz w:val="18"/>
        </w:rPr>
        <w:t>249.</w:t>
      </w:r>
    </w:p>
    <w:p>
      <w:pPr>
        <w:pStyle w:val="BodyText"/>
        <w:spacing w:before="2"/>
        <w:rPr>
          <w:sz w:val="17"/>
        </w:rPr>
      </w:pPr>
    </w:p>
    <w:p>
      <w:pPr>
        <w:pStyle w:val="Heading4"/>
        <w:spacing w:before="1"/>
        <w:ind w:right="1090"/>
        <w:jc w:val="left"/>
        <w:rPr>
          <w:i/>
        </w:rPr>
      </w:pPr>
      <w:r>
        <w:rPr>
          <w:i/>
          <w:color w:val="231F20"/>
        </w:rPr>
        <w:t>Tesis</w:t>
      </w:r>
    </w:p>
    <w:p>
      <w:pPr>
        <w:spacing w:before="54"/>
        <w:ind w:left="110" w:right="1090" w:firstLine="0"/>
        <w:jc w:val="left"/>
        <w:rPr>
          <w:sz w:val="18"/>
        </w:rPr>
      </w:pPr>
      <w:r>
        <w:rPr>
          <w:color w:val="231F20"/>
          <w:sz w:val="18"/>
        </w:rPr>
        <w:t>AGUILAR RODRÍGUEZ, David, La Evaluación en la Gestión Pública   Municipal.</w:t>
      </w:r>
    </w:p>
    <w:p>
      <w:pPr>
        <w:spacing w:line="348" w:lineRule="auto" w:before="93"/>
        <w:ind w:left="393" w:right="178" w:firstLine="0"/>
        <w:jc w:val="left"/>
        <w:rPr>
          <w:sz w:val="18"/>
        </w:rPr>
      </w:pPr>
      <w:r>
        <w:rPr>
          <w:color w:val="231F20"/>
          <w:w w:val="105"/>
          <w:sz w:val="18"/>
        </w:rPr>
        <w:t>Tres estudios de caso en materia de servicios públicos, en los municipios de Ecatepec, Naucalpan y Tlalnepantla 2000 – 2003, México, Tesis de Doctorado en Ciencias Políticas y Sociales</w:t>
      </w:r>
    </w:p>
    <w:p>
      <w:pPr>
        <w:spacing w:before="3"/>
        <w:ind w:left="393" w:right="1090" w:firstLine="0"/>
        <w:jc w:val="left"/>
        <w:rPr>
          <w:sz w:val="18"/>
        </w:rPr>
      </w:pPr>
      <w:r>
        <w:rPr>
          <w:color w:val="231F20"/>
          <w:w w:val="105"/>
          <w:sz w:val="18"/>
        </w:rPr>
        <w:t>con orientación en Administración Pública, 2006, 160 p.</w:t>
      </w:r>
    </w:p>
    <w:p>
      <w:pPr>
        <w:spacing w:before="93"/>
        <w:ind w:left="110" w:right="1090" w:firstLine="0"/>
        <w:jc w:val="left"/>
        <w:rPr>
          <w:sz w:val="18"/>
        </w:rPr>
      </w:pPr>
      <w:r>
        <w:rPr>
          <w:color w:val="231F20"/>
          <w:w w:val="105"/>
          <w:sz w:val="18"/>
        </w:rPr>
        <w:t>AGUILAR SÁNCHEZ, Arturo Israel, Diferencias organizacionales entre el municipio</w:t>
      </w:r>
    </w:p>
    <w:p>
      <w:pPr>
        <w:spacing w:before="93"/>
        <w:ind w:left="393" w:right="159" w:firstLine="0"/>
        <w:jc w:val="left"/>
        <w:rPr>
          <w:sz w:val="18"/>
        </w:rPr>
      </w:pPr>
      <w:r>
        <w:rPr>
          <w:color w:val="231F20"/>
          <w:sz w:val="18"/>
        </w:rPr>
        <w:t>y las delegaciones políticas del Distrito Federal en materia de seguridad pública; propuesta</w:t>
      </w:r>
    </w:p>
    <w:p>
      <w:pPr>
        <w:spacing w:line="348" w:lineRule="auto" w:before="93"/>
        <w:ind w:left="393" w:right="0" w:firstLine="0"/>
        <w:jc w:val="left"/>
        <w:rPr>
          <w:sz w:val="18"/>
        </w:rPr>
      </w:pPr>
      <w:r>
        <w:rPr>
          <w:color w:val="231F20"/>
          <w:w w:val="105"/>
          <w:sz w:val="18"/>
        </w:rPr>
        <w:t>de coordinación conjunta: El </w:t>
      </w:r>
      <w:r>
        <w:rPr>
          <w:color w:val="231F20"/>
          <w:spacing w:val="2"/>
          <w:w w:val="105"/>
          <w:sz w:val="18"/>
        </w:rPr>
        <w:t>caso </w:t>
      </w:r>
      <w:r>
        <w:rPr>
          <w:color w:val="231F20"/>
          <w:w w:val="105"/>
          <w:sz w:val="18"/>
        </w:rPr>
        <w:t>de la Delegación Azcapotzalco y el municipio de Tlalnepantla, México,</w:t>
      </w:r>
      <w:r>
        <w:rPr>
          <w:color w:val="231F20"/>
          <w:spacing w:val="-14"/>
          <w:w w:val="105"/>
          <w:sz w:val="18"/>
        </w:rPr>
        <w:t> </w:t>
      </w:r>
      <w:r>
        <w:rPr>
          <w:color w:val="231F20"/>
          <w:w w:val="105"/>
          <w:sz w:val="18"/>
        </w:rPr>
        <w:t>Tesis</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Licenciatura</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Ciencia</w:t>
      </w:r>
      <w:r>
        <w:rPr>
          <w:color w:val="231F20"/>
          <w:spacing w:val="-14"/>
          <w:w w:val="105"/>
          <w:sz w:val="18"/>
        </w:rPr>
        <w:t> </w:t>
      </w:r>
      <w:r>
        <w:rPr>
          <w:color w:val="231F20"/>
          <w:w w:val="105"/>
          <w:sz w:val="18"/>
        </w:rPr>
        <w:t>Política</w:t>
      </w:r>
      <w:r>
        <w:rPr>
          <w:color w:val="231F20"/>
          <w:spacing w:val="-14"/>
          <w:w w:val="105"/>
          <w:sz w:val="18"/>
        </w:rPr>
        <w:t> </w:t>
      </w:r>
      <w:r>
        <w:rPr>
          <w:color w:val="231F20"/>
          <w:w w:val="105"/>
          <w:sz w:val="18"/>
        </w:rPr>
        <w:t>y</w:t>
      </w:r>
      <w:r>
        <w:rPr>
          <w:color w:val="231F20"/>
          <w:spacing w:val="-14"/>
          <w:w w:val="105"/>
          <w:sz w:val="18"/>
        </w:rPr>
        <w:t> </w:t>
      </w:r>
      <w:r>
        <w:rPr>
          <w:color w:val="231F20"/>
          <w:w w:val="105"/>
          <w:sz w:val="18"/>
        </w:rPr>
        <w:t>Administración</w:t>
      </w:r>
      <w:r>
        <w:rPr>
          <w:color w:val="231F20"/>
          <w:spacing w:val="-14"/>
          <w:w w:val="105"/>
          <w:sz w:val="18"/>
        </w:rPr>
        <w:t> </w:t>
      </w:r>
      <w:r>
        <w:rPr>
          <w:color w:val="231F20"/>
          <w:w w:val="105"/>
          <w:sz w:val="18"/>
        </w:rPr>
        <w:t>Pública,</w:t>
      </w:r>
      <w:r>
        <w:rPr>
          <w:color w:val="231F20"/>
          <w:spacing w:val="-14"/>
          <w:w w:val="105"/>
          <w:sz w:val="18"/>
        </w:rPr>
        <w:t> </w:t>
      </w:r>
      <w:r>
        <w:rPr>
          <w:color w:val="231F20"/>
          <w:w w:val="105"/>
          <w:sz w:val="18"/>
        </w:rPr>
        <w:t>UNAM-FCPyS,</w:t>
      </w:r>
      <w:r>
        <w:rPr>
          <w:color w:val="231F20"/>
          <w:spacing w:val="-14"/>
          <w:w w:val="105"/>
          <w:sz w:val="18"/>
        </w:rPr>
        <w:t> </w:t>
      </w:r>
      <w:r>
        <w:rPr>
          <w:color w:val="231F20"/>
          <w:spacing w:val="-3"/>
          <w:w w:val="105"/>
          <w:sz w:val="18"/>
        </w:rPr>
        <w:t>169</w:t>
      </w:r>
      <w:r>
        <w:rPr>
          <w:color w:val="231F20"/>
          <w:spacing w:val="-14"/>
          <w:w w:val="105"/>
          <w:sz w:val="18"/>
        </w:rPr>
        <w:t> </w:t>
      </w:r>
      <w:r>
        <w:rPr>
          <w:color w:val="231F20"/>
          <w:w w:val="105"/>
          <w:sz w:val="18"/>
        </w:rPr>
        <w:t>p.</w:t>
      </w:r>
    </w:p>
    <w:p>
      <w:pPr>
        <w:spacing w:line="348" w:lineRule="auto" w:before="3"/>
        <w:ind w:left="393" w:right="159" w:hanging="284"/>
        <w:jc w:val="left"/>
        <w:rPr>
          <w:sz w:val="18"/>
        </w:rPr>
      </w:pPr>
      <w:r>
        <w:rPr>
          <w:color w:val="231F20"/>
          <w:w w:val="105"/>
          <w:sz w:val="18"/>
        </w:rPr>
        <w:t>GUZMÁN VÁZQUEZ, Norma Judith, Implementación de políticas públicas para la modernización administrativa municipal en Tlalnepantla de Baz 1994-2006, México, Tesis de Licenciatura</w:t>
      </w:r>
    </w:p>
    <w:p>
      <w:pPr>
        <w:spacing w:before="3"/>
        <w:ind w:left="393" w:right="1090" w:firstLine="0"/>
        <w:jc w:val="left"/>
        <w:rPr>
          <w:sz w:val="18"/>
        </w:rPr>
      </w:pPr>
      <w:r>
        <w:rPr>
          <w:color w:val="231F20"/>
          <w:w w:val="105"/>
          <w:sz w:val="18"/>
        </w:rPr>
        <w:t>en Ciencias Políticas y Administración Pública, UNAM, FES Acatlán, 2007, 123 p.</w:t>
      </w:r>
    </w:p>
    <w:p>
      <w:pPr>
        <w:pStyle w:val="BodyText"/>
        <w:rPr>
          <w:sz w:val="25"/>
        </w:rPr>
      </w:pPr>
    </w:p>
    <w:p>
      <w:pPr>
        <w:pStyle w:val="Heading4"/>
        <w:ind w:right="1090"/>
        <w:jc w:val="left"/>
        <w:rPr>
          <w:i/>
        </w:rPr>
      </w:pPr>
      <w:r>
        <w:rPr>
          <w:i/>
          <w:color w:val="231F20"/>
        </w:rPr>
        <w:t>Artículos de Revista</w:t>
      </w:r>
    </w:p>
    <w:p>
      <w:pPr>
        <w:spacing w:line="348" w:lineRule="auto" w:before="54"/>
        <w:ind w:left="393" w:right="433" w:hanging="284"/>
        <w:jc w:val="left"/>
        <w:rPr>
          <w:sz w:val="18"/>
        </w:rPr>
      </w:pPr>
      <w:r>
        <w:rPr>
          <w:color w:val="231F20"/>
          <w:sz w:val="18"/>
        </w:rPr>
        <w:t>CLEARY, MATTHEW R., “Competencia electoral, influencia ciudadana y desempeño del gobierno  en los municipios mexicanos”, en: “Política y Gobierno”, México, CIDE, </w:t>
      </w:r>
      <w:r>
        <w:rPr>
          <w:color w:val="231F20"/>
          <w:spacing w:val="-3"/>
          <w:sz w:val="18"/>
        </w:rPr>
        <w:t>Vol. </w:t>
      </w:r>
      <w:r>
        <w:rPr>
          <w:color w:val="231F20"/>
          <w:sz w:val="18"/>
        </w:rPr>
        <w:t>X, Núm. </w:t>
      </w:r>
      <w:r>
        <w:rPr>
          <w:color w:val="231F20"/>
          <w:spacing w:val="12"/>
          <w:sz w:val="18"/>
        </w:rPr>
        <w:t> </w:t>
      </w:r>
      <w:r>
        <w:rPr>
          <w:color w:val="231F20"/>
          <w:sz w:val="18"/>
        </w:rPr>
        <w:t>1,</w:t>
      </w:r>
    </w:p>
    <w:p>
      <w:pPr>
        <w:spacing w:before="3"/>
        <w:ind w:left="393" w:right="1090" w:firstLine="0"/>
        <w:jc w:val="left"/>
        <w:rPr>
          <w:sz w:val="18"/>
        </w:rPr>
      </w:pPr>
      <w:r>
        <w:rPr>
          <w:color w:val="231F20"/>
          <w:w w:val="105"/>
          <w:sz w:val="18"/>
        </w:rPr>
        <w:t>I Semestre de 2003, p. 183 - 217.</w:t>
      </w:r>
    </w:p>
    <w:p>
      <w:pPr>
        <w:spacing w:before="93"/>
        <w:ind w:left="110" w:right="159" w:firstLine="0"/>
        <w:jc w:val="left"/>
        <w:rPr>
          <w:sz w:val="18"/>
        </w:rPr>
      </w:pPr>
      <w:r>
        <w:rPr>
          <w:color w:val="231F20"/>
          <w:w w:val="105"/>
          <w:sz w:val="18"/>
        </w:rPr>
        <w:t>HOYOS CASTILLO, Guadalupe, “La periferia mexiquense en la apertura de la economía urbana</w:t>
      </w:r>
    </w:p>
    <w:p>
      <w:pPr>
        <w:spacing w:line="348" w:lineRule="auto" w:before="93"/>
        <w:ind w:left="393" w:right="159" w:firstLine="0"/>
        <w:jc w:val="left"/>
        <w:rPr>
          <w:sz w:val="18"/>
        </w:rPr>
      </w:pPr>
      <w:r>
        <w:rPr>
          <w:color w:val="231F20"/>
          <w:sz w:val="18"/>
        </w:rPr>
        <w:t>de la Ciudad de México”, en: “Papeles de Población”, México, UAEM, enero-marzo, Núm. 23, 2000, p. 88. pp. 71-92.</w:t>
      </w:r>
    </w:p>
    <w:p>
      <w:pPr>
        <w:spacing w:after="0" w:line="348" w:lineRule="auto"/>
        <w:jc w:val="left"/>
        <w:rPr>
          <w:sz w:val="18"/>
        </w:rPr>
        <w:sectPr>
          <w:pgSz w:w="9640" w:h="12190"/>
          <w:pgMar w:header="0" w:footer="683" w:top="1120" w:bottom="940" w:left="740" w:right="940"/>
        </w:sectPr>
      </w:pPr>
    </w:p>
    <w:p>
      <w:pPr>
        <w:pStyle w:val="BodyText"/>
        <w:spacing w:before="6"/>
        <w:rPr>
          <w:sz w:val="13"/>
        </w:rPr>
      </w:pPr>
    </w:p>
    <w:p>
      <w:pPr>
        <w:spacing w:line="348" w:lineRule="auto" w:before="47"/>
        <w:ind w:left="393" w:right="0" w:hanging="284"/>
        <w:jc w:val="left"/>
        <w:rPr>
          <w:sz w:val="18"/>
        </w:rPr>
      </w:pPr>
      <w:r>
        <w:rPr>
          <w:color w:val="231F20"/>
          <w:sz w:val="18"/>
        </w:rPr>
        <w:t>MENDOZA AYALA, Rubén y Teresa GARDUÑO SUÁREZ, “Un modelo de nueva gestión gubernamental. El gobierno electrónico al servicio de los ciudadanos”, en:</w:t>
      </w:r>
    </w:p>
    <w:p>
      <w:pPr>
        <w:spacing w:before="3"/>
        <w:ind w:left="393" w:right="0" w:firstLine="0"/>
        <w:jc w:val="left"/>
        <w:rPr>
          <w:sz w:val="18"/>
        </w:rPr>
      </w:pPr>
      <w:r>
        <w:rPr>
          <w:color w:val="231F20"/>
          <w:sz w:val="18"/>
        </w:rPr>
        <w:t>“Revista IAPEM”, México, INAP, mayo – agosto, 2002, Núm. 52, pp. 109 - 132.</w:t>
      </w:r>
    </w:p>
    <w:p>
      <w:pPr>
        <w:pStyle w:val="BodyText"/>
        <w:rPr>
          <w:sz w:val="25"/>
        </w:rPr>
      </w:pPr>
    </w:p>
    <w:p>
      <w:pPr>
        <w:pStyle w:val="Heading4"/>
        <w:jc w:val="left"/>
        <w:rPr>
          <w:i/>
        </w:rPr>
      </w:pPr>
      <w:r>
        <w:rPr>
          <w:i/>
          <w:color w:val="231F20"/>
          <w:w w:val="105"/>
        </w:rPr>
        <w:t>Hemerografía</w:t>
      </w:r>
    </w:p>
    <w:p>
      <w:pPr>
        <w:spacing w:before="54"/>
        <w:ind w:left="110" w:right="0" w:firstLine="0"/>
        <w:jc w:val="left"/>
        <w:rPr>
          <w:sz w:val="18"/>
        </w:rPr>
      </w:pPr>
      <w:r>
        <w:rPr>
          <w:color w:val="231F20"/>
          <w:sz w:val="18"/>
        </w:rPr>
        <w:t>El Universal 1996 – 2008.</w:t>
      </w:r>
    </w:p>
    <w:p>
      <w:pPr>
        <w:pStyle w:val="BodyText"/>
        <w:rPr>
          <w:sz w:val="25"/>
        </w:rPr>
      </w:pPr>
    </w:p>
    <w:p>
      <w:pPr>
        <w:pStyle w:val="Heading4"/>
        <w:jc w:val="left"/>
        <w:rPr>
          <w:i/>
        </w:rPr>
      </w:pPr>
      <w:r>
        <w:rPr>
          <w:i/>
          <w:color w:val="231F20"/>
        </w:rPr>
        <w:t>Páginas electrónicas</w:t>
      </w:r>
    </w:p>
    <w:p>
      <w:pPr>
        <w:spacing w:line="348" w:lineRule="auto" w:before="54"/>
        <w:ind w:left="110" w:right="0" w:firstLine="0"/>
        <w:jc w:val="left"/>
        <w:rPr>
          <w:sz w:val="18"/>
        </w:rPr>
      </w:pPr>
      <w:hyperlink r:id="rId668">
        <w:r>
          <w:rPr>
            <w:color w:val="231F20"/>
            <w:w w:val="105"/>
            <w:sz w:val="18"/>
          </w:rPr>
          <w:t>http://www.e-gobierno.gob.mx/</w:t>
        </w:r>
      </w:hyperlink>
      <w:r>
        <w:rPr>
          <w:color w:val="231F20"/>
          <w:w w:val="105"/>
          <w:sz w:val="18"/>
        </w:rPr>
        <w:t> </w:t>
      </w:r>
      <w:hyperlink r:id="rId677">
        <w:r>
          <w:rPr>
            <w:color w:val="231F20"/>
            <w:w w:val="105"/>
            <w:sz w:val="18"/>
          </w:rPr>
          <w:t>http://www.ordenjuridico.gob.mx/Estatal/ESTADO%20DE%20MEXICO/Municipios/Tlalnepantla</w:t>
        </w:r>
      </w:hyperlink>
    </w:p>
    <w:p>
      <w:pPr>
        <w:spacing w:line="348" w:lineRule="auto" w:before="3"/>
        <w:ind w:left="110" w:right="1912" w:firstLine="283"/>
        <w:jc w:val="left"/>
        <w:rPr>
          <w:sz w:val="18"/>
        </w:rPr>
      </w:pPr>
      <w:r>
        <w:rPr>
          <w:color w:val="231F20"/>
          <w:w w:val="105"/>
          <w:sz w:val="18"/>
        </w:rPr>
        <w:t>%20de%20Baz/TLABan1.pdf </w:t>
      </w:r>
      <w:hyperlink r:id="rId678">
        <w:r>
          <w:rPr>
            <w:color w:val="231F20"/>
            <w:w w:val="105"/>
            <w:sz w:val="18"/>
          </w:rPr>
          <w:t>http://www.undp.org.mx/desarrollohumano</w:t>
        </w:r>
      </w:hyperlink>
      <w:r>
        <w:rPr>
          <w:color w:val="231F20"/>
          <w:w w:val="105"/>
          <w:sz w:val="18"/>
        </w:rPr>
        <w:t> </w:t>
      </w:r>
      <w:hyperlink r:id="rId671">
        <w:r>
          <w:rPr>
            <w:color w:val="231F20"/>
            <w:w w:val="105"/>
            <w:sz w:val="18"/>
          </w:rPr>
          <w:t>http://www.edomexico.gob.mx/legistel/cnt/bdoest_Tlalnepantla.htm</w:t>
        </w:r>
      </w:hyperlink>
      <w:r>
        <w:rPr>
          <w:color w:val="231F20"/>
          <w:w w:val="105"/>
          <w:sz w:val="18"/>
        </w:rPr>
        <w:t> </w:t>
      </w:r>
      <w:hyperlink r:id="rId673">
        <w:r>
          <w:rPr>
            <w:color w:val="231F20"/>
            <w:w w:val="105"/>
            <w:sz w:val="18"/>
          </w:rPr>
          <w:t>http://www.capfce.gob.mx/</w:t>
        </w:r>
      </w:hyperlink>
      <w:r>
        <w:rPr>
          <w:color w:val="231F20"/>
          <w:w w:val="105"/>
          <w:sz w:val="18"/>
        </w:rPr>
        <w:t> </w:t>
      </w:r>
      <w:hyperlink r:id="rId671">
        <w:r>
          <w:rPr>
            <w:color w:val="231F20"/>
            <w:w w:val="105"/>
            <w:sz w:val="18"/>
          </w:rPr>
          <w:t>http://www.edomexico.gob.mx/legistel/cnt/bdoest_Tlalnepantla.htm</w:t>
        </w:r>
      </w:hyperlink>
    </w:p>
    <w:p>
      <w:pPr>
        <w:spacing w:line="348" w:lineRule="auto" w:before="3"/>
        <w:ind w:left="110" w:right="0" w:firstLine="0"/>
        <w:jc w:val="left"/>
        <w:rPr>
          <w:sz w:val="18"/>
        </w:rPr>
      </w:pPr>
      <w:hyperlink r:id="rId674">
        <w:r>
          <w:rPr>
            <w:color w:val="231F20"/>
            <w:w w:val="105"/>
            <w:sz w:val="18"/>
          </w:rPr>
          <w:t>http://www.ciudadnorte.info/746/afirma-ayuntamiento-de-tlalnepantla-ser-transparente/index.html</w:t>
        </w:r>
      </w:hyperlink>
      <w:r>
        <w:rPr>
          <w:color w:val="231F20"/>
          <w:w w:val="105"/>
          <w:sz w:val="18"/>
        </w:rPr>
        <w:t> </w:t>
      </w:r>
      <w:hyperlink r:id="rId138">
        <w:r>
          <w:rPr>
            <w:color w:val="231F20"/>
            <w:w w:val="105"/>
            <w:sz w:val="18"/>
          </w:rPr>
          <w:t>http://www.conapo.gob.mx/</w:t>
        </w:r>
      </w:hyperlink>
    </w:p>
    <w:p>
      <w:pPr>
        <w:spacing w:line="348" w:lineRule="auto" w:before="3"/>
        <w:ind w:left="110" w:right="3349" w:firstLine="0"/>
        <w:jc w:val="left"/>
        <w:rPr>
          <w:sz w:val="18"/>
        </w:rPr>
      </w:pPr>
      <w:hyperlink r:id="rId141">
        <w:r>
          <w:rPr>
            <w:color w:val="231F20"/>
            <w:w w:val="105"/>
            <w:sz w:val="18"/>
          </w:rPr>
          <w:t>http://www.inegi.gob.mx/</w:t>
        </w:r>
      </w:hyperlink>
      <w:r>
        <w:rPr>
          <w:color w:val="231F20"/>
          <w:w w:val="105"/>
          <w:sz w:val="18"/>
        </w:rPr>
        <w:t> </w:t>
      </w:r>
      <w:hyperlink r:id="rId679">
        <w:r>
          <w:rPr>
            <w:color w:val="231F20"/>
            <w:w w:val="105"/>
            <w:sz w:val="18"/>
          </w:rPr>
          <w:t>http://www.tlalnepantla.gob.mx/</w:t>
        </w:r>
      </w:hyperlink>
    </w:p>
    <w:p>
      <w:pPr>
        <w:spacing w:after="0" w:line="348" w:lineRule="auto"/>
        <w:jc w:val="left"/>
        <w:rPr>
          <w:sz w:val="18"/>
        </w:rPr>
        <w:sectPr>
          <w:pgSz w:w="9640" w:h="12190"/>
          <w:pgMar w:header="0" w:footer="683" w:top="1120" w:bottom="940" w:left="740" w:right="1040"/>
        </w:sectPr>
      </w:pPr>
    </w:p>
    <w:p>
      <w:pPr>
        <w:pStyle w:val="BodyText"/>
        <w:spacing w:before="3"/>
        <w:rPr>
          <w:sz w:val="9"/>
        </w:rPr>
      </w:pPr>
    </w:p>
    <w:p>
      <w:pPr>
        <w:spacing w:after="0"/>
        <w:rPr>
          <w:sz w:val="9"/>
        </w:rPr>
        <w:sectPr>
          <w:pgSz w:w="9640" w:h="12190"/>
          <w:pgMar w:header="0" w:footer="683" w:top="1120" w:bottom="940" w:left="740" w:right="1020"/>
        </w:sectPr>
      </w:pPr>
    </w:p>
    <w:p>
      <w:pPr>
        <w:pStyle w:val="Heading3"/>
        <w:spacing w:before="21"/>
        <w:ind w:right="-11"/>
        <w:jc w:val="left"/>
      </w:pPr>
      <w:r>
        <w:rPr>
          <w:color w:val="231F20"/>
          <w:spacing w:val="-2"/>
          <w:w w:val="105"/>
        </w:rPr>
        <w:t>Anexos</w:t>
      </w:r>
    </w:p>
    <w:p>
      <w:pPr>
        <w:pStyle w:val="BodyText"/>
        <w:spacing w:before="2"/>
        <w:rPr>
          <w:b/>
          <w:sz w:val="31"/>
        </w:rPr>
      </w:pPr>
      <w:r>
        <w:rPr/>
        <w:br w:type="column"/>
      </w:r>
      <w:r>
        <w:rPr>
          <w:b/>
          <w:sz w:val="31"/>
        </w:rPr>
      </w:r>
    </w:p>
    <w:p>
      <w:pPr>
        <w:pStyle w:val="Heading5"/>
        <w:ind w:left="110" w:right="0"/>
      </w:pPr>
      <w:r>
        <w:rPr>
          <w:color w:val="231F20"/>
          <w:w w:val="105"/>
        </w:rPr>
        <w:t>Funcionarios de la Presidencia Municipal</w:t>
      </w:r>
    </w:p>
    <w:p>
      <w:pPr>
        <w:spacing w:after="0"/>
        <w:sectPr>
          <w:type w:val="continuous"/>
          <w:pgSz w:w="9640" w:h="12190"/>
          <w:pgMar w:top="0" w:bottom="0" w:left="740" w:right="1020"/>
          <w:cols w:num="2" w:equalWidth="0">
            <w:col w:w="957" w:space="1003"/>
            <w:col w:w="5920"/>
          </w:cols>
        </w:sectPr>
      </w:pPr>
    </w:p>
    <w:p>
      <w:pPr>
        <w:pStyle w:val="BodyText"/>
        <w:spacing w:before="9"/>
        <w:rPr>
          <w:b/>
          <w:sz w:val="2"/>
        </w:rPr>
      </w:pPr>
    </w:p>
    <w:tbl>
      <w:tblPr>
        <w:tblW w:w="0" w:type="auto"/>
        <w:jc w:val="left"/>
        <w:tblInd w:w="3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85"/>
        <w:gridCol w:w="3591"/>
      </w:tblGrid>
      <w:tr>
        <w:trPr>
          <w:trHeight w:val="216" w:hRule="exact"/>
        </w:trPr>
        <w:tc>
          <w:tcPr>
            <w:tcW w:w="3785" w:type="dxa"/>
            <w:tcBorders>
              <w:bottom w:val="single" w:sz="5" w:space="0" w:color="FFFFFF"/>
            </w:tcBorders>
            <w:shd w:val="clear" w:color="auto" w:fill="939598"/>
          </w:tcPr>
          <w:p>
            <w:pPr>
              <w:pStyle w:val="TableParagraph"/>
              <w:spacing w:before="12"/>
              <w:ind w:left="1743" w:right="1639"/>
              <w:jc w:val="center"/>
              <w:rPr>
                <w:b/>
                <w:sz w:val="16"/>
              </w:rPr>
            </w:pPr>
            <w:r>
              <w:rPr>
                <w:b/>
                <w:color w:val="231F20"/>
                <w:w w:val="95"/>
                <w:sz w:val="16"/>
              </w:rPr>
              <w:t>Cargo</w:t>
            </w:r>
          </w:p>
        </w:tc>
        <w:tc>
          <w:tcPr>
            <w:tcW w:w="3591" w:type="dxa"/>
            <w:tcBorders>
              <w:bottom w:val="single" w:sz="5" w:space="0" w:color="FFFFFF"/>
            </w:tcBorders>
            <w:shd w:val="clear" w:color="auto" w:fill="939598"/>
          </w:tcPr>
          <w:p>
            <w:pPr>
              <w:pStyle w:val="TableParagraph"/>
              <w:spacing w:before="12"/>
              <w:ind w:left="1619" w:right="1517"/>
              <w:jc w:val="center"/>
              <w:rPr>
                <w:b/>
                <w:sz w:val="16"/>
              </w:rPr>
            </w:pPr>
            <w:r>
              <w:rPr>
                <w:b/>
                <w:color w:val="231F20"/>
                <w:w w:val="95"/>
                <w:sz w:val="16"/>
              </w:rPr>
              <w:t>Titular</w:t>
            </w:r>
          </w:p>
        </w:tc>
      </w:tr>
      <w:tr>
        <w:trPr>
          <w:trHeight w:val="158" w:hRule="exact"/>
        </w:trPr>
        <w:tc>
          <w:tcPr>
            <w:tcW w:w="3785" w:type="dxa"/>
            <w:tcBorders>
              <w:top w:val="single" w:sz="5" w:space="0" w:color="FFFFFF"/>
            </w:tcBorders>
            <w:shd w:val="clear" w:color="auto" w:fill="F3F3F3"/>
          </w:tcPr>
          <w:p>
            <w:pPr>
              <w:pStyle w:val="TableParagraph"/>
              <w:spacing w:line="166" w:lineRule="exact"/>
              <w:ind w:left="15"/>
              <w:rPr>
                <w:sz w:val="16"/>
              </w:rPr>
            </w:pPr>
            <w:r>
              <w:rPr>
                <w:color w:val="231F20"/>
                <w:w w:val="75"/>
                <w:sz w:val="16"/>
              </w:rPr>
              <w:t>PRESIDENTE MUNICIPAL</w:t>
            </w:r>
          </w:p>
        </w:tc>
        <w:tc>
          <w:tcPr>
            <w:tcW w:w="3591" w:type="dxa"/>
            <w:tcBorders>
              <w:top w:val="single" w:sz="5" w:space="0" w:color="FFFFFF"/>
            </w:tcBorders>
            <w:shd w:val="clear" w:color="auto" w:fill="F3F3F3"/>
          </w:tcPr>
          <w:p>
            <w:pPr>
              <w:pStyle w:val="TableParagraph"/>
              <w:spacing w:line="166" w:lineRule="exact"/>
              <w:ind w:left="117"/>
              <w:rPr>
                <w:sz w:val="16"/>
              </w:rPr>
            </w:pPr>
            <w:r>
              <w:rPr>
                <w:color w:val="231F20"/>
                <w:w w:val="75"/>
                <w:sz w:val="16"/>
              </w:rPr>
              <w:t>LIC. MARCO ANTONIO RODRÍGUEZ HURTADO</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SECRETARÍA PARTICULAR</w:t>
            </w:r>
          </w:p>
        </w:tc>
        <w:tc>
          <w:tcPr>
            <w:tcW w:w="3591" w:type="dxa"/>
            <w:shd w:val="clear" w:color="auto" w:fill="F3F3F3"/>
          </w:tcPr>
          <w:p>
            <w:pPr>
              <w:pStyle w:val="TableParagraph"/>
              <w:spacing w:line="164" w:lineRule="exact"/>
              <w:ind w:left="117"/>
              <w:rPr>
                <w:sz w:val="16"/>
              </w:rPr>
            </w:pPr>
            <w:r>
              <w:rPr>
                <w:color w:val="231F20"/>
                <w:w w:val="75"/>
                <w:sz w:val="16"/>
              </w:rPr>
              <w:t>LIC. LUIS ENRIQUE RODRÍGUEZ MARTÍNEZ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ATENCION CIUDADANA</w:t>
            </w:r>
          </w:p>
        </w:tc>
        <w:tc>
          <w:tcPr>
            <w:tcW w:w="3591" w:type="dxa"/>
            <w:shd w:val="clear" w:color="auto" w:fill="F3F3F3"/>
          </w:tcPr>
          <w:p>
            <w:pPr>
              <w:pStyle w:val="TableParagraph"/>
              <w:spacing w:line="164" w:lineRule="exact"/>
              <w:ind w:left="117"/>
              <w:rPr>
                <w:sz w:val="16"/>
              </w:rPr>
            </w:pPr>
            <w:r>
              <w:rPr>
                <w:color w:val="231F20"/>
                <w:w w:val="75"/>
                <w:sz w:val="16"/>
              </w:rPr>
              <w:t>PROFA. YOLANDA NAVARRO CORONA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GIRAS Y EVENTOS</w:t>
            </w:r>
          </w:p>
        </w:tc>
        <w:tc>
          <w:tcPr>
            <w:tcW w:w="3591" w:type="dxa"/>
            <w:shd w:val="clear" w:color="auto" w:fill="F3F3F3"/>
          </w:tcPr>
          <w:p>
            <w:pPr>
              <w:pStyle w:val="TableParagraph"/>
              <w:spacing w:line="164" w:lineRule="exact"/>
              <w:ind w:left="117"/>
              <w:rPr>
                <w:sz w:val="16"/>
              </w:rPr>
            </w:pPr>
            <w:r>
              <w:rPr>
                <w:color w:val="231F20"/>
                <w:w w:val="75"/>
                <w:sz w:val="16"/>
              </w:rPr>
              <w:t>C. JUAN MANUEL MOLINA ESPAÑA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0"/>
                <w:sz w:val="16"/>
              </w:rPr>
              <w:t>COORD. DE COMUNICACIÓN SOCIAL</w:t>
            </w:r>
          </w:p>
        </w:tc>
        <w:tc>
          <w:tcPr>
            <w:tcW w:w="3591" w:type="dxa"/>
            <w:shd w:val="clear" w:color="auto" w:fill="F3F3F3"/>
          </w:tcPr>
          <w:p>
            <w:pPr>
              <w:pStyle w:val="TableParagraph"/>
              <w:spacing w:line="164" w:lineRule="exact"/>
              <w:ind w:left="117"/>
              <w:rPr>
                <w:sz w:val="16"/>
              </w:rPr>
            </w:pPr>
            <w:r>
              <w:rPr>
                <w:color w:val="231F20"/>
                <w:w w:val="75"/>
                <w:sz w:val="16"/>
              </w:rPr>
              <w:t>LIC. GABRIEL VEGA VELÁZQUEZ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RELACIONES PÚBLICAS E INST</w:t>
            </w:r>
          </w:p>
        </w:tc>
        <w:tc>
          <w:tcPr>
            <w:tcW w:w="3591" w:type="dxa"/>
            <w:shd w:val="clear" w:color="auto" w:fill="F3F3F3"/>
          </w:tcPr>
          <w:p>
            <w:pPr>
              <w:pStyle w:val="TableParagraph"/>
              <w:spacing w:line="164" w:lineRule="exact"/>
              <w:ind w:left="117"/>
              <w:rPr>
                <w:sz w:val="16"/>
              </w:rPr>
            </w:pPr>
            <w:r>
              <w:rPr>
                <w:color w:val="231F20"/>
                <w:w w:val="75"/>
                <w:sz w:val="16"/>
              </w:rPr>
              <w:t>LIC. MARGARITA COVARRUBIAS ZAVALA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COORDINADOR GENERAL DE SISTEMAS</w:t>
            </w:r>
          </w:p>
        </w:tc>
        <w:tc>
          <w:tcPr>
            <w:tcW w:w="3591" w:type="dxa"/>
            <w:shd w:val="clear" w:color="auto" w:fill="F3F3F3"/>
          </w:tcPr>
          <w:p>
            <w:pPr>
              <w:pStyle w:val="TableParagraph"/>
              <w:spacing w:line="164" w:lineRule="exact"/>
              <w:ind w:left="117"/>
              <w:rPr>
                <w:sz w:val="16"/>
              </w:rPr>
            </w:pPr>
            <w:r>
              <w:rPr>
                <w:color w:val="231F20"/>
                <w:w w:val="75"/>
                <w:sz w:val="16"/>
              </w:rPr>
              <w:t>C. ARTURO AGUILERA GARCÍA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REDES</w:t>
            </w:r>
          </w:p>
        </w:tc>
        <w:tc>
          <w:tcPr>
            <w:tcW w:w="3591" w:type="dxa"/>
            <w:shd w:val="clear" w:color="auto" w:fill="F3F3F3"/>
          </w:tcPr>
          <w:p>
            <w:pPr>
              <w:pStyle w:val="TableParagraph"/>
              <w:spacing w:line="164" w:lineRule="exact"/>
              <w:ind w:left="117"/>
              <w:rPr>
                <w:sz w:val="16"/>
              </w:rPr>
            </w:pPr>
            <w:r>
              <w:rPr>
                <w:color w:val="231F20"/>
                <w:w w:val="75"/>
                <w:sz w:val="16"/>
              </w:rPr>
              <w:t>C. MANUEL SERRANO MARTÍNEZ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SOPORTE TÉCNICO A USUARIOS</w:t>
            </w:r>
          </w:p>
        </w:tc>
        <w:tc>
          <w:tcPr>
            <w:tcW w:w="3591" w:type="dxa"/>
            <w:shd w:val="clear" w:color="auto" w:fill="F3F3F3"/>
          </w:tcPr>
          <w:p>
            <w:pPr>
              <w:pStyle w:val="TableParagraph"/>
              <w:spacing w:line="164" w:lineRule="exact"/>
              <w:ind w:left="117"/>
              <w:rPr>
                <w:sz w:val="16"/>
              </w:rPr>
            </w:pPr>
            <w:r>
              <w:rPr>
                <w:color w:val="231F20"/>
                <w:w w:val="75"/>
                <w:sz w:val="16"/>
              </w:rPr>
              <w:t>P.D. LIC. FRANCISCO CANO GONZÁLEZ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ENLACE ADMINISTRATIVO</w:t>
            </w:r>
          </w:p>
        </w:tc>
        <w:tc>
          <w:tcPr>
            <w:tcW w:w="3591" w:type="dxa"/>
            <w:shd w:val="clear" w:color="auto" w:fill="F3F3F3"/>
          </w:tcPr>
          <w:p>
            <w:pPr>
              <w:pStyle w:val="TableParagraph"/>
              <w:spacing w:line="164" w:lineRule="exact"/>
              <w:ind w:left="117"/>
              <w:rPr>
                <w:sz w:val="16"/>
              </w:rPr>
            </w:pPr>
            <w:r>
              <w:rPr>
                <w:color w:val="231F20"/>
                <w:w w:val="75"/>
                <w:sz w:val="16"/>
              </w:rPr>
              <w:t>C. FERNANDO RODRIGO ROSALES RAMIREZ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DESARROLLO DE SIST Y RECAUD</w:t>
            </w:r>
          </w:p>
        </w:tc>
        <w:tc>
          <w:tcPr>
            <w:tcW w:w="3591" w:type="dxa"/>
            <w:shd w:val="clear" w:color="auto" w:fill="F3F3F3"/>
          </w:tcPr>
          <w:p>
            <w:pPr>
              <w:pStyle w:val="TableParagraph"/>
              <w:spacing w:line="164" w:lineRule="exact"/>
              <w:ind w:left="117"/>
              <w:rPr>
                <w:sz w:val="16"/>
              </w:rPr>
            </w:pPr>
            <w:r>
              <w:rPr>
                <w:color w:val="231F20"/>
                <w:w w:val="75"/>
                <w:sz w:val="16"/>
              </w:rPr>
              <w:t>P.D. LIC. PABLO ROBERTO ZEPEDA MONTOYA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CONTROL DE GESTIÓN</w:t>
            </w:r>
          </w:p>
        </w:tc>
        <w:tc>
          <w:tcPr>
            <w:tcW w:w="3591" w:type="dxa"/>
            <w:shd w:val="clear" w:color="auto" w:fill="F3F3F3"/>
          </w:tcPr>
          <w:p>
            <w:pPr>
              <w:pStyle w:val="TableParagraph"/>
              <w:spacing w:line="164" w:lineRule="exact"/>
              <w:ind w:left="117"/>
              <w:rPr>
                <w:sz w:val="16"/>
              </w:rPr>
            </w:pPr>
            <w:r>
              <w:rPr>
                <w:color w:val="231F20"/>
                <w:w w:val="75"/>
                <w:sz w:val="16"/>
              </w:rPr>
              <w:t>LIC. MARCELA MILANO ORDÓÑEZ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ANÁLISIS Y REVISION DOCUMENTAL</w:t>
            </w:r>
          </w:p>
        </w:tc>
        <w:tc>
          <w:tcPr>
            <w:tcW w:w="3591" w:type="dxa"/>
            <w:shd w:val="clear" w:color="auto" w:fill="F3F3F3"/>
          </w:tcPr>
          <w:p>
            <w:pPr>
              <w:pStyle w:val="TableParagraph"/>
              <w:spacing w:line="164" w:lineRule="exact"/>
              <w:ind w:left="117"/>
              <w:rPr>
                <w:sz w:val="16"/>
              </w:rPr>
            </w:pPr>
            <w:r>
              <w:rPr>
                <w:color w:val="231F20"/>
                <w:w w:val="75"/>
                <w:sz w:val="16"/>
              </w:rPr>
              <w:t>LIC. JOSE GERARDO CELESTINO SÁNCHEZ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AGENDA</w:t>
            </w:r>
          </w:p>
        </w:tc>
        <w:tc>
          <w:tcPr>
            <w:tcW w:w="3591" w:type="dxa"/>
            <w:shd w:val="clear" w:color="auto" w:fill="F3F3F3"/>
          </w:tcPr>
          <w:p>
            <w:pP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REDACCI´´ON</w:t>
            </w:r>
          </w:p>
        </w:tc>
        <w:tc>
          <w:tcPr>
            <w:tcW w:w="3591" w:type="dxa"/>
            <w:shd w:val="clear" w:color="auto" w:fill="F3F3F3"/>
          </w:tcPr>
          <w:p>
            <w:pPr>
              <w:pStyle w:val="TableParagraph"/>
              <w:spacing w:line="164" w:lineRule="exact"/>
              <w:ind w:left="117"/>
              <w:rPr>
                <w:sz w:val="16"/>
              </w:rPr>
            </w:pPr>
            <w:r>
              <w:rPr>
                <w:color w:val="231F20"/>
                <w:w w:val="75"/>
                <w:sz w:val="16"/>
              </w:rPr>
              <w:t>LIC. RICARDO AGUSTÍN FLORES MIRANDA</w:t>
            </w:r>
          </w:p>
        </w:tc>
      </w:tr>
      <w:tr>
        <w:trPr>
          <w:trHeight w:val="150" w:hRule="exact"/>
        </w:trPr>
        <w:tc>
          <w:tcPr>
            <w:tcW w:w="3785" w:type="dxa"/>
            <w:shd w:val="clear" w:color="auto" w:fill="F3F3F3"/>
          </w:tcPr>
          <w:p>
            <w:pPr>
              <w:pStyle w:val="TableParagraph"/>
              <w:spacing w:line="164" w:lineRule="exact"/>
              <w:ind w:left="15"/>
              <w:rPr>
                <w:sz w:val="16"/>
              </w:rPr>
            </w:pPr>
            <w:r>
              <w:rPr>
                <w:color w:val="231F20"/>
                <w:w w:val="85"/>
                <w:sz w:val="16"/>
              </w:rPr>
              <w:t>COPLADEMUN</w:t>
            </w:r>
          </w:p>
        </w:tc>
        <w:tc>
          <w:tcPr>
            <w:tcW w:w="3591" w:type="dxa"/>
            <w:shd w:val="clear" w:color="auto" w:fill="F3F3F3"/>
          </w:tcPr>
          <w:p>
            <w:pPr>
              <w:pStyle w:val="TableParagraph"/>
              <w:spacing w:line="164" w:lineRule="exact"/>
              <w:ind w:left="117"/>
              <w:rPr>
                <w:sz w:val="16"/>
              </w:rPr>
            </w:pPr>
            <w:r>
              <w:rPr>
                <w:color w:val="231F20"/>
                <w:w w:val="75"/>
                <w:sz w:val="16"/>
              </w:rPr>
              <w:t>LIC. ROGELIO DÍAZ CASTILLO</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INSTITUTO DE APOYO A LA MUJER</w:t>
            </w:r>
          </w:p>
        </w:tc>
        <w:tc>
          <w:tcPr>
            <w:tcW w:w="3591" w:type="dxa"/>
            <w:shd w:val="clear" w:color="auto" w:fill="F3F3F3"/>
          </w:tcPr>
          <w:p>
            <w:pPr>
              <w:pStyle w:val="TableParagraph"/>
              <w:spacing w:line="164" w:lineRule="exact"/>
              <w:ind w:left="117"/>
              <w:rPr>
                <w:sz w:val="16"/>
              </w:rPr>
            </w:pPr>
            <w:r>
              <w:rPr>
                <w:color w:val="231F20"/>
                <w:w w:val="75"/>
                <w:sz w:val="16"/>
              </w:rPr>
              <w:t>LIC. REYNA SOFÍA MATA ESTEVEZ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PRIMER SÍNDICO</w:t>
            </w:r>
          </w:p>
        </w:tc>
        <w:tc>
          <w:tcPr>
            <w:tcW w:w="3591" w:type="dxa"/>
            <w:shd w:val="clear" w:color="auto" w:fill="F3F3F3"/>
          </w:tcPr>
          <w:p>
            <w:pPr>
              <w:pStyle w:val="TableParagraph"/>
              <w:spacing w:line="164" w:lineRule="exact"/>
              <w:ind w:left="117"/>
              <w:rPr>
                <w:sz w:val="16"/>
              </w:rPr>
            </w:pPr>
            <w:r>
              <w:rPr>
                <w:color w:val="231F20"/>
                <w:w w:val="75"/>
                <w:sz w:val="16"/>
              </w:rPr>
              <w:t>LIC. EDGAR PASCOE GUZMÁN</w:t>
            </w:r>
          </w:p>
        </w:tc>
      </w:tr>
      <w:tr>
        <w:trPr>
          <w:trHeight w:val="150" w:hRule="exact"/>
        </w:trPr>
        <w:tc>
          <w:tcPr>
            <w:tcW w:w="3785" w:type="dxa"/>
            <w:shd w:val="clear" w:color="auto" w:fill="F3F3F3"/>
          </w:tcPr>
          <w:p>
            <w:pPr>
              <w:pStyle w:val="TableParagraph"/>
              <w:spacing w:line="164" w:lineRule="exact"/>
              <w:ind w:left="15"/>
              <w:rPr>
                <w:sz w:val="16"/>
              </w:rPr>
            </w:pPr>
            <w:r>
              <w:rPr>
                <w:color w:val="231F20"/>
                <w:w w:val="70"/>
                <w:sz w:val="16"/>
              </w:rPr>
              <w:t>SEGUNDO  SÍNDICO</w:t>
            </w:r>
          </w:p>
        </w:tc>
        <w:tc>
          <w:tcPr>
            <w:tcW w:w="3591" w:type="dxa"/>
            <w:shd w:val="clear" w:color="auto" w:fill="F3F3F3"/>
          </w:tcPr>
          <w:p>
            <w:pPr>
              <w:pStyle w:val="TableParagraph"/>
              <w:spacing w:line="164" w:lineRule="exact"/>
              <w:ind w:left="117"/>
              <w:rPr>
                <w:sz w:val="16"/>
              </w:rPr>
            </w:pPr>
            <w:r>
              <w:rPr>
                <w:color w:val="231F20"/>
                <w:w w:val="75"/>
                <w:sz w:val="16"/>
              </w:rPr>
              <w:t>LIC. ALEJANDRO MONROY ZAMUDIO</w:t>
            </w:r>
          </w:p>
        </w:tc>
      </w:tr>
      <w:tr>
        <w:trPr>
          <w:trHeight w:val="150" w:hRule="exact"/>
        </w:trPr>
        <w:tc>
          <w:tcPr>
            <w:tcW w:w="3785" w:type="dxa"/>
            <w:shd w:val="clear" w:color="auto" w:fill="F3F3F3"/>
          </w:tcPr>
          <w:p>
            <w:pPr>
              <w:pStyle w:val="TableParagraph"/>
              <w:spacing w:line="164" w:lineRule="exact"/>
              <w:ind w:left="15"/>
              <w:rPr>
                <w:sz w:val="16"/>
              </w:rPr>
            </w:pPr>
            <w:r>
              <w:rPr>
                <w:color w:val="231F20"/>
                <w:w w:val="70"/>
                <w:sz w:val="16"/>
              </w:rPr>
              <w:t>TERCER  SÍNDICO</w:t>
            </w:r>
          </w:p>
        </w:tc>
        <w:tc>
          <w:tcPr>
            <w:tcW w:w="3591" w:type="dxa"/>
            <w:shd w:val="clear" w:color="auto" w:fill="F3F3F3"/>
          </w:tcPr>
          <w:p>
            <w:pPr>
              <w:pStyle w:val="TableParagraph"/>
              <w:spacing w:line="164" w:lineRule="exact"/>
              <w:ind w:left="117"/>
              <w:rPr>
                <w:sz w:val="16"/>
              </w:rPr>
            </w:pPr>
            <w:r>
              <w:rPr>
                <w:color w:val="231F20"/>
                <w:w w:val="75"/>
                <w:sz w:val="16"/>
              </w:rPr>
              <w:t>LIC. GABRIELA VALDEPEÑA GONZÁLEZ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0"/>
                <w:sz w:val="16"/>
              </w:rPr>
              <w:t>SECRETARIO DEL  AYUNTAMIENTO</w:t>
            </w:r>
          </w:p>
        </w:tc>
        <w:tc>
          <w:tcPr>
            <w:tcW w:w="3591" w:type="dxa"/>
            <w:shd w:val="clear" w:color="auto" w:fill="F3F3F3"/>
          </w:tcPr>
          <w:p>
            <w:pPr>
              <w:pStyle w:val="TableParagraph"/>
              <w:spacing w:line="164" w:lineRule="exact"/>
              <w:ind w:left="117"/>
              <w:rPr>
                <w:sz w:val="16"/>
              </w:rPr>
            </w:pPr>
            <w:r>
              <w:rPr>
                <w:color w:val="231F20"/>
                <w:w w:val="75"/>
                <w:sz w:val="16"/>
              </w:rPr>
              <w:t>LIC. JOEL DELGADILLO MÁRQUEZ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SUBSECRETARÍA DEL AYUNTAMIENTO</w:t>
            </w:r>
          </w:p>
        </w:tc>
        <w:tc>
          <w:tcPr>
            <w:tcW w:w="3591" w:type="dxa"/>
            <w:shd w:val="clear" w:color="auto" w:fill="F3F3F3"/>
          </w:tcPr>
          <w:p>
            <w:pPr>
              <w:pStyle w:val="TableParagraph"/>
              <w:spacing w:line="164" w:lineRule="exact"/>
              <w:ind w:left="117"/>
              <w:rPr>
                <w:sz w:val="16"/>
              </w:rPr>
            </w:pPr>
            <w:r>
              <w:rPr>
                <w:color w:val="231F20"/>
                <w:w w:val="75"/>
                <w:sz w:val="16"/>
              </w:rPr>
              <w:t>LIC. JOSÉ BARRÓN SERNA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ACTAS, ACUERDOS Y CERTIFICACIONES</w:t>
            </w:r>
          </w:p>
        </w:tc>
        <w:tc>
          <w:tcPr>
            <w:tcW w:w="3591" w:type="dxa"/>
            <w:shd w:val="clear" w:color="auto" w:fill="F3F3F3"/>
          </w:tcPr>
          <w:p>
            <w:pPr>
              <w:pStyle w:val="TableParagraph"/>
              <w:spacing w:line="164" w:lineRule="exact"/>
              <w:ind w:left="117"/>
              <w:rPr>
                <w:sz w:val="16"/>
              </w:rPr>
            </w:pPr>
            <w:r>
              <w:rPr>
                <w:color w:val="231F20"/>
                <w:w w:val="75"/>
                <w:sz w:val="16"/>
              </w:rPr>
              <w:t>C. MARTHA ANGÉLICA LÓPEZ MUÑOZ</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COMISIONES EDILICIAS</w:t>
            </w:r>
          </w:p>
        </w:tc>
        <w:tc>
          <w:tcPr>
            <w:tcW w:w="3591" w:type="dxa"/>
            <w:shd w:val="clear" w:color="auto" w:fill="F3F3F3"/>
          </w:tcPr>
          <w:p>
            <w:pPr>
              <w:pStyle w:val="TableParagraph"/>
              <w:spacing w:line="164" w:lineRule="exact"/>
              <w:ind w:left="117"/>
              <w:rPr>
                <w:sz w:val="16"/>
              </w:rPr>
            </w:pPr>
            <w:r>
              <w:rPr>
                <w:color w:val="231F20"/>
                <w:w w:val="75"/>
                <w:sz w:val="16"/>
              </w:rPr>
              <w:t>C. ADRIANA GOMAR GÓMEZ</w:t>
            </w:r>
          </w:p>
        </w:tc>
      </w:tr>
      <w:tr>
        <w:trPr>
          <w:trHeight w:val="340" w:hRule="exact"/>
        </w:trPr>
        <w:tc>
          <w:tcPr>
            <w:tcW w:w="3785" w:type="dxa"/>
            <w:shd w:val="clear" w:color="auto" w:fill="F3F3F3"/>
          </w:tcPr>
          <w:p>
            <w:pPr>
              <w:pStyle w:val="TableParagraph"/>
              <w:spacing w:line="163" w:lineRule="exact"/>
              <w:ind w:left="15"/>
              <w:rPr>
                <w:sz w:val="16"/>
              </w:rPr>
            </w:pPr>
            <w:r>
              <w:rPr>
                <w:color w:val="231F20"/>
                <w:w w:val="75"/>
                <w:sz w:val="16"/>
              </w:rPr>
              <w:t>DEPTO. DE ENLACE CON EL REGISTRO CIVIL Y OFICIALÍAS CONCILIADORAS Y</w:t>
            </w:r>
          </w:p>
          <w:p>
            <w:pPr>
              <w:pStyle w:val="TableParagraph"/>
              <w:spacing w:line="194" w:lineRule="exact"/>
              <w:ind w:left="15"/>
              <w:rPr>
                <w:sz w:val="16"/>
              </w:rPr>
            </w:pPr>
            <w:r>
              <w:rPr>
                <w:color w:val="231F20"/>
                <w:w w:val="85"/>
                <w:sz w:val="16"/>
              </w:rPr>
              <w:t>CALIFICADORAS</w:t>
            </w:r>
          </w:p>
        </w:tc>
        <w:tc>
          <w:tcPr>
            <w:tcW w:w="3591" w:type="dxa"/>
            <w:shd w:val="clear" w:color="auto" w:fill="F3F3F3"/>
          </w:tcPr>
          <w:p>
            <w:pPr>
              <w:pStyle w:val="TableParagraph"/>
              <w:spacing w:line="164" w:lineRule="exact"/>
              <w:ind w:left="117"/>
              <w:rPr>
                <w:sz w:val="16"/>
              </w:rPr>
            </w:pPr>
            <w:r>
              <w:rPr>
                <w:color w:val="231F20"/>
                <w:w w:val="75"/>
                <w:sz w:val="16"/>
              </w:rPr>
              <w:t>LIC. ÓSCAR MALDONADO RODRÍGUEZ</w:t>
            </w:r>
          </w:p>
        </w:tc>
      </w:tr>
      <w:tr>
        <w:trPr>
          <w:trHeight w:val="152" w:hRule="exact"/>
        </w:trPr>
        <w:tc>
          <w:tcPr>
            <w:tcW w:w="3785" w:type="dxa"/>
            <w:shd w:val="clear" w:color="auto" w:fill="F3F3F3"/>
          </w:tcPr>
          <w:p>
            <w:pPr>
              <w:pStyle w:val="TableParagraph"/>
              <w:spacing w:line="167" w:lineRule="exact"/>
              <w:ind w:left="15"/>
              <w:rPr>
                <w:sz w:val="16"/>
              </w:rPr>
            </w:pPr>
            <w:r>
              <w:rPr>
                <w:color w:val="231F20"/>
                <w:w w:val="75"/>
                <w:sz w:val="16"/>
              </w:rPr>
              <w:t>DEPTO. DE ACCIÓN CÍVICA</w:t>
            </w:r>
          </w:p>
        </w:tc>
        <w:tc>
          <w:tcPr>
            <w:tcW w:w="3591" w:type="dxa"/>
            <w:shd w:val="clear" w:color="auto" w:fill="F3F3F3"/>
          </w:tcPr>
          <w:p>
            <w:pPr>
              <w:pStyle w:val="TableParagraph"/>
              <w:spacing w:line="167" w:lineRule="exact"/>
              <w:ind w:left="117"/>
              <w:rPr>
                <w:sz w:val="16"/>
              </w:rPr>
            </w:pPr>
            <w:r>
              <w:rPr>
                <w:color w:val="231F20"/>
                <w:w w:val="75"/>
                <w:sz w:val="16"/>
              </w:rPr>
              <w:t>C. MARÍA PATRICIA GONZÁLEZ GALVÁN</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SUBSECRETARÍA DE GOBIERNO</w:t>
            </w:r>
          </w:p>
        </w:tc>
        <w:tc>
          <w:tcPr>
            <w:tcW w:w="3591" w:type="dxa"/>
            <w:shd w:val="clear" w:color="auto" w:fill="F3F3F3"/>
          </w:tcPr>
          <w:p>
            <w:pPr>
              <w:pStyle w:val="TableParagraph"/>
              <w:spacing w:line="164" w:lineRule="exact"/>
              <w:ind w:left="117"/>
              <w:rPr>
                <w:sz w:val="16"/>
              </w:rPr>
            </w:pPr>
            <w:r>
              <w:rPr>
                <w:color w:val="231F20"/>
                <w:w w:val="75"/>
                <w:sz w:val="16"/>
              </w:rPr>
              <w:t>LIC. FERNANDO MORALES ZURITA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ATENCIÓN A ORGANIZACIONES DE LA SOCIEDAD CIVIL</w:t>
            </w:r>
          </w:p>
        </w:tc>
        <w:tc>
          <w:tcPr>
            <w:tcW w:w="3591" w:type="dxa"/>
            <w:shd w:val="clear" w:color="auto" w:fill="F3F3F3"/>
          </w:tcPr>
          <w:p>
            <w:pPr>
              <w:pStyle w:val="TableParagraph"/>
              <w:spacing w:line="164" w:lineRule="exact"/>
              <w:ind w:left="117"/>
              <w:rPr>
                <w:sz w:val="16"/>
              </w:rPr>
            </w:pPr>
            <w:r>
              <w:rPr>
                <w:color w:val="231F20"/>
                <w:w w:val="75"/>
                <w:sz w:val="16"/>
              </w:rPr>
              <w:t>C. DANIEL ARTURO PALACIOS ESTRADA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CONCERTACIÓN POLÍTICA</w:t>
            </w:r>
          </w:p>
        </w:tc>
        <w:tc>
          <w:tcPr>
            <w:tcW w:w="3591" w:type="dxa"/>
            <w:shd w:val="clear" w:color="auto" w:fill="F3F3F3"/>
          </w:tcPr>
          <w:p>
            <w:pPr>
              <w:pStyle w:val="TableParagraph"/>
              <w:spacing w:line="164" w:lineRule="exact"/>
              <w:ind w:left="117"/>
              <w:rPr>
                <w:sz w:val="16"/>
              </w:rPr>
            </w:pPr>
            <w:r>
              <w:rPr>
                <w:color w:val="231F20"/>
                <w:w w:val="75"/>
                <w:sz w:val="16"/>
              </w:rPr>
              <w:t>C. GERARDO MARTÍNEZ ESTRADA</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UNIDADES HABITACIONALES</w:t>
            </w:r>
          </w:p>
        </w:tc>
        <w:tc>
          <w:tcPr>
            <w:tcW w:w="3591" w:type="dxa"/>
            <w:shd w:val="clear" w:color="auto" w:fill="F3F3F3"/>
          </w:tcPr>
          <w:p>
            <w:pPr>
              <w:pStyle w:val="TableParagraph"/>
              <w:spacing w:line="164" w:lineRule="exact"/>
              <w:ind w:left="117"/>
              <w:rPr>
                <w:sz w:val="16"/>
              </w:rPr>
            </w:pPr>
            <w:r>
              <w:rPr>
                <w:color w:val="231F20"/>
                <w:w w:val="75"/>
                <w:sz w:val="16"/>
              </w:rPr>
              <w:t>C. ENRIQUE POLO PUIG</w:t>
            </w:r>
          </w:p>
        </w:tc>
      </w:tr>
      <w:tr>
        <w:trPr>
          <w:trHeight w:val="150" w:hRule="exact"/>
        </w:trPr>
        <w:tc>
          <w:tcPr>
            <w:tcW w:w="3785" w:type="dxa"/>
            <w:shd w:val="clear" w:color="auto" w:fill="F3F3F3"/>
          </w:tcPr>
          <w:p>
            <w:pPr>
              <w:pStyle w:val="TableParagraph"/>
              <w:spacing w:line="164" w:lineRule="exact"/>
              <w:ind w:left="15"/>
              <w:rPr>
                <w:sz w:val="16"/>
              </w:rPr>
            </w:pPr>
            <w:r>
              <w:rPr>
                <w:color w:val="231F20"/>
                <w:w w:val="75"/>
                <w:sz w:val="16"/>
              </w:rPr>
              <w:t>DEPTO. DE ORGANISMOS REPRESENTATIVOS</w:t>
            </w:r>
          </w:p>
        </w:tc>
        <w:tc>
          <w:tcPr>
            <w:tcW w:w="3591" w:type="dxa"/>
            <w:shd w:val="clear" w:color="auto" w:fill="F3F3F3"/>
          </w:tcPr>
          <w:p>
            <w:pPr>
              <w:pStyle w:val="TableParagraph"/>
              <w:spacing w:line="164" w:lineRule="exact"/>
              <w:ind w:left="117"/>
              <w:rPr>
                <w:sz w:val="16"/>
              </w:rPr>
            </w:pPr>
            <w:r>
              <w:rPr>
                <w:color w:val="231F20"/>
                <w:w w:val="75"/>
                <w:sz w:val="16"/>
              </w:rPr>
              <w:t>C.BERNABÉ MONTES DE OCA</w:t>
            </w:r>
          </w:p>
        </w:tc>
      </w:tr>
      <w:tr>
        <w:trPr>
          <w:trHeight w:val="139" w:hRule="exact"/>
        </w:trPr>
        <w:tc>
          <w:tcPr>
            <w:tcW w:w="3785" w:type="dxa"/>
            <w:shd w:val="clear" w:color="auto" w:fill="F3F3F3"/>
          </w:tcPr>
          <w:p>
            <w:pPr>
              <w:pStyle w:val="TableParagraph"/>
              <w:spacing w:line="164" w:lineRule="exact"/>
              <w:ind w:left="15"/>
              <w:rPr>
                <w:sz w:val="16"/>
              </w:rPr>
            </w:pPr>
            <w:r>
              <w:rPr>
                <w:color w:val="231F20"/>
                <w:w w:val="70"/>
                <w:sz w:val="16"/>
              </w:rPr>
              <w:t>SUBDIRECCIÓN DE PATRIMONIO  MUNICIPAL</w:t>
            </w:r>
          </w:p>
        </w:tc>
        <w:tc>
          <w:tcPr>
            <w:tcW w:w="3591" w:type="dxa"/>
            <w:shd w:val="clear" w:color="auto" w:fill="F3F3F3"/>
          </w:tcPr>
          <w:p>
            <w:pPr>
              <w:pStyle w:val="TableParagraph"/>
              <w:spacing w:line="164" w:lineRule="exact"/>
              <w:ind w:left="117"/>
              <w:rPr>
                <w:sz w:val="16"/>
              </w:rPr>
            </w:pPr>
            <w:r>
              <w:rPr>
                <w:color w:val="231F20"/>
                <w:w w:val="75"/>
                <w:sz w:val="16"/>
              </w:rPr>
              <w:t>LIC. BENITO SÁNCHEZ PEDRAZA</w:t>
            </w:r>
          </w:p>
        </w:tc>
      </w:tr>
    </w:tbl>
    <w:p>
      <w:pPr>
        <w:spacing w:after="0" w:line="164" w:lineRule="exact"/>
        <w:rPr>
          <w:sz w:val="16"/>
        </w:rPr>
        <w:sectPr>
          <w:type w:val="continuous"/>
          <w:pgSz w:w="9640" w:h="12190"/>
          <w:pgMar w:top="0" w:bottom="0" w:left="740" w:right="1020"/>
        </w:sectPr>
      </w:pPr>
    </w:p>
    <w:p>
      <w:pPr>
        <w:pStyle w:val="BodyText"/>
        <w:spacing w:before="2"/>
        <w:rPr>
          <w:sz w:val="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62"/>
        <w:gridCol w:w="3514"/>
      </w:tblGrid>
      <w:tr>
        <w:trPr>
          <w:trHeight w:val="164" w:hRule="exact"/>
        </w:trPr>
        <w:tc>
          <w:tcPr>
            <w:tcW w:w="3862" w:type="dxa"/>
            <w:shd w:val="clear" w:color="auto" w:fill="F3F3F3"/>
          </w:tcPr>
          <w:p>
            <w:pPr>
              <w:pStyle w:val="TableParagraph"/>
              <w:spacing w:line="178" w:lineRule="exact"/>
              <w:ind w:left="14"/>
              <w:rPr>
                <w:sz w:val="16"/>
              </w:rPr>
            </w:pPr>
            <w:r>
              <w:rPr>
                <w:color w:val="231F20"/>
                <w:w w:val="75"/>
                <w:sz w:val="16"/>
              </w:rPr>
              <w:t>DEPTO. DE BIENES MUEBLES</w:t>
            </w:r>
          </w:p>
        </w:tc>
        <w:tc>
          <w:tcPr>
            <w:tcW w:w="3514" w:type="dxa"/>
            <w:shd w:val="clear" w:color="auto" w:fill="F3F3F3"/>
          </w:tcPr>
          <w:p>
            <w:pPr>
              <w:pStyle w:val="TableParagraph"/>
              <w:spacing w:line="178" w:lineRule="exact"/>
              <w:ind w:left="41"/>
              <w:rPr>
                <w:sz w:val="16"/>
              </w:rPr>
            </w:pPr>
            <w:r>
              <w:rPr>
                <w:color w:val="231F20"/>
                <w:w w:val="75"/>
                <w:sz w:val="16"/>
              </w:rPr>
              <w:t>C. BERNARDO BOBADILLA</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DEPTO. DE BIENES INMUEBLES</w:t>
            </w:r>
          </w:p>
        </w:tc>
        <w:tc>
          <w:tcPr>
            <w:tcW w:w="3514" w:type="dxa"/>
            <w:shd w:val="clear" w:color="auto" w:fill="F3F3F3"/>
          </w:tcPr>
          <w:p>
            <w:pPr>
              <w:pStyle w:val="TableParagraph"/>
              <w:spacing w:line="164" w:lineRule="exact"/>
              <w:ind w:left="41"/>
              <w:rPr>
                <w:sz w:val="16"/>
              </w:rPr>
            </w:pPr>
            <w:r>
              <w:rPr>
                <w:color w:val="231F20"/>
                <w:w w:val="75"/>
                <w:sz w:val="16"/>
              </w:rPr>
              <w:t>LIC. RITO ANTONIO PADILLA MORALES</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COORDINACIÓN DE TLALNETEL</w:t>
            </w:r>
          </w:p>
        </w:tc>
        <w:tc>
          <w:tcPr>
            <w:tcW w:w="3514" w:type="dxa"/>
            <w:shd w:val="clear" w:color="auto" w:fill="F3F3F3"/>
          </w:tcPr>
          <w:p>
            <w:pPr>
              <w:pStyle w:val="TableParagraph"/>
              <w:spacing w:line="164" w:lineRule="exact"/>
              <w:ind w:left="41"/>
              <w:rPr>
                <w:sz w:val="16"/>
              </w:rPr>
            </w:pPr>
            <w:r>
              <w:rPr>
                <w:color w:val="231F20"/>
                <w:w w:val="75"/>
                <w:sz w:val="16"/>
              </w:rPr>
              <w:t>C. JUAN GARCÍA GONZÁLEZ</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DEPTO. DE CONTROL DE GESTIÓN (TLALNETEL)</w:t>
            </w:r>
          </w:p>
        </w:tc>
        <w:tc>
          <w:tcPr>
            <w:tcW w:w="3514" w:type="dxa"/>
            <w:shd w:val="clear" w:color="auto" w:fill="F3F3F3"/>
          </w:tcPr>
          <w:p>
            <w:pPr>
              <w:pStyle w:val="TableParagraph"/>
              <w:spacing w:line="164" w:lineRule="exact"/>
              <w:ind w:left="41"/>
              <w:rPr>
                <w:sz w:val="16"/>
              </w:rPr>
            </w:pPr>
            <w:r>
              <w:rPr>
                <w:color w:val="231F20"/>
                <w:w w:val="75"/>
                <w:sz w:val="16"/>
              </w:rPr>
              <w:t>C NIDIA HELENA PÉREZ ZAMORA</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DEPTO. DE EMERGENCIAS</w:t>
            </w:r>
          </w:p>
        </w:tc>
        <w:tc>
          <w:tcPr>
            <w:tcW w:w="3514" w:type="dxa"/>
            <w:shd w:val="clear" w:color="auto" w:fill="F3F3F3"/>
          </w:tcPr>
          <w:p>
            <w:pPr>
              <w:pStyle w:val="TableParagraph"/>
              <w:spacing w:line="164" w:lineRule="exact"/>
              <w:ind w:left="41"/>
              <w:rPr>
                <w:sz w:val="16"/>
              </w:rPr>
            </w:pPr>
            <w:r>
              <w:rPr>
                <w:color w:val="231F20"/>
                <w:w w:val="75"/>
                <w:sz w:val="16"/>
              </w:rPr>
              <w:t>C. JOVINO NEVAREZ RESÉNDIZ</w:t>
            </w:r>
          </w:p>
        </w:tc>
      </w:tr>
      <w:tr>
        <w:trPr>
          <w:trHeight w:val="150" w:hRule="exact"/>
        </w:trPr>
        <w:tc>
          <w:tcPr>
            <w:tcW w:w="3862" w:type="dxa"/>
            <w:shd w:val="clear" w:color="auto" w:fill="F3F3F3"/>
          </w:tcPr>
          <w:p>
            <w:pPr>
              <w:pStyle w:val="TableParagraph"/>
              <w:spacing w:line="164" w:lineRule="exact"/>
              <w:ind w:left="14"/>
              <w:rPr>
                <w:sz w:val="16"/>
              </w:rPr>
            </w:pPr>
            <w:r>
              <w:rPr>
                <w:color w:val="231F20"/>
                <w:w w:val="70"/>
                <w:sz w:val="16"/>
              </w:rPr>
              <w:t>COORDINACIÓN ADMINISTRATIVA ZONA  ORIENTE</w:t>
            </w:r>
          </w:p>
        </w:tc>
        <w:tc>
          <w:tcPr>
            <w:tcW w:w="3514" w:type="dxa"/>
            <w:shd w:val="clear" w:color="auto" w:fill="F3F3F3"/>
          </w:tcPr>
          <w:p>
            <w:pPr>
              <w:pStyle w:val="TableParagraph"/>
              <w:spacing w:line="164" w:lineRule="exact"/>
              <w:ind w:left="41"/>
              <w:rPr>
                <w:sz w:val="16"/>
              </w:rPr>
            </w:pPr>
            <w:r>
              <w:rPr>
                <w:color w:val="231F20"/>
                <w:w w:val="75"/>
                <w:sz w:val="16"/>
              </w:rPr>
              <w:t>C. MIGUEL GÓMEZ CONTRERAS</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ENLACE ADMINISTRATIVO</w:t>
            </w:r>
          </w:p>
        </w:tc>
        <w:tc>
          <w:tcPr>
            <w:tcW w:w="3514" w:type="dxa"/>
            <w:shd w:val="clear" w:color="auto" w:fill="F3F3F3"/>
          </w:tcPr>
          <w:p>
            <w:pPr>
              <w:pStyle w:val="TableParagraph"/>
              <w:spacing w:line="164" w:lineRule="exact"/>
              <w:ind w:left="41"/>
              <w:rPr>
                <w:sz w:val="16"/>
              </w:rPr>
            </w:pPr>
            <w:r>
              <w:rPr>
                <w:color w:val="231F20"/>
                <w:w w:val="75"/>
                <w:sz w:val="16"/>
              </w:rPr>
              <w:t>LIC. JOSÉ LUIS OCHOA LUNA</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SECRETARIO PARTICULAR</w:t>
            </w:r>
          </w:p>
        </w:tc>
        <w:tc>
          <w:tcPr>
            <w:tcW w:w="3514" w:type="dxa"/>
            <w:shd w:val="clear" w:color="auto" w:fill="F3F3F3"/>
          </w:tcPr>
          <w:p>
            <w:pPr>
              <w:pStyle w:val="TableParagraph"/>
              <w:spacing w:line="164" w:lineRule="exact"/>
              <w:ind w:left="41"/>
              <w:rPr>
                <w:sz w:val="16"/>
              </w:rPr>
            </w:pPr>
            <w:r>
              <w:rPr>
                <w:color w:val="231F20"/>
                <w:w w:val="75"/>
                <w:sz w:val="16"/>
              </w:rPr>
              <w:t>LIC. FELIPE DE JESÚS RODRÍGUEZ HERNÁNDEZ</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DEPTO. DE CONTROL DE GESTIÓN</w:t>
            </w:r>
          </w:p>
        </w:tc>
        <w:tc>
          <w:tcPr>
            <w:tcW w:w="3514" w:type="dxa"/>
            <w:shd w:val="clear" w:color="auto" w:fill="F3F3F3"/>
          </w:tcPr>
          <w:p>
            <w:pPr>
              <w:pStyle w:val="TableParagraph"/>
              <w:spacing w:line="164" w:lineRule="exact"/>
              <w:ind w:left="41"/>
              <w:rPr>
                <w:sz w:val="16"/>
              </w:rPr>
            </w:pPr>
            <w:r>
              <w:rPr>
                <w:color w:val="231F20"/>
                <w:w w:val="75"/>
                <w:sz w:val="16"/>
              </w:rPr>
              <w:t>LIC. JOSÉ FRANCISCO LEANDRO</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DEPTO. DE SISTEMA DE INFORMACIÓN ESTADÍSTICA Y GEOGRÁFICA</w:t>
            </w:r>
          </w:p>
        </w:tc>
        <w:tc>
          <w:tcPr>
            <w:tcW w:w="3514" w:type="dxa"/>
            <w:shd w:val="clear" w:color="auto" w:fill="F3F3F3"/>
          </w:tcPr>
          <w:p>
            <w:pPr>
              <w:pStyle w:val="TableParagraph"/>
              <w:spacing w:line="164" w:lineRule="exact"/>
              <w:ind w:left="41"/>
              <w:rPr>
                <w:sz w:val="16"/>
              </w:rPr>
            </w:pPr>
            <w:r>
              <w:rPr>
                <w:color w:val="231F20"/>
                <w:w w:val="75"/>
                <w:sz w:val="16"/>
              </w:rPr>
              <w:t>C.RAUL GUTIÉRREZ CONSTANCIA</w:t>
            </w:r>
          </w:p>
        </w:tc>
      </w:tr>
      <w:tr>
        <w:trPr>
          <w:trHeight w:val="150" w:hRule="exact"/>
        </w:trPr>
        <w:tc>
          <w:tcPr>
            <w:tcW w:w="3862" w:type="dxa"/>
            <w:shd w:val="clear" w:color="auto" w:fill="F3F3F3"/>
          </w:tcPr>
          <w:p>
            <w:pPr>
              <w:pStyle w:val="TableParagraph"/>
              <w:spacing w:line="164" w:lineRule="exact"/>
              <w:ind w:left="14"/>
              <w:rPr>
                <w:sz w:val="16"/>
              </w:rPr>
            </w:pPr>
            <w:r>
              <w:rPr>
                <w:color w:val="231F20"/>
                <w:w w:val="70"/>
                <w:sz w:val="16"/>
              </w:rPr>
              <w:t>TESORERO   MUNICIPAL</w:t>
            </w:r>
          </w:p>
        </w:tc>
        <w:tc>
          <w:tcPr>
            <w:tcW w:w="3514" w:type="dxa"/>
            <w:shd w:val="clear" w:color="auto" w:fill="F3F3F3"/>
          </w:tcPr>
          <w:p>
            <w:pPr>
              <w:pStyle w:val="TableParagraph"/>
              <w:spacing w:line="164" w:lineRule="exact"/>
              <w:ind w:left="41"/>
              <w:rPr>
                <w:sz w:val="16"/>
              </w:rPr>
            </w:pPr>
            <w:r>
              <w:rPr>
                <w:color w:val="231F20"/>
                <w:w w:val="75"/>
                <w:sz w:val="16"/>
              </w:rPr>
              <w:t>C.P. FERNANDO ENRIQUE ZAMBRANO SUÁREZ</w:t>
            </w:r>
          </w:p>
        </w:tc>
      </w:tr>
      <w:tr>
        <w:trPr>
          <w:trHeight w:val="150" w:hRule="exact"/>
        </w:trPr>
        <w:tc>
          <w:tcPr>
            <w:tcW w:w="3862" w:type="dxa"/>
            <w:shd w:val="clear" w:color="auto" w:fill="F3F3F3"/>
          </w:tcPr>
          <w:p>
            <w:pPr>
              <w:pStyle w:val="TableParagraph"/>
              <w:spacing w:line="164" w:lineRule="exact"/>
              <w:ind w:left="14"/>
              <w:rPr>
                <w:sz w:val="16"/>
              </w:rPr>
            </w:pPr>
            <w:r>
              <w:rPr>
                <w:color w:val="231F20"/>
                <w:w w:val="70"/>
                <w:sz w:val="16"/>
              </w:rPr>
              <w:t>CONTRALOR   MUNICIPAL</w:t>
            </w:r>
          </w:p>
        </w:tc>
        <w:tc>
          <w:tcPr>
            <w:tcW w:w="3514" w:type="dxa"/>
            <w:shd w:val="clear" w:color="auto" w:fill="F3F3F3"/>
          </w:tcPr>
          <w:p>
            <w:pPr>
              <w:pStyle w:val="TableParagraph"/>
              <w:spacing w:line="164" w:lineRule="exact"/>
              <w:ind w:left="41"/>
              <w:rPr>
                <w:sz w:val="16"/>
              </w:rPr>
            </w:pPr>
            <w:r>
              <w:rPr>
                <w:color w:val="231F20"/>
                <w:w w:val="75"/>
                <w:sz w:val="16"/>
              </w:rPr>
              <w:t>LIC. URIBE PADILLA JUAN CARLOS</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DIRECTOR GENERAL DE DESARROLLO URBANO, OBRAS PÚBLICAS, Y ECOLOGÍA</w:t>
            </w:r>
          </w:p>
        </w:tc>
        <w:tc>
          <w:tcPr>
            <w:tcW w:w="3514" w:type="dxa"/>
            <w:shd w:val="clear" w:color="auto" w:fill="F3F3F3"/>
          </w:tcPr>
          <w:p>
            <w:pPr>
              <w:pStyle w:val="TableParagraph"/>
              <w:spacing w:line="164" w:lineRule="exact"/>
              <w:ind w:left="41"/>
              <w:rPr>
                <w:sz w:val="16"/>
              </w:rPr>
            </w:pPr>
            <w:r>
              <w:rPr>
                <w:color w:val="231F20"/>
                <w:w w:val="75"/>
                <w:sz w:val="16"/>
              </w:rPr>
              <w:t>ING. LUIS ARMANDO DORADO DE HORTA</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DIRECTOR GENERAL DE DESARROLLO SOCIAL</w:t>
            </w:r>
          </w:p>
        </w:tc>
        <w:tc>
          <w:tcPr>
            <w:tcW w:w="3514" w:type="dxa"/>
            <w:shd w:val="clear" w:color="auto" w:fill="F3F3F3"/>
          </w:tcPr>
          <w:p>
            <w:pPr>
              <w:pStyle w:val="TableParagraph"/>
              <w:spacing w:line="164" w:lineRule="exact"/>
              <w:ind w:left="41"/>
              <w:rPr>
                <w:sz w:val="16"/>
              </w:rPr>
            </w:pPr>
            <w:r>
              <w:rPr>
                <w:color w:val="231F20"/>
                <w:w w:val="75"/>
                <w:sz w:val="16"/>
              </w:rPr>
              <w:t>LIC. ROMMEL RAMÍREZ NUÑEZ</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DIRECTOR GENERAL DE ADMINISTRACIÓN</w:t>
            </w:r>
          </w:p>
        </w:tc>
        <w:tc>
          <w:tcPr>
            <w:tcW w:w="3514" w:type="dxa"/>
            <w:shd w:val="clear" w:color="auto" w:fill="F3F3F3"/>
          </w:tcPr>
          <w:p>
            <w:pPr>
              <w:pStyle w:val="TableParagraph"/>
              <w:spacing w:line="164" w:lineRule="exact"/>
              <w:ind w:left="41"/>
              <w:rPr>
                <w:sz w:val="16"/>
              </w:rPr>
            </w:pPr>
            <w:r>
              <w:rPr>
                <w:color w:val="231F20"/>
                <w:w w:val="75"/>
                <w:sz w:val="16"/>
              </w:rPr>
              <w:t>C.P. RICARDO CONTRERAS VELÁZQUEZ</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DIRECTOR GENERAL DE SEG. PÚBLICA Y TRÁNSITO</w:t>
            </w:r>
          </w:p>
        </w:tc>
        <w:tc>
          <w:tcPr>
            <w:tcW w:w="3514" w:type="dxa"/>
            <w:shd w:val="clear" w:color="auto" w:fill="F3F3F3"/>
          </w:tcPr>
          <w:p>
            <w:pPr>
              <w:pStyle w:val="TableParagraph"/>
              <w:spacing w:line="164" w:lineRule="exact"/>
              <w:ind w:left="41"/>
              <w:rPr>
                <w:sz w:val="16"/>
              </w:rPr>
            </w:pPr>
            <w:r>
              <w:rPr>
                <w:color w:val="231F20"/>
                <w:w w:val="75"/>
                <w:sz w:val="16"/>
              </w:rPr>
              <w:t>ING. MIGUEL ÁNGEL MATAMOROS CAMACHO</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DIRECTOR GENERAL SERVICIOS PÚBLICOS</w:t>
            </w:r>
          </w:p>
        </w:tc>
        <w:tc>
          <w:tcPr>
            <w:tcW w:w="3514" w:type="dxa"/>
            <w:shd w:val="clear" w:color="auto" w:fill="F3F3F3"/>
          </w:tcPr>
          <w:p>
            <w:pPr>
              <w:pStyle w:val="TableParagraph"/>
              <w:spacing w:line="164" w:lineRule="exact"/>
              <w:ind w:left="41"/>
              <w:rPr>
                <w:sz w:val="16"/>
              </w:rPr>
            </w:pPr>
            <w:r>
              <w:rPr>
                <w:color w:val="231F20"/>
                <w:w w:val="75"/>
                <w:sz w:val="16"/>
              </w:rPr>
              <w:t>ING. ANTONIO ARIAS GARCÍA</w:t>
            </w:r>
          </w:p>
        </w:tc>
      </w:tr>
      <w:tr>
        <w:trPr>
          <w:trHeight w:val="150" w:hRule="exact"/>
        </w:trPr>
        <w:tc>
          <w:tcPr>
            <w:tcW w:w="3862" w:type="dxa"/>
            <w:shd w:val="clear" w:color="auto" w:fill="F3F3F3"/>
          </w:tcPr>
          <w:p>
            <w:pPr>
              <w:pStyle w:val="TableParagraph"/>
              <w:spacing w:line="164" w:lineRule="exact"/>
              <w:ind w:left="14"/>
              <w:rPr>
                <w:sz w:val="16"/>
              </w:rPr>
            </w:pPr>
            <w:r>
              <w:rPr>
                <w:color w:val="231F20"/>
                <w:w w:val="70"/>
                <w:sz w:val="16"/>
              </w:rPr>
              <w:t>DIRECTOR GENERAL DE PROMOCIÓN ECONÓMICA</w:t>
            </w:r>
          </w:p>
        </w:tc>
        <w:tc>
          <w:tcPr>
            <w:tcW w:w="3514" w:type="dxa"/>
            <w:shd w:val="clear" w:color="auto" w:fill="F3F3F3"/>
          </w:tcPr>
          <w:p>
            <w:pPr>
              <w:pStyle w:val="TableParagraph"/>
              <w:spacing w:line="164" w:lineRule="exact"/>
              <w:ind w:left="41"/>
              <w:rPr>
                <w:sz w:val="16"/>
              </w:rPr>
            </w:pPr>
            <w:r>
              <w:rPr>
                <w:color w:val="231F20"/>
                <w:w w:val="75"/>
                <w:sz w:val="16"/>
              </w:rPr>
              <w:t>C.P. HÉCTOR ÁNGEL AGUILERA CAMACHO</w:t>
            </w:r>
          </w:p>
        </w:tc>
      </w:tr>
      <w:tr>
        <w:trPr>
          <w:trHeight w:val="150" w:hRule="exact"/>
        </w:trPr>
        <w:tc>
          <w:tcPr>
            <w:tcW w:w="3862" w:type="dxa"/>
            <w:shd w:val="clear" w:color="auto" w:fill="F3F3F3"/>
          </w:tcPr>
          <w:p>
            <w:pPr>
              <w:pStyle w:val="TableParagraph"/>
              <w:spacing w:line="164" w:lineRule="exact"/>
              <w:ind w:left="14"/>
              <w:rPr>
                <w:sz w:val="16"/>
              </w:rPr>
            </w:pPr>
            <w:r>
              <w:rPr>
                <w:color w:val="231F20"/>
                <w:w w:val="75"/>
                <w:sz w:val="16"/>
              </w:rPr>
              <w:t>DIRECTOR GENERAL DE JURÍDICO Y CONSULTIVA</w:t>
            </w:r>
          </w:p>
        </w:tc>
        <w:tc>
          <w:tcPr>
            <w:tcW w:w="3514" w:type="dxa"/>
            <w:shd w:val="clear" w:color="auto" w:fill="F3F3F3"/>
          </w:tcPr>
          <w:p>
            <w:pPr>
              <w:pStyle w:val="TableParagraph"/>
              <w:spacing w:line="164" w:lineRule="exact"/>
              <w:ind w:left="41"/>
              <w:rPr>
                <w:sz w:val="16"/>
              </w:rPr>
            </w:pPr>
            <w:r>
              <w:rPr>
                <w:color w:val="231F20"/>
                <w:w w:val="75"/>
                <w:sz w:val="16"/>
              </w:rPr>
              <w:t>LIC. CRESCENCIO VALENCIA JUÁREZ</w:t>
            </w:r>
          </w:p>
        </w:tc>
      </w:tr>
      <w:tr>
        <w:trPr>
          <w:trHeight w:val="138" w:hRule="exact"/>
        </w:trPr>
        <w:tc>
          <w:tcPr>
            <w:tcW w:w="3862" w:type="dxa"/>
            <w:shd w:val="clear" w:color="auto" w:fill="F3F3F3"/>
          </w:tcPr>
          <w:p>
            <w:pPr>
              <w:pStyle w:val="TableParagraph"/>
              <w:spacing w:line="164" w:lineRule="exact"/>
              <w:ind w:left="14"/>
              <w:rPr>
                <w:sz w:val="16"/>
              </w:rPr>
            </w:pPr>
            <w:r>
              <w:rPr>
                <w:color w:val="231F20"/>
                <w:w w:val="70"/>
                <w:sz w:val="16"/>
              </w:rPr>
              <w:t>SECRETARIO  TÉCNICO</w:t>
            </w:r>
          </w:p>
        </w:tc>
        <w:tc>
          <w:tcPr>
            <w:tcW w:w="3514" w:type="dxa"/>
            <w:shd w:val="clear" w:color="auto" w:fill="F3F3F3"/>
          </w:tcPr>
          <w:p>
            <w:pPr>
              <w:pStyle w:val="TableParagraph"/>
              <w:spacing w:line="164" w:lineRule="exact"/>
              <w:ind w:left="41"/>
              <w:rPr>
                <w:sz w:val="16"/>
              </w:rPr>
            </w:pPr>
            <w:r>
              <w:rPr>
                <w:color w:val="231F20"/>
                <w:w w:val="75"/>
                <w:sz w:val="16"/>
              </w:rPr>
              <w:t>LIC. CARLOS JAVIER ALFARO SÁNCHEZ</w:t>
            </w:r>
          </w:p>
        </w:tc>
      </w:tr>
    </w:tbl>
    <w:p>
      <w:pPr>
        <w:spacing w:after="0" w:line="164" w:lineRule="exact"/>
        <w:rPr>
          <w:sz w:val="16"/>
        </w:rPr>
        <w:sectPr>
          <w:pgSz w:w="9640" w:h="12190"/>
          <w:pgMar w:header="0" w:footer="683" w:top="1120" w:bottom="88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after="0"/>
        <w:rPr>
          <w:sz w:val="21"/>
        </w:rPr>
        <w:sectPr>
          <w:pgSz w:w="9640" w:h="12190"/>
          <w:pgMar w:header="0" w:footer="683" w:top="1120" w:bottom="880" w:left="740" w:right="740"/>
        </w:sectPr>
      </w:pPr>
    </w:p>
    <w:p>
      <w:pPr>
        <w:spacing w:line="389" w:lineRule="exact" w:before="0"/>
        <w:ind w:left="1957" w:right="-8" w:firstLine="0"/>
        <w:jc w:val="left"/>
        <w:rPr>
          <w:b/>
          <w:sz w:val="34"/>
        </w:rPr>
      </w:pPr>
      <w:r>
        <w:rPr>
          <w:b/>
          <w:color w:val="231F20"/>
          <w:w w:val="105"/>
          <w:sz w:val="34"/>
        </w:rPr>
        <w:t>Atlautla:</w:t>
      </w:r>
      <w:r>
        <w:rPr>
          <w:b/>
          <w:color w:val="231F20"/>
          <w:spacing w:val="-43"/>
          <w:w w:val="105"/>
          <w:sz w:val="34"/>
        </w:rPr>
        <w:t> </w:t>
      </w:r>
      <w:r>
        <w:rPr>
          <w:b/>
          <w:color w:val="231F20"/>
          <w:spacing w:val="-3"/>
          <w:w w:val="105"/>
          <w:sz w:val="34"/>
        </w:rPr>
        <w:t>desempeño</w:t>
      </w:r>
      <w:r>
        <w:rPr>
          <w:b/>
          <w:color w:val="231F20"/>
          <w:spacing w:val="-43"/>
          <w:w w:val="105"/>
          <w:sz w:val="34"/>
        </w:rPr>
        <w:t> </w:t>
      </w:r>
      <w:r>
        <w:rPr>
          <w:b/>
          <w:color w:val="231F20"/>
          <w:w w:val="105"/>
          <w:sz w:val="34"/>
        </w:rPr>
        <w:t>panista</w:t>
      </w:r>
    </w:p>
    <w:p>
      <w:pPr>
        <w:pStyle w:val="BodyText"/>
        <w:rPr>
          <w:b/>
          <w:sz w:val="20"/>
        </w:rPr>
      </w:pPr>
      <w:r>
        <w:rPr/>
        <w:br w:type="column"/>
      </w:r>
      <w:r>
        <w:rPr>
          <w:b/>
          <w:sz w:val="20"/>
        </w:rPr>
      </w:r>
    </w:p>
    <w:p>
      <w:pPr>
        <w:pStyle w:val="BodyText"/>
        <w:spacing w:before="3"/>
        <w:rPr>
          <w:b/>
          <w:sz w:val="17"/>
        </w:rPr>
      </w:pPr>
    </w:p>
    <w:p>
      <w:pPr>
        <w:spacing w:before="0"/>
        <w:ind w:left="133" w:right="0" w:firstLine="0"/>
        <w:jc w:val="left"/>
        <w:rPr>
          <w:i/>
          <w:sz w:val="20"/>
        </w:rPr>
      </w:pPr>
      <w:r>
        <w:rPr>
          <w:i/>
          <w:color w:val="231F20"/>
          <w:sz w:val="20"/>
        </w:rPr>
        <w:t>Ramiro Flores López</w:t>
      </w:r>
    </w:p>
    <w:p>
      <w:pPr>
        <w:spacing w:after="0"/>
        <w:jc w:val="left"/>
        <w:rPr>
          <w:sz w:val="20"/>
        </w:rPr>
        <w:sectPr>
          <w:type w:val="continuous"/>
          <w:pgSz w:w="9640" w:h="12190"/>
          <w:pgMar w:top="0" w:bottom="0" w:left="740" w:right="740"/>
          <w:cols w:num="2" w:equalWidth="0">
            <w:col w:w="6200" w:space="40"/>
            <w:col w:w="1920"/>
          </w:cols>
        </w:sectPr>
      </w:pPr>
    </w:p>
    <w:p>
      <w:pPr>
        <w:pStyle w:val="BodyText"/>
        <w:spacing w:before="4"/>
        <w:rPr>
          <w:i/>
          <w:sz w:val="25"/>
        </w:rPr>
      </w:pPr>
    </w:p>
    <w:p>
      <w:pPr>
        <w:pStyle w:val="Heading3"/>
        <w:spacing w:before="22"/>
      </w:pPr>
      <w:r>
        <w:rPr>
          <w:color w:val="231F20"/>
          <w:w w:val="105"/>
        </w:rPr>
        <w:t>Introducción</w:t>
      </w:r>
    </w:p>
    <w:p>
      <w:pPr>
        <w:pStyle w:val="BodyText"/>
        <w:spacing w:line="285" w:lineRule="auto" w:before="38"/>
        <w:ind w:left="110" w:right="107"/>
        <w:jc w:val="both"/>
      </w:pPr>
      <w:r>
        <w:rPr>
          <w:color w:val="231F20"/>
          <w:spacing w:val="3"/>
          <w:w w:val="105"/>
        </w:rPr>
        <w:t>Al</w:t>
      </w:r>
      <w:r>
        <w:rPr>
          <w:color w:val="231F20"/>
          <w:spacing w:val="-17"/>
          <w:w w:val="105"/>
        </w:rPr>
        <w:t> </w:t>
      </w:r>
      <w:r>
        <w:rPr>
          <w:color w:val="231F20"/>
          <w:w w:val="105"/>
        </w:rPr>
        <w:t>Partido</w:t>
      </w:r>
      <w:r>
        <w:rPr>
          <w:color w:val="231F20"/>
          <w:spacing w:val="-17"/>
          <w:w w:val="105"/>
        </w:rPr>
        <w:t> </w:t>
      </w:r>
      <w:r>
        <w:rPr>
          <w:color w:val="231F20"/>
          <w:w w:val="105"/>
        </w:rPr>
        <w:t>Acción</w:t>
      </w:r>
      <w:r>
        <w:rPr>
          <w:color w:val="231F20"/>
          <w:spacing w:val="-17"/>
          <w:w w:val="105"/>
        </w:rPr>
        <w:t> </w:t>
      </w:r>
      <w:r>
        <w:rPr>
          <w:color w:val="231F20"/>
          <w:w w:val="105"/>
        </w:rPr>
        <w:t>Nacional</w:t>
      </w:r>
      <w:r>
        <w:rPr>
          <w:color w:val="231F20"/>
          <w:spacing w:val="-17"/>
          <w:w w:val="105"/>
        </w:rPr>
        <w:t> </w:t>
      </w:r>
      <w:r>
        <w:rPr>
          <w:color w:val="231F20"/>
          <w:spacing w:val="-3"/>
          <w:w w:val="105"/>
        </w:rPr>
        <w:t>(PAN)</w:t>
      </w:r>
      <w:r>
        <w:rPr>
          <w:color w:val="231F20"/>
          <w:spacing w:val="-17"/>
          <w:w w:val="105"/>
        </w:rPr>
        <w:t> </w:t>
      </w:r>
      <w:r>
        <w:rPr>
          <w:color w:val="231F20"/>
          <w:w w:val="105"/>
        </w:rPr>
        <w:t>se</w:t>
      </w:r>
      <w:r>
        <w:rPr>
          <w:color w:val="231F20"/>
          <w:spacing w:val="-17"/>
          <w:w w:val="105"/>
        </w:rPr>
        <w:t> </w:t>
      </w:r>
      <w:r>
        <w:rPr>
          <w:color w:val="231F20"/>
          <w:w w:val="105"/>
        </w:rPr>
        <w:t>le</w:t>
      </w:r>
      <w:r>
        <w:rPr>
          <w:color w:val="231F20"/>
          <w:spacing w:val="-17"/>
          <w:w w:val="105"/>
        </w:rPr>
        <w:t> </w:t>
      </w:r>
      <w:r>
        <w:rPr>
          <w:color w:val="231F20"/>
          <w:w w:val="105"/>
        </w:rPr>
        <w:t>puede</w:t>
      </w:r>
      <w:r>
        <w:rPr>
          <w:color w:val="231F20"/>
          <w:spacing w:val="-17"/>
          <w:w w:val="105"/>
        </w:rPr>
        <w:t> </w:t>
      </w:r>
      <w:r>
        <w:rPr>
          <w:color w:val="231F20"/>
          <w:w w:val="105"/>
        </w:rPr>
        <w:t>haber</w:t>
      </w:r>
      <w:r>
        <w:rPr>
          <w:color w:val="231F20"/>
          <w:spacing w:val="-17"/>
          <w:w w:val="105"/>
        </w:rPr>
        <w:t> </w:t>
      </w:r>
      <w:r>
        <w:rPr>
          <w:color w:val="231F20"/>
          <w:w w:val="105"/>
        </w:rPr>
        <w:t>asociado</w:t>
      </w:r>
      <w:r>
        <w:rPr>
          <w:color w:val="231F20"/>
          <w:spacing w:val="-17"/>
          <w:w w:val="105"/>
        </w:rPr>
        <w:t> </w:t>
      </w:r>
      <w:r>
        <w:rPr>
          <w:color w:val="231F20"/>
          <w:w w:val="105"/>
        </w:rPr>
        <w:t>sus</w:t>
      </w:r>
      <w:r>
        <w:rPr>
          <w:color w:val="231F20"/>
          <w:spacing w:val="-17"/>
          <w:w w:val="105"/>
        </w:rPr>
        <w:t> </w:t>
      </w:r>
      <w:r>
        <w:rPr>
          <w:color w:val="231F20"/>
          <w:w w:val="105"/>
        </w:rPr>
        <w:t>triunfos</w:t>
      </w:r>
      <w:r>
        <w:rPr>
          <w:color w:val="231F20"/>
          <w:spacing w:val="-17"/>
          <w:w w:val="105"/>
        </w:rPr>
        <w:t> </w:t>
      </w:r>
      <w:r>
        <w:rPr>
          <w:color w:val="231F20"/>
          <w:w w:val="105"/>
        </w:rPr>
        <w:t>con</w:t>
      </w:r>
      <w:r>
        <w:rPr>
          <w:color w:val="231F20"/>
          <w:spacing w:val="-17"/>
          <w:w w:val="105"/>
        </w:rPr>
        <w:t> </w:t>
      </w:r>
      <w:r>
        <w:rPr>
          <w:color w:val="231F20"/>
          <w:w w:val="105"/>
        </w:rPr>
        <w:t>espacios geográficos</w:t>
      </w:r>
      <w:r>
        <w:rPr>
          <w:color w:val="231F20"/>
          <w:spacing w:val="-14"/>
          <w:w w:val="105"/>
        </w:rPr>
        <w:t> </w:t>
      </w:r>
      <w:r>
        <w:rPr>
          <w:color w:val="231F20"/>
          <w:w w:val="105"/>
        </w:rPr>
        <w:t>metropolitanos</w:t>
      </w:r>
      <w:r>
        <w:rPr>
          <w:color w:val="231F20"/>
          <w:spacing w:val="-14"/>
          <w:w w:val="105"/>
        </w:rPr>
        <w:t> </w:t>
      </w:r>
      <w:r>
        <w:rPr>
          <w:color w:val="231F20"/>
          <w:w w:val="105"/>
        </w:rPr>
        <w:t>o</w:t>
      </w:r>
      <w:r>
        <w:rPr>
          <w:color w:val="231F20"/>
          <w:spacing w:val="-14"/>
          <w:w w:val="105"/>
        </w:rPr>
        <w:t> </w:t>
      </w:r>
      <w:r>
        <w:rPr>
          <w:color w:val="231F20"/>
          <w:w w:val="105"/>
        </w:rPr>
        <w:t>de</w:t>
      </w:r>
      <w:r>
        <w:rPr>
          <w:color w:val="231F20"/>
          <w:spacing w:val="-14"/>
          <w:w w:val="105"/>
        </w:rPr>
        <w:t> </w:t>
      </w:r>
      <w:r>
        <w:rPr>
          <w:color w:val="231F20"/>
          <w:w w:val="105"/>
        </w:rPr>
        <w:t>alta</w:t>
      </w:r>
      <w:r>
        <w:rPr>
          <w:color w:val="231F20"/>
          <w:spacing w:val="-14"/>
          <w:w w:val="105"/>
        </w:rPr>
        <w:t> </w:t>
      </w:r>
      <w:r>
        <w:rPr>
          <w:color w:val="231F20"/>
          <w:w w:val="105"/>
        </w:rPr>
        <w:t>urbanidad,</w:t>
      </w:r>
      <w:r>
        <w:rPr>
          <w:color w:val="231F20"/>
          <w:spacing w:val="-14"/>
          <w:w w:val="105"/>
        </w:rPr>
        <w:t> </w:t>
      </w:r>
      <w:r>
        <w:rPr>
          <w:color w:val="231F20"/>
          <w:w w:val="105"/>
        </w:rPr>
        <w:t>sin</w:t>
      </w:r>
      <w:r>
        <w:rPr>
          <w:color w:val="231F20"/>
          <w:spacing w:val="-14"/>
          <w:w w:val="105"/>
        </w:rPr>
        <w:t> </w:t>
      </w:r>
      <w:r>
        <w:rPr>
          <w:color w:val="231F20"/>
          <w:w w:val="105"/>
        </w:rPr>
        <w:t>embargo,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proceso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demo- cratización,</w:t>
      </w:r>
      <w:r>
        <w:rPr>
          <w:color w:val="231F20"/>
          <w:spacing w:val="-13"/>
          <w:w w:val="105"/>
        </w:rPr>
        <w:t> </w:t>
      </w:r>
      <w:r>
        <w:rPr>
          <w:color w:val="231F20"/>
          <w:w w:val="105"/>
        </w:rPr>
        <w:t>que</w:t>
      </w:r>
      <w:r>
        <w:rPr>
          <w:color w:val="231F20"/>
          <w:spacing w:val="-13"/>
          <w:w w:val="105"/>
        </w:rPr>
        <w:t> </w:t>
      </w:r>
      <w:r>
        <w:rPr>
          <w:color w:val="231F20"/>
          <w:w w:val="105"/>
        </w:rPr>
        <w:t>ha</w:t>
      </w:r>
      <w:r>
        <w:rPr>
          <w:color w:val="231F20"/>
          <w:spacing w:val="-13"/>
          <w:w w:val="105"/>
        </w:rPr>
        <w:t> </w:t>
      </w:r>
      <w:r>
        <w:rPr>
          <w:color w:val="231F20"/>
          <w:w w:val="105"/>
        </w:rPr>
        <w:t>conllevado</w:t>
      </w:r>
      <w:r>
        <w:rPr>
          <w:color w:val="231F20"/>
          <w:spacing w:val="-13"/>
          <w:w w:val="105"/>
        </w:rPr>
        <w:t> </w:t>
      </w:r>
      <w:r>
        <w:rPr>
          <w:color w:val="231F20"/>
          <w:w w:val="105"/>
        </w:rPr>
        <w:t>la</w:t>
      </w:r>
      <w:r>
        <w:rPr>
          <w:color w:val="231F20"/>
          <w:spacing w:val="-13"/>
          <w:w w:val="105"/>
        </w:rPr>
        <w:t> </w:t>
      </w:r>
      <w:r>
        <w:rPr>
          <w:color w:val="231F20"/>
          <w:w w:val="105"/>
        </w:rPr>
        <w:t>competitividad</w:t>
      </w:r>
      <w:r>
        <w:rPr>
          <w:color w:val="231F20"/>
          <w:spacing w:val="-13"/>
          <w:w w:val="105"/>
        </w:rPr>
        <w:t> </w:t>
      </w:r>
      <w:r>
        <w:rPr>
          <w:color w:val="231F20"/>
          <w:w w:val="105"/>
        </w:rPr>
        <w:t>electoral</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alternancia,</w:t>
      </w:r>
      <w:r>
        <w:rPr>
          <w:color w:val="231F20"/>
          <w:spacing w:val="-13"/>
          <w:w w:val="105"/>
        </w:rPr>
        <w:t> </w:t>
      </w:r>
      <w:r>
        <w:rPr>
          <w:color w:val="231F20"/>
          <w:w w:val="105"/>
        </w:rPr>
        <w:t>se</w:t>
      </w:r>
      <w:r>
        <w:rPr>
          <w:color w:val="231F20"/>
          <w:spacing w:val="-13"/>
          <w:w w:val="105"/>
        </w:rPr>
        <w:t> </w:t>
      </w:r>
      <w:r>
        <w:rPr>
          <w:color w:val="231F20"/>
          <w:w w:val="105"/>
        </w:rPr>
        <w:t>evidencia que el partido gana en lugares en </w:t>
      </w:r>
      <w:r>
        <w:rPr>
          <w:color w:val="231F20"/>
          <w:spacing w:val="-3"/>
          <w:w w:val="105"/>
        </w:rPr>
        <w:t>donde </w:t>
      </w:r>
      <w:r>
        <w:rPr>
          <w:color w:val="231F20"/>
          <w:w w:val="105"/>
        </w:rPr>
        <w:t>logra permear con propuestas y candidatos ad hoc;</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caso</w:t>
      </w:r>
      <w:r>
        <w:rPr>
          <w:color w:val="231F20"/>
          <w:spacing w:val="-11"/>
          <w:w w:val="105"/>
        </w:rPr>
        <w:t> </w:t>
      </w:r>
      <w:r>
        <w:rPr>
          <w:color w:val="231F20"/>
          <w:w w:val="105"/>
        </w:rPr>
        <w:t>de</w:t>
      </w:r>
      <w:r>
        <w:rPr>
          <w:color w:val="231F20"/>
          <w:spacing w:val="-11"/>
          <w:w w:val="105"/>
        </w:rPr>
        <w:t> </w:t>
      </w:r>
      <w:r>
        <w:rPr>
          <w:color w:val="231F20"/>
          <w:w w:val="105"/>
        </w:rPr>
        <w:t>Atlautla,</w:t>
      </w:r>
      <w:r>
        <w:rPr>
          <w:color w:val="231F20"/>
          <w:spacing w:val="-11"/>
          <w:w w:val="105"/>
        </w:rPr>
        <w:t> </w:t>
      </w:r>
      <w:r>
        <w:rPr>
          <w:color w:val="231F20"/>
          <w:w w:val="105"/>
        </w:rPr>
        <w:t>un</w:t>
      </w:r>
      <w:r>
        <w:rPr>
          <w:color w:val="231F20"/>
          <w:spacing w:val="-11"/>
          <w:w w:val="105"/>
        </w:rPr>
        <w:t> </w:t>
      </w:r>
      <w:r>
        <w:rPr>
          <w:color w:val="231F20"/>
          <w:w w:val="105"/>
        </w:rPr>
        <w:t>municipio</w:t>
      </w:r>
      <w:r>
        <w:rPr>
          <w:color w:val="231F20"/>
          <w:spacing w:val="-11"/>
          <w:w w:val="105"/>
        </w:rPr>
        <w:t> </w:t>
      </w:r>
      <w:r>
        <w:rPr>
          <w:color w:val="231F20"/>
          <w:w w:val="105"/>
        </w:rPr>
        <w:t>mexiquense</w:t>
      </w:r>
      <w:r>
        <w:rPr>
          <w:color w:val="231F20"/>
          <w:spacing w:val="-11"/>
          <w:w w:val="105"/>
        </w:rPr>
        <w:t> </w:t>
      </w:r>
      <w:r>
        <w:rPr>
          <w:color w:val="231F20"/>
          <w:spacing w:val="2"/>
          <w:w w:val="105"/>
        </w:rPr>
        <w:t>rural</w:t>
      </w:r>
      <w:r>
        <w:rPr>
          <w:color w:val="231F20"/>
          <w:spacing w:val="-11"/>
          <w:w w:val="105"/>
        </w:rPr>
        <w:t> </w:t>
      </w:r>
      <w:r>
        <w:rPr>
          <w:color w:val="231F20"/>
          <w:w w:val="105"/>
        </w:rPr>
        <w:t>o</w:t>
      </w:r>
      <w:r>
        <w:rPr>
          <w:color w:val="231F20"/>
          <w:spacing w:val="-11"/>
          <w:w w:val="105"/>
        </w:rPr>
        <w:t> </w:t>
      </w:r>
      <w:r>
        <w:rPr>
          <w:color w:val="231F20"/>
          <w:w w:val="105"/>
        </w:rPr>
        <w:t>suburbano.</w:t>
      </w:r>
    </w:p>
    <w:p>
      <w:pPr>
        <w:pStyle w:val="BodyText"/>
        <w:spacing w:before="1"/>
        <w:rPr>
          <w:sz w:val="26"/>
        </w:rPr>
      </w:pPr>
    </w:p>
    <w:p>
      <w:pPr>
        <w:pStyle w:val="BodyText"/>
        <w:spacing w:line="285" w:lineRule="auto"/>
        <w:ind w:left="110" w:right="107"/>
        <w:jc w:val="both"/>
      </w:pPr>
      <w:r>
        <w:rPr>
          <w:color w:val="231F20"/>
          <w:w w:val="105"/>
        </w:rPr>
        <w:t>Atlautla</w:t>
      </w:r>
      <w:r>
        <w:rPr>
          <w:color w:val="231F20"/>
          <w:spacing w:val="-26"/>
          <w:w w:val="105"/>
        </w:rPr>
        <w:t> </w:t>
      </w:r>
      <w:r>
        <w:rPr>
          <w:color w:val="231F20"/>
          <w:w w:val="105"/>
        </w:rPr>
        <w:t>ha</w:t>
      </w:r>
      <w:r>
        <w:rPr>
          <w:color w:val="231F20"/>
          <w:spacing w:val="-26"/>
          <w:w w:val="105"/>
        </w:rPr>
        <w:t> </w:t>
      </w:r>
      <w:r>
        <w:rPr>
          <w:color w:val="231F20"/>
          <w:w w:val="105"/>
        </w:rPr>
        <w:t>registrado</w:t>
      </w:r>
      <w:r>
        <w:rPr>
          <w:color w:val="231F20"/>
          <w:spacing w:val="-26"/>
          <w:w w:val="105"/>
        </w:rPr>
        <w:t> </w:t>
      </w:r>
      <w:r>
        <w:rPr>
          <w:color w:val="231F20"/>
          <w:w w:val="105"/>
        </w:rPr>
        <w:t>alternancia</w:t>
      </w:r>
      <w:r>
        <w:rPr>
          <w:color w:val="231F20"/>
          <w:spacing w:val="-26"/>
          <w:w w:val="105"/>
        </w:rPr>
        <w:t> </w:t>
      </w:r>
      <w:r>
        <w:rPr>
          <w:color w:val="231F20"/>
          <w:w w:val="105"/>
        </w:rPr>
        <w:t>electoral:</w:t>
      </w:r>
      <w:r>
        <w:rPr>
          <w:color w:val="231F20"/>
          <w:spacing w:val="-26"/>
          <w:w w:val="105"/>
        </w:rPr>
        <w:t> </w:t>
      </w:r>
      <w:r>
        <w:rPr>
          <w:color w:val="231F20"/>
          <w:w w:val="105"/>
        </w:rPr>
        <w:t>el</w:t>
      </w:r>
      <w:r>
        <w:rPr>
          <w:color w:val="231F20"/>
          <w:spacing w:val="-26"/>
          <w:w w:val="105"/>
        </w:rPr>
        <w:t> </w:t>
      </w:r>
      <w:r>
        <w:rPr>
          <w:color w:val="231F20"/>
          <w:w w:val="105"/>
        </w:rPr>
        <w:t>PRD</w:t>
      </w:r>
      <w:r>
        <w:rPr>
          <w:color w:val="231F20"/>
          <w:spacing w:val="-26"/>
          <w:w w:val="105"/>
        </w:rPr>
        <w:t> </w:t>
      </w:r>
      <w:r>
        <w:rPr>
          <w:color w:val="231F20"/>
          <w:w w:val="105"/>
        </w:rPr>
        <w:t>ganó</w:t>
      </w:r>
      <w:r>
        <w:rPr>
          <w:color w:val="231F20"/>
          <w:spacing w:val="-26"/>
          <w:w w:val="105"/>
        </w:rPr>
        <w:t> </w:t>
      </w:r>
      <w:r>
        <w:rPr>
          <w:color w:val="231F20"/>
          <w:w w:val="105"/>
        </w:rPr>
        <w:t>las</w:t>
      </w:r>
      <w:r>
        <w:rPr>
          <w:color w:val="231F20"/>
          <w:spacing w:val="-26"/>
          <w:w w:val="105"/>
        </w:rPr>
        <w:t> </w:t>
      </w:r>
      <w:r>
        <w:rPr>
          <w:color w:val="231F20"/>
          <w:w w:val="105"/>
        </w:rPr>
        <w:t>elecciones</w:t>
      </w:r>
      <w:r>
        <w:rPr>
          <w:color w:val="231F20"/>
          <w:spacing w:val="-26"/>
          <w:w w:val="105"/>
        </w:rPr>
        <w:t> </w:t>
      </w:r>
      <w:r>
        <w:rPr>
          <w:color w:val="231F20"/>
          <w:w w:val="105"/>
        </w:rPr>
        <w:t>en</w:t>
      </w:r>
      <w:r>
        <w:rPr>
          <w:color w:val="231F20"/>
          <w:spacing w:val="-26"/>
          <w:w w:val="105"/>
        </w:rPr>
        <w:t> </w:t>
      </w:r>
      <w:r>
        <w:rPr>
          <w:color w:val="231F20"/>
          <w:w w:val="105"/>
        </w:rPr>
        <w:t>1996</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spacing w:val="-4"/>
          <w:w w:val="105"/>
        </w:rPr>
        <w:t>PAN </w:t>
      </w:r>
      <w:r>
        <w:rPr>
          <w:color w:val="231F20"/>
          <w:w w:val="105"/>
        </w:rPr>
        <w:t>lo hizo en el año </w:t>
      </w:r>
      <w:r>
        <w:rPr>
          <w:color w:val="231F20"/>
          <w:spacing w:val="3"/>
          <w:w w:val="105"/>
        </w:rPr>
        <w:t>2006. </w:t>
      </w:r>
      <w:r>
        <w:rPr>
          <w:color w:val="231F20"/>
          <w:w w:val="105"/>
        </w:rPr>
        <w:t>Entre estos dos momentos existe un periodo de </w:t>
      </w:r>
      <w:r>
        <w:rPr>
          <w:color w:val="231F20"/>
          <w:spacing w:val="-5"/>
          <w:w w:val="105"/>
        </w:rPr>
        <w:t>10 </w:t>
      </w:r>
      <w:r>
        <w:rPr>
          <w:color w:val="231F20"/>
          <w:w w:val="105"/>
        </w:rPr>
        <w:t>años en el cual</w:t>
      </w:r>
      <w:r>
        <w:rPr>
          <w:color w:val="231F20"/>
          <w:spacing w:val="-7"/>
          <w:w w:val="105"/>
        </w:rPr>
        <w:t> </w:t>
      </w:r>
      <w:r>
        <w:rPr>
          <w:color w:val="231F20"/>
          <w:w w:val="105"/>
        </w:rPr>
        <w:t>los</w:t>
      </w:r>
      <w:r>
        <w:rPr>
          <w:color w:val="231F20"/>
          <w:spacing w:val="-7"/>
          <w:w w:val="105"/>
        </w:rPr>
        <w:t> </w:t>
      </w:r>
      <w:r>
        <w:rPr>
          <w:color w:val="231F20"/>
          <w:w w:val="105"/>
        </w:rPr>
        <w:t>partidos</w:t>
      </w:r>
      <w:r>
        <w:rPr>
          <w:color w:val="231F20"/>
          <w:spacing w:val="-7"/>
          <w:w w:val="105"/>
        </w:rPr>
        <w:t> </w:t>
      </w:r>
      <w:r>
        <w:rPr>
          <w:color w:val="231F20"/>
          <w:w w:val="105"/>
        </w:rPr>
        <w:t>diferentes</w:t>
      </w:r>
      <w:r>
        <w:rPr>
          <w:color w:val="231F20"/>
          <w:spacing w:val="-7"/>
          <w:w w:val="105"/>
        </w:rPr>
        <w:t> </w:t>
      </w:r>
      <w:r>
        <w:rPr>
          <w:color w:val="231F20"/>
          <w:spacing w:val="2"/>
          <w:w w:val="105"/>
        </w:rPr>
        <w:t>al</w:t>
      </w:r>
      <w:r>
        <w:rPr>
          <w:color w:val="231F20"/>
          <w:spacing w:val="-7"/>
          <w:w w:val="105"/>
        </w:rPr>
        <w:t> </w:t>
      </w:r>
      <w:r>
        <w:rPr>
          <w:color w:val="231F20"/>
          <w:w w:val="105"/>
        </w:rPr>
        <w:t>PRI</w:t>
      </w:r>
      <w:r>
        <w:rPr>
          <w:color w:val="231F20"/>
          <w:spacing w:val="-7"/>
          <w:w w:val="105"/>
        </w:rPr>
        <w:t> </w:t>
      </w:r>
      <w:r>
        <w:rPr>
          <w:color w:val="231F20"/>
          <w:w w:val="105"/>
        </w:rPr>
        <w:t>han</w:t>
      </w:r>
      <w:r>
        <w:rPr>
          <w:color w:val="231F20"/>
          <w:spacing w:val="-7"/>
          <w:w w:val="105"/>
        </w:rPr>
        <w:t> </w:t>
      </w:r>
      <w:r>
        <w:rPr>
          <w:color w:val="231F20"/>
          <w:w w:val="105"/>
        </w:rPr>
        <w:t>gobernado</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En</w:t>
      </w:r>
      <w:r>
        <w:rPr>
          <w:color w:val="231F20"/>
          <w:spacing w:val="-7"/>
          <w:w w:val="105"/>
        </w:rPr>
        <w:t> </w:t>
      </w:r>
      <w:r>
        <w:rPr>
          <w:color w:val="231F20"/>
          <w:w w:val="105"/>
        </w:rPr>
        <w:t>apariencia</w:t>
      </w:r>
      <w:r>
        <w:rPr>
          <w:color w:val="231F20"/>
          <w:spacing w:val="-7"/>
          <w:w w:val="105"/>
        </w:rPr>
        <w:t> </w:t>
      </w:r>
      <w:r>
        <w:rPr>
          <w:color w:val="231F20"/>
          <w:w w:val="105"/>
        </w:rPr>
        <w:t>el</w:t>
      </w:r>
      <w:r>
        <w:rPr>
          <w:color w:val="231F20"/>
          <w:spacing w:val="-7"/>
          <w:w w:val="105"/>
        </w:rPr>
        <w:t> </w:t>
      </w:r>
      <w:r>
        <w:rPr>
          <w:color w:val="231F20"/>
          <w:w w:val="105"/>
        </w:rPr>
        <w:t>muni- cipio</w:t>
      </w:r>
      <w:r>
        <w:rPr>
          <w:color w:val="231F20"/>
          <w:spacing w:val="-12"/>
          <w:w w:val="105"/>
        </w:rPr>
        <w:t> </w:t>
      </w:r>
      <w:r>
        <w:rPr>
          <w:color w:val="231F20"/>
          <w:w w:val="105"/>
        </w:rPr>
        <w:t>se</w:t>
      </w:r>
      <w:r>
        <w:rPr>
          <w:color w:val="231F20"/>
          <w:spacing w:val="-12"/>
          <w:w w:val="105"/>
        </w:rPr>
        <w:t> </w:t>
      </w:r>
      <w:r>
        <w:rPr>
          <w:color w:val="231F20"/>
          <w:w w:val="105"/>
        </w:rPr>
        <w:t>somete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alternancia</w:t>
      </w:r>
      <w:r>
        <w:rPr>
          <w:color w:val="231F20"/>
          <w:spacing w:val="-12"/>
          <w:w w:val="105"/>
        </w:rPr>
        <w:t> </w:t>
      </w:r>
      <w:r>
        <w:rPr>
          <w:color w:val="231F20"/>
          <w:w w:val="105"/>
        </w:rPr>
        <w:t>ideológica</w:t>
      </w:r>
      <w:r>
        <w:rPr>
          <w:color w:val="231F20"/>
          <w:spacing w:val="-12"/>
          <w:w w:val="105"/>
        </w:rPr>
        <w:t> </w:t>
      </w:r>
      <w:r>
        <w:rPr>
          <w:color w:val="231F20"/>
          <w:spacing w:val="2"/>
          <w:w w:val="105"/>
        </w:rPr>
        <w:t>al</w:t>
      </w:r>
      <w:r>
        <w:rPr>
          <w:color w:val="231F20"/>
          <w:spacing w:val="-12"/>
          <w:w w:val="105"/>
        </w:rPr>
        <w:t> </w:t>
      </w:r>
      <w:r>
        <w:rPr>
          <w:color w:val="231F20"/>
          <w:w w:val="105"/>
        </w:rPr>
        <w:t>contar</w:t>
      </w:r>
      <w:r>
        <w:rPr>
          <w:color w:val="231F20"/>
          <w:spacing w:val="-12"/>
          <w:w w:val="105"/>
        </w:rPr>
        <w:t> </w:t>
      </w:r>
      <w:r>
        <w:rPr>
          <w:color w:val="231F20"/>
          <w:w w:val="105"/>
        </w:rPr>
        <w:t>con</w:t>
      </w:r>
      <w:r>
        <w:rPr>
          <w:color w:val="231F20"/>
          <w:spacing w:val="-12"/>
          <w:w w:val="105"/>
        </w:rPr>
        <w:t> </w:t>
      </w:r>
      <w:r>
        <w:rPr>
          <w:color w:val="231F20"/>
          <w:w w:val="105"/>
        </w:rPr>
        <w:t>un</w:t>
      </w:r>
      <w:r>
        <w:rPr>
          <w:color w:val="231F20"/>
          <w:spacing w:val="-12"/>
          <w:w w:val="105"/>
        </w:rPr>
        <w:t> </w:t>
      </w:r>
      <w:r>
        <w:rPr>
          <w:color w:val="231F20"/>
          <w:w w:val="105"/>
        </w:rPr>
        <w:t>partido</w:t>
      </w:r>
      <w:r>
        <w:rPr>
          <w:color w:val="231F20"/>
          <w:spacing w:val="-12"/>
          <w:w w:val="105"/>
        </w:rPr>
        <w:t> </w:t>
      </w:r>
      <w:r>
        <w:rPr>
          <w:color w:val="231F20"/>
          <w:w w:val="105"/>
        </w:rPr>
        <w:t>de</w:t>
      </w:r>
      <w:r>
        <w:rPr>
          <w:color w:val="231F20"/>
          <w:spacing w:val="-12"/>
          <w:w w:val="105"/>
        </w:rPr>
        <w:t> </w:t>
      </w:r>
      <w:r>
        <w:rPr>
          <w:color w:val="231F20"/>
          <w:w w:val="105"/>
        </w:rPr>
        <w:t>izquierda</w:t>
      </w:r>
      <w:r>
        <w:rPr>
          <w:color w:val="231F20"/>
          <w:spacing w:val="-12"/>
          <w:w w:val="105"/>
        </w:rPr>
        <w:t> </w:t>
      </w:r>
      <w:r>
        <w:rPr>
          <w:color w:val="231F20"/>
          <w:w w:val="105"/>
        </w:rPr>
        <w:t>y</w:t>
      </w:r>
      <w:r>
        <w:rPr>
          <w:color w:val="231F20"/>
          <w:spacing w:val="-12"/>
          <w:w w:val="105"/>
        </w:rPr>
        <w:t> </w:t>
      </w:r>
      <w:r>
        <w:rPr>
          <w:color w:val="231F20"/>
          <w:spacing w:val="-3"/>
          <w:w w:val="105"/>
        </w:rPr>
        <w:t>luego </w:t>
      </w:r>
      <w:r>
        <w:rPr>
          <w:color w:val="231F20"/>
          <w:w w:val="105"/>
        </w:rPr>
        <w:t>inclinarse por uno de derecha. En el orden municipal no muestran grandes diferencias sus acciones, situación que merece el estudio de gobierno de partidos para precisar si son estos los que gobiernan o son los estilos personales. Esto lo confirma el mismo presidente</w:t>
      </w:r>
      <w:r>
        <w:rPr>
          <w:color w:val="231F20"/>
          <w:spacing w:val="-13"/>
          <w:w w:val="105"/>
        </w:rPr>
        <w:t> </w:t>
      </w:r>
      <w:r>
        <w:rPr>
          <w:color w:val="231F20"/>
          <w:w w:val="105"/>
        </w:rPr>
        <w:t>de</w:t>
      </w:r>
      <w:r>
        <w:rPr>
          <w:color w:val="231F20"/>
          <w:spacing w:val="-13"/>
          <w:w w:val="105"/>
        </w:rPr>
        <w:t> </w:t>
      </w:r>
      <w:r>
        <w:rPr>
          <w:color w:val="231F20"/>
          <w:w w:val="105"/>
        </w:rPr>
        <w:t>Atlautla</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periodo</w:t>
      </w:r>
      <w:r>
        <w:rPr>
          <w:color w:val="231F20"/>
          <w:spacing w:val="-13"/>
          <w:w w:val="105"/>
        </w:rPr>
        <w:t> </w:t>
      </w:r>
      <w:r>
        <w:rPr>
          <w:color w:val="231F20"/>
          <w:w w:val="105"/>
        </w:rPr>
        <w:t>de</w:t>
      </w:r>
      <w:r>
        <w:rPr>
          <w:color w:val="231F20"/>
          <w:spacing w:val="-13"/>
          <w:w w:val="105"/>
        </w:rPr>
        <w:t> </w:t>
      </w:r>
      <w:r>
        <w:rPr>
          <w:color w:val="231F20"/>
          <w:w w:val="105"/>
        </w:rPr>
        <w:t>estudio</w:t>
      </w:r>
      <w:r>
        <w:rPr>
          <w:color w:val="231F20"/>
          <w:spacing w:val="-13"/>
          <w:w w:val="105"/>
        </w:rPr>
        <w:t> </w:t>
      </w:r>
      <w:r>
        <w:rPr>
          <w:color w:val="231F20"/>
          <w:w w:val="105"/>
        </w:rPr>
        <w:t>(2006-2009)</w:t>
      </w:r>
      <w:r>
        <w:rPr>
          <w:color w:val="231F20"/>
          <w:spacing w:val="-13"/>
          <w:w w:val="105"/>
        </w:rPr>
        <w:t> </w:t>
      </w:r>
      <w:r>
        <w:rPr>
          <w:color w:val="231F20"/>
          <w:w w:val="105"/>
        </w:rPr>
        <w:t>el</w:t>
      </w:r>
      <w:r>
        <w:rPr>
          <w:color w:val="231F20"/>
          <w:spacing w:val="-13"/>
          <w:w w:val="105"/>
        </w:rPr>
        <w:t> </w:t>
      </w:r>
      <w:r>
        <w:rPr>
          <w:color w:val="231F20"/>
          <w:w w:val="105"/>
        </w:rPr>
        <w:t>panista</w:t>
      </w:r>
      <w:r>
        <w:rPr>
          <w:color w:val="231F20"/>
          <w:spacing w:val="-13"/>
          <w:w w:val="105"/>
        </w:rPr>
        <w:t> </w:t>
      </w:r>
      <w:r>
        <w:rPr>
          <w:color w:val="231F20"/>
          <w:w w:val="105"/>
        </w:rPr>
        <w:t>Raúl</w:t>
      </w:r>
      <w:r>
        <w:rPr>
          <w:color w:val="231F20"/>
          <w:spacing w:val="-13"/>
          <w:w w:val="105"/>
        </w:rPr>
        <w:t> </w:t>
      </w:r>
      <w:r>
        <w:rPr>
          <w:color w:val="231F20"/>
          <w:w w:val="105"/>
        </w:rPr>
        <w:t>Navarro</w:t>
      </w:r>
      <w:r>
        <w:rPr>
          <w:color w:val="231F20"/>
          <w:w w:val="105"/>
          <w:position w:val="7"/>
          <w:sz w:val="13"/>
        </w:rPr>
        <w:t>1</w:t>
      </w:r>
      <w:r>
        <w:rPr>
          <w:color w:val="231F20"/>
          <w:w w:val="105"/>
        </w:rPr>
        <w:t>, quien </w:t>
      </w:r>
      <w:r>
        <w:rPr>
          <w:color w:val="231F20"/>
          <w:spacing w:val="2"/>
          <w:w w:val="105"/>
        </w:rPr>
        <w:t>afirma </w:t>
      </w:r>
      <w:r>
        <w:rPr>
          <w:color w:val="231F20"/>
          <w:w w:val="105"/>
        </w:rPr>
        <w:t>que su deseo es la búsqueda de mejor calidad de vida para los habitantes del</w:t>
      </w:r>
      <w:r>
        <w:rPr>
          <w:color w:val="231F20"/>
          <w:spacing w:val="-10"/>
          <w:w w:val="105"/>
        </w:rPr>
        <w:t> </w:t>
      </w:r>
      <w:r>
        <w:rPr>
          <w:color w:val="231F20"/>
          <w:w w:val="105"/>
        </w:rPr>
        <w:t>municipio,</w:t>
      </w:r>
      <w:r>
        <w:rPr>
          <w:color w:val="231F20"/>
          <w:spacing w:val="-10"/>
          <w:w w:val="105"/>
        </w:rPr>
        <w:t> </w:t>
      </w:r>
      <w:r>
        <w:rPr>
          <w:color w:val="231F20"/>
          <w:w w:val="105"/>
        </w:rPr>
        <w:t>más</w:t>
      </w:r>
      <w:r>
        <w:rPr>
          <w:color w:val="231F20"/>
          <w:spacing w:val="-10"/>
          <w:w w:val="105"/>
        </w:rPr>
        <w:t> </w:t>
      </w:r>
      <w:r>
        <w:rPr>
          <w:color w:val="231F20"/>
          <w:w w:val="105"/>
        </w:rPr>
        <w:t>que</w:t>
      </w:r>
      <w:r>
        <w:rPr>
          <w:color w:val="231F20"/>
          <w:spacing w:val="-10"/>
          <w:w w:val="105"/>
        </w:rPr>
        <w:t> </w:t>
      </w:r>
      <w:r>
        <w:rPr>
          <w:color w:val="231F20"/>
          <w:w w:val="105"/>
        </w:rPr>
        <w:t>un</w:t>
      </w:r>
      <w:r>
        <w:rPr>
          <w:color w:val="231F20"/>
          <w:spacing w:val="-10"/>
          <w:w w:val="105"/>
        </w:rPr>
        <w:t> </w:t>
      </w:r>
      <w:r>
        <w:rPr>
          <w:color w:val="231F20"/>
          <w:w w:val="105"/>
        </w:rPr>
        <w:t>proyecto</w:t>
      </w:r>
      <w:r>
        <w:rPr>
          <w:color w:val="231F20"/>
          <w:spacing w:val="-10"/>
          <w:w w:val="105"/>
        </w:rPr>
        <w:t> </w:t>
      </w:r>
      <w:r>
        <w:rPr>
          <w:color w:val="231F20"/>
          <w:w w:val="105"/>
        </w:rPr>
        <w:t>de</w:t>
      </w:r>
      <w:r>
        <w:rPr>
          <w:color w:val="231F20"/>
          <w:spacing w:val="-10"/>
          <w:w w:val="105"/>
        </w:rPr>
        <w:t> </w:t>
      </w:r>
      <w:r>
        <w:rPr>
          <w:color w:val="231F20"/>
          <w:w w:val="105"/>
        </w:rPr>
        <w:t>partido.</w:t>
      </w:r>
    </w:p>
    <w:p>
      <w:pPr>
        <w:pStyle w:val="BodyText"/>
        <w:spacing w:before="1"/>
        <w:rPr>
          <w:sz w:val="26"/>
        </w:rPr>
      </w:pPr>
    </w:p>
    <w:p>
      <w:pPr>
        <w:pStyle w:val="BodyText"/>
        <w:spacing w:line="285" w:lineRule="auto"/>
        <w:ind w:left="110" w:right="107"/>
        <w:jc w:val="both"/>
      </w:pPr>
      <w:r>
        <w:rPr>
          <w:color w:val="231F20"/>
          <w:w w:val="105"/>
        </w:rPr>
        <w:t>Con</w:t>
      </w:r>
      <w:r>
        <w:rPr>
          <w:color w:val="231F20"/>
          <w:spacing w:val="-4"/>
          <w:w w:val="105"/>
        </w:rPr>
        <w:t> </w:t>
      </w:r>
      <w:r>
        <w:rPr>
          <w:color w:val="231F20"/>
          <w:w w:val="105"/>
        </w:rPr>
        <w:t>esta</w:t>
      </w:r>
      <w:r>
        <w:rPr>
          <w:color w:val="231F20"/>
          <w:spacing w:val="-4"/>
          <w:w w:val="105"/>
        </w:rPr>
        <w:t> </w:t>
      </w:r>
      <w:r>
        <w:rPr>
          <w:color w:val="231F20"/>
          <w:w w:val="105"/>
        </w:rPr>
        <w:t>perspectiva,</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capítulo</w:t>
      </w:r>
      <w:r>
        <w:rPr>
          <w:color w:val="231F20"/>
          <w:spacing w:val="-4"/>
          <w:w w:val="105"/>
        </w:rPr>
        <w:t> </w:t>
      </w:r>
      <w:r>
        <w:rPr>
          <w:color w:val="231F20"/>
          <w:w w:val="105"/>
        </w:rPr>
        <w:t>se</w:t>
      </w:r>
      <w:r>
        <w:rPr>
          <w:color w:val="231F20"/>
          <w:spacing w:val="-4"/>
          <w:w w:val="105"/>
        </w:rPr>
        <w:t> </w:t>
      </w:r>
      <w:r>
        <w:rPr>
          <w:color w:val="231F20"/>
          <w:spacing w:val="2"/>
          <w:w w:val="105"/>
        </w:rPr>
        <w:t>analizan</w:t>
      </w:r>
      <w:r>
        <w:rPr>
          <w:color w:val="231F20"/>
          <w:spacing w:val="-4"/>
          <w:w w:val="105"/>
        </w:rPr>
        <w:t> </w:t>
      </w:r>
      <w:r>
        <w:rPr>
          <w:color w:val="231F20"/>
          <w:w w:val="105"/>
        </w:rPr>
        <w:t>las</w:t>
      </w:r>
      <w:r>
        <w:rPr>
          <w:color w:val="231F20"/>
          <w:spacing w:val="-4"/>
          <w:w w:val="105"/>
        </w:rPr>
        <w:t> </w:t>
      </w:r>
      <w:r>
        <w:rPr>
          <w:color w:val="231F20"/>
          <w:w w:val="105"/>
        </w:rPr>
        <w:t>acciones</w:t>
      </w:r>
      <w:r>
        <w:rPr>
          <w:color w:val="231F20"/>
          <w:spacing w:val="-4"/>
          <w:w w:val="105"/>
        </w:rPr>
        <w:t> </w:t>
      </w:r>
      <w:r>
        <w:rPr>
          <w:color w:val="231F20"/>
          <w:w w:val="105"/>
        </w:rPr>
        <w:t>realizadas</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Ayun- tamiento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periodo</w:t>
      </w:r>
      <w:r>
        <w:rPr>
          <w:color w:val="231F20"/>
          <w:spacing w:val="-6"/>
          <w:w w:val="105"/>
        </w:rPr>
        <w:t> </w:t>
      </w:r>
      <w:r>
        <w:rPr>
          <w:color w:val="231F20"/>
          <w:w w:val="105"/>
        </w:rPr>
        <w:t>2006-2009,</w:t>
      </w:r>
      <w:r>
        <w:rPr>
          <w:color w:val="231F20"/>
          <w:spacing w:val="-6"/>
          <w:w w:val="105"/>
        </w:rPr>
        <w:t> </w:t>
      </w:r>
      <w:r>
        <w:rPr>
          <w:color w:val="231F20"/>
          <w:w w:val="105"/>
        </w:rPr>
        <w:t>que</w:t>
      </w:r>
      <w:r>
        <w:rPr>
          <w:color w:val="231F20"/>
          <w:spacing w:val="-6"/>
          <w:w w:val="105"/>
        </w:rPr>
        <w:t> </w:t>
      </w:r>
      <w:r>
        <w:rPr>
          <w:color w:val="231F20"/>
          <w:w w:val="105"/>
        </w:rPr>
        <w:t>están</w:t>
      </w:r>
      <w:r>
        <w:rPr>
          <w:color w:val="231F20"/>
          <w:spacing w:val="-6"/>
          <w:w w:val="105"/>
        </w:rPr>
        <w:t> </w:t>
      </w:r>
      <w:r>
        <w:rPr>
          <w:color w:val="231F20"/>
          <w:w w:val="105"/>
        </w:rPr>
        <w:t>encaminadas</w:t>
      </w:r>
      <w:r>
        <w:rPr>
          <w:color w:val="231F20"/>
          <w:spacing w:val="-6"/>
          <w:w w:val="105"/>
        </w:rPr>
        <w:t> </w:t>
      </w:r>
      <w:r>
        <w:rPr>
          <w:color w:val="231F20"/>
          <w:w w:val="105"/>
        </w:rPr>
        <w:t>a</w:t>
      </w:r>
      <w:r>
        <w:rPr>
          <w:color w:val="231F20"/>
          <w:spacing w:val="-6"/>
          <w:w w:val="105"/>
        </w:rPr>
        <w:t> </w:t>
      </w:r>
      <w:r>
        <w:rPr>
          <w:color w:val="231F20"/>
          <w:w w:val="105"/>
        </w:rPr>
        <w:t>beneficiar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comunidad </w:t>
      </w:r>
      <w:r>
        <w:rPr>
          <w:color w:val="231F20"/>
          <w:w w:val="105"/>
          <w:u w:val="single" w:color="231F20"/>
        </w:rPr>
        <w:t>más</w:t>
      </w:r>
      <w:r>
        <w:rPr>
          <w:color w:val="231F20"/>
          <w:spacing w:val="-13"/>
          <w:w w:val="105"/>
          <w:u w:val="single" w:color="231F20"/>
        </w:rPr>
        <w:t> </w:t>
      </w:r>
      <w:r>
        <w:rPr>
          <w:color w:val="231F20"/>
          <w:w w:val="105"/>
          <w:u w:val="single" w:color="231F20"/>
        </w:rPr>
        <w:t>que</w:t>
      </w:r>
      <w:r>
        <w:rPr>
          <w:color w:val="231F20"/>
          <w:spacing w:val="-13"/>
          <w:w w:val="105"/>
          <w:u w:val="single" w:color="231F20"/>
        </w:rPr>
        <w:t> </w:t>
      </w:r>
      <w:r>
        <w:rPr>
          <w:color w:val="231F20"/>
          <w:w w:val="105"/>
          <w:u w:val="single" w:color="231F20"/>
        </w:rPr>
        <w:t>a</w:t>
      </w:r>
      <w:r>
        <w:rPr>
          <w:color w:val="231F20"/>
          <w:spacing w:val="-13"/>
          <w:w w:val="105"/>
          <w:u w:val="single" w:color="231F20"/>
        </w:rPr>
        <w:t> </w:t>
      </w:r>
      <w:r>
        <w:rPr>
          <w:color w:val="231F20"/>
          <w:w w:val="105"/>
          <w:u w:val="single" w:color="231F20"/>
        </w:rPr>
        <w:t>conso</w:t>
      </w:r>
      <w:r>
        <w:rPr>
          <w:color w:val="231F20"/>
          <w:w w:val="105"/>
        </w:rPr>
        <w:t>lidar</w:t>
      </w:r>
      <w:r>
        <w:rPr>
          <w:color w:val="231F20"/>
          <w:spacing w:val="-13"/>
          <w:w w:val="105"/>
        </w:rPr>
        <w:t> </w:t>
      </w:r>
      <w:r>
        <w:rPr>
          <w:color w:val="231F20"/>
          <w:spacing w:val="2"/>
          <w:w w:val="105"/>
        </w:rPr>
        <w:t>al</w:t>
      </w:r>
      <w:r>
        <w:rPr>
          <w:color w:val="231F20"/>
          <w:spacing w:val="-13"/>
          <w:w w:val="105"/>
        </w:rPr>
        <w:t> </w:t>
      </w:r>
      <w:r>
        <w:rPr>
          <w:color w:val="231F20"/>
          <w:spacing w:val="-4"/>
          <w:w w:val="105"/>
        </w:rPr>
        <w:t>PAN</w:t>
      </w:r>
      <w:r>
        <w:rPr>
          <w:color w:val="231F20"/>
          <w:spacing w:val="-13"/>
          <w:w w:val="105"/>
        </w:rPr>
        <w:t> </w:t>
      </w:r>
      <w:r>
        <w:rPr>
          <w:color w:val="231F20"/>
          <w:w w:val="105"/>
        </w:rPr>
        <w:t>como</w:t>
      </w:r>
      <w:r>
        <w:rPr>
          <w:color w:val="231F20"/>
          <w:spacing w:val="-13"/>
          <w:w w:val="105"/>
        </w:rPr>
        <w:t> </w:t>
      </w:r>
      <w:r>
        <w:rPr>
          <w:color w:val="231F20"/>
          <w:w w:val="105"/>
        </w:rPr>
        <w:t>la</w:t>
      </w:r>
      <w:r>
        <w:rPr>
          <w:color w:val="231F20"/>
          <w:spacing w:val="-13"/>
          <w:w w:val="105"/>
        </w:rPr>
        <w:t> </w:t>
      </w:r>
      <w:r>
        <w:rPr>
          <w:color w:val="231F20"/>
          <w:w w:val="105"/>
        </w:rPr>
        <w:t>primera</w:t>
      </w:r>
      <w:r>
        <w:rPr>
          <w:color w:val="231F20"/>
          <w:spacing w:val="-13"/>
          <w:w w:val="105"/>
        </w:rPr>
        <w:t> </w:t>
      </w:r>
      <w:r>
        <w:rPr>
          <w:color w:val="231F20"/>
          <w:w w:val="105"/>
        </w:rPr>
        <w:t>fuerza</w:t>
      </w:r>
      <w:r>
        <w:rPr>
          <w:color w:val="231F20"/>
          <w:spacing w:val="-13"/>
          <w:w w:val="105"/>
        </w:rPr>
        <w:t> </w:t>
      </w:r>
      <w:r>
        <w:rPr>
          <w:color w:val="231F20"/>
          <w:w w:val="105"/>
        </w:rPr>
        <w:t>electoral</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municipio,</w:t>
      </w:r>
      <w:r>
        <w:rPr>
          <w:color w:val="231F20"/>
          <w:spacing w:val="-13"/>
          <w:w w:val="105"/>
        </w:rPr>
        <w:t> </w:t>
      </w:r>
      <w:r>
        <w:rPr>
          <w:color w:val="231F20"/>
          <w:w w:val="105"/>
        </w:rPr>
        <w:t>pues</w:t>
      </w:r>
      <w:r>
        <w:rPr>
          <w:color w:val="231F20"/>
          <w:spacing w:val="-13"/>
          <w:w w:val="105"/>
        </w:rPr>
        <w:t> </w:t>
      </w:r>
      <w:r>
        <w:rPr>
          <w:color w:val="231F20"/>
          <w:w w:val="105"/>
        </w:rPr>
        <w:t>las</w:t>
      </w:r>
    </w:p>
    <w:p>
      <w:pPr>
        <w:pStyle w:val="ListParagraph"/>
        <w:numPr>
          <w:ilvl w:val="0"/>
          <w:numId w:val="18"/>
        </w:numPr>
        <w:tabs>
          <w:tab w:pos="216" w:val="left" w:leader="none"/>
        </w:tabs>
        <w:spacing w:line="240" w:lineRule="auto" w:before="53" w:after="0"/>
        <w:ind w:left="110" w:right="0" w:firstLine="0"/>
        <w:jc w:val="both"/>
        <w:rPr>
          <w:sz w:val="16"/>
        </w:rPr>
      </w:pPr>
      <w:r>
        <w:rPr>
          <w:color w:val="231F20"/>
          <w:spacing w:val="-3"/>
          <w:sz w:val="16"/>
        </w:rPr>
        <w:t>Raúl</w:t>
      </w:r>
      <w:r>
        <w:rPr>
          <w:color w:val="231F20"/>
          <w:spacing w:val="-20"/>
          <w:sz w:val="16"/>
        </w:rPr>
        <w:t> </w:t>
      </w:r>
      <w:r>
        <w:rPr>
          <w:color w:val="231F20"/>
          <w:spacing w:val="-4"/>
          <w:sz w:val="16"/>
        </w:rPr>
        <w:t>Navarro</w:t>
      </w:r>
      <w:r>
        <w:rPr>
          <w:color w:val="231F20"/>
          <w:spacing w:val="-20"/>
          <w:sz w:val="16"/>
        </w:rPr>
        <w:t> </w:t>
      </w:r>
      <w:r>
        <w:rPr>
          <w:color w:val="231F20"/>
          <w:sz w:val="16"/>
        </w:rPr>
        <w:t>es</w:t>
      </w:r>
      <w:r>
        <w:rPr>
          <w:color w:val="231F20"/>
          <w:spacing w:val="-20"/>
          <w:sz w:val="16"/>
        </w:rPr>
        <w:t> </w:t>
      </w:r>
      <w:r>
        <w:rPr>
          <w:color w:val="231F20"/>
          <w:spacing w:val="-4"/>
          <w:sz w:val="16"/>
        </w:rPr>
        <w:t>presidente</w:t>
      </w:r>
      <w:r>
        <w:rPr>
          <w:color w:val="231F20"/>
          <w:spacing w:val="-20"/>
          <w:sz w:val="16"/>
        </w:rPr>
        <w:t> </w:t>
      </w:r>
      <w:r>
        <w:rPr>
          <w:color w:val="231F20"/>
          <w:spacing w:val="-4"/>
          <w:sz w:val="16"/>
        </w:rPr>
        <w:t>municipal</w:t>
      </w:r>
      <w:r>
        <w:rPr>
          <w:color w:val="231F20"/>
          <w:spacing w:val="-20"/>
          <w:sz w:val="16"/>
        </w:rPr>
        <w:t> </w:t>
      </w:r>
      <w:r>
        <w:rPr>
          <w:color w:val="231F20"/>
          <w:sz w:val="16"/>
        </w:rPr>
        <w:t>de</w:t>
      </w:r>
      <w:r>
        <w:rPr>
          <w:color w:val="231F20"/>
          <w:spacing w:val="-20"/>
          <w:sz w:val="16"/>
        </w:rPr>
        <w:t> </w:t>
      </w:r>
      <w:r>
        <w:rPr>
          <w:color w:val="231F20"/>
          <w:spacing w:val="-4"/>
          <w:sz w:val="16"/>
        </w:rPr>
        <w:t>Atlautla</w:t>
      </w:r>
      <w:r>
        <w:rPr>
          <w:color w:val="231F20"/>
          <w:spacing w:val="-20"/>
          <w:sz w:val="16"/>
        </w:rPr>
        <w:t> </w:t>
      </w:r>
      <w:r>
        <w:rPr>
          <w:color w:val="231F20"/>
          <w:sz w:val="16"/>
        </w:rPr>
        <w:t>en</w:t>
      </w:r>
      <w:r>
        <w:rPr>
          <w:color w:val="231F20"/>
          <w:spacing w:val="-20"/>
          <w:sz w:val="16"/>
        </w:rPr>
        <w:t> </w:t>
      </w:r>
      <w:r>
        <w:rPr>
          <w:color w:val="231F20"/>
          <w:sz w:val="16"/>
        </w:rPr>
        <w:t>el</w:t>
      </w:r>
      <w:r>
        <w:rPr>
          <w:color w:val="231F20"/>
          <w:spacing w:val="-20"/>
          <w:sz w:val="16"/>
        </w:rPr>
        <w:t> </w:t>
      </w:r>
      <w:r>
        <w:rPr>
          <w:color w:val="231F20"/>
          <w:spacing w:val="-4"/>
          <w:sz w:val="16"/>
        </w:rPr>
        <w:t>2006-2009</w:t>
      </w:r>
      <w:r>
        <w:rPr>
          <w:color w:val="231F20"/>
          <w:spacing w:val="-20"/>
          <w:sz w:val="16"/>
        </w:rPr>
        <w:t> </w:t>
      </w:r>
      <w:r>
        <w:rPr>
          <w:color w:val="231F20"/>
          <w:sz w:val="16"/>
        </w:rPr>
        <w:t>y</w:t>
      </w:r>
      <w:r>
        <w:rPr>
          <w:color w:val="231F20"/>
          <w:spacing w:val="-20"/>
          <w:sz w:val="16"/>
        </w:rPr>
        <w:t> </w:t>
      </w:r>
      <w:r>
        <w:rPr>
          <w:color w:val="231F20"/>
          <w:spacing w:val="-3"/>
          <w:sz w:val="16"/>
        </w:rPr>
        <w:t>vuelve</w:t>
      </w:r>
      <w:r>
        <w:rPr>
          <w:color w:val="231F20"/>
          <w:spacing w:val="-20"/>
          <w:sz w:val="16"/>
        </w:rPr>
        <w:t> </w:t>
      </w:r>
      <w:r>
        <w:rPr>
          <w:color w:val="231F20"/>
          <w:sz w:val="16"/>
        </w:rPr>
        <w:t>para</w:t>
      </w:r>
      <w:r>
        <w:rPr>
          <w:color w:val="231F20"/>
          <w:spacing w:val="-20"/>
          <w:sz w:val="16"/>
        </w:rPr>
        <w:t> </w:t>
      </w:r>
      <w:r>
        <w:rPr>
          <w:color w:val="231F20"/>
          <w:sz w:val="16"/>
        </w:rPr>
        <w:t>el</w:t>
      </w:r>
      <w:r>
        <w:rPr>
          <w:color w:val="231F20"/>
          <w:spacing w:val="-20"/>
          <w:sz w:val="16"/>
        </w:rPr>
        <w:t> </w:t>
      </w:r>
      <w:r>
        <w:rPr>
          <w:color w:val="231F20"/>
          <w:spacing w:val="-3"/>
          <w:sz w:val="16"/>
        </w:rPr>
        <w:t>periodo</w:t>
      </w:r>
      <w:r>
        <w:rPr>
          <w:color w:val="231F20"/>
          <w:spacing w:val="-20"/>
          <w:sz w:val="16"/>
        </w:rPr>
        <w:t> </w:t>
      </w:r>
      <w:r>
        <w:rPr>
          <w:color w:val="231F20"/>
          <w:spacing w:val="-9"/>
          <w:sz w:val="16"/>
        </w:rPr>
        <w:t>2013-2015,</w:t>
      </w:r>
      <w:r>
        <w:rPr>
          <w:color w:val="231F20"/>
          <w:spacing w:val="-20"/>
          <w:sz w:val="16"/>
        </w:rPr>
        <w:t> </w:t>
      </w:r>
      <w:r>
        <w:rPr>
          <w:color w:val="231F20"/>
          <w:spacing w:val="-3"/>
          <w:sz w:val="16"/>
        </w:rPr>
        <w:t>las</w:t>
      </w:r>
      <w:r>
        <w:rPr>
          <w:color w:val="231F20"/>
          <w:spacing w:val="-20"/>
          <w:sz w:val="16"/>
        </w:rPr>
        <w:t> </w:t>
      </w:r>
      <w:r>
        <w:rPr>
          <w:color w:val="231F20"/>
          <w:spacing w:val="-3"/>
          <w:sz w:val="16"/>
        </w:rPr>
        <w:t>dos</w:t>
      </w:r>
      <w:r>
        <w:rPr>
          <w:color w:val="231F20"/>
          <w:spacing w:val="-20"/>
          <w:sz w:val="16"/>
        </w:rPr>
        <w:t> </w:t>
      </w:r>
      <w:r>
        <w:rPr>
          <w:color w:val="231F20"/>
          <w:spacing w:val="-4"/>
          <w:sz w:val="16"/>
        </w:rPr>
        <w:t>ocasiones</w:t>
      </w:r>
      <w:r>
        <w:rPr>
          <w:color w:val="231F20"/>
          <w:spacing w:val="-20"/>
          <w:sz w:val="16"/>
        </w:rPr>
        <w:t> </w:t>
      </w:r>
      <w:r>
        <w:rPr>
          <w:color w:val="231F20"/>
          <w:sz w:val="16"/>
        </w:rPr>
        <w:t>por</w:t>
      </w:r>
      <w:r>
        <w:rPr>
          <w:color w:val="231F20"/>
          <w:spacing w:val="-20"/>
          <w:sz w:val="16"/>
        </w:rPr>
        <w:t> </w:t>
      </w:r>
      <w:r>
        <w:rPr>
          <w:color w:val="231F20"/>
          <w:sz w:val="16"/>
        </w:rPr>
        <w:t>el</w:t>
      </w:r>
      <w:r>
        <w:rPr>
          <w:color w:val="231F20"/>
          <w:spacing w:val="-20"/>
          <w:sz w:val="16"/>
        </w:rPr>
        <w:t> </w:t>
      </w:r>
      <w:r>
        <w:rPr>
          <w:color w:val="231F20"/>
          <w:spacing w:val="-5"/>
          <w:sz w:val="16"/>
        </w:rPr>
        <w:t>PAN.</w:t>
      </w:r>
    </w:p>
    <w:p>
      <w:pPr>
        <w:spacing w:after="0" w:line="240" w:lineRule="auto"/>
        <w:jc w:val="both"/>
        <w:rPr>
          <w:sz w:val="16"/>
        </w:rPr>
        <w:sectPr>
          <w:type w:val="continuous"/>
          <w:pgSz w:w="9640" w:h="12190"/>
          <w:pgMar w:top="0" w:bottom="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condiciones socioeconómicas y culturales de la población </w:t>
      </w:r>
      <w:r>
        <w:rPr>
          <w:color w:val="231F20"/>
          <w:spacing w:val="2"/>
          <w:w w:val="105"/>
        </w:rPr>
        <w:t>dificultan </w:t>
      </w:r>
      <w:r>
        <w:rPr>
          <w:color w:val="231F20"/>
          <w:w w:val="105"/>
        </w:rPr>
        <w:t>la </w:t>
      </w:r>
      <w:r>
        <w:rPr>
          <w:color w:val="231F20"/>
          <w:spacing w:val="-3"/>
          <w:w w:val="105"/>
        </w:rPr>
        <w:t>apropiación </w:t>
      </w:r>
      <w:r>
        <w:rPr>
          <w:color w:val="231F20"/>
          <w:w w:val="105"/>
        </w:rPr>
        <w:t>de esta</w:t>
      </w:r>
      <w:r>
        <w:rPr>
          <w:color w:val="231F20"/>
          <w:spacing w:val="-5"/>
          <w:w w:val="105"/>
        </w:rPr>
        <w:t> </w:t>
      </w:r>
      <w:r>
        <w:rPr>
          <w:color w:val="231F20"/>
          <w:w w:val="105"/>
        </w:rPr>
        <w:t>corriente.</w:t>
      </w:r>
      <w:r>
        <w:rPr>
          <w:color w:val="231F20"/>
          <w:spacing w:val="-5"/>
          <w:w w:val="105"/>
        </w:rPr>
        <w:t> </w:t>
      </w:r>
      <w:r>
        <w:rPr>
          <w:color w:val="231F20"/>
          <w:w w:val="105"/>
        </w:rPr>
        <w:t>Si</w:t>
      </w:r>
      <w:r>
        <w:rPr>
          <w:color w:val="231F20"/>
          <w:spacing w:val="-5"/>
          <w:w w:val="105"/>
        </w:rPr>
        <w:t> </w:t>
      </w:r>
      <w:r>
        <w:rPr>
          <w:color w:val="231F20"/>
          <w:w w:val="105"/>
        </w:rPr>
        <w:t>a</w:t>
      </w:r>
      <w:r>
        <w:rPr>
          <w:color w:val="231F20"/>
          <w:spacing w:val="-5"/>
          <w:w w:val="105"/>
        </w:rPr>
        <w:t> </w:t>
      </w:r>
      <w:r>
        <w:rPr>
          <w:color w:val="231F20"/>
          <w:w w:val="105"/>
        </w:rPr>
        <w:t>esto</w:t>
      </w:r>
      <w:r>
        <w:rPr>
          <w:color w:val="231F20"/>
          <w:spacing w:val="-5"/>
          <w:w w:val="105"/>
        </w:rPr>
        <w:t> </w:t>
      </w:r>
      <w:r>
        <w:rPr>
          <w:color w:val="231F20"/>
          <w:w w:val="105"/>
        </w:rPr>
        <w:t>sumamos</w:t>
      </w:r>
      <w:r>
        <w:rPr>
          <w:color w:val="231F20"/>
          <w:spacing w:val="-5"/>
          <w:w w:val="105"/>
        </w:rPr>
        <w:t> </w:t>
      </w:r>
      <w:r>
        <w:rPr>
          <w:color w:val="231F20"/>
          <w:w w:val="105"/>
        </w:rPr>
        <w:t>el</w:t>
      </w:r>
      <w:r>
        <w:rPr>
          <w:color w:val="231F20"/>
          <w:spacing w:val="-5"/>
          <w:w w:val="105"/>
        </w:rPr>
        <w:t> </w:t>
      </w:r>
      <w:r>
        <w:rPr>
          <w:color w:val="231F20"/>
          <w:w w:val="105"/>
        </w:rPr>
        <w:t>estilo</w:t>
      </w:r>
      <w:r>
        <w:rPr>
          <w:color w:val="231F20"/>
          <w:spacing w:val="-5"/>
          <w:w w:val="105"/>
        </w:rPr>
        <w:t> </w:t>
      </w:r>
      <w:r>
        <w:rPr>
          <w:color w:val="231F20"/>
          <w:w w:val="105"/>
        </w:rPr>
        <w:t>personal</w:t>
      </w:r>
      <w:r>
        <w:rPr>
          <w:color w:val="231F20"/>
          <w:spacing w:val="-5"/>
          <w:w w:val="105"/>
        </w:rPr>
        <w:t> </w:t>
      </w:r>
      <w:r>
        <w:rPr>
          <w:color w:val="231F20"/>
          <w:w w:val="105"/>
        </w:rPr>
        <w:t>de</w:t>
      </w:r>
      <w:r>
        <w:rPr>
          <w:color w:val="231F20"/>
          <w:spacing w:val="-5"/>
          <w:w w:val="105"/>
        </w:rPr>
        <w:t> </w:t>
      </w:r>
      <w:r>
        <w:rPr>
          <w:color w:val="231F20"/>
          <w:w w:val="105"/>
        </w:rPr>
        <w:t>gobernar</w:t>
      </w:r>
      <w:r>
        <w:rPr>
          <w:color w:val="231F20"/>
          <w:spacing w:val="-5"/>
          <w:w w:val="105"/>
        </w:rPr>
        <w:t> </w:t>
      </w:r>
      <w:r>
        <w:rPr>
          <w:color w:val="231F20"/>
          <w:w w:val="105"/>
        </w:rPr>
        <w:t>del</w:t>
      </w:r>
      <w:r>
        <w:rPr>
          <w:color w:val="231F20"/>
          <w:spacing w:val="-5"/>
          <w:w w:val="105"/>
        </w:rPr>
        <w:t> </w:t>
      </w:r>
      <w:r>
        <w:rPr>
          <w:color w:val="231F20"/>
          <w:w w:val="105"/>
        </w:rPr>
        <w:t>presidente</w:t>
      </w:r>
      <w:r>
        <w:rPr>
          <w:color w:val="231F20"/>
          <w:spacing w:val="-5"/>
          <w:w w:val="105"/>
        </w:rPr>
        <w:t> </w:t>
      </w:r>
      <w:r>
        <w:rPr>
          <w:color w:val="231F20"/>
          <w:w w:val="105"/>
        </w:rPr>
        <w:t>munici- pal,</w:t>
      </w:r>
      <w:r>
        <w:rPr>
          <w:color w:val="231F20"/>
          <w:spacing w:val="-15"/>
          <w:w w:val="105"/>
        </w:rPr>
        <w:t> </w:t>
      </w:r>
      <w:r>
        <w:rPr>
          <w:color w:val="231F20"/>
          <w:w w:val="105"/>
        </w:rPr>
        <w:t>tenemos,</w:t>
      </w:r>
      <w:r>
        <w:rPr>
          <w:color w:val="231F20"/>
          <w:spacing w:val="-15"/>
          <w:w w:val="105"/>
        </w:rPr>
        <w:t> </w:t>
      </w:r>
      <w:r>
        <w:rPr>
          <w:color w:val="231F20"/>
          <w:w w:val="105"/>
        </w:rPr>
        <w:t>en</w:t>
      </w:r>
      <w:r>
        <w:rPr>
          <w:color w:val="231F20"/>
          <w:spacing w:val="-15"/>
          <w:w w:val="105"/>
        </w:rPr>
        <w:t> </w:t>
      </w:r>
      <w:r>
        <w:rPr>
          <w:color w:val="231F20"/>
          <w:w w:val="105"/>
        </w:rPr>
        <w:t>efecto,</w:t>
      </w:r>
      <w:r>
        <w:rPr>
          <w:color w:val="231F20"/>
          <w:spacing w:val="-15"/>
          <w:w w:val="105"/>
        </w:rPr>
        <w:t> </w:t>
      </w:r>
      <w:r>
        <w:rPr>
          <w:color w:val="231F20"/>
          <w:w w:val="105"/>
        </w:rPr>
        <w:t>un</w:t>
      </w:r>
      <w:r>
        <w:rPr>
          <w:color w:val="231F20"/>
          <w:spacing w:val="-15"/>
          <w:w w:val="105"/>
        </w:rPr>
        <w:t> </w:t>
      </w:r>
      <w:r>
        <w:rPr>
          <w:color w:val="231F20"/>
          <w:w w:val="105"/>
        </w:rPr>
        <w:t>buen</w:t>
      </w:r>
      <w:r>
        <w:rPr>
          <w:color w:val="231F20"/>
          <w:spacing w:val="-15"/>
          <w:w w:val="105"/>
        </w:rPr>
        <w:t> </w:t>
      </w:r>
      <w:r>
        <w:rPr>
          <w:color w:val="231F20"/>
          <w:w w:val="105"/>
        </w:rPr>
        <w:t>desempeño</w:t>
      </w:r>
      <w:r>
        <w:rPr>
          <w:color w:val="231F20"/>
          <w:spacing w:val="-15"/>
          <w:w w:val="105"/>
        </w:rPr>
        <w:t> </w:t>
      </w:r>
      <w:r>
        <w:rPr>
          <w:color w:val="231F20"/>
          <w:w w:val="105"/>
        </w:rPr>
        <w:t>gubernamental</w:t>
      </w:r>
      <w:r>
        <w:rPr>
          <w:color w:val="231F20"/>
          <w:spacing w:val="-15"/>
          <w:w w:val="105"/>
        </w:rPr>
        <w:t> </w:t>
      </w:r>
      <w:r>
        <w:rPr>
          <w:color w:val="231F20"/>
          <w:w w:val="105"/>
        </w:rPr>
        <w:t>pero</w:t>
      </w:r>
      <w:r>
        <w:rPr>
          <w:color w:val="231F20"/>
          <w:spacing w:val="-15"/>
          <w:w w:val="105"/>
        </w:rPr>
        <w:t> </w:t>
      </w:r>
      <w:r>
        <w:rPr>
          <w:color w:val="231F20"/>
          <w:w w:val="105"/>
        </w:rPr>
        <w:t>sin</w:t>
      </w:r>
      <w:r>
        <w:rPr>
          <w:color w:val="231F20"/>
          <w:spacing w:val="-15"/>
          <w:w w:val="105"/>
        </w:rPr>
        <w:t> </w:t>
      </w:r>
      <w:r>
        <w:rPr>
          <w:color w:val="231F20"/>
          <w:w w:val="105"/>
        </w:rPr>
        <w:t>una</w:t>
      </w:r>
      <w:r>
        <w:rPr>
          <w:color w:val="231F20"/>
          <w:spacing w:val="-15"/>
          <w:w w:val="105"/>
        </w:rPr>
        <w:t> </w:t>
      </w:r>
      <w:r>
        <w:rPr>
          <w:color w:val="231F20"/>
          <w:w w:val="105"/>
        </w:rPr>
        <w:t>fuerte</w:t>
      </w:r>
      <w:r>
        <w:rPr>
          <w:color w:val="231F20"/>
          <w:spacing w:val="-15"/>
          <w:w w:val="105"/>
        </w:rPr>
        <w:t> </w:t>
      </w:r>
      <w:r>
        <w:rPr>
          <w:color w:val="231F20"/>
          <w:w w:val="105"/>
        </w:rPr>
        <w:t>influen- cia panista. </w:t>
      </w:r>
      <w:r>
        <w:rPr>
          <w:color w:val="231F20"/>
          <w:spacing w:val="-3"/>
          <w:w w:val="105"/>
        </w:rPr>
        <w:t>Por </w:t>
      </w:r>
      <w:r>
        <w:rPr>
          <w:color w:val="231F20"/>
          <w:w w:val="105"/>
        </w:rPr>
        <w:t>otro lado, existen algunos temas en los que faltan acciones a realizar; si</w:t>
      </w:r>
      <w:r>
        <w:rPr>
          <w:color w:val="231F20"/>
          <w:spacing w:val="-6"/>
          <w:w w:val="105"/>
        </w:rPr>
        <w:t> </w:t>
      </w:r>
      <w:r>
        <w:rPr>
          <w:color w:val="231F20"/>
          <w:w w:val="105"/>
        </w:rPr>
        <w:t>bien</w:t>
      </w:r>
      <w:r>
        <w:rPr>
          <w:color w:val="231F20"/>
          <w:spacing w:val="-6"/>
          <w:w w:val="105"/>
        </w:rPr>
        <w:t> </w:t>
      </w:r>
      <w:r>
        <w:rPr>
          <w:color w:val="231F20"/>
          <w:w w:val="105"/>
        </w:rPr>
        <w:t>están</w:t>
      </w:r>
      <w:r>
        <w:rPr>
          <w:color w:val="231F20"/>
          <w:spacing w:val="-6"/>
          <w:w w:val="105"/>
        </w:rPr>
        <w:t> </w:t>
      </w:r>
      <w:r>
        <w:rPr>
          <w:color w:val="231F20"/>
          <w:w w:val="105"/>
        </w:rPr>
        <w:t>contemplados</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diferentes</w:t>
      </w:r>
      <w:r>
        <w:rPr>
          <w:color w:val="231F20"/>
          <w:spacing w:val="-6"/>
          <w:w w:val="105"/>
        </w:rPr>
        <w:t> </w:t>
      </w:r>
      <w:r>
        <w:rPr>
          <w:color w:val="231F20"/>
          <w:w w:val="105"/>
        </w:rPr>
        <w:t>documentos</w:t>
      </w:r>
      <w:r>
        <w:rPr>
          <w:color w:val="231F20"/>
          <w:spacing w:val="-6"/>
          <w:w w:val="105"/>
        </w:rPr>
        <w:t> </w:t>
      </w:r>
      <w:r>
        <w:rPr>
          <w:color w:val="231F20"/>
          <w:w w:val="105"/>
        </w:rPr>
        <w:t>que</w:t>
      </w:r>
      <w:r>
        <w:rPr>
          <w:color w:val="231F20"/>
          <w:spacing w:val="-6"/>
          <w:w w:val="105"/>
        </w:rPr>
        <w:t> </w:t>
      </w:r>
      <w:r>
        <w:rPr>
          <w:color w:val="231F20"/>
          <w:w w:val="105"/>
        </w:rPr>
        <w:t>rigen</w:t>
      </w:r>
      <w:r>
        <w:rPr>
          <w:color w:val="231F20"/>
          <w:spacing w:val="-6"/>
          <w:w w:val="105"/>
        </w:rPr>
        <w:t> </w:t>
      </w:r>
      <w:r>
        <w:rPr>
          <w:color w:val="231F20"/>
          <w:spacing w:val="2"/>
          <w:w w:val="105"/>
        </w:rPr>
        <w:t>al</w:t>
      </w:r>
      <w:r>
        <w:rPr>
          <w:color w:val="231F20"/>
          <w:spacing w:val="-6"/>
          <w:w w:val="105"/>
        </w:rPr>
        <w:t> </w:t>
      </w:r>
      <w:r>
        <w:rPr>
          <w:color w:val="231F20"/>
          <w:w w:val="105"/>
        </w:rPr>
        <w:t>municipio,</w:t>
      </w:r>
      <w:r>
        <w:rPr>
          <w:color w:val="231F20"/>
          <w:spacing w:val="-6"/>
          <w:w w:val="105"/>
        </w:rPr>
        <w:t> </w:t>
      </w:r>
      <w:r>
        <w:rPr>
          <w:color w:val="231F20"/>
          <w:w w:val="105"/>
        </w:rPr>
        <w:t>no</w:t>
      </w:r>
      <w:r>
        <w:rPr>
          <w:color w:val="231F20"/>
          <w:spacing w:val="-6"/>
          <w:w w:val="105"/>
        </w:rPr>
        <w:t> </w:t>
      </w:r>
      <w:r>
        <w:rPr>
          <w:color w:val="231F20"/>
          <w:w w:val="105"/>
        </w:rPr>
        <w:t>se han puesto en</w:t>
      </w:r>
      <w:r>
        <w:rPr>
          <w:color w:val="231F20"/>
          <w:spacing w:val="-15"/>
          <w:w w:val="105"/>
        </w:rPr>
        <w:t> </w:t>
      </w:r>
      <w:r>
        <w:rPr>
          <w:color w:val="231F20"/>
          <w:w w:val="105"/>
        </w:rPr>
        <w:t>operación.</w:t>
      </w:r>
    </w:p>
    <w:p>
      <w:pPr>
        <w:pStyle w:val="BodyText"/>
        <w:spacing w:before="1"/>
        <w:rPr>
          <w:sz w:val="26"/>
        </w:rPr>
      </w:pPr>
    </w:p>
    <w:p>
      <w:pPr>
        <w:pStyle w:val="BodyText"/>
        <w:spacing w:line="285" w:lineRule="auto"/>
        <w:ind w:left="110" w:right="107"/>
        <w:jc w:val="both"/>
      </w:pPr>
      <w:r>
        <w:rPr>
          <w:color w:val="231F20"/>
          <w:w w:val="105"/>
        </w:rPr>
        <w:t>El</w:t>
      </w:r>
      <w:r>
        <w:rPr>
          <w:color w:val="231F20"/>
          <w:spacing w:val="-9"/>
          <w:w w:val="105"/>
        </w:rPr>
        <w:t> </w:t>
      </w:r>
      <w:r>
        <w:rPr>
          <w:color w:val="231F20"/>
          <w:w w:val="105"/>
        </w:rPr>
        <w:t>capítulo</w:t>
      </w:r>
      <w:r>
        <w:rPr>
          <w:color w:val="231F20"/>
          <w:spacing w:val="-9"/>
          <w:w w:val="105"/>
        </w:rPr>
        <w:t> </w:t>
      </w:r>
      <w:r>
        <w:rPr>
          <w:color w:val="231F20"/>
          <w:w w:val="105"/>
        </w:rPr>
        <w:t>está</w:t>
      </w:r>
      <w:r>
        <w:rPr>
          <w:color w:val="231F20"/>
          <w:spacing w:val="-9"/>
          <w:w w:val="105"/>
        </w:rPr>
        <w:t> </w:t>
      </w:r>
      <w:r>
        <w:rPr>
          <w:color w:val="231F20"/>
          <w:w w:val="105"/>
        </w:rPr>
        <w:t>organizado</w:t>
      </w:r>
      <w:r>
        <w:rPr>
          <w:color w:val="231F20"/>
          <w:spacing w:val="-9"/>
          <w:w w:val="105"/>
        </w:rPr>
        <w:t> </w:t>
      </w:r>
      <w:r>
        <w:rPr>
          <w:color w:val="231F20"/>
          <w:w w:val="105"/>
        </w:rPr>
        <w:t>en</w:t>
      </w:r>
      <w:r>
        <w:rPr>
          <w:color w:val="231F20"/>
          <w:spacing w:val="-9"/>
          <w:w w:val="105"/>
        </w:rPr>
        <w:t> </w:t>
      </w:r>
      <w:r>
        <w:rPr>
          <w:color w:val="231F20"/>
          <w:w w:val="105"/>
        </w:rPr>
        <w:t>cuatro</w:t>
      </w:r>
      <w:r>
        <w:rPr>
          <w:color w:val="231F20"/>
          <w:spacing w:val="-9"/>
          <w:w w:val="105"/>
        </w:rPr>
        <w:t> </w:t>
      </w:r>
      <w:r>
        <w:rPr>
          <w:color w:val="231F20"/>
          <w:w w:val="105"/>
        </w:rPr>
        <w:t>apartados;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primero</w:t>
      </w:r>
      <w:r>
        <w:rPr>
          <w:color w:val="231F20"/>
          <w:spacing w:val="-9"/>
          <w:w w:val="105"/>
        </w:rPr>
        <w:t> </w:t>
      </w:r>
      <w:r>
        <w:rPr>
          <w:color w:val="231F20"/>
          <w:w w:val="105"/>
        </w:rPr>
        <w:t>se</w:t>
      </w:r>
      <w:r>
        <w:rPr>
          <w:color w:val="231F20"/>
          <w:spacing w:val="-9"/>
          <w:w w:val="105"/>
        </w:rPr>
        <w:t> </w:t>
      </w:r>
      <w:r>
        <w:rPr>
          <w:color w:val="231F20"/>
          <w:w w:val="105"/>
        </w:rPr>
        <w:t>describen</w:t>
      </w:r>
      <w:r>
        <w:rPr>
          <w:color w:val="231F20"/>
          <w:spacing w:val="-9"/>
          <w:w w:val="105"/>
        </w:rPr>
        <w:t> </w:t>
      </w:r>
      <w:r>
        <w:rPr>
          <w:color w:val="231F20"/>
          <w:w w:val="105"/>
        </w:rPr>
        <w:t>las</w:t>
      </w:r>
      <w:r>
        <w:rPr>
          <w:color w:val="231F20"/>
          <w:spacing w:val="-9"/>
          <w:w w:val="105"/>
        </w:rPr>
        <w:t> </w:t>
      </w:r>
      <w:r>
        <w:rPr>
          <w:color w:val="231F20"/>
          <w:w w:val="105"/>
        </w:rPr>
        <w:t>caracte- rísticas</w:t>
      </w:r>
      <w:r>
        <w:rPr>
          <w:color w:val="231F20"/>
          <w:spacing w:val="-19"/>
          <w:w w:val="105"/>
        </w:rPr>
        <w:t> </w:t>
      </w:r>
      <w:r>
        <w:rPr>
          <w:color w:val="231F20"/>
          <w:w w:val="105"/>
        </w:rPr>
        <w:t>sociopolíticas</w:t>
      </w:r>
      <w:r>
        <w:rPr>
          <w:color w:val="231F20"/>
          <w:spacing w:val="-19"/>
          <w:w w:val="105"/>
        </w:rPr>
        <w:t> </w:t>
      </w:r>
      <w:r>
        <w:rPr>
          <w:color w:val="231F20"/>
          <w:w w:val="105"/>
        </w:rPr>
        <w:t>y</w:t>
      </w:r>
      <w:r>
        <w:rPr>
          <w:color w:val="231F20"/>
          <w:spacing w:val="-19"/>
          <w:w w:val="105"/>
        </w:rPr>
        <w:t> </w:t>
      </w:r>
      <w:r>
        <w:rPr>
          <w:color w:val="231F20"/>
          <w:w w:val="105"/>
        </w:rPr>
        <w:t>geográficas</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ubicación,</w:t>
      </w:r>
      <w:r>
        <w:rPr>
          <w:color w:val="231F20"/>
          <w:spacing w:val="-19"/>
          <w:w w:val="105"/>
        </w:rPr>
        <w:t> </w:t>
      </w:r>
      <w:r>
        <w:rPr>
          <w:color w:val="231F20"/>
          <w:spacing w:val="-3"/>
          <w:w w:val="105"/>
        </w:rPr>
        <w:t>evolución</w:t>
      </w:r>
      <w:r>
        <w:rPr>
          <w:color w:val="231F20"/>
          <w:spacing w:val="-19"/>
          <w:w w:val="105"/>
        </w:rPr>
        <w:t> </w:t>
      </w:r>
      <w:r>
        <w:rPr>
          <w:color w:val="231F20"/>
          <w:w w:val="105"/>
        </w:rPr>
        <w:t>electoral,</w:t>
      </w:r>
      <w:r>
        <w:rPr>
          <w:color w:val="231F20"/>
          <w:spacing w:val="-19"/>
          <w:w w:val="105"/>
        </w:rPr>
        <w:t> </w:t>
      </w:r>
      <w:r>
        <w:rPr>
          <w:color w:val="231F20"/>
          <w:w w:val="105"/>
        </w:rPr>
        <w:t>com- posición del ayuntamiento, recursos con los que cuenta el ayuntamiento y su distribu- ción. En un segundo </w:t>
      </w:r>
      <w:r>
        <w:rPr>
          <w:color w:val="231F20"/>
          <w:spacing w:val="-3"/>
          <w:w w:val="105"/>
        </w:rPr>
        <w:t>momento </w:t>
      </w:r>
      <w:r>
        <w:rPr>
          <w:color w:val="231F20"/>
          <w:w w:val="105"/>
        </w:rPr>
        <w:t>se revisan los propósitos del Plan de Desarrollo Muni- cipal, cuáles han sido sus alcances y limitaciones y cuál es la reglamentación con que cuenta</w:t>
      </w:r>
      <w:r>
        <w:rPr>
          <w:color w:val="231F20"/>
          <w:spacing w:val="-21"/>
          <w:w w:val="105"/>
        </w:rPr>
        <w:t> </w:t>
      </w:r>
      <w:r>
        <w:rPr>
          <w:color w:val="231F20"/>
          <w:w w:val="105"/>
        </w:rPr>
        <w:t>el</w:t>
      </w:r>
      <w:r>
        <w:rPr>
          <w:color w:val="231F20"/>
          <w:spacing w:val="-21"/>
          <w:w w:val="105"/>
        </w:rPr>
        <w:t> </w:t>
      </w:r>
      <w:r>
        <w:rPr>
          <w:color w:val="231F20"/>
          <w:w w:val="105"/>
        </w:rPr>
        <w:t>municipio.</w:t>
      </w:r>
      <w:r>
        <w:rPr>
          <w:color w:val="231F20"/>
          <w:spacing w:val="-21"/>
          <w:w w:val="105"/>
        </w:rPr>
        <w:t> </w:t>
      </w:r>
      <w:r>
        <w:rPr>
          <w:color w:val="231F20"/>
          <w:w w:val="105"/>
        </w:rPr>
        <w:t>En</w:t>
      </w:r>
      <w:r>
        <w:rPr>
          <w:color w:val="231F20"/>
          <w:spacing w:val="-21"/>
          <w:w w:val="105"/>
        </w:rPr>
        <w:t> </w:t>
      </w:r>
      <w:r>
        <w:rPr>
          <w:color w:val="231F20"/>
          <w:w w:val="105"/>
        </w:rPr>
        <w:t>tercer</w:t>
      </w:r>
      <w:r>
        <w:rPr>
          <w:color w:val="231F20"/>
          <w:spacing w:val="-21"/>
          <w:w w:val="105"/>
        </w:rPr>
        <w:t> </w:t>
      </w:r>
      <w:r>
        <w:rPr>
          <w:color w:val="231F20"/>
          <w:w w:val="105"/>
        </w:rPr>
        <w:t>lugar</w:t>
      </w:r>
      <w:r>
        <w:rPr>
          <w:color w:val="231F20"/>
          <w:spacing w:val="-21"/>
          <w:w w:val="105"/>
        </w:rPr>
        <w:t> </w:t>
      </w:r>
      <w:r>
        <w:rPr>
          <w:color w:val="231F20"/>
          <w:w w:val="105"/>
        </w:rPr>
        <w:t>se</w:t>
      </w:r>
      <w:r>
        <w:rPr>
          <w:color w:val="231F20"/>
          <w:spacing w:val="-21"/>
          <w:w w:val="105"/>
        </w:rPr>
        <w:t> </w:t>
      </w:r>
      <w:r>
        <w:rPr>
          <w:color w:val="231F20"/>
          <w:spacing w:val="2"/>
          <w:w w:val="105"/>
        </w:rPr>
        <w:t>analiza</w:t>
      </w:r>
      <w:r>
        <w:rPr>
          <w:color w:val="231F20"/>
          <w:spacing w:val="-21"/>
          <w:w w:val="105"/>
        </w:rPr>
        <w:t> </w:t>
      </w:r>
      <w:r>
        <w:rPr>
          <w:color w:val="231F20"/>
          <w:w w:val="105"/>
        </w:rPr>
        <w:t>el</w:t>
      </w:r>
      <w:r>
        <w:rPr>
          <w:color w:val="231F20"/>
          <w:spacing w:val="-21"/>
          <w:w w:val="105"/>
        </w:rPr>
        <w:t> </w:t>
      </w:r>
      <w:r>
        <w:rPr>
          <w:color w:val="231F20"/>
          <w:w w:val="105"/>
        </w:rPr>
        <w:t>desempeño</w:t>
      </w:r>
      <w:r>
        <w:rPr>
          <w:color w:val="231F20"/>
          <w:spacing w:val="-21"/>
          <w:w w:val="105"/>
        </w:rPr>
        <w:t> </w:t>
      </w:r>
      <w:r>
        <w:rPr>
          <w:color w:val="231F20"/>
          <w:w w:val="105"/>
        </w:rPr>
        <w:t>del</w:t>
      </w:r>
      <w:r>
        <w:rPr>
          <w:color w:val="231F20"/>
          <w:spacing w:val="-21"/>
          <w:w w:val="105"/>
        </w:rPr>
        <w:t> </w:t>
      </w:r>
      <w:r>
        <w:rPr>
          <w:color w:val="231F20"/>
          <w:w w:val="105"/>
        </w:rPr>
        <w:t>gobierno</w:t>
      </w:r>
      <w:r>
        <w:rPr>
          <w:color w:val="231F20"/>
          <w:spacing w:val="-21"/>
          <w:w w:val="105"/>
        </w:rPr>
        <w:t> </w:t>
      </w:r>
      <w:r>
        <w:rPr>
          <w:color w:val="231F20"/>
          <w:w w:val="105"/>
        </w:rPr>
        <w:t>frente</w:t>
      </w:r>
      <w:r>
        <w:rPr>
          <w:color w:val="231F20"/>
          <w:spacing w:val="-21"/>
          <w:w w:val="105"/>
        </w:rPr>
        <w:t> </w:t>
      </w:r>
      <w:r>
        <w:rPr>
          <w:color w:val="231F20"/>
          <w:w w:val="105"/>
        </w:rPr>
        <w:t>a</w:t>
      </w:r>
      <w:r>
        <w:rPr>
          <w:color w:val="231F20"/>
          <w:spacing w:val="-21"/>
          <w:w w:val="105"/>
        </w:rPr>
        <w:t> </w:t>
      </w:r>
      <w:r>
        <w:rPr>
          <w:color w:val="231F20"/>
          <w:w w:val="105"/>
        </w:rPr>
        <w:t>lo</w:t>
      </w:r>
      <w:r>
        <w:rPr>
          <w:color w:val="231F20"/>
          <w:spacing w:val="-21"/>
          <w:w w:val="105"/>
        </w:rPr>
        <w:t> </w:t>
      </w:r>
      <w:r>
        <w:rPr>
          <w:color w:val="231F20"/>
          <w:w w:val="105"/>
        </w:rPr>
        <w:t>que se</w:t>
      </w:r>
      <w:r>
        <w:rPr>
          <w:color w:val="231F20"/>
          <w:spacing w:val="-18"/>
          <w:w w:val="105"/>
        </w:rPr>
        <w:t> </w:t>
      </w:r>
      <w:r>
        <w:rPr>
          <w:color w:val="231F20"/>
          <w:w w:val="105"/>
        </w:rPr>
        <w:t>proyectó:</w:t>
      </w:r>
      <w:r>
        <w:rPr>
          <w:color w:val="231F20"/>
          <w:spacing w:val="-18"/>
          <w:w w:val="105"/>
        </w:rPr>
        <w:t> </w:t>
      </w:r>
      <w:r>
        <w:rPr>
          <w:color w:val="231F20"/>
          <w:w w:val="105"/>
        </w:rPr>
        <w:t>en</w:t>
      </w:r>
      <w:r>
        <w:rPr>
          <w:color w:val="231F20"/>
          <w:spacing w:val="-18"/>
          <w:w w:val="105"/>
        </w:rPr>
        <w:t> </w:t>
      </w:r>
      <w:r>
        <w:rPr>
          <w:color w:val="231F20"/>
          <w:w w:val="105"/>
        </w:rPr>
        <w:t>qué</w:t>
      </w:r>
      <w:r>
        <w:rPr>
          <w:color w:val="231F20"/>
          <w:spacing w:val="-18"/>
          <w:w w:val="105"/>
        </w:rPr>
        <w:t> </w:t>
      </w:r>
      <w:r>
        <w:rPr>
          <w:color w:val="231F20"/>
          <w:w w:val="105"/>
        </w:rPr>
        <w:t>medida</w:t>
      </w:r>
      <w:r>
        <w:rPr>
          <w:color w:val="231F20"/>
          <w:spacing w:val="-18"/>
          <w:w w:val="105"/>
        </w:rPr>
        <w:t> </w:t>
      </w:r>
      <w:r>
        <w:rPr>
          <w:color w:val="231F20"/>
          <w:w w:val="105"/>
        </w:rPr>
        <w:t>alcanzó</w:t>
      </w:r>
      <w:r>
        <w:rPr>
          <w:color w:val="231F20"/>
          <w:spacing w:val="-18"/>
          <w:w w:val="105"/>
        </w:rPr>
        <w:t> </w:t>
      </w:r>
      <w:r>
        <w:rPr>
          <w:color w:val="231F20"/>
          <w:w w:val="105"/>
        </w:rPr>
        <w:t>sus</w:t>
      </w:r>
      <w:r>
        <w:rPr>
          <w:color w:val="231F20"/>
          <w:spacing w:val="-18"/>
          <w:w w:val="105"/>
        </w:rPr>
        <w:t> </w:t>
      </w:r>
      <w:r>
        <w:rPr>
          <w:color w:val="231F20"/>
          <w:w w:val="105"/>
        </w:rPr>
        <w:t>objetivos</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limitaciones</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enfrentó para implementar su programa de </w:t>
      </w:r>
      <w:r>
        <w:rPr>
          <w:color w:val="231F20"/>
          <w:spacing w:val="-3"/>
          <w:w w:val="105"/>
        </w:rPr>
        <w:t>gobierno. </w:t>
      </w:r>
      <w:r>
        <w:rPr>
          <w:color w:val="231F20"/>
          <w:w w:val="105"/>
        </w:rPr>
        <w:t>Finalmente, se realiza un balance sobre el desempeño</w:t>
      </w:r>
      <w:r>
        <w:rPr>
          <w:color w:val="231F20"/>
          <w:spacing w:val="-11"/>
          <w:w w:val="105"/>
        </w:rPr>
        <w:t> </w:t>
      </w:r>
      <w:r>
        <w:rPr>
          <w:color w:val="231F20"/>
          <w:w w:val="105"/>
        </w:rPr>
        <w:t>gubernamental</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de</w:t>
      </w:r>
      <w:r>
        <w:rPr>
          <w:color w:val="231F20"/>
          <w:spacing w:val="-11"/>
          <w:w w:val="105"/>
        </w:rPr>
        <w:t> </w:t>
      </w:r>
      <w:r>
        <w:rPr>
          <w:color w:val="231F20"/>
          <w:w w:val="105"/>
        </w:rPr>
        <w:t>Atlautla.</w:t>
      </w:r>
    </w:p>
    <w:p>
      <w:pPr>
        <w:pStyle w:val="BodyText"/>
        <w:spacing w:before="2"/>
        <w:rPr>
          <w:sz w:val="20"/>
        </w:rPr>
      </w:pPr>
    </w:p>
    <w:p>
      <w:pPr>
        <w:pStyle w:val="Heading4"/>
        <w:rPr>
          <w:i/>
        </w:rPr>
      </w:pPr>
      <w:r>
        <w:rPr>
          <w:i/>
          <w:color w:val="231F20"/>
          <w:w w:val="105"/>
        </w:rPr>
        <w:t>Atlautla en el Estado de México</w:t>
      </w:r>
    </w:p>
    <w:p>
      <w:pPr>
        <w:pStyle w:val="BodyText"/>
        <w:spacing w:line="285" w:lineRule="auto" w:before="16"/>
        <w:ind w:left="110" w:right="108"/>
        <w:jc w:val="both"/>
      </w:pPr>
      <w:r>
        <w:rPr>
          <w:color w:val="231F20"/>
        </w:rPr>
        <w:t>El municipio de Atlautla de Victoria se ubica en la zona oriente del estado de México,      a </w:t>
      </w:r>
      <w:r>
        <w:rPr>
          <w:color w:val="231F20"/>
          <w:spacing w:val="-3"/>
        </w:rPr>
        <w:t>70 </w:t>
      </w:r>
      <w:r>
        <w:rPr>
          <w:color w:val="231F20"/>
        </w:rPr>
        <w:t>km. de la </w:t>
      </w:r>
      <w:r>
        <w:rPr>
          <w:color w:val="231F20"/>
          <w:spacing w:val="-3"/>
        </w:rPr>
        <w:t>Ciudad </w:t>
      </w:r>
      <w:r>
        <w:rPr>
          <w:color w:val="231F20"/>
        </w:rPr>
        <w:t>de México, tiene una superficie de </w:t>
      </w:r>
      <w:r>
        <w:rPr>
          <w:color w:val="231F20"/>
          <w:spacing w:val="-6"/>
        </w:rPr>
        <w:t>162 </w:t>
      </w:r>
      <w:r>
        <w:rPr>
          <w:color w:val="231F20"/>
        </w:rPr>
        <w:t>km² y limita </w:t>
      </w:r>
      <w:r>
        <w:rPr>
          <w:color w:val="231F20"/>
          <w:spacing w:val="2"/>
        </w:rPr>
        <w:t>al </w:t>
      </w:r>
      <w:r>
        <w:rPr>
          <w:color w:val="231F20"/>
        </w:rPr>
        <w:t>norte con     el municipio de Amecameca; </w:t>
      </w:r>
      <w:r>
        <w:rPr>
          <w:color w:val="231F20"/>
          <w:spacing w:val="2"/>
        </w:rPr>
        <w:t>al </w:t>
      </w:r>
      <w:r>
        <w:rPr>
          <w:color w:val="231F20"/>
        </w:rPr>
        <w:t>sur con Ecatzingo y el Estado de Morelos; </w:t>
      </w:r>
      <w:r>
        <w:rPr>
          <w:color w:val="231F20"/>
          <w:spacing w:val="2"/>
        </w:rPr>
        <w:t>al </w:t>
      </w:r>
      <w:r>
        <w:rPr>
          <w:color w:val="231F20"/>
        </w:rPr>
        <w:t>este con el Estado de Puebla y </w:t>
      </w:r>
      <w:r>
        <w:rPr>
          <w:color w:val="231F20"/>
          <w:spacing w:val="2"/>
        </w:rPr>
        <w:t>al </w:t>
      </w:r>
      <w:r>
        <w:rPr>
          <w:color w:val="231F20"/>
        </w:rPr>
        <w:t>oeste con </w:t>
      </w:r>
      <w:r>
        <w:rPr>
          <w:color w:val="231F20"/>
          <w:spacing w:val="27"/>
        </w:rPr>
        <w:t> </w:t>
      </w:r>
      <w:r>
        <w:rPr>
          <w:color w:val="231F20"/>
        </w:rPr>
        <w:t>Ozumba.</w:t>
      </w:r>
    </w:p>
    <w:p>
      <w:pPr>
        <w:pStyle w:val="BodyText"/>
        <w:spacing w:before="1"/>
        <w:rPr>
          <w:sz w:val="26"/>
        </w:rPr>
      </w:pPr>
    </w:p>
    <w:p>
      <w:pPr>
        <w:pStyle w:val="BodyText"/>
        <w:spacing w:line="285" w:lineRule="auto"/>
        <w:ind w:left="110" w:right="108"/>
        <w:jc w:val="both"/>
      </w:pPr>
      <w:r>
        <w:rPr>
          <w:color w:val="231F20"/>
        </w:rPr>
        <w:t>Está integrado por la cabecera municipal: Atlautla, que comprende los barrios de Nati- vidad, San Pedro, Santo Domingo, San Jacinto, San Lorenzo, San Francisco, San Martín, San Bartolomé y Santiago; y las delegaciones de San Juan Tehuixtitlán, Tepecoculco, Tlalamác, Popo Park-Delicias y la Colonia Guadalupe  Hidalgo.</w:t>
      </w:r>
    </w:p>
    <w:p>
      <w:pPr>
        <w:pStyle w:val="BodyText"/>
        <w:spacing w:before="1"/>
        <w:rPr>
          <w:sz w:val="26"/>
        </w:rPr>
      </w:pPr>
    </w:p>
    <w:p>
      <w:pPr>
        <w:pStyle w:val="BodyText"/>
        <w:spacing w:line="285" w:lineRule="auto"/>
        <w:ind w:left="110" w:right="108"/>
        <w:jc w:val="both"/>
      </w:pPr>
      <w:r>
        <w:rPr>
          <w:color w:val="231F20"/>
          <w:w w:val="105"/>
        </w:rPr>
        <w:t>De</w:t>
      </w:r>
      <w:r>
        <w:rPr>
          <w:color w:val="231F20"/>
          <w:spacing w:val="-4"/>
          <w:w w:val="105"/>
        </w:rPr>
        <w:t> </w:t>
      </w:r>
      <w:r>
        <w:rPr>
          <w:color w:val="231F20"/>
          <w:w w:val="105"/>
        </w:rPr>
        <w:t>acuerdo</w:t>
      </w:r>
      <w:r>
        <w:rPr>
          <w:color w:val="231F20"/>
          <w:spacing w:val="-4"/>
          <w:w w:val="105"/>
        </w:rPr>
        <w:t> </w:t>
      </w:r>
      <w:r>
        <w:rPr>
          <w:color w:val="231F20"/>
          <w:w w:val="105"/>
        </w:rPr>
        <w:t>con</w:t>
      </w:r>
      <w:r>
        <w:rPr>
          <w:color w:val="231F20"/>
          <w:spacing w:val="-4"/>
          <w:w w:val="105"/>
        </w:rPr>
        <w:t> </w:t>
      </w:r>
      <w:r>
        <w:rPr>
          <w:color w:val="231F20"/>
          <w:w w:val="105"/>
        </w:rPr>
        <w:t>datos</w:t>
      </w:r>
      <w:r>
        <w:rPr>
          <w:color w:val="231F20"/>
          <w:spacing w:val="-4"/>
          <w:w w:val="105"/>
        </w:rPr>
        <w:t> </w:t>
      </w:r>
      <w:r>
        <w:rPr>
          <w:color w:val="231F20"/>
          <w:w w:val="105"/>
        </w:rPr>
        <w:t>del</w:t>
      </w:r>
      <w:r>
        <w:rPr>
          <w:color w:val="231F20"/>
          <w:spacing w:val="-4"/>
          <w:w w:val="105"/>
        </w:rPr>
        <w:t> </w:t>
      </w:r>
      <w:r>
        <w:rPr>
          <w:color w:val="231F20"/>
          <w:w w:val="105"/>
        </w:rPr>
        <w:t>Conteo</w:t>
      </w:r>
      <w:r>
        <w:rPr>
          <w:color w:val="231F20"/>
          <w:spacing w:val="-4"/>
          <w:w w:val="105"/>
        </w:rPr>
        <w:t> </w:t>
      </w:r>
      <w:r>
        <w:rPr>
          <w:color w:val="231F20"/>
          <w:w w:val="105"/>
        </w:rPr>
        <w:t>de</w:t>
      </w:r>
      <w:r>
        <w:rPr>
          <w:color w:val="231F20"/>
          <w:spacing w:val="-4"/>
          <w:w w:val="105"/>
        </w:rPr>
        <w:t> </w:t>
      </w:r>
      <w:r>
        <w:rPr>
          <w:color w:val="231F20"/>
          <w:spacing w:val="2"/>
          <w:w w:val="105"/>
        </w:rPr>
        <w:t>2005,</w:t>
      </w:r>
      <w:r>
        <w:rPr>
          <w:color w:val="231F20"/>
          <w:spacing w:val="-4"/>
          <w:w w:val="105"/>
        </w:rPr>
        <w:t> </w:t>
      </w:r>
      <w:r>
        <w:rPr>
          <w:color w:val="231F20"/>
          <w:w w:val="105"/>
        </w:rPr>
        <w:t>el</w:t>
      </w:r>
      <w:r>
        <w:rPr>
          <w:color w:val="231F20"/>
          <w:spacing w:val="-4"/>
          <w:w w:val="105"/>
        </w:rPr>
        <w:t> </w:t>
      </w:r>
      <w:r>
        <w:rPr>
          <w:color w:val="231F20"/>
          <w:w w:val="105"/>
        </w:rPr>
        <w:t>municipio</w:t>
      </w:r>
      <w:r>
        <w:rPr>
          <w:color w:val="231F20"/>
          <w:spacing w:val="-4"/>
          <w:w w:val="105"/>
        </w:rPr>
        <w:t> </w:t>
      </w:r>
      <w:r>
        <w:rPr>
          <w:color w:val="231F20"/>
          <w:w w:val="105"/>
        </w:rPr>
        <w:t>tenía</w:t>
      </w:r>
      <w:r>
        <w:rPr>
          <w:color w:val="231F20"/>
          <w:spacing w:val="-4"/>
          <w:w w:val="105"/>
        </w:rPr>
        <w:t> </w:t>
      </w:r>
      <w:r>
        <w:rPr>
          <w:color w:val="231F20"/>
          <w:w w:val="105"/>
        </w:rPr>
        <w:t>una</w:t>
      </w:r>
      <w:r>
        <w:rPr>
          <w:color w:val="231F20"/>
          <w:spacing w:val="-4"/>
          <w:w w:val="105"/>
        </w:rPr>
        <w:t> </w:t>
      </w:r>
      <w:r>
        <w:rPr>
          <w:color w:val="231F20"/>
          <w:w w:val="105"/>
        </w:rPr>
        <w:t>población</w:t>
      </w:r>
      <w:r>
        <w:rPr>
          <w:color w:val="231F20"/>
          <w:spacing w:val="-4"/>
          <w:w w:val="105"/>
        </w:rPr>
        <w:t> </w:t>
      </w:r>
      <w:r>
        <w:rPr>
          <w:color w:val="231F20"/>
          <w:w w:val="105"/>
        </w:rPr>
        <w:t>de</w:t>
      </w:r>
      <w:r>
        <w:rPr>
          <w:color w:val="231F20"/>
          <w:spacing w:val="-4"/>
          <w:w w:val="105"/>
        </w:rPr>
        <w:t> 24,110 </w:t>
      </w:r>
      <w:r>
        <w:rPr>
          <w:color w:val="231F20"/>
          <w:w w:val="105"/>
        </w:rPr>
        <w:t>habitantes,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cuales</w:t>
      </w:r>
      <w:r>
        <w:rPr>
          <w:color w:val="231F20"/>
          <w:spacing w:val="-21"/>
          <w:w w:val="105"/>
        </w:rPr>
        <w:t> </w:t>
      </w:r>
      <w:r>
        <w:rPr>
          <w:color w:val="231F20"/>
          <w:w w:val="105"/>
        </w:rPr>
        <w:t>el</w:t>
      </w:r>
      <w:r>
        <w:rPr>
          <w:color w:val="231F20"/>
          <w:spacing w:val="-21"/>
          <w:w w:val="105"/>
        </w:rPr>
        <w:t> </w:t>
      </w:r>
      <w:r>
        <w:rPr>
          <w:color w:val="231F20"/>
          <w:w w:val="105"/>
        </w:rPr>
        <w:t>38.54%</w:t>
      </w:r>
      <w:r>
        <w:rPr>
          <w:color w:val="231F20"/>
          <w:spacing w:val="-21"/>
          <w:w w:val="105"/>
        </w:rPr>
        <w:t> </w:t>
      </w:r>
      <w:r>
        <w:rPr>
          <w:color w:val="231F20"/>
          <w:w w:val="105"/>
        </w:rPr>
        <w:t>vivía</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cabecera</w:t>
      </w:r>
      <w:r>
        <w:rPr>
          <w:color w:val="231F20"/>
          <w:spacing w:val="-21"/>
          <w:w w:val="105"/>
        </w:rPr>
        <w:t> </w:t>
      </w:r>
      <w:r>
        <w:rPr>
          <w:color w:val="231F20"/>
          <w:w w:val="105"/>
        </w:rPr>
        <w:t>municipal</w:t>
      </w:r>
      <w:r>
        <w:rPr>
          <w:color w:val="231F20"/>
          <w:spacing w:val="-21"/>
          <w:w w:val="105"/>
        </w:rPr>
        <w:t> </w:t>
      </w:r>
      <w:r>
        <w:rPr>
          <w:color w:val="231F20"/>
          <w:w w:val="105"/>
        </w:rPr>
        <w:t>porque</w:t>
      </w:r>
      <w:r>
        <w:rPr>
          <w:color w:val="231F20"/>
          <w:spacing w:val="-21"/>
          <w:w w:val="105"/>
        </w:rPr>
        <w:t> </w:t>
      </w:r>
      <w:r>
        <w:rPr>
          <w:color w:val="231F20"/>
          <w:spacing w:val="3"/>
          <w:w w:val="105"/>
        </w:rPr>
        <w:t>allí</w:t>
      </w:r>
      <w:r>
        <w:rPr>
          <w:color w:val="231F20"/>
          <w:spacing w:val="-21"/>
          <w:w w:val="105"/>
        </w:rPr>
        <w:t> </w:t>
      </w:r>
      <w:r>
        <w:rPr>
          <w:color w:val="231F20"/>
          <w:w w:val="105"/>
        </w:rPr>
        <w:t>se</w:t>
      </w:r>
      <w:r>
        <w:rPr>
          <w:color w:val="231F20"/>
          <w:spacing w:val="-21"/>
          <w:w w:val="105"/>
        </w:rPr>
        <w:t> </w:t>
      </w:r>
      <w:r>
        <w:rPr>
          <w:color w:val="231F20"/>
          <w:w w:val="105"/>
        </w:rPr>
        <w:t>concen- tran</w:t>
      </w:r>
      <w:r>
        <w:rPr>
          <w:color w:val="231F20"/>
          <w:spacing w:val="-15"/>
          <w:w w:val="105"/>
        </w:rPr>
        <w:t> </w:t>
      </w:r>
      <w:r>
        <w:rPr>
          <w:color w:val="231F20"/>
          <w:w w:val="105"/>
        </w:rPr>
        <w:t>la</w:t>
      </w:r>
      <w:r>
        <w:rPr>
          <w:color w:val="231F20"/>
          <w:spacing w:val="-15"/>
          <w:w w:val="105"/>
        </w:rPr>
        <w:t> </w:t>
      </w:r>
      <w:r>
        <w:rPr>
          <w:color w:val="231F20"/>
          <w:w w:val="105"/>
        </w:rPr>
        <w:t>mayoría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servicios</w:t>
      </w:r>
      <w:r>
        <w:rPr>
          <w:color w:val="231F20"/>
          <w:spacing w:val="-15"/>
          <w:w w:val="105"/>
        </w:rPr>
        <w:t> </w:t>
      </w:r>
      <w:r>
        <w:rPr>
          <w:color w:val="231F20"/>
          <w:w w:val="105"/>
        </w:rPr>
        <w:t>que</w:t>
      </w:r>
      <w:r>
        <w:rPr>
          <w:color w:val="231F20"/>
          <w:spacing w:val="-15"/>
          <w:w w:val="105"/>
        </w:rPr>
        <w:t> </w:t>
      </w:r>
      <w:r>
        <w:rPr>
          <w:color w:val="231F20"/>
          <w:w w:val="105"/>
        </w:rPr>
        <w:t>ofrece</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El</w:t>
      </w:r>
      <w:r>
        <w:rPr>
          <w:color w:val="231F20"/>
          <w:spacing w:val="-15"/>
          <w:w w:val="105"/>
        </w:rPr>
        <w:t> </w:t>
      </w:r>
      <w:r>
        <w:rPr>
          <w:color w:val="231F20"/>
          <w:w w:val="105"/>
        </w:rPr>
        <w:t>24.23%</w:t>
      </w:r>
      <w:r>
        <w:rPr>
          <w:color w:val="231F20"/>
          <w:spacing w:val="-15"/>
          <w:w w:val="105"/>
        </w:rPr>
        <w:t> </w:t>
      </w:r>
      <w:r>
        <w:rPr>
          <w:color w:val="231F20"/>
          <w:w w:val="105"/>
        </w:rPr>
        <w:t>en</w:t>
      </w:r>
      <w:r>
        <w:rPr>
          <w:color w:val="231F20"/>
          <w:spacing w:val="-15"/>
          <w:w w:val="105"/>
        </w:rPr>
        <w:t> </w:t>
      </w:r>
      <w:r>
        <w:rPr>
          <w:color w:val="231F20"/>
          <w:w w:val="105"/>
        </w:rPr>
        <w:t>San</w:t>
      </w:r>
      <w:r>
        <w:rPr>
          <w:color w:val="231F20"/>
          <w:spacing w:val="-15"/>
          <w:w w:val="105"/>
        </w:rPr>
        <w:t> </w:t>
      </w:r>
      <w:r>
        <w:rPr>
          <w:color w:val="231F20"/>
          <w:w w:val="105"/>
        </w:rPr>
        <w:t>Juan</w:t>
      </w:r>
      <w:r>
        <w:rPr>
          <w:color w:val="231F20"/>
          <w:spacing w:val="-15"/>
          <w:w w:val="105"/>
        </w:rPr>
        <w:t> </w:t>
      </w:r>
      <w:r>
        <w:rPr>
          <w:color w:val="231F20"/>
          <w:spacing w:val="-5"/>
          <w:w w:val="105"/>
        </w:rPr>
        <w:t>Tehuix-</w:t>
      </w:r>
    </w:p>
    <w:p>
      <w:pPr>
        <w:spacing w:after="0" w:line="285" w:lineRule="auto"/>
        <w:jc w:val="both"/>
        <w:sectPr>
          <w:footerReference w:type="default" r:id="rId680"/>
          <w:pgSz w:w="9640" w:h="12190"/>
          <w:pgMar w:footer="743" w:header="0" w:top="1120" w:bottom="940" w:left="740" w:right="740"/>
          <w:pgNumType w:start="330"/>
        </w:sectPr>
      </w:pPr>
    </w:p>
    <w:p>
      <w:pPr>
        <w:pStyle w:val="BodyText"/>
        <w:spacing w:before="3"/>
        <w:rPr>
          <w:sz w:val="11"/>
        </w:rPr>
      </w:pPr>
    </w:p>
    <w:p>
      <w:pPr>
        <w:pStyle w:val="BodyText"/>
        <w:spacing w:line="285" w:lineRule="auto" w:before="36"/>
        <w:ind w:left="110" w:right="108"/>
        <w:jc w:val="both"/>
      </w:pPr>
      <w:r>
        <w:rPr>
          <w:color w:val="231F20"/>
          <w:w w:val="105"/>
        </w:rPr>
        <w:t>titlán</w:t>
      </w:r>
      <w:r>
        <w:rPr>
          <w:color w:val="231F20"/>
          <w:spacing w:val="-20"/>
          <w:w w:val="105"/>
        </w:rPr>
        <w:t> </w:t>
      </w:r>
      <w:r>
        <w:rPr>
          <w:color w:val="231F20"/>
          <w:w w:val="105"/>
        </w:rPr>
        <w:t>por</w:t>
      </w:r>
      <w:r>
        <w:rPr>
          <w:color w:val="231F20"/>
          <w:spacing w:val="-20"/>
          <w:w w:val="105"/>
        </w:rPr>
        <w:t> </w:t>
      </w:r>
      <w:r>
        <w:rPr>
          <w:color w:val="231F20"/>
          <w:w w:val="105"/>
        </w:rPr>
        <w:t>ser</w:t>
      </w:r>
      <w:r>
        <w:rPr>
          <w:color w:val="231F20"/>
          <w:spacing w:val="-20"/>
          <w:w w:val="105"/>
        </w:rPr>
        <w:t> </w:t>
      </w:r>
      <w:r>
        <w:rPr>
          <w:color w:val="231F20"/>
          <w:w w:val="105"/>
        </w:rPr>
        <w:t>la</w:t>
      </w:r>
      <w:r>
        <w:rPr>
          <w:color w:val="231F20"/>
          <w:spacing w:val="-20"/>
          <w:w w:val="105"/>
        </w:rPr>
        <w:t> </w:t>
      </w:r>
      <w:r>
        <w:rPr>
          <w:color w:val="231F20"/>
          <w:w w:val="105"/>
        </w:rPr>
        <w:t>comunidad</w:t>
      </w:r>
      <w:r>
        <w:rPr>
          <w:color w:val="231F20"/>
          <w:spacing w:val="-20"/>
          <w:w w:val="105"/>
        </w:rPr>
        <w:t> </w:t>
      </w:r>
      <w:r>
        <w:rPr>
          <w:color w:val="231F20"/>
          <w:w w:val="105"/>
        </w:rPr>
        <w:t>que</w:t>
      </w:r>
      <w:r>
        <w:rPr>
          <w:color w:val="231F20"/>
          <w:spacing w:val="-20"/>
          <w:w w:val="105"/>
        </w:rPr>
        <w:t> </w:t>
      </w:r>
      <w:r>
        <w:rPr>
          <w:color w:val="231F20"/>
          <w:w w:val="105"/>
        </w:rPr>
        <w:t>tiene</w:t>
      </w:r>
      <w:r>
        <w:rPr>
          <w:color w:val="231F20"/>
          <w:spacing w:val="-20"/>
          <w:w w:val="105"/>
        </w:rPr>
        <w:t> </w:t>
      </w:r>
      <w:r>
        <w:rPr>
          <w:color w:val="231F20"/>
          <w:w w:val="105"/>
        </w:rPr>
        <w:t>un</w:t>
      </w:r>
      <w:r>
        <w:rPr>
          <w:color w:val="231F20"/>
          <w:spacing w:val="-20"/>
          <w:w w:val="105"/>
        </w:rPr>
        <w:t> </w:t>
      </w:r>
      <w:r>
        <w:rPr>
          <w:color w:val="231F20"/>
          <w:w w:val="105"/>
        </w:rPr>
        <w:t>mayor</w:t>
      </w:r>
      <w:r>
        <w:rPr>
          <w:color w:val="231F20"/>
          <w:spacing w:val="-20"/>
          <w:w w:val="105"/>
        </w:rPr>
        <w:t> </w:t>
      </w:r>
      <w:r>
        <w:rPr>
          <w:color w:val="231F20"/>
          <w:w w:val="105"/>
        </w:rPr>
        <w:t>acceso</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vías</w:t>
      </w:r>
      <w:r>
        <w:rPr>
          <w:color w:val="231F20"/>
          <w:spacing w:val="-20"/>
          <w:w w:val="105"/>
        </w:rPr>
        <w:t> </w:t>
      </w:r>
      <w:r>
        <w:rPr>
          <w:color w:val="231F20"/>
          <w:w w:val="105"/>
        </w:rPr>
        <w:t>de</w:t>
      </w:r>
      <w:r>
        <w:rPr>
          <w:color w:val="231F20"/>
          <w:spacing w:val="-20"/>
          <w:w w:val="105"/>
        </w:rPr>
        <w:t> </w:t>
      </w:r>
      <w:r>
        <w:rPr>
          <w:color w:val="231F20"/>
          <w:w w:val="105"/>
        </w:rPr>
        <w:t>comunicación</w:t>
      </w:r>
      <w:r>
        <w:rPr>
          <w:color w:val="231F20"/>
          <w:spacing w:val="-20"/>
          <w:w w:val="105"/>
        </w:rPr>
        <w:t> </w:t>
      </w:r>
      <w:r>
        <w:rPr>
          <w:color w:val="231F20"/>
          <w:w w:val="105"/>
        </w:rPr>
        <w:t>para</w:t>
      </w:r>
      <w:r>
        <w:rPr>
          <w:color w:val="231F20"/>
          <w:spacing w:val="-20"/>
          <w:w w:val="105"/>
        </w:rPr>
        <w:t> </w:t>
      </w:r>
      <w:r>
        <w:rPr>
          <w:color w:val="231F20"/>
          <w:w w:val="105"/>
        </w:rPr>
        <w:t>la Cd.</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o</w:t>
      </w:r>
      <w:r>
        <w:rPr>
          <w:color w:val="231F20"/>
          <w:spacing w:val="-11"/>
          <w:w w:val="105"/>
        </w:rPr>
        <w:t> </w:t>
      </w:r>
      <w:r>
        <w:rPr>
          <w:color w:val="231F20"/>
          <w:w w:val="105"/>
        </w:rPr>
        <w:t>la</w:t>
      </w:r>
      <w:r>
        <w:rPr>
          <w:color w:val="231F20"/>
          <w:spacing w:val="-11"/>
          <w:w w:val="105"/>
        </w:rPr>
        <w:t> </w:t>
      </w:r>
      <w:r>
        <w:rPr>
          <w:color w:val="231F20"/>
          <w:spacing w:val="-3"/>
          <w:w w:val="105"/>
        </w:rPr>
        <w:t>Ciudad</w:t>
      </w:r>
      <w:r>
        <w:rPr>
          <w:color w:val="231F20"/>
          <w:spacing w:val="-11"/>
          <w:w w:val="105"/>
        </w:rPr>
        <w:t> </w:t>
      </w:r>
      <w:r>
        <w:rPr>
          <w:color w:val="231F20"/>
          <w:w w:val="105"/>
        </w:rPr>
        <w:t>de</w:t>
      </w:r>
      <w:r>
        <w:rPr>
          <w:color w:val="231F20"/>
          <w:spacing w:val="-11"/>
          <w:w w:val="105"/>
        </w:rPr>
        <w:t> </w:t>
      </w:r>
      <w:r>
        <w:rPr>
          <w:color w:val="231F20"/>
          <w:w w:val="105"/>
        </w:rPr>
        <w:t>Cuautla,</w:t>
      </w:r>
      <w:r>
        <w:rPr>
          <w:color w:val="231F20"/>
          <w:spacing w:val="-11"/>
          <w:w w:val="105"/>
        </w:rPr>
        <w:t> </w:t>
      </w:r>
      <w:r>
        <w:rPr>
          <w:color w:val="231F20"/>
          <w:w w:val="105"/>
        </w:rPr>
        <w:t>Morelos;</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otras</w:t>
      </w:r>
      <w:r>
        <w:rPr>
          <w:color w:val="231F20"/>
          <w:spacing w:val="-11"/>
          <w:w w:val="105"/>
        </w:rPr>
        <w:t> </w:t>
      </w:r>
      <w:r>
        <w:rPr>
          <w:color w:val="231F20"/>
          <w:w w:val="105"/>
        </w:rPr>
        <w:t>comunidades</w:t>
      </w:r>
      <w:r>
        <w:rPr>
          <w:color w:val="231F20"/>
          <w:spacing w:val="-11"/>
          <w:w w:val="105"/>
        </w:rPr>
        <w:t> </w:t>
      </w:r>
      <w:r>
        <w:rPr>
          <w:color w:val="231F20"/>
          <w:w w:val="105"/>
        </w:rPr>
        <w:t>se</w:t>
      </w:r>
      <w:r>
        <w:rPr>
          <w:color w:val="231F20"/>
          <w:spacing w:val="-11"/>
          <w:w w:val="105"/>
        </w:rPr>
        <w:t> </w:t>
      </w:r>
      <w:r>
        <w:rPr>
          <w:color w:val="231F20"/>
          <w:w w:val="105"/>
        </w:rPr>
        <w:t>concentra el</w:t>
      </w:r>
      <w:r>
        <w:rPr>
          <w:color w:val="231F20"/>
          <w:spacing w:val="-24"/>
          <w:w w:val="105"/>
        </w:rPr>
        <w:t> </w:t>
      </w:r>
      <w:r>
        <w:rPr>
          <w:color w:val="231F20"/>
          <w:w w:val="105"/>
        </w:rPr>
        <w:t>14.36%</w:t>
      </w:r>
      <w:r>
        <w:rPr>
          <w:color w:val="231F20"/>
          <w:spacing w:val="-24"/>
          <w:w w:val="105"/>
        </w:rPr>
        <w:t> </w:t>
      </w:r>
      <w:r>
        <w:rPr>
          <w:color w:val="231F20"/>
          <w:w w:val="105"/>
        </w:rPr>
        <w:t>en</w:t>
      </w:r>
      <w:r>
        <w:rPr>
          <w:color w:val="231F20"/>
          <w:spacing w:val="-24"/>
          <w:w w:val="105"/>
        </w:rPr>
        <w:t> </w:t>
      </w:r>
      <w:r>
        <w:rPr>
          <w:color w:val="231F20"/>
          <w:w w:val="105"/>
        </w:rPr>
        <w:t>Tlalamác,</w:t>
      </w:r>
      <w:r>
        <w:rPr>
          <w:color w:val="231F20"/>
          <w:spacing w:val="-24"/>
          <w:w w:val="105"/>
        </w:rPr>
        <w:t> </w:t>
      </w:r>
      <w:r>
        <w:rPr>
          <w:color w:val="231F20"/>
          <w:w w:val="105"/>
        </w:rPr>
        <w:t>el</w:t>
      </w:r>
      <w:r>
        <w:rPr>
          <w:color w:val="231F20"/>
          <w:spacing w:val="-24"/>
          <w:w w:val="105"/>
        </w:rPr>
        <w:t> </w:t>
      </w:r>
      <w:r>
        <w:rPr>
          <w:color w:val="231F20"/>
          <w:w w:val="105"/>
        </w:rPr>
        <w:t>13.94%</w:t>
      </w:r>
      <w:r>
        <w:rPr>
          <w:color w:val="231F20"/>
          <w:spacing w:val="-24"/>
          <w:w w:val="105"/>
        </w:rPr>
        <w:t> </w:t>
      </w:r>
      <w:r>
        <w:rPr>
          <w:color w:val="231F20"/>
          <w:w w:val="105"/>
        </w:rPr>
        <w:t>en</w:t>
      </w:r>
      <w:r>
        <w:rPr>
          <w:color w:val="231F20"/>
          <w:spacing w:val="-24"/>
          <w:w w:val="105"/>
        </w:rPr>
        <w:t> </w:t>
      </w:r>
      <w:r>
        <w:rPr>
          <w:color w:val="231F20"/>
          <w:w w:val="105"/>
        </w:rPr>
        <w:t>Tepecoculco</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color w:val="231F20"/>
          <w:w w:val="105"/>
        </w:rPr>
        <w:t>resto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población</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spacing w:val="-3"/>
          <w:w w:val="105"/>
        </w:rPr>
        <w:t>comu- </w:t>
      </w:r>
      <w:r>
        <w:rPr>
          <w:color w:val="231F20"/>
          <w:w w:val="105"/>
        </w:rPr>
        <w:t>nidades o ranchos</w:t>
      </w:r>
      <w:r>
        <w:rPr>
          <w:color w:val="231F20"/>
          <w:spacing w:val="-7"/>
          <w:w w:val="105"/>
        </w:rPr>
        <w:t> </w:t>
      </w:r>
      <w:r>
        <w:rPr>
          <w:color w:val="231F20"/>
          <w:w w:val="105"/>
        </w:rPr>
        <w:t>restantes.</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municipio</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en</w:t>
      </w:r>
      <w:r>
        <w:rPr>
          <w:color w:val="231F20"/>
          <w:spacing w:val="-16"/>
          <w:w w:val="105"/>
        </w:rPr>
        <w:t> </w:t>
      </w:r>
      <w:r>
        <w:rPr>
          <w:color w:val="231F20"/>
          <w:w w:val="105"/>
        </w:rPr>
        <w:t>lugar</w:t>
      </w:r>
      <w:r>
        <w:rPr>
          <w:color w:val="231F20"/>
          <w:spacing w:val="-16"/>
          <w:w w:val="105"/>
        </w:rPr>
        <w:t> </w:t>
      </w:r>
      <w:r>
        <w:rPr>
          <w:color w:val="231F20"/>
          <w:w w:val="105"/>
        </w:rPr>
        <w:t>de</w:t>
      </w:r>
      <w:r>
        <w:rPr>
          <w:color w:val="231F20"/>
          <w:spacing w:val="-16"/>
          <w:w w:val="105"/>
        </w:rPr>
        <w:t> </w:t>
      </w:r>
      <w:r>
        <w:rPr>
          <w:color w:val="231F20"/>
          <w:spacing w:val="-3"/>
          <w:w w:val="105"/>
        </w:rPr>
        <w:t>crecer,</w:t>
      </w:r>
      <w:r>
        <w:rPr>
          <w:color w:val="231F20"/>
          <w:spacing w:val="-16"/>
          <w:w w:val="105"/>
        </w:rPr>
        <w:t> </w:t>
      </w:r>
      <w:r>
        <w:rPr>
          <w:color w:val="231F20"/>
          <w:w w:val="105"/>
        </w:rPr>
        <w:t>disminuye</w:t>
      </w:r>
      <w:r>
        <w:rPr>
          <w:color w:val="231F20"/>
          <w:spacing w:val="-16"/>
          <w:w w:val="105"/>
        </w:rPr>
        <w:t> </w:t>
      </w:r>
      <w:r>
        <w:rPr>
          <w:color w:val="231F20"/>
          <w:w w:val="105"/>
        </w:rPr>
        <w:t>pues</w:t>
      </w:r>
      <w:r>
        <w:rPr>
          <w:color w:val="231F20"/>
          <w:spacing w:val="-16"/>
          <w:w w:val="105"/>
        </w:rPr>
        <w:t> </w:t>
      </w:r>
      <w:r>
        <w:rPr>
          <w:color w:val="231F20"/>
          <w:w w:val="105"/>
        </w:rPr>
        <w:t>de</w:t>
      </w:r>
      <w:r>
        <w:rPr>
          <w:color w:val="231F20"/>
          <w:spacing w:val="-16"/>
          <w:w w:val="105"/>
        </w:rPr>
        <w:t> </w:t>
      </w:r>
      <w:r>
        <w:rPr>
          <w:color w:val="231F20"/>
          <w:spacing w:val="-3"/>
          <w:w w:val="105"/>
        </w:rPr>
        <w:t>18,993</w:t>
      </w:r>
      <w:r>
        <w:rPr>
          <w:color w:val="231F20"/>
          <w:spacing w:val="-16"/>
          <w:w w:val="105"/>
        </w:rPr>
        <w:t> </w:t>
      </w:r>
      <w:r>
        <w:rPr>
          <w:color w:val="231F20"/>
          <w:w w:val="105"/>
        </w:rPr>
        <w:t>habitantes que</w:t>
      </w:r>
      <w:r>
        <w:rPr>
          <w:color w:val="231F20"/>
          <w:spacing w:val="-4"/>
          <w:w w:val="105"/>
        </w:rPr>
        <w:t> </w:t>
      </w:r>
      <w:r>
        <w:rPr>
          <w:color w:val="231F20"/>
          <w:w w:val="105"/>
        </w:rPr>
        <w:t>había</w:t>
      </w:r>
      <w:r>
        <w:rPr>
          <w:color w:val="231F20"/>
          <w:spacing w:val="-4"/>
          <w:w w:val="105"/>
        </w:rPr>
        <w:t> </w:t>
      </w:r>
      <w:r>
        <w:rPr>
          <w:color w:val="231F20"/>
          <w:w w:val="105"/>
        </w:rPr>
        <w:t>en</w:t>
      </w:r>
      <w:r>
        <w:rPr>
          <w:color w:val="231F20"/>
          <w:spacing w:val="-4"/>
          <w:w w:val="105"/>
        </w:rPr>
        <w:t> </w:t>
      </w:r>
      <w:r>
        <w:rPr>
          <w:color w:val="231F20"/>
          <w:w w:val="105"/>
        </w:rPr>
        <w:t>1990,</w:t>
      </w:r>
      <w:r>
        <w:rPr>
          <w:color w:val="231F20"/>
          <w:spacing w:val="-4"/>
          <w:w w:val="105"/>
        </w:rPr>
        <w:t> </w:t>
      </w:r>
      <w:r>
        <w:rPr>
          <w:color w:val="231F20"/>
          <w:w w:val="105"/>
        </w:rPr>
        <w:t>para</w:t>
      </w:r>
      <w:r>
        <w:rPr>
          <w:color w:val="231F20"/>
          <w:spacing w:val="-4"/>
          <w:w w:val="105"/>
        </w:rPr>
        <w:t> </w:t>
      </w:r>
      <w:r>
        <w:rPr>
          <w:color w:val="231F20"/>
          <w:spacing w:val="4"/>
          <w:w w:val="105"/>
        </w:rPr>
        <w:t>2000</w:t>
      </w:r>
      <w:r>
        <w:rPr>
          <w:color w:val="231F20"/>
          <w:spacing w:val="-4"/>
          <w:w w:val="105"/>
        </w:rPr>
        <w:t> </w:t>
      </w:r>
      <w:r>
        <w:rPr>
          <w:color w:val="231F20"/>
          <w:w w:val="105"/>
        </w:rPr>
        <w:t>sube</w:t>
      </w:r>
      <w:r>
        <w:rPr>
          <w:color w:val="231F20"/>
          <w:spacing w:val="-4"/>
          <w:w w:val="105"/>
        </w:rPr>
        <w:t> </w:t>
      </w:r>
      <w:r>
        <w:rPr>
          <w:color w:val="231F20"/>
          <w:w w:val="105"/>
        </w:rPr>
        <w:t>a</w:t>
      </w:r>
      <w:r>
        <w:rPr>
          <w:color w:val="231F20"/>
          <w:spacing w:val="-4"/>
          <w:w w:val="105"/>
        </w:rPr>
        <w:t> </w:t>
      </w:r>
      <w:r>
        <w:rPr>
          <w:color w:val="231F20"/>
          <w:w w:val="105"/>
        </w:rPr>
        <w:t>25,950</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representa</w:t>
      </w:r>
      <w:r>
        <w:rPr>
          <w:color w:val="231F20"/>
          <w:spacing w:val="-4"/>
          <w:w w:val="105"/>
        </w:rPr>
        <w:t> </w:t>
      </w:r>
      <w:r>
        <w:rPr>
          <w:color w:val="231F20"/>
          <w:w w:val="105"/>
        </w:rPr>
        <w:t>un</w:t>
      </w:r>
      <w:r>
        <w:rPr>
          <w:color w:val="231F20"/>
          <w:spacing w:val="-4"/>
          <w:w w:val="105"/>
        </w:rPr>
        <w:t> </w:t>
      </w:r>
      <w:r>
        <w:rPr>
          <w:color w:val="231F20"/>
          <w:w w:val="105"/>
        </w:rPr>
        <w:t>2.6%</w:t>
      </w:r>
      <w:r>
        <w:rPr>
          <w:color w:val="231F20"/>
          <w:spacing w:val="-4"/>
          <w:w w:val="105"/>
        </w:rPr>
        <w:t> </w:t>
      </w:r>
      <w:r>
        <w:rPr>
          <w:color w:val="231F20"/>
          <w:w w:val="105"/>
        </w:rPr>
        <w:t>de</w:t>
      </w:r>
      <w:r>
        <w:rPr>
          <w:color w:val="231F20"/>
          <w:spacing w:val="-4"/>
          <w:w w:val="105"/>
        </w:rPr>
        <w:t> </w:t>
      </w:r>
      <w:r>
        <w:rPr>
          <w:color w:val="231F20"/>
          <w:w w:val="105"/>
        </w:rPr>
        <w:t>crecimiento poblacional y para </w:t>
      </w:r>
      <w:r>
        <w:rPr>
          <w:color w:val="231F20"/>
          <w:spacing w:val="3"/>
          <w:w w:val="105"/>
        </w:rPr>
        <w:t>2005 </w:t>
      </w:r>
      <w:r>
        <w:rPr>
          <w:color w:val="231F20"/>
          <w:w w:val="105"/>
        </w:rPr>
        <w:t>esta cifra se reduce a </w:t>
      </w:r>
      <w:r>
        <w:rPr>
          <w:color w:val="231F20"/>
          <w:spacing w:val="-4"/>
          <w:w w:val="105"/>
        </w:rPr>
        <w:t>24,110 </w:t>
      </w:r>
      <w:r>
        <w:rPr>
          <w:color w:val="231F20"/>
          <w:w w:val="105"/>
        </w:rPr>
        <w:t>habitantes, esto es, hubo un de- crecimiento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w:t>
      </w:r>
      <w:r>
        <w:rPr>
          <w:color w:val="231F20"/>
          <w:spacing w:val="-12"/>
          <w:w w:val="105"/>
        </w:rPr>
        <w:t> </w:t>
      </w:r>
      <w:r>
        <w:rPr>
          <w:color w:val="231F20"/>
          <w:w w:val="105"/>
        </w:rPr>
        <w:t>de</w:t>
      </w:r>
      <w:r>
        <w:rPr>
          <w:color w:val="231F20"/>
          <w:spacing w:val="-12"/>
          <w:w w:val="105"/>
        </w:rPr>
        <w:t> </w:t>
      </w:r>
      <w:r>
        <w:rPr>
          <w:color w:val="231F20"/>
          <w:spacing w:val="-3"/>
          <w:w w:val="105"/>
        </w:rPr>
        <w:t>-1.29%.</w:t>
      </w:r>
      <w:r>
        <w:rPr>
          <w:color w:val="231F20"/>
          <w:spacing w:val="-12"/>
          <w:w w:val="105"/>
        </w:rPr>
        <w:t> </w:t>
      </w:r>
      <w:r>
        <w:rPr>
          <w:color w:val="231F20"/>
          <w:w w:val="105"/>
        </w:rPr>
        <w:t>Las</w:t>
      </w:r>
      <w:r>
        <w:rPr>
          <w:color w:val="231F20"/>
          <w:spacing w:val="-12"/>
          <w:w w:val="105"/>
        </w:rPr>
        <w:t> </w:t>
      </w:r>
      <w:r>
        <w:rPr>
          <w:color w:val="231F20"/>
          <w:w w:val="105"/>
        </w:rPr>
        <w:t>posibles</w:t>
      </w:r>
      <w:r>
        <w:rPr>
          <w:color w:val="231F20"/>
          <w:spacing w:val="-12"/>
          <w:w w:val="105"/>
        </w:rPr>
        <w:t> </w:t>
      </w:r>
      <w:r>
        <w:rPr>
          <w:color w:val="231F20"/>
          <w:w w:val="105"/>
        </w:rPr>
        <w:t>causas</w:t>
      </w:r>
      <w:r>
        <w:rPr>
          <w:color w:val="231F20"/>
          <w:spacing w:val="-12"/>
          <w:w w:val="105"/>
        </w:rPr>
        <w:t> </w:t>
      </w:r>
      <w:r>
        <w:rPr>
          <w:color w:val="231F20"/>
          <w:w w:val="105"/>
        </w:rPr>
        <w:t>de</w:t>
      </w:r>
      <w:r>
        <w:rPr>
          <w:color w:val="231F20"/>
          <w:spacing w:val="-12"/>
          <w:w w:val="105"/>
        </w:rPr>
        <w:t> </w:t>
      </w:r>
      <w:r>
        <w:rPr>
          <w:color w:val="231F20"/>
          <w:w w:val="105"/>
        </w:rPr>
        <w:t>este</w:t>
      </w:r>
      <w:r>
        <w:rPr>
          <w:color w:val="231F20"/>
          <w:spacing w:val="-12"/>
          <w:w w:val="105"/>
        </w:rPr>
        <w:t> </w:t>
      </w:r>
      <w:r>
        <w:rPr>
          <w:color w:val="231F20"/>
          <w:w w:val="105"/>
        </w:rPr>
        <w:t>descenso</w:t>
      </w:r>
      <w:r>
        <w:rPr>
          <w:color w:val="231F20"/>
          <w:spacing w:val="-12"/>
          <w:w w:val="105"/>
        </w:rPr>
        <w:t> </w:t>
      </w:r>
      <w:r>
        <w:rPr>
          <w:color w:val="231F20"/>
          <w:w w:val="105"/>
        </w:rPr>
        <w:t>las</w:t>
      </w:r>
      <w:r>
        <w:rPr>
          <w:color w:val="231F20"/>
          <w:spacing w:val="-12"/>
          <w:w w:val="105"/>
        </w:rPr>
        <w:t> </w:t>
      </w:r>
      <w:r>
        <w:rPr>
          <w:color w:val="231F20"/>
          <w:w w:val="105"/>
        </w:rPr>
        <w:t>encon- tramos</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pocas</w:t>
      </w:r>
      <w:r>
        <w:rPr>
          <w:color w:val="231F20"/>
          <w:spacing w:val="-5"/>
          <w:w w:val="105"/>
        </w:rPr>
        <w:t> </w:t>
      </w:r>
      <w:r>
        <w:rPr>
          <w:color w:val="231F20"/>
          <w:w w:val="105"/>
        </w:rPr>
        <w:t>fuentes</w:t>
      </w:r>
      <w:r>
        <w:rPr>
          <w:color w:val="231F20"/>
          <w:spacing w:val="-5"/>
          <w:w w:val="105"/>
        </w:rPr>
        <w:t> </w:t>
      </w:r>
      <w:r>
        <w:rPr>
          <w:color w:val="231F20"/>
          <w:w w:val="105"/>
        </w:rPr>
        <w:t>de</w:t>
      </w:r>
      <w:r>
        <w:rPr>
          <w:color w:val="231F20"/>
          <w:spacing w:val="-5"/>
          <w:w w:val="105"/>
        </w:rPr>
        <w:t> </w:t>
      </w:r>
      <w:r>
        <w:rPr>
          <w:color w:val="231F20"/>
          <w:w w:val="105"/>
        </w:rPr>
        <w:t>trabajo</w:t>
      </w:r>
      <w:r>
        <w:rPr>
          <w:color w:val="231F20"/>
          <w:spacing w:val="-5"/>
          <w:w w:val="105"/>
        </w:rPr>
        <w:t> </w:t>
      </w:r>
      <w:r>
        <w:rPr>
          <w:color w:val="231F20"/>
          <w:w w:val="105"/>
        </w:rPr>
        <w:t>que</w:t>
      </w:r>
      <w:r>
        <w:rPr>
          <w:color w:val="231F20"/>
          <w:spacing w:val="-5"/>
          <w:w w:val="105"/>
        </w:rPr>
        <w:t> </w:t>
      </w:r>
      <w:r>
        <w:rPr>
          <w:color w:val="231F20"/>
          <w:w w:val="105"/>
        </w:rPr>
        <w:t>ofrece</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propicia</w:t>
      </w:r>
      <w:r>
        <w:rPr>
          <w:color w:val="231F20"/>
          <w:spacing w:val="-5"/>
          <w:w w:val="105"/>
        </w:rPr>
        <w:t> </w:t>
      </w:r>
      <w:r>
        <w:rPr>
          <w:color w:val="231F20"/>
          <w:w w:val="105"/>
        </w:rPr>
        <w:t>que</w:t>
      </w:r>
      <w:r>
        <w:rPr>
          <w:color w:val="231F20"/>
          <w:spacing w:val="-5"/>
          <w:w w:val="105"/>
        </w:rPr>
        <w:t> </w:t>
      </w:r>
      <w:r>
        <w:rPr>
          <w:color w:val="231F20"/>
          <w:w w:val="105"/>
        </w:rPr>
        <w:t>los jóvenes</w:t>
      </w:r>
      <w:r>
        <w:rPr>
          <w:color w:val="231F20"/>
          <w:spacing w:val="-17"/>
          <w:w w:val="105"/>
        </w:rPr>
        <w:t> </w:t>
      </w:r>
      <w:r>
        <w:rPr>
          <w:color w:val="231F20"/>
          <w:w w:val="105"/>
        </w:rPr>
        <w:t>emigren</w:t>
      </w:r>
      <w:r>
        <w:rPr>
          <w:color w:val="231F20"/>
          <w:spacing w:val="-17"/>
          <w:w w:val="105"/>
        </w:rPr>
        <w:t> </w:t>
      </w:r>
      <w:r>
        <w:rPr>
          <w:color w:val="231F20"/>
          <w:w w:val="105"/>
        </w:rPr>
        <w:t>hacia</w:t>
      </w:r>
      <w:r>
        <w:rPr>
          <w:color w:val="231F20"/>
          <w:spacing w:val="-17"/>
          <w:w w:val="105"/>
        </w:rPr>
        <w:t> </w:t>
      </w:r>
      <w:r>
        <w:rPr>
          <w:color w:val="231F20"/>
          <w:w w:val="105"/>
        </w:rPr>
        <w:t>la</w:t>
      </w:r>
      <w:r>
        <w:rPr>
          <w:color w:val="231F20"/>
          <w:spacing w:val="-17"/>
          <w:w w:val="105"/>
        </w:rPr>
        <w:t> </w:t>
      </w:r>
      <w:r>
        <w:rPr>
          <w:color w:val="231F20"/>
          <w:spacing w:val="-3"/>
          <w:w w:val="105"/>
        </w:rPr>
        <w:t>Ciudad</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o</w:t>
      </w:r>
      <w:r>
        <w:rPr>
          <w:color w:val="231F20"/>
          <w:spacing w:val="-17"/>
          <w:w w:val="105"/>
        </w:rPr>
        <w:t> </w:t>
      </w:r>
      <w:r>
        <w:rPr>
          <w:color w:val="231F20"/>
          <w:w w:val="105"/>
        </w:rPr>
        <w:t>los</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17"/>
          <w:w w:val="105"/>
        </w:rPr>
        <w:t> </w:t>
      </w:r>
      <w:r>
        <w:rPr>
          <w:color w:val="231F20"/>
          <w:w w:val="105"/>
        </w:rPr>
        <w:t>en</w:t>
      </w:r>
      <w:r>
        <w:rPr>
          <w:color w:val="231F20"/>
          <w:spacing w:val="-17"/>
          <w:w w:val="105"/>
        </w:rPr>
        <w:t> </w:t>
      </w:r>
      <w:r>
        <w:rPr>
          <w:color w:val="231F20"/>
          <w:w w:val="105"/>
        </w:rPr>
        <w:t>busca</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color w:val="231F20"/>
          <w:w w:val="105"/>
        </w:rPr>
        <w:t>mejor calidad</w:t>
      </w:r>
      <w:r>
        <w:rPr>
          <w:color w:val="231F20"/>
          <w:spacing w:val="-24"/>
          <w:w w:val="105"/>
        </w:rPr>
        <w:t> </w:t>
      </w:r>
      <w:r>
        <w:rPr>
          <w:color w:val="231F20"/>
          <w:w w:val="105"/>
        </w:rPr>
        <w:t>de</w:t>
      </w:r>
      <w:r>
        <w:rPr>
          <w:color w:val="231F20"/>
          <w:spacing w:val="-24"/>
          <w:w w:val="105"/>
        </w:rPr>
        <w:t> </w:t>
      </w:r>
      <w:r>
        <w:rPr>
          <w:color w:val="231F20"/>
          <w:w w:val="105"/>
        </w:rPr>
        <w:t>vida.</w:t>
      </w:r>
    </w:p>
    <w:p>
      <w:pPr>
        <w:pStyle w:val="BodyText"/>
        <w:spacing w:before="1"/>
        <w:rPr>
          <w:sz w:val="26"/>
        </w:rPr>
      </w:pPr>
    </w:p>
    <w:p>
      <w:pPr>
        <w:pStyle w:val="BodyText"/>
        <w:spacing w:line="285" w:lineRule="auto"/>
        <w:ind w:left="110" w:right="107"/>
        <w:jc w:val="both"/>
      </w:pPr>
      <w:r>
        <w:rPr>
          <w:color w:val="231F20"/>
          <w:w w:val="105"/>
        </w:rPr>
        <w:t>Esto</w:t>
      </w:r>
      <w:r>
        <w:rPr>
          <w:color w:val="231F20"/>
          <w:spacing w:val="-21"/>
          <w:w w:val="105"/>
        </w:rPr>
        <w:t> </w:t>
      </w:r>
      <w:r>
        <w:rPr>
          <w:color w:val="231F20"/>
          <w:w w:val="105"/>
        </w:rPr>
        <w:t>se</w:t>
      </w:r>
      <w:r>
        <w:rPr>
          <w:color w:val="231F20"/>
          <w:spacing w:val="-21"/>
          <w:w w:val="105"/>
        </w:rPr>
        <w:t> </w:t>
      </w:r>
      <w:r>
        <w:rPr>
          <w:color w:val="231F20"/>
          <w:w w:val="105"/>
        </w:rPr>
        <w:t>reafirma</w:t>
      </w:r>
      <w:r>
        <w:rPr>
          <w:color w:val="231F20"/>
          <w:spacing w:val="-21"/>
          <w:w w:val="105"/>
        </w:rPr>
        <w:t> </w:t>
      </w:r>
      <w:r>
        <w:rPr>
          <w:color w:val="231F20"/>
          <w:spacing w:val="-3"/>
          <w:w w:val="105"/>
        </w:rPr>
        <w:t>con</w:t>
      </w:r>
      <w:r>
        <w:rPr>
          <w:color w:val="231F20"/>
          <w:spacing w:val="-21"/>
          <w:w w:val="105"/>
        </w:rPr>
        <w:t> </w:t>
      </w:r>
      <w:r>
        <w:rPr>
          <w:color w:val="231F20"/>
          <w:spacing w:val="-3"/>
          <w:w w:val="105"/>
        </w:rPr>
        <w:t>los</w:t>
      </w:r>
      <w:r>
        <w:rPr>
          <w:color w:val="231F20"/>
          <w:spacing w:val="-21"/>
          <w:w w:val="105"/>
        </w:rPr>
        <w:t> </w:t>
      </w:r>
      <w:r>
        <w:rPr>
          <w:color w:val="231F20"/>
          <w:spacing w:val="-3"/>
          <w:w w:val="105"/>
        </w:rPr>
        <w:t>datos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5"/>
          <w:w w:val="105"/>
        </w:rPr>
        <w:t>Población</w:t>
      </w:r>
      <w:r>
        <w:rPr>
          <w:color w:val="231F20"/>
          <w:spacing w:val="-21"/>
          <w:w w:val="105"/>
        </w:rPr>
        <w:t> </w:t>
      </w:r>
      <w:r>
        <w:rPr>
          <w:color w:val="231F20"/>
          <w:spacing w:val="-3"/>
          <w:w w:val="105"/>
        </w:rPr>
        <w:t>Económicamente</w:t>
      </w:r>
      <w:r>
        <w:rPr>
          <w:color w:val="231F20"/>
          <w:spacing w:val="-21"/>
          <w:w w:val="105"/>
        </w:rPr>
        <w:t> </w:t>
      </w:r>
      <w:r>
        <w:rPr>
          <w:color w:val="231F20"/>
          <w:w w:val="105"/>
        </w:rPr>
        <w:t>Activa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4"/>
          <w:w w:val="105"/>
        </w:rPr>
        <w:t>municipio,</w:t>
      </w:r>
      <w:r>
        <w:rPr>
          <w:color w:val="231F20"/>
          <w:spacing w:val="-21"/>
          <w:w w:val="105"/>
        </w:rPr>
        <w:t> </w:t>
      </w:r>
      <w:r>
        <w:rPr>
          <w:color w:val="231F20"/>
          <w:w w:val="105"/>
        </w:rPr>
        <w:t>la cual</w:t>
      </w:r>
      <w:r>
        <w:rPr>
          <w:color w:val="231F20"/>
          <w:spacing w:val="-21"/>
          <w:w w:val="105"/>
        </w:rPr>
        <w:t> </w:t>
      </w:r>
      <w:r>
        <w:rPr>
          <w:color w:val="231F20"/>
          <w:spacing w:val="-4"/>
          <w:w w:val="105"/>
        </w:rPr>
        <w:t>representa</w:t>
      </w:r>
      <w:r>
        <w:rPr>
          <w:color w:val="231F20"/>
          <w:spacing w:val="-21"/>
          <w:w w:val="105"/>
        </w:rPr>
        <w:t> </w:t>
      </w:r>
      <w:r>
        <w:rPr>
          <w:color w:val="231F20"/>
          <w:w w:val="105"/>
        </w:rPr>
        <w:t>el</w:t>
      </w:r>
      <w:r>
        <w:rPr>
          <w:color w:val="231F20"/>
          <w:spacing w:val="-21"/>
          <w:w w:val="105"/>
        </w:rPr>
        <w:t> </w:t>
      </w:r>
      <w:r>
        <w:rPr>
          <w:color w:val="231F20"/>
          <w:spacing w:val="-7"/>
          <w:w w:val="105"/>
        </w:rPr>
        <w:t>31.7%</w:t>
      </w:r>
      <w:r>
        <w:rPr>
          <w:color w:val="231F20"/>
          <w:spacing w:val="-21"/>
          <w:w w:val="105"/>
        </w:rPr>
        <w:t> </w:t>
      </w:r>
      <w:r>
        <w:rPr>
          <w:color w:val="231F20"/>
          <w:w w:val="105"/>
        </w:rPr>
        <w:t>de</w:t>
      </w:r>
      <w:r>
        <w:rPr>
          <w:color w:val="231F20"/>
          <w:spacing w:val="-21"/>
          <w:w w:val="105"/>
        </w:rPr>
        <w:t> </w:t>
      </w:r>
      <w:r>
        <w:rPr>
          <w:color w:val="231F20"/>
          <w:w w:val="105"/>
        </w:rPr>
        <w:t>sus</w:t>
      </w:r>
      <w:r>
        <w:rPr>
          <w:color w:val="231F20"/>
          <w:spacing w:val="-21"/>
          <w:w w:val="105"/>
        </w:rPr>
        <w:t> </w:t>
      </w:r>
      <w:r>
        <w:rPr>
          <w:color w:val="231F20"/>
          <w:spacing w:val="-3"/>
          <w:w w:val="105"/>
        </w:rPr>
        <w:t>habitantes,</w:t>
      </w:r>
      <w:r>
        <w:rPr>
          <w:color w:val="231F20"/>
          <w:spacing w:val="-21"/>
          <w:w w:val="105"/>
        </w:rPr>
        <w:t> </w:t>
      </w:r>
      <w:r>
        <w:rPr>
          <w:color w:val="231F20"/>
          <w:w w:val="105"/>
        </w:rPr>
        <w:t>de</w:t>
      </w:r>
      <w:r>
        <w:rPr>
          <w:color w:val="231F20"/>
          <w:spacing w:val="-21"/>
          <w:w w:val="105"/>
        </w:rPr>
        <w:t> </w:t>
      </w:r>
      <w:r>
        <w:rPr>
          <w:color w:val="231F20"/>
          <w:spacing w:val="-3"/>
          <w:w w:val="105"/>
        </w:rPr>
        <w:t>los</w:t>
      </w:r>
      <w:r>
        <w:rPr>
          <w:color w:val="231F20"/>
          <w:spacing w:val="-21"/>
          <w:w w:val="105"/>
        </w:rPr>
        <w:t> </w:t>
      </w:r>
      <w:r>
        <w:rPr>
          <w:color w:val="231F20"/>
          <w:w w:val="105"/>
        </w:rPr>
        <w:t>cuales</w:t>
      </w:r>
      <w:r>
        <w:rPr>
          <w:color w:val="231F20"/>
          <w:spacing w:val="-21"/>
          <w:w w:val="105"/>
        </w:rPr>
        <w:t> </w:t>
      </w:r>
      <w:r>
        <w:rPr>
          <w:color w:val="231F20"/>
          <w:w w:val="105"/>
        </w:rPr>
        <w:t>el</w:t>
      </w:r>
      <w:r>
        <w:rPr>
          <w:color w:val="231F20"/>
          <w:spacing w:val="-21"/>
          <w:w w:val="105"/>
        </w:rPr>
        <w:t> </w:t>
      </w:r>
      <w:r>
        <w:rPr>
          <w:color w:val="231F20"/>
          <w:spacing w:val="-3"/>
          <w:w w:val="105"/>
        </w:rPr>
        <w:t>72.7%</w:t>
      </w:r>
      <w:r>
        <w:rPr>
          <w:color w:val="231F20"/>
          <w:spacing w:val="-21"/>
          <w:w w:val="105"/>
        </w:rPr>
        <w:t> </w:t>
      </w:r>
      <w:r>
        <w:rPr>
          <w:color w:val="231F20"/>
          <w:spacing w:val="-3"/>
          <w:w w:val="105"/>
        </w:rPr>
        <w:t>tiene</w:t>
      </w:r>
      <w:r>
        <w:rPr>
          <w:color w:val="231F20"/>
          <w:spacing w:val="-21"/>
          <w:w w:val="105"/>
        </w:rPr>
        <w:t> </w:t>
      </w:r>
      <w:r>
        <w:rPr>
          <w:color w:val="231F20"/>
          <w:w w:val="105"/>
        </w:rPr>
        <w:t>un</w:t>
      </w:r>
      <w:r>
        <w:rPr>
          <w:color w:val="231F20"/>
          <w:spacing w:val="-21"/>
          <w:w w:val="105"/>
        </w:rPr>
        <w:t> </w:t>
      </w:r>
      <w:r>
        <w:rPr>
          <w:color w:val="231F20"/>
          <w:w w:val="105"/>
        </w:rPr>
        <w:t>ingreso</w:t>
      </w:r>
      <w:r>
        <w:rPr>
          <w:color w:val="231F20"/>
          <w:spacing w:val="-21"/>
          <w:w w:val="105"/>
        </w:rPr>
        <w:t> </w:t>
      </w:r>
      <w:r>
        <w:rPr>
          <w:color w:val="231F20"/>
          <w:spacing w:val="-4"/>
          <w:w w:val="105"/>
        </w:rPr>
        <w:t>menor</w:t>
      </w:r>
      <w:r>
        <w:rPr>
          <w:color w:val="231F20"/>
          <w:spacing w:val="-21"/>
          <w:w w:val="105"/>
        </w:rPr>
        <w:t> </w:t>
      </w:r>
      <w:r>
        <w:rPr>
          <w:color w:val="231F20"/>
          <w:w w:val="105"/>
        </w:rPr>
        <w:t>a </w:t>
      </w:r>
      <w:r>
        <w:rPr>
          <w:color w:val="231F20"/>
          <w:spacing w:val="-3"/>
          <w:w w:val="105"/>
        </w:rPr>
        <w:t>dos</w:t>
      </w:r>
      <w:r>
        <w:rPr>
          <w:color w:val="231F20"/>
          <w:spacing w:val="-16"/>
          <w:w w:val="105"/>
        </w:rPr>
        <w:t> </w:t>
      </w:r>
      <w:r>
        <w:rPr>
          <w:color w:val="231F20"/>
          <w:w w:val="105"/>
        </w:rPr>
        <w:t>salarios</w:t>
      </w:r>
      <w:r>
        <w:rPr>
          <w:color w:val="231F20"/>
          <w:spacing w:val="-16"/>
          <w:w w:val="105"/>
        </w:rPr>
        <w:t> </w:t>
      </w:r>
      <w:r>
        <w:rPr>
          <w:color w:val="231F20"/>
          <w:w w:val="105"/>
        </w:rPr>
        <w:t>mínimos,</w:t>
      </w:r>
      <w:r>
        <w:rPr>
          <w:color w:val="231F20"/>
          <w:spacing w:val="-16"/>
          <w:w w:val="105"/>
        </w:rPr>
        <w:t> </w:t>
      </w:r>
      <w:r>
        <w:rPr>
          <w:color w:val="231F20"/>
          <w:w w:val="105"/>
        </w:rPr>
        <w:t>esto</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ingreso</w:t>
      </w:r>
      <w:r>
        <w:rPr>
          <w:color w:val="231F20"/>
          <w:spacing w:val="-16"/>
          <w:w w:val="105"/>
        </w:rPr>
        <w:t> </w:t>
      </w:r>
      <w:r>
        <w:rPr>
          <w:color w:val="231F20"/>
          <w:spacing w:val="-2"/>
          <w:w w:val="105"/>
        </w:rPr>
        <w:t>per</w:t>
      </w:r>
      <w:r>
        <w:rPr>
          <w:color w:val="231F20"/>
          <w:spacing w:val="-16"/>
          <w:w w:val="105"/>
        </w:rPr>
        <w:t> </w:t>
      </w:r>
      <w:r>
        <w:rPr>
          <w:color w:val="231F20"/>
          <w:spacing w:val="-3"/>
          <w:w w:val="105"/>
        </w:rPr>
        <w:t>cápita</w:t>
      </w:r>
      <w:r>
        <w:rPr>
          <w:color w:val="231F20"/>
          <w:spacing w:val="-16"/>
          <w:w w:val="105"/>
        </w:rPr>
        <w:t> </w:t>
      </w:r>
      <w:r>
        <w:rPr>
          <w:color w:val="231F20"/>
          <w:w w:val="105"/>
        </w:rPr>
        <w:t>anual</w:t>
      </w:r>
      <w:r>
        <w:rPr>
          <w:color w:val="231F20"/>
          <w:spacing w:val="-16"/>
          <w:w w:val="105"/>
        </w:rPr>
        <w:t> </w:t>
      </w:r>
      <w:r>
        <w:rPr>
          <w:color w:val="231F20"/>
          <w:w w:val="105"/>
        </w:rPr>
        <w:t>es</w:t>
      </w:r>
      <w:r>
        <w:rPr>
          <w:color w:val="231F20"/>
          <w:spacing w:val="-16"/>
          <w:w w:val="105"/>
        </w:rPr>
        <w:t> </w:t>
      </w:r>
      <w:r>
        <w:rPr>
          <w:color w:val="231F20"/>
          <w:w w:val="105"/>
        </w:rPr>
        <w:t>de</w:t>
      </w:r>
      <w:r>
        <w:rPr>
          <w:color w:val="231F20"/>
          <w:spacing w:val="-16"/>
          <w:w w:val="105"/>
        </w:rPr>
        <w:t> </w:t>
      </w:r>
      <w:r>
        <w:rPr>
          <w:color w:val="231F20"/>
          <w:w w:val="105"/>
        </w:rPr>
        <w:t>28.005</w:t>
      </w:r>
      <w:r>
        <w:rPr>
          <w:color w:val="231F20"/>
          <w:spacing w:val="-16"/>
          <w:w w:val="105"/>
        </w:rPr>
        <w:t> </w:t>
      </w:r>
      <w:r>
        <w:rPr>
          <w:color w:val="231F20"/>
          <w:w w:val="105"/>
        </w:rPr>
        <w:t>pesos,</w:t>
      </w:r>
      <w:r>
        <w:rPr>
          <w:color w:val="231F20"/>
          <w:spacing w:val="-16"/>
          <w:w w:val="105"/>
        </w:rPr>
        <w:t> </w:t>
      </w:r>
      <w:r>
        <w:rPr>
          <w:color w:val="231F20"/>
          <w:spacing w:val="-3"/>
          <w:w w:val="105"/>
        </w:rPr>
        <w:t>pues</w:t>
      </w:r>
      <w:r>
        <w:rPr>
          <w:color w:val="231F20"/>
          <w:spacing w:val="-16"/>
          <w:w w:val="105"/>
        </w:rPr>
        <w:t> </w:t>
      </w:r>
      <w:r>
        <w:rPr>
          <w:color w:val="231F20"/>
          <w:w w:val="105"/>
        </w:rPr>
        <w:t>la</w:t>
      </w:r>
      <w:r>
        <w:rPr>
          <w:color w:val="231F20"/>
          <w:spacing w:val="-16"/>
          <w:w w:val="105"/>
        </w:rPr>
        <w:t> </w:t>
      </w:r>
      <w:r>
        <w:rPr>
          <w:color w:val="231F20"/>
          <w:spacing w:val="-2"/>
          <w:w w:val="105"/>
        </w:rPr>
        <w:t>ma- </w:t>
      </w:r>
      <w:r>
        <w:rPr>
          <w:color w:val="231F20"/>
          <w:spacing w:val="-3"/>
          <w:w w:val="105"/>
        </w:rPr>
        <w:t>yoría</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spacing w:val="-3"/>
          <w:w w:val="105"/>
        </w:rPr>
        <w:t>personas</w:t>
      </w:r>
      <w:r>
        <w:rPr>
          <w:color w:val="231F20"/>
          <w:spacing w:val="-22"/>
          <w:w w:val="105"/>
        </w:rPr>
        <w:t> </w:t>
      </w:r>
      <w:r>
        <w:rPr>
          <w:color w:val="231F20"/>
          <w:w w:val="105"/>
        </w:rPr>
        <w:t>en</w:t>
      </w:r>
      <w:r>
        <w:rPr>
          <w:color w:val="231F20"/>
          <w:spacing w:val="-22"/>
          <w:w w:val="105"/>
        </w:rPr>
        <w:t> </w:t>
      </w:r>
      <w:r>
        <w:rPr>
          <w:color w:val="231F20"/>
          <w:spacing w:val="-3"/>
          <w:w w:val="105"/>
        </w:rPr>
        <w:t>edad</w:t>
      </w:r>
      <w:r>
        <w:rPr>
          <w:color w:val="231F20"/>
          <w:spacing w:val="-22"/>
          <w:w w:val="105"/>
        </w:rPr>
        <w:t> </w:t>
      </w:r>
      <w:r>
        <w:rPr>
          <w:color w:val="231F20"/>
          <w:spacing w:val="-3"/>
          <w:w w:val="105"/>
        </w:rPr>
        <w:t>productiva</w:t>
      </w:r>
      <w:r>
        <w:rPr>
          <w:color w:val="231F20"/>
          <w:spacing w:val="-22"/>
          <w:w w:val="105"/>
        </w:rPr>
        <w:t> </w:t>
      </w:r>
      <w:r>
        <w:rPr>
          <w:color w:val="231F20"/>
          <w:w w:val="105"/>
        </w:rPr>
        <w:t>desarrollan</w:t>
      </w:r>
      <w:r>
        <w:rPr>
          <w:color w:val="231F20"/>
          <w:spacing w:val="-22"/>
          <w:w w:val="105"/>
        </w:rPr>
        <w:t> </w:t>
      </w:r>
      <w:r>
        <w:rPr>
          <w:color w:val="231F20"/>
          <w:w w:val="105"/>
        </w:rPr>
        <w:t>sus</w:t>
      </w:r>
      <w:r>
        <w:rPr>
          <w:color w:val="231F20"/>
          <w:spacing w:val="-22"/>
          <w:w w:val="105"/>
        </w:rPr>
        <w:t> </w:t>
      </w:r>
      <w:r>
        <w:rPr>
          <w:color w:val="231F20"/>
          <w:spacing w:val="-3"/>
          <w:w w:val="105"/>
        </w:rPr>
        <w:t>actividades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sector</w:t>
      </w:r>
      <w:r>
        <w:rPr>
          <w:color w:val="231F20"/>
          <w:spacing w:val="-22"/>
          <w:w w:val="105"/>
        </w:rPr>
        <w:t> </w:t>
      </w:r>
      <w:r>
        <w:rPr>
          <w:color w:val="231F20"/>
          <w:w w:val="105"/>
        </w:rPr>
        <w:t>primario: el</w:t>
      </w:r>
      <w:r>
        <w:rPr>
          <w:color w:val="231F20"/>
          <w:spacing w:val="-28"/>
          <w:w w:val="105"/>
        </w:rPr>
        <w:t> </w:t>
      </w:r>
      <w:r>
        <w:rPr>
          <w:color w:val="231F20"/>
          <w:w w:val="105"/>
        </w:rPr>
        <w:t>40.84%</w:t>
      </w:r>
      <w:r>
        <w:rPr>
          <w:color w:val="231F20"/>
          <w:spacing w:val="-28"/>
          <w:w w:val="105"/>
        </w:rPr>
        <w:t> </w:t>
      </w:r>
      <w:r>
        <w:rPr>
          <w:color w:val="231F20"/>
          <w:w w:val="105"/>
        </w:rPr>
        <w:t>se</w:t>
      </w:r>
      <w:r>
        <w:rPr>
          <w:color w:val="231F20"/>
          <w:spacing w:val="-28"/>
          <w:w w:val="105"/>
        </w:rPr>
        <w:t> </w:t>
      </w:r>
      <w:r>
        <w:rPr>
          <w:color w:val="231F20"/>
          <w:w w:val="105"/>
        </w:rPr>
        <w:t>dedica</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agricultura</w:t>
      </w:r>
      <w:r>
        <w:rPr>
          <w:color w:val="231F20"/>
          <w:spacing w:val="-28"/>
          <w:w w:val="105"/>
        </w:rPr>
        <w:t> </w:t>
      </w:r>
      <w:r>
        <w:rPr>
          <w:color w:val="231F20"/>
          <w:w w:val="105"/>
        </w:rPr>
        <w:t>de</w:t>
      </w:r>
      <w:r>
        <w:rPr>
          <w:color w:val="231F20"/>
          <w:spacing w:val="-28"/>
          <w:w w:val="105"/>
        </w:rPr>
        <w:t> </w:t>
      </w:r>
      <w:r>
        <w:rPr>
          <w:color w:val="231F20"/>
          <w:w w:val="105"/>
        </w:rPr>
        <w:t>temporal</w:t>
      </w:r>
      <w:r>
        <w:rPr>
          <w:color w:val="231F20"/>
          <w:spacing w:val="-28"/>
          <w:w w:val="105"/>
        </w:rPr>
        <w:t> </w:t>
      </w:r>
      <w:r>
        <w:rPr>
          <w:color w:val="231F20"/>
          <w:w w:val="105"/>
        </w:rPr>
        <w:t>(maíz,</w:t>
      </w:r>
      <w:r>
        <w:rPr>
          <w:color w:val="231F20"/>
          <w:spacing w:val="-28"/>
          <w:w w:val="105"/>
        </w:rPr>
        <w:t> </w:t>
      </w:r>
      <w:r>
        <w:rPr>
          <w:color w:val="231F20"/>
          <w:spacing w:val="-3"/>
          <w:w w:val="105"/>
        </w:rPr>
        <w:t>fríjol)</w:t>
      </w:r>
      <w:r>
        <w:rPr>
          <w:color w:val="231F20"/>
          <w:spacing w:val="-28"/>
          <w:w w:val="105"/>
        </w:rPr>
        <w:t> </w:t>
      </w:r>
      <w:r>
        <w:rPr>
          <w:color w:val="231F20"/>
          <w:spacing w:val="-3"/>
          <w:w w:val="105"/>
        </w:rPr>
        <w:t>aunque</w:t>
      </w:r>
      <w:r>
        <w:rPr>
          <w:color w:val="231F20"/>
          <w:spacing w:val="-28"/>
          <w:w w:val="105"/>
        </w:rPr>
        <w:t> </w:t>
      </w:r>
      <w:r>
        <w:rPr>
          <w:color w:val="231F20"/>
          <w:spacing w:val="-3"/>
          <w:w w:val="105"/>
        </w:rPr>
        <w:t>hay</w:t>
      </w:r>
      <w:r>
        <w:rPr>
          <w:color w:val="231F20"/>
          <w:spacing w:val="-28"/>
          <w:w w:val="105"/>
        </w:rPr>
        <w:t> </w:t>
      </w:r>
      <w:r>
        <w:rPr>
          <w:color w:val="231F20"/>
          <w:spacing w:val="-3"/>
          <w:w w:val="105"/>
        </w:rPr>
        <w:t>que</w:t>
      </w:r>
      <w:r>
        <w:rPr>
          <w:color w:val="231F20"/>
          <w:spacing w:val="-28"/>
          <w:w w:val="105"/>
        </w:rPr>
        <w:t> </w:t>
      </w:r>
      <w:r>
        <w:rPr>
          <w:color w:val="231F20"/>
          <w:w w:val="105"/>
        </w:rPr>
        <w:t>destacar</w:t>
      </w:r>
      <w:r>
        <w:rPr>
          <w:color w:val="231F20"/>
          <w:spacing w:val="-28"/>
          <w:w w:val="105"/>
        </w:rPr>
        <w:t> </w:t>
      </w:r>
      <w:r>
        <w:rPr>
          <w:color w:val="231F20"/>
          <w:spacing w:val="-3"/>
          <w:w w:val="105"/>
        </w:rPr>
        <w:t>que </w:t>
      </w:r>
      <w:r>
        <w:rPr>
          <w:color w:val="231F20"/>
          <w:w w:val="105"/>
        </w:rPr>
        <w:t>ya</w:t>
      </w:r>
      <w:r>
        <w:rPr>
          <w:color w:val="231F20"/>
          <w:spacing w:val="-22"/>
          <w:w w:val="105"/>
        </w:rPr>
        <w:t> </w:t>
      </w:r>
      <w:r>
        <w:rPr>
          <w:color w:val="231F20"/>
          <w:w w:val="105"/>
        </w:rPr>
        <w:t>se</w:t>
      </w:r>
      <w:r>
        <w:rPr>
          <w:color w:val="231F20"/>
          <w:spacing w:val="-22"/>
          <w:w w:val="105"/>
        </w:rPr>
        <w:t> </w:t>
      </w:r>
      <w:r>
        <w:rPr>
          <w:color w:val="231F20"/>
          <w:w w:val="105"/>
        </w:rPr>
        <w:t>han</w:t>
      </w:r>
      <w:r>
        <w:rPr>
          <w:color w:val="231F20"/>
          <w:spacing w:val="-22"/>
          <w:w w:val="105"/>
        </w:rPr>
        <w:t> </w:t>
      </w:r>
      <w:r>
        <w:rPr>
          <w:color w:val="231F20"/>
          <w:spacing w:val="-3"/>
          <w:w w:val="105"/>
        </w:rPr>
        <w:t>diversificado</w:t>
      </w:r>
      <w:r>
        <w:rPr>
          <w:color w:val="231F20"/>
          <w:spacing w:val="-22"/>
          <w:w w:val="105"/>
        </w:rPr>
        <w:t> </w:t>
      </w:r>
      <w:r>
        <w:rPr>
          <w:color w:val="231F20"/>
          <w:spacing w:val="-3"/>
          <w:w w:val="105"/>
        </w:rPr>
        <w:t>los</w:t>
      </w:r>
      <w:r>
        <w:rPr>
          <w:color w:val="231F20"/>
          <w:spacing w:val="-22"/>
          <w:w w:val="105"/>
        </w:rPr>
        <w:t> </w:t>
      </w:r>
      <w:r>
        <w:rPr>
          <w:color w:val="231F20"/>
          <w:w w:val="105"/>
        </w:rPr>
        <w:t>cultivos</w:t>
      </w:r>
      <w:r>
        <w:rPr>
          <w:color w:val="231F20"/>
          <w:spacing w:val="-22"/>
          <w:w w:val="105"/>
        </w:rPr>
        <w:t> </w:t>
      </w:r>
      <w:r>
        <w:rPr>
          <w:color w:val="231F20"/>
          <w:w w:val="105"/>
        </w:rPr>
        <w:t>y</w:t>
      </w:r>
      <w:r>
        <w:rPr>
          <w:color w:val="231F20"/>
          <w:spacing w:val="-22"/>
          <w:w w:val="105"/>
        </w:rPr>
        <w:t> </w:t>
      </w:r>
      <w:r>
        <w:rPr>
          <w:color w:val="231F20"/>
          <w:spacing w:val="-3"/>
          <w:w w:val="105"/>
        </w:rPr>
        <w:t>los</w:t>
      </w:r>
      <w:r>
        <w:rPr>
          <w:color w:val="231F20"/>
          <w:spacing w:val="-22"/>
          <w:w w:val="105"/>
        </w:rPr>
        <w:t> </w:t>
      </w:r>
      <w:r>
        <w:rPr>
          <w:color w:val="231F20"/>
          <w:spacing w:val="-3"/>
          <w:w w:val="105"/>
        </w:rPr>
        <w:t>métodos</w:t>
      </w:r>
      <w:r>
        <w:rPr>
          <w:color w:val="231F20"/>
          <w:spacing w:val="-22"/>
          <w:w w:val="105"/>
        </w:rPr>
        <w:t> </w:t>
      </w:r>
      <w:r>
        <w:rPr>
          <w:color w:val="231F20"/>
          <w:w w:val="105"/>
        </w:rPr>
        <w:t>de</w:t>
      </w:r>
      <w:r>
        <w:rPr>
          <w:color w:val="231F20"/>
          <w:spacing w:val="-22"/>
          <w:w w:val="105"/>
        </w:rPr>
        <w:t> </w:t>
      </w:r>
      <w:r>
        <w:rPr>
          <w:color w:val="231F20"/>
          <w:spacing w:val="-4"/>
          <w:w w:val="105"/>
        </w:rPr>
        <w:t>producción;</w:t>
      </w:r>
      <w:r>
        <w:rPr>
          <w:color w:val="231F20"/>
          <w:spacing w:val="-22"/>
          <w:w w:val="105"/>
        </w:rPr>
        <w:t> </w:t>
      </w:r>
      <w:r>
        <w:rPr>
          <w:color w:val="231F20"/>
          <w:w w:val="105"/>
        </w:rPr>
        <w:t>el</w:t>
      </w:r>
      <w:r>
        <w:rPr>
          <w:color w:val="231F20"/>
          <w:spacing w:val="-22"/>
          <w:w w:val="105"/>
        </w:rPr>
        <w:t> </w:t>
      </w:r>
      <w:r>
        <w:rPr>
          <w:color w:val="231F20"/>
          <w:spacing w:val="-6"/>
          <w:w w:val="105"/>
        </w:rPr>
        <w:t>39.73%</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spacing w:val="-4"/>
          <w:w w:val="105"/>
        </w:rPr>
        <w:t>comercio </w:t>
      </w:r>
      <w:r>
        <w:rPr>
          <w:color w:val="231F20"/>
          <w:w w:val="105"/>
        </w:rPr>
        <w:t>y</w:t>
      </w:r>
      <w:r>
        <w:rPr>
          <w:color w:val="231F20"/>
          <w:spacing w:val="-26"/>
          <w:w w:val="105"/>
        </w:rPr>
        <w:t> </w:t>
      </w:r>
      <w:r>
        <w:rPr>
          <w:color w:val="231F20"/>
          <w:spacing w:val="-3"/>
          <w:w w:val="105"/>
        </w:rPr>
        <w:t>los</w:t>
      </w:r>
      <w:r>
        <w:rPr>
          <w:color w:val="231F20"/>
          <w:spacing w:val="-26"/>
          <w:w w:val="105"/>
        </w:rPr>
        <w:t> </w:t>
      </w:r>
      <w:r>
        <w:rPr>
          <w:color w:val="231F20"/>
          <w:w w:val="105"/>
        </w:rPr>
        <w:t>servicios;</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spacing w:val="-4"/>
          <w:w w:val="105"/>
        </w:rPr>
        <w:t>8.73%</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industria</w:t>
      </w:r>
      <w:r>
        <w:rPr>
          <w:color w:val="231F20"/>
          <w:spacing w:val="-26"/>
          <w:w w:val="105"/>
        </w:rPr>
        <w:t> </w:t>
      </w:r>
      <w:r>
        <w:rPr>
          <w:color w:val="231F20"/>
          <w:w w:val="105"/>
        </w:rPr>
        <w:t>manufacturera</w:t>
      </w:r>
      <w:r>
        <w:rPr>
          <w:color w:val="231F20"/>
          <w:spacing w:val="-26"/>
          <w:w w:val="105"/>
        </w:rPr>
        <w:t> </w:t>
      </w:r>
      <w:r>
        <w:rPr>
          <w:color w:val="231F20"/>
          <w:w w:val="105"/>
        </w:rPr>
        <w:t>y</w:t>
      </w:r>
      <w:r>
        <w:rPr>
          <w:color w:val="231F20"/>
          <w:spacing w:val="-26"/>
          <w:w w:val="105"/>
        </w:rPr>
        <w:t> </w:t>
      </w:r>
      <w:r>
        <w:rPr>
          <w:color w:val="231F20"/>
          <w:w w:val="105"/>
        </w:rPr>
        <w:t>de</w:t>
      </w:r>
      <w:r>
        <w:rPr>
          <w:color w:val="231F20"/>
          <w:spacing w:val="-26"/>
          <w:w w:val="105"/>
        </w:rPr>
        <w:t> </w:t>
      </w:r>
      <w:r>
        <w:rPr>
          <w:color w:val="231F20"/>
          <w:spacing w:val="-3"/>
          <w:w w:val="105"/>
        </w:rPr>
        <w:t>construcción.</w:t>
      </w:r>
    </w:p>
    <w:p>
      <w:pPr>
        <w:pStyle w:val="BodyText"/>
        <w:spacing w:before="1"/>
        <w:rPr>
          <w:sz w:val="26"/>
        </w:rPr>
      </w:pPr>
    </w:p>
    <w:p>
      <w:pPr>
        <w:pStyle w:val="BodyText"/>
        <w:spacing w:line="285" w:lineRule="auto"/>
        <w:ind w:left="110" w:right="107"/>
        <w:jc w:val="both"/>
      </w:pPr>
      <w:r>
        <w:rPr>
          <w:color w:val="231F20"/>
          <w:w w:val="105"/>
        </w:rPr>
        <w:t>El</w:t>
      </w:r>
      <w:r>
        <w:rPr>
          <w:color w:val="231F20"/>
          <w:spacing w:val="-30"/>
          <w:w w:val="105"/>
        </w:rPr>
        <w:t> </w:t>
      </w:r>
      <w:r>
        <w:rPr>
          <w:color w:val="231F20"/>
          <w:w w:val="105"/>
        </w:rPr>
        <w:t>90.4%</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población</w:t>
      </w:r>
      <w:r>
        <w:rPr>
          <w:color w:val="231F20"/>
          <w:spacing w:val="-30"/>
          <w:w w:val="105"/>
        </w:rPr>
        <w:t> </w:t>
      </w:r>
      <w:r>
        <w:rPr>
          <w:color w:val="231F20"/>
          <w:w w:val="105"/>
        </w:rPr>
        <w:t>sabe</w:t>
      </w:r>
      <w:r>
        <w:rPr>
          <w:color w:val="231F20"/>
          <w:spacing w:val="-30"/>
          <w:w w:val="105"/>
        </w:rPr>
        <w:t> </w:t>
      </w:r>
      <w:r>
        <w:rPr>
          <w:color w:val="231F20"/>
          <w:w w:val="105"/>
        </w:rPr>
        <w:t>leer</w:t>
      </w:r>
      <w:r>
        <w:rPr>
          <w:color w:val="231F20"/>
          <w:spacing w:val="-30"/>
          <w:w w:val="105"/>
        </w:rPr>
        <w:t> </w:t>
      </w:r>
      <w:r>
        <w:rPr>
          <w:color w:val="231F20"/>
          <w:w w:val="105"/>
        </w:rPr>
        <w:t>y</w:t>
      </w:r>
      <w:r>
        <w:rPr>
          <w:color w:val="231F20"/>
          <w:spacing w:val="-30"/>
          <w:w w:val="105"/>
        </w:rPr>
        <w:t> </w:t>
      </w:r>
      <w:r>
        <w:rPr>
          <w:color w:val="231F20"/>
          <w:w w:val="105"/>
        </w:rPr>
        <w:t>escribir;</w:t>
      </w:r>
      <w:r>
        <w:rPr>
          <w:color w:val="231F20"/>
          <w:spacing w:val="-30"/>
          <w:w w:val="105"/>
        </w:rPr>
        <w:t> </w:t>
      </w:r>
      <w:r>
        <w:rPr>
          <w:color w:val="231F20"/>
          <w:w w:val="105"/>
        </w:rPr>
        <w:t>del</w:t>
      </w:r>
      <w:r>
        <w:rPr>
          <w:color w:val="231F20"/>
          <w:spacing w:val="-30"/>
          <w:w w:val="105"/>
        </w:rPr>
        <w:t> </w:t>
      </w:r>
      <w:r>
        <w:rPr>
          <w:color w:val="231F20"/>
          <w:spacing w:val="-4"/>
          <w:w w:val="105"/>
        </w:rPr>
        <w:t>9.6%</w:t>
      </w:r>
      <w:r>
        <w:rPr>
          <w:color w:val="231F20"/>
          <w:spacing w:val="-30"/>
          <w:w w:val="105"/>
        </w:rPr>
        <w:t> </w:t>
      </w:r>
      <w:r>
        <w:rPr>
          <w:color w:val="231F20"/>
          <w:w w:val="105"/>
        </w:rPr>
        <w:t>de</w:t>
      </w:r>
      <w:r>
        <w:rPr>
          <w:color w:val="231F20"/>
          <w:spacing w:val="-30"/>
          <w:w w:val="105"/>
        </w:rPr>
        <w:t> </w:t>
      </w:r>
      <w:r>
        <w:rPr>
          <w:color w:val="231F20"/>
          <w:w w:val="105"/>
        </w:rPr>
        <w:t>población</w:t>
      </w:r>
      <w:r>
        <w:rPr>
          <w:color w:val="231F20"/>
          <w:spacing w:val="-30"/>
          <w:w w:val="105"/>
        </w:rPr>
        <w:t> </w:t>
      </w:r>
      <w:r>
        <w:rPr>
          <w:color w:val="231F20"/>
          <w:w w:val="105"/>
        </w:rPr>
        <w:t>analfabeta,</w:t>
      </w:r>
      <w:r>
        <w:rPr>
          <w:color w:val="231F20"/>
          <w:spacing w:val="-30"/>
          <w:w w:val="105"/>
        </w:rPr>
        <w:t> </w:t>
      </w:r>
      <w:r>
        <w:rPr>
          <w:color w:val="231F20"/>
          <w:w w:val="105"/>
        </w:rPr>
        <w:t>el</w:t>
      </w:r>
      <w:r>
        <w:rPr>
          <w:color w:val="231F20"/>
          <w:spacing w:val="-30"/>
          <w:w w:val="105"/>
        </w:rPr>
        <w:t> </w:t>
      </w:r>
      <w:r>
        <w:rPr>
          <w:color w:val="231F20"/>
          <w:w w:val="105"/>
        </w:rPr>
        <w:t>63.68% son</w:t>
      </w:r>
      <w:r>
        <w:rPr>
          <w:color w:val="231F20"/>
          <w:spacing w:val="-27"/>
          <w:w w:val="105"/>
        </w:rPr>
        <w:t> </w:t>
      </w:r>
      <w:r>
        <w:rPr>
          <w:color w:val="231F20"/>
          <w:w w:val="105"/>
        </w:rPr>
        <w:t>mujeres.</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municipio</w:t>
      </w:r>
      <w:r>
        <w:rPr>
          <w:color w:val="231F20"/>
          <w:spacing w:val="-27"/>
          <w:w w:val="105"/>
        </w:rPr>
        <w:t> </w:t>
      </w:r>
      <w:r>
        <w:rPr>
          <w:color w:val="231F20"/>
          <w:w w:val="105"/>
        </w:rPr>
        <w:t>el</w:t>
      </w:r>
      <w:r>
        <w:rPr>
          <w:color w:val="231F20"/>
          <w:spacing w:val="-27"/>
          <w:w w:val="105"/>
        </w:rPr>
        <w:t> </w:t>
      </w:r>
      <w:r>
        <w:rPr>
          <w:color w:val="231F20"/>
          <w:spacing w:val="-4"/>
          <w:w w:val="105"/>
        </w:rPr>
        <w:t>18%</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hogares</w:t>
      </w:r>
      <w:r>
        <w:rPr>
          <w:color w:val="231F20"/>
          <w:spacing w:val="-27"/>
          <w:w w:val="105"/>
        </w:rPr>
        <w:t> </w:t>
      </w:r>
      <w:r>
        <w:rPr>
          <w:color w:val="231F20"/>
          <w:w w:val="105"/>
        </w:rPr>
        <w:t>tienen</w:t>
      </w:r>
      <w:r>
        <w:rPr>
          <w:color w:val="231F20"/>
          <w:spacing w:val="-27"/>
          <w:w w:val="105"/>
        </w:rPr>
        <w:t> </w:t>
      </w:r>
      <w:r>
        <w:rPr>
          <w:color w:val="231F20"/>
          <w:w w:val="105"/>
        </w:rPr>
        <w:t>jefatura</w:t>
      </w:r>
      <w:r>
        <w:rPr>
          <w:color w:val="231F20"/>
          <w:spacing w:val="-27"/>
          <w:w w:val="105"/>
        </w:rPr>
        <w:t> </w:t>
      </w:r>
      <w:r>
        <w:rPr>
          <w:color w:val="231F20"/>
          <w:w w:val="105"/>
        </w:rPr>
        <w:t>femenina.</w:t>
      </w:r>
      <w:r>
        <w:rPr>
          <w:color w:val="231F20"/>
          <w:spacing w:val="-27"/>
          <w:w w:val="105"/>
        </w:rPr>
        <w:t> </w:t>
      </w:r>
      <w:r>
        <w:rPr>
          <w:color w:val="231F20"/>
          <w:w w:val="105"/>
        </w:rPr>
        <w:t>Ahora</w:t>
      </w:r>
      <w:r>
        <w:rPr>
          <w:color w:val="231F20"/>
          <w:spacing w:val="-27"/>
          <w:w w:val="105"/>
        </w:rPr>
        <w:t> </w:t>
      </w:r>
      <w:r>
        <w:rPr>
          <w:color w:val="231F20"/>
          <w:w w:val="105"/>
        </w:rPr>
        <w:t>bien, de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en</w:t>
      </w:r>
      <w:r>
        <w:rPr>
          <w:color w:val="231F20"/>
          <w:spacing w:val="-20"/>
          <w:w w:val="105"/>
        </w:rPr>
        <w:t> </w:t>
      </w:r>
      <w:r>
        <w:rPr>
          <w:color w:val="231F20"/>
          <w:w w:val="105"/>
        </w:rPr>
        <w:t>edad</w:t>
      </w:r>
      <w:r>
        <w:rPr>
          <w:color w:val="231F20"/>
          <w:spacing w:val="-20"/>
          <w:w w:val="105"/>
        </w:rPr>
        <w:t> </w:t>
      </w:r>
      <w:r>
        <w:rPr>
          <w:color w:val="231F20"/>
          <w:w w:val="105"/>
        </w:rPr>
        <w:t>de</w:t>
      </w:r>
      <w:r>
        <w:rPr>
          <w:color w:val="231F20"/>
          <w:spacing w:val="-20"/>
          <w:w w:val="105"/>
        </w:rPr>
        <w:t> </w:t>
      </w:r>
      <w:r>
        <w:rPr>
          <w:color w:val="231F20"/>
          <w:w w:val="105"/>
        </w:rPr>
        <w:t>estudiar,</w:t>
      </w:r>
      <w:r>
        <w:rPr>
          <w:color w:val="231F20"/>
          <w:spacing w:val="-20"/>
          <w:w w:val="105"/>
        </w:rPr>
        <w:t> </w:t>
      </w:r>
      <w:r>
        <w:rPr>
          <w:color w:val="231F20"/>
          <w:w w:val="105"/>
        </w:rPr>
        <w:t>de</w:t>
      </w:r>
      <w:r>
        <w:rPr>
          <w:color w:val="231F20"/>
          <w:spacing w:val="-20"/>
          <w:w w:val="105"/>
        </w:rPr>
        <w:t> </w:t>
      </w:r>
      <w:r>
        <w:rPr>
          <w:color w:val="231F20"/>
          <w:w w:val="105"/>
        </w:rPr>
        <w:t>5</w:t>
      </w:r>
      <w:r>
        <w:rPr>
          <w:color w:val="231F20"/>
          <w:spacing w:val="-20"/>
          <w:w w:val="105"/>
        </w:rPr>
        <w:t> </w:t>
      </w:r>
      <w:r>
        <w:rPr>
          <w:color w:val="231F20"/>
          <w:w w:val="105"/>
        </w:rPr>
        <w:t>años</w:t>
      </w:r>
      <w:r>
        <w:rPr>
          <w:color w:val="231F20"/>
          <w:spacing w:val="-20"/>
          <w:w w:val="105"/>
        </w:rPr>
        <w:t> </w:t>
      </w:r>
      <w:r>
        <w:rPr>
          <w:color w:val="231F20"/>
          <w:w w:val="105"/>
        </w:rPr>
        <w:t>o</w:t>
      </w:r>
      <w:r>
        <w:rPr>
          <w:color w:val="231F20"/>
          <w:spacing w:val="-20"/>
          <w:w w:val="105"/>
        </w:rPr>
        <w:t> </w:t>
      </w:r>
      <w:r>
        <w:rPr>
          <w:color w:val="231F20"/>
          <w:w w:val="105"/>
        </w:rPr>
        <w:t>más,</w:t>
      </w:r>
      <w:r>
        <w:rPr>
          <w:color w:val="231F20"/>
          <w:spacing w:val="-20"/>
          <w:w w:val="105"/>
        </w:rPr>
        <w:t> </w:t>
      </w:r>
      <w:r>
        <w:rPr>
          <w:color w:val="231F20"/>
          <w:w w:val="105"/>
        </w:rPr>
        <w:t>48.09%</w:t>
      </w:r>
      <w:r>
        <w:rPr>
          <w:color w:val="231F20"/>
          <w:spacing w:val="-20"/>
          <w:w w:val="105"/>
        </w:rPr>
        <w:t> </w:t>
      </w:r>
      <w:r>
        <w:rPr>
          <w:color w:val="231F20"/>
          <w:w w:val="105"/>
        </w:rPr>
        <w:t>tienen</w:t>
      </w:r>
      <w:r>
        <w:rPr>
          <w:color w:val="231F20"/>
          <w:spacing w:val="-20"/>
          <w:w w:val="105"/>
        </w:rPr>
        <w:t> </w:t>
      </w:r>
      <w:r>
        <w:rPr>
          <w:color w:val="231F20"/>
          <w:w w:val="105"/>
        </w:rPr>
        <w:t>estudios</w:t>
      </w:r>
      <w:r>
        <w:rPr>
          <w:color w:val="231F20"/>
          <w:spacing w:val="-20"/>
          <w:w w:val="105"/>
        </w:rPr>
        <w:t> </w:t>
      </w:r>
      <w:r>
        <w:rPr>
          <w:color w:val="231F20"/>
          <w:w w:val="105"/>
        </w:rPr>
        <w:t>de</w:t>
      </w:r>
      <w:r>
        <w:rPr>
          <w:color w:val="231F20"/>
          <w:spacing w:val="-20"/>
          <w:w w:val="105"/>
        </w:rPr>
        <w:t> </w:t>
      </w:r>
      <w:r>
        <w:rPr>
          <w:color w:val="231F20"/>
          <w:w w:val="105"/>
        </w:rPr>
        <w:t>primaria incompleta,</w:t>
      </w:r>
      <w:r>
        <w:rPr>
          <w:color w:val="231F20"/>
          <w:spacing w:val="-5"/>
          <w:w w:val="105"/>
        </w:rPr>
        <w:t> </w:t>
      </w:r>
      <w:r>
        <w:rPr>
          <w:color w:val="231F20"/>
          <w:w w:val="105"/>
        </w:rPr>
        <w:t>el</w:t>
      </w:r>
      <w:r>
        <w:rPr>
          <w:color w:val="231F20"/>
          <w:spacing w:val="-5"/>
          <w:w w:val="105"/>
        </w:rPr>
        <w:t> </w:t>
      </w:r>
      <w:r>
        <w:rPr>
          <w:color w:val="231F20"/>
          <w:w w:val="105"/>
        </w:rPr>
        <w:t>35.04%</w:t>
      </w:r>
      <w:r>
        <w:rPr>
          <w:color w:val="231F20"/>
          <w:spacing w:val="-5"/>
          <w:w w:val="105"/>
        </w:rPr>
        <w:t> </w:t>
      </w:r>
      <w:r>
        <w:rPr>
          <w:color w:val="231F20"/>
          <w:w w:val="105"/>
        </w:rPr>
        <w:t>de</w:t>
      </w:r>
      <w:r>
        <w:rPr>
          <w:color w:val="231F20"/>
          <w:spacing w:val="-5"/>
          <w:w w:val="105"/>
        </w:rPr>
        <w:t> </w:t>
      </w:r>
      <w:r>
        <w:rPr>
          <w:color w:val="231F20"/>
          <w:w w:val="105"/>
        </w:rPr>
        <w:t>primaria</w:t>
      </w:r>
      <w:r>
        <w:rPr>
          <w:color w:val="231F20"/>
          <w:spacing w:val="-5"/>
          <w:w w:val="105"/>
        </w:rPr>
        <w:t> </w:t>
      </w:r>
      <w:r>
        <w:rPr>
          <w:color w:val="231F20"/>
          <w:w w:val="105"/>
        </w:rPr>
        <w:t>terminada</w:t>
      </w:r>
      <w:r>
        <w:rPr>
          <w:color w:val="231F20"/>
          <w:spacing w:val="-5"/>
          <w:w w:val="105"/>
        </w:rPr>
        <w:t> </w:t>
      </w:r>
      <w:r>
        <w:rPr>
          <w:color w:val="231F20"/>
          <w:spacing w:val="-7"/>
          <w:w w:val="105"/>
        </w:rPr>
        <w:t>y,</w:t>
      </w:r>
      <w:r>
        <w:rPr>
          <w:color w:val="231F20"/>
          <w:spacing w:val="-5"/>
          <w:w w:val="105"/>
        </w:rPr>
        <w:t> </w:t>
      </w:r>
      <w:r>
        <w:rPr>
          <w:color w:val="231F20"/>
          <w:w w:val="105"/>
        </w:rPr>
        <w:t>el</w:t>
      </w:r>
      <w:r>
        <w:rPr>
          <w:color w:val="231F20"/>
          <w:spacing w:val="-5"/>
          <w:w w:val="105"/>
        </w:rPr>
        <w:t> </w:t>
      </w:r>
      <w:r>
        <w:rPr>
          <w:color w:val="231F20"/>
          <w:w w:val="105"/>
        </w:rPr>
        <w:t>13.69%</w:t>
      </w:r>
      <w:r>
        <w:rPr>
          <w:color w:val="231F20"/>
          <w:spacing w:val="-5"/>
          <w:w w:val="105"/>
        </w:rPr>
        <w:t> </w:t>
      </w:r>
      <w:r>
        <w:rPr>
          <w:color w:val="231F20"/>
          <w:w w:val="105"/>
        </w:rPr>
        <w:t>de</w:t>
      </w:r>
      <w:r>
        <w:rPr>
          <w:color w:val="231F20"/>
          <w:spacing w:val="-5"/>
          <w:w w:val="105"/>
        </w:rPr>
        <w:t> </w:t>
      </w:r>
      <w:r>
        <w:rPr>
          <w:color w:val="231F20"/>
          <w:w w:val="105"/>
        </w:rPr>
        <w:t>secundaria.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pobla- ción</w:t>
      </w:r>
      <w:r>
        <w:rPr>
          <w:color w:val="231F20"/>
          <w:spacing w:val="-6"/>
          <w:w w:val="105"/>
        </w:rPr>
        <w:t> </w:t>
      </w:r>
      <w:r>
        <w:rPr>
          <w:color w:val="231F20"/>
          <w:w w:val="105"/>
        </w:rPr>
        <w:t>de</w:t>
      </w:r>
      <w:r>
        <w:rPr>
          <w:color w:val="231F20"/>
          <w:spacing w:val="-6"/>
          <w:w w:val="105"/>
        </w:rPr>
        <w:t> </w:t>
      </w:r>
      <w:r>
        <w:rPr>
          <w:color w:val="231F20"/>
          <w:w w:val="105"/>
        </w:rPr>
        <w:t>15</w:t>
      </w:r>
      <w:r>
        <w:rPr>
          <w:color w:val="231F20"/>
          <w:spacing w:val="-6"/>
          <w:w w:val="105"/>
        </w:rPr>
        <w:t> </w:t>
      </w:r>
      <w:r>
        <w:rPr>
          <w:color w:val="231F20"/>
          <w:w w:val="105"/>
        </w:rPr>
        <w:t>años</w:t>
      </w:r>
      <w:r>
        <w:rPr>
          <w:color w:val="231F20"/>
          <w:spacing w:val="-6"/>
          <w:w w:val="105"/>
        </w:rPr>
        <w:t> </w:t>
      </w:r>
      <w:r>
        <w:rPr>
          <w:color w:val="231F20"/>
          <w:w w:val="105"/>
        </w:rPr>
        <w:t>o</w:t>
      </w:r>
      <w:r>
        <w:rPr>
          <w:color w:val="231F20"/>
          <w:spacing w:val="-6"/>
          <w:w w:val="105"/>
        </w:rPr>
        <w:t> </w:t>
      </w:r>
      <w:r>
        <w:rPr>
          <w:color w:val="231F20"/>
          <w:w w:val="105"/>
        </w:rPr>
        <w:t>más</w:t>
      </w:r>
      <w:r>
        <w:rPr>
          <w:color w:val="231F20"/>
          <w:spacing w:val="-6"/>
          <w:w w:val="105"/>
        </w:rPr>
        <w:t> </w:t>
      </w:r>
      <w:r>
        <w:rPr>
          <w:color w:val="231F20"/>
          <w:w w:val="105"/>
        </w:rPr>
        <w:t>el</w:t>
      </w:r>
      <w:r>
        <w:rPr>
          <w:color w:val="231F20"/>
          <w:spacing w:val="-6"/>
          <w:w w:val="105"/>
        </w:rPr>
        <w:t> </w:t>
      </w:r>
      <w:r>
        <w:rPr>
          <w:color w:val="231F20"/>
          <w:spacing w:val="-3"/>
          <w:w w:val="105"/>
        </w:rPr>
        <w:t>81.06%</w:t>
      </w:r>
      <w:r>
        <w:rPr>
          <w:color w:val="231F20"/>
          <w:spacing w:val="-6"/>
          <w:w w:val="105"/>
        </w:rPr>
        <w:t> </w:t>
      </w:r>
      <w:r>
        <w:rPr>
          <w:color w:val="231F20"/>
          <w:w w:val="105"/>
        </w:rPr>
        <w:t>no</w:t>
      </w:r>
      <w:r>
        <w:rPr>
          <w:color w:val="231F20"/>
          <w:spacing w:val="-6"/>
          <w:w w:val="105"/>
        </w:rPr>
        <w:t> </w:t>
      </w:r>
      <w:r>
        <w:rPr>
          <w:color w:val="231F20"/>
          <w:w w:val="105"/>
        </w:rPr>
        <w:t>cursó</w:t>
      </w:r>
      <w:r>
        <w:rPr>
          <w:color w:val="231F20"/>
          <w:spacing w:val="-6"/>
          <w:w w:val="105"/>
        </w:rPr>
        <w:t> </w:t>
      </w:r>
      <w:r>
        <w:rPr>
          <w:color w:val="231F20"/>
          <w:w w:val="105"/>
        </w:rPr>
        <w:t>la</w:t>
      </w:r>
      <w:r>
        <w:rPr>
          <w:color w:val="231F20"/>
          <w:spacing w:val="-6"/>
          <w:w w:val="105"/>
        </w:rPr>
        <w:t> </w:t>
      </w:r>
      <w:r>
        <w:rPr>
          <w:color w:val="231F20"/>
          <w:w w:val="105"/>
        </w:rPr>
        <w:t>preparatoria</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9.08%</w:t>
      </w:r>
      <w:r>
        <w:rPr>
          <w:color w:val="231F20"/>
          <w:spacing w:val="-6"/>
          <w:w w:val="105"/>
        </w:rPr>
        <w:t> </w:t>
      </w:r>
      <w:r>
        <w:rPr>
          <w:color w:val="231F20"/>
          <w:w w:val="105"/>
        </w:rPr>
        <w:t>tiene</w:t>
      </w:r>
      <w:r>
        <w:rPr>
          <w:color w:val="231F20"/>
          <w:spacing w:val="-6"/>
          <w:w w:val="105"/>
        </w:rPr>
        <w:t> </w:t>
      </w:r>
      <w:r>
        <w:rPr>
          <w:color w:val="231F20"/>
          <w:w w:val="105"/>
        </w:rPr>
        <w:t>preparatoria incompleta </w:t>
      </w:r>
      <w:r>
        <w:rPr>
          <w:color w:val="231F20"/>
          <w:spacing w:val="-7"/>
          <w:w w:val="105"/>
        </w:rPr>
        <w:t>y, </w:t>
      </w:r>
      <w:r>
        <w:rPr>
          <w:color w:val="231F20"/>
          <w:w w:val="105"/>
        </w:rPr>
        <w:t>de la población de </w:t>
      </w:r>
      <w:r>
        <w:rPr>
          <w:color w:val="231F20"/>
          <w:spacing w:val="-5"/>
          <w:w w:val="105"/>
        </w:rPr>
        <w:t>18 </w:t>
      </w:r>
      <w:r>
        <w:rPr>
          <w:color w:val="231F20"/>
          <w:w w:val="105"/>
        </w:rPr>
        <w:t>años o más 95.03% no tiene instrucción </w:t>
      </w:r>
      <w:r>
        <w:rPr>
          <w:color w:val="231F20"/>
          <w:spacing w:val="-3"/>
          <w:w w:val="105"/>
        </w:rPr>
        <w:t>superior, </w:t>
      </w:r>
      <w:r>
        <w:rPr>
          <w:color w:val="231F20"/>
          <w:w w:val="105"/>
        </w:rPr>
        <w:t>el</w:t>
      </w:r>
      <w:r>
        <w:rPr>
          <w:color w:val="231F20"/>
          <w:spacing w:val="-8"/>
          <w:w w:val="105"/>
        </w:rPr>
        <w:t> </w:t>
      </w:r>
      <w:r>
        <w:rPr>
          <w:color w:val="231F20"/>
          <w:spacing w:val="-4"/>
          <w:w w:val="105"/>
        </w:rPr>
        <w:t>4.01%</w:t>
      </w:r>
      <w:r>
        <w:rPr>
          <w:color w:val="231F20"/>
          <w:spacing w:val="-8"/>
          <w:w w:val="105"/>
        </w:rPr>
        <w:t> </w:t>
      </w:r>
      <w:r>
        <w:rPr>
          <w:color w:val="231F20"/>
          <w:w w:val="105"/>
        </w:rPr>
        <w:t>tiene</w:t>
      </w:r>
      <w:r>
        <w:rPr>
          <w:color w:val="231F20"/>
          <w:spacing w:val="-8"/>
          <w:w w:val="105"/>
        </w:rPr>
        <w:t> </w:t>
      </w:r>
      <w:r>
        <w:rPr>
          <w:color w:val="231F20"/>
          <w:w w:val="105"/>
        </w:rPr>
        <w:t>estudios</w:t>
      </w:r>
      <w:r>
        <w:rPr>
          <w:color w:val="231F20"/>
          <w:spacing w:val="-8"/>
          <w:w w:val="105"/>
        </w:rPr>
        <w:t> </w:t>
      </w:r>
      <w:r>
        <w:rPr>
          <w:color w:val="231F20"/>
          <w:w w:val="105"/>
        </w:rPr>
        <w:t>superiores</w:t>
      </w:r>
      <w:r>
        <w:rPr>
          <w:color w:val="231F20"/>
          <w:spacing w:val="-8"/>
          <w:w w:val="105"/>
        </w:rPr>
        <w:t> </w:t>
      </w:r>
      <w:r>
        <w:rPr>
          <w:color w:val="231F20"/>
          <w:w w:val="105"/>
        </w:rPr>
        <w:t>y</w:t>
      </w:r>
      <w:r>
        <w:rPr>
          <w:color w:val="231F20"/>
          <w:spacing w:val="-8"/>
          <w:w w:val="105"/>
        </w:rPr>
        <w:t> </w:t>
      </w:r>
      <w:r>
        <w:rPr>
          <w:color w:val="231F20"/>
          <w:w w:val="105"/>
        </w:rPr>
        <w:t>sólo</w:t>
      </w:r>
      <w:r>
        <w:rPr>
          <w:color w:val="231F20"/>
          <w:spacing w:val="-8"/>
          <w:w w:val="105"/>
        </w:rPr>
        <w:t> </w:t>
      </w:r>
      <w:r>
        <w:rPr>
          <w:color w:val="231F20"/>
          <w:w w:val="105"/>
        </w:rPr>
        <w:t>24</w:t>
      </w:r>
      <w:r>
        <w:rPr>
          <w:color w:val="231F20"/>
          <w:spacing w:val="-8"/>
          <w:w w:val="105"/>
        </w:rPr>
        <w:t> </w:t>
      </w:r>
      <w:r>
        <w:rPr>
          <w:color w:val="231F20"/>
          <w:w w:val="105"/>
        </w:rPr>
        <w:t>personas</w:t>
      </w:r>
      <w:r>
        <w:rPr>
          <w:color w:val="231F20"/>
          <w:spacing w:val="-8"/>
          <w:w w:val="105"/>
        </w:rPr>
        <w:t> </w:t>
      </w:r>
      <w:r>
        <w:rPr>
          <w:color w:val="231F20"/>
          <w:w w:val="105"/>
        </w:rPr>
        <w:t>tienen</w:t>
      </w:r>
      <w:r>
        <w:rPr>
          <w:color w:val="231F20"/>
          <w:spacing w:val="-8"/>
          <w:w w:val="105"/>
        </w:rPr>
        <w:t> </w:t>
      </w:r>
      <w:r>
        <w:rPr>
          <w:color w:val="231F20"/>
          <w:w w:val="105"/>
        </w:rPr>
        <w:t>algún</w:t>
      </w:r>
      <w:r>
        <w:rPr>
          <w:color w:val="231F20"/>
          <w:spacing w:val="-8"/>
          <w:w w:val="105"/>
        </w:rPr>
        <w:t> </w:t>
      </w:r>
      <w:r>
        <w:rPr>
          <w:color w:val="231F20"/>
          <w:w w:val="105"/>
        </w:rPr>
        <w:t>posgrado.</w:t>
      </w:r>
      <w:r>
        <w:rPr>
          <w:color w:val="231F20"/>
          <w:spacing w:val="-8"/>
          <w:w w:val="105"/>
        </w:rPr>
        <w:t> </w:t>
      </w:r>
      <w:r>
        <w:rPr>
          <w:color w:val="231F20"/>
          <w:spacing w:val="-3"/>
          <w:w w:val="105"/>
        </w:rPr>
        <w:t>Por</w:t>
      </w:r>
      <w:r>
        <w:rPr>
          <w:color w:val="231F20"/>
          <w:spacing w:val="-8"/>
          <w:w w:val="105"/>
        </w:rPr>
        <w:t> </w:t>
      </w:r>
      <w:r>
        <w:rPr>
          <w:color w:val="231F20"/>
          <w:w w:val="105"/>
        </w:rPr>
        <w:t>tanto, los</w:t>
      </w:r>
      <w:r>
        <w:rPr>
          <w:color w:val="231F20"/>
          <w:spacing w:val="-8"/>
          <w:w w:val="105"/>
        </w:rPr>
        <w:t> </w:t>
      </w:r>
      <w:r>
        <w:rPr>
          <w:color w:val="231F20"/>
          <w:w w:val="105"/>
        </w:rPr>
        <w:t>trabajos</w:t>
      </w:r>
      <w:r>
        <w:rPr>
          <w:color w:val="231F20"/>
          <w:spacing w:val="-8"/>
          <w:w w:val="105"/>
        </w:rPr>
        <w:t> </w:t>
      </w:r>
      <w:r>
        <w:rPr>
          <w:color w:val="231F20"/>
          <w:spacing w:val="-3"/>
          <w:w w:val="105"/>
        </w:rPr>
        <w:t>donde</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w w:val="105"/>
        </w:rPr>
        <w:t>puedan</w:t>
      </w:r>
      <w:r>
        <w:rPr>
          <w:color w:val="231F20"/>
          <w:spacing w:val="-8"/>
          <w:w w:val="105"/>
        </w:rPr>
        <w:t> </w:t>
      </w:r>
      <w:r>
        <w:rPr>
          <w:color w:val="231F20"/>
          <w:w w:val="105"/>
        </w:rPr>
        <w:t>ofrecer</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habitantes</w:t>
      </w:r>
      <w:r>
        <w:rPr>
          <w:color w:val="231F20"/>
          <w:spacing w:val="-8"/>
          <w:w w:val="105"/>
        </w:rPr>
        <w:t> </w:t>
      </w:r>
      <w:r>
        <w:rPr>
          <w:color w:val="231F20"/>
          <w:w w:val="105"/>
        </w:rPr>
        <w:t>las</w:t>
      </w:r>
      <w:r>
        <w:rPr>
          <w:color w:val="231F20"/>
          <w:spacing w:val="-8"/>
          <w:w w:val="105"/>
        </w:rPr>
        <w:t> </w:t>
      </w:r>
      <w:r>
        <w:rPr>
          <w:color w:val="231F20"/>
          <w:w w:val="105"/>
        </w:rPr>
        <w:t>prestaciones</w:t>
      </w:r>
      <w:r>
        <w:rPr>
          <w:color w:val="231F20"/>
          <w:spacing w:val="-8"/>
          <w:w w:val="105"/>
        </w:rPr>
        <w:t> </w:t>
      </w:r>
      <w:r>
        <w:rPr>
          <w:color w:val="231F20"/>
          <w:w w:val="105"/>
        </w:rPr>
        <w:t>de</w:t>
      </w:r>
      <w:r>
        <w:rPr>
          <w:color w:val="231F20"/>
          <w:spacing w:val="-8"/>
          <w:w w:val="105"/>
        </w:rPr>
        <w:t> </w:t>
      </w:r>
      <w:r>
        <w:rPr>
          <w:color w:val="231F20"/>
          <w:w w:val="105"/>
        </w:rPr>
        <w:t>ley</w:t>
      </w:r>
      <w:r>
        <w:rPr>
          <w:color w:val="231F20"/>
          <w:spacing w:val="-8"/>
          <w:w w:val="105"/>
        </w:rPr>
        <w:t> </w:t>
      </w:r>
      <w:r>
        <w:rPr>
          <w:color w:val="231F20"/>
          <w:w w:val="105"/>
        </w:rPr>
        <w:t>son</w:t>
      </w:r>
      <w:r>
        <w:rPr>
          <w:color w:val="231F20"/>
          <w:spacing w:val="-8"/>
          <w:w w:val="105"/>
        </w:rPr>
        <w:t> </w:t>
      </w:r>
      <w:r>
        <w:rPr>
          <w:color w:val="231F20"/>
          <w:w w:val="105"/>
        </w:rPr>
        <w:t>muy pocos y esto se refleja en la población que es atendida por algún institución de salud pública,</w:t>
      </w:r>
      <w:r>
        <w:rPr>
          <w:color w:val="231F20"/>
          <w:spacing w:val="-13"/>
          <w:w w:val="105"/>
        </w:rPr>
        <w:t> </w:t>
      </w:r>
      <w:r>
        <w:rPr>
          <w:color w:val="231F20"/>
          <w:w w:val="105"/>
        </w:rPr>
        <w:t>pues</w:t>
      </w:r>
      <w:r>
        <w:rPr>
          <w:color w:val="231F20"/>
          <w:spacing w:val="-13"/>
          <w:w w:val="105"/>
        </w:rPr>
        <w:t> </w:t>
      </w:r>
      <w:r>
        <w:rPr>
          <w:color w:val="231F20"/>
          <w:w w:val="105"/>
        </w:rPr>
        <w:t>únicamente</w:t>
      </w:r>
      <w:r>
        <w:rPr>
          <w:color w:val="231F20"/>
          <w:spacing w:val="-13"/>
          <w:w w:val="105"/>
        </w:rPr>
        <w:t> </w:t>
      </w:r>
      <w:r>
        <w:rPr>
          <w:color w:val="231F20"/>
          <w:spacing w:val="-4"/>
          <w:w w:val="105"/>
        </w:rPr>
        <w:t>19,120</w:t>
      </w:r>
      <w:r>
        <w:rPr>
          <w:color w:val="231F20"/>
          <w:spacing w:val="-13"/>
          <w:w w:val="105"/>
        </w:rPr>
        <w:t> </w:t>
      </w:r>
      <w:r>
        <w:rPr>
          <w:color w:val="231F20"/>
          <w:w w:val="105"/>
        </w:rPr>
        <w:t>habitantes</w:t>
      </w:r>
      <w:r>
        <w:rPr>
          <w:color w:val="231F20"/>
          <w:spacing w:val="-13"/>
          <w:w w:val="105"/>
        </w:rPr>
        <w:t> </w:t>
      </w:r>
      <w:r>
        <w:rPr>
          <w:color w:val="231F20"/>
          <w:w w:val="105"/>
        </w:rPr>
        <w:t>son</w:t>
      </w:r>
      <w:r>
        <w:rPr>
          <w:color w:val="231F20"/>
          <w:spacing w:val="-13"/>
          <w:w w:val="105"/>
        </w:rPr>
        <w:t> </w:t>
      </w:r>
      <w:r>
        <w:rPr>
          <w:color w:val="231F20"/>
          <w:w w:val="105"/>
        </w:rPr>
        <w:t>derechohabientes,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cuales</w:t>
      </w:r>
      <w:r>
        <w:rPr>
          <w:color w:val="231F20"/>
          <w:spacing w:val="-13"/>
          <w:w w:val="105"/>
        </w:rPr>
        <w:t> </w:t>
      </w:r>
      <w:r>
        <w:rPr>
          <w:color w:val="231F20"/>
          <w:w w:val="105"/>
        </w:rPr>
        <w:t>el</w:t>
      </w:r>
      <w:r>
        <w:rPr>
          <w:color w:val="231F20"/>
          <w:spacing w:val="-13"/>
          <w:w w:val="105"/>
        </w:rPr>
        <w:t> </w:t>
      </w:r>
      <w:r>
        <w:rPr>
          <w:color w:val="231F20"/>
          <w:w w:val="105"/>
        </w:rPr>
        <w:t>70%</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es</w:t>
      </w:r>
      <w:r>
        <w:rPr>
          <w:color w:val="231F20"/>
          <w:spacing w:val="-33"/>
          <w:w w:val="105"/>
        </w:rPr>
        <w:t> </w:t>
      </w:r>
      <w:r>
        <w:rPr>
          <w:color w:val="231F20"/>
          <w:w w:val="105"/>
        </w:rPr>
        <w:t>atendido</w:t>
      </w:r>
      <w:r>
        <w:rPr>
          <w:color w:val="231F20"/>
          <w:spacing w:val="-33"/>
          <w:w w:val="105"/>
        </w:rPr>
        <w:t> </w:t>
      </w:r>
      <w:r>
        <w:rPr>
          <w:color w:val="231F20"/>
          <w:w w:val="105"/>
        </w:rPr>
        <w:t>por</w:t>
      </w:r>
      <w:r>
        <w:rPr>
          <w:color w:val="231F20"/>
          <w:spacing w:val="-33"/>
          <w:w w:val="105"/>
        </w:rPr>
        <w:t> </w:t>
      </w:r>
      <w:r>
        <w:rPr>
          <w:color w:val="231F20"/>
          <w:w w:val="105"/>
        </w:rPr>
        <w:t>el</w:t>
      </w:r>
      <w:r>
        <w:rPr>
          <w:color w:val="231F20"/>
          <w:spacing w:val="-33"/>
          <w:w w:val="105"/>
        </w:rPr>
        <w:t> </w:t>
      </w:r>
      <w:r>
        <w:rPr>
          <w:color w:val="231F20"/>
          <w:w w:val="105"/>
        </w:rPr>
        <w:t>IMSS,</w:t>
      </w:r>
      <w:r>
        <w:rPr>
          <w:color w:val="231F20"/>
          <w:spacing w:val="-33"/>
          <w:w w:val="105"/>
        </w:rPr>
        <w:t> </w:t>
      </w:r>
      <w:r>
        <w:rPr>
          <w:color w:val="231F20"/>
          <w:w w:val="105"/>
        </w:rPr>
        <w:t>el</w:t>
      </w:r>
      <w:r>
        <w:rPr>
          <w:color w:val="231F20"/>
          <w:spacing w:val="-33"/>
          <w:w w:val="105"/>
        </w:rPr>
        <w:t> </w:t>
      </w:r>
      <w:r>
        <w:rPr>
          <w:color w:val="231F20"/>
          <w:spacing w:val="-4"/>
          <w:w w:val="105"/>
        </w:rPr>
        <w:t>13.75%</w:t>
      </w:r>
      <w:r>
        <w:rPr>
          <w:color w:val="231F20"/>
          <w:spacing w:val="-33"/>
          <w:w w:val="105"/>
        </w:rPr>
        <w:t> </w:t>
      </w:r>
      <w:r>
        <w:rPr>
          <w:color w:val="231F20"/>
          <w:w w:val="105"/>
        </w:rPr>
        <w:t>por</w:t>
      </w:r>
      <w:r>
        <w:rPr>
          <w:color w:val="231F20"/>
          <w:spacing w:val="-33"/>
          <w:w w:val="105"/>
        </w:rPr>
        <w:t> </w:t>
      </w:r>
      <w:r>
        <w:rPr>
          <w:color w:val="231F20"/>
          <w:w w:val="105"/>
        </w:rPr>
        <w:t>el</w:t>
      </w:r>
      <w:r>
        <w:rPr>
          <w:color w:val="231F20"/>
          <w:spacing w:val="-33"/>
          <w:w w:val="105"/>
        </w:rPr>
        <w:t> </w:t>
      </w:r>
      <w:r>
        <w:rPr>
          <w:color w:val="231F20"/>
          <w:w w:val="105"/>
        </w:rPr>
        <w:t>ISSSTE</w:t>
      </w:r>
      <w:r>
        <w:rPr>
          <w:color w:val="231F20"/>
          <w:spacing w:val="-33"/>
          <w:w w:val="105"/>
        </w:rPr>
        <w:t> </w:t>
      </w:r>
      <w:r>
        <w:rPr>
          <w:color w:val="231F20"/>
          <w:w w:val="105"/>
        </w:rPr>
        <w:t>y</w:t>
      </w:r>
      <w:r>
        <w:rPr>
          <w:color w:val="231F20"/>
          <w:spacing w:val="-33"/>
          <w:w w:val="105"/>
        </w:rPr>
        <w:t> </w:t>
      </w:r>
      <w:r>
        <w:rPr>
          <w:color w:val="231F20"/>
          <w:w w:val="105"/>
        </w:rPr>
        <w:t>el</w:t>
      </w:r>
      <w:r>
        <w:rPr>
          <w:color w:val="231F20"/>
          <w:spacing w:val="-33"/>
          <w:w w:val="105"/>
        </w:rPr>
        <w:t> </w:t>
      </w:r>
      <w:r>
        <w:rPr>
          <w:color w:val="231F20"/>
          <w:w w:val="105"/>
        </w:rPr>
        <w:t>16.20%</w:t>
      </w:r>
      <w:r>
        <w:rPr>
          <w:color w:val="231F20"/>
          <w:spacing w:val="-33"/>
          <w:w w:val="105"/>
        </w:rPr>
        <w:t> </w:t>
      </w:r>
      <w:r>
        <w:rPr>
          <w:color w:val="231F20"/>
          <w:w w:val="105"/>
        </w:rPr>
        <w:t>por</w:t>
      </w:r>
      <w:r>
        <w:rPr>
          <w:color w:val="231F20"/>
          <w:spacing w:val="-33"/>
          <w:w w:val="105"/>
        </w:rPr>
        <w:t> </w:t>
      </w:r>
      <w:r>
        <w:rPr>
          <w:color w:val="231F20"/>
          <w:w w:val="105"/>
        </w:rPr>
        <w:t>el</w:t>
      </w:r>
      <w:r>
        <w:rPr>
          <w:color w:val="231F20"/>
          <w:spacing w:val="-33"/>
          <w:w w:val="105"/>
        </w:rPr>
        <w:t> </w:t>
      </w:r>
      <w:r>
        <w:rPr>
          <w:color w:val="231F20"/>
          <w:w w:val="105"/>
        </w:rPr>
        <w:t>ISSEMYM,</w:t>
      </w:r>
      <w:r>
        <w:rPr>
          <w:color w:val="231F20"/>
          <w:spacing w:val="-33"/>
          <w:w w:val="105"/>
        </w:rPr>
        <w:t> </w:t>
      </w:r>
      <w:r>
        <w:rPr>
          <w:color w:val="231F20"/>
          <w:w w:val="105"/>
        </w:rPr>
        <w:t>todo</w:t>
      </w:r>
      <w:r>
        <w:rPr>
          <w:color w:val="231F20"/>
          <w:spacing w:val="-33"/>
          <w:w w:val="105"/>
        </w:rPr>
        <w:t> </w:t>
      </w:r>
      <w:r>
        <w:rPr>
          <w:color w:val="231F20"/>
          <w:w w:val="105"/>
        </w:rPr>
        <w:t>esto de</w:t>
      </w:r>
      <w:r>
        <w:rPr>
          <w:color w:val="231F20"/>
          <w:spacing w:val="-13"/>
          <w:w w:val="105"/>
        </w:rPr>
        <w:t> </w:t>
      </w:r>
      <w:r>
        <w:rPr>
          <w:color w:val="231F20"/>
          <w:w w:val="105"/>
        </w:rPr>
        <w:t>conformidad</w:t>
      </w:r>
      <w:r>
        <w:rPr>
          <w:color w:val="231F20"/>
          <w:spacing w:val="-13"/>
          <w:w w:val="105"/>
        </w:rPr>
        <w:t> </w:t>
      </w:r>
      <w:r>
        <w:rPr>
          <w:color w:val="231F20"/>
          <w:w w:val="105"/>
        </w:rPr>
        <w:t>con</w:t>
      </w:r>
      <w:r>
        <w:rPr>
          <w:color w:val="231F20"/>
          <w:spacing w:val="-13"/>
          <w:w w:val="105"/>
        </w:rPr>
        <w:t> </w:t>
      </w:r>
      <w:r>
        <w:rPr>
          <w:color w:val="231F20"/>
          <w:w w:val="105"/>
        </w:rPr>
        <w:t>las</w:t>
      </w:r>
      <w:r>
        <w:rPr>
          <w:color w:val="231F20"/>
          <w:spacing w:val="-13"/>
          <w:w w:val="105"/>
        </w:rPr>
        <w:t> </w:t>
      </w:r>
      <w:r>
        <w:rPr>
          <w:color w:val="231F20"/>
          <w:w w:val="105"/>
        </w:rPr>
        <w:t>estadísticas</w:t>
      </w:r>
      <w:r>
        <w:rPr>
          <w:color w:val="231F20"/>
          <w:spacing w:val="-13"/>
          <w:w w:val="105"/>
        </w:rPr>
        <w:t> </w:t>
      </w:r>
      <w:r>
        <w:rPr>
          <w:color w:val="231F20"/>
          <w:w w:val="105"/>
        </w:rPr>
        <w:t>del</w:t>
      </w:r>
      <w:r>
        <w:rPr>
          <w:color w:val="231F20"/>
          <w:spacing w:val="-13"/>
          <w:w w:val="105"/>
        </w:rPr>
        <w:t> </w:t>
      </w:r>
      <w:r>
        <w:rPr>
          <w:color w:val="231F20"/>
          <w:w w:val="105"/>
        </w:rPr>
        <w:t>Instituto</w:t>
      </w:r>
      <w:r>
        <w:rPr>
          <w:color w:val="231F20"/>
          <w:spacing w:val="-13"/>
          <w:w w:val="105"/>
        </w:rPr>
        <w:t> </w:t>
      </w:r>
      <w:r>
        <w:rPr>
          <w:color w:val="231F20"/>
          <w:w w:val="105"/>
        </w:rPr>
        <w:t>Nacional</w:t>
      </w:r>
      <w:r>
        <w:rPr>
          <w:color w:val="231F20"/>
          <w:spacing w:val="-13"/>
          <w:w w:val="105"/>
        </w:rPr>
        <w:t> </w:t>
      </w:r>
      <w:r>
        <w:rPr>
          <w:color w:val="231F20"/>
          <w:w w:val="105"/>
        </w:rPr>
        <w:t>de</w:t>
      </w:r>
      <w:r>
        <w:rPr>
          <w:color w:val="231F20"/>
          <w:spacing w:val="-13"/>
          <w:w w:val="105"/>
        </w:rPr>
        <w:t> </w:t>
      </w:r>
      <w:r>
        <w:rPr>
          <w:color w:val="231F20"/>
          <w:w w:val="105"/>
        </w:rPr>
        <w:t>Estadística</w:t>
      </w:r>
      <w:r>
        <w:rPr>
          <w:color w:val="231F20"/>
          <w:spacing w:val="-13"/>
          <w:w w:val="105"/>
        </w:rPr>
        <w:t> </w:t>
      </w:r>
      <w:r>
        <w:rPr>
          <w:color w:val="231F20"/>
          <w:w w:val="105"/>
        </w:rPr>
        <w:t>y</w:t>
      </w:r>
      <w:r>
        <w:rPr>
          <w:color w:val="231F20"/>
          <w:spacing w:val="-13"/>
          <w:w w:val="105"/>
        </w:rPr>
        <w:t> </w:t>
      </w:r>
      <w:r>
        <w:rPr>
          <w:color w:val="231F20"/>
          <w:w w:val="105"/>
        </w:rPr>
        <w:t>Geografía.</w:t>
      </w:r>
    </w:p>
    <w:p>
      <w:pPr>
        <w:pStyle w:val="BodyText"/>
        <w:spacing w:before="1"/>
        <w:rPr>
          <w:sz w:val="26"/>
        </w:rPr>
      </w:pPr>
    </w:p>
    <w:p>
      <w:pPr>
        <w:pStyle w:val="BodyText"/>
        <w:spacing w:line="285" w:lineRule="auto"/>
        <w:ind w:left="110" w:right="107"/>
        <w:jc w:val="both"/>
      </w:pPr>
      <w:r>
        <w:rPr>
          <w:color w:val="231F20"/>
          <w:w w:val="105"/>
        </w:rPr>
        <w:t>De acuerdo con CONAPO, el índice de marginación pasó de medio a bajo de 1990 a </w:t>
      </w:r>
      <w:r>
        <w:rPr>
          <w:color w:val="231F20"/>
          <w:spacing w:val="3"/>
          <w:w w:val="105"/>
        </w:rPr>
        <w:t>2005</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incremento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número</w:t>
      </w:r>
      <w:r>
        <w:rPr>
          <w:color w:val="231F20"/>
          <w:spacing w:val="-16"/>
          <w:w w:val="105"/>
        </w:rPr>
        <w:t> </w:t>
      </w:r>
      <w:r>
        <w:rPr>
          <w:color w:val="231F20"/>
          <w:w w:val="105"/>
        </w:rPr>
        <w:t>de</w:t>
      </w:r>
      <w:r>
        <w:rPr>
          <w:color w:val="231F20"/>
          <w:spacing w:val="-16"/>
          <w:w w:val="105"/>
        </w:rPr>
        <w:t> </w:t>
      </w:r>
      <w:r>
        <w:rPr>
          <w:color w:val="231F20"/>
          <w:w w:val="105"/>
        </w:rPr>
        <w:t>habitantes</w:t>
      </w:r>
      <w:r>
        <w:rPr>
          <w:color w:val="231F20"/>
          <w:spacing w:val="-16"/>
          <w:w w:val="105"/>
        </w:rPr>
        <w:t> </w:t>
      </w:r>
      <w:r>
        <w:rPr>
          <w:color w:val="231F20"/>
          <w:w w:val="105"/>
        </w:rPr>
        <w:t>beneficiados</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servicios</w:t>
      </w:r>
      <w:r>
        <w:rPr>
          <w:color w:val="231F20"/>
          <w:spacing w:val="-16"/>
          <w:w w:val="105"/>
        </w:rPr>
        <w:t> </w:t>
      </w:r>
      <w:r>
        <w:rPr>
          <w:color w:val="231F20"/>
          <w:w w:val="105"/>
        </w:rPr>
        <w:t>no</w:t>
      </w:r>
      <w:r>
        <w:rPr>
          <w:color w:val="231F20"/>
          <w:spacing w:val="-16"/>
          <w:w w:val="105"/>
        </w:rPr>
        <w:t> </w:t>
      </w:r>
      <w:r>
        <w:rPr>
          <w:color w:val="231F20"/>
          <w:w w:val="105"/>
        </w:rPr>
        <w:t>así en</w:t>
      </w:r>
      <w:r>
        <w:rPr>
          <w:color w:val="231F20"/>
          <w:spacing w:val="-14"/>
          <w:w w:val="105"/>
        </w:rPr>
        <w:t> </w:t>
      </w:r>
      <w:r>
        <w:rPr>
          <w:color w:val="231F20"/>
          <w:w w:val="105"/>
        </w:rPr>
        <w:t>su</w:t>
      </w:r>
      <w:r>
        <w:rPr>
          <w:color w:val="231F20"/>
          <w:spacing w:val="-14"/>
          <w:w w:val="105"/>
        </w:rPr>
        <w:t> </w:t>
      </w:r>
      <w:r>
        <w:rPr>
          <w:color w:val="231F20"/>
          <w:w w:val="105"/>
        </w:rPr>
        <w:t>calidad,</w:t>
      </w:r>
      <w:r>
        <w:rPr>
          <w:color w:val="231F20"/>
          <w:spacing w:val="-14"/>
          <w:w w:val="105"/>
        </w:rPr>
        <w:t> </w:t>
      </w:r>
      <w:r>
        <w:rPr>
          <w:color w:val="231F20"/>
          <w:w w:val="105"/>
        </w:rPr>
        <w:t>pues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5,027</w:t>
      </w:r>
      <w:r>
        <w:rPr>
          <w:color w:val="231F20"/>
          <w:spacing w:val="-14"/>
          <w:w w:val="105"/>
        </w:rPr>
        <w:t> </w:t>
      </w:r>
      <w:r>
        <w:rPr>
          <w:color w:val="231F20"/>
          <w:w w:val="105"/>
        </w:rPr>
        <w:t>viviendas</w:t>
      </w:r>
      <w:r>
        <w:rPr>
          <w:color w:val="231F20"/>
          <w:spacing w:val="-14"/>
          <w:w w:val="105"/>
        </w:rPr>
        <w:t> </w:t>
      </w:r>
      <w:r>
        <w:rPr>
          <w:color w:val="231F20"/>
          <w:w w:val="105"/>
        </w:rPr>
        <w:t>que</w:t>
      </w:r>
      <w:r>
        <w:rPr>
          <w:color w:val="231F20"/>
          <w:spacing w:val="-14"/>
          <w:w w:val="105"/>
        </w:rPr>
        <w:t> </w:t>
      </w:r>
      <w:r>
        <w:rPr>
          <w:color w:val="231F20"/>
          <w:w w:val="105"/>
        </w:rPr>
        <w:t>existen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el</w:t>
      </w:r>
      <w:r>
        <w:rPr>
          <w:color w:val="231F20"/>
          <w:spacing w:val="-14"/>
          <w:w w:val="105"/>
        </w:rPr>
        <w:t> </w:t>
      </w:r>
      <w:r>
        <w:rPr>
          <w:color w:val="231F20"/>
          <w:w w:val="105"/>
        </w:rPr>
        <w:t>98%</w:t>
      </w:r>
      <w:r>
        <w:rPr>
          <w:color w:val="231F20"/>
          <w:spacing w:val="-14"/>
          <w:w w:val="105"/>
        </w:rPr>
        <w:t> </w:t>
      </w:r>
      <w:r>
        <w:rPr>
          <w:color w:val="231F20"/>
          <w:w w:val="105"/>
        </w:rPr>
        <w:t>disponen de</w:t>
      </w:r>
      <w:r>
        <w:rPr>
          <w:color w:val="231F20"/>
          <w:spacing w:val="-9"/>
          <w:w w:val="105"/>
        </w:rPr>
        <w:t> </w:t>
      </w:r>
      <w:r>
        <w:rPr>
          <w:color w:val="231F20"/>
          <w:w w:val="105"/>
        </w:rPr>
        <w:t>agua,</w:t>
      </w:r>
      <w:r>
        <w:rPr>
          <w:color w:val="231F20"/>
          <w:spacing w:val="-9"/>
          <w:w w:val="105"/>
        </w:rPr>
        <w:t> </w:t>
      </w:r>
      <w:r>
        <w:rPr>
          <w:color w:val="231F20"/>
          <w:w w:val="105"/>
        </w:rPr>
        <w:t>el</w:t>
      </w:r>
      <w:r>
        <w:rPr>
          <w:color w:val="231F20"/>
          <w:spacing w:val="-9"/>
          <w:w w:val="105"/>
        </w:rPr>
        <w:t> </w:t>
      </w:r>
      <w:r>
        <w:rPr>
          <w:color w:val="231F20"/>
          <w:spacing w:val="-4"/>
          <w:w w:val="105"/>
        </w:rPr>
        <w:t>79.9%</w:t>
      </w:r>
      <w:r>
        <w:rPr>
          <w:color w:val="231F20"/>
          <w:spacing w:val="-9"/>
          <w:w w:val="105"/>
        </w:rPr>
        <w:t> </w:t>
      </w:r>
      <w:r>
        <w:rPr>
          <w:color w:val="231F20"/>
          <w:w w:val="105"/>
        </w:rPr>
        <w:t>tienen</w:t>
      </w:r>
      <w:r>
        <w:rPr>
          <w:color w:val="231F20"/>
          <w:spacing w:val="-9"/>
          <w:w w:val="105"/>
        </w:rPr>
        <w:t> </w:t>
      </w:r>
      <w:r>
        <w:rPr>
          <w:color w:val="231F20"/>
          <w:w w:val="105"/>
        </w:rPr>
        <w:t>drenaje,</w:t>
      </w:r>
      <w:r>
        <w:rPr>
          <w:color w:val="231F20"/>
          <w:spacing w:val="-9"/>
          <w:w w:val="105"/>
        </w:rPr>
        <w:t> </w:t>
      </w:r>
      <w:r>
        <w:rPr>
          <w:color w:val="231F20"/>
          <w:w w:val="105"/>
        </w:rPr>
        <w:t>aunque</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cuenta</w:t>
      </w:r>
      <w:r>
        <w:rPr>
          <w:color w:val="231F20"/>
          <w:spacing w:val="-9"/>
          <w:w w:val="105"/>
        </w:rPr>
        <w:t> </w:t>
      </w:r>
      <w:r>
        <w:rPr>
          <w:color w:val="231F20"/>
          <w:w w:val="105"/>
        </w:rPr>
        <w:t>con</w:t>
      </w:r>
      <w:r>
        <w:rPr>
          <w:color w:val="231F20"/>
          <w:spacing w:val="-9"/>
          <w:w w:val="105"/>
        </w:rPr>
        <w:t> </w:t>
      </w:r>
      <w:r>
        <w:rPr>
          <w:color w:val="231F20"/>
          <w:w w:val="105"/>
        </w:rPr>
        <w:t>una</w:t>
      </w:r>
      <w:r>
        <w:rPr>
          <w:color w:val="231F20"/>
          <w:spacing w:val="-9"/>
          <w:w w:val="105"/>
        </w:rPr>
        <w:t> </w:t>
      </w:r>
      <w:r>
        <w:rPr>
          <w:color w:val="231F20"/>
          <w:w w:val="105"/>
        </w:rPr>
        <w:t>planta</w:t>
      </w:r>
      <w:r>
        <w:rPr>
          <w:color w:val="231F20"/>
          <w:spacing w:val="-9"/>
          <w:w w:val="105"/>
        </w:rPr>
        <w:t> </w:t>
      </w:r>
      <w:r>
        <w:rPr>
          <w:color w:val="231F20"/>
          <w:w w:val="105"/>
        </w:rPr>
        <w:t>tratadora</w:t>
      </w:r>
      <w:r>
        <w:rPr>
          <w:color w:val="231F20"/>
          <w:spacing w:val="-9"/>
          <w:w w:val="105"/>
        </w:rPr>
        <w:t> </w:t>
      </w:r>
      <w:r>
        <w:rPr>
          <w:color w:val="231F20"/>
          <w:w w:val="105"/>
        </w:rPr>
        <w:t>de</w:t>
      </w:r>
      <w:r>
        <w:rPr>
          <w:color w:val="231F20"/>
          <w:spacing w:val="-9"/>
          <w:w w:val="105"/>
        </w:rPr>
        <w:t> </w:t>
      </w:r>
      <w:r>
        <w:rPr>
          <w:color w:val="231F20"/>
          <w:w w:val="105"/>
        </w:rPr>
        <w:t>agua y</w:t>
      </w:r>
      <w:r>
        <w:rPr>
          <w:color w:val="231F20"/>
          <w:spacing w:val="-6"/>
          <w:w w:val="105"/>
        </w:rPr>
        <w:t> </w:t>
      </w:r>
      <w:r>
        <w:rPr>
          <w:color w:val="231F20"/>
          <w:w w:val="105"/>
        </w:rPr>
        <w:t>estos</w:t>
      </w:r>
      <w:r>
        <w:rPr>
          <w:color w:val="231F20"/>
          <w:spacing w:val="-6"/>
          <w:w w:val="105"/>
        </w:rPr>
        <w:t> </w:t>
      </w:r>
      <w:r>
        <w:rPr>
          <w:color w:val="231F20"/>
          <w:w w:val="105"/>
        </w:rPr>
        <w:t>desechos</w:t>
      </w:r>
      <w:r>
        <w:rPr>
          <w:color w:val="231F20"/>
          <w:spacing w:val="-6"/>
          <w:w w:val="105"/>
        </w:rPr>
        <w:t> </w:t>
      </w:r>
      <w:r>
        <w:rPr>
          <w:color w:val="231F20"/>
          <w:w w:val="105"/>
        </w:rPr>
        <w:t>están</w:t>
      </w:r>
      <w:r>
        <w:rPr>
          <w:color w:val="231F20"/>
          <w:spacing w:val="-6"/>
          <w:w w:val="105"/>
        </w:rPr>
        <w:t> </w:t>
      </w:r>
      <w:r>
        <w:rPr>
          <w:color w:val="231F20"/>
          <w:w w:val="105"/>
        </w:rPr>
        <w:t>contaminando</w:t>
      </w:r>
      <w:r>
        <w:rPr>
          <w:color w:val="231F20"/>
          <w:spacing w:val="-6"/>
          <w:w w:val="105"/>
        </w:rPr>
        <w:t> </w:t>
      </w:r>
      <w:r>
        <w:rPr>
          <w:color w:val="231F20"/>
          <w:w w:val="105"/>
        </w:rPr>
        <w:t>los</w:t>
      </w:r>
      <w:r>
        <w:rPr>
          <w:color w:val="231F20"/>
          <w:spacing w:val="-6"/>
          <w:w w:val="105"/>
        </w:rPr>
        <w:t> </w:t>
      </w:r>
      <w:r>
        <w:rPr>
          <w:color w:val="231F20"/>
          <w:w w:val="105"/>
        </w:rPr>
        <w:t>barrancos</w:t>
      </w:r>
      <w:r>
        <w:rPr>
          <w:color w:val="231F20"/>
          <w:spacing w:val="-6"/>
          <w:w w:val="105"/>
        </w:rPr>
        <w:t> </w:t>
      </w:r>
      <w:r>
        <w:rPr>
          <w:color w:val="231F20"/>
          <w:w w:val="105"/>
        </w:rPr>
        <w:t>del</w:t>
      </w:r>
      <w:r>
        <w:rPr>
          <w:color w:val="231F20"/>
          <w:spacing w:val="-6"/>
          <w:w w:val="105"/>
        </w:rPr>
        <w:t> </w:t>
      </w:r>
      <w:r>
        <w:rPr>
          <w:color w:val="231F20"/>
          <w:w w:val="105"/>
        </w:rPr>
        <w:t>municipio;</w:t>
      </w:r>
      <w:r>
        <w:rPr>
          <w:color w:val="231F20"/>
          <w:spacing w:val="-6"/>
          <w:w w:val="105"/>
        </w:rPr>
        <w:t> </w:t>
      </w:r>
      <w:r>
        <w:rPr>
          <w:color w:val="231F20"/>
          <w:w w:val="105"/>
        </w:rPr>
        <w:t>el</w:t>
      </w:r>
      <w:r>
        <w:rPr>
          <w:color w:val="231F20"/>
          <w:spacing w:val="-6"/>
          <w:w w:val="105"/>
        </w:rPr>
        <w:t> </w:t>
      </w:r>
      <w:r>
        <w:rPr>
          <w:color w:val="231F20"/>
          <w:spacing w:val="-5"/>
          <w:w w:val="105"/>
        </w:rPr>
        <w:t>97.6%</w:t>
      </w:r>
      <w:r>
        <w:rPr>
          <w:color w:val="231F20"/>
          <w:spacing w:val="-6"/>
          <w:w w:val="105"/>
        </w:rPr>
        <w:t> </w:t>
      </w:r>
      <w:r>
        <w:rPr>
          <w:color w:val="231F20"/>
          <w:w w:val="105"/>
        </w:rPr>
        <w:t>tienen</w:t>
      </w:r>
      <w:r>
        <w:rPr>
          <w:color w:val="231F20"/>
          <w:spacing w:val="-6"/>
          <w:w w:val="105"/>
        </w:rPr>
        <w:t> </w:t>
      </w:r>
      <w:r>
        <w:rPr>
          <w:color w:val="231F20"/>
          <w:w w:val="105"/>
        </w:rPr>
        <w:t>luz, pero con problemas de bajo voltaje y apagones, el servicio de alumbrado público sólo funciona en su totalidad en la cabecera municipal </w:t>
      </w:r>
      <w:r>
        <w:rPr>
          <w:color w:val="231F20"/>
          <w:spacing w:val="-7"/>
          <w:w w:val="105"/>
        </w:rPr>
        <w:t>y, </w:t>
      </w:r>
      <w:r>
        <w:rPr>
          <w:color w:val="231F20"/>
          <w:w w:val="105"/>
        </w:rPr>
        <w:t>en las delegaciones se encuentra en</w:t>
      </w:r>
      <w:r>
        <w:rPr>
          <w:color w:val="231F20"/>
          <w:spacing w:val="-8"/>
          <w:w w:val="105"/>
        </w:rPr>
        <w:t> </w:t>
      </w:r>
      <w:r>
        <w:rPr>
          <w:color w:val="231F20"/>
          <w:w w:val="105"/>
        </w:rPr>
        <w:t>calles</w:t>
      </w:r>
      <w:r>
        <w:rPr>
          <w:color w:val="231F20"/>
          <w:spacing w:val="-8"/>
          <w:w w:val="105"/>
        </w:rPr>
        <w:t> </w:t>
      </w:r>
      <w:r>
        <w:rPr>
          <w:color w:val="231F20"/>
          <w:w w:val="105"/>
        </w:rPr>
        <w:t>y</w:t>
      </w:r>
      <w:r>
        <w:rPr>
          <w:color w:val="231F20"/>
          <w:spacing w:val="-8"/>
          <w:w w:val="105"/>
        </w:rPr>
        <w:t> </w:t>
      </w:r>
      <w:r>
        <w:rPr>
          <w:color w:val="231F20"/>
          <w:w w:val="105"/>
        </w:rPr>
        <w:t>avenidas</w:t>
      </w:r>
      <w:r>
        <w:rPr>
          <w:color w:val="231F20"/>
          <w:spacing w:val="-8"/>
          <w:w w:val="105"/>
        </w:rPr>
        <w:t> </w:t>
      </w:r>
      <w:r>
        <w:rPr>
          <w:color w:val="231F20"/>
          <w:w w:val="105"/>
        </w:rPr>
        <w:t>principales</w:t>
      </w:r>
      <w:r>
        <w:rPr>
          <w:color w:val="231F20"/>
          <w:spacing w:val="-8"/>
          <w:w w:val="105"/>
        </w:rPr>
        <w:t> </w:t>
      </w:r>
      <w:r>
        <w:rPr>
          <w:color w:val="231F20"/>
          <w:w w:val="105"/>
        </w:rPr>
        <w:t>pero</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caminos</w:t>
      </w:r>
      <w:r>
        <w:rPr>
          <w:color w:val="231F20"/>
          <w:spacing w:val="-8"/>
          <w:w w:val="105"/>
        </w:rPr>
        <w:t> </w:t>
      </w:r>
      <w:r>
        <w:rPr>
          <w:color w:val="231F20"/>
          <w:w w:val="105"/>
        </w:rPr>
        <w:t>aledaños</w:t>
      </w:r>
      <w:r>
        <w:rPr>
          <w:color w:val="231F20"/>
          <w:spacing w:val="-8"/>
          <w:w w:val="105"/>
        </w:rPr>
        <w:t> </w:t>
      </w:r>
      <w:r>
        <w:rPr>
          <w:color w:val="231F20"/>
          <w:spacing w:val="2"/>
          <w:w w:val="105"/>
        </w:rPr>
        <w:t>al</w:t>
      </w:r>
      <w:r>
        <w:rPr>
          <w:color w:val="231F20"/>
          <w:spacing w:val="-8"/>
          <w:w w:val="105"/>
        </w:rPr>
        <w:t> </w:t>
      </w:r>
      <w:r>
        <w:rPr>
          <w:color w:val="231F20"/>
          <w:w w:val="105"/>
        </w:rPr>
        <w:t>centro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 no</w:t>
      </w:r>
      <w:r>
        <w:rPr>
          <w:color w:val="231F20"/>
          <w:spacing w:val="-8"/>
          <w:w w:val="105"/>
        </w:rPr>
        <w:t> </w:t>
      </w:r>
      <w:r>
        <w:rPr>
          <w:color w:val="231F20"/>
          <w:w w:val="105"/>
        </w:rPr>
        <w:t>se</w:t>
      </w:r>
      <w:r>
        <w:rPr>
          <w:color w:val="231F20"/>
          <w:spacing w:val="-8"/>
          <w:w w:val="105"/>
        </w:rPr>
        <w:t> </w:t>
      </w:r>
      <w:r>
        <w:rPr>
          <w:color w:val="231F20"/>
          <w:w w:val="105"/>
        </w:rPr>
        <w:t>cuenta</w:t>
      </w:r>
      <w:r>
        <w:rPr>
          <w:color w:val="231F20"/>
          <w:spacing w:val="-8"/>
          <w:w w:val="105"/>
        </w:rPr>
        <w:t> </w:t>
      </w:r>
      <w:r>
        <w:rPr>
          <w:color w:val="231F20"/>
          <w:w w:val="105"/>
        </w:rPr>
        <w:t>con</w:t>
      </w:r>
      <w:r>
        <w:rPr>
          <w:color w:val="231F20"/>
          <w:spacing w:val="-8"/>
          <w:w w:val="105"/>
        </w:rPr>
        <w:t> </w:t>
      </w:r>
      <w:r>
        <w:rPr>
          <w:color w:val="231F20"/>
          <w:w w:val="105"/>
        </w:rPr>
        <w:t>este</w:t>
      </w:r>
      <w:r>
        <w:rPr>
          <w:color w:val="231F20"/>
          <w:spacing w:val="-8"/>
          <w:w w:val="105"/>
        </w:rPr>
        <w:t> </w:t>
      </w:r>
      <w:r>
        <w:rPr>
          <w:color w:val="231F20"/>
          <w:w w:val="105"/>
        </w:rPr>
        <w:t>servicio.</w:t>
      </w:r>
      <w:r>
        <w:rPr>
          <w:color w:val="231F20"/>
          <w:spacing w:val="-8"/>
          <w:w w:val="105"/>
        </w:rPr>
        <w:t> </w:t>
      </w:r>
      <w:r>
        <w:rPr>
          <w:color w:val="231F20"/>
          <w:w w:val="105"/>
        </w:rPr>
        <w:t>En</w:t>
      </w:r>
      <w:r>
        <w:rPr>
          <w:color w:val="231F20"/>
          <w:spacing w:val="-8"/>
          <w:w w:val="105"/>
        </w:rPr>
        <w:t> </w:t>
      </w:r>
      <w:r>
        <w:rPr>
          <w:color w:val="231F20"/>
          <w:w w:val="105"/>
        </w:rPr>
        <w:t>cuanto</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materiales</w:t>
      </w:r>
      <w:r>
        <w:rPr>
          <w:color w:val="231F20"/>
          <w:spacing w:val="-8"/>
          <w:w w:val="105"/>
        </w:rPr>
        <w:t> </w:t>
      </w:r>
      <w:r>
        <w:rPr>
          <w:color w:val="231F20"/>
          <w:w w:val="105"/>
        </w:rPr>
        <w:t>con</w:t>
      </w:r>
      <w:r>
        <w:rPr>
          <w:color w:val="231F20"/>
          <w:spacing w:val="-8"/>
          <w:w w:val="105"/>
        </w:rPr>
        <w:t> </w:t>
      </w:r>
      <w:r>
        <w:rPr>
          <w:color w:val="231F20"/>
          <w:w w:val="105"/>
        </w:rPr>
        <w:t>que</w:t>
      </w:r>
      <w:r>
        <w:rPr>
          <w:color w:val="231F20"/>
          <w:spacing w:val="-8"/>
          <w:w w:val="105"/>
        </w:rPr>
        <w:t> </w:t>
      </w:r>
      <w:r>
        <w:rPr>
          <w:color w:val="231F20"/>
          <w:w w:val="105"/>
        </w:rPr>
        <w:t>están</w:t>
      </w:r>
      <w:r>
        <w:rPr>
          <w:color w:val="231F20"/>
          <w:spacing w:val="-8"/>
          <w:w w:val="105"/>
        </w:rPr>
        <w:t> </w:t>
      </w:r>
      <w:r>
        <w:rPr>
          <w:color w:val="231F20"/>
          <w:w w:val="105"/>
        </w:rPr>
        <w:t>construidas</w:t>
      </w:r>
      <w:r>
        <w:rPr>
          <w:color w:val="231F20"/>
          <w:spacing w:val="-8"/>
          <w:w w:val="105"/>
        </w:rPr>
        <w:t> </w:t>
      </w:r>
      <w:r>
        <w:rPr>
          <w:color w:val="231F20"/>
          <w:w w:val="105"/>
        </w:rPr>
        <w:t>las viviendas hay que resaltar que más de la mitad no tienen techos de material duradero </w:t>
      </w:r>
      <w:r>
        <w:rPr>
          <w:color w:val="231F20"/>
          <w:spacing w:val="-5"/>
          <w:w w:val="105"/>
        </w:rPr>
        <w:t>(56%)</w:t>
      </w:r>
      <w:r>
        <w:rPr>
          <w:color w:val="231F20"/>
          <w:spacing w:val="-27"/>
          <w:w w:val="105"/>
        </w:rPr>
        <w:t> </w:t>
      </w:r>
      <w:r>
        <w:rPr>
          <w:color w:val="231F20"/>
          <w:w w:val="105"/>
        </w:rPr>
        <w:t>y</w:t>
      </w:r>
      <w:r>
        <w:rPr>
          <w:color w:val="231F20"/>
          <w:spacing w:val="-27"/>
          <w:w w:val="105"/>
        </w:rPr>
        <w:t> </w:t>
      </w:r>
      <w:r>
        <w:rPr>
          <w:color w:val="231F20"/>
          <w:w w:val="105"/>
        </w:rPr>
        <w:t>el</w:t>
      </w:r>
      <w:r>
        <w:rPr>
          <w:color w:val="231F20"/>
          <w:spacing w:val="-27"/>
          <w:w w:val="105"/>
        </w:rPr>
        <w:t> </w:t>
      </w:r>
      <w:r>
        <w:rPr>
          <w:color w:val="231F20"/>
          <w:w w:val="105"/>
        </w:rPr>
        <w:t>42.55%</w:t>
      </w:r>
      <w:r>
        <w:rPr>
          <w:color w:val="231F20"/>
          <w:spacing w:val="-27"/>
          <w:w w:val="105"/>
        </w:rPr>
        <w:t> </w:t>
      </w:r>
      <w:r>
        <w:rPr>
          <w:color w:val="231F20"/>
          <w:w w:val="105"/>
        </w:rPr>
        <w:t>no</w:t>
      </w:r>
      <w:r>
        <w:rPr>
          <w:color w:val="231F20"/>
          <w:spacing w:val="-27"/>
          <w:w w:val="105"/>
        </w:rPr>
        <w:t> </w:t>
      </w:r>
      <w:r>
        <w:rPr>
          <w:color w:val="231F20"/>
          <w:w w:val="105"/>
        </w:rPr>
        <w:t>tiene</w:t>
      </w:r>
      <w:r>
        <w:rPr>
          <w:color w:val="231F20"/>
          <w:spacing w:val="-27"/>
          <w:w w:val="105"/>
        </w:rPr>
        <w:t> </w:t>
      </w:r>
      <w:r>
        <w:rPr>
          <w:color w:val="231F20"/>
          <w:w w:val="105"/>
        </w:rPr>
        <w:t>paredes</w:t>
      </w:r>
      <w:r>
        <w:rPr>
          <w:color w:val="231F20"/>
          <w:spacing w:val="-27"/>
          <w:w w:val="105"/>
        </w:rPr>
        <w:t> </w:t>
      </w:r>
      <w:r>
        <w:rPr>
          <w:color w:val="231F20"/>
          <w:w w:val="105"/>
        </w:rPr>
        <w:t>de</w:t>
      </w:r>
      <w:r>
        <w:rPr>
          <w:color w:val="231F20"/>
          <w:spacing w:val="-27"/>
          <w:w w:val="105"/>
        </w:rPr>
        <w:t> </w:t>
      </w:r>
      <w:r>
        <w:rPr>
          <w:color w:val="231F20"/>
          <w:w w:val="105"/>
        </w:rPr>
        <w:t>tabique.</w:t>
      </w:r>
    </w:p>
    <w:p>
      <w:pPr>
        <w:pStyle w:val="BodyText"/>
        <w:spacing w:before="1"/>
        <w:rPr>
          <w:sz w:val="26"/>
        </w:rPr>
      </w:pPr>
    </w:p>
    <w:p>
      <w:pPr>
        <w:pStyle w:val="BodyText"/>
        <w:spacing w:line="285" w:lineRule="auto"/>
        <w:ind w:left="110" w:right="107"/>
        <w:jc w:val="both"/>
      </w:pPr>
      <w:r>
        <w:rPr>
          <w:color w:val="231F20"/>
        </w:rPr>
        <w:t>El aumento en la dotación de servicios en estos últimos 15 años se ha concentrado en      la cabecera municipal y en la delegación de San Juan Tehuixtitlán, convirtiendo a estas poblaciones en los centros de desarrollo del municipio, condiciones que no se dan </w:t>
      </w:r>
      <w:r>
        <w:rPr>
          <w:color w:val="231F20"/>
          <w:spacing w:val="2"/>
        </w:rPr>
        <w:t>al </w:t>
      </w:r>
      <w:r>
        <w:rPr>
          <w:color w:val="231F20"/>
        </w:rPr>
        <w:t>mismo</w:t>
      </w:r>
      <w:r>
        <w:rPr>
          <w:color w:val="231F20"/>
          <w:spacing w:val="23"/>
        </w:rPr>
        <w:t> </w:t>
      </w:r>
      <w:r>
        <w:rPr>
          <w:color w:val="231F20"/>
        </w:rPr>
        <w:t>ritmo</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demás</w:t>
      </w:r>
      <w:r>
        <w:rPr>
          <w:color w:val="231F20"/>
          <w:spacing w:val="23"/>
        </w:rPr>
        <w:t> </w:t>
      </w:r>
      <w:r>
        <w:rPr>
          <w:color w:val="231F20"/>
        </w:rPr>
        <w:t>localidades</w:t>
      </w:r>
      <w:r>
        <w:rPr>
          <w:color w:val="231F20"/>
          <w:spacing w:val="23"/>
        </w:rPr>
        <w:t> </w:t>
      </w:r>
      <w:r>
        <w:rPr>
          <w:color w:val="231F20"/>
        </w:rPr>
        <w:t>del</w:t>
      </w:r>
      <w:r>
        <w:rPr>
          <w:color w:val="231F20"/>
          <w:spacing w:val="23"/>
        </w:rPr>
        <w:t> </w:t>
      </w:r>
      <w:r>
        <w:rPr>
          <w:color w:val="231F20"/>
        </w:rPr>
        <w:t>municipio,</w:t>
      </w:r>
      <w:r>
        <w:rPr>
          <w:color w:val="231F20"/>
          <w:spacing w:val="23"/>
        </w:rPr>
        <w:t> </w:t>
      </w:r>
      <w:r>
        <w:rPr>
          <w:color w:val="231F20"/>
        </w:rPr>
        <w:t>propiciando</w:t>
      </w:r>
      <w:r>
        <w:rPr>
          <w:color w:val="231F20"/>
          <w:spacing w:val="23"/>
        </w:rPr>
        <w:t> </w:t>
      </w:r>
      <w:r>
        <w:rPr>
          <w:color w:val="231F20"/>
        </w:rPr>
        <w:t>un</w:t>
      </w:r>
      <w:r>
        <w:rPr>
          <w:color w:val="231F20"/>
          <w:spacing w:val="23"/>
        </w:rPr>
        <w:t> </w:t>
      </w:r>
      <w:r>
        <w:rPr>
          <w:color w:val="231F20"/>
        </w:rPr>
        <w:t>desequilibrio.</w:t>
      </w:r>
    </w:p>
    <w:p>
      <w:pPr>
        <w:pStyle w:val="BodyText"/>
        <w:spacing w:before="1"/>
        <w:rPr>
          <w:sz w:val="26"/>
        </w:rPr>
      </w:pPr>
    </w:p>
    <w:p>
      <w:pPr>
        <w:pStyle w:val="BodyText"/>
        <w:spacing w:line="285" w:lineRule="auto"/>
        <w:ind w:left="110" w:right="108"/>
        <w:jc w:val="both"/>
      </w:pPr>
      <w:r>
        <w:rPr>
          <w:color w:val="231F20"/>
          <w:w w:val="105"/>
        </w:rPr>
        <w:t>Electoralmente el municipio pertenece </w:t>
      </w:r>
      <w:r>
        <w:rPr>
          <w:color w:val="231F20"/>
          <w:spacing w:val="2"/>
          <w:w w:val="105"/>
        </w:rPr>
        <w:t>al </w:t>
      </w:r>
      <w:r>
        <w:rPr>
          <w:color w:val="231F20"/>
          <w:w w:val="105"/>
        </w:rPr>
        <w:t>distrito 28 local que tiene cabecera en Ame- cameca.</w:t>
      </w:r>
      <w:r>
        <w:rPr>
          <w:color w:val="231F20"/>
          <w:spacing w:val="-6"/>
          <w:w w:val="105"/>
        </w:rPr>
        <w:t> </w:t>
      </w:r>
      <w:r>
        <w:rPr>
          <w:color w:val="231F20"/>
          <w:w w:val="105"/>
        </w:rPr>
        <w:t>Se</w:t>
      </w:r>
      <w:r>
        <w:rPr>
          <w:color w:val="231F20"/>
          <w:spacing w:val="-6"/>
          <w:w w:val="105"/>
        </w:rPr>
        <w:t> </w:t>
      </w:r>
      <w:r>
        <w:rPr>
          <w:color w:val="231F20"/>
          <w:w w:val="105"/>
        </w:rPr>
        <w:t>conforma</w:t>
      </w:r>
      <w:r>
        <w:rPr>
          <w:color w:val="231F20"/>
          <w:spacing w:val="-6"/>
          <w:w w:val="105"/>
        </w:rPr>
        <w:t> </w:t>
      </w:r>
      <w:r>
        <w:rPr>
          <w:color w:val="231F20"/>
          <w:w w:val="105"/>
        </w:rPr>
        <w:t>por</w:t>
      </w:r>
      <w:r>
        <w:rPr>
          <w:color w:val="231F20"/>
          <w:spacing w:val="-6"/>
          <w:w w:val="105"/>
        </w:rPr>
        <w:t> </w:t>
      </w:r>
      <w:r>
        <w:rPr>
          <w:color w:val="231F20"/>
          <w:w w:val="105"/>
        </w:rPr>
        <w:t>13</w:t>
      </w:r>
      <w:r>
        <w:rPr>
          <w:color w:val="231F20"/>
          <w:spacing w:val="-6"/>
          <w:w w:val="105"/>
        </w:rPr>
        <w:t> </w:t>
      </w:r>
      <w:r>
        <w:rPr>
          <w:color w:val="231F20"/>
          <w:w w:val="105"/>
        </w:rPr>
        <w:t>secciones</w:t>
      </w:r>
      <w:r>
        <w:rPr>
          <w:color w:val="231F20"/>
          <w:spacing w:val="-6"/>
          <w:w w:val="105"/>
        </w:rPr>
        <w:t> </w:t>
      </w:r>
      <w:r>
        <w:rPr>
          <w:color w:val="231F20"/>
          <w:w w:val="105"/>
        </w:rPr>
        <w:t>electorales,</w:t>
      </w:r>
      <w:r>
        <w:rPr>
          <w:color w:val="231F20"/>
          <w:spacing w:val="-6"/>
          <w:w w:val="105"/>
        </w:rPr>
        <w:t> </w:t>
      </w:r>
      <w:r>
        <w:rPr>
          <w:color w:val="231F20"/>
          <w:w w:val="105"/>
        </w:rPr>
        <w:t>9</w:t>
      </w:r>
      <w:r>
        <w:rPr>
          <w:color w:val="231F20"/>
          <w:spacing w:val="-6"/>
          <w:w w:val="105"/>
        </w:rPr>
        <w:t> </w:t>
      </w:r>
      <w:r>
        <w:rPr>
          <w:color w:val="231F20"/>
          <w:w w:val="105"/>
        </w:rPr>
        <w:t>consideradas</w:t>
      </w:r>
      <w:r>
        <w:rPr>
          <w:color w:val="231F20"/>
          <w:spacing w:val="-6"/>
          <w:w w:val="105"/>
        </w:rPr>
        <w:t> </w:t>
      </w:r>
      <w:r>
        <w:rPr>
          <w:color w:val="231F20"/>
          <w:w w:val="105"/>
        </w:rPr>
        <w:t>urbanas</w:t>
      </w:r>
      <w:r>
        <w:rPr>
          <w:color w:val="231F20"/>
          <w:spacing w:val="-6"/>
          <w:w w:val="105"/>
        </w:rPr>
        <w:t> </w:t>
      </w:r>
      <w:r>
        <w:rPr>
          <w:color w:val="231F20"/>
          <w:w w:val="105"/>
        </w:rPr>
        <w:t>y</w:t>
      </w:r>
      <w:r>
        <w:rPr>
          <w:color w:val="231F20"/>
          <w:spacing w:val="-6"/>
          <w:w w:val="105"/>
        </w:rPr>
        <w:t> </w:t>
      </w:r>
      <w:r>
        <w:rPr>
          <w:color w:val="231F20"/>
          <w:w w:val="105"/>
        </w:rPr>
        <w:t>4</w:t>
      </w:r>
      <w:r>
        <w:rPr>
          <w:color w:val="231F20"/>
          <w:spacing w:val="-6"/>
          <w:w w:val="105"/>
        </w:rPr>
        <w:t> </w:t>
      </w:r>
      <w:r>
        <w:rPr>
          <w:color w:val="231F20"/>
          <w:w w:val="105"/>
        </w:rPr>
        <w:t>rurales. De acuerdo con el número de sus habitantes, el ayuntamiento está integrado por un presidente</w:t>
      </w:r>
      <w:r>
        <w:rPr>
          <w:color w:val="231F20"/>
          <w:spacing w:val="-12"/>
          <w:w w:val="105"/>
        </w:rPr>
        <w:t> </w:t>
      </w:r>
      <w:r>
        <w:rPr>
          <w:color w:val="231F20"/>
          <w:w w:val="105"/>
        </w:rPr>
        <w:t>municipal,</w:t>
      </w:r>
      <w:r>
        <w:rPr>
          <w:color w:val="231F20"/>
          <w:spacing w:val="-12"/>
          <w:w w:val="105"/>
        </w:rPr>
        <w:t> </w:t>
      </w:r>
      <w:r>
        <w:rPr>
          <w:color w:val="231F20"/>
          <w:w w:val="105"/>
        </w:rPr>
        <w:t>un</w:t>
      </w:r>
      <w:r>
        <w:rPr>
          <w:color w:val="231F20"/>
          <w:spacing w:val="-12"/>
          <w:w w:val="105"/>
        </w:rPr>
        <w:t> </w:t>
      </w:r>
      <w:r>
        <w:rPr>
          <w:color w:val="231F20"/>
          <w:w w:val="105"/>
        </w:rPr>
        <w:t>síndico,</w:t>
      </w:r>
      <w:r>
        <w:rPr>
          <w:color w:val="231F20"/>
          <w:spacing w:val="-12"/>
          <w:w w:val="105"/>
        </w:rPr>
        <w:t> </w:t>
      </w:r>
      <w:r>
        <w:rPr>
          <w:color w:val="231F20"/>
          <w:w w:val="105"/>
        </w:rPr>
        <w:t>6</w:t>
      </w:r>
      <w:r>
        <w:rPr>
          <w:color w:val="231F20"/>
          <w:spacing w:val="-12"/>
          <w:w w:val="105"/>
        </w:rPr>
        <w:t> </w:t>
      </w:r>
      <w:r>
        <w:rPr>
          <w:color w:val="231F20"/>
          <w:w w:val="105"/>
        </w:rPr>
        <w:t>regidores</w:t>
      </w:r>
      <w:r>
        <w:rPr>
          <w:color w:val="231F20"/>
          <w:spacing w:val="-12"/>
          <w:w w:val="105"/>
        </w:rPr>
        <w:t> </w:t>
      </w:r>
      <w:r>
        <w:rPr>
          <w:color w:val="231F20"/>
          <w:w w:val="105"/>
        </w:rPr>
        <w:t>de</w:t>
      </w:r>
      <w:r>
        <w:rPr>
          <w:color w:val="231F20"/>
          <w:spacing w:val="-12"/>
          <w:w w:val="105"/>
        </w:rPr>
        <w:t> </w:t>
      </w:r>
      <w:r>
        <w:rPr>
          <w:color w:val="231F20"/>
          <w:w w:val="105"/>
        </w:rPr>
        <w:t>mayoría</w:t>
      </w:r>
      <w:r>
        <w:rPr>
          <w:color w:val="231F20"/>
          <w:spacing w:val="-12"/>
          <w:w w:val="105"/>
        </w:rPr>
        <w:t> </w:t>
      </w:r>
      <w:r>
        <w:rPr>
          <w:color w:val="231F20"/>
          <w:w w:val="105"/>
        </w:rPr>
        <w:t>relativa</w:t>
      </w:r>
      <w:r>
        <w:rPr>
          <w:color w:val="231F20"/>
          <w:spacing w:val="-12"/>
          <w:w w:val="105"/>
        </w:rPr>
        <w:t> </w:t>
      </w:r>
      <w:r>
        <w:rPr>
          <w:color w:val="231F20"/>
          <w:w w:val="105"/>
        </w:rPr>
        <w:t>y</w:t>
      </w:r>
      <w:r>
        <w:rPr>
          <w:color w:val="231F20"/>
          <w:spacing w:val="-12"/>
          <w:w w:val="105"/>
        </w:rPr>
        <w:t> </w:t>
      </w:r>
      <w:r>
        <w:rPr>
          <w:color w:val="231F20"/>
          <w:w w:val="105"/>
        </w:rPr>
        <w:t>hasta</w:t>
      </w:r>
      <w:r>
        <w:rPr>
          <w:color w:val="231F20"/>
          <w:spacing w:val="-12"/>
          <w:w w:val="105"/>
        </w:rPr>
        <w:t> </w:t>
      </w:r>
      <w:r>
        <w:rPr>
          <w:color w:val="231F20"/>
          <w:w w:val="105"/>
        </w:rPr>
        <w:t>4</w:t>
      </w:r>
      <w:r>
        <w:rPr>
          <w:color w:val="231F20"/>
          <w:spacing w:val="-12"/>
          <w:w w:val="105"/>
        </w:rPr>
        <w:t> </w:t>
      </w:r>
      <w:r>
        <w:rPr>
          <w:color w:val="231F20"/>
          <w:w w:val="105"/>
        </w:rPr>
        <w:t>de</w:t>
      </w:r>
      <w:r>
        <w:rPr>
          <w:color w:val="231F20"/>
          <w:spacing w:val="-12"/>
          <w:w w:val="105"/>
        </w:rPr>
        <w:t> </w:t>
      </w:r>
      <w:r>
        <w:rPr>
          <w:color w:val="231F20"/>
          <w:w w:val="105"/>
        </w:rPr>
        <w:t>represen- tación</w:t>
      </w:r>
      <w:r>
        <w:rPr>
          <w:color w:val="231F20"/>
          <w:spacing w:val="-6"/>
          <w:w w:val="105"/>
        </w:rPr>
        <w:t> </w:t>
      </w:r>
      <w:r>
        <w:rPr>
          <w:color w:val="231F20"/>
          <w:w w:val="105"/>
        </w:rPr>
        <w:t>proporcional.</w:t>
      </w:r>
      <w:r>
        <w:rPr>
          <w:color w:val="231F20"/>
          <w:w w:val="105"/>
          <w:position w:val="7"/>
          <w:sz w:val="13"/>
        </w:rPr>
        <w:t>2</w:t>
      </w:r>
      <w:r>
        <w:rPr>
          <w:color w:val="231F20"/>
          <w:spacing w:val="17"/>
          <w:w w:val="105"/>
          <w:position w:val="7"/>
          <w:sz w:val="13"/>
        </w:rPr>
        <w:t> </w:t>
      </w:r>
      <w:r>
        <w:rPr>
          <w:color w:val="231F20"/>
          <w:w w:val="105"/>
        </w:rPr>
        <w:t>Esto</w:t>
      </w:r>
      <w:r>
        <w:rPr>
          <w:color w:val="231F20"/>
          <w:spacing w:val="-6"/>
          <w:w w:val="105"/>
        </w:rPr>
        <w:t> </w:t>
      </w:r>
      <w:r>
        <w:rPr>
          <w:color w:val="231F20"/>
          <w:w w:val="105"/>
        </w:rPr>
        <w:t>implica</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partidos</w:t>
      </w:r>
      <w:r>
        <w:rPr>
          <w:color w:val="231F20"/>
          <w:spacing w:val="-6"/>
          <w:w w:val="105"/>
        </w:rPr>
        <w:t> </w:t>
      </w:r>
      <w:r>
        <w:rPr>
          <w:color w:val="231F20"/>
          <w:w w:val="105"/>
        </w:rPr>
        <w:t>que</w:t>
      </w:r>
      <w:r>
        <w:rPr>
          <w:color w:val="231F20"/>
          <w:spacing w:val="-6"/>
          <w:w w:val="105"/>
        </w:rPr>
        <w:t> </w:t>
      </w:r>
      <w:r>
        <w:rPr>
          <w:color w:val="231F20"/>
          <w:w w:val="105"/>
        </w:rPr>
        <w:t>son</w:t>
      </w:r>
      <w:r>
        <w:rPr>
          <w:color w:val="231F20"/>
          <w:spacing w:val="-6"/>
          <w:w w:val="105"/>
        </w:rPr>
        <w:t> </w:t>
      </w:r>
      <w:r>
        <w:rPr>
          <w:color w:val="231F20"/>
          <w:w w:val="105"/>
        </w:rPr>
        <w:t>la</w:t>
      </w:r>
      <w:r>
        <w:rPr>
          <w:color w:val="231F20"/>
          <w:spacing w:val="-6"/>
          <w:w w:val="105"/>
        </w:rPr>
        <w:t> </w:t>
      </w:r>
      <w:r>
        <w:rPr>
          <w:color w:val="231F20"/>
          <w:w w:val="105"/>
        </w:rPr>
        <w:t>segunda</w:t>
      </w:r>
      <w:r>
        <w:rPr>
          <w:color w:val="231F20"/>
          <w:spacing w:val="-6"/>
          <w:w w:val="105"/>
        </w:rPr>
        <w:t> </w:t>
      </w:r>
      <w:r>
        <w:rPr>
          <w:color w:val="231F20"/>
          <w:w w:val="105"/>
        </w:rPr>
        <w:t>y</w:t>
      </w:r>
      <w:r>
        <w:rPr>
          <w:color w:val="231F20"/>
          <w:spacing w:val="-6"/>
          <w:w w:val="105"/>
        </w:rPr>
        <w:t> </w:t>
      </w:r>
      <w:r>
        <w:rPr>
          <w:color w:val="231F20"/>
          <w:w w:val="105"/>
        </w:rPr>
        <w:t>tercera</w:t>
      </w:r>
      <w:r>
        <w:rPr>
          <w:color w:val="231F20"/>
          <w:spacing w:val="-6"/>
          <w:w w:val="105"/>
        </w:rPr>
        <w:t> </w:t>
      </w:r>
      <w:r>
        <w:rPr>
          <w:color w:val="231F20"/>
          <w:w w:val="105"/>
        </w:rPr>
        <w:t>fuerza en</w:t>
      </w:r>
      <w:r>
        <w:rPr>
          <w:color w:val="231F20"/>
          <w:spacing w:val="-6"/>
          <w:w w:val="105"/>
        </w:rPr>
        <w:t> </w:t>
      </w:r>
      <w:r>
        <w:rPr>
          <w:color w:val="231F20"/>
          <w:w w:val="105"/>
        </w:rPr>
        <w:t>el</w:t>
      </w:r>
      <w:r>
        <w:rPr>
          <w:color w:val="231F20"/>
          <w:spacing w:val="-6"/>
          <w:w w:val="105"/>
        </w:rPr>
        <w:t> </w:t>
      </w:r>
      <w:r>
        <w:rPr>
          <w:color w:val="231F20"/>
          <w:w w:val="105"/>
        </w:rPr>
        <w:t>municipio</w:t>
      </w:r>
      <w:r>
        <w:rPr>
          <w:color w:val="231F20"/>
          <w:spacing w:val="-6"/>
          <w:w w:val="105"/>
        </w:rPr>
        <w:t> </w:t>
      </w:r>
      <w:r>
        <w:rPr>
          <w:color w:val="231F20"/>
          <w:w w:val="105"/>
        </w:rPr>
        <w:t>tienen</w:t>
      </w:r>
      <w:r>
        <w:rPr>
          <w:color w:val="231F20"/>
          <w:spacing w:val="-6"/>
          <w:w w:val="105"/>
        </w:rPr>
        <w:t> </w:t>
      </w:r>
      <w:r>
        <w:rPr>
          <w:color w:val="231F20"/>
          <w:spacing w:val="2"/>
          <w:w w:val="105"/>
        </w:rPr>
        <w:t>al</w:t>
      </w:r>
      <w:r>
        <w:rPr>
          <w:color w:val="231F20"/>
          <w:spacing w:val="-6"/>
          <w:w w:val="105"/>
        </w:rPr>
        <w:t> </w:t>
      </w:r>
      <w:r>
        <w:rPr>
          <w:color w:val="231F20"/>
          <w:w w:val="105"/>
        </w:rPr>
        <w:t>menos</w:t>
      </w:r>
      <w:r>
        <w:rPr>
          <w:color w:val="231F20"/>
          <w:spacing w:val="-6"/>
          <w:w w:val="105"/>
        </w:rPr>
        <w:t> </w:t>
      </w:r>
      <w:r>
        <w:rPr>
          <w:color w:val="231F20"/>
          <w:w w:val="105"/>
        </w:rPr>
        <w:t>un</w:t>
      </w:r>
      <w:r>
        <w:rPr>
          <w:color w:val="231F20"/>
          <w:spacing w:val="-6"/>
          <w:w w:val="105"/>
        </w:rPr>
        <w:t> </w:t>
      </w:r>
      <w:r>
        <w:rPr>
          <w:color w:val="231F20"/>
          <w:w w:val="105"/>
        </w:rPr>
        <w:t>representante</w:t>
      </w:r>
      <w:r>
        <w:rPr>
          <w:color w:val="231F20"/>
          <w:spacing w:val="-6"/>
          <w:w w:val="105"/>
        </w:rPr>
        <w:t> </w:t>
      </w:r>
      <w:r>
        <w:rPr>
          <w:color w:val="231F20"/>
          <w:w w:val="105"/>
        </w:rPr>
        <w:t>dentro</w:t>
      </w:r>
      <w:r>
        <w:rPr>
          <w:color w:val="231F20"/>
          <w:spacing w:val="-6"/>
          <w:w w:val="105"/>
        </w:rPr>
        <w:t> </w:t>
      </w:r>
      <w:r>
        <w:rPr>
          <w:color w:val="231F20"/>
          <w:w w:val="105"/>
        </w:rPr>
        <w:t>del</w:t>
      </w:r>
      <w:r>
        <w:rPr>
          <w:color w:val="231F20"/>
          <w:spacing w:val="-6"/>
          <w:w w:val="105"/>
        </w:rPr>
        <w:t> </w:t>
      </w:r>
      <w:r>
        <w:rPr>
          <w:color w:val="231F20"/>
          <w:w w:val="105"/>
        </w:rPr>
        <w:t>gobierno</w:t>
      </w:r>
      <w:r>
        <w:rPr>
          <w:color w:val="231F20"/>
          <w:spacing w:val="-6"/>
          <w:w w:val="105"/>
        </w:rPr>
        <w:t> </w:t>
      </w:r>
      <w:r>
        <w:rPr>
          <w:color w:val="231F20"/>
          <w:w w:val="105"/>
        </w:rPr>
        <w:t>municipal.</w:t>
      </w:r>
      <w:r>
        <w:rPr>
          <w:color w:val="231F20"/>
          <w:spacing w:val="-6"/>
          <w:w w:val="105"/>
        </w:rPr>
        <w:t> </w:t>
      </w:r>
      <w:r>
        <w:rPr>
          <w:color w:val="231F20"/>
          <w:w w:val="105"/>
        </w:rPr>
        <w:t>En</w:t>
      </w:r>
      <w:r>
        <w:rPr>
          <w:color w:val="231F20"/>
          <w:spacing w:val="-6"/>
          <w:w w:val="105"/>
        </w:rPr>
        <w:t> </w:t>
      </w:r>
      <w:r>
        <w:rPr>
          <w:color w:val="231F20"/>
          <w:w w:val="105"/>
        </w:rPr>
        <w:t>el periodo de estudio, los regidores de mayoría son del </w:t>
      </w:r>
      <w:r>
        <w:rPr>
          <w:color w:val="231F20"/>
          <w:spacing w:val="-4"/>
          <w:w w:val="105"/>
        </w:rPr>
        <w:t>PAN </w:t>
      </w:r>
      <w:r>
        <w:rPr>
          <w:color w:val="231F20"/>
          <w:w w:val="105"/>
        </w:rPr>
        <w:t>y los de representación</w:t>
      </w:r>
      <w:r>
        <w:rPr>
          <w:color w:val="231F20"/>
          <w:spacing w:val="-40"/>
          <w:w w:val="105"/>
        </w:rPr>
        <w:t> </w:t>
      </w:r>
      <w:r>
        <w:rPr>
          <w:color w:val="231F20"/>
          <w:w w:val="105"/>
        </w:rPr>
        <w:t>pro- porcional</w:t>
      </w:r>
      <w:r>
        <w:rPr>
          <w:color w:val="231F20"/>
          <w:spacing w:val="-15"/>
          <w:w w:val="105"/>
        </w:rPr>
        <w:t> </w:t>
      </w:r>
      <w:r>
        <w:rPr>
          <w:color w:val="231F20"/>
          <w:w w:val="105"/>
        </w:rPr>
        <w:t>dos</w:t>
      </w:r>
      <w:r>
        <w:rPr>
          <w:color w:val="231F20"/>
          <w:spacing w:val="-15"/>
          <w:w w:val="105"/>
        </w:rPr>
        <w:t> </w:t>
      </w:r>
      <w:r>
        <w:rPr>
          <w:color w:val="231F20"/>
          <w:w w:val="105"/>
        </w:rPr>
        <w:t>son</w:t>
      </w:r>
      <w:r>
        <w:rPr>
          <w:color w:val="231F20"/>
          <w:spacing w:val="-15"/>
          <w:w w:val="105"/>
        </w:rPr>
        <w:t> </w:t>
      </w:r>
      <w:r>
        <w:rPr>
          <w:color w:val="231F20"/>
          <w:w w:val="105"/>
        </w:rPr>
        <w:t>del</w:t>
      </w:r>
      <w:r>
        <w:rPr>
          <w:color w:val="231F20"/>
          <w:spacing w:val="-15"/>
          <w:w w:val="105"/>
        </w:rPr>
        <w:t> </w:t>
      </w:r>
      <w:r>
        <w:rPr>
          <w:color w:val="231F20"/>
          <w:w w:val="105"/>
        </w:rPr>
        <w:t>PRI,</w:t>
      </w:r>
      <w:r>
        <w:rPr>
          <w:color w:val="231F20"/>
          <w:spacing w:val="-15"/>
          <w:w w:val="105"/>
        </w:rPr>
        <w:t> </w:t>
      </w:r>
      <w:r>
        <w:rPr>
          <w:color w:val="231F20"/>
          <w:w w:val="105"/>
        </w:rPr>
        <w:t>uno</w:t>
      </w:r>
      <w:r>
        <w:rPr>
          <w:color w:val="231F20"/>
          <w:spacing w:val="-15"/>
          <w:w w:val="105"/>
        </w:rPr>
        <w:t> </w:t>
      </w:r>
      <w:r>
        <w:rPr>
          <w:color w:val="231F20"/>
          <w:w w:val="105"/>
        </w:rPr>
        <w:t>del</w:t>
      </w:r>
      <w:r>
        <w:rPr>
          <w:color w:val="231F20"/>
          <w:spacing w:val="-15"/>
          <w:w w:val="105"/>
        </w:rPr>
        <w:t> </w:t>
      </w:r>
      <w:r>
        <w:rPr>
          <w:color w:val="231F20"/>
          <w:w w:val="105"/>
        </w:rPr>
        <w:t>PRD</w:t>
      </w:r>
      <w:r>
        <w:rPr>
          <w:color w:val="231F20"/>
          <w:spacing w:val="-15"/>
          <w:w w:val="105"/>
        </w:rPr>
        <w:t> </w:t>
      </w:r>
      <w:r>
        <w:rPr>
          <w:color w:val="231F20"/>
          <w:w w:val="105"/>
        </w:rPr>
        <w:t>y</w:t>
      </w:r>
      <w:r>
        <w:rPr>
          <w:color w:val="231F20"/>
          <w:spacing w:val="-15"/>
          <w:w w:val="105"/>
        </w:rPr>
        <w:t> </w:t>
      </w:r>
      <w:r>
        <w:rPr>
          <w:color w:val="231F20"/>
          <w:w w:val="105"/>
        </w:rPr>
        <w:t>uno</w:t>
      </w:r>
      <w:r>
        <w:rPr>
          <w:color w:val="231F20"/>
          <w:spacing w:val="-15"/>
          <w:w w:val="105"/>
        </w:rPr>
        <w:t> </w:t>
      </w:r>
      <w:r>
        <w:rPr>
          <w:color w:val="231F20"/>
          <w:w w:val="105"/>
        </w:rPr>
        <w:t>más</w:t>
      </w:r>
      <w:r>
        <w:rPr>
          <w:color w:val="231F20"/>
          <w:spacing w:val="-15"/>
          <w:w w:val="105"/>
        </w:rPr>
        <w:t> </w:t>
      </w:r>
      <w:r>
        <w:rPr>
          <w:color w:val="231F20"/>
          <w:w w:val="105"/>
        </w:rPr>
        <w:t>del</w:t>
      </w:r>
      <w:r>
        <w:rPr>
          <w:color w:val="231F20"/>
          <w:spacing w:val="-15"/>
          <w:w w:val="105"/>
        </w:rPr>
        <w:t> </w:t>
      </w:r>
      <w:r>
        <w:rPr>
          <w:color w:val="231F20"/>
          <w:spacing w:val="-5"/>
          <w:w w:val="105"/>
        </w:rPr>
        <w:t>PT.</w:t>
      </w:r>
    </w:p>
    <w:p>
      <w:pPr>
        <w:pStyle w:val="BodyText"/>
        <w:spacing w:before="1"/>
        <w:rPr>
          <w:sz w:val="26"/>
        </w:rPr>
      </w:pPr>
    </w:p>
    <w:p>
      <w:pPr>
        <w:pStyle w:val="BodyText"/>
        <w:ind w:left="110"/>
        <w:jc w:val="both"/>
      </w:pPr>
      <w:r>
        <w:rPr>
          <w:color w:val="231F20"/>
          <w:w w:val="105"/>
          <w:u w:val="single" w:color="231F20"/>
        </w:rPr>
        <w:t>Hasta</w:t>
      </w:r>
      <w:r>
        <w:rPr>
          <w:color w:val="231F20"/>
          <w:spacing w:val="-11"/>
          <w:w w:val="105"/>
          <w:u w:val="single" w:color="231F20"/>
        </w:rPr>
        <w:t> </w:t>
      </w:r>
      <w:r>
        <w:rPr>
          <w:color w:val="231F20"/>
          <w:w w:val="105"/>
          <w:u w:val="single" w:color="231F20"/>
        </w:rPr>
        <w:t>1996</w:t>
      </w:r>
      <w:r>
        <w:rPr>
          <w:color w:val="231F20"/>
          <w:spacing w:val="-11"/>
          <w:w w:val="105"/>
          <w:u w:val="single" w:color="231F20"/>
        </w:rPr>
        <w:t> </w:t>
      </w:r>
      <w:r>
        <w:rPr>
          <w:color w:val="231F20"/>
          <w:w w:val="105"/>
          <w:u w:val="single" w:color="231F20"/>
        </w:rPr>
        <w:t>hab</w:t>
      </w:r>
      <w:r>
        <w:rPr>
          <w:color w:val="231F20"/>
          <w:w w:val="105"/>
        </w:rPr>
        <w:t>ía</w:t>
      </w:r>
      <w:r>
        <w:rPr>
          <w:color w:val="231F20"/>
          <w:spacing w:val="-11"/>
          <w:w w:val="105"/>
        </w:rPr>
        <w:t> </w:t>
      </w:r>
      <w:r>
        <w:rPr>
          <w:color w:val="231F20"/>
          <w:w w:val="105"/>
        </w:rPr>
        <w:t>gobernado</w:t>
      </w:r>
      <w:r>
        <w:rPr>
          <w:color w:val="231F20"/>
          <w:spacing w:val="-11"/>
          <w:w w:val="105"/>
        </w:rPr>
        <w:t> </w:t>
      </w:r>
      <w:r>
        <w:rPr>
          <w:color w:val="231F20"/>
          <w:w w:val="105"/>
        </w:rPr>
        <w:t>el</w:t>
      </w:r>
      <w:r>
        <w:rPr>
          <w:color w:val="231F20"/>
          <w:spacing w:val="-11"/>
          <w:w w:val="105"/>
        </w:rPr>
        <w:t> </w:t>
      </w:r>
      <w:r>
        <w:rPr>
          <w:color w:val="231F20"/>
          <w:w w:val="105"/>
        </w:rPr>
        <w:t>PRI,</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año</w:t>
      </w:r>
      <w:r>
        <w:rPr>
          <w:color w:val="231F20"/>
          <w:spacing w:val="-11"/>
          <w:w w:val="105"/>
        </w:rPr>
        <w:t> </w:t>
      </w:r>
      <w:r>
        <w:rPr>
          <w:color w:val="231F20"/>
          <w:w w:val="105"/>
        </w:rPr>
        <w:t>gana</w:t>
      </w:r>
      <w:r>
        <w:rPr>
          <w:color w:val="231F20"/>
          <w:spacing w:val="-11"/>
          <w:w w:val="105"/>
        </w:rPr>
        <w:t> </w:t>
      </w:r>
      <w:r>
        <w:rPr>
          <w:color w:val="231F20"/>
          <w:w w:val="105"/>
        </w:rPr>
        <w:t>la</w:t>
      </w:r>
      <w:r>
        <w:rPr>
          <w:color w:val="231F20"/>
          <w:spacing w:val="-11"/>
          <w:w w:val="105"/>
        </w:rPr>
        <w:t> </w:t>
      </w:r>
      <w:r>
        <w:rPr>
          <w:color w:val="231F20"/>
          <w:w w:val="105"/>
        </w:rPr>
        <w:t>elección</w:t>
      </w:r>
      <w:r>
        <w:rPr>
          <w:color w:val="231F20"/>
          <w:spacing w:val="-11"/>
          <w:w w:val="105"/>
        </w:rPr>
        <w:t> </w:t>
      </w:r>
      <w:r>
        <w:rPr>
          <w:color w:val="231F20"/>
          <w:w w:val="105"/>
        </w:rPr>
        <w:t>el</w:t>
      </w:r>
      <w:r>
        <w:rPr>
          <w:color w:val="231F20"/>
          <w:spacing w:val="-11"/>
          <w:w w:val="105"/>
        </w:rPr>
        <w:t> </w:t>
      </w:r>
      <w:r>
        <w:rPr>
          <w:color w:val="231F20"/>
          <w:spacing w:val="-3"/>
          <w:w w:val="105"/>
        </w:rPr>
        <w:t>PRD.</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caso</w:t>
      </w:r>
      <w:r>
        <w:rPr>
          <w:color w:val="231F20"/>
          <w:spacing w:val="-11"/>
          <w:w w:val="105"/>
        </w:rPr>
        <w:t> </w:t>
      </w:r>
      <w:r>
        <w:rPr>
          <w:color w:val="231F20"/>
          <w:w w:val="105"/>
        </w:rPr>
        <w:t>del</w:t>
      </w:r>
    </w:p>
    <w:p>
      <w:pPr>
        <w:pStyle w:val="ListParagraph"/>
        <w:numPr>
          <w:ilvl w:val="0"/>
          <w:numId w:val="18"/>
        </w:numPr>
        <w:tabs>
          <w:tab w:pos="224" w:val="left" w:leader="none"/>
        </w:tabs>
        <w:spacing w:line="240" w:lineRule="auto" w:before="100" w:after="0"/>
        <w:ind w:left="223" w:right="0" w:hanging="113"/>
        <w:jc w:val="both"/>
        <w:rPr>
          <w:sz w:val="16"/>
        </w:rPr>
      </w:pPr>
      <w:r>
        <w:rPr>
          <w:color w:val="231F20"/>
          <w:sz w:val="16"/>
        </w:rPr>
        <w:t>Artículo</w:t>
      </w:r>
      <w:r>
        <w:rPr>
          <w:color w:val="231F20"/>
          <w:spacing w:val="-8"/>
          <w:sz w:val="16"/>
        </w:rPr>
        <w:t> </w:t>
      </w:r>
      <w:r>
        <w:rPr>
          <w:color w:val="231F20"/>
          <w:spacing w:val="-3"/>
          <w:sz w:val="16"/>
        </w:rPr>
        <w:t>24,</w:t>
      </w:r>
      <w:r>
        <w:rPr>
          <w:color w:val="231F20"/>
          <w:spacing w:val="-8"/>
          <w:sz w:val="16"/>
        </w:rPr>
        <w:t> </w:t>
      </w:r>
      <w:r>
        <w:rPr>
          <w:color w:val="231F20"/>
          <w:sz w:val="16"/>
        </w:rPr>
        <w:t>fracción</w:t>
      </w:r>
      <w:r>
        <w:rPr>
          <w:color w:val="231F20"/>
          <w:spacing w:val="-8"/>
          <w:sz w:val="16"/>
        </w:rPr>
        <w:t> </w:t>
      </w:r>
      <w:r>
        <w:rPr>
          <w:color w:val="231F20"/>
          <w:sz w:val="16"/>
        </w:rPr>
        <w:t>II,</w:t>
      </w:r>
      <w:r>
        <w:rPr>
          <w:color w:val="231F20"/>
          <w:spacing w:val="-8"/>
          <w:sz w:val="16"/>
        </w:rPr>
        <w:t> </w:t>
      </w:r>
      <w:r>
        <w:rPr>
          <w:color w:val="231F20"/>
          <w:sz w:val="16"/>
        </w:rPr>
        <w:t>inciso</w:t>
      </w:r>
      <w:r>
        <w:rPr>
          <w:color w:val="231F20"/>
          <w:spacing w:val="-8"/>
          <w:sz w:val="16"/>
        </w:rPr>
        <w:t> </w:t>
      </w:r>
      <w:r>
        <w:rPr>
          <w:color w:val="231F20"/>
          <w:sz w:val="16"/>
        </w:rPr>
        <w:t>a</w:t>
      </w:r>
      <w:r>
        <w:rPr>
          <w:color w:val="231F20"/>
          <w:spacing w:val="-8"/>
          <w:sz w:val="16"/>
        </w:rPr>
        <w:t> </w:t>
      </w:r>
      <w:r>
        <w:rPr>
          <w:color w:val="231F20"/>
          <w:sz w:val="16"/>
        </w:rPr>
        <w:t>del</w:t>
      </w:r>
      <w:r>
        <w:rPr>
          <w:color w:val="231F20"/>
          <w:spacing w:val="-8"/>
          <w:sz w:val="16"/>
        </w:rPr>
        <w:t> </w:t>
      </w:r>
      <w:r>
        <w:rPr>
          <w:color w:val="231F20"/>
          <w:sz w:val="16"/>
        </w:rPr>
        <w:t>Código</w:t>
      </w:r>
      <w:r>
        <w:rPr>
          <w:color w:val="231F20"/>
          <w:spacing w:val="-8"/>
          <w:sz w:val="16"/>
        </w:rPr>
        <w:t> </w:t>
      </w:r>
      <w:r>
        <w:rPr>
          <w:color w:val="231F20"/>
          <w:sz w:val="16"/>
        </w:rPr>
        <w:t>Electoral</w:t>
      </w:r>
      <w:r>
        <w:rPr>
          <w:color w:val="231F20"/>
          <w:spacing w:val="-8"/>
          <w:sz w:val="16"/>
        </w:rPr>
        <w:t> </w:t>
      </w:r>
      <w:r>
        <w:rPr>
          <w:color w:val="231F20"/>
          <w:sz w:val="16"/>
        </w:rPr>
        <w:t>del</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y</w:t>
      </w:r>
      <w:r>
        <w:rPr>
          <w:color w:val="231F20"/>
          <w:spacing w:val="-8"/>
          <w:sz w:val="16"/>
        </w:rPr>
        <w:t> </w:t>
      </w:r>
      <w:r>
        <w:rPr>
          <w:color w:val="231F20"/>
          <w:sz w:val="16"/>
        </w:rPr>
        <w:t>artículo</w:t>
      </w:r>
      <w:r>
        <w:rPr>
          <w:color w:val="231F20"/>
          <w:spacing w:val="-8"/>
          <w:sz w:val="16"/>
        </w:rPr>
        <w:t> </w:t>
      </w:r>
      <w:r>
        <w:rPr>
          <w:color w:val="231F20"/>
          <w:spacing w:val="-5"/>
          <w:sz w:val="16"/>
        </w:rPr>
        <w:t>31</w:t>
      </w:r>
      <w:r>
        <w:rPr>
          <w:color w:val="231F20"/>
          <w:spacing w:val="-8"/>
          <w:sz w:val="16"/>
        </w:rPr>
        <w:t> </w:t>
      </w:r>
      <w:r>
        <w:rPr>
          <w:color w:val="231F20"/>
          <w:sz w:val="16"/>
        </w:rPr>
        <w:t>del</w:t>
      </w:r>
      <w:r>
        <w:rPr>
          <w:color w:val="231F20"/>
          <w:spacing w:val="-8"/>
          <w:sz w:val="16"/>
        </w:rPr>
        <w:t> </w:t>
      </w:r>
      <w:r>
        <w:rPr>
          <w:color w:val="231F20"/>
          <w:sz w:val="16"/>
        </w:rPr>
        <w:t>Bando</w:t>
      </w:r>
      <w:r>
        <w:rPr>
          <w:color w:val="231F20"/>
          <w:spacing w:val="-8"/>
          <w:sz w:val="16"/>
        </w:rPr>
        <w:t> </w:t>
      </w:r>
      <w:r>
        <w:rPr>
          <w:color w:val="231F20"/>
          <w:sz w:val="16"/>
        </w:rPr>
        <w:t>municipal.</w:t>
      </w:r>
    </w:p>
    <w:p>
      <w:pPr>
        <w:spacing w:after="0" w:line="240"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rPr>
        <w:t>PAN, éste figuró en el proceso electoral municipal de 1993 y 13 años después se conso- lidó como la primera fuerza en el  municipio.</w:t>
      </w:r>
    </w:p>
    <w:p>
      <w:pPr>
        <w:pStyle w:val="BodyText"/>
        <w:spacing w:before="1"/>
        <w:rPr>
          <w:sz w:val="26"/>
        </w:rPr>
      </w:pPr>
    </w:p>
    <w:p>
      <w:pPr>
        <w:pStyle w:val="BodyText"/>
        <w:spacing w:line="285" w:lineRule="auto"/>
        <w:ind w:left="110" w:right="107"/>
        <w:jc w:val="both"/>
      </w:pPr>
      <w:r>
        <w:rPr>
          <w:color w:val="231F20"/>
          <w:w w:val="105"/>
        </w:rPr>
        <w:t>La participación electoral en el municipio que prevalece es la media, pues sólo en el año</w:t>
      </w:r>
      <w:r>
        <w:rPr>
          <w:color w:val="231F20"/>
          <w:spacing w:val="-13"/>
          <w:w w:val="105"/>
        </w:rPr>
        <w:t> </w:t>
      </w:r>
      <w:r>
        <w:rPr>
          <w:color w:val="231F20"/>
          <w:spacing w:val="4"/>
          <w:w w:val="105"/>
        </w:rPr>
        <w:t>2000</w:t>
      </w:r>
      <w:r>
        <w:rPr>
          <w:color w:val="231F20"/>
          <w:spacing w:val="-13"/>
          <w:w w:val="105"/>
        </w:rPr>
        <w:t> </w:t>
      </w:r>
      <w:r>
        <w:rPr>
          <w:color w:val="231F20"/>
          <w:w w:val="105"/>
        </w:rPr>
        <w:t>se</w:t>
      </w:r>
      <w:r>
        <w:rPr>
          <w:color w:val="231F20"/>
          <w:spacing w:val="-13"/>
          <w:w w:val="105"/>
        </w:rPr>
        <w:t> </w:t>
      </w:r>
      <w:r>
        <w:rPr>
          <w:color w:val="231F20"/>
          <w:w w:val="105"/>
        </w:rPr>
        <w:t>registró</w:t>
      </w:r>
      <w:r>
        <w:rPr>
          <w:color w:val="231F20"/>
          <w:spacing w:val="-13"/>
          <w:w w:val="105"/>
        </w:rPr>
        <w:t> </w:t>
      </w:r>
      <w:r>
        <w:rPr>
          <w:color w:val="231F20"/>
          <w:w w:val="105"/>
        </w:rPr>
        <w:t>un</w:t>
      </w:r>
      <w:r>
        <w:rPr>
          <w:color w:val="231F20"/>
          <w:spacing w:val="-13"/>
          <w:w w:val="105"/>
        </w:rPr>
        <w:t> </w:t>
      </w:r>
      <w:r>
        <w:rPr>
          <w:color w:val="231F20"/>
          <w:spacing w:val="-3"/>
          <w:w w:val="105"/>
        </w:rPr>
        <w:t>65%</w:t>
      </w:r>
      <w:r>
        <w:rPr>
          <w:color w:val="231F20"/>
          <w:spacing w:val="-13"/>
          <w:w w:val="105"/>
        </w:rPr>
        <w:t> </w:t>
      </w:r>
      <w:r>
        <w:rPr>
          <w:color w:val="231F20"/>
          <w:w w:val="105"/>
        </w:rPr>
        <w:t>de</w:t>
      </w:r>
      <w:r>
        <w:rPr>
          <w:color w:val="231F20"/>
          <w:spacing w:val="-13"/>
          <w:w w:val="105"/>
        </w:rPr>
        <w:t> </w:t>
      </w:r>
      <w:r>
        <w:rPr>
          <w:color w:val="231F20"/>
          <w:w w:val="105"/>
        </w:rPr>
        <w:t>electores</w:t>
      </w:r>
      <w:r>
        <w:rPr>
          <w:color w:val="231F20"/>
          <w:spacing w:val="-13"/>
          <w:w w:val="105"/>
        </w:rPr>
        <w:t> </w:t>
      </w:r>
      <w:r>
        <w:rPr>
          <w:color w:val="231F20"/>
          <w:w w:val="105"/>
        </w:rPr>
        <w:t>asistentes</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urnas,</w:t>
      </w:r>
      <w:r>
        <w:rPr>
          <w:color w:val="231F20"/>
          <w:spacing w:val="-13"/>
          <w:w w:val="105"/>
        </w:rPr>
        <w:t> </w:t>
      </w:r>
      <w:r>
        <w:rPr>
          <w:color w:val="231F20"/>
          <w:w w:val="105"/>
        </w:rPr>
        <w:t>en</w:t>
      </w:r>
      <w:r>
        <w:rPr>
          <w:color w:val="231F20"/>
          <w:spacing w:val="-13"/>
          <w:w w:val="105"/>
        </w:rPr>
        <w:t> </w:t>
      </w:r>
      <w:r>
        <w:rPr>
          <w:color w:val="231F20"/>
          <w:w w:val="105"/>
        </w:rPr>
        <w:t>oros</w:t>
      </w:r>
      <w:r>
        <w:rPr>
          <w:color w:val="231F20"/>
          <w:spacing w:val="-13"/>
          <w:w w:val="105"/>
        </w:rPr>
        <w:t> </w:t>
      </w:r>
      <w:r>
        <w:rPr>
          <w:color w:val="231F20"/>
          <w:w w:val="105"/>
        </w:rPr>
        <w:t>momentos</w:t>
      </w:r>
      <w:r>
        <w:rPr>
          <w:color w:val="231F20"/>
          <w:spacing w:val="-13"/>
          <w:w w:val="105"/>
        </w:rPr>
        <w:t> </w:t>
      </w:r>
      <w:r>
        <w:rPr>
          <w:color w:val="231F20"/>
          <w:w w:val="105"/>
        </w:rPr>
        <w:t>se</w:t>
      </w:r>
      <w:r>
        <w:rPr>
          <w:color w:val="231F20"/>
          <w:spacing w:val="-13"/>
          <w:w w:val="105"/>
        </w:rPr>
        <w:t> </w:t>
      </w:r>
      <w:r>
        <w:rPr>
          <w:color w:val="231F20"/>
          <w:w w:val="105"/>
        </w:rPr>
        <w:t>ha observado</w:t>
      </w:r>
      <w:r>
        <w:rPr>
          <w:color w:val="231F20"/>
          <w:spacing w:val="-30"/>
          <w:w w:val="105"/>
        </w:rPr>
        <w:t> </w:t>
      </w:r>
      <w:r>
        <w:rPr>
          <w:color w:val="231F20"/>
          <w:w w:val="105"/>
        </w:rPr>
        <w:t>alrededor</w:t>
      </w:r>
      <w:r>
        <w:rPr>
          <w:color w:val="231F20"/>
          <w:spacing w:val="-30"/>
          <w:w w:val="105"/>
        </w:rPr>
        <w:t> </w:t>
      </w:r>
      <w:r>
        <w:rPr>
          <w:color w:val="231F20"/>
          <w:w w:val="105"/>
        </w:rPr>
        <w:t>del</w:t>
      </w:r>
      <w:r>
        <w:rPr>
          <w:color w:val="231F20"/>
          <w:spacing w:val="-30"/>
          <w:w w:val="105"/>
        </w:rPr>
        <w:t> </w:t>
      </w:r>
      <w:r>
        <w:rPr>
          <w:color w:val="231F20"/>
          <w:w w:val="105"/>
        </w:rPr>
        <w:t>50%.</w:t>
      </w:r>
    </w:p>
    <w:p>
      <w:pPr>
        <w:pStyle w:val="BodyText"/>
        <w:spacing w:before="1"/>
        <w:rPr>
          <w:sz w:val="26"/>
        </w:rPr>
      </w:pPr>
    </w:p>
    <w:p>
      <w:pPr>
        <w:pStyle w:val="Heading5"/>
        <w:ind w:left="243" w:right="-2"/>
      </w:pPr>
      <w:r>
        <w:rPr>
          <w:color w:val="231F20"/>
          <w:w w:val="105"/>
        </w:rPr>
        <w:t>Tabla 3. Competitividad y participación en el municipio de Atlautla. 1990-2006</w:t>
      </w:r>
    </w:p>
    <w:p>
      <w:pPr>
        <w:pStyle w:val="BodyText"/>
        <w:spacing w:before="10"/>
        <w:rPr>
          <w:b/>
          <w:sz w:val="28"/>
        </w:rPr>
      </w:pPr>
    </w:p>
    <w:tbl>
      <w:tblPr>
        <w:tblW w:w="0" w:type="auto"/>
        <w:jc w:val="left"/>
        <w:tblInd w:w="10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00"/>
        <w:gridCol w:w="2257"/>
        <w:gridCol w:w="2083"/>
      </w:tblGrid>
      <w:tr>
        <w:trPr>
          <w:trHeight w:val="130" w:hRule="exact"/>
        </w:trPr>
        <w:tc>
          <w:tcPr>
            <w:tcW w:w="1800" w:type="dxa"/>
          </w:tcPr>
          <w:p>
            <w:pPr>
              <w:pStyle w:val="TableParagraph"/>
              <w:spacing w:line="160" w:lineRule="exact"/>
              <w:ind w:left="102" w:right="-9"/>
              <w:rPr>
                <w:sz w:val="16"/>
              </w:rPr>
            </w:pPr>
            <w:r>
              <w:rPr>
                <w:color w:val="231F20"/>
                <w:w w:val="85"/>
                <w:sz w:val="16"/>
              </w:rPr>
              <w:t>PERIODO</w:t>
            </w:r>
          </w:p>
        </w:tc>
        <w:tc>
          <w:tcPr>
            <w:tcW w:w="2257" w:type="dxa"/>
          </w:tcPr>
          <w:p>
            <w:pPr>
              <w:pStyle w:val="TableParagraph"/>
              <w:spacing w:line="160" w:lineRule="exact"/>
              <w:ind w:left="102"/>
              <w:rPr>
                <w:sz w:val="16"/>
              </w:rPr>
            </w:pPr>
            <w:r>
              <w:rPr>
                <w:color w:val="231F20"/>
                <w:w w:val="85"/>
                <w:sz w:val="16"/>
              </w:rPr>
              <w:t>COMPETITIVIDAD</w:t>
            </w:r>
          </w:p>
        </w:tc>
        <w:tc>
          <w:tcPr>
            <w:tcW w:w="2083" w:type="dxa"/>
          </w:tcPr>
          <w:p>
            <w:pPr>
              <w:pStyle w:val="TableParagraph"/>
              <w:spacing w:line="160" w:lineRule="exact"/>
              <w:ind w:left="102"/>
              <w:rPr>
                <w:sz w:val="16"/>
              </w:rPr>
            </w:pPr>
            <w:r>
              <w:rPr>
                <w:color w:val="231F20"/>
                <w:w w:val="85"/>
                <w:sz w:val="16"/>
              </w:rPr>
              <w:t>PARTICIPACIÓN</w:t>
            </w:r>
          </w:p>
        </w:tc>
      </w:tr>
      <w:tr>
        <w:trPr>
          <w:trHeight w:val="130" w:hRule="exact"/>
        </w:trPr>
        <w:tc>
          <w:tcPr>
            <w:tcW w:w="1800" w:type="dxa"/>
          </w:tcPr>
          <w:p>
            <w:pPr>
              <w:pStyle w:val="TableParagraph"/>
              <w:spacing w:line="160" w:lineRule="exact"/>
              <w:ind w:left="102" w:right="-9"/>
              <w:rPr>
                <w:sz w:val="16"/>
              </w:rPr>
            </w:pPr>
            <w:r>
              <w:rPr>
                <w:color w:val="231F20"/>
                <w:w w:val="85"/>
                <w:sz w:val="16"/>
              </w:rPr>
              <w:t>1990</w:t>
            </w:r>
          </w:p>
        </w:tc>
        <w:tc>
          <w:tcPr>
            <w:tcW w:w="2257" w:type="dxa"/>
          </w:tcPr>
          <w:p>
            <w:pPr>
              <w:pStyle w:val="TableParagraph"/>
              <w:spacing w:line="160" w:lineRule="exact"/>
              <w:ind w:left="102"/>
              <w:rPr>
                <w:sz w:val="16"/>
              </w:rPr>
            </w:pPr>
            <w:r>
              <w:rPr>
                <w:color w:val="231F20"/>
                <w:w w:val="85"/>
                <w:sz w:val="16"/>
              </w:rPr>
              <w:t>BAJA</w:t>
            </w:r>
          </w:p>
        </w:tc>
        <w:tc>
          <w:tcPr>
            <w:tcW w:w="2083" w:type="dxa"/>
          </w:tcPr>
          <w:p>
            <w:pPr/>
          </w:p>
        </w:tc>
      </w:tr>
      <w:tr>
        <w:trPr>
          <w:trHeight w:val="130" w:hRule="exact"/>
        </w:trPr>
        <w:tc>
          <w:tcPr>
            <w:tcW w:w="1800" w:type="dxa"/>
          </w:tcPr>
          <w:p>
            <w:pPr>
              <w:pStyle w:val="TableParagraph"/>
              <w:spacing w:line="160" w:lineRule="exact"/>
              <w:ind w:left="102" w:right="-9"/>
              <w:rPr>
                <w:sz w:val="16"/>
              </w:rPr>
            </w:pPr>
            <w:r>
              <w:rPr>
                <w:color w:val="231F20"/>
                <w:w w:val="85"/>
                <w:sz w:val="16"/>
              </w:rPr>
              <w:t>1993</w:t>
            </w:r>
          </w:p>
        </w:tc>
        <w:tc>
          <w:tcPr>
            <w:tcW w:w="2257" w:type="dxa"/>
          </w:tcPr>
          <w:p>
            <w:pPr>
              <w:pStyle w:val="TableParagraph"/>
              <w:spacing w:line="160" w:lineRule="exact"/>
              <w:ind w:left="102"/>
              <w:rPr>
                <w:sz w:val="16"/>
              </w:rPr>
            </w:pPr>
            <w:r>
              <w:rPr>
                <w:color w:val="231F20"/>
                <w:w w:val="85"/>
                <w:sz w:val="16"/>
              </w:rPr>
              <w:t>ALTA</w:t>
            </w:r>
          </w:p>
        </w:tc>
        <w:tc>
          <w:tcPr>
            <w:tcW w:w="2083" w:type="dxa"/>
          </w:tcPr>
          <w:p>
            <w:pPr/>
          </w:p>
        </w:tc>
      </w:tr>
      <w:tr>
        <w:trPr>
          <w:trHeight w:val="130" w:hRule="exact"/>
        </w:trPr>
        <w:tc>
          <w:tcPr>
            <w:tcW w:w="1800" w:type="dxa"/>
          </w:tcPr>
          <w:p>
            <w:pPr>
              <w:pStyle w:val="TableParagraph"/>
              <w:spacing w:line="160" w:lineRule="exact"/>
              <w:ind w:left="102" w:right="-9"/>
              <w:rPr>
                <w:sz w:val="16"/>
              </w:rPr>
            </w:pPr>
            <w:r>
              <w:rPr>
                <w:color w:val="231F20"/>
                <w:w w:val="85"/>
                <w:sz w:val="16"/>
              </w:rPr>
              <w:t>1996</w:t>
            </w:r>
          </w:p>
        </w:tc>
        <w:tc>
          <w:tcPr>
            <w:tcW w:w="2257" w:type="dxa"/>
          </w:tcPr>
          <w:p>
            <w:pPr>
              <w:pStyle w:val="TableParagraph"/>
              <w:spacing w:line="160" w:lineRule="exact"/>
              <w:ind w:left="102"/>
              <w:rPr>
                <w:sz w:val="16"/>
              </w:rPr>
            </w:pPr>
            <w:r>
              <w:rPr>
                <w:color w:val="231F20"/>
                <w:w w:val="85"/>
                <w:sz w:val="16"/>
              </w:rPr>
              <w:t>MEDIA</w:t>
            </w:r>
          </w:p>
        </w:tc>
        <w:tc>
          <w:tcPr>
            <w:tcW w:w="2083" w:type="dxa"/>
          </w:tcPr>
          <w:p>
            <w:pPr>
              <w:pStyle w:val="TableParagraph"/>
              <w:spacing w:line="160" w:lineRule="exact"/>
              <w:ind w:left="102"/>
              <w:rPr>
                <w:sz w:val="16"/>
              </w:rPr>
            </w:pPr>
            <w:r>
              <w:rPr>
                <w:color w:val="231F20"/>
                <w:w w:val="85"/>
                <w:sz w:val="16"/>
              </w:rPr>
              <w:t>MEDIA</w:t>
            </w:r>
          </w:p>
        </w:tc>
      </w:tr>
      <w:tr>
        <w:trPr>
          <w:trHeight w:val="130" w:hRule="exact"/>
        </w:trPr>
        <w:tc>
          <w:tcPr>
            <w:tcW w:w="1800" w:type="dxa"/>
          </w:tcPr>
          <w:p>
            <w:pPr>
              <w:pStyle w:val="TableParagraph"/>
              <w:spacing w:line="160" w:lineRule="exact"/>
              <w:ind w:left="102" w:right="-9"/>
              <w:rPr>
                <w:sz w:val="16"/>
              </w:rPr>
            </w:pPr>
            <w:r>
              <w:rPr>
                <w:color w:val="231F20"/>
                <w:w w:val="85"/>
                <w:sz w:val="16"/>
              </w:rPr>
              <w:t>2000</w:t>
            </w:r>
          </w:p>
        </w:tc>
        <w:tc>
          <w:tcPr>
            <w:tcW w:w="2257" w:type="dxa"/>
          </w:tcPr>
          <w:p>
            <w:pPr>
              <w:pStyle w:val="TableParagraph"/>
              <w:spacing w:line="160" w:lineRule="exact"/>
              <w:ind w:left="102"/>
              <w:rPr>
                <w:sz w:val="16"/>
              </w:rPr>
            </w:pPr>
            <w:r>
              <w:rPr>
                <w:color w:val="231F20"/>
                <w:w w:val="85"/>
                <w:sz w:val="16"/>
              </w:rPr>
              <w:t>ALTA</w:t>
            </w:r>
          </w:p>
        </w:tc>
        <w:tc>
          <w:tcPr>
            <w:tcW w:w="2083" w:type="dxa"/>
          </w:tcPr>
          <w:p>
            <w:pPr>
              <w:pStyle w:val="TableParagraph"/>
              <w:spacing w:line="160" w:lineRule="exact"/>
              <w:ind w:left="102"/>
              <w:rPr>
                <w:sz w:val="16"/>
              </w:rPr>
            </w:pPr>
            <w:r>
              <w:rPr>
                <w:color w:val="231F20"/>
                <w:w w:val="85"/>
                <w:sz w:val="16"/>
              </w:rPr>
              <w:t>ALTA</w:t>
            </w:r>
          </w:p>
        </w:tc>
      </w:tr>
      <w:tr>
        <w:trPr>
          <w:trHeight w:val="130" w:hRule="exact"/>
        </w:trPr>
        <w:tc>
          <w:tcPr>
            <w:tcW w:w="1800" w:type="dxa"/>
          </w:tcPr>
          <w:p>
            <w:pPr>
              <w:pStyle w:val="TableParagraph"/>
              <w:spacing w:line="160" w:lineRule="exact"/>
              <w:ind w:left="102" w:right="-9"/>
              <w:rPr>
                <w:sz w:val="16"/>
              </w:rPr>
            </w:pPr>
            <w:r>
              <w:rPr>
                <w:color w:val="231F20"/>
                <w:w w:val="85"/>
                <w:sz w:val="16"/>
              </w:rPr>
              <w:t>2003</w:t>
            </w:r>
          </w:p>
        </w:tc>
        <w:tc>
          <w:tcPr>
            <w:tcW w:w="2257" w:type="dxa"/>
          </w:tcPr>
          <w:p>
            <w:pPr>
              <w:pStyle w:val="TableParagraph"/>
              <w:spacing w:line="160" w:lineRule="exact"/>
              <w:ind w:left="102"/>
              <w:rPr>
                <w:sz w:val="16"/>
              </w:rPr>
            </w:pPr>
            <w:r>
              <w:rPr>
                <w:color w:val="231F20"/>
                <w:w w:val="85"/>
                <w:sz w:val="16"/>
              </w:rPr>
              <w:t>ALTA</w:t>
            </w:r>
          </w:p>
        </w:tc>
        <w:tc>
          <w:tcPr>
            <w:tcW w:w="2083" w:type="dxa"/>
          </w:tcPr>
          <w:p>
            <w:pPr>
              <w:pStyle w:val="TableParagraph"/>
              <w:spacing w:line="160" w:lineRule="exact"/>
              <w:ind w:left="102"/>
              <w:rPr>
                <w:sz w:val="16"/>
              </w:rPr>
            </w:pPr>
            <w:r>
              <w:rPr>
                <w:color w:val="231F20"/>
                <w:w w:val="85"/>
                <w:sz w:val="16"/>
              </w:rPr>
              <w:t>MEDIA</w:t>
            </w:r>
          </w:p>
        </w:tc>
      </w:tr>
      <w:tr>
        <w:trPr>
          <w:trHeight w:val="130" w:hRule="exact"/>
        </w:trPr>
        <w:tc>
          <w:tcPr>
            <w:tcW w:w="1800" w:type="dxa"/>
          </w:tcPr>
          <w:p>
            <w:pPr>
              <w:pStyle w:val="TableParagraph"/>
              <w:spacing w:line="160" w:lineRule="exact"/>
              <w:ind w:left="102" w:right="-9"/>
              <w:rPr>
                <w:sz w:val="16"/>
              </w:rPr>
            </w:pPr>
            <w:r>
              <w:rPr>
                <w:color w:val="231F20"/>
                <w:w w:val="85"/>
                <w:sz w:val="16"/>
              </w:rPr>
              <w:t>2006</w:t>
            </w:r>
          </w:p>
        </w:tc>
        <w:tc>
          <w:tcPr>
            <w:tcW w:w="2257" w:type="dxa"/>
          </w:tcPr>
          <w:p>
            <w:pPr>
              <w:pStyle w:val="TableParagraph"/>
              <w:spacing w:line="160" w:lineRule="exact"/>
              <w:ind w:left="102"/>
              <w:rPr>
                <w:sz w:val="16"/>
              </w:rPr>
            </w:pPr>
            <w:r>
              <w:rPr>
                <w:color w:val="231F20"/>
                <w:w w:val="85"/>
                <w:sz w:val="16"/>
              </w:rPr>
              <w:t>BAJA</w:t>
            </w:r>
          </w:p>
        </w:tc>
        <w:tc>
          <w:tcPr>
            <w:tcW w:w="2083" w:type="dxa"/>
          </w:tcPr>
          <w:p>
            <w:pPr>
              <w:pStyle w:val="TableParagraph"/>
              <w:spacing w:line="160" w:lineRule="exact"/>
              <w:ind w:left="102"/>
              <w:rPr>
                <w:sz w:val="16"/>
              </w:rPr>
            </w:pPr>
            <w:r>
              <w:rPr>
                <w:color w:val="231F20"/>
                <w:w w:val="85"/>
                <w:sz w:val="16"/>
              </w:rPr>
              <w:t>MEDIA</w:t>
            </w:r>
          </w:p>
        </w:tc>
      </w:tr>
    </w:tbl>
    <w:p>
      <w:pPr>
        <w:pStyle w:val="BodyText"/>
        <w:spacing w:before="8"/>
        <w:rPr>
          <w:b/>
          <w:sz w:val="23"/>
        </w:rPr>
      </w:pPr>
    </w:p>
    <w:p>
      <w:pPr>
        <w:spacing w:before="74"/>
        <w:ind w:left="752" w:right="-16" w:firstLine="0"/>
        <w:jc w:val="left"/>
        <w:rPr>
          <w:rFonts w:ascii="Calibri" w:hAnsi="Calibri"/>
          <w:sz w:val="16"/>
        </w:rPr>
      </w:pPr>
      <w:r>
        <w:rPr>
          <w:rFonts w:ascii="Calibri" w:hAnsi="Calibri"/>
          <w:color w:val="231F20"/>
          <w:sz w:val="16"/>
        </w:rPr>
        <w:t>Fuente: Elaboración propia con datos de la base de datos “Partidos políticos y elecciones en el Estado de México”.</w:t>
      </w:r>
    </w:p>
    <w:p>
      <w:pPr>
        <w:pStyle w:val="BodyText"/>
        <w:rPr>
          <w:rFonts w:ascii="Calibri"/>
          <w:sz w:val="16"/>
        </w:rPr>
      </w:pPr>
    </w:p>
    <w:p>
      <w:pPr>
        <w:pStyle w:val="BodyText"/>
        <w:spacing w:before="10"/>
        <w:rPr>
          <w:rFonts w:ascii="Calibri"/>
          <w:sz w:val="12"/>
        </w:rPr>
      </w:pPr>
    </w:p>
    <w:p>
      <w:pPr>
        <w:pStyle w:val="BodyText"/>
        <w:spacing w:line="285" w:lineRule="auto"/>
        <w:ind w:left="110" w:right="107"/>
        <w:jc w:val="both"/>
      </w:pPr>
      <w:r>
        <w:rPr>
          <w:color w:val="231F20"/>
          <w:w w:val="105"/>
        </w:rPr>
        <w:t>La competitividad electoral estriba en las cualidades y capacidades de los candidatos más</w:t>
      </w:r>
      <w:r>
        <w:rPr>
          <w:color w:val="231F20"/>
          <w:spacing w:val="-8"/>
          <w:w w:val="105"/>
        </w:rPr>
        <w:t> </w:t>
      </w:r>
      <w:r>
        <w:rPr>
          <w:color w:val="231F20"/>
          <w:w w:val="105"/>
        </w:rPr>
        <w:t>que</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partidos.</w:t>
      </w:r>
      <w:r>
        <w:rPr>
          <w:color w:val="231F20"/>
          <w:spacing w:val="-8"/>
          <w:w w:val="105"/>
        </w:rPr>
        <w:t> </w:t>
      </w:r>
      <w:r>
        <w:rPr>
          <w:color w:val="231F20"/>
          <w:w w:val="105"/>
        </w:rPr>
        <w:t>Es</w:t>
      </w:r>
      <w:r>
        <w:rPr>
          <w:color w:val="231F20"/>
          <w:spacing w:val="-8"/>
          <w:w w:val="105"/>
        </w:rPr>
        <w:t> </w:t>
      </w:r>
      <w:r>
        <w:rPr>
          <w:color w:val="231F20"/>
          <w:w w:val="105"/>
        </w:rPr>
        <w:t>decir,</w:t>
      </w:r>
      <w:r>
        <w:rPr>
          <w:color w:val="231F20"/>
          <w:spacing w:val="-8"/>
          <w:w w:val="105"/>
        </w:rPr>
        <w:t> </w:t>
      </w:r>
      <w:r>
        <w:rPr>
          <w:color w:val="231F20"/>
          <w:w w:val="105"/>
        </w:rPr>
        <w:t>se</w:t>
      </w:r>
      <w:r>
        <w:rPr>
          <w:color w:val="231F20"/>
          <w:spacing w:val="-8"/>
          <w:w w:val="105"/>
        </w:rPr>
        <w:t> </w:t>
      </w:r>
      <w:r>
        <w:rPr>
          <w:color w:val="231F20"/>
          <w:w w:val="105"/>
        </w:rPr>
        <w:t>trata</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electorado</w:t>
      </w:r>
      <w:r>
        <w:rPr>
          <w:color w:val="231F20"/>
          <w:spacing w:val="-8"/>
          <w:w w:val="105"/>
        </w:rPr>
        <w:t> </w:t>
      </w:r>
      <w:r>
        <w:rPr>
          <w:color w:val="231F20"/>
          <w:w w:val="105"/>
        </w:rPr>
        <w:t>que</w:t>
      </w:r>
      <w:r>
        <w:rPr>
          <w:color w:val="231F20"/>
          <w:spacing w:val="-8"/>
          <w:w w:val="105"/>
        </w:rPr>
        <w:t> </w:t>
      </w:r>
      <w:r>
        <w:rPr>
          <w:color w:val="231F20"/>
          <w:w w:val="105"/>
        </w:rPr>
        <w:t>decide</w:t>
      </w:r>
      <w:r>
        <w:rPr>
          <w:color w:val="231F20"/>
          <w:spacing w:val="-8"/>
          <w:w w:val="105"/>
        </w:rPr>
        <w:t> </w:t>
      </w:r>
      <w:r>
        <w:rPr>
          <w:color w:val="231F20"/>
          <w:w w:val="105"/>
        </w:rPr>
        <w:t>más</w:t>
      </w:r>
      <w:r>
        <w:rPr>
          <w:color w:val="231F20"/>
          <w:spacing w:val="-8"/>
          <w:w w:val="105"/>
        </w:rPr>
        <w:t> </w:t>
      </w:r>
      <w:r>
        <w:rPr>
          <w:color w:val="231F20"/>
          <w:w w:val="105"/>
        </w:rPr>
        <w:t>por</w:t>
      </w:r>
      <w:r>
        <w:rPr>
          <w:color w:val="231F20"/>
          <w:spacing w:val="-8"/>
          <w:w w:val="105"/>
        </w:rPr>
        <w:t> </w:t>
      </w:r>
      <w:r>
        <w:rPr>
          <w:color w:val="231F20"/>
          <w:w w:val="105"/>
        </w:rPr>
        <w:t>los</w:t>
      </w:r>
      <w:r>
        <w:rPr>
          <w:color w:val="231F20"/>
          <w:spacing w:val="-8"/>
          <w:w w:val="105"/>
        </w:rPr>
        <w:t> </w:t>
      </w:r>
      <w:r>
        <w:rPr>
          <w:color w:val="231F20"/>
          <w:w w:val="105"/>
        </w:rPr>
        <w:t>can- didatos que por los partidos. Claro está que esa vicisitud de los candidatos está ligada a</w:t>
      </w:r>
      <w:r>
        <w:rPr>
          <w:color w:val="231F20"/>
          <w:spacing w:val="-18"/>
          <w:w w:val="105"/>
        </w:rPr>
        <w:t> </w:t>
      </w:r>
      <w:r>
        <w:rPr>
          <w:color w:val="231F20"/>
          <w:w w:val="105"/>
        </w:rPr>
        <w:t>las</w:t>
      </w:r>
      <w:r>
        <w:rPr>
          <w:color w:val="231F20"/>
          <w:spacing w:val="-18"/>
          <w:w w:val="105"/>
        </w:rPr>
        <w:t> </w:t>
      </w:r>
      <w:r>
        <w:rPr>
          <w:color w:val="231F20"/>
          <w:w w:val="105"/>
        </w:rPr>
        <w:t>negociaciones</w:t>
      </w:r>
      <w:r>
        <w:rPr>
          <w:color w:val="231F20"/>
          <w:spacing w:val="-18"/>
          <w:w w:val="105"/>
        </w:rPr>
        <w:t> </w:t>
      </w:r>
      <w:r>
        <w:rPr>
          <w:color w:val="231F20"/>
          <w:w w:val="105"/>
        </w:rPr>
        <w:t>y</w:t>
      </w:r>
      <w:r>
        <w:rPr>
          <w:color w:val="231F20"/>
          <w:spacing w:val="-18"/>
          <w:w w:val="105"/>
        </w:rPr>
        <w:t> </w:t>
      </w:r>
      <w:r>
        <w:rPr>
          <w:color w:val="231F20"/>
          <w:w w:val="105"/>
        </w:rPr>
        <w:t>vínculos</w:t>
      </w:r>
      <w:r>
        <w:rPr>
          <w:color w:val="231F20"/>
          <w:spacing w:val="-18"/>
          <w:w w:val="105"/>
        </w:rPr>
        <w:t> </w:t>
      </w:r>
      <w:r>
        <w:rPr>
          <w:color w:val="231F20"/>
          <w:w w:val="105"/>
        </w:rPr>
        <w:t>con</w:t>
      </w:r>
      <w:r>
        <w:rPr>
          <w:color w:val="231F20"/>
          <w:spacing w:val="-18"/>
          <w:w w:val="105"/>
        </w:rPr>
        <w:t> </w:t>
      </w:r>
      <w:r>
        <w:rPr>
          <w:color w:val="231F20"/>
          <w:w w:val="105"/>
        </w:rPr>
        <w:t>los</w:t>
      </w:r>
      <w:r>
        <w:rPr>
          <w:color w:val="231F20"/>
          <w:spacing w:val="-18"/>
          <w:w w:val="105"/>
        </w:rPr>
        <w:t> </w:t>
      </w:r>
      <w:r>
        <w:rPr>
          <w:color w:val="231F20"/>
          <w:w w:val="105"/>
        </w:rPr>
        <w:t>líderes</w:t>
      </w:r>
      <w:r>
        <w:rPr>
          <w:color w:val="231F20"/>
          <w:spacing w:val="-18"/>
          <w:w w:val="105"/>
        </w:rPr>
        <w:t> </w:t>
      </w:r>
      <w:r>
        <w:rPr>
          <w:color w:val="231F20"/>
          <w:w w:val="105"/>
        </w:rPr>
        <w:t>sociales</w:t>
      </w:r>
      <w:r>
        <w:rPr>
          <w:color w:val="231F20"/>
          <w:spacing w:val="-18"/>
          <w:w w:val="105"/>
        </w:rPr>
        <w:t> </w:t>
      </w:r>
      <w:r>
        <w:rPr>
          <w:color w:val="231F20"/>
          <w:w w:val="105"/>
        </w:rPr>
        <w:t>y</w:t>
      </w:r>
      <w:r>
        <w:rPr>
          <w:color w:val="231F20"/>
          <w:spacing w:val="-18"/>
          <w:w w:val="105"/>
        </w:rPr>
        <w:t> </w:t>
      </w:r>
      <w:r>
        <w:rPr>
          <w:color w:val="231F20"/>
          <w:w w:val="105"/>
        </w:rPr>
        <w:t>políticos</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En</w:t>
      </w:r>
      <w:r>
        <w:rPr>
          <w:color w:val="231F20"/>
          <w:spacing w:val="-18"/>
          <w:w w:val="105"/>
        </w:rPr>
        <w:t> </w:t>
      </w:r>
      <w:r>
        <w:rPr>
          <w:color w:val="231F20"/>
          <w:w w:val="105"/>
        </w:rPr>
        <w:t>esas circunstancias</w:t>
      </w:r>
      <w:r>
        <w:rPr>
          <w:color w:val="231F20"/>
          <w:spacing w:val="-22"/>
          <w:w w:val="105"/>
        </w:rPr>
        <w:t> </w:t>
      </w:r>
      <w:r>
        <w:rPr>
          <w:color w:val="231F20"/>
          <w:w w:val="105"/>
        </w:rPr>
        <w:t>son</w:t>
      </w:r>
      <w:r>
        <w:rPr>
          <w:color w:val="231F20"/>
          <w:spacing w:val="-22"/>
          <w:w w:val="105"/>
        </w:rPr>
        <w:t> </w:t>
      </w:r>
      <w:r>
        <w:rPr>
          <w:color w:val="231F20"/>
          <w:w w:val="105"/>
        </w:rPr>
        <w:t>el</w:t>
      </w:r>
      <w:r>
        <w:rPr>
          <w:color w:val="231F20"/>
          <w:spacing w:val="-22"/>
          <w:w w:val="105"/>
        </w:rPr>
        <w:t> </w:t>
      </w:r>
      <w:r>
        <w:rPr>
          <w:color w:val="231F20"/>
          <w:w w:val="105"/>
        </w:rPr>
        <w:t>PRI,</w:t>
      </w:r>
      <w:r>
        <w:rPr>
          <w:color w:val="231F20"/>
          <w:spacing w:val="-22"/>
          <w:w w:val="105"/>
        </w:rPr>
        <w:t> </w:t>
      </w:r>
      <w:r>
        <w:rPr>
          <w:color w:val="231F20"/>
          <w:w w:val="105"/>
        </w:rPr>
        <w:t>PRD</w:t>
      </w:r>
      <w:r>
        <w:rPr>
          <w:color w:val="231F20"/>
          <w:spacing w:val="-22"/>
          <w:w w:val="105"/>
        </w:rPr>
        <w:t> </w:t>
      </w:r>
      <w:r>
        <w:rPr>
          <w:color w:val="231F20"/>
          <w:w w:val="105"/>
        </w:rPr>
        <w:t>y</w:t>
      </w:r>
      <w:r>
        <w:rPr>
          <w:color w:val="231F20"/>
          <w:spacing w:val="-22"/>
          <w:w w:val="105"/>
        </w:rPr>
        <w:t> </w:t>
      </w:r>
      <w:r>
        <w:rPr>
          <w:color w:val="231F20"/>
          <w:spacing w:val="-4"/>
          <w:w w:val="105"/>
        </w:rPr>
        <w:t>PAN</w:t>
      </w:r>
      <w:r>
        <w:rPr>
          <w:color w:val="231F20"/>
          <w:spacing w:val="-22"/>
          <w:w w:val="105"/>
        </w:rPr>
        <w:t> </w:t>
      </w:r>
      <w:r>
        <w:rPr>
          <w:color w:val="231F20"/>
          <w:w w:val="105"/>
        </w:rPr>
        <w:t>los</w:t>
      </w:r>
      <w:r>
        <w:rPr>
          <w:color w:val="231F20"/>
          <w:spacing w:val="-22"/>
          <w:w w:val="105"/>
        </w:rPr>
        <w:t> </w:t>
      </w:r>
      <w:r>
        <w:rPr>
          <w:color w:val="231F20"/>
          <w:w w:val="105"/>
        </w:rPr>
        <w:t>partidos</w:t>
      </w:r>
      <w:r>
        <w:rPr>
          <w:color w:val="231F20"/>
          <w:spacing w:val="-22"/>
          <w:w w:val="105"/>
        </w:rPr>
        <w:t> </w:t>
      </w:r>
      <w:r>
        <w:rPr>
          <w:color w:val="231F20"/>
          <w:w w:val="105"/>
        </w:rPr>
        <w:t>que</w:t>
      </w:r>
      <w:r>
        <w:rPr>
          <w:color w:val="231F20"/>
          <w:spacing w:val="-22"/>
          <w:w w:val="105"/>
        </w:rPr>
        <w:t> </w:t>
      </w:r>
      <w:r>
        <w:rPr>
          <w:color w:val="231F20"/>
          <w:w w:val="105"/>
        </w:rPr>
        <w:t>han</w:t>
      </w:r>
      <w:r>
        <w:rPr>
          <w:color w:val="231F20"/>
          <w:spacing w:val="-22"/>
          <w:w w:val="105"/>
        </w:rPr>
        <w:t> </w:t>
      </w:r>
      <w:r>
        <w:rPr>
          <w:color w:val="231F20"/>
          <w:w w:val="105"/>
        </w:rPr>
        <w:t>aglutinado</w:t>
      </w:r>
      <w:r>
        <w:rPr>
          <w:color w:val="231F20"/>
          <w:spacing w:val="-22"/>
          <w:w w:val="105"/>
        </w:rPr>
        <w:t> </w:t>
      </w:r>
      <w:r>
        <w:rPr>
          <w:color w:val="231F20"/>
          <w:w w:val="105"/>
        </w:rPr>
        <w:t>la</w:t>
      </w:r>
      <w:r>
        <w:rPr>
          <w:color w:val="231F20"/>
          <w:spacing w:val="-22"/>
          <w:w w:val="105"/>
        </w:rPr>
        <w:t> </w:t>
      </w:r>
      <w:r>
        <w:rPr>
          <w:color w:val="231F20"/>
          <w:w w:val="105"/>
        </w:rPr>
        <w:t>competitividad electoral. Como se trata de un electorado pequeño en número, los triunfos se logran cuando el partido alcanza una cifra alrededor de los tres </w:t>
      </w:r>
      <w:r>
        <w:rPr>
          <w:color w:val="231F20"/>
          <w:spacing w:val="2"/>
          <w:w w:val="105"/>
        </w:rPr>
        <w:t>mil </w:t>
      </w:r>
      <w:r>
        <w:rPr>
          <w:color w:val="231F20"/>
          <w:w w:val="105"/>
        </w:rPr>
        <w:t>votos. El caso en estudio, el</w:t>
      </w:r>
      <w:r>
        <w:rPr>
          <w:color w:val="231F20"/>
          <w:spacing w:val="-21"/>
          <w:w w:val="105"/>
        </w:rPr>
        <w:t> </w:t>
      </w:r>
      <w:r>
        <w:rPr>
          <w:color w:val="231F20"/>
          <w:spacing w:val="-4"/>
          <w:w w:val="105"/>
        </w:rPr>
        <w:t>PAN</w:t>
      </w:r>
      <w:r>
        <w:rPr>
          <w:color w:val="231F20"/>
          <w:spacing w:val="-21"/>
          <w:w w:val="105"/>
        </w:rPr>
        <w:t> </w:t>
      </w:r>
      <w:r>
        <w:rPr>
          <w:color w:val="231F20"/>
          <w:w w:val="105"/>
        </w:rPr>
        <w:t>alcanzó</w:t>
      </w:r>
      <w:r>
        <w:rPr>
          <w:color w:val="231F20"/>
          <w:spacing w:val="-21"/>
          <w:w w:val="105"/>
        </w:rPr>
        <w:t> </w:t>
      </w:r>
      <w:r>
        <w:rPr>
          <w:color w:val="231F20"/>
          <w:spacing w:val="-3"/>
          <w:w w:val="105"/>
        </w:rPr>
        <w:t>3786</w:t>
      </w:r>
      <w:r>
        <w:rPr>
          <w:color w:val="231F20"/>
          <w:spacing w:val="-21"/>
          <w:w w:val="105"/>
        </w:rPr>
        <w:t> </w:t>
      </w:r>
      <w:r>
        <w:rPr>
          <w:color w:val="231F20"/>
          <w:w w:val="105"/>
        </w:rPr>
        <w:t>sufragios,</w:t>
      </w:r>
      <w:r>
        <w:rPr>
          <w:color w:val="231F20"/>
          <w:spacing w:val="-21"/>
          <w:w w:val="105"/>
        </w:rPr>
        <w:t> </w:t>
      </w:r>
      <w:r>
        <w:rPr>
          <w:color w:val="231F20"/>
          <w:w w:val="105"/>
        </w:rPr>
        <w:t>mientras</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PRI</w:t>
      </w:r>
      <w:r>
        <w:rPr>
          <w:color w:val="231F20"/>
          <w:spacing w:val="-21"/>
          <w:w w:val="105"/>
        </w:rPr>
        <w:t> </w:t>
      </w:r>
      <w:r>
        <w:rPr>
          <w:color w:val="231F20"/>
          <w:spacing w:val="-5"/>
          <w:w w:val="105"/>
        </w:rPr>
        <w:t>1785</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PRD</w:t>
      </w:r>
      <w:r>
        <w:rPr>
          <w:color w:val="231F20"/>
          <w:spacing w:val="-21"/>
          <w:w w:val="105"/>
        </w:rPr>
        <w:t> </w:t>
      </w:r>
      <w:r>
        <w:rPr>
          <w:color w:val="231F20"/>
          <w:spacing w:val="-3"/>
          <w:w w:val="105"/>
        </w:rPr>
        <w:t>1575</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resto</w:t>
      </w:r>
      <w:r>
        <w:rPr>
          <w:color w:val="231F20"/>
          <w:spacing w:val="-21"/>
          <w:w w:val="105"/>
        </w:rPr>
        <w:t> </w:t>
      </w:r>
      <w:r>
        <w:rPr>
          <w:color w:val="231F20"/>
          <w:w w:val="105"/>
        </w:rPr>
        <w:t>menos de estos</w:t>
      </w:r>
      <w:r>
        <w:rPr>
          <w:color w:val="231F20"/>
          <w:spacing w:val="-42"/>
          <w:w w:val="105"/>
        </w:rPr>
        <w:t> </w:t>
      </w:r>
      <w:r>
        <w:rPr>
          <w:color w:val="231F20"/>
          <w:w w:val="105"/>
        </w:rPr>
        <w:t>votos.</w:t>
      </w:r>
    </w:p>
    <w:p>
      <w:pPr>
        <w:pStyle w:val="BodyText"/>
        <w:spacing w:before="1"/>
        <w:rPr>
          <w:sz w:val="26"/>
        </w:rPr>
      </w:pPr>
    </w:p>
    <w:p>
      <w:pPr>
        <w:pStyle w:val="BodyText"/>
        <w:spacing w:line="285" w:lineRule="auto"/>
        <w:ind w:left="110" w:right="107"/>
        <w:jc w:val="both"/>
      </w:pPr>
      <w:r>
        <w:rPr>
          <w:color w:val="231F20"/>
          <w:spacing w:val="-3"/>
          <w:w w:val="105"/>
        </w:rPr>
        <w:t>Uno </w:t>
      </w:r>
      <w:r>
        <w:rPr>
          <w:color w:val="231F20"/>
          <w:w w:val="105"/>
        </w:rPr>
        <w:t>de los factores que también influyen para el triunfo electoral es la composición territorial que represente la planilla para el Ayuntamiento; en la de análisis, de los 12 integrantes</w:t>
      </w:r>
      <w:r>
        <w:rPr>
          <w:color w:val="231F20"/>
          <w:spacing w:val="-14"/>
          <w:w w:val="105"/>
        </w:rPr>
        <w:t> </w:t>
      </w:r>
      <w:r>
        <w:rPr>
          <w:color w:val="231F20"/>
          <w:w w:val="105"/>
        </w:rPr>
        <w:t>del</w:t>
      </w:r>
      <w:r>
        <w:rPr>
          <w:color w:val="231F20"/>
          <w:spacing w:val="-14"/>
          <w:w w:val="105"/>
        </w:rPr>
        <w:t> </w:t>
      </w:r>
      <w:r>
        <w:rPr>
          <w:color w:val="231F20"/>
          <w:w w:val="105"/>
        </w:rPr>
        <w:t>ayuntamiento</w:t>
      </w:r>
      <w:r>
        <w:rPr>
          <w:color w:val="231F20"/>
          <w:spacing w:val="-14"/>
          <w:w w:val="105"/>
        </w:rPr>
        <w:t> </w:t>
      </w:r>
      <w:r>
        <w:rPr>
          <w:color w:val="231F20"/>
          <w:w w:val="105"/>
        </w:rPr>
        <w:t>el</w:t>
      </w:r>
      <w:r>
        <w:rPr>
          <w:color w:val="231F20"/>
          <w:spacing w:val="-14"/>
          <w:w w:val="105"/>
        </w:rPr>
        <w:t> </w:t>
      </w:r>
      <w:r>
        <w:rPr>
          <w:color w:val="231F20"/>
          <w:w w:val="105"/>
        </w:rPr>
        <w:t>33.33%</w:t>
      </w:r>
      <w:r>
        <w:rPr>
          <w:color w:val="231F20"/>
          <w:spacing w:val="-14"/>
          <w:w w:val="105"/>
        </w:rPr>
        <w:t> </w:t>
      </w:r>
      <w:r>
        <w:rPr>
          <w:color w:val="231F20"/>
          <w:spacing w:val="2"/>
          <w:w w:val="105"/>
        </w:rPr>
        <w:t>vivían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cabecera</w:t>
      </w:r>
      <w:r>
        <w:rPr>
          <w:color w:val="231F20"/>
          <w:spacing w:val="-14"/>
          <w:w w:val="105"/>
        </w:rPr>
        <w:t> </w:t>
      </w:r>
      <w:r>
        <w:rPr>
          <w:color w:val="231F20"/>
          <w:w w:val="105"/>
        </w:rPr>
        <w:t>municipal</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demás</w:t>
      </w:r>
      <w:r>
        <w:rPr>
          <w:color w:val="231F20"/>
          <w:spacing w:val="-14"/>
          <w:w w:val="105"/>
        </w:rPr>
        <w:t> </w:t>
      </w:r>
      <w:r>
        <w:rPr>
          <w:color w:val="231F20"/>
          <w:w w:val="105"/>
        </w:rPr>
        <w:t>en las</w:t>
      </w:r>
      <w:r>
        <w:rPr>
          <w:color w:val="231F20"/>
          <w:spacing w:val="-25"/>
          <w:w w:val="105"/>
        </w:rPr>
        <w:t> </w:t>
      </w:r>
      <w:r>
        <w:rPr>
          <w:color w:val="231F20"/>
          <w:w w:val="105"/>
        </w:rPr>
        <w:t>diferentes</w:t>
      </w:r>
      <w:r>
        <w:rPr>
          <w:color w:val="231F20"/>
          <w:spacing w:val="-25"/>
          <w:w w:val="105"/>
        </w:rPr>
        <w:t> </w:t>
      </w:r>
      <w:r>
        <w:rPr>
          <w:color w:val="231F20"/>
          <w:w w:val="105"/>
        </w:rPr>
        <w:t>delegaciones</w:t>
      </w:r>
      <w:r>
        <w:rPr>
          <w:color w:val="231F20"/>
          <w:spacing w:val="-25"/>
          <w:w w:val="105"/>
        </w:rPr>
        <w:t> </w:t>
      </w:r>
      <w:r>
        <w:rPr>
          <w:color w:val="231F20"/>
          <w:w w:val="105"/>
        </w:rPr>
        <w:t>del</w:t>
      </w:r>
      <w:r>
        <w:rPr>
          <w:color w:val="231F20"/>
          <w:spacing w:val="-25"/>
          <w:w w:val="105"/>
        </w:rPr>
        <w:t> </w:t>
      </w:r>
      <w:r>
        <w:rPr>
          <w:color w:val="231F20"/>
          <w:w w:val="105"/>
        </w:rPr>
        <w:t>municipio.</w:t>
      </w:r>
      <w:r>
        <w:rPr>
          <w:color w:val="231F20"/>
          <w:spacing w:val="-25"/>
          <w:w w:val="105"/>
        </w:rPr>
        <w:t> </w:t>
      </w:r>
      <w:r>
        <w:rPr>
          <w:color w:val="231F20"/>
          <w:w w:val="105"/>
        </w:rPr>
        <w:t>Sin</w:t>
      </w:r>
      <w:r>
        <w:rPr>
          <w:color w:val="231F20"/>
          <w:spacing w:val="-25"/>
          <w:w w:val="105"/>
        </w:rPr>
        <w:t> </w:t>
      </w:r>
      <w:r>
        <w:rPr>
          <w:color w:val="231F20"/>
          <w:w w:val="105"/>
        </w:rPr>
        <w:t>embargo,</w:t>
      </w:r>
      <w:r>
        <w:rPr>
          <w:color w:val="231F20"/>
          <w:spacing w:val="-25"/>
          <w:w w:val="105"/>
        </w:rPr>
        <w:t> </w:t>
      </w:r>
      <w:r>
        <w:rPr>
          <w:color w:val="231F20"/>
          <w:w w:val="105"/>
        </w:rPr>
        <w:t>esto</w:t>
      </w:r>
      <w:r>
        <w:rPr>
          <w:color w:val="231F20"/>
          <w:spacing w:val="-25"/>
          <w:w w:val="105"/>
        </w:rPr>
        <w:t> </w:t>
      </w:r>
      <w:r>
        <w:rPr>
          <w:color w:val="231F20"/>
          <w:w w:val="105"/>
        </w:rPr>
        <w:t>dificultaba</w:t>
      </w:r>
      <w:r>
        <w:rPr>
          <w:color w:val="231F20"/>
          <w:spacing w:val="-25"/>
          <w:w w:val="105"/>
        </w:rPr>
        <w:t> </w:t>
      </w:r>
      <w:r>
        <w:rPr>
          <w:color w:val="231F20"/>
          <w:w w:val="105"/>
        </w:rPr>
        <w:t>la</w:t>
      </w:r>
      <w:r>
        <w:rPr>
          <w:color w:val="231F20"/>
          <w:spacing w:val="-25"/>
          <w:w w:val="105"/>
        </w:rPr>
        <w:t> </w:t>
      </w:r>
      <w:r>
        <w:rPr>
          <w:color w:val="231F20"/>
          <w:w w:val="105"/>
        </w:rPr>
        <w:t>asignación</w:t>
      </w:r>
      <w:r>
        <w:rPr>
          <w:color w:val="231F20"/>
          <w:spacing w:val="-25"/>
          <w:w w:val="105"/>
        </w:rPr>
        <w:t> </w:t>
      </w:r>
      <w:r>
        <w:rPr>
          <w:color w:val="231F20"/>
          <w:w w:val="105"/>
        </w:rPr>
        <w:t>de recursos</w:t>
      </w:r>
      <w:r>
        <w:rPr>
          <w:color w:val="231F20"/>
          <w:spacing w:val="-11"/>
          <w:w w:val="105"/>
        </w:rPr>
        <w:t> </w:t>
      </w:r>
      <w:r>
        <w:rPr>
          <w:color w:val="231F20"/>
          <w:w w:val="105"/>
        </w:rPr>
        <w:t>y</w:t>
      </w:r>
      <w:r>
        <w:rPr>
          <w:color w:val="231F20"/>
          <w:spacing w:val="-11"/>
          <w:w w:val="105"/>
        </w:rPr>
        <w:t> </w:t>
      </w:r>
      <w:r>
        <w:rPr>
          <w:color w:val="231F20"/>
          <w:w w:val="105"/>
        </w:rPr>
        <w:t>obras</w:t>
      </w:r>
      <w:r>
        <w:rPr>
          <w:color w:val="231F20"/>
          <w:spacing w:val="-11"/>
          <w:w w:val="105"/>
        </w:rPr>
        <w:t> </w:t>
      </w:r>
      <w:r>
        <w:rPr>
          <w:color w:val="231F20"/>
          <w:w w:val="105"/>
        </w:rPr>
        <w:t>pues</w:t>
      </w:r>
      <w:r>
        <w:rPr>
          <w:color w:val="231F20"/>
          <w:spacing w:val="-11"/>
          <w:w w:val="105"/>
        </w:rPr>
        <w:t> </w:t>
      </w:r>
      <w:r>
        <w:rPr>
          <w:color w:val="231F20"/>
          <w:w w:val="105"/>
        </w:rPr>
        <w:t>cada</w:t>
      </w:r>
      <w:r>
        <w:rPr>
          <w:color w:val="231F20"/>
          <w:spacing w:val="-11"/>
          <w:w w:val="105"/>
        </w:rPr>
        <w:t> </w:t>
      </w:r>
      <w:r>
        <w:rPr>
          <w:color w:val="231F20"/>
          <w:w w:val="105"/>
        </w:rPr>
        <w:t>uno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integrantes</w:t>
      </w:r>
      <w:r>
        <w:rPr>
          <w:color w:val="231F20"/>
          <w:spacing w:val="-11"/>
          <w:w w:val="105"/>
        </w:rPr>
        <w:t> </w:t>
      </w:r>
      <w:r>
        <w:rPr>
          <w:color w:val="231F20"/>
          <w:w w:val="105"/>
        </w:rPr>
        <w:t>del</w:t>
      </w:r>
      <w:r>
        <w:rPr>
          <w:color w:val="231F20"/>
          <w:spacing w:val="-11"/>
          <w:w w:val="105"/>
        </w:rPr>
        <w:t> </w:t>
      </w:r>
      <w:r>
        <w:rPr>
          <w:color w:val="231F20"/>
          <w:w w:val="105"/>
        </w:rPr>
        <w:t>cabildo</w:t>
      </w:r>
      <w:r>
        <w:rPr>
          <w:color w:val="231F20"/>
          <w:spacing w:val="-11"/>
          <w:w w:val="105"/>
        </w:rPr>
        <w:t> </w:t>
      </w:r>
      <w:r>
        <w:rPr>
          <w:color w:val="231F20"/>
          <w:w w:val="105"/>
        </w:rPr>
        <w:t>busca</w:t>
      </w:r>
      <w:r>
        <w:rPr>
          <w:color w:val="231F20"/>
          <w:spacing w:val="-11"/>
          <w:w w:val="105"/>
        </w:rPr>
        <w:t> </w:t>
      </w:r>
      <w:r>
        <w:rPr>
          <w:color w:val="231F20"/>
          <w:w w:val="105"/>
        </w:rPr>
        <w:t>el</w:t>
      </w:r>
      <w:r>
        <w:rPr>
          <w:color w:val="231F20"/>
          <w:spacing w:val="-11"/>
          <w:w w:val="105"/>
        </w:rPr>
        <w:t> </w:t>
      </w:r>
      <w:r>
        <w:rPr>
          <w:color w:val="231F20"/>
          <w:w w:val="105"/>
        </w:rPr>
        <w:t>beneficio</w:t>
      </w:r>
      <w:r>
        <w:rPr>
          <w:color w:val="231F20"/>
          <w:spacing w:val="-11"/>
          <w:w w:val="105"/>
        </w:rPr>
        <w:t> </w:t>
      </w:r>
      <w:r>
        <w:rPr>
          <w:color w:val="231F20"/>
          <w:w w:val="105"/>
        </w:rPr>
        <w:t>para</w:t>
      </w:r>
      <w:r>
        <w:rPr>
          <w:color w:val="231F20"/>
          <w:spacing w:val="-11"/>
          <w:w w:val="105"/>
        </w:rPr>
        <w:t> </w:t>
      </w:r>
      <w:r>
        <w:rPr>
          <w:color w:val="231F20"/>
          <w:w w:val="105"/>
        </w:rPr>
        <w:t>su</w:t>
      </w:r>
    </w:p>
    <w:p>
      <w:pPr>
        <w:spacing w:after="0" w:line="285" w:lineRule="auto"/>
        <w:jc w:val="both"/>
        <w:sectPr>
          <w:pgSz w:w="9640" w:h="12190"/>
          <w:pgMar w:header="0" w:footer="743" w:top="1120" w:bottom="940" w:left="740" w:right="740"/>
        </w:sectPr>
      </w:pPr>
    </w:p>
    <w:p>
      <w:pPr>
        <w:pStyle w:val="BodyText"/>
        <w:rPr>
          <w:sz w:val="10"/>
        </w:rPr>
      </w:pPr>
    </w:p>
    <w:p>
      <w:pPr>
        <w:pStyle w:val="BodyText"/>
        <w:spacing w:line="285" w:lineRule="auto" w:before="50"/>
        <w:ind w:left="110" w:right="109" w:hanging="1"/>
        <w:jc w:val="both"/>
      </w:pPr>
      <w:r>
        <w:rPr>
          <w:color w:val="231F20"/>
        </w:rPr>
        <w:t>comunidad.</w:t>
      </w:r>
      <w:r>
        <w:rPr>
          <w:color w:val="231F20"/>
          <w:position w:val="7"/>
          <w:sz w:val="13"/>
        </w:rPr>
        <w:t>3  </w:t>
      </w:r>
      <w:r>
        <w:rPr>
          <w:color w:val="231F20"/>
        </w:rPr>
        <w:t>En cuanto a preparación académica únicamente el 25% de los miembros   del cuerpo edilicio tenían estudios  </w:t>
      </w:r>
      <w:r>
        <w:rPr>
          <w:color w:val="231F20"/>
          <w:spacing w:val="28"/>
        </w:rPr>
        <w:t> </w:t>
      </w:r>
      <w:r>
        <w:rPr>
          <w:color w:val="231F20"/>
        </w:rPr>
        <w:t>profesionales.</w:t>
      </w:r>
    </w:p>
    <w:p>
      <w:pPr>
        <w:pStyle w:val="BodyText"/>
        <w:spacing w:before="1"/>
        <w:rPr>
          <w:sz w:val="26"/>
        </w:rPr>
      </w:pPr>
    </w:p>
    <w:p>
      <w:pPr>
        <w:pStyle w:val="BodyText"/>
        <w:spacing w:line="285" w:lineRule="auto"/>
        <w:ind w:left="110" w:right="107"/>
        <w:jc w:val="both"/>
      </w:pPr>
      <w:r>
        <w:rPr>
          <w:color w:val="231F20"/>
          <w:w w:val="105"/>
        </w:rPr>
        <w:t>Había</w:t>
      </w:r>
      <w:r>
        <w:rPr>
          <w:color w:val="231F20"/>
          <w:spacing w:val="-18"/>
          <w:w w:val="105"/>
        </w:rPr>
        <w:t> </w:t>
      </w:r>
      <w:r>
        <w:rPr>
          <w:color w:val="231F20"/>
          <w:w w:val="105"/>
        </w:rPr>
        <w:t>registrados</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fecha</w:t>
      </w:r>
      <w:r>
        <w:rPr>
          <w:color w:val="231F20"/>
          <w:spacing w:val="-18"/>
          <w:w w:val="105"/>
        </w:rPr>
        <w:t> </w:t>
      </w:r>
      <w:r>
        <w:rPr>
          <w:color w:val="231F20"/>
          <w:w w:val="105"/>
        </w:rPr>
        <w:t>de</w:t>
      </w:r>
      <w:r>
        <w:rPr>
          <w:color w:val="231F20"/>
          <w:spacing w:val="-18"/>
          <w:w w:val="105"/>
        </w:rPr>
        <w:t> </w:t>
      </w:r>
      <w:r>
        <w:rPr>
          <w:color w:val="231F20"/>
          <w:w w:val="105"/>
        </w:rPr>
        <w:t>estudio</w:t>
      </w:r>
      <w:r>
        <w:rPr>
          <w:color w:val="231F20"/>
          <w:spacing w:val="-18"/>
          <w:w w:val="105"/>
        </w:rPr>
        <w:t> </w:t>
      </w:r>
      <w:r>
        <w:rPr>
          <w:color w:val="231F20"/>
          <w:w w:val="105"/>
        </w:rPr>
        <w:t>158</w:t>
      </w:r>
      <w:r>
        <w:rPr>
          <w:color w:val="231F20"/>
          <w:spacing w:val="-18"/>
          <w:w w:val="105"/>
        </w:rPr>
        <w:t> </w:t>
      </w:r>
      <w:r>
        <w:rPr>
          <w:color w:val="231F20"/>
          <w:w w:val="105"/>
        </w:rPr>
        <w:t>trabajadores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administración</w:t>
      </w:r>
      <w:r>
        <w:rPr>
          <w:color w:val="231F20"/>
          <w:spacing w:val="-18"/>
          <w:w w:val="105"/>
        </w:rPr>
        <w:t> </w:t>
      </w:r>
      <w:r>
        <w:rPr>
          <w:color w:val="231F20"/>
          <w:w w:val="105"/>
        </w:rPr>
        <w:t>pública municipal.</w:t>
      </w:r>
      <w:r>
        <w:rPr>
          <w:color w:val="231F20"/>
          <w:spacing w:val="-9"/>
          <w:w w:val="105"/>
        </w:rPr>
        <w:t> </w:t>
      </w:r>
      <w:r>
        <w:rPr>
          <w:color w:val="231F20"/>
          <w:w w:val="105"/>
        </w:rPr>
        <w:t>La</w:t>
      </w:r>
      <w:r>
        <w:rPr>
          <w:color w:val="231F20"/>
          <w:spacing w:val="-9"/>
          <w:w w:val="105"/>
        </w:rPr>
        <w:t> </w:t>
      </w:r>
      <w:r>
        <w:rPr>
          <w:color w:val="231F20"/>
          <w:w w:val="105"/>
        </w:rPr>
        <w:t>mayoría</w:t>
      </w:r>
      <w:r>
        <w:rPr>
          <w:color w:val="231F20"/>
          <w:spacing w:val="-9"/>
          <w:w w:val="105"/>
        </w:rPr>
        <w:t> </w:t>
      </w:r>
      <w:r>
        <w:rPr>
          <w:color w:val="231F20"/>
          <w:w w:val="105"/>
        </w:rPr>
        <w:t>tenía</w:t>
      </w:r>
      <w:r>
        <w:rPr>
          <w:color w:val="231F20"/>
          <w:spacing w:val="-9"/>
          <w:w w:val="105"/>
        </w:rPr>
        <w:t> </w:t>
      </w:r>
      <w:r>
        <w:rPr>
          <w:color w:val="231F20"/>
          <w:w w:val="105"/>
        </w:rPr>
        <w:t>inclinación</w:t>
      </w:r>
      <w:r>
        <w:rPr>
          <w:color w:val="231F20"/>
          <w:spacing w:val="-9"/>
          <w:w w:val="105"/>
        </w:rPr>
        <w:t> </w:t>
      </w:r>
      <w:r>
        <w:rPr>
          <w:color w:val="231F20"/>
          <w:w w:val="105"/>
        </w:rPr>
        <w:t>de</w:t>
      </w:r>
      <w:r>
        <w:rPr>
          <w:color w:val="231F20"/>
          <w:spacing w:val="-9"/>
          <w:w w:val="105"/>
        </w:rPr>
        <w:t> </w:t>
      </w:r>
      <w:r>
        <w:rPr>
          <w:color w:val="231F20"/>
          <w:w w:val="105"/>
        </w:rPr>
        <w:t>filiación</w:t>
      </w:r>
      <w:r>
        <w:rPr>
          <w:color w:val="231F20"/>
          <w:spacing w:val="-9"/>
          <w:w w:val="105"/>
        </w:rPr>
        <w:t> </w:t>
      </w:r>
      <w:r>
        <w:rPr>
          <w:color w:val="231F20"/>
          <w:w w:val="105"/>
        </w:rPr>
        <w:t>partidista</w:t>
      </w:r>
      <w:r>
        <w:rPr>
          <w:color w:val="231F20"/>
          <w:spacing w:val="-9"/>
          <w:w w:val="105"/>
        </w:rPr>
        <w:t> </w:t>
      </w:r>
      <w:r>
        <w:rPr>
          <w:color w:val="231F20"/>
          <w:w w:val="105"/>
        </w:rPr>
        <w:t>hacia</w:t>
      </w:r>
      <w:r>
        <w:rPr>
          <w:color w:val="231F20"/>
          <w:spacing w:val="-9"/>
          <w:w w:val="105"/>
        </w:rPr>
        <w:t> </w:t>
      </w:r>
      <w:r>
        <w:rPr>
          <w:color w:val="231F20"/>
          <w:w w:val="105"/>
        </w:rPr>
        <w:t>el</w:t>
      </w:r>
      <w:r>
        <w:rPr>
          <w:color w:val="231F20"/>
          <w:spacing w:val="-9"/>
          <w:w w:val="105"/>
        </w:rPr>
        <w:t> </w:t>
      </w:r>
      <w:r>
        <w:rPr>
          <w:color w:val="231F20"/>
          <w:w w:val="105"/>
        </w:rPr>
        <w:t>PRI.</w:t>
      </w:r>
      <w:r>
        <w:rPr>
          <w:color w:val="231F20"/>
          <w:spacing w:val="-9"/>
          <w:w w:val="105"/>
        </w:rPr>
        <w:t> </w:t>
      </w:r>
      <w:r>
        <w:rPr>
          <w:color w:val="231F20"/>
          <w:w w:val="105"/>
        </w:rPr>
        <w:t>Este</w:t>
      </w:r>
      <w:r>
        <w:rPr>
          <w:color w:val="231F20"/>
          <w:spacing w:val="-9"/>
          <w:w w:val="105"/>
        </w:rPr>
        <w:t> </w:t>
      </w:r>
      <w:r>
        <w:rPr>
          <w:color w:val="231F20"/>
          <w:w w:val="105"/>
        </w:rPr>
        <w:t>factor que</w:t>
      </w:r>
      <w:r>
        <w:rPr>
          <w:color w:val="231F20"/>
          <w:spacing w:val="-13"/>
          <w:w w:val="105"/>
        </w:rPr>
        <w:t> </w:t>
      </w:r>
      <w:r>
        <w:rPr>
          <w:color w:val="231F20"/>
          <w:w w:val="105"/>
        </w:rPr>
        <w:t>puede</w:t>
      </w:r>
      <w:r>
        <w:rPr>
          <w:color w:val="231F20"/>
          <w:spacing w:val="-13"/>
          <w:w w:val="105"/>
        </w:rPr>
        <w:t> </w:t>
      </w:r>
      <w:r>
        <w:rPr>
          <w:color w:val="231F20"/>
          <w:w w:val="105"/>
        </w:rPr>
        <w:t>deberse</w:t>
      </w:r>
      <w:r>
        <w:rPr>
          <w:color w:val="231F20"/>
          <w:spacing w:val="-13"/>
          <w:w w:val="105"/>
        </w:rPr>
        <w:t> </w:t>
      </w:r>
      <w:r>
        <w:rPr>
          <w:color w:val="231F20"/>
          <w:w w:val="105"/>
        </w:rPr>
        <w:t>a</w:t>
      </w:r>
      <w:r>
        <w:rPr>
          <w:color w:val="231F20"/>
          <w:spacing w:val="-13"/>
          <w:w w:val="105"/>
        </w:rPr>
        <w:t> </w:t>
      </w:r>
      <w:r>
        <w:rPr>
          <w:color w:val="231F20"/>
          <w:w w:val="105"/>
        </w:rPr>
        <w:t>puestos</w:t>
      </w:r>
      <w:r>
        <w:rPr>
          <w:color w:val="231F20"/>
          <w:spacing w:val="-13"/>
          <w:w w:val="105"/>
        </w:rPr>
        <w:t> </w:t>
      </w:r>
      <w:r>
        <w:rPr>
          <w:color w:val="231F20"/>
          <w:w w:val="105"/>
        </w:rPr>
        <w:t>asignados</w:t>
      </w:r>
      <w:r>
        <w:rPr>
          <w:color w:val="231F20"/>
          <w:spacing w:val="-13"/>
          <w:w w:val="105"/>
        </w:rPr>
        <w:t> </w:t>
      </w:r>
      <w:r>
        <w:rPr>
          <w:color w:val="231F20"/>
          <w:w w:val="105"/>
        </w:rPr>
        <w:t>pro</w:t>
      </w:r>
      <w:r>
        <w:rPr>
          <w:color w:val="231F20"/>
          <w:spacing w:val="-13"/>
          <w:w w:val="105"/>
        </w:rPr>
        <w:t> </w:t>
      </w:r>
      <w:r>
        <w:rPr>
          <w:color w:val="231F20"/>
          <w:w w:val="105"/>
        </w:rPr>
        <w:t>compromisos</w:t>
      </w:r>
      <w:r>
        <w:rPr>
          <w:color w:val="231F20"/>
          <w:spacing w:val="-13"/>
          <w:w w:val="105"/>
        </w:rPr>
        <w:t> </w:t>
      </w:r>
      <w:r>
        <w:rPr>
          <w:color w:val="231F20"/>
          <w:w w:val="105"/>
        </w:rPr>
        <w:t>políticos,</w:t>
      </w:r>
      <w:r>
        <w:rPr>
          <w:color w:val="231F20"/>
          <w:spacing w:val="-13"/>
          <w:w w:val="105"/>
        </w:rPr>
        <w:t> </w:t>
      </w:r>
      <w:r>
        <w:rPr>
          <w:color w:val="231F20"/>
          <w:w w:val="105"/>
        </w:rPr>
        <w:t>por</w:t>
      </w:r>
      <w:r>
        <w:rPr>
          <w:color w:val="231F20"/>
          <w:spacing w:val="-13"/>
          <w:w w:val="105"/>
        </w:rPr>
        <w:t> </w:t>
      </w:r>
      <w:r>
        <w:rPr>
          <w:color w:val="231F20"/>
          <w:w w:val="105"/>
        </w:rPr>
        <w:t>permanencia</w:t>
      </w:r>
      <w:r>
        <w:rPr>
          <w:color w:val="231F20"/>
          <w:spacing w:val="-13"/>
          <w:w w:val="105"/>
        </w:rPr>
        <w:t> </w:t>
      </w:r>
      <w:r>
        <w:rPr>
          <w:color w:val="231F20"/>
          <w:w w:val="105"/>
        </w:rPr>
        <w:t>en las</w:t>
      </w:r>
      <w:r>
        <w:rPr>
          <w:color w:val="231F20"/>
          <w:spacing w:val="-19"/>
          <w:w w:val="105"/>
        </w:rPr>
        <w:t> </w:t>
      </w:r>
      <w:r>
        <w:rPr>
          <w:color w:val="231F20"/>
          <w:w w:val="105"/>
        </w:rPr>
        <w:t>administraciones</w:t>
      </w:r>
      <w:r>
        <w:rPr>
          <w:color w:val="231F20"/>
          <w:spacing w:val="-19"/>
          <w:w w:val="105"/>
        </w:rPr>
        <w:t> </w:t>
      </w:r>
      <w:r>
        <w:rPr>
          <w:color w:val="231F20"/>
          <w:w w:val="105"/>
        </w:rPr>
        <w:t>o</w:t>
      </w:r>
      <w:r>
        <w:rPr>
          <w:color w:val="231F20"/>
          <w:spacing w:val="-19"/>
          <w:w w:val="105"/>
        </w:rPr>
        <w:t> </w:t>
      </w:r>
      <w:r>
        <w:rPr>
          <w:color w:val="231F20"/>
          <w:w w:val="105"/>
        </w:rPr>
        <w:t>por</w:t>
      </w:r>
      <w:r>
        <w:rPr>
          <w:color w:val="231F20"/>
          <w:spacing w:val="19"/>
          <w:w w:val="105"/>
        </w:rPr>
        <w:t> </w:t>
      </w:r>
      <w:r>
        <w:rPr>
          <w:color w:val="231F20"/>
          <w:w w:val="105"/>
        </w:rPr>
        <w:t>no</w:t>
      </w:r>
      <w:r>
        <w:rPr>
          <w:color w:val="231F20"/>
          <w:spacing w:val="-19"/>
          <w:w w:val="105"/>
        </w:rPr>
        <w:t> </w:t>
      </w:r>
      <w:r>
        <w:rPr>
          <w:color w:val="231F20"/>
          <w:w w:val="105"/>
        </w:rPr>
        <w:t>haber</w:t>
      </w:r>
      <w:r>
        <w:rPr>
          <w:color w:val="231F20"/>
          <w:spacing w:val="-19"/>
          <w:w w:val="105"/>
        </w:rPr>
        <w:t> </w:t>
      </w:r>
      <w:r>
        <w:rPr>
          <w:color w:val="231F20"/>
          <w:w w:val="105"/>
        </w:rPr>
        <w:t>perfiles</w:t>
      </w:r>
      <w:r>
        <w:rPr>
          <w:color w:val="231F20"/>
          <w:spacing w:val="-19"/>
          <w:w w:val="105"/>
        </w:rPr>
        <w:t> </w:t>
      </w:r>
      <w:r>
        <w:rPr>
          <w:color w:val="231F20"/>
          <w:w w:val="105"/>
        </w:rPr>
        <w:t>idóneos</w:t>
      </w:r>
      <w:r>
        <w:rPr>
          <w:color w:val="231F20"/>
          <w:spacing w:val="-19"/>
          <w:w w:val="105"/>
        </w:rPr>
        <w:t> </w:t>
      </w:r>
      <w:r>
        <w:rPr>
          <w:color w:val="231F20"/>
          <w:w w:val="105"/>
        </w:rPr>
        <w:t>suficientes,</w:t>
      </w:r>
      <w:r>
        <w:rPr>
          <w:color w:val="231F20"/>
          <w:spacing w:val="-19"/>
          <w:w w:val="105"/>
        </w:rPr>
        <w:t> </w:t>
      </w:r>
      <w:r>
        <w:rPr>
          <w:color w:val="231F20"/>
          <w:w w:val="105"/>
        </w:rPr>
        <w:t>influye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operación de</w:t>
      </w:r>
      <w:r>
        <w:rPr>
          <w:color w:val="231F20"/>
          <w:spacing w:val="-14"/>
          <w:w w:val="105"/>
        </w:rPr>
        <w:t> </w:t>
      </w:r>
      <w:r>
        <w:rPr>
          <w:color w:val="231F20"/>
          <w:w w:val="105"/>
        </w:rPr>
        <w:t>un</w:t>
      </w:r>
      <w:r>
        <w:rPr>
          <w:color w:val="231F20"/>
          <w:spacing w:val="-14"/>
          <w:w w:val="105"/>
        </w:rPr>
        <w:t> </w:t>
      </w:r>
      <w:r>
        <w:rPr>
          <w:color w:val="231F20"/>
          <w:w w:val="105"/>
        </w:rPr>
        <w:t>gobierno,</w:t>
      </w:r>
      <w:r>
        <w:rPr>
          <w:color w:val="231F20"/>
          <w:spacing w:val="-14"/>
          <w:w w:val="105"/>
        </w:rPr>
        <w:t> </w:t>
      </w:r>
      <w:r>
        <w:rPr>
          <w:color w:val="231F20"/>
          <w:w w:val="105"/>
        </w:rPr>
        <w:t>dado</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encuentra</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instrumentación</w:t>
      </w:r>
      <w:r>
        <w:rPr>
          <w:color w:val="231F20"/>
          <w:spacing w:val="-14"/>
          <w:w w:val="105"/>
        </w:rPr>
        <w:t> </w:t>
      </w:r>
      <w:r>
        <w:rPr>
          <w:color w:val="231F20"/>
          <w:w w:val="105"/>
        </w:rPr>
        <w:t>de</w:t>
      </w:r>
      <w:r>
        <w:rPr>
          <w:color w:val="231F20"/>
          <w:spacing w:val="-14"/>
          <w:w w:val="105"/>
        </w:rPr>
        <w:t> </w:t>
      </w:r>
      <w:r>
        <w:rPr>
          <w:color w:val="231F20"/>
          <w:w w:val="105"/>
        </w:rPr>
        <w:t>políticas</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choque de</w:t>
      </w:r>
      <w:r>
        <w:rPr>
          <w:color w:val="231F20"/>
          <w:spacing w:val="-12"/>
          <w:w w:val="105"/>
        </w:rPr>
        <w:t> </w:t>
      </w:r>
      <w:r>
        <w:rPr>
          <w:color w:val="231F20"/>
          <w:w w:val="105"/>
        </w:rPr>
        <w:t>intereses</w:t>
      </w:r>
      <w:r>
        <w:rPr>
          <w:color w:val="231F20"/>
          <w:spacing w:val="-12"/>
          <w:w w:val="105"/>
        </w:rPr>
        <w:t> </w:t>
      </w:r>
      <w:r>
        <w:rPr>
          <w:color w:val="231F20"/>
          <w:w w:val="105"/>
        </w:rPr>
        <w:t>de</w:t>
      </w:r>
      <w:r>
        <w:rPr>
          <w:color w:val="231F20"/>
          <w:spacing w:val="-12"/>
          <w:w w:val="105"/>
        </w:rPr>
        <w:t> </w:t>
      </w:r>
      <w:r>
        <w:rPr>
          <w:color w:val="231F20"/>
          <w:w w:val="105"/>
        </w:rPr>
        <w:t>grupo,</w:t>
      </w:r>
      <w:r>
        <w:rPr>
          <w:color w:val="231F20"/>
          <w:spacing w:val="-12"/>
          <w:w w:val="105"/>
        </w:rPr>
        <w:t> </w:t>
      </w:r>
      <w:r>
        <w:rPr>
          <w:color w:val="231F20"/>
          <w:w w:val="105"/>
        </w:rPr>
        <w:t>partidistas</w:t>
      </w:r>
      <w:r>
        <w:rPr>
          <w:color w:val="231F20"/>
          <w:spacing w:val="-12"/>
          <w:w w:val="105"/>
        </w:rPr>
        <w:t> </w:t>
      </w:r>
      <w:r>
        <w:rPr>
          <w:color w:val="231F20"/>
          <w:w w:val="105"/>
        </w:rPr>
        <w:t>e</w:t>
      </w:r>
      <w:r>
        <w:rPr>
          <w:color w:val="231F20"/>
          <w:spacing w:val="-12"/>
          <w:w w:val="105"/>
        </w:rPr>
        <w:t> </w:t>
      </w:r>
      <w:r>
        <w:rPr>
          <w:color w:val="231F20"/>
          <w:w w:val="105"/>
        </w:rPr>
        <w:t>inclusive</w:t>
      </w:r>
      <w:r>
        <w:rPr>
          <w:color w:val="231F20"/>
          <w:spacing w:val="-12"/>
          <w:w w:val="105"/>
        </w:rPr>
        <w:t> </w:t>
      </w:r>
      <w:r>
        <w:rPr>
          <w:color w:val="231F20"/>
          <w:w w:val="105"/>
        </w:rPr>
        <w:t>personales.</w:t>
      </w:r>
    </w:p>
    <w:p>
      <w:pPr>
        <w:pStyle w:val="BodyText"/>
        <w:spacing w:line="285" w:lineRule="auto" w:before="1"/>
        <w:ind w:left="677" w:right="109"/>
        <w:jc w:val="both"/>
      </w:pPr>
      <w:r>
        <w:rPr>
          <w:color w:val="231F20"/>
          <w:spacing w:val="-3"/>
          <w:w w:val="105"/>
        </w:rPr>
        <w:t>…de</w:t>
      </w:r>
      <w:r>
        <w:rPr>
          <w:color w:val="231F20"/>
          <w:spacing w:val="-29"/>
          <w:w w:val="105"/>
        </w:rPr>
        <w:t> </w:t>
      </w:r>
      <w:r>
        <w:rPr>
          <w:color w:val="231F20"/>
          <w:w w:val="105"/>
        </w:rPr>
        <w:t>las</w:t>
      </w:r>
      <w:r>
        <w:rPr>
          <w:color w:val="231F20"/>
          <w:spacing w:val="-29"/>
          <w:w w:val="105"/>
        </w:rPr>
        <w:t> </w:t>
      </w:r>
      <w:r>
        <w:rPr>
          <w:color w:val="231F20"/>
          <w:w w:val="105"/>
        </w:rPr>
        <w:t>personas</w:t>
      </w:r>
      <w:r>
        <w:rPr>
          <w:color w:val="231F20"/>
          <w:spacing w:val="-29"/>
          <w:w w:val="105"/>
        </w:rPr>
        <w:t> </w:t>
      </w:r>
      <w:r>
        <w:rPr>
          <w:color w:val="231F20"/>
          <w:w w:val="105"/>
        </w:rPr>
        <w:t>que</w:t>
      </w:r>
      <w:r>
        <w:rPr>
          <w:color w:val="231F20"/>
          <w:spacing w:val="-29"/>
          <w:w w:val="105"/>
        </w:rPr>
        <w:t> </w:t>
      </w:r>
      <w:r>
        <w:rPr>
          <w:color w:val="231F20"/>
          <w:w w:val="105"/>
        </w:rPr>
        <w:t>laboran</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municipio,</w:t>
      </w:r>
      <w:r>
        <w:rPr>
          <w:color w:val="231F20"/>
          <w:spacing w:val="-29"/>
          <w:w w:val="105"/>
        </w:rPr>
        <w:t> </w:t>
      </w:r>
      <w:r>
        <w:rPr>
          <w:color w:val="231F20"/>
          <w:w w:val="105"/>
        </w:rPr>
        <w:t>el</w:t>
      </w:r>
      <w:r>
        <w:rPr>
          <w:color w:val="231F20"/>
          <w:spacing w:val="-29"/>
          <w:w w:val="105"/>
        </w:rPr>
        <w:t> </w:t>
      </w:r>
      <w:r>
        <w:rPr>
          <w:color w:val="231F20"/>
          <w:w w:val="105"/>
        </w:rPr>
        <w:t>70%</w:t>
      </w:r>
      <w:r>
        <w:rPr>
          <w:color w:val="231F20"/>
          <w:spacing w:val="-29"/>
          <w:w w:val="105"/>
        </w:rPr>
        <w:t> </w:t>
      </w:r>
      <w:r>
        <w:rPr>
          <w:color w:val="231F20"/>
          <w:w w:val="105"/>
        </w:rPr>
        <w:t>es</w:t>
      </w:r>
      <w:r>
        <w:rPr>
          <w:color w:val="231F20"/>
          <w:spacing w:val="-29"/>
          <w:w w:val="105"/>
        </w:rPr>
        <w:t> </w:t>
      </w:r>
      <w:r>
        <w:rPr>
          <w:color w:val="231F20"/>
          <w:w w:val="105"/>
        </w:rPr>
        <w:t>de</w:t>
      </w:r>
      <w:r>
        <w:rPr>
          <w:color w:val="231F20"/>
          <w:spacing w:val="-29"/>
          <w:w w:val="105"/>
        </w:rPr>
        <w:t> </w:t>
      </w:r>
      <w:r>
        <w:rPr>
          <w:color w:val="231F20"/>
          <w:w w:val="105"/>
        </w:rPr>
        <w:t>filiación</w:t>
      </w:r>
      <w:r>
        <w:rPr>
          <w:color w:val="231F20"/>
          <w:spacing w:val="-29"/>
          <w:w w:val="105"/>
        </w:rPr>
        <w:t> </w:t>
      </w:r>
      <w:r>
        <w:rPr>
          <w:color w:val="231F20"/>
          <w:w w:val="105"/>
        </w:rPr>
        <w:t>priísta,</w:t>
      </w:r>
      <w:r>
        <w:rPr>
          <w:color w:val="231F20"/>
          <w:spacing w:val="-29"/>
          <w:w w:val="105"/>
        </w:rPr>
        <w:t> </w:t>
      </w:r>
      <w:r>
        <w:rPr>
          <w:color w:val="231F20"/>
          <w:w w:val="105"/>
        </w:rPr>
        <w:t>el</w:t>
      </w:r>
      <w:r>
        <w:rPr>
          <w:color w:val="231F20"/>
          <w:spacing w:val="-29"/>
          <w:w w:val="105"/>
        </w:rPr>
        <w:t> </w:t>
      </w:r>
      <w:r>
        <w:rPr>
          <w:color w:val="231F20"/>
          <w:w w:val="105"/>
        </w:rPr>
        <w:t>20% perredista</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spacing w:val="-3"/>
          <w:w w:val="105"/>
        </w:rPr>
        <w:t>10%</w:t>
      </w:r>
      <w:r>
        <w:rPr>
          <w:color w:val="231F20"/>
          <w:spacing w:val="-21"/>
          <w:w w:val="105"/>
        </w:rPr>
        <w:t> </w:t>
      </w:r>
      <w:r>
        <w:rPr>
          <w:color w:val="231F20"/>
          <w:w w:val="105"/>
        </w:rPr>
        <w:t>de</w:t>
      </w:r>
      <w:r>
        <w:rPr>
          <w:color w:val="231F20"/>
          <w:spacing w:val="-21"/>
          <w:w w:val="105"/>
        </w:rPr>
        <w:t> </w:t>
      </w:r>
      <w:r>
        <w:rPr>
          <w:color w:val="231F20"/>
          <w:w w:val="105"/>
        </w:rPr>
        <w:t>filiación</w:t>
      </w:r>
      <w:r>
        <w:rPr>
          <w:color w:val="231F20"/>
          <w:spacing w:val="-21"/>
          <w:w w:val="105"/>
        </w:rPr>
        <w:t> </w:t>
      </w:r>
      <w:r>
        <w:rPr>
          <w:color w:val="231F20"/>
          <w:w w:val="105"/>
        </w:rPr>
        <w:t>panista</w:t>
      </w:r>
      <w:r>
        <w:rPr>
          <w:color w:val="231F20"/>
          <w:spacing w:val="-21"/>
          <w:w w:val="105"/>
        </w:rPr>
        <w:t> </w:t>
      </w:r>
      <w:r>
        <w:rPr>
          <w:color w:val="231F20"/>
          <w:w w:val="105"/>
        </w:rPr>
        <w:t>(Navarro,</w:t>
      </w:r>
      <w:r>
        <w:rPr>
          <w:color w:val="231F20"/>
          <w:spacing w:val="-21"/>
          <w:w w:val="105"/>
        </w:rPr>
        <w:t> </w:t>
      </w:r>
      <w:r>
        <w:rPr>
          <w:color w:val="231F20"/>
          <w:w w:val="105"/>
        </w:rPr>
        <w:t>2008)</w:t>
      </w:r>
    </w:p>
    <w:p>
      <w:pPr>
        <w:pStyle w:val="BodyText"/>
        <w:spacing w:before="1"/>
        <w:rPr>
          <w:sz w:val="26"/>
        </w:rPr>
      </w:pPr>
    </w:p>
    <w:p>
      <w:pPr>
        <w:pStyle w:val="BodyText"/>
        <w:spacing w:line="285" w:lineRule="auto"/>
        <w:ind w:left="110" w:right="107"/>
        <w:jc w:val="both"/>
      </w:pPr>
      <w:r>
        <w:rPr>
          <w:color w:val="231F20"/>
        </w:rPr>
        <w:t>En cuanto a la situación laboral de los trabajadores, el 8.8% son sindicalizados y para la contratación o recontratación de los restantes se tomó en cuenta su perfil profesional y experiencia para algún cargo administrativo y los compromisos políticos. En las áreas donde tuvo mayor peso la preparación profesional y experiencia, fueron las que el presi- dente  municipal  considera prioritarias.</w:t>
      </w:r>
    </w:p>
    <w:p>
      <w:pPr>
        <w:pStyle w:val="BodyText"/>
        <w:spacing w:line="285" w:lineRule="auto" w:before="1"/>
        <w:ind w:left="677" w:right="107"/>
        <w:jc w:val="both"/>
      </w:pPr>
      <w:r>
        <w:rPr>
          <w:color w:val="231F20"/>
          <w:spacing w:val="-3"/>
          <w:w w:val="105"/>
        </w:rPr>
        <w:t>…de </w:t>
      </w:r>
      <w:r>
        <w:rPr>
          <w:color w:val="231F20"/>
          <w:w w:val="105"/>
        </w:rPr>
        <w:t>acuerdo a los usos y costumbres que se tienen, también por las formas de gobierno</w:t>
      </w:r>
      <w:r>
        <w:rPr>
          <w:color w:val="231F20"/>
          <w:spacing w:val="-20"/>
          <w:w w:val="105"/>
        </w:rPr>
        <w:t> </w:t>
      </w:r>
      <w:r>
        <w:rPr>
          <w:color w:val="231F20"/>
          <w:w w:val="105"/>
        </w:rPr>
        <w:t>que</w:t>
      </w:r>
      <w:r>
        <w:rPr>
          <w:color w:val="231F20"/>
          <w:spacing w:val="-20"/>
          <w:w w:val="105"/>
        </w:rPr>
        <w:t> </w:t>
      </w:r>
      <w:r>
        <w:rPr>
          <w:color w:val="231F20"/>
          <w:w w:val="105"/>
        </w:rPr>
        <w:t>existen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país,</w:t>
      </w:r>
      <w:r>
        <w:rPr>
          <w:color w:val="231F20"/>
          <w:spacing w:val="-20"/>
          <w:w w:val="105"/>
        </w:rPr>
        <w:t> </w:t>
      </w:r>
      <w:r>
        <w:rPr>
          <w:color w:val="231F20"/>
          <w:w w:val="105"/>
        </w:rPr>
        <w:t>comúnmente</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hacemos</w:t>
      </w:r>
      <w:r>
        <w:rPr>
          <w:color w:val="231F20"/>
          <w:spacing w:val="-20"/>
          <w:w w:val="105"/>
        </w:rPr>
        <w:t> </w:t>
      </w:r>
      <w:r>
        <w:rPr>
          <w:color w:val="231F20"/>
          <w:w w:val="105"/>
        </w:rPr>
        <w:t>todos,</w:t>
      </w:r>
      <w:r>
        <w:rPr>
          <w:color w:val="231F20"/>
          <w:spacing w:val="-20"/>
          <w:w w:val="105"/>
        </w:rPr>
        <w:t> </w:t>
      </w:r>
      <w:r>
        <w:rPr>
          <w:color w:val="231F20"/>
          <w:w w:val="105"/>
        </w:rPr>
        <w:t>desde</w:t>
      </w:r>
      <w:r>
        <w:rPr>
          <w:color w:val="231F20"/>
          <w:spacing w:val="-20"/>
          <w:w w:val="105"/>
        </w:rPr>
        <w:t> </w:t>
      </w:r>
      <w:r>
        <w:rPr>
          <w:color w:val="231F20"/>
          <w:w w:val="105"/>
        </w:rPr>
        <w:t>el</w:t>
      </w:r>
      <w:r>
        <w:rPr>
          <w:color w:val="231F20"/>
          <w:spacing w:val="-20"/>
          <w:w w:val="105"/>
        </w:rPr>
        <w:t> </w:t>
      </w:r>
      <w:r>
        <w:rPr>
          <w:color w:val="231F20"/>
          <w:w w:val="105"/>
        </w:rPr>
        <w:t>nivel nacional, es cubrir los espacios con gente que nos apoyó en la campaña… des- afortunadamente en algunas áreas es necesario cubrir perfiles como son obras públicas,</w:t>
      </w:r>
      <w:r>
        <w:rPr>
          <w:color w:val="231F20"/>
          <w:spacing w:val="-24"/>
          <w:w w:val="105"/>
        </w:rPr>
        <w:t> </w:t>
      </w:r>
      <w:r>
        <w:rPr>
          <w:color w:val="231F20"/>
          <w:w w:val="105"/>
        </w:rPr>
        <w:t>tesorería</w:t>
      </w:r>
      <w:r>
        <w:rPr>
          <w:color w:val="231F20"/>
          <w:spacing w:val="-24"/>
          <w:w w:val="105"/>
        </w:rPr>
        <w:t> </w:t>
      </w:r>
      <w:r>
        <w:rPr>
          <w:color w:val="231F20"/>
          <w:w w:val="105"/>
        </w:rPr>
        <w:t>y</w:t>
      </w:r>
      <w:r>
        <w:rPr>
          <w:color w:val="231F20"/>
          <w:spacing w:val="-24"/>
          <w:w w:val="105"/>
        </w:rPr>
        <w:t> </w:t>
      </w:r>
      <w:r>
        <w:rPr>
          <w:color w:val="231F20"/>
          <w:w w:val="105"/>
        </w:rPr>
        <w:t>contraloría</w:t>
      </w:r>
      <w:r>
        <w:rPr>
          <w:color w:val="231F20"/>
          <w:spacing w:val="-24"/>
          <w:w w:val="105"/>
        </w:rPr>
        <w:t> </w:t>
      </w:r>
      <w:r>
        <w:rPr>
          <w:color w:val="231F20"/>
          <w:w w:val="105"/>
        </w:rPr>
        <w:t>(Navarro,</w:t>
      </w:r>
      <w:r>
        <w:rPr>
          <w:color w:val="231F20"/>
          <w:spacing w:val="-24"/>
          <w:w w:val="105"/>
        </w:rPr>
        <w:t> </w:t>
      </w:r>
      <w:r>
        <w:rPr>
          <w:color w:val="231F20"/>
          <w:w w:val="105"/>
        </w:rPr>
        <w:t>2008).</w:t>
      </w:r>
    </w:p>
    <w:p>
      <w:pPr>
        <w:pStyle w:val="BodyText"/>
        <w:spacing w:before="1"/>
        <w:rPr>
          <w:sz w:val="26"/>
        </w:rPr>
      </w:pPr>
    </w:p>
    <w:p>
      <w:pPr>
        <w:pStyle w:val="BodyText"/>
        <w:spacing w:line="285" w:lineRule="auto"/>
        <w:ind w:left="110" w:right="108"/>
        <w:jc w:val="both"/>
      </w:pPr>
      <w:r>
        <w:rPr/>
        <w:pict>
          <v:line style="position:absolute;mso-position-horizontal-relative:page;mso-position-vertical-relative:paragraph;z-index:10864;mso-wrap-distance-left:0;mso-wrap-distance-right:0" from="42.519699pt,95.210236pt" to="114.519699pt,95.210236pt" stroked="true" strokeweight="1pt" strokecolor="#231f20">
            <w10:wrap type="topAndBottom"/>
          </v:line>
        </w:pict>
      </w:r>
      <w:r>
        <w:rPr>
          <w:color w:val="231F20"/>
          <w:w w:val="105"/>
        </w:rPr>
        <w:t>Del</w:t>
      </w:r>
      <w:r>
        <w:rPr>
          <w:color w:val="231F20"/>
          <w:spacing w:val="-9"/>
          <w:w w:val="105"/>
        </w:rPr>
        <w:t> </w:t>
      </w:r>
      <w:r>
        <w:rPr>
          <w:color w:val="231F20"/>
          <w:w w:val="105"/>
        </w:rPr>
        <w:t>total</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empleados</w:t>
      </w:r>
      <w:r>
        <w:rPr>
          <w:color w:val="231F20"/>
          <w:spacing w:val="-9"/>
          <w:w w:val="105"/>
        </w:rPr>
        <w:t> </w:t>
      </w:r>
      <w:r>
        <w:rPr>
          <w:color w:val="231F20"/>
          <w:w w:val="105"/>
        </w:rPr>
        <w:t>que</w:t>
      </w:r>
      <w:r>
        <w:rPr>
          <w:color w:val="231F20"/>
          <w:spacing w:val="-9"/>
          <w:w w:val="105"/>
        </w:rPr>
        <w:t> </w:t>
      </w:r>
      <w:r>
        <w:rPr>
          <w:color w:val="231F20"/>
          <w:w w:val="105"/>
        </w:rPr>
        <w:t>trabajan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el</w:t>
      </w:r>
      <w:r>
        <w:rPr>
          <w:color w:val="231F20"/>
          <w:spacing w:val="-9"/>
          <w:w w:val="105"/>
        </w:rPr>
        <w:t> </w:t>
      </w:r>
      <w:r>
        <w:rPr>
          <w:color w:val="231F20"/>
          <w:spacing w:val="-3"/>
          <w:w w:val="105"/>
        </w:rPr>
        <w:t>16.4%</w:t>
      </w:r>
      <w:r>
        <w:rPr>
          <w:color w:val="231F20"/>
          <w:spacing w:val="-9"/>
          <w:w w:val="105"/>
        </w:rPr>
        <w:t> </w:t>
      </w:r>
      <w:r>
        <w:rPr>
          <w:color w:val="231F20"/>
          <w:w w:val="105"/>
        </w:rPr>
        <w:t>tienen</w:t>
      </w:r>
      <w:r>
        <w:rPr>
          <w:color w:val="231F20"/>
          <w:spacing w:val="-9"/>
          <w:w w:val="105"/>
        </w:rPr>
        <w:t> </w:t>
      </w:r>
      <w:r>
        <w:rPr>
          <w:color w:val="231F20"/>
          <w:w w:val="105"/>
        </w:rPr>
        <w:t>primaria, </w:t>
      </w:r>
      <w:r>
        <w:rPr>
          <w:color w:val="231F20"/>
          <w:spacing w:val="-5"/>
          <w:w w:val="105"/>
        </w:rPr>
        <w:t>37.3%</w:t>
      </w:r>
      <w:r>
        <w:rPr>
          <w:color w:val="231F20"/>
          <w:spacing w:val="-22"/>
          <w:w w:val="105"/>
        </w:rPr>
        <w:t> </w:t>
      </w:r>
      <w:r>
        <w:rPr>
          <w:color w:val="231F20"/>
          <w:w w:val="105"/>
        </w:rPr>
        <w:t>secundaria,</w:t>
      </w:r>
      <w:r>
        <w:rPr>
          <w:color w:val="231F20"/>
          <w:spacing w:val="-22"/>
          <w:w w:val="105"/>
        </w:rPr>
        <w:t> </w:t>
      </w:r>
      <w:r>
        <w:rPr>
          <w:color w:val="231F20"/>
          <w:w w:val="105"/>
        </w:rPr>
        <w:t>28.4%</w:t>
      </w:r>
      <w:r>
        <w:rPr>
          <w:color w:val="231F20"/>
          <w:spacing w:val="-22"/>
          <w:w w:val="105"/>
        </w:rPr>
        <w:t> </w:t>
      </w:r>
      <w:r>
        <w:rPr>
          <w:color w:val="231F20"/>
          <w:w w:val="105"/>
        </w:rPr>
        <w:t>educación</w:t>
      </w:r>
      <w:r>
        <w:rPr>
          <w:color w:val="231F20"/>
          <w:spacing w:val="-22"/>
          <w:w w:val="105"/>
        </w:rPr>
        <w:t> </w:t>
      </w:r>
      <w:r>
        <w:rPr>
          <w:color w:val="231F20"/>
          <w:w w:val="105"/>
        </w:rPr>
        <w:t>media</w:t>
      </w:r>
      <w:r>
        <w:rPr>
          <w:color w:val="231F20"/>
          <w:spacing w:val="-22"/>
          <w:w w:val="105"/>
        </w:rPr>
        <w:t> </w:t>
      </w:r>
      <w:r>
        <w:rPr>
          <w:color w:val="231F20"/>
          <w:w w:val="105"/>
        </w:rPr>
        <w:t>superior</w:t>
      </w:r>
      <w:r>
        <w:rPr>
          <w:color w:val="231F20"/>
          <w:spacing w:val="-22"/>
          <w:w w:val="105"/>
        </w:rPr>
        <w:t> </w:t>
      </w:r>
      <w:r>
        <w:rPr>
          <w:color w:val="231F20"/>
          <w:w w:val="105"/>
        </w:rPr>
        <w:t>y</w:t>
      </w:r>
      <w:r>
        <w:rPr>
          <w:color w:val="231F20"/>
          <w:spacing w:val="-22"/>
          <w:w w:val="105"/>
        </w:rPr>
        <w:t> </w:t>
      </w:r>
      <w:r>
        <w:rPr>
          <w:color w:val="231F20"/>
          <w:spacing w:val="-8"/>
          <w:w w:val="105"/>
        </w:rPr>
        <w:t>17.7%</w:t>
      </w:r>
      <w:r>
        <w:rPr>
          <w:color w:val="231F20"/>
          <w:spacing w:val="-22"/>
          <w:w w:val="105"/>
        </w:rPr>
        <w:t> </w:t>
      </w:r>
      <w:r>
        <w:rPr>
          <w:color w:val="231F20"/>
          <w:w w:val="105"/>
        </w:rPr>
        <w:t>educación</w:t>
      </w:r>
      <w:r>
        <w:rPr>
          <w:color w:val="231F20"/>
          <w:spacing w:val="-22"/>
          <w:w w:val="105"/>
        </w:rPr>
        <w:t> </w:t>
      </w:r>
      <w:r>
        <w:rPr>
          <w:color w:val="231F20"/>
          <w:w w:val="105"/>
        </w:rPr>
        <w:t>superior</w:t>
      </w:r>
      <w:r>
        <w:rPr>
          <w:color w:val="231F20"/>
          <w:spacing w:val="-22"/>
          <w:w w:val="105"/>
        </w:rPr>
        <w:t> </w:t>
      </w:r>
      <w:r>
        <w:rPr>
          <w:color w:val="231F20"/>
          <w:spacing w:val="-7"/>
          <w:w w:val="105"/>
        </w:rPr>
        <w:t>y,</w:t>
      </w:r>
      <w:r>
        <w:rPr>
          <w:color w:val="231F20"/>
          <w:spacing w:val="-22"/>
          <w:w w:val="105"/>
        </w:rPr>
        <w:t> </w:t>
      </w:r>
      <w:r>
        <w:rPr>
          <w:color w:val="231F20"/>
          <w:w w:val="105"/>
        </w:rPr>
        <w:t>de</w:t>
      </w:r>
      <w:r>
        <w:rPr>
          <w:color w:val="231F20"/>
          <w:spacing w:val="-22"/>
          <w:w w:val="105"/>
        </w:rPr>
        <w:t> </w:t>
      </w:r>
      <w:r>
        <w:rPr>
          <w:color w:val="231F20"/>
          <w:w w:val="105"/>
        </w:rPr>
        <w:t>es- tos ciudadanos con educación superior 3 han ocupado una dirección de las 8 que</w:t>
      </w:r>
      <w:r>
        <w:rPr>
          <w:color w:val="231F20"/>
          <w:spacing w:val="-34"/>
          <w:w w:val="105"/>
        </w:rPr>
        <w:t> </w:t>
      </w:r>
      <w:r>
        <w:rPr>
          <w:color w:val="231F20"/>
          <w:w w:val="105"/>
        </w:rPr>
        <w:t>tiene el ayuntamiento, uno en la coordinación de Derechos Humanos, otro en la asesoría jurídica,</w:t>
      </w:r>
      <w:r>
        <w:rPr>
          <w:color w:val="231F20"/>
          <w:spacing w:val="-8"/>
          <w:w w:val="105"/>
        </w:rPr>
        <w:t> </w:t>
      </w:r>
      <w:r>
        <w:rPr>
          <w:color w:val="231F20"/>
          <w:w w:val="105"/>
        </w:rPr>
        <w:t>como</w:t>
      </w:r>
      <w:r>
        <w:rPr>
          <w:color w:val="231F20"/>
          <w:spacing w:val="-8"/>
          <w:w w:val="105"/>
        </w:rPr>
        <w:t> </w:t>
      </w:r>
      <w:r>
        <w:rPr>
          <w:color w:val="231F20"/>
          <w:w w:val="105"/>
        </w:rPr>
        <w:t>juez</w:t>
      </w:r>
      <w:r>
        <w:rPr>
          <w:color w:val="231F20"/>
          <w:spacing w:val="-8"/>
          <w:w w:val="105"/>
        </w:rPr>
        <w:t> </w:t>
      </w:r>
      <w:r>
        <w:rPr>
          <w:color w:val="231F20"/>
          <w:w w:val="105"/>
        </w:rPr>
        <w:t>calificador</w:t>
      </w:r>
      <w:r>
        <w:rPr>
          <w:color w:val="231F20"/>
          <w:spacing w:val="-8"/>
          <w:w w:val="105"/>
        </w:rPr>
        <w:t> </w:t>
      </w:r>
      <w:r>
        <w:rPr>
          <w:color w:val="231F20"/>
          <w:w w:val="105"/>
        </w:rPr>
        <w:t>y</w:t>
      </w:r>
      <w:r>
        <w:rPr>
          <w:color w:val="231F20"/>
          <w:spacing w:val="-8"/>
          <w:w w:val="105"/>
        </w:rPr>
        <w:t> </w:t>
      </w:r>
      <w:r>
        <w:rPr>
          <w:color w:val="231F20"/>
          <w:w w:val="105"/>
        </w:rPr>
        <w:t>uno</w:t>
      </w:r>
      <w:r>
        <w:rPr>
          <w:color w:val="231F20"/>
          <w:spacing w:val="-8"/>
          <w:w w:val="105"/>
        </w:rPr>
        <w:t> </w:t>
      </w:r>
      <w:r>
        <w:rPr>
          <w:color w:val="231F20"/>
          <w:w w:val="105"/>
        </w:rPr>
        <w:t>más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contraloría,</w:t>
      </w:r>
      <w:r>
        <w:rPr>
          <w:color w:val="231F20"/>
          <w:spacing w:val="-8"/>
          <w:w w:val="105"/>
        </w:rPr>
        <w:t> </w:t>
      </w:r>
      <w:r>
        <w:rPr>
          <w:color w:val="231F20"/>
          <w:w w:val="105"/>
        </w:rPr>
        <w:t>es</w:t>
      </w:r>
      <w:r>
        <w:rPr>
          <w:color w:val="231F20"/>
          <w:spacing w:val="-8"/>
          <w:w w:val="105"/>
        </w:rPr>
        <w:t> </w:t>
      </w:r>
      <w:r>
        <w:rPr>
          <w:color w:val="231F20"/>
          <w:w w:val="105"/>
        </w:rPr>
        <w:t>decir,</w:t>
      </w:r>
      <w:r>
        <w:rPr>
          <w:color w:val="231F20"/>
          <w:spacing w:val="-8"/>
          <w:w w:val="105"/>
        </w:rPr>
        <w:t> </w:t>
      </w:r>
      <w:r>
        <w:rPr>
          <w:color w:val="231F20"/>
          <w:w w:val="105"/>
        </w:rPr>
        <w:t>solo</w:t>
      </w:r>
      <w:r>
        <w:rPr>
          <w:color w:val="231F20"/>
          <w:spacing w:val="-8"/>
          <w:w w:val="105"/>
        </w:rPr>
        <w:t> </w:t>
      </w:r>
      <w:r>
        <w:rPr>
          <w:color w:val="231F20"/>
          <w:w w:val="105"/>
        </w:rPr>
        <w:t>el</w:t>
      </w:r>
      <w:r>
        <w:rPr>
          <w:color w:val="231F20"/>
          <w:spacing w:val="-8"/>
          <w:w w:val="105"/>
        </w:rPr>
        <w:t> </w:t>
      </w:r>
      <w:r>
        <w:rPr>
          <w:color w:val="231F20"/>
          <w:w w:val="105"/>
        </w:rPr>
        <w:t>25%</w:t>
      </w:r>
      <w:r>
        <w:rPr>
          <w:color w:val="231F20"/>
          <w:spacing w:val="-8"/>
          <w:w w:val="105"/>
        </w:rPr>
        <w:t> </w:t>
      </w:r>
      <w:r>
        <w:rPr>
          <w:color w:val="231F20"/>
          <w:w w:val="105"/>
        </w:rPr>
        <w:t>de</w:t>
      </w:r>
      <w:r>
        <w:rPr>
          <w:color w:val="231F20"/>
          <w:spacing w:val="-8"/>
          <w:w w:val="105"/>
        </w:rPr>
        <w:t> </w:t>
      </w:r>
      <w:r>
        <w:rPr>
          <w:color w:val="231F20"/>
          <w:w w:val="105"/>
        </w:rPr>
        <w:t>los profesionistas</w:t>
      </w:r>
      <w:r>
        <w:rPr>
          <w:color w:val="231F20"/>
          <w:spacing w:val="-4"/>
          <w:w w:val="105"/>
        </w:rPr>
        <w:t> </w:t>
      </w:r>
      <w:r>
        <w:rPr>
          <w:color w:val="231F20"/>
          <w:w w:val="105"/>
        </w:rPr>
        <w:t>que</w:t>
      </w:r>
      <w:r>
        <w:rPr>
          <w:color w:val="231F20"/>
          <w:spacing w:val="-4"/>
          <w:w w:val="105"/>
        </w:rPr>
        <w:t> </w:t>
      </w:r>
      <w:r>
        <w:rPr>
          <w:color w:val="231F20"/>
          <w:w w:val="105"/>
        </w:rPr>
        <w:t>trabajan</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municipio</w:t>
      </w:r>
      <w:r>
        <w:rPr>
          <w:color w:val="231F20"/>
          <w:spacing w:val="-4"/>
          <w:w w:val="105"/>
        </w:rPr>
        <w:t> </w:t>
      </w:r>
      <w:r>
        <w:rPr>
          <w:color w:val="231F20"/>
          <w:w w:val="105"/>
        </w:rPr>
        <w:t>ocupan</w:t>
      </w:r>
      <w:r>
        <w:rPr>
          <w:color w:val="231F20"/>
          <w:spacing w:val="-4"/>
          <w:w w:val="105"/>
        </w:rPr>
        <w:t> </w:t>
      </w:r>
      <w:r>
        <w:rPr>
          <w:color w:val="231F20"/>
          <w:w w:val="105"/>
        </w:rPr>
        <w:t>un</w:t>
      </w:r>
      <w:r>
        <w:rPr>
          <w:color w:val="231F20"/>
          <w:spacing w:val="-4"/>
          <w:w w:val="105"/>
        </w:rPr>
        <w:t> </w:t>
      </w:r>
      <w:r>
        <w:rPr>
          <w:color w:val="231F20"/>
          <w:w w:val="105"/>
        </w:rPr>
        <w:t>cargo</w:t>
      </w:r>
      <w:r>
        <w:rPr>
          <w:color w:val="231F20"/>
          <w:spacing w:val="-4"/>
          <w:w w:val="105"/>
        </w:rPr>
        <w:t> </w:t>
      </w:r>
      <w:r>
        <w:rPr>
          <w:color w:val="231F20"/>
          <w:w w:val="105"/>
        </w:rPr>
        <w:t>directivo.</w:t>
      </w:r>
      <w:r>
        <w:rPr>
          <w:color w:val="231F20"/>
          <w:spacing w:val="-4"/>
          <w:w w:val="105"/>
        </w:rPr>
        <w:t> </w:t>
      </w:r>
      <w:r>
        <w:rPr>
          <w:color w:val="231F20"/>
          <w:w w:val="105"/>
        </w:rPr>
        <w:t>En</w:t>
      </w:r>
      <w:r>
        <w:rPr>
          <w:color w:val="231F20"/>
          <w:spacing w:val="-4"/>
          <w:w w:val="105"/>
        </w:rPr>
        <w:t> </w:t>
      </w:r>
      <w:r>
        <w:rPr>
          <w:color w:val="231F20"/>
          <w:w w:val="105"/>
        </w:rPr>
        <w:t>las</w:t>
      </w:r>
      <w:r>
        <w:rPr>
          <w:color w:val="231F20"/>
          <w:spacing w:val="-4"/>
          <w:w w:val="105"/>
        </w:rPr>
        <w:t> </w:t>
      </w:r>
      <w:r>
        <w:rPr>
          <w:color w:val="231F20"/>
          <w:w w:val="105"/>
        </w:rPr>
        <w:t>otras</w:t>
      </w:r>
      <w:r>
        <w:rPr>
          <w:color w:val="231F20"/>
          <w:spacing w:val="-4"/>
          <w:w w:val="105"/>
        </w:rPr>
        <w:t> </w:t>
      </w:r>
      <w:r>
        <w:rPr>
          <w:color w:val="231F20"/>
          <w:w w:val="105"/>
        </w:rPr>
        <w:t>di-</w:t>
      </w:r>
    </w:p>
    <w:p>
      <w:pPr>
        <w:pStyle w:val="ListParagraph"/>
        <w:numPr>
          <w:ilvl w:val="0"/>
          <w:numId w:val="18"/>
        </w:numPr>
        <w:tabs>
          <w:tab w:pos="274" w:val="left" w:leader="none"/>
        </w:tabs>
        <w:spacing w:line="244" w:lineRule="auto" w:before="8" w:after="0"/>
        <w:ind w:left="110" w:right="109" w:firstLine="0"/>
        <w:jc w:val="left"/>
        <w:rPr>
          <w:sz w:val="16"/>
        </w:rPr>
      </w:pPr>
      <w:r>
        <w:rPr>
          <w:color w:val="231F20"/>
          <w:sz w:val="16"/>
        </w:rPr>
        <w:t>En las actas de cabildo se encuentran comentarios o firmas bajo protesta, argumentando la distribución inequitativa de </w:t>
      </w:r>
      <w:r>
        <w:rPr>
          <w:color w:val="231F20"/>
          <w:w w:val="95"/>
          <w:sz w:val="16"/>
        </w:rPr>
        <w:t>los</w:t>
      </w:r>
      <w:r>
        <w:rPr>
          <w:color w:val="231F20"/>
          <w:spacing w:val="7"/>
          <w:w w:val="95"/>
          <w:sz w:val="16"/>
        </w:rPr>
        <w:t> </w:t>
      </w:r>
      <w:r>
        <w:rPr>
          <w:color w:val="231F20"/>
          <w:w w:val="95"/>
          <w:sz w:val="16"/>
        </w:rPr>
        <w:t>recursos.</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recciones</w:t>
      </w:r>
      <w:r>
        <w:rPr>
          <w:color w:val="231F20"/>
          <w:spacing w:val="-4"/>
          <w:w w:val="105"/>
        </w:rPr>
        <w:t> </w:t>
      </w:r>
      <w:r>
        <w:rPr>
          <w:color w:val="231F20"/>
          <w:w w:val="105"/>
        </w:rPr>
        <w:t>o</w:t>
      </w:r>
      <w:r>
        <w:rPr>
          <w:color w:val="231F20"/>
          <w:spacing w:val="-4"/>
          <w:w w:val="105"/>
        </w:rPr>
        <w:t> </w:t>
      </w:r>
      <w:r>
        <w:rPr>
          <w:color w:val="231F20"/>
          <w:w w:val="105"/>
        </w:rPr>
        <w:t>áreas</w:t>
      </w:r>
      <w:r>
        <w:rPr>
          <w:color w:val="231F20"/>
          <w:spacing w:val="-4"/>
          <w:w w:val="105"/>
        </w:rPr>
        <w:t> </w:t>
      </w:r>
      <w:r>
        <w:rPr>
          <w:color w:val="231F20"/>
          <w:w w:val="105"/>
        </w:rPr>
        <w:t>del</w:t>
      </w:r>
      <w:r>
        <w:rPr>
          <w:color w:val="231F20"/>
          <w:spacing w:val="-4"/>
          <w:w w:val="105"/>
        </w:rPr>
        <w:t> </w:t>
      </w:r>
      <w:r>
        <w:rPr>
          <w:color w:val="231F20"/>
          <w:w w:val="105"/>
        </w:rPr>
        <w:t>ayuntamiento</w:t>
      </w:r>
      <w:r>
        <w:rPr>
          <w:color w:val="231F20"/>
          <w:spacing w:val="-4"/>
          <w:w w:val="105"/>
        </w:rPr>
        <w:t> </w:t>
      </w:r>
      <w:r>
        <w:rPr>
          <w:color w:val="231F20"/>
          <w:w w:val="105"/>
        </w:rPr>
        <w:t>se</w:t>
      </w:r>
      <w:r>
        <w:rPr>
          <w:color w:val="231F20"/>
          <w:spacing w:val="-4"/>
          <w:w w:val="105"/>
        </w:rPr>
        <w:t> </w:t>
      </w:r>
      <w:r>
        <w:rPr>
          <w:color w:val="231F20"/>
          <w:w w:val="105"/>
        </w:rPr>
        <w:t>encuentran</w:t>
      </w:r>
      <w:r>
        <w:rPr>
          <w:color w:val="231F20"/>
          <w:spacing w:val="-4"/>
          <w:w w:val="105"/>
        </w:rPr>
        <w:t> </w:t>
      </w:r>
      <w:r>
        <w:rPr>
          <w:color w:val="231F20"/>
          <w:w w:val="105"/>
        </w:rPr>
        <w:t>ciudadanos</w:t>
      </w:r>
      <w:r>
        <w:rPr>
          <w:color w:val="231F20"/>
          <w:spacing w:val="-4"/>
          <w:w w:val="105"/>
        </w:rPr>
        <w:t> </w:t>
      </w:r>
      <w:r>
        <w:rPr>
          <w:color w:val="231F20"/>
          <w:w w:val="105"/>
        </w:rPr>
        <w:t>con</w:t>
      </w:r>
      <w:r>
        <w:rPr>
          <w:color w:val="231F20"/>
          <w:spacing w:val="-4"/>
          <w:w w:val="105"/>
        </w:rPr>
        <w:t> </w:t>
      </w:r>
      <w:r>
        <w:rPr>
          <w:color w:val="231F20"/>
          <w:w w:val="105"/>
        </w:rPr>
        <w:t>un</w:t>
      </w:r>
      <w:r>
        <w:rPr>
          <w:color w:val="231F20"/>
          <w:spacing w:val="-4"/>
          <w:w w:val="105"/>
        </w:rPr>
        <w:t> </w:t>
      </w:r>
      <w:r>
        <w:rPr>
          <w:color w:val="231F20"/>
          <w:w w:val="105"/>
        </w:rPr>
        <w:t>nivel</w:t>
      </w:r>
      <w:r>
        <w:rPr>
          <w:color w:val="231F20"/>
          <w:spacing w:val="-4"/>
          <w:w w:val="105"/>
        </w:rPr>
        <w:t> </w:t>
      </w:r>
      <w:r>
        <w:rPr>
          <w:color w:val="231F20"/>
          <w:w w:val="105"/>
        </w:rPr>
        <w:t>de</w:t>
      </w:r>
      <w:r>
        <w:rPr>
          <w:color w:val="231F20"/>
          <w:spacing w:val="-4"/>
          <w:w w:val="105"/>
        </w:rPr>
        <w:t> </w:t>
      </w:r>
      <w:r>
        <w:rPr>
          <w:color w:val="231F20"/>
          <w:w w:val="105"/>
        </w:rPr>
        <w:t>estudios de</w:t>
      </w:r>
      <w:r>
        <w:rPr>
          <w:color w:val="231F20"/>
          <w:spacing w:val="-8"/>
          <w:w w:val="105"/>
        </w:rPr>
        <w:t> </w:t>
      </w:r>
      <w:r>
        <w:rPr>
          <w:color w:val="231F20"/>
          <w:w w:val="105"/>
        </w:rPr>
        <w:t>preparatoria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mejor</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casos</w:t>
      </w:r>
      <w:r>
        <w:rPr>
          <w:color w:val="231F20"/>
          <w:spacing w:val="-8"/>
          <w:w w:val="105"/>
        </w:rPr>
        <w:t> </w:t>
      </w:r>
      <w:r>
        <w:rPr>
          <w:color w:val="231F20"/>
          <w:spacing w:val="-3"/>
          <w:w w:val="105"/>
        </w:rPr>
        <w:t>(7)</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demás</w:t>
      </w:r>
      <w:r>
        <w:rPr>
          <w:color w:val="231F20"/>
          <w:spacing w:val="-8"/>
          <w:w w:val="105"/>
        </w:rPr>
        <w:t> </w:t>
      </w:r>
      <w:r>
        <w:rPr>
          <w:color w:val="231F20"/>
          <w:w w:val="105"/>
        </w:rPr>
        <w:t>cargos</w:t>
      </w:r>
      <w:r>
        <w:rPr>
          <w:color w:val="231F20"/>
          <w:spacing w:val="-8"/>
          <w:w w:val="105"/>
        </w:rPr>
        <w:t> </w:t>
      </w:r>
      <w:r>
        <w:rPr>
          <w:color w:val="231F20"/>
          <w:w w:val="105"/>
        </w:rPr>
        <w:t>están</w:t>
      </w:r>
      <w:r>
        <w:rPr>
          <w:color w:val="231F20"/>
          <w:spacing w:val="-8"/>
          <w:w w:val="105"/>
        </w:rPr>
        <w:t> </w:t>
      </w:r>
      <w:r>
        <w:rPr>
          <w:color w:val="231F20"/>
          <w:w w:val="105"/>
        </w:rPr>
        <w:t>ocupados</w:t>
      </w:r>
      <w:r>
        <w:rPr>
          <w:color w:val="231F20"/>
          <w:spacing w:val="-8"/>
          <w:w w:val="105"/>
        </w:rPr>
        <w:t> </w:t>
      </w:r>
      <w:r>
        <w:rPr>
          <w:color w:val="231F20"/>
          <w:w w:val="105"/>
        </w:rPr>
        <w:t>por</w:t>
      </w:r>
      <w:r>
        <w:rPr>
          <w:color w:val="231F20"/>
          <w:spacing w:val="-8"/>
          <w:w w:val="105"/>
        </w:rPr>
        <w:t> </w:t>
      </w:r>
      <w:r>
        <w:rPr>
          <w:color w:val="231F20"/>
          <w:spacing w:val="-3"/>
          <w:w w:val="105"/>
        </w:rPr>
        <w:t>per- </w:t>
      </w:r>
      <w:r>
        <w:rPr>
          <w:color w:val="231F20"/>
          <w:w w:val="105"/>
        </w:rPr>
        <w:t>sonas con instrucción</w:t>
      </w:r>
      <w:r>
        <w:rPr>
          <w:color w:val="231F20"/>
          <w:spacing w:val="-31"/>
          <w:w w:val="105"/>
        </w:rPr>
        <w:t> </w:t>
      </w:r>
      <w:r>
        <w:rPr>
          <w:color w:val="231F20"/>
          <w:w w:val="105"/>
        </w:rPr>
        <w:t>básica.</w:t>
      </w:r>
    </w:p>
    <w:p>
      <w:pPr>
        <w:pStyle w:val="BodyText"/>
        <w:spacing w:before="1"/>
        <w:rPr>
          <w:sz w:val="26"/>
        </w:rPr>
      </w:pPr>
    </w:p>
    <w:p>
      <w:pPr>
        <w:pStyle w:val="BodyText"/>
        <w:spacing w:line="285" w:lineRule="auto"/>
        <w:ind w:left="110" w:right="107"/>
        <w:jc w:val="both"/>
      </w:pPr>
      <w:r>
        <w:rPr>
          <w:color w:val="231F20"/>
          <w:w w:val="105"/>
        </w:rPr>
        <w:t>El</w:t>
      </w:r>
      <w:r>
        <w:rPr>
          <w:color w:val="231F20"/>
          <w:spacing w:val="-24"/>
          <w:w w:val="105"/>
        </w:rPr>
        <w:t> </w:t>
      </w:r>
      <w:r>
        <w:rPr>
          <w:color w:val="231F20"/>
          <w:spacing w:val="-4"/>
          <w:w w:val="105"/>
        </w:rPr>
        <w:t>PAN</w:t>
      </w:r>
      <w:r>
        <w:rPr>
          <w:color w:val="231F20"/>
          <w:spacing w:val="-24"/>
          <w:w w:val="105"/>
        </w:rPr>
        <w:t> </w:t>
      </w:r>
      <w:r>
        <w:rPr>
          <w:color w:val="231F20"/>
          <w:w w:val="105"/>
        </w:rPr>
        <w:t>en</w:t>
      </w:r>
      <w:r>
        <w:rPr>
          <w:color w:val="231F20"/>
          <w:spacing w:val="-24"/>
          <w:w w:val="105"/>
        </w:rPr>
        <w:t> </w:t>
      </w:r>
      <w:r>
        <w:rPr>
          <w:color w:val="231F20"/>
          <w:w w:val="105"/>
        </w:rPr>
        <w:t>este</w:t>
      </w:r>
      <w:r>
        <w:rPr>
          <w:color w:val="231F20"/>
          <w:spacing w:val="-24"/>
          <w:w w:val="105"/>
        </w:rPr>
        <w:t> </w:t>
      </w:r>
      <w:r>
        <w:rPr>
          <w:color w:val="231F20"/>
          <w:w w:val="105"/>
        </w:rPr>
        <w:t>municipio,</w:t>
      </w:r>
      <w:r>
        <w:rPr>
          <w:color w:val="231F20"/>
          <w:spacing w:val="-24"/>
          <w:w w:val="105"/>
        </w:rPr>
        <w:t> </w:t>
      </w:r>
      <w:r>
        <w:rPr>
          <w:color w:val="231F20"/>
          <w:w w:val="105"/>
        </w:rPr>
        <w:t>y</w:t>
      </w:r>
      <w:r>
        <w:rPr>
          <w:color w:val="231F20"/>
          <w:spacing w:val="-24"/>
          <w:w w:val="105"/>
        </w:rPr>
        <w:t> </w:t>
      </w:r>
      <w:r>
        <w:rPr>
          <w:color w:val="231F20"/>
          <w:w w:val="105"/>
        </w:rPr>
        <w:t>en</w:t>
      </w:r>
      <w:r>
        <w:rPr>
          <w:color w:val="231F20"/>
          <w:spacing w:val="-24"/>
          <w:w w:val="105"/>
        </w:rPr>
        <w:t> </w:t>
      </w:r>
      <w:r>
        <w:rPr>
          <w:color w:val="231F20"/>
          <w:w w:val="105"/>
        </w:rPr>
        <w:t>específico</w:t>
      </w:r>
      <w:r>
        <w:rPr>
          <w:color w:val="231F20"/>
          <w:spacing w:val="-24"/>
          <w:w w:val="105"/>
        </w:rPr>
        <w:t> </w:t>
      </w:r>
      <w:r>
        <w:rPr>
          <w:color w:val="231F20"/>
          <w:w w:val="105"/>
        </w:rPr>
        <w:t>el</w:t>
      </w:r>
      <w:r>
        <w:rPr>
          <w:color w:val="231F20"/>
          <w:spacing w:val="-24"/>
          <w:w w:val="105"/>
        </w:rPr>
        <w:t> </w:t>
      </w:r>
      <w:r>
        <w:rPr>
          <w:color w:val="231F20"/>
          <w:w w:val="105"/>
        </w:rPr>
        <w:t>Ayuntamiento,</w:t>
      </w:r>
      <w:r>
        <w:rPr>
          <w:color w:val="231F20"/>
          <w:spacing w:val="-24"/>
          <w:w w:val="105"/>
        </w:rPr>
        <w:t> </w:t>
      </w:r>
      <w:r>
        <w:rPr>
          <w:color w:val="231F20"/>
          <w:w w:val="105"/>
        </w:rPr>
        <w:t>a</w:t>
      </w:r>
      <w:r>
        <w:rPr>
          <w:color w:val="231F20"/>
          <w:spacing w:val="-24"/>
          <w:w w:val="105"/>
        </w:rPr>
        <w:t> </w:t>
      </w:r>
      <w:r>
        <w:rPr>
          <w:color w:val="231F20"/>
          <w:w w:val="105"/>
        </w:rPr>
        <w:t>través</w:t>
      </w:r>
      <w:r>
        <w:rPr>
          <w:color w:val="231F20"/>
          <w:spacing w:val="-24"/>
          <w:w w:val="105"/>
        </w:rPr>
        <w:t> </w:t>
      </w:r>
      <w:r>
        <w:rPr>
          <w:color w:val="231F20"/>
          <w:w w:val="105"/>
        </w:rPr>
        <w:t>de</w:t>
      </w:r>
      <w:r>
        <w:rPr>
          <w:color w:val="231F20"/>
          <w:spacing w:val="-24"/>
          <w:w w:val="105"/>
        </w:rPr>
        <w:t> </w:t>
      </w:r>
      <w:r>
        <w:rPr>
          <w:color w:val="231F20"/>
          <w:w w:val="105"/>
        </w:rPr>
        <w:t>acuerdo</w:t>
      </w:r>
      <w:r>
        <w:rPr>
          <w:color w:val="231F20"/>
          <w:spacing w:val="-24"/>
          <w:w w:val="105"/>
        </w:rPr>
        <w:t> </w:t>
      </w:r>
      <w:r>
        <w:rPr>
          <w:color w:val="231F20"/>
          <w:w w:val="105"/>
        </w:rPr>
        <w:t>de</w:t>
      </w:r>
      <w:r>
        <w:rPr>
          <w:color w:val="231F20"/>
          <w:spacing w:val="-24"/>
          <w:w w:val="105"/>
        </w:rPr>
        <w:t> </w:t>
      </w:r>
      <w:r>
        <w:rPr>
          <w:color w:val="231F20"/>
          <w:w w:val="105"/>
        </w:rPr>
        <w:t>cabil- do</w:t>
      </w:r>
      <w:r>
        <w:rPr>
          <w:color w:val="231F20"/>
          <w:spacing w:val="-8"/>
          <w:w w:val="105"/>
        </w:rPr>
        <w:t> </w:t>
      </w:r>
      <w:r>
        <w:rPr>
          <w:color w:val="231F20"/>
          <w:spacing w:val="-3"/>
          <w:w w:val="105"/>
        </w:rPr>
        <w:t>nombró</w:t>
      </w:r>
      <w:r>
        <w:rPr>
          <w:color w:val="231F20"/>
          <w:spacing w:val="-8"/>
          <w:w w:val="105"/>
        </w:rPr>
        <w:t> </w:t>
      </w:r>
      <w:r>
        <w:rPr>
          <w:color w:val="231F20"/>
          <w:w w:val="105"/>
        </w:rPr>
        <w:t>a</w:t>
      </w:r>
      <w:r>
        <w:rPr>
          <w:color w:val="231F20"/>
          <w:spacing w:val="-8"/>
          <w:w w:val="105"/>
        </w:rPr>
        <w:t> </w:t>
      </w:r>
      <w:r>
        <w:rPr>
          <w:color w:val="231F20"/>
          <w:w w:val="105"/>
        </w:rPr>
        <w:t>sus</w:t>
      </w:r>
      <w:r>
        <w:rPr>
          <w:color w:val="231F20"/>
          <w:spacing w:val="-8"/>
          <w:w w:val="105"/>
        </w:rPr>
        <w:t> </w:t>
      </w:r>
      <w:r>
        <w:rPr>
          <w:color w:val="231F20"/>
          <w:w w:val="105"/>
        </w:rPr>
        <w:t>funcionarios</w:t>
      </w:r>
      <w:r>
        <w:rPr>
          <w:color w:val="231F20"/>
          <w:spacing w:val="-8"/>
          <w:w w:val="105"/>
        </w:rPr>
        <w:t> </w:t>
      </w:r>
      <w:r>
        <w:rPr>
          <w:color w:val="231F20"/>
          <w:w w:val="105"/>
        </w:rPr>
        <w:t>siguiendo</w:t>
      </w:r>
      <w:r>
        <w:rPr>
          <w:color w:val="231F20"/>
          <w:spacing w:val="-8"/>
          <w:w w:val="105"/>
        </w:rPr>
        <w:t> </w:t>
      </w:r>
      <w:r>
        <w:rPr>
          <w:color w:val="231F20"/>
          <w:w w:val="105"/>
        </w:rPr>
        <w:t>los</w:t>
      </w:r>
      <w:r>
        <w:rPr>
          <w:color w:val="231F20"/>
          <w:spacing w:val="-8"/>
          <w:w w:val="105"/>
        </w:rPr>
        <w:t> </w:t>
      </w:r>
      <w:r>
        <w:rPr>
          <w:color w:val="231F20"/>
          <w:w w:val="105"/>
        </w:rPr>
        <w:t>roles</w:t>
      </w:r>
      <w:r>
        <w:rPr>
          <w:color w:val="231F20"/>
          <w:spacing w:val="-9"/>
          <w:w w:val="105"/>
        </w:rPr>
        <w:t> </w:t>
      </w:r>
      <w:r>
        <w:rPr>
          <w:color w:val="231F20"/>
          <w:w w:val="105"/>
        </w:rPr>
        <w:t>tradicionales</w:t>
      </w:r>
      <w:r>
        <w:rPr>
          <w:color w:val="231F20"/>
          <w:spacing w:val="-8"/>
          <w:w w:val="105"/>
        </w:rPr>
        <w:t> </w:t>
      </w:r>
      <w:r>
        <w:rPr>
          <w:color w:val="231F20"/>
          <w:w w:val="105"/>
        </w:rPr>
        <w:t>de</w:t>
      </w:r>
      <w:r>
        <w:rPr>
          <w:color w:val="231F20"/>
          <w:spacing w:val="-8"/>
          <w:w w:val="105"/>
        </w:rPr>
        <w:t> </w:t>
      </w:r>
      <w:r>
        <w:rPr>
          <w:color w:val="231F20"/>
          <w:w w:val="105"/>
        </w:rPr>
        <w:t>estos</w:t>
      </w:r>
      <w:r>
        <w:rPr>
          <w:color w:val="231F20"/>
          <w:spacing w:val="-8"/>
          <w:w w:val="105"/>
        </w:rPr>
        <w:t> </w:t>
      </w:r>
      <w:r>
        <w:rPr>
          <w:color w:val="231F20"/>
          <w:w w:val="105"/>
        </w:rPr>
        <w:t>casos:</w:t>
      </w:r>
      <w:r>
        <w:rPr>
          <w:color w:val="231F20"/>
          <w:spacing w:val="-8"/>
          <w:w w:val="105"/>
        </w:rPr>
        <w:t> </w:t>
      </w:r>
      <w:r>
        <w:rPr>
          <w:color w:val="231F20"/>
          <w:w w:val="105"/>
        </w:rPr>
        <w:t>compro- misos</w:t>
      </w:r>
      <w:r>
        <w:rPr>
          <w:color w:val="231F20"/>
          <w:spacing w:val="-14"/>
          <w:w w:val="105"/>
        </w:rPr>
        <w:t> </w:t>
      </w:r>
      <w:r>
        <w:rPr>
          <w:color w:val="231F20"/>
          <w:w w:val="105"/>
        </w:rPr>
        <w:t>políticos,</w:t>
      </w:r>
      <w:r>
        <w:rPr>
          <w:color w:val="231F20"/>
          <w:spacing w:val="-14"/>
          <w:w w:val="105"/>
        </w:rPr>
        <w:t> </w:t>
      </w:r>
      <w:r>
        <w:rPr>
          <w:color w:val="231F20"/>
          <w:w w:val="105"/>
        </w:rPr>
        <w:t>la</w:t>
      </w:r>
      <w:r>
        <w:rPr>
          <w:color w:val="231F20"/>
          <w:spacing w:val="-14"/>
          <w:w w:val="105"/>
        </w:rPr>
        <w:t> </w:t>
      </w:r>
      <w:r>
        <w:rPr>
          <w:color w:val="231F20"/>
          <w:w w:val="105"/>
        </w:rPr>
        <w:t>mayoría</w:t>
      </w:r>
      <w:r>
        <w:rPr>
          <w:color w:val="231F20"/>
          <w:spacing w:val="-14"/>
          <w:w w:val="105"/>
        </w:rPr>
        <w:t> </w:t>
      </w:r>
      <w:r>
        <w:rPr>
          <w:color w:val="231F20"/>
          <w:w w:val="105"/>
        </w:rPr>
        <w:t>surgidos</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acompañamiento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campaña</w:t>
      </w:r>
      <w:r>
        <w:rPr>
          <w:color w:val="231F20"/>
          <w:spacing w:val="-14"/>
          <w:w w:val="105"/>
        </w:rPr>
        <w:t> </w:t>
      </w:r>
      <w:r>
        <w:rPr>
          <w:color w:val="231F20"/>
          <w:w w:val="105"/>
        </w:rPr>
        <w:t>electoral.</w:t>
      </w:r>
    </w:p>
    <w:p>
      <w:pPr>
        <w:pStyle w:val="BodyText"/>
        <w:spacing w:before="1"/>
        <w:rPr>
          <w:sz w:val="26"/>
        </w:rPr>
      </w:pPr>
    </w:p>
    <w:p>
      <w:pPr>
        <w:pStyle w:val="BodyText"/>
        <w:spacing w:line="285" w:lineRule="auto"/>
        <w:ind w:left="110" w:right="107"/>
        <w:jc w:val="both"/>
      </w:pPr>
      <w:r>
        <w:rPr>
          <w:color w:val="231F20"/>
          <w:w w:val="105"/>
        </w:rPr>
        <w:t>Cabe hacer notar que el nombramiento de la Dirección de Educación y Cultura no se encuentra registrado en las actas del cabildo aunque sí forma parte el organigrama del ayuntamiento.</w:t>
      </w:r>
      <w:r>
        <w:rPr>
          <w:color w:val="231F20"/>
          <w:spacing w:val="-24"/>
          <w:w w:val="105"/>
        </w:rPr>
        <w:t> </w:t>
      </w:r>
      <w:r>
        <w:rPr>
          <w:color w:val="231F20"/>
          <w:w w:val="105"/>
        </w:rPr>
        <w:t>De</w:t>
      </w:r>
      <w:r>
        <w:rPr>
          <w:color w:val="231F20"/>
          <w:spacing w:val="-24"/>
          <w:w w:val="105"/>
        </w:rPr>
        <w:t> </w:t>
      </w:r>
      <w:r>
        <w:rPr>
          <w:color w:val="231F20"/>
          <w:spacing w:val="3"/>
          <w:w w:val="105"/>
        </w:rPr>
        <w:t>2006</w:t>
      </w:r>
      <w:r>
        <w:rPr>
          <w:color w:val="231F20"/>
          <w:spacing w:val="-24"/>
          <w:w w:val="105"/>
        </w:rPr>
        <w:t> </w:t>
      </w:r>
      <w:r>
        <w:rPr>
          <w:color w:val="231F20"/>
          <w:w w:val="105"/>
        </w:rPr>
        <w:t>a</w:t>
      </w:r>
      <w:r>
        <w:rPr>
          <w:color w:val="231F20"/>
          <w:spacing w:val="-24"/>
          <w:w w:val="105"/>
        </w:rPr>
        <w:t> </w:t>
      </w:r>
      <w:r>
        <w:rPr>
          <w:color w:val="231F20"/>
          <w:spacing w:val="3"/>
          <w:w w:val="105"/>
        </w:rPr>
        <w:t>2008</w:t>
      </w:r>
      <w:r>
        <w:rPr>
          <w:color w:val="231F20"/>
          <w:spacing w:val="-24"/>
          <w:w w:val="105"/>
        </w:rPr>
        <w:t> </w:t>
      </w:r>
      <w:r>
        <w:rPr>
          <w:color w:val="231F20"/>
          <w:w w:val="105"/>
        </w:rPr>
        <w:t>hubo</w:t>
      </w:r>
      <w:r>
        <w:rPr>
          <w:color w:val="231F20"/>
          <w:spacing w:val="-24"/>
          <w:w w:val="105"/>
        </w:rPr>
        <w:t> </w:t>
      </w:r>
      <w:r>
        <w:rPr>
          <w:color w:val="231F20"/>
          <w:w w:val="105"/>
        </w:rPr>
        <w:t>sustituciones</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spacing w:val="-3"/>
          <w:w w:val="105"/>
        </w:rPr>
        <w:t>55%</w:t>
      </w:r>
      <w:r>
        <w:rPr>
          <w:color w:val="231F20"/>
          <w:spacing w:val="-24"/>
          <w:w w:val="105"/>
        </w:rPr>
        <w:t> </w:t>
      </w:r>
      <w:r>
        <w:rPr>
          <w:color w:val="231F20"/>
          <w:w w:val="105"/>
        </w:rPr>
        <w:t>de</w:t>
      </w:r>
      <w:r>
        <w:rPr>
          <w:color w:val="231F20"/>
          <w:spacing w:val="-24"/>
          <w:w w:val="105"/>
        </w:rPr>
        <w:t> </w:t>
      </w:r>
      <w:r>
        <w:rPr>
          <w:color w:val="231F20"/>
          <w:w w:val="105"/>
        </w:rPr>
        <w:t>todos</w:t>
      </w:r>
      <w:r>
        <w:rPr>
          <w:color w:val="231F20"/>
          <w:spacing w:val="-24"/>
          <w:w w:val="105"/>
        </w:rPr>
        <w:t> </w:t>
      </w:r>
      <w:r>
        <w:rPr>
          <w:color w:val="231F20"/>
          <w:w w:val="105"/>
        </w:rPr>
        <w:t>estos</w:t>
      </w:r>
      <w:r>
        <w:rPr>
          <w:color w:val="231F20"/>
          <w:spacing w:val="-24"/>
          <w:w w:val="105"/>
        </w:rPr>
        <w:t> </w:t>
      </w:r>
      <w:r>
        <w:rPr>
          <w:color w:val="231F20"/>
          <w:w w:val="105"/>
        </w:rPr>
        <w:t>cargos,</w:t>
      </w:r>
      <w:r>
        <w:rPr>
          <w:color w:val="231F20"/>
          <w:spacing w:val="-24"/>
          <w:w w:val="105"/>
        </w:rPr>
        <w:t> </w:t>
      </w:r>
      <w:r>
        <w:rPr>
          <w:color w:val="231F20"/>
          <w:w w:val="105"/>
        </w:rPr>
        <w:t>moti- vados</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desempeño</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titulares</w:t>
      </w:r>
      <w:r>
        <w:rPr>
          <w:color w:val="231F20"/>
          <w:spacing w:val="-16"/>
          <w:w w:val="105"/>
        </w:rPr>
        <w:t> </w:t>
      </w:r>
      <w:r>
        <w:rPr>
          <w:color w:val="231F20"/>
          <w:w w:val="105"/>
        </w:rPr>
        <w:t>han</w:t>
      </w:r>
      <w:r>
        <w:rPr>
          <w:color w:val="231F20"/>
          <w:spacing w:val="-16"/>
          <w:w w:val="105"/>
        </w:rPr>
        <w:t> </w:t>
      </w:r>
      <w:r>
        <w:rPr>
          <w:color w:val="231F20"/>
          <w:w w:val="105"/>
        </w:rPr>
        <w:t>tenido,</w:t>
      </w:r>
      <w:r>
        <w:rPr>
          <w:color w:val="231F20"/>
          <w:spacing w:val="-16"/>
          <w:w w:val="105"/>
        </w:rPr>
        <w:t> </w:t>
      </w:r>
      <w:r>
        <w:rPr>
          <w:color w:val="231F20"/>
          <w:w w:val="105"/>
        </w:rPr>
        <w:t>pues</w:t>
      </w:r>
      <w:r>
        <w:rPr>
          <w:color w:val="231F20"/>
          <w:spacing w:val="-16"/>
          <w:w w:val="105"/>
        </w:rPr>
        <w:t> </w:t>
      </w:r>
      <w:r>
        <w:rPr>
          <w:color w:val="231F20"/>
          <w:w w:val="105"/>
        </w:rPr>
        <w:t>una</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preocupaciones</w:t>
      </w:r>
      <w:r>
        <w:rPr>
          <w:color w:val="231F20"/>
          <w:spacing w:val="-16"/>
          <w:w w:val="105"/>
        </w:rPr>
        <w:t> </w:t>
      </w:r>
      <w:r>
        <w:rPr>
          <w:color w:val="231F20"/>
          <w:w w:val="105"/>
        </w:rPr>
        <w:t>del Presidente Municipal es que se dé la atención debida no solo </w:t>
      </w:r>
      <w:r>
        <w:rPr>
          <w:color w:val="231F20"/>
          <w:spacing w:val="2"/>
          <w:w w:val="105"/>
        </w:rPr>
        <w:t>al </w:t>
      </w:r>
      <w:r>
        <w:rPr>
          <w:color w:val="231F20"/>
          <w:w w:val="105"/>
        </w:rPr>
        <w:t>trabajo administrativo sino</w:t>
      </w:r>
      <w:r>
        <w:rPr>
          <w:color w:val="231F20"/>
          <w:spacing w:val="-11"/>
          <w:w w:val="105"/>
        </w:rPr>
        <w:t> </w:t>
      </w:r>
      <w:r>
        <w:rPr>
          <w:color w:val="231F20"/>
          <w:spacing w:val="2"/>
          <w:w w:val="105"/>
        </w:rPr>
        <w:t>al</w:t>
      </w:r>
      <w:r>
        <w:rPr>
          <w:color w:val="231F20"/>
          <w:spacing w:val="-11"/>
          <w:w w:val="105"/>
        </w:rPr>
        <w:t> </w:t>
      </w:r>
      <w:r>
        <w:rPr>
          <w:color w:val="231F20"/>
          <w:w w:val="105"/>
        </w:rPr>
        <w:t>trato</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gente.</w:t>
      </w:r>
    </w:p>
    <w:p>
      <w:pPr>
        <w:pStyle w:val="BodyText"/>
        <w:spacing w:before="1"/>
        <w:rPr>
          <w:sz w:val="26"/>
        </w:rPr>
      </w:pPr>
    </w:p>
    <w:p>
      <w:pPr>
        <w:pStyle w:val="BodyText"/>
        <w:spacing w:line="285" w:lineRule="auto"/>
        <w:ind w:left="110" w:right="108"/>
        <w:jc w:val="both"/>
      </w:pPr>
      <w:r>
        <w:rPr>
          <w:color w:val="231F20"/>
          <w:w w:val="105"/>
        </w:rPr>
        <w:t>Esta</w:t>
      </w:r>
      <w:r>
        <w:rPr>
          <w:color w:val="231F20"/>
          <w:spacing w:val="-7"/>
          <w:w w:val="105"/>
        </w:rPr>
        <w:t> </w:t>
      </w:r>
      <w:r>
        <w:rPr>
          <w:color w:val="231F20"/>
          <w:w w:val="105"/>
        </w:rPr>
        <w:t>constante</w:t>
      </w:r>
      <w:r>
        <w:rPr>
          <w:color w:val="231F20"/>
          <w:spacing w:val="-7"/>
          <w:w w:val="105"/>
        </w:rPr>
        <w:t> </w:t>
      </w:r>
      <w:r>
        <w:rPr>
          <w:color w:val="231F20"/>
          <w:w w:val="105"/>
        </w:rPr>
        <w:t>movilidad</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directores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diferentes</w:t>
      </w:r>
      <w:r>
        <w:rPr>
          <w:color w:val="231F20"/>
          <w:spacing w:val="-7"/>
          <w:w w:val="105"/>
        </w:rPr>
        <w:t> </w:t>
      </w:r>
      <w:r>
        <w:rPr>
          <w:color w:val="231F20"/>
          <w:w w:val="105"/>
        </w:rPr>
        <w:t>departamentos</w:t>
      </w:r>
      <w:r>
        <w:rPr>
          <w:color w:val="231F20"/>
          <w:spacing w:val="-7"/>
          <w:w w:val="105"/>
        </w:rPr>
        <w:t> </w:t>
      </w:r>
      <w:r>
        <w:rPr>
          <w:color w:val="231F20"/>
          <w:w w:val="105"/>
        </w:rPr>
        <w:t>propicia</w:t>
      </w:r>
      <w:r>
        <w:rPr>
          <w:color w:val="231F20"/>
          <w:spacing w:val="-7"/>
          <w:w w:val="105"/>
        </w:rPr>
        <w:t> </w:t>
      </w:r>
      <w:r>
        <w:rPr>
          <w:color w:val="231F20"/>
          <w:w w:val="105"/>
        </w:rPr>
        <w:t>un deficiente</w:t>
      </w:r>
      <w:r>
        <w:rPr>
          <w:color w:val="231F20"/>
          <w:spacing w:val="-20"/>
          <w:w w:val="105"/>
        </w:rPr>
        <w:t> </w:t>
      </w:r>
      <w:r>
        <w:rPr>
          <w:color w:val="231F20"/>
          <w:w w:val="105"/>
        </w:rPr>
        <w:t>desempeño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trabajadores,</w:t>
      </w:r>
      <w:r>
        <w:rPr>
          <w:color w:val="231F20"/>
          <w:spacing w:val="-20"/>
          <w:w w:val="105"/>
        </w:rPr>
        <w:t> </w:t>
      </w:r>
      <w:r>
        <w:rPr>
          <w:color w:val="231F20"/>
          <w:w w:val="105"/>
        </w:rPr>
        <w:t>pues</w:t>
      </w:r>
      <w:r>
        <w:rPr>
          <w:color w:val="231F20"/>
          <w:spacing w:val="-20"/>
          <w:w w:val="105"/>
        </w:rPr>
        <w:t> </w:t>
      </w:r>
      <w:r>
        <w:rPr>
          <w:color w:val="231F20"/>
          <w:w w:val="105"/>
        </w:rPr>
        <w:t>no</w:t>
      </w:r>
      <w:r>
        <w:rPr>
          <w:color w:val="231F20"/>
          <w:spacing w:val="-20"/>
          <w:w w:val="105"/>
        </w:rPr>
        <w:t> </w:t>
      </w:r>
      <w:r>
        <w:rPr>
          <w:color w:val="231F20"/>
          <w:w w:val="105"/>
        </w:rPr>
        <w:t>se</w:t>
      </w:r>
      <w:r>
        <w:rPr>
          <w:color w:val="231F20"/>
          <w:spacing w:val="-20"/>
          <w:w w:val="105"/>
        </w:rPr>
        <w:t> </w:t>
      </w:r>
      <w:r>
        <w:rPr>
          <w:color w:val="231F20"/>
          <w:w w:val="105"/>
        </w:rPr>
        <w:t>sabe</w:t>
      </w:r>
      <w:r>
        <w:rPr>
          <w:color w:val="231F20"/>
          <w:spacing w:val="-20"/>
          <w:w w:val="105"/>
        </w:rPr>
        <w:t> </w:t>
      </w:r>
      <w:r>
        <w:rPr>
          <w:color w:val="231F20"/>
          <w:w w:val="105"/>
        </w:rPr>
        <w:t>con</w:t>
      </w:r>
      <w:r>
        <w:rPr>
          <w:color w:val="231F20"/>
          <w:spacing w:val="-20"/>
          <w:w w:val="105"/>
        </w:rPr>
        <w:t> </w:t>
      </w:r>
      <w:r>
        <w:rPr>
          <w:color w:val="231F20"/>
          <w:w w:val="105"/>
        </w:rPr>
        <w:t>claridad</w:t>
      </w:r>
      <w:r>
        <w:rPr>
          <w:color w:val="231F20"/>
          <w:spacing w:val="-20"/>
          <w:w w:val="105"/>
        </w:rPr>
        <w:t> </w:t>
      </w:r>
      <w:r>
        <w:rPr>
          <w:color w:val="231F20"/>
          <w:w w:val="105"/>
        </w:rPr>
        <w:t>cuáles</w:t>
      </w:r>
      <w:r>
        <w:rPr>
          <w:color w:val="231F20"/>
          <w:spacing w:val="-20"/>
          <w:w w:val="105"/>
        </w:rPr>
        <w:t> </w:t>
      </w:r>
      <w:r>
        <w:rPr>
          <w:color w:val="231F20"/>
          <w:w w:val="105"/>
        </w:rPr>
        <w:t>fueron</w:t>
      </w:r>
      <w:r>
        <w:rPr>
          <w:color w:val="231F20"/>
          <w:spacing w:val="-20"/>
          <w:w w:val="105"/>
        </w:rPr>
        <w:t> </w:t>
      </w:r>
      <w:r>
        <w:rPr>
          <w:color w:val="231F20"/>
          <w:w w:val="105"/>
        </w:rPr>
        <w:t>los parámetros</w:t>
      </w:r>
      <w:r>
        <w:rPr>
          <w:color w:val="231F20"/>
          <w:spacing w:val="-10"/>
          <w:w w:val="105"/>
        </w:rPr>
        <w:t> </w:t>
      </w:r>
      <w:r>
        <w:rPr>
          <w:color w:val="231F20"/>
          <w:w w:val="105"/>
        </w:rPr>
        <w:t>que</w:t>
      </w:r>
      <w:r>
        <w:rPr>
          <w:color w:val="231F20"/>
          <w:spacing w:val="-10"/>
          <w:w w:val="105"/>
        </w:rPr>
        <w:t> </w:t>
      </w:r>
      <w:r>
        <w:rPr>
          <w:color w:val="231F20"/>
          <w:w w:val="105"/>
        </w:rPr>
        <w:t>provocaron</w:t>
      </w:r>
      <w:r>
        <w:rPr>
          <w:color w:val="231F20"/>
          <w:spacing w:val="-10"/>
          <w:w w:val="105"/>
        </w:rPr>
        <w:t> </w:t>
      </w:r>
      <w:r>
        <w:rPr>
          <w:color w:val="231F20"/>
          <w:w w:val="105"/>
        </w:rPr>
        <w:t>las</w:t>
      </w:r>
      <w:r>
        <w:rPr>
          <w:color w:val="231F20"/>
          <w:spacing w:val="-10"/>
          <w:w w:val="105"/>
        </w:rPr>
        <w:t> </w:t>
      </w:r>
      <w:r>
        <w:rPr>
          <w:color w:val="231F20"/>
          <w:w w:val="105"/>
        </w:rPr>
        <w:t>remociones</w:t>
      </w:r>
      <w:r>
        <w:rPr>
          <w:color w:val="231F20"/>
          <w:spacing w:val="-10"/>
          <w:w w:val="105"/>
        </w:rPr>
        <w:t> </w:t>
      </w:r>
      <w:r>
        <w:rPr>
          <w:color w:val="231F20"/>
          <w:w w:val="105"/>
        </w:rPr>
        <w:t>y</w:t>
      </w:r>
      <w:r>
        <w:rPr>
          <w:color w:val="231F20"/>
          <w:spacing w:val="-10"/>
          <w:w w:val="105"/>
        </w:rPr>
        <w:t> </w:t>
      </w:r>
      <w:r>
        <w:rPr>
          <w:color w:val="231F20"/>
          <w:w w:val="105"/>
        </w:rPr>
        <w:t>porque</w:t>
      </w:r>
      <w:r>
        <w:rPr>
          <w:color w:val="231F20"/>
          <w:spacing w:val="-10"/>
          <w:w w:val="105"/>
        </w:rPr>
        <w:t> </w:t>
      </w:r>
      <w:r>
        <w:rPr>
          <w:color w:val="231F20"/>
          <w:w w:val="105"/>
        </w:rPr>
        <w:t>la</w:t>
      </w:r>
      <w:r>
        <w:rPr>
          <w:color w:val="231F20"/>
          <w:spacing w:val="-10"/>
          <w:w w:val="105"/>
        </w:rPr>
        <w:t> </w:t>
      </w:r>
      <w:r>
        <w:rPr>
          <w:color w:val="231F20"/>
          <w:w w:val="105"/>
        </w:rPr>
        <w:t>llegada</w:t>
      </w:r>
      <w:r>
        <w:rPr>
          <w:color w:val="231F20"/>
          <w:spacing w:val="-10"/>
          <w:w w:val="105"/>
        </w:rPr>
        <w:t> </w:t>
      </w:r>
      <w:r>
        <w:rPr>
          <w:color w:val="231F20"/>
          <w:w w:val="105"/>
        </w:rPr>
        <w:t>de</w:t>
      </w:r>
      <w:r>
        <w:rPr>
          <w:color w:val="231F20"/>
          <w:spacing w:val="-10"/>
          <w:w w:val="105"/>
        </w:rPr>
        <w:t> </w:t>
      </w:r>
      <w:r>
        <w:rPr>
          <w:color w:val="231F20"/>
          <w:w w:val="105"/>
        </w:rPr>
        <w:t>nuevos</w:t>
      </w:r>
      <w:r>
        <w:rPr>
          <w:color w:val="231F20"/>
          <w:spacing w:val="-10"/>
          <w:w w:val="105"/>
        </w:rPr>
        <w:t> </w:t>
      </w:r>
      <w:r>
        <w:rPr>
          <w:color w:val="231F20"/>
          <w:w w:val="105"/>
        </w:rPr>
        <w:t>responsables sin</w:t>
      </w:r>
      <w:r>
        <w:rPr>
          <w:color w:val="231F20"/>
          <w:spacing w:val="-15"/>
          <w:w w:val="105"/>
        </w:rPr>
        <w:t> </w:t>
      </w:r>
      <w:r>
        <w:rPr>
          <w:color w:val="231F20"/>
          <w:w w:val="105"/>
        </w:rPr>
        <w:t>conocimiento</w:t>
      </w:r>
      <w:r>
        <w:rPr>
          <w:color w:val="231F20"/>
          <w:spacing w:val="-15"/>
          <w:w w:val="105"/>
        </w:rPr>
        <w:t> </w:t>
      </w:r>
      <w:r>
        <w:rPr>
          <w:color w:val="231F20"/>
          <w:w w:val="105"/>
        </w:rPr>
        <w:t>del</w:t>
      </w:r>
      <w:r>
        <w:rPr>
          <w:color w:val="231F20"/>
          <w:spacing w:val="-15"/>
          <w:w w:val="105"/>
        </w:rPr>
        <w:t> </w:t>
      </w:r>
      <w:r>
        <w:rPr>
          <w:color w:val="231F20"/>
          <w:w w:val="105"/>
        </w:rPr>
        <w:t>área</w:t>
      </w:r>
      <w:r>
        <w:rPr>
          <w:color w:val="231F20"/>
          <w:spacing w:val="-15"/>
          <w:w w:val="105"/>
        </w:rPr>
        <w:t> </w:t>
      </w:r>
      <w:r>
        <w:rPr>
          <w:color w:val="231F20"/>
          <w:w w:val="105"/>
        </w:rPr>
        <w:t>obliga</w:t>
      </w:r>
      <w:r>
        <w:rPr>
          <w:color w:val="231F20"/>
          <w:spacing w:val="-15"/>
          <w:w w:val="105"/>
        </w:rPr>
        <w:t> </w:t>
      </w:r>
      <w:r>
        <w:rPr>
          <w:color w:val="231F20"/>
          <w:w w:val="105"/>
        </w:rPr>
        <w:t>a</w:t>
      </w:r>
      <w:r>
        <w:rPr>
          <w:color w:val="231F20"/>
          <w:spacing w:val="-15"/>
          <w:w w:val="105"/>
        </w:rPr>
        <w:t> </w:t>
      </w:r>
      <w:r>
        <w:rPr>
          <w:color w:val="231F20"/>
          <w:w w:val="105"/>
        </w:rPr>
        <w:t>un</w:t>
      </w:r>
      <w:r>
        <w:rPr>
          <w:color w:val="231F20"/>
          <w:spacing w:val="-15"/>
          <w:w w:val="105"/>
        </w:rPr>
        <w:t> </w:t>
      </w:r>
      <w:r>
        <w:rPr>
          <w:color w:val="231F20"/>
          <w:w w:val="105"/>
        </w:rPr>
        <w:t>nuevo</w:t>
      </w:r>
      <w:r>
        <w:rPr>
          <w:color w:val="231F20"/>
          <w:spacing w:val="-15"/>
          <w:w w:val="105"/>
        </w:rPr>
        <w:t> </w:t>
      </w:r>
      <w:r>
        <w:rPr>
          <w:color w:val="231F20"/>
          <w:w w:val="105"/>
        </w:rPr>
        <w:t>proceso</w:t>
      </w:r>
      <w:r>
        <w:rPr>
          <w:color w:val="231F20"/>
          <w:spacing w:val="-15"/>
          <w:w w:val="105"/>
        </w:rPr>
        <w:t> </w:t>
      </w:r>
      <w:r>
        <w:rPr>
          <w:color w:val="231F20"/>
          <w:w w:val="105"/>
        </w:rPr>
        <w:t>de</w:t>
      </w:r>
      <w:r>
        <w:rPr>
          <w:color w:val="231F20"/>
          <w:spacing w:val="-15"/>
          <w:w w:val="105"/>
        </w:rPr>
        <w:t> </w:t>
      </w:r>
      <w:r>
        <w:rPr>
          <w:color w:val="231F20"/>
          <w:w w:val="105"/>
        </w:rPr>
        <w:t>aprendizaje.</w:t>
      </w:r>
    </w:p>
    <w:p>
      <w:pPr>
        <w:pStyle w:val="BodyText"/>
        <w:spacing w:line="285" w:lineRule="auto" w:before="1"/>
        <w:ind w:left="677" w:right="108"/>
        <w:jc w:val="both"/>
      </w:pPr>
      <w:r>
        <w:rPr>
          <w:color w:val="231F20"/>
          <w:w w:val="105"/>
        </w:rPr>
        <w:t>…reconozco, no porque emane de este partido, que es uno de los partidos que más invierte en la capacitación de la gente que postulan </w:t>
      </w:r>
      <w:r>
        <w:rPr>
          <w:color w:val="231F20"/>
          <w:spacing w:val="2"/>
          <w:w w:val="105"/>
        </w:rPr>
        <w:t>al </w:t>
      </w:r>
      <w:r>
        <w:rPr>
          <w:color w:val="231F20"/>
          <w:spacing w:val="-3"/>
          <w:w w:val="105"/>
        </w:rPr>
        <w:t>gobierno. </w:t>
      </w:r>
      <w:r>
        <w:rPr>
          <w:color w:val="231F20"/>
          <w:w w:val="105"/>
        </w:rPr>
        <w:t>Entonces, nosotros tuvimos entre otros cursos, un curso en el municipio de Atizapán de Zaragoza en el Hotel de </w:t>
      </w:r>
      <w:r>
        <w:rPr>
          <w:color w:val="231F20"/>
          <w:spacing w:val="-5"/>
          <w:w w:val="105"/>
        </w:rPr>
        <w:t>Rey, </w:t>
      </w:r>
      <w:r>
        <w:rPr>
          <w:color w:val="231F20"/>
          <w:w w:val="105"/>
        </w:rPr>
        <w:t>un curso en que el Comité Estatal pago el 70% y nosotros,</w:t>
      </w:r>
      <w:r>
        <w:rPr>
          <w:color w:val="231F20"/>
          <w:spacing w:val="-8"/>
          <w:w w:val="105"/>
        </w:rPr>
        <w:t> </w:t>
      </w:r>
      <w:r>
        <w:rPr>
          <w:color w:val="231F20"/>
          <w:w w:val="105"/>
        </w:rPr>
        <w:t>entre</w:t>
      </w:r>
      <w:r>
        <w:rPr>
          <w:color w:val="231F20"/>
          <w:spacing w:val="-8"/>
          <w:w w:val="105"/>
        </w:rPr>
        <w:t> </w:t>
      </w:r>
      <w:r>
        <w:rPr>
          <w:color w:val="231F20"/>
          <w:w w:val="105"/>
        </w:rPr>
        <w:t>todas</w:t>
      </w:r>
      <w:r>
        <w:rPr>
          <w:color w:val="231F20"/>
          <w:spacing w:val="-8"/>
          <w:w w:val="105"/>
        </w:rPr>
        <w:t> </w:t>
      </w:r>
      <w:r>
        <w:rPr>
          <w:color w:val="231F20"/>
          <w:w w:val="105"/>
        </w:rPr>
        <w:t>las</w:t>
      </w:r>
      <w:r>
        <w:rPr>
          <w:color w:val="231F20"/>
          <w:spacing w:val="-8"/>
          <w:w w:val="105"/>
        </w:rPr>
        <w:t> </w:t>
      </w:r>
      <w:r>
        <w:rPr>
          <w:color w:val="231F20"/>
          <w:w w:val="105"/>
        </w:rPr>
        <w:t>personas</w:t>
      </w:r>
      <w:r>
        <w:rPr>
          <w:color w:val="231F20"/>
          <w:spacing w:val="-8"/>
          <w:w w:val="105"/>
        </w:rPr>
        <w:t> </w:t>
      </w:r>
      <w:r>
        <w:rPr>
          <w:color w:val="231F20"/>
          <w:w w:val="105"/>
        </w:rPr>
        <w:t>que</w:t>
      </w:r>
      <w:r>
        <w:rPr>
          <w:color w:val="231F20"/>
          <w:spacing w:val="-8"/>
          <w:w w:val="105"/>
        </w:rPr>
        <w:t> </w:t>
      </w:r>
      <w:r>
        <w:rPr>
          <w:color w:val="231F20"/>
          <w:w w:val="105"/>
        </w:rPr>
        <w:t>tomaron</w:t>
      </w:r>
      <w:r>
        <w:rPr>
          <w:color w:val="231F20"/>
          <w:spacing w:val="-8"/>
          <w:w w:val="105"/>
        </w:rPr>
        <w:t> </w:t>
      </w:r>
      <w:r>
        <w:rPr>
          <w:color w:val="231F20"/>
          <w:w w:val="105"/>
        </w:rPr>
        <w:t>el</w:t>
      </w:r>
      <w:r>
        <w:rPr>
          <w:color w:val="231F20"/>
          <w:spacing w:val="-8"/>
          <w:w w:val="105"/>
        </w:rPr>
        <w:t> </w:t>
      </w:r>
      <w:r>
        <w:rPr>
          <w:color w:val="231F20"/>
          <w:w w:val="105"/>
        </w:rPr>
        <w:t>curso</w:t>
      </w:r>
      <w:r>
        <w:rPr>
          <w:color w:val="231F20"/>
          <w:spacing w:val="-8"/>
          <w:w w:val="105"/>
        </w:rPr>
        <w:t> </w:t>
      </w:r>
      <w:r>
        <w:rPr>
          <w:color w:val="231F20"/>
          <w:w w:val="105"/>
        </w:rPr>
        <w:t>del</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8"/>
          <w:w w:val="105"/>
        </w:rPr>
        <w:t> </w:t>
      </w:r>
      <w:r>
        <w:rPr>
          <w:color w:val="231F20"/>
          <w:w w:val="105"/>
        </w:rPr>
        <w:t>el </w:t>
      </w:r>
      <w:r>
        <w:rPr>
          <w:color w:val="231F20"/>
        </w:rPr>
        <w:t>30% (Navarro,</w:t>
      </w:r>
      <w:r>
        <w:rPr>
          <w:color w:val="231F20"/>
          <w:spacing w:val="-4"/>
        </w:rPr>
        <w:t> </w:t>
      </w:r>
      <w:r>
        <w:rPr>
          <w:color w:val="231F20"/>
        </w:rPr>
        <w:t>2008)</w:t>
      </w:r>
    </w:p>
    <w:p>
      <w:pPr>
        <w:pStyle w:val="BodyText"/>
        <w:spacing w:before="1"/>
        <w:rPr>
          <w:sz w:val="26"/>
        </w:rPr>
      </w:pPr>
    </w:p>
    <w:p>
      <w:pPr>
        <w:pStyle w:val="BodyText"/>
        <w:spacing w:line="285" w:lineRule="auto"/>
        <w:ind w:left="110" w:right="107"/>
        <w:jc w:val="both"/>
      </w:pPr>
      <w:r>
        <w:rPr>
          <w:color w:val="231F20"/>
          <w:w w:val="105"/>
        </w:rPr>
        <w:t>Por</w:t>
      </w:r>
      <w:r>
        <w:rPr>
          <w:color w:val="231F20"/>
          <w:spacing w:val="-4"/>
          <w:w w:val="105"/>
        </w:rPr>
        <w:t> </w:t>
      </w:r>
      <w:r>
        <w:rPr>
          <w:color w:val="231F20"/>
          <w:spacing w:val="3"/>
          <w:w w:val="105"/>
        </w:rPr>
        <w:t>parte</w:t>
      </w:r>
      <w:r>
        <w:rPr>
          <w:color w:val="231F20"/>
          <w:spacing w:val="-4"/>
          <w:w w:val="105"/>
        </w:rPr>
        <w:t> </w:t>
      </w:r>
      <w:r>
        <w:rPr>
          <w:color w:val="231F20"/>
          <w:w w:val="105"/>
        </w:rPr>
        <w:t>del</w:t>
      </w:r>
      <w:r>
        <w:rPr>
          <w:color w:val="231F20"/>
          <w:spacing w:val="-4"/>
          <w:w w:val="105"/>
        </w:rPr>
        <w:t> </w:t>
      </w:r>
      <w:r>
        <w:rPr>
          <w:color w:val="231F20"/>
          <w:w w:val="105"/>
        </w:rPr>
        <w:t>gobierno</w:t>
      </w:r>
      <w:r>
        <w:rPr>
          <w:color w:val="231F20"/>
          <w:spacing w:val="-4"/>
          <w:w w:val="105"/>
        </w:rPr>
        <w:t> </w:t>
      </w:r>
      <w:r>
        <w:rPr>
          <w:color w:val="231F20"/>
          <w:w w:val="105"/>
        </w:rPr>
        <w:t>del</w:t>
      </w:r>
      <w:r>
        <w:rPr>
          <w:color w:val="231F20"/>
          <w:spacing w:val="-4"/>
          <w:w w:val="105"/>
        </w:rPr>
        <w:t> </w:t>
      </w:r>
      <w:r>
        <w:rPr>
          <w:color w:val="231F20"/>
          <w:w w:val="105"/>
        </w:rPr>
        <w:t>Estado,</w:t>
      </w:r>
      <w:r>
        <w:rPr>
          <w:color w:val="231F20"/>
          <w:spacing w:val="-4"/>
          <w:w w:val="105"/>
        </w:rPr>
        <w:t> </w:t>
      </w:r>
      <w:r>
        <w:rPr>
          <w:color w:val="231F20"/>
          <w:w w:val="105"/>
        </w:rPr>
        <w:t>también</w:t>
      </w:r>
      <w:r>
        <w:rPr>
          <w:color w:val="231F20"/>
          <w:spacing w:val="-4"/>
          <w:w w:val="105"/>
        </w:rPr>
        <w:t> </w:t>
      </w:r>
      <w:r>
        <w:rPr>
          <w:color w:val="231F20"/>
          <w:w w:val="105"/>
        </w:rPr>
        <w:t>los</w:t>
      </w:r>
      <w:r>
        <w:rPr>
          <w:color w:val="231F20"/>
          <w:spacing w:val="-4"/>
          <w:w w:val="105"/>
        </w:rPr>
        <w:t> </w:t>
      </w:r>
      <w:r>
        <w:rPr>
          <w:color w:val="231F20"/>
          <w:w w:val="105"/>
        </w:rPr>
        <w:t>miembros</w:t>
      </w:r>
      <w:r>
        <w:rPr>
          <w:color w:val="231F20"/>
          <w:spacing w:val="-4"/>
          <w:w w:val="105"/>
        </w:rPr>
        <w:t> </w:t>
      </w:r>
      <w:r>
        <w:rPr>
          <w:color w:val="231F20"/>
          <w:w w:val="105"/>
        </w:rPr>
        <w:t>del</w:t>
      </w:r>
      <w:r>
        <w:rPr>
          <w:color w:val="231F20"/>
          <w:spacing w:val="-4"/>
          <w:w w:val="105"/>
        </w:rPr>
        <w:t> </w:t>
      </w:r>
      <w:r>
        <w:rPr>
          <w:color w:val="231F20"/>
          <w:spacing w:val="2"/>
          <w:w w:val="105"/>
        </w:rPr>
        <w:t>ayuntamiento</w:t>
      </w:r>
      <w:r>
        <w:rPr>
          <w:color w:val="231F20"/>
          <w:spacing w:val="-4"/>
          <w:w w:val="105"/>
        </w:rPr>
        <w:t> </w:t>
      </w:r>
      <w:r>
        <w:rPr>
          <w:color w:val="231F20"/>
          <w:w w:val="105"/>
        </w:rPr>
        <w:t>recibieron y reciben </w:t>
      </w:r>
      <w:r>
        <w:rPr>
          <w:color w:val="231F20"/>
          <w:spacing w:val="2"/>
          <w:w w:val="105"/>
        </w:rPr>
        <w:t>cursos </w:t>
      </w:r>
      <w:r>
        <w:rPr>
          <w:color w:val="231F20"/>
          <w:w w:val="105"/>
        </w:rPr>
        <w:t>de capacitación, </w:t>
      </w:r>
      <w:r>
        <w:rPr>
          <w:color w:val="231F20"/>
          <w:spacing w:val="2"/>
          <w:w w:val="105"/>
        </w:rPr>
        <w:t>actualización </w:t>
      </w:r>
      <w:r>
        <w:rPr>
          <w:color w:val="231F20"/>
          <w:w w:val="105"/>
        </w:rPr>
        <w:t>y profesionalización </w:t>
      </w:r>
      <w:r>
        <w:rPr>
          <w:color w:val="231F20"/>
          <w:spacing w:val="2"/>
          <w:w w:val="105"/>
        </w:rPr>
        <w:t>para </w:t>
      </w:r>
      <w:r>
        <w:rPr>
          <w:color w:val="231F20"/>
          <w:spacing w:val="3"/>
          <w:w w:val="105"/>
        </w:rPr>
        <w:t>un </w:t>
      </w:r>
      <w:r>
        <w:rPr>
          <w:color w:val="231F20"/>
          <w:w w:val="105"/>
        </w:rPr>
        <w:t>mejor desempeño en </w:t>
      </w:r>
      <w:r>
        <w:rPr>
          <w:color w:val="231F20"/>
          <w:spacing w:val="2"/>
          <w:w w:val="105"/>
        </w:rPr>
        <w:t>sus </w:t>
      </w:r>
      <w:r>
        <w:rPr>
          <w:color w:val="231F20"/>
          <w:w w:val="105"/>
        </w:rPr>
        <w:t>comisiones, pues </w:t>
      </w:r>
      <w:r>
        <w:rPr>
          <w:color w:val="231F20"/>
          <w:spacing w:val="2"/>
          <w:w w:val="105"/>
        </w:rPr>
        <w:t>para </w:t>
      </w:r>
      <w:r>
        <w:rPr>
          <w:color w:val="231F20"/>
          <w:w w:val="105"/>
        </w:rPr>
        <w:t>que el municipio </w:t>
      </w:r>
      <w:r>
        <w:rPr>
          <w:color w:val="231F20"/>
          <w:spacing w:val="2"/>
          <w:w w:val="105"/>
        </w:rPr>
        <w:t>realice todas </w:t>
      </w:r>
      <w:r>
        <w:rPr>
          <w:color w:val="231F20"/>
          <w:w w:val="105"/>
        </w:rPr>
        <w:t>sus obras    de beneficio </w:t>
      </w:r>
      <w:r>
        <w:rPr>
          <w:color w:val="231F20"/>
          <w:spacing w:val="2"/>
          <w:w w:val="105"/>
        </w:rPr>
        <w:t>social </w:t>
      </w:r>
      <w:r>
        <w:rPr>
          <w:color w:val="231F20"/>
          <w:w w:val="105"/>
        </w:rPr>
        <w:t>necesita </w:t>
      </w:r>
      <w:r>
        <w:rPr>
          <w:color w:val="231F20"/>
          <w:spacing w:val="2"/>
          <w:w w:val="105"/>
        </w:rPr>
        <w:t>personal </w:t>
      </w:r>
      <w:r>
        <w:rPr>
          <w:color w:val="231F20"/>
          <w:w w:val="105"/>
        </w:rPr>
        <w:t>capacitado que </w:t>
      </w:r>
      <w:r>
        <w:rPr>
          <w:color w:val="231F20"/>
          <w:spacing w:val="2"/>
          <w:w w:val="105"/>
        </w:rPr>
        <w:t>distribuya </w:t>
      </w:r>
      <w:r>
        <w:rPr>
          <w:color w:val="231F20"/>
          <w:w w:val="105"/>
        </w:rPr>
        <w:t>los </w:t>
      </w:r>
      <w:r>
        <w:rPr>
          <w:color w:val="231F20"/>
          <w:spacing w:val="2"/>
          <w:w w:val="105"/>
        </w:rPr>
        <w:t>recursos </w:t>
      </w:r>
      <w:r>
        <w:rPr>
          <w:color w:val="231F20"/>
          <w:w w:val="105"/>
        </w:rPr>
        <w:t>racional- mente. Sin embargo, </w:t>
      </w:r>
      <w:r>
        <w:rPr>
          <w:color w:val="231F20"/>
          <w:spacing w:val="2"/>
          <w:w w:val="105"/>
        </w:rPr>
        <w:t>pareciese </w:t>
      </w:r>
      <w:r>
        <w:rPr>
          <w:color w:val="231F20"/>
          <w:w w:val="105"/>
        </w:rPr>
        <w:t>que los </w:t>
      </w:r>
      <w:r>
        <w:rPr>
          <w:color w:val="231F20"/>
          <w:spacing w:val="2"/>
          <w:w w:val="105"/>
        </w:rPr>
        <w:t>cursos </w:t>
      </w:r>
      <w:r>
        <w:rPr>
          <w:color w:val="231F20"/>
          <w:w w:val="105"/>
        </w:rPr>
        <w:t>de capacitación, </w:t>
      </w:r>
      <w:r>
        <w:rPr>
          <w:color w:val="231F20"/>
          <w:spacing w:val="2"/>
          <w:w w:val="105"/>
        </w:rPr>
        <w:t>actualización </w:t>
      </w:r>
      <w:r>
        <w:rPr>
          <w:color w:val="231F20"/>
          <w:w w:val="105"/>
        </w:rPr>
        <w:t>y</w:t>
      </w:r>
      <w:r>
        <w:rPr>
          <w:color w:val="231F20"/>
          <w:spacing w:val="35"/>
          <w:w w:val="105"/>
        </w:rPr>
        <w:t> </w:t>
      </w:r>
      <w:r>
        <w:rPr>
          <w:color w:val="231F20"/>
          <w:w w:val="105"/>
        </w:rPr>
        <w:t>profe-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sionalización que ofrece el gobierno del Estado y Acción Nacional no suplieron las deficiencias del elevado número de funcionarios que fueron removidos en los dos pri- meros años del gobierno municipal.</w:t>
      </w:r>
    </w:p>
    <w:p>
      <w:pPr>
        <w:pStyle w:val="BodyText"/>
        <w:spacing w:before="1"/>
        <w:rPr>
          <w:sz w:val="26"/>
        </w:rPr>
      </w:pPr>
    </w:p>
    <w:p>
      <w:pPr>
        <w:pStyle w:val="BodyText"/>
        <w:spacing w:line="285" w:lineRule="auto"/>
        <w:ind w:left="110" w:right="105"/>
        <w:jc w:val="both"/>
      </w:pPr>
      <w:r>
        <w:rPr>
          <w:color w:val="231F20"/>
          <w:w w:val="105"/>
        </w:rPr>
        <w:t>En </w:t>
      </w:r>
      <w:r>
        <w:rPr>
          <w:color w:val="231F20"/>
          <w:spacing w:val="2"/>
          <w:w w:val="105"/>
        </w:rPr>
        <w:t>cuanto </w:t>
      </w:r>
      <w:r>
        <w:rPr>
          <w:color w:val="231F20"/>
          <w:w w:val="105"/>
        </w:rPr>
        <w:t>a los </w:t>
      </w:r>
      <w:r>
        <w:rPr>
          <w:color w:val="231F20"/>
          <w:spacing w:val="2"/>
          <w:w w:val="105"/>
        </w:rPr>
        <w:t>ingresos </w:t>
      </w:r>
      <w:r>
        <w:rPr>
          <w:color w:val="231F20"/>
          <w:w w:val="105"/>
        </w:rPr>
        <w:t>Atlautla tiene </w:t>
      </w:r>
      <w:r>
        <w:rPr>
          <w:color w:val="231F20"/>
          <w:spacing w:val="3"/>
          <w:w w:val="105"/>
        </w:rPr>
        <w:t>una </w:t>
      </w:r>
      <w:r>
        <w:rPr>
          <w:color w:val="231F20"/>
          <w:w w:val="105"/>
        </w:rPr>
        <w:t>dependencia </w:t>
      </w:r>
      <w:r>
        <w:rPr>
          <w:color w:val="231F20"/>
          <w:spacing w:val="2"/>
          <w:w w:val="105"/>
        </w:rPr>
        <w:t>financiera </w:t>
      </w:r>
      <w:r>
        <w:rPr>
          <w:color w:val="231F20"/>
          <w:w w:val="105"/>
        </w:rPr>
        <w:t>de alrededor del </w:t>
      </w:r>
      <w:r>
        <w:rPr>
          <w:color w:val="231F20"/>
          <w:spacing w:val="-3"/>
          <w:w w:val="105"/>
        </w:rPr>
        <w:t>75%</w:t>
      </w:r>
      <w:r>
        <w:rPr>
          <w:color w:val="231F20"/>
          <w:spacing w:val="-15"/>
          <w:w w:val="105"/>
        </w:rPr>
        <w:t> </w:t>
      </w:r>
      <w:r>
        <w:rPr>
          <w:color w:val="231F20"/>
          <w:w w:val="105"/>
        </w:rPr>
        <w:t>de</w:t>
      </w:r>
      <w:r>
        <w:rPr>
          <w:color w:val="231F20"/>
          <w:spacing w:val="-15"/>
          <w:w w:val="105"/>
        </w:rPr>
        <w:t> </w:t>
      </w:r>
      <w:r>
        <w:rPr>
          <w:color w:val="231F20"/>
          <w:spacing w:val="2"/>
          <w:w w:val="105"/>
        </w:rPr>
        <w:t>recursos</w:t>
      </w:r>
      <w:r>
        <w:rPr>
          <w:color w:val="231F20"/>
          <w:spacing w:val="-15"/>
          <w:w w:val="105"/>
        </w:rPr>
        <w:t> </w:t>
      </w:r>
      <w:r>
        <w:rPr>
          <w:color w:val="231F20"/>
          <w:w w:val="105"/>
        </w:rPr>
        <w:t>que</w:t>
      </w:r>
      <w:r>
        <w:rPr>
          <w:color w:val="231F20"/>
          <w:spacing w:val="-15"/>
          <w:w w:val="105"/>
        </w:rPr>
        <w:t> </w:t>
      </w:r>
      <w:r>
        <w:rPr>
          <w:color w:val="231F20"/>
          <w:w w:val="105"/>
        </w:rPr>
        <w:t>provienen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federación</w:t>
      </w:r>
      <w:r>
        <w:rPr>
          <w:color w:val="231F20"/>
          <w:spacing w:val="-15"/>
          <w:w w:val="105"/>
        </w:rPr>
        <w:t> </w:t>
      </w:r>
      <w:r>
        <w:rPr>
          <w:color w:val="231F20"/>
          <w:w w:val="105"/>
        </w:rPr>
        <w:t>y</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situación</w:t>
      </w:r>
      <w:r>
        <w:rPr>
          <w:color w:val="231F20"/>
          <w:spacing w:val="-15"/>
          <w:w w:val="105"/>
        </w:rPr>
        <w:t> </w:t>
      </w:r>
      <w:r>
        <w:rPr>
          <w:color w:val="231F20"/>
          <w:w w:val="105"/>
        </w:rPr>
        <w:t>que</w:t>
      </w:r>
      <w:r>
        <w:rPr>
          <w:color w:val="231F20"/>
          <w:spacing w:val="-15"/>
          <w:w w:val="105"/>
        </w:rPr>
        <w:t> </w:t>
      </w:r>
      <w:r>
        <w:rPr>
          <w:color w:val="231F20"/>
          <w:w w:val="105"/>
        </w:rPr>
        <w:t>dice</w:t>
      </w:r>
      <w:r>
        <w:rPr>
          <w:color w:val="231F20"/>
          <w:spacing w:val="-15"/>
          <w:w w:val="105"/>
        </w:rPr>
        <w:t> </w:t>
      </w:r>
      <w:r>
        <w:rPr>
          <w:color w:val="231F20"/>
          <w:w w:val="105"/>
        </w:rPr>
        <w:t>mucho sobre lo que pueden hacer como </w:t>
      </w:r>
      <w:r>
        <w:rPr>
          <w:color w:val="231F20"/>
          <w:spacing w:val="2"/>
          <w:w w:val="105"/>
        </w:rPr>
        <w:t>iniciativa </w:t>
      </w:r>
      <w:r>
        <w:rPr>
          <w:color w:val="231F20"/>
          <w:w w:val="105"/>
        </w:rPr>
        <w:t>propia. En estos </w:t>
      </w:r>
      <w:r>
        <w:rPr>
          <w:color w:val="231F20"/>
          <w:spacing w:val="2"/>
          <w:w w:val="105"/>
        </w:rPr>
        <w:t>últimos </w:t>
      </w:r>
      <w:r>
        <w:rPr>
          <w:color w:val="231F20"/>
          <w:w w:val="105"/>
        </w:rPr>
        <w:t>años, los </w:t>
      </w:r>
      <w:r>
        <w:rPr>
          <w:color w:val="231F20"/>
          <w:spacing w:val="2"/>
          <w:w w:val="105"/>
        </w:rPr>
        <w:t>ingresos </w:t>
      </w:r>
      <w:r>
        <w:rPr>
          <w:color w:val="231F20"/>
          <w:w w:val="105"/>
        </w:rPr>
        <w:t>del municipio se </w:t>
      </w:r>
      <w:r>
        <w:rPr>
          <w:color w:val="231F20"/>
          <w:spacing w:val="3"/>
          <w:w w:val="105"/>
        </w:rPr>
        <w:t>han </w:t>
      </w:r>
      <w:r>
        <w:rPr>
          <w:color w:val="231F20"/>
          <w:w w:val="105"/>
        </w:rPr>
        <w:t>triplicado pero no </w:t>
      </w:r>
      <w:r>
        <w:rPr>
          <w:color w:val="231F20"/>
          <w:spacing w:val="3"/>
          <w:w w:val="105"/>
        </w:rPr>
        <w:t>han </w:t>
      </w:r>
      <w:r>
        <w:rPr>
          <w:color w:val="231F20"/>
          <w:w w:val="105"/>
        </w:rPr>
        <w:t>sido suficientes </w:t>
      </w:r>
      <w:r>
        <w:rPr>
          <w:color w:val="231F20"/>
          <w:spacing w:val="2"/>
          <w:w w:val="105"/>
        </w:rPr>
        <w:t>para lograr </w:t>
      </w:r>
      <w:r>
        <w:rPr>
          <w:color w:val="231F20"/>
          <w:w w:val="105"/>
        </w:rPr>
        <w:t>la autonomía </w:t>
      </w:r>
      <w:r>
        <w:rPr>
          <w:color w:val="231F20"/>
          <w:spacing w:val="2"/>
          <w:w w:val="105"/>
        </w:rPr>
        <w:t>financiera. </w:t>
      </w:r>
      <w:r>
        <w:rPr>
          <w:color w:val="231F20"/>
          <w:w w:val="105"/>
        </w:rPr>
        <w:t>En el año </w:t>
      </w:r>
      <w:r>
        <w:rPr>
          <w:color w:val="231F20"/>
          <w:spacing w:val="4"/>
          <w:w w:val="105"/>
        </w:rPr>
        <w:t>2008 </w:t>
      </w:r>
      <w:r>
        <w:rPr>
          <w:color w:val="231F20"/>
          <w:w w:val="105"/>
        </w:rPr>
        <w:t>los </w:t>
      </w:r>
      <w:r>
        <w:rPr>
          <w:color w:val="231F20"/>
          <w:spacing w:val="2"/>
          <w:w w:val="105"/>
        </w:rPr>
        <w:t>ingresos </w:t>
      </w:r>
      <w:r>
        <w:rPr>
          <w:color w:val="231F20"/>
          <w:w w:val="105"/>
        </w:rPr>
        <w:t>ascendieron a 73,381,927.33 de los </w:t>
      </w:r>
      <w:r>
        <w:rPr>
          <w:color w:val="231F20"/>
          <w:spacing w:val="2"/>
          <w:w w:val="105"/>
        </w:rPr>
        <w:t>cuales </w:t>
      </w:r>
      <w:r>
        <w:rPr>
          <w:color w:val="231F20"/>
          <w:w w:val="105"/>
        </w:rPr>
        <w:t>el 26%</w:t>
      </w:r>
      <w:r>
        <w:rPr>
          <w:color w:val="231F20"/>
          <w:spacing w:val="-15"/>
          <w:w w:val="105"/>
        </w:rPr>
        <w:t> </w:t>
      </w:r>
      <w:r>
        <w:rPr>
          <w:color w:val="231F20"/>
          <w:w w:val="105"/>
        </w:rPr>
        <w:t>corresponde</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spacing w:val="2"/>
          <w:w w:val="105"/>
        </w:rPr>
        <w:t>ingresos</w:t>
      </w:r>
      <w:r>
        <w:rPr>
          <w:color w:val="231F20"/>
          <w:spacing w:val="-15"/>
          <w:w w:val="105"/>
        </w:rPr>
        <w:t> </w:t>
      </w:r>
      <w:r>
        <w:rPr>
          <w:color w:val="231F20"/>
          <w:w w:val="105"/>
        </w:rPr>
        <w:t>propios</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spacing w:val="-4"/>
          <w:w w:val="105"/>
        </w:rPr>
        <w:t>74%</w:t>
      </w:r>
      <w:r>
        <w:rPr>
          <w:color w:val="231F20"/>
          <w:spacing w:val="-15"/>
          <w:w w:val="105"/>
        </w:rPr>
        <w:t> </w:t>
      </w:r>
      <w:r>
        <w:rPr>
          <w:color w:val="231F20"/>
          <w:w w:val="105"/>
        </w:rPr>
        <w:t>a</w:t>
      </w:r>
      <w:r>
        <w:rPr>
          <w:color w:val="231F20"/>
          <w:spacing w:val="-15"/>
          <w:w w:val="105"/>
        </w:rPr>
        <w:t> </w:t>
      </w:r>
      <w:r>
        <w:rPr>
          <w:color w:val="231F20"/>
          <w:w w:val="105"/>
        </w:rPr>
        <w:t>fondos</w:t>
      </w:r>
      <w:r>
        <w:rPr>
          <w:color w:val="231F20"/>
          <w:spacing w:val="-15"/>
          <w:w w:val="105"/>
        </w:rPr>
        <w:t> </w:t>
      </w:r>
      <w:r>
        <w:rPr>
          <w:color w:val="231F20"/>
          <w:w w:val="105"/>
        </w:rPr>
        <w:t>por</w:t>
      </w:r>
      <w:r>
        <w:rPr>
          <w:color w:val="231F20"/>
          <w:spacing w:val="-15"/>
          <w:w w:val="105"/>
        </w:rPr>
        <w:t> </w:t>
      </w:r>
      <w:r>
        <w:rPr>
          <w:color w:val="231F20"/>
          <w:w w:val="105"/>
        </w:rPr>
        <w:t>participaciones</w:t>
      </w:r>
      <w:r>
        <w:rPr>
          <w:color w:val="231F20"/>
          <w:spacing w:val="-15"/>
          <w:w w:val="105"/>
        </w:rPr>
        <w:t> </w:t>
      </w:r>
      <w:r>
        <w:rPr>
          <w:color w:val="231F20"/>
          <w:w w:val="105"/>
        </w:rPr>
        <w:t>y</w:t>
      </w:r>
      <w:r>
        <w:rPr>
          <w:color w:val="231F20"/>
          <w:spacing w:val="-15"/>
          <w:w w:val="105"/>
        </w:rPr>
        <w:t> </w:t>
      </w:r>
      <w:r>
        <w:rPr>
          <w:color w:val="231F20"/>
          <w:w w:val="105"/>
        </w:rPr>
        <w:t>aporta- ciones federales y </w:t>
      </w:r>
      <w:r>
        <w:rPr>
          <w:color w:val="231F20"/>
          <w:spacing w:val="2"/>
          <w:w w:val="105"/>
        </w:rPr>
        <w:t>estatales. </w:t>
      </w:r>
      <w:r>
        <w:rPr>
          <w:color w:val="231F20"/>
          <w:w w:val="105"/>
        </w:rPr>
        <w:t>De </w:t>
      </w:r>
      <w:r>
        <w:rPr>
          <w:color w:val="231F20"/>
          <w:spacing w:val="2"/>
          <w:w w:val="105"/>
        </w:rPr>
        <w:t>sus ingresos </w:t>
      </w:r>
      <w:r>
        <w:rPr>
          <w:color w:val="231F20"/>
          <w:w w:val="105"/>
        </w:rPr>
        <w:t>propios, el </w:t>
      </w:r>
      <w:r>
        <w:rPr>
          <w:color w:val="231F20"/>
          <w:spacing w:val="2"/>
          <w:w w:val="105"/>
        </w:rPr>
        <w:t>más importante </w:t>
      </w:r>
      <w:r>
        <w:rPr>
          <w:color w:val="231F20"/>
          <w:w w:val="105"/>
        </w:rPr>
        <w:t>por su monto es el proveniente del Impuesto </w:t>
      </w:r>
      <w:r>
        <w:rPr>
          <w:color w:val="231F20"/>
          <w:spacing w:val="2"/>
          <w:w w:val="105"/>
        </w:rPr>
        <w:t>Predial </w:t>
      </w:r>
      <w:r>
        <w:rPr>
          <w:color w:val="231F20"/>
          <w:w w:val="105"/>
        </w:rPr>
        <w:t>que representa </w:t>
      </w:r>
      <w:r>
        <w:rPr>
          <w:color w:val="231F20"/>
          <w:spacing w:val="-4"/>
          <w:w w:val="105"/>
        </w:rPr>
        <w:t>74.17% </w:t>
      </w:r>
      <w:r>
        <w:rPr>
          <w:color w:val="231F20"/>
          <w:w w:val="105"/>
        </w:rPr>
        <w:t>de los </w:t>
      </w:r>
      <w:r>
        <w:rPr>
          <w:color w:val="231F20"/>
          <w:spacing w:val="2"/>
          <w:w w:val="105"/>
        </w:rPr>
        <w:t>ingresos</w:t>
      </w:r>
      <w:r>
        <w:rPr>
          <w:color w:val="231F20"/>
          <w:spacing w:val="-33"/>
          <w:w w:val="105"/>
        </w:rPr>
        <w:t> </w:t>
      </w:r>
      <w:r>
        <w:rPr>
          <w:color w:val="231F20"/>
          <w:w w:val="105"/>
        </w:rPr>
        <w:t>propios. Sin</w:t>
      </w:r>
      <w:r>
        <w:rPr>
          <w:color w:val="231F20"/>
          <w:spacing w:val="-5"/>
          <w:w w:val="105"/>
        </w:rPr>
        <w:t> </w:t>
      </w:r>
      <w:r>
        <w:rPr>
          <w:color w:val="231F20"/>
          <w:w w:val="105"/>
        </w:rPr>
        <w:t>embargo,</w:t>
      </w:r>
      <w:r>
        <w:rPr>
          <w:color w:val="231F20"/>
          <w:spacing w:val="-5"/>
          <w:w w:val="105"/>
        </w:rPr>
        <w:t> </w:t>
      </w:r>
      <w:r>
        <w:rPr>
          <w:color w:val="231F20"/>
          <w:w w:val="105"/>
        </w:rPr>
        <w:t>ha</w:t>
      </w:r>
      <w:r>
        <w:rPr>
          <w:color w:val="231F20"/>
          <w:spacing w:val="-5"/>
          <w:w w:val="105"/>
        </w:rPr>
        <w:t> </w:t>
      </w:r>
      <w:r>
        <w:rPr>
          <w:color w:val="231F20"/>
          <w:w w:val="105"/>
        </w:rPr>
        <w:t>ido</w:t>
      </w:r>
      <w:r>
        <w:rPr>
          <w:color w:val="231F20"/>
          <w:spacing w:val="-5"/>
          <w:w w:val="105"/>
        </w:rPr>
        <w:t> </w:t>
      </w:r>
      <w:r>
        <w:rPr>
          <w:color w:val="231F20"/>
          <w:w w:val="105"/>
        </w:rPr>
        <w:t>en</w:t>
      </w:r>
      <w:r>
        <w:rPr>
          <w:color w:val="231F20"/>
          <w:spacing w:val="-5"/>
          <w:w w:val="105"/>
        </w:rPr>
        <w:t> </w:t>
      </w:r>
      <w:r>
        <w:rPr>
          <w:color w:val="231F20"/>
          <w:w w:val="105"/>
        </w:rPr>
        <w:t>detrimento,</w:t>
      </w:r>
      <w:r>
        <w:rPr>
          <w:color w:val="231F20"/>
          <w:spacing w:val="-5"/>
          <w:w w:val="105"/>
        </w:rPr>
        <w:t> </w:t>
      </w:r>
      <w:r>
        <w:rPr>
          <w:color w:val="231F20"/>
          <w:w w:val="105"/>
        </w:rPr>
        <w:t>pues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spacing w:val="5"/>
          <w:w w:val="105"/>
        </w:rPr>
        <w:t>2000</w:t>
      </w:r>
      <w:r>
        <w:rPr>
          <w:color w:val="231F20"/>
          <w:spacing w:val="-5"/>
          <w:w w:val="105"/>
        </w:rPr>
        <w:t> </w:t>
      </w:r>
      <w:r>
        <w:rPr>
          <w:color w:val="231F20"/>
          <w:w w:val="105"/>
        </w:rPr>
        <w:t>representaba</w:t>
      </w:r>
      <w:r>
        <w:rPr>
          <w:color w:val="231F20"/>
          <w:spacing w:val="-5"/>
          <w:w w:val="105"/>
        </w:rPr>
        <w:t> </w:t>
      </w:r>
      <w:r>
        <w:rPr>
          <w:color w:val="231F20"/>
          <w:w w:val="105"/>
        </w:rPr>
        <w:t>el</w:t>
      </w:r>
      <w:r>
        <w:rPr>
          <w:color w:val="231F20"/>
          <w:spacing w:val="-5"/>
          <w:w w:val="105"/>
        </w:rPr>
        <w:t> </w:t>
      </w:r>
      <w:r>
        <w:rPr>
          <w:color w:val="231F20"/>
          <w:w w:val="105"/>
        </w:rPr>
        <w:t>81.3%</w:t>
      </w:r>
      <w:r>
        <w:rPr>
          <w:color w:val="231F20"/>
          <w:spacing w:val="-5"/>
          <w:w w:val="105"/>
        </w:rPr>
        <w:t> </w:t>
      </w:r>
      <w:r>
        <w:rPr>
          <w:color w:val="231F20"/>
          <w:w w:val="105"/>
        </w:rPr>
        <w:t>del</w:t>
      </w:r>
      <w:r>
        <w:rPr>
          <w:color w:val="231F20"/>
          <w:spacing w:val="-5"/>
          <w:w w:val="105"/>
        </w:rPr>
        <w:t> </w:t>
      </w:r>
      <w:r>
        <w:rPr>
          <w:color w:val="231F20"/>
          <w:spacing w:val="2"/>
          <w:w w:val="105"/>
        </w:rPr>
        <w:t>total</w:t>
      </w:r>
      <w:r>
        <w:rPr>
          <w:color w:val="231F20"/>
          <w:spacing w:val="-5"/>
          <w:w w:val="105"/>
        </w:rPr>
        <w:t> </w:t>
      </w:r>
      <w:r>
        <w:rPr>
          <w:color w:val="231F20"/>
          <w:w w:val="105"/>
        </w:rPr>
        <w:t>de los </w:t>
      </w:r>
      <w:r>
        <w:rPr>
          <w:color w:val="231F20"/>
          <w:spacing w:val="2"/>
          <w:w w:val="105"/>
        </w:rPr>
        <w:t>ingresos</w:t>
      </w:r>
      <w:r>
        <w:rPr>
          <w:color w:val="231F20"/>
          <w:spacing w:val="-22"/>
          <w:w w:val="105"/>
        </w:rPr>
        <w:t> </w:t>
      </w:r>
      <w:r>
        <w:rPr>
          <w:color w:val="231F20"/>
          <w:w w:val="105"/>
        </w:rPr>
        <w:t>propios.</w:t>
      </w:r>
    </w:p>
    <w:p>
      <w:pPr>
        <w:pStyle w:val="BodyText"/>
        <w:spacing w:before="1"/>
        <w:rPr>
          <w:sz w:val="26"/>
        </w:rPr>
      </w:pPr>
    </w:p>
    <w:p>
      <w:pPr>
        <w:pStyle w:val="BodyText"/>
        <w:spacing w:line="285" w:lineRule="auto"/>
        <w:ind w:left="110" w:right="109"/>
        <w:jc w:val="both"/>
      </w:pP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con</w:t>
      </w:r>
      <w:r>
        <w:rPr>
          <w:color w:val="231F20"/>
          <w:spacing w:val="-10"/>
          <w:w w:val="105"/>
        </w:rPr>
        <w:t> </w:t>
      </w:r>
      <w:r>
        <w:rPr>
          <w:color w:val="231F20"/>
          <w:w w:val="105"/>
        </w:rPr>
        <w:t>los</w:t>
      </w:r>
      <w:r>
        <w:rPr>
          <w:color w:val="231F20"/>
          <w:spacing w:val="-10"/>
          <w:w w:val="105"/>
        </w:rPr>
        <w:t> </w:t>
      </w:r>
      <w:r>
        <w:rPr>
          <w:color w:val="231F20"/>
          <w:w w:val="105"/>
        </w:rPr>
        <w:t>que</w:t>
      </w:r>
      <w:r>
        <w:rPr>
          <w:color w:val="231F20"/>
          <w:spacing w:val="-10"/>
          <w:w w:val="105"/>
        </w:rPr>
        <w:t> </w:t>
      </w:r>
      <w:r>
        <w:rPr>
          <w:color w:val="231F20"/>
          <w:w w:val="105"/>
        </w:rPr>
        <w:t>cuenta</w:t>
      </w:r>
      <w:r>
        <w:rPr>
          <w:color w:val="231F20"/>
          <w:spacing w:val="-10"/>
          <w:w w:val="105"/>
        </w:rPr>
        <w:t> </w:t>
      </w:r>
      <w:r>
        <w:rPr>
          <w:color w:val="231F20"/>
          <w:w w:val="105"/>
        </w:rPr>
        <w:t>el</w:t>
      </w:r>
      <w:r>
        <w:rPr>
          <w:color w:val="231F20"/>
          <w:spacing w:val="-10"/>
          <w:w w:val="105"/>
        </w:rPr>
        <w:t> </w:t>
      </w:r>
      <w:r>
        <w:rPr>
          <w:color w:val="231F20"/>
          <w:w w:val="105"/>
        </w:rPr>
        <w:t>municipio,</w:t>
      </w:r>
      <w:r>
        <w:rPr>
          <w:color w:val="231F20"/>
          <w:spacing w:val="-10"/>
          <w:w w:val="105"/>
        </w:rPr>
        <w:t> </w:t>
      </w:r>
      <w:r>
        <w:rPr>
          <w:color w:val="231F20"/>
          <w:w w:val="105"/>
        </w:rPr>
        <w:t>más</w:t>
      </w:r>
      <w:r>
        <w:rPr>
          <w:color w:val="231F20"/>
          <w:spacing w:val="-10"/>
          <w:w w:val="105"/>
        </w:rPr>
        <w:t> </w:t>
      </w:r>
      <w:r>
        <w:rPr>
          <w:color w:val="231F20"/>
          <w:w w:val="105"/>
        </w:rPr>
        <w:t>del</w:t>
      </w:r>
      <w:r>
        <w:rPr>
          <w:color w:val="231F20"/>
          <w:spacing w:val="-10"/>
          <w:w w:val="105"/>
        </w:rPr>
        <w:t> </w:t>
      </w:r>
      <w:r>
        <w:rPr>
          <w:color w:val="231F20"/>
          <w:w w:val="105"/>
        </w:rPr>
        <w:t>30%</w:t>
      </w:r>
      <w:r>
        <w:rPr>
          <w:color w:val="231F20"/>
          <w:spacing w:val="-10"/>
          <w:w w:val="105"/>
        </w:rPr>
        <w:t> </w:t>
      </w:r>
      <w:r>
        <w:rPr>
          <w:color w:val="231F20"/>
          <w:w w:val="105"/>
        </w:rPr>
        <w:t>se</w:t>
      </w:r>
      <w:r>
        <w:rPr>
          <w:color w:val="231F20"/>
          <w:spacing w:val="-10"/>
          <w:w w:val="105"/>
        </w:rPr>
        <w:t> </w:t>
      </w:r>
      <w:r>
        <w:rPr>
          <w:color w:val="231F20"/>
          <w:w w:val="105"/>
        </w:rPr>
        <w:t>destina</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servicios personales.</w:t>
      </w:r>
      <w:r>
        <w:rPr>
          <w:color w:val="231F20"/>
          <w:spacing w:val="-18"/>
          <w:w w:val="105"/>
        </w:rPr>
        <w:t> </w:t>
      </w:r>
      <w:r>
        <w:rPr>
          <w:color w:val="231F20"/>
          <w:w w:val="105"/>
        </w:rPr>
        <w:t>Son</w:t>
      </w:r>
      <w:r>
        <w:rPr>
          <w:color w:val="231F20"/>
          <w:spacing w:val="-18"/>
          <w:w w:val="105"/>
        </w:rPr>
        <w:t> </w:t>
      </w:r>
      <w:r>
        <w:rPr>
          <w:color w:val="231F20"/>
          <w:w w:val="105"/>
        </w:rPr>
        <w:t>parte</w:t>
      </w:r>
      <w:r>
        <w:rPr>
          <w:color w:val="231F20"/>
          <w:spacing w:val="-18"/>
          <w:w w:val="105"/>
        </w:rPr>
        <w:t> </w:t>
      </w:r>
      <w:r>
        <w:rPr>
          <w:color w:val="231F20"/>
          <w:w w:val="105"/>
        </w:rPr>
        <w:t>del</w:t>
      </w:r>
      <w:r>
        <w:rPr>
          <w:color w:val="231F20"/>
          <w:spacing w:val="-19"/>
          <w:w w:val="105"/>
        </w:rPr>
        <w:t> </w:t>
      </w:r>
      <w:r>
        <w:rPr>
          <w:color w:val="231F20"/>
          <w:w w:val="105"/>
        </w:rPr>
        <w:t>gasto</w:t>
      </w:r>
      <w:r>
        <w:rPr>
          <w:color w:val="231F20"/>
          <w:spacing w:val="-19"/>
          <w:w w:val="105"/>
        </w:rPr>
        <w:t> </w:t>
      </w:r>
      <w:r>
        <w:rPr>
          <w:color w:val="231F20"/>
          <w:w w:val="105"/>
        </w:rPr>
        <w:t>corriente</w:t>
      </w:r>
      <w:r>
        <w:rPr>
          <w:color w:val="231F20"/>
          <w:spacing w:val="-19"/>
          <w:w w:val="105"/>
        </w:rPr>
        <w:t> </w:t>
      </w:r>
      <w:r>
        <w:rPr>
          <w:color w:val="231F20"/>
          <w:w w:val="105"/>
        </w:rPr>
        <w:t>que</w:t>
      </w:r>
      <w:r>
        <w:rPr>
          <w:color w:val="231F20"/>
          <w:spacing w:val="-19"/>
          <w:w w:val="105"/>
        </w:rPr>
        <w:t> </w:t>
      </w:r>
      <w:r>
        <w:rPr>
          <w:color w:val="231F20"/>
          <w:w w:val="105"/>
        </w:rPr>
        <w:t>asciende</w:t>
      </w:r>
      <w:r>
        <w:rPr>
          <w:color w:val="231F20"/>
          <w:spacing w:val="-19"/>
          <w:w w:val="105"/>
        </w:rPr>
        <w:t> </w:t>
      </w:r>
      <w:r>
        <w:rPr>
          <w:color w:val="231F20"/>
          <w:w w:val="105"/>
        </w:rPr>
        <w:t>a</w:t>
      </w:r>
      <w:r>
        <w:rPr>
          <w:color w:val="231F20"/>
          <w:spacing w:val="-19"/>
          <w:w w:val="105"/>
        </w:rPr>
        <w:t> </w:t>
      </w:r>
      <w:r>
        <w:rPr>
          <w:color w:val="231F20"/>
          <w:w w:val="105"/>
        </w:rPr>
        <w:t>más</w:t>
      </w:r>
      <w:r>
        <w:rPr>
          <w:color w:val="231F20"/>
          <w:spacing w:val="-19"/>
          <w:w w:val="105"/>
        </w:rPr>
        <w:t> </w:t>
      </w:r>
      <w:r>
        <w:rPr>
          <w:color w:val="231F20"/>
          <w:w w:val="105"/>
        </w:rPr>
        <w:t>del</w:t>
      </w:r>
      <w:r>
        <w:rPr>
          <w:color w:val="231F20"/>
          <w:spacing w:val="-18"/>
          <w:w w:val="105"/>
        </w:rPr>
        <w:t> </w:t>
      </w:r>
      <w:r>
        <w:rPr>
          <w:color w:val="231F20"/>
          <w:w w:val="105"/>
        </w:rPr>
        <w:t>53%,</w:t>
      </w:r>
      <w:r>
        <w:rPr>
          <w:color w:val="231F20"/>
          <w:spacing w:val="-19"/>
          <w:w w:val="105"/>
        </w:rPr>
        <w:t> </w:t>
      </w:r>
      <w:r>
        <w:rPr>
          <w:color w:val="231F20"/>
          <w:w w:val="105"/>
        </w:rPr>
        <w:t>le</w:t>
      </w:r>
      <w:r>
        <w:rPr>
          <w:color w:val="231F20"/>
          <w:spacing w:val="-19"/>
          <w:w w:val="105"/>
        </w:rPr>
        <w:t> </w:t>
      </w:r>
      <w:r>
        <w:rPr>
          <w:color w:val="231F20"/>
          <w:w w:val="105"/>
        </w:rPr>
        <w:t>sigue</w:t>
      </w:r>
      <w:r>
        <w:rPr>
          <w:color w:val="231F20"/>
          <w:spacing w:val="-18"/>
          <w:w w:val="105"/>
        </w:rPr>
        <w:t> </w:t>
      </w:r>
      <w:r>
        <w:rPr>
          <w:color w:val="231F20"/>
          <w:w w:val="105"/>
        </w:rPr>
        <w:t>el</w:t>
      </w:r>
      <w:r>
        <w:rPr>
          <w:color w:val="231F20"/>
          <w:spacing w:val="-19"/>
          <w:w w:val="105"/>
        </w:rPr>
        <w:t> </w:t>
      </w:r>
      <w:r>
        <w:rPr>
          <w:color w:val="231F20"/>
          <w:w w:val="105"/>
        </w:rPr>
        <w:t>35%</w:t>
      </w:r>
      <w:r>
        <w:rPr>
          <w:color w:val="231F20"/>
          <w:spacing w:val="-19"/>
          <w:w w:val="105"/>
        </w:rPr>
        <w:t> </w:t>
      </w:r>
      <w:r>
        <w:rPr>
          <w:color w:val="231F20"/>
          <w:w w:val="105"/>
        </w:rPr>
        <w:t>en gasto</w:t>
      </w:r>
      <w:r>
        <w:rPr>
          <w:color w:val="231F20"/>
          <w:spacing w:val="-16"/>
          <w:w w:val="105"/>
        </w:rPr>
        <w:t> </w:t>
      </w:r>
      <w:r>
        <w:rPr>
          <w:color w:val="231F20"/>
          <w:w w:val="105"/>
        </w:rPr>
        <w:t>de</w:t>
      </w:r>
      <w:r>
        <w:rPr>
          <w:color w:val="231F20"/>
          <w:spacing w:val="-16"/>
          <w:w w:val="105"/>
        </w:rPr>
        <w:t> </w:t>
      </w:r>
      <w:r>
        <w:rPr>
          <w:color w:val="231F20"/>
          <w:w w:val="105"/>
        </w:rPr>
        <w:t>inversión</w:t>
      </w:r>
      <w:r>
        <w:rPr>
          <w:color w:val="231F20"/>
          <w:spacing w:val="-16"/>
          <w:w w:val="105"/>
        </w:rPr>
        <w:t> </w:t>
      </w:r>
      <w:r>
        <w:rPr>
          <w:color w:val="231F20"/>
          <w:w w:val="105"/>
        </w:rPr>
        <w:t>y</w:t>
      </w:r>
      <w:r>
        <w:rPr>
          <w:color w:val="231F20"/>
          <w:spacing w:val="-16"/>
          <w:w w:val="105"/>
        </w:rPr>
        <w:t> </w:t>
      </w:r>
      <w:r>
        <w:rPr>
          <w:color w:val="231F20"/>
          <w:w w:val="105"/>
        </w:rPr>
        <w:t>obra;</w:t>
      </w:r>
      <w:r>
        <w:rPr>
          <w:color w:val="231F20"/>
          <w:spacing w:val="-16"/>
          <w:w w:val="105"/>
        </w:rPr>
        <w:t> </w:t>
      </w:r>
      <w:r>
        <w:rPr>
          <w:color w:val="231F20"/>
          <w:w w:val="105"/>
        </w:rPr>
        <w:t>el</w:t>
      </w:r>
      <w:r>
        <w:rPr>
          <w:color w:val="231F20"/>
          <w:spacing w:val="-16"/>
          <w:w w:val="105"/>
        </w:rPr>
        <w:t> </w:t>
      </w:r>
      <w:r>
        <w:rPr>
          <w:color w:val="231F20"/>
          <w:w w:val="105"/>
        </w:rPr>
        <w:t>resto</w:t>
      </w:r>
      <w:r>
        <w:rPr>
          <w:color w:val="231F20"/>
          <w:spacing w:val="-16"/>
          <w:w w:val="105"/>
        </w:rPr>
        <w:t> </w:t>
      </w:r>
      <w:r>
        <w:rPr>
          <w:color w:val="231F20"/>
          <w:w w:val="105"/>
        </w:rPr>
        <w:t>para</w:t>
      </w:r>
      <w:r>
        <w:rPr>
          <w:color w:val="231F20"/>
          <w:spacing w:val="-16"/>
          <w:w w:val="105"/>
        </w:rPr>
        <w:t> </w:t>
      </w:r>
      <w:r>
        <w:rPr>
          <w:color w:val="231F20"/>
          <w:w w:val="105"/>
        </w:rPr>
        <w:t>pago</w:t>
      </w:r>
      <w:r>
        <w:rPr>
          <w:color w:val="231F20"/>
          <w:spacing w:val="-16"/>
          <w:w w:val="105"/>
        </w:rPr>
        <w:t> </w:t>
      </w:r>
      <w:r>
        <w:rPr>
          <w:color w:val="231F20"/>
          <w:w w:val="105"/>
        </w:rPr>
        <w:t>de</w:t>
      </w:r>
      <w:r>
        <w:rPr>
          <w:color w:val="231F20"/>
          <w:spacing w:val="-16"/>
          <w:w w:val="105"/>
        </w:rPr>
        <w:t> </w:t>
      </w:r>
      <w:r>
        <w:rPr>
          <w:color w:val="231F20"/>
          <w:w w:val="105"/>
        </w:rPr>
        <w:t>deuda.</w:t>
      </w:r>
    </w:p>
    <w:p>
      <w:pPr>
        <w:pStyle w:val="BodyText"/>
        <w:spacing w:before="2"/>
        <w:rPr>
          <w:sz w:val="20"/>
        </w:rPr>
      </w:pPr>
    </w:p>
    <w:p>
      <w:pPr>
        <w:pStyle w:val="Heading4"/>
        <w:rPr>
          <w:i/>
        </w:rPr>
      </w:pPr>
      <w:r>
        <w:rPr>
          <w:i/>
          <w:color w:val="231F20"/>
          <w:w w:val="105"/>
        </w:rPr>
        <w:t>El Plan de Desarrollo Municipal</w:t>
      </w:r>
    </w:p>
    <w:p>
      <w:pPr>
        <w:pStyle w:val="BodyText"/>
        <w:spacing w:line="285" w:lineRule="auto" w:before="17"/>
        <w:ind w:left="110" w:right="107"/>
        <w:jc w:val="both"/>
      </w:pPr>
      <w:r>
        <w:rPr>
          <w:color w:val="231F20"/>
          <w:w w:val="105"/>
        </w:rPr>
        <w:t>De acuerdo con sus objetivos iniciales la presidencia municipal panista del periodo </w:t>
      </w:r>
      <w:r>
        <w:rPr>
          <w:color w:val="231F20"/>
          <w:spacing w:val="2"/>
          <w:w w:val="105"/>
        </w:rPr>
        <w:t>2006-2009</w:t>
      </w:r>
      <w:r>
        <w:rPr>
          <w:color w:val="231F20"/>
          <w:spacing w:val="-4"/>
          <w:w w:val="105"/>
        </w:rPr>
        <w:t> </w:t>
      </w:r>
      <w:r>
        <w:rPr>
          <w:color w:val="231F20"/>
          <w:w w:val="105"/>
        </w:rPr>
        <w:t>buscó</w:t>
      </w:r>
      <w:r>
        <w:rPr>
          <w:color w:val="231F20"/>
          <w:spacing w:val="-4"/>
          <w:w w:val="105"/>
        </w:rPr>
        <w:t> </w:t>
      </w:r>
      <w:r>
        <w:rPr>
          <w:color w:val="231F20"/>
          <w:w w:val="105"/>
        </w:rPr>
        <w:t>el</w:t>
      </w:r>
      <w:r>
        <w:rPr>
          <w:color w:val="231F20"/>
          <w:spacing w:val="-4"/>
          <w:w w:val="105"/>
        </w:rPr>
        <w:t> </w:t>
      </w:r>
      <w:r>
        <w:rPr>
          <w:color w:val="231F20"/>
          <w:w w:val="105"/>
        </w:rPr>
        <w:t>acercamiento</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gente,</w:t>
      </w:r>
      <w:r>
        <w:rPr>
          <w:color w:val="231F20"/>
          <w:spacing w:val="-4"/>
          <w:w w:val="105"/>
        </w:rPr>
        <w:t> </w:t>
      </w:r>
      <w:r>
        <w:rPr>
          <w:color w:val="231F20"/>
          <w:w w:val="105"/>
        </w:rPr>
        <w:t>tratando</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habitantes</w:t>
      </w:r>
      <w:r>
        <w:rPr>
          <w:color w:val="231F20"/>
          <w:spacing w:val="-4"/>
          <w:w w:val="105"/>
        </w:rPr>
        <w:t> </w:t>
      </w:r>
      <w:r>
        <w:rPr>
          <w:color w:val="231F20"/>
          <w:w w:val="105"/>
        </w:rPr>
        <w:t>con</w:t>
      </w:r>
      <w:r>
        <w:rPr>
          <w:color w:val="231F20"/>
          <w:spacing w:val="-4"/>
          <w:w w:val="105"/>
        </w:rPr>
        <w:t> </w:t>
      </w:r>
      <w:r>
        <w:rPr>
          <w:color w:val="231F20"/>
          <w:w w:val="105"/>
        </w:rPr>
        <w:t>respeto</w:t>
      </w:r>
      <w:r>
        <w:rPr>
          <w:color w:val="231F20"/>
          <w:spacing w:val="-4"/>
          <w:w w:val="105"/>
        </w:rPr>
        <w:t> </w:t>
      </w:r>
      <w:r>
        <w:rPr>
          <w:color w:val="231F20"/>
          <w:w w:val="105"/>
        </w:rPr>
        <w:t>y comprometiéndose a satisfacer las necesidades de la sociedad. Su misión como admi- nistración</w:t>
      </w:r>
      <w:r>
        <w:rPr>
          <w:color w:val="231F20"/>
          <w:spacing w:val="-9"/>
          <w:w w:val="105"/>
        </w:rPr>
        <w:t> </w:t>
      </w:r>
      <w:r>
        <w:rPr>
          <w:color w:val="231F20"/>
          <w:w w:val="105"/>
        </w:rPr>
        <w:t>fue</w:t>
      </w:r>
      <w:r>
        <w:rPr>
          <w:color w:val="231F20"/>
          <w:spacing w:val="-9"/>
          <w:w w:val="105"/>
        </w:rPr>
        <w:t> </w:t>
      </w:r>
      <w:r>
        <w:rPr>
          <w:color w:val="231F20"/>
          <w:w w:val="105"/>
        </w:rPr>
        <w:t>establecer</w:t>
      </w:r>
      <w:r>
        <w:rPr>
          <w:color w:val="231F20"/>
          <w:spacing w:val="-9"/>
          <w:w w:val="105"/>
        </w:rPr>
        <w:t> </w:t>
      </w:r>
      <w:r>
        <w:rPr>
          <w:color w:val="231F20"/>
          <w:w w:val="105"/>
        </w:rPr>
        <w:t>estrategias</w:t>
      </w:r>
      <w:r>
        <w:rPr>
          <w:color w:val="231F20"/>
          <w:spacing w:val="-9"/>
          <w:w w:val="105"/>
        </w:rPr>
        <w:t> </w:t>
      </w:r>
      <w:r>
        <w:rPr>
          <w:color w:val="231F20"/>
          <w:w w:val="105"/>
        </w:rPr>
        <w:t>programadas,</w:t>
      </w:r>
      <w:r>
        <w:rPr>
          <w:color w:val="231F20"/>
          <w:spacing w:val="-9"/>
          <w:w w:val="105"/>
        </w:rPr>
        <w:t> </w:t>
      </w:r>
      <w:r>
        <w:rPr>
          <w:color w:val="231F20"/>
          <w:w w:val="105"/>
        </w:rPr>
        <w:t>que</w:t>
      </w:r>
      <w:r>
        <w:rPr>
          <w:color w:val="231F20"/>
          <w:spacing w:val="-9"/>
          <w:w w:val="105"/>
        </w:rPr>
        <w:t> </w:t>
      </w:r>
      <w:r>
        <w:rPr>
          <w:color w:val="231F20"/>
          <w:spacing w:val="-3"/>
          <w:w w:val="105"/>
        </w:rPr>
        <w:t>generen</w:t>
      </w:r>
      <w:r>
        <w:rPr>
          <w:color w:val="231F20"/>
          <w:spacing w:val="-9"/>
          <w:w w:val="105"/>
        </w:rPr>
        <w:t> </w:t>
      </w:r>
      <w:r>
        <w:rPr>
          <w:color w:val="231F20"/>
          <w:w w:val="105"/>
        </w:rPr>
        <w:t>la</w:t>
      </w:r>
      <w:r>
        <w:rPr>
          <w:color w:val="231F20"/>
          <w:spacing w:val="-9"/>
          <w:w w:val="105"/>
        </w:rPr>
        <w:t> </w:t>
      </w:r>
      <w:r>
        <w:rPr>
          <w:color w:val="231F20"/>
          <w:w w:val="105"/>
        </w:rPr>
        <w:t>motivación</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com- promiso</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servidores</w:t>
      </w:r>
      <w:r>
        <w:rPr>
          <w:color w:val="231F20"/>
          <w:spacing w:val="-11"/>
          <w:w w:val="105"/>
        </w:rPr>
        <w:t> </w:t>
      </w:r>
      <w:r>
        <w:rPr>
          <w:color w:val="231F20"/>
          <w:w w:val="105"/>
        </w:rPr>
        <w:t>públicos</w:t>
      </w:r>
      <w:r>
        <w:rPr>
          <w:color w:val="231F20"/>
          <w:spacing w:val="-11"/>
          <w:w w:val="105"/>
        </w:rPr>
        <w:t> </w:t>
      </w:r>
      <w:r>
        <w:rPr>
          <w:color w:val="231F20"/>
          <w:w w:val="105"/>
        </w:rPr>
        <w:t>que</w:t>
      </w:r>
      <w:r>
        <w:rPr>
          <w:color w:val="231F20"/>
          <w:spacing w:val="-11"/>
          <w:w w:val="105"/>
        </w:rPr>
        <w:t> </w:t>
      </w:r>
      <w:r>
        <w:rPr>
          <w:color w:val="231F20"/>
          <w:w w:val="105"/>
        </w:rPr>
        <w:t>integran</w:t>
      </w:r>
      <w:r>
        <w:rPr>
          <w:color w:val="231F20"/>
          <w:spacing w:val="-11"/>
          <w:w w:val="105"/>
        </w:rPr>
        <w:t> </w:t>
      </w:r>
      <w:r>
        <w:rPr>
          <w:color w:val="231F20"/>
          <w:w w:val="105"/>
        </w:rPr>
        <w:t>la</w:t>
      </w:r>
      <w:r>
        <w:rPr>
          <w:color w:val="231F20"/>
          <w:spacing w:val="-11"/>
          <w:w w:val="105"/>
        </w:rPr>
        <w:t> </w:t>
      </w:r>
      <w:r>
        <w:rPr>
          <w:color w:val="231F20"/>
          <w:w w:val="105"/>
        </w:rPr>
        <w:t>gestión</w:t>
      </w:r>
      <w:r>
        <w:rPr>
          <w:color w:val="231F20"/>
          <w:spacing w:val="-11"/>
          <w:w w:val="105"/>
        </w:rPr>
        <w:t> </w:t>
      </w:r>
      <w:r>
        <w:rPr>
          <w:color w:val="231F20"/>
          <w:w w:val="105"/>
        </w:rPr>
        <w:t>municipal,</w:t>
      </w:r>
      <w:r>
        <w:rPr>
          <w:color w:val="231F20"/>
          <w:spacing w:val="-11"/>
          <w:w w:val="105"/>
        </w:rPr>
        <w:t> </w:t>
      </w:r>
      <w:r>
        <w:rPr>
          <w:color w:val="231F20"/>
          <w:w w:val="105"/>
        </w:rPr>
        <w:t>y</w:t>
      </w:r>
      <w:r>
        <w:rPr>
          <w:color w:val="231F20"/>
          <w:spacing w:val="-11"/>
          <w:w w:val="105"/>
        </w:rPr>
        <w:t> </w:t>
      </w:r>
      <w:r>
        <w:rPr>
          <w:color w:val="231F20"/>
          <w:w w:val="105"/>
        </w:rPr>
        <w:t>que</w:t>
      </w:r>
      <w:r>
        <w:rPr>
          <w:color w:val="231F20"/>
          <w:spacing w:val="-11"/>
          <w:w w:val="105"/>
        </w:rPr>
        <w:t> </w:t>
      </w:r>
      <w:r>
        <w:rPr>
          <w:color w:val="231F20"/>
          <w:w w:val="105"/>
        </w:rPr>
        <w:t>tuvieran como</w:t>
      </w:r>
      <w:r>
        <w:rPr>
          <w:color w:val="231F20"/>
          <w:spacing w:val="-5"/>
          <w:w w:val="105"/>
        </w:rPr>
        <w:t> </w:t>
      </w:r>
      <w:r>
        <w:rPr>
          <w:color w:val="231F20"/>
          <w:w w:val="105"/>
        </w:rPr>
        <w:t>premisa</w:t>
      </w:r>
      <w:r>
        <w:rPr>
          <w:color w:val="231F20"/>
          <w:spacing w:val="-5"/>
          <w:w w:val="105"/>
        </w:rPr>
        <w:t> </w:t>
      </w:r>
      <w:r>
        <w:rPr>
          <w:color w:val="231F20"/>
          <w:w w:val="105"/>
        </w:rPr>
        <w:t>fundamental</w:t>
      </w:r>
      <w:r>
        <w:rPr>
          <w:color w:val="231F20"/>
          <w:spacing w:val="-5"/>
          <w:w w:val="105"/>
        </w:rPr>
        <w:t> </w:t>
      </w:r>
      <w:r>
        <w:rPr>
          <w:color w:val="231F20"/>
          <w:w w:val="105"/>
        </w:rPr>
        <w:t>la</w:t>
      </w:r>
      <w:r>
        <w:rPr>
          <w:color w:val="231F20"/>
          <w:spacing w:val="-5"/>
          <w:w w:val="105"/>
        </w:rPr>
        <w:t> </w:t>
      </w:r>
      <w:r>
        <w:rPr>
          <w:color w:val="231F20"/>
          <w:w w:val="105"/>
        </w:rPr>
        <w:t>satisfacción</w:t>
      </w:r>
      <w:r>
        <w:rPr>
          <w:color w:val="231F20"/>
          <w:spacing w:val="-5"/>
          <w:w w:val="105"/>
        </w:rPr>
        <w:t> </w:t>
      </w:r>
      <w:r>
        <w:rPr>
          <w:color w:val="231F20"/>
          <w:w w:val="105"/>
        </w:rPr>
        <w:t>de</w:t>
      </w:r>
      <w:r>
        <w:rPr>
          <w:color w:val="231F20"/>
          <w:spacing w:val="-5"/>
          <w:w w:val="105"/>
        </w:rPr>
        <w:t> </w:t>
      </w:r>
      <w:r>
        <w:rPr>
          <w:color w:val="231F20"/>
          <w:w w:val="105"/>
        </w:rPr>
        <w:t>necesidades</w:t>
      </w:r>
      <w:r>
        <w:rPr>
          <w:color w:val="231F20"/>
          <w:spacing w:val="-5"/>
          <w:w w:val="105"/>
        </w:rPr>
        <w:t> </w:t>
      </w:r>
      <w:r>
        <w:rPr>
          <w:color w:val="231F20"/>
          <w:w w:val="105"/>
        </w:rPr>
        <w:t>y</w:t>
      </w:r>
      <w:r>
        <w:rPr>
          <w:color w:val="231F20"/>
          <w:spacing w:val="-5"/>
          <w:w w:val="105"/>
        </w:rPr>
        <w:t> </w:t>
      </w:r>
      <w:r>
        <w:rPr>
          <w:color w:val="231F20"/>
          <w:w w:val="105"/>
        </w:rPr>
        <w:t>aspiraciones</w:t>
      </w:r>
      <w:r>
        <w:rPr>
          <w:color w:val="231F20"/>
          <w:spacing w:val="-5"/>
          <w:w w:val="105"/>
        </w:rPr>
        <w:t> </w:t>
      </w:r>
      <w:r>
        <w:rPr>
          <w:color w:val="231F20"/>
          <w:w w:val="105"/>
        </w:rPr>
        <w:t>de</w:t>
      </w:r>
      <w:r>
        <w:rPr>
          <w:color w:val="231F20"/>
          <w:spacing w:val="-5"/>
          <w:w w:val="105"/>
        </w:rPr>
        <w:t> </w:t>
      </w:r>
      <w:r>
        <w:rPr>
          <w:color w:val="231F20"/>
          <w:w w:val="105"/>
        </w:rPr>
        <w:t>desarrollo de la población, proporcionando servicios que eleven su calidad de vida y fortalezcan una cultura participativa entre la</w:t>
      </w:r>
      <w:r>
        <w:rPr>
          <w:color w:val="231F20"/>
          <w:spacing w:val="-10"/>
          <w:w w:val="105"/>
        </w:rPr>
        <w:t> </w:t>
      </w:r>
      <w:r>
        <w:rPr>
          <w:color w:val="231F20"/>
          <w:w w:val="105"/>
        </w:rPr>
        <w:t>ciudadanía.</w:t>
      </w:r>
    </w:p>
    <w:p>
      <w:pPr>
        <w:pStyle w:val="BodyText"/>
        <w:spacing w:before="1"/>
        <w:rPr>
          <w:sz w:val="26"/>
        </w:rPr>
      </w:pPr>
    </w:p>
    <w:p>
      <w:pPr>
        <w:pStyle w:val="BodyText"/>
        <w:spacing w:line="285" w:lineRule="auto"/>
        <w:ind w:left="110" w:right="107"/>
        <w:jc w:val="both"/>
      </w:pPr>
      <w:r>
        <w:rPr>
          <w:color w:val="231F20"/>
          <w:w w:val="105"/>
        </w:rPr>
        <w:t>Para</w:t>
      </w:r>
      <w:r>
        <w:rPr>
          <w:color w:val="231F20"/>
          <w:spacing w:val="-14"/>
          <w:w w:val="105"/>
        </w:rPr>
        <w:t> </w:t>
      </w:r>
      <w:r>
        <w:rPr>
          <w:color w:val="231F20"/>
          <w:w w:val="105"/>
        </w:rPr>
        <w:t>dar</w:t>
      </w:r>
      <w:r>
        <w:rPr>
          <w:color w:val="231F20"/>
          <w:spacing w:val="-14"/>
          <w:w w:val="105"/>
        </w:rPr>
        <w:t> </w:t>
      </w:r>
      <w:r>
        <w:rPr>
          <w:color w:val="231F20"/>
          <w:w w:val="105"/>
        </w:rPr>
        <w:t>cumplimiento</w:t>
      </w:r>
      <w:r>
        <w:rPr>
          <w:color w:val="231F20"/>
          <w:spacing w:val="-14"/>
          <w:w w:val="105"/>
        </w:rPr>
        <w:t> </w:t>
      </w:r>
      <w:r>
        <w:rPr>
          <w:color w:val="231F20"/>
          <w:w w:val="105"/>
        </w:rPr>
        <w:t>al</w:t>
      </w:r>
      <w:r>
        <w:rPr>
          <w:color w:val="231F20"/>
          <w:spacing w:val="-14"/>
          <w:w w:val="105"/>
        </w:rPr>
        <w:t> </w:t>
      </w:r>
      <w:r>
        <w:rPr>
          <w:color w:val="231F20"/>
          <w:spacing w:val="-3"/>
          <w:w w:val="105"/>
        </w:rPr>
        <w:t>objetivo</w:t>
      </w:r>
      <w:r>
        <w:rPr>
          <w:color w:val="231F20"/>
          <w:spacing w:val="-14"/>
          <w:w w:val="105"/>
        </w:rPr>
        <w:t> </w:t>
      </w:r>
      <w:r>
        <w:rPr>
          <w:color w:val="231F20"/>
          <w:w w:val="105"/>
        </w:rPr>
        <w:t>principal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spacing w:val="-6"/>
          <w:w w:val="105"/>
        </w:rPr>
        <w:t>(el</w:t>
      </w:r>
      <w:r>
        <w:rPr>
          <w:color w:val="231F20"/>
          <w:spacing w:val="-14"/>
          <w:w w:val="105"/>
        </w:rPr>
        <w:t> </w:t>
      </w:r>
      <w:r>
        <w:rPr>
          <w:color w:val="231F20"/>
          <w:spacing w:val="-3"/>
          <w:w w:val="105"/>
        </w:rPr>
        <w:t>acercamiento</w:t>
      </w:r>
      <w:r>
        <w:rPr>
          <w:color w:val="231F20"/>
          <w:spacing w:val="-14"/>
          <w:w w:val="105"/>
        </w:rPr>
        <w:t> </w:t>
      </w:r>
      <w:r>
        <w:rPr>
          <w:color w:val="231F20"/>
          <w:spacing w:val="-3"/>
          <w:w w:val="105"/>
        </w:rPr>
        <w:t>con</w:t>
      </w:r>
      <w:r>
        <w:rPr>
          <w:color w:val="231F20"/>
          <w:spacing w:val="-14"/>
          <w:w w:val="105"/>
        </w:rPr>
        <w:t> </w:t>
      </w:r>
      <w:r>
        <w:rPr>
          <w:color w:val="231F20"/>
          <w:w w:val="105"/>
        </w:rPr>
        <w:t>la </w:t>
      </w:r>
      <w:r>
        <w:rPr>
          <w:color w:val="231F20"/>
          <w:spacing w:val="-6"/>
          <w:w w:val="105"/>
        </w:rPr>
        <w:t>gente)</w:t>
      </w:r>
      <w:r>
        <w:rPr>
          <w:color w:val="231F20"/>
          <w:spacing w:val="-20"/>
          <w:w w:val="105"/>
        </w:rPr>
        <w:t> </w:t>
      </w:r>
      <w:r>
        <w:rPr>
          <w:color w:val="231F20"/>
          <w:w w:val="105"/>
        </w:rPr>
        <w:t>durante</w:t>
      </w:r>
      <w:r>
        <w:rPr>
          <w:color w:val="231F20"/>
          <w:spacing w:val="-20"/>
          <w:w w:val="105"/>
        </w:rPr>
        <w:t> </w:t>
      </w:r>
      <w:r>
        <w:rPr>
          <w:color w:val="231F20"/>
          <w:w w:val="105"/>
        </w:rPr>
        <w:t>el</w:t>
      </w:r>
      <w:r>
        <w:rPr>
          <w:color w:val="231F20"/>
          <w:spacing w:val="-20"/>
          <w:w w:val="105"/>
        </w:rPr>
        <w:t> </w:t>
      </w:r>
      <w:r>
        <w:rPr>
          <w:color w:val="231F20"/>
          <w:spacing w:val="-3"/>
          <w:w w:val="105"/>
        </w:rPr>
        <w:t>proceso</w:t>
      </w:r>
      <w:r>
        <w:rPr>
          <w:color w:val="231F20"/>
          <w:spacing w:val="-20"/>
          <w:w w:val="105"/>
        </w:rPr>
        <w:t> </w:t>
      </w:r>
      <w:r>
        <w:rPr>
          <w:color w:val="231F20"/>
          <w:w w:val="105"/>
        </w:rPr>
        <w:t>de</w:t>
      </w:r>
      <w:r>
        <w:rPr>
          <w:color w:val="231F20"/>
          <w:spacing w:val="-20"/>
          <w:w w:val="105"/>
        </w:rPr>
        <w:t> </w:t>
      </w:r>
      <w:r>
        <w:rPr>
          <w:color w:val="231F20"/>
          <w:spacing w:val="-4"/>
          <w:w w:val="105"/>
        </w:rPr>
        <w:t>elaboración</w:t>
      </w:r>
      <w:r>
        <w:rPr>
          <w:color w:val="231F20"/>
          <w:spacing w:val="-20"/>
          <w:w w:val="105"/>
        </w:rPr>
        <w:t> </w:t>
      </w:r>
      <w:r>
        <w:rPr>
          <w:color w:val="231F20"/>
          <w:spacing w:val="-3"/>
          <w:w w:val="105"/>
        </w:rPr>
        <w:t>del</w:t>
      </w:r>
      <w:r>
        <w:rPr>
          <w:color w:val="231F20"/>
          <w:spacing w:val="-20"/>
          <w:w w:val="105"/>
        </w:rPr>
        <w:t> </w:t>
      </w:r>
      <w:r>
        <w:rPr>
          <w:color w:val="231F20"/>
          <w:w w:val="105"/>
        </w:rPr>
        <w:t>Plan</w:t>
      </w:r>
      <w:r>
        <w:rPr>
          <w:color w:val="231F20"/>
          <w:spacing w:val="-20"/>
          <w:w w:val="105"/>
        </w:rPr>
        <w:t> </w:t>
      </w:r>
      <w:r>
        <w:rPr>
          <w:color w:val="231F20"/>
          <w:w w:val="105"/>
        </w:rPr>
        <w:t>de</w:t>
      </w:r>
      <w:r>
        <w:rPr>
          <w:color w:val="231F20"/>
          <w:spacing w:val="-20"/>
          <w:w w:val="105"/>
        </w:rPr>
        <w:t> </w:t>
      </w:r>
      <w:r>
        <w:rPr>
          <w:color w:val="231F20"/>
          <w:w w:val="105"/>
        </w:rPr>
        <w:t>Desarrollo</w:t>
      </w:r>
      <w:r>
        <w:rPr>
          <w:color w:val="231F20"/>
          <w:spacing w:val="-20"/>
          <w:w w:val="105"/>
        </w:rPr>
        <w:t> </w:t>
      </w:r>
      <w:r>
        <w:rPr>
          <w:color w:val="231F20"/>
          <w:w w:val="105"/>
        </w:rPr>
        <w:t>Municipal</w:t>
      </w:r>
      <w:r>
        <w:rPr>
          <w:color w:val="231F20"/>
          <w:spacing w:val="-20"/>
          <w:w w:val="105"/>
        </w:rPr>
        <w:t> </w:t>
      </w:r>
      <w:r>
        <w:rPr>
          <w:color w:val="231F20"/>
          <w:w w:val="105"/>
        </w:rPr>
        <w:t>se</w:t>
      </w:r>
      <w:r>
        <w:rPr>
          <w:color w:val="231F20"/>
          <w:spacing w:val="-20"/>
          <w:w w:val="105"/>
        </w:rPr>
        <w:t> </w:t>
      </w:r>
      <w:r>
        <w:rPr>
          <w:color w:val="231F20"/>
          <w:spacing w:val="-3"/>
          <w:w w:val="105"/>
        </w:rPr>
        <w:t>recuperaron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15"/>
        <w:jc w:val="both"/>
      </w:pPr>
      <w:r>
        <w:rPr>
          <w:color w:val="231F20"/>
          <w:w w:val="105"/>
        </w:rPr>
        <w:t>las</w:t>
      </w:r>
      <w:r>
        <w:rPr>
          <w:color w:val="231F20"/>
          <w:spacing w:val="-18"/>
          <w:w w:val="105"/>
        </w:rPr>
        <w:t> </w:t>
      </w:r>
      <w:r>
        <w:rPr>
          <w:color w:val="231F20"/>
          <w:w w:val="105"/>
        </w:rPr>
        <w:t>demandas</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spacing w:val="-3"/>
          <w:w w:val="105"/>
        </w:rPr>
        <w:t>habitantes</w:t>
      </w:r>
      <w:r>
        <w:rPr>
          <w:color w:val="231F20"/>
          <w:spacing w:val="-18"/>
          <w:w w:val="105"/>
        </w:rPr>
        <w:t> </w:t>
      </w:r>
      <w:r>
        <w:rPr>
          <w:color w:val="231F20"/>
          <w:spacing w:val="-3"/>
          <w:w w:val="105"/>
        </w:rPr>
        <w:t>expresadas</w:t>
      </w:r>
      <w:r>
        <w:rPr>
          <w:color w:val="231F20"/>
          <w:spacing w:val="-18"/>
          <w:w w:val="105"/>
        </w:rPr>
        <w:t> </w:t>
      </w:r>
      <w:r>
        <w:rPr>
          <w:color w:val="231F20"/>
          <w:w w:val="105"/>
        </w:rPr>
        <w:t>durante</w:t>
      </w:r>
      <w:r>
        <w:rPr>
          <w:color w:val="231F20"/>
          <w:spacing w:val="-18"/>
          <w:w w:val="105"/>
        </w:rPr>
        <w:t> </w:t>
      </w:r>
      <w:r>
        <w:rPr>
          <w:color w:val="231F20"/>
          <w:w w:val="105"/>
        </w:rPr>
        <w:t>la</w:t>
      </w:r>
      <w:r>
        <w:rPr>
          <w:color w:val="231F20"/>
          <w:spacing w:val="-18"/>
          <w:w w:val="105"/>
        </w:rPr>
        <w:t> </w:t>
      </w:r>
      <w:r>
        <w:rPr>
          <w:color w:val="231F20"/>
          <w:w w:val="105"/>
        </w:rPr>
        <w:t>campaña</w:t>
      </w:r>
      <w:r>
        <w:rPr>
          <w:color w:val="231F20"/>
          <w:spacing w:val="-18"/>
          <w:w w:val="105"/>
        </w:rPr>
        <w:t> </w:t>
      </w:r>
      <w:r>
        <w:rPr>
          <w:color w:val="231F20"/>
          <w:w w:val="105"/>
        </w:rPr>
        <w:t>electoral</w:t>
      </w:r>
      <w:r>
        <w:rPr>
          <w:color w:val="231F20"/>
          <w:spacing w:val="-18"/>
          <w:w w:val="105"/>
        </w:rPr>
        <w:t> </w:t>
      </w:r>
      <w:r>
        <w:rPr>
          <w:color w:val="231F20"/>
          <w:w w:val="105"/>
        </w:rPr>
        <w:t>y</w:t>
      </w:r>
      <w:r>
        <w:rPr>
          <w:color w:val="231F20"/>
          <w:spacing w:val="-18"/>
          <w:w w:val="105"/>
        </w:rPr>
        <w:t> </w:t>
      </w:r>
      <w:r>
        <w:rPr>
          <w:color w:val="231F20"/>
          <w:w w:val="105"/>
        </w:rPr>
        <w:t>se</w:t>
      </w:r>
      <w:r>
        <w:rPr>
          <w:color w:val="231F20"/>
          <w:spacing w:val="-18"/>
          <w:w w:val="105"/>
        </w:rPr>
        <w:t> </w:t>
      </w:r>
      <w:r>
        <w:rPr>
          <w:color w:val="231F20"/>
          <w:spacing w:val="-5"/>
          <w:w w:val="105"/>
        </w:rPr>
        <w:t>complemen- </w:t>
      </w:r>
      <w:r>
        <w:rPr>
          <w:color w:val="231F20"/>
          <w:w w:val="105"/>
        </w:rPr>
        <w:t>taron</w:t>
      </w:r>
      <w:r>
        <w:rPr>
          <w:color w:val="231F20"/>
          <w:spacing w:val="-12"/>
          <w:w w:val="105"/>
        </w:rPr>
        <w:t> </w:t>
      </w:r>
      <w:r>
        <w:rPr>
          <w:color w:val="231F20"/>
          <w:spacing w:val="-3"/>
          <w:w w:val="105"/>
        </w:rPr>
        <w:t>con</w:t>
      </w:r>
      <w:r>
        <w:rPr>
          <w:color w:val="231F20"/>
          <w:spacing w:val="-12"/>
          <w:w w:val="105"/>
        </w:rPr>
        <w:t> </w:t>
      </w:r>
      <w:r>
        <w:rPr>
          <w:color w:val="231F20"/>
          <w:w w:val="105"/>
        </w:rPr>
        <w:t>una</w:t>
      </w:r>
      <w:r>
        <w:rPr>
          <w:color w:val="231F20"/>
          <w:spacing w:val="-12"/>
          <w:w w:val="105"/>
        </w:rPr>
        <w:t> </w:t>
      </w:r>
      <w:r>
        <w:rPr>
          <w:color w:val="231F20"/>
          <w:w w:val="105"/>
        </w:rPr>
        <w:t>consulta</w:t>
      </w:r>
      <w:r>
        <w:rPr>
          <w:color w:val="231F20"/>
          <w:spacing w:val="-12"/>
          <w:w w:val="105"/>
        </w:rPr>
        <w:t> </w:t>
      </w:r>
      <w:r>
        <w:rPr>
          <w:color w:val="231F20"/>
          <w:w w:val="105"/>
        </w:rPr>
        <w:t>realizada</w:t>
      </w:r>
      <w:r>
        <w:rPr>
          <w:color w:val="231F20"/>
          <w:spacing w:val="-12"/>
          <w:w w:val="105"/>
        </w:rPr>
        <w:t> </w:t>
      </w:r>
      <w:r>
        <w:rPr>
          <w:color w:val="231F20"/>
          <w:w w:val="105"/>
        </w:rPr>
        <w:t>a</w:t>
      </w:r>
      <w:r>
        <w:rPr>
          <w:color w:val="231F20"/>
          <w:spacing w:val="-12"/>
          <w:w w:val="105"/>
        </w:rPr>
        <w:t> </w:t>
      </w:r>
      <w:r>
        <w:rPr>
          <w:color w:val="231F20"/>
          <w:spacing w:val="-3"/>
          <w:w w:val="105"/>
        </w:rPr>
        <w:t>los</w:t>
      </w:r>
      <w:r>
        <w:rPr>
          <w:color w:val="231F20"/>
          <w:spacing w:val="-12"/>
          <w:w w:val="105"/>
        </w:rPr>
        <w:t> </w:t>
      </w:r>
      <w:r>
        <w:rPr>
          <w:color w:val="231F20"/>
          <w:spacing w:val="-3"/>
          <w:w w:val="105"/>
        </w:rPr>
        <w:t>habitantes</w:t>
      </w:r>
      <w:r>
        <w:rPr>
          <w:color w:val="231F20"/>
          <w:spacing w:val="-12"/>
          <w:w w:val="105"/>
        </w:rPr>
        <w:t> </w:t>
      </w:r>
      <w:r>
        <w:rPr>
          <w:color w:val="231F20"/>
          <w:spacing w:val="-3"/>
          <w:w w:val="105"/>
        </w:rPr>
        <w:t>del</w:t>
      </w:r>
      <w:r>
        <w:rPr>
          <w:color w:val="231F20"/>
          <w:spacing w:val="-12"/>
          <w:w w:val="105"/>
        </w:rPr>
        <w:t> </w:t>
      </w:r>
      <w:r>
        <w:rPr>
          <w:color w:val="231F20"/>
          <w:spacing w:val="-3"/>
          <w:w w:val="105"/>
        </w:rPr>
        <w:t>municipio</w:t>
      </w:r>
      <w:r>
        <w:rPr>
          <w:color w:val="231F20"/>
          <w:spacing w:val="-12"/>
          <w:w w:val="105"/>
        </w:rPr>
        <w:t> </w:t>
      </w:r>
      <w:r>
        <w:rPr>
          <w:color w:val="231F20"/>
          <w:w w:val="105"/>
        </w:rPr>
        <w:t>en</w:t>
      </w:r>
      <w:r>
        <w:rPr>
          <w:color w:val="231F20"/>
          <w:spacing w:val="-12"/>
          <w:w w:val="105"/>
        </w:rPr>
        <w:t> </w:t>
      </w:r>
      <w:r>
        <w:rPr>
          <w:color w:val="231F20"/>
          <w:spacing w:val="-4"/>
          <w:w w:val="105"/>
        </w:rPr>
        <w:t>enero</w:t>
      </w:r>
      <w:r>
        <w:rPr>
          <w:color w:val="231F20"/>
          <w:spacing w:val="-12"/>
          <w:w w:val="105"/>
        </w:rPr>
        <w:t> </w:t>
      </w:r>
      <w:r>
        <w:rPr>
          <w:color w:val="231F20"/>
          <w:w w:val="105"/>
        </w:rPr>
        <w:t>de</w:t>
      </w:r>
      <w:r>
        <w:rPr>
          <w:color w:val="231F20"/>
          <w:spacing w:val="-12"/>
          <w:w w:val="105"/>
        </w:rPr>
        <w:t> </w:t>
      </w:r>
      <w:r>
        <w:rPr>
          <w:color w:val="231F20"/>
          <w:w w:val="105"/>
        </w:rPr>
        <w:t>2006.</w:t>
      </w:r>
    </w:p>
    <w:p>
      <w:pPr>
        <w:pStyle w:val="BodyText"/>
        <w:spacing w:line="285" w:lineRule="auto" w:before="1"/>
        <w:ind w:left="677" w:right="114"/>
        <w:jc w:val="both"/>
      </w:pPr>
      <w:r>
        <w:rPr>
          <w:color w:val="231F20"/>
          <w:w w:val="105"/>
        </w:rPr>
        <w:t>… desde que iniciamos la campaña oficial tuvimos la precaución de delegar en una persona la responsabilidad de que tomara notas de todas las demandas de obra,</w:t>
      </w:r>
      <w:r>
        <w:rPr>
          <w:color w:val="231F20"/>
          <w:spacing w:val="-4"/>
          <w:w w:val="105"/>
        </w:rPr>
        <w:t> </w:t>
      </w:r>
      <w:r>
        <w:rPr>
          <w:color w:val="231F20"/>
          <w:w w:val="105"/>
        </w:rPr>
        <w:t>principalmente,…</w:t>
      </w:r>
      <w:r>
        <w:rPr>
          <w:color w:val="231F20"/>
          <w:spacing w:val="-4"/>
          <w:w w:val="105"/>
        </w:rPr>
        <w:t> </w:t>
      </w:r>
      <w:r>
        <w:rPr>
          <w:color w:val="231F20"/>
          <w:w w:val="105"/>
        </w:rPr>
        <w:t>para</w:t>
      </w:r>
      <w:r>
        <w:rPr>
          <w:color w:val="231F20"/>
          <w:spacing w:val="-4"/>
          <w:w w:val="105"/>
        </w:rPr>
        <w:t> </w:t>
      </w:r>
      <w:r>
        <w:rPr>
          <w:color w:val="231F20"/>
          <w:w w:val="105"/>
        </w:rPr>
        <w:t>saber</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iba</w:t>
      </w:r>
      <w:r>
        <w:rPr>
          <w:color w:val="231F20"/>
          <w:spacing w:val="-4"/>
          <w:w w:val="105"/>
        </w:rPr>
        <w:t> </w:t>
      </w:r>
      <w:r>
        <w:rPr>
          <w:color w:val="231F20"/>
          <w:w w:val="105"/>
        </w:rPr>
        <w:t>a</w:t>
      </w:r>
      <w:r>
        <w:rPr>
          <w:color w:val="231F20"/>
          <w:spacing w:val="-4"/>
          <w:w w:val="105"/>
        </w:rPr>
        <w:t> </w:t>
      </w:r>
      <w:r>
        <w:rPr>
          <w:color w:val="231F20"/>
          <w:w w:val="105"/>
        </w:rPr>
        <w:t>incluir</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plan…</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par</w:t>
      </w:r>
      <w:r>
        <w:rPr>
          <w:color w:val="231F20"/>
          <w:spacing w:val="-4"/>
          <w:w w:val="105"/>
        </w:rPr>
        <w:t> </w:t>
      </w:r>
      <w:r>
        <w:rPr>
          <w:color w:val="231F20"/>
          <w:w w:val="105"/>
        </w:rPr>
        <w:t>se entrevistó a las autoridades para saber su punto de </w:t>
      </w:r>
      <w:r>
        <w:rPr>
          <w:color w:val="231F20"/>
          <w:spacing w:val="2"/>
          <w:w w:val="105"/>
        </w:rPr>
        <w:t>vista </w:t>
      </w:r>
      <w:r>
        <w:rPr>
          <w:color w:val="231F20"/>
          <w:w w:val="105"/>
        </w:rPr>
        <w:t>sobre las obras del </w:t>
      </w:r>
      <w:r>
        <w:rPr>
          <w:color w:val="231F20"/>
          <w:spacing w:val="-3"/>
          <w:w w:val="105"/>
        </w:rPr>
        <w:t>mu- </w:t>
      </w:r>
      <w:r>
        <w:rPr>
          <w:color w:val="231F20"/>
          <w:w w:val="105"/>
        </w:rPr>
        <w:t>nicipio,</w:t>
      </w:r>
      <w:r>
        <w:rPr>
          <w:color w:val="231F20"/>
          <w:spacing w:val="-13"/>
          <w:w w:val="105"/>
        </w:rPr>
        <w:t> </w:t>
      </w:r>
      <w:r>
        <w:rPr>
          <w:color w:val="231F20"/>
          <w:w w:val="105"/>
        </w:rPr>
        <w:t>y</w:t>
      </w:r>
      <w:r>
        <w:rPr>
          <w:color w:val="231F20"/>
          <w:spacing w:val="-13"/>
          <w:w w:val="105"/>
        </w:rPr>
        <w:t> </w:t>
      </w:r>
      <w:r>
        <w:rPr>
          <w:color w:val="231F20"/>
          <w:w w:val="105"/>
        </w:rPr>
        <w:t>los</w:t>
      </w:r>
      <w:r>
        <w:rPr>
          <w:color w:val="231F20"/>
          <w:spacing w:val="-13"/>
          <w:w w:val="105"/>
        </w:rPr>
        <w:t> </w:t>
      </w:r>
      <w:r>
        <w:rPr>
          <w:color w:val="231F20"/>
          <w:w w:val="105"/>
        </w:rPr>
        <w:t>regidores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delegaciones</w:t>
      </w:r>
      <w:r>
        <w:rPr>
          <w:color w:val="231F20"/>
          <w:spacing w:val="-13"/>
          <w:w w:val="105"/>
        </w:rPr>
        <w:t> </w:t>
      </w:r>
      <w:r>
        <w:rPr>
          <w:color w:val="231F20"/>
          <w:w w:val="105"/>
        </w:rPr>
        <w:t>nos</w:t>
      </w:r>
      <w:r>
        <w:rPr>
          <w:color w:val="231F20"/>
          <w:spacing w:val="-13"/>
          <w:w w:val="105"/>
        </w:rPr>
        <w:t> </w:t>
      </w:r>
      <w:r>
        <w:rPr>
          <w:color w:val="231F20"/>
          <w:w w:val="105"/>
        </w:rPr>
        <w:t>hicieron</w:t>
      </w:r>
      <w:r>
        <w:rPr>
          <w:color w:val="231F20"/>
          <w:spacing w:val="-13"/>
          <w:w w:val="105"/>
        </w:rPr>
        <w:t> </w:t>
      </w:r>
      <w:r>
        <w:rPr>
          <w:color w:val="231F20"/>
          <w:w w:val="105"/>
        </w:rPr>
        <w:t>llegar</w:t>
      </w:r>
      <w:r>
        <w:rPr>
          <w:color w:val="231F20"/>
          <w:spacing w:val="-13"/>
          <w:w w:val="105"/>
        </w:rPr>
        <w:t> </w:t>
      </w:r>
      <w:r>
        <w:rPr>
          <w:color w:val="231F20"/>
          <w:w w:val="105"/>
        </w:rPr>
        <w:t>sus</w:t>
      </w:r>
      <w:r>
        <w:rPr>
          <w:color w:val="231F20"/>
          <w:spacing w:val="-13"/>
          <w:w w:val="105"/>
        </w:rPr>
        <w:t> </w:t>
      </w:r>
      <w:r>
        <w:rPr>
          <w:color w:val="231F20"/>
          <w:w w:val="105"/>
        </w:rPr>
        <w:t>demandas,</w:t>
      </w:r>
      <w:r>
        <w:rPr>
          <w:color w:val="231F20"/>
          <w:spacing w:val="-13"/>
          <w:w w:val="105"/>
        </w:rPr>
        <w:t> </w:t>
      </w:r>
      <w:r>
        <w:rPr>
          <w:color w:val="231F20"/>
          <w:spacing w:val="-3"/>
          <w:w w:val="105"/>
        </w:rPr>
        <w:t>(así </w:t>
      </w:r>
      <w:r>
        <w:rPr>
          <w:color w:val="231F20"/>
          <w:w w:val="105"/>
        </w:rPr>
        <w:t>como</w:t>
      </w:r>
      <w:r>
        <w:rPr>
          <w:color w:val="231F20"/>
          <w:spacing w:val="-10"/>
          <w:w w:val="105"/>
        </w:rPr>
        <w:t> </w:t>
      </w:r>
      <w:r>
        <w:rPr>
          <w:color w:val="231F20"/>
          <w:w w:val="105"/>
        </w:rPr>
        <w:t>también)</w:t>
      </w:r>
      <w:r>
        <w:rPr>
          <w:color w:val="231F20"/>
          <w:spacing w:val="-10"/>
          <w:w w:val="105"/>
        </w:rPr>
        <w:t> </w:t>
      </w:r>
      <w:r>
        <w:rPr>
          <w:color w:val="231F20"/>
          <w:w w:val="105"/>
        </w:rPr>
        <w:t>algunos</w:t>
      </w:r>
      <w:r>
        <w:rPr>
          <w:color w:val="231F20"/>
          <w:spacing w:val="-10"/>
          <w:w w:val="105"/>
        </w:rPr>
        <w:t> </w:t>
      </w:r>
      <w:r>
        <w:rPr>
          <w:color w:val="231F20"/>
          <w:w w:val="105"/>
        </w:rPr>
        <w:t>ciudadanos</w:t>
      </w:r>
      <w:r>
        <w:rPr>
          <w:color w:val="231F20"/>
          <w:spacing w:val="-10"/>
          <w:w w:val="105"/>
        </w:rPr>
        <w:t> </w:t>
      </w:r>
      <w:r>
        <w:rPr>
          <w:color w:val="231F20"/>
          <w:w w:val="105"/>
        </w:rPr>
        <w:t>y</w:t>
      </w:r>
      <w:r>
        <w:rPr>
          <w:color w:val="231F20"/>
          <w:spacing w:val="-10"/>
          <w:w w:val="105"/>
        </w:rPr>
        <w:t> </w:t>
      </w:r>
      <w:r>
        <w:rPr>
          <w:color w:val="231F20"/>
          <w:w w:val="105"/>
        </w:rPr>
        <w:t>algunos</w:t>
      </w:r>
      <w:r>
        <w:rPr>
          <w:color w:val="231F20"/>
          <w:spacing w:val="-10"/>
          <w:w w:val="105"/>
        </w:rPr>
        <w:t> </w:t>
      </w:r>
      <w:r>
        <w:rPr>
          <w:color w:val="231F20"/>
          <w:w w:val="105"/>
        </w:rPr>
        <w:t>líderes</w:t>
      </w:r>
      <w:r>
        <w:rPr>
          <w:color w:val="231F20"/>
          <w:spacing w:val="-11"/>
          <w:w w:val="105"/>
        </w:rPr>
        <w:t> </w:t>
      </w:r>
      <w:r>
        <w:rPr>
          <w:color w:val="231F20"/>
          <w:w w:val="105"/>
        </w:rPr>
        <w:t>sociales.</w:t>
      </w:r>
      <w:r>
        <w:rPr>
          <w:color w:val="231F20"/>
          <w:spacing w:val="-11"/>
          <w:w w:val="105"/>
        </w:rPr>
        <w:t> </w:t>
      </w:r>
      <w:r>
        <w:rPr>
          <w:color w:val="231F20"/>
          <w:w w:val="105"/>
        </w:rPr>
        <w:t>De</w:t>
      </w:r>
      <w:r>
        <w:rPr>
          <w:color w:val="231F20"/>
          <w:spacing w:val="-10"/>
          <w:w w:val="105"/>
        </w:rPr>
        <w:t> </w:t>
      </w:r>
      <w:r>
        <w:rPr>
          <w:color w:val="231F20"/>
          <w:w w:val="105"/>
        </w:rPr>
        <w:t>esta</w:t>
      </w:r>
      <w:r>
        <w:rPr>
          <w:color w:val="231F20"/>
          <w:spacing w:val="-10"/>
          <w:w w:val="105"/>
        </w:rPr>
        <w:t> </w:t>
      </w:r>
      <w:r>
        <w:rPr>
          <w:color w:val="231F20"/>
          <w:w w:val="105"/>
        </w:rPr>
        <w:t>manera</w:t>
      </w:r>
      <w:r>
        <w:rPr>
          <w:color w:val="231F20"/>
          <w:spacing w:val="-10"/>
          <w:w w:val="105"/>
        </w:rPr>
        <w:t> </w:t>
      </w:r>
      <w:r>
        <w:rPr>
          <w:color w:val="231F20"/>
          <w:w w:val="105"/>
        </w:rPr>
        <w:t>se creó</w:t>
      </w:r>
      <w:r>
        <w:rPr>
          <w:color w:val="231F20"/>
          <w:spacing w:val="-19"/>
          <w:w w:val="105"/>
        </w:rPr>
        <w:t> </w:t>
      </w:r>
      <w:r>
        <w:rPr>
          <w:color w:val="231F20"/>
          <w:w w:val="105"/>
        </w:rPr>
        <w:t>el</w:t>
      </w:r>
      <w:r>
        <w:rPr>
          <w:color w:val="231F20"/>
          <w:spacing w:val="-19"/>
          <w:w w:val="105"/>
        </w:rPr>
        <w:t> </w:t>
      </w:r>
      <w:r>
        <w:rPr>
          <w:color w:val="231F20"/>
          <w:w w:val="105"/>
        </w:rPr>
        <w:t>Plan</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w w:val="105"/>
        </w:rPr>
        <w:t>Municipal</w:t>
      </w:r>
      <w:r>
        <w:rPr>
          <w:color w:val="231F20"/>
          <w:spacing w:val="-19"/>
          <w:w w:val="105"/>
        </w:rPr>
        <w:t> </w:t>
      </w:r>
      <w:r>
        <w:rPr>
          <w:color w:val="231F20"/>
          <w:w w:val="105"/>
        </w:rPr>
        <w:t>(Navarro,</w:t>
      </w:r>
      <w:r>
        <w:rPr>
          <w:color w:val="231F20"/>
          <w:spacing w:val="-19"/>
          <w:w w:val="105"/>
        </w:rPr>
        <w:t> </w:t>
      </w:r>
      <w:r>
        <w:rPr>
          <w:color w:val="231F20"/>
          <w:w w:val="105"/>
        </w:rPr>
        <w:t>2008)</w:t>
      </w:r>
    </w:p>
    <w:p>
      <w:pPr>
        <w:pStyle w:val="BodyText"/>
        <w:spacing w:before="1"/>
        <w:rPr>
          <w:sz w:val="26"/>
        </w:rPr>
      </w:pPr>
    </w:p>
    <w:p>
      <w:pPr>
        <w:pStyle w:val="BodyText"/>
        <w:spacing w:line="285" w:lineRule="auto"/>
        <w:ind w:left="110" w:right="115"/>
        <w:jc w:val="both"/>
      </w:pPr>
      <w:r>
        <w:rPr>
          <w:color w:val="231F20"/>
        </w:rPr>
        <w:t>Esto reveló que las principales demandas ciudadanas se concentraron en el desarrollo urbano -el 50%-, seguidas del agua y saneamiento, educación, cultura física y deporte      </w:t>
      </w:r>
      <w:r>
        <w:rPr>
          <w:color w:val="231F20"/>
          <w:spacing w:val="-7"/>
        </w:rPr>
        <w:t>y, </w:t>
      </w:r>
      <w:r>
        <w:rPr>
          <w:color w:val="231F20"/>
        </w:rPr>
        <w:t>por último, energía con un 5%. Estas demandas estaban en estrecha relación con las vertidas en el Plan Nacional de Desarrollo y el Plan de Desarrollo del Estado de México, por lo que su vinculación con estos documentos no implicó grandes modificaciones,     solo había que ubicar las necesidades del municipio en áreas específicas de trabajo, lo- grándose</w:t>
      </w:r>
      <w:r>
        <w:rPr>
          <w:color w:val="231F20"/>
          <w:spacing w:val="20"/>
        </w:rPr>
        <w:t> </w:t>
      </w:r>
      <w:r>
        <w:rPr>
          <w:color w:val="231F20"/>
        </w:rPr>
        <w:t>su</w:t>
      </w:r>
      <w:r>
        <w:rPr>
          <w:color w:val="231F20"/>
          <w:spacing w:val="20"/>
        </w:rPr>
        <w:t> </w:t>
      </w:r>
      <w:r>
        <w:rPr>
          <w:color w:val="231F20"/>
        </w:rPr>
        <w:t>vinculación</w:t>
      </w:r>
      <w:r>
        <w:rPr>
          <w:color w:val="231F20"/>
          <w:spacing w:val="20"/>
        </w:rPr>
        <w:t> </w:t>
      </w:r>
      <w:r>
        <w:rPr>
          <w:color w:val="231F20"/>
        </w:rPr>
        <w:t>en</w:t>
      </w:r>
      <w:r>
        <w:rPr>
          <w:color w:val="231F20"/>
          <w:spacing w:val="20"/>
        </w:rPr>
        <w:t> </w:t>
      </w:r>
      <w:r>
        <w:rPr>
          <w:color w:val="231F20"/>
        </w:rPr>
        <w:t>cuatro.</w:t>
      </w:r>
      <w:r>
        <w:rPr>
          <w:color w:val="231F20"/>
          <w:spacing w:val="20"/>
        </w:rPr>
        <w:t> </w:t>
      </w:r>
      <w:r>
        <w:rPr>
          <w:color w:val="231F20"/>
        </w:rPr>
        <w:t>La</w:t>
      </w:r>
      <w:r>
        <w:rPr>
          <w:color w:val="231F20"/>
          <w:spacing w:val="20"/>
        </w:rPr>
        <w:t> </w:t>
      </w:r>
      <w:r>
        <w:rPr>
          <w:color w:val="231F20"/>
        </w:rPr>
        <w:t>tabla</w:t>
      </w:r>
      <w:r>
        <w:rPr>
          <w:color w:val="231F20"/>
          <w:spacing w:val="20"/>
        </w:rPr>
        <w:t> </w:t>
      </w:r>
      <w:r>
        <w:rPr>
          <w:color w:val="231F20"/>
        </w:rPr>
        <w:t>1</w:t>
      </w:r>
      <w:r>
        <w:rPr>
          <w:color w:val="231F20"/>
          <w:spacing w:val="20"/>
        </w:rPr>
        <w:t> </w:t>
      </w:r>
      <w:r>
        <w:rPr>
          <w:color w:val="231F20"/>
        </w:rPr>
        <w:t>resume</w:t>
      </w:r>
      <w:r>
        <w:rPr>
          <w:color w:val="231F20"/>
          <w:spacing w:val="20"/>
        </w:rPr>
        <w:t> </w:t>
      </w:r>
      <w:r>
        <w:rPr>
          <w:color w:val="231F20"/>
        </w:rPr>
        <w:t>esta</w:t>
      </w:r>
      <w:r>
        <w:rPr>
          <w:color w:val="231F20"/>
          <w:spacing w:val="20"/>
        </w:rPr>
        <w:t> </w:t>
      </w:r>
      <w:r>
        <w:rPr>
          <w:color w:val="231F20"/>
        </w:rPr>
        <w:t>concordancia.</w:t>
      </w:r>
    </w:p>
    <w:p>
      <w:pPr>
        <w:spacing w:after="0" w:line="285" w:lineRule="auto"/>
        <w:jc w:val="both"/>
        <w:sectPr>
          <w:pgSz w:w="9640" w:h="12190"/>
          <w:pgMar w:header="0" w:footer="743" w:top="1120" w:bottom="940" w:left="740" w:right="720"/>
        </w:sectPr>
      </w:pPr>
    </w:p>
    <w:p>
      <w:pPr>
        <w:pStyle w:val="Heading5"/>
        <w:spacing w:before="27"/>
        <w:ind w:left="1476"/>
      </w:pPr>
      <w:r>
        <w:rPr>
          <w:color w:val="231F20"/>
          <w:w w:val="105"/>
        </w:rPr>
        <w:t>Tabla 1. Vinculación con los Planes Nacional y Estatal</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92"/>
        <w:gridCol w:w="1798"/>
        <w:gridCol w:w="1843"/>
        <w:gridCol w:w="3894"/>
      </w:tblGrid>
      <w:tr>
        <w:trPr>
          <w:trHeight w:val="221" w:hRule="exact"/>
        </w:trPr>
        <w:tc>
          <w:tcPr>
            <w:tcW w:w="2190" w:type="dxa"/>
            <w:gridSpan w:val="2"/>
          </w:tcPr>
          <w:p>
            <w:pPr>
              <w:pStyle w:val="TableParagraph"/>
              <w:spacing w:line="163" w:lineRule="exact"/>
              <w:rPr>
                <w:sz w:val="16"/>
              </w:rPr>
            </w:pPr>
            <w:r>
              <w:rPr>
                <w:color w:val="231F20"/>
                <w:w w:val="85"/>
                <w:sz w:val="16"/>
              </w:rPr>
              <w:t>NACIONAL</w:t>
            </w:r>
          </w:p>
        </w:tc>
        <w:tc>
          <w:tcPr>
            <w:tcW w:w="1843" w:type="dxa"/>
          </w:tcPr>
          <w:p>
            <w:pPr>
              <w:pStyle w:val="TableParagraph"/>
              <w:spacing w:line="163" w:lineRule="exact"/>
              <w:rPr>
                <w:sz w:val="16"/>
              </w:rPr>
            </w:pPr>
            <w:r>
              <w:rPr>
                <w:color w:val="231F20"/>
                <w:w w:val="85"/>
                <w:sz w:val="16"/>
              </w:rPr>
              <w:t>ESTATAL</w:t>
            </w:r>
          </w:p>
        </w:tc>
        <w:tc>
          <w:tcPr>
            <w:tcW w:w="3894" w:type="dxa"/>
          </w:tcPr>
          <w:p>
            <w:pPr>
              <w:pStyle w:val="TableParagraph"/>
              <w:spacing w:line="163" w:lineRule="exact"/>
              <w:ind w:right="1051"/>
              <w:rPr>
                <w:sz w:val="16"/>
              </w:rPr>
            </w:pPr>
            <w:r>
              <w:rPr>
                <w:color w:val="231F20"/>
                <w:w w:val="85"/>
                <w:sz w:val="16"/>
              </w:rPr>
              <w:t>MUNICIPAL</w:t>
            </w:r>
          </w:p>
        </w:tc>
      </w:tr>
      <w:tr>
        <w:trPr>
          <w:trHeight w:val="1360" w:hRule="exact"/>
        </w:trPr>
        <w:tc>
          <w:tcPr>
            <w:tcW w:w="392" w:type="dxa"/>
            <w:vMerge w:val="restart"/>
            <w:textDirection w:val="tbRl"/>
          </w:tcPr>
          <w:p>
            <w:pPr>
              <w:pStyle w:val="TableParagraph"/>
              <w:spacing w:before="70"/>
              <w:ind w:left="3412" w:right="3412"/>
              <w:jc w:val="center"/>
              <w:rPr>
                <w:sz w:val="16"/>
              </w:rPr>
            </w:pPr>
            <w:r>
              <w:rPr>
                <w:color w:val="231F20"/>
                <w:w w:val="75"/>
                <w:sz w:val="16"/>
              </w:rPr>
              <w:t>Á</w:t>
            </w:r>
            <w:r>
              <w:rPr>
                <w:color w:val="231F20"/>
                <w:spacing w:val="1"/>
                <w:w w:val="75"/>
                <w:sz w:val="16"/>
              </w:rPr>
              <w:t>R</w:t>
            </w:r>
            <w:r>
              <w:rPr>
                <w:color w:val="231F20"/>
                <w:spacing w:val="3"/>
                <w:w w:val="72"/>
                <w:sz w:val="16"/>
              </w:rPr>
              <w:t>E</w:t>
            </w:r>
            <w:r>
              <w:rPr>
                <w:color w:val="231F20"/>
                <w:spacing w:val="3"/>
                <w:w w:val="75"/>
                <w:sz w:val="16"/>
              </w:rPr>
              <w:t>A</w:t>
            </w:r>
            <w:r>
              <w:rPr>
                <w:color w:val="231F20"/>
                <w:w w:val="78"/>
                <w:sz w:val="16"/>
              </w:rPr>
              <w:t>S</w:t>
            </w:r>
          </w:p>
        </w:tc>
        <w:tc>
          <w:tcPr>
            <w:tcW w:w="1798" w:type="dxa"/>
          </w:tcPr>
          <w:p>
            <w:pPr>
              <w:pStyle w:val="TableParagraph"/>
              <w:spacing w:line="204" w:lineRule="exact"/>
              <w:rPr>
                <w:sz w:val="20"/>
              </w:rPr>
            </w:pPr>
            <w:r>
              <w:rPr>
                <w:color w:val="231F20"/>
                <w:w w:val="75"/>
                <w:sz w:val="20"/>
              </w:rPr>
              <w:t>Orden y respeto</w:t>
            </w:r>
          </w:p>
        </w:tc>
        <w:tc>
          <w:tcPr>
            <w:tcW w:w="1843" w:type="dxa"/>
          </w:tcPr>
          <w:p>
            <w:pPr>
              <w:pStyle w:val="TableParagraph"/>
              <w:spacing w:line="204" w:lineRule="exact"/>
              <w:rPr>
                <w:sz w:val="20"/>
              </w:rPr>
            </w:pPr>
            <w:r>
              <w:rPr>
                <w:color w:val="231F20"/>
                <w:w w:val="75"/>
                <w:sz w:val="20"/>
              </w:rPr>
              <w:t>Seguridad Pública</w:t>
            </w:r>
          </w:p>
        </w:tc>
        <w:tc>
          <w:tcPr>
            <w:tcW w:w="3894" w:type="dxa"/>
          </w:tcPr>
          <w:p>
            <w:pPr>
              <w:pStyle w:val="TableParagraph"/>
              <w:spacing w:line="202" w:lineRule="exact"/>
              <w:ind w:left="102"/>
              <w:jc w:val="both"/>
              <w:rPr>
                <w:sz w:val="20"/>
              </w:rPr>
            </w:pPr>
            <w:r>
              <w:rPr>
                <w:color w:val="231F20"/>
                <w:w w:val="75"/>
                <w:sz w:val="20"/>
              </w:rPr>
              <w:t>Reglamentación  municipal</w:t>
            </w:r>
          </w:p>
          <w:p>
            <w:pPr>
              <w:pStyle w:val="TableParagraph"/>
              <w:spacing w:line="235" w:lineRule="auto" w:before="1"/>
              <w:ind w:left="102" w:right="1743"/>
              <w:jc w:val="both"/>
              <w:rPr>
                <w:sz w:val="20"/>
              </w:rPr>
            </w:pPr>
            <w:r>
              <w:rPr>
                <w:color w:val="231F20"/>
                <w:w w:val="75"/>
                <w:sz w:val="20"/>
              </w:rPr>
              <w:t>Impartición de justicia municipal Procuración de justicia municipal Derechos humanos</w:t>
            </w:r>
          </w:p>
          <w:p>
            <w:pPr>
              <w:pStyle w:val="TableParagraph"/>
              <w:spacing w:line="235" w:lineRule="auto"/>
              <w:ind w:left="102" w:right="1051"/>
              <w:rPr>
                <w:sz w:val="20"/>
              </w:rPr>
            </w:pPr>
            <w:r>
              <w:rPr>
                <w:color w:val="231F20"/>
                <w:w w:val="75"/>
                <w:sz w:val="20"/>
              </w:rPr>
              <w:t>Seguridad pública y Protección civil Seguridad pública y tránsito</w:t>
            </w:r>
          </w:p>
        </w:tc>
      </w:tr>
      <w:tr>
        <w:trPr>
          <w:trHeight w:val="1360" w:hRule="exact"/>
        </w:trPr>
        <w:tc>
          <w:tcPr>
            <w:tcW w:w="392" w:type="dxa"/>
            <w:vMerge/>
            <w:textDirection w:val="tbRl"/>
          </w:tcPr>
          <w:p>
            <w:pPr/>
          </w:p>
        </w:tc>
        <w:tc>
          <w:tcPr>
            <w:tcW w:w="1798" w:type="dxa"/>
            <w:vMerge w:val="restart"/>
          </w:tcPr>
          <w:p>
            <w:pPr>
              <w:pStyle w:val="TableParagraph"/>
              <w:spacing w:line="204" w:lineRule="exact"/>
              <w:rPr>
                <w:sz w:val="20"/>
              </w:rPr>
            </w:pPr>
            <w:r>
              <w:rPr>
                <w:color w:val="231F20"/>
                <w:w w:val="75"/>
                <w:sz w:val="20"/>
              </w:rPr>
              <w:t>Crecimiento con calidad</w:t>
            </w:r>
          </w:p>
        </w:tc>
        <w:tc>
          <w:tcPr>
            <w:tcW w:w="1843" w:type="dxa"/>
            <w:vMerge w:val="restart"/>
          </w:tcPr>
          <w:p>
            <w:pPr>
              <w:pStyle w:val="TableParagraph"/>
              <w:spacing w:line="204" w:lineRule="exact"/>
              <w:rPr>
                <w:sz w:val="20"/>
              </w:rPr>
            </w:pPr>
            <w:r>
              <w:rPr>
                <w:color w:val="231F20"/>
                <w:w w:val="75"/>
                <w:sz w:val="20"/>
              </w:rPr>
              <w:t>Seguridad económica</w:t>
            </w:r>
          </w:p>
        </w:tc>
        <w:tc>
          <w:tcPr>
            <w:tcW w:w="3894" w:type="dxa"/>
          </w:tcPr>
          <w:p>
            <w:pPr>
              <w:pStyle w:val="TableParagraph"/>
              <w:spacing w:line="202" w:lineRule="exact"/>
              <w:ind w:left="102" w:right="1051"/>
              <w:rPr>
                <w:sz w:val="20"/>
              </w:rPr>
            </w:pPr>
            <w:r>
              <w:rPr>
                <w:color w:val="231F20"/>
                <w:w w:val="75"/>
                <w:sz w:val="20"/>
              </w:rPr>
              <w:t>Fomento al desarrollo económico y empleo</w:t>
            </w:r>
          </w:p>
          <w:p>
            <w:pPr>
              <w:pStyle w:val="TableParagraph"/>
              <w:spacing w:line="240" w:lineRule="exact"/>
              <w:ind w:left="102" w:right="1051"/>
              <w:rPr>
                <w:sz w:val="20"/>
              </w:rPr>
            </w:pPr>
            <w:r>
              <w:rPr>
                <w:color w:val="231F20"/>
                <w:w w:val="85"/>
                <w:sz w:val="20"/>
              </w:rPr>
              <w:t>Empleo</w:t>
            </w:r>
          </w:p>
          <w:p>
            <w:pPr>
              <w:pStyle w:val="TableParagraph"/>
              <w:spacing w:line="235" w:lineRule="auto" w:before="1"/>
              <w:ind w:left="102" w:right="2221"/>
              <w:rPr>
                <w:sz w:val="20"/>
              </w:rPr>
            </w:pPr>
            <w:r>
              <w:rPr>
                <w:color w:val="231F20"/>
                <w:w w:val="85"/>
                <w:sz w:val="20"/>
              </w:rPr>
              <w:t>Desarrollo agrícola Desarrollo forestal </w:t>
            </w:r>
            <w:r>
              <w:rPr>
                <w:color w:val="231F20"/>
                <w:w w:val="75"/>
                <w:sz w:val="20"/>
              </w:rPr>
              <w:t>Modernización comercial Fomento turístico</w:t>
            </w:r>
          </w:p>
        </w:tc>
      </w:tr>
      <w:tr>
        <w:trPr>
          <w:trHeight w:val="1600" w:hRule="exact"/>
        </w:trPr>
        <w:tc>
          <w:tcPr>
            <w:tcW w:w="392" w:type="dxa"/>
            <w:vMerge/>
            <w:textDirection w:val="tbRl"/>
          </w:tcPr>
          <w:p>
            <w:pPr/>
          </w:p>
        </w:tc>
        <w:tc>
          <w:tcPr>
            <w:tcW w:w="1798" w:type="dxa"/>
            <w:vMerge/>
          </w:tcPr>
          <w:p>
            <w:pPr/>
          </w:p>
        </w:tc>
        <w:tc>
          <w:tcPr>
            <w:tcW w:w="1843" w:type="dxa"/>
            <w:vMerge/>
          </w:tcPr>
          <w:p>
            <w:pPr/>
          </w:p>
        </w:tc>
        <w:tc>
          <w:tcPr>
            <w:tcW w:w="3894" w:type="dxa"/>
          </w:tcPr>
          <w:p>
            <w:pPr>
              <w:pStyle w:val="TableParagraph"/>
              <w:spacing w:line="202" w:lineRule="exact"/>
              <w:ind w:left="102" w:right="1051"/>
              <w:rPr>
                <w:sz w:val="20"/>
              </w:rPr>
            </w:pPr>
            <w:r>
              <w:rPr>
                <w:color w:val="231F20"/>
                <w:w w:val="75"/>
                <w:sz w:val="20"/>
              </w:rPr>
              <w:t>Desarrollo urbano sustentable</w:t>
            </w:r>
          </w:p>
          <w:p>
            <w:pPr>
              <w:pStyle w:val="TableParagraph"/>
              <w:spacing w:line="235" w:lineRule="auto" w:before="1"/>
              <w:ind w:left="102" w:right="2658"/>
              <w:rPr>
                <w:sz w:val="20"/>
              </w:rPr>
            </w:pPr>
            <w:r>
              <w:rPr>
                <w:color w:val="231F20"/>
                <w:w w:val="75"/>
                <w:sz w:val="20"/>
              </w:rPr>
              <w:t>Desarrollo urbano </w:t>
            </w:r>
            <w:r>
              <w:rPr>
                <w:color w:val="231F20"/>
                <w:w w:val="85"/>
                <w:sz w:val="20"/>
              </w:rPr>
              <w:t>Suelo</w:t>
            </w:r>
          </w:p>
          <w:p>
            <w:pPr>
              <w:pStyle w:val="TableParagraph"/>
              <w:spacing w:line="239" w:lineRule="exact"/>
              <w:ind w:left="102" w:right="1051"/>
              <w:rPr>
                <w:sz w:val="20"/>
              </w:rPr>
            </w:pPr>
            <w:r>
              <w:rPr>
                <w:color w:val="231F20"/>
                <w:w w:val="75"/>
                <w:sz w:val="20"/>
              </w:rPr>
              <w:t>Agua y saneamiento</w:t>
            </w:r>
          </w:p>
          <w:p>
            <w:pPr>
              <w:pStyle w:val="TableParagraph"/>
              <w:spacing w:line="235" w:lineRule="auto" w:before="1"/>
              <w:ind w:left="102" w:right="1051"/>
              <w:rPr>
                <w:sz w:val="20"/>
              </w:rPr>
            </w:pPr>
            <w:r>
              <w:rPr>
                <w:color w:val="231F20"/>
                <w:w w:val="75"/>
                <w:sz w:val="20"/>
              </w:rPr>
              <w:t>Electrificación y alumbrado público Protección al medio ambiente</w:t>
            </w:r>
          </w:p>
          <w:p>
            <w:pPr>
              <w:pStyle w:val="TableParagraph"/>
              <w:spacing w:line="227" w:lineRule="exact"/>
              <w:ind w:left="102"/>
              <w:rPr>
                <w:sz w:val="20"/>
              </w:rPr>
            </w:pPr>
            <w:r>
              <w:rPr>
                <w:color w:val="231F20"/>
                <w:w w:val="75"/>
                <w:sz w:val="20"/>
              </w:rPr>
              <w:t>Modernización de las comunicaciones y el transporte</w:t>
            </w:r>
          </w:p>
        </w:tc>
      </w:tr>
      <w:tr>
        <w:trPr>
          <w:trHeight w:val="1600" w:hRule="exact"/>
        </w:trPr>
        <w:tc>
          <w:tcPr>
            <w:tcW w:w="392" w:type="dxa"/>
            <w:vMerge/>
            <w:textDirection w:val="tbRl"/>
          </w:tcPr>
          <w:p>
            <w:pPr/>
          </w:p>
        </w:tc>
        <w:tc>
          <w:tcPr>
            <w:tcW w:w="1798" w:type="dxa"/>
            <w:vMerge w:val="restart"/>
          </w:tcPr>
          <w:p>
            <w:pPr>
              <w:pStyle w:val="TableParagraph"/>
              <w:spacing w:line="202" w:lineRule="exact"/>
              <w:rPr>
                <w:sz w:val="20"/>
              </w:rPr>
            </w:pPr>
            <w:r>
              <w:rPr>
                <w:color w:val="231F20"/>
                <w:w w:val="75"/>
                <w:sz w:val="20"/>
              </w:rPr>
              <w:t>Desarrollo social y</w:t>
            </w:r>
          </w:p>
          <w:p>
            <w:pPr>
              <w:pStyle w:val="TableParagraph"/>
              <w:spacing w:line="242" w:lineRule="exact"/>
              <w:rPr>
                <w:sz w:val="20"/>
              </w:rPr>
            </w:pPr>
            <w:r>
              <w:rPr>
                <w:color w:val="231F20"/>
                <w:w w:val="85"/>
                <w:sz w:val="20"/>
              </w:rPr>
              <w:t>humano</w:t>
            </w:r>
          </w:p>
        </w:tc>
        <w:tc>
          <w:tcPr>
            <w:tcW w:w="1843" w:type="dxa"/>
          </w:tcPr>
          <w:p>
            <w:pPr>
              <w:pStyle w:val="TableParagraph"/>
              <w:spacing w:line="204" w:lineRule="exact"/>
              <w:rPr>
                <w:sz w:val="20"/>
              </w:rPr>
            </w:pPr>
            <w:r>
              <w:rPr>
                <w:color w:val="231F20"/>
                <w:w w:val="75"/>
                <w:sz w:val="20"/>
              </w:rPr>
              <w:t>Seguridad social</w:t>
            </w:r>
          </w:p>
        </w:tc>
        <w:tc>
          <w:tcPr>
            <w:tcW w:w="3894" w:type="dxa"/>
          </w:tcPr>
          <w:p>
            <w:pPr>
              <w:pStyle w:val="TableParagraph"/>
              <w:spacing w:line="202" w:lineRule="exact"/>
              <w:ind w:left="102" w:right="1051"/>
              <w:rPr>
                <w:sz w:val="20"/>
              </w:rPr>
            </w:pPr>
            <w:r>
              <w:rPr>
                <w:color w:val="231F20"/>
                <w:w w:val="75"/>
                <w:sz w:val="20"/>
              </w:rPr>
              <w:t>Desarrollo social y combate a la pobreza</w:t>
            </w:r>
          </w:p>
          <w:p>
            <w:pPr>
              <w:pStyle w:val="TableParagraph"/>
              <w:spacing w:line="235" w:lineRule="auto" w:before="1"/>
              <w:ind w:left="102" w:right="3235"/>
              <w:rPr>
                <w:sz w:val="20"/>
              </w:rPr>
            </w:pPr>
            <w:r>
              <w:rPr>
                <w:color w:val="231F20"/>
                <w:w w:val="85"/>
                <w:sz w:val="20"/>
              </w:rPr>
              <w:t>Salud </w:t>
            </w:r>
            <w:r>
              <w:rPr>
                <w:color w:val="231F20"/>
                <w:w w:val="75"/>
                <w:sz w:val="20"/>
              </w:rPr>
              <w:t>Vivienda</w:t>
            </w:r>
          </w:p>
          <w:p>
            <w:pPr>
              <w:pStyle w:val="TableParagraph"/>
              <w:spacing w:line="235" w:lineRule="auto"/>
              <w:ind w:left="102" w:right="2348"/>
              <w:rPr>
                <w:sz w:val="20"/>
              </w:rPr>
            </w:pPr>
            <w:r>
              <w:rPr>
                <w:color w:val="231F20"/>
                <w:w w:val="85"/>
                <w:sz w:val="20"/>
              </w:rPr>
              <w:t>Educación y cultura </w:t>
            </w:r>
            <w:r>
              <w:rPr>
                <w:color w:val="231F20"/>
                <w:w w:val="75"/>
                <w:sz w:val="20"/>
              </w:rPr>
              <w:t>Cultura física y deporte</w:t>
            </w:r>
          </w:p>
          <w:p>
            <w:pPr>
              <w:pStyle w:val="TableParagraph"/>
              <w:spacing w:line="235" w:lineRule="auto"/>
              <w:ind w:left="102" w:right="715"/>
              <w:rPr>
                <w:sz w:val="20"/>
              </w:rPr>
            </w:pPr>
            <w:r>
              <w:rPr>
                <w:color w:val="231F20"/>
                <w:w w:val="80"/>
                <w:sz w:val="20"/>
              </w:rPr>
              <w:t>Desarrollo</w:t>
            </w:r>
            <w:r>
              <w:rPr>
                <w:color w:val="231F20"/>
                <w:spacing w:val="-24"/>
                <w:w w:val="80"/>
                <w:sz w:val="20"/>
              </w:rPr>
              <w:t> </w:t>
            </w:r>
            <w:r>
              <w:rPr>
                <w:color w:val="231F20"/>
                <w:w w:val="80"/>
                <w:sz w:val="20"/>
              </w:rPr>
              <w:t>integral</w:t>
            </w:r>
            <w:r>
              <w:rPr>
                <w:color w:val="231F20"/>
                <w:spacing w:val="-24"/>
                <w:w w:val="80"/>
                <w:sz w:val="20"/>
              </w:rPr>
              <w:t> </w:t>
            </w:r>
            <w:r>
              <w:rPr>
                <w:color w:val="231F20"/>
                <w:w w:val="80"/>
                <w:sz w:val="20"/>
              </w:rPr>
              <w:t>de</w:t>
            </w:r>
            <w:r>
              <w:rPr>
                <w:color w:val="231F20"/>
                <w:spacing w:val="-24"/>
                <w:w w:val="80"/>
                <w:sz w:val="20"/>
              </w:rPr>
              <w:t> </w:t>
            </w:r>
            <w:r>
              <w:rPr>
                <w:color w:val="231F20"/>
                <w:w w:val="80"/>
                <w:sz w:val="20"/>
              </w:rPr>
              <w:t>la</w:t>
            </w:r>
            <w:r>
              <w:rPr>
                <w:color w:val="231F20"/>
                <w:spacing w:val="-24"/>
                <w:w w:val="80"/>
                <w:sz w:val="20"/>
              </w:rPr>
              <w:t> </w:t>
            </w:r>
            <w:r>
              <w:rPr>
                <w:color w:val="231F20"/>
                <w:w w:val="80"/>
                <w:sz w:val="20"/>
              </w:rPr>
              <w:t>familia</w:t>
            </w:r>
            <w:r>
              <w:rPr>
                <w:color w:val="231F20"/>
                <w:spacing w:val="-24"/>
                <w:w w:val="80"/>
                <w:sz w:val="20"/>
              </w:rPr>
              <w:t> </w:t>
            </w:r>
            <w:r>
              <w:rPr>
                <w:color w:val="231F20"/>
                <w:w w:val="80"/>
                <w:sz w:val="20"/>
              </w:rPr>
              <w:t>y</w:t>
            </w:r>
            <w:r>
              <w:rPr>
                <w:color w:val="231F20"/>
                <w:spacing w:val="-24"/>
                <w:w w:val="80"/>
                <w:sz w:val="20"/>
              </w:rPr>
              <w:t> </w:t>
            </w:r>
            <w:r>
              <w:rPr>
                <w:color w:val="231F20"/>
                <w:w w:val="80"/>
                <w:sz w:val="20"/>
              </w:rPr>
              <w:t>asistencia</w:t>
            </w:r>
            <w:r>
              <w:rPr>
                <w:color w:val="231F20"/>
                <w:spacing w:val="-24"/>
                <w:w w:val="80"/>
                <w:sz w:val="20"/>
              </w:rPr>
              <w:t> </w:t>
            </w:r>
            <w:r>
              <w:rPr>
                <w:color w:val="231F20"/>
                <w:w w:val="80"/>
                <w:sz w:val="20"/>
              </w:rPr>
              <w:t>social </w:t>
            </w:r>
            <w:r>
              <w:rPr>
                <w:color w:val="231F20"/>
                <w:w w:val="75"/>
                <w:sz w:val="20"/>
              </w:rPr>
              <w:t>Atención a los grupos</w:t>
            </w:r>
            <w:r>
              <w:rPr>
                <w:color w:val="231F20"/>
                <w:spacing w:val="-3"/>
                <w:w w:val="75"/>
                <w:sz w:val="20"/>
              </w:rPr>
              <w:t> </w:t>
            </w:r>
            <w:r>
              <w:rPr>
                <w:color w:val="231F20"/>
                <w:w w:val="75"/>
                <w:sz w:val="20"/>
              </w:rPr>
              <w:t>étnicos</w:t>
            </w:r>
          </w:p>
        </w:tc>
      </w:tr>
      <w:tr>
        <w:trPr>
          <w:trHeight w:val="880" w:hRule="exact"/>
        </w:trPr>
        <w:tc>
          <w:tcPr>
            <w:tcW w:w="392" w:type="dxa"/>
            <w:vMerge/>
            <w:textDirection w:val="tbRl"/>
          </w:tcPr>
          <w:p>
            <w:pPr/>
          </w:p>
        </w:tc>
        <w:tc>
          <w:tcPr>
            <w:tcW w:w="1798" w:type="dxa"/>
            <w:vMerge/>
          </w:tcPr>
          <w:p>
            <w:pPr/>
          </w:p>
        </w:tc>
        <w:tc>
          <w:tcPr>
            <w:tcW w:w="1843" w:type="dxa"/>
          </w:tcPr>
          <w:p>
            <w:pPr>
              <w:pStyle w:val="TableParagraph"/>
              <w:spacing w:line="202" w:lineRule="exact"/>
              <w:rPr>
                <w:sz w:val="20"/>
              </w:rPr>
            </w:pPr>
            <w:r>
              <w:rPr>
                <w:color w:val="231F20"/>
                <w:w w:val="75"/>
                <w:sz w:val="20"/>
              </w:rPr>
              <w:t>Igualdad de oportuni-</w:t>
            </w:r>
          </w:p>
          <w:p>
            <w:pPr>
              <w:pStyle w:val="TableParagraph"/>
              <w:spacing w:line="242" w:lineRule="exact"/>
              <w:rPr>
                <w:sz w:val="20"/>
              </w:rPr>
            </w:pPr>
            <w:r>
              <w:rPr>
                <w:color w:val="231F20"/>
                <w:w w:val="85"/>
                <w:sz w:val="20"/>
              </w:rPr>
              <w:t>dades</w:t>
            </w:r>
          </w:p>
        </w:tc>
        <w:tc>
          <w:tcPr>
            <w:tcW w:w="3894" w:type="dxa"/>
          </w:tcPr>
          <w:p>
            <w:pPr>
              <w:pStyle w:val="TableParagraph"/>
              <w:spacing w:line="202" w:lineRule="exact"/>
              <w:ind w:left="102" w:right="1051"/>
              <w:rPr>
                <w:sz w:val="20"/>
              </w:rPr>
            </w:pPr>
            <w:r>
              <w:rPr>
                <w:color w:val="231F20"/>
                <w:w w:val="75"/>
                <w:sz w:val="20"/>
              </w:rPr>
              <w:t>Apoyo a las mujeres</w:t>
            </w:r>
          </w:p>
          <w:p>
            <w:pPr>
              <w:pStyle w:val="TableParagraph"/>
              <w:spacing w:line="235" w:lineRule="auto" w:before="1"/>
              <w:ind w:left="102" w:right="2031"/>
              <w:rPr>
                <w:sz w:val="20"/>
              </w:rPr>
            </w:pPr>
            <w:r>
              <w:rPr>
                <w:color w:val="231F20"/>
                <w:w w:val="75"/>
                <w:sz w:val="20"/>
              </w:rPr>
              <w:t>Oportunidades a los jóvenes Apoyo a adultos mayores</w:t>
            </w:r>
          </w:p>
          <w:p>
            <w:pPr>
              <w:pStyle w:val="TableParagraph"/>
              <w:spacing w:line="227" w:lineRule="exact"/>
              <w:ind w:left="102"/>
              <w:rPr>
                <w:sz w:val="20"/>
              </w:rPr>
            </w:pPr>
            <w:r>
              <w:rPr>
                <w:color w:val="231F20"/>
                <w:w w:val="75"/>
                <w:sz w:val="20"/>
              </w:rPr>
              <w:t>Atención a personas con capacidades diferentes</w:t>
            </w:r>
          </w:p>
        </w:tc>
      </w:tr>
      <w:tr>
        <w:trPr>
          <w:trHeight w:val="400" w:hRule="exact"/>
        </w:trPr>
        <w:tc>
          <w:tcPr>
            <w:tcW w:w="392" w:type="dxa"/>
            <w:vMerge/>
            <w:textDirection w:val="tbRl"/>
          </w:tcPr>
          <w:p>
            <w:pPr/>
          </w:p>
        </w:tc>
        <w:tc>
          <w:tcPr>
            <w:tcW w:w="1798" w:type="dxa"/>
          </w:tcPr>
          <w:p>
            <w:pPr>
              <w:pStyle w:val="TableParagraph"/>
              <w:spacing w:line="204" w:lineRule="exact"/>
              <w:rPr>
                <w:sz w:val="20"/>
              </w:rPr>
            </w:pPr>
            <w:r>
              <w:rPr>
                <w:color w:val="231F20"/>
                <w:w w:val="75"/>
                <w:sz w:val="20"/>
              </w:rPr>
              <w:t>Un buen gobierno</w:t>
            </w:r>
          </w:p>
        </w:tc>
        <w:tc>
          <w:tcPr>
            <w:tcW w:w="1843" w:type="dxa"/>
          </w:tcPr>
          <w:p>
            <w:pPr>
              <w:pStyle w:val="TableParagraph"/>
              <w:spacing w:line="202" w:lineRule="exact"/>
              <w:rPr>
                <w:sz w:val="20"/>
              </w:rPr>
            </w:pPr>
            <w:r>
              <w:rPr>
                <w:color w:val="231F20"/>
                <w:w w:val="80"/>
                <w:sz w:val="20"/>
              </w:rPr>
              <w:t>Cimiento para la seguri-</w:t>
            </w:r>
          </w:p>
          <w:p>
            <w:pPr>
              <w:pStyle w:val="TableParagraph"/>
              <w:spacing w:line="228" w:lineRule="exact"/>
              <w:rPr>
                <w:sz w:val="20"/>
              </w:rPr>
            </w:pPr>
            <w:r>
              <w:rPr>
                <w:color w:val="231F20"/>
                <w:w w:val="75"/>
                <w:sz w:val="20"/>
              </w:rPr>
              <w:t>dad integral</w:t>
            </w:r>
          </w:p>
        </w:tc>
        <w:tc>
          <w:tcPr>
            <w:tcW w:w="3894" w:type="dxa"/>
          </w:tcPr>
          <w:p>
            <w:pPr>
              <w:pStyle w:val="TableParagraph"/>
              <w:spacing w:line="202" w:lineRule="exact"/>
              <w:ind w:left="102"/>
              <w:rPr>
                <w:sz w:val="20"/>
              </w:rPr>
            </w:pPr>
            <w:r>
              <w:rPr>
                <w:color w:val="231F20"/>
                <w:w w:val="75"/>
                <w:sz w:val="20"/>
              </w:rPr>
              <w:t>Modernización integral de la administración pública</w:t>
            </w:r>
          </w:p>
          <w:p>
            <w:pPr>
              <w:pStyle w:val="TableParagraph"/>
              <w:spacing w:line="228" w:lineRule="exact"/>
              <w:ind w:left="102" w:right="1051"/>
              <w:rPr>
                <w:sz w:val="20"/>
              </w:rPr>
            </w:pPr>
            <w:r>
              <w:rPr>
                <w:color w:val="231F20"/>
                <w:w w:val="75"/>
                <w:sz w:val="20"/>
              </w:rPr>
              <w:t>Financiamiento para el desarrollo</w:t>
            </w:r>
          </w:p>
        </w:tc>
      </w:tr>
    </w:tbl>
    <w:p>
      <w:pPr>
        <w:pStyle w:val="BodyText"/>
        <w:spacing w:before="5"/>
        <w:rPr>
          <w:b/>
          <w:sz w:val="17"/>
        </w:rPr>
      </w:pPr>
    </w:p>
    <w:p>
      <w:pPr>
        <w:spacing w:before="74"/>
        <w:ind w:left="3629" w:right="-2" w:firstLine="0"/>
        <w:jc w:val="left"/>
        <w:rPr>
          <w:rFonts w:ascii="Calibri" w:hAnsi="Calibri"/>
          <w:sz w:val="16"/>
        </w:rPr>
      </w:pPr>
      <w:r>
        <w:rPr>
          <w:rFonts w:ascii="Calibri" w:hAnsi="Calibri"/>
          <w:color w:val="231F20"/>
          <w:sz w:val="16"/>
        </w:rPr>
        <w:t>Fuente: realización propia con datos del Plan de Desarrollo Municipal</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La</w:t>
      </w:r>
      <w:r>
        <w:rPr>
          <w:color w:val="231F20"/>
          <w:spacing w:val="-17"/>
          <w:w w:val="105"/>
        </w:rPr>
        <w:t> </w:t>
      </w:r>
      <w:r>
        <w:rPr>
          <w:color w:val="231F20"/>
          <w:w w:val="105"/>
        </w:rPr>
        <w:t>redacción</w:t>
      </w:r>
      <w:r>
        <w:rPr>
          <w:color w:val="231F20"/>
          <w:spacing w:val="-17"/>
          <w:w w:val="105"/>
        </w:rPr>
        <w:t> </w:t>
      </w:r>
      <w:r>
        <w:rPr>
          <w:color w:val="231F20"/>
          <w:w w:val="105"/>
        </w:rPr>
        <w:t>del</w:t>
      </w:r>
      <w:r>
        <w:rPr>
          <w:color w:val="231F20"/>
          <w:spacing w:val="-17"/>
          <w:w w:val="105"/>
        </w:rPr>
        <w:t> </w:t>
      </w:r>
      <w:r>
        <w:rPr>
          <w:color w:val="231F20"/>
          <w:w w:val="105"/>
        </w:rPr>
        <w:t>Plan</w:t>
      </w:r>
      <w:r>
        <w:rPr>
          <w:color w:val="231F20"/>
          <w:spacing w:val="-17"/>
          <w:w w:val="105"/>
        </w:rPr>
        <w:t> </w:t>
      </w:r>
      <w:r>
        <w:rPr>
          <w:color w:val="231F20"/>
          <w:w w:val="105"/>
        </w:rPr>
        <w:t>de</w:t>
      </w:r>
      <w:r>
        <w:rPr>
          <w:color w:val="231F20"/>
          <w:spacing w:val="-17"/>
          <w:w w:val="105"/>
        </w:rPr>
        <w:t> </w:t>
      </w:r>
      <w:r>
        <w:rPr>
          <w:color w:val="231F20"/>
          <w:w w:val="105"/>
        </w:rPr>
        <w:t>Desarrollo</w:t>
      </w:r>
      <w:r>
        <w:rPr>
          <w:color w:val="231F20"/>
          <w:spacing w:val="-17"/>
          <w:w w:val="105"/>
        </w:rPr>
        <w:t> </w:t>
      </w:r>
      <w:r>
        <w:rPr>
          <w:color w:val="231F20"/>
          <w:w w:val="105"/>
        </w:rPr>
        <w:t>Municipal</w:t>
      </w:r>
      <w:r>
        <w:rPr>
          <w:color w:val="231F20"/>
          <w:spacing w:val="-17"/>
          <w:w w:val="105"/>
        </w:rPr>
        <w:t> </w:t>
      </w:r>
      <w:r>
        <w:rPr>
          <w:color w:val="231F20"/>
          <w:w w:val="105"/>
        </w:rPr>
        <w:t>no</w:t>
      </w:r>
      <w:r>
        <w:rPr>
          <w:color w:val="231F20"/>
          <w:spacing w:val="-17"/>
          <w:w w:val="105"/>
        </w:rPr>
        <w:t> </w:t>
      </w:r>
      <w:r>
        <w:rPr>
          <w:color w:val="231F20"/>
          <w:w w:val="105"/>
        </w:rPr>
        <w:t>significó</w:t>
      </w:r>
      <w:r>
        <w:rPr>
          <w:color w:val="231F20"/>
          <w:spacing w:val="-17"/>
          <w:w w:val="105"/>
        </w:rPr>
        <w:t> </w:t>
      </w:r>
      <w:r>
        <w:rPr>
          <w:color w:val="231F20"/>
          <w:w w:val="105"/>
        </w:rPr>
        <w:t>grandes</w:t>
      </w:r>
      <w:r>
        <w:rPr>
          <w:color w:val="231F20"/>
          <w:spacing w:val="-17"/>
          <w:w w:val="105"/>
        </w:rPr>
        <w:t> </w:t>
      </w:r>
      <w:r>
        <w:rPr>
          <w:color w:val="231F20"/>
          <w:w w:val="105"/>
        </w:rPr>
        <w:t>problemas</w:t>
      </w:r>
      <w:r>
        <w:rPr>
          <w:color w:val="231F20"/>
          <w:spacing w:val="-17"/>
          <w:w w:val="105"/>
        </w:rPr>
        <w:t> </w:t>
      </w:r>
      <w:r>
        <w:rPr>
          <w:color w:val="231F20"/>
          <w:w w:val="105"/>
        </w:rPr>
        <w:t>pues</w:t>
      </w:r>
      <w:r>
        <w:rPr>
          <w:color w:val="231F20"/>
          <w:spacing w:val="-17"/>
          <w:w w:val="105"/>
        </w:rPr>
        <w:t> </w:t>
      </w:r>
      <w:r>
        <w:rPr>
          <w:color w:val="231F20"/>
          <w:spacing w:val="-2"/>
          <w:w w:val="105"/>
        </w:rPr>
        <w:t>en- </w:t>
      </w:r>
      <w:r>
        <w:rPr>
          <w:color w:val="231F20"/>
          <w:w w:val="105"/>
        </w:rPr>
        <w:t>tre</w:t>
      </w:r>
      <w:r>
        <w:rPr>
          <w:color w:val="231F20"/>
          <w:spacing w:val="-7"/>
          <w:w w:val="105"/>
        </w:rPr>
        <w:t> </w:t>
      </w:r>
      <w:r>
        <w:rPr>
          <w:color w:val="231F20"/>
          <w:w w:val="105"/>
        </w:rPr>
        <w:t>los</w:t>
      </w:r>
      <w:r>
        <w:rPr>
          <w:color w:val="231F20"/>
          <w:spacing w:val="-7"/>
          <w:w w:val="105"/>
        </w:rPr>
        <w:t> </w:t>
      </w:r>
      <w:r>
        <w:rPr>
          <w:color w:val="231F20"/>
          <w:w w:val="105"/>
        </w:rPr>
        <w:t>miembros</w:t>
      </w:r>
      <w:r>
        <w:rPr>
          <w:color w:val="231F20"/>
          <w:spacing w:val="-7"/>
          <w:w w:val="105"/>
        </w:rPr>
        <w:t> </w:t>
      </w:r>
      <w:r>
        <w:rPr>
          <w:color w:val="231F20"/>
          <w:w w:val="105"/>
        </w:rPr>
        <w:t>del</w:t>
      </w:r>
      <w:r>
        <w:rPr>
          <w:color w:val="231F20"/>
          <w:spacing w:val="-7"/>
          <w:w w:val="105"/>
        </w:rPr>
        <w:t> </w:t>
      </w:r>
      <w:r>
        <w:rPr>
          <w:color w:val="231F20"/>
          <w:w w:val="105"/>
        </w:rPr>
        <w:t>ayuntamiento</w:t>
      </w:r>
      <w:r>
        <w:rPr>
          <w:color w:val="231F20"/>
          <w:spacing w:val="-7"/>
          <w:w w:val="105"/>
        </w:rPr>
        <w:t> </w:t>
      </w:r>
      <w:r>
        <w:rPr>
          <w:color w:val="231F20"/>
          <w:w w:val="105"/>
        </w:rPr>
        <w:t>había</w:t>
      </w:r>
      <w:r>
        <w:rPr>
          <w:color w:val="231F20"/>
          <w:spacing w:val="-7"/>
          <w:w w:val="105"/>
        </w:rPr>
        <w:t> </w:t>
      </w:r>
      <w:r>
        <w:rPr>
          <w:color w:val="231F20"/>
          <w:w w:val="105"/>
        </w:rPr>
        <w:t>personas</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capacidad</w:t>
      </w:r>
      <w:r>
        <w:rPr>
          <w:color w:val="231F20"/>
          <w:spacing w:val="-7"/>
          <w:w w:val="105"/>
        </w:rPr>
        <w:t> </w:t>
      </w:r>
      <w:r>
        <w:rPr>
          <w:color w:val="231F20"/>
          <w:w w:val="105"/>
        </w:rPr>
        <w:t>y</w:t>
      </w:r>
      <w:r>
        <w:rPr>
          <w:color w:val="231F20"/>
          <w:spacing w:val="-7"/>
          <w:w w:val="105"/>
        </w:rPr>
        <w:t> </w:t>
      </w:r>
      <w:r>
        <w:rPr>
          <w:color w:val="231F20"/>
          <w:w w:val="105"/>
        </w:rPr>
        <w:t>experiencia</w:t>
      </w:r>
      <w:r>
        <w:rPr>
          <w:color w:val="231F20"/>
          <w:spacing w:val="-7"/>
          <w:w w:val="105"/>
        </w:rPr>
        <w:t> </w:t>
      </w:r>
      <w:r>
        <w:rPr>
          <w:color w:val="231F20"/>
          <w:w w:val="105"/>
        </w:rPr>
        <w:t>para organizar esta información, por haber desempeñado en trienios anteriores cargos de representación</w:t>
      </w:r>
      <w:r>
        <w:rPr>
          <w:color w:val="231F20"/>
          <w:spacing w:val="-28"/>
          <w:w w:val="105"/>
        </w:rPr>
        <w:t> </w:t>
      </w:r>
      <w:r>
        <w:rPr>
          <w:color w:val="231F20"/>
          <w:w w:val="105"/>
        </w:rPr>
        <w:t>popular</w:t>
      </w:r>
      <w:r>
        <w:rPr>
          <w:color w:val="231F20"/>
          <w:spacing w:val="-28"/>
          <w:w w:val="105"/>
        </w:rPr>
        <w:t> </w:t>
      </w:r>
      <w:r>
        <w:rPr>
          <w:color w:val="231F20"/>
          <w:w w:val="105"/>
        </w:rPr>
        <w:t>(regidurías).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spacing w:val="-3"/>
          <w:w w:val="105"/>
        </w:rPr>
        <w:t>…afortunadamente</w:t>
      </w:r>
      <w:r>
        <w:rPr>
          <w:color w:val="231F20"/>
          <w:spacing w:val="-23"/>
          <w:w w:val="105"/>
        </w:rPr>
        <w:t> </w:t>
      </w:r>
      <w:r>
        <w:rPr>
          <w:color w:val="231F20"/>
          <w:spacing w:val="-3"/>
          <w:w w:val="105"/>
        </w:rPr>
        <w:t>yo</w:t>
      </w:r>
      <w:r>
        <w:rPr>
          <w:color w:val="231F20"/>
          <w:spacing w:val="-23"/>
          <w:w w:val="105"/>
        </w:rPr>
        <w:t> </w:t>
      </w:r>
      <w:r>
        <w:rPr>
          <w:color w:val="231F20"/>
          <w:w w:val="105"/>
        </w:rPr>
        <w:t>tenía</w:t>
      </w:r>
      <w:r>
        <w:rPr>
          <w:color w:val="231F20"/>
          <w:spacing w:val="-23"/>
          <w:w w:val="105"/>
        </w:rPr>
        <w:t> </w:t>
      </w:r>
      <w:r>
        <w:rPr>
          <w:color w:val="231F20"/>
          <w:w w:val="105"/>
        </w:rPr>
        <w:t>una</w:t>
      </w:r>
      <w:r>
        <w:rPr>
          <w:color w:val="231F20"/>
          <w:spacing w:val="-23"/>
          <w:w w:val="105"/>
        </w:rPr>
        <w:t> </w:t>
      </w:r>
      <w:r>
        <w:rPr>
          <w:color w:val="231F20"/>
          <w:w w:val="105"/>
        </w:rPr>
        <w:t>poquita</w:t>
      </w:r>
      <w:r>
        <w:rPr>
          <w:color w:val="231F20"/>
          <w:spacing w:val="-23"/>
          <w:w w:val="105"/>
        </w:rPr>
        <w:t> </w:t>
      </w:r>
      <w:r>
        <w:rPr>
          <w:color w:val="231F20"/>
          <w:w w:val="105"/>
        </w:rPr>
        <w:t>de</w:t>
      </w:r>
      <w:r>
        <w:rPr>
          <w:color w:val="231F20"/>
          <w:spacing w:val="-23"/>
          <w:w w:val="105"/>
        </w:rPr>
        <w:t> </w:t>
      </w:r>
      <w:r>
        <w:rPr>
          <w:color w:val="231F20"/>
          <w:spacing w:val="-3"/>
          <w:w w:val="105"/>
        </w:rPr>
        <w:t>experiencia</w:t>
      </w:r>
      <w:r>
        <w:rPr>
          <w:color w:val="231F20"/>
          <w:spacing w:val="-23"/>
          <w:w w:val="105"/>
        </w:rPr>
        <w:t> </w:t>
      </w:r>
      <w:r>
        <w:rPr>
          <w:color w:val="231F20"/>
          <w:w w:val="105"/>
        </w:rPr>
        <w:t>en</w:t>
      </w:r>
      <w:r>
        <w:rPr>
          <w:color w:val="231F20"/>
          <w:spacing w:val="-23"/>
          <w:w w:val="105"/>
        </w:rPr>
        <w:t> </w:t>
      </w:r>
      <w:r>
        <w:rPr>
          <w:color w:val="231F20"/>
          <w:w w:val="105"/>
        </w:rPr>
        <w:t>esas</w:t>
      </w:r>
      <w:r>
        <w:rPr>
          <w:color w:val="231F20"/>
          <w:spacing w:val="-23"/>
          <w:w w:val="105"/>
        </w:rPr>
        <w:t> </w:t>
      </w:r>
      <w:r>
        <w:rPr>
          <w:color w:val="231F20"/>
          <w:spacing w:val="-3"/>
          <w:w w:val="105"/>
        </w:rPr>
        <w:t>cuestiones,</w:t>
      </w:r>
      <w:r>
        <w:rPr>
          <w:color w:val="231F20"/>
          <w:spacing w:val="-23"/>
          <w:w w:val="105"/>
        </w:rPr>
        <w:t> </w:t>
      </w:r>
      <w:r>
        <w:rPr>
          <w:color w:val="231F20"/>
          <w:w w:val="105"/>
        </w:rPr>
        <w:t>fui</w:t>
      </w:r>
      <w:r>
        <w:rPr>
          <w:color w:val="231F20"/>
          <w:spacing w:val="-23"/>
          <w:w w:val="105"/>
        </w:rPr>
        <w:t> </w:t>
      </w:r>
      <w:r>
        <w:rPr>
          <w:color w:val="231F20"/>
          <w:spacing w:val="-3"/>
          <w:w w:val="105"/>
        </w:rPr>
        <w:t>regi- </w:t>
      </w:r>
      <w:r>
        <w:rPr>
          <w:color w:val="231F20"/>
          <w:spacing w:val="-4"/>
          <w:w w:val="105"/>
        </w:rPr>
        <w:t>dor</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spacing w:val="-3"/>
          <w:w w:val="105"/>
        </w:rPr>
        <w:t>municipio,</w:t>
      </w:r>
      <w:r>
        <w:rPr>
          <w:color w:val="231F20"/>
          <w:spacing w:val="-20"/>
          <w:w w:val="105"/>
        </w:rPr>
        <w:t> </w:t>
      </w:r>
      <w:r>
        <w:rPr>
          <w:color w:val="231F20"/>
          <w:w w:val="105"/>
        </w:rPr>
        <w:t>y</w:t>
      </w:r>
      <w:r>
        <w:rPr>
          <w:color w:val="231F20"/>
          <w:spacing w:val="-20"/>
          <w:w w:val="105"/>
        </w:rPr>
        <w:t> </w:t>
      </w:r>
      <w:r>
        <w:rPr>
          <w:color w:val="231F20"/>
          <w:spacing w:val="-4"/>
          <w:w w:val="105"/>
        </w:rPr>
        <w:t>presidente</w:t>
      </w:r>
      <w:r>
        <w:rPr>
          <w:color w:val="231F20"/>
          <w:spacing w:val="-20"/>
          <w:w w:val="105"/>
        </w:rPr>
        <w:t> </w:t>
      </w:r>
      <w:r>
        <w:rPr>
          <w:color w:val="231F20"/>
          <w:spacing w:val="-3"/>
          <w:w w:val="105"/>
        </w:rPr>
        <w:t>del</w:t>
      </w:r>
      <w:r>
        <w:rPr>
          <w:color w:val="231F20"/>
          <w:spacing w:val="-20"/>
          <w:w w:val="105"/>
        </w:rPr>
        <w:t> </w:t>
      </w:r>
      <w:r>
        <w:rPr>
          <w:color w:val="231F20"/>
          <w:w w:val="105"/>
        </w:rPr>
        <w:t>Comité</w:t>
      </w:r>
      <w:r>
        <w:rPr>
          <w:color w:val="231F20"/>
          <w:spacing w:val="-20"/>
          <w:w w:val="105"/>
        </w:rPr>
        <w:t> </w:t>
      </w:r>
      <w:r>
        <w:rPr>
          <w:color w:val="231F20"/>
          <w:w w:val="105"/>
        </w:rPr>
        <w:t>Municipal</w:t>
      </w:r>
      <w:r>
        <w:rPr>
          <w:color w:val="231F20"/>
          <w:spacing w:val="-20"/>
          <w:w w:val="105"/>
        </w:rPr>
        <w:t> </w:t>
      </w:r>
      <w:r>
        <w:rPr>
          <w:color w:val="231F20"/>
          <w:spacing w:val="-3"/>
          <w:w w:val="105"/>
        </w:rPr>
        <w:t>del</w:t>
      </w:r>
      <w:r>
        <w:rPr>
          <w:color w:val="231F20"/>
          <w:spacing w:val="-20"/>
          <w:w w:val="105"/>
        </w:rPr>
        <w:t> </w:t>
      </w:r>
      <w:r>
        <w:rPr>
          <w:color w:val="231F20"/>
          <w:spacing w:val="-6"/>
          <w:w w:val="105"/>
        </w:rPr>
        <w:t>PAN</w:t>
      </w:r>
      <w:r>
        <w:rPr>
          <w:color w:val="231F20"/>
          <w:spacing w:val="-20"/>
          <w:w w:val="105"/>
        </w:rPr>
        <w:t> </w:t>
      </w:r>
      <w:r>
        <w:rPr>
          <w:color w:val="231F20"/>
          <w:spacing w:val="-3"/>
          <w:w w:val="105"/>
        </w:rPr>
        <w:t>(Navarro,</w:t>
      </w:r>
      <w:r>
        <w:rPr>
          <w:color w:val="231F20"/>
          <w:spacing w:val="-20"/>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w w:val="105"/>
        </w:rPr>
        <w:t>La participación en actividades de mejoras </w:t>
      </w:r>
      <w:r>
        <w:rPr>
          <w:color w:val="231F20"/>
          <w:spacing w:val="2"/>
          <w:w w:val="105"/>
        </w:rPr>
        <w:t>al </w:t>
      </w:r>
      <w:r>
        <w:rPr>
          <w:color w:val="231F20"/>
          <w:w w:val="105"/>
        </w:rPr>
        <w:t>medio ambiente a nivel federal y esta- </w:t>
      </w:r>
      <w:r>
        <w:rPr>
          <w:color w:val="231F20"/>
          <w:spacing w:val="2"/>
          <w:w w:val="105"/>
        </w:rPr>
        <w:t>tal </w:t>
      </w:r>
      <w:r>
        <w:rPr>
          <w:color w:val="231F20"/>
          <w:w w:val="105"/>
        </w:rPr>
        <w:t>se debe a su situación geográfica, pues el municipio tiene gran importancia para la conservación de las áreas verdes que circundan a la </w:t>
      </w:r>
      <w:r>
        <w:rPr>
          <w:color w:val="231F20"/>
          <w:spacing w:val="-3"/>
          <w:w w:val="105"/>
        </w:rPr>
        <w:t>Ciudad </w:t>
      </w:r>
      <w:r>
        <w:rPr>
          <w:color w:val="231F20"/>
          <w:w w:val="105"/>
        </w:rPr>
        <w:t>de México. Hay vínculos con dependencias gubernamentales de distintos niveles en materia de ecología a nivel federal,</w:t>
      </w:r>
      <w:r>
        <w:rPr>
          <w:color w:val="231F20"/>
          <w:spacing w:val="-7"/>
          <w:w w:val="105"/>
        </w:rPr>
        <w:t> </w:t>
      </w:r>
      <w:r>
        <w:rPr>
          <w:color w:val="231F20"/>
          <w:w w:val="105"/>
        </w:rPr>
        <w:t>por</w:t>
      </w:r>
      <w:r>
        <w:rPr>
          <w:color w:val="231F20"/>
          <w:spacing w:val="-7"/>
          <w:w w:val="105"/>
        </w:rPr>
        <w:t> </w:t>
      </w:r>
      <w:r>
        <w:rPr>
          <w:color w:val="231F20"/>
          <w:w w:val="105"/>
        </w:rPr>
        <w:t>medio</w:t>
      </w:r>
      <w:r>
        <w:rPr>
          <w:color w:val="231F20"/>
          <w:spacing w:val="-7"/>
          <w:w w:val="105"/>
        </w:rPr>
        <w:t> </w:t>
      </w:r>
      <w:r>
        <w:rPr>
          <w:color w:val="231F20"/>
          <w:w w:val="105"/>
        </w:rPr>
        <w:t>del</w:t>
      </w:r>
      <w:r>
        <w:rPr>
          <w:color w:val="231F20"/>
          <w:spacing w:val="-7"/>
          <w:w w:val="105"/>
        </w:rPr>
        <w:t> </w:t>
      </w:r>
      <w:r>
        <w:rPr>
          <w:color w:val="231F20"/>
          <w:w w:val="105"/>
        </w:rPr>
        <w:t>Comité</w:t>
      </w:r>
      <w:r>
        <w:rPr>
          <w:color w:val="231F20"/>
          <w:spacing w:val="-7"/>
          <w:w w:val="105"/>
        </w:rPr>
        <w:t> </w:t>
      </w:r>
      <w:r>
        <w:rPr>
          <w:color w:val="231F20"/>
          <w:w w:val="105"/>
        </w:rPr>
        <w:t>Municipal</w:t>
      </w:r>
      <w:r>
        <w:rPr>
          <w:color w:val="231F20"/>
          <w:spacing w:val="-7"/>
          <w:w w:val="105"/>
        </w:rPr>
        <w:t> </w:t>
      </w:r>
      <w:r>
        <w:rPr>
          <w:color w:val="231F20"/>
          <w:w w:val="105"/>
        </w:rPr>
        <w:t>de</w:t>
      </w:r>
      <w:r>
        <w:rPr>
          <w:color w:val="231F20"/>
          <w:spacing w:val="-7"/>
          <w:w w:val="105"/>
        </w:rPr>
        <w:t> </w:t>
      </w:r>
      <w:r>
        <w:rPr>
          <w:color w:val="231F20"/>
          <w:w w:val="105"/>
        </w:rPr>
        <w:t>Asuntos</w:t>
      </w:r>
      <w:r>
        <w:rPr>
          <w:color w:val="231F20"/>
          <w:spacing w:val="-7"/>
          <w:w w:val="105"/>
        </w:rPr>
        <w:t> </w:t>
      </w:r>
      <w:r>
        <w:rPr>
          <w:color w:val="231F20"/>
          <w:w w:val="105"/>
        </w:rPr>
        <w:t>Metropolitanos</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Dirección</w:t>
      </w:r>
      <w:r>
        <w:rPr>
          <w:color w:val="231F20"/>
          <w:spacing w:val="-7"/>
          <w:w w:val="105"/>
        </w:rPr>
        <w:t> </w:t>
      </w:r>
      <w:r>
        <w:rPr>
          <w:color w:val="231F20"/>
          <w:w w:val="105"/>
        </w:rPr>
        <w:t>de Desarrollo</w:t>
      </w:r>
      <w:r>
        <w:rPr>
          <w:color w:val="231F20"/>
          <w:spacing w:val="-9"/>
          <w:w w:val="105"/>
        </w:rPr>
        <w:t> </w:t>
      </w:r>
      <w:r>
        <w:rPr>
          <w:color w:val="231F20"/>
          <w:w w:val="105"/>
        </w:rPr>
        <w:t>Metropolitano</w:t>
      </w:r>
      <w:r>
        <w:rPr>
          <w:color w:val="231F20"/>
          <w:w w:val="105"/>
          <w:position w:val="7"/>
          <w:sz w:val="13"/>
        </w:rPr>
        <w:t>4</w:t>
      </w:r>
      <w:r>
        <w:rPr>
          <w:color w:val="231F20"/>
          <w:w w:val="105"/>
        </w:rPr>
        <w:t>.</w:t>
      </w:r>
    </w:p>
    <w:p>
      <w:pPr>
        <w:pStyle w:val="BodyText"/>
        <w:spacing w:before="1"/>
        <w:rPr>
          <w:sz w:val="26"/>
        </w:rPr>
      </w:pPr>
    </w:p>
    <w:p>
      <w:pPr>
        <w:pStyle w:val="BodyText"/>
        <w:spacing w:line="285" w:lineRule="auto"/>
        <w:ind w:left="110" w:right="107"/>
        <w:jc w:val="both"/>
      </w:pPr>
      <w:r>
        <w:rPr>
          <w:color w:val="231F20"/>
          <w:w w:val="105"/>
        </w:rPr>
        <w:t>La Comisión Municipal de Asuntos Metropolitanos se integró en la sesión de cabildo del 13 de noviembre de </w:t>
      </w:r>
      <w:r>
        <w:rPr>
          <w:color w:val="231F20"/>
          <w:spacing w:val="3"/>
          <w:w w:val="105"/>
        </w:rPr>
        <w:t>2006, </w:t>
      </w:r>
      <w:r>
        <w:rPr>
          <w:color w:val="231F20"/>
          <w:w w:val="105"/>
        </w:rPr>
        <w:t>con el presidente municipal </w:t>
      </w:r>
      <w:r>
        <w:rPr>
          <w:color w:val="231F20"/>
          <w:spacing w:val="2"/>
          <w:w w:val="105"/>
        </w:rPr>
        <w:t>al </w:t>
      </w:r>
      <w:r>
        <w:rPr>
          <w:color w:val="231F20"/>
          <w:w w:val="105"/>
        </w:rPr>
        <w:t>frente (Actas de cabildo: 2006,16).</w:t>
      </w:r>
      <w:r>
        <w:rPr>
          <w:color w:val="231F20"/>
          <w:spacing w:val="-26"/>
          <w:w w:val="105"/>
        </w:rPr>
        <w:t> </w:t>
      </w:r>
      <w:r>
        <w:rPr>
          <w:color w:val="231F20"/>
          <w:w w:val="105"/>
        </w:rPr>
        <w:t>Los</w:t>
      </w:r>
      <w:r>
        <w:rPr>
          <w:color w:val="231F20"/>
          <w:spacing w:val="-26"/>
          <w:w w:val="105"/>
        </w:rPr>
        <w:t> </w:t>
      </w:r>
      <w:r>
        <w:rPr>
          <w:color w:val="231F20"/>
          <w:w w:val="105"/>
        </w:rPr>
        <w:t>objetivos</w:t>
      </w:r>
      <w:r>
        <w:rPr>
          <w:color w:val="231F20"/>
          <w:spacing w:val="-26"/>
          <w:w w:val="105"/>
        </w:rPr>
        <w:t> </w:t>
      </w:r>
      <w:r>
        <w:rPr>
          <w:color w:val="231F20"/>
          <w:w w:val="105"/>
        </w:rPr>
        <w:t>del</w:t>
      </w:r>
      <w:r>
        <w:rPr>
          <w:color w:val="231F20"/>
          <w:spacing w:val="-26"/>
          <w:w w:val="105"/>
        </w:rPr>
        <w:t> </w:t>
      </w:r>
      <w:r>
        <w:rPr>
          <w:color w:val="231F20"/>
          <w:w w:val="105"/>
        </w:rPr>
        <w:t>Plan</w:t>
      </w:r>
      <w:r>
        <w:rPr>
          <w:color w:val="231F20"/>
          <w:spacing w:val="-26"/>
          <w:w w:val="105"/>
        </w:rPr>
        <w:t> </w:t>
      </w:r>
      <w:r>
        <w:rPr>
          <w:color w:val="231F20"/>
          <w:w w:val="105"/>
        </w:rPr>
        <w:t>de</w:t>
      </w:r>
      <w:r>
        <w:rPr>
          <w:color w:val="231F20"/>
          <w:spacing w:val="-26"/>
          <w:w w:val="105"/>
        </w:rPr>
        <w:t> </w:t>
      </w:r>
      <w:r>
        <w:rPr>
          <w:color w:val="231F20"/>
          <w:w w:val="105"/>
        </w:rPr>
        <w:t>Desarrollo</w:t>
      </w:r>
      <w:r>
        <w:rPr>
          <w:color w:val="231F20"/>
          <w:spacing w:val="-26"/>
          <w:w w:val="105"/>
        </w:rPr>
        <w:t> </w:t>
      </w:r>
      <w:r>
        <w:rPr>
          <w:color w:val="231F20"/>
          <w:w w:val="105"/>
        </w:rPr>
        <w:t>Municipal</w:t>
      </w:r>
      <w:r>
        <w:rPr>
          <w:color w:val="231F20"/>
          <w:spacing w:val="-26"/>
          <w:w w:val="105"/>
        </w:rPr>
        <w:t> </w:t>
      </w:r>
      <w:r>
        <w:rPr>
          <w:color w:val="231F20"/>
          <w:w w:val="105"/>
        </w:rPr>
        <w:t>en</w:t>
      </w:r>
      <w:r>
        <w:rPr>
          <w:color w:val="231F20"/>
          <w:spacing w:val="-26"/>
          <w:w w:val="105"/>
        </w:rPr>
        <w:t> </w:t>
      </w:r>
      <w:r>
        <w:rPr>
          <w:color w:val="231F20"/>
          <w:w w:val="105"/>
        </w:rPr>
        <w:t>materia</w:t>
      </w:r>
      <w:r>
        <w:rPr>
          <w:color w:val="231F20"/>
          <w:spacing w:val="-26"/>
          <w:w w:val="105"/>
        </w:rPr>
        <w:t> </w:t>
      </w:r>
      <w:r>
        <w:rPr>
          <w:color w:val="231F20"/>
          <w:w w:val="105"/>
        </w:rPr>
        <w:t>de</w:t>
      </w:r>
      <w:r>
        <w:rPr>
          <w:color w:val="231F20"/>
          <w:spacing w:val="-26"/>
          <w:w w:val="105"/>
        </w:rPr>
        <w:t> </w:t>
      </w:r>
      <w:r>
        <w:rPr>
          <w:color w:val="231F20"/>
          <w:w w:val="105"/>
        </w:rPr>
        <w:t>ecología</w:t>
      </w:r>
      <w:r>
        <w:rPr>
          <w:color w:val="231F20"/>
          <w:spacing w:val="-26"/>
          <w:w w:val="105"/>
        </w:rPr>
        <w:t> </w:t>
      </w:r>
      <w:r>
        <w:rPr>
          <w:color w:val="231F20"/>
          <w:w w:val="105"/>
        </w:rPr>
        <w:t>respon- den</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necesidades</w:t>
      </w:r>
      <w:r>
        <w:rPr>
          <w:color w:val="231F20"/>
          <w:spacing w:val="-12"/>
          <w:w w:val="105"/>
        </w:rPr>
        <w:t> </w:t>
      </w:r>
      <w:r>
        <w:rPr>
          <w:color w:val="231F20"/>
          <w:w w:val="105"/>
        </w:rPr>
        <w:t>estatales</w:t>
      </w:r>
      <w:r>
        <w:rPr>
          <w:color w:val="231F20"/>
          <w:spacing w:val="-12"/>
          <w:w w:val="105"/>
        </w:rPr>
        <w:t> </w:t>
      </w:r>
      <w:r>
        <w:rPr>
          <w:color w:val="231F20"/>
          <w:w w:val="105"/>
        </w:rPr>
        <w:t>y</w:t>
      </w:r>
      <w:r>
        <w:rPr>
          <w:color w:val="231F20"/>
          <w:spacing w:val="-12"/>
          <w:w w:val="105"/>
        </w:rPr>
        <w:t> </w:t>
      </w:r>
      <w:r>
        <w:rPr>
          <w:color w:val="231F20"/>
          <w:w w:val="105"/>
        </w:rPr>
        <w:t>nacionales.</w:t>
      </w:r>
      <w:r>
        <w:rPr>
          <w:color w:val="231F20"/>
          <w:spacing w:val="-12"/>
          <w:w w:val="105"/>
        </w:rPr>
        <w:t> </w:t>
      </w:r>
      <w:r>
        <w:rPr>
          <w:color w:val="231F20"/>
          <w:w w:val="105"/>
        </w:rPr>
        <w:t>Dichos</w:t>
      </w:r>
      <w:r>
        <w:rPr>
          <w:color w:val="231F20"/>
          <w:spacing w:val="-12"/>
          <w:w w:val="105"/>
        </w:rPr>
        <w:t> </w:t>
      </w:r>
      <w:r>
        <w:rPr>
          <w:color w:val="231F20"/>
          <w:w w:val="105"/>
        </w:rPr>
        <w:t>objetivos</w:t>
      </w:r>
      <w:r>
        <w:rPr>
          <w:color w:val="231F20"/>
          <w:spacing w:val="-12"/>
          <w:w w:val="105"/>
        </w:rPr>
        <w:t> </w:t>
      </w:r>
      <w:r>
        <w:rPr>
          <w:color w:val="231F20"/>
          <w:w w:val="105"/>
        </w:rPr>
        <w:t>son:</w:t>
      </w:r>
      <w:r>
        <w:rPr>
          <w:color w:val="231F20"/>
          <w:spacing w:val="-12"/>
          <w:w w:val="105"/>
        </w:rPr>
        <w:t> </w:t>
      </w:r>
      <w:r>
        <w:rPr>
          <w:color w:val="231F20"/>
          <w:w w:val="105"/>
        </w:rPr>
        <w:t>asegurar</w:t>
      </w:r>
      <w:r>
        <w:rPr>
          <w:color w:val="231F20"/>
          <w:spacing w:val="-12"/>
          <w:w w:val="105"/>
        </w:rPr>
        <w:t> </w:t>
      </w:r>
      <w:r>
        <w:rPr>
          <w:color w:val="231F20"/>
          <w:w w:val="105"/>
        </w:rPr>
        <w:t>el</w:t>
      </w:r>
      <w:r>
        <w:rPr>
          <w:color w:val="231F20"/>
          <w:spacing w:val="-12"/>
          <w:w w:val="105"/>
        </w:rPr>
        <w:t> </w:t>
      </w:r>
      <w:r>
        <w:rPr>
          <w:color w:val="231F20"/>
          <w:w w:val="105"/>
        </w:rPr>
        <w:t>suminis- tro de agua potable, preservar el entorno ecológico de la tala inmoderada y los asenta- mientos</w:t>
      </w:r>
      <w:r>
        <w:rPr>
          <w:color w:val="231F20"/>
          <w:spacing w:val="-7"/>
          <w:w w:val="105"/>
        </w:rPr>
        <w:t> </w:t>
      </w:r>
      <w:r>
        <w:rPr>
          <w:color w:val="231F20"/>
          <w:w w:val="105"/>
        </w:rPr>
        <w:t>irregulares,</w:t>
      </w:r>
      <w:r>
        <w:rPr>
          <w:color w:val="231F20"/>
          <w:spacing w:val="-7"/>
          <w:w w:val="105"/>
        </w:rPr>
        <w:t> </w:t>
      </w:r>
      <w:r>
        <w:rPr>
          <w:color w:val="231F20"/>
          <w:w w:val="105"/>
        </w:rPr>
        <w:t>asegurar</w:t>
      </w:r>
      <w:r>
        <w:rPr>
          <w:color w:val="231F20"/>
          <w:spacing w:val="-7"/>
          <w:w w:val="105"/>
        </w:rPr>
        <w:t> </w:t>
      </w:r>
      <w:r>
        <w:rPr>
          <w:color w:val="231F20"/>
          <w:w w:val="105"/>
        </w:rPr>
        <w:t>la</w:t>
      </w:r>
      <w:r>
        <w:rPr>
          <w:color w:val="231F20"/>
          <w:spacing w:val="-7"/>
          <w:w w:val="105"/>
        </w:rPr>
        <w:t> </w:t>
      </w:r>
      <w:r>
        <w:rPr>
          <w:color w:val="231F20"/>
          <w:w w:val="105"/>
        </w:rPr>
        <w:t>prestación</w:t>
      </w:r>
      <w:r>
        <w:rPr>
          <w:color w:val="231F20"/>
          <w:spacing w:val="-7"/>
          <w:w w:val="105"/>
        </w:rPr>
        <w:t> </w:t>
      </w:r>
      <w:r>
        <w:rPr>
          <w:color w:val="231F20"/>
          <w:w w:val="105"/>
        </w:rPr>
        <w:t>de</w:t>
      </w:r>
      <w:r>
        <w:rPr>
          <w:color w:val="231F20"/>
          <w:spacing w:val="-7"/>
          <w:w w:val="105"/>
        </w:rPr>
        <w:t> </w:t>
      </w:r>
      <w:r>
        <w:rPr>
          <w:color w:val="231F20"/>
          <w:w w:val="105"/>
        </w:rPr>
        <w:t>servicios</w:t>
      </w:r>
      <w:r>
        <w:rPr>
          <w:color w:val="231F20"/>
          <w:spacing w:val="-7"/>
          <w:w w:val="105"/>
        </w:rPr>
        <w:t> </w:t>
      </w:r>
      <w:r>
        <w:rPr>
          <w:color w:val="231F20"/>
          <w:w w:val="105"/>
        </w:rPr>
        <w:t>públicos</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tratamiento</w:t>
      </w:r>
      <w:r>
        <w:rPr>
          <w:color w:val="231F20"/>
          <w:spacing w:val="-7"/>
          <w:w w:val="105"/>
        </w:rPr>
        <w:t> </w:t>
      </w:r>
      <w:r>
        <w:rPr>
          <w:color w:val="231F20"/>
          <w:w w:val="105"/>
        </w:rPr>
        <w:t>de los</w:t>
      </w:r>
      <w:r>
        <w:rPr>
          <w:color w:val="231F20"/>
          <w:spacing w:val="-16"/>
          <w:w w:val="105"/>
        </w:rPr>
        <w:t> </w:t>
      </w:r>
      <w:r>
        <w:rPr>
          <w:color w:val="231F20"/>
          <w:w w:val="105"/>
        </w:rPr>
        <w:t>desechos</w:t>
      </w:r>
      <w:r>
        <w:rPr>
          <w:color w:val="231F20"/>
          <w:spacing w:val="-16"/>
          <w:w w:val="105"/>
        </w:rPr>
        <w:t> </w:t>
      </w:r>
      <w:r>
        <w:rPr>
          <w:color w:val="231F20"/>
          <w:w w:val="105"/>
        </w:rPr>
        <w:t>sólidos</w:t>
      </w:r>
      <w:r>
        <w:rPr>
          <w:color w:val="231F20"/>
          <w:spacing w:val="-16"/>
          <w:w w:val="105"/>
        </w:rPr>
        <w:t> </w:t>
      </w:r>
      <w:r>
        <w:rPr>
          <w:color w:val="231F20"/>
          <w:w w:val="105"/>
        </w:rPr>
        <w:t>y</w:t>
      </w:r>
      <w:r>
        <w:rPr>
          <w:color w:val="231F20"/>
          <w:spacing w:val="-16"/>
          <w:w w:val="105"/>
        </w:rPr>
        <w:t> </w:t>
      </w:r>
      <w:r>
        <w:rPr>
          <w:color w:val="231F20"/>
          <w:w w:val="105"/>
        </w:rPr>
        <w:t>aguas,</w:t>
      </w:r>
      <w:r>
        <w:rPr>
          <w:color w:val="231F20"/>
          <w:spacing w:val="-16"/>
          <w:w w:val="105"/>
        </w:rPr>
        <w:t> </w:t>
      </w:r>
      <w:r>
        <w:rPr>
          <w:color w:val="231F20"/>
          <w:w w:val="105"/>
        </w:rPr>
        <w:t>entre</w:t>
      </w:r>
      <w:r>
        <w:rPr>
          <w:color w:val="231F20"/>
          <w:spacing w:val="-16"/>
          <w:w w:val="105"/>
        </w:rPr>
        <w:t> </w:t>
      </w:r>
      <w:r>
        <w:rPr>
          <w:color w:val="231F20"/>
          <w:w w:val="105"/>
        </w:rPr>
        <w:t>otros.</w:t>
      </w:r>
      <w:r>
        <w:rPr>
          <w:color w:val="231F20"/>
          <w:spacing w:val="-16"/>
          <w:w w:val="105"/>
        </w:rPr>
        <w:t> </w:t>
      </w:r>
      <w:r>
        <w:rPr>
          <w:color w:val="231F20"/>
          <w:w w:val="105"/>
        </w:rPr>
        <w:t>Los</w:t>
      </w:r>
      <w:r>
        <w:rPr>
          <w:color w:val="231F20"/>
          <w:spacing w:val="-16"/>
          <w:w w:val="105"/>
        </w:rPr>
        <w:t> </w:t>
      </w:r>
      <w:r>
        <w:rPr>
          <w:color w:val="231F20"/>
          <w:w w:val="105"/>
        </w:rPr>
        <w:t>artículos</w:t>
      </w:r>
      <w:r>
        <w:rPr>
          <w:color w:val="231F20"/>
          <w:spacing w:val="-16"/>
          <w:w w:val="105"/>
        </w:rPr>
        <w:t> </w:t>
      </w:r>
      <w:r>
        <w:rPr>
          <w:color w:val="231F20"/>
          <w:w w:val="105"/>
        </w:rPr>
        <w:t>24,</w:t>
      </w:r>
      <w:r>
        <w:rPr>
          <w:color w:val="231F20"/>
          <w:spacing w:val="-16"/>
          <w:w w:val="105"/>
        </w:rPr>
        <w:t> </w:t>
      </w:r>
      <w:r>
        <w:rPr>
          <w:color w:val="231F20"/>
          <w:w w:val="105"/>
        </w:rPr>
        <w:t>29</w:t>
      </w:r>
      <w:r>
        <w:rPr>
          <w:color w:val="231F20"/>
          <w:spacing w:val="-16"/>
          <w:w w:val="105"/>
        </w:rPr>
        <w:t> </w:t>
      </w:r>
      <w:r>
        <w:rPr>
          <w:color w:val="231F20"/>
          <w:w w:val="105"/>
        </w:rPr>
        <w:t>y</w:t>
      </w:r>
      <w:r>
        <w:rPr>
          <w:color w:val="231F20"/>
          <w:spacing w:val="-16"/>
          <w:w w:val="105"/>
        </w:rPr>
        <w:t> </w:t>
      </w:r>
      <w:r>
        <w:rPr>
          <w:color w:val="231F20"/>
          <w:spacing w:val="-5"/>
          <w:w w:val="105"/>
        </w:rPr>
        <w:t>81</w:t>
      </w:r>
      <w:r>
        <w:rPr>
          <w:color w:val="231F20"/>
          <w:spacing w:val="-16"/>
          <w:w w:val="105"/>
        </w:rPr>
        <w:t> </w:t>
      </w:r>
      <w:r>
        <w:rPr>
          <w:color w:val="231F20"/>
          <w:w w:val="105"/>
        </w:rPr>
        <w:t>del</w:t>
      </w:r>
      <w:r>
        <w:rPr>
          <w:color w:val="231F20"/>
          <w:spacing w:val="-16"/>
          <w:w w:val="105"/>
        </w:rPr>
        <w:t> </w:t>
      </w:r>
      <w:r>
        <w:rPr>
          <w:color w:val="231F20"/>
          <w:w w:val="105"/>
        </w:rPr>
        <w:t>Bando</w:t>
      </w:r>
      <w:r>
        <w:rPr>
          <w:color w:val="231F20"/>
          <w:spacing w:val="-16"/>
          <w:w w:val="105"/>
        </w:rPr>
        <w:t> </w:t>
      </w:r>
      <w:r>
        <w:rPr>
          <w:color w:val="231F20"/>
          <w:w w:val="105"/>
        </w:rPr>
        <w:t>Municipal dan cuenta de estas</w:t>
      </w:r>
      <w:r>
        <w:rPr>
          <w:color w:val="231F20"/>
          <w:spacing w:val="-23"/>
          <w:w w:val="105"/>
        </w:rPr>
        <w:t> </w:t>
      </w:r>
      <w:r>
        <w:rPr>
          <w:color w:val="231F20"/>
          <w:w w:val="105"/>
        </w:rPr>
        <w:t>medidas:</w:t>
      </w:r>
    </w:p>
    <w:p>
      <w:pPr>
        <w:pStyle w:val="BodyText"/>
        <w:spacing w:line="285" w:lineRule="auto" w:before="1"/>
        <w:ind w:left="677" w:right="107"/>
        <w:jc w:val="both"/>
      </w:pPr>
      <w:r>
        <w:rPr>
          <w:color w:val="231F20"/>
          <w:w w:val="105"/>
        </w:rPr>
        <w:t>Como se desprende de la tabal </w:t>
      </w:r>
      <w:r>
        <w:rPr>
          <w:color w:val="231F20"/>
          <w:spacing w:val="-4"/>
          <w:w w:val="105"/>
        </w:rPr>
        <w:t>1, </w:t>
      </w:r>
      <w:r>
        <w:rPr>
          <w:color w:val="231F20"/>
          <w:w w:val="105"/>
        </w:rPr>
        <w:t>cuatro son los rubros en que hace hincapié el Plan</w:t>
      </w:r>
      <w:r>
        <w:rPr>
          <w:color w:val="231F20"/>
          <w:spacing w:val="-6"/>
          <w:w w:val="105"/>
        </w:rPr>
        <w:t> </w:t>
      </w:r>
      <w:r>
        <w:rPr>
          <w:color w:val="231F20"/>
          <w:w w:val="105"/>
        </w:rPr>
        <w:t>de</w:t>
      </w:r>
      <w:r>
        <w:rPr>
          <w:color w:val="231F20"/>
          <w:spacing w:val="-6"/>
          <w:w w:val="105"/>
        </w:rPr>
        <w:t> </w:t>
      </w:r>
      <w:r>
        <w:rPr>
          <w:color w:val="231F20"/>
          <w:w w:val="105"/>
        </w:rPr>
        <w:t>Desarrollo</w:t>
      </w:r>
      <w:r>
        <w:rPr>
          <w:color w:val="231F20"/>
          <w:spacing w:val="-6"/>
          <w:w w:val="105"/>
        </w:rPr>
        <w:t> </w:t>
      </w:r>
      <w:r>
        <w:rPr>
          <w:color w:val="231F20"/>
          <w:w w:val="105"/>
        </w:rPr>
        <w:t>Municipal:</w:t>
      </w:r>
      <w:r>
        <w:rPr>
          <w:color w:val="231F20"/>
          <w:spacing w:val="-6"/>
          <w:w w:val="105"/>
        </w:rPr>
        <w:t> </w:t>
      </w:r>
      <w:r>
        <w:rPr>
          <w:color w:val="231F20"/>
          <w:w w:val="105"/>
        </w:rPr>
        <w:t>primero,</w:t>
      </w:r>
      <w:r>
        <w:rPr>
          <w:color w:val="231F20"/>
          <w:spacing w:val="-6"/>
          <w:w w:val="105"/>
        </w:rPr>
        <w:t> </w:t>
      </w:r>
      <w:r>
        <w:rPr>
          <w:color w:val="231F20"/>
          <w:w w:val="105"/>
        </w:rPr>
        <w:t>seguridad</w:t>
      </w:r>
      <w:r>
        <w:rPr>
          <w:color w:val="231F20"/>
          <w:spacing w:val="-6"/>
          <w:w w:val="105"/>
        </w:rPr>
        <w:t> </w:t>
      </w:r>
      <w:r>
        <w:rPr>
          <w:color w:val="231F20"/>
          <w:w w:val="105"/>
        </w:rPr>
        <w:t>pública,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plan</w:t>
      </w:r>
      <w:r>
        <w:rPr>
          <w:color w:val="231F20"/>
          <w:spacing w:val="-6"/>
          <w:w w:val="105"/>
        </w:rPr>
        <w:t> </w:t>
      </w:r>
      <w:r>
        <w:rPr>
          <w:color w:val="231F20"/>
          <w:w w:val="105"/>
        </w:rPr>
        <w:t>se</w:t>
      </w:r>
      <w:r>
        <w:rPr>
          <w:color w:val="231F20"/>
          <w:spacing w:val="-6"/>
          <w:w w:val="105"/>
        </w:rPr>
        <w:t> </w:t>
      </w:r>
      <w:r>
        <w:rPr>
          <w:color w:val="231F20"/>
          <w:w w:val="105"/>
        </w:rPr>
        <w:t>propuso crear reglamentos para mejorar el desempeño de los miembros de la seguridad pública</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tránsito</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fortalecimiento</w:t>
      </w:r>
      <w:r>
        <w:rPr>
          <w:color w:val="231F20"/>
          <w:spacing w:val="-15"/>
          <w:w w:val="105"/>
        </w:rPr>
        <w:t> </w:t>
      </w:r>
      <w:r>
        <w:rPr>
          <w:color w:val="231F20"/>
          <w:w w:val="105"/>
        </w:rPr>
        <w:t>las</w:t>
      </w:r>
      <w:r>
        <w:rPr>
          <w:color w:val="231F20"/>
          <w:spacing w:val="-15"/>
          <w:w w:val="105"/>
        </w:rPr>
        <w:t> </w:t>
      </w:r>
      <w:r>
        <w:rPr>
          <w:color w:val="231F20"/>
          <w:w w:val="105"/>
        </w:rPr>
        <w:t>instituciones</w:t>
      </w:r>
      <w:r>
        <w:rPr>
          <w:color w:val="231F20"/>
          <w:spacing w:val="-15"/>
          <w:w w:val="105"/>
        </w:rPr>
        <w:t> </w:t>
      </w:r>
      <w:r>
        <w:rPr>
          <w:color w:val="231F20"/>
          <w:w w:val="105"/>
        </w:rPr>
        <w:t>que</w:t>
      </w:r>
      <w:r>
        <w:rPr>
          <w:color w:val="231F20"/>
          <w:spacing w:val="-15"/>
          <w:w w:val="105"/>
        </w:rPr>
        <w:t> </w:t>
      </w:r>
      <w:r>
        <w:rPr>
          <w:color w:val="231F20"/>
          <w:w w:val="105"/>
        </w:rPr>
        <w:t>imparten</w:t>
      </w:r>
      <w:r>
        <w:rPr>
          <w:color w:val="231F20"/>
          <w:spacing w:val="-15"/>
          <w:w w:val="105"/>
        </w:rPr>
        <w:t> </w:t>
      </w:r>
      <w:r>
        <w:rPr>
          <w:color w:val="231F20"/>
          <w:w w:val="105"/>
        </w:rPr>
        <w:t>justicia</w:t>
      </w:r>
      <w:r>
        <w:rPr>
          <w:color w:val="231F20"/>
          <w:spacing w:val="-15"/>
          <w:w w:val="105"/>
        </w:rPr>
        <w:t> </w:t>
      </w:r>
      <w:r>
        <w:rPr>
          <w:color w:val="231F20"/>
          <w:w w:val="105"/>
        </w:rPr>
        <w:t>en el</w:t>
      </w:r>
      <w:r>
        <w:rPr>
          <w:color w:val="231F20"/>
          <w:spacing w:val="-19"/>
          <w:w w:val="105"/>
        </w:rPr>
        <w:t> </w:t>
      </w:r>
      <w:r>
        <w:rPr>
          <w:color w:val="231F20"/>
          <w:w w:val="105"/>
        </w:rPr>
        <w:t>municipio,</w:t>
      </w:r>
      <w:r>
        <w:rPr>
          <w:color w:val="231F20"/>
          <w:spacing w:val="-19"/>
          <w:w w:val="105"/>
        </w:rPr>
        <w:t> </w:t>
      </w:r>
      <w:r>
        <w:rPr>
          <w:color w:val="231F20"/>
          <w:w w:val="105"/>
        </w:rPr>
        <w:t>para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conduzcan</w:t>
      </w:r>
      <w:r>
        <w:rPr>
          <w:color w:val="231F20"/>
          <w:spacing w:val="-19"/>
          <w:w w:val="105"/>
        </w:rPr>
        <w:t> </w:t>
      </w:r>
      <w:r>
        <w:rPr>
          <w:color w:val="231F20"/>
          <w:w w:val="105"/>
        </w:rPr>
        <w:t>de</w:t>
      </w:r>
      <w:r>
        <w:rPr>
          <w:color w:val="231F20"/>
          <w:spacing w:val="-19"/>
          <w:w w:val="105"/>
        </w:rPr>
        <w:t> </w:t>
      </w:r>
      <w:r>
        <w:rPr>
          <w:color w:val="231F20"/>
          <w:w w:val="105"/>
        </w:rPr>
        <w:t>acuerdo</w:t>
      </w:r>
      <w:r>
        <w:rPr>
          <w:color w:val="231F20"/>
          <w:spacing w:val="-19"/>
          <w:w w:val="105"/>
        </w:rPr>
        <w:t> </w:t>
      </w:r>
      <w:r>
        <w:rPr>
          <w:color w:val="231F20"/>
          <w:w w:val="105"/>
        </w:rPr>
        <w:t>a</w:t>
      </w:r>
      <w:r>
        <w:rPr>
          <w:color w:val="231F20"/>
          <w:spacing w:val="-19"/>
          <w:w w:val="105"/>
        </w:rPr>
        <w:t> </w:t>
      </w:r>
      <w:r>
        <w:rPr>
          <w:color w:val="231F20"/>
          <w:w w:val="105"/>
        </w:rPr>
        <w:t>derecho</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invadan</w:t>
      </w:r>
      <w:r>
        <w:rPr>
          <w:color w:val="231F20"/>
          <w:spacing w:val="-19"/>
          <w:w w:val="105"/>
        </w:rPr>
        <w:t> </w:t>
      </w:r>
      <w:r>
        <w:rPr>
          <w:color w:val="231F20"/>
          <w:w w:val="105"/>
        </w:rPr>
        <w:t>funciones de</w:t>
      </w:r>
      <w:r>
        <w:rPr>
          <w:color w:val="231F20"/>
          <w:spacing w:val="-12"/>
          <w:w w:val="105"/>
        </w:rPr>
        <w:t> </w:t>
      </w:r>
      <w:r>
        <w:rPr>
          <w:color w:val="231F20"/>
          <w:w w:val="105"/>
        </w:rPr>
        <w:t>otras</w:t>
      </w:r>
      <w:r>
        <w:rPr>
          <w:color w:val="231F20"/>
          <w:spacing w:val="-12"/>
          <w:w w:val="105"/>
        </w:rPr>
        <w:t> </w:t>
      </w:r>
      <w:r>
        <w:rPr>
          <w:color w:val="231F20"/>
          <w:w w:val="105"/>
        </w:rPr>
        <w:t>instancias,</w:t>
      </w:r>
      <w:r>
        <w:rPr>
          <w:color w:val="231F20"/>
          <w:spacing w:val="-12"/>
          <w:w w:val="105"/>
        </w:rPr>
        <w:t> </w:t>
      </w:r>
      <w:r>
        <w:rPr>
          <w:color w:val="231F20"/>
          <w:w w:val="105"/>
        </w:rPr>
        <w:t>todo</w:t>
      </w:r>
      <w:r>
        <w:rPr>
          <w:color w:val="231F20"/>
          <w:spacing w:val="-12"/>
          <w:w w:val="105"/>
        </w:rPr>
        <w:t> </w:t>
      </w:r>
      <w:r>
        <w:rPr>
          <w:color w:val="231F20"/>
          <w:w w:val="105"/>
        </w:rPr>
        <w:t>esto</w:t>
      </w:r>
      <w:r>
        <w:rPr>
          <w:color w:val="231F20"/>
          <w:spacing w:val="-12"/>
          <w:w w:val="105"/>
        </w:rPr>
        <w:t> </w:t>
      </w:r>
      <w:r>
        <w:rPr>
          <w:color w:val="231F20"/>
          <w:w w:val="105"/>
        </w:rPr>
        <w:t>sustentado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título</w:t>
      </w:r>
      <w:r>
        <w:rPr>
          <w:color w:val="231F20"/>
          <w:spacing w:val="-12"/>
          <w:w w:val="105"/>
        </w:rPr>
        <w:t> </w:t>
      </w:r>
      <w:r>
        <w:rPr>
          <w:color w:val="231F20"/>
          <w:w w:val="105"/>
        </w:rPr>
        <w:t>décimo</w:t>
      </w:r>
      <w:r>
        <w:rPr>
          <w:color w:val="231F20"/>
          <w:spacing w:val="-12"/>
          <w:w w:val="105"/>
        </w:rPr>
        <w:t> </w:t>
      </w:r>
      <w:r>
        <w:rPr>
          <w:color w:val="231F20"/>
          <w:w w:val="105"/>
        </w:rPr>
        <w:t>del</w:t>
      </w:r>
      <w:r>
        <w:rPr>
          <w:color w:val="231F20"/>
          <w:spacing w:val="-12"/>
          <w:w w:val="105"/>
        </w:rPr>
        <w:t> </w:t>
      </w:r>
      <w:r>
        <w:rPr>
          <w:color w:val="231F20"/>
          <w:w w:val="105"/>
        </w:rPr>
        <w:t>Bando</w:t>
      </w:r>
      <w:r>
        <w:rPr>
          <w:color w:val="231F20"/>
          <w:spacing w:val="-12"/>
          <w:w w:val="105"/>
        </w:rPr>
        <w:t> </w:t>
      </w:r>
      <w:r>
        <w:rPr>
          <w:color w:val="231F20"/>
          <w:w w:val="105"/>
        </w:rPr>
        <w:t>Municipal que</w:t>
      </w:r>
      <w:r>
        <w:rPr>
          <w:color w:val="231F20"/>
          <w:spacing w:val="-15"/>
          <w:w w:val="105"/>
        </w:rPr>
        <w:t> </w:t>
      </w:r>
      <w:r>
        <w:rPr>
          <w:color w:val="231F20"/>
          <w:w w:val="105"/>
        </w:rPr>
        <w:t>regula</w:t>
      </w:r>
      <w:r>
        <w:rPr>
          <w:color w:val="231F20"/>
          <w:spacing w:val="-15"/>
          <w:w w:val="105"/>
        </w:rPr>
        <w:t> </w:t>
      </w:r>
      <w:r>
        <w:rPr>
          <w:color w:val="231F20"/>
          <w:w w:val="105"/>
        </w:rPr>
        <w:t>el</w:t>
      </w:r>
      <w:r>
        <w:rPr>
          <w:color w:val="231F20"/>
          <w:spacing w:val="-15"/>
          <w:w w:val="105"/>
        </w:rPr>
        <w:t> </w:t>
      </w:r>
      <w:r>
        <w:rPr>
          <w:color w:val="231F20"/>
          <w:w w:val="105"/>
        </w:rPr>
        <w:t>funcionamiento,</w:t>
      </w:r>
      <w:r>
        <w:rPr>
          <w:color w:val="231F20"/>
          <w:spacing w:val="-15"/>
          <w:w w:val="105"/>
        </w:rPr>
        <w:t> </w:t>
      </w:r>
      <w:r>
        <w:rPr>
          <w:color w:val="231F20"/>
          <w:w w:val="105"/>
        </w:rPr>
        <w:t>organización</w:t>
      </w:r>
      <w:r>
        <w:rPr>
          <w:color w:val="231F20"/>
          <w:spacing w:val="-15"/>
          <w:w w:val="105"/>
        </w:rPr>
        <w:t> </w:t>
      </w:r>
      <w:r>
        <w:rPr>
          <w:color w:val="231F20"/>
          <w:w w:val="105"/>
        </w:rPr>
        <w:t>y</w:t>
      </w:r>
      <w:r>
        <w:rPr>
          <w:color w:val="231F20"/>
          <w:spacing w:val="-15"/>
          <w:w w:val="105"/>
        </w:rPr>
        <w:t> </w:t>
      </w:r>
      <w:r>
        <w:rPr>
          <w:color w:val="231F20"/>
          <w:w w:val="105"/>
        </w:rPr>
        <w:t>principios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Dirección</w:t>
      </w:r>
      <w:r>
        <w:rPr>
          <w:color w:val="231F20"/>
          <w:spacing w:val="-15"/>
          <w:w w:val="105"/>
        </w:rPr>
        <w:t> </w:t>
      </w:r>
      <w:r>
        <w:rPr>
          <w:color w:val="231F20"/>
          <w:w w:val="105"/>
        </w:rPr>
        <w:t>de</w:t>
      </w:r>
      <w:r>
        <w:rPr>
          <w:color w:val="231F20"/>
          <w:spacing w:val="-15"/>
          <w:w w:val="105"/>
        </w:rPr>
        <w:t> </w:t>
      </w:r>
      <w:r>
        <w:rPr>
          <w:color w:val="231F20"/>
          <w:w w:val="105"/>
        </w:rPr>
        <w:t>Segu- ridad</w:t>
      </w:r>
      <w:r>
        <w:rPr>
          <w:color w:val="231F20"/>
          <w:spacing w:val="-27"/>
          <w:w w:val="105"/>
        </w:rPr>
        <w:t> </w:t>
      </w:r>
      <w:r>
        <w:rPr>
          <w:color w:val="231F20"/>
          <w:w w:val="105"/>
        </w:rPr>
        <w:t>Pública</w:t>
      </w:r>
      <w:r>
        <w:rPr>
          <w:color w:val="231F20"/>
          <w:spacing w:val="-27"/>
          <w:w w:val="105"/>
        </w:rPr>
        <w:t> </w:t>
      </w:r>
      <w:r>
        <w:rPr>
          <w:color w:val="231F20"/>
          <w:w w:val="105"/>
        </w:rPr>
        <w:t>Preventiva</w:t>
      </w:r>
      <w:r>
        <w:rPr>
          <w:color w:val="231F20"/>
          <w:spacing w:val="-27"/>
          <w:w w:val="105"/>
        </w:rPr>
        <w:t> </w:t>
      </w:r>
      <w:r>
        <w:rPr>
          <w:color w:val="231F20"/>
          <w:w w:val="105"/>
        </w:rPr>
        <w:t>Municipal</w:t>
      </w:r>
      <w:r>
        <w:rPr>
          <w:color w:val="231F20"/>
          <w:spacing w:val="-27"/>
          <w:w w:val="105"/>
        </w:rPr>
        <w:t> </w:t>
      </w:r>
      <w:r>
        <w:rPr>
          <w:color w:val="231F20"/>
          <w:w w:val="105"/>
        </w:rPr>
        <w:t>(Bando</w:t>
      </w:r>
      <w:r>
        <w:rPr>
          <w:color w:val="231F20"/>
          <w:spacing w:val="-27"/>
          <w:w w:val="105"/>
        </w:rPr>
        <w:t> </w:t>
      </w:r>
      <w:r>
        <w:rPr>
          <w:color w:val="231F20"/>
          <w:w w:val="105"/>
        </w:rPr>
        <w:t>Municipal:</w:t>
      </w:r>
      <w:r>
        <w:rPr>
          <w:color w:val="231F20"/>
          <w:spacing w:val="-27"/>
          <w:w w:val="105"/>
        </w:rPr>
        <w:t> </w:t>
      </w:r>
      <w:r>
        <w:rPr>
          <w:color w:val="231F20"/>
          <w:spacing w:val="-3"/>
          <w:w w:val="105"/>
        </w:rPr>
        <w:t>2007,</w:t>
      </w:r>
      <w:r>
        <w:rPr>
          <w:color w:val="231F20"/>
          <w:spacing w:val="-27"/>
          <w:w w:val="105"/>
        </w:rPr>
        <w:t> </w:t>
      </w:r>
      <w:r>
        <w:rPr>
          <w:color w:val="231F20"/>
          <w:spacing w:val="-4"/>
          <w:w w:val="105"/>
        </w:rPr>
        <w:t>38).</w:t>
      </w:r>
    </w:p>
    <w:p>
      <w:pPr>
        <w:pStyle w:val="BodyText"/>
        <w:rPr>
          <w:sz w:val="20"/>
        </w:rPr>
      </w:pPr>
    </w:p>
    <w:p>
      <w:pPr>
        <w:pStyle w:val="BodyText"/>
        <w:spacing w:before="4"/>
        <w:rPr>
          <w:sz w:val="28"/>
        </w:rPr>
      </w:pPr>
      <w:r>
        <w:rPr/>
        <w:pict>
          <v:line style="position:absolute;mso-position-horizontal-relative:page;mso-position-vertical-relative:paragraph;z-index:10888;mso-wrap-distance-left:0;mso-wrap-distance-right:0" from="42.519699pt,18.749773pt" to="114.519699pt,18.749773pt" stroked="true" strokeweight="1pt" strokecolor="#231f20">
            <w10:wrap type="topAndBottom"/>
          </v:line>
        </w:pict>
      </w:r>
    </w:p>
    <w:p>
      <w:pPr>
        <w:pStyle w:val="ListParagraph"/>
        <w:numPr>
          <w:ilvl w:val="0"/>
          <w:numId w:val="18"/>
        </w:numPr>
        <w:tabs>
          <w:tab w:pos="231" w:val="left" w:leader="none"/>
        </w:tabs>
        <w:spacing w:line="244" w:lineRule="auto" w:before="8" w:after="0"/>
        <w:ind w:left="110" w:right="108" w:firstLine="0"/>
        <w:jc w:val="both"/>
        <w:rPr>
          <w:sz w:val="16"/>
        </w:rPr>
      </w:pPr>
      <w:r>
        <w:rPr>
          <w:color w:val="231F20"/>
          <w:sz w:val="16"/>
        </w:rPr>
        <w:t>El 22 de diciembre de 2005, se declara la zona metropolitana del Valle de México, incluyéndose un municipio del Estado de</w:t>
      </w:r>
      <w:r>
        <w:rPr>
          <w:color w:val="231F20"/>
          <w:spacing w:val="-6"/>
          <w:sz w:val="16"/>
        </w:rPr>
        <w:t> </w:t>
      </w:r>
      <w:r>
        <w:rPr>
          <w:color w:val="231F20"/>
          <w:sz w:val="16"/>
        </w:rPr>
        <w:t>Hidalgo,</w:t>
      </w:r>
      <w:r>
        <w:rPr>
          <w:color w:val="231F20"/>
          <w:spacing w:val="-6"/>
          <w:sz w:val="16"/>
        </w:rPr>
        <w:t> </w:t>
      </w:r>
      <w:r>
        <w:rPr>
          <w:color w:val="231F20"/>
          <w:sz w:val="16"/>
        </w:rPr>
        <w:t>las</w:t>
      </w:r>
      <w:r>
        <w:rPr>
          <w:color w:val="231F20"/>
          <w:spacing w:val="-6"/>
          <w:sz w:val="16"/>
        </w:rPr>
        <w:t> </w:t>
      </w:r>
      <w:r>
        <w:rPr>
          <w:color w:val="231F20"/>
          <w:spacing w:val="-4"/>
          <w:sz w:val="16"/>
        </w:rPr>
        <w:t>16</w:t>
      </w:r>
      <w:r>
        <w:rPr>
          <w:color w:val="231F20"/>
          <w:spacing w:val="-6"/>
          <w:sz w:val="16"/>
        </w:rPr>
        <w:t> </w:t>
      </w:r>
      <w:r>
        <w:rPr>
          <w:color w:val="231F20"/>
          <w:sz w:val="16"/>
        </w:rPr>
        <w:t>delegaciones</w:t>
      </w:r>
      <w:r>
        <w:rPr>
          <w:color w:val="231F20"/>
          <w:spacing w:val="-6"/>
          <w:sz w:val="16"/>
        </w:rPr>
        <w:t> </w:t>
      </w:r>
      <w:r>
        <w:rPr>
          <w:color w:val="231F20"/>
          <w:sz w:val="16"/>
        </w:rPr>
        <w:t>del</w:t>
      </w:r>
      <w:r>
        <w:rPr>
          <w:color w:val="231F20"/>
          <w:spacing w:val="-6"/>
          <w:sz w:val="16"/>
        </w:rPr>
        <w:t> </w:t>
      </w:r>
      <w:r>
        <w:rPr>
          <w:color w:val="231F20"/>
          <w:sz w:val="16"/>
        </w:rPr>
        <w:t>Distrito</w:t>
      </w:r>
      <w:r>
        <w:rPr>
          <w:color w:val="231F20"/>
          <w:spacing w:val="-6"/>
          <w:sz w:val="16"/>
        </w:rPr>
        <w:t> </w:t>
      </w:r>
      <w:r>
        <w:rPr>
          <w:color w:val="231F20"/>
          <w:sz w:val="16"/>
        </w:rPr>
        <w:t>Federal</w:t>
      </w:r>
      <w:r>
        <w:rPr>
          <w:color w:val="231F20"/>
          <w:spacing w:val="-6"/>
          <w:sz w:val="16"/>
        </w:rPr>
        <w:t> </w:t>
      </w:r>
      <w:r>
        <w:rPr>
          <w:color w:val="231F20"/>
          <w:sz w:val="16"/>
        </w:rPr>
        <w:t>y</w:t>
      </w:r>
      <w:r>
        <w:rPr>
          <w:color w:val="231F20"/>
          <w:spacing w:val="-6"/>
          <w:sz w:val="16"/>
        </w:rPr>
        <w:t> </w:t>
      </w:r>
      <w:r>
        <w:rPr>
          <w:color w:val="231F20"/>
          <w:spacing w:val="-3"/>
          <w:sz w:val="16"/>
        </w:rPr>
        <w:t>59</w:t>
      </w:r>
      <w:r>
        <w:rPr>
          <w:color w:val="231F20"/>
          <w:spacing w:val="-6"/>
          <w:sz w:val="16"/>
        </w:rPr>
        <w:t> </w:t>
      </w:r>
      <w:r>
        <w:rPr>
          <w:color w:val="231F20"/>
          <w:sz w:val="16"/>
        </w:rPr>
        <w:t>municipios</w:t>
      </w:r>
      <w:r>
        <w:rPr>
          <w:color w:val="231F20"/>
          <w:spacing w:val="-6"/>
          <w:sz w:val="16"/>
        </w:rPr>
        <w:t> </w:t>
      </w:r>
      <w:r>
        <w:rPr>
          <w:color w:val="231F20"/>
          <w:sz w:val="16"/>
        </w:rPr>
        <w:t>del</w:t>
      </w:r>
      <w:r>
        <w:rPr>
          <w:color w:val="231F20"/>
          <w:spacing w:val="-6"/>
          <w:sz w:val="16"/>
        </w:rPr>
        <w:t> </w:t>
      </w:r>
      <w:r>
        <w:rPr>
          <w:color w:val="231F20"/>
          <w:sz w:val="16"/>
        </w:rPr>
        <w:t>Estado</w:t>
      </w:r>
      <w:r>
        <w:rPr>
          <w:color w:val="231F20"/>
          <w:spacing w:val="-6"/>
          <w:sz w:val="16"/>
        </w:rPr>
        <w:t> </w:t>
      </w:r>
      <w:r>
        <w:rPr>
          <w:color w:val="231F20"/>
          <w:sz w:val="16"/>
        </w:rPr>
        <w:t>de</w:t>
      </w:r>
      <w:r>
        <w:rPr>
          <w:color w:val="231F20"/>
          <w:spacing w:val="-6"/>
          <w:sz w:val="16"/>
        </w:rPr>
        <w:t> </w:t>
      </w:r>
      <w:r>
        <w:rPr>
          <w:color w:val="231F20"/>
          <w:sz w:val="16"/>
        </w:rPr>
        <w:t>México,</w:t>
      </w:r>
      <w:r>
        <w:rPr>
          <w:color w:val="231F20"/>
          <w:spacing w:val="-6"/>
          <w:sz w:val="16"/>
        </w:rPr>
        <w:t> </w:t>
      </w:r>
      <w:r>
        <w:rPr>
          <w:color w:val="231F20"/>
          <w:sz w:val="16"/>
        </w:rPr>
        <w:t>dentro</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cuales</w:t>
      </w:r>
      <w:r>
        <w:rPr>
          <w:color w:val="231F20"/>
          <w:spacing w:val="-6"/>
          <w:sz w:val="16"/>
        </w:rPr>
        <w:t> </w:t>
      </w:r>
      <w:r>
        <w:rPr>
          <w:color w:val="231F20"/>
          <w:sz w:val="16"/>
        </w:rPr>
        <w:t>se</w:t>
      </w:r>
      <w:r>
        <w:rPr>
          <w:color w:val="231F20"/>
          <w:spacing w:val="-6"/>
          <w:sz w:val="16"/>
        </w:rPr>
        <w:t> </w:t>
      </w:r>
      <w:r>
        <w:rPr>
          <w:color w:val="231F20"/>
          <w:sz w:val="16"/>
        </w:rPr>
        <w:t>encuentra Atlautla,</w:t>
      </w:r>
      <w:r>
        <w:rPr>
          <w:color w:val="231F20"/>
          <w:spacing w:val="-6"/>
          <w:sz w:val="16"/>
        </w:rPr>
        <w:t> </w:t>
      </w:r>
      <w:r>
        <w:rPr>
          <w:color w:val="231F20"/>
          <w:sz w:val="16"/>
        </w:rPr>
        <w:t>esta</w:t>
      </w:r>
      <w:r>
        <w:rPr>
          <w:color w:val="231F20"/>
          <w:spacing w:val="-6"/>
          <w:sz w:val="16"/>
        </w:rPr>
        <w:t> </w:t>
      </w:r>
      <w:r>
        <w:rPr>
          <w:color w:val="231F20"/>
          <w:sz w:val="16"/>
        </w:rPr>
        <w:t>inclusión</w:t>
      </w:r>
      <w:r>
        <w:rPr>
          <w:color w:val="231F20"/>
          <w:spacing w:val="-6"/>
          <w:sz w:val="16"/>
        </w:rPr>
        <w:t> </w:t>
      </w:r>
      <w:r>
        <w:rPr>
          <w:color w:val="231F20"/>
          <w:sz w:val="16"/>
        </w:rPr>
        <w:t>representó</w:t>
      </w:r>
      <w:r>
        <w:rPr>
          <w:color w:val="231F20"/>
          <w:spacing w:val="-6"/>
          <w:sz w:val="16"/>
        </w:rPr>
        <w:t> </w:t>
      </w:r>
      <w:r>
        <w:rPr>
          <w:color w:val="231F20"/>
          <w:sz w:val="16"/>
        </w:rPr>
        <w:t>para</w:t>
      </w:r>
      <w:r>
        <w:rPr>
          <w:color w:val="231F20"/>
          <w:spacing w:val="-6"/>
          <w:sz w:val="16"/>
        </w:rPr>
        <w:t> </w:t>
      </w:r>
      <w:r>
        <w:rPr>
          <w:color w:val="231F20"/>
          <w:sz w:val="16"/>
        </w:rPr>
        <w:t>el</w:t>
      </w:r>
      <w:r>
        <w:rPr>
          <w:color w:val="231F20"/>
          <w:spacing w:val="-6"/>
          <w:sz w:val="16"/>
        </w:rPr>
        <w:t> </w:t>
      </w:r>
      <w:r>
        <w:rPr>
          <w:color w:val="231F20"/>
          <w:sz w:val="16"/>
        </w:rPr>
        <w:t>municipio</w:t>
      </w:r>
      <w:r>
        <w:rPr>
          <w:color w:val="231F20"/>
          <w:spacing w:val="-6"/>
          <w:sz w:val="16"/>
        </w:rPr>
        <w:t> </w:t>
      </w:r>
      <w:r>
        <w:rPr>
          <w:color w:val="231F20"/>
          <w:sz w:val="16"/>
        </w:rPr>
        <w:t>la</w:t>
      </w:r>
      <w:r>
        <w:rPr>
          <w:color w:val="231F20"/>
          <w:spacing w:val="-6"/>
          <w:sz w:val="16"/>
        </w:rPr>
        <w:t> </w:t>
      </w:r>
      <w:r>
        <w:rPr>
          <w:color w:val="231F20"/>
          <w:sz w:val="16"/>
        </w:rPr>
        <w:t>colaboración</w:t>
      </w:r>
      <w:r>
        <w:rPr>
          <w:color w:val="231F20"/>
          <w:spacing w:val="-6"/>
          <w:sz w:val="16"/>
        </w:rPr>
        <w:t> </w:t>
      </w:r>
      <w:r>
        <w:rPr>
          <w:color w:val="231F20"/>
          <w:sz w:val="16"/>
        </w:rPr>
        <w:t>en</w:t>
      </w:r>
      <w:r>
        <w:rPr>
          <w:color w:val="231F20"/>
          <w:spacing w:val="-6"/>
          <w:sz w:val="16"/>
        </w:rPr>
        <w:t> </w:t>
      </w:r>
      <w:r>
        <w:rPr>
          <w:color w:val="231F20"/>
          <w:sz w:val="16"/>
        </w:rPr>
        <w:t>ciertos</w:t>
      </w:r>
      <w:r>
        <w:rPr>
          <w:color w:val="231F20"/>
          <w:spacing w:val="-6"/>
          <w:sz w:val="16"/>
        </w:rPr>
        <w:t> </w:t>
      </w:r>
      <w:r>
        <w:rPr>
          <w:color w:val="231F20"/>
          <w:sz w:val="16"/>
        </w:rPr>
        <w:t>proyectos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Cd.</w:t>
      </w:r>
      <w:r>
        <w:rPr>
          <w:color w:val="231F20"/>
          <w:spacing w:val="-6"/>
          <w:sz w:val="16"/>
        </w:rPr>
        <w:t> </w:t>
      </w:r>
      <w:r>
        <w:rPr>
          <w:color w:val="231F20"/>
          <w:sz w:val="16"/>
        </w:rPr>
        <w:t>de</w:t>
      </w:r>
      <w:r>
        <w:rPr>
          <w:color w:val="231F20"/>
          <w:spacing w:val="-6"/>
          <w:sz w:val="16"/>
        </w:rPr>
        <w:t> </w:t>
      </w:r>
      <w:r>
        <w:rPr>
          <w:color w:val="231F20"/>
          <w:sz w:val="16"/>
        </w:rPr>
        <w:t>México,</w:t>
      </w:r>
      <w:r>
        <w:rPr>
          <w:color w:val="231F20"/>
          <w:spacing w:val="-6"/>
          <w:sz w:val="16"/>
        </w:rPr>
        <w:t> </w:t>
      </w:r>
      <w:r>
        <w:rPr>
          <w:color w:val="231F20"/>
          <w:sz w:val="16"/>
        </w:rPr>
        <w:t>como</w:t>
      </w:r>
      <w:r>
        <w:rPr>
          <w:color w:val="231F20"/>
          <w:spacing w:val="-6"/>
          <w:sz w:val="16"/>
        </w:rPr>
        <w:t> </w:t>
      </w:r>
      <w:r>
        <w:rPr>
          <w:color w:val="231F20"/>
          <w:sz w:val="16"/>
        </w:rPr>
        <w:t>el</w:t>
      </w:r>
      <w:r>
        <w:rPr>
          <w:color w:val="231F20"/>
          <w:spacing w:val="-6"/>
          <w:sz w:val="16"/>
        </w:rPr>
        <w:t> </w:t>
      </w:r>
      <w:r>
        <w:rPr>
          <w:color w:val="231F20"/>
          <w:sz w:val="16"/>
        </w:rPr>
        <w:t>caso que</w:t>
      </w:r>
      <w:r>
        <w:rPr>
          <w:color w:val="231F20"/>
          <w:spacing w:val="-5"/>
          <w:sz w:val="16"/>
        </w:rPr>
        <w:t> </w:t>
      </w:r>
      <w:r>
        <w:rPr>
          <w:color w:val="231F20"/>
          <w:sz w:val="16"/>
        </w:rPr>
        <w:t>nos</w:t>
      </w:r>
      <w:r>
        <w:rPr>
          <w:color w:val="231F20"/>
          <w:spacing w:val="-5"/>
          <w:sz w:val="16"/>
        </w:rPr>
        <w:t> </w:t>
      </w:r>
      <w:r>
        <w:rPr>
          <w:color w:val="231F20"/>
          <w:sz w:val="16"/>
        </w:rPr>
        <w:t>ocupa,</w:t>
      </w:r>
      <w:r>
        <w:rPr>
          <w:color w:val="231F20"/>
          <w:spacing w:val="-5"/>
          <w:sz w:val="16"/>
        </w:rPr>
        <w:t> </w:t>
      </w:r>
      <w:r>
        <w:rPr>
          <w:color w:val="231F20"/>
          <w:sz w:val="16"/>
        </w:rPr>
        <w:t>el</w:t>
      </w:r>
      <w:r>
        <w:rPr>
          <w:color w:val="231F20"/>
          <w:spacing w:val="-5"/>
          <w:sz w:val="16"/>
        </w:rPr>
        <w:t> </w:t>
      </w:r>
      <w:r>
        <w:rPr>
          <w:color w:val="231F20"/>
          <w:sz w:val="16"/>
        </w:rPr>
        <w:t>cuidado</w:t>
      </w:r>
      <w:r>
        <w:rPr>
          <w:color w:val="231F20"/>
          <w:spacing w:val="-5"/>
          <w:sz w:val="16"/>
        </w:rPr>
        <w:t> </w:t>
      </w:r>
      <w:r>
        <w:rPr>
          <w:color w:val="231F20"/>
          <w:sz w:val="16"/>
        </w:rPr>
        <w:t>del</w:t>
      </w:r>
      <w:r>
        <w:rPr>
          <w:color w:val="231F20"/>
          <w:spacing w:val="-5"/>
          <w:sz w:val="16"/>
        </w:rPr>
        <w:t> </w:t>
      </w:r>
      <w:r>
        <w:rPr>
          <w:color w:val="231F20"/>
          <w:sz w:val="16"/>
        </w:rPr>
        <w:t>medio</w:t>
      </w:r>
      <w:r>
        <w:rPr>
          <w:color w:val="231F20"/>
          <w:spacing w:val="-5"/>
          <w:sz w:val="16"/>
        </w:rPr>
        <w:t> </w:t>
      </w:r>
      <w:r>
        <w:rPr>
          <w:color w:val="231F20"/>
          <w:sz w:val="16"/>
        </w:rPr>
        <w:t>ambiente.</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pPr>
      <w:r>
        <w:rPr>
          <w:color w:val="231F20"/>
          <w:w w:val="105"/>
        </w:rPr>
        <w:t>Segundo, la seguridad económica, se propuso fomentar el empleo e impulsar el desa- rrollo</w:t>
      </w:r>
      <w:r>
        <w:rPr>
          <w:color w:val="231F20"/>
          <w:spacing w:val="-5"/>
          <w:w w:val="105"/>
        </w:rPr>
        <w:t> </w:t>
      </w:r>
      <w:r>
        <w:rPr>
          <w:color w:val="231F20"/>
          <w:w w:val="105"/>
        </w:rPr>
        <w:t>agrícola</w:t>
      </w:r>
      <w:r>
        <w:rPr>
          <w:color w:val="231F20"/>
          <w:spacing w:val="-5"/>
          <w:w w:val="105"/>
        </w:rPr>
        <w:t> </w:t>
      </w:r>
      <w:r>
        <w:rPr>
          <w:color w:val="231F20"/>
          <w:w w:val="105"/>
        </w:rPr>
        <w:t>y</w:t>
      </w:r>
      <w:r>
        <w:rPr>
          <w:color w:val="231F20"/>
          <w:spacing w:val="-5"/>
          <w:w w:val="105"/>
        </w:rPr>
        <w:t> </w:t>
      </w:r>
      <w:r>
        <w:rPr>
          <w:color w:val="231F20"/>
          <w:w w:val="105"/>
        </w:rPr>
        <w:t>pecuario</w:t>
      </w:r>
      <w:r>
        <w:rPr>
          <w:color w:val="231F20"/>
          <w:spacing w:val="-5"/>
          <w:w w:val="105"/>
        </w:rPr>
        <w:t> </w:t>
      </w:r>
      <w:r>
        <w:rPr>
          <w:color w:val="231F20"/>
          <w:w w:val="105"/>
        </w:rPr>
        <w:t>a</w:t>
      </w:r>
      <w:r>
        <w:rPr>
          <w:color w:val="231F20"/>
          <w:spacing w:val="-5"/>
          <w:w w:val="105"/>
        </w:rPr>
        <w:t> </w:t>
      </w:r>
      <w:r>
        <w:rPr>
          <w:color w:val="231F20"/>
          <w:w w:val="105"/>
        </w:rPr>
        <w:t>través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participación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sectores</w:t>
      </w:r>
      <w:r>
        <w:rPr>
          <w:color w:val="231F20"/>
          <w:spacing w:val="-5"/>
          <w:w w:val="105"/>
        </w:rPr>
        <w:t> </w:t>
      </w:r>
      <w:r>
        <w:rPr>
          <w:color w:val="231F20"/>
          <w:w w:val="105"/>
        </w:rPr>
        <w:t>público</w:t>
      </w:r>
      <w:r>
        <w:rPr>
          <w:color w:val="231F20"/>
          <w:spacing w:val="-5"/>
          <w:w w:val="105"/>
        </w:rPr>
        <w:t> </w:t>
      </w:r>
      <w:r>
        <w:rPr>
          <w:color w:val="231F20"/>
          <w:w w:val="105"/>
        </w:rPr>
        <w:t>y</w:t>
      </w:r>
      <w:r>
        <w:rPr>
          <w:color w:val="231F20"/>
          <w:spacing w:val="-5"/>
          <w:w w:val="105"/>
        </w:rPr>
        <w:t> </w:t>
      </w:r>
      <w:r>
        <w:rPr>
          <w:color w:val="231F20"/>
          <w:w w:val="105"/>
        </w:rPr>
        <w:t>privado del municipio. </w:t>
      </w:r>
      <w:r>
        <w:rPr>
          <w:color w:val="231F20"/>
          <w:spacing w:val="-3"/>
          <w:w w:val="105"/>
        </w:rPr>
        <w:t>Uno </w:t>
      </w:r>
      <w:r>
        <w:rPr>
          <w:color w:val="231F20"/>
          <w:w w:val="105"/>
        </w:rPr>
        <w:t>de los incentivos económicos para el desarrollo de la agricultura</w:t>
      </w:r>
      <w:r>
        <w:rPr>
          <w:color w:val="231F20"/>
          <w:spacing w:val="-34"/>
          <w:w w:val="105"/>
        </w:rPr>
        <w:t> </w:t>
      </w:r>
      <w:r>
        <w:rPr>
          <w:color w:val="231F20"/>
          <w:w w:val="105"/>
        </w:rPr>
        <w:t>y la</w:t>
      </w:r>
      <w:r>
        <w:rPr>
          <w:color w:val="231F20"/>
          <w:spacing w:val="-15"/>
          <w:w w:val="105"/>
        </w:rPr>
        <w:t> </w:t>
      </w:r>
      <w:r>
        <w:rPr>
          <w:color w:val="231F20"/>
          <w:w w:val="105"/>
        </w:rPr>
        <w:t>explotación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recursos</w:t>
      </w:r>
      <w:r>
        <w:rPr>
          <w:color w:val="231F20"/>
          <w:spacing w:val="-15"/>
          <w:w w:val="105"/>
        </w:rPr>
        <w:t> </w:t>
      </w:r>
      <w:r>
        <w:rPr>
          <w:color w:val="231F20"/>
          <w:w w:val="105"/>
        </w:rPr>
        <w:t>del</w:t>
      </w:r>
      <w:r>
        <w:rPr>
          <w:color w:val="231F20"/>
          <w:spacing w:val="-15"/>
          <w:w w:val="105"/>
        </w:rPr>
        <w:t> </w:t>
      </w:r>
      <w:r>
        <w:rPr>
          <w:color w:val="231F20"/>
          <w:w w:val="105"/>
        </w:rPr>
        <w:t>bosque</w:t>
      </w:r>
      <w:r>
        <w:rPr>
          <w:color w:val="231F20"/>
          <w:spacing w:val="-15"/>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ecoturismo.</w:t>
      </w:r>
      <w:r>
        <w:rPr>
          <w:color w:val="231F20"/>
          <w:spacing w:val="-15"/>
          <w:w w:val="105"/>
        </w:rPr>
        <w:t> </w:t>
      </w:r>
      <w:r>
        <w:rPr>
          <w:color w:val="231F20"/>
          <w:spacing w:val="-3"/>
          <w:w w:val="105"/>
        </w:rPr>
        <w:t>Por</w:t>
      </w:r>
      <w:r>
        <w:rPr>
          <w:color w:val="231F20"/>
          <w:spacing w:val="-15"/>
          <w:w w:val="105"/>
        </w:rPr>
        <w:t> </w:t>
      </w:r>
      <w:r>
        <w:rPr>
          <w:color w:val="231F20"/>
          <w:w w:val="105"/>
        </w:rPr>
        <w:t>las</w:t>
      </w:r>
      <w:r>
        <w:rPr>
          <w:color w:val="231F20"/>
          <w:spacing w:val="-15"/>
          <w:w w:val="105"/>
        </w:rPr>
        <w:t> </w:t>
      </w:r>
      <w:r>
        <w:rPr>
          <w:color w:val="231F20"/>
          <w:w w:val="105"/>
        </w:rPr>
        <w:t>características</w:t>
      </w:r>
      <w:r>
        <w:rPr>
          <w:color w:val="231F20"/>
          <w:spacing w:val="-15"/>
          <w:w w:val="105"/>
        </w:rPr>
        <w:t> </w:t>
      </w:r>
      <w:r>
        <w:rPr>
          <w:color w:val="231F20"/>
          <w:w w:val="105"/>
        </w:rPr>
        <w:t>físicas del</w:t>
      </w:r>
      <w:r>
        <w:rPr>
          <w:color w:val="231F20"/>
          <w:spacing w:val="-5"/>
          <w:w w:val="105"/>
        </w:rPr>
        <w:t> </w:t>
      </w:r>
      <w:r>
        <w:rPr>
          <w:color w:val="231F20"/>
          <w:w w:val="105"/>
        </w:rPr>
        <w:t>municipio</w:t>
      </w:r>
      <w:r>
        <w:rPr>
          <w:color w:val="231F20"/>
          <w:spacing w:val="-5"/>
          <w:w w:val="105"/>
        </w:rPr>
        <w:t> </w:t>
      </w:r>
      <w:r>
        <w:rPr>
          <w:color w:val="231F20"/>
          <w:w w:val="105"/>
        </w:rPr>
        <w:t>se</w:t>
      </w:r>
      <w:r>
        <w:rPr>
          <w:color w:val="231F20"/>
          <w:spacing w:val="-5"/>
          <w:w w:val="105"/>
        </w:rPr>
        <w:t> </w:t>
      </w:r>
      <w:r>
        <w:rPr>
          <w:color w:val="231F20"/>
          <w:w w:val="105"/>
        </w:rPr>
        <w:t>sugirió</w:t>
      </w:r>
      <w:r>
        <w:rPr>
          <w:color w:val="231F20"/>
          <w:spacing w:val="-5"/>
          <w:w w:val="105"/>
        </w:rPr>
        <w:t> </w:t>
      </w:r>
      <w:r>
        <w:rPr>
          <w:color w:val="231F20"/>
          <w:w w:val="105"/>
        </w:rPr>
        <w:t>implementar</w:t>
      </w:r>
      <w:r>
        <w:rPr>
          <w:color w:val="231F20"/>
          <w:spacing w:val="-5"/>
          <w:w w:val="105"/>
        </w:rPr>
        <w:t> </w:t>
      </w:r>
      <w:r>
        <w:rPr>
          <w:color w:val="231F20"/>
          <w:w w:val="105"/>
        </w:rPr>
        <w:t>un</w:t>
      </w:r>
      <w:r>
        <w:rPr>
          <w:color w:val="231F20"/>
          <w:spacing w:val="-5"/>
          <w:w w:val="105"/>
        </w:rPr>
        <w:t> </w:t>
      </w:r>
      <w:r>
        <w:rPr>
          <w:color w:val="231F20"/>
          <w:w w:val="105"/>
        </w:rPr>
        <w:t>plan</w:t>
      </w:r>
      <w:r>
        <w:rPr>
          <w:color w:val="231F20"/>
          <w:spacing w:val="-5"/>
          <w:w w:val="105"/>
        </w:rPr>
        <w:t> </w:t>
      </w:r>
      <w:r>
        <w:rPr>
          <w:color w:val="231F20"/>
          <w:w w:val="105"/>
        </w:rPr>
        <w:t>de</w:t>
      </w:r>
      <w:r>
        <w:rPr>
          <w:color w:val="231F20"/>
          <w:spacing w:val="-5"/>
          <w:w w:val="105"/>
        </w:rPr>
        <w:t> </w:t>
      </w:r>
      <w:r>
        <w:rPr>
          <w:color w:val="231F20"/>
          <w:w w:val="105"/>
        </w:rPr>
        <w:t>crecimiento</w:t>
      </w:r>
      <w:r>
        <w:rPr>
          <w:color w:val="231F20"/>
          <w:spacing w:val="-5"/>
          <w:w w:val="105"/>
        </w:rPr>
        <w:t> </w:t>
      </w:r>
      <w:r>
        <w:rPr>
          <w:color w:val="231F20"/>
          <w:w w:val="105"/>
        </w:rPr>
        <w:t>económico</w:t>
      </w:r>
      <w:r>
        <w:rPr>
          <w:color w:val="231F20"/>
          <w:spacing w:val="-5"/>
          <w:w w:val="105"/>
        </w:rPr>
        <w:t> </w:t>
      </w:r>
      <w:r>
        <w:rPr>
          <w:color w:val="231F20"/>
          <w:w w:val="105"/>
        </w:rPr>
        <w:t>a</w:t>
      </w:r>
      <w:r>
        <w:rPr>
          <w:color w:val="231F20"/>
          <w:spacing w:val="-5"/>
          <w:w w:val="105"/>
        </w:rPr>
        <w:t> </w:t>
      </w:r>
      <w:r>
        <w:rPr>
          <w:color w:val="231F20"/>
          <w:w w:val="105"/>
        </w:rPr>
        <w:t>través</w:t>
      </w:r>
      <w:r>
        <w:rPr>
          <w:color w:val="231F20"/>
          <w:spacing w:val="-5"/>
          <w:w w:val="105"/>
        </w:rPr>
        <w:t> </w:t>
      </w:r>
      <w:r>
        <w:rPr>
          <w:color w:val="231F20"/>
          <w:w w:val="105"/>
        </w:rPr>
        <w:t>de</w:t>
      </w:r>
      <w:r>
        <w:rPr>
          <w:color w:val="231F20"/>
          <w:spacing w:val="-5"/>
          <w:w w:val="105"/>
        </w:rPr>
        <w:t> </w:t>
      </w:r>
      <w:r>
        <w:rPr>
          <w:color w:val="231F20"/>
          <w:w w:val="105"/>
        </w:rPr>
        <w:t>la difusión</w:t>
      </w:r>
      <w:r>
        <w:rPr>
          <w:color w:val="231F20"/>
          <w:spacing w:val="-12"/>
          <w:w w:val="105"/>
        </w:rPr>
        <w:t> </w:t>
      </w:r>
      <w:r>
        <w:rPr>
          <w:color w:val="231F20"/>
          <w:w w:val="105"/>
        </w:rPr>
        <w:t>y</w:t>
      </w:r>
      <w:r>
        <w:rPr>
          <w:color w:val="231F20"/>
          <w:spacing w:val="-12"/>
          <w:w w:val="105"/>
        </w:rPr>
        <w:t> </w:t>
      </w:r>
      <w:r>
        <w:rPr>
          <w:color w:val="231F20"/>
          <w:w w:val="105"/>
        </w:rPr>
        <w:t>usufructo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atractivos</w:t>
      </w:r>
      <w:r>
        <w:rPr>
          <w:color w:val="231F20"/>
          <w:spacing w:val="-12"/>
          <w:w w:val="105"/>
        </w:rPr>
        <w:t> </w:t>
      </w:r>
      <w:r>
        <w:rPr>
          <w:color w:val="231F20"/>
          <w:w w:val="105"/>
        </w:rPr>
        <w:t>turísticos</w:t>
      </w:r>
      <w:r>
        <w:rPr>
          <w:color w:val="231F20"/>
          <w:spacing w:val="-12"/>
          <w:w w:val="105"/>
        </w:rPr>
        <w:t> </w:t>
      </w:r>
      <w:r>
        <w:rPr>
          <w:color w:val="231F20"/>
          <w:w w:val="105"/>
        </w:rPr>
        <w:t>y</w:t>
      </w:r>
      <w:r>
        <w:rPr>
          <w:color w:val="231F20"/>
          <w:spacing w:val="-12"/>
          <w:w w:val="105"/>
        </w:rPr>
        <w:t> </w:t>
      </w:r>
      <w:r>
        <w:rPr>
          <w:color w:val="231F20"/>
          <w:w w:val="105"/>
        </w:rPr>
        <w:t>arqueológicos</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w w:val="105"/>
        </w:rPr>
        <w:t>creando un</w:t>
      </w:r>
      <w:r>
        <w:rPr>
          <w:color w:val="231F20"/>
          <w:spacing w:val="-9"/>
          <w:w w:val="105"/>
        </w:rPr>
        <w:t> </w:t>
      </w:r>
      <w:r>
        <w:rPr>
          <w:color w:val="231F20"/>
          <w:w w:val="105"/>
        </w:rPr>
        <w:t>corredor</w:t>
      </w:r>
      <w:r>
        <w:rPr>
          <w:color w:val="231F20"/>
          <w:spacing w:val="-9"/>
          <w:w w:val="105"/>
        </w:rPr>
        <w:t> </w:t>
      </w:r>
      <w:r>
        <w:rPr>
          <w:color w:val="231F20"/>
          <w:w w:val="105"/>
        </w:rPr>
        <w:t>turístico</w:t>
      </w:r>
      <w:r>
        <w:rPr>
          <w:color w:val="231F20"/>
          <w:spacing w:val="-9"/>
          <w:w w:val="105"/>
        </w:rPr>
        <w:t> </w:t>
      </w:r>
      <w:r>
        <w:rPr>
          <w:color w:val="231F20"/>
          <w:w w:val="105"/>
        </w:rPr>
        <w:t>por</w:t>
      </w:r>
      <w:r>
        <w:rPr>
          <w:color w:val="231F20"/>
          <w:spacing w:val="-9"/>
          <w:w w:val="105"/>
        </w:rPr>
        <w:t> </w:t>
      </w:r>
      <w:r>
        <w:rPr>
          <w:color w:val="231F20"/>
          <w:w w:val="105"/>
        </w:rPr>
        <w:t>las</w:t>
      </w:r>
      <w:r>
        <w:rPr>
          <w:color w:val="231F20"/>
          <w:spacing w:val="-9"/>
          <w:w w:val="105"/>
        </w:rPr>
        <w:t> </w:t>
      </w:r>
      <w:r>
        <w:rPr>
          <w:color w:val="231F20"/>
          <w:w w:val="105"/>
        </w:rPr>
        <w:t>delegaciones</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zona</w:t>
      </w:r>
      <w:r>
        <w:rPr>
          <w:color w:val="231F20"/>
          <w:spacing w:val="-9"/>
          <w:w w:val="105"/>
        </w:rPr>
        <w:t> </w:t>
      </w:r>
      <w:r>
        <w:rPr>
          <w:color w:val="231F20"/>
          <w:w w:val="105"/>
        </w:rPr>
        <w:t>boscosa</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spacing w:val="-5"/>
          <w:w w:val="105"/>
        </w:rPr>
        <w:t>(el</w:t>
      </w:r>
      <w:r>
        <w:rPr>
          <w:color w:val="231F20"/>
          <w:spacing w:val="-9"/>
          <w:w w:val="105"/>
        </w:rPr>
        <w:t> </w:t>
      </w:r>
      <w:r>
        <w:rPr>
          <w:color w:val="231F20"/>
          <w:w w:val="105"/>
        </w:rPr>
        <w:t>santuario de la mariposa</w:t>
      </w:r>
      <w:r>
        <w:rPr>
          <w:color w:val="231F20"/>
          <w:spacing w:val="-43"/>
          <w:w w:val="105"/>
        </w:rPr>
        <w:t> </w:t>
      </w:r>
      <w:r>
        <w:rPr>
          <w:color w:val="231F20"/>
          <w:w w:val="105"/>
        </w:rPr>
        <w:t>monarca).</w:t>
      </w:r>
    </w:p>
    <w:p>
      <w:pPr>
        <w:pStyle w:val="BodyText"/>
        <w:spacing w:before="1"/>
        <w:rPr>
          <w:sz w:val="26"/>
        </w:rPr>
      </w:pPr>
    </w:p>
    <w:p>
      <w:pPr>
        <w:pStyle w:val="BodyText"/>
        <w:spacing w:line="285" w:lineRule="auto"/>
        <w:ind w:left="110" w:right="108"/>
        <w:jc w:val="both"/>
      </w:pPr>
      <w:r>
        <w:rPr>
          <w:color w:val="231F20"/>
          <w:spacing w:val="-5"/>
        </w:rPr>
        <w:t>Tercero, </w:t>
      </w:r>
      <w:r>
        <w:rPr>
          <w:color w:val="231F20"/>
        </w:rPr>
        <w:t>desarrollo social y combate a la pobreza, se diseñó una política de ampliación en la cobertura de los servicios de las viviendas: electricidad, agua, drenaje hasta </w:t>
      </w:r>
      <w:r>
        <w:rPr>
          <w:color w:val="231F20"/>
          <w:spacing w:val="2"/>
        </w:rPr>
        <w:t>alcanzar   </w:t>
      </w:r>
      <w:r>
        <w:rPr>
          <w:color w:val="231F20"/>
        </w:rPr>
        <w:t>un 60% de la población. Los objetivos fueron: disminuir los porcentajes de desnutrición, mejorar los servicios de salud en cuanto </w:t>
      </w:r>
      <w:r>
        <w:rPr>
          <w:color w:val="231F20"/>
          <w:spacing w:val="2"/>
        </w:rPr>
        <w:t>al </w:t>
      </w:r>
      <w:r>
        <w:rPr>
          <w:color w:val="231F20"/>
        </w:rPr>
        <w:t>número de beneficiados y calidad, mejorar la infraestructura de las escuelas y abatir los índices de analfabetismo, todo esto normado por los artículos </w:t>
      </w:r>
      <w:r>
        <w:rPr>
          <w:color w:val="231F20"/>
          <w:spacing w:val="-3"/>
        </w:rPr>
        <w:t>109 </w:t>
      </w:r>
      <w:r>
        <w:rPr>
          <w:color w:val="231F20"/>
          <w:spacing w:val="2"/>
        </w:rPr>
        <w:t>al </w:t>
      </w:r>
      <w:r>
        <w:rPr>
          <w:color w:val="231F20"/>
          <w:spacing w:val="-6"/>
        </w:rPr>
        <w:t>111 </w:t>
      </w:r>
      <w:r>
        <w:rPr>
          <w:color w:val="231F20"/>
        </w:rPr>
        <w:t>del Bando Municipal (Bando Municipal: </w:t>
      </w:r>
      <w:r>
        <w:rPr>
          <w:color w:val="231F20"/>
          <w:spacing w:val="-3"/>
        </w:rPr>
        <w:t>2007,  </w:t>
      </w:r>
      <w:r>
        <w:rPr>
          <w:color w:val="231F20"/>
          <w:spacing w:val="6"/>
        </w:rPr>
        <w:t> </w:t>
      </w:r>
      <w:r>
        <w:rPr>
          <w:color w:val="231F20"/>
        </w:rPr>
        <w:t>30).</w:t>
      </w:r>
    </w:p>
    <w:p>
      <w:pPr>
        <w:pStyle w:val="BodyText"/>
        <w:spacing w:before="1"/>
        <w:rPr>
          <w:sz w:val="26"/>
        </w:rPr>
      </w:pPr>
    </w:p>
    <w:p>
      <w:pPr>
        <w:pStyle w:val="BodyText"/>
        <w:spacing w:line="285" w:lineRule="auto"/>
        <w:ind w:left="110" w:right="107"/>
        <w:jc w:val="both"/>
      </w:pPr>
      <w:r>
        <w:rPr>
          <w:color w:val="231F20"/>
          <w:w w:val="105"/>
        </w:rPr>
        <w:t>En </w:t>
      </w:r>
      <w:r>
        <w:rPr>
          <w:color w:val="231F20"/>
          <w:spacing w:val="2"/>
          <w:w w:val="105"/>
        </w:rPr>
        <w:t>cuanto </w:t>
      </w:r>
      <w:r>
        <w:rPr>
          <w:color w:val="231F20"/>
          <w:spacing w:val="3"/>
          <w:w w:val="105"/>
        </w:rPr>
        <w:t>al </w:t>
      </w:r>
      <w:r>
        <w:rPr>
          <w:color w:val="231F20"/>
          <w:w w:val="105"/>
        </w:rPr>
        <w:t>respeto de los derechos de los </w:t>
      </w:r>
      <w:r>
        <w:rPr>
          <w:color w:val="231F20"/>
          <w:spacing w:val="2"/>
          <w:w w:val="105"/>
        </w:rPr>
        <w:t>niños, </w:t>
      </w:r>
      <w:r>
        <w:rPr>
          <w:color w:val="231F20"/>
          <w:w w:val="105"/>
        </w:rPr>
        <w:t>mujeres, discapacitados y adul-  tos mayores, el fomento de la participación de </w:t>
      </w:r>
      <w:r>
        <w:rPr>
          <w:color w:val="231F20"/>
          <w:spacing w:val="2"/>
          <w:w w:val="105"/>
        </w:rPr>
        <w:t>las </w:t>
      </w:r>
      <w:r>
        <w:rPr>
          <w:color w:val="231F20"/>
          <w:w w:val="105"/>
        </w:rPr>
        <w:t>mujeres en </w:t>
      </w:r>
      <w:r>
        <w:rPr>
          <w:color w:val="231F20"/>
          <w:spacing w:val="2"/>
          <w:w w:val="105"/>
        </w:rPr>
        <w:t>igualdad </w:t>
      </w:r>
      <w:r>
        <w:rPr>
          <w:color w:val="231F20"/>
          <w:w w:val="105"/>
        </w:rPr>
        <w:t>condiciones y el aumento en el índice de participación femenina y de los jóvenes en lo público, se planteó </w:t>
      </w:r>
      <w:r>
        <w:rPr>
          <w:color w:val="231F20"/>
          <w:spacing w:val="3"/>
          <w:w w:val="105"/>
        </w:rPr>
        <w:t>instrumentar </w:t>
      </w:r>
      <w:r>
        <w:rPr>
          <w:color w:val="231F20"/>
          <w:spacing w:val="2"/>
          <w:w w:val="105"/>
        </w:rPr>
        <w:t>programas </w:t>
      </w:r>
      <w:r>
        <w:rPr>
          <w:color w:val="231F20"/>
          <w:w w:val="105"/>
        </w:rPr>
        <w:t>de apoyo </w:t>
      </w:r>
      <w:r>
        <w:rPr>
          <w:color w:val="231F20"/>
          <w:spacing w:val="2"/>
          <w:w w:val="105"/>
        </w:rPr>
        <w:t>para </w:t>
      </w:r>
      <w:r>
        <w:rPr>
          <w:color w:val="231F20"/>
          <w:w w:val="105"/>
        </w:rPr>
        <w:t>estos sectores y abrir espacios dentro de la </w:t>
      </w:r>
      <w:r>
        <w:rPr>
          <w:color w:val="231F20"/>
          <w:spacing w:val="2"/>
          <w:w w:val="105"/>
        </w:rPr>
        <w:t>administración. </w:t>
      </w:r>
      <w:r>
        <w:rPr>
          <w:color w:val="231F20"/>
          <w:w w:val="105"/>
        </w:rPr>
        <w:t>Hay que </w:t>
      </w:r>
      <w:r>
        <w:rPr>
          <w:color w:val="231F20"/>
          <w:spacing w:val="2"/>
          <w:w w:val="105"/>
        </w:rPr>
        <w:t>dar </w:t>
      </w:r>
      <w:r>
        <w:rPr>
          <w:color w:val="231F20"/>
          <w:w w:val="105"/>
        </w:rPr>
        <w:t>cuenta, en este punto, que </w:t>
      </w:r>
      <w:r>
        <w:rPr>
          <w:color w:val="231F20"/>
          <w:spacing w:val="2"/>
          <w:w w:val="105"/>
        </w:rPr>
        <w:t>esta administración </w:t>
      </w:r>
      <w:r>
        <w:rPr>
          <w:color w:val="231F20"/>
          <w:w w:val="105"/>
        </w:rPr>
        <w:t>ha destinado </w:t>
      </w:r>
      <w:r>
        <w:rPr>
          <w:color w:val="231F20"/>
          <w:spacing w:val="3"/>
          <w:w w:val="105"/>
        </w:rPr>
        <w:t>una </w:t>
      </w:r>
      <w:r>
        <w:rPr>
          <w:color w:val="231F20"/>
          <w:w w:val="105"/>
        </w:rPr>
        <w:t>mayor presupuesto a la </w:t>
      </w:r>
      <w:r>
        <w:rPr>
          <w:color w:val="231F20"/>
          <w:spacing w:val="3"/>
          <w:w w:val="105"/>
        </w:rPr>
        <w:t>infraestructura </w:t>
      </w:r>
      <w:r>
        <w:rPr>
          <w:color w:val="231F20"/>
          <w:w w:val="105"/>
        </w:rPr>
        <w:t>básica y educativa, pero en lo que se refiere a la </w:t>
      </w:r>
      <w:r>
        <w:rPr>
          <w:color w:val="231F20"/>
          <w:spacing w:val="2"/>
          <w:w w:val="105"/>
        </w:rPr>
        <w:t>igualdad </w:t>
      </w:r>
      <w:r>
        <w:rPr>
          <w:color w:val="231F20"/>
          <w:w w:val="105"/>
        </w:rPr>
        <w:t>de </w:t>
      </w:r>
      <w:r>
        <w:rPr>
          <w:color w:val="231F20"/>
          <w:spacing w:val="2"/>
          <w:w w:val="105"/>
        </w:rPr>
        <w:t>oportunidades </w:t>
      </w:r>
      <w:r>
        <w:rPr>
          <w:color w:val="231F20"/>
          <w:w w:val="105"/>
        </w:rPr>
        <w:t>su desempeño </w:t>
      </w:r>
      <w:r>
        <w:rPr>
          <w:color w:val="231F20"/>
          <w:spacing w:val="2"/>
          <w:w w:val="105"/>
        </w:rPr>
        <w:t>ficticio </w:t>
      </w:r>
      <w:r>
        <w:rPr>
          <w:color w:val="231F20"/>
          <w:w w:val="105"/>
        </w:rPr>
        <w:t>pues en el </w:t>
      </w:r>
      <w:r>
        <w:rPr>
          <w:color w:val="231F20"/>
          <w:spacing w:val="2"/>
          <w:w w:val="105"/>
        </w:rPr>
        <w:t>ayun- tamiento únicamente </w:t>
      </w:r>
      <w:r>
        <w:rPr>
          <w:color w:val="231F20"/>
          <w:w w:val="105"/>
        </w:rPr>
        <w:t>hay </w:t>
      </w:r>
      <w:r>
        <w:rPr>
          <w:color w:val="231F20"/>
          <w:spacing w:val="3"/>
          <w:w w:val="105"/>
        </w:rPr>
        <w:t>un </w:t>
      </w:r>
      <w:r>
        <w:rPr>
          <w:color w:val="231F20"/>
          <w:spacing w:val="2"/>
          <w:w w:val="105"/>
        </w:rPr>
        <w:t>20% </w:t>
      </w:r>
      <w:r>
        <w:rPr>
          <w:color w:val="231F20"/>
          <w:w w:val="105"/>
        </w:rPr>
        <w:t>de mujeres ocupando </w:t>
      </w:r>
      <w:r>
        <w:rPr>
          <w:color w:val="231F20"/>
          <w:spacing w:val="3"/>
          <w:w w:val="105"/>
        </w:rPr>
        <w:t>un </w:t>
      </w:r>
      <w:r>
        <w:rPr>
          <w:color w:val="231F20"/>
          <w:w w:val="105"/>
        </w:rPr>
        <w:t>cargo </w:t>
      </w:r>
      <w:r>
        <w:rPr>
          <w:color w:val="231F20"/>
          <w:spacing w:val="2"/>
          <w:w w:val="105"/>
        </w:rPr>
        <w:t>directivo, mientras </w:t>
      </w:r>
      <w:r>
        <w:rPr>
          <w:color w:val="231F20"/>
          <w:w w:val="105"/>
        </w:rPr>
        <w:t>que el 78.4% restante es ocupado por</w:t>
      </w:r>
      <w:r>
        <w:rPr>
          <w:color w:val="231F20"/>
          <w:spacing w:val="-18"/>
          <w:w w:val="105"/>
        </w:rPr>
        <w:t> </w:t>
      </w:r>
      <w:r>
        <w:rPr>
          <w:color w:val="231F20"/>
          <w:w w:val="105"/>
        </w:rPr>
        <w:t>hombres.</w:t>
      </w:r>
    </w:p>
    <w:p>
      <w:pPr>
        <w:pStyle w:val="BodyText"/>
        <w:spacing w:before="1"/>
        <w:rPr>
          <w:sz w:val="26"/>
        </w:rPr>
      </w:pPr>
    </w:p>
    <w:p>
      <w:pPr>
        <w:pStyle w:val="BodyText"/>
        <w:spacing w:line="285" w:lineRule="auto"/>
        <w:ind w:left="110" w:right="107"/>
        <w:jc w:val="both"/>
      </w:pPr>
      <w:r>
        <w:rPr>
          <w:color w:val="231F20"/>
          <w:w w:val="105"/>
        </w:rPr>
        <w:t>Cuarto, modernización de la administración pública municipal, los objetivos del plan fueron: implementar durante toda la gestión campañas para regularizar el uso y tenen- cia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tierra,</w:t>
      </w:r>
      <w:r>
        <w:rPr>
          <w:color w:val="231F20"/>
          <w:spacing w:val="-20"/>
          <w:w w:val="105"/>
        </w:rPr>
        <w:t> </w:t>
      </w:r>
      <w:r>
        <w:rPr>
          <w:color w:val="231F20"/>
          <w:w w:val="105"/>
        </w:rPr>
        <w:t>la</w:t>
      </w:r>
      <w:r>
        <w:rPr>
          <w:color w:val="231F20"/>
          <w:spacing w:val="-20"/>
          <w:w w:val="105"/>
        </w:rPr>
        <w:t> </w:t>
      </w:r>
      <w:r>
        <w:rPr>
          <w:color w:val="231F20"/>
          <w:w w:val="105"/>
        </w:rPr>
        <w:t>inscripción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registro</w:t>
      </w:r>
      <w:r>
        <w:rPr>
          <w:color w:val="231F20"/>
          <w:spacing w:val="-20"/>
          <w:w w:val="105"/>
        </w:rPr>
        <w:t> </w:t>
      </w:r>
      <w:r>
        <w:rPr>
          <w:color w:val="231F20"/>
          <w:w w:val="105"/>
        </w:rPr>
        <w:t>civil</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otorgamiento</w:t>
      </w:r>
      <w:r>
        <w:rPr>
          <w:color w:val="231F20"/>
          <w:spacing w:val="-20"/>
          <w:w w:val="105"/>
        </w:rPr>
        <w:t> </w:t>
      </w:r>
      <w:r>
        <w:rPr>
          <w:color w:val="231F20"/>
          <w:w w:val="105"/>
        </w:rPr>
        <w:t>de</w:t>
      </w:r>
      <w:r>
        <w:rPr>
          <w:color w:val="231F20"/>
          <w:spacing w:val="-20"/>
          <w:w w:val="105"/>
        </w:rPr>
        <w:t> </w:t>
      </w:r>
      <w:r>
        <w:rPr>
          <w:color w:val="231F20"/>
          <w:w w:val="105"/>
        </w:rPr>
        <w:t>facilidades</w:t>
      </w:r>
      <w:r>
        <w:rPr>
          <w:color w:val="231F20"/>
          <w:spacing w:val="-20"/>
          <w:w w:val="105"/>
        </w:rPr>
        <w:t> </w:t>
      </w:r>
      <w:r>
        <w:rPr>
          <w:color w:val="231F20"/>
          <w:w w:val="105"/>
        </w:rPr>
        <w:t>de</w:t>
      </w:r>
      <w:r>
        <w:rPr>
          <w:color w:val="231F20"/>
          <w:spacing w:val="-20"/>
          <w:w w:val="105"/>
        </w:rPr>
        <w:t> </w:t>
      </w:r>
      <w:r>
        <w:rPr>
          <w:color w:val="231F20"/>
          <w:w w:val="105"/>
        </w:rPr>
        <w:t>pago para</w:t>
      </w:r>
      <w:r>
        <w:rPr>
          <w:color w:val="231F20"/>
          <w:spacing w:val="-7"/>
          <w:w w:val="105"/>
        </w:rPr>
        <w:t> </w:t>
      </w:r>
      <w:r>
        <w:rPr>
          <w:color w:val="231F20"/>
          <w:w w:val="105"/>
        </w:rPr>
        <w:t>los</w:t>
      </w:r>
      <w:r>
        <w:rPr>
          <w:color w:val="231F20"/>
          <w:spacing w:val="-7"/>
          <w:w w:val="105"/>
        </w:rPr>
        <w:t> </w:t>
      </w:r>
      <w:r>
        <w:rPr>
          <w:color w:val="231F20"/>
          <w:w w:val="105"/>
        </w:rPr>
        <w:t>servicios</w:t>
      </w:r>
      <w:r>
        <w:rPr>
          <w:color w:val="231F20"/>
          <w:spacing w:val="-7"/>
          <w:w w:val="105"/>
        </w:rPr>
        <w:t> </w:t>
      </w:r>
      <w:r>
        <w:rPr>
          <w:color w:val="231F20"/>
          <w:w w:val="105"/>
        </w:rPr>
        <w:t>que</w:t>
      </w:r>
      <w:r>
        <w:rPr>
          <w:color w:val="231F20"/>
          <w:spacing w:val="-7"/>
          <w:w w:val="105"/>
        </w:rPr>
        <w:t> </w:t>
      </w:r>
      <w:r>
        <w:rPr>
          <w:color w:val="231F20"/>
          <w:w w:val="105"/>
        </w:rPr>
        <w:t>presta</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Se</w:t>
      </w:r>
      <w:r>
        <w:rPr>
          <w:color w:val="231F20"/>
          <w:spacing w:val="-7"/>
          <w:w w:val="105"/>
        </w:rPr>
        <w:t> </w:t>
      </w:r>
      <w:r>
        <w:rPr>
          <w:color w:val="231F20"/>
          <w:w w:val="105"/>
        </w:rPr>
        <w:t>propuso</w:t>
      </w:r>
      <w:r>
        <w:rPr>
          <w:color w:val="231F20"/>
          <w:spacing w:val="-7"/>
          <w:w w:val="105"/>
        </w:rPr>
        <w:t> </w:t>
      </w:r>
      <w:r>
        <w:rPr>
          <w:color w:val="231F20"/>
          <w:w w:val="105"/>
        </w:rPr>
        <w:t>integrar</w:t>
      </w:r>
      <w:r>
        <w:rPr>
          <w:color w:val="231F20"/>
          <w:spacing w:val="-7"/>
          <w:w w:val="105"/>
        </w:rPr>
        <w:t> </w:t>
      </w:r>
      <w:r>
        <w:rPr>
          <w:color w:val="231F20"/>
          <w:w w:val="105"/>
        </w:rPr>
        <w:t>y</w:t>
      </w:r>
      <w:r>
        <w:rPr>
          <w:color w:val="231F20"/>
          <w:spacing w:val="-7"/>
          <w:w w:val="105"/>
        </w:rPr>
        <w:t> </w:t>
      </w:r>
      <w:r>
        <w:rPr>
          <w:color w:val="231F20"/>
          <w:w w:val="105"/>
        </w:rPr>
        <w:t>desarrollar</w:t>
      </w:r>
      <w:r>
        <w:rPr>
          <w:color w:val="231F20"/>
          <w:spacing w:val="-7"/>
          <w:w w:val="105"/>
        </w:rPr>
        <w:t> </w:t>
      </w:r>
      <w:r>
        <w:rPr>
          <w:color w:val="231F20"/>
          <w:w w:val="105"/>
        </w:rPr>
        <w:t>el</w:t>
      </w:r>
      <w:r>
        <w:rPr>
          <w:color w:val="231F20"/>
          <w:spacing w:val="-7"/>
          <w:w w:val="105"/>
        </w:rPr>
        <w:t> </w:t>
      </w:r>
      <w:r>
        <w:rPr>
          <w:color w:val="231F20"/>
          <w:w w:val="105"/>
        </w:rPr>
        <w:t>Sistema de</w:t>
      </w:r>
      <w:r>
        <w:rPr>
          <w:color w:val="231F20"/>
          <w:spacing w:val="-27"/>
          <w:w w:val="105"/>
        </w:rPr>
        <w:t> </w:t>
      </w:r>
      <w:r>
        <w:rPr>
          <w:color w:val="231F20"/>
          <w:w w:val="105"/>
        </w:rPr>
        <w:t>Ingresos</w:t>
      </w:r>
      <w:r>
        <w:rPr>
          <w:color w:val="231F20"/>
          <w:spacing w:val="-27"/>
          <w:w w:val="105"/>
        </w:rPr>
        <w:t> </w:t>
      </w:r>
      <w:r>
        <w:rPr>
          <w:color w:val="231F20"/>
          <w:w w:val="105"/>
        </w:rPr>
        <w:t>Municipales</w:t>
      </w:r>
      <w:r>
        <w:rPr>
          <w:color w:val="231F20"/>
          <w:spacing w:val="-27"/>
          <w:w w:val="105"/>
        </w:rPr>
        <w:t> </w:t>
      </w:r>
      <w:r>
        <w:rPr>
          <w:color w:val="231F20"/>
          <w:w w:val="105"/>
        </w:rPr>
        <w:t>de</w:t>
      </w:r>
      <w:r>
        <w:rPr>
          <w:color w:val="231F20"/>
          <w:spacing w:val="-27"/>
          <w:w w:val="105"/>
        </w:rPr>
        <w:t> </w:t>
      </w:r>
      <w:r>
        <w:rPr>
          <w:color w:val="231F20"/>
          <w:w w:val="105"/>
        </w:rPr>
        <w:t>Atlautla</w:t>
      </w:r>
      <w:r>
        <w:rPr>
          <w:color w:val="231F20"/>
          <w:spacing w:val="-27"/>
          <w:w w:val="105"/>
        </w:rPr>
        <w:t> </w:t>
      </w:r>
      <w:r>
        <w:rPr>
          <w:color w:val="231F20"/>
          <w:w w:val="105"/>
        </w:rPr>
        <w:t>(SIMA).</w:t>
      </w:r>
    </w:p>
    <w:p>
      <w:pPr>
        <w:spacing w:after="0" w:line="285" w:lineRule="auto"/>
        <w:jc w:val="both"/>
        <w:sectPr>
          <w:footerReference w:type="default" r:id="rId681"/>
          <w:pgSz w:w="9640" w:h="12190"/>
          <w:pgMar w:footer="743" w:header="0" w:top="1120" w:bottom="940" w:left="740" w:right="740"/>
          <w:pgNumType w:start="340"/>
        </w:sectPr>
      </w:pPr>
    </w:p>
    <w:p>
      <w:pPr>
        <w:pStyle w:val="BodyText"/>
        <w:spacing w:before="3"/>
        <w:rPr>
          <w:sz w:val="11"/>
        </w:rPr>
      </w:pPr>
    </w:p>
    <w:p>
      <w:pPr>
        <w:pStyle w:val="BodyText"/>
        <w:spacing w:line="285" w:lineRule="auto" w:before="36"/>
        <w:ind w:left="110" w:right="107"/>
        <w:jc w:val="both"/>
      </w:pPr>
      <w:r>
        <w:rPr>
          <w:color w:val="231F20"/>
          <w:w w:val="105"/>
        </w:rPr>
        <w:t>La estrategia a seguir para optimizar la captación de recursos </w:t>
      </w:r>
      <w:r>
        <w:rPr>
          <w:color w:val="231F20"/>
          <w:spacing w:val="-3"/>
          <w:w w:val="105"/>
        </w:rPr>
        <w:t>propios </w:t>
      </w:r>
      <w:r>
        <w:rPr>
          <w:color w:val="231F20"/>
          <w:w w:val="105"/>
        </w:rPr>
        <w:t>fue la actualiza- ción de los sistemas de recaudación y del padrón de contribuyentes. Esta medida era prioritaria,</w:t>
      </w:r>
      <w:r>
        <w:rPr>
          <w:color w:val="231F20"/>
          <w:spacing w:val="-7"/>
          <w:w w:val="105"/>
        </w:rPr>
        <w:t> </w:t>
      </w:r>
      <w:r>
        <w:rPr>
          <w:color w:val="231F20"/>
          <w:w w:val="105"/>
        </w:rPr>
        <w:t>pues</w:t>
      </w:r>
      <w:r>
        <w:rPr>
          <w:color w:val="231F20"/>
          <w:spacing w:val="-7"/>
          <w:w w:val="105"/>
        </w:rPr>
        <w:t> </w:t>
      </w:r>
      <w:r>
        <w:rPr>
          <w:color w:val="231F20"/>
          <w:w w:val="105"/>
        </w:rPr>
        <w:t>permitirá</w:t>
      </w:r>
      <w:r>
        <w:rPr>
          <w:color w:val="231F20"/>
          <w:spacing w:val="-7"/>
          <w:w w:val="105"/>
        </w:rPr>
        <w:t> </w:t>
      </w:r>
      <w:r>
        <w:rPr>
          <w:color w:val="231F20"/>
          <w:w w:val="105"/>
        </w:rPr>
        <w:t>que</w:t>
      </w:r>
      <w:r>
        <w:rPr>
          <w:color w:val="231F20"/>
          <w:spacing w:val="-7"/>
          <w:w w:val="105"/>
        </w:rPr>
        <w:t> </w:t>
      </w:r>
      <w:r>
        <w:rPr>
          <w:color w:val="231F20"/>
          <w:w w:val="105"/>
        </w:rPr>
        <w:t>otros</w:t>
      </w:r>
      <w:r>
        <w:rPr>
          <w:color w:val="231F20"/>
          <w:spacing w:val="-7"/>
          <w:w w:val="105"/>
        </w:rPr>
        <w:t> </w:t>
      </w:r>
      <w:r>
        <w:rPr>
          <w:color w:val="231F20"/>
          <w:w w:val="105"/>
        </w:rPr>
        <w:t>programas</w:t>
      </w:r>
      <w:r>
        <w:rPr>
          <w:color w:val="231F20"/>
          <w:spacing w:val="-7"/>
          <w:w w:val="105"/>
        </w:rPr>
        <w:t> </w:t>
      </w:r>
      <w:r>
        <w:rPr>
          <w:color w:val="231F20"/>
          <w:w w:val="105"/>
        </w:rPr>
        <w:t>de</w:t>
      </w:r>
      <w:r>
        <w:rPr>
          <w:color w:val="231F20"/>
          <w:spacing w:val="-7"/>
          <w:w w:val="105"/>
        </w:rPr>
        <w:t> </w:t>
      </w:r>
      <w:r>
        <w:rPr>
          <w:color w:val="231F20"/>
          <w:w w:val="105"/>
        </w:rPr>
        <w:t>beneficio</w:t>
      </w:r>
      <w:r>
        <w:rPr>
          <w:color w:val="231F20"/>
          <w:spacing w:val="-7"/>
          <w:w w:val="105"/>
        </w:rPr>
        <w:t> </w:t>
      </w:r>
      <w:r>
        <w:rPr>
          <w:color w:val="231F20"/>
          <w:w w:val="105"/>
        </w:rPr>
        <w:t>social</w:t>
      </w:r>
      <w:r>
        <w:rPr>
          <w:color w:val="231F20"/>
          <w:spacing w:val="-7"/>
          <w:w w:val="105"/>
        </w:rPr>
        <w:t> </w:t>
      </w:r>
      <w:r>
        <w:rPr>
          <w:color w:val="231F20"/>
          <w:w w:val="105"/>
        </w:rPr>
        <w:t>puedan</w:t>
      </w:r>
      <w:r>
        <w:rPr>
          <w:color w:val="231F20"/>
          <w:spacing w:val="-7"/>
          <w:w w:val="105"/>
        </w:rPr>
        <w:t> </w:t>
      </w:r>
      <w:r>
        <w:rPr>
          <w:color w:val="231F20"/>
          <w:w w:val="105"/>
        </w:rPr>
        <w:t>asignarse</w:t>
      </w:r>
      <w:r>
        <w:rPr>
          <w:color w:val="231F20"/>
          <w:spacing w:val="-7"/>
          <w:w w:val="105"/>
        </w:rPr>
        <w:t> </w:t>
      </w:r>
      <w:r>
        <w:rPr>
          <w:color w:val="231F20"/>
          <w:spacing w:val="2"/>
          <w:w w:val="105"/>
        </w:rPr>
        <w:t>al </w:t>
      </w:r>
      <w:r>
        <w:rPr>
          <w:color w:val="231F20"/>
          <w:w w:val="105"/>
        </w:rPr>
        <w:t>municipio</w:t>
      </w:r>
      <w:r>
        <w:rPr>
          <w:color w:val="231F20"/>
          <w:spacing w:val="-7"/>
          <w:w w:val="105"/>
        </w:rPr>
        <w:t> </w:t>
      </w:r>
      <w:r>
        <w:rPr>
          <w:color w:val="231F20"/>
          <w:w w:val="105"/>
        </w:rPr>
        <w:t>y</w:t>
      </w:r>
      <w:r>
        <w:rPr>
          <w:color w:val="231F20"/>
          <w:spacing w:val="-7"/>
          <w:w w:val="105"/>
        </w:rPr>
        <w:t> </w:t>
      </w:r>
      <w:r>
        <w:rPr>
          <w:color w:val="231F20"/>
          <w:w w:val="105"/>
        </w:rPr>
        <w:t>así</w:t>
      </w:r>
      <w:r>
        <w:rPr>
          <w:color w:val="231F20"/>
          <w:spacing w:val="-7"/>
          <w:w w:val="105"/>
        </w:rPr>
        <w:t> </w:t>
      </w:r>
      <w:r>
        <w:rPr>
          <w:color w:val="231F20"/>
          <w:w w:val="105"/>
        </w:rPr>
        <w:t>aumentar</w:t>
      </w:r>
      <w:r>
        <w:rPr>
          <w:color w:val="231F20"/>
          <w:spacing w:val="-7"/>
          <w:w w:val="105"/>
        </w:rPr>
        <w:t> </w:t>
      </w:r>
      <w:r>
        <w:rPr>
          <w:color w:val="231F20"/>
          <w:w w:val="105"/>
        </w:rPr>
        <w:t>los</w:t>
      </w:r>
      <w:r>
        <w:rPr>
          <w:color w:val="231F20"/>
          <w:spacing w:val="-7"/>
          <w:w w:val="105"/>
        </w:rPr>
        <w:t> </w:t>
      </w:r>
      <w:r>
        <w:rPr>
          <w:color w:val="231F20"/>
          <w:w w:val="105"/>
        </w:rPr>
        <w:t>apoyos</w:t>
      </w:r>
      <w:r>
        <w:rPr>
          <w:color w:val="231F20"/>
          <w:spacing w:val="-7"/>
          <w:w w:val="105"/>
        </w:rPr>
        <w:t> </w:t>
      </w:r>
      <w:r>
        <w:rPr>
          <w:color w:val="231F20"/>
          <w:w w:val="105"/>
        </w:rPr>
        <w:t>hacia</w:t>
      </w:r>
      <w:r>
        <w:rPr>
          <w:color w:val="231F20"/>
          <w:spacing w:val="-7"/>
          <w:w w:val="105"/>
        </w:rPr>
        <w:t> </w:t>
      </w:r>
      <w:r>
        <w:rPr>
          <w:color w:val="231F20"/>
          <w:w w:val="105"/>
        </w:rPr>
        <w:t>la</w:t>
      </w:r>
      <w:r>
        <w:rPr>
          <w:color w:val="231F20"/>
          <w:spacing w:val="-7"/>
          <w:w w:val="105"/>
        </w:rPr>
        <w:t> </w:t>
      </w:r>
      <w:r>
        <w:rPr>
          <w:color w:val="231F20"/>
          <w:w w:val="105"/>
        </w:rPr>
        <w:t>comunidad.</w:t>
      </w:r>
      <w:r>
        <w:rPr>
          <w:color w:val="231F20"/>
          <w:spacing w:val="-7"/>
          <w:w w:val="105"/>
        </w:rPr>
        <w:t> </w:t>
      </w:r>
      <w:r>
        <w:rPr>
          <w:color w:val="231F20"/>
          <w:w w:val="105"/>
        </w:rPr>
        <w:t>Otra</w:t>
      </w:r>
      <w:r>
        <w:rPr>
          <w:color w:val="231F20"/>
          <w:spacing w:val="-7"/>
          <w:w w:val="105"/>
        </w:rPr>
        <w:t> </w:t>
      </w:r>
      <w:r>
        <w:rPr>
          <w:color w:val="231F20"/>
          <w:w w:val="105"/>
        </w:rPr>
        <w:t>medida</w:t>
      </w:r>
      <w:r>
        <w:rPr>
          <w:color w:val="231F20"/>
          <w:spacing w:val="-7"/>
          <w:w w:val="105"/>
        </w:rPr>
        <w:t> </w:t>
      </w:r>
      <w:r>
        <w:rPr>
          <w:color w:val="231F20"/>
          <w:w w:val="105"/>
        </w:rPr>
        <w:t>fue</w:t>
      </w:r>
      <w:r>
        <w:rPr>
          <w:color w:val="231F20"/>
          <w:spacing w:val="-7"/>
          <w:w w:val="105"/>
        </w:rPr>
        <w:t> </w:t>
      </w:r>
      <w:r>
        <w:rPr>
          <w:color w:val="231F20"/>
          <w:w w:val="105"/>
        </w:rPr>
        <w:t>realizar</w:t>
      </w:r>
      <w:r>
        <w:rPr>
          <w:color w:val="231F20"/>
          <w:spacing w:val="-7"/>
          <w:w w:val="105"/>
        </w:rPr>
        <w:t> </w:t>
      </w:r>
      <w:r>
        <w:rPr>
          <w:color w:val="231F20"/>
          <w:w w:val="105"/>
        </w:rPr>
        <w:t>una distribución racional y austera de los recursos públicos, orientar la inversión pública hacia</w:t>
      </w:r>
      <w:r>
        <w:rPr>
          <w:color w:val="231F20"/>
          <w:spacing w:val="-13"/>
          <w:w w:val="105"/>
        </w:rPr>
        <w:t> </w:t>
      </w:r>
      <w:r>
        <w:rPr>
          <w:color w:val="231F20"/>
          <w:w w:val="105"/>
        </w:rPr>
        <w:t>la</w:t>
      </w:r>
      <w:r>
        <w:rPr>
          <w:color w:val="231F20"/>
          <w:spacing w:val="-13"/>
          <w:w w:val="105"/>
        </w:rPr>
        <w:t> </w:t>
      </w:r>
      <w:r>
        <w:rPr>
          <w:color w:val="231F20"/>
          <w:w w:val="105"/>
        </w:rPr>
        <w:t>atención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sectores</w:t>
      </w:r>
      <w:r>
        <w:rPr>
          <w:color w:val="231F20"/>
          <w:spacing w:val="-13"/>
          <w:w w:val="105"/>
        </w:rPr>
        <w:t> </w:t>
      </w:r>
      <w:r>
        <w:rPr>
          <w:color w:val="231F20"/>
          <w:w w:val="105"/>
        </w:rPr>
        <w:t>sociales</w:t>
      </w:r>
      <w:r>
        <w:rPr>
          <w:color w:val="231F20"/>
          <w:spacing w:val="-13"/>
          <w:w w:val="105"/>
        </w:rPr>
        <w:t> </w:t>
      </w:r>
      <w:r>
        <w:rPr>
          <w:color w:val="231F20"/>
          <w:w w:val="105"/>
        </w:rPr>
        <w:t>con</w:t>
      </w:r>
      <w:r>
        <w:rPr>
          <w:color w:val="231F20"/>
          <w:spacing w:val="-13"/>
          <w:w w:val="105"/>
        </w:rPr>
        <w:t> </w:t>
      </w:r>
      <w:r>
        <w:rPr>
          <w:color w:val="231F20"/>
          <w:w w:val="105"/>
        </w:rPr>
        <w:t>mayor</w:t>
      </w:r>
      <w:r>
        <w:rPr>
          <w:color w:val="231F20"/>
          <w:spacing w:val="-13"/>
          <w:w w:val="105"/>
        </w:rPr>
        <w:t> </w:t>
      </w:r>
      <w:r>
        <w:rPr>
          <w:color w:val="231F20"/>
          <w:w w:val="105"/>
        </w:rPr>
        <w:t>rezago</w:t>
      </w:r>
      <w:r>
        <w:rPr>
          <w:color w:val="231F20"/>
          <w:spacing w:val="-13"/>
          <w:w w:val="105"/>
        </w:rPr>
        <w:t> </w:t>
      </w:r>
      <w:r>
        <w:rPr>
          <w:color w:val="231F20"/>
          <w:w w:val="105"/>
        </w:rPr>
        <w:t>y</w:t>
      </w:r>
      <w:r>
        <w:rPr>
          <w:color w:val="231F20"/>
          <w:spacing w:val="-13"/>
          <w:w w:val="105"/>
        </w:rPr>
        <w:t> </w:t>
      </w:r>
      <w:r>
        <w:rPr>
          <w:color w:val="231F20"/>
          <w:spacing w:val="2"/>
          <w:w w:val="105"/>
        </w:rPr>
        <w:t>vigilar</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presupuesto autorizado se aplicara en tiempo y forma, además de mantener una deuda pública por incapacidad</w:t>
      </w:r>
      <w:r>
        <w:rPr>
          <w:color w:val="231F20"/>
          <w:spacing w:val="-16"/>
          <w:w w:val="105"/>
        </w:rPr>
        <w:t> </w:t>
      </w:r>
      <w:r>
        <w:rPr>
          <w:color w:val="231F20"/>
          <w:w w:val="105"/>
        </w:rPr>
        <w:t>de</w:t>
      </w:r>
      <w:r>
        <w:rPr>
          <w:color w:val="231F20"/>
          <w:spacing w:val="-16"/>
          <w:w w:val="105"/>
        </w:rPr>
        <w:t> </w:t>
      </w:r>
      <w:r>
        <w:rPr>
          <w:color w:val="231F20"/>
          <w:w w:val="105"/>
        </w:rPr>
        <w:t>saneamiento</w:t>
      </w:r>
      <w:r>
        <w:rPr>
          <w:color w:val="231F20"/>
          <w:spacing w:val="-16"/>
          <w:w w:val="105"/>
        </w:rPr>
        <w:t> </w:t>
      </w:r>
      <w:r>
        <w:rPr>
          <w:color w:val="231F20"/>
          <w:w w:val="105"/>
        </w:rPr>
        <w:t>de</w:t>
      </w:r>
      <w:r>
        <w:rPr>
          <w:color w:val="231F20"/>
          <w:spacing w:val="-16"/>
          <w:w w:val="105"/>
        </w:rPr>
        <w:t> </w:t>
      </w:r>
      <w:r>
        <w:rPr>
          <w:color w:val="231F20"/>
          <w:spacing w:val="2"/>
          <w:w w:val="105"/>
        </w:rPr>
        <w:t>finanzas.</w:t>
      </w:r>
    </w:p>
    <w:p>
      <w:pPr>
        <w:pStyle w:val="BodyText"/>
        <w:spacing w:line="285" w:lineRule="auto" w:before="1"/>
        <w:ind w:left="677" w:right="107"/>
        <w:jc w:val="both"/>
      </w:pPr>
      <w:r>
        <w:rPr>
          <w:color w:val="231F20"/>
          <w:w w:val="105"/>
        </w:rPr>
        <w:t>…desafortunadamente,</w:t>
      </w:r>
      <w:r>
        <w:rPr>
          <w:color w:val="231F20"/>
          <w:spacing w:val="-19"/>
          <w:w w:val="105"/>
        </w:rPr>
        <w:t> </w:t>
      </w:r>
      <w:r>
        <w:rPr>
          <w:color w:val="231F20"/>
          <w:w w:val="105"/>
        </w:rPr>
        <w:t>la</w:t>
      </w:r>
      <w:r>
        <w:rPr>
          <w:color w:val="231F20"/>
          <w:spacing w:val="-19"/>
          <w:w w:val="105"/>
        </w:rPr>
        <w:t> </w:t>
      </w:r>
      <w:r>
        <w:rPr>
          <w:color w:val="231F20"/>
          <w:w w:val="105"/>
        </w:rPr>
        <w:t>recaudación</w:t>
      </w:r>
      <w:r>
        <w:rPr>
          <w:color w:val="231F20"/>
          <w:spacing w:val="-19"/>
          <w:w w:val="105"/>
        </w:rPr>
        <w:t> </w:t>
      </w:r>
      <w:r>
        <w:rPr>
          <w:color w:val="231F20"/>
          <w:w w:val="105"/>
        </w:rPr>
        <w:t>en</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municipios,</w:t>
      </w:r>
      <w:r>
        <w:rPr>
          <w:color w:val="231F20"/>
          <w:spacing w:val="-19"/>
          <w:w w:val="105"/>
        </w:rPr>
        <w:t> </w:t>
      </w:r>
      <w:r>
        <w:rPr>
          <w:color w:val="231F20"/>
          <w:w w:val="105"/>
        </w:rPr>
        <w:t>y</w:t>
      </w:r>
      <w:r>
        <w:rPr>
          <w:color w:val="231F20"/>
          <w:spacing w:val="-19"/>
          <w:w w:val="105"/>
        </w:rPr>
        <w:t> </w:t>
      </w:r>
      <w:r>
        <w:rPr>
          <w:color w:val="231F20"/>
          <w:w w:val="105"/>
        </w:rPr>
        <w:t>le</w:t>
      </w:r>
      <w:r>
        <w:rPr>
          <w:color w:val="231F20"/>
          <w:spacing w:val="-19"/>
          <w:w w:val="105"/>
        </w:rPr>
        <w:t> </w:t>
      </w:r>
      <w:r>
        <w:rPr>
          <w:color w:val="231F20"/>
          <w:w w:val="105"/>
        </w:rPr>
        <w:t>hablo</w:t>
      </w:r>
      <w:r>
        <w:rPr>
          <w:color w:val="231F20"/>
          <w:spacing w:val="-19"/>
          <w:w w:val="105"/>
        </w:rPr>
        <w:t> </w:t>
      </w:r>
      <w:r>
        <w:rPr>
          <w:color w:val="231F20"/>
          <w:w w:val="105"/>
        </w:rPr>
        <w:t>básica- mente</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mío,</w:t>
      </w:r>
      <w:r>
        <w:rPr>
          <w:color w:val="231F20"/>
          <w:spacing w:val="-7"/>
          <w:w w:val="105"/>
        </w:rPr>
        <w:t> </w:t>
      </w:r>
      <w:r>
        <w:rPr>
          <w:color w:val="231F20"/>
          <w:w w:val="105"/>
        </w:rPr>
        <w:t>es</w:t>
      </w:r>
      <w:r>
        <w:rPr>
          <w:color w:val="231F20"/>
          <w:spacing w:val="-7"/>
          <w:w w:val="105"/>
        </w:rPr>
        <w:t> </w:t>
      </w:r>
      <w:r>
        <w:rPr>
          <w:color w:val="231F20"/>
          <w:w w:val="105"/>
        </w:rPr>
        <w:t>bajísima,</w:t>
      </w:r>
      <w:r>
        <w:rPr>
          <w:color w:val="231F20"/>
          <w:spacing w:val="-7"/>
          <w:w w:val="105"/>
        </w:rPr>
        <w:t> </w:t>
      </w:r>
      <w:r>
        <w:rPr>
          <w:color w:val="231F20"/>
          <w:w w:val="105"/>
        </w:rPr>
        <w:t>yo</w:t>
      </w:r>
      <w:r>
        <w:rPr>
          <w:color w:val="231F20"/>
          <w:spacing w:val="-7"/>
          <w:w w:val="105"/>
        </w:rPr>
        <w:t> </w:t>
      </w:r>
      <w:r>
        <w:rPr>
          <w:color w:val="231F20"/>
          <w:w w:val="105"/>
        </w:rPr>
        <w:t>tengo</w:t>
      </w:r>
      <w:r>
        <w:rPr>
          <w:color w:val="231F20"/>
          <w:spacing w:val="-7"/>
          <w:w w:val="105"/>
        </w:rPr>
        <w:t> </w:t>
      </w:r>
      <w:r>
        <w:rPr>
          <w:color w:val="231F20"/>
          <w:w w:val="105"/>
        </w:rPr>
        <w:t>la</w:t>
      </w:r>
      <w:r>
        <w:rPr>
          <w:color w:val="231F20"/>
          <w:spacing w:val="-7"/>
          <w:w w:val="105"/>
        </w:rPr>
        <w:t> </w:t>
      </w:r>
      <w:r>
        <w:rPr>
          <w:color w:val="231F20"/>
          <w:w w:val="105"/>
        </w:rPr>
        <w:t>obligación</w:t>
      </w:r>
      <w:r>
        <w:rPr>
          <w:color w:val="231F20"/>
          <w:spacing w:val="-7"/>
          <w:w w:val="105"/>
        </w:rPr>
        <w:t> </w:t>
      </w:r>
      <w:r>
        <w:rPr>
          <w:color w:val="231F20"/>
          <w:w w:val="105"/>
        </w:rPr>
        <w:t>de</w:t>
      </w:r>
      <w:r>
        <w:rPr>
          <w:color w:val="231F20"/>
          <w:spacing w:val="-7"/>
          <w:w w:val="105"/>
        </w:rPr>
        <w:t> </w:t>
      </w:r>
      <w:r>
        <w:rPr>
          <w:color w:val="231F20"/>
          <w:w w:val="105"/>
        </w:rPr>
        <w:t>pagar</w:t>
      </w:r>
      <w:r>
        <w:rPr>
          <w:color w:val="231F20"/>
          <w:spacing w:val="-7"/>
          <w:w w:val="105"/>
        </w:rPr>
        <w:t> </w:t>
      </w:r>
      <w:r>
        <w:rPr>
          <w:color w:val="231F20"/>
          <w:w w:val="105"/>
        </w:rPr>
        <w:t>$700,000</w:t>
      </w:r>
      <w:r>
        <w:rPr>
          <w:color w:val="231F20"/>
          <w:spacing w:val="-7"/>
          <w:w w:val="105"/>
        </w:rPr>
        <w:t> </w:t>
      </w:r>
      <w:r>
        <w:rPr>
          <w:color w:val="231F20"/>
          <w:w w:val="105"/>
        </w:rPr>
        <w:t>de</w:t>
      </w:r>
      <w:r>
        <w:rPr>
          <w:color w:val="231F20"/>
          <w:spacing w:val="-7"/>
          <w:w w:val="105"/>
        </w:rPr>
        <w:t> </w:t>
      </w:r>
      <w:r>
        <w:rPr>
          <w:color w:val="231F20"/>
          <w:w w:val="105"/>
        </w:rPr>
        <w:t>agua en</w:t>
      </w:r>
      <w:r>
        <w:rPr>
          <w:color w:val="231F20"/>
          <w:spacing w:val="-21"/>
          <w:w w:val="105"/>
        </w:rPr>
        <w:t> </w:t>
      </w:r>
      <w:r>
        <w:rPr>
          <w:color w:val="231F20"/>
          <w:w w:val="105"/>
        </w:rPr>
        <w:t>bloque,</w:t>
      </w:r>
      <w:r>
        <w:rPr>
          <w:color w:val="231F20"/>
          <w:spacing w:val="-21"/>
          <w:w w:val="105"/>
        </w:rPr>
        <w:t> </w:t>
      </w:r>
      <w:r>
        <w:rPr>
          <w:color w:val="231F20"/>
          <w:spacing w:val="2"/>
          <w:w w:val="105"/>
        </w:rPr>
        <w:t>al</w:t>
      </w:r>
      <w:r>
        <w:rPr>
          <w:color w:val="231F20"/>
          <w:spacing w:val="-21"/>
          <w:w w:val="105"/>
        </w:rPr>
        <w:t> </w:t>
      </w:r>
      <w:r>
        <w:rPr>
          <w:color w:val="231F20"/>
          <w:w w:val="105"/>
        </w:rPr>
        <w:t>gobierno,</w:t>
      </w:r>
      <w:r>
        <w:rPr>
          <w:color w:val="231F20"/>
          <w:spacing w:val="-21"/>
          <w:w w:val="105"/>
        </w:rPr>
        <w:t> </w:t>
      </w:r>
      <w:r>
        <w:rPr>
          <w:color w:val="231F20"/>
          <w:w w:val="105"/>
        </w:rPr>
        <w:t>a</w:t>
      </w:r>
      <w:r>
        <w:rPr>
          <w:color w:val="231F20"/>
          <w:spacing w:val="-21"/>
          <w:w w:val="105"/>
        </w:rPr>
        <w:t> </w:t>
      </w:r>
      <w:r>
        <w:rPr>
          <w:color w:val="231F20"/>
          <w:w w:val="105"/>
        </w:rPr>
        <w:t>CAEM</w:t>
      </w:r>
      <w:r>
        <w:rPr>
          <w:color w:val="231F20"/>
          <w:spacing w:val="-21"/>
          <w:w w:val="105"/>
        </w:rPr>
        <w:t> </w:t>
      </w:r>
      <w:r>
        <w:rPr>
          <w:color w:val="231F20"/>
          <w:w w:val="105"/>
        </w:rPr>
        <w:t>y</w:t>
      </w:r>
      <w:r>
        <w:rPr>
          <w:color w:val="231F20"/>
          <w:spacing w:val="-21"/>
          <w:w w:val="105"/>
        </w:rPr>
        <w:t> </w:t>
      </w:r>
      <w:r>
        <w:rPr>
          <w:color w:val="231F20"/>
          <w:spacing w:val="2"/>
          <w:w w:val="105"/>
        </w:rPr>
        <w:t>tan</w:t>
      </w:r>
      <w:r>
        <w:rPr>
          <w:color w:val="231F20"/>
          <w:spacing w:val="-21"/>
          <w:w w:val="105"/>
        </w:rPr>
        <w:t> </w:t>
      </w:r>
      <w:r>
        <w:rPr>
          <w:color w:val="231F20"/>
          <w:w w:val="105"/>
        </w:rPr>
        <w:t>solo</w:t>
      </w:r>
      <w:r>
        <w:rPr>
          <w:color w:val="231F20"/>
          <w:spacing w:val="-21"/>
          <w:w w:val="105"/>
        </w:rPr>
        <w:t> </w:t>
      </w:r>
      <w:r>
        <w:rPr>
          <w:color w:val="231F20"/>
          <w:w w:val="105"/>
        </w:rPr>
        <w:t>yo</w:t>
      </w:r>
      <w:r>
        <w:rPr>
          <w:color w:val="231F20"/>
          <w:spacing w:val="-21"/>
          <w:w w:val="105"/>
        </w:rPr>
        <w:t> </w:t>
      </w:r>
      <w:r>
        <w:rPr>
          <w:color w:val="231F20"/>
          <w:w w:val="105"/>
        </w:rPr>
        <w:t>recaudo</w:t>
      </w:r>
      <w:r>
        <w:rPr>
          <w:color w:val="231F20"/>
          <w:spacing w:val="-21"/>
          <w:w w:val="105"/>
        </w:rPr>
        <w:t> </w:t>
      </w:r>
      <w:r>
        <w:rPr>
          <w:color w:val="231F20"/>
          <w:w w:val="105"/>
        </w:rPr>
        <w:t>el</w:t>
      </w:r>
      <w:r>
        <w:rPr>
          <w:color w:val="231F20"/>
          <w:spacing w:val="-21"/>
          <w:w w:val="105"/>
        </w:rPr>
        <w:t> </w:t>
      </w:r>
      <w:r>
        <w:rPr>
          <w:color w:val="231F20"/>
          <w:spacing w:val="-3"/>
          <w:w w:val="105"/>
        </w:rPr>
        <w:t>10%</w:t>
      </w:r>
      <w:r>
        <w:rPr>
          <w:color w:val="231F20"/>
          <w:spacing w:val="-21"/>
          <w:w w:val="105"/>
        </w:rPr>
        <w:t> </w:t>
      </w:r>
      <w:r>
        <w:rPr>
          <w:color w:val="231F20"/>
          <w:w w:val="105"/>
        </w:rPr>
        <w:t>no</w:t>
      </w:r>
      <w:r>
        <w:rPr>
          <w:color w:val="231F20"/>
          <w:spacing w:val="-21"/>
          <w:w w:val="105"/>
        </w:rPr>
        <w:t> </w:t>
      </w:r>
      <w:r>
        <w:rPr>
          <w:color w:val="231F20"/>
          <w:w w:val="105"/>
        </w:rPr>
        <w:t>más,</w:t>
      </w:r>
      <w:r>
        <w:rPr>
          <w:color w:val="231F20"/>
          <w:spacing w:val="-21"/>
          <w:w w:val="105"/>
        </w:rPr>
        <w:t> </w:t>
      </w:r>
      <w:r>
        <w:rPr>
          <w:color w:val="231F20"/>
          <w:w w:val="105"/>
        </w:rPr>
        <w:t>de</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yo pago,</w:t>
      </w:r>
      <w:r>
        <w:rPr>
          <w:color w:val="231F20"/>
          <w:spacing w:val="-19"/>
          <w:w w:val="105"/>
        </w:rPr>
        <w:t> </w:t>
      </w:r>
      <w:r>
        <w:rPr>
          <w:color w:val="231F20"/>
          <w:w w:val="105"/>
        </w:rPr>
        <w:t>entonces</w:t>
      </w:r>
      <w:r>
        <w:rPr>
          <w:color w:val="231F20"/>
          <w:spacing w:val="-19"/>
          <w:w w:val="105"/>
        </w:rPr>
        <w:t> </w:t>
      </w:r>
      <w:r>
        <w:rPr>
          <w:color w:val="231F20"/>
          <w:w w:val="105"/>
        </w:rPr>
        <w:t>a</w:t>
      </w:r>
      <w:r>
        <w:rPr>
          <w:color w:val="231F20"/>
          <w:spacing w:val="-19"/>
          <w:w w:val="105"/>
        </w:rPr>
        <w:t> </w:t>
      </w:r>
      <w:r>
        <w:rPr>
          <w:color w:val="231F20"/>
          <w:w w:val="105"/>
        </w:rPr>
        <w:t>mí</w:t>
      </w:r>
      <w:r>
        <w:rPr>
          <w:color w:val="231F20"/>
          <w:spacing w:val="-19"/>
          <w:w w:val="105"/>
        </w:rPr>
        <w:t> </w:t>
      </w:r>
      <w:r>
        <w:rPr>
          <w:color w:val="231F20"/>
          <w:w w:val="105"/>
        </w:rPr>
        <w:t>me</w:t>
      </w:r>
      <w:r>
        <w:rPr>
          <w:color w:val="231F20"/>
          <w:spacing w:val="-19"/>
          <w:w w:val="105"/>
        </w:rPr>
        <w:t> </w:t>
      </w:r>
      <w:r>
        <w:rPr>
          <w:color w:val="231F20"/>
          <w:w w:val="105"/>
        </w:rPr>
        <w:t>pega</w:t>
      </w:r>
      <w:r>
        <w:rPr>
          <w:color w:val="231F20"/>
          <w:spacing w:val="-19"/>
          <w:w w:val="105"/>
        </w:rPr>
        <w:t> </w:t>
      </w:r>
      <w:r>
        <w:rPr>
          <w:color w:val="231F20"/>
          <w:w w:val="105"/>
        </w:rPr>
        <w:t>demasiado</w:t>
      </w:r>
      <w:r>
        <w:rPr>
          <w:color w:val="231F20"/>
          <w:spacing w:val="-19"/>
          <w:w w:val="105"/>
        </w:rPr>
        <w:t> </w:t>
      </w:r>
      <w:r>
        <w:rPr>
          <w:color w:val="231F20"/>
          <w:w w:val="105"/>
        </w:rPr>
        <w:t>esto</w:t>
      </w:r>
      <w:r>
        <w:rPr>
          <w:color w:val="231F20"/>
          <w:spacing w:val="-19"/>
          <w:w w:val="105"/>
        </w:rPr>
        <w:t> </w:t>
      </w:r>
      <w:r>
        <w:rPr>
          <w:color w:val="231F20"/>
          <w:w w:val="105"/>
        </w:rPr>
        <w:t>(Navarro,</w:t>
      </w:r>
      <w:r>
        <w:rPr>
          <w:color w:val="231F20"/>
          <w:spacing w:val="-19"/>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spacing w:val="-5"/>
          <w:w w:val="105"/>
        </w:rPr>
        <w:t>Uno</w:t>
      </w:r>
      <w:r>
        <w:rPr>
          <w:color w:val="231F20"/>
          <w:spacing w:val="-16"/>
          <w:w w:val="105"/>
        </w:rPr>
        <w:t> </w:t>
      </w:r>
      <w:r>
        <w:rPr>
          <w:color w:val="231F20"/>
          <w:w w:val="105"/>
        </w:rPr>
        <w:t>de</w:t>
      </w:r>
      <w:r>
        <w:rPr>
          <w:color w:val="231F20"/>
          <w:spacing w:val="-16"/>
          <w:w w:val="105"/>
        </w:rPr>
        <w:t> </w:t>
      </w:r>
      <w:r>
        <w:rPr>
          <w:color w:val="231F20"/>
          <w:spacing w:val="-3"/>
          <w:w w:val="105"/>
        </w:rPr>
        <w:t>los</w:t>
      </w:r>
      <w:r>
        <w:rPr>
          <w:color w:val="231F20"/>
          <w:spacing w:val="-16"/>
          <w:w w:val="105"/>
        </w:rPr>
        <w:t> </w:t>
      </w:r>
      <w:r>
        <w:rPr>
          <w:color w:val="231F20"/>
          <w:spacing w:val="-3"/>
          <w:w w:val="105"/>
        </w:rPr>
        <w:t>objetivos</w:t>
      </w:r>
      <w:r>
        <w:rPr>
          <w:color w:val="231F20"/>
          <w:spacing w:val="-16"/>
          <w:w w:val="105"/>
        </w:rPr>
        <w:t> </w:t>
      </w:r>
      <w:r>
        <w:rPr>
          <w:color w:val="231F20"/>
          <w:spacing w:val="-3"/>
          <w:w w:val="105"/>
        </w:rPr>
        <w:t>del</w:t>
      </w:r>
      <w:r>
        <w:rPr>
          <w:color w:val="231F20"/>
          <w:spacing w:val="-16"/>
          <w:w w:val="105"/>
        </w:rPr>
        <w:t> </w:t>
      </w:r>
      <w:r>
        <w:rPr>
          <w:color w:val="231F20"/>
          <w:w w:val="105"/>
        </w:rPr>
        <w:t>Plan</w:t>
      </w:r>
      <w:r>
        <w:rPr>
          <w:color w:val="231F20"/>
          <w:spacing w:val="-16"/>
          <w:w w:val="105"/>
        </w:rPr>
        <w:t> </w:t>
      </w:r>
      <w:r>
        <w:rPr>
          <w:color w:val="231F20"/>
          <w:w w:val="105"/>
        </w:rPr>
        <w:t>fue</w:t>
      </w:r>
      <w:r>
        <w:rPr>
          <w:color w:val="231F20"/>
          <w:spacing w:val="-16"/>
          <w:w w:val="105"/>
        </w:rPr>
        <w:t> </w:t>
      </w:r>
      <w:r>
        <w:rPr>
          <w:color w:val="231F20"/>
          <w:w w:val="105"/>
        </w:rPr>
        <w:t>la</w:t>
      </w:r>
      <w:r>
        <w:rPr>
          <w:color w:val="231F20"/>
          <w:spacing w:val="-16"/>
          <w:w w:val="105"/>
        </w:rPr>
        <w:t> </w:t>
      </w:r>
      <w:r>
        <w:rPr>
          <w:color w:val="231F20"/>
          <w:spacing w:val="-4"/>
          <w:w w:val="105"/>
        </w:rPr>
        <w:t>relación</w:t>
      </w:r>
      <w:r>
        <w:rPr>
          <w:color w:val="231F20"/>
          <w:spacing w:val="-16"/>
          <w:w w:val="105"/>
        </w:rPr>
        <w:t> </w:t>
      </w:r>
      <w:r>
        <w:rPr>
          <w:color w:val="231F20"/>
          <w:spacing w:val="-3"/>
          <w:w w:val="105"/>
        </w:rPr>
        <w:t>permanente</w:t>
      </w:r>
      <w:r>
        <w:rPr>
          <w:color w:val="231F20"/>
          <w:spacing w:val="-16"/>
          <w:w w:val="105"/>
        </w:rPr>
        <w:t> </w:t>
      </w:r>
      <w:r>
        <w:rPr>
          <w:color w:val="231F20"/>
          <w:spacing w:val="-3"/>
          <w:w w:val="105"/>
        </w:rPr>
        <w:t>entre</w:t>
      </w:r>
      <w:r>
        <w:rPr>
          <w:color w:val="231F20"/>
          <w:spacing w:val="-16"/>
          <w:w w:val="105"/>
        </w:rPr>
        <w:t> </w:t>
      </w:r>
      <w:r>
        <w:rPr>
          <w:color w:val="231F20"/>
          <w:w w:val="105"/>
        </w:rPr>
        <w:t>el</w:t>
      </w:r>
      <w:r>
        <w:rPr>
          <w:color w:val="231F20"/>
          <w:spacing w:val="-16"/>
          <w:w w:val="105"/>
        </w:rPr>
        <w:t> </w:t>
      </w:r>
      <w:r>
        <w:rPr>
          <w:color w:val="231F20"/>
          <w:spacing w:val="-4"/>
          <w:w w:val="105"/>
        </w:rPr>
        <w:t>gobierno</w:t>
      </w:r>
      <w:r>
        <w:rPr>
          <w:color w:val="231F20"/>
          <w:spacing w:val="-16"/>
          <w:w w:val="105"/>
        </w:rPr>
        <w:t> </w:t>
      </w:r>
      <w:r>
        <w:rPr>
          <w:color w:val="231F20"/>
          <w:w w:val="105"/>
        </w:rPr>
        <w:t>y</w:t>
      </w:r>
      <w:r>
        <w:rPr>
          <w:color w:val="231F20"/>
          <w:spacing w:val="-16"/>
          <w:w w:val="105"/>
        </w:rPr>
        <w:t> </w:t>
      </w:r>
      <w:r>
        <w:rPr>
          <w:color w:val="231F20"/>
          <w:spacing w:val="-3"/>
          <w:w w:val="105"/>
        </w:rPr>
        <w:t>sociedad</w:t>
      </w:r>
      <w:r>
        <w:rPr>
          <w:color w:val="231F20"/>
          <w:spacing w:val="-16"/>
          <w:w w:val="105"/>
        </w:rPr>
        <w:t> </w:t>
      </w:r>
      <w:r>
        <w:rPr>
          <w:color w:val="231F20"/>
          <w:w w:val="105"/>
        </w:rPr>
        <w:t>fun- </w:t>
      </w:r>
      <w:r>
        <w:rPr>
          <w:color w:val="231F20"/>
          <w:spacing w:val="-3"/>
          <w:w w:val="105"/>
        </w:rPr>
        <w:t>damentada</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spacing w:val="-3"/>
          <w:w w:val="105"/>
        </w:rPr>
        <w:t>corresponsabilidad</w:t>
      </w:r>
      <w:r>
        <w:rPr>
          <w:color w:val="231F20"/>
          <w:spacing w:val="-14"/>
          <w:w w:val="105"/>
        </w:rPr>
        <w:t> </w:t>
      </w:r>
      <w:r>
        <w:rPr>
          <w:color w:val="231F20"/>
          <w:w w:val="105"/>
        </w:rPr>
        <w:t>y</w:t>
      </w:r>
      <w:r>
        <w:rPr>
          <w:color w:val="231F20"/>
          <w:spacing w:val="-14"/>
          <w:w w:val="105"/>
        </w:rPr>
        <w:t> </w:t>
      </w:r>
      <w:r>
        <w:rPr>
          <w:color w:val="231F20"/>
          <w:spacing w:val="-3"/>
          <w:w w:val="105"/>
        </w:rPr>
        <w:t>participación</w:t>
      </w:r>
      <w:r>
        <w:rPr>
          <w:color w:val="231F20"/>
          <w:spacing w:val="-14"/>
          <w:w w:val="105"/>
        </w:rPr>
        <w:t> </w:t>
      </w:r>
      <w:r>
        <w:rPr>
          <w:color w:val="231F20"/>
          <w:w w:val="105"/>
        </w:rPr>
        <w:t>activa</w:t>
      </w:r>
      <w:r>
        <w:rPr>
          <w:color w:val="231F20"/>
          <w:spacing w:val="-14"/>
          <w:w w:val="105"/>
        </w:rPr>
        <w:t> </w:t>
      </w:r>
      <w:r>
        <w:rPr>
          <w:color w:val="231F20"/>
          <w:w w:val="105"/>
        </w:rPr>
        <w:t>de</w:t>
      </w:r>
      <w:r>
        <w:rPr>
          <w:color w:val="231F20"/>
          <w:spacing w:val="-14"/>
          <w:w w:val="105"/>
        </w:rPr>
        <w:t> </w:t>
      </w:r>
      <w:r>
        <w:rPr>
          <w:color w:val="231F20"/>
          <w:spacing w:val="-3"/>
          <w:w w:val="105"/>
        </w:rPr>
        <w:t>los</w:t>
      </w:r>
      <w:r>
        <w:rPr>
          <w:color w:val="231F20"/>
          <w:spacing w:val="-14"/>
          <w:w w:val="105"/>
        </w:rPr>
        <w:t> </w:t>
      </w:r>
      <w:r>
        <w:rPr>
          <w:color w:val="231F20"/>
          <w:spacing w:val="-3"/>
          <w:w w:val="105"/>
        </w:rPr>
        <w:t>ciudadanos,</w:t>
      </w:r>
      <w:r>
        <w:rPr>
          <w:color w:val="231F20"/>
          <w:spacing w:val="-14"/>
          <w:w w:val="105"/>
        </w:rPr>
        <w:t> </w:t>
      </w:r>
      <w:r>
        <w:rPr>
          <w:color w:val="231F20"/>
          <w:w w:val="105"/>
        </w:rPr>
        <w:t>este</w:t>
      </w:r>
      <w:r>
        <w:rPr>
          <w:color w:val="231F20"/>
          <w:spacing w:val="-14"/>
          <w:w w:val="105"/>
        </w:rPr>
        <w:t> </w:t>
      </w:r>
      <w:r>
        <w:rPr>
          <w:color w:val="231F20"/>
          <w:spacing w:val="-4"/>
          <w:w w:val="105"/>
        </w:rPr>
        <w:t>acerca- </w:t>
      </w:r>
      <w:r>
        <w:rPr>
          <w:color w:val="231F20"/>
          <w:spacing w:val="-3"/>
          <w:w w:val="105"/>
        </w:rPr>
        <w:t>miento</w:t>
      </w:r>
      <w:r>
        <w:rPr>
          <w:color w:val="231F20"/>
          <w:spacing w:val="-17"/>
          <w:w w:val="105"/>
        </w:rPr>
        <w:t> </w:t>
      </w:r>
      <w:r>
        <w:rPr>
          <w:color w:val="231F20"/>
          <w:spacing w:val="-3"/>
          <w:w w:val="105"/>
        </w:rPr>
        <w:t>pretendía</w:t>
      </w:r>
      <w:r>
        <w:rPr>
          <w:color w:val="231F20"/>
          <w:spacing w:val="-17"/>
          <w:w w:val="105"/>
        </w:rPr>
        <w:t> </w:t>
      </w:r>
      <w:r>
        <w:rPr>
          <w:color w:val="231F20"/>
          <w:w w:val="105"/>
        </w:rPr>
        <w:t>lograrse</w:t>
      </w:r>
      <w:r>
        <w:rPr>
          <w:color w:val="231F20"/>
          <w:spacing w:val="-17"/>
          <w:w w:val="105"/>
        </w:rPr>
        <w:t> </w:t>
      </w:r>
      <w:r>
        <w:rPr>
          <w:color w:val="231F20"/>
          <w:spacing w:val="-3"/>
          <w:w w:val="105"/>
        </w:rPr>
        <w:t>con</w:t>
      </w:r>
      <w:r>
        <w:rPr>
          <w:color w:val="231F20"/>
          <w:spacing w:val="-17"/>
          <w:w w:val="105"/>
        </w:rPr>
        <w:t> </w:t>
      </w:r>
      <w:r>
        <w:rPr>
          <w:color w:val="231F20"/>
          <w:w w:val="105"/>
        </w:rPr>
        <w:t>la</w:t>
      </w:r>
      <w:r>
        <w:rPr>
          <w:color w:val="231F20"/>
          <w:spacing w:val="-17"/>
          <w:w w:val="105"/>
        </w:rPr>
        <w:t> </w:t>
      </w:r>
      <w:r>
        <w:rPr>
          <w:color w:val="231F20"/>
          <w:spacing w:val="-4"/>
          <w:w w:val="105"/>
        </w:rPr>
        <w:t>aprobación</w:t>
      </w:r>
      <w:r>
        <w:rPr>
          <w:color w:val="231F20"/>
          <w:spacing w:val="-17"/>
          <w:w w:val="105"/>
        </w:rPr>
        <w:t> </w:t>
      </w:r>
      <w:r>
        <w:rPr>
          <w:color w:val="231F20"/>
          <w:w w:val="105"/>
        </w:rPr>
        <w:t>en</w:t>
      </w:r>
      <w:r>
        <w:rPr>
          <w:color w:val="231F20"/>
          <w:spacing w:val="-17"/>
          <w:w w:val="105"/>
        </w:rPr>
        <w:t> </w:t>
      </w:r>
      <w:r>
        <w:rPr>
          <w:color w:val="231F20"/>
          <w:spacing w:val="-3"/>
          <w:w w:val="105"/>
        </w:rPr>
        <w:t>cabildo</w:t>
      </w:r>
      <w:r>
        <w:rPr>
          <w:color w:val="231F20"/>
          <w:spacing w:val="-17"/>
          <w:w w:val="105"/>
        </w:rPr>
        <w:t> </w:t>
      </w:r>
      <w:r>
        <w:rPr>
          <w:color w:val="231F20"/>
          <w:spacing w:val="-3"/>
          <w:w w:val="105"/>
        </w:rPr>
        <w:t>del</w:t>
      </w:r>
      <w:r>
        <w:rPr>
          <w:color w:val="231F20"/>
          <w:spacing w:val="-17"/>
          <w:w w:val="105"/>
        </w:rPr>
        <w:t> </w:t>
      </w:r>
      <w:r>
        <w:rPr>
          <w:color w:val="231F20"/>
          <w:w w:val="105"/>
        </w:rPr>
        <w:t>día</w:t>
      </w:r>
      <w:r>
        <w:rPr>
          <w:color w:val="231F20"/>
          <w:spacing w:val="-17"/>
          <w:w w:val="105"/>
        </w:rPr>
        <w:t> </w:t>
      </w:r>
      <w:r>
        <w:rPr>
          <w:color w:val="231F20"/>
          <w:spacing w:val="-4"/>
          <w:w w:val="105"/>
        </w:rPr>
        <w:t>ciudadano,</w:t>
      </w:r>
      <w:r>
        <w:rPr>
          <w:color w:val="231F20"/>
          <w:spacing w:val="-17"/>
          <w:w w:val="105"/>
        </w:rPr>
        <w:t> </w:t>
      </w:r>
      <w:r>
        <w:rPr>
          <w:color w:val="231F20"/>
          <w:w w:val="105"/>
        </w:rPr>
        <w:t>el</w:t>
      </w:r>
      <w:r>
        <w:rPr>
          <w:color w:val="231F20"/>
          <w:spacing w:val="-17"/>
          <w:w w:val="105"/>
        </w:rPr>
        <w:t> </w:t>
      </w:r>
      <w:r>
        <w:rPr>
          <w:color w:val="231F20"/>
          <w:w w:val="105"/>
        </w:rPr>
        <w:t>cual</w:t>
      </w:r>
      <w:r>
        <w:rPr>
          <w:color w:val="231F20"/>
          <w:spacing w:val="-17"/>
          <w:w w:val="105"/>
        </w:rPr>
        <w:t> </w:t>
      </w:r>
      <w:r>
        <w:rPr>
          <w:color w:val="231F20"/>
          <w:w w:val="105"/>
        </w:rPr>
        <w:t>consiste en</w:t>
      </w:r>
      <w:r>
        <w:rPr>
          <w:color w:val="231F20"/>
          <w:spacing w:val="-17"/>
          <w:w w:val="105"/>
        </w:rPr>
        <w:t> </w:t>
      </w:r>
      <w:r>
        <w:rPr>
          <w:color w:val="231F20"/>
          <w:w w:val="105"/>
        </w:rPr>
        <w:t>dedicar</w:t>
      </w:r>
      <w:r>
        <w:rPr>
          <w:color w:val="231F20"/>
          <w:spacing w:val="-17"/>
          <w:w w:val="105"/>
        </w:rPr>
        <w:t> </w:t>
      </w:r>
      <w:r>
        <w:rPr>
          <w:color w:val="231F20"/>
          <w:spacing w:val="-3"/>
          <w:w w:val="105"/>
        </w:rPr>
        <w:t>dos</w:t>
      </w:r>
      <w:r>
        <w:rPr>
          <w:color w:val="231F20"/>
          <w:spacing w:val="-17"/>
          <w:w w:val="105"/>
        </w:rPr>
        <w:t> </w:t>
      </w:r>
      <w:r>
        <w:rPr>
          <w:color w:val="231F20"/>
          <w:w w:val="105"/>
        </w:rPr>
        <w:t>días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semana</w:t>
      </w:r>
      <w:r>
        <w:rPr>
          <w:color w:val="231F20"/>
          <w:spacing w:val="-17"/>
          <w:w w:val="105"/>
        </w:rPr>
        <w:t> </w:t>
      </w:r>
      <w:r>
        <w:rPr>
          <w:color w:val="231F20"/>
          <w:w w:val="105"/>
        </w:rPr>
        <w:t>para</w:t>
      </w:r>
      <w:r>
        <w:rPr>
          <w:color w:val="231F20"/>
          <w:spacing w:val="-17"/>
          <w:w w:val="105"/>
        </w:rPr>
        <w:t> </w:t>
      </w:r>
      <w:r>
        <w:rPr>
          <w:color w:val="231F20"/>
          <w:spacing w:val="-4"/>
          <w:w w:val="105"/>
        </w:rPr>
        <w:t>atender</w:t>
      </w:r>
      <w:r>
        <w:rPr>
          <w:color w:val="231F20"/>
          <w:spacing w:val="-17"/>
          <w:w w:val="105"/>
        </w:rPr>
        <w:t> </w:t>
      </w:r>
      <w:r>
        <w:rPr>
          <w:color w:val="231F20"/>
          <w:w w:val="105"/>
        </w:rPr>
        <w:t>las</w:t>
      </w:r>
      <w:r>
        <w:rPr>
          <w:color w:val="231F20"/>
          <w:spacing w:val="-17"/>
          <w:w w:val="105"/>
        </w:rPr>
        <w:t> </w:t>
      </w:r>
      <w:r>
        <w:rPr>
          <w:color w:val="231F20"/>
          <w:w w:val="105"/>
        </w:rPr>
        <w:t>demandas</w:t>
      </w:r>
      <w:r>
        <w:rPr>
          <w:color w:val="231F20"/>
          <w:spacing w:val="-17"/>
          <w:w w:val="105"/>
        </w:rPr>
        <w:t> </w:t>
      </w:r>
      <w:r>
        <w:rPr>
          <w:color w:val="231F20"/>
          <w:spacing w:val="-3"/>
          <w:w w:val="105"/>
        </w:rPr>
        <w:t>ciudadanas,</w:t>
      </w:r>
      <w:r>
        <w:rPr>
          <w:color w:val="231F20"/>
          <w:spacing w:val="-17"/>
          <w:w w:val="105"/>
        </w:rPr>
        <w:t> </w:t>
      </w:r>
      <w:r>
        <w:rPr>
          <w:color w:val="231F20"/>
          <w:w w:val="105"/>
        </w:rPr>
        <w:t>un</w:t>
      </w:r>
      <w:r>
        <w:rPr>
          <w:color w:val="231F20"/>
          <w:spacing w:val="-17"/>
          <w:w w:val="105"/>
        </w:rPr>
        <w:t> </w:t>
      </w:r>
      <w:r>
        <w:rPr>
          <w:color w:val="231F20"/>
          <w:w w:val="105"/>
        </w:rPr>
        <w:t>día</w:t>
      </w:r>
      <w:r>
        <w:rPr>
          <w:color w:val="231F20"/>
          <w:spacing w:val="-17"/>
          <w:w w:val="105"/>
        </w:rPr>
        <w:t> </w:t>
      </w:r>
      <w:r>
        <w:rPr>
          <w:color w:val="231F20"/>
          <w:w w:val="105"/>
        </w:rPr>
        <w:t>para</w:t>
      </w:r>
      <w:r>
        <w:rPr>
          <w:color w:val="231F20"/>
          <w:spacing w:val="-17"/>
          <w:w w:val="105"/>
        </w:rPr>
        <w:t> </w:t>
      </w:r>
      <w:r>
        <w:rPr>
          <w:color w:val="231F20"/>
          <w:spacing w:val="-4"/>
          <w:w w:val="105"/>
        </w:rPr>
        <w:t>aten- </w:t>
      </w:r>
      <w:r>
        <w:rPr>
          <w:color w:val="231F20"/>
          <w:spacing w:val="-3"/>
          <w:w w:val="105"/>
        </w:rPr>
        <w:t>der </w:t>
      </w:r>
      <w:r>
        <w:rPr>
          <w:color w:val="231F20"/>
          <w:w w:val="105"/>
        </w:rPr>
        <w:t>a </w:t>
      </w:r>
      <w:r>
        <w:rPr>
          <w:color w:val="231F20"/>
          <w:spacing w:val="-3"/>
          <w:w w:val="105"/>
        </w:rPr>
        <w:t>los habitantes </w:t>
      </w:r>
      <w:r>
        <w:rPr>
          <w:color w:val="231F20"/>
          <w:w w:val="105"/>
        </w:rPr>
        <w:t>de la cabecera municipal y </w:t>
      </w:r>
      <w:r>
        <w:rPr>
          <w:color w:val="231F20"/>
          <w:spacing w:val="-3"/>
          <w:w w:val="105"/>
        </w:rPr>
        <w:t>otro </w:t>
      </w:r>
      <w:r>
        <w:rPr>
          <w:color w:val="231F20"/>
          <w:w w:val="105"/>
        </w:rPr>
        <w:t>para visitar alguna </w:t>
      </w:r>
      <w:r>
        <w:rPr>
          <w:color w:val="231F20"/>
          <w:spacing w:val="-4"/>
          <w:w w:val="105"/>
        </w:rPr>
        <w:t>delegación </w:t>
      </w:r>
      <w:r>
        <w:rPr>
          <w:color w:val="231F20"/>
          <w:spacing w:val="-6"/>
          <w:w w:val="105"/>
        </w:rPr>
        <w:t>(con </w:t>
      </w:r>
      <w:r>
        <w:rPr>
          <w:color w:val="231F20"/>
          <w:w w:val="105"/>
        </w:rPr>
        <w:t>base en un </w:t>
      </w:r>
      <w:r>
        <w:rPr>
          <w:color w:val="231F20"/>
          <w:spacing w:val="-4"/>
          <w:w w:val="105"/>
        </w:rPr>
        <w:t>calendario). </w:t>
      </w:r>
      <w:r>
        <w:rPr>
          <w:color w:val="231F20"/>
          <w:w w:val="105"/>
        </w:rPr>
        <w:t>Cabe </w:t>
      </w:r>
      <w:r>
        <w:rPr>
          <w:color w:val="231F20"/>
          <w:spacing w:val="-3"/>
          <w:w w:val="105"/>
        </w:rPr>
        <w:t>hacer </w:t>
      </w:r>
      <w:r>
        <w:rPr>
          <w:color w:val="231F20"/>
          <w:spacing w:val="-4"/>
          <w:w w:val="105"/>
        </w:rPr>
        <w:t>mención </w:t>
      </w:r>
      <w:r>
        <w:rPr>
          <w:color w:val="231F20"/>
          <w:spacing w:val="-3"/>
          <w:w w:val="105"/>
        </w:rPr>
        <w:t>que aunque </w:t>
      </w:r>
      <w:r>
        <w:rPr>
          <w:color w:val="231F20"/>
          <w:w w:val="105"/>
        </w:rPr>
        <w:t>esto se </w:t>
      </w:r>
      <w:r>
        <w:rPr>
          <w:color w:val="231F20"/>
          <w:spacing w:val="-4"/>
          <w:w w:val="105"/>
        </w:rPr>
        <w:t>aprobó </w:t>
      </w:r>
      <w:r>
        <w:rPr>
          <w:color w:val="231F20"/>
          <w:spacing w:val="-3"/>
          <w:w w:val="105"/>
        </w:rPr>
        <w:t>desde los inicios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administración</w:t>
      </w:r>
      <w:r>
        <w:rPr>
          <w:color w:val="231F20"/>
          <w:spacing w:val="-18"/>
          <w:w w:val="105"/>
        </w:rPr>
        <w:t> </w:t>
      </w:r>
      <w:r>
        <w:rPr>
          <w:color w:val="231F20"/>
          <w:w w:val="105"/>
        </w:rPr>
        <w:t>hasta</w:t>
      </w:r>
      <w:r>
        <w:rPr>
          <w:color w:val="231F20"/>
          <w:spacing w:val="-18"/>
          <w:w w:val="105"/>
        </w:rPr>
        <w:t> </w:t>
      </w:r>
      <w:r>
        <w:rPr>
          <w:color w:val="231F20"/>
          <w:w w:val="105"/>
        </w:rPr>
        <w:t>el</w:t>
      </w:r>
      <w:r>
        <w:rPr>
          <w:color w:val="231F20"/>
          <w:spacing w:val="-18"/>
          <w:w w:val="105"/>
        </w:rPr>
        <w:t> </w:t>
      </w:r>
      <w:r>
        <w:rPr>
          <w:color w:val="231F20"/>
          <w:w w:val="105"/>
        </w:rPr>
        <w:t>2008</w:t>
      </w:r>
      <w:r>
        <w:rPr>
          <w:color w:val="231F20"/>
          <w:spacing w:val="-18"/>
          <w:w w:val="105"/>
        </w:rPr>
        <w:t> </w:t>
      </w:r>
      <w:r>
        <w:rPr>
          <w:color w:val="231F20"/>
          <w:w w:val="105"/>
        </w:rPr>
        <w:t>se</w:t>
      </w:r>
      <w:r>
        <w:rPr>
          <w:color w:val="231F20"/>
          <w:spacing w:val="-18"/>
          <w:w w:val="105"/>
        </w:rPr>
        <w:t> </w:t>
      </w:r>
      <w:r>
        <w:rPr>
          <w:color w:val="231F20"/>
          <w:spacing w:val="-4"/>
          <w:w w:val="105"/>
        </w:rPr>
        <w:t>concretó</w:t>
      </w:r>
      <w:r>
        <w:rPr>
          <w:color w:val="231F20"/>
          <w:spacing w:val="-18"/>
          <w:w w:val="105"/>
        </w:rPr>
        <w:t> </w:t>
      </w:r>
      <w:r>
        <w:rPr>
          <w:color w:val="231F20"/>
          <w:w w:val="105"/>
        </w:rPr>
        <w:t>y</w:t>
      </w:r>
      <w:r>
        <w:rPr>
          <w:color w:val="231F20"/>
          <w:spacing w:val="-18"/>
          <w:w w:val="105"/>
        </w:rPr>
        <w:t> </w:t>
      </w:r>
      <w:r>
        <w:rPr>
          <w:color w:val="231F20"/>
          <w:spacing w:val="-3"/>
          <w:w w:val="105"/>
        </w:rPr>
        <w:t>solamente</w:t>
      </w:r>
      <w:r>
        <w:rPr>
          <w:color w:val="231F20"/>
          <w:spacing w:val="-18"/>
          <w:w w:val="105"/>
        </w:rPr>
        <w:t> </w:t>
      </w:r>
      <w:r>
        <w:rPr>
          <w:color w:val="231F20"/>
          <w:spacing w:val="-3"/>
          <w:w w:val="105"/>
        </w:rPr>
        <w:t>por</w:t>
      </w:r>
      <w:r>
        <w:rPr>
          <w:color w:val="231F20"/>
          <w:spacing w:val="-18"/>
          <w:w w:val="105"/>
        </w:rPr>
        <w:t> </w:t>
      </w:r>
      <w:r>
        <w:rPr>
          <w:color w:val="231F20"/>
          <w:w w:val="105"/>
        </w:rPr>
        <w:t>algunos</w:t>
      </w:r>
      <w:r>
        <w:rPr>
          <w:color w:val="231F20"/>
          <w:spacing w:val="-18"/>
          <w:w w:val="105"/>
        </w:rPr>
        <w:t> </w:t>
      </w:r>
      <w:r>
        <w:rPr>
          <w:color w:val="231F20"/>
          <w:w w:val="105"/>
        </w:rPr>
        <w:t>meses.</w:t>
      </w:r>
    </w:p>
    <w:p>
      <w:pPr>
        <w:pStyle w:val="BodyText"/>
        <w:spacing w:before="1"/>
        <w:rPr>
          <w:sz w:val="26"/>
        </w:rPr>
      </w:pPr>
    </w:p>
    <w:p>
      <w:pPr>
        <w:pStyle w:val="BodyText"/>
        <w:spacing w:line="285" w:lineRule="auto"/>
        <w:ind w:left="110" w:right="108"/>
        <w:jc w:val="both"/>
      </w:pPr>
      <w:r>
        <w:rPr>
          <w:color w:val="231F20"/>
          <w:w w:val="105"/>
        </w:rPr>
        <w:t>Para los trabajadores del ayuntamiento se propuso estimularlos otorgando reconoci- mientos</w:t>
      </w:r>
      <w:r>
        <w:rPr>
          <w:color w:val="231F20"/>
          <w:spacing w:val="-11"/>
          <w:w w:val="105"/>
        </w:rPr>
        <w:t> </w:t>
      </w:r>
      <w:r>
        <w:rPr>
          <w:color w:val="231F20"/>
          <w:w w:val="105"/>
        </w:rPr>
        <w:t>por</w:t>
      </w:r>
      <w:r>
        <w:rPr>
          <w:color w:val="231F20"/>
          <w:spacing w:val="-11"/>
          <w:w w:val="105"/>
        </w:rPr>
        <w:t> </w:t>
      </w:r>
      <w:r>
        <w:rPr>
          <w:color w:val="231F20"/>
          <w:w w:val="105"/>
        </w:rPr>
        <w:t>su</w:t>
      </w:r>
      <w:r>
        <w:rPr>
          <w:color w:val="231F20"/>
          <w:spacing w:val="-11"/>
          <w:w w:val="105"/>
        </w:rPr>
        <w:t> </w:t>
      </w:r>
      <w:r>
        <w:rPr>
          <w:color w:val="231F20"/>
          <w:w w:val="105"/>
        </w:rPr>
        <w:t>desempeño;</w:t>
      </w:r>
      <w:r>
        <w:rPr>
          <w:color w:val="231F20"/>
          <w:spacing w:val="-11"/>
          <w:w w:val="105"/>
        </w:rPr>
        <w:t> </w:t>
      </w:r>
      <w:r>
        <w:rPr>
          <w:color w:val="231F20"/>
          <w:w w:val="105"/>
        </w:rPr>
        <w:t>los</w:t>
      </w:r>
      <w:r>
        <w:rPr>
          <w:color w:val="231F20"/>
          <w:spacing w:val="-11"/>
          <w:w w:val="105"/>
        </w:rPr>
        <w:t> </w:t>
      </w:r>
      <w:r>
        <w:rPr>
          <w:color w:val="231F20"/>
          <w:w w:val="105"/>
        </w:rPr>
        <w:t>servidores</w:t>
      </w:r>
      <w:r>
        <w:rPr>
          <w:color w:val="231F20"/>
          <w:spacing w:val="-11"/>
          <w:w w:val="105"/>
        </w:rPr>
        <w:t> </w:t>
      </w:r>
      <w:r>
        <w:rPr>
          <w:color w:val="231F20"/>
          <w:w w:val="105"/>
        </w:rPr>
        <w:t>públicos</w:t>
      </w:r>
      <w:r>
        <w:rPr>
          <w:color w:val="231F20"/>
          <w:spacing w:val="-11"/>
          <w:w w:val="105"/>
        </w:rPr>
        <w:t> </w:t>
      </w:r>
      <w:r>
        <w:rPr>
          <w:color w:val="231F20"/>
          <w:w w:val="105"/>
        </w:rPr>
        <w:t>recompensados</w:t>
      </w:r>
      <w:r>
        <w:rPr>
          <w:color w:val="231F20"/>
          <w:spacing w:val="-11"/>
          <w:w w:val="105"/>
        </w:rPr>
        <w:t> </w:t>
      </w:r>
      <w:r>
        <w:rPr>
          <w:color w:val="231F20"/>
          <w:w w:val="105"/>
        </w:rPr>
        <w:t>serían</w:t>
      </w:r>
      <w:r>
        <w:rPr>
          <w:color w:val="231F20"/>
          <w:spacing w:val="-11"/>
          <w:w w:val="105"/>
        </w:rPr>
        <w:t> </w:t>
      </w:r>
      <w:r>
        <w:rPr>
          <w:color w:val="231F20"/>
          <w:w w:val="105"/>
        </w:rPr>
        <w:t>aquellos</w:t>
      </w:r>
      <w:r>
        <w:rPr>
          <w:color w:val="231F20"/>
          <w:spacing w:val="-11"/>
          <w:w w:val="105"/>
        </w:rPr>
        <w:t> </w:t>
      </w:r>
      <w:r>
        <w:rPr>
          <w:color w:val="231F20"/>
          <w:w w:val="105"/>
        </w:rPr>
        <w:t>que realizaran</w:t>
      </w:r>
      <w:r>
        <w:rPr>
          <w:color w:val="231F20"/>
          <w:spacing w:val="-18"/>
          <w:w w:val="105"/>
        </w:rPr>
        <w:t> </w:t>
      </w:r>
      <w:r>
        <w:rPr>
          <w:color w:val="231F20"/>
          <w:w w:val="105"/>
        </w:rPr>
        <w:t>mejor</w:t>
      </w:r>
      <w:r>
        <w:rPr>
          <w:color w:val="231F20"/>
          <w:spacing w:val="-18"/>
          <w:w w:val="105"/>
        </w:rPr>
        <w:t> </w:t>
      </w:r>
      <w:r>
        <w:rPr>
          <w:color w:val="231F20"/>
          <w:w w:val="105"/>
        </w:rPr>
        <w:t>sus</w:t>
      </w:r>
      <w:r>
        <w:rPr>
          <w:color w:val="231F20"/>
          <w:spacing w:val="-18"/>
          <w:w w:val="105"/>
        </w:rPr>
        <w:t> </w:t>
      </w:r>
      <w:r>
        <w:rPr>
          <w:color w:val="231F20"/>
          <w:w w:val="105"/>
        </w:rPr>
        <w:t>actividades</w:t>
      </w:r>
      <w:r>
        <w:rPr>
          <w:color w:val="231F20"/>
          <w:spacing w:val="-18"/>
          <w:w w:val="105"/>
        </w:rPr>
        <w:t> </w:t>
      </w:r>
      <w:r>
        <w:rPr>
          <w:color w:val="231F20"/>
          <w:w w:val="105"/>
        </w:rPr>
        <w:t>en</w:t>
      </w:r>
      <w:r>
        <w:rPr>
          <w:color w:val="231F20"/>
          <w:spacing w:val="-18"/>
          <w:w w:val="105"/>
        </w:rPr>
        <w:t> </w:t>
      </w:r>
      <w:r>
        <w:rPr>
          <w:color w:val="231F20"/>
          <w:w w:val="105"/>
        </w:rPr>
        <w:t>marco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eficiencia</w:t>
      </w:r>
      <w:r>
        <w:rPr>
          <w:color w:val="231F20"/>
          <w:spacing w:val="-18"/>
          <w:w w:val="105"/>
        </w:rPr>
        <w:t> </w:t>
      </w:r>
      <w:r>
        <w:rPr>
          <w:color w:val="231F20"/>
          <w:w w:val="105"/>
        </w:rPr>
        <w:t>y</w:t>
      </w:r>
      <w:r>
        <w:rPr>
          <w:color w:val="231F20"/>
          <w:spacing w:val="-18"/>
          <w:w w:val="105"/>
        </w:rPr>
        <w:t> </w:t>
      </w:r>
      <w:r>
        <w:rPr>
          <w:color w:val="231F20"/>
          <w:w w:val="105"/>
        </w:rPr>
        <w:t>eficacia,</w:t>
      </w:r>
      <w:r>
        <w:rPr>
          <w:color w:val="231F20"/>
          <w:spacing w:val="-18"/>
          <w:w w:val="105"/>
        </w:rPr>
        <w:t> </w:t>
      </w:r>
      <w:r>
        <w:rPr>
          <w:color w:val="231F20"/>
          <w:w w:val="105"/>
        </w:rPr>
        <w:t>sin</w:t>
      </w:r>
      <w:r>
        <w:rPr>
          <w:color w:val="231F20"/>
          <w:spacing w:val="-18"/>
          <w:w w:val="105"/>
        </w:rPr>
        <w:t> </w:t>
      </w:r>
      <w:r>
        <w:rPr>
          <w:color w:val="231F20"/>
          <w:w w:val="105"/>
        </w:rPr>
        <w:t>olvidar</w:t>
      </w:r>
      <w:r>
        <w:rPr>
          <w:color w:val="231F20"/>
          <w:spacing w:val="-18"/>
          <w:w w:val="105"/>
        </w:rPr>
        <w:t> </w:t>
      </w:r>
      <w:r>
        <w:rPr>
          <w:color w:val="231F20"/>
          <w:w w:val="105"/>
        </w:rPr>
        <w:t>la</w:t>
      </w:r>
      <w:r>
        <w:rPr>
          <w:color w:val="231F20"/>
          <w:spacing w:val="-18"/>
          <w:w w:val="105"/>
        </w:rPr>
        <w:t> </w:t>
      </w:r>
      <w:r>
        <w:rPr>
          <w:color w:val="231F20"/>
          <w:w w:val="105"/>
        </w:rPr>
        <w:t>cons- tante</w:t>
      </w:r>
      <w:r>
        <w:rPr>
          <w:color w:val="231F20"/>
          <w:spacing w:val="-13"/>
          <w:w w:val="105"/>
        </w:rPr>
        <w:t> </w:t>
      </w:r>
      <w:r>
        <w:rPr>
          <w:color w:val="231F20"/>
          <w:w w:val="105"/>
        </w:rPr>
        <w:t>capacitación</w:t>
      </w:r>
      <w:r>
        <w:rPr>
          <w:color w:val="231F20"/>
          <w:spacing w:val="-13"/>
          <w:w w:val="105"/>
        </w:rPr>
        <w:t> </w:t>
      </w:r>
      <w:r>
        <w:rPr>
          <w:color w:val="231F20"/>
          <w:w w:val="105"/>
        </w:rPr>
        <w:t>para</w:t>
      </w:r>
      <w:r>
        <w:rPr>
          <w:color w:val="231F20"/>
          <w:spacing w:val="-13"/>
          <w:w w:val="105"/>
        </w:rPr>
        <w:t> </w:t>
      </w:r>
      <w:r>
        <w:rPr>
          <w:color w:val="231F20"/>
          <w:w w:val="105"/>
        </w:rPr>
        <w:t>estos</w:t>
      </w:r>
      <w:r>
        <w:rPr>
          <w:color w:val="231F20"/>
          <w:spacing w:val="-13"/>
          <w:w w:val="105"/>
        </w:rPr>
        <w:t> </w:t>
      </w:r>
      <w:r>
        <w:rPr>
          <w:color w:val="231F20"/>
          <w:w w:val="105"/>
        </w:rPr>
        <w:t>servidores</w:t>
      </w:r>
      <w:r>
        <w:rPr>
          <w:color w:val="231F20"/>
          <w:spacing w:val="-13"/>
          <w:w w:val="105"/>
        </w:rPr>
        <w:t> </w:t>
      </w:r>
      <w:r>
        <w:rPr>
          <w:color w:val="231F20"/>
          <w:w w:val="105"/>
        </w:rPr>
        <w:t>públicos.</w:t>
      </w:r>
      <w:r>
        <w:rPr>
          <w:color w:val="231F20"/>
          <w:spacing w:val="-13"/>
          <w:w w:val="105"/>
        </w:rPr>
        <w:t> </w:t>
      </w:r>
      <w:r>
        <w:rPr>
          <w:color w:val="231F20"/>
          <w:w w:val="105"/>
        </w:rPr>
        <w:t>A</w:t>
      </w:r>
      <w:r>
        <w:rPr>
          <w:color w:val="231F20"/>
          <w:spacing w:val="-13"/>
          <w:w w:val="105"/>
        </w:rPr>
        <w:t> </w:t>
      </w:r>
      <w:r>
        <w:rPr>
          <w:color w:val="231F20"/>
          <w:w w:val="105"/>
        </w:rPr>
        <w:t>lo</w:t>
      </w:r>
      <w:r>
        <w:rPr>
          <w:color w:val="231F20"/>
          <w:spacing w:val="-13"/>
          <w:w w:val="105"/>
        </w:rPr>
        <w:t> </w:t>
      </w:r>
      <w:r>
        <w:rPr>
          <w:color w:val="231F20"/>
          <w:w w:val="105"/>
        </w:rPr>
        <w:t>largo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se</w:t>
      </w:r>
      <w:r>
        <w:rPr>
          <w:color w:val="231F20"/>
          <w:spacing w:val="-13"/>
          <w:w w:val="105"/>
        </w:rPr>
        <w:t> </w:t>
      </w:r>
      <w:r>
        <w:rPr>
          <w:color w:val="231F20"/>
          <w:spacing w:val="-3"/>
          <w:w w:val="105"/>
        </w:rPr>
        <w:t>au- </w:t>
      </w:r>
      <w:r>
        <w:rPr>
          <w:color w:val="231F20"/>
          <w:w w:val="105"/>
        </w:rPr>
        <w:t>torizaron</w:t>
      </w:r>
      <w:r>
        <w:rPr>
          <w:color w:val="231F20"/>
          <w:spacing w:val="-9"/>
          <w:w w:val="105"/>
        </w:rPr>
        <w:t> </w:t>
      </w:r>
      <w:r>
        <w:rPr>
          <w:color w:val="231F20"/>
          <w:w w:val="105"/>
        </w:rPr>
        <w:t>varios</w:t>
      </w:r>
      <w:r>
        <w:rPr>
          <w:color w:val="231F20"/>
          <w:spacing w:val="-9"/>
          <w:w w:val="105"/>
        </w:rPr>
        <w:t> </w:t>
      </w:r>
      <w:r>
        <w:rPr>
          <w:color w:val="231F20"/>
          <w:w w:val="105"/>
        </w:rPr>
        <w:t>estímulos</w:t>
      </w:r>
      <w:r>
        <w:rPr>
          <w:color w:val="231F20"/>
          <w:spacing w:val="-9"/>
          <w:w w:val="105"/>
        </w:rPr>
        <w:t> </w:t>
      </w:r>
      <w:r>
        <w:rPr>
          <w:color w:val="231F20"/>
          <w:w w:val="105"/>
        </w:rPr>
        <w:t>y</w:t>
      </w:r>
      <w:r>
        <w:rPr>
          <w:color w:val="231F20"/>
          <w:spacing w:val="-9"/>
          <w:w w:val="105"/>
        </w:rPr>
        <w:t> </w:t>
      </w:r>
      <w:r>
        <w:rPr>
          <w:color w:val="231F20"/>
          <w:w w:val="105"/>
        </w:rPr>
        <w:t>reconocimientos</w:t>
      </w:r>
      <w:r>
        <w:rPr>
          <w:color w:val="231F20"/>
          <w:spacing w:val="-9"/>
          <w:w w:val="105"/>
        </w:rPr>
        <w:t> </w:t>
      </w:r>
      <w:r>
        <w:rPr>
          <w:color w:val="231F20"/>
          <w:w w:val="105"/>
        </w:rPr>
        <w:t>a</w:t>
      </w:r>
      <w:r>
        <w:rPr>
          <w:color w:val="231F20"/>
          <w:spacing w:val="-9"/>
          <w:w w:val="105"/>
        </w:rPr>
        <w:t> </w:t>
      </w:r>
      <w:r>
        <w:rPr>
          <w:color w:val="231F20"/>
          <w:w w:val="105"/>
        </w:rPr>
        <w:t>diferentes</w:t>
      </w:r>
      <w:r>
        <w:rPr>
          <w:color w:val="231F20"/>
          <w:spacing w:val="-9"/>
          <w:w w:val="105"/>
        </w:rPr>
        <w:t> </w:t>
      </w:r>
      <w:r>
        <w:rPr>
          <w:color w:val="231F20"/>
          <w:w w:val="105"/>
        </w:rPr>
        <w:t>miembros</w:t>
      </w:r>
      <w:r>
        <w:rPr>
          <w:color w:val="231F20"/>
          <w:spacing w:val="-9"/>
          <w:w w:val="105"/>
        </w:rPr>
        <w:t> </w:t>
      </w:r>
      <w:r>
        <w:rPr>
          <w:color w:val="231F20"/>
          <w:w w:val="105"/>
        </w:rPr>
        <w:t>del</w:t>
      </w:r>
      <w:r>
        <w:rPr>
          <w:color w:val="231F20"/>
          <w:spacing w:val="-9"/>
          <w:w w:val="105"/>
        </w:rPr>
        <w:t> </w:t>
      </w:r>
      <w:r>
        <w:rPr>
          <w:color w:val="231F20"/>
          <w:w w:val="105"/>
        </w:rPr>
        <w:t>ayuntamiento, pero</w:t>
      </w:r>
      <w:r>
        <w:rPr>
          <w:color w:val="231F20"/>
          <w:spacing w:val="-9"/>
          <w:w w:val="105"/>
        </w:rPr>
        <w:t> </w:t>
      </w:r>
      <w:r>
        <w:rPr>
          <w:color w:val="231F20"/>
          <w:w w:val="105"/>
        </w:rPr>
        <w:t>no</w:t>
      </w:r>
      <w:r>
        <w:rPr>
          <w:color w:val="231F20"/>
          <w:spacing w:val="-9"/>
          <w:w w:val="105"/>
        </w:rPr>
        <w:t> </w:t>
      </w:r>
      <w:r>
        <w:rPr>
          <w:color w:val="231F20"/>
          <w:w w:val="105"/>
        </w:rPr>
        <w:t>hay</w:t>
      </w:r>
      <w:r>
        <w:rPr>
          <w:color w:val="231F20"/>
          <w:spacing w:val="-9"/>
          <w:w w:val="105"/>
        </w:rPr>
        <w:t> </w:t>
      </w:r>
      <w:r>
        <w:rPr>
          <w:color w:val="231F20"/>
          <w:w w:val="105"/>
        </w:rPr>
        <w:t>registro</w:t>
      </w:r>
      <w:r>
        <w:rPr>
          <w:color w:val="231F20"/>
          <w:spacing w:val="-9"/>
          <w:w w:val="105"/>
        </w:rPr>
        <w:t> </w:t>
      </w:r>
      <w:r>
        <w:rPr>
          <w:color w:val="231F20"/>
          <w:w w:val="105"/>
        </w:rPr>
        <w:t>de</w:t>
      </w:r>
      <w:r>
        <w:rPr>
          <w:color w:val="231F20"/>
          <w:spacing w:val="-9"/>
          <w:w w:val="105"/>
        </w:rPr>
        <w:t> </w:t>
      </w:r>
      <w:r>
        <w:rPr>
          <w:color w:val="231F20"/>
          <w:w w:val="105"/>
        </w:rPr>
        <w:t>cuales</w:t>
      </w:r>
      <w:r>
        <w:rPr>
          <w:color w:val="231F20"/>
          <w:spacing w:val="-9"/>
          <w:w w:val="105"/>
        </w:rPr>
        <w:t> </w:t>
      </w:r>
      <w:r>
        <w:rPr>
          <w:color w:val="231F20"/>
          <w:w w:val="105"/>
        </w:rPr>
        <w:t>fueron</w:t>
      </w:r>
      <w:r>
        <w:rPr>
          <w:color w:val="231F20"/>
          <w:spacing w:val="-9"/>
          <w:w w:val="105"/>
        </w:rPr>
        <w:t> </w:t>
      </w:r>
      <w:r>
        <w:rPr>
          <w:color w:val="231F20"/>
          <w:w w:val="105"/>
        </w:rPr>
        <w:t>los</w:t>
      </w:r>
      <w:r>
        <w:rPr>
          <w:color w:val="231F20"/>
          <w:spacing w:val="-9"/>
          <w:w w:val="105"/>
        </w:rPr>
        <w:t> </w:t>
      </w:r>
      <w:r>
        <w:rPr>
          <w:color w:val="231F20"/>
          <w:w w:val="105"/>
        </w:rPr>
        <w:t>requisitos</w:t>
      </w:r>
      <w:r>
        <w:rPr>
          <w:color w:val="231F20"/>
          <w:spacing w:val="-9"/>
          <w:w w:val="105"/>
        </w:rPr>
        <w:t> </w:t>
      </w:r>
      <w:r>
        <w:rPr>
          <w:color w:val="231F20"/>
          <w:w w:val="105"/>
        </w:rPr>
        <w:t>para</w:t>
      </w:r>
      <w:r>
        <w:rPr>
          <w:color w:val="231F20"/>
          <w:spacing w:val="-9"/>
          <w:w w:val="105"/>
        </w:rPr>
        <w:t> </w:t>
      </w:r>
      <w:r>
        <w:rPr>
          <w:color w:val="231F20"/>
          <w:w w:val="105"/>
        </w:rPr>
        <w:t>obtener</w:t>
      </w:r>
      <w:r>
        <w:rPr>
          <w:color w:val="231F20"/>
          <w:spacing w:val="-9"/>
          <w:w w:val="105"/>
        </w:rPr>
        <w:t> </w:t>
      </w:r>
      <w:r>
        <w:rPr>
          <w:color w:val="231F20"/>
          <w:w w:val="105"/>
        </w:rPr>
        <w:t>estos</w:t>
      </w:r>
      <w:r>
        <w:rPr>
          <w:color w:val="231F20"/>
          <w:spacing w:val="-9"/>
          <w:w w:val="105"/>
        </w:rPr>
        <w:t> </w:t>
      </w:r>
      <w:r>
        <w:rPr>
          <w:color w:val="231F20"/>
          <w:w w:val="105"/>
        </w:rPr>
        <w:t>estímulos.</w:t>
      </w:r>
    </w:p>
    <w:p>
      <w:pPr>
        <w:pStyle w:val="BodyText"/>
        <w:spacing w:before="1"/>
        <w:rPr>
          <w:sz w:val="26"/>
        </w:rPr>
      </w:pPr>
    </w:p>
    <w:p>
      <w:pPr>
        <w:pStyle w:val="BodyText"/>
        <w:spacing w:line="285" w:lineRule="auto"/>
        <w:ind w:left="110" w:right="108"/>
        <w:jc w:val="both"/>
      </w:pPr>
      <w:r>
        <w:rPr>
          <w:color w:val="231F20"/>
          <w:w w:val="105"/>
        </w:rPr>
        <w:t>La normatividad con que cuenta el municipio para implementar todos estos proyectos es</w:t>
      </w:r>
      <w:r>
        <w:rPr>
          <w:color w:val="231F20"/>
          <w:spacing w:val="-10"/>
          <w:w w:val="105"/>
        </w:rPr>
        <w:t> </w:t>
      </w:r>
      <w:r>
        <w:rPr>
          <w:color w:val="231F20"/>
          <w:w w:val="105"/>
        </w:rPr>
        <w:t>el</w:t>
      </w:r>
      <w:r>
        <w:rPr>
          <w:color w:val="231F20"/>
          <w:spacing w:val="-10"/>
          <w:w w:val="105"/>
        </w:rPr>
        <w:t> </w:t>
      </w:r>
      <w:r>
        <w:rPr>
          <w:color w:val="231F20"/>
          <w:w w:val="105"/>
        </w:rPr>
        <w:t>Bando</w:t>
      </w:r>
      <w:r>
        <w:rPr>
          <w:color w:val="231F20"/>
          <w:spacing w:val="-10"/>
          <w:w w:val="105"/>
        </w:rPr>
        <w:t> </w:t>
      </w:r>
      <w:r>
        <w:rPr>
          <w:color w:val="231F20"/>
          <w:w w:val="105"/>
        </w:rPr>
        <w:t>de</w:t>
      </w:r>
      <w:r>
        <w:rPr>
          <w:color w:val="231F20"/>
          <w:spacing w:val="-10"/>
          <w:w w:val="105"/>
        </w:rPr>
        <w:t> </w:t>
      </w:r>
      <w:r>
        <w:rPr>
          <w:color w:val="231F20"/>
          <w:w w:val="105"/>
        </w:rPr>
        <w:t>Policía</w:t>
      </w:r>
      <w:r>
        <w:rPr>
          <w:color w:val="231F20"/>
          <w:spacing w:val="-10"/>
          <w:w w:val="105"/>
        </w:rPr>
        <w:t> </w:t>
      </w:r>
      <w:r>
        <w:rPr>
          <w:color w:val="231F20"/>
          <w:w w:val="105"/>
        </w:rPr>
        <w:t>y</w:t>
      </w:r>
      <w:r>
        <w:rPr>
          <w:color w:val="231F20"/>
          <w:spacing w:val="-10"/>
          <w:w w:val="105"/>
        </w:rPr>
        <w:t> </w:t>
      </w:r>
      <w:r>
        <w:rPr>
          <w:color w:val="231F20"/>
          <w:w w:val="105"/>
        </w:rPr>
        <w:t>Buen</w:t>
      </w:r>
      <w:r>
        <w:rPr>
          <w:color w:val="231F20"/>
          <w:spacing w:val="-10"/>
          <w:w w:val="105"/>
        </w:rPr>
        <w:t> </w:t>
      </w:r>
      <w:r>
        <w:rPr>
          <w:color w:val="231F20"/>
          <w:w w:val="105"/>
        </w:rPr>
        <w:t>Gobierno;</w:t>
      </w:r>
      <w:r>
        <w:rPr>
          <w:color w:val="231F20"/>
          <w:spacing w:val="-10"/>
          <w:w w:val="105"/>
        </w:rPr>
        <w:t> </w:t>
      </w:r>
      <w:r>
        <w:rPr>
          <w:color w:val="231F20"/>
          <w:w w:val="105"/>
        </w:rPr>
        <w:t>y</w:t>
      </w:r>
      <w:r>
        <w:rPr>
          <w:color w:val="231F20"/>
          <w:spacing w:val="-10"/>
          <w:w w:val="105"/>
        </w:rPr>
        <w:t> </w:t>
      </w:r>
      <w:r>
        <w:rPr>
          <w:color w:val="231F20"/>
          <w:w w:val="105"/>
        </w:rPr>
        <w:t>Reglamento</w:t>
      </w:r>
      <w:r>
        <w:rPr>
          <w:color w:val="231F20"/>
          <w:spacing w:val="-10"/>
          <w:w w:val="105"/>
        </w:rPr>
        <w:t> </w:t>
      </w:r>
      <w:r>
        <w:rPr>
          <w:color w:val="231F20"/>
          <w:w w:val="105"/>
        </w:rPr>
        <w:t>Interno</w:t>
      </w:r>
      <w:r>
        <w:rPr>
          <w:color w:val="231F20"/>
          <w:spacing w:val="-10"/>
          <w:w w:val="105"/>
        </w:rPr>
        <w:t> </w:t>
      </w:r>
      <w:r>
        <w:rPr>
          <w:color w:val="231F20"/>
          <w:w w:val="105"/>
        </w:rPr>
        <w:t>de</w:t>
      </w:r>
      <w:r>
        <w:rPr>
          <w:color w:val="231F20"/>
          <w:spacing w:val="-10"/>
          <w:w w:val="105"/>
        </w:rPr>
        <w:t> </w:t>
      </w:r>
      <w:r>
        <w:rPr>
          <w:color w:val="231F20"/>
          <w:spacing w:val="-3"/>
          <w:w w:val="105"/>
        </w:rPr>
        <w:t>Trabajo,</w:t>
      </w:r>
      <w:r>
        <w:rPr>
          <w:color w:val="231F20"/>
          <w:spacing w:val="-10"/>
          <w:w w:val="105"/>
        </w:rPr>
        <w:t> </w:t>
      </w:r>
      <w:r>
        <w:rPr>
          <w:color w:val="231F20"/>
          <w:spacing w:val="-3"/>
          <w:w w:val="105"/>
        </w:rPr>
        <w:t>aprobado</w:t>
      </w:r>
      <w:r>
        <w:rPr>
          <w:color w:val="231F20"/>
          <w:spacing w:val="-10"/>
          <w:w w:val="105"/>
        </w:rPr>
        <w:t> </w:t>
      </w:r>
      <w:r>
        <w:rPr>
          <w:color w:val="231F20"/>
          <w:w w:val="105"/>
        </w:rPr>
        <w:t>el </w:t>
      </w:r>
      <w:r>
        <w:rPr>
          <w:color w:val="231F20"/>
          <w:spacing w:val="-5"/>
          <w:w w:val="105"/>
        </w:rPr>
        <w:t>18</w:t>
      </w:r>
      <w:r>
        <w:rPr>
          <w:color w:val="231F20"/>
          <w:spacing w:val="-21"/>
          <w:w w:val="105"/>
        </w:rPr>
        <w:t> </w:t>
      </w:r>
      <w:r>
        <w:rPr>
          <w:color w:val="231F20"/>
          <w:w w:val="105"/>
        </w:rPr>
        <w:t>de</w:t>
      </w:r>
      <w:r>
        <w:rPr>
          <w:color w:val="231F20"/>
          <w:spacing w:val="-21"/>
          <w:w w:val="105"/>
        </w:rPr>
        <w:t> </w:t>
      </w:r>
      <w:r>
        <w:rPr>
          <w:color w:val="231F20"/>
          <w:w w:val="105"/>
        </w:rPr>
        <w:t>octubre</w:t>
      </w:r>
      <w:r>
        <w:rPr>
          <w:color w:val="231F20"/>
          <w:spacing w:val="-21"/>
          <w:w w:val="105"/>
        </w:rPr>
        <w:t> </w:t>
      </w:r>
      <w:r>
        <w:rPr>
          <w:color w:val="231F20"/>
          <w:w w:val="105"/>
        </w:rPr>
        <w:t>de</w:t>
      </w:r>
      <w:r>
        <w:rPr>
          <w:color w:val="231F20"/>
          <w:spacing w:val="-21"/>
          <w:w w:val="105"/>
        </w:rPr>
        <w:t> </w:t>
      </w:r>
      <w:r>
        <w:rPr>
          <w:color w:val="231F20"/>
          <w:spacing w:val="3"/>
          <w:w w:val="105"/>
        </w:rPr>
        <w:t>2006</w:t>
      </w:r>
      <w:r>
        <w:rPr>
          <w:color w:val="231F20"/>
          <w:spacing w:val="-21"/>
          <w:w w:val="105"/>
        </w:rPr>
        <w:t> </w:t>
      </w:r>
      <w:r>
        <w:rPr>
          <w:color w:val="231F20"/>
          <w:w w:val="105"/>
        </w:rPr>
        <w:t>y</w:t>
      </w:r>
      <w:r>
        <w:rPr>
          <w:color w:val="231F20"/>
          <w:spacing w:val="-21"/>
          <w:w w:val="105"/>
        </w:rPr>
        <w:t> </w:t>
      </w:r>
      <w:r>
        <w:rPr>
          <w:color w:val="231F20"/>
          <w:w w:val="105"/>
        </w:rPr>
        <w:t>entró</w:t>
      </w:r>
      <w:r>
        <w:rPr>
          <w:color w:val="231F20"/>
          <w:spacing w:val="-21"/>
          <w:w w:val="105"/>
        </w:rPr>
        <w:t> </w:t>
      </w:r>
      <w:r>
        <w:rPr>
          <w:color w:val="231F20"/>
          <w:w w:val="105"/>
        </w:rPr>
        <w:t>en</w:t>
      </w:r>
      <w:r>
        <w:rPr>
          <w:color w:val="231F20"/>
          <w:spacing w:val="-21"/>
          <w:w w:val="105"/>
        </w:rPr>
        <w:t> </w:t>
      </w:r>
      <w:r>
        <w:rPr>
          <w:color w:val="231F20"/>
          <w:w w:val="105"/>
        </w:rPr>
        <w:t>vigor</w:t>
      </w:r>
      <w:r>
        <w:rPr>
          <w:color w:val="231F20"/>
          <w:spacing w:val="-21"/>
          <w:w w:val="105"/>
        </w:rPr>
        <w:t> </w:t>
      </w:r>
      <w:r>
        <w:rPr>
          <w:color w:val="231F20"/>
          <w:w w:val="105"/>
        </w:rPr>
        <w:t>el</w:t>
      </w:r>
      <w:r>
        <w:rPr>
          <w:color w:val="231F20"/>
          <w:spacing w:val="-21"/>
          <w:w w:val="105"/>
        </w:rPr>
        <w:t> </w:t>
      </w:r>
      <w:r>
        <w:rPr>
          <w:color w:val="231F20"/>
          <w:w w:val="105"/>
        </w:rPr>
        <w:t>día</w:t>
      </w:r>
      <w:r>
        <w:rPr>
          <w:color w:val="231F20"/>
          <w:spacing w:val="-21"/>
          <w:w w:val="105"/>
        </w:rPr>
        <w:t> </w:t>
      </w:r>
      <w:r>
        <w:rPr>
          <w:color w:val="231F20"/>
          <w:w w:val="105"/>
        </w:rPr>
        <w:t>23</w:t>
      </w:r>
      <w:r>
        <w:rPr>
          <w:color w:val="231F20"/>
          <w:spacing w:val="-21"/>
          <w:w w:val="105"/>
        </w:rPr>
        <w:t> </w:t>
      </w:r>
      <w:r>
        <w:rPr>
          <w:color w:val="231F20"/>
          <w:w w:val="105"/>
        </w:rPr>
        <w:t>de</w:t>
      </w:r>
      <w:r>
        <w:rPr>
          <w:color w:val="231F20"/>
          <w:spacing w:val="-21"/>
          <w:w w:val="105"/>
        </w:rPr>
        <w:t> </w:t>
      </w:r>
      <w:r>
        <w:rPr>
          <w:color w:val="231F20"/>
          <w:w w:val="105"/>
        </w:rPr>
        <w:t>octubre</w:t>
      </w:r>
      <w:r>
        <w:rPr>
          <w:color w:val="231F20"/>
          <w:spacing w:val="-21"/>
          <w:w w:val="105"/>
        </w:rPr>
        <w:t> </w:t>
      </w:r>
      <w:r>
        <w:rPr>
          <w:color w:val="231F20"/>
          <w:w w:val="105"/>
        </w:rPr>
        <w:t>de</w:t>
      </w:r>
      <w:r>
        <w:rPr>
          <w:color w:val="231F20"/>
          <w:spacing w:val="-21"/>
          <w:w w:val="105"/>
        </w:rPr>
        <w:t> </w:t>
      </w:r>
      <w:r>
        <w:rPr>
          <w:color w:val="231F20"/>
          <w:spacing w:val="3"/>
          <w:w w:val="105"/>
        </w:rPr>
        <w:t>2006</w:t>
      </w:r>
      <w:r>
        <w:rPr>
          <w:color w:val="231F20"/>
          <w:spacing w:val="-21"/>
          <w:w w:val="105"/>
        </w:rPr>
        <w:t> </w:t>
      </w:r>
      <w:r>
        <w:rPr>
          <w:color w:val="231F20"/>
          <w:w w:val="105"/>
        </w:rPr>
        <w:t>(Reglamento</w:t>
      </w:r>
      <w:r>
        <w:rPr>
          <w:color w:val="231F20"/>
          <w:spacing w:val="-21"/>
          <w:w w:val="105"/>
        </w:rPr>
        <w:t> </w:t>
      </w:r>
      <w:r>
        <w:rPr>
          <w:color w:val="231F20"/>
          <w:w w:val="105"/>
        </w:rPr>
        <w:t>Interno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de </w:t>
      </w:r>
      <w:r>
        <w:rPr>
          <w:color w:val="231F20"/>
          <w:spacing w:val="-3"/>
          <w:w w:val="105"/>
        </w:rPr>
        <w:t>Trabajo: </w:t>
      </w:r>
      <w:r>
        <w:rPr>
          <w:color w:val="231F20"/>
          <w:spacing w:val="3"/>
          <w:w w:val="105"/>
        </w:rPr>
        <w:t>2006, </w:t>
      </w:r>
      <w:r>
        <w:rPr>
          <w:color w:val="231F20"/>
          <w:spacing w:val="-4"/>
          <w:w w:val="105"/>
        </w:rPr>
        <w:t>13). </w:t>
      </w:r>
      <w:r>
        <w:rPr>
          <w:color w:val="231F20"/>
          <w:spacing w:val="-3"/>
          <w:w w:val="105"/>
        </w:rPr>
        <w:t>¿Cómo </w:t>
      </w:r>
      <w:r>
        <w:rPr>
          <w:color w:val="231F20"/>
          <w:w w:val="105"/>
        </w:rPr>
        <w:t>se logra gobernar sin la emisión de normas claras y que den certidumbre a la </w:t>
      </w:r>
      <w:r>
        <w:rPr>
          <w:color w:val="231F20"/>
          <w:spacing w:val="-3"/>
          <w:w w:val="105"/>
        </w:rPr>
        <w:t>población?</w:t>
      </w:r>
    </w:p>
    <w:p>
      <w:pPr>
        <w:pStyle w:val="BodyText"/>
        <w:spacing w:before="1"/>
        <w:rPr>
          <w:sz w:val="26"/>
        </w:rPr>
      </w:pPr>
    </w:p>
    <w:p>
      <w:pPr>
        <w:pStyle w:val="BodyText"/>
        <w:ind w:left="110"/>
        <w:jc w:val="both"/>
      </w:pPr>
      <w:r>
        <w:rPr>
          <w:color w:val="231F20"/>
          <w:w w:val="105"/>
        </w:rPr>
        <w:t>Los órganos de la administración pública municipal son los siguientes:</w:t>
      </w:r>
    </w:p>
    <w:p>
      <w:pPr>
        <w:pStyle w:val="ListParagraph"/>
        <w:numPr>
          <w:ilvl w:val="1"/>
          <w:numId w:val="18"/>
        </w:numPr>
        <w:tabs>
          <w:tab w:pos="855" w:val="left" w:leader="none"/>
        </w:tabs>
        <w:spacing w:line="240" w:lineRule="auto" w:before="47" w:after="0"/>
        <w:ind w:left="854" w:right="0" w:hanging="177"/>
        <w:jc w:val="left"/>
        <w:rPr>
          <w:rFonts w:ascii="Times New Roman"/>
          <w:sz w:val="22"/>
        </w:rPr>
      </w:pPr>
      <w:r>
        <w:rPr>
          <w:rFonts w:ascii="Times New Roman"/>
          <w:color w:val="231F20"/>
          <w:w w:val="105"/>
          <w:sz w:val="22"/>
        </w:rPr>
        <w:t>Presidencia.</w:t>
      </w:r>
    </w:p>
    <w:p>
      <w:pPr>
        <w:pStyle w:val="ListParagraph"/>
        <w:numPr>
          <w:ilvl w:val="1"/>
          <w:numId w:val="18"/>
        </w:numPr>
        <w:tabs>
          <w:tab w:pos="932" w:val="left" w:leader="none"/>
        </w:tabs>
        <w:spacing w:line="240" w:lineRule="auto" w:before="47" w:after="0"/>
        <w:ind w:left="931" w:right="0" w:hanging="254"/>
        <w:jc w:val="left"/>
        <w:rPr>
          <w:rFonts w:ascii="Times New Roman"/>
          <w:sz w:val="22"/>
        </w:rPr>
      </w:pPr>
      <w:r>
        <w:rPr>
          <w:rFonts w:ascii="Times New Roman"/>
          <w:color w:val="231F20"/>
          <w:w w:val="105"/>
          <w:sz w:val="22"/>
        </w:rPr>
        <w:t>Secretaria</w:t>
      </w:r>
      <w:r>
        <w:rPr>
          <w:rFonts w:ascii="Times New Roman"/>
          <w:color w:val="231F20"/>
          <w:spacing w:val="-17"/>
          <w:w w:val="105"/>
          <w:sz w:val="22"/>
        </w:rPr>
        <w:t> </w:t>
      </w:r>
      <w:r>
        <w:rPr>
          <w:rFonts w:ascii="Times New Roman"/>
          <w:color w:val="231F20"/>
          <w:w w:val="105"/>
          <w:sz w:val="22"/>
        </w:rPr>
        <w:t>del</w:t>
      </w:r>
      <w:r>
        <w:rPr>
          <w:rFonts w:ascii="Times New Roman"/>
          <w:color w:val="231F20"/>
          <w:spacing w:val="-17"/>
          <w:w w:val="105"/>
          <w:sz w:val="22"/>
        </w:rPr>
        <w:t> </w:t>
      </w:r>
      <w:r>
        <w:rPr>
          <w:rFonts w:ascii="Times New Roman"/>
          <w:color w:val="231F20"/>
          <w:w w:val="105"/>
          <w:sz w:val="22"/>
        </w:rPr>
        <w:t>H.</w:t>
      </w:r>
      <w:r>
        <w:rPr>
          <w:rFonts w:ascii="Times New Roman"/>
          <w:color w:val="231F20"/>
          <w:spacing w:val="-17"/>
          <w:w w:val="105"/>
          <w:sz w:val="22"/>
        </w:rPr>
        <w:t> </w:t>
      </w:r>
      <w:r>
        <w:rPr>
          <w:rFonts w:ascii="Times New Roman"/>
          <w:color w:val="231F20"/>
          <w:w w:val="105"/>
          <w:sz w:val="22"/>
        </w:rPr>
        <w:t>Ayuntamiento.</w:t>
      </w:r>
    </w:p>
    <w:p>
      <w:pPr>
        <w:pStyle w:val="ListParagraph"/>
        <w:numPr>
          <w:ilvl w:val="1"/>
          <w:numId w:val="18"/>
        </w:numPr>
        <w:tabs>
          <w:tab w:pos="1009" w:val="left" w:leader="none"/>
        </w:tabs>
        <w:spacing w:line="240" w:lineRule="auto" w:before="47" w:after="0"/>
        <w:ind w:left="1008" w:right="0" w:hanging="331"/>
        <w:jc w:val="left"/>
        <w:rPr>
          <w:rFonts w:ascii="Times New Roman" w:hAnsi="Times New Roman"/>
          <w:sz w:val="22"/>
        </w:rPr>
      </w:pPr>
      <w:r>
        <w:rPr>
          <w:rFonts w:ascii="Times New Roman" w:hAnsi="Times New Roman"/>
          <w:color w:val="231F20"/>
          <w:spacing w:val="-3"/>
          <w:w w:val="105"/>
          <w:sz w:val="22"/>
        </w:rPr>
        <w:t>Tesorería.</w:t>
      </w:r>
    </w:p>
    <w:p>
      <w:pPr>
        <w:pStyle w:val="ListParagraph"/>
        <w:numPr>
          <w:ilvl w:val="1"/>
          <w:numId w:val="18"/>
        </w:numPr>
        <w:tabs>
          <w:tab w:pos="989" w:val="left" w:leader="none"/>
        </w:tabs>
        <w:spacing w:line="240" w:lineRule="auto" w:before="47" w:after="0"/>
        <w:ind w:left="988" w:right="0" w:hanging="311"/>
        <w:jc w:val="left"/>
        <w:rPr>
          <w:rFonts w:ascii="Times New Roman" w:hAnsi="Times New Roman"/>
          <w:sz w:val="22"/>
        </w:rPr>
      </w:pPr>
      <w:r>
        <w:rPr>
          <w:rFonts w:ascii="Times New Roman" w:hAnsi="Times New Roman"/>
          <w:color w:val="231F20"/>
          <w:w w:val="105"/>
          <w:sz w:val="22"/>
        </w:rPr>
        <w:t>Contraloría.</w:t>
      </w:r>
    </w:p>
    <w:p>
      <w:pPr>
        <w:pStyle w:val="ListParagraph"/>
        <w:numPr>
          <w:ilvl w:val="1"/>
          <w:numId w:val="18"/>
        </w:numPr>
        <w:tabs>
          <w:tab w:pos="911" w:val="left" w:leader="none"/>
        </w:tabs>
        <w:spacing w:line="240" w:lineRule="auto" w:before="47" w:after="0"/>
        <w:ind w:left="910" w:right="0" w:hanging="233"/>
        <w:jc w:val="left"/>
        <w:rPr>
          <w:rFonts w:ascii="Times New Roman" w:hAnsi="Times New Roman"/>
          <w:sz w:val="22"/>
        </w:rPr>
      </w:pPr>
      <w:r>
        <w:rPr>
          <w:rFonts w:ascii="Times New Roman" w:hAnsi="Times New Roman"/>
          <w:color w:val="231F20"/>
          <w:sz w:val="22"/>
        </w:rPr>
        <w:t>Oficialía</w:t>
      </w:r>
      <w:r>
        <w:rPr>
          <w:rFonts w:ascii="Times New Roman" w:hAnsi="Times New Roman"/>
          <w:color w:val="231F20"/>
          <w:spacing w:val="36"/>
          <w:sz w:val="22"/>
        </w:rPr>
        <w:t> </w:t>
      </w:r>
      <w:r>
        <w:rPr>
          <w:rFonts w:ascii="Times New Roman" w:hAnsi="Times New Roman"/>
          <w:color w:val="231F20"/>
          <w:sz w:val="22"/>
        </w:rPr>
        <w:t>calificadora.</w:t>
      </w:r>
    </w:p>
    <w:p>
      <w:pPr>
        <w:pStyle w:val="ListParagraph"/>
        <w:numPr>
          <w:ilvl w:val="1"/>
          <w:numId w:val="18"/>
        </w:numPr>
        <w:tabs>
          <w:tab w:pos="1014" w:val="left" w:leader="none"/>
        </w:tabs>
        <w:spacing w:line="240" w:lineRule="auto" w:before="47" w:after="0"/>
        <w:ind w:left="1013" w:right="0" w:hanging="336"/>
        <w:jc w:val="left"/>
        <w:rPr>
          <w:rFonts w:ascii="Times New Roman" w:hAnsi="Times New Roman"/>
          <w:sz w:val="22"/>
        </w:rPr>
      </w:pPr>
      <w:r>
        <w:rPr>
          <w:rFonts w:ascii="Times New Roman" w:hAnsi="Times New Roman"/>
          <w:color w:val="231F20"/>
          <w:w w:val="105"/>
          <w:sz w:val="22"/>
        </w:rPr>
        <w:t>Coordinación municipal de derechos</w:t>
      </w:r>
      <w:r>
        <w:rPr>
          <w:rFonts w:ascii="Times New Roman" w:hAnsi="Times New Roman"/>
          <w:color w:val="231F20"/>
          <w:spacing w:val="-30"/>
          <w:w w:val="105"/>
          <w:sz w:val="22"/>
        </w:rPr>
        <w:t> </w:t>
      </w:r>
      <w:r>
        <w:rPr>
          <w:rFonts w:ascii="Times New Roman" w:hAnsi="Times New Roman"/>
          <w:color w:val="231F20"/>
          <w:w w:val="105"/>
          <w:sz w:val="22"/>
        </w:rPr>
        <w:t>humanos.</w:t>
      </w:r>
    </w:p>
    <w:p>
      <w:pPr>
        <w:pStyle w:val="ListParagraph"/>
        <w:numPr>
          <w:ilvl w:val="1"/>
          <w:numId w:val="18"/>
        </w:numPr>
        <w:tabs>
          <w:tab w:pos="1091" w:val="left" w:leader="none"/>
        </w:tabs>
        <w:spacing w:line="240" w:lineRule="auto" w:before="47" w:after="0"/>
        <w:ind w:left="1090" w:right="0" w:hanging="413"/>
        <w:jc w:val="left"/>
        <w:rPr>
          <w:rFonts w:ascii="Times New Roman" w:hAnsi="Times New Roman"/>
          <w:sz w:val="22"/>
        </w:rPr>
      </w:pPr>
      <w:r>
        <w:rPr>
          <w:rFonts w:ascii="Times New Roman" w:hAnsi="Times New Roman"/>
          <w:color w:val="231F20"/>
          <w:sz w:val="22"/>
        </w:rPr>
        <w:t>Asesoría</w:t>
      </w:r>
      <w:r>
        <w:rPr>
          <w:rFonts w:ascii="Times New Roman" w:hAnsi="Times New Roman"/>
          <w:color w:val="231F20"/>
          <w:spacing w:val="37"/>
          <w:sz w:val="22"/>
        </w:rPr>
        <w:t> </w:t>
      </w:r>
      <w:r>
        <w:rPr>
          <w:rFonts w:ascii="Times New Roman" w:hAnsi="Times New Roman"/>
          <w:color w:val="231F20"/>
          <w:sz w:val="22"/>
        </w:rPr>
        <w:t>jurídica.</w:t>
      </w:r>
    </w:p>
    <w:p>
      <w:pPr>
        <w:pStyle w:val="ListParagraph"/>
        <w:numPr>
          <w:ilvl w:val="1"/>
          <w:numId w:val="18"/>
        </w:numPr>
        <w:tabs>
          <w:tab w:pos="1168" w:val="left" w:leader="none"/>
        </w:tabs>
        <w:spacing w:line="240" w:lineRule="auto" w:before="47" w:after="0"/>
        <w:ind w:left="1167" w:right="0" w:hanging="490"/>
        <w:jc w:val="left"/>
        <w:rPr>
          <w:rFonts w:ascii="Times New Roman"/>
          <w:sz w:val="22"/>
        </w:rPr>
      </w:pPr>
      <w:r>
        <w:rPr>
          <w:rFonts w:ascii="Times New Roman"/>
          <w:color w:val="231F20"/>
          <w:sz w:val="22"/>
        </w:rPr>
        <w:t>Direcciones</w:t>
      </w:r>
      <w:r>
        <w:rPr>
          <w:rFonts w:ascii="Times New Roman"/>
          <w:color w:val="231F20"/>
          <w:spacing w:val="20"/>
          <w:sz w:val="22"/>
        </w:rPr>
        <w:t> </w:t>
      </w:r>
      <w:r>
        <w:rPr>
          <w:rFonts w:ascii="Times New Roman"/>
          <w:color w:val="231F20"/>
          <w:sz w:val="22"/>
        </w:rPr>
        <w:t>de:</w:t>
      </w:r>
    </w:p>
    <w:p>
      <w:pPr>
        <w:pStyle w:val="ListParagraph"/>
        <w:numPr>
          <w:ilvl w:val="0"/>
          <w:numId w:val="19"/>
        </w:numPr>
        <w:tabs>
          <w:tab w:pos="895" w:val="left" w:leader="none"/>
        </w:tabs>
        <w:spacing w:line="240" w:lineRule="auto" w:before="47" w:after="0"/>
        <w:ind w:left="894" w:right="0" w:hanging="217"/>
        <w:jc w:val="left"/>
        <w:rPr>
          <w:rFonts w:ascii="Times New Roman"/>
          <w:sz w:val="22"/>
        </w:rPr>
      </w:pPr>
      <w:r>
        <w:rPr>
          <w:rFonts w:ascii="Times New Roman"/>
          <w:color w:val="231F20"/>
          <w:sz w:val="22"/>
        </w:rPr>
        <w:t>Desarrollo</w:t>
      </w:r>
      <w:r>
        <w:rPr>
          <w:rFonts w:ascii="Times New Roman"/>
          <w:color w:val="231F20"/>
          <w:spacing w:val="36"/>
          <w:sz w:val="22"/>
        </w:rPr>
        <w:t> </w:t>
      </w:r>
      <w:r>
        <w:rPr>
          <w:rFonts w:ascii="Times New Roman"/>
          <w:color w:val="231F20"/>
          <w:sz w:val="22"/>
        </w:rPr>
        <w:t>social.</w:t>
      </w:r>
    </w:p>
    <w:p>
      <w:pPr>
        <w:pStyle w:val="ListParagraph"/>
        <w:numPr>
          <w:ilvl w:val="0"/>
          <w:numId w:val="19"/>
        </w:numPr>
        <w:tabs>
          <w:tab w:pos="906" w:val="left" w:leader="none"/>
        </w:tabs>
        <w:spacing w:line="240" w:lineRule="auto" w:before="47" w:after="0"/>
        <w:ind w:left="905" w:right="0" w:hanging="228"/>
        <w:jc w:val="left"/>
        <w:rPr>
          <w:rFonts w:ascii="Times New Roman" w:hAnsi="Times New Roman"/>
          <w:sz w:val="22"/>
        </w:rPr>
      </w:pPr>
      <w:r>
        <w:rPr>
          <w:rFonts w:ascii="Times New Roman" w:hAnsi="Times New Roman"/>
          <w:color w:val="231F20"/>
          <w:w w:val="105"/>
          <w:sz w:val="22"/>
        </w:rPr>
        <w:t>Planeación</w:t>
      </w:r>
      <w:r>
        <w:rPr>
          <w:rFonts w:ascii="Times New Roman" w:hAnsi="Times New Roman"/>
          <w:color w:val="231F20"/>
          <w:spacing w:val="-30"/>
          <w:w w:val="105"/>
          <w:sz w:val="22"/>
        </w:rPr>
        <w:t> </w:t>
      </w:r>
      <w:r>
        <w:rPr>
          <w:rFonts w:ascii="Times New Roman" w:hAnsi="Times New Roman"/>
          <w:color w:val="231F20"/>
          <w:w w:val="105"/>
          <w:sz w:val="22"/>
        </w:rPr>
        <w:t>y</w:t>
      </w:r>
      <w:r>
        <w:rPr>
          <w:rFonts w:ascii="Times New Roman" w:hAnsi="Times New Roman"/>
          <w:color w:val="231F20"/>
          <w:spacing w:val="-30"/>
          <w:w w:val="105"/>
          <w:sz w:val="22"/>
        </w:rPr>
        <w:t> </w:t>
      </w:r>
      <w:r>
        <w:rPr>
          <w:rFonts w:ascii="Times New Roman" w:hAnsi="Times New Roman"/>
          <w:color w:val="231F20"/>
          <w:w w:val="105"/>
          <w:sz w:val="22"/>
        </w:rPr>
        <w:t>desarrollo</w:t>
      </w:r>
      <w:r>
        <w:rPr>
          <w:rFonts w:ascii="Times New Roman" w:hAnsi="Times New Roman"/>
          <w:color w:val="231F20"/>
          <w:spacing w:val="-30"/>
          <w:w w:val="105"/>
          <w:sz w:val="22"/>
        </w:rPr>
        <w:t> </w:t>
      </w:r>
      <w:r>
        <w:rPr>
          <w:rFonts w:ascii="Times New Roman" w:hAnsi="Times New Roman"/>
          <w:color w:val="231F20"/>
          <w:w w:val="105"/>
          <w:sz w:val="22"/>
        </w:rPr>
        <w:t>económico.</w:t>
      </w:r>
    </w:p>
    <w:p>
      <w:pPr>
        <w:pStyle w:val="ListParagraph"/>
        <w:numPr>
          <w:ilvl w:val="0"/>
          <w:numId w:val="19"/>
        </w:numPr>
        <w:tabs>
          <w:tab w:pos="891" w:val="left" w:leader="none"/>
        </w:tabs>
        <w:spacing w:line="240" w:lineRule="auto" w:before="47" w:after="0"/>
        <w:ind w:left="890" w:right="0" w:hanging="213"/>
        <w:jc w:val="left"/>
        <w:rPr>
          <w:rFonts w:ascii="Times New Roman"/>
          <w:sz w:val="22"/>
        </w:rPr>
      </w:pPr>
      <w:r>
        <w:rPr>
          <w:rFonts w:ascii="Times New Roman"/>
          <w:color w:val="231F20"/>
          <w:w w:val="105"/>
          <w:sz w:val="22"/>
        </w:rPr>
        <w:t>Desarrollo</w:t>
      </w:r>
      <w:r>
        <w:rPr>
          <w:rFonts w:ascii="Times New Roman"/>
          <w:color w:val="231F20"/>
          <w:spacing w:val="-11"/>
          <w:w w:val="105"/>
          <w:sz w:val="22"/>
        </w:rPr>
        <w:t> </w:t>
      </w:r>
      <w:r>
        <w:rPr>
          <w:rFonts w:ascii="Times New Roman"/>
          <w:color w:val="231F20"/>
          <w:w w:val="105"/>
          <w:sz w:val="22"/>
        </w:rPr>
        <w:t>urbano.</w:t>
      </w:r>
    </w:p>
    <w:p>
      <w:pPr>
        <w:pStyle w:val="ListParagraph"/>
        <w:numPr>
          <w:ilvl w:val="0"/>
          <w:numId w:val="19"/>
        </w:numPr>
        <w:tabs>
          <w:tab w:pos="916" w:val="left" w:leader="none"/>
        </w:tabs>
        <w:spacing w:line="240" w:lineRule="auto" w:before="47" w:after="0"/>
        <w:ind w:left="915" w:right="0" w:hanging="238"/>
        <w:jc w:val="left"/>
        <w:rPr>
          <w:rFonts w:ascii="Times New Roman" w:hAnsi="Times New Roman"/>
          <w:sz w:val="22"/>
        </w:rPr>
      </w:pPr>
      <w:r>
        <w:rPr>
          <w:rFonts w:ascii="Times New Roman" w:hAnsi="Times New Roman"/>
          <w:color w:val="231F20"/>
          <w:w w:val="105"/>
          <w:sz w:val="22"/>
        </w:rPr>
        <w:t>Obras</w:t>
      </w:r>
      <w:r>
        <w:rPr>
          <w:rFonts w:ascii="Times New Roman" w:hAnsi="Times New Roman"/>
          <w:color w:val="231F20"/>
          <w:spacing w:val="-23"/>
          <w:w w:val="105"/>
          <w:sz w:val="22"/>
        </w:rPr>
        <w:t> </w:t>
      </w:r>
      <w:r>
        <w:rPr>
          <w:rFonts w:ascii="Times New Roman" w:hAnsi="Times New Roman"/>
          <w:color w:val="231F20"/>
          <w:w w:val="105"/>
          <w:sz w:val="22"/>
        </w:rPr>
        <w:t>públicas.</w:t>
      </w:r>
    </w:p>
    <w:p>
      <w:pPr>
        <w:pStyle w:val="ListParagraph"/>
        <w:numPr>
          <w:ilvl w:val="0"/>
          <w:numId w:val="19"/>
        </w:numPr>
        <w:tabs>
          <w:tab w:pos="890" w:val="left" w:leader="none"/>
        </w:tabs>
        <w:spacing w:line="240" w:lineRule="auto" w:before="47" w:after="0"/>
        <w:ind w:left="889" w:right="0" w:hanging="212"/>
        <w:jc w:val="left"/>
        <w:rPr>
          <w:rFonts w:ascii="Times New Roman" w:hAnsi="Times New Roman"/>
          <w:sz w:val="22"/>
        </w:rPr>
      </w:pPr>
      <w:r>
        <w:rPr>
          <w:rFonts w:ascii="Times New Roman" w:hAnsi="Times New Roman"/>
          <w:color w:val="231F20"/>
          <w:sz w:val="22"/>
        </w:rPr>
        <w:t>Protección</w:t>
      </w:r>
      <w:r>
        <w:rPr>
          <w:rFonts w:ascii="Times New Roman" w:hAnsi="Times New Roman"/>
          <w:color w:val="231F20"/>
          <w:spacing w:val="27"/>
          <w:sz w:val="22"/>
        </w:rPr>
        <w:t> </w:t>
      </w:r>
      <w:r>
        <w:rPr>
          <w:rFonts w:ascii="Times New Roman" w:hAnsi="Times New Roman"/>
          <w:color w:val="231F20"/>
          <w:sz w:val="22"/>
        </w:rPr>
        <w:t>civil.</w:t>
      </w:r>
    </w:p>
    <w:p>
      <w:pPr>
        <w:pStyle w:val="ListParagraph"/>
        <w:numPr>
          <w:ilvl w:val="0"/>
          <w:numId w:val="19"/>
        </w:numPr>
        <w:tabs>
          <w:tab w:pos="881" w:val="left" w:leader="none"/>
        </w:tabs>
        <w:spacing w:line="240" w:lineRule="auto" w:before="47" w:after="0"/>
        <w:ind w:left="880" w:right="0" w:hanging="203"/>
        <w:jc w:val="left"/>
        <w:rPr>
          <w:rFonts w:ascii="Times New Roman" w:hAnsi="Times New Roman"/>
          <w:sz w:val="22"/>
        </w:rPr>
      </w:pPr>
      <w:r>
        <w:rPr>
          <w:rFonts w:ascii="Times New Roman" w:hAnsi="Times New Roman"/>
          <w:color w:val="231F20"/>
          <w:sz w:val="22"/>
        </w:rPr>
        <w:t>Seguridad</w:t>
      </w:r>
      <w:r>
        <w:rPr>
          <w:rFonts w:ascii="Times New Roman" w:hAnsi="Times New Roman"/>
          <w:color w:val="231F20"/>
          <w:spacing w:val="39"/>
          <w:sz w:val="22"/>
        </w:rPr>
        <w:t> </w:t>
      </w:r>
      <w:r>
        <w:rPr>
          <w:rFonts w:ascii="Times New Roman" w:hAnsi="Times New Roman"/>
          <w:color w:val="231F20"/>
          <w:sz w:val="22"/>
        </w:rPr>
        <w:t>pública.</w:t>
      </w:r>
    </w:p>
    <w:p>
      <w:pPr>
        <w:pStyle w:val="ListParagraph"/>
        <w:numPr>
          <w:ilvl w:val="0"/>
          <w:numId w:val="19"/>
        </w:numPr>
        <w:tabs>
          <w:tab w:pos="907" w:val="left" w:leader="none"/>
        </w:tabs>
        <w:spacing w:line="240" w:lineRule="auto" w:before="47" w:after="0"/>
        <w:ind w:left="906" w:right="0" w:hanging="229"/>
        <w:jc w:val="left"/>
        <w:rPr>
          <w:rFonts w:ascii="Times New Roman" w:hAnsi="Times New Roman"/>
          <w:sz w:val="22"/>
        </w:rPr>
      </w:pPr>
      <w:r>
        <w:rPr>
          <w:rFonts w:ascii="Times New Roman" w:hAnsi="Times New Roman"/>
          <w:color w:val="231F20"/>
          <w:sz w:val="22"/>
        </w:rPr>
        <w:t>Servicios</w:t>
      </w:r>
      <w:r>
        <w:rPr>
          <w:rFonts w:ascii="Times New Roman" w:hAnsi="Times New Roman"/>
          <w:color w:val="231F20"/>
          <w:spacing w:val="12"/>
          <w:sz w:val="22"/>
        </w:rPr>
        <w:t> </w:t>
      </w:r>
      <w:r>
        <w:rPr>
          <w:rFonts w:ascii="Times New Roman" w:hAnsi="Times New Roman"/>
          <w:color w:val="231F20"/>
          <w:sz w:val="22"/>
        </w:rPr>
        <w:t>públicos.</w:t>
      </w:r>
    </w:p>
    <w:p>
      <w:pPr>
        <w:pStyle w:val="ListParagraph"/>
        <w:numPr>
          <w:ilvl w:val="0"/>
          <w:numId w:val="19"/>
        </w:numPr>
        <w:tabs>
          <w:tab w:pos="916" w:val="left" w:leader="none"/>
        </w:tabs>
        <w:spacing w:line="240" w:lineRule="auto" w:before="47" w:after="0"/>
        <w:ind w:left="915" w:right="0" w:hanging="238"/>
        <w:jc w:val="left"/>
        <w:rPr>
          <w:rFonts w:ascii="Times New Roman"/>
          <w:sz w:val="22"/>
        </w:rPr>
      </w:pPr>
      <w:r>
        <w:rPr>
          <w:rFonts w:ascii="Times New Roman"/>
          <w:color w:val="231F20"/>
          <w:w w:val="105"/>
          <w:sz w:val="22"/>
        </w:rPr>
        <w:t>Reglamentos</w:t>
      </w:r>
    </w:p>
    <w:p>
      <w:pPr>
        <w:pStyle w:val="BodyText"/>
        <w:spacing w:before="2"/>
        <w:rPr>
          <w:sz w:val="30"/>
        </w:rPr>
      </w:pPr>
    </w:p>
    <w:p>
      <w:pPr>
        <w:pStyle w:val="BodyText"/>
        <w:spacing w:line="285" w:lineRule="auto"/>
        <w:ind w:left="110" w:right="108"/>
        <w:jc w:val="both"/>
      </w:pPr>
      <w:r>
        <w:rPr>
          <w:color w:val="231F20"/>
          <w:w w:val="105"/>
        </w:rPr>
        <w:t>En el caso de la dirección de reglamentos; y de planeación y desarrollo económico si están</w:t>
      </w:r>
      <w:r>
        <w:rPr>
          <w:color w:val="231F20"/>
          <w:spacing w:val="-14"/>
          <w:w w:val="105"/>
        </w:rPr>
        <w:t> </w:t>
      </w:r>
      <w:r>
        <w:rPr>
          <w:color w:val="231F20"/>
          <w:w w:val="105"/>
        </w:rPr>
        <w:t>contempladas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Bando</w:t>
      </w:r>
      <w:r>
        <w:rPr>
          <w:color w:val="231F20"/>
          <w:spacing w:val="-14"/>
          <w:w w:val="105"/>
        </w:rPr>
        <w:t> </w:t>
      </w:r>
      <w:r>
        <w:rPr>
          <w:color w:val="231F20"/>
          <w:w w:val="105"/>
        </w:rPr>
        <w:t>Municipal</w:t>
      </w:r>
      <w:r>
        <w:rPr>
          <w:color w:val="231F20"/>
          <w:spacing w:val="-14"/>
          <w:w w:val="105"/>
        </w:rPr>
        <w:t> </w:t>
      </w:r>
      <w:r>
        <w:rPr>
          <w:color w:val="231F20"/>
          <w:w w:val="105"/>
        </w:rPr>
        <w:t>pero</w:t>
      </w:r>
      <w:r>
        <w:rPr>
          <w:color w:val="231F20"/>
          <w:spacing w:val="-14"/>
          <w:w w:val="105"/>
        </w:rPr>
        <w:t> </w:t>
      </w:r>
      <w:r>
        <w:rPr>
          <w:color w:val="231F20"/>
          <w:w w:val="105"/>
        </w:rPr>
        <w:t>no</w:t>
      </w:r>
      <w:r>
        <w:rPr>
          <w:color w:val="231F20"/>
          <w:spacing w:val="-14"/>
          <w:w w:val="105"/>
        </w:rPr>
        <w:t> </w:t>
      </w:r>
      <w:r>
        <w:rPr>
          <w:color w:val="231F20"/>
          <w:w w:val="105"/>
        </w:rPr>
        <w:t>funcionan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práctica,</w:t>
      </w:r>
      <w:r>
        <w:rPr>
          <w:color w:val="231F20"/>
          <w:spacing w:val="-14"/>
          <w:w w:val="105"/>
        </w:rPr>
        <w:t> </w:t>
      </w:r>
      <w:r>
        <w:rPr>
          <w:color w:val="231F20"/>
          <w:w w:val="105"/>
        </w:rPr>
        <w:t>existiendo otras dos direcciones: Educación y Cultura y Cultura Física; y Deporte que si operan aunque</w:t>
      </w:r>
      <w:r>
        <w:rPr>
          <w:color w:val="231F20"/>
          <w:spacing w:val="-7"/>
          <w:w w:val="105"/>
        </w:rPr>
        <w:t> </w:t>
      </w:r>
      <w:r>
        <w:rPr>
          <w:color w:val="231F20"/>
          <w:w w:val="105"/>
        </w:rPr>
        <w:t>no</w:t>
      </w:r>
      <w:r>
        <w:rPr>
          <w:color w:val="231F20"/>
          <w:spacing w:val="-7"/>
          <w:w w:val="105"/>
        </w:rPr>
        <w:t> </w:t>
      </w:r>
      <w:r>
        <w:rPr>
          <w:color w:val="231F20"/>
          <w:w w:val="105"/>
        </w:rPr>
        <w:t>están</w:t>
      </w:r>
      <w:r>
        <w:rPr>
          <w:color w:val="231F20"/>
          <w:spacing w:val="-7"/>
          <w:w w:val="105"/>
        </w:rPr>
        <w:t> </w:t>
      </w:r>
      <w:r>
        <w:rPr>
          <w:color w:val="231F20"/>
          <w:w w:val="105"/>
        </w:rPr>
        <w:t>contempladas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Bando</w:t>
      </w:r>
      <w:r>
        <w:rPr>
          <w:color w:val="231F20"/>
          <w:spacing w:val="-7"/>
          <w:w w:val="105"/>
        </w:rPr>
        <w:t> </w:t>
      </w:r>
      <w:r>
        <w:rPr>
          <w:color w:val="231F20"/>
          <w:w w:val="105"/>
        </w:rPr>
        <w:t>Municipal.</w:t>
      </w:r>
      <w:r>
        <w:rPr>
          <w:color w:val="231F20"/>
          <w:spacing w:val="-7"/>
          <w:w w:val="105"/>
        </w:rPr>
        <w:t> </w:t>
      </w:r>
      <w:r>
        <w:rPr>
          <w:color w:val="231F20"/>
          <w:spacing w:val="-3"/>
          <w:w w:val="105"/>
        </w:rPr>
        <w:t>Por</w:t>
      </w:r>
      <w:r>
        <w:rPr>
          <w:color w:val="231F20"/>
          <w:spacing w:val="-7"/>
          <w:w w:val="105"/>
        </w:rPr>
        <w:t> </w:t>
      </w:r>
      <w:r>
        <w:rPr>
          <w:color w:val="231F20"/>
          <w:w w:val="105"/>
        </w:rPr>
        <w:t>tanto,</w:t>
      </w:r>
      <w:r>
        <w:rPr>
          <w:color w:val="231F20"/>
          <w:spacing w:val="-7"/>
          <w:w w:val="105"/>
        </w:rPr>
        <w:t> </w:t>
      </w:r>
      <w:r>
        <w:rPr>
          <w:color w:val="231F20"/>
          <w:w w:val="105"/>
        </w:rPr>
        <w:t>la</w:t>
      </w:r>
      <w:r>
        <w:rPr>
          <w:color w:val="231F20"/>
          <w:spacing w:val="-7"/>
          <w:w w:val="105"/>
        </w:rPr>
        <w:t> </w:t>
      </w:r>
      <w:r>
        <w:rPr>
          <w:color w:val="231F20"/>
          <w:w w:val="105"/>
        </w:rPr>
        <w:t>comisión</w:t>
      </w:r>
      <w:r>
        <w:rPr>
          <w:color w:val="231F20"/>
          <w:spacing w:val="-7"/>
          <w:w w:val="105"/>
        </w:rPr>
        <w:t> </w:t>
      </w:r>
      <w:r>
        <w:rPr>
          <w:color w:val="231F20"/>
          <w:w w:val="105"/>
        </w:rPr>
        <w:t>de</w:t>
      </w:r>
      <w:r>
        <w:rPr>
          <w:color w:val="231F20"/>
          <w:spacing w:val="-7"/>
          <w:w w:val="105"/>
        </w:rPr>
        <w:t> </w:t>
      </w:r>
      <w:r>
        <w:rPr>
          <w:color w:val="231F20"/>
          <w:w w:val="105"/>
        </w:rPr>
        <w:t>regla- mentos recae en la novena regidora, que en este caso es de extracción perredista y su trabajo</w:t>
      </w:r>
      <w:r>
        <w:rPr>
          <w:color w:val="231F20"/>
          <w:spacing w:val="-5"/>
          <w:w w:val="105"/>
        </w:rPr>
        <w:t> </w:t>
      </w:r>
      <w:r>
        <w:rPr>
          <w:color w:val="231F20"/>
          <w:w w:val="105"/>
        </w:rPr>
        <w:t>no</w:t>
      </w:r>
      <w:r>
        <w:rPr>
          <w:color w:val="231F20"/>
          <w:spacing w:val="-5"/>
          <w:w w:val="105"/>
        </w:rPr>
        <w:t> </w:t>
      </w:r>
      <w:r>
        <w:rPr>
          <w:color w:val="231F20"/>
          <w:w w:val="105"/>
        </w:rPr>
        <w:t>se</w:t>
      </w:r>
      <w:r>
        <w:rPr>
          <w:color w:val="231F20"/>
          <w:spacing w:val="-5"/>
          <w:w w:val="105"/>
        </w:rPr>
        <w:t> </w:t>
      </w:r>
      <w:r>
        <w:rPr>
          <w:color w:val="231F20"/>
          <w:w w:val="105"/>
        </w:rPr>
        <w:t>ha</w:t>
      </w:r>
      <w:r>
        <w:rPr>
          <w:color w:val="231F20"/>
          <w:spacing w:val="-5"/>
          <w:w w:val="105"/>
        </w:rPr>
        <w:t> </w:t>
      </w:r>
      <w:r>
        <w:rPr>
          <w:color w:val="231F20"/>
          <w:w w:val="105"/>
        </w:rPr>
        <w:t>concretado,</w:t>
      </w:r>
      <w:r>
        <w:rPr>
          <w:color w:val="231F20"/>
          <w:spacing w:val="-5"/>
          <w:w w:val="105"/>
        </w:rPr>
        <w:t> </w:t>
      </w:r>
      <w:r>
        <w:rPr>
          <w:color w:val="231F20"/>
          <w:w w:val="105"/>
        </w:rPr>
        <w:t>pues</w:t>
      </w:r>
      <w:r>
        <w:rPr>
          <w:color w:val="231F20"/>
          <w:spacing w:val="-5"/>
          <w:w w:val="105"/>
        </w:rPr>
        <w:t> </w:t>
      </w:r>
      <w:r>
        <w:rPr>
          <w:color w:val="231F20"/>
          <w:w w:val="105"/>
        </w:rPr>
        <w:t>solo</w:t>
      </w:r>
      <w:r>
        <w:rPr>
          <w:color w:val="231F20"/>
          <w:spacing w:val="-5"/>
          <w:w w:val="105"/>
        </w:rPr>
        <w:t> </w:t>
      </w:r>
      <w:r>
        <w:rPr>
          <w:color w:val="231F20"/>
          <w:w w:val="105"/>
        </w:rPr>
        <w:t>se</w:t>
      </w:r>
      <w:r>
        <w:rPr>
          <w:color w:val="231F20"/>
          <w:spacing w:val="-5"/>
          <w:w w:val="105"/>
        </w:rPr>
        <w:t> </w:t>
      </w:r>
      <w:r>
        <w:rPr>
          <w:color w:val="231F20"/>
          <w:w w:val="105"/>
        </w:rPr>
        <w:t>menciona</w:t>
      </w:r>
      <w:r>
        <w:rPr>
          <w:color w:val="231F20"/>
          <w:spacing w:val="-5"/>
          <w:w w:val="105"/>
        </w:rPr>
        <w:t> </w:t>
      </w:r>
      <w:r>
        <w:rPr>
          <w:color w:val="231F20"/>
          <w:w w:val="105"/>
        </w:rPr>
        <w:t>que</w:t>
      </w:r>
      <w:r>
        <w:rPr>
          <w:color w:val="231F20"/>
          <w:spacing w:val="-5"/>
          <w:w w:val="105"/>
        </w:rPr>
        <w:t> </w:t>
      </w:r>
      <w:r>
        <w:rPr>
          <w:color w:val="231F20"/>
          <w:w w:val="105"/>
        </w:rPr>
        <w:t>están</w:t>
      </w:r>
      <w:r>
        <w:rPr>
          <w:color w:val="231F20"/>
          <w:spacing w:val="-5"/>
          <w:w w:val="105"/>
        </w:rPr>
        <w:t> </w:t>
      </w:r>
      <w:r>
        <w:rPr>
          <w:color w:val="231F20"/>
          <w:w w:val="105"/>
        </w:rPr>
        <w:t>en</w:t>
      </w:r>
      <w:r>
        <w:rPr>
          <w:color w:val="231F20"/>
          <w:spacing w:val="-5"/>
          <w:w w:val="105"/>
        </w:rPr>
        <w:t> </w:t>
      </w:r>
      <w:r>
        <w:rPr>
          <w:color w:val="231F20"/>
          <w:w w:val="105"/>
        </w:rPr>
        <w:t>elaboración</w:t>
      </w:r>
      <w:r>
        <w:rPr>
          <w:color w:val="231F20"/>
          <w:spacing w:val="-5"/>
          <w:w w:val="105"/>
        </w:rPr>
        <w:t> </w:t>
      </w:r>
      <w:r>
        <w:rPr>
          <w:color w:val="231F20"/>
          <w:w w:val="105"/>
        </w:rPr>
        <w:t>los</w:t>
      </w:r>
      <w:r>
        <w:rPr>
          <w:color w:val="231F20"/>
          <w:spacing w:val="-5"/>
          <w:w w:val="105"/>
        </w:rPr>
        <w:t> </w:t>
      </w:r>
      <w:r>
        <w:rPr>
          <w:color w:val="231F20"/>
          <w:w w:val="105"/>
        </w:rPr>
        <w:t>regla- mentos</w:t>
      </w:r>
      <w:r>
        <w:rPr>
          <w:color w:val="231F20"/>
          <w:spacing w:val="-16"/>
          <w:w w:val="105"/>
        </w:rPr>
        <w:t> </w:t>
      </w:r>
      <w:r>
        <w:rPr>
          <w:color w:val="231F20"/>
          <w:w w:val="105"/>
        </w:rPr>
        <w:t>de</w:t>
      </w:r>
      <w:r>
        <w:rPr>
          <w:color w:val="231F20"/>
          <w:spacing w:val="-16"/>
          <w:w w:val="105"/>
        </w:rPr>
        <w:t> </w:t>
      </w:r>
      <w:r>
        <w:rPr>
          <w:color w:val="231F20"/>
          <w:w w:val="105"/>
        </w:rPr>
        <w:t>mercados,</w:t>
      </w:r>
      <w:r>
        <w:rPr>
          <w:color w:val="231F20"/>
          <w:spacing w:val="-16"/>
          <w:w w:val="105"/>
        </w:rPr>
        <w:t> </w:t>
      </w:r>
      <w:r>
        <w:rPr>
          <w:color w:val="231F20"/>
          <w:w w:val="105"/>
        </w:rPr>
        <w:t>panteones,</w:t>
      </w:r>
      <w:r>
        <w:rPr>
          <w:color w:val="231F20"/>
          <w:spacing w:val="-16"/>
          <w:w w:val="105"/>
        </w:rPr>
        <w:t> </w:t>
      </w:r>
      <w:r>
        <w:rPr>
          <w:color w:val="231F20"/>
          <w:w w:val="105"/>
        </w:rPr>
        <w:t>parques,</w:t>
      </w:r>
      <w:r>
        <w:rPr>
          <w:color w:val="231F20"/>
          <w:spacing w:val="-16"/>
          <w:w w:val="105"/>
        </w:rPr>
        <w:t> </w:t>
      </w:r>
      <w:r>
        <w:rPr>
          <w:color w:val="231F20"/>
          <w:w w:val="105"/>
        </w:rPr>
        <w:t>jardines</w:t>
      </w:r>
      <w:r>
        <w:rPr>
          <w:color w:val="231F20"/>
          <w:spacing w:val="-16"/>
          <w:w w:val="105"/>
        </w:rPr>
        <w:t> </w:t>
      </w:r>
      <w:r>
        <w:rPr>
          <w:color w:val="231F20"/>
          <w:w w:val="105"/>
        </w:rPr>
        <w:t>y</w:t>
      </w:r>
      <w:r>
        <w:rPr>
          <w:color w:val="231F20"/>
          <w:spacing w:val="-16"/>
          <w:w w:val="105"/>
        </w:rPr>
        <w:t> </w:t>
      </w:r>
      <w:r>
        <w:rPr>
          <w:color w:val="231F20"/>
          <w:w w:val="105"/>
        </w:rPr>
        <w:t>áreas</w:t>
      </w:r>
      <w:r>
        <w:rPr>
          <w:color w:val="231F20"/>
          <w:spacing w:val="-16"/>
          <w:w w:val="105"/>
        </w:rPr>
        <w:t> </w:t>
      </w:r>
      <w:r>
        <w:rPr>
          <w:color w:val="231F20"/>
          <w:w w:val="105"/>
        </w:rPr>
        <w:t>verdes,</w:t>
      </w:r>
      <w:r>
        <w:rPr>
          <w:color w:val="231F20"/>
          <w:spacing w:val="-16"/>
          <w:w w:val="105"/>
        </w:rPr>
        <w:t> </w:t>
      </w:r>
      <w:r>
        <w:rPr>
          <w:color w:val="231F20"/>
          <w:w w:val="105"/>
        </w:rPr>
        <w:t>protección</w:t>
      </w:r>
      <w:r>
        <w:rPr>
          <w:color w:val="231F20"/>
          <w:spacing w:val="-16"/>
          <w:w w:val="105"/>
        </w:rPr>
        <w:t> </w:t>
      </w:r>
      <w:r>
        <w:rPr>
          <w:color w:val="231F20"/>
          <w:w w:val="105"/>
        </w:rPr>
        <w:t>civil,</w:t>
      </w:r>
      <w:r>
        <w:rPr>
          <w:color w:val="231F20"/>
          <w:spacing w:val="-16"/>
          <w:w w:val="105"/>
        </w:rPr>
        <w:t> </w:t>
      </w:r>
      <w:r>
        <w:rPr>
          <w:color w:val="231F20"/>
          <w:w w:val="105"/>
        </w:rPr>
        <w:t>agua potable,</w:t>
      </w:r>
      <w:r>
        <w:rPr>
          <w:color w:val="231F20"/>
          <w:spacing w:val="-20"/>
          <w:w w:val="105"/>
        </w:rPr>
        <w:t> </w:t>
      </w:r>
      <w:r>
        <w:rPr>
          <w:color w:val="231F20"/>
          <w:w w:val="105"/>
        </w:rPr>
        <w:t>drenaje</w:t>
      </w:r>
      <w:r>
        <w:rPr>
          <w:color w:val="231F20"/>
          <w:spacing w:val="-20"/>
          <w:w w:val="105"/>
        </w:rPr>
        <w:t> </w:t>
      </w:r>
      <w:r>
        <w:rPr>
          <w:color w:val="231F20"/>
          <w:w w:val="105"/>
        </w:rPr>
        <w:t>y</w:t>
      </w:r>
      <w:r>
        <w:rPr>
          <w:color w:val="231F20"/>
          <w:spacing w:val="-20"/>
          <w:w w:val="105"/>
        </w:rPr>
        <w:t> </w:t>
      </w:r>
      <w:r>
        <w:rPr>
          <w:color w:val="231F20"/>
          <w:w w:val="105"/>
        </w:rPr>
        <w:t>alcantarillado.</w:t>
      </w:r>
    </w:p>
    <w:p>
      <w:pPr>
        <w:spacing w:after="0" w:line="285" w:lineRule="auto"/>
        <w:jc w:val="both"/>
        <w:sectPr>
          <w:pgSz w:w="9640" w:h="12190"/>
          <w:pgMar w:header="0" w:footer="743" w:top="1120" w:bottom="940" w:left="740" w:right="740"/>
        </w:sectPr>
      </w:pPr>
    </w:p>
    <w:p>
      <w:pPr>
        <w:pStyle w:val="BodyText"/>
        <w:rPr>
          <w:sz w:val="9"/>
        </w:rPr>
      </w:pPr>
    </w:p>
    <w:p>
      <w:pPr>
        <w:pStyle w:val="Heading4"/>
        <w:spacing w:line="345" w:lineRule="exact"/>
        <w:rPr>
          <w:i/>
        </w:rPr>
      </w:pPr>
      <w:r>
        <w:rPr>
          <w:i/>
          <w:color w:val="231F20"/>
        </w:rPr>
        <w:t>Alcances</w:t>
      </w:r>
    </w:p>
    <w:p>
      <w:pPr>
        <w:pStyle w:val="BodyText"/>
        <w:spacing w:line="285" w:lineRule="auto" w:before="17"/>
        <w:ind w:left="110" w:right="107"/>
        <w:jc w:val="both"/>
      </w:pPr>
      <w:r>
        <w:rPr>
          <w:color w:val="231F20"/>
          <w:w w:val="105"/>
        </w:rPr>
        <w:t>De</w:t>
      </w:r>
      <w:r>
        <w:rPr>
          <w:color w:val="231F20"/>
          <w:spacing w:val="-5"/>
          <w:w w:val="105"/>
        </w:rPr>
        <w:t> </w:t>
      </w:r>
      <w:r>
        <w:rPr>
          <w:color w:val="231F20"/>
          <w:w w:val="105"/>
        </w:rPr>
        <w:t>acuerdo</w:t>
      </w:r>
      <w:r>
        <w:rPr>
          <w:color w:val="231F20"/>
          <w:spacing w:val="-5"/>
          <w:w w:val="105"/>
        </w:rPr>
        <w:t> </w:t>
      </w:r>
      <w:r>
        <w:rPr>
          <w:color w:val="231F20"/>
          <w:w w:val="105"/>
        </w:rPr>
        <w:t>con</w:t>
      </w:r>
      <w:r>
        <w:rPr>
          <w:color w:val="231F20"/>
          <w:spacing w:val="-5"/>
          <w:w w:val="105"/>
        </w:rPr>
        <w:t> </w:t>
      </w:r>
      <w:r>
        <w:rPr>
          <w:color w:val="231F20"/>
          <w:w w:val="105"/>
        </w:rPr>
        <w:t>lo</w:t>
      </w:r>
      <w:r>
        <w:rPr>
          <w:color w:val="231F20"/>
          <w:spacing w:val="-5"/>
          <w:w w:val="105"/>
        </w:rPr>
        <w:t> </w:t>
      </w:r>
      <w:r>
        <w:rPr>
          <w:color w:val="231F20"/>
          <w:w w:val="105"/>
        </w:rPr>
        <w:t>proyectado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Plan</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Municipal,</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dos</w:t>
      </w:r>
      <w:r>
        <w:rPr>
          <w:color w:val="231F20"/>
          <w:spacing w:val="-5"/>
          <w:w w:val="105"/>
        </w:rPr>
        <w:t> </w:t>
      </w:r>
      <w:r>
        <w:rPr>
          <w:color w:val="231F20"/>
          <w:w w:val="105"/>
        </w:rPr>
        <w:t>primeros años de gobierno se realizaron acciones permanentes, como son: el mantenimiento de la red de agua potable y drenaje </w:t>
      </w:r>
      <w:r>
        <w:rPr>
          <w:color w:val="231F20"/>
          <w:spacing w:val="-3"/>
          <w:w w:val="105"/>
        </w:rPr>
        <w:t>(atendiendo </w:t>
      </w:r>
      <w:r>
        <w:rPr>
          <w:color w:val="231F20"/>
          <w:w w:val="105"/>
        </w:rPr>
        <w:t>fugas de agua y conectando las viviendas </w:t>
      </w:r>
      <w:r>
        <w:rPr>
          <w:color w:val="231F20"/>
          <w:spacing w:val="2"/>
          <w:w w:val="105"/>
        </w:rPr>
        <w:t>al </w:t>
      </w:r>
      <w:r>
        <w:rPr>
          <w:color w:val="231F20"/>
          <w:w w:val="105"/>
        </w:rPr>
        <w:t>sistema de drenaje, repartiendo agua en pipas a las escuelas y oficinas públicas en tiempo</w:t>
      </w:r>
      <w:r>
        <w:rPr>
          <w:color w:val="231F20"/>
          <w:spacing w:val="-9"/>
          <w:w w:val="105"/>
        </w:rPr>
        <w:t> </w:t>
      </w:r>
      <w:r>
        <w:rPr>
          <w:color w:val="231F20"/>
          <w:w w:val="105"/>
        </w:rPr>
        <w:t>de</w:t>
      </w:r>
      <w:r>
        <w:rPr>
          <w:color w:val="231F20"/>
          <w:spacing w:val="-9"/>
          <w:w w:val="105"/>
        </w:rPr>
        <w:t> </w:t>
      </w:r>
      <w:r>
        <w:rPr>
          <w:color w:val="231F20"/>
          <w:w w:val="105"/>
        </w:rPr>
        <w:t>estiaje</w:t>
      </w:r>
      <w:r>
        <w:rPr>
          <w:color w:val="231F20"/>
          <w:spacing w:val="-9"/>
          <w:w w:val="105"/>
        </w:rPr>
        <w:t> </w:t>
      </w:r>
      <w:r>
        <w:rPr>
          <w:color w:val="231F20"/>
          <w:w w:val="105"/>
        </w:rPr>
        <w:t>y</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particulares</w:t>
      </w:r>
      <w:r>
        <w:rPr>
          <w:color w:val="231F20"/>
          <w:spacing w:val="-9"/>
          <w:w w:val="105"/>
        </w:rPr>
        <w:t> </w:t>
      </w:r>
      <w:r>
        <w:rPr>
          <w:color w:val="231F20"/>
          <w:w w:val="105"/>
        </w:rPr>
        <w:t>que</w:t>
      </w:r>
      <w:r>
        <w:rPr>
          <w:color w:val="231F20"/>
          <w:spacing w:val="-9"/>
          <w:w w:val="105"/>
        </w:rPr>
        <w:t> </w:t>
      </w:r>
      <w:r>
        <w:rPr>
          <w:color w:val="231F20"/>
          <w:w w:val="105"/>
        </w:rPr>
        <w:t>así</w:t>
      </w:r>
      <w:r>
        <w:rPr>
          <w:color w:val="231F20"/>
          <w:spacing w:val="-9"/>
          <w:w w:val="105"/>
        </w:rPr>
        <w:t> </w:t>
      </w:r>
      <w:r>
        <w:rPr>
          <w:color w:val="231F20"/>
          <w:w w:val="105"/>
        </w:rPr>
        <w:t>lo</w:t>
      </w:r>
      <w:r>
        <w:rPr>
          <w:color w:val="231F20"/>
          <w:spacing w:val="-9"/>
          <w:w w:val="105"/>
        </w:rPr>
        <w:t> </w:t>
      </w:r>
      <w:r>
        <w:rPr>
          <w:color w:val="231F20"/>
          <w:w w:val="105"/>
        </w:rPr>
        <w:t>soliciten);</w:t>
      </w:r>
      <w:r>
        <w:rPr>
          <w:color w:val="231F20"/>
          <w:spacing w:val="-9"/>
          <w:w w:val="105"/>
        </w:rPr>
        <w:t> </w:t>
      </w:r>
      <w:r>
        <w:rPr>
          <w:color w:val="231F20"/>
          <w:w w:val="105"/>
        </w:rPr>
        <w:t>la</w:t>
      </w:r>
      <w:r>
        <w:rPr>
          <w:color w:val="231F20"/>
          <w:spacing w:val="-9"/>
          <w:w w:val="105"/>
        </w:rPr>
        <w:t> </w:t>
      </w:r>
      <w:r>
        <w:rPr>
          <w:color w:val="231F20"/>
          <w:w w:val="105"/>
        </w:rPr>
        <w:t>gestión,</w:t>
      </w:r>
      <w:r>
        <w:rPr>
          <w:color w:val="231F20"/>
          <w:spacing w:val="-9"/>
          <w:w w:val="105"/>
        </w:rPr>
        <w:t> </w:t>
      </w:r>
      <w:r>
        <w:rPr>
          <w:color w:val="231F20"/>
          <w:w w:val="105"/>
        </w:rPr>
        <w:t>ante</w:t>
      </w:r>
      <w:r>
        <w:rPr>
          <w:color w:val="231F20"/>
          <w:spacing w:val="-9"/>
          <w:w w:val="105"/>
        </w:rPr>
        <w:t> </w:t>
      </w:r>
      <w:r>
        <w:rPr>
          <w:color w:val="231F20"/>
          <w:w w:val="105"/>
        </w:rPr>
        <w:t>las</w:t>
      </w:r>
      <w:r>
        <w:rPr>
          <w:color w:val="231F20"/>
          <w:spacing w:val="-9"/>
          <w:w w:val="105"/>
        </w:rPr>
        <w:t> </w:t>
      </w:r>
      <w:r>
        <w:rPr>
          <w:color w:val="231F20"/>
          <w:w w:val="105"/>
        </w:rPr>
        <w:t>diferentes esferas</w:t>
      </w:r>
      <w:r>
        <w:rPr>
          <w:color w:val="231F20"/>
          <w:spacing w:val="-18"/>
          <w:w w:val="105"/>
        </w:rPr>
        <w:t> </w:t>
      </w:r>
      <w:r>
        <w:rPr>
          <w:color w:val="231F20"/>
          <w:w w:val="105"/>
        </w:rPr>
        <w:t>de</w:t>
      </w:r>
      <w:r>
        <w:rPr>
          <w:color w:val="231F20"/>
          <w:spacing w:val="-18"/>
          <w:w w:val="105"/>
        </w:rPr>
        <w:t> </w:t>
      </w:r>
      <w:r>
        <w:rPr>
          <w:color w:val="231F20"/>
          <w:w w:val="105"/>
        </w:rPr>
        <w:t>gobierno,</w:t>
      </w:r>
      <w:r>
        <w:rPr>
          <w:color w:val="231F20"/>
          <w:spacing w:val="-18"/>
          <w:w w:val="105"/>
        </w:rPr>
        <w:t> </w:t>
      </w:r>
      <w:r>
        <w:rPr>
          <w:color w:val="231F20"/>
          <w:w w:val="105"/>
        </w:rPr>
        <w:t>de</w:t>
      </w:r>
      <w:r>
        <w:rPr>
          <w:color w:val="231F20"/>
          <w:spacing w:val="-18"/>
          <w:w w:val="105"/>
        </w:rPr>
        <w:t> </w:t>
      </w:r>
      <w:r>
        <w:rPr>
          <w:color w:val="231F20"/>
          <w:w w:val="105"/>
        </w:rPr>
        <w:t>apoyos</w:t>
      </w:r>
      <w:r>
        <w:rPr>
          <w:color w:val="231F20"/>
          <w:spacing w:val="-18"/>
          <w:w w:val="105"/>
        </w:rPr>
        <w:t> </w:t>
      </w:r>
      <w:r>
        <w:rPr>
          <w:color w:val="231F20"/>
          <w:w w:val="105"/>
        </w:rPr>
        <w:t>para</w:t>
      </w:r>
      <w:r>
        <w:rPr>
          <w:color w:val="231F20"/>
          <w:spacing w:val="-18"/>
          <w:w w:val="105"/>
        </w:rPr>
        <w:t> </w:t>
      </w:r>
      <w:r>
        <w:rPr>
          <w:color w:val="231F20"/>
          <w:w w:val="105"/>
        </w:rPr>
        <w:t>los</w:t>
      </w:r>
      <w:r>
        <w:rPr>
          <w:color w:val="231F20"/>
          <w:spacing w:val="-18"/>
          <w:w w:val="105"/>
        </w:rPr>
        <w:t> </w:t>
      </w:r>
      <w:r>
        <w:rPr>
          <w:color w:val="231F20"/>
          <w:w w:val="105"/>
        </w:rPr>
        <w:t>campesinos</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sectores</w:t>
      </w:r>
      <w:r>
        <w:rPr>
          <w:color w:val="231F20"/>
          <w:spacing w:val="-18"/>
          <w:w w:val="105"/>
        </w:rPr>
        <w:t> </w:t>
      </w:r>
      <w:r>
        <w:rPr>
          <w:color w:val="231F20"/>
          <w:w w:val="105"/>
        </w:rPr>
        <w:t>vulnerables</w:t>
      </w:r>
      <w:r>
        <w:rPr>
          <w:color w:val="231F20"/>
          <w:spacing w:val="-18"/>
          <w:w w:val="105"/>
        </w:rPr>
        <w:t> </w:t>
      </w:r>
      <w:r>
        <w:rPr>
          <w:color w:val="231F20"/>
          <w:w w:val="105"/>
        </w:rPr>
        <w:t>del</w:t>
      </w:r>
      <w:r>
        <w:rPr>
          <w:color w:val="231F20"/>
          <w:spacing w:val="-18"/>
          <w:w w:val="105"/>
        </w:rPr>
        <w:t> </w:t>
      </w:r>
      <w:r>
        <w:rPr>
          <w:color w:val="231F20"/>
          <w:w w:val="105"/>
        </w:rPr>
        <w:t>muni- cipio,</w:t>
      </w:r>
      <w:r>
        <w:rPr>
          <w:color w:val="231F20"/>
          <w:spacing w:val="-11"/>
          <w:w w:val="105"/>
        </w:rPr>
        <w:t> </w:t>
      </w:r>
      <w:r>
        <w:rPr>
          <w:color w:val="231F20"/>
          <w:w w:val="105"/>
        </w:rPr>
        <w:t>mantenimiento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red</w:t>
      </w:r>
      <w:r>
        <w:rPr>
          <w:color w:val="231F20"/>
          <w:spacing w:val="-11"/>
          <w:w w:val="105"/>
        </w:rPr>
        <w:t> </w:t>
      </w:r>
      <w:r>
        <w:rPr>
          <w:color w:val="231F20"/>
          <w:w w:val="105"/>
        </w:rPr>
        <w:t>eléctrica</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alumbrado</w:t>
      </w:r>
      <w:r>
        <w:rPr>
          <w:color w:val="231F20"/>
          <w:spacing w:val="-11"/>
          <w:w w:val="105"/>
        </w:rPr>
        <w:t> </w:t>
      </w:r>
      <w:r>
        <w:rPr>
          <w:color w:val="231F20"/>
          <w:w w:val="105"/>
        </w:rPr>
        <w:t>público,</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escuelas,</w:t>
      </w:r>
      <w:r>
        <w:rPr>
          <w:color w:val="231F20"/>
          <w:spacing w:val="-11"/>
          <w:w w:val="105"/>
        </w:rPr>
        <w:t> </w:t>
      </w:r>
      <w:r>
        <w:rPr>
          <w:color w:val="231F20"/>
          <w:w w:val="105"/>
        </w:rPr>
        <w:t>espacios recreativos,</w:t>
      </w:r>
      <w:r>
        <w:rPr>
          <w:color w:val="231F20"/>
          <w:spacing w:val="-20"/>
          <w:w w:val="105"/>
        </w:rPr>
        <w:t> </w:t>
      </w:r>
      <w:r>
        <w:rPr>
          <w:color w:val="231F20"/>
          <w:w w:val="105"/>
        </w:rPr>
        <w:t>deportivos,</w:t>
      </w:r>
      <w:r>
        <w:rPr>
          <w:color w:val="231F20"/>
          <w:spacing w:val="-20"/>
          <w:w w:val="105"/>
        </w:rPr>
        <w:t> </w:t>
      </w:r>
      <w:r>
        <w:rPr>
          <w:color w:val="231F20"/>
          <w:w w:val="105"/>
        </w:rPr>
        <w:t>panteones</w:t>
      </w:r>
      <w:r>
        <w:rPr>
          <w:color w:val="231F20"/>
          <w:spacing w:val="-20"/>
          <w:w w:val="105"/>
        </w:rPr>
        <w:t> </w:t>
      </w:r>
      <w:r>
        <w:rPr>
          <w:color w:val="231F20"/>
          <w:w w:val="105"/>
        </w:rPr>
        <w:t>y</w:t>
      </w:r>
      <w:r>
        <w:rPr>
          <w:color w:val="231F20"/>
          <w:spacing w:val="-20"/>
          <w:w w:val="105"/>
        </w:rPr>
        <w:t> </w:t>
      </w:r>
      <w:r>
        <w:rPr>
          <w:color w:val="231F20"/>
          <w:w w:val="105"/>
        </w:rPr>
        <w:t>edificios</w:t>
      </w:r>
      <w:r>
        <w:rPr>
          <w:color w:val="231F20"/>
          <w:spacing w:val="-20"/>
          <w:w w:val="105"/>
        </w:rPr>
        <w:t> </w:t>
      </w:r>
      <w:r>
        <w:rPr>
          <w:color w:val="231F20"/>
          <w:w w:val="105"/>
        </w:rPr>
        <w:t>públicos,</w:t>
      </w:r>
      <w:r>
        <w:rPr>
          <w:color w:val="231F20"/>
          <w:spacing w:val="-20"/>
          <w:w w:val="105"/>
        </w:rPr>
        <w:t> </w:t>
      </w:r>
      <w:r>
        <w:rPr>
          <w:color w:val="231F20"/>
          <w:w w:val="105"/>
        </w:rPr>
        <w:t>así</w:t>
      </w:r>
      <w:r>
        <w:rPr>
          <w:color w:val="231F20"/>
          <w:spacing w:val="-20"/>
          <w:w w:val="105"/>
        </w:rPr>
        <w:t> </w:t>
      </w:r>
      <w:r>
        <w:rPr>
          <w:color w:val="231F20"/>
          <w:w w:val="105"/>
        </w:rPr>
        <w:t>como</w:t>
      </w:r>
      <w:r>
        <w:rPr>
          <w:color w:val="231F20"/>
          <w:spacing w:val="-20"/>
          <w:w w:val="105"/>
        </w:rPr>
        <w:t> </w:t>
      </w:r>
      <w:r>
        <w:rPr>
          <w:color w:val="231F20"/>
          <w:w w:val="105"/>
        </w:rPr>
        <w:t>apoyos</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diferentes grupos</w:t>
      </w:r>
      <w:r>
        <w:rPr>
          <w:color w:val="231F20"/>
          <w:spacing w:val="-19"/>
          <w:w w:val="105"/>
        </w:rPr>
        <w:t> </w:t>
      </w:r>
      <w:r>
        <w:rPr>
          <w:color w:val="231F20"/>
          <w:w w:val="105"/>
        </w:rPr>
        <w:t>sociales</w:t>
      </w:r>
      <w:r>
        <w:rPr>
          <w:color w:val="231F20"/>
          <w:spacing w:val="-19"/>
          <w:w w:val="105"/>
        </w:rPr>
        <w:t> </w:t>
      </w:r>
      <w:r>
        <w:rPr>
          <w:color w:val="231F20"/>
          <w:w w:val="105"/>
        </w:rPr>
        <w:t>que</w:t>
      </w:r>
      <w:r>
        <w:rPr>
          <w:color w:val="231F20"/>
          <w:spacing w:val="-19"/>
          <w:w w:val="105"/>
        </w:rPr>
        <w:t> </w:t>
      </w:r>
      <w:r>
        <w:rPr>
          <w:color w:val="231F20"/>
          <w:w w:val="105"/>
        </w:rPr>
        <w:t>lo</w:t>
      </w:r>
      <w:r>
        <w:rPr>
          <w:color w:val="231F20"/>
          <w:spacing w:val="-19"/>
          <w:w w:val="105"/>
        </w:rPr>
        <w:t> </w:t>
      </w:r>
      <w:r>
        <w:rPr>
          <w:color w:val="231F20"/>
          <w:w w:val="105"/>
        </w:rPr>
        <w:t>pidan,</w:t>
      </w:r>
      <w:r>
        <w:rPr>
          <w:color w:val="231F20"/>
          <w:spacing w:val="-19"/>
          <w:w w:val="105"/>
        </w:rPr>
        <w:t> </w:t>
      </w:r>
      <w:r>
        <w:rPr>
          <w:color w:val="231F20"/>
          <w:w w:val="105"/>
        </w:rPr>
        <w:t>previa</w:t>
      </w:r>
      <w:r>
        <w:rPr>
          <w:color w:val="231F20"/>
          <w:spacing w:val="-19"/>
          <w:w w:val="105"/>
        </w:rPr>
        <w:t> </w:t>
      </w:r>
      <w:r>
        <w:rPr>
          <w:color w:val="231F20"/>
          <w:w w:val="105"/>
        </w:rPr>
        <w:t>solicitud.</w:t>
      </w:r>
    </w:p>
    <w:p>
      <w:pPr>
        <w:pStyle w:val="BodyText"/>
        <w:spacing w:before="1"/>
        <w:rPr>
          <w:sz w:val="26"/>
        </w:rPr>
      </w:pPr>
    </w:p>
    <w:p>
      <w:pPr>
        <w:pStyle w:val="BodyText"/>
        <w:spacing w:line="285" w:lineRule="auto"/>
        <w:ind w:left="110" w:right="107"/>
        <w:jc w:val="both"/>
      </w:pPr>
      <w:r>
        <w:rPr>
          <w:color w:val="231F20"/>
          <w:w w:val="105"/>
        </w:rPr>
        <w:t>Estas medidas se han realizado con recursos </w:t>
      </w:r>
      <w:r>
        <w:rPr>
          <w:color w:val="231F20"/>
          <w:spacing w:val="-3"/>
          <w:w w:val="105"/>
        </w:rPr>
        <w:t>propios </w:t>
      </w:r>
      <w:r>
        <w:rPr>
          <w:color w:val="231F20"/>
          <w:w w:val="105"/>
        </w:rPr>
        <w:t>y se han llevado a cabo en toda  la comunidad, aunque las obras consideradas de alto impacto se han concentrado en  la cabecera municipal: la construcción de un módulo deportivo, el centro de salud, y la instalación de la red de agua de polietileno, estas dos últimas obras con apoyo del gobierno</w:t>
      </w:r>
      <w:r>
        <w:rPr>
          <w:color w:val="231F20"/>
          <w:spacing w:val="-24"/>
          <w:w w:val="105"/>
        </w:rPr>
        <w:t> </w:t>
      </w:r>
      <w:r>
        <w:rPr>
          <w:color w:val="231F20"/>
          <w:w w:val="105"/>
        </w:rPr>
        <w:t>estatal.</w:t>
      </w:r>
    </w:p>
    <w:p>
      <w:pPr>
        <w:pStyle w:val="BodyText"/>
        <w:spacing w:line="285" w:lineRule="auto" w:before="1"/>
        <w:ind w:left="677" w:right="107"/>
        <w:jc w:val="both"/>
      </w:pPr>
      <w:r>
        <w:rPr>
          <w:color w:val="231F20"/>
        </w:rPr>
        <w:t>…estas obras se están realizando, porque los hizo como compromiso: la clínica y   la red de polietileno, la del tubo negro, esas obras son del compromiso que él hizo  y si está cumpliendo, yo lo reconozco (Navarro, </w:t>
      </w:r>
      <w:r>
        <w:rPr>
          <w:color w:val="231F20"/>
          <w:spacing w:val="3"/>
        </w:rPr>
        <w:t> </w:t>
      </w:r>
      <w:r>
        <w:rPr>
          <w:color w:val="231F20"/>
        </w:rPr>
        <w:t>2008).</w:t>
      </w:r>
    </w:p>
    <w:p>
      <w:pPr>
        <w:pStyle w:val="BodyText"/>
        <w:spacing w:before="1"/>
        <w:rPr>
          <w:sz w:val="26"/>
        </w:rPr>
      </w:pPr>
    </w:p>
    <w:p>
      <w:pPr>
        <w:pStyle w:val="BodyText"/>
        <w:spacing w:line="285" w:lineRule="auto"/>
        <w:ind w:left="110" w:right="108"/>
        <w:jc w:val="both"/>
      </w:pPr>
      <w:r>
        <w:rPr>
          <w:color w:val="231F20"/>
        </w:rPr>
        <w:t>Hay que remarcar que el 50% de estas obras benefician a la población de la cabecera </w:t>
      </w:r>
      <w:r>
        <w:rPr>
          <w:color w:val="231F20"/>
          <w:spacing w:val="-3"/>
        </w:rPr>
        <w:t>mu- </w:t>
      </w:r>
      <w:r>
        <w:rPr>
          <w:color w:val="231F20"/>
        </w:rPr>
        <w:t>nicipal y la delegación de San Juan Tehuixtitlán y el resto se reparte entre las demás de- legaciones (Tepecoculco, Tlalamác, Col. Guadalupe, </w:t>
      </w:r>
      <w:r>
        <w:rPr>
          <w:color w:val="231F20"/>
          <w:spacing w:val="-3"/>
        </w:rPr>
        <w:t>Popo Park-Delicias). Por </w:t>
      </w:r>
      <w:r>
        <w:rPr>
          <w:color w:val="231F20"/>
        </w:rPr>
        <w:t>otro lado, se</w:t>
      </w:r>
      <w:r>
        <w:rPr>
          <w:color w:val="231F20"/>
          <w:spacing w:val="17"/>
        </w:rPr>
        <w:t> </w:t>
      </w:r>
      <w:r>
        <w:rPr>
          <w:color w:val="231F20"/>
        </w:rPr>
        <w:t>han</w:t>
      </w:r>
      <w:r>
        <w:rPr>
          <w:color w:val="231F20"/>
          <w:spacing w:val="17"/>
        </w:rPr>
        <w:t> </w:t>
      </w:r>
      <w:r>
        <w:rPr>
          <w:color w:val="231F20"/>
        </w:rPr>
        <w:t>hecho</w:t>
      </w:r>
      <w:r>
        <w:rPr>
          <w:color w:val="231F20"/>
          <w:spacing w:val="17"/>
        </w:rPr>
        <w:t> </w:t>
      </w:r>
      <w:r>
        <w:rPr>
          <w:color w:val="231F20"/>
        </w:rPr>
        <w:t>más</w:t>
      </w:r>
      <w:r>
        <w:rPr>
          <w:color w:val="231F20"/>
          <w:spacing w:val="17"/>
        </w:rPr>
        <w:t> </w:t>
      </w:r>
      <w:r>
        <w:rPr>
          <w:color w:val="231F20"/>
        </w:rPr>
        <w:t>obras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programadas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Plan</w:t>
      </w:r>
      <w:r>
        <w:rPr>
          <w:color w:val="231F20"/>
          <w:spacing w:val="17"/>
        </w:rPr>
        <w:t> </w:t>
      </w:r>
      <w:r>
        <w:rPr>
          <w:color w:val="231F20"/>
        </w:rPr>
        <w:t>de</w:t>
      </w:r>
      <w:r>
        <w:rPr>
          <w:color w:val="231F20"/>
          <w:spacing w:val="17"/>
        </w:rPr>
        <w:t> </w:t>
      </w:r>
      <w:r>
        <w:rPr>
          <w:color w:val="231F20"/>
        </w:rPr>
        <w:t>Desarrollo</w:t>
      </w:r>
      <w:r>
        <w:rPr>
          <w:color w:val="231F20"/>
          <w:spacing w:val="17"/>
        </w:rPr>
        <w:t> </w:t>
      </w:r>
      <w:r>
        <w:rPr>
          <w:color w:val="231F20"/>
        </w:rPr>
        <w:t>Municipal.</w:t>
      </w:r>
    </w:p>
    <w:p>
      <w:pPr>
        <w:pStyle w:val="BodyText"/>
        <w:spacing w:before="1"/>
        <w:rPr>
          <w:sz w:val="26"/>
        </w:rPr>
      </w:pPr>
    </w:p>
    <w:p>
      <w:pPr>
        <w:pStyle w:val="BodyText"/>
        <w:spacing w:line="285" w:lineRule="auto"/>
        <w:ind w:left="110" w:right="107"/>
        <w:jc w:val="both"/>
      </w:pPr>
      <w:r>
        <w:rPr>
          <w:color w:val="231F20"/>
          <w:w w:val="105"/>
        </w:rPr>
        <w:t>El rubro en el que más recursos se han invertido durante la gestión panista ha sido   en infraestructura básica, pues se proyectaron 139 obras, </w:t>
      </w:r>
      <w:r>
        <w:rPr>
          <w:color w:val="231F20"/>
          <w:spacing w:val="-3"/>
          <w:w w:val="105"/>
        </w:rPr>
        <w:t>62 </w:t>
      </w:r>
      <w:r>
        <w:rPr>
          <w:color w:val="231F20"/>
          <w:w w:val="105"/>
        </w:rPr>
        <w:t>en </w:t>
      </w:r>
      <w:r>
        <w:rPr>
          <w:color w:val="231F20"/>
          <w:spacing w:val="-3"/>
          <w:w w:val="105"/>
        </w:rPr>
        <w:t>2007, </w:t>
      </w:r>
      <w:r>
        <w:rPr>
          <w:color w:val="231F20"/>
          <w:spacing w:val="-5"/>
          <w:w w:val="105"/>
        </w:rPr>
        <w:t>76 </w:t>
      </w:r>
      <w:r>
        <w:rPr>
          <w:color w:val="231F20"/>
          <w:w w:val="105"/>
        </w:rPr>
        <w:t>en </w:t>
      </w:r>
      <w:r>
        <w:rPr>
          <w:color w:val="231F20"/>
          <w:spacing w:val="3"/>
          <w:w w:val="105"/>
        </w:rPr>
        <w:t>2008 </w:t>
      </w:r>
      <w:r>
        <w:rPr>
          <w:color w:val="231F20"/>
          <w:w w:val="105"/>
        </w:rPr>
        <w:t>y las restantes en </w:t>
      </w:r>
      <w:r>
        <w:rPr>
          <w:color w:val="231F20"/>
          <w:spacing w:val="2"/>
          <w:w w:val="105"/>
        </w:rPr>
        <w:t>2009; </w:t>
      </w:r>
      <w:r>
        <w:rPr>
          <w:color w:val="231F20"/>
          <w:w w:val="105"/>
        </w:rPr>
        <w:t>de estas 139 obras, 37 eran para San Juan Tehuixtitlán, </w:t>
      </w:r>
      <w:r>
        <w:rPr>
          <w:color w:val="231F20"/>
          <w:spacing w:val="-5"/>
          <w:w w:val="105"/>
        </w:rPr>
        <w:t>31 </w:t>
      </w:r>
      <w:r>
        <w:rPr>
          <w:color w:val="231F20"/>
          <w:w w:val="105"/>
        </w:rPr>
        <w:t>para la cabecera,</w:t>
      </w:r>
      <w:r>
        <w:rPr>
          <w:color w:val="231F20"/>
          <w:spacing w:val="-18"/>
          <w:w w:val="105"/>
        </w:rPr>
        <w:t> </w:t>
      </w:r>
      <w:r>
        <w:rPr>
          <w:color w:val="231F20"/>
          <w:w w:val="105"/>
        </w:rPr>
        <w:t>29</w:t>
      </w:r>
      <w:r>
        <w:rPr>
          <w:color w:val="231F20"/>
          <w:spacing w:val="-18"/>
          <w:w w:val="105"/>
        </w:rPr>
        <w:t> </w:t>
      </w:r>
      <w:r>
        <w:rPr>
          <w:color w:val="231F20"/>
          <w:w w:val="105"/>
        </w:rPr>
        <w:t>para</w:t>
      </w:r>
      <w:r>
        <w:rPr>
          <w:color w:val="231F20"/>
          <w:spacing w:val="-18"/>
          <w:w w:val="105"/>
        </w:rPr>
        <w:t> </w:t>
      </w:r>
      <w:r>
        <w:rPr>
          <w:color w:val="231F20"/>
          <w:w w:val="105"/>
        </w:rPr>
        <w:t>Tepecoculco,</w:t>
      </w:r>
      <w:r>
        <w:rPr>
          <w:color w:val="231F20"/>
          <w:spacing w:val="-18"/>
          <w:w w:val="105"/>
        </w:rPr>
        <w:t> </w:t>
      </w:r>
      <w:r>
        <w:rPr>
          <w:color w:val="231F20"/>
          <w:spacing w:val="-3"/>
          <w:w w:val="105"/>
        </w:rPr>
        <w:t>19</w:t>
      </w:r>
      <w:r>
        <w:rPr>
          <w:color w:val="231F20"/>
          <w:spacing w:val="-18"/>
          <w:w w:val="105"/>
        </w:rPr>
        <w:t> </w:t>
      </w:r>
      <w:r>
        <w:rPr>
          <w:color w:val="231F20"/>
          <w:w w:val="105"/>
        </w:rPr>
        <w:t>para</w:t>
      </w:r>
      <w:r>
        <w:rPr>
          <w:color w:val="231F20"/>
          <w:spacing w:val="-18"/>
          <w:w w:val="105"/>
        </w:rPr>
        <w:t> </w:t>
      </w:r>
      <w:r>
        <w:rPr>
          <w:color w:val="231F20"/>
          <w:w w:val="105"/>
        </w:rPr>
        <w:t>Tlalamác,</w:t>
      </w:r>
      <w:r>
        <w:rPr>
          <w:color w:val="231F20"/>
          <w:spacing w:val="-18"/>
          <w:w w:val="105"/>
        </w:rPr>
        <w:t> </w:t>
      </w:r>
      <w:r>
        <w:rPr>
          <w:color w:val="231F20"/>
          <w:w w:val="105"/>
        </w:rPr>
        <w:t>9</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Colonia</w:t>
      </w:r>
      <w:r>
        <w:rPr>
          <w:color w:val="231F20"/>
          <w:spacing w:val="-18"/>
          <w:w w:val="105"/>
        </w:rPr>
        <w:t> </w:t>
      </w:r>
      <w:r>
        <w:rPr>
          <w:color w:val="231F20"/>
          <w:w w:val="105"/>
        </w:rPr>
        <w:t>Guadalupe</w:t>
      </w:r>
      <w:r>
        <w:rPr>
          <w:color w:val="231F20"/>
          <w:spacing w:val="-18"/>
          <w:w w:val="105"/>
        </w:rPr>
        <w:t> </w:t>
      </w:r>
      <w:r>
        <w:rPr>
          <w:color w:val="231F20"/>
          <w:w w:val="105"/>
        </w:rPr>
        <w:t>Hidalgo y </w:t>
      </w:r>
      <w:r>
        <w:rPr>
          <w:color w:val="231F20"/>
          <w:spacing w:val="-7"/>
          <w:w w:val="105"/>
        </w:rPr>
        <w:t>14 </w:t>
      </w:r>
      <w:r>
        <w:rPr>
          <w:color w:val="231F20"/>
          <w:w w:val="105"/>
        </w:rPr>
        <w:t>para el </w:t>
      </w:r>
      <w:r>
        <w:rPr>
          <w:color w:val="231F20"/>
          <w:spacing w:val="-3"/>
          <w:w w:val="105"/>
        </w:rPr>
        <w:t>Popo </w:t>
      </w:r>
      <w:r>
        <w:rPr>
          <w:color w:val="231F20"/>
          <w:w w:val="105"/>
        </w:rPr>
        <w:t>Park. Lo anterior reafirma lo estipulado en el Plan pues una de las demandas más sentidas era precisamente la infraestructura, ubicada en el área de  </w:t>
      </w:r>
      <w:r>
        <w:rPr>
          <w:color w:val="231F20"/>
          <w:spacing w:val="8"/>
          <w:w w:val="105"/>
        </w:rPr>
        <w:t> </w:t>
      </w:r>
      <w:r>
        <w:rPr>
          <w:color w:val="231F20"/>
          <w:w w:val="105"/>
        </w:rPr>
        <w:t>se-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guridad</w:t>
      </w:r>
      <w:r>
        <w:rPr>
          <w:color w:val="231F20"/>
          <w:spacing w:val="-14"/>
          <w:w w:val="105"/>
        </w:rPr>
        <w:t> </w:t>
      </w:r>
      <w:r>
        <w:rPr>
          <w:color w:val="231F20"/>
          <w:w w:val="105"/>
        </w:rPr>
        <w:t>económica,</w:t>
      </w:r>
      <w:r>
        <w:rPr>
          <w:color w:val="231F20"/>
          <w:spacing w:val="-14"/>
          <w:w w:val="105"/>
        </w:rPr>
        <w:t> </w:t>
      </w:r>
      <w:r>
        <w:rPr>
          <w:color w:val="231F20"/>
          <w:w w:val="105"/>
        </w:rPr>
        <w:t>destinándose</w:t>
      </w:r>
      <w:r>
        <w:rPr>
          <w:color w:val="231F20"/>
          <w:spacing w:val="-14"/>
          <w:w w:val="105"/>
        </w:rPr>
        <w:t> </w:t>
      </w:r>
      <w:r>
        <w:rPr>
          <w:color w:val="231F20"/>
          <w:w w:val="105"/>
        </w:rPr>
        <w:t>más</w:t>
      </w:r>
      <w:r>
        <w:rPr>
          <w:color w:val="231F20"/>
          <w:spacing w:val="-14"/>
          <w:w w:val="105"/>
        </w:rPr>
        <w:t> </w:t>
      </w:r>
      <w:r>
        <w:rPr>
          <w:color w:val="231F20"/>
          <w:w w:val="105"/>
        </w:rPr>
        <w:t>del</w:t>
      </w:r>
      <w:r>
        <w:rPr>
          <w:color w:val="231F20"/>
          <w:spacing w:val="-14"/>
          <w:w w:val="105"/>
        </w:rPr>
        <w:t> </w:t>
      </w:r>
      <w:r>
        <w:rPr>
          <w:color w:val="231F20"/>
          <w:w w:val="105"/>
        </w:rPr>
        <w:t>25%</w:t>
      </w:r>
      <w:r>
        <w:rPr>
          <w:color w:val="231F20"/>
          <w:spacing w:val="-14"/>
          <w:w w:val="105"/>
        </w:rPr>
        <w:t> </w:t>
      </w:r>
      <w:r>
        <w:rPr>
          <w:color w:val="231F20"/>
          <w:w w:val="105"/>
        </w:rPr>
        <w:t>del</w:t>
      </w:r>
      <w:r>
        <w:rPr>
          <w:color w:val="231F20"/>
          <w:spacing w:val="-14"/>
          <w:w w:val="105"/>
        </w:rPr>
        <w:t> </w:t>
      </w:r>
      <w:r>
        <w:rPr>
          <w:color w:val="231F20"/>
          <w:w w:val="105"/>
        </w:rPr>
        <w:t>presupuesto,</w:t>
      </w:r>
      <w:r>
        <w:rPr>
          <w:color w:val="231F20"/>
          <w:spacing w:val="-14"/>
          <w:w w:val="105"/>
        </w:rPr>
        <w:t> </w:t>
      </w:r>
      <w:r>
        <w:rPr>
          <w:color w:val="231F20"/>
          <w:w w:val="105"/>
        </w:rPr>
        <w:t>el</w:t>
      </w:r>
      <w:r>
        <w:rPr>
          <w:color w:val="231F20"/>
          <w:spacing w:val="-14"/>
          <w:w w:val="105"/>
        </w:rPr>
        <w:t> </w:t>
      </w:r>
      <w:r>
        <w:rPr>
          <w:color w:val="231F20"/>
          <w:w w:val="105"/>
        </w:rPr>
        <w:t>cual</w:t>
      </w:r>
      <w:r>
        <w:rPr>
          <w:color w:val="231F20"/>
          <w:spacing w:val="-14"/>
          <w:w w:val="105"/>
        </w:rPr>
        <w:t> </w:t>
      </w:r>
      <w:r>
        <w:rPr>
          <w:color w:val="231F20"/>
          <w:w w:val="105"/>
        </w:rPr>
        <w:t>se</w:t>
      </w:r>
      <w:r>
        <w:rPr>
          <w:color w:val="231F20"/>
          <w:spacing w:val="-14"/>
          <w:w w:val="105"/>
        </w:rPr>
        <w:t> </w:t>
      </w:r>
      <w:r>
        <w:rPr>
          <w:color w:val="231F20"/>
          <w:w w:val="105"/>
        </w:rPr>
        <w:t>distribuyó</w:t>
      </w:r>
      <w:r>
        <w:rPr>
          <w:color w:val="231F20"/>
          <w:spacing w:val="-14"/>
          <w:w w:val="105"/>
        </w:rPr>
        <w:t> </w:t>
      </w:r>
      <w:r>
        <w:rPr>
          <w:color w:val="231F20"/>
          <w:w w:val="105"/>
        </w:rPr>
        <w:t>en la construcción de guarniciones, banquetas y en el mantenimiento y ampliación de los servicios</w:t>
      </w:r>
      <w:r>
        <w:rPr>
          <w:color w:val="231F20"/>
          <w:spacing w:val="-16"/>
          <w:w w:val="105"/>
        </w:rPr>
        <w:t> </w:t>
      </w:r>
      <w:r>
        <w:rPr>
          <w:color w:val="231F20"/>
          <w:w w:val="105"/>
        </w:rPr>
        <w:t>de</w:t>
      </w:r>
      <w:r>
        <w:rPr>
          <w:color w:val="231F20"/>
          <w:spacing w:val="-16"/>
          <w:w w:val="105"/>
        </w:rPr>
        <w:t> </w:t>
      </w:r>
      <w:r>
        <w:rPr>
          <w:color w:val="231F20"/>
          <w:w w:val="105"/>
        </w:rPr>
        <w:t>agua,</w:t>
      </w:r>
      <w:r>
        <w:rPr>
          <w:color w:val="231F20"/>
          <w:spacing w:val="-16"/>
          <w:w w:val="105"/>
        </w:rPr>
        <w:t> </w:t>
      </w:r>
      <w:r>
        <w:rPr>
          <w:color w:val="231F20"/>
          <w:w w:val="105"/>
        </w:rPr>
        <w:t>drenaje,</w:t>
      </w:r>
      <w:r>
        <w:rPr>
          <w:color w:val="231F20"/>
          <w:spacing w:val="-16"/>
          <w:w w:val="105"/>
        </w:rPr>
        <w:t> </w:t>
      </w:r>
      <w:r>
        <w:rPr>
          <w:color w:val="231F20"/>
          <w:w w:val="105"/>
        </w:rPr>
        <w:t>luz</w:t>
      </w:r>
      <w:r>
        <w:rPr>
          <w:color w:val="231F20"/>
          <w:spacing w:val="-16"/>
          <w:w w:val="105"/>
        </w:rPr>
        <w:t> </w:t>
      </w:r>
      <w:r>
        <w:rPr>
          <w:color w:val="231F20"/>
          <w:w w:val="105"/>
        </w:rPr>
        <w:t>y</w:t>
      </w:r>
      <w:r>
        <w:rPr>
          <w:color w:val="231F20"/>
          <w:spacing w:val="-16"/>
          <w:w w:val="105"/>
        </w:rPr>
        <w:t> </w:t>
      </w:r>
      <w:r>
        <w:rPr>
          <w:color w:val="231F20"/>
          <w:w w:val="105"/>
        </w:rPr>
        <w:t>alumbrado</w:t>
      </w:r>
      <w:r>
        <w:rPr>
          <w:color w:val="231F20"/>
          <w:spacing w:val="-16"/>
          <w:w w:val="105"/>
        </w:rPr>
        <w:t> </w:t>
      </w:r>
      <w:r>
        <w:rPr>
          <w:color w:val="231F20"/>
          <w:w w:val="105"/>
        </w:rPr>
        <w:t>público</w:t>
      </w:r>
      <w:r>
        <w:rPr>
          <w:color w:val="231F20"/>
          <w:spacing w:val="-16"/>
          <w:w w:val="105"/>
        </w:rPr>
        <w:t> </w:t>
      </w:r>
      <w:r>
        <w:rPr>
          <w:color w:val="231F20"/>
          <w:w w:val="105"/>
        </w:rPr>
        <w:t>y</w:t>
      </w:r>
      <w:r>
        <w:rPr>
          <w:color w:val="231F20"/>
          <w:spacing w:val="-16"/>
          <w:w w:val="105"/>
        </w:rPr>
        <w:t> </w:t>
      </w:r>
      <w:r>
        <w:rPr>
          <w:color w:val="231F20"/>
          <w:w w:val="105"/>
        </w:rPr>
        <w:t>obras</w:t>
      </w:r>
      <w:r>
        <w:rPr>
          <w:color w:val="231F20"/>
          <w:spacing w:val="-16"/>
          <w:w w:val="105"/>
        </w:rPr>
        <w:t> </w:t>
      </w:r>
      <w:r>
        <w:rPr>
          <w:color w:val="231F20"/>
          <w:w w:val="105"/>
        </w:rPr>
        <w:t>de</w:t>
      </w:r>
      <w:r>
        <w:rPr>
          <w:color w:val="231F20"/>
          <w:spacing w:val="-16"/>
          <w:w w:val="105"/>
        </w:rPr>
        <w:t> </w:t>
      </w:r>
      <w:r>
        <w:rPr>
          <w:color w:val="231F20"/>
          <w:w w:val="105"/>
        </w:rPr>
        <w:t>gran</w:t>
      </w:r>
      <w:r>
        <w:rPr>
          <w:color w:val="231F20"/>
          <w:spacing w:val="-16"/>
          <w:w w:val="105"/>
        </w:rPr>
        <w:t> </w:t>
      </w:r>
      <w:r>
        <w:rPr>
          <w:color w:val="231F20"/>
          <w:w w:val="105"/>
        </w:rPr>
        <w:t>impacto.</w:t>
      </w:r>
    </w:p>
    <w:p>
      <w:pPr>
        <w:pStyle w:val="BodyText"/>
        <w:spacing w:before="1"/>
        <w:rPr>
          <w:sz w:val="26"/>
        </w:rPr>
      </w:pPr>
    </w:p>
    <w:p>
      <w:pPr>
        <w:pStyle w:val="BodyText"/>
        <w:spacing w:line="285" w:lineRule="auto"/>
        <w:ind w:left="110" w:right="108"/>
        <w:jc w:val="both"/>
      </w:pPr>
      <w:r>
        <w:rPr>
          <w:color w:val="231F20"/>
          <w:w w:val="105"/>
        </w:rPr>
        <w:t>Pese</w:t>
      </w:r>
      <w:r>
        <w:rPr>
          <w:color w:val="231F20"/>
          <w:spacing w:val="-16"/>
          <w:w w:val="105"/>
        </w:rPr>
        <w:t> </w:t>
      </w:r>
      <w:r>
        <w:rPr>
          <w:color w:val="231F20"/>
          <w:w w:val="105"/>
        </w:rPr>
        <w:t>a</w:t>
      </w:r>
      <w:r>
        <w:rPr>
          <w:color w:val="231F20"/>
          <w:spacing w:val="-16"/>
          <w:w w:val="105"/>
        </w:rPr>
        <w:t> </w:t>
      </w:r>
      <w:r>
        <w:rPr>
          <w:color w:val="231F20"/>
          <w:w w:val="105"/>
        </w:rPr>
        <w:t>todo,</w:t>
      </w:r>
      <w:r>
        <w:rPr>
          <w:color w:val="231F20"/>
          <w:spacing w:val="-16"/>
          <w:w w:val="105"/>
        </w:rPr>
        <w:t> </w:t>
      </w:r>
      <w:r>
        <w:rPr>
          <w:color w:val="231F20"/>
          <w:w w:val="105"/>
        </w:rPr>
        <w:t>en</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va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gestión</w:t>
      </w:r>
      <w:r>
        <w:rPr>
          <w:color w:val="231F20"/>
          <w:spacing w:val="-16"/>
          <w:w w:val="105"/>
        </w:rPr>
        <w:t> </w:t>
      </w:r>
      <w:r>
        <w:rPr>
          <w:color w:val="231F20"/>
          <w:w w:val="105"/>
        </w:rPr>
        <w:t>se</w:t>
      </w:r>
      <w:r>
        <w:rPr>
          <w:color w:val="231F20"/>
          <w:spacing w:val="-16"/>
          <w:w w:val="105"/>
        </w:rPr>
        <w:t> </w:t>
      </w:r>
      <w:r>
        <w:rPr>
          <w:color w:val="231F20"/>
          <w:w w:val="105"/>
        </w:rPr>
        <w:t>han</w:t>
      </w:r>
      <w:r>
        <w:rPr>
          <w:color w:val="231F20"/>
          <w:spacing w:val="-16"/>
          <w:w w:val="105"/>
        </w:rPr>
        <w:t> </w:t>
      </w:r>
      <w:r>
        <w:rPr>
          <w:color w:val="231F20"/>
          <w:w w:val="105"/>
        </w:rPr>
        <w:t>realizado</w:t>
      </w:r>
      <w:r>
        <w:rPr>
          <w:color w:val="231F20"/>
          <w:spacing w:val="-16"/>
          <w:w w:val="105"/>
        </w:rPr>
        <w:t> </w:t>
      </w:r>
      <w:r>
        <w:rPr>
          <w:color w:val="231F20"/>
          <w:w w:val="105"/>
        </w:rPr>
        <w:t>42</w:t>
      </w:r>
      <w:r>
        <w:rPr>
          <w:color w:val="231F20"/>
          <w:spacing w:val="-16"/>
          <w:w w:val="105"/>
        </w:rPr>
        <w:t> </w:t>
      </w:r>
      <w:r>
        <w:rPr>
          <w:color w:val="231F20"/>
          <w:w w:val="105"/>
        </w:rPr>
        <w:t>obras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cabecera,</w:t>
      </w:r>
      <w:r>
        <w:rPr>
          <w:color w:val="231F20"/>
          <w:spacing w:val="-16"/>
          <w:w w:val="105"/>
        </w:rPr>
        <w:t> </w:t>
      </w:r>
      <w:r>
        <w:rPr>
          <w:color w:val="231F20"/>
          <w:spacing w:val="-2"/>
          <w:w w:val="105"/>
        </w:rPr>
        <w:t>siendo</w:t>
      </w:r>
      <w:r>
        <w:rPr>
          <w:color w:val="231F20"/>
          <w:spacing w:val="-16"/>
          <w:w w:val="105"/>
        </w:rPr>
        <w:t> </w:t>
      </w:r>
      <w:r>
        <w:rPr>
          <w:color w:val="231F20"/>
          <w:w w:val="105"/>
        </w:rPr>
        <w:t>el espacio</w:t>
      </w:r>
      <w:r>
        <w:rPr>
          <w:color w:val="231F20"/>
          <w:spacing w:val="-19"/>
          <w:w w:val="105"/>
        </w:rPr>
        <w:t> </w:t>
      </w:r>
      <w:r>
        <w:rPr>
          <w:color w:val="231F20"/>
          <w:w w:val="105"/>
        </w:rPr>
        <w:t>con</w:t>
      </w:r>
      <w:r>
        <w:rPr>
          <w:color w:val="231F20"/>
          <w:spacing w:val="-19"/>
          <w:w w:val="105"/>
        </w:rPr>
        <w:t> </w:t>
      </w:r>
      <w:r>
        <w:rPr>
          <w:color w:val="231F20"/>
          <w:w w:val="105"/>
        </w:rPr>
        <w:t>mayor</w:t>
      </w:r>
      <w:r>
        <w:rPr>
          <w:color w:val="231F20"/>
          <w:spacing w:val="-19"/>
          <w:w w:val="105"/>
        </w:rPr>
        <w:t> </w:t>
      </w:r>
      <w:r>
        <w:rPr>
          <w:color w:val="231F20"/>
          <w:w w:val="105"/>
        </w:rPr>
        <w:t>inversión</w:t>
      </w:r>
      <w:r>
        <w:rPr>
          <w:color w:val="231F20"/>
          <w:spacing w:val="-19"/>
          <w:w w:val="105"/>
        </w:rPr>
        <w:t> </w:t>
      </w:r>
      <w:r>
        <w:rPr>
          <w:color w:val="231F20"/>
          <w:w w:val="105"/>
        </w:rPr>
        <w:t>en</w:t>
      </w:r>
      <w:r>
        <w:rPr>
          <w:color w:val="231F20"/>
          <w:spacing w:val="-19"/>
          <w:w w:val="105"/>
        </w:rPr>
        <w:t> </w:t>
      </w:r>
      <w:r>
        <w:rPr>
          <w:color w:val="231F20"/>
          <w:w w:val="105"/>
        </w:rPr>
        <w:t>infraestructura.</w:t>
      </w:r>
      <w:r>
        <w:rPr>
          <w:color w:val="231F20"/>
          <w:spacing w:val="-19"/>
          <w:w w:val="105"/>
        </w:rPr>
        <w:t> </w:t>
      </w:r>
      <w:r>
        <w:rPr>
          <w:color w:val="231F20"/>
          <w:w w:val="105"/>
        </w:rPr>
        <w:t>Esto</w:t>
      </w:r>
      <w:r>
        <w:rPr>
          <w:color w:val="231F20"/>
          <w:spacing w:val="-19"/>
          <w:w w:val="105"/>
        </w:rPr>
        <w:t> </w:t>
      </w:r>
      <w:r>
        <w:rPr>
          <w:color w:val="231F20"/>
          <w:w w:val="105"/>
        </w:rPr>
        <w:t>claramente</w:t>
      </w:r>
      <w:r>
        <w:rPr>
          <w:color w:val="231F20"/>
          <w:spacing w:val="-19"/>
          <w:w w:val="105"/>
        </w:rPr>
        <w:t> </w:t>
      </w:r>
      <w:r>
        <w:rPr>
          <w:color w:val="231F20"/>
          <w:w w:val="105"/>
        </w:rPr>
        <w:t>contraviene</w:t>
      </w:r>
      <w:r>
        <w:rPr>
          <w:color w:val="231F20"/>
          <w:spacing w:val="-19"/>
          <w:w w:val="105"/>
        </w:rPr>
        <w:t> </w:t>
      </w:r>
      <w:r>
        <w:rPr>
          <w:color w:val="231F20"/>
          <w:w w:val="105"/>
        </w:rPr>
        <w:t>lo</w:t>
      </w:r>
      <w:r>
        <w:rPr>
          <w:color w:val="231F20"/>
          <w:spacing w:val="-19"/>
          <w:w w:val="105"/>
        </w:rPr>
        <w:t> </w:t>
      </w:r>
      <w:r>
        <w:rPr>
          <w:color w:val="231F20"/>
          <w:w w:val="105"/>
        </w:rPr>
        <w:t>plasma- do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Plan</w:t>
      </w:r>
      <w:r>
        <w:rPr>
          <w:color w:val="231F20"/>
          <w:spacing w:val="-7"/>
          <w:w w:val="105"/>
        </w:rPr>
        <w:t> </w:t>
      </w:r>
      <w:r>
        <w:rPr>
          <w:color w:val="231F20"/>
          <w:w w:val="105"/>
        </w:rPr>
        <w:t>de</w:t>
      </w:r>
      <w:r>
        <w:rPr>
          <w:color w:val="231F20"/>
          <w:spacing w:val="-7"/>
          <w:w w:val="105"/>
        </w:rPr>
        <w:t> </w:t>
      </w:r>
      <w:r>
        <w:rPr>
          <w:color w:val="231F20"/>
          <w:w w:val="105"/>
        </w:rPr>
        <w:t>Desarrollo</w:t>
      </w:r>
      <w:r>
        <w:rPr>
          <w:color w:val="231F20"/>
          <w:spacing w:val="-7"/>
          <w:w w:val="105"/>
        </w:rPr>
        <w:t> </w:t>
      </w:r>
      <w:r>
        <w:rPr>
          <w:color w:val="231F20"/>
          <w:w w:val="105"/>
        </w:rPr>
        <w:t>Municipal</w:t>
      </w:r>
      <w:r>
        <w:rPr>
          <w:color w:val="231F20"/>
          <w:spacing w:val="-7"/>
          <w:w w:val="105"/>
        </w:rPr>
        <w:t> </w:t>
      </w:r>
      <w:r>
        <w:rPr>
          <w:color w:val="231F20"/>
          <w:w w:val="105"/>
        </w:rPr>
        <w:t>y</w:t>
      </w:r>
      <w:r>
        <w:rPr>
          <w:color w:val="231F20"/>
          <w:spacing w:val="-7"/>
          <w:w w:val="105"/>
        </w:rPr>
        <w:t> </w:t>
      </w:r>
      <w:r>
        <w:rPr>
          <w:color w:val="231F20"/>
          <w:w w:val="105"/>
        </w:rPr>
        <w:t>genera</w:t>
      </w:r>
      <w:r>
        <w:rPr>
          <w:color w:val="231F20"/>
          <w:spacing w:val="-7"/>
          <w:w w:val="105"/>
        </w:rPr>
        <w:t> </w:t>
      </w:r>
      <w:r>
        <w:rPr>
          <w:color w:val="231F20"/>
          <w:w w:val="105"/>
        </w:rPr>
        <w:t>conflictos</w:t>
      </w:r>
      <w:r>
        <w:rPr>
          <w:color w:val="231F20"/>
          <w:spacing w:val="-7"/>
          <w:w w:val="105"/>
        </w:rPr>
        <w:t> </w:t>
      </w:r>
      <w:r>
        <w:rPr>
          <w:color w:val="231F20"/>
          <w:spacing w:val="2"/>
          <w:w w:val="105"/>
        </w:rPr>
        <w:t>al</w:t>
      </w:r>
      <w:r>
        <w:rPr>
          <w:color w:val="231F20"/>
          <w:spacing w:val="-7"/>
          <w:w w:val="105"/>
        </w:rPr>
        <w:t> </w:t>
      </w:r>
      <w:r>
        <w:rPr>
          <w:color w:val="231F20"/>
          <w:w w:val="105"/>
        </w:rPr>
        <w:t>interior</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sesiones</w:t>
      </w:r>
      <w:r>
        <w:rPr>
          <w:color w:val="231F20"/>
          <w:spacing w:val="-7"/>
          <w:w w:val="105"/>
        </w:rPr>
        <w:t> </w:t>
      </w:r>
      <w:r>
        <w:rPr>
          <w:color w:val="231F20"/>
          <w:w w:val="105"/>
        </w:rPr>
        <w:t>de cabildo.</w:t>
      </w:r>
      <w:r>
        <w:rPr>
          <w:color w:val="231F20"/>
          <w:spacing w:val="-19"/>
          <w:w w:val="105"/>
        </w:rPr>
        <w:t> </w:t>
      </w:r>
      <w:r>
        <w:rPr>
          <w:color w:val="231F20"/>
          <w:w w:val="105"/>
        </w:rPr>
        <w:t>Los</w:t>
      </w:r>
      <w:r>
        <w:rPr>
          <w:color w:val="231F20"/>
          <w:spacing w:val="-19"/>
          <w:w w:val="105"/>
        </w:rPr>
        <w:t> </w:t>
      </w:r>
      <w:r>
        <w:rPr>
          <w:color w:val="231F20"/>
          <w:w w:val="105"/>
        </w:rPr>
        <w:t>regidores</w:t>
      </w:r>
      <w:r>
        <w:rPr>
          <w:color w:val="231F20"/>
          <w:spacing w:val="-19"/>
          <w:w w:val="105"/>
        </w:rPr>
        <w:t> </w:t>
      </w:r>
      <w:r>
        <w:rPr>
          <w:color w:val="231F20"/>
          <w:w w:val="105"/>
        </w:rPr>
        <w:t>expresan</w:t>
      </w:r>
      <w:r>
        <w:rPr>
          <w:color w:val="231F20"/>
          <w:spacing w:val="-19"/>
          <w:w w:val="105"/>
        </w:rPr>
        <w:t> </w:t>
      </w:r>
      <w:r>
        <w:rPr>
          <w:color w:val="231F20"/>
          <w:w w:val="105"/>
        </w:rPr>
        <w:t>de</w:t>
      </w:r>
      <w:r>
        <w:rPr>
          <w:color w:val="231F20"/>
          <w:spacing w:val="-19"/>
          <w:w w:val="105"/>
        </w:rPr>
        <w:t> </w:t>
      </w:r>
      <w:r>
        <w:rPr>
          <w:color w:val="231F20"/>
          <w:w w:val="105"/>
        </w:rPr>
        <w:t>manera</w:t>
      </w:r>
      <w:r>
        <w:rPr>
          <w:color w:val="231F20"/>
          <w:spacing w:val="-19"/>
          <w:w w:val="105"/>
        </w:rPr>
        <w:t> </w:t>
      </w:r>
      <w:r>
        <w:rPr>
          <w:color w:val="231F20"/>
          <w:w w:val="105"/>
        </w:rPr>
        <w:t>constante</w:t>
      </w:r>
      <w:r>
        <w:rPr>
          <w:color w:val="231F20"/>
          <w:spacing w:val="-19"/>
          <w:w w:val="105"/>
        </w:rPr>
        <w:t> </w:t>
      </w:r>
      <w:r>
        <w:rPr>
          <w:color w:val="231F20"/>
          <w:w w:val="105"/>
        </w:rPr>
        <w:t>su</w:t>
      </w:r>
      <w:r>
        <w:rPr>
          <w:color w:val="231F20"/>
          <w:spacing w:val="-19"/>
          <w:w w:val="105"/>
        </w:rPr>
        <w:t> </w:t>
      </w:r>
      <w:r>
        <w:rPr>
          <w:color w:val="231F20"/>
          <w:w w:val="105"/>
        </w:rPr>
        <w:t>malestar</w:t>
      </w:r>
      <w:r>
        <w:rPr>
          <w:color w:val="231F20"/>
          <w:spacing w:val="-19"/>
          <w:w w:val="105"/>
        </w:rPr>
        <w:t> </w:t>
      </w:r>
      <w:r>
        <w:rPr>
          <w:color w:val="231F20"/>
          <w:w w:val="105"/>
        </w:rPr>
        <w:t>sobre</w:t>
      </w:r>
      <w:r>
        <w:rPr>
          <w:color w:val="231F20"/>
          <w:spacing w:val="-19"/>
          <w:w w:val="105"/>
        </w:rPr>
        <w:t> </w:t>
      </w:r>
      <w:r>
        <w:rPr>
          <w:color w:val="231F20"/>
          <w:w w:val="105"/>
        </w:rPr>
        <w:t>esta</w:t>
      </w:r>
      <w:r>
        <w:rPr>
          <w:color w:val="231F20"/>
          <w:spacing w:val="-19"/>
          <w:w w:val="105"/>
        </w:rPr>
        <w:t> </w:t>
      </w:r>
      <w:r>
        <w:rPr>
          <w:color w:val="231F20"/>
          <w:w w:val="105"/>
        </w:rPr>
        <w:t>inequitativa asignación</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recursos</w:t>
      </w:r>
      <w:r>
        <w:rPr>
          <w:color w:val="231F20"/>
          <w:spacing w:val="-22"/>
          <w:w w:val="105"/>
        </w:rPr>
        <w:t> </w:t>
      </w:r>
      <w:r>
        <w:rPr>
          <w:color w:val="231F20"/>
          <w:spacing w:val="-7"/>
          <w:w w:val="105"/>
        </w:rPr>
        <w:t>y,</w:t>
      </w:r>
      <w:r>
        <w:rPr>
          <w:color w:val="231F20"/>
          <w:spacing w:val="-22"/>
          <w:w w:val="105"/>
        </w:rPr>
        <w:t> </w:t>
      </w:r>
      <w:r>
        <w:rPr>
          <w:color w:val="231F20"/>
          <w:w w:val="105"/>
        </w:rPr>
        <w:t>por</w:t>
      </w:r>
      <w:r>
        <w:rPr>
          <w:color w:val="231F20"/>
          <w:spacing w:val="-22"/>
          <w:w w:val="105"/>
        </w:rPr>
        <w:t> </w:t>
      </w:r>
      <w:r>
        <w:rPr>
          <w:color w:val="231F20"/>
          <w:w w:val="105"/>
        </w:rPr>
        <w:t>tanto,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obras</w:t>
      </w:r>
      <w:r>
        <w:rPr>
          <w:color w:val="231F20"/>
          <w:spacing w:val="-22"/>
          <w:w w:val="105"/>
        </w:rPr>
        <w:t> </w:t>
      </w:r>
      <w:r>
        <w:rPr>
          <w:color w:val="231F20"/>
          <w:w w:val="105"/>
        </w:rPr>
        <w:t>de</w:t>
      </w:r>
      <w:r>
        <w:rPr>
          <w:color w:val="231F20"/>
          <w:spacing w:val="-22"/>
          <w:w w:val="105"/>
        </w:rPr>
        <w:t> </w:t>
      </w:r>
      <w:r>
        <w:rPr>
          <w:color w:val="231F20"/>
          <w:w w:val="105"/>
        </w:rPr>
        <w:t>beneficio</w:t>
      </w:r>
      <w:r>
        <w:rPr>
          <w:color w:val="231F20"/>
          <w:spacing w:val="-22"/>
          <w:w w:val="105"/>
        </w:rPr>
        <w:t> </w:t>
      </w:r>
      <w:r>
        <w:rPr>
          <w:color w:val="231F20"/>
          <w:w w:val="105"/>
        </w:rPr>
        <w:t>social</w:t>
      </w:r>
      <w:r>
        <w:rPr>
          <w:color w:val="231F20"/>
          <w:spacing w:val="-22"/>
          <w:w w:val="105"/>
        </w:rPr>
        <w:t> </w:t>
      </w:r>
      <w:r>
        <w:rPr>
          <w:color w:val="231F20"/>
          <w:w w:val="105"/>
        </w:rPr>
        <w:t>solicitando</w:t>
      </w:r>
      <w:r>
        <w:rPr>
          <w:color w:val="231F20"/>
          <w:spacing w:val="-22"/>
          <w:w w:val="105"/>
        </w:rPr>
        <w:t> </w:t>
      </w:r>
      <w:r>
        <w:rPr>
          <w:color w:val="231F20"/>
          <w:w w:val="105"/>
        </w:rPr>
        <w:t>que</w:t>
      </w:r>
      <w:r>
        <w:rPr>
          <w:color w:val="231F20"/>
          <w:spacing w:val="-22"/>
          <w:w w:val="105"/>
        </w:rPr>
        <w:t> </w:t>
      </w:r>
      <w:r>
        <w:rPr>
          <w:color w:val="231F20"/>
          <w:w w:val="105"/>
        </w:rPr>
        <w:t>se realicen</w:t>
      </w:r>
      <w:r>
        <w:rPr>
          <w:color w:val="231F20"/>
          <w:spacing w:val="-20"/>
          <w:w w:val="105"/>
        </w:rPr>
        <w:t> </w:t>
      </w:r>
      <w:r>
        <w:rPr>
          <w:color w:val="231F20"/>
          <w:w w:val="105"/>
        </w:rPr>
        <w:t>obras</w:t>
      </w:r>
      <w:r>
        <w:rPr>
          <w:color w:val="231F20"/>
          <w:spacing w:val="-20"/>
          <w:w w:val="105"/>
        </w:rPr>
        <w:t> </w:t>
      </w:r>
      <w:r>
        <w:rPr>
          <w:color w:val="231F20"/>
          <w:w w:val="105"/>
        </w:rPr>
        <w:t>en</w:t>
      </w:r>
      <w:r>
        <w:rPr>
          <w:color w:val="231F20"/>
          <w:spacing w:val="-20"/>
          <w:w w:val="105"/>
        </w:rPr>
        <w:t> </w:t>
      </w:r>
      <w:r>
        <w:rPr>
          <w:color w:val="231F20"/>
          <w:w w:val="105"/>
        </w:rPr>
        <w:t>beneficio</w:t>
      </w:r>
      <w:r>
        <w:rPr>
          <w:color w:val="231F20"/>
          <w:spacing w:val="-20"/>
          <w:w w:val="105"/>
        </w:rPr>
        <w:t> </w:t>
      </w:r>
      <w:r>
        <w:rPr>
          <w:color w:val="231F20"/>
          <w:w w:val="105"/>
        </w:rPr>
        <w:t>de</w:t>
      </w:r>
      <w:r>
        <w:rPr>
          <w:color w:val="231F20"/>
          <w:spacing w:val="-20"/>
          <w:w w:val="105"/>
        </w:rPr>
        <w:t> </w:t>
      </w:r>
      <w:r>
        <w:rPr>
          <w:color w:val="231F20"/>
          <w:w w:val="105"/>
        </w:rPr>
        <w:t>todo</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(Actas</w:t>
      </w:r>
      <w:r>
        <w:rPr>
          <w:color w:val="231F20"/>
          <w:spacing w:val="-20"/>
          <w:w w:val="105"/>
        </w:rPr>
        <w:t> </w:t>
      </w:r>
      <w:r>
        <w:rPr>
          <w:color w:val="231F20"/>
          <w:w w:val="105"/>
        </w:rPr>
        <w:t>de</w:t>
      </w:r>
      <w:r>
        <w:rPr>
          <w:color w:val="231F20"/>
          <w:spacing w:val="-20"/>
          <w:w w:val="105"/>
        </w:rPr>
        <w:t> </w:t>
      </w:r>
      <w:r>
        <w:rPr>
          <w:color w:val="231F20"/>
          <w:w w:val="105"/>
        </w:rPr>
        <w:t>cabildo:</w:t>
      </w:r>
      <w:r>
        <w:rPr>
          <w:color w:val="231F20"/>
          <w:spacing w:val="-20"/>
          <w:w w:val="105"/>
        </w:rPr>
        <w:t> </w:t>
      </w:r>
      <w:r>
        <w:rPr>
          <w:color w:val="231F20"/>
          <w:spacing w:val="3"/>
          <w:w w:val="105"/>
        </w:rPr>
        <w:t>2006,</w:t>
      </w:r>
      <w:r>
        <w:rPr>
          <w:color w:val="231F20"/>
          <w:spacing w:val="-20"/>
          <w:w w:val="105"/>
        </w:rPr>
        <w:t> </w:t>
      </w:r>
      <w:r>
        <w:rPr>
          <w:color w:val="231F20"/>
          <w:spacing w:val="-6"/>
          <w:w w:val="105"/>
        </w:rPr>
        <w:t>18).</w:t>
      </w:r>
    </w:p>
    <w:p>
      <w:pPr>
        <w:pStyle w:val="BodyText"/>
        <w:spacing w:line="285" w:lineRule="auto" w:before="1"/>
        <w:ind w:left="677" w:right="106"/>
        <w:jc w:val="both"/>
      </w:pPr>
      <w:r>
        <w:rPr>
          <w:color w:val="231F20"/>
          <w:w w:val="105"/>
        </w:rPr>
        <w:t>…nosotros nos basamos en cuestiones de necesidades…por </w:t>
      </w:r>
      <w:r>
        <w:rPr>
          <w:color w:val="231F20"/>
          <w:spacing w:val="-3"/>
          <w:w w:val="105"/>
        </w:rPr>
        <w:t>ejemplo, </w:t>
      </w:r>
      <w:r>
        <w:rPr>
          <w:color w:val="231F20"/>
          <w:w w:val="105"/>
        </w:rPr>
        <w:t>antes las obras y montos se repartían con base en el número de los habitantes de cada co- munidad,</w:t>
      </w:r>
      <w:r>
        <w:rPr>
          <w:color w:val="231F20"/>
          <w:spacing w:val="-14"/>
          <w:w w:val="105"/>
        </w:rPr>
        <w:t> </w:t>
      </w:r>
      <w:r>
        <w:rPr>
          <w:color w:val="231F20"/>
          <w:w w:val="105"/>
        </w:rPr>
        <w:t>de</w:t>
      </w:r>
      <w:r>
        <w:rPr>
          <w:color w:val="231F20"/>
          <w:spacing w:val="-14"/>
          <w:w w:val="105"/>
        </w:rPr>
        <w:t> </w:t>
      </w:r>
      <w:r>
        <w:rPr>
          <w:color w:val="231F20"/>
          <w:spacing w:val="2"/>
          <w:w w:val="105"/>
        </w:rPr>
        <w:t>tal</w:t>
      </w:r>
      <w:r>
        <w:rPr>
          <w:color w:val="231F20"/>
          <w:spacing w:val="-14"/>
          <w:w w:val="105"/>
        </w:rPr>
        <w:t> </w:t>
      </w:r>
      <w:r>
        <w:rPr>
          <w:color w:val="231F20"/>
          <w:w w:val="105"/>
        </w:rPr>
        <w:t>suerte</w:t>
      </w:r>
      <w:r>
        <w:rPr>
          <w:color w:val="231F20"/>
          <w:spacing w:val="-14"/>
          <w:w w:val="105"/>
        </w:rPr>
        <w:t> </w:t>
      </w:r>
      <w:r>
        <w:rPr>
          <w:color w:val="231F20"/>
          <w:w w:val="105"/>
        </w:rPr>
        <w:t>que</w:t>
      </w:r>
      <w:r>
        <w:rPr>
          <w:color w:val="231F20"/>
          <w:spacing w:val="-14"/>
          <w:w w:val="105"/>
        </w:rPr>
        <w:t> </w:t>
      </w:r>
      <w:r>
        <w:rPr>
          <w:color w:val="231F20"/>
          <w:spacing w:val="-3"/>
          <w:w w:val="105"/>
        </w:rPr>
        <w:t>siempre</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cabecera</w:t>
      </w:r>
      <w:r>
        <w:rPr>
          <w:color w:val="231F20"/>
          <w:spacing w:val="-14"/>
          <w:w w:val="105"/>
        </w:rPr>
        <w:t> </w:t>
      </w:r>
      <w:r>
        <w:rPr>
          <w:color w:val="231F20"/>
          <w:w w:val="105"/>
        </w:rPr>
        <w:t>le</w:t>
      </w:r>
      <w:r>
        <w:rPr>
          <w:color w:val="231F20"/>
          <w:spacing w:val="-14"/>
          <w:w w:val="105"/>
        </w:rPr>
        <w:t> </w:t>
      </w:r>
      <w:r>
        <w:rPr>
          <w:color w:val="231F20"/>
          <w:w w:val="105"/>
        </w:rPr>
        <w:t>tocaba</w:t>
      </w:r>
      <w:r>
        <w:rPr>
          <w:color w:val="231F20"/>
          <w:spacing w:val="-14"/>
          <w:w w:val="105"/>
        </w:rPr>
        <w:t> </w:t>
      </w:r>
      <w:r>
        <w:rPr>
          <w:color w:val="231F20"/>
          <w:w w:val="105"/>
        </w:rPr>
        <w:t>un</w:t>
      </w:r>
      <w:r>
        <w:rPr>
          <w:color w:val="231F20"/>
          <w:spacing w:val="-14"/>
          <w:w w:val="105"/>
        </w:rPr>
        <w:t> </w:t>
      </w:r>
      <w:r>
        <w:rPr>
          <w:color w:val="231F20"/>
          <w:w w:val="105"/>
        </w:rPr>
        <w:t>poquito</w:t>
      </w:r>
      <w:r>
        <w:rPr>
          <w:color w:val="231F20"/>
          <w:spacing w:val="-14"/>
          <w:w w:val="105"/>
        </w:rPr>
        <w:t> </w:t>
      </w:r>
      <w:r>
        <w:rPr>
          <w:color w:val="231F20"/>
          <w:w w:val="105"/>
        </w:rPr>
        <w:t>más…</w:t>
      </w:r>
      <w:r>
        <w:rPr>
          <w:color w:val="231F20"/>
          <w:spacing w:val="-14"/>
          <w:w w:val="105"/>
        </w:rPr>
        <w:t> </w:t>
      </w:r>
      <w:r>
        <w:rPr>
          <w:color w:val="231F20"/>
          <w:spacing w:val="-3"/>
          <w:w w:val="105"/>
        </w:rPr>
        <w:t>Pero </w:t>
      </w:r>
      <w:r>
        <w:rPr>
          <w:color w:val="231F20"/>
          <w:w w:val="105"/>
        </w:rPr>
        <w:t>esto</w:t>
      </w:r>
      <w:r>
        <w:rPr>
          <w:color w:val="231F20"/>
          <w:spacing w:val="-15"/>
          <w:w w:val="105"/>
        </w:rPr>
        <w:t> </w:t>
      </w:r>
      <w:r>
        <w:rPr>
          <w:color w:val="231F20"/>
          <w:w w:val="105"/>
        </w:rPr>
        <w:t>no</w:t>
      </w:r>
      <w:r>
        <w:rPr>
          <w:color w:val="231F20"/>
          <w:spacing w:val="-15"/>
          <w:w w:val="105"/>
        </w:rPr>
        <w:t> </w:t>
      </w:r>
      <w:r>
        <w:rPr>
          <w:color w:val="231F20"/>
          <w:w w:val="105"/>
        </w:rPr>
        <w:t>funcionaba</w:t>
      </w:r>
      <w:r>
        <w:rPr>
          <w:color w:val="231F20"/>
          <w:spacing w:val="-15"/>
          <w:w w:val="105"/>
        </w:rPr>
        <w:t> </w:t>
      </w:r>
      <w:r>
        <w:rPr>
          <w:color w:val="231F20"/>
          <w:w w:val="105"/>
        </w:rPr>
        <w:t>bien,</w:t>
      </w:r>
      <w:r>
        <w:rPr>
          <w:color w:val="231F20"/>
          <w:spacing w:val="-15"/>
          <w:w w:val="105"/>
        </w:rPr>
        <w:t> </w:t>
      </w:r>
      <w:r>
        <w:rPr>
          <w:color w:val="231F20"/>
          <w:w w:val="105"/>
        </w:rPr>
        <w:t>tenemos</w:t>
      </w:r>
      <w:r>
        <w:rPr>
          <w:color w:val="231F20"/>
          <w:spacing w:val="-15"/>
          <w:w w:val="105"/>
        </w:rPr>
        <w:t> </w:t>
      </w:r>
      <w:r>
        <w:rPr>
          <w:color w:val="231F20"/>
          <w:w w:val="105"/>
        </w:rPr>
        <w:t>que</w:t>
      </w:r>
      <w:r>
        <w:rPr>
          <w:color w:val="231F20"/>
          <w:spacing w:val="-15"/>
          <w:w w:val="105"/>
        </w:rPr>
        <w:t> </w:t>
      </w:r>
      <w:r>
        <w:rPr>
          <w:color w:val="231F20"/>
          <w:spacing w:val="-3"/>
          <w:w w:val="105"/>
        </w:rPr>
        <w:t>Popo</w:t>
      </w:r>
      <w:r>
        <w:rPr>
          <w:color w:val="231F20"/>
          <w:spacing w:val="-15"/>
          <w:w w:val="105"/>
        </w:rPr>
        <w:t> </w:t>
      </w:r>
      <w:r>
        <w:rPr>
          <w:color w:val="231F20"/>
          <w:w w:val="105"/>
        </w:rPr>
        <w:t>Park</w:t>
      </w:r>
      <w:r>
        <w:rPr>
          <w:color w:val="231F20"/>
          <w:spacing w:val="-15"/>
          <w:w w:val="105"/>
        </w:rPr>
        <w:t> </w:t>
      </w:r>
      <w:r>
        <w:rPr>
          <w:color w:val="231F20"/>
          <w:w w:val="105"/>
        </w:rPr>
        <w:t>y</w:t>
      </w:r>
      <w:r>
        <w:rPr>
          <w:color w:val="231F20"/>
          <w:spacing w:val="-15"/>
          <w:w w:val="105"/>
        </w:rPr>
        <w:t> </w:t>
      </w:r>
      <w:r>
        <w:rPr>
          <w:color w:val="231F20"/>
          <w:w w:val="105"/>
        </w:rPr>
        <w:t>Delicias,</w:t>
      </w:r>
      <w:r>
        <w:rPr>
          <w:color w:val="231F20"/>
          <w:spacing w:val="-15"/>
          <w:w w:val="105"/>
        </w:rPr>
        <w:t> </w:t>
      </w:r>
      <w:r>
        <w:rPr>
          <w:color w:val="231F20"/>
          <w:w w:val="105"/>
        </w:rPr>
        <w:t>las</w:t>
      </w:r>
      <w:r>
        <w:rPr>
          <w:color w:val="231F20"/>
          <w:spacing w:val="-15"/>
          <w:w w:val="105"/>
        </w:rPr>
        <w:t> </w:t>
      </w:r>
      <w:r>
        <w:rPr>
          <w:color w:val="231F20"/>
          <w:w w:val="105"/>
        </w:rPr>
        <w:t>delegaciones</w:t>
      </w:r>
      <w:r>
        <w:rPr>
          <w:color w:val="231F20"/>
          <w:spacing w:val="-15"/>
          <w:w w:val="105"/>
        </w:rPr>
        <w:t> </w:t>
      </w:r>
      <w:r>
        <w:rPr>
          <w:color w:val="231F20"/>
          <w:w w:val="105"/>
        </w:rPr>
        <w:t>más pequeñas,</w:t>
      </w:r>
      <w:r>
        <w:rPr>
          <w:color w:val="231F20"/>
          <w:spacing w:val="-9"/>
          <w:w w:val="105"/>
        </w:rPr>
        <w:t> </w:t>
      </w:r>
      <w:r>
        <w:rPr>
          <w:color w:val="231F20"/>
          <w:w w:val="105"/>
        </w:rPr>
        <w:t>tienen</w:t>
      </w:r>
      <w:r>
        <w:rPr>
          <w:color w:val="231F20"/>
          <w:spacing w:val="-9"/>
          <w:w w:val="105"/>
        </w:rPr>
        <w:t> </w:t>
      </w:r>
      <w:r>
        <w:rPr>
          <w:color w:val="231F20"/>
          <w:w w:val="105"/>
        </w:rPr>
        <w:t>varias</w:t>
      </w:r>
      <w:r>
        <w:rPr>
          <w:color w:val="231F20"/>
          <w:spacing w:val="-9"/>
          <w:w w:val="105"/>
        </w:rPr>
        <w:t> </w:t>
      </w:r>
      <w:r>
        <w:rPr>
          <w:color w:val="231F20"/>
          <w:w w:val="105"/>
        </w:rPr>
        <w:t>necesidades,</w:t>
      </w:r>
      <w:r>
        <w:rPr>
          <w:color w:val="231F20"/>
          <w:spacing w:val="-9"/>
          <w:w w:val="105"/>
        </w:rPr>
        <w:t> </w:t>
      </w:r>
      <w:r>
        <w:rPr>
          <w:color w:val="231F20"/>
          <w:w w:val="105"/>
        </w:rPr>
        <w:t>entre</w:t>
      </w:r>
      <w:r>
        <w:rPr>
          <w:color w:val="231F20"/>
          <w:spacing w:val="-9"/>
          <w:w w:val="105"/>
        </w:rPr>
        <w:t> </w:t>
      </w:r>
      <w:r>
        <w:rPr>
          <w:color w:val="231F20"/>
          <w:w w:val="105"/>
        </w:rPr>
        <w:t>ellas</w:t>
      </w:r>
      <w:r>
        <w:rPr>
          <w:color w:val="231F20"/>
          <w:spacing w:val="-9"/>
          <w:w w:val="105"/>
        </w:rPr>
        <w:t> </w:t>
      </w:r>
      <w:r>
        <w:rPr>
          <w:color w:val="231F20"/>
          <w:w w:val="105"/>
        </w:rPr>
        <w:t>la</w:t>
      </w:r>
      <w:r>
        <w:rPr>
          <w:color w:val="231F20"/>
          <w:spacing w:val="-9"/>
          <w:w w:val="105"/>
        </w:rPr>
        <w:t> </w:t>
      </w:r>
      <w:r>
        <w:rPr>
          <w:color w:val="231F20"/>
          <w:w w:val="105"/>
        </w:rPr>
        <w:t>construcción</w:t>
      </w:r>
      <w:r>
        <w:rPr>
          <w:color w:val="231F20"/>
          <w:spacing w:val="-9"/>
          <w:w w:val="105"/>
        </w:rPr>
        <w:t> </w:t>
      </w:r>
      <w:r>
        <w:rPr>
          <w:color w:val="231F20"/>
          <w:w w:val="105"/>
        </w:rPr>
        <w:t>de</w:t>
      </w:r>
      <w:r>
        <w:rPr>
          <w:color w:val="231F20"/>
          <w:spacing w:val="-9"/>
          <w:w w:val="105"/>
        </w:rPr>
        <w:t> </w:t>
      </w:r>
      <w:r>
        <w:rPr>
          <w:color w:val="231F20"/>
          <w:w w:val="105"/>
        </w:rPr>
        <w:t>más</w:t>
      </w:r>
      <w:r>
        <w:rPr>
          <w:color w:val="231F20"/>
          <w:spacing w:val="-9"/>
          <w:w w:val="105"/>
        </w:rPr>
        <w:t> </w:t>
      </w:r>
      <w:r>
        <w:rPr>
          <w:color w:val="231F20"/>
          <w:w w:val="105"/>
        </w:rPr>
        <w:t>escuelas, ya</w:t>
      </w:r>
      <w:r>
        <w:rPr>
          <w:color w:val="231F20"/>
          <w:spacing w:val="-12"/>
          <w:w w:val="105"/>
        </w:rPr>
        <w:t> </w:t>
      </w:r>
      <w:r>
        <w:rPr>
          <w:color w:val="231F20"/>
          <w:w w:val="105"/>
        </w:rPr>
        <w:t>que</w:t>
      </w:r>
      <w:r>
        <w:rPr>
          <w:color w:val="231F20"/>
          <w:spacing w:val="-12"/>
          <w:w w:val="105"/>
        </w:rPr>
        <w:t> </w:t>
      </w:r>
      <w:r>
        <w:rPr>
          <w:color w:val="231F20"/>
          <w:w w:val="105"/>
        </w:rPr>
        <w:t>las</w:t>
      </w:r>
      <w:r>
        <w:rPr>
          <w:color w:val="231F20"/>
          <w:spacing w:val="-12"/>
          <w:w w:val="105"/>
        </w:rPr>
        <w:t> </w:t>
      </w:r>
      <w:r>
        <w:rPr>
          <w:color w:val="231F20"/>
          <w:w w:val="105"/>
        </w:rPr>
        <w:t>que</w:t>
      </w:r>
      <w:r>
        <w:rPr>
          <w:color w:val="231F20"/>
          <w:spacing w:val="-12"/>
          <w:w w:val="105"/>
        </w:rPr>
        <w:t> </w:t>
      </w:r>
      <w:r>
        <w:rPr>
          <w:color w:val="231F20"/>
          <w:w w:val="105"/>
        </w:rPr>
        <w:t>tienen</w:t>
      </w:r>
      <w:r>
        <w:rPr>
          <w:color w:val="231F20"/>
          <w:spacing w:val="-12"/>
          <w:w w:val="105"/>
        </w:rPr>
        <w:t> </w:t>
      </w:r>
      <w:r>
        <w:rPr>
          <w:color w:val="231F20"/>
          <w:w w:val="105"/>
        </w:rPr>
        <w:t>funcionando</w:t>
      </w:r>
      <w:r>
        <w:rPr>
          <w:color w:val="231F20"/>
          <w:spacing w:val="-12"/>
          <w:w w:val="105"/>
        </w:rPr>
        <w:t> </w:t>
      </w:r>
      <w:r>
        <w:rPr>
          <w:color w:val="231F20"/>
          <w:w w:val="105"/>
        </w:rPr>
        <w:t>están</w:t>
      </w:r>
      <w:r>
        <w:rPr>
          <w:color w:val="231F20"/>
          <w:spacing w:val="-12"/>
          <w:w w:val="105"/>
        </w:rPr>
        <w:t> </w:t>
      </w:r>
      <w:r>
        <w:rPr>
          <w:color w:val="231F20"/>
          <w:w w:val="105"/>
        </w:rPr>
        <w:t>en</w:t>
      </w:r>
      <w:r>
        <w:rPr>
          <w:color w:val="231F20"/>
          <w:spacing w:val="-12"/>
          <w:w w:val="105"/>
        </w:rPr>
        <w:t> </w:t>
      </w:r>
      <w:r>
        <w:rPr>
          <w:color w:val="231F20"/>
          <w:w w:val="105"/>
        </w:rPr>
        <w:t>muy</w:t>
      </w:r>
      <w:r>
        <w:rPr>
          <w:color w:val="231F20"/>
          <w:spacing w:val="-12"/>
          <w:w w:val="105"/>
        </w:rPr>
        <w:t> </w:t>
      </w:r>
      <w:r>
        <w:rPr>
          <w:color w:val="231F20"/>
          <w:w w:val="105"/>
        </w:rPr>
        <w:t>malas</w:t>
      </w:r>
      <w:r>
        <w:rPr>
          <w:color w:val="231F20"/>
          <w:spacing w:val="-12"/>
          <w:w w:val="105"/>
        </w:rPr>
        <w:t> </w:t>
      </w:r>
      <w:r>
        <w:rPr>
          <w:color w:val="231F20"/>
          <w:w w:val="105"/>
        </w:rPr>
        <w:t>condiciones</w:t>
      </w:r>
      <w:r>
        <w:rPr>
          <w:color w:val="231F20"/>
          <w:spacing w:val="-12"/>
          <w:w w:val="105"/>
        </w:rPr>
        <w:t> </w:t>
      </w:r>
      <w:r>
        <w:rPr>
          <w:color w:val="231F20"/>
          <w:w w:val="105"/>
        </w:rPr>
        <w:t>(algunas</w:t>
      </w:r>
      <w:r>
        <w:rPr>
          <w:color w:val="231F20"/>
          <w:spacing w:val="-12"/>
          <w:w w:val="105"/>
        </w:rPr>
        <w:t> </w:t>
      </w:r>
      <w:r>
        <w:rPr>
          <w:color w:val="231F20"/>
          <w:w w:val="105"/>
        </w:rPr>
        <w:t>eran provisionales) y por tanto la necesidad de recursos era lo doble de lo que a ellas les correspondía. Entonces, </w:t>
      </w:r>
      <w:r>
        <w:rPr>
          <w:color w:val="231F20"/>
          <w:spacing w:val="2"/>
          <w:w w:val="105"/>
        </w:rPr>
        <w:t>al</w:t>
      </w:r>
      <w:r>
        <w:rPr>
          <w:color w:val="231F20"/>
          <w:spacing w:val="-39"/>
          <w:w w:val="105"/>
        </w:rPr>
        <w:t> </w:t>
      </w:r>
      <w:r>
        <w:rPr>
          <w:color w:val="231F20"/>
          <w:w w:val="105"/>
        </w:rPr>
        <w:t>no tener el recurso completo, lo que comúnmente la</w:t>
      </w:r>
      <w:r>
        <w:rPr>
          <w:color w:val="231F20"/>
          <w:spacing w:val="-5"/>
          <w:w w:val="105"/>
        </w:rPr>
        <w:t> </w:t>
      </w:r>
      <w:r>
        <w:rPr>
          <w:color w:val="231F20"/>
          <w:w w:val="105"/>
        </w:rPr>
        <w:t>gente</w:t>
      </w:r>
      <w:r>
        <w:rPr>
          <w:color w:val="231F20"/>
          <w:spacing w:val="-5"/>
          <w:w w:val="105"/>
        </w:rPr>
        <w:t> </w:t>
      </w:r>
      <w:r>
        <w:rPr>
          <w:color w:val="231F20"/>
          <w:w w:val="105"/>
        </w:rPr>
        <w:t>hacía</w:t>
      </w:r>
      <w:r>
        <w:rPr>
          <w:color w:val="231F20"/>
          <w:spacing w:val="-5"/>
          <w:w w:val="105"/>
        </w:rPr>
        <w:t> </w:t>
      </w:r>
      <w:r>
        <w:rPr>
          <w:color w:val="231F20"/>
          <w:w w:val="105"/>
        </w:rPr>
        <w:t>era</w:t>
      </w:r>
      <w:r>
        <w:rPr>
          <w:color w:val="231F20"/>
          <w:spacing w:val="-5"/>
          <w:w w:val="105"/>
        </w:rPr>
        <w:t> </w:t>
      </w:r>
      <w:r>
        <w:rPr>
          <w:color w:val="231F20"/>
          <w:spacing w:val="2"/>
          <w:w w:val="105"/>
        </w:rPr>
        <w:t>canalizar</w:t>
      </w:r>
      <w:r>
        <w:rPr>
          <w:color w:val="231F20"/>
          <w:spacing w:val="-5"/>
          <w:w w:val="105"/>
        </w:rPr>
        <w:t> </w:t>
      </w:r>
      <w:r>
        <w:rPr>
          <w:color w:val="231F20"/>
          <w:w w:val="105"/>
        </w:rPr>
        <w:t>este</w:t>
      </w:r>
      <w:r>
        <w:rPr>
          <w:color w:val="231F20"/>
          <w:spacing w:val="-5"/>
          <w:w w:val="105"/>
        </w:rPr>
        <w:t> </w:t>
      </w:r>
      <w:r>
        <w:rPr>
          <w:color w:val="231F20"/>
          <w:w w:val="105"/>
        </w:rPr>
        <w:t>recurso</w:t>
      </w:r>
      <w:r>
        <w:rPr>
          <w:color w:val="231F20"/>
          <w:spacing w:val="-5"/>
          <w:w w:val="105"/>
        </w:rPr>
        <w:t> </w:t>
      </w:r>
      <w:r>
        <w:rPr>
          <w:color w:val="231F20"/>
          <w:w w:val="105"/>
        </w:rPr>
        <w:t>a</w:t>
      </w:r>
      <w:r>
        <w:rPr>
          <w:color w:val="231F20"/>
          <w:spacing w:val="-5"/>
          <w:w w:val="105"/>
        </w:rPr>
        <w:t> </w:t>
      </w:r>
      <w:r>
        <w:rPr>
          <w:color w:val="231F20"/>
          <w:w w:val="105"/>
        </w:rPr>
        <w:t>obras</w:t>
      </w:r>
      <w:r>
        <w:rPr>
          <w:color w:val="231F20"/>
          <w:spacing w:val="-5"/>
          <w:w w:val="105"/>
        </w:rPr>
        <w:t> </w:t>
      </w:r>
      <w:r>
        <w:rPr>
          <w:color w:val="231F20"/>
          <w:w w:val="105"/>
        </w:rPr>
        <w:t>como</w:t>
      </w:r>
      <w:r>
        <w:rPr>
          <w:color w:val="231F20"/>
          <w:spacing w:val="-5"/>
          <w:w w:val="105"/>
        </w:rPr>
        <w:t> </w:t>
      </w:r>
      <w:r>
        <w:rPr>
          <w:color w:val="231F20"/>
          <w:w w:val="105"/>
        </w:rPr>
        <w:t>el</w:t>
      </w:r>
      <w:r>
        <w:rPr>
          <w:color w:val="231F20"/>
          <w:spacing w:val="-5"/>
          <w:w w:val="105"/>
        </w:rPr>
        <w:t> </w:t>
      </w:r>
      <w:r>
        <w:rPr>
          <w:color w:val="231F20"/>
          <w:w w:val="105"/>
        </w:rPr>
        <w:t>bacheo,</w:t>
      </w:r>
      <w:r>
        <w:rPr>
          <w:color w:val="231F20"/>
          <w:spacing w:val="-5"/>
          <w:w w:val="105"/>
        </w:rPr>
        <w:t> </w:t>
      </w:r>
      <w:r>
        <w:rPr>
          <w:color w:val="231F20"/>
          <w:w w:val="105"/>
        </w:rPr>
        <w:t>que</w:t>
      </w:r>
      <w:r>
        <w:rPr>
          <w:color w:val="231F20"/>
          <w:spacing w:val="-5"/>
          <w:w w:val="105"/>
        </w:rPr>
        <w:t> </w:t>
      </w:r>
      <w:r>
        <w:rPr>
          <w:color w:val="231F20"/>
          <w:w w:val="105"/>
        </w:rPr>
        <w:t>son</w:t>
      </w:r>
      <w:r>
        <w:rPr>
          <w:color w:val="231F20"/>
          <w:spacing w:val="-5"/>
          <w:w w:val="105"/>
        </w:rPr>
        <w:t> </w:t>
      </w:r>
      <w:r>
        <w:rPr>
          <w:color w:val="231F20"/>
          <w:w w:val="105"/>
        </w:rPr>
        <w:t>impor- tantes. </w:t>
      </w:r>
      <w:r>
        <w:rPr>
          <w:color w:val="231F20"/>
          <w:spacing w:val="-3"/>
          <w:w w:val="105"/>
        </w:rPr>
        <w:t>Pero </w:t>
      </w:r>
      <w:r>
        <w:rPr>
          <w:color w:val="231F20"/>
          <w:w w:val="105"/>
        </w:rPr>
        <w:t>es más importante un espacio para estudiar y esto creo que nadie lo discutiría. Entonces la forma de designar una obra o el </w:t>
      </w:r>
      <w:r>
        <w:rPr>
          <w:color w:val="231F20"/>
          <w:spacing w:val="-3"/>
          <w:w w:val="105"/>
        </w:rPr>
        <w:t>monto </w:t>
      </w:r>
      <w:r>
        <w:rPr>
          <w:color w:val="231F20"/>
          <w:w w:val="105"/>
        </w:rPr>
        <w:t>es con base en las necesidades,</w:t>
      </w:r>
      <w:r>
        <w:rPr>
          <w:color w:val="231F20"/>
          <w:spacing w:val="-15"/>
          <w:w w:val="105"/>
        </w:rPr>
        <w:t> </w:t>
      </w:r>
      <w:r>
        <w:rPr>
          <w:color w:val="231F20"/>
          <w:w w:val="105"/>
        </w:rPr>
        <w:t>no</w:t>
      </w:r>
      <w:r>
        <w:rPr>
          <w:color w:val="231F20"/>
          <w:spacing w:val="-15"/>
          <w:w w:val="105"/>
        </w:rPr>
        <w:t> </w:t>
      </w:r>
      <w:r>
        <w:rPr>
          <w:color w:val="231F20"/>
          <w:spacing w:val="2"/>
          <w:w w:val="105"/>
        </w:rPr>
        <w:t>al</w:t>
      </w:r>
      <w:r>
        <w:rPr>
          <w:color w:val="231F20"/>
          <w:spacing w:val="-15"/>
          <w:w w:val="105"/>
        </w:rPr>
        <w:t> </w:t>
      </w:r>
      <w:r>
        <w:rPr>
          <w:color w:val="231F20"/>
          <w:w w:val="105"/>
        </w:rPr>
        <w:t>número</w:t>
      </w:r>
      <w:r>
        <w:rPr>
          <w:color w:val="231F20"/>
          <w:spacing w:val="-15"/>
          <w:w w:val="105"/>
        </w:rPr>
        <w:t> </w:t>
      </w:r>
      <w:r>
        <w:rPr>
          <w:color w:val="231F20"/>
          <w:w w:val="105"/>
        </w:rPr>
        <w:t>de</w:t>
      </w:r>
      <w:r>
        <w:rPr>
          <w:color w:val="231F20"/>
          <w:spacing w:val="-15"/>
          <w:w w:val="105"/>
        </w:rPr>
        <w:t> </w:t>
      </w:r>
      <w:r>
        <w:rPr>
          <w:color w:val="231F20"/>
          <w:w w:val="105"/>
        </w:rPr>
        <w:t>habitantes</w:t>
      </w:r>
      <w:r>
        <w:rPr>
          <w:color w:val="231F20"/>
          <w:spacing w:val="-15"/>
          <w:w w:val="105"/>
        </w:rPr>
        <w:t> </w:t>
      </w:r>
      <w:r>
        <w:rPr>
          <w:color w:val="231F20"/>
          <w:w w:val="105"/>
        </w:rPr>
        <w:t>(Navarro,</w:t>
      </w:r>
      <w:r>
        <w:rPr>
          <w:color w:val="231F20"/>
          <w:spacing w:val="-15"/>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spacing w:val="-3"/>
          <w:w w:val="105"/>
        </w:rPr>
        <w:t>Acorde</w:t>
      </w:r>
      <w:r>
        <w:rPr>
          <w:color w:val="231F20"/>
          <w:spacing w:val="-14"/>
          <w:w w:val="105"/>
        </w:rPr>
        <w:t> </w:t>
      </w:r>
      <w:r>
        <w:rPr>
          <w:color w:val="231F20"/>
          <w:w w:val="105"/>
        </w:rPr>
        <w:t>con</w:t>
      </w:r>
      <w:r>
        <w:rPr>
          <w:color w:val="231F20"/>
          <w:spacing w:val="-14"/>
          <w:w w:val="105"/>
        </w:rPr>
        <w:t> </w:t>
      </w:r>
      <w:r>
        <w:rPr>
          <w:color w:val="231F20"/>
          <w:w w:val="105"/>
        </w:rPr>
        <w:t>las</w:t>
      </w:r>
      <w:r>
        <w:rPr>
          <w:color w:val="231F20"/>
          <w:spacing w:val="-14"/>
          <w:w w:val="105"/>
        </w:rPr>
        <w:t> </w:t>
      </w:r>
      <w:r>
        <w:rPr>
          <w:color w:val="231F20"/>
          <w:w w:val="105"/>
        </w:rPr>
        <w:t>prioridades</w:t>
      </w:r>
      <w:r>
        <w:rPr>
          <w:color w:val="231F20"/>
          <w:spacing w:val="-14"/>
          <w:w w:val="105"/>
        </w:rPr>
        <w:t> </w:t>
      </w:r>
      <w:r>
        <w:rPr>
          <w:color w:val="231F20"/>
          <w:w w:val="105"/>
        </w:rPr>
        <w:t>señaladas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Municipal,</w:t>
      </w:r>
      <w:r>
        <w:rPr>
          <w:color w:val="231F20"/>
          <w:spacing w:val="-14"/>
          <w:w w:val="105"/>
        </w:rPr>
        <w:t> </w:t>
      </w:r>
      <w:r>
        <w:rPr>
          <w:color w:val="231F20"/>
          <w:w w:val="105"/>
        </w:rPr>
        <w:t>las</w:t>
      </w:r>
      <w:r>
        <w:rPr>
          <w:color w:val="231F20"/>
          <w:spacing w:val="-14"/>
          <w:w w:val="105"/>
        </w:rPr>
        <w:t> </w:t>
      </w:r>
      <w:r>
        <w:rPr>
          <w:color w:val="231F20"/>
          <w:w w:val="105"/>
        </w:rPr>
        <w:t>áreas</w:t>
      </w:r>
      <w:r>
        <w:rPr>
          <w:color w:val="231F20"/>
          <w:spacing w:val="-14"/>
          <w:w w:val="105"/>
        </w:rPr>
        <w:t> </w:t>
      </w:r>
      <w:r>
        <w:rPr>
          <w:color w:val="231F20"/>
          <w:w w:val="105"/>
        </w:rPr>
        <w:t>don- de</w:t>
      </w:r>
      <w:r>
        <w:rPr>
          <w:color w:val="231F20"/>
          <w:spacing w:val="-9"/>
          <w:w w:val="105"/>
        </w:rPr>
        <w:t> </w:t>
      </w:r>
      <w:r>
        <w:rPr>
          <w:color w:val="231F20"/>
          <w:w w:val="105"/>
        </w:rPr>
        <w:t>se</w:t>
      </w:r>
      <w:r>
        <w:rPr>
          <w:color w:val="231F20"/>
          <w:spacing w:val="-9"/>
          <w:w w:val="105"/>
        </w:rPr>
        <w:t> </w:t>
      </w:r>
      <w:r>
        <w:rPr>
          <w:color w:val="231F20"/>
          <w:w w:val="105"/>
        </w:rPr>
        <w:t>asignaron</w:t>
      </w:r>
      <w:r>
        <w:rPr>
          <w:color w:val="231F20"/>
          <w:spacing w:val="-9"/>
          <w:w w:val="105"/>
        </w:rPr>
        <w:t> </w:t>
      </w:r>
      <w:r>
        <w:rPr>
          <w:color w:val="231F20"/>
          <w:w w:val="105"/>
        </w:rPr>
        <w:t>mayores</w:t>
      </w:r>
      <w:r>
        <w:rPr>
          <w:color w:val="231F20"/>
          <w:spacing w:val="-9"/>
          <w:w w:val="105"/>
        </w:rPr>
        <w:t> </w:t>
      </w:r>
      <w:r>
        <w:rPr>
          <w:color w:val="231F20"/>
          <w:w w:val="105"/>
        </w:rPr>
        <w:t>recursos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primer</w:t>
      </w:r>
      <w:r>
        <w:rPr>
          <w:color w:val="231F20"/>
          <w:spacing w:val="-9"/>
          <w:w w:val="105"/>
        </w:rPr>
        <w:t> </w:t>
      </w:r>
      <w:r>
        <w:rPr>
          <w:color w:val="231F20"/>
          <w:w w:val="105"/>
        </w:rPr>
        <w:t>año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gestión</w:t>
      </w:r>
      <w:r>
        <w:rPr>
          <w:color w:val="231F20"/>
          <w:spacing w:val="-9"/>
          <w:w w:val="105"/>
        </w:rPr>
        <w:t> </w:t>
      </w:r>
      <w:r>
        <w:rPr>
          <w:color w:val="231F20"/>
          <w:w w:val="105"/>
        </w:rPr>
        <w:t>(2007)</w:t>
      </w:r>
      <w:r>
        <w:rPr>
          <w:color w:val="231F20"/>
          <w:spacing w:val="-9"/>
          <w:w w:val="105"/>
        </w:rPr>
        <w:t> </w:t>
      </w:r>
      <w:r>
        <w:rPr>
          <w:color w:val="231F20"/>
          <w:w w:val="105"/>
        </w:rPr>
        <w:t>fueron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ru- bro</w:t>
      </w:r>
      <w:r>
        <w:rPr>
          <w:color w:val="231F20"/>
          <w:spacing w:val="-14"/>
          <w:w w:val="105"/>
        </w:rPr>
        <w:t> </w:t>
      </w:r>
      <w:r>
        <w:rPr>
          <w:color w:val="231F20"/>
          <w:w w:val="105"/>
        </w:rPr>
        <w:t>de</w:t>
      </w:r>
      <w:r>
        <w:rPr>
          <w:color w:val="231F20"/>
          <w:spacing w:val="-14"/>
          <w:w w:val="105"/>
        </w:rPr>
        <w:t> </w:t>
      </w:r>
      <w:r>
        <w:rPr>
          <w:color w:val="231F20"/>
          <w:w w:val="105"/>
        </w:rPr>
        <w:t>financiamiento</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desarrollo,</w:t>
      </w:r>
      <w:r>
        <w:rPr>
          <w:color w:val="231F20"/>
          <w:spacing w:val="-14"/>
          <w:w w:val="105"/>
        </w:rPr>
        <w:t> </w:t>
      </w:r>
      <w:r>
        <w:rPr>
          <w:color w:val="231F20"/>
          <w:w w:val="105"/>
        </w:rPr>
        <w:t>cuyo</w:t>
      </w:r>
      <w:r>
        <w:rPr>
          <w:color w:val="231F20"/>
          <w:spacing w:val="-14"/>
          <w:w w:val="105"/>
        </w:rPr>
        <w:t> </w:t>
      </w:r>
      <w:r>
        <w:rPr>
          <w:color w:val="231F20"/>
          <w:w w:val="105"/>
        </w:rPr>
        <w:t>objetivo</w:t>
      </w:r>
      <w:r>
        <w:rPr>
          <w:color w:val="231F20"/>
          <w:spacing w:val="-14"/>
          <w:w w:val="105"/>
        </w:rPr>
        <w:t> </w:t>
      </w:r>
      <w:r>
        <w:rPr>
          <w:color w:val="231F20"/>
          <w:w w:val="105"/>
        </w:rPr>
        <w:t>era</w:t>
      </w:r>
      <w:r>
        <w:rPr>
          <w:color w:val="231F20"/>
          <w:spacing w:val="-14"/>
          <w:w w:val="105"/>
        </w:rPr>
        <w:t> </w:t>
      </w:r>
      <w:r>
        <w:rPr>
          <w:color w:val="231F20"/>
          <w:w w:val="105"/>
        </w:rPr>
        <w:t>mantener</w:t>
      </w:r>
      <w:r>
        <w:rPr>
          <w:color w:val="231F20"/>
          <w:spacing w:val="-14"/>
          <w:w w:val="105"/>
        </w:rPr>
        <w:t> </w:t>
      </w:r>
      <w:r>
        <w:rPr>
          <w:color w:val="231F20"/>
          <w:w w:val="105"/>
        </w:rPr>
        <w:t>una</w:t>
      </w:r>
      <w:r>
        <w:rPr>
          <w:color w:val="231F20"/>
          <w:spacing w:val="-14"/>
          <w:w w:val="105"/>
        </w:rPr>
        <w:t> </w:t>
      </w:r>
      <w:r>
        <w:rPr>
          <w:color w:val="231F20"/>
          <w:w w:val="105"/>
        </w:rPr>
        <w:t>deuda</w:t>
      </w:r>
      <w:r>
        <w:rPr>
          <w:color w:val="231F20"/>
          <w:spacing w:val="-14"/>
          <w:w w:val="105"/>
        </w:rPr>
        <w:t> </w:t>
      </w:r>
      <w:r>
        <w:rPr>
          <w:color w:val="231F20"/>
          <w:w w:val="105"/>
        </w:rPr>
        <w:t>pública aceptable,</w:t>
      </w:r>
      <w:r>
        <w:rPr>
          <w:color w:val="231F20"/>
          <w:spacing w:val="-10"/>
          <w:w w:val="105"/>
        </w:rPr>
        <w:t> </w:t>
      </w:r>
      <w:r>
        <w:rPr>
          <w:color w:val="231F20"/>
          <w:w w:val="105"/>
        </w:rPr>
        <w:t>pagándose</w:t>
      </w:r>
      <w:r>
        <w:rPr>
          <w:color w:val="231F20"/>
          <w:spacing w:val="-10"/>
          <w:w w:val="105"/>
        </w:rPr>
        <w:t> </w:t>
      </w:r>
      <w:r>
        <w:rPr>
          <w:color w:val="231F20"/>
          <w:w w:val="105"/>
        </w:rPr>
        <w:t>el</w:t>
      </w:r>
      <w:r>
        <w:rPr>
          <w:color w:val="231F20"/>
          <w:spacing w:val="-10"/>
          <w:w w:val="105"/>
        </w:rPr>
        <w:t> </w:t>
      </w:r>
      <w:r>
        <w:rPr>
          <w:color w:val="231F20"/>
          <w:spacing w:val="-3"/>
          <w:w w:val="105"/>
        </w:rPr>
        <w:t>adeudo</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ISSEMYM</w:t>
      </w:r>
      <w:r>
        <w:rPr>
          <w:color w:val="231F20"/>
          <w:spacing w:val="-10"/>
          <w:w w:val="105"/>
        </w:rPr>
        <w:t> </w:t>
      </w:r>
      <w:r>
        <w:rPr>
          <w:color w:val="231F20"/>
          <w:w w:val="105"/>
        </w:rPr>
        <w:t>e</w:t>
      </w:r>
      <w:r>
        <w:rPr>
          <w:color w:val="231F20"/>
          <w:spacing w:val="-10"/>
          <w:w w:val="105"/>
        </w:rPr>
        <w:t> </w:t>
      </w:r>
      <w:r>
        <w:rPr>
          <w:color w:val="231F20"/>
          <w:w w:val="105"/>
        </w:rPr>
        <w:t>ISPT</w:t>
      </w:r>
      <w:r>
        <w:rPr>
          <w:color w:val="231F20"/>
          <w:spacing w:val="-10"/>
          <w:w w:val="105"/>
        </w:rPr>
        <w:t> </w:t>
      </w:r>
      <w:r>
        <w:rPr>
          <w:color w:val="231F20"/>
          <w:spacing w:val="2"/>
          <w:w w:val="105"/>
        </w:rPr>
        <w:t>al</w:t>
      </w:r>
      <w:r>
        <w:rPr>
          <w:color w:val="231F20"/>
          <w:spacing w:val="-10"/>
          <w:w w:val="105"/>
        </w:rPr>
        <w:t> </w:t>
      </w:r>
      <w:r>
        <w:rPr>
          <w:color w:val="231F20"/>
          <w:w w:val="105"/>
        </w:rPr>
        <w:t>100%,</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Comisión</w:t>
      </w:r>
      <w:r>
        <w:rPr>
          <w:color w:val="231F20"/>
          <w:spacing w:val="-10"/>
          <w:w w:val="105"/>
        </w:rPr>
        <w:t> </w:t>
      </w:r>
      <w:r>
        <w:rPr>
          <w:color w:val="231F20"/>
          <w:w w:val="105"/>
        </w:rPr>
        <w:t>de Agua</w:t>
      </w:r>
      <w:r>
        <w:rPr>
          <w:color w:val="231F20"/>
          <w:spacing w:val="-23"/>
          <w:w w:val="105"/>
        </w:rPr>
        <w:t> </w:t>
      </w:r>
      <w:r>
        <w:rPr>
          <w:color w:val="231F20"/>
          <w:w w:val="105"/>
        </w:rPr>
        <w:t>el</w:t>
      </w:r>
      <w:r>
        <w:rPr>
          <w:color w:val="231F20"/>
          <w:spacing w:val="-23"/>
          <w:w w:val="105"/>
        </w:rPr>
        <w:t> </w:t>
      </w:r>
      <w:r>
        <w:rPr>
          <w:color w:val="231F20"/>
          <w:spacing w:val="-3"/>
          <w:w w:val="105"/>
        </w:rPr>
        <w:t>15%</w:t>
      </w:r>
      <w:r>
        <w:rPr>
          <w:color w:val="231F20"/>
          <w:spacing w:val="-23"/>
          <w:w w:val="105"/>
        </w:rPr>
        <w:t> </w:t>
      </w:r>
      <w:r>
        <w:rPr>
          <w:color w:val="231F20"/>
          <w:w w:val="105"/>
        </w:rPr>
        <w:t>y</w:t>
      </w:r>
      <w:r>
        <w:rPr>
          <w:color w:val="231F20"/>
          <w:spacing w:val="-23"/>
          <w:w w:val="105"/>
        </w:rPr>
        <w:t> </w:t>
      </w:r>
      <w:r>
        <w:rPr>
          <w:color w:val="231F20"/>
          <w:w w:val="105"/>
        </w:rPr>
        <w:t>20%</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Compañía</w:t>
      </w:r>
      <w:r>
        <w:rPr>
          <w:color w:val="231F20"/>
          <w:spacing w:val="-23"/>
          <w:w w:val="105"/>
        </w:rPr>
        <w:t> </w:t>
      </w:r>
      <w:r>
        <w:rPr>
          <w:color w:val="231F20"/>
          <w:w w:val="105"/>
        </w:rPr>
        <w:t>de</w:t>
      </w:r>
      <w:r>
        <w:rPr>
          <w:color w:val="231F20"/>
          <w:spacing w:val="-23"/>
          <w:w w:val="105"/>
        </w:rPr>
        <w:t> </w:t>
      </w:r>
      <w:r>
        <w:rPr>
          <w:color w:val="231F20"/>
          <w:w w:val="105"/>
        </w:rPr>
        <w:t>Luz</w:t>
      </w:r>
      <w:r>
        <w:rPr>
          <w:color w:val="231F20"/>
          <w:spacing w:val="-23"/>
          <w:w w:val="105"/>
        </w:rPr>
        <w:t> </w:t>
      </w:r>
      <w:r>
        <w:rPr>
          <w:color w:val="231F20"/>
          <w:w w:val="105"/>
        </w:rPr>
        <w:t>y</w:t>
      </w:r>
      <w:r>
        <w:rPr>
          <w:color w:val="231F20"/>
          <w:spacing w:val="-23"/>
          <w:w w:val="105"/>
        </w:rPr>
        <w:t> </w:t>
      </w:r>
      <w:r>
        <w:rPr>
          <w:color w:val="231F20"/>
          <w:w w:val="105"/>
        </w:rPr>
        <w:t>Fuerza</w:t>
      </w:r>
      <w:r>
        <w:rPr>
          <w:color w:val="231F20"/>
          <w:spacing w:val="-23"/>
          <w:w w:val="105"/>
        </w:rPr>
        <w:t> </w:t>
      </w:r>
      <w:r>
        <w:rPr>
          <w:color w:val="231F20"/>
          <w:w w:val="105"/>
        </w:rPr>
        <w:t>del</w:t>
      </w:r>
      <w:r>
        <w:rPr>
          <w:color w:val="231F20"/>
          <w:spacing w:val="-23"/>
          <w:w w:val="105"/>
        </w:rPr>
        <w:t> </w:t>
      </w:r>
      <w:r>
        <w:rPr>
          <w:color w:val="231F20"/>
          <w:w w:val="105"/>
        </w:rPr>
        <w:t>Centro.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rubro</w:t>
      </w:r>
      <w:r>
        <w:rPr>
          <w:color w:val="231F20"/>
          <w:spacing w:val="-6"/>
          <w:w w:val="105"/>
        </w:rPr>
        <w:t> </w:t>
      </w:r>
      <w:r>
        <w:rPr>
          <w:color w:val="231F20"/>
          <w:w w:val="105"/>
        </w:rPr>
        <w:t>de</w:t>
      </w:r>
      <w:r>
        <w:rPr>
          <w:color w:val="231F20"/>
          <w:spacing w:val="-6"/>
          <w:w w:val="105"/>
        </w:rPr>
        <w:t> </w:t>
      </w:r>
      <w:r>
        <w:rPr>
          <w:color w:val="231F20"/>
          <w:w w:val="105"/>
        </w:rPr>
        <w:t>Orden</w:t>
      </w:r>
      <w:r>
        <w:rPr>
          <w:color w:val="231F20"/>
          <w:spacing w:val="-6"/>
          <w:w w:val="105"/>
        </w:rPr>
        <w:t> </w:t>
      </w:r>
      <w:r>
        <w:rPr>
          <w:color w:val="231F20"/>
          <w:w w:val="105"/>
        </w:rPr>
        <w:t>y</w:t>
      </w:r>
      <w:r>
        <w:rPr>
          <w:color w:val="231F20"/>
          <w:spacing w:val="-6"/>
          <w:w w:val="105"/>
        </w:rPr>
        <w:t> </w:t>
      </w:r>
      <w:r>
        <w:rPr>
          <w:color w:val="231F20"/>
          <w:w w:val="105"/>
        </w:rPr>
        <w:t>Respeto</w:t>
      </w:r>
      <w:r>
        <w:rPr>
          <w:color w:val="231F20"/>
          <w:spacing w:val="-6"/>
          <w:w w:val="105"/>
        </w:rPr>
        <w:t> </w:t>
      </w:r>
      <w:r>
        <w:rPr>
          <w:color w:val="231F20"/>
          <w:w w:val="105"/>
        </w:rPr>
        <w:t>se</w:t>
      </w:r>
      <w:r>
        <w:rPr>
          <w:color w:val="231F20"/>
          <w:spacing w:val="-6"/>
          <w:w w:val="105"/>
        </w:rPr>
        <w:t> </w:t>
      </w:r>
      <w:r>
        <w:rPr>
          <w:color w:val="231F20"/>
          <w:w w:val="105"/>
        </w:rPr>
        <w:t>formó</w:t>
      </w:r>
      <w:r>
        <w:rPr>
          <w:color w:val="231F20"/>
          <w:spacing w:val="-6"/>
          <w:w w:val="105"/>
        </w:rPr>
        <w:t> </w:t>
      </w:r>
      <w:r>
        <w:rPr>
          <w:color w:val="231F20"/>
          <w:w w:val="105"/>
        </w:rPr>
        <w:t>la</w:t>
      </w:r>
      <w:r>
        <w:rPr>
          <w:color w:val="231F20"/>
          <w:spacing w:val="-6"/>
          <w:w w:val="105"/>
        </w:rPr>
        <w:t> </w:t>
      </w:r>
      <w:r>
        <w:rPr>
          <w:color w:val="231F20"/>
          <w:w w:val="105"/>
        </w:rPr>
        <w:t>Comisión</w:t>
      </w:r>
      <w:r>
        <w:rPr>
          <w:color w:val="231F20"/>
          <w:spacing w:val="-6"/>
          <w:w w:val="105"/>
        </w:rPr>
        <w:t> </w:t>
      </w:r>
      <w:r>
        <w:rPr>
          <w:color w:val="231F20"/>
          <w:w w:val="105"/>
        </w:rPr>
        <w:t>de</w:t>
      </w:r>
      <w:r>
        <w:rPr>
          <w:color w:val="231F20"/>
          <w:spacing w:val="-6"/>
          <w:w w:val="105"/>
        </w:rPr>
        <w:t> </w:t>
      </w:r>
      <w:r>
        <w:rPr>
          <w:color w:val="231F20"/>
          <w:w w:val="105"/>
        </w:rPr>
        <w:t>Seguridad</w:t>
      </w:r>
      <w:r>
        <w:rPr>
          <w:color w:val="231F20"/>
          <w:spacing w:val="-6"/>
          <w:w w:val="105"/>
        </w:rPr>
        <w:t> </w:t>
      </w:r>
      <w:r>
        <w:rPr>
          <w:color w:val="231F20"/>
          <w:w w:val="105"/>
        </w:rPr>
        <w:t>Pública</w:t>
      </w:r>
      <w:r>
        <w:rPr>
          <w:color w:val="231F20"/>
          <w:spacing w:val="-6"/>
          <w:w w:val="105"/>
        </w:rPr>
        <w:t> </w:t>
      </w:r>
      <w:r>
        <w:rPr>
          <w:color w:val="231F20"/>
          <w:w w:val="105"/>
        </w:rPr>
        <w:t>municipal (Navarro:</w:t>
      </w:r>
      <w:r>
        <w:rPr>
          <w:color w:val="231F20"/>
          <w:spacing w:val="-20"/>
          <w:w w:val="105"/>
        </w:rPr>
        <w:t> </w:t>
      </w:r>
      <w:r>
        <w:rPr>
          <w:color w:val="231F20"/>
          <w:spacing w:val="-3"/>
          <w:w w:val="105"/>
        </w:rPr>
        <w:t>2007,</w:t>
      </w:r>
      <w:r>
        <w:rPr>
          <w:color w:val="231F20"/>
          <w:spacing w:val="-20"/>
          <w:w w:val="105"/>
        </w:rPr>
        <w:t> </w:t>
      </w:r>
      <w:r>
        <w:rPr>
          <w:color w:val="231F20"/>
          <w:spacing w:val="-6"/>
          <w:w w:val="105"/>
        </w:rPr>
        <w:t>16)</w:t>
      </w:r>
      <w:r>
        <w:rPr>
          <w:color w:val="231F20"/>
          <w:spacing w:val="-20"/>
          <w:w w:val="105"/>
        </w:rPr>
        <w:t> </w:t>
      </w:r>
      <w:r>
        <w:rPr>
          <w:color w:val="231F20"/>
          <w:w w:val="105"/>
        </w:rPr>
        <w:t>la</w:t>
      </w:r>
      <w:r>
        <w:rPr>
          <w:color w:val="231F20"/>
          <w:spacing w:val="-20"/>
          <w:w w:val="105"/>
        </w:rPr>
        <w:t> </w:t>
      </w:r>
      <w:r>
        <w:rPr>
          <w:color w:val="231F20"/>
          <w:w w:val="105"/>
        </w:rPr>
        <w:t>cual</w:t>
      </w:r>
      <w:r>
        <w:rPr>
          <w:color w:val="231F20"/>
          <w:spacing w:val="-20"/>
          <w:w w:val="105"/>
        </w:rPr>
        <w:t> </w:t>
      </w:r>
      <w:r>
        <w:rPr>
          <w:color w:val="231F20"/>
          <w:w w:val="105"/>
        </w:rPr>
        <w:t>se</w:t>
      </w:r>
      <w:r>
        <w:rPr>
          <w:color w:val="231F20"/>
          <w:spacing w:val="-20"/>
          <w:w w:val="105"/>
        </w:rPr>
        <w:t> </w:t>
      </w:r>
      <w:r>
        <w:rPr>
          <w:color w:val="231F20"/>
          <w:w w:val="105"/>
        </w:rPr>
        <w:t>reúne</w:t>
      </w:r>
      <w:r>
        <w:rPr>
          <w:color w:val="231F20"/>
          <w:spacing w:val="-20"/>
          <w:w w:val="105"/>
        </w:rPr>
        <w:t> </w:t>
      </w:r>
      <w:r>
        <w:rPr>
          <w:color w:val="231F20"/>
          <w:w w:val="105"/>
        </w:rPr>
        <w:t>mes</w:t>
      </w:r>
      <w:r>
        <w:rPr>
          <w:color w:val="231F20"/>
          <w:spacing w:val="-20"/>
          <w:w w:val="105"/>
        </w:rPr>
        <w:t> </w:t>
      </w:r>
      <w:r>
        <w:rPr>
          <w:color w:val="231F20"/>
          <w:w w:val="105"/>
        </w:rPr>
        <w:t>a</w:t>
      </w:r>
      <w:r>
        <w:rPr>
          <w:color w:val="231F20"/>
          <w:spacing w:val="-20"/>
          <w:w w:val="105"/>
        </w:rPr>
        <w:t> </w:t>
      </w:r>
      <w:r>
        <w:rPr>
          <w:color w:val="231F20"/>
          <w:w w:val="105"/>
        </w:rPr>
        <w:t>mes</w:t>
      </w:r>
      <w:r>
        <w:rPr>
          <w:color w:val="231F20"/>
          <w:spacing w:val="-20"/>
          <w:w w:val="105"/>
        </w:rPr>
        <w:t> </w:t>
      </w:r>
      <w:r>
        <w:rPr>
          <w:color w:val="231F20"/>
          <w:w w:val="105"/>
        </w:rPr>
        <w:t>con</w:t>
      </w:r>
      <w:r>
        <w:rPr>
          <w:color w:val="231F20"/>
          <w:spacing w:val="-20"/>
          <w:w w:val="105"/>
        </w:rPr>
        <w:t> </w:t>
      </w:r>
      <w:r>
        <w:rPr>
          <w:color w:val="231F20"/>
          <w:w w:val="105"/>
        </w:rPr>
        <w:t>las</w:t>
      </w:r>
      <w:r>
        <w:rPr>
          <w:color w:val="231F20"/>
          <w:spacing w:val="-20"/>
          <w:w w:val="105"/>
        </w:rPr>
        <w:t> </w:t>
      </w:r>
      <w:r>
        <w:rPr>
          <w:color w:val="231F20"/>
          <w:w w:val="105"/>
        </w:rPr>
        <w:t>diferentes</w:t>
      </w:r>
      <w:r>
        <w:rPr>
          <w:color w:val="231F20"/>
          <w:spacing w:val="-20"/>
          <w:w w:val="105"/>
        </w:rPr>
        <w:t> </w:t>
      </w:r>
      <w:r>
        <w:rPr>
          <w:color w:val="231F20"/>
          <w:w w:val="105"/>
        </w:rPr>
        <w:t>instancias</w:t>
      </w:r>
      <w:r>
        <w:rPr>
          <w:color w:val="231F20"/>
          <w:spacing w:val="-20"/>
          <w:w w:val="105"/>
        </w:rPr>
        <w:t> </w:t>
      </w:r>
      <w:r>
        <w:rPr>
          <w:color w:val="231F20"/>
          <w:w w:val="105"/>
        </w:rPr>
        <w:t>de</w:t>
      </w:r>
      <w:r>
        <w:rPr>
          <w:color w:val="231F20"/>
          <w:spacing w:val="-20"/>
          <w:w w:val="105"/>
        </w:rPr>
        <w:t> </w:t>
      </w:r>
      <w:r>
        <w:rPr>
          <w:color w:val="231F20"/>
          <w:w w:val="105"/>
        </w:rPr>
        <w:t>seguridad</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y representantes de la sociedad civil, para coordinar acciones que </w:t>
      </w:r>
      <w:r>
        <w:rPr>
          <w:color w:val="231F20"/>
          <w:spacing w:val="-3"/>
          <w:w w:val="105"/>
        </w:rPr>
        <w:t>proporcionen </w:t>
      </w:r>
      <w:r>
        <w:rPr>
          <w:color w:val="231F20"/>
          <w:w w:val="105"/>
        </w:rPr>
        <w:t>segu- ridad</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habitantes</w:t>
      </w:r>
      <w:r>
        <w:rPr>
          <w:color w:val="231F20"/>
          <w:spacing w:val="-4"/>
          <w:w w:val="105"/>
        </w:rPr>
        <w:t> </w:t>
      </w:r>
      <w:r>
        <w:rPr>
          <w:color w:val="231F20"/>
          <w:w w:val="105"/>
        </w:rPr>
        <w:t>y</w:t>
      </w:r>
      <w:r>
        <w:rPr>
          <w:color w:val="231F20"/>
          <w:spacing w:val="-4"/>
          <w:w w:val="105"/>
        </w:rPr>
        <w:t> </w:t>
      </w:r>
      <w:r>
        <w:rPr>
          <w:color w:val="231F20"/>
          <w:w w:val="105"/>
        </w:rPr>
        <w:t>disminuyan</w:t>
      </w:r>
      <w:r>
        <w:rPr>
          <w:color w:val="231F20"/>
          <w:spacing w:val="-4"/>
          <w:w w:val="105"/>
        </w:rPr>
        <w:t> </w:t>
      </w:r>
      <w:r>
        <w:rPr>
          <w:color w:val="231F20"/>
          <w:w w:val="105"/>
        </w:rPr>
        <w:t>los</w:t>
      </w:r>
      <w:r>
        <w:rPr>
          <w:color w:val="231F20"/>
          <w:spacing w:val="-4"/>
          <w:w w:val="105"/>
        </w:rPr>
        <w:t> </w:t>
      </w:r>
      <w:r>
        <w:rPr>
          <w:color w:val="231F20"/>
          <w:w w:val="105"/>
        </w:rPr>
        <w:t>índices</w:t>
      </w:r>
      <w:r>
        <w:rPr>
          <w:color w:val="231F20"/>
          <w:spacing w:val="-4"/>
          <w:w w:val="105"/>
        </w:rPr>
        <w:t> </w:t>
      </w:r>
      <w:r>
        <w:rPr>
          <w:color w:val="231F20"/>
          <w:w w:val="105"/>
        </w:rPr>
        <w:t>de</w:t>
      </w:r>
      <w:r>
        <w:rPr>
          <w:color w:val="231F20"/>
          <w:spacing w:val="-4"/>
          <w:w w:val="105"/>
        </w:rPr>
        <w:t> </w:t>
      </w:r>
      <w:r>
        <w:rPr>
          <w:color w:val="231F20"/>
          <w:w w:val="105"/>
        </w:rPr>
        <w:t>criminalidad.</w:t>
      </w:r>
      <w:r>
        <w:rPr>
          <w:color w:val="231F20"/>
          <w:spacing w:val="-4"/>
          <w:w w:val="105"/>
        </w:rPr>
        <w:t> </w:t>
      </w:r>
      <w:r>
        <w:rPr>
          <w:color w:val="231F20"/>
          <w:w w:val="105"/>
        </w:rPr>
        <w:t>Esto</w:t>
      </w:r>
      <w:r>
        <w:rPr>
          <w:color w:val="231F20"/>
          <w:spacing w:val="-4"/>
          <w:w w:val="105"/>
        </w:rPr>
        <w:t> </w:t>
      </w:r>
      <w:r>
        <w:rPr>
          <w:color w:val="231F20"/>
          <w:w w:val="105"/>
        </w:rPr>
        <w:t>en</w:t>
      </w:r>
      <w:r>
        <w:rPr>
          <w:color w:val="231F20"/>
          <w:spacing w:val="-4"/>
          <w:w w:val="105"/>
        </w:rPr>
        <w:t> </w:t>
      </w:r>
      <w:r>
        <w:rPr>
          <w:color w:val="231F20"/>
          <w:w w:val="105"/>
        </w:rPr>
        <w:t>cumplimiento a los artículos 139 </w:t>
      </w:r>
      <w:r>
        <w:rPr>
          <w:color w:val="231F20"/>
          <w:spacing w:val="2"/>
          <w:w w:val="105"/>
        </w:rPr>
        <w:t>al </w:t>
      </w:r>
      <w:r>
        <w:rPr>
          <w:color w:val="231F20"/>
          <w:w w:val="105"/>
        </w:rPr>
        <w:t>144, que regulan la integración y atribuciones de esta Comisión dentro</w:t>
      </w:r>
      <w:r>
        <w:rPr>
          <w:color w:val="231F20"/>
          <w:spacing w:val="-19"/>
          <w:w w:val="105"/>
        </w:rPr>
        <w:t> </w:t>
      </w:r>
      <w:r>
        <w:rPr>
          <w:color w:val="231F20"/>
          <w:w w:val="105"/>
        </w:rPr>
        <w:t>del</w:t>
      </w:r>
      <w:r>
        <w:rPr>
          <w:color w:val="231F20"/>
          <w:spacing w:val="-19"/>
          <w:w w:val="105"/>
        </w:rPr>
        <w:t> </w:t>
      </w:r>
      <w:r>
        <w:rPr>
          <w:color w:val="231F20"/>
          <w:w w:val="105"/>
        </w:rPr>
        <w:t>ámbito</w:t>
      </w:r>
      <w:r>
        <w:rPr>
          <w:color w:val="231F20"/>
          <w:spacing w:val="-19"/>
          <w:w w:val="105"/>
        </w:rPr>
        <w:t> </w:t>
      </w:r>
      <w:r>
        <w:rPr>
          <w:color w:val="231F20"/>
          <w:w w:val="105"/>
        </w:rPr>
        <w:t>municipal</w:t>
      </w:r>
      <w:r>
        <w:rPr>
          <w:color w:val="231F20"/>
          <w:spacing w:val="-19"/>
          <w:w w:val="105"/>
        </w:rPr>
        <w:t> </w:t>
      </w:r>
      <w:r>
        <w:rPr>
          <w:color w:val="231F20"/>
          <w:w w:val="105"/>
        </w:rPr>
        <w:t>(Bando</w:t>
      </w:r>
      <w:r>
        <w:rPr>
          <w:color w:val="231F20"/>
          <w:spacing w:val="-19"/>
          <w:w w:val="105"/>
        </w:rPr>
        <w:t> </w:t>
      </w:r>
      <w:r>
        <w:rPr>
          <w:color w:val="231F20"/>
          <w:w w:val="105"/>
        </w:rPr>
        <w:t>Municipal:</w:t>
      </w:r>
      <w:r>
        <w:rPr>
          <w:color w:val="231F20"/>
          <w:spacing w:val="-19"/>
          <w:w w:val="105"/>
        </w:rPr>
        <w:t> </w:t>
      </w:r>
      <w:r>
        <w:rPr>
          <w:color w:val="231F20"/>
          <w:spacing w:val="-3"/>
          <w:w w:val="105"/>
        </w:rPr>
        <w:t>2007,</w:t>
      </w:r>
      <w:r>
        <w:rPr>
          <w:color w:val="231F20"/>
          <w:spacing w:val="-19"/>
          <w:w w:val="105"/>
        </w:rPr>
        <w:t> </w:t>
      </w:r>
      <w:r>
        <w:rPr>
          <w:color w:val="231F20"/>
          <w:spacing w:val="-4"/>
          <w:w w:val="105"/>
        </w:rPr>
        <w:t>38).</w:t>
      </w:r>
    </w:p>
    <w:p>
      <w:pPr>
        <w:pStyle w:val="BodyText"/>
        <w:spacing w:before="1"/>
        <w:rPr>
          <w:sz w:val="26"/>
        </w:rPr>
      </w:pPr>
    </w:p>
    <w:p>
      <w:pPr>
        <w:pStyle w:val="BodyText"/>
        <w:spacing w:line="285" w:lineRule="auto"/>
        <w:ind w:left="110" w:right="107"/>
        <w:jc w:val="both"/>
      </w:pPr>
      <w:r>
        <w:rPr>
          <w:color w:val="231F20"/>
          <w:w w:val="105"/>
        </w:rPr>
        <w:t>En cuanto a la seguridad social, la gestión panista se ha enfocado a equipar a las es- cuelas</w:t>
      </w:r>
      <w:r>
        <w:rPr>
          <w:color w:val="231F20"/>
          <w:spacing w:val="-8"/>
          <w:w w:val="105"/>
        </w:rPr>
        <w:t> </w:t>
      </w:r>
      <w:r>
        <w:rPr>
          <w:color w:val="231F20"/>
          <w:w w:val="105"/>
        </w:rPr>
        <w:t>con</w:t>
      </w:r>
      <w:r>
        <w:rPr>
          <w:color w:val="231F20"/>
          <w:spacing w:val="-8"/>
          <w:w w:val="105"/>
        </w:rPr>
        <w:t> </w:t>
      </w:r>
      <w:r>
        <w:rPr>
          <w:color w:val="231F20"/>
          <w:w w:val="105"/>
        </w:rPr>
        <w:t>instalaciones</w:t>
      </w:r>
      <w:r>
        <w:rPr>
          <w:color w:val="231F20"/>
          <w:spacing w:val="-8"/>
          <w:w w:val="105"/>
        </w:rPr>
        <w:t> </w:t>
      </w:r>
      <w:r>
        <w:rPr>
          <w:color w:val="231F20"/>
          <w:w w:val="105"/>
        </w:rPr>
        <w:t>eléctricas</w:t>
      </w:r>
      <w:r>
        <w:rPr>
          <w:color w:val="231F20"/>
          <w:spacing w:val="-8"/>
          <w:w w:val="105"/>
        </w:rPr>
        <w:t> </w:t>
      </w:r>
      <w:r>
        <w:rPr>
          <w:color w:val="231F20"/>
          <w:w w:val="105"/>
        </w:rPr>
        <w:t>e</w:t>
      </w:r>
      <w:r>
        <w:rPr>
          <w:color w:val="231F20"/>
          <w:spacing w:val="-8"/>
          <w:w w:val="105"/>
        </w:rPr>
        <w:t> </w:t>
      </w:r>
      <w:r>
        <w:rPr>
          <w:color w:val="231F20"/>
          <w:w w:val="105"/>
        </w:rPr>
        <w:t>hidráulicas,</w:t>
      </w:r>
      <w:r>
        <w:rPr>
          <w:color w:val="231F20"/>
          <w:spacing w:val="-8"/>
          <w:w w:val="105"/>
        </w:rPr>
        <w:t> </w:t>
      </w:r>
      <w:r>
        <w:rPr>
          <w:color w:val="231F20"/>
          <w:spacing w:val="2"/>
          <w:w w:val="105"/>
        </w:rPr>
        <w:t>al</w:t>
      </w:r>
      <w:r>
        <w:rPr>
          <w:color w:val="231F20"/>
          <w:spacing w:val="-8"/>
          <w:w w:val="105"/>
        </w:rPr>
        <w:t> </w:t>
      </w:r>
      <w:r>
        <w:rPr>
          <w:color w:val="231F20"/>
          <w:w w:val="105"/>
        </w:rPr>
        <w:t>mantenimiento</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edificios</w:t>
      </w:r>
      <w:r>
        <w:rPr>
          <w:color w:val="231F20"/>
          <w:spacing w:val="-8"/>
          <w:w w:val="105"/>
        </w:rPr>
        <w:t> </w:t>
      </w:r>
      <w:r>
        <w:rPr>
          <w:color w:val="231F20"/>
          <w:w w:val="105"/>
        </w:rPr>
        <w:t>y</w:t>
      </w:r>
      <w:r>
        <w:rPr>
          <w:color w:val="231F20"/>
          <w:spacing w:val="-8"/>
          <w:w w:val="105"/>
        </w:rPr>
        <w:t> </w:t>
      </w:r>
      <w:r>
        <w:rPr>
          <w:color w:val="231F20"/>
          <w:w w:val="105"/>
        </w:rPr>
        <w:t>la actualización</w:t>
      </w:r>
      <w:r>
        <w:rPr>
          <w:color w:val="231F20"/>
          <w:spacing w:val="-5"/>
          <w:w w:val="105"/>
        </w:rPr>
        <w:t> </w:t>
      </w:r>
      <w:r>
        <w:rPr>
          <w:color w:val="231F20"/>
          <w:w w:val="105"/>
        </w:rPr>
        <w:t>del</w:t>
      </w:r>
      <w:r>
        <w:rPr>
          <w:color w:val="231F20"/>
          <w:spacing w:val="-5"/>
          <w:w w:val="105"/>
        </w:rPr>
        <w:t> </w:t>
      </w:r>
      <w:r>
        <w:rPr>
          <w:color w:val="231F20"/>
          <w:w w:val="105"/>
        </w:rPr>
        <w:t>acervo</w:t>
      </w:r>
      <w:r>
        <w:rPr>
          <w:color w:val="231F20"/>
          <w:spacing w:val="-5"/>
          <w:w w:val="105"/>
        </w:rPr>
        <w:t> </w:t>
      </w:r>
      <w:r>
        <w:rPr>
          <w:color w:val="231F20"/>
          <w:w w:val="105"/>
        </w:rPr>
        <w:t>bibliográfico</w:t>
      </w:r>
      <w:r>
        <w:rPr>
          <w:color w:val="231F20"/>
          <w:spacing w:val="-5"/>
          <w:w w:val="105"/>
        </w:rPr>
        <w:t> </w:t>
      </w:r>
      <w:r>
        <w:rPr>
          <w:color w:val="231F20"/>
          <w:w w:val="105"/>
        </w:rPr>
        <w:t>en</w:t>
      </w:r>
      <w:r>
        <w:rPr>
          <w:color w:val="231F20"/>
          <w:spacing w:val="-5"/>
          <w:w w:val="105"/>
        </w:rPr>
        <w:t> </w:t>
      </w:r>
      <w:r>
        <w:rPr>
          <w:color w:val="231F20"/>
          <w:w w:val="105"/>
        </w:rPr>
        <w:t>escuelas</w:t>
      </w:r>
      <w:r>
        <w:rPr>
          <w:color w:val="231F20"/>
          <w:spacing w:val="-5"/>
          <w:w w:val="105"/>
        </w:rPr>
        <w:t> </w:t>
      </w:r>
      <w:r>
        <w:rPr>
          <w:color w:val="231F20"/>
          <w:w w:val="105"/>
        </w:rPr>
        <w:t>y</w:t>
      </w:r>
      <w:r>
        <w:rPr>
          <w:color w:val="231F20"/>
          <w:spacing w:val="-5"/>
          <w:w w:val="105"/>
        </w:rPr>
        <w:t> </w:t>
      </w:r>
      <w:r>
        <w:rPr>
          <w:color w:val="231F20"/>
          <w:w w:val="105"/>
        </w:rPr>
        <w:t>bibliotecas;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deportes</w:t>
      </w:r>
      <w:r>
        <w:rPr>
          <w:color w:val="231F20"/>
          <w:spacing w:val="-5"/>
          <w:w w:val="105"/>
        </w:rPr>
        <w:t> </w:t>
      </w:r>
      <w:r>
        <w:rPr>
          <w:color w:val="231F20"/>
          <w:w w:val="105"/>
        </w:rPr>
        <w:t>se</w:t>
      </w:r>
      <w:r>
        <w:rPr>
          <w:color w:val="231F20"/>
          <w:spacing w:val="-5"/>
          <w:w w:val="105"/>
        </w:rPr>
        <w:t> </w:t>
      </w:r>
      <w:r>
        <w:rPr>
          <w:color w:val="231F20"/>
          <w:w w:val="105"/>
        </w:rPr>
        <w:t>han construido instalaciones y asignado recursos para la participación en eventos deporti- vos</w:t>
      </w:r>
      <w:r>
        <w:rPr>
          <w:color w:val="231F20"/>
          <w:spacing w:val="-9"/>
          <w:w w:val="105"/>
        </w:rPr>
        <w:t> </w:t>
      </w:r>
      <w:r>
        <w:rPr>
          <w:color w:val="231F20"/>
          <w:w w:val="105"/>
        </w:rPr>
        <w:t>y</w:t>
      </w:r>
      <w:r>
        <w:rPr>
          <w:color w:val="231F20"/>
          <w:spacing w:val="-9"/>
          <w:w w:val="105"/>
        </w:rPr>
        <w:t> </w:t>
      </w:r>
      <w:r>
        <w:rPr>
          <w:color w:val="231F20"/>
          <w:w w:val="105"/>
        </w:rPr>
        <w:t>culturales.</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apoyado</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traslado</w:t>
      </w:r>
      <w:r>
        <w:rPr>
          <w:color w:val="231F20"/>
          <w:spacing w:val="-9"/>
          <w:w w:val="105"/>
        </w:rPr>
        <w:t> </w:t>
      </w:r>
      <w:r>
        <w:rPr>
          <w:color w:val="231F20"/>
          <w:w w:val="105"/>
        </w:rPr>
        <w:t>de</w:t>
      </w:r>
      <w:r>
        <w:rPr>
          <w:color w:val="231F20"/>
          <w:spacing w:val="-9"/>
          <w:w w:val="105"/>
        </w:rPr>
        <w:t> </w:t>
      </w:r>
      <w:r>
        <w:rPr>
          <w:color w:val="231F20"/>
          <w:w w:val="105"/>
        </w:rPr>
        <w:t>enfermos</w:t>
      </w:r>
      <w:r>
        <w:rPr>
          <w:color w:val="231F20"/>
          <w:spacing w:val="-9"/>
          <w:w w:val="105"/>
        </w:rPr>
        <w:t> </w:t>
      </w:r>
      <w:r>
        <w:rPr>
          <w:color w:val="231F20"/>
          <w:w w:val="105"/>
        </w:rPr>
        <w:t>a</w:t>
      </w:r>
      <w:r>
        <w:rPr>
          <w:color w:val="231F20"/>
          <w:spacing w:val="-9"/>
          <w:w w:val="105"/>
        </w:rPr>
        <w:t> </w:t>
      </w:r>
      <w:r>
        <w:rPr>
          <w:color w:val="231F20"/>
          <w:w w:val="105"/>
        </w:rPr>
        <w:t>otros</w:t>
      </w:r>
      <w:r>
        <w:rPr>
          <w:color w:val="231F20"/>
          <w:spacing w:val="-9"/>
          <w:w w:val="105"/>
        </w:rPr>
        <w:t> </w:t>
      </w:r>
      <w:r>
        <w:rPr>
          <w:color w:val="231F20"/>
          <w:w w:val="105"/>
        </w:rPr>
        <w:t>centros</w:t>
      </w:r>
      <w:r>
        <w:rPr>
          <w:color w:val="231F20"/>
          <w:spacing w:val="-9"/>
          <w:w w:val="105"/>
        </w:rPr>
        <w:t> </w:t>
      </w:r>
      <w:r>
        <w:rPr>
          <w:color w:val="231F20"/>
          <w:w w:val="105"/>
        </w:rPr>
        <w:t>de</w:t>
      </w:r>
      <w:r>
        <w:rPr>
          <w:color w:val="231F20"/>
          <w:spacing w:val="-9"/>
          <w:w w:val="105"/>
        </w:rPr>
        <w:t> </w:t>
      </w:r>
      <w:r>
        <w:rPr>
          <w:color w:val="231F20"/>
          <w:w w:val="105"/>
        </w:rPr>
        <w:t>atención médica</w:t>
      </w:r>
      <w:r>
        <w:rPr>
          <w:color w:val="231F20"/>
          <w:spacing w:val="-5"/>
          <w:w w:val="105"/>
        </w:rPr>
        <w:t> </w:t>
      </w:r>
      <w:r>
        <w:rPr>
          <w:color w:val="231F20"/>
          <w:w w:val="105"/>
        </w:rPr>
        <w:t>a</w:t>
      </w:r>
      <w:r>
        <w:rPr>
          <w:color w:val="231F20"/>
          <w:spacing w:val="-5"/>
          <w:w w:val="105"/>
        </w:rPr>
        <w:t> </w:t>
      </w:r>
      <w:r>
        <w:rPr>
          <w:color w:val="231F20"/>
          <w:w w:val="105"/>
        </w:rPr>
        <w:t>personas</w:t>
      </w:r>
      <w:r>
        <w:rPr>
          <w:color w:val="231F20"/>
          <w:spacing w:val="-5"/>
          <w:w w:val="105"/>
        </w:rPr>
        <w:t> </w:t>
      </w:r>
      <w:r>
        <w:rPr>
          <w:color w:val="231F20"/>
          <w:w w:val="105"/>
        </w:rPr>
        <w:t>de</w:t>
      </w:r>
      <w:r>
        <w:rPr>
          <w:color w:val="231F20"/>
          <w:spacing w:val="-5"/>
          <w:w w:val="105"/>
        </w:rPr>
        <w:t> </w:t>
      </w:r>
      <w:r>
        <w:rPr>
          <w:color w:val="231F20"/>
          <w:w w:val="105"/>
        </w:rPr>
        <w:t>escasos</w:t>
      </w:r>
      <w:r>
        <w:rPr>
          <w:color w:val="231F20"/>
          <w:spacing w:val="-5"/>
          <w:w w:val="105"/>
        </w:rPr>
        <w:t> </w:t>
      </w:r>
      <w:r>
        <w:rPr>
          <w:color w:val="231F20"/>
          <w:w w:val="105"/>
        </w:rPr>
        <w:t>recursos,</w:t>
      </w:r>
      <w:r>
        <w:rPr>
          <w:color w:val="231F20"/>
          <w:spacing w:val="-5"/>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campañas</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cuidado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salud según lo estipulado en el artículo </w:t>
      </w:r>
      <w:r>
        <w:rPr>
          <w:color w:val="231F20"/>
          <w:spacing w:val="-6"/>
          <w:w w:val="105"/>
        </w:rPr>
        <w:t>110 </w:t>
      </w:r>
      <w:r>
        <w:rPr>
          <w:color w:val="231F20"/>
          <w:w w:val="105"/>
        </w:rPr>
        <w:t>del Bando Municipal. En cuanto a los apoyos a sectores</w:t>
      </w:r>
      <w:r>
        <w:rPr>
          <w:color w:val="231F20"/>
          <w:spacing w:val="-4"/>
          <w:w w:val="105"/>
        </w:rPr>
        <w:t> </w:t>
      </w:r>
      <w:r>
        <w:rPr>
          <w:color w:val="231F20"/>
          <w:w w:val="105"/>
        </w:rPr>
        <w:t>vulnerables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población</w:t>
      </w:r>
      <w:r>
        <w:rPr>
          <w:color w:val="231F20"/>
          <w:spacing w:val="-4"/>
          <w:w w:val="105"/>
        </w:rPr>
        <w:t> </w:t>
      </w:r>
      <w:r>
        <w:rPr>
          <w:color w:val="231F20"/>
          <w:w w:val="105"/>
        </w:rPr>
        <w:t>(niños,</w:t>
      </w:r>
      <w:r>
        <w:rPr>
          <w:color w:val="231F20"/>
          <w:spacing w:val="-4"/>
          <w:w w:val="105"/>
        </w:rPr>
        <w:t> </w:t>
      </w:r>
      <w:r>
        <w:rPr>
          <w:color w:val="231F20"/>
          <w:w w:val="105"/>
        </w:rPr>
        <w:t>madres</w:t>
      </w:r>
      <w:r>
        <w:rPr>
          <w:color w:val="231F20"/>
          <w:spacing w:val="-4"/>
          <w:w w:val="105"/>
        </w:rPr>
        <w:t> </w:t>
      </w:r>
      <w:r>
        <w:rPr>
          <w:color w:val="231F20"/>
          <w:w w:val="105"/>
        </w:rPr>
        <w:t>solteras</w:t>
      </w:r>
      <w:r>
        <w:rPr>
          <w:color w:val="231F20"/>
          <w:spacing w:val="-4"/>
          <w:w w:val="105"/>
        </w:rPr>
        <w:t> </w:t>
      </w:r>
      <w:r>
        <w:rPr>
          <w:color w:val="231F20"/>
          <w:w w:val="105"/>
        </w:rPr>
        <w:t>y</w:t>
      </w:r>
      <w:r>
        <w:rPr>
          <w:color w:val="231F20"/>
          <w:spacing w:val="-4"/>
          <w:w w:val="105"/>
        </w:rPr>
        <w:t> </w:t>
      </w:r>
      <w:r>
        <w:rPr>
          <w:color w:val="231F20"/>
          <w:w w:val="105"/>
        </w:rPr>
        <w:t>adultos</w:t>
      </w:r>
      <w:r>
        <w:rPr>
          <w:color w:val="231F20"/>
          <w:spacing w:val="-4"/>
          <w:w w:val="105"/>
        </w:rPr>
        <w:t> </w:t>
      </w:r>
      <w:r>
        <w:rPr>
          <w:color w:val="231F20"/>
          <w:spacing w:val="-3"/>
          <w:w w:val="105"/>
        </w:rPr>
        <w:t>mayores)</w:t>
      </w:r>
      <w:r>
        <w:rPr>
          <w:color w:val="231F20"/>
          <w:spacing w:val="-4"/>
          <w:w w:val="105"/>
        </w:rPr>
        <w:t> </w:t>
      </w:r>
      <w:r>
        <w:rPr>
          <w:color w:val="231F20"/>
          <w:w w:val="105"/>
        </w:rPr>
        <w:t>se</w:t>
      </w:r>
      <w:r>
        <w:rPr>
          <w:color w:val="231F20"/>
          <w:spacing w:val="-4"/>
          <w:w w:val="105"/>
        </w:rPr>
        <w:t> </w:t>
      </w:r>
      <w:r>
        <w:rPr>
          <w:color w:val="231F20"/>
          <w:w w:val="105"/>
        </w:rPr>
        <w:t>han gestionado</w:t>
      </w:r>
      <w:r>
        <w:rPr>
          <w:color w:val="231F20"/>
          <w:spacing w:val="-10"/>
          <w:w w:val="105"/>
        </w:rPr>
        <w:t> </w:t>
      </w:r>
      <w:r>
        <w:rPr>
          <w:color w:val="231F20"/>
          <w:w w:val="105"/>
        </w:rPr>
        <w:t>varios</w:t>
      </w:r>
      <w:r>
        <w:rPr>
          <w:color w:val="231F20"/>
          <w:spacing w:val="-10"/>
          <w:w w:val="105"/>
        </w:rPr>
        <w:t> </w:t>
      </w:r>
      <w:r>
        <w:rPr>
          <w:color w:val="231F20"/>
          <w:w w:val="105"/>
        </w:rPr>
        <w:t>programas</w:t>
      </w:r>
      <w:r>
        <w:rPr>
          <w:color w:val="231F20"/>
          <w:spacing w:val="-10"/>
          <w:w w:val="105"/>
        </w:rPr>
        <w:t> </w:t>
      </w:r>
      <w:r>
        <w:rPr>
          <w:color w:val="231F20"/>
          <w:w w:val="105"/>
        </w:rPr>
        <w:t>entre</w:t>
      </w:r>
      <w:r>
        <w:rPr>
          <w:color w:val="231F20"/>
          <w:spacing w:val="-10"/>
          <w:w w:val="105"/>
        </w:rPr>
        <w:t> </w:t>
      </w:r>
      <w:r>
        <w:rPr>
          <w:color w:val="231F20"/>
          <w:w w:val="105"/>
        </w:rPr>
        <w:t>los</w:t>
      </w:r>
      <w:r>
        <w:rPr>
          <w:color w:val="231F20"/>
          <w:spacing w:val="-10"/>
          <w:w w:val="105"/>
        </w:rPr>
        <w:t> </w:t>
      </w:r>
      <w:r>
        <w:rPr>
          <w:color w:val="231F20"/>
          <w:w w:val="105"/>
        </w:rPr>
        <w:t>que</w:t>
      </w:r>
      <w:r>
        <w:rPr>
          <w:color w:val="231F20"/>
          <w:spacing w:val="-10"/>
          <w:w w:val="105"/>
        </w:rPr>
        <w:t> </w:t>
      </w:r>
      <w:r>
        <w:rPr>
          <w:color w:val="231F20"/>
          <w:w w:val="105"/>
        </w:rPr>
        <w:t>destacan:</w:t>
      </w:r>
      <w:r>
        <w:rPr>
          <w:color w:val="231F20"/>
          <w:spacing w:val="-10"/>
          <w:w w:val="105"/>
        </w:rPr>
        <w:t> </w:t>
      </w:r>
      <w:r>
        <w:rPr>
          <w:color w:val="231F20"/>
          <w:w w:val="105"/>
        </w:rPr>
        <w:t>Oportunidades,</w:t>
      </w:r>
      <w:r>
        <w:rPr>
          <w:color w:val="231F20"/>
          <w:spacing w:val="-10"/>
          <w:w w:val="105"/>
        </w:rPr>
        <w:t> </w:t>
      </w:r>
      <w:r>
        <w:rPr>
          <w:color w:val="231F20"/>
          <w:spacing w:val="-3"/>
          <w:w w:val="105"/>
        </w:rPr>
        <w:t>70</w:t>
      </w:r>
      <w:r>
        <w:rPr>
          <w:color w:val="231F20"/>
          <w:spacing w:val="-10"/>
          <w:w w:val="105"/>
        </w:rPr>
        <w:t> </w:t>
      </w:r>
      <w:r>
        <w:rPr>
          <w:color w:val="231F20"/>
          <w:w w:val="105"/>
        </w:rPr>
        <w:t>y</w:t>
      </w:r>
      <w:r>
        <w:rPr>
          <w:color w:val="231F20"/>
          <w:spacing w:val="-10"/>
          <w:w w:val="105"/>
        </w:rPr>
        <w:t> </w:t>
      </w:r>
      <w:r>
        <w:rPr>
          <w:color w:val="231F20"/>
          <w:w w:val="105"/>
        </w:rPr>
        <w:t>más,</w:t>
      </w:r>
      <w:r>
        <w:rPr>
          <w:color w:val="231F20"/>
          <w:spacing w:val="-10"/>
          <w:w w:val="105"/>
        </w:rPr>
        <w:t> </w:t>
      </w:r>
      <w:r>
        <w:rPr>
          <w:color w:val="231F20"/>
          <w:w w:val="105"/>
        </w:rPr>
        <w:t>despen- sas</w:t>
      </w:r>
      <w:r>
        <w:rPr>
          <w:color w:val="231F20"/>
          <w:spacing w:val="-28"/>
          <w:w w:val="105"/>
        </w:rPr>
        <w:t> </w:t>
      </w:r>
      <w:r>
        <w:rPr>
          <w:color w:val="231F20"/>
          <w:w w:val="105"/>
        </w:rPr>
        <w:t>y</w:t>
      </w:r>
      <w:r>
        <w:rPr>
          <w:color w:val="231F20"/>
          <w:spacing w:val="-28"/>
          <w:w w:val="105"/>
        </w:rPr>
        <w:t> </w:t>
      </w:r>
      <w:r>
        <w:rPr>
          <w:color w:val="231F20"/>
          <w:w w:val="105"/>
        </w:rPr>
        <w:t>desayunos</w:t>
      </w:r>
      <w:r>
        <w:rPr>
          <w:color w:val="231F20"/>
          <w:spacing w:val="-28"/>
          <w:w w:val="105"/>
        </w:rPr>
        <w:t> </w:t>
      </w:r>
      <w:r>
        <w:rPr>
          <w:color w:val="231F20"/>
          <w:w w:val="105"/>
        </w:rPr>
        <w:t>escolares.</w:t>
      </w:r>
    </w:p>
    <w:p>
      <w:pPr>
        <w:pStyle w:val="BodyText"/>
        <w:spacing w:before="1"/>
        <w:rPr>
          <w:sz w:val="26"/>
        </w:rPr>
      </w:pPr>
    </w:p>
    <w:p>
      <w:pPr>
        <w:pStyle w:val="BodyText"/>
        <w:spacing w:line="285" w:lineRule="auto"/>
        <w:ind w:left="110" w:right="108"/>
        <w:jc w:val="both"/>
      </w:pPr>
      <w:r>
        <w:rPr>
          <w:color w:val="231F20"/>
          <w:w w:val="105"/>
        </w:rPr>
        <w:t>En el caso de la salud pública se han implementado año con año campañas de vacu- nación</w:t>
      </w:r>
      <w:r>
        <w:rPr>
          <w:color w:val="231F20"/>
          <w:spacing w:val="-7"/>
          <w:w w:val="105"/>
        </w:rPr>
        <w:t> </w:t>
      </w:r>
      <w:r>
        <w:rPr>
          <w:color w:val="231F20"/>
          <w:w w:val="105"/>
        </w:rPr>
        <w:t>y</w:t>
      </w:r>
      <w:r>
        <w:rPr>
          <w:color w:val="231F20"/>
          <w:spacing w:val="-7"/>
          <w:w w:val="105"/>
        </w:rPr>
        <w:t> </w:t>
      </w:r>
      <w:r>
        <w:rPr>
          <w:color w:val="231F20"/>
          <w:w w:val="105"/>
        </w:rPr>
        <w:t>esterilización</w:t>
      </w:r>
      <w:r>
        <w:rPr>
          <w:color w:val="231F20"/>
          <w:spacing w:val="-7"/>
          <w:w w:val="105"/>
        </w:rPr>
        <w:t> </w:t>
      </w:r>
      <w:r>
        <w:rPr>
          <w:color w:val="231F20"/>
          <w:w w:val="105"/>
        </w:rPr>
        <w:t>de</w:t>
      </w:r>
      <w:r>
        <w:rPr>
          <w:color w:val="231F20"/>
          <w:spacing w:val="-7"/>
          <w:w w:val="105"/>
        </w:rPr>
        <w:t> </w:t>
      </w:r>
      <w:r>
        <w:rPr>
          <w:color w:val="231F20"/>
          <w:w w:val="105"/>
        </w:rPr>
        <w:t>perros</w:t>
      </w:r>
      <w:r>
        <w:rPr>
          <w:color w:val="231F20"/>
          <w:spacing w:val="-7"/>
          <w:w w:val="105"/>
        </w:rPr>
        <w:t> </w:t>
      </w:r>
      <w:r>
        <w:rPr>
          <w:color w:val="231F20"/>
          <w:w w:val="105"/>
        </w:rPr>
        <w:t>haciendo</w:t>
      </w:r>
      <w:r>
        <w:rPr>
          <w:color w:val="231F20"/>
          <w:spacing w:val="-7"/>
          <w:w w:val="105"/>
        </w:rPr>
        <w:t> </w:t>
      </w:r>
      <w:r>
        <w:rPr>
          <w:color w:val="231F20"/>
          <w:w w:val="105"/>
        </w:rPr>
        <w:t>uso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facultades</w:t>
      </w:r>
      <w:r>
        <w:rPr>
          <w:color w:val="231F20"/>
          <w:spacing w:val="-7"/>
          <w:w w:val="105"/>
        </w:rPr>
        <w:t> </w:t>
      </w:r>
      <w:r>
        <w:rPr>
          <w:color w:val="231F20"/>
          <w:w w:val="105"/>
        </w:rPr>
        <w:t>que</w:t>
      </w:r>
      <w:r>
        <w:rPr>
          <w:color w:val="231F20"/>
          <w:spacing w:val="-7"/>
          <w:w w:val="105"/>
        </w:rPr>
        <w:t> </w:t>
      </w:r>
      <w:r>
        <w:rPr>
          <w:color w:val="231F20"/>
          <w:w w:val="105"/>
        </w:rPr>
        <w:t>le</w:t>
      </w:r>
      <w:r>
        <w:rPr>
          <w:color w:val="231F20"/>
          <w:spacing w:val="-7"/>
          <w:w w:val="105"/>
        </w:rPr>
        <w:t> </w:t>
      </w:r>
      <w:r>
        <w:rPr>
          <w:color w:val="231F20"/>
          <w:w w:val="105"/>
        </w:rPr>
        <w:t>otorga</w:t>
      </w:r>
      <w:r>
        <w:rPr>
          <w:color w:val="231F20"/>
          <w:spacing w:val="-7"/>
          <w:w w:val="105"/>
        </w:rPr>
        <w:t> </w:t>
      </w:r>
      <w:r>
        <w:rPr>
          <w:color w:val="231F20"/>
          <w:w w:val="105"/>
        </w:rPr>
        <w:t>el</w:t>
      </w:r>
      <w:r>
        <w:rPr>
          <w:color w:val="231F20"/>
          <w:spacing w:val="-7"/>
          <w:w w:val="105"/>
        </w:rPr>
        <w:t> </w:t>
      </w:r>
      <w:r>
        <w:rPr>
          <w:color w:val="231F20"/>
          <w:w w:val="105"/>
        </w:rPr>
        <w:t>Bando Municipal</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artículo</w:t>
      </w:r>
      <w:r>
        <w:rPr>
          <w:color w:val="231F20"/>
          <w:spacing w:val="-4"/>
          <w:w w:val="105"/>
        </w:rPr>
        <w:t> </w:t>
      </w:r>
      <w:r>
        <w:rPr>
          <w:color w:val="231F20"/>
          <w:spacing w:val="-6"/>
          <w:w w:val="105"/>
        </w:rPr>
        <w:t>111</w:t>
      </w:r>
      <w:r>
        <w:rPr>
          <w:color w:val="231F20"/>
          <w:spacing w:val="-4"/>
          <w:w w:val="105"/>
        </w:rPr>
        <w:t> </w:t>
      </w:r>
      <w:r>
        <w:rPr>
          <w:color w:val="231F20"/>
          <w:w w:val="105"/>
        </w:rPr>
        <w:t>y</w:t>
      </w:r>
      <w:r>
        <w:rPr>
          <w:color w:val="231F20"/>
          <w:spacing w:val="-4"/>
          <w:w w:val="105"/>
        </w:rPr>
        <w:t> </w:t>
      </w:r>
      <w:r>
        <w:rPr>
          <w:color w:val="231F20"/>
          <w:w w:val="105"/>
        </w:rPr>
        <w:t>se</w:t>
      </w:r>
      <w:r>
        <w:rPr>
          <w:color w:val="231F20"/>
          <w:spacing w:val="-4"/>
          <w:w w:val="105"/>
        </w:rPr>
        <w:t> </w:t>
      </w:r>
      <w:r>
        <w:rPr>
          <w:color w:val="231F20"/>
          <w:w w:val="105"/>
        </w:rPr>
        <w:t>han</w:t>
      </w:r>
      <w:r>
        <w:rPr>
          <w:color w:val="231F20"/>
          <w:spacing w:val="-4"/>
          <w:w w:val="105"/>
        </w:rPr>
        <w:t> </w:t>
      </w:r>
      <w:r>
        <w:rPr>
          <w:color w:val="231F20"/>
          <w:w w:val="105"/>
        </w:rPr>
        <w:t>implementado</w:t>
      </w:r>
      <w:r>
        <w:rPr>
          <w:color w:val="231F20"/>
          <w:spacing w:val="-4"/>
          <w:w w:val="105"/>
        </w:rPr>
        <w:t> </w:t>
      </w:r>
      <w:r>
        <w:rPr>
          <w:color w:val="231F20"/>
          <w:w w:val="105"/>
        </w:rPr>
        <w:t>cursos</w:t>
      </w:r>
      <w:r>
        <w:rPr>
          <w:color w:val="231F20"/>
          <w:spacing w:val="-4"/>
          <w:w w:val="105"/>
        </w:rPr>
        <w:t> </w:t>
      </w:r>
      <w:r>
        <w:rPr>
          <w:color w:val="231F20"/>
          <w:w w:val="105"/>
        </w:rPr>
        <w:t>y</w:t>
      </w:r>
      <w:r>
        <w:rPr>
          <w:color w:val="231F20"/>
          <w:spacing w:val="-4"/>
          <w:w w:val="105"/>
        </w:rPr>
        <w:t> </w:t>
      </w:r>
      <w:r>
        <w:rPr>
          <w:color w:val="231F20"/>
          <w:w w:val="105"/>
        </w:rPr>
        <w:t>talleres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capacita- ción en el trabajo. </w:t>
      </w:r>
      <w:r>
        <w:rPr>
          <w:color w:val="231F20"/>
          <w:spacing w:val="-3"/>
          <w:w w:val="105"/>
        </w:rPr>
        <w:t>Referente </w:t>
      </w:r>
      <w:r>
        <w:rPr>
          <w:color w:val="231F20"/>
          <w:w w:val="105"/>
        </w:rPr>
        <w:t>a Derechos Humanos, en primer instancia se </w:t>
      </w:r>
      <w:r>
        <w:rPr>
          <w:color w:val="231F20"/>
          <w:spacing w:val="-3"/>
          <w:w w:val="105"/>
        </w:rPr>
        <w:t>nombró </w:t>
      </w:r>
      <w:r>
        <w:rPr>
          <w:color w:val="231F20"/>
          <w:spacing w:val="2"/>
          <w:w w:val="105"/>
        </w:rPr>
        <w:t>al </w:t>
      </w:r>
      <w:r>
        <w:rPr>
          <w:color w:val="231F20"/>
          <w:w w:val="105"/>
        </w:rPr>
        <w:t>encargado de esta área (por cierto es el único empleado del ayuntamiento que cuenta con estudios de posgrado) y después se le instruyó en sus funciones: las cuales se han diversificado</w:t>
      </w:r>
      <w:r>
        <w:rPr>
          <w:color w:val="231F20"/>
          <w:spacing w:val="-7"/>
          <w:w w:val="105"/>
        </w:rPr>
        <w:t> </w:t>
      </w:r>
      <w:r>
        <w:rPr>
          <w:color w:val="231F20"/>
          <w:w w:val="105"/>
        </w:rPr>
        <w:t>en</w:t>
      </w:r>
      <w:r>
        <w:rPr>
          <w:color w:val="231F20"/>
          <w:spacing w:val="-7"/>
          <w:w w:val="105"/>
        </w:rPr>
        <w:t> </w:t>
      </w:r>
      <w:r>
        <w:rPr>
          <w:color w:val="231F20"/>
          <w:w w:val="105"/>
        </w:rPr>
        <w:t>cursos,</w:t>
      </w:r>
      <w:r>
        <w:rPr>
          <w:color w:val="231F20"/>
          <w:spacing w:val="-7"/>
          <w:w w:val="105"/>
        </w:rPr>
        <w:t> </w:t>
      </w:r>
      <w:r>
        <w:rPr>
          <w:color w:val="231F20"/>
          <w:w w:val="105"/>
        </w:rPr>
        <w:t>pláticas</w:t>
      </w:r>
      <w:r>
        <w:rPr>
          <w:color w:val="231F20"/>
          <w:spacing w:val="-7"/>
          <w:w w:val="105"/>
        </w:rPr>
        <w:t> </w:t>
      </w:r>
      <w:r>
        <w:rPr>
          <w:color w:val="231F20"/>
          <w:w w:val="105"/>
        </w:rPr>
        <w:t>y</w:t>
      </w:r>
      <w:r>
        <w:rPr>
          <w:color w:val="231F20"/>
          <w:spacing w:val="-7"/>
          <w:w w:val="105"/>
        </w:rPr>
        <w:t> </w:t>
      </w:r>
      <w:r>
        <w:rPr>
          <w:color w:val="231F20"/>
          <w:w w:val="105"/>
        </w:rPr>
        <w:t>talleres</w:t>
      </w:r>
      <w:r>
        <w:rPr>
          <w:color w:val="231F20"/>
          <w:spacing w:val="-7"/>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la</w:t>
      </w:r>
      <w:r>
        <w:rPr>
          <w:color w:val="231F20"/>
          <w:spacing w:val="-7"/>
          <w:w w:val="105"/>
        </w:rPr>
        <w:t> </w:t>
      </w:r>
      <w:r>
        <w:rPr>
          <w:color w:val="231F20"/>
          <w:w w:val="105"/>
        </w:rPr>
        <w:t>asesoría</w:t>
      </w:r>
      <w:r>
        <w:rPr>
          <w:color w:val="231F20"/>
          <w:spacing w:val="-7"/>
          <w:w w:val="105"/>
        </w:rPr>
        <w:t> </w:t>
      </w:r>
      <w:r>
        <w:rPr>
          <w:color w:val="231F20"/>
          <w:w w:val="105"/>
        </w:rPr>
        <w:t>y</w:t>
      </w:r>
      <w:r>
        <w:rPr>
          <w:color w:val="231F20"/>
          <w:spacing w:val="-7"/>
          <w:w w:val="105"/>
        </w:rPr>
        <w:t> </w:t>
      </w:r>
      <w:r>
        <w:rPr>
          <w:color w:val="231F20"/>
          <w:w w:val="105"/>
        </w:rPr>
        <w:t>canalización</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de- fensa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derechos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personas,</w:t>
      </w:r>
      <w:r>
        <w:rPr>
          <w:color w:val="231F20"/>
          <w:spacing w:val="-13"/>
          <w:w w:val="105"/>
        </w:rPr>
        <w:t> </w:t>
      </w:r>
      <w:r>
        <w:rPr>
          <w:color w:val="231F20"/>
          <w:w w:val="105"/>
        </w:rPr>
        <w:t>reportando</w:t>
      </w:r>
      <w:r>
        <w:rPr>
          <w:color w:val="231F20"/>
          <w:spacing w:val="-13"/>
          <w:w w:val="105"/>
        </w:rPr>
        <w:t> </w:t>
      </w:r>
      <w:r>
        <w:rPr>
          <w:color w:val="231F20"/>
          <w:w w:val="105"/>
        </w:rPr>
        <w:t>un</w:t>
      </w:r>
      <w:r>
        <w:rPr>
          <w:color w:val="231F20"/>
          <w:spacing w:val="-13"/>
          <w:w w:val="105"/>
        </w:rPr>
        <w:t> </w:t>
      </w:r>
      <w:r>
        <w:rPr>
          <w:color w:val="231F20"/>
          <w:w w:val="105"/>
        </w:rPr>
        <w:t>avance</w:t>
      </w:r>
      <w:r>
        <w:rPr>
          <w:color w:val="231F20"/>
          <w:spacing w:val="-13"/>
          <w:w w:val="105"/>
        </w:rPr>
        <w:t> </w:t>
      </w:r>
      <w:r>
        <w:rPr>
          <w:color w:val="231F20"/>
          <w:w w:val="105"/>
        </w:rPr>
        <w:t>del</w:t>
      </w:r>
      <w:r>
        <w:rPr>
          <w:color w:val="231F20"/>
          <w:spacing w:val="-13"/>
          <w:w w:val="105"/>
        </w:rPr>
        <w:t> </w:t>
      </w:r>
      <w:r>
        <w:rPr>
          <w:color w:val="231F20"/>
          <w:w w:val="105"/>
        </w:rPr>
        <w:t>60%</w:t>
      </w:r>
      <w:r>
        <w:rPr>
          <w:color w:val="231F20"/>
          <w:spacing w:val="-13"/>
          <w:w w:val="105"/>
        </w:rPr>
        <w:t> </w:t>
      </w:r>
      <w:r>
        <w:rPr>
          <w:color w:val="231F20"/>
          <w:w w:val="105"/>
        </w:rPr>
        <w:t>en</w:t>
      </w:r>
      <w:r>
        <w:rPr>
          <w:color w:val="231F20"/>
          <w:spacing w:val="-13"/>
          <w:w w:val="105"/>
        </w:rPr>
        <w:t> </w:t>
      </w:r>
      <w:r>
        <w:rPr>
          <w:color w:val="231F20"/>
          <w:w w:val="105"/>
        </w:rPr>
        <w:t>sus</w:t>
      </w:r>
      <w:r>
        <w:rPr>
          <w:color w:val="231F20"/>
          <w:spacing w:val="-13"/>
          <w:w w:val="105"/>
        </w:rPr>
        <w:t> </w:t>
      </w:r>
      <w:r>
        <w:rPr>
          <w:color w:val="231F20"/>
          <w:w w:val="105"/>
        </w:rPr>
        <w:t>actividades planeadas.</w:t>
      </w:r>
      <w:r>
        <w:rPr>
          <w:color w:val="231F20"/>
          <w:spacing w:val="-39"/>
          <w:w w:val="105"/>
        </w:rPr>
        <w:t> </w:t>
      </w:r>
      <w:r>
        <w:rPr>
          <w:color w:val="231F20"/>
          <w:w w:val="105"/>
        </w:rPr>
        <w:t>(Actas</w:t>
      </w:r>
      <w:r>
        <w:rPr>
          <w:color w:val="231F20"/>
          <w:spacing w:val="-39"/>
          <w:w w:val="105"/>
        </w:rPr>
        <w:t> </w:t>
      </w:r>
      <w:r>
        <w:rPr>
          <w:color w:val="231F20"/>
          <w:w w:val="105"/>
        </w:rPr>
        <w:t>de</w:t>
      </w:r>
      <w:r>
        <w:rPr>
          <w:color w:val="231F20"/>
          <w:spacing w:val="-39"/>
          <w:w w:val="105"/>
        </w:rPr>
        <w:t> </w:t>
      </w:r>
      <w:r>
        <w:rPr>
          <w:color w:val="231F20"/>
          <w:w w:val="105"/>
        </w:rPr>
        <w:t>cabildo:</w:t>
      </w:r>
      <w:r>
        <w:rPr>
          <w:color w:val="231F20"/>
          <w:spacing w:val="-39"/>
          <w:w w:val="105"/>
        </w:rPr>
        <w:t> </w:t>
      </w:r>
      <w:r>
        <w:rPr>
          <w:color w:val="231F20"/>
          <w:w w:val="105"/>
        </w:rPr>
        <w:t>2006,13).</w:t>
      </w:r>
    </w:p>
    <w:p>
      <w:pPr>
        <w:pStyle w:val="BodyText"/>
        <w:spacing w:before="1"/>
        <w:rPr>
          <w:sz w:val="26"/>
        </w:rPr>
      </w:pPr>
    </w:p>
    <w:p>
      <w:pPr>
        <w:pStyle w:val="BodyText"/>
        <w:spacing w:line="285" w:lineRule="auto"/>
        <w:ind w:left="110" w:right="108"/>
        <w:jc w:val="both"/>
      </w:pPr>
      <w:r>
        <w:rPr>
          <w:color w:val="231F20"/>
          <w:w w:val="105"/>
        </w:rPr>
        <w:t>Para</w:t>
      </w:r>
      <w:r>
        <w:rPr>
          <w:color w:val="231F20"/>
          <w:spacing w:val="-14"/>
          <w:w w:val="105"/>
        </w:rPr>
        <w:t> </w:t>
      </w:r>
      <w:r>
        <w:rPr>
          <w:color w:val="231F20"/>
          <w:spacing w:val="-3"/>
          <w:w w:val="105"/>
        </w:rPr>
        <w:t>2007,</w:t>
      </w:r>
      <w:r>
        <w:rPr>
          <w:color w:val="231F20"/>
          <w:spacing w:val="-14"/>
          <w:w w:val="105"/>
        </w:rPr>
        <w:t> </w:t>
      </w:r>
      <w:r>
        <w:rPr>
          <w:color w:val="231F20"/>
          <w:w w:val="105"/>
        </w:rPr>
        <w:t>los</w:t>
      </w:r>
      <w:r>
        <w:rPr>
          <w:color w:val="231F20"/>
          <w:spacing w:val="-14"/>
          <w:w w:val="105"/>
        </w:rPr>
        <w:t> </w:t>
      </w:r>
      <w:r>
        <w:rPr>
          <w:color w:val="231F20"/>
          <w:w w:val="105"/>
        </w:rPr>
        <w:t>programas</w:t>
      </w:r>
      <w:r>
        <w:rPr>
          <w:color w:val="231F20"/>
          <w:spacing w:val="-14"/>
          <w:w w:val="105"/>
        </w:rPr>
        <w:t> </w:t>
      </w:r>
      <w:r>
        <w:rPr>
          <w:color w:val="231F20"/>
          <w:w w:val="105"/>
        </w:rPr>
        <w:t>de</w:t>
      </w:r>
      <w:r>
        <w:rPr>
          <w:color w:val="231F20"/>
          <w:spacing w:val="-14"/>
          <w:w w:val="105"/>
        </w:rPr>
        <w:t> </w:t>
      </w:r>
      <w:r>
        <w:rPr>
          <w:color w:val="231F20"/>
          <w:w w:val="105"/>
        </w:rPr>
        <w:t>apoyo</w:t>
      </w:r>
      <w:r>
        <w:rPr>
          <w:color w:val="231F20"/>
          <w:spacing w:val="-14"/>
          <w:w w:val="105"/>
        </w:rPr>
        <w:t> </w:t>
      </w:r>
      <w:r>
        <w:rPr>
          <w:color w:val="231F20"/>
          <w:w w:val="105"/>
        </w:rPr>
        <w:t>se</w:t>
      </w:r>
      <w:r>
        <w:rPr>
          <w:color w:val="231F20"/>
          <w:spacing w:val="-14"/>
          <w:w w:val="105"/>
        </w:rPr>
        <w:t> </w:t>
      </w:r>
      <w:r>
        <w:rPr>
          <w:color w:val="231F20"/>
          <w:w w:val="105"/>
        </w:rPr>
        <w:t>centraron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campo</w:t>
      </w:r>
      <w:r>
        <w:rPr>
          <w:color w:val="231F20"/>
          <w:spacing w:val="-14"/>
          <w:w w:val="105"/>
        </w:rPr>
        <w:t> </w:t>
      </w:r>
      <w:r>
        <w:rPr>
          <w:color w:val="231F20"/>
          <w:w w:val="105"/>
        </w:rPr>
        <w:t>distribuyendo</w:t>
      </w:r>
      <w:r>
        <w:rPr>
          <w:color w:val="231F20"/>
          <w:spacing w:val="-14"/>
          <w:w w:val="105"/>
        </w:rPr>
        <w:t> </w:t>
      </w:r>
      <w:r>
        <w:rPr>
          <w:color w:val="231F20"/>
          <w:w w:val="105"/>
        </w:rPr>
        <w:t>maquinaria, semillas</w:t>
      </w:r>
      <w:r>
        <w:rPr>
          <w:color w:val="231F20"/>
          <w:spacing w:val="-21"/>
          <w:w w:val="105"/>
        </w:rPr>
        <w:t> </w:t>
      </w:r>
      <w:r>
        <w:rPr>
          <w:color w:val="231F20"/>
          <w:w w:val="105"/>
        </w:rPr>
        <w:t>e</w:t>
      </w:r>
      <w:r>
        <w:rPr>
          <w:color w:val="231F20"/>
          <w:spacing w:val="-21"/>
          <w:w w:val="105"/>
        </w:rPr>
        <w:t> </w:t>
      </w:r>
      <w:r>
        <w:rPr>
          <w:color w:val="231F20"/>
          <w:w w:val="105"/>
        </w:rPr>
        <w:t>implementos</w:t>
      </w:r>
      <w:r>
        <w:rPr>
          <w:color w:val="231F20"/>
          <w:spacing w:val="-21"/>
          <w:w w:val="105"/>
        </w:rPr>
        <w:t> </w:t>
      </w:r>
      <w:r>
        <w:rPr>
          <w:color w:val="231F20"/>
          <w:w w:val="105"/>
        </w:rPr>
        <w:t>agrícolas,</w:t>
      </w:r>
      <w:r>
        <w:rPr>
          <w:color w:val="231F20"/>
          <w:spacing w:val="-21"/>
          <w:w w:val="105"/>
        </w:rPr>
        <w:t> </w:t>
      </w:r>
      <w:r>
        <w:rPr>
          <w:color w:val="231F20"/>
          <w:w w:val="105"/>
        </w:rPr>
        <w:t>aunque</w:t>
      </w:r>
      <w:r>
        <w:rPr>
          <w:color w:val="231F20"/>
          <w:spacing w:val="-21"/>
          <w:w w:val="105"/>
        </w:rPr>
        <w:t> </w:t>
      </w:r>
      <w:r>
        <w:rPr>
          <w:color w:val="231F20"/>
          <w:w w:val="105"/>
        </w:rPr>
        <w:t>de</w:t>
      </w:r>
      <w:r>
        <w:rPr>
          <w:color w:val="231F20"/>
          <w:spacing w:val="-21"/>
          <w:w w:val="105"/>
        </w:rPr>
        <w:t> </w:t>
      </w:r>
      <w:r>
        <w:rPr>
          <w:color w:val="231F20"/>
          <w:w w:val="105"/>
        </w:rPr>
        <w:t>manera</w:t>
      </w:r>
      <w:r>
        <w:rPr>
          <w:color w:val="231F20"/>
          <w:spacing w:val="-21"/>
          <w:w w:val="105"/>
        </w:rPr>
        <w:t> </w:t>
      </w:r>
      <w:r>
        <w:rPr>
          <w:color w:val="231F20"/>
          <w:w w:val="105"/>
        </w:rPr>
        <w:t>discrecional,</w:t>
      </w:r>
      <w:r>
        <w:rPr>
          <w:color w:val="231F20"/>
          <w:spacing w:val="-21"/>
          <w:w w:val="105"/>
        </w:rPr>
        <w:t> </w:t>
      </w:r>
      <w:r>
        <w:rPr>
          <w:color w:val="231F20"/>
          <w:w w:val="105"/>
        </w:rPr>
        <w:t>pues</w:t>
      </w:r>
      <w:r>
        <w:rPr>
          <w:color w:val="231F20"/>
          <w:spacing w:val="-21"/>
          <w:w w:val="105"/>
        </w:rPr>
        <w:t> </w:t>
      </w:r>
      <w:r>
        <w:rPr>
          <w:color w:val="231F20"/>
          <w:w w:val="105"/>
        </w:rPr>
        <w:t>no</w:t>
      </w:r>
      <w:r>
        <w:rPr>
          <w:color w:val="231F20"/>
          <w:spacing w:val="-21"/>
          <w:w w:val="105"/>
        </w:rPr>
        <w:t> </w:t>
      </w:r>
      <w:r>
        <w:rPr>
          <w:color w:val="231F20"/>
          <w:w w:val="105"/>
        </w:rPr>
        <w:t>hay</w:t>
      </w:r>
      <w:r>
        <w:rPr>
          <w:color w:val="231F20"/>
          <w:spacing w:val="-21"/>
          <w:w w:val="105"/>
        </w:rPr>
        <w:t> </w:t>
      </w:r>
      <w:r>
        <w:rPr>
          <w:color w:val="231F20"/>
          <w:w w:val="105"/>
        </w:rPr>
        <w:t>una</w:t>
      </w:r>
      <w:r>
        <w:rPr>
          <w:color w:val="231F20"/>
          <w:spacing w:val="-21"/>
          <w:w w:val="105"/>
        </w:rPr>
        <w:t> </w:t>
      </w:r>
      <w:r>
        <w:rPr>
          <w:color w:val="231F20"/>
          <w:w w:val="105"/>
        </w:rPr>
        <w:t>difu- sión</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municipio</w:t>
      </w:r>
      <w:r>
        <w:rPr>
          <w:color w:val="231F20"/>
          <w:spacing w:val="-13"/>
          <w:w w:val="105"/>
        </w:rPr>
        <w:t> </w:t>
      </w:r>
      <w:r>
        <w:rPr>
          <w:color w:val="231F20"/>
          <w:w w:val="105"/>
        </w:rPr>
        <w:t>sobre</w:t>
      </w:r>
      <w:r>
        <w:rPr>
          <w:color w:val="231F20"/>
          <w:spacing w:val="-13"/>
          <w:w w:val="105"/>
        </w:rPr>
        <w:t> </w:t>
      </w:r>
      <w:r>
        <w:rPr>
          <w:color w:val="231F20"/>
          <w:w w:val="105"/>
        </w:rPr>
        <w:t>las</w:t>
      </w:r>
      <w:r>
        <w:rPr>
          <w:color w:val="231F20"/>
          <w:spacing w:val="-13"/>
          <w:w w:val="105"/>
        </w:rPr>
        <w:t> </w:t>
      </w:r>
      <w:r>
        <w:rPr>
          <w:color w:val="231F20"/>
          <w:w w:val="105"/>
        </w:rPr>
        <w:t>fechas</w:t>
      </w:r>
      <w:r>
        <w:rPr>
          <w:color w:val="231F20"/>
          <w:spacing w:val="-13"/>
          <w:w w:val="105"/>
        </w:rPr>
        <w:t> </w:t>
      </w:r>
      <w:r>
        <w:rPr>
          <w:color w:val="231F20"/>
          <w:w w:val="105"/>
        </w:rPr>
        <w:t>y</w:t>
      </w:r>
      <w:r>
        <w:rPr>
          <w:color w:val="231F20"/>
          <w:spacing w:val="-13"/>
          <w:w w:val="105"/>
        </w:rPr>
        <w:t> </w:t>
      </w:r>
      <w:r>
        <w:rPr>
          <w:color w:val="231F20"/>
          <w:w w:val="105"/>
        </w:rPr>
        <w:t>requisitos</w:t>
      </w:r>
      <w:r>
        <w:rPr>
          <w:color w:val="231F20"/>
          <w:spacing w:val="-13"/>
          <w:w w:val="105"/>
        </w:rPr>
        <w:t> </w:t>
      </w:r>
      <w:r>
        <w:rPr>
          <w:color w:val="231F20"/>
          <w:w w:val="105"/>
        </w:rPr>
        <w:t>para</w:t>
      </w:r>
      <w:r>
        <w:rPr>
          <w:color w:val="231F20"/>
          <w:spacing w:val="-13"/>
          <w:w w:val="105"/>
        </w:rPr>
        <w:t> </w:t>
      </w:r>
      <w:r>
        <w:rPr>
          <w:color w:val="231F20"/>
          <w:w w:val="105"/>
        </w:rPr>
        <w:t>inscribirse</w:t>
      </w:r>
      <w:r>
        <w:rPr>
          <w:color w:val="231F20"/>
          <w:spacing w:val="-13"/>
          <w:w w:val="105"/>
        </w:rPr>
        <w:t> </w:t>
      </w:r>
      <w:r>
        <w:rPr>
          <w:color w:val="231F20"/>
          <w:w w:val="105"/>
        </w:rPr>
        <w:t>a</w:t>
      </w:r>
      <w:r>
        <w:rPr>
          <w:color w:val="231F20"/>
          <w:spacing w:val="-13"/>
          <w:w w:val="105"/>
        </w:rPr>
        <w:t> </w:t>
      </w:r>
      <w:r>
        <w:rPr>
          <w:color w:val="231F20"/>
          <w:w w:val="105"/>
        </w:rPr>
        <w:t>estos</w:t>
      </w:r>
      <w:r>
        <w:rPr>
          <w:color w:val="231F20"/>
          <w:spacing w:val="-13"/>
          <w:w w:val="105"/>
        </w:rPr>
        <w:t> </w:t>
      </w:r>
      <w:r>
        <w:rPr>
          <w:color w:val="231F20"/>
          <w:w w:val="105"/>
        </w:rPr>
        <w:t>programas.</w:t>
      </w:r>
    </w:p>
    <w:p>
      <w:pPr>
        <w:pStyle w:val="BodyText"/>
        <w:spacing w:before="1"/>
        <w:rPr>
          <w:sz w:val="26"/>
        </w:rPr>
      </w:pPr>
    </w:p>
    <w:p>
      <w:pPr>
        <w:pStyle w:val="BodyText"/>
        <w:ind w:left="110"/>
        <w:jc w:val="both"/>
      </w:pPr>
      <w:r>
        <w:rPr>
          <w:color w:val="231F20"/>
          <w:w w:val="105"/>
        </w:rPr>
        <w:t>Para el ejercicio de 2008, las acciones del gobierno se centraron en el rubro de la segu-</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ridad</w:t>
      </w:r>
      <w:r>
        <w:rPr>
          <w:color w:val="231F20"/>
          <w:spacing w:val="-8"/>
          <w:w w:val="105"/>
        </w:rPr>
        <w:t> </w:t>
      </w:r>
      <w:r>
        <w:rPr>
          <w:color w:val="231F20"/>
          <w:w w:val="105"/>
        </w:rPr>
        <w:t>económica.</w:t>
      </w:r>
      <w:r>
        <w:rPr>
          <w:color w:val="231F20"/>
          <w:spacing w:val="-8"/>
          <w:w w:val="105"/>
        </w:rPr>
        <w:t> </w:t>
      </w:r>
      <w:r>
        <w:rPr>
          <w:color w:val="231F20"/>
          <w:w w:val="105"/>
        </w:rPr>
        <w:t>Se</w:t>
      </w:r>
      <w:r>
        <w:rPr>
          <w:color w:val="231F20"/>
          <w:spacing w:val="-8"/>
          <w:w w:val="105"/>
        </w:rPr>
        <w:t> </w:t>
      </w:r>
      <w:r>
        <w:rPr>
          <w:color w:val="231F20"/>
          <w:w w:val="105"/>
        </w:rPr>
        <w:t>programaron</w:t>
      </w:r>
      <w:r>
        <w:rPr>
          <w:color w:val="231F20"/>
          <w:spacing w:val="-8"/>
          <w:w w:val="105"/>
        </w:rPr>
        <w:t> </w:t>
      </w:r>
      <w:r>
        <w:rPr>
          <w:color w:val="231F20"/>
          <w:spacing w:val="-5"/>
          <w:w w:val="105"/>
        </w:rPr>
        <w:t>76</w:t>
      </w:r>
      <w:r>
        <w:rPr>
          <w:color w:val="231F20"/>
          <w:spacing w:val="-8"/>
          <w:w w:val="105"/>
        </w:rPr>
        <w:t> </w:t>
      </w:r>
      <w:r>
        <w:rPr>
          <w:color w:val="231F20"/>
          <w:w w:val="105"/>
        </w:rPr>
        <w:t>obras,</w:t>
      </w:r>
      <w:r>
        <w:rPr>
          <w:color w:val="231F20"/>
          <w:spacing w:val="-8"/>
          <w:w w:val="105"/>
        </w:rPr>
        <w:t> </w:t>
      </w:r>
      <w:r>
        <w:rPr>
          <w:color w:val="231F20"/>
          <w:spacing w:val="-6"/>
          <w:w w:val="105"/>
        </w:rPr>
        <w:t>16</w:t>
      </w:r>
      <w:r>
        <w:rPr>
          <w:color w:val="231F20"/>
          <w:spacing w:val="-8"/>
          <w:w w:val="105"/>
        </w:rPr>
        <w:t> </w:t>
      </w:r>
      <w:r>
        <w:rPr>
          <w:color w:val="231F20"/>
          <w:w w:val="105"/>
        </w:rPr>
        <w:t>más</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contempladas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Plan</w:t>
      </w:r>
      <w:r>
        <w:rPr>
          <w:color w:val="231F20"/>
          <w:spacing w:val="-8"/>
          <w:w w:val="105"/>
        </w:rPr>
        <w:t> </w:t>
      </w:r>
      <w:r>
        <w:rPr>
          <w:color w:val="231F20"/>
          <w:w w:val="105"/>
        </w:rPr>
        <w:t>de Desarrollo Municipal, las cuales se distribuyeron de la siguiente forma: 39 en la</w:t>
      </w:r>
      <w:r>
        <w:rPr>
          <w:color w:val="231F20"/>
          <w:spacing w:val="-35"/>
          <w:w w:val="105"/>
        </w:rPr>
        <w:t> </w:t>
      </w:r>
      <w:r>
        <w:rPr>
          <w:color w:val="231F20"/>
          <w:w w:val="105"/>
        </w:rPr>
        <w:t>cabe- cera municipal, 15 en San Juan Tehuixtitlán, </w:t>
      </w:r>
      <w:r>
        <w:rPr>
          <w:color w:val="231F20"/>
          <w:spacing w:val="-4"/>
          <w:w w:val="105"/>
        </w:rPr>
        <w:t>11 </w:t>
      </w:r>
      <w:r>
        <w:rPr>
          <w:color w:val="231F20"/>
          <w:w w:val="105"/>
        </w:rPr>
        <w:t>en Tepecoculco, 2 en Tlalamác, 2 en la</w:t>
      </w:r>
      <w:r>
        <w:rPr>
          <w:color w:val="231F20"/>
          <w:spacing w:val="-10"/>
          <w:w w:val="105"/>
        </w:rPr>
        <w:t> </w:t>
      </w:r>
      <w:r>
        <w:rPr>
          <w:color w:val="231F20"/>
          <w:w w:val="105"/>
        </w:rPr>
        <w:t>Colonia</w:t>
      </w:r>
      <w:r>
        <w:rPr>
          <w:color w:val="231F20"/>
          <w:spacing w:val="-10"/>
          <w:w w:val="105"/>
        </w:rPr>
        <w:t> </w:t>
      </w:r>
      <w:r>
        <w:rPr>
          <w:color w:val="231F20"/>
          <w:w w:val="105"/>
        </w:rPr>
        <w:t>Guadalupe</w:t>
      </w:r>
      <w:r>
        <w:rPr>
          <w:color w:val="231F20"/>
          <w:spacing w:val="-10"/>
          <w:w w:val="105"/>
        </w:rPr>
        <w:t> </w:t>
      </w:r>
      <w:r>
        <w:rPr>
          <w:color w:val="231F20"/>
          <w:w w:val="105"/>
        </w:rPr>
        <w:t>Hidalgo</w:t>
      </w:r>
      <w:r>
        <w:rPr>
          <w:color w:val="231F20"/>
          <w:spacing w:val="-10"/>
          <w:w w:val="105"/>
        </w:rPr>
        <w:t> </w:t>
      </w:r>
      <w:r>
        <w:rPr>
          <w:color w:val="231F20"/>
          <w:w w:val="105"/>
        </w:rPr>
        <w:t>y</w:t>
      </w:r>
      <w:r>
        <w:rPr>
          <w:color w:val="231F20"/>
          <w:spacing w:val="-10"/>
          <w:w w:val="105"/>
        </w:rPr>
        <w:t> </w:t>
      </w:r>
      <w:r>
        <w:rPr>
          <w:color w:val="231F20"/>
          <w:w w:val="105"/>
        </w:rPr>
        <w:t>7</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spacing w:val="-3"/>
          <w:w w:val="105"/>
        </w:rPr>
        <w:t>Popo</w:t>
      </w:r>
      <w:r>
        <w:rPr>
          <w:color w:val="231F20"/>
          <w:spacing w:val="-10"/>
          <w:w w:val="105"/>
        </w:rPr>
        <w:t> </w:t>
      </w:r>
      <w:r>
        <w:rPr>
          <w:color w:val="231F20"/>
          <w:w w:val="105"/>
        </w:rPr>
        <w:t>Park;</w:t>
      </w:r>
      <w:r>
        <w:rPr>
          <w:color w:val="231F20"/>
          <w:spacing w:val="-10"/>
          <w:w w:val="105"/>
        </w:rPr>
        <w:t> </w:t>
      </w:r>
      <w:r>
        <w:rPr>
          <w:color w:val="231F20"/>
          <w:w w:val="105"/>
        </w:rPr>
        <w:t>de</w:t>
      </w:r>
      <w:r>
        <w:rPr>
          <w:color w:val="231F20"/>
          <w:spacing w:val="-10"/>
          <w:w w:val="105"/>
        </w:rPr>
        <w:t> </w:t>
      </w:r>
      <w:r>
        <w:rPr>
          <w:color w:val="231F20"/>
          <w:w w:val="105"/>
        </w:rPr>
        <w:t>éstas</w:t>
      </w:r>
      <w:r>
        <w:rPr>
          <w:color w:val="231F20"/>
          <w:spacing w:val="-10"/>
          <w:w w:val="105"/>
        </w:rPr>
        <w:t> </w:t>
      </w:r>
      <w:r>
        <w:rPr>
          <w:color w:val="231F20"/>
          <w:w w:val="105"/>
        </w:rPr>
        <w:t>el</w:t>
      </w:r>
      <w:r>
        <w:rPr>
          <w:color w:val="231F20"/>
          <w:spacing w:val="-10"/>
          <w:w w:val="105"/>
        </w:rPr>
        <w:t> </w:t>
      </w:r>
      <w:r>
        <w:rPr>
          <w:color w:val="231F20"/>
          <w:w w:val="105"/>
        </w:rPr>
        <w:t>45%</w:t>
      </w:r>
      <w:r>
        <w:rPr>
          <w:color w:val="231F20"/>
          <w:spacing w:val="-10"/>
          <w:w w:val="105"/>
        </w:rPr>
        <w:t> </w:t>
      </w:r>
      <w:r>
        <w:rPr>
          <w:color w:val="231F20"/>
          <w:w w:val="105"/>
        </w:rPr>
        <w:t>están</w:t>
      </w:r>
      <w:r>
        <w:rPr>
          <w:color w:val="231F20"/>
          <w:spacing w:val="-10"/>
          <w:w w:val="105"/>
        </w:rPr>
        <w:t> </w:t>
      </w:r>
      <w:r>
        <w:rPr>
          <w:color w:val="231F20"/>
          <w:w w:val="105"/>
        </w:rPr>
        <w:t>terminadas,</w:t>
      </w:r>
      <w:r>
        <w:rPr>
          <w:color w:val="231F20"/>
          <w:spacing w:val="-10"/>
          <w:w w:val="105"/>
        </w:rPr>
        <w:t> </w:t>
      </w:r>
      <w:r>
        <w:rPr>
          <w:color w:val="231F20"/>
          <w:w w:val="105"/>
        </w:rPr>
        <w:t>4 tienen</w:t>
      </w:r>
      <w:r>
        <w:rPr>
          <w:color w:val="231F20"/>
          <w:spacing w:val="-14"/>
          <w:w w:val="105"/>
        </w:rPr>
        <w:t> </w:t>
      </w:r>
      <w:r>
        <w:rPr>
          <w:color w:val="231F20"/>
          <w:w w:val="105"/>
        </w:rPr>
        <w:t>un</w:t>
      </w:r>
      <w:r>
        <w:rPr>
          <w:color w:val="231F20"/>
          <w:spacing w:val="-14"/>
          <w:w w:val="105"/>
        </w:rPr>
        <w:t> </w:t>
      </w:r>
      <w:r>
        <w:rPr>
          <w:color w:val="231F20"/>
          <w:w w:val="105"/>
        </w:rPr>
        <w:t>avance</w:t>
      </w:r>
      <w:r>
        <w:rPr>
          <w:color w:val="231F20"/>
          <w:spacing w:val="-14"/>
          <w:w w:val="105"/>
        </w:rPr>
        <w:t> </w:t>
      </w:r>
      <w:r>
        <w:rPr>
          <w:color w:val="231F20"/>
          <w:w w:val="105"/>
        </w:rPr>
        <w:t>del</w:t>
      </w:r>
      <w:r>
        <w:rPr>
          <w:color w:val="231F20"/>
          <w:spacing w:val="-14"/>
          <w:w w:val="105"/>
        </w:rPr>
        <w:t> </w:t>
      </w:r>
      <w:r>
        <w:rPr>
          <w:color w:val="231F20"/>
          <w:spacing w:val="-5"/>
          <w:w w:val="105"/>
        </w:rPr>
        <w:t>75%</w:t>
      </w:r>
      <w:r>
        <w:rPr>
          <w:color w:val="231F20"/>
          <w:spacing w:val="-14"/>
          <w:w w:val="105"/>
        </w:rPr>
        <w:t> </w:t>
      </w:r>
      <w:r>
        <w:rPr>
          <w:color w:val="231F20"/>
          <w:w w:val="105"/>
        </w:rPr>
        <w:t>y</w:t>
      </w:r>
      <w:r>
        <w:rPr>
          <w:color w:val="231F20"/>
          <w:spacing w:val="-14"/>
          <w:w w:val="105"/>
        </w:rPr>
        <w:t> </w:t>
      </w:r>
      <w:r>
        <w:rPr>
          <w:color w:val="231F20"/>
          <w:w w:val="105"/>
        </w:rPr>
        <w:t>8</w:t>
      </w:r>
      <w:r>
        <w:rPr>
          <w:color w:val="231F20"/>
          <w:spacing w:val="-14"/>
          <w:w w:val="105"/>
        </w:rPr>
        <w:t> </w:t>
      </w:r>
      <w:r>
        <w:rPr>
          <w:color w:val="231F20"/>
          <w:w w:val="105"/>
        </w:rPr>
        <w:t>del</w:t>
      </w:r>
      <w:r>
        <w:rPr>
          <w:color w:val="231F20"/>
          <w:spacing w:val="-14"/>
          <w:w w:val="105"/>
        </w:rPr>
        <w:t> </w:t>
      </w:r>
      <w:r>
        <w:rPr>
          <w:color w:val="231F20"/>
          <w:w w:val="105"/>
        </w:rPr>
        <w:t>50%,</w:t>
      </w:r>
      <w:r>
        <w:rPr>
          <w:color w:val="231F20"/>
          <w:spacing w:val="-14"/>
          <w:w w:val="105"/>
        </w:rPr>
        <w:t> </w:t>
      </w:r>
      <w:r>
        <w:rPr>
          <w:color w:val="231F20"/>
          <w:w w:val="105"/>
        </w:rPr>
        <w:t>esto</w:t>
      </w:r>
      <w:r>
        <w:rPr>
          <w:color w:val="231F20"/>
          <w:spacing w:val="-14"/>
          <w:w w:val="105"/>
        </w:rPr>
        <w:t> </w:t>
      </w:r>
      <w:r>
        <w:rPr>
          <w:color w:val="231F20"/>
          <w:w w:val="105"/>
        </w:rPr>
        <w:t>representa</w:t>
      </w:r>
      <w:r>
        <w:rPr>
          <w:color w:val="231F20"/>
          <w:spacing w:val="-14"/>
          <w:w w:val="105"/>
        </w:rPr>
        <w:t> </w:t>
      </w:r>
      <w:r>
        <w:rPr>
          <w:color w:val="231F20"/>
          <w:w w:val="105"/>
        </w:rPr>
        <w:t>en</w:t>
      </w:r>
      <w:r>
        <w:rPr>
          <w:color w:val="231F20"/>
          <w:spacing w:val="-14"/>
          <w:w w:val="105"/>
        </w:rPr>
        <w:t> </w:t>
      </w:r>
      <w:r>
        <w:rPr>
          <w:color w:val="231F20"/>
          <w:w w:val="105"/>
        </w:rPr>
        <w:t>promedio</w:t>
      </w:r>
      <w:r>
        <w:rPr>
          <w:color w:val="231F20"/>
          <w:spacing w:val="-14"/>
          <w:w w:val="105"/>
        </w:rPr>
        <w:t> </w:t>
      </w:r>
      <w:r>
        <w:rPr>
          <w:color w:val="231F20"/>
          <w:w w:val="105"/>
        </w:rPr>
        <w:t>el</w:t>
      </w:r>
      <w:r>
        <w:rPr>
          <w:color w:val="231F20"/>
          <w:spacing w:val="-14"/>
          <w:w w:val="105"/>
        </w:rPr>
        <w:t> </w:t>
      </w:r>
      <w:r>
        <w:rPr>
          <w:color w:val="231F20"/>
          <w:w w:val="105"/>
        </w:rPr>
        <w:t>50%</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metas propuestas</w:t>
      </w:r>
      <w:r>
        <w:rPr>
          <w:color w:val="231F20"/>
          <w:spacing w:val="-10"/>
          <w:w w:val="105"/>
        </w:rPr>
        <w:t> </w:t>
      </w:r>
      <w:r>
        <w:rPr>
          <w:color w:val="231F20"/>
          <w:w w:val="105"/>
        </w:rPr>
        <w:t>para</w:t>
      </w:r>
      <w:r>
        <w:rPr>
          <w:color w:val="231F20"/>
          <w:spacing w:val="-10"/>
          <w:w w:val="105"/>
        </w:rPr>
        <w:t> </w:t>
      </w:r>
      <w:r>
        <w:rPr>
          <w:color w:val="231F20"/>
          <w:w w:val="105"/>
        </w:rPr>
        <w:t>este</w:t>
      </w:r>
      <w:r>
        <w:rPr>
          <w:color w:val="231F20"/>
          <w:spacing w:val="-10"/>
          <w:w w:val="105"/>
        </w:rPr>
        <w:t> </w:t>
      </w:r>
      <w:r>
        <w:rPr>
          <w:color w:val="231F20"/>
          <w:w w:val="105"/>
        </w:rPr>
        <w:t>periodo,</w:t>
      </w:r>
      <w:r>
        <w:rPr>
          <w:color w:val="231F20"/>
          <w:spacing w:val="-10"/>
          <w:w w:val="105"/>
        </w:rPr>
        <w:t> </w:t>
      </w:r>
      <w:r>
        <w:rPr>
          <w:color w:val="231F20"/>
          <w:spacing w:val="2"/>
          <w:w w:val="105"/>
        </w:rPr>
        <w:t>tal</w:t>
      </w:r>
      <w:r>
        <w:rPr>
          <w:color w:val="231F20"/>
          <w:spacing w:val="-10"/>
          <w:w w:val="105"/>
        </w:rPr>
        <w:t> </w:t>
      </w:r>
      <w:r>
        <w:rPr>
          <w:color w:val="231F20"/>
          <w:w w:val="105"/>
        </w:rPr>
        <w:t>como</w:t>
      </w:r>
      <w:r>
        <w:rPr>
          <w:color w:val="231F20"/>
          <w:spacing w:val="-10"/>
          <w:w w:val="105"/>
        </w:rPr>
        <w:t> </w:t>
      </w:r>
      <w:r>
        <w:rPr>
          <w:color w:val="231F20"/>
          <w:w w:val="105"/>
        </w:rPr>
        <w:t>lo</w:t>
      </w:r>
      <w:r>
        <w:rPr>
          <w:color w:val="231F20"/>
          <w:spacing w:val="-10"/>
          <w:w w:val="105"/>
        </w:rPr>
        <w:t> </w:t>
      </w:r>
      <w:r>
        <w:rPr>
          <w:color w:val="231F20"/>
          <w:w w:val="105"/>
        </w:rPr>
        <w:t>informó</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2º</w:t>
      </w:r>
      <w:r>
        <w:rPr>
          <w:color w:val="231F20"/>
          <w:spacing w:val="-10"/>
          <w:w w:val="105"/>
        </w:rPr>
        <w:t> </w:t>
      </w:r>
      <w:r>
        <w:rPr>
          <w:color w:val="231F20"/>
          <w:w w:val="105"/>
        </w:rPr>
        <w:t>informe.</w:t>
      </w:r>
    </w:p>
    <w:p>
      <w:pPr>
        <w:pStyle w:val="BodyText"/>
        <w:spacing w:before="1"/>
        <w:rPr>
          <w:sz w:val="26"/>
        </w:rPr>
      </w:pPr>
    </w:p>
    <w:p>
      <w:pPr>
        <w:pStyle w:val="BodyText"/>
        <w:spacing w:line="285" w:lineRule="auto"/>
        <w:ind w:left="110" w:right="108"/>
        <w:jc w:val="both"/>
      </w:pPr>
      <w:r>
        <w:rPr>
          <w:color w:val="231F20"/>
          <w:w w:val="105"/>
        </w:rPr>
        <w:t>Para este año las obras se concentraron </w:t>
      </w:r>
      <w:r>
        <w:rPr>
          <w:color w:val="231F20"/>
          <w:spacing w:val="2"/>
          <w:w w:val="105"/>
        </w:rPr>
        <w:t>al </w:t>
      </w:r>
      <w:r>
        <w:rPr>
          <w:color w:val="231F20"/>
          <w:w w:val="105"/>
        </w:rPr>
        <w:t>igual que el anterior en la infraestructura básica:</w:t>
      </w:r>
      <w:r>
        <w:rPr>
          <w:color w:val="231F20"/>
          <w:spacing w:val="-21"/>
          <w:w w:val="105"/>
        </w:rPr>
        <w:t> </w:t>
      </w:r>
      <w:r>
        <w:rPr>
          <w:color w:val="231F20"/>
          <w:w w:val="105"/>
        </w:rPr>
        <w:t>construcción</w:t>
      </w:r>
      <w:r>
        <w:rPr>
          <w:color w:val="231F20"/>
          <w:spacing w:val="-21"/>
          <w:w w:val="105"/>
        </w:rPr>
        <w:t> </w:t>
      </w:r>
      <w:r>
        <w:rPr>
          <w:color w:val="231F20"/>
          <w:w w:val="105"/>
        </w:rPr>
        <w:t>de</w:t>
      </w:r>
      <w:r>
        <w:rPr>
          <w:color w:val="231F20"/>
          <w:spacing w:val="-21"/>
          <w:w w:val="105"/>
        </w:rPr>
        <w:t> </w:t>
      </w:r>
      <w:r>
        <w:rPr>
          <w:color w:val="231F20"/>
          <w:w w:val="105"/>
        </w:rPr>
        <w:t>guarniciones,</w:t>
      </w:r>
      <w:r>
        <w:rPr>
          <w:color w:val="231F20"/>
          <w:spacing w:val="-21"/>
          <w:w w:val="105"/>
        </w:rPr>
        <w:t> </w:t>
      </w:r>
      <w:r>
        <w:rPr>
          <w:color w:val="231F20"/>
          <w:w w:val="105"/>
        </w:rPr>
        <w:t>banquetas,</w:t>
      </w:r>
      <w:r>
        <w:rPr>
          <w:color w:val="231F20"/>
          <w:spacing w:val="-21"/>
          <w:w w:val="105"/>
        </w:rPr>
        <w:t> </w:t>
      </w:r>
      <w:r>
        <w:rPr>
          <w:color w:val="231F20"/>
          <w:w w:val="105"/>
        </w:rPr>
        <w:t>seguida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instalaciones</w:t>
      </w:r>
      <w:r>
        <w:rPr>
          <w:color w:val="231F20"/>
          <w:spacing w:val="-21"/>
          <w:w w:val="105"/>
        </w:rPr>
        <w:t> </w:t>
      </w:r>
      <w:r>
        <w:rPr>
          <w:color w:val="231F20"/>
          <w:w w:val="105"/>
        </w:rPr>
        <w:t>educativas, lo</w:t>
      </w:r>
      <w:r>
        <w:rPr>
          <w:color w:val="231F20"/>
          <w:spacing w:val="-4"/>
          <w:w w:val="105"/>
        </w:rPr>
        <w:t> </w:t>
      </w:r>
      <w:r>
        <w:rPr>
          <w:color w:val="231F20"/>
          <w:w w:val="105"/>
        </w:rPr>
        <w:t>que</w:t>
      </w:r>
      <w:r>
        <w:rPr>
          <w:color w:val="231F20"/>
          <w:spacing w:val="-4"/>
          <w:w w:val="105"/>
        </w:rPr>
        <w:t> </w:t>
      </w:r>
      <w:r>
        <w:rPr>
          <w:color w:val="231F20"/>
          <w:w w:val="105"/>
        </w:rPr>
        <w:t>muestra</w:t>
      </w:r>
      <w:r>
        <w:rPr>
          <w:color w:val="231F20"/>
          <w:spacing w:val="-4"/>
          <w:w w:val="105"/>
        </w:rPr>
        <w:t> </w:t>
      </w:r>
      <w:r>
        <w:rPr>
          <w:color w:val="231F20"/>
          <w:w w:val="105"/>
        </w:rPr>
        <w:t>una</w:t>
      </w:r>
      <w:r>
        <w:rPr>
          <w:color w:val="231F20"/>
          <w:spacing w:val="-4"/>
          <w:w w:val="105"/>
        </w:rPr>
        <w:t> </w:t>
      </w:r>
      <w:r>
        <w:rPr>
          <w:color w:val="231F20"/>
          <w:w w:val="105"/>
        </w:rPr>
        <w:t>congruencia</w:t>
      </w:r>
      <w:r>
        <w:rPr>
          <w:color w:val="231F20"/>
          <w:spacing w:val="-4"/>
          <w:w w:val="105"/>
        </w:rPr>
        <w:t> </w:t>
      </w:r>
      <w:r>
        <w:rPr>
          <w:color w:val="231F20"/>
          <w:w w:val="105"/>
        </w:rPr>
        <w:t>entre</w:t>
      </w:r>
      <w:r>
        <w:rPr>
          <w:color w:val="231F20"/>
          <w:spacing w:val="-4"/>
          <w:w w:val="105"/>
        </w:rPr>
        <w:t> </w:t>
      </w:r>
      <w:r>
        <w:rPr>
          <w:color w:val="231F20"/>
          <w:w w:val="105"/>
        </w:rPr>
        <w:t>lo</w:t>
      </w:r>
      <w:r>
        <w:rPr>
          <w:color w:val="231F20"/>
          <w:spacing w:val="-4"/>
          <w:w w:val="105"/>
        </w:rPr>
        <w:t> </w:t>
      </w:r>
      <w:r>
        <w:rPr>
          <w:color w:val="231F20"/>
          <w:w w:val="105"/>
        </w:rPr>
        <w:t>expresado</w:t>
      </w:r>
      <w:r>
        <w:rPr>
          <w:color w:val="231F20"/>
          <w:spacing w:val="-4"/>
          <w:w w:val="105"/>
        </w:rPr>
        <w:t> </w:t>
      </w:r>
      <w:r>
        <w:rPr>
          <w:color w:val="231F20"/>
          <w:w w:val="105"/>
        </w:rPr>
        <w:t>en</w:t>
      </w:r>
      <w:r>
        <w:rPr>
          <w:color w:val="231F20"/>
          <w:spacing w:val="-4"/>
          <w:w w:val="105"/>
        </w:rPr>
        <w:t> </w:t>
      </w:r>
      <w:r>
        <w:rPr>
          <w:color w:val="231F20"/>
          <w:w w:val="105"/>
        </w:rPr>
        <w:t>consulta</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elaboración</w:t>
      </w:r>
      <w:r>
        <w:rPr>
          <w:color w:val="231F20"/>
          <w:spacing w:val="-4"/>
          <w:w w:val="105"/>
        </w:rPr>
        <w:t> </w:t>
      </w:r>
      <w:r>
        <w:rPr>
          <w:color w:val="231F20"/>
          <w:w w:val="105"/>
        </w:rPr>
        <w:t>del plan y las obras realizadas por este gobierno, </w:t>
      </w:r>
      <w:r>
        <w:rPr>
          <w:color w:val="231F20"/>
          <w:spacing w:val="-3"/>
          <w:w w:val="105"/>
        </w:rPr>
        <w:t>donde </w:t>
      </w:r>
      <w:r>
        <w:rPr>
          <w:color w:val="231F20"/>
          <w:w w:val="105"/>
        </w:rPr>
        <w:t>hubo diferencias fue en las pobla- ciones</w:t>
      </w:r>
      <w:r>
        <w:rPr>
          <w:color w:val="231F20"/>
          <w:spacing w:val="-9"/>
          <w:w w:val="105"/>
        </w:rPr>
        <w:t> </w:t>
      </w:r>
      <w:r>
        <w:rPr>
          <w:color w:val="231F20"/>
          <w:w w:val="105"/>
        </w:rPr>
        <w:t>beneficiadas,</w:t>
      </w:r>
      <w:r>
        <w:rPr>
          <w:color w:val="231F20"/>
          <w:spacing w:val="-9"/>
          <w:w w:val="105"/>
        </w:rPr>
        <w:t> </w:t>
      </w:r>
      <w:r>
        <w:rPr>
          <w:color w:val="231F20"/>
          <w:w w:val="105"/>
        </w:rPr>
        <w:t>pues</w:t>
      </w:r>
      <w:r>
        <w:rPr>
          <w:color w:val="231F20"/>
          <w:spacing w:val="-9"/>
          <w:w w:val="105"/>
        </w:rPr>
        <w:t> </w:t>
      </w:r>
      <w:r>
        <w:rPr>
          <w:color w:val="231F20"/>
          <w:w w:val="105"/>
        </w:rPr>
        <w:t>las</w:t>
      </w:r>
      <w:r>
        <w:rPr>
          <w:color w:val="231F20"/>
          <w:spacing w:val="-9"/>
          <w:w w:val="105"/>
        </w:rPr>
        <w:t> </w:t>
      </w:r>
      <w:r>
        <w:rPr>
          <w:color w:val="231F20"/>
          <w:w w:val="105"/>
        </w:rPr>
        <w:t>obras</w:t>
      </w:r>
      <w:r>
        <w:rPr>
          <w:color w:val="231F20"/>
          <w:spacing w:val="-9"/>
          <w:w w:val="105"/>
        </w:rPr>
        <w:t> </w:t>
      </w:r>
      <w:r>
        <w:rPr>
          <w:color w:val="231F20"/>
          <w:w w:val="105"/>
        </w:rPr>
        <w:t>se</w:t>
      </w:r>
      <w:r>
        <w:rPr>
          <w:color w:val="231F20"/>
          <w:spacing w:val="-9"/>
          <w:w w:val="105"/>
        </w:rPr>
        <w:t> </w:t>
      </w:r>
      <w:r>
        <w:rPr>
          <w:color w:val="231F20"/>
          <w:w w:val="105"/>
        </w:rPr>
        <w:t>concentraron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cabecera</w:t>
      </w:r>
      <w:r>
        <w:rPr>
          <w:color w:val="231F20"/>
          <w:spacing w:val="-9"/>
          <w:w w:val="105"/>
        </w:rPr>
        <w:t> </w:t>
      </w:r>
      <w:r>
        <w:rPr>
          <w:color w:val="231F20"/>
          <w:w w:val="105"/>
        </w:rPr>
        <w:t>municipal,</w:t>
      </w:r>
      <w:r>
        <w:rPr>
          <w:color w:val="231F20"/>
          <w:spacing w:val="-9"/>
          <w:w w:val="105"/>
        </w:rPr>
        <w:t> </w:t>
      </w:r>
      <w:r>
        <w:rPr>
          <w:color w:val="231F20"/>
          <w:w w:val="105"/>
        </w:rPr>
        <w:t>no</w:t>
      </w:r>
      <w:r>
        <w:rPr>
          <w:color w:val="231F20"/>
          <w:spacing w:val="-9"/>
          <w:w w:val="105"/>
        </w:rPr>
        <w:t> </w:t>
      </w:r>
      <w:r>
        <w:rPr>
          <w:color w:val="231F20"/>
          <w:w w:val="105"/>
        </w:rPr>
        <w:t>en</w:t>
      </w:r>
      <w:r>
        <w:rPr>
          <w:color w:val="231F20"/>
          <w:spacing w:val="-9"/>
          <w:w w:val="105"/>
        </w:rPr>
        <w:t> </w:t>
      </w:r>
      <w:r>
        <w:rPr>
          <w:color w:val="231F20"/>
          <w:w w:val="105"/>
        </w:rPr>
        <w:t>las delegaciones</w:t>
      </w:r>
      <w:r>
        <w:rPr>
          <w:color w:val="231F20"/>
          <w:spacing w:val="-21"/>
          <w:w w:val="105"/>
        </w:rPr>
        <w:t> </w:t>
      </w:r>
      <w:r>
        <w:rPr>
          <w:color w:val="231F20"/>
          <w:w w:val="105"/>
        </w:rPr>
        <w:t>(San</w:t>
      </w:r>
      <w:r>
        <w:rPr>
          <w:color w:val="231F20"/>
          <w:spacing w:val="-21"/>
          <w:w w:val="105"/>
        </w:rPr>
        <w:t> </w:t>
      </w:r>
      <w:r>
        <w:rPr>
          <w:color w:val="231F20"/>
          <w:w w:val="105"/>
        </w:rPr>
        <w:t>Juan</w:t>
      </w:r>
      <w:r>
        <w:rPr>
          <w:color w:val="231F20"/>
          <w:spacing w:val="-21"/>
          <w:w w:val="105"/>
        </w:rPr>
        <w:t> </w:t>
      </w:r>
      <w:r>
        <w:rPr>
          <w:color w:val="231F20"/>
          <w:w w:val="105"/>
        </w:rPr>
        <w:t>Tehuixtitlán)</w:t>
      </w:r>
      <w:r>
        <w:rPr>
          <w:color w:val="231F20"/>
          <w:spacing w:val="-21"/>
          <w:w w:val="105"/>
        </w:rPr>
        <w:t> </w:t>
      </w:r>
      <w:r>
        <w:rPr>
          <w:color w:val="231F20"/>
          <w:w w:val="105"/>
        </w:rPr>
        <w:t>como</w:t>
      </w:r>
      <w:r>
        <w:rPr>
          <w:color w:val="231F20"/>
          <w:spacing w:val="-21"/>
          <w:w w:val="105"/>
        </w:rPr>
        <w:t> </w:t>
      </w:r>
      <w:r>
        <w:rPr>
          <w:color w:val="231F20"/>
          <w:w w:val="105"/>
        </w:rPr>
        <w:t>estaba</w:t>
      </w:r>
      <w:r>
        <w:rPr>
          <w:color w:val="231F20"/>
          <w:spacing w:val="-21"/>
          <w:w w:val="105"/>
        </w:rPr>
        <w:t> </w:t>
      </w:r>
      <w:r>
        <w:rPr>
          <w:color w:val="231F20"/>
          <w:w w:val="105"/>
        </w:rPr>
        <w:t>planteado</w:t>
      </w:r>
      <w:r>
        <w:rPr>
          <w:color w:val="231F20"/>
          <w:spacing w:val="-21"/>
          <w:w w:val="105"/>
        </w:rPr>
        <w:t> </w:t>
      </w:r>
      <w:r>
        <w:rPr>
          <w:color w:val="231F20"/>
          <w:w w:val="105"/>
        </w:rPr>
        <w:t>originalmente.</w:t>
      </w:r>
    </w:p>
    <w:p>
      <w:pPr>
        <w:pStyle w:val="BodyText"/>
        <w:spacing w:before="1"/>
        <w:rPr>
          <w:sz w:val="26"/>
        </w:rPr>
      </w:pPr>
    </w:p>
    <w:p>
      <w:pPr>
        <w:pStyle w:val="BodyText"/>
        <w:spacing w:line="285" w:lineRule="auto"/>
        <w:ind w:left="110" w:right="106"/>
        <w:jc w:val="both"/>
      </w:pPr>
      <w:r>
        <w:rPr>
          <w:color w:val="231F20"/>
          <w:spacing w:val="-3"/>
          <w:w w:val="105"/>
        </w:rPr>
        <w:t>Referente </w:t>
      </w:r>
      <w:r>
        <w:rPr>
          <w:color w:val="231F20"/>
          <w:w w:val="105"/>
        </w:rPr>
        <w:t>a las otras áreas de gobierno, no hubo correspondencia entre las prioridades del</w:t>
      </w:r>
      <w:r>
        <w:rPr>
          <w:color w:val="231F20"/>
          <w:spacing w:val="-17"/>
          <w:w w:val="105"/>
        </w:rPr>
        <w:t> </w:t>
      </w:r>
      <w:r>
        <w:rPr>
          <w:color w:val="231F20"/>
          <w:w w:val="105"/>
        </w:rPr>
        <w:t>Plan</w:t>
      </w:r>
      <w:r>
        <w:rPr>
          <w:color w:val="231F20"/>
          <w:spacing w:val="-17"/>
          <w:w w:val="105"/>
        </w:rPr>
        <w:t> </w:t>
      </w:r>
      <w:r>
        <w:rPr>
          <w:color w:val="231F20"/>
          <w:w w:val="105"/>
        </w:rPr>
        <w:t>Nacional</w:t>
      </w:r>
      <w:r>
        <w:rPr>
          <w:color w:val="231F20"/>
          <w:spacing w:val="-17"/>
          <w:w w:val="105"/>
        </w:rPr>
        <w:t> </w:t>
      </w:r>
      <w:r>
        <w:rPr>
          <w:color w:val="231F20"/>
          <w:w w:val="105"/>
        </w:rPr>
        <w:t>del</w:t>
      </w:r>
      <w:r>
        <w:rPr>
          <w:color w:val="231F20"/>
          <w:spacing w:val="-17"/>
          <w:w w:val="105"/>
        </w:rPr>
        <w:t> </w:t>
      </w:r>
      <w:r>
        <w:rPr>
          <w:color w:val="231F20"/>
          <w:w w:val="105"/>
        </w:rPr>
        <w:t>Desarrollo</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w w:val="105"/>
        </w:rPr>
        <w:t>municipales,</w:t>
      </w:r>
      <w:r>
        <w:rPr>
          <w:color w:val="231F20"/>
          <w:spacing w:val="-17"/>
          <w:w w:val="105"/>
        </w:rPr>
        <w:t> </w:t>
      </w:r>
      <w:r>
        <w:rPr>
          <w:color w:val="231F20"/>
          <w:w w:val="105"/>
        </w:rPr>
        <w:t>por</w:t>
      </w:r>
      <w:r>
        <w:rPr>
          <w:color w:val="231F20"/>
          <w:spacing w:val="-17"/>
          <w:w w:val="105"/>
        </w:rPr>
        <w:t> </w:t>
      </w:r>
      <w:r>
        <w:rPr>
          <w:color w:val="231F20"/>
          <w:spacing w:val="-3"/>
          <w:w w:val="105"/>
        </w:rPr>
        <w:t>ejemplo:</w:t>
      </w:r>
      <w:r>
        <w:rPr>
          <w:color w:val="231F20"/>
          <w:spacing w:val="-17"/>
          <w:w w:val="105"/>
        </w:rPr>
        <w:t> </w:t>
      </w:r>
      <w:r>
        <w:rPr>
          <w:color w:val="231F20"/>
          <w:w w:val="105"/>
        </w:rPr>
        <w:t>la</w:t>
      </w:r>
      <w:r>
        <w:rPr>
          <w:color w:val="231F20"/>
          <w:spacing w:val="-17"/>
          <w:w w:val="105"/>
        </w:rPr>
        <w:t> </w:t>
      </w:r>
      <w:r>
        <w:rPr>
          <w:color w:val="231F20"/>
          <w:w w:val="105"/>
        </w:rPr>
        <w:t>seguridad.</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spacing w:val="-3"/>
          <w:w w:val="105"/>
        </w:rPr>
        <w:t>mu- </w:t>
      </w:r>
      <w:r>
        <w:rPr>
          <w:color w:val="231F20"/>
          <w:w w:val="105"/>
        </w:rPr>
        <w:t>nicipio,</w:t>
      </w:r>
      <w:r>
        <w:rPr>
          <w:color w:val="231F20"/>
          <w:spacing w:val="-16"/>
          <w:w w:val="105"/>
        </w:rPr>
        <w:t> </w:t>
      </w:r>
      <w:r>
        <w:rPr>
          <w:color w:val="231F20"/>
          <w:w w:val="105"/>
        </w:rPr>
        <w:t>las</w:t>
      </w:r>
      <w:r>
        <w:rPr>
          <w:color w:val="231F20"/>
          <w:spacing w:val="-16"/>
          <w:w w:val="105"/>
        </w:rPr>
        <w:t> </w:t>
      </w:r>
      <w:r>
        <w:rPr>
          <w:color w:val="231F20"/>
          <w:w w:val="105"/>
        </w:rPr>
        <w:t>acciones</w:t>
      </w:r>
      <w:r>
        <w:rPr>
          <w:color w:val="231F20"/>
          <w:spacing w:val="-16"/>
          <w:w w:val="105"/>
        </w:rPr>
        <w:t> </w:t>
      </w:r>
      <w:r>
        <w:rPr>
          <w:color w:val="231F20"/>
          <w:w w:val="105"/>
        </w:rPr>
        <w:t>se</w:t>
      </w:r>
      <w:r>
        <w:rPr>
          <w:color w:val="231F20"/>
          <w:spacing w:val="-16"/>
          <w:w w:val="105"/>
        </w:rPr>
        <w:t> </w:t>
      </w:r>
      <w:r>
        <w:rPr>
          <w:color w:val="231F20"/>
          <w:w w:val="105"/>
        </w:rPr>
        <w:t>centraron</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creación</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w w:val="105"/>
        </w:rPr>
        <w:t>comité,</w:t>
      </w:r>
      <w:r>
        <w:rPr>
          <w:color w:val="231F20"/>
          <w:spacing w:val="-16"/>
          <w:w w:val="105"/>
        </w:rPr>
        <w:t> </w:t>
      </w:r>
      <w:r>
        <w:rPr>
          <w:color w:val="231F20"/>
          <w:w w:val="105"/>
        </w:rPr>
        <w:t>la</w:t>
      </w:r>
      <w:r>
        <w:rPr>
          <w:color w:val="231F20"/>
          <w:spacing w:val="-16"/>
          <w:w w:val="105"/>
        </w:rPr>
        <w:t> </w:t>
      </w:r>
      <w:r>
        <w:rPr>
          <w:color w:val="231F20"/>
          <w:w w:val="105"/>
        </w:rPr>
        <w:t>capacitación</w:t>
      </w:r>
      <w:r>
        <w:rPr>
          <w:color w:val="231F20"/>
          <w:spacing w:val="-16"/>
          <w:w w:val="105"/>
        </w:rPr>
        <w:t> </w:t>
      </w:r>
      <w:r>
        <w:rPr>
          <w:color w:val="231F20"/>
          <w:w w:val="105"/>
        </w:rPr>
        <w:t>y</w:t>
      </w:r>
      <w:r>
        <w:rPr>
          <w:color w:val="231F20"/>
          <w:spacing w:val="-16"/>
          <w:w w:val="105"/>
        </w:rPr>
        <w:t> </w:t>
      </w:r>
      <w:r>
        <w:rPr>
          <w:color w:val="231F20"/>
          <w:w w:val="105"/>
        </w:rPr>
        <w:t>vincula- ción</w:t>
      </w:r>
      <w:r>
        <w:rPr>
          <w:color w:val="231F20"/>
          <w:spacing w:val="-11"/>
          <w:w w:val="105"/>
        </w:rPr>
        <w:t> </w:t>
      </w:r>
      <w:r>
        <w:rPr>
          <w:color w:val="231F20"/>
          <w:w w:val="105"/>
        </w:rPr>
        <w:t>con</w:t>
      </w:r>
      <w:r>
        <w:rPr>
          <w:color w:val="231F20"/>
          <w:spacing w:val="-11"/>
          <w:w w:val="105"/>
        </w:rPr>
        <w:t> </w:t>
      </w:r>
      <w:r>
        <w:rPr>
          <w:color w:val="231F20"/>
          <w:w w:val="105"/>
        </w:rPr>
        <w:t>otras</w:t>
      </w:r>
      <w:r>
        <w:rPr>
          <w:color w:val="231F20"/>
          <w:spacing w:val="-11"/>
          <w:w w:val="105"/>
        </w:rPr>
        <w:t> </w:t>
      </w:r>
      <w:r>
        <w:rPr>
          <w:color w:val="231F20"/>
          <w:w w:val="105"/>
        </w:rPr>
        <w:t>esferas</w:t>
      </w:r>
      <w:r>
        <w:rPr>
          <w:color w:val="231F20"/>
          <w:spacing w:val="-11"/>
          <w:w w:val="105"/>
        </w:rPr>
        <w:t> </w:t>
      </w:r>
      <w:r>
        <w:rPr>
          <w:color w:val="231F20"/>
          <w:w w:val="105"/>
        </w:rPr>
        <w:t>del</w:t>
      </w:r>
      <w:r>
        <w:rPr>
          <w:color w:val="231F20"/>
          <w:spacing w:val="-11"/>
          <w:w w:val="105"/>
        </w:rPr>
        <w:t> </w:t>
      </w:r>
      <w:r>
        <w:rPr>
          <w:color w:val="231F20"/>
          <w:w w:val="105"/>
        </w:rPr>
        <w:t>poder</w:t>
      </w:r>
      <w:r>
        <w:rPr>
          <w:color w:val="231F20"/>
          <w:spacing w:val="-11"/>
          <w:w w:val="105"/>
        </w:rPr>
        <w:t> </w:t>
      </w:r>
      <w:r>
        <w:rPr>
          <w:color w:val="231F20"/>
          <w:w w:val="105"/>
        </w:rPr>
        <w:t>ejecutivo</w:t>
      </w:r>
      <w:r>
        <w:rPr>
          <w:color w:val="231F20"/>
          <w:spacing w:val="-11"/>
          <w:w w:val="105"/>
        </w:rPr>
        <w:t> </w:t>
      </w:r>
      <w:r>
        <w:rPr>
          <w:color w:val="231F20"/>
          <w:w w:val="105"/>
        </w:rPr>
        <w:t>y</w:t>
      </w:r>
      <w:r>
        <w:rPr>
          <w:color w:val="231F20"/>
          <w:spacing w:val="-11"/>
          <w:w w:val="105"/>
        </w:rPr>
        <w:t> </w:t>
      </w:r>
      <w:r>
        <w:rPr>
          <w:color w:val="231F20"/>
          <w:w w:val="105"/>
        </w:rPr>
        <w:t>no</w:t>
      </w:r>
      <w:r>
        <w:rPr>
          <w:color w:val="231F20"/>
          <w:spacing w:val="-11"/>
          <w:w w:val="105"/>
        </w:rPr>
        <w:t> </w:t>
      </w:r>
      <w:r>
        <w:rPr>
          <w:color w:val="231F20"/>
          <w:w w:val="105"/>
        </w:rPr>
        <w:t>hubo</w:t>
      </w:r>
      <w:r>
        <w:rPr>
          <w:color w:val="231F20"/>
          <w:spacing w:val="-11"/>
          <w:w w:val="105"/>
        </w:rPr>
        <w:t> </w:t>
      </w:r>
      <w:r>
        <w:rPr>
          <w:color w:val="231F20"/>
          <w:w w:val="105"/>
        </w:rPr>
        <w:t>un</w:t>
      </w:r>
      <w:r>
        <w:rPr>
          <w:color w:val="231F20"/>
          <w:spacing w:val="-11"/>
          <w:w w:val="105"/>
        </w:rPr>
        <w:t> </w:t>
      </w:r>
      <w:r>
        <w:rPr>
          <w:color w:val="231F20"/>
          <w:w w:val="105"/>
        </w:rPr>
        <w:t>incremento</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elementos</w:t>
      </w:r>
      <w:r>
        <w:rPr>
          <w:color w:val="231F20"/>
          <w:spacing w:val="-11"/>
          <w:w w:val="105"/>
        </w:rPr>
        <w:t> </w:t>
      </w:r>
      <w:r>
        <w:rPr>
          <w:color w:val="231F20"/>
          <w:w w:val="105"/>
        </w:rPr>
        <w:t>de este departamento ni un aprovisionamiento de uniformes, patrullas y demás equipo de trabajo.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caso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ecología,</w:t>
      </w:r>
      <w:r>
        <w:rPr>
          <w:color w:val="231F20"/>
          <w:spacing w:val="-8"/>
          <w:w w:val="105"/>
        </w:rPr>
        <w:t> </w:t>
      </w:r>
      <w:r>
        <w:rPr>
          <w:color w:val="231F20"/>
          <w:w w:val="105"/>
        </w:rPr>
        <w:t>se</w:t>
      </w:r>
      <w:r>
        <w:rPr>
          <w:color w:val="231F20"/>
          <w:spacing w:val="-8"/>
          <w:w w:val="105"/>
        </w:rPr>
        <w:t> </w:t>
      </w:r>
      <w:r>
        <w:rPr>
          <w:color w:val="231F20"/>
          <w:w w:val="105"/>
        </w:rPr>
        <w:t>formó</w:t>
      </w:r>
      <w:r>
        <w:rPr>
          <w:color w:val="231F20"/>
          <w:spacing w:val="-8"/>
          <w:w w:val="105"/>
        </w:rPr>
        <w:t> </w:t>
      </w:r>
      <w:r>
        <w:rPr>
          <w:color w:val="231F20"/>
          <w:w w:val="105"/>
        </w:rPr>
        <w:t>una</w:t>
      </w:r>
      <w:r>
        <w:rPr>
          <w:color w:val="231F20"/>
          <w:spacing w:val="-8"/>
          <w:w w:val="105"/>
        </w:rPr>
        <w:t> </w:t>
      </w:r>
      <w:r>
        <w:rPr>
          <w:color w:val="231F20"/>
          <w:w w:val="105"/>
        </w:rPr>
        <w:t>comisión,</w:t>
      </w:r>
      <w:r>
        <w:rPr>
          <w:color w:val="231F20"/>
          <w:spacing w:val="-8"/>
          <w:w w:val="105"/>
        </w:rPr>
        <w:t> </w:t>
      </w:r>
      <w:r>
        <w:rPr>
          <w:color w:val="231F20"/>
          <w:w w:val="105"/>
        </w:rPr>
        <w:t>pero</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dio</w:t>
      </w:r>
      <w:r>
        <w:rPr>
          <w:color w:val="231F20"/>
          <w:spacing w:val="-8"/>
          <w:w w:val="105"/>
        </w:rPr>
        <w:t> </w:t>
      </w:r>
      <w:r>
        <w:rPr>
          <w:color w:val="231F20"/>
          <w:w w:val="105"/>
        </w:rPr>
        <w:t>seguimiento</w:t>
      </w:r>
      <w:r>
        <w:rPr>
          <w:color w:val="231F20"/>
          <w:spacing w:val="-8"/>
          <w:w w:val="105"/>
        </w:rPr>
        <w:t> </w:t>
      </w:r>
      <w:r>
        <w:rPr>
          <w:color w:val="231F20"/>
          <w:w w:val="105"/>
        </w:rPr>
        <w:t>a las</w:t>
      </w:r>
      <w:r>
        <w:rPr>
          <w:color w:val="231F20"/>
          <w:spacing w:val="-15"/>
          <w:w w:val="105"/>
        </w:rPr>
        <w:t> </w:t>
      </w:r>
      <w:r>
        <w:rPr>
          <w:color w:val="231F20"/>
          <w:w w:val="105"/>
        </w:rPr>
        <w:t>actividades</w:t>
      </w:r>
      <w:r>
        <w:rPr>
          <w:color w:val="231F20"/>
          <w:spacing w:val="-15"/>
          <w:w w:val="105"/>
        </w:rPr>
        <w:t> </w:t>
      </w:r>
      <w:r>
        <w:rPr>
          <w:color w:val="231F20"/>
          <w:w w:val="105"/>
        </w:rPr>
        <w:t>federales</w:t>
      </w:r>
      <w:r>
        <w:rPr>
          <w:color w:val="231F20"/>
          <w:spacing w:val="-15"/>
          <w:w w:val="105"/>
        </w:rPr>
        <w:t> </w:t>
      </w:r>
      <w:r>
        <w:rPr>
          <w:color w:val="231F20"/>
          <w:w w:val="105"/>
        </w:rPr>
        <w:t>y</w:t>
      </w:r>
      <w:r>
        <w:rPr>
          <w:color w:val="231F20"/>
          <w:spacing w:val="-15"/>
          <w:w w:val="105"/>
        </w:rPr>
        <w:t> </w:t>
      </w:r>
      <w:r>
        <w:rPr>
          <w:color w:val="231F20"/>
          <w:w w:val="105"/>
        </w:rPr>
        <w:t>estatales</w:t>
      </w:r>
      <w:r>
        <w:rPr>
          <w:color w:val="231F20"/>
          <w:spacing w:val="-15"/>
          <w:w w:val="105"/>
        </w:rPr>
        <w:t> </w:t>
      </w:r>
      <w:r>
        <w:rPr>
          <w:color w:val="231F20"/>
          <w:w w:val="105"/>
        </w:rPr>
        <w:t>para</w:t>
      </w:r>
      <w:r>
        <w:rPr>
          <w:color w:val="231F20"/>
          <w:spacing w:val="-15"/>
          <w:w w:val="105"/>
        </w:rPr>
        <w:t> </w:t>
      </w:r>
      <w:r>
        <w:rPr>
          <w:color w:val="231F20"/>
          <w:w w:val="105"/>
        </w:rPr>
        <w:t>implementarlas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no</w:t>
      </w:r>
      <w:r>
        <w:rPr>
          <w:color w:val="231F20"/>
          <w:spacing w:val="-15"/>
          <w:w w:val="105"/>
        </w:rPr>
        <w:t> </w:t>
      </w:r>
      <w:r>
        <w:rPr>
          <w:color w:val="231F20"/>
          <w:w w:val="105"/>
        </w:rPr>
        <w:t>hubo</w:t>
      </w:r>
      <w:r>
        <w:rPr>
          <w:color w:val="231F20"/>
          <w:spacing w:val="-15"/>
          <w:w w:val="105"/>
        </w:rPr>
        <w:t> </w:t>
      </w:r>
      <w:r>
        <w:rPr>
          <w:color w:val="231F20"/>
          <w:w w:val="105"/>
        </w:rPr>
        <w:t>cam- pañas</w:t>
      </w:r>
      <w:r>
        <w:rPr>
          <w:color w:val="231F20"/>
          <w:spacing w:val="-13"/>
          <w:w w:val="105"/>
        </w:rPr>
        <w:t> </w:t>
      </w:r>
      <w:r>
        <w:rPr>
          <w:color w:val="231F20"/>
          <w:w w:val="105"/>
        </w:rPr>
        <w:t>sobre</w:t>
      </w:r>
      <w:r>
        <w:rPr>
          <w:color w:val="231F20"/>
          <w:spacing w:val="-13"/>
          <w:w w:val="105"/>
        </w:rPr>
        <w:t> </w:t>
      </w:r>
      <w:r>
        <w:rPr>
          <w:color w:val="231F20"/>
          <w:w w:val="105"/>
        </w:rPr>
        <w:t>el</w:t>
      </w:r>
      <w:r>
        <w:rPr>
          <w:color w:val="231F20"/>
          <w:spacing w:val="-13"/>
          <w:w w:val="105"/>
        </w:rPr>
        <w:t> </w:t>
      </w:r>
      <w:r>
        <w:rPr>
          <w:color w:val="231F20"/>
          <w:w w:val="105"/>
        </w:rPr>
        <w:t>cuidado</w:t>
      </w:r>
      <w:r>
        <w:rPr>
          <w:color w:val="231F20"/>
          <w:spacing w:val="-13"/>
          <w:w w:val="105"/>
        </w:rPr>
        <w:t> </w:t>
      </w:r>
      <w:r>
        <w:rPr>
          <w:color w:val="231F20"/>
          <w:w w:val="105"/>
        </w:rPr>
        <w:t>del</w:t>
      </w:r>
      <w:r>
        <w:rPr>
          <w:color w:val="231F20"/>
          <w:spacing w:val="-13"/>
          <w:w w:val="105"/>
        </w:rPr>
        <w:t> </w:t>
      </w:r>
      <w:r>
        <w:rPr>
          <w:color w:val="231F20"/>
          <w:w w:val="105"/>
        </w:rPr>
        <w:t>medio</w:t>
      </w:r>
      <w:r>
        <w:rPr>
          <w:color w:val="231F20"/>
          <w:spacing w:val="-13"/>
          <w:w w:val="105"/>
        </w:rPr>
        <w:t> </w:t>
      </w:r>
      <w:r>
        <w:rPr>
          <w:color w:val="231F20"/>
          <w:w w:val="105"/>
        </w:rPr>
        <w:t>ambiente.</w:t>
      </w:r>
    </w:p>
    <w:p>
      <w:pPr>
        <w:pStyle w:val="BodyText"/>
        <w:spacing w:before="1"/>
        <w:rPr>
          <w:sz w:val="26"/>
        </w:rPr>
      </w:pPr>
    </w:p>
    <w:p>
      <w:pPr>
        <w:pStyle w:val="BodyText"/>
        <w:spacing w:line="285" w:lineRule="auto"/>
        <w:ind w:left="110" w:right="106"/>
        <w:jc w:val="both"/>
      </w:pP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demás</w:t>
      </w:r>
      <w:r>
        <w:rPr>
          <w:color w:val="231F20"/>
          <w:spacing w:val="-8"/>
          <w:w w:val="105"/>
        </w:rPr>
        <w:t> </w:t>
      </w:r>
      <w:r>
        <w:rPr>
          <w:color w:val="231F20"/>
          <w:w w:val="105"/>
        </w:rPr>
        <w:t>comisiones</w:t>
      </w:r>
      <w:r>
        <w:rPr>
          <w:color w:val="231F20"/>
          <w:spacing w:val="-8"/>
          <w:w w:val="105"/>
        </w:rPr>
        <w:t> </w:t>
      </w:r>
      <w:r>
        <w:rPr>
          <w:color w:val="231F20"/>
          <w:w w:val="105"/>
        </w:rPr>
        <w:t>que</w:t>
      </w:r>
      <w:r>
        <w:rPr>
          <w:color w:val="231F20"/>
          <w:spacing w:val="-8"/>
          <w:w w:val="105"/>
        </w:rPr>
        <w:t> </w:t>
      </w:r>
      <w:r>
        <w:rPr>
          <w:color w:val="231F20"/>
          <w:w w:val="105"/>
        </w:rPr>
        <w:t>supervisa</w:t>
      </w:r>
      <w:r>
        <w:rPr>
          <w:color w:val="231F20"/>
          <w:spacing w:val="-8"/>
          <w:w w:val="105"/>
        </w:rPr>
        <w:t> </w:t>
      </w:r>
      <w:r>
        <w:rPr>
          <w:color w:val="231F20"/>
          <w:w w:val="105"/>
        </w:rPr>
        <w:t>el</w:t>
      </w:r>
      <w:r>
        <w:rPr>
          <w:color w:val="231F20"/>
          <w:spacing w:val="-8"/>
          <w:w w:val="105"/>
        </w:rPr>
        <w:t> </w:t>
      </w:r>
      <w:r>
        <w:rPr>
          <w:color w:val="231F20"/>
          <w:w w:val="105"/>
        </w:rPr>
        <w:t>cuerpo</w:t>
      </w:r>
      <w:r>
        <w:rPr>
          <w:color w:val="231F20"/>
          <w:spacing w:val="-8"/>
          <w:w w:val="105"/>
        </w:rPr>
        <w:t> </w:t>
      </w:r>
      <w:r>
        <w:rPr>
          <w:color w:val="231F20"/>
          <w:w w:val="105"/>
        </w:rPr>
        <w:t>edilicio,</w:t>
      </w:r>
      <w:r>
        <w:rPr>
          <w:color w:val="231F20"/>
          <w:spacing w:val="-8"/>
          <w:w w:val="105"/>
        </w:rPr>
        <w:t> </w:t>
      </w:r>
      <w:r>
        <w:rPr>
          <w:color w:val="231F20"/>
          <w:w w:val="105"/>
        </w:rPr>
        <w:t>se</w:t>
      </w:r>
      <w:r>
        <w:rPr>
          <w:color w:val="231F20"/>
          <w:spacing w:val="-8"/>
          <w:w w:val="105"/>
        </w:rPr>
        <w:t> </w:t>
      </w:r>
      <w:r>
        <w:rPr>
          <w:color w:val="231F20"/>
          <w:w w:val="105"/>
        </w:rPr>
        <w:t>avanzó</w:t>
      </w:r>
      <w:r>
        <w:rPr>
          <w:color w:val="231F20"/>
          <w:spacing w:val="-8"/>
          <w:w w:val="105"/>
        </w:rPr>
        <w:t> </w:t>
      </w:r>
      <w:r>
        <w:rPr>
          <w:color w:val="231F20"/>
          <w:w w:val="105"/>
        </w:rPr>
        <w:t>en</w:t>
      </w:r>
      <w:r>
        <w:rPr>
          <w:color w:val="231F20"/>
          <w:spacing w:val="-8"/>
          <w:w w:val="105"/>
        </w:rPr>
        <w:t> </w:t>
      </w:r>
      <w:r>
        <w:rPr>
          <w:color w:val="231F20"/>
          <w:w w:val="105"/>
        </w:rPr>
        <w:t>60%</w:t>
      </w:r>
      <w:r>
        <w:rPr>
          <w:color w:val="231F20"/>
          <w:spacing w:val="-8"/>
          <w:w w:val="105"/>
        </w:rPr>
        <w:t> </w:t>
      </w:r>
      <w:r>
        <w:rPr>
          <w:color w:val="231F20"/>
          <w:w w:val="105"/>
        </w:rPr>
        <w:t>de</w:t>
      </w:r>
      <w:r>
        <w:rPr>
          <w:color w:val="231F20"/>
          <w:spacing w:val="-8"/>
          <w:w w:val="105"/>
        </w:rPr>
        <w:t> </w:t>
      </w:r>
      <w:r>
        <w:rPr>
          <w:color w:val="231F20"/>
          <w:w w:val="105"/>
        </w:rPr>
        <w:t>lo</w:t>
      </w:r>
      <w:r>
        <w:rPr>
          <w:color w:val="231F20"/>
          <w:spacing w:val="-8"/>
          <w:w w:val="105"/>
        </w:rPr>
        <w:t> </w:t>
      </w:r>
      <w:r>
        <w:rPr>
          <w:color w:val="231F20"/>
          <w:w w:val="105"/>
        </w:rPr>
        <w:t>pro- yectado, pues no se implementaron campañas o programas que fortalecieran sus acti- vidades: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área</w:t>
      </w:r>
      <w:r>
        <w:rPr>
          <w:color w:val="231F20"/>
          <w:spacing w:val="-13"/>
          <w:w w:val="105"/>
        </w:rPr>
        <w:t> </w:t>
      </w:r>
      <w:r>
        <w:rPr>
          <w:color w:val="231F20"/>
          <w:w w:val="105"/>
        </w:rPr>
        <w:t>de</w:t>
      </w:r>
      <w:r>
        <w:rPr>
          <w:color w:val="231F20"/>
          <w:spacing w:val="-13"/>
          <w:w w:val="105"/>
        </w:rPr>
        <w:t> </w:t>
      </w:r>
      <w:r>
        <w:rPr>
          <w:color w:val="231F20"/>
          <w:w w:val="105"/>
        </w:rPr>
        <w:t>empleo</w:t>
      </w:r>
      <w:r>
        <w:rPr>
          <w:color w:val="231F20"/>
          <w:spacing w:val="-13"/>
          <w:w w:val="105"/>
        </w:rPr>
        <w:t> </w:t>
      </w:r>
      <w:r>
        <w:rPr>
          <w:color w:val="231F20"/>
          <w:w w:val="105"/>
        </w:rPr>
        <w:t>se</w:t>
      </w:r>
      <w:r>
        <w:rPr>
          <w:color w:val="231F20"/>
          <w:spacing w:val="-13"/>
          <w:w w:val="105"/>
        </w:rPr>
        <w:t> </w:t>
      </w:r>
      <w:r>
        <w:rPr>
          <w:color w:val="231F20"/>
          <w:w w:val="105"/>
        </w:rPr>
        <w:t>realizaron</w:t>
      </w:r>
      <w:r>
        <w:rPr>
          <w:color w:val="231F20"/>
          <w:spacing w:val="-13"/>
          <w:w w:val="105"/>
        </w:rPr>
        <w:t> </w:t>
      </w:r>
      <w:r>
        <w:rPr>
          <w:color w:val="231F20"/>
          <w:w w:val="105"/>
        </w:rPr>
        <w:t>pláticas</w:t>
      </w:r>
      <w:r>
        <w:rPr>
          <w:color w:val="231F20"/>
          <w:spacing w:val="-13"/>
          <w:w w:val="105"/>
        </w:rPr>
        <w:t> </w:t>
      </w:r>
      <w:r>
        <w:rPr>
          <w:color w:val="231F20"/>
          <w:w w:val="105"/>
        </w:rPr>
        <w:t>con</w:t>
      </w:r>
      <w:r>
        <w:rPr>
          <w:color w:val="231F20"/>
          <w:spacing w:val="-13"/>
          <w:w w:val="105"/>
        </w:rPr>
        <w:t> </w:t>
      </w:r>
      <w:r>
        <w:rPr>
          <w:color w:val="231F20"/>
          <w:w w:val="105"/>
        </w:rPr>
        <w:t>una</w:t>
      </w:r>
      <w:r>
        <w:rPr>
          <w:color w:val="231F20"/>
          <w:spacing w:val="-13"/>
          <w:w w:val="105"/>
        </w:rPr>
        <w:t> </w:t>
      </w:r>
      <w:r>
        <w:rPr>
          <w:color w:val="231F20"/>
          <w:w w:val="105"/>
        </w:rPr>
        <w:t>empresa,</w:t>
      </w:r>
      <w:r>
        <w:rPr>
          <w:color w:val="231F20"/>
          <w:spacing w:val="-13"/>
          <w:w w:val="105"/>
        </w:rPr>
        <w:t> </w:t>
      </w:r>
      <w:r>
        <w:rPr>
          <w:color w:val="231F20"/>
          <w:w w:val="105"/>
        </w:rPr>
        <w:t>en</w:t>
      </w:r>
      <w:r>
        <w:rPr>
          <w:color w:val="231F20"/>
          <w:spacing w:val="-13"/>
          <w:w w:val="105"/>
        </w:rPr>
        <w:t> </w:t>
      </w:r>
      <w:r>
        <w:rPr>
          <w:color w:val="231F20"/>
          <w:w w:val="105"/>
        </w:rPr>
        <w:t>cuestión</w:t>
      </w:r>
      <w:r>
        <w:rPr>
          <w:color w:val="231F20"/>
          <w:spacing w:val="-13"/>
          <w:w w:val="105"/>
        </w:rPr>
        <w:t> </w:t>
      </w:r>
      <w:r>
        <w:rPr>
          <w:color w:val="231F20"/>
          <w:w w:val="105"/>
        </w:rPr>
        <w:t>de</w:t>
      </w:r>
      <w:r>
        <w:rPr>
          <w:color w:val="231F20"/>
          <w:spacing w:val="-13"/>
          <w:w w:val="105"/>
        </w:rPr>
        <w:t> </w:t>
      </w:r>
      <w:r>
        <w:rPr>
          <w:color w:val="231F20"/>
          <w:w w:val="105"/>
        </w:rPr>
        <w:t>los reglamentos</w:t>
      </w:r>
      <w:r>
        <w:rPr>
          <w:color w:val="231F20"/>
          <w:spacing w:val="-17"/>
          <w:w w:val="105"/>
        </w:rPr>
        <w:t> </w:t>
      </w:r>
      <w:r>
        <w:rPr>
          <w:color w:val="231F20"/>
          <w:w w:val="105"/>
        </w:rPr>
        <w:t>no</w:t>
      </w:r>
      <w:r>
        <w:rPr>
          <w:color w:val="231F20"/>
          <w:spacing w:val="-17"/>
          <w:w w:val="105"/>
        </w:rPr>
        <w:t> </w:t>
      </w:r>
      <w:r>
        <w:rPr>
          <w:color w:val="231F20"/>
          <w:w w:val="105"/>
        </w:rPr>
        <w:t>se</w:t>
      </w:r>
      <w:r>
        <w:rPr>
          <w:color w:val="231F20"/>
          <w:spacing w:val="-17"/>
          <w:w w:val="105"/>
        </w:rPr>
        <w:t> </w:t>
      </w:r>
      <w:r>
        <w:rPr>
          <w:color w:val="231F20"/>
          <w:w w:val="105"/>
        </w:rPr>
        <w:t>presentaron</w:t>
      </w:r>
      <w:r>
        <w:rPr>
          <w:color w:val="231F20"/>
          <w:spacing w:val="-17"/>
          <w:w w:val="105"/>
        </w:rPr>
        <w:t> </w:t>
      </w:r>
      <w:r>
        <w:rPr>
          <w:color w:val="231F20"/>
          <w:spacing w:val="2"/>
          <w:w w:val="105"/>
        </w:rPr>
        <w:t>al</w:t>
      </w:r>
      <w:r>
        <w:rPr>
          <w:color w:val="231F20"/>
          <w:spacing w:val="-17"/>
          <w:w w:val="105"/>
        </w:rPr>
        <w:t> </w:t>
      </w:r>
      <w:r>
        <w:rPr>
          <w:color w:val="231F20"/>
          <w:w w:val="105"/>
        </w:rPr>
        <w:t>cabildo</w:t>
      </w:r>
      <w:r>
        <w:rPr>
          <w:color w:val="231F20"/>
          <w:spacing w:val="-17"/>
          <w:w w:val="105"/>
        </w:rPr>
        <w:t> </w:t>
      </w:r>
      <w:r>
        <w:rPr>
          <w:color w:val="231F20"/>
          <w:w w:val="105"/>
        </w:rPr>
        <w:t>los</w:t>
      </w:r>
      <w:r>
        <w:rPr>
          <w:color w:val="231F20"/>
          <w:spacing w:val="-17"/>
          <w:w w:val="105"/>
        </w:rPr>
        <w:t> </w:t>
      </w:r>
      <w:r>
        <w:rPr>
          <w:color w:val="231F20"/>
          <w:w w:val="105"/>
        </w:rPr>
        <w:t>proyectos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demás</w:t>
      </w:r>
      <w:r>
        <w:rPr>
          <w:color w:val="231F20"/>
          <w:spacing w:val="-17"/>
          <w:w w:val="105"/>
        </w:rPr>
        <w:t> </w:t>
      </w:r>
      <w:r>
        <w:rPr>
          <w:color w:val="231F20"/>
          <w:w w:val="105"/>
        </w:rPr>
        <w:t>manuales</w:t>
      </w:r>
      <w:r>
        <w:rPr>
          <w:color w:val="231F20"/>
          <w:spacing w:val="-17"/>
          <w:w w:val="105"/>
        </w:rPr>
        <w:t> </w:t>
      </w:r>
      <w:r>
        <w:rPr>
          <w:color w:val="231F20"/>
          <w:w w:val="105"/>
        </w:rPr>
        <w:t>adminis- trativos</w:t>
      </w:r>
      <w:r>
        <w:rPr>
          <w:color w:val="231F20"/>
          <w:spacing w:val="-7"/>
          <w:w w:val="105"/>
        </w:rPr>
        <w:t> </w:t>
      </w:r>
      <w:r>
        <w:rPr>
          <w:color w:val="231F20"/>
          <w:w w:val="105"/>
        </w:rPr>
        <w:t>para</w:t>
      </w:r>
      <w:r>
        <w:rPr>
          <w:color w:val="231F20"/>
          <w:spacing w:val="-7"/>
          <w:w w:val="105"/>
        </w:rPr>
        <w:t> </w:t>
      </w:r>
      <w:r>
        <w:rPr>
          <w:color w:val="231F20"/>
          <w:w w:val="105"/>
        </w:rPr>
        <w:t>las</w:t>
      </w:r>
      <w:r>
        <w:rPr>
          <w:color w:val="231F20"/>
          <w:spacing w:val="-7"/>
          <w:w w:val="105"/>
        </w:rPr>
        <w:t> </w:t>
      </w:r>
      <w:r>
        <w:rPr>
          <w:color w:val="231F20"/>
          <w:w w:val="105"/>
        </w:rPr>
        <w:t>diferentes</w:t>
      </w:r>
      <w:r>
        <w:rPr>
          <w:color w:val="231F20"/>
          <w:spacing w:val="-7"/>
          <w:w w:val="105"/>
        </w:rPr>
        <w:t> </w:t>
      </w:r>
      <w:r>
        <w:rPr>
          <w:color w:val="231F20"/>
          <w:w w:val="105"/>
        </w:rPr>
        <w:t>áreas</w:t>
      </w:r>
      <w:r>
        <w:rPr>
          <w:color w:val="231F20"/>
          <w:spacing w:val="-7"/>
          <w:w w:val="105"/>
        </w:rPr>
        <w:t> </w:t>
      </w:r>
      <w:r>
        <w:rPr>
          <w:color w:val="231F20"/>
          <w:w w:val="105"/>
        </w:rPr>
        <w:t>del</w:t>
      </w:r>
      <w:r>
        <w:rPr>
          <w:color w:val="231F20"/>
          <w:spacing w:val="-7"/>
          <w:w w:val="105"/>
        </w:rPr>
        <w:t> </w:t>
      </w:r>
      <w:r>
        <w:rPr>
          <w:color w:val="231F20"/>
          <w:w w:val="105"/>
        </w:rPr>
        <w:t>municipio;</w:t>
      </w:r>
      <w:r>
        <w:rPr>
          <w:color w:val="231F20"/>
          <w:spacing w:val="-7"/>
          <w:w w:val="105"/>
        </w:rPr>
        <w:t> </w:t>
      </w:r>
      <w:r>
        <w:rPr>
          <w:color w:val="231F20"/>
          <w:w w:val="105"/>
        </w:rPr>
        <w:t>en</w:t>
      </w:r>
      <w:r>
        <w:rPr>
          <w:color w:val="231F20"/>
          <w:spacing w:val="-7"/>
          <w:w w:val="105"/>
        </w:rPr>
        <w:t> </w:t>
      </w:r>
      <w:r>
        <w:rPr>
          <w:color w:val="231F20"/>
          <w:w w:val="105"/>
        </w:rPr>
        <w:t>relación</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cuidado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espa- cios</w:t>
      </w:r>
      <w:r>
        <w:rPr>
          <w:color w:val="231F20"/>
          <w:spacing w:val="-9"/>
          <w:w w:val="105"/>
        </w:rPr>
        <w:t> </w:t>
      </w:r>
      <w:r>
        <w:rPr>
          <w:color w:val="231F20"/>
          <w:w w:val="105"/>
        </w:rPr>
        <w:t>públicos:</w:t>
      </w:r>
      <w:r>
        <w:rPr>
          <w:color w:val="231F20"/>
          <w:spacing w:val="-9"/>
          <w:w w:val="105"/>
        </w:rPr>
        <w:t> </w:t>
      </w:r>
      <w:r>
        <w:rPr>
          <w:color w:val="231F20"/>
          <w:w w:val="105"/>
        </w:rPr>
        <w:t>jardines,</w:t>
      </w:r>
      <w:r>
        <w:rPr>
          <w:color w:val="231F20"/>
          <w:spacing w:val="-9"/>
          <w:w w:val="105"/>
        </w:rPr>
        <w:t> </w:t>
      </w:r>
      <w:r>
        <w:rPr>
          <w:color w:val="231F20"/>
          <w:w w:val="105"/>
        </w:rPr>
        <w:t>parques</w:t>
      </w:r>
      <w:r>
        <w:rPr>
          <w:color w:val="231F20"/>
          <w:spacing w:val="-9"/>
          <w:w w:val="105"/>
        </w:rPr>
        <w:t> </w:t>
      </w:r>
      <w:r>
        <w:rPr>
          <w:color w:val="231F20"/>
          <w:w w:val="105"/>
        </w:rPr>
        <w:t>y</w:t>
      </w:r>
      <w:r>
        <w:rPr>
          <w:color w:val="231F20"/>
          <w:spacing w:val="-9"/>
          <w:w w:val="105"/>
        </w:rPr>
        <w:t> </w:t>
      </w:r>
      <w:r>
        <w:rPr>
          <w:color w:val="231F20"/>
          <w:w w:val="105"/>
        </w:rPr>
        <w:t>panteones,</w:t>
      </w:r>
      <w:r>
        <w:rPr>
          <w:color w:val="231F20"/>
          <w:spacing w:val="-9"/>
          <w:w w:val="105"/>
        </w:rPr>
        <w:t> </w:t>
      </w:r>
      <w:r>
        <w:rPr>
          <w:color w:val="231F20"/>
          <w:w w:val="105"/>
        </w:rPr>
        <w:t>esto</w:t>
      </w:r>
      <w:r>
        <w:rPr>
          <w:color w:val="231F20"/>
          <w:spacing w:val="-9"/>
          <w:w w:val="105"/>
        </w:rPr>
        <w:t> </w:t>
      </w:r>
      <w:r>
        <w:rPr>
          <w:color w:val="231F20"/>
          <w:w w:val="105"/>
        </w:rPr>
        <w:t>se</w:t>
      </w:r>
      <w:r>
        <w:rPr>
          <w:color w:val="231F20"/>
          <w:spacing w:val="-9"/>
          <w:w w:val="105"/>
        </w:rPr>
        <w:t> </w:t>
      </w:r>
      <w:r>
        <w:rPr>
          <w:color w:val="231F20"/>
          <w:w w:val="105"/>
        </w:rPr>
        <w:t>hizo</w:t>
      </w:r>
      <w:r>
        <w:rPr>
          <w:color w:val="231F20"/>
          <w:spacing w:val="-9"/>
          <w:w w:val="105"/>
        </w:rPr>
        <w:t> </w:t>
      </w:r>
      <w:r>
        <w:rPr>
          <w:color w:val="231F20"/>
          <w:w w:val="105"/>
        </w:rPr>
        <w:t>como</w:t>
      </w:r>
      <w:r>
        <w:rPr>
          <w:color w:val="231F20"/>
          <w:spacing w:val="-9"/>
          <w:w w:val="105"/>
        </w:rPr>
        <w:t> </w:t>
      </w:r>
      <w:r>
        <w:rPr>
          <w:color w:val="231F20"/>
          <w:w w:val="105"/>
        </w:rPr>
        <w:t>una</w:t>
      </w:r>
      <w:r>
        <w:rPr>
          <w:color w:val="231F20"/>
          <w:spacing w:val="-9"/>
          <w:w w:val="105"/>
        </w:rPr>
        <w:t> </w:t>
      </w:r>
      <w:r>
        <w:rPr>
          <w:color w:val="231F20"/>
          <w:w w:val="105"/>
        </w:rPr>
        <w:t>obra</w:t>
      </w:r>
      <w:r>
        <w:rPr>
          <w:color w:val="231F20"/>
          <w:spacing w:val="-9"/>
          <w:w w:val="105"/>
        </w:rPr>
        <w:t> </w:t>
      </w:r>
      <w:r>
        <w:rPr>
          <w:color w:val="231F20"/>
          <w:w w:val="105"/>
        </w:rPr>
        <w:t>del</w:t>
      </w:r>
      <w:r>
        <w:rPr>
          <w:color w:val="231F20"/>
          <w:spacing w:val="-9"/>
          <w:w w:val="105"/>
        </w:rPr>
        <w:t> </w:t>
      </w:r>
      <w:r>
        <w:rPr>
          <w:color w:val="231F20"/>
          <w:w w:val="105"/>
        </w:rPr>
        <w:t>municipio y no como un programa de la comisión responsable pues, aunque haya campañas de limpieza,</w:t>
      </w:r>
      <w:r>
        <w:rPr>
          <w:color w:val="231F20"/>
          <w:spacing w:val="-21"/>
          <w:w w:val="105"/>
        </w:rPr>
        <w:t> </w:t>
      </w:r>
      <w:r>
        <w:rPr>
          <w:color w:val="231F20"/>
          <w:w w:val="105"/>
        </w:rPr>
        <w:t>no</w:t>
      </w:r>
      <w:r>
        <w:rPr>
          <w:color w:val="231F20"/>
          <w:spacing w:val="-21"/>
          <w:w w:val="105"/>
        </w:rPr>
        <w:t> </w:t>
      </w:r>
      <w:r>
        <w:rPr>
          <w:color w:val="231F20"/>
          <w:w w:val="105"/>
        </w:rPr>
        <w:t>se</w:t>
      </w:r>
      <w:r>
        <w:rPr>
          <w:color w:val="231F20"/>
          <w:spacing w:val="-21"/>
          <w:w w:val="105"/>
        </w:rPr>
        <w:t> </w:t>
      </w:r>
      <w:r>
        <w:rPr>
          <w:color w:val="231F20"/>
          <w:w w:val="105"/>
        </w:rPr>
        <w:t>contó</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w w:val="105"/>
        </w:rPr>
        <w:t>servicio</w:t>
      </w:r>
      <w:r>
        <w:rPr>
          <w:color w:val="231F20"/>
          <w:spacing w:val="-21"/>
          <w:w w:val="105"/>
        </w:rPr>
        <w:t> </w:t>
      </w:r>
      <w:r>
        <w:rPr>
          <w:color w:val="231F20"/>
          <w:w w:val="105"/>
        </w:rPr>
        <w:t>del</w:t>
      </w:r>
      <w:r>
        <w:rPr>
          <w:color w:val="231F20"/>
          <w:spacing w:val="-21"/>
          <w:w w:val="105"/>
        </w:rPr>
        <w:t> </w:t>
      </w:r>
      <w:r>
        <w:rPr>
          <w:color w:val="231F20"/>
          <w:w w:val="105"/>
        </w:rPr>
        <w:t>limpia</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desechos</w:t>
      </w:r>
      <w:r>
        <w:rPr>
          <w:color w:val="231F20"/>
          <w:spacing w:val="-21"/>
          <w:w w:val="105"/>
        </w:rPr>
        <w:t> </w:t>
      </w:r>
      <w:r>
        <w:rPr>
          <w:color w:val="231F20"/>
          <w:w w:val="105"/>
        </w:rPr>
        <w:t>siguieron</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alrededo-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res</w:t>
      </w:r>
      <w:r>
        <w:rPr>
          <w:color w:val="231F20"/>
          <w:spacing w:val="-4"/>
          <w:w w:val="105"/>
        </w:rPr>
        <w:t> </w:t>
      </w:r>
      <w:r>
        <w:rPr>
          <w:color w:val="231F20"/>
          <w:w w:val="105"/>
        </w:rPr>
        <w:t>de</w:t>
      </w:r>
      <w:r>
        <w:rPr>
          <w:color w:val="231F20"/>
          <w:spacing w:val="-4"/>
          <w:w w:val="105"/>
        </w:rPr>
        <w:t> </w:t>
      </w:r>
      <w:r>
        <w:rPr>
          <w:color w:val="231F20"/>
          <w:w w:val="105"/>
        </w:rPr>
        <w:t>estos</w:t>
      </w:r>
      <w:r>
        <w:rPr>
          <w:color w:val="231F20"/>
          <w:spacing w:val="-4"/>
          <w:w w:val="105"/>
        </w:rPr>
        <w:t> </w:t>
      </w:r>
      <w:r>
        <w:rPr>
          <w:color w:val="231F20"/>
          <w:w w:val="105"/>
        </w:rPr>
        <w:t>lugares.</w:t>
      </w:r>
      <w:r>
        <w:rPr>
          <w:color w:val="231F20"/>
          <w:spacing w:val="-4"/>
          <w:w w:val="105"/>
        </w:rPr>
        <w:t> </w:t>
      </w:r>
      <w:r>
        <w:rPr>
          <w:color w:val="231F20"/>
          <w:w w:val="105"/>
        </w:rPr>
        <w:t>En</w:t>
      </w:r>
      <w:r>
        <w:rPr>
          <w:color w:val="231F20"/>
          <w:spacing w:val="-4"/>
          <w:w w:val="105"/>
        </w:rPr>
        <w:t> </w:t>
      </w:r>
      <w:r>
        <w:rPr>
          <w:color w:val="231F20"/>
          <w:w w:val="105"/>
        </w:rPr>
        <w:t>cuanto</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programas</w:t>
      </w:r>
      <w:r>
        <w:rPr>
          <w:color w:val="231F20"/>
          <w:spacing w:val="-4"/>
          <w:w w:val="105"/>
        </w:rPr>
        <w:t> </w:t>
      </w:r>
      <w:r>
        <w:rPr>
          <w:color w:val="231F20"/>
          <w:w w:val="105"/>
        </w:rPr>
        <w:t>sociales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spacing w:val="3"/>
          <w:w w:val="105"/>
        </w:rPr>
        <w:t>2008</w:t>
      </w:r>
      <w:r>
        <w:rPr>
          <w:color w:val="231F20"/>
          <w:spacing w:val="-4"/>
          <w:w w:val="105"/>
        </w:rPr>
        <w:t> </w:t>
      </w:r>
      <w:r>
        <w:rPr>
          <w:color w:val="231F20"/>
          <w:w w:val="105"/>
        </w:rPr>
        <w:t>se</w:t>
      </w:r>
      <w:r>
        <w:rPr>
          <w:color w:val="231F20"/>
          <w:spacing w:val="-4"/>
          <w:w w:val="105"/>
        </w:rPr>
        <w:t> </w:t>
      </w:r>
      <w:r>
        <w:rPr>
          <w:color w:val="231F20"/>
          <w:w w:val="105"/>
        </w:rPr>
        <w:t>centraron</w:t>
      </w:r>
      <w:r>
        <w:rPr>
          <w:color w:val="231F20"/>
          <w:spacing w:val="-4"/>
          <w:w w:val="105"/>
        </w:rPr>
        <w:t> </w:t>
      </w:r>
      <w:r>
        <w:rPr>
          <w:color w:val="231F20"/>
          <w:w w:val="105"/>
        </w:rPr>
        <w:t>en</w:t>
      </w:r>
      <w:r>
        <w:rPr>
          <w:color w:val="231F20"/>
          <w:spacing w:val="-4"/>
          <w:w w:val="105"/>
        </w:rPr>
        <w:t> </w:t>
      </w:r>
      <w:r>
        <w:rPr>
          <w:color w:val="231F20"/>
          <w:w w:val="105"/>
        </w:rPr>
        <w:t>los adultos</w:t>
      </w:r>
      <w:r>
        <w:rPr>
          <w:color w:val="231F20"/>
          <w:spacing w:val="-21"/>
          <w:w w:val="105"/>
        </w:rPr>
        <w:t> </w:t>
      </w:r>
      <w:r>
        <w:rPr>
          <w:color w:val="231F20"/>
          <w:w w:val="105"/>
        </w:rPr>
        <w:t>mayores</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niños.</w:t>
      </w:r>
    </w:p>
    <w:p>
      <w:pPr>
        <w:pStyle w:val="BodyText"/>
        <w:spacing w:before="1"/>
        <w:rPr>
          <w:sz w:val="26"/>
        </w:rPr>
      </w:pPr>
    </w:p>
    <w:p>
      <w:pPr>
        <w:pStyle w:val="BodyText"/>
        <w:spacing w:line="285" w:lineRule="auto"/>
        <w:ind w:left="110" w:right="108"/>
        <w:jc w:val="both"/>
      </w:pPr>
      <w:r>
        <w:rPr>
          <w:color w:val="231F20"/>
          <w:spacing w:val="3"/>
          <w:w w:val="105"/>
        </w:rPr>
        <w:t>Al </w:t>
      </w:r>
      <w:r>
        <w:rPr>
          <w:color w:val="231F20"/>
          <w:w w:val="105"/>
        </w:rPr>
        <w:t>inicio de la administración panista una de sus prioridades fue el acercamiento con la gente. </w:t>
      </w:r>
      <w:r>
        <w:rPr>
          <w:color w:val="231F20"/>
          <w:spacing w:val="-3"/>
          <w:w w:val="105"/>
        </w:rPr>
        <w:t>Por </w:t>
      </w:r>
      <w:r>
        <w:rPr>
          <w:color w:val="231F20"/>
          <w:w w:val="105"/>
        </w:rPr>
        <w:t>ello en el Plan de Desarrollo Municipal se </w:t>
      </w:r>
      <w:r>
        <w:rPr>
          <w:color w:val="231F20"/>
          <w:spacing w:val="-3"/>
          <w:w w:val="105"/>
        </w:rPr>
        <w:t>contempló </w:t>
      </w:r>
      <w:r>
        <w:rPr>
          <w:color w:val="231F20"/>
          <w:w w:val="105"/>
        </w:rPr>
        <w:t>la instrumentación del</w:t>
      </w:r>
      <w:r>
        <w:rPr>
          <w:color w:val="231F20"/>
          <w:spacing w:val="-17"/>
          <w:w w:val="105"/>
        </w:rPr>
        <w:t> </w:t>
      </w:r>
      <w:r>
        <w:rPr>
          <w:color w:val="231F20"/>
          <w:w w:val="105"/>
        </w:rPr>
        <w:t>día</w:t>
      </w:r>
      <w:r>
        <w:rPr>
          <w:color w:val="231F20"/>
          <w:spacing w:val="-17"/>
          <w:w w:val="105"/>
        </w:rPr>
        <w:t> </w:t>
      </w:r>
      <w:r>
        <w:rPr>
          <w:color w:val="231F20"/>
          <w:w w:val="105"/>
        </w:rPr>
        <w:t>ciudadano</w:t>
      </w:r>
      <w:r>
        <w:rPr>
          <w:color w:val="231F20"/>
          <w:spacing w:val="-17"/>
          <w:w w:val="105"/>
        </w:rPr>
        <w:t> </w:t>
      </w:r>
      <w:r>
        <w:rPr>
          <w:color w:val="231F20"/>
          <w:w w:val="105"/>
        </w:rPr>
        <w:t>y</w:t>
      </w:r>
      <w:r>
        <w:rPr>
          <w:color w:val="231F20"/>
          <w:spacing w:val="-17"/>
          <w:w w:val="105"/>
        </w:rPr>
        <w:t> </w:t>
      </w:r>
      <w:r>
        <w:rPr>
          <w:color w:val="231F20"/>
          <w:w w:val="105"/>
        </w:rPr>
        <w:t>los</w:t>
      </w:r>
      <w:r>
        <w:rPr>
          <w:color w:val="231F20"/>
          <w:spacing w:val="-17"/>
          <w:w w:val="105"/>
        </w:rPr>
        <w:t> </w:t>
      </w:r>
      <w:r>
        <w:rPr>
          <w:color w:val="231F20"/>
          <w:w w:val="105"/>
        </w:rPr>
        <w:t>cabildos</w:t>
      </w:r>
      <w:r>
        <w:rPr>
          <w:color w:val="231F20"/>
          <w:spacing w:val="-17"/>
          <w:w w:val="105"/>
        </w:rPr>
        <w:t> </w:t>
      </w:r>
      <w:r>
        <w:rPr>
          <w:color w:val="231F20"/>
          <w:w w:val="105"/>
        </w:rPr>
        <w:t>públicos,</w:t>
      </w:r>
      <w:r>
        <w:rPr>
          <w:color w:val="231F20"/>
          <w:spacing w:val="-17"/>
          <w:w w:val="105"/>
        </w:rPr>
        <w:t> </w:t>
      </w:r>
      <w:r>
        <w:rPr>
          <w:color w:val="231F20"/>
          <w:w w:val="105"/>
        </w:rPr>
        <w:t>dos</w:t>
      </w:r>
      <w:r>
        <w:rPr>
          <w:color w:val="231F20"/>
          <w:spacing w:val="-17"/>
          <w:w w:val="105"/>
        </w:rPr>
        <w:t> </w:t>
      </w:r>
      <w:r>
        <w:rPr>
          <w:color w:val="231F20"/>
          <w:w w:val="105"/>
        </w:rPr>
        <w:t>medidas</w:t>
      </w:r>
      <w:r>
        <w:rPr>
          <w:color w:val="231F20"/>
          <w:spacing w:val="-17"/>
          <w:w w:val="105"/>
        </w:rPr>
        <w:t> </w:t>
      </w:r>
      <w:r>
        <w:rPr>
          <w:color w:val="231F20"/>
          <w:w w:val="105"/>
        </w:rPr>
        <w:t>que</w:t>
      </w:r>
      <w:r>
        <w:rPr>
          <w:color w:val="231F20"/>
          <w:spacing w:val="-17"/>
          <w:w w:val="105"/>
        </w:rPr>
        <w:t> </w:t>
      </w:r>
      <w:r>
        <w:rPr>
          <w:color w:val="231F20"/>
          <w:w w:val="105"/>
        </w:rPr>
        <w:t>si</w:t>
      </w:r>
      <w:r>
        <w:rPr>
          <w:color w:val="231F20"/>
          <w:spacing w:val="-17"/>
          <w:w w:val="105"/>
        </w:rPr>
        <w:t> </w:t>
      </w:r>
      <w:r>
        <w:rPr>
          <w:color w:val="231F20"/>
          <w:w w:val="105"/>
        </w:rPr>
        <w:t>bien</w:t>
      </w:r>
      <w:r>
        <w:rPr>
          <w:color w:val="231F20"/>
          <w:spacing w:val="-17"/>
          <w:w w:val="105"/>
        </w:rPr>
        <w:t> </w:t>
      </w:r>
      <w:r>
        <w:rPr>
          <w:color w:val="231F20"/>
          <w:w w:val="105"/>
        </w:rPr>
        <w:t>se</w:t>
      </w:r>
      <w:r>
        <w:rPr>
          <w:color w:val="231F20"/>
          <w:spacing w:val="-17"/>
          <w:w w:val="105"/>
        </w:rPr>
        <w:t> </w:t>
      </w:r>
      <w:r>
        <w:rPr>
          <w:color w:val="231F20"/>
          <w:w w:val="105"/>
        </w:rPr>
        <w:t>llevaron</w:t>
      </w:r>
      <w:r>
        <w:rPr>
          <w:color w:val="231F20"/>
          <w:spacing w:val="-17"/>
          <w:w w:val="105"/>
        </w:rPr>
        <w:t> </w:t>
      </w:r>
      <w:r>
        <w:rPr>
          <w:color w:val="231F20"/>
          <w:w w:val="105"/>
        </w:rPr>
        <w:t>a</w:t>
      </w:r>
      <w:r>
        <w:rPr>
          <w:color w:val="231F20"/>
          <w:spacing w:val="-17"/>
          <w:w w:val="105"/>
        </w:rPr>
        <w:t> </w:t>
      </w:r>
      <w:r>
        <w:rPr>
          <w:color w:val="231F20"/>
          <w:w w:val="105"/>
        </w:rPr>
        <w:t>cabo,</w:t>
      </w:r>
      <w:r>
        <w:rPr>
          <w:color w:val="231F20"/>
          <w:spacing w:val="-17"/>
          <w:w w:val="105"/>
        </w:rPr>
        <w:t> </w:t>
      </w:r>
      <w:r>
        <w:rPr>
          <w:color w:val="231F20"/>
          <w:w w:val="105"/>
        </w:rPr>
        <w:t>no despertaron en la ciudadanía esa conciencia participativa a que todo gobierno demo- crático aspira, por lo que la participación ciudadana quedó limitada a los parámetros oficiales:</w:t>
      </w:r>
      <w:r>
        <w:rPr>
          <w:color w:val="231F20"/>
          <w:spacing w:val="-9"/>
          <w:w w:val="105"/>
        </w:rPr>
        <w:t> </w:t>
      </w:r>
      <w:r>
        <w:rPr>
          <w:color w:val="231F20"/>
          <w:w w:val="105"/>
        </w:rPr>
        <w:t>la</w:t>
      </w:r>
      <w:r>
        <w:rPr>
          <w:color w:val="231F20"/>
          <w:spacing w:val="-9"/>
          <w:w w:val="105"/>
        </w:rPr>
        <w:t> </w:t>
      </w:r>
      <w:r>
        <w:rPr>
          <w:color w:val="231F20"/>
          <w:w w:val="105"/>
        </w:rPr>
        <w:t>conformación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consejos</w:t>
      </w:r>
      <w:r>
        <w:rPr>
          <w:color w:val="231F20"/>
          <w:spacing w:val="-9"/>
          <w:w w:val="105"/>
        </w:rPr>
        <w:t> </w:t>
      </w:r>
      <w:r>
        <w:rPr>
          <w:color w:val="231F20"/>
          <w:w w:val="105"/>
        </w:rPr>
        <w:t>de</w:t>
      </w:r>
      <w:r>
        <w:rPr>
          <w:color w:val="231F20"/>
          <w:spacing w:val="-9"/>
          <w:w w:val="105"/>
        </w:rPr>
        <w:t> </w:t>
      </w:r>
      <w:r>
        <w:rPr>
          <w:color w:val="231F20"/>
          <w:w w:val="105"/>
        </w:rPr>
        <w:t>participación</w:t>
      </w:r>
      <w:r>
        <w:rPr>
          <w:color w:val="231F20"/>
          <w:spacing w:val="-9"/>
          <w:w w:val="105"/>
        </w:rPr>
        <w:t> </w:t>
      </w:r>
      <w:r>
        <w:rPr>
          <w:color w:val="231F20"/>
          <w:w w:val="105"/>
        </w:rPr>
        <w:t>ciudadana,</w:t>
      </w:r>
      <w:r>
        <w:rPr>
          <w:color w:val="231F20"/>
          <w:spacing w:val="-9"/>
          <w:w w:val="105"/>
        </w:rPr>
        <w:t> </w:t>
      </w:r>
      <w:r>
        <w:rPr>
          <w:color w:val="231F20"/>
          <w:w w:val="105"/>
        </w:rPr>
        <w:t>y</w:t>
      </w:r>
      <w:r>
        <w:rPr>
          <w:color w:val="231F20"/>
          <w:spacing w:val="-9"/>
          <w:w w:val="105"/>
        </w:rPr>
        <w:t> </w:t>
      </w:r>
      <w:r>
        <w:rPr>
          <w:color w:val="231F20"/>
          <w:w w:val="105"/>
        </w:rPr>
        <w:t>los</w:t>
      </w:r>
      <w:r>
        <w:rPr>
          <w:color w:val="231F20"/>
          <w:spacing w:val="-9"/>
          <w:w w:val="105"/>
        </w:rPr>
        <w:t> </w:t>
      </w:r>
      <w:r>
        <w:rPr>
          <w:color w:val="231F20"/>
          <w:w w:val="105"/>
        </w:rPr>
        <w:t>comités</w:t>
      </w:r>
      <w:r>
        <w:rPr>
          <w:color w:val="231F20"/>
          <w:spacing w:val="-9"/>
          <w:w w:val="105"/>
        </w:rPr>
        <w:t> </w:t>
      </w:r>
      <w:r>
        <w:rPr>
          <w:color w:val="231F20"/>
          <w:w w:val="105"/>
        </w:rPr>
        <w:t>de </w:t>
      </w:r>
      <w:r>
        <w:rPr>
          <w:color w:val="231F20"/>
        </w:rPr>
        <w:t>obra</w:t>
      </w:r>
      <w:r>
        <w:rPr>
          <w:color w:val="231F20"/>
          <w:spacing w:val="41"/>
        </w:rPr>
        <w:t> </w:t>
      </w:r>
      <w:r>
        <w:rPr>
          <w:color w:val="231F20"/>
          <w:spacing w:val="-3"/>
        </w:rPr>
        <w:t>(COCICOVIS).</w:t>
      </w:r>
    </w:p>
    <w:p>
      <w:pPr>
        <w:pStyle w:val="BodyText"/>
        <w:spacing w:before="1"/>
        <w:rPr>
          <w:sz w:val="26"/>
        </w:rPr>
      </w:pPr>
    </w:p>
    <w:p>
      <w:pPr>
        <w:pStyle w:val="BodyText"/>
        <w:spacing w:line="285" w:lineRule="auto"/>
        <w:ind w:left="110" w:right="108"/>
        <w:jc w:val="both"/>
      </w:pPr>
      <w:r>
        <w:rPr>
          <w:color w:val="231F20"/>
          <w:w w:val="105"/>
        </w:rPr>
        <w:t>Estos</w:t>
      </w:r>
      <w:r>
        <w:rPr>
          <w:color w:val="231F20"/>
          <w:spacing w:val="-19"/>
          <w:w w:val="105"/>
        </w:rPr>
        <w:t> </w:t>
      </w:r>
      <w:r>
        <w:rPr>
          <w:color w:val="231F20"/>
          <w:w w:val="105"/>
        </w:rPr>
        <w:t>organismos</w:t>
      </w:r>
      <w:r>
        <w:rPr>
          <w:color w:val="231F20"/>
          <w:spacing w:val="-19"/>
          <w:w w:val="105"/>
        </w:rPr>
        <w:t> </w:t>
      </w:r>
      <w:r>
        <w:rPr>
          <w:color w:val="231F20"/>
          <w:w w:val="105"/>
        </w:rPr>
        <w:t>se</w:t>
      </w:r>
      <w:r>
        <w:rPr>
          <w:color w:val="231F20"/>
          <w:spacing w:val="-19"/>
          <w:w w:val="105"/>
        </w:rPr>
        <w:t> </w:t>
      </w:r>
      <w:r>
        <w:rPr>
          <w:color w:val="231F20"/>
          <w:w w:val="105"/>
        </w:rPr>
        <w:t>forman</w:t>
      </w:r>
      <w:r>
        <w:rPr>
          <w:color w:val="231F20"/>
          <w:spacing w:val="-19"/>
          <w:w w:val="105"/>
        </w:rPr>
        <w:t> </w:t>
      </w:r>
      <w:r>
        <w:rPr>
          <w:color w:val="231F20"/>
          <w:w w:val="105"/>
        </w:rPr>
        <w:t>mediante</w:t>
      </w:r>
      <w:r>
        <w:rPr>
          <w:color w:val="231F20"/>
          <w:spacing w:val="-19"/>
          <w:w w:val="105"/>
        </w:rPr>
        <w:t> </w:t>
      </w:r>
      <w:r>
        <w:rPr>
          <w:color w:val="231F20"/>
          <w:w w:val="105"/>
        </w:rPr>
        <w:t>una</w:t>
      </w:r>
      <w:r>
        <w:rPr>
          <w:color w:val="231F20"/>
          <w:spacing w:val="-19"/>
          <w:w w:val="105"/>
        </w:rPr>
        <w:t> </w:t>
      </w:r>
      <w:r>
        <w:rPr>
          <w:color w:val="231F20"/>
          <w:w w:val="105"/>
        </w:rPr>
        <w:t>convocatoria</w:t>
      </w:r>
      <w:r>
        <w:rPr>
          <w:color w:val="231F20"/>
          <w:spacing w:val="-19"/>
          <w:w w:val="105"/>
        </w:rPr>
        <w:t> </w:t>
      </w:r>
      <w:r>
        <w:rPr>
          <w:color w:val="231F20"/>
          <w:w w:val="105"/>
        </w:rPr>
        <w:t>expedida</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rPr>
        <w:t>ayuntamiento</w:t>
      </w:r>
      <w:r>
        <w:rPr>
          <w:color w:val="231F20"/>
          <w:spacing w:val="-19"/>
          <w:w w:val="105"/>
        </w:rPr>
        <w:t> </w:t>
      </w:r>
      <w:r>
        <w:rPr>
          <w:color w:val="231F20"/>
          <w:w w:val="105"/>
        </w:rPr>
        <w:t>a principios</w:t>
      </w:r>
      <w:r>
        <w:rPr>
          <w:color w:val="231F20"/>
          <w:spacing w:val="-16"/>
          <w:w w:val="105"/>
        </w:rPr>
        <w:t> </w:t>
      </w:r>
      <w:r>
        <w:rPr>
          <w:color w:val="231F20"/>
          <w:w w:val="105"/>
        </w:rPr>
        <w:t>del</w:t>
      </w:r>
      <w:r>
        <w:rPr>
          <w:color w:val="231F20"/>
          <w:spacing w:val="-16"/>
          <w:w w:val="105"/>
        </w:rPr>
        <w:t> </w:t>
      </w:r>
      <w:r>
        <w:rPr>
          <w:color w:val="231F20"/>
          <w:w w:val="105"/>
        </w:rPr>
        <w:t>mes</w:t>
      </w:r>
      <w:r>
        <w:rPr>
          <w:color w:val="231F20"/>
          <w:spacing w:val="-16"/>
          <w:w w:val="105"/>
        </w:rPr>
        <w:t> </w:t>
      </w:r>
      <w:r>
        <w:rPr>
          <w:color w:val="231F20"/>
          <w:w w:val="105"/>
        </w:rPr>
        <w:t>de</w:t>
      </w:r>
      <w:r>
        <w:rPr>
          <w:color w:val="231F20"/>
          <w:spacing w:val="-16"/>
          <w:w w:val="105"/>
        </w:rPr>
        <w:t> </w:t>
      </w:r>
      <w:r>
        <w:rPr>
          <w:color w:val="231F20"/>
          <w:w w:val="105"/>
        </w:rPr>
        <w:t>enero</w:t>
      </w:r>
      <w:r>
        <w:rPr>
          <w:color w:val="231F20"/>
          <w:spacing w:val="-16"/>
          <w:w w:val="105"/>
        </w:rPr>
        <w:t> </w:t>
      </w:r>
      <w:r>
        <w:rPr>
          <w:color w:val="231F20"/>
          <w:spacing w:val="-3"/>
          <w:w w:val="105"/>
        </w:rPr>
        <w:t>donde</w:t>
      </w:r>
      <w:r>
        <w:rPr>
          <w:color w:val="231F20"/>
          <w:spacing w:val="-16"/>
          <w:w w:val="105"/>
        </w:rPr>
        <w:t> </w:t>
      </w:r>
      <w:r>
        <w:rPr>
          <w:color w:val="231F20"/>
          <w:w w:val="105"/>
        </w:rPr>
        <w:t>se</w:t>
      </w:r>
      <w:r>
        <w:rPr>
          <w:color w:val="231F20"/>
          <w:spacing w:val="-16"/>
          <w:w w:val="105"/>
        </w:rPr>
        <w:t> </w:t>
      </w:r>
      <w:r>
        <w:rPr>
          <w:color w:val="231F20"/>
          <w:w w:val="105"/>
        </w:rPr>
        <w:t>estipulan</w:t>
      </w:r>
      <w:r>
        <w:rPr>
          <w:color w:val="231F20"/>
          <w:spacing w:val="-16"/>
          <w:w w:val="105"/>
        </w:rPr>
        <w:t> </w:t>
      </w:r>
      <w:r>
        <w:rPr>
          <w:color w:val="231F20"/>
          <w:w w:val="105"/>
        </w:rPr>
        <w:t>las</w:t>
      </w:r>
      <w:r>
        <w:rPr>
          <w:color w:val="231F20"/>
          <w:spacing w:val="-16"/>
          <w:w w:val="105"/>
        </w:rPr>
        <w:t> </w:t>
      </w:r>
      <w:r>
        <w:rPr>
          <w:color w:val="231F20"/>
          <w:w w:val="105"/>
        </w:rPr>
        <w:t>bases,</w:t>
      </w:r>
      <w:r>
        <w:rPr>
          <w:color w:val="231F20"/>
          <w:spacing w:val="-16"/>
          <w:w w:val="105"/>
        </w:rPr>
        <w:t> </w:t>
      </w:r>
      <w:r>
        <w:rPr>
          <w:color w:val="231F20"/>
          <w:w w:val="105"/>
        </w:rPr>
        <w:t>plazos,</w:t>
      </w:r>
      <w:r>
        <w:rPr>
          <w:color w:val="231F20"/>
          <w:spacing w:val="-16"/>
          <w:w w:val="105"/>
        </w:rPr>
        <w:t> </w:t>
      </w:r>
      <w:r>
        <w:rPr>
          <w:color w:val="231F20"/>
          <w:w w:val="105"/>
        </w:rPr>
        <w:t>tiempos</w:t>
      </w:r>
      <w:r>
        <w:rPr>
          <w:color w:val="231F20"/>
          <w:spacing w:val="-16"/>
          <w:w w:val="105"/>
        </w:rPr>
        <w:t> </w:t>
      </w:r>
      <w:r>
        <w:rPr>
          <w:color w:val="231F20"/>
          <w:w w:val="105"/>
        </w:rPr>
        <w:t>y</w:t>
      </w:r>
      <w:r>
        <w:rPr>
          <w:color w:val="231F20"/>
          <w:spacing w:val="-16"/>
          <w:w w:val="105"/>
        </w:rPr>
        <w:t> </w:t>
      </w:r>
      <w:r>
        <w:rPr>
          <w:color w:val="231F20"/>
          <w:w w:val="105"/>
        </w:rPr>
        <w:t>requisitos</w:t>
      </w:r>
      <w:r>
        <w:rPr>
          <w:color w:val="231F20"/>
          <w:spacing w:val="-16"/>
          <w:w w:val="105"/>
        </w:rPr>
        <w:t> </w:t>
      </w:r>
      <w:r>
        <w:rPr>
          <w:color w:val="231F20"/>
          <w:w w:val="105"/>
        </w:rPr>
        <w:t>de esta</w:t>
      </w:r>
      <w:r>
        <w:rPr>
          <w:color w:val="231F20"/>
          <w:spacing w:val="-19"/>
          <w:w w:val="105"/>
        </w:rPr>
        <w:t> </w:t>
      </w:r>
      <w:r>
        <w:rPr>
          <w:color w:val="231F20"/>
          <w:w w:val="105"/>
        </w:rPr>
        <w:t>elección</w:t>
      </w:r>
      <w:r>
        <w:rPr>
          <w:color w:val="231F20"/>
          <w:spacing w:val="-19"/>
          <w:w w:val="105"/>
        </w:rPr>
        <w:t> </w:t>
      </w:r>
      <w:r>
        <w:rPr>
          <w:color w:val="231F20"/>
          <w:spacing w:val="-7"/>
          <w:w w:val="105"/>
        </w:rPr>
        <w:t>y,</w:t>
      </w:r>
      <w:r>
        <w:rPr>
          <w:color w:val="231F20"/>
          <w:spacing w:val="-19"/>
          <w:w w:val="105"/>
        </w:rPr>
        <w:t> </w:t>
      </w:r>
      <w:r>
        <w:rPr>
          <w:color w:val="231F20"/>
          <w:w w:val="105"/>
        </w:rPr>
        <w:t>tienen</w:t>
      </w:r>
      <w:r>
        <w:rPr>
          <w:color w:val="231F20"/>
          <w:spacing w:val="-19"/>
          <w:w w:val="105"/>
        </w:rPr>
        <w:t> </w:t>
      </w:r>
      <w:r>
        <w:rPr>
          <w:color w:val="231F20"/>
          <w:w w:val="105"/>
        </w:rPr>
        <w:t>su</w:t>
      </w:r>
      <w:r>
        <w:rPr>
          <w:color w:val="231F20"/>
          <w:spacing w:val="-19"/>
          <w:w w:val="105"/>
        </w:rPr>
        <w:t> </w:t>
      </w:r>
      <w:r>
        <w:rPr>
          <w:color w:val="231F20"/>
          <w:w w:val="105"/>
        </w:rPr>
        <w:t>fundamento</w:t>
      </w:r>
      <w:r>
        <w:rPr>
          <w:color w:val="231F20"/>
          <w:spacing w:val="-19"/>
          <w:w w:val="105"/>
        </w:rPr>
        <w:t> </w:t>
      </w:r>
      <w:r>
        <w:rPr>
          <w:color w:val="231F20"/>
          <w:w w:val="105"/>
        </w:rPr>
        <w:t>legal</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artículos</w:t>
      </w:r>
      <w:r>
        <w:rPr>
          <w:color w:val="231F20"/>
          <w:spacing w:val="-19"/>
          <w:w w:val="105"/>
        </w:rPr>
        <w:t> </w:t>
      </w:r>
      <w:r>
        <w:rPr>
          <w:color w:val="231F20"/>
          <w:w w:val="105"/>
        </w:rPr>
        <w:t>54</w:t>
      </w:r>
      <w:r>
        <w:rPr>
          <w:color w:val="231F20"/>
          <w:spacing w:val="-19"/>
          <w:w w:val="105"/>
        </w:rPr>
        <w:t> </w:t>
      </w:r>
      <w:r>
        <w:rPr>
          <w:color w:val="231F20"/>
          <w:w w:val="105"/>
        </w:rPr>
        <w:t>a</w:t>
      </w:r>
      <w:r>
        <w:rPr>
          <w:color w:val="231F20"/>
          <w:spacing w:val="-19"/>
          <w:w w:val="105"/>
        </w:rPr>
        <w:t> </w:t>
      </w:r>
      <w:r>
        <w:rPr>
          <w:color w:val="231F20"/>
          <w:spacing w:val="-6"/>
          <w:w w:val="105"/>
        </w:rPr>
        <w:t>61</w:t>
      </w:r>
      <w:r>
        <w:rPr>
          <w:color w:val="231F20"/>
          <w:spacing w:val="-19"/>
          <w:w w:val="105"/>
        </w:rPr>
        <w:t> </w:t>
      </w:r>
      <w:r>
        <w:rPr>
          <w:color w:val="231F20"/>
          <w:w w:val="105"/>
        </w:rPr>
        <w:t>del</w:t>
      </w:r>
      <w:r>
        <w:rPr>
          <w:color w:val="231F20"/>
          <w:spacing w:val="-19"/>
          <w:w w:val="105"/>
        </w:rPr>
        <w:t> </w:t>
      </w:r>
      <w:r>
        <w:rPr>
          <w:color w:val="231F20"/>
          <w:w w:val="105"/>
        </w:rPr>
        <w:t>Bando</w:t>
      </w:r>
      <w:r>
        <w:rPr>
          <w:color w:val="231F20"/>
          <w:spacing w:val="-19"/>
          <w:w w:val="105"/>
        </w:rPr>
        <w:t> </w:t>
      </w:r>
      <w:r>
        <w:rPr>
          <w:color w:val="231F20"/>
          <w:w w:val="105"/>
        </w:rPr>
        <w:t>municipal. En</w:t>
      </w:r>
      <w:r>
        <w:rPr>
          <w:color w:val="231F20"/>
          <w:spacing w:val="-20"/>
          <w:w w:val="105"/>
        </w:rPr>
        <w:t> </w:t>
      </w:r>
      <w:r>
        <w:rPr>
          <w:color w:val="231F20"/>
          <w:w w:val="105"/>
        </w:rPr>
        <w:t>cuanto</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cabildos</w:t>
      </w:r>
      <w:r>
        <w:rPr>
          <w:color w:val="231F20"/>
          <w:spacing w:val="-20"/>
          <w:w w:val="105"/>
        </w:rPr>
        <w:t> </w:t>
      </w:r>
      <w:r>
        <w:rPr>
          <w:color w:val="231F20"/>
          <w:w w:val="105"/>
        </w:rPr>
        <w:t>públicos</w:t>
      </w:r>
      <w:r>
        <w:rPr>
          <w:color w:val="231F20"/>
          <w:spacing w:val="-20"/>
          <w:w w:val="105"/>
        </w:rPr>
        <w:t> </w:t>
      </w:r>
      <w:r>
        <w:rPr>
          <w:color w:val="231F20"/>
          <w:w w:val="105"/>
        </w:rPr>
        <w:t>no</w:t>
      </w:r>
      <w:r>
        <w:rPr>
          <w:color w:val="231F20"/>
          <w:spacing w:val="-20"/>
          <w:w w:val="105"/>
        </w:rPr>
        <w:t> </w:t>
      </w:r>
      <w:r>
        <w:rPr>
          <w:color w:val="231F20"/>
          <w:w w:val="105"/>
        </w:rPr>
        <w:t>se</w:t>
      </w:r>
      <w:r>
        <w:rPr>
          <w:color w:val="231F20"/>
          <w:spacing w:val="-20"/>
          <w:w w:val="105"/>
        </w:rPr>
        <w:t> </w:t>
      </w:r>
      <w:r>
        <w:rPr>
          <w:color w:val="231F20"/>
          <w:w w:val="105"/>
        </w:rPr>
        <w:t>concretaron</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día</w:t>
      </w:r>
      <w:r>
        <w:rPr>
          <w:color w:val="231F20"/>
          <w:spacing w:val="-20"/>
          <w:w w:val="105"/>
        </w:rPr>
        <w:t> </w:t>
      </w:r>
      <w:r>
        <w:rPr>
          <w:color w:val="231F20"/>
          <w:w w:val="105"/>
        </w:rPr>
        <w:t>ciudadano</w:t>
      </w:r>
      <w:r>
        <w:rPr>
          <w:color w:val="231F20"/>
          <w:spacing w:val="-20"/>
          <w:w w:val="105"/>
        </w:rPr>
        <w:t> </w:t>
      </w:r>
      <w:r>
        <w:rPr>
          <w:color w:val="231F20"/>
          <w:w w:val="105"/>
        </w:rPr>
        <w:t>solo</w:t>
      </w:r>
      <w:r>
        <w:rPr>
          <w:color w:val="231F20"/>
          <w:spacing w:val="-20"/>
          <w:w w:val="105"/>
        </w:rPr>
        <w:t> </w:t>
      </w:r>
      <w:r>
        <w:rPr>
          <w:color w:val="231F20"/>
          <w:w w:val="105"/>
        </w:rPr>
        <w:t>funcionó</w:t>
      </w:r>
      <w:r>
        <w:rPr>
          <w:color w:val="231F20"/>
          <w:spacing w:val="-20"/>
          <w:w w:val="105"/>
        </w:rPr>
        <w:t> </w:t>
      </w:r>
      <w:r>
        <w:rPr>
          <w:color w:val="231F20"/>
          <w:w w:val="105"/>
        </w:rPr>
        <w:t>por un</w:t>
      </w:r>
      <w:r>
        <w:rPr>
          <w:color w:val="231F20"/>
          <w:spacing w:val="-9"/>
          <w:w w:val="105"/>
        </w:rPr>
        <w:t> </w:t>
      </w:r>
      <w:r>
        <w:rPr>
          <w:color w:val="231F20"/>
          <w:w w:val="105"/>
        </w:rPr>
        <w:t>breve</w:t>
      </w:r>
      <w:r>
        <w:rPr>
          <w:color w:val="231F20"/>
          <w:spacing w:val="-9"/>
          <w:w w:val="105"/>
        </w:rPr>
        <w:t> </w:t>
      </w:r>
      <w:r>
        <w:rPr>
          <w:color w:val="231F20"/>
          <w:w w:val="105"/>
        </w:rPr>
        <w:t>periodo</w:t>
      </w:r>
      <w:r>
        <w:rPr>
          <w:color w:val="231F20"/>
          <w:spacing w:val="-9"/>
          <w:w w:val="105"/>
        </w:rPr>
        <w:t> </w:t>
      </w:r>
      <w:r>
        <w:rPr>
          <w:color w:val="231F20"/>
          <w:w w:val="105"/>
        </w:rPr>
        <w:t>de</w:t>
      </w:r>
      <w:r>
        <w:rPr>
          <w:color w:val="231F20"/>
          <w:spacing w:val="-9"/>
          <w:w w:val="105"/>
        </w:rPr>
        <w:t> </w:t>
      </w:r>
      <w:r>
        <w:rPr>
          <w:color w:val="231F20"/>
          <w:w w:val="105"/>
        </w:rPr>
        <w:t>tiempo</w:t>
      </w:r>
      <w:r>
        <w:rPr>
          <w:color w:val="231F20"/>
          <w:spacing w:val="-9"/>
          <w:w w:val="105"/>
        </w:rPr>
        <w:t> </w:t>
      </w:r>
      <w:r>
        <w:rPr>
          <w:color w:val="231F20"/>
          <w:w w:val="105"/>
        </w:rPr>
        <w:t>durante</w:t>
      </w:r>
      <w:r>
        <w:rPr>
          <w:color w:val="231F20"/>
          <w:spacing w:val="-9"/>
          <w:w w:val="105"/>
        </w:rPr>
        <w:t> </w:t>
      </w:r>
      <w:r>
        <w:rPr>
          <w:color w:val="231F20"/>
          <w:w w:val="105"/>
        </w:rPr>
        <w:t>el</w:t>
      </w:r>
      <w:r>
        <w:rPr>
          <w:color w:val="231F20"/>
          <w:spacing w:val="-9"/>
          <w:w w:val="105"/>
        </w:rPr>
        <w:t> </w:t>
      </w:r>
      <w:r>
        <w:rPr>
          <w:color w:val="231F20"/>
          <w:spacing w:val="2"/>
          <w:w w:val="105"/>
        </w:rPr>
        <w:t>2008.</w:t>
      </w:r>
    </w:p>
    <w:p>
      <w:pPr>
        <w:pStyle w:val="BodyText"/>
        <w:spacing w:before="1"/>
        <w:rPr>
          <w:sz w:val="26"/>
        </w:rPr>
      </w:pPr>
    </w:p>
    <w:p>
      <w:pPr>
        <w:pStyle w:val="BodyText"/>
        <w:spacing w:line="285" w:lineRule="auto"/>
        <w:ind w:left="110" w:right="107"/>
        <w:jc w:val="both"/>
      </w:pPr>
      <w:r>
        <w:rPr>
          <w:color w:val="231F20"/>
          <w:w w:val="105"/>
        </w:rPr>
        <w:t>En el Plan de Desarrollo se menciona la necesidad de mantener las relaciones con las asociaciones</w:t>
      </w:r>
      <w:r>
        <w:rPr>
          <w:color w:val="231F20"/>
          <w:spacing w:val="-4"/>
          <w:w w:val="105"/>
        </w:rPr>
        <w:t> </w:t>
      </w:r>
      <w:r>
        <w:rPr>
          <w:color w:val="231F20"/>
          <w:w w:val="105"/>
        </w:rPr>
        <w:t>del</w:t>
      </w:r>
      <w:r>
        <w:rPr>
          <w:color w:val="231F20"/>
          <w:spacing w:val="-4"/>
          <w:w w:val="105"/>
        </w:rPr>
        <w:t> </w:t>
      </w:r>
      <w:r>
        <w:rPr>
          <w:color w:val="231F20"/>
          <w:w w:val="105"/>
        </w:rPr>
        <w:t>municipio,</w:t>
      </w:r>
      <w:r>
        <w:rPr>
          <w:color w:val="231F20"/>
          <w:spacing w:val="-4"/>
          <w:w w:val="105"/>
        </w:rPr>
        <w:t> </w:t>
      </w:r>
      <w:r>
        <w:rPr>
          <w:color w:val="231F20"/>
          <w:w w:val="105"/>
        </w:rPr>
        <w:t>aunque</w:t>
      </w:r>
      <w:r>
        <w:rPr>
          <w:color w:val="231F20"/>
          <w:spacing w:val="-4"/>
          <w:w w:val="105"/>
        </w:rPr>
        <w:t> </w:t>
      </w:r>
      <w:r>
        <w:rPr>
          <w:color w:val="231F20"/>
          <w:w w:val="105"/>
        </w:rPr>
        <w:t>solamente</w:t>
      </w:r>
      <w:r>
        <w:rPr>
          <w:color w:val="231F20"/>
          <w:spacing w:val="-4"/>
          <w:w w:val="105"/>
        </w:rPr>
        <w:t> </w:t>
      </w:r>
      <w:r>
        <w:rPr>
          <w:color w:val="231F20"/>
          <w:w w:val="105"/>
        </w:rPr>
        <w:t>han</w:t>
      </w:r>
      <w:r>
        <w:rPr>
          <w:color w:val="231F20"/>
          <w:spacing w:val="-4"/>
          <w:w w:val="105"/>
        </w:rPr>
        <w:t> </w:t>
      </w:r>
      <w:r>
        <w:rPr>
          <w:color w:val="231F20"/>
          <w:w w:val="105"/>
        </w:rPr>
        <w:t>sido</w:t>
      </w:r>
      <w:r>
        <w:rPr>
          <w:color w:val="231F20"/>
          <w:spacing w:val="-4"/>
          <w:w w:val="105"/>
        </w:rPr>
        <w:t> </w:t>
      </w:r>
      <w:r>
        <w:rPr>
          <w:color w:val="231F20"/>
          <w:w w:val="105"/>
        </w:rPr>
        <w:t>utilizadas</w:t>
      </w:r>
      <w:r>
        <w:rPr>
          <w:color w:val="231F20"/>
          <w:spacing w:val="-4"/>
          <w:w w:val="105"/>
        </w:rPr>
        <w:t> </w:t>
      </w:r>
      <w:r>
        <w:rPr>
          <w:color w:val="231F20"/>
          <w:w w:val="105"/>
        </w:rPr>
        <w:t>como</w:t>
      </w:r>
      <w:r>
        <w:rPr>
          <w:color w:val="231F20"/>
          <w:spacing w:val="-4"/>
          <w:w w:val="105"/>
        </w:rPr>
        <w:t> </w:t>
      </w:r>
      <w:r>
        <w:rPr>
          <w:color w:val="231F20"/>
          <w:w w:val="105"/>
        </w:rPr>
        <w:t>el</w:t>
      </w:r>
      <w:r>
        <w:rPr>
          <w:color w:val="231F20"/>
          <w:spacing w:val="-4"/>
          <w:w w:val="105"/>
        </w:rPr>
        <w:t> </w:t>
      </w:r>
      <w:r>
        <w:rPr>
          <w:color w:val="231F20"/>
          <w:w w:val="105"/>
        </w:rPr>
        <w:t>medio</w:t>
      </w:r>
      <w:r>
        <w:rPr>
          <w:color w:val="231F20"/>
          <w:spacing w:val="-4"/>
          <w:w w:val="105"/>
        </w:rPr>
        <w:t> </w:t>
      </w:r>
      <w:r>
        <w:rPr>
          <w:color w:val="231F20"/>
          <w:w w:val="105"/>
        </w:rPr>
        <w:t>para conseguir</w:t>
      </w:r>
      <w:r>
        <w:rPr>
          <w:color w:val="231F20"/>
          <w:spacing w:val="-11"/>
          <w:w w:val="105"/>
        </w:rPr>
        <w:t> </w:t>
      </w:r>
      <w:r>
        <w:rPr>
          <w:color w:val="231F20"/>
          <w:w w:val="105"/>
        </w:rPr>
        <w:t>apoyos:</w:t>
      </w:r>
      <w:r>
        <w:rPr>
          <w:color w:val="231F20"/>
          <w:spacing w:val="-11"/>
          <w:w w:val="105"/>
        </w:rPr>
        <w:t> </w:t>
      </w:r>
      <w:r>
        <w:rPr>
          <w:color w:val="231F20"/>
          <w:w w:val="105"/>
        </w:rPr>
        <w:t>son</w:t>
      </w:r>
      <w:r>
        <w:rPr>
          <w:color w:val="231F20"/>
          <w:spacing w:val="-11"/>
          <w:w w:val="105"/>
        </w:rPr>
        <w:t> </w:t>
      </w:r>
      <w:r>
        <w:rPr>
          <w:color w:val="231F20"/>
          <w:w w:val="105"/>
        </w:rPr>
        <w:t>los</w:t>
      </w:r>
      <w:r>
        <w:rPr>
          <w:color w:val="231F20"/>
          <w:spacing w:val="-11"/>
          <w:w w:val="105"/>
        </w:rPr>
        <w:t> </w:t>
      </w:r>
      <w:r>
        <w:rPr>
          <w:color w:val="231F20"/>
          <w:w w:val="105"/>
        </w:rPr>
        <w:t>casos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asociación</w:t>
      </w:r>
      <w:r>
        <w:rPr>
          <w:color w:val="231F20"/>
          <w:spacing w:val="-11"/>
          <w:w w:val="105"/>
        </w:rPr>
        <w:t> </w:t>
      </w:r>
      <w:r>
        <w:rPr>
          <w:color w:val="231F20"/>
          <w:w w:val="105"/>
        </w:rPr>
        <w:t>de</w:t>
      </w:r>
      <w:r>
        <w:rPr>
          <w:color w:val="231F20"/>
          <w:spacing w:val="-11"/>
          <w:w w:val="105"/>
        </w:rPr>
        <w:t> </w:t>
      </w:r>
      <w:r>
        <w:rPr>
          <w:color w:val="231F20"/>
          <w:w w:val="105"/>
        </w:rPr>
        <w:t>apicultores</w:t>
      </w:r>
      <w:r>
        <w:rPr>
          <w:color w:val="231F20"/>
          <w:spacing w:val="-11"/>
          <w:w w:val="105"/>
        </w:rPr>
        <w:t> </w:t>
      </w:r>
      <w:r>
        <w:rPr>
          <w:color w:val="231F20"/>
          <w:w w:val="105"/>
        </w:rPr>
        <w:t>del</w:t>
      </w:r>
      <w:r>
        <w:rPr>
          <w:color w:val="231F20"/>
          <w:spacing w:val="-11"/>
          <w:w w:val="105"/>
        </w:rPr>
        <w:t> </w:t>
      </w:r>
      <w:r>
        <w:rPr>
          <w:color w:val="231F20"/>
          <w:w w:val="105"/>
        </w:rPr>
        <w:t>municipio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año </w:t>
      </w:r>
      <w:r>
        <w:rPr>
          <w:color w:val="231F20"/>
          <w:spacing w:val="-3"/>
          <w:w w:val="105"/>
        </w:rPr>
        <w:t>2007,</w:t>
      </w:r>
      <w:r>
        <w:rPr>
          <w:color w:val="231F20"/>
          <w:spacing w:val="-14"/>
          <w:w w:val="105"/>
        </w:rPr>
        <w:t> </w:t>
      </w:r>
      <w:r>
        <w:rPr>
          <w:color w:val="231F20"/>
          <w:w w:val="105"/>
        </w:rPr>
        <w:t>las</w:t>
      </w:r>
      <w:r>
        <w:rPr>
          <w:color w:val="231F20"/>
          <w:spacing w:val="-14"/>
          <w:w w:val="105"/>
        </w:rPr>
        <w:t> </w:t>
      </w:r>
      <w:r>
        <w:rPr>
          <w:color w:val="231F20"/>
          <w:w w:val="105"/>
        </w:rPr>
        <w:t>asociaciones</w:t>
      </w:r>
      <w:r>
        <w:rPr>
          <w:color w:val="231F20"/>
          <w:spacing w:val="-14"/>
          <w:w w:val="105"/>
        </w:rPr>
        <w:t> </w:t>
      </w:r>
      <w:r>
        <w:rPr>
          <w:color w:val="231F20"/>
          <w:w w:val="105"/>
        </w:rPr>
        <w:t>de</w:t>
      </w:r>
      <w:r>
        <w:rPr>
          <w:color w:val="231F20"/>
          <w:spacing w:val="-14"/>
          <w:w w:val="105"/>
        </w:rPr>
        <w:t> </w:t>
      </w:r>
      <w:r>
        <w:rPr>
          <w:color w:val="231F20"/>
          <w:spacing w:val="2"/>
          <w:w w:val="105"/>
        </w:rPr>
        <w:t>taxistas</w:t>
      </w:r>
      <w:r>
        <w:rPr>
          <w:color w:val="231F20"/>
          <w:spacing w:val="-14"/>
          <w:w w:val="105"/>
        </w:rPr>
        <w:t> </w:t>
      </w:r>
      <w:r>
        <w:rPr>
          <w:color w:val="231F20"/>
          <w:spacing w:val="-4"/>
          <w:w w:val="105"/>
        </w:rPr>
        <w:t>(con</w:t>
      </w:r>
      <w:r>
        <w:rPr>
          <w:color w:val="231F20"/>
          <w:spacing w:val="-14"/>
          <w:w w:val="105"/>
        </w:rPr>
        <w:t> </w:t>
      </w:r>
      <w:r>
        <w:rPr>
          <w:color w:val="231F20"/>
          <w:w w:val="105"/>
        </w:rPr>
        <w:t>las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tienen</w:t>
      </w:r>
      <w:r>
        <w:rPr>
          <w:color w:val="231F20"/>
          <w:spacing w:val="-14"/>
          <w:w w:val="105"/>
        </w:rPr>
        <w:t> </w:t>
      </w:r>
      <w:r>
        <w:rPr>
          <w:color w:val="231F20"/>
          <w:w w:val="105"/>
        </w:rPr>
        <w:t>reuniones</w:t>
      </w:r>
      <w:r>
        <w:rPr>
          <w:color w:val="231F20"/>
          <w:spacing w:val="-14"/>
          <w:w w:val="105"/>
        </w:rPr>
        <w:t> </w:t>
      </w:r>
      <w:r>
        <w:rPr>
          <w:color w:val="231F20"/>
          <w:w w:val="105"/>
        </w:rPr>
        <w:t>periódicas</w:t>
      </w:r>
      <w:r>
        <w:rPr>
          <w:color w:val="231F20"/>
          <w:spacing w:val="-14"/>
          <w:w w:val="105"/>
        </w:rPr>
        <w:t> </w:t>
      </w:r>
      <w:r>
        <w:rPr>
          <w:color w:val="231F20"/>
          <w:w w:val="105"/>
        </w:rPr>
        <w:t>para</w:t>
      </w:r>
      <w:r>
        <w:rPr>
          <w:color w:val="231F20"/>
          <w:spacing w:val="-14"/>
          <w:w w:val="105"/>
        </w:rPr>
        <w:t> </w:t>
      </w:r>
      <w:r>
        <w:rPr>
          <w:color w:val="231F20"/>
          <w:w w:val="105"/>
        </w:rPr>
        <w:t>tratar problemas</w:t>
      </w:r>
      <w:r>
        <w:rPr>
          <w:color w:val="231F20"/>
          <w:spacing w:val="-18"/>
          <w:w w:val="105"/>
        </w:rPr>
        <w:t> </w:t>
      </w:r>
      <w:r>
        <w:rPr>
          <w:color w:val="231F20"/>
          <w:w w:val="105"/>
        </w:rPr>
        <w:t>de</w:t>
      </w:r>
      <w:r>
        <w:rPr>
          <w:color w:val="231F20"/>
          <w:spacing w:val="-18"/>
          <w:w w:val="105"/>
        </w:rPr>
        <w:t> </w:t>
      </w:r>
      <w:r>
        <w:rPr>
          <w:color w:val="231F20"/>
          <w:w w:val="105"/>
        </w:rPr>
        <w:t>seguridad).</w:t>
      </w:r>
      <w:r>
        <w:rPr>
          <w:color w:val="231F20"/>
          <w:spacing w:val="-18"/>
          <w:w w:val="105"/>
        </w:rPr>
        <w:t> </w:t>
      </w:r>
      <w:r>
        <w:rPr>
          <w:color w:val="231F20"/>
          <w:spacing w:val="-3"/>
          <w:w w:val="105"/>
        </w:rPr>
        <w:t>También</w:t>
      </w:r>
      <w:r>
        <w:rPr>
          <w:color w:val="231F20"/>
          <w:spacing w:val="-18"/>
          <w:w w:val="105"/>
        </w:rPr>
        <w:t> </w:t>
      </w:r>
      <w:r>
        <w:rPr>
          <w:color w:val="231F20"/>
          <w:w w:val="105"/>
        </w:rPr>
        <w:t>la</w:t>
      </w:r>
      <w:r>
        <w:rPr>
          <w:color w:val="231F20"/>
          <w:spacing w:val="-18"/>
          <w:w w:val="105"/>
        </w:rPr>
        <w:t> </w:t>
      </w:r>
      <w:r>
        <w:rPr>
          <w:color w:val="231F20"/>
          <w:w w:val="105"/>
        </w:rPr>
        <w:t>presidencia</w:t>
      </w:r>
      <w:r>
        <w:rPr>
          <w:color w:val="231F20"/>
          <w:spacing w:val="-18"/>
          <w:w w:val="105"/>
        </w:rPr>
        <w:t> </w:t>
      </w:r>
      <w:r>
        <w:rPr>
          <w:color w:val="231F20"/>
          <w:w w:val="105"/>
        </w:rPr>
        <w:t>municipal</w:t>
      </w:r>
      <w:r>
        <w:rPr>
          <w:color w:val="231F20"/>
          <w:spacing w:val="-18"/>
          <w:w w:val="105"/>
        </w:rPr>
        <w:t> </w:t>
      </w:r>
      <w:r>
        <w:rPr>
          <w:color w:val="231F20"/>
          <w:w w:val="105"/>
        </w:rPr>
        <w:t>realizó</w:t>
      </w:r>
      <w:r>
        <w:rPr>
          <w:color w:val="231F20"/>
          <w:spacing w:val="-18"/>
          <w:w w:val="105"/>
        </w:rPr>
        <w:t> </w:t>
      </w:r>
      <w:r>
        <w:rPr>
          <w:color w:val="231F20"/>
          <w:w w:val="105"/>
        </w:rPr>
        <w:t>visitas</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diferen- tes</w:t>
      </w:r>
      <w:r>
        <w:rPr>
          <w:color w:val="231F20"/>
          <w:spacing w:val="-21"/>
          <w:w w:val="105"/>
        </w:rPr>
        <w:t> </w:t>
      </w:r>
      <w:r>
        <w:rPr>
          <w:color w:val="231F20"/>
          <w:w w:val="105"/>
        </w:rPr>
        <w:t>asociaciones</w:t>
      </w:r>
      <w:r>
        <w:rPr>
          <w:color w:val="231F20"/>
          <w:spacing w:val="-21"/>
          <w:w w:val="105"/>
        </w:rPr>
        <w:t> </w:t>
      </w:r>
      <w:r>
        <w:rPr>
          <w:color w:val="231F20"/>
          <w:w w:val="105"/>
        </w:rPr>
        <w:t>de</w:t>
      </w:r>
      <w:r>
        <w:rPr>
          <w:color w:val="231F20"/>
          <w:spacing w:val="-21"/>
          <w:w w:val="105"/>
        </w:rPr>
        <w:t> </w:t>
      </w:r>
      <w:r>
        <w:rPr>
          <w:color w:val="231F20"/>
          <w:w w:val="105"/>
        </w:rPr>
        <w:t>padres</w:t>
      </w:r>
      <w:r>
        <w:rPr>
          <w:color w:val="231F20"/>
          <w:spacing w:val="-21"/>
          <w:w w:val="105"/>
        </w:rPr>
        <w:t> </w:t>
      </w:r>
      <w:r>
        <w:rPr>
          <w:color w:val="231F20"/>
          <w:w w:val="105"/>
        </w:rPr>
        <w:t>de</w:t>
      </w:r>
      <w:r>
        <w:rPr>
          <w:color w:val="231F20"/>
          <w:spacing w:val="-21"/>
          <w:w w:val="105"/>
        </w:rPr>
        <w:t> </w:t>
      </w:r>
      <w:r>
        <w:rPr>
          <w:color w:val="231F20"/>
          <w:w w:val="105"/>
        </w:rPr>
        <w:t>familia,</w:t>
      </w:r>
      <w:r>
        <w:rPr>
          <w:color w:val="231F20"/>
          <w:spacing w:val="-21"/>
          <w:w w:val="105"/>
        </w:rPr>
        <w:t> </w:t>
      </w:r>
      <w:r>
        <w:rPr>
          <w:color w:val="231F20"/>
          <w:w w:val="105"/>
        </w:rPr>
        <w:t>así</w:t>
      </w:r>
      <w:r>
        <w:rPr>
          <w:color w:val="231F20"/>
          <w:spacing w:val="-21"/>
          <w:w w:val="105"/>
        </w:rPr>
        <w:t> </w:t>
      </w:r>
      <w:r>
        <w:rPr>
          <w:color w:val="231F20"/>
          <w:w w:val="105"/>
        </w:rPr>
        <w:t>como</w:t>
      </w:r>
      <w:r>
        <w:rPr>
          <w:color w:val="231F20"/>
          <w:spacing w:val="-22"/>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spacing w:val="-3"/>
          <w:w w:val="105"/>
        </w:rPr>
        <w:t>mayordomos</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diferentes</w:t>
      </w:r>
      <w:r>
        <w:rPr>
          <w:color w:val="231F20"/>
          <w:spacing w:val="-21"/>
          <w:w w:val="105"/>
        </w:rPr>
        <w:t> </w:t>
      </w:r>
      <w:r>
        <w:rPr>
          <w:color w:val="231F20"/>
          <w:w w:val="105"/>
        </w:rPr>
        <w:t>ca- pillas</w:t>
      </w:r>
      <w:r>
        <w:rPr>
          <w:color w:val="231F20"/>
          <w:spacing w:val="-20"/>
          <w:w w:val="105"/>
        </w:rPr>
        <w:t> </w:t>
      </w:r>
      <w:r>
        <w:rPr>
          <w:color w:val="231F20"/>
          <w:w w:val="105"/>
        </w:rPr>
        <w:t>y</w:t>
      </w:r>
      <w:r>
        <w:rPr>
          <w:color w:val="231F20"/>
          <w:spacing w:val="-20"/>
          <w:w w:val="105"/>
        </w:rPr>
        <w:t> </w:t>
      </w:r>
      <w:r>
        <w:rPr>
          <w:color w:val="231F20"/>
          <w:w w:val="105"/>
        </w:rPr>
        <w:t>los</w:t>
      </w:r>
      <w:r>
        <w:rPr>
          <w:color w:val="231F20"/>
          <w:spacing w:val="-20"/>
          <w:w w:val="105"/>
        </w:rPr>
        <w:t> </w:t>
      </w:r>
      <w:r>
        <w:rPr>
          <w:color w:val="231F20"/>
          <w:w w:val="105"/>
        </w:rPr>
        <w:t>representantes</w:t>
      </w:r>
      <w:r>
        <w:rPr>
          <w:color w:val="231F20"/>
          <w:spacing w:val="-20"/>
          <w:w w:val="105"/>
        </w:rPr>
        <w:t> </w:t>
      </w:r>
      <w:r>
        <w:rPr>
          <w:color w:val="231F20"/>
          <w:w w:val="105"/>
        </w:rPr>
        <w:t>de</w:t>
      </w:r>
      <w:r>
        <w:rPr>
          <w:color w:val="231F20"/>
          <w:spacing w:val="-20"/>
          <w:w w:val="105"/>
        </w:rPr>
        <w:t> </w:t>
      </w:r>
      <w:r>
        <w:rPr>
          <w:color w:val="231F20"/>
          <w:w w:val="105"/>
        </w:rPr>
        <w:t>otras</w:t>
      </w:r>
      <w:r>
        <w:rPr>
          <w:color w:val="231F20"/>
          <w:spacing w:val="-20"/>
          <w:w w:val="105"/>
        </w:rPr>
        <w:t> </w:t>
      </w:r>
      <w:r>
        <w:rPr>
          <w:color w:val="231F20"/>
          <w:w w:val="105"/>
        </w:rPr>
        <w:t>comunidades</w:t>
      </w:r>
      <w:r>
        <w:rPr>
          <w:color w:val="231F20"/>
          <w:spacing w:val="-20"/>
          <w:w w:val="105"/>
        </w:rPr>
        <w:t> </w:t>
      </w:r>
      <w:r>
        <w:rPr>
          <w:color w:val="231F20"/>
          <w:w w:val="105"/>
        </w:rPr>
        <w:t>religiosas,</w:t>
      </w:r>
      <w:r>
        <w:rPr>
          <w:color w:val="231F20"/>
          <w:spacing w:val="-20"/>
          <w:w w:val="105"/>
        </w:rPr>
        <w:t> </w:t>
      </w:r>
      <w:r>
        <w:rPr>
          <w:color w:val="231F20"/>
          <w:w w:val="105"/>
        </w:rPr>
        <w:t>en</w:t>
      </w:r>
      <w:r>
        <w:rPr>
          <w:color w:val="231F20"/>
          <w:spacing w:val="-20"/>
          <w:w w:val="105"/>
        </w:rPr>
        <w:t> </w:t>
      </w:r>
      <w:r>
        <w:rPr>
          <w:color w:val="231F20"/>
          <w:w w:val="105"/>
        </w:rPr>
        <w:t>busca</w:t>
      </w:r>
      <w:r>
        <w:rPr>
          <w:color w:val="231F20"/>
          <w:spacing w:val="-20"/>
          <w:w w:val="105"/>
        </w:rPr>
        <w:t> </w:t>
      </w:r>
      <w:r>
        <w:rPr>
          <w:color w:val="231F20"/>
          <w:w w:val="105"/>
        </w:rPr>
        <w:t>de</w:t>
      </w:r>
      <w:r>
        <w:rPr>
          <w:color w:val="231F20"/>
          <w:spacing w:val="-20"/>
          <w:w w:val="105"/>
        </w:rPr>
        <w:t> </w:t>
      </w:r>
      <w:r>
        <w:rPr>
          <w:color w:val="231F20"/>
          <w:w w:val="105"/>
        </w:rPr>
        <w:t>algún</w:t>
      </w:r>
      <w:r>
        <w:rPr>
          <w:color w:val="231F20"/>
          <w:spacing w:val="-20"/>
          <w:w w:val="105"/>
        </w:rPr>
        <w:t> </w:t>
      </w:r>
      <w:r>
        <w:rPr>
          <w:color w:val="231F20"/>
          <w:w w:val="105"/>
        </w:rPr>
        <w:t>patrocinio para sus festividades o mejoras para sus instalaciones. Pese a estos acercamientos, no hubo</w:t>
      </w:r>
      <w:r>
        <w:rPr>
          <w:color w:val="231F20"/>
          <w:spacing w:val="-12"/>
          <w:w w:val="105"/>
        </w:rPr>
        <w:t> </w:t>
      </w:r>
      <w:r>
        <w:rPr>
          <w:color w:val="231F20"/>
          <w:w w:val="105"/>
        </w:rPr>
        <w:t>un</w:t>
      </w:r>
      <w:r>
        <w:rPr>
          <w:color w:val="231F20"/>
          <w:spacing w:val="-12"/>
          <w:w w:val="105"/>
        </w:rPr>
        <w:t> </w:t>
      </w:r>
      <w:r>
        <w:rPr>
          <w:color w:val="231F20"/>
          <w:w w:val="105"/>
        </w:rPr>
        <w:t>acercamiento</w:t>
      </w:r>
      <w:r>
        <w:rPr>
          <w:color w:val="231F20"/>
          <w:spacing w:val="-12"/>
          <w:w w:val="105"/>
        </w:rPr>
        <w:t> </w:t>
      </w:r>
      <w:r>
        <w:rPr>
          <w:color w:val="231F20"/>
          <w:w w:val="105"/>
        </w:rPr>
        <w:t>propositivo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asociaciones</w:t>
      </w:r>
      <w:r>
        <w:rPr>
          <w:color w:val="231F20"/>
          <w:spacing w:val="-12"/>
          <w:w w:val="105"/>
        </w:rPr>
        <w:t> </w:t>
      </w:r>
      <w:r>
        <w:rPr>
          <w:color w:val="231F20"/>
          <w:spacing w:val="2"/>
          <w:w w:val="105"/>
        </w:rPr>
        <w:t>al</w:t>
      </w:r>
      <w:r>
        <w:rPr>
          <w:color w:val="231F20"/>
          <w:spacing w:val="-12"/>
          <w:w w:val="105"/>
        </w:rPr>
        <w:t> </w:t>
      </w:r>
      <w:r>
        <w:rPr>
          <w:color w:val="231F20"/>
          <w:w w:val="105"/>
        </w:rPr>
        <w:t>gobierno</w:t>
      </w:r>
      <w:r>
        <w:rPr>
          <w:color w:val="231F20"/>
          <w:spacing w:val="-12"/>
          <w:w w:val="105"/>
        </w:rPr>
        <w:t> </w:t>
      </w:r>
      <w:r>
        <w:rPr>
          <w:color w:val="231F20"/>
          <w:w w:val="105"/>
        </w:rPr>
        <w:t>en</w:t>
      </w:r>
      <w:r>
        <w:rPr>
          <w:color w:val="231F20"/>
          <w:spacing w:val="-12"/>
          <w:w w:val="105"/>
        </w:rPr>
        <w:t> </w:t>
      </w:r>
      <w:r>
        <w:rPr>
          <w:color w:val="231F20"/>
          <w:w w:val="105"/>
        </w:rPr>
        <w:t>cuanto</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obras que</w:t>
      </w:r>
      <w:r>
        <w:rPr>
          <w:color w:val="231F20"/>
          <w:spacing w:val="-13"/>
          <w:w w:val="105"/>
        </w:rPr>
        <w:t> </w:t>
      </w:r>
      <w:r>
        <w:rPr>
          <w:color w:val="231F20"/>
          <w:w w:val="105"/>
        </w:rPr>
        <w:t>podrían</w:t>
      </w:r>
      <w:r>
        <w:rPr>
          <w:color w:val="231F20"/>
          <w:spacing w:val="-13"/>
          <w:w w:val="105"/>
        </w:rPr>
        <w:t> </w:t>
      </w:r>
      <w:r>
        <w:rPr>
          <w:color w:val="231F20"/>
          <w:w w:val="105"/>
        </w:rPr>
        <w:t>realizarse,</w:t>
      </w:r>
      <w:r>
        <w:rPr>
          <w:color w:val="231F20"/>
          <w:spacing w:val="-13"/>
          <w:w w:val="105"/>
        </w:rPr>
        <w:t> </w:t>
      </w:r>
      <w:r>
        <w:rPr>
          <w:color w:val="231F20"/>
          <w:w w:val="105"/>
        </w:rPr>
        <w:t>o</w:t>
      </w:r>
      <w:r>
        <w:rPr>
          <w:color w:val="231F20"/>
          <w:spacing w:val="-13"/>
          <w:w w:val="105"/>
        </w:rPr>
        <w:t> </w:t>
      </w:r>
      <w:r>
        <w:rPr>
          <w:color w:val="231F20"/>
          <w:w w:val="105"/>
        </w:rPr>
        <w:t>la</w:t>
      </w:r>
      <w:r>
        <w:rPr>
          <w:color w:val="231F20"/>
          <w:spacing w:val="-13"/>
          <w:w w:val="105"/>
        </w:rPr>
        <w:t> </w:t>
      </w:r>
      <w:r>
        <w:rPr>
          <w:color w:val="231F20"/>
          <w:w w:val="105"/>
        </w:rPr>
        <w:t>exigencia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rendición</w:t>
      </w:r>
      <w:r>
        <w:rPr>
          <w:color w:val="231F20"/>
          <w:spacing w:val="-13"/>
          <w:w w:val="105"/>
        </w:rPr>
        <w:t> </w:t>
      </w:r>
      <w:r>
        <w:rPr>
          <w:color w:val="231F20"/>
          <w:w w:val="105"/>
        </w:rPr>
        <w:t>de</w:t>
      </w:r>
      <w:r>
        <w:rPr>
          <w:color w:val="231F20"/>
          <w:spacing w:val="-13"/>
          <w:w w:val="105"/>
        </w:rPr>
        <w:t> </w:t>
      </w:r>
      <w:r>
        <w:rPr>
          <w:color w:val="231F20"/>
          <w:w w:val="105"/>
        </w:rPr>
        <w:t>cuentas.</w:t>
      </w:r>
    </w:p>
    <w:p>
      <w:pPr>
        <w:pStyle w:val="BodyText"/>
        <w:spacing w:before="1"/>
        <w:rPr>
          <w:sz w:val="26"/>
        </w:rPr>
      </w:pPr>
    </w:p>
    <w:p>
      <w:pPr>
        <w:pStyle w:val="BodyText"/>
        <w:spacing w:line="285" w:lineRule="auto"/>
        <w:ind w:left="110" w:right="108"/>
        <w:jc w:val="both"/>
      </w:pPr>
      <w:r>
        <w:rPr>
          <w:color w:val="231F20"/>
          <w:w w:val="105"/>
        </w:rPr>
        <w:t>Además de estos vínculos con la comunidad, el presidente municipal mantiene una relación estrecha con otros miembros de su partido que tienen cargo de elección po- pular o administrativos en otras esferas de gobierno. Esto ha permitido al  presidente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municipal gestionar otros programas en beneficio de la comunidad.</w:t>
      </w:r>
    </w:p>
    <w:p>
      <w:pPr>
        <w:pStyle w:val="BodyText"/>
        <w:spacing w:line="285" w:lineRule="auto" w:before="47"/>
        <w:ind w:left="677" w:right="108"/>
        <w:jc w:val="both"/>
      </w:pPr>
      <w:r>
        <w:rPr>
          <w:color w:val="231F20"/>
          <w:spacing w:val="-3"/>
          <w:w w:val="105"/>
        </w:rPr>
        <w:t>…la</w:t>
      </w:r>
      <w:r>
        <w:rPr>
          <w:color w:val="231F20"/>
          <w:spacing w:val="-17"/>
          <w:w w:val="105"/>
        </w:rPr>
        <w:t> </w:t>
      </w:r>
      <w:r>
        <w:rPr>
          <w:color w:val="231F20"/>
          <w:spacing w:val="-3"/>
          <w:w w:val="105"/>
        </w:rPr>
        <w:t>forma</w:t>
      </w:r>
      <w:r>
        <w:rPr>
          <w:color w:val="231F20"/>
          <w:spacing w:val="-17"/>
          <w:w w:val="105"/>
        </w:rPr>
        <w:t> </w:t>
      </w:r>
      <w:r>
        <w:rPr>
          <w:color w:val="231F20"/>
          <w:w w:val="105"/>
        </w:rPr>
        <w:t>en</w:t>
      </w:r>
      <w:r>
        <w:rPr>
          <w:color w:val="231F20"/>
          <w:spacing w:val="-17"/>
          <w:w w:val="105"/>
        </w:rPr>
        <w:t> </w:t>
      </w:r>
      <w:r>
        <w:rPr>
          <w:color w:val="231F20"/>
          <w:spacing w:val="-3"/>
          <w:w w:val="105"/>
        </w:rPr>
        <w:t>que</w:t>
      </w:r>
      <w:r>
        <w:rPr>
          <w:color w:val="231F20"/>
          <w:spacing w:val="-17"/>
          <w:w w:val="105"/>
        </w:rPr>
        <w:t> </w:t>
      </w:r>
      <w:r>
        <w:rPr>
          <w:color w:val="231F20"/>
          <w:spacing w:val="-3"/>
          <w:w w:val="105"/>
        </w:rPr>
        <w:t>yo</w:t>
      </w:r>
      <w:r>
        <w:rPr>
          <w:color w:val="231F20"/>
          <w:spacing w:val="-17"/>
          <w:w w:val="105"/>
        </w:rPr>
        <w:t> </w:t>
      </w:r>
      <w:r>
        <w:rPr>
          <w:color w:val="231F20"/>
          <w:spacing w:val="-3"/>
          <w:w w:val="105"/>
        </w:rPr>
        <w:t>he</w:t>
      </w:r>
      <w:r>
        <w:rPr>
          <w:color w:val="231F20"/>
          <w:spacing w:val="-17"/>
          <w:w w:val="105"/>
        </w:rPr>
        <w:t> </w:t>
      </w:r>
      <w:r>
        <w:rPr>
          <w:color w:val="231F20"/>
          <w:spacing w:val="-3"/>
          <w:w w:val="105"/>
        </w:rPr>
        <w:t>conseguido</w:t>
      </w:r>
      <w:r>
        <w:rPr>
          <w:color w:val="231F20"/>
          <w:spacing w:val="-17"/>
          <w:w w:val="105"/>
        </w:rPr>
        <w:t> </w:t>
      </w:r>
      <w:r>
        <w:rPr>
          <w:color w:val="231F20"/>
          <w:spacing w:val="-4"/>
          <w:w w:val="105"/>
        </w:rPr>
        <w:t>apoyos</w:t>
      </w:r>
      <w:r>
        <w:rPr>
          <w:color w:val="231F20"/>
          <w:spacing w:val="-17"/>
          <w:w w:val="105"/>
        </w:rPr>
        <w:t> </w:t>
      </w:r>
      <w:r>
        <w:rPr>
          <w:color w:val="231F20"/>
          <w:w w:val="105"/>
        </w:rPr>
        <w:t>es</w:t>
      </w:r>
      <w:r>
        <w:rPr>
          <w:color w:val="231F20"/>
          <w:spacing w:val="-17"/>
          <w:w w:val="105"/>
        </w:rPr>
        <w:t> </w:t>
      </w:r>
      <w:r>
        <w:rPr>
          <w:color w:val="231F20"/>
          <w:spacing w:val="-3"/>
          <w:w w:val="105"/>
        </w:rPr>
        <w:t>por</w:t>
      </w:r>
      <w:r>
        <w:rPr>
          <w:color w:val="231F20"/>
          <w:spacing w:val="-17"/>
          <w:w w:val="105"/>
        </w:rPr>
        <w:t> </w:t>
      </w:r>
      <w:r>
        <w:rPr>
          <w:color w:val="231F20"/>
          <w:w w:val="105"/>
        </w:rPr>
        <w:t>medio</w:t>
      </w:r>
      <w:r>
        <w:rPr>
          <w:color w:val="231F20"/>
          <w:spacing w:val="-17"/>
          <w:w w:val="105"/>
        </w:rPr>
        <w:t> </w:t>
      </w:r>
      <w:r>
        <w:rPr>
          <w:color w:val="231F20"/>
          <w:spacing w:val="-3"/>
          <w:w w:val="105"/>
        </w:rPr>
        <w:t>del</w:t>
      </w:r>
      <w:r>
        <w:rPr>
          <w:color w:val="231F20"/>
          <w:spacing w:val="-17"/>
          <w:w w:val="105"/>
        </w:rPr>
        <w:t> </w:t>
      </w:r>
      <w:r>
        <w:rPr>
          <w:color w:val="231F20"/>
          <w:w w:val="105"/>
        </w:rPr>
        <w:t>Comité</w:t>
      </w:r>
      <w:r>
        <w:rPr>
          <w:color w:val="231F20"/>
          <w:spacing w:val="-17"/>
          <w:w w:val="105"/>
        </w:rPr>
        <w:t> </w:t>
      </w:r>
      <w:r>
        <w:rPr>
          <w:color w:val="231F20"/>
          <w:spacing w:val="-3"/>
          <w:w w:val="105"/>
        </w:rPr>
        <w:t>Ejecutivo</w:t>
      </w:r>
      <w:r>
        <w:rPr>
          <w:color w:val="231F20"/>
          <w:spacing w:val="-17"/>
          <w:w w:val="105"/>
        </w:rPr>
        <w:t> </w:t>
      </w:r>
      <w:r>
        <w:rPr>
          <w:color w:val="231F20"/>
          <w:spacing w:val="-4"/>
          <w:w w:val="105"/>
        </w:rPr>
        <w:t>Na- </w:t>
      </w:r>
      <w:r>
        <w:rPr>
          <w:color w:val="231F20"/>
          <w:w w:val="105"/>
        </w:rPr>
        <w:t>cional.</w:t>
      </w:r>
      <w:r>
        <w:rPr>
          <w:color w:val="231F20"/>
          <w:spacing w:val="-19"/>
          <w:w w:val="105"/>
        </w:rPr>
        <w:t> </w:t>
      </w:r>
      <w:r>
        <w:rPr>
          <w:color w:val="231F20"/>
          <w:spacing w:val="-5"/>
          <w:w w:val="105"/>
        </w:rPr>
        <w:t>Por</w:t>
      </w:r>
      <w:r>
        <w:rPr>
          <w:color w:val="231F20"/>
          <w:spacing w:val="-19"/>
          <w:w w:val="105"/>
        </w:rPr>
        <w:t> </w:t>
      </w:r>
      <w:r>
        <w:rPr>
          <w:color w:val="231F20"/>
          <w:spacing w:val="-3"/>
          <w:w w:val="105"/>
        </w:rPr>
        <w:t>lo</w:t>
      </w:r>
      <w:r>
        <w:rPr>
          <w:color w:val="231F20"/>
          <w:spacing w:val="-19"/>
          <w:w w:val="105"/>
        </w:rPr>
        <w:t> </w:t>
      </w:r>
      <w:r>
        <w:rPr>
          <w:color w:val="231F20"/>
          <w:spacing w:val="-4"/>
          <w:w w:val="105"/>
        </w:rPr>
        <w:t>menos</w:t>
      </w:r>
      <w:r>
        <w:rPr>
          <w:color w:val="231F20"/>
          <w:spacing w:val="-19"/>
          <w:w w:val="105"/>
        </w:rPr>
        <w:t> </w:t>
      </w:r>
      <w:r>
        <w:rPr>
          <w:color w:val="231F20"/>
          <w:spacing w:val="-3"/>
          <w:w w:val="105"/>
        </w:rPr>
        <w:t>nos</w:t>
      </w:r>
      <w:r>
        <w:rPr>
          <w:color w:val="231F20"/>
          <w:spacing w:val="-19"/>
          <w:w w:val="105"/>
        </w:rPr>
        <w:t> </w:t>
      </w:r>
      <w:r>
        <w:rPr>
          <w:color w:val="231F20"/>
          <w:w w:val="105"/>
        </w:rPr>
        <w:t>reunimos</w:t>
      </w:r>
      <w:r>
        <w:rPr>
          <w:color w:val="231F20"/>
          <w:spacing w:val="-19"/>
          <w:w w:val="105"/>
        </w:rPr>
        <w:t> </w:t>
      </w:r>
      <w:r>
        <w:rPr>
          <w:color w:val="231F20"/>
          <w:w w:val="105"/>
        </w:rPr>
        <w:t>una</w:t>
      </w:r>
      <w:r>
        <w:rPr>
          <w:color w:val="231F20"/>
          <w:spacing w:val="-19"/>
          <w:w w:val="105"/>
        </w:rPr>
        <w:t> </w:t>
      </w:r>
      <w:r>
        <w:rPr>
          <w:color w:val="231F20"/>
          <w:spacing w:val="-3"/>
          <w:w w:val="105"/>
        </w:rPr>
        <w:t>vez</w:t>
      </w:r>
      <w:r>
        <w:rPr>
          <w:color w:val="231F20"/>
          <w:spacing w:val="-19"/>
          <w:w w:val="105"/>
        </w:rPr>
        <w:t> </w:t>
      </w:r>
      <w:r>
        <w:rPr>
          <w:color w:val="231F20"/>
          <w:w w:val="105"/>
        </w:rPr>
        <w:t>al</w:t>
      </w:r>
      <w:r>
        <w:rPr>
          <w:color w:val="231F20"/>
          <w:spacing w:val="-19"/>
          <w:w w:val="105"/>
        </w:rPr>
        <w:t> </w:t>
      </w:r>
      <w:r>
        <w:rPr>
          <w:color w:val="231F20"/>
          <w:w w:val="105"/>
        </w:rPr>
        <w:t>mes.</w:t>
      </w:r>
      <w:r>
        <w:rPr>
          <w:color w:val="231F20"/>
          <w:spacing w:val="-19"/>
          <w:w w:val="105"/>
        </w:rPr>
        <w:t> </w:t>
      </w:r>
      <w:r>
        <w:rPr>
          <w:color w:val="231F20"/>
          <w:w w:val="105"/>
        </w:rPr>
        <w:t>Se</w:t>
      </w:r>
      <w:r>
        <w:rPr>
          <w:color w:val="231F20"/>
          <w:spacing w:val="-19"/>
          <w:w w:val="105"/>
        </w:rPr>
        <w:t> </w:t>
      </w:r>
      <w:r>
        <w:rPr>
          <w:color w:val="231F20"/>
          <w:w w:val="105"/>
        </w:rPr>
        <w:t>llaman</w:t>
      </w:r>
      <w:r>
        <w:rPr>
          <w:color w:val="231F20"/>
          <w:spacing w:val="-19"/>
          <w:w w:val="105"/>
        </w:rPr>
        <w:t> </w:t>
      </w:r>
      <w:r>
        <w:rPr>
          <w:color w:val="231F20"/>
          <w:spacing w:val="-3"/>
          <w:w w:val="105"/>
        </w:rPr>
        <w:t>reuniones</w:t>
      </w:r>
      <w:r>
        <w:rPr>
          <w:color w:val="231F20"/>
          <w:spacing w:val="-19"/>
          <w:w w:val="105"/>
        </w:rPr>
        <w:t> </w:t>
      </w:r>
      <w:r>
        <w:rPr>
          <w:color w:val="231F20"/>
          <w:w w:val="105"/>
        </w:rPr>
        <w:t>de</w:t>
      </w:r>
      <w:r>
        <w:rPr>
          <w:color w:val="231F20"/>
          <w:spacing w:val="-19"/>
          <w:w w:val="105"/>
        </w:rPr>
        <w:t> </w:t>
      </w:r>
      <w:r>
        <w:rPr>
          <w:color w:val="231F20"/>
          <w:w w:val="105"/>
        </w:rPr>
        <w:t>alcaldes </w:t>
      </w:r>
      <w:r>
        <w:rPr>
          <w:color w:val="231F20"/>
          <w:spacing w:val="-8"/>
          <w:w w:val="105"/>
        </w:rPr>
        <w:t>y,</w:t>
      </w:r>
      <w:r>
        <w:rPr>
          <w:color w:val="231F20"/>
          <w:spacing w:val="-19"/>
          <w:w w:val="105"/>
        </w:rPr>
        <w:t> </w:t>
      </w:r>
      <w:r>
        <w:rPr>
          <w:color w:val="231F20"/>
          <w:w w:val="105"/>
        </w:rPr>
        <w:t>es</w:t>
      </w:r>
      <w:r>
        <w:rPr>
          <w:color w:val="231F20"/>
          <w:spacing w:val="-19"/>
          <w:w w:val="105"/>
        </w:rPr>
        <w:t> </w:t>
      </w:r>
      <w:r>
        <w:rPr>
          <w:color w:val="231F20"/>
          <w:spacing w:val="-4"/>
          <w:w w:val="105"/>
        </w:rPr>
        <w:t>donde</w:t>
      </w:r>
      <w:r>
        <w:rPr>
          <w:color w:val="231F20"/>
          <w:spacing w:val="-19"/>
          <w:w w:val="105"/>
        </w:rPr>
        <w:t> </w:t>
      </w:r>
      <w:r>
        <w:rPr>
          <w:color w:val="231F20"/>
          <w:spacing w:val="-3"/>
          <w:w w:val="105"/>
        </w:rPr>
        <w:t>los</w:t>
      </w:r>
      <w:r>
        <w:rPr>
          <w:color w:val="231F20"/>
          <w:spacing w:val="-19"/>
          <w:w w:val="105"/>
        </w:rPr>
        <w:t> </w:t>
      </w:r>
      <w:r>
        <w:rPr>
          <w:color w:val="231F20"/>
          <w:spacing w:val="-4"/>
          <w:w w:val="105"/>
        </w:rPr>
        <w:t>presidentes</w:t>
      </w:r>
      <w:r>
        <w:rPr>
          <w:color w:val="231F20"/>
          <w:spacing w:val="-19"/>
          <w:w w:val="105"/>
        </w:rPr>
        <w:t> </w:t>
      </w:r>
      <w:r>
        <w:rPr>
          <w:color w:val="231F20"/>
          <w:spacing w:val="-3"/>
          <w:w w:val="105"/>
        </w:rPr>
        <w:t>municipales</w:t>
      </w:r>
      <w:r>
        <w:rPr>
          <w:color w:val="231F20"/>
          <w:spacing w:val="-19"/>
          <w:w w:val="105"/>
        </w:rPr>
        <w:t> </w:t>
      </w:r>
      <w:r>
        <w:rPr>
          <w:color w:val="231F20"/>
          <w:spacing w:val="-3"/>
          <w:w w:val="105"/>
        </w:rPr>
        <w:t>del</w:t>
      </w:r>
      <w:r>
        <w:rPr>
          <w:color w:val="231F20"/>
          <w:spacing w:val="-19"/>
          <w:w w:val="105"/>
        </w:rPr>
        <w:t> </w:t>
      </w:r>
      <w:r>
        <w:rPr>
          <w:color w:val="231F20"/>
          <w:spacing w:val="-6"/>
          <w:w w:val="105"/>
        </w:rPr>
        <w:t>PAN</w:t>
      </w:r>
      <w:r>
        <w:rPr>
          <w:color w:val="231F20"/>
          <w:spacing w:val="-19"/>
          <w:w w:val="105"/>
        </w:rPr>
        <w:t> </w:t>
      </w:r>
      <w:r>
        <w:rPr>
          <w:color w:val="231F20"/>
          <w:spacing w:val="-5"/>
          <w:w w:val="105"/>
        </w:rPr>
        <w:t>(somos</w:t>
      </w:r>
      <w:r>
        <w:rPr>
          <w:color w:val="231F20"/>
          <w:spacing w:val="-19"/>
          <w:w w:val="105"/>
        </w:rPr>
        <w:t> </w:t>
      </w:r>
      <w:r>
        <w:rPr>
          <w:color w:val="231F20"/>
          <w:spacing w:val="-3"/>
          <w:w w:val="105"/>
        </w:rPr>
        <w:t>25)</w:t>
      </w:r>
      <w:r>
        <w:rPr>
          <w:color w:val="231F20"/>
          <w:spacing w:val="-19"/>
          <w:w w:val="105"/>
        </w:rPr>
        <w:t> </w:t>
      </w:r>
      <w:r>
        <w:rPr>
          <w:color w:val="231F20"/>
          <w:spacing w:val="-3"/>
          <w:w w:val="105"/>
        </w:rPr>
        <w:t>nos</w:t>
      </w:r>
      <w:r>
        <w:rPr>
          <w:color w:val="231F20"/>
          <w:spacing w:val="-19"/>
          <w:w w:val="105"/>
        </w:rPr>
        <w:t> </w:t>
      </w:r>
      <w:r>
        <w:rPr>
          <w:color w:val="231F20"/>
          <w:w w:val="105"/>
        </w:rPr>
        <w:t>reunimos</w:t>
      </w:r>
      <w:r>
        <w:rPr>
          <w:color w:val="231F20"/>
          <w:spacing w:val="-19"/>
          <w:w w:val="105"/>
        </w:rPr>
        <w:t> </w:t>
      </w:r>
      <w:r>
        <w:rPr>
          <w:color w:val="231F20"/>
          <w:spacing w:val="-3"/>
          <w:w w:val="105"/>
        </w:rPr>
        <w:t>cada</w:t>
      </w:r>
      <w:r>
        <w:rPr>
          <w:color w:val="231F20"/>
          <w:spacing w:val="-19"/>
          <w:w w:val="105"/>
        </w:rPr>
        <w:t> </w:t>
      </w:r>
      <w:r>
        <w:rPr>
          <w:color w:val="231F20"/>
          <w:spacing w:val="-2"/>
          <w:w w:val="105"/>
        </w:rPr>
        <w:t>mes </w:t>
      </w:r>
      <w:r>
        <w:rPr>
          <w:color w:val="231F20"/>
          <w:w w:val="105"/>
        </w:rPr>
        <w:t>y se tocan </w:t>
      </w:r>
      <w:r>
        <w:rPr>
          <w:color w:val="231F20"/>
          <w:spacing w:val="-3"/>
          <w:w w:val="105"/>
        </w:rPr>
        <w:t>diferentes secciones. </w:t>
      </w:r>
      <w:r>
        <w:rPr>
          <w:color w:val="231F20"/>
          <w:w w:val="105"/>
        </w:rPr>
        <w:t>Las </w:t>
      </w:r>
      <w:r>
        <w:rPr>
          <w:color w:val="231F20"/>
          <w:spacing w:val="-3"/>
          <w:w w:val="105"/>
        </w:rPr>
        <w:t>secciones </w:t>
      </w:r>
      <w:r>
        <w:rPr>
          <w:color w:val="231F20"/>
          <w:w w:val="105"/>
        </w:rPr>
        <w:t>de </w:t>
      </w:r>
      <w:r>
        <w:rPr>
          <w:color w:val="231F20"/>
          <w:spacing w:val="-3"/>
          <w:w w:val="105"/>
        </w:rPr>
        <w:t>cada </w:t>
      </w:r>
      <w:r>
        <w:rPr>
          <w:color w:val="231F20"/>
          <w:w w:val="105"/>
        </w:rPr>
        <w:t>quien se tocan en </w:t>
      </w:r>
      <w:r>
        <w:rPr>
          <w:color w:val="231F20"/>
          <w:spacing w:val="-3"/>
          <w:w w:val="105"/>
        </w:rPr>
        <w:t>asuntos generales, </w:t>
      </w:r>
      <w:r>
        <w:rPr>
          <w:color w:val="231F20"/>
          <w:w w:val="105"/>
        </w:rPr>
        <w:t>y </w:t>
      </w:r>
      <w:r>
        <w:rPr>
          <w:color w:val="231F20"/>
          <w:spacing w:val="-3"/>
          <w:w w:val="105"/>
        </w:rPr>
        <w:t>nos </w:t>
      </w:r>
      <w:r>
        <w:rPr>
          <w:color w:val="231F20"/>
          <w:spacing w:val="-4"/>
          <w:w w:val="105"/>
        </w:rPr>
        <w:t>ponemos </w:t>
      </w:r>
      <w:r>
        <w:rPr>
          <w:color w:val="231F20"/>
          <w:w w:val="105"/>
        </w:rPr>
        <w:t>de </w:t>
      </w:r>
      <w:r>
        <w:rPr>
          <w:color w:val="231F20"/>
          <w:spacing w:val="-4"/>
          <w:w w:val="105"/>
        </w:rPr>
        <w:t>acuerdo </w:t>
      </w:r>
      <w:r>
        <w:rPr>
          <w:color w:val="231F20"/>
          <w:w w:val="105"/>
        </w:rPr>
        <w:t>en </w:t>
      </w:r>
      <w:r>
        <w:rPr>
          <w:color w:val="231F20"/>
          <w:spacing w:val="-3"/>
          <w:w w:val="105"/>
        </w:rPr>
        <w:t>qué </w:t>
      </w:r>
      <w:r>
        <w:rPr>
          <w:color w:val="231F20"/>
          <w:w w:val="105"/>
        </w:rPr>
        <w:t>temas vamos a tocar en la </w:t>
      </w:r>
      <w:r>
        <w:rPr>
          <w:color w:val="231F20"/>
          <w:spacing w:val="-3"/>
          <w:w w:val="105"/>
        </w:rPr>
        <w:t>siguiente reunión.</w:t>
      </w:r>
      <w:r>
        <w:rPr>
          <w:color w:val="231F20"/>
          <w:spacing w:val="-24"/>
          <w:w w:val="105"/>
        </w:rPr>
        <w:t> </w:t>
      </w:r>
      <w:r>
        <w:rPr>
          <w:color w:val="231F20"/>
          <w:spacing w:val="-3"/>
          <w:w w:val="105"/>
        </w:rPr>
        <w:t>Son</w:t>
      </w:r>
      <w:r>
        <w:rPr>
          <w:color w:val="231F20"/>
          <w:spacing w:val="-24"/>
          <w:w w:val="105"/>
        </w:rPr>
        <w:t> </w:t>
      </w:r>
      <w:r>
        <w:rPr>
          <w:color w:val="231F20"/>
          <w:w w:val="105"/>
        </w:rPr>
        <w:t>temas</w:t>
      </w:r>
      <w:r>
        <w:rPr>
          <w:color w:val="231F20"/>
          <w:spacing w:val="-24"/>
          <w:w w:val="105"/>
        </w:rPr>
        <w:t> </w:t>
      </w:r>
      <w:r>
        <w:rPr>
          <w:color w:val="231F20"/>
          <w:w w:val="105"/>
        </w:rPr>
        <w:t>de</w:t>
      </w:r>
      <w:r>
        <w:rPr>
          <w:color w:val="231F20"/>
          <w:spacing w:val="-24"/>
          <w:w w:val="105"/>
        </w:rPr>
        <w:t> </w:t>
      </w:r>
      <w:r>
        <w:rPr>
          <w:color w:val="231F20"/>
          <w:spacing w:val="-3"/>
          <w:w w:val="105"/>
        </w:rPr>
        <w:t>tesorería,</w:t>
      </w:r>
      <w:r>
        <w:rPr>
          <w:color w:val="231F20"/>
          <w:spacing w:val="-24"/>
          <w:w w:val="105"/>
        </w:rPr>
        <w:t> </w:t>
      </w:r>
      <w:r>
        <w:rPr>
          <w:color w:val="231F20"/>
          <w:w w:val="105"/>
        </w:rPr>
        <w:t>de</w:t>
      </w:r>
      <w:r>
        <w:rPr>
          <w:color w:val="231F20"/>
          <w:spacing w:val="-24"/>
          <w:w w:val="105"/>
        </w:rPr>
        <w:t> </w:t>
      </w:r>
      <w:r>
        <w:rPr>
          <w:color w:val="231F20"/>
          <w:w w:val="105"/>
        </w:rPr>
        <w:t>programas</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color w:val="231F20"/>
          <w:spacing w:val="-4"/>
          <w:w w:val="105"/>
        </w:rPr>
        <w:t>presidente</w:t>
      </w:r>
      <w:r>
        <w:rPr>
          <w:color w:val="231F20"/>
          <w:spacing w:val="-24"/>
          <w:w w:val="105"/>
        </w:rPr>
        <w:t> </w:t>
      </w:r>
      <w:r>
        <w:rPr>
          <w:color w:val="231F20"/>
          <w:spacing w:val="-3"/>
          <w:w w:val="105"/>
        </w:rPr>
        <w:t>del</w:t>
      </w:r>
      <w:r>
        <w:rPr>
          <w:color w:val="231F20"/>
          <w:spacing w:val="-24"/>
          <w:w w:val="105"/>
        </w:rPr>
        <w:t> </w:t>
      </w:r>
      <w:r>
        <w:rPr>
          <w:color w:val="231F20"/>
          <w:w w:val="105"/>
        </w:rPr>
        <w:t>Comité</w:t>
      </w:r>
      <w:r>
        <w:rPr>
          <w:color w:val="231F20"/>
          <w:spacing w:val="-24"/>
          <w:w w:val="105"/>
        </w:rPr>
        <w:t> </w:t>
      </w:r>
      <w:r>
        <w:rPr>
          <w:color w:val="231F20"/>
          <w:w w:val="105"/>
        </w:rPr>
        <w:t>Directivo, el</w:t>
      </w:r>
      <w:r>
        <w:rPr>
          <w:color w:val="231F20"/>
          <w:spacing w:val="-11"/>
          <w:w w:val="105"/>
        </w:rPr>
        <w:t> </w:t>
      </w:r>
      <w:r>
        <w:rPr>
          <w:color w:val="231F20"/>
          <w:spacing w:val="-3"/>
          <w:w w:val="105"/>
        </w:rPr>
        <w:t>ingeniero</w:t>
      </w:r>
      <w:r>
        <w:rPr>
          <w:color w:val="231F20"/>
          <w:spacing w:val="-11"/>
          <w:w w:val="105"/>
        </w:rPr>
        <w:t> </w:t>
      </w:r>
      <w:r>
        <w:rPr>
          <w:color w:val="231F20"/>
          <w:w w:val="105"/>
        </w:rPr>
        <w:t>Juan</w:t>
      </w:r>
      <w:r>
        <w:rPr>
          <w:color w:val="231F20"/>
          <w:spacing w:val="-11"/>
          <w:w w:val="105"/>
        </w:rPr>
        <w:t> </w:t>
      </w:r>
      <w:r>
        <w:rPr>
          <w:color w:val="231F20"/>
          <w:w w:val="105"/>
        </w:rPr>
        <w:t>Carlos</w:t>
      </w:r>
      <w:r>
        <w:rPr>
          <w:color w:val="231F20"/>
          <w:spacing w:val="-11"/>
          <w:w w:val="105"/>
        </w:rPr>
        <w:t> </w:t>
      </w:r>
      <w:r>
        <w:rPr>
          <w:color w:val="231F20"/>
          <w:spacing w:val="-3"/>
          <w:w w:val="105"/>
        </w:rPr>
        <w:t>Núñez</w:t>
      </w:r>
      <w:r>
        <w:rPr>
          <w:color w:val="231F20"/>
          <w:spacing w:val="-11"/>
          <w:w w:val="105"/>
        </w:rPr>
        <w:t> </w:t>
      </w:r>
      <w:r>
        <w:rPr>
          <w:color w:val="231F20"/>
          <w:w w:val="105"/>
        </w:rPr>
        <w:t>Armas,</w:t>
      </w:r>
      <w:r>
        <w:rPr>
          <w:color w:val="231F20"/>
          <w:spacing w:val="-11"/>
          <w:w w:val="105"/>
        </w:rPr>
        <w:t> </w:t>
      </w:r>
      <w:r>
        <w:rPr>
          <w:color w:val="231F20"/>
          <w:w w:val="105"/>
        </w:rPr>
        <w:t>se</w:t>
      </w:r>
      <w:r>
        <w:rPr>
          <w:color w:val="231F20"/>
          <w:spacing w:val="-11"/>
          <w:w w:val="105"/>
        </w:rPr>
        <w:t> </w:t>
      </w:r>
      <w:r>
        <w:rPr>
          <w:color w:val="231F20"/>
          <w:spacing w:val="-3"/>
          <w:w w:val="105"/>
        </w:rPr>
        <w:t>encarga</w:t>
      </w:r>
      <w:r>
        <w:rPr>
          <w:color w:val="231F20"/>
          <w:spacing w:val="-11"/>
          <w:w w:val="105"/>
        </w:rPr>
        <w:t> </w:t>
      </w:r>
      <w:r>
        <w:rPr>
          <w:color w:val="231F20"/>
          <w:w w:val="105"/>
        </w:rPr>
        <w:t>de</w:t>
      </w:r>
      <w:r>
        <w:rPr>
          <w:color w:val="231F20"/>
          <w:spacing w:val="-11"/>
          <w:w w:val="105"/>
        </w:rPr>
        <w:t> </w:t>
      </w:r>
      <w:r>
        <w:rPr>
          <w:color w:val="231F20"/>
          <w:w w:val="105"/>
        </w:rPr>
        <w:t>invitar</w:t>
      </w:r>
      <w:r>
        <w:rPr>
          <w:color w:val="231F20"/>
          <w:spacing w:val="-11"/>
          <w:w w:val="105"/>
        </w:rPr>
        <w:t> </w:t>
      </w:r>
      <w:r>
        <w:rPr>
          <w:color w:val="231F20"/>
          <w:w w:val="105"/>
        </w:rPr>
        <w:t>al</w:t>
      </w:r>
      <w:r>
        <w:rPr>
          <w:color w:val="231F20"/>
          <w:spacing w:val="-11"/>
          <w:w w:val="105"/>
        </w:rPr>
        <w:t> </w:t>
      </w:r>
      <w:r>
        <w:rPr>
          <w:color w:val="231F20"/>
          <w:w w:val="105"/>
        </w:rPr>
        <w:t>titular</w:t>
      </w:r>
      <w:r>
        <w:rPr>
          <w:color w:val="231F20"/>
          <w:spacing w:val="-11"/>
          <w:w w:val="105"/>
        </w:rPr>
        <w:t> </w:t>
      </w:r>
      <w:r>
        <w:rPr>
          <w:color w:val="231F20"/>
          <w:w w:val="105"/>
        </w:rPr>
        <w:t>de</w:t>
      </w:r>
      <w:r>
        <w:rPr>
          <w:color w:val="231F20"/>
          <w:spacing w:val="-11"/>
          <w:w w:val="105"/>
        </w:rPr>
        <w:t> </w:t>
      </w:r>
      <w:r>
        <w:rPr>
          <w:color w:val="231F20"/>
          <w:w w:val="105"/>
        </w:rPr>
        <w:t>esa</w:t>
      </w:r>
      <w:r>
        <w:rPr>
          <w:color w:val="231F20"/>
          <w:spacing w:val="-11"/>
          <w:w w:val="105"/>
        </w:rPr>
        <w:t> </w:t>
      </w:r>
      <w:r>
        <w:rPr>
          <w:color w:val="231F20"/>
          <w:w w:val="105"/>
        </w:rPr>
        <w:t>área, llámese</w:t>
      </w:r>
      <w:r>
        <w:rPr>
          <w:color w:val="231F20"/>
          <w:spacing w:val="-21"/>
          <w:w w:val="105"/>
        </w:rPr>
        <w:t> </w:t>
      </w:r>
      <w:r>
        <w:rPr>
          <w:color w:val="231F20"/>
          <w:w w:val="105"/>
        </w:rPr>
        <w:t>titular</w:t>
      </w:r>
      <w:r>
        <w:rPr>
          <w:color w:val="231F20"/>
          <w:spacing w:val="-21"/>
          <w:w w:val="105"/>
        </w:rPr>
        <w:t> </w:t>
      </w:r>
      <w:r>
        <w:rPr>
          <w:color w:val="231F20"/>
          <w:spacing w:val="-3"/>
          <w:w w:val="105"/>
        </w:rPr>
        <w:t>federal,</w:t>
      </w:r>
      <w:r>
        <w:rPr>
          <w:color w:val="231F20"/>
          <w:spacing w:val="-21"/>
          <w:w w:val="105"/>
        </w:rPr>
        <w:t> </w:t>
      </w:r>
      <w:r>
        <w:rPr>
          <w:color w:val="231F20"/>
          <w:w w:val="105"/>
        </w:rPr>
        <w:t>titular</w:t>
      </w:r>
      <w:r>
        <w:rPr>
          <w:color w:val="231F20"/>
          <w:spacing w:val="-21"/>
          <w:w w:val="105"/>
        </w:rPr>
        <w:t> </w:t>
      </w:r>
      <w:r>
        <w:rPr>
          <w:color w:val="231F20"/>
          <w:w w:val="105"/>
        </w:rPr>
        <w:t>estatal,</w:t>
      </w:r>
      <w:r>
        <w:rPr>
          <w:color w:val="231F20"/>
          <w:spacing w:val="-21"/>
          <w:w w:val="105"/>
        </w:rPr>
        <w:t> </w:t>
      </w:r>
      <w:r>
        <w:rPr>
          <w:color w:val="231F20"/>
          <w:w w:val="105"/>
        </w:rPr>
        <w:t>para</w:t>
      </w:r>
      <w:r>
        <w:rPr>
          <w:color w:val="231F20"/>
          <w:spacing w:val="-21"/>
          <w:w w:val="105"/>
        </w:rPr>
        <w:t> </w:t>
      </w:r>
      <w:r>
        <w:rPr>
          <w:color w:val="231F20"/>
          <w:spacing w:val="-3"/>
          <w:w w:val="105"/>
        </w:rPr>
        <w:t>que</w:t>
      </w:r>
      <w:r>
        <w:rPr>
          <w:color w:val="231F20"/>
          <w:spacing w:val="-21"/>
          <w:w w:val="105"/>
        </w:rPr>
        <w:t> </w:t>
      </w:r>
      <w:r>
        <w:rPr>
          <w:color w:val="231F20"/>
          <w:spacing w:val="-3"/>
          <w:w w:val="105"/>
        </w:rPr>
        <w:t>les</w:t>
      </w:r>
      <w:r>
        <w:rPr>
          <w:color w:val="231F20"/>
          <w:spacing w:val="-21"/>
          <w:w w:val="105"/>
        </w:rPr>
        <w:t> </w:t>
      </w:r>
      <w:r>
        <w:rPr>
          <w:color w:val="231F20"/>
          <w:w w:val="105"/>
        </w:rPr>
        <w:t>dé</w:t>
      </w:r>
      <w:r>
        <w:rPr>
          <w:color w:val="231F20"/>
          <w:spacing w:val="-21"/>
          <w:w w:val="105"/>
        </w:rPr>
        <w:t> </w:t>
      </w:r>
      <w:r>
        <w:rPr>
          <w:color w:val="231F20"/>
          <w:w w:val="105"/>
        </w:rPr>
        <w:t>seguimiento</w:t>
      </w:r>
      <w:r>
        <w:rPr>
          <w:color w:val="231F20"/>
          <w:spacing w:val="-21"/>
          <w:w w:val="105"/>
        </w:rPr>
        <w:t> </w:t>
      </w:r>
      <w:r>
        <w:rPr>
          <w:color w:val="231F20"/>
          <w:spacing w:val="-3"/>
          <w:w w:val="105"/>
        </w:rPr>
        <w:t>(Navarro:</w:t>
      </w:r>
      <w:r>
        <w:rPr>
          <w:color w:val="231F20"/>
          <w:spacing w:val="-21"/>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w w:val="105"/>
        </w:rPr>
        <w:t>Además</w:t>
      </w:r>
      <w:r>
        <w:rPr>
          <w:color w:val="231F20"/>
          <w:spacing w:val="-6"/>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apoyo</w:t>
      </w:r>
      <w:r>
        <w:rPr>
          <w:color w:val="231F20"/>
          <w:spacing w:val="-6"/>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órganos</w:t>
      </w:r>
      <w:r>
        <w:rPr>
          <w:color w:val="231F20"/>
          <w:spacing w:val="-5"/>
          <w:w w:val="105"/>
        </w:rPr>
        <w:t> </w:t>
      </w:r>
      <w:r>
        <w:rPr>
          <w:color w:val="231F20"/>
          <w:w w:val="105"/>
        </w:rPr>
        <w:t>directivos</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partido,</w:t>
      </w:r>
      <w:r>
        <w:rPr>
          <w:color w:val="231F20"/>
          <w:spacing w:val="-5"/>
          <w:w w:val="105"/>
        </w:rPr>
        <w:t> </w:t>
      </w:r>
      <w:r>
        <w:rPr>
          <w:color w:val="231F20"/>
          <w:w w:val="105"/>
        </w:rPr>
        <w:t>se</w:t>
      </w:r>
      <w:r>
        <w:rPr>
          <w:color w:val="231F20"/>
          <w:spacing w:val="-5"/>
          <w:w w:val="105"/>
        </w:rPr>
        <w:t> </w:t>
      </w:r>
      <w:r>
        <w:rPr>
          <w:color w:val="231F20"/>
          <w:w w:val="105"/>
        </w:rPr>
        <w:t>establece</w:t>
      </w:r>
      <w:r>
        <w:rPr>
          <w:color w:val="231F20"/>
          <w:spacing w:val="-5"/>
          <w:w w:val="105"/>
        </w:rPr>
        <w:t> </w:t>
      </w:r>
      <w:r>
        <w:rPr>
          <w:color w:val="231F20"/>
          <w:w w:val="105"/>
        </w:rPr>
        <w:t>una</w:t>
      </w:r>
      <w:r>
        <w:rPr>
          <w:color w:val="231F20"/>
          <w:spacing w:val="-5"/>
          <w:w w:val="105"/>
        </w:rPr>
        <w:t> </w:t>
      </w:r>
      <w:r>
        <w:rPr>
          <w:color w:val="231F20"/>
          <w:w w:val="105"/>
        </w:rPr>
        <w:t>estre- cha relación con un diputado panista encargado de </w:t>
      </w:r>
      <w:r>
        <w:rPr>
          <w:color w:val="231F20"/>
          <w:spacing w:val="2"/>
          <w:w w:val="105"/>
        </w:rPr>
        <w:t>vigilar </w:t>
      </w:r>
      <w:r>
        <w:rPr>
          <w:color w:val="231F20"/>
          <w:w w:val="105"/>
        </w:rPr>
        <w:t>el desempeño de los miem- bros</w:t>
      </w:r>
      <w:r>
        <w:rPr>
          <w:color w:val="231F20"/>
          <w:spacing w:val="-14"/>
          <w:w w:val="105"/>
        </w:rPr>
        <w:t> </w:t>
      </w:r>
      <w:r>
        <w:rPr>
          <w:color w:val="231F20"/>
          <w:w w:val="105"/>
        </w:rPr>
        <w:t>del</w:t>
      </w:r>
      <w:r>
        <w:rPr>
          <w:color w:val="231F20"/>
          <w:spacing w:val="-14"/>
          <w:w w:val="105"/>
        </w:rPr>
        <w:t> </w:t>
      </w:r>
      <w:r>
        <w:rPr>
          <w:color w:val="231F20"/>
          <w:w w:val="105"/>
        </w:rPr>
        <w:t>ayuntamiento.</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ocasiones</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ayuntamiento</w:t>
      </w:r>
      <w:r>
        <w:rPr>
          <w:color w:val="231F20"/>
          <w:spacing w:val="-14"/>
          <w:w w:val="105"/>
        </w:rPr>
        <w:t> </w:t>
      </w:r>
      <w:r>
        <w:rPr>
          <w:color w:val="231F20"/>
          <w:w w:val="105"/>
        </w:rPr>
        <w:t>yerra</w:t>
      </w:r>
      <w:r>
        <w:rPr>
          <w:color w:val="231F20"/>
          <w:spacing w:val="-14"/>
          <w:w w:val="105"/>
        </w:rPr>
        <w:t> </w:t>
      </w:r>
      <w:r>
        <w:rPr>
          <w:color w:val="231F20"/>
          <w:w w:val="105"/>
        </w:rPr>
        <w:t>en</w:t>
      </w:r>
      <w:r>
        <w:rPr>
          <w:color w:val="231F20"/>
          <w:spacing w:val="-14"/>
          <w:w w:val="105"/>
        </w:rPr>
        <w:t> </w:t>
      </w:r>
      <w:r>
        <w:rPr>
          <w:color w:val="231F20"/>
          <w:w w:val="105"/>
        </w:rPr>
        <w:t>sus</w:t>
      </w:r>
      <w:r>
        <w:rPr>
          <w:color w:val="231F20"/>
          <w:spacing w:val="-14"/>
          <w:w w:val="105"/>
        </w:rPr>
        <w:t> </w:t>
      </w:r>
      <w:r>
        <w:rPr>
          <w:color w:val="231F20"/>
          <w:w w:val="105"/>
        </w:rPr>
        <w:t>decisiones,</w:t>
      </w:r>
      <w:r>
        <w:rPr>
          <w:color w:val="231F20"/>
          <w:spacing w:val="-14"/>
          <w:w w:val="105"/>
        </w:rPr>
        <w:t> </w:t>
      </w:r>
      <w:r>
        <w:rPr>
          <w:color w:val="231F20"/>
          <w:w w:val="105"/>
        </w:rPr>
        <w:t>el diputado</w:t>
      </w:r>
      <w:r>
        <w:rPr>
          <w:color w:val="231F20"/>
          <w:spacing w:val="-14"/>
          <w:w w:val="105"/>
        </w:rPr>
        <w:t> </w:t>
      </w:r>
      <w:r>
        <w:rPr>
          <w:color w:val="231F20"/>
          <w:w w:val="105"/>
        </w:rPr>
        <w:t>está</w:t>
      </w:r>
      <w:r>
        <w:rPr>
          <w:color w:val="231F20"/>
          <w:spacing w:val="-14"/>
          <w:w w:val="105"/>
        </w:rPr>
        <w:t> </w:t>
      </w:r>
      <w:r>
        <w:rPr>
          <w:color w:val="231F20"/>
          <w:w w:val="105"/>
        </w:rPr>
        <w:t>facultado</w:t>
      </w:r>
      <w:r>
        <w:rPr>
          <w:color w:val="231F20"/>
          <w:spacing w:val="-14"/>
          <w:w w:val="105"/>
        </w:rPr>
        <w:t> </w:t>
      </w:r>
      <w:r>
        <w:rPr>
          <w:color w:val="231F20"/>
          <w:w w:val="105"/>
        </w:rPr>
        <w:t>no</w:t>
      </w:r>
      <w:r>
        <w:rPr>
          <w:color w:val="231F20"/>
          <w:spacing w:val="-14"/>
          <w:w w:val="105"/>
        </w:rPr>
        <w:t> </w:t>
      </w:r>
      <w:r>
        <w:rPr>
          <w:color w:val="231F20"/>
          <w:w w:val="105"/>
        </w:rPr>
        <w:t>para</w:t>
      </w:r>
      <w:r>
        <w:rPr>
          <w:color w:val="231F20"/>
          <w:spacing w:val="-14"/>
          <w:w w:val="105"/>
        </w:rPr>
        <w:t> </w:t>
      </w:r>
      <w:r>
        <w:rPr>
          <w:color w:val="231F20"/>
          <w:w w:val="105"/>
        </w:rPr>
        <w:t>regañar</w:t>
      </w:r>
      <w:r>
        <w:rPr>
          <w:color w:val="231F20"/>
          <w:spacing w:val="-14"/>
          <w:w w:val="105"/>
        </w:rPr>
        <w:t> </w:t>
      </w:r>
      <w:r>
        <w:rPr>
          <w:color w:val="231F20"/>
          <w:w w:val="105"/>
        </w:rPr>
        <w:t>pero</w:t>
      </w:r>
      <w:r>
        <w:rPr>
          <w:color w:val="231F20"/>
          <w:spacing w:val="-14"/>
          <w:w w:val="105"/>
        </w:rPr>
        <w:t> </w:t>
      </w:r>
      <w:r>
        <w:rPr>
          <w:color w:val="231F20"/>
          <w:w w:val="105"/>
        </w:rPr>
        <w:t>si</w:t>
      </w:r>
      <w:r>
        <w:rPr>
          <w:color w:val="231F20"/>
          <w:spacing w:val="-14"/>
          <w:w w:val="105"/>
        </w:rPr>
        <w:t> </w:t>
      </w:r>
      <w:r>
        <w:rPr>
          <w:color w:val="231F20"/>
          <w:w w:val="105"/>
        </w:rPr>
        <w:t>para</w:t>
      </w:r>
      <w:r>
        <w:rPr>
          <w:color w:val="231F20"/>
          <w:spacing w:val="-14"/>
          <w:w w:val="105"/>
        </w:rPr>
        <w:t> </w:t>
      </w:r>
      <w:r>
        <w:rPr>
          <w:color w:val="231F20"/>
          <w:w w:val="105"/>
        </w:rPr>
        <w:t>reconvenir</w:t>
      </w:r>
      <w:r>
        <w:rPr>
          <w:color w:val="231F20"/>
          <w:spacing w:val="-14"/>
          <w:w w:val="105"/>
        </w:rPr>
        <w:t> </w:t>
      </w:r>
      <w:r>
        <w:rPr>
          <w:color w:val="231F20"/>
          <w:w w:val="105"/>
        </w:rPr>
        <w:t>sobre</w:t>
      </w:r>
      <w:r>
        <w:rPr>
          <w:color w:val="231F20"/>
          <w:spacing w:val="-14"/>
          <w:w w:val="105"/>
        </w:rPr>
        <w:t> </w:t>
      </w:r>
      <w:r>
        <w:rPr>
          <w:color w:val="231F20"/>
          <w:w w:val="105"/>
        </w:rPr>
        <w:t>las</w:t>
      </w:r>
      <w:r>
        <w:rPr>
          <w:color w:val="231F20"/>
          <w:spacing w:val="-14"/>
          <w:w w:val="105"/>
        </w:rPr>
        <w:t> </w:t>
      </w:r>
      <w:r>
        <w:rPr>
          <w:color w:val="231F20"/>
          <w:w w:val="105"/>
        </w:rPr>
        <w:t>consecuencias de</w:t>
      </w:r>
      <w:r>
        <w:rPr>
          <w:color w:val="231F20"/>
          <w:spacing w:val="-11"/>
          <w:w w:val="105"/>
        </w:rPr>
        <w:t> </w:t>
      </w:r>
      <w:r>
        <w:rPr>
          <w:color w:val="231F20"/>
          <w:w w:val="105"/>
        </w:rPr>
        <w:t>las</w:t>
      </w:r>
      <w:r>
        <w:rPr>
          <w:color w:val="231F20"/>
          <w:spacing w:val="-11"/>
          <w:w w:val="105"/>
        </w:rPr>
        <w:t> </w:t>
      </w:r>
      <w:r>
        <w:rPr>
          <w:color w:val="231F20"/>
          <w:w w:val="105"/>
        </w:rPr>
        <w:t>acciones</w:t>
      </w:r>
      <w:r>
        <w:rPr>
          <w:color w:val="231F20"/>
          <w:spacing w:val="-11"/>
          <w:w w:val="105"/>
        </w:rPr>
        <w:t> </w:t>
      </w:r>
      <w:r>
        <w:rPr>
          <w:color w:val="231F20"/>
          <w:w w:val="105"/>
        </w:rPr>
        <w:t>ejecutadas</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gobierno,</w:t>
      </w:r>
      <w:r>
        <w:rPr>
          <w:color w:val="231F20"/>
          <w:spacing w:val="-11"/>
          <w:w w:val="105"/>
        </w:rPr>
        <w:t> </w:t>
      </w:r>
      <w:r>
        <w:rPr>
          <w:color w:val="231F20"/>
          <w:w w:val="105"/>
        </w:rPr>
        <w:t>como</w:t>
      </w:r>
      <w:r>
        <w:rPr>
          <w:color w:val="231F20"/>
          <w:spacing w:val="-11"/>
          <w:w w:val="105"/>
        </w:rPr>
        <w:t> </w:t>
      </w:r>
      <w:r>
        <w:rPr>
          <w:color w:val="231F20"/>
          <w:w w:val="105"/>
        </w:rPr>
        <w:t>podrían</w:t>
      </w:r>
      <w:r>
        <w:rPr>
          <w:color w:val="231F20"/>
          <w:spacing w:val="-11"/>
          <w:w w:val="105"/>
        </w:rPr>
        <w:t> </w:t>
      </w:r>
      <w:r>
        <w:rPr>
          <w:color w:val="231F20"/>
          <w:w w:val="105"/>
        </w:rPr>
        <w:t>afectar</w:t>
      </w:r>
      <w:r>
        <w:rPr>
          <w:color w:val="231F20"/>
          <w:spacing w:val="-11"/>
          <w:w w:val="105"/>
        </w:rPr>
        <w:t> </w:t>
      </w:r>
      <w:r>
        <w:rPr>
          <w:color w:val="231F20"/>
          <w:w w:val="105"/>
        </w:rPr>
        <w:t>los</w:t>
      </w:r>
      <w:r>
        <w:rPr>
          <w:color w:val="231F20"/>
          <w:spacing w:val="-11"/>
          <w:w w:val="105"/>
        </w:rPr>
        <w:t> </w:t>
      </w:r>
      <w:r>
        <w:rPr>
          <w:color w:val="231F20"/>
          <w:w w:val="105"/>
        </w:rPr>
        <w:t>niveles</w:t>
      </w:r>
      <w:r>
        <w:rPr>
          <w:color w:val="231F20"/>
          <w:spacing w:val="-11"/>
          <w:w w:val="105"/>
        </w:rPr>
        <w:t> </w:t>
      </w:r>
      <w:r>
        <w:rPr>
          <w:color w:val="231F20"/>
          <w:w w:val="105"/>
        </w:rPr>
        <w:t>de</w:t>
      </w:r>
      <w:r>
        <w:rPr>
          <w:color w:val="231F20"/>
          <w:spacing w:val="-11"/>
          <w:w w:val="105"/>
        </w:rPr>
        <w:t> </w:t>
      </w:r>
      <w:r>
        <w:rPr>
          <w:color w:val="231F20"/>
          <w:w w:val="105"/>
        </w:rPr>
        <w:t>credibi- lidad</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apoyo</w:t>
      </w:r>
      <w:r>
        <w:rPr>
          <w:color w:val="231F20"/>
          <w:spacing w:val="-16"/>
          <w:w w:val="105"/>
        </w:rPr>
        <w:t> </w:t>
      </w:r>
      <w:r>
        <w:rPr>
          <w:color w:val="231F20"/>
          <w:w w:val="105"/>
        </w:rPr>
        <w:t>electoral</w:t>
      </w:r>
      <w:r>
        <w:rPr>
          <w:color w:val="231F20"/>
          <w:spacing w:val="-16"/>
          <w:w w:val="105"/>
        </w:rPr>
        <w:t> </w:t>
      </w:r>
      <w:r>
        <w:rPr>
          <w:color w:val="231F20"/>
          <w:w w:val="105"/>
        </w:rPr>
        <w:t>a</w:t>
      </w:r>
      <w:r>
        <w:rPr>
          <w:color w:val="231F20"/>
          <w:spacing w:val="-16"/>
          <w:w w:val="105"/>
        </w:rPr>
        <w:t> </w:t>
      </w:r>
      <w:r>
        <w:rPr>
          <w:color w:val="231F20"/>
          <w:w w:val="105"/>
        </w:rPr>
        <w:t>su</w:t>
      </w:r>
      <w:r>
        <w:rPr>
          <w:color w:val="231F20"/>
          <w:spacing w:val="-16"/>
          <w:w w:val="105"/>
        </w:rPr>
        <w:t> </w:t>
      </w:r>
      <w:r>
        <w:rPr>
          <w:color w:val="231F20"/>
          <w:w w:val="105"/>
        </w:rPr>
        <w:t>partido.</w:t>
      </w:r>
    </w:p>
    <w:p>
      <w:pPr>
        <w:pStyle w:val="BodyText"/>
        <w:spacing w:line="285" w:lineRule="auto" w:before="1"/>
        <w:ind w:left="677" w:right="108"/>
        <w:jc w:val="both"/>
      </w:pPr>
      <w:r>
        <w:rPr>
          <w:color w:val="231F20"/>
          <w:w w:val="105"/>
        </w:rPr>
        <w:t>…Nosotros</w:t>
      </w:r>
      <w:r>
        <w:rPr>
          <w:color w:val="231F20"/>
          <w:spacing w:val="-13"/>
          <w:w w:val="105"/>
        </w:rPr>
        <w:t> </w:t>
      </w:r>
      <w:r>
        <w:rPr>
          <w:color w:val="231F20"/>
          <w:w w:val="105"/>
        </w:rPr>
        <w:t>tenemos</w:t>
      </w:r>
      <w:r>
        <w:rPr>
          <w:color w:val="231F20"/>
          <w:spacing w:val="-13"/>
          <w:w w:val="105"/>
        </w:rPr>
        <w:t> </w:t>
      </w:r>
      <w:r>
        <w:rPr>
          <w:color w:val="231F20"/>
          <w:w w:val="105"/>
        </w:rPr>
        <w:t>un</w:t>
      </w:r>
      <w:r>
        <w:rPr>
          <w:color w:val="231F20"/>
          <w:spacing w:val="-13"/>
          <w:w w:val="105"/>
        </w:rPr>
        <w:t> </w:t>
      </w:r>
      <w:r>
        <w:rPr>
          <w:color w:val="231F20"/>
          <w:w w:val="105"/>
        </w:rPr>
        <w:t>contacto</w:t>
      </w:r>
      <w:r>
        <w:rPr>
          <w:color w:val="231F20"/>
          <w:spacing w:val="-13"/>
          <w:w w:val="105"/>
        </w:rPr>
        <w:t> </w:t>
      </w:r>
      <w:r>
        <w:rPr>
          <w:color w:val="231F20"/>
          <w:w w:val="105"/>
        </w:rPr>
        <w:t>muy</w:t>
      </w:r>
      <w:r>
        <w:rPr>
          <w:color w:val="231F20"/>
          <w:spacing w:val="-13"/>
          <w:w w:val="105"/>
        </w:rPr>
        <w:t> </w:t>
      </w:r>
      <w:r>
        <w:rPr>
          <w:color w:val="231F20"/>
          <w:w w:val="105"/>
        </w:rPr>
        <w:t>directo</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partido,</w:t>
      </w:r>
      <w:r>
        <w:rPr>
          <w:color w:val="231F20"/>
          <w:spacing w:val="-13"/>
          <w:w w:val="105"/>
        </w:rPr>
        <w:t> </w:t>
      </w:r>
      <w:r>
        <w:rPr>
          <w:color w:val="231F20"/>
          <w:w w:val="105"/>
        </w:rPr>
        <w:t>nos</w:t>
      </w:r>
      <w:r>
        <w:rPr>
          <w:color w:val="231F20"/>
          <w:spacing w:val="-13"/>
          <w:w w:val="105"/>
        </w:rPr>
        <w:t> </w:t>
      </w:r>
      <w:r>
        <w:rPr>
          <w:color w:val="231F20"/>
          <w:w w:val="105"/>
        </w:rPr>
        <w:t>va</w:t>
      </w:r>
      <w:r>
        <w:rPr>
          <w:color w:val="231F20"/>
          <w:spacing w:val="-13"/>
          <w:w w:val="105"/>
        </w:rPr>
        <w:t> </w:t>
      </w:r>
      <w:r>
        <w:rPr>
          <w:color w:val="231F20"/>
          <w:w w:val="105"/>
        </w:rPr>
        <w:t>dando</w:t>
      </w:r>
      <w:r>
        <w:rPr>
          <w:color w:val="231F20"/>
          <w:spacing w:val="-13"/>
          <w:w w:val="105"/>
        </w:rPr>
        <w:t> </w:t>
      </w:r>
      <w:r>
        <w:rPr>
          <w:color w:val="231F20"/>
          <w:w w:val="105"/>
        </w:rPr>
        <w:t>aseso- ramiento…</w:t>
      </w:r>
      <w:r>
        <w:rPr>
          <w:color w:val="231F20"/>
          <w:spacing w:val="-4"/>
          <w:w w:val="105"/>
        </w:rPr>
        <w:t> </w:t>
      </w:r>
      <w:r>
        <w:rPr>
          <w:color w:val="231F20"/>
          <w:w w:val="105"/>
        </w:rPr>
        <w:t>el</w:t>
      </w:r>
      <w:r>
        <w:rPr>
          <w:color w:val="231F20"/>
          <w:spacing w:val="-4"/>
          <w:w w:val="105"/>
        </w:rPr>
        <w:t> </w:t>
      </w:r>
      <w:r>
        <w:rPr>
          <w:color w:val="231F20"/>
          <w:w w:val="105"/>
        </w:rPr>
        <w:t>encargado</w:t>
      </w:r>
      <w:r>
        <w:rPr>
          <w:color w:val="231F20"/>
          <w:spacing w:val="-4"/>
          <w:w w:val="105"/>
        </w:rPr>
        <w:t> </w:t>
      </w:r>
      <w:r>
        <w:rPr>
          <w:color w:val="231F20"/>
          <w:w w:val="105"/>
        </w:rPr>
        <w:t>del</w:t>
      </w:r>
      <w:r>
        <w:rPr>
          <w:color w:val="231F20"/>
          <w:spacing w:val="-4"/>
          <w:w w:val="105"/>
        </w:rPr>
        <w:t> </w:t>
      </w:r>
      <w:r>
        <w:rPr>
          <w:color w:val="231F20"/>
          <w:w w:val="105"/>
        </w:rPr>
        <w:t>municipio</w:t>
      </w:r>
      <w:r>
        <w:rPr>
          <w:color w:val="231F20"/>
          <w:spacing w:val="-4"/>
          <w:w w:val="105"/>
        </w:rPr>
        <w:t> </w:t>
      </w:r>
      <w:r>
        <w:rPr>
          <w:color w:val="231F20"/>
          <w:w w:val="105"/>
        </w:rPr>
        <w:t>en</w:t>
      </w:r>
      <w:r>
        <w:rPr>
          <w:color w:val="231F20"/>
          <w:spacing w:val="-4"/>
          <w:w w:val="105"/>
        </w:rPr>
        <w:t> </w:t>
      </w:r>
      <w:r>
        <w:rPr>
          <w:color w:val="231F20"/>
          <w:w w:val="105"/>
        </w:rPr>
        <w:t>nuestro</w:t>
      </w:r>
      <w:r>
        <w:rPr>
          <w:color w:val="231F20"/>
          <w:spacing w:val="-4"/>
          <w:w w:val="105"/>
        </w:rPr>
        <w:t> </w:t>
      </w:r>
      <w:r>
        <w:rPr>
          <w:color w:val="231F20"/>
          <w:w w:val="105"/>
        </w:rPr>
        <w:t>caso</w:t>
      </w:r>
      <w:r>
        <w:rPr>
          <w:color w:val="231F20"/>
          <w:spacing w:val="-4"/>
          <w:w w:val="105"/>
        </w:rPr>
        <w:t> </w:t>
      </w:r>
      <w:r>
        <w:rPr>
          <w:color w:val="231F20"/>
          <w:w w:val="105"/>
        </w:rPr>
        <w:t>es</w:t>
      </w:r>
      <w:r>
        <w:rPr>
          <w:color w:val="231F20"/>
          <w:spacing w:val="-4"/>
          <w:w w:val="105"/>
        </w:rPr>
        <w:t> </w:t>
      </w:r>
      <w:r>
        <w:rPr>
          <w:color w:val="231F20"/>
          <w:w w:val="105"/>
        </w:rPr>
        <w:t>el</w:t>
      </w:r>
      <w:r>
        <w:rPr>
          <w:color w:val="231F20"/>
          <w:spacing w:val="-4"/>
          <w:w w:val="105"/>
        </w:rPr>
        <w:t> </w:t>
      </w:r>
      <w:r>
        <w:rPr>
          <w:color w:val="231F20"/>
          <w:w w:val="105"/>
        </w:rPr>
        <w:t>Diputado</w:t>
      </w:r>
      <w:r>
        <w:rPr>
          <w:color w:val="231F20"/>
          <w:spacing w:val="-4"/>
          <w:w w:val="105"/>
        </w:rPr>
        <w:t> </w:t>
      </w:r>
      <w:r>
        <w:rPr>
          <w:color w:val="231F20"/>
          <w:w w:val="105"/>
        </w:rPr>
        <w:t>Ing.</w:t>
      </w:r>
      <w:r>
        <w:rPr>
          <w:color w:val="231F20"/>
          <w:spacing w:val="-4"/>
          <w:w w:val="105"/>
        </w:rPr>
        <w:t> </w:t>
      </w:r>
      <w:r>
        <w:rPr>
          <w:color w:val="231F20"/>
          <w:w w:val="105"/>
        </w:rPr>
        <w:t>Ciro </w:t>
      </w:r>
      <w:r>
        <w:rPr>
          <w:color w:val="231F20"/>
        </w:rPr>
        <w:t>Gómez Leiva (Navarro,</w:t>
      </w:r>
      <w:r>
        <w:rPr>
          <w:color w:val="231F20"/>
          <w:spacing w:val="18"/>
        </w:rPr>
        <w:t> </w:t>
      </w:r>
      <w:r>
        <w:rPr>
          <w:color w:val="231F20"/>
        </w:rPr>
        <w:t>20008).</w:t>
      </w:r>
    </w:p>
    <w:p>
      <w:pPr>
        <w:pStyle w:val="BodyText"/>
        <w:spacing w:before="1"/>
        <w:rPr>
          <w:sz w:val="26"/>
        </w:rPr>
      </w:pPr>
    </w:p>
    <w:p>
      <w:pPr>
        <w:pStyle w:val="BodyText"/>
        <w:spacing w:line="285" w:lineRule="auto"/>
        <w:ind w:left="110" w:right="107"/>
        <w:jc w:val="both"/>
      </w:pPr>
      <w:r>
        <w:rPr>
          <w:color w:val="231F20"/>
          <w:w w:val="105"/>
        </w:rPr>
        <w:t>En</w:t>
      </w:r>
      <w:r>
        <w:rPr>
          <w:color w:val="231F20"/>
          <w:spacing w:val="-4"/>
          <w:w w:val="105"/>
        </w:rPr>
        <w:t> </w:t>
      </w:r>
      <w:r>
        <w:rPr>
          <w:color w:val="231F20"/>
          <w:spacing w:val="2"/>
          <w:w w:val="105"/>
        </w:rPr>
        <w:t>cuanto</w:t>
      </w:r>
      <w:r>
        <w:rPr>
          <w:color w:val="231F20"/>
          <w:spacing w:val="-4"/>
          <w:w w:val="105"/>
        </w:rPr>
        <w:t> </w:t>
      </w:r>
      <w:r>
        <w:rPr>
          <w:color w:val="231F20"/>
          <w:w w:val="105"/>
        </w:rPr>
        <w:t>a</w:t>
      </w:r>
      <w:r>
        <w:rPr>
          <w:color w:val="231F20"/>
          <w:spacing w:val="-4"/>
          <w:w w:val="105"/>
        </w:rPr>
        <w:t> </w:t>
      </w:r>
      <w:r>
        <w:rPr>
          <w:color w:val="231F20"/>
          <w:spacing w:val="2"/>
          <w:w w:val="105"/>
        </w:rPr>
        <w:t>sus</w:t>
      </w:r>
      <w:r>
        <w:rPr>
          <w:color w:val="231F20"/>
          <w:spacing w:val="-4"/>
          <w:w w:val="105"/>
        </w:rPr>
        <w:t> </w:t>
      </w:r>
      <w:r>
        <w:rPr>
          <w:color w:val="231F20"/>
          <w:w w:val="105"/>
        </w:rPr>
        <w:t>relaciones</w:t>
      </w:r>
      <w:r>
        <w:rPr>
          <w:color w:val="231F20"/>
          <w:spacing w:val="-4"/>
          <w:w w:val="105"/>
        </w:rPr>
        <w:t> </w:t>
      </w:r>
      <w:r>
        <w:rPr>
          <w:color w:val="231F20"/>
          <w:w w:val="105"/>
        </w:rPr>
        <w:t>con</w:t>
      </w:r>
      <w:r>
        <w:rPr>
          <w:color w:val="231F20"/>
          <w:spacing w:val="-4"/>
          <w:w w:val="105"/>
        </w:rPr>
        <w:t> </w:t>
      </w:r>
      <w:r>
        <w:rPr>
          <w:color w:val="231F20"/>
          <w:spacing w:val="2"/>
          <w:w w:val="105"/>
        </w:rPr>
        <w:t>las</w:t>
      </w:r>
      <w:r>
        <w:rPr>
          <w:color w:val="231F20"/>
          <w:spacing w:val="-4"/>
          <w:w w:val="105"/>
        </w:rPr>
        <w:t> </w:t>
      </w:r>
      <w:r>
        <w:rPr>
          <w:color w:val="231F20"/>
          <w:spacing w:val="2"/>
          <w:w w:val="105"/>
        </w:rPr>
        <w:t>otras</w:t>
      </w:r>
      <w:r>
        <w:rPr>
          <w:color w:val="231F20"/>
          <w:spacing w:val="-4"/>
          <w:w w:val="105"/>
        </w:rPr>
        <w:t> </w:t>
      </w:r>
      <w:r>
        <w:rPr>
          <w:color w:val="231F20"/>
          <w:w w:val="105"/>
        </w:rPr>
        <w:t>esferas</w:t>
      </w:r>
      <w:r>
        <w:rPr>
          <w:color w:val="231F20"/>
          <w:spacing w:val="-4"/>
          <w:w w:val="105"/>
        </w:rPr>
        <w:t> </w:t>
      </w:r>
      <w:r>
        <w:rPr>
          <w:color w:val="231F20"/>
          <w:w w:val="105"/>
        </w:rPr>
        <w:t>de</w:t>
      </w:r>
      <w:r>
        <w:rPr>
          <w:color w:val="231F20"/>
          <w:spacing w:val="-4"/>
          <w:w w:val="105"/>
        </w:rPr>
        <w:t> </w:t>
      </w:r>
      <w:r>
        <w:rPr>
          <w:color w:val="231F20"/>
          <w:w w:val="105"/>
        </w:rPr>
        <w:t>gobierno,</w:t>
      </w:r>
      <w:r>
        <w:rPr>
          <w:color w:val="231F20"/>
          <w:spacing w:val="-4"/>
          <w:w w:val="105"/>
        </w:rPr>
        <w:t> </w:t>
      </w:r>
      <w:r>
        <w:rPr>
          <w:color w:val="231F20"/>
          <w:spacing w:val="3"/>
          <w:w w:val="105"/>
        </w:rPr>
        <w:t>estas</w:t>
      </w:r>
      <w:r>
        <w:rPr>
          <w:color w:val="231F20"/>
          <w:spacing w:val="-4"/>
          <w:w w:val="105"/>
        </w:rPr>
        <w:t> </w:t>
      </w:r>
      <w:r>
        <w:rPr>
          <w:color w:val="231F20"/>
          <w:w w:val="105"/>
        </w:rPr>
        <w:t>se</w:t>
      </w:r>
      <w:r>
        <w:rPr>
          <w:color w:val="231F20"/>
          <w:spacing w:val="-4"/>
          <w:w w:val="105"/>
        </w:rPr>
        <w:t> </w:t>
      </w:r>
      <w:r>
        <w:rPr>
          <w:color w:val="231F20"/>
          <w:spacing w:val="2"/>
          <w:w w:val="105"/>
        </w:rPr>
        <w:t>dan</w:t>
      </w:r>
      <w:r>
        <w:rPr>
          <w:color w:val="231F20"/>
          <w:spacing w:val="-4"/>
          <w:w w:val="105"/>
        </w:rPr>
        <w:t> </w:t>
      </w:r>
      <w:r>
        <w:rPr>
          <w:color w:val="231F20"/>
          <w:w w:val="105"/>
        </w:rPr>
        <w:t>en</w:t>
      </w:r>
      <w:r>
        <w:rPr>
          <w:color w:val="231F20"/>
          <w:spacing w:val="-4"/>
          <w:w w:val="105"/>
        </w:rPr>
        <w:t> </w:t>
      </w:r>
      <w:r>
        <w:rPr>
          <w:color w:val="231F20"/>
          <w:spacing w:val="3"/>
          <w:w w:val="105"/>
        </w:rPr>
        <w:t>un</w:t>
      </w:r>
      <w:r>
        <w:rPr>
          <w:color w:val="231F20"/>
          <w:spacing w:val="-4"/>
          <w:w w:val="105"/>
        </w:rPr>
        <w:t> </w:t>
      </w:r>
      <w:r>
        <w:rPr>
          <w:color w:val="231F20"/>
          <w:w w:val="105"/>
        </w:rPr>
        <w:t>marco de</w:t>
      </w:r>
      <w:r>
        <w:rPr>
          <w:color w:val="231F20"/>
          <w:spacing w:val="-8"/>
          <w:w w:val="105"/>
        </w:rPr>
        <w:t> </w:t>
      </w:r>
      <w:r>
        <w:rPr>
          <w:color w:val="231F20"/>
          <w:w w:val="105"/>
        </w:rPr>
        <w:t>cordialidad</w:t>
      </w:r>
      <w:r>
        <w:rPr>
          <w:color w:val="231F20"/>
          <w:spacing w:val="-8"/>
          <w:w w:val="105"/>
        </w:rPr>
        <w:t> </w:t>
      </w:r>
      <w:r>
        <w:rPr>
          <w:color w:val="231F20"/>
          <w:w w:val="105"/>
        </w:rPr>
        <w:t>y</w:t>
      </w:r>
      <w:r>
        <w:rPr>
          <w:color w:val="231F20"/>
          <w:spacing w:val="-8"/>
          <w:w w:val="105"/>
        </w:rPr>
        <w:t> </w:t>
      </w:r>
      <w:r>
        <w:rPr>
          <w:color w:val="231F20"/>
          <w:w w:val="105"/>
        </w:rPr>
        <w:t>respeto,</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ha</w:t>
      </w:r>
      <w:r>
        <w:rPr>
          <w:color w:val="231F20"/>
          <w:spacing w:val="-8"/>
          <w:w w:val="105"/>
        </w:rPr>
        <w:t> </w:t>
      </w:r>
      <w:r>
        <w:rPr>
          <w:color w:val="231F20"/>
          <w:w w:val="105"/>
        </w:rPr>
        <w:t>permitido</w:t>
      </w:r>
      <w:r>
        <w:rPr>
          <w:color w:val="231F20"/>
          <w:spacing w:val="-8"/>
          <w:w w:val="105"/>
        </w:rPr>
        <w:t> </w:t>
      </w:r>
      <w:r>
        <w:rPr>
          <w:color w:val="231F20"/>
          <w:w w:val="105"/>
        </w:rPr>
        <w:t>que</w:t>
      </w:r>
      <w:r>
        <w:rPr>
          <w:color w:val="231F20"/>
          <w:spacing w:val="-8"/>
          <w:w w:val="105"/>
        </w:rPr>
        <w:t> </w:t>
      </w:r>
      <w:r>
        <w:rPr>
          <w:color w:val="231F20"/>
          <w:w w:val="105"/>
        </w:rPr>
        <w:t>aunque</w:t>
      </w:r>
      <w:r>
        <w:rPr>
          <w:color w:val="231F20"/>
          <w:spacing w:val="-8"/>
          <w:w w:val="105"/>
        </w:rPr>
        <w:t> </w:t>
      </w:r>
      <w:r>
        <w:rPr>
          <w:color w:val="231F20"/>
          <w:spacing w:val="2"/>
          <w:w w:val="105"/>
        </w:rPr>
        <w:t>sean</w:t>
      </w:r>
      <w:r>
        <w:rPr>
          <w:color w:val="231F20"/>
          <w:spacing w:val="-8"/>
          <w:w w:val="105"/>
        </w:rPr>
        <w:t> </w:t>
      </w:r>
      <w:r>
        <w:rPr>
          <w:color w:val="231F20"/>
          <w:w w:val="105"/>
        </w:rPr>
        <w:t>de</w:t>
      </w:r>
      <w:r>
        <w:rPr>
          <w:color w:val="231F20"/>
          <w:spacing w:val="-8"/>
          <w:w w:val="105"/>
        </w:rPr>
        <w:t> </w:t>
      </w:r>
      <w:r>
        <w:rPr>
          <w:color w:val="231F20"/>
          <w:w w:val="105"/>
        </w:rPr>
        <w:t>diferentes</w:t>
      </w:r>
      <w:r>
        <w:rPr>
          <w:color w:val="231F20"/>
          <w:spacing w:val="-8"/>
          <w:w w:val="105"/>
        </w:rPr>
        <w:t> </w:t>
      </w:r>
      <w:r>
        <w:rPr>
          <w:color w:val="231F20"/>
          <w:w w:val="105"/>
        </w:rPr>
        <w:t>posiciones ideológicas haya cooperación entre ellos. Hay que recordar que el municipio perte- nece </w:t>
      </w:r>
      <w:r>
        <w:rPr>
          <w:color w:val="231F20"/>
          <w:spacing w:val="3"/>
          <w:w w:val="105"/>
        </w:rPr>
        <w:t>al </w:t>
      </w:r>
      <w:r>
        <w:rPr>
          <w:color w:val="231F20"/>
          <w:spacing w:val="2"/>
          <w:w w:val="105"/>
        </w:rPr>
        <w:t>distrito local 28, </w:t>
      </w:r>
      <w:r>
        <w:rPr>
          <w:color w:val="231F20"/>
          <w:w w:val="105"/>
        </w:rPr>
        <w:t>el </w:t>
      </w:r>
      <w:r>
        <w:rPr>
          <w:color w:val="231F20"/>
          <w:spacing w:val="3"/>
          <w:w w:val="105"/>
        </w:rPr>
        <w:t>cual </w:t>
      </w:r>
      <w:r>
        <w:rPr>
          <w:color w:val="231F20"/>
          <w:w w:val="105"/>
        </w:rPr>
        <w:t>tiene </w:t>
      </w:r>
      <w:r>
        <w:rPr>
          <w:color w:val="231F20"/>
          <w:spacing w:val="3"/>
          <w:w w:val="105"/>
        </w:rPr>
        <w:t>una </w:t>
      </w:r>
      <w:r>
        <w:rPr>
          <w:color w:val="231F20"/>
          <w:w w:val="105"/>
        </w:rPr>
        <w:t>representación </w:t>
      </w:r>
      <w:r>
        <w:rPr>
          <w:color w:val="231F20"/>
          <w:spacing w:val="2"/>
          <w:w w:val="105"/>
        </w:rPr>
        <w:t>perredista, </w:t>
      </w:r>
      <w:r>
        <w:rPr>
          <w:color w:val="231F20"/>
          <w:w w:val="105"/>
        </w:rPr>
        <w:t>pero esto no ha impedido que se </w:t>
      </w:r>
      <w:r>
        <w:rPr>
          <w:color w:val="231F20"/>
          <w:spacing w:val="2"/>
          <w:w w:val="105"/>
        </w:rPr>
        <w:t>realicen </w:t>
      </w:r>
      <w:r>
        <w:rPr>
          <w:color w:val="231F20"/>
          <w:w w:val="105"/>
        </w:rPr>
        <w:t>obras conjuntas o que los habitantes obtengan beneficios en especie </w:t>
      </w:r>
      <w:r>
        <w:rPr>
          <w:color w:val="231F20"/>
          <w:spacing w:val="2"/>
          <w:w w:val="105"/>
        </w:rPr>
        <w:t>para </w:t>
      </w:r>
      <w:r>
        <w:rPr>
          <w:color w:val="231F20"/>
          <w:w w:val="105"/>
        </w:rPr>
        <w:t>la construcción, remodelación o mantenimiento de sus </w:t>
      </w:r>
      <w:r>
        <w:rPr>
          <w:color w:val="231F20"/>
          <w:spacing w:val="3"/>
          <w:w w:val="105"/>
        </w:rPr>
        <w:t>casas </w:t>
      </w:r>
      <w:r>
        <w:rPr>
          <w:color w:val="231F20"/>
          <w:w w:val="105"/>
        </w:rPr>
        <w:t>habitación o sus centros de</w:t>
      </w:r>
      <w:r>
        <w:rPr>
          <w:color w:val="231F20"/>
          <w:spacing w:val="38"/>
          <w:w w:val="105"/>
        </w:rPr>
        <w:t> </w:t>
      </w:r>
      <w:r>
        <w:rPr>
          <w:color w:val="231F20"/>
          <w:w w:val="105"/>
        </w:rPr>
        <w:t>reunión.</w:t>
      </w:r>
    </w:p>
    <w:p>
      <w:pPr>
        <w:pStyle w:val="BodyText"/>
        <w:spacing w:before="1"/>
        <w:rPr>
          <w:sz w:val="26"/>
        </w:rPr>
      </w:pPr>
    </w:p>
    <w:p>
      <w:pPr>
        <w:pStyle w:val="BodyText"/>
        <w:spacing w:line="285" w:lineRule="auto"/>
        <w:ind w:left="110" w:right="108"/>
        <w:jc w:val="both"/>
      </w:pP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ámbito</w:t>
      </w:r>
      <w:r>
        <w:rPr>
          <w:color w:val="231F20"/>
          <w:spacing w:val="-8"/>
          <w:w w:val="105"/>
        </w:rPr>
        <w:t> </w:t>
      </w:r>
      <w:r>
        <w:rPr>
          <w:color w:val="231F20"/>
          <w:w w:val="105"/>
        </w:rPr>
        <w:t>estatal,</w:t>
      </w:r>
      <w:r>
        <w:rPr>
          <w:color w:val="231F20"/>
          <w:spacing w:val="-8"/>
          <w:w w:val="105"/>
        </w:rPr>
        <w:t> </w:t>
      </w:r>
      <w:r>
        <w:rPr>
          <w:color w:val="231F20"/>
          <w:w w:val="105"/>
        </w:rPr>
        <w:t>el</w:t>
      </w:r>
      <w:r>
        <w:rPr>
          <w:color w:val="231F20"/>
          <w:spacing w:val="-8"/>
          <w:w w:val="105"/>
        </w:rPr>
        <w:t> </w:t>
      </w:r>
      <w:r>
        <w:rPr>
          <w:color w:val="231F20"/>
          <w:w w:val="105"/>
        </w:rPr>
        <w:t>partido</w:t>
      </w:r>
      <w:r>
        <w:rPr>
          <w:color w:val="231F20"/>
          <w:spacing w:val="-8"/>
          <w:w w:val="105"/>
        </w:rPr>
        <w:t> </w:t>
      </w:r>
      <w:r>
        <w:rPr>
          <w:color w:val="231F20"/>
          <w:w w:val="105"/>
        </w:rPr>
        <w:t>gobernante</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PRI,</w:t>
      </w:r>
      <w:r>
        <w:rPr>
          <w:color w:val="231F20"/>
          <w:spacing w:val="-8"/>
          <w:w w:val="105"/>
        </w:rPr>
        <w:t> </w:t>
      </w:r>
      <w:r>
        <w:rPr>
          <w:color w:val="231F20"/>
          <w:w w:val="105"/>
        </w:rPr>
        <w:t>y</w:t>
      </w:r>
      <w:r>
        <w:rPr>
          <w:color w:val="231F20"/>
          <w:spacing w:val="-8"/>
          <w:w w:val="105"/>
        </w:rPr>
        <w:t> </w:t>
      </w:r>
      <w:r>
        <w:rPr>
          <w:color w:val="231F20"/>
          <w:w w:val="105"/>
        </w:rPr>
        <w:t>aunque</w:t>
      </w:r>
      <w:r>
        <w:rPr>
          <w:color w:val="231F20"/>
          <w:spacing w:val="-8"/>
          <w:w w:val="105"/>
        </w:rPr>
        <w:t> </w:t>
      </w:r>
      <w:r>
        <w:rPr>
          <w:color w:val="231F20"/>
          <w:w w:val="105"/>
        </w:rPr>
        <w:t>no</w:t>
      </w:r>
      <w:r>
        <w:rPr>
          <w:color w:val="231F20"/>
          <w:spacing w:val="-8"/>
          <w:w w:val="105"/>
        </w:rPr>
        <w:t> </w:t>
      </w:r>
      <w:r>
        <w:rPr>
          <w:color w:val="231F20"/>
          <w:w w:val="105"/>
        </w:rPr>
        <w:t>haya</w:t>
      </w:r>
      <w:r>
        <w:rPr>
          <w:color w:val="231F20"/>
          <w:spacing w:val="-8"/>
          <w:w w:val="105"/>
        </w:rPr>
        <w:t> </w:t>
      </w:r>
      <w:r>
        <w:rPr>
          <w:color w:val="231F20"/>
          <w:w w:val="105"/>
        </w:rPr>
        <w:t>una</w:t>
      </w:r>
      <w:r>
        <w:rPr>
          <w:color w:val="231F20"/>
          <w:spacing w:val="-8"/>
          <w:w w:val="105"/>
        </w:rPr>
        <w:t> </w:t>
      </w:r>
      <w:r>
        <w:rPr>
          <w:color w:val="231F20"/>
          <w:w w:val="105"/>
        </w:rPr>
        <w:t>sólida</w:t>
      </w:r>
      <w:r>
        <w:rPr>
          <w:color w:val="231F20"/>
          <w:spacing w:val="-8"/>
          <w:w w:val="105"/>
        </w:rPr>
        <w:t> </w:t>
      </w:r>
      <w:r>
        <w:rPr>
          <w:color w:val="231F20"/>
          <w:w w:val="105"/>
        </w:rPr>
        <w:t>rela- ción, en materia de obras y apoyos a la comunidad, si se cumplen los requisitos no ha habido</w:t>
      </w:r>
      <w:r>
        <w:rPr>
          <w:color w:val="231F20"/>
          <w:spacing w:val="-15"/>
          <w:w w:val="105"/>
        </w:rPr>
        <w:t> </w:t>
      </w:r>
      <w:r>
        <w:rPr>
          <w:color w:val="231F20"/>
          <w:w w:val="105"/>
        </w:rPr>
        <w:t>negativas</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peticiones</w:t>
      </w:r>
      <w:r>
        <w:rPr>
          <w:color w:val="231F20"/>
          <w:spacing w:val="-15"/>
          <w:w w:val="105"/>
        </w:rPr>
        <w:t> </w:t>
      </w:r>
      <w:r>
        <w:rPr>
          <w:color w:val="231F20"/>
          <w:w w:val="105"/>
        </w:rPr>
        <w:t>y</w:t>
      </w:r>
      <w:r>
        <w:rPr>
          <w:color w:val="231F20"/>
          <w:spacing w:val="-15"/>
          <w:w w:val="105"/>
        </w:rPr>
        <w:t> </w:t>
      </w:r>
      <w:r>
        <w:rPr>
          <w:color w:val="231F20"/>
          <w:w w:val="105"/>
        </w:rPr>
        <w:t>rechazo</w:t>
      </w:r>
      <w:r>
        <w:rPr>
          <w:color w:val="231F20"/>
          <w:spacing w:val="-15"/>
          <w:w w:val="105"/>
        </w:rPr>
        <w:t> </w:t>
      </w:r>
      <w:r>
        <w:rPr>
          <w:color w:val="231F20"/>
          <w:w w:val="105"/>
        </w:rPr>
        <w:t>a</w:t>
      </w:r>
      <w:r>
        <w:rPr>
          <w:color w:val="231F20"/>
          <w:spacing w:val="-15"/>
          <w:w w:val="105"/>
        </w:rPr>
        <w:t> </w:t>
      </w:r>
      <w:r>
        <w:rPr>
          <w:color w:val="231F20"/>
          <w:w w:val="105"/>
        </w:rPr>
        <w:t>colaborar</w:t>
      </w:r>
      <w:r>
        <w:rPr>
          <w:color w:val="231F20"/>
          <w:spacing w:val="-15"/>
          <w:w w:val="105"/>
        </w:rPr>
        <w:t> </w:t>
      </w:r>
      <w:r>
        <w:rPr>
          <w:color w:val="231F20"/>
          <w:w w:val="105"/>
        </w:rPr>
        <w:t>con</w:t>
      </w:r>
      <w:r>
        <w:rPr>
          <w:color w:val="231F20"/>
          <w:spacing w:val="-15"/>
          <w:w w:val="105"/>
        </w:rPr>
        <w:t> </w:t>
      </w:r>
      <w:r>
        <w:rPr>
          <w:color w:val="231F20"/>
          <w:w w:val="105"/>
        </w:rPr>
        <w:t>los</w:t>
      </w:r>
      <w:r>
        <w:rPr>
          <w:color w:val="231F20"/>
          <w:spacing w:val="-15"/>
          <w:w w:val="105"/>
        </w:rPr>
        <w:t> </w:t>
      </w:r>
      <w:r>
        <w:rPr>
          <w:color w:val="231F20"/>
          <w:w w:val="105"/>
        </w:rPr>
        <w:t>programas</w:t>
      </w:r>
      <w:r>
        <w:rPr>
          <w:color w:val="231F20"/>
          <w:spacing w:val="-15"/>
          <w:w w:val="105"/>
        </w:rPr>
        <w:t> </w:t>
      </w:r>
      <w:r>
        <w:rPr>
          <w:color w:val="231F20"/>
          <w:w w:val="105"/>
        </w:rPr>
        <w:t>estatales.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La</w:t>
      </w:r>
      <w:r>
        <w:rPr>
          <w:color w:val="231F20"/>
          <w:spacing w:val="-12"/>
          <w:w w:val="105"/>
        </w:rPr>
        <w:t> </w:t>
      </w:r>
      <w:r>
        <w:rPr>
          <w:color w:val="231F20"/>
          <w:w w:val="105"/>
        </w:rPr>
        <w:t>relación</w:t>
      </w:r>
      <w:r>
        <w:rPr>
          <w:color w:val="231F20"/>
          <w:spacing w:val="-12"/>
          <w:w w:val="105"/>
        </w:rPr>
        <w:t> </w:t>
      </w:r>
      <w:r>
        <w:rPr>
          <w:color w:val="231F20"/>
          <w:w w:val="105"/>
        </w:rPr>
        <w:t>ha</w:t>
      </w:r>
      <w:r>
        <w:rPr>
          <w:color w:val="231F20"/>
          <w:spacing w:val="-12"/>
          <w:w w:val="105"/>
        </w:rPr>
        <w:t> </w:t>
      </w:r>
      <w:r>
        <w:rPr>
          <w:color w:val="231F20"/>
          <w:w w:val="105"/>
        </w:rPr>
        <w:t>sido</w:t>
      </w:r>
      <w:r>
        <w:rPr>
          <w:color w:val="231F20"/>
          <w:spacing w:val="-12"/>
          <w:w w:val="105"/>
        </w:rPr>
        <w:t> </w:t>
      </w:r>
      <w:r>
        <w:rPr>
          <w:color w:val="231F20"/>
          <w:w w:val="105"/>
        </w:rPr>
        <w:t>lo</w:t>
      </w:r>
      <w:r>
        <w:rPr>
          <w:color w:val="231F20"/>
          <w:spacing w:val="-12"/>
          <w:w w:val="105"/>
        </w:rPr>
        <w:t> </w:t>
      </w:r>
      <w:r>
        <w:rPr>
          <w:color w:val="231F20"/>
          <w:w w:val="105"/>
        </w:rPr>
        <w:t>más</w:t>
      </w:r>
      <w:r>
        <w:rPr>
          <w:color w:val="231F20"/>
          <w:spacing w:val="-12"/>
          <w:w w:val="105"/>
        </w:rPr>
        <w:t> </w:t>
      </w:r>
      <w:r>
        <w:rPr>
          <w:color w:val="231F20"/>
          <w:w w:val="105"/>
        </w:rPr>
        <w:t>cordial</w:t>
      </w:r>
      <w:r>
        <w:rPr>
          <w:color w:val="231F20"/>
          <w:spacing w:val="-12"/>
          <w:w w:val="105"/>
        </w:rPr>
        <w:t> </w:t>
      </w:r>
      <w:r>
        <w:rPr>
          <w:color w:val="231F20"/>
          <w:w w:val="105"/>
        </w:rPr>
        <w:t>posible,</w:t>
      </w:r>
      <w:r>
        <w:rPr>
          <w:color w:val="231F20"/>
          <w:spacing w:val="-12"/>
          <w:w w:val="105"/>
        </w:rPr>
        <w:t> </w:t>
      </w:r>
      <w:r>
        <w:rPr>
          <w:color w:val="231F20"/>
          <w:w w:val="105"/>
        </w:rPr>
        <w:t>a</w:t>
      </w:r>
      <w:r>
        <w:rPr>
          <w:color w:val="231F20"/>
          <w:spacing w:val="-12"/>
          <w:w w:val="105"/>
        </w:rPr>
        <w:t> </w:t>
      </w:r>
      <w:r>
        <w:rPr>
          <w:color w:val="231F20"/>
          <w:w w:val="105"/>
        </w:rPr>
        <w:t>pesar</w:t>
      </w:r>
      <w:r>
        <w:rPr>
          <w:color w:val="231F20"/>
          <w:spacing w:val="-12"/>
          <w:w w:val="105"/>
        </w:rPr>
        <w:t> </w:t>
      </w:r>
      <w:r>
        <w:rPr>
          <w:color w:val="231F20"/>
          <w:w w:val="105"/>
        </w:rPr>
        <w:t>que</w:t>
      </w:r>
      <w:r>
        <w:rPr>
          <w:color w:val="231F20"/>
          <w:spacing w:val="-12"/>
          <w:w w:val="105"/>
        </w:rPr>
        <w:t> </w:t>
      </w:r>
      <w:r>
        <w:rPr>
          <w:color w:val="231F20"/>
          <w:w w:val="105"/>
        </w:rPr>
        <w:t>somos</w:t>
      </w:r>
      <w:r>
        <w:rPr>
          <w:color w:val="231F20"/>
          <w:spacing w:val="-12"/>
          <w:w w:val="105"/>
        </w:rPr>
        <w:t> </w:t>
      </w:r>
      <w:r>
        <w:rPr>
          <w:color w:val="231F20"/>
          <w:w w:val="105"/>
        </w:rPr>
        <w:t>de</w:t>
      </w:r>
      <w:r>
        <w:rPr>
          <w:color w:val="231F20"/>
          <w:spacing w:val="-12"/>
          <w:w w:val="105"/>
        </w:rPr>
        <w:t> </w:t>
      </w:r>
      <w:r>
        <w:rPr>
          <w:color w:val="231F20"/>
          <w:w w:val="105"/>
        </w:rPr>
        <w:t>diferente</w:t>
      </w:r>
      <w:r>
        <w:rPr>
          <w:color w:val="231F20"/>
          <w:spacing w:val="-12"/>
          <w:w w:val="105"/>
        </w:rPr>
        <w:t> </w:t>
      </w:r>
      <w:r>
        <w:rPr>
          <w:color w:val="231F20"/>
          <w:spacing w:val="-4"/>
          <w:w w:val="105"/>
        </w:rPr>
        <w:t>color,</w:t>
      </w:r>
      <w:r>
        <w:rPr>
          <w:color w:val="231F20"/>
          <w:spacing w:val="-12"/>
          <w:w w:val="105"/>
        </w:rPr>
        <w:t> </w:t>
      </w:r>
      <w:r>
        <w:rPr>
          <w:color w:val="231F20"/>
          <w:w w:val="105"/>
        </w:rPr>
        <w:t>porque en gran medida ha contado la actitud de su servidor. </w:t>
      </w:r>
      <w:r>
        <w:rPr>
          <w:color w:val="231F20"/>
          <w:spacing w:val="2"/>
          <w:w w:val="105"/>
        </w:rPr>
        <w:t>Allá </w:t>
      </w:r>
      <w:r>
        <w:rPr>
          <w:color w:val="231F20"/>
          <w:w w:val="105"/>
        </w:rPr>
        <w:t>en Ozumba, cuando nos ha tocado recibir apoyos del diputado, que se hacen en eventos masivos, el municipio </w:t>
      </w:r>
      <w:r>
        <w:rPr>
          <w:color w:val="231F20"/>
          <w:spacing w:val="2"/>
          <w:w w:val="105"/>
        </w:rPr>
        <w:t>al </w:t>
      </w:r>
      <w:r>
        <w:rPr>
          <w:color w:val="231F20"/>
          <w:w w:val="105"/>
        </w:rPr>
        <w:t>que</w:t>
      </w:r>
      <w:r>
        <w:rPr>
          <w:color w:val="231F20"/>
          <w:spacing w:val="-17"/>
          <w:w w:val="105"/>
        </w:rPr>
        <w:t> </w:t>
      </w:r>
      <w:r>
        <w:rPr>
          <w:color w:val="231F20"/>
          <w:w w:val="105"/>
        </w:rPr>
        <w:t>más</w:t>
      </w:r>
      <w:r>
        <w:rPr>
          <w:color w:val="231F20"/>
          <w:spacing w:val="-17"/>
          <w:w w:val="105"/>
        </w:rPr>
        <w:t> </w:t>
      </w:r>
      <w:r>
        <w:rPr>
          <w:color w:val="231F20"/>
          <w:w w:val="105"/>
        </w:rPr>
        <w:t>apoya</w:t>
      </w:r>
      <w:r>
        <w:rPr>
          <w:color w:val="231F20"/>
          <w:spacing w:val="-17"/>
          <w:w w:val="105"/>
        </w:rPr>
        <w:t> </w:t>
      </w:r>
      <w:r>
        <w:rPr>
          <w:color w:val="231F20"/>
          <w:w w:val="105"/>
        </w:rPr>
        <w:t>es</w:t>
      </w:r>
      <w:r>
        <w:rPr>
          <w:color w:val="231F20"/>
          <w:spacing w:val="-17"/>
          <w:w w:val="105"/>
        </w:rPr>
        <w:t> </w:t>
      </w:r>
      <w:r>
        <w:rPr>
          <w:color w:val="231F20"/>
          <w:w w:val="105"/>
        </w:rPr>
        <w:t>Atlautla,</w:t>
      </w:r>
      <w:r>
        <w:rPr>
          <w:color w:val="231F20"/>
          <w:spacing w:val="-17"/>
          <w:w w:val="105"/>
        </w:rPr>
        <w:t> </w:t>
      </w:r>
      <w:r>
        <w:rPr>
          <w:color w:val="231F20"/>
          <w:w w:val="105"/>
        </w:rPr>
        <w:t>entonces</w:t>
      </w:r>
      <w:r>
        <w:rPr>
          <w:color w:val="231F20"/>
          <w:spacing w:val="-17"/>
          <w:w w:val="105"/>
        </w:rPr>
        <w:t> </w:t>
      </w:r>
      <w:r>
        <w:rPr>
          <w:color w:val="231F20"/>
          <w:w w:val="105"/>
        </w:rPr>
        <w:t>es</w:t>
      </w:r>
      <w:r>
        <w:rPr>
          <w:color w:val="231F20"/>
          <w:spacing w:val="-17"/>
          <w:w w:val="105"/>
        </w:rPr>
        <w:t> </w:t>
      </w:r>
      <w:r>
        <w:rPr>
          <w:color w:val="231F20"/>
          <w:w w:val="105"/>
        </w:rPr>
        <w:t>una</w:t>
      </w:r>
      <w:r>
        <w:rPr>
          <w:color w:val="231F20"/>
          <w:spacing w:val="-17"/>
          <w:w w:val="105"/>
        </w:rPr>
        <w:t> </w:t>
      </w:r>
      <w:r>
        <w:rPr>
          <w:color w:val="231F20"/>
          <w:w w:val="105"/>
        </w:rPr>
        <w:t>muestra</w:t>
      </w:r>
      <w:r>
        <w:rPr>
          <w:color w:val="231F20"/>
          <w:spacing w:val="-17"/>
          <w:w w:val="105"/>
        </w:rPr>
        <w:t> </w:t>
      </w:r>
      <w:r>
        <w:rPr>
          <w:color w:val="231F20"/>
          <w:w w:val="105"/>
        </w:rPr>
        <w:t>clara</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hay</w:t>
      </w:r>
      <w:r>
        <w:rPr>
          <w:color w:val="231F20"/>
          <w:spacing w:val="-17"/>
          <w:w w:val="105"/>
        </w:rPr>
        <w:t> </w:t>
      </w:r>
      <w:r>
        <w:rPr>
          <w:color w:val="231F20"/>
          <w:w w:val="105"/>
        </w:rPr>
        <w:t>congruencia.</w:t>
      </w:r>
      <w:r>
        <w:rPr>
          <w:color w:val="231F20"/>
          <w:spacing w:val="-17"/>
          <w:w w:val="105"/>
        </w:rPr>
        <w:t> </w:t>
      </w:r>
      <w:r>
        <w:rPr>
          <w:color w:val="231F20"/>
          <w:w w:val="105"/>
        </w:rPr>
        <w:t>Y</w:t>
      </w:r>
      <w:r>
        <w:rPr>
          <w:color w:val="231F20"/>
          <w:spacing w:val="-17"/>
          <w:w w:val="105"/>
        </w:rPr>
        <w:t> </w:t>
      </w:r>
      <w:r>
        <w:rPr>
          <w:color w:val="231F20"/>
          <w:w w:val="105"/>
        </w:rPr>
        <w:t>del gobierno</w:t>
      </w:r>
      <w:r>
        <w:rPr>
          <w:color w:val="231F20"/>
          <w:spacing w:val="-15"/>
          <w:w w:val="105"/>
        </w:rPr>
        <w:t> </w:t>
      </w:r>
      <w:r>
        <w:rPr>
          <w:color w:val="231F20"/>
          <w:w w:val="105"/>
        </w:rPr>
        <w:t>estatal,</w:t>
      </w:r>
      <w:r>
        <w:rPr>
          <w:color w:val="231F20"/>
          <w:spacing w:val="-15"/>
          <w:w w:val="105"/>
        </w:rPr>
        <w:t> </w:t>
      </w:r>
      <w:r>
        <w:rPr>
          <w:color w:val="231F20"/>
          <w:w w:val="105"/>
        </w:rPr>
        <w:t>la</w:t>
      </w:r>
      <w:r>
        <w:rPr>
          <w:color w:val="231F20"/>
          <w:spacing w:val="-15"/>
          <w:w w:val="105"/>
        </w:rPr>
        <w:t> </w:t>
      </w:r>
      <w:r>
        <w:rPr>
          <w:color w:val="231F20"/>
          <w:w w:val="105"/>
        </w:rPr>
        <w:t>verdad,</w:t>
      </w:r>
      <w:r>
        <w:rPr>
          <w:color w:val="231F20"/>
          <w:spacing w:val="-15"/>
          <w:w w:val="105"/>
        </w:rPr>
        <w:t> </w:t>
      </w:r>
      <w:r>
        <w:rPr>
          <w:color w:val="231F20"/>
          <w:w w:val="105"/>
        </w:rPr>
        <w:t>yo</w:t>
      </w:r>
      <w:r>
        <w:rPr>
          <w:color w:val="231F20"/>
          <w:spacing w:val="-15"/>
          <w:w w:val="105"/>
        </w:rPr>
        <w:t> </w:t>
      </w:r>
      <w:r>
        <w:rPr>
          <w:color w:val="231F20"/>
          <w:w w:val="105"/>
        </w:rPr>
        <w:t>quiero</w:t>
      </w:r>
      <w:r>
        <w:rPr>
          <w:color w:val="231F20"/>
          <w:spacing w:val="-15"/>
          <w:w w:val="105"/>
        </w:rPr>
        <w:t> </w:t>
      </w:r>
      <w:r>
        <w:rPr>
          <w:color w:val="231F20"/>
          <w:w w:val="105"/>
        </w:rPr>
        <w:t>pensar</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falta</w:t>
      </w:r>
      <w:r>
        <w:rPr>
          <w:color w:val="231F20"/>
          <w:spacing w:val="-15"/>
          <w:w w:val="105"/>
        </w:rPr>
        <w:t> </w:t>
      </w:r>
      <w:r>
        <w:rPr>
          <w:color w:val="231F20"/>
          <w:w w:val="105"/>
        </w:rPr>
        <w:t>de</w:t>
      </w:r>
      <w:r>
        <w:rPr>
          <w:color w:val="231F20"/>
          <w:spacing w:val="-15"/>
          <w:w w:val="105"/>
        </w:rPr>
        <w:t> </w:t>
      </w:r>
      <w:r>
        <w:rPr>
          <w:color w:val="231F20"/>
          <w:w w:val="105"/>
        </w:rPr>
        <w:t>apoyo</w:t>
      </w:r>
      <w:r>
        <w:rPr>
          <w:color w:val="231F20"/>
          <w:spacing w:val="-15"/>
          <w:w w:val="105"/>
        </w:rPr>
        <w:t> </w:t>
      </w:r>
      <w:r>
        <w:rPr>
          <w:color w:val="231F20"/>
          <w:w w:val="105"/>
        </w:rPr>
        <w:t>extra</w:t>
      </w:r>
      <w:r>
        <w:rPr>
          <w:color w:val="231F20"/>
          <w:spacing w:val="-15"/>
          <w:w w:val="105"/>
        </w:rPr>
        <w:t> </w:t>
      </w:r>
      <w:r>
        <w:rPr>
          <w:color w:val="231F20"/>
          <w:w w:val="105"/>
        </w:rPr>
        <w:t>ha</w:t>
      </w:r>
      <w:r>
        <w:rPr>
          <w:color w:val="231F20"/>
          <w:spacing w:val="-15"/>
          <w:w w:val="105"/>
        </w:rPr>
        <w:t> </w:t>
      </w:r>
      <w:r>
        <w:rPr>
          <w:color w:val="231F20"/>
          <w:w w:val="105"/>
        </w:rPr>
        <w:t>sido</w:t>
      </w:r>
      <w:r>
        <w:rPr>
          <w:color w:val="231F20"/>
          <w:spacing w:val="-15"/>
          <w:w w:val="105"/>
        </w:rPr>
        <w:t> </w:t>
      </w:r>
      <w:r>
        <w:rPr>
          <w:color w:val="231F20"/>
          <w:w w:val="105"/>
        </w:rPr>
        <w:t>por</w:t>
      </w:r>
      <w:r>
        <w:rPr>
          <w:color w:val="231F20"/>
          <w:spacing w:val="-15"/>
          <w:w w:val="105"/>
        </w:rPr>
        <w:t> </w:t>
      </w:r>
      <w:r>
        <w:rPr>
          <w:color w:val="231F20"/>
          <w:w w:val="105"/>
        </w:rPr>
        <w:t>falta de</w:t>
      </w:r>
      <w:r>
        <w:rPr>
          <w:color w:val="231F20"/>
          <w:spacing w:val="-12"/>
          <w:w w:val="105"/>
        </w:rPr>
        <w:t> </w:t>
      </w:r>
      <w:r>
        <w:rPr>
          <w:color w:val="231F20"/>
          <w:w w:val="105"/>
        </w:rPr>
        <w:t>recursos,</w:t>
      </w:r>
      <w:r>
        <w:rPr>
          <w:color w:val="231F20"/>
          <w:spacing w:val="-12"/>
          <w:w w:val="105"/>
        </w:rPr>
        <w:t> </w:t>
      </w:r>
      <w:r>
        <w:rPr>
          <w:color w:val="231F20"/>
          <w:w w:val="105"/>
        </w:rPr>
        <w:t>no</w:t>
      </w:r>
      <w:r>
        <w:rPr>
          <w:color w:val="231F20"/>
          <w:spacing w:val="-12"/>
          <w:w w:val="105"/>
        </w:rPr>
        <w:t> </w:t>
      </w:r>
      <w:r>
        <w:rPr>
          <w:color w:val="231F20"/>
          <w:w w:val="105"/>
        </w:rPr>
        <w:t>porque</w:t>
      </w:r>
      <w:r>
        <w:rPr>
          <w:color w:val="231F20"/>
          <w:spacing w:val="-12"/>
          <w:w w:val="105"/>
        </w:rPr>
        <w:t> </w:t>
      </w:r>
      <w:r>
        <w:rPr>
          <w:color w:val="231F20"/>
          <w:w w:val="105"/>
        </w:rPr>
        <w:t>Atlautla</w:t>
      </w:r>
      <w:r>
        <w:rPr>
          <w:color w:val="231F20"/>
          <w:spacing w:val="-12"/>
          <w:w w:val="105"/>
        </w:rPr>
        <w:t> </w:t>
      </w:r>
      <w:r>
        <w:rPr>
          <w:color w:val="231F20"/>
          <w:w w:val="105"/>
        </w:rPr>
        <w:t>sea</w:t>
      </w:r>
      <w:r>
        <w:rPr>
          <w:color w:val="231F20"/>
          <w:spacing w:val="-12"/>
          <w:w w:val="105"/>
        </w:rPr>
        <w:t> </w:t>
      </w:r>
      <w:r>
        <w:rPr>
          <w:color w:val="231F20"/>
          <w:w w:val="105"/>
        </w:rPr>
        <w:t>panista</w:t>
      </w:r>
      <w:r>
        <w:rPr>
          <w:color w:val="231F20"/>
          <w:spacing w:val="-12"/>
          <w:w w:val="105"/>
        </w:rPr>
        <w:t> </w:t>
      </w:r>
      <w:r>
        <w:rPr>
          <w:color w:val="231F20"/>
          <w:w w:val="105"/>
        </w:rPr>
        <w:t>(Navarro,</w:t>
      </w:r>
      <w:r>
        <w:rPr>
          <w:color w:val="231F20"/>
          <w:spacing w:val="-12"/>
          <w:w w:val="105"/>
        </w:rPr>
        <w:t> </w:t>
      </w:r>
      <w:r>
        <w:rPr>
          <w:color w:val="231F20"/>
          <w:w w:val="105"/>
        </w:rPr>
        <w:t>2008)</w:t>
      </w:r>
    </w:p>
    <w:p>
      <w:pPr>
        <w:pStyle w:val="BodyText"/>
        <w:spacing w:before="1"/>
        <w:rPr>
          <w:sz w:val="26"/>
        </w:rPr>
      </w:pPr>
    </w:p>
    <w:p>
      <w:pPr>
        <w:pStyle w:val="BodyText"/>
        <w:spacing w:line="285" w:lineRule="auto"/>
        <w:ind w:left="110" w:right="108"/>
        <w:jc w:val="both"/>
      </w:pPr>
      <w:r>
        <w:rPr>
          <w:color w:val="231F20"/>
          <w:w w:val="105"/>
        </w:rPr>
        <w:t>Actualmente se está construyendo en el municipio una obra con apoyo del gobierno estatal que beneficiará no solo a los habitantes de Atlautla, sino también a los del mu- nicipio de Ozumba.</w:t>
      </w:r>
    </w:p>
    <w:p>
      <w:pPr>
        <w:pStyle w:val="BodyText"/>
        <w:spacing w:line="285" w:lineRule="auto" w:before="1"/>
        <w:ind w:left="677" w:right="107"/>
        <w:jc w:val="both"/>
      </w:pPr>
      <w:r>
        <w:rPr>
          <w:color w:val="231F20"/>
          <w:w w:val="105"/>
        </w:rPr>
        <w:t>Dio inicio la construcción del puente vehicular las </w:t>
      </w:r>
      <w:r>
        <w:rPr>
          <w:color w:val="231F20"/>
          <w:spacing w:val="-3"/>
          <w:w w:val="105"/>
        </w:rPr>
        <w:t>Vías-Xico </w:t>
      </w:r>
      <w:r>
        <w:rPr>
          <w:color w:val="231F20"/>
          <w:w w:val="105"/>
        </w:rPr>
        <w:t>que beneficiará la población</w:t>
      </w:r>
      <w:r>
        <w:rPr>
          <w:color w:val="231F20"/>
          <w:spacing w:val="-15"/>
          <w:w w:val="105"/>
        </w:rPr>
        <w:t> </w:t>
      </w:r>
      <w:r>
        <w:rPr>
          <w:color w:val="231F20"/>
          <w:w w:val="105"/>
        </w:rPr>
        <w:t>de</w:t>
      </w:r>
      <w:r>
        <w:rPr>
          <w:color w:val="231F20"/>
          <w:spacing w:val="-15"/>
          <w:w w:val="105"/>
        </w:rPr>
        <w:t> </w:t>
      </w:r>
      <w:r>
        <w:rPr>
          <w:color w:val="231F20"/>
          <w:w w:val="105"/>
        </w:rPr>
        <w:t>Atlautla</w:t>
      </w:r>
      <w:r>
        <w:rPr>
          <w:color w:val="231F20"/>
          <w:spacing w:val="-15"/>
          <w:w w:val="105"/>
        </w:rPr>
        <w:t> </w:t>
      </w:r>
      <w:r>
        <w:rPr>
          <w:color w:val="231F20"/>
          <w:w w:val="105"/>
        </w:rPr>
        <w:t>y</w:t>
      </w:r>
      <w:r>
        <w:rPr>
          <w:color w:val="231F20"/>
          <w:spacing w:val="-15"/>
          <w:w w:val="105"/>
        </w:rPr>
        <w:t> </w:t>
      </w:r>
      <w:r>
        <w:rPr>
          <w:color w:val="231F20"/>
          <w:w w:val="105"/>
        </w:rPr>
        <w:t>Ozumba,</w:t>
      </w:r>
      <w:r>
        <w:rPr>
          <w:color w:val="231F20"/>
          <w:spacing w:val="-15"/>
          <w:w w:val="105"/>
        </w:rPr>
        <w:t> </w:t>
      </w:r>
      <w:r>
        <w:rPr>
          <w:color w:val="231F20"/>
          <w:w w:val="105"/>
        </w:rPr>
        <w:t>obra</w:t>
      </w:r>
      <w:r>
        <w:rPr>
          <w:color w:val="231F20"/>
          <w:spacing w:val="-15"/>
          <w:w w:val="105"/>
        </w:rPr>
        <w:t> </w:t>
      </w:r>
      <w:r>
        <w:rPr>
          <w:color w:val="231F20"/>
          <w:w w:val="105"/>
        </w:rPr>
        <w:t>realizada</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gestión</w:t>
      </w:r>
      <w:r>
        <w:rPr>
          <w:color w:val="231F20"/>
          <w:spacing w:val="-15"/>
          <w:w w:val="105"/>
        </w:rPr>
        <w:t> </w:t>
      </w:r>
      <w:r>
        <w:rPr>
          <w:color w:val="231F20"/>
          <w:w w:val="105"/>
        </w:rPr>
        <w:t>del</w:t>
      </w:r>
      <w:r>
        <w:rPr>
          <w:color w:val="231F20"/>
          <w:spacing w:val="-15"/>
          <w:w w:val="105"/>
        </w:rPr>
        <w:t> </w:t>
      </w:r>
      <w:r>
        <w:rPr>
          <w:color w:val="231F20"/>
          <w:w w:val="105"/>
        </w:rPr>
        <w:t>presidente</w:t>
      </w:r>
      <w:r>
        <w:rPr>
          <w:color w:val="231F20"/>
          <w:spacing w:val="-15"/>
          <w:w w:val="105"/>
        </w:rPr>
        <w:t> </w:t>
      </w:r>
      <w:r>
        <w:rPr>
          <w:color w:val="231F20"/>
          <w:spacing w:val="-3"/>
          <w:w w:val="105"/>
        </w:rPr>
        <w:t>mu- </w:t>
      </w:r>
      <w:r>
        <w:rPr>
          <w:color w:val="231F20"/>
          <w:w w:val="105"/>
        </w:rPr>
        <w:t>nicipal y su equipo de trabajo ante la instancia federal. El alcalde Raúl Navarro Rivera</w:t>
      </w:r>
      <w:r>
        <w:rPr>
          <w:color w:val="231F20"/>
          <w:spacing w:val="-19"/>
          <w:w w:val="105"/>
        </w:rPr>
        <w:t> </w:t>
      </w:r>
      <w:r>
        <w:rPr>
          <w:color w:val="231F20"/>
          <w:w w:val="105"/>
        </w:rPr>
        <w:t>dijo:</w:t>
      </w:r>
      <w:r>
        <w:rPr>
          <w:color w:val="231F20"/>
          <w:spacing w:val="-19"/>
          <w:w w:val="105"/>
        </w:rPr>
        <w:t> </w:t>
      </w:r>
      <w:r>
        <w:rPr>
          <w:color w:val="231F20"/>
          <w:w w:val="105"/>
        </w:rPr>
        <w:t>“Se</w:t>
      </w:r>
      <w:r>
        <w:rPr>
          <w:color w:val="231F20"/>
          <w:spacing w:val="-19"/>
          <w:w w:val="105"/>
        </w:rPr>
        <w:t> </w:t>
      </w:r>
      <w:r>
        <w:rPr>
          <w:color w:val="231F20"/>
          <w:w w:val="105"/>
        </w:rPr>
        <w:t>nos</w:t>
      </w:r>
      <w:r>
        <w:rPr>
          <w:color w:val="231F20"/>
          <w:spacing w:val="-19"/>
          <w:w w:val="105"/>
        </w:rPr>
        <w:t> </w:t>
      </w:r>
      <w:r>
        <w:rPr>
          <w:color w:val="231F20"/>
          <w:w w:val="105"/>
        </w:rPr>
        <w:t>está</w:t>
      </w:r>
      <w:r>
        <w:rPr>
          <w:color w:val="231F20"/>
          <w:spacing w:val="-19"/>
          <w:w w:val="105"/>
        </w:rPr>
        <w:t> </w:t>
      </w:r>
      <w:r>
        <w:rPr>
          <w:color w:val="231F20"/>
          <w:w w:val="105"/>
        </w:rPr>
        <w:t>apoyando</w:t>
      </w:r>
      <w:r>
        <w:rPr>
          <w:color w:val="231F20"/>
          <w:spacing w:val="-19"/>
          <w:w w:val="105"/>
        </w:rPr>
        <w:t> </w:t>
      </w:r>
      <w:r>
        <w:rPr>
          <w:color w:val="231F20"/>
          <w:w w:val="105"/>
        </w:rPr>
        <w:t>con</w:t>
      </w:r>
      <w:r>
        <w:rPr>
          <w:color w:val="231F20"/>
          <w:spacing w:val="-19"/>
          <w:w w:val="105"/>
        </w:rPr>
        <w:t> </w:t>
      </w:r>
      <w:r>
        <w:rPr>
          <w:color w:val="231F20"/>
          <w:w w:val="105"/>
        </w:rPr>
        <w:t>recursos</w:t>
      </w:r>
      <w:r>
        <w:rPr>
          <w:color w:val="231F20"/>
          <w:spacing w:val="-19"/>
          <w:w w:val="105"/>
        </w:rPr>
        <w:t> </w:t>
      </w:r>
      <w:r>
        <w:rPr>
          <w:color w:val="231F20"/>
          <w:w w:val="105"/>
        </w:rPr>
        <w:t>de</w:t>
      </w:r>
      <w:r>
        <w:rPr>
          <w:color w:val="231F20"/>
          <w:spacing w:val="-19"/>
          <w:w w:val="105"/>
        </w:rPr>
        <w:t> </w:t>
      </w:r>
      <w:r>
        <w:rPr>
          <w:color w:val="231F20"/>
          <w:w w:val="105"/>
        </w:rPr>
        <w:t>programas</w:t>
      </w:r>
      <w:r>
        <w:rPr>
          <w:color w:val="231F20"/>
          <w:spacing w:val="-19"/>
          <w:w w:val="105"/>
        </w:rPr>
        <w:t> </w:t>
      </w:r>
      <w:r>
        <w:rPr>
          <w:color w:val="231F20"/>
          <w:w w:val="105"/>
        </w:rPr>
        <w:t>federales</w:t>
      </w:r>
      <w:r>
        <w:rPr>
          <w:color w:val="231F20"/>
          <w:spacing w:val="-19"/>
          <w:w w:val="105"/>
        </w:rPr>
        <w:t> </w:t>
      </w:r>
      <w:r>
        <w:rPr>
          <w:color w:val="231F20"/>
          <w:w w:val="105"/>
        </w:rPr>
        <w:t>como</w:t>
      </w:r>
      <w:r>
        <w:rPr>
          <w:color w:val="231F20"/>
          <w:spacing w:val="-19"/>
          <w:w w:val="105"/>
        </w:rPr>
        <w:t> </w:t>
      </w:r>
      <w:r>
        <w:rPr>
          <w:color w:val="231F20"/>
          <w:spacing w:val="-4"/>
          <w:w w:val="105"/>
        </w:rPr>
        <w:t>“es </w:t>
      </w:r>
      <w:r>
        <w:rPr>
          <w:color w:val="231F20"/>
          <w:w w:val="105"/>
        </w:rPr>
        <w:t>pie</w:t>
      </w:r>
      <w:r>
        <w:rPr>
          <w:color w:val="231F20"/>
          <w:spacing w:val="-27"/>
          <w:w w:val="105"/>
        </w:rPr>
        <w:t> </w:t>
      </w:r>
      <w:r>
        <w:rPr>
          <w:color w:val="231F20"/>
          <w:w w:val="105"/>
        </w:rPr>
        <w:t>de</w:t>
      </w:r>
      <w:r>
        <w:rPr>
          <w:color w:val="231F20"/>
          <w:spacing w:val="-27"/>
          <w:w w:val="105"/>
        </w:rPr>
        <w:t> </w:t>
      </w:r>
      <w:r>
        <w:rPr>
          <w:color w:val="231F20"/>
          <w:w w:val="105"/>
        </w:rPr>
        <w:t>casa.</w:t>
      </w:r>
      <w:r>
        <w:rPr>
          <w:color w:val="231F20"/>
          <w:spacing w:val="-27"/>
          <w:w w:val="105"/>
        </w:rPr>
        <w:t> </w:t>
      </w:r>
      <w:r>
        <w:rPr>
          <w:color w:val="231F20"/>
          <w:w w:val="105"/>
        </w:rPr>
        <w:t>(Presidencia</w:t>
      </w:r>
      <w:r>
        <w:rPr>
          <w:color w:val="231F20"/>
          <w:spacing w:val="-27"/>
          <w:w w:val="105"/>
        </w:rPr>
        <w:t> </w:t>
      </w:r>
      <w:r>
        <w:rPr>
          <w:color w:val="231F20"/>
          <w:w w:val="105"/>
        </w:rPr>
        <w:t>Municipal,</w:t>
      </w:r>
      <w:r>
        <w:rPr>
          <w:color w:val="231F20"/>
          <w:spacing w:val="-27"/>
          <w:w w:val="105"/>
        </w:rPr>
        <w:t> </w:t>
      </w:r>
      <w:r>
        <w:rPr>
          <w:color w:val="231F20"/>
          <w:w w:val="105"/>
        </w:rPr>
        <w:t>2009)</w:t>
      </w:r>
    </w:p>
    <w:p>
      <w:pPr>
        <w:pStyle w:val="BodyText"/>
        <w:spacing w:before="2"/>
        <w:rPr>
          <w:sz w:val="20"/>
        </w:rPr>
      </w:pPr>
    </w:p>
    <w:p>
      <w:pPr>
        <w:pStyle w:val="Heading4"/>
        <w:rPr>
          <w:i/>
        </w:rPr>
      </w:pPr>
      <w:r>
        <w:rPr>
          <w:i/>
          <w:color w:val="231F20"/>
        </w:rPr>
        <w:t>Conclusiones</w:t>
      </w:r>
    </w:p>
    <w:p>
      <w:pPr>
        <w:pStyle w:val="BodyText"/>
        <w:spacing w:line="285" w:lineRule="auto" w:before="17"/>
        <w:ind w:left="110" w:right="107"/>
        <w:jc w:val="both"/>
      </w:pPr>
      <w:r>
        <w:rPr>
          <w:color w:val="231F20"/>
          <w:w w:val="105"/>
        </w:rPr>
        <w:t>Como puede observarse a lo largo del trabajo, el desempeño de este ayuntamiento está enmarcado en un proyecto personal, pues si bien sigue los principios básicos del Partido Acción Nacional (centrados en el humanismo) el presidente municipal le ha impregnado su sello personal:</w:t>
      </w:r>
    </w:p>
    <w:p>
      <w:pPr>
        <w:pStyle w:val="BodyText"/>
        <w:spacing w:line="285" w:lineRule="auto" w:before="1"/>
        <w:ind w:left="677" w:right="107"/>
        <w:jc w:val="both"/>
      </w:pPr>
      <w:r>
        <w:rPr>
          <w:color w:val="231F20"/>
          <w:w w:val="105"/>
        </w:rPr>
        <w:t>…todas</w:t>
      </w:r>
      <w:r>
        <w:rPr>
          <w:color w:val="231F20"/>
          <w:spacing w:val="-10"/>
          <w:w w:val="105"/>
        </w:rPr>
        <w:t> </w:t>
      </w:r>
      <w:r>
        <w:rPr>
          <w:color w:val="231F20"/>
          <w:w w:val="105"/>
        </w:rPr>
        <w:t>las</w:t>
      </w:r>
      <w:r>
        <w:rPr>
          <w:color w:val="231F20"/>
          <w:spacing w:val="-10"/>
          <w:w w:val="105"/>
        </w:rPr>
        <w:t> </w:t>
      </w:r>
      <w:r>
        <w:rPr>
          <w:color w:val="231F20"/>
          <w:w w:val="105"/>
        </w:rPr>
        <w:t>acciones</w:t>
      </w:r>
      <w:r>
        <w:rPr>
          <w:color w:val="231F20"/>
          <w:spacing w:val="-10"/>
          <w:w w:val="105"/>
        </w:rPr>
        <w:t> </w:t>
      </w:r>
      <w:r>
        <w:rPr>
          <w:color w:val="231F20"/>
          <w:w w:val="105"/>
        </w:rPr>
        <w:t>que</w:t>
      </w:r>
      <w:r>
        <w:rPr>
          <w:color w:val="231F20"/>
          <w:spacing w:val="-10"/>
          <w:w w:val="105"/>
        </w:rPr>
        <w:t> </w:t>
      </w:r>
      <w:r>
        <w:rPr>
          <w:color w:val="231F20"/>
          <w:w w:val="105"/>
        </w:rPr>
        <w:t>nosotros</w:t>
      </w:r>
      <w:r>
        <w:rPr>
          <w:color w:val="231F20"/>
          <w:spacing w:val="-10"/>
          <w:w w:val="105"/>
        </w:rPr>
        <w:t> </w:t>
      </w:r>
      <w:r>
        <w:rPr>
          <w:color w:val="231F20"/>
          <w:w w:val="105"/>
        </w:rPr>
        <w:t>hacemos,</w:t>
      </w:r>
      <w:r>
        <w:rPr>
          <w:color w:val="231F20"/>
          <w:spacing w:val="-10"/>
          <w:w w:val="105"/>
        </w:rPr>
        <w:t> </w:t>
      </w:r>
      <w:r>
        <w:rPr>
          <w:color w:val="231F20"/>
          <w:w w:val="105"/>
        </w:rPr>
        <w:t>están</w:t>
      </w:r>
      <w:r>
        <w:rPr>
          <w:color w:val="231F20"/>
          <w:spacing w:val="-10"/>
          <w:w w:val="105"/>
        </w:rPr>
        <w:t> </w:t>
      </w:r>
      <w:r>
        <w:rPr>
          <w:color w:val="231F20"/>
          <w:w w:val="105"/>
        </w:rPr>
        <w:t>de</w:t>
      </w:r>
      <w:r>
        <w:rPr>
          <w:color w:val="231F20"/>
          <w:spacing w:val="-10"/>
          <w:w w:val="105"/>
        </w:rPr>
        <w:t> </w:t>
      </w:r>
      <w:r>
        <w:rPr>
          <w:color w:val="231F20"/>
          <w:w w:val="105"/>
        </w:rPr>
        <w:t>acuerdo</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doctrina,</w:t>
      </w:r>
      <w:r>
        <w:rPr>
          <w:color w:val="231F20"/>
          <w:spacing w:val="-10"/>
          <w:w w:val="105"/>
        </w:rPr>
        <w:t> </w:t>
      </w:r>
      <w:r>
        <w:rPr>
          <w:color w:val="231F20"/>
          <w:w w:val="105"/>
        </w:rPr>
        <w:t>los estatutos</w:t>
      </w:r>
      <w:r>
        <w:rPr>
          <w:color w:val="231F20"/>
          <w:spacing w:val="-11"/>
          <w:w w:val="105"/>
        </w:rPr>
        <w:t> </w:t>
      </w:r>
      <w:r>
        <w:rPr>
          <w:color w:val="231F20"/>
          <w:w w:val="105"/>
        </w:rPr>
        <w:t>del</w:t>
      </w:r>
      <w:r>
        <w:rPr>
          <w:color w:val="231F20"/>
          <w:spacing w:val="-11"/>
          <w:w w:val="105"/>
        </w:rPr>
        <w:t> </w:t>
      </w:r>
      <w:r>
        <w:rPr>
          <w:color w:val="231F20"/>
          <w:w w:val="105"/>
        </w:rPr>
        <w:t>partido</w:t>
      </w:r>
      <w:r>
        <w:rPr>
          <w:color w:val="231F20"/>
          <w:spacing w:val="-11"/>
          <w:w w:val="105"/>
        </w:rPr>
        <w:t> </w:t>
      </w:r>
      <w:r>
        <w:rPr>
          <w:color w:val="231F20"/>
          <w:w w:val="105"/>
        </w:rPr>
        <w:t>y</w:t>
      </w:r>
      <w:r>
        <w:rPr>
          <w:color w:val="231F20"/>
          <w:spacing w:val="-11"/>
          <w:w w:val="105"/>
        </w:rPr>
        <w:t> </w:t>
      </w:r>
      <w:r>
        <w:rPr>
          <w:color w:val="231F20"/>
          <w:w w:val="105"/>
        </w:rPr>
        <w:t>son</w:t>
      </w:r>
      <w:r>
        <w:rPr>
          <w:color w:val="231F20"/>
          <w:spacing w:val="-11"/>
          <w:w w:val="105"/>
        </w:rPr>
        <w:t> </w:t>
      </w:r>
      <w:r>
        <w:rPr>
          <w:color w:val="231F20"/>
          <w:w w:val="105"/>
        </w:rPr>
        <w:t>para</w:t>
      </w:r>
      <w:r>
        <w:rPr>
          <w:color w:val="231F20"/>
          <w:spacing w:val="-11"/>
          <w:w w:val="105"/>
        </w:rPr>
        <w:t> </w:t>
      </w:r>
      <w:r>
        <w:rPr>
          <w:color w:val="231F20"/>
          <w:w w:val="105"/>
        </w:rPr>
        <w:t>mejorar</w:t>
      </w:r>
      <w:r>
        <w:rPr>
          <w:color w:val="231F20"/>
          <w:spacing w:val="-11"/>
          <w:w w:val="105"/>
        </w:rPr>
        <w:t> </w:t>
      </w:r>
      <w:r>
        <w:rPr>
          <w:color w:val="231F20"/>
          <w:w w:val="105"/>
        </w:rPr>
        <w:t>las</w:t>
      </w:r>
      <w:r>
        <w:rPr>
          <w:color w:val="231F20"/>
          <w:spacing w:val="-11"/>
          <w:w w:val="105"/>
        </w:rPr>
        <w:t> </w:t>
      </w:r>
      <w:r>
        <w:rPr>
          <w:color w:val="231F20"/>
          <w:w w:val="105"/>
        </w:rPr>
        <w:t>condiciones</w:t>
      </w:r>
      <w:r>
        <w:rPr>
          <w:color w:val="231F20"/>
          <w:spacing w:val="-11"/>
          <w:w w:val="105"/>
        </w:rPr>
        <w:t> </w:t>
      </w:r>
      <w:r>
        <w:rPr>
          <w:color w:val="231F20"/>
          <w:w w:val="105"/>
        </w:rPr>
        <w:t>de</w:t>
      </w:r>
      <w:r>
        <w:rPr>
          <w:color w:val="231F20"/>
          <w:spacing w:val="-11"/>
          <w:w w:val="105"/>
        </w:rPr>
        <w:t> </w:t>
      </w:r>
      <w:r>
        <w:rPr>
          <w:color w:val="231F20"/>
          <w:w w:val="105"/>
        </w:rPr>
        <w:t>vida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ciudadanía; tenemos</w:t>
      </w:r>
      <w:r>
        <w:rPr>
          <w:color w:val="231F20"/>
          <w:spacing w:val="-15"/>
          <w:w w:val="105"/>
        </w:rPr>
        <w:t> </w:t>
      </w:r>
      <w:r>
        <w:rPr>
          <w:color w:val="231F20"/>
          <w:w w:val="105"/>
        </w:rPr>
        <w:t>4</w:t>
      </w:r>
      <w:r>
        <w:rPr>
          <w:color w:val="231F20"/>
          <w:spacing w:val="-15"/>
          <w:w w:val="105"/>
        </w:rPr>
        <w:t> </w:t>
      </w:r>
      <w:r>
        <w:rPr>
          <w:color w:val="231F20"/>
          <w:w w:val="105"/>
        </w:rPr>
        <w:t>principios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base</w:t>
      </w:r>
      <w:r>
        <w:rPr>
          <w:color w:val="231F20"/>
          <w:spacing w:val="-15"/>
          <w:w w:val="105"/>
        </w:rPr>
        <w:t> </w:t>
      </w:r>
      <w:r>
        <w:rPr>
          <w:color w:val="231F20"/>
          <w:w w:val="105"/>
        </w:rPr>
        <w:t>de</w:t>
      </w:r>
      <w:r>
        <w:rPr>
          <w:color w:val="231F20"/>
          <w:spacing w:val="-15"/>
          <w:w w:val="105"/>
        </w:rPr>
        <w:t> </w:t>
      </w:r>
      <w:r>
        <w:rPr>
          <w:color w:val="231F20"/>
          <w:w w:val="105"/>
        </w:rPr>
        <w:t>estos</w:t>
      </w:r>
      <w:r>
        <w:rPr>
          <w:color w:val="231F20"/>
          <w:spacing w:val="-15"/>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humanismo</w:t>
      </w:r>
      <w:r>
        <w:rPr>
          <w:color w:val="231F20"/>
          <w:spacing w:val="-15"/>
          <w:w w:val="105"/>
        </w:rPr>
        <w:t> </w:t>
      </w:r>
      <w:r>
        <w:rPr>
          <w:color w:val="231F20"/>
          <w:w w:val="105"/>
        </w:rPr>
        <w:t>(Navarro,</w:t>
      </w:r>
      <w:r>
        <w:rPr>
          <w:color w:val="231F20"/>
          <w:spacing w:val="-15"/>
          <w:w w:val="105"/>
        </w:rPr>
        <w:t> </w:t>
      </w:r>
      <w:r>
        <w:rPr>
          <w:color w:val="231F20"/>
          <w:w w:val="105"/>
        </w:rPr>
        <w:t>2008)</w:t>
      </w:r>
    </w:p>
    <w:p>
      <w:pPr>
        <w:pStyle w:val="BodyText"/>
        <w:spacing w:before="1"/>
        <w:rPr>
          <w:sz w:val="26"/>
        </w:rPr>
      </w:pPr>
    </w:p>
    <w:p>
      <w:pPr>
        <w:pStyle w:val="BodyText"/>
        <w:spacing w:line="285" w:lineRule="auto" w:before="1"/>
        <w:ind w:left="110" w:right="107"/>
        <w:jc w:val="both"/>
      </w:pPr>
      <w:r>
        <w:rPr>
          <w:color w:val="231F20"/>
          <w:w w:val="105"/>
        </w:rPr>
        <w:t>La</w:t>
      </w:r>
      <w:r>
        <w:rPr>
          <w:color w:val="231F20"/>
          <w:spacing w:val="-5"/>
          <w:w w:val="105"/>
        </w:rPr>
        <w:t> </w:t>
      </w:r>
      <w:r>
        <w:rPr>
          <w:color w:val="231F20"/>
          <w:w w:val="105"/>
        </w:rPr>
        <w:t>preocupación</w:t>
      </w:r>
      <w:r>
        <w:rPr>
          <w:color w:val="231F20"/>
          <w:spacing w:val="-5"/>
          <w:w w:val="105"/>
        </w:rPr>
        <w:t> </w:t>
      </w:r>
      <w:r>
        <w:rPr>
          <w:color w:val="231F20"/>
          <w:w w:val="105"/>
        </w:rPr>
        <w:t>del</w:t>
      </w:r>
      <w:r>
        <w:rPr>
          <w:color w:val="231F20"/>
          <w:spacing w:val="-5"/>
          <w:w w:val="105"/>
        </w:rPr>
        <w:t> </w:t>
      </w:r>
      <w:r>
        <w:rPr>
          <w:color w:val="231F20"/>
          <w:w w:val="105"/>
        </w:rPr>
        <w:t>presidente</w:t>
      </w:r>
      <w:r>
        <w:rPr>
          <w:color w:val="231F20"/>
          <w:spacing w:val="-5"/>
          <w:w w:val="105"/>
        </w:rPr>
        <w:t> </w:t>
      </w:r>
      <w:r>
        <w:rPr>
          <w:color w:val="231F20"/>
          <w:w w:val="105"/>
        </w:rPr>
        <w:t>municipal</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buen</w:t>
      </w:r>
      <w:r>
        <w:rPr>
          <w:color w:val="231F20"/>
          <w:spacing w:val="-5"/>
          <w:w w:val="105"/>
        </w:rPr>
        <w:t> </w:t>
      </w:r>
      <w:r>
        <w:rPr>
          <w:color w:val="231F20"/>
          <w:w w:val="105"/>
        </w:rPr>
        <w:t>trato</w:t>
      </w:r>
      <w:r>
        <w:rPr>
          <w:color w:val="231F20"/>
          <w:spacing w:val="-5"/>
          <w:w w:val="105"/>
        </w:rPr>
        <w:t> </w:t>
      </w:r>
      <w:r>
        <w:rPr>
          <w:color w:val="231F20"/>
          <w:w w:val="105"/>
        </w:rPr>
        <w:t>hacia</w:t>
      </w:r>
      <w:r>
        <w:rPr>
          <w:color w:val="231F20"/>
          <w:spacing w:val="-5"/>
          <w:w w:val="105"/>
        </w:rPr>
        <w:t> </w:t>
      </w:r>
      <w:r>
        <w:rPr>
          <w:color w:val="231F20"/>
          <w:w w:val="105"/>
        </w:rPr>
        <w:t>los</w:t>
      </w:r>
      <w:r>
        <w:rPr>
          <w:color w:val="231F20"/>
          <w:spacing w:val="-5"/>
          <w:w w:val="105"/>
        </w:rPr>
        <w:t> </w:t>
      </w:r>
      <w:r>
        <w:rPr>
          <w:color w:val="231F20"/>
          <w:w w:val="105"/>
        </w:rPr>
        <w:t>habitantes</w:t>
      </w:r>
      <w:r>
        <w:rPr>
          <w:color w:val="231F20"/>
          <w:spacing w:val="-5"/>
          <w:w w:val="105"/>
        </w:rPr>
        <w:t> </w:t>
      </w:r>
      <w:r>
        <w:rPr>
          <w:color w:val="231F20"/>
          <w:w w:val="105"/>
        </w:rPr>
        <w:t>del</w:t>
      </w:r>
      <w:r>
        <w:rPr>
          <w:color w:val="231F20"/>
          <w:spacing w:val="-5"/>
          <w:w w:val="105"/>
        </w:rPr>
        <w:t> </w:t>
      </w:r>
      <w:r>
        <w:rPr>
          <w:color w:val="231F20"/>
          <w:spacing w:val="-3"/>
          <w:w w:val="105"/>
        </w:rPr>
        <w:t>mu- </w:t>
      </w:r>
      <w:r>
        <w:rPr>
          <w:color w:val="231F20"/>
          <w:w w:val="105"/>
        </w:rPr>
        <w:t>nicipio</w:t>
      </w:r>
      <w:r>
        <w:rPr>
          <w:color w:val="231F20"/>
          <w:spacing w:val="-10"/>
          <w:w w:val="105"/>
        </w:rPr>
        <w:t> </w:t>
      </w:r>
      <w:r>
        <w:rPr>
          <w:color w:val="231F20"/>
          <w:w w:val="105"/>
        </w:rPr>
        <w:t>y</w:t>
      </w:r>
      <w:r>
        <w:rPr>
          <w:color w:val="231F20"/>
          <w:spacing w:val="-10"/>
          <w:w w:val="105"/>
        </w:rPr>
        <w:t> </w:t>
      </w:r>
      <w:r>
        <w:rPr>
          <w:color w:val="231F20"/>
          <w:w w:val="105"/>
        </w:rPr>
        <w:t>en</w:t>
      </w:r>
      <w:r>
        <w:rPr>
          <w:color w:val="231F20"/>
          <w:spacing w:val="-10"/>
          <w:w w:val="105"/>
        </w:rPr>
        <w:t> </w:t>
      </w:r>
      <w:r>
        <w:rPr>
          <w:color w:val="231F20"/>
          <w:w w:val="105"/>
        </w:rPr>
        <w:t>ese</w:t>
      </w:r>
      <w:r>
        <w:rPr>
          <w:color w:val="231F20"/>
          <w:spacing w:val="-10"/>
          <w:w w:val="105"/>
        </w:rPr>
        <w:t> </w:t>
      </w:r>
      <w:r>
        <w:rPr>
          <w:color w:val="231F20"/>
          <w:w w:val="105"/>
        </w:rPr>
        <w:t>sentido</w:t>
      </w:r>
      <w:r>
        <w:rPr>
          <w:color w:val="231F20"/>
          <w:spacing w:val="-10"/>
          <w:w w:val="105"/>
        </w:rPr>
        <w:t> </w:t>
      </w:r>
      <w:r>
        <w:rPr>
          <w:color w:val="231F20"/>
          <w:w w:val="105"/>
        </w:rPr>
        <w:t>ha</w:t>
      </w:r>
      <w:r>
        <w:rPr>
          <w:color w:val="231F20"/>
          <w:spacing w:val="-10"/>
          <w:w w:val="105"/>
        </w:rPr>
        <w:t> </w:t>
      </w:r>
      <w:r>
        <w:rPr>
          <w:color w:val="231F20"/>
          <w:w w:val="105"/>
        </w:rPr>
        <w:t>encaminado</w:t>
      </w:r>
      <w:r>
        <w:rPr>
          <w:color w:val="231F20"/>
          <w:spacing w:val="-10"/>
          <w:w w:val="105"/>
        </w:rPr>
        <w:t> </w:t>
      </w:r>
      <w:r>
        <w:rPr>
          <w:color w:val="231F20"/>
          <w:w w:val="105"/>
        </w:rPr>
        <w:t>sus</w:t>
      </w:r>
      <w:r>
        <w:rPr>
          <w:color w:val="231F20"/>
          <w:spacing w:val="-10"/>
          <w:w w:val="105"/>
        </w:rPr>
        <w:t> </w:t>
      </w:r>
      <w:r>
        <w:rPr>
          <w:color w:val="231F20"/>
          <w:w w:val="105"/>
        </w:rPr>
        <w:t>acciones.</w:t>
      </w:r>
      <w:r>
        <w:rPr>
          <w:color w:val="231F20"/>
          <w:spacing w:val="-10"/>
          <w:w w:val="105"/>
        </w:rPr>
        <w:t> </w:t>
      </w:r>
      <w:r>
        <w:rPr>
          <w:color w:val="231F20"/>
          <w:w w:val="105"/>
        </w:rPr>
        <w:t>Pretende</w:t>
      </w:r>
      <w:r>
        <w:rPr>
          <w:color w:val="231F20"/>
          <w:spacing w:val="-10"/>
          <w:w w:val="105"/>
        </w:rPr>
        <w:t> </w:t>
      </w:r>
      <w:r>
        <w:rPr>
          <w:color w:val="231F20"/>
          <w:w w:val="105"/>
        </w:rPr>
        <w:t>resolver</w:t>
      </w:r>
      <w:r>
        <w:rPr>
          <w:color w:val="231F20"/>
          <w:spacing w:val="-10"/>
          <w:w w:val="105"/>
        </w:rPr>
        <w:t> </w:t>
      </w:r>
      <w:r>
        <w:rPr>
          <w:color w:val="231F20"/>
          <w:w w:val="105"/>
        </w:rPr>
        <w:t>las</w:t>
      </w:r>
      <w:r>
        <w:rPr>
          <w:color w:val="231F20"/>
          <w:spacing w:val="-10"/>
          <w:w w:val="105"/>
        </w:rPr>
        <w:t> </w:t>
      </w:r>
      <w:r>
        <w:rPr>
          <w:color w:val="231F20"/>
          <w:w w:val="105"/>
        </w:rPr>
        <w:t>necesidades de la gente </w:t>
      </w:r>
      <w:r>
        <w:rPr>
          <w:color w:val="231F20"/>
          <w:spacing w:val="-3"/>
          <w:w w:val="105"/>
        </w:rPr>
        <w:t>siempre </w:t>
      </w:r>
      <w:r>
        <w:rPr>
          <w:color w:val="231F20"/>
          <w:w w:val="105"/>
        </w:rPr>
        <w:t>y cuando se le soliciten personalmente. Sin embargo, el trato que dan</w:t>
      </w:r>
      <w:r>
        <w:rPr>
          <w:color w:val="231F20"/>
          <w:spacing w:val="-13"/>
          <w:w w:val="105"/>
        </w:rPr>
        <w:t> </w:t>
      </w:r>
      <w:r>
        <w:rPr>
          <w:color w:val="231F20"/>
          <w:w w:val="105"/>
        </w:rPr>
        <w:t>los</w:t>
      </w:r>
      <w:r>
        <w:rPr>
          <w:color w:val="231F20"/>
          <w:spacing w:val="-13"/>
          <w:w w:val="105"/>
        </w:rPr>
        <w:t> </w:t>
      </w:r>
      <w:r>
        <w:rPr>
          <w:color w:val="231F20"/>
          <w:w w:val="105"/>
        </w:rPr>
        <w:t>empleados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presidencia</w:t>
      </w:r>
      <w:r>
        <w:rPr>
          <w:color w:val="231F20"/>
          <w:spacing w:val="-13"/>
          <w:w w:val="105"/>
        </w:rPr>
        <w:t> </w:t>
      </w:r>
      <w:r>
        <w:rPr>
          <w:color w:val="231F20"/>
          <w:w w:val="105"/>
        </w:rPr>
        <w:t>en</w:t>
      </w:r>
      <w:r>
        <w:rPr>
          <w:color w:val="231F20"/>
          <w:spacing w:val="-13"/>
          <w:w w:val="105"/>
        </w:rPr>
        <w:t> </w:t>
      </w:r>
      <w:r>
        <w:rPr>
          <w:color w:val="231F20"/>
          <w:w w:val="105"/>
        </w:rPr>
        <w:t>algunos</w:t>
      </w:r>
      <w:r>
        <w:rPr>
          <w:color w:val="231F20"/>
          <w:spacing w:val="-13"/>
          <w:w w:val="105"/>
        </w:rPr>
        <w:t> </w:t>
      </w:r>
      <w:r>
        <w:rPr>
          <w:color w:val="231F20"/>
          <w:w w:val="105"/>
        </w:rPr>
        <w:t>departamentos</w:t>
      </w:r>
      <w:r>
        <w:rPr>
          <w:color w:val="231F20"/>
          <w:spacing w:val="-13"/>
          <w:w w:val="105"/>
        </w:rPr>
        <w:t> </w:t>
      </w:r>
      <w:r>
        <w:rPr>
          <w:color w:val="231F20"/>
          <w:w w:val="105"/>
        </w:rPr>
        <w:t>es</w:t>
      </w:r>
      <w:r>
        <w:rPr>
          <w:color w:val="231F20"/>
          <w:spacing w:val="-13"/>
          <w:w w:val="105"/>
        </w:rPr>
        <w:t> </w:t>
      </w:r>
      <w:r>
        <w:rPr>
          <w:color w:val="231F20"/>
          <w:w w:val="105"/>
        </w:rPr>
        <w:t>déspota</w:t>
      </w:r>
      <w:r>
        <w:rPr>
          <w:color w:val="231F20"/>
          <w:spacing w:val="-13"/>
          <w:w w:val="105"/>
        </w:rPr>
        <w:t> </w:t>
      </w:r>
      <w:r>
        <w:rPr>
          <w:color w:val="231F20"/>
          <w:w w:val="105"/>
        </w:rPr>
        <w:t>y</w:t>
      </w:r>
      <w:r>
        <w:rPr>
          <w:color w:val="231F20"/>
          <w:spacing w:val="-13"/>
          <w:w w:val="105"/>
        </w:rPr>
        <w:t> </w:t>
      </w:r>
      <w:r>
        <w:rPr>
          <w:color w:val="231F20"/>
          <w:w w:val="105"/>
        </w:rPr>
        <w:t>prepotente, lo</w:t>
      </w:r>
      <w:r>
        <w:rPr>
          <w:color w:val="231F20"/>
          <w:spacing w:val="-10"/>
          <w:w w:val="105"/>
        </w:rPr>
        <w:t> </w:t>
      </w:r>
      <w:r>
        <w:rPr>
          <w:color w:val="231F20"/>
          <w:w w:val="105"/>
        </w:rPr>
        <w:t>que</w:t>
      </w:r>
      <w:r>
        <w:rPr>
          <w:color w:val="231F20"/>
          <w:spacing w:val="-10"/>
          <w:w w:val="105"/>
        </w:rPr>
        <w:t> </w:t>
      </w:r>
      <w:r>
        <w:rPr>
          <w:color w:val="231F20"/>
          <w:w w:val="105"/>
        </w:rPr>
        <w:t>ha</w:t>
      </w:r>
      <w:r>
        <w:rPr>
          <w:color w:val="231F20"/>
          <w:spacing w:val="-10"/>
          <w:w w:val="105"/>
        </w:rPr>
        <w:t> </w:t>
      </w:r>
      <w:r>
        <w:rPr>
          <w:color w:val="231F20"/>
          <w:w w:val="105"/>
        </w:rPr>
        <w:t>generado</w:t>
      </w:r>
      <w:r>
        <w:rPr>
          <w:color w:val="231F20"/>
          <w:spacing w:val="-10"/>
          <w:w w:val="105"/>
        </w:rPr>
        <w:t> </w:t>
      </w:r>
      <w:r>
        <w:rPr>
          <w:color w:val="231F20"/>
          <w:w w:val="105"/>
        </w:rPr>
        <w:t>rechazo</w:t>
      </w:r>
      <w:r>
        <w:rPr>
          <w:color w:val="231F20"/>
          <w:spacing w:val="-10"/>
          <w:w w:val="105"/>
        </w:rPr>
        <w:t> </w:t>
      </w:r>
      <w:r>
        <w:rPr>
          <w:color w:val="231F20"/>
          <w:w w:val="105"/>
        </w:rPr>
        <w:t>hacia</w:t>
      </w:r>
      <w:r>
        <w:rPr>
          <w:color w:val="231F20"/>
          <w:spacing w:val="-10"/>
          <w:w w:val="105"/>
        </w:rPr>
        <w:t> </w:t>
      </w:r>
      <w:r>
        <w:rPr>
          <w:color w:val="231F20"/>
          <w:w w:val="105"/>
        </w:rPr>
        <w:t>la</w:t>
      </w:r>
      <w:r>
        <w:rPr>
          <w:color w:val="231F20"/>
          <w:spacing w:val="-10"/>
          <w:w w:val="105"/>
        </w:rPr>
        <w:t> </w:t>
      </w:r>
      <w:r>
        <w:rPr>
          <w:color w:val="231F20"/>
          <w:spacing w:val="2"/>
          <w:w w:val="105"/>
        </w:rPr>
        <w:t>figura</w:t>
      </w:r>
      <w:r>
        <w:rPr>
          <w:color w:val="231F20"/>
          <w:spacing w:val="-10"/>
          <w:w w:val="105"/>
        </w:rPr>
        <w:t> </w:t>
      </w:r>
      <w:r>
        <w:rPr>
          <w:color w:val="231F20"/>
          <w:w w:val="105"/>
        </w:rPr>
        <w:t>del</w:t>
      </w:r>
      <w:r>
        <w:rPr>
          <w:color w:val="231F20"/>
          <w:spacing w:val="-10"/>
          <w:w w:val="105"/>
        </w:rPr>
        <w:t> </w:t>
      </w:r>
      <w:r>
        <w:rPr>
          <w:color w:val="231F20"/>
          <w:spacing w:val="2"/>
          <w:w w:val="105"/>
        </w:rPr>
        <w:t>edil</w:t>
      </w:r>
      <w:r>
        <w:rPr>
          <w:color w:val="231F20"/>
          <w:spacing w:val="-10"/>
          <w:w w:val="105"/>
        </w:rPr>
        <w:t> </w:t>
      </w:r>
      <w:r>
        <w:rPr>
          <w:color w:val="231F20"/>
          <w:w w:val="105"/>
        </w:rPr>
        <w:t>en</w:t>
      </w:r>
      <w:r>
        <w:rPr>
          <w:color w:val="231F20"/>
          <w:spacing w:val="-10"/>
          <w:w w:val="105"/>
        </w:rPr>
        <w:t> </w:t>
      </w:r>
      <w:r>
        <w:rPr>
          <w:color w:val="231F20"/>
          <w:w w:val="105"/>
        </w:rPr>
        <w:t>algunos</w:t>
      </w:r>
      <w:r>
        <w:rPr>
          <w:color w:val="231F20"/>
          <w:spacing w:val="-10"/>
          <w:w w:val="105"/>
        </w:rPr>
        <w:t> </w:t>
      </w:r>
      <w:r>
        <w:rPr>
          <w:color w:val="231F20"/>
          <w:w w:val="105"/>
        </w:rPr>
        <w:t>sectores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población, bajando</w:t>
      </w:r>
      <w:r>
        <w:rPr>
          <w:color w:val="231F20"/>
          <w:spacing w:val="-23"/>
          <w:w w:val="105"/>
        </w:rPr>
        <w:t> </w:t>
      </w:r>
      <w:r>
        <w:rPr>
          <w:color w:val="231F20"/>
          <w:w w:val="105"/>
        </w:rPr>
        <w:t>los</w:t>
      </w:r>
      <w:r>
        <w:rPr>
          <w:color w:val="231F20"/>
          <w:spacing w:val="-23"/>
          <w:w w:val="105"/>
        </w:rPr>
        <w:t> </w:t>
      </w:r>
      <w:r>
        <w:rPr>
          <w:color w:val="231F20"/>
          <w:w w:val="105"/>
        </w:rPr>
        <w:t>índices</w:t>
      </w:r>
      <w:r>
        <w:rPr>
          <w:color w:val="231F20"/>
          <w:spacing w:val="-23"/>
          <w:w w:val="105"/>
        </w:rPr>
        <w:t> </w:t>
      </w:r>
      <w:r>
        <w:rPr>
          <w:color w:val="231F20"/>
          <w:w w:val="105"/>
        </w:rPr>
        <w:t>de</w:t>
      </w:r>
      <w:r>
        <w:rPr>
          <w:color w:val="231F20"/>
          <w:spacing w:val="-23"/>
          <w:w w:val="105"/>
        </w:rPr>
        <w:t> </w:t>
      </w:r>
      <w:r>
        <w:rPr>
          <w:color w:val="231F20"/>
          <w:w w:val="105"/>
        </w:rPr>
        <w:t>aceptación</w:t>
      </w:r>
      <w:r>
        <w:rPr>
          <w:color w:val="231F20"/>
          <w:spacing w:val="-23"/>
          <w:w w:val="105"/>
        </w:rPr>
        <w:t> </w:t>
      </w:r>
      <w:r>
        <w:rPr>
          <w:color w:val="231F20"/>
          <w:w w:val="105"/>
        </w:rPr>
        <w:t>con</w:t>
      </w:r>
      <w:r>
        <w:rPr>
          <w:color w:val="231F20"/>
          <w:spacing w:val="-23"/>
          <w:w w:val="105"/>
        </w:rPr>
        <w:t> </w:t>
      </w:r>
      <w:r>
        <w:rPr>
          <w:color w:val="231F20"/>
          <w:w w:val="105"/>
        </w:rPr>
        <w:t>los</w:t>
      </w:r>
      <w:r>
        <w:rPr>
          <w:color w:val="231F20"/>
          <w:spacing w:val="-23"/>
          <w:w w:val="105"/>
        </w:rPr>
        <w:t> </w:t>
      </w:r>
      <w:r>
        <w:rPr>
          <w:color w:val="231F20"/>
          <w:w w:val="105"/>
        </w:rPr>
        <w:t>que</w:t>
      </w:r>
      <w:r>
        <w:rPr>
          <w:color w:val="231F20"/>
          <w:spacing w:val="-23"/>
          <w:w w:val="105"/>
        </w:rPr>
        <w:t> </w:t>
      </w:r>
      <w:r>
        <w:rPr>
          <w:color w:val="231F20"/>
          <w:w w:val="105"/>
        </w:rPr>
        <w:t>llegó</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Presidencia.</w:t>
      </w:r>
      <w:r>
        <w:rPr>
          <w:color w:val="231F20"/>
          <w:spacing w:val="-23"/>
          <w:w w:val="105"/>
        </w:rPr>
        <w:t> </w:t>
      </w:r>
      <w:r>
        <w:rPr>
          <w:color w:val="231F20"/>
          <w:w w:val="105"/>
        </w:rPr>
        <w:t>Aunque</w:t>
      </w:r>
      <w:r>
        <w:rPr>
          <w:color w:val="231F20"/>
          <w:spacing w:val="-23"/>
          <w:w w:val="105"/>
        </w:rPr>
        <w:t> </w:t>
      </w:r>
      <w:r>
        <w:rPr>
          <w:color w:val="231F20"/>
          <w:w w:val="105"/>
        </w:rPr>
        <w:t>se</w:t>
      </w:r>
      <w:r>
        <w:rPr>
          <w:color w:val="231F20"/>
          <w:spacing w:val="-23"/>
          <w:w w:val="105"/>
        </w:rPr>
        <w:t> </w:t>
      </w:r>
      <w:r>
        <w:rPr>
          <w:color w:val="231F20"/>
          <w:w w:val="105"/>
        </w:rPr>
        <w:t>reconoce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el trabajo realizado en materia de obra pública, no ha sido suficiente para revertir esta tendencia.</w:t>
      </w:r>
    </w:p>
    <w:p>
      <w:pPr>
        <w:pStyle w:val="BodyText"/>
        <w:spacing w:before="1"/>
        <w:rPr>
          <w:sz w:val="26"/>
        </w:rPr>
      </w:pPr>
    </w:p>
    <w:p>
      <w:pPr>
        <w:pStyle w:val="BodyText"/>
        <w:spacing w:line="285" w:lineRule="auto"/>
        <w:ind w:left="110" w:right="107"/>
        <w:jc w:val="both"/>
      </w:pPr>
      <w:r>
        <w:rPr>
          <w:color w:val="231F20"/>
          <w:w w:val="105"/>
        </w:rPr>
        <w:t>Por otro lado, en la práctica la vinculación entre los planes estatal y federal no fue po- sible, no pudieron vincularse el proyecto de nación y el municipal, pues en esta esfera de gobierno lo que se priorizó fue la inversión en obra pública, a costa de descuidar otros sectores de desarrollo.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6"/>
          <w:w w:val="105"/>
        </w:rPr>
        <w:t> </w:t>
      </w:r>
      <w:r>
        <w:rPr>
          <w:color w:val="231F20"/>
          <w:w w:val="105"/>
        </w:rPr>
        <w:t>cuanto</w:t>
      </w:r>
      <w:r>
        <w:rPr>
          <w:color w:val="231F20"/>
          <w:spacing w:val="-6"/>
          <w:w w:val="105"/>
        </w:rPr>
        <w:t> </w:t>
      </w:r>
      <w:r>
        <w:rPr>
          <w:color w:val="231F20"/>
          <w:spacing w:val="2"/>
          <w:w w:val="105"/>
        </w:rPr>
        <w:t>al</w:t>
      </w:r>
      <w:r>
        <w:rPr>
          <w:color w:val="231F20"/>
          <w:spacing w:val="-6"/>
          <w:w w:val="105"/>
        </w:rPr>
        <w:t> </w:t>
      </w:r>
      <w:r>
        <w:rPr>
          <w:color w:val="231F20"/>
          <w:w w:val="105"/>
        </w:rPr>
        <w:t>proyecto</w:t>
      </w:r>
      <w:r>
        <w:rPr>
          <w:color w:val="231F20"/>
          <w:spacing w:val="-6"/>
          <w:w w:val="105"/>
        </w:rPr>
        <w:t> </w:t>
      </w:r>
      <w:r>
        <w:rPr>
          <w:color w:val="231F20"/>
          <w:w w:val="105"/>
        </w:rPr>
        <w:t>de</w:t>
      </w:r>
      <w:r>
        <w:rPr>
          <w:color w:val="231F20"/>
          <w:spacing w:val="-6"/>
          <w:w w:val="105"/>
        </w:rPr>
        <w:t> </w:t>
      </w:r>
      <w:r>
        <w:rPr>
          <w:color w:val="231F20"/>
          <w:w w:val="105"/>
        </w:rPr>
        <w:t>gobierno</w:t>
      </w:r>
      <w:r>
        <w:rPr>
          <w:color w:val="231F20"/>
          <w:spacing w:val="-6"/>
          <w:w w:val="105"/>
        </w:rPr>
        <w:t> </w:t>
      </w:r>
      <w:r>
        <w:rPr>
          <w:color w:val="231F20"/>
          <w:w w:val="105"/>
        </w:rPr>
        <w:t>como</w:t>
      </w:r>
      <w:r>
        <w:rPr>
          <w:color w:val="231F20"/>
          <w:spacing w:val="-6"/>
          <w:w w:val="105"/>
        </w:rPr>
        <w:t> </w:t>
      </w:r>
      <w:r>
        <w:rPr>
          <w:color w:val="231F20"/>
          <w:w w:val="105"/>
        </w:rPr>
        <w:t>partido,</w:t>
      </w:r>
      <w:r>
        <w:rPr>
          <w:color w:val="231F20"/>
          <w:spacing w:val="-6"/>
          <w:w w:val="105"/>
        </w:rPr>
        <w:t> </w:t>
      </w:r>
      <w:r>
        <w:rPr>
          <w:color w:val="231F20"/>
          <w:w w:val="105"/>
        </w:rPr>
        <w:t>no</w:t>
      </w:r>
      <w:r>
        <w:rPr>
          <w:color w:val="231F20"/>
          <w:spacing w:val="-6"/>
          <w:w w:val="105"/>
        </w:rPr>
        <w:t> </w:t>
      </w:r>
      <w:r>
        <w:rPr>
          <w:color w:val="231F20"/>
          <w:w w:val="105"/>
        </w:rPr>
        <w:t>pudo</w:t>
      </w:r>
      <w:r>
        <w:rPr>
          <w:color w:val="231F20"/>
          <w:spacing w:val="-6"/>
          <w:w w:val="105"/>
        </w:rPr>
        <w:t> </w:t>
      </w:r>
      <w:r>
        <w:rPr>
          <w:color w:val="231F20"/>
          <w:w w:val="105"/>
        </w:rPr>
        <w:t>llevarse</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práctica</w:t>
      </w:r>
      <w:r>
        <w:rPr>
          <w:color w:val="231F20"/>
          <w:spacing w:val="-6"/>
          <w:w w:val="105"/>
        </w:rPr>
        <w:t> </w:t>
      </w:r>
      <w:r>
        <w:rPr>
          <w:color w:val="231F20"/>
          <w:w w:val="105"/>
        </w:rPr>
        <w:t>porque la</w:t>
      </w:r>
      <w:r>
        <w:rPr>
          <w:color w:val="231F20"/>
          <w:spacing w:val="-5"/>
          <w:w w:val="105"/>
        </w:rPr>
        <w:t> </w:t>
      </w:r>
      <w:r>
        <w:rPr>
          <w:color w:val="231F20"/>
          <w:w w:val="105"/>
        </w:rPr>
        <w:t>mayoría</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personas</w:t>
      </w:r>
      <w:r>
        <w:rPr>
          <w:color w:val="231F20"/>
          <w:spacing w:val="-5"/>
          <w:w w:val="105"/>
        </w:rPr>
        <w:t> </w:t>
      </w:r>
      <w:r>
        <w:rPr>
          <w:color w:val="231F20"/>
          <w:w w:val="105"/>
        </w:rPr>
        <w:t>que</w:t>
      </w:r>
      <w:r>
        <w:rPr>
          <w:color w:val="231F20"/>
          <w:spacing w:val="-5"/>
          <w:w w:val="105"/>
        </w:rPr>
        <w:t> </w:t>
      </w:r>
      <w:r>
        <w:rPr>
          <w:color w:val="231F20"/>
          <w:w w:val="105"/>
        </w:rPr>
        <w:t>participan</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administración</w:t>
      </w:r>
      <w:r>
        <w:rPr>
          <w:color w:val="231F20"/>
          <w:spacing w:val="-5"/>
          <w:w w:val="105"/>
        </w:rPr>
        <w:t> </w:t>
      </w:r>
      <w:r>
        <w:rPr>
          <w:color w:val="231F20"/>
          <w:w w:val="105"/>
        </w:rPr>
        <w:t>desconocen</w:t>
      </w:r>
      <w:r>
        <w:rPr>
          <w:color w:val="231F20"/>
          <w:spacing w:val="-5"/>
          <w:w w:val="105"/>
        </w:rPr>
        <w:t> </w:t>
      </w:r>
      <w:r>
        <w:rPr>
          <w:color w:val="231F20"/>
          <w:w w:val="105"/>
        </w:rPr>
        <w:t>la</w:t>
      </w:r>
      <w:r>
        <w:rPr>
          <w:color w:val="231F20"/>
          <w:spacing w:val="-5"/>
          <w:w w:val="105"/>
        </w:rPr>
        <w:t> </w:t>
      </w:r>
      <w:r>
        <w:rPr>
          <w:color w:val="231F20"/>
          <w:w w:val="105"/>
        </w:rPr>
        <w:t>doctrina panista,</w:t>
      </w:r>
      <w:r>
        <w:rPr>
          <w:color w:val="231F20"/>
          <w:spacing w:val="-14"/>
          <w:w w:val="105"/>
        </w:rPr>
        <w:t> </w:t>
      </w:r>
      <w:r>
        <w:rPr>
          <w:color w:val="231F20"/>
          <w:w w:val="105"/>
        </w:rPr>
        <w:t>su</w:t>
      </w:r>
      <w:r>
        <w:rPr>
          <w:color w:val="231F20"/>
          <w:spacing w:val="-14"/>
          <w:w w:val="105"/>
        </w:rPr>
        <w:t> </w:t>
      </w:r>
      <w:r>
        <w:rPr>
          <w:color w:val="231F20"/>
          <w:w w:val="105"/>
        </w:rPr>
        <w:t>proceder</w:t>
      </w:r>
      <w:r>
        <w:rPr>
          <w:color w:val="231F20"/>
          <w:spacing w:val="-14"/>
          <w:w w:val="105"/>
        </w:rPr>
        <w:t> </w:t>
      </w:r>
      <w:r>
        <w:rPr>
          <w:color w:val="231F20"/>
          <w:w w:val="105"/>
        </w:rPr>
        <w:t>responde</w:t>
      </w:r>
      <w:r>
        <w:rPr>
          <w:color w:val="231F20"/>
          <w:spacing w:val="-14"/>
          <w:w w:val="105"/>
        </w:rPr>
        <w:t> </w:t>
      </w:r>
      <w:r>
        <w:rPr>
          <w:color w:val="231F20"/>
          <w:w w:val="105"/>
        </w:rPr>
        <w:t>no</w:t>
      </w:r>
      <w:r>
        <w:rPr>
          <w:color w:val="231F20"/>
          <w:spacing w:val="-14"/>
          <w:w w:val="105"/>
        </w:rPr>
        <w:t> </w:t>
      </w:r>
      <w:r>
        <w:rPr>
          <w:color w:val="231F20"/>
          <w:spacing w:val="2"/>
          <w:w w:val="105"/>
        </w:rPr>
        <w:t>al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w w:val="105"/>
        </w:rPr>
        <w:t>sino</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personajes</w:t>
      </w:r>
      <w:r>
        <w:rPr>
          <w:color w:val="231F20"/>
          <w:spacing w:val="-14"/>
          <w:w w:val="105"/>
        </w:rPr>
        <w:t> </w:t>
      </w:r>
      <w:r>
        <w:rPr>
          <w:color w:val="231F20"/>
          <w:w w:val="105"/>
        </w:rPr>
        <w:t>políticos del municipio que los apoyaron para conseguir o mantenerse en los puestos que están desempeñando.</w:t>
      </w:r>
      <w:r>
        <w:rPr>
          <w:color w:val="231F20"/>
          <w:spacing w:val="-11"/>
          <w:w w:val="105"/>
        </w:rPr>
        <w:t> </w:t>
      </w:r>
      <w:r>
        <w:rPr>
          <w:color w:val="231F20"/>
          <w:w w:val="105"/>
        </w:rPr>
        <w:t>Los</w:t>
      </w:r>
      <w:r>
        <w:rPr>
          <w:color w:val="231F20"/>
          <w:spacing w:val="-11"/>
          <w:w w:val="105"/>
        </w:rPr>
        <w:t> </w:t>
      </w:r>
      <w:r>
        <w:rPr>
          <w:color w:val="231F20"/>
          <w:w w:val="105"/>
        </w:rPr>
        <w:t>intereses</w:t>
      </w:r>
      <w:r>
        <w:rPr>
          <w:color w:val="231F20"/>
          <w:spacing w:val="-11"/>
          <w:w w:val="105"/>
        </w:rPr>
        <w:t> </w:t>
      </w:r>
      <w:r>
        <w:rPr>
          <w:color w:val="231F20"/>
          <w:w w:val="105"/>
        </w:rPr>
        <w:t>personales</w:t>
      </w:r>
      <w:r>
        <w:rPr>
          <w:color w:val="231F20"/>
          <w:spacing w:val="-11"/>
          <w:w w:val="105"/>
        </w:rPr>
        <w:t> </w:t>
      </w:r>
      <w:r>
        <w:rPr>
          <w:color w:val="231F20"/>
          <w:w w:val="105"/>
        </w:rPr>
        <w:t>están</w:t>
      </w:r>
      <w:r>
        <w:rPr>
          <w:color w:val="231F20"/>
          <w:spacing w:val="-11"/>
          <w:w w:val="105"/>
        </w:rPr>
        <w:t> </w:t>
      </w:r>
      <w:r>
        <w:rPr>
          <w:color w:val="231F20"/>
          <w:w w:val="105"/>
        </w:rPr>
        <w:t>por</w:t>
      </w:r>
      <w:r>
        <w:rPr>
          <w:color w:val="231F20"/>
          <w:spacing w:val="-11"/>
          <w:w w:val="105"/>
        </w:rPr>
        <w:t> </w:t>
      </w:r>
      <w:r>
        <w:rPr>
          <w:color w:val="231F20"/>
          <w:w w:val="105"/>
        </w:rPr>
        <w:t>encima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intereses</w:t>
      </w:r>
      <w:r>
        <w:rPr>
          <w:color w:val="231F20"/>
          <w:spacing w:val="-11"/>
          <w:w w:val="105"/>
        </w:rPr>
        <w:t> </w:t>
      </w:r>
      <w:r>
        <w:rPr>
          <w:color w:val="231F20"/>
          <w:w w:val="105"/>
        </w:rPr>
        <w:t>del</w:t>
      </w:r>
      <w:r>
        <w:rPr>
          <w:color w:val="231F20"/>
          <w:spacing w:val="-11"/>
          <w:w w:val="105"/>
        </w:rPr>
        <w:t> </w:t>
      </w:r>
      <w:r>
        <w:rPr>
          <w:color w:val="231F20"/>
          <w:w w:val="105"/>
        </w:rPr>
        <w:t>partido.</w:t>
      </w:r>
    </w:p>
    <w:p>
      <w:pPr>
        <w:pStyle w:val="BodyText"/>
        <w:spacing w:before="9"/>
      </w:pPr>
    </w:p>
    <w:p>
      <w:pPr>
        <w:pStyle w:val="Heading3"/>
        <w:spacing w:before="1"/>
        <w:ind w:right="574"/>
        <w:jc w:val="left"/>
      </w:pPr>
      <w:r>
        <w:rPr>
          <w:color w:val="231F20"/>
          <w:w w:val="105"/>
        </w:rPr>
        <w:t>Fuentes de consulta</w:t>
      </w:r>
    </w:p>
    <w:p>
      <w:pPr>
        <w:spacing w:before="75"/>
        <w:ind w:left="110" w:right="574" w:firstLine="0"/>
        <w:jc w:val="left"/>
        <w:rPr>
          <w:sz w:val="18"/>
        </w:rPr>
      </w:pPr>
      <w:r>
        <w:rPr>
          <w:color w:val="231F20"/>
          <w:sz w:val="18"/>
        </w:rPr>
        <w:t>BASE de datos (2008), “Partidos políticos y elecciones en el Estado de  México”,</w:t>
      </w:r>
    </w:p>
    <w:p>
      <w:pPr>
        <w:spacing w:before="93"/>
        <w:ind w:left="110" w:right="574" w:firstLine="283"/>
        <w:jc w:val="left"/>
        <w:rPr>
          <w:sz w:val="18"/>
        </w:rPr>
      </w:pPr>
      <w:r>
        <w:rPr>
          <w:color w:val="231F20"/>
          <w:w w:val="105"/>
          <w:sz w:val="18"/>
        </w:rPr>
        <w:t>Centro Universitario UAEM-Amecameca, Universidad Autónoma del Estado de México.</w:t>
      </w:r>
    </w:p>
    <w:p>
      <w:pPr>
        <w:spacing w:line="348" w:lineRule="auto" w:before="93"/>
        <w:ind w:left="393" w:right="1014" w:hanging="284"/>
        <w:jc w:val="left"/>
        <w:rPr>
          <w:sz w:val="18"/>
        </w:rPr>
      </w:pPr>
      <w:r>
        <w:rPr>
          <w:color w:val="231F20"/>
          <w:w w:val="105"/>
          <w:sz w:val="18"/>
        </w:rPr>
        <w:t>Cleary, Matthew R. “Competencia electoral, influencia ciudadana y desempeño del gobierno en los municipios mexicano” en Política y Gobierno. Volumen X. Núm. 1. CIDE</w:t>
      </w:r>
    </w:p>
    <w:p>
      <w:pPr>
        <w:spacing w:line="348" w:lineRule="auto" w:before="3"/>
        <w:ind w:left="393" w:right="1991" w:hanging="284"/>
        <w:jc w:val="left"/>
        <w:rPr>
          <w:sz w:val="18"/>
        </w:rPr>
      </w:pPr>
      <w:r>
        <w:rPr>
          <w:color w:val="231F20"/>
          <w:sz w:val="18"/>
        </w:rPr>
        <w:t>H. AYUNTAMIENTO MUNICIPAL CONSTITUCIONAL DE ATLAUTLA. “Actas de Cabildo 2006 - 2009. Libro 1</w:t>
      </w:r>
    </w:p>
    <w:p>
      <w:pPr>
        <w:spacing w:line="348" w:lineRule="auto" w:before="3"/>
        <w:ind w:left="393" w:right="1991" w:hanging="284"/>
        <w:jc w:val="left"/>
        <w:rPr>
          <w:sz w:val="18"/>
        </w:rPr>
      </w:pPr>
      <w:r>
        <w:rPr>
          <w:color w:val="231F20"/>
          <w:sz w:val="18"/>
        </w:rPr>
        <w:t>H. AYUNTAMIENTO MUNICIPAL CONSTITUCIONAL DE ATLAUTLA. Bando  municipal. 2007</w:t>
      </w:r>
    </w:p>
    <w:p>
      <w:pPr>
        <w:spacing w:line="348" w:lineRule="auto" w:before="3"/>
        <w:ind w:left="393" w:right="2222" w:hanging="284"/>
        <w:jc w:val="left"/>
        <w:rPr>
          <w:sz w:val="18"/>
        </w:rPr>
      </w:pPr>
      <w:r>
        <w:rPr>
          <w:color w:val="231F20"/>
          <w:w w:val="105"/>
          <w:sz w:val="18"/>
        </w:rPr>
        <w:t>H.</w:t>
      </w:r>
      <w:r>
        <w:rPr>
          <w:color w:val="231F20"/>
          <w:spacing w:val="-30"/>
          <w:w w:val="105"/>
          <w:sz w:val="18"/>
        </w:rPr>
        <w:t> </w:t>
      </w:r>
      <w:r>
        <w:rPr>
          <w:color w:val="231F20"/>
          <w:w w:val="105"/>
          <w:sz w:val="18"/>
        </w:rPr>
        <w:t>AYUNTAMIENTO</w:t>
      </w:r>
      <w:r>
        <w:rPr>
          <w:color w:val="231F20"/>
          <w:spacing w:val="-30"/>
          <w:w w:val="105"/>
          <w:sz w:val="18"/>
        </w:rPr>
        <w:t> </w:t>
      </w:r>
      <w:r>
        <w:rPr>
          <w:color w:val="231F20"/>
          <w:w w:val="105"/>
          <w:sz w:val="18"/>
        </w:rPr>
        <w:t>MUNICIPAL</w:t>
      </w:r>
      <w:r>
        <w:rPr>
          <w:color w:val="231F20"/>
          <w:spacing w:val="-30"/>
          <w:w w:val="105"/>
          <w:sz w:val="18"/>
        </w:rPr>
        <w:t> </w:t>
      </w:r>
      <w:r>
        <w:rPr>
          <w:color w:val="231F20"/>
          <w:w w:val="105"/>
          <w:sz w:val="18"/>
        </w:rPr>
        <w:t>CONSTITUCIONAL</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ATLAUTLA. </w:t>
      </w:r>
      <w:r>
        <w:rPr>
          <w:color w:val="231F20"/>
          <w:spacing w:val="-3"/>
          <w:w w:val="105"/>
          <w:sz w:val="18"/>
        </w:rPr>
        <w:t>1ª</w:t>
      </w:r>
      <w:r>
        <w:rPr>
          <w:color w:val="231F20"/>
          <w:spacing w:val="-6"/>
          <w:w w:val="105"/>
          <w:sz w:val="18"/>
        </w:rPr>
        <w:t> </w:t>
      </w:r>
      <w:r>
        <w:rPr>
          <w:color w:val="231F20"/>
          <w:w w:val="105"/>
          <w:sz w:val="18"/>
        </w:rPr>
        <w:t>Informe</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Administración</w:t>
      </w:r>
      <w:r>
        <w:rPr>
          <w:color w:val="231F20"/>
          <w:spacing w:val="-6"/>
          <w:w w:val="105"/>
          <w:sz w:val="18"/>
        </w:rPr>
        <w:t> </w:t>
      </w:r>
      <w:r>
        <w:rPr>
          <w:color w:val="231F20"/>
          <w:w w:val="105"/>
          <w:sz w:val="18"/>
        </w:rPr>
        <w:t>Pública</w:t>
      </w:r>
      <w:r>
        <w:rPr>
          <w:color w:val="231F20"/>
          <w:spacing w:val="-6"/>
          <w:w w:val="105"/>
          <w:sz w:val="18"/>
        </w:rPr>
        <w:t> </w:t>
      </w:r>
      <w:r>
        <w:rPr>
          <w:color w:val="231F20"/>
          <w:spacing w:val="3"/>
          <w:w w:val="105"/>
          <w:sz w:val="18"/>
        </w:rPr>
        <w:t>2006</w:t>
      </w:r>
      <w:r>
        <w:rPr>
          <w:color w:val="231F20"/>
          <w:spacing w:val="-6"/>
          <w:w w:val="105"/>
          <w:sz w:val="18"/>
        </w:rPr>
        <w:t> </w:t>
      </w:r>
      <w:r>
        <w:rPr>
          <w:color w:val="231F20"/>
          <w:w w:val="105"/>
          <w:sz w:val="18"/>
        </w:rPr>
        <w:t>-</w:t>
      </w:r>
      <w:r>
        <w:rPr>
          <w:color w:val="231F20"/>
          <w:spacing w:val="-6"/>
          <w:w w:val="105"/>
          <w:sz w:val="18"/>
        </w:rPr>
        <w:t> </w:t>
      </w:r>
      <w:r>
        <w:rPr>
          <w:color w:val="231F20"/>
          <w:spacing w:val="3"/>
          <w:w w:val="105"/>
          <w:sz w:val="18"/>
        </w:rPr>
        <w:t>2009</w:t>
      </w:r>
    </w:p>
    <w:p>
      <w:pPr>
        <w:spacing w:line="348" w:lineRule="auto" w:before="3"/>
        <w:ind w:left="393" w:right="2222" w:hanging="284"/>
        <w:jc w:val="left"/>
        <w:rPr>
          <w:sz w:val="18"/>
        </w:rPr>
      </w:pPr>
      <w:r>
        <w:rPr>
          <w:color w:val="231F20"/>
          <w:w w:val="105"/>
          <w:sz w:val="18"/>
        </w:rPr>
        <w:t>H.</w:t>
      </w:r>
      <w:r>
        <w:rPr>
          <w:color w:val="231F20"/>
          <w:spacing w:val="-30"/>
          <w:w w:val="105"/>
          <w:sz w:val="18"/>
        </w:rPr>
        <w:t> </w:t>
      </w:r>
      <w:r>
        <w:rPr>
          <w:color w:val="231F20"/>
          <w:w w:val="105"/>
          <w:sz w:val="18"/>
        </w:rPr>
        <w:t>AYUNTAMIENTO</w:t>
      </w:r>
      <w:r>
        <w:rPr>
          <w:color w:val="231F20"/>
          <w:spacing w:val="-30"/>
          <w:w w:val="105"/>
          <w:sz w:val="18"/>
        </w:rPr>
        <w:t> </w:t>
      </w:r>
      <w:r>
        <w:rPr>
          <w:color w:val="231F20"/>
          <w:w w:val="105"/>
          <w:sz w:val="18"/>
        </w:rPr>
        <w:t>MUNICIPAL</w:t>
      </w:r>
      <w:r>
        <w:rPr>
          <w:color w:val="231F20"/>
          <w:spacing w:val="-30"/>
          <w:w w:val="105"/>
          <w:sz w:val="18"/>
        </w:rPr>
        <w:t> </w:t>
      </w:r>
      <w:r>
        <w:rPr>
          <w:color w:val="231F20"/>
          <w:w w:val="105"/>
          <w:sz w:val="18"/>
        </w:rPr>
        <w:t>CONSTITUCIONAL</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ATLAUTLA. 2ª</w:t>
      </w:r>
      <w:r>
        <w:rPr>
          <w:color w:val="231F20"/>
          <w:spacing w:val="-6"/>
          <w:w w:val="105"/>
          <w:sz w:val="18"/>
        </w:rPr>
        <w:t> </w:t>
      </w:r>
      <w:r>
        <w:rPr>
          <w:color w:val="231F20"/>
          <w:w w:val="105"/>
          <w:sz w:val="18"/>
        </w:rPr>
        <w:t>Informe</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Administración</w:t>
      </w:r>
      <w:r>
        <w:rPr>
          <w:color w:val="231F20"/>
          <w:spacing w:val="-6"/>
          <w:w w:val="105"/>
          <w:sz w:val="18"/>
        </w:rPr>
        <w:t> </w:t>
      </w:r>
      <w:r>
        <w:rPr>
          <w:color w:val="231F20"/>
          <w:w w:val="105"/>
          <w:sz w:val="18"/>
        </w:rPr>
        <w:t>Pública</w:t>
      </w:r>
      <w:r>
        <w:rPr>
          <w:color w:val="231F20"/>
          <w:spacing w:val="-6"/>
          <w:w w:val="105"/>
          <w:sz w:val="18"/>
        </w:rPr>
        <w:t> </w:t>
      </w:r>
      <w:r>
        <w:rPr>
          <w:color w:val="231F20"/>
          <w:spacing w:val="3"/>
          <w:w w:val="105"/>
          <w:sz w:val="18"/>
        </w:rPr>
        <w:t>2006</w:t>
      </w:r>
      <w:r>
        <w:rPr>
          <w:color w:val="231F20"/>
          <w:spacing w:val="-6"/>
          <w:w w:val="105"/>
          <w:sz w:val="18"/>
        </w:rPr>
        <w:t> </w:t>
      </w:r>
      <w:r>
        <w:rPr>
          <w:color w:val="231F20"/>
          <w:w w:val="105"/>
          <w:sz w:val="18"/>
        </w:rPr>
        <w:t>-</w:t>
      </w:r>
      <w:r>
        <w:rPr>
          <w:color w:val="231F20"/>
          <w:spacing w:val="-6"/>
          <w:w w:val="105"/>
          <w:sz w:val="18"/>
        </w:rPr>
        <w:t> </w:t>
      </w:r>
      <w:r>
        <w:rPr>
          <w:color w:val="231F20"/>
          <w:spacing w:val="3"/>
          <w:w w:val="105"/>
          <w:sz w:val="18"/>
        </w:rPr>
        <w:t>2009</w:t>
      </w:r>
    </w:p>
    <w:p>
      <w:pPr>
        <w:spacing w:line="348" w:lineRule="auto" w:before="3"/>
        <w:ind w:left="393" w:right="2262" w:hanging="284"/>
        <w:jc w:val="left"/>
        <w:rPr>
          <w:sz w:val="18"/>
        </w:rPr>
      </w:pPr>
      <w:r>
        <w:rPr>
          <w:color w:val="231F20"/>
          <w:sz w:val="18"/>
        </w:rPr>
        <w:t>H. AYUNTAMIENTO MUNICIPAL CONSTITUCIONAL DE ATLAUTLA. Plan de Desarrollo Municipal 2006-   2009</w:t>
      </w:r>
    </w:p>
    <w:p>
      <w:pPr>
        <w:spacing w:line="348" w:lineRule="auto" w:before="3"/>
        <w:ind w:left="393" w:right="2222" w:hanging="284"/>
        <w:jc w:val="left"/>
        <w:rPr>
          <w:sz w:val="18"/>
        </w:rPr>
      </w:pPr>
      <w:r>
        <w:rPr>
          <w:color w:val="231F20"/>
          <w:w w:val="105"/>
          <w:sz w:val="18"/>
        </w:rPr>
        <w:t>H.</w:t>
      </w:r>
      <w:r>
        <w:rPr>
          <w:color w:val="231F20"/>
          <w:spacing w:val="-30"/>
          <w:w w:val="105"/>
          <w:sz w:val="18"/>
        </w:rPr>
        <w:t> </w:t>
      </w:r>
      <w:r>
        <w:rPr>
          <w:color w:val="231F20"/>
          <w:w w:val="105"/>
          <w:sz w:val="18"/>
        </w:rPr>
        <w:t>AYUNTAMIENTO</w:t>
      </w:r>
      <w:r>
        <w:rPr>
          <w:color w:val="231F20"/>
          <w:spacing w:val="-30"/>
          <w:w w:val="105"/>
          <w:sz w:val="18"/>
        </w:rPr>
        <w:t> </w:t>
      </w:r>
      <w:r>
        <w:rPr>
          <w:color w:val="231F20"/>
          <w:w w:val="105"/>
          <w:sz w:val="18"/>
        </w:rPr>
        <w:t>MUNICIPAL</w:t>
      </w:r>
      <w:r>
        <w:rPr>
          <w:color w:val="231F20"/>
          <w:spacing w:val="-30"/>
          <w:w w:val="105"/>
          <w:sz w:val="18"/>
        </w:rPr>
        <w:t> </w:t>
      </w:r>
      <w:r>
        <w:rPr>
          <w:color w:val="231F20"/>
          <w:w w:val="105"/>
          <w:sz w:val="18"/>
        </w:rPr>
        <w:t>CONSTITUCIONAL</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ATLAUTLA. Reglamento Interno de Trabajo</w:t>
      </w:r>
      <w:r>
        <w:rPr>
          <w:color w:val="231F20"/>
          <w:spacing w:val="-23"/>
          <w:w w:val="105"/>
          <w:sz w:val="18"/>
        </w:rPr>
        <w:t> </w:t>
      </w:r>
      <w:r>
        <w:rPr>
          <w:color w:val="231F20"/>
          <w:spacing w:val="3"/>
          <w:w w:val="105"/>
          <w:sz w:val="18"/>
        </w:rPr>
        <w:t>2006</w:t>
      </w:r>
    </w:p>
    <w:p>
      <w:pPr>
        <w:spacing w:after="0" w:line="348" w:lineRule="auto"/>
        <w:jc w:val="left"/>
        <w:rPr>
          <w:sz w:val="18"/>
        </w:rPr>
        <w:sectPr>
          <w:footerReference w:type="default" r:id="rId682"/>
          <w:pgSz w:w="9640" w:h="12190"/>
          <w:pgMar w:footer="743" w:header="0" w:top="1120" w:bottom="940" w:left="740" w:right="740"/>
          <w:pgNumType w:start="350"/>
        </w:sectPr>
      </w:pPr>
    </w:p>
    <w:p>
      <w:pPr>
        <w:pStyle w:val="BodyText"/>
        <w:spacing w:before="6"/>
        <w:rPr>
          <w:sz w:val="13"/>
        </w:rPr>
      </w:pPr>
    </w:p>
    <w:p>
      <w:pPr>
        <w:spacing w:line="348" w:lineRule="auto" w:before="47"/>
        <w:ind w:left="393" w:right="1276" w:hanging="284"/>
        <w:jc w:val="left"/>
        <w:rPr>
          <w:sz w:val="18"/>
        </w:rPr>
      </w:pPr>
      <w:r>
        <w:rPr>
          <w:color w:val="231F20"/>
          <w:sz w:val="18"/>
        </w:rPr>
        <w:t>H. AYUNTAMIENTO MUNICIPAL CONSTITUCIONAL DE ATLAUTLA. Presupuesto por programas ejercicio fiscal   2008</w:t>
      </w:r>
    </w:p>
    <w:p>
      <w:pPr>
        <w:spacing w:line="348" w:lineRule="auto" w:before="3"/>
        <w:ind w:left="393" w:right="1276" w:hanging="284"/>
        <w:jc w:val="left"/>
        <w:rPr>
          <w:sz w:val="18"/>
        </w:rPr>
      </w:pPr>
      <w:r>
        <w:rPr>
          <w:color w:val="231F20"/>
          <w:sz w:val="18"/>
        </w:rPr>
        <w:t>H. AYUNTAMIENTO MUNICIPAL CONSTITUCIONAL DE ATLAUTLA. Organigrama del Ayuntamiento de Atlautla 2006-    2009</w:t>
      </w:r>
    </w:p>
    <w:p>
      <w:pPr>
        <w:spacing w:line="348" w:lineRule="auto" w:before="3"/>
        <w:ind w:left="393" w:right="1276" w:hanging="284"/>
        <w:jc w:val="left"/>
        <w:rPr>
          <w:sz w:val="18"/>
        </w:rPr>
      </w:pPr>
      <w:r>
        <w:rPr>
          <w:color w:val="231F20"/>
          <w:sz w:val="18"/>
        </w:rPr>
        <w:t>H. AYUNTAMIENTO MUNICIPAL CONSTITUCIONAL DE ATLAUTLA. Programa anual de obras   2007</w:t>
      </w:r>
    </w:p>
    <w:p>
      <w:pPr>
        <w:pStyle w:val="ListParagraph"/>
        <w:numPr>
          <w:ilvl w:val="0"/>
          <w:numId w:val="20"/>
        </w:numPr>
        <w:tabs>
          <w:tab w:pos="336" w:val="left" w:leader="none"/>
        </w:tabs>
        <w:spacing w:line="348" w:lineRule="auto" w:before="3" w:after="0"/>
        <w:ind w:left="393" w:right="1810" w:hanging="283"/>
        <w:jc w:val="left"/>
        <w:rPr>
          <w:rFonts w:ascii="Times New Roman"/>
          <w:sz w:val="18"/>
        </w:rPr>
      </w:pPr>
      <w:r>
        <w:rPr>
          <w:rFonts w:ascii="Times New Roman"/>
          <w:color w:val="231F20"/>
          <w:sz w:val="18"/>
        </w:rPr>
        <w:t>AYUNTAMIENTO MUNICIPAL CONSTITUCIONAL DE ATLAUTLA. </w:t>
      </w:r>
      <w:r>
        <w:rPr>
          <w:rFonts w:ascii="Times New Roman"/>
          <w:color w:val="231F20"/>
          <w:w w:val="105"/>
          <w:sz w:val="18"/>
        </w:rPr>
        <w:t>Programa anual de obras</w:t>
      </w:r>
      <w:r>
        <w:rPr>
          <w:rFonts w:ascii="Times New Roman"/>
          <w:color w:val="231F20"/>
          <w:spacing w:val="-9"/>
          <w:w w:val="105"/>
          <w:sz w:val="18"/>
        </w:rPr>
        <w:t> </w:t>
      </w:r>
      <w:r>
        <w:rPr>
          <w:rFonts w:ascii="Times New Roman"/>
          <w:color w:val="231F20"/>
          <w:spacing w:val="3"/>
          <w:w w:val="105"/>
          <w:sz w:val="18"/>
        </w:rPr>
        <w:t>2008</w:t>
      </w:r>
    </w:p>
    <w:p>
      <w:pPr>
        <w:spacing w:before="3"/>
        <w:ind w:left="110" w:right="1276" w:firstLine="0"/>
        <w:jc w:val="left"/>
        <w:rPr>
          <w:sz w:val="18"/>
        </w:rPr>
      </w:pPr>
      <w:r>
        <w:rPr>
          <w:color w:val="231F20"/>
          <w:w w:val="105"/>
          <w:sz w:val="18"/>
        </w:rPr>
        <w:t>IEEM. Instituto Electoral del Estado de México. (2006).</w:t>
      </w:r>
    </w:p>
    <w:p>
      <w:pPr>
        <w:spacing w:before="93"/>
        <w:ind w:left="393" w:right="1276" w:firstLine="0"/>
        <w:jc w:val="left"/>
        <w:rPr>
          <w:sz w:val="18"/>
        </w:rPr>
      </w:pPr>
      <w:r>
        <w:rPr>
          <w:color w:val="231F20"/>
          <w:sz w:val="18"/>
        </w:rPr>
        <w:t>Código Electoral del Estado de México, IEEM,  México.</w:t>
      </w:r>
    </w:p>
    <w:p>
      <w:pPr>
        <w:spacing w:line="348" w:lineRule="auto" w:before="93"/>
        <w:ind w:left="393" w:right="0" w:hanging="284"/>
        <w:jc w:val="left"/>
        <w:rPr>
          <w:sz w:val="18"/>
        </w:rPr>
      </w:pPr>
      <w:r>
        <w:rPr>
          <w:color w:val="231F20"/>
          <w:sz w:val="18"/>
        </w:rPr>
        <w:t>IEEM (2000). Sistema de Información Electoral Básica y Cartografía Digitalizada, CD versión 2001, Dirección de organización del Instituto Electoral del Estado de México, Toluca, México.</w:t>
      </w:r>
    </w:p>
    <w:p>
      <w:pPr>
        <w:spacing w:before="3"/>
        <w:ind w:left="110" w:right="1276" w:firstLine="0"/>
        <w:jc w:val="left"/>
        <w:rPr>
          <w:sz w:val="18"/>
        </w:rPr>
      </w:pPr>
      <w:r>
        <w:rPr>
          <w:color w:val="231F20"/>
          <w:sz w:val="18"/>
        </w:rPr>
        <w:t>IEEM (2005). Memorias de los procesos electorales 1993-2005, CD versión   2.001,</w:t>
      </w:r>
    </w:p>
    <w:p>
      <w:pPr>
        <w:spacing w:before="93"/>
        <w:ind w:left="393" w:right="0" w:firstLine="0"/>
        <w:jc w:val="left"/>
        <w:rPr>
          <w:sz w:val="18"/>
        </w:rPr>
      </w:pPr>
      <w:r>
        <w:rPr>
          <w:color w:val="231F20"/>
          <w:w w:val="105"/>
          <w:sz w:val="18"/>
        </w:rPr>
        <w:t>Dirección de organización del Instituto Electoral del Estado de México, Toluca, México.</w:t>
      </w:r>
    </w:p>
    <w:p>
      <w:pPr>
        <w:spacing w:before="93"/>
        <w:ind w:left="110" w:right="1276" w:firstLine="0"/>
        <w:jc w:val="left"/>
        <w:rPr>
          <w:sz w:val="18"/>
        </w:rPr>
      </w:pPr>
      <w:r>
        <w:rPr>
          <w:color w:val="231F20"/>
          <w:sz w:val="18"/>
        </w:rPr>
        <w:t>PRESIDENCIA MUNICIPAL (2009). Página web de la presidencia   municipal</w:t>
      </w:r>
    </w:p>
    <w:p>
      <w:pPr>
        <w:pStyle w:val="BodyText"/>
        <w:rPr>
          <w:sz w:val="25"/>
        </w:rPr>
      </w:pPr>
    </w:p>
    <w:p>
      <w:pPr>
        <w:pStyle w:val="Heading4"/>
        <w:ind w:right="1276"/>
        <w:jc w:val="left"/>
        <w:rPr>
          <w:i/>
        </w:rPr>
      </w:pPr>
      <w:r>
        <w:rPr>
          <w:i/>
          <w:color w:val="231F20"/>
        </w:rPr>
        <w:t>Entrevistas</w:t>
      </w:r>
    </w:p>
    <w:p>
      <w:pPr>
        <w:spacing w:line="348" w:lineRule="auto" w:before="54"/>
        <w:ind w:left="393" w:right="351" w:hanging="284"/>
        <w:jc w:val="both"/>
        <w:rPr>
          <w:sz w:val="18"/>
        </w:rPr>
      </w:pPr>
      <w:r>
        <w:rPr>
          <w:color w:val="231F20"/>
          <w:spacing w:val="-4"/>
          <w:w w:val="105"/>
          <w:sz w:val="18"/>
        </w:rPr>
        <w:t>NAVARRO</w:t>
      </w:r>
      <w:r>
        <w:rPr>
          <w:color w:val="231F20"/>
          <w:spacing w:val="-14"/>
          <w:w w:val="105"/>
          <w:sz w:val="18"/>
        </w:rPr>
        <w:t> </w:t>
      </w:r>
      <w:r>
        <w:rPr>
          <w:color w:val="231F20"/>
          <w:w w:val="105"/>
          <w:sz w:val="18"/>
        </w:rPr>
        <w:t>Rivera,</w:t>
      </w:r>
      <w:r>
        <w:rPr>
          <w:color w:val="231F20"/>
          <w:spacing w:val="-14"/>
          <w:w w:val="105"/>
          <w:sz w:val="18"/>
        </w:rPr>
        <w:t> </w:t>
      </w:r>
      <w:r>
        <w:rPr>
          <w:color w:val="231F20"/>
          <w:w w:val="105"/>
          <w:sz w:val="18"/>
        </w:rPr>
        <w:t>Raúl</w:t>
      </w:r>
      <w:r>
        <w:rPr>
          <w:color w:val="231F20"/>
          <w:spacing w:val="-14"/>
          <w:w w:val="105"/>
          <w:sz w:val="18"/>
        </w:rPr>
        <w:t> </w:t>
      </w:r>
      <w:r>
        <w:rPr>
          <w:color w:val="231F20"/>
          <w:w w:val="105"/>
          <w:sz w:val="18"/>
        </w:rPr>
        <w:t>(2008).</w:t>
      </w:r>
      <w:r>
        <w:rPr>
          <w:color w:val="231F20"/>
          <w:spacing w:val="-14"/>
          <w:w w:val="105"/>
          <w:sz w:val="18"/>
        </w:rPr>
        <w:t> </w:t>
      </w:r>
      <w:r>
        <w:rPr>
          <w:color w:val="231F20"/>
          <w:w w:val="105"/>
          <w:sz w:val="18"/>
        </w:rPr>
        <w:t>Presidente</w:t>
      </w:r>
      <w:r>
        <w:rPr>
          <w:color w:val="231F20"/>
          <w:spacing w:val="-14"/>
          <w:w w:val="105"/>
          <w:sz w:val="18"/>
        </w:rPr>
        <w:t> </w:t>
      </w:r>
      <w:r>
        <w:rPr>
          <w:color w:val="231F20"/>
          <w:w w:val="105"/>
          <w:sz w:val="18"/>
        </w:rPr>
        <w:t>Municipal</w:t>
      </w:r>
      <w:r>
        <w:rPr>
          <w:color w:val="231F20"/>
          <w:spacing w:val="-14"/>
          <w:w w:val="105"/>
          <w:sz w:val="18"/>
        </w:rPr>
        <w:t> </w:t>
      </w:r>
      <w:r>
        <w:rPr>
          <w:color w:val="231F20"/>
          <w:w w:val="105"/>
          <w:sz w:val="18"/>
        </w:rPr>
        <w:t>Constitucional</w:t>
      </w:r>
      <w:r>
        <w:rPr>
          <w:color w:val="231F20"/>
          <w:spacing w:val="-14"/>
          <w:w w:val="105"/>
          <w:sz w:val="18"/>
        </w:rPr>
        <w:t> </w:t>
      </w:r>
      <w:r>
        <w:rPr>
          <w:color w:val="231F20"/>
          <w:w w:val="105"/>
          <w:sz w:val="18"/>
        </w:rPr>
        <w:t>del</w:t>
      </w:r>
      <w:r>
        <w:rPr>
          <w:color w:val="231F20"/>
          <w:spacing w:val="-14"/>
          <w:w w:val="105"/>
          <w:sz w:val="18"/>
        </w:rPr>
        <w:t> </w:t>
      </w:r>
      <w:r>
        <w:rPr>
          <w:color w:val="231F20"/>
          <w:w w:val="105"/>
          <w:sz w:val="18"/>
        </w:rPr>
        <w:t>Municipio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Atlautla, Estado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México.</w:t>
      </w:r>
      <w:r>
        <w:rPr>
          <w:color w:val="231F20"/>
          <w:spacing w:val="-10"/>
          <w:w w:val="105"/>
          <w:sz w:val="18"/>
        </w:rPr>
        <w:t> </w:t>
      </w:r>
      <w:r>
        <w:rPr>
          <w:color w:val="231F20"/>
          <w:w w:val="105"/>
          <w:sz w:val="18"/>
        </w:rPr>
        <w:t>Entrevista</w:t>
      </w:r>
      <w:r>
        <w:rPr>
          <w:color w:val="231F20"/>
          <w:spacing w:val="-10"/>
          <w:w w:val="105"/>
          <w:sz w:val="18"/>
        </w:rPr>
        <w:t> </w:t>
      </w:r>
      <w:r>
        <w:rPr>
          <w:color w:val="231F20"/>
          <w:w w:val="105"/>
          <w:sz w:val="18"/>
        </w:rPr>
        <w:t>realizada</w:t>
      </w:r>
      <w:r>
        <w:rPr>
          <w:color w:val="231F20"/>
          <w:spacing w:val="-10"/>
          <w:w w:val="105"/>
          <w:sz w:val="18"/>
        </w:rPr>
        <w:t> </w:t>
      </w:r>
      <w:r>
        <w:rPr>
          <w:color w:val="231F20"/>
          <w:w w:val="105"/>
          <w:sz w:val="18"/>
        </w:rPr>
        <w:t>por</w:t>
      </w:r>
      <w:r>
        <w:rPr>
          <w:color w:val="231F20"/>
          <w:spacing w:val="-10"/>
          <w:w w:val="105"/>
          <w:sz w:val="18"/>
        </w:rPr>
        <w:t> </w:t>
      </w:r>
      <w:r>
        <w:rPr>
          <w:color w:val="231F20"/>
          <w:w w:val="105"/>
          <w:sz w:val="18"/>
        </w:rPr>
        <w:t>Gisela</w:t>
      </w:r>
      <w:r>
        <w:rPr>
          <w:color w:val="231F20"/>
          <w:spacing w:val="-10"/>
          <w:w w:val="105"/>
          <w:sz w:val="18"/>
        </w:rPr>
        <w:t> </w:t>
      </w:r>
      <w:r>
        <w:rPr>
          <w:color w:val="231F20"/>
          <w:w w:val="105"/>
          <w:sz w:val="18"/>
        </w:rPr>
        <w:t>Flores</w:t>
      </w:r>
      <w:r>
        <w:rPr>
          <w:color w:val="231F20"/>
          <w:spacing w:val="-10"/>
          <w:w w:val="105"/>
          <w:sz w:val="18"/>
        </w:rPr>
        <w:t> </w:t>
      </w:r>
      <w:r>
        <w:rPr>
          <w:color w:val="231F20"/>
          <w:w w:val="105"/>
          <w:sz w:val="18"/>
        </w:rPr>
        <w:t>Flores,</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Presidencia</w:t>
      </w:r>
      <w:r>
        <w:rPr>
          <w:color w:val="231F20"/>
          <w:spacing w:val="-10"/>
          <w:w w:val="105"/>
          <w:sz w:val="18"/>
        </w:rPr>
        <w:t> </w:t>
      </w:r>
      <w:r>
        <w:rPr>
          <w:color w:val="231F20"/>
          <w:w w:val="105"/>
          <w:sz w:val="18"/>
        </w:rPr>
        <w:t>Municipal, Atlautla,</w:t>
      </w:r>
      <w:r>
        <w:rPr>
          <w:color w:val="231F20"/>
          <w:spacing w:val="-14"/>
          <w:w w:val="105"/>
          <w:sz w:val="18"/>
        </w:rPr>
        <w:t> </w:t>
      </w:r>
      <w:r>
        <w:rPr>
          <w:color w:val="231F20"/>
          <w:w w:val="105"/>
          <w:sz w:val="18"/>
        </w:rPr>
        <w:t>Estado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México.</w:t>
      </w:r>
    </w:p>
    <w:p>
      <w:pPr>
        <w:spacing w:after="0" w:line="348" w:lineRule="auto"/>
        <w:jc w:val="both"/>
        <w:rPr>
          <w:sz w:val="18"/>
        </w:rPr>
        <w:sectPr>
          <w:pgSz w:w="9640" w:h="12190"/>
          <w:pgMar w:header="0" w:footer="743" w:top="1120" w:bottom="940" w:left="74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13"/>
      </w:pPr>
      <w:r>
        <w:rPr>
          <w:color w:val="231F20"/>
          <w:spacing w:val="-8"/>
          <w:w w:val="120"/>
        </w:rPr>
        <w:t>Partido </w:t>
      </w:r>
      <w:r>
        <w:rPr>
          <w:color w:val="231F20"/>
          <w:w w:val="120"/>
        </w:rPr>
        <w:t>De La </w:t>
      </w:r>
      <w:r>
        <w:rPr>
          <w:color w:val="231F20"/>
          <w:spacing w:val="-8"/>
          <w:w w:val="120"/>
        </w:rPr>
        <w:t>Revolución </w:t>
      </w:r>
      <w:r>
        <w:rPr>
          <w:color w:val="231F20"/>
          <w:spacing w:val="-6"/>
          <w:w w:val="120"/>
        </w:rPr>
        <w:t>Democrática</w:t>
      </w:r>
    </w:p>
    <w:p>
      <w:pPr>
        <w:spacing w:after="0"/>
        <w:sectPr>
          <w:footerReference w:type="default" r:id="rId683"/>
          <w:pgSz w:w="9640" w:h="12190"/>
          <w:pgMar w:footer="0" w:header="0" w:top="1120" w:bottom="280" w:left="1160" w:right="11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pStyle w:val="Heading2"/>
      </w:pPr>
      <w:r>
        <w:rPr>
          <w:color w:val="231F20"/>
          <w:w w:val="105"/>
        </w:rPr>
        <w:t>El gobierno del PRD en Amecameca</w:t>
      </w:r>
    </w:p>
    <w:p>
      <w:pPr>
        <w:pStyle w:val="BodyText"/>
        <w:spacing w:before="6"/>
        <w:rPr>
          <w:b/>
          <w:sz w:val="29"/>
        </w:rPr>
      </w:pPr>
    </w:p>
    <w:p>
      <w:pPr>
        <w:spacing w:before="0"/>
        <w:ind w:left="0" w:right="108" w:firstLine="0"/>
        <w:jc w:val="right"/>
        <w:rPr>
          <w:i/>
          <w:sz w:val="20"/>
        </w:rPr>
      </w:pPr>
      <w:r>
        <w:rPr>
          <w:i/>
          <w:color w:val="231F20"/>
          <w:sz w:val="20"/>
        </w:rPr>
        <w:t>Miguel Ángel Sánchez Ramos</w:t>
      </w:r>
    </w:p>
    <w:p>
      <w:pPr>
        <w:pStyle w:val="BodyText"/>
        <w:rPr>
          <w:i/>
          <w:sz w:val="20"/>
        </w:rPr>
      </w:pPr>
    </w:p>
    <w:p>
      <w:pPr>
        <w:pStyle w:val="BodyText"/>
        <w:rPr>
          <w:i/>
          <w:sz w:val="20"/>
        </w:rPr>
      </w:pPr>
    </w:p>
    <w:p>
      <w:pPr>
        <w:pStyle w:val="Heading3"/>
        <w:spacing w:before="154"/>
      </w:pPr>
      <w:r>
        <w:rPr>
          <w:color w:val="231F20"/>
          <w:w w:val="105"/>
        </w:rPr>
        <w:t>Introducción</w:t>
      </w:r>
    </w:p>
    <w:p>
      <w:pPr>
        <w:pStyle w:val="BodyText"/>
        <w:spacing w:line="285" w:lineRule="auto" w:before="38"/>
        <w:ind w:left="110" w:right="108"/>
        <w:jc w:val="both"/>
      </w:pPr>
      <w:r>
        <w:rPr>
          <w:color w:val="231F20"/>
          <w:w w:val="105"/>
        </w:rPr>
        <w:t>El</w:t>
      </w:r>
      <w:r>
        <w:rPr>
          <w:color w:val="231F20"/>
          <w:spacing w:val="-6"/>
          <w:w w:val="105"/>
        </w:rPr>
        <w:t> </w:t>
      </w:r>
      <w:r>
        <w:rPr>
          <w:color w:val="231F20"/>
          <w:w w:val="105"/>
        </w:rPr>
        <w:t>estudio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partidos</w:t>
      </w:r>
      <w:r>
        <w:rPr>
          <w:color w:val="231F20"/>
          <w:spacing w:val="-6"/>
          <w:w w:val="105"/>
        </w:rPr>
        <w:t> </w:t>
      </w:r>
      <w:r>
        <w:rPr>
          <w:color w:val="231F20"/>
          <w:w w:val="105"/>
        </w:rPr>
        <w:t>políticos</w:t>
      </w:r>
      <w:r>
        <w:rPr>
          <w:color w:val="231F20"/>
          <w:spacing w:val="-6"/>
          <w:w w:val="105"/>
        </w:rPr>
        <w:t> </w:t>
      </w:r>
      <w:r>
        <w:rPr>
          <w:color w:val="231F20"/>
          <w:w w:val="105"/>
        </w:rPr>
        <w:t>en</w:t>
      </w:r>
      <w:r>
        <w:rPr>
          <w:color w:val="231F20"/>
          <w:spacing w:val="-6"/>
          <w:w w:val="105"/>
        </w:rPr>
        <w:t> </w:t>
      </w:r>
      <w:r>
        <w:rPr>
          <w:color w:val="231F20"/>
          <w:w w:val="105"/>
        </w:rPr>
        <w:t>México</w:t>
      </w:r>
      <w:r>
        <w:rPr>
          <w:color w:val="231F20"/>
          <w:spacing w:val="-6"/>
          <w:w w:val="105"/>
        </w:rPr>
        <w:t> </w:t>
      </w:r>
      <w:r>
        <w:rPr>
          <w:color w:val="231F20"/>
          <w:w w:val="105"/>
        </w:rPr>
        <w:t>ha</w:t>
      </w:r>
      <w:r>
        <w:rPr>
          <w:color w:val="231F20"/>
          <w:spacing w:val="-6"/>
          <w:w w:val="105"/>
        </w:rPr>
        <w:t> </w:t>
      </w:r>
      <w:r>
        <w:rPr>
          <w:color w:val="231F20"/>
          <w:w w:val="105"/>
        </w:rPr>
        <w:t>sido</w:t>
      </w:r>
      <w:r>
        <w:rPr>
          <w:color w:val="231F20"/>
          <w:spacing w:val="-6"/>
          <w:w w:val="105"/>
        </w:rPr>
        <w:t> </w:t>
      </w:r>
      <w:r>
        <w:rPr>
          <w:color w:val="231F20"/>
          <w:w w:val="105"/>
        </w:rPr>
        <w:t>frecuente</w:t>
      </w:r>
      <w:r>
        <w:rPr>
          <w:color w:val="231F20"/>
          <w:spacing w:val="-6"/>
          <w:w w:val="105"/>
        </w:rPr>
        <w:t> </w:t>
      </w:r>
      <w:r>
        <w:rPr>
          <w:color w:val="231F20"/>
          <w:w w:val="105"/>
        </w:rPr>
        <w:t>entre</w:t>
      </w:r>
      <w:r>
        <w:rPr>
          <w:color w:val="231F20"/>
          <w:spacing w:val="-6"/>
          <w:w w:val="105"/>
        </w:rPr>
        <w:t> </w:t>
      </w:r>
      <w:r>
        <w:rPr>
          <w:color w:val="231F20"/>
          <w:w w:val="105"/>
        </w:rPr>
        <w:t>politólogos</w:t>
      </w:r>
      <w:r>
        <w:rPr>
          <w:color w:val="231F20"/>
          <w:spacing w:val="-6"/>
          <w:w w:val="105"/>
        </w:rPr>
        <w:t> </w:t>
      </w:r>
      <w:r>
        <w:rPr>
          <w:color w:val="231F20"/>
          <w:w w:val="105"/>
        </w:rPr>
        <w:t>o</w:t>
      </w:r>
      <w:r>
        <w:rPr>
          <w:color w:val="231F20"/>
          <w:spacing w:val="-6"/>
          <w:w w:val="105"/>
        </w:rPr>
        <w:t> </w:t>
      </w:r>
      <w:r>
        <w:rPr>
          <w:color w:val="231F20"/>
          <w:w w:val="105"/>
        </w:rPr>
        <w:t>es- tudiosos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política</w:t>
      </w:r>
      <w:r>
        <w:rPr>
          <w:color w:val="231F20"/>
          <w:spacing w:val="-14"/>
          <w:w w:val="105"/>
        </w:rPr>
        <w:t> </w:t>
      </w:r>
      <w:r>
        <w:rPr>
          <w:color w:val="231F20"/>
          <w:w w:val="105"/>
        </w:rPr>
        <w:t>y</w:t>
      </w:r>
      <w:r>
        <w:rPr>
          <w:color w:val="231F20"/>
          <w:spacing w:val="-14"/>
          <w:w w:val="105"/>
        </w:rPr>
        <w:t> </w:t>
      </w:r>
      <w:r>
        <w:rPr>
          <w:color w:val="231F20"/>
          <w:w w:val="105"/>
        </w:rPr>
        <w:t>sus</w:t>
      </w:r>
      <w:r>
        <w:rPr>
          <w:color w:val="231F20"/>
          <w:spacing w:val="-14"/>
          <w:w w:val="105"/>
        </w:rPr>
        <w:t> </w:t>
      </w:r>
      <w:r>
        <w:rPr>
          <w:color w:val="231F20"/>
          <w:w w:val="105"/>
        </w:rPr>
        <w:t>elementos.</w:t>
      </w:r>
      <w:r>
        <w:rPr>
          <w:color w:val="231F20"/>
          <w:spacing w:val="-14"/>
          <w:w w:val="105"/>
        </w:rPr>
        <w:t> </w:t>
      </w:r>
      <w:r>
        <w:rPr>
          <w:color w:val="231F20"/>
          <w:w w:val="105"/>
        </w:rPr>
        <w:t>Entre</w:t>
      </w:r>
      <w:r>
        <w:rPr>
          <w:color w:val="231F20"/>
          <w:spacing w:val="-14"/>
          <w:w w:val="105"/>
        </w:rPr>
        <w:t> </w:t>
      </w:r>
      <w:r>
        <w:rPr>
          <w:color w:val="231F20"/>
          <w:w w:val="105"/>
        </w:rPr>
        <w:t>ellos,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perspectiva</w:t>
      </w:r>
      <w:r>
        <w:rPr>
          <w:color w:val="231F20"/>
          <w:spacing w:val="-14"/>
          <w:w w:val="105"/>
        </w:rPr>
        <w:t> </w:t>
      </w:r>
      <w:r>
        <w:rPr>
          <w:color w:val="231F20"/>
          <w:w w:val="105"/>
        </w:rPr>
        <w:t>histórica,</w:t>
      </w:r>
      <w:r>
        <w:rPr>
          <w:color w:val="231F20"/>
          <w:spacing w:val="-14"/>
          <w:w w:val="105"/>
        </w:rPr>
        <w:t> </w:t>
      </w:r>
      <w:r>
        <w:rPr>
          <w:color w:val="231F20"/>
          <w:w w:val="105"/>
        </w:rPr>
        <w:t>destacan Fuentes</w:t>
      </w:r>
      <w:r>
        <w:rPr>
          <w:color w:val="231F20"/>
          <w:spacing w:val="-18"/>
          <w:w w:val="105"/>
        </w:rPr>
        <w:t> </w:t>
      </w:r>
      <w:r>
        <w:rPr>
          <w:color w:val="231F20"/>
          <w:spacing w:val="-6"/>
          <w:w w:val="105"/>
        </w:rPr>
        <w:t>(1979),</w:t>
      </w:r>
      <w:r>
        <w:rPr>
          <w:color w:val="231F20"/>
          <w:spacing w:val="-18"/>
          <w:w w:val="105"/>
        </w:rPr>
        <w:t> </w:t>
      </w:r>
      <w:r>
        <w:rPr>
          <w:color w:val="231F20"/>
          <w:w w:val="105"/>
        </w:rPr>
        <w:t>Garrido</w:t>
      </w:r>
      <w:r>
        <w:rPr>
          <w:color w:val="231F20"/>
          <w:spacing w:val="-18"/>
          <w:w w:val="105"/>
        </w:rPr>
        <w:t> </w:t>
      </w:r>
      <w:r>
        <w:rPr>
          <w:color w:val="231F20"/>
          <w:spacing w:val="-5"/>
          <w:w w:val="105"/>
        </w:rPr>
        <w:t>(1986),</w:t>
      </w:r>
      <w:r>
        <w:rPr>
          <w:color w:val="231F20"/>
          <w:spacing w:val="-18"/>
          <w:w w:val="105"/>
        </w:rPr>
        <w:t> </w:t>
      </w:r>
      <w:r>
        <w:rPr>
          <w:color w:val="231F20"/>
          <w:w w:val="105"/>
        </w:rPr>
        <w:t>González</w:t>
      </w:r>
      <w:r>
        <w:rPr>
          <w:color w:val="231F20"/>
          <w:spacing w:val="-18"/>
          <w:w w:val="105"/>
        </w:rPr>
        <w:t> </w:t>
      </w:r>
      <w:r>
        <w:rPr>
          <w:color w:val="231F20"/>
          <w:spacing w:val="-4"/>
          <w:w w:val="105"/>
        </w:rPr>
        <w:t>(1986)</w:t>
      </w:r>
      <w:r>
        <w:rPr>
          <w:color w:val="231F20"/>
          <w:spacing w:val="-18"/>
          <w:w w:val="105"/>
        </w:rPr>
        <w:t> </w:t>
      </w:r>
      <w:r>
        <w:rPr>
          <w:color w:val="231F20"/>
          <w:w w:val="105"/>
        </w:rPr>
        <w:t>y</w:t>
      </w:r>
      <w:r>
        <w:rPr>
          <w:color w:val="231F20"/>
          <w:spacing w:val="-18"/>
          <w:w w:val="105"/>
        </w:rPr>
        <w:t> </w:t>
      </w:r>
      <w:r>
        <w:rPr>
          <w:color w:val="231F20"/>
          <w:w w:val="105"/>
        </w:rPr>
        <w:t>Rodríguez</w:t>
      </w:r>
      <w:r>
        <w:rPr>
          <w:color w:val="231F20"/>
          <w:spacing w:val="-18"/>
          <w:w w:val="105"/>
        </w:rPr>
        <w:t> </w:t>
      </w:r>
      <w:r>
        <w:rPr>
          <w:color w:val="231F20"/>
          <w:w w:val="105"/>
        </w:rPr>
        <w:t>Araujo</w:t>
      </w:r>
      <w:r>
        <w:rPr>
          <w:color w:val="231F20"/>
          <w:spacing w:val="-18"/>
          <w:w w:val="105"/>
        </w:rPr>
        <w:t> </w:t>
      </w:r>
      <w:r>
        <w:rPr>
          <w:color w:val="231F20"/>
          <w:spacing w:val="-5"/>
          <w:w w:val="105"/>
        </w:rPr>
        <w:t>(1989);</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matiz de</w:t>
      </w:r>
      <w:r>
        <w:rPr>
          <w:color w:val="231F20"/>
          <w:spacing w:val="-17"/>
          <w:w w:val="105"/>
        </w:rPr>
        <w:t> </w:t>
      </w:r>
      <w:r>
        <w:rPr>
          <w:color w:val="231F20"/>
          <w:w w:val="105"/>
        </w:rPr>
        <w:t>la</w:t>
      </w:r>
      <w:r>
        <w:rPr>
          <w:color w:val="231F20"/>
          <w:spacing w:val="-17"/>
          <w:w w:val="105"/>
        </w:rPr>
        <w:t> </w:t>
      </w:r>
      <w:r>
        <w:rPr>
          <w:color w:val="231F20"/>
          <w:w w:val="105"/>
        </w:rPr>
        <w:t>transformación,</w:t>
      </w:r>
      <w:r>
        <w:rPr>
          <w:color w:val="231F20"/>
          <w:spacing w:val="-17"/>
          <w:w w:val="105"/>
        </w:rPr>
        <w:t> </w:t>
      </w:r>
      <w:r>
        <w:rPr>
          <w:color w:val="231F20"/>
          <w:w w:val="105"/>
        </w:rPr>
        <w:t>institucionalización,</w:t>
      </w:r>
      <w:r>
        <w:rPr>
          <w:color w:val="231F20"/>
          <w:spacing w:val="-17"/>
          <w:w w:val="105"/>
        </w:rPr>
        <w:t> </w:t>
      </w:r>
      <w:r>
        <w:rPr>
          <w:color w:val="231F20"/>
          <w:w w:val="105"/>
        </w:rPr>
        <w:t>y</w:t>
      </w:r>
      <w:r>
        <w:rPr>
          <w:color w:val="231F20"/>
          <w:spacing w:val="-17"/>
          <w:w w:val="105"/>
        </w:rPr>
        <w:t> </w:t>
      </w:r>
      <w:r>
        <w:rPr>
          <w:color w:val="231F20"/>
          <w:w w:val="105"/>
        </w:rPr>
        <w:t>democratización</w:t>
      </w:r>
      <w:r>
        <w:rPr>
          <w:color w:val="231F20"/>
          <w:spacing w:val="-17"/>
          <w:w w:val="105"/>
        </w:rPr>
        <w:t> </w:t>
      </w:r>
      <w:r>
        <w:rPr>
          <w:color w:val="231F20"/>
          <w:w w:val="105"/>
        </w:rPr>
        <w:t>están</w:t>
      </w:r>
      <w:r>
        <w:rPr>
          <w:color w:val="231F20"/>
          <w:spacing w:val="-17"/>
          <w:w w:val="105"/>
        </w:rPr>
        <w:t> </w:t>
      </w:r>
      <w:r>
        <w:rPr>
          <w:color w:val="231F20"/>
          <w:w w:val="105"/>
        </w:rPr>
        <w:t>Reyes</w:t>
      </w:r>
      <w:r>
        <w:rPr>
          <w:color w:val="231F20"/>
          <w:spacing w:val="-17"/>
          <w:w w:val="105"/>
        </w:rPr>
        <w:t> </w:t>
      </w:r>
      <w:r>
        <w:rPr>
          <w:color w:val="231F20"/>
          <w:w w:val="105"/>
        </w:rPr>
        <w:t>del</w:t>
      </w:r>
      <w:r>
        <w:rPr>
          <w:color w:val="231F20"/>
          <w:spacing w:val="-17"/>
          <w:w w:val="105"/>
        </w:rPr>
        <w:t> </w:t>
      </w:r>
      <w:r>
        <w:rPr>
          <w:color w:val="231F20"/>
          <w:w w:val="105"/>
        </w:rPr>
        <w:t>Campillo </w:t>
      </w:r>
      <w:r>
        <w:rPr>
          <w:color w:val="231F20"/>
          <w:spacing w:val="-5"/>
        </w:rPr>
        <w:t>(1996),</w:t>
      </w:r>
      <w:r>
        <w:rPr>
          <w:color w:val="231F20"/>
          <w:spacing w:val="-15"/>
        </w:rPr>
        <w:t> </w:t>
      </w:r>
      <w:r>
        <w:rPr>
          <w:color w:val="231F20"/>
        </w:rPr>
        <w:t>Reveles</w:t>
      </w:r>
      <w:r>
        <w:rPr>
          <w:color w:val="231F20"/>
          <w:spacing w:val="-15"/>
        </w:rPr>
        <w:t> </w:t>
      </w:r>
      <w:r>
        <w:rPr>
          <w:color w:val="231F20"/>
          <w:spacing w:val="-3"/>
        </w:rPr>
        <w:t>(1999;</w:t>
      </w:r>
      <w:r>
        <w:rPr>
          <w:color w:val="231F20"/>
          <w:spacing w:val="-15"/>
        </w:rPr>
        <w:t> </w:t>
      </w:r>
      <w:r>
        <w:rPr>
          <w:color w:val="231F20"/>
        </w:rPr>
        <w:t>2002;</w:t>
      </w:r>
      <w:r>
        <w:rPr>
          <w:color w:val="231F20"/>
          <w:spacing w:val="-15"/>
        </w:rPr>
        <w:t> </w:t>
      </w:r>
      <w:r>
        <w:rPr>
          <w:color w:val="231F20"/>
        </w:rPr>
        <w:t>2003;</w:t>
      </w:r>
      <w:r>
        <w:rPr>
          <w:color w:val="231F20"/>
          <w:spacing w:val="-15"/>
        </w:rPr>
        <w:t> </w:t>
      </w:r>
      <w:r>
        <w:rPr>
          <w:color w:val="231F20"/>
          <w:spacing w:val="3"/>
        </w:rPr>
        <w:t>2004,</w:t>
      </w:r>
      <w:r>
        <w:rPr>
          <w:color w:val="231F20"/>
          <w:spacing w:val="-15"/>
        </w:rPr>
        <w:t> </w:t>
      </w:r>
      <w:r>
        <w:rPr>
          <w:color w:val="231F20"/>
        </w:rPr>
        <w:t>2005),</w:t>
      </w:r>
      <w:r>
        <w:rPr>
          <w:color w:val="231F20"/>
          <w:spacing w:val="-15"/>
        </w:rPr>
        <w:t> </w:t>
      </w:r>
      <w:r>
        <w:rPr>
          <w:color w:val="231F20"/>
          <w:spacing w:val="-3"/>
        </w:rPr>
        <w:t>Woldenberg</w:t>
      </w:r>
      <w:r>
        <w:rPr>
          <w:color w:val="231F20"/>
          <w:spacing w:val="-15"/>
        </w:rPr>
        <w:t> </w:t>
      </w:r>
      <w:r>
        <w:rPr>
          <w:color w:val="231F20"/>
        </w:rPr>
        <w:t>(2000),</w:t>
      </w:r>
      <w:r>
        <w:rPr>
          <w:color w:val="231F20"/>
          <w:spacing w:val="-15"/>
        </w:rPr>
        <w:t> </w:t>
      </w:r>
      <w:r>
        <w:rPr>
          <w:color w:val="231F20"/>
        </w:rPr>
        <w:t>Loaeza</w:t>
      </w:r>
      <w:r>
        <w:rPr>
          <w:color w:val="231F20"/>
          <w:spacing w:val="-15"/>
        </w:rPr>
        <w:t> </w:t>
      </w:r>
      <w:r>
        <w:rPr>
          <w:color w:val="231F20"/>
          <w:spacing w:val="-5"/>
        </w:rPr>
        <w:t>(1999),</w:t>
      </w:r>
      <w:r>
        <w:rPr>
          <w:color w:val="231F20"/>
          <w:spacing w:val="-15"/>
        </w:rPr>
        <w:t> </w:t>
      </w:r>
      <w:r>
        <w:rPr>
          <w:color w:val="231F20"/>
        </w:rPr>
        <w:t>Borjas </w:t>
      </w:r>
      <w:r>
        <w:rPr>
          <w:color w:val="231F20"/>
          <w:w w:val="105"/>
        </w:rPr>
        <w:t>(2003),</w:t>
      </w:r>
      <w:r>
        <w:rPr>
          <w:color w:val="231F20"/>
          <w:spacing w:val="-27"/>
          <w:w w:val="105"/>
        </w:rPr>
        <w:t> </w:t>
      </w:r>
      <w:r>
        <w:rPr>
          <w:color w:val="231F20"/>
          <w:w w:val="105"/>
        </w:rPr>
        <w:t>Sánchez</w:t>
      </w:r>
      <w:r>
        <w:rPr>
          <w:color w:val="231F20"/>
          <w:spacing w:val="-27"/>
          <w:w w:val="105"/>
        </w:rPr>
        <w:t> </w:t>
      </w:r>
      <w:r>
        <w:rPr>
          <w:color w:val="231F20"/>
          <w:spacing w:val="-4"/>
          <w:w w:val="105"/>
        </w:rPr>
        <w:t>(2001).</w:t>
      </w:r>
      <w:r>
        <w:rPr>
          <w:color w:val="231F20"/>
          <w:spacing w:val="-27"/>
          <w:w w:val="105"/>
        </w:rPr>
        <w:t> </w:t>
      </w:r>
      <w:r>
        <w:rPr>
          <w:color w:val="231F20"/>
          <w:w w:val="105"/>
        </w:rPr>
        <w:t>La</w:t>
      </w:r>
      <w:r>
        <w:rPr>
          <w:color w:val="231F20"/>
          <w:spacing w:val="-27"/>
          <w:w w:val="105"/>
        </w:rPr>
        <w:t> </w:t>
      </w:r>
      <w:r>
        <w:rPr>
          <w:color w:val="231F20"/>
          <w:w w:val="105"/>
        </w:rPr>
        <w:t>mayoría</w:t>
      </w:r>
      <w:r>
        <w:rPr>
          <w:color w:val="231F20"/>
          <w:spacing w:val="-27"/>
          <w:w w:val="105"/>
        </w:rPr>
        <w:t> </w:t>
      </w:r>
      <w:r>
        <w:rPr>
          <w:color w:val="231F20"/>
          <w:w w:val="105"/>
        </w:rPr>
        <w:t>de</w:t>
      </w:r>
      <w:r>
        <w:rPr>
          <w:color w:val="231F20"/>
          <w:spacing w:val="-27"/>
          <w:w w:val="105"/>
        </w:rPr>
        <w:t> </w:t>
      </w:r>
      <w:r>
        <w:rPr>
          <w:color w:val="231F20"/>
          <w:w w:val="105"/>
        </w:rPr>
        <w:t>ellos</w:t>
      </w:r>
      <w:r>
        <w:rPr>
          <w:color w:val="231F20"/>
          <w:spacing w:val="-27"/>
          <w:w w:val="105"/>
        </w:rPr>
        <w:t> </w:t>
      </w:r>
      <w:r>
        <w:rPr>
          <w:color w:val="231F20"/>
          <w:w w:val="105"/>
        </w:rPr>
        <w:t>se</w:t>
      </w:r>
      <w:r>
        <w:rPr>
          <w:color w:val="231F20"/>
          <w:spacing w:val="-27"/>
          <w:w w:val="105"/>
        </w:rPr>
        <w:t> </w:t>
      </w:r>
      <w:r>
        <w:rPr>
          <w:color w:val="231F20"/>
          <w:w w:val="105"/>
        </w:rPr>
        <w:t>enfoca</w:t>
      </w:r>
      <w:r>
        <w:rPr>
          <w:color w:val="231F20"/>
          <w:spacing w:val="-27"/>
          <w:w w:val="105"/>
        </w:rPr>
        <w:t> </w:t>
      </w:r>
      <w:r>
        <w:rPr>
          <w:color w:val="231F20"/>
          <w:w w:val="105"/>
        </w:rPr>
        <w:t>a</w:t>
      </w:r>
      <w:r>
        <w:rPr>
          <w:color w:val="231F20"/>
          <w:spacing w:val="-27"/>
          <w:w w:val="105"/>
        </w:rPr>
        <w:t> </w:t>
      </w:r>
      <w:r>
        <w:rPr>
          <w:color w:val="231F20"/>
          <w:w w:val="105"/>
        </w:rPr>
        <w:t>dar</w:t>
      </w:r>
      <w:r>
        <w:rPr>
          <w:color w:val="231F20"/>
          <w:spacing w:val="-27"/>
          <w:w w:val="105"/>
        </w:rPr>
        <w:t> </w:t>
      </w:r>
      <w:r>
        <w:rPr>
          <w:color w:val="231F20"/>
          <w:w w:val="105"/>
        </w:rPr>
        <w:t>cuenta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transformación</w:t>
      </w:r>
      <w:r>
        <w:rPr>
          <w:color w:val="231F20"/>
          <w:spacing w:val="-27"/>
          <w:w w:val="105"/>
        </w:rPr>
        <w:t> </w:t>
      </w:r>
      <w:r>
        <w:rPr>
          <w:color w:val="231F20"/>
          <w:w w:val="105"/>
        </w:rPr>
        <w:t>e institucionalización</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partidos</w:t>
      </w:r>
      <w:r>
        <w:rPr>
          <w:color w:val="231F20"/>
          <w:spacing w:val="-11"/>
          <w:w w:val="105"/>
        </w:rPr>
        <w:t> </w:t>
      </w:r>
      <w:r>
        <w:rPr>
          <w:color w:val="231F20"/>
          <w:w w:val="105"/>
        </w:rPr>
        <w:t>políticos</w:t>
      </w:r>
      <w:r>
        <w:rPr>
          <w:color w:val="231F20"/>
          <w:spacing w:val="-11"/>
          <w:w w:val="105"/>
        </w:rPr>
        <w:t> </w:t>
      </w:r>
      <w:r>
        <w:rPr>
          <w:color w:val="231F20"/>
          <w:w w:val="105"/>
        </w:rPr>
        <w:t>han</w:t>
      </w:r>
      <w:r>
        <w:rPr>
          <w:color w:val="231F20"/>
          <w:spacing w:val="-11"/>
          <w:w w:val="105"/>
        </w:rPr>
        <w:t> </w:t>
      </w:r>
      <w:r>
        <w:rPr>
          <w:color w:val="231F20"/>
          <w:w w:val="105"/>
        </w:rPr>
        <w:t>sufrido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plano</w:t>
      </w:r>
      <w:r>
        <w:rPr>
          <w:color w:val="231F20"/>
          <w:spacing w:val="-11"/>
          <w:w w:val="105"/>
        </w:rPr>
        <w:t> </w:t>
      </w:r>
      <w:r>
        <w:rPr>
          <w:color w:val="231F20"/>
          <w:w w:val="105"/>
        </w:rPr>
        <w:t>nacional.</w:t>
      </w:r>
    </w:p>
    <w:p>
      <w:pPr>
        <w:pStyle w:val="BodyText"/>
        <w:spacing w:before="1"/>
        <w:rPr>
          <w:sz w:val="26"/>
        </w:rPr>
      </w:pPr>
    </w:p>
    <w:p>
      <w:pPr>
        <w:pStyle w:val="BodyText"/>
        <w:spacing w:line="285" w:lineRule="auto"/>
        <w:ind w:left="110" w:right="108"/>
        <w:jc w:val="both"/>
      </w:pPr>
      <w:r>
        <w:rPr>
          <w:color w:val="231F20"/>
          <w:spacing w:val="-5"/>
        </w:rPr>
        <w:t>También </w:t>
      </w:r>
      <w:r>
        <w:rPr>
          <w:color w:val="231F20"/>
          <w:spacing w:val="-3"/>
        </w:rPr>
        <w:t>hay investigaciones que versan </w:t>
      </w:r>
      <w:r>
        <w:rPr>
          <w:color w:val="231F20"/>
          <w:spacing w:val="-4"/>
        </w:rPr>
        <w:t>sobre </w:t>
      </w:r>
      <w:r>
        <w:rPr>
          <w:color w:val="231F20"/>
        </w:rPr>
        <w:t>el </w:t>
      </w:r>
      <w:r>
        <w:rPr>
          <w:color w:val="231F20"/>
          <w:spacing w:val="-4"/>
        </w:rPr>
        <w:t>desempeño </w:t>
      </w:r>
      <w:r>
        <w:rPr>
          <w:color w:val="231F20"/>
        </w:rPr>
        <w:t>de </w:t>
      </w:r>
      <w:r>
        <w:rPr>
          <w:color w:val="231F20"/>
          <w:spacing w:val="-3"/>
        </w:rPr>
        <w:t>los </w:t>
      </w:r>
      <w:r>
        <w:rPr>
          <w:color w:val="231F20"/>
          <w:spacing w:val="-4"/>
        </w:rPr>
        <w:t>gobiernos </w:t>
      </w:r>
      <w:r>
        <w:rPr>
          <w:color w:val="231F20"/>
        </w:rPr>
        <w:t>locales, </w:t>
      </w:r>
      <w:r>
        <w:rPr>
          <w:color w:val="231F20"/>
          <w:spacing w:val="-3"/>
        </w:rPr>
        <w:t>entre </w:t>
      </w:r>
      <w:r>
        <w:rPr>
          <w:color w:val="231F20"/>
        </w:rPr>
        <w:t>estos están Guillén </w:t>
      </w:r>
      <w:r>
        <w:rPr>
          <w:color w:val="231F20"/>
          <w:spacing w:val="-6"/>
        </w:rPr>
        <w:t>(1996), </w:t>
      </w:r>
      <w:r>
        <w:rPr>
          <w:color w:val="231F20"/>
          <w:spacing w:val="-3"/>
        </w:rPr>
        <w:t>Merino </w:t>
      </w:r>
      <w:r>
        <w:rPr>
          <w:color w:val="231F20"/>
          <w:spacing w:val="-5"/>
        </w:rPr>
        <w:t>(1990, 1994), </w:t>
      </w:r>
      <w:r>
        <w:rPr>
          <w:color w:val="231F20"/>
        </w:rPr>
        <w:t>Ziccardi </w:t>
      </w:r>
      <w:r>
        <w:rPr>
          <w:color w:val="231F20"/>
          <w:spacing w:val="-8"/>
        </w:rPr>
        <w:t>(1991, </w:t>
      </w:r>
      <w:r>
        <w:rPr>
          <w:color w:val="231F20"/>
        </w:rPr>
        <w:t>1994a, </w:t>
      </w:r>
      <w:r>
        <w:rPr>
          <w:color w:val="231F20"/>
          <w:spacing w:val="-3"/>
        </w:rPr>
        <w:t>1994b, </w:t>
      </w:r>
      <w:r>
        <w:rPr>
          <w:color w:val="231F20"/>
          <w:spacing w:val="-4"/>
        </w:rPr>
        <w:t>1995,1998a,</w:t>
      </w:r>
    </w:p>
    <w:p>
      <w:pPr>
        <w:pStyle w:val="BodyText"/>
        <w:spacing w:before="1"/>
        <w:ind w:left="110"/>
        <w:jc w:val="both"/>
      </w:pPr>
      <w:r>
        <w:rPr>
          <w:color w:val="231F20"/>
        </w:rPr>
        <w:t>1998b, 2000), Mejía (1994), Cabrero (1996a; 1996b; 2005, ), García (1999), Garza (1998),</w:t>
      </w:r>
    </w:p>
    <w:p>
      <w:pPr>
        <w:pStyle w:val="BodyText"/>
        <w:spacing w:line="285" w:lineRule="auto" w:before="47"/>
        <w:ind w:left="110" w:right="107"/>
        <w:jc w:val="both"/>
      </w:pPr>
      <w:r>
        <w:rPr>
          <w:color w:val="231F20"/>
          <w:spacing w:val="-4"/>
          <w:w w:val="105"/>
        </w:rPr>
        <w:t>Delgado</w:t>
      </w:r>
      <w:r>
        <w:rPr>
          <w:color w:val="231F20"/>
          <w:spacing w:val="-26"/>
          <w:w w:val="105"/>
        </w:rPr>
        <w:t> </w:t>
      </w:r>
      <w:r>
        <w:rPr>
          <w:color w:val="231F20"/>
          <w:spacing w:val="-6"/>
          <w:w w:val="105"/>
        </w:rPr>
        <w:t>(1995),</w:t>
      </w:r>
      <w:r>
        <w:rPr>
          <w:color w:val="231F20"/>
          <w:spacing w:val="-26"/>
          <w:w w:val="105"/>
        </w:rPr>
        <w:t> </w:t>
      </w:r>
      <w:r>
        <w:rPr>
          <w:color w:val="231F20"/>
          <w:spacing w:val="-4"/>
          <w:w w:val="105"/>
        </w:rPr>
        <w:t>Pérez</w:t>
      </w:r>
      <w:r>
        <w:rPr>
          <w:color w:val="231F20"/>
          <w:spacing w:val="-26"/>
          <w:w w:val="105"/>
        </w:rPr>
        <w:t> </w:t>
      </w:r>
      <w:r>
        <w:rPr>
          <w:color w:val="231F20"/>
          <w:spacing w:val="-6"/>
          <w:w w:val="105"/>
        </w:rPr>
        <w:t>(1994),</w:t>
      </w:r>
      <w:r>
        <w:rPr>
          <w:color w:val="231F20"/>
          <w:spacing w:val="-26"/>
          <w:w w:val="105"/>
        </w:rPr>
        <w:t> </w:t>
      </w:r>
      <w:r>
        <w:rPr>
          <w:color w:val="231F20"/>
          <w:w w:val="105"/>
        </w:rPr>
        <w:t>Ramírez</w:t>
      </w:r>
      <w:r>
        <w:rPr>
          <w:color w:val="231F20"/>
          <w:spacing w:val="-26"/>
          <w:w w:val="105"/>
        </w:rPr>
        <w:t> </w:t>
      </w:r>
      <w:r>
        <w:rPr>
          <w:color w:val="231F20"/>
          <w:spacing w:val="-6"/>
          <w:w w:val="105"/>
        </w:rPr>
        <w:t>(1998)</w:t>
      </w:r>
      <w:r>
        <w:rPr>
          <w:color w:val="231F20"/>
          <w:spacing w:val="-26"/>
          <w:w w:val="105"/>
        </w:rPr>
        <w:t> </w:t>
      </w:r>
      <w:r>
        <w:rPr>
          <w:color w:val="231F20"/>
          <w:w w:val="105"/>
        </w:rPr>
        <w:t>y</w:t>
      </w:r>
      <w:r>
        <w:rPr>
          <w:color w:val="231F20"/>
          <w:spacing w:val="-26"/>
          <w:w w:val="105"/>
        </w:rPr>
        <w:t> </w:t>
      </w:r>
      <w:r>
        <w:rPr>
          <w:color w:val="231F20"/>
          <w:w w:val="105"/>
        </w:rPr>
        <w:t>de</w:t>
      </w:r>
      <w:r>
        <w:rPr>
          <w:color w:val="231F20"/>
          <w:spacing w:val="-26"/>
          <w:w w:val="105"/>
        </w:rPr>
        <w:t> </w:t>
      </w:r>
      <w:r>
        <w:rPr>
          <w:color w:val="231F20"/>
          <w:w w:val="105"/>
        </w:rPr>
        <w:t>ellos,</w:t>
      </w:r>
      <w:r>
        <w:rPr>
          <w:color w:val="231F20"/>
          <w:spacing w:val="-26"/>
          <w:w w:val="105"/>
        </w:rPr>
        <w:t> </w:t>
      </w:r>
      <w:r>
        <w:rPr>
          <w:color w:val="231F20"/>
          <w:w w:val="105"/>
        </w:rPr>
        <w:t>un</w:t>
      </w:r>
      <w:r>
        <w:rPr>
          <w:color w:val="231F20"/>
          <w:spacing w:val="-26"/>
          <w:w w:val="105"/>
        </w:rPr>
        <w:t> </w:t>
      </w:r>
      <w:r>
        <w:rPr>
          <w:color w:val="231F20"/>
          <w:w w:val="105"/>
        </w:rPr>
        <w:t>esfuerzo</w:t>
      </w:r>
      <w:r>
        <w:rPr>
          <w:color w:val="231F20"/>
          <w:spacing w:val="-26"/>
          <w:w w:val="105"/>
        </w:rPr>
        <w:t> </w:t>
      </w:r>
      <w:r>
        <w:rPr>
          <w:color w:val="231F20"/>
          <w:spacing w:val="-3"/>
          <w:w w:val="105"/>
        </w:rPr>
        <w:t>interesante</w:t>
      </w:r>
      <w:r>
        <w:rPr>
          <w:color w:val="231F20"/>
          <w:spacing w:val="-26"/>
          <w:w w:val="105"/>
        </w:rPr>
        <w:t> </w:t>
      </w:r>
      <w:r>
        <w:rPr>
          <w:color w:val="231F20"/>
          <w:w w:val="105"/>
        </w:rPr>
        <w:t>para</w:t>
      </w:r>
      <w:r>
        <w:rPr>
          <w:color w:val="231F20"/>
          <w:spacing w:val="-26"/>
          <w:w w:val="105"/>
        </w:rPr>
        <w:t> </w:t>
      </w:r>
      <w:r>
        <w:rPr>
          <w:color w:val="231F20"/>
          <w:w w:val="105"/>
        </w:rPr>
        <w:t>ligar el</w:t>
      </w:r>
      <w:r>
        <w:rPr>
          <w:color w:val="231F20"/>
          <w:spacing w:val="-5"/>
          <w:w w:val="105"/>
        </w:rPr>
        <w:t> </w:t>
      </w:r>
      <w:r>
        <w:rPr>
          <w:color w:val="231F20"/>
          <w:spacing w:val="-4"/>
          <w:w w:val="105"/>
        </w:rPr>
        <w:t>gobierno</w:t>
      </w:r>
      <w:r>
        <w:rPr>
          <w:color w:val="231F20"/>
          <w:spacing w:val="-5"/>
          <w:w w:val="105"/>
        </w:rPr>
        <w:t> </w:t>
      </w:r>
      <w:r>
        <w:rPr>
          <w:color w:val="231F20"/>
          <w:w w:val="105"/>
        </w:rPr>
        <w:t>al</w:t>
      </w:r>
      <w:r>
        <w:rPr>
          <w:color w:val="231F20"/>
          <w:spacing w:val="-5"/>
          <w:w w:val="105"/>
        </w:rPr>
        <w:t> </w:t>
      </w:r>
      <w:r>
        <w:rPr>
          <w:color w:val="231F20"/>
          <w:spacing w:val="-4"/>
          <w:w w:val="105"/>
        </w:rPr>
        <w:t>ejercicio</w:t>
      </w:r>
      <w:r>
        <w:rPr>
          <w:color w:val="231F20"/>
          <w:spacing w:val="-5"/>
          <w:w w:val="105"/>
        </w:rPr>
        <w:t> </w:t>
      </w:r>
      <w:r>
        <w:rPr>
          <w:color w:val="231F20"/>
          <w:spacing w:val="-3"/>
          <w:w w:val="105"/>
        </w:rPr>
        <w:t>del</w:t>
      </w:r>
      <w:r>
        <w:rPr>
          <w:color w:val="231F20"/>
          <w:spacing w:val="-5"/>
          <w:w w:val="105"/>
        </w:rPr>
        <w:t> </w:t>
      </w:r>
      <w:r>
        <w:rPr>
          <w:color w:val="231F20"/>
          <w:w w:val="105"/>
        </w:rPr>
        <w:t>partido</w:t>
      </w:r>
      <w:r>
        <w:rPr>
          <w:color w:val="231F20"/>
          <w:spacing w:val="-5"/>
          <w:w w:val="105"/>
        </w:rPr>
        <w:t> </w:t>
      </w:r>
      <w:r>
        <w:rPr>
          <w:color w:val="231F20"/>
          <w:w w:val="105"/>
        </w:rPr>
        <w:t>está</w:t>
      </w:r>
      <w:r>
        <w:rPr>
          <w:color w:val="231F20"/>
          <w:spacing w:val="-5"/>
          <w:w w:val="105"/>
        </w:rPr>
        <w:t> </w:t>
      </w:r>
      <w:r>
        <w:rPr>
          <w:color w:val="231F20"/>
          <w:w w:val="105"/>
        </w:rPr>
        <w:t>en</w:t>
      </w:r>
      <w:r>
        <w:rPr>
          <w:color w:val="231F20"/>
          <w:spacing w:val="-5"/>
          <w:w w:val="105"/>
        </w:rPr>
        <w:t> </w:t>
      </w:r>
      <w:r>
        <w:rPr>
          <w:color w:val="231F20"/>
          <w:spacing w:val="-3"/>
          <w:w w:val="105"/>
        </w:rPr>
        <w:t>los</w:t>
      </w:r>
      <w:r>
        <w:rPr>
          <w:color w:val="231F20"/>
          <w:spacing w:val="-5"/>
          <w:w w:val="105"/>
        </w:rPr>
        <w:t> </w:t>
      </w:r>
      <w:r>
        <w:rPr>
          <w:color w:val="231F20"/>
          <w:spacing w:val="-3"/>
          <w:w w:val="105"/>
        </w:rPr>
        <w:t>trabajos</w:t>
      </w:r>
      <w:r>
        <w:rPr>
          <w:color w:val="231F20"/>
          <w:spacing w:val="-5"/>
          <w:w w:val="105"/>
        </w:rPr>
        <w:t> </w:t>
      </w:r>
      <w:r>
        <w:rPr>
          <w:color w:val="231F20"/>
          <w:w w:val="105"/>
        </w:rPr>
        <w:t>de</w:t>
      </w:r>
      <w:r>
        <w:rPr>
          <w:color w:val="231F20"/>
          <w:spacing w:val="-5"/>
          <w:w w:val="105"/>
        </w:rPr>
        <w:t> </w:t>
      </w:r>
      <w:r>
        <w:rPr>
          <w:color w:val="231F20"/>
          <w:w w:val="105"/>
        </w:rPr>
        <w:t>Ziccardi,</w:t>
      </w:r>
      <w:r>
        <w:rPr>
          <w:color w:val="231F20"/>
          <w:spacing w:val="-5"/>
          <w:w w:val="105"/>
        </w:rPr>
        <w:t> </w:t>
      </w:r>
      <w:r>
        <w:rPr>
          <w:color w:val="231F20"/>
          <w:w w:val="105"/>
        </w:rPr>
        <w:t>Guillén</w:t>
      </w:r>
      <w:r>
        <w:rPr>
          <w:color w:val="231F20"/>
          <w:spacing w:val="-5"/>
          <w:w w:val="105"/>
        </w:rPr>
        <w:t> </w:t>
      </w:r>
      <w:r>
        <w:rPr>
          <w:color w:val="231F20"/>
          <w:spacing w:val="-6"/>
          <w:w w:val="105"/>
        </w:rPr>
        <w:t>(1996)</w:t>
      </w:r>
      <w:r>
        <w:rPr>
          <w:color w:val="231F20"/>
          <w:spacing w:val="-5"/>
          <w:w w:val="105"/>
        </w:rPr>
        <w:t> </w:t>
      </w:r>
      <w:r>
        <w:rPr>
          <w:color w:val="231F20"/>
          <w:w w:val="105"/>
        </w:rPr>
        <w:t>y</w:t>
      </w:r>
      <w:r>
        <w:rPr>
          <w:color w:val="231F20"/>
          <w:spacing w:val="-5"/>
          <w:w w:val="105"/>
        </w:rPr>
        <w:t> </w:t>
      </w:r>
      <w:r>
        <w:rPr>
          <w:color w:val="231F20"/>
          <w:spacing w:val="-3"/>
          <w:w w:val="105"/>
        </w:rPr>
        <w:t>Ra- </w:t>
      </w:r>
      <w:r>
        <w:rPr>
          <w:color w:val="231F20"/>
          <w:w w:val="105"/>
        </w:rPr>
        <w:t>mírez</w:t>
      </w:r>
      <w:r>
        <w:rPr>
          <w:color w:val="231F20"/>
          <w:spacing w:val="-6"/>
          <w:w w:val="105"/>
        </w:rPr>
        <w:t> </w:t>
      </w:r>
      <w:r>
        <w:rPr>
          <w:color w:val="231F20"/>
          <w:spacing w:val="-7"/>
          <w:w w:val="105"/>
        </w:rPr>
        <w:t>(1998).</w:t>
      </w:r>
      <w:r>
        <w:rPr>
          <w:color w:val="231F20"/>
          <w:spacing w:val="-6"/>
          <w:w w:val="105"/>
        </w:rPr>
        <w:t> </w:t>
      </w:r>
      <w:r>
        <w:rPr>
          <w:color w:val="231F20"/>
          <w:w w:val="105"/>
        </w:rPr>
        <w:t>Es</w:t>
      </w:r>
      <w:r>
        <w:rPr>
          <w:color w:val="231F20"/>
          <w:spacing w:val="-6"/>
          <w:w w:val="105"/>
        </w:rPr>
        <w:t> </w:t>
      </w:r>
      <w:r>
        <w:rPr>
          <w:color w:val="231F20"/>
          <w:w w:val="105"/>
        </w:rPr>
        <w:t>estas</w:t>
      </w:r>
      <w:r>
        <w:rPr>
          <w:color w:val="231F20"/>
          <w:spacing w:val="-6"/>
          <w:w w:val="105"/>
        </w:rPr>
        <w:t> </w:t>
      </w:r>
      <w:r>
        <w:rPr>
          <w:color w:val="231F20"/>
          <w:spacing w:val="-3"/>
          <w:w w:val="105"/>
        </w:rPr>
        <w:t>investigaciones</w:t>
      </w:r>
      <w:r>
        <w:rPr>
          <w:color w:val="231F20"/>
          <w:spacing w:val="-6"/>
          <w:w w:val="105"/>
        </w:rPr>
        <w:t> </w:t>
      </w:r>
      <w:r>
        <w:rPr>
          <w:color w:val="231F20"/>
          <w:w w:val="105"/>
        </w:rPr>
        <w:t>se</w:t>
      </w:r>
      <w:r>
        <w:rPr>
          <w:color w:val="231F20"/>
          <w:spacing w:val="-6"/>
          <w:w w:val="105"/>
        </w:rPr>
        <w:t> </w:t>
      </w:r>
      <w:r>
        <w:rPr>
          <w:color w:val="231F20"/>
          <w:spacing w:val="-3"/>
          <w:w w:val="105"/>
        </w:rPr>
        <w:t>encuentran</w:t>
      </w:r>
      <w:r>
        <w:rPr>
          <w:color w:val="231F20"/>
          <w:spacing w:val="-6"/>
          <w:w w:val="105"/>
        </w:rPr>
        <w:t> </w:t>
      </w:r>
      <w:r>
        <w:rPr>
          <w:color w:val="231F20"/>
          <w:spacing w:val="-3"/>
          <w:w w:val="105"/>
        </w:rPr>
        <w:t>resultados</w:t>
      </w:r>
      <w:r>
        <w:rPr>
          <w:color w:val="231F20"/>
          <w:spacing w:val="-6"/>
          <w:w w:val="105"/>
        </w:rPr>
        <w:t> </w:t>
      </w:r>
      <w:r>
        <w:rPr>
          <w:color w:val="231F20"/>
          <w:spacing w:val="-3"/>
          <w:w w:val="105"/>
        </w:rPr>
        <w:t>que</w:t>
      </w:r>
      <w:r>
        <w:rPr>
          <w:color w:val="231F20"/>
          <w:spacing w:val="-6"/>
          <w:w w:val="105"/>
        </w:rPr>
        <w:t> </w:t>
      </w:r>
      <w:r>
        <w:rPr>
          <w:color w:val="231F20"/>
          <w:w w:val="105"/>
        </w:rPr>
        <w:t>sitúan</w:t>
      </w:r>
      <w:r>
        <w:rPr>
          <w:color w:val="231F20"/>
          <w:spacing w:val="-6"/>
          <w:w w:val="105"/>
        </w:rPr>
        <w:t> </w:t>
      </w:r>
      <w:r>
        <w:rPr>
          <w:color w:val="231F20"/>
          <w:w w:val="105"/>
        </w:rPr>
        <w:t>a</w:t>
      </w:r>
      <w:r>
        <w:rPr>
          <w:color w:val="231F20"/>
          <w:spacing w:val="-6"/>
          <w:w w:val="105"/>
        </w:rPr>
        <w:t> </w:t>
      </w:r>
      <w:r>
        <w:rPr>
          <w:color w:val="231F20"/>
          <w:spacing w:val="-3"/>
          <w:w w:val="105"/>
        </w:rPr>
        <w:t>los</w:t>
      </w:r>
      <w:r>
        <w:rPr>
          <w:color w:val="231F20"/>
          <w:spacing w:val="-6"/>
          <w:w w:val="105"/>
        </w:rPr>
        <w:t> </w:t>
      </w:r>
      <w:r>
        <w:rPr>
          <w:color w:val="231F20"/>
          <w:w w:val="105"/>
        </w:rPr>
        <w:t>partidos </w:t>
      </w:r>
      <w:r>
        <w:rPr>
          <w:color w:val="231F20"/>
          <w:spacing w:val="-3"/>
          <w:w w:val="105"/>
        </w:rPr>
        <w:t>políticos </w:t>
      </w:r>
      <w:r>
        <w:rPr>
          <w:color w:val="231F20"/>
          <w:spacing w:val="-4"/>
          <w:w w:val="105"/>
        </w:rPr>
        <w:t>como </w:t>
      </w:r>
      <w:r>
        <w:rPr>
          <w:color w:val="231F20"/>
          <w:spacing w:val="-3"/>
          <w:w w:val="105"/>
        </w:rPr>
        <w:t>actores </w:t>
      </w:r>
      <w:r>
        <w:rPr>
          <w:color w:val="231F20"/>
          <w:spacing w:val="-4"/>
          <w:w w:val="105"/>
        </w:rPr>
        <w:t>condicionados </w:t>
      </w:r>
      <w:r>
        <w:rPr>
          <w:color w:val="231F20"/>
          <w:spacing w:val="-3"/>
          <w:w w:val="105"/>
        </w:rPr>
        <w:t>por </w:t>
      </w:r>
      <w:r>
        <w:rPr>
          <w:color w:val="231F20"/>
          <w:w w:val="105"/>
        </w:rPr>
        <w:t>una </w:t>
      </w:r>
      <w:r>
        <w:rPr>
          <w:color w:val="231F20"/>
          <w:spacing w:val="-3"/>
          <w:w w:val="105"/>
        </w:rPr>
        <w:t>serie </w:t>
      </w:r>
      <w:r>
        <w:rPr>
          <w:color w:val="231F20"/>
          <w:w w:val="105"/>
        </w:rPr>
        <w:t>de </w:t>
      </w:r>
      <w:r>
        <w:rPr>
          <w:color w:val="231F20"/>
          <w:spacing w:val="-3"/>
          <w:w w:val="105"/>
        </w:rPr>
        <w:t>factores </w:t>
      </w:r>
      <w:r>
        <w:rPr>
          <w:color w:val="231F20"/>
          <w:w w:val="105"/>
        </w:rPr>
        <w:t>sociales, </w:t>
      </w:r>
      <w:r>
        <w:rPr>
          <w:color w:val="231F20"/>
          <w:spacing w:val="-3"/>
          <w:w w:val="105"/>
        </w:rPr>
        <w:t>económicos </w:t>
      </w:r>
      <w:r>
        <w:rPr>
          <w:color w:val="231F20"/>
          <w:w w:val="105"/>
        </w:rPr>
        <w:t>y culturales</w:t>
      </w:r>
      <w:r>
        <w:rPr>
          <w:color w:val="231F20"/>
          <w:spacing w:val="-28"/>
          <w:w w:val="105"/>
        </w:rPr>
        <w:t> </w:t>
      </w:r>
      <w:r>
        <w:rPr>
          <w:color w:val="231F20"/>
          <w:spacing w:val="-3"/>
          <w:w w:val="105"/>
        </w:rPr>
        <w:t>que</w:t>
      </w:r>
      <w:r>
        <w:rPr>
          <w:color w:val="231F20"/>
          <w:spacing w:val="-28"/>
          <w:w w:val="105"/>
        </w:rPr>
        <w:t> </w:t>
      </w:r>
      <w:r>
        <w:rPr>
          <w:color w:val="231F20"/>
          <w:spacing w:val="-3"/>
          <w:w w:val="105"/>
        </w:rPr>
        <w:t>los</w:t>
      </w:r>
      <w:r>
        <w:rPr>
          <w:color w:val="231F20"/>
          <w:spacing w:val="-28"/>
          <w:w w:val="105"/>
        </w:rPr>
        <w:t> </w:t>
      </w:r>
      <w:r>
        <w:rPr>
          <w:color w:val="231F20"/>
          <w:w w:val="105"/>
        </w:rPr>
        <w:t>ciñen</w:t>
      </w:r>
      <w:r>
        <w:rPr>
          <w:color w:val="231F20"/>
          <w:spacing w:val="-28"/>
          <w:w w:val="105"/>
        </w:rPr>
        <w:t> </w:t>
      </w:r>
      <w:r>
        <w:rPr>
          <w:color w:val="231F20"/>
          <w:w w:val="105"/>
        </w:rPr>
        <w:t>en</w:t>
      </w:r>
      <w:r>
        <w:rPr>
          <w:color w:val="231F20"/>
          <w:spacing w:val="-28"/>
          <w:w w:val="105"/>
        </w:rPr>
        <w:t> </w:t>
      </w:r>
      <w:r>
        <w:rPr>
          <w:color w:val="231F20"/>
          <w:w w:val="105"/>
        </w:rPr>
        <w:t>su</w:t>
      </w:r>
      <w:r>
        <w:rPr>
          <w:color w:val="231F20"/>
          <w:spacing w:val="-28"/>
          <w:w w:val="105"/>
        </w:rPr>
        <w:t> </w:t>
      </w:r>
      <w:r>
        <w:rPr>
          <w:color w:val="231F20"/>
          <w:spacing w:val="-4"/>
          <w:w w:val="105"/>
        </w:rPr>
        <w:t>ejercicio</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spacing w:val="-3"/>
          <w:w w:val="105"/>
        </w:rPr>
        <w:t>vez</w:t>
      </w:r>
      <w:r>
        <w:rPr>
          <w:color w:val="231F20"/>
          <w:spacing w:val="-28"/>
          <w:w w:val="105"/>
        </w:rPr>
        <w:t> </w:t>
      </w:r>
      <w:r>
        <w:rPr>
          <w:color w:val="231F20"/>
          <w:spacing w:val="-3"/>
          <w:w w:val="105"/>
        </w:rPr>
        <w:t>que</w:t>
      </w:r>
      <w:r>
        <w:rPr>
          <w:color w:val="231F20"/>
          <w:spacing w:val="-28"/>
          <w:w w:val="105"/>
        </w:rPr>
        <w:t> </w:t>
      </w:r>
      <w:r>
        <w:rPr>
          <w:color w:val="231F20"/>
          <w:w w:val="105"/>
        </w:rPr>
        <w:t>particularizan</w:t>
      </w:r>
      <w:r>
        <w:rPr>
          <w:color w:val="231F20"/>
          <w:spacing w:val="-28"/>
          <w:w w:val="105"/>
        </w:rPr>
        <w:t> </w:t>
      </w:r>
      <w:r>
        <w:rPr>
          <w:color w:val="231F20"/>
          <w:w w:val="105"/>
        </w:rPr>
        <w:t>sus</w:t>
      </w:r>
      <w:r>
        <w:rPr>
          <w:color w:val="231F20"/>
          <w:spacing w:val="-28"/>
          <w:w w:val="105"/>
        </w:rPr>
        <w:t> </w:t>
      </w:r>
      <w:r>
        <w:rPr>
          <w:color w:val="231F20"/>
          <w:spacing w:val="-4"/>
          <w:w w:val="105"/>
        </w:rPr>
        <w:t>acciones</w:t>
      </w:r>
      <w:r>
        <w:rPr>
          <w:color w:val="231F20"/>
          <w:spacing w:val="-28"/>
          <w:w w:val="105"/>
        </w:rPr>
        <w:t> </w:t>
      </w:r>
      <w:r>
        <w:rPr>
          <w:color w:val="231F20"/>
          <w:w w:val="105"/>
        </w:rPr>
        <w:t>y</w:t>
      </w:r>
      <w:r>
        <w:rPr>
          <w:color w:val="231F20"/>
          <w:spacing w:val="-28"/>
          <w:w w:val="105"/>
        </w:rPr>
        <w:t> </w:t>
      </w:r>
      <w:r>
        <w:rPr>
          <w:color w:val="231F20"/>
          <w:spacing w:val="-3"/>
          <w:w w:val="105"/>
        </w:rPr>
        <w:t>gestión.</w:t>
      </w:r>
      <w:r>
        <w:rPr>
          <w:color w:val="231F20"/>
          <w:spacing w:val="-28"/>
          <w:w w:val="105"/>
        </w:rPr>
        <w:t> </w:t>
      </w:r>
      <w:r>
        <w:rPr>
          <w:color w:val="231F20"/>
          <w:w w:val="105"/>
        </w:rPr>
        <w:t>El </w:t>
      </w:r>
      <w:r>
        <w:rPr>
          <w:color w:val="231F20"/>
          <w:spacing w:val="-3"/>
          <w:w w:val="105"/>
        </w:rPr>
        <w:t>trabajo</w:t>
      </w:r>
      <w:r>
        <w:rPr>
          <w:color w:val="231F20"/>
          <w:spacing w:val="-18"/>
          <w:w w:val="105"/>
        </w:rPr>
        <w:t> </w:t>
      </w:r>
      <w:r>
        <w:rPr>
          <w:color w:val="231F20"/>
          <w:w w:val="105"/>
        </w:rPr>
        <w:t>de</w:t>
      </w:r>
      <w:r>
        <w:rPr>
          <w:color w:val="231F20"/>
          <w:spacing w:val="-18"/>
          <w:w w:val="105"/>
        </w:rPr>
        <w:t> </w:t>
      </w:r>
      <w:r>
        <w:rPr>
          <w:color w:val="231F20"/>
          <w:spacing w:val="-4"/>
          <w:w w:val="105"/>
        </w:rPr>
        <w:t>Cabrero</w:t>
      </w:r>
      <w:r>
        <w:rPr>
          <w:color w:val="231F20"/>
          <w:spacing w:val="-18"/>
          <w:w w:val="105"/>
        </w:rPr>
        <w:t> </w:t>
      </w:r>
      <w:r>
        <w:rPr>
          <w:color w:val="231F20"/>
          <w:spacing w:val="-3"/>
          <w:w w:val="105"/>
        </w:rPr>
        <w:t>(2005);</w:t>
      </w:r>
      <w:r>
        <w:rPr>
          <w:color w:val="231F20"/>
          <w:spacing w:val="-18"/>
          <w:w w:val="105"/>
        </w:rPr>
        <w:t> </w:t>
      </w:r>
      <w:r>
        <w:rPr>
          <w:color w:val="231F20"/>
          <w:spacing w:val="-4"/>
          <w:w w:val="105"/>
        </w:rPr>
        <w:t>Acción</w:t>
      </w:r>
      <w:r>
        <w:rPr>
          <w:color w:val="231F20"/>
          <w:spacing w:val="-18"/>
          <w:w w:val="105"/>
        </w:rPr>
        <w:t> </w:t>
      </w:r>
      <w:r>
        <w:rPr>
          <w:color w:val="231F20"/>
          <w:spacing w:val="-3"/>
          <w:w w:val="105"/>
        </w:rPr>
        <w:t>pública</w:t>
      </w:r>
      <w:r>
        <w:rPr>
          <w:color w:val="231F20"/>
          <w:spacing w:val="-18"/>
          <w:w w:val="105"/>
        </w:rPr>
        <w:t> </w:t>
      </w:r>
      <w:r>
        <w:rPr>
          <w:color w:val="231F20"/>
          <w:w w:val="105"/>
        </w:rPr>
        <w:t>y</w:t>
      </w:r>
      <w:r>
        <w:rPr>
          <w:color w:val="231F20"/>
          <w:spacing w:val="-18"/>
          <w:w w:val="105"/>
        </w:rPr>
        <w:t> </w:t>
      </w:r>
      <w:r>
        <w:rPr>
          <w:color w:val="231F20"/>
          <w:w w:val="105"/>
        </w:rPr>
        <w:t>Desarrollo</w:t>
      </w:r>
      <w:r>
        <w:rPr>
          <w:color w:val="231F20"/>
          <w:spacing w:val="-18"/>
          <w:w w:val="105"/>
        </w:rPr>
        <w:t> </w:t>
      </w:r>
      <w:r>
        <w:rPr>
          <w:color w:val="231F20"/>
          <w:w w:val="105"/>
        </w:rPr>
        <w:t>Local,</w:t>
      </w:r>
      <w:r>
        <w:rPr>
          <w:color w:val="231F20"/>
          <w:spacing w:val="-18"/>
          <w:w w:val="105"/>
        </w:rPr>
        <w:t> </w:t>
      </w:r>
      <w:r>
        <w:rPr>
          <w:color w:val="231F20"/>
          <w:spacing w:val="-3"/>
          <w:w w:val="105"/>
        </w:rPr>
        <w:t>entre</w:t>
      </w:r>
      <w:r>
        <w:rPr>
          <w:color w:val="231F20"/>
          <w:spacing w:val="-18"/>
          <w:w w:val="105"/>
        </w:rPr>
        <w:t> </w:t>
      </w:r>
      <w:r>
        <w:rPr>
          <w:color w:val="231F20"/>
          <w:spacing w:val="-3"/>
          <w:w w:val="105"/>
        </w:rPr>
        <w:t>otros,</w:t>
      </w:r>
      <w:r>
        <w:rPr>
          <w:color w:val="231F20"/>
          <w:spacing w:val="-18"/>
          <w:w w:val="105"/>
        </w:rPr>
        <w:t> </w:t>
      </w:r>
      <w:r>
        <w:rPr>
          <w:color w:val="231F20"/>
          <w:spacing w:val="-3"/>
          <w:w w:val="105"/>
        </w:rPr>
        <w:t>recopila</w:t>
      </w:r>
      <w:r>
        <w:rPr>
          <w:color w:val="231F20"/>
          <w:spacing w:val="-18"/>
          <w:w w:val="105"/>
        </w:rPr>
        <w:t> </w:t>
      </w:r>
      <w:r>
        <w:rPr>
          <w:color w:val="231F20"/>
          <w:w w:val="105"/>
        </w:rPr>
        <w:t>las</w:t>
      </w:r>
      <w:r>
        <w:rPr>
          <w:color w:val="231F20"/>
          <w:spacing w:val="-18"/>
          <w:w w:val="105"/>
        </w:rPr>
        <w:t> </w:t>
      </w:r>
      <w:r>
        <w:rPr>
          <w:color w:val="231F20"/>
          <w:spacing w:val="-6"/>
          <w:w w:val="105"/>
        </w:rPr>
        <w:t>ex- </w:t>
      </w:r>
      <w:r>
        <w:rPr>
          <w:color w:val="231F20"/>
          <w:spacing w:val="-3"/>
          <w:w w:val="105"/>
        </w:rPr>
        <w:t>periencias</w:t>
      </w:r>
      <w:r>
        <w:rPr>
          <w:color w:val="231F20"/>
          <w:spacing w:val="-22"/>
          <w:w w:val="105"/>
        </w:rPr>
        <w:t> </w:t>
      </w:r>
      <w:r>
        <w:rPr>
          <w:color w:val="231F20"/>
          <w:spacing w:val="-3"/>
          <w:w w:val="105"/>
        </w:rPr>
        <w:t>innovadoras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gestión</w:t>
      </w:r>
      <w:r>
        <w:rPr>
          <w:color w:val="231F20"/>
          <w:spacing w:val="-22"/>
          <w:w w:val="105"/>
        </w:rPr>
        <w:t> </w:t>
      </w:r>
      <w:r>
        <w:rPr>
          <w:color w:val="231F20"/>
          <w:w w:val="105"/>
        </w:rPr>
        <w:t>de</w:t>
      </w:r>
      <w:r>
        <w:rPr>
          <w:color w:val="231F20"/>
          <w:spacing w:val="-22"/>
          <w:w w:val="105"/>
        </w:rPr>
        <w:t> </w:t>
      </w:r>
      <w:r>
        <w:rPr>
          <w:color w:val="231F20"/>
          <w:w w:val="105"/>
        </w:rPr>
        <w:t>varios</w:t>
      </w:r>
      <w:r>
        <w:rPr>
          <w:color w:val="231F20"/>
          <w:spacing w:val="-22"/>
          <w:w w:val="105"/>
        </w:rPr>
        <w:t> </w:t>
      </w:r>
      <w:r>
        <w:rPr>
          <w:color w:val="231F20"/>
          <w:spacing w:val="-3"/>
          <w:w w:val="105"/>
        </w:rPr>
        <w:t>municipios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4"/>
          <w:w w:val="105"/>
        </w:rPr>
        <w:t>República,</w:t>
      </w:r>
      <w:r>
        <w:rPr>
          <w:color w:val="231F20"/>
          <w:spacing w:val="-22"/>
          <w:w w:val="105"/>
        </w:rPr>
        <w:t> </w:t>
      </w:r>
      <w:r>
        <w:rPr>
          <w:color w:val="231F20"/>
          <w:w w:val="105"/>
        </w:rPr>
        <w:t>sin</w:t>
      </w:r>
      <w:r>
        <w:rPr>
          <w:color w:val="231F20"/>
          <w:spacing w:val="-22"/>
          <w:w w:val="105"/>
        </w:rPr>
        <w:t> </w:t>
      </w:r>
      <w:r>
        <w:rPr>
          <w:color w:val="231F20"/>
          <w:spacing w:val="-3"/>
          <w:w w:val="105"/>
        </w:rPr>
        <w:t>embargo,</w:t>
      </w:r>
      <w:r>
        <w:rPr>
          <w:color w:val="231F20"/>
          <w:spacing w:val="-22"/>
          <w:w w:val="105"/>
        </w:rPr>
        <w:t> </w:t>
      </w:r>
      <w:r>
        <w:rPr>
          <w:color w:val="231F20"/>
          <w:w w:val="105"/>
        </w:rPr>
        <w:t>la </w:t>
      </w:r>
      <w:r>
        <w:rPr>
          <w:color w:val="231F20"/>
          <w:spacing w:val="-3"/>
          <w:w w:val="105"/>
        </w:rPr>
        <w:t>mayoría</w:t>
      </w:r>
      <w:r>
        <w:rPr>
          <w:color w:val="231F20"/>
          <w:spacing w:val="-14"/>
          <w:w w:val="105"/>
        </w:rPr>
        <w:t> </w:t>
      </w:r>
      <w:r>
        <w:rPr>
          <w:color w:val="231F20"/>
          <w:spacing w:val="-3"/>
          <w:w w:val="105"/>
        </w:rPr>
        <w:t>son</w:t>
      </w:r>
      <w:r>
        <w:rPr>
          <w:color w:val="231F20"/>
          <w:spacing w:val="-14"/>
          <w:w w:val="105"/>
        </w:rPr>
        <w:t> </w:t>
      </w:r>
      <w:r>
        <w:rPr>
          <w:color w:val="231F20"/>
          <w:spacing w:val="-3"/>
          <w:w w:val="105"/>
        </w:rPr>
        <w:t>municipios</w:t>
      </w:r>
      <w:r>
        <w:rPr>
          <w:color w:val="231F20"/>
          <w:spacing w:val="-14"/>
          <w:w w:val="105"/>
        </w:rPr>
        <w:t> </w:t>
      </w:r>
      <w:r>
        <w:rPr>
          <w:color w:val="231F20"/>
          <w:w w:val="105"/>
        </w:rPr>
        <w:t>urbanos</w:t>
      </w:r>
      <w:r>
        <w:rPr>
          <w:color w:val="231F20"/>
          <w:spacing w:val="-14"/>
          <w:w w:val="105"/>
        </w:rPr>
        <w:t> </w:t>
      </w:r>
      <w:r>
        <w:rPr>
          <w:color w:val="231F20"/>
          <w:w w:val="105"/>
        </w:rPr>
        <w:t>o</w:t>
      </w:r>
      <w:r>
        <w:rPr>
          <w:color w:val="231F20"/>
          <w:spacing w:val="-14"/>
          <w:w w:val="105"/>
        </w:rPr>
        <w:t> </w:t>
      </w:r>
      <w:r>
        <w:rPr>
          <w:color w:val="231F20"/>
          <w:spacing w:val="-3"/>
          <w:w w:val="105"/>
        </w:rPr>
        <w:t>metropolitanos,</w:t>
      </w:r>
      <w:r>
        <w:rPr>
          <w:color w:val="231F20"/>
          <w:spacing w:val="-14"/>
          <w:w w:val="105"/>
        </w:rPr>
        <w:t> </w:t>
      </w:r>
      <w:r>
        <w:rPr>
          <w:color w:val="231F20"/>
          <w:w w:val="105"/>
        </w:rPr>
        <w:t>casi</w:t>
      </w:r>
      <w:r>
        <w:rPr>
          <w:color w:val="231F20"/>
          <w:spacing w:val="-14"/>
          <w:w w:val="105"/>
        </w:rPr>
        <w:t> </w:t>
      </w:r>
      <w:r>
        <w:rPr>
          <w:color w:val="231F20"/>
          <w:spacing w:val="-3"/>
          <w:w w:val="105"/>
        </w:rPr>
        <w:t>con</w:t>
      </w:r>
      <w:r>
        <w:rPr>
          <w:color w:val="231F20"/>
          <w:spacing w:val="-14"/>
          <w:w w:val="105"/>
        </w:rPr>
        <w:t> </w:t>
      </w:r>
      <w:r>
        <w:rPr>
          <w:color w:val="231F20"/>
          <w:w w:val="105"/>
        </w:rPr>
        <w:t>nula</w:t>
      </w:r>
      <w:r>
        <w:rPr>
          <w:color w:val="231F20"/>
          <w:spacing w:val="-14"/>
          <w:w w:val="105"/>
        </w:rPr>
        <w:t> </w:t>
      </w:r>
      <w:r>
        <w:rPr>
          <w:color w:val="231F20"/>
          <w:w w:val="105"/>
        </w:rPr>
        <w:t>la</w:t>
      </w:r>
      <w:r>
        <w:rPr>
          <w:color w:val="231F20"/>
          <w:spacing w:val="-14"/>
          <w:w w:val="105"/>
        </w:rPr>
        <w:t> </w:t>
      </w:r>
      <w:r>
        <w:rPr>
          <w:color w:val="231F20"/>
          <w:spacing w:val="-4"/>
          <w:w w:val="105"/>
        </w:rPr>
        <w:t>referencia</w:t>
      </w:r>
      <w:r>
        <w:rPr>
          <w:color w:val="231F20"/>
          <w:spacing w:val="-14"/>
          <w:w w:val="105"/>
        </w:rPr>
        <w:t> </w:t>
      </w:r>
      <w:r>
        <w:rPr>
          <w:color w:val="231F20"/>
          <w:w w:val="105"/>
        </w:rPr>
        <w:t>de</w:t>
      </w:r>
      <w:r>
        <w:rPr>
          <w:color w:val="231F20"/>
          <w:spacing w:val="-14"/>
          <w:w w:val="105"/>
        </w:rPr>
        <w:t> </w:t>
      </w:r>
      <w:r>
        <w:rPr>
          <w:color w:val="231F20"/>
          <w:w w:val="105"/>
        </w:rPr>
        <w:t>rurales.</w:t>
      </w:r>
    </w:p>
    <w:p>
      <w:pPr>
        <w:spacing w:after="0" w:line="285" w:lineRule="auto"/>
        <w:jc w:val="both"/>
        <w:sectPr>
          <w:footerReference w:type="default" r:id="rId684"/>
          <w:pgSz w:w="9640" w:h="12190"/>
          <w:pgMar w:footer="743" w:header="0" w:top="1120" w:bottom="940" w:left="740" w:right="740"/>
          <w:pgNumType w:start="353"/>
        </w:sectPr>
      </w:pPr>
    </w:p>
    <w:p>
      <w:pPr>
        <w:pStyle w:val="BodyText"/>
        <w:spacing w:before="3"/>
        <w:rPr>
          <w:sz w:val="11"/>
        </w:rPr>
      </w:pPr>
    </w:p>
    <w:p>
      <w:pPr>
        <w:pStyle w:val="BodyText"/>
        <w:spacing w:line="285" w:lineRule="auto" w:before="36"/>
        <w:ind w:left="110" w:right="109"/>
        <w:jc w:val="both"/>
      </w:pPr>
      <w:r>
        <w:rPr>
          <w:color w:val="231F20"/>
          <w:w w:val="105"/>
        </w:rPr>
        <w:t>Margarita Morales (2005) rescata las experiencias de Premio de Gobierno y Gestión Local</w:t>
      </w:r>
      <w:r>
        <w:rPr>
          <w:color w:val="231F20"/>
          <w:spacing w:val="-12"/>
          <w:w w:val="105"/>
        </w:rPr>
        <w:t> </w:t>
      </w:r>
      <w:r>
        <w:rPr>
          <w:color w:val="231F20"/>
          <w:w w:val="105"/>
        </w:rPr>
        <w:t>del</w:t>
      </w:r>
      <w:r>
        <w:rPr>
          <w:color w:val="231F20"/>
          <w:spacing w:val="-12"/>
          <w:w w:val="105"/>
        </w:rPr>
        <w:t> </w:t>
      </w:r>
      <w:r>
        <w:rPr>
          <w:color w:val="231F20"/>
          <w:w w:val="105"/>
        </w:rPr>
        <w:t>CIDE,</w:t>
      </w:r>
      <w:r>
        <w:rPr>
          <w:color w:val="231F20"/>
          <w:spacing w:val="-12"/>
          <w:w w:val="105"/>
        </w:rPr>
        <w:t> </w:t>
      </w:r>
      <w:r>
        <w:rPr>
          <w:color w:val="231F20"/>
          <w:w w:val="105"/>
        </w:rPr>
        <w:t>en</w:t>
      </w:r>
      <w:r>
        <w:rPr>
          <w:color w:val="231F20"/>
          <w:spacing w:val="-12"/>
          <w:w w:val="105"/>
        </w:rPr>
        <w:t> </w:t>
      </w:r>
      <w:r>
        <w:rPr>
          <w:color w:val="231F20"/>
          <w:w w:val="105"/>
        </w:rPr>
        <w:t>un</w:t>
      </w:r>
      <w:r>
        <w:rPr>
          <w:color w:val="231F20"/>
          <w:spacing w:val="-12"/>
          <w:w w:val="105"/>
        </w:rPr>
        <w:t> </w:t>
      </w:r>
      <w:r>
        <w:rPr>
          <w:color w:val="231F20"/>
          <w:w w:val="105"/>
        </w:rPr>
        <w:t>trabajo</w:t>
      </w:r>
      <w:r>
        <w:rPr>
          <w:color w:val="231F20"/>
          <w:spacing w:val="-12"/>
          <w:w w:val="105"/>
        </w:rPr>
        <w:t> </w:t>
      </w:r>
      <w:r>
        <w:rPr>
          <w:color w:val="231F20"/>
          <w:w w:val="105"/>
        </w:rPr>
        <w:t>que</w:t>
      </w:r>
      <w:r>
        <w:rPr>
          <w:color w:val="231F20"/>
          <w:spacing w:val="-12"/>
          <w:w w:val="105"/>
        </w:rPr>
        <w:t> </w:t>
      </w:r>
      <w:r>
        <w:rPr>
          <w:color w:val="231F20"/>
          <w:w w:val="105"/>
        </w:rPr>
        <w:t>pretende</w:t>
      </w:r>
      <w:r>
        <w:rPr>
          <w:color w:val="231F20"/>
          <w:spacing w:val="-12"/>
          <w:w w:val="105"/>
        </w:rPr>
        <w:t> </w:t>
      </w:r>
      <w:r>
        <w:rPr>
          <w:color w:val="231F20"/>
          <w:w w:val="105"/>
        </w:rPr>
        <w:t>demostrar</w:t>
      </w:r>
      <w:r>
        <w:rPr>
          <w:color w:val="231F20"/>
          <w:spacing w:val="-12"/>
          <w:w w:val="105"/>
        </w:rPr>
        <w:t> </w:t>
      </w:r>
      <w:r>
        <w:rPr>
          <w:color w:val="231F20"/>
          <w:w w:val="105"/>
        </w:rPr>
        <w:t>las</w:t>
      </w:r>
      <w:r>
        <w:rPr>
          <w:color w:val="231F20"/>
          <w:spacing w:val="-12"/>
          <w:w w:val="105"/>
        </w:rPr>
        <w:t> </w:t>
      </w:r>
      <w:r>
        <w:rPr>
          <w:color w:val="231F20"/>
          <w:w w:val="105"/>
        </w:rPr>
        <w:t>diferencias</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partidos políticos.</w:t>
      </w:r>
      <w:r>
        <w:rPr>
          <w:color w:val="231F20"/>
          <w:spacing w:val="-23"/>
          <w:w w:val="105"/>
        </w:rPr>
        <w:t> </w:t>
      </w:r>
      <w:r>
        <w:rPr>
          <w:color w:val="231F20"/>
          <w:w w:val="105"/>
        </w:rPr>
        <w:t>Una</w:t>
      </w:r>
      <w:r>
        <w:rPr>
          <w:color w:val="231F20"/>
          <w:spacing w:val="-23"/>
          <w:w w:val="105"/>
        </w:rPr>
        <w:t> </w:t>
      </w:r>
      <w:r>
        <w:rPr>
          <w:color w:val="231F20"/>
          <w:w w:val="105"/>
        </w:rPr>
        <w:t>conclusión</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que</w:t>
      </w:r>
      <w:r>
        <w:rPr>
          <w:color w:val="231F20"/>
          <w:spacing w:val="-23"/>
          <w:w w:val="105"/>
        </w:rPr>
        <w:t> </w:t>
      </w:r>
      <w:r>
        <w:rPr>
          <w:color w:val="231F20"/>
          <w:w w:val="105"/>
        </w:rPr>
        <w:t>llega</w:t>
      </w:r>
      <w:r>
        <w:rPr>
          <w:color w:val="231F20"/>
          <w:spacing w:val="-23"/>
          <w:w w:val="105"/>
        </w:rPr>
        <w:t> </w:t>
      </w:r>
      <w:r>
        <w:rPr>
          <w:color w:val="231F20"/>
          <w:w w:val="105"/>
        </w:rPr>
        <w:t>es:</w:t>
      </w:r>
    </w:p>
    <w:p>
      <w:pPr>
        <w:pStyle w:val="BodyText"/>
        <w:spacing w:line="285" w:lineRule="auto" w:before="1"/>
        <w:ind w:left="677" w:right="108"/>
        <w:jc w:val="both"/>
      </w:pPr>
      <w:r>
        <w:rPr>
          <w:color w:val="231F20"/>
          <w:w w:val="105"/>
        </w:rPr>
        <w:t>Los gobiernos del </w:t>
      </w:r>
      <w:r>
        <w:rPr>
          <w:color w:val="231F20"/>
          <w:spacing w:val="-4"/>
          <w:w w:val="105"/>
        </w:rPr>
        <w:t>PAN </w:t>
      </w:r>
      <w:r>
        <w:rPr>
          <w:color w:val="231F20"/>
          <w:w w:val="105"/>
        </w:rPr>
        <w:t>lo hacen siguiendo las directrices de su partido, por lo menos en lo que corresponde a los programas que consideran importantes; el PRI</w:t>
      </w:r>
      <w:r>
        <w:rPr>
          <w:color w:val="231F20"/>
          <w:spacing w:val="-10"/>
          <w:w w:val="105"/>
        </w:rPr>
        <w:t> </w:t>
      </w:r>
      <w:r>
        <w:rPr>
          <w:color w:val="231F20"/>
          <w:w w:val="105"/>
        </w:rPr>
        <w:t>mostró</w:t>
      </w:r>
      <w:r>
        <w:rPr>
          <w:color w:val="231F20"/>
          <w:spacing w:val="-10"/>
          <w:w w:val="105"/>
        </w:rPr>
        <w:t> </w:t>
      </w:r>
      <w:r>
        <w:rPr>
          <w:color w:val="231F20"/>
          <w:w w:val="105"/>
        </w:rPr>
        <w:t>en</w:t>
      </w:r>
      <w:r>
        <w:rPr>
          <w:color w:val="231F20"/>
          <w:spacing w:val="-10"/>
          <w:w w:val="105"/>
        </w:rPr>
        <w:t> </w:t>
      </w:r>
      <w:r>
        <w:rPr>
          <w:color w:val="231F20"/>
          <w:spacing w:val="2"/>
          <w:w w:val="105"/>
        </w:rPr>
        <w:t>2002</w:t>
      </w:r>
      <w:r>
        <w:rPr>
          <w:color w:val="231F20"/>
          <w:spacing w:val="-10"/>
          <w:w w:val="105"/>
        </w:rPr>
        <w:t> </w:t>
      </w:r>
      <w:r>
        <w:rPr>
          <w:color w:val="231F20"/>
          <w:w w:val="105"/>
        </w:rPr>
        <w:t>un</w:t>
      </w:r>
      <w:r>
        <w:rPr>
          <w:color w:val="231F20"/>
          <w:spacing w:val="-10"/>
          <w:w w:val="105"/>
        </w:rPr>
        <w:t> </w:t>
      </w:r>
      <w:r>
        <w:rPr>
          <w:color w:val="231F20"/>
          <w:w w:val="105"/>
        </w:rPr>
        <w:t>intento</w:t>
      </w:r>
      <w:r>
        <w:rPr>
          <w:color w:val="231F20"/>
          <w:spacing w:val="-10"/>
          <w:w w:val="105"/>
        </w:rPr>
        <w:t> </w:t>
      </w:r>
      <w:r>
        <w:rPr>
          <w:color w:val="231F20"/>
          <w:w w:val="105"/>
        </w:rPr>
        <w:t>de</w:t>
      </w:r>
      <w:r>
        <w:rPr>
          <w:color w:val="231F20"/>
          <w:spacing w:val="-10"/>
          <w:w w:val="105"/>
        </w:rPr>
        <w:t> </w:t>
      </w:r>
      <w:r>
        <w:rPr>
          <w:color w:val="231F20"/>
          <w:w w:val="105"/>
        </w:rPr>
        <w:t>imponer</w:t>
      </w:r>
      <w:r>
        <w:rPr>
          <w:color w:val="231F20"/>
          <w:spacing w:val="-10"/>
          <w:w w:val="105"/>
        </w:rPr>
        <w:t> </w:t>
      </w:r>
      <w:r>
        <w:rPr>
          <w:color w:val="231F20"/>
          <w:w w:val="105"/>
        </w:rPr>
        <w:t>sello</w:t>
      </w:r>
      <w:r>
        <w:rPr>
          <w:color w:val="231F20"/>
          <w:spacing w:val="-10"/>
          <w:w w:val="105"/>
        </w:rPr>
        <w:t> </w:t>
      </w:r>
      <w:r>
        <w:rPr>
          <w:color w:val="231F20"/>
          <w:w w:val="105"/>
        </w:rPr>
        <w:t>en</w:t>
      </w:r>
      <w:r>
        <w:rPr>
          <w:color w:val="231F20"/>
          <w:spacing w:val="-10"/>
          <w:w w:val="105"/>
        </w:rPr>
        <w:t> </w:t>
      </w:r>
      <w:r>
        <w:rPr>
          <w:color w:val="231F20"/>
          <w:w w:val="105"/>
        </w:rPr>
        <w:t>sus</w:t>
      </w:r>
      <w:r>
        <w:rPr>
          <w:color w:val="231F20"/>
          <w:spacing w:val="-10"/>
          <w:w w:val="105"/>
        </w:rPr>
        <w:t> </w:t>
      </w:r>
      <w:r>
        <w:rPr>
          <w:color w:val="231F20"/>
          <w:w w:val="105"/>
        </w:rPr>
        <w:t>programas,</w:t>
      </w:r>
      <w:r>
        <w:rPr>
          <w:color w:val="231F20"/>
          <w:spacing w:val="-10"/>
          <w:w w:val="105"/>
        </w:rPr>
        <w:t> </w:t>
      </w:r>
      <w:r>
        <w:rPr>
          <w:color w:val="231F20"/>
          <w:w w:val="105"/>
        </w:rPr>
        <w:t>pero</w:t>
      </w:r>
      <w:r>
        <w:rPr>
          <w:color w:val="231F20"/>
          <w:spacing w:val="-10"/>
          <w:w w:val="105"/>
        </w:rPr>
        <w:t> </w:t>
      </w:r>
      <w:r>
        <w:rPr>
          <w:color w:val="231F20"/>
          <w:w w:val="105"/>
        </w:rPr>
        <w:t>no</w:t>
      </w:r>
      <w:r>
        <w:rPr>
          <w:color w:val="231F20"/>
          <w:spacing w:val="-10"/>
          <w:w w:val="105"/>
        </w:rPr>
        <w:t> </w:t>
      </w:r>
      <w:r>
        <w:rPr>
          <w:color w:val="231F20"/>
          <w:w w:val="105"/>
        </w:rPr>
        <w:t>logró consolidar</w:t>
      </w:r>
      <w:r>
        <w:rPr>
          <w:color w:val="231F20"/>
          <w:spacing w:val="-16"/>
          <w:w w:val="105"/>
        </w:rPr>
        <w:t> </w:t>
      </w:r>
      <w:r>
        <w:rPr>
          <w:color w:val="231F20"/>
          <w:w w:val="105"/>
        </w:rPr>
        <w:t>el</w:t>
      </w:r>
      <w:r>
        <w:rPr>
          <w:color w:val="231F20"/>
          <w:spacing w:val="-16"/>
          <w:w w:val="105"/>
        </w:rPr>
        <w:t> </w:t>
      </w:r>
      <w:r>
        <w:rPr>
          <w:color w:val="231F20"/>
          <w:w w:val="105"/>
        </w:rPr>
        <w:t>esfuerzo,</w:t>
      </w:r>
      <w:r>
        <w:rPr>
          <w:color w:val="231F20"/>
          <w:spacing w:val="-16"/>
          <w:w w:val="105"/>
        </w:rPr>
        <w:t> </w:t>
      </w:r>
      <w:r>
        <w:rPr>
          <w:color w:val="231F20"/>
          <w:w w:val="105"/>
        </w:rPr>
        <w:t>pues</w:t>
      </w:r>
      <w:r>
        <w:rPr>
          <w:color w:val="231F20"/>
          <w:spacing w:val="-16"/>
          <w:w w:val="105"/>
        </w:rPr>
        <w:t> </w:t>
      </w:r>
      <w:r>
        <w:rPr>
          <w:color w:val="231F20"/>
          <w:w w:val="105"/>
        </w:rPr>
        <w:t>en</w:t>
      </w:r>
      <w:r>
        <w:rPr>
          <w:color w:val="231F20"/>
          <w:spacing w:val="-16"/>
          <w:w w:val="105"/>
        </w:rPr>
        <w:t> </w:t>
      </w:r>
      <w:r>
        <w:rPr>
          <w:color w:val="231F20"/>
          <w:spacing w:val="2"/>
          <w:w w:val="105"/>
        </w:rPr>
        <w:t>2003</w:t>
      </w:r>
      <w:r>
        <w:rPr>
          <w:color w:val="231F20"/>
          <w:spacing w:val="-16"/>
          <w:w w:val="105"/>
        </w:rPr>
        <w:t> </w:t>
      </w:r>
      <w:r>
        <w:rPr>
          <w:color w:val="231F20"/>
          <w:w w:val="105"/>
        </w:rPr>
        <w:t>se</w:t>
      </w:r>
      <w:r>
        <w:rPr>
          <w:color w:val="231F20"/>
          <w:spacing w:val="-16"/>
          <w:w w:val="105"/>
        </w:rPr>
        <w:t> </w:t>
      </w:r>
      <w:r>
        <w:rPr>
          <w:color w:val="231F20"/>
          <w:w w:val="105"/>
        </w:rPr>
        <w:t>esfumó;</w:t>
      </w:r>
      <w:r>
        <w:rPr>
          <w:color w:val="231F20"/>
          <w:spacing w:val="-16"/>
          <w:w w:val="105"/>
        </w:rPr>
        <w:t> </w:t>
      </w:r>
      <w:r>
        <w:rPr>
          <w:color w:val="231F20"/>
          <w:w w:val="105"/>
        </w:rPr>
        <w:t>los</w:t>
      </w:r>
      <w:r>
        <w:rPr>
          <w:color w:val="231F20"/>
          <w:spacing w:val="-16"/>
          <w:w w:val="105"/>
        </w:rPr>
        <w:t> </w:t>
      </w:r>
      <w:r>
        <w:rPr>
          <w:color w:val="231F20"/>
          <w:w w:val="105"/>
        </w:rPr>
        <w:t>gobiernos</w:t>
      </w:r>
      <w:r>
        <w:rPr>
          <w:color w:val="231F20"/>
          <w:spacing w:val="-16"/>
          <w:w w:val="105"/>
        </w:rPr>
        <w:t> </w:t>
      </w:r>
      <w:r>
        <w:rPr>
          <w:color w:val="231F20"/>
          <w:w w:val="105"/>
        </w:rPr>
        <w:t>locales</w:t>
      </w:r>
      <w:r>
        <w:rPr>
          <w:color w:val="231F20"/>
          <w:spacing w:val="-16"/>
          <w:w w:val="105"/>
        </w:rPr>
        <w:t> </w:t>
      </w:r>
      <w:r>
        <w:rPr>
          <w:color w:val="231F20"/>
          <w:w w:val="105"/>
        </w:rPr>
        <w:t>del</w:t>
      </w:r>
      <w:r>
        <w:rPr>
          <w:color w:val="231F20"/>
          <w:spacing w:val="-16"/>
          <w:w w:val="105"/>
        </w:rPr>
        <w:t> </w:t>
      </w:r>
      <w:r>
        <w:rPr>
          <w:color w:val="231F20"/>
          <w:w w:val="105"/>
        </w:rPr>
        <w:t>PRD</w:t>
      </w:r>
      <w:r>
        <w:rPr>
          <w:color w:val="231F20"/>
          <w:spacing w:val="-16"/>
          <w:w w:val="105"/>
        </w:rPr>
        <w:t> </w:t>
      </w:r>
      <w:r>
        <w:rPr>
          <w:color w:val="231F20"/>
          <w:w w:val="105"/>
        </w:rPr>
        <w:t>no parecen</w:t>
      </w:r>
      <w:r>
        <w:rPr>
          <w:color w:val="231F20"/>
          <w:spacing w:val="-18"/>
          <w:w w:val="105"/>
        </w:rPr>
        <w:t> </w:t>
      </w:r>
      <w:r>
        <w:rPr>
          <w:color w:val="231F20"/>
          <w:w w:val="105"/>
        </w:rPr>
        <w:t>recibir</w:t>
      </w:r>
      <w:r>
        <w:rPr>
          <w:color w:val="231F20"/>
          <w:spacing w:val="-18"/>
          <w:w w:val="105"/>
        </w:rPr>
        <w:t> </w:t>
      </w:r>
      <w:r>
        <w:rPr>
          <w:color w:val="231F20"/>
          <w:w w:val="105"/>
        </w:rPr>
        <w:t>directrices</w:t>
      </w:r>
      <w:r>
        <w:rPr>
          <w:color w:val="231F20"/>
          <w:spacing w:val="-18"/>
          <w:w w:val="105"/>
        </w:rPr>
        <w:t> </w:t>
      </w:r>
      <w:r>
        <w:rPr>
          <w:color w:val="231F20"/>
          <w:w w:val="105"/>
        </w:rPr>
        <w:t>institucionales</w:t>
      </w:r>
      <w:r>
        <w:rPr>
          <w:color w:val="231F20"/>
          <w:spacing w:val="-18"/>
          <w:w w:val="105"/>
        </w:rPr>
        <w:t> </w:t>
      </w:r>
      <w:r>
        <w:rPr>
          <w:color w:val="231F20"/>
          <w:w w:val="105"/>
        </w:rPr>
        <w:t>y</w:t>
      </w:r>
      <w:r>
        <w:rPr>
          <w:color w:val="231F20"/>
          <w:spacing w:val="-18"/>
          <w:w w:val="105"/>
        </w:rPr>
        <w:t> </w:t>
      </w:r>
      <w:r>
        <w:rPr>
          <w:color w:val="231F20"/>
          <w:w w:val="105"/>
        </w:rPr>
        <w:t>parecen</w:t>
      </w:r>
      <w:r>
        <w:rPr>
          <w:color w:val="231F20"/>
          <w:spacing w:val="-18"/>
          <w:w w:val="105"/>
        </w:rPr>
        <w:t> </w:t>
      </w:r>
      <w:r>
        <w:rPr>
          <w:color w:val="231F20"/>
          <w:w w:val="105"/>
        </w:rPr>
        <w:t>más</w:t>
      </w:r>
      <w:r>
        <w:rPr>
          <w:color w:val="231F20"/>
          <w:spacing w:val="-18"/>
          <w:w w:val="105"/>
        </w:rPr>
        <w:t> </w:t>
      </w:r>
      <w:r>
        <w:rPr>
          <w:color w:val="231F20"/>
          <w:w w:val="105"/>
        </w:rPr>
        <w:t>bien</w:t>
      </w:r>
      <w:r>
        <w:rPr>
          <w:color w:val="231F20"/>
          <w:spacing w:val="-18"/>
          <w:w w:val="105"/>
        </w:rPr>
        <w:t> </w:t>
      </w:r>
      <w:r>
        <w:rPr>
          <w:color w:val="231F20"/>
          <w:w w:val="105"/>
        </w:rPr>
        <w:t>responder</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pro- gramas</w:t>
      </w:r>
      <w:r>
        <w:rPr>
          <w:color w:val="231F20"/>
          <w:spacing w:val="-15"/>
          <w:w w:val="105"/>
        </w:rPr>
        <w:t> </w:t>
      </w:r>
      <w:r>
        <w:rPr>
          <w:color w:val="231F20"/>
          <w:w w:val="105"/>
        </w:rPr>
        <w:t>y</w:t>
      </w:r>
      <w:r>
        <w:rPr>
          <w:color w:val="231F20"/>
          <w:spacing w:val="-15"/>
          <w:w w:val="105"/>
        </w:rPr>
        <w:t> </w:t>
      </w:r>
      <w:r>
        <w:rPr>
          <w:color w:val="231F20"/>
          <w:w w:val="105"/>
        </w:rPr>
        <w:t>prioridades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gobernantes</w:t>
      </w:r>
      <w:r>
        <w:rPr>
          <w:color w:val="231F20"/>
          <w:spacing w:val="-15"/>
          <w:w w:val="105"/>
        </w:rPr>
        <w:t> </w:t>
      </w:r>
      <w:r>
        <w:rPr>
          <w:color w:val="231F20"/>
          <w:w w:val="105"/>
        </w:rPr>
        <w:t>en</w:t>
      </w:r>
      <w:r>
        <w:rPr>
          <w:color w:val="231F20"/>
          <w:spacing w:val="-15"/>
          <w:w w:val="105"/>
        </w:rPr>
        <w:t> </w:t>
      </w:r>
      <w:r>
        <w:rPr>
          <w:color w:val="231F20"/>
          <w:w w:val="105"/>
        </w:rPr>
        <w:t>turno</w:t>
      </w:r>
      <w:r>
        <w:rPr>
          <w:color w:val="231F20"/>
          <w:spacing w:val="-15"/>
          <w:w w:val="105"/>
        </w:rPr>
        <w:t> </w:t>
      </w:r>
      <w:r>
        <w:rPr>
          <w:color w:val="231F20"/>
          <w:w w:val="105"/>
        </w:rPr>
        <w:t>(Morales,</w:t>
      </w:r>
      <w:r>
        <w:rPr>
          <w:color w:val="231F20"/>
          <w:spacing w:val="-15"/>
          <w:w w:val="105"/>
        </w:rPr>
        <w:t> </w:t>
      </w:r>
      <w:r>
        <w:rPr>
          <w:color w:val="231F20"/>
          <w:spacing w:val="2"/>
          <w:w w:val="105"/>
        </w:rPr>
        <w:t>2005:</w:t>
      </w:r>
      <w:r>
        <w:rPr>
          <w:color w:val="231F20"/>
          <w:spacing w:val="-15"/>
          <w:w w:val="105"/>
        </w:rPr>
        <w:t> </w:t>
      </w:r>
      <w:r>
        <w:rPr>
          <w:color w:val="231F20"/>
          <w:spacing w:val="-3"/>
          <w:w w:val="105"/>
        </w:rPr>
        <w:t>328)</w:t>
      </w:r>
    </w:p>
    <w:p>
      <w:pPr>
        <w:pStyle w:val="BodyText"/>
        <w:spacing w:before="1"/>
        <w:rPr>
          <w:sz w:val="26"/>
        </w:rPr>
      </w:pPr>
    </w:p>
    <w:p>
      <w:pPr>
        <w:pStyle w:val="BodyText"/>
        <w:spacing w:line="285" w:lineRule="auto"/>
        <w:ind w:left="110" w:right="108"/>
        <w:jc w:val="both"/>
      </w:pPr>
      <w:r>
        <w:rPr>
          <w:color w:val="231F20"/>
          <w:w w:val="105"/>
        </w:rPr>
        <w:t>Interesante en cuanto que es un resultado de un contraste en diferentes programas de gobierno municipal en </w:t>
      </w:r>
      <w:r>
        <w:rPr>
          <w:color w:val="231F20"/>
          <w:spacing w:val="-3"/>
          <w:w w:val="105"/>
        </w:rPr>
        <w:t>donde </w:t>
      </w:r>
      <w:r>
        <w:rPr>
          <w:color w:val="231F20"/>
          <w:w w:val="105"/>
        </w:rPr>
        <w:t>se rastreó la forma en cómo cada partido los atendió.</w:t>
      </w:r>
      <w:r>
        <w:rPr>
          <w:color w:val="231F20"/>
          <w:spacing w:val="-35"/>
          <w:w w:val="105"/>
        </w:rPr>
        <w:t> </w:t>
      </w:r>
      <w:r>
        <w:rPr>
          <w:color w:val="231F20"/>
          <w:w w:val="105"/>
        </w:rPr>
        <w:t>De la misma forma María del Socorro Arzaluz (2002) da cuenta que hay diferencias en</w:t>
      </w:r>
      <w:r>
        <w:rPr>
          <w:color w:val="231F20"/>
          <w:spacing w:val="-40"/>
          <w:w w:val="105"/>
        </w:rPr>
        <w:t> </w:t>
      </w:r>
      <w:r>
        <w:rPr>
          <w:color w:val="231F20"/>
          <w:w w:val="105"/>
        </w:rPr>
        <w:t>el gobierno</w:t>
      </w:r>
      <w:r>
        <w:rPr>
          <w:color w:val="231F20"/>
          <w:spacing w:val="-25"/>
          <w:w w:val="105"/>
        </w:rPr>
        <w:t> </w:t>
      </w:r>
      <w:r>
        <w:rPr>
          <w:color w:val="231F20"/>
          <w:w w:val="105"/>
        </w:rPr>
        <w:t>local</w:t>
      </w:r>
      <w:r>
        <w:rPr>
          <w:color w:val="231F20"/>
          <w:spacing w:val="-25"/>
          <w:w w:val="105"/>
        </w:rPr>
        <w:t> </w:t>
      </w:r>
      <w:r>
        <w:rPr>
          <w:color w:val="231F20"/>
          <w:w w:val="105"/>
        </w:rPr>
        <w:t>ente</w:t>
      </w:r>
      <w:r>
        <w:rPr>
          <w:color w:val="231F20"/>
          <w:spacing w:val="-25"/>
          <w:w w:val="105"/>
        </w:rPr>
        <w:t> </w:t>
      </w:r>
      <w:r>
        <w:rPr>
          <w:color w:val="231F20"/>
          <w:w w:val="105"/>
        </w:rPr>
        <w:t>el</w:t>
      </w:r>
      <w:r>
        <w:rPr>
          <w:color w:val="231F20"/>
          <w:spacing w:val="-25"/>
          <w:w w:val="105"/>
        </w:rPr>
        <w:t> </w:t>
      </w:r>
      <w:r>
        <w:rPr>
          <w:color w:val="231F20"/>
          <w:spacing w:val="-4"/>
          <w:w w:val="105"/>
        </w:rPr>
        <w:t>PAN,</w:t>
      </w:r>
      <w:r>
        <w:rPr>
          <w:color w:val="231F20"/>
          <w:spacing w:val="-25"/>
          <w:w w:val="105"/>
        </w:rPr>
        <w:t> </w:t>
      </w:r>
      <w:r>
        <w:rPr>
          <w:color w:val="231F20"/>
          <w:w w:val="105"/>
        </w:rPr>
        <w:t>PRI</w:t>
      </w:r>
      <w:r>
        <w:rPr>
          <w:color w:val="231F20"/>
          <w:spacing w:val="-25"/>
          <w:w w:val="105"/>
        </w:rPr>
        <w:t> </w:t>
      </w:r>
      <w:r>
        <w:rPr>
          <w:color w:val="231F20"/>
          <w:w w:val="105"/>
        </w:rPr>
        <w:t>y</w:t>
      </w:r>
      <w:r>
        <w:rPr>
          <w:color w:val="231F20"/>
          <w:spacing w:val="-25"/>
          <w:w w:val="105"/>
        </w:rPr>
        <w:t> </w:t>
      </w:r>
      <w:r>
        <w:rPr>
          <w:color w:val="231F20"/>
          <w:spacing w:val="-3"/>
          <w:w w:val="105"/>
        </w:rPr>
        <w:t>PRD.</w:t>
      </w:r>
    </w:p>
    <w:p>
      <w:pPr>
        <w:pStyle w:val="BodyText"/>
        <w:spacing w:before="1"/>
        <w:rPr>
          <w:sz w:val="26"/>
        </w:rPr>
      </w:pPr>
    </w:p>
    <w:p>
      <w:pPr>
        <w:pStyle w:val="BodyText"/>
        <w:spacing w:line="285" w:lineRule="auto"/>
        <w:ind w:left="110" w:right="107"/>
        <w:jc w:val="both"/>
      </w:pPr>
      <w:r>
        <w:rPr>
          <w:color w:val="231F20"/>
          <w:w w:val="105"/>
        </w:rPr>
        <w:t>A</w:t>
      </w:r>
      <w:r>
        <w:rPr>
          <w:color w:val="231F20"/>
          <w:spacing w:val="-23"/>
          <w:w w:val="105"/>
        </w:rPr>
        <w:t> </w:t>
      </w:r>
      <w:r>
        <w:rPr>
          <w:color w:val="231F20"/>
          <w:w w:val="105"/>
        </w:rPr>
        <w:t>pesar</w:t>
      </w:r>
      <w:r>
        <w:rPr>
          <w:color w:val="231F20"/>
          <w:spacing w:val="-23"/>
          <w:w w:val="105"/>
        </w:rPr>
        <w:t> </w:t>
      </w:r>
      <w:r>
        <w:rPr>
          <w:color w:val="231F20"/>
          <w:w w:val="105"/>
        </w:rPr>
        <w:t>de</w:t>
      </w:r>
      <w:r>
        <w:rPr>
          <w:color w:val="231F20"/>
          <w:spacing w:val="-23"/>
          <w:w w:val="105"/>
        </w:rPr>
        <w:t> </w:t>
      </w:r>
      <w:r>
        <w:rPr>
          <w:color w:val="231F20"/>
          <w:w w:val="105"/>
        </w:rPr>
        <w:t>estos</w:t>
      </w:r>
      <w:r>
        <w:rPr>
          <w:color w:val="231F20"/>
          <w:spacing w:val="-23"/>
          <w:w w:val="105"/>
        </w:rPr>
        <w:t> </w:t>
      </w:r>
      <w:r>
        <w:rPr>
          <w:color w:val="231F20"/>
          <w:w w:val="105"/>
        </w:rPr>
        <w:t>estudios</w:t>
      </w:r>
      <w:r>
        <w:rPr>
          <w:color w:val="231F20"/>
          <w:spacing w:val="-23"/>
          <w:w w:val="105"/>
        </w:rPr>
        <w:t> </w:t>
      </w:r>
      <w:r>
        <w:rPr>
          <w:color w:val="231F20"/>
          <w:w w:val="105"/>
        </w:rPr>
        <w:t>es</w:t>
      </w:r>
      <w:r>
        <w:rPr>
          <w:color w:val="231F20"/>
          <w:spacing w:val="-23"/>
          <w:w w:val="105"/>
        </w:rPr>
        <w:t> </w:t>
      </w:r>
      <w:r>
        <w:rPr>
          <w:color w:val="231F20"/>
          <w:w w:val="105"/>
        </w:rPr>
        <w:t>insuficiente</w:t>
      </w:r>
      <w:r>
        <w:rPr>
          <w:color w:val="231F20"/>
          <w:spacing w:val="-23"/>
          <w:w w:val="105"/>
        </w:rPr>
        <w:t> </w:t>
      </w:r>
      <w:r>
        <w:rPr>
          <w:color w:val="231F20"/>
          <w:w w:val="105"/>
        </w:rPr>
        <w:t>la</w:t>
      </w:r>
      <w:r>
        <w:rPr>
          <w:color w:val="231F20"/>
          <w:spacing w:val="-23"/>
          <w:w w:val="105"/>
        </w:rPr>
        <w:t> </w:t>
      </w:r>
      <w:r>
        <w:rPr>
          <w:color w:val="231F20"/>
          <w:w w:val="105"/>
        </w:rPr>
        <w:t>sistematización</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México</w:t>
      </w:r>
      <w:r>
        <w:rPr>
          <w:color w:val="231F20"/>
          <w:spacing w:val="-23"/>
          <w:w w:val="105"/>
        </w:rPr>
        <w:t> </w:t>
      </w:r>
      <w:r>
        <w:rPr>
          <w:color w:val="231F20"/>
          <w:w w:val="105"/>
        </w:rPr>
        <w:t>existe</w:t>
      </w:r>
      <w:r>
        <w:rPr>
          <w:color w:val="231F20"/>
          <w:spacing w:val="-23"/>
          <w:w w:val="105"/>
        </w:rPr>
        <w:t> </w:t>
      </w:r>
      <w:r>
        <w:rPr>
          <w:color w:val="231F20"/>
          <w:w w:val="105"/>
        </w:rPr>
        <w:t>sobre</w:t>
      </w:r>
      <w:r>
        <w:rPr>
          <w:color w:val="231F20"/>
          <w:spacing w:val="-23"/>
          <w:w w:val="105"/>
        </w:rPr>
        <w:t> </w:t>
      </w:r>
      <w:r>
        <w:rPr>
          <w:color w:val="231F20"/>
          <w:w w:val="105"/>
        </w:rPr>
        <w:t>el desempeño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partidos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gobierno</w:t>
      </w:r>
      <w:r>
        <w:rPr>
          <w:color w:val="231F20"/>
          <w:spacing w:val="-14"/>
          <w:w w:val="105"/>
        </w:rPr>
        <w:t> </w:t>
      </w:r>
      <w:r>
        <w:rPr>
          <w:color w:val="231F20"/>
          <w:w w:val="105"/>
        </w:rPr>
        <w:t>y</w:t>
      </w:r>
      <w:r>
        <w:rPr>
          <w:color w:val="231F20"/>
          <w:spacing w:val="-14"/>
          <w:w w:val="105"/>
        </w:rPr>
        <w:t> </w:t>
      </w:r>
      <w:r>
        <w:rPr>
          <w:color w:val="231F20"/>
          <w:w w:val="105"/>
        </w:rPr>
        <w:t>más</w:t>
      </w:r>
      <w:r>
        <w:rPr>
          <w:color w:val="231F20"/>
          <w:spacing w:val="-14"/>
          <w:w w:val="105"/>
        </w:rPr>
        <w:t> </w:t>
      </w:r>
      <w:r>
        <w:rPr>
          <w:color w:val="231F20"/>
          <w:w w:val="105"/>
        </w:rPr>
        <w:t>aún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gobiernos</w:t>
      </w:r>
      <w:r>
        <w:rPr>
          <w:color w:val="231F20"/>
          <w:spacing w:val="-14"/>
          <w:w w:val="105"/>
        </w:rPr>
        <w:t> </w:t>
      </w:r>
      <w:r>
        <w:rPr>
          <w:color w:val="231F20"/>
          <w:w w:val="105"/>
        </w:rPr>
        <w:t>locales, de </w:t>
      </w:r>
      <w:r>
        <w:rPr>
          <w:color w:val="231F20"/>
          <w:spacing w:val="2"/>
          <w:w w:val="105"/>
        </w:rPr>
        <w:t>ahí </w:t>
      </w:r>
      <w:r>
        <w:rPr>
          <w:color w:val="231F20"/>
          <w:w w:val="105"/>
        </w:rPr>
        <w:t>que el presente capítulo pretende explicar el perfil del PRD en el gobierno </w:t>
      </w:r>
      <w:r>
        <w:rPr>
          <w:color w:val="231F20"/>
          <w:spacing w:val="-3"/>
          <w:w w:val="105"/>
        </w:rPr>
        <w:t>mu- </w:t>
      </w:r>
      <w:r>
        <w:rPr>
          <w:color w:val="231F20"/>
          <w:w w:val="105"/>
        </w:rPr>
        <w:t>nicipal</w:t>
      </w:r>
      <w:r>
        <w:rPr>
          <w:color w:val="231F20"/>
          <w:spacing w:val="-12"/>
          <w:w w:val="105"/>
        </w:rPr>
        <w:t> </w:t>
      </w:r>
      <w:r>
        <w:rPr>
          <w:color w:val="231F20"/>
          <w:w w:val="105"/>
        </w:rPr>
        <w:t>de</w:t>
      </w:r>
      <w:r>
        <w:rPr>
          <w:color w:val="231F20"/>
          <w:spacing w:val="-12"/>
          <w:w w:val="105"/>
        </w:rPr>
        <w:t> </w:t>
      </w:r>
      <w:r>
        <w:rPr>
          <w:color w:val="231F20"/>
          <w:w w:val="105"/>
        </w:rPr>
        <w:t>Amecameca,</w:t>
      </w:r>
      <w:r>
        <w:rPr>
          <w:color w:val="231F20"/>
          <w:spacing w:val="-12"/>
          <w:w w:val="105"/>
        </w:rPr>
        <w:t> </w:t>
      </w:r>
      <w:r>
        <w:rPr>
          <w:color w:val="231F20"/>
          <w:w w:val="105"/>
        </w:rPr>
        <w:t>México</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periodo</w:t>
      </w:r>
      <w:r>
        <w:rPr>
          <w:color w:val="231F20"/>
          <w:spacing w:val="-12"/>
          <w:w w:val="105"/>
        </w:rPr>
        <w:t> </w:t>
      </w:r>
      <w:r>
        <w:rPr>
          <w:color w:val="231F20"/>
          <w:w w:val="105"/>
        </w:rPr>
        <w:t>2006-2009.</w:t>
      </w:r>
      <w:r>
        <w:rPr>
          <w:color w:val="231F20"/>
          <w:spacing w:val="-12"/>
          <w:w w:val="105"/>
        </w:rPr>
        <w:t> </w:t>
      </w:r>
      <w:r>
        <w:rPr>
          <w:color w:val="231F20"/>
          <w:w w:val="105"/>
        </w:rPr>
        <w:t>Para</w:t>
      </w:r>
      <w:r>
        <w:rPr>
          <w:color w:val="231F20"/>
          <w:spacing w:val="-12"/>
          <w:w w:val="105"/>
        </w:rPr>
        <w:t> </w:t>
      </w:r>
      <w:r>
        <w:rPr>
          <w:color w:val="231F20"/>
          <w:w w:val="105"/>
        </w:rPr>
        <w:t>ello</w:t>
      </w:r>
      <w:r>
        <w:rPr>
          <w:color w:val="231F20"/>
          <w:spacing w:val="-12"/>
          <w:w w:val="105"/>
        </w:rPr>
        <w:t> </w:t>
      </w:r>
      <w:r>
        <w:rPr>
          <w:color w:val="231F20"/>
          <w:w w:val="105"/>
        </w:rPr>
        <w:t>es</w:t>
      </w:r>
      <w:r>
        <w:rPr>
          <w:color w:val="231F20"/>
          <w:spacing w:val="-12"/>
          <w:w w:val="105"/>
        </w:rPr>
        <w:t> </w:t>
      </w:r>
      <w:r>
        <w:rPr>
          <w:color w:val="231F20"/>
          <w:w w:val="105"/>
        </w:rPr>
        <w:t>imprescindible hablar primero de las generalidades del municipio; posteriormente describir el diseño institucional</w:t>
      </w:r>
      <w:r>
        <w:rPr>
          <w:color w:val="231F20"/>
          <w:spacing w:val="-5"/>
          <w:w w:val="105"/>
        </w:rPr>
        <w:t> </w:t>
      </w:r>
      <w:r>
        <w:rPr>
          <w:color w:val="231F20"/>
          <w:w w:val="105"/>
        </w:rPr>
        <w:t>que</w:t>
      </w:r>
      <w:r>
        <w:rPr>
          <w:color w:val="231F20"/>
          <w:spacing w:val="-5"/>
          <w:w w:val="105"/>
        </w:rPr>
        <w:t> </w:t>
      </w:r>
      <w:r>
        <w:rPr>
          <w:color w:val="231F20"/>
          <w:spacing w:val="-3"/>
          <w:w w:val="105"/>
        </w:rPr>
        <w:t>adoptó</w:t>
      </w:r>
      <w:r>
        <w:rPr>
          <w:color w:val="231F20"/>
          <w:spacing w:val="-5"/>
          <w:w w:val="105"/>
        </w:rPr>
        <w:t> </w:t>
      </w:r>
      <w:r>
        <w:rPr>
          <w:color w:val="231F20"/>
          <w:w w:val="105"/>
        </w:rPr>
        <w:t>el</w:t>
      </w:r>
      <w:r>
        <w:rPr>
          <w:color w:val="231F20"/>
          <w:spacing w:val="-5"/>
          <w:w w:val="105"/>
        </w:rPr>
        <w:t> </w:t>
      </w:r>
      <w:r>
        <w:rPr>
          <w:color w:val="231F20"/>
          <w:w w:val="105"/>
        </w:rPr>
        <w:t>gobierno</w:t>
      </w:r>
      <w:r>
        <w:rPr>
          <w:color w:val="231F20"/>
          <w:spacing w:val="-5"/>
          <w:w w:val="105"/>
        </w:rPr>
        <w:t> </w:t>
      </w:r>
      <w:r>
        <w:rPr>
          <w:color w:val="231F20"/>
          <w:w w:val="105"/>
        </w:rPr>
        <w:t>en</w:t>
      </w:r>
      <w:r>
        <w:rPr>
          <w:color w:val="231F20"/>
          <w:spacing w:val="-5"/>
          <w:w w:val="105"/>
        </w:rPr>
        <w:t> </w:t>
      </w:r>
      <w:r>
        <w:rPr>
          <w:color w:val="231F20"/>
          <w:w w:val="105"/>
        </w:rPr>
        <w:t>estudio</w:t>
      </w:r>
      <w:r>
        <w:rPr>
          <w:color w:val="231F20"/>
          <w:spacing w:val="-5"/>
          <w:w w:val="105"/>
        </w:rPr>
        <w:t> </w:t>
      </w:r>
      <w:r>
        <w:rPr>
          <w:color w:val="231F20"/>
          <w:w w:val="105"/>
        </w:rPr>
        <w:t>manifiesto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Bando</w:t>
      </w:r>
      <w:r>
        <w:rPr>
          <w:color w:val="231F20"/>
          <w:spacing w:val="-5"/>
          <w:w w:val="105"/>
        </w:rPr>
        <w:t> </w:t>
      </w:r>
      <w:r>
        <w:rPr>
          <w:color w:val="231F20"/>
          <w:w w:val="105"/>
        </w:rPr>
        <w:t>Municipal</w:t>
      </w:r>
      <w:r>
        <w:rPr>
          <w:color w:val="231F20"/>
          <w:spacing w:val="-5"/>
          <w:w w:val="105"/>
        </w:rPr>
        <w:t> </w:t>
      </w:r>
      <w:r>
        <w:rPr>
          <w:color w:val="231F20"/>
          <w:w w:val="105"/>
        </w:rPr>
        <w:t>y</w:t>
      </w:r>
      <w:r>
        <w:rPr>
          <w:color w:val="231F20"/>
          <w:spacing w:val="-5"/>
          <w:w w:val="105"/>
        </w:rPr>
        <w:t> </w:t>
      </w:r>
      <w:r>
        <w:rPr>
          <w:color w:val="231F20"/>
          <w:w w:val="105"/>
        </w:rPr>
        <w:t>en el</w:t>
      </w:r>
      <w:r>
        <w:rPr>
          <w:color w:val="231F20"/>
          <w:spacing w:val="-8"/>
          <w:w w:val="105"/>
        </w:rPr>
        <w:t> </w:t>
      </w:r>
      <w:r>
        <w:rPr>
          <w:color w:val="231F20"/>
          <w:w w:val="105"/>
        </w:rPr>
        <w:t>Plan</w:t>
      </w:r>
      <w:r>
        <w:rPr>
          <w:color w:val="231F20"/>
          <w:spacing w:val="-8"/>
          <w:w w:val="105"/>
        </w:rPr>
        <w:t> </w:t>
      </w:r>
      <w:r>
        <w:rPr>
          <w:color w:val="231F20"/>
          <w:w w:val="105"/>
        </w:rPr>
        <w:t>de</w:t>
      </w:r>
      <w:r>
        <w:rPr>
          <w:color w:val="231F20"/>
          <w:spacing w:val="-8"/>
          <w:w w:val="105"/>
        </w:rPr>
        <w:t> </w:t>
      </w:r>
      <w:r>
        <w:rPr>
          <w:color w:val="231F20"/>
          <w:w w:val="105"/>
        </w:rPr>
        <w:t>Desarrollo;</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tercer</w:t>
      </w:r>
      <w:r>
        <w:rPr>
          <w:color w:val="231F20"/>
          <w:spacing w:val="-8"/>
          <w:w w:val="105"/>
        </w:rPr>
        <w:t> </w:t>
      </w:r>
      <w:r>
        <w:rPr>
          <w:color w:val="231F20"/>
          <w:spacing w:val="-3"/>
          <w:w w:val="105"/>
        </w:rPr>
        <w:t>momento,</w:t>
      </w:r>
      <w:r>
        <w:rPr>
          <w:color w:val="231F20"/>
          <w:spacing w:val="-8"/>
          <w:w w:val="105"/>
        </w:rPr>
        <w:t> </w:t>
      </w:r>
      <w:r>
        <w:rPr>
          <w:color w:val="231F20"/>
          <w:spacing w:val="2"/>
          <w:w w:val="105"/>
        </w:rPr>
        <w:t>analizar</w:t>
      </w:r>
      <w:r>
        <w:rPr>
          <w:color w:val="231F20"/>
          <w:spacing w:val="-8"/>
          <w:w w:val="105"/>
        </w:rPr>
        <w:t> </w:t>
      </w:r>
      <w:r>
        <w:rPr>
          <w:color w:val="231F20"/>
          <w:w w:val="105"/>
        </w:rPr>
        <w:t>el</w:t>
      </w:r>
      <w:r>
        <w:rPr>
          <w:color w:val="231F20"/>
          <w:spacing w:val="-8"/>
          <w:w w:val="105"/>
        </w:rPr>
        <w:t> </w:t>
      </w:r>
      <w:r>
        <w:rPr>
          <w:color w:val="231F20"/>
          <w:w w:val="105"/>
        </w:rPr>
        <w:t>desempeño</w:t>
      </w:r>
      <w:r>
        <w:rPr>
          <w:color w:val="231F20"/>
          <w:spacing w:val="-8"/>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revi- sión</w:t>
      </w:r>
      <w:r>
        <w:rPr>
          <w:color w:val="231F20"/>
          <w:spacing w:val="-19"/>
          <w:w w:val="105"/>
        </w:rPr>
        <w:t> </w:t>
      </w:r>
      <w:r>
        <w:rPr>
          <w:color w:val="231F20"/>
          <w:w w:val="105"/>
        </w:rPr>
        <w:t>de</w:t>
      </w:r>
      <w:r>
        <w:rPr>
          <w:color w:val="231F20"/>
          <w:spacing w:val="-19"/>
          <w:w w:val="105"/>
        </w:rPr>
        <w:t> </w:t>
      </w:r>
      <w:r>
        <w:rPr>
          <w:color w:val="231F20"/>
          <w:w w:val="105"/>
        </w:rPr>
        <w:t>informes,</w:t>
      </w:r>
      <w:r>
        <w:rPr>
          <w:color w:val="231F20"/>
          <w:spacing w:val="-19"/>
          <w:w w:val="105"/>
        </w:rPr>
        <w:t> </w:t>
      </w:r>
      <w:r>
        <w:rPr>
          <w:color w:val="231F20"/>
          <w:w w:val="105"/>
        </w:rPr>
        <w:t>acciones,</w:t>
      </w:r>
      <w:r>
        <w:rPr>
          <w:color w:val="231F20"/>
          <w:spacing w:val="-19"/>
          <w:w w:val="105"/>
        </w:rPr>
        <w:t> </w:t>
      </w:r>
      <w:r>
        <w:rPr>
          <w:color w:val="231F20"/>
          <w:w w:val="105"/>
        </w:rPr>
        <w:t>obras</w:t>
      </w:r>
      <w:r>
        <w:rPr>
          <w:color w:val="231F20"/>
          <w:spacing w:val="-19"/>
          <w:w w:val="105"/>
        </w:rPr>
        <w:t> </w:t>
      </w:r>
      <w:r>
        <w:rPr>
          <w:color w:val="231F20"/>
          <w:w w:val="105"/>
        </w:rPr>
        <w:t>y</w:t>
      </w:r>
      <w:r>
        <w:rPr>
          <w:color w:val="231F20"/>
          <w:spacing w:val="-19"/>
          <w:w w:val="105"/>
        </w:rPr>
        <w:t> </w:t>
      </w:r>
      <w:r>
        <w:rPr>
          <w:color w:val="231F20"/>
          <w:w w:val="105"/>
        </w:rPr>
        <w:t>relaciones</w:t>
      </w:r>
      <w:r>
        <w:rPr>
          <w:color w:val="231F20"/>
          <w:spacing w:val="-19"/>
          <w:w w:val="105"/>
        </w:rPr>
        <w:t> </w:t>
      </w:r>
      <w:r>
        <w:rPr>
          <w:color w:val="231F20"/>
          <w:w w:val="105"/>
        </w:rPr>
        <w:t>del</w:t>
      </w:r>
      <w:r>
        <w:rPr>
          <w:color w:val="231F20"/>
          <w:spacing w:val="-19"/>
          <w:w w:val="105"/>
        </w:rPr>
        <w:t> </w:t>
      </w:r>
      <w:r>
        <w:rPr>
          <w:color w:val="231F20"/>
          <w:w w:val="105"/>
        </w:rPr>
        <w:t>gobierno,</w:t>
      </w:r>
      <w:r>
        <w:rPr>
          <w:color w:val="231F20"/>
          <w:spacing w:val="-19"/>
          <w:w w:val="105"/>
        </w:rPr>
        <w:t> </w:t>
      </w:r>
      <w:r>
        <w:rPr>
          <w:color w:val="231F20"/>
          <w:w w:val="105"/>
        </w:rPr>
        <w:t>para</w:t>
      </w:r>
      <w:r>
        <w:rPr>
          <w:color w:val="231F20"/>
          <w:spacing w:val="-19"/>
          <w:w w:val="105"/>
        </w:rPr>
        <w:t> </w:t>
      </w:r>
      <w:r>
        <w:rPr>
          <w:color w:val="231F20"/>
          <w:w w:val="105"/>
        </w:rPr>
        <w:t>finalmente,</w:t>
      </w:r>
      <w:r>
        <w:rPr>
          <w:color w:val="231F20"/>
          <w:spacing w:val="-19"/>
          <w:w w:val="105"/>
        </w:rPr>
        <w:t> </w:t>
      </w:r>
      <w:r>
        <w:rPr>
          <w:color w:val="231F20"/>
          <w:spacing w:val="2"/>
          <w:w w:val="105"/>
        </w:rPr>
        <w:t>calificar</w:t>
      </w:r>
      <w:r>
        <w:rPr>
          <w:color w:val="231F20"/>
          <w:spacing w:val="-19"/>
          <w:w w:val="105"/>
        </w:rPr>
        <w:t> </w:t>
      </w:r>
      <w:r>
        <w:rPr>
          <w:color w:val="231F20"/>
          <w:w w:val="105"/>
        </w:rPr>
        <w:t>el gobierno</w:t>
      </w:r>
      <w:r>
        <w:rPr>
          <w:color w:val="231F20"/>
          <w:spacing w:val="-9"/>
          <w:w w:val="105"/>
        </w:rPr>
        <w:t> </w:t>
      </w:r>
      <w:r>
        <w:rPr>
          <w:color w:val="231F20"/>
          <w:w w:val="105"/>
        </w:rPr>
        <w:t>de</w:t>
      </w:r>
      <w:r>
        <w:rPr>
          <w:color w:val="231F20"/>
          <w:spacing w:val="-9"/>
          <w:w w:val="105"/>
        </w:rPr>
        <w:t> </w:t>
      </w:r>
      <w:r>
        <w:rPr>
          <w:color w:val="231F20"/>
          <w:w w:val="105"/>
        </w:rPr>
        <w:t>partido.</w:t>
      </w:r>
      <w:r>
        <w:rPr>
          <w:color w:val="231F20"/>
          <w:spacing w:val="-9"/>
          <w:w w:val="105"/>
        </w:rPr>
        <w:t> </w:t>
      </w:r>
      <w:r>
        <w:rPr>
          <w:color w:val="231F20"/>
          <w:w w:val="105"/>
        </w:rPr>
        <w:t>Estos</w:t>
      </w:r>
      <w:r>
        <w:rPr>
          <w:color w:val="231F20"/>
          <w:spacing w:val="-9"/>
          <w:w w:val="105"/>
        </w:rPr>
        <w:t> </w:t>
      </w:r>
      <w:r>
        <w:rPr>
          <w:color w:val="231F20"/>
          <w:w w:val="105"/>
        </w:rPr>
        <w:t>elementos</w:t>
      </w:r>
      <w:r>
        <w:rPr>
          <w:color w:val="231F20"/>
          <w:spacing w:val="-9"/>
          <w:w w:val="105"/>
        </w:rPr>
        <w:t> </w:t>
      </w:r>
      <w:r>
        <w:rPr>
          <w:color w:val="231F20"/>
          <w:w w:val="105"/>
        </w:rPr>
        <w:t>componen</w:t>
      </w:r>
      <w:r>
        <w:rPr>
          <w:color w:val="231F20"/>
          <w:spacing w:val="-9"/>
          <w:w w:val="105"/>
        </w:rPr>
        <w:t> </w:t>
      </w:r>
      <w:r>
        <w:rPr>
          <w:color w:val="231F20"/>
          <w:w w:val="105"/>
        </w:rPr>
        <w:t>la</w:t>
      </w:r>
      <w:r>
        <w:rPr>
          <w:color w:val="231F20"/>
          <w:spacing w:val="-9"/>
          <w:w w:val="105"/>
        </w:rPr>
        <w:t> </w:t>
      </w:r>
      <w:r>
        <w:rPr>
          <w:color w:val="231F20"/>
          <w:w w:val="105"/>
        </w:rPr>
        <w:t>estructura</w:t>
      </w:r>
      <w:r>
        <w:rPr>
          <w:color w:val="231F20"/>
          <w:spacing w:val="-9"/>
          <w:w w:val="105"/>
        </w:rPr>
        <w:t> </w:t>
      </w:r>
      <w:r>
        <w:rPr>
          <w:color w:val="231F20"/>
          <w:w w:val="105"/>
        </w:rPr>
        <w:t>de</w:t>
      </w:r>
      <w:r>
        <w:rPr>
          <w:color w:val="231F20"/>
          <w:spacing w:val="-9"/>
          <w:w w:val="105"/>
        </w:rPr>
        <w:t> </w:t>
      </w:r>
      <w:r>
        <w:rPr>
          <w:color w:val="231F20"/>
          <w:w w:val="105"/>
        </w:rPr>
        <w:t>este</w:t>
      </w:r>
      <w:r>
        <w:rPr>
          <w:color w:val="231F20"/>
          <w:spacing w:val="-9"/>
          <w:w w:val="105"/>
        </w:rPr>
        <w:t> </w:t>
      </w:r>
      <w:r>
        <w:rPr>
          <w:color w:val="231F20"/>
          <w:w w:val="105"/>
        </w:rPr>
        <w:t>capítulo.</w:t>
      </w:r>
    </w:p>
    <w:p>
      <w:pPr>
        <w:pStyle w:val="BodyText"/>
        <w:spacing w:before="1"/>
        <w:rPr>
          <w:sz w:val="26"/>
        </w:rPr>
      </w:pPr>
    </w:p>
    <w:p>
      <w:pPr>
        <w:pStyle w:val="BodyText"/>
        <w:spacing w:line="285" w:lineRule="auto"/>
        <w:ind w:left="110" w:right="108"/>
        <w:jc w:val="both"/>
      </w:pPr>
      <w:r>
        <w:rPr>
          <w:color w:val="231F20"/>
          <w:w w:val="105"/>
        </w:rPr>
        <w:t>El método utilizado fue el estudio de caso, con el apoyo de técnicas como la revisión de</w:t>
      </w:r>
      <w:r>
        <w:rPr>
          <w:color w:val="231F20"/>
          <w:spacing w:val="-5"/>
          <w:w w:val="105"/>
        </w:rPr>
        <w:t> </w:t>
      </w:r>
      <w:r>
        <w:rPr>
          <w:color w:val="231F20"/>
          <w:w w:val="105"/>
        </w:rPr>
        <w:t>documentos</w:t>
      </w:r>
      <w:r>
        <w:rPr>
          <w:color w:val="231F20"/>
          <w:spacing w:val="-5"/>
          <w:w w:val="105"/>
        </w:rPr>
        <w:t> </w:t>
      </w:r>
      <w:r>
        <w:rPr>
          <w:color w:val="231F20"/>
          <w:w w:val="105"/>
        </w:rPr>
        <w:t>oficiales,</w:t>
      </w:r>
      <w:r>
        <w:rPr>
          <w:color w:val="231F20"/>
          <w:spacing w:val="-5"/>
          <w:w w:val="105"/>
        </w:rPr>
        <w:t> </w:t>
      </w:r>
      <w:r>
        <w:rPr>
          <w:color w:val="231F20"/>
          <w:w w:val="105"/>
        </w:rPr>
        <w:t>la</w:t>
      </w:r>
      <w:r>
        <w:rPr>
          <w:color w:val="231F20"/>
          <w:spacing w:val="-5"/>
          <w:w w:val="105"/>
        </w:rPr>
        <w:t> </w:t>
      </w:r>
      <w:r>
        <w:rPr>
          <w:color w:val="231F20"/>
          <w:w w:val="105"/>
        </w:rPr>
        <w:t>entrevista</w:t>
      </w:r>
      <w:r>
        <w:rPr>
          <w:color w:val="231F20"/>
          <w:spacing w:val="-5"/>
          <w:w w:val="105"/>
        </w:rPr>
        <w:t> </w:t>
      </w:r>
      <w:r>
        <w:rPr>
          <w:color w:val="231F20"/>
          <w:w w:val="105"/>
        </w:rPr>
        <w:t>a</w:t>
      </w:r>
      <w:r>
        <w:rPr>
          <w:color w:val="231F20"/>
          <w:spacing w:val="-5"/>
          <w:w w:val="105"/>
        </w:rPr>
        <w:t> </w:t>
      </w:r>
      <w:r>
        <w:rPr>
          <w:color w:val="231F20"/>
          <w:w w:val="105"/>
        </w:rPr>
        <w:t>presidente</w:t>
      </w:r>
      <w:r>
        <w:rPr>
          <w:color w:val="231F20"/>
          <w:spacing w:val="-5"/>
          <w:w w:val="105"/>
        </w:rPr>
        <w:t> </w:t>
      </w:r>
      <w:r>
        <w:rPr>
          <w:color w:val="231F20"/>
          <w:w w:val="105"/>
        </w:rPr>
        <w:t>municipal,</w:t>
      </w:r>
      <w:r>
        <w:rPr>
          <w:color w:val="231F20"/>
          <w:spacing w:val="-5"/>
          <w:w w:val="105"/>
        </w:rPr>
        <w:t> </w:t>
      </w:r>
      <w:r>
        <w:rPr>
          <w:color w:val="231F20"/>
          <w:w w:val="105"/>
        </w:rPr>
        <w:t>regidores,</w:t>
      </w:r>
      <w:r>
        <w:rPr>
          <w:color w:val="231F20"/>
          <w:spacing w:val="-5"/>
          <w:w w:val="105"/>
        </w:rPr>
        <w:t> </w:t>
      </w:r>
      <w:r>
        <w:rPr>
          <w:color w:val="231F20"/>
          <w:w w:val="105"/>
        </w:rPr>
        <w:t>secretario</w:t>
      </w:r>
      <w:r>
        <w:rPr>
          <w:color w:val="231F20"/>
          <w:spacing w:val="-5"/>
          <w:w w:val="105"/>
        </w:rPr>
        <w:t> </w:t>
      </w:r>
      <w:r>
        <w:rPr>
          <w:color w:val="231F20"/>
          <w:w w:val="105"/>
        </w:rPr>
        <w:t>del ayuntamiento y algunos funcionarios de primer nivel. Así mismo se presentan los re- sultados de una encuesta que revela los niveles de satisfacción ciudadana y la calidad democrática.</w:t>
      </w:r>
    </w:p>
    <w:p>
      <w:pPr>
        <w:spacing w:after="0" w:line="285" w:lineRule="auto"/>
        <w:jc w:val="both"/>
        <w:sectPr>
          <w:pgSz w:w="9640" w:h="12190"/>
          <w:pgMar w:header="0" w:footer="743" w:top="1120" w:bottom="940" w:left="740" w:right="740"/>
        </w:sectPr>
      </w:pPr>
    </w:p>
    <w:p>
      <w:pPr>
        <w:pStyle w:val="BodyText"/>
        <w:spacing w:before="3"/>
        <w:rPr>
          <w:sz w:val="9"/>
        </w:rPr>
      </w:pPr>
    </w:p>
    <w:p>
      <w:pPr>
        <w:pStyle w:val="Heading3"/>
        <w:spacing w:before="21"/>
      </w:pPr>
      <w:r>
        <w:rPr>
          <w:color w:val="231F20"/>
          <w:w w:val="105"/>
        </w:rPr>
        <w:t>Generalidades del municipio</w:t>
      </w:r>
    </w:p>
    <w:p>
      <w:pPr>
        <w:pStyle w:val="BodyText"/>
        <w:spacing w:before="6"/>
        <w:rPr>
          <w:b/>
          <w:sz w:val="23"/>
        </w:rPr>
      </w:pPr>
    </w:p>
    <w:p>
      <w:pPr>
        <w:pStyle w:val="Heading4"/>
        <w:rPr>
          <w:i/>
        </w:rPr>
      </w:pPr>
      <w:r>
        <w:rPr>
          <w:i/>
          <w:color w:val="231F20"/>
        </w:rPr>
        <w:t>Datos socioeconómicos</w:t>
      </w:r>
    </w:p>
    <w:p>
      <w:pPr>
        <w:pStyle w:val="BodyText"/>
        <w:spacing w:line="285" w:lineRule="auto" w:before="16"/>
        <w:ind w:left="110" w:right="106"/>
        <w:jc w:val="both"/>
      </w:pPr>
      <w:r>
        <w:rPr>
          <w:color w:val="231F20"/>
        </w:rPr>
        <w:t>El municipio de </w:t>
      </w:r>
      <w:r>
        <w:rPr>
          <w:color w:val="231F20"/>
          <w:spacing w:val="3"/>
        </w:rPr>
        <w:t>Amecameca </w:t>
      </w:r>
      <w:r>
        <w:rPr>
          <w:color w:val="231F20"/>
        </w:rPr>
        <w:t>se ubica en el oriente del Estado de México, con co- </w:t>
      </w:r>
      <w:r>
        <w:rPr>
          <w:color w:val="231F20"/>
          <w:spacing w:val="2"/>
        </w:rPr>
        <w:t>lindancias </w:t>
      </w:r>
      <w:r>
        <w:rPr>
          <w:color w:val="231F20"/>
          <w:spacing w:val="3"/>
        </w:rPr>
        <w:t>al </w:t>
      </w:r>
      <w:r>
        <w:rPr>
          <w:color w:val="231F20"/>
        </w:rPr>
        <w:t>norte con el municipio de </w:t>
      </w:r>
      <w:r>
        <w:rPr>
          <w:color w:val="231F20"/>
          <w:spacing w:val="3"/>
        </w:rPr>
        <w:t>Tlalmanalco, al </w:t>
      </w:r>
      <w:r>
        <w:rPr>
          <w:color w:val="231F20"/>
        </w:rPr>
        <w:t>Sur con los municipios de </w:t>
      </w:r>
      <w:r>
        <w:rPr>
          <w:color w:val="231F20"/>
          <w:spacing w:val="2"/>
        </w:rPr>
        <w:t>Ozumba </w:t>
      </w:r>
      <w:r>
        <w:rPr>
          <w:color w:val="231F20"/>
        </w:rPr>
        <w:t>y Atlautla; </w:t>
      </w:r>
      <w:r>
        <w:rPr>
          <w:color w:val="231F20"/>
          <w:spacing w:val="3"/>
        </w:rPr>
        <w:t>al </w:t>
      </w:r>
      <w:r>
        <w:rPr>
          <w:color w:val="231F20"/>
        </w:rPr>
        <w:t>oriente con el estado de Puebla; </w:t>
      </w:r>
      <w:r>
        <w:rPr>
          <w:color w:val="231F20"/>
          <w:spacing w:val="3"/>
        </w:rPr>
        <w:t>al </w:t>
      </w:r>
      <w:r>
        <w:rPr>
          <w:color w:val="231F20"/>
        </w:rPr>
        <w:t>poniente con los municipios    de Ayapango y </w:t>
      </w:r>
      <w:r>
        <w:rPr>
          <w:color w:val="231F20"/>
          <w:spacing w:val="6"/>
        </w:rPr>
        <w:t> </w:t>
      </w:r>
      <w:r>
        <w:rPr>
          <w:color w:val="231F20"/>
        </w:rPr>
        <w:t>Juchitepec.</w:t>
      </w:r>
    </w:p>
    <w:p>
      <w:pPr>
        <w:pStyle w:val="BodyText"/>
        <w:spacing w:before="1"/>
        <w:rPr>
          <w:sz w:val="26"/>
        </w:rPr>
      </w:pPr>
    </w:p>
    <w:p>
      <w:pPr>
        <w:pStyle w:val="BodyText"/>
        <w:spacing w:line="285" w:lineRule="auto"/>
        <w:ind w:left="110" w:right="108"/>
        <w:jc w:val="both"/>
      </w:pPr>
      <w:r>
        <w:rPr>
          <w:color w:val="231F20"/>
        </w:rPr>
        <w:t>El municipio se integra con las siguientes localidades, una cabecera municipal: Ameca- meca de Juárez, y ocho delegaciones:</w:t>
      </w:r>
      <w:r>
        <w:rPr>
          <w:color w:val="231F20"/>
          <w:position w:val="7"/>
          <w:sz w:val="13"/>
        </w:rPr>
        <w:t>1 </w:t>
      </w:r>
      <w:r>
        <w:rPr>
          <w:color w:val="231F20"/>
        </w:rPr>
        <w:t>San Francisco Zentlalpan, Santa Isabel Chalma, Santiago Cuauhtenco, San Pedro Nexapa, San Diego Huehuecalco, San Antonio Zoya- tzingo, Aldea de los Reyes y San Juan Grande (Bando, 2008).</w:t>
      </w:r>
    </w:p>
    <w:p>
      <w:pPr>
        <w:pStyle w:val="BodyText"/>
        <w:spacing w:before="1"/>
        <w:rPr>
          <w:sz w:val="26"/>
        </w:rPr>
      </w:pPr>
    </w:p>
    <w:p>
      <w:pPr>
        <w:pStyle w:val="BodyText"/>
        <w:spacing w:line="285" w:lineRule="auto"/>
        <w:ind w:left="110" w:right="106"/>
        <w:jc w:val="both"/>
      </w:pPr>
      <w:r>
        <w:rPr>
          <w:color w:val="231F20"/>
          <w:spacing w:val="-3"/>
          <w:w w:val="105"/>
        </w:rPr>
        <w:t>Tiene</w:t>
      </w:r>
      <w:r>
        <w:rPr>
          <w:color w:val="231F20"/>
          <w:spacing w:val="-15"/>
          <w:w w:val="105"/>
        </w:rPr>
        <w:t> </w:t>
      </w:r>
      <w:r>
        <w:rPr>
          <w:color w:val="231F20"/>
          <w:w w:val="105"/>
        </w:rPr>
        <w:t>una</w:t>
      </w:r>
      <w:r>
        <w:rPr>
          <w:color w:val="231F20"/>
          <w:spacing w:val="-15"/>
          <w:w w:val="105"/>
        </w:rPr>
        <w:t> </w:t>
      </w:r>
      <w:r>
        <w:rPr>
          <w:color w:val="231F20"/>
          <w:w w:val="105"/>
        </w:rPr>
        <w:t>extensión</w:t>
      </w:r>
      <w:r>
        <w:rPr>
          <w:color w:val="231F20"/>
          <w:spacing w:val="-15"/>
          <w:w w:val="105"/>
        </w:rPr>
        <w:t> </w:t>
      </w:r>
      <w:r>
        <w:rPr>
          <w:color w:val="231F20"/>
          <w:w w:val="105"/>
        </w:rPr>
        <w:t>territorial</w:t>
      </w:r>
      <w:r>
        <w:rPr>
          <w:color w:val="231F20"/>
          <w:spacing w:val="-15"/>
          <w:w w:val="105"/>
        </w:rPr>
        <w:t> </w:t>
      </w:r>
      <w:r>
        <w:rPr>
          <w:color w:val="231F20"/>
          <w:w w:val="105"/>
        </w:rPr>
        <w:t>de</w:t>
      </w:r>
      <w:r>
        <w:rPr>
          <w:color w:val="231F20"/>
          <w:spacing w:val="-15"/>
          <w:w w:val="105"/>
        </w:rPr>
        <w:t> </w:t>
      </w:r>
      <w:r>
        <w:rPr>
          <w:color w:val="231F20"/>
          <w:spacing w:val="-5"/>
          <w:w w:val="105"/>
        </w:rPr>
        <w:t>181.72</w:t>
      </w:r>
      <w:r>
        <w:rPr>
          <w:color w:val="231F20"/>
          <w:spacing w:val="-15"/>
          <w:w w:val="105"/>
        </w:rPr>
        <w:t> </w:t>
      </w:r>
      <w:r>
        <w:rPr>
          <w:color w:val="231F20"/>
          <w:spacing w:val="3"/>
          <w:w w:val="105"/>
        </w:rPr>
        <w:t>km2,</w:t>
      </w:r>
      <w:r>
        <w:rPr>
          <w:color w:val="231F20"/>
          <w:spacing w:val="-15"/>
          <w:w w:val="105"/>
        </w:rPr>
        <w:t> </w:t>
      </w:r>
      <w:r>
        <w:rPr>
          <w:color w:val="231F20"/>
          <w:w w:val="105"/>
        </w:rPr>
        <w:t>con</w:t>
      </w:r>
      <w:r>
        <w:rPr>
          <w:color w:val="231F20"/>
          <w:spacing w:val="-15"/>
          <w:w w:val="105"/>
        </w:rPr>
        <w:t> </w:t>
      </w:r>
      <w:r>
        <w:rPr>
          <w:color w:val="231F20"/>
          <w:w w:val="105"/>
        </w:rPr>
        <w:t>una</w:t>
      </w:r>
      <w:r>
        <w:rPr>
          <w:color w:val="231F20"/>
          <w:spacing w:val="-15"/>
          <w:w w:val="105"/>
        </w:rPr>
        <w:t> </w:t>
      </w:r>
      <w:r>
        <w:rPr>
          <w:color w:val="231F20"/>
          <w:w w:val="105"/>
        </w:rPr>
        <w:t>población</w:t>
      </w:r>
      <w:r>
        <w:rPr>
          <w:color w:val="231F20"/>
          <w:spacing w:val="-15"/>
          <w:w w:val="105"/>
        </w:rPr>
        <w:t> </w:t>
      </w:r>
      <w:r>
        <w:rPr>
          <w:color w:val="231F20"/>
          <w:w w:val="105"/>
        </w:rPr>
        <w:t>de</w:t>
      </w:r>
      <w:r>
        <w:rPr>
          <w:color w:val="231F20"/>
          <w:spacing w:val="-15"/>
          <w:w w:val="105"/>
        </w:rPr>
        <w:t> </w:t>
      </w:r>
      <w:r>
        <w:rPr>
          <w:color w:val="231F20"/>
          <w:w w:val="105"/>
        </w:rPr>
        <w:t>48</w:t>
      </w:r>
      <w:r>
        <w:rPr>
          <w:color w:val="231F20"/>
          <w:spacing w:val="-15"/>
          <w:w w:val="105"/>
        </w:rPr>
        <w:t> </w:t>
      </w:r>
      <w:r>
        <w:rPr>
          <w:color w:val="231F20"/>
          <w:w w:val="105"/>
        </w:rPr>
        <w:t>363</w:t>
      </w:r>
      <w:r>
        <w:rPr>
          <w:color w:val="231F20"/>
          <w:spacing w:val="-15"/>
          <w:w w:val="105"/>
        </w:rPr>
        <w:t> </w:t>
      </w:r>
      <w:r>
        <w:rPr>
          <w:color w:val="231F20"/>
          <w:w w:val="105"/>
        </w:rPr>
        <w:t>habitantes</w:t>
      </w:r>
      <w:r>
        <w:rPr>
          <w:color w:val="231F20"/>
          <w:w w:val="105"/>
          <w:position w:val="7"/>
          <w:sz w:val="13"/>
        </w:rPr>
        <w:t>2</w:t>
      </w:r>
      <w:r>
        <w:rPr>
          <w:color w:val="231F20"/>
          <w:w w:val="105"/>
        </w:rPr>
        <w:t>, lo</w:t>
      </w:r>
      <w:r>
        <w:rPr>
          <w:color w:val="231F20"/>
          <w:spacing w:val="-11"/>
          <w:w w:val="105"/>
        </w:rPr>
        <w:t> </w:t>
      </w:r>
      <w:r>
        <w:rPr>
          <w:color w:val="231F20"/>
          <w:w w:val="105"/>
        </w:rPr>
        <w:t>que</w:t>
      </w:r>
      <w:r>
        <w:rPr>
          <w:color w:val="231F20"/>
          <w:spacing w:val="-11"/>
          <w:w w:val="105"/>
        </w:rPr>
        <w:t> </w:t>
      </w:r>
      <w:r>
        <w:rPr>
          <w:color w:val="231F20"/>
          <w:w w:val="105"/>
        </w:rPr>
        <w:t>equivale</w:t>
      </w:r>
      <w:r>
        <w:rPr>
          <w:color w:val="231F20"/>
          <w:spacing w:val="-11"/>
          <w:w w:val="105"/>
        </w:rPr>
        <w:t> </w:t>
      </w:r>
      <w:r>
        <w:rPr>
          <w:color w:val="231F20"/>
          <w:w w:val="105"/>
        </w:rPr>
        <w:t>a</w:t>
      </w:r>
      <w:r>
        <w:rPr>
          <w:color w:val="231F20"/>
          <w:spacing w:val="-11"/>
          <w:w w:val="105"/>
        </w:rPr>
        <w:t> </w:t>
      </w:r>
      <w:r>
        <w:rPr>
          <w:color w:val="231F20"/>
          <w:spacing w:val="-3"/>
          <w:w w:val="105"/>
        </w:rPr>
        <w:t>266.16</w:t>
      </w:r>
      <w:r>
        <w:rPr>
          <w:color w:val="231F20"/>
          <w:spacing w:val="-11"/>
          <w:w w:val="105"/>
        </w:rPr>
        <w:t> </w:t>
      </w:r>
      <w:r>
        <w:rPr>
          <w:color w:val="231F20"/>
          <w:w w:val="105"/>
        </w:rPr>
        <w:t>habitantes</w:t>
      </w:r>
      <w:r>
        <w:rPr>
          <w:color w:val="231F20"/>
          <w:spacing w:val="-11"/>
          <w:w w:val="105"/>
        </w:rPr>
        <w:t> </w:t>
      </w:r>
      <w:r>
        <w:rPr>
          <w:color w:val="231F20"/>
          <w:w w:val="105"/>
        </w:rPr>
        <w:t>por</w:t>
      </w:r>
      <w:r>
        <w:rPr>
          <w:color w:val="231F20"/>
          <w:spacing w:val="-11"/>
          <w:w w:val="105"/>
        </w:rPr>
        <w:t> </w:t>
      </w:r>
      <w:r>
        <w:rPr>
          <w:color w:val="231F20"/>
          <w:w w:val="105"/>
        </w:rPr>
        <w:t>kilómetro</w:t>
      </w:r>
      <w:r>
        <w:rPr>
          <w:color w:val="231F20"/>
          <w:spacing w:val="-11"/>
          <w:w w:val="105"/>
        </w:rPr>
        <w:t> </w:t>
      </w:r>
      <w:r>
        <w:rPr>
          <w:color w:val="231F20"/>
          <w:w w:val="105"/>
        </w:rPr>
        <w:t>cuadrado.</w:t>
      </w:r>
      <w:r>
        <w:rPr>
          <w:color w:val="231F20"/>
          <w:spacing w:val="-11"/>
          <w:w w:val="105"/>
        </w:rPr>
        <w:t> </w:t>
      </w:r>
      <w:r>
        <w:rPr>
          <w:color w:val="231F20"/>
          <w:w w:val="105"/>
        </w:rPr>
        <w:t>Condición</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es</w:t>
      </w:r>
      <w:r>
        <w:rPr>
          <w:color w:val="231F20"/>
          <w:spacing w:val="-11"/>
          <w:w w:val="105"/>
        </w:rPr>
        <w:t> </w:t>
      </w:r>
      <w:r>
        <w:rPr>
          <w:color w:val="231F20"/>
          <w:w w:val="105"/>
        </w:rPr>
        <w:t>cierta del todo ya que aproximadamente el 50% de la superficie es de tipo de suelo forestal, bosque,</w:t>
      </w:r>
      <w:r>
        <w:rPr>
          <w:color w:val="231F20"/>
          <w:spacing w:val="-14"/>
          <w:w w:val="105"/>
        </w:rPr>
        <w:t> </w:t>
      </w:r>
      <w:r>
        <w:rPr>
          <w:color w:val="231F20"/>
          <w:w w:val="105"/>
        </w:rPr>
        <w:t>el</w:t>
      </w:r>
      <w:r>
        <w:rPr>
          <w:color w:val="231F20"/>
          <w:spacing w:val="-14"/>
          <w:w w:val="105"/>
        </w:rPr>
        <w:t> </w:t>
      </w:r>
      <w:r>
        <w:rPr>
          <w:color w:val="231F20"/>
          <w:spacing w:val="-6"/>
          <w:w w:val="105"/>
        </w:rPr>
        <w:t>31.71%</w:t>
      </w:r>
      <w:r>
        <w:rPr>
          <w:color w:val="231F20"/>
          <w:spacing w:val="-14"/>
          <w:w w:val="105"/>
        </w:rPr>
        <w:t> </w:t>
      </w:r>
      <w:r>
        <w:rPr>
          <w:color w:val="231F20"/>
          <w:w w:val="105"/>
        </w:rPr>
        <w:t>es</w:t>
      </w:r>
      <w:r>
        <w:rPr>
          <w:color w:val="231F20"/>
          <w:spacing w:val="-14"/>
          <w:w w:val="105"/>
        </w:rPr>
        <w:t> </w:t>
      </w:r>
      <w:r>
        <w:rPr>
          <w:color w:val="231F20"/>
          <w:w w:val="105"/>
        </w:rPr>
        <w:t>tierra</w:t>
      </w:r>
      <w:r>
        <w:rPr>
          <w:color w:val="231F20"/>
          <w:spacing w:val="-14"/>
          <w:w w:val="105"/>
        </w:rPr>
        <w:t> </w:t>
      </w:r>
      <w:r>
        <w:rPr>
          <w:color w:val="231F20"/>
          <w:w w:val="105"/>
        </w:rPr>
        <w:t>dedicada</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agricultura</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suelo</w:t>
      </w:r>
      <w:r>
        <w:rPr>
          <w:color w:val="231F20"/>
          <w:spacing w:val="-14"/>
          <w:w w:val="105"/>
        </w:rPr>
        <w:t> </w:t>
      </w:r>
      <w:r>
        <w:rPr>
          <w:color w:val="231F20"/>
          <w:w w:val="105"/>
        </w:rPr>
        <w:t>urbano</w:t>
      </w:r>
      <w:r>
        <w:rPr>
          <w:color w:val="231F20"/>
          <w:spacing w:val="-14"/>
          <w:w w:val="105"/>
        </w:rPr>
        <w:t> </w:t>
      </w:r>
      <w:r>
        <w:rPr>
          <w:color w:val="231F20"/>
          <w:w w:val="105"/>
        </w:rPr>
        <w:t>equivale</w:t>
      </w:r>
      <w:r>
        <w:rPr>
          <w:color w:val="231F20"/>
          <w:spacing w:val="-14"/>
          <w:w w:val="105"/>
        </w:rPr>
        <w:t> </w:t>
      </w:r>
      <w:r>
        <w:rPr>
          <w:color w:val="231F20"/>
          <w:w w:val="105"/>
        </w:rPr>
        <w:t>a 3.82%</w:t>
      </w:r>
      <w:r>
        <w:rPr>
          <w:color w:val="231F20"/>
          <w:spacing w:val="-40"/>
          <w:w w:val="105"/>
        </w:rPr>
        <w:t> </w:t>
      </w:r>
      <w:r>
        <w:rPr>
          <w:color w:val="231F20"/>
          <w:w w:val="105"/>
        </w:rPr>
        <w:t>del</w:t>
      </w:r>
      <w:r>
        <w:rPr>
          <w:color w:val="231F20"/>
          <w:spacing w:val="-40"/>
          <w:w w:val="105"/>
        </w:rPr>
        <w:t> </w:t>
      </w:r>
      <w:r>
        <w:rPr>
          <w:color w:val="231F20"/>
          <w:w w:val="105"/>
        </w:rPr>
        <w:t>territorio.</w:t>
      </w:r>
    </w:p>
    <w:p>
      <w:pPr>
        <w:pStyle w:val="BodyText"/>
        <w:spacing w:before="1"/>
        <w:rPr>
          <w:sz w:val="26"/>
        </w:rPr>
      </w:pPr>
    </w:p>
    <w:p>
      <w:pPr>
        <w:pStyle w:val="BodyText"/>
        <w:spacing w:line="285" w:lineRule="auto"/>
        <w:ind w:left="110" w:right="108"/>
        <w:jc w:val="both"/>
      </w:pPr>
      <w:r>
        <w:rPr>
          <w:color w:val="231F20"/>
        </w:rPr>
        <w:t>El </w:t>
      </w:r>
      <w:r>
        <w:rPr>
          <w:color w:val="231F20"/>
          <w:spacing w:val="-5"/>
        </w:rPr>
        <w:t>61.9%  </w:t>
      </w:r>
      <w:r>
        <w:rPr>
          <w:color w:val="231F20"/>
        </w:rPr>
        <w:t>de su población está concentrada en la cabecera municipal, mientras que el  resto distribuido en las delegaciones. El 65.6% de la población fluctúa entre los 0 y 34 años de edad, el 35% entre 15 y 34 años de edad, por lo que se puede </w:t>
      </w:r>
      <w:r>
        <w:rPr>
          <w:color w:val="231F20"/>
          <w:spacing w:val="2"/>
        </w:rPr>
        <w:t>afirmar </w:t>
      </w:r>
      <w:r>
        <w:rPr>
          <w:color w:val="231F20"/>
        </w:rPr>
        <w:t>que es un municipio de jóvenes, lo que implica que las políticas pueden </w:t>
      </w:r>
      <w:r>
        <w:rPr>
          <w:color w:val="231F20"/>
          <w:spacing w:val="2"/>
        </w:rPr>
        <w:t>girar </w:t>
      </w:r>
      <w:r>
        <w:rPr>
          <w:color w:val="231F20"/>
        </w:rPr>
        <w:t>alrededor de las de- mandas de este tipo de población, como pueden ser escuelas, áreas deportivas, salud y empleo,  entre</w:t>
      </w:r>
      <w:r>
        <w:rPr>
          <w:color w:val="231F20"/>
          <w:spacing w:val="9"/>
        </w:rPr>
        <w:t> </w:t>
      </w:r>
      <w:r>
        <w:rPr>
          <w:color w:val="231F20"/>
        </w:rPr>
        <w:t>otros.</w:t>
      </w:r>
    </w:p>
    <w:p>
      <w:pPr>
        <w:pStyle w:val="BodyText"/>
        <w:spacing w:before="1"/>
        <w:rPr>
          <w:sz w:val="26"/>
        </w:rPr>
      </w:pPr>
    </w:p>
    <w:p>
      <w:pPr>
        <w:pStyle w:val="BodyText"/>
        <w:ind w:left="110"/>
        <w:jc w:val="both"/>
      </w:pPr>
      <w:r>
        <w:rPr>
          <w:color w:val="231F20"/>
        </w:rPr>
        <w:t>La actividad </w:t>
      </w:r>
      <w:r>
        <w:rPr>
          <w:color w:val="231F20"/>
          <w:spacing w:val="-3"/>
        </w:rPr>
        <w:t>económica  </w:t>
      </w:r>
      <w:r>
        <w:rPr>
          <w:color w:val="231F20"/>
          <w:spacing w:val="-4"/>
        </w:rPr>
        <w:t>preponderante  </w:t>
      </w:r>
      <w:r>
        <w:rPr>
          <w:color w:val="231F20"/>
        </w:rPr>
        <w:t>en el </w:t>
      </w:r>
      <w:r>
        <w:rPr>
          <w:color w:val="231F20"/>
          <w:spacing w:val="-3"/>
        </w:rPr>
        <w:t>municipio  </w:t>
      </w:r>
      <w:r>
        <w:rPr>
          <w:color w:val="231F20"/>
        </w:rPr>
        <w:t>es la </w:t>
      </w:r>
      <w:r>
        <w:rPr>
          <w:color w:val="231F20"/>
          <w:spacing w:val="-3"/>
        </w:rPr>
        <w:t>relativa  </w:t>
      </w:r>
      <w:r>
        <w:rPr>
          <w:color w:val="231F20"/>
        </w:rPr>
        <w:t>a </w:t>
      </w:r>
      <w:r>
        <w:rPr>
          <w:color w:val="231F20"/>
          <w:spacing w:val="-3"/>
        </w:rPr>
        <w:t>los  </w:t>
      </w:r>
      <w:r>
        <w:rPr>
          <w:color w:val="231F20"/>
        </w:rPr>
        <w:t>servicios,    ha</w:t>
      </w:r>
    </w:p>
    <w:p>
      <w:pPr>
        <w:pStyle w:val="BodyText"/>
        <w:spacing w:before="10"/>
        <w:rPr>
          <w:sz w:val="8"/>
        </w:rPr>
      </w:pPr>
      <w:r>
        <w:rPr/>
        <w:pict>
          <v:line style="position:absolute;mso-position-horizontal-relative:page;mso-position-vertical-relative:paragraph;z-index:10912;mso-wrap-distance-left:0;mso-wrap-distance-right:0" from="42.519699pt,7.590195pt" to="114.519699pt,7.590195pt" stroked="true" strokeweight="1pt" strokecolor="#231f20">
            <w10:wrap type="topAndBottom"/>
          </v:line>
        </w:pict>
      </w:r>
    </w:p>
    <w:p>
      <w:pPr>
        <w:pStyle w:val="ListParagraph"/>
        <w:numPr>
          <w:ilvl w:val="0"/>
          <w:numId w:val="21"/>
        </w:numPr>
        <w:tabs>
          <w:tab w:pos="218" w:val="left" w:leader="none"/>
        </w:tabs>
        <w:spacing w:line="244" w:lineRule="auto" w:before="8" w:after="0"/>
        <w:ind w:left="110" w:right="108" w:firstLine="0"/>
        <w:jc w:val="both"/>
        <w:rPr>
          <w:sz w:val="16"/>
        </w:rPr>
      </w:pPr>
      <w:r>
        <w:rPr>
          <w:color w:val="231F20"/>
          <w:sz w:val="16"/>
        </w:rPr>
        <w:t>El</w:t>
      </w:r>
      <w:r>
        <w:rPr>
          <w:color w:val="231F20"/>
          <w:spacing w:val="-10"/>
          <w:sz w:val="16"/>
        </w:rPr>
        <w:t> </w:t>
      </w:r>
      <w:r>
        <w:rPr>
          <w:color w:val="231F20"/>
          <w:sz w:val="16"/>
        </w:rPr>
        <w:t>gobierno</w:t>
      </w:r>
      <w:r>
        <w:rPr>
          <w:color w:val="231F20"/>
          <w:spacing w:val="-10"/>
          <w:sz w:val="16"/>
        </w:rPr>
        <w:t> </w:t>
      </w:r>
      <w:r>
        <w:rPr>
          <w:color w:val="231F20"/>
          <w:sz w:val="16"/>
        </w:rPr>
        <w:t>en</w:t>
      </w:r>
      <w:r>
        <w:rPr>
          <w:color w:val="231F20"/>
          <w:spacing w:val="-10"/>
          <w:sz w:val="16"/>
        </w:rPr>
        <w:t> </w:t>
      </w:r>
      <w:r>
        <w:rPr>
          <w:color w:val="231F20"/>
          <w:sz w:val="16"/>
        </w:rPr>
        <w:t>estudio</w:t>
      </w:r>
      <w:r>
        <w:rPr>
          <w:color w:val="231F20"/>
          <w:spacing w:val="-10"/>
          <w:sz w:val="16"/>
        </w:rPr>
        <w:t> </w:t>
      </w:r>
      <w:r>
        <w:rPr>
          <w:color w:val="231F20"/>
          <w:sz w:val="16"/>
        </w:rPr>
        <w:t>ascendió</w:t>
      </w:r>
      <w:r>
        <w:rPr>
          <w:color w:val="231F20"/>
          <w:spacing w:val="-10"/>
          <w:sz w:val="16"/>
        </w:rPr>
        <w:t> </w:t>
      </w:r>
      <w:r>
        <w:rPr>
          <w:color w:val="231F20"/>
          <w:sz w:val="16"/>
        </w:rPr>
        <w:t>dos</w:t>
      </w:r>
      <w:r>
        <w:rPr>
          <w:color w:val="231F20"/>
          <w:spacing w:val="-10"/>
          <w:sz w:val="16"/>
        </w:rPr>
        <w:t> </w:t>
      </w:r>
      <w:r>
        <w:rPr>
          <w:color w:val="231F20"/>
          <w:sz w:val="16"/>
        </w:rPr>
        <w:t>subdelegaciones</w:t>
      </w:r>
      <w:r>
        <w:rPr>
          <w:color w:val="231F20"/>
          <w:spacing w:val="-10"/>
          <w:sz w:val="16"/>
        </w:rPr>
        <w:t> </w:t>
      </w:r>
      <w:r>
        <w:rPr>
          <w:color w:val="231F20"/>
          <w:sz w:val="16"/>
        </w:rPr>
        <w:t>al</w:t>
      </w:r>
      <w:r>
        <w:rPr>
          <w:color w:val="231F20"/>
          <w:spacing w:val="-10"/>
          <w:sz w:val="16"/>
        </w:rPr>
        <w:t> </w:t>
      </w:r>
      <w:r>
        <w:rPr>
          <w:color w:val="231F20"/>
          <w:sz w:val="16"/>
        </w:rPr>
        <w:t>rango</w:t>
      </w:r>
      <w:r>
        <w:rPr>
          <w:color w:val="231F20"/>
          <w:spacing w:val="-10"/>
          <w:sz w:val="16"/>
        </w:rPr>
        <w:t> </w:t>
      </w:r>
      <w:r>
        <w:rPr>
          <w:color w:val="231F20"/>
          <w:sz w:val="16"/>
        </w:rPr>
        <w:t>de</w:t>
      </w:r>
      <w:r>
        <w:rPr>
          <w:color w:val="231F20"/>
          <w:spacing w:val="-10"/>
          <w:sz w:val="16"/>
        </w:rPr>
        <w:t> </w:t>
      </w:r>
      <w:r>
        <w:rPr>
          <w:color w:val="231F20"/>
          <w:sz w:val="16"/>
        </w:rPr>
        <w:t>Delegaciones,</w:t>
      </w:r>
      <w:r>
        <w:rPr>
          <w:color w:val="231F20"/>
          <w:spacing w:val="-10"/>
          <w:sz w:val="16"/>
        </w:rPr>
        <w:t> </w:t>
      </w:r>
      <w:r>
        <w:rPr>
          <w:color w:val="231F20"/>
          <w:sz w:val="16"/>
        </w:rPr>
        <w:t>consignados</w:t>
      </w:r>
      <w:r>
        <w:rPr>
          <w:color w:val="231F20"/>
          <w:spacing w:val="-10"/>
          <w:sz w:val="16"/>
        </w:rPr>
        <w:t> </w:t>
      </w:r>
      <w:r>
        <w:rPr>
          <w:color w:val="231F20"/>
          <w:sz w:val="16"/>
        </w:rPr>
        <w:t>en</w:t>
      </w:r>
      <w:r>
        <w:rPr>
          <w:color w:val="231F20"/>
          <w:spacing w:val="-10"/>
          <w:sz w:val="16"/>
        </w:rPr>
        <w:t> </w:t>
      </w:r>
      <w:r>
        <w:rPr>
          <w:color w:val="231F20"/>
          <w:sz w:val="16"/>
        </w:rPr>
        <w:t>el</w:t>
      </w:r>
      <w:r>
        <w:rPr>
          <w:color w:val="231F20"/>
          <w:spacing w:val="-10"/>
          <w:sz w:val="16"/>
        </w:rPr>
        <w:t> </w:t>
      </w:r>
      <w:r>
        <w:rPr>
          <w:color w:val="231F20"/>
          <w:sz w:val="16"/>
        </w:rPr>
        <w:t>Bando</w:t>
      </w:r>
      <w:r>
        <w:rPr>
          <w:color w:val="231F20"/>
          <w:spacing w:val="-10"/>
          <w:sz w:val="16"/>
        </w:rPr>
        <w:t> </w:t>
      </w:r>
      <w:r>
        <w:rPr>
          <w:color w:val="231F20"/>
          <w:sz w:val="16"/>
        </w:rPr>
        <w:t>Municipal</w:t>
      </w:r>
      <w:r>
        <w:rPr>
          <w:color w:val="231F20"/>
          <w:spacing w:val="-10"/>
          <w:sz w:val="16"/>
        </w:rPr>
        <w:t> </w:t>
      </w:r>
      <w:r>
        <w:rPr>
          <w:color w:val="231F20"/>
          <w:sz w:val="16"/>
        </w:rPr>
        <w:t>(2007) y</w:t>
      </w:r>
      <w:r>
        <w:rPr>
          <w:color w:val="231F20"/>
          <w:spacing w:val="-16"/>
          <w:sz w:val="16"/>
        </w:rPr>
        <w:t> </w:t>
      </w:r>
      <w:r>
        <w:rPr>
          <w:color w:val="231F20"/>
          <w:sz w:val="16"/>
        </w:rPr>
        <w:t>Bando</w:t>
      </w:r>
      <w:r>
        <w:rPr>
          <w:color w:val="231F20"/>
          <w:spacing w:val="-16"/>
          <w:sz w:val="16"/>
        </w:rPr>
        <w:t> </w:t>
      </w:r>
      <w:r>
        <w:rPr>
          <w:color w:val="231F20"/>
          <w:sz w:val="16"/>
        </w:rPr>
        <w:t>(2008)</w:t>
      </w:r>
    </w:p>
    <w:p>
      <w:pPr>
        <w:pStyle w:val="ListParagraph"/>
        <w:numPr>
          <w:ilvl w:val="0"/>
          <w:numId w:val="21"/>
        </w:numPr>
        <w:tabs>
          <w:tab w:pos="230" w:val="left" w:leader="none"/>
        </w:tabs>
        <w:spacing w:line="244" w:lineRule="auto" w:before="0" w:after="0"/>
        <w:ind w:left="110" w:right="109" w:firstLine="0"/>
        <w:jc w:val="both"/>
        <w:rPr>
          <w:sz w:val="16"/>
        </w:rPr>
      </w:pPr>
      <w:r>
        <w:rPr>
          <w:color w:val="231F20"/>
          <w:sz w:val="16"/>
        </w:rPr>
        <w:t>Según datos del II Conteo de Población realizado por el INEGI en el año 2005. Sin embargo el gobierno municipal afirma que</w:t>
      </w:r>
      <w:r>
        <w:rPr>
          <w:color w:val="231F20"/>
          <w:spacing w:val="-6"/>
          <w:sz w:val="16"/>
        </w:rPr>
        <w:t> </w:t>
      </w:r>
      <w:r>
        <w:rPr>
          <w:color w:val="231F20"/>
          <w:sz w:val="16"/>
        </w:rPr>
        <w:t>este</w:t>
      </w:r>
      <w:r>
        <w:rPr>
          <w:color w:val="231F20"/>
          <w:spacing w:val="-6"/>
          <w:sz w:val="16"/>
        </w:rPr>
        <w:t> </w:t>
      </w:r>
      <w:r>
        <w:rPr>
          <w:color w:val="231F20"/>
          <w:sz w:val="16"/>
        </w:rPr>
        <w:t>dato</w:t>
      </w:r>
      <w:r>
        <w:rPr>
          <w:color w:val="231F20"/>
          <w:spacing w:val="-6"/>
          <w:sz w:val="16"/>
        </w:rPr>
        <w:t> </w:t>
      </w:r>
      <w:r>
        <w:rPr>
          <w:color w:val="231F20"/>
          <w:sz w:val="16"/>
        </w:rPr>
        <w:t>está</w:t>
      </w:r>
      <w:r>
        <w:rPr>
          <w:color w:val="231F20"/>
          <w:spacing w:val="-6"/>
          <w:sz w:val="16"/>
        </w:rPr>
        <w:t> </w:t>
      </w:r>
      <w:r>
        <w:rPr>
          <w:color w:val="231F20"/>
          <w:sz w:val="16"/>
        </w:rPr>
        <w:t>por</w:t>
      </w:r>
      <w:r>
        <w:rPr>
          <w:color w:val="231F20"/>
          <w:spacing w:val="-6"/>
          <w:sz w:val="16"/>
        </w:rPr>
        <w:t> </w:t>
      </w:r>
      <w:r>
        <w:rPr>
          <w:color w:val="231F20"/>
          <w:sz w:val="16"/>
        </w:rPr>
        <w:t>debajo</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realidad,</w:t>
      </w:r>
      <w:r>
        <w:rPr>
          <w:color w:val="231F20"/>
          <w:spacing w:val="-6"/>
          <w:sz w:val="16"/>
        </w:rPr>
        <w:t> </w:t>
      </w:r>
      <w:r>
        <w:rPr>
          <w:color w:val="231F20"/>
          <w:sz w:val="16"/>
        </w:rPr>
        <w:t>por</w:t>
      </w:r>
      <w:r>
        <w:rPr>
          <w:color w:val="231F20"/>
          <w:spacing w:val="-6"/>
          <w:sz w:val="16"/>
        </w:rPr>
        <w:t> </w:t>
      </w:r>
      <w:r>
        <w:rPr>
          <w:color w:val="231F20"/>
          <w:sz w:val="16"/>
        </w:rPr>
        <w:t>lo</w:t>
      </w:r>
      <w:r>
        <w:rPr>
          <w:color w:val="231F20"/>
          <w:spacing w:val="-6"/>
          <w:sz w:val="16"/>
        </w:rPr>
        <w:t> </w:t>
      </w:r>
      <w:r>
        <w:rPr>
          <w:color w:val="231F20"/>
          <w:sz w:val="16"/>
        </w:rPr>
        <w:t>que</w:t>
      </w:r>
      <w:r>
        <w:rPr>
          <w:color w:val="231F20"/>
          <w:spacing w:val="-6"/>
          <w:sz w:val="16"/>
        </w:rPr>
        <w:t> </w:t>
      </w:r>
      <w:r>
        <w:rPr>
          <w:color w:val="231F20"/>
          <w:sz w:val="16"/>
        </w:rPr>
        <w:t>ellos</w:t>
      </w:r>
      <w:r>
        <w:rPr>
          <w:color w:val="231F20"/>
          <w:spacing w:val="-6"/>
          <w:sz w:val="16"/>
        </w:rPr>
        <w:t> </w:t>
      </w:r>
      <w:r>
        <w:rPr>
          <w:color w:val="231F20"/>
          <w:sz w:val="16"/>
        </w:rPr>
        <w:t>estiman</w:t>
      </w:r>
      <w:r>
        <w:rPr>
          <w:color w:val="231F20"/>
          <w:spacing w:val="-6"/>
          <w:sz w:val="16"/>
        </w:rPr>
        <w:t> </w:t>
      </w:r>
      <w:r>
        <w:rPr>
          <w:color w:val="231F20"/>
          <w:sz w:val="16"/>
        </w:rPr>
        <w:t>que</w:t>
      </w:r>
      <w:r>
        <w:rPr>
          <w:color w:val="231F20"/>
          <w:spacing w:val="-6"/>
          <w:sz w:val="16"/>
        </w:rPr>
        <w:t> </w:t>
      </w:r>
      <w:r>
        <w:rPr>
          <w:color w:val="231F20"/>
          <w:sz w:val="16"/>
        </w:rPr>
        <w:t>su</w:t>
      </w:r>
      <w:r>
        <w:rPr>
          <w:color w:val="231F20"/>
          <w:spacing w:val="-6"/>
          <w:sz w:val="16"/>
        </w:rPr>
        <w:t> </w:t>
      </w:r>
      <w:r>
        <w:rPr>
          <w:color w:val="231F20"/>
          <w:sz w:val="16"/>
        </w:rPr>
        <w:t>población</w:t>
      </w:r>
      <w:r>
        <w:rPr>
          <w:color w:val="231F20"/>
          <w:spacing w:val="-6"/>
          <w:sz w:val="16"/>
        </w:rPr>
        <w:t> </w:t>
      </w:r>
      <w:r>
        <w:rPr>
          <w:color w:val="231F20"/>
          <w:sz w:val="16"/>
        </w:rPr>
        <w:t>es</w:t>
      </w:r>
      <w:r>
        <w:rPr>
          <w:color w:val="231F20"/>
          <w:spacing w:val="-6"/>
          <w:sz w:val="16"/>
        </w:rPr>
        <w:t> </w:t>
      </w:r>
      <w:r>
        <w:rPr>
          <w:color w:val="231F20"/>
          <w:sz w:val="16"/>
        </w:rPr>
        <w:t>de</w:t>
      </w:r>
      <w:r>
        <w:rPr>
          <w:color w:val="231F20"/>
          <w:spacing w:val="-6"/>
          <w:sz w:val="16"/>
        </w:rPr>
        <w:t> </w:t>
      </w:r>
      <w:r>
        <w:rPr>
          <w:color w:val="231F20"/>
          <w:sz w:val="16"/>
        </w:rPr>
        <w:t>60</w:t>
      </w:r>
      <w:r>
        <w:rPr>
          <w:color w:val="231F20"/>
          <w:spacing w:val="-6"/>
          <w:sz w:val="16"/>
        </w:rPr>
        <w:t> </w:t>
      </w:r>
      <w:r>
        <w:rPr>
          <w:color w:val="231F20"/>
          <w:sz w:val="16"/>
        </w:rPr>
        <w:t>mil</w:t>
      </w:r>
      <w:r>
        <w:rPr>
          <w:color w:val="231F20"/>
          <w:spacing w:val="-6"/>
          <w:sz w:val="16"/>
        </w:rPr>
        <w:t> </w:t>
      </w:r>
      <w:r>
        <w:rPr>
          <w:color w:val="231F20"/>
          <w:sz w:val="16"/>
        </w:rPr>
        <w:t>habitantes,</w:t>
      </w:r>
      <w:r>
        <w:rPr>
          <w:color w:val="231F20"/>
          <w:spacing w:val="-6"/>
          <w:sz w:val="16"/>
        </w:rPr>
        <w:t> </w:t>
      </w:r>
      <w:r>
        <w:rPr>
          <w:color w:val="231F20"/>
          <w:sz w:val="16"/>
        </w:rPr>
        <w:t>pero</w:t>
      </w:r>
      <w:r>
        <w:rPr>
          <w:color w:val="231F20"/>
          <w:spacing w:val="-6"/>
          <w:sz w:val="16"/>
        </w:rPr>
        <w:t> </w:t>
      </w:r>
      <w:r>
        <w:rPr>
          <w:color w:val="231F20"/>
          <w:sz w:val="16"/>
        </w:rPr>
        <w:t>no</w:t>
      </w:r>
      <w:r>
        <w:rPr>
          <w:color w:val="231F20"/>
          <w:spacing w:val="-6"/>
          <w:sz w:val="16"/>
        </w:rPr>
        <w:t> </w:t>
      </w:r>
      <w:r>
        <w:rPr>
          <w:color w:val="231F20"/>
          <w:sz w:val="16"/>
        </w:rPr>
        <w:t>hay elementos</w:t>
      </w:r>
      <w:r>
        <w:rPr>
          <w:color w:val="231F20"/>
          <w:spacing w:val="-10"/>
          <w:sz w:val="16"/>
        </w:rPr>
        <w:t> </w:t>
      </w:r>
      <w:r>
        <w:rPr>
          <w:color w:val="231F20"/>
          <w:sz w:val="16"/>
        </w:rPr>
        <w:t>que</w:t>
      </w:r>
      <w:r>
        <w:rPr>
          <w:color w:val="231F20"/>
          <w:spacing w:val="-10"/>
          <w:sz w:val="16"/>
        </w:rPr>
        <w:t> </w:t>
      </w:r>
      <w:r>
        <w:rPr>
          <w:color w:val="231F20"/>
          <w:sz w:val="16"/>
        </w:rPr>
        <w:t>sustenten</w:t>
      </w:r>
      <w:r>
        <w:rPr>
          <w:color w:val="231F20"/>
          <w:spacing w:val="-10"/>
          <w:sz w:val="16"/>
        </w:rPr>
        <w:t> </w:t>
      </w:r>
      <w:r>
        <w:rPr>
          <w:color w:val="231F20"/>
          <w:sz w:val="16"/>
        </w:rPr>
        <w:t>su</w:t>
      </w:r>
      <w:r>
        <w:rPr>
          <w:color w:val="231F20"/>
          <w:spacing w:val="-10"/>
          <w:sz w:val="16"/>
        </w:rPr>
        <w:t> </w:t>
      </w:r>
      <w:r>
        <w:rPr>
          <w:color w:val="231F20"/>
          <w:sz w:val="16"/>
        </w:rPr>
        <w:t>estimación,</w:t>
      </w:r>
      <w:r>
        <w:rPr>
          <w:color w:val="231F20"/>
          <w:spacing w:val="-10"/>
          <w:sz w:val="16"/>
        </w:rPr>
        <w:t> </w:t>
      </w:r>
      <w:r>
        <w:rPr>
          <w:color w:val="231F20"/>
          <w:sz w:val="16"/>
        </w:rPr>
        <w:t>es</w:t>
      </w:r>
      <w:r>
        <w:rPr>
          <w:color w:val="231F20"/>
          <w:spacing w:val="-10"/>
          <w:sz w:val="16"/>
        </w:rPr>
        <w:t> </w:t>
      </w:r>
      <w:r>
        <w:rPr>
          <w:color w:val="231F20"/>
          <w:sz w:val="16"/>
        </w:rPr>
        <w:t>decir,</w:t>
      </w:r>
      <w:r>
        <w:rPr>
          <w:color w:val="231F20"/>
          <w:spacing w:val="-10"/>
          <w:sz w:val="16"/>
        </w:rPr>
        <w:t> </w:t>
      </w:r>
      <w:r>
        <w:rPr>
          <w:color w:val="231F20"/>
          <w:sz w:val="16"/>
        </w:rPr>
        <w:t>no</w:t>
      </w:r>
      <w:r>
        <w:rPr>
          <w:color w:val="231F20"/>
          <w:spacing w:val="-10"/>
          <w:sz w:val="16"/>
        </w:rPr>
        <w:t> </w:t>
      </w:r>
      <w:r>
        <w:rPr>
          <w:color w:val="231F20"/>
          <w:sz w:val="16"/>
        </w:rPr>
        <w:t>hay</w:t>
      </w:r>
      <w:r>
        <w:rPr>
          <w:color w:val="231F20"/>
          <w:spacing w:val="-10"/>
          <w:sz w:val="16"/>
        </w:rPr>
        <w:t> </w:t>
      </w:r>
      <w:r>
        <w:rPr>
          <w:color w:val="231F20"/>
          <w:sz w:val="16"/>
        </w:rPr>
        <w:t>evidencia</w:t>
      </w:r>
      <w:r>
        <w:rPr>
          <w:color w:val="231F20"/>
          <w:spacing w:val="-10"/>
          <w:sz w:val="16"/>
        </w:rPr>
        <w:t> </w:t>
      </w:r>
      <w:r>
        <w:rPr>
          <w:color w:val="231F20"/>
          <w:sz w:val="16"/>
        </w:rPr>
        <w:t>explícita</w:t>
      </w:r>
      <w:r>
        <w:rPr>
          <w:color w:val="231F20"/>
          <w:spacing w:val="-10"/>
          <w:sz w:val="16"/>
        </w:rPr>
        <w:t> </w:t>
      </w:r>
      <w:r>
        <w:rPr>
          <w:color w:val="231F20"/>
          <w:sz w:val="16"/>
        </w:rPr>
        <w:t>del</w:t>
      </w:r>
      <w:r>
        <w:rPr>
          <w:color w:val="231F20"/>
          <w:spacing w:val="-10"/>
          <w:sz w:val="16"/>
        </w:rPr>
        <w:t> </w:t>
      </w:r>
      <w:r>
        <w:rPr>
          <w:color w:val="231F20"/>
          <w:sz w:val="16"/>
        </w:rPr>
        <w:t>método</w:t>
      </w:r>
      <w:r>
        <w:rPr>
          <w:color w:val="231F20"/>
          <w:spacing w:val="-10"/>
          <w:sz w:val="16"/>
        </w:rPr>
        <w:t> </w:t>
      </w:r>
      <w:r>
        <w:rPr>
          <w:color w:val="231F20"/>
          <w:sz w:val="16"/>
        </w:rPr>
        <w:t>de</w:t>
      </w:r>
      <w:r>
        <w:rPr>
          <w:color w:val="231F20"/>
          <w:spacing w:val="-10"/>
          <w:sz w:val="16"/>
        </w:rPr>
        <w:t> </w:t>
      </w:r>
      <w:r>
        <w:rPr>
          <w:color w:val="231F20"/>
          <w:sz w:val="16"/>
        </w:rPr>
        <w:t>estimados</w:t>
      </w:r>
      <w:r>
        <w:rPr>
          <w:color w:val="231F20"/>
          <w:spacing w:val="-10"/>
          <w:sz w:val="16"/>
        </w:rPr>
        <w:t> </w:t>
      </w:r>
      <w:r>
        <w:rPr>
          <w:color w:val="231F20"/>
          <w:sz w:val="16"/>
        </w:rPr>
        <w:t>utilizado.</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8"/>
        <w:jc w:val="both"/>
        <w:rPr>
          <w:sz w:val="13"/>
        </w:rPr>
      </w:pPr>
      <w:r>
        <w:rPr>
          <w:color w:val="231F20"/>
          <w:spacing w:val="-4"/>
          <w:w w:val="105"/>
        </w:rPr>
        <w:t>habido</w:t>
      </w:r>
      <w:r>
        <w:rPr>
          <w:color w:val="231F20"/>
          <w:spacing w:val="-6"/>
          <w:w w:val="105"/>
        </w:rPr>
        <w:t> </w:t>
      </w:r>
      <w:r>
        <w:rPr>
          <w:color w:val="231F20"/>
          <w:w w:val="105"/>
        </w:rPr>
        <w:t>un</w:t>
      </w:r>
      <w:r>
        <w:rPr>
          <w:color w:val="231F20"/>
          <w:spacing w:val="-6"/>
          <w:w w:val="105"/>
        </w:rPr>
        <w:t> </w:t>
      </w:r>
      <w:r>
        <w:rPr>
          <w:color w:val="231F20"/>
          <w:spacing w:val="-3"/>
          <w:w w:val="105"/>
        </w:rPr>
        <w:t>abandono</w:t>
      </w:r>
      <w:r>
        <w:rPr>
          <w:color w:val="231F20"/>
          <w:spacing w:val="-6"/>
          <w:w w:val="105"/>
        </w:rPr>
        <w:t> </w:t>
      </w:r>
      <w:r>
        <w:rPr>
          <w:color w:val="231F20"/>
          <w:w w:val="105"/>
        </w:rPr>
        <w:t>paulatino</w:t>
      </w:r>
      <w:r>
        <w:rPr>
          <w:color w:val="231F20"/>
          <w:spacing w:val="-6"/>
          <w:w w:val="105"/>
        </w:rPr>
        <w:t> </w:t>
      </w:r>
      <w:r>
        <w:rPr>
          <w:color w:val="231F20"/>
          <w:spacing w:val="-3"/>
          <w:w w:val="105"/>
        </w:rPr>
        <w:t>del</w:t>
      </w:r>
      <w:r>
        <w:rPr>
          <w:color w:val="231F20"/>
          <w:spacing w:val="-6"/>
          <w:w w:val="105"/>
        </w:rPr>
        <w:t> </w:t>
      </w:r>
      <w:r>
        <w:rPr>
          <w:color w:val="231F20"/>
          <w:w w:val="105"/>
        </w:rPr>
        <w:t>campo</w:t>
      </w:r>
      <w:r>
        <w:rPr>
          <w:color w:val="231F20"/>
          <w:spacing w:val="-6"/>
          <w:w w:val="105"/>
        </w:rPr>
        <w:t> </w:t>
      </w:r>
      <w:r>
        <w:rPr>
          <w:color w:val="231F20"/>
          <w:w w:val="105"/>
        </w:rPr>
        <w:t>para</w:t>
      </w:r>
      <w:r>
        <w:rPr>
          <w:color w:val="231F20"/>
          <w:spacing w:val="-6"/>
          <w:w w:val="105"/>
        </w:rPr>
        <w:t> </w:t>
      </w:r>
      <w:r>
        <w:rPr>
          <w:color w:val="231F20"/>
          <w:w w:val="105"/>
        </w:rPr>
        <w:t>pasar</w:t>
      </w:r>
      <w:r>
        <w:rPr>
          <w:color w:val="231F20"/>
          <w:spacing w:val="-6"/>
          <w:w w:val="105"/>
        </w:rPr>
        <w:t> </w:t>
      </w:r>
      <w:r>
        <w:rPr>
          <w:color w:val="231F20"/>
          <w:w w:val="105"/>
        </w:rPr>
        <w:t>a</w:t>
      </w:r>
      <w:r>
        <w:rPr>
          <w:color w:val="231F20"/>
          <w:spacing w:val="-6"/>
          <w:w w:val="105"/>
        </w:rPr>
        <w:t> </w:t>
      </w:r>
      <w:r>
        <w:rPr>
          <w:color w:val="231F20"/>
          <w:spacing w:val="-4"/>
          <w:w w:val="105"/>
        </w:rPr>
        <w:t>ejercer</w:t>
      </w:r>
      <w:r>
        <w:rPr>
          <w:color w:val="231F20"/>
          <w:spacing w:val="-6"/>
          <w:w w:val="105"/>
        </w:rPr>
        <w:t> </w:t>
      </w:r>
      <w:r>
        <w:rPr>
          <w:color w:val="231F20"/>
          <w:w w:val="105"/>
        </w:rPr>
        <w:t>el</w:t>
      </w:r>
      <w:r>
        <w:rPr>
          <w:color w:val="231F20"/>
          <w:spacing w:val="-6"/>
          <w:w w:val="105"/>
        </w:rPr>
        <w:t> </w:t>
      </w:r>
      <w:r>
        <w:rPr>
          <w:color w:val="231F20"/>
          <w:spacing w:val="-4"/>
          <w:w w:val="105"/>
        </w:rPr>
        <w:t>comercio</w:t>
      </w:r>
      <w:r>
        <w:rPr>
          <w:color w:val="231F20"/>
          <w:spacing w:val="-6"/>
          <w:w w:val="105"/>
        </w:rPr>
        <w:t> </w:t>
      </w:r>
      <w:r>
        <w:rPr>
          <w:color w:val="231F20"/>
          <w:w w:val="105"/>
        </w:rPr>
        <w:t>y</w:t>
      </w:r>
      <w:r>
        <w:rPr>
          <w:color w:val="231F20"/>
          <w:spacing w:val="-6"/>
          <w:w w:val="105"/>
        </w:rPr>
        <w:t> </w:t>
      </w:r>
      <w:r>
        <w:rPr>
          <w:color w:val="231F20"/>
          <w:spacing w:val="-3"/>
          <w:w w:val="105"/>
        </w:rPr>
        <w:t>también</w:t>
      </w:r>
      <w:r>
        <w:rPr>
          <w:color w:val="231F20"/>
          <w:spacing w:val="-6"/>
          <w:w w:val="105"/>
        </w:rPr>
        <w:t> </w:t>
      </w:r>
      <w:r>
        <w:rPr>
          <w:color w:val="231F20"/>
          <w:spacing w:val="-3"/>
          <w:w w:val="105"/>
        </w:rPr>
        <w:t>por </w:t>
      </w:r>
      <w:r>
        <w:rPr>
          <w:color w:val="231F20"/>
          <w:w w:val="105"/>
        </w:rPr>
        <w:t>la</w:t>
      </w:r>
      <w:r>
        <w:rPr>
          <w:color w:val="231F20"/>
          <w:spacing w:val="-27"/>
          <w:w w:val="105"/>
        </w:rPr>
        <w:t> </w:t>
      </w:r>
      <w:r>
        <w:rPr>
          <w:color w:val="231F20"/>
          <w:spacing w:val="-3"/>
          <w:w w:val="105"/>
        </w:rPr>
        <w:t>migración</w:t>
      </w:r>
      <w:r>
        <w:rPr>
          <w:color w:val="231F20"/>
          <w:spacing w:val="-27"/>
          <w:w w:val="105"/>
        </w:rPr>
        <w:t> </w:t>
      </w:r>
      <w:r>
        <w:rPr>
          <w:color w:val="231F20"/>
          <w:spacing w:val="-3"/>
          <w:w w:val="105"/>
        </w:rPr>
        <w:t>hacia</w:t>
      </w:r>
      <w:r>
        <w:rPr>
          <w:color w:val="231F20"/>
          <w:spacing w:val="-27"/>
          <w:w w:val="105"/>
        </w:rPr>
        <w:t> </w:t>
      </w:r>
      <w:r>
        <w:rPr>
          <w:color w:val="231F20"/>
          <w:w w:val="105"/>
        </w:rPr>
        <w:t>la</w:t>
      </w:r>
      <w:r>
        <w:rPr>
          <w:color w:val="231F20"/>
          <w:spacing w:val="-27"/>
          <w:w w:val="105"/>
        </w:rPr>
        <w:t> </w:t>
      </w:r>
      <w:r>
        <w:rPr>
          <w:color w:val="231F20"/>
          <w:spacing w:val="-4"/>
          <w:w w:val="105"/>
        </w:rPr>
        <w:t>ciudad</w:t>
      </w:r>
      <w:r>
        <w:rPr>
          <w:color w:val="231F20"/>
          <w:spacing w:val="-27"/>
          <w:w w:val="105"/>
        </w:rPr>
        <w:t> </w:t>
      </w:r>
      <w:r>
        <w:rPr>
          <w:color w:val="231F20"/>
          <w:w w:val="105"/>
        </w:rPr>
        <w:t>de</w:t>
      </w:r>
      <w:r>
        <w:rPr>
          <w:color w:val="231F20"/>
          <w:spacing w:val="-27"/>
          <w:w w:val="105"/>
        </w:rPr>
        <w:t> </w:t>
      </w:r>
      <w:r>
        <w:rPr>
          <w:color w:val="231F20"/>
          <w:spacing w:val="-3"/>
          <w:w w:val="105"/>
        </w:rPr>
        <w:t>México</w:t>
      </w:r>
      <w:r>
        <w:rPr>
          <w:color w:val="231F20"/>
          <w:spacing w:val="-27"/>
          <w:w w:val="105"/>
        </w:rPr>
        <w:t> </w:t>
      </w:r>
      <w:r>
        <w:rPr>
          <w:color w:val="231F20"/>
          <w:w w:val="105"/>
        </w:rPr>
        <w:t>para</w:t>
      </w:r>
      <w:r>
        <w:rPr>
          <w:color w:val="231F20"/>
          <w:spacing w:val="-27"/>
          <w:w w:val="105"/>
        </w:rPr>
        <w:t> </w:t>
      </w:r>
      <w:r>
        <w:rPr>
          <w:color w:val="231F20"/>
          <w:w w:val="105"/>
        </w:rPr>
        <w:t>buscar</w:t>
      </w:r>
      <w:r>
        <w:rPr>
          <w:color w:val="231F20"/>
          <w:spacing w:val="-27"/>
          <w:w w:val="105"/>
        </w:rPr>
        <w:t> </w:t>
      </w:r>
      <w:r>
        <w:rPr>
          <w:color w:val="231F20"/>
          <w:spacing w:val="-4"/>
          <w:w w:val="105"/>
        </w:rPr>
        <w:t>empleo.</w:t>
      </w:r>
      <w:r>
        <w:rPr>
          <w:color w:val="231F20"/>
          <w:spacing w:val="-27"/>
          <w:w w:val="105"/>
        </w:rPr>
        <w:t> </w:t>
      </w:r>
      <w:r>
        <w:rPr>
          <w:color w:val="231F20"/>
          <w:w w:val="105"/>
        </w:rPr>
        <w:t>El</w:t>
      </w:r>
      <w:r>
        <w:rPr>
          <w:color w:val="231F20"/>
          <w:spacing w:val="-27"/>
          <w:w w:val="105"/>
        </w:rPr>
        <w:t> </w:t>
      </w:r>
      <w:r>
        <w:rPr>
          <w:color w:val="231F20"/>
          <w:w w:val="105"/>
        </w:rPr>
        <w:t>personal</w:t>
      </w:r>
      <w:r>
        <w:rPr>
          <w:color w:val="231F20"/>
          <w:spacing w:val="-27"/>
          <w:w w:val="105"/>
        </w:rPr>
        <w:t> </w:t>
      </w:r>
      <w:r>
        <w:rPr>
          <w:color w:val="231F20"/>
          <w:spacing w:val="-3"/>
          <w:w w:val="105"/>
        </w:rPr>
        <w:t>ocupado</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área de</w:t>
      </w:r>
      <w:r>
        <w:rPr>
          <w:color w:val="231F20"/>
          <w:spacing w:val="-23"/>
          <w:w w:val="105"/>
        </w:rPr>
        <w:t> </w:t>
      </w:r>
      <w:r>
        <w:rPr>
          <w:color w:val="231F20"/>
          <w:w w:val="105"/>
        </w:rPr>
        <w:t>servicios</w:t>
      </w:r>
      <w:r>
        <w:rPr>
          <w:color w:val="231F20"/>
          <w:spacing w:val="-23"/>
          <w:w w:val="105"/>
        </w:rPr>
        <w:t> </w:t>
      </w:r>
      <w:r>
        <w:rPr>
          <w:color w:val="231F20"/>
          <w:w w:val="105"/>
        </w:rPr>
        <w:t>es</w:t>
      </w:r>
      <w:r>
        <w:rPr>
          <w:color w:val="231F20"/>
          <w:spacing w:val="-23"/>
          <w:w w:val="105"/>
        </w:rPr>
        <w:t> </w:t>
      </w:r>
      <w:r>
        <w:rPr>
          <w:color w:val="231F20"/>
          <w:w w:val="105"/>
        </w:rPr>
        <w:t>de</w:t>
      </w:r>
      <w:r>
        <w:rPr>
          <w:color w:val="231F20"/>
          <w:spacing w:val="-23"/>
          <w:w w:val="105"/>
        </w:rPr>
        <w:t> </w:t>
      </w:r>
      <w:r>
        <w:rPr>
          <w:color w:val="231F20"/>
          <w:w w:val="105"/>
        </w:rPr>
        <w:t>3550</w:t>
      </w:r>
      <w:r>
        <w:rPr>
          <w:color w:val="231F20"/>
          <w:spacing w:val="-23"/>
          <w:w w:val="105"/>
        </w:rPr>
        <w:t> </w:t>
      </w:r>
      <w:r>
        <w:rPr>
          <w:color w:val="231F20"/>
          <w:w w:val="105"/>
        </w:rPr>
        <w:t>(INEGI,</w:t>
      </w:r>
      <w:r>
        <w:rPr>
          <w:color w:val="231F20"/>
          <w:spacing w:val="-23"/>
          <w:w w:val="105"/>
        </w:rPr>
        <w:t> </w:t>
      </w:r>
      <w:r>
        <w:rPr>
          <w:color w:val="231F20"/>
          <w:w w:val="105"/>
        </w:rPr>
        <w:t>2005),</w:t>
      </w:r>
      <w:r>
        <w:rPr>
          <w:color w:val="231F20"/>
          <w:spacing w:val="-23"/>
          <w:w w:val="105"/>
        </w:rPr>
        <w:t> </w:t>
      </w:r>
      <w:r>
        <w:rPr>
          <w:color w:val="231F20"/>
          <w:w w:val="105"/>
        </w:rPr>
        <w:t>un</w:t>
      </w:r>
      <w:r>
        <w:rPr>
          <w:color w:val="231F20"/>
          <w:spacing w:val="-23"/>
          <w:w w:val="105"/>
        </w:rPr>
        <w:t> </w:t>
      </w:r>
      <w:r>
        <w:rPr>
          <w:color w:val="231F20"/>
          <w:w w:val="105"/>
        </w:rPr>
        <w:t>poco</w:t>
      </w:r>
      <w:r>
        <w:rPr>
          <w:color w:val="231F20"/>
          <w:spacing w:val="-23"/>
          <w:w w:val="105"/>
        </w:rPr>
        <w:t> </w:t>
      </w:r>
      <w:r>
        <w:rPr>
          <w:color w:val="231F20"/>
          <w:w w:val="105"/>
        </w:rPr>
        <w:t>más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décima</w:t>
      </w:r>
      <w:r>
        <w:rPr>
          <w:color w:val="231F20"/>
          <w:spacing w:val="-23"/>
          <w:w w:val="105"/>
        </w:rPr>
        <w:t> </w:t>
      </w:r>
      <w:r>
        <w:rPr>
          <w:color w:val="231F20"/>
          <w:w w:val="105"/>
        </w:rPr>
        <w:t>parte</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4"/>
          <w:w w:val="105"/>
        </w:rPr>
        <w:t>población</w:t>
      </w:r>
      <w:r>
        <w:rPr>
          <w:color w:val="231F20"/>
          <w:spacing w:val="-23"/>
          <w:w w:val="105"/>
        </w:rPr>
        <w:t> </w:t>
      </w:r>
      <w:r>
        <w:rPr>
          <w:color w:val="231F20"/>
          <w:w w:val="105"/>
        </w:rPr>
        <w:t>en </w:t>
      </w:r>
      <w:r>
        <w:rPr>
          <w:color w:val="231F20"/>
          <w:spacing w:val="-3"/>
          <w:w w:val="105"/>
        </w:rPr>
        <w:t>edad</w:t>
      </w:r>
      <w:r>
        <w:rPr>
          <w:color w:val="231F20"/>
          <w:spacing w:val="-9"/>
          <w:w w:val="105"/>
        </w:rPr>
        <w:t> </w:t>
      </w:r>
      <w:r>
        <w:rPr>
          <w:color w:val="231F20"/>
          <w:w w:val="105"/>
        </w:rPr>
        <w:t>de</w:t>
      </w:r>
      <w:r>
        <w:rPr>
          <w:color w:val="231F20"/>
          <w:spacing w:val="-9"/>
          <w:w w:val="105"/>
        </w:rPr>
        <w:t> </w:t>
      </w:r>
      <w:r>
        <w:rPr>
          <w:color w:val="231F20"/>
          <w:spacing w:val="-2"/>
          <w:w w:val="105"/>
        </w:rPr>
        <w:t>ser</w:t>
      </w:r>
      <w:r>
        <w:rPr>
          <w:color w:val="231F20"/>
          <w:spacing w:val="-9"/>
          <w:w w:val="105"/>
        </w:rPr>
        <w:t> </w:t>
      </w:r>
      <w:r>
        <w:rPr>
          <w:color w:val="231F20"/>
          <w:spacing w:val="-3"/>
          <w:w w:val="105"/>
        </w:rPr>
        <w:t>económicamente</w:t>
      </w:r>
      <w:r>
        <w:rPr>
          <w:color w:val="231F20"/>
          <w:spacing w:val="-9"/>
          <w:w w:val="105"/>
        </w:rPr>
        <w:t> </w:t>
      </w:r>
      <w:r>
        <w:rPr>
          <w:color w:val="231F20"/>
          <w:w w:val="105"/>
        </w:rPr>
        <w:t>activa.</w:t>
      </w:r>
      <w:r>
        <w:rPr>
          <w:color w:val="231F20"/>
          <w:spacing w:val="-9"/>
          <w:w w:val="105"/>
        </w:rPr>
        <w:t> </w:t>
      </w:r>
      <w:r>
        <w:rPr>
          <w:color w:val="231F20"/>
          <w:w w:val="105"/>
        </w:rPr>
        <w:t>Según</w:t>
      </w:r>
      <w:r>
        <w:rPr>
          <w:color w:val="231F20"/>
          <w:spacing w:val="-9"/>
          <w:w w:val="105"/>
        </w:rPr>
        <w:t> </w:t>
      </w:r>
      <w:r>
        <w:rPr>
          <w:color w:val="231F20"/>
          <w:w w:val="105"/>
        </w:rPr>
        <w:t>el</w:t>
      </w:r>
      <w:r>
        <w:rPr>
          <w:color w:val="231F20"/>
          <w:spacing w:val="-9"/>
          <w:w w:val="105"/>
        </w:rPr>
        <w:t> </w:t>
      </w:r>
      <w:r>
        <w:rPr>
          <w:color w:val="231F20"/>
          <w:w w:val="105"/>
        </w:rPr>
        <w:t>INEGI</w:t>
      </w:r>
      <w:r>
        <w:rPr>
          <w:color w:val="231F20"/>
          <w:spacing w:val="-9"/>
          <w:w w:val="105"/>
        </w:rPr>
        <w:t> </w:t>
      </w:r>
      <w:r>
        <w:rPr>
          <w:color w:val="231F20"/>
          <w:spacing w:val="-3"/>
          <w:w w:val="105"/>
        </w:rPr>
        <w:t>(2005),</w:t>
      </w:r>
      <w:r>
        <w:rPr>
          <w:color w:val="231F20"/>
          <w:spacing w:val="-9"/>
          <w:w w:val="105"/>
        </w:rPr>
        <w:t> </w:t>
      </w:r>
      <w:r>
        <w:rPr>
          <w:color w:val="231F20"/>
          <w:w w:val="105"/>
        </w:rPr>
        <w:t>la</w:t>
      </w:r>
      <w:r>
        <w:rPr>
          <w:color w:val="231F20"/>
          <w:spacing w:val="-9"/>
          <w:w w:val="105"/>
        </w:rPr>
        <w:t> </w:t>
      </w:r>
      <w:r>
        <w:rPr>
          <w:color w:val="231F20"/>
          <w:spacing w:val="-4"/>
          <w:w w:val="105"/>
        </w:rPr>
        <w:t>población</w:t>
      </w:r>
      <w:r>
        <w:rPr>
          <w:color w:val="231F20"/>
          <w:spacing w:val="-9"/>
          <w:w w:val="105"/>
        </w:rPr>
        <w:t> </w:t>
      </w:r>
      <w:r>
        <w:rPr>
          <w:color w:val="231F20"/>
          <w:w w:val="105"/>
        </w:rPr>
        <w:t>en</w:t>
      </w:r>
      <w:r>
        <w:rPr>
          <w:color w:val="231F20"/>
          <w:spacing w:val="-9"/>
          <w:w w:val="105"/>
        </w:rPr>
        <w:t> </w:t>
      </w:r>
      <w:r>
        <w:rPr>
          <w:color w:val="231F20"/>
          <w:spacing w:val="-3"/>
          <w:w w:val="105"/>
        </w:rPr>
        <w:t>edad</w:t>
      </w:r>
      <w:r>
        <w:rPr>
          <w:color w:val="231F20"/>
          <w:spacing w:val="-9"/>
          <w:w w:val="105"/>
        </w:rPr>
        <w:t> </w:t>
      </w:r>
      <w:r>
        <w:rPr>
          <w:color w:val="231F20"/>
          <w:w w:val="105"/>
        </w:rPr>
        <w:t>de</w:t>
      </w:r>
      <w:r>
        <w:rPr>
          <w:color w:val="231F20"/>
          <w:spacing w:val="-9"/>
          <w:w w:val="105"/>
        </w:rPr>
        <w:t> </w:t>
      </w:r>
      <w:r>
        <w:rPr>
          <w:color w:val="231F20"/>
          <w:spacing w:val="-2"/>
          <w:w w:val="105"/>
        </w:rPr>
        <w:t>ser </w:t>
      </w:r>
      <w:r>
        <w:rPr>
          <w:color w:val="231F20"/>
          <w:spacing w:val="-3"/>
          <w:w w:val="105"/>
        </w:rPr>
        <w:t>económicamente</w:t>
      </w:r>
      <w:r>
        <w:rPr>
          <w:color w:val="231F20"/>
          <w:spacing w:val="-29"/>
          <w:w w:val="105"/>
        </w:rPr>
        <w:t> </w:t>
      </w:r>
      <w:r>
        <w:rPr>
          <w:color w:val="231F20"/>
          <w:w w:val="105"/>
        </w:rPr>
        <w:t>activas</w:t>
      </w:r>
      <w:r>
        <w:rPr>
          <w:color w:val="231F20"/>
          <w:spacing w:val="-29"/>
          <w:w w:val="105"/>
        </w:rPr>
        <w:t> </w:t>
      </w:r>
      <w:r>
        <w:rPr>
          <w:color w:val="231F20"/>
          <w:w w:val="105"/>
        </w:rPr>
        <w:t>es</w:t>
      </w:r>
      <w:r>
        <w:rPr>
          <w:color w:val="231F20"/>
          <w:spacing w:val="-29"/>
          <w:w w:val="105"/>
        </w:rPr>
        <w:t> </w:t>
      </w:r>
      <w:r>
        <w:rPr>
          <w:color w:val="231F20"/>
          <w:w w:val="105"/>
        </w:rPr>
        <w:t>de</w:t>
      </w:r>
      <w:r>
        <w:rPr>
          <w:color w:val="231F20"/>
          <w:spacing w:val="-29"/>
          <w:w w:val="105"/>
        </w:rPr>
        <w:t> </w:t>
      </w:r>
      <w:r>
        <w:rPr>
          <w:color w:val="231F20"/>
          <w:spacing w:val="-10"/>
          <w:w w:val="105"/>
        </w:rPr>
        <w:t>31751</w:t>
      </w:r>
      <w:r>
        <w:rPr>
          <w:color w:val="231F20"/>
          <w:spacing w:val="-29"/>
          <w:w w:val="105"/>
        </w:rPr>
        <w:t> </w:t>
      </w:r>
      <w:r>
        <w:rPr>
          <w:color w:val="231F20"/>
          <w:spacing w:val="-3"/>
          <w:w w:val="105"/>
        </w:rPr>
        <w:t>personas,</w:t>
      </w:r>
      <w:r>
        <w:rPr>
          <w:color w:val="231F20"/>
          <w:spacing w:val="-29"/>
          <w:w w:val="105"/>
        </w:rPr>
        <w:t> </w:t>
      </w:r>
      <w:r>
        <w:rPr>
          <w:color w:val="231F20"/>
          <w:w w:val="105"/>
        </w:rPr>
        <w:t>de</w:t>
      </w:r>
      <w:r>
        <w:rPr>
          <w:color w:val="231F20"/>
          <w:spacing w:val="-29"/>
          <w:w w:val="105"/>
        </w:rPr>
        <w:t> </w:t>
      </w:r>
      <w:r>
        <w:rPr>
          <w:color w:val="231F20"/>
          <w:spacing w:val="-3"/>
          <w:w w:val="105"/>
        </w:rPr>
        <w:t>los</w:t>
      </w:r>
      <w:r>
        <w:rPr>
          <w:color w:val="231F20"/>
          <w:spacing w:val="-29"/>
          <w:w w:val="105"/>
        </w:rPr>
        <w:t> </w:t>
      </w:r>
      <w:r>
        <w:rPr>
          <w:color w:val="231F20"/>
          <w:w w:val="105"/>
        </w:rPr>
        <w:t>cuales</w:t>
      </w:r>
      <w:r>
        <w:rPr>
          <w:color w:val="231F20"/>
          <w:spacing w:val="-29"/>
          <w:w w:val="105"/>
        </w:rPr>
        <w:t> </w:t>
      </w:r>
      <w:r>
        <w:rPr>
          <w:color w:val="231F20"/>
          <w:w w:val="105"/>
        </w:rPr>
        <w:t>el</w:t>
      </w:r>
      <w:r>
        <w:rPr>
          <w:color w:val="231F20"/>
          <w:spacing w:val="-29"/>
          <w:w w:val="105"/>
        </w:rPr>
        <w:t> </w:t>
      </w:r>
      <w:r>
        <w:rPr>
          <w:color w:val="231F20"/>
          <w:spacing w:val="-9"/>
          <w:w w:val="105"/>
        </w:rPr>
        <w:t>47.21%</w:t>
      </w:r>
      <w:r>
        <w:rPr>
          <w:color w:val="231F20"/>
          <w:spacing w:val="-29"/>
          <w:w w:val="105"/>
        </w:rPr>
        <w:t> </w:t>
      </w:r>
      <w:r>
        <w:rPr>
          <w:color w:val="231F20"/>
          <w:w w:val="105"/>
        </w:rPr>
        <w:t>es</w:t>
      </w:r>
      <w:r>
        <w:rPr>
          <w:color w:val="231F20"/>
          <w:spacing w:val="-29"/>
          <w:w w:val="105"/>
        </w:rPr>
        <w:t> </w:t>
      </w:r>
      <w:r>
        <w:rPr>
          <w:color w:val="231F20"/>
          <w:w w:val="105"/>
        </w:rPr>
        <w:t>PEA.</w:t>
      </w:r>
      <w:r>
        <w:rPr>
          <w:color w:val="231F20"/>
          <w:w w:val="105"/>
          <w:position w:val="7"/>
          <w:sz w:val="13"/>
        </w:rPr>
        <w:t>3</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según</w:t>
      </w:r>
      <w:r>
        <w:rPr>
          <w:color w:val="231F20"/>
          <w:spacing w:val="-15"/>
          <w:w w:val="105"/>
        </w:rPr>
        <w:t> </w:t>
      </w:r>
      <w:r>
        <w:rPr>
          <w:color w:val="231F20"/>
          <w:w w:val="105"/>
        </w:rPr>
        <w:t>el</w:t>
      </w:r>
      <w:r>
        <w:rPr>
          <w:color w:val="231F20"/>
          <w:spacing w:val="-15"/>
          <w:w w:val="105"/>
        </w:rPr>
        <w:t> </w:t>
      </w:r>
      <w:r>
        <w:rPr>
          <w:color w:val="231F20"/>
          <w:w w:val="105"/>
        </w:rPr>
        <w:t>Consejo</w:t>
      </w:r>
      <w:r>
        <w:rPr>
          <w:color w:val="231F20"/>
          <w:spacing w:val="-15"/>
          <w:w w:val="105"/>
        </w:rPr>
        <w:t> </w:t>
      </w:r>
      <w:r>
        <w:rPr>
          <w:color w:val="231F20"/>
          <w:w w:val="105"/>
        </w:rPr>
        <w:t>Nacional</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spacing w:val="-3"/>
          <w:w w:val="105"/>
        </w:rPr>
        <w:t>Población</w:t>
      </w:r>
      <w:r>
        <w:rPr>
          <w:color w:val="231F20"/>
          <w:spacing w:val="-15"/>
          <w:w w:val="105"/>
        </w:rPr>
        <w:t> </w:t>
      </w:r>
      <w:r>
        <w:rPr>
          <w:color w:val="231F20"/>
          <w:w w:val="105"/>
        </w:rPr>
        <w:t>cuenta</w:t>
      </w:r>
      <w:r>
        <w:rPr>
          <w:color w:val="231F20"/>
          <w:spacing w:val="-15"/>
          <w:w w:val="105"/>
        </w:rPr>
        <w:t> </w:t>
      </w:r>
      <w:r>
        <w:rPr>
          <w:color w:val="231F20"/>
          <w:w w:val="105"/>
        </w:rPr>
        <w:t>con</w:t>
      </w:r>
      <w:r>
        <w:rPr>
          <w:color w:val="231F20"/>
          <w:spacing w:val="-15"/>
          <w:w w:val="105"/>
        </w:rPr>
        <w:t> </w:t>
      </w:r>
      <w:r>
        <w:rPr>
          <w:color w:val="231F20"/>
          <w:w w:val="105"/>
        </w:rPr>
        <w:t>un</w:t>
      </w:r>
      <w:r>
        <w:rPr>
          <w:color w:val="231F20"/>
          <w:spacing w:val="-15"/>
          <w:w w:val="105"/>
        </w:rPr>
        <w:t> </w:t>
      </w:r>
      <w:r>
        <w:rPr>
          <w:color w:val="231F20"/>
          <w:w w:val="105"/>
        </w:rPr>
        <w:t>índice</w:t>
      </w:r>
      <w:r>
        <w:rPr>
          <w:color w:val="231F20"/>
          <w:spacing w:val="-15"/>
          <w:w w:val="105"/>
        </w:rPr>
        <w:t> </w:t>
      </w:r>
      <w:r>
        <w:rPr>
          <w:color w:val="231F20"/>
          <w:w w:val="105"/>
        </w:rPr>
        <w:t>de</w:t>
      </w:r>
      <w:r>
        <w:rPr>
          <w:color w:val="231F20"/>
          <w:spacing w:val="-15"/>
          <w:w w:val="105"/>
        </w:rPr>
        <w:t> </w:t>
      </w:r>
      <w:r>
        <w:rPr>
          <w:color w:val="231F20"/>
          <w:w w:val="105"/>
        </w:rPr>
        <w:t>mar- ginación baja. Esto está sustentado en que la población que es alfabeta está alrededor de</w:t>
      </w:r>
      <w:r>
        <w:rPr>
          <w:color w:val="231F20"/>
          <w:spacing w:val="-24"/>
          <w:w w:val="105"/>
        </w:rPr>
        <w:t> </w:t>
      </w:r>
      <w:r>
        <w:rPr>
          <w:color w:val="231F20"/>
          <w:w w:val="105"/>
        </w:rPr>
        <w:t>94.34%</w:t>
      </w:r>
      <w:r>
        <w:rPr>
          <w:color w:val="231F20"/>
          <w:spacing w:val="-24"/>
          <w:w w:val="105"/>
        </w:rPr>
        <w:t> </w:t>
      </w:r>
      <w:r>
        <w:rPr>
          <w:color w:val="231F20"/>
          <w:w w:val="105"/>
        </w:rPr>
        <w:t>según</w:t>
      </w:r>
      <w:r>
        <w:rPr>
          <w:color w:val="231F20"/>
          <w:spacing w:val="-24"/>
          <w:w w:val="105"/>
        </w:rPr>
        <w:t> </w:t>
      </w:r>
      <w:r>
        <w:rPr>
          <w:color w:val="231F20"/>
          <w:w w:val="105"/>
        </w:rPr>
        <w:t>el</w:t>
      </w:r>
      <w:r>
        <w:rPr>
          <w:color w:val="231F20"/>
          <w:spacing w:val="-24"/>
          <w:w w:val="105"/>
        </w:rPr>
        <w:t> </w:t>
      </w:r>
      <w:r>
        <w:rPr>
          <w:color w:val="231F20"/>
          <w:w w:val="105"/>
        </w:rPr>
        <w:t>Plan</w:t>
      </w:r>
      <w:r>
        <w:rPr>
          <w:color w:val="231F20"/>
          <w:spacing w:val="-24"/>
          <w:w w:val="105"/>
        </w:rPr>
        <w:t> </w:t>
      </w:r>
      <w:r>
        <w:rPr>
          <w:color w:val="231F20"/>
          <w:w w:val="105"/>
        </w:rPr>
        <w:t>(2006),</w:t>
      </w:r>
      <w:r>
        <w:rPr>
          <w:color w:val="231F20"/>
          <w:spacing w:val="-24"/>
          <w:w w:val="105"/>
        </w:rPr>
        <w:t> </w:t>
      </w:r>
      <w:r>
        <w:rPr>
          <w:color w:val="231F20"/>
          <w:w w:val="105"/>
        </w:rPr>
        <w:t>la</w:t>
      </w:r>
      <w:r>
        <w:rPr>
          <w:color w:val="231F20"/>
          <w:spacing w:val="-24"/>
          <w:w w:val="105"/>
        </w:rPr>
        <w:t> </w:t>
      </w:r>
      <w:r>
        <w:rPr>
          <w:color w:val="231F20"/>
          <w:w w:val="105"/>
        </w:rPr>
        <w:t>cobertura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servicio</w:t>
      </w:r>
      <w:r>
        <w:rPr>
          <w:color w:val="231F20"/>
          <w:spacing w:val="-24"/>
          <w:w w:val="105"/>
        </w:rPr>
        <w:t> </w:t>
      </w:r>
      <w:r>
        <w:rPr>
          <w:color w:val="231F20"/>
          <w:w w:val="105"/>
        </w:rPr>
        <w:t>de</w:t>
      </w:r>
      <w:r>
        <w:rPr>
          <w:color w:val="231F20"/>
          <w:spacing w:val="-24"/>
          <w:w w:val="105"/>
        </w:rPr>
        <w:t> </w:t>
      </w:r>
      <w:r>
        <w:rPr>
          <w:color w:val="231F20"/>
          <w:w w:val="105"/>
        </w:rPr>
        <w:t>agua</w:t>
      </w:r>
      <w:r>
        <w:rPr>
          <w:color w:val="231F20"/>
          <w:spacing w:val="-24"/>
          <w:w w:val="105"/>
        </w:rPr>
        <w:t> </w:t>
      </w:r>
      <w:r>
        <w:rPr>
          <w:color w:val="231F20"/>
          <w:w w:val="105"/>
        </w:rPr>
        <w:t>es</w:t>
      </w:r>
      <w:r>
        <w:rPr>
          <w:color w:val="231F20"/>
          <w:spacing w:val="-24"/>
          <w:w w:val="105"/>
        </w:rPr>
        <w:t> </w:t>
      </w:r>
      <w:r>
        <w:rPr>
          <w:color w:val="231F20"/>
          <w:w w:val="105"/>
        </w:rPr>
        <w:t>de</w:t>
      </w:r>
      <w:r>
        <w:rPr>
          <w:color w:val="231F20"/>
          <w:spacing w:val="-24"/>
          <w:w w:val="105"/>
        </w:rPr>
        <w:t> </w:t>
      </w:r>
      <w:r>
        <w:rPr>
          <w:color w:val="231F20"/>
          <w:spacing w:val="-3"/>
          <w:w w:val="105"/>
        </w:rPr>
        <w:t>97.3%,</w:t>
      </w:r>
      <w:r>
        <w:rPr>
          <w:color w:val="231F20"/>
          <w:spacing w:val="-24"/>
          <w:w w:val="105"/>
        </w:rPr>
        <w:t> </w:t>
      </w:r>
      <w:r>
        <w:rPr>
          <w:color w:val="231F20"/>
          <w:w w:val="105"/>
        </w:rPr>
        <w:t>el</w:t>
      </w:r>
      <w:r>
        <w:rPr>
          <w:color w:val="231F20"/>
          <w:spacing w:val="-24"/>
          <w:w w:val="105"/>
        </w:rPr>
        <w:t> </w:t>
      </w:r>
      <w:r>
        <w:rPr>
          <w:color w:val="231F20"/>
          <w:w w:val="105"/>
        </w:rPr>
        <w:t>92.5% de</w:t>
      </w:r>
      <w:r>
        <w:rPr>
          <w:color w:val="231F20"/>
          <w:spacing w:val="-15"/>
          <w:w w:val="105"/>
        </w:rPr>
        <w:t> </w:t>
      </w:r>
      <w:r>
        <w:rPr>
          <w:color w:val="231F20"/>
          <w:w w:val="105"/>
        </w:rPr>
        <w:t>la</w:t>
      </w:r>
      <w:r>
        <w:rPr>
          <w:color w:val="231F20"/>
          <w:spacing w:val="-15"/>
          <w:w w:val="105"/>
        </w:rPr>
        <w:t> </w:t>
      </w:r>
      <w:r>
        <w:rPr>
          <w:color w:val="231F20"/>
          <w:w w:val="105"/>
        </w:rPr>
        <w:t>población</w:t>
      </w:r>
      <w:r>
        <w:rPr>
          <w:color w:val="231F20"/>
          <w:spacing w:val="-15"/>
          <w:w w:val="105"/>
        </w:rPr>
        <w:t> </w:t>
      </w:r>
      <w:r>
        <w:rPr>
          <w:color w:val="231F20"/>
          <w:w w:val="105"/>
        </w:rPr>
        <w:t>cuenta</w:t>
      </w:r>
      <w:r>
        <w:rPr>
          <w:color w:val="231F20"/>
          <w:spacing w:val="-15"/>
          <w:w w:val="105"/>
        </w:rPr>
        <w:t> </w:t>
      </w:r>
      <w:r>
        <w:rPr>
          <w:color w:val="231F20"/>
          <w:w w:val="105"/>
        </w:rPr>
        <w:t>con</w:t>
      </w:r>
      <w:r>
        <w:rPr>
          <w:color w:val="231F20"/>
          <w:spacing w:val="-15"/>
          <w:w w:val="105"/>
        </w:rPr>
        <w:t> </w:t>
      </w:r>
      <w:r>
        <w:rPr>
          <w:color w:val="231F20"/>
          <w:w w:val="105"/>
        </w:rPr>
        <w:t>drenaje,</w:t>
      </w:r>
      <w:r>
        <w:rPr>
          <w:color w:val="231F20"/>
          <w:spacing w:val="-15"/>
          <w:w w:val="105"/>
        </w:rPr>
        <w:t> </w:t>
      </w:r>
      <w:r>
        <w:rPr>
          <w:color w:val="231F20"/>
          <w:w w:val="105"/>
        </w:rPr>
        <w:t>el</w:t>
      </w:r>
      <w:r>
        <w:rPr>
          <w:color w:val="231F20"/>
          <w:spacing w:val="-15"/>
          <w:w w:val="105"/>
        </w:rPr>
        <w:t> </w:t>
      </w:r>
      <w:r>
        <w:rPr>
          <w:color w:val="231F20"/>
          <w:w w:val="105"/>
        </w:rPr>
        <w:t>98.6%</w:t>
      </w:r>
      <w:r>
        <w:rPr>
          <w:color w:val="231F20"/>
          <w:spacing w:val="-15"/>
          <w:w w:val="105"/>
        </w:rPr>
        <w:t> </w:t>
      </w:r>
      <w:r>
        <w:rPr>
          <w:color w:val="231F20"/>
          <w:w w:val="105"/>
        </w:rPr>
        <w:t>cuenta</w:t>
      </w:r>
      <w:r>
        <w:rPr>
          <w:color w:val="231F20"/>
          <w:spacing w:val="-15"/>
          <w:w w:val="105"/>
        </w:rPr>
        <w:t> </w:t>
      </w:r>
      <w:r>
        <w:rPr>
          <w:color w:val="231F20"/>
          <w:w w:val="105"/>
        </w:rPr>
        <w:t>con</w:t>
      </w:r>
      <w:r>
        <w:rPr>
          <w:color w:val="231F20"/>
          <w:spacing w:val="-15"/>
          <w:w w:val="105"/>
        </w:rPr>
        <w:t> </w:t>
      </w:r>
      <w:r>
        <w:rPr>
          <w:color w:val="231F20"/>
          <w:w w:val="105"/>
        </w:rPr>
        <w:t>energía</w:t>
      </w:r>
      <w:r>
        <w:rPr>
          <w:color w:val="231F20"/>
          <w:spacing w:val="-15"/>
          <w:w w:val="105"/>
        </w:rPr>
        <w:t> </w:t>
      </w:r>
      <w:r>
        <w:rPr>
          <w:color w:val="231F20"/>
          <w:w w:val="105"/>
        </w:rPr>
        <w:t>eléctrica,</w:t>
      </w:r>
      <w:r>
        <w:rPr>
          <w:color w:val="231F20"/>
          <w:spacing w:val="-15"/>
          <w:w w:val="105"/>
        </w:rPr>
        <w:t> </w:t>
      </w:r>
      <w:r>
        <w:rPr>
          <w:color w:val="231F20"/>
          <w:w w:val="105"/>
        </w:rPr>
        <w:t>el</w:t>
      </w:r>
      <w:r>
        <w:rPr>
          <w:color w:val="231F20"/>
          <w:spacing w:val="-15"/>
          <w:w w:val="105"/>
        </w:rPr>
        <w:t> </w:t>
      </w:r>
      <w:r>
        <w:rPr>
          <w:color w:val="231F20"/>
          <w:w w:val="105"/>
        </w:rPr>
        <w:t>servicio</w:t>
      </w:r>
      <w:r>
        <w:rPr>
          <w:color w:val="231F20"/>
          <w:spacing w:val="-15"/>
          <w:w w:val="105"/>
        </w:rPr>
        <w:t> </w:t>
      </w:r>
      <w:r>
        <w:rPr>
          <w:color w:val="231F20"/>
          <w:w w:val="105"/>
        </w:rPr>
        <w:t>de limpia tiene una cobertura del 70% de los sectores poblacionales (Plan de Desarrollo, </w:t>
      </w:r>
      <w:r>
        <w:rPr>
          <w:color w:val="231F20"/>
          <w:spacing w:val="3"/>
          <w:w w:val="105"/>
        </w:rPr>
        <w:t>2006: </w:t>
      </w:r>
      <w:r>
        <w:rPr>
          <w:color w:val="231F20"/>
          <w:spacing w:val="-4"/>
          <w:w w:val="105"/>
        </w:rPr>
        <w:t>49), </w:t>
      </w:r>
      <w:r>
        <w:rPr>
          <w:color w:val="231F20"/>
          <w:w w:val="105"/>
        </w:rPr>
        <w:t>cuenta con 9 panteones el municipio, según el Plan de Desarrollo hay ocho parques</w:t>
      </w:r>
      <w:r>
        <w:rPr>
          <w:color w:val="231F20"/>
          <w:spacing w:val="-4"/>
          <w:w w:val="105"/>
        </w:rPr>
        <w:t> </w:t>
      </w:r>
      <w:r>
        <w:rPr>
          <w:color w:val="231F20"/>
          <w:w w:val="105"/>
        </w:rPr>
        <w:t>jardines</w:t>
      </w:r>
      <w:r>
        <w:rPr>
          <w:color w:val="231F20"/>
          <w:spacing w:val="-4"/>
          <w:w w:val="105"/>
        </w:rPr>
        <w:t> </w:t>
      </w:r>
      <w:r>
        <w:rPr>
          <w:color w:val="231F20"/>
          <w:w w:val="105"/>
        </w:rPr>
        <w:t>y</w:t>
      </w:r>
      <w:r>
        <w:rPr>
          <w:color w:val="231F20"/>
          <w:spacing w:val="-4"/>
          <w:w w:val="105"/>
        </w:rPr>
        <w:t> </w:t>
      </w:r>
      <w:r>
        <w:rPr>
          <w:color w:val="231F20"/>
          <w:w w:val="105"/>
        </w:rPr>
        <w:t>áreas</w:t>
      </w:r>
      <w:r>
        <w:rPr>
          <w:color w:val="231F20"/>
          <w:spacing w:val="-4"/>
          <w:w w:val="105"/>
        </w:rPr>
        <w:t> </w:t>
      </w:r>
      <w:r>
        <w:rPr>
          <w:color w:val="231F20"/>
          <w:w w:val="105"/>
        </w:rPr>
        <w:t>recreativas,</w:t>
      </w:r>
      <w:r>
        <w:rPr>
          <w:color w:val="231F20"/>
          <w:spacing w:val="-4"/>
          <w:w w:val="105"/>
        </w:rPr>
        <w:t> </w:t>
      </w:r>
      <w:r>
        <w:rPr>
          <w:color w:val="231F20"/>
          <w:w w:val="105"/>
        </w:rPr>
        <w:t>pero</w:t>
      </w:r>
      <w:r>
        <w:rPr>
          <w:color w:val="231F20"/>
          <w:spacing w:val="-4"/>
          <w:w w:val="105"/>
        </w:rPr>
        <w:t> </w:t>
      </w:r>
      <w:r>
        <w:rPr>
          <w:color w:val="231F20"/>
          <w:w w:val="105"/>
        </w:rPr>
        <w:t>no</w:t>
      </w:r>
      <w:r>
        <w:rPr>
          <w:color w:val="231F20"/>
          <w:spacing w:val="-4"/>
          <w:w w:val="105"/>
        </w:rPr>
        <w:t> </w:t>
      </w:r>
      <w:r>
        <w:rPr>
          <w:color w:val="231F20"/>
          <w:w w:val="105"/>
        </w:rPr>
        <w:t>todos</w:t>
      </w:r>
      <w:r>
        <w:rPr>
          <w:color w:val="231F20"/>
          <w:spacing w:val="-4"/>
          <w:w w:val="105"/>
        </w:rPr>
        <w:t> </w:t>
      </w:r>
      <w:r>
        <w:rPr>
          <w:color w:val="231F20"/>
          <w:spacing w:val="-3"/>
          <w:w w:val="105"/>
        </w:rPr>
        <w:t>propios</w:t>
      </w:r>
      <w:r>
        <w:rPr>
          <w:color w:val="231F20"/>
          <w:spacing w:val="-4"/>
          <w:w w:val="105"/>
        </w:rPr>
        <w:t> </w:t>
      </w:r>
      <w:r>
        <w:rPr>
          <w:color w:val="231F20"/>
          <w:w w:val="105"/>
        </w:rPr>
        <w:t>para</w:t>
      </w:r>
      <w:r>
        <w:rPr>
          <w:color w:val="231F20"/>
          <w:spacing w:val="-4"/>
          <w:w w:val="105"/>
        </w:rPr>
        <w:t> </w:t>
      </w:r>
      <w:r>
        <w:rPr>
          <w:color w:val="231F20"/>
          <w:w w:val="105"/>
        </w:rPr>
        <w:t>el</w:t>
      </w:r>
      <w:r>
        <w:rPr>
          <w:color w:val="231F20"/>
          <w:spacing w:val="-4"/>
          <w:w w:val="105"/>
        </w:rPr>
        <w:t> </w:t>
      </w:r>
      <w:r>
        <w:rPr>
          <w:color w:val="231F20"/>
          <w:w w:val="105"/>
        </w:rPr>
        <w:t>esparcimiento,</w:t>
      </w:r>
      <w:r>
        <w:rPr>
          <w:color w:val="231F20"/>
          <w:spacing w:val="-4"/>
          <w:w w:val="105"/>
        </w:rPr>
        <w:t> </w:t>
      </w:r>
      <w:r>
        <w:rPr>
          <w:color w:val="231F20"/>
          <w:w w:val="105"/>
        </w:rPr>
        <w:t>pues se</w:t>
      </w:r>
      <w:r>
        <w:rPr>
          <w:color w:val="231F20"/>
          <w:spacing w:val="-14"/>
          <w:w w:val="105"/>
        </w:rPr>
        <w:t> </w:t>
      </w:r>
      <w:r>
        <w:rPr>
          <w:color w:val="231F20"/>
          <w:w w:val="105"/>
        </w:rPr>
        <w:t>incluyen</w:t>
      </w:r>
      <w:r>
        <w:rPr>
          <w:color w:val="231F20"/>
          <w:spacing w:val="-14"/>
          <w:w w:val="105"/>
        </w:rPr>
        <w:t> </w:t>
      </w:r>
      <w:r>
        <w:rPr>
          <w:color w:val="231F20"/>
          <w:w w:val="105"/>
        </w:rPr>
        <w:t>áreas</w:t>
      </w:r>
      <w:r>
        <w:rPr>
          <w:color w:val="231F20"/>
          <w:spacing w:val="-14"/>
          <w:w w:val="105"/>
        </w:rPr>
        <w:t> </w:t>
      </w:r>
      <w:r>
        <w:rPr>
          <w:color w:val="231F20"/>
          <w:w w:val="105"/>
        </w:rPr>
        <w:t>verdes</w:t>
      </w:r>
      <w:r>
        <w:rPr>
          <w:color w:val="231F20"/>
          <w:spacing w:val="-14"/>
          <w:w w:val="105"/>
        </w:rPr>
        <w:t> </w:t>
      </w:r>
      <w:r>
        <w:rPr>
          <w:color w:val="231F20"/>
          <w:w w:val="105"/>
        </w:rPr>
        <w:t>de</w:t>
      </w:r>
      <w:r>
        <w:rPr>
          <w:color w:val="231F20"/>
          <w:spacing w:val="-14"/>
          <w:w w:val="105"/>
        </w:rPr>
        <w:t> </w:t>
      </w:r>
      <w:r>
        <w:rPr>
          <w:color w:val="231F20"/>
          <w:w w:val="105"/>
        </w:rPr>
        <w:t>boulevard</w:t>
      </w:r>
      <w:r>
        <w:rPr>
          <w:color w:val="231F20"/>
          <w:spacing w:val="-14"/>
          <w:w w:val="105"/>
        </w:rPr>
        <w:t> </w:t>
      </w:r>
      <w:r>
        <w:rPr>
          <w:color w:val="231F20"/>
          <w:w w:val="105"/>
        </w:rPr>
        <w:t>o</w:t>
      </w:r>
      <w:r>
        <w:rPr>
          <w:color w:val="231F20"/>
          <w:spacing w:val="-14"/>
          <w:w w:val="105"/>
        </w:rPr>
        <w:t> </w:t>
      </w:r>
      <w:r>
        <w:rPr>
          <w:color w:val="231F20"/>
          <w:w w:val="105"/>
        </w:rPr>
        <w:t>carreteras.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8"/>
          <w:w w:val="105"/>
        </w:rPr>
        <w:t> </w:t>
      </w:r>
      <w:r>
        <w:rPr>
          <w:color w:val="231F20"/>
          <w:w w:val="105"/>
        </w:rPr>
        <w:t>índice</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humano</w:t>
      </w:r>
      <w:r>
        <w:rPr>
          <w:color w:val="231F20"/>
          <w:spacing w:val="-18"/>
          <w:w w:val="105"/>
        </w:rPr>
        <w:t> </w:t>
      </w:r>
      <w:r>
        <w:rPr>
          <w:color w:val="231F20"/>
          <w:w w:val="105"/>
        </w:rPr>
        <w:t>es</w:t>
      </w:r>
      <w:r>
        <w:rPr>
          <w:color w:val="231F20"/>
          <w:spacing w:val="-18"/>
          <w:w w:val="105"/>
        </w:rPr>
        <w:t> </w:t>
      </w:r>
      <w:r>
        <w:rPr>
          <w:color w:val="231F20"/>
          <w:w w:val="105"/>
        </w:rPr>
        <w:t>de</w:t>
      </w:r>
      <w:r>
        <w:rPr>
          <w:color w:val="231F20"/>
          <w:spacing w:val="-18"/>
          <w:w w:val="105"/>
        </w:rPr>
        <w:t> </w:t>
      </w:r>
      <w:r>
        <w:rPr>
          <w:color w:val="231F20"/>
          <w:w w:val="105"/>
        </w:rPr>
        <w:t>0.8182,</w:t>
      </w:r>
      <w:r>
        <w:rPr>
          <w:color w:val="231F20"/>
          <w:spacing w:val="-18"/>
          <w:w w:val="105"/>
        </w:rPr>
        <w:t> </w:t>
      </w:r>
      <w:r>
        <w:rPr>
          <w:color w:val="231F20"/>
          <w:w w:val="105"/>
        </w:rPr>
        <w:t>que</w:t>
      </w:r>
      <w:r>
        <w:rPr>
          <w:color w:val="231F20"/>
          <w:spacing w:val="-18"/>
          <w:w w:val="105"/>
        </w:rPr>
        <w:t> </w:t>
      </w:r>
      <w:r>
        <w:rPr>
          <w:color w:val="231F20"/>
          <w:w w:val="105"/>
        </w:rPr>
        <w:t>es</w:t>
      </w:r>
      <w:r>
        <w:rPr>
          <w:color w:val="231F20"/>
          <w:spacing w:val="-18"/>
          <w:w w:val="105"/>
        </w:rPr>
        <w:t> </w:t>
      </w:r>
      <w:r>
        <w:rPr>
          <w:color w:val="231F20"/>
          <w:w w:val="105"/>
        </w:rPr>
        <w:t>considerado</w:t>
      </w:r>
      <w:r>
        <w:rPr>
          <w:color w:val="231F20"/>
          <w:spacing w:val="-18"/>
          <w:w w:val="105"/>
        </w:rPr>
        <w:t> </w:t>
      </w:r>
      <w:r>
        <w:rPr>
          <w:color w:val="231F20"/>
          <w:w w:val="105"/>
        </w:rPr>
        <w:t>alto,</w:t>
      </w:r>
      <w:r>
        <w:rPr>
          <w:color w:val="231F20"/>
          <w:spacing w:val="-18"/>
          <w:w w:val="105"/>
        </w:rPr>
        <w:t> </w:t>
      </w:r>
      <w:r>
        <w:rPr>
          <w:color w:val="231F20"/>
          <w:w w:val="105"/>
        </w:rPr>
        <w:t>ocupando</w:t>
      </w:r>
      <w:r>
        <w:rPr>
          <w:color w:val="231F20"/>
          <w:spacing w:val="-18"/>
          <w:w w:val="105"/>
        </w:rPr>
        <w:t> </w:t>
      </w:r>
      <w:r>
        <w:rPr>
          <w:color w:val="231F20"/>
          <w:w w:val="105"/>
        </w:rPr>
        <w:t>el</w:t>
      </w:r>
      <w:r>
        <w:rPr>
          <w:color w:val="231F20"/>
          <w:spacing w:val="-18"/>
          <w:w w:val="105"/>
        </w:rPr>
        <w:t> </w:t>
      </w:r>
      <w:r>
        <w:rPr>
          <w:color w:val="231F20"/>
          <w:w w:val="105"/>
        </w:rPr>
        <w:t>lugar 407 de los municipios a nivel nacional y en el 45 de los 125 municipios del Estado de México.</w:t>
      </w:r>
      <w:r>
        <w:rPr>
          <w:color w:val="231F20"/>
          <w:spacing w:val="-6"/>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cabecera</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lugar</w:t>
      </w:r>
      <w:r>
        <w:rPr>
          <w:color w:val="231F20"/>
          <w:spacing w:val="-6"/>
          <w:w w:val="105"/>
        </w:rPr>
        <w:t> </w:t>
      </w:r>
      <w:r>
        <w:rPr>
          <w:color w:val="231F20"/>
          <w:spacing w:val="-3"/>
          <w:w w:val="105"/>
        </w:rPr>
        <w:t>donde</w:t>
      </w:r>
      <w:r>
        <w:rPr>
          <w:color w:val="231F20"/>
          <w:spacing w:val="-6"/>
          <w:w w:val="105"/>
        </w:rPr>
        <w:t> </w:t>
      </w:r>
      <w:r>
        <w:rPr>
          <w:color w:val="231F20"/>
          <w:w w:val="105"/>
        </w:rPr>
        <w:t>se</w:t>
      </w:r>
      <w:r>
        <w:rPr>
          <w:color w:val="231F20"/>
          <w:spacing w:val="-6"/>
          <w:w w:val="105"/>
        </w:rPr>
        <w:t> </w:t>
      </w:r>
      <w:r>
        <w:rPr>
          <w:color w:val="231F20"/>
          <w:w w:val="105"/>
        </w:rPr>
        <w:t>concentran</w:t>
      </w:r>
      <w:r>
        <w:rPr>
          <w:color w:val="231F20"/>
          <w:spacing w:val="-6"/>
          <w:w w:val="105"/>
        </w:rPr>
        <w:t> </w:t>
      </w:r>
      <w:r>
        <w:rPr>
          <w:color w:val="231F20"/>
          <w:w w:val="105"/>
        </w:rPr>
        <w:t>la</w:t>
      </w:r>
      <w:r>
        <w:rPr>
          <w:color w:val="231F20"/>
          <w:spacing w:val="-6"/>
          <w:w w:val="105"/>
        </w:rPr>
        <w:t> </w:t>
      </w:r>
      <w:r>
        <w:rPr>
          <w:color w:val="231F20"/>
          <w:w w:val="105"/>
        </w:rPr>
        <w:t>mayoría</w:t>
      </w:r>
      <w:r>
        <w:rPr>
          <w:color w:val="231F20"/>
          <w:spacing w:val="-6"/>
          <w:w w:val="105"/>
        </w:rPr>
        <w:t> </w:t>
      </w:r>
      <w:r>
        <w:rPr>
          <w:color w:val="231F20"/>
          <w:w w:val="105"/>
        </w:rPr>
        <w:t>de</w:t>
      </w:r>
      <w:r>
        <w:rPr>
          <w:color w:val="231F20"/>
          <w:spacing w:val="-6"/>
          <w:w w:val="105"/>
        </w:rPr>
        <w:t> </w:t>
      </w:r>
      <w:r>
        <w:rPr>
          <w:color w:val="231F20"/>
          <w:w w:val="105"/>
        </w:rPr>
        <w:t>los servicios</w:t>
      </w:r>
      <w:r>
        <w:rPr>
          <w:color w:val="231F20"/>
          <w:spacing w:val="-17"/>
          <w:w w:val="105"/>
        </w:rPr>
        <w:t> </w:t>
      </w:r>
      <w:r>
        <w:rPr>
          <w:color w:val="231F20"/>
          <w:w w:val="105"/>
        </w:rPr>
        <w:t>educativos</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comercio,</w:t>
      </w:r>
      <w:r>
        <w:rPr>
          <w:color w:val="231F20"/>
          <w:spacing w:val="-17"/>
          <w:w w:val="105"/>
        </w:rPr>
        <w:t> </w:t>
      </w:r>
      <w:r>
        <w:rPr>
          <w:color w:val="231F20"/>
          <w:w w:val="105"/>
        </w:rPr>
        <w:t>la</w:t>
      </w:r>
      <w:r>
        <w:rPr>
          <w:color w:val="231F20"/>
          <w:spacing w:val="-17"/>
          <w:w w:val="105"/>
        </w:rPr>
        <w:t> </w:t>
      </w:r>
      <w:r>
        <w:rPr>
          <w:color w:val="231F20"/>
          <w:w w:val="105"/>
        </w:rPr>
        <w:t>totalidad</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administrativos,</w:t>
      </w:r>
      <w:r>
        <w:rPr>
          <w:color w:val="231F20"/>
          <w:spacing w:val="-17"/>
          <w:w w:val="105"/>
        </w:rPr>
        <w:t> </w:t>
      </w:r>
      <w:r>
        <w:rPr>
          <w:color w:val="231F20"/>
          <w:w w:val="105"/>
        </w:rPr>
        <w:t>de</w:t>
      </w:r>
      <w:r>
        <w:rPr>
          <w:color w:val="231F20"/>
          <w:spacing w:val="-17"/>
          <w:w w:val="105"/>
        </w:rPr>
        <w:t> </w:t>
      </w:r>
      <w:r>
        <w:rPr>
          <w:color w:val="231F20"/>
          <w:w w:val="105"/>
        </w:rPr>
        <w:t>salud</w:t>
      </w:r>
      <w:r>
        <w:rPr>
          <w:color w:val="231F20"/>
          <w:spacing w:val="-17"/>
          <w:w w:val="105"/>
        </w:rPr>
        <w:t> </w:t>
      </w:r>
      <w:r>
        <w:rPr>
          <w:color w:val="231F20"/>
          <w:w w:val="105"/>
        </w:rPr>
        <w:t>y</w:t>
      </w:r>
      <w:r>
        <w:rPr>
          <w:color w:val="231F20"/>
          <w:spacing w:val="-17"/>
          <w:w w:val="105"/>
        </w:rPr>
        <w:t> </w:t>
      </w:r>
      <w:r>
        <w:rPr>
          <w:color w:val="231F20"/>
          <w:w w:val="105"/>
        </w:rPr>
        <w:t>finan- cieros.</w:t>
      </w:r>
      <w:r>
        <w:rPr>
          <w:color w:val="231F20"/>
          <w:spacing w:val="-19"/>
          <w:w w:val="105"/>
        </w:rPr>
        <w:t> </w:t>
      </w:r>
      <w:r>
        <w:rPr>
          <w:color w:val="231F20"/>
          <w:w w:val="105"/>
        </w:rPr>
        <w:t>Es</w:t>
      </w:r>
      <w:r>
        <w:rPr>
          <w:color w:val="231F20"/>
          <w:spacing w:val="-19"/>
          <w:w w:val="105"/>
        </w:rPr>
        <w:t> </w:t>
      </w:r>
      <w:r>
        <w:rPr>
          <w:color w:val="231F20"/>
          <w:w w:val="105"/>
        </w:rPr>
        <w:t>una</w:t>
      </w:r>
      <w:r>
        <w:rPr>
          <w:color w:val="231F20"/>
          <w:spacing w:val="-19"/>
          <w:w w:val="105"/>
        </w:rPr>
        <w:t> </w:t>
      </w:r>
      <w:r>
        <w:rPr>
          <w:color w:val="231F20"/>
          <w:w w:val="105"/>
        </w:rPr>
        <w:t>condición</w:t>
      </w:r>
      <w:r>
        <w:rPr>
          <w:color w:val="231F20"/>
          <w:spacing w:val="-19"/>
          <w:w w:val="105"/>
        </w:rPr>
        <w:t> </w:t>
      </w:r>
      <w:r>
        <w:rPr>
          <w:color w:val="231F20"/>
          <w:w w:val="105"/>
        </w:rPr>
        <w:t>común</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municipios</w:t>
      </w:r>
      <w:r>
        <w:rPr>
          <w:color w:val="231F20"/>
          <w:spacing w:val="-19"/>
          <w:w w:val="105"/>
        </w:rPr>
        <w:t> </w:t>
      </w:r>
      <w:r>
        <w:rPr>
          <w:color w:val="231F20"/>
          <w:w w:val="105"/>
        </w:rPr>
        <w:t>en</w:t>
      </w:r>
      <w:r>
        <w:rPr>
          <w:color w:val="231F20"/>
          <w:spacing w:val="-19"/>
          <w:w w:val="105"/>
        </w:rPr>
        <w:t> </w:t>
      </w:r>
      <w:r>
        <w:rPr>
          <w:color w:val="231F20"/>
          <w:spacing w:val="-3"/>
          <w:w w:val="105"/>
        </w:rPr>
        <w:t>donde</w:t>
      </w:r>
      <w:r>
        <w:rPr>
          <w:color w:val="231F20"/>
          <w:spacing w:val="-19"/>
          <w:w w:val="105"/>
        </w:rPr>
        <w:t> </w:t>
      </w:r>
      <w:r>
        <w:rPr>
          <w:color w:val="231F20"/>
          <w:w w:val="105"/>
        </w:rPr>
        <w:t>se</w:t>
      </w:r>
      <w:r>
        <w:rPr>
          <w:color w:val="231F20"/>
          <w:spacing w:val="-19"/>
          <w:w w:val="105"/>
        </w:rPr>
        <w:t> </w:t>
      </w:r>
      <w:r>
        <w:rPr>
          <w:color w:val="231F20"/>
          <w:w w:val="105"/>
        </w:rPr>
        <w:t>repite</w:t>
      </w:r>
      <w:r>
        <w:rPr>
          <w:color w:val="231F20"/>
          <w:spacing w:val="-19"/>
          <w:w w:val="105"/>
        </w:rPr>
        <w:t> </w:t>
      </w:r>
      <w:r>
        <w:rPr>
          <w:color w:val="231F20"/>
          <w:w w:val="105"/>
        </w:rPr>
        <w:t>el</w:t>
      </w:r>
      <w:r>
        <w:rPr>
          <w:color w:val="231F20"/>
          <w:spacing w:val="-19"/>
          <w:w w:val="105"/>
        </w:rPr>
        <w:t> </w:t>
      </w:r>
      <w:r>
        <w:rPr>
          <w:color w:val="231F20"/>
          <w:w w:val="105"/>
        </w:rPr>
        <w:t>factor</w:t>
      </w:r>
      <w:r>
        <w:rPr>
          <w:color w:val="231F20"/>
          <w:spacing w:val="-19"/>
          <w:w w:val="105"/>
        </w:rPr>
        <w:t> </w:t>
      </w:r>
      <w:r>
        <w:rPr>
          <w:color w:val="231F20"/>
          <w:w w:val="105"/>
        </w:rPr>
        <w:t>expresado en</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económica</w:t>
      </w:r>
      <w:r>
        <w:rPr>
          <w:color w:val="231F20"/>
          <w:spacing w:val="-10"/>
          <w:w w:val="105"/>
        </w:rPr>
        <w:t> </w:t>
      </w:r>
      <w:r>
        <w:rPr>
          <w:color w:val="231F20"/>
          <w:w w:val="105"/>
        </w:rPr>
        <w:t>sobre</w:t>
      </w:r>
      <w:r>
        <w:rPr>
          <w:color w:val="231F20"/>
          <w:spacing w:val="-10"/>
          <w:w w:val="105"/>
        </w:rPr>
        <w:t> </w:t>
      </w:r>
      <w:r>
        <w:rPr>
          <w:color w:val="231F20"/>
          <w:w w:val="105"/>
        </w:rPr>
        <w:t>el</w:t>
      </w:r>
      <w:r>
        <w:rPr>
          <w:color w:val="231F20"/>
          <w:spacing w:val="-10"/>
          <w:w w:val="105"/>
        </w:rPr>
        <w:t> </w:t>
      </w:r>
      <w:r>
        <w:rPr>
          <w:color w:val="231F20"/>
          <w:w w:val="105"/>
        </w:rPr>
        <w:t>centro</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periferia,</w:t>
      </w:r>
      <w:r>
        <w:rPr>
          <w:color w:val="231F20"/>
          <w:spacing w:val="-10"/>
          <w:w w:val="105"/>
        </w:rPr>
        <w:t> </w:t>
      </w:r>
      <w:r>
        <w:rPr>
          <w:color w:val="231F20"/>
          <w:spacing w:val="-3"/>
          <w:w w:val="105"/>
        </w:rPr>
        <w:t>donde</w:t>
      </w:r>
      <w:r>
        <w:rPr>
          <w:color w:val="231F20"/>
          <w:spacing w:val="-10"/>
          <w:w w:val="105"/>
        </w:rPr>
        <w:t> </w:t>
      </w:r>
      <w:r>
        <w:rPr>
          <w:color w:val="231F20"/>
          <w:w w:val="105"/>
        </w:rPr>
        <w:t>aquél</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privilegiado</w:t>
      </w:r>
      <w:r>
        <w:rPr>
          <w:color w:val="231F20"/>
          <w:spacing w:val="-10"/>
          <w:w w:val="105"/>
        </w:rPr>
        <w:t> </w:t>
      </w:r>
      <w:r>
        <w:rPr>
          <w:color w:val="231F20"/>
          <w:w w:val="105"/>
        </w:rPr>
        <w:t>y</w:t>
      </w:r>
      <w:r>
        <w:rPr>
          <w:color w:val="231F20"/>
          <w:spacing w:val="-10"/>
          <w:w w:val="105"/>
        </w:rPr>
        <w:t> </w:t>
      </w:r>
      <w:r>
        <w:rPr>
          <w:color w:val="231F20"/>
          <w:w w:val="105"/>
        </w:rPr>
        <w:t>en </w:t>
      </w:r>
      <w:r>
        <w:rPr>
          <w:color w:val="231F20"/>
          <w:spacing w:val="-3"/>
          <w:w w:val="105"/>
        </w:rPr>
        <w:t>donde</w:t>
      </w:r>
      <w:r>
        <w:rPr>
          <w:color w:val="231F20"/>
          <w:spacing w:val="-20"/>
          <w:w w:val="105"/>
        </w:rPr>
        <w:t> </w:t>
      </w:r>
      <w:r>
        <w:rPr>
          <w:color w:val="231F20"/>
          <w:w w:val="105"/>
        </w:rPr>
        <w:t>se</w:t>
      </w:r>
      <w:r>
        <w:rPr>
          <w:color w:val="231F20"/>
          <w:spacing w:val="-20"/>
          <w:w w:val="105"/>
        </w:rPr>
        <w:t> </w:t>
      </w:r>
      <w:r>
        <w:rPr>
          <w:color w:val="231F20"/>
          <w:w w:val="105"/>
        </w:rPr>
        <w:t>aplican</w:t>
      </w:r>
      <w:r>
        <w:rPr>
          <w:color w:val="231F20"/>
          <w:spacing w:val="-20"/>
          <w:w w:val="105"/>
        </w:rPr>
        <w:t> </w:t>
      </w:r>
      <w:r>
        <w:rPr>
          <w:color w:val="231F20"/>
          <w:w w:val="105"/>
        </w:rPr>
        <w:t>la</w:t>
      </w:r>
      <w:r>
        <w:rPr>
          <w:color w:val="231F20"/>
          <w:spacing w:val="-20"/>
          <w:w w:val="105"/>
        </w:rPr>
        <w:t> </w:t>
      </w:r>
      <w:r>
        <w:rPr>
          <w:color w:val="231F20"/>
          <w:w w:val="105"/>
        </w:rPr>
        <w:t>mayoría</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recursos,</w:t>
      </w:r>
      <w:r>
        <w:rPr>
          <w:color w:val="231F20"/>
          <w:spacing w:val="-20"/>
          <w:w w:val="105"/>
        </w:rPr>
        <w:t> </w:t>
      </w:r>
      <w:r>
        <w:rPr>
          <w:color w:val="231F20"/>
          <w:w w:val="105"/>
        </w:rPr>
        <w:t>concentración</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repite</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esquemas del</w:t>
      </w:r>
      <w:r>
        <w:rPr>
          <w:color w:val="231F20"/>
          <w:spacing w:val="-11"/>
          <w:w w:val="105"/>
        </w:rPr>
        <w:t> </w:t>
      </w:r>
      <w:r>
        <w:rPr>
          <w:color w:val="231F20"/>
          <w:w w:val="105"/>
        </w:rPr>
        <w:t>plano</w:t>
      </w:r>
      <w:r>
        <w:rPr>
          <w:color w:val="231F20"/>
          <w:spacing w:val="-11"/>
          <w:w w:val="105"/>
        </w:rPr>
        <w:t> </w:t>
      </w:r>
      <w:r>
        <w:rPr>
          <w:color w:val="231F20"/>
          <w:w w:val="105"/>
        </w:rPr>
        <w:t>nacional.</w:t>
      </w:r>
      <w:r>
        <w:rPr>
          <w:color w:val="231F20"/>
          <w:spacing w:val="-11"/>
          <w:w w:val="105"/>
        </w:rPr>
        <w:t> </w:t>
      </w:r>
      <w:r>
        <w:rPr>
          <w:color w:val="231F20"/>
          <w:w w:val="105"/>
        </w:rPr>
        <w:t>La</w:t>
      </w:r>
      <w:r>
        <w:rPr>
          <w:color w:val="231F20"/>
          <w:spacing w:val="-11"/>
          <w:w w:val="105"/>
        </w:rPr>
        <w:t> </w:t>
      </w:r>
      <w:r>
        <w:rPr>
          <w:color w:val="231F20"/>
          <w:w w:val="105"/>
        </w:rPr>
        <w:t>sede</w:t>
      </w:r>
      <w:r>
        <w:rPr>
          <w:color w:val="231F20"/>
          <w:spacing w:val="-11"/>
          <w:w w:val="105"/>
        </w:rPr>
        <w:t> </w:t>
      </w:r>
      <w:r>
        <w:rPr>
          <w:color w:val="231F20"/>
          <w:w w:val="105"/>
        </w:rPr>
        <w:t>del</w:t>
      </w:r>
      <w:r>
        <w:rPr>
          <w:color w:val="231F20"/>
          <w:spacing w:val="-11"/>
          <w:w w:val="105"/>
        </w:rPr>
        <w:t> </w:t>
      </w:r>
      <w:r>
        <w:rPr>
          <w:color w:val="231F20"/>
          <w:w w:val="105"/>
        </w:rPr>
        <w:t>gobierno</w:t>
      </w:r>
      <w:r>
        <w:rPr>
          <w:color w:val="231F20"/>
          <w:spacing w:val="-11"/>
          <w:w w:val="105"/>
        </w:rPr>
        <w:t> </w:t>
      </w:r>
      <w:r>
        <w:rPr>
          <w:color w:val="231F20"/>
          <w:w w:val="105"/>
        </w:rPr>
        <w:t>municipal</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cabecera</w:t>
      </w:r>
      <w:r>
        <w:rPr>
          <w:color w:val="231F20"/>
          <w:spacing w:val="-11"/>
          <w:w w:val="105"/>
        </w:rPr>
        <w:t> </w:t>
      </w:r>
      <w:r>
        <w:rPr>
          <w:color w:val="231F20"/>
          <w:w w:val="105"/>
        </w:rPr>
        <w:t>repite</w:t>
      </w:r>
      <w:r>
        <w:rPr>
          <w:color w:val="231F20"/>
          <w:spacing w:val="-11"/>
          <w:w w:val="105"/>
        </w:rPr>
        <w:t> </w:t>
      </w:r>
      <w:r>
        <w:rPr>
          <w:color w:val="231F20"/>
          <w:w w:val="105"/>
        </w:rPr>
        <w:t>los</w:t>
      </w:r>
      <w:r>
        <w:rPr>
          <w:color w:val="231F20"/>
          <w:spacing w:val="-11"/>
          <w:w w:val="105"/>
        </w:rPr>
        <w:t> </w:t>
      </w:r>
      <w:r>
        <w:rPr>
          <w:color w:val="231F20"/>
          <w:spacing w:val="-3"/>
          <w:w w:val="105"/>
        </w:rPr>
        <w:t>fenómenos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capitales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estados</w:t>
      </w:r>
      <w:r>
        <w:rPr>
          <w:color w:val="231F20"/>
          <w:spacing w:val="-16"/>
          <w:w w:val="105"/>
        </w:rPr>
        <w:t> </w:t>
      </w:r>
      <w:r>
        <w:rPr>
          <w:color w:val="231F20"/>
          <w:w w:val="105"/>
        </w:rPr>
        <w:t>guardando</w:t>
      </w:r>
      <w:r>
        <w:rPr>
          <w:color w:val="231F20"/>
          <w:spacing w:val="-16"/>
          <w:w w:val="105"/>
        </w:rPr>
        <w:t> </w:t>
      </w:r>
      <w:r>
        <w:rPr>
          <w:color w:val="231F20"/>
          <w:w w:val="105"/>
        </w:rPr>
        <w:t>las</w:t>
      </w:r>
      <w:r>
        <w:rPr>
          <w:color w:val="231F20"/>
          <w:spacing w:val="-16"/>
          <w:w w:val="105"/>
        </w:rPr>
        <w:t> </w:t>
      </w:r>
      <w:r>
        <w:rPr>
          <w:color w:val="231F20"/>
          <w:w w:val="105"/>
        </w:rPr>
        <w:t>distancias</w:t>
      </w:r>
      <w:r>
        <w:rPr>
          <w:color w:val="231F20"/>
          <w:spacing w:val="-16"/>
          <w:w w:val="105"/>
        </w:rPr>
        <w:t> </w:t>
      </w:r>
      <w:r>
        <w:rPr>
          <w:color w:val="231F20"/>
          <w:w w:val="105"/>
        </w:rPr>
        <w:t>y</w:t>
      </w:r>
      <w:r>
        <w:rPr>
          <w:color w:val="231F20"/>
          <w:spacing w:val="-16"/>
          <w:w w:val="105"/>
        </w:rPr>
        <w:t> </w:t>
      </w:r>
      <w:r>
        <w:rPr>
          <w:color w:val="231F20"/>
          <w:w w:val="105"/>
        </w:rPr>
        <w:t>dimensiones.</w:t>
      </w:r>
      <w:r>
        <w:rPr>
          <w:color w:val="231F20"/>
          <w:spacing w:val="-16"/>
          <w:w w:val="105"/>
        </w:rPr>
        <w:t> </w:t>
      </w:r>
      <w:r>
        <w:rPr>
          <w:color w:val="231F20"/>
          <w:w w:val="105"/>
        </w:rPr>
        <w:t>El</w:t>
      </w:r>
      <w:r>
        <w:rPr>
          <w:color w:val="231F20"/>
          <w:spacing w:val="-16"/>
          <w:w w:val="105"/>
        </w:rPr>
        <w:t> </w:t>
      </w:r>
      <w:r>
        <w:rPr>
          <w:color w:val="231F20"/>
          <w:w w:val="105"/>
        </w:rPr>
        <w:t>PIB</w:t>
      </w:r>
      <w:r>
        <w:rPr>
          <w:color w:val="231F20"/>
          <w:spacing w:val="-16"/>
          <w:w w:val="105"/>
        </w:rPr>
        <w:t> </w:t>
      </w:r>
      <w:r>
        <w:rPr>
          <w:color w:val="231F20"/>
          <w:w w:val="105"/>
        </w:rPr>
        <w:t>del</w:t>
      </w:r>
      <w:r>
        <w:rPr>
          <w:color w:val="231F20"/>
          <w:spacing w:val="-16"/>
          <w:w w:val="105"/>
        </w:rPr>
        <w:t> </w:t>
      </w:r>
      <w:r>
        <w:rPr>
          <w:color w:val="231F20"/>
          <w:w w:val="105"/>
        </w:rPr>
        <w:t>muni- cipio</w:t>
      </w:r>
      <w:r>
        <w:rPr>
          <w:color w:val="231F20"/>
          <w:spacing w:val="-28"/>
          <w:w w:val="105"/>
        </w:rPr>
        <w:t> </w:t>
      </w:r>
      <w:r>
        <w:rPr>
          <w:color w:val="231F20"/>
          <w:w w:val="105"/>
        </w:rPr>
        <w:t>para</w:t>
      </w:r>
      <w:r>
        <w:rPr>
          <w:color w:val="231F20"/>
          <w:spacing w:val="-28"/>
          <w:w w:val="105"/>
        </w:rPr>
        <w:t> </w:t>
      </w:r>
      <w:r>
        <w:rPr>
          <w:color w:val="231F20"/>
          <w:w w:val="105"/>
        </w:rPr>
        <w:t>el</w:t>
      </w:r>
      <w:r>
        <w:rPr>
          <w:color w:val="231F20"/>
          <w:spacing w:val="-28"/>
          <w:w w:val="105"/>
        </w:rPr>
        <w:t> </w:t>
      </w:r>
      <w:r>
        <w:rPr>
          <w:color w:val="231F20"/>
          <w:w w:val="105"/>
        </w:rPr>
        <w:t>año</w:t>
      </w:r>
      <w:r>
        <w:rPr>
          <w:color w:val="231F20"/>
          <w:spacing w:val="-28"/>
          <w:w w:val="105"/>
        </w:rPr>
        <w:t> </w:t>
      </w:r>
      <w:r>
        <w:rPr>
          <w:color w:val="231F20"/>
          <w:spacing w:val="3"/>
          <w:w w:val="105"/>
        </w:rPr>
        <w:t>2004,</w:t>
      </w:r>
      <w:r>
        <w:rPr>
          <w:color w:val="231F20"/>
          <w:spacing w:val="-28"/>
          <w:w w:val="105"/>
        </w:rPr>
        <w:t> </w:t>
      </w:r>
      <w:r>
        <w:rPr>
          <w:color w:val="231F20"/>
          <w:w w:val="105"/>
        </w:rPr>
        <w:t>ascendió</w:t>
      </w:r>
      <w:r>
        <w:rPr>
          <w:color w:val="231F20"/>
          <w:spacing w:val="-28"/>
          <w:w w:val="105"/>
        </w:rPr>
        <w:t> </w:t>
      </w:r>
      <w:r>
        <w:rPr>
          <w:color w:val="231F20"/>
          <w:w w:val="105"/>
        </w:rPr>
        <w:t>a</w:t>
      </w:r>
      <w:r>
        <w:rPr>
          <w:color w:val="231F20"/>
          <w:spacing w:val="-28"/>
          <w:w w:val="105"/>
        </w:rPr>
        <w:t> </w:t>
      </w:r>
      <w:r>
        <w:rPr>
          <w:color w:val="231F20"/>
          <w:w w:val="105"/>
        </w:rPr>
        <w:t>264’319,686</w:t>
      </w:r>
      <w:r>
        <w:rPr>
          <w:color w:val="231F20"/>
          <w:spacing w:val="-28"/>
          <w:w w:val="105"/>
        </w:rPr>
        <w:t> </w:t>
      </w:r>
      <w:r>
        <w:rPr>
          <w:color w:val="231F20"/>
          <w:w w:val="105"/>
        </w:rPr>
        <w:t>dólares</w:t>
      </w:r>
    </w:p>
    <w:p>
      <w:pPr>
        <w:pStyle w:val="BodyText"/>
        <w:spacing w:before="1"/>
        <w:rPr>
          <w:sz w:val="20"/>
        </w:rPr>
      </w:pPr>
    </w:p>
    <w:p>
      <w:pPr>
        <w:pStyle w:val="Heading4"/>
        <w:spacing w:before="1"/>
        <w:rPr>
          <w:i/>
        </w:rPr>
      </w:pPr>
      <w:r>
        <w:rPr>
          <w:i/>
          <w:color w:val="231F20"/>
        </w:rPr>
        <w:t>Datos políticos</w:t>
      </w:r>
    </w:p>
    <w:p>
      <w:pPr>
        <w:pStyle w:val="BodyText"/>
        <w:spacing w:line="285" w:lineRule="auto" w:before="16"/>
        <w:ind w:left="110" w:right="108"/>
        <w:jc w:val="both"/>
      </w:pPr>
      <w:r>
        <w:rPr/>
        <w:pict>
          <v:line style="position:absolute;mso-position-horizontal-relative:page;mso-position-vertical-relative:paragraph;z-index:10936;mso-wrap-distance-left:0;mso-wrap-distance-right:0" from="42.519699pt,36.069241pt" to="114.519699pt,36.069241pt" stroked="true" strokeweight="1pt" strokecolor="#231f20">
            <w10:wrap type="topAndBottom"/>
          </v:line>
        </w:pict>
      </w:r>
      <w:r>
        <w:rPr>
          <w:color w:val="231F20"/>
          <w:w w:val="105"/>
        </w:rPr>
        <w:t>Un análisis de gobierno de partido nos lleva a revisar el sistema de partidos a la vez que esto conduce a su nexo, el sistema electoral. Estas condiciones son importantes</w:t>
      </w:r>
    </w:p>
    <w:p>
      <w:pPr>
        <w:pStyle w:val="ListParagraph"/>
        <w:numPr>
          <w:ilvl w:val="0"/>
          <w:numId w:val="21"/>
        </w:numPr>
        <w:tabs>
          <w:tab w:pos="228" w:val="left" w:leader="none"/>
        </w:tabs>
        <w:spacing w:line="244" w:lineRule="auto" w:before="8" w:after="0"/>
        <w:ind w:left="110" w:right="107" w:firstLine="0"/>
        <w:jc w:val="left"/>
        <w:rPr>
          <w:sz w:val="16"/>
        </w:rPr>
      </w:pPr>
      <w:r>
        <w:rPr>
          <w:color w:val="231F20"/>
          <w:sz w:val="16"/>
        </w:rPr>
        <w:t>La Población Económicamente Activa (PEA) es aquella población de </w:t>
      </w:r>
      <w:r>
        <w:rPr>
          <w:color w:val="231F20"/>
          <w:spacing w:val="-6"/>
          <w:sz w:val="16"/>
        </w:rPr>
        <w:t>12 </w:t>
      </w:r>
      <w:r>
        <w:rPr>
          <w:color w:val="231F20"/>
          <w:sz w:val="16"/>
        </w:rPr>
        <w:t>años y más que está en edad de trabajar y la PEIA es</w:t>
      </w:r>
      <w:r>
        <w:rPr>
          <w:color w:val="231F20"/>
          <w:spacing w:val="-5"/>
          <w:sz w:val="16"/>
        </w:rPr>
        <w:t> </w:t>
      </w:r>
      <w:r>
        <w:rPr>
          <w:color w:val="231F20"/>
          <w:sz w:val="16"/>
        </w:rPr>
        <w:t>la</w:t>
      </w:r>
      <w:r>
        <w:rPr>
          <w:color w:val="231F20"/>
          <w:spacing w:val="-5"/>
          <w:sz w:val="16"/>
        </w:rPr>
        <w:t> </w:t>
      </w:r>
      <w:r>
        <w:rPr>
          <w:color w:val="231F20"/>
          <w:sz w:val="16"/>
        </w:rPr>
        <w:t>que</w:t>
      </w:r>
      <w:r>
        <w:rPr>
          <w:color w:val="231F20"/>
          <w:spacing w:val="-5"/>
          <w:sz w:val="16"/>
        </w:rPr>
        <w:t> </w:t>
      </w:r>
      <w:r>
        <w:rPr>
          <w:color w:val="231F20"/>
          <w:sz w:val="16"/>
        </w:rPr>
        <w:t>estando</w:t>
      </w:r>
      <w:r>
        <w:rPr>
          <w:color w:val="231F20"/>
          <w:spacing w:val="-5"/>
          <w:sz w:val="16"/>
        </w:rPr>
        <w:t> </w:t>
      </w:r>
      <w:r>
        <w:rPr>
          <w:color w:val="231F20"/>
          <w:sz w:val="16"/>
        </w:rPr>
        <w:t>en</w:t>
      </w:r>
      <w:r>
        <w:rPr>
          <w:color w:val="231F20"/>
          <w:spacing w:val="-5"/>
          <w:sz w:val="16"/>
        </w:rPr>
        <w:t> </w:t>
      </w:r>
      <w:r>
        <w:rPr>
          <w:color w:val="231F20"/>
          <w:sz w:val="16"/>
        </w:rPr>
        <w:t>edad</w:t>
      </w:r>
      <w:r>
        <w:rPr>
          <w:color w:val="231F20"/>
          <w:spacing w:val="-5"/>
          <w:sz w:val="16"/>
        </w:rPr>
        <w:t> </w:t>
      </w:r>
      <w:r>
        <w:rPr>
          <w:color w:val="231F20"/>
          <w:sz w:val="16"/>
        </w:rPr>
        <w:t>no</w:t>
      </w:r>
      <w:r>
        <w:rPr>
          <w:color w:val="231F20"/>
          <w:spacing w:val="-5"/>
          <w:sz w:val="16"/>
        </w:rPr>
        <w:t> </w:t>
      </w:r>
      <w:r>
        <w:rPr>
          <w:color w:val="231F20"/>
          <w:sz w:val="16"/>
        </w:rPr>
        <w:t>están</w:t>
      </w:r>
      <w:r>
        <w:rPr>
          <w:color w:val="231F20"/>
          <w:spacing w:val="-5"/>
          <w:sz w:val="16"/>
        </w:rPr>
        <w:t> </w:t>
      </w:r>
      <w:r>
        <w:rPr>
          <w:color w:val="231F20"/>
          <w:sz w:val="16"/>
        </w:rPr>
        <w:t>ocupadas.</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para entender la acción gubernamental, para analizar la relación que guarda el partido con el gobierno y, así comprender las consecuencias de supremacía o dominación que se establecen entre estas dos instituciones, de ahí que sea oportuno descifrar como se compone el gobierno municipal en Amecameca.</w:t>
      </w:r>
    </w:p>
    <w:p>
      <w:pPr>
        <w:pStyle w:val="BodyText"/>
        <w:spacing w:before="1"/>
        <w:rPr>
          <w:sz w:val="26"/>
        </w:rPr>
      </w:pPr>
    </w:p>
    <w:p>
      <w:pPr>
        <w:pStyle w:val="BodyText"/>
        <w:spacing w:line="285" w:lineRule="auto"/>
        <w:ind w:left="110" w:right="108"/>
        <w:jc w:val="both"/>
      </w:pPr>
      <w:r>
        <w:rPr>
          <w:color w:val="231F20"/>
          <w:w w:val="105"/>
        </w:rPr>
        <w:t>El gobierno municipal descansa en un ayuntamiento integrado por un presidente, un síndico</w:t>
      </w:r>
      <w:r>
        <w:rPr>
          <w:color w:val="231F20"/>
          <w:spacing w:val="-13"/>
          <w:w w:val="105"/>
        </w:rPr>
        <w:t> </w:t>
      </w:r>
      <w:r>
        <w:rPr>
          <w:color w:val="231F20"/>
          <w:w w:val="105"/>
        </w:rPr>
        <w:t>y</w:t>
      </w:r>
      <w:r>
        <w:rPr>
          <w:color w:val="231F20"/>
          <w:spacing w:val="-13"/>
          <w:w w:val="105"/>
        </w:rPr>
        <w:t> </w:t>
      </w:r>
      <w:r>
        <w:rPr>
          <w:color w:val="231F20"/>
          <w:w w:val="105"/>
        </w:rPr>
        <w:t>seis</w:t>
      </w:r>
      <w:r>
        <w:rPr>
          <w:color w:val="231F20"/>
          <w:spacing w:val="-13"/>
          <w:w w:val="105"/>
        </w:rPr>
        <w:t> </w:t>
      </w:r>
      <w:r>
        <w:rPr>
          <w:color w:val="231F20"/>
          <w:w w:val="105"/>
        </w:rPr>
        <w:t>regidores</w:t>
      </w:r>
      <w:r>
        <w:rPr>
          <w:color w:val="231F20"/>
          <w:spacing w:val="-13"/>
          <w:w w:val="105"/>
        </w:rPr>
        <w:t> </w:t>
      </w:r>
      <w:r>
        <w:rPr>
          <w:color w:val="231F20"/>
          <w:w w:val="105"/>
        </w:rPr>
        <w:t>electos</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principio</w:t>
      </w:r>
      <w:r>
        <w:rPr>
          <w:color w:val="231F20"/>
          <w:spacing w:val="-13"/>
          <w:w w:val="105"/>
        </w:rPr>
        <w:t> </w:t>
      </w:r>
      <w:r>
        <w:rPr>
          <w:color w:val="231F20"/>
          <w:w w:val="105"/>
        </w:rPr>
        <w:t>de</w:t>
      </w:r>
      <w:r>
        <w:rPr>
          <w:color w:val="231F20"/>
          <w:spacing w:val="-13"/>
          <w:w w:val="105"/>
        </w:rPr>
        <w:t> </w:t>
      </w:r>
      <w:r>
        <w:rPr>
          <w:color w:val="231F20"/>
          <w:w w:val="105"/>
        </w:rPr>
        <w:t>mayoría</w:t>
      </w:r>
      <w:r>
        <w:rPr>
          <w:color w:val="231F20"/>
          <w:spacing w:val="-13"/>
          <w:w w:val="105"/>
        </w:rPr>
        <w:t> </w:t>
      </w:r>
      <w:r>
        <w:rPr>
          <w:color w:val="231F20"/>
          <w:w w:val="105"/>
        </w:rPr>
        <w:t>relativa</w:t>
      </w:r>
      <w:r>
        <w:rPr>
          <w:color w:val="231F20"/>
          <w:spacing w:val="-13"/>
          <w:w w:val="105"/>
        </w:rPr>
        <w:t> </w:t>
      </w:r>
      <w:r>
        <w:rPr>
          <w:color w:val="231F20"/>
          <w:w w:val="105"/>
        </w:rPr>
        <w:t>en</w:t>
      </w:r>
      <w:r>
        <w:rPr>
          <w:color w:val="231F20"/>
          <w:spacing w:val="-13"/>
          <w:w w:val="105"/>
        </w:rPr>
        <w:t> </w:t>
      </w:r>
      <w:r>
        <w:rPr>
          <w:color w:val="231F20"/>
          <w:w w:val="105"/>
        </w:rPr>
        <w:t>planilla,</w:t>
      </w:r>
      <w:r>
        <w:rPr>
          <w:color w:val="231F20"/>
          <w:spacing w:val="-13"/>
          <w:w w:val="105"/>
        </w:rPr>
        <w:t> </w:t>
      </w:r>
      <w:r>
        <w:rPr>
          <w:color w:val="231F20"/>
          <w:w w:val="105"/>
        </w:rPr>
        <w:t>y</w:t>
      </w:r>
      <w:r>
        <w:rPr>
          <w:color w:val="231F20"/>
          <w:spacing w:val="-13"/>
          <w:w w:val="105"/>
        </w:rPr>
        <w:t> </w:t>
      </w:r>
      <w:r>
        <w:rPr>
          <w:color w:val="231F20"/>
          <w:w w:val="105"/>
        </w:rPr>
        <w:t>cuatro regidores</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principio</w:t>
      </w:r>
      <w:r>
        <w:rPr>
          <w:color w:val="231F20"/>
          <w:spacing w:val="-23"/>
          <w:w w:val="105"/>
        </w:rPr>
        <w:t> </w:t>
      </w:r>
      <w:r>
        <w:rPr>
          <w:color w:val="231F20"/>
          <w:w w:val="105"/>
        </w:rPr>
        <w:t>de</w:t>
      </w:r>
      <w:r>
        <w:rPr>
          <w:color w:val="231F20"/>
          <w:spacing w:val="-23"/>
          <w:w w:val="105"/>
        </w:rPr>
        <w:t> </w:t>
      </w:r>
      <w:r>
        <w:rPr>
          <w:color w:val="231F20"/>
          <w:w w:val="105"/>
        </w:rPr>
        <w:t>representación</w:t>
      </w:r>
      <w:r>
        <w:rPr>
          <w:color w:val="231F20"/>
          <w:spacing w:val="-23"/>
          <w:w w:val="105"/>
        </w:rPr>
        <w:t> </w:t>
      </w:r>
      <w:r>
        <w:rPr>
          <w:color w:val="231F20"/>
          <w:w w:val="105"/>
        </w:rPr>
        <w:t>proporcional.</w:t>
      </w:r>
      <w:r>
        <w:rPr>
          <w:color w:val="231F20"/>
          <w:spacing w:val="-23"/>
          <w:w w:val="105"/>
        </w:rPr>
        <w:t> </w:t>
      </w:r>
      <w:r>
        <w:rPr>
          <w:color w:val="231F20"/>
          <w:w w:val="105"/>
        </w:rPr>
        <w:t>Como</w:t>
      </w:r>
      <w:r>
        <w:rPr>
          <w:color w:val="231F20"/>
          <w:spacing w:val="-23"/>
          <w:w w:val="105"/>
        </w:rPr>
        <w:t> </w:t>
      </w:r>
      <w:r>
        <w:rPr>
          <w:color w:val="231F20"/>
          <w:w w:val="105"/>
        </w:rPr>
        <w:t>se</w:t>
      </w:r>
      <w:r>
        <w:rPr>
          <w:color w:val="231F20"/>
          <w:spacing w:val="-23"/>
          <w:w w:val="105"/>
        </w:rPr>
        <w:t> </w:t>
      </w:r>
      <w:r>
        <w:rPr>
          <w:color w:val="231F20"/>
          <w:w w:val="105"/>
        </w:rPr>
        <w:t>desprende</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inte- gración</w:t>
      </w:r>
      <w:r>
        <w:rPr>
          <w:color w:val="231F20"/>
          <w:spacing w:val="-7"/>
          <w:w w:val="105"/>
        </w:rPr>
        <w:t> </w:t>
      </w:r>
      <w:r>
        <w:rPr>
          <w:color w:val="231F20"/>
          <w:w w:val="105"/>
        </w:rPr>
        <w:t>del</w:t>
      </w:r>
      <w:r>
        <w:rPr>
          <w:color w:val="231F20"/>
          <w:spacing w:val="-7"/>
          <w:w w:val="105"/>
        </w:rPr>
        <w:t> </w:t>
      </w:r>
      <w:r>
        <w:rPr>
          <w:color w:val="231F20"/>
          <w:w w:val="105"/>
        </w:rPr>
        <w:t>ayuntamiento,</w:t>
      </w:r>
      <w:r>
        <w:rPr>
          <w:color w:val="231F20"/>
          <w:spacing w:val="-7"/>
          <w:w w:val="105"/>
        </w:rPr>
        <w:t> </w:t>
      </w:r>
      <w:r>
        <w:rPr>
          <w:color w:val="231F20"/>
          <w:w w:val="105"/>
        </w:rPr>
        <w:t>se</w:t>
      </w:r>
      <w:r>
        <w:rPr>
          <w:color w:val="231F20"/>
          <w:spacing w:val="-7"/>
          <w:w w:val="105"/>
        </w:rPr>
        <w:t> </w:t>
      </w:r>
      <w:r>
        <w:rPr>
          <w:color w:val="231F20"/>
          <w:w w:val="105"/>
        </w:rPr>
        <w:t>trata</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sistema</w:t>
      </w:r>
      <w:r>
        <w:rPr>
          <w:color w:val="231F20"/>
          <w:spacing w:val="-7"/>
          <w:w w:val="105"/>
        </w:rPr>
        <w:t> </w:t>
      </w:r>
      <w:r>
        <w:rPr>
          <w:color w:val="231F20"/>
          <w:w w:val="105"/>
        </w:rPr>
        <w:t>electoral</w:t>
      </w:r>
      <w:r>
        <w:rPr>
          <w:color w:val="231F20"/>
          <w:spacing w:val="-7"/>
          <w:w w:val="105"/>
        </w:rPr>
        <w:t> </w:t>
      </w:r>
      <w:r>
        <w:rPr>
          <w:color w:val="231F20"/>
          <w:w w:val="105"/>
        </w:rPr>
        <w:t>con</w:t>
      </w:r>
      <w:r>
        <w:rPr>
          <w:color w:val="231F20"/>
          <w:spacing w:val="-7"/>
          <w:w w:val="105"/>
        </w:rPr>
        <w:t> </w:t>
      </w:r>
      <w:r>
        <w:rPr>
          <w:color w:val="231F20"/>
          <w:w w:val="105"/>
        </w:rPr>
        <w:t>dominante</w:t>
      </w:r>
      <w:r>
        <w:rPr>
          <w:color w:val="231F20"/>
          <w:spacing w:val="-7"/>
          <w:w w:val="105"/>
        </w:rPr>
        <w:t> </w:t>
      </w:r>
      <w:r>
        <w:rPr>
          <w:color w:val="231F20"/>
          <w:w w:val="105"/>
        </w:rPr>
        <w:t>mayoritario.</w:t>
      </w:r>
    </w:p>
    <w:p>
      <w:pPr>
        <w:pStyle w:val="BodyText"/>
        <w:spacing w:before="1"/>
        <w:rPr>
          <w:sz w:val="26"/>
        </w:rPr>
      </w:pPr>
    </w:p>
    <w:p>
      <w:pPr>
        <w:pStyle w:val="BodyText"/>
        <w:spacing w:line="285" w:lineRule="auto"/>
        <w:ind w:left="110" w:right="107"/>
        <w:jc w:val="both"/>
      </w:pPr>
      <w:r>
        <w:rPr>
          <w:color w:val="231F20"/>
          <w:w w:val="105"/>
        </w:rPr>
        <w:t>Para el periodo en estudio, el PRD gana las elecciones obteniendo 5736 votos, lo que equivalió</w:t>
      </w:r>
      <w:r>
        <w:rPr>
          <w:color w:val="231F20"/>
          <w:spacing w:val="-22"/>
          <w:w w:val="105"/>
        </w:rPr>
        <w:t> </w:t>
      </w:r>
      <w:r>
        <w:rPr>
          <w:color w:val="231F20"/>
          <w:w w:val="105"/>
        </w:rPr>
        <w:t>a</w:t>
      </w:r>
      <w:r>
        <w:rPr>
          <w:color w:val="231F20"/>
          <w:spacing w:val="-22"/>
          <w:w w:val="105"/>
        </w:rPr>
        <w:t> </w:t>
      </w:r>
      <w:r>
        <w:rPr>
          <w:color w:val="231F20"/>
          <w:spacing w:val="-4"/>
          <w:w w:val="105"/>
        </w:rPr>
        <w:t>37.58%</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votación</w:t>
      </w:r>
      <w:r>
        <w:rPr>
          <w:color w:val="231F20"/>
          <w:spacing w:val="-22"/>
          <w:w w:val="105"/>
        </w:rPr>
        <w:t> </w:t>
      </w:r>
      <w:r>
        <w:rPr>
          <w:color w:val="231F20"/>
          <w:w w:val="105"/>
        </w:rPr>
        <w:t>total</w:t>
      </w:r>
      <w:r>
        <w:rPr>
          <w:color w:val="231F20"/>
          <w:spacing w:val="-22"/>
          <w:w w:val="105"/>
        </w:rPr>
        <w:t> </w:t>
      </w:r>
      <w:r>
        <w:rPr>
          <w:color w:val="231F20"/>
          <w:w w:val="105"/>
        </w:rPr>
        <w:t>emitida.</w:t>
      </w:r>
      <w:r>
        <w:rPr>
          <w:color w:val="231F20"/>
          <w:spacing w:val="-22"/>
          <w:w w:val="105"/>
        </w:rPr>
        <w:t> </w:t>
      </w:r>
      <w:r>
        <w:rPr>
          <w:color w:val="231F20"/>
          <w:w w:val="105"/>
        </w:rPr>
        <w:t>Con</w:t>
      </w:r>
      <w:r>
        <w:rPr>
          <w:color w:val="231F20"/>
          <w:spacing w:val="-22"/>
          <w:w w:val="105"/>
        </w:rPr>
        <w:t> </w:t>
      </w:r>
      <w:r>
        <w:rPr>
          <w:color w:val="231F20"/>
          <w:w w:val="105"/>
        </w:rPr>
        <w:t>este</w:t>
      </w:r>
      <w:r>
        <w:rPr>
          <w:color w:val="231F20"/>
          <w:spacing w:val="-22"/>
          <w:w w:val="105"/>
        </w:rPr>
        <w:t> </w:t>
      </w:r>
      <w:r>
        <w:rPr>
          <w:color w:val="231F20"/>
          <w:w w:val="105"/>
        </w:rPr>
        <w:t>porcentaje,</w:t>
      </w:r>
      <w:r>
        <w:rPr>
          <w:color w:val="231F20"/>
          <w:spacing w:val="-22"/>
          <w:w w:val="105"/>
        </w:rPr>
        <w:t> </w:t>
      </w:r>
      <w:r>
        <w:rPr>
          <w:color w:val="231F20"/>
          <w:w w:val="105"/>
        </w:rPr>
        <w:t>el</w:t>
      </w:r>
      <w:r>
        <w:rPr>
          <w:color w:val="231F20"/>
          <w:spacing w:val="-22"/>
          <w:w w:val="105"/>
        </w:rPr>
        <w:t> </w:t>
      </w:r>
      <w:r>
        <w:rPr>
          <w:color w:val="231F20"/>
          <w:w w:val="105"/>
        </w:rPr>
        <w:t>partido</w:t>
      </w:r>
      <w:r>
        <w:rPr>
          <w:color w:val="231F20"/>
          <w:spacing w:val="-22"/>
          <w:w w:val="105"/>
        </w:rPr>
        <w:t> </w:t>
      </w:r>
      <w:r>
        <w:rPr>
          <w:color w:val="231F20"/>
          <w:w w:val="105"/>
        </w:rPr>
        <w:t>que</w:t>
      </w:r>
      <w:r>
        <w:rPr>
          <w:color w:val="231F20"/>
          <w:spacing w:val="-22"/>
          <w:w w:val="105"/>
        </w:rPr>
        <w:t> </w:t>
      </w:r>
      <w:r>
        <w:rPr>
          <w:color w:val="231F20"/>
          <w:w w:val="105"/>
        </w:rPr>
        <w:t>obtu- vo</w:t>
      </w:r>
      <w:r>
        <w:rPr>
          <w:color w:val="231F20"/>
          <w:spacing w:val="-18"/>
          <w:w w:val="105"/>
        </w:rPr>
        <w:t> </w:t>
      </w:r>
      <w:r>
        <w:rPr>
          <w:color w:val="231F20"/>
          <w:w w:val="105"/>
        </w:rPr>
        <w:t>la</w:t>
      </w:r>
      <w:r>
        <w:rPr>
          <w:color w:val="231F20"/>
          <w:spacing w:val="-18"/>
          <w:w w:val="105"/>
        </w:rPr>
        <w:t> </w:t>
      </w:r>
      <w:r>
        <w:rPr>
          <w:color w:val="231F20"/>
          <w:w w:val="105"/>
        </w:rPr>
        <w:t>mayoría,</w:t>
      </w:r>
      <w:r>
        <w:rPr>
          <w:color w:val="231F20"/>
          <w:spacing w:val="-18"/>
          <w:w w:val="105"/>
        </w:rPr>
        <w:t> </w:t>
      </w:r>
      <w:r>
        <w:rPr>
          <w:color w:val="231F20"/>
          <w:w w:val="105"/>
        </w:rPr>
        <w:t>el</w:t>
      </w:r>
      <w:r>
        <w:rPr>
          <w:color w:val="231F20"/>
          <w:spacing w:val="-18"/>
          <w:w w:val="105"/>
        </w:rPr>
        <w:t> </w:t>
      </w:r>
      <w:r>
        <w:rPr>
          <w:color w:val="231F20"/>
          <w:spacing w:val="-3"/>
          <w:w w:val="105"/>
        </w:rPr>
        <w:t>PRD,</w:t>
      </w:r>
      <w:r>
        <w:rPr>
          <w:color w:val="231F20"/>
          <w:spacing w:val="-18"/>
          <w:w w:val="105"/>
        </w:rPr>
        <w:t> </w:t>
      </w:r>
      <w:r>
        <w:rPr>
          <w:color w:val="231F20"/>
          <w:w w:val="105"/>
        </w:rPr>
        <w:t>ganó</w:t>
      </w:r>
      <w:r>
        <w:rPr>
          <w:color w:val="231F20"/>
          <w:spacing w:val="-18"/>
          <w:w w:val="105"/>
        </w:rPr>
        <w:t> </w:t>
      </w:r>
      <w:r>
        <w:rPr>
          <w:color w:val="231F20"/>
          <w:w w:val="105"/>
        </w:rPr>
        <w:t>8</w:t>
      </w:r>
      <w:r>
        <w:rPr>
          <w:color w:val="231F20"/>
          <w:spacing w:val="-18"/>
          <w:w w:val="105"/>
        </w:rPr>
        <w:t> </w:t>
      </w:r>
      <w:r>
        <w:rPr>
          <w:color w:val="231F20"/>
          <w:w w:val="105"/>
        </w:rPr>
        <w:t>lugares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integración</w:t>
      </w:r>
      <w:r>
        <w:rPr>
          <w:color w:val="231F20"/>
          <w:spacing w:val="-18"/>
          <w:w w:val="105"/>
        </w:rPr>
        <w:t> </w:t>
      </w:r>
      <w:r>
        <w:rPr>
          <w:color w:val="231F20"/>
          <w:w w:val="105"/>
        </w:rPr>
        <w:t>del</w:t>
      </w:r>
      <w:r>
        <w:rPr>
          <w:color w:val="231F20"/>
          <w:spacing w:val="-18"/>
          <w:w w:val="105"/>
        </w:rPr>
        <w:t> </w:t>
      </w:r>
      <w:r>
        <w:rPr>
          <w:color w:val="231F20"/>
          <w:w w:val="105"/>
        </w:rPr>
        <w:t>Ayuntamiento.</w:t>
      </w:r>
      <w:r>
        <w:rPr>
          <w:color w:val="231F20"/>
          <w:spacing w:val="-18"/>
          <w:w w:val="105"/>
        </w:rPr>
        <w:t> </w:t>
      </w:r>
      <w:r>
        <w:rPr>
          <w:color w:val="231F20"/>
          <w:w w:val="105"/>
        </w:rPr>
        <w:t>El</w:t>
      </w:r>
      <w:r>
        <w:rPr>
          <w:color w:val="231F20"/>
          <w:spacing w:val="-18"/>
          <w:w w:val="105"/>
        </w:rPr>
        <w:t> </w:t>
      </w:r>
      <w:r>
        <w:rPr>
          <w:color w:val="231F20"/>
          <w:w w:val="105"/>
        </w:rPr>
        <w:t>resto,</w:t>
      </w:r>
      <w:r>
        <w:rPr>
          <w:color w:val="231F20"/>
          <w:spacing w:val="-18"/>
          <w:w w:val="105"/>
        </w:rPr>
        <w:t> </w:t>
      </w:r>
      <w:r>
        <w:rPr>
          <w:color w:val="231F20"/>
          <w:w w:val="105"/>
        </w:rPr>
        <w:t>cua- tro</w:t>
      </w:r>
      <w:r>
        <w:rPr>
          <w:color w:val="231F20"/>
          <w:spacing w:val="-21"/>
          <w:w w:val="105"/>
        </w:rPr>
        <w:t> </w:t>
      </w:r>
      <w:r>
        <w:rPr>
          <w:color w:val="231F20"/>
          <w:w w:val="105"/>
        </w:rPr>
        <w:t>regidores</w:t>
      </w:r>
      <w:r>
        <w:rPr>
          <w:color w:val="231F20"/>
          <w:spacing w:val="-21"/>
          <w:w w:val="105"/>
        </w:rPr>
        <w:t> </w:t>
      </w:r>
      <w:r>
        <w:rPr>
          <w:color w:val="231F20"/>
          <w:w w:val="105"/>
        </w:rPr>
        <w:t>por</w:t>
      </w:r>
      <w:r>
        <w:rPr>
          <w:color w:val="231F20"/>
          <w:spacing w:val="-21"/>
          <w:w w:val="105"/>
        </w:rPr>
        <w:t> </w:t>
      </w:r>
      <w:r>
        <w:rPr>
          <w:color w:val="231F20"/>
          <w:w w:val="105"/>
        </w:rPr>
        <w:t>representación</w:t>
      </w:r>
      <w:r>
        <w:rPr>
          <w:color w:val="231F20"/>
          <w:spacing w:val="-21"/>
          <w:w w:val="105"/>
        </w:rPr>
        <w:t> </w:t>
      </w:r>
      <w:r>
        <w:rPr>
          <w:color w:val="231F20"/>
          <w:w w:val="105"/>
        </w:rPr>
        <w:t>proporcional,</w:t>
      </w:r>
      <w:r>
        <w:rPr>
          <w:color w:val="231F20"/>
          <w:spacing w:val="-21"/>
          <w:w w:val="105"/>
        </w:rPr>
        <w:t> </w:t>
      </w:r>
      <w:r>
        <w:rPr>
          <w:color w:val="231F20"/>
          <w:w w:val="105"/>
        </w:rPr>
        <w:t>corresponden</w:t>
      </w:r>
      <w:r>
        <w:rPr>
          <w:color w:val="231F20"/>
          <w:spacing w:val="-21"/>
          <w:w w:val="105"/>
        </w:rPr>
        <w:t> </w:t>
      </w:r>
      <w:r>
        <w:rPr>
          <w:color w:val="231F20"/>
          <w:w w:val="105"/>
        </w:rPr>
        <w:t>dos</w:t>
      </w:r>
      <w:r>
        <w:rPr>
          <w:color w:val="231F20"/>
          <w:spacing w:val="-21"/>
          <w:w w:val="105"/>
        </w:rPr>
        <w:t> </w:t>
      </w:r>
      <w:r>
        <w:rPr>
          <w:color w:val="231F20"/>
          <w:spacing w:val="2"/>
          <w:w w:val="105"/>
        </w:rPr>
        <w:t>al</w:t>
      </w:r>
      <w:r>
        <w:rPr>
          <w:color w:val="231F20"/>
          <w:spacing w:val="-21"/>
          <w:w w:val="105"/>
        </w:rPr>
        <w:t> </w:t>
      </w:r>
      <w:r>
        <w:rPr>
          <w:color w:val="231F20"/>
          <w:w w:val="105"/>
        </w:rPr>
        <w:t>PRI</w:t>
      </w:r>
      <w:r>
        <w:rPr>
          <w:color w:val="231F20"/>
          <w:spacing w:val="-21"/>
          <w:w w:val="105"/>
        </w:rPr>
        <w:t> </w:t>
      </w:r>
      <w:r>
        <w:rPr>
          <w:color w:val="231F20"/>
          <w:w w:val="105"/>
        </w:rPr>
        <w:t>y</w:t>
      </w:r>
      <w:r>
        <w:rPr>
          <w:color w:val="231F20"/>
          <w:spacing w:val="-21"/>
          <w:w w:val="105"/>
        </w:rPr>
        <w:t> </w:t>
      </w:r>
      <w:r>
        <w:rPr>
          <w:color w:val="231F20"/>
          <w:w w:val="105"/>
        </w:rPr>
        <w:t>dos</w:t>
      </w:r>
      <w:r>
        <w:rPr>
          <w:color w:val="231F20"/>
          <w:spacing w:val="-21"/>
          <w:w w:val="105"/>
        </w:rPr>
        <w:t> </w:t>
      </w:r>
      <w:r>
        <w:rPr>
          <w:color w:val="231F20"/>
          <w:spacing w:val="2"/>
          <w:w w:val="105"/>
        </w:rPr>
        <w:t>al</w:t>
      </w:r>
      <w:r>
        <w:rPr>
          <w:color w:val="231F20"/>
          <w:spacing w:val="-21"/>
          <w:w w:val="105"/>
        </w:rPr>
        <w:t> </w:t>
      </w:r>
      <w:r>
        <w:rPr>
          <w:color w:val="231F20"/>
          <w:spacing w:val="-4"/>
          <w:w w:val="105"/>
        </w:rPr>
        <w:t>PAN.</w:t>
      </w:r>
      <w:r>
        <w:rPr>
          <w:color w:val="231F20"/>
          <w:spacing w:val="-21"/>
          <w:w w:val="105"/>
        </w:rPr>
        <w:t> </w:t>
      </w:r>
      <w:r>
        <w:rPr>
          <w:color w:val="231F20"/>
          <w:w w:val="105"/>
        </w:rPr>
        <w:t>El 66%</w:t>
      </w:r>
      <w:r>
        <w:rPr>
          <w:color w:val="231F20"/>
          <w:spacing w:val="-13"/>
          <w:w w:val="105"/>
        </w:rPr>
        <w:t> </w:t>
      </w:r>
      <w:r>
        <w:rPr>
          <w:color w:val="231F20"/>
          <w:w w:val="105"/>
        </w:rPr>
        <w:t>del</w:t>
      </w:r>
      <w:r>
        <w:rPr>
          <w:color w:val="231F20"/>
          <w:spacing w:val="-13"/>
          <w:w w:val="105"/>
        </w:rPr>
        <w:t> </w:t>
      </w:r>
      <w:r>
        <w:rPr>
          <w:color w:val="231F20"/>
          <w:w w:val="105"/>
        </w:rPr>
        <w:t>ayuntamiento</w:t>
      </w:r>
      <w:r>
        <w:rPr>
          <w:color w:val="231F20"/>
          <w:spacing w:val="-13"/>
          <w:w w:val="105"/>
        </w:rPr>
        <w:t> </w:t>
      </w:r>
      <w:r>
        <w:rPr>
          <w:color w:val="231F20"/>
          <w:w w:val="105"/>
        </w:rPr>
        <w:t>está</w:t>
      </w:r>
      <w:r>
        <w:rPr>
          <w:color w:val="231F20"/>
          <w:spacing w:val="-13"/>
          <w:w w:val="105"/>
        </w:rPr>
        <w:t> </w:t>
      </w:r>
      <w:r>
        <w:rPr>
          <w:color w:val="231F20"/>
          <w:w w:val="105"/>
        </w:rPr>
        <w:t>en</w:t>
      </w:r>
      <w:r>
        <w:rPr>
          <w:color w:val="231F20"/>
          <w:spacing w:val="-13"/>
          <w:w w:val="105"/>
        </w:rPr>
        <w:t> </w:t>
      </w:r>
      <w:r>
        <w:rPr>
          <w:color w:val="231F20"/>
          <w:w w:val="105"/>
        </w:rPr>
        <w:t>manos</w:t>
      </w:r>
      <w:r>
        <w:rPr>
          <w:color w:val="231F20"/>
          <w:spacing w:val="-13"/>
          <w:w w:val="105"/>
        </w:rPr>
        <w:t> </w:t>
      </w:r>
      <w:r>
        <w:rPr>
          <w:color w:val="231F20"/>
          <w:w w:val="105"/>
        </w:rPr>
        <w:t>del</w:t>
      </w:r>
      <w:r>
        <w:rPr>
          <w:color w:val="231F20"/>
          <w:spacing w:val="-13"/>
          <w:w w:val="105"/>
        </w:rPr>
        <w:t> </w:t>
      </w:r>
      <w:r>
        <w:rPr>
          <w:color w:val="231F20"/>
          <w:w w:val="105"/>
        </w:rPr>
        <w:t>partido</w:t>
      </w:r>
      <w:r>
        <w:rPr>
          <w:color w:val="231F20"/>
          <w:spacing w:val="-13"/>
          <w:w w:val="105"/>
        </w:rPr>
        <w:t> </w:t>
      </w:r>
      <w:r>
        <w:rPr>
          <w:color w:val="231F20"/>
          <w:w w:val="105"/>
        </w:rPr>
        <w:t>que</w:t>
      </w:r>
      <w:r>
        <w:rPr>
          <w:color w:val="231F20"/>
          <w:spacing w:val="-13"/>
          <w:w w:val="105"/>
        </w:rPr>
        <w:t> </w:t>
      </w:r>
      <w:r>
        <w:rPr>
          <w:color w:val="231F20"/>
          <w:w w:val="105"/>
        </w:rPr>
        <w:t>ganó</w:t>
      </w:r>
      <w:r>
        <w:rPr>
          <w:color w:val="231F20"/>
          <w:spacing w:val="-13"/>
          <w:w w:val="105"/>
        </w:rPr>
        <w:t> </w:t>
      </w:r>
      <w:r>
        <w:rPr>
          <w:color w:val="231F20"/>
          <w:w w:val="105"/>
        </w:rPr>
        <w:t>las</w:t>
      </w:r>
      <w:r>
        <w:rPr>
          <w:color w:val="231F20"/>
          <w:spacing w:val="-13"/>
          <w:w w:val="105"/>
        </w:rPr>
        <w:t> </w:t>
      </w:r>
      <w:r>
        <w:rPr>
          <w:color w:val="231F20"/>
          <w:w w:val="105"/>
        </w:rPr>
        <w:t>elecciones.</w:t>
      </w:r>
      <w:r>
        <w:rPr>
          <w:color w:val="231F20"/>
          <w:spacing w:val="-13"/>
          <w:w w:val="105"/>
        </w:rPr>
        <w:t> </w:t>
      </w:r>
      <w:r>
        <w:rPr>
          <w:color w:val="231F20"/>
          <w:w w:val="105"/>
        </w:rPr>
        <w:t>Aquí,</w:t>
      </w:r>
      <w:r>
        <w:rPr>
          <w:color w:val="231F20"/>
          <w:spacing w:val="-13"/>
          <w:w w:val="105"/>
        </w:rPr>
        <w:t> </w:t>
      </w:r>
      <w:r>
        <w:rPr>
          <w:color w:val="231F20"/>
          <w:spacing w:val="-3"/>
          <w:w w:val="105"/>
        </w:rPr>
        <w:t>confor- </w:t>
      </w:r>
      <w:r>
        <w:rPr>
          <w:color w:val="231F20"/>
          <w:w w:val="105"/>
        </w:rPr>
        <w:t>me</w:t>
      </w:r>
      <w:r>
        <w:rPr>
          <w:color w:val="231F20"/>
          <w:spacing w:val="-6"/>
          <w:w w:val="105"/>
        </w:rPr>
        <w:t> </w:t>
      </w:r>
      <w:r>
        <w:rPr>
          <w:color w:val="231F20"/>
          <w:w w:val="105"/>
        </w:rPr>
        <w:t>a</w:t>
      </w:r>
      <w:r>
        <w:rPr>
          <w:color w:val="231F20"/>
          <w:spacing w:val="-6"/>
          <w:w w:val="105"/>
        </w:rPr>
        <w:t> </w:t>
      </w:r>
      <w:r>
        <w:rPr>
          <w:color w:val="231F20"/>
          <w:w w:val="105"/>
        </w:rPr>
        <w:t>este</w:t>
      </w:r>
      <w:r>
        <w:rPr>
          <w:color w:val="231F20"/>
          <w:spacing w:val="-6"/>
          <w:w w:val="105"/>
        </w:rPr>
        <w:t> </w:t>
      </w:r>
      <w:r>
        <w:rPr>
          <w:color w:val="231F20"/>
          <w:w w:val="105"/>
        </w:rPr>
        <w:t>sistema</w:t>
      </w:r>
      <w:r>
        <w:rPr>
          <w:color w:val="231F20"/>
          <w:spacing w:val="-6"/>
          <w:w w:val="105"/>
        </w:rPr>
        <w:t> </w:t>
      </w:r>
      <w:r>
        <w:rPr>
          <w:color w:val="231F20"/>
          <w:w w:val="105"/>
        </w:rPr>
        <w:t>electoral</w:t>
      </w:r>
      <w:r>
        <w:rPr>
          <w:color w:val="231F20"/>
          <w:spacing w:val="-6"/>
          <w:w w:val="105"/>
        </w:rPr>
        <w:t> </w:t>
      </w:r>
      <w:r>
        <w:rPr>
          <w:color w:val="231F20"/>
          <w:w w:val="105"/>
        </w:rPr>
        <w:t>hay</w:t>
      </w:r>
      <w:r>
        <w:rPr>
          <w:color w:val="231F20"/>
          <w:spacing w:val="-6"/>
          <w:w w:val="105"/>
        </w:rPr>
        <w:t> </w:t>
      </w:r>
      <w:r>
        <w:rPr>
          <w:color w:val="231F20"/>
          <w:w w:val="105"/>
        </w:rPr>
        <w:t>una</w:t>
      </w:r>
      <w:r>
        <w:rPr>
          <w:color w:val="231F20"/>
          <w:spacing w:val="-6"/>
          <w:w w:val="105"/>
        </w:rPr>
        <w:t> </w:t>
      </w:r>
      <w:r>
        <w:rPr>
          <w:color w:val="231F20"/>
          <w:w w:val="105"/>
        </w:rPr>
        <w:t>desproporcionalidad</w:t>
      </w:r>
      <w:r>
        <w:rPr>
          <w:color w:val="231F20"/>
          <w:spacing w:val="-6"/>
          <w:w w:val="105"/>
        </w:rPr>
        <w:t> </w:t>
      </w:r>
      <w:r>
        <w:rPr>
          <w:color w:val="231F20"/>
          <w:w w:val="105"/>
        </w:rPr>
        <w:t>alta</w:t>
      </w:r>
      <w:r>
        <w:rPr>
          <w:color w:val="231F20"/>
          <w:spacing w:val="-6"/>
          <w:w w:val="105"/>
        </w:rPr>
        <w:t> </w:t>
      </w:r>
      <w:r>
        <w:rPr>
          <w:color w:val="231F20"/>
          <w:w w:val="105"/>
        </w:rPr>
        <w:t>entre</w:t>
      </w:r>
      <w:r>
        <w:rPr>
          <w:color w:val="231F20"/>
          <w:spacing w:val="-6"/>
          <w:w w:val="105"/>
        </w:rPr>
        <w:t> </w:t>
      </w:r>
      <w:r>
        <w:rPr>
          <w:color w:val="231F20"/>
          <w:w w:val="105"/>
        </w:rPr>
        <w:t>la</w:t>
      </w:r>
      <w:r>
        <w:rPr>
          <w:color w:val="231F20"/>
          <w:spacing w:val="-6"/>
          <w:w w:val="105"/>
        </w:rPr>
        <w:t> </w:t>
      </w:r>
      <w:r>
        <w:rPr>
          <w:color w:val="231F20"/>
          <w:w w:val="105"/>
        </w:rPr>
        <w:t>fórmula</w:t>
      </w:r>
      <w:r>
        <w:rPr>
          <w:color w:val="231F20"/>
          <w:spacing w:val="-6"/>
          <w:w w:val="105"/>
        </w:rPr>
        <w:t> </w:t>
      </w:r>
      <w:r>
        <w:rPr>
          <w:color w:val="231F20"/>
          <w:w w:val="105"/>
        </w:rPr>
        <w:t>electoral y</w:t>
      </w:r>
      <w:r>
        <w:rPr>
          <w:color w:val="231F20"/>
          <w:spacing w:val="-8"/>
          <w:w w:val="105"/>
        </w:rPr>
        <w:t> </w:t>
      </w:r>
      <w:r>
        <w:rPr>
          <w:color w:val="231F20"/>
          <w:w w:val="105"/>
        </w:rPr>
        <w:t>la</w:t>
      </w:r>
      <w:r>
        <w:rPr>
          <w:color w:val="231F20"/>
          <w:spacing w:val="-8"/>
          <w:w w:val="105"/>
        </w:rPr>
        <w:t> </w:t>
      </w:r>
      <w:r>
        <w:rPr>
          <w:color w:val="231F20"/>
          <w:w w:val="105"/>
        </w:rPr>
        <w:t>conversión</w:t>
      </w:r>
      <w:r>
        <w:rPr>
          <w:color w:val="231F20"/>
          <w:spacing w:val="-8"/>
          <w:w w:val="105"/>
        </w:rPr>
        <w:t> </w:t>
      </w:r>
      <w:r>
        <w:rPr>
          <w:color w:val="231F20"/>
          <w:w w:val="105"/>
        </w:rPr>
        <w:t>a</w:t>
      </w:r>
      <w:r>
        <w:rPr>
          <w:color w:val="231F20"/>
          <w:spacing w:val="-8"/>
          <w:w w:val="105"/>
        </w:rPr>
        <w:t> </w:t>
      </w:r>
      <w:r>
        <w:rPr>
          <w:color w:val="231F20"/>
          <w:w w:val="105"/>
        </w:rPr>
        <w:t>gobierno,</w:t>
      </w:r>
      <w:r>
        <w:rPr>
          <w:color w:val="231F20"/>
          <w:spacing w:val="-8"/>
          <w:w w:val="105"/>
        </w:rPr>
        <w:t> </w:t>
      </w:r>
      <w:r>
        <w:rPr>
          <w:color w:val="231F20"/>
          <w:w w:val="105"/>
        </w:rPr>
        <w:t>entre</w:t>
      </w:r>
      <w:r>
        <w:rPr>
          <w:color w:val="231F20"/>
          <w:spacing w:val="-8"/>
          <w:w w:val="105"/>
        </w:rPr>
        <w:t> </w:t>
      </w:r>
      <w:r>
        <w:rPr>
          <w:color w:val="231F20"/>
          <w:w w:val="105"/>
        </w:rPr>
        <w:t>el</w:t>
      </w:r>
      <w:r>
        <w:rPr>
          <w:color w:val="231F20"/>
          <w:spacing w:val="-8"/>
          <w:w w:val="105"/>
        </w:rPr>
        <w:t> </w:t>
      </w:r>
      <w:r>
        <w:rPr>
          <w:color w:val="231F20"/>
          <w:w w:val="105"/>
        </w:rPr>
        <w:t>resultado</w:t>
      </w:r>
      <w:r>
        <w:rPr>
          <w:color w:val="231F20"/>
          <w:spacing w:val="-8"/>
          <w:w w:val="105"/>
        </w:rPr>
        <w:t> </w:t>
      </w:r>
      <w:r>
        <w:rPr>
          <w:color w:val="231F20"/>
          <w:w w:val="105"/>
        </w:rPr>
        <w:t>electoral</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conformación</w:t>
      </w:r>
      <w:r>
        <w:rPr>
          <w:color w:val="231F20"/>
          <w:spacing w:val="-8"/>
          <w:w w:val="105"/>
        </w:rPr>
        <w:t> </w:t>
      </w:r>
      <w:r>
        <w:rPr>
          <w:color w:val="231F20"/>
          <w:w w:val="105"/>
        </w:rPr>
        <w:t>del</w:t>
      </w:r>
      <w:r>
        <w:rPr>
          <w:color w:val="231F20"/>
          <w:spacing w:val="-8"/>
          <w:w w:val="105"/>
        </w:rPr>
        <w:t> </w:t>
      </w:r>
      <w:r>
        <w:rPr>
          <w:color w:val="231F20"/>
          <w:spacing w:val="-3"/>
          <w:w w:val="105"/>
        </w:rPr>
        <w:t>gobierno. </w:t>
      </w:r>
      <w:r>
        <w:rPr>
          <w:color w:val="231F20"/>
          <w:w w:val="105"/>
        </w:rPr>
        <w:t>Visto esto desde el formato de partidos y utilizando un logaritmo que nos auxilie para medir la presencia de partidos en la elección y en la composición del gobierno muni- cipal, compuesto por el NP de Juan Molinar </w:t>
      </w:r>
      <w:r>
        <w:rPr>
          <w:color w:val="231F20"/>
          <w:spacing w:val="-7"/>
          <w:w w:val="105"/>
        </w:rPr>
        <w:t>(1991) </w:t>
      </w:r>
      <w:r>
        <w:rPr>
          <w:color w:val="231F20"/>
          <w:w w:val="105"/>
        </w:rPr>
        <w:t>y utilizado en otras ocasiones para medir</w:t>
      </w:r>
      <w:r>
        <w:rPr>
          <w:color w:val="231F20"/>
          <w:spacing w:val="-7"/>
          <w:w w:val="105"/>
        </w:rPr>
        <w:t> </w:t>
      </w:r>
      <w:r>
        <w:rPr>
          <w:color w:val="231F20"/>
          <w:w w:val="105"/>
        </w:rPr>
        <w:t>competitividad</w:t>
      </w:r>
      <w:r>
        <w:rPr>
          <w:color w:val="231F20"/>
          <w:spacing w:val="-7"/>
          <w:w w:val="105"/>
        </w:rPr>
        <w:t> </w:t>
      </w:r>
      <w:r>
        <w:rPr>
          <w:color w:val="231F20"/>
          <w:w w:val="105"/>
        </w:rPr>
        <w:t>electoral</w:t>
      </w:r>
      <w:r>
        <w:rPr>
          <w:color w:val="231F20"/>
          <w:spacing w:val="-7"/>
          <w:w w:val="105"/>
        </w:rPr>
        <w:t> </w:t>
      </w:r>
      <w:r>
        <w:rPr>
          <w:color w:val="231F20"/>
          <w:w w:val="105"/>
        </w:rPr>
        <w:t>junto</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MV</w:t>
      </w:r>
      <w:r>
        <w:rPr>
          <w:color w:val="231F20"/>
          <w:spacing w:val="-7"/>
          <w:w w:val="105"/>
        </w:rPr>
        <w:t> </w:t>
      </w:r>
      <w:r>
        <w:rPr>
          <w:color w:val="231F20"/>
          <w:w w:val="105"/>
        </w:rPr>
        <w:t>definimos</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formato</w:t>
      </w:r>
      <w:r>
        <w:rPr>
          <w:color w:val="231F20"/>
          <w:spacing w:val="-7"/>
          <w:w w:val="105"/>
        </w:rPr>
        <w:t> </w:t>
      </w:r>
      <w:r>
        <w:rPr>
          <w:color w:val="231F20"/>
          <w:w w:val="105"/>
        </w:rPr>
        <w:t>de</w:t>
      </w:r>
      <w:r>
        <w:rPr>
          <w:color w:val="231F20"/>
          <w:spacing w:val="-7"/>
          <w:w w:val="105"/>
        </w:rPr>
        <w:t> </w:t>
      </w:r>
      <w:r>
        <w:rPr>
          <w:color w:val="231F20"/>
          <w:w w:val="105"/>
        </w:rPr>
        <w:t>par- tido</w:t>
      </w:r>
      <w:r>
        <w:rPr>
          <w:color w:val="231F20"/>
          <w:spacing w:val="-9"/>
          <w:w w:val="105"/>
        </w:rPr>
        <w:t> </w:t>
      </w:r>
      <w:r>
        <w:rPr>
          <w:color w:val="231F20"/>
          <w:w w:val="105"/>
        </w:rPr>
        <w:t>(Sánchez,</w:t>
      </w:r>
      <w:r>
        <w:rPr>
          <w:color w:val="231F20"/>
          <w:spacing w:val="-9"/>
          <w:w w:val="105"/>
        </w:rPr>
        <w:t> </w:t>
      </w:r>
      <w:r>
        <w:rPr>
          <w:color w:val="231F20"/>
          <w:w w:val="105"/>
        </w:rPr>
        <w:t>2008).</w:t>
      </w:r>
      <w:r>
        <w:rPr>
          <w:color w:val="231F20"/>
          <w:spacing w:val="-9"/>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w w:val="105"/>
        </w:rPr>
        <w:t>sentido</w:t>
      </w:r>
      <w:r>
        <w:rPr>
          <w:color w:val="231F20"/>
          <w:spacing w:val="-9"/>
          <w:w w:val="105"/>
        </w:rPr>
        <w:t> </w:t>
      </w:r>
      <w:r>
        <w:rPr>
          <w:color w:val="231F20"/>
          <w:w w:val="105"/>
        </w:rPr>
        <w:t>el</w:t>
      </w:r>
      <w:r>
        <w:rPr>
          <w:color w:val="231F20"/>
          <w:spacing w:val="-9"/>
          <w:w w:val="105"/>
        </w:rPr>
        <w:t> </w:t>
      </w:r>
      <w:r>
        <w:rPr>
          <w:color w:val="231F20"/>
          <w:w w:val="105"/>
        </w:rPr>
        <w:t>NP</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elección</w:t>
      </w:r>
      <w:r>
        <w:rPr>
          <w:color w:val="231F20"/>
          <w:spacing w:val="-9"/>
          <w:w w:val="105"/>
        </w:rPr>
        <w:t> </w:t>
      </w:r>
      <w:r>
        <w:rPr>
          <w:color w:val="231F20"/>
          <w:w w:val="105"/>
        </w:rPr>
        <w:t>del</w:t>
      </w:r>
      <w:r>
        <w:rPr>
          <w:color w:val="231F20"/>
          <w:spacing w:val="-9"/>
          <w:w w:val="105"/>
        </w:rPr>
        <w:t> </w:t>
      </w:r>
      <w:r>
        <w:rPr>
          <w:color w:val="231F20"/>
          <w:w w:val="105"/>
        </w:rPr>
        <w:t>año</w:t>
      </w:r>
      <w:r>
        <w:rPr>
          <w:color w:val="231F20"/>
          <w:spacing w:val="-9"/>
          <w:w w:val="105"/>
        </w:rPr>
        <w:t> </w:t>
      </w:r>
      <w:r>
        <w:rPr>
          <w:color w:val="231F20"/>
          <w:spacing w:val="3"/>
          <w:w w:val="105"/>
        </w:rPr>
        <w:t>2006</w:t>
      </w:r>
      <w:r>
        <w:rPr>
          <w:color w:val="231F20"/>
          <w:spacing w:val="-9"/>
          <w:w w:val="105"/>
        </w:rPr>
        <w:t> </w:t>
      </w:r>
      <w:r>
        <w:rPr>
          <w:color w:val="231F20"/>
          <w:w w:val="105"/>
        </w:rPr>
        <w:t>es</w:t>
      </w:r>
      <w:r>
        <w:rPr>
          <w:color w:val="231F20"/>
          <w:spacing w:val="-9"/>
          <w:w w:val="105"/>
        </w:rPr>
        <w:t> </w:t>
      </w:r>
      <w:r>
        <w:rPr>
          <w:color w:val="231F20"/>
          <w:w w:val="105"/>
        </w:rPr>
        <w:t>igual</w:t>
      </w:r>
      <w:r>
        <w:rPr>
          <w:color w:val="231F20"/>
          <w:spacing w:val="-9"/>
          <w:w w:val="105"/>
        </w:rPr>
        <w:t> </w:t>
      </w:r>
      <w:r>
        <w:rPr>
          <w:color w:val="231F20"/>
          <w:w w:val="105"/>
        </w:rPr>
        <w:t>a</w:t>
      </w:r>
      <w:r>
        <w:rPr>
          <w:color w:val="231F20"/>
          <w:spacing w:val="-9"/>
          <w:w w:val="105"/>
        </w:rPr>
        <w:t> </w:t>
      </w:r>
      <w:r>
        <w:rPr>
          <w:color w:val="231F20"/>
          <w:w w:val="105"/>
        </w:rPr>
        <w:t>2.66, con un formato multipartidista. Mientras que el NP en el ayuntamiento es de 1.22 con un formato de partido dominante. Entonces, en la elección hubo alta competitividad pero</w:t>
      </w:r>
      <w:r>
        <w:rPr>
          <w:color w:val="231F20"/>
          <w:spacing w:val="-10"/>
          <w:w w:val="105"/>
        </w:rPr>
        <w:t> </w:t>
      </w:r>
      <w:r>
        <w:rPr>
          <w:color w:val="231F20"/>
          <w:w w:val="105"/>
        </w:rPr>
        <w:t>esta</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mantiene</w:t>
      </w:r>
      <w:r>
        <w:rPr>
          <w:color w:val="231F20"/>
          <w:spacing w:val="-10"/>
          <w:w w:val="105"/>
        </w:rPr>
        <w:t> </w:t>
      </w:r>
      <w:r>
        <w:rPr>
          <w:color w:val="231F20"/>
          <w:w w:val="105"/>
        </w:rPr>
        <w:t>para</w:t>
      </w:r>
      <w:r>
        <w:rPr>
          <w:color w:val="231F20"/>
          <w:spacing w:val="-10"/>
          <w:w w:val="105"/>
        </w:rPr>
        <w:t> </w:t>
      </w:r>
      <w:r>
        <w:rPr>
          <w:color w:val="231F20"/>
          <w:w w:val="105"/>
        </w:rPr>
        <w:t>la</w:t>
      </w:r>
      <w:r>
        <w:rPr>
          <w:color w:val="231F20"/>
          <w:spacing w:val="-10"/>
          <w:w w:val="105"/>
        </w:rPr>
        <w:t> </w:t>
      </w:r>
      <w:r>
        <w:rPr>
          <w:color w:val="231F20"/>
          <w:w w:val="105"/>
        </w:rPr>
        <w:t>integración</w:t>
      </w:r>
      <w:r>
        <w:rPr>
          <w:color w:val="231F20"/>
          <w:spacing w:val="-10"/>
          <w:w w:val="105"/>
        </w:rPr>
        <w:t> </w:t>
      </w:r>
      <w:r>
        <w:rPr>
          <w:color w:val="231F20"/>
          <w:w w:val="105"/>
        </w:rPr>
        <w:t>del</w:t>
      </w:r>
      <w:r>
        <w:rPr>
          <w:color w:val="231F20"/>
          <w:spacing w:val="-10"/>
          <w:w w:val="105"/>
        </w:rPr>
        <w:t> </w:t>
      </w:r>
      <w:r>
        <w:rPr>
          <w:color w:val="231F20"/>
          <w:w w:val="105"/>
        </w:rPr>
        <w:t>ayuntamiento.</w:t>
      </w:r>
      <w:r>
        <w:rPr>
          <w:color w:val="231F20"/>
          <w:spacing w:val="-10"/>
          <w:w w:val="105"/>
        </w:rPr>
        <w:t> </w:t>
      </w:r>
      <w:r>
        <w:rPr>
          <w:color w:val="231F20"/>
          <w:w w:val="105"/>
        </w:rPr>
        <w:t>La</w:t>
      </w:r>
      <w:r>
        <w:rPr>
          <w:color w:val="231F20"/>
          <w:spacing w:val="-10"/>
          <w:w w:val="105"/>
        </w:rPr>
        <w:t> </w:t>
      </w:r>
      <w:r>
        <w:rPr>
          <w:color w:val="231F20"/>
          <w:w w:val="105"/>
        </w:rPr>
        <w:t>desproporcionalidad es</w:t>
      </w:r>
      <w:r>
        <w:rPr>
          <w:color w:val="231F20"/>
          <w:spacing w:val="-18"/>
          <w:w w:val="105"/>
        </w:rPr>
        <w:t> </w:t>
      </w:r>
      <w:r>
        <w:rPr>
          <w:color w:val="231F20"/>
          <w:w w:val="105"/>
        </w:rPr>
        <w:t>muy</w:t>
      </w:r>
      <w:r>
        <w:rPr>
          <w:color w:val="231F20"/>
          <w:spacing w:val="-18"/>
          <w:w w:val="105"/>
        </w:rPr>
        <w:t> </w:t>
      </w:r>
      <w:r>
        <w:rPr>
          <w:color w:val="231F20"/>
          <w:w w:val="105"/>
        </w:rPr>
        <w:t>alta,</w:t>
      </w:r>
      <w:r>
        <w:rPr>
          <w:color w:val="231F20"/>
          <w:spacing w:val="-18"/>
          <w:w w:val="105"/>
        </w:rPr>
        <w:t> </w:t>
      </w:r>
      <w:r>
        <w:rPr>
          <w:color w:val="231F20"/>
          <w:w w:val="105"/>
        </w:rPr>
        <w:t>derivada</w:t>
      </w:r>
      <w:r>
        <w:rPr>
          <w:color w:val="231F20"/>
          <w:spacing w:val="-18"/>
          <w:w w:val="105"/>
        </w:rPr>
        <w:t> </w:t>
      </w:r>
      <w:r>
        <w:rPr>
          <w:color w:val="231F20"/>
          <w:w w:val="105"/>
        </w:rPr>
        <w:t>del</w:t>
      </w:r>
      <w:r>
        <w:rPr>
          <w:color w:val="231F20"/>
          <w:spacing w:val="-18"/>
          <w:w w:val="105"/>
        </w:rPr>
        <w:t> </w:t>
      </w:r>
      <w:r>
        <w:rPr>
          <w:color w:val="231F20"/>
          <w:w w:val="105"/>
        </w:rPr>
        <w:t>sistema</w:t>
      </w:r>
      <w:r>
        <w:rPr>
          <w:color w:val="231F20"/>
          <w:spacing w:val="-18"/>
          <w:w w:val="105"/>
        </w:rPr>
        <w:t> </w:t>
      </w:r>
      <w:r>
        <w:rPr>
          <w:color w:val="231F20"/>
          <w:w w:val="105"/>
        </w:rPr>
        <w:t>electoral</w:t>
      </w:r>
      <w:r>
        <w:rPr>
          <w:color w:val="231F20"/>
          <w:spacing w:val="-18"/>
          <w:w w:val="105"/>
        </w:rPr>
        <w:t> </w:t>
      </w:r>
      <w:r>
        <w:rPr>
          <w:color w:val="231F20"/>
          <w:w w:val="105"/>
        </w:rPr>
        <w:t>por</w:t>
      </w:r>
      <w:r>
        <w:rPr>
          <w:color w:val="231F20"/>
          <w:spacing w:val="-18"/>
          <w:w w:val="105"/>
        </w:rPr>
        <w:t> </w:t>
      </w:r>
      <w:r>
        <w:rPr>
          <w:color w:val="231F20"/>
          <w:w w:val="105"/>
        </w:rPr>
        <w:t>una</w:t>
      </w:r>
      <w:r>
        <w:rPr>
          <w:color w:val="231F20"/>
          <w:spacing w:val="-18"/>
          <w:w w:val="105"/>
        </w:rPr>
        <w:t> </w:t>
      </w:r>
      <w:r>
        <w:rPr>
          <w:color w:val="231F20"/>
          <w:w w:val="105"/>
        </w:rPr>
        <w:t>supuesta</w:t>
      </w:r>
      <w:r>
        <w:rPr>
          <w:color w:val="231F20"/>
          <w:spacing w:val="-18"/>
          <w:w w:val="105"/>
        </w:rPr>
        <w:t> </w:t>
      </w:r>
      <w:r>
        <w:rPr>
          <w:color w:val="231F20"/>
          <w:w w:val="105"/>
        </w:rPr>
        <w:t>cláusula</w:t>
      </w:r>
      <w:r>
        <w:rPr>
          <w:color w:val="231F20"/>
          <w:spacing w:val="-18"/>
          <w:w w:val="105"/>
        </w:rPr>
        <w:t> </w:t>
      </w:r>
      <w:r>
        <w:rPr>
          <w:color w:val="231F20"/>
          <w:w w:val="105"/>
        </w:rPr>
        <w:t>de</w:t>
      </w:r>
      <w:r>
        <w:rPr>
          <w:color w:val="231F20"/>
          <w:spacing w:val="-18"/>
          <w:w w:val="105"/>
        </w:rPr>
        <w:t> </w:t>
      </w:r>
      <w:r>
        <w:rPr>
          <w:color w:val="231F20"/>
          <w:w w:val="105"/>
        </w:rPr>
        <w:t>gobernabilidad. Esta</w:t>
      </w:r>
      <w:r>
        <w:rPr>
          <w:color w:val="231F20"/>
          <w:spacing w:val="-20"/>
          <w:w w:val="105"/>
        </w:rPr>
        <w:t> </w:t>
      </w:r>
      <w:r>
        <w:rPr>
          <w:color w:val="231F20"/>
          <w:w w:val="105"/>
        </w:rPr>
        <w:t>situación</w:t>
      </w:r>
      <w:r>
        <w:rPr>
          <w:color w:val="231F20"/>
          <w:spacing w:val="-20"/>
          <w:w w:val="105"/>
        </w:rPr>
        <w:t> </w:t>
      </w:r>
      <w:r>
        <w:rPr>
          <w:color w:val="231F20"/>
          <w:w w:val="105"/>
        </w:rPr>
        <w:t>es</w:t>
      </w:r>
      <w:r>
        <w:rPr>
          <w:color w:val="231F20"/>
          <w:spacing w:val="-20"/>
          <w:w w:val="105"/>
        </w:rPr>
        <w:t> </w:t>
      </w:r>
      <w:r>
        <w:rPr>
          <w:color w:val="231F20"/>
          <w:w w:val="105"/>
        </w:rPr>
        <w:t>general</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México.</w:t>
      </w:r>
    </w:p>
    <w:p>
      <w:pPr>
        <w:pStyle w:val="BodyText"/>
        <w:spacing w:before="1"/>
        <w:rPr>
          <w:sz w:val="26"/>
        </w:rPr>
      </w:pPr>
    </w:p>
    <w:p>
      <w:pPr>
        <w:pStyle w:val="BodyText"/>
        <w:spacing w:line="285" w:lineRule="auto"/>
        <w:ind w:left="110" w:right="107"/>
        <w:jc w:val="both"/>
      </w:pPr>
      <w:r>
        <w:rPr>
          <w:color w:val="231F20"/>
          <w:w w:val="105"/>
        </w:rPr>
        <w:t>Así las cosas, el partido que gana se puede llevar todo, pues la conformación del gobierno le favorece en el diseño. El PRD en Amecameca cuenta con las dos terceras partes de la votación en un cabildo, órgano por donde pasan las propuestas para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convertirse en decisiones de gobierno.</w:t>
      </w:r>
    </w:p>
    <w:p>
      <w:pPr>
        <w:pStyle w:val="BodyText"/>
        <w:spacing w:before="2"/>
        <w:rPr>
          <w:sz w:val="30"/>
        </w:rPr>
      </w:pPr>
    </w:p>
    <w:p>
      <w:pPr>
        <w:pStyle w:val="BodyText"/>
        <w:spacing w:line="285" w:lineRule="auto"/>
        <w:ind w:left="110" w:right="107"/>
        <w:jc w:val="both"/>
      </w:pPr>
      <w:r>
        <w:rPr>
          <w:color w:val="231F20"/>
        </w:rPr>
        <w:t>El Partido de la </w:t>
      </w:r>
      <w:r>
        <w:rPr>
          <w:color w:val="231F20"/>
          <w:spacing w:val="-5"/>
        </w:rPr>
        <w:t>Revolución </w:t>
      </w:r>
      <w:r>
        <w:rPr>
          <w:color w:val="231F20"/>
          <w:spacing w:val="-3"/>
        </w:rPr>
        <w:t>Democrática había ganado </w:t>
      </w:r>
      <w:r>
        <w:rPr>
          <w:color w:val="231F20"/>
        </w:rPr>
        <w:t>la </w:t>
      </w:r>
      <w:r>
        <w:rPr>
          <w:color w:val="231F20"/>
          <w:spacing w:val="-4"/>
        </w:rPr>
        <w:t>elección </w:t>
      </w:r>
      <w:r>
        <w:rPr>
          <w:color w:val="231F20"/>
        </w:rPr>
        <w:t>en el año </w:t>
      </w:r>
      <w:r>
        <w:rPr>
          <w:color w:val="231F20"/>
          <w:spacing w:val="2"/>
        </w:rPr>
        <w:t>2000 </w:t>
      </w:r>
      <w:r>
        <w:rPr>
          <w:color w:val="231F20"/>
        </w:rPr>
        <w:t>y </w:t>
      </w:r>
      <w:r>
        <w:rPr>
          <w:color w:val="231F20"/>
          <w:spacing w:val="-3"/>
        </w:rPr>
        <w:t>go- bernó del </w:t>
      </w:r>
      <w:r>
        <w:rPr>
          <w:color w:val="231F20"/>
          <w:spacing w:val="2"/>
        </w:rPr>
        <w:t>2000 </w:t>
      </w:r>
      <w:r>
        <w:rPr>
          <w:color w:val="231F20"/>
        </w:rPr>
        <w:t>al 2003. En el </w:t>
      </w:r>
      <w:r>
        <w:rPr>
          <w:color w:val="231F20"/>
          <w:spacing w:val="-3"/>
        </w:rPr>
        <w:t>siguiente </w:t>
      </w:r>
      <w:r>
        <w:rPr>
          <w:color w:val="231F20"/>
        </w:rPr>
        <w:t>trienio (2003-2006) </w:t>
      </w:r>
      <w:r>
        <w:rPr>
          <w:color w:val="231F20"/>
          <w:spacing w:val="-4"/>
        </w:rPr>
        <w:t>gobernó </w:t>
      </w:r>
      <w:r>
        <w:rPr>
          <w:color w:val="231F20"/>
        </w:rPr>
        <w:t>el </w:t>
      </w:r>
      <w:r>
        <w:rPr>
          <w:color w:val="231F20"/>
          <w:spacing w:val="-5"/>
        </w:rPr>
        <w:t>PAN. </w:t>
      </w:r>
      <w:r>
        <w:rPr>
          <w:color w:val="231F20"/>
        </w:rPr>
        <w:t>El </w:t>
      </w:r>
      <w:r>
        <w:rPr>
          <w:color w:val="231F20"/>
          <w:spacing w:val="-3"/>
        </w:rPr>
        <w:t>municipio empezó </w:t>
      </w:r>
      <w:r>
        <w:rPr>
          <w:color w:val="231F20"/>
        </w:rPr>
        <w:t>su alternancia en el año 2000, aun cuando </w:t>
      </w:r>
      <w:r>
        <w:rPr>
          <w:color w:val="231F20"/>
          <w:spacing w:val="-3"/>
        </w:rPr>
        <w:t>los </w:t>
      </w:r>
      <w:r>
        <w:rPr>
          <w:color w:val="231F20"/>
        </w:rPr>
        <w:t>registros consignan </w:t>
      </w:r>
      <w:r>
        <w:rPr>
          <w:color w:val="231F20"/>
          <w:spacing w:val="-3"/>
        </w:rPr>
        <w:t>que </w:t>
      </w:r>
      <w:r>
        <w:rPr>
          <w:color w:val="231F20"/>
        </w:rPr>
        <w:t>en el año </w:t>
      </w:r>
      <w:r>
        <w:rPr>
          <w:color w:val="231F20"/>
          <w:spacing w:val="-4"/>
        </w:rPr>
        <w:t>1972 </w:t>
      </w:r>
      <w:r>
        <w:rPr>
          <w:color w:val="231F20"/>
          <w:spacing w:val="-3"/>
        </w:rPr>
        <w:t>había ganado </w:t>
      </w:r>
      <w:r>
        <w:rPr>
          <w:color w:val="231F20"/>
        </w:rPr>
        <w:t>el </w:t>
      </w:r>
      <w:r>
        <w:rPr>
          <w:color w:val="231F20"/>
          <w:spacing w:val="-6"/>
        </w:rPr>
        <w:t>PAN, </w:t>
      </w:r>
      <w:r>
        <w:rPr>
          <w:color w:val="231F20"/>
        </w:rPr>
        <w:t>en </w:t>
      </w:r>
      <w:r>
        <w:rPr>
          <w:color w:val="231F20"/>
          <w:spacing w:val="-3"/>
        </w:rPr>
        <w:t>realidad, </w:t>
      </w:r>
      <w:r>
        <w:rPr>
          <w:color w:val="231F20"/>
        </w:rPr>
        <w:t>la planilla </w:t>
      </w:r>
      <w:r>
        <w:rPr>
          <w:color w:val="231F20"/>
          <w:spacing w:val="-3"/>
        </w:rPr>
        <w:t>que </w:t>
      </w:r>
      <w:r>
        <w:rPr>
          <w:color w:val="231F20"/>
        </w:rPr>
        <w:t>en ese </w:t>
      </w:r>
      <w:r>
        <w:rPr>
          <w:color w:val="231F20"/>
          <w:spacing w:val="-4"/>
        </w:rPr>
        <w:t>entonces </w:t>
      </w:r>
      <w:r>
        <w:rPr>
          <w:color w:val="231F20"/>
        </w:rPr>
        <w:t>impulsaba el </w:t>
      </w:r>
      <w:r>
        <w:rPr>
          <w:color w:val="231F20"/>
          <w:spacing w:val="-6"/>
        </w:rPr>
        <w:t>PAN </w:t>
      </w:r>
      <w:r>
        <w:rPr>
          <w:color w:val="231F20"/>
        </w:rPr>
        <w:t>estaba </w:t>
      </w:r>
      <w:r>
        <w:rPr>
          <w:color w:val="231F20"/>
          <w:spacing w:val="-3"/>
        </w:rPr>
        <w:t>compuesta por </w:t>
      </w:r>
      <w:r>
        <w:rPr>
          <w:color w:val="231F20"/>
        </w:rPr>
        <w:t>príistas </w:t>
      </w:r>
      <w:r>
        <w:rPr>
          <w:color w:val="231F20"/>
          <w:spacing w:val="-3"/>
        </w:rPr>
        <w:t>que </w:t>
      </w:r>
      <w:r>
        <w:rPr>
          <w:color w:val="231F20"/>
          <w:spacing w:val="-4"/>
        </w:rPr>
        <w:t>habiendo encontrado </w:t>
      </w:r>
      <w:r>
        <w:rPr>
          <w:color w:val="231F20"/>
        </w:rPr>
        <w:t>la </w:t>
      </w:r>
      <w:r>
        <w:rPr>
          <w:color w:val="231F20"/>
          <w:spacing w:val="-4"/>
        </w:rPr>
        <w:t>negación </w:t>
      </w:r>
      <w:r>
        <w:rPr>
          <w:color w:val="231F20"/>
        </w:rPr>
        <w:t>de registro y nomina- </w:t>
      </w:r>
      <w:r>
        <w:rPr>
          <w:color w:val="231F20"/>
          <w:spacing w:val="-3"/>
        </w:rPr>
        <w:t>ción por </w:t>
      </w:r>
      <w:r>
        <w:rPr>
          <w:color w:val="231F20"/>
        </w:rPr>
        <w:t>parte </w:t>
      </w:r>
      <w:r>
        <w:rPr>
          <w:color w:val="231F20"/>
          <w:spacing w:val="-3"/>
        </w:rPr>
        <w:t>del </w:t>
      </w:r>
      <w:r>
        <w:rPr>
          <w:color w:val="231F20"/>
        </w:rPr>
        <w:t>PRI, y </w:t>
      </w:r>
      <w:r>
        <w:rPr>
          <w:color w:val="231F20"/>
          <w:spacing w:val="-3"/>
        </w:rPr>
        <w:t>con </w:t>
      </w:r>
      <w:r>
        <w:rPr>
          <w:color w:val="231F20"/>
        </w:rPr>
        <w:t>la luz </w:t>
      </w:r>
      <w:r>
        <w:rPr>
          <w:color w:val="231F20"/>
          <w:spacing w:val="-4"/>
        </w:rPr>
        <w:t>verde </w:t>
      </w:r>
      <w:r>
        <w:rPr>
          <w:color w:val="231F20"/>
          <w:spacing w:val="-3"/>
        </w:rPr>
        <w:t>del </w:t>
      </w:r>
      <w:r>
        <w:rPr>
          <w:color w:val="231F20"/>
          <w:spacing w:val="-5"/>
        </w:rPr>
        <w:t>gobernador, </w:t>
      </w:r>
      <w:r>
        <w:rPr>
          <w:color w:val="231F20"/>
        </w:rPr>
        <w:t>se registraron </w:t>
      </w:r>
      <w:r>
        <w:rPr>
          <w:color w:val="231F20"/>
          <w:spacing w:val="-3"/>
        </w:rPr>
        <w:t>por </w:t>
      </w:r>
      <w:r>
        <w:rPr>
          <w:color w:val="231F20"/>
        </w:rPr>
        <w:t>el </w:t>
      </w:r>
      <w:r>
        <w:rPr>
          <w:color w:val="231F20"/>
          <w:spacing w:val="-6"/>
        </w:rPr>
        <w:t>PAN, </w:t>
      </w:r>
      <w:r>
        <w:rPr>
          <w:color w:val="231F20"/>
          <w:spacing w:val="-3"/>
        </w:rPr>
        <w:t>pero nunca dejaron </w:t>
      </w:r>
      <w:r>
        <w:rPr>
          <w:color w:val="231F20"/>
        </w:rPr>
        <w:t>de </w:t>
      </w:r>
      <w:r>
        <w:rPr>
          <w:color w:val="231F20"/>
          <w:spacing w:val="-2"/>
        </w:rPr>
        <w:t>ser </w:t>
      </w:r>
      <w:r>
        <w:rPr>
          <w:color w:val="231F20"/>
        </w:rPr>
        <w:t>militantes </w:t>
      </w:r>
      <w:r>
        <w:rPr>
          <w:color w:val="231F20"/>
          <w:spacing w:val="-3"/>
        </w:rPr>
        <w:t>del </w:t>
      </w:r>
      <w:r>
        <w:rPr>
          <w:color w:val="231F20"/>
          <w:spacing w:val="-4"/>
        </w:rPr>
        <w:t>Revolucionario  </w:t>
      </w:r>
      <w:r>
        <w:rPr>
          <w:color w:val="231F20"/>
        </w:rPr>
        <w:t>Institucional. Este triunfo se </w:t>
      </w:r>
      <w:r>
        <w:rPr>
          <w:color w:val="231F20"/>
          <w:spacing w:val="-4"/>
        </w:rPr>
        <w:t>debió  </w:t>
      </w:r>
      <w:r>
        <w:rPr>
          <w:color w:val="231F20"/>
        </w:rPr>
        <w:t>a </w:t>
      </w:r>
      <w:r>
        <w:rPr>
          <w:color w:val="231F20"/>
          <w:spacing w:val="-3"/>
        </w:rPr>
        <w:t>que </w:t>
      </w:r>
      <w:r>
        <w:rPr>
          <w:color w:val="231F20"/>
        </w:rPr>
        <w:t>el candidato </w:t>
      </w:r>
      <w:r>
        <w:rPr>
          <w:color w:val="231F20"/>
          <w:spacing w:val="-3"/>
        </w:rPr>
        <w:t>por </w:t>
      </w:r>
      <w:r>
        <w:rPr>
          <w:color w:val="231F20"/>
        </w:rPr>
        <w:t>el </w:t>
      </w:r>
      <w:r>
        <w:rPr>
          <w:color w:val="231F20"/>
          <w:spacing w:val="-2"/>
        </w:rPr>
        <w:t>PRI </w:t>
      </w:r>
      <w:r>
        <w:rPr>
          <w:color w:val="231F20"/>
        </w:rPr>
        <w:t>Francisco </w:t>
      </w:r>
      <w:r>
        <w:rPr>
          <w:color w:val="231F20"/>
          <w:spacing w:val="-3"/>
        </w:rPr>
        <w:t>Juárez no contaba con </w:t>
      </w:r>
      <w:r>
        <w:rPr>
          <w:color w:val="231F20"/>
        </w:rPr>
        <w:t>la </w:t>
      </w:r>
      <w:r>
        <w:rPr>
          <w:color w:val="231F20"/>
          <w:spacing w:val="-3"/>
        </w:rPr>
        <w:t>simpatía popular, </w:t>
      </w:r>
      <w:r>
        <w:rPr>
          <w:color w:val="231F20"/>
        </w:rPr>
        <w:t>mientras </w:t>
      </w:r>
      <w:r>
        <w:rPr>
          <w:color w:val="231F20"/>
          <w:spacing w:val="-3"/>
        </w:rPr>
        <w:t>que </w:t>
      </w:r>
      <w:r>
        <w:rPr>
          <w:color w:val="231F20"/>
        </w:rPr>
        <w:t>el candidato </w:t>
      </w:r>
      <w:r>
        <w:rPr>
          <w:color w:val="231F20"/>
          <w:spacing w:val="-3"/>
        </w:rPr>
        <w:t>desplazado </w:t>
      </w:r>
      <w:r>
        <w:rPr>
          <w:color w:val="231F20"/>
        </w:rPr>
        <w:t>era Alberto Lara, quien </w:t>
      </w:r>
      <w:r>
        <w:rPr>
          <w:color w:val="231F20"/>
          <w:spacing w:val="-3"/>
        </w:rPr>
        <w:t>contaba con </w:t>
      </w:r>
      <w:r>
        <w:rPr>
          <w:color w:val="231F20"/>
          <w:spacing w:val="-4"/>
        </w:rPr>
        <w:t>apoyo </w:t>
      </w:r>
      <w:r>
        <w:rPr>
          <w:color w:val="231F20"/>
        </w:rPr>
        <w:t>popular y </w:t>
      </w:r>
      <w:r>
        <w:rPr>
          <w:color w:val="231F20"/>
          <w:spacing w:val="-3"/>
        </w:rPr>
        <w:t>con </w:t>
      </w:r>
      <w:r>
        <w:rPr>
          <w:color w:val="231F20"/>
        </w:rPr>
        <w:t>la </w:t>
      </w:r>
      <w:r>
        <w:rPr>
          <w:color w:val="231F20"/>
          <w:spacing w:val="-4"/>
        </w:rPr>
        <w:t>autorización </w:t>
      </w:r>
      <w:r>
        <w:rPr>
          <w:color w:val="231F20"/>
          <w:spacing w:val="-3"/>
        </w:rPr>
        <w:t>del </w:t>
      </w:r>
      <w:r>
        <w:rPr>
          <w:color w:val="231F20"/>
          <w:spacing w:val="-4"/>
        </w:rPr>
        <w:t>entonces gobernador </w:t>
      </w:r>
      <w:r>
        <w:rPr>
          <w:color w:val="231F20"/>
        </w:rPr>
        <w:t>Carlos Hank González, así </w:t>
      </w:r>
      <w:r>
        <w:rPr>
          <w:color w:val="231F20"/>
          <w:spacing w:val="-3"/>
        </w:rPr>
        <w:t>llegó por </w:t>
      </w:r>
      <w:r>
        <w:rPr>
          <w:color w:val="231F20"/>
        </w:rPr>
        <w:t>el </w:t>
      </w:r>
      <w:r>
        <w:rPr>
          <w:color w:val="231F20"/>
          <w:spacing w:val="-6"/>
        </w:rPr>
        <w:t>PAN </w:t>
      </w:r>
      <w:r>
        <w:rPr>
          <w:color w:val="231F20"/>
        </w:rPr>
        <w:t>a la </w:t>
      </w:r>
      <w:r>
        <w:rPr>
          <w:color w:val="231F20"/>
          <w:spacing w:val="-4"/>
        </w:rPr>
        <w:t>presidencia </w:t>
      </w:r>
      <w:r>
        <w:rPr>
          <w:color w:val="231F20"/>
        </w:rPr>
        <w:t>de Amecameca para administrar de </w:t>
      </w:r>
      <w:r>
        <w:rPr>
          <w:color w:val="231F20"/>
          <w:spacing w:val="-4"/>
        </w:rPr>
        <w:t>1973 </w:t>
      </w:r>
      <w:r>
        <w:rPr>
          <w:color w:val="231F20"/>
        </w:rPr>
        <w:t>al </w:t>
      </w:r>
      <w:r>
        <w:rPr>
          <w:color w:val="231F20"/>
          <w:spacing w:val="-5"/>
        </w:rPr>
        <w:t>1975. </w:t>
      </w:r>
      <w:r>
        <w:rPr>
          <w:color w:val="231F20"/>
        </w:rPr>
        <w:t>Alberto Lara mantenía una </w:t>
      </w:r>
      <w:r>
        <w:rPr>
          <w:color w:val="231F20"/>
          <w:spacing w:val="-4"/>
        </w:rPr>
        <w:t>relación </w:t>
      </w:r>
      <w:r>
        <w:rPr>
          <w:color w:val="231F20"/>
        </w:rPr>
        <w:t>cercana y de </w:t>
      </w:r>
      <w:r>
        <w:rPr>
          <w:color w:val="231F20"/>
          <w:spacing w:val="-4"/>
        </w:rPr>
        <w:t>buen </w:t>
      </w:r>
      <w:r>
        <w:rPr>
          <w:color w:val="231F20"/>
          <w:spacing w:val="-3"/>
        </w:rPr>
        <w:t>nivel con </w:t>
      </w:r>
      <w:r>
        <w:rPr>
          <w:color w:val="231F20"/>
        </w:rPr>
        <w:t>Carlos Hank González (Lara,  2006).</w:t>
      </w:r>
    </w:p>
    <w:p>
      <w:pPr>
        <w:pStyle w:val="BodyText"/>
        <w:spacing w:before="1"/>
        <w:rPr>
          <w:sz w:val="26"/>
        </w:rPr>
      </w:pPr>
    </w:p>
    <w:p>
      <w:pPr>
        <w:pStyle w:val="BodyText"/>
        <w:spacing w:line="285" w:lineRule="auto"/>
        <w:ind w:left="110" w:right="106"/>
        <w:jc w:val="both"/>
      </w:pPr>
      <w:r>
        <w:rPr>
          <w:color w:val="231F20"/>
          <w:w w:val="105"/>
        </w:rPr>
        <w:t>El</w:t>
      </w:r>
      <w:r>
        <w:rPr>
          <w:color w:val="231F20"/>
          <w:spacing w:val="-16"/>
          <w:w w:val="105"/>
        </w:rPr>
        <w:t> </w:t>
      </w:r>
      <w:r>
        <w:rPr>
          <w:color w:val="231F20"/>
          <w:spacing w:val="-4"/>
          <w:w w:val="105"/>
        </w:rPr>
        <w:t>desempeño</w:t>
      </w:r>
      <w:r>
        <w:rPr>
          <w:color w:val="231F20"/>
          <w:spacing w:val="-16"/>
          <w:w w:val="105"/>
        </w:rPr>
        <w:t> </w:t>
      </w:r>
      <w:r>
        <w:rPr>
          <w:color w:val="231F20"/>
          <w:w w:val="105"/>
        </w:rPr>
        <w:t>electoral</w:t>
      </w:r>
      <w:r>
        <w:rPr>
          <w:color w:val="231F20"/>
          <w:spacing w:val="-16"/>
          <w:w w:val="105"/>
        </w:rPr>
        <w:t> </w:t>
      </w:r>
      <w:r>
        <w:rPr>
          <w:color w:val="231F20"/>
          <w:spacing w:val="-3"/>
          <w:w w:val="105"/>
        </w:rPr>
        <w:t>del</w:t>
      </w:r>
      <w:r>
        <w:rPr>
          <w:color w:val="231F20"/>
          <w:spacing w:val="-16"/>
          <w:w w:val="105"/>
        </w:rPr>
        <w:t> </w:t>
      </w:r>
      <w:r>
        <w:rPr>
          <w:color w:val="231F20"/>
          <w:w w:val="105"/>
        </w:rPr>
        <w:t>PRD</w:t>
      </w:r>
      <w:r>
        <w:rPr>
          <w:color w:val="231F20"/>
          <w:spacing w:val="-16"/>
          <w:w w:val="105"/>
        </w:rPr>
        <w:t> </w:t>
      </w:r>
      <w:r>
        <w:rPr>
          <w:color w:val="231F20"/>
          <w:w w:val="105"/>
        </w:rPr>
        <w:t>en</w:t>
      </w:r>
      <w:r>
        <w:rPr>
          <w:color w:val="231F20"/>
          <w:spacing w:val="-16"/>
          <w:w w:val="105"/>
        </w:rPr>
        <w:t> </w:t>
      </w:r>
      <w:r>
        <w:rPr>
          <w:color w:val="231F20"/>
          <w:w w:val="105"/>
        </w:rPr>
        <w:t>Amecameca,</w:t>
      </w:r>
      <w:r>
        <w:rPr>
          <w:color w:val="231F20"/>
          <w:spacing w:val="-16"/>
          <w:w w:val="105"/>
        </w:rPr>
        <w:t> </w:t>
      </w:r>
      <w:r>
        <w:rPr>
          <w:color w:val="231F20"/>
          <w:spacing w:val="-3"/>
          <w:w w:val="105"/>
        </w:rPr>
        <w:t>concretamente</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caso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4"/>
          <w:w w:val="105"/>
        </w:rPr>
        <w:t>elección </w:t>
      </w:r>
      <w:r>
        <w:rPr>
          <w:color w:val="231F20"/>
          <w:w w:val="105"/>
        </w:rPr>
        <w:t>de</w:t>
      </w:r>
      <w:r>
        <w:rPr>
          <w:color w:val="231F20"/>
          <w:spacing w:val="-14"/>
          <w:w w:val="105"/>
        </w:rPr>
        <w:t> </w:t>
      </w:r>
      <w:r>
        <w:rPr>
          <w:color w:val="231F20"/>
          <w:w w:val="105"/>
        </w:rPr>
        <w:t>ayuntamiento,</w:t>
      </w:r>
      <w:r>
        <w:rPr>
          <w:color w:val="231F20"/>
          <w:spacing w:val="-14"/>
          <w:w w:val="105"/>
        </w:rPr>
        <w:t> </w:t>
      </w:r>
      <w:r>
        <w:rPr>
          <w:color w:val="231F20"/>
          <w:w w:val="105"/>
        </w:rPr>
        <w:t>ha</w:t>
      </w:r>
      <w:r>
        <w:rPr>
          <w:color w:val="231F20"/>
          <w:spacing w:val="-14"/>
          <w:w w:val="105"/>
        </w:rPr>
        <w:t> </w:t>
      </w:r>
      <w:r>
        <w:rPr>
          <w:color w:val="231F20"/>
          <w:spacing w:val="-4"/>
          <w:w w:val="105"/>
        </w:rPr>
        <w:t>sido</w:t>
      </w:r>
      <w:r>
        <w:rPr>
          <w:color w:val="231F20"/>
          <w:spacing w:val="-14"/>
          <w:w w:val="105"/>
        </w:rPr>
        <w:t> </w:t>
      </w:r>
      <w:r>
        <w:rPr>
          <w:color w:val="231F20"/>
          <w:w w:val="105"/>
        </w:rPr>
        <w:t>de</w:t>
      </w:r>
      <w:r>
        <w:rPr>
          <w:color w:val="231F20"/>
          <w:spacing w:val="-14"/>
          <w:w w:val="105"/>
        </w:rPr>
        <w:t> </w:t>
      </w:r>
      <w:r>
        <w:rPr>
          <w:color w:val="231F20"/>
          <w:w w:val="105"/>
        </w:rPr>
        <w:t>una</w:t>
      </w:r>
      <w:r>
        <w:rPr>
          <w:color w:val="231F20"/>
          <w:spacing w:val="-14"/>
          <w:w w:val="105"/>
        </w:rPr>
        <w:t> </w:t>
      </w:r>
      <w:r>
        <w:rPr>
          <w:color w:val="231F20"/>
          <w:w w:val="105"/>
        </w:rPr>
        <w:t>constante</w:t>
      </w:r>
      <w:r>
        <w:rPr>
          <w:color w:val="231F20"/>
          <w:spacing w:val="-14"/>
          <w:w w:val="105"/>
        </w:rPr>
        <w:t> </w:t>
      </w:r>
      <w:r>
        <w:rPr>
          <w:color w:val="231F20"/>
          <w:w w:val="105"/>
        </w:rPr>
        <w:t>fluctuación</w:t>
      </w:r>
      <w:r>
        <w:rPr>
          <w:color w:val="231F20"/>
          <w:spacing w:val="-14"/>
          <w:w w:val="105"/>
        </w:rPr>
        <w:t> </w:t>
      </w:r>
      <w:r>
        <w:rPr>
          <w:color w:val="231F20"/>
          <w:spacing w:val="-4"/>
          <w:w w:val="105"/>
        </w:rPr>
        <w:t>como</w:t>
      </w:r>
      <w:r>
        <w:rPr>
          <w:color w:val="231F20"/>
          <w:spacing w:val="-14"/>
          <w:w w:val="105"/>
        </w:rPr>
        <w:t> </w:t>
      </w:r>
      <w:r>
        <w:rPr>
          <w:color w:val="231F20"/>
          <w:spacing w:val="-3"/>
          <w:w w:val="105"/>
        </w:rPr>
        <w:t>puede</w:t>
      </w:r>
      <w:r>
        <w:rPr>
          <w:color w:val="231F20"/>
          <w:spacing w:val="-14"/>
          <w:w w:val="105"/>
        </w:rPr>
        <w:t> </w:t>
      </w:r>
      <w:r>
        <w:rPr>
          <w:color w:val="231F20"/>
          <w:spacing w:val="-3"/>
          <w:w w:val="105"/>
        </w:rPr>
        <w:t>verse</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gráfica</w:t>
      </w:r>
      <w:r>
        <w:rPr>
          <w:color w:val="231F20"/>
          <w:spacing w:val="-14"/>
          <w:w w:val="105"/>
        </w:rPr>
        <w:t> </w:t>
      </w:r>
      <w:r>
        <w:rPr>
          <w:color w:val="231F20"/>
          <w:spacing w:val="-4"/>
          <w:w w:val="105"/>
        </w:rPr>
        <w:t>1.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año</w:t>
      </w:r>
      <w:r>
        <w:rPr>
          <w:color w:val="231F20"/>
          <w:spacing w:val="-17"/>
          <w:w w:val="105"/>
        </w:rPr>
        <w:t> </w:t>
      </w:r>
      <w:r>
        <w:rPr>
          <w:color w:val="231F20"/>
          <w:spacing w:val="-3"/>
          <w:w w:val="105"/>
        </w:rPr>
        <w:t>1996</w:t>
      </w:r>
      <w:r>
        <w:rPr>
          <w:color w:val="231F20"/>
          <w:spacing w:val="-17"/>
          <w:w w:val="105"/>
        </w:rPr>
        <w:t> </w:t>
      </w:r>
      <w:r>
        <w:rPr>
          <w:color w:val="231F20"/>
          <w:spacing w:val="-3"/>
          <w:w w:val="105"/>
        </w:rPr>
        <w:t>logró</w:t>
      </w:r>
      <w:r>
        <w:rPr>
          <w:color w:val="231F20"/>
          <w:spacing w:val="-17"/>
          <w:w w:val="105"/>
        </w:rPr>
        <w:t> </w:t>
      </w:r>
      <w:r>
        <w:rPr>
          <w:color w:val="231F20"/>
          <w:w w:val="105"/>
        </w:rPr>
        <w:t>2949</w:t>
      </w:r>
      <w:r>
        <w:rPr>
          <w:color w:val="231F20"/>
          <w:spacing w:val="-17"/>
          <w:w w:val="105"/>
        </w:rPr>
        <w:t> </w:t>
      </w:r>
      <w:r>
        <w:rPr>
          <w:color w:val="231F20"/>
          <w:w w:val="105"/>
        </w:rPr>
        <w:t>sufragios</w:t>
      </w:r>
      <w:r>
        <w:rPr>
          <w:color w:val="231F20"/>
          <w:spacing w:val="-17"/>
          <w:w w:val="105"/>
        </w:rPr>
        <w:t> </w:t>
      </w:r>
      <w:r>
        <w:rPr>
          <w:color w:val="231F20"/>
          <w:spacing w:val="-3"/>
          <w:w w:val="105"/>
        </w:rPr>
        <w:t>colocándose</w:t>
      </w:r>
      <w:r>
        <w:rPr>
          <w:color w:val="231F20"/>
          <w:spacing w:val="-17"/>
          <w:w w:val="105"/>
        </w:rPr>
        <w:t> </w:t>
      </w:r>
      <w:r>
        <w:rPr>
          <w:color w:val="231F20"/>
          <w:w w:val="105"/>
        </w:rPr>
        <w:t>en</w:t>
      </w:r>
      <w:r>
        <w:rPr>
          <w:color w:val="231F20"/>
          <w:spacing w:val="-17"/>
          <w:w w:val="105"/>
        </w:rPr>
        <w:t> </w:t>
      </w:r>
      <w:r>
        <w:rPr>
          <w:color w:val="231F20"/>
          <w:spacing w:val="-3"/>
          <w:w w:val="105"/>
        </w:rPr>
        <w:t>tercer</w:t>
      </w:r>
      <w:r>
        <w:rPr>
          <w:color w:val="231F20"/>
          <w:spacing w:val="-17"/>
          <w:w w:val="105"/>
        </w:rPr>
        <w:t> </w:t>
      </w:r>
      <w:r>
        <w:rPr>
          <w:color w:val="231F20"/>
          <w:spacing w:val="-5"/>
          <w:w w:val="105"/>
        </w:rPr>
        <w:t>lugar,</w:t>
      </w:r>
      <w:r>
        <w:rPr>
          <w:color w:val="231F20"/>
          <w:spacing w:val="-17"/>
          <w:w w:val="105"/>
        </w:rPr>
        <w:t> </w:t>
      </w:r>
      <w:r>
        <w:rPr>
          <w:color w:val="231F20"/>
          <w:spacing w:val="-3"/>
          <w:w w:val="105"/>
        </w:rPr>
        <w:t>pues</w:t>
      </w:r>
      <w:r>
        <w:rPr>
          <w:color w:val="231F20"/>
          <w:spacing w:val="-17"/>
          <w:w w:val="105"/>
        </w:rPr>
        <w:t> </w:t>
      </w:r>
      <w:r>
        <w:rPr>
          <w:color w:val="231F20"/>
          <w:w w:val="105"/>
        </w:rPr>
        <w:t>en</w:t>
      </w:r>
      <w:r>
        <w:rPr>
          <w:color w:val="231F20"/>
          <w:spacing w:val="-17"/>
          <w:w w:val="105"/>
        </w:rPr>
        <w:t> </w:t>
      </w:r>
      <w:r>
        <w:rPr>
          <w:color w:val="231F20"/>
          <w:w w:val="105"/>
        </w:rPr>
        <w:t>esa</w:t>
      </w:r>
      <w:r>
        <w:rPr>
          <w:color w:val="231F20"/>
          <w:spacing w:val="-17"/>
          <w:w w:val="105"/>
        </w:rPr>
        <w:t> </w:t>
      </w:r>
      <w:r>
        <w:rPr>
          <w:color w:val="231F20"/>
          <w:spacing w:val="-3"/>
          <w:w w:val="105"/>
        </w:rPr>
        <w:t>ocasión</w:t>
      </w:r>
      <w:r>
        <w:rPr>
          <w:color w:val="231F20"/>
          <w:spacing w:val="-17"/>
          <w:w w:val="105"/>
        </w:rPr>
        <w:t> </w:t>
      </w:r>
      <w:r>
        <w:rPr>
          <w:color w:val="231F20"/>
          <w:w w:val="105"/>
        </w:rPr>
        <w:t>se </w:t>
      </w:r>
      <w:r>
        <w:rPr>
          <w:color w:val="231F20"/>
          <w:spacing w:val="-3"/>
          <w:w w:val="105"/>
        </w:rPr>
        <w:t>centró</w:t>
      </w:r>
      <w:r>
        <w:rPr>
          <w:color w:val="231F20"/>
          <w:spacing w:val="-6"/>
          <w:w w:val="105"/>
        </w:rPr>
        <w:t> </w:t>
      </w:r>
      <w:r>
        <w:rPr>
          <w:color w:val="231F20"/>
          <w:w w:val="105"/>
        </w:rPr>
        <w:t>la</w:t>
      </w:r>
      <w:r>
        <w:rPr>
          <w:color w:val="231F20"/>
          <w:spacing w:val="-6"/>
          <w:w w:val="105"/>
        </w:rPr>
        <w:t> </w:t>
      </w:r>
      <w:r>
        <w:rPr>
          <w:color w:val="231F20"/>
          <w:spacing w:val="-4"/>
          <w:w w:val="105"/>
        </w:rPr>
        <w:t>lucha</w:t>
      </w:r>
      <w:r>
        <w:rPr>
          <w:color w:val="231F20"/>
          <w:spacing w:val="-6"/>
          <w:w w:val="105"/>
        </w:rPr>
        <w:t> </w:t>
      </w:r>
      <w:r>
        <w:rPr>
          <w:color w:val="231F20"/>
          <w:spacing w:val="-3"/>
          <w:w w:val="105"/>
        </w:rPr>
        <w:t>entre</w:t>
      </w:r>
      <w:r>
        <w:rPr>
          <w:color w:val="231F20"/>
          <w:spacing w:val="-6"/>
          <w:w w:val="105"/>
        </w:rPr>
        <w:t> </w:t>
      </w:r>
      <w:r>
        <w:rPr>
          <w:color w:val="231F20"/>
          <w:w w:val="105"/>
        </w:rPr>
        <w:t>el</w:t>
      </w:r>
      <w:r>
        <w:rPr>
          <w:color w:val="231F20"/>
          <w:spacing w:val="-6"/>
          <w:w w:val="105"/>
        </w:rPr>
        <w:t> </w:t>
      </w:r>
      <w:r>
        <w:rPr>
          <w:color w:val="231F20"/>
          <w:spacing w:val="-2"/>
          <w:w w:val="105"/>
        </w:rPr>
        <w:t>PRI</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spacing w:val="-5"/>
          <w:w w:val="105"/>
        </w:rPr>
        <w:t>PAN.</w:t>
      </w:r>
      <w:r>
        <w:rPr>
          <w:color w:val="231F20"/>
          <w:spacing w:val="-6"/>
          <w:w w:val="10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spacing w:val="-4"/>
          <w:w w:val="105"/>
        </w:rPr>
        <w:t>elección</w:t>
      </w:r>
      <w:r>
        <w:rPr>
          <w:color w:val="231F20"/>
          <w:spacing w:val="-6"/>
          <w:w w:val="105"/>
        </w:rPr>
        <w:t> </w:t>
      </w:r>
      <w:r>
        <w:rPr>
          <w:color w:val="231F20"/>
          <w:spacing w:val="-3"/>
          <w:w w:val="105"/>
        </w:rPr>
        <w:t>del</w:t>
      </w:r>
      <w:r>
        <w:rPr>
          <w:color w:val="231F20"/>
          <w:spacing w:val="-6"/>
          <w:w w:val="105"/>
        </w:rPr>
        <w:t> </w:t>
      </w:r>
      <w:r>
        <w:rPr>
          <w:color w:val="231F20"/>
          <w:w w:val="105"/>
        </w:rPr>
        <w:t>año</w:t>
      </w:r>
      <w:r>
        <w:rPr>
          <w:color w:val="231F20"/>
          <w:spacing w:val="-6"/>
          <w:w w:val="105"/>
        </w:rPr>
        <w:t> </w:t>
      </w:r>
      <w:r>
        <w:rPr>
          <w:color w:val="231F20"/>
          <w:w w:val="105"/>
        </w:rPr>
        <w:t>2000,</w:t>
      </w:r>
      <w:r>
        <w:rPr>
          <w:color w:val="231F20"/>
          <w:spacing w:val="-6"/>
          <w:w w:val="105"/>
        </w:rPr>
        <w:t> </w:t>
      </w:r>
      <w:r>
        <w:rPr>
          <w:color w:val="231F20"/>
          <w:w w:val="105"/>
        </w:rPr>
        <w:t>el</w:t>
      </w:r>
      <w:r>
        <w:rPr>
          <w:color w:val="231F20"/>
          <w:spacing w:val="-6"/>
          <w:w w:val="105"/>
        </w:rPr>
        <w:t> </w:t>
      </w:r>
      <w:r>
        <w:rPr>
          <w:color w:val="231F20"/>
          <w:w w:val="105"/>
        </w:rPr>
        <w:t>PRD</w:t>
      </w:r>
      <w:r>
        <w:rPr>
          <w:color w:val="231F20"/>
          <w:spacing w:val="-6"/>
          <w:w w:val="105"/>
        </w:rPr>
        <w:t> </w:t>
      </w:r>
      <w:r>
        <w:rPr>
          <w:color w:val="231F20"/>
          <w:w w:val="105"/>
        </w:rPr>
        <w:t>se</w:t>
      </w:r>
      <w:r>
        <w:rPr>
          <w:color w:val="231F20"/>
          <w:spacing w:val="-6"/>
          <w:w w:val="105"/>
        </w:rPr>
        <w:t> </w:t>
      </w:r>
      <w:r>
        <w:rPr>
          <w:color w:val="231F20"/>
          <w:spacing w:val="-3"/>
          <w:w w:val="105"/>
        </w:rPr>
        <w:t>ve</w:t>
      </w:r>
      <w:r>
        <w:rPr>
          <w:color w:val="231F20"/>
          <w:spacing w:val="-6"/>
          <w:w w:val="105"/>
        </w:rPr>
        <w:t> </w:t>
      </w:r>
      <w:r>
        <w:rPr>
          <w:color w:val="231F20"/>
          <w:spacing w:val="-3"/>
          <w:w w:val="105"/>
        </w:rPr>
        <w:t>bene- ficiado</w:t>
      </w:r>
      <w:r>
        <w:rPr>
          <w:color w:val="231F20"/>
          <w:spacing w:val="-7"/>
          <w:w w:val="105"/>
        </w:rPr>
        <w:t> </w:t>
      </w:r>
      <w:r>
        <w:rPr>
          <w:color w:val="231F20"/>
          <w:w w:val="105"/>
        </w:rPr>
        <w:t>y</w:t>
      </w:r>
      <w:r>
        <w:rPr>
          <w:color w:val="231F20"/>
          <w:spacing w:val="-7"/>
          <w:w w:val="105"/>
        </w:rPr>
        <w:t> </w:t>
      </w:r>
      <w:r>
        <w:rPr>
          <w:color w:val="231F20"/>
          <w:w w:val="105"/>
        </w:rPr>
        <w:t>cosecha</w:t>
      </w:r>
      <w:r>
        <w:rPr>
          <w:color w:val="231F20"/>
          <w:spacing w:val="-7"/>
          <w:w w:val="105"/>
        </w:rPr>
        <w:t> </w:t>
      </w:r>
      <w:r>
        <w:rPr>
          <w:color w:val="231F20"/>
          <w:spacing w:val="-3"/>
          <w:w w:val="105"/>
        </w:rPr>
        <w:t>7890</w:t>
      </w:r>
      <w:r>
        <w:rPr>
          <w:color w:val="231F20"/>
          <w:spacing w:val="-7"/>
          <w:w w:val="105"/>
        </w:rPr>
        <w:t> </w:t>
      </w:r>
      <w:r>
        <w:rPr>
          <w:color w:val="231F20"/>
          <w:spacing w:val="-4"/>
          <w:w w:val="105"/>
        </w:rPr>
        <w:t>votos,</w:t>
      </w:r>
      <w:r>
        <w:rPr>
          <w:color w:val="231F20"/>
          <w:spacing w:val="-7"/>
          <w:w w:val="105"/>
        </w:rPr>
        <w:t> </w:t>
      </w:r>
      <w:r>
        <w:rPr>
          <w:color w:val="231F20"/>
          <w:w w:val="105"/>
        </w:rPr>
        <w:t>la</w:t>
      </w:r>
      <w:r>
        <w:rPr>
          <w:color w:val="231F20"/>
          <w:spacing w:val="-7"/>
          <w:w w:val="105"/>
        </w:rPr>
        <w:t> </w:t>
      </w:r>
      <w:r>
        <w:rPr>
          <w:color w:val="231F20"/>
          <w:spacing w:val="-4"/>
          <w:w w:val="105"/>
        </w:rPr>
        <w:t>mayor</w:t>
      </w:r>
      <w:r>
        <w:rPr>
          <w:color w:val="231F20"/>
          <w:spacing w:val="-7"/>
          <w:w w:val="105"/>
        </w:rPr>
        <w:t> </w:t>
      </w:r>
      <w:r>
        <w:rPr>
          <w:color w:val="231F20"/>
          <w:spacing w:val="-4"/>
          <w:w w:val="105"/>
        </w:rPr>
        <w:t>votación</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historia</w:t>
      </w:r>
      <w:r>
        <w:rPr>
          <w:color w:val="231F20"/>
          <w:spacing w:val="-7"/>
          <w:w w:val="105"/>
        </w:rPr>
        <w:t> </w:t>
      </w:r>
      <w:r>
        <w:rPr>
          <w:color w:val="231F20"/>
          <w:spacing w:val="-3"/>
          <w:w w:val="105"/>
        </w:rPr>
        <w:t>del</w:t>
      </w:r>
      <w:r>
        <w:rPr>
          <w:color w:val="231F20"/>
          <w:spacing w:val="-7"/>
          <w:w w:val="105"/>
        </w:rPr>
        <w:t> </w:t>
      </w:r>
      <w:r>
        <w:rPr>
          <w:color w:val="231F20"/>
          <w:spacing w:val="-4"/>
          <w:w w:val="105"/>
        </w:rPr>
        <w:t>municipio.</w:t>
      </w:r>
      <w:r>
        <w:rPr>
          <w:color w:val="231F20"/>
          <w:spacing w:val="-7"/>
          <w:w w:val="105"/>
        </w:rPr>
        <w:t> </w:t>
      </w:r>
      <w:r>
        <w:rPr>
          <w:color w:val="231F20"/>
          <w:w w:val="105"/>
        </w:rPr>
        <w:t>En</w:t>
      </w:r>
      <w:r>
        <w:rPr>
          <w:color w:val="231F20"/>
          <w:spacing w:val="-7"/>
          <w:w w:val="105"/>
        </w:rPr>
        <w:t> </w:t>
      </w:r>
      <w:r>
        <w:rPr>
          <w:color w:val="231F20"/>
          <w:w w:val="105"/>
        </w:rPr>
        <w:t>ese</w:t>
      </w:r>
      <w:r>
        <w:rPr>
          <w:color w:val="231F20"/>
          <w:spacing w:val="-7"/>
          <w:w w:val="105"/>
        </w:rPr>
        <w:t> </w:t>
      </w:r>
      <w:r>
        <w:rPr>
          <w:color w:val="231F20"/>
          <w:w w:val="105"/>
        </w:rPr>
        <w:t>año logra</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w w:val="105"/>
        </w:rPr>
        <w:t>el</w:t>
      </w:r>
      <w:r>
        <w:rPr>
          <w:color w:val="231F20"/>
          <w:spacing w:val="-5"/>
          <w:w w:val="105"/>
        </w:rPr>
        <w:t> </w:t>
      </w:r>
      <w:r>
        <w:rPr>
          <w:color w:val="231F20"/>
          <w:spacing w:val="-4"/>
          <w:w w:val="105"/>
        </w:rPr>
        <w:t>gobierno</w:t>
      </w:r>
      <w:r>
        <w:rPr>
          <w:color w:val="231F20"/>
          <w:spacing w:val="-5"/>
          <w:w w:val="105"/>
        </w:rPr>
        <w:t> </w:t>
      </w:r>
      <w:r>
        <w:rPr>
          <w:color w:val="231F20"/>
          <w:w w:val="105"/>
        </w:rPr>
        <w:t>municipal.</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spacing w:val="-4"/>
          <w:w w:val="105"/>
        </w:rPr>
        <w:t>elección</w:t>
      </w:r>
      <w:r>
        <w:rPr>
          <w:color w:val="231F20"/>
          <w:spacing w:val="-5"/>
          <w:w w:val="105"/>
        </w:rPr>
        <w:t> </w:t>
      </w:r>
      <w:r>
        <w:rPr>
          <w:color w:val="231F20"/>
          <w:spacing w:val="-3"/>
          <w:w w:val="105"/>
        </w:rPr>
        <w:t>del</w:t>
      </w:r>
      <w:r>
        <w:rPr>
          <w:color w:val="231F20"/>
          <w:spacing w:val="-5"/>
          <w:w w:val="105"/>
        </w:rPr>
        <w:t> </w:t>
      </w:r>
      <w:r>
        <w:rPr>
          <w:color w:val="231F20"/>
          <w:w w:val="105"/>
        </w:rPr>
        <w:t>año</w:t>
      </w:r>
      <w:r>
        <w:rPr>
          <w:color w:val="231F20"/>
          <w:spacing w:val="-5"/>
          <w:w w:val="105"/>
        </w:rPr>
        <w:t> </w:t>
      </w:r>
      <w:r>
        <w:rPr>
          <w:color w:val="231F20"/>
          <w:w w:val="105"/>
        </w:rPr>
        <w:t>2003,</w:t>
      </w:r>
      <w:r>
        <w:rPr>
          <w:color w:val="231F20"/>
          <w:spacing w:val="-5"/>
          <w:w w:val="105"/>
        </w:rPr>
        <w:t> </w:t>
      </w:r>
      <w:r>
        <w:rPr>
          <w:color w:val="231F20"/>
          <w:w w:val="105"/>
        </w:rPr>
        <w:t>el</w:t>
      </w:r>
      <w:r>
        <w:rPr>
          <w:color w:val="231F20"/>
          <w:spacing w:val="-5"/>
          <w:w w:val="105"/>
        </w:rPr>
        <w:t> </w:t>
      </w:r>
      <w:r>
        <w:rPr>
          <w:color w:val="231F20"/>
          <w:w w:val="105"/>
        </w:rPr>
        <w:t>PRD</w:t>
      </w:r>
      <w:r>
        <w:rPr>
          <w:color w:val="231F20"/>
          <w:spacing w:val="-5"/>
          <w:w w:val="105"/>
        </w:rPr>
        <w:t> </w:t>
      </w:r>
      <w:r>
        <w:rPr>
          <w:color w:val="231F20"/>
          <w:spacing w:val="-3"/>
          <w:w w:val="105"/>
        </w:rPr>
        <w:t>perdió </w:t>
      </w:r>
      <w:r>
        <w:rPr>
          <w:color w:val="231F20"/>
          <w:spacing w:val="-5"/>
          <w:w w:val="105"/>
        </w:rPr>
        <w:t>3574</w:t>
      </w:r>
      <w:r>
        <w:rPr>
          <w:color w:val="231F20"/>
          <w:spacing w:val="-12"/>
          <w:w w:val="105"/>
        </w:rPr>
        <w:t> </w:t>
      </w:r>
      <w:r>
        <w:rPr>
          <w:color w:val="231F20"/>
          <w:spacing w:val="-4"/>
          <w:w w:val="105"/>
        </w:rPr>
        <w:t>votos</w:t>
      </w:r>
      <w:r>
        <w:rPr>
          <w:color w:val="231F20"/>
          <w:spacing w:val="-12"/>
          <w:w w:val="105"/>
        </w:rPr>
        <w:t> </w:t>
      </w:r>
      <w:r>
        <w:rPr>
          <w:color w:val="231F20"/>
          <w:w w:val="105"/>
        </w:rPr>
        <w:t>en</w:t>
      </w:r>
      <w:r>
        <w:rPr>
          <w:color w:val="231F20"/>
          <w:spacing w:val="-12"/>
          <w:w w:val="105"/>
        </w:rPr>
        <w:t> </w:t>
      </w:r>
      <w:r>
        <w:rPr>
          <w:color w:val="231F20"/>
          <w:spacing w:val="-4"/>
          <w:w w:val="105"/>
        </w:rPr>
        <w:t>relación</w:t>
      </w:r>
      <w:r>
        <w:rPr>
          <w:color w:val="231F20"/>
          <w:spacing w:val="-12"/>
          <w:w w:val="105"/>
        </w:rPr>
        <w:t> </w:t>
      </w:r>
      <w:r>
        <w:rPr>
          <w:color w:val="231F20"/>
          <w:spacing w:val="-3"/>
          <w:w w:val="105"/>
        </w:rPr>
        <w:t>con</w:t>
      </w:r>
      <w:r>
        <w:rPr>
          <w:color w:val="231F20"/>
          <w:spacing w:val="-12"/>
          <w:w w:val="105"/>
        </w:rPr>
        <w:t> </w:t>
      </w:r>
      <w:r>
        <w:rPr>
          <w:color w:val="231F20"/>
          <w:w w:val="105"/>
        </w:rPr>
        <w:t>la</w:t>
      </w:r>
      <w:r>
        <w:rPr>
          <w:color w:val="231F20"/>
          <w:spacing w:val="-12"/>
          <w:w w:val="105"/>
        </w:rPr>
        <w:t> </w:t>
      </w:r>
      <w:r>
        <w:rPr>
          <w:color w:val="231F20"/>
          <w:spacing w:val="-4"/>
          <w:w w:val="105"/>
        </w:rPr>
        <w:t>elección</w:t>
      </w:r>
      <w:r>
        <w:rPr>
          <w:color w:val="231F20"/>
          <w:spacing w:val="-12"/>
          <w:w w:val="105"/>
        </w:rPr>
        <w:t> </w:t>
      </w:r>
      <w:r>
        <w:rPr>
          <w:color w:val="231F20"/>
          <w:spacing w:val="-4"/>
          <w:w w:val="105"/>
        </w:rPr>
        <w:t>anterior,</w:t>
      </w:r>
      <w:r>
        <w:rPr>
          <w:color w:val="231F20"/>
          <w:spacing w:val="-12"/>
          <w:w w:val="105"/>
        </w:rPr>
        <w:t> </w:t>
      </w:r>
      <w:r>
        <w:rPr>
          <w:color w:val="231F20"/>
          <w:spacing w:val="-3"/>
          <w:w w:val="105"/>
        </w:rPr>
        <w:t>pues</w:t>
      </w:r>
      <w:r>
        <w:rPr>
          <w:color w:val="231F20"/>
          <w:spacing w:val="-12"/>
          <w:w w:val="105"/>
        </w:rPr>
        <w:t> </w:t>
      </w:r>
      <w:r>
        <w:rPr>
          <w:color w:val="231F20"/>
          <w:spacing w:val="-3"/>
          <w:w w:val="105"/>
        </w:rPr>
        <w:t>logró</w:t>
      </w:r>
      <w:r>
        <w:rPr>
          <w:color w:val="231F20"/>
          <w:spacing w:val="-12"/>
          <w:w w:val="105"/>
        </w:rPr>
        <w:t> </w:t>
      </w:r>
      <w:r>
        <w:rPr>
          <w:color w:val="231F20"/>
          <w:spacing w:val="-7"/>
          <w:w w:val="105"/>
        </w:rPr>
        <w:t>4316</w:t>
      </w:r>
      <w:r>
        <w:rPr>
          <w:color w:val="231F20"/>
          <w:spacing w:val="-12"/>
          <w:w w:val="105"/>
        </w:rPr>
        <w:t> </w:t>
      </w:r>
      <w:r>
        <w:rPr>
          <w:color w:val="231F20"/>
          <w:w w:val="105"/>
        </w:rPr>
        <w:t>sufragios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año</w:t>
      </w:r>
      <w:r>
        <w:rPr>
          <w:color w:val="231F20"/>
          <w:spacing w:val="-12"/>
          <w:w w:val="105"/>
        </w:rPr>
        <w:t> </w:t>
      </w:r>
      <w:r>
        <w:rPr>
          <w:color w:val="231F20"/>
          <w:w w:val="105"/>
        </w:rPr>
        <w:t>2003. Esta</w:t>
      </w:r>
      <w:r>
        <w:rPr>
          <w:color w:val="231F20"/>
          <w:spacing w:val="-25"/>
          <w:w w:val="105"/>
        </w:rPr>
        <w:t> </w:t>
      </w:r>
      <w:r>
        <w:rPr>
          <w:color w:val="231F20"/>
          <w:spacing w:val="-3"/>
          <w:w w:val="105"/>
        </w:rPr>
        <w:t>pérdida</w:t>
      </w:r>
      <w:r>
        <w:rPr>
          <w:color w:val="231F20"/>
          <w:spacing w:val="-25"/>
          <w:w w:val="105"/>
        </w:rPr>
        <w:t> </w:t>
      </w:r>
      <w:r>
        <w:rPr>
          <w:color w:val="231F20"/>
          <w:spacing w:val="-3"/>
          <w:w w:val="105"/>
        </w:rPr>
        <w:t>que</w:t>
      </w:r>
      <w:r>
        <w:rPr>
          <w:color w:val="231F20"/>
          <w:spacing w:val="-25"/>
          <w:w w:val="105"/>
        </w:rPr>
        <w:t> </w:t>
      </w:r>
      <w:r>
        <w:rPr>
          <w:color w:val="231F20"/>
          <w:spacing w:val="-3"/>
          <w:w w:val="105"/>
        </w:rPr>
        <w:t>lo</w:t>
      </w:r>
      <w:r>
        <w:rPr>
          <w:color w:val="231F20"/>
          <w:spacing w:val="-25"/>
          <w:w w:val="105"/>
        </w:rPr>
        <w:t> </w:t>
      </w:r>
      <w:r>
        <w:rPr>
          <w:color w:val="231F20"/>
          <w:w w:val="105"/>
        </w:rPr>
        <w:t>llevó</w:t>
      </w:r>
      <w:r>
        <w:rPr>
          <w:color w:val="231F20"/>
          <w:spacing w:val="-25"/>
          <w:w w:val="105"/>
        </w:rPr>
        <w:t> </w:t>
      </w:r>
      <w:r>
        <w:rPr>
          <w:color w:val="231F20"/>
          <w:w w:val="105"/>
        </w:rPr>
        <w:t>de</w:t>
      </w:r>
      <w:r>
        <w:rPr>
          <w:color w:val="231F20"/>
          <w:spacing w:val="-25"/>
          <w:w w:val="105"/>
        </w:rPr>
        <w:t> </w:t>
      </w:r>
      <w:r>
        <w:rPr>
          <w:color w:val="231F20"/>
          <w:spacing w:val="-4"/>
          <w:w w:val="105"/>
        </w:rPr>
        <w:t>nuevo</w:t>
      </w:r>
      <w:r>
        <w:rPr>
          <w:color w:val="231F20"/>
          <w:spacing w:val="-25"/>
          <w:w w:val="105"/>
        </w:rPr>
        <w:t> </w:t>
      </w:r>
      <w:r>
        <w:rPr>
          <w:color w:val="231F20"/>
          <w:w w:val="105"/>
        </w:rPr>
        <w:t>al</w:t>
      </w:r>
      <w:r>
        <w:rPr>
          <w:color w:val="231F20"/>
          <w:spacing w:val="-25"/>
          <w:w w:val="105"/>
        </w:rPr>
        <w:t> </w:t>
      </w:r>
      <w:r>
        <w:rPr>
          <w:color w:val="231F20"/>
          <w:w w:val="105"/>
        </w:rPr>
        <w:t>segundo</w:t>
      </w:r>
      <w:r>
        <w:rPr>
          <w:color w:val="231F20"/>
          <w:spacing w:val="-25"/>
          <w:w w:val="105"/>
        </w:rPr>
        <w:t> </w:t>
      </w:r>
      <w:r>
        <w:rPr>
          <w:color w:val="231F20"/>
          <w:spacing w:val="-3"/>
          <w:w w:val="105"/>
        </w:rPr>
        <w:t>lugar</w:t>
      </w:r>
      <w:r>
        <w:rPr>
          <w:color w:val="231F20"/>
          <w:spacing w:val="-25"/>
          <w:w w:val="105"/>
        </w:rPr>
        <w:t> </w:t>
      </w:r>
      <w:r>
        <w:rPr>
          <w:color w:val="231F20"/>
          <w:w w:val="105"/>
        </w:rPr>
        <w:t>fue</w:t>
      </w:r>
      <w:r>
        <w:rPr>
          <w:color w:val="231F20"/>
          <w:spacing w:val="-25"/>
          <w:w w:val="105"/>
        </w:rPr>
        <w:t> </w:t>
      </w:r>
      <w:r>
        <w:rPr>
          <w:color w:val="231F20"/>
          <w:spacing w:val="-4"/>
          <w:w w:val="105"/>
        </w:rPr>
        <w:t>producto</w:t>
      </w:r>
      <w:r>
        <w:rPr>
          <w:color w:val="231F20"/>
          <w:spacing w:val="-25"/>
          <w:w w:val="105"/>
        </w:rPr>
        <w:t> </w:t>
      </w:r>
      <w:r>
        <w:rPr>
          <w:color w:val="231F20"/>
          <w:w w:val="105"/>
        </w:rPr>
        <w:t>de</w:t>
      </w:r>
      <w:r>
        <w:rPr>
          <w:color w:val="231F20"/>
          <w:spacing w:val="-25"/>
          <w:w w:val="105"/>
        </w:rPr>
        <w:t> </w:t>
      </w:r>
      <w:r>
        <w:rPr>
          <w:color w:val="231F20"/>
          <w:w w:val="105"/>
        </w:rPr>
        <w:t>una</w:t>
      </w:r>
      <w:r>
        <w:rPr>
          <w:color w:val="231F20"/>
          <w:spacing w:val="-25"/>
          <w:w w:val="105"/>
        </w:rPr>
        <w:t> </w:t>
      </w:r>
      <w:r>
        <w:rPr>
          <w:color w:val="231F20"/>
          <w:w w:val="105"/>
        </w:rPr>
        <w:t>división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élite política</w:t>
      </w:r>
      <w:r>
        <w:rPr>
          <w:color w:val="231F20"/>
          <w:spacing w:val="-28"/>
          <w:w w:val="105"/>
        </w:rPr>
        <w:t> </w:t>
      </w:r>
      <w:r>
        <w:rPr>
          <w:color w:val="231F20"/>
          <w:w w:val="105"/>
        </w:rPr>
        <w:t>al</w:t>
      </w:r>
      <w:r>
        <w:rPr>
          <w:color w:val="231F20"/>
          <w:spacing w:val="-28"/>
          <w:w w:val="105"/>
        </w:rPr>
        <w:t> </w:t>
      </w:r>
      <w:r>
        <w:rPr>
          <w:color w:val="231F20"/>
          <w:w w:val="105"/>
        </w:rPr>
        <w:t>final</w:t>
      </w:r>
      <w:r>
        <w:rPr>
          <w:color w:val="231F20"/>
          <w:spacing w:val="-28"/>
          <w:w w:val="105"/>
        </w:rPr>
        <w:t> </w:t>
      </w:r>
      <w:r>
        <w:rPr>
          <w:color w:val="231F20"/>
          <w:spacing w:val="-3"/>
          <w:w w:val="105"/>
        </w:rPr>
        <w:t>del</w:t>
      </w:r>
      <w:r>
        <w:rPr>
          <w:color w:val="231F20"/>
          <w:spacing w:val="-28"/>
          <w:w w:val="105"/>
        </w:rPr>
        <w:t> </w:t>
      </w:r>
      <w:r>
        <w:rPr>
          <w:color w:val="231F20"/>
          <w:spacing w:val="-3"/>
          <w:w w:val="105"/>
        </w:rPr>
        <w:t>trienio.</w:t>
      </w:r>
      <w:r>
        <w:rPr>
          <w:color w:val="231F20"/>
          <w:spacing w:val="-28"/>
          <w:w w:val="105"/>
        </w:rPr>
        <w:t> </w:t>
      </w:r>
      <w:r>
        <w:rPr>
          <w:color w:val="231F20"/>
          <w:w w:val="105"/>
        </w:rPr>
        <w:t>Finalmente</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año</w:t>
      </w:r>
      <w:r>
        <w:rPr>
          <w:color w:val="231F20"/>
          <w:spacing w:val="-28"/>
          <w:w w:val="105"/>
        </w:rPr>
        <w:t> </w:t>
      </w:r>
      <w:r>
        <w:rPr>
          <w:color w:val="231F20"/>
          <w:w w:val="105"/>
        </w:rPr>
        <w:t>2006,</w:t>
      </w:r>
      <w:r>
        <w:rPr>
          <w:color w:val="231F20"/>
          <w:spacing w:val="-28"/>
          <w:w w:val="105"/>
        </w:rPr>
        <w:t> </w:t>
      </w:r>
      <w:r>
        <w:rPr>
          <w:color w:val="231F20"/>
          <w:spacing w:val="-3"/>
          <w:w w:val="105"/>
        </w:rPr>
        <w:t>vuelve</w:t>
      </w:r>
      <w:r>
        <w:rPr>
          <w:color w:val="231F20"/>
          <w:spacing w:val="-28"/>
          <w:w w:val="105"/>
        </w:rPr>
        <w:t> </w:t>
      </w:r>
      <w:r>
        <w:rPr>
          <w:color w:val="231F20"/>
          <w:w w:val="105"/>
        </w:rPr>
        <w:t>a</w:t>
      </w:r>
      <w:r>
        <w:rPr>
          <w:color w:val="231F20"/>
          <w:spacing w:val="-28"/>
          <w:w w:val="105"/>
        </w:rPr>
        <w:t> </w:t>
      </w:r>
      <w:r>
        <w:rPr>
          <w:color w:val="231F20"/>
          <w:w w:val="105"/>
        </w:rPr>
        <w:t>ganar</w:t>
      </w:r>
      <w:r>
        <w:rPr>
          <w:color w:val="231F20"/>
          <w:spacing w:val="-28"/>
          <w:w w:val="105"/>
        </w:rPr>
        <w:t> </w:t>
      </w:r>
      <w:r>
        <w:rPr>
          <w:color w:val="231F20"/>
          <w:w w:val="105"/>
        </w:rPr>
        <w:t>la</w:t>
      </w:r>
      <w:r>
        <w:rPr>
          <w:color w:val="231F20"/>
          <w:spacing w:val="-28"/>
          <w:w w:val="105"/>
        </w:rPr>
        <w:t> </w:t>
      </w:r>
      <w:r>
        <w:rPr>
          <w:color w:val="231F20"/>
          <w:spacing w:val="-4"/>
          <w:w w:val="105"/>
        </w:rPr>
        <w:t>elección</w:t>
      </w:r>
      <w:r>
        <w:rPr>
          <w:color w:val="231F20"/>
          <w:spacing w:val="-28"/>
          <w:w w:val="105"/>
        </w:rPr>
        <w:t> </w:t>
      </w:r>
      <w:r>
        <w:rPr>
          <w:color w:val="231F20"/>
          <w:w w:val="105"/>
        </w:rPr>
        <w:t>ahora</w:t>
      </w:r>
      <w:r>
        <w:rPr>
          <w:color w:val="231F20"/>
          <w:spacing w:val="-28"/>
          <w:w w:val="105"/>
        </w:rPr>
        <w:t> </w:t>
      </w:r>
      <w:r>
        <w:rPr>
          <w:color w:val="231F20"/>
          <w:spacing w:val="-3"/>
          <w:w w:val="105"/>
        </w:rPr>
        <w:t>con 6678</w:t>
      </w:r>
      <w:r>
        <w:rPr>
          <w:color w:val="231F20"/>
          <w:spacing w:val="-16"/>
          <w:w w:val="105"/>
        </w:rPr>
        <w:t> </w:t>
      </w:r>
      <w:r>
        <w:rPr>
          <w:color w:val="231F20"/>
          <w:spacing w:val="-4"/>
          <w:w w:val="105"/>
        </w:rPr>
        <w:t>votos.</w:t>
      </w:r>
      <w:r>
        <w:rPr>
          <w:color w:val="231F20"/>
          <w:spacing w:val="-16"/>
          <w:w w:val="105"/>
        </w:rPr>
        <w:t> </w:t>
      </w:r>
      <w:r>
        <w:rPr>
          <w:color w:val="231F20"/>
          <w:w w:val="105"/>
        </w:rPr>
        <w:t>En</w:t>
      </w:r>
      <w:r>
        <w:rPr>
          <w:color w:val="231F20"/>
          <w:spacing w:val="-16"/>
          <w:w w:val="105"/>
        </w:rPr>
        <w:t> </w:t>
      </w:r>
      <w:r>
        <w:rPr>
          <w:color w:val="231F20"/>
          <w:w w:val="105"/>
        </w:rPr>
        <w:t>estas</w:t>
      </w:r>
      <w:r>
        <w:rPr>
          <w:color w:val="231F20"/>
          <w:spacing w:val="-16"/>
          <w:w w:val="105"/>
        </w:rPr>
        <w:t> </w:t>
      </w:r>
      <w:r>
        <w:rPr>
          <w:color w:val="231F20"/>
          <w:w w:val="105"/>
        </w:rPr>
        <w:t>últimas</w:t>
      </w:r>
      <w:r>
        <w:rPr>
          <w:color w:val="231F20"/>
          <w:spacing w:val="-16"/>
          <w:w w:val="105"/>
        </w:rPr>
        <w:t> </w:t>
      </w:r>
      <w:r>
        <w:rPr>
          <w:color w:val="231F20"/>
          <w:spacing w:val="-2"/>
          <w:w w:val="105"/>
        </w:rPr>
        <w:t>cuatro</w:t>
      </w:r>
      <w:r>
        <w:rPr>
          <w:color w:val="231F20"/>
          <w:spacing w:val="-16"/>
          <w:w w:val="105"/>
        </w:rPr>
        <w:t> </w:t>
      </w:r>
      <w:r>
        <w:rPr>
          <w:color w:val="231F20"/>
          <w:spacing w:val="-4"/>
          <w:w w:val="105"/>
        </w:rPr>
        <w:t>elecciones</w:t>
      </w:r>
      <w:r>
        <w:rPr>
          <w:color w:val="231F20"/>
          <w:spacing w:val="-16"/>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w w:val="105"/>
        </w:rPr>
        <w:t>visto</w:t>
      </w:r>
      <w:r>
        <w:rPr>
          <w:color w:val="231F20"/>
          <w:spacing w:val="-16"/>
          <w:w w:val="105"/>
        </w:rPr>
        <w:t> </w:t>
      </w:r>
      <w:r>
        <w:rPr>
          <w:color w:val="231F20"/>
          <w:w w:val="105"/>
        </w:rPr>
        <w:t>un</w:t>
      </w:r>
      <w:r>
        <w:rPr>
          <w:color w:val="231F20"/>
          <w:spacing w:val="-16"/>
          <w:w w:val="105"/>
        </w:rPr>
        <w:t> </w:t>
      </w:r>
      <w:r>
        <w:rPr>
          <w:color w:val="231F20"/>
          <w:spacing w:val="-3"/>
          <w:w w:val="105"/>
        </w:rPr>
        <w:t>comportamiento</w:t>
      </w:r>
      <w:r>
        <w:rPr>
          <w:color w:val="231F20"/>
          <w:spacing w:val="-16"/>
          <w:w w:val="105"/>
        </w:rPr>
        <w:t> </w:t>
      </w:r>
      <w:r>
        <w:rPr>
          <w:color w:val="231F20"/>
          <w:spacing w:val="-3"/>
          <w:w w:val="105"/>
        </w:rPr>
        <w:t>cíclico.</w:t>
      </w:r>
    </w:p>
    <w:p>
      <w:pPr>
        <w:spacing w:after="0" w:line="285" w:lineRule="auto"/>
        <w:jc w:val="both"/>
        <w:sectPr>
          <w:pgSz w:w="9640" w:h="12190"/>
          <w:pgMar w:header="0" w:footer="743" w:top="1120" w:bottom="940" w:left="740" w:right="740"/>
        </w:sectPr>
      </w:pPr>
    </w:p>
    <w:p>
      <w:pPr>
        <w:pStyle w:val="Heading5"/>
        <w:spacing w:before="27"/>
        <w:ind w:left="0" w:right="0"/>
        <w:jc w:val="right"/>
      </w:pPr>
      <w:r>
        <w:rPr/>
        <w:drawing>
          <wp:anchor distT="0" distB="0" distL="0" distR="0" allowOverlap="1" layoutInCell="1" locked="0" behindDoc="0" simplePos="0" relativeHeight="11032">
            <wp:simplePos x="0" y="0"/>
            <wp:positionH relativeFrom="page">
              <wp:posOffset>1706175</wp:posOffset>
            </wp:positionH>
            <wp:positionV relativeFrom="paragraph">
              <wp:posOffset>439257</wp:posOffset>
            </wp:positionV>
            <wp:extent cx="476657" cy="143678"/>
            <wp:effectExtent l="0" t="0" r="0" b="0"/>
            <wp:wrapNone/>
            <wp:docPr id="341" name="image593.png" descr=""/>
            <wp:cNvGraphicFramePr>
              <a:graphicFrameLocks noChangeAspect="1"/>
            </wp:cNvGraphicFramePr>
            <a:graphic>
              <a:graphicData uri="http://schemas.openxmlformats.org/drawingml/2006/picture">
                <pic:pic>
                  <pic:nvPicPr>
                    <pic:cNvPr id="342" name="image593.png"/>
                    <pic:cNvPicPr/>
                  </pic:nvPicPr>
                  <pic:blipFill>
                    <a:blip r:embed="rId685" cstate="print"/>
                    <a:stretch>
                      <a:fillRect/>
                    </a:stretch>
                  </pic:blipFill>
                  <pic:spPr>
                    <a:xfrm>
                      <a:off x="0" y="0"/>
                      <a:ext cx="476657" cy="143678"/>
                    </a:xfrm>
                    <a:prstGeom prst="rect">
                      <a:avLst/>
                    </a:prstGeom>
                  </pic:spPr>
                </pic:pic>
              </a:graphicData>
            </a:graphic>
          </wp:anchor>
        </w:drawing>
      </w:r>
      <w:r>
        <w:rPr/>
        <w:drawing>
          <wp:anchor distT="0" distB="0" distL="0" distR="0" allowOverlap="1" layoutInCell="1" locked="0" behindDoc="0" simplePos="0" relativeHeight="11056">
            <wp:simplePos x="0" y="0"/>
            <wp:positionH relativeFrom="page">
              <wp:posOffset>2254098</wp:posOffset>
            </wp:positionH>
            <wp:positionV relativeFrom="paragraph">
              <wp:posOffset>474651</wp:posOffset>
            </wp:positionV>
            <wp:extent cx="374698" cy="145016"/>
            <wp:effectExtent l="0" t="0" r="0" b="0"/>
            <wp:wrapNone/>
            <wp:docPr id="343" name="image594.png" descr=""/>
            <wp:cNvGraphicFramePr>
              <a:graphicFrameLocks noChangeAspect="1"/>
            </wp:cNvGraphicFramePr>
            <a:graphic>
              <a:graphicData uri="http://schemas.openxmlformats.org/drawingml/2006/picture">
                <pic:pic>
                  <pic:nvPicPr>
                    <pic:cNvPr id="344" name="image594.png"/>
                    <pic:cNvPicPr/>
                  </pic:nvPicPr>
                  <pic:blipFill>
                    <a:blip r:embed="rId686" cstate="print"/>
                    <a:stretch>
                      <a:fillRect/>
                    </a:stretch>
                  </pic:blipFill>
                  <pic:spPr>
                    <a:xfrm>
                      <a:off x="0" y="0"/>
                      <a:ext cx="374698" cy="145016"/>
                    </a:xfrm>
                    <a:prstGeom prst="rect">
                      <a:avLst/>
                    </a:prstGeom>
                  </pic:spPr>
                </pic:pic>
              </a:graphicData>
            </a:graphic>
          </wp:anchor>
        </w:drawing>
      </w:r>
      <w:r>
        <w:rPr/>
        <w:drawing>
          <wp:anchor distT="0" distB="0" distL="0" distR="0" allowOverlap="1" layoutInCell="1" locked="0" behindDoc="0" simplePos="0" relativeHeight="11080">
            <wp:simplePos x="0" y="0"/>
            <wp:positionH relativeFrom="page">
              <wp:posOffset>2700172</wp:posOffset>
            </wp:positionH>
            <wp:positionV relativeFrom="paragraph">
              <wp:posOffset>430695</wp:posOffset>
            </wp:positionV>
            <wp:extent cx="134442" cy="156908"/>
            <wp:effectExtent l="0" t="0" r="0" b="0"/>
            <wp:wrapNone/>
            <wp:docPr id="345" name="image595.png" descr=""/>
            <wp:cNvGraphicFramePr>
              <a:graphicFrameLocks noChangeAspect="1"/>
            </wp:cNvGraphicFramePr>
            <a:graphic>
              <a:graphicData uri="http://schemas.openxmlformats.org/drawingml/2006/picture">
                <pic:pic>
                  <pic:nvPicPr>
                    <pic:cNvPr id="346" name="image595.png"/>
                    <pic:cNvPicPr/>
                  </pic:nvPicPr>
                  <pic:blipFill>
                    <a:blip r:embed="rId687" cstate="print"/>
                    <a:stretch>
                      <a:fillRect/>
                    </a:stretch>
                  </pic:blipFill>
                  <pic:spPr>
                    <a:xfrm>
                      <a:off x="0" y="0"/>
                      <a:ext cx="134442" cy="156908"/>
                    </a:xfrm>
                    <a:prstGeom prst="rect">
                      <a:avLst/>
                    </a:prstGeom>
                  </pic:spPr>
                </pic:pic>
              </a:graphicData>
            </a:graphic>
          </wp:anchor>
        </w:drawing>
      </w:r>
      <w:r>
        <w:rPr/>
        <w:pict>
          <v:group style="position:absolute;margin-left:228.323105pt;margin-top:33.913544pt;width:54.8pt;height:12.4pt;mso-position-horizontal-relative:page;mso-position-vertical-relative:paragraph;z-index:11104" coordorigin="4566,678" coordsize="1096,248">
            <v:shape style="position:absolute;left:4566;top:748;width:146;height:170" type="#_x0000_t75" stroked="false">
              <v:imagedata r:id="rId688" o:title=""/>
            </v:shape>
            <v:shape style="position:absolute;left:4747;top:678;width:518;height:247" type="#_x0000_t75" stroked="false">
              <v:imagedata r:id="rId689" o:title=""/>
            </v:shape>
            <v:shape style="position:absolute;left:5277;top:687;width:221;height:239" type="#_x0000_t75" stroked="false">
              <v:imagedata r:id="rId690" o:title=""/>
            </v:shape>
            <v:shape style="position:absolute;left:5531;top:748;width:131;height:164" type="#_x0000_t75" stroked="false">
              <v:imagedata r:id="rId691" o:title=""/>
            </v:shape>
            <w10:wrap type="none"/>
          </v:group>
        </w:pict>
      </w:r>
      <w:r>
        <w:rPr/>
        <w:pict>
          <v:group style="position:absolute;margin-left:215.820206pt;margin-top:55.801743pt;width:15.55pt;height:8.5pt;mso-position-horizontal-relative:page;mso-position-vertical-relative:paragraph;z-index:11128" coordorigin="4316,1116" coordsize="311,170">
            <v:shape style="position:absolute;left:4316;top:1116;width:146;height:170" type="#_x0000_t75" stroked="false">
              <v:imagedata r:id="rId692" o:title=""/>
            </v:shape>
            <v:shape style="position:absolute;left:4496;top:1116;width:131;height:164" type="#_x0000_t75" stroked="false">
              <v:imagedata r:id="rId693" o:title=""/>
            </v:shape>
            <w10:wrap type="none"/>
          </v:group>
        </w:pict>
      </w:r>
      <w:r>
        <w:rPr/>
        <w:pict>
          <v:group style="position:absolute;margin-left:236.0159pt;margin-top:52.99984pt;width:84.75pt;height:11.3pt;mso-position-horizontal-relative:page;mso-position-vertical-relative:paragraph;z-index:11152" coordorigin="4720,1060" coordsize="1695,226">
            <v:shape style="position:absolute;left:4720;top:1060;width:436;height:220" type="#_x0000_t75" stroked="false">
              <v:imagedata r:id="rId694" o:title=""/>
            </v:shape>
            <v:shape style="position:absolute;left:5187;top:1115;width:720;height:171" type="#_x0000_t75" stroked="false">
              <v:imagedata r:id="rId695" o:title=""/>
            </v:shape>
            <v:shape style="position:absolute;left:5937;top:1115;width:478;height:171" type="#_x0000_t75" stroked="false">
              <v:imagedata r:id="rId696" o:title=""/>
            </v:shape>
            <w10:wrap type="none"/>
          </v:group>
        </w:pict>
      </w:r>
      <w:r>
        <w:rPr>
          <w:color w:val="231F20"/>
          <w:w w:val="105"/>
        </w:rPr>
        <w:t>Gráfica 1</w:t>
      </w:r>
    </w:p>
    <w:p>
      <w:pPr>
        <w:pStyle w:val="BodyText"/>
        <w:rPr>
          <w:b/>
          <w:sz w:val="20"/>
        </w:rPr>
      </w:pPr>
      <w:r>
        <w:rPr/>
        <w:br w:type="column"/>
      </w:r>
      <w:r>
        <w:rPr>
          <w:b/>
          <w:sz w:val="20"/>
        </w:rPr>
      </w:r>
    </w:p>
    <w:p>
      <w:pPr>
        <w:pStyle w:val="BodyText"/>
        <w:rPr>
          <w:b/>
          <w:sz w:val="20"/>
        </w:rPr>
      </w:pPr>
    </w:p>
    <w:p>
      <w:pPr>
        <w:pStyle w:val="BodyText"/>
        <w:spacing w:before="8"/>
        <w:rPr>
          <w:b/>
          <w:sz w:val="16"/>
        </w:rPr>
      </w:pPr>
      <w:r>
        <w:rPr/>
        <w:pict>
          <v:group style="position:absolute;margin-left:288.76889pt;margin-top:11.567549pt;width:15.95pt;height:11.35pt;mso-position-horizontal-relative:page;mso-position-vertical-relative:paragraph;z-index:10960;mso-wrap-distance-left:0;mso-wrap-distance-right:0" coordorigin="5775,231" coordsize="319,227">
            <v:shape style="position:absolute;left:5775;top:231;width:142;height:227" type="#_x0000_t75" stroked="false">
              <v:imagedata r:id="rId697" o:title=""/>
            </v:shape>
            <v:shape style="position:absolute;left:5948;top:288;width:146;height:170" type="#_x0000_t75" stroked="false">
              <v:imagedata r:id="rId698" o:title=""/>
            </v:shape>
            <w10:wrap type="topAndBottom"/>
          </v:group>
        </w:pict>
      </w:r>
      <w:r>
        <w:rPr/>
        <w:pict>
          <v:group style="position:absolute;margin-left:309.077515pt;margin-top:11.605652pt;width:92.65pt;height:14.3pt;mso-position-horizontal-relative:page;mso-position-vertical-relative:paragraph;z-index:10984;mso-wrap-distance-left:0;mso-wrap-distance-right:0" coordorigin="6182,232" coordsize="1853,286">
            <v:shape style="position:absolute;left:6182;top:232;width:494;height:286" type="#_x0000_t75" stroked="false">
              <v:imagedata r:id="rId699" o:title=""/>
            </v:shape>
            <v:shape style="position:absolute;left:6720;top:247;width:643;height:211" type="#_x0000_t75" stroked="false">
              <v:imagedata r:id="rId700" o:title=""/>
            </v:shape>
            <v:shape style="position:absolute;left:7387;top:232;width:220;height:234" type="#_x0000_t75" stroked="false">
              <v:imagedata r:id="rId701" o:title=""/>
            </v:shape>
            <v:shape style="position:absolute;left:7641;top:247;width:393;height:211" type="#_x0000_t75" stroked="false">
              <v:imagedata r:id="rId702" o:title=""/>
            </v:shape>
            <w10:wrap type="topAndBottom"/>
          </v:group>
        </w:pict>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5"/>
        <w:rPr>
          <w:b/>
          <w:sz w:val="19"/>
        </w:rPr>
      </w:pPr>
    </w:p>
    <w:p>
      <w:pPr>
        <w:spacing w:before="0"/>
        <w:ind w:left="1727" w:right="0" w:firstLine="0"/>
        <w:jc w:val="left"/>
        <w:rPr>
          <w:rFonts w:ascii="Calibri" w:hAnsi="Calibri"/>
          <w:sz w:val="16"/>
        </w:rPr>
      </w:pPr>
      <w:r>
        <w:rPr/>
        <w:pict>
          <v:group style="position:absolute;margin-left:42.851395pt;margin-top:-283.597687pt;width:394.75pt;height:277.5pt;mso-position-horizontal-relative:page;mso-position-vertical-relative:paragraph;z-index:11008" coordorigin="857,-5672" coordsize="7895,5550">
            <v:shape style="position:absolute;left:-1011;top:3941;width:7766;height:5479" coordorigin="-1011,3941" coordsize="7766,5479" path="m1986,-5612l8741,-5612m1986,-5143l8741,-5143m1986,-4686l8741,-4686m1986,-4218l8741,-4218m1986,-3750l8741,-3750m1986,-3314l8741,-3314m1986,-2856l8741,-2856m1986,-2399l8741,-2399m1986,-1952l8741,-1952m1986,-1505l8741,-1505m975,-1143l8741,-1143m975,-803l8741,-803m975,-463l8741,-463m975,-133l8741,-133m975,-133l975,-1143m2039,-133l2039,-5612m3709,-133l3709,-1505m5401,-133l5401,-1505m7060,-133l7060,-1505m8741,-133l8741,-1505e" filled="false" stroked="true" strokeweight="1pt" strokecolor="#231f20">
              <v:path arrowok="t"/>
            </v:shape>
            <v:shape style="position:absolute;left:857;top:-4317;width:177;height:587" type="#_x0000_t75" stroked="false">
              <v:imagedata r:id="rId703" o:title=""/>
            </v:shape>
            <v:shape style="position:absolute;left:4839;top:-2330;width:392;height:158" type="#_x0000_t75" stroked="false">
              <v:imagedata r:id="rId704" o:title=""/>
            </v:shape>
            <v:shape style="position:absolute;left:5303;top:-2326;width:236;height:153" type="#_x0000_t75" stroked="false">
              <v:imagedata r:id="rId705" o:title=""/>
            </v:shape>
            <v:shape style="position:absolute;left:5602;top:-2290;width:111;height:118" coordorigin="5602,-2290" coordsize="111,118" path="m5667,-2290l5657,-2290,5645,-2289,5635,-2286,5626,-2281,5617,-2274,5611,-2266,5606,-2256,5606,-2255,5603,-2244,5602,-2230,5603,-2216,5606,-2204,5612,-2194,5619,-2186,5628,-2180,5637,-2175,5647,-2173,5658,-2172,5671,-2173,5682,-2176,5692,-2181,5700,-2188,5706,-2195,5706,-2196,5653,-2196,5647,-2197,5643,-2200,5636,-2204,5632,-2212,5631,-2223,5712,-2223,5712,-2233,5712,-2240,5712,-2242,5632,-2242,5633,-2249,5636,-2255,5644,-2264,5650,-2266,5704,-2266,5702,-2268,5697,-2276,5691,-2281,5675,-2288,5667,-2290xm5711,-2208l5681,-2208,5679,-2205,5677,-2202,5675,-2201,5671,-2197,5666,-2196,5706,-2196,5710,-2202,5711,-2208xm5704,-2266l5664,-2266,5670,-2264,5679,-2256,5681,-2250,5682,-2242,5712,-2242,5710,-2254,5707,-2261,5704,-2266xe" filled="true" fillcolor="#231f20" stroked="false">
              <v:path arrowok="t"/>
              <v:fill type="solid"/>
            </v:shape>
            <v:line style="position:absolute" from="5742,-2326" to="5742,-2176" stroked="true" strokeweight="1.449pt" strokecolor="#231f20"/>
            <v:shape style="position:absolute;left:5776;top:-2290;width:337;height:118" coordorigin="5776,-2290" coordsize="337,118" path="m5886,-2233l5886,-2240,5885,-2242,5883,-2254,5881,-2261,5878,-2266,5876,-2268,5871,-2276,5865,-2281,5856,-2285,5856,-2242,5806,-2242,5807,-2249,5809,-2255,5818,-2264,5823,-2266,5838,-2266,5843,-2264,5853,-2256,5855,-2250,5856,-2242,5856,-2285,5849,-2288,5840,-2290,5831,-2290,5819,-2289,5809,-2286,5799,-2281,5791,-2274,5784,-2266,5780,-2256,5780,-2255,5777,-2244,5776,-2230,5777,-2216,5780,-2204,5785,-2194,5793,-2186,5802,-2180,5811,-2175,5821,-2173,5832,-2172,5844,-2173,5856,-2176,5865,-2181,5874,-2188,5880,-2195,5880,-2196,5883,-2202,5884,-2208,5855,-2208,5853,-2205,5851,-2202,5849,-2201,5845,-2197,5839,-2196,5826,-2196,5821,-2197,5817,-2200,5809,-2204,5805,-2212,5805,-2223,5886,-2223,5886,-2233m5996,-2247l5995,-2263,5994,-2265,5990,-2274,5972,-2286,5960,-2289,5947,-2289,5935,-2288,5925,-2285,5916,-2280,5908,-2273,5902,-2265,5898,-2254,5895,-2243,5894,-2229,5895,-2217,5897,-2206,5901,-2196,5907,-2188,5914,-2181,5923,-2176,5934,-2173,5946,-2172,5959,-2173,5970,-2177,5979,-2183,5987,-2191,5990,-2196,5992,-2199,5995,-2207,5996,-2216,5967,-2216,5966,-2210,5964,-2206,5958,-2198,5954,-2196,5937,-2196,5931,-2201,5927,-2210,5925,-2215,5924,-2222,5924,-2238,5925,-2245,5931,-2260,5938,-2265,5954,-2265,5959,-2263,5963,-2258,5965,-2255,5966,-2251,5967,-2247,5996,-2247m6112,-2247l6111,-2263,6110,-2265,6105,-2274,6088,-2286,6076,-2289,6062,-2289,6051,-2288,6041,-2285,6032,-2280,6024,-2273,6018,-2265,6013,-2254,6011,-2243,6010,-2229,6011,-2217,6013,-2206,6017,-2196,6023,-2188,6030,-2181,6039,-2176,6049,-2173,6062,-2172,6075,-2173,6085,-2177,6095,-2183,6102,-2191,6106,-2196,6108,-2199,6111,-2207,6112,-2216,6082,-2216,6082,-2210,6080,-2206,6074,-2198,6070,-2196,6053,-2196,6047,-2201,6043,-2210,6041,-2215,6040,-2222,6040,-2238,6041,-2245,6047,-2260,6053,-2265,6070,-2265,6075,-2263,6078,-2258,6081,-2255,6082,-2251,6083,-2247,6112,-2247e" filled="true" fillcolor="#231f20" stroked="false">
              <v:path arrowok="t"/>
              <v:fill type="solid"/>
            </v:shape>
            <v:line style="position:absolute" from="6147,-2327" to="6147,-2176" stroked="true" strokeweight="1.471pt" strokecolor="#231f20"/>
            <v:shape style="position:absolute;left:6183;top:-2332;width:235;height:160" coordorigin="6183,-2332" coordsize="235,160" path="m6275,-2332l6242,-2332,6223,-2302,6244,-2302,6275,-2332m6296,-2231l6296,-2243,6293,-2254,6289,-2263,6287,-2266,6282,-2273,6275,-2280,6266,-2285,6266,-2243,6266,-2219,6264,-2211,6255,-2199,6248,-2196,6231,-2196,6225,-2199,6220,-2205,6216,-2211,6213,-2219,6213,-2243,6216,-2251,6225,-2263,6231,-2266,6248,-2266,6255,-2263,6264,-2251,6266,-2243,6266,-2285,6265,-2286,6253,-2289,6240,-2290,6226,-2289,6215,-2286,6205,-2280,6197,-2273,6191,-2263,6187,-2254,6184,-2243,6183,-2231,6184,-2219,6187,-2208,6191,-2199,6197,-2189,6205,-2182,6215,-2176,6226,-2173,6240,-2172,6253,-2173,6265,-2176,6275,-2182,6282,-2189,6287,-2196,6289,-2199,6293,-2208,6296,-2219,6296,-2231m6417,-2264l6417,-2265,6415,-2270,6414,-2274,6399,-2286,6390,-2289,6369,-2289,6362,-2287,6353,-2280,6349,-2276,6345,-2270,6345,-2287,6317,-2287,6317,-2176,6346,-2176,6346,-2243,6347,-2248,6353,-2261,6360,-2265,6377,-2265,6383,-2262,6387,-2254,6388,-2249,6388,-2176,6417,-2176,6417,-2264e" filled="true" fillcolor="#231f20" stroked="false">
              <v:path arrowok="t"/>
              <v:fill type="solid"/>
            </v:shape>
            <v:shape style="position:absolute;left:1247;top:-5672;width:113;height:173" type="#_x0000_t75" stroked="false">
              <v:imagedata r:id="rId706" o:title=""/>
            </v:shape>
            <v:shape style="position:absolute;left:1392;top:-5672;width:437;height:203" type="#_x0000_t75" stroked="false">
              <v:imagedata r:id="rId707" o:title=""/>
            </v:shape>
            <v:shape style="position:absolute;left:1246;top:-5218;width:115;height:173" type="#_x0000_t75" stroked="false">
              <v:imagedata r:id="rId708" o:title=""/>
            </v:shape>
            <v:shape style="position:absolute;left:1392;top:-5218;width:437;height:203" type="#_x0000_t75" stroked="false">
              <v:imagedata r:id="rId707" o:title=""/>
            </v:shape>
            <v:shape style="position:absolute;left:1247;top:-4764;width:582;height:203" type="#_x0000_t75" stroked="false">
              <v:imagedata r:id="rId709" o:title=""/>
            </v:shape>
            <v:shape style="position:absolute;left:1248;top:-4310;width:581;height:204" type="#_x0000_t75" stroked="false">
              <v:imagedata r:id="rId710" o:title=""/>
            </v:shape>
            <v:shape style="position:absolute;left:1246;top:-3853;width:116;height:169" type="#_x0000_t75" stroked="false">
              <v:imagedata r:id="rId711" o:title=""/>
            </v:shape>
            <v:shape style="position:absolute;left:1392;top:-3856;width:437;height:203" type="#_x0000_t75" stroked="false">
              <v:imagedata r:id="rId712" o:title=""/>
            </v:shape>
            <v:shape style="position:absolute;left:1245;top:-3402;width:584;height:204" type="#_x0000_t75" stroked="false">
              <v:imagedata r:id="rId713" o:title=""/>
            </v:shape>
            <v:shape style="position:absolute;left:1244;top:-2948;width:117;height:173" type="#_x0000_t75" stroked="false">
              <v:imagedata r:id="rId714" o:title=""/>
            </v:shape>
            <v:shape style="position:absolute;left:1392;top:-2948;width:437;height:203" type="#_x0000_t75" stroked="false">
              <v:imagedata r:id="rId715" o:title=""/>
            </v:shape>
            <v:shape style="position:absolute;left:1246;top:-2494;width:583;height:204" type="#_x0000_t75" stroked="false">
              <v:imagedata r:id="rId716" o:title=""/>
            </v:shape>
            <v:shape style="position:absolute;left:1262;top:-2039;width:62;height:168" coordorigin="1262,-2039" coordsize="62,168" path="m1324,-2039l1307,-2039,1304,-2026,1299,-2018,1287,-2011,1277,-2008,1262,-2007,1262,-1991,1301,-1991,1301,-1872,1324,-1872,1324,-2039xe" filled="true" fillcolor="#231f20" stroked="false">
              <v:path arrowok="t"/>
              <v:fill type="solid"/>
            </v:shape>
            <v:shape style="position:absolute;left:1392;top:-2040;width:437;height:203" type="#_x0000_t75" stroked="false">
              <v:imagedata r:id="rId717" o:title=""/>
            </v:shape>
            <v:shape style="position:absolute;left:1713;top:-1586;width:116;height:172" type="#_x0000_t75" stroked="false">
              <v:imagedata r:id="rId718" o:title=""/>
            </v:shape>
            <v:shape style="position:absolute;left:2683;top:-1379;width:418;height:144" type="#_x0000_t75" stroked="false">
              <v:imagedata r:id="rId719" o:title=""/>
            </v:shape>
            <v:shape style="position:absolute;left:2643;top:-1059;width:488;height:170" type="#_x0000_t75" stroked="false">
              <v:imagedata r:id="rId720" o:title=""/>
            </v:shape>
            <v:shape style="position:absolute;left:4332;top:-1059;width:455;height:170" type="#_x0000_t75" stroked="false">
              <v:imagedata r:id="rId721" o:title=""/>
            </v:shape>
            <v:shape style="position:absolute;left:6009;top:-1056;width:487;height:167" type="#_x0000_t75" stroked="false">
              <v:imagedata r:id="rId722" o:title=""/>
            </v:shape>
            <v:shape style="position:absolute;left:7687;top:-1059;width:487;height:170" type="#_x0000_t75" stroked="false">
              <v:imagedata r:id="rId723" o:title=""/>
            </v:shape>
            <v:shape style="position:absolute;left:2644;top:-724;width:488;height:170" type="#_x0000_t75" stroked="false">
              <v:imagedata r:id="rId724" o:title=""/>
            </v:shape>
            <v:shape style="position:absolute;left:4334;top:-724;width:486;height:170" type="#_x0000_t75" stroked="false">
              <v:imagedata r:id="rId725" o:title=""/>
            </v:shape>
            <v:shape style="position:absolute;left:6007;top:-724;width:487;height:170" type="#_x0000_t75" stroked="false">
              <v:imagedata r:id="rId726" o:title=""/>
            </v:shape>
            <v:shape style="position:absolute;left:7689;top:-724;width:486;height:170" type="#_x0000_t75" stroked="false">
              <v:imagedata r:id="rId727" o:title=""/>
            </v:shape>
            <v:shape style="position:absolute;left:2645;top:-399;width:485;height:170" type="#_x0000_t75" stroked="false">
              <v:imagedata r:id="rId728" o:title=""/>
            </v:shape>
            <v:shape style="position:absolute;left:4335;top:-399;width:485;height:170" type="#_x0000_t75" stroked="false">
              <v:imagedata r:id="rId729" o:title=""/>
            </v:shape>
            <v:shape style="position:absolute;left:6007;top:-399;width:344;height:170" type="#_x0000_t75" stroked="false">
              <v:imagedata r:id="rId730" o:title=""/>
            </v:shape>
            <v:shape style="position:absolute;left:6399;top:-399;width:96;height:145" coordorigin="6399,-399" coordsize="96,145" path="m6466,-399l6450,-399,6435,-397,6423,-391,6413,-380,6405,-365,6403,-355,6401,-345,6399,-333,6399,-329,6399,-319,6400,-304,6403,-290,6407,-279,6413,-270,6423,-260,6434,-255,6462,-255,6474,-260,6483,-271,6440,-271,6432,-274,6427,-280,6422,-286,6419,-293,6419,-312,6422,-320,6434,-330,6437,-331,6417,-331,6418,-343,6420,-354,6423,-363,6427,-370,6433,-379,6440,-384,6485,-384,6476,-395,6466,-399xm6487,-332l6459,-332,6466,-329,6474,-316,6476,-309,6476,-293,6474,-286,6465,-274,6458,-271,6483,-271,6491,-280,6495,-291,6495,-319,6491,-330,6487,-332xm6463,-348l6444,-348,6438,-347,6432,-345,6426,-342,6421,-337,6417,-331,6437,-331,6440,-332,6487,-332,6473,-345,6463,-348xm6485,-384l6459,-384,6465,-381,6472,-372,6473,-368,6474,-362,6492,-362,6492,-371,6489,-379,6485,-384xe" filled="true" fillcolor="#231f20" stroked="false">
              <v:path arrowok="t"/>
              <v:fill type="solid"/>
            </v:shape>
            <v:shape style="position:absolute;left:7690;top:-399;width:484;height:170" type="#_x0000_t75" stroked="false">
              <v:imagedata r:id="rId731" o:title=""/>
            </v:shape>
            <v:shape style="position:absolute;left:1580;top:-1062;width:363;height:143" type="#_x0000_t75" stroked="false">
              <v:imagedata r:id="rId732" o:title=""/>
            </v:shape>
            <v:shape style="position:absolute;left:1576;top:-727;width:251;height:143" type="#_x0000_t75" stroked="false">
              <v:imagedata r:id="rId733" o:title=""/>
            </v:shape>
            <v:line style="position:absolute" from="1866,-727" to="1866,-584" stroked="true" strokeweight=".982pt" strokecolor="#231f20"/>
            <v:shape style="position:absolute;left:1576;top:-402;width:394;height:143" type="#_x0000_t75" stroked="false">
              <v:imagedata r:id="rId734" o:title=""/>
            </v:shape>
            <v:shape style="position:absolute;left:4331;top:-1379;width:430;height:144" type="#_x0000_t75" stroked="false">
              <v:imagedata r:id="rId735" o:title=""/>
            </v:shape>
            <v:shape style="position:absolute;left:6026;top:-1379;width:430;height:144" type="#_x0000_t75" stroked="false">
              <v:imagedata r:id="rId736" o:title=""/>
            </v:shape>
            <v:shape style="position:absolute;left:7716;top:-1379;width:431;height:144" type="#_x0000_t75" stroked="false">
              <v:imagedata r:id="rId737" o:title=""/>
            </v:shape>
            <v:shape style="position:absolute;left:2864;top:-5094;width:5040;height:2290" coordorigin="2864,-5094" coordsize="5040,2290" path="m2864,-2804l4544,-5094,6234,-3439,7904,-4519e" filled="false" stroked="true" strokeweight="2pt" strokecolor="#f9ed32">
              <v:path arrowok="t"/>
            </v:shape>
            <v:shape style="position:absolute;left:2864;top:-4104;width:5040;height:870" coordorigin="2864,-4104" coordsize="5040,870" path="m2864,-3474l4544,-4024,6234,-3234,7904,-4104e" filled="false" stroked="true" strokeweight="2pt" strokecolor="#ef4136">
              <v:path arrowok="t"/>
            </v:shape>
            <v:shape style="position:absolute;left:-1800;top:3116;width:6840;height:3135" coordorigin="-1800,3116" coordsize="6840,3135" path="m2864,-3314l4544,-3444,6224,-4139,7904,-3144m1064,-1004l1524,-1004e" filled="false" stroked="true" strokeweight="2pt" strokecolor="#00aeef">
              <v:path arrowok="t"/>
            </v:shape>
            <v:line style="position:absolute" from="1064,-659" to="1524,-659" stroked="true" strokeweight="2pt" strokecolor="#ef4136"/>
            <v:line style="position:absolute" from="1064,-334" to="1524,-334" stroked="true" strokeweight="2pt" strokecolor="#f9ed32"/>
            <w10:wrap type="none"/>
          </v:group>
        </w:pict>
      </w:r>
      <w:r>
        <w:rPr>
          <w:rFonts w:ascii="Calibri" w:hAnsi="Calibri"/>
          <w:color w:val="231F20"/>
          <w:w w:val="95"/>
          <w:sz w:val="16"/>
        </w:rPr>
        <w:t>Fuente:  Elaboración propia.</w:t>
      </w:r>
    </w:p>
    <w:p>
      <w:pPr>
        <w:spacing w:after="0"/>
        <w:jc w:val="left"/>
        <w:rPr>
          <w:rFonts w:ascii="Calibri" w:hAnsi="Calibri"/>
          <w:sz w:val="16"/>
        </w:rPr>
        <w:sectPr>
          <w:pgSz w:w="9640" w:h="12190"/>
          <w:pgMar w:header="0" w:footer="743" w:top="1120" w:bottom="940" w:left="740" w:right="740"/>
          <w:cols w:num="2" w:equalWidth="0">
            <w:col w:w="4527" w:space="40"/>
            <w:col w:w="3593"/>
          </w:cols>
        </w:sectPr>
      </w:pPr>
    </w:p>
    <w:p>
      <w:pPr>
        <w:pStyle w:val="BodyText"/>
        <w:spacing w:before="10"/>
        <w:rPr>
          <w:rFonts w:ascii="Calibri"/>
          <w:sz w:val="25"/>
        </w:rPr>
      </w:pPr>
    </w:p>
    <w:p>
      <w:pPr>
        <w:pStyle w:val="BodyText"/>
        <w:spacing w:line="285" w:lineRule="auto" w:before="36"/>
        <w:ind w:left="110" w:right="105"/>
        <w:jc w:val="both"/>
      </w:pPr>
      <w:r>
        <w:rPr>
          <w:color w:val="231F20"/>
          <w:w w:val="105"/>
        </w:rPr>
        <w:t>En la </w:t>
      </w:r>
      <w:r>
        <w:rPr>
          <w:color w:val="231F20"/>
          <w:spacing w:val="4"/>
          <w:w w:val="105"/>
        </w:rPr>
        <w:t>gráfica </w:t>
      </w:r>
      <w:r>
        <w:rPr>
          <w:color w:val="231F20"/>
          <w:w w:val="105"/>
        </w:rPr>
        <w:t>2 puede </w:t>
      </w:r>
      <w:r>
        <w:rPr>
          <w:color w:val="231F20"/>
          <w:spacing w:val="3"/>
          <w:w w:val="105"/>
        </w:rPr>
        <w:t>observarse </w:t>
      </w:r>
      <w:r>
        <w:rPr>
          <w:color w:val="231F20"/>
          <w:w w:val="105"/>
        </w:rPr>
        <w:t>que el </w:t>
      </w:r>
      <w:r>
        <w:rPr>
          <w:color w:val="231F20"/>
          <w:spacing w:val="2"/>
          <w:w w:val="105"/>
        </w:rPr>
        <w:t>PRD </w:t>
      </w:r>
      <w:r>
        <w:rPr>
          <w:color w:val="231F20"/>
          <w:w w:val="105"/>
        </w:rPr>
        <w:t>y el PAN tienen </w:t>
      </w:r>
      <w:r>
        <w:rPr>
          <w:color w:val="231F20"/>
          <w:spacing w:val="3"/>
          <w:w w:val="105"/>
        </w:rPr>
        <w:t>un </w:t>
      </w:r>
      <w:r>
        <w:rPr>
          <w:color w:val="231F20"/>
          <w:spacing w:val="2"/>
          <w:w w:val="105"/>
        </w:rPr>
        <w:t>comportamiento</w:t>
      </w:r>
      <w:r>
        <w:rPr>
          <w:color w:val="231F20"/>
          <w:spacing w:val="-31"/>
          <w:w w:val="105"/>
        </w:rPr>
        <w:t> </w:t>
      </w:r>
      <w:r>
        <w:rPr>
          <w:color w:val="231F20"/>
          <w:w w:val="105"/>
        </w:rPr>
        <w:t>cí- </w:t>
      </w:r>
      <w:r>
        <w:rPr>
          <w:color w:val="231F20"/>
          <w:spacing w:val="2"/>
          <w:w w:val="105"/>
        </w:rPr>
        <w:t>clico</w:t>
      </w:r>
      <w:r>
        <w:rPr>
          <w:color w:val="231F20"/>
          <w:spacing w:val="-7"/>
          <w:w w:val="105"/>
        </w:rPr>
        <w:t> </w:t>
      </w:r>
      <w:r>
        <w:rPr>
          <w:color w:val="231F20"/>
          <w:spacing w:val="3"/>
          <w:w w:val="105"/>
        </w:rPr>
        <w:t>mientras</w:t>
      </w:r>
      <w:r>
        <w:rPr>
          <w:color w:val="231F20"/>
          <w:spacing w:val="-7"/>
          <w:w w:val="105"/>
        </w:rPr>
        <w:t> </w:t>
      </w:r>
      <w:r>
        <w:rPr>
          <w:color w:val="231F20"/>
          <w:w w:val="105"/>
        </w:rPr>
        <w:t>que</w:t>
      </w:r>
      <w:r>
        <w:rPr>
          <w:color w:val="231F20"/>
          <w:spacing w:val="-7"/>
          <w:w w:val="105"/>
        </w:rPr>
        <w:t> </w:t>
      </w:r>
      <w:r>
        <w:rPr>
          <w:color w:val="231F20"/>
          <w:w w:val="105"/>
        </w:rPr>
        <w:t>el</w:t>
      </w:r>
      <w:r>
        <w:rPr>
          <w:color w:val="231F20"/>
          <w:spacing w:val="-7"/>
          <w:w w:val="105"/>
        </w:rPr>
        <w:t> </w:t>
      </w:r>
      <w:r>
        <w:rPr>
          <w:color w:val="231F20"/>
          <w:spacing w:val="2"/>
          <w:w w:val="105"/>
        </w:rPr>
        <w:t>PRI</w:t>
      </w:r>
      <w:r>
        <w:rPr>
          <w:color w:val="231F20"/>
          <w:spacing w:val="-7"/>
          <w:w w:val="105"/>
        </w:rPr>
        <w:t> </w:t>
      </w:r>
      <w:r>
        <w:rPr>
          <w:color w:val="231F20"/>
          <w:spacing w:val="4"/>
          <w:w w:val="105"/>
        </w:rPr>
        <w:t>registra</w:t>
      </w:r>
      <w:r>
        <w:rPr>
          <w:color w:val="231F20"/>
          <w:spacing w:val="-7"/>
          <w:w w:val="105"/>
        </w:rPr>
        <w:t> </w:t>
      </w:r>
      <w:r>
        <w:rPr>
          <w:color w:val="231F20"/>
          <w:spacing w:val="3"/>
          <w:w w:val="105"/>
        </w:rPr>
        <w:t>una</w:t>
      </w:r>
      <w:r>
        <w:rPr>
          <w:color w:val="231F20"/>
          <w:spacing w:val="-7"/>
          <w:w w:val="105"/>
        </w:rPr>
        <w:t> </w:t>
      </w:r>
      <w:r>
        <w:rPr>
          <w:color w:val="231F20"/>
          <w:w w:val="105"/>
        </w:rPr>
        <w:t>tendencia</w:t>
      </w:r>
      <w:r>
        <w:rPr>
          <w:color w:val="231F20"/>
          <w:spacing w:val="-7"/>
          <w:w w:val="105"/>
        </w:rPr>
        <w:t> </w:t>
      </w:r>
      <w:r>
        <w:rPr>
          <w:color w:val="231F20"/>
          <w:spacing w:val="3"/>
          <w:w w:val="105"/>
        </w:rPr>
        <w:t>más</w:t>
      </w:r>
      <w:r>
        <w:rPr>
          <w:color w:val="231F20"/>
          <w:spacing w:val="-7"/>
          <w:w w:val="105"/>
        </w:rPr>
        <w:t> </w:t>
      </w:r>
      <w:r>
        <w:rPr>
          <w:color w:val="231F20"/>
          <w:spacing w:val="2"/>
          <w:w w:val="105"/>
        </w:rPr>
        <w:t>hacia</w:t>
      </w:r>
      <w:r>
        <w:rPr>
          <w:color w:val="231F20"/>
          <w:spacing w:val="-7"/>
          <w:w w:val="105"/>
        </w:rPr>
        <w:t> </w:t>
      </w:r>
      <w:r>
        <w:rPr>
          <w:color w:val="231F20"/>
          <w:w w:val="105"/>
        </w:rPr>
        <w:t>la</w:t>
      </w:r>
      <w:r>
        <w:rPr>
          <w:color w:val="231F20"/>
          <w:spacing w:val="-7"/>
          <w:w w:val="105"/>
        </w:rPr>
        <w:t> </w:t>
      </w:r>
      <w:r>
        <w:rPr>
          <w:color w:val="231F20"/>
          <w:w w:val="105"/>
        </w:rPr>
        <w:t>baja,</w:t>
      </w:r>
      <w:r>
        <w:rPr>
          <w:color w:val="231F20"/>
          <w:spacing w:val="-7"/>
          <w:w w:val="105"/>
        </w:rPr>
        <w:t> </w:t>
      </w:r>
      <w:r>
        <w:rPr>
          <w:color w:val="231F20"/>
          <w:w w:val="105"/>
        </w:rPr>
        <w:t>pero</w:t>
      </w:r>
      <w:r>
        <w:rPr>
          <w:color w:val="231F20"/>
          <w:spacing w:val="-7"/>
          <w:w w:val="105"/>
        </w:rPr>
        <w:t> </w:t>
      </w:r>
      <w:r>
        <w:rPr>
          <w:color w:val="231F20"/>
          <w:w w:val="105"/>
        </w:rPr>
        <w:t>si</w:t>
      </w:r>
      <w:r>
        <w:rPr>
          <w:color w:val="231F20"/>
          <w:spacing w:val="-7"/>
          <w:w w:val="105"/>
        </w:rPr>
        <w:t> </w:t>
      </w:r>
      <w:r>
        <w:rPr>
          <w:color w:val="231F20"/>
          <w:w w:val="105"/>
        </w:rPr>
        <w:t>se</w:t>
      </w:r>
      <w:r>
        <w:rPr>
          <w:color w:val="231F20"/>
          <w:spacing w:val="-7"/>
          <w:w w:val="105"/>
        </w:rPr>
        <w:t> </w:t>
      </w:r>
      <w:r>
        <w:rPr>
          <w:color w:val="231F20"/>
          <w:spacing w:val="2"/>
          <w:w w:val="105"/>
        </w:rPr>
        <w:t>compara </w:t>
      </w:r>
      <w:r>
        <w:rPr>
          <w:color w:val="231F20"/>
          <w:w w:val="105"/>
        </w:rPr>
        <w:t>con la </w:t>
      </w:r>
      <w:r>
        <w:rPr>
          <w:color w:val="231F20"/>
          <w:spacing w:val="4"/>
          <w:w w:val="105"/>
        </w:rPr>
        <w:t>gráfica </w:t>
      </w:r>
      <w:r>
        <w:rPr>
          <w:color w:val="231F20"/>
          <w:w w:val="105"/>
        </w:rPr>
        <w:t>1, los </w:t>
      </w:r>
      <w:r>
        <w:rPr>
          <w:color w:val="231F20"/>
          <w:spacing w:val="2"/>
          <w:w w:val="105"/>
        </w:rPr>
        <w:t>comportamientos </w:t>
      </w:r>
      <w:r>
        <w:rPr>
          <w:color w:val="231F20"/>
          <w:w w:val="105"/>
        </w:rPr>
        <w:t>se pueden ver </w:t>
      </w:r>
      <w:r>
        <w:rPr>
          <w:color w:val="231F20"/>
          <w:spacing w:val="2"/>
          <w:w w:val="105"/>
        </w:rPr>
        <w:t>diferentes, </w:t>
      </w:r>
      <w:r>
        <w:rPr>
          <w:color w:val="231F20"/>
          <w:w w:val="105"/>
        </w:rPr>
        <w:t>el </w:t>
      </w:r>
      <w:r>
        <w:rPr>
          <w:color w:val="231F20"/>
          <w:spacing w:val="3"/>
          <w:w w:val="105"/>
        </w:rPr>
        <w:t>caso </w:t>
      </w:r>
      <w:r>
        <w:rPr>
          <w:color w:val="231F20"/>
          <w:w w:val="105"/>
        </w:rPr>
        <w:t>del </w:t>
      </w:r>
      <w:r>
        <w:rPr>
          <w:color w:val="231F20"/>
          <w:spacing w:val="2"/>
          <w:w w:val="105"/>
        </w:rPr>
        <w:t>PRI </w:t>
      </w:r>
      <w:r>
        <w:rPr>
          <w:color w:val="231F20"/>
          <w:w w:val="105"/>
        </w:rPr>
        <w:t>tiene </w:t>
      </w:r>
      <w:r>
        <w:rPr>
          <w:color w:val="231F20"/>
          <w:spacing w:val="3"/>
          <w:w w:val="105"/>
        </w:rPr>
        <w:t>una </w:t>
      </w:r>
      <w:r>
        <w:rPr>
          <w:color w:val="231F20"/>
          <w:w w:val="105"/>
        </w:rPr>
        <w:t>votación que </w:t>
      </w:r>
      <w:r>
        <w:rPr>
          <w:color w:val="231F20"/>
          <w:spacing w:val="4"/>
          <w:w w:val="105"/>
        </w:rPr>
        <w:t>fluctúa </w:t>
      </w:r>
      <w:r>
        <w:rPr>
          <w:color w:val="231F20"/>
          <w:w w:val="105"/>
        </w:rPr>
        <w:t>entre los </w:t>
      </w:r>
      <w:r>
        <w:rPr>
          <w:color w:val="231F20"/>
          <w:spacing w:val="7"/>
          <w:w w:val="105"/>
        </w:rPr>
        <w:t>4000 </w:t>
      </w:r>
      <w:r>
        <w:rPr>
          <w:color w:val="231F20"/>
          <w:w w:val="105"/>
        </w:rPr>
        <w:t>y </w:t>
      </w:r>
      <w:r>
        <w:rPr>
          <w:color w:val="231F20"/>
          <w:spacing w:val="6"/>
          <w:w w:val="105"/>
        </w:rPr>
        <w:t>6000 </w:t>
      </w:r>
      <w:r>
        <w:rPr>
          <w:color w:val="231F20"/>
          <w:w w:val="105"/>
        </w:rPr>
        <w:t>votos aunque en porcentaje </w:t>
      </w:r>
      <w:r>
        <w:rPr>
          <w:color w:val="231F20"/>
          <w:spacing w:val="2"/>
          <w:w w:val="105"/>
        </w:rPr>
        <w:t>haya </w:t>
      </w:r>
      <w:r>
        <w:rPr>
          <w:color w:val="231F20"/>
          <w:spacing w:val="3"/>
          <w:w w:val="105"/>
        </w:rPr>
        <w:t>una </w:t>
      </w:r>
      <w:r>
        <w:rPr>
          <w:color w:val="231F20"/>
          <w:w w:val="105"/>
        </w:rPr>
        <w:t>tendencia descendente. El </w:t>
      </w:r>
      <w:r>
        <w:rPr>
          <w:color w:val="231F20"/>
          <w:spacing w:val="2"/>
          <w:w w:val="105"/>
        </w:rPr>
        <w:t>PRD </w:t>
      </w:r>
      <w:r>
        <w:rPr>
          <w:color w:val="231F20"/>
          <w:w w:val="105"/>
        </w:rPr>
        <w:t>en los dos </w:t>
      </w:r>
      <w:r>
        <w:rPr>
          <w:color w:val="231F20"/>
          <w:spacing w:val="4"/>
          <w:w w:val="105"/>
        </w:rPr>
        <w:t>gráficos </w:t>
      </w:r>
      <w:r>
        <w:rPr>
          <w:color w:val="231F20"/>
          <w:spacing w:val="3"/>
          <w:w w:val="105"/>
        </w:rPr>
        <w:t>conserva </w:t>
      </w:r>
      <w:r>
        <w:rPr>
          <w:color w:val="231F20"/>
          <w:w w:val="105"/>
        </w:rPr>
        <w:t>la </w:t>
      </w:r>
      <w:r>
        <w:rPr>
          <w:color w:val="231F20"/>
          <w:spacing w:val="3"/>
          <w:w w:val="105"/>
        </w:rPr>
        <w:t>misma </w:t>
      </w:r>
      <w:r>
        <w:rPr>
          <w:color w:val="231F20"/>
          <w:w w:val="105"/>
        </w:rPr>
        <w:t>tendencia, no </w:t>
      </w:r>
      <w:r>
        <w:rPr>
          <w:color w:val="231F20"/>
          <w:spacing w:val="3"/>
          <w:w w:val="105"/>
        </w:rPr>
        <w:t>así </w:t>
      </w:r>
      <w:r>
        <w:rPr>
          <w:color w:val="231F20"/>
          <w:w w:val="105"/>
        </w:rPr>
        <w:t>el PAN. </w:t>
      </w:r>
      <w:r>
        <w:rPr>
          <w:color w:val="231F20"/>
          <w:spacing w:val="2"/>
          <w:w w:val="105"/>
        </w:rPr>
        <w:t>Finalmente, </w:t>
      </w:r>
      <w:r>
        <w:rPr>
          <w:color w:val="231F20"/>
          <w:w w:val="105"/>
        </w:rPr>
        <w:t>aún </w:t>
      </w:r>
      <w:r>
        <w:rPr>
          <w:color w:val="231F20"/>
          <w:spacing w:val="2"/>
          <w:w w:val="105"/>
        </w:rPr>
        <w:t>cuando </w:t>
      </w:r>
      <w:r>
        <w:rPr>
          <w:color w:val="231F20"/>
          <w:w w:val="105"/>
        </w:rPr>
        <w:t>la mayor de </w:t>
      </w:r>
      <w:r>
        <w:rPr>
          <w:color w:val="231F20"/>
          <w:spacing w:val="3"/>
          <w:w w:val="105"/>
        </w:rPr>
        <w:t>las </w:t>
      </w:r>
      <w:r>
        <w:rPr>
          <w:color w:val="231F20"/>
          <w:spacing w:val="2"/>
          <w:w w:val="105"/>
        </w:rPr>
        <w:t>veces </w:t>
      </w:r>
      <w:r>
        <w:rPr>
          <w:color w:val="231F20"/>
          <w:w w:val="105"/>
        </w:rPr>
        <w:t>se hable de los</w:t>
      </w:r>
      <w:r>
        <w:rPr>
          <w:color w:val="231F20"/>
          <w:spacing w:val="55"/>
          <w:w w:val="105"/>
        </w:rPr>
        <w:t> </w:t>
      </w:r>
      <w:r>
        <w:rPr>
          <w:color w:val="231F20"/>
          <w:spacing w:val="2"/>
          <w:w w:val="105"/>
        </w:rPr>
        <w:t>resultados</w:t>
      </w:r>
    </w:p>
    <w:p>
      <w:pPr>
        <w:spacing w:after="0" w:line="285" w:lineRule="auto"/>
        <w:jc w:val="both"/>
        <w:sectPr>
          <w:type w:val="continuous"/>
          <w:pgSz w:w="9640" w:h="12190"/>
          <w:pgMar w:top="0" w:bottom="0" w:left="740" w:right="740"/>
        </w:sectPr>
      </w:pPr>
    </w:p>
    <w:p>
      <w:pPr>
        <w:pStyle w:val="BodyText"/>
        <w:spacing w:before="3"/>
        <w:rPr>
          <w:sz w:val="11"/>
        </w:rPr>
      </w:pPr>
    </w:p>
    <w:p>
      <w:pPr>
        <w:pStyle w:val="BodyText"/>
        <w:spacing w:before="36"/>
        <w:ind w:left="110" w:right="574"/>
      </w:pPr>
      <w:r>
        <w:rPr>
          <w:color w:val="231F20"/>
          <w:w w:val="105"/>
        </w:rPr>
        <w:t>electorales en valores relativos, la verdad es que una elección se gana con votos.</w:t>
      </w:r>
    </w:p>
    <w:p>
      <w:pPr>
        <w:pStyle w:val="BodyText"/>
        <w:spacing w:before="2"/>
        <w:rPr>
          <w:sz w:val="30"/>
        </w:rPr>
      </w:pPr>
    </w:p>
    <w:p>
      <w:pPr>
        <w:pStyle w:val="Heading5"/>
        <w:ind w:right="102"/>
        <w:jc w:val="center"/>
      </w:pPr>
      <w:r>
        <w:rPr>
          <w:color w:val="231F20"/>
          <w:w w:val="105"/>
        </w:rPr>
        <w:t>Gráfica 2</w:t>
      </w:r>
    </w:p>
    <w:p>
      <w:pPr>
        <w:pStyle w:val="BodyText"/>
        <w:spacing w:before="8"/>
        <w:rPr>
          <w:b/>
          <w:sz w:val="13"/>
        </w:rPr>
      </w:pPr>
      <w:r>
        <w:rPr/>
        <w:pict>
          <v:group style="position:absolute;margin-left:79.637207pt;margin-top:10.473818pt;width:65.45pt;height:13.1pt;mso-position-horizontal-relative:page;mso-position-vertical-relative:paragraph;z-index:11176;mso-wrap-distance-left:0;mso-wrap-distance-right:0" coordorigin="1593,209" coordsize="1309,262">
            <v:shape style="position:absolute;left:1593;top:209;width:308;height:207" type="#_x0000_t75" stroked="false">
              <v:imagedata r:id="rId739" o:title=""/>
            </v:shape>
            <v:shape style="position:absolute;left:1932;top:260;width:359;height:157" type="#_x0000_t75" stroked="false">
              <v:imagedata r:id="rId740" o:title=""/>
            </v:shape>
            <v:shape style="position:absolute;left:2322;top:209;width:579;height:261" type="#_x0000_t75" stroked="false">
              <v:imagedata r:id="rId741" o:title=""/>
            </v:shape>
            <w10:wrap type="topAndBottom"/>
          </v:group>
        </w:pict>
      </w:r>
      <w:r>
        <w:rPr/>
        <w:drawing>
          <wp:anchor distT="0" distB="0" distL="0" distR="0" allowOverlap="1" layoutInCell="1" locked="0" behindDoc="0" simplePos="0" relativeHeight="11200">
            <wp:simplePos x="0" y="0"/>
            <wp:positionH relativeFrom="page">
              <wp:posOffset>1904969</wp:posOffset>
            </wp:positionH>
            <wp:positionV relativeFrom="paragraph">
              <wp:posOffset>132575</wp:posOffset>
            </wp:positionV>
            <wp:extent cx="183734" cy="130683"/>
            <wp:effectExtent l="0" t="0" r="0" b="0"/>
            <wp:wrapTopAndBottom/>
            <wp:docPr id="347" name="image649.png" descr=""/>
            <wp:cNvGraphicFramePr>
              <a:graphicFrameLocks noChangeAspect="1"/>
            </wp:cNvGraphicFramePr>
            <a:graphic>
              <a:graphicData uri="http://schemas.openxmlformats.org/drawingml/2006/picture">
                <pic:pic>
                  <pic:nvPicPr>
                    <pic:cNvPr id="348" name="image649.png"/>
                    <pic:cNvPicPr/>
                  </pic:nvPicPr>
                  <pic:blipFill>
                    <a:blip r:embed="rId742" cstate="print"/>
                    <a:stretch>
                      <a:fillRect/>
                    </a:stretch>
                  </pic:blipFill>
                  <pic:spPr>
                    <a:xfrm>
                      <a:off x="0" y="0"/>
                      <a:ext cx="183734" cy="130683"/>
                    </a:xfrm>
                    <a:prstGeom prst="rect">
                      <a:avLst/>
                    </a:prstGeom>
                  </pic:spPr>
                </pic:pic>
              </a:graphicData>
            </a:graphic>
          </wp:anchor>
        </w:drawing>
      </w:r>
      <w:r>
        <w:rPr/>
        <w:drawing>
          <wp:anchor distT="0" distB="0" distL="0" distR="0" allowOverlap="1" layoutInCell="1" locked="0" behindDoc="0" simplePos="0" relativeHeight="11224">
            <wp:simplePos x="0" y="0"/>
            <wp:positionH relativeFrom="page">
              <wp:posOffset>2149500</wp:posOffset>
            </wp:positionH>
            <wp:positionV relativeFrom="paragraph">
              <wp:posOffset>141656</wp:posOffset>
            </wp:positionV>
            <wp:extent cx="423033" cy="123825"/>
            <wp:effectExtent l="0" t="0" r="0" b="0"/>
            <wp:wrapTopAndBottom/>
            <wp:docPr id="349" name="image650.png" descr=""/>
            <wp:cNvGraphicFramePr>
              <a:graphicFrameLocks noChangeAspect="1"/>
            </wp:cNvGraphicFramePr>
            <a:graphic>
              <a:graphicData uri="http://schemas.openxmlformats.org/drawingml/2006/picture">
                <pic:pic>
                  <pic:nvPicPr>
                    <pic:cNvPr id="350" name="image650.png"/>
                    <pic:cNvPicPr/>
                  </pic:nvPicPr>
                  <pic:blipFill>
                    <a:blip r:embed="rId743" cstate="print"/>
                    <a:stretch>
                      <a:fillRect/>
                    </a:stretch>
                  </pic:blipFill>
                  <pic:spPr>
                    <a:xfrm>
                      <a:off x="0" y="0"/>
                      <a:ext cx="423033" cy="123825"/>
                    </a:xfrm>
                    <a:prstGeom prst="rect">
                      <a:avLst/>
                    </a:prstGeom>
                  </pic:spPr>
                </pic:pic>
              </a:graphicData>
            </a:graphic>
          </wp:anchor>
        </w:drawing>
      </w:r>
      <w:r>
        <w:rPr/>
        <w:drawing>
          <wp:anchor distT="0" distB="0" distL="0" distR="0" allowOverlap="1" layoutInCell="1" locked="0" behindDoc="0" simplePos="0" relativeHeight="11248">
            <wp:simplePos x="0" y="0"/>
            <wp:positionH relativeFrom="page">
              <wp:posOffset>2635487</wp:posOffset>
            </wp:positionH>
            <wp:positionV relativeFrom="paragraph">
              <wp:posOffset>165477</wp:posOffset>
            </wp:positionV>
            <wp:extent cx="344579" cy="133350"/>
            <wp:effectExtent l="0" t="0" r="0" b="0"/>
            <wp:wrapTopAndBottom/>
            <wp:docPr id="351" name="image651.png" descr=""/>
            <wp:cNvGraphicFramePr>
              <a:graphicFrameLocks noChangeAspect="1"/>
            </wp:cNvGraphicFramePr>
            <a:graphic>
              <a:graphicData uri="http://schemas.openxmlformats.org/drawingml/2006/picture">
                <pic:pic>
                  <pic:nvPicPr>
                    <pic:cNvPr id="352" name="image651.png"/>
                    <pic:cNvPicPr/>
                  </pic:nvPicPr>
                  <pic:blipFill>
                    <a:blip r:embed="rId744" cstate="print"/>
                    <a:stretch>
                      <a:fillRect/>
                    </a:stretch>
                  </pic:blipFill>
                  <pic:spPr>
                    <a:xfrm>
                      <a:off x="0" y="0"/>
                      <a:ext cx="344579" cy="133350"/>
                    </a:xfrm>
                    <a:prstGeom prst="rect">
                      <a:avLst/>
                    </a:prstGeom>
                  </pic:spPr>
                </pic:pic>
              </a:graphicData>
            </a:graphic>
          </wp:anchor>
        </w:drawing>
      </w:r>
      <w:r>
        <w:rPr/>
        <w:drawing>
          <wp:anchor distT="0" distB="0" distL="0" distR="0" allowOverlap="1" layoutInCell="1" locked="0" behindDoc="0" simplePos="0" relativeHeight="11272">
            <wp:simplePos x="0" y="0"/>
            <wp:positionH relativeFrom="page">
              <wp:posOffset>3044558</wp:posOffset>
            </wp:positionH>
            <wp:positionV relativeFrom="paragraph">
              <wp:posOffset>125170</wp:posOffset>
            </wp:positionV>
            <wp:extent cx="123976" cy="144684"/>
            <wp:effectExtent l="0" t="0" r="0" b="0"/>
            <wp:wrapTopAndBottom/>
            <wp:docPr id="353" name="image652.png" descr=""/>
            <wp:cNvGraphicFramePr>
              <a:graphicFrameLocks noChangeAspect="1"/>
            </wp:cNvGraphicFramePr>
            <a:graphic>
              <a:graphicData uri="http://schemas.openxmlformats.org/drawingml/2006/picture">
                <pic:pic>
                  <pic:nvPicPr>
                    <pic:cNvPr id="354" name="image652.png"/>
                    <pic:cNvPicPr/>
                  </pic:nvPicPr>
                  <pic:blipFill>
                    <a:blip r:embed="rId745" cstate="print"/>
                    <a:stretch>
                      <a:fillRect/>
                    </a:stretch>
                  </pic:blipFill>
                  <pic:spPr>
                    <a:xfrm>
                      <a:off x="0" y="0"/>
                      <a:ext cx="123976" cy="144684"/>
                    </a:xfrm>
                    <a:prstGeom prst="rect">
                      <a:avLst/>
                    </a:prstGeom>
                  </pic:spPr>
                </pic:pic>
              </a:graphicData>
            </a:graphic>
          </wp:anchor>
        </w:drawing>
      </w:r>
      <w:r>
        <w:rPr/>
        <w:pict>
          <v:group style="position:absolute;margin-left:254.136688pt;margin-top:9.855918pt;width:50.25pt;height:11.35pt;mso-position-horizontal-relative:page;mso-position-vertical-relative:paragraph;z-index:11296;mso-wrap-distance-left:0;mso-wrap-distance-right:0" coordorigin="5083,197" coordsize="1005,227">
            <v:shape style="position:absolute;left:5083;top:261;width:134;height:156" type="#_x0000_t75" stroked="false">
              <v:imagedata r:id="rId746" o:title=""/>
            </v:shape>
            <v:shape style="position:absolute;left:5248;top:197;width:688;height:227" type="#_x0000_t75" stroked="false">
              <v:imagedata r:id="rId747" o:title=""/>
            </v:shape>
            <v:shape style="position:absolute;left:5967;top:261;width:120;height:150" type="#_x0000_t75" stroked="false">
              <v:imagedata r:id="rId748" o:title=""/>
            </v:shape>
            <w10:wrap type="topAndBottom"/>
          </v:group>
        </w:pict>
      </w:r>
      <w:r>
        <w:rPr/>
        <w:drawing>
          <wp:anchor distT="0" distB="0" distL="0" distR="0" allowOverlap="1" layoutInCell="1" locked="0" behindDoc="0" simplePos="0" relativeHeight="11320">
            <wp:simplePos x="0" y="0"/>
            <wp:positionH relativeFrom="page">
              <wp:posOffset>3931539</wp:posOffset>
            </wp:positionH>
            <wp:positionV relativeFrom="paragraph">
              <wp:posOffset>132575</wp:posOffset>
            </wp:positionV>
            <wp:extent cx="183747" cy="130683"/>
            <wp:effectExtent l="0" t="0" r="0" b="0"/>
            <wp:wrapTopAndBottom/>
            <wp:docPr id="355" name="image656.png" descr=""/>
            <wp:cNvGraphicFramePr>
              <a:graphicFrameLocks noChangeAspect="1"/>
            </wp:cNvGraphicFramePr>
            <a:graphic>
              <a:graphicData uri="http://schemas.openxmlformats.org/drawingml/2006/picture">
                <pic:pic>
                  <pic:nvPicPr>
                    <pic:cNvPr id="356" name="image656.png"/>
                    <pic:cNvPicPr/>
                  </pic:nvPicPr>
                  <pic:blipFill>
                    <a:blip r:embed="rId749" cstate="print"/>
                    <a:stretch>
                      <a:fillRect/>
                    </a:stretch>
                  </pic:blipFill>
                  <pic:spPr>
                    <a:xfrm>
                      <a:off x="0" y="0"/>
                      <a:ext cx="183747" cy="130683"/>
                    </a:xfrm>
                    <a:prstGeom prst="rect">
                      <a:avLst/>
                    </a:prstGeom>
                  </pic:spPr>
                </pic:pic>
              </a:graphicData>
            </a:graphic>
          </wp:anchor>
        </w:drawing>
      </w:r>
      <w:r>
        <w:rPr/>
        <w:pict>
          <v:group style="position:absolute;margin-left:328.193604pt;margin-top:10.474213pt;width:85pt;height:13.15pt;mso-position-horizontal-relative:page;mso-position-vertical-relative:paragraph;z-index:11344;mso-wrap-distance-left:0;mso-wrap-distance-right:0" coordorigin="6564,209" coordsize="1700,263">
            <v:shape style="position:absolute;left:6564;top:209;width:453;height:262" type="#_x0000_t75" stroked="false">
              <v:imagedata r:id="rId750" o:title=""/>
            </v:shape>
            <v:shape style="position:absolute;left:7058;top:223;width:589;height:193" type="#_x0000_t75" stroked="false">
              <v:imagedata r:id="rId751" o:title=""/>
            </v:shape>
            <v:shape style="position:absolute;left:7669;top:209;width:202;height:214" type="#_x0000_t75" stroked="false">
              <v:imagedata r:id="rId752" o:title=""/>
            </v:shape>
            <v:shape style="position:absolute;left:7902;top:223;width:361;height:193" type="#_x0000_t75" stroked="false">
              <v:imagedata r:id="rId753" o:title=""/>
            </v:shape>
            <w10:wrap type="topAndBottom"/>
          </v:group>
        </w:pict>
      </w:r>
    </w:p>
    <w:p>
      <w:pPr>
        <w:pStyle w:val="BodyText"/>
        <w:rPr>
          <w:b/>
          <w:sz w:val="4"/>
        </w:rPr>
      </w:pPr>
    </w:p>
    <w:p>
      <w:pPr>
        <w:spacing w:line="207" w:lineRule="exact"/>
        <w:ind w:left="3221" w:right="0" w:firstLine="0"/>
        <w:rPr>
          <w:sz w:val="20"/>
        </w:rPr>
      </w:pPr>
      <w:r>
        <w:rPr>
          <w:position w:val="-3"/>
          <w:sz w:val="15"/>
        </w:rPr>
        <w:pict>
          <v:group style="width:14.25pt;height:7.8pt;mso-position-horizontal-relative:char;mso-position-vertical-relative:line" coordorigin="0,0" coordsize="285,156">
            <v:shape style="position:absolute;left:0;top:0;width:134;height:156" type="#_x0000_t75" stroked="false">
              <v:imagedata r:id="rId746" o:title=""/>
            </v:shape>
            <v:shape style="position:absolute;left:165;top:0;width:120;height:150" type="#_x0000_t75" stroked="false">
              <v:imagedata r:id="rId748" o:title=""/>
            </v:shape>
          </v:group>
        </w:pict>
      </w:r>
      <w:r>
        <w:rPr>
          <w:position w:val="-3"/>
          <w:sz w:val="15"/>
        </w:rPr>
      </w:r>
      <w:r>
        <w:rPr>
          <w:spacing w:val="25"/>
          <w:position w:val="-3"/>
          <w:sz w:val="20"/>
        </w:rPr>
        <w:t> </w:t>
      </w:r>
      <w:r>
        <w:rPr>
          <w:spacing w:val="25"/>
          <w:position w:val="-3"/>
          <w:sz w:val="20"/>
        </w:rPr>
        <w:drawing>
          <wp:inline distT="0" distB="0" distL="0" distR="0">
            <wp:extent cx="980474" cy="130683"/>
            <wp:effectExtent l="0" t="0" r="0" b="0"/>
            <wp:docPr id="357" name="image661.png" descr=""/>
            <wp:cNvGraphicFramePr>
              <a:graphicFrameLocks noChangeAspect="1"/>
            </wp:cNvGraphicFramePr>
            <a:graphic>
              <a:graphicData uri="http://schemas.openxmlformats.org/drawingml/2006/picture">
                <pic:pic>
                  <pic:nvPicPr>
                    <pic:cNvPr id="358" name="image661.png"/>
                    <pic:cNvPicPr/>
                  </pic:nvPicPr>
                  <pic:blipFill>
                    <a:blip r:embed="rId754" cstate="print"/>
                    <a:stretch>
                      <a:fillRect/>
                    </a:stretch>
                  </pic:blipFill>
                  <pic:spPr>
                    <a:xfrm>
                      <a:off x="0" y="0"/>
                      <a:ext cx="980474" cy="130683"/>
                    </a:xfrm>
                    <a:prstGeom prst="rect">
                      <a:avLst/>
                    </a:prstGeom>
                  </pic:spPr>
                </pic:pic>
              </a:graphicData>
            </a:graphic>
          </wp:inline>
        </w:drawing>
      </w:r>
      <w:r>
        <w:rPr>
          <w:spacing w:val="25"/>
          <w:position w:val="-3"/>
          <w:sz w:val="20"/>
        </w:rPr>
      </w:r>
    </w:p>
    <w:p>
      <w:pPr>
        <w:pStyle w:val="BodyText"/>
        <w:spacing w:before="5"/>
        <w:rPr>
          <w:b/>
          <w:sz w:val="21"/>
        </w:rPr>
      </w:pPr>
      <w:r>
        <w:rPr/>
        <w:pict>
          <v:group style="position:absolute;margin-left:43.104996pt;margin-top:14.302301pt;width:396.3pt;height:281.8pt;mso-position-horizontal-relative:page;mso-position-vertical-relative:paragraph;z-index:11392;mso-wrap-distance-left:0;mso-wrap-distance-right:0" coordorigin="862,286" coordsize="7926,5636">
            <v:line style="position:absolute" from="1917,347" to="8777,347" stroked="true" strokeweight="1pt" strokecolor="#231f20"/>
            <v:line style="position:absolute" from="1917,823" to="8777,823" stroked="true" strokeweight="1pt" strokecolor="#231f20"/>
            <v:line style="position:absolute" from="1917,1287" to="8777,1287" stroked="true" strokeweight="1pt" strokecolor="#231f20"/>
            <v:line style="position:absolute" from="1917,1763" to="8777,1763" stroked="true" strokeweight="1pt" strokecolor="#231f20"/>
            <v:line style="position:absolute" from="1917,2238" to="8777,2238" stroked="true" strokeweight="1pt" strokecolor="#231f20"/>
            <v:line style="position:absolute" from="1917,2681" to="8777,2681" stroked="true" strokeweight="1pt" strokecolor="#231f20"/>
            <v:line style="position:absolute" from="1917,3146" to="8777,3146" stroked="true" strokeweight="1pt" strokecolor="#231f20"/>
            <v:line style="position:absolute" from="1917,3610" to="8777,3610" stroked="true" strokeweight="1pt" strokecolor="#231f20"/>
            <v:line style="position:absolute" from="1917,4064" to="8777,4064" stroked="true" strokeweight="1pt" strokecolor="#231f20"/>
            <v:line style="position:absolute" from="1917,4518" to="8777,4518" stroked="true" strokeweight="1pt" strokecolor="#231f20"/>
            <v:line style="position:absolute" from="890,4885" to="8777,4885" stroked="true" strokeweight="1pt" strokecolor="#231f20"/>
            <v:line style="position:absolute" from="890,5231" to="8777,5231" stroked="true" strokeweight="1pt" strokecolor="#231f20"/>
            <v:line style="position:absolute" from="890,5577" to="8777,5577" stroked="true" strokeweight="1pt" strokecolor="#231f20"/>
            <v:line style="position:absolute" from="890,5912" to="8777,5912" stroked="true" strokeweight="1pt" strokecolor="#231f20"/>
            <v:line style="position:absolute" from="890,5912" to="890,4885" stroked="true" strokeweight="1pt" strokecolor="#231f20"/>
            <v:line style="position:absolute" from="1971,5912" to="1971,347" stroked="true" strokeweight="1pt" strokecolor="#231f20"/>
            <v:line style="position:absolute" from="3667,5912" to="3667,4518" stroked="true" strokeweight="1pt" strokecolor="#231f20"/>
            <v:line style="position:absolute" from="5385,5912" to="5385,4518" stroked="true" strokeweight="1pt" strokecolor="#231f20"/>
            <v:line style="position:absolute" from="7070,5912" to="7070,4518" stroked="true" strokeweight="1pt" strokecolor="#231f20"/>
            <v:line style="position:absolute" from="8777,5912" to="8777,4518" stroked="true" strokeweight="1pt" strokecolor="#231f20"/>
            <v:shape style="position:absolute;left:862;top:2358;width:174;height:200" type="#_x0000_t75" stroked="false">
              <v:imagedata r:id="rId755" o:title=""/>
            </v:shape>
            <v:shape style="position:absolute;left:4814;top:3681;width:399;height:160" type="#_x0000_t75" stroked="false">
              <v:imagedata r:id="rId756" o:title=""/>
            </v:shape>
            <v:shape style="position:absolute;left:5285;top:3685;width:239;height:156" type="#_x0000_t75" stroked="false">
              <v:imagedata r:id="rId757" o:title=""/>
            </v:shape>
            <v:shape style="position:absolute;left:5589;top:3721;width:112;height:119" type="#_x0000_t75" stroked="false">
              <v:imagedata r:id="rId758" o:title=""/>
            </v:shape>
            <v:shape style="position:absolute;left:5717;top:3670;width:701;height:182" type="#_x0000_t75" stroked="false">
              <v:imagedata r:id="rId759" o:title=""/>
            </v:shape>
            <v:shape style="position:absolute;left:1143;top:286;width:255;height:175" type="#_x0000_t75" stroked="false">
              <v:imagedata r:id="rId760" o:title=""/>
            </v:shape>
            <v:shape style="position:absolute;left:1415;top:287;width:321;height:175" type="#_x0000_t75" stroked="false">
              <v:imagedata r:id="rId761" o:title=""/>
            </v:shape>
            <v:shape style="position:absolute;left:1143;top:747;width:255;height:176" type="#_x0000_t75" stroked="false">
              <v:imagedata r:id="rId762" o:title=""/>
            </v:shape>
            <v:shape style="position:absolute;left:1415;top:748;width:321;height:175" type="#_x0000_t75" stroked="false">
              <v:imagedata r:id="rId763" o:title=""/>
            </v:shape>
            <v:shape style="position:absolute;left:1142;top:1208;width:255;height:175" type="#_x0000_t75" stroked="false">
              <v:imagedata r:id="rId764" o:title=""/>
            </v:shape>
            <v:shape style="position:absolute;left:1415;top:1209;width:321;height:175" type="#_x0000_t75" stroked="false">
              <v:imagedata r:id="rId765" o:title=""/>
            </v:shape>
            <v:shape style="position:absolute;left:1142;top:1669;width:255;height:175" type="#_x0000_t75" stroked="false">
              <v:imagedata r:id="rId766" o:title=""/>
            </v:shape>
            <v:shape style="position:absolute;left:1415;top:1670;width:321;height:175" type="#_x0000_t75" stroked="false">
              <v:imagedata r:id="rId767" o:title=""/>
            </v:shape>
            <v:shape style="position:absolute;left:1144;top:2130;width:253;height:175" type="#_x0000_t75" stroked="false">
              <v:imagedata r:id="rId768" o:title=""/>
            </v:shape>
            <v:shape style="position:absolute;left:1415;top:2131;width:321;height:175" type="#_x0000_t75" stroked="false">
              <v:imagedata r:id="rId769" o:title=""/>
            </v:shape>
            <v:shape style="position:absolute;left:1144;top:2591;width:253;height:176" type="#_x0000_t75" stroked="false">
              <v:imagedata r:id="rId770" o:title=""/>
            </v:shape>
            <v:shape style="position:absolute;left:1415;top:2592;width:321;height:175" type="#_x0000_t75" stroked="false">
              <v:imagedata r:id="rId771" o:title=""/>
            </v:shape>
            <v:shape style="position:absolute;left:1160;top:3054;width:63;height:170" coordorigin="1160,3054" coordsize="63,170" path="m1223,3054l1206,3054,1203,3067,1198,3075,1186,3082,1175,3085,1160,3086,1160,3103,1200,3103,1200,3223,1223,3223,1223,3054xe" filled="true" fillcolor="#231f20" stroked="false">
              <v:path arrowok="t"/>
              <v:fill type="solid"/>
            </v:shape>
            <v:shape style="position:absolute;left:1280;top:3056;width:117;height:172" type="#_x0000_t75" stroked="false">
              <v:imagedata r:id="rId772" o:title=""/>
            </v:shape>
            <v:shape style="position:absolute;left:1415;top:3053;width:321;height:175" type="#_x0000_t75" stroked="false">
              <v:imagedata r:id="rId773" o:title=""/>
            </v:shape>
            <v:shape style="position:absolute;left:1160;top:3515;width:63;height:170" coordorigin="1160,3515" coordsize="63,170" path="m1223,3515l1206,3515,1203,3528,1198,3536,1186,3543,1175,3546,1160,3547,1160,3564,1200,3564,1200,3684,1223,3684,1223,3515xe" filled="true" fillcolor="#231f20" stroked="false">
              <v:path arrowok="t"/>
              <v:fill type="solid"/>
            </v:shape>
            <v:shape style="position:absolute;left:1280;top:3514;width:118;height:175" type="#_x0000_t75" stroked="false">
              <v:imagedata r:id="rId774" o:title=""/>
            </v:shape>
            <v:shape style="position:absolute;left:1415;top:3514;width:321;height:175" type="#_x0000_t75" stroked="false">
              <v:imagedata r:id="rId775" o:title=""/>
            </v:shape>
            <v:shape style="position:absolute;left:1280;top:3978;width:117;height:172" type="#_x0000_t75" stroked="false">
              <v:imagedata r:id="rId772" o:title=""/>
            </v:shape>
            <v:shape style="position:absolute;left:1415;top:3975;width:321;height:175" type="#_x0000_t75" stroked="false">
              <v:imagedata r:id="rId775" o:title=""/>
            </v:shape>
            <v:shape style="position:absolute;left:1618;top:4436;width:118;height:175" type="#_x0000_t75" stroked="false">
              <v:imagedata r:id="rId776" o:title=""/>
            </v:shape>
            <v:shape style="position:absolute;left:2625;top:4647;width:53;height:142" coordorigin="2625,4647" coordsize="53,142" path="m2678,4647l2664,4647,2661,4658,2657,4665,2647,4671,2638,4673,2625,4674,2625,4688,2659,4688,2659,4788,2678,4788,2678,4647xe" filled="true" fillcolor="#231f20" stroked="false">
              <v:path arrowok="t"/>
              <v:fill type="solid"/>
            </v:shape>
            <v:shape style="position:absolute;left:2726;top:4646;width:324;height:146" type="#_x0000_t75" stroked="false">
              <v:imagedata r:id="rId777" o:title=""/>
            </v:shape>
            <v:shape style="position:absolute;left:2556;top:5016;width:497;height:146" type="#_x0000_t75" stroked="false">
              <v:imagedata r:id="rId778" o:title=""/>
            </v:shape>
            <v:shape style="position:absolute;left:4272;top:5016;width:493;height:146" type="#_x0000_t75" stroked="false">
              <v:imagedata r:id="rId779" o:title=""/>
            </v:shape>
            <v:shape style="position:absolute;left:5972;top:5016;width:497;height:146" type="#_x0000_t75" stroked="false">
              <v:imagedata r:id="rId780" o:title=""/>
            </v:shape>
            <v:shape style="position:absolute;left:7735;top:5016;width:493;height:147" type="#_x0000_t75" stroked="false">
              <v:imagedata r:id="rId781" o:title=""/>
            </v:shape>
            <v:shape style="position:absolute;left:2556;top:5362;width:495;height:146" type="#_x0000_t75" stroked="false">
              <v:imagedata r:id="rId782" o:title=""/>
            </v:shape>
            <v:shape style="position:absolute;left:4272;top:5362;width:493;height:146" type="#_x0000_t75" stroked="false">
              <v:imagedata r:id="rId783" o:title=""/>
            </v:shape>
            <v:shape style="position:absolute;left:5973;top:5362;width:495;height:146" type="#_x0000_t75" stroked="false">
              <v:imagedata r:id="rId784" o:title=""/>
            </v:shape>
            <v:shape style="position:absolute;left:7678;top:5362;width:495;height:147" type="#_x0000_t75" stroked="false">
              <v:imagedata r:id="rId785" o:title=""/>
            </v:shape>
            <v:shape style="position:absolute;left:2557;top:5687;width:495;height:146" type="#_x0000_t75" stroked="false">
              <v:imagedata r:id="rId786" o:title=""/>
            </v:shape>
            <v:shape style="position:absolute;left:4271;top:5687;width:493;height:146" type="#_x0000_t75" stroked="false">
              <v:imagedata r:id="rId787" o:title=""/>
            </v:shape>
            <v:shape style="position:absolute;left:5973;top:5687;width:493;height:143" type="#_x0000_t75" stroked="false">
              <v:imagedata r:id="rId788" o:title=""/>
            </v:shape>
            <v:shape style="position:absolute;left:7678;top:5687;width:495;height:146" type="#_x0000_t75" stroked="false">
              <v:imagedata r:id="rId789" o:title=""/>
            </v:shape>
            <v:shape style="position:absolute;left:1486;top:5013;width:369;height:146" type="#_x0000_t75" stroked="false">
              <v:imagedata r:id="rId790" o:title=""/>
            </v:shape>
            <v:shape style="position:absolute;left:1465;top:5338;width:255;height:146" type="#_x0000_t75" stroked="false">
              <v:imagedata r:id="rId791" o:title=""/>
            </v:shape>
            <v:line style="position:absolute" from="1760,5338" to="1760,5484" stroked="true" strokeweight=".997pt" strokecolor="#231f20"/>
            <v:shape style="position:absolute;left:1465;top:5684;width:400;height:146" type="#_x0000_t75" stroked="false">
              <v:imagedata r:id="rId792" o:title=""/>
            </v:shape>
            <v:shape style="position:absolute;left:4298;top:4646;width:437;height:146" type="#_x0000_t75" stroked="false">
              <v:imagedata r:id="rId793" o:title=""/>
            </v:shape>
            <v:shape style="position:absolute;left:6019;top:4646;width:437;height:146" type="#_x0000_t75" stroked="false">
              <v:imagedata r:id="rId794" o:title=""/>
            </v:shape>
            <v:shape style="position:absolute;left:7736;top:4646;width:438;height:146" type="#_x0000_t75" stroked="false">
              <v:imagedata r:id="rId795" o:title=""/>
            </v:shape>
            <v:shape style="position:absolute;left:2777;top:591;width:5200;height:1931" coordorigin="2777,591" coordsize="5200,1931" path="m2777,2521l4529,591,6256,2028,7977,1053e" filled="false" stroked="true" strokeweight="2pt" strokecolor="#f9ed32">
              <v:path arrowok="t"/>
            </v:shape>
            <v:shape style="position:absolute;left:2777;top:1464;width:5221;height:859" coordorigin="2777,1464" coordsize="5221,859" path="m2777,1464l4524,1830,6240,2323,7997,1520e" filled="false" stroked="true" strokeweight="2pt" strokecolor="#ef4136">
              <v:path arrowok="t"/>
            </v:shape>
            <v:shape style="position:absolute;left:2777;top:1119;width:5221;height:1563" coordorigin="2777,1119" coordsize="5221,1563" path="m2777,1703l4524,2399,6251,1119,7998,2681e" filled="false" stroked="true" strokeweight="2pt" strokecolor="#00aeef">
              <v:path arrowok="t"/>
            </v:shape>
            <v:line style="position:absolute" from="940,5048" to="1407,5048" stroked="true" strokeweight="2pt" strokecolor="#00aeef"/>
            <v:line style="position:absolute" from="940,5398" to="1407,5398" stroked="true" strokeweight="2pt" strokecolor="#ef4136"/>
            <v:line style="position:absolute" from="940,5728" to="1407,5728" stroked="true" strokeweight="2pt" strokecolor="#f9ed32"/>
            <w10:wrap type="topAndBottom"/>
          </v:group>
        </w:pict>
      </w:r>
    </w:p>
    <w:p>
      <w:pPr>
        <w:pStyle w:val="BodyText"/>
        <w:rPr>
          <w:b/>
        </w:rPr>
      </w:pPr>
    </w:p>
    <w:p>
      <w:pPr>
        <w:pStyle w:val="BodyText"/>
        <w:spacing w:before="9"/>
        <w:rPr>
          <w:b/>
          <w:sz w:val="29"/>
        </w:rPr>
      </w:pPr>
    </w:p>
    <w:p>
      <w:pPr>
        <w:spacing w:before="0"/>
        <w:ind w:left="0" w:right="108" w:firstLine="0"/>
        <w:jc w:val="right"/>
        <w:rPr>
          <w:rFonts w:ascii="Calibri" w:hAnsi="Calibri"/>
          <w:sz w:val="16"/>
        </w:rPr>
      </w:pPr>
      <w:r>
        <w:rPr>
          <w:rFonts w:ascii="Calibri" w:hAnsi="Calibri"/>
          <w:color w:val="231F20"/>
          <w:w w:val="95"/>
          <w:sz w:val="16"/>
        </w:rPr>
        <w:t>Fuente:  elaboración propia.</w:t>
      </w:r>
    </w:p>
    <w:p>
      <w:pPr>
        <w:spacing w:after="0"/>
        <w:jc w:val="right"/>
        <w:rPr>
          <w:rFonts w:ascii="Calibri" w:hAnsi="Calibri"/>
          <w:sz w:val="16"/>
        </w:rPr>
        <w:sectPr>
          <w:footerReference w:type="default" r:id="rId738"/>
          <w:pgSz w:w="9640" w:h="12190"/>
          <w:pgMar w:footer="743" w:header="0" w:top="1120" w:bottom="940" w:left="740" w:right="740"/>
          <w:pgNumType w:start="360"/>
        </w:sectPr>
      </w:pPr>
    </w:p>
    <w:p>
      <w:pPr>
        <w:pStyle w:val="BodyText"/>
        <w:spacing w:before="6"/>
        <w:rPr>
          <w:rFonts w:ascii="Calibri"/>
          <w:sz w:val="8"/>
        </w:rPr>
      </w:pPr>
    </w:p>
    <w:p>
      <w:pPr>
        <w:pStyle w:val="Heading4"/>
        <w:spacing w:line="345" w:lineRule="exact"/>
        <w:rPr>
          <w:i/>
        </w:rPr>
      </w:pPr>
      <w:r>
        <w:rPr>
          <w:i/>
          <w:color w:val="231F20"/>
          <w:w w:val="105"/>
        </w:rPr>
        <w:t>Finanzas públicas</w:t>
      </w:r>
    </w:p>
    <w:p>
      <w:pPr>
        <w:pStyle w:val="BodyText"/>
        <w:spacing w:line="285" w:lineRule="auto" w:before="16"/>
        <w:ind w:left="110" w:right="107"/>
        <w:jc w:val="both"/>
      </w:pPr>
      <w:r>
        <w:rPr>
          <w:color w:val="231F20"/>
          <w:w w:val="105"/>
        </w:rPr>
        <w:t>El gobierno municipal requiere de recursos para sufragar el gasto público, para ello la Constitución Política de los Estados Unidos Mexicanos le reconoce la libertad hacen- daria, que si bien faculta </w:t>
      </w:r>
      <w:r>
        <w:rPr>
          <w:color w:val="231F20"/>
          <w:spacing w:val="2"/>
          <w:w w:val="105"/>
        </w:rPr>
        <w:t>al </w:t>
      </w:r>
      <w:r>
        <w:rPr>
          <w:color w:val="231F20"/>
          <w:w w:val="105"/>
        </w:rPr>
        <w:t>Ayuntamiento para decidir sobre el uso y destino de los recursos de la hacienda municipal, la realidad es que los municipios se </w:t>
      </w:r>
      <w:r>
        <w:rPr>
          <w:color w:val="231F20"/>
          <w:spacing w:val="-2"/>
          <w:w w:val="105"/>
        </w:rPr>
        <w:t>ven </w:t>
      </w:r>
      <w:r>
        <w:rPr>
          <w:color w:val="231F20"/>
          <w:w w:val="105"/>
        </w:rPr>
        <w:t>limitados por</w:t>
      </w:r>
      <w:r>
        <w:rPr>
          <w:color w:val="231F20"/>
          <w:spacing w:val="-12"/>
          <w:w w:val="105"/>
        </w:rPr>
        <w:t> </w:t>
      </w:r>
      <w:r>
        <w:rPr>
          <w:color w:val="231F20"/>
          <w:w w:val="105"/>
        </w:rPr>
        <w:t>los</w:t>
      </w:r>
      <w:r>
        <w:rPr>
          <w:color w:val="231F20"/>
          <w:spacing w:val="-12"/>
          <w:w w:val="105"/>
        </w:rPr>
        <w:t> </w:t>
      </w:r>
      <w:r>
        <w:rPr>
          <w:color w:val="231F20"/>
          <w:w w:val="105"/>
        </w:rPr>
        <w:t>ingresos</w:t>
      </w:r>
      <w:r>
        <w:rPr>
          <w:color w:val="231F20"/>
          <w:spacing w:val="-12"/>
          <w:w w:val="105"/>
        </w:rPr>
        <w:t> </w:t>
      </w:r>
      <w:r>
        <w:rPr>
          <w:color w:val="231F20"/>
          <w:spacing w:val="-3"/>
          <w:w w:val="105"/>
        </w:rPr>
        <w:t>propios</w:t>
      </w:r>
      <w:r>
        <w:rPr>
          <w:color w:val="231F20"/>
          <w:spacing w:val="-12"/>
          <w:w w:val="105"/>
        </w:rPr>
        <w:t> </w:t>
      </w:r>
      <w:r>
        <w:rPr>
          <w:color w:val="231F20"/>
          <w:w w:val="105"/>
        </w:rPr>
        <w:t>que</w:t>
      </w:r>
      <w:r>
        <w:rPr>
          <w:color w:val="231F20"/>
          <w:spacing w:val="-12"/>
          <w:w w:val="105"/>
        </w:rPr>
        <w:t> </w:t>
      </w:r>
      <w:r>
        <w:rPr>
          <w:color w:val="231F20"/>
          <w:w w:val="105"/>
        </w:rPr>
        <w:t>recaudan,</w:t>
      </w:r>
      <w:r>
        <w:rPr>
          <w:color w:val="231F20"/>
          <w:spacing w:val="-12"/>
          <w:w w:val="105"/>
        </w:rPr>
        <w:t> </w:t>
      </w:r>
      <w:r>
        <w:rPr>
          <w:color w:val="231F20"/>
          <w:w w:val="105"/>
        </w:rPr>
        <w:t>dependiendo</w:t>
      </w:r>
      <w:r>
        <w:rPr>
          <w:color w:val="231F20"/>
          <w:spacing w:val="-12"/>
          <w:w w:val="105"/>
        </w:rPr>
        <w:t> </w:t>
      </w:r>
      <w:r>
        <w:rPr>
          <w:color w:val="231F20"/>
          <w:w w:val="105"/>
        </w:rPr>
        <w:t>en</w:t>
      </w:r>
      <w:r>
        <w:rPr>
          <w:color w:val="231F20"/>
          <w:spacing w:val="-12"/>
          <w:w w:val="105"/>
        </w:rPr>
        <w:t> </w:t>
      </w:r>
      <w:r>
        <w:rPr>
          <w:color w:val="231F20"/>
          <w:w w:val="105"/>
        </w:rPr>
        <w:t>gran</w:t>
      </w:r>
      <w:r>
        <w:rPr>
          <w:color w:val="231F20"/>
          <w:spacing w:val="-12"/>
          <w:w w:val="105"/>
        </w:rPr>
        <w:t> </w:t>
      </w:r>
      <w:r>
        <w:rPr>
          <w:color w:val="231F20"/>
          <w:w w:val="105"/>
        </w:rPr>
        <w:t>medida</w:t>
      </w:r>
      <w:r>
        <w:rPr>
          <w:color w:val="231F20"/>
          <w:spacing w:val="-12"/>
          <w:w w:val="105"/>
        </w:rPr>
        <w:t> </w:t>
      </w:r>
      <w:r>
        <w:rPr>
          <w:color w:val="231F20"/>
          <w:w w:val="105"/>
        </w:rPr>
        <w:t>del</w:t>
      </w:r>
      <w:r>
        <w:rPr>
          <w:color w:val="231F20"/>
          <w:spacing w:val="-12"/>
          <w:w w:val="105"/>
        </w:rPr>
        <w:t> </w:t>
      </w:r>
      <w:r>
        <w:rPr>
          <w:color w:val="231F20"/>
          <w:w w:val="105"/>
        </w:rPr>
        <w:t>financiamiento proveniente</w:t>
      </w:r>
      <w:r>
        <w:rPr>
          <w:color w:val="231F20"/>
          <w:spacing w:val="-6"/>
          <w:w w:val="105"/>
        </w:rPr>
        <w:t> </w:t>
      </w:r>
      <w:r>
        <w:rPr>
          <w:color w:val="231F20"/>
          <w:w w:val="105"/>
        </w:rPr>
        <w:t>del</w:t>
      </w:r>
      <w:r>
        <w:rPr>
          <w:color w:val="231F20"/>
          <w:spacing w:val="-6"/>
          <w:w w:val="105"/>
        </w:rPr>
        <w:t> </w:t>
      </w:r>
      <w:r>
        <w:rPr>
          <w:color w:val="231F20"/>
          <w:w w:val="105"/>
        </w:rPr>
        <w:t>Sistema</w:t>
      </w:r>
      <w:r>
        <w:rPr>
          <w:color w:val="231F20"/>
          <w:spacing w:val="-6"/>
          <w:w w:val="105"/>
        </w:rPr>
        <w:t> </w:t>
      </w:r>
      <w:r>
        <w:rPr>
          <w:color w:val="231F20"/>
          <w:w w:val="105"/>
        </w:rPr>
        <w:t>Nacional</w:t>
      </w:r>
      <w:r>
        <w:rPr>
          <w:color w:val="231F20"/>
          <w:spacing w:val="-6"/>
          <w:w w:val="105"/>
        </w:rPr>
        <w:t> </w:t>
      </w:r>
      <w:r>
        <w:rPr>
          <w:color w:val="231F20"/>
          <w:w w:val="105"/>
        </w:rPr>
        <w:t>de</w:t>
      </w:r>
      <w:r>
        <w:rPr>
          <w:color w:val="231F20"/>
          <w:spacing w:val="-6"/>
          <w:w w:val="105"/>
        </w:rPr>
        <w:t> </w:t>
      </w:r>
      <w:r>
        <w:rPr>
          <w:color w:val="231F20"/>
          <w:w w:val="105"/>
        </w:rPr>
        <w:t>Coordinación</w:t>
      </w:r>
      <w:r>
        <w:rPr>
          <w:color w:val="231F20"/>
          <w:spacing w:val="-6"/>
          <w:w w:val="105"/>
        </w:rPr>
        <w:t> </w:t>
      </w:r>
      <w:r>
        <w:rPr>
          <w:color w:val="231F20"/>
          <w:w w:val="105"/>
        </w:rPr>
        <w:t>Fiscal</w:t>
      </w:r>
      <w:r>
        <w:rPr>
          <w:color w:val="231F20"/>
          <w:w w:val="105"/>
          <w:position w:val="7"/>
          <w:sz w:val="13"/>
        </w:rPr>
        <w:t>4</w:t>
      </w:r>
      <w:r>
        <w:rPr>
          <w:color w:val="231F20"/>
          <w:w w:val="105"/>
        </w:rPr>
        <w:t>.</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caso</w:t>
      </w:r>
      <w:r>
        <w:rPr>
          <w:color w:val="231F20"/>
          <w:spacing w:val="-6"/>
          <w:w w:val="105"/>
        </w:rPr>
        <w:t> </w:t>
      </w:r>
      <w:r>
        <w:rPr>
          <w:color w:val="231F20"/>
          <w:w w:val="105"/>
        </w:rPr>
        <w:t>de</w:t>
      </w:r>
      <w:r>
        <w:rPr>
          <w:color w:val="231F20"/>
          <w:spacing w:val="-6"/>
          <w:w w:val="105"/>
        </w:rPr>
        <w:t> </w:t>
      </w:r>
      <w:r>
        <w:rPr>
          <w:color w:val="231F20"/>
          <w:w w:val="105"/>
        </w:rPr>
        <w:t>Amecameca, está</w:t>
      </w:r>
      <w:r>
        <w:rPr>
          <w:color w:val="231F20"/>
          <w:spacing w:val="-17"/>
          <w:w w:val="105"/>
        </w:rPr>
        <w:t> </w:t>
      </w:r>
      <w:r>
        <w:rPr>
          <w:color w:val="231F20"/>
          <w:w w:val="105"/>
        </w:rPr>
        <w:t>dependencia</w:t>
      </w:r>
      <w:r>
        <w:rPr>
          <w:color w:val="231F20"/>
          <w:spacing w:val="-17"/>
          <w:w w:val="105"/>
        </w:rPr>
        <w:t> </w:t>
      </w:r>
      <w:r>
        <w:rPr>
          <w:color w:val="231F20"/>
          <w:w w:val="105"/>
        </w:rPr>
        <w:t>gira</w:t>
      </w:r>
      <w:r>
        <w:rPr>
          <w:color w:val="231F20"/>
          <w:spacing w:val="-17"/>
          <w:w w:val="105"/>
        </w:rPr>
        <w:t> </w:t>
      </w:r>
      <w:r>
        <w:rPr>
          <w:color w:val="231F20"/>
          <w:w w:val="105"/>
        </w:rPr>
        <w:t>alrededor</w:t>
      </w:r>
      <w:r>
        <w:rPr>
          <w:color w:val="231F20"/>
          <w:spacing w:val="-17"/>
          <w:w w:val="105"/>
        </w:rPr>
        <w:t> </w:t>
      </w:r>
      <w:r>
        <w:rPr>
          <w:color w:val="231F20"/>
          <w:w w:val="105"/>
        </w:rPr>
        <w:t>del</w:t>
      </w:r>
      <w:r>
        <w:rPr>
          <w:color w:val="231F20"/>
          <w:spacing w:val="-17"/>
          <w:w w:val="105"/>
        </w:rPr>
        <w:t> </w:t>
      </w:r>
      <w:r>
        <w:rPr>
          <w:color w:val="231F20"/>
          <w:w w:val="105"/>
        </w:rPr>
        <w:t>90%,</w:t>
      </w:r>
      <w:r>
        <w:rPr>
          <w:color w:val="231F20"/>
          <w:spacing w:val="-17"/>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autonomía</w:t>
      </w:r>
      <w:r>
        <w:rPr>
          <w:color w:val="231F20"/>
          <w:spacing w:val="-17"/>
          <w:w w:val="105"/>
        </w:rPr>
        <w:t> </w:t>
      </w:r>
      <w:r>
        <w:rPr>
          <w:color w:val="231F20"/>
          <w:w w:val="105"/>
        </w:rPr>
        <w:t>financiera,</w:t>
      </w:r>
      <w:r>
        <w:rPr>
          <w:color w:val="231F20"/>
          <w:spacing w:val="-17"/>
          <w:w w:val="105"/>
        </w:rPr>
        <w:t> </w:t>
      </w:r>
      <w:r>
        <w:rPr>
          <w:color w:val="231F20"/>
          <w:w w:val="105"/>
        </w:rPr>
        <w:t>considera- da</w:t>
      </w:r>
      <w:r>
        <w:rPr>
          <w:color w:val="231F20"/>
          <w:spacing w:val="-15"/>
          <w:w w:val="105"/>
        </w:rPr>
        <w:t> </w:t>
      </w:r>
      <w:r>
        <w:rPr>
          <w:color w:val="231F20"/>
          <w:w w:val="105"/>
        </w:rPr>
        <w:t>esta</w:t>
      </w:r>
      <w:r>
        <w:rPr>
          <w:color w:val="231F20"/>
          <w:spacing w:val="-15"/>
          <w:w w:val="105"/>
        </w:rPr>
        <w:t> </w:t>
      </w:r>
      <w:r>
        <w:rPr>
          <w:color w:val="231F20"/>
          <w:w w:val="105"/>
        </w:rPr>
        <w:t>como</w:t>
      </w:r>
      <w:r>
        <w:rPr>
          <w:color w:val="231F20"/>
          <w:spacing w:val="-15"/>
          <w:w w:val="105"/>
        </w:rPr>
        <w:t> </w:t>
      </w:r>
      <w:r>
        <w:rPr>
          <w:color w:val="231F20"/>
          <w:w w:val="105"/>
        </w:rPr>
        <w:t>la</w:t>
      </w:r>
      <w:r>
        <w:rPr>
          <w:color w:val="231F20"/>
          <w:spacing w:val="-15"/>
          <w:w w:val="105"/>
        </w:rPr>
        <w:t> </w:t>
      </w:r>
      <w:r>
        <w:rPr>
          <w:color w:val="231F20"/>
          <w:w w:val="105"/>
        </w:rPr>
        <w:t>diferencia</w:t>
      </w:r>
      <w:r>
        <w:rPr>
          <w:color w:val="231F20"/>
          <w:spacing w:val="-15"/>
          <w:w w:val="105"/>
        </w:rPr>
        <w:t> </w:t>
      </w:r>
      <w:r>
        <w:rPr>
          <w:color w:val="231F20"/>
          <w:w w:val="105"/>
        </w:rPr>
        <w:t>entre</w:t>
      </w:r>
      <w:r>
        <w:rPr>
          <w:color w:val="231F20"/>
          <w:spacing w:val="-15"/>
          <w:w w:val="105"/>
        </w:rPr>
        <w:t> </w:t>
      </w:r>
      <w:r>
        <w:rPr>
          <w:color w:val="231F20"/>
          <w:w w:val="105"/>
        </w:rPr>
        <w:t>la</w:t>
      </w:r>
      <w:r>
        <w:rPr>
          <w:color w:val="231F20"/>
          <w:spacing w:val="-15"/>
          <w:w w:val="105"/>
        </w:rPr>
        <w:t> </w:t>
      </w:r>
      <w:r>
        <w:rPr>
          <w:color w:val="231F20"/>
          <w:spacing w:val="-3"/>
          <w:w w:val="105"/>
        </w:rPr>
        <w:t>proporción</w:t>
      </w:r>
      <w:r>
        <w:rPr>
          <w:color w:val="231F20"/>
          <w:spacing w:val="-15"/>
          <w:w w:val="105"/>
        </w:rPr>
        <w:t> </w:t>
      </w:r>
      <w:r>
        <w:rPr>
          <w:color w:val="231F20"/>
          <w:w w:val="105"/>
        </w:rPr>
        <w:t>del</w:t>
      </w:r>
      <w:r>
        <w:rPr>
          <w:color w:val="231F20"/>
          <w:spacing w:val="-15"/>
          <w:w w:val="105"/>
        </w:rPr>
        <w:t> </w:t>
      </w:r>
      <w:r>
        <w:rPr>
          <w:color w:val="231F20"/>
          <w:w w:val="105"/>
        </w:rPr>
        <w:t>total</w:t>
      </w:r>
      <w:r>
        <w:rPr>
          <w:color w:val="231F20"/>
          <w:spacing w:val="-15"/>
          <w:w w:val="105"/>
        </w:rPr>
        <w:t> </w:t>
      </w:r>
      <w:r>
        <w:rPr>
          <w:color w:val="231F20"/>
          <w:w w:val="105"/>
        </w:rPr>
        <w:t>de</w:t>
      </w:r>
      <w:r>
        <w:rPr>
          <w:color w:val="231F20"/>
          <w:spacing w:val="-15"/>
          <w:w w:val="105"/>
        </w:rPr>
        <w:t> </w:t>
      </w:r>
      <w:r>
        <w:rPr>
          <w:color w:val="231F20"/>
          <w:w w:val="105"/>
        </w:rPr>
        <w:t>ingresos</w:t>
      </w:r>
      <w:r>
        <w:rPr>
          <w:color w:val="231F20"/>
          <w:spacing w:val="-15"/>
          <w:w w:val="105"/>
        </w:rPr>
        <w:t> </w:t>
      </w:r>
      <w:r>
        <w:rPr>
          <w:color w:val="231F20"/>
          <w:w w:val="105"/>
        </w:rPr>
        <w:t>y</w:t>
      </w:r>
      <w:r>
        <w:rPr>
          <w:color w:val="231F20"/>
          <w:spacing w:val="-15"/>
          <w:w w:val="105"/>
        </w:rPr>
        <w:t> </w:t>
      </w:r>
      <w:r>
        <w:rPr>
          <w:color w:val="231F20"/>
          <w:w w:val="105"/>
        </w:rPr>
        <w:t>los</w:t>
      </w:r>
      <w:r>
        <w:rPr>
          <w:color w:val="231F20"/>
          <w:spacing w:val="-15"/>
          <w:w w:val="105"/>
        </w:rPr>
        <w:t> </w:t>
      </w:r>
      <w:r>
        <w:rPr>
          <w:color w:val="231F20"/>
          <w:w w:val="105"/>
        </w:rPr>
        <w:t>provenientes</w:t>
      </w:r>
      <w:r>
        <w:rPr>
          <w:color w:val="231F20"/>
          <w:spacing w:val="-15"/>
          <w:w w:val="105"/>
        </w:rPr>
        <w:t> </w:t>
      </w:r>
      <w:r>
        <w:rPr>
          <w:color w:val="231F20"/>
          <w:w w:val="105"/>
        </w:rPr>
        <w:t>de la</w:t>
      </w:r>
      <w:r>
        <w:rPr>
          <w:color w:val="231F20"/>
          <w:spacing w:val="-37"/>
          <w:w w:val="105"/>
        </w:rPr>
        <w:t> </w:t>
      </w:r>
      <w:r>
        <w:rPr>
          <w:color w:val="231F20"/>
          <w:w w:val="105"/>
        </w:rPr>
        <w:t>federación,</w:t>
      </w:r>
      <w:r>
        <w:rPr>
          <w:color w:val="231F20"/>
          <w:spacing w:val="-37"/>
          <w:w w:val="105"/>
        </w:rPr>
        <w:t> </w:t>
      </w:r>
      <w:r>
        <w:rPr>
          <w:color w:val="231F20"/>
          <w:w w:val="105"/>
        </w:rPr>
        <w:t>es</w:t>
      </w:r>
      <w:r>
        <w:rPr>
          <w:color w:val="231F20"/>
          <w:spacing w:val="-37"/>
          <w:w w:val="105"/>
        </w:rPr>
        <w:t> </w:t>
      </w:r>
      <w:r>
        <w:rPr>
          <w:color w:val="231F20"/>
          <w:w w:val="105"/>
        </w:rPr>
        <w:t>del</w:t>
      </w:r>
      <w:r>
        <w:rPr>
          <w:color w:val="231F20"/>
          <w:spacing w:val="-37"/>
          <w:w w:val="105"/>
        </w:rPr>
        <w:t> </w:t>
      </w:r>
      <w:r>
        <w:rPr>
          <w:color w:val="231F20"/>
          <w:w w:val="105"/>
        </w:rPr>
        <w:t>10%.</w:t>
      </w:r>
    </w:p>
    <w:p>
      <w:pPr>
        <w:pStyle w:val="BodyText"/>
        <w:spacing w:before="1"/>
        <w:rPr>
          <w:sz w:val="26"/>
        </w:rPr>
      </w:pPr>
    </w:p>
    <w:p>
      <w:pPr>
        <w:pStyle w:val="BodyText"/>
        <w:spacing w:line="285" w:lineRule="auto"/>
        <w:ind w:left="110" w:right="108"/>
        <w:jc w:val="both"/>
      </w:pPr>
      <w:r>
        <w:rPr>
          <w:color w:val="231F20"/>
          <w:w w:val="105"/>
        </w:rPr>
        <w:t>En </w:t>
      </w:r>
      <w:r>
        <w:rPr>
          <w:color w:val="231F20"/>
          <w:spacing w:val="-3"/>
          <w:w w:val="105"/>
        </w:rPr>
        <w:t>el </w:t>
      </w:r>
      <w:r>
        <w:rPr>
          <w:color w:val="231F20"/>
          <w:w w:val="105"/>
        </w:rPr>
        <w:t>análisis </w:t>
      </w:r>
      <w:r>
        <w:rPr>
          <w:color w:val="231F20"/>
          <w:spacing w:val="-4"/>
          <w:w w:val="105"/>
        </w:rPr>
        <w:t>del </w:t>
      </w:r>
      <w:r>
        <w:rPr>
          <w:color w:val="231F20"/>
          <w:spacing w:val="-5"/>
          <w:w w:val="105"/>
        </w:rPr>
        <w:t>gobierno </w:t>
      </w:r>
      <w:r>
        <w:rPr>
          <w:color w:val="231F20"/>
          <w:spacing w:val="-3"/>
          <w:w w:val="105"/>
        </w:rPr>
        <w:t>de </w:t>
      </w:r>
      <w:r>
        <w:rPr>
          <w:color w:val="231F20"/>
          <w:w w:val="105"/>
        </w:rPr>
        <w:t>partido </w:t>
      </w:r>
      <w:r>
        <w:rPr>
          <w:color w:val="231F20"/>
          <w:spacing w:val="-3"/>
          <w:w w:val="105"/>
        </w:rPr>
        <w:t>este </w:t>
      </w:r>
      <w:r>
        <w:rPr>
          <w:color w:val="231F20"/>
          <w:spacing w:val="-4"/>
          <w:w w:val="105"/>
        </w:rPr>
        <w:t>rubro </w:t>
      </w:r>
      <w:r>
        <w:rPr>
          <w:color w:val="231F20"/>
          <w:w w:val="105"/>
        </w:rPr>
        <w:t>es </w:t>
      </w:r>
      <w:r>
        <w:rPr>
          <w:color w:val="231F20"/>
          <w:spacing w:val="-3"/>
          <w:w w:val="105"/>
        </w:rPr>
        <w:t>de </w:t>
      </w:r>
      <w:r>
        <w:rPr>
          <w:color w:val="231F20"/>
          <w:w w:val="105"/>
        </w:rPr>
        <w:t>suma </w:t>
      </w:r>
      <w:r>
        <w:rPr>
          <w:color w:val="231F20"/>
          <w:spacing w:val="-3"/>
          <w:w w:val="105"/>
        </w:rPr>
        <w:t>importancia, </w:t>
      </w:r>
      <w:r>
        <w:rPr>
          <w:color w:val="231F20"/>
          <w:spacing w:val="-4"/>
          <w:w w:val="105"/>
        </w:rPr>
        <w:t>pues </w:t>
      </w:r>
      <w:r>
        <w:rPr>
          <w:color w:val="231F20"/>
          <w:w w:val="105"/>
        </w:rPr>
        <w:t>la </w:t>
      </w:r>
      <w:r>
        <w:rPr>
          <w:color w:val="231F20"/>
          <w:spacing w:val="-5"/>
          <w:w w:val="105"/>
        </w:rPr>
        <w:t>depen- </w:t>
      </w:r>
      <w:r>
        <w:rPr>
          <w:color w:val="231F20"/>
          <w:spacing w:val="-4"/>
          <w:w w:val="105"/>
        </w:rPr>
        <w:t>dencia </w:t>
      </w:r>
      <w:r>
        <w:rPr>
          <w:color w:val="231F20"/>
          <w:w w:val="105"/>
        </w:rPr>
        <w:t>o la falta </w:t>
      </w:r>
      <w:r>
        <w:rPr>
          <w:color w:val="231F20"/>
          <w:spacing w:val="-3"/>
          <w:w w:val="105"/>
        </w:rPr>
        <w:t>de </w:t>
      </w:r>
      <w:r>
        <w:rPr>
          <w:color w:val="231F20"/>
          <w:spacing w:val="-5"/>
          <w:w w:val="105"/>
        </w:rPr>
        <w:t>autonomía </w:t>
      </w:r>
      <w:r>
        <w:rPr>
          <w:color w:val="231F20"/>
          <w:spacing w:val="-3"/>
          <w:w w:val="105"/>
        </w:rPr>
        <w:t>financiera en </w:t>
      </w:r>
      <w:r>
        <w:rPr>
          <w:color w:val="231F20"/>
          <w:spacing w:val="-5"/>
          <w:w w:val="105"/>
        </w:rPr>
        <w:t>mucho </w:t>
      </w:r>
      <w:r>
        <w:rPr>
          <w:color w:val="231F20"/>
          <w:spacing w:val="-3"/>
          <w:w w:val="105"/>
        </w:rPr>
        <w:t>definen </w:t>
      </w:r>
      <w:r>
        <w:rPr>
          <w:color w:val="231F20"/>
          <w:w w:val="105"/>
        </w:rPr>
        <w:t>las </w:t>
      </w:r>
      <w:r>
        <w:rPr>
          <w:color w:val="231F20"/>
          <w:spacing w:val="-5"/>
          <w:w w:val="105"/>
        </w:rPr>
        <w:t>acciones </w:t>
      </w:r>
      <w:r>
        <w:rPr>
          <w:color w:val="231F20"/>
          <w:spacing w:val="-4"/>
          <w:w w:val="105"/>
        </w:rPr>
        <w:t>que </w:t>
      </w:r>
      <w:r>
        <w:rPr>
          <w:color w:val="231F20"/>
          <w:spacing w:val="-3"/>
          <w:w w:val="105"/>
        </w:rPr>
        <w:t>el </w:t>
      </w:r>
      <w:r>
        <w:rPr>
          <w:color w:val="231F20"/>
          <w:spacing w:val="-5"/>
          <w:w w:val="105"/>
        </w:rPr>
        <w:t>gobierno </w:t>
      </w:r>
      <w:r>
        <w:rPr>
          <w:color w:val="231F20"/>
          <w:spacing w:val="-3"/>
          <w:w w:val="105"/>
        </w:rPr>
        <w:t>municipal</w:t>
      </w:r>
      <w:r>
        <w:rPr>
          <w:color w:val="231F20"/>
          <w:spacing w:val="-24"/>
          <w:w w:val="105"/>
        </w:rPr>
        <w:t> </w:t>
      </w:r>
      <w:r>
        <w:rPr>
          <w:color w:val="231F20"/>
          <w:spacing w:val="-5"/>
          <w:w w:val="105"/>
        </w:rPr>
        <w:t>puede</w:t>
      </w:r>
      <w:r>
        <w:rPr>
          <w:color w:val="231F20"/>
          <w:spacing w:val="-24"/>
          <w:w w:val="105"/>
        </w:rPr>
        <w:t> </w:t>
      </w:r>
      <w:r>
        <w:rPr>
          <w:color w:val="231F20"/>
          <w:spacing w:val="-6"/>
          <w:w w:val="105"/>
        </w:rPr>
        <w:t>emprender.</w:t>
      </w:r>
      <w:r>
        <w:rPr>
          <w:color w:val="231F20"/>
          <w:spacing w:val="-24"/>
          <w:w w:val="105"/>
        </w:rPr>
        <w:t> </w:t>
      </w:r>
      <w:r>
        <w:rPr>
          <w:color w:val="231F20"/>
          <w:spacing w:val="-3"/>
          <w:w w:val="105"/>
        </w:rPr>
        <w:t>Si</w:t>
      </w:r>
      <w:r>
        <w:rPr>
          <w:color w:val="231F20"/>
          <w:spacing w:val="-24"/>
          <w:w w:val="105"/>
        </w:rPr>
        <w:t> </w:t>
      </w:r>
      <w:r>
        <w:rPr>
          <w:color w:val="231F20"/>
          <w:w w:val="105"/>
        </w:rPr>
        <w:t>la</w:t>
      </w:r>
      <w:r>
        <w:rPr>
          <w:color w:val="231F20"/>
          <w:spacing w:val="-24"/>
          <w:w w:val="105"/>
        </w:rPr>
        <w:t> </w:t>
      </w:r>
      <w:r>
        <w:rPr>
          <w:color w:val="231F20"/>
          <w:spacing w:val="-5"/>
          <w:w w:val="105"/>
        </w:rPr>
        <w:t>dependencia</w:t>
      </w:r>
      <w:r>
        <w:rPr>
          <w:color w:val="231F20"/>
          <w:spacing w:val="-24"/>
          <w:w w:val="105"/>
        </w:rPr>
        <w:t> </w:t>
      </w:r>
      <w:r>
        <w:rPr>
          <w:color w:val="231F20"/>
          <w:w w:val="105"/>
        </w:rPr>
        <w:t>a</w:t>
      </w:r>
      <w:r>
        <w:rPr>
          <w:color w:val="231F20"/>
          <w:spacing w:val="-24"/>
          <w:w w:val="105"/>
        </w:rPr>
        <w:t> </w:t>
      </w:r>
      <w:r>
        <w:rPr>
          <w:color w:val="231F20"/>
          <w:spacing w:val="-3"/>
          <w:w w:val="105"/>
        </w:rPr>
        <w:t>recursos</w:t>
      </w:r>
      <w:r>
        <w:rPr>
          <w:color w:val="231F20"/>
          <w:spacing w:val="-24"/>
          <w:w w:val="105"/>
        </w:rPr>
        <w:t> </w:t>
      </w:r>
      <w:r>
        <w:rPr>
          <w:color w:val="231F20"/>
          <w:spacing w:val="-3"/>
          <w:w w:val="105"/>
        </w:rPr>
        <w:t>indirectos</w:t>
      </w:r>
      <w:r>
        <w:rPr>
          <w:color w:val="231F20"/>
          <w:spacing w:val="-24"/>
          <w:w w:val="105"/>
        </w:rPr>
        <w:t> </w:t>
      </w:r>
      <w:r>
        <w:rPr>
          <w:color w:val="231F20"/>
          <w:w w:val="105"/>
        </w:rPr>
        <w:t>es</w:t>
      </w:r>
      <w:r>
        <w:rPr>
          <w:color w:val="231F20"/>
          <w:spacing w:val="-24"/>
          <w:w w:val="105"/>
        </w:rPr>
        <w:t> </w:t>
      </w:r>
      <w:r>
        <w:rPr>
          <w:color w:val="231F20"/>
          <w:w w:val="105"/>
        </w:rPr>
        <w:t>alta,</w:t>
      </w:r>
      <w:r>
        <w:rPr>
          <w:color w:val="231F20"/>
          <w:spacing w:val="-24"/>
          <w:w w:val="105"/>
        </w:rPr>
        <w:t> </w:t>
      </w:r>
      <w:r>
        <w:rPr>
          <w:color w:val="231F20"/>
          <w:spacing w:val="-5"/>
          <w:w w:val="105"/>
        </w:rPr>
        <w:t>entonces,</w:t>
      </w:r>
      <w:r>
        <w:rPr>
          <w:color w:val="231F20"/>
          <w:spacing w:val="-24"/>
          <w:w w:val="105"/>
        </w:rPr>
        <w:t> </w:t>
      </w:r>
      <w:r>
        <w:rPr>
          <w:color w:val="231F20"/>
          <w:spacing w:val="-3"/>
          <w:w w:val="105"/>
        </w:rPr>
        <w:t>el</w:t>
      </w:r>
      <w:r>
        <w:rPr>
          <w:color w:val="231F20"/>
          <w:spacing w:val="-24"/>
          <w:w w:val="105"/>
        </w:rPr>
        <w:t> </w:t>
      </w:r>
      <w:r>
        <w:rPr>
          <w:color w:val="231F20"/>
          <w:spacing w:val="-3"/>
          <w:w w:val="105"/>
        </w:rPr>
        <w:t>go- </w:t>
      </w:r>
      <w:r>
        <w:rPr>
          <w:color w:val="231F20"/>
          <w:spacing w:val="-5"/>
          <w:w w:val="105"/>
        </w:rPr>
        <w:t>bierno </w:t>
      </w:r>
      <w:r>
        <w:rPr>
          <w:color w:val="231F20"/>
          <w:spacing w:val="-3"/>
          <w:w w:val="105"/>
        </w:rPr>
        <w:t>municipal, </w:t>
      </w:r>
      <w:r>
        <w:rPr>
          <w:color w:val="231F20"/>
          <w:spacing w:val="-4"/>
          <w:w w:val="105"/>
        </w:rPr>
        <w:t>como </w:t>
      </w:r>
      <w:r>
        <w:rPr>
          <w:color w:val="231F20"/>
          <w:spacing w:val="-5"/>
          <w:w w:val="105"/>
        </w:rPr>
        <w:t>gobierno </w:t>
      </w:r>
      <w:r>
        <w:rPr>
          <w:color w:val="231F20"/>
          <w:spacing w:val="-3"/>
          <w:w w:val="105"/>
        </w:rPr>
        <w:t>de </w:t>
      </w:r>
      <w:r>
        <w:rPr>
          <w:color w:val="231F20"/>
          <w:w w:val="105"/>
        </w:rPr>
        <w:t>un </w:t>
      </w:r>
      <w:r>
        <w:rPr>
          <w:color w:val="231F20"/>
          <w:spacing w:val="-3"/>
          <w:w w:val="105"/>
        </w:rPr>
        <w:t>partido, no </w:t>
      </w:r>
      <w:r>
        <w:rPr>
          <w:color w:val="231F20"/>
          <w:spacing w:val="-4"/>
          <w:w w:val="105"/>
        </w:rPr>
        <w:t>tiene </w:t>
      </w:r>
      <w:r>
        <w:rPr>
          <w:color w:val="231F20"/>
          <w:w w:val="105"/>
        </w:rPr>
        <w:t>total </w:t>
      </w:r>
      <w:r>
        <w:rPr>
          <w:color w:val="231F20"/>
          <w:spacing w:val="-3"/>
          <w:w w:val="105"/>
        </w:rPr>
        <w:t>libertad </w:t>
      </w:r>
      <w:r>
        <w:rPr>
          <w:color w:val="231F20"/>
          <w:w w:val="105"/>
        </w:rPr>
        <w:t>para </w:t>
      </w:r>
      <w:r>
        <w:rPr>
          <w:color w:val="231F20"/>
          <w:spacing w:val="-4"/>
          <w:w w:val="105"/>
        </w:rPr>
        <w:t>establecer </w:t>
      </w:r>
      <w:r>
        <w:rPr>
          <w:color w:val="231F20"/>
          <w:spacing w:val="-5"/>
          <w:w w:val="105"/>
        </w:rPr>
        <w:t>los </w:t>
      </w:r>
      <w:r>
        <w:rPr>
          <w:color w:val="231F20"/>
          <w:spacing w:val="-3"/>
          <w:w w:val="105"/>
        </w:rPr>
        <w:t>destinos</w:t>
      </w:r>
      <w:r>
        <w:rPr>
          <w:color w:val="231F20"/>
          <w:spacing w:val="-14"/>
          <w:w w:val="105"/>
        </w:rPr>
        <w:t> </w:t>
      </w:r>
      <w:r>
        <w:rPr>
          <w:color w:val="231F20"/>
          <w:spacing w:val="-3"/>
          <w:w w:val="105"/>
        </w:rPr>
        <w:t>de</w:t>
      </w:r>
      <w:r>
        <w:rPr>
          <w:color w:val="231F20"/>
          <w:spacing w:val="-14"/>
          <w:w w:val="105"/>
        </w:rPr>
        <w:t> </w:t>
      </w:r>
      <w:r>
        <w:rPr>
          <w:color w:val="231F20"/>
          <w:spacing w:val="-3"/>
          <w:w w:val="105"/>
        </w:rPr>
        <w:t>esos</w:t>
      </w:r>
      <w:r>
        <w:rPr>
          <w:color w:val="231F20"/>
          <w:spacing w:val="-14"/>
          <w:w w:val="105"/>
        </w:rPr>
        <w:t> </w:t>
      </w:r>
      <w:r>
        <w:rPr>
          <w:color w:val="231F20"/>
          <w:spacing w:val="-3"/>
          <w:w w:val="105"/>
        </w:rPr>
        <w:t>recursos</w:t>
      </w:r>
      <w:r>
        <w:rPr>
          <w:color w:val="231F20"/>
          <w:spacing w:val="-14"/>
          <w:w w:val="105"/>
        </w:rPr>
        <w:t> </w:t>
      </w:r>
      <w:r>
        <w:rPr>
          <w:color w:val="231F20"/>
          <w:spacing w:val="-4"/>
          <w:w w:val="105"/>
        </w:rPr>
        <w:t>que</w:t>
      </w:r>
      <w:r>
        <w:rPr>
          <w:color w:val="231F20"/>
          <w:spacing w:val="-14"/>
          <w:w w:val="105"/>
        </w:rPr>
        <w:t> </w:t>
      </w:r>
      <w:r>
        <w:rPr>
          <w:color w:val="231F20"/>
          <w:spacing w:val="-4"/>
          <w:w w:val="105"/>
        </w:rPr>
        <w:t>muchas</w:t>
      </w:r>
      <w:r>
        <w:rPr>
          <w:color w:val="231F20"/>
          <w:spacing w:val="-14"/>
          <w:w w:val="105"/>
        </w:rPr>
        <w:t> </w:t>
      </w:r>
      <w:r>
        <w:rPr>
          <w:color w:val="231F20"/>
          <w:spacing w:val="-4"/>
          <w:w w:val="105"/>
        </w:rPr>
        <w:t>veces</w:t>
      </w:r>
      <w:r>
        <w:rPr>
          <w:color w:val="231F20"/>
          <w:spacing w:val="-14"/>
          <w:w w:val="105"/>
        </w:rPr>
        <w:t> </w:t>
      </w:r>
      <w:r>
        <w:rPr>
          <w:color w:val="231F20"/>
          <w:spacing w:val="-4"/>
          <w:w w:val="105"/>
        </w:rPr>
        <w:t>vienen</w:t>
      </w:r>
      <w:r>
        <w:rPr>
          <w:color w:val="231F20"/>
          <w:spacing w:val="-14"/>
          <w:w w:val="105"/>
        </w:rPr>
        <w:t> </w:t>
      </w:r>
      <w:r>
        <w:rPr>
          <w:color w:val="231F20"/>
          <w:spacing w:val="-4"/>
          <w:w w:val="105"/>
        </w:rPr>
        <w:t>con</w:t>
      </w:r>
      <w:r>
        <w:rPr>
          <w:color w:val="231F20"/>
          <w:spacing w:val="-14"/>
          <w:w w:val="105"/>
        </w:rPr>
        <w:t> </w:t>
      </w:r>
      <w:r>
        <w:rPr>
          <w:color w:val="231F20"/>
          <w:spacing w:val="-3"/>
          <w:w w:val="105"/>
        </w:rPr>
        <w:t>etiquetas</w:t>
      </w:r>
      <w:r>
        <w:rPr>
          <w:color w:val="231F20"/>
          <w:spacing w:val="-14"/>
          <w:w w:val="105"/>
        </w:rPr>
        <w:t> </w:t>
      </w:r>
      <w:r>
        <w:rPr>
          <w:color w:val="231F20"/>
          <w:w w:val="105"/>
        </w:rPr>
        <w:t>para</w:t>
      </w:r>
      <w:r>
        <w:rPr>
          <w:color w:val="231F20"/>
          <w:spacing w:val="-14"/>
          <w:w w:val="105"/>
        </w:rPr>
        <w:t> </w:t>
      </w:r>
      <w:r>
        <w:rPr>
          <w:color w:val="231F20"/>
          <w:spacing w:val="-3"/>
          <w:w w:val="105"/>
        </w:rPr>
        <w:t>ser</w:t>
      </w:r>
      <w:r>
        <w:rPr>
          <w:color w:val="231F20"/>
          <w:spacing w:val="-14"/>
          <w:w w:val="105"/>
        </w:rPr>
        <w:t> </w:t>
      </w:r>
      <w:r>
        <w:rPr>
          <w:color w:val="231F20"/>
          <w:spacing w:val="-5"/>
          <w:w w:val="105"/>
        </w:rPr>
        <w:t>aprovechados.</w:t>
      </w:r>
    </w:p>
    <w:p>
      <w:pPr>
        <w:pStyle w:val="BodyText"/>
        <w:spacing w:before="1"/>
        <w:rPr>
          <w:sz w:val="26"/>
        </w:rPr>
      </w:pPr>
    </w:p>
    <w:p>
      <w:pPr>
        <w:pStyle w:val="BodyText"/>
        <w:spacing w:line="285" w:lineRule="auto"/>
        <w:ind w:left="110" w:right="105"/>
        <w:jc w:val="both"/>
      </w:pPr>
      <w:r>
        <w:rPr/>
        <w:pict>
          <v:line style="position:absolute;mso-position-horizontal-relative:page;mso-position-vertical-relative:paragraph;z-index:11416;mso-wrap-distance-left:0;mso-wrap-distance-right:0" from="42.519699pt,185.247223pt" to="114.519699pt,185.247223pt" stroked="true" strokeweight="1pt" strokecolor="#231f20">
            <w10:wrap type="topAndBottom"/>
          </v:line>
        </w:pict>
      </w:r>
      <w:r>
        <w:rPr>
          <w:color w:val="231F20"/>
          <w:spacing w:val="3"/>
          <w:w w:val="105"/>
        </w:rPr>
        <w:t>Según </w:t>
      </w:r>
      <w:r>
        <w:rPr>
          <w:color w:val="231F20"/>
          <w:w w:val="105"/>
        </w:rPr>
        <w:t>datos consignados en el Plan </w:t>
      </w:r>
      <w:r>
        <w:rPr>
          <w:color w:val="231F20"/>
          <w:spacing w:val="3"/>
          <w:w w:val="105"/>
        </w:rPr>
        <w:t>(2006: </w:t>
      </w:r>
      <w:r>
        <w:rPr>
          <w:color w:val="231F20"/>
          <w:spacing w:val="-3"/>
          <w:w w:val="105"/>
        </w:rPr>
        <w:t>76) </w:t>
      </w:r>
      <w:r>
        <w:rPr>
          <w:color w:val="231F20"/>
          <w:w w:val="105"/>
        </w:rPr>
        <w:t>los </w:t>
      </w:r>
      <w:r>
        <w:rPr>
          <w:color w:val="231F20"/>
          <w:spacing w:val="2"/>
          <w:w w:val="105"/>
        </w:rPr>
        <w:t>ingresos </w:t>
      </w:r>
      <w:r>
        <w:rPr>
          <w:color w:val="231F20"/>
          <w:w w:val="105"/>
        </w:rPr>
        <w:t>provenientes del </w:t>
      </w:r>
      <w:r>
        <w:rPr>
          <w:color w:val="231F20"/>
          <w:spacing w:val="2"/>
          <w:w w:val="105"/>
        </w:rPr>
        <w:t>Sistema </w:t>
      </w:r>
      <w:r>
        <w:rPr>
          <w:color w:val="231F20"/>
          <w:w w:val="105"/>
        </w:rPr>
        <w:t>Nacional de </w:t>
      </w:r>
      <w:r>
        <w:rPr>
          <w:color w:val="231F20"/>
          <w:spacing w:val="2"/>
          <w:w w:val="105"/>
        </w:rPr>
        <w:t>Coordinación </w:t>
      </w:r>
      <w:r>
        <w:rPr>
          <w:color w:val="231F20"/>
          <w:spacing w:val="3"/>
          <w:w w:val="105"/>
        </w:rPr>
        <w:t>Fiscal </w:t>
      </w:r>
      <w:r>
        <w:rPr>
          <w:color w:val="231F20"/>
          <w:w w:val="105"/>
        </w:rPr>
        <w:t>(SNCF) </w:t>
      </w:r>
      <w:r>
        <w:rPr>
          <w:color w:val="231F20"/>
          <w:spacing w:val="3"/>
          <w:w w:val="105"/>
        </w:rPr>
        <w:t>para </w:t>
      </w:r>
      <w:r>
        <w:rPr>
          <w:color w:val="231F20"/>
          <w:w w:val="105"/>
        </w:rPr>
        <w:t>el </w:t>
      </w:r>
      <w:r>
        <w:rPr>
          <w:color w:val="231F20"/>
          <w:spacing w:val="2"/>
          <w:w w:val="105"/>
        </w:rPr>
        <w:t>año </w:t>
      </w:r>
      <w:r>
        <w:rPr>
          <w:color w:val="231F20"/>
          <w:spacing w:val="4"/>
          <w:w w:val="105"/>
        </w:rPr>
        <w:t>2002 </w:t>
      </w:r>
      <w:r>
        <w:rPr>
          <w:color w:val="231F20"/>
          <w:spacing w:val="3"/>
          <w:w w:val="105"/>
        </w:rPr>
        <w:t>ascendían </w:t>
      </w:r>
      <w:r>
        <w:rPr>
          <w:color w:val="231F20"/>
          <w:w w:val="105"/>
        </w:rPr>
        <w:t>a los 45 </w:t>
      </w:r>
      <w:r>
        <w:rPr>
          <w:color w:val="231F20"/>
          <w:spacing w:val="4"/>
          <w:w w:val="105"/>
        </w:rPr>
        <w:t>millo- </w:t>
      </w:r>
      <w:r>
        <w:rPr>
          <w:color w:val="231F20"/>
          <w:w w:val="105"/>
        </w:rPr>
        <w:t>nes de </w:t>
      </w:r>
      <w:r>
        <w:rPr>
          <w:color w:val="231F20"/>
          <w:spacing w:val="2"/>
          <w:w w:val="105"/>
        </w:rPr>
        <w:t>pesos, </w:t>
      </w:r>
      <w:r>
        <w:rPr>
          <w:color w:val="231F20"/>
          <w:spacing w:val="3"/>
          <w:w w:val="105"/>
        </w:rPr>
        <w:t>para </w:t>
      </w:r>
      <w:r>
        <w:rPr>
          <w:color w:val="231F20"/>
          <w:w w:val="105"/>
        </w:rPr>
        <w:t>el </w:t>
      </w:r>
      <w:r>
        <w:rPr>
          <w:color w:val="231F20"/>
          <w:spacing w:val="4"/>
          <w:w w:val="105"/>
        </w:rPr>
        <w:t>2003 </w:t>
      </w:r>
      <w:r>
        <w:rPr>
          <w:color w:val="231F20"/>
          <w:spacing w:val="2"/>
          <w:w w:val="105"/>
        </w:rPr>
        <w:t>llegaron </w:t>
      </w:r>
      <w:r>
        <w:rPr>
          <w:color w:val="231F20"/>
          <w:w w:val="105"/>
        </w:rPr>
        <w:t>a los 49 </w:t>
      </w:r>
      <w:r>
        <w:rPr>
          <w:color w:val="231F20"/>
          <w:spacing w:val="3"/>
          <w:w w:val="105"/>
        </w:rPr>
        <w:t>millones </w:t>
      </w:r>
      <w:r>
        <w:rPr>
          <w:color w:val="231F20"/>
          <w:w w:val="105"/>
        </w:rPr>
        <w:t>de </w:t>
      </w:r>
      <w:r>
        <w:rPr>
          <w:color w:val="231F20"/>
          <w:spacing w:val="2"/>
          <w:w w:val="105"/>
        </w:rPr>
        <w:t>pesos, </w:t>
      </w:r>
      <w:r>
        <w:rPr>
          <w:color w:val="231F20"/>
          <w:w w:val="105"/>
        </w:rPr>
        <w:t>en el </w:t>
      </w:r>
      <w:r>
        <w:rPr>
          <w:color w:val="231F20"/>
          <w:spacing w:val="5"/>
          <w:w w:val="105"/>
        </w:rPr>
        <w:t>2004 </w:t>
      </w:r>
      <w:r>
        <w:rPr>
          <w:color w:val="231F20"/>
          <w:w w:val="105"/>
        </w:rPr>
        <w:t>fueron de </w:t>
      </w:r>
      <w:r>
        <w:rPr>
          <w:color w:val="231F20"/>
          <w:spacing w:val="2"/>
          <w:w w:val="105"/>
        </w:rPr>
        <w:t>casi</w:t>
      </w:r>
      <w:r>
        <w:rPr>
          <w:color w:val="231F20"/>
          <w:spacing w:val="-8"/>
          <w:w w:val="105"/>
        </w:rPr>
        <w:t> </w:t>
      </w:r>
      <w:r>
        <w:rPr>
          <w:color w:val="231F20"/>
          <w:spacing w:val="3"/>
          <w:w w:val="105"/>
        </w:rPr>
        <w:t>46</w:t>
      </w:r>
      <w:r>
        <w:rPr>
          <w:color w:val="231F20"/>
          <w:spacing w:val="-8"/>
          <w:w w:val="105"/>
        </w:rPr>
        <w:t> </w:t>
      </w:r>
      <w:r>
        <w:rPr>
          <w:color w:val="231F20"/>
          <w:spacing w:val="3"/>
          <w:w w:val="105"/>
        </w:rPr>
        <w:t>millones,</w:t>
      </w:r>
      <w:r>
        <w:rPr>
          <w:color w:val="231F20"/>
          <w:spacing w:val="-8"/>
          <w:w w:val="105"/>
        </w:rPr>
        <w:t> </w:t>
      </w:r>
      <w:r>
        <w:rPr>
          <w:color w:val="231F20"/>
          <w:w w:val="105"/>
        </w:rPr>
        <w:t>y</w:t>
      </w:r>
      <w:r>
        <w:rPr>
          <w:color w:val="231F20"/>
          <w:spacing w:val="-8"/>
          <w:w w:val="105"/>
        </w:rPr>
        <w:t> </w:t>
      </w:r>
      <w:r>
        <w:rPr>
          <w:color w:val="231F20"/>
          <w:w w:val="105"/>
        </w:rPr>
        <w:t>del</w:t>
      </w:r>
      <w:r>
        <w:rPr>
          <w:color w:val="231F20"/>
          <w:spacing w:val="-8"/>
          <w:w w:val="105"/>
        </w:rPr>
        <w:t> </w:t>
      </w:r>
      <w:r>
        <w:rPr>
          <w:color w:val="231F20"/>
          <w:spacing w:val="4"/>
          <w:w w:val="105"/>
        </w:rPr>
        <w:t>2005</w:t>
      </w:r>
      <w:r>
        <w:rPr>
          <w:color w:val="231F20"/>
          <w:spacing w:val="-8"/>
          <w:w w:val="105"/>
        </w:rPr>
        <w:t> </w:t>
      </w:r>
      <w:r>
        <w:rPr>
          <w:color w:val="231F20"/>
          <w:w w:val="105"/>
        </w:rPr>
        <w:t>fueron</w:t>
      </w:r>
      <w:r>
        <w:rPr>
          <w:color w:val="231F20"/>
          <w:spacing w:val="-8"/>
          <w:w w:val="105"/>
        </w:rPr>
        <w:t> </w:t>
      </w:r>
      <w:r>
        <w:rPr>
          <w:color w:val="231F20"/>
          <w:w w:val="105"/>
        </w:rPr>
        <w:t>superiores</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57</w:t>
      </w:r>
      <w:r>
        <w:rPr>
          <w:color w:val="231F20"/>
          <w:spacing w:val="-8"/>
          <w:w w:val="105"/>
        </w:rPr>
        <w:t> </w:t>
      </w:r>
      <w:r>
        <w:rPr>
          <w:color w:val="231F20"/>
          <w:spacing w:val="3"/>
          <w:w w:val="105"/>
        </w:rPr>
        <w:t>millones.</w:t>
      </w:r>
      <w:r>
        <w:rPr>
          <w:color w:val="231F20"/>
          <w:spacing w:val="-8"/>
          <w:w w:val="105"/>
        </w:rPr>
        <w:t> </w:t>
      </w:r>
      <w:r>
        <w:rPr>
          <w:color w:val="231F20"/>
          <w:spacing w:val="-3"/>
          <w:w w:val="105"/>
        </w:rPr>
        <w:t>Todos</w:t>
      </w:r>
      <w:r>
        <w:rPr>
          <w:color w:val="231F20"/>
          <w:spacing w:val="-8"/>
          <w:w w:val="105"/>
        </w:rPr>
        <w:t> </w:t>
      </w:r>
      <w:r>
        <w:rPr>
          <w:color w:val="231F20"/>
          <w:w w:val="105"/>
        </w:rPr>
        <w:t>estos</w:t>
      </w:r>
      <w:r>
        <w:rPr>
          <w:color w:val="231F20"/>
          <w:spacing w:val="-8"/>
          <w:w w:val="105"/>
        </w:rPr>
        <w:t> </w:t>
      </w:r>
      <w:r>
        <w:rPr>
          <w:color w:val="231F20"/>
          <w:spacing w:val="3"/>
          <w:w w:val="105"/>
        </w:rPr>
        <w:t>ingresos indirectos</w:t>
      </w:r>
      <w:r>
        <w:rPr>
          <w:color w:val="231F20"/>
          <w:spacing w:val="-33"/>
          <w:w w:val="105"/>
        </w:rPr>
        <w:t> </w:t>
      </w:r>
      <w:r>
        <w:rPr>
          <w:color w:val="231F20"/>
          <w:w w:val="105"/>
        </w:rPr>
        <w:t>establecieron</w:t>
      </w:r>
      <w:r>
        <w:rPr>
          <w:color w:val="231F20"/>
          <w:spacing w:val="-33"/>
          <w:w w:val="105"/>
        </w:rPr>
        <w:t> </w:t>
      </w:r>
      <w:r>
        <w:rPr>
          <w:color w:val="231F20"/>
          <w:spacing w:val="3"/>
          <w:w w:val="105"/>
        </w:rPr>
        <w:t>una</w:t>
      </w:r>
      <w:r>
        <w:rPr>
          <w:color w:val="231F20"/>
          <w:spacing w:val="-33"/>
          <w:w w:val="105"/>
        </w:rPr>
        <w:t> </w:t>
      </w:r>
      <w:r>
        <w:rPr>
          <w:color w:val="231F20"/>
          <w:w w:val="105"/>
        </w:rPr>
        <w:t>dependencia</w:t>
      </w:r>
      <w:r>
        <w:rPr>
          <w:color w:val="231F20"/>
          <w:spacing w:val="-33"/>
          <w:w w:val="105"/>
        </w:rPr>
        <w:t> </w:t>
      </w:r>
      <w:r>
        <w:rPr>
          <w:color w:val="231F20"/>
          <w:w w:val="105"/>
        </w:rPr>
        <w:t>del</w:t>
      </w:r>
      <w:r>
        <w:rPr>
          <w:color w:val="231F20"/>
          <w:spacing w:val="-33"/>
          <w:w w:val="105"/>
        </w:rPr>
        <w:t> </w:t>
      </w:r>
      <w:r>
        <w:rPr>
          <w:color w:val="231F20"/>
          <w:w w:val="105"/>
        </w:rPr>
        <w:t>70.21%,</w:t>
      </w:r>
      <w:r>
        <w:rPr>
          <w:color w:val="231F20"/>
          <w:spacing w:val="-33"/>
          <w:w w:val="105"/>
        </w:rPr>
        <w:t> </w:t>
      </w:r>
      <w:r>
        <w:rPr>
          <w:color w:val="231F20"/>
          <w:w w:val="105"/>
        </w:rPr>
        <w:t>76.93%,</w:t>
      </w:r>
      <w:r>
        <w:rPr>
          <w:color w:val="231F20"/>
          <w:spacing w:val="-33"/>
          <w:w w:val="105"/>
        </w:rPr>
        <w:t> </w:t>
      </w:r>
      <w:r>
        <w:rPr>
          <w:color w:val="231F20"/>
          <w:w w:val="105"/>
        </w:rPr>
        <w:t>79.87%</w:t>
      </w:r>
      <w:r>
        <w:rPr>
          <w:color w:val="231F20"/>
          <w:spacing w:val="-33"/>
          <w:w w:val="105"/>
        </w:rPr>
        <w:t> </w:t>
      </w:r>
      <w:r>
        <w:rPr>
          <w:color w:val="231F20"/>
          <w:w w:val="105"/>
        </w:rPr>
        <w:t>y</w:t>
      </w:r>
      <w:r>
        <w:rPr>
          <w:color w:val="231F20"/>
          <w:spacing w:val="-33"/>
          <w:w w:val="105"/>
        </w:rPr>
        <w:t> </w:t>
      </w:r>
      <w:r>
        <w:rPr>
          <w:color w:val="231F20"/>
          <w:spacing w:val="-3"/>
          <w:w w:val="105"/>
        </w:rPr>
        <w:t>87.22%</w:t>
      </w:r>
      <w:r>
        <w:rPr>
          <w:color w:val="231F20"/>
          <w:spacing w:val="-33"/>
          <w:w w:val="105"/>
        </w:rPr>
        <w:t> </w:t>
      </w:r>
      <w:r>
        <w:rPr>
          <w:color w:val="231F20"/>
          <w:w w:val="105"/>
        </w:rPr>
        <w:t>respec- </w:t>
      </w:r>
      <w:r>
        <w:rPr>
          <w:color w:val="231F20"/>
          <w:spacing w:val="2"/>
          <w:w w:val="105"/>
        </w:rPr>
        <w:t>tivamente.</w:t>
      </w:r>
      <w:r>
        <w:rPr>
          <w:color w:val="231F20"/>
          <w:spacing w:val="-7"/>
          <w:w w:val="105"/>
        </w:rPr>
        <w:t> </w:t>
      </w:r>
      <w:r>
        <w:rPr>
          <w:color w:val="231F20"/>
          <w:w w:val="105"/>
        </w:rPr>
        <w:t>Como</w:t>
      </w:r>
      <w:r>
        <w:rPr>
          <w:color w:val="231F20"/>
          <w:spacing w:val="-7"/>
          <w:w w:val="105"/>
        </w:rPr>
        <w:t> </w:t>
      </w:r>
      <w:r>
        <w:rPr>
          <w:color w:val="231F20"/>
          <w:w w:val="105"/>
        </w:rPr>
        <w:t>puede</w:t>
      </w:r>
      <w:r>
        <w:rPr>
          <w:color w:val="231F20"/>
          <w:spacing w:val="-7"/>
          <w:w w:val="105"/>
        </w:rPr>
        <w:t> </w:t>
      </w:r>
      <w:r>
        <w:rPr>
          <w:color w:val="231F20"/>
          <w:spacing w:val="2"/>
          <w:w w:val="105"/>
        </w:rPr>
        <w:t>notarse,</w:t>
      </w:r>
      <w:r>
        <w:rPr>
          <w:color w:val="231F20"/>
          <w:spacing w:val="-7"/>
          <w:w w:val="105"/>
        </w:rPr>
        <w:t> </w:t>
      </w:r>
      <w:r>
        <w:rPr>
          <w:color w:val="231F20"/>
          <w:w w:val="105"/>
        </w:rPr>
        <w:t>el</w:t>
      </w:r>
      <w:r>
        <w:rPr>
          <w:color w:val="231F20"/>
          <w:spacing w:val="-7"/>
          <w:w w:val="105"/>
        </w:rPr>
        <w:t> </w:t>
      </w:r>
      <w:r>
        <w:rPr>
          <w:color w:val="231F20"/>
          <w:w w:val="105"/>
        </w:rPr>
        <w:t>gobierno</w:t>
      </w:r>
      <w:r>
        <w:rPr>
          <w:color w:val="231F20"/>
          <w:spacing w:val="-7"/>
          <w:w w:val="105"/>
        </w:rPr>
        <w:t> </w:t>
      </w:r>
      <w:r>
        <w:rPr>
          <w:color w:val="231F20"/>
          <w:spacing w:val="3"/>
          <w:w w:val="105"/>
        </w:rPr>
        <w:t>perredista</w:t>
      </w:r>
      <w:r>
        <w:rPr>
          <w:color w:val="231F20"/>
          <w:spacing w:val="-7"/>
          <w:w w:val="105"/>
        </w:rPr>
        <w:t> </w:t>
      </w:r>
      <w:r>
        <w:rPr>
          <w:color w:val="231F20"/>
          <w:spacing w:val="4"/>
          <w:w w:val="105"/>
        </w:rPr>
        <w:t>al</w:t>
      </w:r>
      <w:r>
        <w:rPr>
          <w:color w:val="231F20"/>
          <w:spacing w:val="-7"/>
          <w:w w:val="105"/>
        </w:rPr>
        <w:t> </w:t>
      </w:r>
      <w:r>
        <w:rPr>
          <w:color w:val="231F20"/>
          <w:spacing w:val="3"/>
          <w:w w:val="105"/>
        </w:rPr>
        <w:t>iniciar</w:t>
      </w:r>
      <w:r>
        <w:rPr>
          <w:color w:val="231F20"/>
          <w:spacing w:val="-7"/>
          <w:w w:val="105"/>
        </w:rPr>
        <w:t> </w:t>
      </w:r>
      <w:r>
        <w:rPr>
          <w:color w:val="231F20"/>
          <w:w w:val="105"/>
        </w:rPr>
        <w:t>la</w:t>
      </w:r>
      <w:r>
        <w:rPr>
          <w:color w:val="231F20"/>
          <w:spacing w:val="-7"/>
          <w:w w:val="105"/>
        </w:rPr>
        <w:t> </w:t>
      </w:r>
      <w:r>
        <w:rPr>
          <w:color w:val="231F20"/>
          <w:spacing w:val="3"/>
          <w:w w:val="105"/>
        </w:rPr>
        <w:t>administración</w:t>
      </w:r>
      <w:r>
        <w:rPr>
          <w:color w:val="231F20"/>
          <w:spacing w:val="-7"/>
          <w:w w:val="105"/>
        </w:rPr>
        <w:t> </w:t>
      </w:r>
      <w:r>
        <w:rPr>
          <w:color w:val="231F20"/>
          <w:w w:val="105"/>
        </w:rPr>
        <w:t>se encuentra con </w:t>
      </w:r>
      <w:r>
        <w:rPr>
          <w:color w:val="231F20"/>
          <w:spacing w:val="3"/>
          <w:w w:val="105"/>
        </w:rPr>
        <w:t>una </w:t>
      </w:r>
      <w:r>
        <w:rPr>
          <w:color w:val="231F20"/>
          <w:w w:val="105"/>
        </w:rPr>
        <w:t>tendencia ascendente en </w:t>
      </w:r>
      <w:r>
        <w:rPr>
          <w:color w:val="231F20"/>
          <w:spacing w:val="2"/>
          <w:w w:val="105"/>
        </w:rPr>
        <w:t>cuanto </w:t>
      </w:r>
      <w:r>
        <w:rPr>
          <w:color w:val="231F20"/>
          <w:w w:val="105"/>
        </w:rPr>
        <w:t>a la dependencia de </w:t>
      </w:r>
      <w:r>
        <w:rPr>
          <w:color w:val="231F20"/>
          <w:spacing w:val="2"/>
          <w:w w:val="105"/>
        </w:rPr>
        <w:t>recursos </w:t>
      </w:r>
      <w:r>
        <w:rPr>
          <w:color w:val="231F20"/>
          <w:w w:val="105"/>
        </w:rPr>
        <w:t>fe- </w:t>
      </w:r>
      <w:r>
        <w:rPr>
          <w:color w:val="231F20"/>
          <w:spacing w:val="2"/>
          <w:w w:val="105"/>
        </w:rPr>
        <w:t>derales,</w:t>
      </w:r>
      <w:r>
        <w:rPr>
          <w:color w:val="231F20"/>
          <w:spacing w:val="-3"/>
          <w:w w:val="105"/>
        </w:rPr>
        <w:t> </w:t>
      </w:r>
      <w:r>
        <w:rPr>
          <w:color w:val="231F20"/>
          <w:w w:val="105"/>
        </w:rPr>
        <w:t>a</w:t>
      </w:r>
      <w:r>
        <w:rPr>
          <w:color w:val="231F20"/>
          <w:spacing w:val="-3"/>
          <w:w w:val="105"/>
        </w:rPr>
        <w:t> </w:t>
      </w:r>
      <w:r>
        <w:rPr>
          <w:color w:val="231F20"/>
          <w:spacing w:val="3"/>
          <w:w w:val="105"/>
        </w:rPr>
        <w:t>pesar</w:t>
      </w:r>
      <w:r>
        <w:rPr>
          <w:color w:val="231F20"/>
          <w:spacing w:val="-3"/>
          <w:w w:val="105"/>
        </w:rPr>
        <w:t> </w:t>
      </w:r>
      <w:r>
        <w:rPr>
          <w:color w:val="231F20"/>
          <w:w w:val="105"/>
        </w:rPr>
        <w:t>de</w:t>
      </w:r>
      <w:r>
        <w:rPr>
          <w:color w:val="231F20"/>
          <w:spacing w:val="-3"/>
          <w:w w:val="105"/>
        </w:rPr>
        <w:t> </w:t>
      </w:r>
      <w:r>
        <w:rPr>
          <w:color w:val="231F20"/>
          <w:w w:val="105"/>
        </w:rPr>
        <w:t>que</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concepto</w:t>
      </w:r>
      <w:r>
        <w:rPr>
          <w:color w:val="231F20"/>
          <w:spacing w:val="-3"/>
          <w:w w:val="105"/>
        </w:rPr>
        <w:t> </w:t>
      </w:r>
      <w:r>
        <w:rPr>
          <w:color w:val="231F20"/>
          <w:w w:val="105"/>
        </w:rPr>
        <w:t>de</w:t>
      </w:r>
      <w:r>
        <w:rPr>
          <w:color w:val="231F20"/>
          <w:spacing w:val="-3"/>
          <w:w w:val="105"/>
        </w:rPr>
        <w:t> </w:t>
      </w:r>
      <w:r>
        <w:rPr>
          <w:color w:val="231F20"/>
          <w:w w:val="105"/>
        </w:rPr>
        <w:t>impuestos</w:t>
      </w:r>
      <w:r>
        <w:rPr>
          <w:color w:val="231F20"/>
          <w:spacing w:val="-3"/>
          <w:w w:val="105"/>
        </w:rPr>
        <w:t> </w:t>
      </w:r>
      <w:r>
        <w:rPr>
          <w:color w:val="231F20"/>
          <w:w w:val="105"/>
        </w:rPr>
        <w:t>había</w:t>
      </w:r>
      <w:r>
        <w:rPr>
          <w:color w:val="231F20"/>
          <w:spacing w:val="-3"/>
          <w:w w:val="105"/>
        </w:rPr>
        <w:t> </w:t>
      </w:r>
      <w:r>
        <w:rPr>
          <w:color w:val="231F20"/>
          <w:w w:val="105"/>
        </w:rPr>
        <w:t>logrado</w:t>
      </w:r>
      <w:r>
        <w:rPr>
          <w:color w:val="231F20"/>
          <w:spacing w:val="-3"/>
          <w:w w:val="105"/>
        </w:rPr>
        <w:t> </w:t>
      </w:r>
      <w:r>
        <w:rPr>
          <w:color w:val="231F20"/>
          <w:w w:val="105"/>
        </w:rPr>
        <w:t>el</w:t>
      </w:r>
      <w:r>
        <w:rPr>
          <w:color w:val="231F20"/>
          <w:spacing w:val="-3"/>
          <w:w w:val="105"/>
        </w:rPr>
        <w:t> </w:t>
      </w:r>
      <w:r>
        <w:rPr>
          <w:color w:val="231F20"/>
          <w:w w:val="105"/>
        </w:rPr>
        <w:t>municipio</w:t>
      </w:r>
      <w:r>
        <w:rPr>
          <w:color w:val="231F20"/>
          <w:spacing w:val="-3"/>
          <w:w w:val="105"/>
        </w:rPr>
        <w:t> </w:t>
      </w:r>
      <w:r>
        <w:rPr>
          <w:color w:val="231F20"/>
          <w:spacing w:val="3"/>
          <w:w w:val="105"/>
        </w:rPr>
        <w:t>un</w:t>
      </w:r>
      <w:r>
        <w:rPr>
          <w:color w:val="231F20"/>
          <w:spacing w:val="-3"/>
          <w:w w:val="105"/>
        </w:rPr>
        <w:t> </w:t>
      </w:r>
      <w:r>
        <w:rPr>
          <w:color w:val="231F20"/>
          <w:spacing w:val="2"/>
          <w:w w:val="105"/>
        </w:rPr>
        <w:t>as- </w:t>
      </w:r>
      <w:r>
        <w:rPr>
          <w:color w:val="231F20"/>
          <w:w w:val="105"/>
        </w:rPr>
        <w:t>censo,</w:t>
      </w:r>
      <w:r>
        <w:rPr>
          <w:color w:val="231F20"/>
          <w:spacing w:val="-4"/>
          <w:w w:val="105"/>
        </w:rPr>
        <w:t> </w:t>
      </w:r>
      <w:r>
        <w:rPr>
          <w:color w:val="231F20"/>
          <w:w w:val="105"/>
        </w:rPr>
        <w:t>pero</w:t>
      </w:r>
      <w:r>
        <w:rPr>
          <w:color w:val="231F20"/>
          <w:spacing w:val="-4"/>
          <w:w w:val="105"/>
        </w:rPr>
        <w:t> </w:t>
      </w:r>
      <w:r>
        <w:rPr>
          <w:color w:val="231F20"/>
          <w:w w:val="105"/>
        </w:rPr>
        <w:t>no</w:t>
      </w:r>
      <w:r>
        <w:rPr>
          <w:color w:val="231F20"/>
          <w:spacing w:val="-4"/>
          <w:w w:val="105"/>
        </w:rPr>
        <w:t> </w:t>
      </w:r>
      <w:r>
        <w:rPr>
          <w:color w:val="231F20"/>
          <w:spacing w:val="2"/>
          <w:w w:val="105"/>
        </w:rPr>
        <w:t>suficiente</w:t>
      </w:r>
      <w:r>
        <w:rPr>
          <w:color w:val="231F20"/>
          <w:spacing w:val="-4"/>
          <w:w w:val="105"/>
        </w:rPr>
        <w:t> </w:t>
      </w:r>
      <w:r>
        <w:rPr>
          <w:color w:val="231F20"/>
          <w:spacing w:val="3"/>
          <w:w w:val="105"/>
        </w:rPr>
        <w:t>para</w:t>
      </w:r>
      <w:r>
        <w:rPr>
          <w:color w:val="231F20"/>
          <w:spacing w:val="-4"/>
          <w:w w:val="105"/>
        </w:rPr>
        <w:t> </w:t>
      </w:r>
      <w:r>
        <w:rPr>
          <w:color w:val="231F20"/>
          <w:spacing w:val="2"/>
          <w:w w:val="105"/>
        </w:rPr>
        <w:t>revertir</w:t>
      </w:r>
      <w:r>
        <w:rPr>
          <w:color w:val="231F20"/>
          <w:spacing w:val="-4"/>
          <w:w w:val="105"/>
        </w:rPr>
        <w:t> </w:t>
      </w:r>
      <w:r>
        <w:rPr>
          <w:color w:val="231F20"/>
          <w:w w:val="105"/>
        </w:rPr>
        <w:t>la</w:t>
      </w:r>
      <w:r>
        <w:rPr>
          <w:color w:val="231F20"/>
          <w:spacing w:val="-4"/>
          <w:w w:val="105"/>
        </w:rPr>
        <w:t> </w:t>
      </w:r>
      <w:r>
        <w:rPr>
          <w:color w:val="231F20"/>
          <w:w w:val="105"/>
        </w:rPr>
        <w:t>relación.</w:t>
      </w:r>
      <w:r>
        <w:rPr>
          <w:color w:val="231F20"/>
          <w:spacing w:val="-4"/>
          <w:w w:val="105"/>
        </w:rPr>
        <w:t> </w:t>
      </w:r>
      <w:r>
        <w:rPr>
          <w:color w:val="231F20"/>
          <w:spacing w:val="2"/>
          <w:w w:val="105"/>
        </w:rPr>
        <w:t>Los</w:t>
      </w:r>
      <w:r>
        <w:rPr>
          <w:color w:val="231F20"/>
          <w:spacing w:val="-4"/>
          <w:w w:val="105"/>
        </w:rPr>
        <w:t> </w:t>
      </w:r>
      <w:r>
        <w:rPr>
          <w:color w:val="231F20"/>
          <w:w w:val="105"/>
        </w:rPr>
        <w:t>impuestos</w:t>
      </w:r>
      <w:r>
        <w:rPr>
          <w:color w:val="231F20"/>
          <w:spacing w:val="-4"/>
          <w:w w:val="105"/>
        </w:rPr>
        <w:t> </w:t>
      </w:r>
      <w:r>
        <w:rPr>
          <w:color w:val="231F20"/>
          <w:w w:val="105"/>
        </w:rPr>
        <w:t>del</w:t>
      </w:r>
      <w:r>
        <w:rPr>
          <w:color w:val="231F20"/>
          <w:spacing w:val="-4"/>
          <w:w w:val="105"/>
        </w:rPr>
        <w:t> </w:t>
      </w:r>
      <w:r>
        <w:rPr>
          <w:color w:val="231F20"/>
          <w:w w:val="105"/>
        </w:rPr>
        <w:t>orden</w:t>
      </w:r>
      <w:r>
        <w:rPr>
          <w:color w:val="231F20"/>
          <w:spacing w:val="-4"/>
          <w:w w:val="105"/>
        </w:rPr>
        <w:t> </w:t>
      </w:r>
      <w:r>
        <w:rPr>
          <w:color w:val="231F20"/>
          <w:spacing w:val="2"/>
          <w:w w:val="105"/>
        </w:rPr>
        <w:t>municipal </w:t>
      </w:r>
      <w:r>
        <w:rPr>
          <w:color w:val="231F20"/>
          <w:w w:val="105"/>
        </w:rPr>
        <w:t>en</w:t>
      </w:r>
      <w:r>
        <w:rPr>
          <w:color w:val="231F20"/>
          <w:spacing w:val="-17"/>
          <w:w w:val="105"/>
        </w:rPr>
        <w:t> </w:t>
      </w:r>
      <w:r>
        <w:rPr>
          <w:color w:val="231F20"/>
          <w:spacing w:val="3"/>
          <w:w w:val="105"/>
        </w:rPr>
        <w:t>Amecameca</w:t>
      </w:r>
      <w:r>
        <w:rPr>
          <w:color w:val="231F20"/>
          <w:spacing w:val="-17"/>
          <w:w w:val="105"/>
        </w:rPr>
        <w:t> </w:t>
      </w:r>
      <w:r>
        <w:rPr>
          <w:color w:val="231F20"/>
          <w:spacing w:val="2"/>
          <w:w w:val="105"/>
        </w:rPr>
        <w:t>andaban</w:t>
      </w:r>
      <w:r>
        <w:rPr>
          <w:color w:val="231F20"/>
          <w:spacing w:val="-17"/>
          <w:w w:val="105"/>
        </w:rPr>
        <w:t> </w:t>
      </w:r>
      <w:r>
        <w:rPr>
          <w:color w:val="231F20"/>
          <w:spacing w:val="2"/>
          <w:w w:val="105"/>
        </w:rPr>
        <w:t>alrededor</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5</w:t>
      </w:r>
      <w:r>
        <w:rPr>
          <w:color w:val="231F20"/>
          <w:spacing w:val="-17"/>
          <w:w w:val="105"/>
        </w:rPr>
        <w:t> </w:t>
      </w:r>
      <w:r>
        <w:rPr>
          <w:color w:val="231F20"/>
          <w:spacing w:val="3"/>
          <w:w w:val="105"/>
        </w:rPr>
        <w:t>millones</w:t>
      </w:r>
      <w:r>
        <w:rPr>
          <w:color w:val="231F20"/>
          <w:spacing w:val="-17"/>
          <w:w w:val="105"/>
        </w:rPr>
        <w:t> </w:t>
      </w:r>
      <w:r>
        <w:rPr>
          <w:color w:val="231F20"/>
          <w:spacing w:val="3"/>
          <w:w w:val="105"/>
        </w:rPr>
        <w:t>para</w:t>
      </w:r>
      <w:r>
        <w:rPr>
          <w:color w:val="231F20"/>
          <w:spacing w:val="-17"/>
          <w:w w:val="105"/>
        </w:rPr>
        <w:t> </w:t>
      </w:r>
      <w:r>
        <w:rPr>
          <w:color w:val="231F20"/>
          <w:w w:val="105"/>
        </w:rPr>
        <w:t>el</w:t>
      </w:r>
      <w:r>
        <w:rPr>
          <w:color w:val="231F20"/>
          <w:spacing w:val="-17"/>
          <w:w w:val="105"/>
        </w:rPr>
        <w:t> </w:t>
      </w:r>
      <w:r>
        <w:rPr>
          <w:color w:val="231F20"/>
          <w:spacing w:val="2"/>
          <w:w w:val="105"/>
        </w:rPr>
        <w:t>año</w:t>
      </w:r>
      <w:r>
        <w:rPr>
          <w:color w:val="231F20"/>
          <w:spacing w:val="-17"/>
          <w:w w:val="105"/>
        </w:rPr>
        <w:t> </w:t>
      </w:r>
      <w:r>
        <w:rPr>
          <w:color w:val="231F20"/>
          <w:spacing w:val="4"/>
          <w:w w:val="105"/>
        </w:rPr>
        <w:t>2005,</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spacing w:val="3"/>
          <w:w w:val="105"/>
        </w:rPr>
        <w:t>equivalía </w:t>
      </w:r>
      <w:r>
        <w:rPr>
          <w:color w:val="231F20"/>
          <w:spacing w:val="4"/>
          <w:w w:val="105"/>
        </w:rPr>
        <w:t>al </w:t>
      </w:r>
      <w:r>
        <w:rPr>
          <w:color w:val="231F20"/>
          <w:w w:val="105"/>
        </w:rPr>
        <w:t>7% de los </w:t>
      </w:r>
      <w:r>
        <w:rPr>
          <w:color w:val="231F20"/>
          <w:spacing w:val="2"/>
          <w:w w:val="105"/>
        </w:rPr>
        <w:t>ingresos. </w:t>
      </w:r>
      <w:r>
        <w:rPr>
          <w:color w:val="231F20"/>
          <w:w w:val="105"/>
        </w:rPr>
        <w:t>En el </w:t>
      </w:r>
      <w:r>
        <w:rPr>
          <w:color w:val="231F20"/>
          <w:spacing w:val="2"/>
          <w:w w:val="105"/>
        </w:rPr>
        <w:t>año </w:t>
      </w:r>
      <w:r>
        <w:rPr>
          <w:color w:val="231F20"/>
          <w:spacing w:val="5"/>
          <w:w w:val="105"/>
        </w:rPr>
        <w:t>2006, </w:t>
      </w:r>
      <w:r>
        <w:rPr>
          <w:color w:val="231F20"/>
          <w:w w:val="105"/>
        </w:rPr>
        <w:t>los </w:t>
      </w:r>
      <w:r>
        <w:rPr>
          <w:color w:val="231F20"/>
          <w:spacing w:val="2"/>
          <w:w w:val="105"/>
        </w:rPr>
        <w:t>ingresos </w:t>
      </w:r>
      <w:r>
        <w:rPr>
          <w:color w:val="231F20"/>
          <w:w w:val="105"/>
        </w:rPr>
        <w:t>recaudados fueron del </w:t>
      </w:r>
      <w:r>
        <w:rPr>
          <w:color w:val="231F20"/>
          <w:spacing w:val="2"/>
          <w:w w:val="105"/>
        </w:rPr>
        <w:t>alrededor </w:t>
      </w:r>
      <w:r>
        <w:rPr>
          <w:color w:val="231F20"/>
          <w:w w:val="105"/>
        </w:rPr>
        <w:t>de 89 </w:t>
      </w:r>
      <w:r>
        <w:rPr>
          <w:color w:val="231F20"/>
          <w:spacing w:val="3"/>
          <w:w w:val="105"/>
        </w:rPr>
        <w:t>millones </w:t>
      </w:r>
      <w:r>
        <w:rPr>
          <w:color w:val="231F20"/>
          <w:w w:val="105"/>
        </w:rPr>
        <w:t>de </w:t>
      </w:r>
      <w:r>
        <w:rPr>
          <w:color w:val="231F20"/>
          <w:spacing w:val="2"/>
          <w:w w:val="105"/>
        </w:rPr>
        <w:t>pesos, </w:t>
      </w:r>
      <w:r>
        <w:rPr>
          <w:color w:val="231F20"/>
          <w:w w:val="105"/>
        </w:rPr>
        <w:t>de los </w:t>
      </w:r>
      <w:r>
        <w:rPr>
          <w:color w:val="231F20"/>
          <w:spacing w:val="3"/>
          <w:w w:val="105"/>
        </w:rPr>
        <w:t>cuales </w:t>
      </w:r>
      <w:r>
        <w:rPr>
          <w:color w:val="231F20"/>
          <w:w w:val="105"/>
        </w:rPr>
        <w:t>5 </w:t>
      </w:r>
      <w:r>
        <w:rPr>
          <w:color w:val="231F20"/>
          <w:spacing w:val="3"/>
          <w:w w:val="105"/>
        </w:rPr>
        <w:t>millones </w:t>
      </w:r>
      <w:r>
        <w:rPr>
          <w:color w:val="231F20"/>
          <w:w w:val="105"/>
        </w:rPr>
        <w:t>y medio </w:t>
      </w:r>
      <w:r>
        <w:rPr>
          <w:color w:val="231F20"/>
          <w:spacing w:val="2"/>
          <w:w w:val="105"/>
        </w:rPr>
        <w:t>ingresaron </w:t>
      </w:r>
      <w:r>
        <w:rPr>
          <w:color w:val="231F20"/>
          <w:w w:val="105"/>
        </w:rPr>
        <w:t>por </w:t>
      </w:r>
      <w:r>
        <w:rPr>
          <w:color w:val="231F20"/>
          <w:spacing w:val="6"/>
          <w:w w:val="105"/>
        </w:rPr>
        <w:t> </w:t>
      </w:r>
      <w:r>
        <w:rPr>
          <w:color w:val="231F20"/>
          <w:w w:val="105"/>
        </w:rPr>
        <w:t>impuestos</w:t>
      </w:r>
    </w:p>
    <w:p>
      <w:pPr>
        <w:pStyle w:val="ListParagraph"/>
        <w:numPr>
          <w:ilvl w:val="0"/>
          <w:numId w:val="21"/>
        </w:numPr>
        <w:tabs>
          <w:tab w:pos="268" w:val="left" w:leader="none"/>
        </w:tabs>
        <w:spacing w:line="244" w:lineRule="auto" w:before="8" w:after="0"/>
        <w:ind w:left="110" w:right="108" w:firstLine="0"/>
        <w:jc w:val="left"/>
        <w:rPr>
          <w:sz w:val="16"/>
        </w:rPr>
      </w:pPr>
      <w:r>
        <w:rPr>
          <w:color w:val="231F20"/>
          <w:sz w:val="16"/>
        </w:rPr>
        <w:t>Los ingresos del Sistema Nacional de Coordinación Fiscal se componen tanto de las participaciones como de las aporta- ciones</w:t>
      </w:r>
      <w:r>
        <w:rPr>
          <w:color w:val="231F20"/>
          <w:spacing w:val="-9"/>
          <w:sz w:val="16"/>
        </w:rPr>
        <w:t> </w:t>
      </w:r>
      <w:r>
        <w:rPr>
          <w:color w:val="231F20"/>
          <w:sz w:val="16"/>
        </w:rPr>
        <w:t>federales,</w:t>
      </w:r>
      <w:r>
        <w:rPr>
          <w:color w:val="231F20"/>
          <w:spacing w:val="-9"/>
          <w:sz w:val="16"/>
        </w:rPr>
        <w:t> </w:t>
      </w:r>
      <w:r>
        <w:rPr>
          <w:color w:val="231F20"/>
          <w:sz w:val="16"/>
        </w:rPr>
        <w:t>y</w:t>
      </w:r>
      <w:r>
        <w:rPr>
          <w:color w:val="231F20"/>
          <w:spacing w:val="-9"/>
          <w:sz w:val="16"/>
        </w:rPr>
        <w:t> </w:t>
      </w:r>
      <w:r>
        <w:rPr>
          <w:color w:val="231F20"/>
          <w:sz w:val="16"/>
        </w:rPr>
        <w:t>se</w:t>
      </w:r>
      <w:r>
        <w:rPr>
          <w:color w:val="231F20"/>
          <w:spacing w:val="-9"/>
          <w:sz w:val="16"/>
        </w:rPr>
        <w:t> </w:t>
      </w:r>
      <w:r>
        <w:rPr>
          <w:color w:val="231F20"/>
          <w:sz w:val="16"/>
        </w:rPr>
        <w:t>regulan</w:t>
      </w:r>
      <w:r>
        <w:rPr>
          <w:color w:val="231F20"/>
          <w:spacing w:val="-9"/>
          <w:sz w:val="16"/>
        </w:rPr>
        <w:t> </w:t>
      </w:r>
      <w:r>
        <w:rPr>
          <w:color w:val="231F20"/>
          <w:sz w:val="16"/>
        </w:rPr>
        <w:t>por</w:t>
      </w:r>
      <w:r>
        <w:rPr>
          <w:color w:val="231F20"/>
          <w:spacing w:val="-9"/>
          <w:sz w:val="16"/>
        </w:rPr>
        <w:t> </w:t>
      </w:r>
      <w:r>
        <w:rPr>
          <w:color w:val="231F20"/>
          <w:sz w:val="16"/>
        </w:rPr>
        <w:t>la</w:t>
      </w:r>
      <w:r>
        <w:rPr>
          <w:color w:val="231F20"/>
          <w:spacing w:val="-9"/>
          <w:sz w:val="16"/>
        </w:rPr>
        <w:t> </w:t>
      </w:r>
      <w:r>
        <w:rPr>
          <w:color w:val="231F20"/>
          <w:sz w:val="16"/>
        </w:rPr>
        <w:t>Ley</w:t>
      </w:r>
      <w:r>
        <w:rPr>
          <w:color w:val="231F20"/>
          <w:spacing w:val="-9"/>
          <w:sz w:val="16"/>
        </w:rPr>
        <w:t> </w:t>
      </w:r>
      <w:r>
        <w:rPr>
          <w:color w:val="231F20"/>
          <w:sz w:val="16"/>
        </w:rPr>
        <w:t>de</w:t>
      </w:r>
      <w:r>
        <w:rPr>
          <w:color w:val="231F20"/>
          <w:spacing w:val="-9"/>
          <w:sz w:val="16"/>
        </w:rPr>
        <w:t> </w:t>
      </w:r>
      <w:r>
        <w:rPr>
          <w:color w:val="231F20"/>
          <w:sz w:val="16"/>
        </w:rPr>
        <w:t>Coordinación</w:t>
      </w:r>
      <w:r>
        <w:rPr>
          <w:color w:val="231F20"/>
          <w:spacing w:val="-9"/>
          <w:sz w:val="16"/>
        </w:rPr>
        <w:t> </w:t>
      </w:r>
      <w:r>
        <w:rPr>
          <w:color w:val="231F20"/>
          <w:sz w:val="16"/>
        </w:rPr>
        <w:t>Fiscal.</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before="35"/>
        <w:ind w:left="110"/>
        <w:jc w:val="both"/>
      </w:pPr>
      <w:r>
        <w:rPr>
          <w:color w:val="231F20"/>
        </w:rPr>
        <w:t>mientras que 72 millones llegaron por el SNCF, lo que equivalen cerca del 81%.</w:t>
      </w:r>
    </w:p>
    <w:p>
      <w:pPr>
        <w:pStyle w:val="BodyText"/>
        <w:spacing w:before="2"/>
        <w:rPr>
          <w:sz w:val="30"/>
        </w:rPr>
      </w:pPr>
    </w:p>
    <w:p>
      <w:pPr>
        <w:pStyle w:val="BodyText"/>
        <w:spacing w:line="285" w:lineRule="auto"/>
        <w:ind w:left="110" w:right="107"/>
        <w:jc w:val="both"/>
      </w:pPr>
      <w:r>
        <w:rPr>
          <w:color w:val="231F20"/>
          <w:w w:val="105"/>
        </w:rPr>
        <w:t>El</w:t>
      </w:r>
      <w:r>
        <w:rPr>
          <w:color w:val="231F20"/>
          <w:spacing w:val="-5"/>
          <w:w w:val="105"/>
        </w:rPr>
        <w:t> </w:t>
      </w:r>
      <w:r>
        <w:rPr>
          <w:color w:val="231F20"/>
          <w:w w:val="105"/>
        </w:rPr>
        <w:t>gobierno</w:t>
      </w:r>
      <w:r>
        <w:rPr>
          <w:color w:val="231F20"/>
          <w:spacing w:val="-5"/>
          <w:w w:val="105"/>
        </w:rPr>
        <w:t> </w:t>
      </w:r>
      <w:r>
        <w:rPr>
          <w:color w:val="231F20"/>
          <w:w w:val="105"/>
        </w:rPr>
        <w:t>municipal</w:t>
      </w:r>
      <w:r>
        <w:rPr>
          <w:color w:val="231F20"/>
          <w:spacing w:val="-5"/>
          <w:w w:val="105"/>
        </w:rPr>
        <w:t> </w:t>
      </w:r>
      <w:r>
        <w:rPr>
          <w:color w:val="231F20"/>
          <w:w w:val="105"/>
        </w:rPr>
        <w:t>actual</w:t>
      </w:r>
      <w:r>
        <w:rPr>
          <w:color w:val="231F20"/>
          <w:spacing w:val="-5"/>
          <w:w w:val="105"/>
        </w:rPr>
        <w:t> </w:t>
      </w:r>
      <w:r>
        <w:rPr>
          <w:color w:val="231F20"/>
          <w:w w:val="105"/>
        </w:rPr>
        <w:t>cuenta</w:t>
      </w:r>
      <w:r>
        <w:rPr>
          <w:color w:val="231F20"/>
          <w:spacing w:val="-5"/>
          <w:w w:val="105"/>
        </w:rPr>
        <w:t> </w:t>
      </w:r>
      <w:r>
        <w:rPr>
          <w:color w:val="231F20"/>
          <w:w w:val="105"/>
        </w:rPr>
        <w:t>con</w:t>
      </w:r>
      <w:r>
        <w:rPr>
          <w:color w:val="231F20"/>
          <w:spacing w:val="-5"/>
          <w:w w:val="105"/>
        </w:rPr>
        <w:t> </w:t>
      </w:r>
      <w:r>
        <w:rPr>
          <w:color w:val="231F20"/>
          <w:w w:val="105"/>
        </w:rPr>
        <w:t>un</w:t>
      </w:r>
      <w:r>
        <w:rPr>
          <w:color w:val="231F20"/>
          <w:spacing w:val="-5"/>
          <w:w w:val="105"/>
        </w:rPr>
        <w:t> </w:t>
      </w:r>
      <w:r>
        <w:rPr>
          <w:color w:val="231F20"/>
          <w:w w:val="105"/>
        </w:rPr>
        <w:t>manejo</w:t>
      </w:r>
      <w:r>
        <w:rPr>
          <w:color w:val="231F20"/>
          <w:spacing w:val="-5"/>
          <w:w w:val="105"/>
        </w:rPr>
        <w:t> </w:t>
      </w:r>
      <w:r>
        <w:rPr>
          <w:color w:val="231F20"/>
          <w:w w:val="105"/>
        </w:rPr>
        <w:t>financiero</w:t>
      </w:r>
      <w:r>
        <w:rPr>
          <w:color w:val="231F20"/>
          <w:spacing w:val="-5"/>
          <w:w w:val="105"/>
        </w:rPr>
        <w:t> </w:t>
      </w:r>
      <w:r>
        <w:rPr>
          <w:color w:val="231F20"/>
          <w:w w:val="105"/>
        </w:rPr>
        <w:t>superior</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97</w:t>
      </w:r>
      <w:r>
        <w:rPr>
          <w:color w:val="231F20"/>
          <w:spacing w:val="-5"/>
          <w:w w:val="105"/>
        </w:rPr>
        <w:t> </w:t>
      </w:r>
      <w:r>
        <w:rPr>
          <w:color w:val="231F20"/>
          <w:w w:val="105"/>
        </w:rPr>
        <w:t>millo- nes</w:t>
      </w:r>
      <w:r>
        <w:rPr>
          <w:color w:val="231F20"/>
          <w:spacing w:val="-14"/>
          <w:w w:val="105"/>
        </w:rPr>
        <w:t> </w:t>
      </w:r>
      <w:r>
        <w:rPr>
          <w:color w:val="231F20"/>
          <w:w w:val="105"/>
        </w:rPr>
        <w:t>de</w:t>
      </w:r>
      <w:r>
        <w:rPr>
          <w:color w:val="231F20"/>
          <w:spacing w:val="-14"/>
          <w:w w:val="105"/>
        </w:rPr>
        <w:t> </w:t>
      </w:r>
      <w:r>
        <w:rPr>
          <w:color w:val="231F20"/>
          <w:w w:val="105"/>
        </w:rPr>
        <w:t>pesos</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año</w:t>
      </w:r>
      <w:r>
        <w:rPr>
          <w:color w:val="231F20"/>
          <w:spacing w:val="-14"/>
          <w:w w:val="105"/>
        </w:rPr>
        <w:t> </w:t>
      </w:r>
      <w:r>
        <w:rPr>
          <w:color w:val="231F20"/>
          <w:spacing w:val="-3"/>
          <w:w w:val="105"/>
        </w:rPr>
        <w:t>2007,</w:t>
      </w:r>
      <w:r>
        <w:rPr>
          <w:color w:val="231F20"/>
          <w:spacing w:val="-14"/>
          <w:w w:val="105"/>
        </w:rPr>
        <w:t> </w:t>
      </w:r>
      <w:r>
        <w:rPr>
          <w:color w:val="231F20"/>
          <w:w w:val="105"/>
        </w:rPr>
        <w:t>y</w:t>
      </w:r>
      <w:r>
        <w:rPr>
          <w:color w:val="231F20"/>
          <w:spacing w:val="-14"/>
          <w:w w:val="105"/>
        </w:rPr>
        <w:t> </w:t>
      </w:r>
      <w:r>
        <w:rPr>
          <w:color w:val="231F20"/>
          <w:w w:val="105"/>
        </w:rPr>
        <w:t>superiores</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127</w:t>
      </w:r>
      <w:r>
        <w:rPr>
          <w:color w:val="231F20"/>
          <w:spacing w:val="-14"/>
          <w:w w:val="105"/>
        </w:rPr>
        <w:t> </w:t>
      </w:r>
      <w:r>
        <w:rPr>
          <w:color w:val="231F20"/>
          <w:w w:val="105"/>
        </w:rPr>
        <w:t>millones</w:t>
      </w:r>
      <w:r>
        <w:rPr>
          <w:color w:val="231F20"/>
          <w:spacing w:val="-14"/>
          <w:w w:val="105"/>
        </w:rPr>
        <w:t> </w:t>
      </w:r>
      <w:r>
        <w:rPr>
          <w:color w:val="231F20"/>
          <w:w w:val="105"/>
        </w:rPr>
        <w:t>para</w:t>
      </w:r>
      <w:r>
        <w:rPr>
          <w:color w:val="231F20"/>
          <w:spacing w:val="-14"/>
          <w:w w:val="105"/>
        </w:rPr>
        <w:t> </w:t>
      </w:r>
      <w:r>
        <w:rPr>
          <w:color w:val="231F20"/>
          <w:spacing w:val="2"/>
          <w:w w:val="105"/>
        </w:rPr>
        <w:t>2008.</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primer año los recursos del SNCF ascendieron alrededor de los 77 millones; para el segundo año estos mismos recursos se registraron sobre los 87 millones, alrededor del 68% de los</w:t>
      </w:r>
      <w:r>
        <w:rPr>
          <w:color w:val="231F20"/>
          <w:spacing w:val="-6"/>
          <w:w w:val="105"/>
        </w:rPr>
        <w:t> </w:t>
      </w:r>
      <w:r>
        <w:rPr>
          <w:color w:val="231F20"/>
          <w:w w:val="105"/>
        </w:rPr>
        <w:t>ingresos</w:t>
      </w:r>
      <w:r>
        <w:rPr>
          <w:color w:val="231F20"/>
          <w:spacing w:val="-6"/>
          <w:w w:val="105"/>
        </w:rPr>
        <w:t> </w:t>
      </w:r>
      <w:r>
        <w:rPr>
          <w:color w:val="231F20"/>
          <w:w w:val="105"/>
        </w:rPr>
        <w:t>municipales.</w:t>
      </w:r>
      <w:r>
        <w:rPr>
          <w:color w:val="231F20"/>
          <w:spacing w:val="-6"/>
          <w:w w:val="105"/>
        </w:rPr>
        <w:t> </w:t>
      </w:r>
      <w:r>
        <w:rPr>
          <w:color w:val="231F20"/>
          <w:w w:val="105"/>
        </w:rPr>
        <w:t>Es</w:t>
      </w:r>
      <w:r>
        <w:rPr>
          <w:color w:val="231F20"/>
          <w:spacing w:val="-6"/>
          <w:w w:val="105"/>
        </w:rPr>
        <w:t> </w:t>
      </w:r>
      <w:r>
        <w:rPr>
          <w:color w:val="231F20"/>
          <w:w w:val="105"/>
        </w:rPr>
        <w:t>preciso</w:t>
      </w:r>
      <w:r>
        <w:rPr>
          <w:color w:val="231F20"/>
          <w:spacing w:val="-6"/>
          <w:w w:val="105"/>
        </w:rPr>
        <w:t> </w:t>
      </w:r>
      <w:r>
        <w:rPr>
          <w:color w:val="231F20"/>
          <w:w w:val="105"/>
        </w:rPr>
        <w:t>comentar</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recursos</w:t>
      </w:r>
      <w:r>
        <w:rPr>
          <w:color w:val="231F20"/>
          <w:spacing w:val="-6"/>
          <w:w w:val="105"/>
        </w:rPr>
        <w:t> </w:t>
      </w:r>
      <w:r>
        <w:rPr>
          <w:color w:val="231F20"/>
          <w:w w:val="105"/>
        </w:rPr>
        <w:t>federales</w:t>
      </w:r>
      <w:r>
        <w:rPr>
          <w:color w:val="231F20"/>
          <w:spacing w:val="-6"/>
          <w:w w:val="105"/>
        </w:rPr>
        <w:t> </w:t>
      </w:r>
      <w:r>
        <w:rPr>
          <w:color w:val="231F20"/>
          <w:w w:val="105"/>
        </w:rPr>
        <w:t>se</w:t>
      </w:r>
      <w:r>
        <w:rPr>
          <w:color w:val="231F20"/>
          <w:spacing w:val="-6"/>
          <w:w w:val="105"/>
        </w:rPr>
        <w:t> </w:t>
      </w:r>
      <w:r>
        <w:rPr>
          <w:color w:val="231F20"/>
          <w:w w:val="105"/>
        </w:rPr>
        <w:t>componen de dos ramos, el 28 y el 33 del presupuesto de egresos de la federación. El ramo 28 se integra</w:t>
      </w:r>
      <w:r>
        <w:rPr>
          <w:color w:val="231F20"/>
          <w:spacing w:val="-11"/>
          <w:w w:val="105"/>
        </w:rPr>
        <w:t> </w:t>
      </w:r>
      <w:r>
        <w:rPr>
          <w:color w:val="231F20"/>
          <w:w w:val="105"/>
        </w:rPr>
        <w:t>por</w:t>
      </w:r>
      <w:r>
        <w:rPr>
          <w:color w:val="231F20"/>
          <w:spacing w:val="-11"/>
          <w:w w:val="105"/>
        </w:rPr>
        <w:t> </w:t>
      </w:r>
      <w:r>
        <w:rPr>
          <w:color w:val="231F20"/>
          <w:w w:val="105"/>
        </w:rPr>
        <w:t>las</w:t>
      </w:r>
      <w:r>
        <w:rPr>
          <w:color w:val="231F20"/>
          <w:spacing w:val="-11"/>
          <w:w w:val="105"/>
        </w:rPr>
        <w:t> </w:t>
      </w:r>
      <w:r>
        <w:rPr>
          <w:color w:val="231F20"/>
          <w:w w:val="105"/>
        </w:rPr>
        <w:t>participaciones</w:t>
      </w:r>
      <w:r>
        <w:rPr>
          <w:color w:val="231F20"/>
          <w:spacing w:val="-11"/>
          <w:w w:val="105"/>
        </w:rPr>
        <w:t> </w:t>
      </w:r>
      <w:r>
        <w:rPr>
          <w:color w:val="231F20"/>
          <w:w w:val="105"/>
        </w:rPr>
        <w:t>federales,</w:t>
      </w:r>
      <w:r>
        <w:rPr>
          <w:color w:val="231F20"/>
          <w:spacing w:val="-11"/>
          <w:w w:val="105"/>
        </w:rPr>
        <w:t> </w:t>
      </w:r>
      <w:r>
        <w:rPr>
          <w:color w:val="231F20"/>
          <w:w w:val="105"/>
        </w:rPr>
        <w:t>que</w:t>
      </w:r>
      <w:r>
        <w:rPr>
          <w:color w:val="231F20"/>
          <w:spacing w:val="-11"/>
          <w:w w:val="105"/>
        </w:rPr>
        <w:t> </w:t>
      </w:r>
      <w:r>
        <w:rPr>
          <w:color w:val="231F20"/>
          <w:w w:val="105"/>
        </w:rPr>
        <w:t>equivalen,</w:t>
      </w:r>
      <w:r>
        <w:rPr>
          <w:color w:val="231F20"/>
          <w:spacing w:val="-11"/>
          <w:w w:val="105"/>
        </w:rPr>
        <w:t> </w:t>
      </w:r>
      <w:r>
        <w:rPr>
          <w:color w:val="231F20"/>
          <w:w w:val="105"/>
        </w:rPr>
        <w:t>por</w:t>
      </w:r>
      <w:r>
        <w:rPr>
          <w:color w:val="231F20"/>
          <w:spacing w:val="-11"/>
          <w:w w:val="105"/>
        </w:rPr>
        <w:t> </w:t>
      </w:r>
      <w:r>
        <w:rPr>
          <w:color w:val="231F20"/>
          <w:spacing w:val="-3"/>
          <w:w w:val="105"/>
        </w:rPr>
        <w:t>ejemplo</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spacing w:val="3"/>
          <w:w w:val="105"/>
        </w:rPr>
        <w:t>2008</w:t>
      </w:r>
      <w:r>
        <w:rPr>
          <w:color w:val="231F20"/>
          <w:spacing w:val="-11"/>
          <w:w w:val="105"/>
        </w:rPr>
        <w:t> </w:t>
      </w:r>
      <w:r>
        <w:rPr>
          <w:color w:val="231F20"/>
          <w:w w:val="105"/>
        </w:rPr>
        <w:t>a 47</w:t>
      </w:r>
      <w:r>
        <w:rPr>
          <w:color w:val="231F20"/>
          <w:spacing w:val="-25"/>
          <w:w w:val="105"/>
        </w:rPr>
        <w:t> </w:t>
      </w:r>
      <w:r>
        <w:rPr>
          <w:color w:val="231F20"/>
          <w:w w:val="105"/>
        </w:rPr>
        <w:t>millones</w:t>
      </w:r>
      <w:r>
        <w:rPr>
          <w:color w:val="231F20"/>
          <w:spacing w:val="-25"/>
          <w:w w:val="105"/>
        </w:rPr>
        <w:t> </w:t>
      </w:r>
      <w:r>
        <w:rPr>
          <w:color w:val="231F20"/>
          <w:w w:val="105"/>
        </w:rPr>
        <w:t>de</w:t>
      </w:r>
      <w:r>
        <w:rPr>
          <w:color w:val="231F20"/>
          <w:spacing w:val="-25"/>
          <w:w w:val="105"/>
        </w:rPr>
        <w:t> </w:t>
      </w:r>
      <w:r>
        <w:rPr>
          <w:color w:val="231F20"/>
          <w:w w:val="105"/>
        </w:rPr>
        <w:t>pesos,</w:t>
      </w:r>
      <w:r>
        <w:rPr>
          <w:color w:val="231F20"/>
          <w:spacing w:val="-25"/>
          <w:w w:val="105"/>
        </w:rPr>
        <w:t> </w:t>
      </w:r>
      <w:r>
        <w:rPr>
          <w:color w:val="231F20"/>
          <w:w w:val="105"/>
        </w:rPr>
        <w:t>lo</w:t>
      </w:r>
      <w:r>
        <w:rPr>
          <w:color w:val="231F20"/>
          <w:spacing w:val="-25"/>
          <w:w w:val="105"/>
        </w:rPr>
        <w:t> </w:t>
      </w:r>
      <w:r>
        <w:rPr>
          <w:color w:val="231F20"/>
          <w:w w:val="105"/>
        </w:rPr>
        <w:t>que</w:t>
      </w:r>
      <w:r>
        <w:rPr>
          <w:color w:val="231F20"/>
          <w:spacing w:val="-24"/>
          <w:w w:val="105"/>
        </w:rPr>
        <w:t> </w:t>
      </w:r>
      <w:r>
        <w:rPr>
          <w:color w:val="231F20"/>
          <w:w w:val="105"/>
        </w:rPr>
        <w:t>significa</w:t>
      </w:r>
      <w:r>
        <w:rPr>
          <w:color w:val="231F20"/>
          <w:spacing w:val="-25"/>
          <w:w w:val="105"/>
        </w:rPr>
        <w:t> </w:t>
      </w:r>
      <w:r>
        <w:rPr>
          <w:color w:val="231F20"/>
          <w:w w:val="105"/>
        </w:rPr>
        <w:t>el</w:t>
      </w:r>
      <w:r>
        <w:rPr>
          <w:color w:val="231F20"/>
          <w:spacing w:val="-25"/>
          <w:w w:val="105"/>
        </w:rPr>
        <w:t> </w:t>
      </w:r>
      <w:r>
        <w:rPr>
          <w:color w:val="231F20"/>
          <w:w w:val="105"/>
        </w:rPr>
        <w:t>54%</w:t>
      </w:r>
      <w:r>
        <w:rPr>
          <w:color w:val="231F20"/>
          <w:spacing w:val="-24"/>
          <w:w w:val="105"/>
        </w:rPr>
        <w:t> </w:t>
      </w:r>
      <w:r>
        <w:rPr>
          <w:color w:val="231F20"/>
          <w:w w:val="105"/>
        </w:rPr>
        <w:t>del</w:t>
      </w:r>
      <w:r>
        <w:rPr>
          <w:color w:val="231F20"/>
          <w:spacing w:val="-24"/>
          <w:w w:val="105"/>
        </w:rPr>
        <w:t> </w:t>
      </w:r>
      <w:r>
        <w:rPr>
          <w:color w:val="231F20"/>
          <w:w w:val="105"/>
        </w:rPr>
        <w:t>ingreso</w:t>
      </w:r>
      <w:r>
        <w:rPr>
          <w:color w:val="231F20"/>
          <w:spacing w:val="-24"/>
          <w:w w:val="105"/>
        </w:rPr>
        <w:t> </w:t>
      </w:r>
      <w:r>
        <w:rPr>
          <w:color w:val="231F20"/>
          <w:w w:val="105"/>
        </w:rPr>
        <w:t>por</w:t>
      </w:r>
      <w:r>
        <w:rPr>
          <w:color w:val="231F20"/>
          <w:spacing w:val="-25"/>
          <w:w w:val="105"/>
        </w:rPr>
        <w:t> </w:t>
      </w:r>
      <w:r>
        <w:rPr>
          <w:color w:val="231F20"/>
          <w:w w:val="105"/>
        </w:rPr>
        <w:t>el</w:t>
      </w:r>
      <w:r>
        <w:rPr>
          <w:color w:val="231F20"/>
          <w:spacing w:val="-25"/>
          <w:w w:val="105"/>
        </w:rPr>
        <w:t> </w:t>
      </w:r>
      <w:r>
        <w:rPr>
          <w:color w:val="231F20"/>
          <w:spacing w:val="-4"/>
          <w:w w:val="105"/>
        </w:rPr>
        <w:t>SNCF.</w:t>
      </w:r>
      <w:r>
        <w:rPr>
          <w:color w:val="231F20"/>
          <w:spacing w:val="-25"/>
          <w:w w:val="105"/>
        </w:rPr>
        <w:t> </w:t>
      </w:r>
      <w:r>
        <w:rPr>
          <w:color w:val="231F20"/>
          <w:w w:val="105"/>
        </w:rPr>
        <w:t>El</w:t>
      </w:r>
      <w:r>
        <w:rPr>
          <w:color w:val="231F20"/>
          <w:spacing w:val="-25"/>
          <w:w w:val="105"/>
        </w:rPr>
        <w:t> </w:t>
      </w:r>
      <w:r>
        <w:rPr>
          <w:color w:val="231F20"/>
          <w:w w:val="105"/>
        </w:rPr>
        <w:t>resto,</w:t>
      </w:r>
      <w:r>
        <w:rPr>
          <w:color w:val="231F20"/>
          <w:spacing w:val="-25"/>
          <w:w w:val="105"/>
        </w:rPr>
        <w:t> </w:t>
      </w:r>
      <w:r>
        <w:rPr>
          <w:color w:val="231F20"/>
          <w:w w:val="105"/>
        </w:rPr>
        <w:t>lo</w:t>
      </w:r>
      <w:r>
        <w:rPr>
          <w:color w:val="231F20"/>
          <w:spacing w:val="-25"/>
          <w:w w:val="105"/>
        </w:rPr>
        <w:t> </w:t>
      </w:r>
      <w:r>
        <w:rPr>
          <w:color w:val="231F20"/>
          <w:w w:val="105"/>
        </w:rPr>
        <w:t>que</w:t>
      </w:r>
      <w:r>
        <w:rPr>
          <w:color w:val="231F20"/>
          <w:spacing w:val="-24"/>
          <w:w w:val="105"/>
        </w:rPr>
        <w:t> </w:t>
      </w:r>
      <w:r>
        <w:rPr>
          <w:color w:val="231F20"/>
          <w:w w:val="105"/>
        </w:rPr>
        <w:t>lle- ga</w:t>
      </w:r>
      <w:r>
        <w:rPr>
          <w:color w:val="231F20"/>
          <w:spacing w:val="-8"/>
          <w:w w:val="105"/>
        </w:rPr>
        <w:t> </w:t>
      </w:r>
      <w:r>
        <w:rPr>
          <w:color w:val="231F20"/>
          <w:spacing w:val="2"/>
          <w:w w:val="105"/>
        </w:rPr>
        <w:t>al</w:t>
      </w:r>
      <w:r>
        <w:rPr>
          <w:color w:val="231F20"/>
          <w:spacing w:val="-8"/>
          <w:w w:val="105"/>
        </w:rPr>
        <w:t> </w:t>
      </w:r>
      <w:r>
        <w:rPr>
          <w:color w:val="231F20"/>
          <w:w w:val="105"/>
        </w:rPr>
        <w:t>municipio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ramo</w:t>
      </w:r>
      <w:r>
        <w:rPr>
          <w:color w:val="231F20"/>
          <w:spacing w:val="-8"/>
          <w:w w:val="105"/>
        </w:rPr>
        <w:t> </w:t>
      </w:r>
      <w:r>
        <w:rPr>
          <w:color w:val="231F20"/>
          <w:w w:val="105"/>
        </w:rPr>
        <w:t>33,</w:t>
      </w:r>
      <w:r>
        <w:rPr>
          <w:color w:val="231F20"/>
          <w:spacing w:val="-8"/>
          <w:w w:val="105"/>
        </w:rPr>
        <w:t> </w:t>
      </w:r>
      <w:r>
        <w:rPr>
          <w:color w:val="231F20"/>
          <w:w w:val="105"/>
        </w:rPr>
        <w:t>es</w:t>
      </w:r>
      <w:r>
        <w:rPr>
          <w:color w:val="231F20"/>
          <w:spacing w:val="-8"/>
          <w:w w:val="105"/>
        </w:rPr>
        <w:t> </w:t>
      </w:r>
      <w:r>
        <w:rPr>
          <w:color w:val="231F20"/>
          <w:w w:val="105"/>
        </w:rPr>
        <w:t>conocido</w:t>
      </w:r>
      <w:r>
        <w:rPr>
          <w:color w:val="231F20"/>
          <w:spacing w:val="-8"/>
          <w:w w:val="105"/>
        </w:rPr>
        <w:t> </w:t>
      </w:r>
      <w:r>
        <w:rPr>
          <w:color w:val="231F20"/>
          <w:w w:val="105"/>
        </w:rPr>
        <w:t>como</w:t>
      </w:r>
      <w:r>
        <w:rPr>
          <w:color w:val="231F20"/>
          <w:spacing w:val="-8"/>
          <w:w w:val="105"/>
        </w:rPr>
        <w:t> </w:t>
      </w:r>
      <w:r>
        <w:rPr>
          <w:color w:val="231F20"/>
          <w:w w:val="105"/>
        </w:rPr>
        <w:t>aportaciones,</w:t>
      </w:r>
      <w:r>
        <w:rPr>
          <w:color w:val="231F20"/>
          <w:spacing w:val="-8"/>
          <w:w w:val="105"/>
        </w:rPr>
        <w:t> </w:t>
      </w:r>
      <w:r>
        <w:rPr>
          <w:color w:val="231F20"/>
          <w:w w:val="105"/>
        </w:rPr>
        <w:t>que</w:t>
      </w:r>
      <w:r>
        <w:rPr>
          <w:color w:val="231F20"/>
          <w:spacing w:val="-8"/>
          <w:w w:val="105"/>
        </w:rPr>
        <w:t> </w:t>
      </w:r>
      <w:r>
        <w:rPr>
          <w:color w:val="231F20"/>
          <w:w w:val="105"/>
        </w:rPr>
        <w:t>principalmente</w:t>
      </w:r>
      <w:r>
        <w:rPr>
          <w:color w:val="231F20"/>
          <w:spacing w:val="-8"/>
          <w:w w:val="105"/>
        </w:rPr>
        <w:t> </w:t>
      </w:r>
      <w:r>
        <w:rPr>
          <w:color w:val="231F20"/>
          <w:w w:val="105"/>
        </w:rPr>
        <w:t>se componen</w:t>
      </w:r>
      <w:r>
        <w:rPr>
          <w:color w:val="231F20"/>
          <w:spacing w:val="-16"/>
          <w:w w:val="105"/>
        </w:rPr>
        <w:t> </w:t>
      </w:r>
      <w:r>
        <w:rPr>
          <w:color w:val="231F20"/>
          <w:w w:val="105"/>
        </w:rPr>
        <w:t>de</w:t>
      </w:r>
      <w:r>
        <w:rPr>
          <w:color w:val="231F20"/>
          <w:spacing w:val="-16"/>
          <w:w w:val="105"/>
        </w:rPr>
        <w:t> </w:t>
      </w:r>
      <w:r>
        <w:rPr>
          <w:color w:val="231F20"/>
          <w:w w:val="105"/>
        </w:rPr>
        <w:t>dos</w:t>
      </w:r>
      <w:r>
        <w:rPr>
          <w:color w:val="231F20"/>
          <w:spacing w:val="-16"/>
          <w:w w:val="105"/>
        </w:rPr>
        <w:t> </w:t>
      </w:r>
      <w:r>
        <w:rPr>
          <w:color w:val="231F20"/>
          <w:spacing w:val="-3"/>
          <w:w w:val="105"/>
        </w:rPr>
        <w:t>fondos:</w:t>
      </w:r>
      <w:r>
        <w:rPr>
          <w:color w:val="231F20"/>
          <w:spacing w:val="-16"/>
          <w:w w:val="105"/>
        </w:rPr>
        <w:t> </w:t>
      </w:r>
      <w:r>
        <w:rPr>
          <w:color w:val="231F20"/>
          <w:spacing w:val="-3"/>
          <w:w w:val="105"/>
        </w:rPr>
        <w:t>Fondo</w:t>
      </w:r>
      <w:r>
        <w:rPr>
          <w:color w:val="231F20"/>
          <w:spacing w:val="-16"/>
          <w:w w:val="105"/>
        </w:rPr>
        <w:t> </w:t>
      </w:r>
      <w:r>
        <w:rPr>
          <w:color w:val="231F20"/>
          <w:w w:val="105"/>
        </w:rPr>
        <w:t>de</w:t>
      </w:r>
      <w:r>
        <w:rPr>
          <w:color w:val="231F20"/>
          <w:spacing w:val="-16"/>
          <w:w w:val="105"/>
        </w:rPr>
        <w:t> </w:t>
      </w:r>
      <w:r>
        <w:rPr>
          <w:color w:val="231F20"/>
          <w:w w:val="105"/>
        </w:rPr>
        <w:t>Infraestructura</w:t>
      </w:r>
      <w:r>
        <w:rPr>
          <w:color w:val="231F20"/>
          <w:spacing w:val="-16"/>
          <w:w w:val="105"/>
        </w:rPr>
        <w:t> </w:t>
      </w:r>
      <w:r>
        <w:rPr>
          <w:color w:val="231F20"/>
          <w:w w:val="105"/>
        </w:rPr>
        <w:t>Social</w:t>
      </w:r>
      <w:r>
        <w:rPr>
          <w:color w:val="231F20"/>
          <w:spacing w:val="-16"/>
          <w:w w:val="105"/>
        </w:rPr>
        <w:t> </w:t>
      </w:r>
      <w:r>
        <w:rPr>
          <w:color w:val="231F20"/>
          <w:w w:val="105"/>
        </w:rPr>
        <w:t>Municipal</w:t>
      </w:r>
      <w:r>
        <w:rPr>
          <w:color w:val="231F20"/>
          <w:spacing w:val="-16"/>
          <w:w w:val="105"/>
        </w:rPr>
        <w:t> </w:t>
      </w:r>
      <w:r>
        <w:rPr>
          <w:color w:val="231F20"/>
          <w:w w:val="105"/>
        </w:rPr>
        <w:t>(FISM)</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spacing w:val="-3"/>
          <w:w w:val="105"/>
        </w:rPr>
        <w:t>Fondo </w:t>
      </w:r>
      <w:r>
        <w:rPr>
          <w:color w:val="231F20"/>
          <w:w w:val="105"/>
        </w:rPr>
        <w:t>de</w:t>
      </w:r>
      <w:r>
        <w:rPr>
          <w:color w:val="231F20"/>
          <w:spacing w:val="-21"/>
          <w:w w:val="105"/>
        </w:rPr>
        <w:t> </w:t>
      </w:r>
      <w:r>
        <w:rPr>
          <w:color w:val="231F20"/>
          <w:w w:val="105"/>
        </w:rPr>
        <w:t>Aportaciones</w:t>
      </w:r>
      <w:r>
        <w:rPr>
          <w:color w:val="231F20"/>
          <w:spacing w:val="-21"/>
          <w:w w:val="105"/>
        </w:rPr>
        <w:t> </w:t>
      </w:r>
      <w:r>
        <w:rPr>
          <w:color w:val="231F20"/>
          <w:w w:val="105"/>
        </w:rPr>
        <w:t>para</w:t>
      </w:r>
      <w:r>
        <w:rPr>
          <w:color w:val="231F20"/>
          <w:spacing w:val="-21"/>
          <w:w w:val="105"/>
        </w:rPr>
        <w:t> </w:t>
      </w:r>
      <w:r>
        <w:rPr>
          <w:color w:val="231F20"/>
          <w:w w:val="105"/>
        </w:rPr>
        <w:t>el</w:t>
      </w:r>
      <w:r>
        <w:rPr>
          <w:color w:val="231F20"/>
          <w:spacing w:val="-21"/>
          <w:w w:val="105"/>
        </w:rPr>
        <w:t> </w:t>
      </w:r>
      <w:r>
        <w:rPr>
          <w:color w:val="231F20"/>
          <w:w w:val="105"/>
        </w:rPr>
        <w:t>Fortalecimiento</w:t>
      </w:r>
      <w:r>
        <w:rPr>
          <w:color w:val="231F20"/>
          <w:spacing w:val="-21"/>
          <w:w w:val="105"/>
        </w:rPr>
        <w:t> </w:t>
      </w:r>
      <w:r>
        <w:rPr>
          <w:color w:val="231F20"/>
          <w:w w:val="105"/>
        </w:rPr>
        <w:t>de</w:t>
      </w:r>
      <w:r>
        <w:rPr>
          <w:color w:val="231F20"/>
          <w:spacing w:val="-21"/>
          <w:w w:val="105"/>
        </w:rPr>
        <w:t> </w:t>
      </w:r>
      <w:r>
        <w:rPr>
          <w:color w:val="231F20"/>
          <w:w w:val="105"/>
        </w:rPr>
        <w:t>Municipios</w:t>
      </w:r>
      <w:r>
        <w:rPr>
          <w:color w:val="231F20"/>
          <w:spacing w:val="-21"/>
          <w:w w:val="105"/>
        </w:rPr>
        <w:t> </w:t>
      </w:r>
      <w:r>
        <w:rPr>
          <w:color w:val="231F20"/>
          <w:w w:val="105"/>
        </w:rPr>
        <w:t>y</w:t>
      </w:r>
      <w:r>
        <w:rPr>
          <w:color w:val="231F20"/>
          <w:spacing w:val="-21"/>
          <w:w w:val="105"/>
        </w:rPr>
        <w:t> </w:t>
      </w:r>
      <w:r>
        <w:rPr>
          <w:color w:val="231F20"/>
          <w:w w:val="105"/>
        </w:rPr>
        <w:t>Demarcaciones</w:t>
      </w:r>
      <w:r>
        <w:rPr>
          <w:color w:val="231F20"/>
          <w:spacing w:val="-21"/>
          <w:w w:val="105"/>
        </w:rPr>
        <w:t> </w:t>
      </w:r>
      <w:r>
        <w:rPr>
          <w:color w:val="231F20"/>
          <w:w w:val="105"/>
        </w:rPr>
        <w:t>del</w:t>
      </w:r>
      <w:r>
        <w:rPr>
          <w:color w:val="231F20"/>
          <w:spacing w:val="-21"/>
          <w:w w:val="105"/>
        </w:rPr>
        <w:t> </w:t>
      </w:r>
      <w:r>
        <w:rPr>
          <w:color w:val="231F20"/>
          <w:spacing w:val="-3"/>
          <w:w w:val="105"/>
        </w:rPr>
        <w:t>D.F</w:t>
      </w:r>
      <w:r>
        <w:rPr>
          <w:color w:val="231F20"/>
          <w:spacing w:val="-21"/>
          <w:w w:val="105"/>
        </w:rPr>
        <w:t> </w:t>
      </w:r>
      <w:r>
        <w:rPr>
          <w:color w:val="231F20"/>
          <w:spacing w:val="-4"/>
          <w:w w:val="105"/>
        </w:rPr>
        <w:t>(FOR- </w:t>
      </w:r>
      <w:r>
        <w:rPr>
          <w:color w:val="231F20"/>
          <w:w w:val="105"/>
        </w:rPr>
        <w:t>TAMUN).</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año</w:t>
      </w:r>
      <w:r>
        <w:rPr>
          <w:color w:val="231F20"/>
          <w:spacing w:val="-5"/>
          <w:w w:val="105"/>
        </w:rPr>
        <w:t> </w:t>
      </w:r>
      <w:r>
        <w:rPr>
          <w:color w:val="231F20"/>
          <w:spacing w:val="3"/>
          <w:w w:val="105"/>
        </w:rPr>
        <w:t>2008,</w:t>
      </w:r>
      <w:r>
        <w:rPr>
          <w:color w:val="231F20"/>
          <w:spacing w:val="-5"/>
          <w:w w:val="105"/>
        </w:rPr>
        <w:t> </w:t>
      </w:r>
      <w:r>
        <w:rPr>
          <w:color w:val="231F20"/>
          <w:w w:val="105"/>
        </w:rPr>
        <w:t>estos</w:t>
      </w:r>
      <w:r>
        <w:rPr>
          <w:color w:val="231F20"/>
          <w:spacing w:val="-5"/>
          <w:w w:val="105"/>
        </w:rPr>
        <w:t> </w:t>
      </w:r>
      <w:r>
        <w:rPr>
          <w:color w:val="231F20"/>
          <w:spacing w:val="-3"/>
          <w:w w:val="105"/>
        </w:rPr>
        <w:t>fondos</w:t>
      </w:r>
      <w:r>
        <w:rPr>
          <w:color w:val="231F20"/>
          <w:spacing w:val="-5"/>
          <w:w w:val="105"/>
        </w:rPr>
        <w:t> </w:t>
      </w:r>
      <w:r>
        <w:rPr>
          <w:color w:val="231F20"/>
          <w:w w:val="105"/>
        </w:rPr>
        <w:t>se</w:t>
      </w:r>
      <w:r>
        <w:rPr>
          <w:color w:val="231F20"/>
          <w:spacing w:val="-5"/>
          <w:w w:val="105"/>
        </w:rPr>
        <w:t> </w:t>
      </w:r>
      <w:r>
        <w:rPr>
          <w:color w:val="231F20"/>
          <w:w w:val="105"/>
        </w:rPr>
        <w:t>compusieron</w:t>
      </w:r>
      <w:r>
        <w:rPr>
          <w:color w:val="231F20"/>
          <w:spacing w:val="-5"/>
          <w:w w:val="105"/>
        </w:rPr>
        <w:t> </w:t>
      </w:r>
      <w:r>
        <w:rPr>
          <w:color w:val="231F20"/>
          <w:w w:val="105"/>
        </w:rPr>
        <w:t>arriba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10 </w:t>
      </w:r>
      <w:r>
        <w:rPr>
          <w:color w:val="231F20"/>
          <w:w w:val="105"/>
        </w:rPr>
        <w:t>y</w:t>
      </w:r>
      <w:r>
        <w:rPr>
          <w:color w:val="231F20"/>
          <w:spacing w:val="-5"/>
          <w:w w:val="105"/>
        </w:rPr>
        <w:t> 18 </w:t>
      </w:r>
      <w:r>
        <w:rPr>
          <w:color w:val="231F20"/>
          <w:w w:val="105"/>
        </w:rPr>
        <w:t>millones respectivamente,</w:t>
      </w:r>
      <w:r>
        <w:rPr>
          <w:color w:val="231F20"/>
          <w:spacing w:val="-31"/>
          <w:w w:val="105"/>
        </w:rPr>
        <w:t> </w:t>
      </w:r>
      <w:r>
        <w:rPr>
          <w:color w:val="231F20"/>
          <w:w w:val="105"/>
        </w:rPr>
        <w:t>lo</w:t>
      </w:r>
      <w:r>
        <w:rPr>
          <w:color w:val="231F20"/>
          <w:spacing w:val="-31"/>
          <w:w w:val="105"/>
        </w:rPr>
        <w:t> </w:t>
      </w:r>
      <w:r>
        <w:rPr>
          <w:color w:val="231F20"/>
          <w:w w:val="105"/>
        </w:rPr>
        <w:t>que</w:t>
      </w:r>
      <w:r>
        <w:rPr>
          <w:color w:val="231F20"/>
          <w:spacing w:val="-31"/>
          <w:w w:val="105"/>
        </w:rPr>
        <w:t> </w:t>
      </w:r>
      <w:r>
        <w:rPr>
          <w:color w:val="231F20"/>
          <w:w w:val="105"/>
        </w:rPr>
        <w:t>equivalen</w:t>
      </w:r>
      <w:r>
        <w:rPr>
          <w:color w:val="231F20"/>
          <w:spacing w:val="-31"/>
          <w:w w:val="105"/>
        </w:rPr>
        <w:t> </w:t>
      </w:r>
      <w:r>
        <w:rPr>
          <w:color w:val="231F20"/>
          <w:spacing w:val="2"/>
          <w:w w:val="105"/>
        </w:rPr>
        <w:t>al</w:t>
      </w:r>
      <w:r>
        <w:rPr>
          <w:color w:val="231F20"/>
          <w:spacing w:val="-31"/>
          <w:w w:val="105"/>
        </w:rPr>
        <w:t> </w:t>
      </w:r>
      <w:r>
        <w:rPr>
          <w:color w:val="231F20"/>
          <w:spacing w:val="-3"/>
          <w:w w:val="105"/>
        </w:rPr>
        <w:t>11.5%</w:t>
      </w:r>
      <w:r>
        <w:rPr>
          <w:color w:val="231F20"/>
          <w:spacing w:val="-31"/>
          <w:w w:val="105"/>
        </w:rPr>
        <w:t> </w:t>
      </w:r>
      <w:r>
        <w:rPr>
          <w:color w:val="231F20"/>
          <w:w w:val="105"/>
        </w:rPr>
        <w:t>y</w:t>
      </w:r>
      <w:r>
        <w:rPr>
          <w:color w:val="231F20"/>
          <w:spacing w:val="-31"/>
          <w:w w:val="105"/>
        </w:rPr>
        <w:t> </w:t>
      </w:r>
      <w:r>
        <w:rPr>
          <w:color w:val="231F20"/>
          <w:w w:val="105"/>
        </w:rPr>
        <w:t>20.5%</w:t>
      </w:r>
      <w:r>
        <w:rPr>
          <w:color w:val="231F20"/>
          <w:spacing w:val="-31"/>
          <w:w w:val="105"/>
        </w:rPr>
        <w:t> </w:t>
      </w:r>
      <w:r>
        <w:rPr>
          <w:color w:val="231F20"/>
          <w:w w:val="105"/>
        </w:rPr>
        <w:t>del</w:t>
      </w:r>
      <w:r>
        <w:rPr>
          <w:color w:val="231F20"/>
          <w:spacing w:val="-31"/>
          <w:w w:val="105"/>
        </w:rPr>
        <w:t> </w:t>
      </w:r>
      <w:r>
        <w:rPr>
          <w:color w:val="231F20"/>
          <w:w w:val="105"/>
        </w:rPr>
        <w:t>ingreso</w:t>
      </w:r>
      <w:r>
        <w:rPr>
          <w:color w:val="231F20"/>
          <w:spacing w:val="-31"/>
          <w:w w:val="105"/>
        </w:rPr>
        <w:t> </w:t>
      </w:r>
      <w:r>
        <w:rPr>
          <w:color w:val="231F20"/>
          <w:w w:val="105"/>
        </w:rPr>
        <w:t>por</w:t>
      </w:r>
      <w:r>
        <w:rPr>
          <w:color w:val="231F20"/>
          <w:spacing w:val="-31"/>
          <w:w w:val="105"/>
        </w:rPr>
        <w:t> </w:t>
      </w:r>
      <w:r>
        <w:rPr>
          <w:color w:val="231F20"/>
          <w:w w:val="105"/>
        </w:rPr>
        <w:t>vía</w:t>
      </w:r>
      <w:r>
        <w:rPr>
          <w:color w:val="231F20"/>
          <w:spacing w:val="-31"/>
          <w:w w:val="105"/>
        </w:rPr>
        <w:t> </w:t>
      </w:r>
      <w:r>
        <w:rPr>
          <w:color w:val="231F20"/>
          <w:w w:val="105"/>
        </w:rPr>
        <w:t>del</w:t>
      </w:r>
      <w:r>
        <w:rPr>
          <w:color w:val="231F20"/>
          <w:spacing w:val="-31"/>
          <w:w w:val="105"/>
        </w:rPr>
        <w:t> </w:t>
      </w:r>
      <w:r>
        <w:rPr>
          <w:color w:val="231F20"/>
          <w:spacing w:val="-4"/>
          <w:w w:val="105"/>
        </w:rPr>
        <w:t>SNCF,</w:t>
      </w:r>
      <w:r>
        <w:rPr>
          <w:color w:val="231F20"/>
          <w:spacing w:val="-31"/>
          <w:w w:val="105"/>
        </w:rPr>
        <w:t> </w:t>
      </w:r>
      <w:r>
        <w:rPr>
          <w:color w:val="231F20"/>
          <w:w w:val="105"/>
        </w:rPr>
        <w:t>el</w:t>
      </w:r>
      <w:r>
        <w:rPr>
          <w:color w:val="231F20"/>
          <w:spacing w:val="-31"/>
          <w:w w:val="105"/>
        </w:rPr>
        <w:t> </w:t>
      </w:r>
      <w:r>
        <w:rPr>
          <w:color w:val="231F20"/>
          <w:w w:val="105"/>
        </w:rPr>
        <w:t>resto para</w:t>
      </w:r>
      <w:r>
        <w:rPr>
          <w:color w:val="231F20"/>
          <w:spacing w:val="-12"/>
          <w:w w:val="105"/>
        </w:rPr>
        <w:t> </w:t>
      </w:r>
      <w:r>
        <w:rPr>
          <w:color w:val="231F20"/>
          <w:w w:val="105"/>
        </w:rPr>
        <w:t>completar</w:t>
      </w:r>
      <w:r>
        <w:rPr>
          <w:color w:val="231F20"/>
          <w:spacing w:val="-12"/>
          <w:w w:val="105"/>
        </w:rPr>
        <w:t> </w:t>
      </w:r>
      <w:r>
        <w:rPr>
          <w:color w:val="231F20"/>
          <w:w w:val="105"/>
        </w:rPr>
        <w:t>el</w:t>
      </w:r>
      <w:r>
        <w:rPr>
          <w:color w:val="231F20"/>
          <w:spacing w:val="-12"/>
          <w:w w:val="105"/>
        </w:rPr>
        <w:t> </w:t>
      </w:r>
      <w:r>
        <w:rPr>
          <w:color w:val="231F20"/>
          <w:w w:val="105"/>
        </w:rPr>
        <w:t>100%</w:t>
      </w:r>
      <w:r>
        <w:rPr>
          <w:color w:val="231F20"/>
          <w:spacing w:val="-12"/>
          <w:w w:val="105"/>
        </w:rPr>
        <w:t> </w:t>
      </w:r>
      <w:r>
        <w:rPr>
          <w:color w:val="231F20"/>
          <w:w w:val="105"/>
        </w:rPr>
        <w:t>corresponden</w:t>
      </w:r>
      <w:r>
        <w:rPr>
          <w:color w:val="231F20"/>
          <w:spacing w:val="-12"/>
          <w:w w:val="105"/>
        </w:rPr>
        <w:t> </w:t>
      </w:r>
      <w:r>
        <w:rPr>
          <w:color w:val="231F20"/>
          <w:w w:val="105"/>
        </w:rPr>
        <w:t>a</w:t>
      </w:r>
      <w:r>
        <w:rPr>
          <w:color w:val="231F20"/>
          <w:spacing w:val="-12"/>
          <w:w w:val="105"/>
        </w:rPr>
        <w:t> </w:t>
      </w:r>
      <w:r>
        <w:rPr>
          <w:color w:val="231F20"/>
          <w:w w:val="105"/>
        </w:rPr>
        <w:t>remanentes</w:t>
      </w:r>
      <w:r>
        <w:rPr>
          <w:color w:val="231F20"/>
          <w:spacing w:val="-12"/>
          <w:w w:val="105"/>
        </w:rPr>
        <w:t> </w:t>
      </w:r>
      <w:r>
        <w:rPr>
          <w:color w:val="231F20"/>
          <w:w w:val="105"/>
        </w:rPr>
        <w:t>del</w:t>
      </w:r>
      <w:r>
        <w:rPr>
          <w:color w:val="231F20"/>
          <w:spacing w:val="-12"/>
          <w:w w:val="105"/>
        </w:rPr>
        <w:t> </w:t>
      </w:r>
      <w:r>
        <w:rPr>
          <w:color w:val="231F20"/>
          <w:w w:val="105"/>
        </w:rPr>
        <w:t>mismo</w:t>
      </w:r>
      <w:r>
        <w:rPr>
          <w:color w:val="231F20"/>
          <w:spacing w:val="-12"/>
          <w:w w:val="105"/>
        </w:rPr>
        <w:t> </w:t>
      </w:r>
      <w:r>
        <w:rPr>
          <w:color w:val="231F20"/>
          <w:w w:val="105"/>
        </w:rPr>
        <w:t>ramo</w:t>
      </w:r>
      <w:r>
        <w:rPr>
          <w:color w:val="231F20"/>
          <w:spacing w:val="-12"/>
          <w:w w:val="105"/>
        </w:rPr>
        <w:t> </w:t>
      </w:r>
      <w:r>
        <w:rPr>
          <w:color w:val="231F20"/>
          <w:w w:val="105"/>
        </w:rPr>
        <w:t>33.</w:t>
      </w:r>
    </w:p>
    <w:p>
      <w:pPr>
        <w:pStyle w:val="BodyText"/>
        <w:spacing w:before="1"/>
        <w:rPr>
          <w:sz w:val="26"/>
        </w:rPr>
      </w:pPr>
    </w:p>
    <w:p>
      <w:pPr>
        <w:pStyle w:val="BodyText"/>
        <w:spacing w:line="285" w:lineRule="auto"/>
        <w:ind w:left="110" w:right="107"/>
        <w:jc w:val="both"/>
      </w:pPr>
      <w:r>
        <w:rPr>
          <w:color w:val="231F20"/>
          <w:w w:val="105"/>
        </w:rPr>
        <w:t>Es importante también </w:t>
      </w:r>
      <w:r>
        <w:rPr>
          <w:color w:val="231F20"/>
          <w:spacing w:val="-3"/>
          <w:w w:val="105"/>
        </w:rPr>
        <w:t>comprender </w:t>
      </w:r>
      <w:r>
        <w:rPr>
          <w:color w:val="231F20"/>
          <w:w w:val="105"/>
        </w:rPr>
        <w:t>que los recursos por estos fondos, sobre todo los del ramo 33, permiten a los gobiernos municipales hacer obra. El FISM tiene la fina- lidad de apoyar a la infraestructura del municipio, en agua, drenaje, alcantarillado y obras de construcción dirigida a consolidar el crecimiento del aspecto urbano. Estos recursos</w:t>
      </w:r>
      <w:r>
        <w:rPr>
          <w:color w:val="231F20"/>
          <w:spacing w:val="-4"/>
          <w:w w:val="105"/>
        </w:rPr>
        <w:t> </w:t>
      </w:r>
      <w:r>
        <w:rPr>
          <w:color w:val="231F20"/>
          <w:w w:val="105"/>
        </w:rPr>
        <w:t>son</w:t>
      </w:r>
      <w:r>
        <w:rPr>
          <w:color w:val="231F20"/>
          <w:spacing w:val="-4"/>
          <w:w w:val="105"/>
        </w:rPr>
        <w:t> </w:t>
      </w:r>
      <w:r>
        <w:rPr>
          <w:color w:val="231F20"/>
          <w:w w:val="105"/>
        </w:rPr>
        <w:t>de</w:t>
      </w:r>
      <w:r>
        <w:rPr>
          <w:color w:val="231F20"/>
          <w:spacing w:val="-4"/>
          <w:w w:val="105"/>
        </w:rPr>
        <w:t> </w:t>
      </w:r>
      <w:r>
        <w:rPr>
          <w:color w:val="231F20"/>
          <w:w w:val="105"/>
        </w:rPr>
        <w:t>gran</w:t>
      </w:r>
      <w:r>
        <w:rPr>
          <w:color w:val="231F20"/>
          <w:spacing w:val="-4"/>
          <w:w w:val="105"/>
        </w:rPr>
        <w:t> </w:t>
      </w:r>
      <w:r>
        <w:rPr>
          <w:color w:val="231F20"/>
          <w:w w:val="105"/>
        </w:rPr>
        <w:t>importancia</w:t>
      </w:r>
      <w:r>
        <w:rPr>
          <w:color w:val="231F20"/>
          <w:spacing w:val="-4"/>
          <w:w w:val="105"/>
        </w:rPr>
        <w:t> </w:t>
      </w:r>
      <w:r>
        <w:rPr>
          <w:color w:val="231F20"/>
          <w:w w:val="105"/>
        </w:rPr>
        <w:t>para</w:t>
      </w:r>
      <w:r>
        <w:rPr>
          <w:color w:val="231F20"/>
          <w:spacing w:val="-4"/>
          <w:w w:val="105"/>
        </w:rPr>
        <w:t> </w:t>
      </w:r>
      <w:r>
        <w:rPr>
          <w:color w:val="231F20"/>
          <w:w w:val="105"/>
        </w:rPr>
        <w:t>el</w:t>
      </w:r>
      <w:r>
        <w:rPr>
          <w:color w:val="231F20"/>
          <w:spacing w:val="-4"/>
          <w:w w:val="105"/>
        </w:rPr>
        <w:t> </w:t>
      </w:r>
      <w:r>
        <w:rPr>
          <w:color w:val="231F20"/>
          <w:w w:val="105"/>
        </w:rPr>
        <w:t>municipio,</w:t>
      </w:r>
      <w:r>
        <w:rPr>
          <w:color w:val="231F20"/>
          <w:spacing w:val="-4"/>
          <w:w w:val="105"/>
        </w:rPr>
        <w:t> </w:t>
      </w:r>
      <w:r>
        <w:rPr>
          <w:color w:val="231F20"/>
          <w:w w:val="105"/>
        </w:rPr>
        <w:t>en</w:t>
      </w:r>
      <w:r>
        <w:rPr>
          <w:color w:val="231F20"/>
          <w:spacing w:val="-4"/>
          <w:w w:val="105"/>
        </w:rPr>
        <w:t> </w:t>
      </w:r>
      <w:r>
        <w:rPr>
          <w:color w:val="231F20"/>
          <w:w w:val="105"/>
        </w:rPr>
        <w:t>general,</w:t>
      </w:r>
      <w:r>
        <w:rPr>
          <w:color w:val="231F20"/>
          <w:spacing w:val="-4"/>
          <w:w w:val="105"/>
        </w:rPr>
        <w:t> </w:t>
      </w:r>
      <w:r>
        <w:rPr>
          <w:color w:val="231F20"/>
          <w:w w:val="105"/>
        </w:rPr>
        <w:t>pues</w:t>
      </w:r>
      <w:r>
        <w:rPr>
          <w:color w:val="231F20"/>
          <w:spacing w:val="-4"/>
          <w:w w:val="105"/>
        </w:rPr>
        <w:t> </w:t>
      </w:r>
      <w:r>
        <w:rPr>
          <w:color w:val="231F20"/>
          <w:w w:val="105"/>
        </w:rPr>
        <w:t>en</w:t>
      </w:r>
      <w:r>
        <w:rPr>
          <w:color w:val="231F20"/>
          <w:spacing w:val="-4"/>
          <w:w w:val="105"/>
        </w:rPr>
        <w:t> </w:t>
      </w:r>
      <w:r>
        <w:rPr>
          <w:color w:val="231F20"/>
          <w:w w:val="105"/>
        </w:rPr>
        <w:t>muchos</w:t>
      </w:r>
      <w:r>
        <w:rPr>
          <w:color w:val="231F20"/>
          <w:spacing w:val="-4"/>
          <w:w w:val="105"/>
        </w:rPr>
        <w:t> </w:t>
      </w:r>
      <w:r>
        <w:rPr>
          <w:color w:val="231F20"/>
          <w:w w:val="105"/>
        </w:rPr>
        <w:t>casos son</w:t>
      </w:r>
      <w:r>
        <w:rPr>
          <w:color w:val="231F20"/>
          <w:spacing w:val="-5"/>
          <w:w w:val="105"/>
        </w:rPr>
        <w:t> </w:t>
      </w:r>
      <w:r>
        <w:rPr>
          <w:color w:val="231F20"/>
          <w:w w:val="105"/>
        </w:rPr>
        <w:t>el</w:t>
      </w:r>
      <w:r>
        <w:rPr>
          <w:color w:val="231F20"/>
          <w:spacing w:val="-5"/>
          <w:w w:val="105"/>
        </w:rPr>
        <w:t> </w:t>
      </w:r>
      <w:r>
        <w:rPr>
          <w:color w:val="231F20"/>
          <w:w w:val="105"/>
        </w:rPr>
        <w:t>suero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obra</w:t>
      </w:r>
      <w:r>
        <w:rPr>
          <w:color w:val="231F20"/>
          <w:spacing w:val="-5"/>
          <w:w w:val="105"/>
        </w:rPr>
        <w:t> </w:t>
      </w:r>
      <w:r>
        <w:rPr>
          <w:color w:val="231F20"/>
          <w:w w:val="105"/>
        </w:rPr>
        <w:t>pública</w:t>
      </w:r>
      <w:r>
        <w:rPr>
          <w:color w:val="231F20"/>
          <w:spacing w:val="-5"/>
          <w:w w:val="105"/>
        </w:rPr>
        <w:t> </w:t>
      </w:r>
      <w:r>
        <w:rPr>
          <w:color w:val="231F20"/>
          <w:w w:val="105"/>
        </w:rPr>
        <w:t>y</w:t>
      </w:r>
      <w:r>
        <w:rPr>
          <w:color w:val="231F20"/>
          <w:spacing w:val="-5"/>
          <w:w w:val="105"/>
        </w:rPr>
        <w:t> </w:t>
      </w:r>
      <w:r>
        <w:rPr>
          <w:color w:val="231F20"/>
          <w:w w:val="105"/>
        </w:rPr>
        <w:t>del</w:t>
      </w:r>
      <w:r>
        <w:rPr>
          <w:color w:val="231F20"/>
          <w:spacing w:val="-5"/>
          <w:w w:val="105"/>
        </w:rPr>
        <w:t> </w:t>
      </w:r>
      <w:r>
        <w:rPr>
          <w:color w:val="231F20"/>
          <w:w w:val="105"/>
        </w:rPr>
        <w:t>trabajo</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urbano</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El FORTAMUN</w:t>
      </w:r>
      <w:r>
        <w:rPr>
          <w:color w:val="231F20"/>
          <w:spacing w:val="-14"/>
          <w:w w:val="105"/>
        </w:rPr>
        <w:t> </w:t>
      </w:r>
      <w:r>
        <w:rPr>
          <w:color w:val="231F20"/>
          <w:w w:val="105"/>
        </w:rPr>
        <w:t>tiene</w:t>
      </w:r>
      <w:r>
        <w:rPr>
          <w:color w:val="231F20"/>
          <w:spacing w:val="-14"/>
          <w:w w:val="105"/>
        </w:rPr>
        <w:t> </w:t>
      </w:r>
      <w:r>
        <w:rPr>
          <w:color w:val="231F20"/>
          <w:w w:val="105"/>
        </w:rPr>
        <w:t>un</w:t>
      </w:r>
      <w:r>
        <w:rPr>
          <w:color w:val="231F20"/>
          <w:spacing w:val="-14"/>
          <w:w w:val="105"/>
        </w:rPr>
        <w:t> </w:t>
      </w:r>
      <w:r>
        <w:rPr>
          <w:color w:val="231F20"/>
          <w:w w:val="105"/>
        </w:rPr>
        <w:t>destino</w:t>
      </w:r>
      <w:r>
        <w:rPr>
          <w:color w:val="231F20"/>
          <w:spacing w:val="-14"/>
          <w:w w:val="105"/>
        </w:rPr>
        <w:t> </w:t>
      </w:r>
      <w:r>
        <w:rPr>
          <w:color w:val="231F20"/>
          <w:w w:val="105"/>
        </w:rPr>
        <w:t>más</w:t>
      </w:r>
      <w:r>
        <w:rPr>
          <w:color w:val="231F20"/>
          <w:spacing w:val="-14"/>
          <w:w w:val="105"/>
        </w:rPr>
        <w:t> </w:t>
      </w:r>
      <w:r>
        <w:rPr>
          <w:color w:val="231F20"/>
          <w:w w:val="105"/>
        </w:rPr>
        <w:t>para</w:t>
      </w:r>
      <w:r>
        <w:rPr>
          <w:color w:val="231F20"/>
          <w:spacing w:val="-14"/>
          <w:w w:val="105"/>
        </w:rPr>
        <w:t> </w:t>
      </w:r>
      <w:r>
        <w:rPr>
          <w:color w:val="231F20"/>
          <w:w w:val="105"/>
        </w:rPr>
        <w:t>apoyar</w:t>
      </w:r>
      <w:r>
        <w:rPr>
          <w:color w:val="231F20"/>
          <w:spacing w:val="-14"/>
          <w:w w:val="105"/>
        </w:rPr>
        <w:t> </w:t>
      </w:r>
      <w:r>
        <w:rPr>
          <w:color w:val="231F20"/>
          <w:w w:val="105"/>
        </w:rPr>
        <w:t>las</w:t>
      </w:r>
      <w:r>
        <w:rPr>
          <w:color w:val="231F20"/>
          <w:spacing w:val="-14"/>
          <w:w w:val="105"/>
        </w:rPr>
        <w:t> </w:t>
      </w:r>
      <w:r>
        <w:rPr>
          <w:color w:val="231F20"/>
          <w:w w:val="105"/>
        </w:rPr>
        <w:t>necesidades</w:t>
      </w:r>
      <w:r>
        <w:rPr>
          <w:color w:val="231F20"/>
          <w:spacing w:val="-14"/>
          <w:w w:val="105"/>
        </w:rPr>
        <w:t> </w:t>
      </w:r>
      <w:r>
        <w:rPr>
          <w:color w:val="231F20"/>
          <w:w w:val="105"/>
        </w:rPr>
        <w:t>propias</w:t>
      </w:r>
      <w:r>
        <w:rPr>
          <w:color w:val="231F20"/>
          <w:spacing w:val="-14"/>
          <w:w w:val="105"/>
        </w:rPr>
        <w:t> </w:t>
      </w:r>
      <w:r>
        <w:rPr>
          <w:color w:val="231F20"/>
          <w:w w:val="105"/>
        </w:rPr>
        <w:t>o</w:t>
      </w:r>
      <w:r>
        <w:rPr>
          <w:color w:val="231F20"/>
          <w:spacing w:val="-14"/>
          <w:w w:val="105"/>
        </w:rPr>
        <w:t> </w:t>
      </w:r>
      <w:r>
        <w:rPr>
          <w:color w:val="231F20"/>
          <w:w w:val="105"/>
        </w:rPr>
        <w:t>deudas</w:t>
      </w:r>
      <w:r>
        <w:rPr>
          <w:color w:val="231F20"/>
          <w:spacing w:val="-14"/>
          <w:w w:val="105"/>
        </w:rPr>
        <w:t> </w:t>
      </w:r>
      <w:r>
        <w:rPr>
          <w:color w:val="231F20"/>
          <w:w w:val="105"/>
        </w:rPr>
        <w:t>de</w:t>
      </w:r>
      <w:r>
        <w:rPr>
          <w:color w:val="231F20"/>
          <w:spacing w:val="-14"/>
          <w:w w:val="105"/>
        </w:rPr>
        <w:t> </w:t>
      </w:r>
      <w:r>
        <w:rPr>
          <w:color w:val="231F20"/>
          <w:w w:val="105"/>
        </w:rPr>
        <w:t>los </w:t>
      </w:r>
      <w:r>
        <w:rPr>
          <w:color w:val="231F20"/>
        </w:rPr>
        <w:t>gobiernos  municipales.</w:t>
      </w:r>
    </w:p>
    <w:p>
      <w:pPr>
        <w:pStyle w:val="BodyText"/>
        <w:spacing w:before="1"/>
        <w:rPr>
          <w:sz w:val="26"/>
        </w:rPr>
      </w:pPr>
    </w:p>
    <w:p>
      <w:pPr>
        <w:pStyle w:val="BodyText"/>
        <w:spacing w:line="285" w:lineRule="auto"/>
        <w:ind w:left="110" w:right="108"/>
        <w:jc w:val="both"/>
      </w:pPr>
      <w:r>
        <w:rPr>
          <w:color w:val="231F20"/>
          <w:w w:val="105"/>
        </w:rPr>
        <w:t>En la gráfica tres se observa que la distribución del ingreso por fuente es </w:t>
      </w:r>
      <w:r>
        <w:rPr>
          <w:color w:val="231F20"/>
          <w:spacing w:val="-3"/>
          <w:w w:val="105"/>
        </w:rPr>
        <w:t>despropor- </w:t>
      </w:r>
      <w:r>
        <w:rPr>
          <w:color w:val="231F20"/>
          <w:w w:val="105"/>
        </w:rPr>
        <w:t>cional,</w:t>
      </w:r>
      <w:r>
        <w:rPr>
          <w:color w:val="231F20"/>
          <w:spacing w:val="-14"/>
          <w:w w:val="105"/>
        </w:rPr>
        <w:t> </w:t>
      </w:r>
      <w:r>
        <w:rPr>
          <w:color w:val="231F20"/>
          <w:w w:val="105"/>
        </w:rPr>
        <w:t>en</w:t>
      </w:r>
      <w:r>
        <w:rPr>
          <w:color w:val="231F20"/>
          <w:spacing w:val="-14"/>
          <w:w w:val="105"/>
        </w:rPr>
        <w:t> </w:t>
      </w:r>
      <w:r>
        <w:rPr>
          <w:color w:val="231F20"/>
          <w:spacing w:val="-3"/>
          <w:w w:val="105"/>
        </w:rPr>
        <w:t>donde</w:t>
      </w:r>
      <w:r>
        <w:rPr>
          <w:color w:val="231F20"/>
          <w:spacing w:val="-14"/>
          <w:w w:val="105"/>
        </w:rPr>
        <w:t> </w:t>
      </w:r>
      <w:r>
        <w:rPr>
          <w:color w:val="231F20"/>
          <w:w w:val="105"/>
        </w:rPr>
        <w:t>las</w:t>
      </w:r>
      <w:r>
        <w:rPr>
          <w:color w:val="231F20"/>
          <w:spacing w:val="-14"/>
          <w:w w:val="105"/>
        </w:rPr>
        <w:t> </w:t>
      </w:r>
      <w:r>
        <w:rPr>
          <w:color w:val="231F20"/>
          <w:w w:val="105"/>
        </w:rPr>
        <w:t>participaciones</w:t>
      </w:r>
      <w:r>
        <w:rPr>
          <w:color w:val="231F20"/>
          <w:spacing w:val="-14"/>
          <w:w w:val="105"/>
        </w:rPr>
        <w:t> </w:t>
      </w:r>
      <w:r>
        <w:rPr>
          <w:color w:val="231F20"/>
          <w:w w:val="105"/>
        </w:rPr>
        <w:t>son</w:t>
      </w:r>
      <w:r>
        <w:rPr>
          <w:color w:val="231F20"/>
          <w:spacing w:val="-14"/>
          <w:w w:val="105"/>
        </w:rPr>
        <w:t> </w:t>
      </w:r>
      <w:r>
        <w:rPr>
          <w:color w:val="231F20"/>
          <w:w w:val="105"/>
        </w:rPr>
        <w:t>mayores</w:t>
      </w:r>
      <w:r>
        <w:rPr>
          <w:color w:val="231F20"/>
          <w:spacing w:val="-14"/>
          <w:w w:val="105"/>
        </w:rPr>
        <w:t> </w:t>
      </w:r>
      <w:r>
        <w:rPr>
          <w:color w:val="231F20"/>
          <w:spacing w:val="2"/>
          <w:w w:val="105"/>
        </w:rPr>
        <w:t>al</w:t>
      </w:r>
      <w:r>
        <w:rPr>
          <w:color w:val="231F20"/>
          <w:spacing w:val="-14"/>
          <w:w w:val="105"/>
        </w:rPr>
        <w:t> </w:t>
      </w:r>
      <w:r>
        <w:rPr>
          <w:color w:val="231F20"/>
          <w:w w:val="105"/>
        </w:rPr>
        <w:t>50%,</w:t>
      </w:r>
      <w:r>
        <w:rPr>
          <w:color w:val="231F20"/>
          <w:spacing w:val="-14"/>
          <w:w w:val="105"/>
        </w:rPr>
        <w:t> </w:t>
      </w:r>
      <w:r>
        <w:rPr>
          <w:color w:val="231F20"/>
          <w:w w:val="105"/>
        </w:rPr>
        <w:t>le</w:t>
      </w:r>
      <w:r>
        <w:rPr>
          <w:color w:val="231F20"/>
          <w:spacing w:val="-14"/>
          <w:w w:val="105"/>
        </w:rPr>
        <w:t> </w:t>
      </w:r>
      <w:r>
        <w:rPr>
          <w:color w:val="231F20"/>
          <w:w w:val="105"/>
        </w:rPr>
        <w:t>siguen</w:t>
      </w:r>
      <w:r>
        <w:rPr>
          <w:color w:val="231F20"/>
          <w:spacing w:val="-14"/>
          <w:w w:val="105"/>
        </w:rPr>
        <w:t> </w:t>
      </w:r>
      <w:r>
        <w:rPr>
          <w:color w:val="231F20"/>
          <w:w w:val="105"/>
        </w:rPr>
        <w:t>las</w:t>
      </w:r>
      <w:r>
        <w:rPr>
          <w:color w:val="231F20"/>
          <w:spacing w:val="-14"/>
          <w:w w:val="105"/>
        </w:rPr>
        <w:t> </w:t>
      </w:r>
      <w:r>
        <w:rPr>
          <w:color w:val="231F20"/>
          <w:w w:val="105"/>
        </w:rPr>
        <w:t>aportaciones</w:t>
      </w:r>
      <w:r>
        <w:rPr>
          <w:color w:val="231F20"/>
          <w:spacing w:val="-14"/>
          <w:w w:val="105"/>
        </w:rPr>
        <w:t> </w:t>
      </w:r>
      <w:r>
        <w:rPr>
          <w:color w:val="231F20"/>
          <w:w w:val="105"/>
        </w:rPr>
        <w:t>que ascienden</w:t>
      </w:r>
      <w:r>
        <w:rPr>
          <w:color w:val="231F20"/>
          <w:spacing w:val="-25"/>
          <w:w w:val="105"/>
        </w:rPr>
        <w:t> </w:t>
      </w:r>
      <w:r>
        <w:rPr>
          <w:color w:val="231F20"/>
          <w:spacing w:val="2"/>
          <w:w w:val="105"/>
        </w:rPr>
        <w:t>al</w:t>
      </w:r>
      <w:r>
        <w:rPr>
          <w:color w:val="231F20"/>
          <w:spacing w:val="-25"/>
          <w:w w:val="105"/>
        </w:rPr>
        <w:t> </w:t>
      </w:r>
      <w:r>
        <w:rPr>
          <w:color w:val="231F20"/>
          <w:w w:val="105"/>
        </w:rPr>
        <w:t>34.65%.</w:t>
      </w:r>
      <w:r>
        <w:rPr>
          <w:color w:val="231F20"/>
          <w:spacing w:val="-25"/>
          <w:w w:val="105"/>
        </w:rPr>
        <w:t> </w:t>
      </w:r>
      <w:r>
        <w:rPr>
          <w:color w:val="231F20"/>
          <w:w w:val="105"/>
        </w:rPr>
        <w:t>Participaciones</w:t>
      </w:r>
      <w:r>
        <w:rPr>
          <w:color w:val="231F20"/>
          <w:spacing w:val="-25"/>
          <w:w w:val="105"/>
        </w:rPr>
        <w:t> </w:t>
      </w:r>
      <w:r>
        <w:rPr>
          <w:color w:val="231F20"/>
          <w:w w:val="105"/>
        </w:rPr>
        <w:t>y</w:t>
      </w:r>
      <w:r>
        <w:rPr>
          <w:color w:val="231F20"/>
          <w:spacing w:val="-25"/>
          <w:w w:val="105"/>
        </w:rPr>
        <w:t> </w:t>
      </w:r>
      <w:r>
        <w:rPr>
          <w:color w:val="231F20"/>
          <w:w w:val="105"/>
        </w:rPr>
        <w:t>aportaciones</w:t>
      </w:r>
      <w:r>
        <w:rPr>
          <w:color w:val="231F20"/>
          <w:spacing w:val="-25"/>
          <w:w w:val="105"/>
        </w:rPr>
        <w:t> </w:t>
      </w:r>
      <w:r>
        <w:rPr>
          <w:color w:val="231F20"/>
          <w:w w:val="105"/>
        </w:rPr>
        <w:t>casi</w:t>
      </w:r>
      <w:r>
        <w:rPr>
          <w:color w:val="231F20"/>
          <w:spacing w:val="-25"/>
          <w:w w:val="105"/>
        </w:rPr>
        <w:t> </w:t>
      </w:r>
      <w:r>
        <w:rPr>
          <w:color w:val="231F20"/>
          <w:w w:val="105"/>
        </w:rPr>
        <w:t>llegan</w:t>
      </w:r>
      <w:r>
        <w:rPr>
          <w:color w:val="231F20"/>
          <w:spacing w:val="-25"/>
          <w:w w:val="105"/>
        </w:rPr>
        <w:t> </w:t>
      </w:r>
      <w:r>
        <w:rPr>
          <w:color w:val="231F20"/>
          <w:spacing w:val="2"/>
          <w:w w:val="105"/>
        </w:rPr>
        <w:t>al</w:t>
      </w:r>
      <w:r>
        <w:rPr>
          <w:color w:val="231F20"/>
          <w:spacing w:val="-25"/>
          <w:w w:val="105"/>
        </w:rPr>
        <w:t> </w:t>
      </w:r>
      <w:r>
        <w:rPr>
          <w:color w:val="231F20"/>
          <w:w w:val="105"/>
        </w:rPr>
        <w:t>90%</w:t>
      </w:r>
      <w:r>
        <w:rPr>
          <w:color w:val="231F20"/>
          <w:spacing w:val="-25"/>
          <w:w w:val="105"/>
        </w:rPr>
        <w:t> </w:t>
      </w:r>
      <w:r>
        <w:rPr>
          <w:color w:val="231F20"/>
          <w:w w:val="105"/>
        </w:rPr>
        <w:t>en</w:t>
      </w:r>
      <w:r>
        <w:rPr>
          <w:color w:val="231F20"/>
          <w:spacing w:val="-25"/>
          <w:w w:val="105"/>
        </w:rPr>
        <w:t> </w:t>
      </w:r>
      <w:r>
        <w:rPr>
          <w:color w:val="231F20"/>
          <w:w w:val="105"/>
        </w:rPr>
        <w:t>promedio,</w:t>
      </w:r>
      <w:r>
        <w:rPr>
          <w:color w:val="231F20"/>
          <w:spacing w:val="-25"/>
          <w:w w:val="105"/>
        </w:rPr>
        <w:t> </w:t>
      </w:r>
      <w:r>
        <w:rPr>
          <w:color w:val="231F20"/>
          <w:w w:val="105"/>
        </w:rPr>
        <w:t>de- jando</w:t>
      </w:r>
      <w:r>
        <w:rPr>
          <w:color w:val="231F20"/>
          <w:spacing w:val="-12"/>
          <w:w w:val="105"/>
        </w:rPr>
        <w:t> </w:t>
      </w:r>
      <w:r>
        <w:rPr>
          <w:color w:val="231F20"/>
          <w:w w:val="105"/>
        </w:rPr>
        <w:t>sólo</w:t>
      </w:r>
      <w:r>
        <w:rPr>
          <w:color w:val="231F20"/>
          <w:spacing w:val="-12"/>
          <w:w w:val="105"/>
        </w:rPr>
        <w:t> </w:t>
      </w:r>
      <w:r>
        <w:rPr>
          <w:color w:val="231F20"/>
          <w:w w:val="105"/>
        </w:rPr>
        <w:t>el</w:t>
      </w:r>
      <w:r>
        <w:rPr>
          <w:color w:val="231F20"/>
          <w:spacing w:val="-12"/>
          <w:w w:val="105"/>
        </w:rPr>
        <w:t> </w:t>
      </w:r>
      <w:r>
        <w:rPr>
          <w:color w:val="231F20"/>
          <w:spacing w:val="-7"/>
          <w:w w:val="105"/>
        </w:rPr>
        <w:t>11%</w:t>
      </w:r>
      <w:r>
        <w:rPr>
          <w:color w:val="231F20"/>
          <w:spacing w:val="-12"/>
          <w:w w:val="105"/>
        </w:rPr>
        <w:t> </w:t>
      </w:r>
      <w:r>
        <w:rPr>
          <w:color w:val="231F20"/>
          <w:w w:val="105"/>
        </w:rPr>
        <w:t>a</w:t>
      </w:r>
      <w:r>
        <w:rPr>
          <w:color w:val="231F20"/>
          <w:spacing w:val="-12"/>
          <w:w w:val="105"/>
        </w:rPr>
        <w:t> </w:t>
      </w:r>
      <w:r>
        <w:rPr>
          <w:color w:val="231F20"/>
          <w:w w:val="105"/>
        </w:rPr>
        <w:t>ingresos</w:t>
      </w:r>
      <w:r>
        <w:rPr>
          <w:color w:val="231F20"/>
          <w:spacing w:val="-12"/>
          <w:w w:val="105"/>
        </w:rPr>
        <w:t> </w:t>
      </w:r>
      <w:r>
        <w:rPr>
          <w:color w:val="231F20"/>
          <w:w w:val="105"/>
        </w:rPr>
        <w:t>directos.</w:t>
      </w:r>
      <w:r>
        <w:rPr>
          <w:color w:val="231F20"/>
          <w:spacing w:val="-12"/>
          <w:w w:val="105"/>
        </w:rPr>
        <w:t> </w:t>
      </w:r>
      <w:r>
        <w:rPr>
          <w:color w:val="231F20"/>
          <w:w w:val="105"/>
        </w:rPr>
        <w:t>Esto</w:t>
      </w:r>
      <w:r>
        <w:rPr>
          <w:color w:val="231F20"/>
          <w:spacing w:val="-12"/>
          <w:w w:val="105"/>
        </w:rPr>
        <w:t> </w:t>
      </w:r>
      <w:r>
        <w:rPr>
          <w:color w:val="231F20"/>
          <w:w w:val="105"/>
        </w:rPr>
        <w:t>gráficamente</w:t>
      </w:r>
      <w:r>
        <w:rPr>
          <w:color w:val="231F20"/>
          <w:spacing w:val="-12"/>
          <w:w w:val="105"/>
        </w:rPr>
        <w:t> </w:t>
      </w:r>
      <w:r>
        <w:rPr>
          <w:color w:val="231F20"/>
          <w:w w:val="105"/>
        </w:rPr>
        <w:t>demuestra</w:t>
      </w:r>
      <w:r>
        <w:rPr>
          <w:color w:val="231F20"/>
          <w:spacing w:val="-12"/>
          <w:w w:val="105"/>
        </w:rPr>
        <w:t> </w:t>
      </w:r>
      <w:r>
        <w:rPr>
          <w:color w:val="231F20"/>
          <w:w w:val="105"/>
        </w:rPr>
        <w:t>la</w:t>
      </w:r>
      <w:r>
        <w:rPr>
          <w:color w:val="231F20"/>
          <w:spacing w:val="-12"/>
          <w:w w:val="105"/>
        </w:rPr>
        <w:t> </w:t>
      </w:r>
      <w:r>
        <w:rPr>
          <w:color w:val="231F20"/>
          <w:w w:val="105"/>
        </w:rPr>
        <w:t>dependencia</w:t>
      </w:r>
      <w:r>
        <w:rPr>
          <w:color w:val="231F20"/>
          <w:spacing w:val="-12"/>
          <w:w w:val="105"/>
        </w:rPr>
        <w:t> </w:t>
      </w:r>
      <w:r>
        <w:rPr>
          <w:color w:val="231F20"/>
          <w:w w:val="105"/>
        </w:rPr>
        <w:t>que se tiene del recurso</w:t>
      </w:r>
      <w:r>
        <w:rPr>
          <w:color w:val="231F20"/>
          <w:spacing w:val="-27"/>
          <w:w w:val="105"/>
        </w:rPr>
        <w:t> </w:t>
      </w:r>
      <w:r>
        <w:rPr>
          <w:color w:val="231F20"/>
          <w:w w:val="105"/>
        </w:rPr>
        <w:t>indirecto.</w:t>
      </w:r>
    </w:p>
    <w:p>
      <w:pPr>
        <w:spacing w:after="0" w:line="285" w:lineRule="auto"/>
        <w:jc w:val="both"/>
        <w:sectPr>
          <w:pgSz w:w="9640" w:h="12190"/>
          <w:pgMar w:header="0" w:footer="743" w:top="1120" w:bottom="940" w:left="740" w:right="740"/>
        </w:sectPr>
      </w:pPr>
    </w:p>
    <w:p>
      <w:pPr>
        <w:spacing w:before="27"/>
        <w:ind w:left="110" w:right="0" w:firstLine="0"/>
        <w:jc w:val="both"/>
        <w:rPr>
          <w:b/>
          <w:sz w:val="24"/>
        </w:rPr>
      </w:pPr>
      <w:r>
        <w:rPr/>
        <w:pict>
          <v:group style="position:absolute;margin-left:54.520103pt;margin-top:17.888916pt;width:271.850pt;height:179.45pt;mso-position-horizontal-relative:page;mso-position-vertical-relative:paragraph;z-index:11440;mso-wrap-distance-left:0;mso-wrap-distance-right:0" coordorigin="1090,358" coordsize="5437,3589">
            <v:shape style="position:absolute;left:4220;top:669;width:295;height:190" type="#_x0000_t75" stroked="false">
              <v:imagedata r:id="rId796" o:title=""/>
            </v:shape>
            <v:shape style="position:absolute;left:4220;top:1000;width:294;height:189" type="#_x0000_t75" stroked="false">
              <v:imagedata r:id="rId797" o:title=""/>
            </v:shape>
            <v:shape style="position:absolute;left:4220;top:1329;width:296;height:190" type="#_x0000_t75" stroked="false">
              <v:imagedata r:id="rId798" o:title=""/>
            </v:shape>
            <v:shape style="position:absolute;left:4220;top:1659;width:294;height:190" type="#_x0000_t75" stroked="false">
              <v:imagedata r:id="rId799" o:title=""/>
            </v:shape>
            <v:shape style="position:absolute;left:4220;top:1989;width:294;height:190" type="#_x0000_t75" stroked="false">
              <v:imagedata r:id="rId800" o:title=""/>
            </v:shape>
            <v:shape style="position:absolute;left:4220;top:2320;width:159;height:189" type="#_x0000_t75" stroked="false">
              <v:imagedata r:id="rId801" o:title=""/>
            </v:shape>
            <v:shape style="position:absolute;left:4421;top:2320;width:58;height:156" coordorigin="4421,2320" coordsize="58,156" path="m4479,2320l4463,2320,4460,2332,4456,2340,4445,2346,4435,2349,4421,2350,4421,2365,4458,2365,4458,2476,4479,2476,4479,2320xe" filled="true" fillcolor="#bcbec0" stroked="false">
              <v:path arrowok="t"/>
              <v:fill type="solid"/>
            </v:shape>
            <v:shape style="position:absolute;left:2787;top:766;width:3730;height:2962" coordorigin="2787,766" coordsize="3730,2962" path="m2787,3727l4662,766,6516,3727,2787,3727xe" filled="false" stroked="true" strokeweight="1pt" strokecolor="#231f20">
              <v:path arrowok="t"/>
            </v:shape>
            <v:shape style="position:absolute;left:3115;top:1110;width:3100;height:2448" coordorigin="3115,1110" coordsize="3100,2448" path="m3115,3558l4670,1110,6214,3558,3115,3558xe" filled="false" stroked="true" strokeweight="1pt" strokecolor="#231f20">
              <v:path arrowok="t"/>
            </v:shape>
            <v:shape style="position:absolute;left:3434;top:1438;width:2469;height:1950" coordorigin="3434,1438" coordsize="2469,1950" path="m3434,3388l4668,1438,5902,3388,3434,3388xe" filled="false" stroked="true" strokeweight="1pt" strokecolor="#231f20">
              <v:path arrowok="t"/>
            </v:shape>
            <v:shape style="position:absolute;left:3735;top:1767;width:1844;height:1447" coordorigin="3735,1767" coordsize="1844,1447" path="m3735,3213l4668,1767,5579,3213,3735,3213xe" filled="false" stroked="true" strokeweight="1pt" strokecolor="#231f20">
              <v:path arrowok="t"/>
            </v:shape>
            <v:shape style="position:absolute;left:4069;top:2085;width:1203;height:959" coordorigin="4069,2085" coordsize="1203,959" path="m4069,3044l4668,2085,5271,3044,4069,3044xe" filled="false" stroked="true" strokeweight="1pt" strokecolor="#231f20">
              <v:path arrowok="t"/>
            </v:shape>
            <v:line style="position:absolute" from="2787,3727" to="4657,2747" stroked="true" strokeweight="1pt" strokecolor="#231f20"/>
            <v:line style="position:absolute" from="6516,3727" to="4657,2747" stroked="true" strokeweight="1pt" strokecolor="#231f20"/>
            <v:line style="position:absolute" from="4670,2747" to="4670,766" stroked="true" strokeweight="1pt" strokecolor="#231f20"/>
            <v:shape style="position:absolute;left:3601;top:2359;width:2676;height:1242" coordorigin="3601,2359" coordsize="2676,1242" path="m4652,2359l3601,3301,6276,3601,4652,2359xe" filled="true" fillcolor="#8dc63f" stroked="false">
              <v:path arrowok="t"/>
              <v:fill type="solid"/>
            </v:shape>
            <v:shape style="position:absolute;left:3843;top:358;width:348;height:281" type="#_x0000_t75" stroked="false">
              <v:imagedata r:id="rId802" o:title=""/>
            </v:shape>
            <v:shape style="position:absolute;left:4230;top:423;width:523;height:159" type="#_x0000_t75" stroked="false">
              <v:imagedata r:id="rId803" o:title=""/>
            </v:shape>
            <v:shape style="position:absolute;left:4853;top:371;width:132;height:210" type="#_x0000_t75" stroked="false">
              <v:imagedata r:id="rId804" o:title=""/>
            </v:shape>
            <v:shape style="position:absolute;left:5007;top:372;width:680;height:217" type="#_x0000_t75" stroked="false">
              <v:imagedata r:id="rId805" o:title=""/>
            </v:shape>
            <v:shape style="position:absolute;left:4700;top:622;width:137;height:205" type="#_x0000_t75" stroked="false">
              <v:imagedata r:id="rId806" o:title=""/>
            </v:shape>
            <v:shape style="position:absolute;left:4873;top:791;width:30;height:73" coordorigin="4873,791" coordsize="30,73" path="m4903,791l4873,791,4873,821,4888,821,4888,822,4873,850,4873,863,4884,861,4892,856,4901,839,4903,830,4903,791xe" filled="true" fillcolor="#231f20" stroked="false">
              <v:path arrowok="t"/>
              <v:fill type="solid"/>
            </v:shape>
            <v:shape style="position:absolute;left:4956;top:623;width:74;height:199" coordorigin="4956,623" coordsize="74,199" path="m5030,623l5010,623,5006,638,5001,648,4987,656,4974,659,4956,661,4956,680,5003,680,5003,821,5030,821,5030,623xe" filled="true" fillcolor="#231f20" stroked="false">
              <v:path arrowok="t"/>
              <v:fill type="solid"/>
            </v:shape>
            <v:shape style="position:absolute;left:5093;top:623;width:74;height:199" coordorigin="5093,623" coordsize="74,199" path="m5167,623l5147,623,5144,638,5138,648,5124,656,5111,659,5093,661,5093,680,5140,680,5140,821,5167,821,5167,623xe" filled="true" fillcolor="#231f20" stroked="false">
              <v:path arrowok="t"/>
              <v:fill type="solid"/>
            </v:shape>
            <v:shape style="position:absolute;left:5235;top:621;width:454;height:206" type="#_x0000_t75" stroked="false">
              <v:imagedata r:id="rId807" o:title=""/>
            </v:shape>
            <v:shape style="position:absolute;left:1090;top:3682;width:490;height:264" type="#_x0000_t75" stroked="false">
              <v:imagedata r:id="rId808" o:title=""/>
            </v:shape>
            <v:shape style="position:absolute;left:1612;top:3682;width:665;height:217" type="#_x0000_t75" stroked="false">
              <v:imagedata r:id="rId809" o:title=""/>
            </v:shape>
            <v:shape style="position:absolute;left:2308;top:3734;width:432;height:159" type="#_x0000_t75" stroked="false">
              <v:imagedata r:id="rId810" o:title=""/>
            </v:shape>
            <w10:wrap type="topAndBottom"/>
          </v:group>
        </w:pict>
      </w:r>
      <w:r>
        <w:rPr/>
        <w:pict>
          <v:group style="position:absolute;margin-left:332.225281pt;margin-top:184.121628pt;width:95pt;height:13.2pt;mso-position-horizontal-relative:page;mso-position-vertical-relative:paragraph;z-index:11464;mso-wrap-distance-left:0;mso-wrap-distance-right:0" coordorigin="6645,3682" coordsize="1900,264">
            <v:shape style="position:absolute;left:6645;top:3682;width:1436;height:264" type="#_x0000_t75" stroked="false">
              <v:imagedata r:id="rId811" o:title=""/>
            </v:shape>
            <v:shape style="position:absolute;left:8111;top:3734;width:432;height:159" type="#_x0000_t75" stroked="false">
              <v:imagedata r:id="rId812" o:title=""/>
            </v:shape>
            <w10:wrap type="topAndBottom"/>
          </v:group>
        </w:pict>
      </w:r>
      <w:r>
        <w:rPr>
          <w:b/>
          <w:color w:val="231F20"/>
          <w:sz w:val="24"/>
        </w:rPr>
        <w:t>Gráfica 3. Distribución de los ingresos en el Municipio de Amecameca</w:t>
      </w:r>
    </w:p>
    <w:p>
      <w:pPr>
        <w:pStyle w:val="BodyText"/>
        <w:spacing w:before="7"/>
        <w:rPr>
          <w:b/>
          <w:sz w:val="4"/>
        </w:rPr>
      </w:pPr>
    </w:p>
    <w:p>
      <w:pPr>
        <w:tabs>
          <w:tab w:pos="6474" w:val="left" w:leader="none"/>
        </w:tabs>
        <w:spacing w:line="240" w:lineRule="auto"/>
        <w:ind w:left="354" w:right="0" w:firstLine="0"/>
        <w:rPr>
          <w:sz w:val="20"/>
        </w:rPr>
      </w:pPr>
      <w:r>
        <w:rPr>
          <w:sz w:val="20"/>
        </w:rPr>
        <w:pict>
          <v:group style="width:66.45pt;height:12.15pt;mso-position-horizontal-relative:char;mso-position-vertical-relative:line" coordorigin="0,0" coordsize="1329,243">
            <v:shape style="position:absolute;left:0;top:1;width:137;height:205" type="#_x0000_t75" stroked="false">
              <v:imagedata r:id="rId813" o:title=""/>
            </v:shape>
            <v:shape style="position:absolute;left:173;top:170;width:30;height:73" coordorigin="173,170" coordsize="30,73" path="m203,170l173,170,173,200,188,200,189,201,173,229,173,242,184,240,192,235,201,219,203,209,203,170xe" filled="true" fillcolor="#231f20" stroked="false">
              <v:path arrowok="t"/>
              <v:fill type="solid"/>
            </v:shape>
            <v:shape style="position:absolute;left:236;top:0;width:615;height:206" type="#_x0000_t75" stroked="false">
              <v:imagedata r:id="rId814" o:title=""/>
            </v:shape>
            <v:shape style="position:absolute;left:890;top:2;width:74;height:199" coordorigin="890,2" coordsize="74,199" path="m963,2l944,2,940,17,935,27,921,35,908,38,890,40,890,59,937,59,937,200,963,200,963,2xe" filled="true" fillcolor="#231f20" stroked="false">
              <v:path arrowok="t"/>
              <v:fill type="solid"/>
            </v:shape>
            <v:shape style="position:absolute;left:1028;top:0;width:301;height:205" type="#_x0000_t75" stroked="false">
              <v:imagedata r:id="rId815" o:title=""/>
            </v:shape>
          </v:group>
        </w:pict>
      </w:r>
      <w:r>
        <w:rPr>
          <w:sz w:val="20"/>
        </w:rPr>
      </w:r>
      <w:r>
        <w:rPr>
          <w:sz w:val="20"/>
        </w:rPr>
        <w:tab/>
      </w:r>
      <w:r>
        <w:rPr>
          <w:sz w:val="20"/>
        </w:rPr>
        <w:pict>
          <v:group style="width:64.05pt;height:12.15pt;mso-position-horizontal-relative:char;mso-position-vertical-relative:line" coordorigin="0,0" coordsize="1281,243">
            <v:shape style="position:absolute;left:0;top:1;width:137;height:205" type="#_x0000_t75" stroked="false">
              <v:imagedata r:id="rId816" o:title=""/>
            </v:shape>
            <v:shape style="position:absolute;left:173;top:170;width:30;height:73" coordorigin="173,170" coordsize="30,73" path="m203,170l173,170,173,200,188,200,189,201,173,229,173,242,184,240,192,235,201,219,203,209,203,170xe" filled="true" fillcolor="#231f20" stroked="false">
              <v:path arrowok="t"/>
              <v:fill type="solid"/>
            </v:shape>
            <v:shape style="position:absolute;left:238;top:0;width:457;height:205" type="#_x0000_t75" stroked="false">
              <v:imagedata r:id="rId817" o:title=""/>
            </v:shape>
            <v:shape style="position:absolute;left:731;top:2;width:74;height:199" coordorigin="731,2" coordsize="74,199" path="m805,2l785,2,782,17,776,27,762,35,749,38,731,40,731,59,778,59,778,200,805,200,805,2xe" filled="true" fillcolor="#231f20" stroked="false">
              <v:path arrowok="t"/>
              <v:fill type="solid"/>
            </v:shape>
            <v:shape style="position:absolute;left:872;top:0;width:297;height:206" type="#_x0000_t75" stroked="false">
              <v:imagedata r:id="rId818" o:title=""/>
            </v:shape>
            <v:shape style="position:absolute;left:1207;top:2;width:74;height:199" coordorigin="1207,2" coordsize="74,199" path="m1280,2l1261,2,1257,17,1252,27,1237,35,1225,38,1207,40,1207,59,1254,59,1254,200,1280,200,1280,2xe" filled="true" fillcolor="#231f20" stroked="false">
              <v:path arrowok="t"/>
              <v:fill type="solid"/>
            </v:shape>
          </v:group>
        </w:pict>
      </w:r>
      <w:r>
        <w:rPr>
          <w:sz w:val="20"/>
        </w:rPr>
      </w:r>
    </w:p>
    <w:p>
      <w:pPr>
        <w:spacing w:before="110"/>
        <w:ind w:left="0" w:right="108" w:firstLine="0"/>
        <w:jc w:val="right"/>
        <w:rPr>
          <w:rFonts w:ascii="Calibri" w:hAnsi="Calibri"/>
          <w:sz w:val="16"/>
        </w:rPr>
      </w:pPr>
      <w:r>
        <w:rPr>
          <w:rFonts w:ascii="Calibri" w:hAnsi="Calibri"/>
          <w:color w:val="231F20"/>
          <w:w w:val="95"/>
          <w:sz w:val="16"/>
        </w:rPr>
        <w:t>Fuente:  Elaboración propia.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Ahora</w:t>
      </w:r>
      <w:r>
        <w:rPr>
          <w:color w:val="231F20"/>
          <w:spacing w:val="-7"/>
          <w:w w:val="105"/>
        </w:rPr>
        <w:t> </w:t>
      </w:r>
      <w:r>
        <w:rPr>
          <w:color w:val="231F20"/>
          <w:w w:val="105"/>
        </w:rPr>
        <w:t>bien,</w:t>
      </w:r>
      <w:r>
        <w:rPr>
          <w:color w:val="231F20"/>
          <w:spacing w:val="-7"/>
          <w:w w:val="105"/>
        </w:rPr>
        <w:t> </w:t>
      </w:r>
      <w:r>
        <w:rPr>
          <w:color w:val="231F20"/>
          <w:w w:val="105"/>
        </w:rPr>
        <w:t>si</w:t>
      </w:r>
      <w:r>
        <w:rPr>
          <w:color w:val="231F20"/>
          <w:spacing w:val="-7"/>
          <w:w w:val="105"/>
        </w:rPr>
        <w:t> </w:t>
      </w:r>
      <w:r>
        <w:rPr>
          <w:color w:val="231F20"/>
          <w:w w:val="105"/>
        </w:rPr>
        <w:t>las</w:t>
      </w:r>
      <w:r>
        <w:rPr>
          <w:color w:val="231F20"/>
          <w:spacing w:val="-7"/>
          <w:w w:val="105"/>
        </w:rPr>
        <w:t> </w:t>
      </w:r>
      <w:r>
        <w:rPr>
          <w:color w:val="231F20"/>
          <w:w w:val="105"/>
        </w:rPr>
        <w:t>participaciones</w:t>
      </w:r>
      <w:r>
        <w:rPr>
          <w:color w:val="231F20"/>
          <w:spacing w:val="-7"/>
          <w:w w:val="105"/>
        </w:rPr>
        <w:t> </w:t>
      </w:r>
      <w:r>
        <w:rPr>
          <w:color w:val="231F20"/>
          <w:w w:val="105"/>
        </w:rPr>
        <w:t>son</w:t>
      </w:r>
      <w:r>
        <w:rPr>
          <w:color w:val="231F20"/>
          <w:spacing w:val="-7"/>
          <w:w w:val="105"/>
        </w:rPr>
        <w:t> </w:t>
      </w:r>
      <w:r>
        <w:rPr>
          <w:color w:val="231F20"/>
          <w:w w:val="105"/>
        </w:rPr>
        <w:t>ingresos</w:t>
      </w:r>
      <w:r>
        <w:rPr>
          <w:color w:val="231F20"/>
          <w:spacing w:val="-7"/>
          <w:w w:val="105"/>
        </w:rPr>
        <w:t> </w:t>
      </w:r>
      <w:r>
        <w:rPr>
          <w:color w:val="231F20"/>
          <w:w w:val="105"/>
        </w:rPr>
        <w:t>que</w:t>
      </w:r>
      <w:r>
        <w:rPr>
          <w:color w:val="231F20"/>
          <w:spacing w:val="-7"/>
          <w:w w:val="105"/>
        </w:rPr>
        <w:t> </w:t>
      </w:r>
      <w:r>
        <w:rPr>
          <w:color w:val="231F20"/>
          <w:w w:val="105"/>
        </w:rPr>
        <w:t>llegan</w:t>
      </w:r>
      <w:r>
        <w:rPr>
          <w:color w:val="231F20"/>
          <w:spacing w:val="-7"/>
          <w:w w:val="105"/>
        </w:rPr>
        <w:t> </w:t>
      </w:r>
      <w:r>
        <w:rPr>
          <w:color w:val="231F20"/>
          <w:spacing w:val="2"/>
          <w:w w:val="105"/>
        </w:rPr>
        <w:t>al</w:t>
      </w:r>
      <w:r>
        <w:rPr>
          <w:color w:val="231F20"/>
          <w:spacing w:val="-7"/>
          <w:w w:val="105"/>
        </w:rPr>
        <w:t> </w:t>
      </w:r>
      <w:r>
        <w:rPr>
          <w:color w:val="231F20"/>
          <w:w w:val="105"/>
        </w:rPr>
        <w:t>municipio</w:t>
      </w:r>
      <w:r>
        <w:rPr>
          <w:color w:val="231F20"/>
          <w:spacing w:val="-7"/>
          <w:w w:val="105"/>
        </w:rPr>
        <w:t> </w:t>
      </w:r>
      <w:r>
        <w:rPr>
          <w:color w:val="231F20"/>
          <w:w w:val="105"/>
        </w:rPr>
        <w:t>para</w:t>
      </w:r>
      <w:r>
        <w:rPr>
          <w:color w:val="231F20"/>
          <w:spacing w:val="-7"/>
          <w:w w:val="105"/>
        </w:rPr>
        <w:t> </w:t>
      </w:r>
      <w:r>
        <w:rPr>
          <w:color w:val="231F20"/>
          <w:w w:val="105"/>
        </w:rPr>
        <w:t>ser</w:t>
      </w:r>
      <w:r>
        <w:rPr>
          <w:color w:val="231F20"/>
          <w:spacing w:val="-7"/>
          <w:w w:val="105"/>
        </w:rPr>
        <w:t> </w:t>
      </w:r>
      <w:r>
        <w:rPr>
          <w:color w:val="231F20"/>
          <w:w w:val="105"/>
        </w:rPr>
        <w:t>aplica- dos</w:t>
      </w:r>
      <w:r>
        <w:rPr>
          <w:color w:val="231F20"/>
          <w:spacing w:val="-3"/>
          <w:w w:val="105"/>
        </w:rPr>
        <w:t> </w:t>
      </w:r>
      <w:r>
        <w:rPr>
          <w:color w:val="231F20"/>
          <w:w w:val="105"/>
        </w:rPr>
        <w:t>de</w:t>
      </w:r>
      <w:r>
        <w:rPr>
          <w:color w:val="231F20"/>
          <w:spacing w:val="-3"/>
          <w:w w:val="105"/>
        </w:rPr>
        <w:t> </w:t>
      </w:r>
      <w:r>
        <w:rPr>
          <w:color w:val="231F20"/>
          <w:w w:val="105"/>
        </w:rPr>
        <w:t>forma</w:t>
      </w:r>
      <w:r>
        <w:rPr>
          <w:color w:val="231F20"/>
          <w:spacing w:val="-3"/>
          <w:w w:val="105"/>
        </w:rPr>
        <w:t> </w:t>
      </w:r>
      <w:r>
        <w:rPr>
          <w:color w:val="231F20"/>
          <w:w w:val="105"/>
        </w:rPr>
        <w:t>libre</w:t>
      </w:r>
      <w:r>
        <w:rPr>
          <w:color w:val="231F20"/>
          <w:spacing w:val="-3"/>
          <w:w w:val="105"/>
        </w:rPr>
        <w:t> </w:t>
      </w:r>
      <w:r>
        <w:rPr>
          <w:color w:val="231F20"/>
          <w:w w:val="105"/>
        </w:rPr>
        <w:t>y</w:t>
      </w:r>
      <w:r>
        <w:rPr>
          <w:color w:val="231F20"/>
          <w:spacing w:val="-3"/>
          <w:w w:val="105"/>
        </w:rPr>
        <w:t> </w:t>
      </w:r>
      <w:r>
        <w:rPr>
          <w:color w:val="231F20"/>
          <w:w w:val="105"/>
        </w:rPr>
        <w:t>no</w:t>
      </w:r>
      <w:r>
        <w:rPr>
          <w:color w:val="231F20"/>
          <w:spacing w:val="-3"/>
          <w:w w:val="105"/>
        </w:rPr>
        <w:t> </w:t>
      </w:r>
      <w:r>
        <w:rPr>
          <w:color w:val="231F20"/>
          <w:w w:val="105"/>
        </w:rPr>
        <w:t>limitada</w:t>
      </w:r>
      <w:r>
        <w:rPr>
          <w:color w:val="231F20"/>
          <w:spacing w:val="-3"/>
          <w:w w:val="105"/>
        </w:rPr>
        <w:t> </w:t>
      </w:r>
      <w:r>
        <w:rPr>
          <w:color w:val="231F20"/>
          <w:w w:val="105"/>
        </w:rPr>
        <w:t>o</w:t>
      </w:r>
      <w:r>
        <w:rPr>
          <w:color w:val="231F20"/>
          <w:spacing w:val="-3"/>
          <w:w w:val="105"/>
        </w:rPr>
        <w:t> </w:t>
      </w:r>
      <w:r>
        <w:rPr>
          <w:color w:val="231F20"/>
          <w:w w:val="105"/>
        </w:rPr>
        <w:t>etiquetada</w:t>
      </w:r>
      <w:r>
        <w:rPr>
          <w:color w:val="231F20"/>
          <w:spacing w:val="-3"/>
          <w:w w:val="105"/>
        </w:rPr>
        <w:t> </w:t>
      </w:r>
      <w:r>
        <w:rPr>
          <w:color w:val="231F20"/>
          <w:w w:val="105"/>
        </w:rPr>
        <w:t>como</w:t>
      </w:r>
      <w:r>
        <w:rPr>
          <w:color w:val="231F20"/>
          <w:spacing w:val="-3"/>
          <w:w w:val="105"/>
        </w:rPr>
        <w:t> </w:t>
      </w:r>
      <w:r>
        <w:rPr>
          <w:color w:val="231F20"/>
          <w:w w:val="105"/>
        </w:rPr>
        <w:t>los</w:t>
      </w:r>
      <w:r>
        <w:rPr>
          <w:color w:val="231F20"/>
          <w:spacing w:val="-3"/>
          <w:w w:val="105"/>
        </w:rPr>
        <w:t> </w:t>
      </w:r>
      <w:r>
        <w:rPr>
          <w:color w:val="231F20"/>
          <w:w w:val="105"/>
        </w:rPr>
        <w:t>del</w:t>
      </w:r>
      <w:r>
        <w:rPr>
          <w:color w:val="231F20"/>
          <w:spacing w:val="-3"/>
          <w:w w:val="105"/>
        </w:rPr>
        <w:t> </w:t>
      </w:r>
      <w:r>
        <w:rPr>
          <w:color w:val="231F20"/>
          <w:w w:val="105"/>
        </w:rPr>
        <w:t>ramo</w:t>
      </w:r>
      <w:r>
        <w:rPr>
          <w:color w:val="231F20"/>
          <w:spacing w:val="-3"/>
          <w:w w:val="105"/>
        </w:rPr>
        <w:t> </w:t>
      </w:r>
      <w:r>
        <w:rPr>
          <w:color w:val="231F20"/>
          <w:w w:val="105"/>
        </w:rPr>
        <w:t>33,</w:t>
      </w:r>
      <w:r>
        <w:rPr>
          <w:color w:val="231F20"/>
          <w:spacing w:val="-3"/>
          <w:w w:val="105"/>
        </w:rPr>
        <w:t> </w:t>
      </w:r>
      <w:r>
        <w:rPr>
          <w:color w:val="231F20"/>
          <w:w w:val="105"/>
        </w:rPr>
        <w:t>también</w:t>
      </w:r>
      <w:r>
        <w:rPr>
          <w:color w:val="231F20"/>
          <w:spacing w:val="-3"/>
          <w:w w:val="105"/>
        </w:rPr>
        <w:t> </w:t>
      </w:r>
      <w:r>
        <w:rPr>
          <w:color w:val="231F20"/>
          <w:w w:val="105"/>
        </w:rPr>
        <w:t>sirven</w:t>
      </w:r>
      <w:r>
        <w:rPr>
          <w:color w:val="231F20"/>
          <w:spacing w:val="-3"/>
          <w:w w:val="105"/>
        </w:rPr>
        <w:t> </w:t>
      </w:r>
      <w:r>
        <w:rPr>
          <w:color w:val="231F20"/>
          <w:w w:val="105"/>
        </w:rPr>
        <w:t>en gran medida para sostener el gasto corriente. </w:t>
      </w:r>
      <w:r>
        <w:rPr>
          <w:color w:val="231F20"/>
          <w:spacing w:val="-3"/>
          <w:w w:val="105"/>
        </w:rPr>
        <w:t>Por ejemplo, </w:t>
      </w:r>
      <w:r>
        <w:rPr>
          <w:color w:val="231F20"/>
          <w:w w:val="105"/>
        </w:rPr>
        <w:t>en el año </w:t>
      </w:r>
      <w:r>
        <w:rPr>
          <w:color w:val="231F20"/>
          <w:spacing w:val="2"/>
          <w:w w:val="105"/>
        </w:rPr>
        <w:t>2005, </w:t>
      </w:r>
      <w:r>
        <w:rPr>
          <w:color w:val="231F20"/>
          <w:w w:val="105"/>
        </w:rPr>
        <w:t>el gobierno municipal</w:t>
      </w:r>
      <w:r>
        <w:rPr>
          <w:color w:val="231F20"/>
          <w:spacing w:val="-13"/>
          <w:w w:val="105"/>
        </w:rPr>
        <w:t> </w:t>
      </w:r>
      <w:r>
        <w:rPr>
          <w:color w:val="231F20"/>
          <w:w w:val="105"/>
        </w:rPr>
        <w:t>de</w:t>
      </w:r>
      <w:r>
        <w:rPr>
          <w:color w:val="231F20"/>
          <w:spacing w:val="-13"/>
          <w:w w:val="105"/>
        </w:rPr>
        <w:t> </w:t>
      </w:r>
      <w:r>
        <w:rPr>
          <w:color w:val="231F20"/>
          <w:w w:val="105"/>
        </w:rPr>
        <w:t>Amecameca</w:t>
      </w:r>
      <w:r>
        <w:rPr>
          <w:color w:val="231F20"/>
          <w:spacing w:val="-13"/>
          <w:w w:val="105"/>
        </w:rPr>
        <w:t> </w:t>
      </w:r>
      <w:r>
        <w:rPr>
          <w:color w:val="231F20"/>
          <w:w w:val="105"/>
        </w:rPr>
        <w:t>gastó</w:t>
      </w:r>
      <w:r>
        <w:rPr>
          <w:color w:val="231F20"/>
          <w:spacing w:val="-13"/>
          <w:w w:val="105"/>
        </w:rPr>
        <w:t> </w:t>
      </w:r>
      <w:r>
        <w:rPr>
          <w:color w:val="231F20"/>
          <w:w w:val="105"/>
        </w:rPr>
        <w:t>un</w:t>
      </w:r>
      <w:r>
        <w:rPr>
          <w:color w:val="231F20"/>
          <w:spacing w:val="-13"/>
          <w:w w:val="105"/>
        </w:rPr>
        <w:t> </w:t>
      </w:r>
      <w:r>
        <w:rPr>
          <w:color w:val="231F20"/>
          <w:w w:val="105"/>
        </w:rPr>
        <w:t>poco</w:t>
      </w:r>
      <w:r>
        <w:rPr>
          <w:color w:val="231F20"/>
          <w:spacing w:val="-13"/>
          <w:w w:val="105"/>
        </w:rPr>
        <w:t> </w:t>
      </w:r>
      <w:r>
        <w:rPr>
          <w:color w:val="231F20"/>
          <w:w w:val="105"/>
        </w:rPr>
        <w:t>más</w:t>
      </w:r>
      <w:r>
        <w:rPr>
          <w:color w:val="231F20"/>
          <w:spacing w:val="-13"/>
          <w:w w:val="105"/>
        </w:rPr>
        <w:t> </w:t>
      </w:r>
      <w:r>
        <w:rPr>
          <w:color w:val="231F20"/>
          <w:w w:val="105"/>
        </w:rPr>
        <w:t>de</w:t>
      </w:r>
      <w:r>
        <w:rPr>
          <w:color w:val="231F20"/>
          <w:spacing w:val="-13"/>
          <w:w w:val="105"/>
        </w:rPr>
        <w:t> </w:t>
      </w:r>
      <w:r>
        <w:rPr>
          <w:color w:val="231F20"/>
          <w:w w:val="105"/>
        </w:rPr>
        <w:t>80</w:t>
      </w:r>
      <w:r>
        <w:rPr>
          <w:color w:val="231F20"/>
          <w:spacing w:val="-13"/>
          <w:w w:val="105"/>
        </w:rPr>
        <w:t> </w:t>
      </w:r>
      <w:r>
        <w:rPr>
          <w:color w:val="231F20"/>
          <w:w w:val="105"/>
        </w:rPr>
        <w:t>millones</w:t>
      </w:r>
      <w:r>
        <w:rPr>
          <w:color w:val="231F20"/>
          <w:spacing w:val="-13"/>
          <w:w w:val="105"/>
        </w:rPr>
        <w:t> </w:t>
      </w:r>
      <w:r>
        <w:rPr>
          <w:color w:val="231F20"/>
          <w:w w:val="105"/>
        </w:rPr>
        <w:t>de</w:t>
      </w:r>
      <w:r>
        <w:rPr>
          <w:color w:val="231F20"/>
          <w:spacing w:val="-13"/>
          <w:w w:val="105"/>
        </w:rPr>
        <w:t> </w:t>
      </w:r>
      <w:r>
        <w:rPr>
          <w:color w:val="231F20"/>
          <w:w w:val="105"/>
        </w:rPr>
        <w:t>pesos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cuales</w:t>
      </w:r>
      <w:r>
        <w:rPr>
          <w:color w:val="231F20"/>
          <w:spacing w:val="-13"/>
          <w:w w:val="105"/>
        </w:rPr>
        <w:t> </w:t>
      </w:r>
      <w:r>
        <w:rPr>
          <w:color w:val="231F20"/>
          <w:w w:val="105"/>
        </w:rPr>
        <w:t>casi 33</w:t>
      </w:r>
      <w:r>
        <w:rPr>
          <w:color w:val="231F20"/>
          <w:spacing w:val="-9"/>
          <w:w w:val="105"/>
        </w:rPr>
        <w:t> </w:t>
      </w:r>
      <w:r>
        <w:rPr>
          <w:color w:val="231F20"/>
          <w:w w:val="105"/>
        </w:rPr>
        <w:t>millones</w:t>
      </w:r>
      <w:r>
        <w:rPr>
          <w:color w:val="231F20"/>
          <w:spacing w:val="-9"/>
          <w:w w:val="105"/>
        </w:rPr>
        <w:t> </w:t>
      </w:r>
      <w:r>
        <w:rPr>
          <w:color w:val="231F20"/>
          <w:w w:val="105"/>
        </w:rPr>
        <w:t>fueron</w:t>
      </w:r>
      <w:r>
        <w:rPr>
          <w:color w:val="231F20"/>
          <w:spacing w:val="-9"/>
          <w:w w:val="105"/>
        </w:rPr>
        <w:t> </w:t>
      </w:r>
      <w:r>
        <w:rPr>
          <w:color w:val="231F20"/>
          <w:w w:val="105"/>
        </w:rPr>
        <w:t>para</w:t>
      </w:r>
      <w:r>
        <w:rPr>
          <w:color w:val="231F20"/>
          <w:spacing w:val="-9"/>
          <w:w w:val="105"/>
        </w:rPr>
        <w:t> </w:t>
      </w:r>
      <w:r>
        <w:rPr>
          <w:color w:val="231F20"/>
          <w:w w:val="105"/>
        </w:rPr>
        <w:t>servicios</w:t>
      </w:r>
      <w:r>
        <w:rPr>
          <w:color w:val="231F20"/>
          <w:spacing w:val="-9"/>
          <w:w w:val="105"/>
        </w:rPr>
        <w:t> </w:t>
      </w:r>
      <w:r>
        <w:rPr>
          <w:color w:val="231F20"/>
          <w:w w:val="105"/>
        </w:rPr>
        <w:t>personales</w:t>
      </w:r>
      <w:r>
        <w:rPr>
          <w:color w:val="231F20"/>
          <w:spacing w:val="-9"/>
          <w:w w:val="105"/>
        </w:rPr>
        <w:t> </w:t>
      </w:r>
      <w:r>
        <w:rPr>
          <w:color w:val="231F20"/>
          <w:spacing w:val="-5"/>
          <w:w w:val="105"/>
        </w:rPr>
        <w:t>(41.25%),</w:t>
      </w:r>
      <w:r>
        <w:rPr>
          <w:color w:val="231F20"/>
          <w:spacing w:val="-9"/>
          <w:w w:val="105"/>
        </w:rPr>
        <w:t> </w:t>
      </w:r>
      <w:r>
        <w:rPr>
          <w:color w:val="231F20"/>
          <w:w w:val="105"/>
        </w:rPr>
        <w:t>en</w:t>
      </w:r>
      <w:r>
        <w:rPr>
          <w:color w:val="231F20"/>
          <w:spacing w:val="-9"/>
          <w:w w:val="105"/>
        </w:rPr>
        <w:t> </w:t>
      </w:r>
      <w:r>
        <w:rPr>
          <w:color w:val="231F20"/>
          <w:w w:val="105"/>
        </w:rPr>
        <w:t>obras</w:t>
      </w:r>
      <w:r>
        <w:rPr>
          <w:color w:val="231F20"/>
          <w:spacing w:val="-9"/>
          <w:w w:val="105"/>
        </w:rPr>
        <w:t> </w:t>
      </w:r>
      <w:r>
        <w:rPr>
          <w:color w:val="231F20"/>
          <w:w w:val="105"/>
        </w:rPr>
        <w:t>públicas</w:t>
      </w:r>
      <w:r>
        <w:rPr>
          <w:color w:val="231F20"/>
          <w:spacing w:val="-9"/>
          <w:w w:val="105"/>
        </w:rPr>
        <w:t> </w:t>
      </w:r>
      <w:r>
        <w:rPr>
          <w:color w:val="231F20"/>
          <w:w w:val="105"/>
        </w:rPr>
        <w:t>se</w:t>
      </w:r>
      <w:r>
        <w:rPr>
          <w:color w:val="231F20"/>
          <w:spacing w:val="-9"/>
          <w:w w:val="105"/>
        </w:rPr>
        <w:t> </w:t>
      </w:r>
      <w:r>
        <w:rPr>
          <w:color w:val="231F20"/>
          <w:w w:val="105"/>
        </w:rPr>
        <w:t>invirtieron arriba de los 28 millones </w:t>
      </w:r>
      <w:r>
        <w:rPr>
          <w:color w:val="231F20"/>
          <w:spacing w:val="-6"/>
          <w:w w:val="105"/>
        </w:rPr>
        <w:t>(35%). </w:t>
      </w:r>
      <w:r>
        <w:rPr>
          <w:color w:val="231F20"/>
          <w:w w:val="105"/>
        </w:rPr>
        <w:t>En el año </w:t>
      </w:r>
      <w:r>
        <w:rPr>
          <w:color w:val="231F20"/>
          <w:spacing w:val="3"/>
          <w:w w:val="105"/>
        </w:rPr>
        <w:t>2006 </w:t>
      </w:r>
      <w:r>
        <w:rPr>
          <w:color w:val="231F20"/>
          <w:w w:val="105"/>
        </w:rPr>
        <w:t>se gastan en total casi 90 millones de pesos,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48</w:t>
      </w:r>
      <w:r>
        <w:rPr>
          <w:color w:val="231F20"/>
          <w:spacing w:val="-22"/>
          <w:w w:val="105"/>
        </w:rPr>
        <w:t> </w:t>
      </w:r>
      <w:r>
        <w:rPr>
          <w:color w:val="231F20"/>
          <w:w w:val="105"/>
        </w:rPr>
        <w:t>millones</w:t>
      </w:r>
      <w:r>
        <w:rPr>
          <w:color w:val="231F20"/>
          <w:spacing w:val="-22"/>
          <w:w w:val="105"/>
        </w:rPr>
        <w:t> </w:t>
      </w:r>
      <w:r>
        <w:rPr>
          <w:color w:val="231F20"/>
          <w:w w:val="105"/>
        </w:rPr>
        <w:t>se</w:t>
      </w:r>
      <w:r>
        <w:rPr>
          <w:color w:val="231F20"/>
          <w:spacing w:val="-22"/>
          <w:w w:val="105"/>
        </w:rPr>
        <w:t> </w:t>
      </w:r>
      <w:r>
        <w:rPr>
          <w:color w:val="231F20"/>
          <w:w w:val="105"/>
        </w:rPr>
        <w:t>destinaron</w:t>
      </w:r>
      <w:r>
        <w:rPr>
          <w:color w:val="231F20"/>
          <w:spacing w:val="-22"/>
          <w:w w:val="105"/>
        </w:rPr>
        <w:t> </w:t>
      </w:r>
      <w:r>
        <w:rPr>
          <w:color w:val="231F20"/>
          <w:w w:val="105"/>
        </w:rPr>
        <w:t>para</w:t>
      </w:r>
      <w:r>
        <w:rPr>
          <w:color w:val="231F20"/>
          <w:spacing w:val="-22"/>
          <w:w w:val="105"/>
        </w:rPr>
        <w:t> </w:t>
      </w:r>
      <w:r>
        <w:rPr>
          <w:color w:val="231F20"/>
          <w:w w:val="105"/>
        </w:rPr>
        <w:t>el</w:t>
      </w:r>
      <w:r>
        <w:rPr>
          <w:color w:val="231F20"/>
          <w:spacing w:val="-22"/>
          <w:w w:val="105"/>
        </w:rPr>
        <w:t> </w:t>
      </w:r>
      <w:r>
        <w:rPr>
          <w:color w:val="231F20"/>
          <w:w w:val="105"/>
        </w:rPr>
        <w:t>pago</w:t>
      </w:r>
      <w:r>
        <w:rPr>
          <w:color w:val="231F20"/>
          <w:spacing w:val="-22"/>
          <w:w w:val="105"/>
        </w:rPr>
        <w:t> </w:t>
      </w:r>
      <w:r>
        <w:rPr>
          <w:color w:val="231F20"/>
          <w:w w:val="105"/>
        </w:rPr>
        <w:t>de</w:t>
      </w:r>
      <w:r>
        <w:rPr>
          <w:color w:val="231F20"/>
          <w:spacing w:val="-22"/>
          <w:w w:val="105"/>
        </w:rPr>
        <w:t> </w:t>
      </w:r>
      <w:r>
        <w:rPr>
          <w:color w:val="231F20"/>
          <w:w w:val="105"/>
        </w:rPr>
        <w:t>servicios</w:t>
      </w:r>
      <w:r>
        <w:rPr>
          <w:color w:val="231F20"/>
          <w:spacing w:val="-22"/>
          <w:w w:val="105"/>
        </w:rPr>
        <w:t> </w:t>
      </w:r>
      <w:r>
        <w:rPr>
          <w:color w:val="231F20"/>
          <w:w w:val="105"/>
        </w:rPr>
        <w:t>personales</w:t>
      </w:r>
      <w:r>
        <w:rPr>
          <w:color w:val="231F20"/>
          <w:spacing w:val="-22"/>
          <w:w w:val="105"/>
        </w:rPr>
        <w:t> </w:t>
      </w:r>
      <w:r>
        <w:rPr>
          <w:color w:val="231F20"/>
          <w:spacing w:val="-5"/>
          <w:w w:val="105"/>
        </w:rPr>
        <w:t>(53%) </w:t>
      </w:r>
      <w:r>
        <w:rPr>
          <w:color w:val="231F20"/>
          <w:w w:val="105"/>
        </w:rPr>
        <w:t>bastante</w:t>
      </w:r>
      <w:r>
        <w:rPr>
          <w:color w:val="231F20"/>
          <w:spacing w:val="-7"/>
          <w:w w:val="105"/>
        </w:rPr>
        <w:t> </w:t>
      </w:r>
      <w:r>
        <w:rPr>
          <w:color w:val="231F20"/>
          <w:w w:val="105"/>
        </w:rPr>
        <w:t>arriba</w:t>
      </w:r>
      <w:r>
        <w:rPr>
          <w:color w:val="231F20"/>
          <w:spacing w:val="-7"/>
          <w:w w:val="105"/>
        </w:rPr>
        <w:t> </w:t>
      </w:r>
      <w:r>
        <w:rPr>
          <w:color w:val="231F20"/>
          <w:w w:val="105"/>
        </w:rPr>
        <w:t>del</w:t>
      </w:r>
      <w:r>
        <w:rPr>
          <w:color w:val="231F20"/>
          <w:spacing w:val="-7"/>
          <w:w w:val="105"/>
        </w:rPr>
        <w:t> </w:t>
      </w:r>
      <w:r>
        <w:rPr>
          <w:color w:val="231F20"/>
          <w:w w:val="105"/>
        </w:rPr>
        <w:t>año</w:t>
      </w:r>
      <w:r>
        <w:rPr>
          <w:color w:val="231F20"/>
          <w:spacing w:val="-7"/>
          <w:w w:val="105"/>
        </w:rPr>
        <w:t> </w:t>
      </w:r>
      <w:r>
        <w:rPr>
          <w:color w:val="231F20"/>
          <w:w w:val="105"/>
        </w:rPr>
        <w:t>anterior</w:t>
      </w:r>
      <w:r>
        <w:rPr>
          <w:color w:val="231F20"/>
          <w:spacing w:val="-7"/>
          <w:w w:val="105"/>
        </w:rPr>
        <w:t> </w:t>
      </w:r>
      <w:r>
        <w:rPr>
          <w:color w:val="231F20"/>
          <w:w w:val="105"/>
        </w:rPr>
        <w:t>aun</w:t>
      </w:r>
      <w:r>
        <w:rPr>
          <w:color w:val="231F20"/>
          <w:spacing w:val="-7"/>
          <w:w w:val="105"/>
        </w:rPr>
        <w:t> </w:t>
      </w:r>
      <w:r>
        <w:rPr>
          <w:color w:val="231F20"/>
          <w:w w:val="105"/>
        </w:rPr>
        <w:t>cuando</w:t>
      </w:r>
      <w:r>
        <w:rPr>
          <w:color w:val="231F20"/>
          <w:spacing w:val="-7"/>
          <w:w w:val="105"/>
        </w:rPr>
        <w:t> </w:t>
      </w:r>
      <w:r>
        <w:rPr>
          <w:color w:val="231F20"/>
          <w:w w:val="105"/>
        </w:rPr>
        <w:t>el</w:t>
      </w:r>
      <w:r>
        <w:rPr>
          <w:color w:val="231F20"/>
          <w:spacing w:val="-7"/>
          <w:w w:val="105"/>
        </w:rPr>
        <w:t> </w:t>
      </w:r>
      <w:r>
        <w:rPr>
          <w:color w:val="231F20"/>
          <w:w w:val="105"/>
        </w:rPr>
        <w:t>gobierno</w:t>
      </w:r>
      <w:r>
        <w:rPr>
          <w:color w:val="231F20"/>
          <w:spacing w:val="-7"/>
          <w:w w:val="105"/>
        </w:rPr>
        <w:t> </w:t>
      </w:r>
      <w:r>
        <w:rPr>
          <w:color w:val="231F20"/>
          <w:w w:val="105"/>
        </w:rPr>
        <w:t>perredista</w:t>
      </w:r>
      <w:r>
        <w:rPr>
          <w:color w:val="231F20"/>
          <w:spacing w:val="-7"/>
          <w:w w:val="105"/>
        </w:rPr>
        <w:t> </w:t>
      </w:r>
      <w:r>
        <w:rPr>
          <w:color w:val="231F20"/>
          <w:w w:val="105"/>
        </w:rPr>
        <w:t>declaró</w:t>
      </w:r>
      <w:r>
        <w:rPr>
          <w:color w:val="231F20"/>
          <w:spacing w:val="-7"/>
          <w:w w:val="105"/>
        </w:rPr>
        <w:t> </w:t>
      </w:r>
      <w:r>
        <w:rPr>
          <w:color w:val="231F20"/>
          <w:spacing w:val="2"/>
          <w:w w:val="105"/>
        </w:rPr>
        <w:t>al</w:t>
      </w:r>
      <w:r>
        <w:rPr>
          <w:color w:val="231F20"/>
          <w:spacing w:val="-7"/>
          <w:w w:val="105"/>
        </w:rPr>
        <w:t> </w:t>
      </w:r>
      <w:r>
        <w:rPr>
          <w:color w:val="231F20"/>
          <w:w w:val="105"/>
        </w:rPr>
        <w:t>tomar</w:t>
      </w:r>
      <w:r>
        <w:rPr>
          <w:color w:val="231F20"/>
          <w:spacing w:val="-7"/>
          <w:w w:val="105"/>
        </w:rPr>
        <w:t> </w:t>
      </w:r>
      <w:r>
        <w:rPr>
          <w:color w:val="231F20"/>
          <w:w w:val="105"/>
        </w:rPr>
        <w:t>po- sesión</w:t>
      </w:r>
      <w:r>
        <w:rPr>
          <w:color w:val="231F20"/>
          <w:spacing w:val="-13"/>
          <w:w w:val="105"/>
        </w:rPr>
        <w:t> </w:t>
      </w:r>
      <w:r>
        <w:rPr>
          <w:color w:val="231F20"/>
          <w:w w:val="105"/>
        </w:rPr>
        <w:t>que</w:t>
      </w:r>
      <w:r>
        <w:rPr>
          <w:color w:val="231F20"/>
          <w:spacing w:val="-13"/>
          <w:w w:val="105"/>
        </w:rPr>
        <w:t> </w:t>
      </w:r>
      <w:r>
        <w:rPr>
          <w:color w:val="231F20"/>
          <w:w w:val="105"/>
        </w:rPr>
        <w:t>había</w:t>
      </w:r>
      <w:r>
        <w:rPr>
          <w:color w:val="231F20"/>
          <w:spacing w:val="-13"/>
          <w:w w:val="105"/>
        </w:rPr>
        <w:t> </w:t>
      </w:r>
      <w:r>
        <w:rPr>
          <w:color w:val="231F20"/>
          <w:w w:val="105"/>
        </w:rPr>
        <w:t>tomado</w:t>
      </w:r>
      <w:r>
        <w:rPr>
          <w:color w:val="231F20"/>
          <w:spacing w:val="-13"/>
          <w:w w:val="105"/>
        </w:rPr>
        <w:t> </w:t>
      </w:r>
      <w:r>
        <w:rPr>
          <w:color w:val="231F20"/>
          <w:w w:val="105"/>
        </w:rPr>
        <w:t>el</w:t>
      </w:r>
      <w:r>
        <w:rPr>
          <w:color w:val="231F20"/>
          <w:spacing w:val="-13"/>
          <w:w w:val="105"/>
        </w:rPr>
        <w:t> </w:t>
      </w:r>
      <w:r>
        <w:rPr>
          <w:color w:val="231F20"/>
          <w:w w:val="105"/>
        </w:rPr>
        <w:t>acuerdo</w:t>
      </w:r>
      <w:r>
        <w:rPr>
          <w:color w:val="231F20"/>
          <w:spacing w:val="-13"/>
          <w:w w:val="105"/>
        </w:rPr>
        <w:t> </w:t>
      </w:r>
      <w:r>
        <w:rPr>
          <w:color w:val="231F20"/>
          <w:w w:val="105"/>
        </w:rPr>
        <w:t>de</w:t>
      </w:r>
      <w:r>
        <w:rPr>
          <w:color w:val="231F20"/>
          <w:spacing w:val="-13"/>
          <w:w w:val="105"/>
        </w:rPr>
        <w:t> </w:t>
      </w:r>
      <w:r>
        <w:rPr>
          <w:color w:val="231F20"/>
          <w:w w:val="105"/>
        </w:rPr>
        <w:t>bajarse</w:t>
      </w:r>
      <w:r>
        <w:rPr>
          <w:color w:val="231F20"/>
          <w:spacing w:val="-13"/>
          <w:w w:val="105"/>
        </w:rPr>
        <w:t> </w:t>
      </w:r>
      <w:r>
        <w:rPr>
          <w:color w:val="231F20"/>
          <w:w w:val="105"/>
        </w:rPr>
        <w:t>los</w:t>
      </w:r>
      <w:r>
        <w:rPr>
          <w:color w:val="231F20"/>
          <w:spacing w:val="-13"/>
          <w:w w:val="105"/>
        </w:rPr>
        <w:t> </w:t>
      </w:r>
      <w:r>
        <w:rPr>
          <w:color w:val="231F20"/>
          <w:w w:val="105"/>
        </w:rPr>
        <w:t>salarios</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caso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miembros del ayuntamiento, probablemente este incremento se debe a los bonos de despido del ayuntamiento anterior; en obras se invirtió un poco más de </w:t>
      </w:r>
      <w:r>
        <w:rPr>
          <w:color w:val="231F20"/>
          <w:spacing w:val="-5"/>
          <w:w w:val="105"/>
        </w:rPr>
        <w:t>18 </w:t>
      </w:r>
      <w:r>
        <w:rPr>
          <w:color w:val="231F20"/>
          <w:w w:val="105"/>
        </w:rPr>
        <w:t>millones </w:t>
      </w:r>
      <w:r>
        <w:rPr>
          <w:color w:val="231F20"/>
          <w:spacing w:val="-3"/>
          <w:w w:val="105"/>
        </w:rPr>
        <w:t>(20%) </w:t>
      </w:r>
      <w:r>
        <w:rPr>
          <w:color w:val="231F20"/>
          <w:w w:val="105"/>
        </w:rPr>
        <w:t>menos que un año antes. En </w:t>
      </w:r>
      <w:r>
        <w:rPr>
          <w:color w:val="231F20"/>
          <w:spacing w:val="-3"/>
          <w:w w:val="105"/>
        </w:rPr>
        <w:t>2007, </w:t>
      </w:r>
      <w:r>
        <w:rPr>
          <w:color w:val="231F20"/>
          <w:w w:val="105"/>
        </w:rPr>
        <w:t>el egreso ascendió a 92 millones de pesos, de </w:t>
      </w:r>
      <w:r>
        <w:rPr>
          <w:color w:val="231F20"/>
          <w:spacing w:val="2"/>
          <w:w w:val="105"/>
        </w:rPr>
        <w:t>ahí </w:t>
      </w:r>
      <w:r>
        <w:rPr>
          <w:color w:val="231F20"/>
          <w:w w:val="105"/>
        </w:rPr>
        <w:t>se pagó 46 millones a servicios personales </w:t>
      </w:r>
      <w:r>
        <w:rPr>
          <w:color w:val="231F20"/>
          <w:spacing w:val="-4"/>
          <w:w w:val="105"/>
        </w:rPr>
        <w:t>(50%); </w:t>
      </w:r>
      <w:r>
        <w:rPr>
          <w:color w:val="231F20"/>
          <w:w w:val="105"/>
        </w:rPr>
        <w:t>en obras </w:t>
      </w:r>
      <w:r>
        <w:rPr>
          <w:color w:val="231F20"/>
          <w:spacing w:val="-4"/>
          <w:w w:val="105"/>
        </w:rPr>
        <w:t>21 </w:t>
      </w:r>
      <w:r>
        <w:rPr>
          <w:color w:val="231F20"/>
          <w:w w:val="105"/>
        </w:rPr>
        <w:t>millones </w:t>
      </w:r>
      <w:r>
        <w:rPr>
          <w:color w:val="231F20"/>
          <w:spacing w:val="-5"/>
          <w:w w:val="105"/>
        </w:rPr>
        <w:t>(22%). </w:t>
      </w:r>
      <w:r>
        <w:rPr>
          <w:color w:val="231F20"/>
          <w:w w:val="105"/>
        </w:rPr>
        <w:t>En el año </w:t>
      </w:r>
      <w:r>
        <w:rPr>
          <w:color w:val="231F20"/>
          <w:spacing w:val="3"/>
          <w:w w:val="105"/>
        </w:rPr>
        <w:t>2008 </w:t>
      </w:r>
      <w:r>
        <w:rPr>
          <w:color w:val="231F20"/>
          <w:w w:val="105"/>
        </w:rPr>
        <w:t>egresaron</w:t>
      </w:r>
      <w:r>
        <w:rPr>
          <w:color w:val="231F20"/>
          <w:spacing w:val="-21"/>
          <w:w w:val="105"/>
        </w:rPr>
        <w:t> </w:t>
      </w:r>
      <w:r>
        <w:rPr>
          <w:color w:val="231F20"/>
          <w:w w:val="105"/>
        </w:rPr>
        <w:t>127</w:t>
      </w:r>
      <w:r>
        <w:rPr>
          <w:color w:val="231F20"/>
          <w:spacing w:val="-21"/>
          <w:w w:val="105"/>
        </w:rPr>
        <w:t> </w:t>
      </w:r>
      <w:r>
        <w:rPr>
          <w:color w:val="231F20"/>
          <w:w w:val="105"/>
        </w:rPr>
        <w:t>millones</w:t>
      </w:r>
      <w:r>
        <w:rPr>
          <w:color w:val="231F20"/>
          <w:spacing w:val="-21"/>
          <w:w w:val="105"/>
        </w:rPr>
        <w:t> </w:t>
      </w:r>
      <w:r>
        <w:rPr>
          <w:color w:val="231F20"/>
          <w:w w:val="105"/>
        </w:rPr>
        <w:t>de</w:t>
      </w:r>
      <w:r>
        <w:rPr>
          <w:color w:val="231F20"/>
          <w:spacing w:val="-21"/>
          <w:w w:val="105"/>
        </w:rPr>
        <w:t> </w:t>
      </w:r>
      <w:r>
        <w:rPr>
          <w:color w:val="231F20"/>
          <w:w w:val="105"/>
        </w:rPr>
        <w:t>pesos,</w:t>
      </w:r>
      <w:r>
        <w:rPr>
          <w:color w:val="231F20"/>
          <w:spacing w:val="-21"/>
          <w:w w:val="105"/>
        </w:rPr>
        <w:t> </w:t>
      </w:r>
      <w:r>
        <w:rPr>
          <w:color w:val="231F20"/>
          <w:w w:val="105"/>
        </w:rPr>
        <w:t>de</w:t>
      </w:r>
      <w:r>
        <w:rPr>
          <w:color w:val="231F20"/>
          <w:spacing w:val="-21"/>
          <w:w w:val="105"/>
        </w:rPr>
        <w:t> </w:t>
      </w:r>
      <w:r>
        <w:rPr>
          <w:color w:val="231F20"/>
          <w:spacing w:val="2"/>
          <w:w w:val="105"/>
        </w:rPr>
        <w:t>ahí</w:t>
      </w:r>
      <w:r>
        <w:rPr>
          <w:color w:val="231F20"/>
          <w:spacing w:val="-21"/>
          <w:w w:val="105"/>
        </w:rPr>
        <w:t> </w:t>
      </w:r>
      <w:r>
        <w:rPr>
          <w:color w:val="231F20"/>
          <w:w w:val="105"/>
        </w:rPr>
        <w:t>se</w:t>
      </w:r>
      <w:r>
        <w:rPr>
          <w:color w:val="231F20"/>
          <w:spacing w:val="-21"/>
          <w:w w:val="105"/>
        </w:rPr>
        <w:t> </w:t>
      </w:r>
      <w:r>
        <w:rPr>
          <w:color w:val="231F20"/>
          <w:w w:val="105"/>
        </w:rPr>
        <w:t>pagó</w:t>
      </w:r>
      <w:r>
        <w:rPr>
          <w:color w:val="231F20"/>
          <w:spacing w:val="-21"/>
          <w:w w:val="105"/>
        </w:rPr>
        <w:t> </w:t>
      </w:r>
      <w:r>
        <w:rPr>
          <w:color w:val="231F20"/>
          <w:w w:val="105"/>
        </w:rPr>
        <w:t>casi</w:t>
      </w:r>
      <w:r>
        <w:rPr>
          <w:color w:val="231F20"/>
          <w:spacing w:val="-21"/>
          <w:w w:val="105"/>
        </w:rPr>
        <w:t> </w:t>
      </w:r>
      <w:r>
        <w:rPr>
          <w:color w:val="231F20"/>
          <w:w w:val="105"/>
        </w:rPr>
        <w:t>53</w:t>
      </w:r>
      <w:r>
        <w:rPr>
          <w:color w:val="231F20"/>
          <w:spacing w:val="-21"/>
          <w:w w:val="105"/>
        </w:rPr>
        <w:t> </w:t>
      </w:r>
      <w:r>
        <w:rPr>
          <w:color w:val="231F20"/>
          <w:w w:val="105"/>
        </w:rPr>
        <w:t>millones</w:t>
      </w:r>
      <w:r>
        <w:rPr>
          <w:color w:val="231F20"/>
          <w:spacing w:val="-21"/>
          <w:w w:val="105"/>
        </w:rPr>
        <w:t> </w:t>
      </w:r>
      <w:r>
        <w:rPr>
          <w:color w:val="231F20"/>
          <w:w w:val="105"/>
        </w:rPr>
        <w:t>en</w:t>
      </w:r>
      <w:r>
        <w:rPr>
          <w:color w:val="231F20"/>
          <w:spacing w:val="-21"/>
          <w:w w:val="105"/>
        </w:rPr>
        <w:t> </w:t>
      </w:r>
      <w:r>
        <w:rPr>
          <w:color w:val="231F20"/>
          <w:w w:val="105"/>
        </w:rPr>
        <w:t>servicios</w:t>
      </w:r>
      <w:r>
        <w:rPr>
          <w:color w:val="231F20"/>
          <w:spacing w:val="-21"/>
          <w:w w:val="105"/>
        </w:rPr>
        <w:t> </w:t>
      </w:r>
      <w:r>
        <w:rPr>
          <w:color w:val="231F20"/>
          <w:w w:val="105"/>
        </w:rPr>
        <w:t>personales </w:t>
      </w:r>
      <w:r>
        <w:rPr>
          <w:color w:val="231F20"/>
          <w:spacing w:val="-6"/>
          <w:w w:val="105"/>
        </w:rPr>
        <w:t>(41.7%)</w:t>
      </w:r>
      <w:r>
        <w:rPr>
          <w:color w:val="231F20"/>
          <w:spacing w:val="-26"/>
          <w:w w:val="105"/>
        </w:rPr>
        <w:t> </w:t>
      </w:r>
      <w:r>
        <w:rPr>
          <w:color w:val="231F20"/>
          <w:w w:val="105"/>
        </w:rPr>
        <w:t>y</w:t>
      </w:r>
      <w:r>
        <w:rPr>
          <w:color w:val="231F20"/>
          <w:spacing w:val="-26"/>
          <w:w w:val="105"/>
        </w:rPr>
        <w:t> </w:t>
      </w:r>
      <w:r>
        <w:rPr>
          <w:color w:val="231F20"/>
          <w:w w:val="105"/>
        </w:rPr>
        <w:t>en</w:t>
      </w:r>
      <w:r>
        <w:rPr>
          <w:color w:val="231F20"/>
          <w:spacing w:val="-26"/>
          <w:w w:val="105"/>
        </w:rPr>
        <w:t> </w:t>
      </w:r>
      <w:r>
        <w:rPr>
          <w:color w:val="231F20"/>
          <w:w w:val="105"/>
        </w:rPr>
        <w:t>obras</w:t>
      </w:r>
      <w:r>
        <w:rPr>
          <w:color w:val="231F20"/>
          <w:spacing w:val="-26"/>
          <w:w w:val="105"/>
        </w:rPr>
        <w:t> </w:t>
      </w:r>
      <w:r>
        <w:rPr>
          <w:color w:val="231F20"/>
          <w:w w:val="105"/>
        </w:rPr>
        <w:t>se</w:t>
      </w:r>
      <w:r>
        <w:rPr>
          <w:color w:val="231F20"/>
          <w:spacing w:val="-26"/>
          <w:w w:val="105"/>
        </w:rPr>
        <w:t> </w:t>
      </w:r>
      <w:r>
        <w:rPr>
          <w:color w:val="231F20"/>
          <w:w w:val="105"/>
        </w:rPr>
        <w:t>destinaron</w:t>
      </w:r>
      <w:r>
        <w:rPr>
          <w:color w:val="231F20"/>
          <w:spacing w:val="-26"/>
          <w:w w:val="105"/>
        </w:rPr>
        <w:t> </w:t>
      </w:r>
      <w:r>
        <w:rPr>
          <w:color w:val="231F20"/>
          <w:w w:val="105"/>
        </w:rPr>
        <w:t>32</w:t>
      </w:r>
      <w:r>
        <w:rPr>
          <w:color w:val="231F20"/>
          <w:spacing w:val="-26"/>
          <w:w w:val="105"/>
        </w:rPr>
        <w:t> </w:t>
      </w:r>
      <w:r>
        <w:rPr>
          <w:color w:val="231F20"/>
          <w:w w:val="105"/>
        </w:rPr>
        <w:t>millones</w:t>
      </w:r>
      <w:r>
        <w:rPr>
          <w:color w:val="231F20"/>
          <w:spacing w:val="-26"/>
          <w:w w:val="105"/>
        </w:rPr>
        <w:t> </w:t>
      </w:r>
      <w:r>
        <w:rPr>
          <w:color w:val="231F20"/>
          <w:spacing w:val="-5"/>
          <w:w w:val="105"/>
        </w:rPr>
        <w:t>(25%).</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28"/>
        <w:jc w:val="both"/>
      </w:pPr>
      <w:r>
        <w:rPr>
          <w:color w:val="231F20"/>
          <w:w w:val="105"/>
        </w:rPr>
        <w:t>Los datos anteriores coinciden con lo que el presidente municipal declaró en su entre- </w:t>
      </w:r>
      <w:r>
        <w:rPr>
          <w:color w:val="231F20"/>
          <w:spacing w:val="2"/>
          <w:w w:val="105"/>
        </w:rPr>
        <w:t>vista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sentido</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gobierno</w:t>
      </w:r>
      <w:r>
        <w:rPr>
          <w:color w:val="231F20"/>
          <w:spacing w:val="-10"/>
          <w:w w:val="105"/>
        </w:rPr>
        <w:t> </w:t>
      </w:r>
      <w:r>
        <w:rPr>
          <w:color w:val="231F20"/>
          <w:w w:val="105"/>
        </w:rPr>
        <w:t>hubo</w:t>
      </w:r>
      <w:r>
        <w:rPr>
          <w:color w:val="231F20"/>
          <w:spacing w:val="-10"/>
          <w:w w:val="105"/>
        </w:rPr>
        <w:t> </w:t>
      </w:r>
      <w:r>
        <w:rPr>
          <w:color w:val="231F20"/>
          <w:w w:val="105"/>
        </w:rPr>
        <w:t>una</w:t>
      </w:r>
      <w:r>
        <w:rPr>
          <w:color w:val="231F20"/>
          <w:spacing w:val="-10"/>
          <w:w w:val="105"/>
        </w:rPr>
        <w:t> </w:t>
      </w:r>
      <w:r>
        <w:rPr>
          <w:color w:val="231F20"/>
          <w:w w:val="105"/>
        </w:rPr>
        <w:t>reducción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nómina.</w:t>
      </w:r>
      <w:r>
        <w:rPr>
          <w:color w:val="231F20"/>
          <w:spacing w:val="-10"/>
          <w:w w:val="105"/>
        </w:rPr>
        <w:t> </w:t>
      </w:r>
      <w:r>
        <w:rPr>
          <w:color w:val="231F20"/>
          <w:w w:val="105"/>
        </w:rPr>
        <w:t>Acción</w:t>
      </w:r>
      <w:r>
        <w:rPr>
          <w:color w:val="231F20"/>
          <w:spacing w:val="-10"/>
          <w:w w:val="105"/>
        </w:rPr>
        <w:t> </w:t>
      </w:r>
      <w:r>
        <w:rPr>
          <w:color w:val="231F20"/>
          <w:w w:val="105"/>
        </w:rPr>
        <w:t>que los gobiernos perredistas aplicaron en la mayoría de los gobiernos municipales como promesa</w:t>
      </w:r>
      <w:r>
        <w:rPr>
          <w:color w:val="231F20"/>
          <w:spacing w:val="-15"/>
          <w:w w:val="105"/>
        </w:rPr>
        <w:t> </w:t>
      </w:r>
      <w:r>
        <w:rPr>
          <w:color w:val="231F20"/>
          <w:w w:val="105"/>
        </w:rPr>
        <w:t>de</w:t>
      </w:r>
      <w:r>
        <w:rPr>
          <w:color w:val="231F20"/>
          <w:spacing w:val="-15"/>
          <w:w w:val="105"/>
        </w:rPr>
        <w:t> </w:t>
      </w:r>
      <w:r>
        <w:rPr>
          <w:color w:val="231F20"/>
          <w:w w:val="105"/>
        </w:rPr>
        <w:t>campaña.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Amecameca,</w:t>
      </w:r>
      <w:r>
        <w:rPr>
          <w:color w:val="231F20"/>
          <w:spacing w:val="-15"/>
          <w:w w:val="105"/>
        </w:rPr>
        <w:t> </w:t>
      </w:r>
      <w:r>
        <w:rPr>
          <w:color w:val="231F20"/>
          <w:w w:val="105"/>
        </w:rPr>
        <w:t>sí</w:t>
      </w:r>
      <w:r>
        <w:rPr>
          <w:color w:val="231F20"/>
          <w:spacing w:val="-15"/>
          <w:w w:val="105"/>
        </w:rPr>
        <w:t> </w:t>
      </w:r>
      <w:r>
        <w:rPr>
          <w:color w:val="231F20"/>
          <w:w w:val="105"/>
        </w:rPr>
        <w:t>cumplieron</w:t>
      </w:r>
      <w:r>
        <w:rPr>
          <w:color w:val="231F20"/>
          <w:spacing w:val="-15"/>
          <w:w w:val="105"/>
        </w:rPr>
        <w:t> </w:t>
      </w:r>
      <w:r>
        <w:rPr>
          <w:color w:val="231F20"/>
          <w:spacing w:val="-3"/>
          <w:w w:val="105"/>
        </w:rPr>
        <w:t>(Guerrero,</w:t>
      </w:r>
      <w:r>
        <w:rPr>
          <w:color w:val="231F20"/>
          <w:spacing w:val="-15"/>
          <w:w w:val="105"/>
        </w:rPr>
        <w:t> </w:t>
      </w:r>
      <w:r>
        <w:rPr>
          <w:color w:val="231F20"/>
          <w:w w:val="105"/>
        </w:rPr>
        <w:t>2008).</w:t>
      </w:r>
    </w:p>
    <w:p>
      <w:pPr>
        <w:pStyle w:val="BodyText"/>
        <w:spacing w:before="1"/>
        <w:rPr>
          <w:sz w:val="26"/>
        </w:rPr>
      </w:pPr>
    </w:p>
    <w:p>
      <w:pPr>
        <w:pStyle w:val="BodyText"/>
        <w:spacing w:line="285" w:lineRule="auto"/>
        <w:ind w:left="110" w:right="127"/>
        <w:jc w:val="both"/>
      </w:pPr>
      <w:r>
        <w:rPr>
          <w:color w:val="231F20"/>
          <w:w w:val="105"/>
        </w:rPr>
        <w:t>Como</w:t>
      </w:r>
      <w:r>
        <w:rPr>
          <w:color w:val="231F20"/>
          <w:spacing w:val="-13"/>
          <w:w w:val="105"/>
        </w:rPr>
        <w:t> </w:t>
      </w:r>
      <w:r>
        <w:rPr>
          <w:color w:val="231F20"/>
          <w:w w:val="105"/>
        </w:rPr>
        <w:t>puede</w:t>
      </w:r>
      <w:r>
        <w:rPr>
          <w:color w:val="231F20"/>
          <w:spacing w:val="-13"/>
          <w:w w:val="105"/>
        </w:rPr>
        <w:t> </w:t>
      </w:r>
      <w:r>
        <w:rPr>
          <w:color w:val="231F20"/>
          <w:w w:val="105"/>
        </w:rPr>
        <w:t>desprenderse</w:t>
      </w:r>
      <w:r>
        <w:rPr>
          <w:color w:val="231F20"/>
          <w:spacing w:val="-13"/>
          <w:w w:val="105"/>
        </w:rPr>
        <w:t> </w:t>
      </w:r>
      <w:r>
        <w:rPr>
          <w:color w:val="231F20"/>
          <w:w w:val="105"/>
        </w:rPr>
        <w:t>de</w:t>
      </w:r>
      <w:r>
        <w:rPr>
          <w:color w:val="231F20"/>
          <w:spacing w:val="-13"/>
          <w:w w:val="105"/>
        </w:rPr>
        <w:t> </w:t>
      </w:r>
      <w:r>
        <w:rPr>
          <w:color w:val="231F20"/>
          <w:w w:val="105"/>
        </w:rPr>
        <w:t>lo</w:t>
      </w:r>
      <w:r>
        <w:rPr>
          <w:color w:val="231F20"/>
          <w:spacing w:val="-13"/>
          <w:w w:val="105"/>
        </w:rPr>
        <w:t> </w:t>
      </w:r>
      <w:r>
        <w:rPr>
          <w:color w:val="231F20"/>
          <w:w w:val="105"/>
        </w:rPr>
        <w:t>descrito</w:t>
      </w:r>
      <w:r>
        <w:rPr>
          <w:color w:val="231F20"/>
          <w:spacing w:val="-13"/>
          <w:w w:val="105"/>
        </w:rPr>
        <w:t> </w:t>
      </w:r>
      <w:r>
        <w:rPr>
          <w:color w:val="231F20"/>
          <w:w w:val="105"/>
        </w:rPr>
        <w:t>y</w:t>
      </w:r>
      <w:r>
        <w:rPr>
          <w:color w:val="231F20"/>
          <w:spacing w:val="-13"/>
          <w:w w:val="105"/>
        </w:rPr>
        <w:t> </w:t>
      </w:r>
      <w:r>
        <w:rPr>
          <w:color w:val="231F20"/>
          <w:w w:val="105"/>
        </w:rPr>
        <w:t>según</w:t>
      </w:r>
      <w:r>
        <w:rPr>
          <w:color w:val="231F20"/>
          <w:spacing w:val="-13"/>
          <w:w w:val="105"/>
        </w:rPr>
        <w:t> </w:t>
      </w:r>
      <w:r>
        <w:rPr>
          <w:color w:val="231F20"/>
          <w:w w:val="105"/>
        </w:rPr>
        <w:t>la</w:t>
      </w:r>
      <w:r>
        <w:rPr>
          <w:color w:val="231F20"/>
          <w:spacing w:val="-13"/>
          <w:w w:val="105"/>
        </w:rPr>
        <w:t> </w:t>
      </w:r>
      <w:r>
        <w:rPr>
          <w:color w:val="231F20"/>
          <w:w w:val="105"/>
        </w:rPr>
        <w:t>gráfica</w:t>
      </w:r>
      <w:r>
        <w:rPr>
          <w:color w:val="231F20"/>
          <w:spacing w:val="-13"/>
          <w:w w:val="105"/>
        </w:rPr>
        <w:t> </w:t>
      </w:r>
      <w:r>
        <w:rPr>
          <w:color w:val="231F20"/>
          <w:w w:val="105"/>
        </w:rPr>
        <w:t>Nº</w:t>
      </w:r>
      <w:r>
        <w:rPr>
          <w:color w:val="231F20"/>
          <w:spacing w:val="-13"/>
          <w:w w:val="105"/>
        </w:rPr>
        <w:t> </w:t>
      </w:r>
      <w:r>
        <w:rPr>
          <w:color w:val="231F20"/>
          <w:w w:val="105"/>
        </w:rPr>
        <w:t>4,</w:t>
      </w:r>
      <w:r>
        <w:rPr>
          <w:color w:val="231F20"/>
          <w:spacing w:val="-13"/>
          <w:w w:val="105"/>
        </w:rPr>
        <w:t> </w:t>
      </w:r>
      <w:r>
        <w:rPr>
          <w:color w:val="231F20"/>
          <w:w w:val="105"/>
        </w:rPr>
        <w:t>el</w:t>
      </w:r>
      <w:r>
        <w:rPr>
          <w:color w:val="231F20"/>
          <w:spacing w:val="-13"/>
          <w:w w:val="105"/>
        </w:rPr>
        <w:t> </w:t>
      </w:r>
      <w:r>
        <w:rPr>
          <w:color w:val="231F20"/>
          <w:w w:val="105"/>
        </w:rPr>
        <w:t>gasto</w:t>
      </w:r>
      <w:r>
        <w:rPr>
          <w:color w:val="231F20"/>
          <w:spacing w:val="-13"/>
          <w:w w:val="105"/>
        </w:rPr>
        <w:t> </w:t>
      </w:r>
      <w:r>
        <w:rPr>
          <w:color w:val="231F20"/>
          <w:w w:val="105"/>
        </w:rPr>
        <w:t>corriente</w:t>
      </w:r>
      <w:r>
        <w:rPr>
          <w:color w:val="231F20"/>
          <w:spacing w:val="-13"/>
          <w:w w:val="105"/>
        </w:rPr>
        <w:t> </w:t>
      </w:r>
      <w:r>
        <w:rPr>
          <w:color w:val="231F20"/>
          <w:w w:val="105"/>
        </w:rPr>
        <w:t>en</w:t>
      </w:r>
      <w:r>
        <w:rPr>
          <w:color w:val="231F20"/>
          <w:spacing w:val="-13"/>
          <w:w w:val="105"/>
        </w:rPr>
        <w:t> </w:t>
      </w:r>
      <w:r>
        <w:rPr>
          <w:color w:val="231F20"/>
          <w:w w:val="105"/>
        </w:rPr>
        <w:t>el municipio</w:t>
      </w:r>
      <w:r>
        <w:rPr>
          <w:color w:val="231F20"/>
          <w:spacing w:val="-18"/>
          <w:w w:val="105"/>
        </w:rPr>
        <w:t> </w:t>
      </w:r>
      <w:r>
        <w:rPr>
          <w:color w:val="231F20"/>
          <w:w w:val="105"/>
        </w:rPr>
        <w:t>es</w:t>
      </w:r>
      <w:r>
        <w:rPr>
          <w:color w:val="231F20"/>
          <w:spacing w:val="-18"/>
          <w:w w:val="105"/>
        </w:rPr>
        <w:t> </w:t>
      </w:r>
      <w:r>
        <w:rPr>
          <w:color w:val="231F20"/>
          <w:w w:val="105"/>
        </w:rPr>
        <w:t>mayor</w:t>
      </w:r>
      <w:r>
        <w:rPr>
          <w:color w:val="231F20"/>
          <w:spacing w:val="-18"/>
          <w:w w:val="105"/>
        </w:rPr>
        <w:t> </w:t>
      </w:r>
      <w:r>
        <w:rPr>
          <w:color w:val="231F20"/>
          <w:spacing w:val="2"/>
          <w:w w:val="105"/>
        </w:rPr>
        <w:t>al</w:t>
      </w:r>
      <w:r>
        <w:rPr>
          <w:color w:val="231F20"/>
          <w:spacing w:val="-18"/>
          <w:w w:val="105"/>
        </w:rPr>
        <w:t> </w:t>
      </w:r>
      <w:r>
        <w:rPr>
          <w:color w:val="231F20"/>
          <w:w w:val="105"/>
        </w:rPr>
        <w:t>50%,</w:t>
      </w:r>
      <w:r>
        <w:rPr>
          <w:color w:val="231F20"/>
          <w:spacing w:val="-18"/>
          <w:w w:val="105"/>
        </w:rPr>
        <w:t> </w:t>
      </w:r>
      <w:r>
        <w:rPr>
          <w:color w:val="231F20"/>
          <w:w w:val="105"/>
        </w:rPr>
        <w:t>pues</w:t>
      </w:r>
      <w:r>
        <w:rPr>
          <w:color w:val="231F20"/>
          <w:spacing w:val="-18"/>
          <w:w w:val="105"/>
        </w:rPr>
        <w:t> </w:t>
      </w:r>
      <w:r>
        <w:rPr>
          <w:color w:val="231F20"/>
          <w:w w:val="105"/>
        </w:rPr>
        <w:t>se</w:t>
      </w:r>
      <w:r>
        <w:rPr>
          <w:color w:val="231F20"/>
          <w:spacing w:val="-18"/>
          <w:w w:val="105"/>
        </w:rPr>
        <w:t> </w:t>
      </w:r>
      <w:r>
        <w:rPr>
          <w:color w:val="231F20"/>
          <w:w w:val="105"/>
        </w:rPr>
        <w:t>integra</w:t>
      </w:r>
      <w:r>
        <w:rPr>
          <w:color w:val="231F20"/>
          <w:spacing w:val="-18"/>
          <w:w w:val="105"/>
        </w:rPr>
        <w:t> </w:t>
      </w:r>
      <w:r>
        <w:rPr>
          <w:color w:val="231F20"/>
          <w:w w:val="105"/>
        </w:rPr>
        <w:t>por</w:t>
      </w:r>
      <w:r>
        <w:rPr>
          <w:color w:val="231F20"/>
          <w:spacing w:val="-18"/>
          <w:w w:val="105"/>
        </w:rPr>
        <w:t> </w:t>
      </w:r>
      <w:r>
        <w:rPr>
          <w:color w:val="231F20"/>
          <w:w w:val="105"/>
        </w:rPr>
        <w:t>servicios</w:t>
      </w:r>
      <w:r>
        <w:rPr>
          <w:color w:val="231F20"/>
          <w:spacing w:val="-18"/>
          <w:w w:val="105"/>
        </w:rPr>
        <w:t> </w:t>
      </w:r>
      <w:r>
        <w:rPr>
          <w:color w:val="231F20"/>
          <w:w w:val="105"/>
        </w:rPr>
        <w:t>personales,</w:t>
      </w:r>
      <w:r>
        <w:rPr>
          <w:color w:val="231F20"/>
          <w:spacing w:val="-18"/>
          <w:w w:val="105"/>
        </w:rPr>
        <w:t> </w:t>
      </w:r>
      <w:r>
        <w:rPr>
          <w:color w:val="231F20"/>
          <w:w w:val="105"/>
        </w:rPr>
        <w:t>materiales</w:t>
      </w:r>
      <w:r>
        <w:rPr>
          <w:color w:val="231F20"/>
          <w:spacing w:val="-18"/>
          <w:w w:val="105"/>
        </w:rPr>
        <w:t> </w:t>
      </w:r>
      <w:r>
        <w:rPr>
          <w:color w:val="231F20"/>
          <w:w w:val="105"/>
        </w:rPr>
        <w:t>y</w:t>
      </w:r>
      <w:r>
        <w:rPr>
          <w:color w:val="231F20"/>
          <w:spacing w:val="-18"/>
          <w:w w:val="105"/>
        </w:rPr>
        <w:t> </w:t>
      </w:r>
      <w:r>
        <w:rPr>
          <w:color w:val="231F20"/>
          <w:w w:val="105"/>
        </w:rPr>
        <w:t>sumi- nistros</w:t>
      </w:r>
      <w:r>
        <w:rPr>
          <w:color w:val="231F20"/>
          <w:spacing w:val="-26"/>
          <w:w w:val="105"/>
        </w:rPr>
        <w:t> </w:t>
      </w:r>
      <w:r>
        <w:rPr>
          <w:color w:val="231F20"/>
          <w:w w:val="105"/>
        </w:rPr>
        <w:t>y</w:t>
      </w:r>
      <w:r>
        <w:rPr>
          <w:color w:val="231F20"/>
          <w:spacing w:val="-26"/>
          <w:w w:val="105"/>
        </w:rPr>
        <w:t> </w:t>
      </w:r>
      <w:r>
        <w:rPr>
          <w:color w:val="231F20"/>
          <w:w w:val="105"/>
        </w:rPr>
        <w:t>servicios</w:t>
      </w:r>
      <w:r>
        <w:rPr>
          <w:color w:val="231F20"/>
          <w:spacing w:val="-26"/>
          <w:w w:val="105"/>
        </w:rPr>
        <w:t> </w:t>
      </w:r>
      <w:r>
        <w:rPr>
          <w:color w:val="231F20"/>
          <w:w w:val="105"/>
        </w:rPr>
        <w:t>generales.</w:t>
      </w:r>
      <w:r>
        <w:rPr>
          <w:color w:val="231F20"/>
          <w:spacing w:val="-26"/>
          <w:w w:val="105"/>
        </w:rPr>
        <w:t> </w:t>
      </w:r>
      <w:r>
        <w:rPr>
          <w:color w:val="231F20"/>
          <w:w w:val="105"/>
        </w:rPr>
        <w:t>Las</w:t>
      </w:r>
      <w:r>
        <w:rPr>
          <w:color w:val="231F20"/>
          <w:spacing w:val="-26"/>
          <w:w w:val="105"/>
        </w:rPr>
        <w:t> </w:t>
      </w:r>
      <w:r>
        <w:rPr>
          <w:color w:val="231F20"/>
          <w:w w:val="105"/>
        </w:rPr>
        <w:t>transferencias</w:t>
      </w:r>
      <w:r>
        <w:rPr>
          <w:color w:val="231F20"/>
          <w:spacing w:val="-26"/>
          <w:w w:val="105"/>
        </w:rPr>
        <w:t> </w:t>
      </w:r>
      <w:r>
        <w:rPr>
          <w:color w:val="231F20"/>
          <w:w w:val="105"/>
        </w:rPr>
        <w:t>son</w:t>
      </w:r>
      <w:r>
        <w:rPr>
          <w:color w:val="231F20"/>
          <w:spacing w:val="-26"/>
          <w:w w:val="105"/>
        </w:rPr>
        <w:t> </w:t>
      </w:r>
      <w:r>
        <w:rPr>
          <w:color w:val="231F20"/>
          <w:w w:val="105"/>
        </w:rPr>
        <w:t>del</w:t>
      </w:r>
      <w:r>
        <w:rPr>
          <w:color w:val="231F20"/>
          <w:spacing w:val="-26"/>
          <w:w w:val="105"/>
        </w:rPr>
        <w:t> </w:t>
      </w:r>
      <w:r>
        <w:rPr>
          <w:color w:val="231F20"/>
          <w:w w:val="105"/>
        </w:rPr>
        <w:t>12%,</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destina</w:t>
      </w:r>
      <w:r>
        <w:rPr>
          <w:color w:val="231F20"/>
          <w:spacing w:val="-26"/>
          <w:w w:val="105"/>
        </w:rPr>
        <w:t> </w:t>
      </w:r>
      <w:r>
        <w:rPr>
          <w:color w:val="231F20"/>
          <w:spacing w:val="2"/>
          <w:w w:val="105"/>
        </w:rPr>
        <w:t>al</w:t>
      </w:r>
      <w:r>
        <w:rPr>
          <w:color w:val="231F20"/>
          <w:spacing w:val="-26"/>
          <w:w w:val="105"/>
        </w:rPr>
        <w:t> </w:t>
      </w:r>
      <w:r>
        <w:rPr>
          <w:color w:val="231F20"/>
          <w:w w:val="105"/>
        </w:rPr>
        <w:t>gasto</w:t>
      </w:r>
      <w:r>
        <w:rPr>
          <w:color w:val="231F20"/>
          <w:spacing w:val="-26"/>
          <w:w w:val="105"/>
        </w:rPr>
        <w:t> </w:t>
      </w:r>
      <w:r>
        <w:rPr>
          <w:color w:val="231F20"/>
          <w:w w:val="105"/>
        </w:rPr>
        <w:t>de inversión</w:t>
      </w:r>
      <w:r>
        <w:rPr>
          <w:color w:val="231F20"/>
          <w:spacing w:val="-26"/>
          <w:w w:val="105"/>
        </w:rPr>
        <w:t> </w:t>
      </w:r>
      <w:r>
        <w:rPr>
          <w:color w:val="231F20"/>
          <w:w w:val="105"/>
        </w:rPr>
        <w:t>y</w:t>
      </w:r>
      <w:r>
        <w:rPr>
          <w:color w:val="231F20"/>
          <w:spacing w:val="-26"/>
          <w:w w:val="105"/>
        </w:rPr>
        <w:t> </w:t>
      </w:r>
      <w:r>
        <w:rPr>
          <w:color w:val="231F20"/>
          <w:w w:val="105"/>
        </w:rPr>
        <w:t>obra</w:t>
      </w:r>
      <w:r>
        <w:rPr>
          <w:color w:val="231F20"/>
          <w:spacing w:val="-26"/>
          <w:w w:val="105"/>
        </w:rPr>
        <w:t> </w:t>
      </w:r>
      <w:r>
        <w:rPr>
          <w:color w:val="231F20"/>
          <w:w w:val="105"/>
        </w:rPr>
        <w:t>pública</w:t>
      </w:r>
      <w:r>
        <w:rPr>
          <w:color w:val="231F20"/>
          <w:spacing w:val="-26"/>
          <w:w w:val="105"/>
        </w:rPr>
        <w:t> </w:t>
      </w:r>
      <w:r>
        <w:rPr>
          <w:color w:val="231F20"/>
          <w:w w:val="105"/>
        </w:rPr>
        <w:t>es</w:t>
      </w:r>
      <w:r>
        <w:rPr>
          <w:color w:val="231F20"/>
          <w:spacing w:val="-26"/>
          <w:w w:val="105"/>
        </w:rPr>
        <w:t> </w:t>
      </w:r>
      <w:r>
        <w:rPr>
          <w:color w:val="231F20"/>
          <w:w w:val="105"/>
        </w:rPr>
        <w:t>del</w:t>
      </w:r>
      <w:r>
        <w:rPr>
          <w:color w:val="231F20"/>
          <w:spacing w:val="-26"/>
          <w:w w:val="105"/>
        </w:rPr>
        <w:t> </w:t>
      </w:r>
      <w:r>
        <w:rPr>
          <w:color w:val="231F20"/>
          <w:w w:val="105"/>
        </w:rPr>
        <w:t>32%</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deuda</w:t>
      </w:r>
      <w:r>
        <w:rPr>
          <w:color w:val="231F20"/>
          <w:spacing w:val="-26"/>
          <w:w w:val="105"/>
        </w:rPr>
        <w:t> </w:t>
      </w:r>
      <w:r>
        <w:rPr>
          <w:color w:val="231F20"/>
          <w:w w:val="105"/>
        </w:rPr>
        <w:t>pública</w:t>
      </w:r>
      <w:r>
        <w:rPr>
          <w:color w:val="231F20"/>
          <w:spacing w:val="-26"/>
          <w:w w:val="105"/>
        </w:rPr>
        <w:t> </w:t>
      </w:r>
      <w:r>
        <w:rPr>
          <w:color w:val="231F20"/>
          <w:w w:val="105"/>
        </w:rPr>
        <w:t>asciende</w:t>
      </w:r>
      <w:r>
        <w:rPr>
          <w:color w:val="231F20"/>
          <w:spacing w:val="-26"/>
          <w:w w:val="105"/>
        </w:rPr>
        <w:t> </w:t>
      </w:r>
      <w:r>
        <w:rPr>
          <w:color w:val="231F20"/>
          <w:spacing w:val="2"/>
          <w:w w:val="105"/>
        </w:rPr>
        <w:t>al</w:t>
      </w:r>
      <w:r>
        <w:rPr>
          <w:color w:val="231F20"/>
          <w:spacing w:val="-26"/>
          <w:w w:val="105"/>
        </w:rPr>
        <w:t> </w:t>
      </w:r>
      <w:r>
        <w:rPr>
          <w:color w:val="231F20"/>
          <w:w w:val="105"/>
        </w:rPr>
        <w:t>3%.</w:t>
      </w:r>
    </w:p>
    <w:p>
      <w:pPr>
        <w:pStyle w:val="BodyText"/>
        <w:spacing w:before="1"/>
        <w:rPr>
          <w:sz w:val="26"/>
        </w:rPr>
      </w:pPr>
    </w:p>
    <w:p>
      <w:pPr>
        <w:pStyle w:val="Heading5"/>
        <w:ind w:left="870" w:right="340"/>
      </w:pPr>
      <w:r>
        <w:rPr/>
        <w:pict>
          <v:group style="position:absolute;margin-left:47.425198pt;margin-top:19.390318pt;width:212.2pt;height:175.8pt;mso-position-horizontal-relative:page;mso-position-vertical-relative:paragraph;z-index:11536;mso-wrap-distance-left:0;mso-wrap-distance-right:0" coordorigin="949,388" coordsize="4244,3516">
            <v:shape style="position:absolute;left:2056;top:2039;width:2432;height:1189" coordorigin="2056,2039" coordsize="2432,1189" path="m4487,2039l2056,2702,2092,2720,2316,2832,2426,2883,2485,2910,2548,2937,2614,2964,2684,2990,2757,3017,2834,3042,2915,3068,2999,3092,3087,3115,3179,3136,3275,3156,3375,3175,3480,3191,3589,3205,3702,3217,3820,3227,4487,2039xe" filled="true" fillcolor="#9e0a0f" stroked="false">
              <v:path arrowok="t"/>
              <v:fill type="solid"/>
            </v:shape>
            <v:shape style="position:absolute;left:1907;top:1747;width:2339;height:1040" coordorigin="1907,1747" coordsize="2339,1040" path="m4246,1747l1907,2356,1960,2787,2065,2767,2056,2702,4246,2105,4246,1747xe" filled="true" fillcolor="#4c7520" stroked="false">
              <v:path arrowok="t"/>
              <v:fill type="solid"/>
            </v:shape>
            <v:shape style="position:absolute;left:1629;top:1949;width:331;height:839" coordorigin="1629,1949" coordsize="331,839" path="m1629,1949l1681,2364,1688,2426,1708,2488,1741,2551,1783,2613,1835,2674,1894,2732,1960,2787,1907,2356,1845,2303,1787,2247,1737,2189,1694,2129,1661,2069,1639,2009,1629,1949xe" filled="true" fillcolor="#598527" stroked="false">
              <v:path arrowok="t"/>
              <v:fill type="solid"/>
            </v:shape>
            <v:shape style="position:absolute;left:2056;top:2702;width:1765;height:1012" coordorigin="2056,2702" coordsize="1765,1012" path="m2056,2702l2122,3165,2203,3222,2296,3280,2402,3339,2460,3368,2521,3397,2585,3426,2653,3454,2723,3481,2797,3508,2874,3533,2954,3558,3037,3582,3124,3604,3214,3625,3307,3644,3403,3662,3502,3678,3605,3692,3711,3704,3820,3714,3820,3227,3702,3216,3589,3202,3479,3186,3374,3168,3272,3148,3174,3127,3079,3104,2989,3079,2902,3054,2819,3027,2739,3000,2663,2973,2591,2945,2522,2918,2457,2890,2395,2863,2336,2837,2281,2811,2056,2702xe" filled="true" fillcolor="#8b0204" stroked="false">
              <v:path arrowok="t"/>
              <v:fill type="solid"/>
            </v:shape>
            <v:shape style="position:absolute;left:3820;top:2039;width:667;height:1683" coordorigin="3820,2039" coordsize="667,1683" path="m4487,2039l3820,3227,3820,3721,4487,2483,4487,2039xe" filled="true" fillcolor="#790000" stroked="false">
              <v:path arrowok="t"/>
              <v:fill type="solid"/>
            </v:shape>
            <v:shape style="position:absolute;left:4380;top:835;width:415;height:1182" coordorigin="4380,835" coordsize="415,1182" path="m4380,835l4397,1220,4795,2016,4795,1607,4380,835xe" filled="true" fillcolor="#3b0156" stroked="false">
              <v:path arrowok="t"/>
              <v:fill type="solid"/>
            </v:shape>
            <v:shape style="position:absolute;left:1628;top:948;width:2618;height:1409" coordorigin="1628,948" coordsize="2618,1409" path="m3899,948l3773,959,3651,971,3533,985,3417,1000,3305,1016,3197,1033,3092,1052,2991,1071,2893,1092,2799,1114,2708,1137,2621,1161,2538,1186,2458,1212,2382,1239,2309,1266,2240,1295,2174,1325,2112,1355,2054,1386,2000,1418,1949,1451,1858,1518,1783,1589,1722,1661,1676,1736,1646,1813,1630,1892,1628,1932,1636,1994,1656,2057,1688,2120,1731,2182,1783,2242,1842,2301,1907,2356,4246,1747,3899,948xe" filled="true" fillcolor="#8dc63f" stroked="false">
              <v:path arrowok="t"/>
              <v:fill type="solid"/>
            </v:shape>
            <v:shape style="position:absolute;left:4380;top:832;width:415;height:775" coordorigin="4380,832" coordsize="415,775" path="m4543,832l4459,832,4380,835,4795,1607,4795,835,4715,835,4543,832xe" filled="true" fillcolor="#662d91" stroked="false">
              <v:path arrowok="t"/>
              <v:fill type="solid"/>
            </v:shape>
            <v:shape style="position:absolute;left:3995;top:396;width:541;height:140" type="#_x0000_t75" stroked="false">
              <v:imagedata r:id="rId819" o:title=""/>
            </v:shape>
            <v:shape style="position:absolute;left:4604;top:388;width:588;height:185" type="#_x0000_t75" stroked="false">
              <v:imagedata r:id="rId820" o:title=""/>
            </v:shape>
            <v:shape style="position:absolute;left:4455;top:628;width:263;height:137" type="#_x0000_t75" stroked="false">
              <v:imagedata r:id="rId821" o:title=""/>
            </v:shape>
            <v:shape style="position:absolute;left:1272;top:761;width:741;height:155" type="#_x0000_t75" stroked="false">
              <v:imagedata r:id="rId822" o:title=""/>
            </v:shape>
            <v:shape style="position:absolute;left:2080;top:807;width:91;height:141" coordorigin="2080,807" coordsize="91,141" path="m2089,931l2089,946,2091,946,2092,947,2094,947,2109,947,2116,944,2120,939,2123,933,2123,932,2098,932,2095,932,2094,932,2092,931,2089,931xm2099,807l2080,807,2117,909,2116,911,2111,924,2110,927,2109,927,2108,929,2107,930,2104,932,2102,932,2123,932,2128,923,2133,909,2140,892,2142,888,2126,888,2099,807xm2171,807l2152,807,2126,888,2142,888,2143,884,2147,874,2151,863,2165,823,2171,807xe" filled="true" fillcolor="#231f20" stroked="false">
              <v:path arrowok="t"/>
              <v:fill type="solid"/>
            </v:shape>
            <v:shape style="position:absolute;left:1171;top:994;width:411;height:144" type="#_x0000_t75" stroked="false">
              <v:imagedata r:id="rId823" o:title=""/>
            </v:shape>
            <v:shape style="position:absolute;left:1655;top:990;width:604;height:153" type="#_x0000_t75" stroked="false">
              <v:imagedata r:id="rId824" o:title=""/>
            </v:shape>
            <v:shape style="position:absolute;left:1527;top:1229;width:369;height:137" type="#_x0000_t75" stroked="false">
              <v:imagedata r:id="rId825" o:title=""/>
            </v:shape>
            <v:shape style="position:absolute;left:949;top:3533;width:1242;height:367" type="#_x0000_t75" stroked="false">
              <v:imagedata r:id="rId826" o:title=""/>
            </v:shape>
            <v:shape style="position:absolute;left:1492;top:3766;width:262;height:137" type="#_x0000_t75" stroked="false">
              <v:imagedata r:id="rId827" o:title=""/>
            </v:shape>
            <v:shape style="position:absolute;left:2290;top:3512;width:520;height:203" coordorigin="2290,3512" coordsize="520,203" path="m2290,3715l2387,3715,2809,3512e" filled="false" stroked="true" strokeweight=".5pt" strokecolor="#231f20">
              <v:path arrowok="t"/>
            </v:shape>
            <w10:wrap type="topAndBottom"/>
          </v:group>
        </w:pict>
      </w:r>
      <w:r>
        <w:rPr/>
        <w:drawing>
          <wp:anchor distT="0" distB="0" distL="0" distR="0" allowOverlap="1" layoutInCell="1" locked="0" behindDoc="0" simplePos="0" relativeHeight="11560">
            <wp:simplePos x="0" y="0"/>
            <wp:positionH relativeFrom="page">
              <wp:posOffset>4975937</wp:posOffset>
            </wp:positionH>
            <wp:positionV relativeFrom="paragraph">
              <wp:posOffset>2311025</wp:posOffset>
            </wp:positionV>
            <wp:extent cx="234831" cy="87439"/>
            <wp:effectExtent l="0" t="0" r="0" b="0"/>
            <wp:wrapTopAndBottom/>
            <wp:docPr id="359" name="image735.png" descr=""/>
            <wp:cNvGraphicFramePr>
              <a:graphicFrameLocks noChangeAspect="1"/>
            </wp:cNvGraphicFramePr>
            <a:graphic>
              <a:graphicData uri="http://schemas.openxmlformats.org/drawingml/2006/picture">
                <pic:pic>
                  <pic:nvPicPr>
                    <pic:cNvPr id="360" name="image735.png"/>
                    <pic:cNvPicPr/>
                  </pic:nvPicPr>
                  <pic:blipFill>
                    <a:blip r:embed="rId828" cstate="print"/>
                    <a:stretch>
                      <a:fillRect/>
                    </a:stretch>
                  </pic:blipFill>
                  <pic:spPr>
                    <a:xfrm>
                      <a:off x="0" y="0"/>
                      <a:ext cx="234831" cy="87439"/>
                    </a:xfrm>
                    <a:prstGeom prst="rect">
                      <a:avLst/>
                    </a:prstGeom>
                  </pic:spPr>
                </pic:pic>
              </a:graphicData>
            </a:graphic>
          </wp:anchor>
        </w:drawing>
      </w:r>
      <w:r>
        <w:rPr/>
        <w:pict>
          <v:group style="position:absolute;margin-left:251.251999pt;margin-top:51.212219pt;width:181.85pt;height:126.2pt;mso-position-horizontal-relative:page;mso-position-vertical-relative:paragraph;z-index:-590224" coordorigin="5025,1024" coordsize="3637,2524">
            <v:shape style="position:absolute;left:5025;top:2016;width:3133;height:1454" coordorigin="5025,2016" coordsize="3133,1454" path="m5025,2962l5025,3449,5119,3456,5214,3462,5308,3466,5402,3469,5496,3470,5590,3470,5683,3468,5776,3465,5869,3461,5961,3455,6052,3448,6143,3440,6232,3430,6321,3419,6409,3407,6495,3394,6581,3379,6665,3363,6747,3346,6829,3328,6908,3309,6986,3289,7063,3267,7137,3245,7210,3221,7280,3196,7349,3171,7415,3144,7479,3116,7541,3088,7601,3058,7657,3028,7712,2997,7728,2987,5599,2987,5504,2986,5408,2984,5312,2980,5217,2975,5121,2969,5025,2962xm8135,2156l8126,2183,8108,2223,8086,2262,8061,2300,8032,2337,8000,2373,7964,2408,7926,2442,7884,2476,7839,2508,7791,2539,7740,2570,7686,2599,7629,2628,7570,2655,7508,2682,7444,2707,7378,2732,7309,2755,7238,2777,7165,2799,7090,2819,7013,2838,6935,2856,6854,2873,6772,2889,6689,2903,6604,2917,6517,2929,6430,2940,6341,2950,6251,2959,6160,2967,6068,2973,5976,2978,5882,2982,5788,2985,5694,2987,5599,2987,7728,2987,7763,2965,7812,2932,7858,2898,7901,2863,7941,2828,7978,2792,8012,2755,8043,2717,8135,2156xm8158,2016l8135,2156,8140,2143,8150,2101,8156,2059,8158,2016xe" filled="true" fillcolor="#044371" stroked="false">
              <v:path arrowok="t"/>
              <v:fill type="solid"/>
            </v:shape>
            <v:shape style="position:absolute;left:5399;top:1024;width:103;height:948" coordorigin="5399,1024" coordsize="103,948" path="m5428,1024l5399,1381,5450,1971,5501,1871,5428,1024xe" filled="true" fillcolor="#002c54" stroked="false">
              <v:path arrowok="t"/>
              <v:fill type="solid"/>
            </v:shape>
            <v:shape style="position:absolute;left:5025;top:1024;width:3133;height:1965" coordorigin="5025,1024" coordsize="3133,1965" path="m5428,1024l5501,1871,5025,2962,5119,2969,5213,2976,5307,2981,5401,2985,5494,2988,5588,2989,5681,2989,5774,2988,5866,2986,5957,2982,6048,2978,6138,2972,6228,2965,6316,2956,6403,2947,6490,2936,6575,2924,6658,2912,6741,2898,6822,2883,6901,2866,6979,2849,7055,2831,7130,2811,7202,2791,7272,2770,7341,2747,7407,2724,7471,2699,7533,2674,7593,2647,7650,2620,7704,2591,7805,2532,7894,2468,7972,2402,8037,2331,8089,2257,8127,2180,8150,2100,8158,2016,8156,1978,8140,1904,8109,1831,8062,1759,8002,1689,7928,1621,7840,1556,7740,1493,7685,1462,7628,1433,7567,1404,7504,1376,7438,1348,7369,1322,7298,1296,7224,1272,7148,1248,7069,1226,6988,1204,6904,1183,6819,1164,6731,1146,6641,1128,6549,1112,6456,1098,6360,1084,6263,1072,6164,1061,6063,1051,5961,1043,5857,1037,5752,1031,5645,1027,5538,1025,5428,1024xe" filled="true" fillcolor="#1b75bc" stroked="false">
              <v:path arrowok="t"/>
              <v:fill type="solid"/>
            </v:shape>
            <v:shape style="position:absolute;left:7379;top:3404;width:490;height:144" type="#_x0000_t75" stroked="false">
              <v:imagedata r:id="rId829" o:title=""/>
            </v:shape>
            <v:shape style="position:absolute;left:7936;top:3408;width:726;height:140" type="#_x0000_t75" stroked="false">
              <v:imagedata r:id="rId830" o:title=""/>
            </v:shape>
            <v:line style="position:absolute" from="8159,3358" to="8159,2016" stroked="true" strokeweight=".5pt" strokecolor="#231f20"/>
            <w10:wrap type="none"/>
          </v:group>
        </w:pict>
      </w:r>
      <w:r>
        <w:rPr>
          <w:color w:val="231F20"/>
          <w:w w:val="105"/>
        </w:rPr>
        <w:t>Gráfica Nº 4 Distribución del gasto en Amecameca (Valor relativo)</w:t>
      </w:r>
    </w:p>
    <w:p>
      <w:pPr>
        <w:spacing w:before="20"/>
        <w:ind w:left="0" w:right="114" w:firstLine="0"/>
        <w:jc w:val="right"/>
        <w:rPr>
          <w:rFonts w:ascii="Calibri" w:hAnsi="Calibri"/>
          <w:sz w:val="16"/>
        </w:rPr>
      </w:pPr>
      <w:r>
        <w:rPr>
          <w:rFonts w:ascii="Calibri" w:hAnsi="Calibri"/>
          <w:color w:val="231F20"/>
          <w:w w:val="95"/>
          <w:sz w:val="16"/>
        </w:rPr>
        <w:t>Fuente:  Elaboración propia.</w:t>
      </w:r>
    </w:p>
    <w:p>
      <w:pPr>
        <w:pStyle w:val="BodyText"/>
        <w:rPr>
          <w:rFonts w:ascii="Calibri"/>
          <w:sz w:val="16"/>
        </w:rPr>
      </w:pPr>
    </w:p>
    <w:p>
      <w:pPr>
        <w:pStyle w:val="Heading3"/>
        <w:spacing w:before="119"/>
      </w:pPr>
      <w:r>
        <w:rPr>
          <w:color w:val="231F20"/>
          <w:w w:val="105"/>
        </w:rPr>
        <w:t>Planeación y Reglamentación</w:t>
      </w:r>
    </w:p>
    <w:p>
      <w:pPr>
        <w:pStyle w:val="BodyText"/>
        <w:spacing w:before="6"/>
        <w:rPr>
          <w:b/>
          <w:sz w:val="23"/>
        </w:rPr>
      </w:pPr>
    </w:p>
    <w:p>
      <w:pPr>
        <w:pStyle w:val="Heading4"/>
        <w:rPr>
          <w:i/>
        </w:rPr>
      </w:pPr>
      <w:r>
        <w:rPr>
          <w:i/>
          <w:color w:val="231F20"/>
          <w:w w:val="105"/>
        </w:rPr>
        <w:t>Plan de Desarrollo</w:t>
      </w:r>
    </w:p>
    <w:p>
      <w:pPr>
        <w:pStyle w:val="BodyText"/>
        <w:spacing w:line="285" w:lineRule="auto" w:before="16"/>
        <w:ind w:left="110" w:right="113"/>
        <w:jc w:val="both"/>
      </w:pPr>
      <w:r>
        <w:rPr>
          <w:color w:val="231F20"/>
          <w:w w:val="105"/>
        </w:rPr>
        <w:t>El</w:t>
      </w:r>
      <w:r>
        <w:rPr>
          <w:color w:val="231F20"/>
          <w:spacing w:val="-10"/>
          <w:w w:val="105"/>
        </w:rPr>
        <w:t> </w:t>
      </w:r>
      <w:r>
        <w:rPr>
          <w:color w:val="231F20"/>
          <w:w w:val="105"/>
        </w:rPr>
        <w:t>gobierno</w:t>
      </w:r>
      <w:r>
        <w:rPr>
          <w:color w:val="231F20"/>
          <w:spacing w:val="-10"/>
          <w:w w:val="105"/>
        </w:rPr>
        <w:t> </w:t>
      </w:r>
      <w:r>
        <w:rPr>
          <w:color w:val="231F20"/>
          <w:w w:val="105"/>
        </w:rPr>
        <w:t>municipal</w:t>
      </w:r>
      <w:r>
        <w:rPr>
          <w:color w:val="231F20"/>
          <w:spacing w:val="-10"/>
          <w:w w:val="105"/>
        </w:rPr>
        <w:t> </w:t>
      </w:r>
      <w:r>
        <w:rPr>
          <w:color w:val="231F20"/>
          <w:w w:val="105"/>
        </w:rPr>
        <w:t>establece</w:t>
      </w:r>
      <w:r>
        <w:rPr>
          <w:color w:val="231F20"/>
          <w:spacing w:val="-10"/>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del</w:t>
      </w:r>
      <w:r>
        <w:rPr>
          <w:color w:val="231F20"/>
          <w:spacing w:val="-10"/>
          <w:w w:val="105"/>
        </w:rPr>
        <w:t> </w:t>
      </w:r>
      <w:r>
        <w:rPr>
          <w:color w:val="231F20"/>
          <w:w w:val="105"/>
        </w:rPr>
        <w:t>Plan</w:t>
      </w:r>
      <w:r>
        <w:rPr>
          <w:color w:val="231F20"/>
          <w:spacing w:val="-10"/>
          <w:w w:val="105"/>
        </w:rPr>
        <w:t> </w:t>
      </w:r>
      <w:r>
        <w:rPr>
          <w:color w:val="231F20"/>
          <w:w w:val="105"/>
        </w:rPr>
        <w:t>de</w:t>
      </w:r>
      <w:r>
        <w:rPr>
          <w:color w:val="231F20"/>
          <w:spacing w:val="-10"/>
          <w:w w:val="105"/>
        </w:rPr>
        <w:t> </w:t>
      </w:r>
      <w:r>
        <w:rPr>
          <w:color w:val="231F20"/>
          <w:w w:val="105"/>
        </w:rPr>
        <w:t>Desarrollo</w:t>
      </w:r>
      <w:r>
        <w:rPr>
          <w:color w:val="231F20"/>
          <w:spacing w:val="-10"/>
          <w:w w:val="105"/>
        </w:rPr>
        <w:t> </w:t>
      </w:r>
      <w:r>
        <w:rPr>
          <w:color w:val="231F20"/>
          <w:w w:val="105"/>
        </w:rPr>
        <w:t>el</w:t>
      </w:r>
      <w:r>
        <w:rPr>
          <w:color w:val="231F20"/>
          <w:spacing w:val="-10"/>
          <w:w w:val="105"/>
        </w:rPr>
        <w:t> </w:t>
      </w:r>
      <w:r>
        <w:rPr>
          <w:color w:val="231F20"/>
          <w:w w:val="105"/>
        </w:rPr>
        <w:t>diseño</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gestión, contemplando</w:t>
      </w:r>
      <w:r>
        <w:rPr>
          <w:color w:val="231F20"/>
          <w:spacing w:val="-5"/>
          <w:w w:val="105"/>
        </w:rPr>
        <w:t> </w:t>
      </w:r>
      <w:r>
        <w:rPr>
          <w:color w:val="231F20"/>
          <w:w w:val="105"/>
        </w:rPr>
        <w:t>sus</w:t>
      </w:r>
      <w:r>
        <w:rPr>
          <w:color w:val="231F20"/>
          <w:spacing w:val="-5"/>
          <w:w w:val="105"/>
        </w:rPr>
        <w:t> </w:t>
      </w:r>
      <w:r>
        <w:rPr>
          <w:color w:val="231F20"/>
          <w:w w:val="105"/>
        </w:rPr>
        <w:t>líneas</w:t>
      </w:r>
      <w:r>
        <w:rPr>
          <w:color w:val="231F20"/>
          <w:spacing w:val="-5"/>
          <w:w w:val="105"/>
        </w:rPr>
        <w:t> </w:t>
      </w:r>
      <w:r>
        <w:rPr>
          <w:color w:val="231F20"/>
          <w:w w:val="105"/>
        </w:rPr>
        <w:t>y</w:t>
      </w:r>
      <w:r>
        <w:rPr>
          <w:color w:val="231F20"/>
          <w:spacing w:val="-5"/>
          <w:w w:val="105"/>
        </w:rPr>
        <w:t> </w:t>
      </w:r>
      <w:r>
        <w:rPr>
          <w:color w:val="231F20"/>
          <w:w w:val="105"/>
        </w:rPr>
        <w:t>estrategias</w:t>
      </w:r>
      <w:r>
        <w:rPr>
          <w:color w:val="231F20"/>
          <w:spacing w:val="-5"/>
          <w:w w:val="105"/>
        </w:rPr>
        <w:t> </w:t>
      </w:r>
      <w:r>
        <w:rPr>
          <w:color w:val="231F20"/>
          <w:w w:val="105"/>
        </w:rPr>
        <w:t>que</w:t>
      </w:r>
      <w:r>
        <w:rPr>
          <w:color w:val="231F20"/>
          <w:spacing w:val="-5"/>
          <w:w w:val="105"/>
        </w:rPr>
        <w:t> </w:t>
      </w:r>
      <w:r>
        <w:rPr>
          <w:color w:val="231F20"/>
          <w:w w:val="105"/>
        </w:rPr>
        <w:t>desarrollará</w:t>
      </w:r>
      <w:r>
        <w:rPr>
          <w:color w:val="231F20"/>
          <w:spacing w:val="-5"/>
          <w:w w:val="105"/>
        </w:rPr>
        <w:t> </w:t>
      </w:r>
      <w:r>
        <w:rPr>
          <w:color w:val="231F20"/>
          <w:w w:val="105"/>
        </w:rPr>
        <w:t>durante</w:t>
      </w:r>
      <w:r>
        <w:rPr>
          <w:color w:val="231F20"/>
          <w:spacing w:val="-5"/>
          <w:w w:val="105"/>
        </w:rPr>
        <w:t> </w:t>
      </w:r>
      <w:r>
        <w:rPr>
          <w:color w:val="231F20"/>
          <w:w w:val="105"/>
        </w:rPr>
        <w:t>el</w:t>
      </w:r>
      <w:r>
        <w:rPr>
          <w:color w:val="231F20"/>
          <w:spacing w:val="-5"/>
          <w:w w:val="105"/>
        </w:rPr>
        <w:t> </w:t>
      </w:r>
      <w:r>
        <w:rPr>
          <w:color w:val="231F20"/>
          <w:w w:val="105"/>
        </w:rPr>
        <w:t>trienio.</w:t>
      </w:r>
      <w:r>
        <w:rPr>
          <w:color w:val="231F20"/>
          <w:spacing w:val="-5"/>
          <w:w w:val="105"/>
        </w:rPr>
        <w:t> </w:t>
      </w:r>
      <w:r>
        <w:rPr>
          <w:color w:val="231F20"/>
          <w:w w:val="105"/>
        </w:rPr>
        <w:t>De</w:t>
      </w:r>
      <w:r>
        <w:rPr>
          <w:color w:val="231F20"/>
          <w:spacing w:val="-5"/>
          <w:w w:val="105"/>
        </w:rPr>
        <w:t> </w:t>
      </w:r>
      <w:r>
        <w:rPr>
          <w:color w:val="231F20"/>
          <w:spacing w:val="2"/>
          <w:w w:val="105"/>
        </w:rPr>
        <w:t>ahí</w:t>
      </w:r>
      <w:r>
        <w:rPr>
          <w:color w:val="231F20"/>
          <w:spacing w:val="-5"/>
          <w:w w:val="105"/>
        </w:rPr>
        <w:t> </w:t>
      </w:r>
      <w:r>
        <w:rPr>
          <w:color w:val="231F20"/>
          <w:w w:val="105"/>
        </w:rPr>
        <w:t>la</w:t>
      </w:r>
      <w:r>
        <w:rPr>
          <w:color w:val="231F20"/>
          <w:spacing w:val="-5"/>
          <w:w w:val="105"/>
        </w:rPr>
        <w:t> </w:t>
      </w:r>
      <w:r>
        <w:rPr>
          <w:color w:val="231F20"/>
          <w:w w:val="105"/>
        </w:rPr>
        <w:t>im- portancia de que este documento no sólo se convierta en un trámite para dar  </w:t>
      </w:r>
      <w:r>
        <w:rPr>
          <w:color w:val="231F20"/>
          <w:spacing w:val="20"/>
          <w:w w:val="105"/>
        </w:rPr>
        <w:t> </w:t>
      </w:r>
      <w:r>
        <w:rPr>
          <w:color w:val="231F20"/>
          <w:w w:val="105"/>
        </w:rPr>
        <w:t>cumpli-</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line="285" w:lineRule="auto" w:before="36"/>
        <w:ind w:left="110" w:right="108"/>
        <w:jc w:val="both"/>
      </w:pPr>
      <w:r>
        <w:rPr>
          <w:color w:val="231F20"/>
          <w:w w:val="105"/>
        </w:rPr>
        <w:t>miento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spacing w:val="-4"/>
          <w:w w:val="105"/>
        </w:rPr>
        <w:t>ley,</w:t>
      </w:r>
      <w:r>
        <w:rPr>
          <w:color w:val="231F20"/>
          <w:spacing w:val="-6"/>
          <w:w w:val="105"/>
        </w:rPr>
        <w:t> </w:t>
      </w:r>
      <w:r>
        <w:rPr>
          <w:color w:val="231F20"/>
          <w:w w:val="105"/>
        </w:rPr>
        <w:t>sino</w:t>
      </w:r>
      <w:r>
        <w:rPr>
          <w:color w:val="231F20"/>
          <w:spacing w:val="-6"/>
          <w:w w:val="105"/>
        </w:rPr>
        <w:t> </w:t>
      </w:r>
      <w:r>
        <w:rPr>
          <w:color w:val="231F20"/>
          <w:w w:val="105"/>
        </w:rPr>
        <w:t>que</w:t>
      </w:r>
      <w:r>
        <w:rPr>
          <w:color w:val="231F20"/>
          <w:spacing w:val="-6"/>
          <w:w w:val="105"/>
        </w:rPr>
        <w:t> </w:t>
      </w:r>
      <w:r>
        <w:rPr>
          <w:color w:val="231F20"/>
          <w:w w:val="105"/>
        </w:rPr>
        <w:t>sea</w:t>
      </w:r>
      <w:r>
        <w:rPr>
          <w:color w:val="231F20"/>
          <w:spacing w:val="-6"/>
          <w:w w:val="105"/>
        </w:rPr>
        <w:t> </w:t>
      </w:r>
      <w:r>
        <w:rPr>
          <w:color w:val="231F20"/>
          <w:w w:val="105"/>
        </w:rPr>
        <w:t>el</w:t>
      </w:r>
      <w:r>
        <w:rPr>
          <w:color w:val="231F20"/>
          <w:spacing w:val="-6"/>
          <w:w w:val="105"/>
        </w:rPr>
        <w:t> </w:t>
      </w:r>
      <w:r>
        <w:rPr>
          <w:color w:val="231F20"/>
          <w:w w:val="105"/>
        </w:rPr>
        <w:t>eje</w:t>
      </w:r>
      <w:r>
        <w:rPr>
          <w:color w:val="231F20"/>
          <w:spacing w:val="-6"/>
          <w:w w:val="105"/>
        </w:rPr>
        <w:t> </w:t>
      </w:r>
      <w:r>
        <w:rPr>
          <w:color w:val="231F20"/>
          <w:w w:val="105"/>
        </w:rPr>
        <w:t>de</w:t>
      </w:r>
      <w:r>
        <w:rPr>
          <w:color w:val="231F20"/>
          <w:spacing w:val="-6"/>
          <w:w w:val="105"/>
        </w:rPr>
        <w:t> </w:t>
      </w:r>
      <w:r>
        <w:rPr>
          <w:color w:val="231F20"/>
          <w:w w:val="105"/>
        </w:rPr>
        <w:t>referencia</w:t>
      </w:r>
      <w:r>
        <w:rPr>
          <w:color w:val="231F20"/>
          <w:spacing w:val="-6"/>
          <w:w w:val="105"/>
        </w:rPr>
        <w:t> </w:t>
      </w:r>
      <w:r>
        <w:rPr>
          <w:color w:val="231F20"/>
          <w:w w:val="105"/>
        </w:rPr>
        <w:t>del</w:t>
      </w:r>
      <w:r>
        <w:rPr>
          <w:color w:val="231F20"/>
          <w:spacing w:val="-6"/>
          <w:w w:val="105"/>
        </w:rPr>
        <w:t> </w:t>
      </w:r>
      <w:r>
        <w:rPr>
          <w:color w:val="231F20"/>
          <w:w w:val="105"/>
        </w:rPr>
        <w:t>trabajo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administración</w:t>
      </w:r>
      <w:r>
        <w:rPr>
          <w:color w:val="231F20"/>
          <w:spacing w:val="-6"/>
          <w:w w:val="105"/>
        </w:rPr>
        <w:t> </w:t>
      </w:r>
      <w:r>
        <w:rPr>
          <w:color w:val="231F20"/>
          <w:w w:val="105"/>
        </w:rPr>
        <w:t>muni- cipal.</w:t>
      </w:r>
      <w:r>
        <w:rPr>
          <w:color w:val="231F20"/>
          <w:spacing w:val="-14"/>
          <w:w w:val="105"/>
        </w:rPr>
        <w:t> </w:t>
      </w:r>
      <w:r>
        <w:rPr>
          <w:color w:val="231F20"/>
          <w:w w:val="105"/>
        </w:rPr>
        <w:t>Empero,</w:t>
      </w:r>
      <w:r>
        <w:rPr>
          <w:color w:val="231F20"/>
          <w:spacing w:val="-14"/>
          <w:w w:val="105"/>
        </w:rPr>
        <w:t> </w:t>
      </w:r>
      <w:r>
        <w:rPr>
          <w:color w:val="231F20"/>
          <w:w w:val="105"/>
        </w:rPr>
        <w:t>por</w:t>
      </w:r>
      <w:r>
        <w:rPr>
          <w:color w:val="231F20"/>
          <w:spacing w:val="-14"/>
          <w:w w:val="105"/>
        </w:rPr>
        <w:t> </w:t>
      </w:r>
      <w:r>
        <w:rPr>
          <w:color w:val="231F20"/>
          <w:w w:val="105"/>
        </w:rPr>
        <w:t>grandes</w:t>
      </w:r>
      <w:r>
        <w:rPr>
          <w:color w:val="231F20"/>
          <w:spacing w:val="-14"/>
          <w:w w:val="105"/>
        </w:rPr>
        <w:t> </w:t>
      </w:r>
      <w:r>
        <w:rPr>
          <w:color w:val="231F20"/>
          <w:w w:val="105"/>
        </w:rPr>
        <w:t>deficiencias</w:t>
      </w:r>
      <w:r>
        <w:rPr>
          <w:color w:val="231F20"/>
          <w:spacing w:val="-14"/>
          <w:w w:val="105"/>
        </w:rPr>
        <w:t> </w:t>
      </w:r>
      <w:r>
        <w:rPr>
          <w:color w:val="231F20"/>
          <w:w w:val="105"/>
        </w:rPr>
        <w:t>del</w:t>
      </w:r>
      <w:r>
        <w:rPr>
          <w:color w:val="231F20"/>
          <w:spacing w:val="-14"/>
          <w:w w:val="105"/>
        </w:rPr>
        <w:t> </w:t>
      </w:r>
      <w:r>
        <w:rPr>
          <w:color w:val="231F20"/>
          <w:w w:val="105"/>
        </w:rPr>
        <w:t>sistema</w:t>
      </w:r>
      <w:r>
        <w:rPr>
          <w:color w:val="231F20"/>
          <w:spacing w:val="-14"/>
          <w:w w:val="105"/>
        </w:rPr>
        <w:t> </w:t>
      </w:r>
      <w:r>
        <w:rPr>
          <w:color w:val="231F20"/>
          <w:w w:val="105"/>
        </w:rPr>
        <w:t>nacional</w:t>
      </w:r>
      <w:r>
        <w:rPr>
          <w:color w:val="231F20"/>
          <w:spacing w:val="-14"/>
          <w:w w:val="105"/>
        </w:rPr>
        <w:t> </w:t>
      </w:r>
      <w:r>
        <w:rPr>
          <w:color w:val="231F20"/>
          <w:w w:val="105"/>
        </w:rPr>
        <w:t>y</w:t>
      </w:r>
      <w:r>
        <w:rPr>
          <w:color w:val="231F20"/>
          <w:spacing w:val="-14"/>
          <w:w w:val="105"/>
        </w:rPr>
        <w:t> </w:t>
      </w:r>
      <w:r>
        <w:rPr>
          <w:color w:val="231F20"/>
          <w:w w:val="105"/>
        </w:rPr>
        <w:t>estatal</w:t>
      </w:r>
      <w:r>
        <w:rPr>
          <w:color w:val="231F20"/>
          <w:spacing w:val="-14"/>
          <w:w w:val="105"/>
        </w:rPr>
        <w:t> </w:t>
      </w:r>
      <w:r>
        <w:rPr>
          <w:color w:val="231F20"/>
          <w:w w:val="105"/>
        </w:rPr>
        <w:t>de</w:t>
      </w:r>
      <w:r>
        <w:rPr>
          <w:color w:val="231F20"/>
          <w:spacing w:val="-14"/>
          <w:w w:val="105"/>
        </w:rPr>
        <w:t> </w:t>
      </w:r>
      <w:r>
        <w:rPr>
          <w:color w:val="231F20"/>
          <w:w w:val="105"/>
        </w:rPr>
        <w:t>planeación,</w:t>
      </w:r>
      <w:r>
        <w:rPr>
          <w:color w:val="231F20"/>
          <w:spacing w:val="-14"/>
          <w:w w:val="105"/>
        </w:rPr>
        <w:t> </w:t>
      </w:r>
      <w:r>
        <w:rPr>
          <w:color w:val="231F20"/>
          <w:w w:val="105"/>
        </w:rPr>
        <w:t>en muchos</w:t>
      </w:r>
      <w:r>
        <w:rPr>
          <w:color w:val="231F20"/>
          <w:spacing w:val="-5"/>
          <w:w w:val="105"/>
        </w:rPr>
        <w:t> </w:t>
      </w:r>
      <w:r>
        <w:rPr>
          <w:color w:val="231F20"/>
          <w:w w:val="105"/>
        </w:rPr>
        <w:t>municipios,</w:t>
      </w:r>
      <w:r>
        <w:rPr>
          <w:color w:val="231F20"/>
          <w:spacing w:val="-5"/>
          <w:w w:val="105"/>
        </w:rPr>
        <w:t> </w:t>
      </w:r>
      <w:r>
        <w:rPr>
          <w:color w:val="231F20"/>
          <w:w w:val="105"/>
        </w:rPr>
        <w:t>los</w:t>
      </w:r>
      <w:r>
        <w:rPr>
          <w:color w:val="231F20"/>
          <w:spacing w:val="-5"/>
          <w:w w:val="105"/>
        </w:rPr>
        <w:t> </w:t>
      </w:r>
      <w:r>
        <w:rPr>
          <w:color w:val="231F20"/>
          <w:w w:val="105"/>
        </w:rPr>
        <w:t>planes</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son</w:t>
      </w:r>
      <w:r>
        <w:rPr>
          <w:color w:val="231F20"/>
          <w:spacing w:val="-5"/>
          <w:w w:val="105"/>
        </w:rPr>
        <w:t> </w:t>
      </w:r>
      <w:r>
        <w:rPr>
          <w:color w:val="231F20"/>
          <w:w w:val="105"/>
        </w:rPr>
        <w:t>producto</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trabajo</w:t>
      </w:r>
      <w:r>
        <w:rPr>
          <w:color w:val="231F20"/>
          <w:spacing w:val="-5"/>
          <w:w w:val="105"/>
        </w:rPr>
        <w:t> </w:t>
      </w:r>
      <w:r>
        <w:rPr>
          <w:color w:val="231F20"/>
          <w:w w:val="105"/>
        </w:rPr>
        <w:t>fuera</w:t>
      </w:r>
      <w:r>
        <w:rPr>
          <w:color w:val="231F20"/>
          <w:spacing w:val="-5"/>
          <w:w w:val="105"/>
        </w:rPr>
        <w:t> </w:t>
      </w:r>
      <w:r>
        <w:rPr>
          <w:color w:val="231F20"/>
          <w:w w:val="105"/>
        </w:rPr>
        <w:t>del</w:t>
      </w:r>
      <w:r>
        <w:rPr>
          <w:color w:val="231F20"/>
          <w:spacing w:val="-5"/>
          <w:w w:val="105"/>
        </w:rPr>
        <w:t> </w:t>
      </w:r>
      <w:r>
        <w:rPr>
          <w:color w:val="231F20"/>
          <w:w w:val="105"/>
        </w:rPr>
        <w:t>seno de</w:t>
      </w:r>
      <w:r>
        <w:rPr>
          <w:color w:val="231F20"/>
          <w:spacing w:val="-16"/>
          <w:w w:val="105"/>
        </w:rPr>
        <w:t> </w:t>
      </w:r>
      <w:r>
        <w:rPr>
          <w:color w:val="231F20"/>
          <w:w w:val="105"/>
        </w:rPr>
        <w:t>la</w:t>
      </w:r>
      <w:r>
        <w:rPr>
          <w:color w:val="231F20"/>
          <w:spacing w:val="-16"/>
          <w:w w:val="105"/>
        </w:rPr>
        <w:t> </w:t>
      </w:r>
      <w:r>
        <w:rPr>
          <w:color w:val="231F20"/>
          <w:w w:val="105"/>
        </w:rPr>
        <w:t>gestión</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oficina</w:t>
      </w:r>
      <w:r>
        <w:rPr>
          <w:color w:val="231F20"/>
          <w:spacing w:val="-16"/>
          <w:w w:val="105"/>
        </w:rPr>
        <w:t> </w:t>
      </w:r>
      <w:r>
        <w:rPr>
          <w:color w:val="231F20"/>
          <w:w w:val="105"/>
        </w:rPr>
        <w:t>encargada</w:t>
      </w:r>
      <w:r>
        <w:rPr>
          <w:color w:val="231F20"/>
          <w:spacing w:val="-16"/>
          <w:w w:val="105"/>
        </w:rPr>
        <w:t> </w:t>
      </w:r>
      <w:r>
        <w:rPr>
          <w:color w:val="231F20"/>
          <w:w w:val="105"/>
        </w:rPr>
        <w:t>de</w:t>
      </w:r>
      <w:r>
        <w:rPr>
          <w:color w:val="231F20"/>
          <w:spacing w:val="-16"/>
          <w:w w:val="105"/>
        </w:rPr>
        <w:t> </w:t>
      </w:r>
      <w:r>
        <w:rPr>
          <w:color w:val="231F20"/>
          <w:w w:val="105"/>
        </w:rPr>
        <w:t>esta</w:t>
      </w:r>
      <w:r>
        <w:rPr>
          <w:color w:val="231F20"/>
          <w:spacing w:val="-16"/>
          <w:w w:val="105"/>
        </w:rPr>
        <w:t> </w:t>
      </w:r>
      <w:r>
        <w:rPr>
          <w:color w:val="231F20"/>
          <w:w w:val="105"/>
        </w:rPr>
        <w:t>tarea,</w:t>
      </w:r>
      <w:r>
        <w:rPr>
          <w:color w:val="231F20"/>
          <w:spacing w:val="-16"/>
          <w:w w:val="105"/>
        </w:rPr>
        <w:t> </w:t>
      </w:r>
      <w:r>
        <w:rPr>
          <w:color w:val="231F20"/>
          <w:w w:val="105"/>
        </w:rPr>
        <w:t>el</w:t>
      </w:r>
      <w:r>
        <w:rPr>
          <w:color w:val="231F20"/>
          <w:spacing w:val="-16"/>
          <w:w w:val="105"/>
        </w:rPr>
        <w:t> </w:t>
      </w:r>
      <w:r>
        <w:rPr>
          <w:color w:val="231F20"/>
          <w:w w:val="105"/>
        </w:rPr>
        <w:t>caso</w:t>
      </w:r>
      <w:r>
        <w:rPr>
          <w:color w:val="231F20"/>
          <w:spacing w:val="-16"/>
          <w:w w:val="105"/>
        </w:rPr>
        <w:t> </w:t>
      </w:r>
      <w:r>
        <w:rPr>
          <w:color w:val="231F20"/>
          <w:w w:val="105"/>
        </w:rPr>
        <w:t>no</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excepción.</w:t>
      </w:r>
    </w:p>
    <w:p>
      <w:pPr>
        <w:pStyle w:val="BodyText"/>
        <w:spacing w:before="1"/>
        <w:rPr>
          <w:sz w:val="26"/>
        </w:rPr>
      </w:pPr>
    </w:p>
    <w:p>
      <w:pPr>
        <w:pStyle w:val="BodyText"/>
        <w:spacing w:line="285" w:lineRule="auto"/>
        <w:ind w:left="110" w:right="106"/>
        <w:jc w:val="both"/>
      </w:pPr>
      <w:r>
        <w:rPr>
          <w:color w:val="231F20"/>
          <w:w w:val="105"/>
        </w:rPr>
        <w:t>Para</w:t>
      </w:r>
      <w:r>
        <w:rPr>
          <w:color w:val="231F20"/>
          <w:spacing w:val="-20"/>
          <w:w w:val="105"/>
        </w:rPr>
        <w:t> </w:t>
      </w:r>
      <w:r>
        <w:rPr>
          <w:color w:val="231F20"/>
          <w:w w:val="105"/>
        </w:rPr>
        <w:t>realizar</w:t>
      </w:r>
      <w:r>
        <w:rPr>
          <w:color w:val="231F20"/>
          <w:spacing w:val="-20"/>
          <w:w w:val="105"/>
        </w:rPr>
        <w:t> </w:t>
      </w:r>
      <w:r>
        <w:rPr>
          <w:color w:val="231F20"/>
          <w:w w:val="105"/>
        </w:rPr>
        <w:t>el</w:t>
      </w:r>
      <w:r>
        <w:rPr>
          <w:color w:val="231F20"/>
          <w:spacing w:val="-20"/>
          <w:w w:val="105"/>
        </w:rPr>
        <w:t> </w:t>
      </w:r>
      <w:r>
        <w:rPr>
          <w:color w:val="231F20"/>
          <w:w w:val="105"/>
        </w:rPr>
        <w:t>Plan</w:t>
      </w:r>
      <w:r>
        <w:rPr>
          <w:color w:val="231F20"/>
          <w:spacing w:val="-20"/>
          <w:w w:val="105"/>
        </w:rPr>
        <w:t> </w:t>
      </w:r>
      <w:r>
        <w:rPr>
          <w:color w:val="231F20"/>
          <w:w w:val="105"/>
        </w:rPr>
        <w:t>Municipal</w:t>
      </w:r>
      <w:r>
        <w:rPr>
          <w:color w:val="231F20"/>
          <w:spacing w:val="-20"/>
          <w:w w:val="105"/>
        </w:rPr>
        <w:t> </w:t>
      </w:r>
      <w:r>
        <w:rPr>
          <w:color w:val="231F20"/>
          <w:w w:val="105"/>
        </w:rPr>
        <w:t>de</w:t>
      </w:r>
      <w:r>
        <w:rPr>
          <w:color w:val="231F20"/>
          <w:spacing w:val="-20"/>
          <w:w w:val="105"/>
        </w:rPr>
        <w:t> </w:t>
      </w:r>
      <w:r>
        <w:rPr>
          <w:color w:val="231F20"/>
          <w:w w:val="105"/>
        </w:rPr>
        <w:t>Desarrollo</w:t>
      </w:r>
      <w:r>
        <w:rPr>
          <w:color w:val="231F20"/>
          <w:spacing w:val="-20"/>
          <w:w w:val="105"/>
        </w:rPr>
        <w:t> </w:t>
      </w:r>
      <w:r>
        <w:rPr>
          <w:color w:val="231F20"/>
          <w:w w:val="105"/>
        </w:rPr>
        <w:t>de</w:t>
      </w:r>
      <w:r>
        <w:rPr>
          <w:color w:val="231F20"/>
          <w:spacing w:val="-20"/>
          <w:w w:val="105"/>
        </w:rPr>
        <w:t> </w:t>
      </w:r>
      <w:r>
        <w:rPr>
          <w:color w:val="231F20"/>
          <w:w w:val="105"/>
        </w:rPr>
        <w:t>Amecameca,</w:t>
      </w:r>
      <w:r>
        <w:rPr>
          <w:color w:val="231F20"/>
          <w:spacing w:val="-20"/>
          <w:w w:val="105"/>
        </w:rPr>
        <w:t> </w:t>
      </w:r>
      <w:r>
        <w:rPr>
          <w:color w:val="231F20"/>
          <w:w w:val="105"/>
        </w:rPr>
        <w:t>se</w:t>
      </w:r>
      <w:r>
        <w:rPr>
          <w:color w:val="231F20"/>
          <w:spacing w:val="-20"/>
          <w:w w:val="105"/>
        </w:rPr>
        <w:t> </w:t>
      </w:r>
      <w:r>
        <w:rPr>
          <w:color w:val="231F20"/>
          <w:w w:val="105"/>
        </w:rPr>
        <w:t>convocaron</w:t>
      </w:r>
      <w:r>
        <w:rPr>
          <w:color w:val="231F20"/>
          <w:spacing w:val="-20"/>
          <w:w w:val="105"/>
        </w:rPr>
        <w:t> </w:t>
      </w:r>
      <w:r>
        <w:rPr>
          <w:color w:val="231F20"/>
          <w:w w:val="105"/>
        </w:rPr>
        <w:t>foros,</w:t>
      </w:r>
      <w:r>
        <w:rPr>
          <w:color w:val="231F20"/>
          <w:spacing w:val="-20"/>
          <w:w w:val="105"/>
        </w:rPr>
        <w:t> </w:t>
      </w:r>
      <w:r>
        <w:rPr>
          <w:color w:val="231F20"/>
          <w:w w:val="105"/>
        </w:rPr>
        <w:t>pero sobre</w:t>
      </w:r>
      <w:r>
        <w:rPr>
          <w:color w:val="231F20"/>
          <w:spacing w:val="-13"/>
          <w:w w:val="105"/>
        </w:rPr>
        <w:t> </w:t>
      </w:r>
      <w:r>
        <w:rPr>
          <w:color w:val="231F20"/>
          <w:w w:val="105"/>
        </w:rPr>
        <w:t>todo,</w:t>
      </w:r>
      <w:r>
        <w:rPr>
          <w:color w:val="231F20"/>
          <w:spacing w:val="-13"/>
          <w:w w:val="105"/>
        </w:rPr>
        <w:t> </w:t>
      </w:r>
      <w:r>
        <w:rPr>
          <w:color w:val="231F20"/>
          <w:w w:val="105"/>
        </w:rPr>
        <w:t>los</w:t>
      </w:r>
      <w:r>
        <w:rPr>
          <w:color w:val="231F20"/>
          <w:spacing w:val="-13"/>
          <w:w w:val="105"/>
        </w:rPr>
        <w:t> </w:t>
      </w:r>
      <w:r>
        <w:rPr>
          <w:color w:val="231F20"/>
          <w:w w:val="105"/>
        </w:rPr>
        <w:t>referentes</w:t>
      </w:r>
      <w:r>
        <w:rPr>
          <w:color w:val="231F20"/>
          <w:spacing w:val="-13"/>
          <w:w w:val="105"/>
        </w:rPr>
        <w:t> </w:t>
      </w:r>
      <w:r>
        <w:rPr>
          <w:color w:val="231F20"/>
          <w:w w:val="105"/>
        </w:rPr>
        <w:t>y</w:t>
      </w:r>
      <w:r>
        <w:rPr>
          <w:color w:val="231F20"/>
          <w:spacing w:val="-13"/>
          <w:w w:val="105"/>
        </w:rPr>
        <w:t> </w:t>
      </w:r>
      <w:r>
        <w:rPr>
          <w:color w:val="231F20"/>
          <w:w w:val="105"/>
        </w:rPr>
        <w:t>compromisos</w:t>
      </w:r>
      <w:r>
        <w:rPr>
          <w:color w:val="231F20"/>
          <w:spacing w:val="-13"/>
          <w:w w:val="105"/>
        </w:rPr>
        <w:t> </w:t>
      </w:r>
      <w:r>
        <w:rPr>
          <w:color w:val="231F20"/>
          <w:w w:val="105"/>
        </w:rPr>
        <w:t>recogidos</w:t>
      </w:r>
      <w:r>
        <w:rPr>
          <w:color w:val="231F20"/>
          <w:spacing w:val="-13"/>
          <w:w w:val="105"/>
        </w:rPr>
        <w:t> </w:t>
      </w:r>
      <w:r>
        <w:rPr>
          <w:color w:val="231F20"/>
          <w:w w:val="105"/>
        </w:rPr>
        <w:t>durante</w:t>
      </w:r>
      <w:r>
        <w:rPr>
          <w:color w:val="231F20"/>
          <w:spacing w:val="-13"/>
          <w:w w:val="105"/>
        </w:rPr>
        <w:t> </w:t>
      </w:r>
      <w:r>
        <w:rPr>
          <w:color w:val="231F20"/>
          <w:w w:val="105"/>
        </w:rPr>
        <w:t>la</w:t>
      </w:r>
      <w:r>
        <w:rPr>
          <w:color w:val="231F20"/>
          <w:spacing w:val="-13"/>
          <w:w w:val="105"/>
        </w:rPr>
        <w:t> </w:t>
      </w:r>
      <w:r>
        <w:rPr>
          <w:color w:val="231F20"/>
          <w:w w:val="105"/>
        </w:rPr>
        <w:t>campaña</w:t>
      </w:r>
      <w:r>
        <w:rPr>
          <w:color w:val="231F20"/>
          <w:spacing w:val="-13"/>
          <w:w w:val="105"/>
        </w:rPr>
        <w:t> </w:t>
      </w:r>
      <w:r>
        <w:rPr>
          <w:color w:val="231F20"/>
          <w:w w:val="105"/>
        </w:rPr>
        <w:t>son</w:t>
      </w:r>
      <w:r>
        <w:rPr>
          <w:color w:val="231F20"/>
          <w:spacing w:val="-13"/>
          <w:w w:val="105"/>
        </w:rPr>
        <w:t> </w:t>
      </w:r>
      <w:r>
        <w:rPr>
          <w:color w:val="231F20"/>
          <w:w w:val="105"/>
        </w:rPr>
        <w:t>las</w:t>
      </w:r>
      <w:r>
        <w:rPr>
          <w:color w:val="231F20"/>
          <w:spacing w:val="-13"/>
          <w:w w:val="105"/>
        </w:rPr>
        <w:t> </w:t>
      </w:r>
      <w:r>
        <w:rPr>
          <w:color w:val="231F20"/>
          <w:w w:val="105"/>
        </w:rPr>
        <w:t>deman- das consideradas para estructurar el documento y dar respuesta a la población. En el Plan</w:t>
      </w:r>
      <w:r>
        <w:rPr>
          <w:color w:val="231F20"/>
          <w:spacing w:val="-9"/>
          <w:w w:val="105"/>
        </w:rPr>
        <w:t> </w:t>
      </w:r>
      <w:r>
        <w:rPr>
          <w:color w:val="231F20"/>
          <w:w w:val="105"/>
        </w:rPr>
        <w:t>se</w:t>
      </w:r>
      <w:r>
        <w:rPr>
          <w:color w:val="231F20"/>
          <w:spacing w:val="-9"/>
          <w:w w:val="105"/>
        </w:rPr>
        <w:t> </w:t>
      </w:r>
      <w:r>
        <w:rPr>
          <w:color w:val="231F20"/>
          <w:w w:val="105"/>
        </w:rPr>
        <w:t>incluye</w:t>
      </w:r>
      <w:r>
        <w:rPr>
          <w:color w:val="231F20"/>
          <w:spacing w:val="-9"/>
          <w:w w:val="105"/>
        </w:rPr>
        <w:t> </w:t>
      </w:r>
      <w:r>
        <w:rPr>
          <w:color w:val="231F20"/>
          <w:w w:val="105"/>
        </w:rPr>
        <w:t>un</w:t>
      </w:r>
      <w:r>
        <w:rPr>
          <w:color w:val="231F20"/>
          <w:spacing w:val="-9"/>
          <w:w w:val="105"/>
        </w:rPr>
        <w:t> </w:t>
      </w:r>
      <w:r>
        <w:rPr>
          <w:color w:val="231F20"/>
          <w:w w:val="105"/>
        </w:rPr>
        <w:t>diagnóstico</w:t>
      </w:r>
      <w:r>
        <w:rPr>
          <w:color w:val="231F20"/>
          <w:spacing w:val="-9"/>
          <w:w w:val="105"/>
        </w:rPr>
        <w:t> </w:t>
      </w:r>
      <w:r>
        <w:rPr>
          <w:color w:val="231F20"/>
          <w:w w:val="105"/>
        </w:rPr>
        <w:t>rico</w:t>
      </w:r>
      <w:r>
        <w:rPr>
          <w:color w:val="231F20"/>
          <w:spacing w:val="-9"/>
          <w:w w:val="105"/>
        </w:rPr>
        <w:t> </w:t>
      </w:r>
      <w:r>
        <w:rPr>
          <w:color w:val="231F20"/>
          <w:w w:val="105"/>
        </w:rPr>
        <w:t>en</w:t>
      </w:r>
      <w:r>
        <w:rPr>
          <w:color w:val="231F20"/>
          <w:spacing w:val="-9"/>
          <w:w w:val="105"/>
        </w:rPr>
        <w:t> </w:t>
      </w:r>
      <w:r>
        <w:rPr>
          <w:color w:val="231F20"/>
          <w:w w:val="105"/>
        </w:rPr>
        <w:t>datos,</w:t>
      </w:r>
      <w:r>
        <w:rPr>
          <w:color w:val="231F20"/>
          <w:spacing w:val="-9"/>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la</w:t>
      </w:r>
      <w:r>
        <w:rPr>
          <w:color w:val="231F20"/>
          <w:spacing w:val="-9"/>
          <w:w w:val="105"/>
        </w:rPr>
        <w:t> </w:t>
      </w:r>
      <w:r>
        <w:rPr>
          <w:color w:val="231F20"/>
          <w:w w:val="105"/>
        </w:rPr>
        <w:t>propuesta</w:t>
      </w:r>
      <w:r>
        <w:rPr>
          <w:color w:val="231F20"/>
          <w:spacing w:val="-9"/>
          <w:w w:val="105"/>
        </w:rPr>
        <w:t> </w:t>
      </w:r>
      <w:r>
        <w:rPr>
          <w:color w:val="231F20"/>
          <w:w w:val="105"/>
        </w:rPr>
        <w:t>para</w:t>
      </w:r>
      <w:r>
        <w:rPr>
          <w:color w:val="231F20"/>
          <w:spacing w:val="-9"/>
          <w:w w:val="105"/>
        </w:rPr>
        <w:t> </w:t>
      </w:r>
      <w:r>
        <w:rPr>
          <w:color w:val="231F20"/>
          <w:w w:val="105"/>
        </w:rPr>
        <w:t>atender</w:t>
      </w:r>
      <w:r>
        <w:rPr>
          <w:color w:val="231F20"/>
          <w:spacing w:val="-9"/>
          <w:w w:val="105"/>
        </w:rPr>
        <w:t> </w:t>
      </w:r>
      <w:r>
        <w:rPr>
          <w:color w:val="231F20"/>
          <w:w w:val="105"/>
        </w:rPr>
        <w:t>las</w:t>
      </w:r>
      <w:r>
        <w:rPr>
          <w:color w:val="231F20"/>
          <w:spacing w:val="-9"/>
          <w:w w:val="105"/>
        </w:rPr>
        <w:t> </w:t>
      </w:r>
      <w:r>
        <w:rPr>
          <w:color w:val="231F20"/>
          <w:w w:val="105"/>
        </w:rPr>
        <w:t>de- mandas</w:t>
      </w:r>
      <w:r>
        <w:rPr>
          <w:color w:val="231F20"/>
          <w:spacing w:val="-17"/>
          <w:w w:val="105"/>
        </w:rPr>
        <w:t> </w:t>
      </w:r>
      <w:r>
        <w:rPr>
          <w:color w:val="231F20"/>
          <w:w w:val="105"/>
        </w:rPr>
        <w:t>municipales.</w:t>
      </w:r>
      <w:r>
        <w:rPr>
          <w:color w:val="231F20"/>
          <w:spacing w:val="-17"/>
          <w:w w:val="105"/>
        </w:rPr>
        <w:t> </w:t>
      </w:r>
      <w:r>
        <w:rPr>
          <w:color w:val="231F20"/>
          <w:w w:val="105"/>
        </w:rPr>
        <w:t>El</w:t>
      </w:r>
      <w:r>
        <w:rPr>
          <w:color w:val="231F20"/>
          <w:spacing w:val="-17"/>
          <w:w w:val="105"/>
        </w:rPr>
        <w:t> </w:t>
      </w:r>
      <w:r>
        <w:rPr>
          <w:color w:val="231F20"/>
          <w:w w:val="105"/>
        </w:rPr>
        <w:t>gobierno</w:t>
      </w:r>
      <w:r>
        <w:rPr>
          <w:color w:val="231F20"/>
          <w:spacing w:val="-17"/>
          <w:w w:val="105"/>
        </w:rPr>
        <w:t> </w:t>
      </w:r>
      <w:r>
        <w:rPr>
          <w:color w:val="231F20"/>
          <w:w w:val="105"/>
        </w:rPr>
        <w:t>identificó</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problemas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comunidad</w:t>
      </w:r>
      <w:r>
        <w:rPr>
          <w:color w:val="231F20"/>
          <w:spacing w:val="-17"/>
          <w:w w:val="105"/>
        </w:rPr>
        <w:t> </w:t>
      </w:r>
      <w:r>
        <w:rPr>
          <w:color w:val="231F20"/>
          <w:w w:val="105"/>
        </w:rPr>
        <w:t>estaban en</w:t>
      </w:r>
      <w:r>
        <w:rPr>
          <w:color w:val="231F20"/>
          <w:spacing w:val="-11"/>
          <w:w w:val="105"/>
        </w:rPr>
        <w:t> </w:t>
      </w:r>
      <w:r>
        <w:rPr>
          <w:color w:val="231F20"/>
          <w:w w:val="105"/>
        </w:rPr>
        <w:t>torno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seguridad</w:t>
      </w:r>
      <w:r>
        <w:rPr>
          <w:color w:val="231F20"/>
          <w:spacing w:val="-11"/>
          <w:w w:val="105"/>
        </w:rPr>
        <w:t> </w:t>
      </w:r>
      <w:r>
        <w:rPr>
          <w:color w:val="231F20"/>
          <w:w w:val="105"/>
        </w:rPr>
        <w:t>pública,</w:t>
      </w:r>
      <w:r>
        <w:rPr>
          <w:color w:val="231F20"/>
          <w:spacing w:val="-11"/>
          <w:w w:val="105"/>
        </w:rPr>
        <w:t> </w:t>
      </w:r>
      <w:r>
        <w:rPr>
          <w:color w:val="231F20"/>
          <w:w w:val="105"/>
        </w:rPr>
        <w:t>agua</w:t>
      </w:r>
      <w:r>
        <w:rPr>
          <w:color w:val="231F20"/>
          <w:spacing w:val="-11"/>
          <w:w w:val="105"/>
        </w:rPr>
        <w:t> </w:t>
      </w:r>
      <w:r>
        <w:rPr>
          <w:color w:val="231F20"/>
          <w:w w:val="105"/>
        </w:rPr>
        <w:t>potable,</w:t>
      </w:r>
      <w:r>
        <w:rPr>
          <w:color w:val="231F20"/>
          <w:spacing w:val="-11"/>
          <w:w w:val="105"/>
        </w:rPr>
        <w:t> </w:t>
      </w:r>
      <w:r>
        <w:rPr>
          <w:color w:val="231F20"/>
          <w:w w:val="105"/>
        </w:rPr>
        <w:t>turismo,</w:t>
      </w:r>
      <w:r>
        <w:rPr>
          <w:color w:val="231F20"/>
          <w:spacing w:val="-11"/>
          <w:w w:val="105"/>
        </w:rPr>
        <w:t> </w:t>
      </w:r>
      <w:r>
        <w:rPr>
          <w:color w:val="231F20"/>
          <w:w w:val="105"/>
        </w:rPr>
        <w:t>empleo,</w:t>
      </w:r>
      <w:r>
        <w:rPr>
          <w:color w:val="231F20"/>
          <w:spacing w:val="-11"/>
          <w:w w:val="105"/>
        </w:rPr>
        <w:t> </w:t>
      </w:r>
      <w:r>
        <w:rPr>
          <w:color w:val="231F20"/>
          <w:w w:val="105"/>
        </w:rPr>
        <w:t>educación</w:t>
      </w:r>
      <w:r>
        <w:rPr>
          <w:color w:val="231F20"/>
          <w:spacing w:val="-11"/>
          <w:w w:val="105"/>
        </w:rPr>
        <w:t> </w:t>
      </w:r>
      <w:r>
        <w:rPr>
          <w:color w:val="231F20"/>
          <w:w w:val="105"/>
        </w:rPr>
        <w:t>y</w:t>
      </w:r>
      <w:r>
        <w:rPr>
          <w:color w:val="231F20"/>
          <w:spacing w:val="-11"/>
          <w:w w:val="105"/>
        </w:rPr>
        <w:t> </w:t>
      </w:r>
      <w:r>
        <w:rPr>
          <w:color w:val="231F20"/>
          <w:w w:val="105"/>
        </w:rPr>
        <w:t>deporte.</w:t>
      </w:r>
      <w:r>
        <w:rPr>
          <w:color w:val="231F20"/>
          <w:spacing w:val="-11"/>
          <w:w w:val="105"/>
        </w:rPr>
        <w:t> </w:t>
      </w:r>
      <w:r>
        <w:rPr>
          <w:color w:val="231F20"/>
          <w:w w:val="105"/>
        </w:rPr>
        <w:t>El mismo gobierno toma la decisión de incorporarlos como ejes rectores. Ante estos dos hechos del gobierno municipal se sitúan dos etapas de la elaboración de políticas, la identificación</w:t>
      </w:r>
      <w:r>
        <w:rPr>
          <w:color w:val="231F20"/>
          <w:spacing w:val="-14"/>
          <w:w w:val="105"/>
        </w:rPr>
        <w:t> </w:t>
      </w:r>
      <w:r>
        <w:rPr>
          <w:color w:val="231F20"/>
          <w:w w:val="105"/>
        </w:rPr>
        <w:t>de</w:t>
      </w:r>
      <w:r>
        <w:rPr>
          <w:color w:val="231F20"/>
          <w:spacing w:val="-14"/>
          <w:w w:val="105"/>
        </w:rPr>
        <w:t> </w:t>
      </w:r>
      <w:r>
        <w:rPr>
          <w:color w:val="231F20"/>
          <w:w w:val="105"/>
        </w:rPr>
        <w:t>problemas</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formulación</w:t>
      </w:r>
      <w:r>
        <w:rPr>
          <w:color w:val="231F20"/>
          <w:spacing w:val="-14"/>
          <w:w w:val="105"/>
        </w:rPr>
        <w:t> </w:t>
      </w:r>
      <w:r>
        <w:rPr>
          <w:color w:val="231F20"/>
          <w:w w:val="105"/>
        </w:rPr>
        <w:t>de</w:t>
      </w:r>
      <w:r>
        <w:rPr>
          <w:color w:val="231F20"/>
          <w:spacing w:val="-14"/>
          <w:w w:val="105"/>
        </w:rPr>
        <w:t> </w:t>
      </w:r>
      <w:r>
        <w:rPr>
          <w:color w:val="231F20"/>
          <w:w w:val="105"/>
        </w:rPr>
        <w:t>políticas</w:t>
      </w:r>
      <w:r>
        <w:rPr>
          <w:color w:val="231F20"/>
          <w:spacing w:val="-14"/>
          <w:w w:val="105"/>
        </w:rPr>
        <w:t> </w:t>
      </w:r>
      <w:r>
        <w:rPr>
          <w:color w:val="231F20"/>
          <w:w w:val="105"/>
        </w:rPr>
        <w:t>o</w:t>
      </w:r>
      <w:r>
        <w:rPr>
          <w:color w:val="231F20"/>
          <w:spacing w:val="-14"/>
          <w:w w:val="105"/>
        </w:rPr>
        <w:t> </w:t>
      </w:r>
      <w:r>
        <w:rPr>
          <w:color w:val="231F20"/>
          <w:w w:val="105"/>
        </w:rPr>
        <w:t>alternativas.</w:t>
      </w:r>
      <w:r>
        <w:rPr>
          <w:color w:val="231F20"/>
          <w:spacing w:val="-14"/>
          <w:w w:val="105"/>
        </w:rPr>
        <w:t> </w:t>
      </w:r>
      <w:r>
        <w:rPr>
          <w:color w:val="231F20"/>
          <w:w w:val="105"/>
        </w:rPr>
        <w:t>Momentos</w:t>
      </w:r>
      <w:r>
        <w:rPr>
          <w:color w:val="231F20"/>
          <w:spacing w:val="-14"/>
          <w:w w:val="105"/>
        </w:rPr>
        <w:t> </w:t>
      </w:r>
      <w:r>
        <w:rPr>
          <w:color w:val="231F20"/>
          <w:w w:val="105"/>
        </w:rPr>
        <w:t>que no</w:t>
      </w:r>
      <w:r>
        <w:rPr>
          <w:color w:val="231F20"/>
          <w:spacing w:val="-7"/>
          <w:w w:val="105"/>
        </w:rPr>
        <w:t> </w:t>
      </w:r>
      <w:r>
        <w:rPr>
          <w:color w:val="231F20"/>
          <w:w w:val="105"/>
        </w:rPr>
        <w:t>son</w:t>
      </w:r>
      <w:r>
        <w:rPr>
          <w:color w:val="231F20"/>
          <w:spacing w:val="-7"/>
          <w:w w:val="105"/>
        </w:rPr>
        <w:t> </w:t>
      </w:r>
      <w:r>
        <w:rPr>
          <w:color w:val="231F20"/>
          <w:w w:val="105"/>
        </w:rPr>
        <w:t>cuestionados</w:t>
      </w:r>
      <w:r>
        <w:rPr>
          <w:color w:val="231F20"/>
          <w:spacing w:val="-7"/>
          <w:w w:val="105"/>
        </w:rPr>
        <w:t> </w:t>
      </w:r>
      <w:r>
        <w:rPr>
          <w:color w:val="231F20"/>
          <w:w w:val="105"/>
        </w:rPr>
        <w:t>ni</w:t>
      </w:r>
      <w:r>
        <w:rPr>
          <w:color w:val="231F20"/>
          <w:spacing w:val="-7"/>
          <w:w w:val="105"/>
        </w:rPr>
        <w:t> </w:t>
      </w:r>
      <w:r>
        <w:rPr>
          <w:color w:val="231F20"/>
          <w:w w:val="105"/>
        </w:rPr>
        <w:t>influidos</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partido</w:t>
      </w:r>
      <w:r>
        <w:rPr>
          <w:color w:val="231F20"/>
          <w:spacing w:val="-7"/>
          <w:w w:val="105"/>
        </w:rPr>
        <w:t> </w:t>
      </w:r>
      <w:r>
        <w:rPr>
          <w:color w:val="231F20"/>
          <w:w w:val="105"/>
        </w:rPr>
        <w:t>del</w:t>
      </w:r>
      <w:r>
        <w:rPr>
          <w:color w:val="231F20"/>
          <w:spacing w:val="-7"/>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8"/>
          <w:w w:val="105"/>
        </w:rPr>
        <w:t> </w:t>
      </w:r>
      <w:r>
        <w:rPr>
          <w:color w:val="231F20"/>
          <w:w w:val="105"/>
        </w:rPr>
        <w:t>cuanto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estructura</w:t>
      </w:r>
      <w:r>
        <w:rPr>
          <w:color w:val="231F20"/>
          <w:spacing w:val="-8"/>
          <w:w w:val="105"/>
        </w:rPr>
        <w:t> </w:t>
      </w:r>
      <w:r>
        <w:rPr>
          <w:color w:val="231F20"/>
          <w:w w:val="105"/>
        </w:rPr>
        <w:t>del</w:t>
      </w:r>
      <w:r>
        <w:rPr>
          <w:color w:val="231F20"/>
          <w:spacing w:val="-8"/>
          <w:w w:val="105"/>
        </w:rPr>
        <w:t> </w:t>
      </w:r>
      <w:r>
        <w:rPr>
          <w:color w:val="231F20"/>
          <w:w w:val="105"/>
        </w:rPr>
        <w:t>Plan,</w:t>
      </w:r>
      <w:r>
        <w:rPr>
          <w:color w:val="231F20"/>
          <w:spacing w:val="-8"/>
          <w:w w:val="105"/>
        </w:rPr>
        <w:t> </w:t>
      </w:r>
      <w:r>
        <w:rPr>
          <w:color w:val="231F20"/>
          <w:w w:val="105"/>
        </w:rPr>
        <w:t>esta</w:t>
      </w:r>
      <w:r>
        <w:rPr>
          <w:color w:val="231F20"/>
          <w:spacing w:val="-8"/>
          <w:w w:val="105"/>
        </w:rPr>
        <w:t> </w:t>
      </w:r>
      <w:r>
        <w:rPr>
          <w:color w:val="231F20"/>
          <w:w w:val="105"/>
        </w:rPr>
        <w:t>responde</w:t>
      </w:r>
      <w:r>
        <w:rPr>
          <w:color w:val="231F20"/>
          <w:spacing w:val="-8"/>
          <w:w w:val="105"/>
        </w:rPr>
        <w:t> </w:t>
      </w:r>
      <w:r>
        <w:rPr>
          <w:color w:val="231F20"/>
          <w:spacing w:val="2"/>
          <w:w w:val="105"/>
        </w:rPr>
        <w:t>al</w:t>
      </w:r>
      <w:r>
        <w:rPr>
          <w:color w:val="231F20"/>
          <w:spacing w:val="-8"/>
          <w:w w:val="105"/>
        </w:rPr>
        <w:t> </w:t>
      </w:r>
      <w:r>
        <w:rPr>
          <w:color w:val="231F20"/>
          <w:w w:val="105"/>
        </w:rPr>
        <w:t>isomorfismo</w:t>
      </w:r>
      <w:r>
        <w:rPr>
          <w:color w:val="231F20"/>
          <w:spacing w:val="-8"/>
          <w:w w:val="105"/>
        </w:rPr>
        <w:t> </w:t>
      </w:r>
      <w:r>
        <w:rPr>
          <w:color w:val="231F20"/>
          <w:w w:val="105"/>
        </w:rPr>
        <w:t>inducido</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Secre- taría</w:t>
      </w:r>
      <w:r>
        <w:rPr>
          <w:color w:val="231F20"/>
          <w:spacing w:val="-13"/>
          <w:w w:val="105"/>
        </w:rPr>
        <w:t> </w:t>
      </w:r>
      <w:r>
        <w:rPr>
          <w:color w:val="231F20"/>
          <w:w w:val="105"/>
        </w:rPr>
        <w:t>de</w:t>
      </w:r>
      <w:r>
        <w:rPr>
          <w:color w:val="231F20"/>
          <w:spacing w:val="-13"/>
          <w:w w:val="105"/>
        </w:rPr>
        <w:t> </w:t>
      </w:r>
      <w:r>
        <w:rPr>
          <w:color w:val="231F20"/>
          <w:w w:val="105"/>
        </w:rPr>
        <w:t>Finanzas</w:t>
      </w:r>
      <w:r>
        <w:rPr>
          <w:color w:val="231F20"/>
          <w:spacing w:val="-13"/>
          <w:w w:val="105"/>
        </w:rPr>
        <w:t> </w:t>
      </w:r>
      <w:r>
        <w:rPr>
          <w:color w:val="231F20"/>
          <w:w w:val="105"/>
        </w:rPr>
        <w:t>del</w:t>
      </w:r>
      <w:r>
        <w:rPr>
          <w:color w:val="231F20"/>
          <w:spacing w:val="-13"/>
          <w:w w:val="105"/>
        </w:rPr>
        <w:t> </w:t>
      </w:r>
      <w:r>
        <w:rPr>
          <w:color w:val="231F20"/>
          <w:w w:val="105"/>
        </w:rPr>
        <w:t>Gobierno</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(Sánchez,</w:t>
      </w:r>
      <w:r>
        <w:rPr>
          <w:color w:val="231F20"/>
          <w:spacing w:val="-13"/>
          <w:w w:val="105"/>
        </w:rPr>
        <w:t> </w:t>
      </w:r>
      <w:r>
        <w:rPr>
          <w:color w:val="231F20"/>
          <w:w w:val="105"/>
        </w:rPr>
        <w:t>2007).</w:t>
      </w:r>
      <w:r>
        <w:rPr>
          <w:color w:val="231F20"/>
          <w:spacing w:val="-13"/>
          <w:w w:val="105"/>
        </w:rPr>
        <w:t> </w:t>
      </w:r>
      <w:r>
        <w:rPr>
          <w:color w:val="231F20"/>
          <w:w w:val="105"/>
        </w:rPr>
        <w:t>Casi</w:t>
      </w:r>
      <w:r>
        <w:rPr>
          <w:color w:val="231F20"/>
          <w:spacing w:val="-13"/>
          <w:w w:val="105"/>
        </w:rPr>
        <w:t> </w:t>
      </w:r>
      <w:r>
        <w:rPr>
          <w:color w:val="231F20"/>
          <w:w w:val="105"/>
        </w:rPr>
        <w:t>la</w:t>
      </w:r>
      <w:r>
        <w:rPr>
          <w:color w:val="231F20"/>
          <w:spacing w:val="-13"/>
          <w:w w:val="105"/>
        </w:rPr>
        <w:t> </w:t>
      </w:r>
      <w:r>
        <w:rPr>
          <w:color w:val="231F20"/>
          <w:w w:val="105"/>
        </w:rPr>
        <w:t>totalidad de</w:t>
      </w:r>
      <w:r>
        <w:rPr>
          <w:color w:val="231F20"/>
          <w:spacing w:val="-5"/>
          <w:w w:val="105"/>
        </w:rPr>
        <w:t> </w:t>
      </w:r>
      <w:r>
        <w:rPr>
          <w:color w:val="231F20"/>
          <w:w w:val="105"/>
        </w:rPr>
        <w:t>municipios</w:t>
      </w:r>
      <w:r>
        <w:rPr>
          <w:color w:val="231F20"/>
          <w:spacing w:val="-5"/>
          <w:w w:val="105"/>
        </w:rPr>
        <w:t> </w:t>
      </w:r>
      <w:r>
        <w:rPr>
          <w:color w:val="231F20"/>
          <w:w w:val="105"/>
        </w:rPr>
        <w:t>observaron</w:t>
      </w:r>
      <w:r>
        <w:rPr>
          <w:color w:val="231F20"/>
          <w:spacing w:val="-5"/>
          <w:w w:val="105"/>
        </w:rPr>
        <w:t> </w:t>
      </w:r>
      <w:r>
        <w:rPr>
          <w:color w:val="231F20"/>
          <w:w w:val="105"/>
        </w:rPr>
        <w:t>el</w:t>
      </w:r>
      <w:r>
        <w:rPr>
          <w:color w:val="231F20"/>
          <w:spacing w:val="-5"/>
          <w:w w:val="105"/>
        </w:rPr>
        <w:t> </w:t>
      </w:r>
      <w:r>
        <w:rPr>
          <w:color w:val="231F20"/>
          <w:w w:val="105"/>
        </w:rPr>
        <w:t>esquema</w:t>
      </w:r>
      <w:r>
        <w:rPr>
          <w:color w:val="231F20"/>
          <w:spacing w:val="-5"/>
          <w:w w:val="105"/>
        </w:rPr>
        <w:t> </w:t>
      </w:r>
      <w:r>
        <w:rPr>
          <w:color w:val="231F20"/>
          <w:w w:val="105"/>
        </w:rPr>
        <w:t>recomendado</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metodología</w:t>
      </w:r>
      <w:r>
        <w:rPr>
          <w:color w:val="231F20"/>
          <w:spacing w:val="-5"/>
          <w:w w:val="105"/>
        </w:rPr>
        <w:t> </w:t>
      </w:r>
      <w:r>
        <w:rPr>
          <w:color w:val="231F20"/>
          <w:w w:val="105"/>
        </w:rPr>
        <w:t>impuesta</w:t>
      </w:r>
      <w:r>
        <w:rPr>
          <w:color w:val="231F20"/>
          <w:spacing w:val="-5"/>
          <w:w w:val="105"/>
        </w:rPr>
        <w:t> </w:t>
      </w:r>
      <w:r>
        <w:rPr>
          <w:color w:val="231F20"/>
          <w:w w:val="105"/>
        </w:rPr>
        <w:t>para</w:t>
      </w:r>
      <w:r>
        <w:rPr>
          <w:color w:val="231F20"/>
          <w:spacing w:val="-5"/>
          <w:w w:val="105"/>
        </w:rPr>
        <w:t> </w:t>
      </w:r>
      <w:r>
        <w:rPr>
          <w:color w:val="231F20"/>
          <w:w w:val="105"/>
        </w:rPr>
        <w:t>la elaboración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planes</w:t>
      </w:r>
      <w:r>
        <w:rPr>
          <w:color w:val="231F20"/>
          <w:spacing w:val="-20"/>
          <w:w w:val="105"/>
        </w:rPr>
        <w:t> </w:t>
      </w:r>
      <w:r>
        <w:rPr>
          <w:color w:val="231F20"/>
          <w:w w:val="105"/>
        </w:rPr>
        <w:t>de</w:t>
      </w:r>
      <w:r>
        <w:rPr>
          <w:color w:val="231F20"/>
          <w:spacing w:val="-20"/>
          <w:w w:val="105"/>
        </w:rPr>
        <w:t> </w:t>
      </w:r>
      <w:r>
        <w:rPr>
          <w:color w:val="231F20"/>
          <w:w w:val="105"/>
        </w:rPr>
        <w:t>desarrollo.</w:t>
      </w:r>
    </w:p>
    <w:p>
      <w:pPr>
        <w:pStyle w:val="BodyText"/>
        <w:spacing w:before="1"/>
        <w:rPr>
          <w:sz w:val="26"/>
        </w:rPr>
      </w:pPr>
    </w:p>
    <w:p>
      <w:pPr>
        <w:pStyle w:val="BodyText"/>
        <w:spacing w:line="285" w:lineRule="auto"/>
        <w:ind w:left="110" w:right="108"/>
        <w:jc w:val="both"/>
      </w:pPr>
      <w:r>
        <w:rPr>
          <w:color w:val="231F20"/>
          <w:w w:val="105"/>
        </w:rPr>
        <w:t>En Amecameca se </w:t>
      </w:r>
      <w:r>
        <w:rPr>
          <w:color w:val="231F20"/>
          <w:spacing w:val="-3"/>
          <w:w w:val="105"/>
        </w:rPr>
        <w:t>estableció </w:t>
      </w:r>
      <w:r>
        <w:rPr>
          <w:color w:val="231F20"/>
          <w:spacing w:val="-4"/>
          <w:w w:val="105"/>
        </w:rPr>
        <w:t>como </w:t>
      </w:r>
      <w:r>
        <w:rPr>
          <w:color w:val="231F20"/>
          <w:spacing w:val="-3"/>
          <w:w w:val="105"/>
        </w:rPr>
        <w:t>misión, </w:t>
      </w:r>
      <w:r>
        <w:rPr>
          <w:color w:val="231F20"/>
          <w:w w:val="105"/>
        </w:rPr>
        <w:t>“El </w:t>
      </w:r>
      <w:r>
        <w:rPr>
          <w:color w:val="231F20"/>
          <w:spacing w:val="-3"/>
          <w:w w:val="105"/>
        </w:rPr>
        <w:t>Ayuntamiento </w:t>
      </w:r>
      <w:r>
        <w:rPr>
          <w:color w:val="231F20"/>
          <w:w w:val="105"/>
        </w:rPr>
        <w:t>de Amecameca es </w:t>
      </w:r>
      <w:r>
        <w:rPr>
          <w:color w:val="231F20"/>
          <w:spacing w:val="-4"/>
          <w:w w:val="105"/>
        </w:rPr>
        <w:t>como </w:t>
      </w:r>
      <w:r>
        <w:rPr>
          <w:color w:val="231F20"/>
          <w:w w:val="105"/>
        </w:rPr>
        <w:t>cuerpo</w:t>
      </w:r>
      <w:r>
        <w:rPr>
          <w:color w:val="231F20"/>
          <w:spacing w:val="-14"/>
          <w:w w:val="105"/>
        </w:rPr>
        <w:t> </w:t>
      </w:r>
      <w:r>
        <w:rPr>
          <w:color w:val="231F20"/>
          <w:spacing w:val="-4"/>
          <w:w w:val="105"/>
        </w:rPr>
        <w:t>colegiado,</w:t>
      </w:r>
      <w:r>
        <w:rPr>
          <w:color w:val="231F20"/>
          <w:spacing w:val="-14"/>
          <w:w w:val="105"/>
        </w:rPr>
        <w:t> </w:t>
      </w:r>
      <w:r>
        <w:rPr>
          <w:color w:val="231F20"/>
          <w:w w:val="105"/>
        </w:rPr>
        <w:t>el</w:t>
      </w:r>
      <w:r>
        <w:rPr>
          <w:color w:val="231F20"/>
          <w:spacing w:val="-14"/>
          <w:w w:val="105"/>
        </w:rPr>
        <w:t> </w:t>
      </w:r>
      <w:r>
        <w:rPr>
          <w:color w:val="231F20"/>
          <w:w w:val="105"/>
        </w:rPr>
        <w:t>máximo</w:t>
      </w:r>
      <w:r>
        <w:rPr>
          <w:color w:val="231F20"/>
          <w:spacing w:val="-14"/>
          <w:w w:val="105"/>
        </w:rPr>
        <w:t> </w:t>
      </w:r>
      <w:r>
        <w:rPr>
          <w:color w:val="231F20"/>
          <w:spacing w:val="-3"/>
          <w:w w:val="105"/>
        </w:rPr>
        <w:t>órgano</w:t>
      </w:r>
      <w:r>
        <w:rPr>
          <w:color w:val="231F20"/>
          <w:spacing w:val="-14"/>
          <w:w w:val="105"/>
        </w:rPr>
        <w:t> </w:t>
      </w:r>
      <w:r>
        <w:rPr>
          <w:color w:val="231F20"/>
          <w:w w:val="105"/>
        </w:rPr>
        <w:t>de</w:t>
      </w:r>
      <w:r>
        <w:rPr>
          <w:color w:val="231F20"/>
          <w:spacing w:val="-14"/>
          <w:w w:val="105"/>
        </w:rPr>
        <w:t> </w:t>
      </w:r>
      <w:r>
        <w:rPr>
          <w:color w:val="231F20"/>
          <w:spacing w:val="-4"/>
          <w:w w:val="105"/>
        </w:rPr>
        <w:t>gobierno,</w:t>
      </w:r>
      <w:r>
        <w:rPr>
          <w:color w:val="231F20"/>
          <w:spacing w:val="-14"/>
          <w:w w:val="105"/>
        </w:rPr>
        <w:t> </w:t>
      </w:r>
      <w:r>
        <w:rPr>
          <w:color w:val="231F20"/>
          <w:spacing w:val="-3"/>
          <w:w w:val="105"/>
        </w:rPr>
        <w:t>que</w:t>
      </w:r>
      <w:r>
        <w:rPr>
          <w:color w:val="231F20"/>
          <w:spacing w:val="-14"/>
          <w:w w:val="105"/>
        </w:rPr>
        <w:t> </w:t>
      </w:r>
      <w:r>
        <w:rPr>
          <w:color w:val="231F20"/>
          <w:spacing w:val="-3"/>
          <w:w w:val="105"/>
        </w:rPr>
        <w:t>tiene</w:t>
      </w:r>
      <w:r>
        <w:rPr>
          <w:color w:val="231F20"/>
          <w:spacing w:val="-14"/>
          <w:w w:val="105"/>
        </w:rPr>
        <w:t> </w:t>
      </w:r>
      <w:r>
        <w:rPr>
          <w:color w:val="231F20"/>
          <w:spacing w:val="-4"/>
          <w:w w:val="105"/>
        </w:rPr>
        <w:t>como</w:t>
      </w:r>
      <w:r>
        <w:rPr>
          <w:color w:val="231F20"/>
          <w:spacing w:val="-14"/>
          <w:w w:val="105"/>
        </w:rPr>
        <w:t> </w:t>
      </w:r>
      <w:r>
        <w:rPr>
          <w:color w:val="231F20"/>
          <w:spacing w:val="-3"/>
          <w:w w:val="105"/>
        </w:rPr>
        <w:t>responsabilidad</w:t>
      </w:r>
      <w:r>
        <w:rPr>
          <w:color w:val="231F20"/>
          <w:spacing w:val="-14"/>
          <w:w w:val="105"/>
        </w:rPr>
        <w:t> </w:t>
      </w:r>
      <w:r>
        <w:rPr>
          <w:color w:val="231F20"/>
          <w:w w:val="105"/>
        </w:rPr>
        <w:t>funda- mental </w:t>
      </w:r>
      <w:r>
        <w:rPr>
          <w:color w:val="231F20"/>
          <w:spacing w:val="-5"/>
          <w:w w:val="105"/>
        </w:rPr>
        <w:t>promover </w:t>
      </w:r>
      <w:r>
        <w:rPr>
          <w:color w:val="231F20"/>
          <w:w w:val="105"/>
        </w:rPr>
        <w:t>el desarrollo social, </w:t>
      </w:r>
      <w:r>
        <w:rPr>
          <w:color w:val="231F20"/>
          <w:spacing w:val="-3"/>
          <w:w w:val="105"/>
        </w:rPr>
        <w:t>económico, político </w:t>
      </w:r>
      <w:r>
        <w:rPr>
          <w:color w:val="231F20"/>
          <w:w w:val="105"/>
        </w:rPr>
        <w:t>y cultural </w:t>
      </w:r>
      <w:r>
        <w:rPr>
          <w:color w:val="231F20"/>
          <w:spacing w:val="-3"/>
          <w:w w:val="105"/>
        </w:rPr>
        <w:t>del municipio </w:t>
      </w:r>
      <w:r>
        <w:rPr>
          <w:color w:val="231F20"/>
          <w:w w:val="105"/>
        </w:rPr>
        <w:t>para </w:t>
      </w:r>
      <w:r>
        <w:rPr>
          <w:color w:val="231F20"/>
          <w:spacing w:val="-3"/>
          <w:w w:val="105"/>
        </w:rPr>
        <w:t>mejorar </w:t>
      </w:r>
      <w:r>
        <w:rPr>
          <w:color w:val="231F20"/>
          <w:w w:val="105"/>
        </w:rPr>
        <w:t>las </w:t>
      </w:r>
      <w:r>
        <w:rPr>
          <w:color w:val="231F20"/>
          <w:spacing w:val="-4"/>
          <w:w w:val="105"/>
        </w:rPr>
        <w:t>condiciones </w:t>
      </w:r>
      <w:r>
        <w:rPr>
          <w:color w:val="231F20"/>
          <w:w w:val="105"/>
        </w:rPr>
        <w:t>de </w:t>
      </w:r>
      <w:r>
        <w:rPr>
          <w:color w:val="231F20"/>
          <w:spacing w:val="-3"/>
          <w:w w:val="105"/>
        </w:rPr>
        <w:t>bienestar </w:t>
      </w:r>
      <w:r>
        <w:rPr>
          <w:color w:val="231F20"/>
          <w:w w:val="105"/>
        </w:rPr>
        <w:t>de </w:t>
      </w:r>
      <w:r>
        <w:rPr>
          <w:color w:val="231F20"/>
          <w:spacing w:val="-3"/>
          <w:w w:val="105"/>
        </w:rPr>
        <w:t>todos los </w:t>
      </w:r>
      <w:r>
        <w:rPr>
          <w:color w:val="231F20"/>
          <w:w w:val="105"/>
        </w:rPr>
        <w:t>amecamequenses” </w:t>
      </w:r>
      <w:r>
        <w:rPr>
          <w:color w:val="231F20"/>
          <w:spacing w:val="-3"/>
          <w:w w:val="105"/>
        </w:rPr>
        <w:t>(Plan, </w:t>
      </w:r>
      <w:r>
        <w:rPr>
          <w:color w:val="231F20"/>
          <w:w w:val="105"/>
        </w:rPr>
        <w:t>2006: </w:t>
      </w:r>
      <w:r>
        <w:rPr>
          <w:color w:val="231F20"/>
          <w:spacing w:val="-8"/>
          <w:w w:val="105"/>
        </w:rPr>
        <w:t>143). </w:t>
      </w:r>
      <w:r>
        <w:rPr>
          <w:color w:val="231F20"/>
          <w:spacing w:val="-3"/>
          <w:w w:val="105"/>
        </w:rPr>
        <w:t>Como puede </w:t>
      </w:r>
      <w:r>
        <w:rPr>
          <w:color w:val="231F20"/>
          <w:w w:val="105"/>
        </w:rPr>
        <w:t>notarse es una misión </w:t>
      </w:r>
      <w:r>
        <w:rPr>
          <w:color w:val="231F20"/>
          <w:spacing w:val="-3"/>
          <w:w w:val="105"/>
        </w:rPr>
        <w:t>que establece </w:t>
      </w:r>
      <w:r>
        <w:rPr>
          <w:color w:val="231F20"/>
          <w:w w:val="105"/>
        </w:rPr>
        <w:t>un diseño institucional y </w:t>
      </w:r>
      <w:r>
        <w:rPr>
          <w:color w:val="231F20"/>
          <w:spacing w:val="-3"/>
          <w:w w:val="105"/>
        </w:rPr>
        <w:t>no </w:t>
      </w:r>
      <w:r>
        <w:rPr>
          <w:color w:val="231F20"/>
          <w:w w:val="105"/>
        </w:rPr>
        <w:t>se </w:t>
      </w:r>
      <w:r>
        <w:rPr>
          <w:color w:val="231F20"/>
          <w:spacing w:val="-3"/>
          <w:w w:val="105"/>
        </w:rPr>
        <w:t>puede </w:t>
      </w:r>
      <w:r>
        <w:rPr>
          <w:color w:val="231F20"/>
          <w:spacing w:val="-4"/>
          <w:w w:val="105"/>
        </w:rPr>
        <w:t>desprender</w:t>
      </w:r>
      <w:r>
        <w:rPr>
          <w:color w:val="231F20"/>
          <w:spacing w:val="-21"/>
          <w:w w:val="105"/>
        </w:rPr>
        <w:t> </w:t>
      </w:r>
      <w:r>
        <w:rPr>
          <w:color w:val="231F20"/>
          <w:spacing w:val="-3"/>
          <w:w w:val="105"/>
        </w:rPr>
        <w:t>que</w:t>
      </w:r>
      <w:r>
        <w:rPr>
          <w:color w:val="231F20"/>
          <w:spacing w:val="-21"/>
          <w:w w:val="105"/>
        </w:rPr>
        <w:t> </w:t>
      </w:r>
      <w:r>
        <w:rPr>
          <w:color w:val="231F20"/>
          <w:w w:val="105"/>
        </w:rPr>
        <w:t>aquí</w:t>
      </w:r>
      <w:r>
        <w:rPr>
          <w:color w:val="231F20"/>
          <w:spacing w:val="-21"/>
          <w:w w:val="105"/>
        </w:rPr>
        <w:t> </w:t>
      </w:r>
      <w:r>
        <w:rPr>
          <w:color w:val="231F20"/>
          <w:w w:val="105"/>
        </w:rPr>
        <w:t>esté</w:t>
      </w:r>
      <w:r>
        <w:rPr>
          <w:color w:val="231F20"/>
          <w:spacing w:val="-21"/>
          <w:w w:val="105"/>
        </w:rPr>
        <w:t> </w:t>
      </w:r>
      <w:r>
        <w:rPr>
          <w:color w:val="231F20"/>
          <w:w w:val="105"/>
        </w:rPr>
        <w:t>la</w:t>
      </w:r>
      <w:r>
        <w:rPr>
          <w:color w:val="231F20"/>
          <w:spacing w:val="-21"/>
          <w:w w:val="105"/>
        </w:rPr>
        <w:t> </w:t>
      </w:r>
      <w:r>
        <w:rPr>
          <w:color w:val="231F20"/>
          <w:w w:val="105"/>
        </w:rPr>
        <w:t>filosofía</w:t>
      </w:r>
      <w:r>
        <w:rPr>
          <w:color w:val="231F20"/>
          <w:spacing w:val="-21"/>
          <w:w w:val="105"/>
        </w:rPr>
        <w:t> </w:t>
      </w:r>
      <w:r>
        <w:rPr>
          <w:color w:val="231F20"/>
          <w:spacing w:val="-3"/>
          <w:w w:val="105"/>
        </w:rPr>
        <w:t>del</w:t>
      </w:r>
      <w:r>
        <w:rPr>
          <w:color w:val="231F20"/>
          <w:spacing w:val="-21"/>
          <w:w w:val="105"/>
        </w:rPr>
        <w:t> </w:t>
      </w:r>
      <w:r>
        <w:rPr>
          <w:color w:val="231F20"/>
          <w:w w:val="105"/>
        </w:rPr>
        <w:t>partido,</w:t>
      </w:r>
      <w:r>
        <w:rPr>
          <w:color w:val="231F20"/>
          <w:spacing w:val="-21"/>
          <w:w w:val="105"/>
        </w:rPr>
        <w:t> </w:t>
      </w:r>
      <w:r>
        <w:rPr>
          <w:color w:val="231F20"/>
          <w:w w:val="105"/>
        </w:rPr>
        <w:t>es</w:t>
      </w:r>
      <w:r>
        <w:rPr>
          <w:color w:val="231F20"/>
          <w:spacing w:val="-21"/>
          <w:w w:val="105"/>
        </w:rPr>
        <w:t> </w:t>
      </w:r>
      <w:r>
        <w:rPr>
          <w:color w:val="231F20"/>
          <w:w w:val="105"/>
        </w:rPr>
        <w:t>una</w:t>
      </w:r>
      <w:r>
        <w:rPr>
          <w:color w:val="231F20"/>
          <w:spacing w:val="-21"/>
          <w:w w:val="105"/>
        </w:rPr>
        <w:t> </w:t>
      </w:r>
      <w:r>
        <w:rPr>
          <w:color w:val="231F20"/>
          <w:spacing w:val="-4"/>
          <w:w w:val="105"/>
        </w:rPr>
        <w:t>pretensión</w:t>
      </w:r>
      <w:r>
        <w:rPr>
          <w:color w:val="231F20"/>
          <w:spacing w:val="-21"/>
          <w:w w:val="105"/>
        </w:rPr>
        <w:t> </w:t>
      </w:r>
      <w:r>
        <w:rPr>
          <w:color w:val="231F20"/>
          <w:w w:val="105"/>
        </w:rPr>
        <w:t>universal</w:t>
      </w:r>
      <w:r>
        <w:rPr>
          <w:color w:val="231F20"/>
          <w:spacing w:val="-21"/>
          <w:w w:val="105"/>
        </w:rPr>
        <w:t> </w:t>
      </w:r>
      <w:r>
        <w:rPr>
          <w:color w:val="231F20"/>
          <w:w w:val="105"/>
        </w:rPr>
        <w:t>y</w:t>
      </w:r>
      <w:r>
        <w:rPr>
          <w:color w:val="231F20"/>
          <w:spacing w:val="-21"/>
          <w:w w:val="105"/>
        </w:rPr>
        <w:t> </w:t>
      </w:r>
      <w:r>
        <w:rPr>
          <w:color w:val="231F20"/>
          <w:w w:val="105"/>
        </w:rPr>
        <w:t>exigida</w:t>
      </w:r>
      <w:r>
        <w:rPr>
          <w:color w:val="231F20"/>
          <w:spacing w:val="-21"/>
          <w:w w:val="105"/>
        </w:rPr>
        <w:t> </w:t>
      </w:r>
      <w:r>
        <w:rPr>
          <w:color w:val="231F20"/>
          <w:spacing w:val="-3"/>
          <w:w w:val="105"/>
        </w:rPr>
        <w:t>que </w:t>
      </w:r>
      <w:r>
        <w:rPr>
          <w:color w:val="231F20"/>
          <w:w w:val="105"/>
        </w:rPr>
        <w:t>se</w:t>
      </w:r>
      <w:r>
        <w:rPr>
          <w:color w:val="231F20"/>
          <w:spacing w:val="-15"/>
          <w:w w:val="105"/>
        </w:rPr>
        <w:t> </w:t>
      </w:r>
      <w:r>
        <w:rPr>
          <w:color w:val="231F20"/>
          <w:spacing w:val="-3"/>
          <w:w w:val="105"/>
        </w:rPr>
        <w:t>requiere</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spacing w:val="-4"/>
          <w:w w:val="105"/>
        </w:rPr>
        <w:t>gobierno,</w:t>
      </w:r>
      <w:r>
        <w:rPr>
          <w:color w:val="231F20"/>
          <w:spacing w:val="-15"/>
          <w:w w:val="105"/>
        </w:rPr>
        <w:t> </w:t>
      </w:r>
      <w:r>
        <w:rPr>
          <w:color w:val="231F20"/>
          <w:spacing w:val="-3"/>
          <w:w w:val="105"/>
        </w:rPr>
        <w:t>pero</w:t>
      </w:r>
      <w:r>
        <w:rPr>
          <w:color w:val="231F20"/>
          <w:spacing w:val="-15"/>
          <w:w w:val="105"/>
        </w:rPr>
        <w:t> </w:t>
      </w:r>
      <w:r>
        <w:rPr>
          <w:color w:val="231F20"/>
          <w:spacing w:val="-3"/>
          <w:w w:val="105"/>
        </w:rPr>
        <w:t>no</w:t>
      </w:r>
      <w:r>
        <w:rPr>
          <w:color w:val="231F20"/>
          <w:spacing w:val="-15"/>
          <w:w w:val="105"/>
        </w:rPr>
        <w:t> </w:t>
      </w:r>
      <w:r>
        <w:rPr>
          <w:color w:val="231F20"/>
          <w:w w:val="105"/>
        </w:rPr>
        <w:t>refleja</w:t>
      </w:r>
      <w:r>
        <w:rPr>
          <w:color w:val="231F20"/>
          <w:spacing w:val="-15"/>
          <w:w w:val="105"/>
        </w:rPr>
        <w:t> </w:t>
      </w:r>
      <w:r>
        <w:rPr>
          <w:color w:val="231F20"/>
          <w:spacing w:val="-3"/>
          <w:w w:val="105"/>
        </w:rPr>
        <w:t>por</w:t>
      </w:r>
      <w:r>
        <w:rPr>
          <w:color w:val="231F20"/>
          <w:spacing w:val="-15"/>
          <w:w w:val="105"/>
        </w:rPr>
        <w:t> </w:t>
      </w:r>
      <w:r>
        <w:rPr>
          <w:color w:val="231F20"/>
          <w:w w:val="105"/>
        </w:rPr>
        <w:t>sí</w:t>
      </w:r>
      <w:r>
        <w:rPr>
          <w:color w:val="231F20"/>
          <w:spacing w:val="-15"/>
          <w:w w:val="105"/>
        </w:rPr>
        <w:t> </w:t>
      </w:r>
      <w:r>
        <w:rPr>
          <w:color w:val="231F20"/>
          <w:spacing w:val="-3"/>
          <w:w w:val="105"/>
        </w:rPr>
        <w:t>los</w:t>
      </w:r>
      <w:r>
        <w:rPr>
          <w:color w:val="231F20"/>
          <w:spacing w:val="-15"/>
          <w:w w:val="105"/>
        </w:rPr>
        <w:t> </w:t>
      </w:r>
      <w:r>
        <w:rPr>
          <w:color w:val="231F20"/>
          <w:spacing w:val="-3"/>
          <w:w w:val="105"/>
        </w:rPr>
        <w:t>principios</w:t>
      </w:r>
      <w:r>
        <w:rPr>
          <w:color w:val="231F20"/>
          <w:spacing w:val="-15"/>
          <w:w w:val="105"/>
        </w:rPr>
        <w:t> </w:t>
      </w:r>
      <w:r>
        <w:rPr>
          <w:color w:val="231F20"/>
          <w:spacing w:val="-3"/>
          <w:w w:val="105"/>
        </w:rPr>
        <w:t>del</w:t>
      </w:r>
      <w:r>
        <w:rPr>
          <w:color w:val="231F20"/>
          <w:spacing w:val="-15"/>
          <w:w w:val="105"/>
        </w:rPr>
        <w:t> </w:t>
      </w:r>
      <w:r>
        <w:rPr>
          <w:color w:val="231F20"/>
          <w:w w:val="105"/>
        </w:rPr>
        <w:t>partido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4"/>
          <w:w w:val="105"/>
        </w:rPr>
        <w:t>gobierno.</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1"/>
          <w:w w:val="105"/>
        </w:rPr>
        <w:t> </w:t>
      </w:r>
      <w:r>
        <w:rPr>
          <w:color w:val="231F20"/>
          <w:w w:val="105"/>
        </w:rPr>
        <w:t>visión</w:t>
      </w:r>
      <w:r>
        <w:rPr>
          <w:color w:val="231F20"/>
          <w:spacing w:val="-11"/>
          <w:w w:val="105"/>
        </w:rPr>
        <w:t> </w:t>
      </w:r>
      <w:r>
        <w:rPr>
          <w:color w:val="231F20"/>
          <w:w w:val="105"/>
        </w:rPr>
        <w:t>quedó</w:t>
      </w:r>
      <w:r>
        <w:rPr>
          <w:color w:val="231F20"/>
          <w:spacing w:val="-11"/>
          <w:w w:val="105"/>
        </w:rPr>
        <w:t> </w:t>
      </w:r>
      <w:r>
        <w:rPr>
          <w:color w:val="231F20"/>
          <w:w w:val="105"/>
        </w:rPr>
        <w:t>asentada</w:t>
      </w:r>
      <w:r>
        <w:rPr>
          <w:color w:val="231F20"/>
          <w:spacing w:val="-11"/>
          <w:w w:val="105"/>
        </w:rPr>
        <w:t> </w:t>
      </w:r>
      <w:r>
        <w:rPr>
          <w:color w:val="231F20"/>
          <w:w w:val="105"/>
        </w:rPr>
        <w:t>como</w:t>
      </w:r>
      <w:r>
        <w:rPr>
          <w:color w:val="231F20"/>
          <w:spacing w:val="-11"/>
          <w:w w:val="105"/>
        </w:rPr>
        <w:t> </w:t>
      </w:r>
      <w:r>
        <w:rPr>
          <w:color w:val="231F20"/>
          <w:w w:val="105"/>
        </w:rPr>
        <w:t>“El</w:t>
      </w:r>
      <w:r>
        <w:rPr>
          <w:color w:val="231F20"/>
          <w:spacing w:val="-11"/>
          <w:w w:val="105"/>
        </w:rPr>
        <w:t> </w:t>
      </w:r>
      <w:r>
        <w:rPr>
          <w:color w:val="231F20"/>
          <w:w w:val="105"/>
        </w:rPr>
        <w:t>Ayuntamiento</w:t>
      </w:r>
      <w:r>
        <w:rPr>
          <w:color w:val="231F20"/>
          <w:spacing w:val="-11"/>
          <w:w w:val="105"/>
        </w:rPr>
        <w:t> </w:t>
      </w:r>
      <w:r>
        <w:rPr>
          <w:color w:val="231F20"/>
          <w:w w:val="105"/>
        </w:rPr>
        <w:t>de</w:t>
      </w:r>
      <w:r>
        <w:rPr>
          <w:color w:val="231F20"/>
          <w:spacing w:val="-11"/>
          <w:w w:val="105"/>
        </w:rPr>
        <w:t> </w:t>
      </w:r>
      <w:r>
        <w:rPr>
          <w:color w:val="231F20"/>
          <w:w w:val="105"/>
        </w:rPr>
        <w:t>Amecameca</w:t>
      </w:r>
      <w:r>
        <w:rPr>
          <w:color w:val="231F20"/>
          <w:spacing w:val="-11"/>
          <w:w w:val="105"/>
        </w:rPr>
        <w:t> </w:t>
      </w:r>
      <w:r>
        <w:rPr>
          <w:color w:val="231F20"/>
          <w:w w:val="105"/>
        </w:rPr>
        <w:t>estará</w:t>
      </w:r>
      <w:r>
        <w:rPr>
          <w:color w:val="231F20"/>
          <w:spacing w:val="-11"/>
          <w:w w:val="105"/>
        </w:rPr>
        <w:t> </w:t>
      </w:r>
      <w:r>
        <w:rPr>
          <w:color w:val="231F20"/>
          <w:w w:val="105"/>
        </w:rPr>
        <w:t>integrado</w:t>
      </w:r>
      <w:r>
        <w:rPr>
          <w:color w:val="231F20"/>
          <w:spacing w:val="-11"/>
          <w:w w:val="105"/>
        </w:rPr>
        <w:t> </w:t>
      </w:r>
      <w:r>
        <w:rPr>
          <w:color w:val="231F20"/>
          <w:w w:val="105"/>
        </w:rPr>
        <w:t>por comisiones, dependencia, organismos y entidades públicas, que articulando</w:t>
      </w:r>
      <w:r>
        <w:rPr>
          <w:color w:val="231F20"/>
          <w:spacing w:val="3"/>
          <w:w w:val="105"/>
        </w:rPr>
        <w:t> </w:t>
      </w:r>
      <w:r>
        <w:rPr>
          <w:color w:val="231F20"/>
          <w:w w:val="105"/>
        </w:rPr>
        <w:t>esfuerzos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6"/>
        <w:jc w:val="both"/>
      </w:pPr>
      <w:r>
        <w:rPr>
          <w:color w:val="231F20"/>
          <w:w w:val="105"/>
        </w:rPr>
        <w:t>logrará brindar servicios de calidad y dotar de la infraestructura necesaria, que </w:t>
      </w:r>
      <w:r>
        <w:rPr>
          <w:color w:val="231F20"/>
          <w:spacing w:val="-3"/>
          <w:w w:val="105"/>
        </w:rPr>
        <w:t>per- </w:t>
      </w:r>
      <w:r>
        <w:rPr>
          <w:color w:val="231F20"/>
          <w:w w:val="105"/>
        </w:rPr>
        <w:t>mita</w:t>
      </w:r>
      <w:r>
        <w:rPr>
          <w:color w:val="231F20"/>
          <w:spacing w:val="-8"/>
          <w:w w:val="105"/>
        </w:rPr>
        <w:t> </w:t>
      </w:r>
      <w:r>
        <w:rPr>
          <w:color w:val="231F20"/>
          <w:w w:val="105"/>
        </w:rPr>
        <w:t>mejorar</w:t>
      </w:r>
      <w:r>
        <w:rPr>
          <w:color w:val="231F20"/>
          <w:spacing w:val="-8"/>
          <w:w w:val="105"/>
        </w:rPr>
        <w:t> </w:t>
      </w:r>
      <w:r>
        <w:rPr>
          <w:color w:val="231F20"/>
          <w:w w:val="105"/>
        </w:rPr>
        <w:t>las</w:t>
      </w:r>
      <w:r>
        <w:rPr>
          <w:color w:val="231F20"/>
          <w:spacing w:val="-8"/>
          <w:w w:val="105"/>
        </w:rPr>
        <w:t> </w:t>
      </w:r>
      <w:r>
        <w:rPr>
          <w:color w:val="231F20"/>
          <w:w w:val="105"/>
        </w:rPr>
        <w:t>condiciones</w:t>
      </w:r>
      <w:r>
        <w:rPr>
          <w:color w:val="231F20"/>
          <w:spacing w:val="-8"/>
          <w:w w:val="105"/>
        </w:rPr>
        <w:t> </w:t>
      </w:r>
      <w:r>
        <w:rPr>
          <w:color w:val="231F20"/>
          <w:w w:val="105"/>
        </w:rPr>
        <w:t>de</w:t>
      </w:r>
      <w:r>
        <w:rPr>
          <w:color w:val="231F20"/>
          <w:spacing w:val="-8"/>
          <w:w w:val="105"/>
        </w:rPr>
        <w:t> </w:t>
      </w:r>
      <w:r>
        <w:rPr>
          <w:color w:val="231F20"/>
          <w:w w:val="105"/>
        </w:rPr>
        <w:t>vida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del</w:t>
      </w:r>
      <w:r>
        <w:rPr>
          <w:color w:val="231F20"/>
          <w:spacing w:val="-8"/>
          <w:w w:val="105"/>
        </w:rPr>
        <w:t> </w:t>
      </w:r>
      <w:r>
        <w:rPr>
          <w:color w:val="231F20"/>
          <w:w w:val="105"/>
        </w:rPr>
        <w:t>municipio”</w:t>
      </w:r>
      <w:r>
        <w:rPr>
          <w:color w:val="231F20"/>
          <w:spacing w:val="-8"/>
          <w:w w:val="105"/>
        </w:rPr>
        <w:t> </w:t>
      </w:r>
      <w:r>
        <w:rPr>
          <w:color w:val="231F20"/>
          <w:w w:val="105"/>
        </w:rPr>
        <w:t>(Plan,</w:t>
      </w:r>
      <w:r>
        <w:rPr>
          <w:color w:val="231F20"/>
          <w:spacing w:val="-8"/>
          <w:w w:val="105"/>
        </w:rPr>
        <w:t> </w:t>
      </w:r>
      <w:r>
        <w:rPr>
          <w:color w:val="231F20"/>
          <w:spacing w:val="3"/>
          <w:w w:val="105"/>
        </w:rPr>
        <w:t>2006:</w:t>
      </w:r>
      <w:r>
        <w:rPr>
          <w:color w:val="231F20"/>
          <w:spacing w:val="-8"/>
          <w:w w:val="105"/>
        </w:rPr>
        <w:t> </w:t>
      </w:r>
      <w:r>
        <w:rPr>
          <w:color w:val="231F20"/>
          <w:spacing w:val="-6"/>
          <w:w w:val="105"/>
        </w:rPr>
        <w:t>143). </w:t>
      </w:r>
      <w:r>
        <w:rPr>
          <w:color w:val="231F20"/>
          <w:w w:val="105"/>
        </w:rPr>
        <w:t>La</w:t>
      </w:r>
      <w:r>
        <w:rPr>
          <w:color w:val="231F20"/>
          <w:spacing w:val="-9"/>
          <w:w w:val="105"/>
        </w:rPr>
        <w:t> </w:t>
      </w:r>
      <w:r>
        <w:rPr>
          <w:color w:val="231F20"/>
          <w:w w:val="105"/>
        </w:rPr>
        <w:t>perspectiva</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spacing w:val="2"/>
          <w:w w:val="105"/>
        </w:rPr>
        <w:t>final</w:t>
      </w:r>
      <w:r>
        <w:rPr>
          <w:color w:val="231F20"/>
          <w:spacing w:val="-9"/>
          <w:w w:val="105"/>
        </w:rPr>
        <w:t> </w:t>
      </w:r>
      <w:r>
        <w:rPr>
          <w:color w:val="231F20"/>
          <w:w w:val="105"/>
        </w:rPr>
        <w:t>del</w:t>
      </w:r>
      <w:r>
        <w:rPr>
          <w:color w:val="231F20"/>
          <w:spacing w:val="-9"/>
          <w:w w:val="105"/>
        </w:rPr>
        <w:t> </w:t>
      </w:r>
      <w:r>
        <w:rPr>
          <w:color w:val="231F20"/>
          <w:w w:val="105"/>
        </w:rPr>
        <w:t>periodo</w:t>
      </w:r>
      <w:r>
        <w:rPr>
          <w:color w:val="231F20"/>
          <w:spacing w:val="-9"/>
          <w:w w:val="105"/>
        </w:rPr>
        <w:t> </w:t>
      </w:r>
      <w:r>
        <w:rPr>
          <w:color w:val="231F20"/>
          <w:w w:val="105"/>
        </w:rPr>
        <w:t>de</w:t>
      </w:r>
      <w:r>
        <w:rPr>
          <w:color w:val="231F20"/>
          <w:spacing w:val="-9"/>
          <w:w w:val="105"/>
        </w:rPr>
        <w:t> </w:t>
      </w:r>
      <w:r>
        <w:rPr>
          <w:color w:val="231F20"/>
          <w:w w:val="105"/>
        </w:rPr>
        <w:t>gobierno,</w:t>
      </w:r>
      <w:r>
        <w:rPr>
          <w:color w:val="231F20"/>
          <w:spacing w:val="-9"/>
          <w:w w:val="105"/>
        </w:rPr>
        <w:t> </w:t>
      </w:r>
      <w:r>
        <w:rPr>
          <w:color w:val="231F20"/>
          <w:w w:val="105"/>
        </w:rPr>
        <w:t>si</w:t>
      </w:r>
      <w:r>
        <w:rPr>
          <w:color w:val="231F20"/>
          <w:spacing w:val="-9"/>
          <w:w w:val="105"/>
        </w:rPr>
        <w:t> </w:t>
      </w:r>
      <w:r>
        <w:rPr>
          <w:color w:val="231F20"/>
          <w:w w:val="105"/>
        </w:rPr>
        <w:t>bien</w:t>
      </w:r>
      <w:r>
        <w:rPr>
          <w:color w:val="231F20"/>
          <w:spacing w:val="-9"/>
          <w:w w:val="105"/>
        </w:rPr>
        <w:t> </w:t>
      </w:r>
      <w:r>
        <w:rPr>
          <w:color w:val="231F20"/>
          <w:w w:val="105"/>
        </w:rPr>
        <w:t>tiene</w:t>
      </w:r>
      <w:r>
        <w:rPr>
          <w:color w:val="231F20"/>
          <w:spacing w:val="-9"/>
          <w:w w:val="105"/>
        </w:rPr>
        <w:t> </w:t>
      </w:r>
      <w:r>
        <w:rPr>
          <w:color w:val="231F20"/>
          <w:w w:val="105"/>
        </w:rPr>
        <w:t>un</w:t>
      </w:r>
      <w:r>
        <w:rPr>
          <w:color w:val="231F20"/>
          <w:spacing w:val="-9"/>
          <w:w w:val="105"/>
        </w:rPr>
        <w:t> </w:t>
      </w:r>
      <w:r>
        <w:rPr>
          <w:color w:val="231F20"/>
          <w:w w:val="105"/>
        </w:rPr>
        <w:t>sentido</w:t>
      </w:r>
      <w:r>
        <w:rPr>
          <w:color w:val="231F20"/>
          <w:spacing w:val="-9"/>
          <w:w w:val="105"/>
        </w:rPr>
        <w:t> </w:t>
      </w:r>
      <w:r>
        <w:rPr>
          <w:color w:val="231F20"/>
          <w:w w:val="105"/>
        </w:rPr>
        <w:t>general,</w:t>
      </w:r>
      <w:r>
        <w:rPr>
          <w:color w:val="231F20"/>
          <w:spacing w:val="-9"/>
          <w:w w:val="105"/>
        </w:rPr>
        <w:t> </w:t>
      </w:r>
      <w:r>
        <w:rPr>
          <w:color w:val="231F20"/>
          <w:w w:val="105"/>
        </w:rPr>
        <w:t>si le</w:t>
      </w:r>
      <w:r>
        <w:rPr>
          <w:color w:val="231F20"/>
          <w:spacing w:val="-6"/>
          <w:w w:val="105"/>
        </w:rPr>
        <w:t> </w:t>
      </w:r>
      <w:r>
        <w:rPr>
          <w:color w:val="231F20"/>
          <w:w w:val="105"/>
        </w:rPr>
        <w:t>impone</w:t>
      </w:r>
      <w:r>
        <w:rPr>
          <w:color w:val="231F20"/>
          <w:spacing w:val="-6"/>
          <w:w w:val="105"/>
        </w:rPr>
        <w:t> </w:t>
      </w:r>
      <w:r>
        <w:rPr>
          <w:color w:val="231F20"/>
          <w:w w:val="105"/>
        </w:rPr>
        <w:t>la</w:t>
      </w:r>
      <w:r>
        <w:rPr>
          <w:color w:val="231F20"/>
          <w:spacing w:val="-6"/>
          <w:w w:val="105"/>
        </w:rPr>
        <w:t> </w:t>
      </w:r>
      <w:r>
        <w:rPr>
          <w:color w:val="231F20"/>
          <w:w w:val="105"/>
        </w:rPr>
        <w:t>huella</w:t>
      </w:r>
      <w:r>
        <w:rPr>
          <w:color w:val="231F20"/>
          <w:spacing w:val="-6"/>
          <w:w w:val="105"/>
        </w:rPr>
        <w:t> </w:t>
      </w:r>
      <w:r>
        <w:rPr>
          <w:color w:val="231F20"/>
          <w:w w:val="105"/>
        </w:rPr>
        <w:t>buscada</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partido</w:t>
      </w:r>
      <w:r>
        <w:rPr>
          <w:color w:val="231F20"/>
          <w:spacing w:val="-6"/>
          <w:w w:val="105"/>
        </w:rPr>
        <w:t> </w:t>
      </w:r>
      <w:r>
        <w:rPr>
          <w:color w:val="231F20"/>
          <w:w w:val="105"/>
        </w:rPr>
        <w:t>de</w:t>
      </w:r>
      <w:r>
        <w:rPr>
          <w:color w:val="231F20"/>
          <w:spacing w:val="-6"/>
          <w:w w:val="105"/>
        </w:rPr>
        <w:t> </w:t>
      </w:r>
      <w:r>
        <w:rPr>
          <w:color w:val="231F20"/>
          <w:w w:val="105"/>
        </w:rPr>
        <w:t>mejorar</w:t>
      </w:r>
      <w:r>
        <w:rPr>
          <w:color w:val="231F20"/>
          <w:spacing w:val="-6"/>
          <w:w w:val="105"/>
        </w:rPr>
        <w:t> </w:t>
      </w:r>
      <w:r>
        <w:rPr>
          <w:color w:val="231F20"/>
          <w:w w:val="105"/>
        </w:rPr>
        <w:t>las</w:t>
      </w:r>
      <w:r>
        <w:rPr>
          <w:color w:val="231F20"/>
          <w:spacing w:val="-6"/>
          <w:w w:val="105"/>
        </w:rPr>
        <w:t> </w:t>
      </w:r>
      <w:r>
        <w:rPr>
          <w:color w:val="231F20"/>
          <w:w w:val="105"/>
        </w:rPr>
        <w:t>condiciones</w:t>
      </w:r>
      <w:r>
        <w:rPr>
          <w:color w:val="231F20"/>
          <w:spacing w:val="-6"/>
          <w:w w:val="105"/>
        </w:rPr>
        <w:t> </w:t>
      </w:r>
      <w:r>
        <w:rPr>
          <w:color w:val="231F20"/>
          <w:w w:val="105"/>
        </w:rPr>
        <w:t>de</w:t>
      </w:r>
      <w:r>
        <w:rPr>
          <w:color w:val="231F20"/>
          <w:spacing w:val="-6"/>
          <w:w w:val="105"/>
        </w:rPr>
        <w:t> </w:t>
      </w:r>
      <w:r>
        <w:rPr>
          <w:color w:val="231F20"/>
          <w:w w:val="105"/>
        </w:rPr>
        <w:t>vida.</w:t>
      </w:r>
      <w:r>
        <w:rPr>
          <w:color w:val="231F20"/>
          <w:spacing w:val="-6"/>
          <w:w w:val="105"/>
        </w:rPr>
        <w:t> </w:t>
      </w:r>
      <w:r>
        <w:rPr>
          <w:color w:val="231F20"/>
          <w:w w:val="105"/>
        </w:rPr>
        <w:t>Aunque esta</w:t>
      </w:r>
      <w:r>
        <w:rPr>
          <w:color w:val="231F20"/>
          <w:spacing w:val="-13"/>
          <w:w w:val="105"/>
        </w:rPr>
        <w:t> </w:t>
      </w:r>
      <w:r>
        <w:rPr>
          <w:color w:val="231F20"/>
          <w:w w:val="105"/>
        </w:rPr>
        <w:t>aspiración</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spacing w:val="2"/>
          <w:w w:val="105"/>
        </w:rPr>
        <w:t>fin</w:t>
      </w:r>
      <w:r>
        <w:rPr>
          <w:color w:val="231F20"/>
          <w:spacing w:val="-13"/>
          <w:w w:val="105"/>
        </w:rPr>
        <w:t> </w:t>
      </w:r>
      <w:r>
        <w:rPr>
          <w:color w:val="231F20"/>
          <w:w w:val="105"/>
        </w:rPr>
        <w:t>de</w:t>
      </w:r>
      <w:r>
        <w:rPr>
          <w:color w:val="231F20"/>
          <w:spacing w:val="-13"/>
          <w:w w:val="105"/>
        </w:rPr>
        <w:t> </w:t>
      </w:r>
      <w:r>
        <w:rPr>
          <w:color w:val="231F20"/>
          <w:w w:val="105"/>
        </w:rPr>
        <w:t>todos</w:t>
      </w:r>
      <w:r>
        <w:rPr>
          <w:color w:val="231F20"/>
          <w:spacing w:val="-13"/>
          <w:w w:val="105"/>
        </w:rPr>
        <w:t> </w:t>
      </w:r>
      <w:r>
        <w:rPr>
          <w:color w:val="231F20"/>
          <w:w w:val="105"/>
        </w:rPr>
        <w:t>los</w:t>
      </w:r>
      <w:r>
        <w:rPr>
          <w:color w:val="231F20"/>
          <w:spacing w:val="-13"/>
          <w:w w:val="105"/>
        </w:rPr>
        <w:t> </w:t>
      </w:r>
      <w:r>
        <w:rPr>
          <w:color w:val="231F20"/>
          <w:w w:val="105"/>
        </w:rPr>
        <w:t>partidos,</w:t>
      </w:r>
      <w:r>
        <w:rPr>
          <w:color w:val="231F20"/>
          <w:spacing w:val="-13"/>
          <w:w w:val="105"/>
        </w:rPr>
        <w:t> </w:t>
      </w:r>
      <w:r>
        <w:rPr>
          <w:color w:val="231F20"/>
          <w:w w:val="105"/>
        </w:rPr>
        <w:t>la</w:t>
      </w:r>
      <w:r>
        <w:rPr>
          <w:color w:val="231F20"/>
          <w:spacing w:val="-13"/>
          <w:w w:val="105"/>
        </w:rPr>
        <w:t> </w:t>
      </w:r>
      <w:r>
        <w:rPr>
          <w:color w:val="231F20"/>
          <w:w w:val="105"/>
        </w:rPr>
        <w:t>diferencia</w:t>
      </w:r>
      <w:r>
        <w:rPr>
          <w:color w:val="231F20"/>
          <w:spacing w:val="-13"/>
          <w:w w:val="105"/>
        </w:rPr>
        <w:t> </w:t>
      </w:r>
      <w:r>
        <w:rPr>
          <w:color w:val="231F20"/>
          <w:w w:val="105"/>
        </w:rPr>
        <w:t>estriba</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propuestas</w:t>
      </w:r>
      <w:r>
        <w:rPr>
          <w:color w:val="231F20"/>
          <w:spacing w:val="-13"/>
          <w:w w:val="105"/>
        </w:rPr>
        <w:t> </w:t>
      </w:r>
      <w:r>
        <w:rPr>
          <w:color w:val="231F20"/>
          <w:w w:val="105"/>
        </w:rPr>
        <w:t>que sugieren para</w:t>
      </w:r>
      <w:r>
        <w:rPr>
          <w:color w:val="231F20"/>
          <w:spacing w:val="-27"/>
          <w:w w:val="105"/>
        </w:rPr>
        <w:t> </w:t>
      </w:r>
      <w:r>
        <w:rPr>
          <w:color w:val="231F20"/>
          <w:w w:val="105"/>
        </w:rPr>
        <w:t>alcanzarla.</w:t>
      </w:r>
    </w:p>
    <w:p>
      <w:pPr>
        <w:pStyle w:val="BodyText"/>
        <w:spacing w:before="1"/>
        <w:rPr>
          <w:sz w:val="26"/>
        </w:rPr>
      </w:pPr>
    </w:p>
    <w:p>
      <w:pPr>
        <w:pStyle w:val="BodyText"/>
        <w:spacing w:line="285" w:lineRule="auto"/>
        <w:ind w:left="110" w:right="107"/>
        <w:jc w:val="both"/>
      </w:pPr>
      <w:r>
        <w:rPr>
          <w:color w:val="231F20"/>
          <w:w w:val="105"/>
        </w:rPr>
        <w:t>El gobierno municipal del PRD en Amecameca se propuso gobernar en coordinación con</w:t>
      </w:r>
      <w:r>
        <w:rPr>
          <w:color w:val="231F20"/>
          <w:spacing w:val="-5"/>
          <w:w w:val="105"/>
        </w:rPr>
        <w:t> </w:t>
      </w:r>
      <w:r>
        <w:rPr>
          <w:color w:val="231F20"/>
          <w:w w:val="105"/>
        </w:rPr>
        <w:t>la</w:t>
      </w:r>
      <w:r>
        <w:rPr>
          <w:color w:val="231F20"/>
          <w:spacing w:val="-5"/>
          <w:w w:val="105"/>
        </w:rPr>
        <w:t> </w:t>
      </w:r>
      <w:r>
        <w:rPr>
          <w:color w:val="231F20"/>
          <w:w w:val="105"/>
        </w:rPr>
        <w:t>sociedad,</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cual</w:t>
      </w:r>
      <w:r>
        <w:rPr>
          <w:color w:val="231F20"/>
          <w:spacing w:val="-5"/>
          <w:w w:val="105"/>
        </w:rPr>
        <w:t> </w:t>
      </w:r>
      <w:r>
        <w:rPr>
          <w:color w:val="231F20"/>
          <w:w w:val="105"/>
        </w:rPr>
        <w:t>la</w:t>
      </w:r>
      <w:r>
        <w:rPr>
          <w:color w:val="231F20"/>
          <w:spacing w:val="-5"/>
          <w:w w:val="105"/>
        </w:rPr>
        <w:t> </w:t>
      </w:r>
      <w:r>
        <w:rPr>
          <w:color w:val="231F20"/>
          <w:w w:val="105"/>
        </w:rPr>
        <w:t>responsabiliza</w:t>
      </w:r>
      <w:r>
        <w:rPr>
          <w:color w:val="231F20"/>
          <w:spacing w:val="-5"/>
          <w:w w:val="105"/>
        </w:rPr>
        <w:t> </w:t>
      </w:r>
      <w:r>
        <w:rPr>
          <w:color w:val="231F20"/>
          <w:w w:val="105"/>
        </w:rPr>
        <w:t>del</w:t>
      </w:r>
      <w:r>
        <w:rPr>
          <w:color w:val="231F20"/>
          <w:spacing w:val="-5"/>
          <w:w w:val="105"/>
        </w:rPr>
        <w:t> </w:t>
      </w:r>
      <w:r>
        <w:rPr>
          <w:color w:val="231F20"/>
          <w:w w:val="105"/>
        </w:rPr>
        <w:t>interés</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resolución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problemas que</w:t>
      </w:r>
      <w:r>
        <w:rPr>
          <w:color w:val="231F20"/>
          <w:spacing w:val="-11"/>
          <w:w w:val="105"/>
        </w:rPr>
        <w:t> </w:t>
      </w:r>
      <w:r>
        <w:rPr>
          <w:color w:val="231F20"/>
          <w:w w:val="105"/>
        </w:rPr>
        <w:t>afectan</w:t>
      </w:r>
      <w:r>
        <w:rPr>
          <w:color w:val="231F20"/>
          <w:spacing w:val="-11"/>
          <w:w w:val="105"/>
        </w:rPr>
        <w:t> </w:t>
      </w:r>
      <w:r>
        <w:rPr>
          <w:color w:val="231F20"/>
          <w:w w:val="105"/>
        </w:rPr>
        <w:t>a</w:t>
      </w:r>
      <w:r>
        <w:rPr>
          <w:color w:val="231F20"/>
          <w:spacing w:val="-11"/>
          <w:w w:val="105"/>
        </w:rPr>
        <w:t> </w:t>
      </w:r>
      <w:r>
        <w:rPr>
          <w:color w:val="231F20"/>
          <w:w w:val="105"/>
        </w:rPr>
        <w:t>todos</w:t>
      </w:r>
      <w:r>
        <w:rPr>
          <w:color w:val="231F20"/>
          <w:spacing w:val="-11"/>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unión</w:t>
      </w:r>
      <w:r>
        <w:rPr>
          <w:color w:val="231F20"/>
          <w:spacing w:val="-11"/>
          <w:w w:val="105"/>
        </w:rPr>
        <w:t> </w:t>
      </w:r>
      <w:r>
        <w:rPr>
          <w:color w:val="231F20"/>
          <w:w w:val="105"/>
        </w:rPr>
        <w:t>de</w:t>
      </w:r>
      <w:r>
        <w:rPr>
          <w:color w:val="231F20"/>
          <w:spacing w:val="-11"/>
          <w:w w:val="105"/>
        </w:rPr>
        <w:t> </w:t>
      </w:r>
      <w:r>
        <w:rPr>
          <w:color w:val="231F20"/>
          <w:w w:val="105"/>
        </w:rPr>
        <w:t>esfuerzos</w:t>
      </w:r>
      <w:r>
        <w:rPr>
          <w:color w:val="231F20"/>
          <w:spacing w:val="-11"/>
          <w:w w:val="105"/>
        </w:rPr>
        <w:t> </w:t>
      </w:r>
      <w:r>
        <w:rPr>
          <w:color w:val="231F20"/>
          <w:w w:val="105"/>
        </w:rPr>
        <w:t>y</w:t>
      </w:r>
      <w:r>
        <w:rPr>
          <w:color w:val="231F20"/>
          <w:spacing w:val="-11"/>
          <w:w w:val="105"/>
        </w:rPr>
        <w:t> </w:t>
      </w:r>
      <w:r>
        <w:rPr>
          <w:color w:val="231F20"/>
          <w:w w:val="105"/>
        </w:rPr>
        <w:t>organización.</w:t>
      </w:r>
    </w:p>
    <w:p>
      <w:pPr>
        <w:pStyle w:val="BodyText"/>
        <w:spacing w:before="1"/>
        <w:rPr>
          <w:sz w:val="26"/>
        </w:rPr>
      </w:pPr>
    </w:p>
    <w:p>
      <w:pPr>
        <w:pStyle w:val="BodyText"/>
        <w:spacing w:line="285" w:lineRule="auto"/>
        <w:ind w:left="110" w:right="107"/>
        <w:jc w:val="both"/>
        <w:rPr>
          <w:sz w:val="13"/>
        </w:rPr>
      </w:pPr>
      <w:r>
        <w:rPr>
          <w:color w:val="231F20"/>
          <w:w w:val="105"/>
        </w:rPr>
        <w:t>El PRD se autodetermina como un partido político que </w:t>
      </w:r>
      <w:r>
        <w:rPr>
          <w:color w:val="231F20"/>
          <w:spacing w:val="-3"/>
          <w:w w:val="105"/>
        </w:rPr>
        <w:t>promueve </w:t>
      </w:r>
      <w:r>
        <w:rPr>
          <w:color w:val="231F20"/>
          <w:w w:val="105"/>
        </w:rPr>
        <w:t>la participación ciu- dadana,</w:t>
      </w:r>
      <w:r>
        <w:rPr>
          <w:color w:val="231F20"/>
          <w:spacing w:val="-17"/>
          <w:w w:val="105"/>
        </w:rPr>
        <w:t> </w:t>
      </w:r>
      <w:r>
        <w:rPr>
          <w:color w:val="231F20"/>
          <w:w w:val="105"/>
        </w:rPr>
        <w:t>empero</w:t>
      </w:r>
      <w:r>
        <w:rPr>
          <w:color w:val="231F20"/>
          <w:spacing w:val="-17"/>
          <w:w w:val="105"/>
        </w:rPr>
        <w:t> </w:t>
      </w:r>
      <w:r>
        <w:rPr>
          <w:color w:val="231F20"/>
          <w:w w:val="105"/>
        </w:rPr>
        <w:t>la</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prevé</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Plan</w:t>
      </w:r>
      <w:r>
        <w:rPr>
          <w:color w:val="231F20"/>
          <w:spacing w:val="-17"/>
          <w:w w:val="105"/>
        </w:rPr>
        <w:t> </w:t>
      </w:r>
      <w:r>
        <w:rPr>
          <w:color w:val="231F20"/>
          <w:w w:val="105"/>
        </w:rPr>
        <w:t>de</w:t>
      </w:r>
      <w:r>
        <w:rPr>
          <w:color w:val="231F20"/>
          <w:spacing w:val="-17"/>
          <w:w w:val="105"/>
        </w:rPr>
        <w:t> </w:t>
      </w:r>
      <w:r>
        <w:rPr>
          <w:color w:val="231F20"/>
          <w:w w:val="105"/>
        </w:rPr>
        <w:t>Desarrollo</w:t>
      </w:r>
      <w:r>
        <w:rPr>
          <w:color w:val="231F20"/>
          <w:spacing w:val="-17"/>
          <w:w w:val="105"/>
        </w:rPr>
        <w:t> </w:t>
      </w:r>
      <w:r>
        <w:rPr>
          <w:color w:val="231F20"/>
          <w:w w:val="105"/>
        </w:rPr>
        <w:t>es</w:t>
      </w:r>
      <w:r>
        <w:rPr>
          <w:color w:val="231F20"/>
          <w:spacing w:val="-17"/>
          <w:w w:val="105"/>
        </w:rPr>
        <w:t> </w:t>
      </w:r>
      <w:r>
        <w:rPr>
          <w:color w:val="231F20"/>
          <w:w w:val="105"/>
        </w:rPr>
        <w:t>la</w:t>
      </w:r>
      <w:r>
        <w:rPr>
          <w:color w:val="231F20"/>
          <w:spacing w:val="-17"/>
          <w:w w:val="105"/>
        </w:rPr>
        <w:t> </w:t>
      </w:r>
      <w:r>
        <w:rPr>
          <w:color w:val="231F20"/>
          <w:w w:val="105"/>
        </w:rPr>
        <w:t>participación</w:t>
      </w:r>
      <w:r>
        <w:rPr>
          <w:color w:val="231F20"/>
          <w:spacing w:val="-17"/>
          <w:w w:val="105"/>
        </w:rPr>
        <w:t> </w:t>
      </w:r>
      <w:r>
        <w:rPr>
          <w:color w:val="231F20"/>
          <w:w w:val="105"/>
        </w:rPr>
        <w:t>instituciona- lizada,</w:t>
      </w:r>
      <w:r>
        <w:rPr>
          <w:color w:val="231F20"/>
          <w:spacing w:val="-4"/>
          <w:w w:val="105"/>
        </w:rPr>
        <w:t> </w:t>
      </w:r>
      <w:r>
        <w:rPr>
          <w:color w:val="231F20"/>
          <w:w w:val="105"/>
        </w:rPr>
        <w:t>la</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ley</w:t>
      </w:r>
      <w:r>
        <w:rPr>
          <w:color w:val="231F20"/>
          <w:spacing w:val="-4"/>
          <w:w w:val="105"/>
        </w:rPr>
        <w:t> </w:t>
      </w:r>
      <w:r>
        <w:rPr>
          <w:color w:val="231F20"/>
          <w:w w:val="105"/>
        </w:rPr>
        <w:t>dispone,</w:t>
      </w:r>
      <w:r>
        <w:rPr>
          <w:color w:val="231F20"/>
          <w:spacing w:val="-4"/>
          <w:w w:val="105"/>
        </w:rPr>
        <w:t> </w:t>
      </w:r>
      <w:r>
        <w:rPr>
          <w:color w:val="231F20"/>
          <w:w w:val="105"/>
        </w:rPr>
        <w:t>aunque</w:t>
      </w:r>
      <w:r>
        <w:rPr>
          <w:color w:val="231F20"/>
          <w:spacing w:val="-4"/>
          <w:w w:val="105"/>
        </w:rPr>
        <w:t> </w:t>
      </w:r>
      <w:r>
        <w:rPr>
          <w:color w:val="231F20"/>
          <w:w w:val="105"/>
        </w:rPr>
        <w:t>el</w:t>
      </w:r>
      <w:r>
        <w:rPr>
          <w:color w:val="231F20"/>
          <w:spacing w:val="-4"/>
          <w:w w:val="105"/>
        </w:rPr>
        <w:t> </w:t>
      </w:r>
      <w:r>
        <w:rPr>
          <w:color w:val="231F20"/>
          <w:w w:val="105"/>
        </w:rPr>
        <w:t>gobierno</w:t>
      </w:r>
      <w:r>
        <w:rPr>
          <w:color w:val="231F20"/>
          <w:spacing w:val="-4"/>
          <w:w w:val="105"/>
        </w:rPr>
        <w:t> </w:t>
      </w:r>
      <w:r>
        <w:rPr>
          <w:color w:val="231F20"/>
          <w:w w:val="105"/>
        </w:rPr>
        <w:t>en</w:t>
      </w:r>
      <w:r>
        <w:rPr>
          <w:color w:val="231F20"/>
          <w:spacing w:val="-4"/>
          <w:w w:val="105"/>
        </w:rPr>
        <w:t> </w:t>
      </w:r>
      <w:r>
        <w:rPr>
          <w:color w:val="231F20"/>
          <w:w w:val="105"/>
        </w:rPr>
        <w:t>estudio</w:t>
      </w:r>
      <w:r>
        <w:rPr>
          <w:color w:val="231F20"/>
          <w:spacing w:val="-4"/>
          <w:w w:val="105"/>
        </w:rPr>
        <w:t> </w:t>
      </w:r>
      <w:r>
        <w:rPr>
          <w:color w:val="231F20"/>
          <w:w w:val="105"/>
        </w:rPr>
        <w:t>implementó</w:t>
      </w:r>
      <w:r>
        <w:rPr>
          <w:color w:val="231F20"/>
          <w:spacing w:val="-4"/>
          <w:w w:val="105"/>
        </w:rPr>
        <w:t> </w:t>
      </w:r>
      <w:r>
        <w:rPr>
          <w:color w:val="231F20"/>
          <w:w w:val="105"/>
        </w:rPr>
        <w:t>las</w:t>
      </w:r>
      <w:r>
        <w:rPr>
          <w:color w:val="231F20"/>
          <w:spacing w:val="-4"/>
          <w:w w:val="105"/>
        </w:rPr>
        <w:t> </w:t>
      </w:r>
      <w:r>
        <w:rPr>
          <w:color w:val="231F20"/>
          <w:w w:val="105"/>
        </w:rPr>
        <w:t>audiencias públicas como mecanismo a través del cual las personas presentan demandas, quejas, sugerencias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buzón</w:t>
      </w:r>
      <w:r>
        <w:rPr>
          <w:color w:val="231F20"/>
          <w:spacing w:val="-13"/>
          <w:w w:val="105"/>
        </w:rPr>
        <w:t> </w:t>
      </w:r>
      <w:r>
        <w:rPr>
          <w:color w:val="231F20"/>
          <w:w w:val="105"/>
        </w:rPr>
        <w:t>de</w:t>
      </w:r>
      <w:r>
        <w:rPr>
          <w:color w:val="231F20"/>
          <w:spacing w:val="-13"/>
          <w:w w:val="105"/>
        </w:rPr>
        <w:t> </w:t>
      </w:r>
      <w:r>
        <w:rPr>
          <w:color w:val="231F20"/>
          <w:w w:val="105"/>
        </w:rPr>
        <w:t>propuesta</w:t>
      </w:r>
      <w:r>
        <w:rPr>
          <w:color w:val="231F20"/>
          <w:spacing w:val="-13"/>
          <w:w w:val="105"/>
        </w:rPr>
        <w:t> </w:t>
      </w:r>
      <w:r>
        <w:rPr>
          <w:color w:val="231F20"/>
          <w:w w:val="105"/>
        </w:rPr>
        <w:t>ciudadana.</w:t>
      </w:r>
      <w:r>
        <w:rPr>
          <w:color w:val="231F20"/>
          <w:w w:val="105"/>
          <w:position w:val="7"/>
          <w:sz w:val="13"/>
        </w:rPr>
        <w:t>5</w:t>
      </w:r>
    </w:p>
    <w:p>
      <w:pPr>
        <w:pStyle w:val="BodyText"/>
        <w:rPr>
          <w:sz w:val="26"/>
        </w:rPr>
      </w:pPr>
    </w:p>
    <w:p>
      <w:pPr>
        <w:pStyle w:val="BodyText"/>
        <w:spacing w:line="285" w:lineRule="auto" w:before="1"/>
        <w:ind w:left="110" w:right="108"/>
        <w:jc w:val="both"/>
      </w:pPr>
      <w:r>
        <w:rPr>
          <w:color w:val="231F20"/>
          <w:w w:val="105"/>
        </w:rPr>
        <w:t>Otra</w:t>
      </w:r>
      <w:r>
        <w:rPr>
          <w:color w:val="231F20"/>
          <w:spacing w:val="-9"/>
          <w:w w:val="105"/>
        </w:rPr>
        <w:t> </w:t>
      </w:r>
      <w:r>
        <w:rPr>
          <w:color w:val="231F20"/>
          <w:w w:val="105"/>
        </w:rPr>
        <w:t>forma</w:t>
      </w:r>
      <w:r>
        <w:rPr>
          <w:color w:val="231F20"/>
          <w:spacing w:val="-9"/>
          <w:w w:val="105"/>
        </w:rPr>
        <w:t> </w:t>
      </w:r>
      <w:r>
        <w:rPr>
          <w:color w:val="231F20"/>
          <w:w w:val="105"/>
        </w:rPr>
        <w:t>de</w:t>
      </w:r>
      <w:r>
        <w:rPr>
          <w:color w:val="231F20"/>
          <w:spacing w:val="-9"/>
          <w:w w:val="105"/>
        </w:rPr>
        <w:t> </w:t>
      </w:r>
      <w:r>
        <w:rPr>
          <w:color w:val="231F20"/>
          <w:w w:val="105"/>
        </w:rPr>
        <w:t>participación</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encuentra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municipio</w:t>
      </w:r>
      <w:r>
        <w:rPr>
          <w:color w:val="231F20"/>
          <w:spacing w:val="-9"/>
          <w:w w:val="105"/>
        </w:rPr>
        <w:t> </w:t>
      </w:r>
      <w:r>
        <w:rPr>
          <w:color w:val="231F20"/>
          <w:w w:val="105"/>
        </w:rPr>
        <w:t>es</w:t>
      </w:r>
      <w:r>
        <w:rPr>
          <w:color w:val="231F20"/>
          <w:spacing w:val="-9"/>
          <w:w w:val="105"/>
        </w:rPr>
        <w:t> </w:t>
      </w:r>
      <w:r>
        <w:rPr>
          <w:color w:val="231F20"/>
          <w:w w:val="105"/>
        </w:rPr>
        <w:t>la</w:t>
      </w:r>
      <w:r>
        <w:rPr>
          <w:color w:val="231F20"/>
          <w:spacing w:val="-9"/>
          <w:w w:val="105"/>
        </w:rPr>
        <w:t> </w:t>
      </w:r>
      <w:r>
        <w:rPr>
          <w:color w:val="231F20"/>
          <w:w w:val="105"/>
        </w:rPr>
        <w:t>comunitaria,</w:t>
      </w:r>
      <w:r>
        <w:rPr>
          <w:color w:val="231F20"/>
          <w:spacing w:val="-9"/>
          <w:w w:val="105"/>
        </w:rPr>
        <w:t> </w:t>
      </w:r>
      <w:r>
        <w:rPr>
          <w:color w:val="231F20"/>
          <w:w w:val="105"/>
        </w:rPr>
        <w:t>la</w:t>
      </w:r>
      <w:r>
        <w:rPr>
          <w:color w:val="231F20"/>
          <w:spacing w:val="-9"/>
          <w:w w:val="105"/>
        </w:rPr>
        <w:t> </w:t>
      </w:r>
      <w:r>
        <w:rPr>
          <w:color w:val="231F20"/>
          <w:w w:val="105"/>
        </w:rPr>
        <w:t>pro- pia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faenas</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obras</w:t>
      </w:r>
      <w:r>
        <w:rPr>
          <w:color w:val="231F20"/>
          <w:spacing w:val="-20"/>
          <w:w w:val="105"/>
        </w:rPr>
        <w:t> </w:t>
      </w:r>
      <w:r>
        <w:rPr>
          <w:color w:val="231F20"/>
          <w:w w:val="105"/>
        </w:rPr>
        <w:t>públicas;</w:t>
      </w:r>
      <w:r>
        <w:rPr>
          <w:color w:val="231F20"/>
          <w:spacing w:val="-20"/>
          <w:w w:val="105"/>
        </w:rPr>
        <w:t> </w:t>
      </w:r>
      <w:r>
        <w:rPr>
          <w:color w:val="231F20"/>
          <w:w w:val="105"/>
        </w:rPr>
        <w:t>este</w:t>
      </w:r>
      <w:r>
        <w:rPr>
          <w:color w:val="231F20"/>
          <w:spacing w:val="-20"/>
          <w:w w:val="105"/>
        </w:rPr>
        <w:t> </w:t>
      </w:r>
      <w:r>
        <w:rPr>
          <w:color w:val="231F20"/>
          <w:w w:val="105"/>
        </w:rPr>
        <w:t>tipo</w:t>
      </w:r>
      <w:r>
        <w:rPr>
          <w:color w:val="231F20"/>
          <w:spacing w:val="-20"/>
          <w:w w:val="105"/>
        </w:rPr>
        <w:t> </w:t>
      </w:r>
      <w:r>
        <w:rPr>
          <w:color w:val="231F20"/>
          <w:w w:val="105"/>
        </w:rPr>
        <w:t>corresponde</w:t>
      </w:r>
      <w:r>
        <w:rPr>
          <w:color w:val="231F20"/>
          <w:spacing w:val="-20"/>
          <w:w w:val="105"/>
        </w:rPr>
        <w:t> </w:t>
      </w:r>
      <w:r>
        <w:rPr>
          <w:color w:val="231F20"/>
          <w:spacing w:val="2"/>
          <w:w w:val="105"/>
        </w:rPr>
        <w:t>al</w:t>
      </w:r>
      <w:r>
        <w:rPr>
          <w:color w:val="231F20"/>
          <w:spacing w:val="-20"/>
          <w:w w:val="105"/>
        </w:rPr>
        <w:t> </w:t>
      </w:r>
      <w:r>
        <w:rPr>
          <w:color w:val="231F20"/>
          <w:w w:val="105"/>
        </w:rPr>
        <w:t>esquema</w:t>
      </w:r>
      <w:r>
        <w:rPr>
          <w:color w:val="231F20"/>
          <w:spacing w:val="-20"/>
          <w:w w:val="105"/>
        </w:rPr>
        <w:t> </w:t>
      </w:r>
      <w:r>
        <w:rPr>
          <w:color w:val="231F20"/>
          <w:w w:val="105"/>
        </w:rPr>
        <w:t>de</w:t>
      </w:r>
      <w:r>
        <w:rPr>
          <w:color w:val="231F20"/>
          <w:spacing w:val="-20"/>
          <w:w w:val="105"/>
        </w:rPr>
        <w:t> </w:t>
      </w:r>
      <w:r>
        <w:rPr>
          <w:color w:val="231F20"/>
          <w:w w:val="105"/>
        </w:rPr>
        <w:t>operación</w:t>
      </w:r>
      <w:r>
        <w:rPr>
          <w:color w:val="231F20"/>
          <w:spacing w:val="-20"/>
          <w:w w:val="105"/>
        </w:rPr>
        <w:t> </w:t>
      </w:r>
      <w:r>
        <w:rPr>
          <w:color w:val="231F20"/>
          <w:w w:val="105"/>
        </w:rPr>
        <w:t>de los</w:t>
      </w:r>
      <w:r>
        <w:rPr>
          <w:color w:val="231F20"/>
          <w:spacing w:val="-16"/>
          <w:w w:val="105"/>
        </w:rPr>
        <w:t> </w:t>
      </w:r>
      <w:r>
        <w:rPr>
          <w:color w:val="231F20"/>
          <w:w w:val="105"/>
        </w:rPr>
        <w:t>recursos</w:t>
      </w:r>
      <w:r>
        <w:rPr>
          <w:color w:val="231F20"/>
          <w:spacing w:val="-16"/>
          <w:w w:val="105"/>
        </w:rPr>
        <w:t> </w:t>
      </w:r>
      <w:r>
        <w:rPr>
          <w:color w:val="231F20"/>
          <w:w w:val="105"/>
        </w:rPr>
        <w:t>del</w:t>
      </w:r>
      <w:r>
        <w:rPr>
          <w:color w:val="231F20"/>
          <w:spacing w:val="-16"/>
          <w:w w:val="105"/>
        </w:rPr>
        <w:t> </w:t>
      </w:r>
      <w:r>
        <w:rPr>
          <w:color w:val="231F20"/>
          <w:w w:val="105"/>
        </w:rPr>
        <w:t>ramo</w:t>
      </w:r>
      <w:r>
        <w:rPr>
          <w:color w:val="231F20"/>
          <w:spacing w:val="-16"/>
          <w:w w:val="105"/>
        </w:rPr>
        <w:t> </w:t>
      </w:r>
      <w:r>
        <w:rPr>
          <w:color w:val="231F20"/>
          <w:w w:val="105"/>
        </w:rPr>
        <w:t>33</w:t>
      </w:r>
      <w:r>
        <w:rPr>
          <w:color w:val="231F20"/>
          <w:spacing w:val="-16"/>
          <w:w w:val="105"/>
        </w:rPr>
        <w:t> </w:t>
      </w:r>
      <w:r>
        <w:rPr>
          <w:color w:val="231F20"/>
          <w:w w:val="105"/>
        </w:rPr>
        <w:t>y</w:t>
      </w:r>
      <w:r>
        <w:rPr>
          <w:color w:val="231F20"/>
          <w:spacing w:val="-16"/>
          <w:w w:val="105"/>
        </w:rPr>
        <w:t> </w:t>
      </w:r>
      <w:r>
        <w:rPr>
          <w:color w:val="231F20"/>
          <w:w w:val="105"/>
        </w:rPr>
        <w:t>no</w:t>
      </w:r>
      <w:r>
        <w:rPr>
          <w:color w:val="231F20"/>
          <w:spacing w:val="-16"/>
          <w:w w:val="105"/>
        </w:rPr>
        <w:t> </w:t>
      </w:r>
      <w:r>
        <w:rPr>
          <w:color w:val="231F20"/>
          <w:w w:val="105"/>
        </w:rPr>
        <w:t>son</w:t>
      </w:r>
      <w:r>
        <w:rPr>
          <w:color w:val="231F20"/>
          <w:spacing w:val="-16"/>
          <w:w w:val="105"/>
        </w:rPr>
        <w:t> </w:t>
      </w:r>
      <w:r>
        <w:rPr>
          <w:color w:val="231F20"/>
          <w:w w:val="105"/>
        </w:rPr>
        <w:t>exclusivos</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w w:val="105"/>
        </w:rPr>
        <w:t>en</w:t>
      </w:r>
      <w:r>
        <w:rPr>
          <w:color w:val="231F20"/>
          <w:spacing w:val="-16"/>
          <w:w w:val="105"/>
        </w:rPr>
        <w:t> </w:t>
      </w:r>
      <w:r>
        <w:rPr>
          <w:color w:val="231F20"/>
          <w:w w:val="105"/>
        </w:rPr>
        <w:t>estudio.</w:t>
      </w:r>
    </w:p>
    <w:p>
      <w:pPr>
        <w:pStyle w:val="BodyText"/>
        <w:spacing w:before="1"/>
        <w:rPr>
          <w:sz w:val="26"/>
        </w:rPr>
      </w:pPr>
    </w:p>
    <w:p>
      <w:pPr>
        <w:pStyle w:val="BodyText"/>
        <w:spacing w:line="285" w:lineRule="auto"/>
        <w:ind w:left="110" w:right="107"/>
        <w:jc w:val="both"/>
      </w:pPr>
      <w:r>
        <w:rPr>
          <w:color w:val="231F20"/>
          <w:w w:val="105"/>
        </w:rPr>
        <w:t>Los</w:t>
      </w:r>
      <w:r>
        <w:rPr>
          <w:color w:val="231F20"/>
          <w:spacing w:val="-16"/>
          <w:w w:val="105"/>
        </w:rPr>
        <w:t> </w:t>
      </w:r>
      <w:r>
        <w:rPr>
          <w:color w:val="231F20"/>
          <w:w w:val="105"/>
        </w:rPr>
        <w:t>compromisos</w:t>
      </w:r>
      <w:r>
        <w:rPr>
          <w:color w:val="231F20"/>
          <w:spacing w:val="-16"/>
          <w:w w:val="105"/>
        </w:rPr>
        <w:t> </w:t>
      </w:r>
      <w:r>
        <w:rPr>
          <w:color w:val="231F20"/>
          <w:w w:val="105"/>
        </w:rPr>
        <w:t>establecidos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Plan</w:t>
      </w:r>
      <w:r>
        <w:rPr>
          <w:color w:val="231F20"/>
          <w:spacing w:val="-16"/>
          <w:w w:val="105"/>
        </w:rPr>
        <w:t> </w:t>
      </w:r>
      <w:r>
        <w:rPr>
          <w:color w:val="231F20"/>
          <w:w w:val="105"/>
        </w:rPr>
        <w:t>son</w:t>
      </w:r>
      <w:r>
        <w:rPr>
          <w:color w:val="231F20"/>
          <w:spacing w:val="-16"/>
          <w:w w:val="105"/>
        </w:rPr>
        <w:t> </w:t>
      </w:r>
      <w:r>
        <w:rPr>
          <w:color w:val="231F20"/>
          <w:w w:val="105"/>
        </w:rPr>
        <w:t>de</w:t>
      </w:r>
      <w:r>
        <w:rPr>
          <w:color w:val="231F20"/>
          <w:spacing w:val="-16"/>
          <w:w w:val="105"/>
        </w:rPr>
        <w:t> </w:t>
      </w:r>
      <w:r>
        <w:rPr>
          <w:color w:val="231F20"/>
          <w:w w:val="105"/>
        </w:rPr>
        <w:t>carácter</w:t>
      </w:r>
      <w:r>
        <w:rPr>
          <w:color w:val="231F20"/>
          <w:spacing w:val="-16"/>
          <w:w w:val="105"/>
        </w:rPr>
        <w:t> </w:t>
      </w:r>
      <w:r>
        <w:rPr>
          <w:color w:val="231F20"/>
          <w:w w:val="105"/>
        </w:rPr>
        <w:t>institucional,</w:t>
      </w:r>
      <w:r>
        <w:rPr>
          <w:color w:val="231F20"/>
          <w:spacing w:val="-16"/>
          <w:w w:val="105"/>
        </w:rPr>
        <w:t> </w:t>
      </w:r>
      <w:r>
        <w:rPr>
          <w:color w:val="231F20"/>
          <w:w w:val="105"/>
        </w:rPr>
        <w:t>con</w:t>
      </w:r>
      <w:r>
        <w:rPr>
          <w:color w:val="231F20"/>
          <w:spacing w:val="-16"/>
          <w:w w:val="105"/>
        </w:rPr>
        <w:t> </w:t>
      </w:r>
      <w:r>
        <w:rPr>
          <w:color w:val="231F20"/>
          <w:w w:val="105"/>
        </w:rPr>
        <w:t>esto</w:t>
      </w:r>
      <w:r>
        <w:rPr>
          <w:color w:val="231F20"/>
          <w:spacing w:val="-16"/>
          <w:w w:val="105"/>
        </w:rPr>
        <w:t> </w:t>
      </w:r>
      <w:r>
        <w:rPr>
          <w:color w:val="231F20"/>
          <w:w w:val="105"/>
        </w:rPr>
        <w:t>se</w:t>
      </w:r>
      <w:r>
        <w:rPr>
          <w:color w:val="231F20"/>
          <w:spacing w:val="-16"/>
          <w:w w:val="105"/>
        </w:rPr>
        <w:t> </w:t>
      </w:r>
      <w:r>
        <w:rPr>
          <w:color w:val="231F20"/>
          <w:w w:val="105"/>
        </w:rPr>
        <w:t>quie- re decir que no necesariamente tienen que ser </w:t>
      </w:r>
      <w:r>
        <w:rPr>
          <w:color w:val="231F20"/>
          <w:spacing w:val="-3"/>
          <w:w w:val="105"/>
        </w:rPr>
        <w:t>propios </w:t>
      </w:r>
      <w:r>
        <w:rPr>
          <w:color w:val="231F20"/>
          <w:w w:val="105"/>
        </w:rPr>
        <w:t>y exclusivos de una propuesta del</w:t>
      </w:r>
      <w:r>
        <w:rPr>
          <w:color w:val="231F20"/>
          <w:spacing w:val="-15"/>
          <w:w w:val="105"/>
        </w:rPr>
        <w:t> </w:t>
      </w:r>
      <w:r>
        <w:rPr>
          <w:color w:val="231F20"/>
          <w:spacing w:val="-3"/>
          <w:w w:val="105"/>
        </w:rPr>
        <w:t>PRD,</w:t>
      </w:r>
      <w:r>
        <w:rPr>
          <w:color w:val="231F20"/>
          <w:spacing w:val="-15"/>
          <w:w w:val="105"/>
        </w:rPr>
        <w:t> </w:t>
      </w:r>
      <w:r>
        <w:rPr>
          <w:color w:val="231F20"/>
          <w:w w:val="105"/>
        </w:rPr>
        <w:t>son</w:t>
      </w:r>
      <w:r>
        <w:rPr>
          <w:color w:val="231F20"/>
          <w:spacing w:val="-15"/>
          <w:w w:val="105"/>
        </w:rPr>
        <w:t> </w:t>
      </w:r>
      <w:r>
        <w:rPr>
          <w:color w:val="231F20"/>
          <w:w w:val="105"/>
        </w:rPr>
        <w:t>de</w:t>
      </w:r>
      <w:r>
        <w:rPr>
          <w:color w:val="231F20"/>
          <w:spacing w:val="-15"/>
          <w:w w:val="105"/>
        </w:rPr>
        <w:t> </w:t>
      </w:r>
      <w:r>
        <w:rPr>
          <w:color w:val="231F20"/>
          <w:w w:val="105"/>
        </w:rPr>
        <w:t>sentido</w:t>
      </w:r>
      <w:r>
        <w:rPr>
          <w:color w:val="231F20"/>
          <w:spacing w:val="-15"/>
          <w:w w:val="105"/>
        </w:rPr>
        <w:t> </w:t>
      </w:r>
      <w:r>
        <w:rPr>
          <w:color w:val="231F20"/>
          <w:w w:val="105"/>
        </w:rPr>
        <w:t>común.</w:t>
      </w:r>
      <w:r>
        <w:rPr>
          <w:color w:val="231F20"/>
          <w:spacing w:val="-15"/>
          <w:w w:val="105"/>
        </w:rPr>
        <w:t> </w:t>
      </w:r>
      <w:r>
        <w:rPr>
          <w:color w:val="231F20"/>
          <w:w w:val="105"/>
        </w:rPr>
        <w:t>Llama</w:t>
      </w:r>
      <w:r>
        <w:rPr>
          <w:color w:val="231F20"/>
          <w:spacing w:val="-15"/>
          <w:w w:val="105"/>
        </w:rPr>
        <w:t> </w:t>
      </w:r>
      <w:r>
        <w:rPr>
          <w:color w:val="231F20"/>
          <w:w w:val="105"/>
        </w:rPr>
        <w:t>la</w:t>
      </w:r>
      <w:r>
        <w:rPr>
          <w:color w:val="231F20"/>
          <w:spacing w:val="-15"/>
          <w:w w:val="105"/>
        </w:rPr>
        <w:t> </w:t>
      </w:r>
      <w:r>
        <w:rPr>
          <w:color w:val="231F20"/>
          <w:w w:val="105"/>
        </w:rPr>
        <w:t>atención</w:t>
      </w:r>
      <w:r>
        <w:rPr>
          <w:color w:val="231F20"/>
          <w:spacing w:val="-15"/>
          <w:w w:val="105"/>
        </w:rPr>
        <w:t> </w:t>
      </w:r>
      <w:r>
        <w:rPr>
          <w:color w:val="231F20"/>
          <w:w w:val="105"/>
        </w:rPr>
        <w:t>que</w:t>
      </w:r>
      <w:r>
        <w:rPr>
          <w:color w:val="231F20"/>
          <w:spacing w:val="-15"/>
          <w:w w:val="105"/>
        </w:rPr>
        <w:t> </w:t>
      </w:r>
      <w:r>
        <w:rPr>
          <w:color w:val="231F20"/>
          <w:w w:val="105"/>
        </w:rPr>
        <w:t>tenga</w:t>
      </w:r>
      <w:r>
        <w:rPr>
          <w:color w:val="231F20"/>
          <w:spacing w:val="-15"/>
          <w:w w:val="105"/>
        </w:rPr>
        <w:t> </w:t>
      </w:r>
      <w:r>
        <w:rPr>
          <w:color w:val="231F20"/>
          <w:w w:val="105"/>
        </w:rPr>
        <w:t>establecido</w:t>
      </w:r>
      <w:r>
        <w:rPr>
          <w:color w:val="231F20"/>
          <w:spacing w:val="-15"/>
          <w:w w:val="105"/>
        </w:rPr>
        <w:t> </w:t>
      </w:r>
      <w:r>
        <w:rPr>
          <w:color w:val="231F20"/>
          <w:w w:val="105"/>
        </w:rPr>
        <w:t>como</w:t>
      </w:r>
      <w:r>
        <w:rPr>
          <w:color w:val="231F20"/>
          <w:spacing w:val="-15"/>
          <w:w w:val="105"/>
        </w:rPr>
        <w:t> </w:t>
      </w:r>
      <w:r>
        <w:rPr>
          <w:color w:val="231F20"/>
          <w:w w:val="105"/>
        </w:rPr>
        <w:t>objetivo específico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modernización</w:t>
      </w:r>
      <w:r>
        <w:rPr>
          <w:color w:val="231F20"/>
          <w:spacing w:val="-12"/>
          <w:w w:val="105"/>
        </w:rPr>
        <w:t> </w:t>
      </w:r>
      <w:r>
        <w:rPr>
          <w:color w:val="231F20"/>
          <w:w w:val="105"/>
        </w:rPr>
        <w:t>económica</w:t>
      </w:r>
      <w:r>
        <w:rPr>
          <w:color w:val="231F20"/>
          <w:spacing w:val="-12"/>
          <w:w w:val="105"/>
        </w:rPr>
        <w:t> </w:t>
      </w:r>
      <w:r>
        <w:rPr>
          <w:color w:val="231F20"/>
          <w:w w:val="105"/>
        </w:rPr>
        <w:t>el</w:t>
      </w:r>
      <w:r>
        <w:rPr>
          <w:color w:val="231F20"/>
          <w:spacing w:val="-12"/>
          <w:w w:val="105"/>
        </w:rPr>
        <w:t> </w:t>
      </w:r>
      <w:r>
        <w:rPr>
          <w:color w:val="231F20"/>
          <w:w w:val="105"/>
        </w:rPr>
        <w:t>que</w:t>
      </w:r>
      <w:r>
        <w:rPr>
          <w:color w:val="231F20"/>
          <w:spacing w:val="-12"/>
          <w:w w:val="105"/>
        </w:rPr>
        <w:t> </w:t>
      </w:r>
      <w:r>
        <w:rPr>
          <w:color w:val="231F20"/>
          <w:w w:val="105"/>
        </w:rPr>
        <w:t>reza:</w:t>
      </w:r>
      <w:r>
        <w:rPr>
          <w:color w:val="231F20"/>
          <w:spacing w:val="-12"/>
          <w:w w:val="105"/>
        </w:rPr>
        <w:t> </w:t>
      </w:r>
      <w:r>
        <w:rPr>
          <w:color w:val="231F20"/>
          <w:spacing w:val="-3"/>
          <w:w w:val="105"/>
        </w:rPr>
        <w:t>“atraer</w:t>
      </w:r>
      <w:r>
        <w:rPr>
          <w:color w:val="231F20"/>
          <w:spacing w:val="-12"/>
          <w:w w:val="105"/>
        </w:rPr>
        <w:t> </w:t>
      </w:r>
      <w:r>
        <w:rPr>
          <w:color w:val="231F20"/>
          <w:w w:val="105"/>
        </w:rPr>
        <w:t>empresas</w:t>
      </w:r>
      <w:r>
        <w:rPr>
          <w:color w:val="231F20"/>
          <w:spacing w:val="-12"/>
          <w:w w:val="105"/>
        </w:rPr>
        <w:t> </w:t>
      </w:r>
      <w:r>
        <w:rPr>
          <w:color w:val="231F20"/>
          <w:w w:val="105"/>
        </w:rPr>
        <w:t>privadas,</w:t>
      </w:r>
      <w:r>
        <w:rPr>
          <w:color w:val="231F20"/>
          <w:spacing w:val="-12"/>
          <w:w w:val="105"/>
        </w:rPr>
        <w:t> </w:t>
      </w:r>
      <w:r>
        <w:rPr>
          <w:color w:val="231F20"/>
          <w:w w:val="105"/>
        </w:rPr>
        <w:t>fran- quicias</w:t>
      </w:r>
      <w:r>
        <w:rPr>
          <w:color w:val="231F20"/>
          <w:spacing w:val="-9"/>
          <w:w w:val="105"/>
        </w:rPr>
        <w:t> </w:t>
      </w:r>
      <w:r>
        <w:rPr>
          <w:color w:val="231F20"/>
          <w:w w:val="105"/>
        </w:rPr>
        <w:t>y</w:t>
      </w:r>
      <w:r>
        <w:rPr>
          <w:color w:val="231F20"/>
          <w:spacing w:val="-9"/>
          <w:w w:val="105"/>
        </w:rPr>
        <w:t> </w:t>
      </w:r>
      <w:r>
        <w:rPr>
          <w:color w:val="231F20"/>
          <w:w w:val="105"/>
        </w:rPr>
        <w:t>transnacionales</w:t>
      </w:r>
      <w:r>
        <w:rPr>
          <w:color w:val="231F20"/>
          <w:spacing w:val="-9"/>
          <w:w w:val="105"/>
        </w:rPr>
        <w:t> </w:t>
      </w:r>
      <w:r>
        <w:rPr>
          <w:color w:val="231F20"/>
          <w:w w:val="105"/>
        </w:rPr>
        <w:t>que</w:t>
      </w:r>
      <w:r>
        <w:rPr>
          <w:color w:val="231F20"/>
          <w:spacing w:val="-9"/>
          <w:w w:val="105"/>
        </w:rPr>
        <w:t> </w:t>
      </w:r>
      <w:r>
        <w:rPr>
          <w:color w:val="231F20"/>
          <w:w w:val="105"/>
        </w:rPr>
        <w:t>inviertan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municipio”,</w:t>
      </w:r>
      <w:r>
        <w:rPr>
          <w:color w:val="231F20"/>
          <w:spacing w:val="-9"/>
          <w:w w:val="105"/>
        </w:rPr>
        <w:t> </w:t>
      </w:r>
      <w:r>
        <w:rPr>
          <w:color w:val="231F20"/>
          <w:w w:val="105"/>
        </w:rPr>
        <w:t>por</w:t>
      </w:r>
      <w:r>
        <w:rPr>
          <w:color w:val="231F20"/>
          <w:spacing w:val="-9"/>
          <w:w w:val="105"/>
        </w:rPr>
        <w:t> </w:t>
      </w:r>
      <w:r>
        <w:rPr>
          <w:color w:val="231F20"/>
          <w:w w:val="105"/>
        </w:rPr>
        <w:t>ser</w:t>
      </w:r>
      <w:r>
        <w:rPr>
          <w:color w:val="231F20"/>
          <w:spacing w:val="-9"/>
          <w:w w:val="105"/>
        </w:rPr>
        <w:t> </w:t>
      </w:r>
      <w:r>
        <w:rPr>
          <w:color w:val="231F20"/>
          <w:w w:val="105"/>
        </w:rPr>
        <w:t>contrario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posición del</w:t>
      </w:r>
      <w:r>
        <w:rPr>
          <w:color w:val="231F20"/>
          <w:spacing w:val="-13"/>
          <w:w w:val="105"/>
        </w:rPr>
        <w:t> </w:t>
      </w:r>
      <w:r>
        <w:rPr>
          <w:color w:val="231F20"/>
          <w:w w:val="105"/>
        </w:rPr>
        <w:t>Partido</w:t>
      </w:r>
      <w:r>
        <w:rPr>
          <w:color w:val="231F20"/>
          <w:spacing w:val="-13"/>
          <w:w w:val="105"/>
        </w:rPr>
        <w:t> </w:t>
      </w:r>
      <w:r>
        <w:rPr>
          <w:color w:val="231F20"/>
          <w:w w:val="105"/>
        </w:rPr>
        <w:t>en</w:t>
      </w:r>
      <w:r>
        <w:rPr>
          <w:color w:val="231F20"/>
          <w:spacing w:val="-13"/>
          <w:w w:val="105"/>
        </w:rPr>
        <w:t> </w:t>
      </w:r>
      <w:r>
        <w:rPr>
          <w:color w:val="231F20"/>
          <w:w w:val="105"/>
        </w:rPr>
        <w:t>cuanto</w:t>
      </w:r>
      <w:r>
        <w:rPr>
          <w:color w:val="231F20"/>
          <w:spacing w:val="-13"/>
          <w:w w:val="105"/>
        </w:rPr>
        <w:t> </w:t>
      </w:r>
      <w:r>
        <w:rPr>
          <w:color w:val="231F20"/>
          <w:spacing w:val="2"/>
          <w:w w:val="105"/>
        </w:rPr>
        <w:t>al</w:t>
      </w:r>
      <w:r>
        <w:rPr>
          <w:color w:val="231F20"/>
          <w:spacing w:val="-13"/>
          <w:w w:val="105"/>
        </w:rPr>
        <w:t> </w:t>
      </w:r>
      <w:r>
        <w:rPr>
          <w:color w:val="231F20"/>
          <w:w w:val="105"/>
        </w:rPr>
        <w:t>tratamiento</w:t>
      </w:r>
      <w:r>
        <w:rPr>
          <w:color w:val="231F20"/>
          <w:spacing w:val="-13"/>
          <w:w w:val="105"/>
        </w:rPr>
        <w:t> </w:t>
      </w:r>
      <w:r>
        <w:rPr>
          <w:color w:val="231F20"/>
          <w:w w:val="105"/>
        </w:rPr>
        <w:t>del</w:t>
      </w:r>
      <w:r>
        <w:rPr>
          <w:color w:val="231F20"/>
          <w:spacing w:val="-13"/>
          <w:w w:val="105"/>
        </w:rPr>
        <w:t> </w:t>
      </w:r>
      <w:r>
        <w:rPr>
          <w:color w:val="231F20"/>
          <w:w w:val="105"/>
        </w:rPr>
        <w:t>capital</w:t>
      </w:r>
      <w:r>
        <w:rPr>
          <w:color w:val="231F20"/>
          <w:spacing w:val="-13"/>
          <w:w w:val="105"/>
        </w:rPr>
        <w:t> </w:t>
      </w:r>
      <w:r>
        <w:rPr>
          <w:color w:val="231F20"/>
          <w:w w:val="105"/>
        </w:rPr>
        <w:t>privado,</w:t>
      </w:r>
      <w:r>
        <w:rPr>
          <w:color w:val="231F20"/>
          <w:spacing w:val="-13"/>
          <w:w w:val="105"/>
        </w:rPr>
        <w:t> </w:t>
      </w:r>
      <w:r>
        <w:rPr>
          <w:color w:val="231F20"/>
          <w:w w:val="105"/>
        </w:rPr>
        <w:t>nacional</w:t>
      </w:r>
      <w:r>
        <w:rPr>
          <w:color w:val="231F20"/>
          <w:spacing w:val="-13"/>
          <w:w w:val="105"/>
        </w:rPr>
        <w:t> </w:t>
      </w:r>
      <w:r>
        <w:rPr>
          <w:color w:val="231F20"/>
          <w:w w:val="105"/>
        </w:rPr>
        <w:t>o</w:t>
      </w:r>
      <w:r>
        <w:rPr>
          <w:color w:val="231F20"/>
          <w:spacing w:val="-13"/>
          <w:w w:val="105"/>
        </w:rPr>
        <w:t> </w:t>
      </w:r>
      <w:r>
        <w:rPr>
          <w:color w:val="231F20"/>
          <w:w w:val="105"/>
        </w:rPr>
        <w:t>extranjero.</w:t>
      </w:r>
      <w:r>
        <w:rPr>
          <w:color w:val="231F20"/>
          <w:spacing w:val="-13"/>
          <w:w w:val="105"/>
        </w:rPr>
        <w:t> </w:t>
      </w:r>
      <w:r>
        <w:rPr>
          <w:color w:val="231F20"/>
          <w:w w:val="105"/>
        </w:rPr>
        <w:t>Con</w:t>
      </w:r>
      <w:r>
        <w:rPr>
          <w:color w:val="231F20"/>
          <w:spacing w:val="-13"/>
          <w:w w:val="105"/>
        </w:rPr>
        <w:t> </w:t>
      </w:r>
      <w:r>
        <w:rPr>
          <w:color w:val="231F20"/>
          <w:w w:val="105"/>
        </w:rPr>
        <w:t>esto se</w:t>
      </w:r>
      <w:r>
        <w:rPr>
          <w:color w:val="231F20"/>
          <w:spacing w:val="-12"/>
          <w:w w:val="105"/>
        </w:rPr>
        <w:t> </w:t>
      </w:r>
      <w:r>
        <w:rPr>
          <w:color w:val="231F20"/>
          <w:w w:val="105"/>
        </w:rPr>
        <w:t>denota</w:t>
      </w:r>
      <w:r>
        <w:rPr>
          <w:color w:val="231F20"/>
          <w:spacing w:val="-12"/>
          <w:w w:val="105"/>
        </w:rPr>
        <w:t> </w:t>
      </w:r>
      <w:r>
        <w:rPr>
          <w:color w:val="231F20"/>
          <w:w w:val="105"/>
        </w:rPr>
        <w:t>la</w:t>
      </w:r>
      <w:r>
        <w:rPr>
          <w:color w:val="231F20"/>
          <w:spacing w:val="-12"/>
          <w:w w:val="105"/>
        </w:rPr>
        <w:t> </w:t>
      </w:r>
      <w:r>
        <w:rPr>
          <w:color w:val="231F20"/>
          <w:w w:val="105"/>
        </w:rPr>
        <w:t>autonomía</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el</w:t>
      </w:r>
      <w:r>
        <w:rPr>
          <w:color w:val="231F20"/>
          <w:spacing w:val="-12"/>
          <w:w w:val="105"/>
        </w:rPr>
        <w:t> </w:t>
      </w:r>
      <w:r>
        <w:rPr>
          <w:color w:val="231F20"/>
          <w:w w:val="105"/>
        </w:rPr>
        <w:t>distanciamiento</w:t>
      </w:r>
      <w:r>
        <w:rPr>
          <w:color w:val="231F20"/>
          <w:spacing w:val="-12"/>
          <w:w w:val="105"/>
        </w:rPr>
        <w:t> </w:t>
      </w:r>
      <w:r>
        <w:rPr>
          <w:color w:val="231F20"/>
          <w:w w:val="105"/>
        </w:rPr>
        <w:t>del</w:t>
      </w:r>
      <w:r>
        <w:rPr>
          <w:color w:val="231F20"/>
          <w:spacing w:val="-12"/>
          <w:w w:val="105"/>
        </w:rPr>
        <w:t> </w:t>
      </w:r>
      <w:r>
        <w:rPr>
          <w:color w:val="231F20"/>
          <w:w w:val="105"/>
        </w:rPr>
        <w:t>partido.</w:t>
      </w:r>
    </w:p>
    <w:p>
      <w:pPr>
        <w:pStyle w:val="BodyText"/>
        <w:rPr>
          <w:sz w:val="20"/>
        </w:rPr>
      </w:pPr>
    </w:p>
    <w:p>
      <w:pPr>
        <w:pStyle w:val="BodyText"/>
        <w:spacing w:before="3"/>
        <w:rPr>
          <w:sz w:val="29"/>
        </w:rPr>
      </w:pPr>
      <w:r>
        <w:rPr/>
        <w:pict>
          <v:line style="position:absolute;mso-position-horizontal-relative:page;mso-position-vertical-relative:paragraph;z-index:11608;mso-wrap-distance-left:0;mso-wrap-distance-right:0" from="42.519699pt,19.292772pt" to="114.519699pt,19.292772pt" stroked="true" strokeweight="1pt" strokecolor="#231f20">
            <w10:wrap type="topAndBottom"/>
          </v:line>
        </w:pict>
      </w:r>
    </w:p>
    <w:p>
      <w:pPr>
        <w:pStyle w:val="ListParagraph"/>
        <w:numPr>
          <w:ilvl w:val="0"/>
          <w:numId w:val="21"/>
        </w:numPr>
        <w:tabs>
          <w:tab w:pos="224" w:val="left" w:leader="none"/>
        </w:tabs>
        <w:spacing w:line="240" w:lineRule="auto" w:before="8" w:after="0"/>
        <w:ind w:left="223" w:right="0" w:hanging="113"/>
        <w:jc w:val="left"/>
        <w:rPr>
          <w:sz w:val="16"/>
        </w:rPr>
      </w:pPr>
      <w:r>
        <w:rPr>
          <w:color w:val="231F20"/>
          <w:sz w:val="16"/>
        </w:rPr>
        <w:t>El</w:t>
      </w:r>
      <w:r>
        <w:rPr>
          <w:color w:val="231F20"/>
          <w:spacing w:val="-13"/>
          <w:sz w:val="16"/>
        </w:rPr>
        <w:t> </w:t>
      </w:r>
      <w:r>
        <w:rPr>
          <w:color w:val="231F20"/>
          <w:sz w:val="16"/>
        </w:rPr>
        <w:t>Plan</w:t>
      </w:r>
      <w:r>
        <w:rPr>
          <w:color w:val="231F20"/>
          <w:spacing w:val="-13"/>
          <w:sz w:val="16"/>
        </w:rPr>
        <w:t> </w:t>
      </w:r>
      <w:r>
        <w:rPr>
          <w:color w:val="231F20"/>
          <w:sz w:val="16"/>
        </w:rPr>
        <w:t>Municipal</w:t>
      </w:r>
      <w:r>
        <w:rPr>
          <w:color w:val="231F20"/>
          <w:spacing w:val="-13"/>
          <w:sz w:val="16"/>
        </w:rPr>
        <w:t> </w:t>
      </w:r>
      <w:r>
        <w:rPr>
          <w:color w:val="231F20"/>
          <w:sz w:val="16"/>
        </w:rPr>
        <w:t>de</w:t>
      </w:r>
      <w:r>
        <w:rPr>
          <w:color w:val="231F20"/>
          <w:spacing w:val="-13"/>
          <w:sz w:val="16"/>
        </w:rPr>
        <w:t> </w:t>
      </w:r>
      <w:r>
        <w:rPr>
          <w:color w:val="231F20"/>
          <w:sz w:val="16"/>
        </w:rPr>
        <w:t>Desarrollo</w:t>
      </w:r>
      <w:r>
        <w:rPr>
          <w:color w:val="231F20"/>
          <w:spacing w:val="-13"/>
          <w:sz w:val="16"/>
        </w:rPr>
        <w:t> </w:t>
      </w:r>
      <w:r>
        <w:rPr>
          <w:color w:val="231F20"/>
          <w:sz w:val="16"/>
        </w:rPr>
        <w:t>(2006)</w:t>
      </w:r>
      <w:r>
        <w:rPr>
          <w:color w:val="231F20"/>
          <w:spacing w:val="-13"/>
          <w:sz w:val="16"/>
        </w:rPr>
        <w:t> </w:t>
      </w:r>
      <w:r>
        <w:rPr>
          <w:color w:val="231F20"/>
          <w:sz w:val="16"/>
        </w:rPr>
        <w:t>habla</w:t>
      </w:r>
      <w:r>
        <w:rPr>
          <w:color w:val="231F20"/>
          <w:spacing w:val="-13"/>
          <w:sz w:val="16"/>
        </w:rPr>
        <w:t> </w:t>
      </w:r>
      <w:r>
        <w:rPr>
          <w:color w:val="231F20"/>
          <w:sz w:val="16"/>
        </w:rPr>
        <w:t>de</w:t>
      </w:r>
      <w:r>
        <w:rPr>
          <w:color w:val="231F20"/>
          <w:spacing w:val="-13"/>
          <w:sz w:val="16"/>
        </w:rPr>
        <w:t> </w:t>
      </w:r>
      <w:r>
        <w:rPr>
          <w:color w:val="231F20"/>
          <w:sz w:val="16"/>
        </w:rPr>
        <w:t>participación</w:t>
      </w:r>
      <w:r>
        <w:rPr>
          <w:color w:val="231F20"/>
          <w:spacing w:val="-13"/>
          <w:sz w:val="16"/>
        </w:rPr>
        <w:t> </w:t>
      </w:r>
      <w:r>
        <w:rPr>
          <w:color w:val="231F20"/>
          <w:sz w:val="16"/>
        </w:rPr>
        <w:t>social</w:t>
      </w:r>
      <w:r>
        <w:rPr>
          <w:color w:val="231F20"/>
          <w:spacing w:val="-13"/>
          <w:sz w:val="16"/>
        </w:rPr>
        <w:t> </w:t>
      </w:r>
      <w:r>
        <w:rPr>
          <w:color w:val="231F20"/>
          <w:sz w:val="16"/>
        </w:rPr>
        <w:t>al</w:t>
      </w:r>
      <w:r>
        <w:rPr>
          <w:color w:val="231F20"/>
          <w:spacing w:val="-13"/>
          <w:sz w:val="16"/>
        </w:rPr>
        <w:t> </w:t>
      </w:r>
      <w:r>
        <w:rPr>
          <w:color w:val="231F20"/>
          <w:sz w:val="16"/>
        </w:rPr>
        <w:t>referirse</w:t>
      </w:r>
      <w:r>
        <w:rPr>
          <w:color w:val="231F20"/>
          <w:spacing w:val="-13"/>
          <w:sz w:val="16"/>
        </w:rPr>
        <w:t> </w:t>
      </w:r>
      <w:r>
        <w:rPr>
          <w:color w:val="231F20"/>
          <w:sz w:val="16"/>
        </w:rPr>
        <w:t>a</w:t>
      </w:r>
      <w:r>
        <w:rPr>
          <w:color w:val="231F20"/>
          <w:spacing w:val="-13"/>
          <w:sz w:val="16"/>
        </w:rPr>
        <w:t> </w:t>
      </w:r>
      <w:r>
        <w:rPr>
          <w:color w:val="231F20"/>
          <w:sz w:val="16"/>
        </w:rPr>
        <w:t>la</w:t>
      </w:r>
      <w:r>
        <w:rPr>
          <w:color w:val="231F20"/>
          <w:spacing w:val="-13"/>
          <w:sz w:val="16"/>
        </w:rPr>
        <w:t> </w:t>
      </w:r>
      <w:r>
        <w:rPr>
          <w:color w:val="231F20"/>
          <w:sz w:val="16"/>
        </w:rPr>
        <w:t>participación</w:t>
      </w:r>
      <w:r>
        <w:rPr>
          <w:color w:val="231F20"/>
          <w:spacing w:val="-13"/>
          <w:sz w:val="16"/>
        </w:rPr>
        <w:t> </w:t>
      </w:r>
      <w:r>
        <w:rPr>
          <w:color w:val="231F20"/>
          <w:sz w:val="16"/>
        </w:rPr>
        <w:t>ciudadana.</w:t>
      </w:r>
    </w:p>
    <w:p>
      <w:pPr>
        <w:spacing w:after="0" w:line="240" w:lineRule="auto"/>
        <w:jc w:val="left"/>
        <w:rPr>
          <w:sz w:val="16"/>
        </w:rPr>
        <w:sectPr>
          <w:pgSz w:w="9640" w:h="12190"/>
          <w:pgMar w:header="0" w:footer="743" w:top="1120" w:bottom="940" w:left="740" w:right="740"/>
        </w:sectPr>
      </w:pPr>
    </w:p>
    <w:p>
      <w:pPr>
        <w:pStyle w:val="BodyText"/>
        <w:spacing w:before="6"/>
        <w:rPr>
          <w:rFonts w:ascii="Calibri"/>
          <w:sz w:val="8"/>
        </w:rPr>
      </w:pPr>
    </w:p>
    <w:p>
      <w:pPr>
        <w:pStyle w:val="Heading4"/>
        <w:spacing w:line="345" w:lineRule="exact"/>
        <w:rPr>
          <w:i/>
        </w:rPr>
      </w:pPr>
      <w:r>
        <w:rPr>
          <w:i/>
          <w:color w:val="231F20"/>
          <w:w w:val="105"/>
        </w:rPr>
        <w:t>Bando</w:t>
      </w:r>
    </w:p>
    <w:p>
      <w:pPr>
        <w:pStyle w:val="BodyText"/>
        <w:spacing w:line="285" w:lineRule="auto" w:before="16"/>
        <w:ind w:left="110" w:right="108"/>
        <w:jc w:val="both"/>
      </w:pPr>
      <w:r>
        <w:rPr>
          <w:color w:val="231F20"/>
          <w:w w:val="105"/>
        </w:rPr>
        <w:t>La</w:t>
      </w:r>
      <w:r>
        <w:rPr>
          <w:color w:val="231F20"/>
          <w:spacing w:val="-14"/>
          <w:w w:val="105"/>
        </w:rPr>
        <w:t> </w:t>
      </w:r>
      <w:r>
        <w:rPr>
          <w:color w:val="231F20"/>
          <w:spacing w:val="-3"/>
          <w:w w:val="105"/>
        </w:rPr>
        <w:t>función</w:t>
      </w:r>
      <w:r>
        <w:rPr>
          <w:color w:val="231F20"/>
          <w:spacing w:val="-14"/>
          <w:w w:val="105"/>
        </w:rPr>
        <w:t> </w:t>
      </w:r>
      <w:r>
        <w:rPr>
          <w:color w:val="231F20"/>
          <w:spacing w:val="-3"/>
          <w:w w:val="105"/>
        </w:rPr>
        <w:t>reglamentaria</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vía</w:t>
      </w:r>
      <w:r>
        <w:rPr>
          <w:color w:val="231F20"/>
          <w:spacing w:val="-14"/>
          <w:w w:val="105"/>
        </w:rPr>
        <w:t> </w:t>
      </w:r>
      <w:r>
        <w:rPr>
          <w:color w:val="231F20"/>
          <w:spacing w:val="-4"/>
          <w:w w:val="105"/>
        </w:rPr>
        <w:t>que</w:t>
      </w:r>
      <w:r>
        <w:rPr>
          <w:color w:val="231F20"/>
          <w:spacing w:val="-14"/>
          <w:w w:val="105"/>
        </w:rPr>
        <w:t> </w:t>
      </w:r>
      <w:r>
        <w:rPr>
          <w:color w:val="231F20"/>
          <w:spacing w:val="-4"/>
          <w:w w:val="105"/>
        </w:rPr>
        <w:t>tiene</w:t>
      </w:r>
      <w:r>
        <w:rPr>
          <w:color w:val="231F20"/>
          <w:spacing w:val="-14"/>
          <w:w w:val="105"/>
        </w:rPr>
        <w:t> </w:t>
      </w:r>
      <w:r>
        <w:rPr>
          <w:color w:val="231F20"/>
          <w:spacing w:val="-3"/>
          <w:w w:val="105"/>
        </w:rPr>
        <w:t>el</w:t>
      </w:r>
      <w:r>
        <w:rPr>
          <w:color w:val="231F20"/>
          <w:spacing w:val="-14"/>
          <w:w w:val="105"/>
        </w:rPr>
        <w:t> </w:t>
      </w:r>
      <w:r>
        <w:rPr>
          <w:color w:val="231F20"/>
          <w:spacing w:val="-5"/>
          <w:w w:val="105"/>
        </w:rPr>
        <w:t>gobierno</w:t>
      </w:r>
      <w:r>
        <w:rPr>
          <w:color w:val="231F20"/>
          <w:spacing w:val="-14"/>
          <w:w w:val="105"/>
        </w:rPr>
        <w:t> </w:t>
      </w:r>
      <w:r>
        <w:rPr>
          <w:color w:val="231F20"/>
          <w:spacing w:val="-3"/>
          <w:w w:val="105"/>
        </w:rPr>
        <w:t>municipal</w:t>
      </w:r>
      <w:r>
        <w:rPr>
          <w:color w:val="231F20"/>
          <w:spacing w:val="-14"/>
          <w:w w:val="105"/>
        </w:rPr>
        <w:t> </w:t>
      </w:r>
      <w:r>
        <w:rPr>
          <w:color w:val="231F20"/>
          <w:w w:val="105"/>
        </w:rPr>
        <w:t>para</w:t>
      </w:r>
      <w:r>
        <w:rPr>
          <w:color w:val="231F20"/>
          <w:spacing w:val="-14"/>
          <w:w w:val="105"/>
        </w:rPr>
        <w:t> </w:t>
      </w:r>
      <w:r>
        <w:rPr>
          <w:color w:val="231F20"/>
          <w:spacing w:val="-4"/>
          <w:w w:val="105"/>
        </w:rPr>
        <w:t>poder</w:t>
      </w:r>
      <w:r>
        <w:rPr>
          <w:color w:val="231F20"/>
          <w:spacing w:val="-14"/>
          <w:w w:val="105"/>
        </w:rPr>
        <w:t> </w:t>
      </w:r>
      <w:r>
        <w:rPr>
          <w:color w:val="231F20"/>
          <w:spacing w:val="-5"/>
          <w:w w:val="105"/>
        </w:rPr>
        <w:t>gobernar,</w:t>
      </w:r>
      <w:r>
        <w:rPr>
          <w:color w:val="231F20"/>
          <w:spacing w:val="-14"/>
          <w:w w:val="105"/>
        </w:rPr>
        <w:t> </w:t>
      </w:r>
      <w:r>
        <w:rPr>
          <w:color w:val="231F20"/>
          <w:w w:val="105"/>
        </w:rPr>
        <w:t>la </w:t>
      </w:r>
      <w:r>
        <w:rPr>
          <w:color w:val="231F20"/>
          <w:spacing w:val="-4"/>
          <w:w w:val="105"/>
        </w:rPr>
        <w:t>ausencia</w:t>
      </w:r>
      <w:r>
        <w:rPr>
          <w:color w:val="231F20"/>
          <w:spacing w:val="-11"/>
          <w:w w:val="105"/>
        </w:rPr>
        <w:t> </w:t>
      </w:r>
      <w:r>
        <w:rPr>
          <w:color w:val="231F20"/>
          <w:spacing w:val="-3"/>
          <w:w w:val="105"/>
        </w:rPr>
        <w:t>de</w:t>
      </w:r>
      <w:r>
        <w:rPr>
          <w:color w:val="231F20"/>
          <w:spacing w:val="-11"/>
          <w:w w:val="105"/>
        </w:rPr>
        <w:t> </w:t>
      </w:r>
      <w:r>
        <w:rPr>
          <w:color w:val="231F20"/>
          <w:spacing w:val="-3"/>
          <w:w w:val="105"/>
        </w:rPr>
        <w:t>instrumentos</w:t>
      </w:r>
      <w:r>
        <w:rPr>
          <w:color w:val="231F20"/>
          <w:spacing w:val="-11"/>
          <w:w w:val="105"/>
        </w:rPr>
        <w:t> </w:t>
      </w:r>
      <w:r>
        <w:rPr>
          <w:color w:val="231F20"/>
          <w:spacing w:val="-3"/>
          <w:w w:val="105"/>
        </w:rPr>
        <w:t>de</w:t>
      </w:r>
      <w:r>
        <w:rPr>
          <w:color w:val="231F20"/>
          <w:spacing w:val="-11"/>
          <w:w w:val="105"/>
        </w:rPr>
        <w:t> </w:t>
      </w:r>
      <w:r>
        <w:rPr>
          <w:color w:val="231F20"/>
          <w:spacing w:val="-3"/>
          <w:w w:val="105"/>
        </w:rPr>
        <w:t>mando</w:t>
      </w:r>
      <w:r>
        <w:rPr>
          <w:color w:val="231F20"/>
          <w:spacing w:val="-11"/>
          <w:w w:val="105"/>
        </w:rPr>
        <w:t> </w:t>
      </w:r>
      <w:r>
        <w:rPr>
          <w:color w:val="231F20"/>
          <w:w w:val="105"/>
        </w:rPr>
        <w:t>y</w:t>
      </w:r>
      <w:r>
        <w:rPr>
          <w:color w:val="231F20"/>
          <w:spacing w:val="-11"/>
          <w:w w:val="105"/>
        </w:rPr>
        <w:t> </w:t>
      </w:r>
      <w:r>
        <w:rPr>
          <w:color w:val="231F20"/>
          <w:spacing w:val="-4"/>
          <w:w w:val="105"/>
        </w:rPr>
        <w:t>normativos</w:t>
      </w:r>
      <w:r>
        <w:rPr>
          <w:color w:val="231F20"/>
          <w:spacing w:val="-11"/>
          <w:w w:val="105"/>
        </w:rPr>
        <w:t> </w:t>
      </w:r>
      <w:r>
        <w:rPr>
          <w:color w:val="231F20"/>
          <w:w w:val="105"/>
        </w:rPr>
        <w:t>trae</w:t>
      </w:r>
      <w:r>
        <w:rPr>
          <w:color w:val="231F20"/>
          <w:spacing w:val="-11"/>
          <w:w w:val="105"/>
        </w:rPr>
        <w:t> </w:t>
      </w:r>
      <w:r>
        <w:rPr>
          <w:color w:val="231F20"/>
          <w:spacing w:val="-5"/>
          <w:w w:val="105"/>
        </w:rPr>
        <w:t>como</w:t>
      </w:r>
      <w:r>
        <w:rPr>
          <w:color w:val="231F20"/>
          <w:spacing w:val="-11"/>
          <w:w w:val="105"/>
        </w:rPr>
        <w:t> </w:t>
      </w:r>
      <w:r>
        <w:rPr>
          <w:color w:val="231F20"/>
          <w:spacing w:val="-4"/>
          <w:w w:val="105"/>
        </w:rPr>
        <w:t>consecuencia</w:t>
      </w:r>
      <w:r>
        <w:rPr>
          <w:color w:val="231F20"/>
          <w:spacing w:val="-11"/>
          <w:w w:val="105"/>
        </w:rPr>
        <w:t> </w:t>
      </w:r>
      <w:r>
        <w:rPr>
          <w:color w:val="231F20"/>
          <w:spacing w:val="-3"/>
          <w:w w:val="105"/>
        </w:rPr>
        <w:t>el</w:t>
      </w:r>
      <w:r>
        <w:rPr>
          <w:color w:val="231F20"/>
          <w:spacing w:val="-11"/>
          <w:w w:val="105"/>
        </w:rPr>
        <w:t> </w:t>
      </w:r>
      <w:r>
        <w:rPr>
          <w:color w:val="231F20"/>
          <w:spacing w:val="-5"/>
          <w:w w:val="105"/>
        </w:rPr>
        <w:t>desgobierno.</w:t>
      </w:r>
    </w:p>
    <w:p>
      <w:pPr>
        <w:pStyle w:val="BodyText"/>
        <w:spacing w:before="1"/>
        <w:rPr>
          <w:sz w:val="26"/>
        </w:rPr>
      </w:pPr>
    </w:p>
    <w:p>
      <w:pPr>
        <w:pStyle w:val="BodyText"/>
        <w:spacing w:line="285" w:lineRule="auto"/>
        <w:ind w:left="110" w:right="108"/>
        <w:jc w:val="both"/>
      </w:pPr>
      <w:r>
        <w:rPr>
          <w:color w:val="231F20"/>
          <w:w w:val="105"/>
        </w:rPr>
        <w:t>En la administración en estudio, sólo contaba con un Bando de Policía y cuatro regla- mentos: del Archivo municipal, Protección Civil, Interno de trabajo y el Interno de la Dirección de Seguridad Pública.</w:t>
      </w:r>
    </w:p>
    <w:p>
      <w:pPr>
        <w:pStyle w:val="BodyText"/>
        <w:spacing w:before="1"/>
        <w:rPr>
          <w:sz w:val="26"/>
        </w:rPr>
      </w:pPr>
    </w:p>
    <w:p>
      <w:pPr>
        <w:pStyle w:val="BodyText"/>
        <w:spacing w:line="285" w:lineRule="auto"/>
        <w:ind w:left="110" w:right="107"/>
        <w:jc w:val="both"/>
      </w:pPr>
      <w:r>
        <w:rPr>
          <w:color w:val="231F20"/>
          <w:spacing w:val="-3"/>
          <w:w w:val="105"/>
        </w:rPr>
        <w:t>Uno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compromisos</w:t>
      </w:r>
      <w:r>
        <w:rPr>
          <w:color w:val="231F20"/>
          <w:spacing w:val="-7"/>
          <w:w w:val="105"/>
        </w:rPr>
        <w:t> </w:t>
      </w:r>
      <w:r>
        <w:rPr>
          <w:color w:val="231F20"/>
          <w:w w:val="105"/>
        </w:rPr>
        <w:t>del</w:t>
      </w:r>
      <w:r>
        <w:rPr>
          <w:color w:val="231F20"/>
          <w:spacing w:val="-7"/>
          <w:w w:val="105"/>
        </w:rPr>
        <w:t> </w:t>
      </w:r>
      <w:r>
        <w:rPr>
          <w:color w:val="231F20"/>
          <w:w w:val="105"/>
        </w:rPr>
        <w:t>gobierno</w:t>
      </w:r>
      <w:r>
        <w:rPr>
          <w:color w:val="231F20"/>
          <w:spacing w:val="-7"/>
          <w:w w:val="105"/>
        </w:rPr>
        <w:t> </w:t>
      </w:r>
      <w:r>
        <w:rPr>
          <w:color w:val="231F20"/>
          <w:w w:val="105"/>
        </w:rPr>
        <w:t>fue</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sentido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elaboración</w:t>
      </w:r>
      <w:r>
        <w:rPr>
          <w:color w:val="231F20"/>
          <w:spacing w:val="-7"/>
          <w:w w:val="105"/>
        </w:rPr>
        <w:t> </w:t>
      </w:r>
      <w:r>
        <w:rPr>
          <w:color w:val="231F20"/>
          <w:w w:val="105"/>
        </w:rPr>
        <w:t>de</w:t>
      </w:r>
      <w:r>
        <w:rPr>
          <w:color w:val="231F20"/>
          <w:spacing w:val="-7"/>
          <w:w w:val="105"/>
        </w:rPr>
        <w:t> </w:t>
      </w:r>
      <w:r>
        <w:rPr>
          <w:color w:val="231F20"/>
          <w:w w:val="105"/>
        </w:rPr>
        <w:t>reglamen- tos y manuales. Estas situación no ha sido atendida por el gobierno, en el segundo in- forme se consigna que se aprobaron los manuales de las unidades administrativas y dos reglamentos, el interno de cabildo y el de mercados. Estas acciones de omisión</w:t>
      </w:r>
      <w:r>
        <w:rPr>
          <w:color w:val="231F20"/>
          <w:spacing w:val="-30"/>
          <w:w w:val="105"/>
        </w:rPr>
        <w:t> </w:t>
      </w:r>
      <w:r>
        <w:rPr>
          <w:color w:val="231F20"/>
          <w:w w:val="105"/>
        </w:rPr>
        <w:t>de generarse los reglamentos respectivos para gobernar es de </w:t>
      </w:r>
      <w:r>
        <w:rPr>
          <w:color w:val="231F20"/>
          <w:spacing w:val="2"/>
          <w:w w:val="105"/>
        </w:rPr>
        <w:t>llamar </w:t>
      </w:r>
      <w:r>
        <w:rPr>
          <w:color w:val="231F20"/>
          <w:w w:val="105"/>
        </w:rPr>
        <w:t>la atención, pues el cuestionamiento entonces que cabe es </w:t>
      </w:r>
      <w:r>
        <w:rPr>
          <w:color w:val="231F20"/>
          <w:spacing w:val="-4"/>
          <w:w w:val="105"/>
        </w:rPr>
        <w:t>¿cómo </w:t>
      </w:r>
      <w:r>
        <w:rPr>
          <w:color w:val="231F20"/>
          <w:w w:val="105"/>
        </w:rPr>
        <w:t>se puede gobernar si no es a través del establecimiento</w:t>
      </w:r>
      <w:r>
        <w:rPr>
          <w:color w:val="231F20"/>
          <w:spacing w:val="-20"/>
          <w:w w:val="105"/>
        </w:rPr>
        <w:t> </w:t>
      </w:r>
      <w:r>
        <w:rPr>
          <w:color w:val="231F20"/>
          <w:w w:val="105"/>
        </w:rPr>
        <w:t>de</w:t>
      </w:r>
      <w:r>
        <w:rPr>
          <w:color w:val="231F20"/>
          <w:spacing w:val="-20"/>
          <w:w w:val="105"/>
        </w:rPr>
        <w:t> </w:t>
      </w:r>
      <w:r>
        <w:rPr>
          <w:color w:val="231F20"/>
          <w:w w:val="105"/>
        </w:rPr>
        <w:t>normas</w:t>
      </w:r>
      <w:r>
        <w:rPr>
          <w:color w:val="231F20"/>
          <w:spacing w:val="-20"/>
          <w:w w:val="105"/>
        </w:rPr>
        <w:t> </w:t>
      </w:r>
      <w:r>
        <w:rPr>
          <w:color w:val="231F20"/>
          <w:w w:val="105"/>
        </w:rPr>
        <w:t>claras</w:t>
      </w:r>
      <w:r>
        <w:rPr>
          <w:color w:val="231F20"/>
          <w:spacing w:val="-20"/>
          <w:w w:val="105"/>
        </w:rPr>
        <w:t> </w:t>
      </w:r>
      <w:r>
        <w:rPr>
          <w:color w:val="231F20"/>
          <w:w w:val="105"/>
        </w:rPr>
        <w:t>que</w:t>
      </w:r>
      <w:r>
        <w:rPr>
          <w:color w:val="231F20"/>
          <w:spacing w:val="-20"/>
          <w:w w:val="105"/>
        </w:rPr>
        <w:t> </w:t>
      </w:r>
      <w:r>
        <w:rPr>
          <w:color w:val="231F20"/>
          <w:w w:val="105"/>
        </w:rPr>
        <w:t>afiancen</w:t>
      </w:r>
      <w:r>
        <w:rPr>
          <w:color w:val="231F20"/>
          <w:spacing w:val="-20"/>
          <w:w w:val="105"/>
        </w:rPr>
        <w:t> </w:t>
      </w:r>
      <w:r>
        <w:rPr>
          <w:color w:val="231F20"/>
          <w:w w:val="105"/>
        </w:rPr>
        <w:t>los</w:t>
      </w:r>
      <w:r>
        <w:rPr>
          <w:color w:val="231F20"/>
          <w:spacing w:val="-20"/>
          <w:w w:val="105"/>
        </w:rPr>
        <w:t> </w:t>
      </w:r>
      <w:r>
        <w:rPr>
          <w:color w:val="231F20"/>
          <w:w w:val="105"/>
        </w:rPr>
        <w:t>derechos</w:t>
      </w:r>
      <w:r>
        <w:rPr>
          <w:color w:val="231F20"/>
          <w:spacing w:val="-20"/>
          <w:w w:val="105"/>
        </w:rPr>
        <w:t> </w:t>
      </w:r>
      <w:r>
        <w:rPr>
          <w:color w:val="231F20"/>
          <w:w w:val="105"/>
        </w:rPr>
        <w:t>y</w:t>
      </w:r>
      <w:r>
        <w:rPr>
          <w:color w:val="231F20"/>
          <w:spacing w:val="-20"/>
          <w:w w:val="105"/>
        </w:rPr>
        <w:t> </w:t>
      </w:r>
      <w:r>
        <w:rPr>
          <w:color w:val="231F20"/>
          <w:w w:val="105"/>
        </w:rPr>
        <w:t>obligaciones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spacing w:val="-3"/>
          <w:w w:val="105"/>
        </w:rPr>
        <w:t>gober- </w:t>
      </w:r>
      <w:r>
        <w:rPr>
          <w:color w:val="231F20"/>
          <w:w w:val="105"/>
        </w:rPr>
        <w:t>nados</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vez</w:t>
      </w:r>
      <w:r>
        <w:rPr>
          <w:color w:val="231F20"/>
          <w:spacing w:val="-19"/>
          <w:w w:val="105"/>
        </w:rPr>
        <w:t> </w:t>
      </w:r>
      <w:r>
        <w:rPr>
          <w:color w:val="231F20"/>
          <w:w w:val="105"/>
        </w:rPr>
        <w:t>que</w:t>
      </w:r>
      <w:r>
        <w:rPr>
          <w:color w:val="231F20"/>
          <w:spacing w:val="-19"/>
          <w:w w:val="105"/>
        </w:rPr>
        <w:t> </w:t>
      </w:r>
      <w:r>
        <w:rPr>
          <w:color w:val="231F20"/>
          <w:w w:val="105"/>
        </w:rPr>
        <w:t>dan</w:t>
      </w:r>
      <w:r>
        <w:rPr>
          <w:color w:val="231F20"/>
          <w:spacing w:val="-19"/>
          <w:w w:val="105"/>
        </w:rPr>
        <w:t> </w:t>
      </w:r>
      <w:r>
        <w:rPr>
          <w:color w:val="231F20"/>
          <w:w w:val="105"/>
        </w:rPr>
        <w:t>certidumbre</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actuación</w:t>
      </w:r>
      <w:r>
        <w:rPr>
          <w:color w:val="231F20"/>
          <w:spacing w:val="-19"/>
          <w:w w:val="105"/>
        </w:rPr>
        <w:t> </w:t>
      </w:r>
      <w:r>
        <w:rPr>
          <w:color w:val="231F20"/>
          <w:w w:val="105"/>
        </w:rPr>
        <w:t>de</w:t>
      </w:r>
      <w:r>
        <w:rPr>
          <w:color w:val="231F20"/>
          <w:spacing w:val="-19"/>
          <w:w w:val="105"/>
        </w:rPr>
        <w:t> </w:t>
      </w:r>
      <w:r>
        <w:rPr>
          <w:color w:val="231F20"/>
          <w:w w:val="105"/>
        </w:rPr>
        <w:t>respuesta</w:t>
      </w:r>
      <w:r>
        <w:rPr>
          <w:color w:val="231F20"/>
          <w:spacing w:val="-19"/>
          <w:w w:val="105"/>
        </w:rPr>
        <w:t> </w:t>
      </w:r>
      <w:r>
        <w:rPr>
          <w:color w:val="231F20"/>
          <w:w w:val="105"/>
        </w:rPr>
        <w:t>del</w:t>
      </w:r>
      <w:r>
        <w:rPr>
          <w:color w:val="231F20"/>
          <w:spacing w:val="-19"/>
          <w:w w:val="105"/>
        </w:rPr>
        <w:t> </w:t>
      </w:r>
      <w:r>
        <w:rPr>
          <w:color w:val="231F20"/>
          <w:spacing w:val="-3"/>
          <w:w w:val="105"/>
        </w:rPr>
        <w:t>gobierno?</w:t>
      </w:r>
      <w:r>
        <w:rPr>
          <w:color w:val="231F20"/>
          <w:spacing w:val="-19"/>
          <w:w w:val="105"/>
        </w:rPr>
        <w:t> </w:t>
      </w:r>
      <w:r>
        <w:rPr>
          <w:color w:val="231F20"/>
          <w:w w:val="105"/>
        </w:rPr>
        <w:t>La</w:t>
      </w:r>
      <w:r>
        <w:rPr>
          <w:color w:val="231F20"/>
          <w:spacing w:val="-19"/>
          <w:w w:val="105"/>
        </w:rPr>
        <w:t> </w:t>
      </w:r>
      <w:r>
        <w:rPr>
          <w:color w:val="231F20"/>
          <w:w w:val="105"/>
        </w:rPr>
        <w:t>facultad reglamentaria con la que cuenta el gobierno municipal es la mayor arma efectiva que pueden</w:t>
      </w:r>
      <w:r>
        <w:rPr>
          <w:color w:val="231F20"/>
          <w:spacing w:val="-5"/>
          <w:w w:val="105"/>
        </w:rPr>
        <w:t> </w:t>
      </w:r>
      <w:r>
        <w:rPr>
          <w:color w:val="231F20"/>
          <w:w w:val="105"/>
        </w:rPr>
        <w:t>tener</w:t>
      </w:r>
      <w:r>
        <w:rPr>
          <w:color w:val="231F20"/>
          <w:spacing w:val="-5"/>
          <w:w w:val="105"/>
        </w:rPr>
        <w:t> </w:t>
      </w:r>
      <w:r>
        <w:rPr>
          <w:color w:val="231F20"/>
          <w:w w:val="105"/>
        </w:rPr>
        <w:t>para</w:t>
      </w:r>
      <w:r>
        <w:rPr>
          <w:color w:val="231F20"/>
          <w:spacing w:val="-5"/>
          <w:w w:val="105"/>
        </w:rPr>
        <w:t> </w:t>
      </w:r>
      <w:r>
        <w:rPr>
          <w:color w:val="231F20"/>
          <w:w w:val="105"/>
        </w:rPr>
        <w:t>gobernar</w:t>
      </w:r>
      <w:r>
        <w:rPr>
          <w:color w:val="231F20"/>
          <w:spacing w:val="-5"/>
          <w:w w:val="105"/>
        </w:rPr>
        <w:t> </w:t>
      </w:r>
      <w:r>
        <w:rPr>
          <w:color w:val="231F20"/>
          <w:w w:val="105"/>
        </w:rPr>
        <w:t>y</w:t>
      </w:r>
      <w:r>
        <w:rPr>
          <w:color w:val="231F20"/>
          <w:spacing w:val="-5"/>
          <w:w w:val="105"/>
        </w:rPr>
        <w:t> </w:t>
      </w:r>
      <w:r>
        <w:rPr>
          <w:color w:val="231F20"/>
          <w:w w:val="105"/>
        </w:rPr>
        <w:t>conducir</w:t>
      </w:r>
      <w:r>
        <w:rPr>
          <w:color w:val="231F20"/>
          <w:spacing w:val="-5"/>
          <w:w w:val="105"/>
        </w:rPr>
        <w:t> </w:t>
      </w:r>
      <w:r>
        <w:rPr>
          <w:color w:val="231F20"/>
          <w:w w:val="105"/>
        </w:rPr>
        <w:t>los</w:t>
      </w:r>
      <w:r>
        <w:rPr>
          <w:color w:val="231F20"/>
          <w:spacing w:val="-5"/>
          <w:w w:val="105"/>
        </w:rPr>
        <w:t> </w:t>
      </w:r>
      <w:r>
        <w:rPr>
          <w:color w:val="231F20"/>
          <w:w w:val="105"/>
        </w:rPr>
        <w:t>destinos</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pueblo;</w:t>
      </w:r>
      <w:r>
        <w:rPr>
          <w:color w:val="231F20"/>
          <w:spacing w:val="-5"/>
          <w:w w:val="105"/>
        </w:rPr>
        <w:t> </w:t>
      </w:r>
      <w:r>
        <w:rPr>
          <w:color w:val="231F20"/>
          <w:w w:val="105"/>
        </w:rPr>
        <w:t>el</w:t>
      </w:r>
      <w:r>
        <w:rPr>
          <w:color w:val="231F20"/>
          <w:spacing w:val="-5"/>
          <w:w w:val="105"/>
        </w:rPr>
        <w:t> </w:t>
      </w:r>
      <w:r>
        <w:rPr>
          <w:color w:val="231F20"/>
          <w:w w:val="105"/>
        </w:rPr>
        <w:t>reglamento</w:t>
      </w:r>
      <w:r>
        <w:rPr>
          <w:color w:val="231F20"/>
          <w:spacing w:val="-5"/>
          <w:w w:val="105"/>
        </w:rPr>
        <w:t> </w:t>
      </w:r>
      <w:r>
        <w:rPr>
          <w:color w:val="231F20"/>
          <w:w w:val="105"/>
        </w:rPr>
        <w:t>lo</w:t>
      </w:r>
      <w:r>
        <w:rPr>
          <w:color w:val="231F20"/>
          <w:spacing w:val="-5"/>
          <w:w w:val="105"/>
        </w:rPr>
        <w:t> </w:t>
      </w:r>
      <w:r>
        <w:rPr>
          <w:color w:val="231F20"/>
          <w:w w:val="105"/>
        </w:rPr>
        <w:t>que hace</w:t>
      </w:r>
      <w:r>
        <w:rPr>
          <w:color w:val="231F20"/>
          <w:spacing w:val="-8"/>
          <w:w w:val="105"/>
        </w:rPr>
        <w:t> </w:t>
      </w:r>
      <w:r>
        <w:rPr>
          <w:color w:val="231F20"/>
          <w:w w:val="105"/>
        </w:rPr>
        <w:t>es</w:t>
      </w:r>
      <w:r>
        <w:rPr>
          <w:color w:val="231F20"/>
          <w:spacing w:val="-8"/>
          <w:w w:val="105"/>
        </w:rPr>
        <w:t> </w:t>
      </w:r>
      <w:r>
        <w:rPr>
          <w:color w:val="231F20"/>
          <w:w w:val="105"/>
        </w:rPr>
        <w:t>facilitar</w:t>
      </w:r>
      <w:r>
        <w:rPr>
          <w:color w:val="231F20"/>
          <w:spacing w:val="-8"/>
          <w:w w:val="105"/>
        </w:rPr>
        <w:t> </w:t>
      </w:r>
      <w:r>
        <w:rPr>
          <w:color w:val="231F20"/>
          <w:w w:val="105"/>
        </w:rPr>
        <w:t>la</w:t>
      </w:r>
      <w:r>
        <w:rPr>
          <w:color w:val="231F20"/>
          <w:spacing w:val="-8"/>
          <w:w w:val="105"/>
        </w:rPr>
        <w:t> </w:t>
      </w:r>
      <w:r>
        <w:rPr>
          <w:color w:val="231F20"/>
          <w:w w:val="105"/>
        </w:rPr>
        <w:t>operación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ley</w:t>
      </w:r>
      <w:r>
        <w:rPr>
          <w:color w:val="231F20"/>
          <w:spacing w:val="-8"/>
          <w:w w:val="105"/>
        </w:rPr>
        <w:t> </w:t>
      </w:r>
      <w:r>
        <w:rPr>
          <w:color w:val="231F20"/>
          <w:w w:val="105"/>
        </w:rPr>
        <w:t>y</w:t>
      </w:r>
      <w:r>
        <w:rPr>
          <w:color w:val="231F20"/>
          <w:spacing w:val="-8"/>
          <w:w w:val="105"/>
        </w:rPr>
        <w:t> </w:t>
      </w:r>
      <w:r>
        <w:rPr>
          <w:color w:val="231F20"/>
          <w:w w:val="105"/>
        </w:rPr>
        <w:t>contextualizarla</w:t>
      </w:r>
      <w:r>
        <w:rPr>
          <w:color w:val="231F20"/>
          <w:spacing w:val="-8"/>
          <w:w w:val="105"/>
        </w:rPr>
        <w:t> </w:t>
      </w:r>
      <w:r>
        <w:rPr>
          <w:color w:val="231F20"/>
          <w:spacing w:val="2"/>
          <w:w w:val="105"/>
        </w:rPr>
        <w:t>al</w:t>
      </w:r>
      <w:r>
        <w:rPr>
          <w:color w:val="231F20"/>
          <w:spacing w:val="-8"/>
          <w:w w:val="105"/>
        </w:rPr>
        <w:t> </w:t>
      </w:r>
      <w:r>
        <w:rPr>
          <w:color w:val="231F20"/>
          <w:w w:val="105"/>
        </w:rPr>
        <w:t>municipio,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jurisdicción territorial.</w:t>
      </w:r>
      <w:r>
        <w:rPr>
          <w:color w:val="231F20"/>
          <w:spacing w:val="-25"/>
          <w:w w:val="105"/>
        </w:rPr>
        <w:t> </w:t>
      </w:r>
      <w:r>
        <w:rPr>
          <w:color w:val="231F20"/>
          <w:w w:val="105"/>
        </w:rPr>
        <w:t>Sin</w:t>
      </w:r>
      <w:r>
        <w:rPr>
          <w:color w:val="231F20"/>
          <w:spacing w:val="-25"/>
          <w:w w:val="105"/>
        </w:rPr>
        <w:t> </w:t>
      </w:r>
      <w:r>
        <w:rPr>
          <w:color w:val="231F20"/>
          <w:w w:val="105"/>
        </w:rPr>
        <w:t>reglamentos</w:t>
      </w:r>
      <w:r>
        <w:rPr>
          <w:color w:val="231F20"/>
          <w:spacing w:val="-25"/>
          <w:w w:val="105"/>
        </w:rPr>
        <w:t> </w:t>
      </w:r>
      <w:r>
        <w:rPr>
          <w:color w:val="231F20"/>
          <w:w w:val="105"/>
        </w:rPr>
        <w:t>se</w:t>
      </w:r>
      <w:r>
        <w:rPr>
          <w:color w:val="231F20"/>
          <w:spacing w:val="-25"/>
          <w:w w:val="105"/>
        </w:rPr>
        <w:t> </w:t>
      </w:r>
      <w:r>
        <w:rPr>
          <w:color w:val="231F20"/>
          <w:w w:val="105"/>
        </w:rPr>
        <w:t>contribuye</w:t>
      </w:r>
      <w:r>
        <w:rPr>
          <w:color w:val="231F20"/>
          <w:spacing w:val="-25"/>
          <w:w w:val="105"/>
        </w:rPr>
        <w:t> </w:t>
      </w:r>
      <w:r>
        <w:rPr>
          <w:color w:val="231F20"/>
          <w:spacing w:val="2"/>
          <w:w w:val="105"/>
        </w:rPr>
        <w:t>al</w:t>
      </w:r>
      <w:r>
        <w:rPr>
          <w:color w:val="231F20"/>
          <w:spacing w:val="-25"/>
          <w:w w:val="105"/>
        </w:rPr>
        <w:t> </w:t>
      </w:r>
      <w:r>
        <w:rPr>
          <w:color w:val="231F20"/>
          <w:w w:val="105"/>
        </w:rPr>
        <w:t>desgobierno.</w:t>
      </w:r>
      <w:r>
        <w:rPr>
          <w:color w:val="231F20"/>
          <w:spacing w:val="-25"/>
          <w:w w:val="105"/>
        </w:rPr>
        <w:t> </w:t>
      </w:r>
      <w:r>
        <w:rPr>
          <w:color w:val="231F20"/>
          <w:w w:val="105"/>
        </w:rPr>
        <w:t>La</w:t>
      </w:r>
      <w:r>
        <w:rPr>
          <w:color w:val="231F20"/>
          <w:spacing w:val="-25"/>
          <w:w w:val="105"/>
        </w:rPr>
        <w:t> </w:t>
      </w:r>
      <w:r>
        <w:rPr>
          <w:color w:val="231F20"/>
          <w:w w:val="105"/>
        </w:rPr>
        <w:t>ausencia</w:t>
      </w:r>
      <w:r>
        <w:rPr>
          <w:color w:val="231F20"/>
          <w:spacing w:val="-25"/>
          <w:w w:val="105"/>
        </w:rPr>
        <w:t> </w:t>
      </w:r>
      <w:r>
        <w:rPr>
          <w:color w:val="231F20"/>
          <w:w w:val="105"/>
        </w:rPr>
        <w:t>de</w:t>
      </w:r>
      <w:r>
        <w:rPr>
          <w:color w:val="231F20"/>
          <w:spacing w:val="-25"/>
          <w:w w:val="105"/>
        </w:rPr>
        <w:t> </w:t>
      </w:r>
      <w:r>
        <w:rPr>
          <w:color w:val="231F20"/>
          <w:w w:val="105"/>
        </w:rPr>
        <w:t>reglamento</w:t>
      </w:r>
      <w:r>
        <w:rPr>
          <w:color w:val="231F20"/>
          <w:spacing w:val="-25"/>
          <w:w w:val="105"/>
        </w:rPr>
        <w:t> </w:t>
      </w:r>
      <w:r>
        <w:rPr>
          <w:color w:val="231F20"/>
          <w:w w:val="105"/>
        </w:rPr>
        <w:t>que mayor</w:t>
      </w:r>
      <w:r>
        <w:rPr>
          <w:color w:val="231F20"/>
          <w:spacing w:val="-13"/>
          <w:w w:val="105"/>
        </w:rPr>
        <w:t> </w:t>
      </w:r>
      <w:r>
        <w:rPr>
          <w:color w:val="231F20"/>
          <w:w w:val="105"/>
        </w:rPr>
        <w:t>impacto</w:t>
      </w:r>
      <w:r>
        <w:rPr>
          <w:color w:val="231F20"/>
          <w:spacing w:val="-13"/>
          <w:w w:val="105"/>
        </w:rPr>
        <w:t> </w:t>
      </w:r>
      <w:r>
        <w:rPr>
          <w:color w:val="231F20"/>
          <w:w w:val="105"/>
        </w:rPr>
        <w:t>causa</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pública</w:t>
      </w:r>
      <w:r>
        <w:rPr>
          <w:color w:val="231F20"/>
          <w:spacing w:val="-13"/>
          <w:w w:val="105"/>
        </w:rPr>
        <w:t> </w:t>
      </w:r>
      <w:r>
        <w:rPr>
          <w:color w:val="231F20"/>
          <w:w w:val="105"/>
        </w:rPr>
        <w:t>municipal,</w:t>
      </w:r>
      <w:r>
        <w:rPr>
          <w:color w:val="231F20"/>
          <w:spacing w:val="-13"/>
          <w:w w:val="105"/>
        </w:rPr>
        <w:t> </w:t>
      </w:r>
      <w:r>
        <w:rPr>
          <w:color w:val="231F20"/>
          <w:w w:val="105"/>
        </w:rPr>
        <w:t>pues</w:t>
      </w:r>
      <w:r>
        <w:rPr>
          <w:color w:val="231F20"/>
          <w:spacing w:val="-13"/>
          <w:w w:val="105"/>
        </w:rPr>
        <w:t> </w:t>
      </w:r>
      <w:r>
        <w:rPr>
          <w:color w:val="231F20"/>
          <w:w w:val="105"/>
        </w:rPr>
        <w:t>no</w:t>
      </w:r>
      <w:r>
        <w:rPr>
          <w:color w:val="231F20"/>
          <w:spacing w:val="-13"/>
          <w:w w:val="105"/>
        </w:rPr>
        <w:t> </w:t>
      </w:r>
      <w:r>
        <w:rPr>
          <w:color w:val="231F20"/>
          <w:w w:val="105"/>
        </w:rPr>
        <w:t>hay</w:t>
      </w:r>
      <w:r>
        <w:rPr>
          <w:color w:val="231F20"/>
          <w:spacing w:val="-13"/>
          <w:w w:val="105"/>
        </w:rPr>
        <w:t> </w:t>
      </w:r>
      <w:r>
        <w:rPr>
          <w:color w:val="231F20"/>
          <w:w w:val="105"/>
        </w:rPr>
        <w:t>ordena- miento</w:t>
      </w:r>
      <w:r>
        <w:rPr>
          <w:color w:val="231F20"/>
          <w:spacing w:val="-7"/>
          <w:w w:val="105"/>
        </w:rPr>
        <w:t> </w:t>
      </w:r>
      <w:r>
        <w:rPr>
          <w:color w:val="231F20"/>
          <w:w w:val="105"/>
        </w:rPr>
        <w:t>que</w:t>
      </w:r>
      <w:r>
        <w:rPr>
          <w:color w:val="231F20"/>
          <w:spacing w:val="-7"/>
          <w:w w:val="105"/>
        </w:rPr>
        <w:t> </w:t>
      </w:r>
      <w:r>
        <w:rPr>
          <w:color w:val="231F20"/>
          <w:w w:val="105"/>
        </w:rPr>
        <w:t>reconozca</w:t>
      </w:r>
      <w:r>
        <w:rPr>
          <w:color w:val="231F20"/>
          <w:spacing w:val="-7"/>
          <w:w w:val="105"/>
        </w:rPr>
        <w:t> </w:t>
      </w:r>
      <w:r>
        <w:rPr>
          <w:color w:val="231F20"/>
          <w:w w:val="105"/>
        </w:rPr>
        <w:t>atribuciones</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dependencias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administración</w:t>
      </w:r>
      <w:r>
        <w:rPr>
          <w:color w:val="231F20"/>
          <w:spacing w:val="-7"/>
          <w:w w:val="105"/>
        </w:rPr>
        <w:t> </w:t>
      </w:r>
      <w:r>
        <w:rPr>
          <w:color w:val="231F20"/>
          <w:w w:val="105"/>
        </w:rPr>
        <w:t>municipal. Esto</w:t>
      </w:r>
      <w:r>
        <w:rPr>
          <w:color w:val="231F20"/>
          <w:spacing w:val="-16"/>
          <w:w w:val="105"/>
        </w:rPr>
        <w:t> </w:t>
      </w:r>
      <w:r>
        <w:rPr>
          <w:color w:val="231F20"/>
          <w:w w:val="105"/>
        </w:rPr>
        <w:t>es</w:t>
      </w:r>
      <w:r>
        <w:rPr>
          <w:color w:val="231F20"/>
          <w:spacing w:val="-16"/>
          <w:w w:val="105"/>
        </w:rPr>
        <w:t> </w:t>
      </w:r>
      <w:r>
        <w:rPr>
          <w:color w:val="231F20"/>
          <w:w w:val="105"/>
        </w:rPr>
        <w:t>grave</w:t>
      </w:r>
      <w:r>
        <w:rPr>
          <w:color w:val="231F20"/>
          <w:spacing w:val="-16"/>
          <w:w w:val="105"/>
        </w:rPr>
        <w:t> </w:t>
      </w:r>
      <w:r>
        <w:rPr>
          <w:color w:val="231F20"/>
          <w:w w:val="105"/>
        </w:rPr>
        <w:t>para</w:t>
      </w:r>
      <w:r>
        <w:rPr>
          <w:color w:val="231F20"/>
          <w:spacing w:val="-16"/>
          <w:w w:val="105"/>
        </w:rPr>
        <w:t> </w:t>
      </w:r>
      <w:r>
        <w:rPr>
          <w:color w:val="231F20"/>
          <w:w w:val="105"/>
        </w:rPr>
        <w:t>la</w:t>
      </w:r>
      <w:r>
        <w:rPr>
          <w:color w:val="231F20"/>
          <w:spacing w:val="-16"/>
          <w:w w:val="105"/>
        </w:rPr>
        <w:t> </w:t>
      </w:r>
      <w:r>
        <w:rPr>
          <w:color w:val="231F20"/>
          <w:w w:val="105"/>
        </w:rPr>
        <w:t>legalidad</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actos</w:t>
      </w:r>
      <w:r>
        <w:rPr>
          <w:color w:val="231F20"/>
          <w:spacing w:val="-16"/>
          <w:w w:val="105"/>
        </w:rPr>
        <w:t> </w:t>
      </w:r>
      <w:r>
        <w:rPr>
          <w:color w:val="231F20"/>
          <w:w w:val="105"/>
        </w:rPr>
        <w:t>administrativos</w:t>
      </w:r>
      <w:r>
        <w:rPr>
          <w:color w:val="231F20"/>
          <w:spacing w:val="-16"/>
          <w:w w:val="105"/>
        </w:rPr>
        <w:t> </w:t>
      </w:r>
      <w:r>
        <w:rPr>
          <w:color w:val="231F20"/>
          <w:w w:val="105"/>
        </w:rPr>
        <w:t>de</w:t>
      </w:r>
      <w:r>
        <w:rPr>
          <w:color w:val="231F20"/>
          <w:spacing w:val="-16"/>
          <w:w w:val="105"/>
        </w:rPr>
        <w:t> </w:t>
      </w:r>
      <w:r>
        <w:rPr>
          <w:color w:val="231F20"/>
          <w:w w:val="105"/>
        </w:rPr>
        <w:t>estas</w:t>
      </w:r>
      <w:r>
        <w:rPr>
          <w:color w:val="231F20"/>
          <w:spacing w:val="-16"/>
          <w:w w:val="105"/>
        </w:rPr>
        <w:t> </w:t>
      </w:r>
      <w:r>
        <w:rPr>
          <w:color w:val="231F20"/>
          <w:w w:val="105"/>
        </w:rPr>
        <w:t>dependencias.</w:t>
      </w:r>
    </w:p>
    <w:p>
      <w:pPr>
        <w:pStyle w:val="BodyText"/>
        <w:spacing w:before="1"/>
        <w:rPr>
          <w:sz w:val="26"/>
        </w:rPr>
      </w:pPr>
    </w:p>
    <w:p>
      <w:pPr>
        <w:pStyle w:val="BodyText"/>
        <w:spacing w:line="285" w:lineRule="auto"/>
        <w:ind w:left="110" w:right="108"/>
        <w:jc w:val="both"/>
      </w:pPr>
      <w:r>
        <w:rPr>
          <w:color w:val="231F20"/>
          <w:w w:val="105"/>
        </w:rPr>
        <w:t>Lo más recurrido es la elaboración de los Bandos. Tanto el del año 2007 como el del 2008, son muy similares, casi el único cambio se centra en fecha de expedición y algunas reformas menores.</w:t>
      </w:r>
    </w:p>
    <w:p>
      <w:pPr>
        <w:pStyle w:val="BodyText"/>
        <w:spacing w:before="1"/>
        <w:rPr>
          <w:sz w:val="20"/>
        </w:rPr>
      </w:pPr>
    </w:p>
    <w:p>
      <w:pPr>
        <w:pStyle w:val="Heading4"/>
        <w:spacing w:before="1"/>
        <w:rPr>
          <w:i/>
        </w:rPr>
      </w:pPr>
      <w:r>
        <w:rPr>
          <w:i/>
          <w:color w:val="231F20"/>
          <w:w w:val="105"/>
        </w:rPr>
        <w:t>Gobierno y partido</w:t>
      </w:r>
    </w:p>
    <w:p>
      <w:pPr>
        <w:pStyle w:val="BodyText"/>
        <w:spacing w:line="285" w:lineRule="auto" w:before="16"/>
        <w:ind w:left="110" w:right="108"/>
        <w:jc w:val="both"/>
      </w:pPr>
      <w:r>
        <w:rPr>
          <w:color w:val="231F20"/>
          <w:w w:val="105"/>
        </w:rPr>
        <w:t>El gobierno de los municipios es facultad de los Ayuntamientos, los cuales están pre- sididos</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presidente</w:t>
      </w:r>
      <w:r>
        <w:rPr>
          <w:color w:val="231F20"/>
          <w:spacing w:val="-6"/>
          <w:w w:val="105"/>
        </w:rPr>
        <w:t> </w:t>
      </w:r>
      <w:r>
        <w:rPr>
          <w:color w:val="231F20"/>
          <w:w w:val="105"/>
        </w:rPr>
        <w:t>municipal,</w:t>
      </w:r>
      <w:r>
        <w:rPr>
          <w:color w:val="231F20"/>
          <w:spacing w:val="-6"/>
          <w:w w:val="105"/>
        </w:rPr>
        <w:t> </w:t>
      </w:r>
      <w:r>
        <w:rPr>
          <w:color w:val="231F20"/>
          <w:w w:val="105"/>
        </w:rPr>
        <w:t>quien</w:t>
      </w:r>
      <w:r>
        <w:rPr>
          <w:color w:val="231F20"/>
          <w:spacing w:val="-6"/>
          <w:w w:val="105"/>
        </w:rPr>
        <w:t> </w:t>
      </w:r>
      <w:r>
        <w:rPr>
          <w:color w:val="231F20"/>
          <w:w w:val="105"/>
        </w:rPr>
        <w:t>a</w:t>
      </w:r>
      <w:r>
        <w:rPr>
          <w:color w:val="231F20"/>
          <w:spacing w:val="-6"/>
          <w:w w:val="105"/>
        </w:rPr>
        <w:t> </w:t>
      </w:r>
      <w:r>
        <w:rPr>
          <w:color w:val="231F20"/>
          <w:w w:val="105"/>
        </w:rPr>
        <w:t>su</w:t>
      </w:r>
      <w:r>
        <w:rPr>
          <w:color w:val="231F20"/>
          <w:spacing w:val="-6"/>
          <w:w w:val="105"/>
        </w:rPr>
        <w:t> </w:t>
      </w:r>
      <w:r>
        <w:rPr>
          <w:color w:val="231F20"/>
          <w:w w:val="105"/>
        </w:rPr>
        <w:t>vez</w:t>
      </w:r>
      <w:r>
        <w:rPr>
          <w:color w:val="231F20"/>
          <w:spacing w:val="-6"/>
          <w:w w:val="105"/>
        </w:rPr>
        <w:t> </w:t>
      </w:r>
      <w:r>
        <w:rPr>
          <w:color w:val="231F20"/>
          <w:w w:val="105"/>
        </w:rPr>
        <w:t>se</w:t>
      </w:r>
      <w:r>
        <w:rPr>
          <w:color w:val="231F20"/>
          <w:spacing w:val="-6"/>
          <w:w w:val="105"/>
        </w:rPr>
        <w:t> </w:t>
      </w:r>
      <w:r>
        <w:rPr>
          <w:color w:val="231F20"/>
          <w:w w:val="105"/>
        </w:rPr>
        <w:t>erige,</w:t>
      </w:r>
      <w:r>
        <w:rPr>
          <w:color w:val="231F20"/>
          <w:spacing w:val="-6"/>
          <w:w w:val="105"/>
        </w:rPr>
        <w:t> </w:t>
      </w:r>
      <w:r>
        <w:rPr>
          <w:color w:val="231F20"/>
          <w:w w:val="105"/>
        </w:rPr>
        <w:t>por</w:t>
      </w:r>
      <w:r>
        <w:rPr>
          <w:color w:val="231F20"/>
          <w:spacing w:val="-6"/>
          <w:w w:val="105"/>
        </w:rPr>
        <w:t> </w:t>
      </w:r>
      <w:r>
        <w:rPr>
          <w:color w:val="231F20"/>
          <w:spacing w:val="-4"/>
          <w:w w:val="105"/>
        </w:rPr>
        <w:t>ley,</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ejecutivo</w:t>
      </w:r>
      <w:r>
        <w:rPr>
          <w:color w:val="231F20"/>
          <w:spacing w:val="-6"/>
          <w:w w:val="105"/>
        </w:rPr>
        <w:t> </w:t>
      </w:r>
      <w:r>
        <w:rPr>
          <w:color w:val="231F20"/>
          <w:w w:val="105"/>
        </w:rPr>
        <w:t>del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27"/>
        <w:jc w:val="both"/>
      </w:pPr>
      <w:r>
        <w:rPr>
          <w:color w:val="231F20"/>
          <w:w w:val="105"/>
        </w:rPr>
        <w:t>municipio.</w:t>
      </w:r>
      <w:r>
        <w:rPr>
          <w:color w:val="231F20"/>
          <w:spacing w:val="-6"/>
          <w:w w:val="105"/>
        </w:rPr>
        <w:t> </w:t>
      </w:r>
      <w:r>
        <w:rPr>
          <w:color w:val="231F20"/>
          <w:w w:val="105"/>
        </w:rPr>
        <w:t>Corresponde</w:t>
      </w:r>
      <w:r>
        <w:rPr>
          <w:color w:val="231F20"/>
          <w:spacing w:val="-6"/>
          <w:w w:val="105"/>
        </w:rPr>
        <w:t> </w:t>
      </w:r>
      <w:r>
        <w:rPr>
          <w:color w:val="231F20"/>
          <w:spacing w:val="2"/>
          <w:w w:val="105"/>
        </w:rPr>
        <w:t>al</w:t>
      </w:r>
      <w:r>
        <w:rPr>
          <w:color w:val="231F20"/>
          <w:spacing w:val="-6"/>
          <w:w w:val="105"/>
        </w:rPr>
        <w:t> </w:t>
      </w:r>
      <w:r>
        <w:rPr>
          <w:color w:val="231F20"/>
          <w:w w:val="105"/>
        </w:rPr>
        <w:t>presidente</w:t>
      </w:r>
      <w:r>
        <w:rPr>
          <w:color w:val="231F20"/>
          <w:spacing w:val="-6"/>
          <w:w w:val="105"/>
        </w:rPr>
        <w:t> </w:t>
      </w:r>
      <w:r>
        <w:rPr>
          <w:color w:val="231F20"/>
          <w:w w:val="105"/>
        </w:rPr>
        <w:t>esta</w:t>
      </w:r>
      <w:r>
        <w:rPr>
          <w:color w:val="231F20"/>
          <w:spacing w:val="-6"/>
          <w:w w:val="105"/>
        </w:rPr>
        <w:t> </w:t>
      </w:r>
      <w:r>
        <w:rPr>
          <w:color w:val="231F20"/>
          <w:w w:val="105"/>
        </w:rPr>
        <w:t>doble</w:t>
      </w:r>
      <w:r>
        <w:rPr>
          <w:color w:val="231F20"/>
          <w:spacing w:val="-6"/>
          <w:w w:val="105"/>
        </w:rPr>
        <w:t> </w:t>
      </w:r>
      <w:r>
        <w:rPr>
          <w:color w:val="231F20"/>
          <w:w w:val="105"/>
        </w:rPr>
        <w:t>función;</w:t>
      </w:r>
      <w:r>
        <w:rPr>
          <w:color w:val="231F20"/>
          <w:spacing w:val="-6"/>
          <w:w w:val="105"/>
        </w:rPr>
        <w:t> </w:t>
      </w:r>
      <w:r>
        <w:rPr>
          <w:color w:val="231F20"/>
          <w:w w:val="105"/>
        </w:rPr>
        <w:t>por</w:t>
      </w:r>
      <w:r>
        <w:rPr>
          <w:color w:val="231F20"/>
          <w:spacing w:val="-6"/>
          <w:w w:val="105"/>
        </w:rPr>
        <w:t> </w:t>
      </w:r>
      <w:r>
        <w:rPr>
          <w:color w:val="231F20"/>
          <w:w w:val="105"/>
        </w:rPr>
        <w:t>un</w:t>
      </w:r>
      <w:r>
        <w:rPr>
          <w:color w:val="231F20"/>
          <w:spacing w:val="-6"/>
          <w:w w:val="105"/>
        </w:rPr>
        <w:t> </w:t>
      </w:r>
      <w:r>
        <w:rPr>
          <w:color w:val="231F20"/>
          <w:w w:val="105"/>
        </w:rPr>
        <w:t>lado,</w:t>
      </w:r>
      <w:r>
        <w:rPr>
          <w:color w:val="231F20"/>
          <w:spacing w:val="-6"/>
          <w:w w:val="105"/>
        </w:rPr>
        <w:t> </w:t>
      </w:r>
      <w:r>
        <w:rPr>
          <w:color w:val="231F20"/>
          <w:w w:val="105"/>
        </w:rPr>
        <w:t>presidir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vez que ser miembro del Ayuntamiento, órgano de </w:t>
      </w:r>
      <w:r>
        <w:rPr>
          <w:color w:val="231F20"/>
          <w:spacing w:val="2"/>
          <w:w w:val="105"/>
        </w:rPr>
        <w:t>máxima </w:t>
      </w:r>
      <w:r>
        <w:rPr>
          <w:color w:val="231F20"/>
          <w:w w:val="105"/>
        </w:rPr>
        <w:t>decisión en el gobierno; por otro</w:t>
      </w:r>
      <w:r>
        <w:rPr>
          <w:color w:val="231F20"/>
          <w:spacing w:val="-21"/>
          <w:w w:val="105"/>
        </w:rPr>
        <w:t> </w:t>
      </w:r>
      <w:r>
        <w:rPr>
          <w:color w:val="231F20"/>
          <w:w w:val="105"/>
        </w:rPr>
        <w:t>lado,</w:t>
      </w:r>
      <w:r>
        <w:rPr>
          <w:color w:val="231F20"/>
          <w:spacing w:val="-21"/>
          <w:w w:val="105"/>
        </w:rPr>
        <w:t> </w:t>
      </w:r>
      <w:r>
        <w:rPr>
          <w:color w:val="231F20"/>
          <w:w w:val="105"/>
        </w:rPr>
        <w:t>es</w:t>
      </w:r>
      <w:r>
        <w:rPr>
          <w:color w:val="231F20"/>
          <w:spacing w:val="-21"/>
          <w:w w:val="105"/>
        </w:rPr>
        <w:t> </w:t>
      </w:r>
      <w:r>
        <w:rPr>
          <w:color w:val="231F20"/>
          <w:w w:val="105"/>
        </w:rPr>
        <w:t>el</w:t>
      </w:r>
      <w:r>
        <w:rPr>
          <w:color w:val="231F20"/>
          <w:spacing w:val="-21"/>
          <w:w w:val="105"/>
        </w:rPr>
        <w:t> </w:t>
      </w:r>
      <w:r>
        <w:rPr>
          <w:color w:val="231F20"/>
          <w:w w:val="105"/>
        </w:rPr>
        <w:t>que</w:t>
      </w:r>
      <w:r>
        <w:rPr>
          <w:color w:val="231F20"/>
          <w:spacing w:val="-21"/>
          <w:w w:val="105"/>
        </w:rPr>
        <w:t> </w:t>
      </w:r>
      <w:r>
        <w:rPr>
          <w:color w:val="231F20"/>
          <w:w w:val="105"/>
        </w:rPr>
        <w:t>ejecuta</w:t>
      </w:r>
      <w:r>
        <w:rPr>
          <w:color w:val="231F20"/>
          <w:spacing w:val="-21"/>
          <w:w w:val="105"/>
        </w:rPr>
        <w:t> </w:t>
      </w:r>
      <w:r>
        <w:rPr>
          <w:color w:val="231F20"/>
          <w:w w:val="105"/>
        </w:rPr>
        <w:t>las</w:t>
      </w:r>
      <w:r>
        <w:rPr>
          <w:color w:val="231F20"/>
          <w:spacing w:val="-21"/>
          <w:w w:val="105"/>
        </w:rPr>
        <w:t> </w:t>
      </w:r>
      <w:r>
        <w:rPr>
          <w:color w:val="231F20"/>
          <w:w w:val="105"/>
        </w:rPr>
        <w:t>decisiones</w:t>
      </w:r>
      <w:r>
        <w:rPr>
          <w:color w:val="231F20"/>
          <w:spacing w:val="-21"/>
          <w:w w:val="105"/>
        </w:rPr>
        <w:t> </w:t>
      </w:r>
      <w:r>
        <w:rPr>
          <w:color w:val="231F20"/>
          <w:w w:val="105"/>
        </w:rPr>
        <w:t>tomadas</w:t>
      </w:r>
      <w:r>
        <w:rPr>
          <w:color w:val="231F20"/>
          <w:spacing w:val="-21"/>
          <w:w w:val="105"/>
        </w:rPr>
        <w:t> </w:t>
      </w:r>
      <w:r>
        <w:rPr>
          <w:color w:val="231F20"/>
          <w:w w:val="105"/>
        </w:rPr>
        <w:t>por</w:t>
      </w:r>
      <w:r>
        <w:rPr>
          <w:color w:val="231F20"/>
          <w:spacing w:val="-21"/>
          <w:w w:val="105"/>
        </w:rPr>
        <w:t> </w:t>
      </w:r>
      <w:r>
        <w:rPr>
          <w:color w:val="231F20"/>
          <w:w w:val="105"/>
        </w:rPr>
        <w:t>ese</w:t>
      </w:r>
      <w:r>
        <w:rPr>
          <w:color w:val="231F20"/>
          <w:spacing w:val="-21"/>
          <w:w w:val="105"/>
        </w:rPr>
        <w:t> </w:t>
      </w:r>
      <w:r>
        <w:rPr>
          <w:color w:val="231F20"/>
          <w:w w:val="105"/>
        </w:rPr>
        <w:t>órgano</w:t>
      </w:r>
      <w:r>
        <w:rPr>
          <w:color w:val="231F20"/>
          <w:spacing w:val="-21"/>
          <w:w w:val="105"/>
        </w:rPr>
        <w:t> </w:t>
      </w:r>
      <w:r>
        <w:rPr>
          <w:color w:val="231F20"/>
          <w:w w:val="105"/>
        </w:rPr>
        <w:t>colegiado.</w:t>
      </w:r>
      <w:r>
        <w:rPr>
          <w:color w:val="231F20"/>
          <w:spacing w:val="-21"/>
          <w:w w:val="105"/>
        </w:rPr>
        <w:t> </w:t>
      </w:r>
      <w:r>
        <w:rPr>
          <w:color w:val="231F20"/>
          <w:w w:val="105"/>
        </w:rPr>
        <w:t>En</w:t>
      </w:r>
      <w:r>
        <w:rPr>
          <w:color w:val="231F20"/>
          <w:spacing w:val="-21"/>
          <w:w w:val="105"/>
        </w:rPr>
        <w:t> </w:t>
      </w:r>
      <w:r>
        <w:rPr>
          <w:color w:val="231F20"/>
          <w:w w:val="105"/>
        </w:rPr>
        <w:t>cuestión del</w:t>
      </w:r>
      <w:r>
        <w:rPr>
          <w:color w:val="231F20"/>
          <w:spacing w:val="-10"/>
          <w:w w:val="105"/>
        </w:rPr>
        <w:t> </w:t>
      </w:r>
      <w:r>
        <w:rPr>
          <w:color w:val="231F20"/>
          <w:w w:val="105"/>
        </w:rPr>
        <w:t>diseño,</w:t>
      </w:r>
      <w:r>
        <w:rPr>
          <w:color w:val="231F20"/>
          <w:spacing w:val="-10"/>
          <w:w w:val="105"/>
        </w:rPr>
        <w:t> </w:t>
      </w:r>
      <w:r>
        <w:rPr>
          <w:color w:val="231F20"/>
          <w:w w:val="105"/>
        </w:rPr>
        <w:t>el</w:t>
      </w:r>
      <w:r>
        <w:rPr>
          <w:color w:val="231F20"/>
          <w:spacing w:val="-10"/>
          <w:w w:val="105"/>
        </w:rPr>
        <w:t> </w:t>
      </w:r>
      <w:r>
        <w:rPr>
          <w:color w:val="231F20"/>
          <w:w w:val="105"/>
        </w:rPr>
        <w:t>Ayuntamiento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centralizador</w:t>
      </w:r>
      <w:r>
        <w:rPr>
          <w:color w:val="231F20"/>
          <w:spacing w:val="-10"/>
          <w:w w:val="105"/>
        </w:rPr>
        <w:t> </w:t>
      </w:r>
      <w:r>
        <w:rPr>
          <w:color w:val="231F20"/>
          <w:w w:val="105"/>
        </w:rPr>
        <w:t>del</w:t>
      </w:r>
      <w:r>
        <w:rPr>
          <w:color w:val="231F20"/>
          <w:spacing w:val="-10"/>
          <w:w w:val="105"/>
        </w:rPr>
        <w:t> </w:t>
      </w:r>
      <w:r>
        <w:rPr>
          <w:color w:val="231F20"/>
          <w:w w:val="105"/>
        </w:rPr>
        <w:t>gobierno,</w:t>
      </w:r>
      <w:r>
        <w:rPr>
          <w:color w:val="231F20"/>
          <w:spacing w:val="-10"/>
          <w:w w:val="105"/>
        </w:rPr>
        <w:t> </w:t>
      </w: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prácti- ca,</w:t>
      </w:r>
      <w:r>
        <w:rPr>
          <w:color w:val="231F20"/>
          <w:spacing w:val="-8"/>
          <w:w w:val="105"/>
        </w:rPr>
        <w:t> </w:t>
      </w:r>
      <w:r>
        <w:rPr>
          <w:color w:val="231F20"/>
          <w:w w:val="105"/>
        </w:rPr>
        <w:t>el</w:t>
      </w:r>
      <w:r>
        <w:rPr>
          <w:color w:val="231F20"/>
          <w:spacing w:val="-8"/>
          <w:w w:val="105"/>
        </w:rPr>
        <w:t> </w:t>
      </w:r>
      <w:r>
        <w:rPr>
          <w:color w:val="231F20"/>
          <w:w w:val="105"/>
        </w:rPr>
        <w:t>presidente</w:t>
      </w:r>
      <w:r>
        <w:rPr>
          <w:color w:val="231F20"/>
          <w:spacing w:val="-8"/>
          <w:w w:val="105"/>
        </w:rPr>
        <w:t> </w:t>
      </w:r>
      <w:r>
        <w:rPr>
          <w:color w:val="231F20"/>
          <w:w w:val="105"/>
        </w:rPr>
        <w:t>toma</w:t>
      </w:r>
      <w:r>
        <w:rPr>
          <w:color w:val="231F20"/>
          <w:spacing w:val="-8"/>
          <w:w w:val="105"/>
        </w:rPr>
        <w:t> </w:t>
      </w:r>
      <w:r>
        <w:rPr>
          <w:color w:val="231F20"/>
          <w:w w:val="105"/>
        </w:rPr>
        <w:t>decisiones</w:t>
      </w:r>
      <w:r>
        <w:rPr>
          <w:color w:val="231F20"/>
          <w:spacing w:val="-8"/>
          <w:w w:val="105"/>
        </w:rPr>
        <w:t> </w:t>
      </w:r>
      <w:r>
        <w:rPr>
          <w:color w:val="231F20"/>
          <w:w w:val="105"/>
        </w:rPr>
        <w:t>de</w:t>
      </w:r>
      <w:r>
        <w:rPr>
          <w:color w:val="231F20"/>
          <w:spacing w:val="-8"/>
          <w:w w:val="105"/>
        </w:rPr>
        <w:t> </w:t>
      </w:r>
      <w:r>
        <w:rPr>
          <w:color w:val="231F20"/>
          <w:w w:val="105"/>
        </w:rPr>
        <w:t>ejecutivo</w:t>
      </w:r>
      <w:r>
        <w:rPr>
          <w:color w:val="231F20"/>
          <w:spacing w:val="-8"/>
          <w:w w:val="105"/>
        </w:rPr>
        <w:t> </w:t>
      </w:r>
      <w:r>
        <w:rPr>
          <w:color w:val="231F20"/>
          <w:w w:val="105"/>
        </w:rPr>
        <w:t>no</w:t>
      </w:r>
      <w:r>
        <w:rPr>
          <w:color w:val="231F20"/>
          <w:spacing w:val="-8"/>
          <w:w w:val="105"/>
        </w:rPr>
        <w:t> </w:t>
      </w:r>
      <w:r>
        <w:rPr>
          <w:color w:val="231F20"/>
          <w:w w:val="105"/>
        </w:rPr>
        <w:t>limitado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órgano</w:t>
      </w:r>
      <w:r>
        <w:rPr>
          <w:color w:val="231F20"/>
          <w:spacing w:val="-8"/>
          <w:w w:val="105"/>
        </w:rPr>
        <w:t> </w:t>
      </w:r>
      <w:r>
        <w:rPr>
          <w:color w:val="231F20"/>
          <w:w w:val="105"/>
        </w:rPr>
        <w:t>colegiado</w:t>
      </w:r>
      <w:r>
        <w:rPr>
          <w:color w:val="231F20"/>
          <w:spacing w:val="-8"/>
          <w:w w:val="105"/>
        </w:rPr>
        <w:t> </w:t>
      </w:r>
      <w:r>
        <w:rPr>
          <w:color w:val="231F20"/>
          <w:spacing w:val="-3"/>
          <w:w w:val="105"/>
        </w:rPr>
        <w:t>(cfr. </w:t>
      </w:r>
      <w:r>
        <w:rPr>
          <w:color w:val="231F20"/>
          <w:w w:val="105"/>
        </w:rPr>
        <w:t>Cabrero,</w:t>
      </w:r>
      <w:r>
        <w:rPr>
          <w:color w:val="231F20"/>
          <w:spacing w:val="-17"/>
          <w:w w:val="105"/>
        </w:rPr>
        <w:t> </w:t>
      </w:r>
      <w:r>
        <w:rPr>
          <w:color w:val="231F20"/>
          <w:w w:val="105"/>
        </w:rPr>
        <w:t>1996b;</w:t>
      </w:r>
      <w:r>
        <w:rPr>
          <w:color w:val="231F20"/>
          <w:spacing w:val="-17"/>
          <w:w w:val="105"/>
        </w:rPr>
        <w:t> </w:t>
      </w:r>
      <w:r>
        <w:rPr>
          <w:color w:val="231F20"/>
          <w:spacing w:val="2"/>
          <w:w w:val="105"/>
        </w:rPr>
        <w:t>2002,</w:t>
      </w:r>
      <w:r>
        <w:rPr>
          <w:color w:val="231F20"/>
          <w:spacing w:val="-17"/>
          <w:w w:val="105"/>
        </w:rPr>
        <w:t> </w:t>
      </w:r>
      <w:r>
        <w:rPr>
          <w:color w:val="231F20"/>
          <w:spacing w:val="2"/>
          <w:w w:val="105"/>
        </w:rPr>
        <w:t>2005;</w:t>
      </w:r>
      <w:r>
        <w:rPr>
          <w:color w:val="231F20"/>
          <w:spacing w:val="-17"/>
          <w:w w:val="105"/>
        </w:rPr>
        <w:t> </w:t>
      </w:r>
      <w:r>
        <w:rPr>
          <w:color w:val="231F20"/>
          <w:w w:val="105"/>
        </w:rPr>
        <w:t>García,</w:t>
      </w:r>
      <w:r>
        <w:rPr>
          <w:color w:val="231F20"/>
          <w:spacing w:val="-17"/>
          <w:w w:val="105"/>
        </w:rPr>
        <w:t> </w:t>
      </w:r>
      <w:r>
        <w:rPr>
          <w:color w:val="231F20"/>
          <w:w w:val="105"/>
        </w:rPr>
        <w:t>1999;</w:t>
      </w:r>
      <w:r>
        <w:rPr>
          <w:color w:val="231F20"/>
          <w:spacing w:val="-17"/>
          <w:w w:val="105"/>
        </w:rPr>
        <w:t> </w:t>
      </w:r>
      <w:r>
        <w:rPr>
          <w:color w:val="231F20"/>
          <w:w w:val="105"/>
        </w:rPr>
        <w:t>Garza</w:t>
      </w:r>
      <w:r>
        <w:rPr>
          <w:color w:val="231F20"/>
          <w:spacing w:val="-17"/>
          <w:w w:val="105"/>
        </w:rPr>
        <w:t> </w:t>
      </w:r>
      <w:r>
        <w:rPr>
          <w:color w:val="231F20"/>
          <w:w w:val="105"/>
        </w:rPr>
        <w:t>1998;</w:t>
      </w:r>
      <w:r>
        <w:rPr>
          <w:color w:val="231F20"/>
          <w:spacing w:val="-17"/>
          <w:w w:val="105"/>
        </w:rPr>
        <w:t> </w:t>
      </w:r>
      <w:r>
        <w:rPr>
          <w:color w:val="231F20"/>
          <w:w w:val="105"/>
        </w:rPr>
        <w:t>Guillén,</w:t>
      </w:r>
      <w:r>
        <w:rPr>
          <w:color w:val="231F20"/>
          <w:spacing w:val="-17"/>
          <w:w w:val="105"/>
        </w:rPr>
        <w:t> </w:t>
      </w:r>
      <w:r>
        <w:rPr>
          <w:color w:val="231F20"/>
          <w:w w:val="105"/>
        </w:rPr>
        <w:t>1996;</w:t>
      </w:r>
      <w:r>
        <w:rPr>
          <w:color w:val="231F20"/>
          <w:spacing w:val="-17"/>
          <w:w w:val="105"/>
        </w:rPr>
        <w:t> </w:t>
      </w:r>
      <w:r>
        <w:rPr>
          <w:color w:val="231F20"/>
          <w:w w:val="105"/>
        </w:rPr>
        <w:t>Ziccardi,</w:t>
      </w:r>
      <w:r>
        <w:rPr>
          <w:color w:val="231F20"/>
          <w:spacing w:val="-17"/>
          <w:w w:val="105"/>
        </w:rPr>
        <w:t> </w:t>
      </w:r>
      <w:r>
        <w:rPr>
          <w:color w:val="231F20"/>
          <w:spacing w:val="-3"/>
          <w:w w:val="105"/>
        </w:rPr>
        <w:t>1995), </w:t>
      </w:r>
      <w:r>
        <w:rPr>
          <w:color w:val="231F20"/>
          <w:w w:val="105"/>
        </w:rPr>
        <w:t>concentrando</w:t>
      </w:r>
      <w:r>
        <w:rPr>
          <w:color w:val="231F20"/>
          <w:spacing w:val="-15"/>
          <w:w w:val="105"/>
        </w:rPr>
        <w:t> </w:t>
      </w:r>
      <w:r>
        <w:rPr>
          <w:color w:val="231F20"/>
          <w:w w:val="105"/>
        </w:rPr>
        <w:t>la</w:t>
      </w:r>
      <w:r>
        <w:rPr>
          <w:color w:val="231F20"/>
          <w:spacing w:val="-15"/>
          <w:w w:val="105"/>
        </w:rPr>
        <w:t> </w:t>
      </w:r>
      <w:r>
        <w:rPr>
          <w:color w:val="231F20"/>
          <w:w w:val="105"/>
        </w:rPr>
        <w:t>toma</w:t>
      </w:r>
      <w:r>
        <w:rPr>
          <w:color w:val="231F20"/>
          <w:spacing w:val="-15"/>
          <w:w w:val="105"/>
        </w:rPr>
        <w:t> </w:t>
      </w:r>
      <w:r>
        <w:rPr>
          <w:color w:val="231F20"/>
          <w:w w:val="105"/>
        </w:rPr>
        <w:t>de</w:t>
      </w:r>
      <w:r>
        <w:rPr>
          <w:color w:val="231F20"/>
          <w:spacing w:val="-15"/>
          <w:w w:val="105"/>
        </w:rPr>
        <w:t> </w:t>
      </w:r>
      <w:r>
        <w:rPr>
          <w:color w:val="231F20"/>
          <w:w w:val="105"/>
        </w:rPr>
        <w:t>decisiones.</w:t>
      </w:r>
      <w:r>
        <w:rPr>
          <w:color w:val="231F20"/>
          <w:spacing w:val="-15"/>
          <w:w w:val="105"/>
        </w:rPr>
        <w:t> </w:t>
      </w:r>
      <w:r>
        <w:rPr>
          <w:color w:val="231F20"/>
          <w:w w:val="105"/>
        </w:rPr>
        <w:t>Esto</w:t>
      </w:r>
      <w:r>
        <w:rPr>
          <w:color w:val="231F20"/>
          <w:spacing w:val="-15"/>
          <w:w w:val="105"/>
        </w:rPr>
        <w:t> </w:t>
      </w:r>
      <w:r>
        <w:rPr>
          <w:color w:val="231F20"/>
          <w:w w:val="105"/>
        </w:rPr>
        <w:t>se</w:t>
      </w:r>
      <w:r>
        <w:rPr>
          <w:color w:val="231F20"/>
          <w:spacing w:val="-15"/>
          <w:w w:val="105"/>
        </w:rPr>
        <w:t> </w:t>
      </w:r>
      <w:r>
        <w:rPr>
          <w:color w:val="231F20"/>
          <w:w w:val="105"/>
        </w:rPr>
        <w:t>le</w:t>
      </w:r>
      <w:r>
        <w:rPr>
          <w:color w:val="231F20"/>
          <w:spacing w:val="-15"/>
          <w:w w:val="105"/>
        </w:rPr>
        <w:t> </w:t>
      </w:r>
      <w:r>
        <w:rPr>
          <w:color w:val="231F20"/>
          <w:w w:val="105"/>
        </w:rPr>
        <w:t>facilita</w:t>
      </w:r>
      <w:r>
        <w:rPr>
          <w:color w:val="231F20"/>
          <w:spacing w:val="-15"/>
          <w:w w:val="105"/>
        </w:rPr>
        <w:t> </w:t>
      </w:r>
      <w:r>
        <w:rPr>
          <w:color w:val="231F20"/>
          <w:w w:val="105"/>
        </w:rPr>
        <w:t>también</w:t>
      </w:r>
      <w:r>
        <w:rPr>
          <w:color w:val="231F20"/>
          <w:spacing w:val="-15"/>
          <w:w w:val="105"/>
        </w:rPr>
        <w:t> </w:t>
      </w:r>
      <w:r>
        <w:rPr>
          <w:color w:val="231F20"/>
          <w:w w:val="105"/>
        </w:rPr>
        <w:t>debido</w:t>
      </w:r>
      <w:r>
        <w:rPr>
          <w:color w:val="231F20"/>
          <w:spacing w:val="-15"/>
          <w:w w:val="105"/>
        </w:rPr>
        <w:t> </w:t>
      </w:r>
      <w:r>
        <w:rPr>
          <w:color w:val="231F20"/>
          <w:spacing w:val="2"/>
          <w:w w:val="105"/>
        </w:rPr>
        <w:t>al</w:t>
      </w:r>
      <w:r>
        <w:rPr>
          <w:color w:val="231F20"/>
          <w:spacing w:val="-15"/>
          <w:w w:val="105"/>
        </w:rPr>
        <w:t> </w:t>
      </w:r>
      <w:r>
        <w:rPr>
          <w:color w:val="231F20"/>
          <w:w w:val="105"/>
        </w:rPr>
        <w:t>diseño</w:t>
      </w:r>
      <w:r>
        <w:rPr>
          <w:color w:val="231F20"/>
          <w:spacing w:val="-15"/>
          <w:w w:val="105"/>
        </w:rPr>
        <w:t> </w:t>
      </w:r>
      <w:r>
        <w:rPr>
          <w:color w:val="231F20"/>
          <w:w w:val="105"/>
        </w:rPr>
        <w:t>que</w:t>
      </w:r>
      <w:r>
        <w:rPr>
          <w:color w:val="231F20"/>
          <w:spacing w:val="-15"/>
          <w:w w:val="105"/>
        </w:rPr>
        <w:t> </w:t>
      </w:r>
      <w:r>
        <w:rPr>
          <w:color w:val="231F20"/>
          <w:w w:val="105"/>
        </w:rPr>
        <w:t>de- posita</w:t>
      </w:r>
      <w:r>
        <w:rPr>
          <w:color w:val="231F20"/>
          <w:spacing w:val="-15"/>
          <w:w w:val="105"/>
        </w:rPr>
        <w:t> </w:t>
      </w:r>
      <w:r>
        <w:rPr>
          <w:color w:val="231F20"/>
          <w:w w:val="105"/>
        </w:rPr>
        <w:t>la</w:t>
      </w:r>
      <w:r>
        <w:rPr>
          <w:color w:val="231F20"/>
          <w:spacing w:val="-15"/>
          <w:w w:val="105"/>
        </w:rPr>
        <w:t> </w:t>
      </w:r>
      <w:r>
        <w:rPr>
          <w:color w:val="231F20"/>
          <w:w w:val="105"/>
        </w:rPr>
        <w:t>ejecución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administración</w:t>
      </w:r>
      <w:r>
        <w:rPr>
          <w:color w:val="231F20"/>
          <w:spacing w:val="-15"/>
          <w:w w:val="105"/>
        </w:rPr>
        <w:t> </w:t>
      </w:r>
      <w:r>
        <w:rPr>
          <w:color w:val="231F20"/>
          <w:w w:val="105"/>
        </w:rPr>
        <w:t>pública</w:t>
      </w:r>
      <w:r>
        <w:rPr>
          <w:color w:val="231F20"/>
          <w:spacing w:val="-15"/>
          <w:w w:val="105"/>
        </w:rPr>
        <w:t> </w:t>
      </w:r>
      <w:r>
        <w:rPr>
          <w:color w:val="231F20"/>
          <w:w w:val="105"/>
        </w:rPr>
        <w:t>en</w:t>
      </w:r>
      <w:r>
        <w:rPr>
          <w:color w:val="231F20"/>
          <w:spacing w:val="-15"/>
          <w:w w:val="105"/>
        </w:rPr>
        <w:t> </w:t>
      </w:r>
      <w:r>
        <w:rPr>
          <w:color w:val="231F20"/>
          <w:w w:val="105"/>
        </w:rPr>
        <w:t>manos</w:t>
      </w:r>
      <w:r>
        <w:rPr>
          <w:color w:val="231F20"/>
          <w:spacing w:val="-15"/>
          <w:w w:val="105"/>
        </w:rPr>
        <w:t> </w:t>
      </w:r>
      <w:r>
        <w:rPr>
          <w:color w:val="231F20"/>
          <w:w w:val="105"/>
        </w:rPr>
        <w:t>del</w:t>
      </w:r>
      <w:r>
        <w:rPr>
          <w:color w:val="231F20"/>
          <w:spacing w:val="-15"/>
          <w:w w:val="105"/>
        </w:rPr>
        <w:t> </w:t>
      </w:r>
      <w:r>
        <w:rPr>
          <w:color w:val="231F20"/>
          <w:w w:val="105"/>
        </w:rPr>
        <w:t>presidente,</w:t>
      </w:r>
      <w:r>
        <w:rPr>
          <w:color w:val="231F20"/>
          <w:spacing w:val="-15"/>
          <w:w w:val="105"/>
        </w:rPr>
        <w:t> </w:t>
      </w:r>
      <w:r>
        <w:rPr>
          <w:color w:val="231F20"/>
          <w:w w:val="105"/>
        </w:rPr>
        <w:t>éste</w:t>
      </w:r>
      <w:r>
        <w:rPr>
          <w:color w:val="231F20"/>
          <w:spacing w:val="-15"/>
          <w:w w:val="105"/>
        </w:rPr>
        <w:t> </w:t>
      </w:r>
      <w:r>
        <w:rPr>
          <w:color w:val="231F20"/>
          <w:w w:val="105"/>
        </w:rPr>
        <w:t>se</w:t>
      </w:r>
      <w:r>
        <w:rPr>
          <w:color w:val="231F20"/>
          <w:spacing w:val="-15"/>
          <w:w w:val="105"/>
        </w:rPr>
        <w:t> </w:t>
      </w:r>
      <w:r>
        <w:rPr>
          <w:color w:val="231F20"/>
          <w:w w:val="105"/>
        </w:rPr>
        <w:t>auxilia de</w:t>
      </w:r>
      <w:r>
        <w:rPr>
          <w:color w:val="231F20"/>
          <w:spacing w:val="-7"/>
          <w:w w:val="105"/>
        </w:rPr>
        <w:t> </w:t>
      </w:r>
      <w:r>
        <w:rPr>
          <w:color w:val="231F20"/>
          <w:w w:val="105"/>
        </w:rPr>
        <w:t>una</w:t>
      </w:r>
      <w:r>
        <w:rPr>
          <w:color w:val="231F20"/>
          <w:spacing w:val="-7"/>
          <w:w w:val="105"/>
        </w:rPr>
        <w:t> </w:t>
      </w:r>
      <w:r>
        <w:rPr>
          <w:color w:val="231F20"/>
          <w:w w:val="105"/>
        </w:rPr>
        <w:t>estructura</w:t>
      </w:r>
      <w:r>
        <w:rPr>
          <w:color w:val="231F20"/>
          <w:spacing w:val="-7"/>
          <w:w w:val="105"/>
        </w:rPr>
        <w:t> </w:t>
      </w:r>
      <w:r>
        <w:rPr>
          <w:color w:val="231F20"/>
          <w:w w:val="105"/>
        </w:rPr>
        <w:t>orgánica</w:t>
      </w:r>
      <w:r>
        <w:rPr>
          <w:color w:val="231F20"/>
          <w:spacing w:val="-7"/>
          <w:w w:val="105"/>
        </w:rPr>
        <w:t> </w:t>
      </w:r>
      <w:r>
        <w:rPr>
          <w:color w:val="231F20"/>
          <w:w w:val="105"/>
        </w:rPr>
        <w:t>que</w:t>
      </w:r>
      <w:r>
        <w:rPr>
          <w:color w:val="231F20"/>
          <w:spacing w:val="-7"/>
          <w:w w:val="105"/>
        </w:rPr>
        <w:t> </w:t>
      </w:r>
      <w:r>
        <w:rPr>
          <w:color w:val="231F20"/>
          <w:w w:val="105"/>
        </w:rPr>
        <w:t>tiene</w:t>
      </w:r>
      <w:r>
        <w:rPr>
          <w:color w:val="231F20"/>
          <w:spacing w:val="-7"/>
          <w:w w:val="105"/>
        </w:rPr>
        <w:t> </w:t>
      </w:r>
      <w:r>
        <w:rPr>
          <w:color w:val="231F20"/>
          <w:w w:val="105"/>
        </w:rPr>
        <w:t>como</w:t>
      </w:r>
      <w:r>
        <w:rPr>
          <w:color w:val="231F20"/>
          <w:spacing w:val="-7"/>
          <w:w w:val="105"/>
        </w:rPr>
        <w:t> </w:t>
      </w:r>
      <w:r>
        <w:rPr>
          <w:color w:val="231F20"/>
          <w:w w:val="105"/>
        </w:rPr>
        <w:t>su</w:t>
      </w:r>
      <w:r>
        <w:rPr>
          <w:color w:val="231F20"/>
          <w:spacing w:val="-7"/>
          <w:w w:val="105"/>
        </w:rPr>
        <w:t> </w:t>
      </w:r>
      <w:r>
        <w:rPr>
          <w:color w:val="231F20"/>
          <w:w w:val="105"/>
        </w:rPr>
        <w:t>superior</w:t>
      </w:r>
      <w:r>
        <w:rPr>
          <w:color w:val="231F20"/>
          <w:spacing w:val="-7"/>
          <w:w w:val="105"/>
        </w:rPr>
        <w:t> </w:t>
      </w:r>
      <w:r>
        <w:rPr>
          <w:color w:val="231F20"/>
          <w:w w:val="105"/>
        </w:rPr>
        <w:t>inmediato</w:t>
      </w:r>
      <w:r>
        <w:rPr>
          <w:color w:val="231F20"/>
          <w:spacing w:val="-7"/>
          <w:w w:val="105"/>
        </w:rPr>
        <w:t> </w:t>
      </w:r>
      <w:r>
        <w:rPr>
          <w:color w:val="231F20"/>
          <w:spacing w:val="2"/>
          <w:w w:val="105"/>
        </w:rPr>
        <w:t>al</w:t>
      </w:r>
      <w:r>
        <w:rPr>
          <w:color w:val="231F20"/>
          <w:spacing w:val="-7"/>
          <w:w w:val="105"/>
        </w:rPr>
        <w:t> </w:t>
      </w:r>
      <w:r>
        <w:rPr>
          <w:color w:val="231F20"/>
          <w:w w:val="105"/>
        </w:rPr>
        <w:t>mismo</w:t>
      </w:r>
      <w:r>
        <w:rPr>
          <w:color w:val="231F20"/>
          <w:spacing w:val="-7"/>
          <w:w w:val="105"/>
        </w:rPr>
        <w:t> </w:t>
      </w:r>
      <w:r>
        <w:rPr>
          <w:color w:val="231F20"/>
          <w:spacing w:val="2"/>
          <w:w w:val="105"/>
        </w:rPr>
        <w:t>edil</w:t>
      </w:r>
      <w:r>
        <w:rPr>
          <w:color w:val="231F20"/>
          <w:spacing w:val="-7"/>
          <w:w w:val="105"/>
        </w:rPr>
        <w:t> </w:t>
      </w:r>
      <w:r>
        <w:rPr>
          <w:color w:val="231F20"/>
          <w:w w:val="105"/>
        </w:rPr>
        <w:t>a</w:t>
      </w:r>
      <w:r>
        <w:rPr>
          <w:color w:val="231F20"/>
          <w:spacing w:val="-7"/>
          <w:w w:val="105"/>
        </w:rPr>
        <w:t> </w:t>
      </w:r>
      <w:r>
        <w:rPr>
          <w:color w:val="231F20"/>
          <w:w w:val="105"/>
        </w:rPr>
        <w:t>pesar de</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nombramientos</w:t>
      </w:r>
      <w:r>
        <w:rPr>
          <w:color w:val="231F20"/>
          <w:spacing w:val="-14"/>
          <w:w w:val="105"/>
        </w:rPr>
        <w:t> </w:t>
      </w:r>
      <w:r>
        <w:rPr>
          <w:color w:val="231F20"/>
          <w:w w:val="105"/>
        </w:rPr>
        <w:t>los</w:t>
      </w:r>
      <w:r>
        <w:rPr>
          <w:color w:val="231F20"/>
          <w:spacing w:val="-14"/>
          <w:w w:val="105"/>
        </w:rPr>
        <w:t> </w:t>
      </w:r>
      <w:r>
        <w:rPr>
          <w:color w:val="231F20"/>
          <w:w w:val="105"/>
        </w:rPr>
        <w:t>hace</w:t>
      </w:r>
      <w:r>
        <w:rPr>
          <w:color w:val="231F20"/>
          <w:spacing w:val="-14"/>
          <w:w w:val="105"/>
        </w:rPr>
        <w:t> </w:t>
      </w:r>
      <w:r>
        <w:rPr>
          <w:color w:val="231F20"/>
          <w:w w:val="105"/>
        </w:rPr>
        <w:t>el</w:t>
      </w:r>
      <w:r>
        <w:rPr>
          <w:color w:val="231F20"/>
          <w:spacing w:val="-14"/>
          <w:w w:val="105"/>
        </w:rPr>
        <w:t> </w:t>
      </w:r>
      <w:r>
        <w:rPr>
          <w:color w:val="231F20"/>
          <w:w w:val="105"/>
        </w:rPr>
        <w:t>Ayuntamiento</w:t>
      </w:r>
      <w:r>
        <w:rPr>
          <w:color w:val="231F20"/>
          <w:spacing w:val="-14"/>
          <w:w w:val="105"/>
        </w:rPr>
        <w:t> </w:t>
      </w:r>
      <w:r>
        <w:rPr>
          <w:color w:val="231F20"/>
          <w:w w:val="105"/>
        </w:rPr>
        <w:t>a</w:t>
      </w:r>
      <w:r>
        <w:rPr>
          <w:color w:val="231F20"/>
          <w:spacing w:val="-14"/>
          <w:w w:val="105"/>
        </w:rPr>
        <w:t> </w:t>
      </w:r>
      <w:r>
        <w:rPr>
          <w:color w:val="231F20"/>
          <w:w w:val="105"/>
        </w:rPr>
        <w:t>propuesta</w:t>
      </w:r>
      <w:r>
        <w:rPr>
          <w:color w:val="231F20"/>
          <w:spacing w:val="-14"/>
          <w:w w:val="105"/>
        </w:rPr>
        <w:t> </w:t>
      </w:r>
      <w:r>
        <w:rPr>
          <w:color w:val="231F20"/>
          <w:w w:val="105"/>
        </w:rPr>
        <w:t>del</w:t>
      </w:r>
      <w:r>
        <w:rPr>
          <w:color w:val="231F20"/>
          <w:spacing w:val="-14"/>
          <w:w w:val="105"/>
        </w:rPr>
        <w:t> </w:t>
      </w:r>
      <w:r>
        <w:rPr>
          <w:color w:val="231F20"/>
          <w:w w:val="105"/>
        </w:rPr>
        <w:t>Presidente.</w:t>
      </w:r>
      <w:r>
        <w:rPr>
          <w:color w:val="231F20"/>
          <w:spacing w:val="-14"/>
          <w:w w:val="105"/>
        </w:rPr>
        <w:t> </w:t>
      </w:r>
      <w:r>
        <w:rPr>
          <w:color w:val="231F20"/>
          <w:w w:val="105"/>
        </w:rPr>
        <w:t>Esta</w:t>
      </w:r>
      <w:r>
        <w:rPr>
          <w:color w:val="231F20"/>
          <w:spacing w:val="-14"/>
          <w:w w:val="105"/>
        </w:rPr>
        <w:t> </w:t>
      </w:r>
      <w:r>
        <w:rPr>
          <w:color w:val="231F20"/>
          <w:w w:val="105"/>
        </w:rPr>
        <w:t>es la</w:t>
      </w:r>
      <w:r>
        <w:rPr>
          <w:color w:val="231F20"/>
          <w:spacing w:val="-5"/>
          <w:w w:val="105"/>
        </w:rPr>
        <w:t> </w:t>
      </w:r>
      <w:r>
        <w:rPr>
          <w:color w:val="231F20"/>
          <w:w w:val="105"/>
        </w:rPr>
        <w:t>condición,</w:t>
      </w:r>
      <w:r>
        <w:rPr>
          <w:color w:val="231F20"/>
          <w:spacing w:val="-5"/>
          <w:w w:val="105"/>
        </w:rPr>
        <w:t> </w:t>
      </w:r>
      <w:r>
        <w:rPr>
          <w:color w:val="231F20"/>
          <w:w w:val="105"/>
        </w:rPr>
        <w:t>entre</w:t>
      </w:r>
      <w:r>
        <w:rPr>
          <w:color w:val="231F20"/>
          <w:spacing w:val="-5"/>
          <w:w w:val="105"/>
        </w:rPr>
        <w:t> </w:t>
      </w:r>
      <w:r>
        <w:rPr>
          <w:color w:val="231F20"/>
          <w:w w:val="105"/>
        </w:rPr>
        <w:t>otras,</w:t>
      </w:r>
      <w:r>
        <w:rPr>
          <w:color w:val="231F20"/>
          <w:spacing w:val="-5"/>
          <w:w w:val="105"/>
        </w:rPr>
        <w:t> </w:t>
      </w:r>
      <w:r>
        <w:rPr>
          <w:color w:val="231F20"/>
          <w:w w:val="105"/>
        </w:rPr>
        <w:t>que</w:t>
      </w:r>
      <w:r>
        <w:rPr>
          <w:color w:val="231F20"/>
          <w:spacing w:val="-5"/>
          <w:w w:val="105"/>
        </w:rPr>
        <w:t> </w:t>
      </w:r>
      <w:r>
        <w:rPr>
          <w:color w:val="231F20"/>
          <w:w w:val="105"/>
        </w:rPr>
        <w:t>sobresalta</w:t>
      </w:r>
      <w:r>
        <w:rPr>
          <w:color w:val="231F20"/>
          <w:spacing w:val="-5"/>
          <w:w w:val="105"/>
        </w:rPr>
        <w:t> </w:t>
      </w:r>
      <w:r>
        <w:rPr>
          <w:color w:val="231F20"/>
          <w:w w:val="105"/>
        </w:rPr>
        <w:t>la</w:t>
      </w:r>
      <w:r>
        <w:rPr>
          <w:color w:val="231F20"/>
          <w:spacing w:val="-5"/>
          <w:w w:val="105"/>
        </w:rPr>
        <w:t> </w:t>
      </w:r>
      <w:r>
        <w:rPr>
          <w:color w:val="231F20"/>
          <w:spacing w:val="2"/>
          <w:w w:val="105"/>
        </w:rPr>
        <w:t>figura</w:t>
      </w:r>
      <w:r>
        <w:rPr>
          <w:color w:val="231F20"/>
          <w:spacing w:val="-5"/>
          <w:w w:val="105"/>
        </w:rPr>
        <w:t> </w:t>
      </w:r>
      <w:r>
        <w:rPr>
          <w:color w:val="231F20"/>
          <w:w w:val="105"/>
        </w:rPr>
        <w:t>del</w:t>
      </w:r>
      <w:r>
        <w:rPr>
          <w:color w:val="231F20"/>
          <w:spacing w:val="-5"/>
          <w:w w:val="105"/>
        </w:rPr>
        <w:t> </w:t>
      </w:r>
      <w:r>
        <w:rPr>
          <w:color w:val="231F20"/>
          <w:w w:val="105"/>
        </w:rPr>
        <w:t>presidente</w:t>
      </w:r>
      <w:r>
        <w:rPr>
          <w:color w:val="231F20"/>
          <w:spacing w:val="-5"/>
          <w:w w:val="105"/>
        </w:rPr>
        <w:t> </w:t>
      </w:r>
      <w:r>
        <w:rPr>
          <w:color w:val="231F20"/>
          <w:w w:val="105"/>
        </w:rPr>
        <w:t>como</w:t>
      </w:r>
      <w:r>
        <w:rPr>
          <w:color w:val="231F20"/>
          <w:spacing w:val="-5"/>
          <w:w w:val="105"/>
        </w:rPr>
        <w:t> </w:t>
      </w:r>
      <w:r>
        <w:rPr>
          <w:color w:val="231F20"/>
          <w:w w:val="105"/>
        </w:rPr>
        <w:t>centralizador</w:t>
      </w:r>
      <w:r>
        <w:rPr>
          <w:color w:val="231F20"/>
          <w:spacing w:val="-5"/>
          <w:w w:val="105"/>
        </w:rPr>
        <w:t> </w:t>
      </w:r>
      <w:r>
        <w:rPr>
          <w:color w:val="231F20"/>
          <w:w w:val="105"/>
        </w:rPr>
        <w:t>de información</w:t>
      </w:r>
      <w:r>
        <w:rPr>
          <w:color w:val="231F20"/>
          <w:spacing w:val="-34"/>
          <w:w w:val="105"/>
        </w:rPr>
        <w:t> </w:t>
      </w:r>
      <w:r>
        <w:rPr>
          <w:color w:val="231F20"/>
          <w:w w:val="105"/>
        </w:rPr>
        <w:t>y</w:t>
      </w:r>
      <w:r>
        <w:rPr>
          <w:color w:val="231F20"/>
          <w:spacing w:val="-34"/>
          <w:w w:val="105"/>
        </w:rPr>
        <w:t> </w:t>
      </w:r>
      <w:r>
        <w:rPr>
          <w:color w:val="231F20"/>
          <w:w w:val="105"/>
        </w:rPr>
        <w:t>decisiones.</w:t>
      </w:r>
    </w:p>
    <w:p>
      <w:pPr>
        <w:pStyle w:val="BodyText"/>
        <w:spacing w:before="1"/>
        <w:rPr>
          <w:sz w:val="26"/>
        </w:rPr>
      </w:pPr>
    </w:p>
    <w:p>
      <w:pPr>
        <w:pStyle w:val="BodyText"/>
        <w:spacing w:line="285" w:lineRule="auto"/>
        <w:ind w:left="110" w:right="127"/>
        <w:jc w:val="both"/>
      </w:pPr>
      <w:r>
        <w:rPr>
          <w:color w:val="231F20"/>
          <w:w w:val="105"/>
        </w:rPr>
        <w:t>El Ayuntamiento para atender los asuntos que por ley le corresponden, se organiza en pleno o en comisiones.</w:t>
      </w:r>
    </w:p>
    <w:p>
      <w:pPr>
        <w:pStyle w:val="BodyText"/>
        <w:spacing w:before="1"/>
        <w:rPr>
          <w:sz w:val="26"/>
        </w:rPr>
      </w:pPr>
    </w:p>
    <w:p>
      <w:pPr>
        <w:pStyle w:val="BodyText"/>
        <w:spacing w:line="285" w:lineRule="auto"/>
        <w:ind w:left="110" w:right="128"/>
        <w:jc w:val="both"/>
      </w:pPr>
      <w:r>
        <w:rPr>
          <w:color w:val="231F20"/>
          <w:w w:val="105"/>
        </w:rPr>
        <w:t>El</w:t>
      </w:r>
      <w:r>
        <w:rPr>
          <w:color w:val="231F20"/>
          <w:spacing w:val="-11"/>
          <w:w w:val="105"/>
        </w:rPr>
        <w:t> </w:t>
      </w:r>
      <w:r>
        <w:rPr>
          <w:color w:val="231F20"/>
          <w:w w:val="105"/>
        </w:rPr>
        <w:t>reparto</w:t>
      </w:r>
      <w:r>
        <w:rPr>
          <w:color w:val="231F20"/>
          <w:spacing w:val="-11"/>
          <w:w w:val="105"/>
        </w:rPr>
        <w:t> </w:t>
      </w:r>
      <w:r>
        <w:rPr>
          <w:color w:val="231F20"/>
          <w:w w:val="105"/>
        </w:rPr>
        <w:t>y</w:t>
      </w:r>
      <w:r>
        <w:rPr>
          <w:color w:val="231F20"/>
          <w:spacing w:val="-11"/>
          <w:w w:val="105"/>
        </w:rPr>
        <w:t> </w:t>
      </w:r>
      <w:r>
        <w:rPr>
          <w:color w:val="231F20"/>
          <w:w w:val="105"/>
        </w:rPr>
        <w:t>distribución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comisiones</w:t>
      </w:r>
      <w:r>
        <w:rPr>
          <w:color w:val="231F20"/>
          <w:spacing w:val="-11"/>
          <w:w w:val="105"/>
        </w:rPr>
        <w:t> </w:t>
      </w:r>
      <w:r>
        <w:rPr>
          <w:color w:val="231F20"/>
          <w:w w:val="105"/>
        </w:rPr>
        <w:t>del</w:t>
      </w:r>
      <w:r>
        <w:rPr>
          <w:color w:val="231F20"/>
          <w:spacing w:val="-11"/>
          <w:w w:val="105"/>
        </w:rPr>
        <w:t> </w:t>
      </w:r>
      <w:r>
        <w:rPr>
          <w:color w:val="231F20"/>
          <w:w w:val="105"/>
        </w:rPr>
        <w:t>Ayuntamiento</w:t>
      </w:r>
      <w:r>
        <w:rPr>
          <w:color w:val="231F20"/>
          <w:spacing w:val="-11"/>
          <w:w w:val="105"/>
        </w:rPr>
        <w:t> </w:t>
      </w:r>
      <w:r>
        <w:rPr>
          <w:color w:val="231F20"/>
          <w:w w:val="105"/>
        </w:rPr>
        <w:t>de</w:t>
      </w:r>
      <w:r>
        <w:rPr>
          <w:color w:val="231F20"/>
          <w:spacing w:val="-11"/>
          <w:w w:val="105"/>
        </w:rPr>
        <w:t> </w:t>
      </w:r>
      <w:r>
        <w:rPr>
          <w:color w:val="231F20"/>
          <w:w w:val="105"/>
        </w:rPr>
        <w:t>Amecameca</w:t>
      </w:r>
      <w:r>
        <w:rPr>
          <w:color w:val="231F20"/>
          <w:spacing w:val="-11"/>
          <w:w w:val="105"/>
        </w:rPr>
        <w:t> </w:t>
      </w:r>
      <w:r>
        <w:rPr>
          <w:color w:val="231F20"/>
          <w:w w:val="105"/>
        </w:rPr>
        <w:t>quedó</w:t>
      </w:r>
      <w:r>
        <w:rPr>
          <w:color w:val="231F20"/>
          <w:spacing w:val="-11"/>
          <w:w w:val="105"/>
        </w:rPr>
        <w:t> </w:t>
      </w:r>
      <w:r>
        <w:rPr>
          <w:color w:val="231F20"/>
          <w:w w:val="105"/>
        </w:rPr>
        <w:t>de la siguiente</w:t>
      </w:r>
      <w:r>
        <w:rPr>
          <w:color w:val="231F20"/>
          <w:spacing w:val="-38"/>
          <w:w w:val="105"/>
        </w:rPr>
        <w:t> </w:t>
      </w:r>
      <w:r>
        <w:rPr>
          <w:color w:val="231F20"/>
          <w:w w:val="105"/>
        </w:rPr>
        <w:t>manera:</w:t>
      </w:r>
    </w:p>
    <w:p>
      <w:pPr>
        <w:pStyle w:val="BodyText"/>
        <w:spacing w:before="4"/>
        <w:rPr>
          <w:sz w:val="23"/>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639"/>
        <w:gridCol w:w="2328"/>
        <w:gridCol w:w="977"/>
      </w:tblGrid>
      <w:tr>
        <w:trPr>
          <w:trHeight w:val="130" w:hRule="exact"/>
        </w:trPr>
        <w:tc>
          <w:tcPr>
            <w:tcW w:w="4639" w:type="dxa"/>
          </w:tcPr>
          <w:p>
            <w:pPr>
              <w:pStyle w:val="TableParagraph"/>
              <w:spacing w:line="176" w:lineRule="exact"/>
              <w:rPr>
                <w:sz w:val="16"/>
              </w:rPr>
            </w:pPr>
            <w:r>
              <w:rPr>
                <w:color w:val="231F20"/>
                <w:w w:val="85"/>
                <w:sz w:val="16"/>
              </w:rPr>
              <w:t>Comisión</w:t>
            </w:r>
          </w:p>
        </w:tc>
        <w:tc>
          <w:tcPr>
            <w:tcW w:w="2328" w:type="dxa"/>
          </w:tcPr>
          <w:p>
            <w:pPr>
              <w:pStyle w:val="TableParagraph"/>
              <w:spacing w:line="176" w:lineRule="exact"/>
              <w:rPr>
                <w:sz w:val="16"/>
              </w:rPr>
            </w:pPr>
            <w:r>
              <w:rPr>
                <w:color w:val="231F20"/>
                <w:w w:val="85"/>
                <w:sz w:val="16"/>
              </w:rPr>
              <w:t>Responsable</w:t>
            </w:r>
          </w:p>
        </w:tc>
        <w:tc>
          <w:tcPr>
            <w:tcW w:w="977" w:type="dxa"/>
          </w:tcPr>
          <w:p>
            <w:pPr>
              <w:pStyle w:val="TableParagraph"/>
              <w:spacing w:line="176" w:lineRule="exact"/>
              <w:rPr>
                <w:sz w:val="16"/>
              </w:rPr>
            </w:pPr>
            <w:r>
              <w:rPr>
                <w:color w:val="231F20"/>
                <w:w w:val="85"/>
                <w:sz w:val="16"/>
              </w:rPr>
              <w:t>Partido</w:t>
            </w:r>
          </w:p>
        </w:tc>
      </w:tr>
      <w:tr>
        <w:trPr>
          <w:trHeight w:val="130" w:hRule="exact"/>
        </w:trPr>
        <w:tc>
          <w:tcPr>
            <w:tcW w:w="4639" w:type="dxa"/>
          </w:tcPr>
          <w:p>
            <w:pPr>
              <w:pStyle w:val="TableParagraph"/>
              <w:spacing w:line="176" w:lineRule="exact"/>
              <w:rPr>
                <w:sz w:val="16"/>
              </w:rPr>
            </w:pPr>
            <w:r>
              <w:rPr>
                <w:color w:val="231F20"/>
                <w:w w:val="75"/>
                <w:sz w:val="16"/>
              </w:rPr>
              <w:t>Gobernación, Seguridad Pública, Tránsito, Protección civil y Planeación del   Desarrollo</w:t>
            </w:r>
          </w:p>
        </w:tc>
        <w:tc>
          <w:tcPr>
            <w:tcW w:w="2328" w:type="dxa"/>
          </w:tcPr>
          <w:p>
            <w:pPr>
              <w:pStyle w:val="TableParagraph"/>
              <w:spacing w:line="176" w:lineRule="exact"/>
              <w:rPr>
                <w:sz w:val="16"/>
              </w:rPr>
            </w:pPr>
            <w:r>
              <w:rPr>
                <w:color w:val="231F20"/>
                <w:w w:val="75"/>
                <w:sz w:val="16"/>
              </w:rPr>
              <w:t>Presidente Municipal</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85"/>
                <w:sz w:val="16"/>
              </w:rPr>
              <w:t>Hacienda</w:t>
            </w:r>
          </w:p>
        </w:tc>
        <w:tc>
          <w:tcPr>
            <w:tcW w:w="2328" w:type="dxa"/>
          </w:tcPr>
          <w:p>
            <w:pPr>
              <w:pStyle w:val="TableParagraph"/>
              <w:spacing w:line="176" w:lineRule="exact"/>
              <w:rPr>
                <w:sz w:val="16"/>
              </w:rPr>
            </w:pPr>
            <w:r>
              <w:rPr>
                <w:color w:val="231F20"/>
                <w:w w:val="75"/>
                <w:sz w:val="16"/>
              </w:rPr>
              <w:t>Síndico Procurador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75"/>
                <w:sz w:val="16"/>
              </w:rPr>
              <w:t>Obras Públicas, Desarrollo Urbano, Agua, Drenaje y  Alcantarillado</w:t>
            </w:r>
          </w:p>
        </w:tc>
        <w:tc>
          <w:tcPr>
            <w:tcW w:w="2328" w:type="dxa"/>
          </w:tcPr>
          <w:p>
            <w:pPr>
              <w:pStyle w:val="TableParagraph"/>
              <w:spacing w:line="176" w:lineRule="exact"/>
              <w:rPr>
                <w:sz w:val="16"/>
              </w:rPr>
            </w:pPr>
            <w:r>
              <w:rPr>
                <w:color w:val="231F20"/>
                <w:w w:val="75"/>
                <w:sz w:val="16"/>
              </w:rPr>
              <w:t>Primer Regidor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75"/>
                <w:sz w:val="16"/>
              </w:rPr>
              <w:t>Fomento Agropecuario y Económico</w:t>
            </w:r>
          </w:p>
        </w:tc>
        <w:tc>
          <w:tcPr>
            <w:tcW w:w="2328" w:type="dxa"/>
          </w:tcPr>
          <w:p>
            <w:pPr>
              <w:pStyle w:val="TableParagraph"/>
              <w:spacing w:line="176" w:lineRule="exact"/>
              <w:rPr>
                <w:sz w:val="16"/>
              </w:rPr>
            </w:pPr>
            <w:r>
              <w:rPr>
                <w:color w:val="231F20"/>
                <w:w w:val="75"/>
                <w:sz w:val="16"/>
              </w:rPr>
              <w:t>Segundo Regidor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75"/>
                <w:sz w:val="16"/>
              </w:rPr>
              <w:t>Ecología y Fomento Forestal</w:t>
            </w:r>
          </w:p>
        </w:tc>
        <w:tc>
          <w:tcPr>
            <w:tcW w:w="2328" w:type="dxa"/>
          </w:tcPr>
          <w:p>
            <w:pPr>
              <w:pStyle w:val="TableParagraph"/>
              <w:spacing w:line="176" w:lineRule="exact"/>
              <w:rPr>
                <w:sz w:val="16"/>
              </w:rPr>
            </w:pPr>
            <w:r>
              <w:rPr>
                <w:color w:val="231F20"/>
                <w:w w:val="75"/>
                <w:sz w:val="16"/>
              </w:rPr>
              <w:t>Tercer Regidor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75"/>
                <w:sz w:val="16"/>
              </w:rPr>
              <w:t>Cultura, Educación, Deporte y Recreación</w:t>
            </w:r>
          </w:p>
        </w:tc>
        <w:tc>
          <w:tcPr>
            <w:tcW w:w="2328" w:type="dxa"/>
          </w:tcPr>
          <w:p>
            <w:pPr>
              <w:pStyle w:val="TableParagraph"/>
              <w:spacing w:line="176" w:lineRule="exact"/>
              <w:rPr>
                <w:sz w:val="16"/>
              </w:rPr>
            </w:pPr>
            <w:r>
              <w:rPr>
                <w:color w:val="231F20"/>
                <w:w w:val="75"/>
                <w:sz w:val="16"/>
              </w:rPr>
              <w:t>Cuarto Regidor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85"/>
                <w:sz w:val="16"/>
              </w:rPr>
              <w:t>Turismo</w:t>
            </w:r>
          </w:p>
        </w:tc>
        <w:tc>
          <w:tcPr>
            <w:tcW w:w="2328" w:type="dxa"/>
          </w:tcPr>
          <w:p>
            <w:pPr>
              <w:pStyle w:val="TableParagraph"/>
              <w:spacing w:line="176" w:lineRule="exact"/>
              <w:rPr>
                <w:sz w:val="16"/>
              </w:rPr>
            </w:pPr>
            <w:r>
              <w:rPr>
                <w:color w:val="231F20"/>
                <w:w w:val="75"/>
                <w:sz w:val="16"/>
              </w:rPr>
              <w:t>Quinto Regidor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85"/>
                <w:sz w:val="16"/>
              </w:rPr>
              <w:t>Mercado</w:t>
            </w:r>
          </w:p>
        </w:tc>
        <w:tc>
          <w:tcPr>
            <w:tcW w:w="2328" w:type="dxa"/>
          </w:tcPr>
          <w:p>
            <w:pPr>
              <w:pStyle w:val="TableParagraph"/>
              <w:spacing w:line="176" w:lineRule="exact"/>
              <w:rPr>
                <w:sz w:val="16"/>
              </w:rPr>
            </w:pPr>
            <w:r>
              <w:rPr>
                <w:color w:val="231F20"/>
                <w:w w:val="75"/>
                <w:sz w:val="16"/>
              </w:rPr>
              <w:t>Sexto Regidor</w:t>
            </w:r>
          </w:p>
        </w:tc>
        <w:tc>
          <w:tcPr>
            <w:tcW w:w="977" w:type="dxa"/>
          </w:tcPr>
          <w:p>
            <w:pPr>
              <w:pStyle w:val="TableParagraph"/>
              <w:spacing w:line="176" w:lineRule="exact"/>
              <w:rPr>
                <w:sz w:val="16"/>
              </w:rPr>
            </w:pPr>
            <w:r>
              <w:rPr>
                <w:color w:val="231F20"/>
                <w:w w:val="85"/>
                <w:sz w:val="16"/>
              </w:rPr>
              <w:t>PRD</w:t>
            </w:r>
          </w:p>
        </w:tc>
      </w:tr>
      <w:tr>
        <w:trPr>
          <w:trHeight w:val="130" w:hRule="exact"/>
        </w:trPr>
        <w:tc>
          <w:tcPr>
            <w:tcW w:w="4639" w:type="dxa"/>
          </w:tcPr>
          <w:p>
            <w:pPr>
              <w:pStyle w:val="TableParagraph"/>
              <w:spacing w:line="176" w:lineRule="exact"/>
              <w:rPr>
                <w:sz w:val="16"/>
              </w:rPr>
            </w:pPr>
            <w:r>
              <w:rPr>
                <w:color w:val="231F20"/>
                <w:w w:val="85"/>
                <w:sz w:val="16"/>
              </w:rPr>
              <w:t>Parques</w:t>
            </w:r>
          </w:p>
        </w:tc>
        <w:tc>
          <w:tcPr>
            <w:tcW w:w="2328" w:type="dxa"/>
          </w:tcPr>
          <w:p>
            <w:pPr>
              <w:pStyle w:val="TableParagraph"/>
              <w:spacing w:line="176" w:lineRule="exact"/>
              <w:rPr>
                <w:sz w:val="16"/>
              </w:rPr>
            </w:pPr>
            <w:r>
              <w:rPr>
                <w:color w:val="231F20"/>
                <w:w w:val="75"/>
                <w:sz w:val="16"/>
              </w:rPr>
              <w:t>Sétimo Regidor</w:t>
            </w:r>
          </w:p>
        </w:tc>
        <w:tc>
          <w:tcPr>
            <w:tcW w:w="977" w:type="dxa"/>
          </w:tcPr>
          <w:p>
            <w:pPr>
              <w:pStyle w:val="TableParagraph"/>
              <w:spacing w:line="176" w:lineRule="exact"/>
              <w:rPr>
                <w:sz w:val="16"/>
              </w:rPr>
            </w:pPr>
            <w:r>
              <w:rPr>
                <w:color w:val="231F20"/>
                <w:w w:val="85"/>
                <w:sz w:val="16"/>
              </w:rPr>
              <w:t>APM</w:t>
            </w:r>
          </w:p>
        </w:tc>
      </w:tr>
      <w:tr>
        <w:trPr>
          <w:trHeight w:val="130" w:hRule="exact"/>
        </w:trPr>
        <w:tc>
          <w:tcPr>
            <w:tcW w:w="4639" w:type="dxa"/>
          </w:tcPr>
          <w:p>
            <w:pPr>
              <w:pStyle w:val="TableParagraph"/>
              <w:spacing w:line="176" w:lineRule="exact"/>
              <w:rPr>
                <w:sz w:val="16"/>
              </w:rPr>
            </w:pPr>
            <w:r>
              <w:rPr>
                <w:color w:val="231F20"/>
                <w:w w:val="80"/>
                <w:sz w:val="16"/>
              </w:rPr>
              <w:t>Revisión y Actualización de la Reglamentación Municipal, Equidad y Género</w:t>
            </w:r>
          </w:p>
        </w:tc>
        <w:tc>
          <w:tcPr>
            <w:tcW w:w="2328" w:type="dxa"/>
          </w:tcPr>
          <w:p>
            <w:pPr>
              <w:pStyle w:val="TableParagraph"/>
              <w:spacing w:line="176" w:lineRule="exact"/>
              <w:rPr>
                <w:sz w:val="16"/>
              </w:rPr>
            </w:pPr>
            <w:r>
              <w:rPr>
                <w:color w:val="231F20"/>
                <w:w w:val="75"/>
                <w:sz w:val="16"/>
              </w:rPr>
              <w:t>Octavo Regidor</w:t>
            </w:r>
          </w:p>
        </w:tc>
        <w:tc>
          <w:tcPr>
            <w:tcW w:w="977" w:type="dxa"/>
          </w:tcPr>
          <w:p>
            <w:pPr>
              <w:pStyle w:val="TableParagraph"/>
              <w:spacing w:line="176" w:lineRule="exact"/>
              <w:rPr>
                <w:sz w:val="16"/>
              </w:rPr>
            </w:pPr>
            <w:r>
              <w:rPr>
                <w:color w:val="231F20"/>
                <w:w w:val="85"/>
                <w:sz w:val="16"/>
              </w:rPr>
              <w:t>APM</w:t>
            </w:r>
          </w:p>
        </w:tc>
      </w:tr>
      <w:tr>
        <w:trPr>
          <w:trHeight w:val="130" w:hRule="exact"/>
        </w:trPr>
        <w:tc>
          <w:tcPr>
            <w:tcW w:w="4639" w:type="dxa"/>
          </w:tcPr>
          <w:p>
            <w:pPr>
              <w:pStyle w:val="TableParagraph"/>
              <w:spacing w:line="176" w:lineRule="exact"/>
              <w:rPr>
                <w:sz w:val="16"/>
              </w:rPr>
            </w:pPr>
            <w:r>
              <w:rPr>
                <w:color w:val="231F20"/>
                <w:w w:val="75"/>
                <w:sz w:val="16"/>
              </w:rPr>
              <w:t>Transporte y Vialidad</w:t>
            </w:r>
          </w:p>
        </w:tc>
        <w:tc>
          <w:tcPr>
            <w:tcW w:w="2328" w:type="dxa"/>
          </w:tcPr>
          <w:p>
            <w:pPr>
              <w:pStyle w:val="TableParagraph"/>
              <w:spacing w:line="176" w:lineRule="exact"/>
              <w:rPr>
                <w:sz w:val="16"/>
              </w:rPr>
            </w:pPr>
            <w:r>
              <w:rPr>
                <w:color w:val="231F20"/>
                <w:w w:val="75"/>
                <w:sz w:val="16"/>
              </w:rPr>
              <w:t>Noveno Regidor</w:t>
            </w:r>
          </w:p>
        </w:tc>
        <w:tc>
          <w:tcPr>
            <w:tcW w:w="977" w:type="dxa"/>
          </w:tcPr>
          <w:p>
            <w:pPr>
              <w:pStyle w:val="TableParagraph"/>
              <w:spacing w:line="176" w:lineRule="exact"/>
              <w:rPr>
                <w:sz w:val="16"/>
              </w:rPr>
            </w:pPr>
            <w:r>
              <w:rPr>
                <w:color w:val="231F20"/>
                <w:w w:val="85"/>
                <w:sz w:val="16"/>
              </w:rPr>
              <w:t>PAN</w:t>
            </w:r>
          </w:p>
        </w:tc>
      </w:tr>
      <w:tr>
        <w:trPr>
          <w:trHeight w:val="130" w:hRule="exact"/>
        </w:trPr>
        <w:tc>
          <w:tcPr>
            <w:tcW w:w="4639" w:type="dxa"/>
          </w:tcPr>
          <w:p>
            <w:pPr>
              <w:pStyle w:val="TableParagraph"/>
              <w:spacing w:line="176" w:lineRule="exact"/>
              <w:rPr>
                <w:sz w:val="16"/>
              </w:rPr>
            </w:pPr>
            <w:r>
              <w:rPr>
                <w:color w:val="231F20"/>
                <w:w w:val="85"/>
                <w:sz w:val="16"/>
              </w:rPr>
              <w:t>Salud</w:t>
            </w:r>
          </w:p>
        </w:tc>
        <w:tc>
          <w:tcPr>
            <w:tcW w:w="2328" w:type="dxa"/>
          </w:tcPr>
          <w:p>
            <w:pPr>
              <w:pStyle w:val="TableParagraph"/>
              <w:spacing w:line="176" w:lineRule="exact"/>
              <w:rPr>
                <w:sz w:val="16"/>
              </w:rPr>
            </w:pPr>
            <w:r>
              <w:rPr>
                <w:color w:val="231F20"/>
                <w:w w:val="75"/>
                <w:sz w:val="16"/>
              </w:rPr>
              <w:t>Décimo Regidor</w:t>
            </w:r>
          </w:p>
        </w:tc>
        <w:tc>
          <w:tcPr>
            <w:tcW w:w="977" w:type="dxa"/>
          </w:tcPr>
          <w:p>
            <w:pPr>
              <w:pStyle w:val="TableParagraph"/>
              <w:spacing w:line="176" w:lineRule="exact"/>
              <w:rPr>
                <w:sz w:val="16"/>
              </w:rPr>
            </w:pPr>
            <w:r>
              <w:rPr>
                <w:color w:val="231F20"/>
                <w:w w:val="85"/>
                <w:sz w:val="16"/>
              </w:rPr>
              <w:t>PAN</w:t>
            </w:r>
          </w:p>
        </w:tc>
      </w:tr>
    </w:tbl>
    <w:p>
      <w:pPr>
        <w:spacing w:line="194" w:lineRule="exact" w:before="0"/>
        <w:ind w:left="0" w:right="1" w:firstLine="0"/>
        <w:jc w:val="center"/>
        <w:rPr>
          <w:rFonts w:ascii="Arial"/>
          <w:sz w:val="20"/>
        </w:rPr>
      </w:pPr>
      <w:r>
        <w:rPr>
          <w:rFonts w:ascii="Arial"/>
          <w:color w:val="231F20"/>
          <w:sz w:val="20"/>
        </w:rPr>
        <w:t>.</w:t>
      </w:r>
    </w:p>
    <w:p>
      <w:pPr>
        <w:spacing w:line="185" w:lineRule="exact" w:before="0"/>
        <w:ind w:left="0" w:right="128" w:firstLine="0"/>
        <w:jc w:val="right"/>
        <w:rPr>
          <w:rFonts w:ascii="Calibri"/>
          <w:sz w:val="16"/>
        </w:rPr>
      </w:pPr>
      <w:r>
        <w:rPr>
          <w:rFonts w:ascii="Calibri"/>
          <w:color w:val="231F20"/>
          <w:w w:val="95"/>
          <w:sz w:val="16"/>
        </w:rPr>
        <w:t>Fuente: Plan (2006)</w:t>
      </w:r>
    </w:p>
    <w:p>
      <w:pPr>
        <w:pStyle w:val="BodyText"/>
        <w:spacing w:line="285" w:lineRule="auto" w:before="51"/>
        <w:ind w:left="110" w:right="127"/>
        <w:jc w:val="both"/>
      </w:pPr>
      <w:r>
        <w:rPr>
          <w:color w:val="231F20"/>
          <w:w w:val="105"/>
        </w:rPr>
        <w:t>Según</w:t>
      </w:r>
      <w:r>
        <w:rPr>
          <w:color w:val="231F20"/>
          <w:spacing w:val="-18"/>
          <w:w w:val="105"/>
        </w:rPr>
        <w:t> </w:t>
      </w:r>
      <w:r>
        <w:rPr>
          <w:color w:val="231F20"/>
          <w:w w:val="105"/>
        </w:rPr>
        <w:t>el</w:t>
      </w:r>
      <w:r>
        <w:rPr>
          <w:color w:val="231F20"/>
          <w:spacing w:val="-18"/>
          <w:w w:val="105"/>
        </w:rPr>
        <w:t> </w:t>
      </w:r>
      <w:r>
        <w:rPr>
          <w:color w:val="231F20"/>
          <w:w w:val="105"/>
        </w:rPr>
        <w:t>Plan</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(2006),</w:t>
      </w:r>
      <w:r>
        <w:rPr>
          <w:color w:val="231F20"/>
          <w:spacing w:val="-18"/>
          <w:w w:val="105"/>
        </w:rPr>
        <w:t> </w:t>
      </w:r>
      <w:r>
        <w:rPr>
          <w:color w:val="231F20"/>
          <w:w w:val="105"/>
        </w:rPr>
        <w:t>las</w:t>
      </w:r>
      <w:r>
        <w:rPr>
          <w:color w:val="231F20"/>
          <w:spacing w:val="-18"/>
          <w:w w:val="105"/>
        </w:rPr>
        <w:t> </w:t>
      </w:r>
      <w:r>
        <w:rPr>
          <w:color w:val="231F20"/>
          <w:w w:val="105"/>
        </w:rPr>
        <w:t>comisiones</w:t>
      </w:r>
      <w:r>
        <w:rPr>
          <w:color w:val="231F20"/>
          <w:spacing w:val="-18"/>
          <w:w w:val="105"/>
        </w:rPr>
        <w:t> </w:t>
      </w:r>
      <w:r>
        <w:rPr>
          <w:color w:val="231F20"/>
          <w:w w:val="105"/>
        </w:rPr>
        <w:t>están</w:t>
      </w:r>
      <w:r>
        <w:rPr>
          <w:color w:val="231F20"/>
          <w:spacing w:val="-18"/>
          <w:w w:val="105"/>
        </w:rPr>
        <w:t> </w:t>
      </w:r>
      <w:r>
        <w:rPr>
          <w:color w:val="231F20"/>
          <w:w w:val="105"/>
        </w:rPr>
        <w:t>distribuidas</w:t>
      </w:r>
      <w:r>
        <w:rPr>
          <w:color w:val="231F20"/>
          <w:spacing w:val="-18"/>
          <w:w w:val="105"/>
        </w:rPr>
        <w:t> </w:t>
      </w:r>
      <w:r>
        <w:rPr>
          <w:color w:val="231F20"/>
          <w:w w:val="105"/>
        </w:rPr>
        <w:t>atendiendo</w:t>
      </w:r>
      <w:r>
        <w:rPr>
          <w:color w:val="231F20"/>
          <w:spacing w:val="-18"/>
          <w:w w:val="105"/>
        </w:rPr>
        <w:t> </w:t>
      </w:r>
      <w:r>
        <w:rPr>
          <w:color w:val="231F20"/>
          <w:spacing w:val="2"/>
          <w:w w:val="105"/>
        </w:rPr>
        <w:t>al</w:t>
      </w:r>
      <w:r>
        <w:rPr>
          <w:color w:val="231F20"/>
          <w:spacing w:val="-18"/>
          <w:w w:val="105"/>
        </w:rPr>
        <w:t> </w:t>
      </w:r>
      <w:r>
        <w:rPr>
          <w:color w:val="231F20"/>
          <w:spacing w:val="-3"/>
          <w:w w:val="105"/>
        </w:rPr>
        <w:t>per- </w:t>
      </w:r>
      <w:r>
        <w:rPr>
          <w:color w:val="231F20"/>
          <w:spacing w:val="3"/>
          <w:w w:val="105"/>
        </w:rPr>
        <w:t>fil </w:t>
      </w:r>
      <w:r>
        <w:rPr>
          <w:color w:val="231F20"/>
          <w:w w:val="105"/>
        </w:rPr>
        <w:t>profesional, experiencia laboral y conocimientos del territorio, </w:t>
      </w:r>
      <w:r>
        <w:rPr>
          <w:color w:val="231F20"/>
          <w:spacing w:val="-3"/>
          <w:w w:val="105"/>
        </w:rPr>
        <w:t>donde </w:t>
      </w:r>
      <w:r>
        <w:rPr>
          <w:color w:val="231F20"/>
          <w:w w:val="105"/>
        </w:rPr>
        <w:t>no se distin- guió</w:t>
      </w:r>
      <w:r>
        <w:rPr>
          <w:color w:val="231F20"/>
          <w:spacing w:val="-6"/>
          <w:w w:val="105"/>
        </w:rPr>
        <w:t> </w:t>
      </w:r>
      <w:r>
        <w:rPr>
          <w:color w:val="231F20"/>
          <w:w w:val="105"/>
        </w:rPr>
        <w:t>la</w:t>
      </w:r>
      <w:r>
        <w:rPr>
          <w:color w:val="231F20"/>
          <w:spacing w:val="-6"/>
          <w:w w:val="105"/>
        </w:rPr>
        <w:t> </w:t>
      </w:r>
      <w:r>
        <w:rPr>
          <w:color w:val="231F20"/>
          <w:w w:val="105"/>
        </w:rPr>
        <w:t>procedencia</w:t>
      </w:r>
      <w:r>
        <w:rPr>
          <w:color w:val="231F20"/>
          <w:spacing w:val="-6"/>
          <w:w w:val="105"/>
        </w:rPr>
        <w:t> </w:t>
      </w:r>
      <w:r>
        <w:rPr>
          <w:color w:val="231F20"/>
          <w:w w:val="105"/>
        </w:rPr>
        <w:t>política.</w:t>
      </w:r>
      <w:r>
        <w:rPr>
          <w:color w:val="231F20"/>
          <w:spacing w:val="-6"/>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las</w:t>
      </w:r>
      <w:r>
        <w:rPr>
          <w:color w:val="231F20"/>
          <w:spacing w:val="-6"/>
          <w:w w:val="105"/>
        </w:rPr>
        <w:t> </w:t>
      </w:r>
      <w:r>
        <w:rPr>
          <w:color w:val="231F20"/>
          <w:w w:val="105"/>
        </w:rPr>
        <w:t>comisiones</w:t>
      </w:r>
      <w:r>
        <w:rPr>
          <w:color w:val="231F20"/>
          <w:spacing w:val="-6"/>
          <w:w w:val="105"/>
        </w:rPr>
        <w:t> </w:t>
      </w:r>
      <w:r>
        <w:rPr>
          <w:color w:val="231F20"/>
          <w:w w:val="105"/>
        </w:rPr>
        <w:t>que</w:t>
      </w:r>
      <w:r>
        <w:rPr>
          <w:color w:val="231F20"/>
          <w:spacing w:val="-6"/>
          <w:w w:val="105"/>
        </w:rPr>
        <w:t> </w:t>
      </w:r>
      <w:r>
        <w:rPr>
          <w:color w:val="231F20"/>
          <w:w w:val="105"/>
        </w:rPr>
        <w:t>por</w:t>
      </w:r>
      <w:r>
        <w:rPr>
          <w:color w:val="231F20"/>
          <w:spacing w:val="-6"/>
          <w:w w:val="105"/>
        </w:rPr>
        <w:t> </w:t>
      </w:r>
      <w:r>
        <w:rPr>
          <w:color w:val="231F20"/>
          <w:w w:val="105"/>
        </w:rPr>
        <w:t>la</w:t>
      </w:r>
      <w:r>
        <w:rPr>
          <w:color w:val="231F20"/>
          <w:spacing w:val="-6"/>
          <w:w w:val="105"/>
        </w:rPr>
        <w:t> </w:t>
      </w:r>
      <w:r>
        <w:rPr>
          <w:color w:val="231F20"/>
          <w:w w:val="105"/>
        </w:rPr>
        <w:t>dinámica</w:t>
      </w:r>
      <w:r>
        <w:rPr>
          <w:color w:val="231F20"/>
          <w:spacing w:val="-6"/>
          <w:w w:val="105"/>
        </w:rPr>
        <w:t> </w:t>
      </w:r>
      <w:r>
        <w:rPr>
          <w:color w:val="231F20"/>
          <w:w w:val="105"/>
        </w:rPr>
        <w:t>social</w:t>
      </w:r>
      <w:r>
        <w:rPr>
          <w:color w:val="231F20"/>
          <w:spacing w:val="-6"/>
          <w:w w:val="105"/>
        </w:rPr>
        <w:t> </w:t>
      </w:r>
      <w:r>
        <w:rPr>
          <w:color w:val="231F20"/>
          <w:w w:val="105"/>
        </w:rPr>
        <w:t>y política</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son</w:t>
      </w:r>
      <w:r>
        <w:rPr>
          <w:color w:val="231F20"/>
          <w:spacing w:val="-20"/>
          <w:w w:val="105"/>
        </w:rPr>
        <w:t> </w:t>
      </w:r>
      <w:r>
        <w:rPr>
          <w:color w:val="231F20"/>
          <w:w w:val="105"/>
        </w:rPr>
        <w:t>las</w:t>
      </w:r>
      <w:r>
        <w:rPr>
          <w:color w:val="231F20"/>
          <w:spacing w:val="-20"/>
          <w:w w:val="105"/>
        </w:rPr>
        <w:t> </w:t>
      </w:r>
      <w:r>
        <w:rPr>
          <w:color w:val="231F20"/>
          <w:w w:val="105"/>
        </w:rPr>
        <w:t>más</w:t>
      </w:r>
      <w:r>
        <w:rPr>
          <w:color w:val="231F20"/>
          <w:spacing w:val="-20"/>
          <w:w w:val="105"/>
        </w:rPr>
        <w:t> </w:t>
      </w:r>
      <w:r>
        <w:rPr>
          <w:color w:val="231F20"/>
          <w:w w:val="105"/>
        </w:rPr>
        <w:t>importantes</w:t>
      </w:r>
      <w:r>
        <w:rPr>
          <w:color w:val="231F20"/>
          <w:spacing w:val="-20"/>
          <w:w w:val="105"/>
        </w:rPr>
        <w:t> </w:t>
      </w:r>
      <w:r>
        <w:rPr>
          <w:color w:val="231F20"/>
          <w:w w:val="105"/>
        </w:rPr>
        <w:t>como</w:t>
      </w:r>
      <w:r>
        <w:rPr>
          <w:color w:val="231F20"/>
          <w:spacing w:val="-20"/>
          <w:w w:val="105"/>
        </w:rPr>
        <w:t> </w:t>
      </w:r>
      <w:r>
        <w:rPr>
          <w:color w:val="231F20"/>
          <w:w w:val="105"/>
        </w:rPr>
        <w:t>la</w:t>
      </w:r>
      <w:r>
        <w:rPr>
          <w:color w:val="231F20"/>
          <w:spacing w:val="-20"/>
          <w:w w:val="105"/>
        </w:rPr>
        <w:t> </w:t>
      </w:r>
      <w:r>
        <w:rPr>
          <w:color w:val="231F20"/>
          <w:w w:val="105"/>
        </w:rPr>
        <w:t>de</w:t>
      </w:r>
      <w:r>
        <w:rPr>
          <w:color w:val="231F20"/>
          <w:spacing w:val="-20"/>
          <w:w w:val="105"/>
        </w:rPr>
        <w:t> </w:t>
      </w:r>
      <w:r>
        <w:rPr>
          <w:color w:val="231F20"/>
          <w:w w:val="105"/>
        </w:rPr>
        <w:t>obra</w:t>
      </w:r>
      <w:r>
        <w:rPr>
          <w:color w:val="231F20"/>
          <w:spacing w:val="-20"/>
          <w:w w:val="105"/>
        </w:rPr>
        <w:t> </w:t>
      </w:r>
      <w:r>
        <w:rPr>
          <w:color w:val="231F20"/>
          <w:w w:val="105"/>
        </w:rPr>
        <w:t>pública</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de</w:t>
      </w:r>
      <w:r>
        <w:rPr>
          <w:color w:val="231F20"/>
          <w:spacing w:val="-20"/>
          <w:w w:val="105"/>
        </w:rPr>
        <w:t> </w:t>
      </w:r>
      <w:r>
        <w:rPr>
          <w:color w:val="231F20"/>
          <w:w w:val="105"/>
        </w:rPr>
        <w:t>mercados están en manos del </w:t>
      </w:r>
      <w:r>
        <w:rPr>
          <w:color w:val="231F20"/>
          <w:spacing w:val="-3"/>
          <w:w w:val="105"/>
        </w:rPr>
        <w:t>PRD,   </w:t>
      </w:r>
      <w:r>
        <w:rPr>
          <w:color w:val="231F20"/>
          <w:spacing w:val="13"/>
          <w:w w:val="105"/>
        </w:rPr>
        <w:t> </w:t>
      </w:r>
      <w:r>
        <w:rPr>
          <w:color w:val="231F20"/>
          <w:w w:val="105"/>
        </w:rPr>
        <w:t>mientras que las de mayor polémica y conflicto municipal</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before="36"/>
        <w:ind w:left="110"/>
        <w:jc w:val="both"/>
      </w:pPr>
      <w:r>
        <w:rPr>
          <w:color w:val="231F20"/>
        </w:rPr>
        <w:t>como el caso de la de transporte y vialidad está a cargo del   PAN.</w:t>
      </w:r>
    </w:p>
    <w:p>
      <w:pPr>
        <w:pStyle w:val="BodyText"/>
        <w:spacing w:before="2"/>
        <w:rPr>
          <w:sz w:val="30"/>
        </w:rPr>
      </w:pPr>
    </w:p>
    <w:p>
      <w:pPr>
        <w:pStyle w:val="BodyText"/>
        <w:spacing w:line="285" w:lineRule="auto"/>
        <w:ind w:left="110" w:right="108"/>
        <w:jc w:val="both"/>
      </w:pPr>
      <w:r>
        <w:rPr>
          <w:color w:val="231F20"/>
          <w:w w:val="105"/>
        </w:rPr>
        <w:t>Las</w:t>
      </w:r>
      <w:r>
        <w:rPr>
          <w:color w:val="231F20"/>
          <w:spacing w:val="-9"/>
          <w:w w:val="105"/>
        </w:rPr>
        <w:t> </w:t>
      </w:r>
      <w:r>
        <w:rPr>
          <w:color w:val="231F20"/>
          <w:w w:val="105"/>
        </w:rPr>
        <w:t>decisiones</w:t>
      </w:r>
      <w:r>
        <w:rPr>
          <w:color w:val="231F20"/>
          <w:spacing w:val="-9"/>
          <w:w w:val="105"/>
        </w:rPr>
        <w:t> </w:t>
      </w:r>
      <w:r>
        <w:rPr>
          <w:color w:val="231F20"/>
          <w:w w:val="105"/>
        </w:rPr>
        <w:t>del</w:t>
      </w:r>
      <w:r>
        <w:rPr>
          <w:color w:val="231F20"/>
          <w:spacing w:val="-9"/>
          <w:w w:val="105"/>
        </w:rPr>
        <w:t> </w:t>
      </w:r>
      <w:r>
        <w:rPr>
          <w:color w:val="231F20"/>
          <w:w w:val="105"/>
        </w:rPr>
        <w:t>cabildo</w:t>
      </w:r>
      <w:r>
        <w:rPr>
          <w:color w:val="231F20"/>
          <w:spacing w:val="-9"/>
          <w:w w:val="105"/>
        </w:rPr>
        <w:t> </w:t>
      </w:r>
      <w:r>
        <w:rPr>
          <w:color w:val="231F20"/>
          <w:w w:val="105"/>
        </w:rPr>
        <w:t>han</w:t>
      </w:r>
      <w:r>
        <w:rPr>
          <w:color w:val="231F20"/>
          <w:spacing w:val="-9"/>
          <w:w w:val="105"/>
        </w:rPr>
        <w:t> </w:t>
      </w:r>
      <w:r>
        <w:rPr>
          <w:color w:val="231F20"/>
          <w:w w:val="105"/>
        </w:rPr>
        <w:t>sido</w:t>
      </w:r>
      <w:r>
        <w:rPr>
          <w:color w:val="231F20"/>
          <w:spacing w:val="-9"/>
          <w:w w:val="105"/>
        </w:rPr>
        <w:t> </w:t>
      </w:r>
      <w:r>
        <w:rPr>
          <w:color w:val="231F20"/>
          <w:w w:val="105"/>
        </w:rPr>
        <w:t>tomadas</w:t>
      </w:r>
      <w:r>
        <w:rPr>
          <w:color w:val="231F20"/>
          <w:spacing w:val="-9"/>
          <w:w w:val="105"/>
        </w:rPr>
        <w:t> </w:t>
      </w:r>
      <w:r>
        <w:rPr>
          <w:color w:val="231F20"/>
          <w:w w:val="105"/>
        </w:rPr>
        <w:t>dentro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marcos</w:t>
      </w:r>
      <w:r>
        <w:rPr>
          <w:color w:val="231F20"/>
          <w:spacing w:val="-9"/>
          <w:w w:val="105"/>
        </w:rPr>
        <w:t> </w:t>
      </w:r>
      <w:r>
        <w:rPr>
          <w:color w:val="231F20"/>
          <w:w w:val="105"/>
        </w:rPr>
        <w:t>institucionales,</w:t>
      </w:r>
      <w:r>
        <w:rPr>
          <w:color w:val="231F20"/>
          <w:spacing w:val="-9"/>
          <w:w w:val="105"/>
        </w:rPr>
        <w:t> </w:t>
      </w:r>
      <w:r>
        <w:rPr>
          <w:color w:val="231F20"/>
          <w:w w:val="105"/>
        </w:rPr>
        <w:t>en</w:t>
      </w:r>
      <w:r>
        <w:rPr>
          <w:color w:val="231F20"/>
          <w:spacing w:val="-9"/>
          <w:w w:val="105"/>
        </w:rPr>
        <w:t> </w:t>
      </w:r>
      <w:r>
        <w:rPr>
          <w:color w:val="231F20"/>
          <w:w w:val="105"/>
        </w:rPr>
        <w:t>la más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veces,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términos</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presidente</w:t>
      </w:r>
      <w:r>
        <w:rPr>
          <w:color w:val="231F20"/>
          <w:spacing w:val="-17"/>
          <w:w w:val="105"/>
        </w:rPr>
        <w:t> </w:t>
      </w:r>
      <w:r>
        <w:rPr>
          <w:color w:val="231F20"/>
          <w:w w:val="105"/>
        </w:rPr>
        <w:t>presenta</w:t>
      </w:r>
      <w:r>
        <w:rPr>
          <w:color w:val="231F20"/>
          <w:spacing w:val="-17"/>
          <w:w w:val="105"/>
        </w:rPr>
        <w:t> </w:t>
      </w:r>
      <w:r>
        <w:rPr>
          <w:color w:val="231F20"/>
          <w:w w:val="105"/>
        </w:rPr>
        <w:t>sus</w:t>
      </w:r>
      <w:r>
        <w:rPr>
          <w:color w:val="231F20"/>
          <w:spacing w:val="-17"/>
          <w:w w:val="105"/>
        </w:rPr>
        <w:t> </w:t>
      </w:r>
      <w:r>
        <w:rPr>
          <w:color w:val="231F20"/>
          <w:w w:val="105"/>
        </w:rPr>
        <w:t>propuestas.</w:t>
      </w:r>
      <w:r>
        <w:rPr>
          <w:color w:val="231F20"/>
          <w:spacing w:val="-17"/>
          <w:w w:val="105"/>
        </w:rPr>
        <w:t> </w:t>
      </w:r>
      <w:r>
        <w:rPr>
          <w:color w:val="231F20"/>
          <w:w w:val="105"/>
        </w:rPr>
        <w:t>Hace</w:t>
      </w:r>
      <w:r>
        <w:rPr>
          <w:color w:val="231F20"/>
          <w:spacing w:val="-17"/>
          <w:w w:val="105"/>
        </w:rPr>
        <w:t> </w:t>
      </w:r>
      <w:r>
        <w:rPr>
          <w:color w:val="231F20"/>
          <w:w w:val="105"/>
        </w:rPr>
        <w:t>fal- ta</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acuerdos</w:t>
      </w:r>
      <w:r>
        <w:rPr>
          <w:color w:val="231F20"/>
          <w:spacing w:val="-11"/>
          <w:w w:val="105"/>
        </w:rPr>
        <w:t> </w:t>
      </w:r>
      <w:r>
        <w:rPr>
          <w:color w:val="231F20"/>
          <w:w w:val="105"/>
        </w:rPr>
        <w:t>sean</w:t>
      </w:r>
      <w:r>
        <w:rPr>
          <w:color w:val="231F20"/>
          <w:spacing w:val="-11"/>
          <w:w w:val="105"/>
        </w:rPr>
        <w:t> </w:t>
      </w:r>
      <w:r>
        <w:rPr>
          <w:color w:val="231F20"/>
          <w:w w:val="105"/>
        </w:rPr>
        <w:t>publicados</w:t>
      </w:r>
      <w:r>
        <w:rPr>
          <w:color w:val="231F20"/>
          <w:spacing w:val="-11"/>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Gaceta,</w:t>
      </w:r>
      <w:r>
        <w:rPr>
          <w:color w:val="231F20"/>
          <w:spacing w:val="-11"/>
          <w:w w:val="105"/>
        </w:rPr>
        <w:t> </w:t>
      </w:r>
      <w:r>
        <w:rPr>
          <w:color w:val="231F20"/>
          <w:w w:val="105"/>
        </w:rPr>
        <w:t>la</w:t>
      </w:r>
      <w:r>
        <w:rPr>
          <w:color w:val="231F20"/>
          <w:spacing w:val="-11"/>
          <w:w w:val="105"/>
        </w:rPr>
        <w:t> </w:t>
      </w:r>
      <w:r>
        <w:rPr>
          <w:color w:val="231F20"/>
          <w:w w:val="105"/>
        </w:rPr>
        <w:t>publicación</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requisito, que</w:t>
      </w:r>
      <w:r>
        <w:rPr>
          <w:color w:val="231F20"/>
          <w:spacing w:val="-15"/>
          <w:w w:val="105"/>
        </w:rPr>
        <w:t> </w:t>
      </w:r>
      <w:r>
        <w:rPr>
          <w:color w:val="231F20"/>
          <w:w w:val="105"/>
        </w:rPr>
        <w:t>dentro</w:t>
      </w:r>
      <w:r>
        <w:rPr>
          <w:color w:val="231F20"/>
          <w:spacing w:val="-15"/>
          <w:w w:val="105"/>
        </w:rPr>
        <w:t> </w:t>
      </w:r>
      <w:r>
        <w:rPr>
          <w:color w:val="231F20"/>
          <w:w w:val="105"/>
        </w:rPr>
        <w:t>del</w:t>
      </w:r>
      <w:r>
        <w:rPr>
          <w:color w:val="231F20"/>
          <w:spacing w:val="-15"/>
          <w:w w:val="105"/>
        </w:rPr>
        <w:t> </w:t>
      </w:r>
      <w:r>
        <w:rPr>
          <w:color w:val="231F20"/>
          <w:w w:val="105"/>
        </w:rPr>
        <w:t>proceso</w:t>
      </w:r>
      <w:r>
        <w:rPr>
          <w:color w:val="231F20"/>
          <w:spacing w:val="-15"/>
          <w:w w:val="105"/>
        </w:rPr>
        <w:t> </w:t>
      </w:r>
      <w:r>
        <w:rPr>
          <w:color w:val="231F20"/>
          <w:w w:val="105"/>
        </w:rPr>
        <w:t>legislativo</w:t>
      </w:r>
      <w:r>
        <w:rPr>
          <w:color w:val="231F20"/>
          <w:spacing w:val="-15"/>
          <w:w w:val="105"/>
        </w:rPr>
        <w:t> </w:t>
      </w:r>
      <w:r>
        <w:rPr>
          <w:color w:val="231F20"/>
          <w:w w:val="105"/>
        </w:rPr>
        <w:t>o</w:t>
      </w:r>
      <w:r>
        <w:rPr>
          <w:color w:val="231F20"/>
          <w:spacing w:val="-15"/>
          <w:w w:val="105"/>
        </w:rPr>
        <w:t> </w:t>
      </w:r>
      <w:r>
        <w:rPr>
          <w:color w:val="231F20"/>
          <w:w w:val="105"/>
        </w:rPr>
        <w:t>reglamentario</w:t>
      </w:r>
      <w:r>
        <w:rPr>
          <w:color w:val="231F20"/>
          <w:spacing w:val="-15"/>
          <w:w w:val="105"/>
        </w:rPr>
        <w:t> </w:t>
      </w:r>
      <w:r>
        <w:rPr>
          <w:color w:val="231F20"/>
          <w:w w:val="105"/>
        </w:rPr>
        <w:t>permite</w:t>
      </w:r>
      <w:r>
        <w:rPr>
          <w:color w:val="231F20"/>
          <w:spacing w:val="-15"/>
          <w:w w:val="105"/>
        </w:rPr>
        <w:t> </w:t>
      </w:r>
      <w:r>
        <w:rPr>
          <w:color w:val="231F20"/>
          <w:w w:val="105"/>
        </w:rPr>
        <w:t>la</w:t>
      </w:r>
      <w:r>
        <w:rPr>
          <w:color w:val="231F20"/>
          <w:spacing w:val="-15"/>
          <w:w w:val="105"/>
        </w:rPr>
        <w:t> </w:t>
      </w:r>
      <w:r>
        <w:rPr>
          <w:color w:val="231F20"/>
          <w:w w:val="105"/>
        </w:rPr>
        <w:t>iniciación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vigencia</w:t>
      </w:r>
      <w:r>
        <w:rPr>
          <w:color w:val="231F20"/>
          <w:spacing w:val="-15"/>
          <w:w w:val="105"/>
        </w:rPr>
        <w:t> </w:t>
      </w:r>
      <w:r>
        <w:rPr>
          <w:color w:val="231F20"/>
          <w:w w:val="105"/>
        </w:rPr>
        <w:t>y su</w:t>
      </w:r>
      <w:r>
        <w:rPr>
          <w:color w:val="231F20"/>
          <w:spacing w:val="-34"/>
          <w:w w:val="105"/>
        </w:rPr>
        <w:t> </w:t>
      </w:r>
      <w:r>
        <w:rPr>
          <w:color w:val="231F20"/>
          <w:w w:val="105"/>
        </w:rPr>
        <w:t>aplicación</w:t>
      </w:r>
      <w:r>
        <w:rPr>
          <w:color w:val="231F20"/>
          <w:spacing w:val="-34"/>
          <w:w w:val="105"/>
        </w:rPr>
        <w:t> </w:t>
      </w:r>
      <w:r>
        <w:rPr>
          <w:color w:val="231F20"/>
          <w:w w:val="105"/>
        </w:rPr>
        <w:t>general.</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9"/>
          <w:w w:val="105"/>
        </w:rPr>
        <w:t> </w:t>
      </w:r>
      <w:r>
        <w:rPr>
          <w:color w:val="231F20"/>
          <w:w w:val="105"/>
        </w:rPr>
        <w:t>rendición</w:t>
      </w:r>
      <w:r>
        <w:rPr>
          <w:color w:val="231F20"/>
          <w:spacing w:val="-19"/>
          <w:w w:val="105"/>
        </w:rPr>
        <w:t> </w:t>
      </w:r>
      <w:r>
        <w:rPr>
          <w:color w:val="231F20"/>
          <w:w w:val="105"/>
        </w:rPr>
        <w:t>de</w:t>
      </w:r>
      <w:r>
        <w:rPr>
          <w:color w:val="231F20"/>
          <w:spacing w:val="-19"/>
          <w:w w:val="105"/>
        </w:rPr>
        <w:t> </w:t>
      </w:r>
      <w:r>
        <w:rPr>
          <w:color w:val="231F20"/>
          <w:w w:val="105"/>
        </w:rPr>
        <w:t>cuentas</w:t>
      </w:r>
      <w:r>
        <w:rPr>
          <w:color w:val="231F20"/>
          <w:spacing w:val="-19"/>
          <w:w w:val="105"/>
        </w:rPr>
        <w:t> </w:t>
      </w:r>
      <w:r>
        <w:rPr>
          <w:color w:val="231F20"/>
          <w:w w:val="105"/>
        </w:rPr>
        <w:t>en</w:t>
      </w:r>
      <w:r>
        <w:rPr>
          <w:color w:val="231F20"/>
          <w:spacing w:val="-19"/>
          <w:w w:val="105"/>
        </w:rPr>
        <w:t> </w:t>
      </w:r>
      <w:r>
        <w:rPr>
          <w:color w:val="231F20"/>
          <w:w w:val="105"/>
        </w:rPr>
        <w:t>principio</w:t>
      </w:r>
      <w:r>
        <w:rPr>
          <w:color w:val="231F20"/>
          <w:spacing w:val="-19"/>
          <w:w w:val="105"/>
        </w:rPr>
        <w:t> </w:t>
      </w:r>
      <w:r>
        <w:rPr>
          <w:color w:val="231F20"/>
          <w:w w:val="105"/>
        </w:rPr>
        <w:t>se</w:t>
      </w:r>
      <w:r>
        <w:rPr>
          <w:color w:val="231F20"/>
          <w:spacing w:val="-19"/>
          <w:w w:val="105"/>
        </w:rPr>
        <w:t> </w:t>
      </w:r>
      <w:r>
        <w:rPr>
          <w:color w:val="231F20"/>
          <w:w w:val="105"/>
        </w:rPr>
        <w:t>favorece</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buena</w:t>
      </w:r>
      <w:r>
        <w:rPr>
          <w:color w:val="231F20"/>
          <w:spacing w:val="-19"/>
          <w:w w:val="105"/>
        </w:rPr>
        <w:t> </w:t>
      </w:r>
      <w:r>
        <w:rPr>
          <w:color w:val="231F20"/>
          <w:w w:val="105"/>
        </w:rPr>
        <w:t>disposición</w:t>
      </w:r>
      <w:r>
        <w:rPr>
          <w:color w:val="231F20"/>
          <w:spacing w:val="-19"/>
          <w:w w:val="105"/>
        </w:rPr>
        <w:t> </w:t>
      </w:r>
      <w:r>
        <w:rPr>
          <w:color w:val="231F20"/>
          <w:w w:val="105"/>
        </w:rPr>
        <w:t>del</w:t>
      </w:r>
      <w:r>
        <w:rPr>
          <w:color w:val="231F20"/>
          <w:spacing w:val="-19"/>
          <w:w w:val="105"/>
        </w:rPr>
        <w:t> </w:t>
      </w:r>
      <w:r>
        <w:rPr>
          <w:color w:val="231F20"/>
          <w:w w:val="105"/>
        </w:rPr>
        <w:t>presidente a</w:t>
      </w:r>
      <w:r>
        <w:rPr>
          <w:color w:val="231F20"/>
          <w:spacing w:val="-5"/>
          <w:w w:val="105"/>
        </w:rPr>
        <w:t> </w:t>
      </w:r>
      <w:r>
        <w:rPr>
          <w:color w:val="231F20"/>
          <w:w w:val="105"/>
        </w:rPr>
        <w:t>transparentar</w:t>
      </w:r>
      <w:r>
        <w:rPr>
          <w:color w:val="231F20"/>
          <w:spacing w:val="-5"/>
          <w:w w:val="105"/>
        </w:rPr>
        <w:t> </w:t>
      </w:r>
      <w:r>
        <w:rPr>
          <w:color w:val="231F20"/>
          <w:w w:val="105"/>
        </w:rPr>
        <w:t>la</w:t>
      </w:r>
      <w:r>
        <w:rPr>
          <w:color w:val="231F20"/>
          <w:spacing w:val="-5"/>
          <w:w w:val="105"/>
        </w:rPr>
        <w:t> </w:t>
      </w:r>
      <w:r>
        <w:rPr>
          <w:color w:val="231F20"/>
          <w:w w:val="105"/>
        </w:rPr>
        <w:t>información,</w:t>
      </w:r>
      <w:r>
        <w:rPr>
          <w:color w:val="231F20"/>
          <w:spacing w:val="-5"/>
          <w:w w:val="105"/>
        </w:rPr>
        <w:t> </w:t>
      </w:r>
      <w:r>
        <w:rPr>
          <w:color w:val="231F20"/>
          <w:w w:val="105"/>
        </w:rPr>
        <w:t>pero</w:t>
      </w:r>
      <w:r>
        <w:rPr>
          <w:color w:val="231F20"/>
          <w:spacing w:val="-5"/>
          <w:w w:val="105"/>
        </w:rPr>
        <w:t> </w:t>
      </w:r>
      <w:r>
        <w:rPr>
          <w:color w:val="231F20"/>
          <w:w w:val="105"/>
        </w:rPr>
        <w:t>encuentra</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empleados</w:t>
      </w:r>
      <w:r>
        <w:rPr>
          <w:color w:val="231F20"/>
          <w:spacing w:val="-5"/>
          <w:w w:val="105"/>
        </w:rPr>
        <w:t> </w:t>
      </w:r>
      <w:r>
        <w:rPr>
          <w:color w:val="231F20"/>
          <w:w w:val="105"/>
        </w:rPr>
        <w:t>resistencia</w:t>
      </w:r>
      <w:r>
        <w:rPr>
          <w:color w:val="231F20"/>
          <w:spacing w:val="-5"/>
          <w:w w:val="105"/>
        </w:rPr>
        <w:t> </w:t>
      </w:r>
      <w:r>
        <w:rPr>
          <w:color w:val="231F20"/>
          <w:w w:val="105"/>
        </w:rPr>
        <w:t>para</w:t>
      </w:r>
      <w:r>
        <w:rPr>
          <w:color w:val="231F20"/>
          <w:spacing w:val="-5"/>
          <w:w w:val="105"/>
        </w:rPr>
        <w:t> </w:t>
      </w:r>
      <w:r>
        <w:rPr>
          <w:color w:val="231F20"/>
          <w:spacing w:val="-3"/>
          <w:w w:val="105"/>
        </w:rPr>
        <w:t>gene- </w:t>
      </w:r>
      <w:r>
        <w:rPr>
          <w:color w:val="231F20"/>
          <w:w w:val="105"/>
        </w:rPr>
        <w:t>rar</w:t>
      </w:r>
      <w:r>
        <w:rPr>
          <w:color w:val="231F20"/>
          <w:spacing w:val="-17"/>
          <w:w w:val="105"/>
        </w:rPr>
        <w:t> </w:t>
      </w:r>
      <w:r>
        <w:rPr>
          <w:color w:val="231F20"/>
          <w:w w:val="105"/>
        </w:rPr>
        <w:t>la</w:t>
      </w:r>
      <w:r>
        <w:rPr>
          <w:color w:val="231F20"/>
          <w:spacing w:val="-17"/>
          <w:w w:val="105"/>
        </w:rPr>
        <w:t> </w:t>
      </w:r>
      <w:r>
        <w:rPr>
          <w:color w:val="231F20"/>
          <w:w w:val="105"/>
        </w:rPr>
        <w:t>información</w:t>
      </w:r>
      <w:r>
        <w:rPr>
          <w:color w:val="231F20"/>
          <w:spacing w:val="-17"/>
          <w:w w:val="105"/>
        </w:rPr>
        <w:t> </w:t>
      </w:r>
      <w:r>
        <w:rPr>
          <w:color w:val="231F20"/>
          <w:w w:val="105"/>
        </w:rPr>
        <w:t>y</w:t>
      </w:r>
      <w:r>
        <w:rPr>
          <w:color w:val="231F20"/>
          <w:spacing w:val="-17"/>
          <w:w w:val="105"/>
        </w:rPr>
        <w:t> </w:t>
      </w:r>
      <w:r>
        <w:rPr>
          <w:color w:val="231F20"/>
          <w:w w:val="105"/>
        </w:rPr>
        <w:t>ofrecerla</w:t>
      </w:r>
      <w:r>
        <w:rPr>
          <w:color w:val="231F20"/>
          <w:spacing w:val="-17"/>
          <w:w w:val="105"/>
        </w:rPr>
        <w:t> </w:t>
      </w:r>
      <w:r>
        <w:rPr>
          <w:color w:val="231F20"/>
          <w:spacing w:val="2"/>
          <w:w w:val="105"/>
        </w:rPr>
        <w:t>al</w:t>
      </w:r>
      <w:r>
        <w:rPr>
          <w:color w:val="231F20"/>
          <w:spacing w:val="-17"/>
          <w:w w:val="105"/>
        </w:rPr>
        <w:t> </w:t>
      </w:r>
      <w:r>
        <w:rPr>
          <w:color w:val="231F20"/>
          <w:w w:val="105"/>
        </w:rPr>
        <w:t>ciudadano</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solicite.</w:t>
      </w:r>
    </w:p>
    <w:p>
      <w:pPr>
        <w:pStyle w:val="BodyText"/>
        <w:spacing w:before="2"/>
        <w:rPr>
          <w:sz w:val="20"/>
        </w:rPr>
      </w:pPr>
    </w:p>
    <w:p>
      <w:pPr>
        <w:pStyle w:val="Heading4"/>
        <w:spacing w:before="1"/>
        <w:rPr>
          <w:i/>
        </w:rPr>
      </w:pPr>
      <w:r>
        <w:rPr>
          <w:i/>
          <w:color w:val="231F20"/>
        </w:rPr>
        <w:t>Informe</w:t>
      </w:r>
    </w:p>
    <w:p>
      <w:pPr>
        <w:pStyle w:val="BodyText"/>
        <w:spacing w:line="285" w:lineRule="auto" w:before="16"/>
        <w:ind w:left="110" w:right="108"/>
        <w:jc w:val="both"/>
      </w:pPr>
      <w:r>
        <w:rPr>
          <w:color w:val="231F20"/>
          <w:w w:val="105"/>
        </w:rPr>
        <w:t>El</w:t>
      </w:r>
      <w:r>
        <w:rPr>
          <w:color w:val="231F20"/>
          <w:spacing w:val="-7"/>
          <w:w w:val="105"/>
        </w:rPr>
        <w:t> </w:t>
      </w:r>
      <w:r>
        <w:rPr>
          <w:color w:val="231F20"/>
          <w:w w:val="105"/>
        </w:rPr>
        <w:t>Informe</w:t>
      </w:r>
      <w:r>
        <w:rPr>
          <w:color w:val="231F20"/>
          <w:spacing w:val="-7"/>
          <w:w w:val="105"/>
        </w:rPr>
        <w:t> </w:t>
      </w:r>
      <w:r>
        <w:rPr>
          <w:color w:val="231F20"/>
          <w:w w:val="105"/>
        </w:rPr>
        <w:t>de</w:t>
      </w:r>
      <w:r>
        <w:rPr>
          <w:color w:val="231F20"/>
          <w:spacing w:val="-7"/>
          <w:w w:val="105"/>
        </w:rPr>
        <w:t> </w:t>
      </w:r>
      <w:r>
        <w:rPr>
          <w:color w:val="231F20"/>
          <w:w w:val="105"/>
        </w:rPr>
        <w:t>Gobierno</w:t>
      </w:r>
      <w:r>
        <w:rPr>
          <w:color w:val="231F20"/>
          <w:spacing w:val="-7"/>
          <w:w w:val="105"/>
        </w:rPr>
        <w:t> </w:t>
      </w:r>
      <w:r>
        <w:rPr>
          <w:color w:val="231F20"/>
          <w:w w:val="105"/>
        </w:rPr>
        <w:t>como</w:t>
      </w:r>
      <w:r>
        <w:rPr>
          <w:color w:val="231F20"/>
          <w:spacing w:val="-7"/>
          <w:w w:val="105"/>
        </w:rPr>
        <w:t> </w:t>
      </w:r>
      <w:r>
        <w:rPr>
          <w:color w:val="231F20"/>
          <w:spacing w:val="3"/>
          <w:w w:val="105"/>
        </w:rPr>
        <w:t>un</w:t>
      </w:r>
      <w:r>
        <w:rPr>
          <w:color w:val="231F20"/>
          <w:spacing w:val="-7"/>
          <w:w w:val="105"/>
        </w:rPr>
        <w:t> </w:t>
      </w:r>
      <w:r>
        <w:rPr>
          <w:color w:val="231F20"/>
          <w:w w:val="105"/>
        </w:rPr>
        <w:t>documento</w:t>
      </w:r>
      <w:r>
        <w:rPr>
          <w:color w:val="231F20"/>
          <w:spacing w:val="-7"/>
          <w:w w:val="105"/>
        </w:rPr>
        <w:t> </w:t>
      </w:r>
      <w:r>
        <w:rPr>
          <w:color w:val="231F20"/>
          <w:w w:val="105"/>
        </w:rPr>
        <w:t>que</w:t>
      </w:r>
      <w:r>
        <w:rPr>
          <w:color w:val="231F20"/>
          <w:spacing w:val="-7"/>
          <w:w w:val="105"/>
        </w:rPr>
        <w:t> </w:t>
      </w:r>
      <w:r>
        <w:rPr>
          <w:color w:val="231F20"/>
          <w:spacing w:val="2"/>
          <w:w w:val="105"/>
        </w:rPr>
        <w:t>consigna</w:t>
      </w:r>
      <w:r>
        <w:rPr>
          <w:color w:val="231F20"/>
          <w:spacing w:val="-7"/>
          <w:w w:val="105"/>
        </w:rPr>
        <w:t> </w:t>
      </w:r>
      <w:r>
        <w:rPr>
          <w:color w:val="231F20"/>
          <w:w w:val="105"/>
        </w:rPr>
        <w:t>los</w:t>
      </w:r>
      <w:r>
        <w:rPr>
          <w:color w:val="231F20"/>
          <w:spacing w:val="-7"/>
          <w:w w:val="105"/>
        </w:rPr>
        <w:t> </w:t>
      </w:r>
      <w:r>
        <w:rPr>
          <w:color w:val="231F20"/>
          <w:w w:val="105"/>
        </w:rPr>
        <w:t>resultados</w:t>
      </w:r>
      <w:r>
        <w:rPr>
          <w:color w:val="231F20"/>
          <w:spacing w:val="-7"/>
          <w:w w:val="105"/>
        </w:rPr>
        <w:t> </w:t>
      </w:r>
      <w:r>
        <w:rPr>
          <w:color w:val="231F20"/>
          <w:w w:val="105"/>
        </w:rPr>
        <w:t>logrados</w:t>
      </w:r>
      <w:r>
        <w:rPr>
          <w:color w:val="231F20"/>
          <w:spacing w:val="-7"/>
          <w:w w:val="105"/>
        </w:rPr>
        <w:t> </w:t>
      </w:r>
      <w:r>
        <w:rPr>
          <w:color w:val="231F20"/>
          <w:w w:val="105"/>
        </w:rPr>
        <w:t>por </w:t>
      </w:r>
      <w:r>
        <w:rPr>
          <w:color w:val="231F20"/>
          <w:spacing w:val="3"/>
          <w:w w:val="105"/>
        </w:rPr>
        <w:t>una </w:t>
      </w:r>
      <w:r>
        <w:rPr>
          <w:color w:val="231F20"/>
          <w:w w:val="105"/>
        </w:rPr>
        <w:t>gestión, proyecta el </w:t>
      </w:r>
      <w:r>
        <w:rPr>
          <w:color w:val="231F20"/>
          <w:spacing w:val="3"/>
          <w:w w:val="105"/>
        </w:rPr>
        <w:t>vínculo </w:t>
      </w:r>
      <w:r>
        <w:rPr>
          <w:color w:val="231F20"/>
          <w:w w:val="105"/>
        </w:rPr>
        <w:t>entre el </w:t>
      </w:r>
      <w:r>
        <w:rPr>
          <w:color w:val="231F20"/>
          <w:spacing w:val="2"/>
          <w:w w:val="105"/>
        </w:rPr>
        <w:t>diseño </w:t>
      </w:r>
      <w:r>
        <w:rPr>
          <w:color w:val="231F20"/>
          <w:w w:val="105"/>
        </w:rPr>
        <w:t>establecido en el plan de desarrollo, por lo que revela la consistencia entre la formulación y la </w:t>
      </w:r>
      <w:r>
        <w:rPr>
          <w:color w:val="231F20"/>
          <w:spacing w:val="2"/>
          <w:w w:val="105"/>
        </w:rPr>
        <w:t>instrumentación </w:t>
      </w:r>
      <w:r>
        <w:rPr>
          <w:color w:val="231F20"/>
          <w:w w:val="105"/>
        </w:rPr>
        <w:t>de accio- nes. </w:t>
      </w:r>
      <w:r>
        <w:rPr>
          <w:color w:val="231F20"/>
          <w:spacing w:val="4"/>
          <w:w w:val="105"/>
        </w:rPr>
        <w:t>Al </w:t>
      </w:r>
      <w:r>
        <w:rPr>
          <w:color w:val="231F20"/>
          <w:spacing w:val="3"/>
          <w:w w:val="105"/>
        </w:rPr>
        <w:t>revisar </w:t>
      </w:r>
      <w:r>
        <w:rPr>
          <w:color w:val="231F20"/>
          <w:w w:val="105"/>
        </w:rPr>
        <w:t>el </w:t>
      </w:r>
      <w:r>
        <w:rPr>
          <w:color w:val="231F20"/>
          <w:spacing w:val="2"/>
          <w:w w:val="105"/>
        </w:rPr>
        <w:t>Segundo </w:t>
      </w:r>
      <w:r>
        <w:rPr>
          <w:color w:val="231F20"/>
          <w:w w:val="105"/>
        </w:rPr>
        <w:t>Informe de Gobierno, se puede percatar que se describen acciones</w:t>
      </w:r>
      <w:r>
        <w:rPr>
          <w:color w:val="231F20"/>
          <w:spacing w:val="-5"/>
          <w:w w:val="105"/>
        </w:rPr>
        <w:t> </w:t>
      </w:r>
      <w:r>
        <w:rPr>
          <w:color w:val="231F20"/>
          <w:w w:val="105"/>
        </w:rPr>
        <w:t>del</w:t>
      </w:r>
      <w:r>
        <w:rPr>
          <w:color w:val="231F20"/>
          <w:spacing w:val="-5"/>
          <w:w w:val="105"/>
        </w:rPr>
        <w:t> </w:t>
      </w:r>
      <w:r>
        <w:rPr>
          <w:color w:val="231F20"/>
          <w:w w:val="105"/>
        </w:rPr>
        <w:t>ámbito</w:t>
      </w:r>
      <w:r>
        <w:rPr>
          <w:color w:val="231F20"/>
          <w:spacing w:val="-5"/>
          <w:w w:val="105"/>
        </w:rPr>
        <w:t> </w:t>
      </w:r>
      <w:r>
        <w:rPr>
          <w:color w:val="231F20"/>
          <w:w w:val="105"/>
        </w:rPr>
        <w:t>de</w:t>
      </w:r>
      <w:r>
        <w:rPr>
          <w:color w:val="231F20"/>
          <w:spacing w:val="-5"/>
          <w:w w:val="105"/>
        </w:rPr>
        <w:t> </w:t>
      </w:r>
      <w:r>
        <w:rPr>
          <w:color w:val="231F20"/>
          <w:spacing w:val="2"/>
          <w:w w:val="105"/>
        </w:rPr>
        <w:t>las</w:t>
      </w:r>
      <w:r>
        <w:rPr>
          <w:color w:val="231F20"/>
          <w:spacing w:val="-5"/>
          <w:w w:val="105"/>
        </w:rPr>
        <w:t> </w:t>
      </w:r>
      <w:r>
        <w:rPr>
          <w:color w:val="231F20"/>
          <w:w w:val="105"/>
        </w:rPr>
        <w:t>relaciones</w:t>
      </w:r>
      <w:r>
        <w:rPr>
          <w:color w:val="231F20"/>
          <w:spacing w:val="-5"/>
          <w:w w:val="105"/>
        </w:rPr>
        <w:t> </w:t>
      </w:r>
      <w:r>
        <w:rPr>
          <w:color w:val="231F20"/>
          <w:w w:val="105"/>
        </w:rPr>
        <w:t>públicas</w:t>
      </w:r>
      <w:r>
        <w:rPr>
          <w:color w:val="231F20"/>
          <w:spacing w:val="-5"/>
          <w:w w:val="105"/>
        </w:rPr>
        <w:t> </w:t>
      </w:r>
      <w:r>
        <w:rPr>
          <w:color w:val="231F20"/>
          <w:w w:val="105"/>
        </w:rPr>
        <w:t>del</w:t>
      </w:r>
      <w:r>
        <w:rPr>
          <w:color w:val="231F20"/>
          <w:spacing w:val="-5"/>
          <w:w w:val="105"/>
        </w:rPr>
        <w:t> </w:t>
      </w:r>
      <w:r>
        <w:rPr>
          <w:color w:val="231F20"/>
          <w:w w:val="105"/>
        </w:rPr>
        <w:t>gobernante</w:t>
      </w:r>
      <w:r>
        <w:rPr>
          <w:color w:val="231F20"/>
          <w:spacing w:val="-5"/>
          <w:w w:val="105"/>
        </w:rPr>
        <w:t> </w:t>
      </w:r>
      <w:r>
        <w:rPr>
          <w:color w:val="231F20"/>
          <w:w w:val="105"/>
        </w:rPr>
        <w:t>y</w:t>
      </w:r>
      <w:r>
        <w:rPr>
          <w:color w:val="231F20"/>
          <w:spacing w:val="-5"/>
          <w:w w:val="105"/>
        </w:rPr>
        <w:t> </w:t>
      </w:r>
      <w:r>
        <w:rPr>
          <w:color w:val="231F20"/>
          <w:w w:val="105"/>
        </w:rPr>
        <w:t>logros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conside- </w:t>
      </w:r>
      <w:r>
        <w:rPr>
          <w:color w:val="231F20"/>
          <w:spacing w:val="3"/>
          <w:w w:val="105"/>
        </w:rPr>
        <w:t>ran </w:t>
      </w:r>
      <w:r>
        <w:rPr>
          <w:color w:val="231F20"/>
          <w:w w:val="105"/>
        </w:rPr>
        <w:t>relevantes en el</w:t>
      </w:r>
      <w:r>
        <w:rPr>
          <w:color w:val="231F20"/>
          <w:spacing w:val="7"/>
          <w:w w:val="105"/>
        </w:rPr>
        <w:t> </w:t>
      </w:r>
      <w:r>
        <w:rPr>
          <w:color w:val="231F20"/>
          <w:w w:val="105"/>
        </w:rPr>
        <w:t>periodo.</w:t>
      </w:r>
    </w:p>
    <w:p>
      <w:pPr>
        <w:pStyle w:val="BodyText"/>
        <w:spacing w:before="1"/>
        <w:rPr>
          <w:sz w:val="26"/>
        </w:rPr>
      </w:pPr>
    </w:p>
    <w:p>
      <w:pPr>
        <w:pStyle w:val="BodyText"/>
        <w:spacing w:line="285" w:lineRule="auto"/>
        <w:ind w:left="110" w:right="107"/>
        <w:jc w:val="both"/>
      </w:pPr>
      <w:r>
        <w:rPr>
          <w:color w:val="231F20"/>
          <w:w w:val="105"/>
        </w:rPr>
        <w:t>Se informa sobre la participación ciudadana a través del Consejo de Desarrollo </w:t>
      </w:r>
      <w:r>
        <w:rPr>
          <w:color w:val="231F20"/>
          <w:spacing w:val="-3"/>
          <w:w w:val="105"/>
        </w:rPr>
        <w:t>Mu- </w:t>
      </w:r>
      <w:r>
        <w:rPr>
          <w:color w:val="231F20"/>
          <w:w w:val="105"/>
        </w:rPr>
        <w:t>nicipal, </w:t>
      </w:r>
      <w:r>
        <w:rPr>
          <w:color w:val="231F20"/>
          <w:spacing w:val="2"/>
          <w:w w:val="105"/>
        </w:rPr>
        <w:t>figura </w:t>
      </w:r>
      <w:r>
        <w:rPr>
          <w:color w:val="231F20"/>
          <w:w w:val="105"/>
        </w:rPr>
        <w:t>necesaria para la aplicación de los recursos del ramos 33. Este tipo de participación es institucional y no pertenece a una actividad propia del gobierno o del partido.</w:t>
      </w:r>
      <w:r>
        <w:rPr>
          <w:color w:val="231F20"/>
          <w:spacing w:val="-18"/>
          <w:w w:val="105"/>
        </w:rPr>
        <w:t> </w:t>
      </w:r>
      <w:r>
        <w:rPr>
          <w:color w:val="231F20"/>
          <w:w w:val="105"/>
        </w:rPr>
        <w:t>Estos</w:t>
      </w:r>
      <w:r>
        <w:rPr>
          <w:color w:val="231F20"/>
          <w:spacing w:val="-18"/>
          <w:w w:val="105"/>
        </w:rPr>
        <w:t> </w:t>
      </w:r>
      <w:r>
        <w:rPr>
          <w:color w:val="231F20"/>
          <w:w w:val="105"/>
        </w:rPr>
        <w:t>se</w:t>
      </w:r>
      <w:r>
        <w:rPr>
          <w:color w:val="231F20"/>
          <w:spacing w:val="-18"/>
          <w:w w:val="105"/>
        </w:rPr>
        <w:t> </w:t>
      </w:r>
      <w:r>
        <w:rPr>
          <w:color w:val="231F20"/>
          <w:w w:val="105"/>
        </w:rPr>
        <w:t>valen</w:t>
      </w:r>
      <w:r>
        <w:rPr>
          <w:color w:val="231F20"/>
          <w:spacing w:val="-18"/>
          <w:w w:val="105"/>
        </w:rPr>
        <w:t> </w:t>
      </w:r>
      <w:r>
        <w:rPr>
          <w:color w:val="231F20"/>
          <w:w w:val="105"/>
        </w:rPr>
        <w:t>de</w:t>
      </w:r>
      <w:r>
        <w:rPr>
          <w:color w:val="231F20"/>
          <w:spacing w:val="-18"/>
          <w:w w:val="105"/>
        </w:rPr>
        <w:t> </w:t>
      </w:r>
      <w:r>
        <w:rPr>
          <w:color w:val="231F20"/>
          <w:w w:val="105"/>
        </w:rPr>
        <w:t>aquella</w:t>
      </w:r>
      <w:r>
        <w:rPr>
          <w:color w:val="231F20"/>
          <w:spacing w:val="-18"/>
          <w:w w:val="105"/>
        </w:rPr>
        <w:t> </w:t>
      </w:r>
      <w:r>
        <w:rPr>
          <w:color w:val="231F20"/>
          <w:w w:val="105"/>
        </w:rPr>
        <w:t>para</w:t>
      </w:r>
      <w:r>
        <w:rPr>
          <w:color w:val="231F20"/>
          <w:spacing w:val="-18"/>
          <w:w w:val="105"/>
        </w:rPr>
        <w:t> </w:t>
      </w:r>
      <w:r>
        <w:rPr>
          <w:color w:val="231F20"/>
          <w:w w:val="105"/>
        </w:rPr>
        <w:t>instrumentar</w:t>
      </w:r>
      <w:r>
        <w:rPr>
          <w:color w:val="231F20"/>
          <w:spacing w:val="-18"/>
          <w:w w:val="105"/>
        </w:rPr>
        <w:t> </w:t>
      </w:r>
      <w:r>
        <w:rPr>
          <w:color w:val="231F20"/>
          <w:w w:val="105"/>
        </w:rPr>
        <w:t>acciones</w:t>
      </w:r>
      <w:r>
        <w:rPr>
          <w:color w:val="231F20"/>
          <w:spacing w:val="-18"/>
          <w:w w:val="105"/>
        </w:rPr>
        <w:t> </w:t>
      </w:r>
      <w:r>
        <w:rPr>
          <w:color w:val="231F20"/>
          <w:w w:val="105"/>
        </w:rPr>
        <w:t>en</w:t>
      </w:r>
      <w:r>
        <w:rPr>
          <w:color w:val="231F20"/>
          <w:spacing w:val="-18"/>
          <w:w w:val="105"/>
        </w:rPr>
        <w:t> </w:t>
      </w:r>
      <w:r>
        <w:rPr>
          <w:color w:val="231F20"/>
          <w:w w:val="105"/>
        </w:rPr>
        <w:t>obras</w:t>
      </w:r>
      <w:r>
        <w:rPr>
          <w:color w:val="231F20"/>
          <w:spacing w:val="-18"/>
          <w:w w:val="105"/>
        </w:rPr>
        <w:t> </w:t>
      </w:r>
      <w:r>
        <w:rPr>
          <w:color w:val="231F20"/>
          <w:w w:val="105"/>
        </w:rPr>
        <w:t>públicas.</w:t>
      </w:r>
      <w:r>
        <w:rPr>
          <w:color w:val="231F20"/>
          <w:spacing w:val="-18"/>
          <w:w w:val="105"/>
        </w:rPr>
        <w:t> </w:t>
      </w:r>
      <w:r>
        <w:rPr>
          <w:color w:val="231F20"/>
          <w:w w:val="105"/>
        </w:rPr>
        <w:t>Reporta el</w:t>
      </w:r>
      <w:r>
        <w:rPr>
          <w:color w:val="231F20"/>
          <w:spacing w:val="-15"/>
          <w:w w:val="105"/>
        </w:rPr>
        <w:t> </w:t>
      </w:r>
      <w:r>
        <w:rPr>
          <w:color w:val="231F20"/>
          <w:w w:val="105"/>
        </w:rPr>
        <w:t>número</w:t>
      </w:r>
      <w:r>
        <w:rPr>
          <w:color w:val="231F20"/>
          <w:spacing w:val="-15"/>
          <w:w w:val="105"/>
        </w:rPr>
        <w:t> </w:t>
      </w:r>
      <w:r>
        <w:rPr>
          <w:color w:val="231F20"/>
          <w:w w:val="105"/>
        </w:rPr>
        <w:t>de</w:t>
      </w:r>
      <w:r>
        <w:rPr>
          <w:color w:val="231F20"/>
          <w:spacing w:val="-15"/>
          <w:w w:val="105"/>
        </w:rPr>
        <w:t> </w:t>
      </w:r>
      <w:r>
        <w:rPr>
          <w:color w:val="231F20"/>
          <w:w w:val="105"/>
        </w:rPr>
        <w:t>sesiones</w:t>
      </w:r>
      <w:r>
        <w:rPr>
          <w:color w:val="231F20"/>
          <w:spacing w:val="-15"/>
          <w:w w:val="105"/>
        </w:rPr>
        <w:t> </w:t>
      </w:r>
      <w:r>
        <w:rPr>
          <w:color w:val="231F20"/>
          <w:w w:val="105"/>
        </w:rPr>
        <w:t>de</w:t>
      </w:r>
      <w:r>
        <w:rPr>
          <w:color w:val="231F20"/>
          <w:spacing w:val="-15"/>
          <w:w w:val="105"/>
        </w:rPr>
        <w:t> </w:t>
      </w:r>
      <w:r>
        <w:rPr>
          <w:color w:val="231F20"/>
          <w:w w:val="105"/>
        </w:rPr>
        <w:t>cabildo</w:t>
      </w:r>
      <w:r>
        <w:rPr>
          <w:color w:val="231F20"/>
          <w:spacing w:val="-15"/>
          <w:w w:val="105"/>
        </w:rPr>
        <w:t> </w:t>
      </w:r>
      <w:r>
        <w:rPr>
          <w:color w:val="231F20"/>
          <w:w w:val="105"/>
        </w:rPr>
        <w:t>pero</w:t>
      </w:r>
      <w:r>
        <w:rPr>
          <w:color w:val="231F20"/>
          <w:spacing w:val="-15"/>
          <w:w w:val="105"/>
        </w:rPr>
        <w:t> </w:t>
      </w:r>
      <w:r>
        <w:rPr>
          <w:color w:val="231F20"/>
          <w:w w:val="105"/>
        </w:rPr>
        <w:t>no</w:t>
      </w:r>
      <w:r>
        <w:rPr>
          <w:color w:val="231F20"/>
          <w:spacing w:val="-15"/>
          <w:w w:val="105"/>
        </w:rPr>
        <w:t> </w:t>
      </w:r>
      <w:r>
        <w:rPr>
          <w:color w:val="231F20"/>
          <w:w w:val="105"/>
        </w:rPr>
        <w:t>las</w:t>
      </w:r>
      <w:r>
        <w:rPr>
          <w:color w:val="231F20"/>
          <w:spacing w:val="-15"/>
          <w:w w:val="105"/>
        </w:rPr>
        <w:t> </w:t>
      </w:r>
      <w:r>
        <w:rPr>
          <w:color w:val="231F20"/>
          <w:w w:val="105"/>
        </w:rPr>
        <w:t>decisiones</w:t>
      </w:r>
      <w:r>
        <w:rPr>
          <w:color w:val="231F20"/>
          <w:spacing w:val="-15"/>
          <w:w w:val="105"/>
        </w:rPr>
        <w:t> </w:t>
      </w:r>
      <w:r>
        <w:rPr>
          <w:color w:val="231F20"/>
          <w:w w:val="105"/>
        </w:rPr>
        <w:t>tomadas.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7"/>
          <w:w w:val="105"/>
        </w:rPr>
        <w:t> </w:t>
      </w:r>
      <w:r>
        <w:rPr>
          <w:color w:val="231F20"/>
          <w:w w:val="105"/>
        </w:rPr>
        <w:t>gobierno</w:t>
      </w:r>
      <w:r>
        <w:rPr>
          <w:color w:val="231F20"/>
          <w:spacing w:val="-7"/>
          <w:w w:val="105"/>
        </w:rPr>
        <w:t> </w:t>
      </w:r>
      <w:r>
        <w:rPr>
          <w:color w:val="231F20"/>
          <w:w w:val="105"/>
        </w:rPr>
        <w:t>municipal</w:t>
      </w:r>
      <w:r>
        <w:rPr>
          <w:color w:val="231F20"/>
          <w:spacing w:val="-7"/>
          <w:w w:val="105"/>
        </w:rPr>
        <w:t> </w:t>
      </w:r>
      <w:r>
        <w:rPr>
          <w:color w:val="231F20"/>
          <w:w w:val="105"/>
        </w:rPr>
        <w:t>ha</w:t>
      </w:r>
      <w:r>
        <w:rPr>
          <w:color w:val="231F20"/>
          <w:spacing w:val="-7"/>
          <w:w w:val="105"/>
        </w:rPr>
        <w:t> </w:t>
      </w:r>
      <w:r>
        <w:rPr>
          <w:color w:val="231F20"/>
          <w:w w:val="105"/>
        </w:rPr>
        <w:t>enfocado</w:t>
      </w:r>
      <w:r>
        <w:rPr>
          <w:color w:val="231F20"/>
          <w:spacing w:val="-7"/>
          <w:w w:val="105"/>
        </w:rPr>
        <w:t> </w:t>
      </w:r>
      <w:r>
        <w:rPr>
          <w:color w:val="231F20"/>
          <w:w w:val="105"/>
        </w:rPr>
        <w:t>la</w:t>
      </w:r>
      <w:r>
        <w:rPr>
          <w:color w:val="231F20"/>
          <w:spacing w:val="-7"/>
          <w:w w:val="105"/>
        </w:rPr>
        <w:t> </w:t>
      </w:r>
      <w:r>
        <w:rPr>
          <w:color w:val="231F20"/>
          <w:w w:val="105"/>
        </w:rPr>
        <w:t>aplicación</w:t>
      </w:r>
      <w:r>
        <w:rPr>
          <w:color w:val="231F20"/>
          <w:spacing w:val="-7"/>
          <w:w w:val="105"/>
        </w:rPr>
        <w:t> </w:t>
      </w:r>
      <w:r>
        <w:rPr>
          <w:color w:val="231F20"/>
          <w:w w:val="105"/>
        </w:rPr>
        <w:t>del</w:t>
      </w:r>
      <w:r>
        <w:rPr>
          <w:color w:val="231F20"/>
          <w:spacing w:val="-7"/>
          <w:w w:val="105"/>
        </w:rPr>
        <w:t> </w:t>
      </w:r>
      <w:r>
        <w:rPr>
          <w:color w:val="231F20"/>
          <w:w w:val="105"/>
        </w:rPr>
        <w:t>FISM</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construcción</w:t>
      </w:r>
      <w:r>
        <w:rPr>
          <w:color w:val="231F20"/>
          <w:spacing w:val="-7"/>
          <w:w w:val="105"/>
        </w:rPr>
        <w:t> </w:t>
      </w:r>
      <w:r>
        <w:rPr>
          <w:color w:val="231F20"/>
          <w:w w:val="105"/>
        </w:rPr>
        <w:t>de</w:t>
      </w:r>
      <w:r>
        <w:rPr>
          <w:color w:val="231F20"/>
          <w:spacing w:val="-7"/>
          <w:w w:val="105"/>
        </w:rPr>
        <w:t> </w:t>
      </w:r>
      <w:r>
        <w:rPr>
          <w:color w:val="231F20"/>
          <w:w w:val="105"/>
        </w:rPr>
        <w:t>obras en</w:t>
      </w:r>
      <w:r>
        <w:rPr>
          <w:color w:val="231F20"/>
          <w:spacing w:val="-12"/>
          <w:w w:val="105"/>
        </w:rPr>
        <w:t> </w:t>
      </w:r>
      <w:r>
        <w:rPr>
          <w:color w:val="231F20"/>
          <w:w w:val="105"/>
        </w:rPr>
        <w:t>escuelas,</w:t>
      </w:r>
      <w:r>
        <w:rPr>
          <w:color w:val="231F20"/>
          <w:spacing w:val="-12"/>
          <w:w w:val="105"/>
        </w:rPr>
        <w:t> </w:t>
      </w:r>
      <w:r>
        <w:rPr>
          <w:color w:val="231F20"/>
          <w:w w:val="105"/>
        </w:rPr>
        <w:t>pavimentación,</w:t>
      </w:r>
      <w:r>
        <w:rPr>
          <w:color w:val="231F20"/>
          <w:spacing w:val="-12"/>
          <w:w w:val="105"/>
        </w:rPr>
        <w:t> </w:t>
      </w:r>
      <w:r>
        <w:rPr>
          <w:color w:val="231F20"/>
          <w:w w:val="105"/>
        </w:rPr>
        <w:t>áreas</w:t>
      </w:r>
      <w:r>
        <w:rPr>
          <w:color w:val="231F20"/>
          <w:spacing w:val="-12"/>
          <w:w w:val="105"/>
        </w:rPr>
        <w:t> </w:t>
      </w:r>
      <w:r>
        <w:rPr>
          <w:color w:val="231F20"/>
          <w:w w:val="105"/>
        </w:rPr>
        <w:t>deportivas</w:t>
      </w:r>
      <w:r>
        <w:rPr>
          <w:color w:val="231F20"/>
          <w:spacing w:val="-12"/>
          <w:w w:val="105"/>
        </w:rPr>
        <w:t> </w:t>
      </w:r>
      <w:r>
        <w:rPr>
          <w:color w:val="231F20"/>
          <w:w w:val="105"/>
        </w:rPr>
        <w:t>y</w:t>
      </w:r>
      <w:r>
        <w:rPr>
          <w:color w:val="231F20"/>
          <w:spacing w:val="-12"/>
          <w:w w:val="105"/>
        </w:rPr>
        <w:t> </w:t>
      </w:r>
      <w:r>
        <w:rPr>
          <w:color w:val="231F20"/>
          <w:w w:val="105"/>
        </w:rPr>
        <w:t>parques.</w:t>
      </w:r>
      <w:r>
        <w:rPr>
          <w:color w:val="231F20"/>
          <w:spacing w:val="-12"/>
          <w:w w:val="105"/>
        </w:rPr>
        <w:t> </w:t>
      </w:r>
      <w:r>
        <w:rPr>
          <w:color w:val="231F20"/>
          <w:w w:val="105"/>
        </w:rPr>
        <w:t>Hay</w:t>
      </w:r>
      <w:r>
        <w:rPr>
          <w:color w:val="231F20"/>
          <w:spacing w:val="-12"/>
          <w:w w:val="105"/>
        </w:rPr>
        <w:t> </w:t>
      </w:r>
      <w:r>
        <w:rPr>
          <w:color w:val="231F20"/>
          <w:w w:val="105"/>
        </w:rPr>
        <w:t>algunas</w:t>
      </w:r>
      <w:r>
        <w:rPr>
          <w:color w:val="231F20"/>
          <w:spacing w:val="-12"/>
          <w:w w:val="105"/>
        </w:rPr>
        <w:t> </w:t>
      </w:r>
      <w:r>
        <w:rPr>
          <w:color w:val="231F20"/>
          <w:w w:val="105"/>
        </w:rPr>
        <w:t>obras</w:t>
      </w:r>
      <w:r>
        <w:rPr>
          <w:color w:val="231F20"/>
          <w:spacing w:val="-12"/>
          <w:w w:val="105"/>
        </w:rPr>
        <w:t> </w:t>
      </w:r>
      <w:r>
        <w:rPr>
          <w:color w:val="231F20"/>
          <w:w w:val="105"/>
        </w:rPr>
        <w:t>de</w:t>
      </w:r>
      <w:r>
        <w:rPr>
          <w:color w:val="231F20"/>
          <w:spacing w:val="-12"/>
          <w:w w:val="105"/>
        </w:rPr>
        <w:t> </w:t>
      </w:r>
      <w:r>
        <w:rPr>
          <w:color w:val="231F20"/>
          <w:w w:val="105"/>
        </w:rPr>
        <w:t>impacto, la construcción de un edificio para habilitarlo como maternidad como apoyo a</w:t>
      </w:r>
      <w:r>
        <w:rPr>
          <w:color w:val="231F20"/>
          <w:spacing w:val="-35"/>
          <w:w w:val="105"/>
        </w:rPr>
        <w:t> </w:t>
      </w:r>
      <w:r>
        <w:rPr>
          <w:color w:val="231F20"/>
          <w:w w:val="105"/>
        </w:rPr>
        <w:t>madres que trabajan y madres solteras. Parece esta acción identificada con algunos ejercicios similares</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partido</w:t>
      </w:r>
      <w:r>
        <w:rPr>
          <w:color w:val="231F20"/>
          <w:spacing w:val="-12"/>
          <w:w w:val="105"/>
        </w:rPr>
        <w:t> </w:t>
      </w:r>
      <w:r>
        <w:rPr>
          <w:color w:val="231F20"/>
          <w:w w:val="105"/>
        </w:rPr>
        <w:t>hace</w:t>
      </w:r>
      <w:r>
        <w:rPr>
          <w:color w:val="231F20"/>
          <w:spacing w:val="-12"/>
          <w:w w:val="105"/>
        </w:rPr>
        <w:t> </w:t>
      </w:r>
      <w:r>
        <w:rPr>
          <w:color w:val="231F20"/>
          <w:w w:val="105"/>
        </w:rPr>
        <w:t>en</w:t>
      </w:r>
      <w:r>
        <w:rPr>
          <w:color w:val="231F20"/>
          <w:spacing w:val="-12"/>
          <w:w w:val="105"/>
        </w:rPr>
        <w:t> </w:t>
      </w:r>
      <w:r>
        <w:rPr>
          <w:color w:val="231F20"/>
          <w:w w:val="105"/>
        </w:rPr>
        <w:t>otros</w:t>
      </w:r>
      <w:r>
        <w:rPr>
          <w:color w:val="231F20"/>
          <w:spacing w:val="-12"/>
          <w:w w:val="105"/>
        </w:rPr>
        <w:t> </w:t>
      </w:r>
      <w:r>
        <w:rPr>
          <w:color w:val="231F20"/>
          <w:w w:val="105"/>
        </w:rPr>
        <w:t>ámbitos.</w:t>
      </w:r>
      <w:r>
        <w:rPr>
          <w:color w:val="231F20"/>
          <w:spacing w:val="-12"/>
          <w:w w:val="105"/>
        </w:rPr>
        <w:t> </w:t>
      </w:r>
      <w:r>
        <w:rPr>
          <w:color w:val="231F20"/>
          <w:w w:val="105"/>
        </w:rPr>
        <w:t>Otra</w:t>
      </w:r>
      <w:r>
        <w:rPr>
          <w:color w:val="231F20"/>
          <w:spacing w:val="-12"/>
          <w:w w:val="105"/>
        </w:rPr>
        <w:t> </w:t>
      </w:r>
      <w:r>
        <w:rPr>
          <w:color w:val="231F20"/>
          <w:w w:val="105"/>
        </w:rPr>
        <w:t>obra</w:t>
      </w:r>
      <w:r>
        <w:rPr>
          <w:color w:val="231F20"/>
          <w:spacing w:val="-12"/>
          <w:w w:val="105"/>
        </w:rPr>
        <w:t> </w:t>
      </w:r>
      <w:r>
        <w:rPr>
          <w:color w:val="231F20"/>
          <w:w w:val="105"/>
        </w:rPr>
        <w:t>mayor</w:t>
      </w:r>
      <w:r>
        <w:rPr>
          <w:color w:val="231F20"/>
          <w:spacing w:val="-12"/>
          <w:w w:val="105"/>
        </w:rPr>
        <w:t> </w:t>
      </w:r>
      <w:r>
        <w:rPr>
          <w:color w:val="231F20"/>
          <w:w w:val="105"/>
        </w:rPr>
        <w:t>es</w:t>
      </w:r>
      <w:r>
        <w:rPr>
          <w:color w:val="231F20"/>
          <w:spacing w:val="-12"/>
          <w:w w:val="105"/>
        </w:rPr>
        <w:t> </w:t>
      </w:r>
      <w:r>
        <w:rPr>
          <w:color w:val="231F20"/>
          <w:w w:val="105"/>
        </w:rPr>
        <w:t>la</w:t>
      </w:r>
      <w:r>
        <w:rPr>
          <w:color w:val="231F20"/>
          <w:spacing w:val="-12"/>
          <w:w w:val="105"/>
        </w:rPr>
        <w:t> </w:t>
      </w:r>
      <w:r>
        <w:rPr>
          <w:color w:val="231F20"/>
          <w:w w:val="105"/>
        </w:rPr>
        <w:t>construcción</w:t>
      </w:r>
      <w:r>
        <w:rPr>
          <w:color w:val="231F20"/>
          <w:spacing w:val="-12"/>
          <w:w w:val="105"/>
        </w:rPr>
        <w:t> </w:t>
      </w:r>
      <w:r>
        <w:rPr>
          <w:color w:val="231F20"/>
          <w:w w:val="105"/>
        </w:rPr>
        <w:t>de</w:t>
      </w:r>
      <w:r>
        <w:rPr>
          <w:color w:val="231F20"/>
          <w:spacing w:val="-12"/>
          <w:w w:val="105"/>
        </w:rPr>
        <w:t> </w:t>
      </w:r>
      <w:r>
        <w:rPr>
          <w:color w:val="231F20"/>
          <w:w w:val="105"/>
        </w:rPr>
        <w:t>la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clínica para la </w:t>
      </w:r>
      <w:r>
        <w:rPr>
          <w:color w:val="231F20"/>
          <w:spacing w:val="-4"/>
          <w:w w:val="105"/>
        </w:rPr>
        <w:t>mujer. </w:t>
      </w:r>
      <w:r>
        <w:rPr>
          <w:color w:val="231F20"/>
          <w:w w:val="105"/>
        </w:rPr>
        <w:t>Ambas construcciones cuentan con arquitectura moderna. Otra obra</w:t>
      </w:r>
      <w:r>
        <w:rPr>
          <w:color w:val="231F20"/>
          <w:spacing w:val="-4"/>
          <w:w w:val="105"/>
        </w:rPr>
        <w:t> </w:t>
      </w:r>
      <w:r>
        <w:rPr>
          <w:color w:val="231F20"/>
          <w:w w:val="105"/>
        </w:rPr>
        <w:t>se</w:t>
      </w:r>
      <w:r>
        <w:rPr>
          <w:color w:val="231F20"/>
          <w:spacing w:val="-4"/>
          <w:w w:val="105"/>
        </w:rPr>
        <w:t> </w:t>
      </w:r>
      <w:r>
        <w:rPr>
          <w:color w:val="231F20"/>
          <w:w w:val="105"/>
        </w:rPr>
        <w:t>centra</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ampliación</w:t>
      </w:r>
      <w:r>
        <w:rPr>
          <w:color w:val="231F20"/>
          <w:spacing w:val="-4"/>
          <w:w w:val="105"/>
        </w:rPr>
        <w:t> </w:t>
      </w:r>
      <w:r>
        <w:rPr>
          <w:color w:val="231F20"/>
          <w:w w:val="105"/>
        </w:rPr>
        <w:t>del</w:t>
      </w:r>
      <w:r>
        <w:rPr>
          <w:color w:val="231F20"/>
          <w:spacing w:val="-4"/>
          <w:w w:val="105"/>
        </w:rPr>
        <w:t> </w:t>
      </w:r>
      <w:r>
        <w:rPr>
          <w:color w:val="231F20"/>
          <w:w w:val="105"/>
        </w:rPr>
        <w:t>Sistema</w:t>
      </w:r>
      <w:r>
        <w:rPr>
          <w:color w:val="231F20"/>
          <w:spacing w:val="-4"/>
          <w:w w:val="105"/>
        </w:rPr>
        <w:t> </w:t>
      </w:r>
      <w:r>
        <w:rPr>
          <w:color w:val="231F20"/>
          <w:w w:val="105"/>
        </w:rPr>
        <w:t>DIF</w:t>
      </w:r>
      <w:r>
        <w:rPr>
          <w:color w:val="231F20"/>
          <w:spacing w:val="-4"/>
          <w:w w:val="105"/>
        </w:rPr>
        <w:t> </w:t>
      </w:r>
      <w:r>
        <w:rPr>
          <w:color w:val="231F20"/>
          <w:w w:val="105"/>
        </w:rPr>
        <w:t>para</w:t>
      </w:r>
      <w:r>
        <w:rPr>
          <w:color w:val="231F20"/>
          <w:spacing w:val="-4"/>
          <w:w w:val="105"/>
        </w:rPr>
        <w:t> </w:t>
      </w:r>
      <w:r>
        <w:rPr>
          <w:color w:val="231F20"/>
          <w:w w:val="105"/>
        </w:rPr>
        <w:t>que</w:t>
      </w:r>
      <w:r>
        <w:rPr>
          <w:color w:val="231F20"/>
          <w:spacing w:val="-4"/>
          <w:w w:val="105"/>
        </w:rPr>
        <w:t> </w:t>
      </w:r>
      <w:r>
        <w:rPr>
          <w:color w:val="231F20"/>
          <w:w w:val="105"/>
        </w:rPr>
        <w:t>pueda</w:t>
      </w:r>
      <w:r>
        <w:rPr>
          <w:color w:val="231F20"/>
          <w:spacing w:val="-4"/>
          <w:w w:val="105"/>
        </w:rPr>
        <w:t> </w:t>
      </w:r>
      <w:r>
        <w:rPr>
          <w:color w:val="231F20"/>
          <w:w w:val="105"/>
        </w:rPr>
        <w:t>ofertar</w:t>
      </w:r>
      <w:r>
        <w:rPr>
          <w:color w:val="231F20"/>
          <w:spacing w:val="-4"/>
          <w:w w:val="105"/>
        </w:rPr>
        <w:t> </w:t>
      </w:r>
      <w:r>
        <w:rPr>
          <w:color w:val="231F20"/>
          <w:w w:val="105"/>
        </w:rPr>
        <w:t>talleres.</w:t>
      </w:r>
      <w:r>
        <w:rPr>
          <w:color w:val="231F20"/>
          <w:spacing w:val="-4"/>
          <w:w w:val="105"/>
        </w:rPr>
        <w:t> </w:t>
      </w:r>
      <w:r>
        <w:rPr>
          <w:color w:val="231F20"/>
          <w:w w:val="105"/>
        </w:rPr>
        <w:t>En</w:t>
      </w:r>
      <w:r>
        <w:rPr>
          <w:color w:val="231F20"/>
          <w:spacing w:val="-4"/>
          <w:w w:val="105"/>
        </w:rPr>
        <w:t> </w:t>
      </w:r>
      <w:r>
        <w:rPr>
          <w:color w:val="231F20"/>
          <w:w w:val="105"/>
        </w:rPr>
        <w:t>re- sumen podemos decir que las obras de construcción se han centrado en una población joven</w:t>
      </w:r>
      <w:r>
        <w:rPr>
          <w:color w:val="231F20"/>
          <w:spacing w:val="-29"/>
          <w:w w:val="105"/>
        </w:rPr>
        <w:t> </w:t>
      </w:r>
      <w:r>
        <w:rPr>
          <w:color w:val="231F20"/>
          <w:w w:val="105"/>
        </w:rPr>
        <w:t>y</w:t>
      </w:r>
      <w:r>
        <w:rPr>
          <w:color w:val="231F20"/>
          <w:spacing w:val="-29"/>
          <w:w w:val="105"/>
        </w:rPr>
        <w:t> </w:t>
      </w:r>
      <w:r>
        <w:rPr>
          <w:color w:val="231F20"/>
          <w:w w:val="105"/>
        </w:rPr>
        <w:t>de</w:t>
      </w:r>
      <w:r>
        <w:rPr>
          <w:color w:val="231F20"/>
          <w:spacing w:val="-29"/>
          <w:w w:val="105"/>
        </w:rPr>
        <w:t> </w:t>
      </w:r>
      <w:r>
        <w:rPr>
          <w:color w:val="231F20"/>
          <w:w w:val="105"/>
        </w:rPr>
        <w:t>mujeres.</w:t>
      </w:r>
    </w:p>
    <w:p>
      <w:pPr>
        <w:pStyle w:val="BodyText"/>
        <w:spacing w:before="1"/>
        <w:rPr>
          <w:sz w:val="26"/>
        </w:rPr>
      </w:pPr>
    </w:p>
    <w:p>
      <w:pPr>
        <w:pStyle w:val="BodyText"/>
        <w:spacing w:line="285" w:lineRule="auto"/>
        <w:ind w:left="110" w:right="106"/>
        <w:jc w:val="both"/>
      </w:pPr>
      <w:r>
        <w:rPr>
          <w:color w:val="231F20"/>
          <w:w w:val="105"/>
        </w:rPr>
        <w:t>Es</w:t>
      </w:r>
      <w:r>
        <w:rPr>
          <w:color w:val="231F20"/>
          <w:spacing w:val="-10"/>
          <w:w w:val="105"/>
        </w:rPr>
        <w:t> </w:t>
      </w:r>
      <w:r>
        <w:rPr>
          <w:color w:val="231F20"/>
          <w:w w:val="105"/>
        </w:rPr>
        <w:t>de</w:t>
      </w:r>
      <w:r>
        <w:rPr>
          <w:color w:val="231F20"/>
          <w:spacing w:val="-10"/>
          <w:w w:val="105"/>
        </w:rPr>
        <w:t> </w:t>
      </w:r>
      <w:r>
        <w:rPr>
          <w:color w:val="231F20"/>
          <w:spacing w:val="2"/>
          <w:w w:val="105"/>
        </w:rPr>
        <w:t>llamar</w:t>
      </w:r>
      <w:r>
        <w:rPr>
          <w:color w:val="231F20"/>
          <w:spacing w:val="-10"/>
          <w:w w:val="105"/>
        </w:rPr>
        <w:t> </w:t>
      </w:r>
      <w:r>
        <w:rPr>
          <w:color w:val="231F20"/>
          <w:w w:val="105"/>
        </w:rPr>
        <w:t>la</w:t>
      </w:r>
      <w:r>
        <w:rPr>
          <w:color w:val="231F20"/>
          <w:spacing w:val="-10"/>
          <w:w w:val="105"/>
        </w:rPr>
        <w:t> </w:t>
      </w:r>
      <w:r>
        <w:rPr>
          <w:color w:val="231F20"/>
          <w:w w:val="105"/>
        </w:rPr>
        <w:t>atención</w:t>
      </w:r>
      <w:r>
        <w:rPr>
          <w:color w:val="231F20"/>
          <w:spacing w:val="-10"/>
          <w:w w:val="105"/>
        </w:rPr>
        <w:t> </w:t>
      </w:r>
      <w:r>
        <w:rPr>
          <w:color w:val="231F20"/>
          <w:w w:val="105"/>
        </w:rPr>
        <w:t>que</w:t>
      </w:r>
      <w:r>
        <w:rPr>
          <w:color w:val="231F20"/>
          <w:spacing w:val="-10"/>
          <w:w w:val="105"/>
        </w:rPr>
        <w:t> </w:t>
      </w:r>
      <w:r>
        <w:rPr>
          <w:color w:val="231F20"/>
          <w:w w:val="105"/>
        </w:rPr>
        <w:t>un</w:t>
      </w:r>
      <w:r>
        <w:rPr>
          <w:color w:val="231F20"/>
          <w:spacing w:val="-10"/>
          <w:w w:val="105"/>
        </w:rPr>
        <w:t> </w:t>
      </w:r>
      <w:r>
        <w:rPr>
          <w:color w:val="231F20"/>
          <w:w w:val="105"/>
        </w:rPr>
        <w:t>gobierno</w:t>
      </w:r>
      <w:r>
        <w:rPr>
          <w:color w:val="231F20"/>
          <w:spacing w:val="-10"/>
          <w:w w:val="105"/>
        </w:rPr>
        <w:t> </w:t>
      </w:r>
      <w:r>
        <w:rPr>
          <w:color w:val="231F20"/>
          <w:w w:val="105"/>
        </w:rPr>
        <w:t>perredista</w:t>
      </w:r>
      <w:r>
        <w:rPr>
          <w:color w:val="231F20"/>
          <w:spacing w:val="-10"/>
          <w:w w:val="105"/>
        </w:rPr>
        <w:t> </w:t>
      </w:r>
      <w:r>
        <w:rPr>
          <w:color w:val="231F20"/>
          <w:w w:val="105"/>
        </w:rPr>
        <w:t>haya</w:t>
      </w:r>
      <w:r>
        <w:rPr>
          <w:color w:val="231F20"/>
          <w:spacing w:val="-10"/>
          <w:w w:val="105"/>
        </w:rPr>
        <w:t> </w:t>
      </w:r>
      <w:r>
        <w:rPr>
          <w:color w:val="231F20"/>
          <w:w w:val="105"/>
        </w:rPr>
        <w:t>entregado</w:t>
      </w:r>
      <w:r>
        <w:rPr>
          <w:color w:val="231F20"/>
          <w:spacing w:val="-10"/>
          <w:w w:val="105"/>
        </w:rPr>
        <w:t> </w:t>
      </w:r>
      <w:r>
        <w:rPr>
          <w:color w:val="231F20"/>
          <w:w w:val="105"/>
        </w:rPr>
        <w:t>en</w:t>
      </w:r>
      <w:r>
        <w:rPr>
          <w:color w:val="231F20"/>
          <w:spacing w:val="-10"/>
          <w:w w:val="105"/>
        </w:rPr>
        <w:t> </w:t>
      </w:r>
      <w:r>
        <w:rPr>
          <w:color w:val="231F20"/>
          <w:w w:val="105"/>
        </w:rPr>
        <w:t>comodato</w:t>
      </w:r>
      <w:r>
        <w:rPr>
          <w:color w:val="231F20"/>
          <w:spacing w:val="-10"/>
          <w:w w:val="105"/>
        </w:rPr>
        <w:t> </w:t>
      </w:r>
      <w:r>
        <w:rPr>
          <w:color w:val="231F20"/>
          <w:w w:val="105"/>
        </w:rPr>
        <w:t>la</w:t>
      </w:r>
      <w:r>
        <w:rPr>
          <w:color w:val="231F20"/>
          <w:spacing w:val="-10"/>
          <w:w w:val="105"/>
        </w:rPr>
        <w:t> </w:t>
      </w:r>
      <w:r>
        <w:rPr>
          <w:color w:val="231F20"/>
          <w:w w:val="105"/>
        </w:rPr>
        <w:t>ad- ministración de la guardería, pues el ideal del partido es la administración directa por parte</w:t>
      </w:r>
      <w:r>
        <w:rPr>
          <w:color w:val="231F20"/>
          <w:spacing w:val="-8"/>
          <w:w w:val="105"/>
        </w:rPr>
        <w:t> </w:t>
      </w:r>
      <w:r>
        <w:rPr>
          <w:color w:val="231F20"/>
          <w:w w:val="105"/>
        </w:rPr>
        <w:t>del</w:t>
      </w:r>
      <w:r>
        <w:rPr>
          <w:color w:val="231F20"/>
          <w:spacing w:val="-8"/>
          <w:w w:val="105"/>
        </w:rPr>
        <w:t> </w:t>
      </w:r>
      <w:r>
        <w:rPr>
          <w:color w:val="231F20"/>
          <w:spacing w:val="-2"/>
          <w:w w:val="105"/>
        </w:rPr>
        <w:t>gobierno.</w:t>
      </w:r>
      <w:r>
        <w:rPr>
          <w:color w:val="231F20"/>
          <w:spacing w:val="-8"/>
          <w:w w:val="105"/>
        </w:rPr>
        <w:t> </w:t>
      </w:r>
      <w:r>
        <w:rPr>
          <w:color w:val="231F20"/>
          <w:w w:val="105"/>
        </w:rPr>
        <w:t>Esto</w:t>
      </w:r>
      <w:r>
        <w:rPr>
          <w:color w:val="231F20"/>
          <w:spacing w:val="-8"/>
          <w:w w:val="105"/>
        </w:rPr>
        <w:t> </w:t>
      </w:r>
      <w:r>
        <w:rPr>
          <w:color w:val="231F20"/>
          <w:w w:val="105"/>
        </w:rPr>
        <w:t>nos</w:t>
      </w:r>
      <w:r>
        <w:rPr>
          <w:color w:val="231F20"/>
          <w:spacing w:val="-8"/>
          <w:w w:val="105"/>
        </w:rPr>
        <w:t> </w:t>
      </w:r>
      <w:r>
        <w:rPr>
          <w:color w:val="231F20"/>
          <w:w w:val="105"/>
        </w:rPr>
        <w:t>sirve</w:t>
      </w:r>
      <w:r>
        <w:rPr>
          <w:color w:val="231F20"/>
          <w:spacing w:val="-8"/>
          <w:w w:val="105"/>
        </w:rPr>
        <w:t> </w:t>
      </w:r>
      <w:r>
        <w:rPr>
          <w:color w:val="231F20"/>
          <w:w w:val="105"/>
        </w:rPr>
        <w:t>para</w:t>
      </w:r>
      <w:r>
        <w:rPr>
          <w:color w:val="231F20"/>
          <w:spacing w:val="-8"/>
          <w:w w:val="105"/>
        </w:rPr>
        <w:t> </w:t>
      </w:r>
      <w:r>
        <w:rPr>
          <w:color w:val="231F20"/>
          <w:w w:val="105"/>
        </w:rPr>
        <w:t>ilustrar</w:t>
      </w:r>
      <w:r>
        <w:rPr>
          <w:color w:val="231F20"/>
          <w:spacing w:val="-8"/>
          <w:w w:val="105"/>
        </w:rPr>
        <w:t> </w:t>
      </w:r>
      <w:r>
        <w:rPr>
          <w:color w:val="231F20"/>
          <w:w w:val="105"/>
        </w:rPr>
        <w:t>más</w:t>
      </w:r>
      <w:r>
        <w:rPr>
          <w:color w:val="231F20"/>
          <w:spacing w:val="-8"/>
          <w:w w:val="105"/>
        </w:rPr>
        <w:t> </w:t>
      </w:r>
      <w:r>
        <w:rPr>
          <w:color w:val="231F20"/>
          <w:w w:val="105"/>
        </w:rPr>
        <w:t>la</w:t>
      </w:r>
      <w:r>
        <w:rPr>
          <w:color w:val="231F20"/>
          <w:spacing w:val="-8"/>
          <w:w w:val="105"/>
        </w:rPr>
        <w:t> </w:t>
      </w:r>
      <w:r>
        <w:rPr>
          <w:color w:val="231F20"/>
          <w:w w:val="105"/>
        </w:rPr>
        <w:t>separación</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establece</w:t>
      </w:r>
      <w:r>
        <w:rPr>
          <w:color w:val="231F20"/>
          <w:spacing w:val="-8"/>
          <w:w w:val="105"/>
        </w:rPr>
        <w:t> </w:t>
      </w:r>
      <w:r>
        <w:rPr>
          <w:color w:val="231F20"/>
          <w:w w:val="105"/>
        </w:rPr>
        <w:t>entre el</w:t>
      </w:r>
      <w:r>
        <w:rPr>
          <w:color w:val="231F20"/>
          <w:spacing w:val="-10"/>
          <w:w w:val="105"/>
        </w:rPr>
        <w:t> </w:t>
      </w:r>
      <w:r>
        <w:rPr>
          <w:color w:val="231F20"/>
          <w:w w:val="105"/>
        </w:rPr>
        <w:t>partido</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gobierno,</w:t>
      </w:r>
      <w:r>
        <w:rPr>
          <w:color w:val="231F20"/>
          <w:spacing w:val="-10"/>
          <w:w w:val="105"/>
        </w:rPr>
        <w:t> </w:t>
      </w:r>
      <w:r>
        <w:rPr>
          <w:color w:val="231F20"/>
          <w:w w:val="105"/>
        </w:rPr>
        <w:t>pues</w:t>
      </w:r>
      <w:r>
        <w:rPr>
          <w:color w:val="231F20"/>
          <w:spacing w:val="-10"/>
          <w:w w:val="105"/>
        </w:rPr>
        <w:t> </w:t>
      </w:r>
      <w:r>
        <w:rPr>
          <w:color w:val="231F20"/>
          <w:w w:val="105"/>
        </w:rPr>
        <w:t>aquí</w:t>
      </w:r>
      <w:r>
        <w:rPr>
          <w:color w:val="231F20"/>
          <w:spacing w:val="-10"/>
          <w:w w:val="105"/>
        </w:rPr>
        <w:t> </w:t>
      </w:r>
      <w:r>
        <w:rPr>
          <w:color w:val="231F20"/>
          <w:w w:val="105"/>
        </w:rPr>
        <w:t>en</w:t>
      </w:r>
      <w:r>
        <w:rPr>
          <w:color w:val="231F20"/>
          <w:spacing w:val="-10"/>
          <w:w w:val="105"/>
        </w:rPr>
        <w:t> </w:t>
      </w:r>
      <w:r>
        <w:rPr>
          <w:color w:val="231F20"/>
          <w:w w:val="105"/>
        </w:rPr>
        <w:t>este</w:t>
      </w:r>
      <w:r>
        <w:rPr>
          <w:color w:val="231F20"/>
          <w:spacing w:val="-10"/>
          <w:w w:val="105"/>
        </w:rPr>
        <w:t> </w:t>
      </w:r>
      <w:r>
        <w:rPr>
          <w:color w:val="231F20"/>
          <w:w w:val="105"/>
        </w:rPr>
        <w:t>caso,</w:t>
      </w:r>
      <w:r>
        <w:rPr>
          <w:color w:val="231F20"/>
          <w:spacing w:val="-10"/>
          <w:w w:val="105"/>
        </w:rPr>
        <w:t> </w:t>
      </w:r>
      <w:r>
        <w:rPr>
          <w:color w:val="231F20"/>
          <w:w w:val="105"/>
        </w:rPr>
        <w:t>sobresale</w:t>
      </w:r>
      <w:r>
        <w:rPr>
          <w:color w:val="231F20"/>
          <w:spacing w:val="-10"/>
          <w:w w:val="105"/>
        </w:rPr>
        <w:t> </w:t>
      </w:r>
      <w:r>
        <w:rPr>
          <w:color w:val="231F20"/>
          <w:w w:val="105"/>
        </w:rPr>
        <w:t>el</w:t>
      </w:r>
      <w:r>
        <w:rPr>
          <w:color w:val="231F20"/>
          <w:spacing w:val="-10"/>
          <w:w w:val="105"/>
        </w:rPr>
        <w:t> </w:t>
      </w:r>
      <w:r>
        <w:rPr>
          <w:color w:val="231F20"/>
          <w:w w:val="105"/>
        </w:rPr>
        <w:t>perfil</w:t>
      </w:r>
      <w:r>
        <w:rPr>
          <w:color w:val="231F20"/>
          <w:spacing w:val="-10"/>
          <w:w w:val="105"/>
        </w:rPr>
        <w:t> </w:t>
      </w:r>
      <w:r>
        <w:rPr>
          <w:color w:val="231F20"/>
          <w:w w:val="105"/>
        </w:rPr>
        <w:t>del</w:t>
      </w:r>
      <w:r>
        <w:rPr>
          <w:color w:val="231F20"/>
          <w:spacing w:val="-10"/>
          <w:w w:val="105"/>
        </w:rPr>
        <w:t> </w:t>
      </w:r>
      <w:r>
        <w:rPr>
          <w:color w:val="231F20"/>
          <w:w w:val="105"/>
        </w:rPr>
        <w:t>presidente,</w:t>
      </w:r>
      <w:r>
        <w:rPr>
          <w:color w:val="231F20"/>
          <w:spacing w:val="-10"/>
          <w:w w:val="105"/>
        </w:rPr>
        <w:t> </w:t>
      </w:r>
      <w:r>
        <w:rPr>
          <w:color w:val="231F20"/>
          <w:w w:val="105"/>
        </w:rPr>
        <w:t>quien es</w:t>
      </w:r>
      <w:r>
        <w:rPr>
          <w:color w:val="231F20"/>
          <w:spacing w:val="-14"/>
          <w:w w:val="105"/>
        </w:rPr>
        <w:t> </w:t>
      </w:r>
      <w:r>
        <w:rPr>
          <w:color w:val="231F20"/>
          <w:w w:val="105"/>
        </w:rPr>
        <w:t>empresario</w:t>
      </w:r>
      <w:r>
        <w:rPr>
          <w:color w:val="231F20"/>
          <w:spacing w:val="-14"/>
          <w:w w:val="105"/>
        </w:rPr>
        <w:t> </w:t>
      </w:r>
      <w:r>
        <w:rPr>
          <w:color w:val="231F20"/>
          <w:w w:val="105"/>
        </w:rPr>
        <w:t>y</w:t>
      </w:r>
      <w:r>
        <w:rPr>
          <w:color w:val="231F20"/>
          <w:spacing w:val="-14"/>
          <w:w w:val="105"/>
        </w:rPr>
        <w:t> </w:t>
      </w:r>
      <w:r>
        <w:rPr>
          <w:color w:val="231F20"/>
          <w:w w:val="105"/>
        </w:rPr>
        <w:t>tiene</w:t>
      </w:r>
      <w:r>
        <w:rPr>
          <w:color w:val="231F20"/>
          <w:spacing w:val="-14"/>
          <w:w w:val="105"/>
        </w:rPr>
        <w:t> </w:t>
      </w:r>
      <w:r>
        <w:rPr>
          <w:color w:val="231F20"/>
          <w:w w:val="105"/>
        </w:rPr>
        <w:t>esa</w:t>
      </w:r>
      <w:r>
        <w:rPr>
          <w:color w:val="231F20"/>
          <w:spacing w:val="-14"/>
          <w:w w:val="105"/>
        </w:rPr>
        <w:t> </w:t>
      </w:r>
      <w:r>
        <w:rPr>
          <w:color w:val="231F20"/>
          <w:w w:val="105"/>
        </w:rPr>
        <w:t>condición</w:t>
      </w:r>
      <w:r>
        <w:rPr>
          <w:color w:val="231F20"/>
          <w:spacing w:val="-14"/>
          <w:w w:val="105"/>
        </w:rPr>
        <w:t> </w:t>
      </w:r>
      <w:r>
        <w:rPr>
          <w:color w:val="231F20"/>
          <w:w w:val="105"/>
        </w:rPr>
        <w:t>misma</w:t>
      </w:r>
      <w:r>
        <w:rPr>
          <w:color w:val="231F20"/>
          <w:spacing w:val="-14"/>
          <w:w w:val="105"/>
        </w:rPr>
        <w:t> </w:t>
      </w:r>
      <w:r>
        <w:rPr>
          <w:color w:val="231F20"/>
          <w:w w:val="105"/>
        </w:rPr>
        <w:t>que</w:t>
      </w:r>
      <w:r>
        <w:rPr>
          <w:color w:val="231F20"/>
          <w:spacing w:val="-14"/>
          <w:w w:val="105"/>
        </w:rPr>
        <w:t> </w:t>
      </w:r>
      <w:r>
        <w:rPr>
          <w:color w:val="231F20"/>
          <w:w w:val="105"/>
        </w:rPr>
        <w:t>aplica</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asuntos</w:t>
      </w:r>
      <w:r>
        <w:rPr>
          <w:color w:val="231F20"/>
          <w:spacing w:val="-14"/>
          <w:w w:val="105"/>
        </w:rPr>
        <w:t> </w:t>
      </w:r>
      <w:r>
        <w:rPr>
          <w:color w:val="231F20"/>
          <w:w w:val="105"/>
        </w:rPr>
        <w:t>públicos.</w:t>
      </w:r>
    </w:p>
    <w:p>
      <w:pPr>
        <w:pStyle w:val="BodyText"/>
        <w:spacing w:before="1"/>
        <w:rPr>
          <w:sz w:val="26"/>
        </w:rPr>
      </w:pPr>
    </w:p>
    <w:p>
      <w:pPr>
        <w:pStyle w:val="BodyText"/>
        <w:spacing w:line="285" w:lineRule="auto"/>
        <w:ind w:left="110" w:right="109"/>
        <w:jc w:val="both"/>
      </w:pPr>
      <w:r>
        <w:rPr>
          <w:color w:val="231F20"/>
          <w:w w:val="105"/>
        </w:rPr>
        <w:t>En general, con estos puntos que se han desarrollado se comparte la conclusión que Margarita Morales presenta:</w:t>
      </w:r>
    </w:p>
    <w:p>
      <w:pPr>
        <w:pStyle w:val="BodyText"/>
        <w:spacing w:line="285" w:lineRule="auto" w:before="1"/>
        <w:ind w:left="677" w:right="107"/>
        <w:jc w:val="both"/>
      </w:pPr>
      <w:r>
        <w:rPr>
          <w:color w:val="231F20"/>
          <w:w w:val="105"/>
        </w:rPr>
        <w:t>El</w:t>
      </w:r>
      <w:r>
        <w:rPr>
          <w:color w:val="231F20"/>
          <w:spacing w:val="-6"/>
          <w:w w:val="105"/>
        </w:rPr>
        <w:t> </w:t>
      </w:r>
      <w:r>
        <w:rPr>
          <w:color w:val="231F20"/>
          <w:w w:val="105"/>
        </w:rPr>
        <w:t>comportamiento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gobiernos</w:t>
      </w:r>
      <w:r>
        <w:rPr>
          <w:color w:val="231F20"/>
          <w:spacing w:val="-6"/>
          <w:w w:val="105"/>
        </w:rPr>
        <w:t> </w:t>
      </w:r>
      <w:r>
        <w:rPr>
          <w:color w:val="231F20"/>
          <w:w w:val="105"/>
        </w:rPr>
        <w:t>del</w:t>
      </w:r>
      <w:r>
        <w:rPr>
          <w:color w:val="231F20"/>
          <w:spacing w:val="-6"/>
          <w:w w:val="105"/>
        </w:rPr>
        <w:t> </w:t>
      </w:r>
      <w:r>
        <w:rPr>
          <w:color w:val="231F20"/>
          <w:w w:val="105"/>
        </w:rPr>
        <w:t>PRD</w:t>
      </w:r>
      <w:r>
        <w:rPr>
          <w:color w:val="231F20"/>
          <w:spacing w:val="-6"/>
          <w:w w:val="105"/>
        </w:rPr>
        <w:t> </w:t>
      </w:r>
      <w:r>
        <w:rPr>
          <w:color w:val="231F20"/>
          <w:w w:val="105"/>
        </w:rPr>
        <w:t>es</w:t>
      </w:r>
      <w:r>
        <w:rPr>
          <w:color w:val="231F20"/>
          <w:spacing w:val="-6"/>
          <w:w w:val="105"/>
        </w:rPr>
        <w:t> </w:t>
      </w:r>
      <w:r>
        <w:rPr>
          <w:color w:val="231F20"/>
          <w:w w:val="105"/>
        </w:rPr>
        <w:t>quizá</w:t>
      </w:r>
      <w:r>
        <w:rPr>
          <w:color w:val="231F20"/>
          <w:spacing w:val="-6"/>
          <w:w w:val="105"/>
        </w:rPr>
        <w:t> </w:t>
      </w:r>
      <w:r>
        <w:rPr>
          <w:color w:val="231F20"/>
          <w:w w:val="105"/>
        </w:rPr>
        <w:t>el</w:t>
      </w:r>
      <w:r>
        <w:rPr>
          <w:color w:val="231F20"/>
          <w:spacing w:val="-6"/>
          <w:w w:val="105"/>
        </w:rPr>
        <w:t> </w:t>
      </w:r>
      <w:r>
        <w:rPr>
          <w:color w:val="231F20"/>
          <w:w w:val="105"/>
        </w:rPr>
        <w:t>más</w:t>
      </w:r>
      <w:r>
        <w:rPr>
          <w:color w:val="231F20"/>
          <w:spacing w:val="-6"/>
          <w:w w:val="105"/>
        </w:rPr>
        <w:t> </w:t>
      </w:r>
      <w:r>
        <w:rPr>
          <w:color w:val="231F20"/>
          <w:w w:val="105"/>
        </w:rPr>
        <w:t>interesante,</w:t>
      </w:r>
      <w:r>
        <w:rPr>
          <w:color w:val="231F20"/>
          <w:spacing w:val="-6"/>
          <w:w w:val="105"/>
        </w:rPr>
        <w:t> </w:t>
      </w:r>
      <w:r>
        <w:rPr>
          <w:color w:val="231F20"/>
          <w:w w:val="105"/>
        </w:rPr>
        <w:t>pues</w:t>
      </w:r>
      <w:r>
        <w:rPr>
          <w:color w:val="231F20"/>
          <w:spacing w:val="-6"/>
          <w:w w:val="105"/>
        </w:rPr>
        <w:t> </w:t>
      </w:r>
      <w:r>
        <w:rPr>
          <w:color w:val="231F20"/>
          <w:w w:val="105"/>
        </w:rPr>
        <w:t>a pesar del importante crecimiento de su presencia electoral en todos los niveles de gobierno, </w:t>
      </w:r>
      <w:r>
        <w:rPr>
          <w:color w:val="231F20"/>
          <w:spacing w:val="2"/>
          <w:w w:val="105"/>
        </w:rPr>
        <w:t>al </w:t>
      </w:r>
      <w:r>
        <w:rPr>
          <w:color w:val="231F20"/>
          <w:w w:val="105"/>
        </w:rPr>
        <w:t>parecer no tiene un programa de gobierno que pueda ser </w:t>
      </w:r>
      <w:r>
        <w:rPr>
          <w:color w:val="231F20"/>
          <w:spacing w:val="-2"/>
          <w:w w:val="105"/>
        </w:rPr>
        <w:t>gene- </w:t>
      </w:r>
      <w:r>
        <w:rPr>
          <w:color w:val="231F20"/>
          <w:w w:val="105"/>
        </w:rPr>
        <w:t>ralizable</w:t>
      </w:r>
      <w:r>
        <w:rPr>
          <w:color w:val="231F20"/>
          <w:spacing w:val="-7"/>
          <w:w w:val="105"/>
        </w:rPr>
        <w:t> </w:t>
      </w:r>
      <w:r>
        <w:rPr>
          <w:color w:val="231F20"/>
          <w:w w:val="105"/>
        </w:rPr>
        <w:t>a</w:t>
      </w:r>
      <w:r>
        <w:rPr>
          <w:color w:val="231F20"/>
          <w:spacing w:val="-7"/>
          <w:w w:val="105"/>
        </w:rPr>
        <w:t> </w:t>
      </w:r>
      <w:r>
        <w:rPr>
          <w:color w:val="231F20"/>
          <w:w w:val="105"/>
        </w:rPr>
        <w:t>todos</w:t>
      </w:r>
      <w:r>
        <w:rPr>
          <w:color w:val="231F20"/>
          <w:spacing w:val="-7"/>
          <w:w w:val="105"/>
        </w:rPr>
        <w:t> </w:t>
      </w:r>
      <w:r>
        <w:rPr>
          <w:color w:val="231F20"/>
          <w:w w:val="105"/>
        </w:rPr>
        <w:t>los</w:t>
      </w:r>
      <w:r>
        <w:rPr>
          <w:color w:val="231F20"/>
          <w:spacing w:val="-7"/>
          <w:w w:val="105"/>
        </w:rPr>
        <w:t> </w:t>
      </w:r>
      <w:r>
        <w:rPr>
          <w:color w:val="231F20"/>
          <w:w w:val="105"/>
        </w:rPr>
        <w:t>gobiernos</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partido</w:t>
      </w:r>
      <w:r>
        <w:rPr>
          <w:color w:val="231F20"/>
          <w:spacing w:val="-7"/>
          <w:w w:val="105"/>
        </w:rPr>
        <w:t> </w:t>
      </w:r>
      <w:r>
        <w:rPr>
          <w:color w:val="231F20"/>
          <w:w w:val="105"/>
        </w:rPr>
        <w:t>o,</w:t>
      </w:r>
      <w:r>
        <w:rPr>
          <w:color w:val="231F20"/>
          <w:spacing w:val="-7"/>
          <w:w w:val="105"/>
        </w:rPr>
        <w:t> </w:t>
      </w:r>
      <w:r>
        <w:rPr>
          <w:color w:val="231F20"/>
          <w:w w:val="105"/>
        </w:rPr>
        <w:t>teniéndolo,</w:t>
      </w:r>
      <w:r>
        <w:rPr>
          <w:color w:val="231F20"/>
          <w:spacing w:val="-7"/>
          <w:w w:val="105"/>
        </w:rPr>
        <w:t> </w:t>
      </w:r>
      <w:r>
        <w:rPr>
          <w:color w:val="231F20"/>
          <w:w w:val="105"/>
        </w:rPr>
        <w:t>los</w:t>
      </w:r>
      <w:r>
        <w:rPr>
          <w:color w:val="231F20"/>
          <w:spacing w:val="-7"/>
          <w:w w:val="105"/>
        </w:rPr>
        <w:t> </w:t>
      </w:r>
      <w:r>
        <w:rPr>
          <w:color w:val="231F20"/>
          <w:w w:val="105"/>
        </w:rPr>
        <w:t>gobernantes</w:t>
      </w:r>
      <w:r>
        <w:rPr>
          <w:color w:val="231F20"/>
          <w:spacing w:val="-7"/>
          <w:w w:val="105"/>
        </w:rPr>
        <w:t> </w:t>
      </w:r>
      <w:r>
        <w:rPr>
          <w:color w:val="231F20"/>
          <w:w w:val="105"/>
        </w:rPr>
        <w:t>de</w:t>
      </w:r>
      <w:r>
        <w:rPr>
          <w:color w:val="231F20"/>
          <w:spacing w:val="-7"/>
          <w:w w:val="105"/>
        </w:rPr>
        <w:t> </w:t>
      </w:r>
      <w:r>
        <w:rPr>
          <w:color w:val="231F20"/>
          <w:w w:val="105"/>
        </w:rPr>
        <w:t>su partido</w:t>
      </w:r>
      <w:r>
        <w:rPr>
          <w:color w:val="231F20"/>
          <w:spacing w:val="-24"/>
          <w:w w:val="105"/>
        </w:rPr>
        <w:t> </w:t>
      </w:r>
      <w:r>
        <w:rPr>
          <w:color w:val="231F20"/>
          <w:w w:val="105"/>
        </w:rPr>
        <w:t>no</w:t>
      </w:r>
      <w:r>
        <w:rPr>
          <w:color w:val="231F20"/>
          <w:spacing w:val="-24"/>
          <w:w w:val="105"/>
        </w:rPr>
        <w:t> </w:t>
      </w:r>
      <w:r>
        <w:rPr>
          <w:color w:val="231F20"/>
          <w:w w:val="105"/>
        </w:rPr>
        <w:t>lo</w:t>
      </w:r>
      <w:r>
        <w:rPr>
          <w:color w:val="231F20"/>
          <w:spacing w:val="-24"/>
          <w:w w:val="105"/>
        </w:rPr>
        <w:t> </w:t>
      </w:r>
      <w:r>
        <w:rPr>
          <w:color w:val="231F20"/>
          <w:w w:val="105"/>
        </w:rPr>
        <w:t>respetan.</w:t>
      </w:r>
      <w:r>
        <w:rPr>
          <w:color w:val="231F20"/>
          <w:spacing w:val="-24"/>
          <w:w w:val="105"/>
        </w:rPr>
        <w:t> </w:t>
      </w:r>
      <w:r>
        <w:rPr>
          <w:color w:val="231F20"/>
          <w:w w:val="105"/>
        </w:rPr>
        <w:t>Ambas</w:t>
      </w:r>
      <w:r>
        <w:rPr>
          <w:color w:val="231F20"/>
          <w:spacing w:val="-24"/>
          <w:w w:val="105"/>
        </w:rPr>
        <w:t> </w:t>
      </w:r>
      <w:r>
        <w:rPr>
          <w:color w:val="231F20"/>
          <w:w w:val="105"/>
        </w:rPr>
        <w:t>posibilidades</w:t>
      </w:r>
      <w:r>
        <w:rPr>
          <w:color w:val="231F20"/>
          <w:spacing w:val="-24"/>
          <w:w w:val="105"/>
        </w:rPr>
        <w:t> </w:t>
      </w:r>
      <w:r>
        <w:rPr>
          <w:color w:val="231F20"/>
          <w:w w:val="105"/>
        </w:rPr>
        <w:t>reflejan</w:t>
      </w:r>
      <w:r>
        <w:rPr>
          <w:color w:val="231F20"/>
          <w:spacing w:val="-24"/>
          <w:w w:val="105"/>
        </w:rPr>
        <w:t> </w:t>
      </w:r>
      <w:r>
        <w:rPr>
          <w:color w:val="231F20"/>
          <w:w w:val="105"/>
        </w:rPr>
        <w:t>la</w:t>
      </w:r>
      <w:r>
        <w:rPr>
          <w:color w:val="231F20"/>
          <w:spacing w:val="-24"/>
          <w:w w:val="105"/>
        </w:rPr>
        <w:t> </w:t>
      </w:r>
      <w:r>
        <w:rPr>
          <w:color w:val="231F20"/>
          <w:w w:val="105"/>
        </w:rPr>
        <w:t>situación</w:t>
      </w:r>
      <w:r>
        <w:rPr>
          <w:color w:val="231F20"/>
          <w:spacing w:val="-24"/>
          <w:w w:val="105"/>
        </w:rPr>
        <w:t> </w:t>
      </w:r>
      <w:r>
        <w:rPr>
          <w:color w:val="231F20"/>
          <w:w w:val="105"/>
        </w:rPr>
        <w:t>política</w:t>
      </w:r>
      <w:r>
        <w:rPr>
          <w:color w:val="231F20"/>
          <w:spacing w:val="-24"/>
          <w:w w:val="105"/>
        </w:rPr>
        <w:t> </w:t>
      </w:r>
      <w:r>
        <w:rPr>
          <w:color w:val="231F20"/>
          <w:w w:val="105"/>
        </w:rPr>
        <w:t>del</w:t>
      </w:r>
      <w:r>
        <w:rPr>
          <w:color w:val="231F20"/>
          <w:spacing w:val="-24"/>
          <w:w w:val="105"/>
        </w:rPr>
        <w:t> </w:t>
      </w:r>
      <w:r>
        <w:rPr>
          <w:color w:val="231F20"/>
          <w:w w:val="105"/>
        </w:rPr>
        <w:t>PRD: fragilidad</w:t>
      </w:r>
      <w:r>
        <w:rPr>
          <w:color w:val="231F20"/>
          <w:spacing w:val="-10"/>
          <w:w w:val="105"/>
        </w:rPr>
        <w:t> </w:t>
      </w:r>
      <w:r>
        <w:rPr>
          <w:color w:val="231F20"/>
          <w:w w:val="105"/>
        </w:rPr>
        <w:t>electoral,</w:t>
      </w:r>
      <w:r>
        <w:rPr>
          <w:color w:val="231F20"/>
          <w:spacing w:val="-10"/>
          <w:w w:val="105"/>
        </w:rPr>
        <w:t> </w:t>
      </w:r>
      <w:r>
        <w:rPr>
          <w:color w:val="231F20"/>
          <w:w w:val="105"/>
        </w:rPr>
        <w:t>divisiones</w:t>
      </w:r>
      <w:r>
        <w:rPr>
          <w:color w:val="231F20"/>
          <w:spacing w:val="-10"/>
          <w:w w:val="105"/>
        </w:rPr>
        <w:t> </w:t>
      </w:r>
      <w:r>
        <w:rPr>
          <w:color w:val="231F20"/>
          <w:w w:val="105"/>
        </w:rPr>
        <w:t>profundas</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interior</w:t>
      </w:r>
      <w:r>
        <w:rPr>
          <w:color w:val="231F20"/>
          <w:spacing w:val="-10"/>
          <w:w w:val="105"/>
        </w:rPr>
        <w:t> </w:t>
      </w:r>
      <w:r>
        <w:rPr>
          <w:color w:val="231F20"/>
          <w:w w:val="105"/>
        </w:rPr>
        <w:t>y</w:t>
      </w:r>
      <w:r>
        <w:rPr>
          <w:color w:val="231F20"/>
          <w:spacing w:val="-10"/>
          <w:w w:val="105"/>
        </w:rPr>
        <w:t> </w:t>
      </w:r>
      <w:r>
        <w:rPr>
          <w:color w:val="231F20"/>
          <w:w w:val="105"/>
        </w:rPr>
        <w:t>falta</w:t>
      </w:r>
      <w:r>
        <w:rPr>
          <w:color w:val="231F20"/>
          <w:spacing w:val="-10"/>
          <w:w w:val="105"/>
        </w:rPr>
        <w:t> </w:t>
      </w:r>
      <w:r>
        <w:rPr>
          <w:color w:val="231F20"/>
          <w:w w:val="105"/>
        </w:rPr>
        <w:t>de</w:t>
      </w:r>
      <w:r>
        <w:rPr>
          <w:color w:val="231F20"/>
          <w:spacing w:val="-10"/>
          <w:w w:val="105"/>
        </w:rPr>
        <w:t> </w:t>
      </w:r>
      <w:r>
        <w:rPr>
          <w:color w:val="231F20"/>
          <w:w w:val="105"/>
        </w:rPr>
        <w:t>consistencia</w:t>
      </w:r>
      <w:r>
        <w:rPr>
          <w:color w:val="231F20"/>
          <w:spacing w:val="-10"/>
          <w:w w:val="105"/>
        </w:rPr>
        <w:t> </w:t>
      </w:r>
      <w:r>
        <w:rPr>
          <w:color w:val="231F20"/>
          <w:w w:val="105"/>
        </w:rPr>
        <w:t>en sus</w:t>
      </w:r>
      <w:r>
        <w:rPr>
          <w:color w:val="231F20"/>
          <w:spacing w:val="-26"/>
          <w:w w:val="105"/>
        </w:rPr>
        <w:t> </w:t>
      </w:r>
      <w:r>
        <w:rPr>
          <w:color w:val="231F20"/>
          <w:w w:val="105"/>
        </w:rPr>
        <w:t>propuestas</w:t>
      </w:r>
      <w:r>
        <w:rPr>
          <w:color w:val="231F20"/>
          <w:spacing w:val="-26"/>
          <w:w w:val="105"/>
        </w:rPr>
        <w:t> </w:t>
      </w:r>
      <w:r>
        <w:rPr>
          <w:color w:val="231F20"/>
          <w:w w:val="105"/>
        </w:rPr>
        <w:t>de</w:t>
      </w:r>
      <w:r>
        <w:rPr>
          <w:color w:val="231F20"/>
          <w:spacing w:val="-26"/>
          <w:w w:val="105"/>
        </w:rPr>
        <w:t> </w:t>
      </w:r>
      <w:r>
        <w:rPr>
          <w:color w:val="231F20"/>
          <w:w w:val="105"/>
        </w:rPr>
        <w:t>políticas</w:t>
      </w:r>
      <w:r>
        <w:rPr>
          <w:color w:val="231F20"/>
          <w:spacing w:val="-26"/>
          <w:w w:val="105"/>
        </w:rPr>
        <w:t> </w:t>
      </w:r>
      <w:r>
        <w:rPr>
          <w:color w:val="231F20"/>
          <w:w w:val="105"/>
        </w:rPr>
        <w:t>públicas”</w:t>
      </w:r>
      <w:r>
        <w:rPr>
          <w:color w:val="231F20"/>
          <w:spacing w:val="-26"/>
          <w:w w:val="105"/>
        </w:rPr>
        <w:t> </w:t>
      </w:r>
      <w:r>
        <w:rPr>
          <w:color w:val="231F20"/>
          <w:w w:val="105"/>
        </w:rPr>
        <w:t>(Morales,</w:t>
      </w:r>
      <w:r>
        <w:rPr>
          <w:color w:val="231F20"/>
          <w:spacing w:val="-26"/>
          <w:w w:val="105"/>
        </w:rPr>
        <w:t> </w:t>
      </w:r>
      <w:r>
        <w:rPr>
          <w:color w:val="231F20"/>
          <w:spacing w:val="2"/>
          <w:w w:val="105"/>
        </w:rPr>
        <w:t>2005:</w:t>
      </w:r>
      <w:r>
        <w:rPr>
          <w:color w:val="231F20"/>
          <w:spacing w:val="-26"/>
          <w:w w:val="105"/>
        </w:rPr>
        <w:t> </w:t>
      </w:r>
      <w:r>
        <w:rPr>
          <w:color w:val="231F20"/>
          <w:spacing w:val="-3"/>
          <w:w w:val="105"/>
        </w:rPr>
        <w:t>328)</w:t>
      </w:r>
    </w:p>
    <w:p>
      <w:pPr>
        <w:pStyle w:val="BodyText"/>
        <w:spacing w:before="2"/>
        <w:rPr>
          <w:sz w:val="20"/>
        </w:rPr>
      </w:pPr>
    </w:p>
    <w:p>
      <w:pPr>
        <w:pStyle w:val="Heading4"/>
        <w:rPr>
          <w:i/>
        </w:rPr>
      </w:pPr>
      <w:r>
        <w:rPr>
          <w:i/>
          <w:color w:val="231F20"/>
        </w:rPr>
        <w:t>Acciones</w:t>
      </w:r>
    </w:p>
    <w:p>
      <w:pPr>
        <w:pStyle w:val="BodyText"/>
        <w:spacing w:line="285" w:lineRule="auto" w:before="16"/>
        <w:ind w:left="110" w:right="108"/>
        <w:jc w:val="both"/>
      </w:pPr>
      <w:r>
        <w:rPr>
          <w:color w:val="231F20"/>
          <w:w w:val="105"/>
        </w:rPr>
        <w:t>La designación para ocupar los cargos directivos de la estructura orgánica de la admi- nistración,</w:t>
      </w:r>
      <w:r>
        <w:rPr>
          <w:color w:val="231F20"/>
          <w:spacing w:val="-19"/>
          <w:w w:val="105"/>
        </w:rPr>
        <w:t> </w:t>
      </w:r>
      <w:r>
        <w:rPr>
          <w:color w:val="231F20"/>
          <w:w w:val="105"/>
        </w:rPr>
        <w:t>los</w:t>
      </w:r>
      <w:r>
        <w:rPr>
          <w:color w:val="231F20"/>
          <w:spacing w:val="-19"/>
          <w:w w:val="105"/>
        </w:rPr>
        <w:t> </w:t>
      </w:r>
      <w:r>
        <w:rPr>
          <w:color w:val="231F20"/>
          <w:w w:val="105"/>
        </w:rPr>
        <w:t>hace</w:t>
      </w:r>
      <w:r>
        <w:rPr>
          <w:color w:val="231F20"/>
          <w:spacing w:val="-20"/>
          <w:w w:val="105"/>
        </w:rPr>
        <w:t> </w:t>
      </w:r>
      <w:r>
        <w:rPr>
          <w:color w:val="231F20"/>
          <w:w w:val="105"/>
        </w:rPr>
        <w:t>el</w:t>
      </w:r>
      <w:r>
        <w:rPr>
          <w:color w:val="231F20"/>
          <w:spacing w:val="-19"/>
          <w:w w:val="105"/>
        </w:rPr>
        <w:t> </w:t>
      </w:r>
      <w:r>
        <w:rPr>
          <w:color w:val="231F20"/>
          <w:w w:val="105"/>
        </w:rPr>
        <w:t>Ayuntamiento</w:t>
      </w:r>
      <w:r>
        <w:rPr>
          <w:color w:val="231F20"/>
          <w:spacing w:val="-19"/>
          <w:w w:val="105"/>
        </w:rPr>
        <w:t> </w:t>
      </w:r>
      <w:r>
        <w:rPr>
          <w:color w:val="231F20"/>
          <w:w w:val="105"/>
        </w:rPr>
        <w:t>a</w:t>
      </w:r>
      <w:r>
        <w:rPr>
          <w:color w:val="231F20"/>
          <w:spacing w:val="-20"/>
          <w:w w:val="105"/>
        </w:rPr>
        <w:t> </w:t>
      </w:r>
      <w:r>
        <w:rPr>
          <w:color w:val="231F20"/>
          <w:w w:val="105"/>
        </w:rPr>
        <w:t>propuesta</w:t>
      </w:r>
      <w:r>
        <w:rPr>
          <w:color w:val="231F20"/>
          <w:spacing w:val="-20"/>
          <w:w w:val="105"/>
        </w:rPr>
        <w:t> </w:t>
      </w:r>
      <w:r>
        <w:rPr>
          <w:color w:val="231F20"/>
          <w:w w:val="105"/>
        </w:rPr>
        <w:t>del</w:t>
      </w:r>
      <w:r>
        <w:rPr>
          <w:color w:val="231F20"/>
          <w:spacing w:val="-19"/>
          <w:w w:val="105"/>
        </w:rPr>
        <w:t> </w:t>
      </w:r>
      <w:r>
        <w:rPr>
          <w:color w:val="231F20"/>
          <w:w w:val="105"/>
        </w:rPr>
        <w:t>presidente.</w:t>
      </w:r>
      <w:r>
        <w:rPr>
          <w:color w:val="231F20"/>
          <w:spacing w:val="-19"/>
          <w:w w:val="105"/>
        </w:rPr>
        <w:t> </w:t>
      </w:r>
      <w:r>
        <w:rPr>
          <w:color w:val="231F20"/>
          <w:w w:val="105"/>
        </w:rPr>
        <w:t>La</w:t>
      </w:r>
      <w:r>
        <w:rPr>
          <w:color w:val="231F20"/>
          <w:spacing w:val="-20"/>
          <w:w w:val="105"/>
        </w:rPr>
        <w:t> </w:t>
      </w:r>
      <w:r>
        <w:rPr>
          <w:color w:val="231F20"/>
          <w:w w:val="105"/>
        </w:rPr>
        <w:t>designación</w:t>
      </w:r>
      <w:r>
        <w:rPr>
          <w:color w:val="231F20"/>
          <w:spacing w:val="-19"/>
          <w:w w:val="105"/>
        </w:rPr>
        <w:t> </w:t>
      </w:r>
      <w:r>
        <w:rPr>
          <w:color w:val="231F20"/>
          <w:w w:val="105"/>
        </w:rPr>
        <w:t>sigue</w:t>
      </w:r>
      <w:r>
        <w:rPr>
          <w:color w:val="231F20"/>
          <w:spacing w:val="-20"/>
          <w:w w:val="105"/>
        </w:rPr>
        <w:t> </w:t>
      </w:r>
      <w:r>
        <w:rPr>
          <w:color w:val="231F20"/>
          <w:w w:val="105"/>
        </w:rPr>
        <w:t>el esquema</w:t>
      </w:r>
      <w:r>
        <w:rPr>
          <w:color w:val="231F20"/>
          <w:spacing w:val="-11"/>
          <w:w w:val="105"/>
        </w:rPr>
        <w:t> </w:t>
      </w:r>
      <w:r>
        <w:rPr>
          <w:color w:val="231F20"/>
          <w:w w:val="105"/>
        </w:rPr>
        <w:t>del</w:t>
      </w:r>
      <w:r>
        <w:rPr>
          <w:color w:val="231F20"/>
          <w:spacing w:val="-11"/>
          <w:w w:val="105"/>
        </w:rPr>
        <w:t> </w:t>
      </w:r>
      <w:r>
        <w:rPr>
          <w:color w:val="231F20"/>
          <w:w w:val="105"/>
        </w:rPr>
        <w:t>spoil</w:t>
      </w:r>
      <w:r>
        <w:rPr>
          <w:color w:val="231F20"/>
          <w:spacing w:val="-11"/>
          <w:w w:val="105"/>
        </w:rPr>
        <w:t> </w:t>
      </w:r>
      <w:r>
        <w:rPr>
          <w:color w:val="231F20"/>
          <w:w w:val="105"/>
        </w:rPr>
        <w:t>system.</w:t>
      </w:r>
      <w:r>
        <w:rPr>
          <w:color w:val="231F20"/>
          <w:spacing w:val="-11"/>
          <w:w w:val="105"/>
        </w:rPr>
        <w:t> </w:t>
      </w:r>
      <w:r>
        <w:rPr>
          <w:color w:val="231F20"/>
          <w:w w:val="105"/>
        </w:rPr>
        <w:t>Los</w:t>
      </w:r>
      <w:r>
        <w:rPr>
          <w:color w:val="231F20"/>
          <w:spacing w:val="-11"/>
          <w:w w:val="105"/>
        </w:rPr>
        <w:t> </w:t>
      </w:r>
      <w:r>
        <w:rPr>
          <w:color w:val="231F20"/>
          <w:w w:val="105"/>
        </w:rPr>
        <w:t>funcionarios</w:t>
      </w:r>
      <w:r>
        <w:rPr>
          <w:color w:val="231F20"/>
          <w:spacing w:val="-11"/>
          <w:w w:val="105"/>
        </w:rPr>
        <w:t> </w:t>
      </w:r>
      <w:r>
        <w:rPr>
          <w:color w:val="231F20"/>
          <w:w w:val="105"/>
        </w:rPr>
        <w:t>y</w:t>
      </w:r>
      <w:r>
        <w:rPr>
          <w:color w:val="231F20"/>
          <w:spacing w:val="-11"/>
          <w:w w:val="105"/>
        </w:rPr>
        <w:t> </w:t>
      </w:r>
      <w:r>
        <w:rPr>
          <w:color w:val="231F20"/>
          <w:w w:val="105"/>
        </w:rPr>
        <w:t>empleados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w w:val="105"/>
        </w:rPr>
        <w:t>ingresan </w:t>
      </w:r>
      <w:r>
        <w:rPr>
          <w:color w:val="231F20"/>
          <w:spacing w:val="2"/>
          <w:w w:val="105"/>
        </w:rPr>
        <w:t>al</w:t>
      </w:r>
      <w:r>
        <w:rPr>
          <w:color w:val="231F20"/>
          <w:spacing w:val="-18"/>
          <w:w w:val="105"/>
        </w:rPr>
        <w:t> </w:t>
      </w:r>
      <w:r>
        <w:rPr>
          <w:color w:val="231F20"/>
          <w:w w:val="105"/>
        </w:rPr>
        <w:t>servicio</w:t>
      </w:r>
      <w:r>
        <w:rPr>
          <w:color w:val="231F20"/>
          <w:spacing w:val="-18"/>
          <w:w w:val="105"/>
        </w:rPr>
        <w:t> </w:t>
      </w:r>
      <w:r>
        <w:rPr>
          <w:color w:val="231F20"/>
          <w:w w:val="105"/>
        </w:rPr>
        <w:t>por</w:t>
      </w:r>
      <w:r>
        <w:rPr>
          <w:color w:val="231F20"/>
          <w:spacing w:val="-18"/>
          <w:w w:val="105"/>
        </w:rPr>
        <w:t> </w:t>
      </w:r>
      <w:r>
        <w:rPr>
          <w:color w:val="231F20"/>
          <w:w w:val="105"/>
        </w:rPr>
        <w:t>haber</w:t>
      </w:r>
      <w:r>
        <w:rPr>
          <w:color w:val="231F20"/>
          <w:spacing w:val="-18"/>
          <w:w w:val="105"/>
        </w:rPr>
        <w:t> </w:t>
      </w:r>
      <w:r>
        <w:rPr>
          <w:color w:val="231F20"/>
          <w:w w:val="105"/>
        </w:rPr>
        <w:t>apoyado</w:t>
      </w:r>
      <w:r>
        <w:rPr>
          <w:color w:val="231F20"/>
          <w:spacing w:val="-18"/>
          <w:w w:val="105"/>
        </w:rPr>
        <w:t> </w:t>
      </w:r>
      <w:r>
        <w:rPr>
          <w:color w:val="231F20"/>
          <w:w w:val="105"/>
        </w:rPr>
        <w:t>la</w:t>
      </w:r>
      <w:r>
        <w:rPr>
          <w:color w:val="231F20"/>
          <w:spacing w:val="-18"/>
          <w:w w:val="105"/>
        </w:rPr>
        <w:t> </w:t>
      </w:r>
      <w:r>
        <w:rPr>
          <w:color w:val="231F20"/>
          <w:w w:val="105"/>
        </w:rPr>
        <w:t>campaña</w:t>
      </w:r>
      <w:r>
        <w:rPr>
          <w:color w:val="231F20"/>
          <w:spacing w:val="-18"/>
          <w:w w:val="105"/>
        </w:rPr>
        <w:t> </w:t>
      </w:r>
      <w:r>
        <w:rPr>
          <w:color w:val="231F20"/>
          <w:w w:val="105"/>
        </w:rPr>
        <w:t>electoral,</w:t>
      </w:r>
      <w:r>
        <w:rPr>
          <w:color w:val="231F20"/>
          <w:spacing w:val="-18"/>
          <w:w w:val="105"/>
        </w:rPr>
        <w:t> </w:t>
      </w:r>
      <w:r>
        <w:rPr>
          <w:color w:val="231F20"/>
          <w:w w:val="105"/>
        </w:rPr>
        <w:t>su</w:t>
      </w:r>
      <w:r>
        <w:rPr>
          <w:color w:val="231F20"/>
          <w:spacing w:val="-18"/>
          <w:w w:val="105"/>
        </w:rPr>
        <w:t> </w:t>
      </w:r>
      <w:r>
        <w:rPr>
          <w:color w:val="231F20"/>
          <w:w w:val="105"/>
        </w:rPr>
        <w:t>acomodo</w:t>
      </w:r>
      <w:r>
        <w:rPr>
          <w:color w:val="231F20"/>
          <w:spacing w:val="-18"/>
          <w:w w:val="105"/>
        </w:rPr>
        <w:t> </w:t>
      </w:r>
      <w:r>
        <w:rPr>
          <w:color w:val="231F20"/>
          <w:w w:val="105"/>
        </w:rPr>
        <w:t>se</w:t>
      </w:r>
      <w:r>
        <w:rPr>
          <w:color w:val="231F20"/>
          <w:spacing w:val="-18"/>
          <w:w w:val="105"/>
        </w:rPr>
        <w:t> </w:t>
      </w:r>
      <w:r>
        <w:rPr>
          <w:color w:val="231F20"/>
          <w:w w:val="105"/>
        </w:rPr>
        <w:t>debe</w:t>
      </w:r>
      <w:r>
        <w:rPr>
          <w:color w:val="231F20"/>
          <w:spacing w:val="-18"/>
          <w:w w:val="105"/>
        </w:rPr>
        <w:t> </w:t>
      </w:r>
      <w:r>
        <w:rPr>
          <w:color w:val="231F20"/>
          <w:w w:val="105"/>
        </w:rPr>
        <w:t>principalmente por</w:t>
      </w:r>
      <w:r>
        <w:rPr>
          <w:color w:val="231F20"/>
          <w:spacing w:val="-25"/>
          <w:w w:val="105"/>
        </w:rPr>
        <w:t> </w:t>
      </w:r>
      <w:r>
        <w:rPr>
          <w:color w:val="231F20"/>
          <w:w w:val="105"/>
        </w:rPr>
        <w:t>el</w:t>
      </w:r>
      <w:r>
        <w:rPr>
          <w:color w:val="231F20"/>
          <w:spacing w:val="-25"/>
          <w:w w:val="105"/>
        </w:rPr>
        <w:t> </w:t>
      </w:r>
      <w:r>
        <w:rPr>
          <w:color w:val="231F20"/>
          <w:w w:val="105"/>
        </w:rPr>
        <w:t>apoyo</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proceso</w:t>
      </w:r>
      <w:r>
        <w:rPr>
          <w:color w:val="231F20"/>
          <w:spacing w:val="-25"/>
          <w:w w:val="105"/>
        </w:rPr>
        <w:t> </w:t>
      </w:r>
      <w:r>
        <w:rPr>
          <w:color w:val="231F20"/>
          <w:w w:val="105"/>
        </w:rPr>
        <w:t>de</w:t>
      </w:r>
      <w:r>
        <w:rPr>
          <w:color w:val="231F20"/>
          <w:spacing w:val="-25"/>
          <w:w w:val="105"/>
        </w:rPr>
        <w:t> </w:t>
      </w:r>
      <w:r>
        <w:rPr>
          <w:color w:val="231F20"/>
          <w:w w:val="105"/>
        </w:rPr>
        <w:t>campaña,</w:t>
      </w:r>
      <w:r>
        <w:rPr>
          <w:color w:val="231F20"/>
          <w:spacing w:val="-25"/>
          <w:w w:val="105"/>
        </w:rPr>
        <w:t> </w:t>
      </w:r>
      <w:r>
        <w:rPr>
          <w:color w:val="231F20"/>
          <w:w w:val="105"/>
        </w:rPr>
        <w:t>esto</w:t>
      </w:r>
      <w:r>
        <w:rPr>
          <w:color w:val="231F20"/>
          <w:spacing w:val="-25"/>
          <w:w w:val="105"/>
        </w:rPr>
        <w:t> </w:t>
      </w:r>
      <w:r>
        <w:rPr>
          <w:color w:val="231F20"/>
          <w:w w:val="105"/>
        </w:rPr>
        <w:t>genera</w:t>
      </w:r>
      <w:r>
        <w:rPr>
          <w:color w:val="231F20"/>
          <w:spacing w:val="-25"/>
          <w:w w:val="105"/>
        </w:rPr>
        <w:t> </w:t>
      </w:r>
      <w:r>
        <w:rPr>
          <w:color w:val="231F20"/>
          <w:w w:val="105"/>
        </w:rPr>
        <w:t>baja</w:t>
      </w:r>
      <w:r>
        <w:rPr>
          <w:color w:val="231F20"/>
          <w:spacing w:val="-25"/>
          <w:w w:val="105"/>
        </w:rPr>
        <w:t> </w:t>
      </w:r>
      <w:r>
        <w:rPr>
          <w:color w:val="231F20"/>
          <w:w w:val="105"/>
        </w:rPr>
        <w:t>profesionalización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servicio administrativo.</w:t>
      </w:r>
    </w:p>
    <w:p>
      <w:pPr>
        <w:pStyle w:val="BodyText"/>
        <w:spacing w:before="1"/>
        <w:rPr>
          <w:sz w:val="26"/>
        </w:rPr>
      </w:pPr>
    </w:p>
    <w:p>
      <w:pPr>
        <w:pStyle w:val="BodyText"/>
        <w:spacing w:line="285" w:lineRule="auto"/>
        <w:ind w:left="110" w:right="108"/>
        <w:jc w:val="both"/>
      </w:pPr>
      <w:r>
        <w:rPr>
          <w:color w:val="231F20"/>
          <w:w w:val="105"/>
        </w:rPr>
        <w:t>El 83.3% de los funcionarios de la administración, cuenta con estudios de educación superior</w:t>
      </w:r>
      <w:r>
        <w:rPr>
          <w:color w:val="231F20"/>
          <w:spacing w:val="-6"/>
          <w:w w:val="105"/>
        </w:rPr>
        <w:t> </w:t>
      </w:r>
      <w:r>
        <w:rPr>
          <w:color w:val="231F20"/>
          <w:w w:val="105"/>
        </w:rPr>
        <w:t>y</w:t>
      </w:r>
      <w:r>
        <w:rPr>
          <w:color w:val="231F20"/>
          <w:spacing w:val="-6"/>
          <w:w w:val="105"/>
        </w:rPr>
        <w:t> </w:t>
      </w:r>
      <w:r>
        <w:rPr>
          <w:color w:val="231F20"/>
          <w:w w:val="105"/>
        </w:rPr>
        <w:t>posgrado,</w:t>
      </w:r>
      <w:r>
        <w:rPr>
          <w:color w:val="231F20"/>
          <w:spacing w:val="-6"/>
          <w:w w:val="105"/>
        </w:rPr>
        <w:t> </w:t>
      </w:r>
      <w:r>
        <w:rPr>
          <w:color w:val="231F20"/>
          <w:w w:val="105"/>
        </w:rPr>
        <w:t>el</w:t>
      </w:r>
      <w:r>
        <w:rPr>
          <w:color w:val="231F20"/>
          <w:spacing w:val="-6"/>
          <w:w w:val="105"/>
        </w:rPr>
        <w:t> </w:t>
      </w:r>
      <w:r>
        <w:rPr>
          <w:color w:val="231F20"/>
          <w:spacing w:val="-3"/>
          <w:w w:val="105"/>
        </w:rPr>
        <w:t>16.6%</w:t>
      </w:r>
      <w:r>
        <w:rPr>
          <w:color w:val="231F20"/>
          <w:spacing w:val="-6"/>
          <w:w w:val="105"/>
        </w:rPr>
        <w:t> </w:t>
      </w:r>
      <w:r>
        <w:rPr>
          <w:color w:val="231F20"/>
          <w:w w:val="105"/>
        </w:rPr>
        <w:t>sólo</w:t>
      </w:r>
      <w:r>
        <w:rPr>
          <w:color w:val="231F20"/>
          <w:spacing w:val="-6"/>
          <w:w w:val="105"/>
        </w:rPr>
        <w:t> </w:t>
      </w:r>
      <w:r>
        <w:rPr>
          <w:color w:val="231F20"/>
          <w:w w:val="105"/>
        </w:rPr>
        <w:t>tiene</w:t>
      </w:r>
      <w:r>
        <w:rPr>
          <w:color w:val="231F20"/>
          <w:spacing w:val="-6"/>
          <w:w w:val="105"/>
        </w:rPr>
        <w:t> </w:t>
      </w:r>
      <w:r>
        <w:rPr>
          <w:color w:val="231F20"/>
          <w:w w:val="105"/>
        </w:rPr>
        <w:t>estudios</w:t>
      </w:r>
      <w:r>
        <w:rPr>
          <w:color w:val="231F20"/>
          <w:spacing w:val="-6"/>
          <w:w w:val="105"/>
        </w:rPr>
        <w:t> </w:t>
      </w:r>
      <w:r>
        <w:rPr>
          <w:color w:val="231F20"/>
          <w:w w:val="105"/>
        </w:rPr>
        <w:t>de</w:t>
      </w:r>
      <w:r>
        <w:rPr>
          <w:color w:val="231F20"/>
          <w:spacing w:val="-6"/>
          <w:w w:val="105"/>
        </w:rPr>
        <w:t> </w:t>
      </w:r>
      <w:r>
        <w:rPr>
          <w:color w:val="231F20"/>
          <w:w w:val="105"/>
        </w:rPr>
        <w:t>nivel</w:t>
      </w:r>
      <w:r>
        <w:rPr>
          <w:color w:val="231F20"/>
          <w:spacing w:val="-6"/>
          <w:w w:val="105"/>
        </w:rPr>
        <w:t> </w:t>
      </w:r>
      <w:r>
        <w:rPr>
          <w:color w:val="231F20"/>
          <w:w w:val="105"/>
        </w:rPr>
        <w:t>medio</w:t>
      </w:r>
      <w:r>
        <w:rPr>
          <w:color w:val="231F20"/>
          <w:spacing w:val="-6"/>
          <w:w w:val="105"/>
        </w:rPr>
        <w:t> </w:t>
      </w:r>
      <w:r>
        <w:rPr>
          <w:color w:val="231F20"/>
          <w:w w:val="105"/>
        </w:rPr>
        <w:t>superior</w:t>
      </w:r>
      <w:r>
        <w:rPr>
          <w:color w:val="231F20"/>
          <w:spacing w:val="-6"/>
          <w:w w:val="105"/>
        </w:rPr>
        <w:t> </w:t>
      </w:r>
      <w:r>
        <w:rPr>
          <w:color w:val="231F20"/>
          <w:w w:val="105"/>
        </w:rPr>
        <w:t>(Plan,</w:t>
      </w:r>
      <w:r>
        <w:rPr>
          <w:color w:val="231F20"/>
          <w:spacing w:val="-6"/>
          <w:w w:val="105"/>
        </w:rPr>
        <w:t> </w:t>
      </w:r>
      <w:r>
        <w:rPr>
          <w:color w:val="231F20"/>
          <w:spacing w:val="3"/>
          <w:w w:val="105"/>
        </w:rPr>
        <w:t>2006:</w:t>
      </w:r>
    </w:p>
    <w:p>
      <w:pPr>
        <w:spacing w:after="0" w:line="285" w:lineRule="auto"/>
        <w:jc w:val="both"/>
        <w:sectPr>
          <w:footerReference w:type="default" r:id="rId831"/>
          <w:pgSz w:w="9640" w:h="12190"/>
          <w:pgMar w:footer="743" w:header="0" w:top="1120" w:bottom="940" w:left="740" w:right="740"/>
          <w:pgNumType w:start="370"/>
        </w:sectPr>
      </w:pPr>
    </w:p>
    <w:p>
      <w:pPr>
        <w:pStyle w:val="BodyText"/>
        <w:spacing w:before="3"/>
        <w:rPr>
          <w:sz w:val="11"/>
        </w:rPr>
      </w:pPr>
    </w:p>
    <w:p>
      <w:pPr>
        <w:pStyle w:val="BodyText"/>
        <w:spacing w:line="285" w:lineRule="auto" w:before="36"/>
        <w:ind w:left="110" w:right="108"/>
        <w:jc w:val="both"/>
      </w:pPr>
      <w:r>
        <w:rPr>
          <w:color w:val="231F20"/>
          <w:spacing w:val="-4"/>
        </w:rPr>
        <w:t>72). </w:t>
      </w:r>
      <w:r>
        <w:rPr>
          <w:color w:val="231F20"/>
        </w:rPr>
        <w:t>La profesionalización implica no sólo el contar con la </w:t>
      </w:r>
      <w:r>
        <w:rPr>
          <w:color w:val="231F20"/>
          <w:spacing w:val="-2"/>
        </w:rPr>
        <w:t>profesión </w:t>
      </w:r>
      <w:r>
        <w:rPr>
          <w:color w:val="231F20"/>
        </w:rPr>
        <w:t>sino que exista especialización, capacitación y desarrollo en el desempeño de la función. Esto significa permanencia y efectividad bajo una evaluación </w:t>
      </w:r>
      <w:r>
        <w:rPr>
          <w:color w:val="231F20"/>
          <w:spacing w:val="2"/>
        </w:rPr>
        <w:t>al </w:t>
      </w:r>
      <w:r>
        <w:rPr>
          <w:color w:val="231F20"/>
        </w:rPr>
        <w:t>desempeño y el reconocimiento res- pectivo en la producción de resultados. Esto está lejano para el municipio, no sólo para    el que es objeto de</w:t>
      </w:r>
      <w:r>
        <w:rPr>
          <w:color w:val="231F20"/>
          <w:spacing w:val="53"/>
        </w:rPr>
        <w:t> </w:t>
      </w:r>
      <w:r>
        <w:rPr>
          <w:color w:val="231F20"/>
        </w:rPr>
        <w:t>estudio.</w:t>
      </w:r>
    </w:p>
    <w:p>
      <w:pPr>
        <w:pStyle w:val="BodyText"/>
        <w:spacing w:before="1"/>
        <w:rPr>
          <w:sz w:val="26"/>
        </w:rPr>
      </w:pPr>
    </w:p>
    <w:p>
      <w:pPr>
        <w:pStyle w:val="BodyText"/>
        <w:spacing w:line="285" w:lineRule="auto"/>
        <w:ind w:left="110" w:right="107"/>
        <w:jc w:val="both"/>
      </w:pPr>
      <w:r>
        <w:rPr>
          <w:color w:val="231F20"/>
          <w:spacing w:val="3"/>
          <w:w w:val="105"/>
        </w:rPr>
        <w:t>Al </w:t>
      </w:r>
      <w:r>
        <w:rPr>
          <w:color w:val="231F20"/>
          <w:w w:val="105"/>
        </w:rPr>
        <w:t>inicio de la gestión, el presidente convocó, sin autorización del cabildo, a personas que</w:t>
      </w:r>
      <w:r>
        <w:rPr>
          <w:color w:val="231F20"/>
          <w:spacing w:val="-19"/>
          <w:w w:val="105"/>
        </w:rPr>
        <w:t> </w:t>
      </w:r>
      <w:r>
        <w:rPr>
          <w:color w:val="231F20"/>
          <w:w w:val="105"/>
        </w:rPr>
        <w:t>tuvieran</w:t>
      </w:r>
      <w:r>
        <w:rPr>
          <w:color w:val="231F20"/>
          <w:spacing w:val="-19"/>
          <w:w w:val="105"/>
        </w:rPr>
        <w:t> </w:t>
      </w:r>
      <w:r>
        <w:rPr>
          <w:color w:val="231F20"/>
          <w:w w:val="105"/>
        </w:rPr>
        <w:t>cierto</w:t>
      </w:r>
      <w:r>
        <w:rPr>
          <w:color w:val="231F20"/>
          <w:spacing w:val="-19"/>
          <w:w w:val="105"/>
        </w:rPr>
        <w:t> </w:t>
      </w:r>
      <w:r>
        <w:rPr>
          <w:color w:val="231F20"/>
          <w:w w:val="105"/>
        </w:rPr>
        <w:t>perfil</w:t>
      </w:r>
      <w:r>
        <w:rPr>
          <w:color w:val="231F20"/>
          <w:spacing w:val="-19"/>
          <w:w w:val="105"/>
        </w:rPr>
        <w:t> </w:t>
      </w:r>
      <w:r>
        <w:rPr>
          <w:color w:val="231F20"/>
          <w:w w:val="105"/>
        </w:rPr>
        <w:t>para</w:t>
      </w:r>
      <w:r>
        <w:rPr>
          <w:color w:val="231F20"/>
          <w:spacing w:val="-19"/>
          <w:w w:val="105"/>
        </w:rPr>
        <w:t> </w:t>
      </w:r>
      <w:r>
        <w:rPr>
          <w:color w:val="231F20"/>
          <w:w w:val="105"/>
        </w:rPr>
        <w:t>seleccionar</w:t>
      </w:r>
      <w:r>
        <w:rPr>
          <w:color w:val="231F20"/>
          <w:spacing w:val="-19"/>
          <w:w w:val="105"/>
        </w:rPr>
        <w:t> </w:t>
      </w:r>
      <w:r>
        <w:rPr>
          <w:color w:val="231F20"/>
          <w:spacing w:val="2"/>
          <w:w w:val="105"/>
        </w:rPr>
        <w:t>al</w:t>
      </w:r>
      <w:r>
        <w:rPr>
          <w:color w:val="231F20"/>
          <w:spacing w:val="-19"/>
          <w:w w:val="105"/>
        </w:rPr>
        <w:t> </w:t>
      </w:r>
      <w:r>
        <w:rPr>
          <w:color w:val="231F20"/>
          <w:w w:val="105"/>
        </w:rPr>
        <w:t>Director</w:t>
      </w:r>
      <w:r>
        <w:rPr>
          <w:color w:val="231F20"/>
          <w:spacing w:val="-19"/>
          <w:w w:val="105"/>
        </w:rPr>
        <w:t> </w:t>
      </w:r>
      <w:r>
        <w:rPr>
          <w:color w:val="231F20"/>
          <w:w w:val="105"/>
        </w:rPr>
        <w:t>de</w:t>
      </w:r>
      <w:r>
        <w:rPr>
          <w:color w:val="231F20"/>
          <w:spacing w:val="-19"/>
          <w:w w:val="105"/>
        </w:rPr>
        <w:t> </w:t>
      </w:r>
      <w:r>
        <w:rPr>
          <w:color w:val="231F20"/>
          <w:w w:val="105"/>
        </w:rPr>
        <w:t>Seguridad</w:t>
      </w:r>
      <w:r>
        <w:rPr>
          <w:color w:val="231F20"/>
          <w:spacing w:val="-19"/>
          <w:w w:val="105"/>
        </w:rPr>
        <w:t> </w:t>
      </w:r>
      <w:r>
        <w:rPr>
          <w:color w:val="231F20"/>
          <w:w w:val="105"/>
        </w:rPr>
        <w:t>Pública,</w:t>
      </w:r>
      <w:r>
        <w:rPr>
          <w:color w:val="231F20"/>
          <w:spacing w:val="-19"/>
          <w:w w:val="105"/>
        </w:rPr>
        <w:t> </w:t>
      </w:r>
      <w:r>
        <w:rPr>
          <w:color w:val="231F20"/>
          <w:w w:val="105"/>
        </w:rPr>
        <w:t>proceso</w:t>
      </w:r>
      <w:r>
        <w:rPr>
          <w:color w:val="231F20"/>
          <w:spacing w:val="-19"/>
          <w:w w:val="105"/>
        </w:rPr>
        <w:t> </w:t>
      </w:r>
      <w:r>
        <w:rPr>
          <w:color w:val="231F20"/>
          <w:w w:val="105"/>
        </w:rPr>
        <w:t>por el cual se seleccionó </w:t>
      </w:r>
      <w:r>
        <w:rPr>
          <w:color w:val="231F20"/>
          <w:spacing w:val="2"/>
          <w:w w:val="105"/>
        </w:rPr>
        <w:t>al </w:t>
      </w:r>
      <w:r>
        <w:rPr>
          <w:color w:val="231F20"/>
          <w:w w:val="105"/>
        </w:rPr>
        <w:t>teniente Ismael Ruiz Cárdenas que fue nombrado Director de Seguridad</w:t>
      </w:r>
      <w:r>
        <w:rPr>
          <w:color w:val="231F20"/>
          <w:spacing w:val="-9"/>
          <w:w w:val="105"/>
        </w:rPr>
        <w:t> </w:t>
      </w:r>
      <w:r>
        <w:rPr>
          <w:color w:val="231F20"/>
          <w:w w:val="105"/>
        </w:rPr>
        <w:t>Pública.</w:t>
      </w:r>
      <w:r>
        <w:rPr>
          <w:color w:val="231F20"/>
          <w:spacing w:val="-9"/>
          <w:w w:val="105"/>
        </w:rPr>
        <w:t> </w:t>
      </w:r>
      <w:r>
        <w:rPr>
          <w:color w:val="231F20"/>
          <w:w w:val="105"/>
        </w:rPr>
        <w:t>Era</w:t>
      </w:r>
      <w:r>
        <w:rPr>
          <w:color w:val="231F20"/>
          <w:spacing w:val="-9"/>
          <w:w w:val="105"/>
        </w:rPr>
        <w:t> </w:t>
      </w:r>
      <w:r>
        <w:rPr>
          <w:color w:val="231F20"/>
          <w:w w:val="105"/>
        </w:rPr>
        <w:t>una</w:t>
      </w:r>
      <w:r>
        <w:rPr>
          <w:color w:val="231F20"/>
          <w:spacing w:val="-9"/>
          <w:w w:val="105"/>
        </w:rPr>
        <w:t> </w:t>
      </w:r>
      <w:r>
        <w:rPr>
          <w:color w:val="231F20"/>
          <w:w w:val="105"/>
        </w:rPr>
        <w:t>buena</w:t>
      </w:r>
      <w:r>
        <w:rPr>
          <w:color w:val="231F20"/>
          <w:spacing w:val="-9"/>
          <w:w w:val="105"/>
        </w:rPr>
        <w:t> </w:t>
      </w:r>
      <w:r>
        <w:rPr>
          <w:color w:val="231F20"/>
          <w:w w:val="105"/>
        </w:rPr>
        <w:t>señal</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cosas</w:t>
      </w:r>
      <w:r>
        <w:rPr>
          <w:color w:val="231F20"/>
          <w:spacing w:val="-9"/>
          <w:w w:val="105"/>
        </w:rPr>
        <w:t> </w:t>
      </w:r>
      <w:r>
        <w:rPr>
          <w:color w:val="231F20"/>
          <w:w w:val="105"/>
        </w:rPr>
        <w:t>podían</w:t>
      </w:r>
      <w:r>
        <w:rPr>
          <w:color w:val="231F20"/>
          <w:spacing w:val="-9"/>
          <w:w w:val="105"/>
        </w:rPr>
        <w:t> </w:t>
      </w:r>
      <w:r>
        <w:rPr>
          <w:color w:val="231F20"/>
          <w:w w:val="105"/>
        </w:rPr>
        <w:t>ser</w:t>
      </w:r>
      <w:r>
        <w:rPr>
          <w:color w:val="231F20"/>
          <w:spacing w:val="-9"/>
          <w:w w:val="105"/>
        </w:rPr>
        <w:t> </w:t>
      </w:r>
      <w:r>
        <w:rPr>
          <w:color w:val="231F20"/>
          <w:w w:val="105"/>
        </w:rPr>
        <w:t>de</w:t>
      </w:r>
      <w:r>
        <w:rPr>
          <w:color w:val="231F20"/>
          <w:spacing w:val="-9"/>
          <w:w w:val="105"/>
        </w:rPr>
        <w:t> </w:t>
      </w:r>
      <w:r>
        <w:rPr>
          <w:color w:val="231F20"/>
          <w:w w:val="105"/>
        </w:rPr>
        <w:t>forma</w:t>
      </w:r>
      <w:r>
        <w:rPr>
          <w:color w:val="231F20"/>
          <w:spacing w:val="-9"/>
          <w:w w:val="105"/>
        </w:rPr>
        <w:t> </w:t>
      </w:r>
      <w:r>
        <w:rPr>
          <w:color w:val="231F20"/>
          <w:w w:val="105"/>
        </w:rPr>
        <w:t>diferente, pero</w:t>
      </w:r>
      <w:r>
        <w:rPr>
          <w:color w:val="231F20"/>
          <w:spacing w:val="-13"/>
          <w:w w:val="105"/>
        </w:rPr>
        <w:t> </w:t>
      </w:r>
      <w:r>
        <w:rPr>
          <w:color w:val="231F20"/>
          <w:w w:val="105"/>
        </w:rPr>
        <w:t>fue</w:t>
      </w:r>
      <w:r>
        <w:rPr>
          <w:color w:val="231F20"/>
          <w:spacing w:val="-13"/>
          <w:w w:val="105"/>
        </w:rPr>
        <w:t> </w:t>
      </w:r>
      <w:r>
        <w:rPr>
          <w:color w:val="231F20"/>
          <w:w w:val="105"/>
        </w:rPr>
        <w:t>el</w:t>
      </w:r>
      <w:r>
        <w:rPr>
          <w:color w:val="231F20"/>
          <w:spacing w:val="-13"/>
          <w:w w:val="105"/>
        </w:rPr>
        <w:t> </w:t>
      </w:r>
      <w:r>
        <w:rPr>
          <w:color w:val="231F20"/>
          <w:w w:val="105"/>
        </w:rPr>
        <w:t>único</w:t>
      </w:r>
      <w:r>
        <w:rPr>
          <w:color w:val="231F20"/>
          <w:spacing w:val="-13"/>
          <w:w w:val="105"/>
        </w:rPr>
        <w:t> </w:t>
      </w:r>
      <w:r>
        <w:rPr>
          <w:color w:val="231F20"/>
          <w:w w:val="105"/>
        </w:rPr>
        <w:t>caso</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seleccionó</w:t>
      </w:r>
      <w:r>
        <w:rPr>
          <w:color w:val="231F20"/>
          <w:spacing w:val="-13"/>
          <w:w w:val="105"/>
        </w:rPr>
        <w:t> </w:t>
      </w:r>
      <w:r>
        <w:rPr>
          <w:color w:val="231F20"/>
          <w:w w:val="105"/>
        </w:rPr>
        <w:t>por</w:t>
      </w:r>
      <w:r>
        <w:rPr>
          <w:color w:val="231F20"/>
          <w:spacing w:val="-13"/>
          <w:w w:val="105"/>
        </w:rPr>
        <w:t> </w:t>
      </w:r>
      <w:r>
        <w:rPr>
          <w:color w:val="231F20"/>
          <w:w w:val="105"/>
        </w:rPr>
        <w:t>concurso.</w:t>
      </w:r>
    </w:p>
    <w:p>
      <w:pPr>
        <w:pStyle w:val="BodyText"/>
        <w:spacing w:before="1"/>
        <w:rPr>
          <w:sz w:val="26"/>
        </w:rPr>
      </w:pPr>
    </w:p>
    <w:p>
      <w:pPr>
        <w:pStyle w:val="BodyText"/>
        <w:spacing w:line="285" w:lineRule="auto"/>
        <w:ind w:left="110" w:right="108"/>
        <w:jc w:val="both"/>
      </w:pPr>
      <w:r>
        <w:rPr>
          <w:color w:val="231F20"/>
          <w:w w:val="105"/>
        </w:rPr>
        <w:t>Los funcionarios del primer nivel cuentan con un perfil profesional que se apega con cierta</w:t>
      </w:r>
      <w:r>
        <w:rPr>
          <w:color w:val="231F20"/>
          <w:spacing w:val="-12"/>
          <w:w w:val="105"/>
        </w:rPr>
        <w:t> </w:t>
      </w:r>
      <w:r>
        <w:rPr>
          <w:color w:val="231F20"/>
          <w:w w:val="105"/>
        </w:rPr>
        <w:t>regularidad</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funciones</w:t>
      </w:r>
      <w:r>
        <w:rPr>
          <w:color w:val="231F20"/>
          <w:spacing w:val="-12"/>
          <w:w w:val="105"/>
        </w:rPr>
        <w:t> </w:t>
      </w:r>
      <w:r>
        <w:rPr>
          <w:color w:val="231F20"/>
          <w:w w:val="105"/>
        </w:rPr>
        <w:t>a</w:t>
      </w:r>
      <w:r>
        <w:rPr>
          <w:color w:val="231F20"/>
          <w:spacing w:val="-12"/>
          <w:w w:val="105"/>
        </w:rPr>
        <w:t> </w:t>
      </w:r>
      <w:r>
        <w:rPr>
          <w:color w:val="231F20"/>
          <w:w w:val="105"/>
        </w:rPr>
        <w:t>desempeñar.</w:t>
      </w:r>
      <w:r>
        <w:rPr>
          <w:color w:val="231F20"/>
          <w:spacing w:val="-12"/>
          <w:w w:val="105"/>
        </w:rPr>
        <w:t> </w:t>
      </w:r>
      <w:r>
        <w:rPr>
          <w:color w:val="231F20"/>
          <w:w w:val="105"/>
        </w:rPr>
        <w:t>La</w:t>
      </w:r>
      <w:r>
        <w:rPr>
          <w:color w:val="231F20"/>
          <w:spacing w:val="-12"/>
          <w:w w:val="105"/>
        </w:rPr>
        <w:t> </w:t>
      </w:r>
      <w:r>
        <w:rPr>
          <w:color w:val="231F20"/>
          <w:w w:val="105"/>
        </w:rPr>
        <w:t>designación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directores</w:t>
      </w:r>
      <w:r>
        <w:rPr>
          <w:color w:val="231F20"/>
          <w:spacing w:val="-12"/>
          <w:w w:val="105"/>
        </w:rPr>
        <w:t> </w:t>
      </w:r>
      <w:r>
        <w:rPr>
          <w:color w:val="231F20"/>
          <w:w w:val="105"/>
        </w:rPr>
        <w:t>de</w:t>
      </w:r>
      <w:r>
        <w:rPr>
          <w:color w:val="231F20"/>
          <w:spacing w:val="-12"/>
          <w:w w:val="105"/>
        </w:rPr>
        <w:t> </w:t>
      </w:r>
      <w:r>
        <w:rPr>
          <w:color w:val="231F20"/>
          <w:w w:val="105"/>
        </w:rPr>
        <w:t>las dependencias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municipal</w:t>
      </w:r>
      <w:r>
        <w:rPr>
          <w:color w:val="231F20"/>
          <w:spacing w:val="-13"/>
          <w:w w:val="105"/>
        </w:rPr>
        <w:t> </w:t>
      </w:r>
      <w:r>
        <w:rPr>
          <w:color w:val="231F20"/>
          <w:w w:val="105"/>
        </w:rPr>
        <w:t>quedó</w:t>
      </w:r>
      <w:r>
        <w:rPr>
          <w:color w:val="231F20"/>
          <w:spacing w:val="-13"/>
          <w:w w:val="105"/>
        </w:rPr>
        <w:t> </w:t>
      </w:r>
      <w:r>
        <w:rPr>
          <w:color w:val="231F20"/>
          <w:w w:val="105"/>
        </w:rPr>
        <w:t>como</w:t>
      </w:r>
      <w:r>
        <w:rPr>
          <w:color w:val="231F20"/>
          <w:spacing w:val="-13"/>
          <w:w w:val="105"/>
        </w:rPr>
        <w:t> </w:t>
      </w:r>
      <w:r>
        <w:rPr>
          <w:color w:val="231F20"/>
          <w:w w:val="105"/>
        </w:rPr>
        <w:t>sigue:</w:t>
      </w:r>
    </w:p>
    <w:p>
      <w:pPr>
        <w:pStyle w:val="BodyText"/>
        <w:spacing w:before="9"/>
        <w:rPr>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08"/>
        <w:gridCol w:w="4219"/>
      </w:tblGrid>
      <w:tr>
        <w:trPr>
          <w:trHeight w:val="130" w:hRule="exact"/>
        </w:trPr>
        <w:tc>
          <w:tcPr>
            <w:tcW w:w="3708" w:type="dxa"/>
          </w:tcPr>
          <w:p>
            <w:pPr>
              <w:pStyle w:val="TableParagraph"/>
              <w:spacing w:line="160" w:lineRule="exact"/>
              <w:rPr>
                <w:sz w:val="16"/>
              </w:rPr>
            </w:pPr>
            <w:r>
              <w:rPr>
                <w:color w:val="231F20"/>
                <w:w w:val="85"/>
                <w:sz w:val="16"/>
              </w:rPr>
              <w:t>Dependencia</w:t>
            </w:r>
          </w:p>
        </w:tc>
        <w:tc>
          <w:tcPr>
            <w:tcW w:w="4219" w:type="dxa"/>
          </w:tcPr>
          <w:p>
            <w:pPr>
              <w:pStyle w:val="TableParagraph"/>
              <w:spacing w:line="160" w:lineRule="exact"/>
              <w:rPr>
                <w:sz w:val="16"/>
              </w:rPr>
            </w:pPr>
            <w:r>
              <w:rPr>
                <w:color w:val="231F20"/>
                <w:w w:val="85"/>
                <w:sz w:val="16"/>
              </w:rPr>
              <w:t>Funcionario</w:t>
            </w:r>
          </w:p>
        </w:tc>
      </w:tr>
      <w:tr>
        <w:trPr>
          <w:trHeight w:val="130" w:hRule="exact"/>
        </w:trPr>
        <w:tc>
          <w:tcPr>
            <w:tcW w:w="3708" w:type="dxa"/>
          </w:tcPr>
          <w:p>
            <w:pPr>
              <w:pStyle w:val="TableParagraph"/>
              <w:spacing w:line="160" w:lineRule="exact"/>
              <w:rPr>
                <w:sz w:val="16"/>
              </w:rPr>
            </w:pPr>
            <w:r>
              <w:rPr>
                <w:color w:val="231F20"/>
                <w:w w:val="75"/>
                <w:sz w:val="16"/>
              </w:rPr>
              <w:t>Secretaría Municipal</w:t>
            </w:r>
          </w:p>
        </w:tc>
        <w:tc>
          <w:tcPr>
            <w:tcW w:w="4219" w:type="dxa"/>
          </w:tcPr>
          <w:p>
            <w:pPr>
              <w:pStyle w:val="TableParagraph"/>
              <w:spacing w:line="160" w:lineRule="exact"/>
              <w:rPr>
                <w:sz w:val="16"/>
              </w:rPr>
            </w:pPr>
            <w:r>
              <w:rPr>
                <w:color w:val="231F20"/>
                <w:w w:val="75"/>
                <w:sz w:val="16"/>
              </w:rPr>
              <w:t>Dr. Humberto Alfredo Soto Castilla</w:t>
            </w:r>
          </w:p>
        </w:tc>
      </w:tr>
      <w:tr>
        <w:trPr>
          <w:trHeight w:val="130" w:hRule="exact"/>
        </w:trPr>
        <w:tc>
          <w:tcPr>
            <w:tcW w:w="3708" w:type="dxa"/>
          </w:tcPr>
          <w:p>
            <w:pPr>
              <w:pStyle w:val="TableParagraph"/>
              <w:spacing w:line="160" w:lineRule="exact"/>
              <w:rPr>
                <w:sz w:val="16"/>
              </w:rPr>
            </w:pPr>
            <w:r>
              <w:rPr>
                <w:color w:val="231F20"/>
                <w:w w:val="75"/>
                <w:sz w:val="16"/>
              </w:rPr>
              <w:t>Tesorería Municipal</w:t>
            </w:r>
          </w:p>
        </w:tc>
        <w:tc>
          <w:tcPr>
            <w:tcW w:w="4219" w:type="dxa"/>
          </w:tcPr>
          <w:p>
            <w:pPr>
              <w:pStyle w:val="TableParagraph"/>
              <w:spacing w:line="160" w:lineRule="exact"/>
              <w:rPr>
                <w:sz w:val="16"/>
              </w:rPr>
            </w:pPr>
            <w:r>
              <w:rPr>
                <w:color w:val="231F20"/>
                <w:w w:val="80"/>
                <w:sz w:val="16"/>
              </w:rPr>
              <w:t>P. de C.P María del Pilar Estrada Mendoza</w:t>
            </w:r>
          </w:p>
        </w:tc>
      </w:tr>
      <w:tr>
        <w:trPr>
          <w:trHeight w:val="130" w:hRule="exact"/>
        </w:trPr>
        <w:tc>
          <w:tcPr>
            <w:tcW w:w="3708" w:type="dxa"/>
          </w:tcPr>
          <w:p>
            <w:pPr>
              <w:pStyle w:val="TableParagraph"/>
              <w:spacing w:line="160" w:lineRule="exact"/>
              <w:rPr>
                <w:sz w:val="16"/>
              </w:rPr>
            </w:pPr>
            <w:r>
              <w:rPr>
                <w:color w:val="231F20"/>
                <w:w w:val="75"/>
                <w:sz w:val="16"/>
              </w:rPr>
              <w:t>Contraloría Interna</w:t>
            </w:r>
          </w:p>
        </w:tc>
        <w:tc>
          <w:tcPr>
            <w:tcW w:w="4219" w:type="dxa"/>
          </w:tcPr>
          <w:p>
            <w:pPr>
              <w:pStyle w:val="TableParagraph"/>
              <w:spacing w:line="160" w:lineRule="exact"/>
              <w:rPr>
                <w:sz w:val="16"/>
              </w:rPr>
            </w:pPr>
            <w:r>
              <w:rPr>
                <w:color w:val="231F20"/>
                <w:w w:val="80"/>
                <w:sz w:val="16"/>
              </w:rPr>
              <w:t>L. en C.P y A.P Irma Carranza Flores</w:t>
            </w:r>
          </w:p>
        </w:tc>
      </w:tr>
      <w:tr>
        <w:trPr>
          <w:trHeight w:val="130" w:hRule="exact"/>
        </w:trPr>
        <w:tc>
          <w:tcPr>
            <w:tcW w:w="3708" w:type="dxa"/>
          </w:tcPr>
          <w:p>
            <w:pPr>
              <w:pStyle w:val="TableParagraph"/>
              <w:spacing w:line="160" w:lineRule="exact"/>
              <w:rPr>
                <w:sz w:val="16"/>
              </w:rPr>
            </w:pPr>
            <w:r>
              <w:rPr>
                <w:color w:val="231F20"/>
                <w:w w:val="75"/>
                <w:sz w:val="16"/>
              </w:rPr>
              <w:t>Dirección de Obras Públicas, Desarrollo Urbano y Medio Ambiente</w:t>
            </w:r>
          </w:p>
        </w:tc>
        <w:tc>
          <w:tcPr>
            <w:tcW w:w="4219" w:type="dxa"/>
          </w:tcPr>
          <w:p>
            <w:pPr>
              <w:pStyle w:val="TableParagraph"/>
              <w:spacing w:line="160" w:lineRule="exact"/>
              <w:rPr>
                <w:sz w:val="16"/>
              </w:rPr>
            </w:pPr>
            <w:r>
              <w:rPr>
                <w:color w:val="231F20"/>
                <w:w w:val="80"/>
                <w:sz w:val="16"/>
              </w:rPr>
              <w:t>Ing. Hugo Chicas Palacios</w:t>
            </w:r>
          </w:p>
        </w:tc>
      </w:tr>
      <w:tr>
        <w:trPr>
          <w:trHeight w:val="130" w:hRule="exact"/>
        </w:trPr>
        <w:tc>
          <w:tcPr>
            <w:tcW w:w="3708" w:type="dxa"/>
          </w:tcPr>
          <w:p>
            <w:pPr>
              <w:pStyle w:val="TableParagraph"/>
              <w:spacing w:line="160" w:lineRule="exact"/>
              <w:rPr>
                <w:sz w:val="16"/>
              </w:rPr>
            </w:pPr>
            <w:r>
              <w:rPr>
                <w:color w:val="231F20"/>
                <w:w w:val="75"/>
                <w:sz w:val="16"/>
              </w:rPr>
              <w:t>Dirección de Administración y Servicios  Públicos</w:t>
            </w:r>
          </w:p>
        </w:tc>
        <w:tc>
          <w:tcPr>
            <w:tcW w:w="4219" w:type="dxa"/>
          </w:tcPr>
          <w:p>
            <w:pPr>
              <w:pStyle w:val="TableParagraph"/>
              <w:spacing w:line="160" w:lineRule="exact"/>
              <w:rPr>
                <w:sz w:val="16"/>
              </w:rPr>
            </w:pPr>
            <w:r>
              <w:rPr>
                <w:color w:val="231F20"/>
                <w:w w:val="80"/>
                <w:sz w:val="16"/>
              </w:rPr>
              <w:t>Ing. Emmanuel Amaro Álvarez</w:t>
            </w:r>
          </w:p>
        </w:tc>
      </w:tr>
      <w:tr>
        <w:trPr>
          <w:trHeight w:val="130" w:hRule="exact"/>
        </w:trPr>
        <w:tc>
          <w:tcPr>
            <w:tcW w:w="3708" w:type="dxa"/>
          </w:tcPr>
          <w:p>
            <w:pPr>
              <w:pStyle w:val="TableParagraph"/>
              <w:spacing w:line="160" w:lineRule="exact"/>
              <w:rPr>
                <w:sz w:val="16"/>
              </w:rPr>
            </w:pPr>
            <w:r>
              <w:rPr>
                <w:color w:val="231F20"/>
                <w:w w:val="75"/>
                <w:sz w:val="16"/>
              </w:rPr>
              <w:t>Dirección Jurídica y de Gobierno</w:t>
            </w:r>
          </w:p>
        </w:tc>
        <w:tc>
          <w:tcPr>
            <w:tcW w:w="4219" w:type="dxa"/>
          </w:tcPr>
          <w:p>
            <w:pPr>
              <w:pStyle w:val="TableParagraph"/>
              <w:spacing w:line="160" w:lineRule="exact"/>
              <w:rPr>
                <w:sz w:val="16"/>
              </w:rPr>
            </w:pPr>
            <w:r>
              <w:rPr>
                <w:color w:val="231F20"/>
                <w:w w:val="75"/>
                <w:sz w:val="16"/>
              </w:rPr>
              <w:t>Lic. Mario Gerardo Gómez Mendoza</w:t>
            </w:r>
          </w:p>
        </w:tc>
      </w:tr>
      <w:tr>
        <w:trPr>
          <w:trHeight w:val="130" w:hRule="exact"/>
        </w:trPr>
        <w:tc>
          <w:tcPr>
            <w:tcW w:w="3708" w:type="dxa"/>
          </w:tcPr>
          <w:p>
            <w:pPr>
              <w:pStyle w:val="TableParagraph"/>
              <w:spacing w:line="160" w:lineRule="exact"/>
              <w:rPr>
                <w:sz w:val="16"/>
              </w:rPr>
            </w:pPr>
            <w:r>
              <w:rPr>
                <w:color w:val="231F20"/>
                <w:w w:val="75"/>
                <w:sz w:val="16"/>
              </w:rPr>
              <w:t>Dirección de Desarrollo Social</w:t>
            </w:r>
          </w:p>
        </w:tc>
        <w:tc>
          <w:tcPr>
            <w:tcW w:w="4219" w:type="dxa"/>
          </w:tcPr>
          <w:p>
            <w:pPr>
              <w:pStyle w:val="TableParagraph"/>
              <w:spacing w:line="160" w:lineRule="exact"/>
              <w:rPr>
                <w:sz w:val="16"/>
              </w:rPr>
            </w:pPr>
            <w:r>
              <w:rPr>
                <w:color w:val="231F20"/>
                <w:w w:val="75"/>
                <w:sz w:val="16"/>
              </w:rPr>
              <w:t>Lic. Cuauhtémoc Sánchez  Pineda</w:t>
            </w:r>
          </w:p>
        </w:tc>
      </w:tr>
      <w:tr>
        <w:trPr>
          <w:trHeight w:val="130" w:hRule="exact"/>
        </w:trPr>
        <w:tc>
          <w:tcPr>
            <w:tcW w:w="3708" w:type="dxa"/>
          </w:tcPr>
          <w:p>
            <w:pPr>
              <w:pStyle w:val="TableParagraph"/>
              <w:spacing w:line="160" w:lineRule="exact"/>
              <w:rPr>
                <w:sz w:val="16"/>
              </w:rPr>
            </w:pPr>
            <w:r>
              <w:rPr>
                <w:color w:val="231F20"/>
                <w:w w:val="75"/>
                <w:sz w:val="16"/>
              </w:rPr>
              <w:t>Dirección de Seguridad  Pública</w:t>
            </w:r>
          </w:p>
        </w:tc>
        <w:tc>
          <w:tcPr>
            <w:tcW w:w="4219" w:type="dxa"/>
          </w:tcPr>
          <w:p>
            <w:pPr>
              <w:pStyle w:val="TableParagraph"/>
              <w:spacing w:line="160" w:lineRule="exact"/>
              <w:rPr>
                <w:sz w:val="16"/>
              </w:rPr>
            </w:pPr>
            <w:r>
              <w:rPr>
                <w:color w:val="231F20"/>
                <w:w w:val="75"/>
                <w:sz w:val="16"/>
              </w:rPr>
              <w:t>Tte. Ismael Ruiz Cárdenas</w:t>
            </w:r>
          </w:p>
        </w:tc>
      </w:tr>
      <w:tr>
        <w:trPr>
          <w:trHeight w:val="130" w:hRule="exact"/>
        </w:trPr>
        <w:tc>
          <w:tcPr>
            <w:tcW w:w="3708" w:type="dxa"/>
          </w:tcPr>
          <w:p>
            <w:pPr>
              <w:pStyle w:val="TableParagraph"/>
              <w:spacing w:line="160" w:lineRule="exact"/>
              <w:rPr>
                <w:sz w:val="16"/>
              </w:rPr>
            </w:pPr>
            <w:r>
              <w:rPr>
                <w:color w:val="231F20"/>
                <w:w w:val="75"/>
                <w:sz w:val="16"/>
              </w:rPr>
              <w:t>Unidad de Planeación</w:t>
            </w:r>
          </w:p>
        </w:tc>
        <w:tc>
          <w:tcPr>
            <w:tcW w:w="4219" w:type="dxa"/>
          </w:tcPr>
          <w:p>
            <w:pPr>
              <w:pStyle w:val="TableParagraph"/>
              <w:spacing w:line="160" w:lineRule="exact"/>
              <w:rPr>
                <w:sz w:val="16"/>
              </w:rPr>
            </w:pPr>
            <w:r>
              <w:rPr>
                <w:color w:val="231F20"/>
                <w:w w:val="80"/>
                <w:sz w:val="16"/>
              </w:rPr>
              <w:t>LAE. Emiliano Saúl Sandoval Torres</w:t>
            </w:r>
          </w:p>
        </w:tc>
      </w:tr>
    </w:tbl>
    <w:p>
      <w:pPr>
        <w:pStyle w:val="BodyText"/>
        <w:spacing w:before="10"/>
        <w:rPr>
          <w:sz w:val="15"/>
        </w:rPr>
      </w:pPr>
    </w:p>
    <w:p>
      <w:pPr>
        <w:spacing w:before="74"/>
        <w:ind w:left="110" w:right="0" w:firstLine="0"/>
        <w:jc w:val="both"/>
        <w:rPr>
          <w:rFonts w:ascii="Calibri"/>
          <w:sz w:val="16"/>
        </w:rPr>
      </w:pPr>
      <w:r>
        <w:rPr>
          <w:rFonts w:ascii="Calibri"/>
          <w:color w:val="231F20"/>
          <w:sz w:val="16"/>
        </w:rPr>
        <w:t>Fuente: Plan Municipal de Desarrollo de Amecameca 2006-2009</w:t>
      </w:r>
    </w:p>
    <w:p>
      <w:pPr>
        <w:pStyle w:val="BodyText"/>
        <w:rPr>
          <w:rFonts w:ascii="Calibri"/>
          <w:sz w:val="16"/>
        </w:rPr>
      </w:pPr>
    </w:p>
    <w:p>
      <w:pPr>
        <w:pStyle w:val="BodyText"/>
        <w:spacing w:before="10"/>
        <w:rPr>
          <w:rFonts w:ascii="Calibri"/>
          <w:sz w:val="12"/>
        </w:rPr>
      </w:pPr>
    </w:p>
    <w:p>
      <w:pPr>
        <w:pStyle w:val="BodyText"/>
        <w:spacing w:line="285" w:lineRule="auto"/>
        <w:ind w:left="110" w:right="107"/>
        <w:jc w:val="both"/>
      </w:pPr>
      <w:r>
        <w:rPr>
          <w:color w:val="231F20"/>
          <w:spacing w:val="-5"/>
          <w:w w:val="105"/>
        </w:rPr>
        <w:t>Todos </w:t>
      </w:r>
      <w:r>
        <w:rPr>
          <w:color w:val="231F20"/>
          <w:w w:val="105"/>
        </w:rPr>
        <w:t>los funcionarios referidos en el cuadro a excepción de Ismael Ruiz, estuvieron en la campaña del ayuntamiento, fiel a la política mexicana, se le colocó en un cargo directivo.</w:t>
      </w:r>
      <w:r>
        <w:rPr>
          <w:color w:val="231F20"/>
          <w:spacing w:val="-19"/>
          <w:w w:val="105"/>
        </w:rPr>
        <w:t> </w:t>
      </w:r>
      <w:r>
        <w:rPr>
          <w:color w:val="231F20"/>
          <w:w w:val="105"/>
        </w:rPr>
        <w:t>Esto</w:t>
      </w:r>
      <w:r>
        <w:rPr>
          <w:color w:val="231F20"/>
          <w:spacing w:val="-19"/>
          <w:w w:val="105"/>
        </w:rPr>
        <w:t> </w:t>
      </w:r>
      <w:r>
        <w:rPr>
          <w:color w:val="231F20"/>
          <w:w w:val="105"/>
        </w:rPr>
        <w:t>es</w:t>
      </w:r>
      <w:r>
        <w:rPr>
          <w:color w:val="231F20"/>
          <w:spacing w:val="-19"/>
          <w:w w:val="105"/>
        </w:rPr>
        <w:t> </w:t>
      </w:r>
      <w:r>
        <w:rPr>
          <w:color w:val="231F20"/>
          <w:spacing w:val="-3"/>
          <w:w w:val="105"/>
        </w:rPr>
        <w:t>propio</w:t>
      </w:r>
      <w:r>
        <w:rPr>
          <w:color w:val="231F20"/>
          <w:spacing w:val="-19"/>
          <w:w w:val="105"/>
        </w:rPr>
        <w:t> </w:t>
      </w:r>
      <w:r>
        <w:rPr>
          <w:color w:val="231F20"/>
          <w:w w:val="105"/>
        </w:rPr>
        <w:t>no</w:t>
      </w:r>
      <w:r>
        <w:rPr>
          <w:color w:val="231F20"/>
          <w:spacing w:val="-19"/>
          <w:w w:val="105"/>
        </w:rPr>
        <w:t> </w:t>
      </w:r>
      <w:r>
        <w:rPr>
          <w:color w:val="231F20"/>
          <w:w w:val="105"/>
        </w:rPr>
        <w:t>sólo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política</w:t>
      </w:r>
      <w:r>
        <w:rPr>
          <w:color w:val="231F20"/>
          <w:spacing w:val="-19"/>
          <w:w w:val="105"/>
        </w:rPr>
        <w:t> </w:t>
      </w:r>
      <w:r>
        <w:rPr>
          <w:color w:val="231F20"/>
          <w:w w:val="105"/>
        </w:rPr>
        <w:t>mexicana,</w:t>
      </w:r>
      <w:r>
        <w:rPr>
          <w:color w:val="231F20"/>
          <w:spacing w:val="-19"/>
          <w:w w:val="105"/>
        </w:rPr>
        <w:t> </w:t>
      </w:r>
      <w:r>
        <w:rPr>
          <w:color w:val="231F20"/>
          <w:w w:val="105"/>
        </w:rPr>
        <w:t>no</w:t>
      </w:r>
      <w:r>
        <w:rPr>
          <w:color w:val="231F20"/>
          <w:spacing w:val="-19"/>
          <w:w w:val="105"/>
        </w:rPr>
        <w:t> </w:t>
      </w:r>
      <w:r>
        <w:rPr>
          <w:color w:val="231F20"/>
          <w:w w:val="105"/>
        </w:rPr>
        <w:t>debe</w:t>
      </w:r>
      <w:r>
        <w:rPr>
          <w:color w:val="231F20"/>
          <w:spacing w:val="-19"/>
          <w:w w:val="105"/>
        </w:rPr>
        <w:t> </w:t>
      </w:r>
      <w:r>
        <w:rPr>
          <w:color w:val="231F20"/>
          <w:w w:val="105"/>
        </w:rPr>
        <w:t>verse</w:t>
      </w:r>
      <w:r>
        <w:rPr>
          <w:color w:val="231F20"/>
          <w:spacing w:val="-19"/>
          <w:w w:val="105"/>
        </w:rPr>
        <w:t> </w:t>
      </w:r>
      <w:r>
        <w:rPr>
          <w:color w:val="231F20"/>
          <w:w w:val="105"/>
        </w:rPr>
        <w:t>como</w:t>
      </w:r>
      <w:r>
        <w:rPr>
          <w:color w:val="231F20"/>
          <w:spacing w:val="-19"/>
          <w:w w:val="105"/>
        </w:rPr>
        <w:t> </w:t>
      </w:r>
      <w:r>
        <w:rPr>
          <w:color w:val="231F20"/>
          <w:w w:val="105"/>
        </w:rPr>
        <w:t>una</w:t>
      </w:r>
      <w:r>
        <w:rPr>
          <w:color w:val="231F20"/>
          <w:spacing w:val="-19"/>
          <w:w w:val="105"/>
        </w:rPr>
        <w:t> </w:t>
      </w:r>
      <w:r>
        <w:rPr>
          <w:color w:val="231F20"/>
          <w:w w:val="105"/>
        </w:rPr>
        <w:t>acción demeritoria,</w:t>
      </w:r>
      <w:r>
        <w:rPr>
          <w:color w:val="231F20"/>
          <w:spacing w:val="-8"/>
          <w:w w:val="105"/>
        </w:rPr>
        <w:t> </w:t>
      </w:r>
      <w:r>
        <w:rPr>
          <w:color w:val="231F20"/>
          <w:w w:val="105"/>
        </w:rPr>
        <w:t>pues</w:t>
      </w:r>
      <w:r>
        <w:rPr>
          <w:color w:val="231F20"/>
          <w:spacing w:val="-8"/>
          <w:w w:val="105"/>
        </w:rPr>
        <w:t> </w:t>
      </w:r>
      <w:r>
        <w:rPr>
          <w:color w:val="231F20"/>
          <w:w w:val="105"/>
        </w:rPr>
        <w:t>es</w:t>
      </w:r>
      <w:r>
        <w:rPr>
          <w:color w:val="231F20"/>
          <w:spacing w:val="-8"/>
          <w:w w:val="105"/>
        </w:rPr>
        <w:t> </w:t>
      </w:r>
      <w:r>
        <w:rPr>
          <w:color w:val="231F20"/>
          <w:w w:val="105"/>
        </w:rPr>
        <w:t>una</w:t>
      </w:r>
      <w:r>
        <w:rPr>
          <w:color w:val="231F20"/>
          <w:spacing w:val="-8"/>
          <w:w w:val="105"/>
        </w:rPr>
        <w:t> </w:t>
      </w:r>
      <w:r>
        <w:rPr>
          <w:color w:val="231F20"/>
          <w:w w:val="105"/>
        </w:rPr>
        <w:t>forma</w:t>
      </w:r>
      <w:r>
        <w:rPr>
          <w:color w:val="231F20"/>
          <w:spacing w:val="-8"/>
          <w:w w:val="105"/>
        </w:rPr>
        <w:t> </w:t>
      </w:r>
      <w:r>
        <w:rPr>
          <w:color w:val="231F20"/>
          <w:w w:val="105"/>
        </w:rPr>
        <w:t>de</w:t>
      </w:r>
      <w:r>
        <w:rPr>
          <w:color w:val="231F20"/>
          <w:spacing w:val="-8"/>
          <w:w w:val="105"/>
        </w:rPr>
        <w:t> </w:t>
      </w:r>
      <w:r>
        <w:rPr>
          <w:color w:val="231F20"/>
          <w:w w:val="105"/>
        </w:rPr>
        <w:t>acceder</w:t>
      </w:r>
      <w:r>
        <w:rPr>
          <w:color w:val="231F20"/>
          <w:spacing w:val="-8"/>
          <w:w w:val="105"/>
        </w:rPr>
        <w:t> </w:t>
      </w:r>
      <w:r>
        <w:rPr>
          <w:color w:val="231F20"/>
          <w:w w:val="105"/>
        </w:rPr>
        <w:t>y</w:t>
      </w:r>
      <w:r>
        <w:rPr>
          <w:color w:val="231F20"/>
          <w:spacing w:val="-8"/>
          <w:w w:val="105"/>
        </w:rPr>
        <w:t> </w:t>
      </w:r>
      <w:r>
        <w:rPr>
          <w:color w:val="231F20"/>
          <w:w w:val="105"/>
        </w:rPr>
        <w:t>ejercer</w:t>
      </w:r>
      <w:r>
        <w:rPr>
          <w:color w:val="231F20"/>
          <w:spacing w:val="-8"/>
          <w:w w:val="105"/>
        </w:rPr>
        <w:t> </w:t>
      </w:r>
      <w:r>
        <w:rPr>
          <w:color w:val="231F20"/>
          <w:w w:val="105"/>
        </w:rPr>
        <w:t>el</w:t>
      </w:r>
      <w:r>
        <w:rPr>
          <w:color w:val="231F20"/>
          <w:spacing w:val="-8"/>
          <w:w w:val="105"/>
        </w:rPr>
        <w:t> </w:t>
      </w:r>
      <w:r>
        <w:rPr>
          <w:color w:val="231F20"/>
          <w:w w:val="105"/>
        </w:rPr>
        <w:t>gobierno,</w:t>
      </w:r>
      <w:r>
        <w:rPr>
          <w:color w:val="231F20"/>
          <w:spacing w:val="-8"/>
          <w:w w:val="105"/>
        </w:rPr>
        <w:t> </w:t>
      </w:r>
      <w:r>
        <w:rPr>
          <w:color w:val="231F20"/>
          <w:w w:val="105"/>
        </w:rPr>
        <w:t>empero,</w:t>
      </w:r>
      <w:r>
        <w:rPr>
          <w:color w:val="231F20"/>
          <w:spacing w:val="-8"/>
          <w:w w:val="105"/>
        </w:rPr>
        <w:t> </w:t>
      </w:r>
      <w:r>
        <w:rPr>
          <w:color w:val="231F20"/>
          <w:w w:val="105"/>
        </w:rPr>
        <w:t>en</w:t>
      </w:r>
      <w:r>
        <w:rPr>
          <w:color w:val="231F20"/>
          <w:spacing w:val="-8"/>
          <w:w w:val="105"/>
        </w:rPr>
        <w:t> </w:t>
      </w:r>
      <w:r>
        <w:rPr>
          <w:color w:val="231F20"/>
          <w:w w:val="105"/>
        </w:rPr>
        <w:t>México</w:t>
      </w:r>
      <w:r>
        <w:rPr>
          <w:color w:val="231F20"/>
          <w:spacing w:val="-8"/>
          <w:w w:val="105"/>
        </w:rPr>
        <w:t> </w:t>
      </w:r>
      <w:r>
        <w:rPr>
          <w:color w:val="231F20"/>
          <w:w w:val="105"/>
        </w:rPr>
        <w:t>se hizo un uso excesivo de esta forma y se cayó en el clientelismo y patronazgo. </w:t>
      </w:r>
      <w:r>
        <w:rPr>
          <w:color w:val="231F20"/>
          <w:spacing w:val="-3"/>
          <w:w w:val="105"/>
        </w:rPr>
        <w:t>Por </w:t>
      </w:r>
      <w:r>
        <w:rPr>
          <w:color w:val="231F20"/>
          <w:w w:val="105"/>
        </w:rPr>
        <w:t>eso los anglosajones utilizan el término spoil system, para no dar el sentido peyorativo de clientelismo.</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caso</w:t>
      </w:r>
      <w:r>
        <w:rPr>
          <w:color w:val="231F20"/>
          <w:spacing w:val="-18"/>
          <w:w w:val="105"/>
        </w:rPr>
        <w:t> </w:t>
      </w:r>
      <w:r>
        <w:rPr>
          <w:color w:val="231F20"/>
          <w:w w:val="105"/>
        </w:rPr>
        <w:t>es</w:t>
      </w:r>
      <w:r>
        <w:rPr>
          <w:color w:val="231F20"/>
          <w:spacing w:val="-18"/>
          <w:w w:val="105"/>
        </w:rPr>
        <w:t> </w:t>
      </w:r>
      <w:r>
        <w:rPr>
          <w:color w:val="231F20"/>
          <w:w w:val="105"/>
        </w:rPr>
        <w:t>lo</w:t>
      </w:r>
      <w:r>
        <w:rPr>
          <w:color w:val="231F20"/>
          <w:spacing w:val="-18"/>
          <w:w w:val="105"/>
        </w:rPr>
        <w:t> </w:t>
      </w:r>
      <w:r>
        <w:rPr>
          <w:color w:val="231F20"/>
          <w:w w:val="105"/>
        </w:rPr>
        <w:t>mismo</w:t>
      </w:r>
      <w:r>
        <w:rPr>
          <w:color w:val="231F20"/>
          <w:spacing w:val="-18"/>
          <w:w w:val="105"/>
        </w:rPr>
        <w:t> </w:t>
      </w:r>
      <w:r>
        <w:rPr>
          <w:color w:val="231F20"/>
          <w:w w:val="105"/>
        </w:rPr>
        <w:t>llámese</w:t>
      </w:r>
      <w:r>
        <w:rPr>
          <w:color w:val="231F20"/>
          <w:spacing w:val="-18"/>
          <w:w w:val="105"/>
        </w:rPr>
        <w:t> </w:t>
      </w:r>
      <w:r>
        <w:rPr>
          <w:color w:val="231F20"/>
          <w:w w:val="105"/>
        </w:rPr>
        <w:t>como</w:t>
      </w:r>
      <w:r>
        <w:rPr>
          <w:color w:val="231F20"/>
          <w:spacing w:val="-18"/>
          <w:w w:val="105"/>
        </w:rPr>
        <w:t> </w:t>
      </w:r>
      <w:r>
        <w:rPr>
          <w:color w:val="231F20"/>
          <w:w w:val="105"/>
        </w:rPr>
        <w:t>se</w:t>
      </w:r>
      <w:r>
        <w:rPr>
          <w:color w:val="231F20"/>
          <w:spacing w:val="-18"/>
          <w:w w:val="105"/>
        </w:rPr>
        <w:t> </w:t>
      </w:r>
      <w:r>
        <w:rPr>
          <w:color w:val="231F20"/>
          <w:w w:val="105"/>
        </w:rPr>
        <w:t>llame.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Además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funcionarios,</w:t>
      </w:r>
      <w:r>
        <w:rPr>
          <w:color w:val="231F20"/>
          <w:spacing w:val="-17"/>
          <w:w w:val="105"/>
        </w:rPr>
        <w:t> </w:t>
      </w:r>
      <w:r>
        <w:rPr>
          <w:color w:val="231F20"/>
          <w:w w:val="105"/>
        </w:rPr>
        <w:t>también</w:t>
      </w:r>
      <w:r>
        <w:rPr>
          <w:color w:val="231F20"/>
          <w:spacing w:val="-17"/>
          <w:w w:val="105"/>
        </w:rPr>
        <w:t> </w:t>
      </w:r>
      <w:r>
        <w:rPr>
          <w:color w:val="231F20"/>
          <w:w w:val="105"/>
        </w:rPr>
        <w:t>se</w:t>
      </w:r>
      <w:r>
        <w:rPr>
          <w:color w:val="231F20"/>
          <w:spacing w:val="-17"/>
          <w:w w:val="105"/>
        </w:rPr>
        <w:t> </w:t>
      </w:r>
      <w:r>
        <w:rPr>
          <w:color w:val="231F20"/>
          <w:w w:val="105"/>
        </w:rPr>
        <w:t>colocaron</w:t>
      </w:r>
      <w:r>
        <w:rPr>
          <w:color w:val="231F20"/>
          <w:spacing w:val="-17"/>
          <w:w w:val="105"/>
        </w:rPr>
        <w:t> </w:t>
      </w:r>
      <w:r>
        <w:rPr>
          <w:color w:val="231F20"/>
          <w:w w:val="105"/>
        </w:rPr>
        <w:t>a</w:t>
      </w:r>
      <w:r>
        <w:rPr>
          <w:color w:val="231F20"/>
          <w:spacing w:val="-17"/>
          <w:w w:val="105"/>
        </w:rPr>
        <w:t> </w:t>
      </w:r>
      <w:r>
        <w:rPr>
          <w:color w:val="231F20"/>
          <w:w w:val="105"/>
        </w:rPr>
        <w:t>empleados</w:t>
      </w:r>
      <w:r>
        <w:rPr>
          <w:color w:val="231F20"/>
          <w:spacing w:val="-17"/>
          <w:w w:val="105"/>
        </w:rPr>
        <w:t> </w:t>
      </w:r>
      <w:r>
        <w:rPr>
          <w:color w:val="231F20"/>
          <w:w w:val="105"/>
        </w:rPr>
        <w:t>de</w:t>
      </w:r>
      <w:r>
        <w:rPr>
          <w:color w:val="231F20"/>
          <w:spacing w:val="-17"/>
          <w:w w:val="105"/>
        </w:rPr>
        <w:t> </w:t>
      </w:r>
      <w:r>
        <w:rPr>
          <w:color w:val="231F20"/>
          <w:w w:val="105"/>
        </w:rPr>
        <w:t>confianza</w:t>
      </w:r>
      <w:r>
        <w:rPr>
          <w:color w:val="231F20"/>
          <w:spacing w:val="-17"/>
          <w:w w:val="105"/>
        </w:rPr>
        <w:t> </w:t>
      </w:r>
      <w:r>
        <w:rPr>
          <w:color w:val="231F20"/>
          <w:w w:val="105"/>
        </w:rPr>
        <w:t>y</w:t>
      </w:r>
      <w:r>
        <w:rPr>
          <w:color w:val="231F20"/>
          <w:spacing w:val="-17"/>
          <w:w w:val="105"/>
        </w:rPr>
        <w:t> </w:t>
      </w:r>
      <w:r>
        <w:rPr>
          <w:color w:val="231F20"/>
          <w:w w:val="105"/>
        </w:rPr>
        <w:t>del</w:t>
      </w:r>
      <w:r>
        <w:rPr>
          <w:color w:val="231F20"/>
          <w:spacing w:val="-17"/>
          <w:w w:val="105"/>
        </w:rPr>
        <w:t> </w:t>
      </w:r>
      <w:r>
        <w:rPr>
          <w:color w:val="231F20"/>
          <w:w w:val="105"/>
        </w:rPr>
        <w:t>nivel operativo</w:t>
      </w:r>
      <w:r>
        <w:rPr>
          <w:color w:val="231F20"/>
          <w:spacing w:val="-25"/>
          <w:w w:val="105"/>
        </w:rPr>
        <w:t> </w:t>
      </w:r>
      <w:r>
        <w:rPr>
          <w:color w:val="231F20"/>
          <w:w w:val="105"/>
        </w:rPr>
        <w:t>bajo</w:t>
      </w:r>
      <w:r>
        <w:rPr>
          <w:color w:val="231F20"/>
          <w:spacing w:val="-25"/>
          <w:w w:val="105"/>
        </w:rPr>
        <w:t> </w:t>
      </w:r>
      <w:r>
        <w:rPr>
          <w:color w:val="231F20"/>
          <w:w w:val="105"/>
        </w:rPr>
        <w:t>el</w:t>
      </w:r>
      <w:r>
        <w:rPr>
          <w:color w:val="231F20"/>
          <w:spacing w:val="-25"/>
          <w:w w:val="105"/>
        </w:rPr>
        <w:t> </w:t>
      </w:r>
      <w:r>
        <w:rPr>
          <w:color w:val="231F20"/>
          <w:w w:val="105"/>
        </w:rPr>
        <w:t>principio</w:t>
      </w:r>
      <w:r>
        <w:rPr>
          <w:color w:val="231F20"/>
          <w:spacing w:val="-25"/>
          <w:w w:val="105"/>
        </w:rPr>
        <w:t> </w:t>
      </w:r>
      <w:r>
        <w:rPr>
          <w:color w:val="231F20"/>
          <w:w w:val="105"/>
        </w:rPr>
        <w:t>del</w:t>
      </w:r>
      <w:r>
        <w:rPr>
          <w:color w:val="231F20"/>
          <w:spacing w:val="-25"/>
          <w:w w:val="105"/>
        </w:rPr>
        <w:t> </w:t>
      </w:r>
      <w:r>
        <w:rPr>
          <w:color w:val="231F20"/>
          <w:w w:val="105"/>
        </w:rPr>
        <w:t>spoil</w:t>
      </w:r>
      <w:r>
        <w:rPr>
          <w:color w:val="231F20"/>
          <w:spacing w:val="-25"/>
          <w:w w:val="105"/>
        </w:rPr>
        <w:t> </w:t>
      </w:r>
      <w:r>
        <w:rPr>
          <w:color w:val="231F20"/>
          <w:w w:val="105"/>
        </w:rPr>
        <w:t>system.</w:t>
      </w:r>
      <w:r>
        <w:rPr>
          <w:color w:val="231F20"/>
          <w:spacing w:val="-25"/>
          <w:w w:val="105"/>
        </w:rPr>
        <w:t> </w:t>
      </w:r>
      <w:r>
        <w:rPr>
          <w:color w:val="231F20"/>
          <w:w w:val="105"/>
        </w:rPr>
        <w:t>Entonces,</w:t>
      </w:r>
      <w:r>
        <w:rPr>
          <w:color w:val="231F20"/>
          <w:spacing w:val="-25"/>
          <w:w w:val="105"/>
        </w:rPr>
        <w:t> </w:t>
      </w:r>
      <w:r>
        <w:rPr>
          <w:color w:val="231F20"/>
          <w:w w:val="105"/>
        </w:rPr>
        <w:t>la</w:t>
      </w:r>
      <w:r>
        <w:rPr>
          <w:color w:val="231F20"/>
          <w:spacing w:val="-25"/>
          <w:w w:val="105"/>
        </w:rPr>
        <w:t> </w:t>
      </w:r>
      <w:r>
        <w:rPr>
          <w:color w:val="231F20"/>
          <w:w w:val="105"/>
        </w:rPr>
        <w:t>pregunta</w:t>
      </w:r>
      <w:r>
        <w:rPr>
          <w:color w:val="231F20"/>
          <w:spacing w:val="-25"/>
          <w:w w:val="105"/>
        </w:rPr>
        <w:t> </w:t>
      </w:r>
      <w:r>
        <w:rPr>
          <w:color w:val="231F20"/>
          <w:w w:val="105"/>
        </w:rPr>
        <w:t>es</w:t>
      </w:r>
      <w:r>
        <w:rPr>
          <w:color w:val="231F20"/>
          <w:spacing w:val="-25"/>
          <w:w w:val="105"/>
        </w:rPr>
        <w:t> </w:t>
      </w:r>
      <w:r>
        <w:rPr>
          <w:color w:val="231F20"/>
          <w:w w:val="105"/>
        </w:rPr>
        <w:t>¿quién</w:t>
      </w:r>
      <w:r>
        <w:rPr>
          <w:color w:val="231F20"/>
          <w:spacing w:val="-25"/>
          <w:w w:val="105"/>
        </w:rPr>
        <w:t> </w:t>
      </w:r>
      <w:r>
        <w:rPr>
          <w:color w:val="231F20"/>
          <w:w w:val="105"/>
        </w:rPr>
        <w:t>ingresó</w:t>
      </w:r>
      <w:r>
        <w:rPr>
          <w:color w:val="231F20"/>
          <w:spacing w:val="-25"/>
          <w:w w:val="105"/>
        </w:rPr>
        <w:t> </w:t>
      </w:r>
      <w:r>
        <w:rPr>
          <w:color w:val="231F20"/>
          <w:w w:val="105"/>
        </w:rPr>
        <w:t>o</w:t>
      </w:r>
      <w:r>
        <w:rPr>
          <w:color w:val="231F20"/>
          <w:spacing w:val="-25"/>
          <w:w w:val="105"/>
        </w:rPr>
        <w:t> </w:t>
      </w:r>
      <w:r>
        <w:rPr>
          <w:color w:val="231F20"/>
          <w:w w:val="105"/>
        </w:rPr>
        <w:t>in- vitó</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administración</w:t>
      </w:r>
      <w:r>
        <w:rPr>
          <w:color w:val="231F20"/>
          <w:spacing w:val="-18"/>
          <w:w w:val="105"/>
        </w:rPr>
        <w:t> </w:t>
      </w:r>
      <w:r>
        <w:rPr>
          <w:color w:val="231F20"/>
          <w:w w:val="105"/>
        </w:rPr>
        <w:t>municipal</w:t>
      </w:r>
      <w:r>
        <w:rPr>
          <w:color w:val="231F20"/>
          <w:spacing w:val="-18"/>
          <w:w w:val="105"/>
        </w:rPr>
        <w:t> </w:t>
      </w:r>
      <w:r>
        <w:rPr>
          <w:color w:val="231F20"/>
          <w:w w:val="105"/>
        </w:rPr>
        <w:t>tanto</w:t>
      </w:r>
      <w:r>
        <w:rPr>
          <w:color w:val="231F20"/>
          <w:spacing w:val="-18"/>
          <w:w w:val="105"/>
        </w:rPr>
        <w:t> </w:t>
      </w:r>
      <w:r>
        <w:rPr>
          <w:color w:val="231F20"/>
          <w:w w:val="105"/>
        </w:rPr>
        <w:t>a</w:t>
      </w:r>
      <w:r>
        <w:rPr>
          <w:color w:val="231F20"/>
          <w:spacing w:val="-18"/>
          <w:w w:val="105"/>
        </w:rPr>
        <w:t> </w:t>
      </w:r>
      <w:r>
        <w:rPr>
          <w:color w:val="231F20"/>
          <w:w w:val="105"/>
        </w:rPr>
        <w:t>funcionarios</w:t>
      </w:r>
      <w:r>
        <w:rPr>
          <w:color w:val="231F20"/>
          <w:spacing w:val="-18"/>
          <w:w w:val="105"/>
        </w:rPr>
        <w:t> </w:t>
      </w:r>
      <w:r>
        <w:rPr>
          <w:color w:val="231F20"/>
          <w:w w:val="105"/>
        </w:rPr>
        <w:t>como</w:t>
      </w:r>
      <w:r>
        <w:rPr>
          <w:color w:val="231F20"/>
          <w:spacing w:val="-18"/>
          <w:w w:val="105"/>
        </w:rPr>
        <w:t> </w:t>
      </w:r>
      <w:r>
        <w:rPr>
          <w:color w:val="231F20"/>
          <w:w w:val="105"/>
        </w:rPr>
        <w:t>a</w:t>
      </w:r>
      <w:r>
        <w:rPr>
          <w:color w:val="231F20"/>
          <w:spacing w:val="-18"/>
          <w:w w:val="105"/>
        </w:rPr>
        <w:t> </w:t>
      </w:r>
      <w:r>
        <w:rPr>
          <w:color w:val="231F20"/>
          <w:spacing w:val="-3"/>
          <w:w w:val="105"/>
        </w:rPr>
        <w:t>empleados?</w:t>
      </w:r>
      <w:r>
        <w:rPr>
          <w:color w:val="231F20"/>
          <w:spacing w:val="-18"/>
          <w:w w:val="105"/>
        </w:rPr>
        <w:t> </w:t>
      </w:r>
      <w:r>
        <w:rPr>
          <w:color w:val="231F20"/>
          <w:w w:val="105"/>
        </w:rPr>
        <w:t>La</w:t>
      </w:r>
      <w:r>
        <w:rPr>
          <w:color w:val="231F20"/>
          <w:spacing w:val="-18"/>
          <w:w w:val="105"/>
        </w:rPr>
        <w:t> </w:t>
      </w:r>
      <w:r>
        <w:rPr>
          <w:color w:val="231F20"/>
          <w:w w:val="105"/>
        </w:rPr>
        <w:t>respuesta es</w:t>
      </w:r>
      <w:r>
        <w:rPr>
          <w:color w:val="231F20"/>
          <w:spacing w:val="-11"/>
          <w:w w:val="105"/>
        </w:rPr>
        <w:t> </w:t>
      </w:r>
      <w:r>
        <w:rPr>
          <w:color w:val="231F20"/>
          <w:w w:val="105"/>
        </w:rPr>
        <w:t>muy</w:t>
      </w:r>
      <w:r>
        <w:rPr>
          <w:color w:val="231F20"/>
          <w:spacing w:val="-11"/>
          <w:w w:val="105"/>
        </w:rPr>
        <w:t> </w:t>
      </w:r>
      <w:r>
        <w:rPr>
          <w:color w:val="231F20"/>
          <w:w w:val="105"/>
        </w:rPr>
        <w:t>fácil,</w:t>
      </w:r>
      <w:r>
        <w:rPr>
          <w:color w:val="231F20"/>
          <w:spacing w:val="-11"/>
          <w:w w:val="105"/>
        </w:rPr>
        <w:t> </w:t>
      </w:r>
      <w:r>
        <w:rPr>
          <w:color w:val="231F20"/>
          <w:w w:val="105"/>
        </w:rPr>
        <w:t>el</w:t>
      </w:r>
      <w:r>
        <w:rPr>
          <w:color w:val="231F20"/>
          <w:spacing w:val="-11"/>
          <w:w w:val="105"/>
        </w:rPr>
        <w:t> </w:t>
      </w:r>
      <w:r>
        <w:rPr>
          <w:color w:val="231F20"/>
          <w:w w:val="105"/>
        </w:rPr>
        <w:t>presidente</w:t>
      </w:r>
      <w:r>
        <w:rPr>
          <w:color w:val="231F20"/>
          <w:spacing w:val="-11"/>
          <w:w w:val="105"/>
        </w:rPr>
        <w:t> </w:t>
      </w:r>
      <w:r>
        <w:rPr>
          <w:color w:val="231F20"/>
          <w:w w:val="105"/>
        </w:rPr>
        <w:t>municipal.</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único</w:t>
      </w:r>
      <w:r>
        <w:rPr>
          <w:color w:val="231F20"/>
          <w:spacing w:val="-11"/>
          <w:w w:val="105"/>
        </w:rPr>
        <w:t> </w:t>
      </w:r>
      <w:r>
        <w:rPr>
          <w:color w:val="231F20"/>
          <w:w w:val="105"/>
        </w:rPr>
        <w:t>que</w:t>
      </w:r>
      <w:r>
        <w:rPr>
          <w:color w:val="231F20"/>
          <w:spacing w:val="-11"/>
          <w:w w:val="105"/>
        </w:rPr>
        <w:t> </w:t>
      </w:r>
      <w:r>
        <w:rPr>
          <w:color w:val="231F20"/>
          <w:w w:val="105"/>
        </w:rPr>
        <w:t>tiene</w:t>
      </w:r>
      <w:r>
        <w:rPr>
          <w:color w:val="231F20"/>
          <w:spacing w:val="-11"/>
          <w:w w:val="105"/>
        </w:rPr>
        <w:t> </w:t>
      </w:r>
      <w:r>
        <w:rPr>
          <w:color w:val="231F20"/>
          <w:w w:val="105"/>
        </w:rPr>
        <w:t>ese</w:t>
      </w:r>
      <w:r>
        <w:rPr>
          <w:color w:val="231F20"/>
          <w:spacing w:val="-11"/>
          <w:w w:val="105"/>
        </w:rPr>
        <w:t> </w:t>
      </w:r>
      <w:r>
        <w:rPr>
          <w:color w:val="231F20"/>
          <w:w w:val="105"/>
        </w:rPr>
        <w:t>poder</w:t>
      </w:r>
      <w:r>
        <w:rPr>
          <w:color w:val="231F20"/>
          <w:spacing w:val="-11"/>
          <w:w w:val="105"/>
        </w:rPr>
        <w:t> </w:t>
      </w:r>
      <w:r>
        <w:rPr>
          <w:color w:val="231F20"/>
          <w:w w:val="105"/>
        </w:rPr>
        <w:t>de</w:t>
      </w:r>
      <w:r>
        <w:rPr>
          <w:color w:val="231F20"/>
          <w:spacing w:val="-11"/>
          <w:w w:val="105"/>
        </w:rPr>
        <w:t> </w:t>
      </w:r>
      <w:r>
        <w:rPr>
          <w:color w:val="231F20"/>
          <w:w w:val="105"/>
        </w:rPr>
        <w:t>decisión.</w:t>
      </w:r>
      <w:r>
        <w:rPr>
          <w:color w:val="231F20"/>
          <w:spacing w:val="-11"/>
          <w:w w:val="105"/>
        </w:rPr>
        <w:t> </w:t>
      </w:r>
      <w:r>
        <w:rPr>
          <w:color w:val="231F20"/>
          <w:w w:val="105"/>
        </w:rPr>
        <w:t>A</w:t>
      </w:r>
      <w:r>
        <w:rPr>
          <w:color w:val="231F20"/>
          <w:spacing w:val="-11"/>
          <w:w w:val="105"/>
        </w:rPr>
        <w:t> </w:t>
      </w:r>
      <w:r>
        <w:rPr>
          <w:color w:val="231F20"/>
          <w:w w:val="105"/>
        </w:rPr>
        <w:t>los funcionarios</w:t>
      </w:r>
      <w:r>
        <w:rPr>
          <w:color w:val="231F20"/>
          <w:spacing w:val="-10"/>
          <w:w w:val="105"/>
        </w:rPr>
        <w:t> </w:t>
      </w:r>
      <w:r>
        <w:rPr>
          <w:color w:val="231F20"/>
          <w:w w:val="105"/>
        </w:rPr>
        <w:t>los</w:t>
      </w:r>
      <w:r>
        <w:rPr>
          <w:color w:val="231F20"/>
          <w:spacing w:val="-10"/>
          <w:w w:val="105"/>
        </w:rPr>
        <w:t> </w:t>
      </w:r>
      <w:r>
        <w:rPr>
          <w:color w:val="231F20"/>
          <w:spacing w:val="-3"/>
          <w:w w:val="105"/>
        </w:rPr>
        <w:t>propone</w:t>
      </w:r>
      <w:r>
        <w:rPr>
          <w:color w:val="231F20"/>
          <w:spacing w:val="-10"/>
          <w:w w:val="105"/>
        </w:rPr>
        <w:t> </w:t>
      </w:r>
      <w:r>
        <w:rPr>
          <w:color w:val="231F20"/>
          <w:w w:val="105"/>
        </w:rPr>
        <w:t>ante</w:t>
      </w:r>
      <w:r>
        <w:rPr>
          <w:color w:val="231F20"/>
          <w:spacing w:val="-10"/>
          <w:w w:val="105"/>
        </w:rPr>
        <w:t> </w:t>
      </w:r>
      <w:r>
        <w:rPr>
          <w:color w:val="231F20"/>
          <w:w w:val="105"/>
        </w:rPr>
        <w:t>el</w:t>
      </w:r>
      <w:r>
        <w:rPr>
          <w:color w:val="231F20"/>
          <w:spacing w:val="-10"/>
          <w:w w:val="105"/>
        </w:rPr>
        <w:t> </w:t>
      </w:r>
      <w:r>
        <w:rPr>
          <w:color w:val="231F20"/>
          <w:w w:val="105"/>
        </w:rPr>
        <w:t>ayuntamiento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primera</w:t>
      </w:r>
      <w:r>
        <w:rPr>
          <w:color w:val="231F20"/>
          <w:spacing w:val="-10"/>
          <w:w w:val="105"/>
        </w:rPr>
        <w:t> </w:t>
      </w:r>
      <w:r>
        <w:rPr>
          <w:color w:val="231F20"/>
          <w:w w:val="105"/>
        </w:rPr>
        <w:t>sesión</w:t>
      </w:r>
      <w:r>
        <w:rPr>
          <w:color w:val="231F20"/>
          <w:spacing w:val="-10"/>
          <w:w w:val="105"/>
        </w:rPr>
        <w:t> </w:t>
      </w:r>
      <w:r>
        <w:rPr>
          <w:color w:val="231F20"/>
          <w:w w:val="105"/>
        </w:rPr>
        <w:t>de</w:t>
      </w:r>
      <w:r>
        <w:rPr>
          <w:color w:val="231F20"/>
          <w:spacing w:val="-10"/>
          <w:w w:val="105"/>
        </w:rPr>
        <w:t> </w:t>
      </w:r>
      <w:r>
        <w:rPr>
          <w:color w:val="231F20"/>
          <w:w w:val="105"/>
        </w:rPr>
        <w:t>cabildo,</w:t>
      </w:r>
      <w:r>
        <w:rPr>
          <w:color w:val="231F20"/>
          <w:spacing w:val="-10"/>
          <w:w w:val="105"/>
        </w:rPr>
        <w:t> </w:t>
      </w:r>
      <w:r>
        <w:rPr>
          <w:color w:val="231F20"/>
          <w:w w:val="105"/>
        </w:rPr>
        <w:t>mismos que</w:t>
      </w:r>
      <w:r>
        <w:rPr>
          <w:color w:val="231F20"/>
          <w:spacing w:val="-21"/>
          <w:w w:val="105"/>
        </w:rPr>
        <w:t> </w:t>
      </w:r>
      <w:r>
        <w:rPr>
          <w:color w:val="231F20"/>
          <w:w w:val="105"/>
        </w:rPr>
        <w:t>se</w:t>
      </w:r>
      <w:r>
        <w:rPr>
          <w:color w:val="231F20"/>
          <w:spacing w:val="-21"/>
          <w:w w:val="105"/>
        </w:rPr>
        <w:t> </w:t>
      </w:r>
      <w:r>
        <w:rPr>
          <w:color w:val="231F20"/>
          <w:w w:val="105"/>
        </w:rPr>
        <w:t>acordaron</w:t>
      </w:r>
      <w:r>
        <w:rPr>
          <w:color w:val="231F20"/>
          <w:spacing w:val="-21"/>
          <w:w w:val="105"/>
        </w:rPr>
        <w:t> </w:t>
      </w:r>
      <w:r>
        <w:rPr>
          <w:color w:val="231F20"/>
          <w:w w:val="105"/>
        </w:rPr>
        <w:t>sin</w:t>
      </w:r>
      <w:r>
        <w:rPr>
          <w:color w:val="231F20"/>
          <w:spacing w:val="-21"/>
          <w:w w:val="105"/>
        </w:rPr>
        <w:t> </w:t>
      </w:r>
      <w:r>
        <w:rPr>
          <w:color w:val="231F20"/>
          <w:w w:val="105"/>
        </w:rPr>
        <w:t>mayor</w:t>
      </w:r>
      <w:r>
        <w:rPr>
          <w:color w:val="231F20"/>
          <w:spacing w:val="-21"/>
          <w:w w:val="105"/>
        </w:rPr>
        <w:t> </w:t>
      </w:r>
      <w:r>
        <w:rPr>
          <w:color w:val="231F20"/>
          <w:w w:val="105"/>
        </w:rPr>
        <w:t>problema,</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aprobación</w:t>
      </w:r>
      <w:r>
        <w:rPr>
          <w:color w:val="231F20"/>
          <w:spacing w:val="-21"/>
          <w:w w:val="105"/>
        </w:rPr>
        <w:t> </w:t>
      </w:r>
      <w:r>
        <w:rPr>
          <w:color w:val="231F20"/>
          <w:w w:val="105"/>
        </w:rPr>
        <w:t>mayoritaria</w:t>
      </w:r>
      <w:r>
        <w:rPr>
          <w:color w:val="231F20"/>
          <w:spacing w:val="-21"/>
          <w:w w:val="105"/>
        </w:rPr>
        <w:t> </w:t>
      </w:r>
      <w:r>
        <w:rPr>
          <w:color w:val="231F20"/>
          <w:w w:val="105"/>
        </w:rPr>
        <w:t>del</w:t>
      </w:r>
      <w:r>
        <w:rPr>
          <w:color w:val="231F20"/>
          <w:spacing w:val="-21"/>
          <w:w w:val="105"/>
        </w:rPr>
        <w:t> </w:t>
      </w:r>
      <w:r>
        <w:rPr>
          <w:color w:val="231F20"/>
          <w:w w:val="105"/>
        </w:rPr>
        <w:t>partido</w:t>
      </w:r>
      <w:r>
        <w:rPr>
          <w:color w:val="231F20"/>
          <w:spacing w:val="-21"/>
          <w:w w:val="105"/>
        </w:rPr>
        <w:t> </w:t>
      </w:r>
      <w:r>
        <w:rPr>
          <w:color w:val="231F20"/>
          <w:w w:val="105"/>
        </w:rPr>
        <w:t>del</w:t>
      </w:r>
      <w:r>
        <w:rPr>
          <w:color w:val="231F20"/>
          <w:spacing w:val="-21"/>
          <w:w w:val="105"/>
        </w:rPr>
        <w:t> </w:t>
      </w:r>
      <w:r>
        <w:rPr>
          <w:color w:val="231F20"/>
          <w:w w:val="105"/>
        </w:rPr>
        <w:t>pre- sidente. Los demás, los empleados entran sin pasar por el consentimiento del cabildo, aunque</w:t>
      </w:r>
      <w:r>
        <w:rPr>
          <w:color w:val="231F20"/>
          <w:spacing w:val="-8"/>
          <w:w w:val="105"/>
        </w:rPr>
        <w:t> </w:t>
      </w:r>
      <w:r>
        <w:rPr>
          <w:color w:val="231F20"/>
          <w:w w:val="105"/>
        </w:rPr>
        <w:t>este</w:t>
      </w:r>
      <w:r>
        <w:rPr>
          <w:color w:val="231F20"/>
          <w:spacing w:val="-8"/>
          <w:w w:val="105"/>
        </w:rPr>
        <w:t> </w:t>
      </w:r>
      <w:r>
        <w:rPr>
          <w:color w:val="231F20"/>
          <w:w w:val="105"/>
        </w:rPr>
        <w:t>puede</w:t>
      </w:r>
      <w:r>
        <w:rPr>
          <w:color w:val="231F20"/>
          <w:spacing w:val="-8"/>
          <w:w w:val="105"/>
        </w:rPr>
        <w:t> </w:t>
      </w:r>
      <w:r>
        <w:rPr>
          <w:color w:val="231F20"/>
          <w:w w:val="105"/>
        </w:rPr>
        <w:t>tener</w:t>
      </w:r>
      <w:r>
        <w:rPr>
          <w:color w:val="231F20"/>
          <w:spacing w:val="-8"/>
          <w:w w:val="105"/>
        </w:rPr>
        <w:t> </w:t>
      </w:r>
      <w:r>
        <w:rPr>
          <w:color w:val="231F20"/>
          <w:w w:val="105"/>
        </w:rPr>
        <w:t>atribuciones</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tamaño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burocracia.</w:t>
      </w:r>
    </w:p>
    <w:p>
      <w:pPr>
        <w:pStyle w:val="BodyText"/>
        <w:spacing w:before="1"/>
        <w:rPr>
          <w:sz w:val="26"/>
        </w:rPr>
      </w:pPr>
    </w:p>
    <w:p>
      <w:pPr>
        <w:pStyle w:val="BodyText"/>
        <w:spacing w:line="285" w:lineRule="auto"/>
        <w:ind w:left="110" w:right="108"/>
        <w:jc w:val="both"/>
      </w:pP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quiere</w:t>
      </w:r>
      <w:r>
        <w:rPr>
          <w:color w:val="231F20"/>
          <w:spacing w:val="-10"/>
          <w:w w:val="105"/>
        </w:rPr>
        <w:t> </w:t>
      </w:r>
      <w:r>
        <w:rPr>
          <w:color w:val="231F20"/>
          <w:w w:val="105"/>
        </w:rPr>
        <w:t>rescatar</w:t>
      </w:r>
      <w:r>
        <w:rPr>
          <w:color w:val="231F20"/>
          <w:spacing w:val="-10"/>
          <w:w w:val="105"/>
        </w:rPr>
        <w:t> </w:t>
      </w:r>
      <w:r>
        <w:rPr>
          <w:color w:val="231F20"/>
          <w:w w:val="105"/>
        </w:rPr>
        <w:t>con</w:t>
      </w:r>
      <w:r>
        <w:rPr>
          <w:color w:val="231F20"/>
          <w:spacing w:val="-10"/>
          <w:w w:val="105"/>
        </w:rPr>
        <w:t> </w:t>
      </w:r>
      <w:r>
        <w:rPr>
          <w:color w:val="231F20"/>
          <w:w w:val="105"/>
        </w:rPr>
        <w:t>esto</w:t>
      </w:r>
      <w:r>
        <w:rPr>
          <w:color w:val="231F20"/>
          <w:spacing w:val="-10"/>
          <w:w w:val="105"/>
        </w:rPr>
        <w:t> </w:t>
      </w:r>
      <w:r>
        <w:rPr>
          <w:color w:val="231F20"/>
          <w:w w:val="105"/>
        </w:rPr>
        <w:t>es</w:t>
      </w:r>
      <w:r>
        <w:rPr>
          <w:color w:val="231F20"/>
          <w:spacing w:val="-10"/>
          <w:w w:val="105"/>
        </w:rPr>
        <w:t> </w:t>
      </w:r>
      <w:r>
        <w:rPr>
          <w:color w:val="231F20"/>
          <w:w w:val="105"/>
        </w:rPr>
        <w:t>la</w:t>
      </w:r>
      <w:r>
        <w:rPr>
          <w:color w:val="231F20"/>
          <w:spacing w:val="-10"/>
          <w:w w:val="105"/>
        </w:rPr>
        <w:t> </w:t>
      </w:r>
      <w:r>
        <w:rPr>
          <w:color w:val="231F20"/>
          <w:w w:val="105"/>
        </w:rPr>
        <w:t>forma</w:t>
      </w:r>
      <w:r>
        <w:rPr>
          <w:color w:val="231F20"/>
          <w:spacing w:val="-10"/>
          <w:w w:val="105"/>
        </w:rPr>
        <w:t> </w:t>
      </w:r>
      <w:r>
        <w:rPr>
          <w:color w:val="231F20"/>
          <w:w w:val="105"/>
        </w:rPr>
        <w:t>en</w:t>
      </w:r>
      <w:r>
        <w:rPr>
          <w:color w:val="231F20"/>
          <w:spacing w:val="-10"/>
          <w:w w:val="105"/>
        </w:rPr>
        <w:t> </w:t>
      </w:r>
      <w:r>
        <w:rPr>
          <w:color w:val="231F20"/>
          <w:w w:val="105"/>
        </w:rPr>
        <w:t>cómo</w:t>
      </w:r>
      <w:r>
        <w:rPr>
          <w:color w:val="231F20"/>
          <w:spacing w:val="-10"/>
          <w:w w:val="105"/>
        </w:rPr>
        <w:t> </w:t>
      </w:r>
      <w:r>
        <w:rPr>
          <w:color w:val="231F20"/>
          <w:w w:val="105"/>
        </w:rPr>
        <w:t>se</w:t>
      </w:r>
      <w:r>
        <w:rPr>
          <w:color w:val="231F20"/>
          <w:spacing w:val="-10"/>
          <w:w w:val="105"/>
        </w:rPr>
        <w:t> </w:t>
      </w:r>
      <w:r>
        <w:rPr>
          <w:color w:val="231F20"/>
          <w:w w:val="105"/>
        </w:rPr>
        <w:t>introduce</w:t>
      </w:r>
      <w:r>
        <w:rPr>
          <w:color w:val="231F20"/>
          <w:spacing w:val="-10"/>
          <w:w w:val="105"/>
        </w:rPr>
        <w:t> </w:t>
      </w:r>
      <w:r>
        <w:rPr>
          <w:color w:val="231F20"/>
          <w:w w:val="105"/>
        </w:rPr>
        <w:t>personal</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admi- nistración</w:t>
      </w:r>
      <w:r>
        <w:rPr>
          <w:color w:val="231F20"/>
          <w:spacing w:val="-4"/>
          <w:w w:val="105"/>
        </w:rPr>
        <w:t> </w:t>
      </w:r>
      <w:r>
        <w:rPr>
          <w:color w:val="231F20"/>
          <w:w w:val="105"/>
        </w:rPr>
        <w:t>y</w:t>
      </w:r>
      <w:r>
        <w:rPr>
          <w:color w:val="231F20"/>
          <w:spacing w:val="-4"/>
          <w:w w:val="105"/>
        </w:rPr>
        <w:t> </w:t>
      </w:r>
      <w:r>
        <w:rPr>
          <w:color w:val="231F20"/>
          <w:w w:val="105"/>
        </w:rPr>
        <w:t>como</w:t>
      </w:r>
      <w:r>
        <w:rPr>
          <w:color w:val="231F20"/>
          <w:spacing w:val="-4"/>
          <w:w w:val="105"/>
        </w:rPr>
        <w:t> </w:t>
      </w:r>
      <w:r>
        <w:rPr>
          <w:color w:val="231F20"/>
          <w:w w:val="105"/>
        </w:rPr>
        <w:t>logra</w:t>
      </w:r>
      <w:r>
        <w:rPr>
          <w:color w:val="231F20"/>
          <w:spacing w:val="-4"/>
          <w:w w:val="105"/>
        </w:rPr>
        <w:t> </w:t>
      </w:r>
      <w:r>
        <w:rPr>
          <w:color w:val="231F20"/>
          <w:w w:val="105"/>
        </w:rPr>
        <w:t>el</w:t>
      </w:r>
      <w:r>
        <w:rPr>
          <w:color w:val="231F20"/>
          <w:spacing w:val="-4"/>
          <w:w w:val="105"/>
        </w:rPr>
        <w:t> </w:t>
      </w:r>
      <w:r>
        <w:rPr>
          <w:color w:val="231F20"/>
          <w:w w:val="105"/>
        </w:rPr>
        <w:t>presidente,</w:t>
      </w:r>
      <w:r>
        <w:rPr>
          <w:color w:val="231F20"/>
          <w:spacing w:val="-4"/>
          <w:w w:val="105"/>
        </w:rPr>
        <w:t> </w:t>
      </w:r>
      <w:r>
        <w:rPr>
          <w:color w:val="231F20"/>
          <w:w w:val="105"/>
        </w:rPr>
        <w:t>pagar</w:t>
      </w:r>
      <w:r>
        <w:rPr>
          <w:color w:val="231F20"/>
          <w:spacing w:val="-4"/>
          <w:w w:val="105"/>
        </w:rPr>
        <w:t> </w:t>
      </w:r>
      <w:r>
        <w:rPr>
          <w:color w:val="231F20"/>
          <w:w w:val="105"/>
        </w:rPr>
        <w:t>los</w:t>
      </w:r>
      <w:r>
        <w:rPr>
          <w:color w:val="231F20"/>
          <w:spacing w:val="-4"/>
          <w:w w:val="105"/>
        </w:rPr>
        <w:t> </w:t>
      </w:r>
      <w:r>
        <w:rPr>
          <w:color w:val="231F20"/>
          <w:w w:val="105"/>
        </w:rPr>
        <w:t>favores</w:t>
      </w:r>
      <w:r>
        <w:rPr>
          <w:color w:val="231F20"/>
          <w:spacing w:val="-4"/>
          <w:w w:val="105"/>
        </w:rPr>
        <w:t> </w:t>
      </w:r>
      <w:r>
        <w:rPr>
          <w:color w:val="231F20"/>
          <w:w w:val="105"/>
        </w:rPr>
        <w:t>de</w:t>
      </w:r>
      <w:r>
        <w:rPr>
          <w:color w:val="231F20"/>
          <w:spacing w:val="-4"/>
          <w:w w:val="105"/>
        </w:rPr>
        <w:t> </w:t>
      </w:r>
      <w:r>
        <w:rPr>
          <w:color w:val="231F20"/>
          <w:w w:val="105"/>
        </w:rPr>
        <w:t>campaña</w:t>
      </w:r>
      <w:r>
        <w:rPr>
          <w:color w:val="231F20"/>
          <w:spacing w:val="-4"/>
          <w:w w:val="105"/>
        </w:rPr>
        <w:t> </w:t>
      </w:r>
      <w:r>
        <w:rPr>
          <w:color w:val="231F20"/>
          <w:w w:val="105"/>
        </w:rPr>
        <w:t>y</w:t>
      </w:r>
      <w:r>
        <w:rPr>
          <w:color w:val="231F20"/>
          <w:spacing w:val="-4"/>
          <w:w w:val="105"/>
        </w:rPr>
        <w:t> </w:t>
      </w:r>
      <w:r>
        <w:rPr>
          <w:color w:val="231F20"/>
          <w:w w:val="105"/>
        </w:rPr>
        <w:t>asegurar</w:t>
      </w:r>
      <w:r>
        <w:rPr>
          <w:color w:val="231F20"/>
          <w:spacing w:val="-4"/>
          <w:w w:val="105"/>
        </w:rPr>
        <w:t> </w:t>
      </w:r>
      <w:r>
        <w:rPr>
          <w:color w:val="231F20"/>
          <w:w w:val="105"/>
        </w:rPr>
        <w:t>lealtad en</w:t>
      </w:r>
      <w:r>
        <w:rPr>
          <w:color w:val="231F20"/>
          <w:spacing w:val="-17"/>
          <w:w w:val="105"/>
        </w:rPr>
        <w:t> </w:t>
      </w:r>
      <w:r>
        <w:rPr>
          <w:color w:val="231F20"/>
          <w:w w:val="105"/>
        </w:rPr>
        <w:t>el</w:t>
      </w:r>
      <w:r>
        <w:rPr>
          <w:color w:val="231F20"/>
          <w:spacing w:val="-17"/>
          <w:w w:val="105"/>
        </w:rPr>
        <w:t> </w:t>
      </w:r>
      <w:r>
        <w:rPr>
          <w:color w:val="231F20"/>
          <w:w w:val="105"/>
        </w:rPr>
        <w:t>ejercicio</w:t>
      </w:r>
      <w:r>
        <w:rPr>
          <w:color w:val="231F20"/>
          <w:spacing w:val="-17"/>
          <w:w w:val="105"/>
        </w:rPr>
        <w:t> </w:t>
      </w:r>
      <w:r>
        <w:rPr>
          <w:color w:val="231F20"/>
          <w:w w:val="105"/>
        </w:rPr>
        <w:t>del</w:t>
      </w:r>
      <w:r>
        <w:rPr>
          <w:color w:val="231F20"/>
          <w:spacing w:val="-17"/>
          <w:w w:val="105"/>
        </w:rPr>
        <w:t> </w:t>
      </w:r>
      <w:r>
        <w:rPr>
          <w:color w:val="231F20"/>
          <w:w w:val="105"/>
        </w:rPr>
        <w:t>empleo.</w:t>
      </w:r>
      <w:r>
        <w:rPr>
          <w:color w:val="231F20"/>
          <w:spacing w:val="-17"/>
          <w:w w:val="105"/>
        </w:rPr>
        <w:t> </w:t>
      </w:r>
      <w:r>
        <w:rPr>
          <w:color w:val="231F20"/>
          <w:w w:val="105"/>
        </w:rPr>
        <w:t>El</w:t>
      </w:r>
      <w:r>
        <w:rPr>
          <w:color w:val="231F20"/>
          <w:spacing w:val="-17"/>
          <w:w w:val="105"/>
        </w:rPr>
        <w:t> </w:t>
      </w:r>
      <w:r>
        <w:rPr>
          <w:color w:val="231F20"/>
          <w:w w:val="105"/>
        </w:rPr>
        <w:t>patronazgo</w:t>
      </w:r>
      <w:r>
        <w:rPr>
          <w:color w:val="231F20"/>
          <w:spacing w:val="-17"/>
          <w:w w:val="105"/>
        </w:rPr>
        <w:t> </w:t>
      </w:r>
      <w:r>
        <w:rPr>
          <w:color w:val="231F20"/>
          <w:w w:val="105"/>
        </w:rPr>
        <w:t>es</w:t>
      </w:r>
      <w:r>
        <w:rPr>
          <w:color w:val="231F20"/>
          <w:spacing w:val="-17"/>
          <w:w w:val="105"/>
        </w:rPr>
        <w:t> </w:t>
      </w:r>
      <w:r>
        <w:rPr>
          <w:color w:val="231F20"/>
          <w:w w:val="105"/>
        </w:rPr>
        <w:t>ejercido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presidente,</w:t>
      </w:r>
      <w:r>
        <w:rPr>
          <w:color w:val="231F20"/>
          <w:spacing w:val="-17"/>
          <w:w w:val="105"/>
        </w:rPr>
        <w:t> </w:t>
      </w:r>
      <w:r>
        <w:rPr>
          <w:color w:val="231F20"/>
          <w:w w:val="105"/>
        </w:rPr>
        <w:t>respaldado</w:t>
      </w:r>
      <w:r>
        <w:rPr>
          <w:color w:val="231F20"/>
          <w:spacing w:val="-17"/>
          <w:w w:val="105"/>
        </w:rPr>
        <w:t> </w:t>
      </w:r>
      <w:r>
        <w:rPr>
          <w:color w:val="231F20"/>
          <w:w w:val="105"/>
        </w:rPr>
        <w:t>por</w:t>
      </w:r>
      <w:r>
        <w:rPr>
          <w:color w:val="231F20"/>
          <w:spacing w:val="-17"/>
          <w:w w:val="105"/>
        </w:rPr>
        <w:t> </w:t>
      </w:r>
      <w:r>
        <w:rPr>
          <w:color w:val="231F20"/>
          <w:w w:val="105"/>
        </w:rPr>
        <w:t>el gobierno</w:t>
      </w:r>
      <w:r>
        <w:rPr>
          <w:color w:val="231F20"/>
          <w:spacing w:val="-7"/>
          <w:w w:val="105"/>
        </w:rPr>
        <w:t> </w:t>
      </w:r>
      <w:r>
        <w:rPr>
          <w:color w:val="231F20"/>
          <w:w w:val="105"/>
        </w:rPr>
        <w:t>municipal,</w:t>
      </w:r>
      <w:r>
        <w:rPr>
          <w:color w:val="231F20"/>
          <w:spacing w:val="-7"/>
          <w:w w:val="105"/>
        </w:rPr>
        <w:t> </w:t>
      </w:r>
      <w:r>
        <w:rPr>
          <w:color w:val="231F20"/>
          <w:w w:val="105"/>
        </w:rPr>
        <w:t>no</w:t>
      </w:r>
      <w:r>
        <w:rPr>
          <w:color w:val="231F20"/>
          <w:spacing w:val="-7"/>
          <w:w w:val="105"/>
        </w:rPr>
        <w:t> </w:t>
      </w:r>
      <w:r>
        <w:rPr>
          <w:color w:val="231F20"/>
          <w:w w:val="105"/>
        </w:rPr>
        <w:t>tanto</w:t>
      </w:r>
      <w:r>
        <w:rPr>
          <w:color w:val="231F20"/>
          <w:spacing w:val="-7"/>
          <w:w w:val="105"/>
        </w:rPr>
        <w:t> </w:t>
      </w:r>
      <w:r>
        <w:rPr>
          <w:color w:val="231F20"/>
          <w:w w:val="105"/>
        </w:rPr>
        <w:t>lo</w:t>
      </w:r>
      <w:r>
        <w:rPr>
          <w:color w:val="231F20"/>
          <w:spacing w:val="-7"/>
          <w:w w:val="105"/>
        </w:rPr>
        <w:t> </w:t>
      </w:r>
      <w:r>
        <w:rPr>
          <w:color w:val="231F20"/>
          <w:w w:val="105"/>
        </w:rPr>
        <w:t>ejerce</w:t>
      </w:r>
      <w:r>
        <w:rPr>
          <w:color w:val="231F20"/>
          <w:spacing w:val="-7"/>
          <w:w w:val="105"/>
        </w:rPr>
        <w:t> </w:t>
      </w:r>
      <w:r>
        <w:rPr>
          <w:color w:val="231F20"/>
          <w:w w:val="105"/>
        </w:rPr>
        <w:t>el</w:t>
      </w:r>
      <w:r>
        <w:rPr>
          <w:color w:val="231F20"/>
          <w:spacing w:val="-7"/>
          <w:w w:val="105"/>
        </w:rPr>
        <w:t> </w:t>
      </w:r>
      <w:r>
        <w:rPr>
          <w:color w:val="231F20"/>
          <w:w w:val="105"/>
        </w:rPr>
        <w:t>partido.</w:t>
      </w:r>
      <w:r>
        <w:rPr>
          <w:color w:val="231F20"/>
          <w:spacing w:val="-7"/>
          <w:w w:val="105"/>
        </w:rPr>
        <w:t> </w:t>
      </w:r>
      <w:r>
        <w:rPr>
          <w:color w:val="231F20"/>
          <w:w w:val="105"/>
        </w:rPr>
        <w:t>Esta</w:t>
      </w:r>
      <w:r>
        <w:rPr>
          <w:color w:val="231F20"/>
          <w:spacing w:val="-7"/>
          <w:w w:val="105"/>
        </w:rPr>
        <w:t> </w:t>
      </w:r>
      <w:r>
        <w:rPr>
          <w:color w:val="231F20"/>
          <w:w w:val="105"/>
        </w:rPr>
        <w:t>situación</w:t>
      </w:r>
      <w:r>
        <w:rPr>
          <w:color w:val="231F20"/>
          <w:spacing w:val="-7"/>
          <w:w w:val="105"/>
        </w:rPr>
        <w:t> </w:t>
      </w:r>
      <w:r>
        <w:rPr>
          <w:color w:val="231F20"/>
          <w:w w:val="105"/>
        </w:rPr>
        <w:t>de</w:t>
      </w:r>
      <w:r>
        <w:rPr>
          <w:color w:val="231F20"/>
          <w:spacing w:val="-7"/>
          <w:w w:val="105"/>
        </w:rPr>
        <w:t> </w:t>
      </w:r>
      <w:r>
        <w:rPr>
          <w:color w:val="231F20"/>
          <w:w w:val="105"/>
        </w:rPr>
        <w:t>hecho</w:t>
      </w:r>
      <w:r>
        <w:rPr>
          <w:color w:val="231F20"/>
          <w:spacing w:val="-7"/>
          <w:w w:val="105"/>
        </w:rPr>
        <w:t> </w:t>
      </w:r>
      <w:r>
        <w:rPr>
          <w:color w:val="231F20"/>
          <w:w w:val="105"/>
        </w:rPr>
        <w:t>le</w:t>
      </w:r>
      <w:r>
        <w:rPr>
          <w:color w:val="231F20"/>
          <w:spacing w:val="-7"/>
          <w:w w:val="105"/>
        </w:rPr>
        <w:t> </w:t>
      </w:r>
      <w:r>
        <w:rPr>
          <w:color w:val="231F20"/>
          <w:w w:val="105"/>
        </w:rPr>
        <w:t>da</w:t>
      </w:r>
      <w:r>
        <w:rPr>
          <w:color w:val="231F20"/>
          <w:spacing w:val="-7"/>
          <w:w w:val="105"/>
        </w:rPr>
        <w:t> </w:t>
      </w:r>
      <w:r>
        <w:rPr>
          <w:color w:val="231F20"/>
          <w:w w:val="105"/>
        </w:rPr>
        <w:t>autono- mía</w:t>
      </w:r>
      <w:r>
        <w:rPr>
          <w:color w:val="231F20"/>
          <w:spacing w:val="-14"/>
          <w:w w:val="105"/>
        </w:rPr>
        <w:t> </w:t>
      </w:r>
      <w:r>
        <w:rPr>
          <w:color w:val="231F20"/>
          <w:spacing w:val="2"/>
          <w:w w:val="105"/>
        </w:rPr>
        <w:t>al</w:t>
      </w:r>
      <w:r>
        <w:rPr>
          <w:color w:val="231F20"/>
          <w:spacing w:val="-14"/>
          <w:w w:val="105"/>
        </w:rPr>
        <w:t> </w:t>
      </w:r>
      <w:r>
        <w:rPr>
          <w:color w:val="231F20"/>
          <w:w w:val="105"/>
        </w:rPr>
        <w:t>gobierno</w:t>
      </w:r>
      <w:r>
        <w:rPr>
          <w:color w:val="231F20"/>
          <w:spacing w:val="-14"/>
          <w:w w:val="105"/>
        </w:rPr>
        <w:t> </w:t>
      </w:r>
      <w:r>
        <w:rPr>
          <w:color w:val="231F20"/>
          <w:w w:val="105"/>
        </w:rPr>
        <w:t>fijando</w:t>
      </w:r>
      <w:r>
        <w:rPr>
          <w:color w:val="231F20"/>
          <w:spacing w:val="-14"/>
          <w:w w:val="105"/>
        </w:rPr>
        <w:t> </w:t>
      </w:r>
      <w:r>
        <w:rPr>
          <w:color w:val="231F20"/>
          <w:w w:val="105"/>
        </w:rPr>
        <w:t>distancia</w:t>
      </w:r>
      <w:r>
        <w:rPr>
          <w:color w:val="231F20"/>
          <w:spacing w:val="-14"/>
          <w:w w:val="105"/>
        </w:rPr>
        <w:t> </w:t>
      </w:r>
      <w:r>
        <w:rPr>
          <w:color w:val="231F20"/>
          <w:w w:val="105"/>
        </w:rPr>
        <w:t>del</w:t>
      </w:r>
      <w:r>
        <w:rPr>
          <w:color w:val="231F20"/>
          <w:spacing w:val="-14"/>
          <w:w w:val="105"/>
        </w:rPr>
        <w:t> </w:t>
      </w:r>
      <w:r>
        <w:rPr>
          <w:color w:val="231F20"/>
          <w:w w:val="105"/>
        </w:rPr>
        <w:t>partido.</w:t>
      </w:r>
    </w:p>
    <w:p>
      <w:pPr>
        <w:pStyle w:val="BodyText"/>
        <w:spacing w:before="1"/>
        <w:rPr>
          <w:sz w:val="26"/>
        </w:rPr>
      </w:pPr>
    </w:p>
    <w:p>
      <w:pPr>
        <w:pStyle w:val="BodyText"/>
        <w:spacing w:line="285" w:lineRule="auto"/>
        <w:ind w:left="110" w:right="107"/>
        <w:jc w:val="both"/>
      </w:pPr>
      <w:r>
        <w:rPr>
          <w:color w:val="231F20"/>
          <w:w w:val="105"/>
        </w:rPr>
        <w:t>En </w:t>
      </w:r>
      <w:r>
        <w:rPr>
          <w:color w:val="231F20"/>
          <w:spacing w:val="-3"/>
          <w:w w:val="105"/>
        </w:rPr>
        <w:t>cuanto </w:t>
      </w:r>
      <w:r>
        <w:rPr>
          <w:color w:val="231F20"/>
          <w:w w:val="105"/>
        </w:rPr>
        <w:t>a las </w:t>
      </w:r>
      <w:r>
        <w:rPr>
          <w:color w:val="231F20"/>
          <w:spacing w:val="-3"/>
          <w:w w:val="105"/>
        </w:rPr>
        <w:t>obras </w:t>
      </w:r>
      <w:r>
        <w:rPr>
          <w:color w:val="231F20"/>
          <w:spacing w:val="-4"/>
          <w:w w:val="105"/>
        </w:rPr>
        <w:t>públicas que </w:t>
      </w:r>
      <w:r>
        <w:rPr>
          <w:color w:val="231F20"/>
          <w:spacing w:val="-3"/>
          <w:w w:val="105"/>
        </w:rPr>
        <w:t>en </w:t>
      </w:r>
      <w:r>
        <w:rPr>
          <w:color w:val="231F20"/>
          <w:w w:val="105"/>
        </w:rPr>
        <w:t>su </w:t>
      </w:r>
      <w:r>
        <w:rPr>
          <w:color w:val="231F20"/>
          <w:spacing w:val="-3"/>
          <w:w w:val="105"/>
        </w:rPr>
        <w:t>segundo informe </w:t>
      </w:r>
      <w:r>
        <w:rPr>
          <w:color w:val="231F20"/>
          <w:w w:val="105"/>
        </w:rPr>
        <w:t>da a </w:t>
      </w:r>
      <w:r>
        <w:rPr>
          <w:color w:val="231F20"/>
          <w:spacing w:val="-4"/>
          <w:w w:val="105"/>
        </w:rPr>
        <w:t>conocer </w:t>
      </w:r>
      <w:r>
        <w:rPr>
          <w:color w:val="231F20"/>
          <w:spacing w:val="-3"/>
          <w:w w:val="105"/>
        </w:rPr>
        <w:t>el </w:t>
      </w:r>
      <w:r>
        <w:rPr>
          <w:color w:val="231F20"/>
          <w:spacing w:val="-5"/>
          <w:w w:val="105"/>
        </w:rPr>
        <w:t>presidente, </w:t>
      </w:r>
      <w:r>
        <w:rPr>
          <w:color w:val="231F20"/>
          <w:w w:val="105"/>
        </w:rPr>
        <w:t>las clasifica</w:t>
      </w:r>
      <w:r>
        <w:rPr>
          <w:color w:val="231F20"/>
          <w:spacing w:val="-25"/>
          <w:w w:val="105"/>
        </w:rPr>
        <w:t> </w:t>
      </w:r>
      <w:r>
        <w:rPr>
          <w:color w:val="231F20"/>
          <w:spacing w:val="-3"/>
          <w:w w:val="105"/>
        </w:rPr>
        <w:t>en</w:t>
      </w:r>
      <w:r>
        <w:rPr>
          <w:color w:val="231F20"/>
          <w:spacing w:val="-25"/>
          <w:w w:val="105"/>
        </w:rPr>
        <w:t> </w:t>
      </w:r>
      <w:r>
        <w:rPr>
          <w:color w:val="231F20"/>
          <w:spacing w:val="-3"/>
          <w:w w:val="105"/>
        </w:rPr>
        <w:t>obras</w:t>
      </w:r>
      <w:r>
        <w:rPr>
          <w:color w:val="231F20"/>
          <w:spacing w:val="-25"/>
          <w:w w:val="105"/>
        </w:rPr>
        <w:t> </w:t>
      </w:r>
      <w:r>
        <w:rPr>
          <w:color w:val="231F20"/>
          <w:spacing w:val="-3"/>
          <w:w w:val="105"/>
        </w:rPr>
        <w:t>terminadas,</w:t>
      </w:r>
      <w:r>
        <w:rPr>
          <w:color w:val="231F20"/>
          <w:spacing w:val="-25"/>
          <w:w w:val="105"/>
        </w:rPr>
        <w:t> </w:t>
      </w:r>
      <w:r>
        <w:rPr>
          <w:color w:val="231F20"/>
          <w:spacing w:val="-3"/>
          <w:w w:val="105"/>
        </w:rPr>
        <w:t>en</w:t>
      </w:r>
      <w:r>
        <w:rPr>
          <w:color w:val="231F20"/>
          <w:spacing w:val="-25"/>
          <w:w w:val="105"/>
        </w:rPr>
        <w:t> </w:t>
      </w:r>
      <w:r>
        <w:rPr>
          <w:color w:val="231F20"/>
          <w:spacing w:val="-4"/>
          <w:w w:val="105"/>
        </w:rPr>
        <w:t>proceso</w:t>
      </w:r>
      <w:r>
        <w:rPr>
          <w:color w:val="231F20"/>
          <w:spacing w:val="-25"/>
          <w:w w:val="105"/>
        </w:rPr>
        <w:t> </w:t>
      </w:r>
      <w:r>
        <w:rPr>
          <w:color w:val="231F20"/>
          <w:w w:val="105"/>
        </w:rPr>
        <w:t>y</w:t>
      </w:r>
      <w:r>
        <w:rPr>
          <w:color w:val="231F20"/>
          <w:spacing w:val="-25"/>
          <w:w w:val="105"/>
        </w:rPr>
        <w:t> </w:t>
      </w:r>
      <w:r>
        <w:rPr>
          <w:color w:val="231F20"/>
          <w:spacing w:val="-3"/>
          <w:w w:val="105"/>
        </w:rPr>
        <w:t>por</w:t>
      </w:r>
      <w:r>
        <w:rPr>
          <w:color w:val="231F20"/>
          <w:spacing w:val="-25"/>
          <w:w w:val="105"/>
        </w:rPr>
        <w:t> </w:t>
      </w:r>
      <w:r>
        <w:rPr>
          <w:color w:val="231F20"/>
          <w:spacing w:val="-3"/>
          <w:w w:val="105"/>
        </w:rPr>
        <w:t>iniciar.</w:t>
      </w:r>
      <w:r>
        <w:rPr>
          <w:color w:val="231F20"/>
          <w:spacing w:val="-25"/>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spacing w:val="-3"/>
          <w:w w:val="105"/>
        </w:rPr>
        <w:t>primeras,</w:t>
      </w:r>
      <w:r>
        <w:rPr>
          <w:color w:val="231F20"/>
          <w:spacing w:val="-25"/>
          <w:w w:val="105"/>
        </w:rPr>
        <w:t> </w:t>
      </w:r>
      <w:r>
        <w:rPr>
          <w:color w:val="231F20"/>
          <w:w w:val="105"/>
        </w:rPr>
        <w:t>las</w:t>
      </w:r>
      <w:r>
        <w:rPr>
          <w:color w:val="231F20"/>
          <w:spacing w:val="-25"/>
          <w:w w:val="105"/>
        </w:rPr>
        <w:t> </w:t>
      </w:r>
      <w:r>
        <w:rPr>
          <w:color w:val="231F20"/>
          <w:spacing w:val="-3"/>
          <w:w w:val="105"/>
        </w:rPr>
        <w:t>terminadas</w:t>
      </w:r>
      <w:r>
        <w:rPr>
          <w:color w:val="231F20"/>
          <w:spacing w:val="-25"/>
          <w:w w:val="105"/>
        </w:rPr>
        <w:t> </w:t>
      </w:r>
      <w:r>
        <w:rPr>
          <w:color w:val="231F20"/>
          <w:spacing w:val="-5"/>
          <w:w w:val="105"/>
        </w:rPr>
        <w:t>rela- </w:t>
      </w:r>
      <w:r>
        <w:rPr>
          <w:color w:val="231F20"/>
          <w:spacing w:val="-3"/>
          <w:w w:val="105"/>
        </w:rPr>
        <w:t>cionan</w:t>
      </w:r>
      <w:r>
        <w:rPr>
          <w:color w:val="231F20"/>
          <w:spacing w:val="-16"/>
          <w:w w:val="105"/>
        </w:rPr>
        <w:t> </w:t>
      </w:r>
      <w:r>
        <w:rPr>
          <w:color w:val="231F20"/>
          <w:spacing w:val="-7"/>
          <w:w w:val="105"/>
        </w:rPr>
        <w:t>19,</w:t>
      </w:r>
      <w:r>
        <w:rPr>
          <w:color w:val="231F20"/>
          <w:spacing w:val="-16"/>
          <w:w w:val="105"/>
        </w:rPr>
        <w:t> </w:t>
      </w:r>
      <w:r>
        <w:rPr>
          <w:color w:val="231F20"/>
          <w:spacing w:val="-3"/>
          <w:w w:val="105"/>
        </w:rPr>
        <w:t>de</w:t>
      </w:r>
      <w:r>
        <w:rPr>
          <w:color w:val="231F20"/>
          <w:spacing w:val="-16"/>
          <w:w w:val="105"/>
        </w:rPr>
        <w:t> </w:t>
      </w:r>
      <w:r>
        <w:rPr>
          <w:color w:val="231F20"/>
          <w:w w:val="105"/>
        </w:rPr>
        <w:t>las</w:t>
      </w:r>
      <w:r>
        <w:rPr>
          <w:color w:val="231F20"/>
          <w:spacing w:val="-16"/>
          <w:w w:val="105"/>
        </w:rPr>
        <w:t> </w:t>
      </w:r>
      <w:r>
        <w:rPr>
          <w:color w:val="231F20"/>
          <w:w w:val="105"/>
        </w:rPr>
        <w:t>cuales</w:t>
      </w:r>
      <w:r>
        <w:rPr>
          <w:color w:val="231F20"/>
          <w:spacing w:val="-16"/>
          <w:w w:val="105"/>
        </w:rPr>
        <w:t> </w:t>
      </w:r>
      <w:r>
        <w:rPr>
          <w:color w:val="231F20"/>
          <w:w w:val="105"/>
        </w:rPr>
        <w:t>7</w:t>
      </w:r>
      <w:r>
        <w:rPr>
          <w:color w:val="231F20"/>
          <w:spacing w:val="-16"/>
          <w:w w:val="105"/>
        </w:rPr>
        <w:t> </w:t>
      </w:r>
      <w:r>
        <w:rPr>
          <w:color w:val="231F20"/>
          <w:w w:val="105"/>
        </w:rPr>
        <w:t>se</w:t>
      </w:r>
      <w:r>
        <w:rPr>
          <w:color w:val="231F20"/>
          <w:spacing w:val="-16"/>
          <w:w w:val="105"/>
        </w:rPr>
        <w:t> </w:t>
      </w:r>
      <w:r>
        <w:rPr>
          <w:color w:val="231F20"/>
          <w:spacing w:val="-5"/>
          <w:w w:val="105"/>
        </w:rPr>
        <w:t>refieren</w:t>
      </w:r>
      <w:r>
        <w:rPr>
          <w:color w:val="231F20"/>
          <w:spacing w:val="-16"/>
          <w:w w:val="105"/>
        </w:rPr>
        <w:t> </w:t>
      </w:r>
      <w:r>
        <w:rPr>
          <w:color w:val="231F20"/>
          <w:w w:val="105"/>
        </w:rPr>
        <w:t>a</w:t>
      </w:r>
      <w:r>
        <w:rPr>
          <w:color w:val="231F20"/>
          <w:spacing w:val="-16"/>
          <w:w w:val="105"/>
        </w:rPr>
        <w:t> </w:t>
      </w:r>
      <w:r>
        <w:rPr>
          <w:color w:val="231F20"/>
          <w:spacing w:val="-3"/>
          <w:w w:val="105"/>
        </w:rPr>
        <w:t>obras</w:t>
      </w:r>
      <w:r>
        <w:rPr>
          <w:color w:val="231F20"/>
          <w:spacing w:val="-16"/>
          <w:w w:val="105"/>
        </w:rPr>
        <w:t> </w:t>
      </w:r>
      <w:r>
        <w:rPr>
          <w:color w:val="231F20"/>
          <w:spacing w:val="-3"/>
          <w:w w:val="105"/>
        </w:rPr>
        <w:t>en</w:t>
      </w:r>
      <w:r>
        <w:rPr>
          <w:color w:val="231F20"/>
          <w:spacing w:val="-16"/>
          <w:w w:val="105"/>
        </w:rPr>
        <w:t> </w:t>
      </w:r>
      <w:r>
        <w:rPr>
          <w:color w:val="231F20"/>
          <w:spacing w:val="-3"/>
          <w:w w:val="105"/>
        </w:rPr>
        <w:t>escuelas,</w:t>
      </w:r>
      <w:r>
        <w:rPr>
          <w:color w:val="231F20"/>
          <w:spacing w:val="-16"/>
          <w:w w:val="105"/>
        </w:rPr>
        <w:t> </w:t>
      </w:r>
      <w:r>
        <w:rPr>
          <w:color w:val="231F20"/>
          <w:w w:val="105"/>
        </w:rPr>
        <w:t>8</w:t>
      </w:r>
      <w:r>
        <w:rPr>
          <w:color w:val="231F20"/>
          <w:spacing w:val="-16"/>
          <w:w w:val="105"/>
        </w:rPr>
        <w:t> </w:t>
      </w:r>
      <w:r>
        <w:rPr>
          <w:color w:val="231F20"/>
          <w:w w:val="105"/>
        </w:rPr>
        <w:t>a</w:t>
      </w:r>
      <w:r>
        <w:rPr>
          <w:color w:val="231F20"/>
          <w:spacing w:val="-16"/>
          <w:w w:val="105"/>
        </w:rPr>
        <w:t> </w:t>
      </w:r>
      <w:r>
        <w:rPr>
          <w:color w:val="231F20"/>
          <w:spacing w:val="-3"/>
          <w:w w:val="105"/>
        </w:rPr>
        <w:t>desarrollo</w:t>
      </w:r>
      <w:r>
        <w:rPr>
          <w:color w:val="231F20"/>
          <w:spacing w:val="-16"/>
          <w:w w:val="105"/>
        </w:rPr>
        <w:t> </w:t>
      </w:r>
      <w:r>
        <w:rPr>
          <w:color w:val="231F20"/>
          <w:spacing w:val="-3"/>
          <w:w w:val="105"/>
        </w:rPr>
        <w:t>urbano</w:t>
      </w:r>
      <w:r>
        <w:rPr>
          <w:color w:val="231F20"/>
          <w:spacing w:val="-16"/>
          <w:w w:val="105"/>
        </w:rPr>
        <w:t> </w:t>
      </w:r>
      <w:r>
        <w:rPr>
          <w:color w:val="231F20"/>
          <w:spacing w:val="-4"/>
          <w:w w:val="105"/>
        </w:rPr>
        <w:t>como</w:t>
      </w:r>
      <w:r>
        <w:rPr>
          <w:color w:val="231F20"/>
          <w:spacing w:val="-16"/>
          <w:w w:val="105"/>
        </w:rPr>
        <w:t> </w:t>
      </w:r>
      <w:r>
        <w:rPr>
          <w:color w:val="231F20"/>
          <w:spacing w:val="-3"/>
          <w:w w:val="105"/>
        </w:rPr>
        <w:t>pavi- </w:t>
      </w:r>
      <w:r>
        <w:rPr>
          <w:color w:val="231F20"/>
          <w:spacing w:val="-5"/>
          <w:w w:val="105"/>
        </w:rPr>
        <w:t>mentación</w:t>
      </w:r>
      <w:r>
        <w:rPr>
          <w:color w:val="231F20"/>
          <w:spacing w:val="-26"/>
          <w:w w:val="105"/>
        </w:rPr>
        <w:t> </w:t>
      </w:r>
      <w:r>
        <w:rPr>
          <w:color w:val="231F20"/>
          <w:w w:val="105"/>
        </w:rPr>
        <w:t>y</w:t>
      </w:r>
      <w:r>
        <w:rPr>
          <w:color w:val="231F20"/>
          <w:spacing w:val="-26"/>
          <w:w w:val="105"/>
        </w:rPr>
        <w:t> </w:t>
      </w:r>
      <w:r>
        <w:rPr>
          <w:color w:val="231F20"/>
          <w:spacing w:val="-4"/>
          <w:w w:val="105"/>
        </w:rPr>
        <w:t>drenaje,</w:t>
      </w:r>
      <w:r>
        <w:rPr>
          <w:color w:val="231F20"/>
          <w:spacing w:val="-26"/>
          <w:w w:val="105"/>
        </w:rPr>
        <w:t> </w:t>
      </w:r>
      <w:r>
        <w:rPr>
          <w:color w:val="231F20"/>
          <w:w w:val="105"/>
        </w:rPr>
        <w:t>y</w:t>
      </w:r>
      <w:r>
        <w:rPr>
          <w:color w:val="231F20"/>
          <w:spacing w:val="-26"/>
          <w:w w:val="105"/>
        </w:rPr>
        <w:t> </w:t>
      </w:r>
      <w:r>
        <w:rPr>
          <w:color w:val="231F20"/>
          <w:spacing w:val="-3"/>
          <w:w w:val="105"/>
        </w:rPr>
        <w:t>el</w:t>
      </w:r>
      <w:r>
        <w:rPr>
          <w:color w:val="231F20"/>
          <w:spacing w:val="-26"/>
          <w:w w:val="105"/>
        </w:rPr>
        <w:t> </w:t>
      </w:r>
      <w:r>
        <w:rPr>
          <w:color w:val="231F20"/>
          <w:spacing w:val="-4"/>
          <w:w w:val="105"/>
        </w:rPr>
        <w:t>resto,</w:t>
      </w:r>
      <w:r>
        <w:rPr>
          <w:color w:val="231F20"/>
          <w:spacing w:val="-26"/>
          <w:w w:val="105"/>
        </w:rPr>
        <w:t> </w:t>
      </w:r>
      <w:r>
        <w:rPr>
          <w:color w:val="231F20"/>
          <w:w w:val="105"/>
        </w:rPr>
        <w:t>4</w:t>
      </w:r>
      <w:r>
        <w:rPr>
          <w:color w:val="231F20"/>
          <w:spacing w:val="-26"/>
          <w:w w:val="105"/>
        </w:rPr>
        <w:t> </w:t>
      </w:r>
      <w:r>
        <w:rPr>
          <w:color w:val="231F20"/>
          <w:spacing w:val="-3"/>
          <w:w w:val="105"/>
        </w:rPr>
        <w:t>obras,</w:t>
      </w:r>
      <w:r>
        <w:rPr>
          <w:color w:val="231F20"/>
          <w:spacing w:val="-26"/>
          <w:w w:val="105"/>
        </w:rPr>
        <w:t> </w:t>
      </w:r>
      <w:r>
        <w:rPr>
          <w:color w:val="231F20"/>
          <w:w w:val="105"/>
        </w:rPr>
        <w:t>a</w:t>
      </w:r>
      <w:r>
        <w:rPr>
          <w:color w:val="231F20"/>
          <w:spacing w:val="-26"/>
          <w:w w:val="105"/>
        </w:rPr>
        <w:t> </w:t>
      </w:r>
      <w:r>
        <w:rPr>
          <w:color w:val="231F20"/>
          <w:spacing w:val="-3"/>
          <w:w w:val="105"/>
        </w:rPr>
        <w:t>desarrollo</w:t>
      </w:r>
      <w:r>
        <w:rPr>
          <w:color w:val="231F20"/>
          <w:spacing w:val="-26"/>
          <w:w w:val="105"/>
        </w:rPr>
        <w:t> </w:t>
      </w:r>
      <w:r>
        <w:rPr>
          <w:color w:val="231F20"/>
          <w:w w:val="105"/>
        </w:rPr>
        <w:t>social.</w:t>
      </w:r>
      <w:r>
        <w:rPr>
          <w:color w:val="231F20"/>
          <w:spacing w:val="-26"/>
          <w:w w:val="105"/>
        </w:rPr>
        <w:t> </w:t>
      </w:r>
      <w:r>
        <w:rPr>
          <w:color w:val="231F20"/>
          <w:w w:val="105"/>
        </w:rPr>
        <w:t>En</w:t>
      </w:r>
      <w:r>
        <w:rPr>
          <w:color w:val="231F20"/>
          <w:spacing w:val="-26"/>
          <w:w w:val="105"/>
        </w:rPr>
        <w:t> </w:t>
      </w:r>
      <w:r>
        <w:rPr>
          <w:color w:val="231F20"/>
          <w:w w:val="105"/>
        </w:rPr>
        <w:t>éstas</w:t>
      </w:r>
      <w:r>
        <w:rPr>
          <w:color w:val="231F20"/>
          <w:spacing w:val="-26"/>
          <w:w w:val="105"/>
        </w:rPr>
        <w:t> </w:t>
      </w:r>
      <w:r>
        <w:rPr>
          <w:color w:val="231F20"/>
          <w:w w:val="105"/>
        </w:rPr>
        <w:t>últimas</w:t>
      </w:r>
      <w:r>
        <w:rPr>
          <w:color w:val="231F20"/>
          <w:spacing w:val="-26"/>
          <w:w w:val="105"/>
        </w:rPr>
        <w:t> </w:t>
      </w:r>
      <w:r>
        <w:rPr>
          <w:color w:val="231F20"/>
          <w:w w:val="105"/>
        </w:rPr>
        <w:t>están</w:t>
      </w:r>
      <w:r>
        <w:rPr>
          <w:color w:val="231F20"/>
          <w:spacing w:val="-26"/>
          <w:w w:val="105"/>
        </w:rPr>
        <w:t> </w:t>
      </w:r>
      <w:r>
        <w:rPr>
          <w:color w:val="231F20"/>
          <w:w w:val="105"/>
        </w:rPr>
        <w:t>la</w:t>
      </w:r>
      <w:r>
        <w:rPr>
          <w:color w:val="231F20"/>
          <w:spacing w:val="-26"/>
          <w:w w:val="105"/>
        </w:rPr>
        <w:t> </w:t>
      </w:r>
      <w:r>
        <w:rPr>
          <w:color w:val="231F20"/>
          <w:w w:val="105"/>
        </w:rPr>
        <w:t>clínica </w:t>
      </w:r>
      <w:r>
        <w:rPr>
          <w:color w:val="231F20"/>
          <w:spacing w:val="-3"/>
          <w:w w:val="105"/>
        </w:rPr>
        <w:t>de</w:t>
      </w:r>
      <w:r>
        <w:rPr>
          <w:color w:val="231F20"/>
          <w:spacing w:val="-12"/>
          <w:w w:val="105"/>
        </w:rPr>
        <w:t> </w:t>
      </w:r>
      <w:r>
        <w:rPr>
          <w:color w:val="231F20"/>
          <w:w w:val="105"/>
        </w:rPr>
        <w:t>la</w:t>
      </w:r>
      <w:r>
        <w:rPr>
          <w:color w:val="231F20"/>
          <w:spacing w:val="-12"/>
          <w:w w:val="105"/>
        </w:rPr>
        <w:t> </w:t>
      </w:r>
      <w:r>
        <w:rPr>
          <w:color w:val="231F20"/>
          <w:spacing w:val="-7"/>
          <w:w w:val="105"/>
        </w:rPr>
        <w:t>mujer,</w:t>
      </w:r>
      <w:r>
        <w:rPr>
          <w:color w:val="231F20"/>
          <w:spacing w:val="-12"/>
          <w:w w:val="105"/>
        </w:rPr>
        <w:t> </w:t>
      </w:r>
      <w:r>
        <w:rPr>
          <w:color w:val="231F20"/>
          <w:w w:val="105"/>
        </w:rPr>
        <w:t>la</w:t>
      </w:r>
      <w:r>
        <w:rPr>
          <w:color w:val="231F20"/>
          <w:spacing w:val="-12"/>
          <w:w w:val="105"/>
        </w:rPr>
        <w:t> </w:t>
      </w:r>
      <w:r>
        <w:rPr>
          <w:color w:val="231F20"/>
          <w:spacing w:val="-3"/>
          <w:w w:val="105"/>
        </w:rPr>
        <w:t>estancia</w:t>
      </w:r>
      <w:r>
        <w:rPr>
          <w:color w:val="231F20"/>
          <w:spacing w:val="-12"/>
          <w:w w:val="105"/>
        </w:rPr>
        <w:t> </w:t>
      </w:r>
      <w:r>
        <w:rPr>
          <w:color w:val="231F20"/>
          <w:w w:val="105"/>
        </w:rPr>
        <w:t>infantil,</w:t>
      </w:r>
      <w:r>
        <w:rPr>
          <w:color w:val="231F20"/>
          <w:spacing w:val="-12"/>
          <w:w w:val="105"/>
        </w:rPr>
        <w:t> </w:t>
      </w:r>
      <w:r>
        <w:rPr>
          <w:color w:val="231F20"/>
          <w:w w:val="105"/>
        </w:rPr>
        <w:t>la</w:t>
      </w:r>
      <w:r>
        <w:rPr>
          <w:color w:val="231F20"/>
          <w:spacing w:val="-12"/>
          <w:w w:val="105"/>
        </w:rPr>
        <w:t> </w:t>
      </w:r>
      <w:r>
        <w:rPr>
          <w:color w:val="231F20"/>
          <w:spacing w:val="-5"/>
          <w:w w:val="105"/>
        </w:rPr>
        <w:t>remodelación</w:t>
      </w:r>
      <w:r>
        <w:rPr>
          <w:color w:val="231F20"/>
          <w:spacing w:val="-12"/>
          <w:w w:val="105"/>
        </w:rPr>
        <w:t> </w:t>
      </w:r>
      <w:r>
        <w:rPr>
          <w:color w:val="231F20"/>
          <w:spacing w:val="-3"/>
          <w:w w:val="105"/>
        </w:rPr>
        <w:t>de</w:t>
      </w:r>
      <w:r>
        <w:rPr>
          <w:color w:val="231F20"/>
          <w:spacing w:val="-12"/>
          <w:w w:val="105"/>
        </w:rPr>
        <w:t> </w:t>
      </w:r>
      <w:r>
        <w:rPr>
          <w:color w:val="231F20"/>
          <w:w w:val="105"/>
        </w:rPr>
        <w:t>una</w:t>
      </w:r>
      <w:r>
        <w:rPr>
          <w:color w:val="231F20"/>
          <w:spacing w:val="-12"/>
          <w:w w:val="105"/>
        </w:rPr>
        <w:t> </w:t>
      </w:r>
      <w:r>
        <w:rPr>
          <w:color w:val="231F20"/>
          <w:spacing w:val="-3"/>
          <w:w w:val="105"/>
        </w:rPr>
        <w:t>cancha</w:t>
      </w:r>
      <w:r>
        <w:rPr>
          <w:color w:val="231F20"/>
          <w:spacing w:val="-12"/>
          <w:w w:val="105"/>
        </w:rPr>
        <w:t> </w:t>
      </w:r>
      <w:r>
        <w:rPr>
          <w:color w:val="231F20"/>
          <w:spacing w:val="-3"/>
          <w:w w:val="105"/>
        </w:rPr>
        <w:t>de</w:t>
      </w:r>
      <w:r>
        <w:rPr>
          <w:color w:val="231F20"/>
          <w:spacing w:val="-12"/>
          <w:w w:val="105"/>
        </w:rPr>
        <w:t> </w:t>
      </w:r>
      <w:r>
        <w:rPr>
          <w:color w:val="231F20"/>
          <w:spacing w:val="-4"/>
          <w:w w:val="105"/>
        </w:rPr>
        <w:t>basquetbol</w:t>
      </w:r>
      <w:r>
        <w:rPr>
          <w:color w:val="231F20"/>
          <w:spacing w:val="-12"/>
          <w:w w:val="105"/>
        </w:rPr>
        <w:t> </w:t>
      </w:r>
      <w:r>
        <w:rPr>
          <w:color w:val="231F20"/>
          <w:w w:val="105"/>
        </w:rPr>
        <w:t>y</w:t>
      </w:r>
      <w:r>
        <w:rPr>
          <w:color w:val="231F20"/>
          <w:spacing w:val="-12"/>
          <w:w w:val="105"/>
        </w:rPr>
        <w:t> </w:t>
      </w:r>
      <w:r>
        <w:rPr>
          <w:color w:val="231F20"/>
          <w:w w:val="105"/>
        </w:rPr>
        <w:t>un</w:t>
      </w:r>
      <w:r>
        <w:rPr>
          <w:color w:val="231F20"/>
          <w:spacing w:val="-12"/>
          <w:w w:val="105"/>
        </w:rPr>
        <w:t> </w:t>
      </w:r>
      <w:r>
        <w:rPr>
          <w:color w:val="231F20"/>
          <w:spacing w:val="-4"/>
          <w:w w:val="105"/>
        </w:rPr>
        <w:t>parque </w:t>
      </w:r>
      <w:r>
        <w:rPr>
          <w:color w:val="231F20"/>
          <w:spacing w:val="-3"/>
          <w:w w:val="105"/>
        </w:rPr>
        <w:t>ecoturístico.</w:t>
      </w:r>
      <w:r>
        <w:rPr>
          <w:color w:val="231F20"/>
          <w:spacing w:val="-19"/>
          <w:w w:val="105"/>
        </w:rPr>
        <w:t> </w:t>
      </w:r>
      <w:r>
        <w:rPr>
          <w:color w:val="231F20"/>
          <w:w w:val="105"/>
        </w:rPr>
        <w:t>La</w:t>
      </w:r>
      <w:r>
        <w:rPr>
          <w:color w:val="231F20"/>
          <w:spacing w:val="-19"/>
          <w:w w:val="105"/>
        </w:rPr>
        <w:t> </w:t>
      </w:r>
      <w:r>
        <w:rPr>
          <w:color w:val="231F20"/>
          <w:w w:val="105"/>
        </w:rPr>
        <w:t>suma</w:t>
      </w:r>
      <w:r>
        <w:rPr>
          <w:color w:val="231F20"/>
          <w:spacing w:val="-19"/>
          <w:w w:val="105"/>
        </w:rPr>
        <w:t> </w:t>
      </w:r>
      <w:r>
        <w:rPr>
          <w:color w:val="231F20"/>
          <w:w w:val="105"/>
        </w:rPr>
        <w:t>para</w:t>
      </w:r>
      <w:r>
        <w:rPr>
          <w:color w:val="231F20"/>
          <w:spacing w:val="-19"/>
          <w:w w:val="105"/>
        </w:rPr>
        <w:t> </w:t>
      </w:r>
      <w:r>
        <w:rPr>
          <w:color w:val="231F20"/>
          <w:w w:val="105"/>
        </w:rPr>
        <w:t>estas</w:t>
      </w:r>
      <w:r>
        <w:rPr>
          <w:color w:val="231F20"/>
          <w:spacing w:val="-19"/>
          <w:w w:val="105"/>
        </w:rPr>
        <w:t> </w:t>
      </w:r>
      <w:r>
        <w:rPr>
          <w:color w:val="231F20"/>
          <w:spacing w:val="-3"/>
          <w:w w:val="105"/>
        </w:rPr>
        <w:t>obras</w:t>
      </w:r>
      <w:r>
        <w:rPr>
          <w:color w:val="231F20"/>
          <w:spacing w:val="-19"/>
          <w:w w:val="105"/>
        </w:rPr>
        <w:t> </w:t>
      </w:r>
      <w:r>
        <w:rPr>
          <w:color w:val="231F20"/>
          <w:w w:val="105"/>
        </w:rPr>
        <w:t>se</w:t>
      </w:r>
      <w:r>
        <w:rPr>
          <w:color w:val="231F20"/>
          <w:spacing w:val="-19"/>
          <w:w w:val="105"/>
        </w:rPr>
        <w:t> </w:t>
      </w:r>
      <w:r>
        <w:rPr>
          <w:color w:val="231F20"/>
          <w:spacing w:val="-3"/>
          <w:w w:val="105"/>
        </w:rPr>
        <w:t>reporta</w:t>
      </w:r>
      <w:r>
        <w:rPr>
          <w:color w:val="231F20"/>
          <w:spacing w:val="-19"/>
          <w:w w:val="105"/>
        </w:rPr>
        <w:t> </w:t>
      </w:r>
      <w:r>
        <w:rPr>
          <w:color w:val="231F20"/>
          <w:spacing w:val="-3"/>
          <w:w w:val="105"/>
        </w:rPr>
        <w:t>en</w:t>
      </w:r>
      <w:r>
        <w:rPr>
          <w:color w:val="231F20"/>
          <w:spacing w:val="-19"/>
          <w:w w:val="105"/>
        </w:rPr>
        <w:t> </w:t>
      </w:r>
      <w:r>
        <w:rPr>
          <w:color w:val="231F20"/>
          <w:w w:val="105"/>
        </w:rPr>
        <w:t>20</w:t>
      </w:r>
      <w:r>
        <w:rPr>
          <w:color w:val="231F20"/>
          <w:spacing w:val="-19"/>
          <w:w w:val="105"/>
        </w:rPr>
        <w:t> </w:t>
      </w:r>
      <w:r>
        <w:rPr>
          <w:color w:val="231F20"/>
          <w:spacing w:val="-3"/>
          <w:w w:val="105"/>
        </w:rPr>
        <w:t>millones</w:t>
      </w:r>
      <w:r>
        <w:rPr>
          <w:color w:val="231F20"/>
          <w:spacing w:val="-19"/>
          <w:w w:val="105"/>
        </w:rPr>
        <w:t> </w:t>
      </w:r>
      <w:r>
        <w:rPr>
          <w:color w:val="231F20"/>
          <w:spacing w:val="-7"/>
          <w:w w:val="105"/>
        </w:rPr>
        <w:t>315</w:t>
      </w:r>
      <w:r>
        <w:rPr>
          <w:color w:val="231F20"/>
          <w:spacing w:val="-19"/>
          <w:w w:val="105"/>
        </w:rPr>
        <w:t> </w:t>
      </w:r>
      <w:r>
        <w:rPr>
          <w:color w:val="231F20"/>
          <w:w w:val="105"/>
        </w:rPr>
        <w:t>mil</w:t>
      </w:r>
      <w:r>
        <w:rPr>
          <w:color w:val="231F20"/>
          <w:spacing w:val="-19"/>
          <w:w w:val="105"/>
        </w:rPr>
        <w:t> </w:t>
      </w:r>
      <w:r>
        <w:rPr>
          <w:color w:val="231F20"/>
          <w:spacing w:val="-8"/>
          <w:w w:val="105"/>
        </w:rPr>
        <w:t>811</w:t>
      </w:r>
      <w:r>
        <w:rPr>
          <w:color w:val="231F20"/>
          <w:spacing w:val="-19"/>
          <w:w w:val="105"/>
        </w:rPr>
        <w:t> </w:t>
      </w:r>
      <w:r>
        <w:rPr>
          <w:color w:val="231F20"/>
          <w:spacing w:val="-3"/>
          <w:w w:val="105"/>
        </w:rPr>
        <w:t>pesos.</w:t>
      </w:r>
    </w:p>
    <w:p>
      <w:pPr>
        <w:pStyle w:val="BodyText"/>
        <w:spacing w:before="1"/>
        <w:rPr>
          <w:sz w:val="26"/>
        </w:rPr>
      </w:pPr>
    </w:p>
    <w:p>
      <w:pPr>
        <w:pStyle w:val="BodyText"/>
        <w:spacing w:line="285" w:lineRule="auto"/>
        <w:ind w:left="110" w:right="108"/>
        <w:jc w:val="both"/>
      </w:pPr>
      <w:r>
        <w:rPr>
          <w:color w:val="231F20"/>
          <w:w w:val="105"/>
        </w:rPr>
        <w:t>En las obras en proceso ubica acciones de segunda etapa de obras de desarrollo social mencionadas,</w:t>
      </w:r>
      <w:r>
        <w:rPr>
          <w:color w:val="231F20"/>
          <w:spacing w:val="-4"/>
          <w:w w:val="105"/>
        </w:rPr>
        <w:t> </w:t>
      </w:r>
      <w:r>
        <w:rPr>
          <w:color w:val="231F20"/>
          <w:w w:val="105"/>
        </w:rPr>
        <w:t>y</w:t>
      </w:r>
      <w:r>
        <w:rPr>
          <w:color w:val="231F20"/>
          <w:spacing w:val="-4"/>
          <w:w w:val="105"/>
        </w:rPr>
        <w:t> </w:t>
      </w:r>
      <w:r>
        <w:rPr>
          <w:color w:val="231F20"/>
          <w:w w:val="105"/>
        </w:rPr>
        <w:t>obras</w:t>
      </w:r>
      <w:r>
        <w:rPr>
          <w:color w:val="231F20"/>
          <w:spacing w:val="-4"/>
          <w:w w:val="105"/>
        </w:rPr>
        <w:t> </w:t>
      </w:r>
      <w:r>
        <w:rPr>
          <w:color w:val="231F20"/>
          <w:w w:val="105"/>
        </w:rPr>
        <w:t>de</w:t>
      </w:r>
      <w:r>
        <w:rPr>
          <w:color w:val="231F20"/>
          <w:spacing w:val="-4"/>
          <w:w w:val="105"/>
        </w:rPr>
        <w:t> </w:t>
      </w:r>
      <w:r>
        <w:rPr>
          <w:color w:val="231F20"/>
          <w:w w:val="105"/>
        </w:rPr>
        <w:t>desarrollo</w:t>
      </w:r>
      <w:r>
        <w:rPr>
          <w:color w:val="231F20"/>
          <w:spacing w:val="-4"/>
          <w:w w:val="105"/>
        </w:rPr>
        <w:t> </w:t>
      </w:r>
      <w:r>
        <w:rPr>
          <w:color w:val="231F20"/>
          <w:w w:val="105"/>
        </w:rPr>
        <w:t>urbano.</w:t>
      </w:r>
      <w:r>
        <w:rPr>
          <w:color w:val="231F20"/>
          <w:spacing w:val="-4"/>
          <w:w w:val="105"/>
        </w:rPr>
        <w:t> </w:t>
      </w:r>
      <w:r>
        <w:rPr>
          <w:color w:val="231F20"/>
          <w:w w:val="105"/>
        </w:rPr>
        <w:t>Igual</w:t>
      </w:r>
      <w:r>
        <w:rPr>
          <w:color w:val="231F20"/>
          <w:spacing w:val="-4"/>
          <w:w w:val="105"/>
        </w:rPr>
        <w:t> </w:t>
      </w:r>
      <w:r>
        <w:rPr>
          <w:color w:val="231F20"/>
          <w:w w:val="105"/>
        </w:rPr>
        <w:t>dinámica</w:t>
      </w:r>
      <w:r>
        <w:rPr>
          <w:color w:val="231F20"/>
          <w:spacing w:val="-4"/>
          <w:w w:val="105"/>
        </w:rPr>
        <w:t> </w:t>
      </w:r>
      <w:r>
        <w:rPr>
          <w:color w:val="231F20"/>
          <w:w w:val="105"/>
        </w:rPr>
        <w:t>se</w:t>
      </w:r>
      <w:r>
        <w:rPr>
          <w:color w:val="231F20"/>
          <w:spacing w:val="-4"/>
          <w:w w:val="105"/>
        </w:rPr>
        <w:t> </w:t>
      </w:r>
      <w:r>
        <w:rPr>
          <w:color w:val="231F20"/>
          <w:w w:val="105"/>
        </w:rPr>
        <w:t>percibe</w:t>
      </w:r>
      <w:r>
        <w:rPr>
          <w:color w:val="231F20"/>
          <w:spacing w:val="-4"/>
          <w:w w:val="105"/>
        </w:rPr>
        <w:t> </w:t>
      </w:r>
      <w:r>
        <w:rPr>
          <w:color w:val="231F20"/>
          <w:w w:val="105"/>
        </w:rPr>
        <w:t>en</w:t>
      </w:r>
      <w:r>
        <w:rPr>
          <w:color w:val="231F20"/>
          <w:spacing w:val="-4"/>
          <w:w w:val="105"/>
        </w:rPr>
        <w:t> </w:t>
      </w:r>
      <w:r>
        <w:rPr>
          <w:color w:val="231F20"/>
          <w:w w:val="105"/>
        </w:rPr>
        <w:t>las</w:t>
      </w:r>
      <w:r>
        <w:rPr>
          <w:color w:val="231F20"/>
          <w:spacing w:val="-4"/>
          <w:w w:val="105"/>
        </w:rPr>
        <w:t> </w:t>
      </w:r>
      <w:r>
        <w:rPr>
          <w:color w:val="231F20"/>
          <w:w w:val="105"/>
        </w:rPr>
        <w:t>obras</w:t>
      </w:r>
      <w:r>
        <w:rPr>
          <w:color w:val="231F20"/>
          <w:spacing w:val="-4"/>
          <w:w w:val="105"/>
        </w:rPr>
        <w:t> </w:t>
      </w:r>
      <w:r>
        <w:rPr>
          <w:color w:val="231F20"/>
          <w:w w:val="105"/>
        </w:rPr>
        <w:t>por iniciar, una a desarrollo urbano, ya sea para pavimentación, rehabilitación o mante- nimiento de equipamiento urbano, y otras obras para escuelas. Las obras más fuertes en</w:t>
      </w:r>
      <w:r>
        <w:rPr>
          <w:color w:val="231F20"/>
          <w:spacing w:val="-5"/>
          <w:w w:val="105"/>
        </w:rPr>
        <w:t> </w:t>
      </w:r>
      <w:r>
        <w:rPr>
          <w:color w:val="231F20"/>
          <w:w w:val="105"/>
        </w:rPr>
        <w:t>su</w:t>
      </w:r>
      <w:r>
        <w:rPr>
          <w:color w:val="231F20"/>
          <w:spacing w:val="-5"/>
          <w:w w:val="105"/>
        </w:rPr>
        <w:t> </w:t>
      </w:r>
      <w:r>
        <w:rPr>
          <w:color w:val="231F20"/>
          <w:w w:val="105"/>
        </w:rPr>
        <w:t>gestión</w:t>
      </w:r>
      <w:r>
        <w:rPr>
          <w:color w:val="231F20"/>
          <w:spacing w:val="-5"/>
          <w:w w:val="105"/>
        </w:rPr>
        <w:t> </w:t>
      </w:r>
      <w:r>
        <w:rPr>
          <w:color w:val="231F20"/>
          <w:w w:val="105"/>
        </w:rPr>
        <w:t>son</w:t>
      </w:r>
      <w:r>
        <w:rPr>
          <w:color w:val="231F20"/>
          <w:spacing w:val="-5"/>
          <w:w w:val="105"/>
        </w:rPr>
        <w:t> </w:t>
      </w:r>
      <w:r>
        <w:rPr>
          <w:color w:val="231F20"/>
          <w:w w:val="105"/>
        </w:rPr>
        <w:t>la</w:t>
      </w:r>
      <w:r>
        <w:rPr>
          <w:color w:val="231F20"/>
          <w:spacing w:val="-5"/>
          <w:w w:val="105"/>
        </w:rPr>
        <w:t> </w:t>
      </w:r>
      <w:r>
        <w:rPr>
          <w:color w:val="231F20"/>
          <w:w w:val="105"/>
        </w:rPr>
        <w:t>clínica</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spacing w:val="-3"/>
          <w:w w:val="105"/>
        </w:rPr>
        <w:t>mujer</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estancia</w:t>
      </w:r>
      <w:r>
        <w:rPr>
          <w:color w:val="231F20"/>
          <w:spacing w:val="-5"/>
          <w:w w:val="105"/>
        </w:rPr>
        <w:t> </w:t>
      </w:r>
      <w:r>
        <w:rPr>
          <w:color w:val="231F20"/>
          <w:w w:val="105"/>
        </w:rPr>
        <w:t>infantil.</w:t>
      </w:r>
      <w:r>
        <w:rPr>
          <w:color w:val="231F20"/>
          <w:spacing w:val="-5"/>
          <w:w w:val="105"/>
        </w:rPr>
        <w:t> </w:t>
      </w:r>
      <w:r>
        <w:rPr>
          <w:color w:val="231F20"/>
          <w:w w:val="105"/>
        </w:rPr>
        <w:t>Ambas</w:t>
      </w:r>
      <w:r>
        <w:rPr>
          <w:color w:val="231F20"/>
          <w:spacing w:val="-5"/>
          <w:w w:val="105"/>
        </w:rPr>
        <w:t> </w:t>
      </w:r>
      <w:r>
        <w:rPr>
          <w:color w:val="231F20"/>
          <w:w w:val="105"/>
        </w:rPr>
        <w:t>ya</w:t>
      </w:r>
      <w:r>
        <w:rPr>
          <w:color w:val="231F20"/>
          <w:spacing w:val="-5"/>
          <w:w w:val="105"/>
        </w:rPr>
        <w:t> </w:t>
      </w:r>
      <w:r>
        <w:rPr>
          <w:color w:val="231F20"/>
          <w:w w:val="105"/>
        </w:rPr>
        <w:t>con</w:t>
      </w:r>
      <w:r>
        <w:rPr>
          <w:color w:val="231F20"/>
          <w:spacing w:val="-5"/>
          <w:w w:val="105"/>
        </w:rPr>
        <w:t> </w:t>
      </w:r>
      <w:r>
        <w:rPr>
          <w:color w:val="231F20"/>
          <w:w w:val="105"/>
        </w:rPr>
        <w:t>inicio</w:t>
      </w:r>
      <w:r>
        <w:rPr>
          <w:color w:val="231F20"/>
          <w:spacing w:val="-5"/>
          <w:w w:val="105"/>
        </w:rPr>
        <w:t> </w:t>
      </w:r>
      <w:r>
        <w:rPr>
          <w:color w:val="231F20"/>
          <w:w w:val="105"/>
        </w:rPr>
        <w:t>de operación para la prestación del servicio. Este tipo de acciones, centró la atención del gobierno</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mujeres.</w:t>
      </w:r>
    </w:p>
    <w:p>
      <w:pPr>
        <w:spacing w:after="0" w:line="285" w:lineRule="auto"/>
        <w:jc w:val="both"/>
        <w:sectPr>
          <w:pgSz w:w="9640" w:h="12190"/>
          <w:pgMar w:header="0" w:footer="743" w:top="1120" w:bottom="940" w:left="740" w:right="740"/>
        </w:sectPr>
      </w:pPr>
    </w:p>
    <w:p>
      <w:pPr>
        <w:pStyle w:val="BodyText"/>
        <w:rPr>
          <w:sz w:val="9"/>
        </w:rPr>
      </w:pPr>
    </w:p>
    <w:p>
      <w:pPr>
        <w:pStyle w:val="Heading4"/>
        <w:spacing w:line="345" w:lineRule="exact"/>
        <w:rPr>
          <w:i/>
        </w:rPr>
      </w:pPr>
      <w:r>
        <w:rPr>
          <w:i/>
          <w:color w:val="231F20"/>
          <w:w w:val="105"/>
        </w:rPr>
        <w:t>Autonomía</w:t>
      </w:r>
    </w:p>
    <w:p>
      <w:pPr>
        <w:pStyle w:val="BodyText"/>
        <w:spacing w:line="285" w:lineRule="auto" w:before="16"/>
        <w:ind w:left="110" w:right="107"/>
        <w:jc w:val="both"/>
      </w:pPr>
      <w:r>
        <w:rPr>
          <w:color w:val="231F20"/>
          <w:w w:val="105"/>
        </w:rPr>
        <w:t>El tema de gran interés para esta investigación y otras que estudian a los gobiernos de partido,</w:t>
      </w:r>
      <w:r>
        <w:rPr>
          <w:color w:val="231F20"/>
          <w:spacing w:val="-5"/>
          <w:w w:val="105"/>
        </w:rPr>
        <w:t> </w:t>
      </w:r>
      <w:r>
        <w:rPr>
          <w:color w:val="231F20"/>
          <w:w w:val="105"/>
        </w:rPr>
        <w:t>es</w:t>
      </w:r>
      <w:r>
        <w:rPr>
          <w:color w:val="231F20"/>
          <w:spacing w:val="-5"/>
          <w:w w:val="105"/>
        </w:rPr>
        <w:t> </w:t>
      </w:r>
      <w:r>
        <w:rPr>
          <w:color w:val="231F20"/>
          <w:w w:val="105"/>
        </w:rPr>
        <w:t>la</w:t>
      </w:r>
      <w:r>
        <w:rPr>
          <w:color w:val="231F20"/>
          <w:spacing w:val="-5"/>
          <w:w w:val="105"/>
        </w:rPr>
        <w:t> </w:t>
      </w:r>
      <w:r>
        <w:rPr>
          <w:color w:val="231F20"/>
          <w:w w:val="105"/>
        </w:rPr>
        <w:t>definición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autonomía</w:t>
      </w:r>
      <w:r>
        <w:rPr>
          <w:color w:val="231F20"/>
          <w:spacing w:val="-5"/>
          <w:w w:val="105"/>
        </w:rPr>
        <w:t> </w:t>
      </w:r>
      <w:r>
        <w:rPr>
          <w:color w:val="231F20"/>
          <w:w w:val="105"/>
        </w:rPr>
        <w:t>o</w:t>
      </w:r>
      <w:r>
        <w:rPr>
          <w:color w:val="231F20"/>
          <w:spacing w:val="-5"/>
          <w:w w:val="105"/>
        </w:rPr>
        <w:t> </w:t>
      </w:r>
      <w:r>
        <w:rPr>
          <w:color w:val="231F20"/>
          <w:w w:val="105"/>
        </w:rPr>
        <w:t>dependencia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gobiernos</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partidos 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inversa,</w:t>
      </w:r>
      <w:r>
        <w:rPr>
          <w:color w:val="231F20"/>
          <w:spacing w:val="-4"/>
          <w:w w:val="105"/>
        </w:rPr>
        <w:t> </w:t>
      </w:r>
      <w:r>
        <w:rPr>
          <w:color w:val="231F20"/>
          <w:w w:val="105"/>
        </w:rPr>
        <w:t>del</w:t>
      </w:r>
      <w:r>
        <w:rPr>
          <w:color w:val="231F20"/>
          <w:spacing w:val="-4"/>
          <w:w w:val="105"/>
        </w:rPr>
        <w:t> </w:t>
      </w:r>
      <w:r>
        <w:rPr>
          <w:color w:val="231F20"/>
          <w:w w:val="105"/>
        </w:rPr>
        <w:t>partido</w:t>
      </w:r>
      <w:r>
        <w:rPr>
          <w:color w:val="231F20"/>
          <w:spacing w:val="-4"/>
          <w:w w:val="105"/>
        </w:rPr>
        <w:t> </w:t>
      </w:r>
      <w:r>
        <w:rPr>
          <w:color w:val="231F20"/>
          <w:spacing w:val="2"/>
          <w:w w:val="105"/>
        </w:rPr>
        <w:t>al</w:t>
      </w:r>
      <w:r>
        <w:rPr>
          <w:color w:val="231F20"/>
          <w:spacing w:val="-4"/>
          <w:w w:val="105"/>
        </w:rPr>
        <w:t> </w:t>
      </w:r>
      <w:r>
        <w:rPr>
          <w:color w:val="231F20"/>
          <w:spacing w:val="-3"/>
          <w:w w:val="105"/>
        </w:rPr>
        <w:t>gobierno.</w:t>
      </w:r>
      <w:r>
        <w:rPr>
          <w:color w:val="231F20"/>
          <w:spacing w:val="-4"/>
          <w:w w:val="105"/>
        </w:rPr>
        <w:t> </w:t>
      </w:r>
      <w:r>
        <w:rPr>
          <w:color w:val="231F20"/>
          <w:w w:val="105"/>
        </w:rPr>
        <w:t>En</w:t>
      </w:r>
      <w:r>
        <w:rPr>
          <w:color w:val="231F20"/>
          <w:spacing w:val="-4"/>
          <w:w w:val="105"/>
        </w:rPr>
        <w:t> </w:t>
      </w:r>
      <w:r>
        <w:rPr>
          <w:color w:val="231F20"/>
          <w:w w:val="105"/>
        </w:rPr>
        <w:t>nuestro</w:t>
      </w:r>
      <w:r>
        <w:rPr>
          <w:color w:val="231F20"/>
          <w:spacing w:val="-4"/>
          <w:w w:val="105"/>
        </w:rPr>
        <w:t> </w:t>
      </w:r>
      <w:r>
        <w:rPr>
          <w:color w:val="231F20"/>
          <w:w w:val="105"/>
        </w:rPr>
        <w:t>caso,</w:t>
      </w:r>
      <w:r>
        <w:rPr>
          <w:color w:val="231F20"/>
          <w:spacing w:val="-4"/>
          <w:w w:val="105"/>
        </w:rPr>
        <w:t> </w:t>
      </w:r>
      <w:r>
        <w:rPr>
          <w:color w:val="231F20"/>
          <w:w w:val="105"/>
        </w:rPr>
        <w:t>como</w:t>
      </w:r>
      <w:r>
        <w:rPr>
          <w:color w:val="231F20"/>
          <w:spacing w:val="-4"/>
          <w:w w:val="105"/>
        </w:rPr>
        <w:t> </w:t>
      </w:r>
      <w:r>
        <w:rPr>
          <w:color w:val="231F20"/>
          <w:w w:val="105"/>
        </w:rPr>
        <w:t>se</w:t>
      </w:r>
      <w:r>
        <w:rPr>
          <w:color w:val="231F20"/>
          <w:spacing w:val="-4"/>
          <w:w w:val="105"/>
        </w:rPr>
        <w:t> </w:t>
      </w:r>
      <w:r>
        <w:rPr>
          <w:color w:val="231F20"/>
          <w:w w:val="105"/>
        </w:rPr>
        <w:t>ha</w:t>
      </w:r>
      <w:r>
        <w:rPr>
          <w:color w:val="231F20"/>
          <w:spacing w:val="-4"/>
          <w:w w:val="105"/>
        </w:rPr>
        <w:t> </w:t>
      </w:r>
      <w:r>
        <w:rPr>
          <w:color w:val="231F20"/>
          <w:w w:val="105"/>
        </w:rPr>
        <w:t>venido</w:t>
      </w:r>
      <w:r>
        <w:rPr>
          <w:color w:val="231F20"/>
          <w:spacing w:val="-4"/>
          <w:w w:val="105"/>
        </w:rPr>
        <w:t> </w:t>
      </w:r>
      <w:r>
        <w:rPr>
          <w:color w:val="231F20"/>
          <w:w w:val="105"/>
        </w:rPr>
        <w:t>delineando, el gobierno municipal cuenta con una estructura y diseño sui generis, esto lo hace in- teresante en su análisis, pues como ya se dijo a pesar de que el gobierno y la </w:t>
      </w:r>
      <w:r>
        <w:rPr>
          <w:color w:val="231F20"/>
          <w:spacing w:val="2"/>
          <w:w w:val="105"/>
        </w:rPr>
        <w:t>máxima </w:t>
      </w:r>
      <w:r>
        <w:rPr>
          <w:color w:val="231F20"/>
          <w:w w:val="105"/>
        </w:rPr>
        <w:t>autoridad</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es</w:t>
      </w:r>
      <w:r>
        <w:rPr>
          <w:color w:val="231F20"/>
          <w:spacing w:val="-11"/>
          <w:w w:val="105"/>
        </w:rPr>
        <w:t> </w:t>
      </w:r>
      <w:r>
        <w:rPr>
          <w:color w:val="231F20"/>
          <w:w w:val="105"/>
        </w:rPr>
        <w:t>un</w:t>
      </w:r>
      <w:r>
        <w:rPr>
          <w:color w:val="231F20"/>
          <w:spacing w:val="-11"/>
          <w:w w:val="105"/>
        </w:rPr>
        <w:t> </w:t>
      </w:r>
      <w:r>
        <w:rPr>
          <w:color w:val="231F20"/>
          <w:w w:val="105"/>
        </w:rPr>
        <w:t>órgano</w:t>
      </w:r>
      <w:r>
        <w:rPr>
          <w:color w:val="231F20"/>
          <w:spacing w:val="-11"/>
          <w:w w:val="105"/>
        </w:rPr>
        <w:t> </w:t>
      </w:r>
      <w:r>
        <w:rPr>
          <w:color w:val="231F20"/>
          <w:w w:val="105"/>
        </w:rPr>
        <w:t>colegiado,</w:t>
      </w:r>
      <w:r>
        <w:rPr>
          <w:color w:val="231F20"/>
          <w:spacing w:val="-11"/>
          <w:w w:val="105"/>
        </w:rPr>
        <w:t> </w:t>
      </w:r>
      <w:r>
        <w:rPr>
          <w:color w:val="231F20"/>
          <w:w w:val="105"/>
        </w:rPr>
        <w:t>también</w:t>
      </w:r>
      <w:r>
        <w:rPr>
          <w:color w:val="231F20"/>
          <w:spacing w:val="-11"/>
          <w:w w:val="105"/>
        </w:rPr>
        <w:t> </w:t>
      </w:r>
      <w:r>
        <w:rPr>
          <w:color w:val="231F20"/>
          <w:w w:val="105"/>
        </w:rPr>
        <w:t>existe</w:t>
      </w:r>
      <w:r>
        <w:rPr>
          <w:color w:val="231F20"/>
          <w:spacing w:val="-11"/>
          <w:w w:val="105"/>
        </w:rPr>
        <w:t> </w:t>
      </w:r>
      <w:r>
        <w:rPr>
          <w:color w:val="231F20"/>
          <w:w w:val="105"/>
        </w:rPr>
        <w:t>la</w:t>
      </w:r>
      <w:r>
        <w:rPr>
          <w:color w:val="231F20"/>
          <w:spacing w:val="-11"/>
          <w:w w:val="105"/>
        </w:rPr>
        <w:t> </w:t>
      </w:r>
      <w:r>
        <w:rPr>
          <w:color w:val="231F20"/>
          <w:spacing w:val="2"/>
          <w:w w:val="105"/>
        </w:rPr>
        <w:t>figura</w:t>
      </w:r>
      <w:r>
        <w:rPr>
          <w:color w:val="231F20"/>
          <w:spacing w:val="-11"/>
          <w:w w:val="105"/>
        </w:rPr>
        <w:t> </w:t>
      </w:r>
      <w:r>
        <w:rPr>
          <w:color w:val="231F20"/>
          <w:w w:val="105"/>
        </w:rPr>
        <w:t>de</w:t>
      </w:r>
      <w:r>
        <w:rPr>
          <w:color w:val="231F20"/>
          <w:spacing w:val="-11"/>
          <w:w w:val="105"/>
        </w:rPr>
        <w:t> </w:t>
      </w:r>
      <w:r>
        <w:rPr>
          <w:color w:val="231F20"/>
          <w:w w:val="105"/>
        </w:rPr>
        <w:t>ejecutivo municipal,</w:t>
      </w:r>
      <w:r>
        <w:rPr>
          <w:color w:val="231F20"/>
          <w:spacing w:val="-6"/>
          <w:w w:val="105"/>
        </w:rPr>
        <w:t> </w:t>
      </w:r>
      <w:r>
        <w:rPr>
          <w:color w:val="231F20"/>
          <w:w w:val="105"/>
        </w:rPr>
        <w:t>el</w:t>
      </w:r>
      <w:r>
        <w:rPr>
          <w:color w:val="231F20"/>
          <w:spacing w:val="-6"/>
          <w:w w:val="105"/>
        </w:rPr>
        <w:t> </w:t>
      </w:r>
      <w:r>
        <w:rPr>
          <w:color w:val="231F20"/>
          <w:w w:val="105"/>
        </w:rPr>
        <w:t>cual</w:t>
      </w:r>
      <w:r>
        <w:rPr>
          <w:color w:val="231F20"/>
          <w:spacing w:val="-6"/>
          <w:w w:val="105"/>
        </w:rPr>
        <w:t> </w:t>
      </w:r>
      <w:r>
        <w:rPr>
          <w:color w:val="231F20"/>
          <w:w w:val="105"/>
        </w:rPr>
        <w:t>depende</w:t>
      </w:r>
      <w:r>
        <w:rPr>
          <w:color w:val="231F20"/>
          <w:spacing w:val="-6"/>
          <w:w w:val="105"/>
        </w:rPr>
        <w:t> </w:t>
      </w:r>
      <w:r>
        <w:rPr>
          <w:color w:val="231F20"/>
          <w:w w:val="105"/>
        </w:rPr>
        <w:t>del</w:t>
      </w:r>
      <w:r>
        <w:rPr>
          <w:color w:val="231F20"/>
          <w:spacing w:val="-6"/>
          <w:w w:val="105"/>
        </w:rPr>
        <w:t> </w:t>
      </w:r>
      <w:r>
        <w:rPr>
          <w:color w:val="231F20"/>
          <w:w w:val="105"/>
        </w:rPr>
        <w:t>ayuntamiento.</w:t>
      </w:r>
      <w:r>
        <w:rPr>
          <w:color w:val="231F20"/>
          <w:spacing w:val="-6"/>
          <w:w w:val="105"/>
        </w:rPr>
        <w:t> </w:t>
      </w:r>
      <w:r>
        <w:rPr>
          <w:color w:val="231F20"/>
          <w:w w:val="105"/>
        </w:rPr>
        <w:t>Esto</w:t>
      </w:r>
      <w:r>
        <w:rPr>
          <w:color w:val="231F20"/>
          <w:spacing w:val="-6"/>
          <w:w w:val="105"/>
        </w:rPr>
        <w:t> </w:t>
      </w:r>
      <w:r>
        <w:rPr>
          <w:color w:val="231F20"/>
          <w:w w:val="105"/>
        </w:rPr>
        <w:t>nos</w:t>
      </w:r>
      <w:r>
        <w:rPr>
          <w:color w:val="231F20"/>
          <w:spacing w:val="-6"/>
          <w:w w:val="105"/>
        </w:rPr>
        <w:t> </w:t>
      </w:r>
      <w:r>
        <w:rPr>
          <w:color w:val="231F20"/>
          <w:w w:val="105"/>
        </w:rPr>
        <w:t>hace</w:t>
      </w:r>
      <w:r>
        <w:rPr>
          <w:color w:val="231F20"/>
          <w:spacing w:val="-6"/>
          <w:w w:val="105"/>
        </w:rPr>
        <w:t> </w:t>
      </w:r>
      <w:r>
        <w:rPr>
          <w:color w:val="231F20"/>
          <w:spacing w:val="-4"/>
          <w:w w:val="105"/>
        </w:rPr>
        <w:t>suponer,</w:t>
      </w:r>
      <w:r>
        <w:rPr>
          <w:color w:val="231F20"/>
          <w:spacing w:val="-6"/>
          <w:w w:val="105"/>
        </w:rPr>
        <w:t> </w:t>
      </w:r>
      <w:r>
        <w:rPr>
          <w:color w:val="231F20"/>
          <w:w w:val="105"/>
        </w:rPr>
        <w:t>y</w:t>
      </w:r>
      <w:r>
        <w:rPr>
          <w:color w:val="231F20"/>
          <w:spacing w:val="-6"/>
          <w:w w:val="105"/>
        </w:rPr>
        <w:t> </w:t>
      </w:r>
      <w:r>
        <w:rPr>
          <w:color w:val="231F20"/>
          <w:w w:val="105"/>
        </w:rPr>
        <w:t>según</w:t>
      </w:r>
      <w:r>
        <w:rPr>
          <w:color w:val="231F20"/>
          <w:spacing w:val="-6"/>
          <w:w w:val="105"/>
        </w:rPr>
        <w:t> </w:t>
      </w:r>
      <w:r>
        <w:rPr>
          <w:color w:val="231F20"/>
          <w:w w:val="105"/>
        </w:rPr>
        <w:t>la</w:t>
      </w:r>
      <w:r>
        <w:rPr>
          <w:color w:val="231F20"/>
          <w:spacing w:val="-6"/>
          <w:w w:val="105"/>
        </w:rPr>
        <w:t> </w:t>
      </w:r>
      <w:r>
        <w:rPr>
          <w:color w:val="231F20"/>
          <w:w w:val="105"/>
        </w:rPr>
        <w:t>ley</w:t>
      </w:r>
      <w:r>
        <w:rPr>
          <w:color w:val="231F20"/>
          <w:spacing w:val="-6"/>
          <w:w w:val="105"/>
        </w:rPr>
        <w:t> </w:t>
      </w:r>
      <w:r>
        <w:rPr>
          <w:color w:val="231F20"/>
          <w:w w:val="105"/>
        </w:rPr>
        <w:t>así es,</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presidente</w:t>
      </w:r>
      <w:r>
        <w:rPr>
          <w:color w:val="231F20"/>
          <w:spacing w:val="-21"/>
          <w:w w:val="105"/>
        </w:rPr>
        <w:t> </w:t>
      </w:r>
      <w:r>
        <w:rPr>
          <w:color w:val="231F20"/>
          <w:w w:val="105"/>
        </w:rPr>
        <w:t>está</w:t>
      </w:r>
      <w:r>
        <w:rPr>
          <w:color w:val="231F20"/>
          <w:spacing w:val="-21"/>
          <w:w w:val="105"/>
        </w:rPr>
        <w:t> </w:t>
      </w:r>
      <w:r>
        <w:rPr>
          <w:color w:val="231F20"/>
          <w:w w:val="105"/>
        </w:rPr>
        <w:t>subordinado</w:t>
      </w:r>
      <w:r>
        <w:rPr>
          <w:color w:val="231F20"/>
          <w:spacing w:val="-21"/>
          <w:w w:val="105"/>
        </w:rPr>
        <w:t> </w:t>
      </w:r>
      <w:r>
        <w:rPr>
          <w:color w:val="231F20"/>
          <w:w w:val="105"/>
        </w:rPr>
        <w:t>a</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le</w:t>
      </w:r>
      <w:r>
        <w:rPr>
          <w:color w:val="231F20"/>
          <w:spacing w:val="-21"/>
          <w:w w:val="105"/>
        </w:rPr>
        <w:t> </w:t>
      </w:r>
      <w:r>
        <w:rPr>
          <w:color w:val="231F20"/>
          <w:w w:val="105"/>
        </w:rPr>
        <w:t>mandata</w:t>
      </w:r>
      <w:r>
        <w:rPr>
          <w:color w:val="231F20"/>
          <w:spacing w:val="-21"/>
          <w:w w:val="105"/>
        </w:rPr>
        <w:t> </w:t>
      </w:r>
      <w:r>
        <w:rPr>
          <w:color w:val="231F20"/>
          <w:w w:val="105"/>
        </w:rPr>
        <w:t>el</w:t>
      </w:r>
      <w:r>
        <w:rPr>
          <w:color w:val="231F20"/>
          <w:spacing w:val="-21"/>
          <w:w w:val="105"/>
        </w:rPr>
        <w:t> </w:t>
      </w:r>
      <w:r>
        <w:rPr>
          <w:color w:val="231F20"/>
          <w:w w:val="105"/>
        </w:rPr>
        <w:t>ayuntamiento,</w:t>
      </w:r>
      <w:r>
        <w:rPr>
          <w:color w:val="231F20"/>
          <w:spacing w:val="-21"/>
          <w:w w:val="105"/>
        </w:rPr>
        <w:t> </w:t>
      </w:r>
      <w:r>
        <w:rPr>
          <w:color w:val="231F20"/>
          <w:w w:val="105"/>
        </w:rPr>
        <w:t>sin</w:t>
      </w:r>
      <w:r>
        <w:rPr>
          <w:color w:val="231F20"/>
          <w:spacing w:val="-21"/>
          <w:w w:val="105"/>
        </w:rPr>
        <w:t> </w:t>
      </w:r>
      <w:r>
        <w:rPr>
          <w:color w:val="231F20"/>
          <w:w w:val="105"/>
        </w:rPr>
        <w:t>embargo, en</w:t>
      </w:r>
      <w:r>
        <w:rPr>
          <w:color w:val="231F20"/>
          <w:spacing w:val="-12"/>
          <w:w w:val="105"/>
        </w:rPr>
        <w:t> </w:t>
      </w:r>
      <w:r>
        <w:rPr>
          <w:color w:val="231F20"/>
          <w:w w:val="105"/>
        </w:rPr>
        <w:t>la</w:t>
      </w:r>
      <w:r>
        <w:rPr>
          <w:color w:val="231F20"/>
          <w:spacing w:val="-12"/>
          <w:w w:val="105"/>
        </w:rPr>
        <w:t> </w:t>
      </w:r>
      <w:r>
        <w:rPr>
          <w:color w:val="231F20"/>
          <w:w w:val="105"/>
        </w:rPr>
        <w:t>realidad,</w:t>
      </w:r>
      <w:r>
        <w:rPr>
          <w:color w:val="231F20"/>
          <w:spacing w:val="-12"/>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spacing w:val="2"/>
          <w:w w:val="105"/>
        </w:rPr>
        <w:t>tan</w:t>
      </w:r>
      <w:r>
        <w:rPr>
          <w:color w:val="231F20"/>
          <w:spacing w:val="-12"/>
          <w:w w:val="105"/>
        </w:rPr>
        <w:t> </w:t>
      </w:r>
      <w:r>
        <w:rPr>
          <w:color w:val="231F20"/>
          <w:w w:val="105"/>
        </w:rPr>
        <w:t>directo,</w:t>
      </w:r>
      <w:r>
        <w:rPr>
          <w:color w:val="231F20"/>
          <w:spacing w:val="-12"/>
          <w:w w:val="105"/>
        </w:rPr>
        <w:t> </w:t>
      </w:r>
      <w:r>
        <w:rPr>
          <w:color w:val="231F20"/>
          <w:w w:val="105"/>
        </w:rPr>
        <w:t>tiene</w:t>
      </w:r>
      <w:r>
        <w:rPr>
          <w:color w:val="231F20"/>
          <w:spacing w:val="-12"/>
          <w:w w:val="105"/>
        </w:rPr>
        <w:t> </w:t>
      </w:r>
      <w:r>
        <w:rPr>
          <w:color w:val="231F20"/>
          <w:w w:val="105"/>
        </w:rPr>
        <w:t>sus</w:t>
      </w:r>
      <w:r>
        <w:rPr>
          <w:color w:val="231F20"/>
          <w:spacing w:val="-12"/>
          <w:w w:val="105"/>
        </w:rPr>
        <w:t> </w:t>
      </w:r>
      <w:r>
        <w:rPr>
          <w:color w:val="231F20"/>
          <w:w w:val="105"/>
        </w:rPr>
        <w:t>matices,</w:t>
      </w:r>
      <w:r>
        <w:rPr>
          <w:color w:val="231F20"/>
          <w:spacing w:val="-12"/>
          <w:w w:val="105"/>
        </w:rPr>
        <w:t> </w:t>
      </w:r>
      <w:r>
        <w:rPr>
          <w:color w:val="231F20"/>
          <w:w w:val="105"/>
        </w:rPr>
        <w:t>los</w:t>
      </w:r>
      <w:r>
        <w:rPr>
          <w:color w:val="231F20"/>
          <w:spacing w:val="-12"/>
          <w:w w:val="105"/>
        </w:rPr>
        <w:t> </w:t>
      </w:r>
      <w:r>
        <w:rPr>
          <w:color w:val="231F20"/>
          <w:w w:val="105"/>
        </w:rPr>
        <w:t>que</w:t>
      </w:r>
      <w:r>
        <w:rPr>
          <w:color w:val="231F20"/>
          <w:spacing w:val="-12"/>
          <w:w w:val="105"/>
        </w:rPr>
        <w:t> </w:t>
      </w:r>
      <w:r>
        <w:rPr>
          <w:color w:val="231F20"/>
          <w:w w:val="105"/>
        </w:rPr>
        <w:t>estriban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cultura</w:t>
      </w:r>
      <w:r>
        <w:rPr>
          <w:color w:val="231F20"/>
          <w:spacing w:val="-12"/>
          <w:w w:val="105"/>
        </w:rPr>
        <w:t> </w:t>
      </w:r>
      <w:r>
        <w:rPr>
          <w:color w:val="231F20"/>
          <w:w w:val="105"/>
        </w:rPr>
        <w:t>política de</w:t>
      </w:r>
      <w:r>
        <w:rPr>
          <w:color w:val="231F20"/>
          <w:spacing w:val="-6"/>
          <w:w w:val="105"/>
        </w:rPr>
        <w:t> </w:t>
      </w:r>
      <w:r>
        <w:rPr>
          <w:color w:val="231F20"/>
          <w:w w:val="105"/>
        </w:rPr>
        <w:t>los</w:t>
      </w:r>
      <w:r>
        <w:rPr>
          <w:color w:val="231F20"/>
          <w:spacing w:val="-6"/>
          <w:w w:val="105"/>
        </w:rPr>
        <w:t> </w:t>
      </w:r>
      <w:r>
        <w:rPr>
          <w:color w:val="231F20"/>
          <w:w w:val="105"/>
        </w:rPr>
        <w:t>políticos,</w:t>
      </w:r>
      <w:r>
        <w:rPr>
          <w:color w:val="231F20"/>
          <w:spacing w:val="-6"/>
          <w:w w:val="105"/>
        </w:rPr>
        <w:t> </w:t>
      </w:r>
      <w:r>
        <w:rPr>
          <w:color w:val="231F20"/>
          <w:w w:val="105"/>
        </w:rPr>
        <w:t>su</w:t>
      </w:r>
      <w:r>
        <w:rPr>
          <w:color w:val="231F20"/>
          <w:spacing w:val="-6"/>
          <w:w w:val="105"/>
        </w:rPr>
        <w:t> </w:t>
      </w:r>
      <w:r>
        <w:rPr>
          <w:color w:val="231F20"/>
          <w:w w:val="105"/>
        </w:rPr>
        <w:t>preparación,</w:t>
      </w:r>
      <w:r>
        <w:rPr>
          <w:color w:val="231F20"/>
          <w:spacing w:val="-6"/>
          <w:w w:val="105"/>
        </w:rPr>
        <w:t> </w:t>
      </w:r>
      <w:r>
        <w:rPr>
          <w:color w:val="231F20"/>
          <w:w w:val="105"/>
        </w:rPr>
        <w:t>la</w:t>
      </w:r>
      <w:r>
        <w:rPr>
          <w:color w:val="231F20"/>
          <w:spacing w:val="-6"/>
          <w:w w:val="105"/>
        </w:rPr>
        <w:t> </w:t>
      </w:r>
      <w:r>
        <w:rPr>
          <w:color w:val="231F20"/>
          <w:w w:val="105"/>
        </w:rPr>
        <w:t>sumisión,</w:t>
      </w:r>
      <w:r>
        <w:rPr>
          <w:color w:val="231F20"/>
          <w:spacing w:val="-6"/>
          <w:w w:val="105"/>
        </w:rPr>
        <w:t> </w:t>
      </w:r>
      <w:r>
        <w:rPr>
          <w:color w:val="231F20"/>
          <w:w w:val="105"/>
        </w:rPr>
        <w:t>la</w:t>
      </w:r>
      <w:r>
        <w:rPr>
          <w:color w:val="231F20"/>
          <w:spacing w:val="-6"/>
          <w:w w:val="105"/>
        </w:rPr>
        <w:t> </w:t>
      </w:r>
      <w:r>
        <w:rPr>
          <w:color w:val="231F20"/>
          <w:w w:val="105"/>
        </w:rPr>
        <w:t>falta</w:t>
      </w:r>
      <w:r>
        <w:rPr>
          <w:color w:val="231F20"/>
          <w:spacing w:val="-6"/>
          <w:w w:val="105"/>
        </w:rPr>
        <w:t> </w:t>
      </w:r>
      <w:r>
        <w:rPr>
          <w:color w:val="231F20"/>
          <w:w w:val="105"/>
        </w:rPr>
        <w:t>de</w:t>
      </w:r>
      <w:r>
        <w:rPr>
          <w:color w:val="231F20"/>
          <w:spacing w:val="-6"/>
          <w:w w:val="105"/>
        </w:rPr>
        <w:t> </w:t>
      </w:r>
      <w:r>
        <w:rPr>
          <w:color w:val="231F20"/>
          <w:w w:val="105"/>
        </w:rPr>
        <w:t>conocimiento</w:t>
      </w:r>
      <w:r>
        <w:rPr>
          <w:color w:val="231F20"/>
          <w:spacing w:val="-6"/>
          <w:w w:val="105"/>
        </w:rPr>
        <w:t> </w:t>
      </w:r>
      <w:r>
        <w:rPr>
          <w:color w:val="231F20"/>
          <w:w w:val="105"/>
        </w:rPr>
        <w:t>técnicos</w:t>
      </w:r>
      <w:r>
        <w:rPr>
          <w:color w:val="231F20"/>
          <w:spacing w:val="-6"/>
          <w:w w:val="105"/>
        </w:rPr>
        <w:t> </w:t>
      </w:r>
      <w:r>
        <w:rPr>
          <w:color w:val="231F20"/>
          <w:w w:val="105"/>
        </w:rPr>
        <w:t>sobre</w:t>
      </w:r>
      <w:r>
        <w:rPr>
          <w:color w:val="231F20"/>
          <w:spacing w:val="-6"/>
          <w:w w:val="105"/>
        </w:rPr>
        <w:t> </w:t>
      </w:r>
      <w:r>
        <w:rPr>
          <w:color w:val="231F20"/>
          <w:w w:val="105"/>
        </w:rPr>
        <w:t>el asunto</w:t>
      </w:r>
      <w:r>
        <w:rPr>
          <w:color w:val="231F20"/>
          <w:spacing w:val="-15"/>
          <w:w w:val="105"/>
        </w:rPr>
        <w:t> </w:t>
      </w:r>
      <w:r>
        <w:rPr>
          <w:color w:val="231F20"/>
          <w:w w:val="105"/>
        </w:rPr>
        <w:t>a</w:t>
      </w:r>
      <w:r>
        <w:rPr>
          <w:color w:val="231F20"/>
          <w:spacing w:val="-15"/>
          <w:w w:val="105"/>
        </w:rPr>
        <w:t> </w:t>
      </w:r>
      <w:r>
        <w:rPr>
          <w:color w:val="231F20"/>
          <w:w w:val="105"/>
        </w:rPr>
        <w:t>tratar,</w:t>
      </w:r>
      <w:r>
        <w:rPr>
          <w:color w:val="231F20"/>
          <w:spacing w:val="-15"/>
          <w:w w:val="105"/>
        </w:rPr>
        <w:t> </w:t>
      </w:r>
      <w:r>
        <w:rPr>
          <w:color w:val="231F20"/>
          <w:w w:val="105"/>
        </w:rPr>
        <w:t>en</w:t>
      </w:r>
      <w:r>
        <w:rPr>
          <w:color w:val="231F20"/>
          <w:spacing w:val="-15"/>
          <w:w w:val="105"/>
        </w:rPr>
        <w:t> </w:t>
      </w:r>
      <w:r>
        <w:rPr>
          <w:color w:val="231F20"/>
          <w:w w:val="105"/>
        </w:rPr>
        <w:t>muchas</w:t>
      </w:r>
      <w:r>
        <w:rPr>
          <w:color w:val="231F20"/>
          <w:spacing w:val="-15"/>
          <w:w w:val="105"/>
        </w:rPr>
        <w:t> </w:t>
      </w:r>
      <w:r>
        <w:rPr>
          <w:color w:val="231F20"/>
          <w:w w:val="105"/>
        </w:rPr>
        <w:t>ocasiones</w:t>
      </w:r>
      <w:r>
        <w:rPr>
          <w:color w:val="231F20"/>
          <w:spacing w:val="-15"/>
          <w:w w:val="105"/>
        </w:rPr>
        <w:t> </w:t>
      </w:r>
      <w:r>
        <w:rPr>
          <w:color w:val="231F20"/>
          <w:w w:val="105"/>
        </w:rPr>
        <w:t>hasta</w:t>
      </w:r>
      <w:r>
        <w:rPr>
          <w:color w:val="231F20"/>
          <w:spacing w:val="-15"/>
          <w:w w:val="105"/>
        </w:rPr>
        <w:t> </w:t>
      </w:r>
      <w:r>
        <w:rPr>
          <w:color w:val="231F20"/>
          <w:w w:val="105"/>
        </w:rPr>
        <w:t>se</w:t>
      </w:r>
      <w:r>
        <w:rPr>
          <w:color w:val="231F20"/>
          <w:spacing w:val="-15"/>
          <w:w w:val="105"/>
        </w:rPr>
        <w:t> </w:t>
      </w:r>
      <w:r>
        <w:rPr>
          <w:color w:val="231F20"/>
          <w:w w:val="105"/>
        </w:rPr>
        <w:t>desconoce</w:t>
      </w:r>
      <w:r>
        <w:rPr>
          <w:color w:val="231F20"/>
          <w:spacing w:val="-15"/>
          <w:w w:val="105"/>
        </w:rPr>
        <w:t> </w:t>
      </w:r>
      <w:r>
        <w:rPr>
          <w:color w:val="231F20"/>
          <w:w w:val="105"/>
        </w:rPr>
        <w:t>información</w:t>
      </w:r>
      <w:r>
        <w:rPr>
          <w:color w:val="231F20"/>
          <w:spacing w:val="-15"/>
          <w:w w:val="105"/>
        </w:rPr>
        <w:t> </w:t>
      </w:r>
      <w:r>
        <w:rPr>
          <w:color w:val="231F20"/>
          <w:w w:val="105"/>
        </w:rPr>
        <w:t>del</w:t>
      </w:r>
      <w:r>
        <w:rPr>
          <w:color w:val="231F20"/>
          <w:spacing w:val="-15"/>
          <w:w w:val="105"/>
        </w:rPr>
        <w:t> </w:t>
      </w:r>
      <w:r>
        <w:rPr>
          <w:color w:val="231F20"/>
          <w:w w:val="105"/>
        </w:rPr>
        <w:t>asunto,</w:t>
      </w:r>
      <w:r>
        <w:rPr>
          <w:color w:val="231F20"/>
          <w:spacing w:val="-15"/>
          <w:w w:val="105"/>
        </w:rPr>
        <w:t> </w:t>
      </w:r>
      <w:r>
        <w:rPr>
          <w:color w:val="231F20"/>
          <w:w w:val="105"/>
        </w:rPr>
        <w:t>lo</w:t>
      </w:r>
      <w:r>
        <w:rPr>
          <w:color w:val="231F20"/>
          <w:spacing w:val="-15"/>
          <w:w w:val="105"/>
        </w:rPr>
        <w:t> </w:t>
      </w:r>
      <w:r>
        <w:rPr>
          <w:color w:val="231F20"/>
          <w:w w:val="105"/>
        </w:rPr>
        <w:t>cual es</w:t>
      </w:r>
      <w:r>
        <w:rPr>
          <w:color w:val="231F20"/>
          <w:spacing w:val="-29"/>
          <w:w w:val="105"/>
        </w:rPr>
        <w:t> </w:t>
      </w:r>
      <w:r>
        <w:rPr>
          <w:color w:val="231F20"/>
          <w:w w:val="105"/>
        </w:rPr>
        <w:t>privilegio</w:t>
      </w:r>
      <w:r>
        <w:rPr>
          <w:color w:val="231F20"/>
          <w:spacing w:val="-29"/>
          <w:w w:val="105"/>
        </w:rPr>
        <w:t> </w:t>
      </w:r>
      <w:r>
        <w:rPr>
          <w:color w:val="231F20"/>
          <w:w w:val="105"/>
        </w:rPr>
        <w:t>del</w:t>
      </w:r>
      <w:r>
        <w:rPr>
          <w:color w:val="231F20"/>
          <w:spacing w:val="-29"/>
          <w:w w:val="105"/>
        </w:rPr>
        <w:t> </w:t>
      </w:r>
      <w:r>
        <w:rPr>
          <w:color w:val="231F20"/>
          <w:w w:val="105"/>
        </w:rPr>
        <w:t>presidente.</w:t>
      </w:r>
    </w:p>
    <w:p>
      <w:pPr>
        <w:pStyle w:val="BodyText"/>
        <w:spacing w:before="1"/>
        <w:rPr>
          <w:sz w:val="26"/>
        </w:rPr>
      </w:pPr>
    </w:p>
    <w:p>
      <w:pPr>
        <w:pStyle w:val="BodyText"/>
        <w:spacing w:line="285" w:lineRule="auto"/>
        <w:ind w:left="110" w:right="107"/>
        <w:jc w:val="both"/>
      </w:pPr>
      <w:r>
        <w:rPr>
          <w:color w:val="231F20"/>
          <w:w w:val="105"/>
        </w:rPr>
        <w:t>En</w:t>
      </w:r>
      <w:r>
        <w:rPr>
          <w:color w:val="231F20"/>
          <w:spacing w:val="-21"/>
          <w:w w:val="105"/>
        </w:rPr>
        <w:t> </w:t>
      </w:r>
      <w:r>
        <w:rPr>
          <w:color w:val="231F20"/>
          <w:w w:val="105"/>
        </w:rPr>
        <w:t>cuanto</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cultura</w:t>
      </w:r>
      <w:r>
        <w:rPr>
          <w:color w:val="231F20"/>
          <w:spacing w:val="-21"/>
          <w:w w:val="105"/>
        </w:rPr>
        <w:t> </w:t>
      </w:r>
      <w:r>
        <w:rPr>
          <w:color w:val="231F20"/>
          <w:w w:val="105"/>
        </w:rPr>
        <w:t>política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políticos</w:t>
      </w:r>
      <w:r>
        <w:rPr>
          <w:color w:val="231F20"/>
          <w:spacing w:val="-21"/>
          <w:w w:val="105"/>
        </w:rPr>
        <w:t> </w:t>
      </w:r>
      <w:r>
        <w:rPr>
          <w:color w:val="231F20"/>
          <w:w w:val="105"/>
        </w:rPr>
        <w:t>encontramos</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mayoría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regido- res,</w:t>
      </w:r>
      <w:r>
        <w:rPr>
          <w:color w:val="231F20"/>
          <w:spacing w:val="-15"/>
          <w:w w:val="105"/>
        </w:rPr>
        <w:t> </w:t>
      </w:r>
      <w:r>
        <w:rPr>
          <w:color w:val="231F20"/>
          <w:w w:val="105"/>
        </w:rPr>
        <w:t>no</w:t>
      </w:r>
      <w:r>
        <w:rPr>
          <w:color w:val="231F20"/>
          <w:spacing w:val="-15"/>
          <w:w w:val="105"/>
        </w:rPr>
        <w:t> </w:t>
      </w:r>
      <w:r>
        <w:rPr>
          <w:color w:val="231F20"/>
          <w:w w:val="105"/>
        </w:rPr>
        <w:t>sólo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de</w:t>
      </w:r>
      <w:r>
        <w:rPr>
          <w:color w:val="231F20"/>
          <w:spacing w:val="-15"/>
          <w:w w:val="105"/>
        </w:rPr>
        <w:t> </w:t>
      </w:r>
      <w:r>
        <w:rPr>
          <w:color w:val="231F20"/>
          <w:w w:val="105"/>
        </w:rPr>
        <w:t>estudio,</w:t>
      </w:r>
      <w:r>
        <w:rPr>
          <w:color w:val="231F20"/>
          <w:spacing w:val="-15"/>
          <w:w w:val="105"/>
        </w:rPr>
        <w:t> </w:t>
      </w:r>
      <w:r>
        <w:rPr>
          <w:color w:val="231F20"/>
          <w:w w:val="105"/>
        </w:rPr>
        <w:t>se</w:t>
      </w:r>
      <w:r>
        <w:rPr>
          <w:color w:val="231F20"/>
          <w:spacing w:val="-15"/>
          <w:w w:val="105"/>
        </w:rPr>
        <w:t> </w:t>
      </w:r>
      <w:r>
        <w:rPr>
          <w:color w:val="231F20"/>
          <w:w w:val="105"/>
        </w:rPr>
        <w:t>subordinan</w:t>
      </w:r>
      <w:r>
        <w:rPr>
          <w:color w:val="231F20"/>
          <w:spacing w:val="-15"/>
          <w:w w:val="105"/>
        </w:rPr>
        <w:t> </w:t>
      </w:r>
      <w:r>
        <w:rPr>
          <w:color w:val="231F20"/>
          <w:w w:val="105"/>
        </w:rPr>
        <w:t>ante</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considerándolo como</w:t>
      </w:r>
      <w:r>
        <w:rPr>
          <w:color w:val="231F20"/>
          <w:spacing w:val="-17"/>
          <w:w w:val="105"/>
        </w:rPr>
        <w:t> </w:t>
      </w:r>
      <w:r>
        <w:rPr>
          <w:color w:val="231F20"/>
          <w:w w:val="105"/>
        </w:rPr>
        <w:t>el</w:t>
      </w:r>
      <w:r>
        <w:rPr>
          <w:color w:val="231F20"/>
          <w:spacing w:val="-17"/>
          <w:w w:val="105"/>
        </w:rPr>
        <w:t> </w:t>
      </w:r>
      <w:r>
        <w:rPr>
          <w:color w:val="231F20"/>
          <w:w w:val="105"/>
        </w:rPr>
        <w:t>principal,</w:t>
      </w:r>
      <w:r>
        <w:rPr>
          <w:color w:val="231F20"/>
          <w:spacing w:val="-17"/>
          <w:w w:val="105"/>
        </w:rPr>
        <w:t> </w:t>
      </w:r>
      <w:r>
        <w:rPr>
          <w:color w:val="231F20"/>
          <w:w w:val="105"/>
        </w:rPr>
        <w:t>condición</w:t>
      </w:r>
      <w:r>
        <w:rPr>
          <w:color w:val="231F20"/>
          <w:spacing w:val="-17"/>
          <w:w w:val="105"/>
        </w:rPr>
        <w:t> </w:t>
      </w:r>
      <w:r>
        <w:rPr>
          <w:color w:val="231F20"/>
          <w:w w:val="105"/>
        </w:rPr>
        <w:t>que</w:t>
      </w:r>
      <w:r>
        <w:rPr>
          <w:color w:val="231F20"/>
          <w:spacing w:val="-17"/>
          <w:w w:val="105"/>
        </w:rPr>
        <w:t> </w:t>
      </w:r>
      <w:r>
        <w:rPr>
          <w:color w:val="231F20"/>
          <w:w w:val="105"/>
        </w:rPr>
        <w:t>por</w:t>
      </w:r>
      <w:r>
        <w:rPr>
          <w:color w:val="231F20"/>
          <w:spacing w:val="-17"/>
          <w:w w:val="105"/>
        </w:rPr>
        <w:t> </w:t>
      </w:r>
      <w:r>
        <w:rPr>
          <w:color w:val="231F20"/>
          <w:w w:val="105"/>
        </w:rPr>
        <w:t>tradición</w:t>
      </w:r>
      <w:r>
        <w:rPr>
          <w:color w:val="231F20"/>
          <w:spacing w:val="-17"/>
          <w:w w:val="105"/>
        </w:rPr>
        <w:t> </w:t>
      </w:r>
      <w:r>
        <w:rPr>
          <w:color w:val="231F20"/>
          <w:w w:val="105"/>
        </w:rPr>
        <w:t>histórica</w:t>
      </w:r>
      <w:r>
        <w:rPr>
          <w:color w:val="231F20"/>
          <w:spacing w:val="-17"/>
          <w:w w:val="105"/>
        </w:rPr>
        <w:t> </w:t>
      </w:r>
      <w:r>
        <w:rPr>
          <w:color w:val="231F20"/>
          <w:w w:val="105"/>
        </w:rPr>
        <w:t>se</w:t>
      </w:r>
      <w:r>
        <w:rPr>
          <w:color w:val="231F20"/>
          <w:spacing w:val="-17"/>
          <w:w w:val="105"/>
        </w:rPr>
        <w:t> </w:t>
      </w:r>
      <w:r>
        <w:rPr>
          <w:color w:val="231F20"/>
          <w:w w:val="105"/>
        </w:rPr>
        <w:t>repite</w:t>
      </w:r>
      <w:r>
        <w:rPr>
          <w:color w:val="231F20"/>
          <w:spacing w:val="-17"/>
          <w:w w:val="105"/>
        </w:rPr>
        <w:t> </w:t>
      </w:r>
      <w:r>
        <w:rPr>
          <w:color w:val="231F20"/>
          <w:w w:val="105"/>
        </w:rPr>
        <w:t>dado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multiplica el</w:t>
      </w:r>
      <w:r>
        <w:rPr>
          <w:color w:val="231F20"/>
          <w:spacing w:val="-12"/>
          <w:w w:val="105"/>
        </w:rPr>
        <w:t> </w:t>
      </w:r>
      <w:r>
        <w:rPr>
          <w:color w:val="231F20"/>
          <w:w w:val="105"/>
        </w:rPr>
        <w:t>esquema</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cultura</w:t>
      </w:r>
      <w:r>
        <w:rPr>
          <w:color w:val="231F20"/>
          <w:spacing w:val="-12"/>
          <w:w w:val="105"/>
        </w:rPr>
        <w:t> </w:t>
      </w:r>
      <w:r>
        <w:rPr>
          <w:color w:val="231F20"/>
          <w:w w:val="105"/>
        </w:rPr>
        <w:t>presidencialista,</w:t>
      </w:r>
      <w:r>
        <w:rPr>
          <w:color w:val="231F20"/>
          <w:spacing w:val="-12"/>
          <w:w w:val="105"/>
        </w:rPr>
        <w:t> </w:t>
      </w:r>
      <w:r>
        <w:rPr>
          <w:color w:val="231F20"/>
          <w:w w:val="105"/>
        </w:rPr>
        <w:t>unipersonal,</w:t>
      </w:r>
      <w:r>
        <w:rPr>
          <w:color w:val="231F20"/>
          <w:spacing w:val="-12"/>
          <w:w w:val="105"/>
        </w:rPr>
        <w:t> </w:t>
      </w:r>
      <w:r>
        <w:rPr>
          <w:color w:val="231F20"/>
          <w:w w:val="105"/>
        </w:rPr>
        <w:t>inclusive</w:t>
      </w:r>
      <w:r>
        <w:rPr>
          <w:color w:val="231F20"/>
          <w:spacing w:val="-12"/>
          <w:w w:val="105"/>
        </w:rPr>
        <w:t> </w:t>
      </w:r>
      <w:r>
        <w:rPr>
          <w:color w:val="231F20"/>
          <w:w w:val="105"/>
        </w:rPr>
        <w:t>autoritaria.</w:t>
      </w:r>
      <w:r>
        <w:rPr>
          <w:color w:val="231F20"/>
          <w:spacing w:val="-12"/>
          <w:w w:val="105"/>
        </w:rPr>
        <w:t> </w:t>
      </w:r>
      <w:r>
        <w:rPr>
          <w:color w:val="231F20"/>
          <w:w w:val="105"/>
        </w:rPr>
        <w:t>Este</w:t>
      </w:r>
      <w:r>
        <w:rPr>
          <w:color w:val="231F20"/>
          <w:spacing w:val="-12"/>
          <w:w w:val="105"/>
        </w:rPr>
        <w:t> </w:t>
      </w:r>
      <w:r>
        <w:rPr>
          <w:color w:val="231F20"/>
          <w:w w:val="105"/>
        </w:rPr>
        <w:t>es</w:t>
      </w:r>
      <w:r>
        <w:rPr>
          <w:color w:val="231F20"/>
          <w:spacing w:val="-12"/>
          <w:w w:val="105"/>
        </w:rPr>
        <w:t> </w:t>
      </w:r>
      <w:r>
        <w:rPr>
          <w:color w:val="231F20"/>
          <w:w w:val="105"/>
        </w:rPr>
        <w:t>el gran talón de Aquiles de los municipios, que desde adentro del gobierno se</w:t>
      </w:r>
      <w:r>
        <w:rPr>
          <w:color w:val="231F20"/>
          <w:spacing w:val="-35"/>
          <w:w w:val="105"/>
        </w:rPr>
        <w:t> </w:t>
      </w:r>
      <w:r>
        <w:rPr>
          <w:color w:val="231F20"/>
          <w:w w:val="105"/>
        </w:rPr>
        <w:t>contemple sumisión. Ésta en parte se debe a la falta de manejo de información precisa, técnica y que,</w:t>
      </w:r>
      <w:r>
        <w:rPr>
          <w:color w:val="231F20"/>
          <w:spacing w:val="-12"/>
          <w:w w:val="105"/>
        </w:rPr>
        <w:t> </w:t>
      </w:r>
      <w:r>
        <w:rPr>
          <w:color w:val="231F20"/>
          <w:w w:val="105"/>
        </w:rPr>
        <w:t>en</w:t>
      </w:r>
      <w:r>
        <w:rPr>
          <w:color w:val="231F20"/>
          <w:spacing w:val="-12"/>
          <w:w w:val="105"/>
        </w:rPr>
        <w:t> </w:t>
      </w:r>
      <w:r>
        <w:rPr>
          <w:color w:val="231F20"/>
          <w:w w:val="105"/>
        </w:rPr>
        <w:t>consecuencia,</w:t>
      </w:r>
      <w:r>
        <w:rPr>
          <w:color w:val="231F20"/>
          <w:spacing w:val="-11"/>
          <w:w w:val="105"/>
        </w:rPr>
        <w:t> </w:t>
      </w:r>
      <w:r>
        <w:rPr>
          <w:color w:val="231F20"/>
          <w:w w:val="105"/>
        </w:rPr>
        <w:t>genera</w:t>
      </w:r>
      <w:r>
        <w:rPr>
          <w:color w:val="231F20"/>
          <w:spacing w:val="-11"/>
          <w:w w:val="105"/>
        </w:rPr>
        <w:t> </w:t>
      </w:r>
      <w:r>
        <w:rPr>
          <w:color w:val="231F20"/>
          <w:w w:val="105"/>
        </w:rPr>
        <w:t>desconocimiento</w:t>
      </w:r>
      <w:r>
        <w:rPr>
          <w:color w:val="231F20"/>
          <w:spacing w:val="-12"/>
          <w:w w:val="105"/>
        </w:rPr>
        <w:t> </w:t>
      </w:r>
      <w:r>
        <w:rPr>
          <w:color w:val="231F20"/>
          <w:w w:val="105"/>
        </w:rPr>
        <w:t>en</w:t>
      </w:r>
      <w:r>
        <w:rPr>
          <w:color w:val="231F20"/>
          <w:spacing w:val="-11"/>
          <w:w w:val="105"/>
        </w:rPr>
        <w:t> </w:t>
      </w:r>
      <w:r>
        <w:rPr>
          <w:color w:val="231F20"/>
          <w:w w:val="105"/>
        </w:rPr>
        <w:t>los</w:t>
      </w:r>
      <w:r>
        <w:rPr>
          <w:color w:val="231F20"/>
          <w:spacing w:val="-12"/>
          <w:w w:val="105"/>
        </w:rPr>
        <w:t> </w:t>
      </w:r>
      <w:r>
        <w:rPr>
          <w:color w:val="231F20"/>
          <w:w w:val="105"/>
        </w:rPr>
        <w:t>regidores,</w:t>
      </w:r>
      <w:r>
        <w:rPr>
          <w:color w:val="231F20"/>
          <w:spacing w:val="-12"/>
          <w:w w:val="105"/>
        </w:rPr>
        <w:t> </w:t>
      </w:r>
      <w:r>
        <w:rPr>
          <w:color w:val="231F20"/>
          <w:w w:val="105"/>
        </w:rPr>
        <w:t>los</w:t>
      </w:r>
      <w:r>
        <w:rPr>
          <w:color w:val="231F20"/>
          <w:spacing w:val="-12"/>
          <w:w w:val="105"/>
        </w:rPr>
        <w:t> </w:t>
      </w:r>
      <w:r>
        <w:rPr>
          <w:color w:val="231F20"/>
          <w:w w:val="105"/>
        </w:rPr>
        <w:t>cuales</w:t>
      </w:r>
      <w:r>
        <w:rPr>
          <w:color w:val="231F20"/>
          <w:spacing w:val="-12"/>
          <w:w w:val="105"/>
        </w:rPr>
        <w:t> </w:t>
      </w:r>
      <w:r>
        <w:rPr>
          <w:color w:val="231F20"/>
          <w:w w:val="105"/>
        </w:rPr>
        <w:t>sólo</w:t>
      </w:r>
      <w:r>
        <w:rPr>
          <w:color w:val="231F20"/>
          <w:spacing w:val="-12"/>
          <w:w w:val="105"/>
        </w:rPr>
        <w:t> </w:t>
      </w:r>
      <w:r>
        <w:rPr>
          <w:color w:val="231F20"/>
          <w:w w:val="105"/>
        </w:rPr>
        <w:t>reciben información en la medida que el presidente les transmita o, en el mejor de los casos, cuando</w:t>
      </w:r>
      <w:r>
        <w:rPr>
          <w:color w:val="231F20"/>
          <w:spacing w:val="-19"/>
          <w:w w:val="105"/>
        </w:rPr>
        <w:t> </w:t>
      </w:r>
      <w:r>
        <w:rPr>
          <w:color w:val="231F20"/>
          <w:w w:val="105"/>
        </w:rPr>
        <w:t>ellos</w:t>
      </w:r>
      <w:r>
        <w:rPr>
          <w:color w:val="231F20"/>
          <w:spacing w:val="-19"/>
          <w:w w:val="105"/>
        </w:rPr>
        <w:t> </w:t>
      </w:r>
      <w:r>
        <w:rPr>
          <w:color w:val="231F20"/>
          <w:w w:val="105"/>
        </w:rPr>
        <w:t>hacen</w:t>
      </w:r>
      <w:r>
        <w:rPr>
          <w:color w:val="231F20"/>
          <w:spacing w:val="-19"/>
          <w:w w:val="105"/>
        </w:rPr>
        <w:t> </w:t>
      </w:r>
      <w:r>
        <w:rPr>
          <w:color w:val="231F20"/>
          <w:w w:val="105"/>
        </w:rPr>
        <w:t>valer</w:t>
      </w:r>
      <w:r>
        <w:rPr>
          <w:color w:val="231F20"/>
          <w:spacing w:val="-19"/>
          <w:w w:val="105"/>
        </w:rPr>
        <w:t> </w:t>
      </w:r>
      <w:r>
        <w:rPr>
          <w:color w:val="231F20"/>
          <w:w w:val="105"/>
        </w:rPr>
        <w:t>su</w:t>
      </w:r>
      <w:r>
        <w:rPr>
          <w:color w:val="231F20"/>
          <w:spacing w:val="-19"/>
          <w:w w:val="105"/>
        </w:rPr>
        <w:t> </w:t>
      </w:r>
      <w:r>
        <w:rPr>
          <w:color w:val="231F20"/>
          <w:w w:val="105"/>
        </w:rPr>
        <w:t>cargo</w:t>
      </w:r>
      <w:r>
        <w:rPr>
          <w:color w:val="231F20"/>
          <w:spacing w:val="-19"/>
          <w:w w:val="105"/>
        </w:rPr>
        <w:t> </w:t>
      </w:r>
      <w:r>
        <w:rPr>
          <w:color w:val="231F20"/>
          <w:w w:val="105"/>
        </w:rPr>
        <w:t>y</w:t>
      </w:r>
      <w:r>
        <w:rPr>
          <w:color w:val="231F20"/>
          <w:spacing w:val="-19"/>
          <w:w w:val="105"/>
        </w:rPr>
        <w:t> </w:t>
      </w:r>
      <w:r>
        <w:rPr>
          <w:color w:val="231F20"/>
          <w:spacing w:val="2"/>
          <w:w w:val="105"/>
        </w:rPr>
        <w:t>figura</w:t>
      </w:r>
      <w:r>
        <w:rPr>
          <w:color w:val="231F20"/>
          <w:spacing w:val="-19"/>
          <w:w w:val="105"/>
        </w:rPr>
        <w:t> </w:t>
      </w:r>
      <w:r>
        <w:rPr>
          <w:color w:val="231F20"/>
          <w:w w:val="105"/>
        </w:rPr>
        <w:t>política</w:t>
      </w:r>
      <w:r>
        <w:rPr>
          <w:color w:val="231F20"/>
          <w:spacing w:val="-19"/>
          <w:w w:val="105"/>
        </w:rPr>
        <w:t> </w:t>
      </w:r>
      <w:r>
        <w:rPr>
          <w:color w:val="231F20"/>
          <w:spacing w:val="-4"/>
          <w:w w:val="105"/>
        </w:rPr>
        <w:t>(muy</w:t>
      </w:r>
      <w:r>
        <w:rPr>
          <w:color w:val="231F20"/>
          <w:spacing w:val="-19"/>
          <w:w w:val="105"/>
        </w:rPr>
        <w:t> </w:t>
      </w:r>
      <w:r>
        <w:rPr>
          <w:color w:val="231F20"/>
          <w:w w:val="105"/>
        </w:rPr>
        <w:t>pocas</w:t>
      </w:r>
      <w:r>
        <w:rPr>
          <w:color w:val="231F20"/>
          <w:spacing w:val="-19"/>
          <w:w w:val="105"/>
        </w:rPr>
        <w:t> </w:t>
      </w:r>
      <w:r>
        <w:rPr>
          <w:color w:val="231F20"/>
          <w:spacing w:val="-3"/>
          <w:w w:val="105"/>
        </w:rPr>
        <w:t>veces).</w:t>
      </w:r>
    </w:p>
    <w:p>
      <w:pPr>
        <w:pStyle w:val="BodyText"/>
        <w:spacing w:before="1"/>
        <w:rPr>
          <w:sz w:val="26"/>
        </w:rPr>
      </w:pPr>
    </w:p>
    <w:p>
      <w:pPr>
        <w:pStyle w:val="BodyText"/>
        <w:spacing w:line="285" w:lineRule="auto"/>
        <w:ind w:left="110" w:right="107"/>
        <w:jc w:val="both"/>
      </w:pPr>
      <w:r>
        <w:rPr>
          <w:color w:val="231F20"/>
          <w:w w:val="105"/>
        </w:rPr>
        <w:t>Ante este </w:t>
      </w:r>
      <w:r>
        <w:rPr>
          <w:color w:val="231F20"/>
          <w:spacing w:val="-3"/>
          <w:w w:val="105"/>
        </w:rPr>
        <w:t>fenómeno </w:t>
      </w:r>
      <w:r>
        <w:rPr>
          <w:color w:val="231F20"/>
          <w:w w:val="105"/>
        </w:rPr>
        <w:t>de dependencia de los regidores, tanto del mismo partido del pre- sidente</w:t>
      </w:r>
      <w:r>
        <w:rPr>
          <w:color w:val="231F20"/>
          <w:spacing w:val="-6"/>
          <w:w w:val="105"/>
        </w:rPr>
        <w:t> </w:t>
      </w:r>
      <w:r>
        <w:rPr>
          <w:color w:val="231F20"/>
          <w:w w:val="105"/>
        </w:rPr>
        <w:t>o</w:t>
      </w:r>
      <w:r>
        <w:rPr>
          <w:color w:val="231F20"/>
          <w:spacing w:val="-6"/>
          <w:w w:val="105"/>
        </w:rPr>
        <w:t> </w:t>
      </w:r>
      <w:r>
        <w:rPr>
          <w:color w:val="231F20"/>
          <w:w w:val="105"/>
        </w:rPr>
        <w:t>de</w:t>
      </w:r>
      <w:r>
        <w:rPr>
          <w:color w:val="231F20"/>
          <w:spacing w:val="-6"/>
          <w:w w:val="105"/>
        </w:rPr>
        <w:t> </w:t>
      </w:r>
      <w:r>
        <w:rPr>
          <w:color w:val="231F20"/>
          <w:w w:val="105"/>
        </w:rPr>
        <w:t>otros,</w:t>
      </w:r>
      <w:r>
        <w:rPr>
          <w:color w:val="231F20"/>
          <w:spacing w:val="-6"/>
          <w:w w:val="105"/>
        </w:rPr>
        <w:t> </w:t>
      </w:r>
      <w:r>
        <w:rPr>
          <w:color w:val="231F20"/>
          <w:w w:val="105"/>
        </w:rPr>
        <w:t>el</w:t>
      </w:r>
      <w:r>
        <w:rPr>
          <w:color w:val="231F20"/>
          <w:spacing w:val="-6"/>
          <w:w w:val="105"/>
        </w:rPr>
        <w:t> </w:t>
      </w:r>
      <w:r>
        <w:rPr>
          <w:color w:val="231F20"/>
          <w:spacing w:val="2"/>
          <w:w w:val="105"/>
        </w:rPr>
        <w:t>edil</w:t>
      </w:r>
      <w:r>
        <w:rPr>
          <w:color w:val="231F20"/>
          <w:spacing w:val="-6"/>
          <w:w w:val="105"/>
        </w:rPr>
        <w:t> </w:t>
      </w:r>
      <w:r>
        <w:rPr>
          <w:color w:val="231F20"/>
          <w:w w:val="105"/>
        </w:rPr>
        <w:t>les</w:t>
      </w:r>
      <w:r>
        <w:rPr>
          <w:color w:val="231F20"/>
          <w:spacing w:val="-6"/>
          <w:w w:val="105"/>
        </w:rPr>
        <w:t> </w:t>
      </w:r>
      <w:r>
        <w:rPr>
          <w:color w:val="231F20"/>
          <w:w w:val="105"/>
        </w:rPr>
        <w:t>lleva</w:t>
      </w:r>
      <w:r>
        <w:rPr>
          <w:color w:val="231F20"/>
          <w:spacing w:val="-6"/>
          <w:w w:val="105"/>
        </w:rPr>
        <w:t> </w:t>
      </w:r>
      <w:r>
        <w:rPr>
          <w:color w:val="231F20"/>
          <w:w w:val="105"/>
        </w:rPr>
        <w:t>ventaja</w:t>
      </w:r>
      <w:r>
        <w:rPr>
          <w:color w:val="231F20"/>
          <w:spacing w:val="-6"/>
          <w:w w:val="105"/>
        </w:rPr>
        <w:t> </w:t>
      </w:r>
      <w:r>
        <w:rPr>
          <w:color w:val="231F20"/>
          <w:w w:val="105"/>
        </w:rPr>
        <w:t>y</w:t>
      </w:r>
      <w:r>
        <w:rPr>
          <w:color w:val="231F20"/>
          <w:spacing w:val="-6"/>
          <w:w w:val="105"/>
        </w:rPr>
        <w:t> </w:t>
      </w:r>
      <w:r>
        <w:rPr>
          <w:color w:val="231F20"/>
          <w:w w:val="105"/>
        </w:rPr>
        <w:t>utiliza</w:t>
      </w:r>
      <w:r>
        <w:rPr>
          <w:color w:val="231F20"/>
          <w:spacing w:val="-6"/>
          <w:w w:val="105"/>
        </w:rPr>
        <w:t> </w:t>
      </w:r>
      <w:r>
        <w:rPr>
          <w:color w:val="231F20"/>
          <w:w w:val="105"/>
        </w:rPr>
        <w:t>el</w:t>
      </w:r>
      <w:r>
        <w:rPr>
          <w:color w:val="231F20"/>
          <w:spacing w:val="-6"/>
          <w:w w:val="105"/>
        </w:rPr>
        <w:t> </w:t>
      </w:r>
      <w:r>
        <w:rPr>
          <w:color w:val="231F20"/>
          <w:w w:val="105"/>
        </w:rPr>
        <w:t>poder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información</w:t>
      </w:r>
      <w:r>
        <w:rPr>
          <w:color w:val="231F20"/>
          <w:spacing w:val="-6"/>
          <w:w w:val="105"/>
        </w:rPr>
        <w:t> </w:t>
      </w:r>
      <w:r>
        <w:rPr>
          <w:color w:val="231F20"/>
          <w:w w:val="105"/>
        </w:rPr>
        <w:t>para</w:t>
      </w:r>
      <w:r>
        <w:rPr>
          <w:color w:val="231F20"/>
          <w:spacing w:val="-6"/>
          <w:w w:val="105"/>
        </w:rPr>
        <w:t> </w:t>
      </w:r>
      <w:r>
        <w:rPr>
          <w:color w:val="231F20"/>
          <w:w w:val="105"/>
        </w:rPr>
        <w:t>im- ponerse.</w:t>
      </w:r>
      <w:r>
        <w:rPr>
          <w:color w:val="231F20"/>
          <w:spacing w:val="-15"/>
          <w:w w:val="105"/>
        </w:rPr>
        <w:t> </w:t>
      </w:r>
      <w:r>
        <w:rPr>
          <w:color w:val="231F20"/>
          <w:w w:val="105"/>
        </w:rPr>
        <w:t>Aunque</w:t>
      </w:r>
      <w:r>
        <w:rPr>
          <w:color w:val="231F20"/>
          <w:spacing w:val="-15"/>
          <w:w w:val="105"/>
        </w:rPr>
        <w:t> </w:t>
      </w:r>
      <w:r>
        <w:rPr>
          <w:color w:val="231F20"/>
          <w:w w:val="105"/>
        </w:rPr>
        <w:t>cabe</w:t>
      </w:r>
      <w:r>
        <w:rPr>
          <w:color w:val="231F20"/>
          <w:spacing w:val="-15"/>
          <w:w w:val="105"/>
        </w:rPr>
        <w:t> </w:t>
      </w:r>
      <w:r>
        <w:rPr>
          <w:color w:val="231F20"/>
          <w:w w:val="105"/>
        </w:rPr>
        <w:t>hacer</w:t>
      </w:r>
      <w:r>
        <w:rPr>
          <w:color w:val="231F20"/>
          <w:spacing w:val="-15"/>
          <w:w w:val="105"/>
        </w:rPr>
        <w:t> </w:t>
      </w:r>
      <w:r>
        <w:rPr>
          <w:color w:val="231F20"/>
          <w:w w:val="105"/>
        </w:rPr>
        <w:t>mención</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lógica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transición</w:t>
      </w:r>
      <w:r>
        <w:rPr>
          <w:color w:val="231F20"/>
          <w:spacing w:val="-15"/>
          <w:w w:val="105"/>
        </w:rPr>
        <w:t> </w:t>
      </w:r>
      <w:r>
        <w:rPr>
          <w:color w:val="231F20"/>
          <w:w w:val="105"/>
        </w:rPr>
        <w:t>democrática,</w:t>
      </w:r>
      <w:r>
        <w:rPr>
          <w:color w:val="231F20"/>
          <w:spacing w:val="-15"/>
          <w:w w:val="105"/>
        </w:rPr>
        <w:t> </w:t>
      </w:r>
      <w:r>
        <w:rPr>
          <w:color w:val="231F20"/>
          <w:w w:val="105"/>
        </w:rPr>
        <w:t>hoy se</w:t>
      </w:r>
      <w:r>
        <w:rPr>
          <w:color w:val="231F20"/>
          <w:spacing w:val="-12"/>
          <w:w w:val="105"/>
        </w:rPr>
        <w:t> </w:t>
      </w:r>
      <w:r>
        <w:rPr>
          <w:color w:val="231F20"/>
          <w:w w:val="105"/>
        </w:rPr>
        <w:t>ve</w:t>
      </w:r>
      <w:r>
        <w:rPr>
          <w:color w:val="231F20"/>
          <w:spacing w:val="-12"/>
          <w:w w:val="105"/>
        </w:rPr>
        <w:t> </w:t>
      </w:r>
      <w:r>
        <w:rPr>
          <w:color w:val="231F20"/>
          <w:w w:val="105"/>
        </w:rPr>
        <w:t>más</w:t>
      </w:r>
      <w:r>
        <w:rPr>
          <w:color w:val="231F20"/>
          <w:spacing w:val="-12"/>
          <w:w w:val="105"/>
        </w:rPr>
        <w:t> </w:t>
      </w:r>
      <w:r>
        <w:rPr>
          <w:color w:val="231F20"/>
          <w:w w:val="105"/>
        </w:rPr>
        <w:t>la</w:t>
      </w:r>
      <w:r>
        <w:rPr>
          <w:color w:val="231F20"/>
          <w:spacing w:val="-12"/>
          <w:w w:val="105"/>
        </w:rPr>
        <w:t> </w:t>
      </w:r>
      <w:r>
        <w:rPr>
          <w:color w:val="231F20"/>
          <w:w w:val="105"/>
        </w:rPr>
        <w:t>búsqueda</w:t>
      </w:r>
      <w:r>
        <w:rPr>
          <w:color w:val="231F20"/>
          <w:spacing w:val="-12"/>
          <w:w w:val="105"/>
        </w:rPr>
        <w:t> </w:t>
      </w:r>
      <w:r>
        <w:rPr>
          <w:color w:val="231F20"/>
          <w:w w:val="105"/>
        </w:rPr>
        <w:t>de</w:t>
      </w:r>
      <w:r>
        <w:rPr>
          <w:color w:val="231F20"/>
          <w:spacing w:val="-12"/>
          <w:w w:val="105"/>
        </w:rPr>
        <w:t> </w:t>
      </w:r>
      <w:r>
        <w:rPr>
          <w:color w:val="231F20"/>
          <w:w w:val="105"/>
        </w:rPr>
        <w:t>gobierno</w:t>
      </w:r>
      <w:r>
        <w:rPr>
          <w:color w:val="231F20"/>
          <w:spacing w:val="-12"/>
          <w:w w:val="105"/>
        </w:rPr>
        <w:t> </w:t>
      </w:r>
      <w:r>
        <w:rPr>
          <w:color w:val="231F20"/>
          <w:w w:val="105"/>
        </w:rPr>
        <w:t>que</w:t>
      </w:r>
      <w:r>
        <w:rPr>
          <w:color w:val="231F20"/>
          <w:spacing w:val="-12"/>
          <w:w w:val="105"/>
        </w:rPr>
        <w:t> </w:t>
      </w:r>
      <w:r>
        <w:rPr>
          <w:color w:val="231F20"/>
          <w:w w:val="105"/>
        </w:rPr>
        <w:t>llega</w:t>
      </w:r>
      <w:r>
        <w:rPr>
          <w:color w:val="231F20"/>
          <w:spacing w:val="-12"/>
          <w:w w:val="105"/>
        </w:rPr>
        <w:t> </w:t>
      </w:r>
      <w:r>
        <w:rPr>
          <w:color w:val="231F20"/>
          <w:w w:val="105"/>
        </w:rPr>
        <w:t>a</w:t>
      </w:r>
      <w:r>
        <w:rPr>
          <w:color w:val="231F20"/>
          <w:spacing w:val="-12"/>
          <w:w w:val="105"/>
        </w:rPr>
        <w:t> </w:t>
      </w:r>
      <w:r>
        <w:rPr>
          <w:color w:val="231F20"/>
          <w:w w:val="105"/>
        </w:rPr>
        <w:t>acuerdos</w:t>
      </w:r>
      <w:r>
        <w:rPr>
          <w:color w:val="231F20"/>
          <w:spacing w:val="-12"/>
          <w:w w:val="105"/>
        </w:rPr>
        <w:t> </w:t>
      </w:r>
      <w:r>
        <w:rPr>
          <w:color w:val="231F20"/>
          <w:w w:val="105"/>
        </w:rPr>
        <w:t>y</w:t>
      </w:r>
      <w:r>
        <w:rPr>
          <w:color w:val="231F20"/>
          <w:spacing w:val="-12"/>
          <w:w w:val="105"/>
        </w:rPr>
        <w:t> </w:t>
      </w:r>
      <w:r>
        <w:rPr>
          <w:color w:val="231F20"/>
          <w:w w:val="105"/>
        </w:rPr>
        <w:t>consensos</w:t>
      </w:r>
      <w:r>
        <w:rPr>
          <w:color w:val="231F20"/>
          <w:spacing w:val="-12"/>
          <w:w w:val="105"/>
        </w:rPr>
        <w:t> </w:t>
      </w:r>
      <w:r>
        <w:rPr>
          <w:color w:val="231F20"/>
          <w:w w:val="105"/>
        </w:rPr>
        <w:t>con</w:t>
      </w:r>
      <w:r>
        <w:rPr>
          <w:color w:val="231F20"/>
          <w:spacing w:val="-12"/>
          <w:w w:val="105"/>
        </w:rPr>
        <w:t> </w:t>
      </w:r>
      <w:r>
        <w:rPr>
          <w:color w:val="231F20"/>
          <w:w w:val="105"/>
        </w:rPr>
        <w:t>las</w:t>
      </w:r>
      <w:r>
        <w:rPr>
          <w:color w:val="231F20"/>
          <w:spacing w:val="-12"/>
          <w:w w:val="105"/>
        </w:rPr>
        <w:t> </w:t>
      </w:r>
      <w:r>
        <w:rPr>
          <w:color w:val="231F20"/>
          <w:w w:val="105"/>
        </w:rPr>
        <w:t>actores.</w:t>
      </w:r>
      <w:r>
        <w:rPr>
          <w:color w:val="231F20"/>
          <w:spacing w:val="-12"/>
          <w:w w:val="105"/>
        </w:rPr>
        <w:t> </w:t>
      </w:r>
      <w:r>
        <w:rPr>
          <w:color w:val="231F20"/>
          <w:w w:val="105"/>
        </w:rPr>
        <w:t>La pluralidad</w:t>
      </w:r>
      <w:r>
        <w:rPr>
          <w:color w:val="231F20"/>
          <w:spacing w:val="-14"/>
          <w:w w:val="105"/>
        </w:rPr>
        <w:t> </w:t>
      </w:r>
      <w:r>
        <w:rPr>
          <w:color w:val="231F20"/>
          <w:w w:val="105"/>
        </w:rPr>
        <w:t>es</w:t>
      </w:r>
      <w:r>
        <w:rPr>
          <w:color w:val="231F20"/>
          <w:spacing w:val="-14"/>
          <w:w w:val="105"/>
        </w:rPr>
        <w:t> </w:t>
      </w:r>
      <w:r>
        <w:rPr>
          <w:color w:val="231F20"/>
          <w:w w:val="105"/>
        </w:rPr>
        <w:t>un</w:t>
      </w:r>
      <w:r>
        <w:rPr>
          <w:color w:val="231F20"/>
          <w:spacing w:val="-14"/>
          <w:w w:val="105"/>
        </w:rPr>
        <w:t> </w:t>
      </w:r>
      <w:r>
        <w:rPr>
          <w:color w:val="231F20"/>
          <w:w w:val="105"/>
        </w:rPr>
        <w:t>valor</w:t>
      </w:r>
      <w:r>
        <w:rPr>
          <w:color w:val="231F20"/>
          <w:spacing w:val="-14"/>
          <w:w w:val="105"/>
        </w:rPr>
        <w:t> </w:t>
      </w:r>
      <w:r>
        <w:rPr>
          <w:color w:val="231F20"/>
          <w:w w:val="105"/>
        </w:rPr>
        <w:t>que</w:t>
      </w:r>
      <w:r>
        <w:rPr>
          <w:color w:val="231F20"/>
          <w:spacing w:val="-14"/>
          <w:w w:val="105"/>
        </w:rPr>
        <w:t> </w:t>
      </w:r>
      <w:r>
        <w:rPr>
          <w:color w:val="231F20"/>
          <w:w w:val="105"/>
        </w:rPr>
        <w:t>viste</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gobiernos</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democracias,</w:t>
      </w:r>
      <w:r>
        <w:rPr>
          <w:color w:val="231F20"/>
          <w:spacing w:val="-14"/>
          <w:w w:val="105"/>
        </w:rPr>
        <w:t> </w:t>
      </w:r>
      <w:r>
        <w:rPr>
          <w:color w:val="231F20"/>
          <w:w w:val="105"/>
        </w:rPr>
        <w:t>empero</w:t>
      </w:r>
      <w:r>
        <w:rPr>
          <w:color w:val="231F20"/>
          <w:spacing w:val="-14"/>
          <w:w w:val="105"/>
        </w:rPr>
        <w:t> </w:t>
      </w:r>
      <w:r>
        <w:rPr>
          <w:color w:val="231F20"/>
          <w:w w:val="105"/>
        </w:rPr>
        <w:t>también,</w:t>
      </w:r>
      <w:r>
        <w:rPr>
          <w:color w:val="231F20"/>
          <w:spacing w:val="-14"/>
          <w:w w:val="105"/>
        </w:rPr>
        <w:t> </w:t>
      </w:r>
      <w:r>
        <w:rPr>
          <w:color w:val="231F20"/>
          <w:w w:val="105"/>
        </w:rPr>
        <w:t>de forma</w:t>
      </w:r>
      <w:r>
        <w:rPr>
          <w:color w:val="231F20"/>
          <w:spacing w:val="-20"/>
          <w:w w:val="105"/>
        </w:rPr>
        <w:t> </w:t>
      </w:r>
      <w:r>
        <w:rPr>
          <w:color w:val="231F20"/>
          <w:w w:val="105"/>
        </w:rPr>
        <w:t>dicotómica,</w:t>
      </w:r>
      <w:r>
        <w:rPr>
          <w:color w:val="231F20"/>
          <w:spacing w:val="-20"/>
          <w:w w:val="105"/>
        </w:rPr>
        <w:t> </w:t>
      </w:r>
      <w:r>
        <w:rPr>
          <w:color w:val="231F20"/>
          <w:w w:val="105"/>
        </w:rPr>
        <w:t>existe</w:t>
      </w:r>
      <w:r>
        <w:rPr>
          <w:color w:val="231F20"/>
          <w:spacing w:val="-20"/>
          <w:w w:val="105"/>
        </w:rPr>
        <w:t> </w:t>
      </w:r>
      <w:r>
        <w:rPr>
          <w:color w:val="231F20"/>
          <w:w w:val="105"/>
        </w:rPr>
        <w:t>el</w:t>
      </w:r>
      <w:r>
        <w:rPr>
          <w:color w:val="231F20"/>
          <w:spacing w:val="-20"/>
          <w:w w:val="105"/>
        </w:rPr>
        <w:t> </w:t>
      </w:r>
      <w:r>
        <w:rPr>
          <w:color w:val="231F20"/>
          <w:w w:val="105"/>
        </w:rPr>
        <w:t>autoritarismo,</w:t>
      </w:r>
      <w:r>
        <w:rPr>
          <w:color w:val="231F20"/>
          <w:spacing w:val="-20"/>
          <w:w w:val="105"/>
        </w:rPr>
        <w:t> </w:t>
      </w:r>
      <w:r>
        <w:rPr>
          <w:color w:val="231F20"/>
          <w:w w:val="105"/>
        </w:rPr>
        <w:t>el</w:t>
      </w:r>
      <w:r>
        <w:rPr>
          <w:color w:val="231F20"/>
          <w:spacing w:val="-20"/>
          <w:w w:val="105"/>
        </w:rPr>
        <w:t> </w:t>
      </w:r>
      <w:r>
        <w:rPr>
          <w:color w:val="231F20"/>
          <w:w w:val="105"/>
        </w:rPr>
        <w:t>clientelismo,</w:t>
      </w:r>
      <w:r>
        <w:rPr>
          <w:color w:val="231F20"/>
          <w:spacing w:val="-20"/>
          <w:w w:val="105"/>
        </w:rPr>
        <w:t> </w:t>
      </w:r>
      <w:r>
        <w:rPr>
          <w:color w:val="231F20"/>
          <w:w w:val="105"/>
        </w:rPr>
        <w:t>el</w:t>
      </w:r>
      <w:r>
        <w:rPr>
          <w:color w:val="231F20"/>
          <w:spacing w:val="-20"/>
          <w:w w:val="105"/>
        </w:rPr>
        <w:t> </w:t>
      </w:r>
      <w:r>
        <w:rPr>
          <w:color w:val="231F20"/>
          <w:w w:val="105"/>
        </w:rPr>
        <w:t>patronazgo.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El</w:t>
      </w:r>
      <w:r>
        <w:rPr>
          <w:color w:val="231F20"/>
          <w:spacing w:val="-12"/>
          <w:w w:val="105"/>
        </w:rPr>
        <w:t> </w:t>
      </w:r>
      <w:r>
        <w:rPr>
          <w:color w:val="231F20"/>
          <w:spacing w:val="-4"/>
          <w:w w:val="105"/>
        </w:rPr>
        <w:t>presidente</w:t>
      </w:r>
      <w:r>
        <w:rPr>
          <w:color w:val="231F20"/>
          <w:spacing w:val="-12"/>
          <w:w w:val="105"/>
        </w:rPr>
        <w:t> </w:t>
      </w:r>
      <w:r>
        <w:rPr>
          <w:color w:val="231F20"/>
          <w:w w:val="105"/>
        </w:rPr>
        <w:t>municipal</w:t>
      </w:r>
      <w:r>
        <w:rPr>
          <w:color w:val="231F20"/>
          <w:spacing w:val="-12"/>
          <w:w w:val="105"/>
        </w:rPr>
        <w:t> </w:t>
      </w:r>
      <w:r>
        <w:rPr>
          <w:color w:val="231F20"/>
          <w:w w:val="105"/>
        </w:rPr>
        <w:t>de</w:t>
      </w:r>
      <w:r>
        <w:rPr>
          <w:color w:val="231F20"/>
          <w:spacing w:val="-12"/>
          <w:w w:val="105"/>
        </w:rPr>
        <w:t> </w:t>
      </w:r>
      <w:r>
        <w:rPr>
          <w:color w:val="231F20"/>
          <w:w w:val="105"/>
        </w:rPr>
        <w:t>Amecameca,</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entrevista</w:t>
      </w:r>
      <w:r>
        <w:rPr>
          <w:color w:val="231F20"/>
          <w:spacing w:val="-12"/>
          <w:w w:val="105"/>
        </w:rPr>
        <w:t> </w:t>
      </w:r>
      <w:r>
        <w:rPr>
          <w:color w:val="231F20"/>
          <w:spacing w:val="-5"/>
          <w:w w:val="105"/>
        </w:rPr>
        <w:t>(Guerrero,</w:t>
      </w:r>
      <w:r>
        <w:rPr>
          <w:color w:val="231F20"/>
          <w:spacing w:val="-12"/>
          <w:w w:val="105"/>
        </w:rPr>
        <w:t> </w:t>
      </w:r>
      <w:r>
        <w:rPr>
          <w:color w:val="231F20"/>
          <w:w w:val="105"/>
        </w:rPr>
        <w:t>2008)</w:t>
      </w:r>
      <w:r>
        <w:rPr>
          <w:color w:val="231F20"/>
          <w:spacing w:val="-12"/>
          <w:w w:val="105"/>
        </w:rPr>
        <w:t> </w:t>
      </w:r>
      <w:r>
        <w:rPr>
          <w:color w:val="231F20"/>
          <w:spacing w:val="-3"/>
          <w:w w:val="105"/>
        </w:rPr>
        <w:t>sostiene</w:t>
      </w:r>
      <w:r>
        <w:rPr>
          <w:color w:val="231F20"/>
          <w:spacing w:val="-12"/>
          <w:w w:val="105"/>
        </w:rPr>
        <w:t> </w:t>
      </w:r>
      <w:r>
        <w:rPr>
          <w:color w:val="231F20"/>
          <w:spacing w:val="-3"/>
          <w:w w:val="105"/>
        </w:rPr>
        <w:t>que los</w:t>
      </w:r>
      <w:r>
        <w:rPr>
          <w:color w:val="231F20"/>
          <w:spacing w:val="-18"/>
          <w:w w:val="105"/>
        </w:rPr>
        <w:t> </w:t>
      </w:r>
      <w:r>
        <w:rPr>
          <w:color w:val="231F20"/>
          <w:spacing w:val="-4"/>
          <w:w w:val="105"/>
        </w:rPr>
        <w:t>acuerdos</w:t>
      </w:r>
      <w:r>
        <w:rPr>
          <w:color w:val="231F20"/>
          <w:spacing w:val="-18"/>
          <w:w w:val="105"/>
        </w:rPr>
        <w:t> </w:t>
      </w:r>
      <w:r>
        <w:rPr>
          <w:color w:val="231F20"/>
          <w:spacing w:val="-3"/>
          <w:w w:val="105"/>
        </w:rPr>
        <w:t>del</w:t>
      </w:r>
      <w:r>
        <w:rPr>
          <w:color w:val="231F20"/>
          <w:spacing w:val="-18"/>
          <w:w w:val="105"/>
        </w:rPr>
        <w:t> </w:t>
      </w:r>
      <w:r>
        <w:rPr>
          <w:color w:val="231F20"/>
          <w:spacing w:val="-3"/>
          <w:w w:val="105"/>
        </w:rPr>
        <w:t>cabildo</w:t>
      </w:r>
      <w:r>
        <w:rPr>
          <w:color w:val="231F20"/>
          <w:spacing w:val="-18"/>
          <w:w w:val="105"/>
        </w:rPr>
        <w:t> </w:t>
      </w:r>
      <w:r>
        <w:rPr>
          <w:color w:val="231F20"/>
          <w:w w:val="105"/>
        </w:rPr>
        <w:t>han</w:t>
      </w:r>
      <w:r>
        <w:rPr>
          <w:color w:val="231F20"/>
          <w:spacing w:val="-18"/>
          <w:w w:val="105"/>
        </w:rPr>
        <w:t> </w:t>
      </w:r>
      <w:r>
        <w:rPr>
          <w:color w:val="231F20"/>
          <w:spacing w:val="-4"/>
          <w:w w:val="105"/>
        </w:rPr>
        <w:t>sido</w:t>
      </w:r>
      <w:r>
        <w:rPr>
          <w:color w:val="231F20"/>
          <w:spacing w:val="-18"/>
          <w:w w:val="105"/>
        </w:rPr>
        <w:t> </w:t>
      </w:r>
      <w:r>
        <w:rPr>
          <w:color w:val="231F20"/>
          <w:spacing w:val="-4"/>
          <w:w w:val="105"/>
        </w:rPr>
        <w:t>aprobados</w:t>
      </w:r>
      <w:r>
        <w:rPr>
          <w:color w:val="231F20"/>
          <w:spacing w:val="-18"/>
          <w:w w:val="105"/>
        </w:rPr>
        <w:t> </w:t>
      </w:r>
      <w:r>
        <w:rPr>
          <w:color w:val="231F20"/>
          <w:spacing w:val="-3"/>
          <w:w w:val="105"/>
        </w:rPr>
        <w:t>por</w:t>
      </w:r>
      <w:r>
        <w:rPr>
          <w:color w:val="231F20"/>
          <w:spacing w:val="-18"/>
          <w:w w:val="105"/>
        </w:rPr>
        <w:t> </w:t>
      </w:r>
      <w:r>
        <w:rPr>
          <w:color w:val="231F20"/>
          <w:w w:val="105"/>
        </w:rPr>
        <w:t>unanimidad</w:t>
      </w:r>
      <w:r>
        <w:rPr>
          <w:color w:val="231F20"/>
          <w:spacing w:val="-18"/>
          <w:w w:val="105"/>
        </w:rPr>
        <w:t> </w:t>
      </w:r>
      <w:r>
        <w:rPr>
          <w:color w:val="231F20"/>
          <w:w w:val="105"/>
        </w:rPr>
        <w:t>en</w:t>
      </w:r>
      <w:r>
        <w:rPr>
          <w:color w:val="231F20"/>
          <w:spacing w:val="-18"/>
          <w:w w:val="105"/>
        </w:rPr>
        <w:t> </w:t>
      </w:r>
      <w:r>
        <w:rPr>
          <w:color w:val="231F20"/>
          <w:w w:val="105"/>
        </w:rPr>
        <w:t>un</w:t>
      </w:r>
      <w:r>
        <w:rPr>
          <w:color w:val="231F20"/>
          <w:spacing w:val="-18"/>
          <w:w w:val="105"/>
        </w:rPr>
        <w:t> </w:t>
      </w:r>
      <w:r>
        <w:rPr>
          <w:color w:val="231F20"/>
          <w:spacing w:val="-4"/>
          <w:w w:val="105"/>
        </w:rPr>
        <w:t>95%</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w w:val="105"/>
        </w:rPr>
        <w:t>casos.</w:t>
      </w:r>
      <w:r>
        <w:rPr>
          <w:color w:val="231F20"/>
          <w:spacing w:val="-18"/>
          <w:w w:val="105"/>
        </w:rPr>
        <w:t> </w:t>
      </w:r>
      <w:r>
        <w:rPr>
          <w:color w:val="231F20"/>
          <w:w w:val="105"/>
        </w:rPr>
        <w:t>Esto </w:t>
      </w:r>
      <w:r>
        <w:rPr>
          <w:color w:val="231F20"/>
          <w:spacing w:val="-3"/>
          <w:w w:val="105"/>
        </w:rPr>
        <w:t>nos</w:t>
      </w:r>
      <w:r>
        <w:rPr>
          <w:color w:val="231F20"/>
          <w:spacing w:val="-18"/>
          <w:w w:val="105"/>
        </w:rPr>
        <w:t> </w:t>
      </w:r>
      <w:r>
        <w:rPr>
          <w:color w:val="231F20"/>
          <w:w w:val="105"/>
        </w:rPr>
        <w:t>lleva</w:t>
      </w:r>
      <w:r>
        <w:rPr>
          <w:color w:val="231F20"/>
          <w:spacing w:val="-18"/>
          <w:w w:val="105"/>
        </w:rPr>
        <w:t> </w:t>
      </w:r>
      <w:r>
        <w:rPr>
          <w:color w:val="231F20"/>
          <w:w w:val="105"/>
        </w:rPr>
        <w:t>a</w:t>
      </w:r>
      <w:r>
        <w:rPr>
          <w:color w:val="231F20"/>
          <w:spacing w:val="-18"/>
          <w:w w:val="105"/>
        </w:rPr>
        <w:t> </w:t>
      </w:r>
      <w:r>
        <w:rPr>
          <w:color w:val="231F20"/>
          <w:w w:val="105"/>
        </w:rPr>
        <w:t>inferir</w:t>
      </w:r>
      <w:r>
        <w:rPr>
          <w:color w:val="231F20"/>
          <w:spacing w:val="-18"/>
          <w:w w:val="105"/>
        </w:rPr>
        <w:t> </w:t>
      </w:r>
      <w:r>
        <w:rPr>
          <w:color w:val="231F20"/>
          <w:spacing w:val="-3"/>
          <w:w w:val="105"/>
        </w:rPr>
        <w:t>que</w:t>
      </w:r>
      <w:r>
        <w:rPr>
          <w:color w:val="231F20"/>
          <w:spacing w:val="-18"/>
          <w:w w:val="105"/>
        </w:rPr>
        <w:t> </w:t>
      </w:r>
      <w:r>
        <w:rPr>
          <w:color w:val="231F20"/>
          <w:w w:val="105"/>
        </w:rPr>
        <w:t>se</w:t>
      </w:r>
      <w:r>
        <w:rPr>
          <w:color w:val="231F20"/>
          <w:spacing w:val="-18"/>
          <w:w w:val="105"/>
        </w:rPr>
        <w:t> </w:t>
      </w:r>
      <w:r>
        <w:rPr>
          <w:color w:val="231F20"/>
          <w:w w:val="105"/>
        </w:rPr>
        <w:t>han</w:t>
      </w:r>
      <w:r>
        <w:rPr>
          <w:color w:val="231F20"/>
          <w:spacing w:val="-18"/>
          <w:w w:val="105"/>
        </w:rPr>
        <w:t> </w:t>
      </w:r>
      <w:r>
        <w:rPr>
          <w:color w:val="231F20"/>
          <w:spacing w:val="-4"/>
          <w:w w:val="105"/>
        </w:rPr>
        <w:t>sido</w:t>
      </w:r>
      <w:r>
        <w:rPr>
          <w:color w:val="231F20"/>
          <w:spacing w:val="-18"/>
          <w:w w:val="105"/>
        </w:rPr>
        <w:t> </w:t>
      </w:r>
      <w:r>
        <w:rPr>
          <w:color w:val="231F20"/>
          <w:spacing w:val="-3"/>
          <w:w w:val="105"/>
        </w:rPr>
        <w:t>tratados</w:t>
      </w:r>
      <w:r>
        <w:rPr>
          <w:color w:val="231F20"/>
          <w:spacing w:val="-18"/>
          <w:w w:val="105"/>
        </w:rPr>
        <w:t> </w:t>
      </w:r>
      <w:r>
        <w:rPr>
          <w:color w:val="231F20"/>
          <w:spacing w:val="-3"/>
          <w:w w:val="105"/>
        </w:rPr>
        <w:t>los</w:t>
      </w:r>
      <w:r>
        <w:rPr>
          <w:color w:val="231F20"/>
          <w:spacing w:val="-18"/>
          <w:w w:val="105"/>
        </w:rPr>
        <w:t> </w:t>
      </w:r>
      <w:r>
        <w:rPr>
          <w:color w:val="231F20"/>
          <w:w w:val="105"/>
        </w:rPr>
        <w:t>asuntos</w:t>
      </w:r>
      <w:r>
        <w:rPr>
          <w:color w:val="231F20"/>
          <w:spacing w:val="-18"/>
          <w:w w:val="105"/>
        </w:rPr>
        <w:t> </w:t>
      </w:r>
      <w:r>
        <w:rPr>
          <w:color w:val="231F20"/>
          <w:w w:val="105"/>
        </w:rPr>
        <w:t>de</w:t>
      </w:r>
      <w:r>
        <w:rPr>
          <w:color w:val="231F20"/>
          <w:spacing w:val="-18"/>
          <w:w w:val="105"/>
        </w:rPr>
        <w:t> </w:t>
      </w:r>
      <w:r>
        <w:rPr>
          <w:color w:val="231F20"/>
          <w:spacing w:val="-3"/>
          <w:w w:val="105"/>
        </w:rPr>
        <w:t>cabildo</w:t>
      </w:r>
      <w:r>
        <w:rPr>
          <w:color w:val="231F20"/>
          <w:spacing w:val="-18"/>
          <w:w w:val="105"/>
        </w:rPr>
        <w:t> </w:t>
      </w:r>
      <w:r>
        <w:rPr>
          <w:color w:val="231F20"/>
          <w:w w:val="105"/>
        </w:rPr>
        <w:t>buscando</w:t>
      </w:r>
      <w:r>
        <w:rPr>
          <w:color w:val="231F20"/>
          <w:spacing w:val="-18"/>
          <w:w w:val="105"/>
        </w:rPr>
        <w:t> </w:t>
      </w:r>
      <w:r>
        <w:rPr>
          <w:color w:val="231F20"/>
          <w:spacing w:val="-4"/>
          <w:w w:val="105"/>
        </w:rPr>
        <w:t>acuerdos</w:t>
      </w:r>
      <w:r>
        <w:rPr>
          <w:color w:val="231F20"/>
          <w:spacing w:val="-18"/>
          <w:w w:val="105"/>
        </w:rPr>
        <w:t> </w:t>
      </w:r>
      <w:r>
        <w:rPr>
          <w:color w:val="231F20"/>
          <w:spacing w:val="-3"/>
          <w:w w:val="105"/>
        </w:rPr>
        <w:t>entre los</w:t>
      </w:r>
      <w:r>
        <w:rPr>
          <w:color w:val="231F20"/>
          <w:spacing w:val="-12"/>
          <w:w w:val="105"/>
        </w:rPr>
        <w:t> </w:t>
      </w:r>
      <w:r>
        <w:rPr>
          <w:color w:val="231F20"/>
          <w:w w:val="105"/>
        </w:rPr>
        <w:t>participantes.</w:t>
      </w:r>
      <w:r>
        <w:rPr>
          <w:color w:val="231F20"/>
          <w:spacing w:val="-12"/>
          <w:w w:val="105"/>
        </w:rPr>
        <w:t> </w:t>
      </w:r>
      <w:r>
        <w:rPr>
          <w:color w:val="231F20"/>
          <w:w w:val="105"/>
        </w:rPr>
        <w:t>Él</w:t>
      </w:r>
      <w:r>
        <w:rPr>
          <w:color w:val="231F20"/>
          <w:spacing w:val="-12"/>
          <w:w w:val="105"/>
        </w:rPr>
        <w:t> </w:t>
      </w:r>
      <w:r>
        <w:rPr>
          <w:color w:val="231F20"/>
          <w:w w:val="105"/>
        </w:rPr>
        <w:t>mismo</w:t>
      </w:r>
      <w:r>
        <w:rPr>
          <w:color w:val="231F20"/>
          <w:spacing w:val="-12"/>
          <w:w w:val="105"/>
        </w:rPr>
        <w:t> </w:t>
      </w:r>
      <w:r>
        <w:rPr>
          <w:color w:val="231F20"/>
          <w:spacing w:val="-3"/>
          <w:w w:val="105"/>
        </w:rPr>
        <w:t>refiere</w:t>
      </w:r>
      <w:r>
        <w:rPr>
          <w:color w:val="231F20"/>
          <w:spacing w:val="-12"/>
          <w:w w:val="105"/>
        </w:rPr>
        <w:t> </w:t>
      </w:r>
      <w:r>
        <w:rPr>
          <w:color w:val="231F20"/>
          <w:spacing w:val="-3"/>
          <w:w w:val="105"/>
        </w:rPr>
        <w:t>que</w:t>
      </w:r>
      <w:r>
        <w:rPr>
          <w:color w:val="231F20"/>
          <w:spacing w:val="-12"/>
          <w:w w:val="105"/>
        </w:rPr>
        <w:t> </w:t>
      </w:r>
      <w:r>
        <w:rPr>
          <w:color w:val="231F20"/>
          <w:w w:val="105"/>
        </w:rPr>
        <w:t>en</w:t>
      </w:r>
      <w:r>
        <w:rPr>
          <w:color w:val="231F20"/>
          <w:spacing w:val="-12"/>
          <w:w w:val="105"/>
        </w:rPr>
        <w:t> </w:t>
      </w:r>
      <w:r>
        <w:rPr>
          <w:color w:val="231F20"/>
          <w:spacing w:val="-3"/>
          <w:w w:val="105"/>
        </w:rPr>
        <w:t>los</w:t>
      </w:r>
      <w:r>
        <w:rPr>
          <w:color w:val="231F20"/>
          <w:spacing w:val="-12"/>
          <w:w w:val="105"/>
        </w:rPr>
        <w:t> </w:t>
      </w:r>
      <w:r>
        <w:rPr>
          <w:color w:val="231F20"/>
          <w:spacing w:val="-3"/>
          <w:w w:val="105"/>
        </w:rPr>
        <w:t>primeros</w:t>
      </w:r>
      <w:r>
        <w:rPr>
          <w:color w:val="231F20"/>
          <w:spacing w:val="-12"/>
          <w:w w:val="105"/>
        </w:rPr>
        <w:t> </w:t>
      </w:r>
      <w:r>
        <w:rPr>
          <w:color w:val="231F20"/>
          <w:w w:val="105"/>
        </w:rPr>
        <w:t>meses</w:t>
      </w:r>
      <w:r>
        <w:rPr>
          <w:color w:val="231F20"/>
          <w:spacing w:val="-12"/>
          <w:w w:val="105"/>
        </w:rPr>
        <w:t> </w:t>
      </w:r>
      <w:r>
        <w:rPr>
          <w:color w:val="231F20"/>
          <w:spacing w:val="-3"/>
          <w:w w:val="105"/>
        </w:rPr>
        <w:t>del</w:t>
      </w:r>
      <w:r>
        <w:rPr>
          <w:color w:val="231F20"/>
          <w:spacing w:val="-12"/>
          <w:w w:val="105"/>
        </w:rPr>
        <w:t> </w:t>
      </w:r>
      <w:r>
        <w:rPr>
          <w:color w:val="231F20"/>
          <w:spacing w:val="-3"/>
          <w:w w:val="105"/>
        </w:rPr>
        <w:t>tercer</w:t>
      </w:r>
      <w:r>
        <w:rPr>
          <w:color w:val="231F20"/>
          <w:spacing w:val="-12"/>
          <w:w w:val="105"/>
        </w:rPr>
        <w:t> </w:t>
      </w:r>
      <w:r>
        <w:rPr>
          <w:color w:val="231F20"/>
          <w:w w:val="105"/>
        </w:rPr>
        <w:t>año</w:t>
      </w:r>
      <w:r>
        <w:rPr>
          <w:color w:val="231F20"/>
          <w:spacing w:val="-12"/>
          <w:w w:val="105"/>
        </w:rPr>
        <w:t> </w:t>
      </w:r>
      <w:r>
        <w:rPr>
          <w:color w:val="231F20"/>
          <w:w w:val="105"/>
        </w:rPr>
        <w:t>de</w:t>
      </w:r>
      <w:r>
        <w:rPr>
          <w:color w:val="231F20"/>
          <w:spacing w:val="-12"/>
          <w:w w:val="105"/>
        </w:rPr>
        <w:t> </w:t>
      </w:r>
      <w:r>
        <w:rPr>
          <w:color w:val="231F20"/>
          <w:spacing w:val="-4"/>
          <w:w w:val="105"/>
        </w:rPr>
        <w:t>gobierno, </w:t>
      </w:r>
      <w:r>
        <w:rPr>
          <w:color w:val="231F20"/>
          <w:w w:val="105"/>
        </w:rPr>
        <w:t>algunos</w:t>
      </w:r>
      <w:r>
        <w:rPr>
          <w:color w:val="231F20"/>
          <w:spacing w:val="-14"/>
          <w:w w:val="105"/>
        </w:rPr>
        <w:t> </w:t>
      </w:r>
      <w:r>
        <w:rPr>
          <w:color w:val="231F20"/>
          <w:spacing w:val="-4"/>
          <w:w w:val="105"/>
        </w:rPr>
        <w:t>regidores</w:t>
      </w:r>
      <w:r>
        <w:rPr>
          <w:color w:val="231F20"/>
          <w:spacing w:val="-14"/>
          <w:w w:val="105"/>
        </w:rPr>
        <w:t> </w:t>
      </w:r>
      <w:r>
        <w:rPr>
          <w:color w:val="231F20"/>
          <w:w w:val="105"/>
        </w:rPr>
        <w:t>de</w:t>
      </w:r>
      <w:r>
        <w:rPr>
          <w:color w:val="231F20"/>
          <w:spacing w:val="-14"/>
          <w:w w:val="105"/>
        </w:rPr>
        <w:t> </w:t>
      </w:r>
      <w:r>
        <w:rPr>
          <w:color w:val="231F20"/>
          <w:spacing w:val="-4"/>
          <w:w w:val="105"/>
        </w:rPr>
        <w:t>oposición</w:t>
      </w:r>
      <w:r>
        <w:rPr>
          <w:color w:val="231F20"/>
          <w:spacing w:val="-14"/>
          <w:w w:val="105"/>
        </w:rPr>
        <w:t> </w:t>
      </w:r>
      <w:r>
        <w:rPr>
          <w:color w:val="231F20"/>
          <w:w w:val="105"/>
        </w:rPr>
        <w:t>a</w:t>
      </w:r>
      <w:r>
        <w:rPr>
          <w:color w:val="231F20"/>
          <w:spacing w:val="-14"/>
          <w:w w:val="105"/>
        </w:rPr>
        <w:t> </w:t>
      </w:r>
      <w:r>
        <w:rPr>
          <w:color w:val="231F20"/>
          <w:w w:val="105"/>
        </w:rPr>
        <w:t>su</w:t>
      </w:r>
      <w:r>
        <w:rPr>
          <w:color w:val="231F20"/>
          <w:spacing w:val="-14"/>
          <w:w w:val="105"/>
        </w:rPr>
        <w:t> </w:t>
      </w:r>
      <w:r>
        <w:rPr>
          <w:color w:val="231F20"/>
          <w:w w:val="105"/>
        </w:rPr>
        <w:t>partido</w:t>
      </w:r>
      <w:r>
        <w:rPr>
          <w:color w:val="231F20"/>
          <w:spacing w:val="-14"/>
          <w:w w:val="105"/>
        </w:rPr>
        <w:t> </w:t>
      </w:r>
      <w:r>
        <w:rPr>
          <w:color w:val="231F20"/>
          <w:w w:val="105"/>
        </w:rPr>
        <w:t>han</w:t>
      </w:r>
      <w:r>
        <w:rPr>
          <w:color w:val="231F20"/>
          <w:spacing w:val="-14"/>
          <w:w w:val="105"/>
        </w:rPr>
        <w:t> </w:t>
      </w:r>
      <w:r>
        <w:rPr>
          <w:color w:val="231F20"/>
          <w:spacing w:val="-4"/>
          <w:w w:val="105"/>
        </w:rPr>
        <w:t>votado</w:t>
      </w:r>
      <w:r>
        <w:rPr>
          <w:color w:val="231F20"/>
          <w:spacing w:val="-14"/>
          <w:w w:val="105"/>
        </w:rPr>
        <w:t> </w:t>
      </w:r>
      <w:r>
        <w:rPr>
          <w:color w:val="231F20"/>
          <w:spacing w:val="-3"/>
          <w:w w:val="105"/>
        </w:rPr>
        <w:t>con</w:t>
      </w:r>
      <w:r>
        <w:rPr>
          <w:color w:val="231F20"/>
          <w:spacing w:val="-14"/>
          <w:w w:val="105"/>
        </w:rPr>
        <w:t> </w:t>
      </w:r>
      <w:r>
        <w:rPr>
          <w:color w:val="231F20"/>
          <w:spacing w:val="-4"/>
          <w:w w:val="105"/>
        </w:rPr>
        <w:t>abstención,</w:t>
      </w:r>
      <w:r>
        <w:rPr>
          <w:color w:val="231F20"/>
          <w:spacing w:val="-14"/>
          <w:w w:val="105"/>
        </w:rPr>
        <w:t> </w:t>
      </w:r>
      <w:r>
        <w:rPr>
          <w:color w:val="231F20"/>
          <w:w w:val="105"/>
        </w:rPr>
        <w:t>esto</w:t>
      </w:r>
      <w:r>
        <w:rPr>
          <w:color w:val="231F20"/>
          <w:spacing w:val="-14"/>
          <w:w w:val="105"/>
        </w:rPr>
        <w:t> </w:t>
      </w:r>
      <w:r>
        <w:rPr>
          <w:color w:val="231F20"/>
          <w:w w:val="105"/>
        </w:rPr>
        <w:t>según</w:t>
      </w:r>
      <w:r>
        <w:rPr>
          <w:color w:val="231F20"/>
          <w:spacing w:val="-14"/>
          <w:w w:val="105"/>
        </w:rPr>
        <w:t> </w:t>
      </w:r>
      <w:r>
        <w:rPr>
          <w:color w:val="231F20"/>
          <w:spacing w:val="-3"/>
          <w:w w:val="105"/>
        </w:rPr>
        <w:t>él,</w:t>
      </w:r>
      <w:r>
        <w:rPr>
          <w:color w:val="231F20"/>
          <w:spacing w:val="-14"/>
          <w:w w:val="105"/>
        </w:rPr>
        <w:t> </w:t>
      </w:r>
      <w:r>
        <w:rPr>
          <w:color w:val="231F20"/>
          <w:spacing w:val="-3"/>
          <w:w w:val="105"/>
        </w:rPr>
        <w:t>por los tiempos </w:t>
      </w:r>
      <w:r>
        <w:rPr>
          <w:color w:val="231F20"/>
          <w:w w:val="105"/>
        </w:rPr>
        <w:t>electorales </w:t>
      </w:r>
      <w:r>
        <w:rPr>
          <w:color w:val="231F20"/>
          <w:spacing w:val="-3"/>
          <w:w w:val="105"/>
        </w:rPr>
        <w:t>que </w:t>
      </w:r>
      <w:r>
        <w:rPr>
          <w:color w:val="231F20"/>
          <w:w w:val="105"/>
        </w:rPr>
        <w:t>se avecinan y </w:t>
      </w:r>
      <w:r>
        <w:rPr>
          <w:color w:val="231F20"/>
          <w:spacing w:val="-4"/>
          <w:w w:val="105"/>
        </w:rPr>
        <w:t>porque </w:t>
      </w:r>
      <w:r>
        <w:rPr>
          <w:color w:val="231F20"/>
          <w:w w:val="105"/>
        </w:rPr>
        <w:t>así </w:t>
      </w:r>
      <w:r>
        <w:rPr>
          <w:color w:val="231F20"/>
          <w:spacing w:val="-4"/>
          <w:w w:val="105"/>
        </w:rPr>
        <w:t>pueden </w:t>
      </w:r>
      <w:r>
        <w:rPr>
          <w:color w:val="231F20"/>
          <w:w w:val="105"/>
        </w:rPr>
        <w:t>demostrar </w:t>
      </w:r>
      <w:r>
        <w:rPr>
          <w:color w:val="231F20"/>
          <w:spacing w:val="-3"/>
          <w:w w:val="105"/>
        </w:rPr>
        <w:t>que no </w:t>
      </w:r>
      <w:r>
        <w:rPr>
          <w:color w:val="231F20"/>
          <w:w w:val="105"/>
        </w:rPr>
        <w:t>están en </w:t>
      </w:r>
      <w:r>
        <w:rPr>
          <w:color w:val="231F20"/>
          <w:spacing w:val="-3"/>
          <w:w w:val="105"/>
        </w:rPr>
        <w:t>todo</w:t>
      </w:r>
      <w:r>
        <w:rPr>
          <w:color w:val="231F20"/>
          <w:spacing w:val="-13"/>
          <w:w w:val="105"/>
        </w:rPr>
        <w:t> </w:t>
      </w:r>
      <w:r>
        <w:rPr>
          <w:color w:val="231F20"/>
          <w:spacing w:val="-3"/>
          <w:w w:val="105"/>
        </w:rPr>
        <w:t>con</w:t>
      </w:r>
      <w:r>
        <w:rPr>
          <w:color w:val="231F20"/>
          <w:spacing w:val="-13"/>
          <w:w w:val="105"/>
        </w:rPr>
        <w:t> </w:t>
      </w:r>
      <w:r>
        <w:rPr>
          <w:color w:val="231F20"/>
          <w:w w:val="105"/>
        </w:rPr>
        <w:t>el</w:t>
      </w:r>
      <w:r>
        <w:rPr>
          <w:color w:val="231F20"/>
          <w:spacing w:val="-13"/>
          <w:w w:val="105"/>
        </w:rPr>
        <w:t> </w:t>
      </w:r>
      <w:r>
        <w:rPr>
          <w:color w:val="231F20"/>
          <w:spacing w:val="-4"/>
          <w:w w:val="105"/>
        </w:rPr>
        <w:t>presidente,</w:t>
      </w:r>
      <w:r>
        <w:rPr>
          <w:color w:val="231F20"/>
          <w:spacing w:val="-13"/>
          <w:w w:val="105"/>
        </w:rPr>
        <w:t> </w:t>
      </w:r>
      <w:r>
        <w:rPr>
          <w:color w:val="231F20"/>
          <w:spacing w:val="-3"/>
          <w:w w:val="105"/>
        </w:rPr>
        <w:t>aunque</w:t>
      </w:r>
      <w:r>
        <w:rPr>
          <w:color w:val="231F20"/>
          <w:spacing w:val="-13"/>
          <w:w w:val="105"/>
        </w:rPr>
        <w:t> </w:t>
      </w:r>
      <w:r>
        <w:rPr>
          <w:color w:val="231F20"/>
          <w:spacing w:val="-3"/>
          <w:w w:val="105"/>
        </w:rPr>
        <w:t>por</w:t>
      </w:r>
      <w:r>
        <w:rPr>
          <w:color w:val="231F20"/>
          <w:spacing w:val="-13"/>
          <w:w w:val="105"/>
        </w:rPr>
        <w:t> </w:t>
      </w:r>
      <w:r>
        <w:rPr>
          <w:color w:val="231F20"/>
          <w:w w:val="105"/>
        </w:rPr>
        <w:t>las</w:t>
      </w:r>
      <w:r>
        <w:rPr>
          <w:color w:val="231F20"/>
          <w:spacing w:val="-13"/>
          <w:w w:val="105"/>
        </w:rPr>
        <w:t> </w:t>
      </w:r>
      <w:r>
        <w:rPr>
          <w:color w:val="231F20"/>
          <w:w w:val="105"/>
        </w:rPr>
        <w:t>temáticas</w:t>
      </w:r>
      <w:r>
        <w:rPr>
          <w:color w:val="231F20"/>
          <w:spacing w:val="-13"/>
          <w:w w:val="105"/>
        </w:rPr>
        <w:t> </w:t>
      </w:r>
      <w:r>
        <w:rPr>
          <w:color w:val="231F20"/>
          <w:w w:val="105"/>
        </w:rPr>
        <w:t>de</w:t>
      </w:r>
      <w:r>
        <w:rPr>
          <w:color w:val="231F20"/>
          <w:spacing w:val="-13"/>
          <w:w w:val="105"/>
        </w:rPr>
        <w:t> </w:t>
      </w:r>
      <w:r>
        <w:rPr>
          <w:color w:val="231F20"/>
          <w:spacing w:val="-4"/>
          <w:w w:val="105"/>
        </w:rPr>
        <w:t>votación</w:t>
      </w:r>
      <w:r>
        <w:rPr>
          <w:color w:val="231F20"/>
          <w:spacing w:val="-13"/>
          <w:w w:val="105"/>
        </w:rPr>
        <w:t> </w:t>
      </w:r>
      <w:r>
        <w:rPr>
          <w:color w:val="231F20"/>
          <w:spacing w:val="-3"/>
          <w:w w:val="105"/>
        </w:rPr>
        <w:t>no</w:t>
      </w:r>
      <w:r>
        <w:rPr>
          <w:color w:val="231F20"/>
          <w:spacing w:val="-13"/>
          <w:w w:val="105"/>
        </w:rPr>
        <w:t> </w:t>
      </w:r>
      <w:r>
        <w:rPr>
          <w:color w:val="231F20"/>
          <w:w w:val="105"/>
        </w:rPr>
        <w:t>puedan</w:t>
      </w:r>
      <w:r>
        <w:rPr>
          <w:color w:val="231F20"/>
          <w:spacing w:val="-13"/>
          <w:w w:val="105"/>
        </w:rPr>
        <w:t> </w:t>
      </w:r>
      <w:r>
        <w:rPr>
          <w:color w:val="231F20"/>
          <w:spacing w:val="-4"/>
          <w:w w:val="105"/>
        </w:rPr>
        <w:t>oponerse,</w:t>
      </w:r>
      <w:r>
        <w:rPr>
          <w:color w:val="231F20"/>
          <w:spacing w:val="-13"/>
          <w:w w:val="105"/>
        </w:rPr>
        <w:t> </w:t>
      </w:r>
      <w:r>
        <w:rPr>
          <w:color w:val="231F20"/>
          <w:spacing w:val="-3"/>
          <w:w w:val="105"/>
        </w:rPr>
        <w:t>por</w:t>
      </w:r>
      <w:r>
        <w:rPr>
          <w:color w:val="231F20"/>
          <w:spacing w:val="-13"/>
          <w:w w:val="105"/>
        </w:rPr>
        <w:t> </w:t>
      </w:r>
      <w:r>
        <w:rPr>
          <w:color w:val="231F20"/>
          <w:w w:val="105"/>
        </w:rPr>
        <w:t>eso han</w:t>
      </w:r>
      <w:r>
        <w:rPr>
          <w:color w:val="231F20"/>
          <w:spacing w:val="-9"/>
          <w:w w:val="105"/>
        </w:rPr>
        <w:t> </w:t>
      </w:r>
      <w:r>
        <w:rPr>
          <w:color w:val="231F20"/>
          <w:spacing w:val="-4"/>
          <w:w w:val="105"/>
        </w:rPr>
        <w:t>preferido</w:t>
      </w:r>
      <w:r>
        <w:rPr>
          <w:color w:val="231F20"/>
          <w:spacing w:val="-9"/>
          <w:w w:val="105"/>
        </w:rPr>
        <w:t> </w:t>
      </w:r>
      <w:r>
        <w:rPr>
          <w:color w:val="231F20"/>
          <w:w w:val="105"/>
        </w:rPr>
        <w:t>la</w:t>
      </w:r>
      <w:r>
        <w:rPr>
          <w:color w:val="231F20"/>
          <w:spacing w:val="-9"/>
          <w:w w:val="105"/>
        </w:rPr>
        <w:t> </w:t>
      </w:r>
      <w:r>
        <w:rPr>
          <w:color w:val="231F20"/>
          <w:spacing w:val="-3"/>
          <w:w w:val="105"/>
        </w:rPr>
        <w:t>abstención.</w:t>
      </w:r>
      <w:r>
        <w:rPr>
          <w:color w:val="231F20"/>
          <w:spacing w:val="-9"/>
          <w:w w:val="105"/>
        </w:rPr>
        <w:t> </w:t>
      </w:r>
      <w:r>
        <w:rPr>
          <w:color w:val="231F20"/>
          <w:spacing w:val="-3"/>
          <w:w w:val="105"/>
        </w:rPr>
        <w:t>Interesantes</w:t>
      </w:r>
      <w:r>
        <w:rPr>
          <w:color w:val="231F20"/>
          <w:spacing w:val="-9"/>
          <w:w w:val="105"/>
        </w:rPr>
        <w:t> </w:t>
      </w:r>
      <w:r>
        <w:rPr>
          <w:color w:val="231F20"/>
          <w:w w:val="105"/>
        </w:rPr>
        <w:t>estos</w:t>
      </w:r>
      <w:r>
        <w:rPr>
          <w:color w:val="231F20"/>
          <w:spacing w:val="-9"/>
          <w:w w:val="105"/>
        </w:rPr>
        <w:t> </w:t>
      </w:r>
      <w:r>
        <w:rPr>
          <w:color w:val="231F20"/>
          <w:spacing w:val="-3"/>
          <w:w w:val="105"/>
        </w:rPr>
        <w:t>resultados,</w:t>
      </w:r>
      <w:r>
        <w:rPr>
          <w:color w:val="231F20"/>
          <w:spacing w:val="-9"/>
          <w:w w:val="105"/>
        </w:rPr>
        <w:t> </w:t>
      </w:r>
      <w:r>
        <w:rPr>
          <w:color w:val="231F20"/>
          <w:spacing w:val="-3"/>
          <w:w w:val="105"/>
        </w:rPr>
        <w:t>pues</w:t>
      </w:r>
      <w:r>
        <w:rPr>
          <w:color w:val="231F20"/>
          <w:spacing w:val="-9"/>
          <w:w w:val="105"/>
        </w:rPr>
        <w:t> </w:t>
      </w:r>
      <w:r>
        <w:rPr>
          <w:color w:val="231F20"/>
          <w:w w:val="105"/>
        </w:rPr>
        <w:t>si</w:t>
      </w:r>
      <w:r>
        <w:rPr>
          <w:color w:val="231F20"/>
          <w:spacing w:val="-9"/>
          <w:w w:val="105"/>
        </w:rPr>
        <w:t> </w:t>
      </w:r>
      <w:r>
        <w:rPr>
          <w:color w:val="231F20"/>
          <w:spacing w:val="-3"/>
          <w:w w:val="105"/>
        </w:rPr>
        <w:t>los</w:t>
      </w:r>
      <w:r>
        <w:rPr>
          <w:color w:val="231F20"/>
          <w:spacing w:val="-9"/>
          <w:w w:val="105"/>
        </w:rPr>
        <w:t> </w:t>
      </w:r>
      <w:r>
        <w:rPr>
          <w:color w:val="231F20"/>
          <w:spacing w:val="-4"/>
          <w:w w:val="105"/>
        </w:rPr>
        <w:t>acuerdos</w:t>
      </w:r>
      <w:r>
        <w:rPr>
          <w:color w:val="231F20"/>
          <w:spacing w:val="-9"/>
          <w:w w:val="105"/>
        </w:rPr>
        <w:t> </w:t>
      </w:r>
      <w:r>
        <w:rPr>
          <w:color w:val="231F20"/>
          <w:w w:val="105"/>
        </w:rPr>
        <w:t>de</w:t>
      </w:r>
      <w:r>
        <w:rPr>
          <w:color w:val="231F20"/>
          <w:spacing w:val="-9"/>
          <w:w w:val="105"/>
        </w:rPr>
        <w:t> </w:t>
      </w:r>
      <w:r>
        <w:rPr>
          <w:color w:val="231F20"/>
          <w:spacing w:val="-3"/>
          <w:w w:val="105"/>
        </w:rPr>
        <w:t>cabildo </w:t>
      </w:r>
      <w:r>
        <w:rPr>
          <w:color w:val="231F20"/>
          <w:w w:val="105"/>
        </w:rPr>
        <w:t>han</w:t>
      </w:r>
      <w:r>
        <w:rPr>
          <w:color w:val="231F20"/>
          <w:spacing w:val="-14"/>
          <w:w w:val="105"/>
        </w:rPr>
        <w:t> </w:t>
      </w:r>
      <w:r>
        <w:rPr>
          <w:color w:val="231F20"/>
          <w:spacing w:val="-4"/>
          <w:w w:val="105"/>
        </w:rPr>
        <w:t>sido</w:t>
      </w:r>
      <w:r>
        <w:rPr>
          <w:color w:val="231F20"/>
          <w:spacing w:val="-14"/>
          <w:w w:val="105"/>
        </w:rPr>
        <w:t> </w:t>
      </w:r>
      <w:r>
        <w:rPr>
          <w:color w:val="231F20"/>
          <w:spacing w:val="-3"/>
          <w:w w:val="105"/>
        </w:rPr>
        <w:t>resultado</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spacing w:val="-3"/>
          <w:w w:val="105"/>
        </w:rPr>
        <w:t>consenso,</w:t>
      </w:r>
      <w:r>
        <w:rPr>
          <w:color w:val="231F20"/>
          <w:spacing w:val="-14"/>
          <w:w w:val="105"/>
        </w:rPr>
        <w:t> </w:t>
      </w:r>
      <w:r>
        <w:rPr>
          <w:color w:val="231F20"/>
          <w:spacing w:val="-3"/>
          <w:w w:val="105"/>
        </w:rPr>
        <w:t>habla</w:t>
      </w:r>
      <w:r>
        <w:rPr>
          <w:color w:val="231F20"/>
          <w:spacing w:val="-14"/>
          <w:w w:val="105"/>
        </w:rPr>
        <w:t> </w:t>
      </w:r>
      <w:r>
        <w:rPr>
          <w:color w:val="231F20"/>
          <w:spacing w:val="-4"/>
          <w:w w:val="105"/>
        </w:rPr>
        <w:t>entonces,</w:t>
      </w:r>
      <w:r>
        <w:rPr>
          <w:color w:val="231F20"/>
          <w:spacing w:val="-14"/>
          <w:w w:val="105"/>
        </w:rPr>
        <w:t> </w:t>
      </w:r>
      <w:r>
        <w:rPr>
          <w:color w:val="231F20"/>
          <w:spacing w:val="-3"/>
          <w:w w:val="105"/>
        </w:rPr>
        <w:t>que</w:t>
      </w:r>
      <w:r>
        <w:rPr>
          <w:color w:val="231F20"/>
          <w:spacing w:val="-14"/>
          <w:w w:val="105"/>
        </w:rPr>
        <w:t> </w:t>
      </w:r>
      <w:r>
        <w:rPr>
          <w:color w:val="231F20"/>
          <w:w w:val="105"/>
        </w:rPr>
        <w:t>el</w:t>
      </w:r>
      <w:r>
        <w:rPr>
          <w:color w:val="231F20"/>
          <w:spacing w:val="-14"/>
          <w:w w:val="105"/>
        </w:rPr>
        <w:t> </w:t>
      </w:r>
      <w:r>
        <w:rPr>
          <w:color w:val="231F20"/>
          <w:spacing w:val="-4"/>
          <w:w w:val="105"/>
        </w:rPr>
        <w:t>gobierno</w:t>
      </w:r>
      <w:r>
        <w:rPr>
          <w:color w:val="231F20"/>
          <w:spacing w:val="-14"/>
          <w:w w:val="105"/>
        </w:rPr>
        <w:t> </w:t>
      </w:r>
      <w:r>
        <w:rPr>
          <w:color w:val="231F20"/>
          <w:w w:val="105"/>
        </w:rPr>
        <w:t>municipal</w:t>
      </w:r>
      <w:r>
        <w:rPr>
          <w:color w:val="231F20"/>
          <w:spacing w:val="-14"/>
          <w:w w:val="105"/>
        </w:rPr>
        <w:t> </w:t>
      </w:r>
      <w:r>
        <w:rPr>
          <w:color w:val="231F20"/>
          <w:w w:val="105"/>
        </w:rPr>
        <w:t>ha</w:t>
      </w:r>
      <w:r>
        <w:rPr>
          <w:color w:val="231F20"/>
          <w:spacing w:val="-14"/>
          <w:w w:val="105"/>
        </w:rPr>
        <w:t> </w:t>
      </w:r>
      <w:r>
        <w:rPr>
          <w:color w:val="231F20"/>
          <w:spacing w:val="-3"/>
          <w:w w:val="105"/>
        </w:rPr>
        <w:t>subordi- </w:t>
      </w:r>
      <w:r>
        <w:rPr>
          <w:color w:val="231F20"/>
          <w:spacing w:val="-4"/>
          <w:w w:val="105"/>
        </w:rPr>
        <w:t>nado</w:t>
      </w:r>
      <w:r>
        <w:rPr>
          <w:color w:val="231F20"/>
          <w:spacing w:val="-24"/>
          <w:w w:val="105"/>
        </w:rPr>
        <w:t> </w:t>
      </w:r>
      <w:r>
        <w:rPr>
          <w:color w:val="231F20"/>
          <w:w w:val="105"/>
        </w:rPr>
        <w:t>sus</w:t>
      </w:r>
      <w:r>
        <w:rPr>
          <w:color w:val="231F20"/>
          <w:spacing w:val="-24"/>
          <w:w w:val="105"/>
        </w:rPr>
        <w:t> </w:t>
      </w:r>
      <w:r>
        <w:rPr>
          <w:color w:val="231F20"/>
          <w:w w:val="105"/>
        </w:rPr>
        <w:t>valores</w:t>
      </w:r>
      <w:r>
        <w:rPr>
          <w:color w:val="231F20"/>
          <w:spacing w:val="-24"/>
          <w:w w:val="105"/>
        </w:rPr>
        <w:t> </w:t>
      </w:r>
      <w:r>
        <w:rPr>
          <w:color w:val="231F20"/>
          <w:w w:val="105"/>
        </w:rPr>
        <w:t>y</w:t>
      </w:r>
      <w:r>
        <w:rPr>
          <w:color w:val="231F20"/>
          <w:spacing w:val="-24"/>
          <w:w w:val="105"/>
        </w:rPr>
        <w:t> </w:t>
      </w:r>
      <w:r>
        <w:rPr>
          <w:color w:val="231F20"/>
          <w:spacing w:val="-3"/>
          <w:w w:val="105"/>
        </w:rPr>
        <w:t>los</w:t>
      </w:r>
      <w:r>
        <w:rPr>
          <w:color w:val="231F20"/>
          <w:spacing w:val="-24"/>
          <w:w w:val="105"/>
        </w:rPr>
        <w:t> </w:t>
      </w:r>
      <w:r>
        <w:rPr>
          <w:color w:val="231F20"/>
          <w:w w:val="105"/>
        </w:rPr>
        <w:t>de</w:t>
      </w:r>
      <w:r>
        <w:rPr>
          <w:color w:val="231F20"/>
          <w:spacing w:val="-24"/>
          <w:w w:val="105"/>
        </w:rPr>
        <w:t> </w:t>
      </w:r>
      <w:r>
        <w:rPr>
          <w:color w:val="231F20"/>
          <w:w w:val="105"/>
        </w:rPr>
        <w:t>su</w:t>
      </w:r>
      <w:r>
        <w:rPr>
          <w:color w:val="231F20"/>
          <w:spacing w:val="-24"/>
          <w:w w:val="105"/>
        </w:rPr>
        <w:t> </w:t>
      </w:r>
      <w:r>
        <w:rPr>
          <w:color w:val="231F20"/>
          <w:w w:val="105"/>
        </w:rPr>
        <w:t>partido</w:t>
      </w:r>
      <w:r>
        <w:rPr>
          <w:color w:val="231F20"/>
          <w:spacing w:val="-24"/>
          <w:w w:val="105"/>
        </w:rPr>
        <w:t> </w:t>
      </w:r>
      <w:r>
        <w:rPr>
          <w:color w:val="231F20"/>
          <w:w w:val="105"/>
        </w:rPr>
        <w:t>a</w:t>
      </w:r>
      <w:r>
        <w:rPr>
          <w:color w:val="231F20"/>
          <w:spacing w:val="-24"/>
          <w:w w:val="105"/>
        </w:rPr>
        <w:t> </w:t>
      </w:r>
      <w:r>
        <w:rPr>
          <w:color w:val="231F20"/>
          <w:spacing w:val="-3"/>
          <w:w w:val="105"/>
        </w:rPr>
        <w:t>los</w:t>
      </w:r>
      <w:r>
        <w:rPr>
          <w:color w:val="231F20"/>
          <w:spacing w:val="-24"/>
          <w:w w:val="105"/>
        </w:rPr>
        <w:t> </w:t>
      </w:r>
      <w:r>
        <w:rPr>
          <w:color w:val="231F20"/>
          <w:spacing w:val="-3"/>
          <w:w w:val="105"/>
        </w:rPr>
        <w:t>principios</w:t>
      </w:r>
      <w:r>
        <w:rPr>
          <w:color w:val="231F20"/>
          <w:spacing w:val="-24"/>
          <w:w w:val="105"/>
        </w:rPr>
        <w:t> </w:t>
      </w:r>
      <w:r>
        <w:rPr>
          <w:color w:val="231F20"/>
          <w:spacing w:val="-3"/>
          <w:w w:val="105"/>
        </w:rPr>
        <w:t>del</w:t>
      </w:r>
      <w:r>
        <w:rPr>
          <w:color w:val="231F20"/>
          <w:spacing w:val="-24"/>
          <w:w w:val="105"/>
        </w:rPr>
        <w:t> </w:t>
      </w:r>
      <w:r>
        <w:rPr>
          <w:color w:val="231F20"/>
          <w:spacing w:val="-4"/>
          <w:w w:val="105"/>
        </w:rPr>
        <w:t>municipio,</w:t>
      </w:r>
      <w:r>
        <w:rPr>
          <w:color w:val="231F20"/>
          <w:spacing w:val="-24"/>
          <w:w w:val="105"/>
        </w:rPr>
        <w:t> </w:t>
      </w:r>
      <w:r>
        <w:rPr>
          <w:color w:val="231F20"/>
          <w:spacing w:val="-4"/>
          <w:w w:val="105"/>
        </w:rPr>
        <w:t>como</w:t>
      </w:r>
      <w:r>
        <w:rPr>
          <w:color w:val="231F20"/>
          <w:spacing w:val="-24"/>
          <w:w w:val="105"/>
        </w:rPr>
        <w:t> </w:t>
      </w:r>
      <w:r>
        <w:rPr>
          <w:color w:val="231F20"/>
          <w:w w:val="105"/>
        </w:rPr>
        <w:t>premisa</w:t>
      </w:r>
      <w:r>
        <w:rPr>
          <w:color w:val="231F20"/>
          <w:spacing w:val="-24"/>
          <w:w w:val="105"/>
        </w:rPr>
        <w:t> </w:t>
      </w:r>
      <w:r>
        <w:rPr>
          <w:color w:val="231F20"/>
          <w:w w:val="105"/>
        </w:rPr>
        <w:t>es</w:t>
      </w:r>
      <w:r>
        <w:rPr>
          <w:color w:val="231F20"/>
          <w:spacing w:val="-24"/>
          <w:w w:val="105"/>
        </w:rPr>
        <w:t> </w:t>
      </w:r>
      <w:r>
        <w:rPr>
          <w:color w:val="231F20"/>
          <w:spacing w:val="-4"/>
          <w:w w:val="105"/>
        </w:rPr>
        <w:t>bueno, </w:t>
      </w:r>
      <w:r>
        <w:rPr>
          <w:color w:val="231F20"/>
          <w:spacing w:val="-3"/>
          <w:w w:val="105"/>
        </w:rPr>
        <w:t>pero</w:t>
      </w:r>
      <w:r>
        <w:rPr>
          <w:color w:val="231F20"/>
          <w:spacing w:val="-20"/>
          <w:w w:val="105"/>
        </w:rPr>
        <w:t> </w:t>
      </w:r>
      <w:r>
        <w:rPr>
          <w:color w:val="231F20"/>
          <w:spacing w:val="-4"/>
          <w:w w:val="105"/>
        </w:rPr>
        <w:t>como</w:t>
      </w:r>
      <w:r>
        <w:rPr>
          <w:color w:val="231F20"/>
          <w:spacing w:val="-20"/>
          <w:w w:val="105"/>
        </w:rPr>
        <w:t> </w:t>
      </w:r>
      <w:r>
        <w:rPr>
          <w:color w:val="231F20"/>
          <w:spacing w:val="-4"/>
          <w:w w:val="105"/>
        </w:rPr>
        <w:t>revelación</w:t>
      </w:r>
      <w:r>
        <w:rPr>
          <w:color w:val="231F20"/>
          <w:spacing w:val="-20"/>
          <w:w w:val="105"/>
        </w:rPr>
        <w:t> </w:t>
      </w:r>
      <w:r>
        <w:rPr>
          <w:color w:val="231F20"/>
          <w:w w:val="105"/>
        </w:rPr>
        <w:t>de</w:t>
      </w:r>
      <w:r>
        <w:rPr>
          <w:color w:val="231F20"/>
          <w:spacing w:val="-20"/>
          <w:w w:val="105"/>
        </w:rPr>
        <w:t> </w:t>
      </w:r>
      <w:r>
        <w:rPr>
          <w:color w:val="231F20"/>
          <w:spacing w:val="-4"/>
          <w:w w:val="105"/>
        </w:rPr>
        <w:t>gobierno</w:t>
      </w:r>
      <w:r>
        <w:rPr>
          <w:color w:val="231F20"/>
          <w:spacing w:val="-20"/>
          <w:w w:val="105"/>
        </w:rPr>
        <w:t> </w:t>
      </w:r>
      <w:r>
        <w:rPr>
          <w:color w:val="231F20"/>
          <w:w w:val="105"/>
        </w:rPr>
        <w:t>de</w:t>
      </w:r>
      <w:r>
        <w:rPr>
          <w:color w:val="231F20"/>
          <w:spacing w:val="-20"/>
          <w:w w:val="105"/>
        </w:rPr>
        <w:t> </w:t>
      </w:r>
      <w:r>
        <w:rPr>
          <w:color w:val="231F20"/>
          <w:w w:val="105"/>
        </w:rPr>
        <w:t>partido,</w:t>
      </w:r>
      <w:r>
        <w:rPr>
          <w:color w:val="231F20"/>
          <w:spacing w:val="-20"/>
          <w:w w:val="105"/>
        </w:rPr>
        <w:t> </w:t>
      </w:r>
      <w:r>
        <w:rPr>
          <w:color w:val="231F20"/>
          <w:w w:val="105"/>
        </w:rPr>
        <w:t>una</w:t>
      </w:r>
      <w:r>
        <w:rPr>
          <w:color w:val="231F20"/>
          <w:spacing w:val="-20"/>
          <w:w w:val="105"/>
        </w:rPr>
        <w:t> </w:t>
      </w:r>
      <w:r>
        <w:rPr>
          <w:color w:val="231F20"/>
          <w:spacing w:val="-3"/>
          <w:w w:val="105"/>
        </w:rPr>
        <w:t>vez</w:t>
      </w:r>
      <w:r>
        <w:rPr>
          <w:color w:val="231F20"/>
          <w:spacing w:val="-20"/>
          <w:w w:val="105"/>
        </w:rPr>
        <w:t> </w:t>
      </w:r>
      <w:r>
        <w:rPr>
          <w:color w:val="231F20"/>
          <w:w w:val="105"/>
        </w:rPr>
        <w:t>más</w:t>
      </w:r>
      <w:r>
        <w:rPr>
          <w:color w:val="231F20"/>
          <w:spacing w:val="-20"/>
          <w:w w:val="105"/>
        </w:rPr>
        <w:t> </w:t>
      </w:r>
      <w:r>
        <w:rPr>
          <w:color w:val="231F20"/>
          <w:w w:val="105"/>
        </w:rPr>
        <w:t>manifiesta</w:t>
      </w:r>
      <w:r>
        <w:rPr>
          <w:color w:val="231F20"/>
          <w:spacing w:val="-20"/>
          <w:w w:val="105"/>
        </w:rPr>
        <w:t> </w:t>
      </w:r>
      <w:r>
        <w:rPr>
          <w:color w:val="231F20"/>
          <w:spacing w:val="-3"/>
          <w:w w:val="105"/>
        </w:rPr>
        <w:t>que</w:t>
      </w:r>
      <w:r>
        <w:rPr>
          <w:color w:val="231F20"/>
          <w:spacing w:val="-20"/>
          <w:w w:val="105"/>
        </w:rPr>
        <w:t> </w:t>
      </w:r>
      <w:r>
        <w:rPr>
          <w:color w:val="231F20"/>
          <w:w w:val="105"/>
        </w:rPr>
        <w:t>el</w:t>
      </w:r>
      <w:r>
        <w:rPr>
          <w:color w:val="231F20"/>
          <w:spacing w:val="-20"/>
          <w:w w:val="105"/>
        </w:rPr>
        <w:t> </w:t>
      </w:r>
      <w:r>
        <w:rPr>
          <w:color w:val="231F20"/>
          <w:spacing w:val="-4"/>
          <w:w w:val="105"/>
        </w:rPr>
        <w:t>gobierno</w:t>
      </w:r>
      <w:r>
        <w:rPr>
          <w:color w:val="231F20"/>
          <w:spacing w:val="-20"/>
          <w:w w:val="105"/>
        </w:rPr>
        <w:t> </w:t>
      </w:r>
      <w:r>
        <w:rPr>
          <w:color w:val="231F20"/>
          <w:w w:val="105"/>
        </w:rPr>
        <w:t>está </w:t>
      </w:r>
      <w:r>
        <w:rPr>
          <w:color w:val="231F20"/>
          <w:spacing w:val="-3"/>
          <w:w w:val="105"/>
        </w:rPr>
        <w:t>por</w:t>
      </w:r>
      <w:r>
        <w:rPr>
          <w:color w:val="231F20"/>
          <w:spacing w:val="-21"/>
          <w:w w:val="105"/>
        </w:rPr>
        <w:t> </w:t>
      </w:r>
      <w:r>
        <w:rPr>
          <w:color w:val="231F20"/>
          <w:w w:val="105"/>
        </w:rPr>
        <w:t>encima</w:t>
      </w:r>
      <w:r>
        <w:rPr>
          <w:color w:val="231F20"/>
          <w:spacing w:val="-21"/>
          <w:w w:val="105"/>
        </w:rPr>
        <w:t> </w:t>
      </w:r>
      <w:r>
        <w:rPr>
          <w:color w:val="231F20"/>
          <w:spacing w:val="-3"/>
          <w:w w:val="105"/>
        </w:rPr>
        <w:t>del</w:t>
      </w:r>
      <w:r>
        <w:rPr>
          <w:color w:val="231F20"/>
          <w:spacing w:val="-21"/>
          <w:w w:val="105"/>
        </w:rPr>
        <w:t> </w:t>
      </w:r>
      <w:r>
        <w:rPr>
          <w:color w:val="231F20"/>
          <w:w w:val="105"/>
        </w:rPr>
        <w:t>partido.</w:t>
      </w:r>
      <w:r>
        <w:rPr>
          <w:color w:val="231F20"/>
          <w:spacing w:val="-21"/>
          <w:w w:val="105"/>
        </w:rPr>
        <w:t> </w:t>
      </w:r>
      <w:r>
        <w:rPr>
          <w:color w:val="231F20"/>
          <w:w w:val="105"/>
        </w:rPr>
        <w:t>El</w:t>
      </w:r>
      <w:r>
        <w:rPr>
          <w:color w:val="231F20"/>
          <w:spacing w:val="-21"/>
          <w:w w:val="105"/>
        </w:rPr>
        <w:t> </w:t>
      </w:r>
      <w:r>
        <w:rPr>
          <w:color w:val="231F20"/>
          <w:spacing w:val="-3"/>
          <w:w w:val="105"/>
        </w:rPr>
        <w:t>que</w:t>
      </w:r>
      <w:r>
        <w:rPr>
          <w:color w:val="231F20"/>
          <w:spacing w:val="-21"/>
          <w:w w:val="105"/>
        </w:rPr>
        <w:t> </w:t>
      </w:r>
      <w:r>
        <w:rPr>
          <w:color w:val="231F20"/>
          <w:spacing w:val="-3"/>
          <w:w w:val="105"/>
        </w:rPr>
        <w:t>maneja</w:t>
      </w:r>
      <w:r>
        <w:rPr>
          <w:color w:val="231F20"/>
          <w:spacing w:val="-21"/>
          <w:w w:val="105"/>
        </w:rPr>
        <w:t> </w:t>
      </w:r>
      <w:r>
        <w:rPr>
          <w:color w:val="231F20"/>
          <w:spacing w:val="-3"/>
          <w:w w:val="105"/>
        </w:rPr>
        <w:t>los</w:t>
      </w:r>
      <w:r>
        <w:rPr>
          <w:color w:val="231F20"/>
          <w:spacing w:val="-21"/>
          <w:w w:val="105"/>
        </w:rPr>
        <w:t> </w:t>
      </w:r>
      <w:r>
        <w:rPr>
          <w:color w:val="231F20"/>
          <w:w w:val="105"/>
        </w:rPr>
        <w:t>temas</w:t>
      </w:r>
      <w:r>
        <w:rPr>
          <w:color w:val="231F20"/>
          <w:spacing w:val="-21"/>
          <w:w w:val="105"/>
        </w:rPr>
        <w:t> </w:t>
      </w:r>
      <w:r>
        <w:rPr>
          <w:color w:val="231F20"/>
          <w:w w:val="105"/>
        </w:rPr>
        <w:t>y</w:t>
      </w:r>
      <w:r>
        <w:rPr>
          <w:color w:val="231F20"/>
          <w:spacing w:val="-21"/>
          <w:w w:val="105"/>
        </w:rPr>
        <w:t> </w:t>
      </w:r>
      <w:r>
        <w:rPr>
          <w:color w:val="231F20"/>
          <w:w w:val="105"/>
        </w:rPr>
        <w:t>políticas</w:t>
      </w:r>
      <w:r>
        <w:rPr>
          <w:color w:val="231F20"/>
          <w:spacing w:val="-21"/>
          <w:w w:val="105"/>
        </w:rPr>
        <w:t> </w:t>
      </w:r>
      <w:r>
        <w:rPr>
          <w:color w:val="231F20"/>
          <w:w w:val="105"/>
        </w:rPr>
        <w:t>es</w:t>
      </w:r>
      <w:r>
        <w:rPr>
          <w:color w:val="231F20"/>
          <w:spacing w:val="-21"/>
          <w:w w:val="105"/>
        </w:rPr>
        <w:t> </w:t>
      </w:r>
      <w:r>
        <w:rPr>
          <w:color w:val="231F20"/>
          <w:w w:val="105"/>
        </w:rPr>
        <w:t>el</w:t>
      </w:r>
      <w:r>
        <w:rPr>
          <w:color w:val="231F20"/>
          <w:spacing w:val="-21"/>
          <w:w w:val="105"/>
        </w:rPr>
        <w:t> </w:t>
      </w:r>
      <w:r>
        <w:rPr>
          <w:color w:val="231F20"/>
          <w:spacing w:val="-4"/>
          <w:w w:val="105"/>
        </w:rPr>
        <w:t>gobierno.</w:t>
      </w:r>
    </w:p>
    <w:p>
      <w:pPr>
        <w:pStyle w:val="BodyText"/>
        <w:spacing w:before="1"/>
        <w:rPr>
          <w:sz w:val="26"/>
        </w:rPr>
      </w:pPr>
    </w:p>
    <w:p>
      <w:pPr>
        <w:pStyle w:val="BodyText"/>
        <w:spacing w:line="285" w:lineRule="auto"/>
        <w:ind w:left="110" w:right="108"/>
        <w:jc w:val="both"/>
      </w:pPr>
      <w:r>
        <w:rPr>
          <w:color w:val="231F20"/>
          <w:w w:val="105"/>
        </w:rPr>
        <w:t>En este sentido descrito, la relación entre el partido y el gobierno denotan autonomía, más</w:t>
      </w:r>
      <w:r>
        <w:rPr>
          <w:color w:val="231F20"/>
          <w:spacing w:val="-9"/>
          <w:w w:val="105"/>
        </w:rPr>
        <w:t> </w:t>
      </w:r>
      <w:r>
        <w:rPr>
          <w:color w:val="231F20"/>
          <w:w w:val="105"/>
        </w:rPr>
        <w:t>del</w:t>
      </w:r>
      <w:r>
        <w:rPr>
          <w:color w:val="231F20"/>
          <w:spacing w:val="-9"/>
          <w:w w:val="105"/>
        </w:rPr>
        <w:t> </w:t>
      </w:r>
      <w:r>
        <w:rPr>
          <w:color w:val="231F20"/>
          <w:w w:val="105"/>
        </w:rPr>
        <w:t>último</w:t>
      </w:r>
      <w:r>
        <w:rPr>
          <w:color w:val="231F20"/>
          <w:spacing w:val="-9"/>
          <w:w w:val="105"/>
        </w:rPr>
        <w:t> </w:t>
      </w:r>
      <w:r>
        <w:rPr>
          <w:color w:val="231F20"/>
          <w:w w:val="105"/>
        </w:rPr>
        <w:t>con</w:t>
      </w:r>
      <w:r>
        <w:rPr>
          <w:color w:val="231F20"/>
          <w:spacing w:val="-9"/>
          <w:w w:val="105"/>
        </w:rPr>
        <w:t> </w:t>
      </w:r>
      <w:r>
        <w:rPr>
          <w:color w:val="231F20"/>
          <w:w w:val="105"/>
        </w:rPr>
        <w:t>respecto</w:t>
      </w:r>
      <w:r>
        <w:rPr>
          <w:color w:val="231F20"/>
          <w:spacing w:val="-9"/>
          <w:w w:val="105"/>
        </w:rPr>
        <w:t> </w:t>
      </w:r>
      <w:r>
        <w:rPr>
          <w:color w:val="231F20"/>
          <w:spacing w:val="2"/>
          <w:w w:val="105"/>
        </w:rPr>
        <w:t>al</w:t>
      </w:r>
      <w:r>
        <w:rPr>
          <w:color w:val="231F20"/>
          <w:spacing w:val="-9"/>
          <w:w w:val="105"/>
        </w:rPr>
        <w:t> </w:t>
      </w:r>
      <w:r>
        <w:rPr>
          <w:color w:val="231F20"/>
          <w:w w:val="105"/>
        </w:rPr>
        <w:t>primero.</w:t>
      </w:r>
      <w:r>
        <w:rPr>
          <w:color w:val="231F20"/>
          <w:spacing w:val="-9"/>
          <w:w w:val="105"/>
        </w:rPr>
        <w:t> </w:t>
      </w:r>
      <w:r>
        <w:rPr>
          <w:color w:val="231F20"/>
          <w:w w:val="105"/>
        </w:rPr>
        <w:t>Esto</w:t>
      </w:r>
      <w:r>
        <w:rPr>
          <w:color w:val="231F20"/>
          <w:spacing w:val="-9"/>
          <w:w w:val="105"/>
        </w:rPr>
        <w:t> </w:t>
      </w:r>
      <w:r>
        <w:rPr>
          <w:color w:val="231F20"/>
          <w:w w:val="105"/>
        </w:rPr>
        <w:t>es</w:t>
      </w:r>
      <w:r>
        <w:rPr>
          <w:color w:val="231F20"/>
          <w:spacing w:val="-9"/>
          <w:w w:val="105"/>
        </w:rPr>
        <w:t> </w:t>
      </w:r>
      <w:r>
        <w:rPr>
          <w:color w:val="231F20"/>
          <w:w w:val="105"/>
        </w:rPr>
        <w:t>así</w:t>
      </w:r>
      <w:r>
        <w:rPr>
          <w:color w:val="231F20"/>
          <w:spacing w:val="-9"/>
          <w:w w:val="105"/>
        </w:rPr>
        <w:t> </w:t>
      </w:r>
      <w:r>
        <w:rPr>
          <w:color w:val="231F20"/>
          <w:w w:val="105"/>
        </w:rPr>
        <w:t>porque</w:t>
      </w:r>
      <w:r>
        <w:rPr>
          <w:color w:val="231F20"/>
          <w:spacing w:val="-9"/>
          <w:w w:val="105"/>
        </w:rPr>
        <w:t> </w:t>
      </w:r>
      <w:r>
        <w:rPr>
          <w:color w:val="231F20"/>
          <w:w w:val="105"/>
        </w:rPr>
        <w:t>hay</w:t>
      </w:r>
      <w:r>
        <w:rPr>
          <w:color w:val="231F20"/>
          <w:spacing w:val="-9"/>
          <w:w w:val="105"/>
        </w:rPr>
        <w:t> </w:t>
      </w:r>
      <w:r>
        <w:rPr>
          <w:color w:val="231F20"/>
          <w:w w:val="105"/>
        </w:rPr>
        <w:t>otra</w:t>
      </w:r>
      <w:r>
        <w:rPr>
          <w:color w:val="231F20"/>
          <w:spacing w:val="-9"/>
          <w:w w:val="105"/>
        </w:rPr>
        <w:t> </w:t>
      </w:r>
      <w:r>
        <w:rPr>
          <w:color w:val="231F20"/>
          <w:w w:val="105"/>
        </w:rPr>
        <w:t>condición</w:t>
      </w:r>
      <w:r>
        <w:rPr>
          <w:color w:val="231F20"/>
          <w:spacing w:val="-9"/>
          <w:w w:val="105"/>
        </w:rPr>
        <w:t> </w:t>
      </w:r>
      <w:r>
        <w:rPr>
          <w:color w:val="231F20"/>
          <w:w w:val="105"/>
        </w:rPr>
        <w:t>que</w:t>
      </w:r>
      <w:r>
        <w:rPr>
          <w:color w:val="231F20"/>
          <w:spacing w:val="-9"/>
          <w:w w:val="105"/>
        </w:rPr>
        <w:t> </w:t>
      </w:r>
      <w:r>
        <w:rPr>
          <w:color w:val="231F20"/>
          <w:spacing w:val="-3"/>
          <w:w w:val="105"/>
        </w:rPr>
        <w:t>con- </w:t>
      </w:r>
      <w:r>
        <w:rPr>
          <w:color w:val="231F20"/>
          <w:w w:val="105"/>
        </w:rPr>
        <w:t>tribuye</w:t>
      </w:r>
      <w:r>
        <w:rPr>
          <w:color w:val="231F20"/>
          <w:spacing w:val="-18"/>
          <w:w w:val="105"/>
        </w:rPr>
        <w:t> </w:t>
      </w:r>
      <w:r>
        <w:rPr>
          <w:color w:val="231F20"/>
          <w:w w:val="105"/>
        </w:rPr>
        <w:t>a</w:t>
      </w:r>
      <w:r>
        <w:rPr>
          <w:color w:val="231F20"/>
          <w:spacing w:val="-18"/>
          <w:w w:val="105"/>
        </w:rPr>
        <w:t> </w:t>
      </w:r>
      <w:r>
        <w:rPr>
          <w:color w:val="231F20"/>
          <w:w w:val="105"/>
        </w:rPr>
        <w:t>que</w:t>
      </w:r>
      <w:r>
        <w:rPr>
          <w:color w:val="231F20"/>
          <w:spacing w:val="-18"/>
          <w:w w:val="105"/>
        </w:rPr>
        <w:t> </w:t>
      </w:r>
      <w:r>
        <w:rPr>
          <w:color w:val="231F20"/>
          <w:w w:val="105"/>
        </w:rPr>
        <w:t>así</w:t>
      </w:r>
      <w:r>
        <w:rPr>
          <w:color w:val="231F20"/>
          <w:spacing w:val="-18"/>
          <w:w w:val="105"/>
        </w:rPr>
        <w:t> </w:t>
      </w:r>
      <w:r>
        <w:rPr>
          <w:color w:val="231F20"/>
          <w:w w:val="105"/>
        </w:rPr>
        <w:t>sea,</w:t>
      </w:r>
      <w:r>
        <w:rPr>
          <w:color w:val="231F20"/>
          <w:spacing w:val="-18"/>
          <w:w w:val="105"/>
        </w:rPr>
        <w:t> </w:t>
      </w:r>
      <w:r>
        <w:rPr>
          <w:color w:val="231F20"/>
          <w:w w:val="105"/>
        </w:rPr>
        <w:t>esto</w:t>
      </w:r>
      <w:r>
        <w:rPr>
          <w:color w:val="231F20"/>
          <w:spacing w:val="-18"/>
          <w:w w:val="105"/>
        </w:rPr>
        <w:t> </w:t>
      </w:r>
      <w:r>
        <w:rPr>
          <w:color w:val="231F20"/>
          <w:w w:val="105"/>
        </w:rPr>
        <w:t>es,</w:t>
      </w:r>
      <w:r>
        <w:rPr>
          <w:color w:val="231F20"/>
          <w:spacing w:val="-18"/>
          <w:w w:val="105"/>
        </w:rPr>
        <w:t> </w:t>
      </w:r>
      <w:r>
        <w:rPr>
          <w:color w:val="231F20"/>
          <w:w w:val="105"/>
        </w:rPr>
        <w:t>fiel</w:t>
      </w:r>
      <w:r>
        <w:rPr>
          <w:color w:val="231F20"/>
          <w:spacing w:val="-18"/>
          <w:w w:val="105"/>
        </w:rPr>
        <w:t> </w:t>
      </w:r>
      <w:r>
        <w:rPr>
          <w:color w:val="231F20"/>
          <w:spacing w:val="2"/>
          <w:w w:val="105"/>
        </w:rPr>
        <w:t>al</w:t>
      </w:r>
      <w:r>
        <w:rPr>
          <w:color w:val="231F20"/>
          <w:spacing w:val="-18"/>
          <w:w w:val="105"/>
        </w:rPr>
        <w:t> </w:t>
      </w:r>
      <w:r>
        <w:rPr>
          <w:color w:val="231F20"/>
          <w:w w:val="105"/>
        </w:rPr>
        <w:t>modelo</w:t>
      </w:r>
      <w:r>
        <w:rPr>
          <w:color w:val="231F20"/>
          <w:spacing w:val="-18"/>
          <w:w w:val="105"/>
        </w:rPr>
        <w:t> </w:t>
      </w:r>
      <w:r>
        <w:rPr>
          <w:color w:val="231F20"/>
          <w:w w:val="105"/>
        </w:rPr>
        <w:t>originario</w:t>
      </w:r>
      <w:r>
        <w:rPr>
          <w:color w:val="231F20"/>
          <w:spacing w:val="-18"/>
          <w:w w:val="105"/>
        </w:rPr>
        <w:t> </w:t>
      </w:r>
      <w:r>
        <w:rPr>
          <w:color w:val="231F20"/>
          <w:w w:val="105"/>
        </w:rPr>
        <w:t>del</w:t>
      </w:r>
      <w:r>
        <w:rPr>
          <w:color w:val="231F20"/>
          <w:spacing w:val="-18"/>
          <w:w w:val="105"/>
        </w:rPr>
        <w:t> </w:t>
      </w:r>
      <w:r>
        <w:rPr>
          <w:color w:val="231F20"/>
          <w:w w:val="105"/>
        </w:rPr>
        <w:t>partido</w:t>
      </w:r>
      <w:r>
        <w:rPr>
          <w:color w:val="231F20"/>
          <w:spacing w:val="-18"/>
          <w:w w:val="105"/>
        </w:rPr>
        <w:t> </w:t>
      </w:r>
      <w:r>
        <w:rPr>
          <w:color w:val="231F20"/>
          <w:w w:val="105"/>
        </w:rPr>
        <w:t>(Panebianco,</w:t>
      </w:r>
      <w:r>
        <w:rPr>
          <w:color w:val="231F20"/>
          <w:spacing w:val="-18"/>
          <w:w w:val="105"/>
        </w:rPr>
        <w:t> </w:t>
      </w:r>
      <w:r>
        <w:rPr>
          <w:color w:val="231F20"/>
          <w:w w:val="105"/>
        </w:rPr>
        <w:t>1990),</w:t>
      </w:r>
      <w:r>
        <w:rPr>
          <w:color w:val="231F20"/>
          <w:spacing w:val="-18"/>
          <w:w w:val="105"/>
        </w:rPr>
        <w:t> </w:t>
      </w:r>
      <w:r>
        <w:rPr>
          <w:color w:val="231F20"/>
          <w:w w:val="105"/>
        </w:rPr>
        <w:t>el personalismo</w:t>
      </w:r>
      <w:r>
        <w:rPr>
          <w:color w:val="231F20"/>
          <w:spacing w:val="-18"/>
          <w:w w:val="105"/>
        </w:rPr>
        <w:t> </w:t>
      </w:r>
      <w:r>
        <w:rPr>
          <w:color w:val="231F20"/>
          <w:w w:val="105"/>
        </w:rPr>
        <w:t>del</w:t>
      </w:r>
      <w:r>
        <w:rPr>
          <w:color w:val="231F20"/>
          <w:spacing w:val="-18"/>
          <w:w w:val="105"/>
        </w:rPr>
        <w:t> </w:t>
      </w:r>
      <w:r>
        <w:rPr>
          <w:color w:val="231F20"/>
          <w:w w:val="105"/>
        </w:rPr>
        <w:t>liderazgo</w:t>
      </w:r>
      <w:r>
        <w:rPr>
          <w:color w:val="231F20"/>
          <w:spacing w:val="-18"/>
          <w:w w:val="105"/>
        </w:rPr>
        <w:t> </w:t>
      </w:r>
      <w:r>
        <w:rPr>
          <w:color w:val="231F20"/>
          <w:w w:val="105"/>
        </w:rPr>
        <w:t>del</w:t>
      </w:r>
      <w:r>
        <w:rPr>
          <w:color w:val="231F20"/>
          <w:spacing w:val="-18"/>
          <w:w w:val="105"/>
        </w:rPr>
        <w:t> </w:t>
      </w:r>
      <w:r>
        <w:rPr>
          <w:color w:val="231F20"/>
          <w:w w:val="105"/>
        </w:rPr>
        <w:t>presidente</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impone</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partido,</w:t>
      </w:r>
      <w:r>
        <w:rPr>
          <w:color w:val="231F20"/>
          <w:spacing w:val="-18"/>
          <w:w w:val="105"/>
        </w:rPr>
        <w:t> </w:t>
      </w:r>
      <w:r>
        <w:rPr>
          <w:color w:val="231F20"/>
          <w:w w:val="105"/>
        </w:rPr>
        <w:t>es</w:t>
      </w:r>
      <w:r>
        <w:rPr>
          <w:color w:val="231F20"/>
          <w:spacing w:val="-18"/>
          <w:w w:val="105"/>
        </w:rPr>
        <w:t> </w:t>
      </w:r>
      <w:r>
        <w:rPr>
          <w:color w:val="231F20"/>
          <w:w w:val="105"/>
        </w:rPr>
        <w:t>más</w:t>
      </w:r>
      <w:r>
        <w:rPr>
          <w:color w:val="231F20"/>
          <w:spacing w:val="-18"/>
          <w:w w:val="105"/>
        </w:rPr>
        <w:t> </w:t>
      </w:r>
      <w:r>
        <w:rPr>
          <w:color w:val="231F20"/>
          <w:spacing w:val="2"/>
          <w:w w:val="105"/>
        </w:rPr>
        <w:t>allá</w:t>
      </w:r>
      <w:r>
        <w:rPr>
          <w:color w:val="231F20"/>
          <w:spacing w:val="-18"/>
          <w:w w:val="105"/>
        </w:rPr>
        <w:t> </w:t>
      </w:r>
      <w:r>
        <w:rPr>
          <w:color w:val="231F20"/>
          <w:w w:val="105"/>
        </w:rPr>
        <w:t>de</w:t>
      </w:r>
      <w:r>
        <w:rPr>
          <w:color w:val="231F20"/>
          <w:spacing w:val="-18"/>
          <w:w w:val="105"/>
        </w:rPr>
        <w:t> </w:t>
      </w:r>
      <w:r>
        <w:rPr>
          <w:color w:val="231F20"/>
          <w:w w:val="105"/>
        </w:rPr>
        <w:t>las entrañas</w:t>
      </w:r>
      <w:r>
        <w:rPr>
          <w:color w:val="231F20"/>
          <w:spacing w:val="-13"/>
          <w:w w:val="105"/>
        </w:rPr>
        <w:t> </w:t>
      </w:r>
      <w:r>
        <w:rPr>
          <w:color w:val="231F20"/>
          <w:w w:val="105"/>
        </w:rPr>
        <w:t>y</w:t>
      </w:r>
      <w:r>
        <w:rPr>
          <w:color w:val="231F20"/>
          <w:spacing w:val="-13"/>
          <w:w w:val="105"/>
        </w:rPr>
        <w:t> </w:t>
      </w:r>
      <w:r>
        <w:rPr>
          <w:color w:val="231F20"/>
          <w:w w:val="105"/>
        </w:rPr>
        <w:t>decisiones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w w:val="105"/>
        </w:rPr>
        <w:t>Habría</w:t>
      </w:r>
      <w:r>
        <w:rPr>
          <w:color w:val="231F20"/>
          <w:spacing w:val="-14"/>
          <w:w w:val="105"/>
        </w:rPr>
        <w:t> </w:t>
      </w:r>
      <w:r>
        <w:rPr>
          <w:color w:val="231F20"/>
          <w:w w:val="105"/>
        </w:rPr>
        <w:t>que</w:t>
      </w:r>
      <w:r>
        <w:rPr>
          <w:color w:val="231F20"/>
          <w:spacing w:val="-14"/>
          <w:w w:val="105"/>
        </w:rPr>
        <w:t> </w:t>
      </w:r>
      <w:r>
        <w:rPr>
          <w:color w:val="231F20"/>
          <w:w w:val="105"/>
        </w:rPr>
        <w:t>precisar,</w:t>
      </w:r>
      <w:r>
        <w:rPr>
          <w:color w:val="231F20"/>
          <w:spacing w:val="-14"/>
          <w:w w:val="105"/>
        </w:rPr>
        <w:t> </w:t>
      </w:r>
      <w:r>
        <w:rPr>
          <w:color w:val="231F20"/>
          <w:w w:val="105"/>
        </w:rPr>
        <w:t>entonces,</w:t>
      </w:r>
      <w:r>
        <w:rPr>
          <w:color w:val="231F20"/>
          <w:spacing w:val="-14"/>
          <w:w w:val="105"/>
        </w:rPr>
        <w:t> </w:t>
      </w:r>
      <w:r>
        <w:rPr>
          <w:color w:val="231F20"/>
          <w:w w:val="105"/>
        </w:rPr>
        <w:t>los</w:t>
      </w:r>
      <w:r>
        <w:rPr>
          <w:color w:val="231F20"/>
          <w:spacing w:val="-14"/>
          <w:w w:val="105"/>
        </w:rPr>
        <w:t> </w:t>
      </w:r>
      <w:r>
        <w:rPr>
          <w:color w:val="231F20"/>
          <w:w w:val="105"/>
        </w:rPr>
        <w:t>siguientes</w:t>
      </w:r>
      <w:r>
        <w:rPr>
          <w:color w:val="231F20"/>
          <w:spacing w:val="-14"/>
          <w:w w:val="105"/>
        </w:rPr>
        <w:t> </w:t>
      </w:r>
      <w:r>
        <w:rPr>
          <w:color w:val="231F20"/>
          <w:w w:val="105"/>
        </w:rPr>
        <w:t>rasgos</w:t>
      </w:r>
      <w:r>
        <w:rPr>
          <w:color w:val="231F20"/>
          <w:spacing w:val="-14"/>
          <w:w w:val="105"/>
        </w:rPr>
        <w:t> </w:t>
      </w:r>
      <w:r>
        <w:rPr>
          <w:color w:val="231F20"/>
          <w:w w:val="105"/>
        </w:rPr>
        <w:t>característicos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relación</w:t>
      </w:r>
      <w:r>
        <w:rPr>
          <w:color w:val="231F20"/>
          <w:spacing w:val="-14"/>
          <w:w w:val="105"/>
        </w:rPr>
        <w:t> </w:t>
      </w:r>
      <w:r>
        <w:rPr>
          <w:color w:val="231F20"/>
          <w:w w:val="105"/>
        </w:rPr>
        <w:t>de</w:t>
      </w:r>
      <w:r>
        <w:rPr>
          <w:color w:val="231F20"/>
          <w:spacing w:val="-14"/>
          <w:w w:val="105"/>
        </w:rPr>
        <w:t> </w:t>
      </w:r>
      <w:r>
        <w:rPr>
          <w:color w:val="231F20"/>
          <w:w w:val="105"/>
        </w:rPr>
        <w:t>go- bierno y</w:t>
      </w:r>
      <w:r>
        <w:rPr>
          <w:color w:val="231F20"/>
          <w:spacing w:val="-29"/>
          <w:w w:val="105"/>
        </w:rPr>
        <w:t> </w:t>
      </w:r>
      <w:r>
        <w:rPr>
          <w:color w:val="231F20"/>
          <w:w w:val="105"/>
        </w:rPr>
        <w:t>partido:</w:t>
      </w:r>
    </w:p>
    <w:p>
      <w:pPr>
        <w:pStyle w:val="BodyText"/>
        <w:spacing w:line="285" w:lineRule="auto" w:before="1"/>
        <w:ind w:left="677" w:right="107"/>
        <w:jc w:val="both"/>
      </w:pPr>
      <w:r>
        <w:rPr>
          <w:color w:val="231F20"/>
          <w:w w:val="105"/>
        </w:rPr>
        <w:t>El</w:t>
      </w:r>
      <w:r>
        <w:rPr>
          <w:color w:val="231F20"/>
          <w:spacing w:val="-16"/>
          <w:w w:val="105"/>
        </w:rPr>
        <w:t> </w:t>
      </w:r>
      <w:r>
        <w:rPr>
          <w:color w:val="231F20"/>
          <w:w w:val="105"/>
        </w:rPr>
        <w:t>gobierno</w:t>
      </w:r>
      <w:r>
        <w:rPr>
          <w:color w:val="231F20"/>
          <w:spacing w:val="-16"/>
          <w:w w:val="105"/>
        </w:rPr>
        <w:t> </w:t>
      </w:r>
      <w:r>
        <w:rPr>
          <w:color w:val="231F20"/>
          <w:w w:val="105"/>
        </w:rPr>
        <w:t>es</w:t>
      </w:r>
      <w:r>
        <w:rPr>
          <w:color w:val="231F20"/>
          <w:spacing w:val="-16"/>
          <w:w w:val="105"/>
        </w:rPr>
        <w:t> </w:t>
      </w:r>
      <w:r>
        <w:rPr>
          <w:color w:val="231F20"/>
          <w:w w:val="105"/>
        </w:rPr>
        <w:t>quien</w:t>
      </w:r>
      <w:r>
        <w:rPr>
          <w:color w:val="231F20"/>
          <w:spacing w:val="-16"/>
          <w:w w:val="105"/>
        </w:rPr>
        <w:t> </w:t>
      </w:r>
      <w:r>
        <w:rPr>
          <w:color w:val="231F20"/>
          <w:w w:val="105"/>
        </w:rPr>
        <w:t>identifica</w:t>
      </w:r>
      <w:r>
        <w:rPr>
          <w:color w:val="231F20"/>
          <w:spacing w:val="-16"/>
          <w:w w:val="105"/>
        </w:rPr>
        <w:t> </w:t>
      </w:r>
      <w:r>
        <w:rPr>
          <w:color w:val="231F20"/>
          <w:w w:val="105"/>
        </w:rPr>
        <w:t>los</w:t>
      </w:r>
      <w:r>
        <w:rPr>
          <w:color w:val="231F20"/>
          <w:spacing w:val="-16"/>
          <w:w w:val="105"/>
        </w:rPr>
        <w:t> </w:t>
      </w:r>
      <w:r>
        <w:rPr>
          <w:color w:val="231F20"/>
          <w:w w:val="105"/>
        </w:rPr>
        <w:t>problemas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agenda</w:t>
      </w:r>
      <w:r>
        <w:rPr>
          <w:color w:val="231F20"/>
          <w:spacing w:val="-16"/>
          <w:w w:val="105"/>
        </w:rPr>
        <w:t> </w:t>
      </w:r>
      <w:r>
        <w:rPr>
          <w:color w:val="231F20"/>
          <w:w w:val="105"/>
        </w:rPr>
        <w:t>pública</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manipula para jerarquizarlos, en esto no encontró resistencia del partido ni propuestas de problemas</w:t>
      </w:r>
      <w:r>
        <w:rPr>
          <w:color w:val="231F20"/>
          <w:spacing w:val="-15"/>
          <w:w w:val="105"/>
        </w:rPr>
        <w:t> </w:t>
      </w:r>
      <w:r>
        <w:rPr>
          <w:color w:val="231F20"/>
          <w:w w:val="105"/>
        </w:rPr>
        <w:t>surgidas</w:t>
      </w:r>
      <w:r>
        <w:rPr>
          <w:color w:val="231F20"/>
          <w:spacing w:val="-15"/>
          <w:w w:val="105"/>
        </w:rPr>
        <w:t> </w:t>
      </w:r>
      <w:r>
        <w:rPr>
          <w:color w:val="231F20"/>
          <w:w w:val="105"/>
        </w:rPr>
        <w:t>por</w:t>
      </w:r>
      <w:r>
        <w:rPr>
          <w:color w:val="231F20"/>
          <w:spacing w:val="-15"/>
          <w:w w:val="105"/>
        </w:rPr>
        <w:t> </w:t>
      </w:r>
      <w:r>
        <w:rPr>
          <w:color w:val="231F20"/>
          <w:w w:val="105"/>
        </w:rPr>
        <w:t>éste</w:t>
      </w:r>
      <w:r>
        <w:rPr>
          <w:color w:val="231F20"/>
          <w:spacing w:val="-15"/>
          <w:w w:val="105"/>
        </w:rPr>
        <w:t> </w:t>
      </w:r>
      <w:r>
        <w:rPr>
          <w:color w:val="231F20"/>
          <w:w w:val="105"/>
        </w:rPr>
        <w:t>diferentes</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que</w:t>
      </w:r>
      <w:r>
        <w:rPr>
          <w:color w:val="231F20"/>
          <w:spacing w:val="-15"/>
          <w:w w:val="105"/>
        </w:rPr>
        <w:t> </w:t>
      </w:r>
      <w:r>
        <w:rPr>
          <w:color w:val="231F20"/>
          <w:w w:val="105"/>
        </w:rPr>
        <w:t>él</w:t>
      </w:r>
      <w:r>
        <w:rPr>
          <w:color w:val="231F20"/>
          <w:spacing w:val="-15"/>
          <w:w w:val="105"/>
        </w:rPr>
        <w:t> </w:t>
      </w:r>
      <w:r>
        <w:rPr>
          <w:color w:val="231F20"/>
          <w:w w:val="105"/>
        </w:rPr>
        <w:t>ubicó.</w:t>
      </w:r>
    </w:p>
    <w:p>
      <w:pPr>
        <w:pStyle w:val="BodyText"/>
        <w:spacing w:line="285" w:lineRule="auto" w:before="1"/>
        <w:ind w:left="677" w:right="107"/>
        <w:jc w:val="both"/>
      </w:pPr>
      <w:r>
        <w:rPr>
          <w:color w:val="231F20"/>
          <w:w w:val="105"/>
        </w:rPr>
        <w:t>La formulación de acciones o, en un sentido muy amplio, de políticas, se hacen en</w:t>
      </w:r>
      <w:r>
        <w:rPr>
          <w:color w:val="231F20"/>
          <w:spacing w:val="-13"/>
          <w:w w:val="105"/>
        </w:rPr>
        <w:t> </w:t>
      </w:r>
      <w:r>
        <w:rPr>
          <w:color w:val="231F20"/>
          <w:w w:val="105"/>
        </w:rPr>
        <w:t>el</w:t>
      </w:r>
      <w:r>
        <w:rPr>
          <w:color w:val="231F20"/>
          <w:spacing w:val="-13"/>
          <w:w w:val="105"/>
        </w:rPr>
        <w:t> </w:t>
      </w:r>
      <w:r>
        <w:rPr>
          <w:color w:val="231F20"/>
          <w:w w:val="105"/>
        </w:rPr>
        <w:t>seno</w:t>
      </w:r>
      <w:r>
        <w:rPr>
          <w:color w:val="231F20"/>
          <w:spacing w:val="-13"/>
          <w:w w:val="105"/>
        </w:rPr>
        <w:t> </w:t>
      </w:r>
      <w:r>
        <w:rPr>
          <w:color w:val="231F20"/>
          <w:w w:val="105"/>
        </w:rPr>
        <w:t>del</w:t>
      </w:r>
      <w:r>
        <w:rPr>
          <w:color w:val="231F20"/>
          <w:spacing w:val="-13"/>
          <w:w w:val="105"/>
        </w:rPr>
        <w:t> </w:t>
      </w:r>
      <w:r>
        <w:rPr>
          <w:color w:val="231F20"/>
          <w:w w:val="105"/>
        </w:rPr>
        <w:t>ejecutivo</w:t>
      </w:r>
      <w:r>
        <w:rPr>
          <w:color w:val="231F20"/>
          <w:spacing w:val="-13"/>
          <w:w w:val="105"/>
        </w:rPr>
        <w:t> </w:t>
      </w:r>
      <w:r>
        <w:rPr>
          <w:color w:val="231F20"/>
          <w:w w:val="105"/>
        </w:rPr>
        <w:t>municipal,</w:t>
      </w:r>
      <w:r>
        <w:rPr>
          <w:color w:val="231F20"/>
          <w:spacing w:val="-13"/>
          <w:w w:val="105"/>
        </w:rPr>
        <w:t> </w:t>
      </w:r>
      <w:r>
        <w:rPr>
          <w:color w:val="231F20"/>
          <w:w w:val="105"/>
        </w:rPr>
        <w:t>el</w:t>
      </w:r>
      <w:r>
        <w:rPr>
          <w:color w:val="231F20"/>
          <w:spacing w:val="-13"/>
          <w:w w:val="105"/>
        </w:rPr>
        <w:t> </w:t>
      </w:r>
      <w:r>
        <w:rPr>
          <w:color w:val="231F20"/>
          <w:w w:val="105"/>
        </w:rPr>
        <w:t>cabildo</w:t>
      </w:r>
      <w:r>
        <w:rPr>
          <w:color w:val="231F20"/>
          <w:spacing w:val="-13"/>
          <w:w w:val="105"/>
        </w:rPr>
        <w:t> </w:t>
      </w:r>
      <w:r>
        <w:rPr>
          <w:color w:val="231F20"/>
          <w:w w:val="105"/>
        </w:rPr>
        <w:t>no</w:t>
      </w:r>
      <w:r>
        <w:rPr>
          <w:color w:val="231F20"/>
          <w:spacing w:val="-13"/>
          <w:w w:val="105"/>
        </w:rPr>
        <w:t> </w:t>
      </w:r>
      <w:r>
        <w:rPr>
          <w:color w:val="231F20"/>
          <w:w w:val="105"/>
        </w:rPr>
        <w:t>tiene</w:t>
      </w:r>
      <w:r>
        <w:rPr>
          <w:color w:val="231F20"/>
          <w:spacing w:val="-13"/>
          <w:w w:val="105"/>
        </w:rPr>
        <w:t> </w:t>
      </w:r>
      <w:r>
        <w:rPr>
          <w:color w:val="231F20"/>
          <w:w w:val="105"/>
        </w:rPr>
        <w:t>un</w:t>
      </w:r>
      <w:r>
        <w:rPr>
          <w:color w:val="231F20"/>
          <w:spacing w:val="-13"/>
          <w:w w:val="105"/>
        </w:rPr>
        <w:t> </w:t>
      </w:r>
      <w:r>
        <w:rPr>
          <w:color w:val="231F20"/>
          <w:w w:val="105"/>
        </w:rPr>
        <w:t>papel</w:t>
      </w:r>
      <w:r>
        <w:rPr>
          <w:color w:val="231F20"/>
          <w:spacing w:val="-13"/>
          <w:w w:val="105"/>
        </w:rPr>
        <w:t> </w:t>
      </w:r>
      <w:r>
        <w:rPr>
          <w:color w:val="231F20"/>
          <w:w w:val="105"/>
        </w:rPr>
        <w:t>significativo</w:t>
      </w:r>
      <w:r>
        <w:rPr>
          <w:color w:val="231F20"/>
          <w:spacing w:val="-13"/>
          <w:w w:val="105"/>
        </w:rPr>
        <w:t> </w:t>
      </w:r>
      <w:r>
        <w:rPr>
          <w:color w:val="231F20"/>
          <w:w w:val="105"/>
        </w:rPr>
        <w:t>en</w:t>
      </w:r>
      <w:r>
        <w:rPr>
          <w:color w:val="231F20"/>
          <w:spacing w:val="-13"/>
          <w:w w:val="105"/>
        </w:rPr>
        <w:t> </w:t>
      </w:r>
      <w:r>
        <w:rPr>
          <w:color w:val="231F20"/>
          <w:w w:val="105"/>
        </w:rPr>
        <w:t>la formulación</w:t>
      </w:r>
      <w:r>
        <w:rPr>
          <w:color w:val="231F20"/>
          <w:spacing w:val="-7"/>
          <w:w w:val="105"/>
        </w:rPr>
        <w:t> </w:t>
      </w:r>
      <w:r>
        <w:rPr>
          <w:color w:val="231F20"/>
          <w:w w:val="105"/>
        </w:rPr>
        <w:t>de</w:t>
      </w:r>
      <w:r>
        <w:rPr>
          <w:color w:val="231F20"/>
          <w:spacing w:val="-7"/>
          <w:w w:val="105"/>
        </w:rPr>
        <w:t> </w:t>
      </w:r>
      <w:r>
        <w:rPr>
          <w:color w:val="231F20"/>
          <w:w w:val="105"/>
        </w:rPr>
        <w:t>acciones,</w:t>
      </w:r>
      <w:r>
        <w:rPr>
          <w:color w:val="231F20"/>
          <w:spacing w:val="-7"/>
          <w:w w:val="105"/>
        </w:rPr>
        <w:t> </w:t>
      </w:r>
      <w:r>
        <w:rPr>
          <w:color w:val="231F20"/>
          <w:w w:val="105"/>
        </w:rPr>
        <w:t>sólo</w:t>
      </w:r>
      <w:r>
        <w:rPr>
          <w:color w:val="231F20"/>
          <w:spacing w:val="-7"/>
          <w:w w:val="105"/>
        </w:rPr>
        <w:t> </w:t>
      </w:r>
      <w:r>
        <w:rPr>
          <w:color w:val="231F20"/>
          <w:w w:val="105"/>
        </w:rPr>
        <w:t>decide</w:t>
      </w:r>
      <w:r>
        <w:rPr>
          <w:color w:val="231F20"/>
          <w:spacing w:val="-7"/>
          <w:w w:val="105"/>
        </w:rPr>
        <w:t> </w:t>
      </w:r>
      <w:r>
        <w:rPr>
          <w:color w:val="231F20"/>
          <w:w w:val="105"/>
        </w:rPr>
        <w:t>si</w:t>
      </w:r>
      <w:r>
        <w:rPr>
          <w:color w:val="231F20"/>
          <w:spacing w:val="-7"/>
          <w:w w:val="105"/>
        </w:rPr>
        <w:t> </w:t>
      </w:r>
      <w:r>
        <w:rPr>
          <w:color w:val="231F20"/>
          <w:w w:val="105"/>
        </w:rPr>
        <w:t>aprueba</w:t>
      </w:r>
      <w:r>
        <w:rPr>
          <w:color w:val="231F20"/>
          <w:spacing w:val="-7"/>
          <w:w w:val="105"/>
        </w:rPr>
        <w:t> </w:t>
      </w:r>
      <w:r>
        <w:rPr>
          <w:color w:val="231F20"/>
          <w:w w:val="105"/>
        </w:rPr>
        <w:t>o</w:t>
      </w:r>
      <w:r>
        <w:rPr>
          <w:color w:val="231F20"/>
          <w:spacing w:val="-7"/>
          <w:w w:val="105"/>
        </w:rPr>
        <w:t> </w:t>
      </w:r>
      <w:r>
        <w:rPr>
          <w:color w:val="231F20"/>
          <w:w w:val="105"/>
        </w:rPr>
        <w:t>no</w:t>
      </w:r>
      <w:r>
        <w:rPr>
          <w:color w:val="231F20"/>
          <w:spacing w:val="-7"/>
          <w:w w:val="105"/>
        </w:rPr>
        <w:t> </w:t>
      </w:r>
      <w:r>
        <w:rPr>
          <w:color w:val="231F20"/>
          <w:w w:val="105"/>
        </w:rPr>
        <w:t>aprueba</w:t>
      </w:r>
      <w:r>
        <w:rPr>
          <w:color w:val="231F20"/>
          <w:spacing w:val="-7"/>
          <w:w w:val="105"/>
        </w:rPr>
        <w:t> </w:t>
      </w:r>
      <w:r>
        <w:rPr>
          <w:color w:val="231F20"/>
          <w:w w:val="105"/>
        </w:rPr>
        <w:t>las</w:t>
      </w:r>
      <w:r>
        <w:rPr>
          <w:color w:val="231F20"/>
          <w:spacing w:val="-7"/>
          <w:w w:val="105"/>
        </w:rPr>
        <w:t> </w:t>
      </w:r>
      <w:r>
        <w:rPr>
          <w:color w:val="231F20"/>
          <w:w w:val="105"/>
        </w:rPr>
        <w:t>propuestas</w:t>
      </w:r>
      <w:r>
        <w:rPr>
          <w:color w:val="231F20"/>
          <w:spacing w:val="-7"/>
          <w:w w:val="105"/>
        </w:rPr>
        <w:t> </w:t>
      </w:r>
      <w:r>
        <w:rPr>
          <w:color w:val="231F20"/>
          <w:w w:val="105"/>
        </w:rPr>
        <w:t>que le</w:t>
      </w:r>
      <w:r>
        <w:rPr>
          <w:color w:val="231F20"/>
          <w:spacing w:val="-15"/>
          <w:w w:val="105"/>
        </w:rPr>
        <w:t> </w:t>
      </w:r>
      <w:r>
        <w:rPr>
          <w:color w:val="231F20"/>
          <w:w w:val="105"/>
        </w:rPr>
        <w:t>presenta</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p>
    <w:p>
      <w:pPr>
        <w:pStyle w:val="BodyText"/>
        <w:spacing w:line="285" w:lineRule="auto" w:before="1"/>
        <w:ind w:left="677" w:right="108"/>
        <w:jc w:val="both"/>
      </w:pPr>
      <w:r>
        <w:rPr>
          <w:color w:val="231F20"/>
          <w:w w:val="105"/>
        </w:rPr>
        <w:t>La</w:t>
      </w:r>
      <w:r>
        <w:rPr>
          <w:color w:val="231F20"/>
          <w:spacing w:val="-7"/>
          <w:w w:val="105"/>
        </w:rPr>
        <w:t> </w:t>
      </w:r>
      <w:r>
        <w:rPr>
          <w:color w:val="231F20"/>
          <w:w w:val="105"/>
        </w:rPr>
        <w:t>ejecución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acciones</w:t>
      </w:r>
      <w:r>
        <w:rPr>
          <w:color w:val="231F20"/>
          <w:spacing w:val="-7"/>
          <w:w w:val="105"/>
        </w:rPr>
        <w:t> </w:t>
      </w:r>
      <w:r>
        <w:rPr>
          <w:color w:val="231F20"/>
          <w:w w:val="105"/>
        </w:rPr>
        <w:t>corresponden</w:t>
      </w:r>
      <w:r>
        <w:rPr>
          <w:color w:val="231F20"/>
          <w:spacing w:val="-7"/>
          <w:w w:val="105"/>
        </w:rPr>
        <w:t> </w:t>
      </w:r>
      <w:r>
        <w:rPr>
          <w:color w:val="231F20"/>
          <w:spacing w:val="2"/>
          <w:w w:val="105"/>
        </w:rPr>
        <w:t>al</w:t>
      </w:r>
      <w:r>
        <w:rPr>
          <w:color w:val="231F20"/>
          <w:spacing w:val="-7"/>
          <w:w w:val="105"/>
        </w:rPr>
        <w:t> </w:t>
      </w:r>
      <w:r>
        <w:rPr>
          <w:color w:val="231F20"/>
          <w:w w:val="105"/>
        </w:rPr>
        <w:t>presidente</w:t>
      </w:r>
      <w:r>
        <w:rPr>
          <w:color w:val="231F20"/>
          <w:spacing w:val="-7"/>
          <w:w w:val="105"/>
        </w:rPr>
        <w:t> </w:t>
      </w:r>
      <w:r>
        <w:rPr>
          <w:color w:val="231F20"/>
          <w:w w:val="105"/>
        </w:rPr>
        <w:t>municipal,</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lo</w:t>
      </w:r>
      <w:r>
        <w:rPr>
          <w:color w:val="231F20"/>
          <w:spacing w:val="-7"/>
          <w:w w:val="105"/>
        </w:rPr>
        <w:t> </w:t>
      </w:r>
      <w:r>
        <w:rPr>
          <w:color w:val="231F20"/>
          <w:w w:val="105"/>
        </w:rPr>
        <w:t>co- loca como un ente con alto grado de centralización de decisiones y de recursos, condición</w:t>
      </w:r>
      <w:r>
        <w:rPr>
          <w:color w:val="231F20"/>
          <w:spacing w:val="16"/>
          <w:w w:val="105"/>
        </w:rPr>
        <w:t> </w:t>
      </w:r>
      <w:r>
        <w:rPr>
          <w:color w:val="231F20"/>
          <w:w w:val="105"/>
        </w:rPr>
        <w:t>que</w:t>
      </w:r>
      <w:r>
        <w:rPr>
          <w:color w:val="231F20"/>
          <w:spacing w:val="16"/>
          <w:w w:val="105"/>
        </w:rPr>
        <w:t> </w:t>
      </w:r>
      <w:r>
        <w:rPr>
          <w:color w:val="231F20"/>
          <w:w w:val="105"/>
        </w:rPr>
        <w:t>hace</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partido</w:t>
      </w:r>
      <w:r>
        <w:rPr>
          <w:color w:val="231F20"/>
          <w:spacing w:val="16"/>
          <w:w w:val="105"/>
        </w:rPr>
        <w:t> </w:t>
      </w:r>
      <w:r>
        <w:rPr>
          <w:color w:val="231F20"/>
          <w:w w:val="105"/>
        </w:rPr>
        <w:t>esté</w:t>
      </w:r>
      <w:r>
        <w:rPr>
          <w:color w:val="231F20"/>
          <w:spacing w:val="16"/>
          <w:w w:val="105"/>
        </w:rPr>
        <w:t> </w:t>
      </w:r>
      <w:r>
        <w:rPr>
          <w:color w:val="231F20"/>
          <w:w w:val="105"/>
        </w:rPr>
        <w:t>subordinado</w:t>
      </w:r>
      <w:r>
        <w:rPr>
          <w:color w:val="231F20"/>
          <w:spacing w:val="16"/>
          <w:w w:val="105"/>
        </w:rPr>
        <w:t> </w:t>
      </w:r>
      <w:r>
        <w:rPr>
          <w:color w:val="231F20"/>
          <w:spacing w:val="2"/>
          <w:w w:val="105"/>
        </w:rPr>
        <w:t>al</w:t>
      </w:r>
      <w:r>
        <w:rPr>
          <w:color w:val="231F20"/>
          <w:spacing w:val="16"/>
          <w:w w:val="105"/>
        </w:rPr>
        <w:t> </w:t>
      </w:r>
      <w:r>
        <w:rPr>
          <w:color w:val="231F20"/>
          <w:w w:val="105"/>
        </w:rPr>
        <w:t>gobierno</w:t>
      </w:r>
      <w:r>
        <w:rPr>
          <w:color w:val="231F20"/>
          <w:spacing w:val="16"/>
          <w:w w:val="105"/>
        </w:rPr>
        <w:t> </w:t>
      </w:r>
      <w:r>
        <w:rPr>
          <w:color w:val="231F20"/>
          <w:w w:val="105"/>
        </w:rPr>
        <w:t>e</w:t>
      </w:r>
      <w:r>
        <w:rPr>
          <w:color w:val="231F20"/>
          <w:spacing w:val="16"/>
          <w:w w:val="105"/>
        </w:rPr>
        <w:t> </w:t>
      </w:r>
      <w:r>
        <w:rPr>
          <w:color w:val="231F20"/>
          <w:w w:val="105"/>
        </w:rPr>
        <w:t>inclusive</w:t>
      </w:r>
      <w:r>
        <w:rPr>
          <w:color w:val="231F20"/>
          <w:spacing w:val="16"/>
          <w:w w:val="105"/>
        </w:rPr>
        <w:t> </w:t>
      </w:r>
      <w:r>
        <w:rPr>
          <w:color w:val="231F20"/>
          <w:w w:val="105"/>
        </w:rPr>
        <w:t>se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w w:val="105"/>
        </w:rPr>
        <w:t>convierta en la maquinaria, además de la electoral, reproductora de acciones de gobierno, es un brazo con el que ha contado el gobierno municipal. Esto podrá afirmarse en el punto subsecuente referente a organizaciones políticas.</w:t>
      </w:r>
    </w:p>
    <w:p>
      <w:pPr>
        <w:pStyle w:val="BodyText"/>
        <w:spacing w:before="1"/>
        <w:rPr>
          <w:sz w:val="26"/>
        </w:rPr>
      </w:pPr>
    </w:p>
    <w:p>
      <w:pPr>
        <w:pStyle w:val="BodyText"/>
        <w:spacing w:line="285" w:lineRule="auto"/>
        <w:ind w:left="110" w:right="106"/>
        <w:jc w:val="both"/>
      </w:pPr>
      <w:r>
        <w:rPr>
          <w:color w:val="231F20"/>
          <w:w w:val="105"/>
        </w:rPr>
        <w:t>En función de estas características se </w:t>
      </w:r>
      <w:r>
        <w:rPr>
          <w:color w:val="231F20"/>
          <w:spacing w:val="2"/>
          <w:w w:val="105"/>
        </w:rPr>
        <w:t>afirma </w:t>
      </w:r>
      <w:r>
        <w:rPr>
          <w:color w:val="231F20"/>
          <w:w w:val="105"/>
        </w:rPr>
        <w:t>que el partido no domina la agenda, la formulación de acciones o políticas y </w:t>
      </w:r>
      <w:r>
        <w:rPr>
          <w:color w:val="231F20"/>
          <w:spacing w:val="-3"/>
          <w:w w:val="105"/>
        </w:rPr>
        <w:t>mucho </w:t>
      </w:r>
      <w:r>
        <w:rPr>
          <w:color w:val="231F20"/>
          <w:w w:val="105"/>
        </w:rPr>
        <w:t>menos las ejecuta. Entonces, el gobierno está</w:t>
      </w:r>
      <w:r>
        <w:rPr>
          <w:color w:val="231F20"/>
          <w:spacing w:val="-4"/>
          <w:w w:val="105"/>
        </w:rPr>
        <w:t> </w:t>
      </w:r>
      <w:r>
        <w:rPr>
          <w:color w:val="231F20"/>
          <w:w w:val="105"/>
        </w:rPr>
        <w:t>en</w:t>
      </w:r>
      <w:r>
        <w:rPr>
          <w:color w:val="231F20"/>
          <w:spacing w:val="-4"/>
          <w:w w:val="105"/>
        </w:rPr>
        <w:t> </w:t>
      </w:r>
      <w:r>
        <w:rPr>
          <w:color w:val="231F20"/>
          <w:w w:val="105"/>
        </w:rPr>
        <w:t>autonomía</w:t>
      </w:r>
      <w:r>
        <w:rPr>
          <w:color w:val="231F20"/>
          <w:spacing w:val="-4"/>
          <w:w w:val="105"/>
        </w:rPr>
        <w:t> </w:t>
      </w:r>
      <w:r>
        <w:rPr>
          <w:color w:val="231F20"/>
          <w:w w:val="105"/>
        </w:rPr>
        <w:t>del</w:t>
      </w:r>
      <w:r>
        <w:rPr>
          <w:color w:val="231F20"/>
          <w:spacing w:val="-4"/>
          <w:w w:val="105"/>
        </w:rPr>
        <w:t> </w:t>
      </w:r>
      <w:r>
        <w:rPr>
          <w:color w:val="231F20"/>
          <w:w w:val="105"/>
        </w:rPr>
        <w:t>partido,</w:t>
      </w:r>
      <w:r>
        <w:rPr>
          <w:color w:val="231F20"/>
          <w:spacing w:val="-4"/>
          <w:w w:val="105"/>
        </w:rPr>
        <w:t> </w:t>
      </w:r>
      <w:r>
        <w:rPr>
          <w:color w:val="231F20"/>
          <w:w w:val="105"/>
        </w:rPr>
        <w:t>estableciendo</w:t>
      </w:r>
      <w:r>
        <w:rPr>
          <w:color w:val="231F20"/>
          <w:spacing w:val="-4"/>
          <w:w w:val="105"/>
        </w:rPr>
        <w:t> </w:t>
      </w:r>
      <w:r>
        <w:rPr>
          <w:color w:val="231F20"/>
          <w:w w:val="105"/>
        </w:rPr>
        <w:t>un</w:t>
      </w:r>
      <w:r>
        <w:rPr>
          <w:color w:val="231F20"/>
          <w:spacing w:val="-4"/>
          <w:w w:val="105"/>
        </w:rPr>
        <w:t> </w:t>
      </w:r>
      <w:r>
        <w:rPr>
          <w:color w:val="231F20"/>
          <w:w w:val="105"/>
        </w:rPr>
        <w:t>esquema</w:t>
      </w:r>
      <w:r>
        <w:rPr>
          <w:color w:val="231F20"/>
          <w:spacing w:val="-4"/>
          <w:w w:val="105"/>
        </w:rPr>
        <w:t> </w:t>
      </w:r>
      <w:r>
        <w:rPr>
          <w:color w:val="231F20"/>
          <w:w w:val="105"/>
        </w:rPr>
        <w:t>de</w:t>
      </w:r>
      <w:r>
        <w:rPr>
          <w:color w:val="231F20"/>
          <w:spacing w:val="-4"/>
          <w:w w:val="105"/>
        </w:rPr>
        <w:t> </w:t>
      </w:r>
      <w:r>
        <w:rPr>
          <w:color w:val="231F20"/>
          <w:w w:val="105"/>
        </w:rPr>
        <w:t>separación</w:t>
      </w:r>
      <w:r>
        <w:rPr>
          <w:color w:val="231F20"/>
          <w:spacing w:val="-4"/>
          <w:w w:val="105"/>
        </w:rPr>
        <w:t> </w:t>
      </w:r>
      <w:r>
        <w:rPr>
          <w:color w:val="231F20"/>
          <w:w w:val="105"/>
        </w:rPr>
        <w:t>como</w:t>
      </w:r>
      <w:r>
        <w:rPr>
          <w:color w:val="231F20"/>
          <w:spacing w:val="-4"/>
          <w:w w:val="105"/>
        </w:rPr>
        <w:t> </w:t>
      </w:r>
      <w:r>
        <w:rPr>
          <w:color w:val="231F20"/>
          <w:w w:val="105"/>
        </w:rPr>
        <w:t>lo</w:t>
      </w:r>
      <w:r>
        <w:rPr>
          <w:color w:val="231F20"/>
          <w:spacing w:val="-4"/>
          <w:w w:val="105"/>
        </w:rPr>
        <w:t> </w:t>
      </w:r>
      <w:r>
        <w:rPr>
          <w:color w:val="231F20"/>
          <w:w w:val="105"/>
        </w:rPr>
        <w:t>llama Cansino</w:t>
      </w:r>
      <w:r>
        <w:rPr>
          <w:color w:val="231F20"/>
          <w:spacing w:val="-14"/>
          <w:w w:val="105"/>
        </w:rPr>
        <w:t> </w:t>
      </w:r>
      <w:r>
        <w:rPr>
          <w:color w:val="231F20"/>
          <w:spacing w:val="-4"/>
          <w:w w:val="105"/>
        </w:rPr>
        <w:t>(2001)</w:t>
      </w:r>
      <w:r>
        <w:rPr>
          <w:color w:val="231F20"/>
          <w:spacing w:val="-14"/>
          <w:w w:val="105"/>
        </w:rPr>
        <w:t> </w:t>
      </w:r>
      <w:r>
        <w:rPr>
          <w:color w:val="231F20"/>
          <w:w w:val="105"/>
        </w:rPr>
        <w:t>y</w:t>
      </w:r>
      <w:r>
        <w:rPr>
          <w:color w:val="231F20"/>
          <w:spacing w:val="-14"/>
          <w:w w:val="105"/>
        </w:rPr>
        <w:t> </w:t>
      </w:r>
      <w:r>
        <w:rPr>
          <w:color w:val="231F20"/>
          <w:w w:val="105"/>
        </w:rPr>
        <w:t>que</w:t>
      </w:r>
      <w:r>
        <w:rPr>
          <w:color w:val="231F20"/>
          <w:spacing w:val="-14"/>
          <w:w w:val="105"/>
        </w:rPr>
        <w:t> </w:t>
      </w:r>
      <w:r>
        <w:rPr>
          <w:color w:val="231F20"/>
          <w:w w:val="105"/>
        </w:rPr>
        <w:t>significa</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gobernantes</w:t>
      </w:r>
      <w:r>
        <w:rPr>
          <w:color w:val="231F20"/>
          <w:spacing w:val="-14"/>
          <w:w w:val="105"/>
        </w:rPr>
        <w:t> </w:t>
      </w:r>
      <w:r>
        <w:rPr>
          <w:color w:val="231F20"/>
          <w:w w:val="105"/>
        </w:rPr>
        <w:t>pueden</w:t>
      </w:r>
      <w:r>
        <w:rPr>
          <w:color w:val="231F20"/>
          <w:spacing w:val="-14"/>
          <w:w w:val="105"/>
        </w:rPr>
        <w:t> </w:t>
      </w:r>
      <w:r>
        <w:rPr>
          <w:color w:val="231F20"/>
          <w:w w:val="105"/>
        </w:rPr>
        <w:t>gobernar</w:t>
      </w:r>
      <w:r>
        <w:rPr>
          <w:color w:val="231F20"/>
          <w:spacing w:val="-14"/>
          <w:w w:val="105"/>
        </w:rPr>
        <w:t> </w:t>
      </w:r>
      <w:r>
        <w:rPr>
          <w:color w:val="231F20"/>
          <w:w w:val="105"/>
        </w:rPr>
        <w:t>sin</w:t>
      </w:r>
      <w:r>
        <w:rPr>
          <w:color w:val="231F20"/>
          <w:spacing w:val="-14"/>
          <w:w w:val="105"/>
        </w:rPr>
        <w:t> </w:t>
      </w:r>
      <w:r>
        <w:rPr>
          <w:color w:val="231F20"/>
          <w:w w:val="105"/>
        </w:rPr>
        <w:t>encontrar</w:t>
      </w:r>
      <w:r>
        <w:rPr>
          <w:color w:val="231F20"/>
          <w:spacing w:val="-14"/>
          <w:w w:val="105"/>
        </w:rPr>
        <w:t> </w:t>
      </w:r>
      <w:r>
        <w:rPr>
          <w:color w:val="231F20"/>
          <w:w w:val="105"/>
        </w:rPr>
        <w:t>opo- sición</w:t>
      </w:r>
      <w:r>
        <w:rPr>
          <w:color w:val="231F20"/>
          <w:spacing w:val="-4"/>
          <w:w w:val="105"/>
        </w:rPr>
        <w:t> </w:t>
      </w:r>
      <w:r>
        <w:rPr>
          <w:color w:val="231F20"/>
          <w:w w:val="105"/>
        </w:rPr>
        <w:t>o</w:t>
      </w:r>
      <w:r>
        <w:rPr>
          <w:color w:val="231F20"/>
          <w:spacing w:val="-4"/>
          <w:w w:val="105"/>
        </w:rPr>
        <w:t> </w:t>
      </w:r>
      <w:r>
        <w:rPr>
          <w:color w:val="231F20"/>
          <w:w w:val="105"/>
        </w:rPr>
        <w:t>presión</w:t>
      </w:r>
      <w:r>
        <w:rPr>
          <w:color w:val="231F20"/>
          <w:spacing w:val="-4"/>
          <w:w w:val="105"/>
        </w:rPr>
        <w:t> </w:t>
      </w:r>
      <w:r>
        <w:rPr>
          <w:color w:val="231F20"/>
          <w:w w:val="105"/>
        </w:rPr>
        <w:t>por</w:t>
      </w:r>
      <w:r>
        <w:rPr>
          <w:color w:val="231F20"/>
          <w:spacing w:val="-4"/>
          <w:w w:val="105"/>
        </w:rPr>
        <w:t> </w:t>
      </w:r>
      <w:r>
        <w:rPr>
          <w:color w:val="231F20"/>
          <w:w w:val="105"/>
        </w:rPr>
        <w:t>parte</w:t>
      </w:r>
      <w:r>
        <w:rPr>
          <w:color w:val="231F20"/>
          <w:spacing w:val="-4"/>
          <w:w w:val="105"/>
        </w:rPr>
        <w:t> </w:t>
      </w:r>
      <w:r>
        <w:rPr>
          <w:color w:val="231F20"/>
          <w:w w:val="105"/>
        </w:rPr>
        <w:t>del</w:t>
      </w:r>
      <w:r>
        <w:rPr>
          <w:color w:val="231F20"/>
          <w:spacing w:val="-4"/>
          <w:w w:val="105"/>
        </w:rPr>
        <w:t> </w:t>
      </w:r>
      <w:r>
        <w:rPr>
          <w:color w:val="231F20"/>
          <w:w w:val="105"/>
        </w:rPr>
        <w:t>partido</w:t>
      </w:r>
      <w:r>
        <w:rPr>
          <w:color w:val="231F20"/>
          <w:spacing w:val="-4"/>
          <w:w w:val="105"/>
        </w:rPr>
        <w:t> </w:t>
      </w:r>
      <w:r>
        <w:rPr>
          <w:color w:val="231F20"/>
          <w:w w:val="105"/>
        </w:rPr>
        <w:t>que</w:t>
      </w:r>
      <w:r>
        <w:rPr>
          <w:color w:val="231F20"/>
          <w:spacing w:val="-4"/>
          <w:w w:val="105"/>
        </w:rPr>
        <w:t> </w:t>
      </w:r>
      <w:r>
        <w:rPr>
          <w:color w:val="231F20"/>
          <w:w w:val="105"/>
        </w:rPr>
        <w:t>los</w:t>
      </w:r>
      <w:r>
        <w:rPr>
          <w:color w:val="231F20"/>
          <w:spacing w:val="-4"/>
          <w:w w:val="105"/>
        </w:rPr>
        <w:t> </w:t>
      </w:r>
      <w:r>
        <w:rPr>
          <w:color w:val="231F20"/>
          <w:w w:val="105"/>
        </w:rPr>
        <w:t>sustenta</w:t>
      </w:r>
      <w:r>
        <w:rPr>
          <w:color w:val="231F20"/>
          <w:spacing w:val="-4"/>
          <w:w w:val="105"/>
        </w:rPr>
        <w:t> </w:t>
      </w:r>
      <w:r>
        <w:rPr>
          <w:color w:val="231F20"/>
          <w:w w:val="105"/>
        </w:rPr>
        <w:t>y</w:t>
      </w:r>
      <w:r>
        <w:rPr>
          <w:color w:val="231F20"/>
          <w:spacing w:val="-4"/>
          <w:w w:val="105"/>
        </w:rPr>
        <w:t> </w:t>
      </w:r>
      <w:r>
        <w:rPr>
          <w:color w:val="231F20"/>
          <w:w w:val="105"/>
        </w:rPr>
        <w:t>además</w:t>
      </w:r>
      <w:r>
        <w:rPr>
          <w:color w:val="231F20"/>
          <w:spacing w:val="-4"/>
          <w:w w:val="105"/>
        </w:rPr>
        <w:t> </w:t>
      </w:r>
      <w:r>
        <w:rPr>
          <w:color w:val="231F20"/>
          <w:w w:val="105"/>
        </w:rPr>
        <w:t>éste</w:t>
      </w:r>
      <w:r>
        <w:rPr>
          <w:color w:val="231F20"/>
          <w:spacing w:val="-4"/>
          <w:w w:val="105"/>
        </w:rPr>
        <w:t> </w:t>
      </w:r>
      <w:r>
        <w:rPr>
          <w:color w:val="231F20"/>
          <w:w w:val="105"/>
        </w:rPr>
        <w:t>se</w:t>
      </w:r>
      <w:r>
        <w:rPr>
          <w:color w:val="231F20"/>
          <w:spacing w:val="-4"/>
          <w:w w:val="105"/>
        </w:rPr>
        <w:t> </w:t>
      </w:r>
      <w:r>
        <w:rPr>
          <w:color w:val="231F20"/>
          <w:w w:val="105"/>
        </w:rPr>
        <w:t>ve</w:t>
      </w:r>
      <w:r>
        <w:rPr>
          <w:color w:val="231F20"/>
          <w:spacing w:val="-4"/>
          <w:w w:val="105"/>
        </w:rPr>
        <w:t> </w:t>
      </w:r>
      <w:r>
        <w:rPr>
          <w:color w:val="231F20"/>
          <w:w w:val="105"/>
        </w:rPr>
        <w:t>dependiente de</w:t>
      </w:r>
      <w:r>
        <w:rPr>
          <w:color w:val="231F20"/>
          <w:spacing w:val="-17"/>
          <w:w w:val="105"/>
        </w:rPr>
        <w:t> </w:t>
      </w:r>
      <w:r>
        <w:rPr>
          <w:color w:val="231F20"/>
          <w:w w:val="105"/>
        </w:rPr>
        <w:t>aquél.</w:t>
      </w:r>
      <w:r>
        <w:rPr>
          <w:color w:val="231F20"/>
          <w:spacing w:val="-17"/>
          <w:w w:val="105"/>
        </w:rPr>
        <w:t> </w:t>
      </w:r>
      <w:r>
        <w:rPr>
          <w:color w:val="231F20"/>
          <w:w w:val="105"/>
        </w:rPr>
        <w:t>La</w:t>
      </w:r>
      <w:r>
        <w:rPr>
          <w:color w:val="231F20"/>
          <w:spacing w:val="-17"/>
          <w:w w:val="105"/>
        </w:rPr>
        <w:t> </w:t>
      </w:r>
      <w:r>
        <w:rPr>
          <w:color w:val="231F20"/>
          <w:w w:val="105"/>
        </w:rPr>
        <w:t>relación</w:t>
      </w:r>
      <w:r>
        <w:rPr>
          <w:color w:val="231F20"/>
          <w:spacing w:val="-17"/>
          <w:w w:val="105"/>
        </w:rPr>
        <w:t> </w:t>
      </w:r>
      <w:r>
        <w:rPr>
          <w:color w:val="231F20"/>
          <w:w w:val="105"/>
        </w:rPr>
        <w:t>de</w:t>
      </w:r>
      <w:r>
        <w:rPr>
          <w:color w:val="231F20"/>
          <w:spacing w:val="-17"/>
          <w:w w:val="105"/>
        </w:rPr>
        <w:t> </w:t>
      </w:r>
      <w:r>
        <w:rPr>
          <w:color w:val="231F20"/>
          <w:w w:val="105"/>
        </w:rPr>
        <w:t>influencia</w:t>
      </w:r>
      <w:r>
        <w:rPr>
          <w:color w:val="231F20"/>
          <w:spacing w:val="-17"/>
          <w:w w:val="105"/>
        </w:rPr>
        <w:t> </w:t>
      </w:r>
      <w:r>
        <w:rPr>
          <w:color w:val="231F20"/>
          <w:w w:val="105"/>
        </w:rPr>
        <w:t>del</w:t>
      </w:r>
      <w:r>
        <w:rPr>
          <w:color w:val="231F20"/>
          <w:spacing w:val="-17"/>
          <w:w w:val="105"/>
        </w:rPr>
        <w:t> </w:t>
      </w:r>
      <w:r>
        <w:rPr>
          <w:color w:val="231F20"/>
          <w:w w:val="105"/>
        </w:rPr>
        <w:t>partido</w:t>
      </w:r>
      <w:r>
        <w:rPr>
          <w:color w:val="231F20"/>
          <w:spacing w:val="-17"/>
          <w:w w:val="105"/>
        </w:rPr>
        <w:t> </w:t>
      </w:r>
      <w:r>
        <w:rPr>
          <w:color w:val="231F20"/>
          <w:w w:val="105"/>
        </w:rPr>
        <w:t>ante</w:t>
      </w:r>
      <w:r>
        <w:rPr>
          <w:color w:val="231F20"/>
          <w:spacing w:val="-17"/>
          <w:w w:val="105"/>
        </w:rPr>
        <w:t> </w:t>
      </w:r>
      <w:r>
        <w:rPr>
          <w:color w:val="231F20"/>
          <w:w w:val="105"/>
        </w:rPr>
        <w:t>el</w:t>
      </w:r>
      <w:r>
        <w:rPr>
          <w:color w:val="231F20"/>
          <w:spacing w:val="-17"/>
          <w:w w:val="105"/>
        </w:rPr>
        <w:t> </w:t>
      </w:r>
      <w:r>
        <w:rPr>
          <w:color w:val="231F20"/>
          <w:w w:val="105"/>
        </w:rPr>
        <w:t>gobierno</w:t>
      </w:r>
      <w:r>
        <w:rPr>
          <w:color w:val="231F20"/>
          <w:spacing w:val="-17"/>
          <w:w w:val="105"/>
        </w:rPr>
        <w:t> </w:t>
      </w:r>
      <w:r>
        <w:rPr>
          <w:color w:val="231F20"/>
          <w:w w:val="105"/>
        </w:rPr>
        <w:t>es</w:t>
      </w:r>
      <w:r>
        <w:rPr>
          <w:color w:val="231F20"/>
          <w:spacing w:val="-17"/>
          <w:w w:val="105"/>
        </w:rPr>
        <w:t> </w:t>
      </w:r>
      <w:r>
        <w:rPr>
          <w:color w:val="231F20"/>
          <w:w w:val="105"/>
        </w:rPr>
        <w:t>débil.</w:t>
      </w:r>
      <w:r>
        <w:rPr>
          <w:color w:val="231F20"/>
          <w:spacing w:val="-17"/>
          <w:w w:val="105"/>
        </w:rPr>
        <w:t> </w:t>
      </w:r>
      <w:r>
        <w:rPr>
          <w:color w:val="231F20"/>
          <w:w w:val="105"/>
        </w:rPr>
        <w:t>No</w:t>
      </w:r>
      <w:r>
        <w:rPr>
          <w:color w:val="231F20"/>
          <w:spacing w:val="-17"/>
          <w:w w:val="105"/>
        </w:rPr>
        <w:t> </w:t>
      </w:r>
      <w:r>
        <w:rPr>
          <w:color w:val="231F20"/>
          <w:w w:val="105"/>
        </w:rPr>
        <w:t>así</w:t>
      </w:r>
      <w:r>
        <w:rPr>
          <w:color w:val="231F20"/>
          <w:spacing w:val="-17"/>
          <w:w w:val="105"/>
        </w:rPr>
        <w:t> </w:t>
      </w:r>
      <w:r>
        <w:rPr>
          <w:color w:val="231F20"/>
          <w:w w:val="105"/>
        </w:rPr>
        <w:t>la</w:t>
      </w:r>
      <w:r>
        <w:rPr>
          <w:color w:val="231F20"/>
          <w:spacing w:val="-17"/>
          <w:w w:val="105"/>
        </w:rPr>
        <w:t> </w:t>
      </w:r>
      <w:r>
        <w:rPr>
          <w:color w:val="231F20"/>
          <w:w w:val="105"/>
        </w:rPr>
        <w:t>de</w:t>
      </w:r>
      <w:r>
        <w:rPr>
          <w:color w:val="231F20"/>
          <w:spacing w:val="-17"/>
          <w:w w:val="105"/>
        </w:rPr>
        <w:t> </w:t>
      </w:r>
      <w:r>
        <w:rPr>
          <w:color w:val="231F20"/>
          <w:w w:val="105"/>
        </w:rPr>
        <w:t>éste con el partido, esto más debido a las características y propósitos personales del presi- dente</w:t>
      </w:r>
      <w:r>
        <w:rPr>
          <w:color w:val="231F20"/>
          <w:spacing w:val="-9"/>
          <w:w w:val="105"/>
        </w:rPr>
        <w:t> </w:t>
      </w:r>
      <w:r>
        <w:rPr>
          <w:color w:val="231F20"/>
          <w:w w:val="105"/>
        </w:rPr>
        <w:t>que</w:t>
      </w:r>
      <w:r>
        <w:rPr>
          <w:color w:val="231F20"/>
          <w:spacing w:val="-9"/>
          <w:w w:val="105"/>
        </w:rPr>
        <w:t> </w:t>
      </w:r>
      <w:r>
        <w:rPr>
          <w:color w:val="231F20"/>
          <w:w w:val="105"/>
        </w:rPr>
        <w:t>a</w:t>
      </w:r>
      <w:r>
        <w:rPr>
          <w:color w:val="231F20"/>
          <w:spacing w:val="-9"/>
          <w:w w:val="105"/>
        </w:rPr>
        <w:t> </w:t>
      </w:r>
      <w:r>
        <w:rPr>
          <w:color w:val="231F20"/>
          <w:w w:val="105"/>
        </w:rPr>
        <w:t>una</w:t>
      </w:r>
      <w:r>
        <w:rPr>
          <w:color w:val="231F20"/>
          <w:spacing w:val="-9"/>
          <w:w w:val="105"/>
        </w:rPr>
        <w:t> </w:t>
      </w:r>
      <w:r>
        <w:rPr>
          <w:color w:val="231F20"/>
          <w:w w:val="105"/>
        </w:rPr>
        <w:t>acción</w:t>
      </w:r>
      <w:r>
        <w:rPr>
          <w:color w:val="231F20"/>
          <w:spacing w:val="-9"/>
          <w:w w:val="105"/>
        </w:rPr>
        <w:t> </w:t>
      </w:r>
      <w:r>
        <w:rPr>
          <w:color w:val="231F20"/>
          <w:w w:val="105"/>
        </w:rPr>
        <w:t>sostenida</w:t>
      </w:r>
      <w:r>
        <w:rPr>
          <w:color w:val="231F20"/>
          <w:spacing w:val="-9"/>
          <w:w w:val="105"/>
        </w:rPr>
        <w:t> </w:t>
      </w:r>
      <w:r>
        <w:rPr>
          <w:color w:val="231F20"/>
          <w:w w:val="105"/>
        </w:rPr>
        <w:t>del</w:t>
      </w:r>
      <w:r>
        <w:rPr>
          <w:color w:val="231F20"/>
          <w:spacing w:val="-9"/>
          <w:w w:val="105"/>
        </w:rPr>
        <w:t> </w:t>
      </w:r>
      <w:r>
        <w:rPr>
          <w:color w:val="231F20"/>
          <w:spacing w:val="-3"/>
          <w:w w:val="105"/>
        </w:rPr>
        <w:t>gobierno.</w:t>
      </w:r>
    </w:p>
    <w:p>
      <w:pPr>
        <w:pStyle w:val="BodyText"/>
        <w:spacing w:before="2"/>
        <w:rPr>
          <w:sz w:val="20"/>
        </w:rPr>
      </w:pPr>
    </w:p>
    <w:p>
      <w:pPr>
        <w:pStyle w:val="Heading4"/>
        <w:rPr>
          <w:i/>
        </w:rPr>
      </w:pPr>
      <w:r>
        <w:rPr>
          <w:i/>
          <w:color w:val="231F20"/>
        </w:rPr>
        <w:t>Organizaciones  políticas vinculadas</w:t>
      </w:r>
    </w:p>
    <w:p>
      <w:pPr>
        <w:pStyle w:val="BodyText"/>
        <w:spacing w:line="285" w:lineRule="auto" w:before="16"/>
        <w:ind w:left="110" w:right="107"/>
        <w:jc w:val="both"/>
      </w:pPr>
      <w:r>
        <w:rPr>
          <w:color w:val="231F20"/>
          <w:w w:val="105"/>
        </w:rPr>
        <w:t>En Amecameca desde el año </w:t>
      </w:r>
      <w:r>
        <w:rPr>
          <w:color w:val="231F20"/>
          <w:spacing w:val="2"/>
          <w:w w:val="105"/>
        </w:rPr>
        <w:t>2003 </w:t>
      </w:r>
      <w:r>
        <w:rPr>
          <w:color w:val="231F20"/>
          <w:w w:val="105"/>
        </w:rPr>
        <w:t>se creó una organización impulsada y fundada por el</w:t>
      </w:r>
      <w:r>
        <w:rPr>
          <w:color w:val="231F20"/>
          <w:spacing w:val="-8"/>
          <w:w w:val="105"/>
        </w:rPr>
        <w:t> </w:t>
      </w:r>
      <w:r>
        <w:rPr>
          <w:color w:val="231F20"/>
          <w:w w:val="105"/>
        </w:rPr>
        <w:t>actual</w:t>
      </w:r>
      <w:r>
        <w:rPr>
          <w:color w:val="231F20"/>
          <w:spacing w:val="-8"/>
          <w:w w:val="105"/>
        </w:rPr>
        <w:t> </w:t>
      </w:r>
      <w:r>
        <w:rPr>
          <w:color w:val="231F20"/>
          <w:w w:val="105"/>
        </w:rPr>
        <w:t>presidente:</w:t>
      </w:r>
      <w:r>
        <w:rPr>
          <w:color w:val="231F20"/>
          <w:spacing w:val="-8"/>
          <w:w w:val="105"/>
        </w:rPr>
        <w:t> </w:t>
      </w:r>
      <w:r>
        <w:rPr>
          <w:color w:val="231F20"/>
          <w:w w:val="105"/>
        </w:rPr>
        <w:t>Juan</w:t>
      </w:r>
      <w:r>
        <w:rPr>
          <w:color w:val="231F20"/>
          <w:spacing w:val="-8"/>
          <w:w w:val="105"/>
        </w:rPr>
        <w:t> </w:t>
      </w:r>
      <w:r>
        <w:rPr>
          <w:color w:val="231F20"/>
          <w:w w:val="105"/>
        </w:rPr>
        <w:t>Manuel</w:t>
      </w:r>
      <w:r>
        <w:rPr>
          <w:color w:val="231F20"/>
          <w:spacing w:val="-8"/>
          <w:w w:val="105"/>
        </w:rPr>
        <w:t> </w:t>
      </w:r>
      <w:r>
        <w:rPr>
          <w:color w:val="231F20"/>
          <w:w w:val="105"/>
        </w:rPr>
        <w:t>Guerrero,</w:t>
      </w:r>
      <w:r>
        <w:rPr>
          <w:color w:val="231F20"/>
          <w:spacing w:val="-8"/>
          <w:w w:val="105"/>
        </w:rPr>
        <w:t> </w:t>
      </w:r>
      <w:r>
        <w:rPr>
          <w:color w:val="231F20"/>
          <w:w w:val="105"/>
        </w:rPr>
        <w:t>cuando</w:t>
      </w:r>
      <w:r>
        <w:rPr>
          <w:color w:val="231F20"/>
          <w:spacing w:val="-8"/>
          <w:w w:val="105"/>
        </w:rPr>
        <w:t> </w:t>
      </w:r>
      <w:r>
        <w:rPr>
          <w:color w:val="231F20"/>
          <w:w w:val="105"/>
        </w:rPr>
        <w:t>era</w:t>
      </w:r>
      <w:r>
        <w:rPr>
          <w:color w:val="231F20"/>
          <w:spacing w:val="-8"/>
          <w:w w:val="105"/>
        </w:rPr>
        <w:t> </w:t>
      </w:r>
      <w:r>
        <w:rPr>
          <w:color w:val="231F20"/>
          <w:w w:val="105"/>
        </w:rPr>
        <w:t>diputado</w:t>
      </w:r>
      <w:r>
        <w:rPr>
          <w:color w:val="231F20"/>
          <w:spacing w:val="-8"/>
          <w:w w:val="105"/>
        </w:rPr>
        <w:t> </w:t>
      </w:r>
      <w:r>
        <w:rPr>
          <w:color w:val="231F20"/>
          <w:w w:val="105"/>
        </w:rPr>
        <w:t>suplente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LIX</w:t>
      </w:r>
      <w:r>
        <w:rPr>
          <w:color w:val="231F20"/>
          <w:spacing w:val="-8"/>
          <w:w w:val="105"/>
        </w:rPr>
        <w:t> </w:t>
      </w:r>
      <w:r>
        <w:rPr>
          <w:color w:val="231F20"/>
          <w:w w:val="105"/>
        </w:rPr>
        <w:t>Le- gislatura Local. Esta asociación que recibe el </w:t>
      </w:r>
      <w:r>
        <w:rPr>
          <w:color w:val="231F20"/>
          <w:spacing w:val="-3"/>
          <w:w w:val="105"/>
        </w:rPr>
        <w:t>nombre </w:t>
      </w:r>
      <w:r>
        <w:rPr>
          <w:color w:val="231F20"/>
          <w:w w:val="105"/>
        </w:rPr>
        <w:t>de Desarrollo Social Ciudadano (DSC),</w:t>
      </w:r>
      <w:r>
        <w:rPr>
          <w:color w:val="231F20"/>
          <w:w w:val="105"/>
          <w:position w:val="7"/>
          <w:sz w:val="13"/>
        </w:rPr>
        <w:t>6</w:t>
      </w:r>
      <w:r>
        <w:rPr>
          <w:color w:val="231F20"/>
          <w:spacing w:val="4"/>
          <w:w w:val="105"/>
          <w:position w:val="7"/>
          <w:sz w:val="13"/>
        </w:rPr>
        <w:t> </w:t>
      </w:r>
      <w:r>
        <w:rPr>
          <w:color w:val="231F20"/>
          <w:w w:val="105"/>
        </w:rPr>
        <w:t>funge</w:t>
      </w:r>
      <w:r>
        <w:rPr>
          <w:color w:val="231F20"/>
          <w:spacing w:val="-19"/>
          <w:w w:val="105"/>
        </w:rPr>
        <w:t> </w:t>
      </w:r>
      <w:r>
        <w:rPr>
          <w:color w:val="231F20"/>
          <w:w w:val="105"/>
        </w:rPr>
        <w:t>como</w:t>
      </w:r>
      <w:r>
        <w:rPr>
          <w:color w:val="231F20"/>
          <w:spacing w:val="-19"/>
          <w:w w:val="105"/>
        </w:rPr>
        <w:t> </w:t>
      </w:r>
      <w:r>
        <w:rPr>
          <w:color w:val="231F20"/>
          <w:w w:val="105"/>
        </w:rPr>
        <w:t>un</w:t>
      </w:r>
      <w:r>
        <w:rPr>
          <w:color w:val="231F20"/>
          <w:spacing w:val="-19"/>
          <w:w w:val="105"/>
        </w:rPr>
        <w:t> </w:t>
      </w:r>
      <w:r>
        <w:rPr>
          <w:color w:val="231F20"/>
          <w:w w:val="105"/>
        </w:rPr>
        <w:t>espacio</w:t>
      </w:r>
      <w:r>
        <w:rPr>
          <w:color w:val="231F20"/>
          <w:spacing w:val="-19"/>
          <w:w w:val="105"/>
        </w:rPr>
        <w:t> </w:t>
      </w:r>
      <w:r>
        <w:rPr>
          <w:color w:val="231F20"/>
          <w:w w:val="105"/>
        </w:rPr>
        <w:t>de</w:t>
      </w:r>
      <w:r>
        <w:rPr>
          <w:color w:val="231F20"/>
          <w:spacing w:val="-19"/>
          <w:w w:val="105"/>
        </w:rPr>
        <w:t> </w:t>
      </w:r>
      <w:r>
        <w:rPr>
          <w:color w:val="231F20"/>
          <w:w w:val="105"/>
        </w:rPr>
        <w:t>aglutinamiento</w:t>
      </w:r>
      <w:r>
        <w:rPr>
          <w:color w:val="231F20"/>
          <w:spacing w:val="-19"/>
          <w:w w:val="105"/>
        </w:rPr>
        <w:t> </w:t>
      </w:r>
      <w:r>
        <w:rPr>
          <w:color w:val="231F20"/>
          <w:w w:val="105"/>
        </w:rPr>
        <w:t>para:</w:t>
      </w:r>
      <w:r>
        <w:rPr>
          <w:color w:val="231F20"/>
          <w:spacing w:val="-19"/>
          <w:w w:val="105"/>
        </w:rPr>
        <w:t> </w:t>
      </w:r>
      <w:r>
        <w:rPr>
          <w:color w:val="231F20"/>
          <w:spacing w:val="-4"/>
          <w:w w:val="105"/>
        </w:rPr>
        <w:t>a)</w:t>
      </w:r>
      <w:r>
        <w:rPr>
          <w:color w:val="231F20"/>
          <w:spacing w:val="-19"/>
          <w:w w:val="105"/>
        </w:rPr>
        <w:t> </w:t>
      </w:r>
      <w:r>
        <w:rPr>
          <w:color w:val="231F20"/>
          <w:spacing w:val="-3"/>
          <w:w w:val="105"/>
        </w:rPr>
        <w:t>promover</w:t>
      </w:r>
      <w:r>
        <w:rPr>
          <w:color w:val="231F20"/>
          <w:spacing w:val="-19"/>
          <w:w w:val="105"/>
        </w:rPr>
        <w:t> </w:t>
      </w:r>
      <w:r>
        <w:rPr>
          <w:color w:val="231F20"/>
          <w:w w:val="105"/>
        </w:rPr>
        <w:t>acciones</w:t>
      </w:r>
      <w:r>
        <w:rPr>
          <w:color w:val="231F20"/>
          <w:spacing w:val="-19"/>
          <w:w w:val="105"/>
        </w:rPr>
        <w:t> </w:t>
      </w:r>
      <w:r>
        <w:rPr>
          <w:color w:val="231F20"/>
          <w:w w:val="105"/>
        </w:rPr>
        <w:t>a</w:t>
      </w:r>
      <w:r>
        <w:rPr>
          <w:color w:val="231F20"/>
          <w:spacing w:val="-19"/>
          <w:w w:val="105"/>
        </w:rPr>
        <w:t> </w:t>
      </w:r>
      <w:r>
        <w:rPr>
          <w:color w:val="231F20"/>
          <w:w w:val="105"/>
        </w:rPr>
        <w:t>favor</w:t>
      </w:r>
      <w:r>
        <w:rPr>
          <w:color w:val="231F20"/>
          <w:spacing w:val="-19"/>
          <w:w w:val="105"/>
        </w:rPr>
        <w:t> </w:t>
      </w:r>
      <w:r>
        <w:rPr>
          <w:color w:val="231F20"/>
          <w:w w:val="105"/>
        </w:rPr>
        <w:t>de la</w:t>
      </w:r>
      <w:r>
        <w:rPr>
          <w:color w:val="231F20"/>
          <w:spacing w:val="-11"/>
          <w:w w:val="105"/>
        </w:rPr>
        <w:t> </w:t>
      </w:r>
      <w:r>
        <w:rPr>
          <w:color w:val="231F20"/>
          <w:w w:val="105"/>
        </w:rPr>
        <w:t>ciudadanía</w:t>
      </w:r>
      <w:r>
        <w:rPr>
          <w:color w:val="231F20"/>
          <w:spacing w:val="-11"/>
          <w:w w:val="105"/>
        </w:rPr>
        <w:t> </w:t>
      </w:r>
      <w:r>
        <w:rPr>
          <w:color w:val="231F20"/>
          <w:w w:val="105"/>
        </w:rPr>
        <w:t>resolviendo</w:t>
      </w:r>
      <w:r>
        <w:rPr>
          <w:color w:val="231F20"/>
          <w:spacing w:val="-11"/>
          <w:w w:val="105"/>
        </w:rPr>
        <w:t> </w:t>
      </w:r>
      <w:r>
        <w:rPr>
          <w:color w:val="231F20"/>
          <w:w w:val="105"/>
        </w:rPr>
        <w:t>necesidades</w:t>
      </w:r>
      <w:r>
        <w:rPr>
          <w:color w:val="231F20"/>
          <w:spacing w:val="-11"/>
          <w:w w:val="105"/>
        </w:rPr>
        <w:t> </w:t>
      </w:r>
      <w:r>
        <w:rPr>
          <w:color w:val="231F20"/>
          <w:w w:val="105"/>
        </w:rPr>
        <w:t>más</w:t>
      </w:r>
      <w:r>
        <w:rPr>
          <w:color w:val="231F20"/>
          <w:spacing w:val="-11"/>
          <w:w w:val="105"/>
        </w:rPr>
        <w:t> </w:t>
      </w:r>
      <w:r>
        <w:rPr>
          <w:color w:val="231F20"/>
          <w:w w:val="105"/>
        </w:rPr>
        <w:t>sentidas</w:t>
      </w:r>
      <w:r>
        <w:rPr>
          <w:color w:val="231F20"/>
          <w:spacing w:val="-11"/>
          <w:w w:val="105"/>
        </w:rPr>
        <w:t> </w:t>
      </w:r>
      <w:r>
        <w:rPr>
          <w:color w:val="231F20"/>
          <w:w w:val="105"/>
        </w:rPr>
        <w:t>como</w:t>
      </w:r>
      <w:r>
        <w:rPr>
          <w:color w:val="231F20"/>
          <w:spacing w:val="-11"/>
          <w:w w:val="105"/>
        </w:rPr>
        <w:t> </w:t>
      </w:r>
      <w:r>
        <w:rPr>
          <w:color w:val="231F20"/>
          <w:w w:val="105"/>
        </w:rPr>
        <w:t>son</w:t>
      </w:r>
      <w:r>
        <w:rPr>
          <w:color w:val="231F20"/>
          <w:spacing w:val="-11"/>
          <w:w w:val="105"/>
        </w:rPr>
        <w:t> </w:t>
      </w:r>
      <w:r>
        <w:rPr>
          <w:color w:val="231F20"/>
          <w:w w:val="105"/>
        </w:rPr>
        <w:t>agua,</w:t>
      </w:r>
      <w:r>
        <w:rPr>
          <w:color w:val="231F20"/>
          <w:spacing w:val="-11"/>
          <w:w w:val="105"/>
        </w:rPr>
        <w:t> </w:t>
      </w:r>
      <w:r>
        <w:rPr>
          <w:color w:val="231F20"/>
          <w:w w:val="105"/>
        </w:rPr>
        <w:t>tinacos,</w:t>
      </w:r>
      <w:r>
        <w:rPr>
          <w:color w:val="231F20"/>
          <w:spacing w:val="-11"/>
          <w:w w:val="105"/>
        </w:rPr>
        <w:t> </w:t>
      </w:r>
      <w:r>
        <w:rPr>
          <w:color w:val="231F20"/>
          <w:w w:val="105"/>
        </w:rPr>
        <w:t>despensas y obras pequeñas; </w:t>
      </w:r>
      <w:r>
        <w:rPr>
          <w:color w:val="231F20"/>
          <w:spacing w:val="-6"/>
          <w:w w:val="105"/>
        </w:rPr>
        <w:t>b) </w:t>
      </w:r>
      <w:r>
        <w:rPr>
          <w:color w:val="231F20"/>
          <w:w w:val="105"/>
        </w:rPr>
        <w:t>la formación de una estructura electoral que le permitiera a Juan Manuel Guerrero posicionamiento en la ciudadanía y poder ganar la elección consti- </w:t>
      </w:r>
      <w:r>
        <w:rPr>
          <w:color w:val="231F20"/>
          <w:w w:val="105"/>
          <w:u w:val="single" w:color="231F20"/>
        </w:rPr>
        <w:t>tucional;</w:t>
      </w:r>
      <w:r>
        <w:rPr>
          <w:color w:val="231F20"/>
          <w:spacing w:val="19"/>
          <w:w w:val="105"/>
          <w:u w:val="single" w:color="231F20"/>
        </w:rPr>
        <w:t> </w:t>
      </w:r>
      <w:r>
        <w:rPr>
          <w:color w:val="231F20"/>
          <w:w w:val="105"/>
          <w:u w:val="single" w:color="231F20"/>
        </w:rPr>
        <w:t>y</w:t>
      </w:r>
      <w:r>
        <w:rPr>
          <w:color w:val="231F20"/>
          <w:spacing w:val="19"/>
          <w:w w:val="105"/>
          <w:u w:val="single" w:color="231F20"/>
        </w:rPr>
        <w:t> </w:t>
      </w:r>
      <w:r>
        <w:rPr>
          <w:color w:val="231F20"/>
          <w:spacing w:val="-6"/>
          <w:w w:val="105"/>
          <w:u w:val="single" w:color="231F20"/>
        </w:rPr>
        <w:t>c)</w:t>
      </w:r>
      <w:r>
        <w:rPr>
          <w:color w:val="231F20"/>
          <w:spacing w:val="19"/>
          <w:w w:val="105"/>
          <w:u w:val="single" w:color="231F20"/>
        </w:rPr>
        <w:t> </w:t>
      </w:r>
      <w:r>
        <w:rPr>
          <w:color w:val="231F20"/>
          <w:w w:val="105"/>
          <w:u w:val="single" w:color="231F20"/>
        </w:rPr>
        <w:t>se</w:t>
      </w:r>
      <w:r>
        <w:rPr>
          <w:color w:val="231F20"/>
          <w:w w:val="105"/>
        </w:rPr>
        <w:t>r</w:t>
      </w:r>
      <w:r>
        <w:rPr>
          <w:color w:val="231F20"/>
          <w:spacing w:val="19"/>
          <w:w w:val="105"/>
        </w:rPr>
        <w:t> </w:t>
      </w:r>
      <w:r>
        <w:rPr>
          <w:color w:val="231F20"/>
          <w:w w:val="105"/>
        </w:rPr>
        <w:t>una</w:t>
      </w:r>
      <w:r>
        <w:rPr>
          <w:color w:val="231F20"/>
          <w:spacing w:val="19"/>
          <w:w w:val="105"/>
        </w:rPr>
        <w:t> </w:t>
      </w:r>
      <w:r>
        <w:rPr>
          <w:color w:val="231F20"/>
          <w:w w:val="105"/>
        </w:rPr>
        <w:t>corriente</w:t>
      </w:r>
      <w:r>
        <w:rPr>
          <w:color w:val="231F20"/>
          <w:spacing w:val="19"/>
          <w:w w:val="105"/>
        </w:rPr>
        <w:t> </w:t>
      </w:r>
      <w:r>
        <w:rPr>
          <w:color w:val="231F20"/>
          <w:w w:val="105"/>
        </w:rPr>
        <w:t>que</w:t>
      </w:r>
      <w:r>
        <w:rPr>
          <w:color w:val="231F20"/>
          <w:spacing w:val="19"/>
          <w:w w:val="105"/>
        </w:rPr>
        <w:t> </w:t>
      </w:r>
      <w:r>
        <w:rPr>
          <w:color w:val="231F20"/>
          <w:w w:val="105"/>
        </w:rPr>
        <w:t>dentro</w:t>
      </w:r>
      <w:r>
        <w:rPr>
          <w:color w:val="231F20"/>
          <w:spacing w:val="19"/>
          <w:w w:val="105"/>
        </w:rPr>
        <w:t> </w:t>
      </w:r>
      <w:r>
        <w:rPr>
          <w:color w:val="231F20"/>
          <w:w w:val="105"/>
        </w:rPr>
        <w:t>del</w:t>
      </w:r>
      <w:r>
        <w:rPr>
          <w:color w:val="231F20"/>
          <w:spacing w:val="19"/>
          <w:w w:val="105"/>
        </w:rPr>
        <w:t> </w:t>
      </w:r>
      <w:r>
        <w:rPr>
          <w:color w:val="231F20"/>
          <w:w w:val="105"/>
        </w:rPr>
        <w:t>partido</w:t>
      </w:r>
      <w:r>
        <w:rPr>
          <w:color w:val="231F20"/>
          <w:spacing w:val="19"/>
          <w:w w:val="105"/>
        </w:rPr>
        <w:t> </w:t>
      </w:r>
      <w:r>
        <w:rPr>
          <w:color w:val="231F20"/>
          <w:w w:val="105"/>
        </w:rPr>
        <w:t>se</w:t>
      </w:r>
      <w:r>
        <w:rPr>
          <w:color w:val="231F20"/>
          <w:spacing w:val="19"/>
          <w:w w:val="105"/>
        </w:rPr>
        <w:t> </w:t>
      </w:r>
      <w:r>
        <w:rPr>
          <w:color w:val="231F20"/>
          <w:w w:val="105"/>
        </w:rPr>
        <w:t>apodera</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estructura</w:t>
      </w:r>
      <w:r>
        <w:rPr>
          <w:color w:val="231F20"/>
          <w:spacing w:val="19"/>
          <w:w w:val="105"/>
        </w:rPr>
        <w:t> </w:t>
      </w:r>
      <w:r>
        <w:rPr>
          <w:color w:val="231F20"/>
          <w:w w:val="105"/>
        </w:rPr>
        <w:t>y</w:t>
      </w:r>
    </w:p>
    <w:p>
      <w:pPr>
        <w:pStyle w:val="ListParagraph"/>
        <w:numPr>
          <w:ilvl w:val="0"/>
          <w:numId w:val="21"/>
        </w:numPr>
        <w:tabs>
          <w:tab w:pos="224" w:val="left" w:leader="none"/>
        </w:tabs>
        <w:spacing w:line="244" w:lineRule="auto" w:before="53" w:after="0"/>
        <w:ind w:left="110" w:right="107" w:firstLine="0"/>
        <w:jc w:val="both"/>
        <w:rPr>
          <w:sz w:val="16"/>
        </w:rPr>
      </w:pPr>
      <w:r>
        <w:rPr>
          <w:color w:val="231F20"/>
          <w:sz w:val="16"/>
        </w:rPr>
        <w:t>Esta</w:t>
      </w:r>
      <w:r>
        <w:rPr>
          <w:color w:val="231F20"/>
          <w:spacing w:val="-7"/>
          <w:sz w:val="16"/>
        </w:rPr>
        <w:t> </w:t>
      </w:r>
      <w:r>
        <w:rPr>
          <w:color w:val="231F20"/>
          <w:sz w:val="16"/>
        </w:rPr>
        <w:t>organización</w:t>
      </w:r>
      <w:r>
        <w:rPr>
          <w:color w:val="231F20"/>
          <w:spacing w:val="-7"/>
          <w:sz w:val="16"/>
        </w:rPr>
        <w:t> </w:t>
      </w:r>
      <w:r>
        <w:rPr>
          <w:color w:val="231F20"/>
          <w:sz w:val="16"/>
        </w:rPr>
        <w:t>surge</w:t>
      </w:r>
      <w:r>
        <w:rPr>
          <w:color w:val="231F20"/>
          <w:spacing w:val="-7"/>
          <w:sz w:val="16"/>
        </w:rPr>
        <w:t> </w:t>
      </w:r>
      <w:r>
        <w:rPr>
          <w:color w:val="231F20"/>
          <w:sz w:val="16"/>
        </w:rPr>
        <w:t>como</w:t>
      </w:r>
      <w:r>
        <w:rPr>
          <w:color w:val="231F20"/>
          <w:spacing w:val="-7"/>
          <w:sz w:val="16"/>
        </w:rPr>
        <w:t> </w:t>
      </w:r>
      <w:r>
        <w:rPr>
          <w:color w:val="231F20"/>
          <w:sz w:val="16"/>
        </w:rPr>
        <w:t>estrategia</w:t>
      </w:r>
      <w:r>
        <w:rPr>
          <w:color w:val="231F20"/>
          <w:spacing w:val="-7"/>
          <w:sz w:val="16"/>
        </w:rPr>
        <w:t> </w:t>
      </w:r>
      <w:r>
        <w:rPr>
          <w:color w:val="231F20"/>
          <w:sz w:val="16"/>
        </w:rPr>
        <w:t>y</w:t>
      </w:r>
      <w:r>
        <w:rPr>
          <w:color w:val="231F20"/>
          <w:spacing w:val="-7"/>
          <w:sz w:val="16"/>
        </w:rPr>
        <w:t> </w:t>
      </w:r>
      <w:r>
        <w:rPr>
          <w:color w:val="231F20"/>
          <w:sz w:val="16"/>
        </w:rPr>
        <w:t>respuesta</w:t>
      </w:r>
      <w:r>
        <w:rPr>
          <w:color w:val="231F20"/>
          <w:spacing w:val="-7"/>
          <w:sz w:val="16"/>
        </w:rPr>
        <w:t> </w:t>
      </w:r>
      <w:r>
        <w:rPr>
          <w:color w:val="231F20"/>
          <w:sz w:val="16"/>
        </w:rPr>
        <w:t>ante</w:t>
      </w:r>
      <w:r>
        <w:rPr>
          <w:color w:val="231F20"/>
          <w:spacing w:val="-7"/>
          <w:sz w:val="16"/>
        </w:rPr>
        <w:t> </w:t>
      </w:r>
      <w:r>
        <w:rPr>
          <w:color w:val="231F20"/>
          <w:sz w:val="16"/>
        </w:rPr>
        <w:t>la</w:t>
      </w:r>
      <w:r>
        <w:rPr>
          <w:color w:val="231F20"/>
          <w:spacing w:val="-7"/>
          <w:sz w:val="16"/>
        </w:rPr>
        <w:t> </w:t>
      </w:r>
      <w:r>
        <w:rPr>
          <w:color w:val="231F20"/>
          <w:sz w:val="16"/>
        </w:rPr>
        <w:t>forma</w:t>
      </w:r>
      <w:r>
        <w:rPr>
          <w:color w:val="231F20"/>
          <w:spacing w:val="-7"/>
          <w:sz w:val="16"/>
        </w:rPr>
        <w:t> </w:t>
      </w:r>
      <w:r>
        <w:rPr>
          <w:color w:val="231F20"/>
          <w:sz w:val="16"/>
        </w:rPr>
        <w:t>en</w:t>
      </w:r>
      <w:r>
        <w:rPr>
          <w:color w:val="231F20"/>
          <w:spacing w:val="-7"/>
          <w:sz w:val="16"/>
        </w:rPr>
        <w:t> </w:t>
      </w:r>
      <w:r>
        <w:rPr>
          <w:color w:val="231F20"/>
          <w:sz w:val="16"/>
        </w:rPr>
        <w:t>cómo</w:t>
      </w:r>
      <w:r>
        <w:rPr>
          <w:color w:val="231F20"/>
          <w:spacing w:val="-7"/>
          <w:sz w:val="16"/>
        </w:rPr>
        <w:t> </w:t>
      </w:r>
      <w:r>
        <w:rPr>
          <w:color w:val="231F20"/>
          <w:sz w:val="16"/>
        </w:rPr>
        <w:t>se</w:t>
      </w:r>
      <w:r>
        <w:rPr>
          <w:color w:val="231F20"/>
          <w:spacing w:val="-7"/>
          <w:sz w:val="16"/>
        </w:rPr>
        <w:t> </w:t>
      </w:r>
      <w:r>
        <w:rPr>
          <w:color w:val="231F20"/>
          <w:sz w:val="16"/>
        </w:rPr>
        <w:t>nominó</w:t>
      </w:r>
      <w:r>
        <w:rPr>
          <w:color w:val="231F20"/>
          <w:spacing w:val="-7"/>
          <w:sz w:val="16"/>
        </w:rPr>
        <w:t> </w:t>
      </w:r>
      <w:r>
        <w:rPr>
          <w:color w:val="231F20"/>
          <w:sz w:val="16"/>
        </w:rPr>
        <w:t>al</w:t>
      </w:r>
      <w:r>
        <w:rPr>
          <w:color w:val="231F20"/>
          <w:spacing w:val="-7"/>
          <w:sz w:val="16"/>
        </w:rPr>
        <w:t> </w:t>
      </w:r>
      <w:r>
        <w:rPr>
          <w:color w:val="231F20"/>
          <w:sz w:val="16"/>
        </w:rPr>
        <w:t>candidato</w:t>
      </w:r>
      <w:r>
        <w:rPr>
          <w:color w:val="231F20"/>
          <w:spacing w:val="-7"/>
          <w:sz w:val="16"/>
        </w:rPr>
        <w:t> </w:t>
      </w:r>
      <w:r>
        <w:rPr>
          <w:color w:val="231F20"/>
          <w:sz w:val="16"/>
        </w:rPr>
        <w:t>del</w:t>
      </w:r>
      <w:r>
        <w:rPr>
          <w:color w:val="231F20"/>
          <w:spacing w:val="-7"/>
          <w:sz w:val="16"/>
        </w:rPr>
        <w:t> </w:t>
      </w:r>
      <w:r>
        <w:rPr>
          <w:color w:val="231F20"/>
          <w:sz w:val="16"/>
        </w:rPr>
        <w:t>PRD</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presiden- cia</w:t>
      </w:r>
      <w:r>
        <w:rPr>
          <w:color w:val="231F20"/>
          <w:spacing w:val="-5"/>
          <w:sz w:val="16"/>
        </w:rPr>
        <w:t> </w:t>
      </w:r>
      <w:r>
        <w:rPr>
          <w:color w:val="231F20"/>
          <w:sz w:val="16"/>
        </w:rPr>
        <w:t>municipal</w:t>
      </w:r>
      <w:r>
        <w:rPr>
          <w:color w:val="231F20"/>
          <w:spacing w:val="-5"/>
          <w:sz w:val="16"/>
        </w:rPr>
        <w:t> </w:t>
      </w:r>
      <w:r>
        <w:rPr>
          <w:color w:val="231F20"/>
          <w:sz w:val="16"/>
        </w:rPr>
        <w:t>de</w:t>
      </w:r>
      <w:r>
        <w:rPr>
          <w:color w:val="231F20"/>
          <w:spacing w:val="-5"/>
          <w:sz w:val="16"/>
        </w:rPr>
        <w:t> </w:t>
      </w:r>
      <w:r>
        <w:rPr>
          <w:color w:val="231F20"/>
          <w:sz w:val="16"/>
        </w:rPr>
        <w:t>Amecameca</w:t>
      </w:r>
      <w:r>
        <w:rPr>
          <w:color w:val="231F20"/>
          <w:spacing w:val="-5"/>
          <w:sz w:val="16"/>
        </w:rPr>
        <w:t> </w:t>
      </w:r>
      <w:r>
        <w:rPr>
          <w:color w:val="231F20"/>
          <w:sz w:val="16"/>
        </w:rPr>
        <w:t>para</w:t>
      </w:r>
      <w:r>
        <w:rPr>
          <w:color w:val="231F20"/>
          <w:spacing w:val="-5"/>
          <w:sz w:val="16"/>
        </w:rPr>
        <w:t> </w:t>
      </w:r>
      <w:r>
        <w:rPr>
          <w:color w:val="231F20"/>
          <w:sz w:val="16"/>
        </w:rPr>
        <w:t>el</w:t>
      </w:r>
      <w:r>
        <w:rPr>
          <w:color w:val="231F20"/>
          <w:spacing w:val="-5"/>
          <w:sz w:val="16"/>
        </w:rPr>
        <w:t> </w:t>
      </w:r>
      <w:r>
        <w:rPr>
          <w:color w:val="231F20"/>
          <w:sz w:val="16"/>
        </w:rPr>
        <w:t>periodo</w:t>
      </w:r>
      <w:r>
        <w:rPr>
          <w:color w:val="231F20"/>
          <w:spacing w:val="-5"/>
          <w:sz w:val="16"/>
        </w:rPr>
        <w:t> </w:t>
      </w:r>
      <w:r>
        <w:rPr>
          <w:color w:val="231F20"/>
          <w:sz w:val="16"/>
        </w:rPr>
        <w:t>2003-2006,</w:t>
      </w:r>
      <w:r>
        <w:rPr>
          <w:color w:val="231F20"/>
          <w:spacing w:val="-5"/>
          <w:sz w:val="16"/>
        </w:rPr>
        <w:t> </w:t>
      </w:r>
      <w:r>
        <w:rPr>
          <w:color w:val="231F20"/>
          <w:sz w:val="16"/>
        </w:rPr>
        <w:t>en</w:t>
      </w:r>
      <w:r>
        <w:rPr>
          <w:color w:val="231F20"/>
          <w:spacing w:val="-5"/>
          <w:sz w:val="16"/>
        </w:rPr>
        <w:t> </w:t>
      </w:r>
      <w:r>
        <w:rPr>
          <w:color w:val="231F20"/>
          <w:sz w:val="16"/>
        </w:rPr>
        <w:t>el</w:t>
      </w:r>
      <w:r>
        <w:rPr>
          <w:color w:val="231F20"/>
          <w:spacing w:val="-5"/>
          <w:sz w:val="16"/>
        </w:rPr>
        <w:t> </w:t>
      </w:r>
      <w:r>
        <w:rPr>
          <w:color w:val="231F20"/>
          <w:sz w:val="16"/>
        </w:rPr>
        <w:t>cual</w:t>
      </w:r>
      <w:r>
        <w:rPr>
          <w:color w:val="231F20"/>
          <w:spacing w:val="-5"/>
          <w:sz w:val="16"/>
        </w:rPr>
        <w:t> </w:t>
      </w:r>
      <w:r>
        <w:rPr>
          <w:color w:val="231F20"/>
          <w:sz w:val="16"/>
        </w:rPr>
        <w:t>no</w:t>
      </w:r>
      <w:r>
        <w:rPr>
          <w:color w:val="231F20"/>
          <w:spacing w:val="-5"/>
          <w:sz w:val="16"/>
        </w:rPr>
        <w:t> </w:t>
      </w:r>
      <w:r>
        <w:rPr>
          <w:color w:val="231F20"/>
          <w:sz w:val="16"/>
        </w:rPr>
        <w:t>se</w:t>
      </w:r>
      <w:r>
        <w:rPr>
          <w:color w:val="231F20"/>
          <w:spacing w:val="-5"/>
          <w:sz w:val="16"/>
        </w:rPr>
        <w:t> </w:t>
      </w:r>
      <w:r>
        <w:rPr>
          <w:color w:val="231F20"/>
          <w:sz w:val="16"/>
        </w:rPr>
        <w:t>vio</w:t>
      </w:r>
      <w:r>
        <w:rPr>
          <w:color w:val="231F20"/>
          <w:spacing w:val="-5"/>
          <w:sz w:val="16"/>
        </w:rPr>
        <w:t> </w:t>
      </w:r>
      <w:r>
        <w:rPr>
          <w:color w:val="231F20"/>
          <w:sz w:val="16"/>
        </w:rPr>
        <w:t>favorecido</w:t>
      </w:r>
      <w:r>
        <w:rPr>
          <w:color w:val="231F20"/>
          <w:spacing w:val="-5"/>
          <w:sz w:val="16"/>
        </w:rPr>
        <w:t> </w:t>
      </w:r>
      <w:r>
        <w:rPr>
          <w:color w:val="231F20"/>
          <w:sz w:val="16"/>
        </w:rPr>
        <w:t>Juan</w:t>
      </w:r>
      <w:r>
        <w:rPr>
          <w:color w:val="231F20"/>
          <w:spacing w:val="-5"/>
          <w:sz w:val="16"/>
        </w:rPr>
        <w:t> </w:t>
      </w:r>
      <w:r>
        <w:rPr>
          <w:color w:val="231F20"/>
          <w:sz w:val="16"/>
        </w:rPr>
        <w:t>Manuel</w:t>
      </w:r>
      <w:r>
        <w:rPr>
          <w:color w:val="231F20"/>
          <w:spacing w:val="-5"/>
          <w:sz w:val="16"/>
        </w:rPr>
        <w:t> </w:t>
      </w:r>
      <w:r>
        <w:rPr>
          <w:color w:val="231F20"/>
          <w:sz w:val="16"/>
        </w:rPr>
        <w:t>Guerrero,</w:t>
      </w:r>
      <w:r>
        <w:rPr>
          <w:color w:val="231F20"/>
          <w:spacing w:val="-5"/>
          <w:sz w:val="16"/>
        </w:rPr>
        <w:t> </w:t>
      </w:r>
      <w:r>
        <w:rPr>
          <w:color w:val="231F20"/>
          <w:sz w:val="16"/>
        </w:rPr>
        <w:t>después</w:t>
      </w:r>
      <w:r>
        <w:rPr>
          <w:color w:val="231F20"/>
          <w:spacing w:val="-5"/>
          <w:sz w:val="16"/>
        </w:rPr>
        <w:t> </w:t>
      </w:r>
      <w:r>
        <w:rPr>
          <w:color w:val="231F20"/>
          <w:sz w:val="16"/>
        </w:rPr>
        <w:t>de haberse</w:t>
      </w:r>
      <w:r>
        <w:rPr>
          <w:color w:val="231F20"/>
          <w:spacing w:val="-16"/>
          <w:sz w:val="16"/>
        </w:rPr>
        <w:t> </w:t>
      </w:r>
      <w:r>
        <w:rPr>
          <w:color w:val="231F20"/>
          <w:sz w:val="16"/>
        </w:rPr>
        <w:t>sentido</w:t>
      </w:r>
      <w:r>
        <w:rPr>
          <w:color w:val="231F20"/>
          <w:spacing w:val="-16"/>
          <w:sz w:val="16"/>
        </w:rPr>
        <w:t> </w:t>
      </w:r>
      <w:r>
        <w:rPr>
          <w:color w:val="231F20"/>
          <w:sz w:val="16"/>
        </w:rPr>
        <w:t>el</w:t>
      </w:r>
      <w:r>
        <w:rPr>
          <w:color w:val="231F20"/>
          <w:spacing w:val="-16"/>
          <w:sz w:val="16"/>
        </w:rPr>
        <w:t> </w:t>
      </w:r>
      <w:r>
        <w:rPr>
          <w:color w:val="231F20"/>
          <w:sz w:val="16"/>
        </w:rPr>
        <w:t>preferido</w:t>
      </w:r>
      <w:r>
        <w:rPr>
          <w:color w:val="231F20"/>
          <w:spacing w:val="-16"/>
          <w:sz w:val="16"/>
        </w:rPr>
        <w:t> </w:t>
      </w:r>
      <w:r>
        <w:rPr>
          <w:color w:val="231F20"/>
          <w:sz w:val="16"/>
        </w:rPr>
        <w:t>del</w:t>
      </w:r>
      <w:r>
        <w:rPr>
          <w:color w:val="231F20"/>
          <w:spacing w:val="-16"/>
          <w:sz w:val="16"/>
        </w:rPr>
        <w:t> </w:t>
      </w:r>
      <w:r>
        <w:rPr>
          <w:color w:val="231F20"/>
          <w:sz w:val="16"/>
        </w:rPr>
        <w:t>Presidente</w:t>
      </w:r>
      <w:r>
        <w:rPr>
          <w:color w:val="231F20"/>
          <w:spacing w:val="-16"/>
          <w:sz w:val="16"/>
        </w:rPr>
        <w:t> </w:t>
      </w:r>
      <w:r>
        <w:rPr>
          <w:color w:val="231F20"/>
          <w:sz w:val="16"/>
        </w:rPr>
        <w:t>Municipal</w:t>
      </w:r>
      <w:r>
        <w:rPr>
          <w:color w:val="231F20"/>
          <w:spacing w:val="-16"/>
          <w:sz w:val="16"/>
        </w:rPr>
        <w:t> </w:t>
      </w:r>
      <w:r>
        <w:rPr>
          <w:color w:val="231F20"/>
          <w:sz w:val="16"/>
        </w:rPr>
        <w:t>quien</w:t>
      </w:r>
      <w:r>
        <w:rPr>
          <w:color w:val="231F20"/>
          <w:spacing w:val="-16"/>
          <w:sz w:val="16"/>
        </w:rPr>
        <w:t> </w:t>
      </w:r>
      <w:r>
        <w:rPr>
          <w:color w:val="231F20"/>
          <w:sz w:val="16"/>
        </w:rPr>
        <w:t>al</w:t>
      </w:r>
      <w:r>
        <w:rPr>
          <w:color w:val="231F20"/>
          <w:spacing w:val="-16"/>
          <w:sz w:val="16"/>
        </w:rPr>
        <w:t> </w:t>
      </w:r>
      <w:r>
        <w:rPr>
          <w:color w:val="231F20"/>
          <w:sz w:val="16"/>
        </w:rPr>
        <w:t>final</w:t>
      </w:r>
      <w:r>
        <w:rPr>
          <w:color w:val="231F20"/>
          <w:spacing w:val="-16"/>
          <w:sz w:val="16"/>
        </w:rPr>
        <w:t> </w:t>
      </w:r>
      <w:r>
        <w:rPr>
          <w:color w:val="231F20"/>
          <w:sz w:val="16"/>
        </w:rPr>
        <w:t>se</w:t>
      </w:r>
      <w:r>
        <w:rPr>
          <w:color w:val="231F20"/>
          <w:spacing w:val="-16"/>
          <w:sz w:val="16"/>
        </w:rPr>
        <w:t> </w:t>
      </w:r>
      <w:r>
        <w:rPr>
          <w:color w:val="231F20"/>
          <w:sz w:val="16"/>
        </w:rPr>
        <w:t>inclinó</w:t>
      </w:r>
      <w:r>
        <w:rPr>
          <w:color w:val="231F20"/>
          <w:spacing w:val="-16"/>
          <w:sz w:val="16"/>
        </w:rPr>
        <w:t> </w:t>
      </w:r>
      <w:r>
        <w:rPr>
          <w:color w:val="231F20"/>
          <w:sz w:val="16"/>
        </w:rPr>
        <w:t>por</w:t>
      </w:r>
      <w:r>
        <w:rPr>
          <w:color w:val="231F20"/>
          <w:spacing w:val="-16"/>
          <w:sz w:val="16"/>
        </w:rPr>
        <w:t> </w:t>
      </w:r>
      <w:r>
        <w:rPr>
          <w:color w:val="231F20"/>
          <w:sz w:val="16"/>
        </w:rPr>
        <w:t>otro:</w:t>
      </w:r>
      <w:r>
        <w:rPr>
          <w:color w:val="231F20"/>
          <w:spacing w:val="-16"/>
          <w:sz w:val="16"/>
        </w:rPr>
        <w:t> </w:t>
      </w:r>
      <w:r>
        <w:rPr>
          <w:color w:val="231F20"/>
          <w:sz w:val="16"/>
        </w:rPr>
        <w:t>Arnulfo</w:t>
      </w:r>
      <w:r>
        <w:rPr>
          <w:color w:val="231F20"/>
          <w:spacing w:val="-16"/>
          <w:sz w:val="16"/>
        </w:rPr>
        <w:t> </w:t>
      </w:r>
      <w:r>
        <w:rPr>
          <w:color w:val="231F20"/>
          <w:sz w:val="16"/>
        </w:rPr>
        <w:t>Adaya</w:t>
      </w:r>
      <w:r>
        <w:rPr>
          <w:color w:val="231F20"/>
          <w:spacing w:val="-16"/>
          <w:sz w:val="16"/>
        </w:rPr>
        <w:t> </w:t>
      </w:r>
      <w:r>
        <w:rPr>
          <w:color w:val="231F20"/>
          <w:sz w:val="16"/>
        </w:rPr>
        <w:t>Silva.</w:t>
      </w:r>
      <w:r>
        <w:rPr>
          <w:color w:val="231F20"/>
          <w:spacing w:val="-16"/>
          <w:sz w:val="16"/>
        </w:rPr>
        <w:t> </w:t>
      </w:r>
      <w:r>
        <w:rPr>
          <w:color w:val="231F20"/>
          <w:sz w:val="16"/>
        </w:rPr>
        <w:t>Ante</w:t>
      </w:r>
      <w:r>
        <w:rPr>
          <w:color w:val="231F20"/>
          <w:spacing w:val="-16"/>
          <w:sz w:val="16"/>
        </w:rPr>
        <w:t> </w:t>
      </w:r>
      <w:r>
        <w:rPr>
          <w:color w:val="231F20"/>
          <w:sz w:val="16"/>
        </w:rPr>
        <w:t>esta</w:t>
      </w:r>
      <w:r>
        <w:rPr>
          <w:color w:val="231F20"/>
          <w:spacing w:val="-16"/>
          <w:sz w:val="16"/>
        </w:rPr>
        <w:t> </w:t>
      </w:r>
      <w:r>
        <w:rPr>
          <w:color w:val="231F20"/>
          <w:sz w:val="16"/>
        </w:rPr>
        <w:t>decisión desfavorable</w:t>
      </w:r>
      <w:r>
        <w:rPr>
          <w:color w:val="231F20"/>
          <w:spacing w:val="-5"/>
          <w:sz w:val="16"/>
        </w:rPr>
        <w:t> </w:t>
      </w:r>
      <w:r>
        <w:rPr>
          <w:color w:val="231F20"/>
          <w:sz w:val="16"/>
        </w:rPr>
        <w:t>para</w:t>
      </w:r>
      <w:r>
        <w:rPr>
          <w:color w:val="231F20"/>
          <w:spacing w:val="-5"/>
          <w:sz w:val="16"/>
        </w:rPr>
        <w:t> </w:t>
      </w:r>
      <w:r>
        <w:rPr>
          <w:color w:val="231F20"/>
          <w:sz w:val="16"/>
        </w:rPr>
        <w:t>Guerrero,</w:t>
      </w:r>
      <w:r>
        <w:rPr>
          <w:color w:val="231F20"/>
          <w:spacing w:val="-5"/>
          <w:sz w:val="16"/>
        </w:rPr>
        <w:t> </w:t>
      </w:r>
      <w:r>
        <w:rPr>
          <w:color w:val="231F20"/>
          <w:sz w:val="16"/>
        </w:rPr>
        <w:t>el</w:t>
      </w:r>
      <w:r>
        <w:rPr>
          <w:color w:val="231F20"/>
          <w:spacing w:val="-5"/>
          <w:sz w:val="16"/>
        </w:rPr>
        <w:t> </w:t>
      </w:r>
      <w:r>
        <w:rPr>
          <w:color w:val="231F20"/>
          <w:sz w:val="16"/>
        </w:rPr>
        <w:t>entonces</w:t>
      </w:r>
      <w:r>
        <w:rPr>
          <w:color w:val="231F20"/>
          <w:spacing w:val="-5"/>
          <w:sz w:val="16"/>
        </w:rPr>
        <w:t> </w:t>
      </w:r>
      <w:r>
        <w:rPr>
          <w:color w:val="231F20"/>
          <w:sz w:val="16"/>
        </w:rPr>
        <w:t>presidente</w:t>
      </w:r>
      <w:r>
        <w:rPr>
          <w:color w:val="231F20"/>
          <w:spacing w:val="-5"/>
          <w:sz w:val="16"/>
        </w:rPr>
        <w:t> </w:t>
      </w:r>
      <w:r>
        <w:rPr>
          <w:color w:val="231F20"/>
          <w:sz w:val="16"/>
        </w:rPr>
        <w:t>municipal,</w:t>
      </w:r>
      <w:r>
        <w:rPr>
          <w:color w:val="231F20"/>
          <w:spacing w:val="-5"/>
          <w:sz w:val="16"/>
        </w:rPr>
        <w:t> </w:t>
      </w:r>
      <w:r>
        <w:rPr>
          <w:color w:val="231F20"/>
          <w:sz w:val="16"/>
        </w:rPr>
        <w:t>Federico</w:t>
      </w:r>
      <w:r>
        <w:rPr>
          <w:color w:val="231F20"/>
          <w:spacing w:val="-5"/>
          <w:sz w:val="16"/>
        </w:rPr>
        <w:t> </w:t>
      </w:r>
      <w:r>
        <w:rPr>
          <w:color w:val="231F20"/>
          <w:sz w:val="16"/>
        </w:rPr>
        <w:t>del</w:t>
      </w:r>
      <w:r>
        <w:rPr>
          <w:color w:val="231F20"/>
          <w:spacing w:val="-5"/>
          <w:sz w:val="16"/>
        </w:rPr>
        <w:t> </w:t>
      </w:r>
      <w:r>
        <w:rPr>
          <w:color w:val="231F20"/>
          <w:sz w:val="16"/>
        </w:rPr>
        <w:t>Valle</w:t>
      </w:r>
      <w:r>
        <w:rPr>
          <w:color w:val="231F20"/>
          <w:spacing w:val="-5"/>
          <w:sz w:val="16"/>
        </w:rPr>
        <w:t> </w:t>
      </w:r>
      <w:r>
        <w:rPr>
          <w:color w:val="231F20"/>
          <w:sz w:val="16"/>
        </w:rPr>
        <w:t>Miranda,</w:t>
      </w:r>
      <w:r>
        <w:rPr>
          <w:color w:val="231F20"/>
          <w:spacing w:val="-5"/>
          <w:sz w:val="16"/>
        </w:rPr>
        <w:t> </w:t>
      </w:r>
      <w:r>
        <w:rPr>
          <w:color w:val="231F20"/>
          <w:sz w:val="16"/>
        </w:rPr>
        <w:t>que</w:t>
      </w:r>
      <w:r>
        <w:rPr>
          <w:color w:val="231F20"/>
          <w:spacing w:val="-5"/>
          <w:sz w:val="16"/>
        </w:rPr>
        <w:t> </w:t>
      </w:r>
      <w:r>
        <w:rPr>
          <w:color w:val="231F20"/>
          <w:sz w:val="16"/>
        </w:rPr>
        <w:t>buscaba</w:t>
      </w:r>
      <w:r>
        <w:rPr>
          <w:color w:val="231F20"/>
          <w:spacing w:val="-5"/>
          <w:sz w:val="16"/>
        </w:rPr>
        <w:t> </w:t>
      </w:r>
      <w:r>
        <w:rPr>
          <w:color w:val="231F20"/>
          <w:sz w:val="16"/>
        </w:rPr>
        <w:t>la</w:t>
      </w:r>
      <w:r>
        <w:rPr>
          <w:color w:val="231F20"/>
          <w:spacing w:val="-5"/>
          <w:sz w:val="16"/>
        </w:rPr>
        <w:t> </w:t>
      </w:r>
      <w:r>
        <w:rPr>
          <w:color w:val="231F20"/>
          <w:sz w:val="16"/>
        </w:rPr>
        <w:t>candidatura</w:t>
      </w:r>
      <w:r>
        <w:rPr>
          <w:color w:val="231F20"/>
          <w:spacing w:val="-5"/>
          <w:sz w:val="16"/>
        </w:rPr>
        <w:t> </w:t>
      </w:r>
      <w:r>
        <w:rPr>
          <w:color w:val="231F20"/>
          <w:sz w:val="16"/>
        </w:rPr>
        <w:t>a</w:t>
      </w:r>
      <w:r>
        <w:rPr>
          <w:color w:val="231F20"/>
          <w:spacing w:val="-5"/>
          <w:sz w:val="16"/>
        </w:rPr>
        <w:t> </w:t>
      </w:r>
      <w:r>
        <w:rPr>
          <w:color w:val="231F20"/>
          <w:sz w:val="16"/>
        </w:rPr>
        <w:t>la diputación</w:t>
      </w:r>
      <w:r>
        <w:rPr>
          <w:color w:val="231F20"/>
          <w:spacing w:val="-11"/>
          <w:sz w:val="16"/>
        </w:rPr>
        <w:t> </w:t>
      </w:r>
      <w:r>
        <w:rPr>
          <w:color w:val="231F20"/>
          <w:sz w:val="16"/>
        </w:rPr>
        <w:t>local,</w:t>
      </w:r>
      <w:r>
        <w:rPr>
          <w:color w:val="231F20"/>
          <w:spacing w:val="-11"/>
          <w:sz w:val="16"/>
        </w:rPr>
        <w:t> </w:t>
      </w:r>
      <w:r>
        <w:rPr>
          <w:color w:val="231F20"/>
          <w:sz w:val="16"/>
        </w:rPr>
        <w:t>invita</w:t>
      </w:r>
      <w:r>
        <w:rPr>
          <w:color w:val="231F20"/>
          <w:spacing w:val="-11"/>
          <w:sz w:val="16"/>
        </w:rPr>
        <w:t> </w:t>
      </w:r>
      <w:r>
        <w:rPr>
          <w:color w:val="231F20"/>
          <w:sz w:val="16"/>
        </w:rPr>
        <w:t>a</w:t>
      </w:r>
      <w:r>
        <w:rPr>
          <w:color w:val="231F20"/>
          <w:spacing w:val="-11"/>
          <w:sz w:val="16"/>
        </w:rPr>
        <w:t> </w:t>
      </w:r>
      <w:r>
        <w:rPr>
          <w:color w:val="231F20"/>
          <w:sz w:val="16"/>
        </w:rPr>
        <w:t>Guerrero</w:t>
      </w:r>
      <w:r>
        <w:rPr>
          <w:color w:val="231F20"/>
          <w:spacing w:val="-11"/>
          <w:sz w:val="16"/>
        </w:rPr>
        <w:t> </w:t>
      </w:r>
      <w:r>
        <w:rPr>
          <w:color w:val="231F20"/>
          <w:sz w:val="16"/>
        </w:rPr>
        <w:t>a</w:t>
      </w:r>
      <w:r>
        <w:rPr>
          <w:color w:val="231F20"/>
          <w:spacing w:val="-11"/>
          <w:sz w:val="16"/>
        </w:rPr>
        <w:t> </w:t>
      </w:r>
      <w:r>
        <w:rPr>
          <w:color w:val="231F20"/>
          <w:sz w:val="16"/>
        </w:rPr>
        <w:t>ser</w:t>
      </w:r>
      <w:r>
        <w:rPr>
          <w:color w:val="231F20"/>
          <w:spacing w:val="-11"/>
          <w:sz w:val="16"/>
        </w:rPr>
        <w:t> </w:t>
      </w:r>
      <w:r>
        <w:rPr>
          <w:color w:val="231F20"/>
          <w:sz w:val="16"/>
        </w:rPr>
        <w:t>candidato</w:t>
      </w:r>
      <w:r>
        <w:rPr>
          <w:color w:val="231F20"/>
          <w:spacing w:val="-11"/>
          <w:sz w:val="16"/>
        </w:rPr>
        <w:t> </w:t>
      </w:r>
      <w:r>
        <w:rPr>
          <w:color w:val="231F20"/>
          <w:sz w:val="16"/>
        </w:rPr>
        <w:t>suplente</w:t>
      </w:r>
      <w:r>
        <w:rPr>
          <w:color w:val="231F20"/>
          <w:spacing w:val="-11"/>
          <w:sz w:val="16"/>
        </w:rPr>
        <w:t> </w:t>
      </w:r>
      <w:r>
        <w:rPr>
          <w:color w:val="231F20"/>
          <w:sz w:val="16"/>
        </w:rPr>
        <w:t>a</w:t>
      </w:r>
      <w:r>
        <w:rPr>
          <w:color w:val="231F20"/>
          <w:spacing w:val="-11"/>
          <w:sz w:val="16"/>
        </w:rPr>
        <w:t> </w:t>
      </w:r>
      <w:r>
        <w:rPr>
          <w:color w:val="231F20"/>
          <w:sz w:val="16"/>
        </w:rPr>
        <w:t>la</w:t>
      </w:r>
      <w:r>
        <w:rPr>
          <w:color w:val="231F20"/>
          <w:spacing w:val="-11"/>
          <w:sz w:val="16"/>
        </w:rPr>
        <w:t> </w:t>
      </w:r>
      <w:r>
        <w:rPr>
          <w:color w:val="231F20"/>
          <w:sz w:val="16"/>
        </w:rPr>
        <w:t>diputación.</w:t>
      </w:r>
      <w:r>
        <w:rPr>
          <w:color w:val="231F20"/>
          <w:spacing w:val="-11"/>
          <w:sz w:val="16"/>
        </w:rPr>
        <w:t> </w:t>
      </w:r>
      <w:r>
        <w:rPr>
          <w:color w:val="231F20"/>
          <w:sz w:val="16"/>
        </w:rPr>
        <w:t>Así</w:t>
      </w:r>
      <w:r>
        <w:rPr>
          <w:color w:val="231F20"/>
          <w:spacing w:val="-11"/>
          <w:sz w:val="16"/>
        </w:rPr>
        <w:t> </w:t>
      </w:r>
      <w:r>
        <w:rPr>
          <w:color w:val="231F20"/>
          <w:sz w:val="16"/>
        </w:rPr>
        <w:t>es</w:t>
      </w:r>
      <w:r>
        <w:rPr>
          <w:color w:val="231F20"/>
          <w:spacing w:val="-11"/>
          <w:sz w:val="16"/>
        </w:rPr>
        <w:t> </w:t>
      </w:r>
      <w:r>
        <w:rPr>
          <w:color w:val="231F20"/>
          <w:sz w:val="16"/>
        </w:rPr>
        <w:t>como</w:t>
      </w:r>
      <w:r>
        <w:rPr>
          <w:color w:val="231F20"/>
          <w:spacing w:val="-11"/>
          <w:sz w:val="16"/>
        </w:rPr>
        <w:t> </w:t>
      </w:r>
      <w:r>
        <w:rPr>
          <w:color w:val="231F20"/>
          <w:sz w:val="16"/>
        </w:rPr>
        <w:t>el</w:t>
      </w:r>
      <w:r>
        <w:rPr>
          <w:color w:val="231F20"/>
          <w:spacing w:val="-11"/>
          <w:sz w:val="16"/>
        </w:rPr>
        <w:t> </w:t>
      </w:r>
      <w:r>
        <w:rPr>
          <w:color w:val="231F20"/>
          <w:sz w:val="16"/>
        </w:rPr>
        <w:t>partido</w:t>
      </w:r>
      <w:r>
        <w:rPr>
          <w:color w:val="231F20"/>
          <w:spacing w:val="-11"/>
          <w:sz w:val="16"/>
        </w:rPr>
        <w:t> </w:t>
      </w:r>
      <w:r>
        <w:rPr>
          <w:color w:val="231F20"/>
          <w:sz w:val="16"/>
        </w:rPr>
        <w:t>arregla</w:t>
      </w:r>
      <w:r>
        <w:rPr>
          <w:color w:val="231F20"/>
          <w:spacing w:val="-11"/>
          <w:sz w:val="16"/>
        </w:rPr>
        <w:t> </w:t>
      </w:r>
      <w:r>
        <w:rPr>
          <w:color w:val="231F20"/>
          <w:sz w:val="16"/>
        </w:rPr>
        <w:t>las</w:t>
      </w:r>
      <w:r>
        <w:rPr>
          <w:color w:val="231F20"/>
          <w:spacing w:val="-11"/>
          <w:sz w:val="16"/>
        </w:rPr>
        <w:t> </w:t>
      </w:r>
      <w:r>
        <w:rPr>
          <w:color w:val="231F20"/>
          <w:sz w:val="16"/>
        </w:rPr>
        <w:t>diferencias,</w:t>
      </w:r>
      <w:r>
        <w:rPr>
          <w:color w:val="231F20"/>
          <w:spacing w:val="-11"/>
          <w:sz w:val="16"/>
        </w:rPr>
        <w:t> </w:t>
      </w:r>
      <w:r>
        <w:rPr>
          <w:color w:val="231F20"/>
          <w:sz w:val="16"/>
        </w:rPr>
        <w:t>con el uso de incentivos colectivos para los miembros de la élite. Una vez pasada la elección constitucional, en la cual ganó el candidato a diputado del PRD y perdió el candidato a presidente municipal del mismo partido, Guerrero decide salirse del Grupo</w:t>
      </w:r>
      <w:r>
        <w:rPr>
          <w:color w:val="231F20"/>
          <w:spacing w:val="-3"/>
          <w:sz w:val="16"/>
        </w:rPr>
        <w:t> </w:t>
      </w:r>
      <w:r>
        <w:rPr>
          <w:color w:val="231F20"/>
          <w:sz w:val="16"/>
        </w:rPr>
        <w:t>Acción</w:t>
      </w:r>
      <w:r>
        <w:rPr>
          <w:color w:val="231F20"/>
          <w:spacing w:val="-3"/>
          <w:sz w:val="16"/>
        </w:rPr>
        <w:t> </w:t>
      </w:r>
      <w:r>
        <w:rPr>
          <w:color w:val="231F20"/>
          <w:sz w:val="16"/>
        </w:rPr>
        <w:t>Política</w:t>
      </w:r>
      <w:r>
        <w:rPr>
          <w:color w:val="231F20"/>
          <w:spacing w:val="-3"/>
          <w:sz w:val="16"/>
        </w:rPr>
        <w:t> </w:t>
      </w:r>
      <w:r>
        <w:rPr>
          <w:color w:val="231F20"/>
          <w:sz w:val="16"/>
        </w:rPr>
        <w:t>(GAP)</w:t>
      </w:r>
      <w:r>
        <w:rPr>
          <w:color w:val="231F20"/>
          <w:spacing w:val="-3"/>
          <w:sz w:val="16"/>
        </w:rPr>
        <w:t> </w:t>
      </w:r>
      <w:r>
        <w:rPr>
          <w:color w:val="231F20"/>
          <w:sz w:val="16"/>
        </w:rPr>
        <w:t>en</w:t>
      </w:r>
      <w:r>
        <w:rPr>
          <w:color w:val="231F20"/>
          <w:spacing w:val="-3"/>
          <w:sz w:val="16"/>
        </w:rPr>
        <w:t> </w:t>
      </w:r>
      <w:r>
        <w:rPr>
          <w:color w:val="231F20"/>
          <w:sz w:val="16"/>
        </w:rPr>
        <w:t>el</w:t>
      </w:r>
      <w:r>
        <w:rPr>
          <w:color w:val="231F20"/>
          <w:spacing w:val="-3"/>
          <w:sz w:val="16"/>
        </w:rPr>
        <w:t> </w:t>
      </w:r>
      <w:r>
        <w:rPr>
          <w:color w:val="231F20"/>
          <w:sz w:val="16"/>
        </w:rPr>
        <w:t>que</w:t>
      </w:r>
      <w:r>
        <w:rPr>
          <w:color w:val="231F20"/>
          <w:spacing w:val="-3"/>
          <w:sz w:val="16"/>
        </w:rPr>
        <w:t> </w:t>
      </w:r>
      <w:r>
        <w:rPr>
          <w:color w:val="231F20"/>
          <w:sz w:val="16"/>
        </w:rPr>
        <w:t>se</w:t>
      </w:r>
      <w:r>
        <w:rPr>
          <w:color w:val="231F20"/>
          <w:spacing w:val="-3"/>
          <w:sz w:val="16"/>
        </w:rPr>
        <w:t> </w:t>
      </w:r>
      <w:r>
        <w:rPr>
          <w:color w:val="231F20"/>
          <w:sz w:val="16"/>
        </w:rPr>
        <w:t>ubicaba</w:t>
      </w:r>
      <w:r>
        <w:rPr>
          <w:color w:val="231F20"/>
          <w:spacing w:val="-3"/>
          <w:sz w:val="16"/>
        </w:rPr>
        <w:t> </w:t>
      </w:r>
      <w:r>
        <w:rPr>
          <w:color w:val="231F20"/>
          <w:sz w:val="16"/>
        </w:rPr>
        <w:t>junto</w:t>
      </w:r>
      <w:r>
        <w:rPr>
          <w:color w:val="231F20"/>
          <w:spacing w:val="-3"/>
          <w:sz w:val="16"/>
        </w:rPr>
        <w:t> </w:t>
      </w:r>
      <w:r>
        <w:rPr>
          <w:color w:val="231F20"/>
          <w:sz w:val="16"/>
        </w:rPr>
        <w:t>con</w:t>
      </w:r>
      <w:r>
        <w:rPr>
          <w:color w:val="231F20"/>
          <w:spacing w:val="-3"/>
          <w:sz w:val="16"/>
        </w:rPr>
        <w:t> </w:t>
      </w:r>
      <w:r>
        <w:rPr>
          <w:color w:val="231F20"/>
          <w:sz w:val="16"/>
        </w:rPr>
        <w:t>Federico</w:t>
      </w:r>
      <w:r>
        <w:rPr>
          <w:color w:val="231F20"/>
          <w:spacing w:val="-3"/>
          <w:sz w:val="16"/>
        </w:rPr>
        <w:t> </w:t>
      </w:r>
      <w:r>
        <w:rPr>
          <w:color w:val="231F20"/>
          <w:sz w:val="16"/>
        </w:rPr>
        <w:t>y</w:t>
      </w:r>
      <w:r>
        <w:rPr>
          <w:color w:val="231F20"/>
          <w:spacing w:val="-3"/>
          <w:sz w:val="16"/>
        </w:rPr>
        <w:t> </w:t>
      </w:r>
      <w:r>
        <w:rPr>
          <w:color w:val="231F20"/>
          <w:sz w:val="16"/>
        </w:rPr>
        <w:t>forma</w:t>
      </w:r>
      <w:r>
        <w:rPr>
          <w:color w:val="231F20"/>
          <w:spacing w:val="-3"/>
          <w:sz w:val="16"/>
        </w:rPr>
        <w:t> </w:t>
      </w:r>
      <w:r>
        <w:rPr>
          <w:color w:val="231F20"/>
          <w:sz w:val="16"/>
        </w:rPr>
        <w:t>Desarrollo</w:t>
      </w:r>
      <w:r>
        <w:rPr>
          <w:color w:val="231F20"/>
          <w:spacing w:val="-3"/>
          <w:sz w:val="16"/>
        </w:rPr>
        <w:t> </w:t>
      </w:r>
      <w:r>
        <w:rPr>
          <w:color w:val="231F20"/>
          <w:sz w:val="16"/>
        </w:rPr>
        <w:t>Social</w:t>
      </w:r>
      <w:r>
        <w:rPr>
          <w:color w:val="231F20"/>
          <w:spacing w:val="-3"/>
          <w:sz w:val="16"/>
        </w:rPr>
        <w:t> </w:t>
      </w:r>
      <w:r>
        <w:rPr>
          <w:color w:val="231F20"/>
          <w:sz w:val="16"/>
        </w:rPr>
        <w:t>Ciudadano,</w:t>
      </w:r>
      <w:r>
        <w:rPr>
          <w:color w:val="231F20"/>
          <w:spacing w:val="-3"/>
          <w:sz w:val="16"/>
        </w:rPr>
        <w:t> </w:t>
      </w:r>
      <w:r>
        <w:rPr>
          <w:color w:val="231F20"/>
          <w:sz w:val="16"/>
        </w:rPr>
        <w:t>sin</w:t>
      </w:r>
      <w:r>
        <w:rPr>
          <w:color w:val="231F20"/>
          <w:spacing w:val="-3"/>
          <w:sz w:val="16"/>
        </w:rPr>
        <w:t> </w:t>
      </w:r>
      <w:r>
        <w:rPr>
          <w:color w:val="231F20"/>
          <w:sz w:val="16"/>
        </w:rPr>
        <w:t>abandonar</w:t>
      </w:r>
      <w:r>
        <w:rPr>
          <w:color w:val="231F20"/>
          <w:spacing w:val="-3"/>
          <w:sz w:val="16"/>
        </w:rPr>
        <w:t> </w:t>
      </w:r>
      <w:r>
        <w:rPr>
          <w:color w:val="231F20"/>
          <w:sz w:val="16"/>
        </w:rPr>
        <w:t>al PRD.</w:t>
      </w:r>
      <w:r>
        <w:rPr>
          <w:color w:val="231F20"/>
          <w:spacing w:val="-13"/>
          <w:sz w:val="16"/>
        </w:rPr>
        <w:t> </w:t>
      </w:r>
      <w:r>
        <w:rPr>
          <w:color w:val="231F20"/>
          <w:sz w:val="16"/>
        </w:rPr>
        <w:t>Esta</w:t>
      </w:r>
      <w:r>
        <w:rPr>
          <w:color w:val="231F20"/>
          <w:spacing w:val="-13"/>
          <w:sz w:val="16"/>
        </w:rPr>
        <w:t> </w:t>
      </w:r>
      <w:r>
        <w:rPr>
          <w:color w:val="231F20"/>
          <w:sz w:val="16"/>
        </w:rPr>
        <w:t>decisión</w:t>
      </w:r>
      <w:r>
        <w:rPr>
          <w:color w:val="231F20"/>
          <w:spacing w:val="-13"/>
          <w:sz w:val="16"/>
        </w:rPr>
        <w:t> </w:t>
      </w:r>
      <w:r>
        <w:rPr>
          <w:color w:val="231F20"/>
          <w:sz w:val="16"/>
        </w:rPr>
        <w:t>que</w:t>
      </w:r>
      <w:r>
        <w:rPr>
          <w:color w:val="231F20"/>
          <w:spacing w:val="-13"/>
          <w:sz w:val="16"/>
        </w:rPr>
        <w:t> </w:t>
      </w:r>
      <w:r>
        <w:rPr>
          <w:color w:val="231F20"/>
          <w:sz w:val="16"/>
        </w:rPr>
        <w:t>se</w:t>
      </w:r>
      <w:r>
        <w:rPr>
          <w:color w:val="231F20"/>
          <w:spacing w:val="-13"/>
          <w:sz w:val="16"/>
        </w:rPr>
        <w:t> </w:t>
      </w:r>
      <w:r>
        <w:rPr>
          <w:color w:val="231F20"/>
          <w:sz w:val="16"/>
        </w:rPr>
        <w:t>ve</w:t>
      </w:r>
      <w:r>
        <w:rPr>
          <w:color w:val="231F20"/>
          <w:spacing w:val="-13"/>
          <w:sz w:val="16"/>
        </w:rPr>
        <w:t> </w:t>
      </w:r>
      <w:r>
        <w:rPr>
          <w:color w:val="231F20"/>
          <w:sz w:val="16"/>
        </w:rPr>
        <w:t>avalada</w:t>
      </w:r>
      <w:r>
        <w:rPr>
          <w:color w:val="231F20"/>
          <w:spacing w:val="-13"/>
          <w:sz w:val="16"/>
        </w:rPr>
        <w:t> </w:t>
      </w:r>
      <w:r>
        <w:rPr>
          <w:color w:val="231F20"/>
          <w:sz w:val="16"/>
        </w:rPr>
        <w:t>por</w:t>
      </w:r>
      <w:r>
        <w:rPr>
          <w:color w:val="231F20"/>
          <w:spacing w:val="-13"/>
          <w:sz w:val="16"/>
        </w:rPr>
        <w:t> </w:t>
      </w:r>
      <w:r>
        <w:rPr>
          <w:color w:val="231F20"/>
          <w:sz w:val="16"/>
        </w:rPr>
        <w:t>Héctor</w:t>
      </w:r>
      <w:r>
        <w:rPr>
          <w:color w:val="231F20"/>
          <w:spacing w:val="-13"/>
          <w:sz w:val="16"/>
        </w:rPr>
        <w:t> </w:t>
      </w:r>
      <w:r>
        <w:rPr>
          <w:color w:val="231F20"/>
          <w:sz w:val="16"/>
        </w:rPr>
        <w:t>Bautista</w:t>
      </w:r>
      <w:r>
        <w:rPr>
          <w:color w:val="231F20"/>
          <w:spacing w:val="-13"/>
          <w:sz w:val="16"/>
        </w:rPr>
        <w:t> </w:t>
      </w:r>
      <w:r>
        <w:rPr>
          <w:color w:val="231F20"/>
          <w:sz w:val="16"/>
        </w:rPr>
        <w:t>en</w:t>
      </w:r>
      <w:r>
        <w:rPr>
          <w:color w:val="231F20"/>
          <w:spacing w:val="-13"/>
          <w:sz w:val="16"/>
        </w:rPr>
        <w:t> </w:t>
      </w:r>
      <w:r>
        <w:rPr>
          <w:color w:val="231F20"/>
          <w:sz w:val="16"/>
        </w:rPr>
        <w:t>ese</w:t>
      </w:r>
      <w:r>
        <w:rPr>
          <w:color w:val="231F20"/>
          <w:spacing w:val="-13"/>
          <w:sz w:val="16"/>
        </w:rPr>
        <w:t> </w:t>
      </w:r>
      <w:r>
        <w:rPr>
          <w:color w:val="231F20"/>
          <w:sz w:val="16"/>
        </w:rPr>
        <w:t>entonces</w:t>
      </w:r>
      <w:r>
        <w:rPr>
          <w:color w:val="231F20"/>
          <w:spacing w:val="-13"/>
          <w:sz w:val="16"/>
        </w:rPr>
        <w:t> </w:t>
      </w:r>
      <w:r>
        <w:rPr>
          <w:color w:val="231F20"/>
          <w:sz w:val="16"/>
        </w:rPr>
        <w:t>diputado</w:t>
      </w:r>
      <w:r>
        <w:rPr>
          <w:color w:val="231F20"/>
          <w:spacing w:val="-13"/>
          <w:sz w:val="16"/>
        </w:rPr>
        <w:t> </w:t>
      </w:r>
      <w:r>
        <w:rPr>
          <w:color w:val="231F20"/>
          <w:sz w:val="16"/>
        </w:rPr>
        <w:t>federal</w:t>
      </w:r>
      <w:r>
        <w:rPr>
          <w:color w:val="231F20"/>
          <w:spacing w:val="-13"/>
          <w:sz w:val="16"/>
        </w:rPr>
        <w:t> </w:t>
      </w:r>
      <w:r>
        <w:rPr>
          <w:color w:val="231F20"/>
          <w:sz w:val="16"/>
        </w:rPr>
        <w:t>y</w:t>
      </w:r>
      <w:r>
        <w:rPr>
          <w:color w:val="231F20"/>
          <w:spacing w:val="-13"/>
          <w:sz w:val="16"/>
        </w:rPr>
        <w:t> </w:t>
      </w:r>
      <w:r>
        <w:rPr>
          <w:color w:val="231F20"/>
          <w:sz w:val="16"/>
        </w:rPr>
        <w:t>representante</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corriente</w:t>
      </w:r>
      <w:r>
        <w:rPr>
          <w:color w:val="231F20"/>
          <w:spacing w:val="-13"/>
          <w:sz w:val="16"/>
        </w:rPr>
        <w:t> </w:t>
      </w:r>
      <w:r>
        <w:rPr>
          <w:color w:val="231F20"/>
          <w:sz w:val="16"/>
        </w:rPr>
        <w:t>de Movimiento</w:t>
      </w:r>
      <w:r>
        <w:rPr>
          <w:color w:val="231F20"/>
          <w:spacing w:val="-12"/>
          <w:sz w:val="16"/>
        </w:rPr>
        <w:t> </w:t>
      </w:r>
      <w:r>
        <w:rPr>
          <w:color w:val="231F20"/>
          <w:sz w:val="16"/>
        </w:rPr>
        <w:t>Vida</w:t>
      </w:r>
      <w:r>
        <w:rPr>
          <w:color w:val="231F20"/>
          <w:spacing w:val="-12"/>
          <w:sz w:val="16"/>
        </w:rPr>
        <w:t> </w:t>
      </w:r>
      <w:r>
        <w:rPr>
          <w:color w:val="231F20"/>
          <w:sz w:val="16"/>
        </w:rPr>
        <w:t>Digna</w:t>
      </w:r>
      <w:r>
        <w:rPr>
          <w:color w:val="231F20"/>
          <w:spacing w:val="-12"/>
          <w:sz w:val="16"/>
        </w:rPr>
        <w:t> </w:t>
      </w:r>
      <w:r>
        <w:rPr>
          <w:color w:val="231F20"/>
          <w:sz w:val="16"/>
        </w:rPr>
        <w:t>(MOVIDIG).</w:t>
      </w:r>
      <w:r>
        <w:rPr>
          <w:color w:val="231F20"/>
          <w:spacing w:val="-12"/>
          <w:sz w:val="16"/>
        </w:rPr>
        <w:t> </w:t>
      </w:r>
      <w:r>
        <w:rPr>
          <w:color w:val="231F20"/>
          <w:sz w:val="16"/>
        </w:rPr>
        <w:t>La</w:t>
      </w:r>
      <w:r>
        <w:rPr>
          <w:color w:val="231F20"/>
          <w:spacing w:val="-12"/>
          <w:sz w:val="16"/>
        </w:rPr>
        <w:t> </w:t>
      </w:r>
      <w:r>
        <w:rPr>
          <w:color w:val="231F20"/>
          <w:sz w:val="16"/>
        </w:rPr>
        <w:t>inserción</w:t>
      </w:r>
      <w:r>
        <w:rPr>
          <w:color w:val="231F20"/>
          <w:spacing w:val="-12"/>
          <w:sz w:val="16"/>
        </w:rPr>
        <w:t> </w:t>
      </w:r>
      <w:r>
        <w:rPr>
          <w:color w:val="231F20"/>
          <w:sz w:val="16"/>
        </w:rPr>
        <w:t>a</w:t>
      </w:r>
      <w:r>
        <w:rPr>
          <w:color w:val="231F20"/>
          <w:spacing w:val="-12"/>
          <w:sz w:val="16"/>
        </w:rPr>
        <w:t> </w:t>
      </w:r>
      <w:r>
        <w:rPr>
          <w:color w:val="231F20"/>
          <w:sz w:val="16"/>
        </w:rPr>
        <w:t>esta</w:t>
      </w:r>
      <w:r>
        <w:rPr>
          <w:color w:val="231F20"/>
          <w:spacing w:val="-12"/>
          <w:sz w:val="16"/>
        </w:rPr>
        <w:t> </w:t>
      </w:r>
      <w:r>
        <w:rPr>
          <w:color w:val="231F20"/>
          <w:sz w:val="16"/>
        </w:rPr>
        <w:t>corriente</w:t>
      </w:r>
      <w:r>
        <w:rPr>
          <w:color w:val="231F20"/>
          <w:spacing w:val="-12"/>
          <w:sz w:val="16"/>
        </w:rPr>
        <w:t> </w:t>
      </w:r>
      <w:r>
        <w:rPr>
          <w:color w:val="231F20"/>
          <w:sz w:val="16"/>
        </w:rPr>
        <w:t>del</w:t>
      </w:r>
      <w:r>
        <w:rPr>
          <w:color w:val="231F20"/>
          <w:spacing w:val="-12"/>
          <w:sz w:val="16"/>
        </w:rPr>
        <w:t> </w:t>
      </w:r>
      <w:r>
        <w:rPr>
          <w:color w:val="231F20"/>
          <w:sz w:val="16"/>
        </w:rPr>
        <w:t>partido</w:t>
      </w:r>
      <w:r>
        <w:rPr>
          <w:color w:val="231F20"/>
          <w:spacing w:val="-12"/>
          <w:sz w:val="16"/>
        </w:rPr>
        <w:t> </w:t>
      </w:r>
      <w:r>
        <w:rPr>
          <w:color w:val="231F20"/>
          <w:sz w:val="16"/>
        </w:rPr>
        <w:t>y</w:t>
      </w:r>
      <w:r>
        <w:rPr>
          <w:color w:val="231F20"/>
          <w:spacing w:val="-12"/>
          <w:sz w:val="16"/>
        </w:rPr>
        <w:t> </w:t>
      </w:r>
      <w:r>
        <w:rPr>
          <w:color w:val="231F20"/>
          <w:sz w:val="16"/>
        </w:rPr>
        <w:t>participando</w:t>
      </w:r>
      <w:r>
        <w:rPr>
          <w:color w:val="231F20"/>
          <w:spacing w:val="-12"/>
          <w:sz w:val="16"/>
        </w:rPr>
        <w:t> </w:t>
      </w:r>
      <w:r>
        <w:rPr>
          <w:color w:val="231F20"/>
          <w:sz w:val="16"/>
        </w:rPr>
        <w:t>en</w:t>
      </w:r>
      <w:r>
        <w:rPr>
          <w:color w:val="231F20"/>
          <w:spacing w:val="-12"/>
          <w:sz w:val="16"/>
        </w:rPr>
        <w:t> </w:t>
      </w:r>
      <w:r>
        <w:rPr>
          <w:color w:val="231F20"/>
          <w:sz w:val="16"/>
        </w:rPr>
        <w:t>su</w:t>
      </w:r>
      <w:r>
        <w:rPr>
          <w:color w:val="231F20"/>
          <w:spacing w:val="-12"/>
          <w:sz w:val="16"/>
        </w:rPr>
        <w:t> </w:t>
      </w:r>
      <w:r>
        <w:rPr>
          <w:color w:val="231F20"/>
          <w:sz w:val="16"/>
        </w:rPr>
        <w:t>transformación</w:t>
      </w:r>
      <w:r>
        <w:rPr>
          <w:color w:val="231F20"/>
          <w:spacing w:val="-12"/>
          <w:sz w:val="16"/>
        </w:rPr>
        <w:t> </w:t>
      </w:r>
      <w:r>
        <w:rPr>
          <w:color w:val="231F20"/>
          <w:sz w:val="16"/>
        </w:rPr>
        <w:t>hacia</w:t>
      </w:r>
      <w:r>
        <w:rPr>
          <w:color w:val="231F20"/>
          <w:spacing w:val="-12"/>
          <w:sz w:val="16"/>
        </w:rPr>
        <w:t> </w:t>
      </w:r>
      <w:r>
        <w:rPr>
          <w:color w:val="231F20"/>
          <w:sz w:val="16"/>
        </w:rPr>
        <w:t>Alter- nativa</w:t>
      </w:r>
      <w:r>
        <w:rPr>
          <w:color w:val="231F20"/>
          <w:spacing w:val="-8"/>
          <w:sz w:val="16"/>
        </w:rPr>
        <w:t> </w:t>
      </w:r>
      <w:r>
        <w:rPr>
          <w:color w:val="231F20"/>
          <w:sz w:val="16"/>
        </w:rPr>
        <w:t>Democrática</w:t>
      </w:r>
      <w:r>
        <w:rPr>
          <w:color w:val="231F20"/>
          <w:spacing w:val="-8"/>
          <w:sz w:val="16"/>
        </w:rPr>
        <w:t> </w:t>
      </w:r>
      <w:r>
        <w:rPr>
          <w:color w:val="231F20"/>
          <w:sz w:val="16"/>
        </w:rPr>
        <w:t>Nacional</w:t>
      </w:r>
      <w:r>
        <w:rPr>
          <w:color w:val="231F20"/>
          <w:spacing w:val="-8"/>
          <w:sz w:val="16"/>
        </w:rPr>
        <w:t> </w:t>
      </w:r>
      <w:r>
        <w:rPr>
          <w:color w:val="231F20"/>
          <w:sz w:val="16"/>
        </w:rPr>
        <w:t>(ADN),</w:t>
      </w:r>
      <w:r>
        <w:rPr>
          <w:color w:val="231F20"/>
          <w:spacing w:val="-8"/>
          <w:sz w:val="16"/>
        </w:rPr>
        <w:t> </w:t>
      </w:r>
      <w:r>
        <w:rPr>
          <w:color w:val="231F20"/>
          <w:sz w:val="16"/>
        </w:rPr>
        <w:t>van</w:t>
      </w:r>
      <w:r>
        <w:rPr>
          <w:color w:val="231F20"/>
          <w:spacing w:val="-8"/>
          <w:sz w:val="16"/>
        </w:rPr>
        <w:t> </w:t>
      </w:r>
      <w:r>
        <w:rPr>
          <w:color w:val="231F20"/>
          <w:sz w:val="16"/>
        </w:rPr>
        <w:t>cosechando</w:t>
      </w:r>
      <w:r>
        <w:rPr>
          <w:color w:val="231F20"/>
          <w:spacing w:val="-8"/>
          <w:sz w:val="16"/>
        </w:rPr>
        <w:t> </w:t>
      </w:r>
      <w:r>
        <w:rPr>
          <w:color w:val="231F20"/>
          <w:sz w:val="16"/>
        </w:rPr>
        <w:t>triunfos</w:t>
      </w:r>
      <w:r>
        <w:rPr>
          <w:color w:val="231F20"/>
          <w:spacing w:val="-8"/>
          <w:sz w:val="16"/>
        </w:rPr>
        <w:t> </w:t>
      </w:r>
      <w:r>
        <w:rPr>
          <w:color w:val="231F20"/>
          <w:sz w:val="16"/>
        </w:rPr>
        <w:t>en</w:t>
      </w:r>
      <w:r>
        <w:rPr>
          <w:color w:val="231F20"/>
          <w:spacing w:val="-8"/>
          <w:sz w:val="16"/>
        </w:rPr>
        <w:t> </w:t>
      </w:r>
      <w:r>
        <w:rPr>
          <w:color w:val="231F20"/>
          <w:sz w:val="16"/>
        </w:rPr>
        <w:t>la</w:t>
      </w:r>
      <w:r>
        <w:rPr>
          <w:color w:val="231F20"/>
          <w:spacing w:val="-8"/>
          <w:sz w:val="16"/>
        </w:rPr>
        <w:t> </w:t>
      </w:r>
      <w:r>
        <w:rPr>
          <w:color w:val="231F20"/>
          <w:sz w:val="16"/>
        </w:rPr>
        <w:t>región</w:t>
      </w:r>
      <w:r>
        <w:rPr>
          <w:color w:val="231F20"/>
          <w:spacing w:val="-8"/>
          <w:sz w:val="16"/>
        </w:rPr>
        <w:t> </w:t>
      </w:r>
      <w:r>
        <w:rPr>
          <w:color w:val="231F20"/>
          <w:sz w:val="16"/>
        </w:rPr>
        <w:t>y</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municipio.</w:t>
      </w:r>
      <w:r>
        <w:rPr>
          <w:color w:val="231F20"/>
          <w:spacing w:val="-8"/>
          <w:sz w:val="16"/>
        </w:rPr>
        <w:t> </w:t>
      </w:r>
      <w:r>
        <w:rPr>
          <w:color w:val="231F20"/>
          <w:sz w:val="16"/>
        </w:rPr>
        <w:t>El</w:t>
      </w:r>
      <w:r>
        <w:rPr>
          <w:color w:val="231F20"/>
          <w:spacing w:val="-8"/>
          <w:sz w:val="16"/>
        </w:rPr>
        <w:t> </w:t>
      </w:r>
      <w:r>
        <w:rPr>
          <w:color w:val="231F20"/>
          <w:sz w:val="16"/>
        </w:rPr>
        <w:t>triunfo</w:t>
      </w:r>
      <w:r>
        <w:rPr>
          <w:color w:val="231F20"/>
          <w:spacing w:val="-8"/>
          <w:sz w:val="16"/>
        </w:rPr>
        <w:t> </w:t>
      </w:r>
      <w:r>
        <w:rPr>
          <w:color w:val="231F20"/>
          <w:sz w:val="16"/>
        </w:rPr>
        <w:t>electoral</w:t>
      </w:r>
      <w:r>
        <w:rPr>
          <w:color w:val="231F20"/>
          <w:spacing w:val="-8"/>
          <w:sz w:val="16"/>
        </w:rPr>
        <w:t> </w:t>
      </w:r>
      <w:r>
        <w:rPr>
          <w:color w:val="231F20"/>
          <w:sz w:val="16"/>
        </w:rPr>
        <w:t>del</w:t>
      </w:r>
      <w:r>
        <w:rPr>
          <w:color w:val="231F20"/>
          <w:spacing w:val="-8"/>
          <w:sz w:val="16"/>
        </w:rPr>
        <w:t> </w:t>
      </w:r>
      <w:r>
        <w:rPr>
          <w:color w:val="231F20"/>
          <w:sz w:val="16"/>
        </w:rPr>
        <w:t>diputado local por el distrito 28 y el ayuntamiento de Amecameca son logros de este grupo, además del municipio de Ecatepec y la Senaduría</w:t>
      </w:r>
      <w:r>
        <w:rPr>
          <w:color w:val="231F20"/>
          <w:spacing w:val="-16"/>
          <w:sz w:val="16"/>
        </w:rPr>
        <w:t> </w:t>
      </w:r>
      <w:r>
        <w:rPr>
          <w:color w:val="231F20"/>
          <w:sz w:val="16"/>
        </w:rPr>
        <w:t>por</w:t>
      </w:r>
      <w:r>
        <w:rPr>
          <w:color w:val="231F20"/>
          <w:spacing w:val="-16"/>
          <w:sz w:val="16"/>
        </w:rPr>
        <w:t> </w:t>
      </w:r>
      <w:r>
        <w:rPr>
          <w:color w:val="231F20"/>
          <w:sz w:val="16"/>
        </w:rPr>
        <w:t>el</w:t>
      </w:r>
      <w:r>
        <w:rPr>
          <w:color w:val="231F20"/>
          <w:spacing w:val="-16"/>
          <w:sz w:val="16"/>
        </w:rPr>
        <w:t> </w:t>
      </w:r>
      <w:r>
        <w:rPr>
          <w:color w:val="231F20"/>
          <w:sz w:val="16"/>
        </w:rPr>
        <w:t>Estado</w:t>
      </w:r>
      <w:r>
        <w:rPr>
          <w:color w:val="231F20"/>
          <w:spacing w:val="-16"/>
          <w:sz w:val="16"/>
        </w:rPr>
        <w:t> </w:t>
      </w:r>
      <w:r>
        <w:rPr>
          <w:color w:val="231F20"/>
          <w:sz w:val="16"/>
        </w:rPr>
        <w:t>entre</w:t>
      </w:r>
      <w:r>
        <w:rPr>
          <w:color w:val="231F20"/>
          <w:spacing w:val="-16"/>
          <w:sz w:val="16"/>
        </w:rPr>
        <w:t> </w:t>
      </w:r>
      <w:r>
        <w:rPr>
          <w:color w:val="231F20"/>
          <w:sz w:val="16"/>
        </w:rPr>
        <w:t>otras</w:t>
      </w:r>
      <w:r>
        <w:rPr>
          <w:color w:val="231F20"/>
          <w:spacing w:val="-16"/>
          <w:sz w:val="16"/>
        </w:rPr>
        <w:t> </w:t>
      </w:r>
      <w:r>
        <w:rPr>
          <w:color w:val="231F20"/>
          <w:sz w:val="16"/>
        </w:rPr>
        <w:t>victorias.</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6"/>
        <w:jc w:val="both"/>
      </w:pPr>
      <w:r>
        <w:rPr>
          <w:color w:val="231F20"/>
          <w:w w:val="105"/>
        </w:rPr>
        <w:t>permitiera ejercer el control a Juan Manuel Guerrero en la toma de decisiones para la nominación de candidatos a presidente para las elecciones constitucionales de 2006.</w:t>
      </w:r>
    </w:p>
    <w:p>
      <w:pPr>
        <w:pStyle w:val="BodyText"/>
        <w:spacing w:before="1"/>
        <w:rPr>
          <w:sz w:val="26"/>
        </w:rPr>
      </w:pPr>
    </w:p>
    <w:p>
      <w:pPr>
        <w:pStyle w:val="BodyText"/>
        <w:spacing w:line="285" w:lineRule="auto"/>
        <w:ind w:left="110" w:right="107"/>
        <w:jc w:val="both"/>
      </w:pPr>
      <w:r>
        <w:rPr>
          <w:color w:val="231F20"/>
          <w:w w:val="105"/>
        </w:rPr>
        <w:t>Estos </w:t>
      </w:r>
      <w:r>
        <w:rPr>
          <w:color w:val="231F20"/>
          <w:spacing w:val="-4"/>
          <w:w w:val="105"/>
        </w:rPr>
        <w:t>propósitos </w:t>
      </w:r>
      <w:r>
        <w:rPr>
          <w:color w:val="231F20"/>
          <w:w w:val="105"/>
        </w:rPr>
        <w:t>se </w:t>
      </w:r>
      <w:r>
        <w:rPr>
          <w:color w:val="231F20"/>
          <w:spacing w:val="-3"/>
          <w:w w:val="105"/>
        </w:rPr>
        <w:t>lograron, </w:t>
      </w:r>
      <w:r>
        <w:rPr>
          <w:color w:val="231F20"/>
          <w:w w:val="105"/>
        </w:rPr>
        <w:t>Juan </w:t>
      </w:r>
      <w:r>
        <w:rPr>
          <w:color w:val="231F20"/>
          <w:spacing w:val="-3"/>
          <w:w w:val="105"/>
        </w:rPr>
        <w:t>Manuel </w:t>
      </w:r>
      <w:r>
        <w:rPr>
          <w:color w:val="231F20"/>
          <w:spacing w:val="-4"/>
          <w:w w:val="105"/>
        </w:rPr>
        <w:t>Guerrero </w:t>
      </w:r>
      <w:r>
        <w:rPr>
          <w:color w:val="231F20"/>
          <w:spacing w:val="-3"/>
          <w:w w:val="105"/>
        </w:rPr>
        <w:t>después </w:t>
      </w:r>
      <w:r>
        <w:rPr>
          <w:color w:val="231F20"/>
          <w:w w:val="105"/>
        </w:rPr>
        <w:t>de </w:t>
      </w:r>
      <w:r>
        <w:rPr>
          <w:color w:val="231F20"/>
          <w:spacing w:val="-3"/>
          <w:w w:val="105"/>
        </w:rPr>
        <w:t>haber trabajado </w:t>
      </w:r>
      <w:r>
        <w:rPr>
          <w:color w:val="231F20"/>
          <w:w w:val="105"/>
        </w:rPr>
        <w:t>un año </w:t>
      </w:r>
      <w:r>
        <w:rPr>
          <w:color w:val="231F20"/>
          <w:spacing w:val="-3"/>
          <w:w w:val="105"/>
        </w:rPr>
        <w:t>con</w:t>
      </w:r>
      <w:r>
        <w:rPr>
          <w:color w:val="231F20"/>
          <w:spacing w:val="-12"/>
          <w:w w:val="105"/>
        </w:rPr>
        <w:t> </w:t>
      </w:r>
      <w:r>
        <w:rPr>
          <w:color w:val="231F20"/>
          <w:w w:val="105"/>
        </w:rPr>
        <w:t>la</w:t>
      </w:r>
      <w:r>
        <w:rPr>
          <w:color w:val="231F20"/>
          <w:spacing w:val="-12"/>
          <w:w w:val="105"/>
        </w:rPr>
        <w:t> </w:t>
      </w:r>
      <w:r>
        <w:rPr>
          <w:color w:val="231F20"/>
          <w:w w:val="105"/>
        </w:rPr>
        <w:t>DSC,</w:t>
      </w:r>
      <w:r>
        <w:rPr>
          <w:color w:val="231F20"/>
          <w:spacing w:val="-12"/>
          <w:w w:val="105"/>
        </w:rPr>
        <w:t> </w:t>
      </w:r>
      <w:r>
        <w:rPr>
          <w:color w:val="231F20"/>
          <w:w w:val="105"/>
        </w:rPr>
        <w:t>gana</w:t>
      </w:r>
      <w:r>
        <w:rPr>
          <w:color w:val="231F20"/>
          <w:spacing w:val="-12"/>
          <w:w w:val="105"/>
        </w:rPr>
        <w:t> </w:t>
      </w:r>
      <w:r>
        <w:rPr>
          <w:color w:val="231F20"/>
          <w:w w:val="105"/>
        </w:rPr>
        <w:t>las</w:t>
      </w:r>
      <w:r>
        <w:rPr>
          <w:color w:val="231F20"/>
          <w:spacing w:val="-12"/>
          <w:w w:val="105"/>
        </w:rPr>
        <w:t> </w:t>
      </w:r>
      <w:r>
        <w:rPr>
          <w:color w:val="231F20"/>
          <w:spacing w:val="-4"/>
          <w:w w:val="105"/>
        </w:rPr>
        <w:t>elecciones</w:t>
      </w:r>
      <w:r>
        <w:rPr>
          <w:color w:val="231F20"/>
          <w:spacing w:val="-12"/>
          <w:w w:val="105"/>
        </w:rPr>
        <w:t> </w:t>
      </w:r>
      <w:r>
        <w:rPr>
          <w:color w:val="231F20"/>
          <w:w w:val="105"/>
        </w:rPr>
        <w:t>internas</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partido</w:t>
      </w:r>
      <w:r>
        <w:rPr>
          <w:color w:val="231F20"/>
          <w:spacing w:val="-12"/>
          <w:w w:val="105"/>
        </w:rPr>
        <w:t> </w:t>
      </w:r>
      <w:r>
        <w:rPr>
          <w:color w:val="231F20"/>
          <w:w w:val="105"/>
        </w:rPr>
        <w:t>para</w:t>
      </w:r>
      <w:r>
        <w:rPr>
          <w:color w:val="231F20"/>
          <w:spacing w:val="-12"/>
          <w:w w:val="105"/>
        </w:rPr>
        <w:t> </w:t>
      </w:r>
      <w:r>
        <w:rPr>
          <w:color w:val="231F20"/>
          <w:spacing w:val="-4"/>
          <w:w w:val="105"/>
        </w:rPr>
        <w:t>presidente</w:t>
      </w:r>
      <w:r>
        <w:rPr>
          <w:color w:val="231F20"/>
          <w:spacing w:val="-12"/>
          <w:w w:val="105"/>
        </w:rPr>
        <w:t> </w:t>
      </w:r>
      <w:r>
        <w:rPr>
          <w:color w:val="231F20"/>
          <w:spacing w:val="-3"/>
          <w:w w:val="105"/>
        </w:rPr>
        <w:t>del</w:t>
      </w:r>
      <w:r>
        <w:rPr>
          <w:color w:val="231F20"/>
          <w:spacing w:val="-12"/>
          <w:w w:val="105"/>
        </w:rPr>
        <w:t> </w:t>
      </w:r>
      <w:r>
        <w:rPr>
          <w:color w:val="231F20"/>
          <w:w w:val="105"/>
        </w:rPr>
        <w:t>Comité</w:t>
      </w:r>
      <w:r>
        <w:rPr>
          <w:color w:val="231F20"/>
          <w:spacing w:val="-12"/>
          <w:w w:val="105"/>
        </w:rPr>
        <w:t> </w:t>
      </w:r>
      <w:r>
        <w:rPr>
          <w:color w:val="231F20"/>
          <w:spacing w:val="-3"/>
          <w:w w:val="105"/>
        </w:rPr>
        <w:t>Direc- </w:t>
      </w:r>
      <w:r>
        <w:rPr>
          <w:color w:val="231F20"/>
          <w:w w:val="105"/>
        </w:rPr>
        <w:t>tivo</w:t>
      </w:r>
      <w:r>
        <w:rPr>
          <w:color w:val="231F20"/>
          <w:spacing w:val="-19"/>
          <w:w w:val="105"/>
        </w:rPr>
        <w:t> </w:t>
      </w:r>
      <w:r>
        <w:rPr>
          <w:color w:val="231F20"/>
          <w:w w:val="105"/>
        </w:rPr>
        <w:t>Municipal,</w:t>
      </w:r>
      <w:r>
        <w:rPr>
          <w:color w:val="231F20"/>
          <w:spacing w:val="-19"/>
          <w:w w:val="105"/>
        </w:rPr>
        <w:t> </w:t>
      </w:r>
      <w:r>
        <w:rPr>
          <w:color w:val="231F20"/>
          <w:spacing w:val="-4"/>
          <w:w w:val="105"/>
        </w:rPr>
        <w:t>donde</w:t>
      </w:r>
      <w:r>
        <w:rPr>
          <w:color w:val="231F20"/>
          <w:spacing w:val="-19"/>
          <w:w w:val="105"/>
        </w:rPr>
        <w:t> </w:t>
      </w:r>
      <w:r>
        <w:rPr>
          <w:color w:val="231F20"/>
          <w:spacing w:val="-3"/>
          <w:w w:val="105"/>
        </w:rPr>
        <w:t>también</w:t>
      </w:r>
      <w:r>
        <w:rPr>
          <w:color w:val="231F20"/>
          <w:spacing w:val="-19"/>
          <w:w w:val="105"/>
        </w:rPr>
        <w:t> </w:t>
      </w:r>
      <w:r>
        <w:rPr>
          <w:color w:val="231F20"/>
          <w:w w:val="105"/>
        </w:rPr>
        <w:t>lleva</w:t>
      </w:r>
      <w:r>
        <w:rPr>
          <w:color w:val="231F20"/>
          <w:spacing w:val="-19"/>
          <w:w w:val="105"/>
        </w:rPr>
        <w:t> </w:t>
      </w:r>
      <w:r>
        <w:rPr>
          <w:color w:val="231F20"/>
          <w:w w:val="105"/>
        </w:rPr>
        <w:t>casi</w:t>
      </w:r>
      <w:r>
        <w:rPr>
          <w:color w:val="231F20"/>
          <w:spacing w:val="-19"/>
          <w:w w:val="105"/>
        </w:rPr>
        <w:t> </w:t>
      </w:r>
      <w:r>
        <w:rPr>
          <w:color w:val="231F20"/>
          <w:w w:val="105"/>
        </w:rPr>
        <w:t>carro</w:t>
      </w:r>
      <w:r>
        <w:rPr>
          <w:color w:val="231F20"/>
          <w:spacing w:val="-19"/>
          <w:w w:val="105"/>
        </w:rPr>
        <w:t> </w:t>
      </w:r>
      <w:r>
        <w:rPr>
          <w:color w:val="231F20"/>
          <w:spacing w:val="-4"/>
          <w:w w:val="105"/>
        </w:rPr>
        <w:t>completo</w:t>
      </w:r>
      <w:r>
        <w:rPr>
          <w:color w:val="231F20"/>
          <w:spacing w:val="-19"/>
          <w:w w:val="105"/>
        </w:rPr>
        <w:t> </w:t>
      </w:r>
      <w:r>
        <w:rPr>
          <w:color w:val="231F20"/>
          <w:spacing w:val="-3"/>
          <w:w w:val="105"/>
        </w:rPr>
        <w:t>con</w:t>
      </w:r>
      <w:r>
        <w:rPr>
          <w:color w:val="231F20"/>
          <w:spacing w:val="-19"/>
          <w:w w:val="105"/>
        </w:rPr>
        <w:t> </w:t>
      </w:r>
      <w:r>
        <w:rPr>
          <w:color w:val="231F20"/>
          <w:spacing w:val="-3"/>
          <w:w w:val="105"/>
        </w:rPr>
        <w:t>consejeros</w:t>
      </w:r>
      <w:r>
        <w:rPr>
          <w:color w:val="231F20"/>
          <w:spacing w:val="-19"/>
          <w:w w:val="105"/>
        </w:rPr>
        <w:t> </w:t>
      </w:r>
      <w:r>
        <w:rPr>
          <w:color w:val="231F20"/>
          <w:w w:val="105"/>
        </w:rPr>
        <w:t>y</w:t>
      </w:r>
      <w:r>
        <w:rPr>
          <w:color w:val="231F20"/>
          <w:spacing w:val="-19"/>
          <w:w w:val="105"/>
        </w:rPr>
        <w:t> </w:t>
      </w:r>
      <w:r>
        <w:rPr>
          <w:color w:val="231F20"/>
          <w:spacing w:val="-4"/>
          <w:w w:val="105"/>
        </w:rPr>
        <w:t>delegados,</w:t>
      </w:r>
      <w:r>
        <w:rPr>
          <w:color w:val="231F20"/>
          <w:spacing w:val="-19"/>
          <w:w w:val="105"/>
        </w:rPr>
        <w:t> </w:t>
      </w:r>
      <w:r>
        <w:rPr>
          <w:color w:val="231F20"/>
          <w:w w:val="105"/>
        </w:rPr>
        <w:t>esto él mismo </w:t>
      </w:r>
      <w:r>
        <w:rPr>
          <w:color w:val="231F20"/>
          <w:spacing w:val="-3"/>
          <w:w w:val="105"/>
        </w:rPr>
        <w:t>lo </w:t>
      </w:r>
      <w:r>
        <w:rPr>
          <w:color w:val="231F20"/>
          <w:w w:val="105"/>
        </w:rPr>
        <w:t>califica </w:t>
      </w:r>
      <w:r>
        <w:rPr>
          <w:color w:val="231F20"/>
          <w:spacing w:val="-4"/>
          <w:w w:val="105"/>
        </w:rPr>
        <w:t>como </w:t>
      </w:r>
      <w:r>
        <w:rPr>
          <w:color w:val="231F20"/>
          <w:spacing w:val="-5"/>
          <w:w w:val="105"/>
        </w:rPr>
        <w:t>“…triunfo </w:t>
      </w:r>
      <w:r>
        <w:rPr>
          <w:color w:val="231F20"/>
          <w:spacing w:val="-3"/>
          <w:w w:val="105"/>
        </w:rPr>
        <w:t>derivado </w:t>
      </w:r>
      <w:r>
        <w:rPr>
          <w:color w:val="231F20"/>
          <w:w w:val="105"/>
        </w:rPr>
        <w:t>de </w:t>
      </w:r>
      <w:r>
        <w:rPr>
          <w:color w:val="231F20"/>
          <w:spacing w:val="-3"/>
          <w:w w:val="105"/>
        </w:rPr>
        <w:t>nuestro trabajo, </w:t>
      </w:r>
      <w:r>
        <w:rPr>
          <w:color w:val="231F20"/>
          <w:w w:val="105"/>
        </w:rPr>
        <w:t>logramos </w:t>
      </w:r>
      <w:r>
        <w:rPr>
          <w:color w:val="231F20"/>
          <w:spacing w:val="-4"/>
          <w:w w:val="105"/>
        </w:rPr>
        <w:t>obtener </w:t>
      </w:r>
      <w:r>
        <w:rPr>
          <w:color w:val="231F20"/>
          <w:w w:val="105"/>
        </w:rPr>
        <w:t>una gran</w:t>
      </w:r>
      <w:r>
        <w:rPr>
          <w:color w:val="231F20"/>
          <w:spacing w:val="-15"/>
          <w:w w:val="105"/>
        </w:rPr>
        <w:t> </w:t>
      </w:r>
      <w:r>
        <w:rPr>
          <w:color w:val="231F20"/>
          <w:spacing w:val="-4"/>
          <w:w w:val="105"/>
        </w:rPr>
        <w:t>mayoría”</w:t>
      </w:r>
      <w:r>
        <w:rPr>
          <w:color w:val="231F20"/>
          <w:spacing w:val="-15"/>
          <w:w w:val="105"/>
        </w:rPr>
        <w:t> </w:t>
      </w:r>
      <w:r>
        <w:rPr>
          <w:color w:val="231F20"/>
          <w:spacing w:val="-5"/>
          <w:w w:val="105"/>
        </w:rPr>
        <w:t>(Guerrero,</w:t>
      </w:r>
      <w:r>
        <w:rPr>
          <w:color w:val="231F20"/>
          <w:spacing w:val="-15"/>
          <w:w w:val="105"/>
        </w:rPr>
        <w:t> </w:t>
      </w:r>
      <w:r>
        <w:rPr>
          <w:color w:val="231F20"/>
          <w:spacing w:val="-2"/>
          <w:w w:val="105"/>
        </w:rPr>
        <w:t>2008).</w:t>
      </w:r>
      <w:r>
        <w:rPr>
          <w:color w:val="231F20"/>
          <w:spacing w:val="-15"/>
          <w:w w:val="105"/>
        </w:rPr>
        <w:t> </w:t>
      </w:r>
      <w:r>
        <w:rPr>
          <w:color w:val="231F20"/>
          <w:spacing w:val="-4"/>
          <w:w w:val="105"/>
        </w:rPr>
        <w:t>Una</w:t>
      </w:r>
      <w:r>
        <w:rPr>
          <w:color w:val="231F20"/>
          <w:spacing w:val="-15"/>
          <w:w w:val="105"/>
        </w:rPr>
        <w:t> </w:t>
      </w:r>
      <w:r>
        <w:rPr>
          <w:color w:val="231F20"/>
          <w:spacing w:val="-3"/>
          <w:w w:val="105"/>
        </w:rPr>
        <w:t>vez</w:t>
      </w:r>
      <w:r>
        <w:rPr>
          <w:color w:val="231F20"/>
          <w:spacing w:val="-15"/>
          <w:w w:val="105"/>
        </w:rPr>
        <w:t> </w:t>
      </w:r>
      <w:r>
        <w:rPr>
          <w:color w:val="231F20"/>
          <w:spacing w:val="-3"/>
          <w:w w:val="105"/>
        </w:rPr>
        <w:t>que</w:t>
      </w:r>
      <w:r>
        <w:rPr>
          <w:color w:val="231F20"/>
          <w:spacing w:val="-15"/>
          <w:w w:val="105"/>
        </w:rPr>
        <w:t> </w:t>
      </w:r>
      <w:r>
        <w:rPr>
          <w:color w:val="231F20"/>
          <w:w w:val="105"/>
        </w:rPr>
        <w:t>logra</w:t>
      </w:r>
      <w:r>
        <w:rPr>
          <w:color w:val="231F20"/>
          <w:spacing w:val="-15"/>
          <w:w w:val="105"/>
        </w:rPr>
        <w:t> </w:t>
      </w:r>
      <w:r>
        <w:rPr>
          <w:color w:val="231F20"/>
          <w:w w:val="105"/>
        </w:rPr>
        <w:t>la</w:t>
      </w:r>
      <w:r>
        <w:rPr>
          <w:color w:val="231F20"/>
          <w:spacing w:val="-15"/>
          <w:w w:val="105"/>
        </w:rPr>
        <w:t> </w:t>
      </w:r>
      <w:r>
        <w:rPr>
          <w:color w:val="231F20"/>
          <w:spacing w:val="-3"/>
          <w:w w:val="105"/>
        </w:rPr>
        <w:t>nominación</w:t>
      </w:r>
      <w:r>
        <w:rPr>
          <w:color w:val="231F20"/>
          <w:spacing w:val="-15"/>
          <w:w w:val="105"/>
        </w:rPr>
        <w:t> </w:t>
      </w:r>
      <w:r>
        <w:rPr>
          <w:color w:val="231F20"/>
          <w:w w:val="105"/>
        </w:rPr>
        <w:t>para</w:t>
      </w:r>
      <w:r>
        <w:rPr>
          <w:color w:val="231F20"/>
          <w:spacing w:val="-15"/>
          <w:w w:val="105"/>
        </w:rPr>
        <w:t> </w:t>
      </w:r>
      <w:r>
        <w:rPr>
          <w:color w:val="231F20"/>
          <w:w w:val="105"/>
        </w:rPr>
        <w:t>candidato</w:t>
      </w:r>
      <w:r>
        <w:rPr>
          <w:color w:val="231F20"/>
          <w:spacing w:val="-15"/>
          <w:w w:val="105"/>
        </w:rPr>
        <w:t> </w:t>
      </w:r>
      <w:r>
        <w:rPr>
          <w:color w:val="231F20"/>
          <w:w w:val="105"/>
        </w:rPr>
        <w:t>a</w:t>
      </w:r>
      <w:r>
        <w:rPr>
          <w:color w:val="231F20"/>
          <w:spacing w:val="-15"/>
          <w:w w:val="105"/>
        </w:rPr>
        <w:t> </w:t>
      </w:r>
      <w:r>
        <w:rPr>
          <w:color w:val="231F20"/>
          <w:spacing w:val="-4"/>
          <w:w w:val="105"/>
        </w:rPr>
        <w:t>presi- dente</w:t>
      </w:r>
      <w:r>
        <w:rPr>
          <w:color w:val="231F20"/>
          <w:spacing w:val="-21"/>
          <w:w w:val="105"/>
        </w:rPr>
        <w:t> </w:t>
      </w:r>
      <w:r>
        <w:rPr>
          <w:color w:val="231F20"/>
          <w:w w:val="105"/>
        </w:rPr>
        <w:t>municipal,</w:t>
      </w:r>
      <w:r>
        <w:rPr>
          <w:color w:val="231F20"/>
          <w:spacing w:val="-21"/>
          <w:w w:val="105"/>
        </w:rPr>
        <w:t> </w:t>
      </w:r>
      <w:r>
        <w:rPr>
          <w:color w:val="231F20"/>
          <w:spacing w:val="-3"/>
          <w:w w:val="105"/>
        </w:rPr>
        <w:t>con</w:t>
      </w:r>
      <w:r>
        <w:rPr>
          <w:color w:val="231F20"/>
          <w:spacing w:val="-21"/>
          <w:w w:val="105"/>
        </w:rPr>
        <w:t> </w:t>
      </w:r>
      <w:r>
        <w:rPr>
          <w:color w:val="231F20"/>
          <w:w w:val="105"/>
        </w:rPr>
        <w:t>la</w:t>
      </w:r>
      <w:r>
        <w:rPr>
          <w:color w:val="231F20"/>
          <w:spacing w:val="-21"/>
          <w:w w:val="105"/>
        </w:rPr>
        <w:t> </w:t>
      </w:r>
      <w:r>
        <w:rPr>
          <w:color w:val="231F20"/>
          <w:spacing w:val="-3"/>
          <w:w w:val="105"/>
        </w:rPr>
        <w:t>mayoría</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spacing w:val="-4"/>
          <w:w w:val="105"/>
        </w:rPr>
        <w:t>control</w:t>
      </w:r>
      <w:r>
        <w:rPr>
          <w:color w:val="231F20"/>
          <w:spacing w:val="-21"/>
          <w:w w:val="105"/>
        </w:rPr>
        <w:t> </w:t>
      </w:r>
      <w:r>
        <w:rPr>
          <w:color w:val="231F20"/>
          <w:spacing w:val="-3"/>
          <w:w w:val="105"/>
        </w:rPr>
        <w:t>que</w:t>
      </w:r>
      <w:r>
        <w:rPr>
          <w:color w:val="231F20"/>
          <w:spacing w:val="-21"/>
          <w:w w:val="105"/>
        </w:rPr>
        <w:t> </w:t>
      </w:r>
      <w:r>
        <w:rPr>
          <w:color w:val="231F20"/>
          <w:w w:val="105"/>
        </w:rPr>
        <w:t>tenía</w:t>
      </w:r>
      <w:r>
        <w:rPr>
          <w:color w:val="231F20"/>
          <w:spacing w:val="-21"/>
          <w:w w:val="105"/>
        </w:rPr>
        <w:t> </w:t>
      </w:r>
      <w:r>
        <w:rPr>
          <w:color w:val="231F20"/>
          <w:spacing w:val="-3"/>
          <w:w w:val="105"/>
        </w:rPr>
        <w:t>del</w:t>
      </w:r>
      <w:r>
        <w:rPr>
          <w:color w:val="231F20"/>
          <w:spacing w:val="-21"/>
          <w:w w:val="105"/>
        </w:rPr>
        <w:t> </w:t>
      </w:r>
      <w:r>
        <w:rPr>
          <w:color w:val="231F20"/>
          <w:w w:val="105"/>
        </w:rPr>
        <w:t>partido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plano</w:t>
      </w:r>
      <w:r>
        <w:rPr>
          <w:color w:val="231F20"/>
          <w:spacing w:val="-21"/>
          <w:w w:val="105"/>
        </w:rPr>
        <w:t> </w:t>
      </w:r>
      <w:r>
        <w:rPr>
          <w:color w:val="231F20"/>
          <w:w w:val="105"/>
        </w:rPr>
        <w:t>municipal</w:t>
      </w:r>
      <w:r>
        <w:rPr>
          <w:color w:val="231F20"/>
          <w:spacing w:val="-21"/>
          <w:w w:val="105"/>
        </w:rPr>
        <w:t> </w:t>
      </w:r>
      <w:r>
        <w:rPr>
          <w:color w:val="231F20"/>
          <w:w w:val="105"/>
        </w:rPr>
        <w:t>se </w:t>
      </w:r>
      <w:r>
        <w:rPr>
          <w:color w:val="231F20"/>
          <w:spacing w:val="-3"/>
          <w:w w:val="105"/>
        </w:rPr>
        <w:t>impone</w:t>
      </w:r>
      <w:r>
        <w:rPr>
          <w:color w:val="231F20"/>
          <w:spacing w:val="-13"/>
          <w:w w:val="105"/>
        </w:rPr>
        <w:t> </w:t>
      </w:r>
      <w:r>
        <w:rPr>
          <w:color w:val="231F20"/>
          <w:w w:val="105"/>
        </w:rPr>
        <w:t>y</w:t>
      </w:r>
      <w:r>
        <w:rPr>
          <w:color w:val="231F20"/>
          <w:spacing w:val="-13"/>
          <w:w w:val="105"/>
        </w:rPr>
        <w:t> </w:t>
      </w:r>
      <w:r>
        <w:rPr>
          <w:color w:val="231F20"/>
          <w:spacing w:val="-3"/>
          <w:w w:val="105"/>
        </w:rPr>
        <w:t>deja</w:t>
      </w:r>
      <w:r>
        <w:rPr>
          <w:color w:val="231F20"/>
          <w:spacing w:val="-13"/>
          <w:w w:val="105"/>
        </w:rPr>
        <w:t> </w:t>
      </w:r>
      <w:r>
        <w:rPr>
          <w:color w:val="231F20"/>
          <w:w w:val="105"/>
        </w:rPr>
        <w:t>a</w:t>
      </w:r>
      <w:r>
        <w:rPr>
          <w:color w:val="231F20"/>
          <w:spacing w:val="-13"/>
          <w:w w:val="105"/>
        </w:rPr>
        <w:t> </w:t>
      </w:r>
      <w:r>
        <w:rPr>
          <w:color w:val="231F20"/>
          <w:w w:val="105"/>
        </w:rPr>
        <w:t>su</w:t>
      </w:r>
      <w:r>
        <w:rPr>
          <w:color w:val="231F20"/>
          <w:spacing w:val="-13"/>
          <w:w w:val="105"/>
        </w:rPr>
        <w:t> </w:t>
      </w:r>
      <w:r>
        <w:rPr>
          <w:color w:val="231F20"/>
          <w:spacing w:val="-3"/>
          <w:w w:val="105"/>
        </w:rPr>
        <w:t>sustituto:</w:t>
      </w:r>
      <w:r>
        <w:rPr>
          <w:color w:val="231F20"/>
          <w:spacing w:val="-13"/>
          <w:w w:val="105"/>
        </w:rPr>
        <w:t> </w:t>
      </w:r>
      <w:r>
        <w:rPr>
          <w:color w:val="231F20"/>
          <w:w w:val="105"/>
        </w:rPr>
        <w:t>Jesús</w:t>
      </w:r>
      <w:r>
        <w:rPr>
          <w:color w:val="231F20"/>
          <w:spacing w:val="-13"/>
          <w:w w:val="105"/>
        </w:rPr>
        <w:t> </w:t>
      </w:r>
      <w:r>
        <w:rPr>
          <w:color w:val="231F20"/>
          <w:w w:val="105"/>
        </w:rPr>
        <w:t>Rufino</w:t>
      </w:r>
      <w:r>
        <w:rPr>
          <w:color w:val="231F20"/>
          <w:spacing w:val="-13"/>
          <w:w w:val="105"/>
        </w:rPr>
        <w:t> </w:t>
      </w:r>
      <w:r>
        <w:rPr>
          <w:color w:val="231F20"/>
          <w:w w:val="105"/>
        </w:rPr>
        <w:t>Carballido.</w:t>
      </w:r>
      <w:r>
        <w:rPr>
          <w:color w:val="231F20"/>
          <w:spacing w:val="-13"/>
          <w:w w:val="105"/>
        </w:rPr>
        <w:t> </w:t>
      </w:r>
      <w:r>
        <w:rPr>
          <w:color w:val="231F20"/>
          <w:spacing w:val="-3"/>
          <w:w w:val="105"/>
        </w:rPr>
        <w:t>Después,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spacing w:val="-4"/>
          <w:w w:val="105"/>
        </w:rPr>
        <w:t>elección</w:t>
      </w:r>
      <w:r>
        <w:rPr>
          <w:color w:val="231F20"/>
          <w:spacing w:val="-13"/>
          <w:w w:val="105"/>
        </w:rPr>
        <w:t> </w:t>
      </w:r>
      <w:r>
        <w:rPr>
          <w:color w:val="231F20"/>
          <w:w w:val="105"/>
        </w:rPr>
        <w:t>de</w:t>
      </w:r>
      <w:r>
        <w:rPr>
          <w:color w:val="231F20"/>
          <w:spacing w:val="-13"/>
          <w:w w:val="105"/>
        </w:rPr>
        <w:t> </w:t>
      </w:r>
      <w:r>
        <w:rPr>
          <w:color w:val="231F20"/>
          <w:spacing w:val="-3"/>
          <w:w w:val="105"/>
        </w:rPr>
        <w:t>comité, </w:t>
      </w:r>
      <w:r>
        <w:rPr>
          <w:color w:val="231F20"/>
          <w:w w:val="105"/>
        </w:rPr>
        <w:t>el</w:t>
      </w:r>
      <w:r>
        <w:rPr>
          <w:color w:val="231F20"/>
          <w:spacing w:val="-17"/>
          <w:w w:val="105"/>
        </w:rPr>
        <w:t> </w:t>
      </w:r>
      <w:r>
        <w:rPr>
          <w:color w:val="231F20"/>
          <w:spacing w:val="-4"/>
          <w:w w:val="105"/>
        </w:rPr>
        <w:t>presidente</w:t>
      </w:r>
      <w:r>
        <w:rPr>
          <w:color w:val="231F20"/>
          <w:spacing w:val="-17"/>
          <w:w w:val="105"/>
        </w:rPr>
        <w:t> </w:t>
      </w:r>
      <w:r>
        <w:rPr>
          <w:color w:val="231F20"/>
          <w:w w:val="105"/>
        </w:rPr>
        <w:t>sigue</w:t>
      </w:r>
      <w:r>
        <w:rPr>
          <w:color w:val="231F20"/>
          <w:spacing w:val="-17"/>
          <w:w w:val="105"/>
        </w:rPr>
        <w:t> </w:t>
      </w:r>
      <w:r>
        <w:rPr>
          <w:color w:val="231F20"/>
          <w:spacing w:val="-4"/>
          <w:w w:val="105"/>
        </w:rPr>
        <w:t>siendo</w:t>
      </w:r>
      <w:r>
        <w:rPr>
          <w:color w:val="231F20"/>
          <w:spacing w:val="-17"/>
          <w:w w:val="105"/>
        </w:rPr>
        <w:t> </w:t>
      </w:r>
      <w:r>
        <w:rPr>
          <w:color w:val="231F20"/>
          <w:spacing w:val="-3"/>
          <w:w w:val="105"/>
        </w:rPr>
        <w:t>impuesto</w:t>
      </w:r>
      <w:r>
        <w:rPr>
          <w:color w:val="231F20"/>
          <w:spacing w:val="-17"/>
          <w:w w:val="105"/>
        </w:rPr>
        <w:t> </w:t>
      </w:r>
      <w:r>
        <w:rPr>
          <w:color w:val="231F20"/>
          <w:spacing w:val="-3"/>
          <w:w w:val="105"/>
        </w:rPr>
        <w:t>por</w:t>
      </w:r>
      <w:r>
        <w:rPr>
          <w:color w:val="231F20"/>
          <w:spacing w:val="-17"/>
          <w:w w:val="105"/>
        </w:rPr>
        <w:t> </w:t>
      </w:r>
      <w:r>
        <w:rPr>
          <w:color w:val="231F20"/>
          <w:spacing w:val="-4"/>
          <w:w w:val="105"/>
        </w:rPr>
        <w:t>Guerrero,</w:t>
      </w:r>
      <w:r>
        <w:rPr>
          <w:color w:val="231F20"/>
          <w:spacing w:val="-17"/>
          <w:w w:val="105"/>
        </w:rPr>
        <w:t> </w:t>
      </w:r>
      <w:r>
        <w:rPr>
          <w:color w:val="231F20"/>
          <w:w w:val="105"/>
        </w:rPr>
        <w:t>ahora</w:t>
      </w:r>
      <w:r>
        <w:rPr>
          <w:color w:val="231F20"/>
          <w:spacing w:val="-17"/>
          <w:w w:val="105"/>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caso</w:t>
      </w:r>
      <w:r>
        <w:rPr>
          <w:color w:val="231F20"/>
          <w:spacing w:val="-17"/>
          <w:w w:val="105"/>
        </w:rPr>
        <w:t> </w:t>
      </w:r>
      <w:r>
        <w:rPr>
          <w:color w:val="231F20"/>
          <w:w w:val="105"/>
        </w:rPr>
        <w:t>de</w:t>
      </w:r>
      <w:r>
        <w:rPr>
          <w:color w:val="231F20"/>
          <w:spacing w:val="-17"/>
          <w:w w:val="105"/>
        </w:rPr>
        <w:t> </w:t>
      </w:r>
      <w:r>
        <w:rPr>
          <w:color w:val="231F20"/>
          <w:spacing w:val="-3"/>
          <w:w w:val="105"/>
        </w:rPr>
        <w:t>Héctor</w:t>
      </w:r>
      <w:r>
        <w:rPr>
          <w:color w:val="231F20"/>
          <w:spacing w:val="-17"/>
          <w:w w:val="105"/>
        </w:rPr>
        <w:t> </w:t>
      </w:r>
      <w:r>
        <w:rPr>
          <w:color w:val="231F20"/>
          <w:spacing w:val="-3"/>
          <w:w w:val="105"/>
        </w:rPr>
        <w:t>Muñoz.</w:t>
      </w:r>
      <w:r>
        <w:rPr>
          <w:color w:val="231F20"/>
          <w:spacing w:val="-17"/>
          <w:w w:val="105"/>
        </w:rPr>
        <w:t> </w:t>
      </w:r>
      <w:r>
        <w:rPr>
          <w:color w:val="231F20"/>
          <w:w w:val="105"/>
        </w:rPr>
        <w:t>Esta </w:t>
      </w:r>
      <w:r>
        <w:rPr>
          <w:color w:val="231F20"/>
          <w:spacing w:val="-4"/>
          <w:w w:val="105"/>
        </w:rPr>
        <w:t>relación</w:t>
      </w:r>
      <w:r>
        <w:rPr>
          <w:color w:val="231F20"/>
          <w:spacing w:val="-8"/>
          <w:w w:val="105"/>
        </w:rPr>
        <w:t> </w:t>
      </w:r>
      <w:r>
        <w:rPr>
          <w:color w:val="231F20"/>
          <w:w w:val="105"/>
        </w:rPr>
        <w:t>de</w:t>
      </w:r>
      <w:r>
        <w:rPr>
          <w:color w:val="231F20"/>
          <w:spacing w:val="-8"/>
          <w:w w:val="105"/>
        </w:rPr>
        <w:t> </w:t>
      </w:r>
      <w:r>
        <w:rPr>
          <w:color w:val="231F20"/>
          <w:spacing w:val="-4"/>
          <w:w w:val="105"/>
        </w:rPr>
        <w:t>control</w:t>
      </w:r>
      <w:r>
        <w:rPr>
          <w:color w:val="231F20"/>
          <w:spacing w:val="-8"/>
          <w:w w:val="105"/>
        </w:rPr>
        <w:t> </w:t>
      </w:r>
      <w:r>
        <w:rPr>
          <w:color w:val="231F20"/>
          <w:spacing w:val="-3"/>
          <w:w w:val="105"/>
        </w:rPr>
        <w:t>le</w:t>
      </w:r>
      <w:r>
        <w:rPr>
          <w:color w:val="231F20"/>
          <w:spacing w:val="-8"/>
          <w:w w:val="105"/>
        </w:rPr>
        <w:t> </w:t>
      </w:r>
      <w:r>
        <w:rPr>
          <w:color w:val="231F20"/>
          <w:w w:val="105"/>
        </w:rPr>
        <w:t>permite</w:t>
      </w:r>
      <w:r>
        <w:rPr>
          <w:color w:val="231F20"/>
          <w:spacing w:val="-8"/>
          <w:w w:val="105"/>
        </w:rPr>
        <w:t> </w:t>
      </w:r>
      <w:r>
        <w:rPr>
          <w:color w:val="231F20"/>
          <w:w w:val="105"/>
        </w:rPr>
        <w:t>al</w:t>
      </w:r>
      <w:r>
        <w:rPr>
          <w:color w:val="231F20"/>
          <w:spacing w:val="-8"/>
          <w:w w:val="105"/>
        </w:rPr>
        <w:t> </w:t>
      </w:r>
      <w:r>
        <w:rPr>
          <w:color w:val="231F20"/>
          <w:spacing w:val="-3"/>
          <w:w w:val="105"/>
        </w:rPr>
        <w:t>gobernante</w:t>
      </w:r>
      <w:r>
        <w:rPr>
          <w:color w:val="231F20"/>
          <w:spacing w:val="-8"/>
          <w:w w:val="105"/>
        </w:rPr>
        <w:t> </w:t>
      </w:r>
      <w:r>
        <w:rPr>
          <w:color w:val="231F20"/>
          <w:w w:val="105"/>
        </w:rPr>
        <w:t>estar</w:t>
      </w:r>
      <w:r>
        <w:rPr>
          <w:color w:val="231F20"/>
          <w:spacing w:val="-8"/>
          <w:w w:val="105"/>
        </w:rPr>
        <w:t> </w:t>
      </w:r>
      <w:r>
        <w:rPr>
          <w:color w:val="231F20"/>
          <w:spacing w:val="-3"/>
          <w:w w:val="105"/>
        </w:rPr>
        <w:t>por</w:t>
      </w:r>
      <w:r>
        <w:rPr>
          <w:color w:val="231F20"/>
          <w:spacing w:val="-8"/>
          <w:w w:val="105"/>
        </w:rPr>
        <w:t> </w:t>
      </w:r>
      <w:r>
        <w:rPr>
          <w:color w:val="231F20"/>
          <w:w w:val="105"/>
        </w:rPr>
        <w:t>encima</w:t>
      </w:r>
      <w:r>
        <w:rPr>
          <w:color w:val="231F20"/>
          <w:spacing w:val="-8"/>
          <w:w w:val="105"/>
        </w:rPr>
        <w:t> </w:t>
      </w:r>
      <w:r>
        <w:rPr>
          <w:color w:val="231F20"/>
          <w:spacing w:val="-3"/>
          <w:w w:val="105"/>
        </w:rPr>
        <w:t>del</w:t>
      </w:r>
      <w:r>
        <w:rPr>
          <w:color w:val="231F20"/>
          <w:spacing w:val="-8"/>
          <w:w w:val="105"/>
        </w:rPr>
        <w:t> </w:t>
      </w:r>
      <w:r>
        <w:rPr>
          <w:color w:val="231F20"/>
          <w:w w:val="105"/>
        </w:rPr>
        <w:t>partido</w:t>
      </w:r>
      <w:r>
        <w:rPr>
          <w:color w:val="231F20"/>
          <w:spacing w:val="-8"/>
          <w:w w:val="105"/>
        </w:rPr>
        <w:t> </w:t>
      </w:r>
      <w:r>
        <w:rPr>
          <w:color w:val="231F20"/>
          <w:w w:val="105"/>
        </w:rPr>
        <w:t>y</w:t>
      </w:r>
      <w:r>
        <w:rPr>
          <w:color w:val="231F20"/>
          <w:spacing w:val="-8"/>
          <w:w w:val="105"/>
        </w:rPr>
        <w:t> </w:t>
      </w:r>
      <w:r>
        <w:rPr>
          <w:color w:val="231F20"/>
          <w:spacing w:val="-3"/>
          <w:w w:val="105"/>
        </w:rPr>
        <w:t>establecer</w:t>
      </w:r>
      <w:r>
        <w:rPr>
          <w:color w:val="231F20"/>
          <w:spacing w:val="-8"/>
          <w:w w:val="105"/>
        </w:rPr>
        <w:t> </w:t>
      </w:r>
      <w:r>
        <w:rPr>
          <w:color w:val="231F20"/>
          <w:spacing w:val="-5"/>
          <w:w w:val="105"/>
        </w:rPr>
        <w:t>au- </w:t>
      </w:r>
      <w:r>
        <w:rPr>
          <w:color w:val="231F20"/>
          <w:spacing w:val="-3"/>
          <w:w w:val="105"/>
        </w:rPr>
        <w:t>tonomía</w:t>
      </w:r>
      <w:r>
        <w:rPr>
          <w:color w:val="231F20"/>
          <w:spacing w:val="-16"/>
          <w:w w:val="105"/>
        </w:rPr>
        <w:t> </w:t>
      </w:r>
      <w:r>
        <w:rPr>
          <w:color w:val="231F20"/>
          <w:w w:val="105"/>
        </w:rPr>
        <w:t>de</w:t>
      </w:r>
      <w:r>
        <w:rPr>
          <w:color w:val="231F20"/>
          <w:spacing w:val="-16"/>
          <w:w w:val="105"/>
        </w:rPr>
        <w:t> </w:t>
      </w:r>
      <w:r>
        <w:rPr>
          <w:color w:val="231F20"/>
          <w:w w:val="105"/>
        </w:rPr>
        <w:t>él</w:t>
      </w:r>
      <w:r>
        <w:rPr>
          <w:color w:val="231F20"/>
          <w:spacing w:val="-16"/>
          <w:w w:val="105"/>
        </w:rPr>
        <w:t> </w:t>
      </w:r>
      <w:r>
        <w:rPr>
          <w:color w:val="231F20"/>
          <w:w w:val="105"/>
        </w:rPr>
        <w:t>para</w:t>
      </w:r>
      <w:r>
        <w:rPr>
          <w:color w:val="231F20"/>
          <w:spacing w:val="-16"/>
          <w:w w:val="105"/>
        </w:rPr>
        <w:t> </w:t>
      </w:r>
      <w:r>
        <w:rPr>
          <w:color w:val="231F20"/>
          <w:spacing w:val="-3"/>
          <w:w w:val="105"/>
        </w:rPr>
        <w:t>los</w:t>
      </w:r>
      <w:r>
        <w:rPr>
          <w:color w:val="231F20"/>
          <w:spacing w:val="-16"/>
          <w:w w:val="105"/>
        </w:rPr>
        <w:t> </w:t>
      </w:r>
      <w:r>
        <w:rPr>
          <w:color w:val="231F20"/>
          <w:w w:val="105"/>
        </w:rPr>
        <w:t>asuntos</w:t>
      </w:r>
      <w:r>
        <w:rPr>
          <w:color w:val="231F20"/>
          <w:spacing w:val="-16"/>
          <w:w w:val="105"/>
        </w:rPr>
        <w:t> </w:t>
      </w:r>
      <w:r>
        <w:rPr>
          <w:color w:val="231F20"/>
          <w:w w:val="105"/>
        </w:rPr>
        <w:t>de</w:t>
      </w:r>
      <w:r>
        <w:rPr>
          <w:color w:val="231F20"/>
          <w:spacing w:val="-16"/>
          <w:w w:val="105"/>
        </w:rPr>
        <w:t> </w:t>
      </w:r>
      <w:r>
        <w:rPr>
          <w:color w:val="231F20"/>
          <w:spacing w:val="-3"/>
          <w:w w:val="105"/>
        </w:rPr>
        <w:t>decisión</w:t>
      </w:r>
      <w:r>
        <w:rPr>
          <w:color w:val="231F20"/>
          <w:spacing w:val="-16"/>
          <w:w w:val="105"/>
        </w:rPr>
        <w:t> </w:t>
      </w:r>
      <w:r>
        <w:rPr>
          <w:color w:val="231F20"/>
          <w:w w:val="105"/>
        </w:rPr>
        <w:t>de</w:t>
      </w:r>
      <w:r>
        <w:rPr>
          <w:color w:val="231F20"/>
          <w:spacing w:val="-16"/>
          <w:w w:val="105"/>
        </w:rPr>
        <w:t> </w:t>
      </w:r>
      <w:r>
        <w:rPr>
          <w:color w:val="231F20"/>
          <w:spacing w:val="-4"/>
          <w:w w:val="105"/>
        </w:rPr>
        <w:t>agenda</w:t>
      </w:r>
      <w:r>
        <w:rPr>
          <w:color w:val="231F20"/>
          <w:spacing w:val="-16"/>
          <w:w w:val="105"/>
        </w:rPr>
        <w:t> </w:t>
      </w:r>
      <w:r>
        <w:rPr>
          <w:color w:val="231F20"/>
          <w:w w:val="105"/>
        </w:rPr>
        <w:t>y</w:t>
      </w:r>
      <w:r>
        <w:rPr>
          <w:color w:val="231F20"/>
          <w:spacing w:val="-16"/>
          <w:w w:val="105"/>
        </w:rPr>
        <w:t> </w:t>
      </w:r>
      <w:r>
        <w:rPr>
          <w:color w:val="231F20"/>
          <w:w w:val="105"/>
        </w:rPr>
        <w:t>demás</w:t>
      </w:r>
      <w:r>
        <w:rPr>
          <w:color w:val="231F20"/>
          <w:spacing w:val="-16"/>
          <w:w w:val="105"/>
        </w:rPr>
        <w:t> </w:t>
      </w:r>
      <w:r>
        <w:rPr>
          <w:color w:val="231F20"/>
          <w:spacing w:val="-4"/>
          <w:w w:val="105"/>
        </w:rPr>
        <w:t>propios</w:t>
      </w:r>
      <w:r>
        <w:rPr>
          <w:color w:val="231F20"/>
          <w:spacing w:val="-16"/>
          <w:w w:val="105"/>
        </w:rPr>
        <w:t> </w:t>
      </w:r>
      <w:r>
        <w:rPr>
          <w:color w:val="231F20"/>
          <w:spacing w:val="-3"/>
          <w:w w:val="105"/>
        </w:rPr>
        <w:t>del</w:t>
      </w:r>
      <w:r>
        <w:rPr>
          <w:color w:val="231F20"/>
          <w:spacing w:val="-16"/>
          <w:w w:val="105"/>
        </w:rPr>
        <w:t> </w:t>
      </w:r>
      <w:r>
        <w:rPr>
          <w:color w:val="231F20"/>
          <w:spacing w:val="-4"/>
          <w:w w:val="105"/>
        </w:rPr>
        <w:t>gobierno.</w:t>
      </w:r>
    </w:p>
    <w:p>
      <w:pPr>
        <w:pStyle w:val="BodyText"/>
        <w:spacing w:before="1"/>
        <w:rPr>
          <w:sz w:val="26"/>
        </w:rPr>
      </w:pPr>
    </w:p>
    <w:p>
      <w:pPr>
        <w:pStyle w:val="BodyText"/>
        <w:spacing w:line="285" w:lineRule="auto"/>
        <w:ind w:left="110" w:right="107"/>
        <w:jc w:val="both"/>
      </w:pPr>
      <w:r>
        <w:rPr>
          <w:color w:val="231F20"/>
          <w:w w:val="105"/>
        </w:rPr>
        <w:t>Este control del partido que logra la corriente de Guerrero se debe en gran medida </w:t>
      </w:r>
      <w:r>
        <w:rPr>
          <w:color w:val="231F20"/>
          <w:spacing w:val="2"/>
          <w:w w:val="105"/>
        </w:rPr>
        <w:t>al </w:t>
      </w:r>
      <w:r>
        <w:rPr>
          <w:color w:val="231F20"/>
          <w:w w:val="105"/>
        </w:rPr>
        <w:t>apoyo</w:t>
      </w:r>
      <w:r>
        <w:rPr>
          <w:color w:val="231F20"/>
          <w:spacing w:val="-24"/>
          <w:w w:val="105"/>
        </w:rPr>
        <w:t> </w:t>
      </w:r>
      <w:r>
        <w:rPr>
          <w:color w:val="231F20"/>
          <w:w w:val="105"/>
        </w:rPr>
        <w:t>que</w:t>
      </w:r>
      <w:r>
        <w:rPr>
          <w:color w:val="231F20"/>
          <w:spacing w:val="-24"/>
          <w:w w:val="105"/>
        </w:rPr>
        <w:t> </w:t>
      </w:r>
      <w:r>
        <w:rPr>
          <w:color w:val="231F20"/>
          <w:w w:val="105"/>
        </w:rPr>
        <w:t>recibe</w:t>
      </w:r>
      <w:r>
        <w:rPr>
          <w:color w:val="231F20"/>
          <w:spacing w:val="-24"/>
          <w:w w:val="105"/>
        </w:rPr>
        <w:t> </w:t>
      </w:r>
      <w:r>
        <w:rPr>
          <w:color w:val="231F20"/>
          <w:w w:val="105"/>
        </w:rPr>
        <w:t>de</w:t>
      </w:r>
      <w:r>
        <w:rPr>
          <w:color w:val="231F20"/>
          <w:spacing w:val="-24"/>
          <w:w w:val="105"/>
        </w:rPr>
        <w:t> </w:t>
      </w:r>
      <w:r>
        <w:rPr>
          <w:color w:val="231F20"/>
          <w:w w:val="105"/>
        </w:rPr>
        <w:t>Héctor</w:t>
      </w:r>
      <w:r>
        <w:rPr>
          <w:color w:val="231F20"/>
          <w:spacing w:val="-24"/>
          <w:w w:val="105"/>
        </w:rPr>
        <w:t> </w:t>
      </w:r>
      <w:r>
        <w:rPr>
          <w:color w:val="231F20"/>
          <w:w w:val="105"/>
        </w:rPr>
        <w:t>Bautista,</w:t>
      </w:r>
      <w:r>
        <w:rPr>
          <w:color w:val="231F20"/>
          <w:spacing w:val="-24"/>
          <w:w w:val="105"/>
        </w:rPr>
        <w:t> </w:t>
      </w:r>
      <w:r>
        <w:rPr>
          <w:color w:val="231F20"/>
          <w:w w:val="105"/>
        </w:rPr>
        <w:t>uno</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líderes</w:t>
      </w:r>
      <w:r>
        <w:rPr>
          <w:color w:val="231F20"/>
          <w:spacing w:val="-24"/>
          <w:w w:val="105"/>
        </w:rPr>
        <w:t> </w:t>
      </w:r>
      <w:r>
        <w:rPr>
          <w:color w:val="231F20"/>
          <w:w w:val="105"/>
        </w:rPr>
        <w:t>principales</w:t>
      </w:r>
      <w:r>
        <w:rPr>
          <w:color w:val="231F20"/>
          <w:spacing w:val="-24"/>
          <w:w w:val="105"/>
        </w:rPr>
        <w:t> </w:t>
      </w:r>
      <w:r>
        <w:rPr>
          <w:color w:val="231F20"/>
          <w:w w:val="105"/>
        </w:rPr>
        <w:t>del</w:t>
      </w:r>
      <w:r>
        <w:rPr>
          <w:color w:val="231F20"/>
          <w:spacing w:val="-24"/>
          <w:w w:val="105"/>
        </w:rPr>
        <w:t> </w:t>
      </w:r>
      <w:r>
        <w:rPr>
          <w:color w:val="231F20"/>
          <w:w w:val="105"/>
        </w:rPr>
        <w:t>Movimiento</w:t>
      </w:r>
      <w:r>
        <w:rPr>
          <w:color w:val="231F20"/>
          <w:spacing w:val="-24"/>
          <w:w w:val="105"/>
        </w:rPr>
        <w:t> </w:t>
      </w:r>
      <w:r>
        <w:rPr>
          <w:color w:val="231F20"/>
          <w:w w:val="105"/>
        </w:rPr>
        <w:t>Vida Digna </w:t>
      </w:r>
      <w:r>
        <w:rPr>
          <w:color w:val="231F20"/>
          <w:spacing w:val="-3"/>
          <w:w w:val="105"/>
        </w:rPr>
        <w:t>(MOVIDIG) </w:t>
      </w:r>
      <w:r>
        <w:rPr>
          <w:color w:val="231F20"/>
          <w:w w:val="105"/>
        </w:rPr>
        <w:t>e impulsor de Alternativa Democrática Nacional (ADN). A través del</w:t>
      </w:r>
      <w:r>
        <w:rPr>
          <w:color w:val="231F20"/>
          <w:spacing w:val="-19"/>
          <w:w w:val="105"/>
        </w:rPr>
        <w:t> </w:t>
      </w:r>
      <w:r>
        <w:rPr>
          <w:color w:val="231F20"/>
          <w:w w:val="105"/>
        </w:rPr>
        <w:t>DSC</w:t>
      </w:r>
      <w:r>
        <w:rPr>
          <w:color w:val="231F20"/>
          <w:spacing w:val="-19"/>
          <w:w w:val="105"/>
        </w:rPr>
        <w:t> </w:t>
      </w:r>
      <w:r>
        <w:rPr>
          <w:color w:val="231F20"/>
          <w:w w:val="105"/>
        </w:rPr>
        <w:t>se</w:t>
      </w:r>
      <w:r>
        <w:rPr>
          <w:color w:val="231F20"/>
          <w:spacing w:val="-19"/>
          <w:w w:val="105"/>
        </w:rPr>
        <w:t> </w:t>
      </w:r>
      <w:r>
        <w:rPr>
          <w:color w:val="231F20"/>
          <w:w w:val="105"/>
        </w:rPr>
        <w:t>limita</w:t>
      </w:r>
      <w:r>
        <w:rPr>
          <w:color w:val="231F20"/>
          <w:spacing w:val="-19"/>
          <w:w w:val="105"/>
        </w:rPr>
        <w:t> </w:t>
      </w:r>
      <w:r>
        <w:rPr>
          <w:color w:val="231F20"/>
          <w:w w:val="105"/>
        </w:rPr>
        <w:t>la</w:t>
      </w:r>
      <w:r>
        <w:rPr>
          <w:color w:val="231F20"/>
          <w:spacing w:val="-19"/>
          <w:w w:val="105"/>
        </w:rPr>
        <w:t> </w:t>
      </w:r>
      <w:r>
        <w:rPr>
          <w:color w:val="231F20"/>
          <w:w w:val="105"/>
        </w:rPr>
        <w:t>acción</w:t>
      </w:r>
      <w:r>
        <w:rPr>
          <w:color w:val="231F20"/>
          <w:spacing w:val="-19"/>
          <w:w w:val="105"/>
        </w:rPr>
        <w:t> </w:t>
      </w:r>
      <w:r>
        <w:rPr>
          <w:color w:val="231F20"/>
          <w:w w:val="105"/>
        </w:rPr>
        <w:t>de</w:t>
      </w:r>
      <w:r>
        <w:rPr>
          <w:color w:val="231F20"/>
          <w:spacing w:val="-19"/>
          <w:w w:val="105"/>
        </w:rPr>
        <w:t> </w:t>
      </w:r>
      <w:r>
        <w:rPr>
          <w:color w:val="231F20"/>
          <w:w w:val="105"/>
        </w:rPr>
        <w:t>Federico</w:t>
      </w:r>
      <w:r>
        <w:rPr>
          <w:color w:val="231F20"/>
          <w:spacing w:val="-19"/>
          <w:w w:val="105"/>
        </w:rPr>
        <w:t> </w:t>
      </w:r>
      <w:r>
        <w:rPr>
          <w:color w:val="231F20"/>
          <w:w w:val="105"/>
        </w:rPr>
        <w:t>del</w:t>
      </w:r>
      <w:r>
        <w:rPr>
          <w:color w:val="231F20"/>
          <w:spacing w:val="-19"/>
          <w:w w:val="105"/>
        </w:rPr>
        <w:t> </w:t>
      </w:r>
      <w:r>
        <w:rPr>
          <w:color w:val="231F20"/>
          <w:w w:val="105"/>
        </w:rPr>
        <w:t>Valle</w:t>
      </w:r>
      <w:r>
        <w:rPr>
          <w:color w:val="231F20"/>
          <w:spacing w:val="-19"/>
          <w:w w:val="105"/>
        </w:rPr>
        <w:t> </w:t>
      </w:r>
      <w:r>
        <w:rPr>
          <w:color w:val="231F20"/>
          <w:w w:val="105"/>
        </w:rPr>
        <w:t>Miranda7</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grupo</w:t>
      </w:r>
      <w:r>
        <w:rPr>
          <w:color w:val="231F20"/>
          <w:spacing w:val="-19"/>
          <w:w w:val="105"/>
        </w:rPr>
        <w:t> </w:t>
      </w:r>
      <w:r>
        <w:rPr>
          <w:color w:val="231F20"/>
          <w:w w:val="105"/>
        </w:rPr>
        <w:t>que</w:t>
      </w:r>
      <w:r>
        <w:rPr>
          <w:color w:val="231F20"/>
          <w:spacing w:val="-19"/>
          <w:w w:val="105"/>
        </w:rPr>
        <w:t> </w:t>
      </w:r>
      <w:r>
        <w:rPr>
          <w:color w:val="231F20"/>
          <w:w w:val="105"/>
        </w:rPr>
        <w:t>representaba, el</w:t>
      </w:r>
      <w:r>
        <w:rPr>
          <w:color w:val="231F20"/>
          <w:spacing w:val="-19"/>
          <w:w w:val="105"/>
        </w:rPr>
        <w:t> </w:t>
      </w:r>
      <w:r>
        <w:rPr>
          <w:color w:val="231F20"/>
          <w:w w:val="105"/>
        </w:rPr>
        <w:t>cual</w:t>
      </w:r>
      <w:r>
        <w:rPr>
          <w:color w:val="231F20"/>
          <w:spacing w:val="-19"/>
          <w:w w:val="105"/>
        </w:rPr>
        <w:t> </w:t>
      </w:r>
      <w:r>
        <w:rPr>
          <w:color w:val="231F20"/>
          <w:w w:val="105"/>
        </w:rPr>
        <w:t>se</w:t>
      </w:r>
      <w:r>
        <w:rPr>
          <w:color w:val="231F20"/>
          <w:spacing w:val="-19"/>
          <w:w w:val="105"/>
        </w:rPr>
        <w:t> </w:t>
      </w:r>
      <w:r>
        <w:rPr>
          <w:color w:val="231F20"/>
          <w:w w:val="105"/>
        </w:rPr>
        <w:t>identifica</w:t>
      </w:r>
      <w:r>
        <w:rPr>
          <w:color w:val="231F20"/>
          <w:spacing w:val="-19"/>
          <w:w w:val="105"/>
        </w:rPr>
        <w:t> </w:t>
      </w:r>
      <w:r>
        <w:rPr>
          <w:color w:val="231F20"/>
          <w:w w:val="105"/>
        </w:rPr>
        <w:t>con</w:t>
      </w:r>
      <w:r>
        <w:rPr>
          <w:color w:val="231F20"/>
          <w:spacing w:val="-19"/>
          <w:w w:val="105"/>
        </w:rPr>
        <w:t> </w:t>
      </w:r>
      <w:r>
        <w:rPr>
          <w:color w:val="231F20"/>
          <w:w w:val="105"/>
        </w:rPr>
        <w:t>el</w:t>
      </w:r>
      <w:r>
        <w:rPr>
          <w:color w:val="231F20"/>
          <w:spacing w:val="-19"/>
          <w:w w:val="105"/>
        </w:rPr>
        <w:t> </w:t>
      </w:r>
      <w:r>
        <w:rPr>
          <w:color w:val="231F20"/>
          <w:w w:val="105"/>
        </w:rPr>
        <w:t>Grupo</w:t>
      </w:r>
      <w:r>
        <w:rPr>
          <w:color w:val="231F20"/>
          <w:spacing w:val="-19"/>
          <w:w w:val="105"/>
        </w:rPr>
        <w:t> </w:t>
      </w:r>
      <w:r>
        <w:rPr>
          <w:color w:val="231F20"/>
          <w:w w:val="105"/>
        </w:rPr>
        <w:t>de</w:t>
      </w:r>
      <w:r>
        <w:rPr>
          <w:color w:val="231F20"/>
          <w:spacing w:val="-19"/>
          <w:w w:val="105"/>
        </w:rPr>
        <w:t> </w:t>
      </w:r>
      <w:r>
        <w:rPr>
          <w:color w:val="231F20"/>
          <w:w w:val="105"/>
        </w:rPr>
        <w:t>Acción</w:t>
      </w:r>
      <w:r>
        <w:rPr>
          <w:color w:val="231F20"/>
          <w:spacing w:val="-19"/>
          <w:w w:val="105"/>
        </w:rPr>
        <w:t> </w:t>
      </w:r>
      <w:r>
        <w:rPr>
          <w:color w:val="231F20"/>
          <w:w w:val="105"/>
        </w:rPr>
        <w:t>Política</w:t>
      </w:r>
      <w:r>
        <w:rPr>
          <w:color w:val="231F20"/>
          <w:spacing w:val="-19"/>
          <w:w w:val="105"/>
        </w:rPr>
        <w:t> </w:t>
      </w:r>
      <w:r>
        <w:rPr>
          <w:color w:val="231F20"/>
          <w:spacing w:val="-4"/>
          <w:w w:val="105"/>
        </w:rPr>
        <w:t>(GAP)</w:t>
      </w:r>
      <w:r>
        <w:rPr>
          <w:color w:val="231F20"/>
          <w:spacing w:val="-19"/>
          <w:w w:val="105"/>
        </w:rPr>
        <w:t> </w:t>
      </w:r>
      <w:r>
        <w:rPr>
          <w:color w:val="231F20"/>
          <w:w w:val="105"/>
        </w:rPr>
        <w:t>que</w:t>
      </w:r>
      <w:r>
        <w:rPr>
          <w:color w:val="231F20"/>
          <w:spacing w:val="-19"/>
          <w:w w:val="105"/>
        </w:rPr>
        <w:t> </w:t>
      </w:r>
      <w:r>
        <w:rPr>
          <w:color w:val="231F20"/>
          <w:w w:val="105"/>
        </w:rPr>
        <w:t>lidera</w:t>
      </w:r>
      <w:r>
        <w:rPr>
          <w:color w:val="231F20"/>
          <w:spacing w:val="-19"/>
          <w:w w:val="105"/>
        </w:rPr>
        <w:t> </w:t>
      </w:r>
      <w:r>
        <w:rPr>
          <w:color w:val="231F20"/>
          <w:w w:val="105"/>
        </w:rPr>
        <w:t>Higinio</w:t>
      </w:r>
      <w:r>
        <w:rPr>
          <w:color w:val="231F20"/>
          <w:spacing w:val="-19"/>
          <w:w w:val="105"/>
        </w:rPr>
        <w:t> </w:t>
      </w:r>
      <w:r>
        <w:rPr>
          <w:color w:val="231F20"/>
          <w:w w:val="105"/>
        </w:rPr>
        <w:t>Martínez. </w:t>
      </w:r>
      <w:r>
        <w:rPr>
          <w:color w:val="231F20"/>
          <w:spacing w:val="-3"/>
          <w:w w:val="105"/>
        </w:rPr>
        <w:t>Hoy </w:t>
      </w:r>
      <w:r>
        <w:rPr>
          <w:color w:val="231F20"/>
          <w:w w:val="105"/>
        </w:rPr>
        <w:t>este grupo o corriente está limitada en las decisiones municipales del partido, lo tiene</w:t>
      </w:r>
      <w:r>
        <w:rPr>
          <w:color w:val="231F20"/>
          <w:spacing w:val="-10"/>
          <w:w w:val="105"/>
        </w:rPr>
        <w:t> </w:t>
      </w:r>
      <w:r>
        <w:rPr>
          <w:color w:val="231F20"/>
          <w:w w:val="105"/>
        </w:rPr>
        <w:t>copado</w:t>
      </w:r>
      <w:r>
        <w:rPr>
          <w:color w:val="231F20"/>
          <w:spacing w:val="-10"/>
          <w:w w:val="105"/>
        </w:rPr>
        <w:t> </w:t>
      </w:r>
      <w:r>
        <w:rPr>
          <w:color w:val="231F20"/>
          <w:w w:val="105"/>
        </w:rPr>
        <w:t>el</w:t>
      </w:r>
      <w:r>
        <w:rPr>
          <w:color w:val="231F20"/>
          <w:spacing w:val="-10"/>
          <w:w w:val="105"/>
        </w:rPr>
        <w:t> </w:t>
      </w:r>
      <w:r>
        <w:rPr>
          <w:color w:val="231F20"/>
          <w:w w:val="105"/>
        </w:rPr>
        <w:t>presidente</w:t>
      </w:r>
      <w:r>
        <w:rPr>
          <w:color w:val="231F20"/>
          <w:spacing w:val="-10"/>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cuadros</w:t>
      </w:r>
      <w:r>
        <w:rPr>
          <w:color w:val="231F20"/>
          <w:spacing w:val="-10"/>
          <w:w w:val="105"/>
        </w:rPr>
        <w:t> </w:t>
      </w:r>
      <w:r>
        <w:rPr>
          <w:color w:val="231F20"/>
          <w:w w:val="105"/>
        </w:rPr>
        <w:t>del</w:t>
      </w:r>
      <w:r>
        <w:rPr>
          <w:color w:val="231F20"/>
          <w:spacing w:val="-10"/>
          <w:w w:val="105"/>
        </w:rPr>
        <w:t> </w:t>
      </w:r>
      <w:r>
        <w:rPr>
          <w:color w:val="231F20"/>
          <w:w w:val="105"/>
        </w:rPr>
        <w:t>partido</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w w:val="105"/>
        </w:rPr>
        <w:t>gente</w:t>
      </w:r>
      <w:r>
        <w:rPr>
          <w:color w:val="231F20"/>
          <w:spacing w:val="-10"/>
          <w:w w:val="105"/>
        </w:rPr>
        <w:t> </w:t>
      </w:r>
      <w:r>
        <w:rPr>
          <w:color w:val="231F20"/>
          <w:w w:val="105"/>
        </w:rPr>
        <w:t>que</w:t>
      </w:r>
      <w:r>
        <w:rPr>
          <w:color w:val="231F20"/>
          <w:spacing w:val="-10"/>
          <w:w w:val="105"/>
        </w:rPr>
        <w:t> </w:t>
      </w:r>
      <w:r>
        <w:rPr>
          <w:color w:val="231F20"/>
          <w:w w:val="105"/>
        </w:rPr>
        <w:t>si</w:t>
      </w:r>
      <w:r>
        <w:rPr>
          <w:color w:val="231F20"/>
          <w:spacing w:val="-10"/>
          <w:w w:val="105"/>
        </w:rPr>
        <w:t> </w:t>
      </w:r>
      <w:r>
        <w:rPr>
          <w:color w:val="231F20"/>
          <w:w w:val="105"/>
        </w:rPr>
        <w:t>identi- fica</w:t>
      </w:r>
      <w:r>
        <w:rPr>
          <w:color w:val="231F20"/>
          <w:spacing w:val="-4"/>
          <w:w w:val="105"/>
        </w:rPr>
        <w:t> </w:t>
      </w:r>
      <w:r>
        <w:rPr>
          <w:color w:val="231F20"/>
          <w:w w:val="105"/>
        </w:rPr>
        <w:t>con</w:t>
      </w:r>
      <w:r>
        <w:rPr>
          <w:color w:val="231F20"/>
          <w:spacing w:val="-4"/>
          <w:w w:val="105"/>
        </w:rPr>
        <w:t> </w:t>
      </w:r>
      <w:r>
        <w:rPr>
          <w:color w:val="231F20"/>
          <w:w w:val="105"/>
        </w:rPr>
        <w:t>él,</w:t>
      </w:r>
      <w:r>
        <w:rPr>
          <w:color w:val="231F20"/>
          <w:spacing w:val="-4"/>
          <w:w w:val="105"/>
        </w:rPr>
        <w:t> </w:t>
      </w:r>
      <w:r>
        <w:rPr>
          <w:color w:val="231F20"/>
          <w:w w:val="105"/>
        </w:rPr>
        <w:t>“muchas</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gentes</w:t>
      </w:r>
      <w:r>
        <w:rPr>
          <w:color w:val="231F20"/>
          <w:spacing w:val="-4"/>
          <w:w w:val="105"/>
        </w:rPr>
        <w:t> </w:t>
      </w:r>
      <w:r>
        <w:rPr>
          <w:color w:val="231F20"/>
          <w:w w:val="105"/>
        </w:rPr>
        <w:t>que</w:t>
      </w:r>
      <w:r>
        <w:rPr>
          <w:color w:val="231F20"/>
          <w:spacing w:val="-4"/>
          <w:w w:val="105"/>
        </w:rPr>
        <w:t> </w:t>
      </w:r>
      <w:r>
        <w:rPr>
          <w:color w:val="231F20"/>
          <w:w w:val="105"/>
        </w:rPr>
        <w:t>trabajan</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administración</w:t>
      </w:r>
      <w:r>
        <w:rPr>
          <w:color w:val="231F20"/>
          <w:spacing w:val="-4"/>
          <w:w w:val="105"/>
        </w:rPr>
        <w:t> </w:t>
      </w:r>
      <w:r>
        <w:rPr>
          <w:color w:val="231F20"/>
          <w:w w:val="105"/>
        </w:rPr>
        <w:t>son</w:t>
      </w:r>
      <w:r>
        <w:rPr>
          <w:color w:val="231F20"/>
          <w:spacing w:val="-4"/>
          <w:w w:val="105"/>
        </w:rPr>
        <w:t> </w:t>
      </w:r>
      <w:r>
        <w:rPr>
          <w:color w:val="231F20"/>
          <w:w w:val="105"/>
        </w:rPr>
        <w:t>miembros</w:t>
      </w:r>
      <w:r>
        <w:rPr>
          <w:color w:val="231F20"/>
          <w:spacing w:val="-4"/>
          <w:w w:val="105"/>
        </w:rPr>
        <w:t> </w:t>
      </w:r>
      <w:r>
        <w:rPr>
          <w:color w:val="231F20"/>
          <w:w w:val="105"/>
        </w:rPr>
        <w:t>del Comité</w:t>
      </w:r>
      <w:r>
        <w:rPr>
          <w:color w:val="231F20"/>
          <w:spacing w:val="-20"/>
          <w:w w:val="105"/>
        </w:rPr>
        <w:t> </w:t>
      </w:r>
      <w:r>
        <w:rPr>
          <w:color w:val="231F20"/>
          <w:w w:val="105"/>
        </w:rPr>
        <w:t>Directivo</w:t>
      </w:r>
      <w:r>
        <w:rPr>
          <w:color w:val="231F20"/>
          <w:spacing w:val="-20"/>
          <w:w w:val="105"/>
        </w:rPr>
        <w:t> </w:t>
      </w:r>
      <w:r>
        <w:rPr>
          <w:color w:val="231F20"/>
          <w:w w:val="105"/>
        </w:rPr>
        <w:t>Municipal”</w:t>
      </w:r>
      <w:r>
        <w:rPr>
          <w:color w:val="231F20"/>
          <w:spacing w:val="-20"/>
          <w:w w:val="105"/>
        </w:rPr>
        <w:t> </w:t>
      </w:r>
      <w:r>
        <w:rPr>
          <w:color w:val="231F20"/>
          <w:spacing w:val="-3"/>
          <w:w w:val="105"/>
        </w:rPr>
        <w:t>(Guerrero,</w:t>
      </w:r>
      <w:r>
        <w:rPr>
          <w:color w:val="231F20"/>
          <w:spacing w:val="-20"/>
          <w:w w:val="105"/>
        </w:rPr>
        <w:t> </w:t>
      </w:r>
      <w:r>
        <w:rPr>
          <w:color w:val="231F20"/>
          <w:w w:val="105"/>
        </w:rPr>
        <w:t>2008)</w:t>
      </w:r>
      <w:r>
        <w:rPr>
          <w:color w:val="231F20"/>
          <w:spacing w:val="-20"/>
          <w:w w:val="105"/>
        </w:rPr>
        <w:t> </w:t>
      </w:r>
      <w:r>
        <w:rPr>
          <w:color w:val="231F20"/>
          <w:spacing w:val="-7"/>
          <w:w w:val="105"/>
        </w:rPr>
        <w:t>y,</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w:t>
      </w:r>
      <w:r>
        <w:rPr>
          <w:color w:val="231F20"/>
          <w:spacing w:val="-20"/>
          <w:w w:val="105"/>
        </w:rPr>
        <w:t> </w:t>
      </w:r>
      <w:r>
        <w:rPr>
          <w:color w:val="231F20"/>
          <w:w w:val="105"/>
        </w:rPr>
        <w:t>su</w:t>
      </w:r>
      <w:r>
        <w:rPr>
          <w:color w:val="231F20"/>
          <w:spacing w:val="-20"/>
          <w:w w:val="105"/>
        </w:rPr>
        <w:t> </w:t>
      </w:r>
      <w:r>
        <w:rPr>
          <w:color w:val="231F20"/>
          <w:w w:val="105"/>
        </w:rPr>
        <w:t>organización:</w:t>
      </w:r>
      <w:r>
        <w:rPr>
          <w:color w:val="231F20"/>
          <w:spacing w:val="-20"/>
          <w:w w:val="105"/>
        </w:rPr>
        <w:t> </w:t>
      </w:r>
      <w:r>
        <w:rPr>
          <w:color w:val="231F20"/>
          <w:w w:val="105"/>
        </w:rPr>
        <w:t>DSC.</w:t>
      </w:r>
    </w:p>
    <w:p>
      <w:pPr>
        <w:pStyle w:val="BodyText"/>
        <w:spacing w:before="1"/>
        <w:rPr>
          <w:sz w:val="26"/>
        </w:rPr>
      </w:pPr>
    </w:p>
    <w:p>
      <w:pPr>
        <w:pStyle w:val="BodyText"/>
        <w:spacing w:line="285" w:lineRule="auto"/>
        <w:ind w:left="110" w:right="106"/>
        <w:jc w:val="both"/>
      </w:pPr>
      <w:r>
        <w:rPr>
          <w:color w:val="231F20"/>
          <w:w w:val="105"/>
        </w:rPr>
        <w:t>Esa relación establecida con el partido a través de estos dos principales vínculos en el orden</w:t>
      </w:r>
      <w:r>
        <w:rPr>
          <w:color w:val="231F20"/>
          <w:spacing w:val="-18"/>
          <w:w w:val="105"/>
        </w:rPr>
        <w:t> </w:t>
      </w:r>
      <w:r>
        <w:rPr>
          <w:color w:val="231F20"/>
          <w:w w:val="105"/>
        </w:rPr>
        <w:t>del</w:t>
      </w:r>
      <w:r>
        <w:rPr>
          <w:color w:val="231F20"/>
          <w:spacing w:val="-18"/>
          <w:w w:val="105"/>
        </w:rPr>
        <w:t> </w:t>
      </w:r>
      <w:r>
        <w:rPr>
          <w:color w:val="231F20"/>
          <w:w w:val="105"/>
        </w:rPr>
        <w:t>comité</w:t>
      </w:r>
      <w:r>
        <w:rPr>
          <w:color w:val="231F20"/>
          <w:spacing w:val="-18"/>
          <w:w w:val="105"/>
        </w:rPr>
        <w:t> </w:t>
      </w:r>
      <w:r>
        <w:rPr>
          <w:color w:val="231F20"/>
          <w:w w:val="105"/>
        </w:rPr>
        <w:t>municipal</w:t>
      </w:r>
      <w:r>
        <w:rPr>
          <w:color w:val="231F20"/>
          <w:spacing w:val="-18"/>
          <w:w w:val="105"/>
        </w:rPr>
        <w:t> </w:t>
      </w:r>
      <w:r>
        <w:rPr>
          <w:color w:val="231F20"/>
          <w:w w:val="105"/>
        </w:rPr>
        <w:t>permite</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presidente</w:t>
      </w:r>
      <w:r>
        <w:rPr>
          <w:color w:val="231F20"/>
          <w:spacing w:val="-18"/>
          <w:w w:val="105"/>
        </w:rPr>
        <w:t> </w:t>
      </w:r>
      <w:r>
        <w:rPr>
          <w:color w:val="231F20"/>
          <w:w w:val="105"/>
        </w:rPr>
        <w:t>del</w:t>
      </w:r>
      <w:r>
        <w:rPr>
          <w:color w:val="231F20"/>
          <w:spacing w:val="-18"/>
          <w:w w:val="105"/>
        </w:rPr>
        <w:t> </w:t>
      </w:r>
      <w:r>
        <w:rPr>
          <w:color w:val="231F20"/>
          <w:w w:val="105"/>
        </w:rPr>
        <w:t>partido</w:t>
      </w:r>
      <w:r>
        <w:rPr>
          <w:color w:val="231F20"/>
          <w:spacing w:val="-18"/>
          <w:w w:val="105"/>
        </w:rPr>
        <w:t> </w:t>
      </w:r>
      <w:r>
        <w:rPr>
          <w:color w:val="231F20"/>
          <w:w w:val="105"/>
        </w:rPr>
        <w:t>conozca</w:t>
      </w:r>
      <w:r>
        <w:rPr>
          <w:color w:val="231F20"/>
          <w:spacing w:val="-18"/>
          <w:w w:val="105"/>
        </w:rPr>
        <w:t> </w:t>
      </w:r>
      <w:r>
        <w:rPr>
          <w:color w:val="231F20"/>
          <w:w w:val="105"/>
        </w:rPr>
        <w:t>las</w:t>
      </w:r>
      <w:r>
        <w:rPr>
          <w:color w:val="231F20"/>
          <w:spacing w:val="-18"/>
          <w:w w:val="105"/>
        </w:rPr>
        <w:t> </w:t>
      </w:r>
      <w:r>
        <w:rPr>
          <w:color w:val="231F20"/>
          <w:w w:val="105"/>
        </w:rPr>
        <w:t>decisiones del</w:t>
      </w:r>
      <w:r>
        <w:rPr>
          <w:color w:val="231F20"/>
          <w:spacing w:val="-20"/>
          <w:w w:val="105"/>
        </w:rPr>
        <w:t> </w:t>
      </w:r>
      <w:r>
        <w:rPr>
          <w:color w:val="231F20"/>
          <w:w w:val="105"/>
        </w:rPr>
        <w:t>gobierno</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apoye</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contacto</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y</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movilización</w:t>
      </w:r>
      <w:r>
        <w:rPr>
          <w:color w:val="231F20"/>
          <w:spacing w:val="-20"/>
          <w:w w:val="105"/>
        </w:rPr>
        <w:t> </w:t>
      </w:r>
      <w:r>
        <w:rPr>
          <w:color w:val="231F20"/>
          <w:w w:val="105"/>
        </w:rPr>
        <w:t>social</w:t>
      </w:r>
      <w:r>
        <w:rPr>
          <w:color w:val="231F20"/>
          <w:spacing w:val="-20"/>
          <w:w w:val="105"/>
        </w:rPr>
        <w:t> </w:t>
      </w:r>
      <w:r>
        <w:rPr>
          <w:color w:val="231F20"/>
          <w:w w:val="105"/>
        </w:rPr>
        <w:t>que tenga</w:t>
      </w:r>
      <w:r>
        <w:rPr>
          <w:color w:val="231F20"/>
          <w:spacing w:val="-14"/>
          <w:w w:val="105"/>
        </w:rPr>
        <w:t> </w:t>
      </w:r>
      <w:r>
        <w:rPr>
          <w:color w:val="231F20"/>
          <w:w w:val="105"/>
        </w:rPr>
        <w:t>a</w:t>
      </w:r>
      <w:r>
        <w:rPr>
          <w:color w:val="231F20"/>
          <w:spacing w:val="-14"/>
          <w:w w:val="105"/>
        </w:rPr>
        <w:t> </w:t>
      </w:r>
      <w:r>
        <w:rPr>
          <w:color w:val="231F20"/>
          <w:w w:val="105"/>
        </w:rPr>
        <w:t>su</w:t>
      </w:r>
      <w:r>
        <w:rPr>
          <w:color w:val="231F20"/>
          <w:spacing w:val="-14"/>
          <w:w w:val="105"/>
        </w:rPr>
        <w:t> </w:t>
      </w:r>
      <w:r>
        <w:rPr>
          <w:color w:val="231F20"/>
          <w:w w:val="105"/>
        </w:rPr>
        <w:t>alcance,</w:t>
      </w:r>
      <w:r>
        <w:rPr>
          <w:color w:val="231F20"/>
          <w:spacing w:val="-14"/>
          <w:w w:val="105"/>
        </w:rPr>
        <w:t> </w:t>
      </w:r>
      <w:r>
        <w:rPr>
          <w:color w:val="231F20"/>
          <w:w w:val="105"/>
        </w:rPr>
        <w:t>situación</w:t>
      </w:r>
      <w:r>
        <w:rPr>
          <w:color w:val="231F20"/>
          <w:spacing w:val="-14"/>
          <w:w w:val="105"/>
        </w:rPr>
        <w:t> </w:t>
      </w:r>
      <w:r>
        <w:rPr>
          <w:color w:val="231F20"/>
          <w:w w:val="105"/>
        </w:rPr>
        <w:t>que</w:t>
      </w:r>
      <w:r>
        <w:rPr>
          <w:color w:val="231F20"/>
          <w:spacing w:val="-14"/>
          <w:w w:val="105"/>
        </w:rPr>
        <w:t> </w:t>
      </w:r>
      <w:r>
        <w:rPr>
          <w:color w:val="231F20"/>
          <w:w w:val="105"/>
        </w:rPr>
        <w:t>coopera</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legitimación</w:t>
      </w:r>
      <w:r>
        <w:rPr>
          <w:color w:val="231F20"/>
          <w:spacing w:val="-14"/>
          <w:w w:val="105"/>
        </w:rPr>
        <w:t> </w:t>
      </w:r>
      <w:r>
        <w:rPr>
          <w:color w:val="231F20"/>
          <w:w w:val="105"/>
        </w:rPr>
        <w:t>del</w:t>
      </w:r>
      <w:r>
        <w:rPr>
          <w:color w:val="231F20"/>
          <w:spacing w:val="-14"/>
          <w:w w:val="105"/>
        </w:rPr>
        <w:t> </w:t>
      </w:r>
      <w:r>
        <w:rPr>
          <w:color w:val="231F20"/>
          <w:spacing w:val="-3"/>
          <w:w w:val="105"/>
        </w:rPr>
        <w:t>gobierno.</w:t>
      </w:r>
    </w:p>
    <w:p>
      <w:pPr>
        <w:pStyle w:val="BodyText"/>
        <w:rPr>
          <w:sz w:val="20"/>
        </w:rPr>
      </w:pPr>
    </w:p>
    <w:p>
      <w:pPr>
        <w:pStyle w:val="BodyText"/>
        <w:spacing w:before="10"/>
        <w:rPr>
          <w:sz w:val="10"/>
        </w:rPr>
      </w:pPr>
      <w:r>
        <w:rPr/>
        <w:pict>
          <v:line style="position:absolute;mso-position-horizontal-relative:page;mso-position-vertical-relative:paragraph;z-index:11632;mso-wrap-distance-left:0;mso-wrap-distance-right:0" from="42.519699pt,8.731769pt" to="114.519699pt,8.731769pt" stroked="true" strokeweight="1pt" strokecolor="#231f20">
            <w10:wrap type="topAndBottom"/>
          </v:line>
        </w:pict>
      </w:r>
    </w:p>
    <w:p>
      <w:pPr>
        <w:pStyle w:val="ListParagraph"/>
        <w:numPr>
          <w:ilvl w:val="0"/>
          <w:numId w:val="21"/>
        </w:numPr>
        <w:tabs>
          <w:tab w:pos="222" w:val="left" w:leader="none"/>
        </w:tabs>
        <w:spacing w:line="244" w:lineRule="auto" w:before="8" w:after="0"/>
        <w:ind w:left="110" w:right="108" w:firstLine="0"/>
        <w:jc w:val="left"/>
        <w:rPr>
          <w:sz w:val="16"/>
        </w:rPr>
      </w:pPr>
      <w:r>
        <w:rPr>
          <w:color w:val="231F20"/>
          <w:sz w:val="16"/>
        </w:rPr>
        <w:t>Federico</w:t>
      </w:r>
      <w:r>
        <w:rPr>
          <w:color w:val="231F20"/>
          <w:spacing w:val="-17"/>
          <w:sz w:val="16"/>
        </w:rPr>
        <w:t> </w:t>
      </w:r>
      <w:r>
        <w:rPr>
          <w:color w:val="231F20"/>
          <w:sz w:val="16"/>
        </w:rPr>
        <w:t>del</w:t>
      </w:r>
      <w:r>
        <w:rPr>
          <w:color w:val="231F20"/>
          <w:spacing w:val="-17"/>
          <w:sz w:val="16"/>
        </w:rPr>
        <w:t> </w:t>
      </w:r>
      <w:r>
        <w:rPr>
          <w:color w:val="231F20"/>
          <w:sz w:val="16"/>
        </w:rPr>
        <w:t>Valle</w:t>
      </w:r>
      <w:r>
        <w:rPr>
          <w:color w:val="231F20"/>
          <w:spacing w:val="-17"/>
          <w:sz w:val="16"/>
        </w:rPr>
        <w:t> </w:t>
      </w:r>
      <w:r>
        <w:rPr>
          <w:color w:val="231F20"/>
          <w:sz w:val="16"/>
        </w:rPr>
        <w:t>Miranda,</w:t>
      </w:r>
      <w:r>
        <w:rPr>
          <w:color w:val="231F20"/>
          <w:spacing w:val="-17"/>
          <w:sz w:val="16"/>
        </w:rPr>
        <w:t> </w:t>
      </w:r>
      <w:r>
        <w:rPr>
          <w:color w:val="231F20"/>
          <w:sz w:val="16"/>
        </w:rPr>
        <w:t>Médico</w:t>
      </w:r>
      <w:r>
        <w:rPr>
          <w:color w:val="231F20"/>
          <w:spacing w:val="-17"/>
          <w:sz w:val="16"/>
        </w:rPr>
        <w:t> </w:t>
      </w:r>
      <w:r>
        <w:rPr>
          <w:color w:val="231F20"/>
          <w:sz w:val="16"/>
        </w:rPr>
        <w:t>Veterinario</w:t>
      </w:r>
      <w:r>
        <w:rPr>
          <w:color w:val="231F20"/>
          <w:spacing w:val="-17"/>
          <w:sz w:val="16"/>
        </w:rPr>
        <w:t> </w:t>
      </w:r>
      <w:r>
        <w:rPr>
          <w:color w:val="231F20"/>
          <w:sz w:val="16"/>
        </w:rPr>
        <w:t>Zootecnista,</w:t>
      </w:r>
      <w:r>
        <w:rPr>
          <w:color w:val="231F20"/>
          <w:spacing w:val="-17"/>
          <w:sz w:val="16"/>
        </w:rPr>
        <w:t> </w:t>
      </w:r>
      <w:r>
        <w:rPr>
          <w:color w:val="231F20"/>
          <w:sz w:val="16"/>
        </w:rPr>
        <w:t>fue</w:t>
      </w:r>
      <w:r>
        <w:rPr>
          <w:color w:val="231F20"/>
          <w:spacing w:val="-17"/>
          <w:sz w:val="16"/>
        </w:rPr>
        <w:t> </w:t>
      </w:r>
      <w:r>
        <w:rPr>
          <w:color w:val="231F20"/>
          <w:sz w:val="16"/>
        </w:rPr>
        <w:t>presidente</w:t>
      </w:r>
      <w:r>
        <w:rPr>
          <w:color w:val="231F20"/>
          <w:spacing w:val="-17"/>
          <w:sz w:val="16"/>
        </w:rPr>
        <w:t> </w:t>
      </w:r>
      <w:r>
        <w:rPr>
          <w:color w:val="231F20"/>
          <w:sz w:val="16"/>
        </w:rPr>
        <w:t>del</w:t>
      </w:r>
      <w:r>
        <w:rPr>
          <w:color w:val="231F20"/>
          <w:spacing w:val="-17"/>
          <w:sz w:val="16"/>
        </w:rPr>
        <w:t> </w:t>
      </w:r>
      <w:r>
        <w:rPr>
          <w:color w:val="231F20"/>
          <w:sz w:val="16"/>
        </w:rPr>
        <w:t>partido</w:t>
      </w:r>
      <w:r>
        <w:rPr>
          <w:color w:val="231F20"/>
          <w:spacing w:val="-17"/>
          <w:sz w:val="16"/>
        </w:rPr>
        <w:t> </w:t>
      </w:r>
      <w:r>
        <w:rPr>
          <w:color w:val="231F20"/>
          <w:sz w:val="16"/>
        </w:rPr>
        <w:t>(1998-2000)</w:t>
      </w:r>
      <w:r>
        <w:rPr>
          <w:color w:val="231F20"/>
          <w:spacing w:val="-17"/>
          <w:sz w:val="16"/>
        </w:rPr>
        <w:t> </w:t>
      </w:r>
      <w:r>
        <w:rPr>
          <w:color w:val="231F20"/>
          <w:sz w:val="16"/>
        </w:rPr>
        <w:t>y</w:t>
      </w:r>
      <w:r>
        <w:rPr>
          <w:color w:val="231F20"/>
          <w:spacing w:val="-17"/>
          <w:sz w:val="16"/>
        </w:rPr>
        <w:t> </w:t>
      </w:r>
      <w:r>
        <w:rPr>
          <w:color w:val="231F20"/>
          <w:sz w:val="16"/>
        </w:rPr>
        <w:t>el</w:t>
      </w:r>
      <w:r>
        <w:rPr>
          <w:color w:val="231F20"/>
          <w:spacing w:val="-17"/>
          <w:sz w:val="16"/>
        </w:rPr>
        <w:t> </w:t>
      </w:r>
      <w:r>
        <w:rPr>
          <w:color w:val="231F20"/>
          <w:sz w:val="16"/>
        </w:rPr>
        <w:t>presidente</w:t>
      </w:r>
      <w:r>
        <w:rPr>
          <w:color w:val="231F20"/>
          <w:spacing w:val="-17"/>
          <w:sz w:val="16"/>
        </w:rPr>
        <w:t> </w:t>
      </w:r>
      <w:r>
        <w:rPr>
          <w:color w:val="231F20"/>
          <w:sz w:val="16"/>
        </w:rPr>
        <w:t>de</w:t>
      </w:r>
      <w:r>
        <w:rPr>
          <w:color w:val="231F20"/>
          <w:spacing w:val="-17"/>
          <w:sz w:val="16"/>
        </w:rPr>
        <w:t> </w:t>
      </w:r>
      <w:r>
        <w:rPr>
          <w:color w:val="231F20"/>
          <w:sz w:val="16"/>
        </w:rPr>
        <w:t>Ame- cameca</w:t>
      </w:r>
      <w:r>
        <w:rPr>
          <w:color w:val="231F20"/>
          <w:spacing w:val="-8"/>
          <w:sz w:val="16"/>
        </w:rPr>
        <w:t> </w:t>
      </w:r>
      <w:r>
        <w:rPr>
          <w:color w:val="231F20"/>
          <w:sz w:val="16"/>
        </w:rPr>
        <w:t>por</w:t>
      </w:r>
      <w:r>
        <w:rPr>
          <w:color w:val="231F20"/>
          <w:spacing w:val="-8"/>
          <w:sz w:val="16"/>
        </w:rPr>
        <w:t> </w:t>
      </w:r>
      <w:r>
        <w:rPr>
          <w:color w:val="231F20"/>
          <w:sz w:val="16"/>
        </w:rPr>
        <w:t>el</w:t>
      </w:r>
      <w:r>
        <w:rPr>
          <w:color w:val="231F20"/>
          <w:spacing w:val="-8"/>
          <w:sz w:val="16"/>
        </w:rPr>
        <w:t> </w:t>
      </w:r>
      <w:r>
        <w:rPr>
          <w:color w:val="231F20"/>
          <w:sz w:val="16"/>
        </w:rPr>
        <w:t>PRD</w:t>
      </w:r>
      <w:r>
        <w:rPr>
          <w:color w:val="231F20"/>
          <w:spacing w:val="-8"/>
          <w:sz w:val="16"/>
        </w:rPr>
        <w:t> </w:t>
      </w:r>
      <w:r>
        <w:rPr>
          <w:color w:val="231F20"/>
          <w:sz w:val="16"/>
        </w:rPr>
        <w:t>(2000-2003).</w:t>
      </w:r>
      <w:r>
        <w:rPr>
          <w:color w:val="231F20"/>
          <w:spacing w:val="-8"/>
          <w:sz w:val="16"/>
        </w:rPr>
        <w:t> </w:t>
      </w:r>
      <w:r>
        <w:rPr>
          <w:color w:val="231F20"/>
          <w:sz w:val="16"/>
        </w:rPr>
        <w:t>Pertenece</w:t>
      </w:r>
      <w:r>
        <w:rPr>
          <w:color w:val="231F20"/>
          <w:spacing w:val="-8"/>
          <w:sz w:val="16"/>
        </w:rPr>
        <w:t> </w:t>
      </w:r>
      <w:r>
        <w:rPr>
          <w:color w:val="231F20"/>
          <w:sz w:val="16"/>
        </w:rPr>
        <w:t>al</w:t>
      </w:r>
      <w:r>
        <w:rPr>
          <w:color w:val="231F20"/>
          <w:spacing w:val="-8"/>
          <w:sz w:val="16"/>
        </w:rPr>
        <w:t> </w:t>
      </w:r>
      <w:r>
        <w:rPr>
          <w:color w:val="231F20"/>
          <w:spacing w:val="-6"/>
          <w:sz w:val="16"/>
        </w:rPr>
        <w:t>GAP…</w:t>
      </w:r>
    </w:p>
    <w:p>
      <w:pPr>
        <w:spacing w:after="0" w:line="244"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El vínculo que se tiene con el Comité Directivo Estatal </w:t>
      </w:r>
      <w:r>
        <w:rPr>
          <w:color w:val="231F20"/>
          <w:spacing w:val="-3"/>
          <w:w w:val="105"/>
        </w:rPr>
        <w:t>(CDE) </w:t>
      </w:r>
      <w:r>
        <w:rPr>
          <w:color w:val="231F20"/>
          <w:w w:val="105"/>
        </w:rPr>
        <w:t>es estrecho, pues si en un primer </w:t>
      </w:r>
      <w:r>
        <w:rPr>
          <w:color w:val="231F20"/>
          <w:spacing w:val="-3"/>
          <w:w w:val="105"/>
        </w:rPr>
        <w:t>momento </w:t>
      </w:r>
      <w:r>
        <w:rPr>
          <w:color w:val="231F20"/>
          <w:w w:val="105"/>
        </w:rPr>
        <w:t>la relación con Ricardo </w:t>
      </w:r>
      <w:r>
        <w:rPr>
          <w:color w:val="231F20"/>
          <w:spacing w:val="-3"/>
          <w:w w:val="105"/>
        </w:rPr>
        <w:t>Moreno </w:t>
      </w:r>
      <w:r>
        <w:rPr>
          <w:color w:val="231F20"/>
          <w:w w:val="105"/>
        </w:rPr>
        <w:t>expresidente del CDE era buena la</w:t>
      </w:r>
      <w:r>
        <w:rPr>
          <w:color w:val="231F20"/>
          <w:spacing w:val="-12"/>
          <w:w w:val="105"/>
        </w:rPr>
        <w:t> </w:t>
      </w:r>
      <w:r>
        <w:rPr>
          <w:color w:val="231F20"/>
          <w:w w:val="105"/>
        </w:rPr>
        <w:t>relación</w:t>
      </w:r>
      <w:r>
        <w:rPr>
          <w:color w:val="231F20"/>
          <w:spacing w:val="-12"/>
          <w:w w:val="105"/>
        </w:rPr>
        <w:t> </w:t>
      </w:r>
      <w:r>
        <w:rPr>
          <w:color w:val="231F20"/>
          <w:w w:val="105"/>
        </w:rPr>
        <w:t>e</w:t>
      </w:r>
      <w:r>
        <w:rPr>
          <w:color w:val="231F20"/>
          <w:spacing w:val="-12"/>
          <w:w w:val="105"/>
        </w:rPr>
        <w:t> </w:t>
      </w:r>
      <w:r>
        <w:rPr>
          <w:color w:val="231F20"/>
          <w:w w:val="105"/>
        </w:rPr>
        <w:t>institucional,</w:t>
      </w:r>
      <w:r>
        <w:rPr>
          <w:color w:val="231F20"/>
          <w:spacing w:val="-12"/>
          <w:w w:val="105"/>
        </w:rPr>
        <w:t> </w:t>
      </w:r>
      <w:r>
        <w:rPr>
          <w:color w:val="231F20"/>
          <w:w w:val="105"/>
        </w:rPr>
        <w:t>ahora</w:t>
      </w:r>
      <w:r>
        <w:rPr>
          <w:color w:val="231F20"/>
          <w:spacing w:val="-12"/>
          <w:w w:val="105"/>
        </w:rPr>
        <w:t> </w:t>
      </w:r>
      <w:r>
        <w:rPr>
          <w:color w:val="231F20"/>
          <w:w w:val="105"/>
        </w:rPr>
        <w:t>con</w:t>
      </w:r>
      <w:r>
        <w:rPr>
          <w:color w:val="231F20"/>
          <w:spacing w:val="-12"/>
          <w:w w:val="105"/>
        </w:rPr>
        <w:t> </w:t>
      </w:r>
      <w:r>
        <w:rPr>
          <w:color w:val="231F20"/>
          <w:w w:val="105"/>
        </w:rPr>
        <w:t>Luís</w:t>
      </w:r>
      <w:r>
        <w:rPr>
          <w:color w:val="231F20"/>
          <w:spacing w:val="-12"/>
          <w:w w:val="105"/>
        </w:rPr>
        <w:t> </w:t>
      </w:r>
      <w:r>
        <w:rPr>
          <w:color w:val="231F20"/>
          <w:w w:val="105"/>
        </w:rPr>
        <w:t>Sánchez</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presidencia</w:t>
      </w:r>
      <w:r>
        <w:rPr>
          <w:color w:val="231F20"/>
          <w:spacing w:val="-12"/>
          <w:w w:val="105"/>
        </w:rPr>
        <w:t> </w:t>
      </w:r>
      <w:r>
        <w:rPr>
          <w:color w:val="231F20"/>
          <w:w w:val="105"/>
        </w:rPr>
        <w:t>del</w:t>
      </w:r>
      <w:r>
        <w:rPr>
          <w:color w:val="231F20"/>
          <w:spacing w:val="-12"/>
          <w:w w:val="105"/>
        </w:rPr>
        <w:t> </w:t>
      </w:r>
      <w:r>
        <w:rPr>
          <w:color w:val="231F20"/>
          <w:w w:val="105"/>
        </w:rPr>
        <w:t>CDE</w:t>
      </w:r>
      <w:r>
        <w:rPr>
          <w:color w:val="231F20"/>
          <w:spacing w:val="-12"/>
          <w:w w:val="105"/>
        </w:rPr>
        <w:t> </w:t>
      </w:r>
      <w:r>
        <w:rPr>
          <w:color w:val="231F20"/>
          <w:w w:val="105"/>
        </w:rPr>
        <w:t>se</w:t>
      </w:r>
      <w:r>
        <w:rPr>
          <w:color w:val="231F20"/>
          <w:spacing w:val="-12"/>
          <w:w w:val="105"/>
        </w:rPr>
        <w:t> </w:t>
      </w:r>
      <w:r>
        <w:rPr>
          <w:color w:val="231F20"/>
          <w:w w:val="105"/>
        </w:rPr>
        <w:t>mejora dado que él como el presidente municipal pertenecen a la misma corriente: ADN.8 La comunicación es mejor y oportuna para precisar toma de decisiones. Es natural que la relación con el CDE sea en otra dimensión, por las formas de control que los partidos políticos</w:t>
      </w:r>
      <w:r>
        <w:rPr>
          <w:color w:val="231F20"/>
          <w:spacing w:val="-15"/>
          <w:w w:val="105"/>
        </w:rPr>
        <w:t> </w:t>
      </w:r>
      <w:r>
        <w:rPr>
          <w:color w:val="231F20"/>
          <w:w w:val="105"/>
        </w:rPr>
        <w:t>guardan</w:t>
      </w:r>
      <w:r>
        <w:rPr>
          <w:color w:val="231F20"/>
          <w:spacing w:val="-15"/>
          <w:w w:val="105"/>
        </w:rPr>
        <w:t> </w:t>
      </w:r>
      <w:r>
        <w:rPr>
          <w:color w:val="231F20"/>
          <w:w w:val="105"/>
        </w:rPr>
        <w:t>para</w:t>
      </w:r>
      <w:r>
        <w:rPr>
          <w:color w:val="231F20"/>
          <w:spacing w:val="-15"/>
          <w:w w:val="105"/>
        </w:rPr>
        <w:t> </w:t>
      </w:r>
      <w:r>
        <w:rPr>
          <w:color w:val="231F20"/>
          <w:w w:val="105"/>
        </w:rPr>
        <w:t>sí</w:t>
      </w:r>
      <w:r>
        <w:rPr>
          <w:color w:val="231F20"/>
          <w:spacing w:val="-15"/>
          <w:w w:val="105"/>
        </w:rPr>
        <w:t> </w:t>
      </w:r>
      <w:r>
        <w:rPr>
          <w:color w:val="231F20"/>
          <w:w w:val="105"/>
        </w:rPr>
        <w:t>y</w:t>
      </w:r>
      <w:r>
        <w:rPr>
          <w:color w:val="231F20"/>
          <w:spacing w:val="-15"/>
          <w:w w:val="105"/>
        </w:rPr>
        <w:t> </w:t>
      </w:r>
      <w:r>
        <w:rPr>
          <w:color w:val="231F20"/>
          <w:w w:val="105"/>
        </w:rPr>
        <w:t>que</w:t>
      </w:r>
      <w:r>
        <w:rPr>
          <w:color w:val="231F20"/>
          <w:spacing w:val="-15"/>
          <w:w w:val="105"/>
        </w:rPr>
        <w:t> </w:t>
      </w:r>
      <w:r>
        <w:rPr>
          <w:color w:val="231F20"/>
          <w:w w:val="105"/>
        </w:rPr>
        <w:t>ejercen</w:t>
      </w:r>
      <w:r>
        <w:rPr>
          <w:color w:val="231F20"/>
          <w:spacing w:val="-15"/>
          <w:w w:val="105"/>
        </w:rPr>
        <w:t> </w:t>
      </w:r>
      <w:r>
        <w:rPr>
          <w:color w:val="231F20"/>
          <w:w w:val="105"/>
        </w:rPr>
        <w:t>sus</w:t>
      </w:r>
      <w:r>
        <w:rPr>
          <w:color w:val="231F20"/>
          <w:spacing w:val="-15"/>
          <w:w w:val="105"/>
        </w:rPr>
        <w:t> </w:t>
      </w:r>
      <w:r>
        <w:rPr>
          <w:color w:val="231F20"/>
          <w:w w:val="105"/>
        </w:rPr>
        <w:t>líderes,</w:t>
      </w:r>
      <w:r>
        <w:rPr>
          <w:color w:val="231F20"/>
          <w:spacing w:val="-15"/>
          <w:w w:val="105"/>
        </w:rPr>
        <w:t> </w:t>
      </w:r>
      <w:r>
        <w:rPr>
          <w:color w:val="231F20"/>
          <w:w w:val="105"/>
        </w:rPr>
        <w:t>como</w:t>
      </w:r>
      <w:r>
        <w:rPr>
          <w:color w:val="231F20"/>
          <w:spacing w:val="-15"/>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nominación,</w:t>
      </w:r>
      <w:r>
        <w:rPr>
          <w:color w:val="231F20"/>
          <w:spacing w:val="-15"/>
          <w:w w:val="105"/>
        </w:rPr>
        <w:t> </w:t>
      </w:r>
      <w:r>
        <w:rPr>
          <w:color w:val="231F20"/>
          <w:w w:val="105"/>
        </w:rPr>
        <w:t>de la</w:t>
      </w:r>
      <w:r>
        <w:rPr>
          <w:color w:val="231F20"/>
          <w:spacing w:val="-14"/>
          <w:w w:val="105"/>
        </w:rPr>
        <w:t> </w:t>
      </w:r>
      <w:r>
        <w:rPr>
          <w:color w:val="231F20"/>
          <w:w w:val="105"/>
        </w:rPr>
        <w:t>generación</w:t>
      </w:r>
      <w:r>
        <w:rPr>
          <w:color w:val="231F20"/>
          <w:spacing w:val="-14"/>
          <w:w w:val="105"/>
        </w:rPr>
        <w:t> </w:t>
      </w:r>
      <w:r>
        <w:rPr>
          <w:color w:val="231F20"/>
          <w:w w:val="105"/>
        </w:rPr>
        <w:t>de</w:t>
      </w:r>
      <w:r>
        <w:rPr>
          <w:color w:val="231F20"/>
          <w:spacing w:val="-14"/>
          <w:w w:val="105"/>
        </w:rPr>
        <w:t> </w:t>
      </w:r>
      <w:r>
        <w:rPr>
          <w:color w:val="231F20"/>
          <w:w w:val="105"/>
        </w:rPr>
        <w:t>apoyos</w:t>
      </w:r>
      <w:r>
        <w:rPr>
          <w:color w:val="231F20"/>
          <w:spacing w:val="-14"/>
          <w:w w:val="105"/>
        </w:rPr>
        <w:t> </w:t>
      </w:r>
      <w:r>
        <w:rPr>
          <w:color w:val="231F20"/>
          <w:w w:val="105"/>
        </w:rPr>
        <w:t>para</w:t>
      </w:r>
      <w:r>
        <w:rPr>
          <w:color w:val="231F20"/>
          <w:spacing w:val="-14"/>
          <w:w w:val="105"/>
        </w:rPr>
        <w:t> </w:t>
      </w:r>
      <w:r>
        <w:rPr>
          <w:color w:val="231F20"/>
          <w:w w:val="105"/>
        </w:rPr>
        <w:t>candidaturas</w:t>
      </w:r>
      <w:r>
        <w:rPr>
          <w:color w:val="231F20"/>
          <w:spacing w:val="-14"/>
          <w:w w:val="105"/>
        </w:rPr>
        <w:t> </w:t>
      </w:r>
      <w:r>
        <w:rPr>
          <w:color w:val="231F20"/>
          <w:w w:val="105"/>
        </w:rPr>
        <w:t>y</w:t>
      </w:r>
      <w:r>
        <w:rPr>
          <w:color w:val="231F20"/>
          <w:spacing w:val="-14"/>
          <w:w w:val="105"/>
        </w:rPr>
        <w:t> </w:t>
      </w:r>
      <w:r>
        <w:rPr>
          <w:color w:val="231F20"/>
          <w:w w:val="105"/>
        </w:rPr>
        <w:t>este</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lógicas</w:t>
      </w:r>
      <w:r>
        <w:rPr>
          <w:color w:val="231F20"/>
          <w:spacing w:val="-14"/>
          <w:w w:val="105"/>
        </w:rPr>
        <w:t> </w:t>
      </w:r>
      <w:r>
        <w:rPr>
          <w:color w:val="231F20"/>
          <w:w w:val="105"/>
        </w:rPr>
        <w:t>propias</w:t>
      </w:r>
      <w:r>
        <w:rPr>
          <w:color w:val="231F20"/>
          <w:spacing w:val="-14"/>
          <w:w w:val="105"/>
        </w:rPr>
        <w:t> </w:t>
      </w:r>
      <w:r>
        <w:rPr>
          <w:color w:val="231F20"/>
          <w:w w:val="105"/>
        </w:rPr>
        <w:t>de</w:t>
      </w:r>
      <w:r>
        <w:rPr>
          <w:color w:val="231F20"/>
          <w:spacing w:val="-14"/>
          <w:w w:val="105"/>
        </w:rPr>
        <w:t> </w:t>
      </w:r>
      <w:r>
        <w:rPr>
          <w:color w:val="231F20"/>
          <w:w w:val="105"/>
        </w:rPr>
        <w:t>lo</w:t>
      </w:r>
      <w:r>
        <w:rPr>
          <w:color w:val="231F20"/>
          <w:spacing w:val="-14"/>
          <w:w w:val="105"/>
        </w:rPr>
        <w:t> </w:t>
      </w:r>
      <w:r>
        <w:rPr>
          <w:color w:val="231F20"/>
          <w:w w:val="105"/>
        </w:rPr>
        <w:t>electoral.</w:t>
      </w:r>
    </w:p>
    <w:p>
      <w:pPr>
        <w:pStyle w:val="BodyText"/>
        <w:spacing w:before="1"/>
        <w:rPr>
          <w:sz w:val="26"/>
        </w:rPr>
      </w:pPr>
    </w:p>
    <w:p>
      <w:pPr>
        <w:pStyle w:val="BodyText"/>
        <w:spacing w:line="285" w:lineRule="auto"/>
        <w:ind w:left="110" w:right="107"/>
        <w:jc w:val="both"/>
      </w:pPr>
      <w:r>
        <w:rPr>
          <w:color w:val="231F20"/>
          <w:w w:val="105"/>
        </w:rPr>
        <w:t>Otro</w:t>
      </w:r>
      <w:r>
        <w:rPr>
          <w:color w:val="231F20"/>
          <w:spacing w:val="-16"/>
          <w:w w:val="105"/>
        </w:rPr>
        <w:t> </w:t>
      </w:r>
      <w:r>
        <w:rPr>
          <w:color w:val="231F20"/>
          <w:w w:val="105"/>
        </w:rPr>
        <w:t>aspecto</w:t>
      </w:r>
      <w:r>
        <w:rPr>
          <w:color w:val="231F20"/>
          <w:spacing w:val="-16"/>
          <w:w w:val="105"/>
        </w:rPr>
        <w:t> </w:t>
      </w:r>
      <w:r>
        <w:rPr>
          <w:color w:val="231F20"/>
          <w:w w:val="105"/>
        </w:rPr>
        <w:t>importante</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contexto</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centralización</w:t>
      </w:r>
      <w:r>
        <w:rPr>
          <w:color w:val="231F20"/>
          <w:spacing w:val="-16"/>
          <w:w w:val="105"/>
        </w:rPr>
        <w:t> </w:t>
      </w:r>
      <w:r>
        <w:rPr>
          <w:color w:val="231F20"/>
          <w:w w:val="105"/>
        </w:rPr>
        <w:t>de</w:t>
      </w:r>
      <w:r>
        <w:rPr>
          <w:color w:val="231F20"/>
          <w:spacing w:val="-16"/>
          <w:w w:val="105"/>
        </w:rPr>
        <w:t> </w:t>
      </w:r>
      <w:r>
        <w:rPr>
          <w:color w:val="231F20"/>
          <w:w w:val="105"/>
        </w:rPr>
        <w:t>las decisiones</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capital</w:t>
      </w:r>
      <w:r>
        <w:rPr>
          <w:color w:val="231F20"/>
          <w:spacing w:val="-27"/>
          <w:w w:val="105"/>
        </w:rPr>
        <w:t> </w:t>
      </w:r>
      <w:r>
        <w:rPr>
          <w:color w:val="231F20"/>
          <w:w w:val="105"/>
        </w:rPr>
        <w:t>del</w:t>
      </w:r>
      <w:r>
        <w:rPr>
          <w:color w:val="231F20"/>
          <w:spacing w:val="-27"/>
          <w:w w:val="105"/>
        </w:rPr>
        <w:t> </w:t>
      </w:r>
      <w:r>
        <w:rPr>
          <w:color w:val="231F20"/>
          <w:w w:val="105"/>
        </w:rPr>
        <w:t>Estado.</w:t>
      </w:r>
      <w:r>
        <w:rPr>
          <w:color w:val="231F20"/>
          <w:spacing w:val="-27"/>
          <w:w w:val="105"/>
        </w:rPr>
        <w:t> </w:t>
      </w:r>
      <w:r>
        <w:rPr>
          <w:color w:val="231F20"/>
          <w:w w:val="105"/>
        </w:rPr>
        <w:t>En</w:t>
      </w:r>
      <w:r>
        <w:rPr>
          <w:color w:val="231F20"/>
          <w:spacing w:val="-27"/>
          <w:w w:val="105"/>
        </w:rPr>
        <w:t> </w:t>
      </w:r>
      <w:r>
        <w:rPr>
          <w:color w:val="231F20"/>
          <w:w w:val="105"/>
        </w:rPr>
        <w:t>este</w:t>
      </w:r>
      <w:r>
        <w:rPr>
          <w:color w:val="231F20"/>
          <w:spacing w:val="-27"/>
          <w:w w:val="105"/>
        </w:rPr>
        <w:t> </w:t>
      </w:r>
      <w:r>
        <w:rPr>
          <w:color w:val="231F20"/>
          <w:w w:val="105"/>
        </w:rPr>
        <w:t>sentido,</w:t>
      </w:r>
      <w:r>
        <w:rPr>
          <w:color w:val="231F20"/>
          <w:spacing w:val="-27"/>
          <w:w w:val="105"/>
        </w:rPr>
        <w:t> </w:t>
      </w:r>
      <w:r>
        <w:rPr>
          <w:color w:val="231F20"/>
          <w:w w:val="105"/>
        </w:rPr>
        <w:t>la</w:t>
      </w:r>
      <w:r>
        <w:rPr>
          <w:color w:val="231F20"/>
          <w:spacing w:val="-27"/>
          <w:w w:val="105"/>
        </w:rPr>
        <w:t> </w:t>
      </w:r>
      <w:r>
        <w:rPr>
          <w:color w:val="231F20"/>
          <w:w w:val="105"/>
        </w:rPr>
        <w:t>relación</w:t>
      </w:r>
      <w:r>
        <w:rPr>
          <w:color w:val="231F20"/>
          <w:spacing w:val="-27"/>
          <w:w w:val="105"/>
        </w:rPr>
        <w:t> </w:t>
      </w:r>
      <w:r>
        <w:rPr>
          <w:color w:val="231F20"/>
          <w:w w:val="105"/>
        </w:rPr>
        <w:t>que</w:t>
      </w:r>
      <w:r>
        <w:rPr>
          <w:color w:val="231F20"/>
          <w:spacing w:val="-27"/>
          <w:w w:val="105"/>
        </w:rPr>
        <w:t> </w:t>
      </w:r>
      <w:r>
        <w:rPr>
          <w:color w:val="231F20"/>
          <w:w w:val="105"/>
        </w:rPr>
        <w:t>el</w:t>
      </w:r>
      <w:r>
        <w:rPr>
          <w:color w:val="231F20"/>
          <w:spacing w:val="-27"/>
          <w:w w:val="105"/>
        </w:rPr>
        <w:t> </w:t>
      </w:r>
      <w:r>
        <w:rPr>
          <w:color w:val="231F20"/>
          <w:w w:val="105"/>
        </w:rPr>
        <w:t>presidente</w:t>
      </w:r>
      <w:r>
        <w:rPr>
          <w:color w:val="231F20"/>
          <w:spacing w:val="-27"/>
          <w:w w:val="105"/>
        </w:rPr>
        <w:t> </w:t>
      </w:r>
      <w:r>
        <w:rPr>
          <w:color w:val="231F20"/>
          <w:w w:val="105"/>
        </w:rPr>
        <w:t>establece con</w:t>
      </w:r>
      <w:r>
        <w:rPr>
          <w:color w:val="231F20"/>
          <w:spacing w:val="-17"/>
          <w:w w:val="105"/>
        </w:rPr>
        <w:t> </w:t>
      </w:r>
      <w:r>
        <w:rPr>
          <w:color w:val="231F20"/>
          <w:w w:val="105"/>
        </w:rPr>
        <w:t>el</w:t>
      </w:r>
      <w:r>
        <w:rPr>
          <w:color w:val="231F20"/>
          <w:spacing w:val="-17"/>
          <w:w w:val="105"/>
        </w:rPr>
        <w:t> </w:t>
      </w:r>
      <w:r>
        <w:rPr>
          <w:color w:val="231F20"/>
          <w:w w:val="105"/>
        </w:rPr>
        <w:t>líder</w:t>
      </w:r>
      <w:r>
        <w:rPr>
          <w:color w:val="231F20"/>
          <w:spacing w:val="-17"/>
          <w:w w:val="105"/>
        </w:rPr>
        <w:t> </w:t>
      </w:r>
      <w:r>
        <w:rPr>
          <w:color w:val="231F20"/>
          <w:w w:val="105"/>
        </w:rPr>
        <w:t>del</w:t>
      </w:r>
      <w:r>
        <w:rPr>
          <w:color w:val="231F20"/>
          <w:spacing w:val="-17"/>
          <w:w w:val="105"/>
        </w:rPr>
        <w:t> </w:t>
      </w:r>
      <w:r>
        <w:rPr>
          <w:color w:val="231F20"/>
          <w:w w:val="105"/>
        </w:rPr>
        <w:t>partido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plano</w:t>
      </w:r>
      <w:r>
        <w:rPr>
          <w:color w:val="231F20"/>
          <w:spacing w:val="-17"/>
          <w:w w:val="105"/>
        </w:rPr>
        <w:t> </w:t>
      </w:r>
      <w:r>
        <w:rPr>
          <w:color w:val="231F20"/>
          <w:w w:val="105"/>
        </w:rPr>
        <w:t>estatal</w:t>
      </w:r>
      <w:r>
        <w:rPr>
          <w:color w:val="231F20"/>
          <w:spacing w:val="-17"/>
          <w:w w:val="105"/>
        </w:rPr>
        <w:t> </w:t>
      </w:r>
      <w:r>
        <w:rPr>
          <w:color w:val="231F20"/>
          <w:w w:val="105"/>
        </w:rPr>
        <w:t>le</w:t>
      </w:r>
      <w:r>
        <w:rPr>
          <w:color w:val="231F20"/>
          <w:spacing w:val="-17"/>
          <w:w w:val="105"/>
        </w:rPr>
        <w:t> </w:t>
      </w:r>
      <w:r>
        <w:rPr>
          <w:color w:val="231F20"/>
          <w:w w:val="105"/>
        </w:rPr>
        <w:t>facilita</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vez</w:t>
      </w:r>
      <w:r>
        <w:rPr>
          <w:color w:val="231F20"/>
          <w:spacing w:val="-17"/>
          <w:w w:val="105"/>
        </w:rPr>
        <w:t> </w:t>
      </w:r>
      <w:r>
        <w:rPr>
          <w:color w:val="231F20"/>
          <w:w w:val="105"/>
        </w:rPr>
        <w:t>que</w:t>
      </w:r>
      <w:r>
        <w:rPr>
          <w:color w:val="231F20"/>
          <w:spacing w:val="-17"/>
          <w:w w:val="105"/>
        </w:rPr>
        <w:t> </w:t>
      </w:r>
      <w:r>
        <w:rPr>
          <w:color w:val="231F20"/>
          <w:w w:val="105"/>
        </w:rPr>
        <w:t>le</w:t>
      </w:r>
      <w:r>
        <w:rPr>
          <w:color w:val="231F20"/>
          <w:spacing w:val="-17"/>
          <w:w w:val="105"/>
        </w:rPr>
        <w:t> </w:t>
      </w:r>
      <w:r>
        <w:rPr>
          <w:color w:val="231F20"/>
          <w:w w:val="105"/>
        </w:rPr>
        <w:t>permite</w:t>
      </w:r>
      <w:r>
        <w:rPr>
          <w:color w:val="231F20"/>
          <w:spacing w:val="-17"/>
          <w:w w:val="105"/>
        </w:rPr>
        <w:t> </w:t>
      </w:r>
      <w:r>
        <w:rPr>
          <w:color w:val="231F20"/>
          <w:w w:val="105"/>
        </w:rPr>
        <w:t>estar</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co- nocimiento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decisiones,</w:t>
      </w:r>
      <w:r>
        <w:rPr>
          <w:color w:val="231F20"/>
          <w:spacing w:val="-14"/>
          <w:w w:val="105"/>
        </w:rPr>
        <w:t> </w:t>
      </w:r>
      <w:r>
        <w:rPr>
          <w:color w:val="231F20"/>
          <w:w w:val="105"/>
        </w:rPr>
        <w:t>las</w:t>
      </w:r>
      <w:r>
        <w:rPr>
          <w:color w:val="231F20"/>
          <w:spacing w:val="-14"/>
          <w:w w:val="105"/>
        </w:rPr>
        <w:t> </w:t>
      </w:r>
      <w:r>
        <w:rPr>
          <w:color w:val="231F20"/>
          <w:w w:val="105"/>
        </w:rPr>
        <w:t>tendencias</w:t>
      </w:r>
      <w:r>
        <w:rPr>
          <w:color w:val="231F20"/>
          <w:spacing w:val="-14"/>
          <w:w w:val="105"/>
        </w:rPr>
        <w:t> </w:t>
      </w:r>
      <w:r>
        <w:rPr>
          <w:color w:val="231F20"/>
          <w:w w:val="105"/>
        </w:rPr>
        <w:t>y</w:t>
      </w:r>
      <w:r>
        <w:rPr>
          <w:color w:val="231F20"/>
          <w:spacing w:val="-14"/>
          <w:w w:val="105"/>
        </w:rPr>
        <w:t> </w:t>
      </w:r>
      <w:r>
        <w:rPr>
          <w:color w:val="231F20"/>
          <w:w w:val="105"/>
        </w:rPr>
        <w:t>promociones</w:t>
      </w:r>
      <w:r>
        <w:rPr>
          <w:color w:val="231F20"/>
          <w:spacing w:val="-14"/>
          <w:w w:val="105"/>
        </w:rPr>
        <w:t> </w:t>
      </w:r>
      <w:r>
        <w:rPr>
          <w:color w:val="231F20"/>
          <w:w w:val="105"/>
        </w:rPr>
        <w:t>de</w:t>
      </w:r>
      <w:r>
        <w:rPr>
          <w:color w:val="231F20"/>
          <w:spacing w:val="-14"/>
          <w:w w:val="105"/>
        </w:rPr>
        <w:t> </w:t>
      </w:r>
      <w:r>
        <w:rPr>
          <w:color w:val="231F20"/>
          <w:w w:val="105"/>
        </w:rPr>
        <w:t>programas</w:t>
      </w:r>
      <w:r>
        <w:rPr>
          <w:color w:val="231F20"/>
          <w:spacing w:val="-14"/>
          <w:w w:val="105"/>
        </w:rPr>
        <w:t> </w:t>
      </w:r>
      <w:r>
        <w:rPr>
          <w:color w:val="231F20"/>
          <w:w w:val="105"/>
        </w:rPr>
        <w:t>de</w:t>
      </w:r>
      <w:r>
        <w:rPr>
          <w:color w:val="231F20"/>
          <w:spacing w:val="-14"/>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2"/>
          <w:w w:val="105"/>
        </w:rPr>
        <w:t> </w:t>
      </w:r>
      <w:r>
        <w:rPr>
          <w:color w:val="231F20"/>
          <w:w w:val="105"/>
        </w:rPr>
        <w:t>presidente</w:t>
      </w:r>
      <w:r>
        <w:rPr>
          <w:color w:val="231F20"/>
          <w:spacing w:val="-12"/>
          <w:w w:val="105"/>
        </w:rPr>
        <w:t> </w:t>
      </w:r>
      <w:r>
        <w:rPr>
          <w:color w:val="231F20"/>
          <w:w w:val="105"/>
        </w:rPr>
        <w:t>municipal</w:t>
      </w:r>
      <w:r>
        <w:rPr>
          <w:color w:val="231F20"/>
          <w:spacing w:val="-12"/>
          <w:w w:val="105"/>
        </w:rPr>
        <w:t> </w:t>
      </w:r>
      <w:r>
        <w:rPr>
          <w:color w:val="231F20"/>
          <w:w w:val="105"/>
        </w:rPr>
        <w:t>reconoció</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relación</w:t>
      </w:r>
      <w:r>
        <w:rPr>
          <w:color w:val="231F20"/>
          <w:spacing w:val="-12"/>
          <w:w w:val="105"/>
        </w:rPr>
        <w:t> </w:t>
      </w:r>
      <w:r>
        <w:rPr>
          <w:color w:val="231F20"/>
          <w:w w:val="105"/>
        </w:rPr>
        <w:t>con</w:t>
      </w:r>
      <w:r>
        <w:rPr>
          <w:color w:val="231F20"/>
          <w:spacing w:val="-12"/>
          <w:w w:val="105"/>
        </w:rPr>
        <w:t> </w:t>
      </w:r>
      <w:r>
        <w:rPr>
          <w:color w:val="231F20"/>
          <w:w w:val="105"/>
        </w:rPr>
        <w:t>Higinio</w:t>
      </w:r>
      <w:r>
        <w:rPr>
          <w:color w:val="231F20"/>
          <w:spacing w:val="-12"/>
          <w:w w:val="105"/>
        </w:rPr>
        <w:t> </w:t>
      </w:r>
      <w:r>
        <w:rPr>
          <w:color w:val="231F20"/>
          <w:w w:val="105"/>
        </w:rPr>
        <w:t>Martínez</w:t>
      </w:r>
      <w:r>
        <w:rPr>
          <w:color w:val="231F20"/>
          <w:spacing w:val="-12"/>
          <w:w w:val="105"/>
        </w:rPr>
        <w:t> </w:t>
      </w:r>
      <w:r>
        <w:rPr>
          <w:color w:val="231F20"/>
          <w:w w:val="105"/>
        </w:rPr>
        <w:t>es</w:t>
      </w:r>
      <w:r>
        <w:rPr>
          <w:color w:val="231F20"/>
          <w:spacing w:val="-12"/>
          <w:w w:val="105"/>
        </w:rPr>
        <w:t> </w:t>
      </w:r>
      <w:r>
        <w:rPr>
          <w:color w:val="231F20"/>
          <w:w w:val="105"/>
        </w:rPr>
        <w:t>buena</w:t>
      </w:r>
      <w:r>
        <w:rPr>
          <w:color w:val="231F20"/>
          <w:spacing w:val="-12"/>
          <w:w w:val="105"/>
        </w:rPr>
        <w:t> </w:t>
      </w:r>
      <w:r>
        <w:rPr>
          <w:color w:val="231F20"/>
          <w:w w:val="105"/>
        </w:rPr>
        <w:t>y</w:t>
      </w:r>
      <w:r>
        <w:rPr>
          <w:color w:val="231F20"/>
          <w:spacing w:val="-12"/>
          <w:w w:val="105"/>
        </w:rPr>
        <w:t> </w:t>
      </w:r>
      <w:r>
        <w:rPr>
          <w:color w:val="231F20"/>
          <w:w w:val="105"/>
        </w:rPr>
        <w:t>que se mantiene en los márgenes institucionales y personales. Actualmente Martínez es el líder</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diputados</w:t>
      </w:r>
      <w:r>
        <w:rPr>
          <w:color w:val="231F20"/>
          <w:spacing w:val="-24"/>
          <w:w w:val="105"/>
        </w:rPr>
        <w:t> </w:t>
      </w:r>
      <w:r>
        <w:rPr>
          <w:color w:val="231F20"/>
          <w:w w:val="105"/>
        </w:rPr>
        <w:t>del</w:t>
      </w:r>
      <w:r>
        <w:rPr>
          <w:color w:val="231F20"/>
          <w:spacing w:val="-24"/>
          <w:w w:val="105"/>
        </w:rPr>
        <w:t> </w:t>
      </w:r>
      <w:r>
        <w:rPr>
          <w:color w:val="231F20"/>
          <w:w w:val="105"/>
        </w:rPr>
        <w:t>PRD</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spacing w:val="-6"/>
          <w:w w:val="105"/>
        </w:rPr>
        <w:t>LVI</w:t>
      </w:r>
      <w:r>
        <w:rPr>
          <w:color w:val="231F20"/>
          <w:spacing w:val="-24"/>
          <w:w w:val="105"/>
        </w:rPr>
        <w:t> </w:t>
      </w:r>
      <w:r>
        <w:rPr>
          <w:color w:val="231F20"/>
          <w:w w:val="105"/>
        </w:rPr>
        <w:t>Legislatura</w:t>
      </w:r>
      <w:r>
        <w:rPr>
          <w:color w:val="231F20"/>
          <w:spacing w:val="-24"/>
          <w:w w:val="105"/>
        </w:rPr>
        <w:t> </w:t>
      </w:r>
      <w:r>
        <w:rPr>
          <w:color w:val="231F20"/>
          <w:w w:val="105"/>
        </w:rPr>
        <w:t>del</w:t>
      </w:r>
      <w:r>
        <w:rPr>
          <w:color w:val="231F20"/>
          <w:spacing w:val="-24"/>
          <w:w w:val="105"/>
        </w:rPr>
        <w:t> </w:t>
      </w:r>
      <w:r>
        <w:rPr>
          <w:color w:val="231F20"/>
          <w:w w:val="105"/>
        </w:rPr>
        <w:t>Estado,</w:t>
      </w:r>
      <w:r>
        <w:rPr>
          <w:color w:val="231F20"/>
          <w:spacing w:val="-24"/>
          <w:w w:val="105"/>
        </w:rPr>
        <w:t> </w:t>
      </w:r>
      <w:r>
        <w:rPr>
          <w:color w:val="231F20"/>
          <w:w w:val="105"/>
        </w:rPr>
        <w:t>entonces,</w:t>
      </w:r>
      <w:r>
        <w:rPr>
          <w:color w:val="231F20"/>
          <w:spacing w:val="-24"/>
          <w:w w:val="105"/>
        </w:rPr>
        <w:t> </w:t>
      </w:r>
      <w:r>
        <w:rPr>
          <w:color w:val="231F20"/>
          <w:w w:val="105"/>
        </w:rPr>
        <w:t>la</w:t>
      </w:r>
      <w:r>
        <w:rPr>
          <w:color w:val="231F20"/>
          <w:spacing w:val="-24"/>
          <w:w w:val="105"/>
        </w:rPr>
        <w:t> </w:t>
      </w:r>
      <w:r>
        <w:rPr>
          <w:color w:val="231F20"/>
          <w:w w:val="105"/>
        </w:rPr>
        <w:t>relación</w:t>
      </w:r>
      <w:r>
        <w:rPr>
          <w:color w:val="231F20"/>
          <w:spacing w:val="-24"/>
          <w:w w:val="105"/>
        </w:rPr>
        <w:t> </w:t>
      </w:r>
      <w:r>
        <w:rPr>
          <w:color w:val="231F20"/>
          <w:w w:val="105"/>
        </w:rPr>
        <w:t>con él</w:t>
      </w:r>
      <w:r>
        <w:rPr>
          <w:color w:val="231F20"/>
          <w:spacing w:val="-11"/>
          <w:w w:val="105"/>
        </w:rPr>
        <w:t> </w:t>
      </w:r>
      <w:r>
        <w:rPr>
          <w:color w:val="231F20"/>
          <w:w w:val="105"/>
        </w:rPr>
        <w:t>le</w:t>
      </w:r>
      <w:r>
        <w:rPr>
          <w:color w:val="231F20"/>
          <w:spacing w:val="-11"/>
          <w:w w:val="105"/>
        </w:rPr>
        <w:t> </w:t>
      </w:r>
      <w:r>
        <w:rPr>
          <w:color w:val="231F20"/>
          <w:w w:val="105"/>
        </w:rPr>
        <w:t>permite</w:t>
      </w:r>
      <w:r>
        <w:rPr>
          <w:color w:val="231F20"/>
          <w:spacing w:val="-11"/>
          <w:w w:val="105"/>
        </w:rPr>
        <w:t> </w:t>
      </w:r>
      <w:r>
        <w:rPr>
          <w:color w:val="231F20"/>
          <w:spacing w:val="2"/>
          <w:w w:val="105"/>
        </w:rPr>
        <w:t>al</w:t>
      </w:r>
      <w:r>
        <w:rPr>
          <w:color w:val="231F20"/>
          <w:spacing w:val="-11"/>
          <w:w w:val="105"/>
        </w:rPr>
        <w:t> </w:t>
      </w:r>
      <w:r>
        <w:rPr>
          <w:color w:val="231F20"/>
          <w:w w:val="105"/>
        </w:rPr>
        <w:t>presidente</w:t>
      </w:r>
      <w:r>
        <w:rPr>
          <w:color w:val="231F20"/>
          <w:spacing w:val="-11"/>
          <w:w w:val="105"/>
        </w:rPr>
        <w:t> </w:t>
      </w:r>
      <w:r>
        <w:rPr>
          <w:color w:val="231F20"/>
          <w:w w:val="105"/>
        </w:rPr>
        <w:t>tener</w:t>
      </w:r>
      <w:r>
        <w:rPr>
          <w:color w:val="231F20"/>
          <w:spacing w:val="-11"/>
          <w:w w:val="105"/>
        </w:rPr>
        <w:t> </w:t>
      </w:r>
      <w:r>
        <w:rPr>
          <w:color w:val="231F20"/>
          <w:w w:val="105"/>
        </w:rPr>
        <w:t>oportunidad</w:t>
      </w:r>
      <w:r>
        <w:rPr>
          <w:color w:val="231F20"/>
          <w:spacing w:val="-11"/>
          <w:w w:val="105"/>
        </w:rPr>
        <w:t> </w:t>
      </w:r>
      <w:r>
        <w:rPr>
          <w:color w:val="231F20"/>
          <w:w w:val="105"/>
        </w:rPr>
        <w:t>de</w:t>
      </w:r>
      <w:r>
        <w:rPr>
          <w:color w:val="231F20"/>
          <w:spacing w:val="-11"/>
          <w:w w:val="105"/>
        </w:rPr>
        <w:t> </w:t>
      </w:r>
      <w:r>
        <w:rPr>
          <w:color w:val="231F20"/>
          <w:w w:val="105"/>
        </w:rPr>
        <w:t>negociación</w:t>
      </w:r>
      <w:r>
        <w:rPr>
          <w:color w:val="231F20"/>
          <w:spacing w:val="-11"/>
          <w:w w:val="105"/>
        </w:rPr>
        <w:t> </w:t>
      </w:r>
      <w:r>
        <w:rPr>
          <w:color w:val="231F20"/>
          <w:w w:val="105"/>
        </w:rPr>
        <w:t>o</w:t>
      </w:r>
      <w:r>
        <w:rPr>
          <w:color w:val="231F20"/>
          <w:spacing w:val="-11"/>
          <w:w w:val="105"/>
        </w:rPr>
        <w:t> </w:t>
      </w:r>
      <w:r>
        <w:rPr>
          <w:color w:val="231F20"/>
          <w:w w:val="105"/>
        </w:rPr>
        <w:t>gestión</w:t>
      </w:r>
      <w:r>
        <w:rPr>
          <w:color w:val="231F20"/>
          <w:spacing w:val="-11"/>
          <w:w w:val="105"/>
        </w:rPr>
        <w:t> </w:t>
      </w:r>
      <w:r>
        <w:rPr>
          <w:color w:val="231F20"/>
          <w:w w:val="105"/>
        </w:rPr>
        <w:t>para</w:t>
      </w:r>
      <w:r>
        <w:rPr>
          <w:color w:val="231F20"/>
          <w:spacing w:val="-11"/>
          <w:w w:val="105"/>
        </w:rPr>
        <w:t> </w:t>
      </w:r>
      <w:r>
        <w:rPr>
          <w:color w:val="231F20"/>
          <w:w w:val="105"/>
        </w:rPr>
        <w:t>favorecer</w:t>
      </w:r>
      <w:r>
        <w:rPr>
          <w:color w:val="231F20"/>
          <w:spacing w:val="-11"/>
          <w:w w:val="105"/>
        </w:rPr>
        <w:t> </w:t>
      </w:r>
      <w:r>
        <w:rPr>
          <w:color w:val="231F20"/>
          <w:spacing w:val="2"/>
          <w:w w:val="105"/>
        </w:rPr>
        <w:t>al </w:t>
      </w:r>
      <w:r>
        <w:rPr>
          <w:color w:val="231F20"/>
          <w:w w:val="105"/>
        </w:rPr>
        <w:t>gobierno</w:t>
      </w:r>
      <w:r>
        <w:rPr>
          <w:color w:val="231F20"/>
          <w:spacing w:val="-20"/>
          <w:w w:val="105"/>
        </w:rPr>
        <w:t> </w:t>
      </w:r>
      <w:r>
        <w:rPr>
          <w:color w:val="231F20"/>
          <w:w w:val="105"/>
        </w:rPr>
        <w:t>que</w:t>
      </w:r>
      <w:r>
        <w:rPr>
          <w:color w:val="231F20"/>
          <w:spacing w:val="-20"/>
          <w:w w:val="105"/>
        </w:rPr>
        <w:t> </w:t>
      </w:r>
      <w:r>
        <w:rPr>
          <w:color w:val="231F20"/>
          <w:w w:val="105"/>
        </w:rPr>
        <w:t>preside.</w:t>
      </w:r>
      <w:r>
        <w:rPr>
          <w:color w:val="231F20"/>
          <w:spacing w:val="-20"/>
          <w:w w:val="105"/>
        </w:rPr>
        <w:t> </w:t>
      </w:r>
      <w:r>
        <w:rPr>
          <w:color w:val="231F20"/>
          <w:w w:val="105"/>
        </w:rPr>
        <w:t>Es</w:t>
      </w:r>
      <w:r>
        <w:rPr>
          <w:color w:val="231F20"/>
          <w:spacing w:val="-20"/>
          <w:w w:val="105"/>
        </w:rPr>
        <w:t> </w:t>
      </w:r>
      <w:r>
        <w:rPr>
          <w:color w:val="231F20"/>
          <w:w w:val="105"/>
        </w:rPr>
        <w:t>menester</w:t>
      </w:r>
      <w:r>
        <w:rPr>
          <w:color w:val="231F20"/>
          <w:spacing w:val="-20"/>
          <w:w w:val="105"/>
        </w:rPr>
        <w:t> </w:t>
      </w:r>
      <w:r>
        <w:rPr>
          <w:color w:val="231F20"/>
          <w:w w:val="105"/>
        </w:rPr>
        <w:t>reconocer</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relación</w:t>
      </w:r>
      <w:r>
        <w:rPr>
          <w:color w:val="231F20"/>
          <w:spacing w:val="-20"/>
          <w:w w:val="105"/>
        </w:rPr>
        <w:t> </w:t>
      </w:r>
      <w:r>
        <w:rPr>
          <w:color w:val="231F20"/>
          <w:w w:val="105"/>
        </w:rPr>
        <w:t>tanto</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w w:val="105"/>
        </w:rPr>
        <w:t>CDE</w:t>
      </w:r>
      <w:r>
        <w:rPr>
          <w:color w:val="231F20"/>
          <w:spacing w:val="-20"/>
          <w:w w:val="105"/>
        </w:rPr>
        <w:t> </w:t>
      </w:r>
      <w:r>
        <w:rPr>
          <w:color w:val="231F20"/>
          <w:w w:val="105"/>
        </w:rPr>
        <w:t>como</w:t>
      </w:r>
      <w:r>
        <w:rPr>
          <w:color w:val="231F20"/>
          <w:spacing w:val="-20"/>
          <w:w w:val="105"/>
        </w:rPr>
        <w:t> </w:t>
      </w:r>
      <w:r>
        <w:rPr>
          <w:color w:val="231F20"/>
          <w:w w:val="105"/>
        </w:rPr>
        <w:t>con el</w:t>
      </w:r>
      <w:r>
        <w:rPr>
          <w:color w:val="231F20"/>
          <w:spacing w:val="-16"/>
          <w:w w:val="105"/>
        </w:rPr>
        <w:t> </w:t>
      </w:r>
      <w:r>
        <w:rPr>
          <w:color w:val="231F20"/>
          <w:w w:val="105"/>
        </w:rPr>
        <w:t>líder</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perredistas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Legislatura</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líder</w:t>
      </w:r>
      <w:r>
        <w:rPr>
          <w:color w:val="231F20"/>
          <w:spacing w:val="-16"/>
          <w:w w:val="105"/>
        </w:rPr>
        <w:t> </w:t>
      </w:r>
      <w:r>
        <w:rPr>
          <w:color w:val="231F20"/>
          <w:w w:val="105"/>
        </w:rPr>
        <w:t>de</w:t>
      </w:r>
      <w:r>
        <w:rPr>
          <w:color w:val="231F20"/>
          <w:spacing w:val="-16"/>
          <w:w w:val="105"/>
        </w:rPr>
        <w:t> </w:t>
      </w:r>
      <w:r>
        <w:rPr>
          <w:color w:val="231F20"/>
          <w:w w:val="105"/>
        </w:rPr>
        <w:t>ADN,</w:t>
      </w:r>
      <w:r>
        <w:rPr>
          <w:color w:val="231F20"/>
          <w:spacing w:val="-16"/>
          <w:w w:val="105"/>
        </w:rPr>
        <w:t> </w:t>
      </w:r>
      <w:r>
        <w:rPr>
          <w:color w:val="231F20"/>
          <w:w w:val="105"/>
        </w:rPr>
        <w:t>ahora</w:t>
      </w:r>
      <w:r>
        <w:rPr>
          <w:color w:val="231F20"/>
          <w:spacing w:val="-16"/>
          <w:w w:val="105"/>
        </w:rPr>
        <w:t> </w:t>
      </w:r>
      <w:r>
        <w:rPr>
          <w:color w:val="231F20"/>
          <w:w w:val="105"/>
        </w:rPr>
        <w:t>Senador</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Repú- </w:t>
      </w:r>
      <w:r>
        <w:rPr>
          <w:color w:val="231F20"/>
          <w:w w:val="105"/>
        </w:rPr>
        <w:t>blica,</w:t>
      </w:r>
      <w:r>
        <w:rPr>
          <w:color w:val="231F20"/>
          <w:spacing w:val="-18"/>
          <w:w w:val="105"/>
        </w:rPr>
        <w:t> </w:t>
      </w:r>
      <w:r>
        <w:rPr>
          <w:color w:val="231F20"/>
          <w:w w:val="105"/>
        </w:rPr>
        <w:t>están</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plano</w:t>
      </w:r>
      <w:r>
        <w:rPr>
          <w:color w:val="231F20"/>
          <w:spacing w:val="-18"/>
          <w:w w:val="105"/>
        </w:rPr>
        <w:t> </w:t>
      </w:r>
      <w:r>
        <w:rPr>
          <w:color w:val="231F20"/>
          <w:w w:val="105"/>
        </w:rPr>
        <w:t>personal</w:t>
      </w:r>
      <w:r>
        <w:rPr>
          <w:color w:val="231F20"/>
          <w:spacing w:val="-18"/>
          <w:w w:val="105"/>
        </w:rPr>
        <w:t> </w:t>
      </w:r>
      <w:r>
        <w:rPr>
          <w:color w:val="231F20"/>
          <w:w w:val="105"/>
        </w:rPr>
        <w:t>y</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representación</w:t>
      </w:r>
      <w:r>
        <w:rPr>
          <w:color w:val="231F20"/>
          <w:spacing w:val="-18"/>
          <w:w w:val="105"/>
        </w:rPr>
        <w:t> </w:t>
      </w:r>
      <w:r>
        <w:rPr>
          <w:color w:val="231F20"/>
          <w:w w:val="105"/>
        </w:rPr>
        <w:t>política</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grupo</w:t>
      </w:r>
      <w:r>
        <w:rPr>
          <w:color w:val="231F20"/>
          <w:spacing w:val="-18"/>
          <w:w w:val="105"/>
        </w:rPr>
        <w:t> </w:t>
      </w:r>
      <w:r>
        <w:rPr>
          <w:color w:val="231F20"/>
          <w:w w:val="105"/>
        </w:rPr>
        <w:t>que</w:t>
      </w:r>
      <w:r>
        <w:rPr>
          <w:color w:val="231F20"/>
          <w:spacing w:val="-18"/>
          <w:w w:val="105"/>
        </w:rPr>
        <w:t> </w:t>
      </w:r>
      <w:r>
        <w:rPr>
          <w:color w:val="231F20"/>
          <w:w w:val="105"/>
        </w:rPr>
        <w:t>significa Guerrero para ellos y estos para él. En este sentido el </w:t>
      </w:r>
      <w:r>
        <w:rPr>
          <w:color w:val="231F20"/>
          <w:spacing w:val="2"/>
          <w:w w:val="105"/>
        </w:rPr>
        <w:t>edil </w:t>
      </w:r>
      <w:r>
        <w:rPr>
          <w:color w:val="231F20"/>
          <w:w w:val="105"/>
        </w:rPr>
        <w:t>lleva una ventaja bastante marcada </w:t>
      </w:r>
      <w:r>
        <w:rPr>
          <w:color w:val="231F20"/>
          <w:spacing w:val="2"/>
          <w:w w:val="105"/>
        </w:rPr>
        <w:t>al </w:t>
      </w:r>
      <w:r>
        <w:rPr>
          <w:color w:val="231F20"/>
          <w:w w:val="105"/>
        </w:rPr>
        <w:t>resto de su gobierno, quienes se encuentran limitados en estas relaciones. Nuevamente aquí se denota el perfil del modelo originario del partido, el moverse por personalismos</w:t>
      </w:r>
      <w:r>
        <w:rPr>
          <w:color w:val="231F20"/>
          <w:spacing w:val="-9"/>
          <w:w w:val="105"/>
        </w:rPr>
        <w:t> </w:t>
      </w:r>
      <w:r>
        <w:rPr>
          <w:color w:val="231F20"/>
          <w:w w:val="105"/>
        </w:rPr>
        <w:t>y</w:t>
      </w:r>
      <w:r>
        <w:rPr>
          <w:color w:val="231F20"/>
          <w:spacing w:val="-9"/>
          <w:w w:val="105"/>
        </w:rPr>
        <w:t> </w:t>
      </w:r>
      <w:r>
        <w:rPr>
          <w:color w:val="231F20"/>
          <w:w w:val="105"/>
        </w:rPr>
        <w:t>liderazgos</w:t>
      </w:r>
      <w:r>
        <w:rPr>
          <w:color w:val="231F20"/>
          <w:spacing w:val="-9"/>
          <w:w w:val="105"/>
        </w:rPr>
        <w:t> </w:t>
      </w:r>
      <w:r>
        <w:rPr>
          <w:color w:val="231F20"/>
          <w:w w:val="105"/>
        </w:rPr>
        <w:t>centrados</w:t>
      </w:r>
      <w:r>
        <w:rPr>
          <w:color w:val="231F20"/>
          <w:spacing w:val="-9"/>
          <w:w w:val="105"/>
        </w:rPr>
        <w:t> </w:t>
      </w:r>
      <w:r>
        <w:rPr>
          <w:color w:val="231F20"/>
          <w:w w:val="105"/>
        </w:rPr>
        <w:t>en</w:t>
      </w:r>
      <w:r>
        <w:rPr>
          <w:color w:val="231F20"/>
          <w:spacing w:val="-9"/>
          <w:w w:val="105"/>
        </w:rPr>
        <w:t> </w:t>
      </w:r>
      <w:r>
        <w:rPr>
          <w:color w:val="231F20"/>
          <w:w w:val="105"/>
        </w:rPr>
        <w:t>sujetos.</w:t>
      </w:r>
      <w:r>
        <w:rPr>
          <w:color w:val="231F20"/>
          <w:spacing w:val="-9"/>
          <w:w w:val="105"/>
        </w:rPr>
        <w:t> </w:t>
      </w:r>
      <w:r>
        <w:rPr>
          <w:color w:val="231F20"/>
          <w:w w:val="105"/>
        </w:rPr>
        <w:t>Además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constante</w:t>
      </w:r>
      <w:r>
        <w:rPr>
          <w:color w:val="231F20"/>
          <w:spacing w:val="-9"/>
          <w:w w:val="105"/>
        </w:rPr>
        <w:t> </w:t>
      </w:r>
      <w:r>
        <w:rPr>
          <w:color w:val="231F20"/>
          <w:w w:val="105"/>
        </w:rPr>
        <w:t>movilización de</w:t>
      </w:r>
      <w:r>
        <w:rPr>
          <w:color w:val="231F20"/>
          <w:spacing w:val="-9"/>
          <w:w w:val="105"/>
        </w:rPr>
        <w:t> </w:t>
      </w:r>
      <w:r>
        <w:rPr>
          <w:color w:val="231F20"/>
          <w:w w:val="105"/>
        </w:rPr>
        <w:t>fuerzas</w:t>
      </w:r>
      <w:r>
        <w:rPr>
          <w:color w:val="231F20"/>
          <w:spacing w:val="-9"/>
          <w:w w:val="105"/>
        </w:rPr>
        <w:t> </w:t>
      </w:r>
      <w:r>
        <w:rPr>
          <w:color w:val="231F20"/>
          <w:w w:val="105"/>
        </w:rPr>
        <w:t>entre</w:t>
      </w:r>
      <w:r>
        <w:rPr>
          <w:color w:val="231F20"/>
          <w:spacing w:val="-9"/>
          <w:w w:val="105"/>
        </w:rPr>
        <w:t> </w:t>
      </w:r>
      <w:r>
        <w:rPr>
          <w:color w:val="231F20"/>
          <w:w w:val="105"/>
        </w:rPr>
        <w:t>corrientes</w:t>
      </w:r>
      <w:r>
        <w:rPr>
          <w:color w:val="231F20"/>
          <w:spacing w:val="-9"/>
          <w:w w:val="105"/>
        </w:rPr>
        <w:t> </w:t>
      </w:r>
      <w:r>
        <w:rPr>
          <w:color w:val="231F20"/>
          <w:w w:val="105"/>
        </w:rPr>
        <w:t>y</w:t>
      </w:r>
      <w:r>
        <w:rPr>
          <w:color w:val="231F20"/>
          <w:spacing w:val="-9"/>
          <w:w w:val="105"/>
        </w:rPr>
        <w:t> </w:t>
      </w:r>
      <w:r>
        <w:rPr>
          <w:color w:val="231F20"/>
          <w:w w:val="105"/>
        </w:rPr>
        <w:t>grupos</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ven</w:t>
      </w:r>
      <w:r>
        <w:rPr>
          <w:color w:val="231F20"/>
          <w:spacing w:val="-9"/>
          <w:w w:val="105"/>
        </w:rPr>
        <w:t> </w:t>
      </w:r>
      <w:r>
        <w:rPr>
          <w:color w:val="231F20"/>
          <w:w w:val="105"/>
        </w:rPr>
        <w:t>acrecentadas</w:t>
      </w:r>
      <w:r>
        <w:rPr>
          <w:color w:val="231F20"/>
          <w:spacing w:val="-9"/>
          <w:w w:val="105"/>
        </w:rPr>
        <w:t> </w:t>
      </w:r>
      <w:r>
        <w:rPr>
          <w:color w:val="231F20"/>
          <w:w w:val="105"/>
        </w:rPr>
        <w:t>por</w:t>
      </w:r>
      <w:r>
        <w:rPr>
          <w:color w:val="231F20"/>
          <w:spacing w:val="-9"/>
          <w:w w:val="105"/>
        </w:rPr>
        <w:t> </w:t>
      </w:r>
      <w:r>
        <w:rPr>
          <w:color w:val="231F20"/>
          <w:w w:val="105"/>
        </w:rPr>
        <w:t>las</w:t>
      </w:r>
      <w:r>
        <w:rPr>
          <w:color w:val="231F20"/>
          <w:spacing w:val="-9"/>
          <w:w w:val="105"/>
        </w:rPr>
        <w:t> </w:t>
      </w:r>
      <w:r>
        <w:rPr>
          <w:color w:val="231F20"/>
          <w:w w:val="105"/>
        </w:rPr>
        <w:t>dinámicas</w:t>
      </w:r>
      <w:r>
        <w:rPr>
          <w:color w:val="231F20"/>
          <w:spacing w:val="-9"/>
          <w:w w:val="105"/>
        </w:rPr>
        <w:t> </w:t>
      </w:r>
      <w:r>
        <w:rPr>
          <w:color w:val="231F20"/>
          <w:w w:val="105"/>
        </w:rPr>
        <w:t>de</w:t>
      </w:r>
      <w:r>
        <w:rPr>
          <w:color w:val="231F20"/>
          <w:spacing w:val="-9"/>
          <w:w w:val="105"/>
        </w:rPr>
        <w:t> </w:t>
      </w:r>
      <w:r>
        <w:rPr>
          <w:color w:val="231F20"/>
          <w:w w:val="105"/>
        </w:rPr>
        <w:t>éstas en</w:t>
      </w:r>
      <w:r>
        <w:rPr>
          <w:color w:val="231F20"/>
          <w:spacing w:val="-15"/>
          <w:w w:val="105"/>
        </w:rPr>
        <w:t> </w:t>
      </w:r>
      <w:r>
        <w:rPr>
          <w:color w:val="231F20"/>
          <w:w w:val="105"/>
        </w:rPr>
        <w:t>el</w:t>
      </w:r>
      <w:r>
        <w:rPr>
          <w:color w:val="231F20"/>
          <w:spacing w:val="-15"/>
          <w:w w:val="105"/>
        </w:rPr>
        <w:t> </w:t>
      </w:r>
      <w:r>
        <w:rPr>
          <w:color w:val="231F20"/>
          <w:w w:val="105"/>
        </w:rPr>
        <w:t>plano</w:t>
      </w:r>
      <w:r>
        <w:rPr>
          <w:color w:val="231F20"/>
          <w:spacing w:val="-15"/>
          <w:w w:val="105"/>
        </w:rPr>
        <w:t> </w:t>
      </w:r>
      <w:r>
        <w:rPr>
          <w:color w:val="231F20"/>
          <w:w w:val="105"/>
        </w:rPr>
        <w:t>nacional.</w:t>
      </w:r>
    </w:p>
    <w:p>
      <w:pPr>
        <w:pStyle w:val="BodyText"/>
        <w:rPr>
          <w:sz w:val="20"/>
        </w:rPr>
      </w:pPr>
    </w:p>
    <w:p>
      <w:pPr>
        <w:pStyle w:val="BodyText"/>
        <w:spacing w:before="7"/>
        <w:rPr>
          <w:sz w:val="19"/>
        </w:rPr>
      </w:pPr>
      <w:r>
        <w:rPr/>
        <w:pict>
          <v:line style="position:absolute;mso-position-horizontal-relative:page;mso-position-vertical-relative:paragraph;z-index:11656;mso-wrap-distance-left:0;mso-wrap-distance-right:0" from="42.519699pt,13.72478pt" to="114.519699pt,13.72478pt" stroked="true" strokeweight="1pt" strokecolor="#231f20">
            <w10:wrap type="topAndBottom"/>
          </v:line>
        </w:pict>
      </w:r>
    </w:p>
    <w:p>
      <w:pPr>
        <w:pStyle w:val="ListParagraph"/>
        <w:numPr>
          <w:ilvl w:val="0"/>
          <w:numId w:val="21"/>
        </w:numPr>
        <w:tabs>
          <w:tab w:pos="250" w:val="left" w:leader="none"/>
        </w:tabs>
        <w:spacing w:line="244" w:lineRule="auto" w:before="8" w:after="0"/>
        <w:ind w:left="110" w:right="109" w:firstLine="0"/>
        <w:jc w:val="both"/>
        <w:rPr>
          <w:sz w:val="16"/>
        </w:rPr>
      </w:pPr>
      <w:r>
        <w:rPr>
          <w:color w:val="231F20"/>
          <w:sz w:val="16"/>
        </w:rPr>
        <w:t>La</w:t>
      </w:r>
      <w:r>
        <w:rPr>
          <w:color w:val="231F20"/>
          <w:spacing w:val="-11"/>
          <w:sz w:val="16"/>
        </w:rPr>
        <w:t> </w:t>
      </w:r>
      <w:r>
        <w:rPr>
          <w:color w:val="231F20"/>
          <w:sz w:val="16"/>
        </w:rPr>
        <w:t>evaluación</w:t>
      </w:r>
      <w:r>
        <w:rPr>
          <w:color w:val="231F20"/>
          <w:spacing w:val="-11"/>
          <w:sz w:val="16"/>
        </w:rPr>
        <w:t> </w:t>
      </w:r>
      <w:r>
        <w:rPr>
          <w:color w:val="231F20"/>
          <w:sz w:val="16"/>
        </w:rPr>
        <w:t>en</w:t>
      </w:r>
      <w:r>
        <w:rPr>
          <w:color w:val="231F20"/>
          <w:spacing w:val="-11"/>
          <w:sz w:val="16"/>
        </w:rPr>
        <w:t> </w:t>
      </w:r>
      <w:r>
        <w:rPr>
          <w:color w:val="231F20"/>
          <w:sz w:val="16"/>
        </w:rPr>
        <w:t>términos</w:t>
      </w:r>
      <w:r>
        <w:rPr>
          <w:color w:val="231F20"/>
          <w:spacing w:val="-11"/>
          <w:sz w:val="16"/>
        </w:rPr>
        <w:t> </w:t>
      </w:r>
      <w:r>
        <w:rPr>
          <w:color w:val="231F20"/>
          <w:sz w:val="16"/>
        </w:rPr>
        <w:t>de</w:t>
      </w:r>
      <w:r>
        <w:rPr>
          <w:color w:val="231F20"/>
          <w:spacing w:val="-11"/>
          <w:sz w:val="16"/>
        </w:rPr>
        <w:t> </w:t>
      </w:r>
      <w:r>
        <w:rPr>
          <w:color w:val="231F20"/>
          <w:sz w:val="16"/>
        </w:rPr>
        <w:t>posiciones</w:t>
      </w:r>
      <w:r>
        <w:rPr>
          <w:color w:val="231F20"/>
          <w:spacing w:val="-11"/>
          <w:sz w:val="16"/>
        </w:rPr>
        <w:t> </w:t>
      </w:r>
      <w:r>
        <w:rPr>
          <w:color w:val="231F20"/>
          <w:sz w:val="16"/>
        </w:rPr>
        <w:t>controladas</w:t>
      </w:r>
      <w:r>
        <w:rPr>
          <w:color w:val="231F20"/>
          <w:spacing w:val="-11"/>
          <w:sz w:val="16"/>
        </w:rPr>
        <w:t> </w:t>
      </w:r>
      <w:r>
        <w:rPr>
          <w:color w:val="231F20"/>
          <w:sz w:val="16"/>
        </w:rPr>
        <w:t>por</w:t>
      </w:r>
      <w:r>
        <w:rPr>
          <w:color w:val="231F20"/>
          <w:spacing w:val="-11"/>
          <w:sz w:val="16"/>
        </w:rPr>
        <w:t> </w:t>
      </w:r>
      <w:r>
        <w:rPr>
          <w:color w:val="231F20"/>
          <w:sz w:val="16"/>
        </w:rPr>
        <w:t>ADN</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plano</w:t>
      </w:r>
      <w:r>
        <w:rPr>
          <w:color w:val="231F20"/>
          <w:spacing w:val="-11"/>
          <w:sz w:val="16"/>
        </w:rPr>
        <w:t> </w:t>
      </w:r>
      <w:r>
        <w:rPr>
          <w:color w:val="231F20"/>
          <w:sz w:val="16"/>
        </w:rPr>
        <w:t>estatal</w:t>
      </w:r>
      <w:r>
        <w:rPr>
          <w:color w:val="231F20"/>
          <w:spacing w:val="-11"/>
          <w:sz w:val="16"/>
        </w:rPr>
        <w:t> </w:t>
      </w:r>
      <w:r>
        <w:rPr>
          <w:color w:val="231F20"/>
          <w:sz w:val="16"/>
        </w:rPr>
        <w:t>es</w:t>
      </w:r>
      <w:r>
        <w:rPr>
          <w:color w:val="231F20"/>
          <w:spacing w:val="-11"/>
          <w:sz w:val="16"/>
        </w:rPr>
        <w:t> </w:t>
      </w:r>
      <w:r>
        <w:rPr>
          <w:color w:val="231F20"/>
          <w:sz w:val="16"/>
        </w:rPr>
        <w:t>favorable</w:t>
      </w:r>
      <w:r>
        <w:rPr>
          <w:color w:val="231F20"/>
          <w:spacing w:val="-11"/>
          <w:sz w:val="16"/>
        </w:rPr>
        <w:t> </w:t>
      </w:r>
      <w:r>
        <w:rPr>
          <w:color w:val="231F20"/>
          <w:sz w:val="16"/>
        </w:rPr>
        <w:t>para</w:t>
      </w:r>
      <w:r>
        <w:rPr>
          <w:color w:val="231F20"/>
          <w:spacing w:val="-11"/>
          <w:sz w:val="16"/>
        </w:rPr>
        <w:t> </w:t>
      </w:r>
      <w:r>
        <w:rPr>
          <w:color w:val="231F20"/>
          <w:sz w:val="16"/>
        </w:rPr>
        <w:t>esta</w:t>
      </w:r>
      <w:r>
        <w:rPr>
          <w:color w:val="231F20"/>
          <w:spacing w:val="-11"/>
          <w:sz w:val="16"/>
        </w:rPr>
        <w:t> </w:t>
      </w:r>
      <w:r>
        <w:rPr>
          <w:color w:val="231F20"/>
          <w:sz w:val="16"/>
        </w:rPr>
        <w:t>organización,</w:t>
      </w:r>
      <w:r>
        <w:rPr>
          <w:color w:val="231F20"/>
          <w:spacing w:val="-11"/>
          <w:sz w:val="16"/>
        </w:rPr>
        <w:t> </w:t>
      </w:r>
      <w:r>
        <w:rPr>
          <w:color w:val="231F20"/>
          <w:sz w:val="16"/>
        </w:rPr>
        <w:t>pues se</w:t>
      </w:r>
      <w:r>
        <w:rPr>
          <w:color w:val="231F20"/>
          <w:spacing w:val="-7"/>
          <w:sz w:val="16"/>
        </w:rPr>
        <w:t> </w:t>
      </w:r>
      <w:r>
        <w:rPr>
          <w:color w:val="231F20"/>
          <w:sz w:val="16"/>
        </w:rPr>
        <w:t>estima</w:t>
      </w:r>
      <w:r>
        <w:rPr>
          <w:color w:val="231F20"/>
          <w:spacing w:val="-7"/>
          <w:sz w:val="16"/>
        </w:rPr>
        <w:t> </w:t>
      </w:r>
      <w:r>
        <w:rPr>
          <w:color w:val="231F20"/>
          <w:sz w:val="16"/>
        </w:rPr>
        <w:t>que</w:t>
      </w:r>
      <w:r>
        <w:rPr>
          <w:color w:val="231F20"/>
          <w:spacing w:val="-7"/>
          <w:sz w:val="16"/>
        </w:rPr>
        <w:t> </w:t>
      </w:r>
      <w:r>
        <w:rPr>
          <w:color w:val="231F20"/>
          <w:sz w:val="16"/>
        </w:rPr>
        <w:t>el</w:t>
      </w:r>
      <w:r>
        <w:rPr>
          <w:color w:val="231F20"/>
          <w:spacing w:val="-7"/>
          <w:sz w:val="16"/>
        </w:rPr>
        <w:t> </w:t>
      </w:r>
      <w:r>
        <w:rPr>
          <w:color w:val="231F20"/>
          <w:sz w:val="16"/>
        </w:rPr>
        <w:t>CDE,</w:t>
      </w:r>
      <w:r>
        <w:rPr>
          <w:color w:val="231F20"/>
          <w:spacing w:val="-7"/>
          <w:sz w:val="16"/>
        </w:rPr>
        <w:t> </w:t>
      </w:r>
      <w:r>
        <w:rPr>
          <w:color w:val="231F20"/>
          <w:sz w:val="16"/>
        </w:rPr>
        <w:t>la</w:t>
      </w:r>
      <w:r>
        <w:rPr>
          <w:color w:val="231F20"/>
          <w:spacing w:val="-7"/>
          <w:sz w:val="16"/>
        </w:rPr>
        <w:t> </w:t>
      </w:r>
      <w:r>
        <w:rPr>
          <w:color w:val="231F20"/>
          <w:sz w:val="16"/>
        </w:rPr>
        <w:t>mayoría</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comités</w:t>
      </w:r>
      <w:r>
        <w:rPr>
          <w:color w:val="231F20"/>
          <w:spacing w:val="-7"/>
          <w:sz w:val="16"/>
        </w:rPr>
        <w:t> </w:t>
      </w:r>
      <w:r>
        <w:rPr>
          <w:color w:val="231F20"/>
          <w:sz w:val="16"/>
        </w:rPr>
        <w:t>municipales</w:t>
      </w:r>
      <w:r>
        <w:rPr>
          <w:color w:val="231F20"/>
          <w:spacing w:val="-7"/>
          <w:sz w:val="16"/>
        </w:rPr>
        <w:t> </w:t>
      </w:r>
      <w:r>
        <w:rPr>
          <w:color w:val="231F20"/>
          <w:sz w:val="16"/>
        </w:rPr>
        <w:t>en</w:t>
      </w:r>
      <w:r>
        <w:rPr>
          <w:color w:val="231F20"/>
          <w:spacing w:val="-7"/>
          <w:sz w:val="16"/>
        </w:rPr>
        <w:t> </w:t>
      </w:r>
      <w:r>
        <w:rPr>
          <w:color w:val="231F20"/>
          <w:sz w:val="16"/>
        </w:rPr>
        <w:t>el</w:t>
      </w:r>
      <w:r>
        <w:rPr>
          <w:color w:val="231F20"/>
          <w:spacing w:val="-7"/>
          <w:sz w:val="16"/>
        </w:rPr>
        <w:t> </w:t>
      </w:r>
      <w:r>
        <w:rPr>
          <w:color w:val="231F20"/>
          <w:sz w:val="16"/>
        </w:rPr>
        <w:t>Estado,</w:t>
      </w:r>
      <w:r>
        <w:rPr>
          <w:color w:val="231F20"/>
          <w:spacing w:val="-7"/>
          <w:sz w:val="16"/>
        </w:rPr>
        <w:t> </w:t>
      </w:r>
      <w:r>
        <w:rPr>
          <w:color w:val="231F20"/>
          <w:sz w:val="16"/>
        </w:rPr>
        <w:t>50%</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diputados</w:t>
      </w:r>
      <w:r>
        <w:rPr>
          <w:color w:val="231F20"/>
          <w:spacing w:val="-7"/>
          <w:sz w:val="16"/>
        </w:rPr>
        <w:t> </w:t>
      </w:r>
      <w:r>
        <w:rPr>
          <w:color w:val="231F20"/>
          <w:sz w:val="16"/>
        </w:rPr>
        <w:t>perredistas</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Legislatura Local</w:t>
      </w:r>
      <w:r>
        <w:rPr>
          <w:color w:val="231F20"/>
          <w:spacing w:val="-11"/>
          <w:sz w:val="16"/>
        </w:rPr>
        <w:t> </w:t>
      </w:r>
      <w:r>
        <w:rPr>
          <w:color w:val="231F20"/>
          <w:sz w:val="16"/>
        </w:rPr>
        <w:t>y</w:t>
      </w:r>
      <w:r>
        <w:rPr>
          <w:color w:val="231F20"/>
          <w:spacing w:val="-11"/>
          <w:sz w:val="16"/>
        </w:rPr>
        <w:t> </w:t>
      </w:r>
      <w:r>
        <w:rPr>
          <w:color w:val="231F20"/>
          <w:sz w:val="16"/>
        </w:rPr>
        <w:t>la</w:t>
      </w:r>
      <w:r>
        <w:rPr>
          <w:color w:val="231F20"/>
          <w:spacing w:val="-11"/>
          <w:sz w:val="16"/>
        </w:rPr>
        <w:t> </w:t>
      </w:r>
      <w:r>
        <w:rPr>
          <w:color w:val="231F20"/>
          <w:sz w:val="16"/>
        </w:rPr>
        <w:t>representación</w:t>
      </w:r>
      <w:r>
        <w:rPr>
          <w:color w:val="231F20"/>
          <w:spacing w:val="-11"/>
          <w:sz w:val="16"/>
        </w:rPr>
        <w:t> </w:t>
      </w:r>
      <w:r>
        <w:rPr>
          <w:color w:val="231F20"/>
          <w:sz w:val="16"/>
        </w:rPr>
        <w:t>del</w:t>
      </w:r>
      <w:r>
        <w:rPr>
          <w:color w:val="231F20"/>
          <w:spacing w:val="-11"/>
          <w:sz w:val="16"/>
        </w:rPr>
        <w:t> </w:t>
      </w:r>
      <w:r>
        <w:rPr>
          <w:color w:val="231F20"/>
          <w:sz w:val="16"/>
        </w:rPr>
        <w:t>partido</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Consejo</w:t>
      </w:r>
      <w:r>
        <w:rPr>
          <w:color w:val="231F20"/>
          <w:spacing w:val="-11"/>
          <w:sz w:val="16"/>
        </w:rPr>
        <w:t> </w:t>
      </w:r>
      <w:r>
        <w:rPr>
          <w:color w:val="231F20"/>
          <w:sz w:val="16"/>
        </w:rPr>
        <w:t>General</w:t>
      </w:r>
      <w:r>
        <w:rPr>
          <w:color w:val="231F20"/>
          <w:spacing w:val="-11"/>
          <w:sz w:val="16"/>
        </w:rPr>
        <w:t> </w:t>
      </w:r>
      <w:r>
        <w:rPr>
          <w:color w:val="231F20"/>
          <w:sz w:val="16"/>
        </w:rPr>
        <w:t>del</w:t>
      </w:r>
      <w:r>
        <w:rPr>
          <w:color w:val="231F20"/>
          <w:spacing w:val="-11"/>
          <w:sz w:val="16"/>
        </w:rPr>
        <w:t> </w:t>
      </w:r>
      <w:r>
        <w:rPr>
          <w:color w:val="231F20"/>
          <w:sz w:val="16"/>
        </w:rPr>
        <w:t>IEEM</w:t>
      </w:r>
      <w:r>
        <w:rPr>
          <w:color w:val="231F20"/>
          <w:spacing w:val="-11"/>
          <w:sz w:val="16"/>
        </w:rPr>
        <w:t> </w:t>
      </w:r>
      <w:r>
        <w:rPr>
          <w:color w:val="231F20"/>
          <w:sz w:val="16"/>
        </w:rPr>
        <w:t>están</w:t>
      </w:r>
      <w:r>
        <w:rPr>
          <w:color w:val="231F20"/>
          <w:spacing w:val="-11"/>
          <w:sz w:val="16"/>
        </w:rPr>
        <w:t> </w:t>
      </w:r>
      <w:r>
        <w:rPr>
          <w:color w:val="231F20"/>
          <w:sz w:val="16"/>
        </w:rPr>
        <w:t>bajo</w:t>
      </w:r>
      <w:r>
        <w:rPr>
          <w:color w:val="231F20"/>
          <w:spacing w:val="-11"/>
          <w:sz w:val="16"/>
        </w:rPr>
        <w:t> </w:t>
      </w:r>
      <w:r>
        <w:rPr>
          <w:color w:val="231F20"/>
          <w:sz w:val="16"/>
        </w:rPr>
        <w:t>el</w:t>
      </w:r>
      <w:r>
        <w:rPr>
          <w:color w:val="231F20"/>
          <w:spacing w:val="-11"/>
          <w:sz w:val="16"/>
        </w:rPr>
        <w:t> </w:t>
      </w:r>
      <w:r>
        <w:rPr>
          <w:color w:val="231F20"/>
          <w:sz w:val="16"/>
        </w:rPr>
        <w:t>control</w:t>
      </w:r>
      <w:r>
        <w:rPr>
          <w:color w:val="231F20"/>
          <w:spacing w:val="-11"/>
          <w:sz w:val="16"/>
        </w:rPr>
        <w:t> </w:t>
      </w:r>
      <w:r>
        <w:rPr>
          <w:color w:val="231F20"/>
          <w:sz w:val="16"/>
        </w:rPr>
        <w:t>de</w:t>
      </w:r>
      <w:r>
        <w:rPr>
          <w:color w:val="231F20"/>
          <w:spacing w:val="-11"/>
          <w:sz w:val="16"/>
        </w:rPr>
        <w:t> </w:t>
      </w:r>
      <w:r>
        <w:rPr>
          <w:color w:val="231F20"/>
          <w:sz w:val="16"/>
        </w:rPr>
        <w:t>Alternativa</w:t>
      </w:r>
      <w:r>
        <w:rPr>
          <w:color w:val="231F20"/>
          <w:spacing w:val="-11"/>
          <w:sz w:val="16"/>
        </w:rPr>
        <w:t> </w:t>
      </w:r>
      <w:r>
        <w:rPr>
          <w:color w:val="231F20"/>
          <w:sz w:val="16"/>
        </w:rPr>
        <w:t>Democrática.</w:t>
      </w:r>
    </w:p>
    <w:p>
      <w:pPr>
        <w:spacing w:after="0" w:line="244" w:lineRule="auto"/>
        <w:jc w:val="both"/>
        <w:rPr>
          <w:sz w:val="16"/>
        </w:rPr>
        <w:sectPr>
          <w:pgSz w:w="9640" w:h="12190"/>
          <w:pgMar w:header="0" w:footer="743" w:top="1120" w:bottom="940" w:left="740" w:right="740"/>
        </w:sectPr>
      </w:pPr>
    </w:p>
    <w:p>
      <w:pPr>
        <w:pStyle w:val="BodyText"/>
        <w:spacing w:before="6"/>
        <w:rPr>
          <w:rFonts w:ascii="Calibri"/>
          <w:sz w:val="8"/>
        </w:rPr>
      </w:pPr>
    </w:p>
    <w:p>
      <w:pPr>
        <w:pStyle w:val="Heading4"/>
        <w:spacing w:line="345" w:lineRule="exact"/>
        <w:ind w:right="574"/>
        <w:jc w:val="left"/>
        <w:rPr>
          <w:i/>
        </w:rPr>
      </w:pPr>
      <w:r>
        <w:rPr>
          <w:i/>
          <w:color w:val="231F20"/>
        </w:rPr>
        <w:t>Conclusiones</w:t>
      </w:r>
    </w:p>
    <w:p>
      <w:pPr>
        <w:pStyle w:val="BodyText"/>
        <w:spacing w:line="285" w:lineRule="auto" w:before="16"/>
        <w:ind w:left="110" w:right="-2"/>
      </w:pPr>
      <w:r>
        <w:rPr>
          <w:color w:val="231F20"/>
          <w:w w:val="105"/>
        </w:rPr>
        <w:t>Después de la revisión al gobierno de partido en Amecameca podemos citar algunas conclusiones:</w:t>
      </w:r>
    </w:p>
    <w:p>
      <w:pPr>
        <w:pStyle w:val="BodyText"/>
        <w:spacing w:line="285" w:lineRule="auto" w:before="1"/>
        <w:ind w:left="677" w:right="108"/>
        <w:jc w:val="both"/>
      </w:pPr>
      <w:r>
        <w:rPr>
          <w:color w:val="231F20"/>
          <w:w w:val="105"/>
        </w:rPr>
        <w:t>El</w:t>
      </w:r>
      <w:r>
        <w:rPr>
          <w:color w:val="231F20"/>
          <w:spacing w:val="-22"/>
          <w:w w:val="105"/>
        </w:rPr>
        <w:t> </w:t>
      </w:r>
      <w:r>
        <w:rPr>
          <w:color w:val="231F20"/>
          <w:w w:val="105"/>
        </w:rPr>
        <w:t>proyecto</w:t>
      </w:r>
      <w:r>
        <w:rPr>
          <w:color w:val="231F20"/>
          <w:spacing w:val="-22"/>
          <w:w w:val="105"/>
        </w:rPr>
        <w:t> </w:t>
      </w:r>
      <w:r>
        <w:rPr>
          <w:color w:val="231F20"/>
          <w:w w:val="105"/>
        </w:rPr>
        <w:t>ideológico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partidos</w:t>
      </w:r>
      <w:r>
        <w:rPr>
          <w:color w:val="231F20"/>
          <w:spacing w:val="-22"/>
          <w:w w:val="105"/>
        </w:rPr>
        <w:t> </w:t>
      </w:r>
      <w:r>
        <w:rPr>
          <w:color w:val="231F20"/>
          <w:w w:val="105"/>
        </w:rPr>
        <w:t>políticos,</w:t>
      </w:r>
      <w:r>
        <w:rPr>
          <w:color w:val="231F20"/>
          <w:spacing w:val="-22"/>
          <w:w w:val="105"/>
        </w:rPr>
        <w:t> </w:t>
      </w:r>
      <w:r>
        <w:rPr>
          <w:color w:val="231F20"/>
          <w:w w:val="105"/>
        </w:rPr>
        <w:t>concretamente</w:t>
      </w:r>
      <w:r>
        <w:rPr>
          <w:color w:val="231F20"/>
          <w:spacing w:val="-22"/>
          <w:w w:val="105"/>
        </w:rPr>
        <w:t> </w:t>
      </w:r>
      <w:r>
        <w:rPr>
          <w:color w:val="231F20"/>
          <w:w w:val="105"/>
        </w:rPr>
        <w:t>el</w:t>
      </w:r>
      <w:r>
        <w:rPr>
          <w:color w:val="231F20"/>
          <w:spacing w:val="-22"/>
          <w:w w:val="105"/>
        </w:rPr>
        <w:t> </w:t>
      </w:r>
      <w:r>
        <w:rPr>
          <w:color w:val="231F20"/>
          <w:w w:val="105"/>
        </w:rPr>
        <w:t>del</w:t>
      </w:r>
      <w:r>
        <w:rPr>
          <w:color w:val="231F20"/>
          <w:spacing w:val="-22"/>
          <w:w w:val="105"/>
        </w:rPr>
        <w:t> </w:t>
      </w:r>
      <w:r>
        <w:rPr>
          <w:color w:val="231F20"/>
          <w:w w:val="105"/>
        </w:rPr>
        <w:t>PRD</w:t>
      </w:r>
      <w:r>
        <w:rPr>
          <w:color w:val="231F20"/>
          <w:spacing w:val="-22"/>
          <w:w w:val="105"/>
        </w:rPr>
        <w:t> </w:t>
      </w:r>
      <w:r>
        <w:rPr>
          <w:color w:val="231F20"/>
          <w:w w:val="105"/>
        </w:rPr>
        <w:t>no</w:t>
      </w:r>
      <w:r>
        <w:rPr>
          <w:color w:val="231F20"/>
          <w:spacing w:val="-22"/>
          <w:w w:val="105"/>
        </w:rPr>
        <w:t> </w:t>
      </w:r>
      <w:r>
        <w:rPr>
          <w:color w:val="231F20"/>
          <w:w w:val="105"/>
        </w:rPr>
        <w:t>está en</w:t>
      </w:r>
      <w:r>
        <w:rPr>
          <w:color w:val="231F20"/>
          <w:spacing w:val="-22"/>
          <w:w w:val="105"/>
        </w:rPr>
        <w:t> </w:t>
      </w:r>
      <w:r>
        <w:rPr>
          <w:color w:val="231F20"/>
          <w:w w:val="105"/>
        </w:rPr>
        <w:t>dirimiéndose</w:t>
      </w:r>
      <w:r>
        <w:rPr>
          <w:color w:val="231F20"/>
          <w:spacing w:val="-22"/>
          <w:w w:val="105"/>
        </w:rPr>
        <w:t> </w:t>
      </w:r>
      <w:r>
        <w:rPr>
          <w:color w:val="231F20"/>
          <w:w w:val="105"/>
        </w:rPr>
        <w:t>el</w:t>
      </w:r>
      <w:r>
        <w:rPr>
          <w:color w:val="231F20"/>
          <w:spacing w:val="-22"/>
          <w:w w:val="105"/>
        </w:rPr>
        <w:t> </w:t>
      </w:r>
      <w:r>
        <w:rPr>
          <w:color w:val="231F20"/>
          <w:w w:val="105"/>
        </w:rPr>
        <w:t>municipio.</w:t>
      </w:r>
      <w:r>
        <w:rPr>
          <w:color w:val="231F20"/>
          <w:spacing w:val="-22"/>
          <w:w w:val="105"/>
        </w:rPr>
        <w:t> </w:t>
      </w:r>
      <w:r>
        <w:rPr>
          <w:color w:val="231F20"/>
          <w:w w:val="105"/>
        </w:rPr>
        <w:t>La</w:t>
      </w:r>
      <w:r>
        <w:rPr>
          <w:color w:val="231F20"/>
          <w:spacing w:val="-22"/>
          <w:w w:val="105"/>
        </w:rPr>
        <w:t> </w:t>
      </w:r>
      <w:r>
        <w:rPr>
          <w:color w:val="231F20"/>
          <w:w w:val="105"/>
        </w:rPr>
        <w:t>acción</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ámbito</w:t>
      </w:r>
      <w:r>
        <w:rPr>
          <w:color w:val="231F20"/>
          <w:spacing w:val="-22"/>
          <w:w w:val="105"/>
        </w:rPr>
        <w:t> </w:t>
      </w:r>
      <w:r>
        <w:rPr>
          <w:color w:val="231F20"/>
          <w:w w:val="105"/>
        </w:rPr>
        <w:t>municipal</w:t>
      </w:r>
      <w:r>
        <w:rPr>
          <w:color w:val="231F20"/>
          <w:spacing w:val="-22"/>
          <w:w w:val="105"/>
        </w:rPr>
        <w:t> </w:t>
      </w:r>
      <w:r>
        <w:rPr>
          <w:color w:val="231F20"/>
          <w:w w:val="105"/>
        </w:rPr>
        <w:t>se</w:t>
      </w:r>
      <w:r>
        <w:rPr>
          <w:color w:val="231F20"/>
          <w:spacing w:val="-22"/>
          <w:w w:val="105"/>
        </w:rPr>
        <w:t> </w:t>
      </w:r>
      <w:r>
        <w:rPr>
          <w:color w:val="231F20"/>
          <w:w w:val="105"/>
        </w:rPr>
        <w:t>sujeta</w:t>
      </w:r>
      <w:r>
        <w:rPr>
          <w:color w:val="231F20"/>
          <w:spacing w:val="-22"/>
          <w:w w:val="105"/>
        </w:rPr>
        <w:t> </w:t>
      </w:r>
      <w:r>
        <w:rPr>
          <w:color w:val="231F20"/>
          <w:w w:val="105"/>
        </w:rPr>
        <w:t>más</w:t>
      </w:r>
      <w:r>
        <w:rPr>
          <w:color w:val="231F20"/>
          <w:spacing w:val="-22"/>
          <w:w w:val="105"/>
        </w:rPr>
        <w:t> </w:t>
      </w:r>
      <w:r>
        <w:rPr>
          <w:color w:val="231F20"/>
          <w:w w:val="105"/>
        </w:rPr>
        <w:t>a</w:t>
      </w:r>
      <w:r>
        <w:rPr>
          <w:color w:val="231F20"/>
          <w:spacing w:val="-22"/>
          <w:w w:val="105"/>
        </w:rPr>
        <w:t> </w:t>
      </w:r>
      <w:r>
        <w:rPr>
          <w:color w:val="231F20"/>
          <w:w w:val="105"/>
        </w:rPr>
        <w:t>las demandas ciudadanas que a un plan predeterminado e intencionado como parte de</w:t>
      </w:r>
      <w:r>
        <w:rPr>
          <w:color w:val="231F20"/>
          <w:spacing w:val="-10"/>
          <w:w w:val="105"/>
        </w:rPr>
        <w:t> </w:t>
      </w:r>
      <w:r>
        <w:rPr>
          <w:color w:val="231F20"/>
          <w:w w:val="105"/>
        </w:rPr>
        <w:t>una</w:t>
      </w:r>
      <w:r>
        <w:rPr>
          <w:color w:val="231F20"/>
          <w:spacing w:val="-10"/>
          <w:w w:val="105"/>
        </w:rPr>
        <w:t> </w:t>
      </w:r>
      <w:r>
        <w:rPr>
          <w:color w:val="231F20"/>
          <w:w w:val="105"/>
        </w:rPr>
        <w:t>acción</w:t>
      </w:r>
      <w:r>
        <w:rPr>
          <w:color w:val="231F20"/>
          <w:spacing w:val="-10"/>
          <w:w w:val="105"/>
        </w:rPr>
        <w:t> </w:t>
      </w:r>
      <w:r>
        <w:rPr>
          <w:color w:val="231F20"/>
          <w:w w:val="105"/>
        </w:rPr>
        <w:t>racionalizada</w:t>
      </w:r>
      <w:r>
        <w:rPr>
          <w:color w:val="231F20"/>
          <w:spacing w:val="-10"/>
          <w:w w:val="105"/>
        </w:rPr>
        <w:t> </w:t>
      </w:r>
      <w:r>
        <w:rPr>
          <w:color w:val="231F20"/>
          <w:w w:val="105"/>
        </w:rPr>
        <w:t>de</w:t>
      </w:r>
      <w:r>
        <w:rPr>
          <w:color w:val="231F20"/>
          <w:spacing w:val="-10"/>
          <w:w w:val="105"/>
        </w:rPr>
        <w:t> </w:t>
      </w:r>
      <w:r>
        <w:rPr>
          <w:color w:val="231F20"/>
          <w:w w:val="105"/>
        </w:rPr>
        <w:t>partido.</w:t>
      </w:r>
    </w:p>
    <w:p>
      <w:pPr>
        <w:pStyle w:val="BodyText"/>
        <w:spacing w:line="285" w:lineRule="auto" w:before="1"/>
        <w:ind w:left="677" w:right="108"/>
        <w:jc w:val="both"/>
      </w:pPr>
      <w:r>
        <w:rPr>
          <w:color w:val="231F20"/>
          <w:w w:val="105"/>
        </w:rPr>
        <w:t>La</w:t>
      </w:r>
      <w:r>
        <w:rPr>
          <w:color w:val="231F20"/>
          <w:spacing w:val="-21"/>
          <w:w w:val="105"/>
        </w:rPr>
        <w:t> </w:t>
      </w:r>
      <w:r>
        <w:rPr>
          <w:color w:val="231F20"/>
          <w:w w:val="105"/>
        </w:rPr>
        <w:t>dependencia</w:t>
      </w:r>
      <w:r>
        <w:rPr>
          <w:color w:val="231F20"/>
          <w:spacing w:val="-21"/>
          <w:w w:val="105"/>
        </w:rPr>
        <w:t> </w:t>
      </w:r>
      <w:r>
        <w:rPr>
          <w:color w:val="231F20"/>
          <w:w w:val="105"/>
        </w:rPr>
        <w:t>de</w:t>
      </w:r>
      <w:r>
        <w:rPr>
          <w:color w:val="231F20"/>
          <w:spacing w:val="-21"/>
          <w:w w:val="105"/>
        </w:rPr>
        <w:t> </w:t>
      </w:r>
      <w:r>
        <w:rPr>
          <w:color w:val="231F20"/>
          <w:w w:val="105"/>
        </w:rPr>
        <w:t>recursos</w:t>
      </w:r>
      <w:r>
        <w:rPr>
          <w:color w:val="231F20"/>
          <w:spacing w:val="-21"/>
          <w:w w:val="105"/>
        </w:rPr>
        <w:t> </w:t>
      </w:r>
      <w:r>
        <w:rPr>
          <w:color w:val="231F20"/>
          <w:w w:val="105"/>
        </w:rPr>
        <w:t>financieros</w:t>
      </w:r>
      <w:r>
        <w:rPr>
          <w:color w:val="231F20"/>
          <w:spacing w:val="-21"/>
          <w:w w:val="105"/>
        </w:rPr>
        <w:t> </w:t>
      </w:r>
      <w:r>
        <w:rPr>
          <w:color w:val="231F20"/>
          <w:w w:val="105"/>
        </w:rPr>
        <w:t>que</w:t>
      </w:r>
      <w:r>
        <w:rPr>
          <w:color w:val="231F20"/>
          <w:spacing w:val="-21"/>
          <w:w w:val="105"/>
        </w:rPr>
        <w:t> </w:t>
      </w:r>
      <w:r>
        <w:rPr>
          <w:color w:val="231F20"/>
          <w:w w:val="105"/>
        </w:rPr>
        <w:t>registra</w:t>
      </w:r>
      <w:r>
        <w:rPr>
          <w:color w:val="231F20"/>
          <w:spacing w:val="-21"/>
          <w:w w:val="105"/>
        </w:rPr>
        <w:t> </w:t>
      </w:r>
      <w:r>
        <w:rPr>
          <w:color w:val="231F20"/>
          <w:w w:val="105"/>
        </w:rPr>
        <w:t>el</w:t>
      </w:r>
      <w:r>
        <w:rPr>
          <w:color w:val="231F20"/>
          <w:spacing w:val="-21"/>
          <w:w w:val="105"/>
        </w:rPr>
        <w:t> </w:t>
      </w:r>
      <w:r>
        <w:rPr>
          <w:color w:val="231F20"/>
          <w:w w:val="105"/>
        </w:rPr>
        <w:t>municipio</w:t>
      </w:r>
      <w:r>
        <w:rPr>
          <w:color w:val="231F20"/>
          <w:spacing w:val="-21"/>
          <w:w w:val="105"/>
        </w:rPr>
        <w:t> </w:t>
      </w:r>
      <w:r>
        <w:rPr>
          <w:color w:val="231F20"/>
          <w:w w:val="105"/>
        </w:rPr>
        <w:t>hace</w:t>
      </w:r>
      <w:r>
        <w:rPr>
          <w:color w:val="231F20"/>
          <w:spacing w:val="-21"/>
          <w:w w:val="105"/>
        </w:rPr>
        <w:t> </w:t>
      </w:r>
      <w:r>
        <w:rPr>
          <w:color w:val="231F20"/>
          <w:w w:val="105"/>
        </w:rPr>
        <w:t>débil</w:t>
      </w:r>
      <w:r>
        <w:rPr>
          <w:color w:val="231F20"/>
          <w:spacing w:val="-21"/>
          <w:w w:val="105"/>
        </w:rPr>
        <w:t> </w:t>
      </w:r>
      <w:r>
        <w:rPr>
          <w:color w:val="231F20"/>
          <w:w w:val="105"/>
        </w:rPr>
        <w:t>la</w:t>
      </w:r>
      <w:r>
        <w:rPr>
          <w:color w:val="231F20"/>
          <w:spacing w:val="-21"/>
          <w:w w:val="105"/>
        </w:rPr>
        <w:t> </w:t>
      </w:r>
      <w:r>
        <w:rPr>
          <w:color w:val="231F20"/>
          <w:w w:val="105"/>
        </w:rPr>
        <w:t>po- sibilidad de instrumentar acciones novedosas e impactantes para la comunidad, por</w:t>
      </w:r>
      <w:r>
        <w:rPr>
          <w:color w:val="231F20"/>
          <w:spacing w:val="-17"/>
          <w:w w:val="105"/>
        </w:rPr>
        <w:t> </w:t>
      </w:r>
      <w:r>
        <w:rPr>
          <w:color w:val="231F20"/>
          <w:w w:val="105"/>
        </w:rPr>
        <w:t>lo</w:t>
      </w:r>
      <w:r>
        <w:rPr>
          <w:color w:val="231F20"/>
          <w:spacing w:val="-17"/>
          <w:w w:val="105"/>
        </w:rPr>
        <w:t> </w:t>
      </w:r>
      <w:r>
        <w:rPr>
          <w:color w:val="231F20"/>
          <w:w w:val="105"/>
        </w:rPr>
        <w:t>se</w:t>
      </w:r>
      <w:r>
        <w:rPr>
          <w:color w:val="231F20"/>
          <w:spacing w:val="-17"/>
          <w:w w:val="105"/>
        </w:rPr>
        <w:t> </w:t>
      </w:r>
      <w:r>
        <w:rPr>
          <w:color w:val="231F20"/>
          <w:w w:val="105"/>
        </w:rPr>
        <w:t>generan</w:t>
      </w:r>
      <w:r>
        <w:rPr>
          <w:color w:val="231F20"/>
          <w:spacing w:val="-17"/>
          <w:w w:val="105"/>
        </w:rPr>
        <w:t> </w:t>
      </w:r>
      <w:r>
        <w:rPr>
          <w:color w:val="231F20"/>
          <w:w w:val="105"/>
        </w:rPr>
        <w:t>acercamientos</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ambiente</w:t>
      </w:r>
      <w:r>
        <w:rPr>
          <w:color w:val="231F20"/>
          <w:spacing w:val="-17"/>
          <w:w w:val="105"/>
        </w:rPr>
        <w:t> </w:t>
      </w:r>
      <w:r>
        <w:rPr>
          <w:color w:val="231F20"/>
          <w:w w:val="105"/>
        </w:rPr>
        <w:t>de</w:t>
      </w:r>
      <w:r>
        <w:rPr>
          <w:color w:val="231F20"/>
          <w:spacing w:val="-17"/>
          <w:w w:val="105"/>
        </w:rPr>
        <w:t> </w:t>
      </w:r>
      <w:r>
        <w:rPr>
          <w:color w:val="231F20"/>
          <w:spacing w:val="-3"/>
          <w:w w:val="105"/>
        </w:rPr>
        <w:t>reproducción </w:t>
      </w:r>
      <w:r>
        <w:rPr>
          <w:color w:val="231F20"/>
          <w:w w:val="105"/>
        </w:rPr>
        <w:t>de</w:t>
      </w:r>
      <w:r>
        <w:rPr>
          <w:color w:val="231F20"/>
          <w:spacing w:val="-11"/>
          <w:w w:val="105"/>
        </w:rPr>
        <w:t> </w:t>
      </w:r>
      <w:r>
        <w:rPr>
          <w:color w:val="231F20"/>
          <w:w w:val="105"/>
        </w:rPr>
        <w:t>favores</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spacing w:val="-3"/>
          <w:w w:val="105"/>
        </w:rPr>
        <w:t>momento</w:t>
      </w:r>
      <w:r>
        <w:rPr>
          <w:color w:val="231F20"/>
          <w:spacing w:val="-11"/>
          <w:w w:val="105"/>
        </w:rPr>
        <w:t> </w:t>
      </w:r>
      <w:r>
        <w:rPr>
          <w:color w:val="231F20"/>
          <w:w w:val="105"/>
        </w:rPr>
        <w:t>político</w:t>
      </w:r>
      <w:r>
        <w:rPr>
          <w:color w:val="231F20"/>
          <w:spacing w:val="-11"/>
          <w:w w:val="105"/>
        </w:rPr>
        <w:t> </w:t>
      </w:r>
      <w:r>
        <w:rPr>
          <w:color w:val="231F20"/>
          <w:w w:val="105"/>
        </w:rPr>
        <w:t>correspondiente.</w:t>
      </w:r>
    </w:p>
    <w:p>
      <w:pPr>
        <w:pStyle w:val="BodyText"/>
        <w:spacing w:line="285" w:lineRule="auto" w:before="1"/>
        <w:ind w:left="677" w:right="108"/>
        <w:jc w:val="both"/>
      </w:pPr>
      <w:r>
        <w:rPr>
          <w:color w:val="231F20"/>
          <w:w w:val="105"/>
        </w:rPr>
        <w:t>El sistema electoral en el que se desarrolla el acceso al gobierno municipal, que para nuestra entidad federativa es con dominante mayoritario, fomenta un siste- ma de suma cero, en el que gana se lleva todo. El gobierno municipal le corres- ponde al partido que obtuvo la mayoría relativa, a pesar de que haya regidores de representación proporcional. Este marco legal produce un sistema de partido dominante en la formación de gobierno.</w:t>
      </w:r>
    </w:p>
    <w:p>
      <w:pPr>
        <w:pStyle w:val="BodyText"/>
        <w:spacing w:line="285" w:lineRule="auto" w:before="1"/>
        <w:ind w:left="677" w:right="120"/>
      </w:pPr>
      <w:r>
        <w:rPr>
          <w:color w:val="231F20"/>
          <w:spacing w:val="-3"/>
          <w:w w:val="105"/>
        </w:rPr>
        <w:t>Frente</w:t>
      </w:r>
      <w:r>
        <w:rPr>
          <w:color w:val="231F20"/>
          <w:spacing w:val="-16"/>
          <w:w w:val="105"/>
        </w:rPr>
        <w:t> </w:t>
      </w:r>
      <w:r>
        <w:rPr>
          <w:color w:val="231F20"/>
          <w:spacing w:val="2"/>
          <w:w w:val="105"/>
        </w:rPr>
        <w:t>al</w:t>
      </w:r>
      <w:r>
        <w:rPr>
          <w:color w:val="231F20"/>
          <w:spacing w:val="-16"/>
          <w:w w:val="105"/>
        </w:rPr>
        <w:t> </w:t>
      </w:r>
      <w:r>
        <w:rPr>
          <w:color w:val="231F20"/>
          <w:w w:val="105"/>
        </w:rPr>
        <w:t>estudio</w:t>
      </w:r>
      <w:r>
        <w:rPr>
          <w:color w:val="231F20"/>
          <w:spacing w:val="-16"/>
          <w:w w:val="105"/>
        </w:rPr>
        <w:t> </w:t>
      </w:r>
      <w:r>
        <w:rPr>
          <w:color w:val="231F20"/>
          <w:w w:val="105"/>
        </w:rPr>
        <w:t>de</w:t>
      </w:r>
      <w:r>
        <w:rPr>
          <w:color w:val="231F20"/>
          <w:spacing w:val="-16"/>
          <w:w w:val="105"/>
        </w:rPr>
        <w:t> </w:t>
      </w:r>
      <w:r>
        <w:rPr>
          <w:color w:val="231F20"/>
          <w:w w:val="105"/>
        </w:rPr>
        <w:t>gobierno</w:t>
      </w:r>
      <w:r>
        <w:rPr>
          <w:color w:val="231F20"/>
          <w:spacing w:val="-16"/>
          <w:w w:val="105"/>
        </w:rPr>
        <w:t> </w:t>
      </w:r>
      <w:r>
        <w:rPr>
          <w:color w:val="231F20"/>
          <w:w w:val="105"/>
        </w:rPr>
        <w:t>de</w:t>
      </w:r>
      <w:r>
        <w:rPr>
          <w:color w:val="231F20"/>
          <w:spacing w:val="-16"/>
          <w:w w:val="105"/>
        </w:rPr>
        <w:t> </w:t>
      </w:r>
      <w:r>
        <w:rPr>
          <w:color w:val="231F20"/>
          <w:w w:val="105"/>
        </w:rPr>
        <w:t>partido,</w:t>
      </w:r>
      <w:r>
        <w:rPr>
          <w:color w:val="231F20"/>
          <w:spacing w:val="-16"/>
          <w:w w:val="105"/>
        </w:rPr>
        <w:t> </w:t>
      </w:r>
      <w:r>
        <w:rPr>
          <w:color w:val="231F20"/>
          <w:w w:val="105"/>
        </w:rPr>
        <w:t>la</w:t>
      </w:r>
      <w:r>
        <w:rPr>
          <w:color w:val="231F20"/>
          <w:spacing w:val="-16"/>
          <w:w w:val="105"/>
        </w:rPr>
        <w:t> </w:t>
      </w:r>
      <w:r>
        <w:rPr>
          <w:color w:val="231F20"/>
          <w:w w:val="105"/>
        </w:rPr>
        <w:t>anterior</w:t>
      </w:r>
      <w:r>
        <w:rPr>
          <w:color w:val="231F20"/>
          <w:spacing w:val="-16"/>
          <w:w w:val="105"/>
        </w:rPr>
        <w:t> </w:t>
      </w:r>
      <w:r>
        <w:rPr>
          <w:color w:val="231F20"/>
          <w:w w:val="105"/>
        </w:rPr>
        <w:t>conclusión</w:t>
      </w:r>
      <w:r>
        <w:rPr>
          <w:color w:val="231F20"/>
          <w:spacing w:val="-16"/>
          <w:w w:val="105"/>
        </w:rPr>
        <w:t> </w:t>
      </w:r>
      <w:r>
        <w:rPr>
          <w:color w:val="231F20"/>
          <w:w w:val="105"/>
        </w:rPr>
        <w:t>nos</w:t>
      </w:r>
      <w:r>
        <w:rPr>
          <w:color w:val="231F20"/>
          <w:spacing w:val="-16"/>
          <w:w w:val="105"/>
        </w:rPr>
        <w:t> </w:t>
      </w:r>
      <w:r>
        <w:rPr>
          <w:color w:val="231F20"/>
          <w:w w:val="105"/>
        </w:rPr>
        <w:t>llevaría</w:t>
      </w:r>
      <w:r>
        <w:rPr>
          <w:color w:val="231F20"/>
          <w:spacing w:val="-16"/>
          <w:w w:val="105"/>
        </w:rPr>
        <w:t> </w:t>
      </w:r>
      <w:r>
        <w:rPr>
          <w:color w:val="231F20"/>
          <w:w w:val="105"/>
        </w:rPr>
        <w:t>a</w:t>
      </w:r>
      <w:r>
        <w:rPr>
          <w:color w:val="231F20"/>
          <w:spacing w:val="-16"/>
          <w:w w:val="105"/>
        </w:rPr>
        <w:t> </w:t>
      </w:r>
      <w:r>
        <w:rPr>
          <w:color w:val="231F20"/>
          <w:w w:val="105"/>
        </w:rPr>
        <w:t>pen- sar</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partido</w:t>
      </w:r>
      <w:r>
        <w:rPr>
          <w:color w:val="231F20"/>
          <w:spacing w:val="-14"/>
          <w:w w:val="105"/>
        </w:rPr>
        <w:t> </w:t>
      </w:r>
      <w:r>
        <w:rPr>
          <w:color w:val="231F20"/>
          <w:w w:val="105"/>
        </w:rPr>
        <w:t>sería</w:t>
      </w:r>
      <w:r>
        <w:rPr>
          <w:color w:val="231F20"/>
          <w:spacing w:val="-14"/>
          <w:w w:val="105"/>
        </w:rPr>
        <w:t> </w:t>
      </w:r>
      <w:r>
        <w:rPr>
          <w:color w:val="231F20"/>
          <w:w w:val="105"/>
        </w:rPr>
        <w:t>el</w:t>
      </w:r>
      <w:r>
        <w:rPr>
          <w:color w:val="231F20"/>
          <w:spacing w:val="-14"/>
          <w:w w:val="105"/>
        </w:rPr>
        <w:t> </w:t>
      </w:r>
      <w:r>
        <w:rPr>
          <w:color w:val="231F20"/>
          <w:w w:val="105"/>
        </w:rPr>
        <w:t>realmente</w:t>
      </w:r>
      <w:r>
        <w:rPr>
          <w:color w:val="231F20"/>
          <w:spacing w:val="-14"/>
          <w:w w:val="105"/>
        </w:rPr>
        <w:t> </w:t>
      </w:r>
      <w:r>
        <w:rPr>
          <w:color w:val="231F20"/>
          <w:w w:val="105"/>
        </w:rPr>
        <w:t>gobernante,</w:t>
      </w:r>
      <w:r>
        <w:rPr>
          <w:color w:val="231F20"/>
          <w:spacing w:val="-14"/>
          <w:w w:val="105"/>
        </w:rPr>
        <w:t> </w:t>
      </w:r>
      <w:r>
        <w:rPr>
          <w:color w:val="231F20"/>
          <w:w w:val="105"/>
        </w:rPr>
        <w:t>situación</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oscurece</w:t>
      </w:r>
      <w:r>
        <w:rPr>
          <w:color w:val="231F20"/>
          <w:spacing w:val="-14"/>
          <w:w w:val="105"/>
        </w:rPr>
        <w:t> </w:t>
      </w:r>
      <w:r>
        <w:rPr>
          <w:color w:val="231F20"/>
          <w:w w:val="105"/>
        </w:rPr>
        <w:t>debido a</w:t>
      </w:r>
      <w:r>
        <w:rPr>
          <w:color w:val="231F20"/>
          <w:spacing w:val="-18"/>
          <w:w w:val="105"/>
        </w:rPr>
        <w:t> </w:t>
      </w:r>
      <w:r>
        <w:rPr>
          <w:color w:val="231F20"/>
          <w:w w:val="105"/>
        </w:rPr>
        <w:t>la</w:t>
      </w:r>
      <w:r>
        <w:rPr>
          <w:color w:val="231F20"/>
          <w:spacing w:val="-18"/>
          <w:w w:val="105"/>
        </w:rPr>
        <w:t> </w:t>
      </w:r>
      <w:r>
        <w:rPr>
          <w:color w:val="231F20"/>
          <w:w w:val="105"/>
        </w:rPr>
        <w:t>preparación</w:t>
      </w:r>
      <w:r>
        <w:rPr>
          <w:color w:val="231F20"/>
          <w:spacing w:val="-18"/>
          <w:w w:val="105"/>
        </w:rPr>
        <w:t> </w:t>
      </w:r>
      <w:r>
        <w:rPr>
          <w:color w:val="231F20"/>
          <w:w w:val="105"/>
        </w:rPr>
        <w:t>profesional</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valores</w:t>
      </w:r>
      <w:r>
        <w:rPr>
          <w:color w:val="231F20"/>
          <w:spacing w:val="-18"/>
          <w:w w:val="105"/>
        </w:rPr>
        <w:t> </w:t>
      </w:r>
      <w:r>
        <w:rPr>
          <w:color w:val="231F20"/>
          <w:w w:val="105"/>
        </w:rPr>
        <w:t>y</w:t>
      </w:r>
      <w:r>
        <w:rPr>
          <w:color w:val="231F20"/>
          <w:spacing w:val="-18"/>
          <w:w w:val="105"/>
        </w:rPr>
        <w:t> </w:t>
      </w:r>
      <w:r>
        <w:rPr>
          <w:color w:val="231F20"/>
          <w:w w:val="105"/>
        </w:rPr>
        <w:t>actitudes</w:t>
      </w:r>
      <w:r>
        <w:rPr>
          <w:color w:val="231F20"/>
          <w:spacing w:val="-18"/>
          <w:w w:val="105"/>
        </w:rPr>
        <w:t> </w:t>
      </w:r>
      <w:r>
        <w:rPr>
          <w:color w:val="231F20"/>
          <w:w w:val="105"/>
        </w:rPr>
        <w:t>políticas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autoridades</w:t>
      </w:r>
      <w:r>
        <w:rPr>
          <w:color w:val="231F20"/>
          <w:spacing w:val="-18"/>
          <w:w w:val="105"/>
        </w:rPr>
        <w:t> </w:t>
      </w:r>
      <w:r>
        <w:rPr>
          <w:color w:val="231F20"/>
          <w:w w:val="105"/>
        </w:rPr>
        <w:t>y de</w:t>
      </w:r>
      <w:r>
        <w:rPr>
          <w:color w:val="231F20"/>
          <w:spacing w:val="-20"/>
          <w:w w:val="105"/>
        </w:rPr>
        <w:t> </w:t>
      </w:r>
      <w:r>
        <w:rPr>
          <w:color w:val="231F20"/>
          <w:w w:val="105"/>
        </w:rPr>
        <w:t>los</w:t>
      </w:r>
      <w:r>
        <w:rPr>
          <w:color w:val="231F20"/>
          <w:spacing w:val="-20"/>
          <w:w w:val="105"/>
        </w:rPr>
        <w:t> </w:t>
      </w:r>
      <w:r>
        <w:rPr>
          <w:color w:val="231F20"/>
          <w:w w:val="105"/>
        </w:rPr>
        <w:t>políticos</w:t>
      </w:r>
      <w:r>
        <w:rPr>
          <w:color w:val="231F20"/>
          <w:spacing w:val="-20"/>
          <w:w w:val="105"/>
        </w:rPr>
        <w:t> </w:t>
      </w:r>
      <w:r>
        <w:rPr>
          <w:color w:val="231F20"/>
          <w:w w:val="105"/>
        </w:rPr>
        <w:t>que</w:t>
      </w:r>
      <w:r>
        <w:rPr>
          <w:color w:val="231F20"/>
          <w:spacing w:val="-20"/>
          <w:w w:val="105"/>
        </w:rPr>
        <w:t> </w:t>
      </w:r>
      <w:r>
        <w:rPr>
          <w:color w:val="231F20"/>
          <w:w w:val="105"/>
        </w:rPr>
        <w:t>participan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cabildo.</w:t>
      </w:r>
      <w:r>
        <w:rPr>
          <w:color w:val="231F20"/>
          <w:spacing w:val="-20"/>
          <w:w w:val="105"/>
        </w:rPr>
        <w:t> </w:t>
      </w:r>
      <w:r>
        <w:rPr>
          <w:color w:val="231F20"/>
          <w:w w:val="105"/>
        </w:rPr>
        <w:t>Los</w:t>
      </w:r>
      <w:r>
        <w:rPr>
          <w:color w:val="231F20"/>
          <w:spacing w:val="-20"/>
          <w:w w:val="105"/>
        </w:rPr>
        <w:t> </w:t>
      </w:r>
      <w:r>
        <w:rPr>
          <w:color w:val="231F20"/>
          <w:w w:val="105"/>
        </w:rPr>
        <w:t>regidores</w:t>
      </w:r>
      <w:r>
        <w:rPr>
          <w:color w:val="231F20"/>
          <w:spacing w:val="-20"/>
          <w:w w:val="105"/>
        </w:rPr>
        <w:t> </w:t>
      </w:r>
      <w:r>
        <w:rPr>
          <w:color w:val="231F20"/>
          <w:w w:val="105"/>
        </w:rPr>
        <w:t>se</w:t>
      </w:r>
      <w:r>
        <w:rPr>
          <w:color w:val="231F20"/>
          <w:spacing w:val="-20"/>
          <w:w w:val="105"/>
        </w:rPr>
        <w:t> </w:t>
      </w:r>
      <w:r>
        <w:rPr>
          <w:color w:val="231F20"/>
          <w:w w:val="105"/>
        </w:rPr>
        <w:t>subordinan</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figu- ra del presidente, incrementando la centralización en él de recursos tanto finan- cieros</w:t>
      </w:r>
      <w:r>
        <w:rPr>
          <w:color w:val="231F20"/>
          <w:spacing w:val="-21"/>
          <w:w w:val="105"/>
        </w:rPr>
        <w:t> </w:t>
      </w:r>
      <w:r>
        <w:rPr>
          <w:color w:val="231F20"/>
          <w:w w:val="105"/>
        </w:rPr>
        <w:t>como</w:t>
      </w:r>
      <w:r>
        <w:rPr>
          <w:color w:val="231F20"/>
          <w:spacing w:val="-21"/>
          <w:w w:val="105"/>
        </w:rPr>
        <w:t> </w:t>
      </w:r>
      <w:r>
        <w:rPr>
          <w:color w:val="231F20"/>
          <w:w w:val="105"/>
        </w:rPr>
        <w:t>de</w:t>
      </w:r>
      <w:r>
        <w:rPr>
          <w:color w:val="231F20"/>
          <w:spacing w:val="-21"/>
          <w:w w:val="105"/>
        </w:rPr>
        <w:t> </w:t>
      </w:r>
      <w:r>
        <w:rPr>
          <w:color w:val="231F20"/>
          <w:w w:val="105"/>
        </w:rPr>
        <w:t>información,</w:t>
      </w:r>
      <w:r>
        <w:rPr>
          <w:color w:val="231F20"/>
          <w:spacing w:val="-21"/>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toma</w:t>
      </w:r>
      <w:r>
        <w:rPr>
          <w:color w:val="231F20"/>
          <w:spacing w:val="-21"/>
          <w:w w:val="105"/>
        </w:rPr>
        <w:t> </w:t>
      </w:r>
      <w:r>
        <w:rPr>
          <w:color w:val="231F20"/>
          <w:w w:val="105"/>
        </w:rPr>
        <w:t>de</w:t>
      </w:r>
      <w:r>
        <w:rPr>
          <w:color w:val="231F20"/>
          <w:spacing w:val="-21"/>
          <w:w w:val="105"/>
        </w:rPr>
        <w:t> </w:t>
      </w:r>
      <w:r>
        <w:rPr>
          <w:color w:val="231F20"/>
          <w:w w:val="105"/>
        </w:rPr>
        <w:t>decisiones.</w:t>
      </w:r>
      <w:r>
        <w:rPr>
          <w:color w:val="231F20"/>
          <w:spacing w:val="-21"/>
          <w:w w:val="105"/>
        </w:rPr>
        <w:t> </w:t>
      </w:r>
      <w:r>
        <w:rPr>
          <w:color w:val="231F20"/>
          <w:w w:val="105"/>
        </w:rPr>
        <w:t>El</w:t>
      </w:r>
      <w:r>
        <w:rPr>
          <w:color w:val="231F20"/>
          <w:spacing w:val="-21"/>
          <w:w w:val="105"/>
        </w:rPr>
        <w:t> </w:t>
      </w:r>
      <w:r>
        <w:rPr>
          <w:color w:val="231F20"/>
          <w:w w:val="105"/>
        </w:rPr>
        <w:t>cabildo</w:t>
      </w:r>
      <w:r>
        <w:rPr>
          <w:color w:val="231F20"/>
          <w:spacing w:val="-21"/>
          <w:w w:val="105"/>
        </w:rPr>
        <w:t> </w:t>
      </w:r>
      <w:r>
        <w:rPr>
          <w:color w:val="231F20"/>
          <w:w w:val="105"/>
        </w:rPr>
        <w:t>legitima</w:t>
      </w:r>
      <w:r>
        <w:rPr>
          <w:color w:val="231F20"/>
          <w:spacing w:val="-21"/>
          <w:w w:val="105"/>
        </w:rPr>
        <w:t> </w:t>
      </w:r>
      <w:r>
        <w:rPr>
          <w:color w:val="231F20"/>
          <w:w w:val="105"/>
        </w:rPr>
        <w:t>y cubre</w:t>
      </w:r>
      <w:r>
        <w:rPr>
          <w:color w:val="231F20"/>
          <w:spacing w:val="-25"/>
          <w:w w:val="105"/>
        </w:rPr>
        <w:t> </w:t>
      </w:r>
      <w:r>
        <w:rPr>
          <w:color w:val="231F20"/>
          <w:spacing w:val="2"/>
          <w:w w:val="105"/>
        </w:rPr>
        <w:t>al</w:t>
      </w:r>
      <w:r>
        <w:rPr>
          <w:color w:val="231F20"/>
          <w:spacing w:val="-25"/>
          <w:w w:val="105"/>
        </w:rPr>
        <w:t> </w:t>
      </w:r>
      <w:r>
        <w:rPr>
          <w:color w:val="231F20"/>
          <w:w w:val="105"/>
        </w:rPr>
        <w:t>presidente,</w:t>
      </w:r>
      <w:r>
        <w:rPr>
          <w:color w:val="231F20"/>
          <w:spacing w:val="-25"/>
          <w:w w:val="105"/>
        </w:rPr>
        <w:t> </w:t>
      </w:r>
      <w:r>
        <w:rPr>
          <w:color w:val="231F20"/>
          <w:w w:val="105"/>
        </w:rPr>
        <w:t>la</w:t>
      </w:r>
      <w:r>
        <w:rPr>
          <w:color w:val="231F20"/>
          <w:spacing w:val="-25"/>
          <w:w w:val="105"/>
        </w:rPr>
        <w:t> </w:t>
      </w:r>
      <w:r>
        <w:rPr>
          <w:color w:val="231F20"/>
          <w:w w:val="105"/>
        </w:rPr>
        <w:t>mayoría</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veces</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color w:val="231F20"/>
          <w:w w:val="105"/>
        </w:rPr>
        <w:t>apoyo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regidores</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par- tido;</w:t>
      </w:r>
      <w:r>
        <w:rPr>
          <w:color w:val="231F20"/>
          <w:spacing w:val="-14"/>
          <w:w w:val="105"/>
        </w:rPr>
        <w:t> </w:t>
      </w:r>
      <w:r>
        <w:rPr>
          <w:color w:val="231F20"/>
          <w:w w:val="105"/>
        </w:rPr>
        <w:t>sin</w:t>
      </w:r>
      <w:r>
        <w:rPr>
          <w:color w:val="231F20"/>
          <w:spacing w:val="-14"/>
          <w:w w:val="105"/>
        </w:rPr>
        <w:t> </w:t>
      </w:r>
      <w:r>
        <w:rPr>
          <w:color w:val="231F20"/>
          <w:w w:val="105"/>
        </w:rPr>
        <w:t>embargo</w:t>
      </w:r>
      <w:r>
        <w:rPr>
          <w:color w:val="231F20"/>
          <w:spacing w:val="-14"/>
          <w:w w:val="105"/>
        </w:rPr>
        <w:t> </w:t>
      </w:r>
      <w:r>
        <w:rPr>
          <w:color w:val="231F20"/>
          <w:w w:val="105"/>
        </w:rPr>
        <w:t>no</w:t>
      </w:r>
      <w:r>
        <w:rPr>
          <w:color w:val="231F20"/>
          <w:spacing w:val="-14"/>
          <w:w w:val="105"/>
        </w:rPr>
        <w:t> </w:t>
      </w:r>
      <w:r>
        <w:rPr>
          <w:color w:val="231F20"/>
          <w:w w:val="105"/>
        </w:rPr>
        <w:t>hay</w:t>
      </w:r>
      <w:r>
        <w:rPr>
          <w:color w:val="231F20"/>
          <w:spacing w:val="-14"/>
          <w:w w:val="105"/>
        </w:rPr>
        <w:t> </w:t>
      </w:r>
      <w:r>
        <w:rPr>
          <w:color w:val="231F20"/>
          <w:w w:val="105"/>
        </w:rPr>
        <w:t>una</w:t>
      </w:r>
      <w:r>
        <w:rPr>
          <w:color w:val="231F20"/>
          <w:spacing w:val="-14"/>
          <w:w w:val="105"/>
        </w:rPr>
        <w:t> </w:t>
      </w:r>
      <w:r>
        <w:rPr>
          <w:color w:val="231F20"/>
          <w:w w:val="105"/>
        </w:rPr>
        <w:t>política</w:t>
      </w:r>
      <w:r>
        <w:rPr>
          <w:color w:val="231F20"/>
          <w:spacing w:val="-14"/>
          <w:w w:val="105"/>
        </w:rPr>
        <w:t> </w:t>
      </w:r>
      <w:r>
        <w:rPr>
          <w:color w:val="231F20"/>
          <w:w w:val="105"/>
        </w:rPr>
        <w:t>de</w:t>
      </w:r>
      <w:r>
        <w:rPr>
          <w:color w:val="231F20"/>
          <w:spacing w:val="-14"/>
          <w:w w:val="105"/>
        </w:rPr>
        <w:t> </w:t>
      </w:r>
      <w:r>
        <w:rPr>
          <w:color w:val="231F20"/>
          <w:w w:val="105"/>
        </w:rPr>
        <w:t>partido.</w:t>
      </w:r>
      <w:r>
        <w:rPr>
          <w:color w:val="231F20"/>
          <w:spacing w:val="-14"/>
          <w:w w:val="105"/>
        </w:rPr>
        <w:t> </w:t>
      </w:r>
      <w:r>
        <w:rPr>
          <w:color w:val="231F20"/>
          <w:w w:val="105"/>
        </w:rPr>
        <w:t>El</w:t>
      </w:r>
      <w:r>
        <w:rPr>
          <w:color w:val="231F20"/>
          <w:spacing w:val="-14"/>
          <w:w w:val="105"/>
        </w:rPr>
        <w:t> </w:t>
      </w:r>
      <w:r>
        <w:rPr>
          <w:color w:val="231F20"/>
          <w:w w:val="105"/>
        </w:rPr>
        <w:t>presidente</w:t>
      </w:r>
      <w:r>
        <w:rPr>
          <w:color w:val="231F20"/>
          <w:spacing w:val="-14"/>
          <w:w w:val="105"/>
        </w:rPr>
        <w:t> </w:t>
      </w:r>
      <w:r>
        <w:rPr>
          <w:color w:val="231F20"/>
          <w:w w:val="105"/>
        </w:rPr>
        <w:t>decide</w:t>
      </w:r>
      <w:r>
        <w:rPr>
          <w:color w:val="231F20"/>
          <w:spacing w:val="-14"/>
          <w:w w:val="105"/>
        </w:rPr>
        <w:t> </w:t>
      </w:r>
      <w:r>
        <w:rPr>
          <w:color w:val="231F20"/>
          <w:w w:val="105"/>
        </w:rPr>
        <w:t>la</w:t>
      </w:r>
      <w:r>
        <w:rPr>
          <w:color w:val="231F20"/>
          <w:spacing w:val="-14"/>
          <w:w w:val="105"/>
        </w:rPr>
        <w:t> </w:t>
      </w:r>
      <w:r>
        <w:rPr>
          <w:color w:val="231F20"/>
          <w:w w:val="105"/>
        </w:rPr>
        <w:t>agenda. La</w:t>
      </w:r>
      <w:r>
        <w:rPr>
          <w:color w:val="231F20"/>
          <w:spacing w:val="-25"/>
          <w:w w:val="105"/>
        </w:rPr>
        <w:t> </w:t>
      </w:r>
      <w:r>
        <w:rPr>
          <w:color w:val="231F20"/>
          <w:w w:val="105"/>
        </w:rPr>
        <w:t>identificación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problemas</w:t>
      </w:r>
      <w:r>
        <w:rPr>
          <w:color w:val="231F20"/>
          <w:spacing w:val="-25"/>
          <w:w w:val="105"/>
        </w:rPr>
        <w:t> </w:t>
      </w:r>
      <w:r>
        <w:rPr>
          <w:color w:val="231F20"/>
          <w:w w:val="105"/>
        </w:rPr>
        <w:t>a</w:t>
      </w:r>
      <w:r>
        <w:rPr>
          <w:color w:val="231F20"/>
          <w:spacing w:val="-25"/>
          <w:w w:val="105"/>
        </w:rPr>
        <w:t> </w:t>
      </w:r>
      <w:r>
        <w:rPr>
          <w:color w:val="231F20"/>
          <w:w w:val="105"/>
        </w:rPr>
        <w:t>resolver</w:t>
      </w:r>
      <w:r>
        <w:rPr>
          <w:color w:val="231F20"/>
          <w:spacing w:val="-25"/>
          <w:w w:val="105"/>
        </w:rPr>
        <w:t> </w:t>
      </w:r>
      <w:r>
        <w:rPr>
          <w:color w:val="231F20"/>
          <w:w w:val="105"/>
        </w:rPr>
        <w:t>es</w:t>
      </w:r>
      <w:r>
        <w:rPr>
          <w:color w:val="231F20"/>
          <w:spacing w:val="-25"/>
          <w:w w:val="105"/>
        </w:rPr>
        <w:t> </w:t>
      </w:r>
      <w:r>
        <w:rPr>
          <w:color w:val="231F20"/>
          <w:w w:val="105"/>
        </w:rPr>
        <w:t>hecha</w:t>
      </w:r>
      <w:r>
        <w:rPr>
          <w:color w:val="231F20"/>
          <w:spacing w:val="-25"/>
          <w:w w:val="105"/>
        </w:rPr>
        <w:t> </w:t>
      </w:r>
      <w:r>
        <w:rPr>
          <w:color w:val="231F20"/>
          <w:w w:val="105"/>
        </w:rPr>
        <w:t>por</w:t>
      </w:r>
      <w:r>
        <w:rPr>
          <w:color w:val="231F20"/>
          <w:spacing w:val="-25"/>
          <w:w w:val="105"/>
        </w:rPr>
        <w:t> </w:t>
      </w:r>
      <w:r>
        <w:rPr>
          <w:color w:val="231F20"/>
          <w:w w:val="105"/>
        </w:rPr>
        <w:t>el</w:t>
      </w:r>
      <w:r>
        <w:rPr>
          <w:color w:val="231F20"/>
          <w:spacing w:val="-25"/>
          <w:w w:val="105"/>
        </w:rPr>
        <w:t> </w:t>
      </w:r>
      <w:r>
        <w:rPr>
          <w:color w:val="231F20"/>
          <w:w w:val="105"/>
        </w:rPr>
        <w:t>presidente</w:t>
      </w:r>
      <w:r>
        <w:rPr>
          <w:color w:val="231F20"/>
          <w:spacing w:val="-25"/>
          <w:w w:val="105"/>
        </w:rPr>
        <w:t> </w:t>
      </w:r>
      <w:r>
        <w:rPr>
          <w:color w:val="231F20"/>
          <w:w w:val="105"/>
        </w:rPr>
        <w:t>municipal, no</w:t>
      </w:r>
      <w:r>
        <w:rPr>
          <w:color w:val="231F20"/>
          <w:spacing w:val="-15"/>
          <w:w w:val="105"/>
        </w:rPr>
        <w:t> </w:t>
      </w:r>
      <w:r>
        <w:rPr>
          <w:color w:val="231F20"/>
          <w:w w:val="105"/>
        </w:rPr>
        <w:t>hay</w:t>
      </w:r>
      <w:r>
        <w:rPr>
          <w:color w:val="231F20"/>
          <w:spacing w:val="-15"/>
          <w:w w:val="105"/>
        </w:rPr>
        <w:t> </w:t>
      </w:r>
      <w:r>
        <w:rPr>
          <w:color w:val="231F20"/>
          <w:w w:val="105"/>
        </w:rPr>
        <w:t>influencia</w:t>
      </w:r>
      <w:r>
        <w:rPr>
          <w:color w:val="231F20"/>
          <w:spacing w:val="-15"/>
          <w:w w:val="105"/>
        </w:rPr>
        <w:t> </w:t>
      </w:r>
      <w:r>
        <w:rPr>
          <w:color w:val="231F20"/>
          <w:w w:val="105"/>
        </w:rPr>
        <w:t>(ni</w:t>
      </w:r>
      <w:r>
        <w:rPr>
          <w:color w:val="231F20"/>
          <w:spacing w:val="-15"/>
          <w:w w:val="105"/>
        </w:rPr>
        <w:t> </w:t>
      </w:r>
      <w:r>
        <w:rPr>
          <w:color w:val="231F20"/>
          <w:w w:val="105"/>
        </w:rPr>
        <w:t>resistencia)</w:t>
      </w:r>
      <w:r>
        <w:rPr>
          <w:color w:val="231F20"/>
          <w:spacing w:val="-15"/>
          <w:w w:val="105"/>
        </w:rPr>
        <w:t> </w:t>
      </w:r>
      <w:r>
        <w:rPr>
          <w:color w:val="231F20"/>
          <w:w w:val="105"/>
        </w:rPr>
        <w:t>del</w:t>
      </w:r>
      <w:r>
        <w:rPr>
          <w:color w:val="231F20"/>
          <w:spacing w:val="-15"/>
          <w:w w:val="105"/>
        </w:rPr>
        <w:t> </w:t>
      </w:r>
      <w:r>
        <w:rPr>
          <w:color w:val="231F20"/>
          <w:w w:val="105"/>
        </w:rPr>
        <w:t>partido.</w:t>
      </w:r>
      <w:r>
        <w:rPr>
          <w:color w:val="231F20"/>
          <w:spacing w:val="-15"/>
          <w:w w:val="105"/>
        </w:rPr>
        <w:t> </w:t>
      </w:r>
      <w:r>
        <w:rPr>
          <w:color w:val="231F20"/>
          <w:w w:val="105"/>
        </w:rPr>
        <w:t>Esto</w:t>
      </w:r>
      <w:r>
        <w:rPr>
          <w:color w:val="231F20"/>
          <w:spacing w:val="-15"/>
          <w:w w:val="105"/>
        </w:rPr>
        <w:t> </w:t>
      </w:r>
      <w:r>
        <w:rPr>
          <w:color w:val="231F20"/>
          <w:w w:val="105"/>
        </w:rPr>
        <w:t>ocasiona</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establezca</w:t>
      </w:r>
      <w:r>
        <w:rPr>
          <w:color w:val="231F20"/>
          <w:spacing w:val="-15"/>
          <w:w w:val="105"/>
        </w:rPr>
        <w:t> </w:t>
      </w:r>
      <w:r>
        <w:rPr>
          <w:color w:val="231F20"/>
          <w:w w:val="105"/>
        </w:rPr>
        <w:t>una relación de separación entre el gobierno y el partido. Éste se suma </w:t>
      </w:r>
      <w:r>
        <w:rPr>
          <w:color w:val="231F20"/>
          <w:spacing w:val="2"/>
          <w:w w:val="105"/>
        </w:rPr>
        <w:t>al </w:t>
      </w:r>
      <w:r>
        <w:rPr>
          <w:color w:val="231F20"/>
          <w:w w:val="105"/>
        </w:rPr>
        <w:t>gobierno  y juega en la dinámica que establece el </w:t>
      </w:r>
      <w:r>
        <w:rPr>
          <w:color w:val="231F20"/>
          <w:spacing w:val="-3"/>
          <w:w w:val="105"/>
        </w:rPr>
        <w:t>gobierno. </w:t>
      </w:r>
      <w:r>
        <w:rPr>
          <w:color w:val="231F20"/>
          <w:w w:val="105"/>
        </w:rPr>
        <w:t>Se extiende la estructura del gobierno y no la del partido. No hay fusión de partido y gobierno ni </w:t>
      </w:r>
      <w:r>
        <w:rPr>
          <w:color w:val="231F20"/>
          <w:spacing w:val="55"/>
          <w:w w:val="105"/>
        </w:rPr>
        <w:t> </w:t>
      </w:r>
      <w:r>
        <w:rPr>
          <w:color w:val="231F20"/>
          <w:w w:val="105"/>
        </w:rPr>
        <w:t>coalición.</w:t>
      </w:r>
    </w:p>
    <w:p>
      <w:pPr>
        <w:spacing w:after="0" w:line="285" w:lineRule="auto"/>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7"/>
        <w:jc w:val="both"/>
      </w:pPr>
      <w:r>
        <w:rPr>
          <w:color w:val="231F20"/>
          <w:w w:val="105"/>
        </w:rPr>
        <w:t>Quien</w:t>
      </w:r>
      <w:r>
        <w:rPr>
          <w:color w:val="231F20"/>
          <w:spacing w:val="-20"/>
          <w:w w:val="105"/>
        </w:rPr>
        <w:t> </w:t>
      </w:r>
      <w:r>
        <w:rPr>
          <w:color w:val="231F20"/>
          <w:w w:val="105"/>
        </w:rPr>
        <w:t>decide</w:t>
      </w:r>
      <w:r>
        <w:rPr>
          <w:color w:val="231F20"/>
          <w:spacing w:val="-20"/>
          <w:w w:val="105"/>
        </w:rPr>
        <w:t> </w:t>
      </w:r>
      <w:r>
        <w:rPr>
          <w:color w:val="231F20"/>
          <w:w w:val="105"/>
        </w:rPr>
        <w:t>la</w:t>
      </w:r>
      <w:r>
        <w:rPr>
          <w:color w:val="231F20"/>
          <w:spacing w:val="-20"/>
          <w:w w:val="105"/>
        </w:rPr>
        <w:t> </w:t>
      </w:r>
      <w:r>
        <w:rPr>
          <w:color w:val="231F20"/>
          <w:w w:val="105"/>
        </w:rPr>
        <w:t>agenda</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formulación</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acciones</w:t>
      </w:r>
      <w:r>
        <w:rPr>
          <w:color w:val="231F20"/>
          <w:spacing w:val="-20"/>
          <w:w w:val="105"/>
        </w:rPr>
        <w:t> </w:t>
      </w:r>
      <w:r>
        <w:rPr>
          <w:color w:val="231F20"/>
          <w:w w:val="105"/>
        </w:rPr>
        <w:t>es</w:t>
      </w:r>
      <w:r>
        <w:rPr>
          <w:color w:val="231F20"/>
          <w:spacing w:val="-20"/>
          <w:w w:val="105"/>
        </w:rPr>
        <w:t> </w:t>
      </w:r>
      <w:r>
        <w:rPr>
          <w:color w:val="231F20"/>
          <w:w w:val="105"/>
        </w:rPr>
        <w:t>el</w:t>
      </w:r>
      <w:r>
        <w:rPr>
          <w:color w:val="231F20"/>
          <w:spacing w:val="-20"/>
          <w:w w:val="105"/>
        </w:rPr>
        <w:t> </w:t>
      </w:r>
      <w:r>
        <w:rPr>
          <w:color w:val="231F20"/>
          <w:spacing w:val="-3"/>
          <w:w w:val="105"/>
        </w:rPr>
        <w:t>gobierno.</w:t>
      </w:r>
      <w:r>
        <w:rPr>
          <w:color w:val="231F20"/>
          <w:spacing w:val="-20"/>
          <w:w w:val="105"/>
        </w:rPr>
        <w:t> </w:t>
      </w:r>
      <w:r>
        <w:rPr>
          <w:color w:val="231F20"/>
          <w:w w:val="105"/>
        </w:rPr>
        <w:t>Aún</w:t>
      </w:r>
      <w:r>
        <w:rPr>
          <w:color w:val="231F20"/>
          <w:spacing w:val="-20"/>
          <w:w w:val="105"/>
        </w:rPr>
        <w:t> </w:t>
      </w:r>
      <w:r>
        <w:rPr>
          <w:color w:val="231F20"/>
          <w:w w:val="105"/>
        </w:rPr>
        <w:t>en</w:t>
      </w:r>
      <w:r>
        <w:rPr>
          <w:color w:val="231F20"/>
          <w:spacing w:val="-20"/>
          <w:w w:val="105"/>
        </w:rPr>
        <w:t> </w:t>
      </w:r>
      <w:r>
        <w:rPr>
          <w:color w:val="231F20"/>
          <w:w w:val="105"/>
        </w:rPr>
        <w:t>los casos en </w:t>
      </w:r>
      <w:r>
        <w:rPr>
          <w:color w:val="231F20"/>
          <w:spacing w:val="-3"/>
          <w:w w:val="105"/>
        </w:rPr>
        <w:t>donde </w:t>
      </w:r>
      <w:r>
        <w:rPr>
          <w:color w:val="231F20"/>
          <w:w w:val="105"/>
        </w:rPr>
        <w:t>dentro del cabildo hubiera regidores que no fueran de la misma corriente</w:t>
      </w:r>
      <w:r>
        <w:rPr>
          <w:color w:val="231F20"/>
          <w:spacing w:val="-9"/>
          <w:w w:val="105"/>
        </w:rPr>
        <w:t> </w:t>
      </w:r>
      <w:r>
        <w:rPr>
          <w:color w:val="231F20"/>
          <w:w w:val="105"/>
        </w:rPr>
        <w:t>de</w:t>
      </w:r>
      <w:r>
        <w:rPr>
          <w:color w:val="231F20"/>
          <w:spacing w:val="-9"/>
          <w:w w:val="105"/>
        </w:rPr>
        <w:t> </w:t>
      </w:r>
      <w:r>
        <w:rPr>
          <w:color w:val="231F20"/>
          <w:w w:val="105"/>
        </w:rPr>
        <w:t>partido</w:t>
      </w:r>
      <w:r>
        <w:rPr>
          <w:color w:val="231F20"/>
          <w:spacing w:val="-9"/>
          <w:w w:val="105"/>
        </w:rPr>
        <w:t> </w:t>
      </w:r>
      <w:r>
        <w:rPr>
          <w:color w:val="231F20"/>
          <w:w w:val="105"/>
        </w:rPr>
        <w:t>del</w:t>
      </w:r>
      <w:r>
        <w:rPr>
          <w:color w:val="231F20"/>
          <w:spacing w:val="-9"/>
          <w:w w:val="105"/>
        </w:rPr>
        <w:t> </w:t>
      </w:r>
      <w:r>
        <w:rPr>
          <w:color w:val="231F20"/>
          <w:w w:val="105"/>
        </w:rPr>
        <w:t>presidente,</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poder</w:t>
      </w:r>
      <w:r>
        <w:rPr>
          <w:color w:val="231F20"/>
          <w:spacing w:val="-9"/>
          <w:w w:val="105"/>
        </w:rPr>
        <w:t> </w:t>
      </w:r>
      <w:r>
        <w:rPr>
          <w:color w:val="231F20"/>
          <w:w w:val="105"/>
        </w:rPr>
        <w:t>que</w:t>
      </w:r>
      <w:r>
        <w:rPr>
          <w:color w:val="231F20"/>
          <w:spacing w:val="-9"/>
          <w:w w:val="105"/>
        </w:rPr>
        <w:t> </w:t>
      </w:r>
      <w:r>
        <w:rPr>
          <w:color w:val="231F20"/>
          <w:w w:val="105"/>
        </w:rPr>
        <w:t>concentra</w:t>
      </w:r>
      <w:r>
        <w:rPr>
          <w:color w:val="231F20"/>
          <w:spacing w:val="-9"/>
          <w:w w:val="105"/>
        </w:rPr>
        <w:t> </w:t>
      </w:r>
      <w:r>
        <w:rPr>
          <w:color w:val="231F20"/>
          <w:w w:val="105"/>
        </w:rPr>
        <w:t>tiene</w:t>
      </w:r>
      <w:r>
        <w:rPr>
          <w:color w:val="231F20"/>
          <w:spacing w:val="-9"/>
          <w:w w:val="105"/>
        </w:rPr>
        <w:t> </w:t>
      </w:r>
      <w:r>
        <w:rPr>
          <w:color w:val="231F20"/>
          <w:w w:val="105"/>
        </w:rPr>
        <w:t>la</w:t>
      </w:r>
      <w:r>
        <w:rPr>
          <w:color w:val="231F20"/>
          <w:spacing w:val="-9"/>
          <w:w w:val="105"/>
        </w:rPr>
        <w:t> </w:t>
      </w:r>
      <w:r>
        <w:rPr>
          <w:color w:val="231F20"/>
          <w:w w:val="105"/>
        </w:rPr>
        <w:t>capacidad de</w:t>
      </w:r>
      <w:r>
        <w:rPr>
          <w:color w:val="231F20"/>
          <w:spacing w:val="-11"/>
          <w:w w:val="105"/>
        </w:rPr>
        <w:t> </w:t>
      </w:r>
      <w:r>
        <w:rPr>
          <w:color w:val="231F20"/>
          <w:w w:val="105"/>
        </w:rPr>
        <w:t>alinear</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opositores.</w:t>
      </w:r>
      <w:r>
        <w:rPr>
          <w:color w:val="231F20"/>
          <w:spacing w:val="-11"/>
          <w:w w:val="105"/>
        </w:rPr>
        <w:t> </w:t>
      </w:r>
      <w:r>
        <w:rPr>
          <w:color w:val="231F20"/>
          <w:w w:val="105"/>
        </w:rPr>
        <w:t>La</w:t>
      </w:r>
      <w:r>
        <w:rPr>
          <w:color w:val="231F20"/>
          <w:spacing w:val="-11"/>
          <w:w w:val="105"/>
        </w:rPr>
        <w:t> </w:t>
      </w:r>
      <w:r>
        <w:rPr>
          <w:color w:val="231F20"/>
          <w:w w:val="105"/>
        </w:rPr>
        <w:t>acumulación</w:t>
      </w:r>
      <w:r>
        <w:rPr>
          <w:color w:val="231F20"/>
          <w:spacing w:val="-11"/>
          <w:w w:val="105"/>
        </w:rPr>
        <w:t> </w:t>
      </w:r>
      <w:r>
        <w:rPr>
          <w:color w:val="231F20"/>
          <w:w w:val="105"/>
        </w:rPr>
        <w:t>del</w:t>
      </w:r>
      <w:r>
        <w:rPr>
          <w:color w:val="231F20"/>
          <w:spacing w:val="-11"/>
          <w:w w:val="105"/>
        </w:rPr>
        <w:t> </w:t>
      </w:r>
      <w:r>
        <w:rPr>
          <w:color w:val="231F20"/>
          <w:w w:val="105"/>
        </w:rPr>
        <w:t>manejo</w:t>
      </w:r>
      <w:r>
        <w:rPr>
          <w:color w:val="231F20"/>
          <w:spacing w:val="-11"/>
          <w:w w:val="105"/>
        </w:rPr>
        <w:t> </w:t>
      </w:r>
      <w:r>
        <w:rPr>
          <w:color w:val="231F20"/>
          <w:w w:val="105"/>
        </w:rPr>
        <w:t>y</w:t>
      </w:r>
      <w:r>
        <w:rPr>
          <w:color w:val="231F20"/>
          <w:spacing w:val="-11"/>
          <w:w w:val="105"/>
        </w:rPr>
        <w:t> </w:t>
      </w:r>
      <w:r>
        <w:rPr>
          <w:color w:val="231F20"/>
          <w:w w:val="105"/>
        </w:rPr>
        <w:t>supervisión</w:t>
      </w:r>
      <w:r>
        <w:rPr>
          <w:color w:val="231F20"/>
          <w:spacing w:val="-11"/>
          <w:w w:val="105"/>
        </w:rPr>
        <w:t> </w:t>
      </w:r>
      <w:r>
        <w:rPr>
          <w:color w:val="231F20"/>
          <w:w w:val="105"/>
        </w:rPr>
        <w:t>de</w:t>
      </w:r>
      <w:r>
        <w:rPr>
          <w:color w:val="231F20"/>
          <w:spacing w:val="-11"/>
          <w:w w:val="105"/>
        </w:rPr>
        <w:t> </w:t>
      </w:r>
      <w:r>
        <w:rPr>
          <w:color w:val="231F20"/>
          <w:w w:val="105"/>
        </w:rPr>
        <w:t>recursos le</w:t>
      </w:r>
      <w:r>
        <w:rPr>
          <w:color w:val="231F20"/>
          <w:spacing w:val="-11"/>
          <w:w w:val="105"/>
        </w:rPr>
        <w:t> </w:t>
      </w:r>
      <w:r>
        <w:rPr>
          <w:color w:val="231F20"/>
          <w:w w:val="105"/>
        </w:rPr>
        <w:t>permite</w:t>
      </w:r>
      <w:r>
        <w:rPr>
          <w:color w:val="231F20"/>
          <w:spacing w:val="-11"/>
          <w:w w:val="105"/>
        </w:rPr>
        <w:t> </w:t>
      </w:r>
      <w:r>
        <w:rPr>
          <w:color w:val="231F20"/>
          <w:spacing w:val="2"/>
          <w:w w:val="105"/>
        </w:rPr>
        <w:t>al</w:t>
      </w:r>
      <w:r>
        <w:rPr>
          <w:color w:val="231F20"/>
          <w:spacing w:val="-11"/>
          <w:w w:val="105"/>
        </w:rPr>
        <w:t> </w:t>
      </w:r>
      <w:r>
        <w:rPr>
          <w:color w:val="231F20"/>
          <w:w w:val="105"/>
        </w:rPr>
        <w:t>presidente</w:t>
      </w:r>
      <w:r>
        <w:rPr>
          <w:color w:val="231F20"/>
          <w:spacing w:val="-11"/>
          <w:w w:val="105"/>
        </w:rPr>
        <w:t> </w:t>
      </w:r>
      <w:r>
        <w:rPr>
          <w:color w:val="231F20"/>
          <w:w w:val="105"/>
        </w:rPr>
        <w:t>estar</w:t>
      </w:r>
      <w:r>
        <w:rPr>
          <w:color w:val="231F20"/>
          <w:spacing w:val="-11"/>
          <w:w w:val="105"/>
        </w:rPr>
        <w:t> </w:t>
      </w:r>
      <w:r>
        <w:rPr>
          <w:color w:val="231F20"/>
          <w:w w:val="105"/>
        </w:rPr>
        <w:t>por</w:t>
      </w:r>
      <w:r>
        <w:rPr>
          <w:color w:val="231F20"/>
          <w:spacing w:val="-11"/>
          <w:w w:val="105"/>
        </w:rPr>
        <w:t> </w:t>
      </w:r>
      <w:r>
        <w:rPr>
          <w:color w:val="231F20"/>
          <w:w w:val="105"/>
        </w:rPr>
        <w:t>encima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demás,</w:t>
      </w:r>
      <w:r>
        <w:rPr>
          <w:color w:val="231F20"/>
          <w:spacing w:val="-11"/>
          <w:w w:val="105"/>
        </w:rPr>
        <w:t> </w:t>
      </w:r>
      <w:r>
        <w:rPr>
          <w:color w:val="231F20"/>
          <w:w w:val="105"/>
        </w:rPr>
        <w:t>en</w:t>
      </w:r>
      <w:r>
        <w:rPr>
          <w:color w:val="231F20"/>
          <w:spacing w:val="-11"/>
          <w:w w:val="105"/>
        </w:rPr>
        <w:t> </w:t>
      </w:r>
      <w:r>
        <w:rPr>
          <w:color w:val="231F20"/>
          <w:w w:val="105"/>
        </w:rPr>
        <w:t>una</w:t>
      </w:r>
      <w:r>
        <w:rPr>
          <w:color w:val="231F20"/>
          <w:spacing w:val="-11"/>
          <w:w w:val="105"/>
        </w:rPr>
        <w:t> </w:t>
      </w:r>
      <w:r>
        <w:rPr>
          <w:color w:val="231F20"/>
          <w:w w:val="105"/>
        </w:rPr>
        <w:t>relación</w:t>
      </w:r>
      <w:r>
        <w:rPr>
          <w:color w:val="231F20"/>
          <w:spacing w:val="-11"/>
          <w:w w:val="105"/>
        </w:rPr>
        <w:t> </w:t>
      </w:r>
      <w:r>
        <w:rPr>
          <w:color w:val="231F20"/>
          <w:w w:val="105"/>
        </w:rPr>
        <w:t>que</w:t>
      </w:r>
      <w:r>
        <w:rPr>
          <w:color w:val="231F20"/>
          <w:spacing w:val="-11"/>
          <w:w w:val="105"/>
        </w:rPr>
        <w:t> </w:t>
      </w:r>
      <w:r>
        <w:rPr>
          <w:color w:val="231F20"/>
          <w:w w:val="105"/>
        </w:rPr>
        <w:t>debe- ría ser</w:t>
      </w:r>
      <w:r>
        <w:rPr>
          <w:color w:val="231F20"/>
          <w:spacing w:val="-9"/>
          <w:w w:val="105"/>
        </w:rPr>
        <w:t> </w:t>
      </w:r>
      <w:r>
        <w:rPr>
          <w:color w:val="231F20"/>
          <w:w w:val="105"/>
        </w:rPr>
        <w:t>horizontal.</w:t>
      </w:r>
    </w:p>
    <w:p>
      <w:pPr>
        <w:pStyle w:val="BodyText"/>
        <w:spacing w:before="1"/>
        <w:rPr>
          <w:sz w:val="26"/>
        </w:rPr>
      </w:pPr>
    </w:p>
    <w:p>
      <w:pPr>
        <w:pStyle w:val="BodyText"/>
        <w:spacing w:line="285" w:lineRule="auto"/>
        <w:ind w:left="110" w:right="106"/>
        <w:jc w:val="both"/>
      </w:pPr>
      <w:r>
        <w:rPr>
          <w:color w:val="231F20"/>
          <w:w w:val="105"/>
        </w:rPr>
        <w:t>La</w:t>
      </w:r>
      <w:r>
        <w:rPr>
          <w:color w:val="231F20"/>
          <w:spacing w:val="-14"/>
          <w:w w:val="105"/>
        </w:rPr>
        <w:t> </w:t>
      </w:r>
      <w:r>
        <w:rPr>
          <w:color w:val="231F20"/>
          <w:w w:val="105"/>
        </w:rPr>
        <w:t>burocracia</w:t>
      </w:r>
      <w:r>
        <w:rPr>
          <w:color w:val="231F20"/>
          <w:spacing w:val="-14"/>
          <w:w w:val="105"/>
        </w:rPr>
        <w:t> </w:t>
      </w:r>
      <w:r>
        <w:rPr>
          <w:color w:val="231F20"/>
          <w:w w:val="105"/>
        </w:rPr>
        <w:t>juega</w:t>
      </w:r>
      <w:r>
        <w:rPr>
          <w:color w:val="231F20"/>
          <w:spacing w:val="-14"/>
          <w:w w:val="105"/>
        </w:rPr>
        <w:t> </w:t>
      </w:r>
      <w:r>
        <w:rPr>
          <w:color w:val="231F20"/>
          <w:w w:val="105"/>
        </w:rPr>
        <w:t>un</w:t>
      </w:r>
      <w:r>
        <w:rPr>
          <w:color w:val="231F20"/>
          <w:spacing w:val="-14"/>
          <w:w w:val="105"/>
        </w:rPr>
        <w:t> </w:t>
      </w:r>
      <w:r>
        <w:rPr>
          <w:color w:val="231F20"/>
          <w:w w:val="105"/>
        </w:rPr>
        <w:t>papel</w:t>
      </w:r>
      <w:r>
        <w:rPr>
          <w:color w:val="231F20"/>
          <w:spacing w:val="-14"/>
          <w:w w:val="105"/>
        </w:rPr>
        <w:t> </w:t>
      </w:r>
      <w:r>
        <w:rPr>
          <w:color w:val="231F20"/>
          <w:w w:val="105"/>
        </w:rPr>
        <w:t>importante.</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resuelto</w:t>
      </w:r>
      <w:r>
        <w:rPr>
          <w:color w:val="231F20"/>
          <w:spacing w:val="-14"/>
          <w:w w:val="105"/>
        </w:rPr>
        <w:t> </w:t>
      </w:r>
      <w:r>
        <w:rPr>
          <w:color w:val="231F20"/>
          <w:w w:val="105"/>
        </w:rPr>
        <w:t>la</w:t>
      </w:r>
      <w:r>
        <w:rPr>
          <w:color w:val="231F20"/>
          <w:spacing w:val="-14"/>
          <w:w w:val="105"/>
        </w:rPr>
        <w:t> </w:t>
      </w:r>
      <w:r>
        <w:rPr>
          <w:color w:val="231F20"/>
          <w:w w:val="105"/>
        </w:rPr>
        <w:t>posible</w:t>
      </w:r>
      <w:r>
        <w:rPr>
          <w:color w:val="231F20"/>
          <w:spacing w:val="-14"/>
          <w:w w:val="105"/>
        </w:rPr>
        <w:t> </w:t>
      </w:r>
      <w:r>
        <w:rPr>
          <w:color w:val="231F20"/>
          <w:w w:val="105"/>
        </w:rPr>
        <w:t>confrontación</w:t>
      </w:r>
      <w:r>
        <w:rPr>
          <w:color w:val="231F20"/>
          <w:spacing w:val="-14"/>
          <w:w w:val="105"/>
        </w:rPr>
        <w:t> </w:t>
      </w:r>
      <w:r>
        <w:rPr>
          <w:color w:val="231F20"/>
          <w:w w:val="105"/>
        </w:rPr>
        <w:t>de</w:t>
      </w:r>
      <w:r>
        <w:rPr>
          <w:color w:val="231F20"/>
          <w:spacing w:val="-14"/>
          <w:w w:val="105"/>
        </w:rPr>
        <w:t> </w:t>
      </w:r>
      <w:r>
        <w:rPr>
          <w:color w:val="231F20"/>
          <w:spacing w:val="-2"/>
          <w:w w:val="105"/>
        </w:rPr>
        <w:t>bu- </w:t>
      </w:r>
      <w:r>
        <w:rPr>
          <w:color w:val="231F20"/>
          <w:w w:val="105"/>
        </w:rPr>
        <w:t>rocracia</w:t>
      </w:r>
      <w:r>
        <w:rPr>
          <w:color w:val="231F20"/>
          <w:spacing w:val="-7"/>
          <w:w w:val="105"/>
        </w:rPr>
        <w:t> </w:t>
      </w:r>
      <w:r>
        <w:rPr>
          <w:color w:val="231F20"/>
          <w:w w:val="105"/>
        </w:rPr>
        <w:t>y</w:t>
      </w:r>
      <w:r>
        <w:rPr>
          <w:color w:val="231F20"/>
          <w:spacing w:val="-7"/>
          <w:w w:val="105"/>
        </w:rPr>
        <w:t> </w:t>
      </w:r>
      <w:r>
        <w:rPr>
          <w:color w:val="231F20"/>
          <w:w w:val="105"/>
        </w:rPr>
        <w:t>político</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respeto</w:t>
      </w:r>
      <w:r>
        <w:rPr>
          <w:color w:val="231F20"/>
          <w:spacing w:val="-7"/>
          <w:w w:val="105"/>
        </w:rPr>
        <w:t> </w:t>
      </w:r>
      <w:r>
        <w:rPr>
          <w:color w:val="231F20"/>
          <w:w w:val="105"/>
        </w:rPr>
        <w:t>mutuo:</w:t>
      </w:r>
      <w:r>
        <w:rPr>
          <w:color w:val="231F20"/>
          <w:spacing w:val="-7"/>
          <w:w w:val="105"/>
        </w:rPr>
        <w:t> </w:t>
      </w:r>
      <w:r>
        <w:rPr>
          <w:color w:val="231F20"/>
          <w:w w:val="105"/>
        </w:rPr>
        <w:t>mientras</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burocracia</w:t>
      </w:r>
      <w:r>
        <w:rPr>
          <w:color w:val="231F20"/>
          <w:spacing w:val="-7"/>
          <w:w w:val="105"/>
        </w:rPr>
        <w:t> </w:t>
      </w:r>
      <w:r>
        <w:rPr>
          <w:color w:val="231F20"/>
          <w:w w:val="105"/>
        </w:rPr>
        <w:t>juega</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poder del manejo de la información que le dan el tiempo de experiencia y la posibilidad del manejo y la movilización social por la cercanía con la población, el político juega con el poder que le otorga el manejo y distribución de los recursos tanto financieros como humanos.</w:t>
      </w:r>
      <w:r>
        <w:rPr>
          <w:color w:val="231F20"/>
          <w:spacing w:val="-12"/>
          <w:w w:val="105"/>
        </w:rPr>
        <w:t> </w:t>
      </w:r>
      <w:r>
        <w:rPr>
          <w:color w:val="231F20"/>
          <w:w w:val="105"/>
        </w:rPr>
        <w:t>El</w:t>
      </w:r>
      <w:r>
        <w:rPr>
          <w:color w:val="231F20"/>
          <w:spacing w:val="-12"/>
          <w:w w:val="105"/>
        </w:rPr>
        <w:t> </w:t>
      </w:r>
      <w:r>
        <w:rPr>
          <w:color w:val="231F20"/>
          <w:w w:val="105"/>
        </w:rPr>
        <w:t>presidente</w:t>
      </w:r>
      <w:r>
        <w:rPr>
          <w:color w:val="231F20"/>
          <w:spacing w:val="-12"/>
          <w:w w:val="105"/>
        </w:rPr>
        <w:t> </w:t>
      </w:r>
      <w:r>
        <w:rPr>
          <w:color w:val="231F20"/>
          <w:w w:val="105"/>
        </w:rPr>
        <w:t>tiene</w:t>
      </w:r>
      <w:r>
        <w:rPr>
          <w:color w:val="231F20"/>
          <w:spacing w:val="-12"/>
          <w:w w:val="105"/>
        </w:rPr>
        <w:t> </w:t>
      </w:r>
      <w:r>
        <w:rPr>
          <w:color w:val="231F20"/>
          <w:w w:val="105"/>
        </w:rPr>
        <w:t>atribuciones</w:t>
      </w:r>
      <w:r>
        <w:rPr>
          <w:color w:val="231F20"/>
          <w:spacing w:val="-12"/>
          <w:w w:val="105"/>
        </w:rPr>
        <w:t> </w:t>
      </w:r>
      <w:r>
        <w:rPr>
          <w:color w:val="231F20"/>
          <w:w w:val="105"/>
        </w:rPr>
        <w:t>para</w:t>
      </w:r>
      <w:r>
        <w:rPr>
          <w:color w:val="231F20"/>
          <w:spacing w:val="-12"/>
          <w:w w:val="105"/>
        </w:rPr>
        <w:t> </w:t>
      </w:r>
      <w:r>
        <w:rPr>
          <w:color w:val="231F20"/>
          <w:w w:val="105"/>
        </w:rPr>
        <w:t>revisar</w:t>
      </w:r>
      <w:r>
        <w:rPr>
          <w:color w:val="231F20"/>
          <w:spacing w:val="-12"/>
          <w:w w:val="105"/>
        </w:rPr>
        <w:t> </w:t>
      </w:r>
      <w:r>
        <w:rPr>
          <w:color w:val="231F20"/>
          <w:w w:val="105"/>
        </w:rPr>
        <w:t>la</w:t>
      </w:r>
      <w:r>
        <w:rPr>
          <w:color w:val="231F20"/>
          <w:spacing w:val="-12"/>
          <w:w w:val="105"/>
        </w:rPr>
        <w:t> </w:t>
      </w:r>
      <w:r>
        <w:rPr>
          <w:color w:val="231F20"/>
          <w:w w:val="105"/>
        </w:rPr>
        <w:t>permanencia</w:t>
      </w:r>
      <w:r>
        <w:rPr>
          <w:color w:val="231F20"/>
          <w:spacing w:val="-12"/>
          <w:w w:val="105"/>
        </w:rPr>
        <w:t> </w:t>
      </w:r>
      <w:r>
        <w:rPr>
          <w:color w:val="231F20"/>
          <w:w w:val="105"/>
        </w:rPr>
        <w:t>y</w:t>
      </w:r>
      <w:r>
        <w:rPr>
          <w:color w:val="231F20"/>
          <w:spacing w:val="-12"/>
          <w:w w:val="105"/>
        </w:rPr>
        <w:t> </w:t>
      </w:r>
      <w:r>
        <w:rPr>
          <w:color w:val="231F20"/>
          <w:w w:val="105"/>
        </w:rPr>
        <w:t>promoción</w:t>
      </w:r>
      <w:r>
        <w:rPr>
          <w:color w:val="231F20"/>
          <w:spacing w:val="-12"/>
          <w:w w:val="105"/>
        </w:rPr>
        <w:t> </w:t>
      </w:r>
      <w:r>
        <w:rPr>
          <w:color w:val="231F20"/>
          <w:w w:val="105"/>
        </w:rPr>
        <w:t>del personal. En este equilibrio se encuentra un elemento que favorece </w:t>
      </w:r>
      <w:r>
        <w:rPr>
          <w:color w:val="231F20"/>
          <w:spacing w:val="2"/>
          <w:w w:val="105"/>
        </w:rPr>
        <w:t>al </w:t>
      </w:r>
      <w:r>
        <w:rPr>
          <w:color w:val="231F20"/>
          <w:w w:val="105"/>
        </w:rPr>
        <w:t>presidente y es- triba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uso</w:t>
      </w:r>
      <w:r>
        <w:rPr>
          <w:color w:val="231F20"/>
          <w:spacing w:val="-17"/>
          <w:w w:val="105"/>
        </w:rPr>
        <w:t> </w:t>
      </w:r>
      <w:r>
        <w:rPr>
          <w:color w:val="231F20"/>
          <w:w w:val="105"/>
        </w:rPr>
        <w:t>del</w:t>
      </w:r>
      <w:r>
        <w:rPr>
          <w:color w:val="231F20"/>
          <w:spacing w:val="-17"/>
          <w:w w:val="105"/>
        </w:rPr>
        <w:t> </w:t>
      </w:r>
      <w:r>
        <w:rPr>
          <w:color w:val="231F20"/>
          <w:w w:val="105"/>
        </w:rPr>
        <w:t>patronazgo</w:t>
      </w:r>
      <w:r>
        <w:rPr>
          <w:color w:val="231F20"/>
          <w:spacing w:val="-17"/>
          <w:w w:val="105"/>
        </w:rPr>
        <w:t> </w:t>
      </w:r>
      <w:r>
        <w:rPr>
          <w:color w:val="231F20"/>
          <w:w w:val="105"/>
        </w:rPr>
        <w:t>o</w:t>
      </w:r>
      <w:r>
        <w:rPr>
          <w:color w:val="231F20"/>
          <w:spacing w:val="-17"/>
          <w:w w:val="105"/>
        </w:rPr>
        <w:t> </w:t>
      </w:r>
      <w:r>
        <w:rPr>
          <w:color w:val="231F20"/>
          <w:w w:val="105"/>
        </w:rPr>
        <w:t>del</w:t>
      </w:r>
      <w:r>
        <w:rPr>
          <w:color w:val="231F20"/>
          <w:spacing w:val="-17"/>
          <w:w w:val="105"/>
        </w:rPr>
        <w:t> </w:t>
      </w:r>
      <w:r>
        <w:rPr>
          <w:color w:val="231F20"/>
          <w:w w:val="105"/>
        </w:rPr>
        <w:t>spoil</w:t>
      </w:r>
      <w:r>
        <w:rPr>
          <w:color w:val="231F20"/>
          <w:spacing w:val="-17"/>
          <w:w w:val="105"/>
        </w:rPr>
        <w:t> </w:t>
      </w:r>
      <w:r>
        <w:rPr>
          <w:color w:val="231F20"/>
          <w:w w:val="105"/>
        </w:rPr>
        <w:t>system.</w:t>
      </w:r>
      <w:r>
        <w:rPr>
          <w:color w:val="231F20"/>
          <w:spacing w:val="-17"/>
          <w:w w:val="105"/>
        </w:rPr>
        <w:t> </w:t>
      </w:r>
      <w:r>
        <w:rPr>
          <w:color w:val="231F20"/>
          <w:w w:val="105"/>
        </w:rPr>
        <w:t>Esta</w:t>
      </w:r>
      <w:r>
        <w:rPr>
          <w:color w:val="231F20"/>
          <w:spacing w:val="-17"/>
          <w:w w:val="105"/>
        </w:rPr>
        <w:t> </w:t>
      </w:r>
      <w:r>
        <w:rPr>
          <w:color w:val="231F20"/>
          <w:w w:val="105"/>
        </w:rPr>
        <w:t>condición</w:t>
      </w:r>
      <w:r>
        <w:rPr>
          <w:color w:val="231F20"/>
          <w:spacing w:val="-17"/>
          <w:w w:val="105"/>
        </w:rPr>
        <w:t> </w:t>
      </w:r>
      <w:r>
        <w:rPr>
          <w:color w:val="231F20"/>
          <w:w w:val="105"/>
        </w:rPr>
        <w:t>desequilibra</w:t>
      </w:r>
      <w:r>
        <w:rPr>
          <w:color w:val="231F20"/>
          <w:spacing w:val="-17"/>
          <w:w w:val="105"/>
        </w:rPr>
        <w:t> </w:t>
      </w:r>
      <w:r>
        <w:rPr>
          <w:color w:val="231F20"/>
          <w:w w:val="105"/>
        </w:rPr>
        <w:t>la</w:t>
      </w:r>
      <w:r>
        <w:rPr>
          <w:color w:val="231F20"/>
          <w:spacing w:val="-17"/>
          <w:w w:val="105"/>
        </w:rPr>
        <w:t> </w:t>
      </w:r>
      <w:r>
        <w:rPr>
          <w:color w:val="231F20"/>
          <w:w w:val="105"/>
        </w:rPr>
        <w:t>relación entre</w:t>
      </w:r>
      <w:r>
        <w:rPr>
          <w:color w:val="231F20"/>
          <w:spacing w:val="-14"/>
          <w:w w:val="105"/>
        </w:rPr>
        <w:t> </w:t>
      </w:r>
      <w:r>
        <w:rPr>
          <w:color w:val="231F20"/>
          <w:w w:val="105"/>
        </w:rPr>
        <w:t>el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w w:val="105"/>
        </w:rPr>
        <w:t>político</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resto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burocracia</w:t>
      </w:r>
      <w:r>
        <w:rPr>
          <w:color w:val="231F20"/>
          <w:spacing w:val="-14"/>
          <w:w w:val="105"/>
        </w:rPr>
        <w:t> </w:t>
      </w:r>
      <w:r>
        <w:rPr>
          <w:color w:val="231F20"/>
          <w:w w:val="105"/>
        </w:rPr>
        <w:t>a</w:t>
      </w:r>
      <w:r>
        <w:rPr>
          <w:color w:val="231F20"/>
          <w:spacing w:val="-14"/>
          <w:w w:val="105"/>
        </w:rPr>
        <w:t> </w:t>
      </w:r>
      <w:r>
        <w:rPr>
          <w:color w:val="231F20"/>
          <w:w w:val="105"/>
        </w:rPr>
        <w:t>favor</w:t>
      </w:r>
      <w:r>
        <w:rPr>
          <w:color w:val="231F20"/>
          <w:spacing w:val="-14"/>
          <w:w w:val="105"/>
        </w:rPr>
        <w:t> </w:t>
      </w:r>
      <w:r>
        <w:rPr>
          <w:color w:val="231F20"/>
          <w:w w:val="105"/>
        </w:rPr>
        <w:t>del</w:t>
      </w:r>
      <w:r>
        <w:rPr>
          <w:color w:val="231F20"/>
          <w:spacing w:val="-14"/>
          <w:w w:val="105"/>
        </w:rPr>
        <w:t> </w:t>
      </w:r>
      <w:r>
        <w:rPr>
          <w:color w:val="231F20"/>
          <w:w w:val="105"/>
        </w:rPr>
        <w:t>primero.</w:t>
      </w:r>
    </w:p>
    <w:p>
      <w:pPr>
        <w:pStyle w:val="BodyText"/>
        <w:spacing w:before="1"/>
        <w:rPr>
          <w:sz w:val="26"/>
        </w:rPr>
      </w:pPr>
    </w:p>
    <w:p>
      <w:pPr>
        <w:pStyle w:val="BodyText"/>
        <w:spacing w:line="285" w:lineRule="auto"/>
        <w:ind w:left="110" w:right="108"/>
        <w:jc w:val="both"/>
      </w:pPr>
      <w:r>
        <w:rPr>
          <w:color w:val="231F20"/>
          <w:w w:val="105"/>
        </w:rPr>
        <w:t>La</w:t>
      </w:r>
      <w:r>
        <w:rPr>
          <w:color w:val="231F20"/>
          <w:spacing w:val="-7"/>
          <w:w w:val="105"/>
        </w:rPr>
        <w:t> </w:t>
      </w:r>
      <w:r>
        <w:rPr>
          <w:color w:val="231F20"/>
          <w:w w:val="105"/>
        </w:rPr>
        <w:t>presencia</w:t>
      </w:r>
      <w:r>
        <w:rPr>
          <w:color w:val="231F20"/>
          <w:spacing w:val="-7"/>
          <w:w w:val="105"/>
        </w:rPr>
        <w:t> </w:t>
      </w:r>
      <w:r>
        <w:rPr>
          <w:color w:val="231F20"/>
          <w:w w:val="105"/>
        </w:rPr>
        <w:t>del</w:t>
      </w:r>
      <w:r>
        <w:rPr>
          <w:color w:val="231F20"/>
          <w:spacing w:val="-7"/>
          <w:w w:val="105"/>
        </w:rPr>
        <w:t> </w:t>
      </w:r>
      <w:r>
        <w:rPr>
          <w:color w:val="231F20"/>
          <w:w w:val="105"/>
        </w:rPr>
        <w:t>partido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ámbito</w:t>
      </w:r>
      <w:r>
        <w:rPr>
          <w:color w:val="231F20"/>
          <w:spacing w:val="-7"/>
          <w:w w:val="105"/>
        </w:rPr>
        <w:t> </w:t>
      </w:r>
      <w:r>
        <w:rPr>
          <w:color w:val="231F20"/>
          <w:w w:val="105"/>
        </w:rPr>
        <w:t>municipal</w:t>
      </w:r>
      <w:r>
        <w:rPr>
          <w:color w:val="231F20"/>
          <w:spacing w:val="-7"/>
          <w:w w:val="105"/>
        </w:rPr>
        <w:t> </w:t>
      </w:r>
      <w:r>
        <w:rPr>
          <w:color w:val="231F20"/>
          <w:w w:val="105"/>
        </w:rPr>
        <w:t>es</w:t>
      </w:r>
      <w:r>
        <w:rPr>
          <w:color w:val="231F20"/>
          <w:spacing w:val="-7"/>
          <w:w w:val="105"/>
        </w:rPr>
        <w:t> </w:t>
      </w:r>
      <w:r>
        <w:rPr>
          <w:color w:val="231F20"/>
          <w:w w:val="105"/>
        </w:rPr>
        <w:t>débil,</w:t>
      </w:r>
      <w:r>
        <w:rPr>
          <w:color w:val="231F20"/>
          <w:spacing w:val="-7"/>
          <w:w w:val="105"/>
        </w:rPr>
        <w:t> </w:t>
      </w:r>
      <w:r>
        <w:rPr>
          <w:color w:val="231F20"/>
          <w:w w:val="105"/>
        </w:rPr>
        <w:t>está</w:t>
      </w:r>
      <w:r>
        <w:rPr>
          <w:color w:val="231F20"/>
          <w:spacing w:val="-7"/>
          <w:w w:val="105"/>
        </w:rPr>
        <w:t> </w:t>
      </w:r>
      <w:r>
        <w:rPr>
          <w:color w:val="231F20"/>
          <w:w w:val="105"/>
        </w:rPr>
        <w:t>cobijada</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spacing w:val="-3"/>
          <w:w w:val="105"/>
        </w:rPr>
        <w:t>gobierno. </w:t>
      </w:r>
      <w:r>
        <w:rPr>
          <w:color w:val="231F20"/>
          <w:w w:val="105"/>
        </w:rPr>
        <w:t>Si</w:t>
      </w:r>
      <w:r>
        <w:rPr>
          <w:color w:val="231F20"/>
          <w:spacing w:val="-6"/>
          <w:w w:val="105"/>
        </w:rPr>
        <w:t> </w:t>
      </w:r>
      <w:r>
        <w:rPr>
          <w:color w:val="231F20"/>
          <w:w w:val="105"/>
        </w:rPr>
        <w:t>a</w:t>
      </w:r>
      <w:r>
        <w:rPr>
          <w:color w:val="231F20"/>
          <w:spacing w:val="-6"/>
          <w:w w:val="105"/>
        </w:rPr>
        <w:t> </w:t>
      </w:r>
      <w:r>
        <w:rPr>
          <w:color w:val="231F20"/>
          <w:w w:val="105"/>
        </w:rPr>
        <w:t>esto</w:t>
      </w:r>
      <w:r>
        <w:rPr>
          <w:color w:val="231F20"/>
          <w:spacing w:val="-6"/>
          <w:w w:val="105"/>
        </w:rPr>
        <w:t> </w:t>
      </w:r>
      <w:r>
        <w:rPr>
          <w:color w:val="231F20"/>
          <w:w w:val="105"/>
        </w:rPr>
        <w:t>agregamos</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presidente</w:t>
      </w:r>
      <w:r>
        <w:rPr>
          <w:color w:val="231F20"/>
          <w:spacing w:val="-6"/>
          <w:w w:val="105"/>
        </w:rPr>
        <w:t> </w:t>
      </w:r>
      <w:r>
        <w:rPr>
          <w:color w:val="231F20"/>
          <w:w w:val="105"/>
        </w:rPr>
        <w:t>desarrolla</w:t>
      </w:r>
      <w:r>
        <w:rPr>
          <w:color w:val="231F20"/>
          <w:spacing w:val="-6"/>
          <w:w w:val="105"/>
        </w:rPr>
        <w:t> </w:t>
      </w:r>
      <w:r>
        <w:rPr>
          <w:color w:val="231F20"/>
          <w:w w:val="105"/>
        </w:rPr>
        <w:t>una</w:t>
      </w:r>
      <w:r>
        <w:rPr>
          <w:color w:val="231F20"/>
          <w:spacing w:val="-6"/>
          <w:w w:val="105"/>
        </w:rPr>
        <w:t> </w:t>
      </w:r>
      <w:r>
        <w:rPr>
          <w:color w:val="231F20"/>
          <w:w w:val="105"/>
        </w:rPr>
        <w:t>habilidad</w:t>
      </w:r>
      <w:r>
        <w:rPr>
          <w:color w:val="231F20"/>
          <w:spacing w:val="-6"/>
          <w:w w:val="10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w w:val="105"/>
        </w:rPr>
        <w:t>negociación</w:t>
      </w:r>
      <w:r>
        <w:rPr>
          <w:color w:val="231F20"/>
          <w:spacing w:val="-6"/>
          <w:w w:val="105"/>
        </w:rPr>
        <w:t> </w:t>
      </w:r>
      <w:r>
        <w:rPr>
          <w:color w:val="231F20"/>
          <w:w w:val="105"/>
        </w:rPr>
        <w:t>con los</w:t>
      </w:r>
      <w:r>
        <w:rPr>
          <w:color w:val="231F20"/>
          <w:spacing w:val="-9"/>
          <w:w w:val="105"/>
        </w:rPr>
        <w:t> </w:t>
      </w:r>
      <w:r>
        <w:rPr>
          <w:color w:val="231F20"/>
          <w:w w:val="105"/>
        </w:rPr>
        <w:t>líderes</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partido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plano</w:t>
      </w:r>
      <w:r>
        <w:rPr>
          <w:color w:val="231F20"/>
          <w:spacing w:val="-9"/>
          <w:w w:val="105"/>
        </w:rPr>
        <w:t> </w:t>
      </w:r>
      <w:r>
        <w:rPr>
          <w:color w:val="231F20"/>
          <w:w w:val="105"/>
        </w:rPr>
        <w:t>estatal,</w:t>
      </w:r>
      <w:r>
        <w:rPr>
          <w:color w:val="231F20"/>
          <w:spacing w:val="-9"/>
          <w:w w:val="105"/>
        </w:rPr>
        <w:t> </w:t>
      </w:r>
      <w:r>
        <w:rPr>
          <w:color w:val="231F20"/>
          <w:w w:val="105"/>
        </w:rPr>
        <w:t>más</w:t>
      </w:r>
      <w:r>
        <w:rPr>
          <w:color w:val="231F20"/>
          <w:spacing w:val="-9"/>
          <w:w w:val="105"/>
        </w:rPr>
        <w:t> </w:t>
      </w:r>
      <w:r>
        <w:rPr>
          <w:color w:val="231F20"/>
          <w:w w:val="105"/>
        </w:rPr>
        <w:t>poder</w:t>
      </w:r>
      <w:r>
        <w:rPr>
          <w:color w:val="231F20"/>
          <w:spacing w:val="-9"/>
          <w:w w:val="105"/>
        </w:rPr>
        <w:t> </w:t>
      </w:r>
      <w:r>
        <w:rPr>
          <w:color w:val="231F20"/>
          <w:w w:val="105"/>
        </w:rPr>
        <w:t>le</w:t>
      </w:r>
      <w:r>
        <w:rPr>
          <w:color w:val="231F20"/>
          <w:spacing w:val="-9"/>
          <w:w w:val="105"/>
        </w:rPr>
        <w:t> </w:t>
      </w:r>
      <w:r>
        <w:rPr>
          <w:color w:val="231F20"/>
          <w:w w:val="105"/>
        </w:rPr>
        <w:t>otorga</w:t>
      </w:r>
      <w:r>
        <w:rPr>
          <w:color w:val="231F20"/>
          <w:spacing w:val="-9"/>
          <w:w w:val="105"/>
        </w:rPr>
        <w:t> </w:t>
      </w:r>
      <w:r>
        <w:rPr>
          <w:color w:val="231F20"/>
          <w:spacing w:val="2"/>
          <w:w w:val="105"/>
        </w:rPr>
        <w:t>al</w:t>
      </w:r>
      <w:r>
        <w:rPr>
          <w:color w:val="231F20"/>
          <w:spacing w:val="-9"/>
          <w:w w:val="105"/>
        </w:rPr>
        <w:t> </w:t>
      </w:r>
      <w:r>
        <w:rPr>
          <w:color w:val="231F20"/>
          <w:w w:val="105"/>
        </w:rPr>
        <w:t>presidente</w:t>
      </w:r>
      <w:r>
        <w:rPr>
          <w:color w:val="231F20"/>
          <w:spacing w:val="-9"/>
          <w:w w:val="105"/>
        </w:rPr>
        <w:t> </w:t>
      </w:r>
      <w:r>
        <w:rPr>
          <w:color w:val="231F20"/>
          <w:w w:val="105"/>
        </w:rPr>
        <w:t>para</w:t>
      </w:r>
      <w:r>
        <w:rPr>
          <w:color w:val="231F20"/>
          <w:spacing w:val="-9"/>
          <w:w w:val="105"/>
        </w:rPr>
        <w:t> </w:t>
      </w:r>
      <w:r>
        <w:rPr>
          <w:color w:val="231F20"/>
          <w:w w:val="105"/>
        </w:rPr>
        <w:t>estar por encima de su partido en el municipio. En nuestro caso de estudio, identificamos una organización política que tiene una estructura a disposición del presidente, lo que ha</w:t>
      </w:r>
      <w:r>
        <w:rPr>
          <w:color w:val="231F20"/>
          <w:spacing w:val="-17"/>
          <w:w w:val="105"/>
        </w:rPr>
        <w:t> </w:t>
      </w:r>
      <w:r>
        <w:rPr>
          <w:color w:val="231F20"/>
          <w:w w:val="105"/>
        </w:rPr>
        <w:t>llevado</w:t>
      </w:r>
      <w:r>
        <w:rPr>
          <w:color w:val="231F20"/>
          <w:spacing w:val="-17"/>
          <w:w w:val="105"/>
        </w:rPr>
        <w:t> </w:t>
      </w:r>
      <w:r>
        <w:rPr>
          <w:color w:val="231F20"/>
          <w:w w:val="105"/>
        </w:rPr>
        <w:t>a</w:t>
      </w:r>
      <w:r>
        <w:rPr>
          <w:color w:val="231F20"/>
          <w:spacing w:val="-17"/>
          <w:w w:val="105"/>
        </w:rPr>
        <w:t> </w:t>
      </w:r>
      <w:r>
        <w:rPr>
          <w:color w:val="231F20"/>
          <w:w w:val="105"/>
        </w:rPr>
        <w:t>éste</w:t>
      </w:r>
      <w:r>
        <w:rPr>
          <w:color w:val="231F20"/>
          <w:spacing w:val="-17"/>
          <w:w w:val="105"/>
        </w:rPr>
        <w:t> </w:t>
      </w:r>
      <w:r>
        <w:rPr>
          <w:color w:val="231F20"/>
          <w:w w:val="105"/>
        </w:rPr>
        <w:t>a</w:t>
      </w:r>
      <w:r>
        <w:rPr>
          <w:color w:val="231F20"/>
          <w:spacing w:val="-17"/>
          <w:w w:val="105"/>
        </w:rPr>
        <w:t> </w:t>
      </w:r>
      <w:r>
        <w:rPr>
          <w:color w:val="231F20"/>
          <w:w w:val="105"/>
        </w:rPr>
        <w:t>tener</w:t>
      </w:r>
      <w:r>
        <w:rPr>
          <w:color w:val="231F20"/>
          <w:spacing w:val="-17"/>
          <w:w w:val="105"/>
        </w:rPr>
        <w:t> </w:t>
      </w:r>
      <w:r>
        <w:rPr>
          <w:color w:val="231F20"/>
          <w:w w:val="105"/>
        </w:rPr>
        <w:t>el</w:t>
      </w:r>
      <w:r>
        <w:rPr>
          <w:color w:val="231F20"/>
          <w:spacing w:val="-17"/>
          <w:w w:val="105"/>
        </w:rPr>
        <w:t> </w:t>
      </w:r>
      <w:r>
        <w:rPr>
          <w:color w:val="231F20"/>
          <w:w w:val="105"/>
        </w:rPr>
        <w:t>control</w:t>
      </w:r>
      <w:r>
        <w:rPr>
          <w:color w:val="231F20"/>
          <w:spacing w:val="-17"/>
          <w:w w:val="105"/>
        </w:rPr>
        <w:t> </w:t>
      </w:r>
      <w:r>
        <w:rPr>
          <w:color w:val="231F20"/>
          <w:w w:val="105"/>
        </w:rPr>
        <w:t>y</w:t>
      </w:r>
      <w:r>
        <w:rPr>
          <w:color w:val="231F20"/>
          <w:spacing w:val="-17"/>
          <w:w w:val="105"/>
        </w:rPr>
        <w:t> </w:t>
      </w:r>
      <w:r>
        <w:rPr>
          <w:color w:val="231F20"/>
          <w:w w:val="105"/>
        </w:rPr>
        <w:t>a</w:t>
      </w:r>
      <w:r>
        <w:rPr>
          <w:color w:val="231F20"/>
          <w:spacing w:val="-17"/>
          <w:w w:val="105"/>
        </w:rPr>
        <w:t> </w:t>
      </w:r>
      <w:r>
        <w:rPr>
          <w:color w:val="231F20"/>
          <w:w w:val="105"/>
        </w:rPr>
        <w:t>no</w:t>
      </w:r>
      <w:r>
        <w:rPr>
          <w:color w:val="231F20"/>
          <w:spacing w:val="-17"/>
          <w:w w:val="105"/>
        </w:rPr>
        <w:t> </w:t>
      </w:r>
      <w:r>
        <w:rPr>
          <w:color w:val="231F20"/>
          <w:w w:val="105"/>
        </w:rPr>
        <w:t>perder</w:t>
      </w:r>
      <w:r>
        <w:rPr>
          <w:color w:val="231F20"/>
          <w:spacing w:val="-17"/>
          <w:w w:val="105"/>
        </w:rPr>
        <w:t> </w:t>
      </w:r>
      <w:r>
        <w:rPr>
          <w:color w:val="231F20"/>
          <w:w w:val="105"/>
        </w:rPr>
        <w:t>la</w:t>
      </w:r>
      <w:r>
        <w:rPr>
          <w:color w:val="231F20"/>
          <w:spacing w:val="-17"/>
          <w:w w:val="105"/>
        </w:rPr>
        <w:t> </w:t>
      </w:r>
      <w:r>
        <w:rPr>
          <w:color w:val="231F20"/>
          <w:w w:val="105"/>
        </w:rPr>
        <w:t>cercanía</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en</w:t>
      </w:r>
      <w:r>
        <w:rPr>
          <w:color w:val="231F20"/>
          <w:spacing w:val="-17"/>
          <w:w w:val="105"/>
        </w:rPr>
        <w:t> </w:t>
      </w:r>
      <w:r>
        <w:rPr>
          <w:color w:val="231F20"/>
          <w:w w:val="105"/>
        </w:rPr>
        <w:t>términos de</w:t>
      </w:r>
      <w:r>
        <w:rPr>
          <w:color w:val="231F20"/>
          <w:spacing w:val="-18"/>
          <w:w w:val="105"/>
        </w:rPr>
        <w:t> </w:t>
      </w:r>
      <w:r>
        <w:rPr>
          <w:color w:val="231F20"/>
          <w:w w:val="105"/>
        </w:rPr>
        <w:t>una</w:t>
      </w:r>
      <w:r>
        <w:rPr>
          <w:color w:val="231F20"/>
          <w:spacing w:val="-18"/>
          <w:w w:val="105"/>
        </w:rPr>
        <w:t> </w:t>
      </w:r>
      <w:r>
        <w:rPr>
          <w:color w:val="231F20"/>
          <w:w w:val="105"/>
        </w:rPr>
        <w:t>movilización</w:t>
      </w:r>
      <w:r>
        <w:rPr>
          <w:color w:val="231F20"/>
          <w:spacing w:val="-18"/>
          <w:w w:val="105"/>
        </w:rPr>
        <w:t> </w:t>
      </w:r>
      <w:r>
        <w:rPr>
          <w:color w:val="231F20"/>
          <w:w w:val="105"/>
        </w:rPr>
        <w:t>electoral.</w:t>
      </w:r>
    </w:p>
    <w:p>
      <w:pPr>
        <w:pStyle w:val="BodyText"/>
        <w:spacing w:before="1"/>
        <w:rPr>
          <w:sz w:val="26"/>
        </w:rPr>
      </w:pPr>
    </w:p>
    <w:p>
      <w:pPr>
        <w:pStyle w:val="BodyText"/>
        <w:spacing w:line="285" w:lineRule="auto" w:before="1"/>
        <w:ind w:left="110" w:right="104"/>
        <w:jc w:val="both"/>
      </w:pPr>
      <w:r>
        <w:rPr>
          <w:color w:val="231F20"/>
          <w:w w:val="105"/>
        </w:rPr>
        <w:t>En el diseño institucional no se identificó la huella del partido, más bien el diseño es resultado de un isomorfismo institucional, que en nuestro objeto de estudio, fue respetado y, por cierto, esto le ha convenido para poder atraer mayores recursos para inversión en obras.</w:t>
      </w:r>
    </w:p>
    <w:p>
      <w:pPr>
        <w:spacing w:after="0" w:line="285" w:lineRule="auto"/>
        <w:jc w:val="both"/>
        <w:sectPr>
          <w:pgSz w:w="9640" w:h="12190"/>
          <w:pgMar w:header="0" w:footer="743" w:top="1120" w:bottom="940" w:left="740" w:right="740"/>
        </w:sectPr>
      </w:pPr>
    </w:p>
    <w:p>
      <w:pPr>
        <w:pStyle w:val="BodyText"/>
        <w:spacing w:before="3"/>
        <w:rPr>
          <w:sz w:val="9"/>
        </w:rPr>
      </w:pPr>
    </w:p>
    <w:p>
      <w:pPr>
        <w:pStyle w:val="Heading3"/>
        <w:spacing w:before="21"/>
        <w:ind w:right="96"/>
        <w:jc w:val="left"/>
      </w:pPr>
      <w:r>
        <w:rPr>
          <w:color w:val="231F20"/>
          <w:w w:val="105"/>
        </w:rPr>
        <w:t>Fuentes de consulta</w:t>
      </w:r>
    </w:p>
    <w:p>
      <w:pPr>
        <w:spacing w:before="75"/>
        <w:ind w:left="110" w:right="96" w:firstLine="0"/>
        <w:jc w:val="left"/>
        <w:rPr>
          <w:sz w:val="18"/>
        </w:rPr>
      </w:pPr>
      <w:r>
        <w:rPr>
          <w:color w:val="231F20"/>
          <w:sz w:val="18"/>
        </w:rPr>
        <w:t>BORJAS BENAVENTE, Adriana (2003), Partido de la Revolución  Democrática.</w:t>
      </w:r>
    </w:p>
    <w:p>
      <w:pPr>
        <w:spacing w:before="93"/>
        <w:ind w:left="393" w:right="96" w:firstLine="0"/>
        <w:jc w:val="left"/>
        <w:rPr>
          <w:sz w:val="18"/>
        </w:rPr>
      </w:pPr>
      <w:r>
        <w:rPr>
          <w:color w:val="231F20"/>
          <w:w w:val="105"/>
          <w:sz w:val="18"/>
        </w:rPr>
        <w:t>Estructura, organización interna y desempeño público: 1989-2003, Tomo I y II, Gernika, México.</w:t>
      </w:r>
    </w:p>
    <w:p>
      <w:pPr>
        <w:spacing w:line="348" w:lineRule="auto" w:before="93"/>
        <w:ind w:left="393" w:right="96" w:hanging="284"/>
        <w:jc w:val="left"/>
        <w:rPr>
          <w:sz w:val="18"/>
        </w:rPr>
      </w:pPr>
      <w:r>
        <w:rPr>
          <w:color w:val="231F20"/>
          <w:w w:val="105"/>
          <w:sz w:val="18"/>
        </w:rPr>
        <w:t>CABRERO</w:t>
      </w:r>
      <w:r>
        <w:rPr>
          <w:color w:val="231F20"/>
          <w:spacing w:val="-20"/>
          <w:w w:val="105"/>
          <w:sz w:val="18"/>
        </w:rPr>
        <w:t> </w:t>
      </w:r>
      <w:r>
        <w:rPr>
          <w:color w:val="231F20"/>
          <w:spacing w:val="2"/>
          <w:w w:val="105"/>
          <w:sz w:val="18"/>
        </w:rPr>
        <w:t>MENDOZA,</w:t>
      </w:r>
      <w:r>
        <w:rPr>
          <w:color w:val="231F20"/>
          <w:spacing w:val="-20"/>
          <w:w w:val="105"/>
          <w:sz w:val="18"/>
        </w:rPr>
        <w:t> </w:t>
      </w:r>
      <w:r>
        <w:rPr>
          <w:color w:val="231F20"/>
          <w:w w:val="105"/>
          <w:sz w:val="18"/>
        </w:rPr>
        <w:t>Enrique</w:t>
      </w:r>
      <w:r>
        <w:rPr>
          <w:color w:val="231F20"/>
          <w:spacing w:val="-20"/>
          <w:w w:val="105"/>
          <w:sz w:val="18"/>
        </w:rPr>
        <w:t> </w:t>
      </w:r>
      <w:r>
        <w:rPr>
          <w:color w:val="231F20"/>
          <w:w w:val="105"/>
          <w:sz w:val="18"/>
        </w:rPr>
        <w:t>(coord.).</w:t>
      </w:r>
      <w:r>
        <w:rPr>
          <w:color w:val="231F20"/>
          <w:spacing w:val="-20"/>
          <w:w w:val="105"/>
          <w:sz w:val="18"/>
        </w:rPr>
        <w:t> </w:t>
      </w:r>
      <w:r>
        <w:rPr>
          <w:color w:val="231F20"/>
          <w:w w:val="105"/>
          <w:sz w:val="18"/>
        </w:rPr>
        <w:t>(1996a).</w:t>
      </w:r>
      <w:r>
        <w:rPr>
          <w:color w:val="231F20"/>
          <w:spacing w:val="-20"/>
          <w:w w:val="105"/>
          <w:sz w:val="18"/>
        </w:rPr>
        <w:t> </w:t>
      </w:r>
      <w:r>
        <w:rPr>
          <w:color w:val="231F20"/>
          <w:w w:val="105"/>
          <w:sz w:val="18"/>
        </w:rPr>
        <w:t>Los</w:t>
      </w:r>
      <w:r>
        <w:rPr>
          <w:color w:val="231F20"/>
          <w:spacing w:val="-20"/>
          <w:w w:val="105"/>
          <w:sz w:val="18"/>
        </w:rPr>
        <w:t> </w:t>
      </w:r>
      <w:r>
        <w:rPr>
          <w:color w:val="231F20"/>
          <w:w w:val="105"/>
          <w:sz w:val="18"/>
        </w:rPr>
        <w:t>dilemas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modernización</w:t>
      </w:r>
      <w:r>
        <w:rPr>
          <w:color w:val="231F20"/>
          <w:spacing w:val="-20"/>
          <w:w w:val="105"/>
          <w:sz w:val="18"/>
        </w:rPr>
        <w:t> </w:t>
      </w:r>
      <w:r>
        <w:rPr>
          <w:color w:val="231F20"/>
          <w:w w:val="105"/>
          <w:sz w:val="18"/>
        </w:rPr>
        <w:t>municipal: estudios sobre la gestión hacendaria en municipios urbanos de</w:t>
      </w:r>
      <w:r>
        <w:rPr>
          <w:color w:val="231F20"/>
          <w:spacing w:val="-23"/>
          <w:w w:val="105"/>
          <w:sz w:val="18"/>
        </w:rPr>
        <w:t> </w:t>
      </w:r>
      <w:r>
        <w:rPr>
          <w:color w:val="231F20"/>
          <w:w w:val="105"/>
          <w:sz w:val="18"/>
        </w:rPr>
        <w:t>México.</w:t>
      </w:r>
    </w:p>
    <w:p>
      <w:pPr>
        <w:spacing w:before="3"/>
        <w:ind w:left="393" w:right="96" w:firstLine="0"/>
        <w:jc w:val="left"/>
        <w:rPr>
          <w:sz w:val="18"/>
        </w:rPr>
      </w:pPr>
      <w:r>
        <w:rPr>
          <w:color w:val="231F20"/>
          <w:sz w:val="18"/>
        </w:rPr>
        <w:t>Coedición de Miguel Ángel Porrúa y CIDE. México, 630   pp.</w:t>
      </w:r>
    </w:p>
    <w:p>
      <w:pPr>
        <w:spacing w:line="348" w:lineRule="auto" w:before="93"/>
        <w:ind w:left="393" w:right="96" w:hanging="284"/>
        <w:jc w:val="left"/>
        <w:rPr>
          <w:sz w:val="18"/>
        </w:rPr>
      </w:pPr>
      <w:r>
        <w:rPr>
          <w:color w:val="231F20"/>
          <w:spacing w:val="7"/>
          <w:w w:val="105"/>
          <w:sz w:val="18"/>
        </w:rPr>
        <w:t>___________. </w:t>
      </w:r>
      <w:r>
        <w:rPr>
          <w:color w:val="231F20"/>
          <w:w w:val="105"/>
          <w:sz w:val="18"/>
        </w:rPr>
        <w:t>(1996b) La nueva gestión municipal en México. </w:t>
      </w:r>
      <w:r>
        <w:rPr>
          <w:color w:val="231F20"/>
          <w:spacing w:val="2"/>
          <w:w w:val="105"/>
          <w:sz w:val="18"/>
        </w:rPr>
        <w:t>Análisis </w:t>
      </w:r>
      <w:r>
        <w:rPr>
          <w:color w:val="231F20"/>
          <w:w w:val="105"/>
          <w:sz w:val="18"/>
        </w:rPr>
        <w:t>de experiencias innovadoras en gobierno locales. (Con la colaboración de Rodolfo García del </w:t>
      </w:r>
      <w:r>
        <w:rPr>
          <w:color w:val="231F20"/>
          <w:spacing w:val="2"/>
          <w:w w:val="105"/>
          <w:sz w:val="18"/>
        </w:rPr>
        <w:t>Castillo </w:t>
      </w:r>
      <w:r>
        <w:rPr>
          <w:color w:val="231F20"/>
          <w:w w:val="105"/>
          <w:sz w:val="18"/>
        </w:rPr>
        <w:t>y </w:t>
      </w:r>
      <w:r>
        <w:rPr>
          <w:color w:val="231F20"/>
          <w:spacing w:val="3"/>
          <w:w w:val="105"/>
          <w:sz w:val="18"/>
        </w:rPr>
        <w:t>Martha </w:t>
      </w:r>
      <w:r>
        <w:rPr>
          <w:color w:val="231F20"/>
          <w:w w:val="105"/>
          <w:sz w:val="18"/>
        </w:rPr>
        <w:t>Gutiérrez Mendoza)</w:t>
      </w:r>
      <w:r>
        <w:rPr>
          <w:color w:val="231F20"/>
          <w:spacing w:val="-17"/>
          <w:w w:val="105"/>
          <w:sz w:val="18"/>
        </w:rPr>
        <w:t> </w:t>
      </w:r>
      <w:r>
        <w:rPr>
          <w:color w:val="231F20"/>
          <w:w w:val="105"/>
          <w:sz w:val="18"/>
        </w:rPr>
        <w:t>Colección</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ciencias</w:t>
      </w:r>
      <w:r>
        <w:rPr>
          <w:color w:val="231F20"/>
          <w:spacing w:val="-17"/>
          <w:w w:val="105"/>
          <w:sz w:val="18"/>
        </w:rPr>
        <w:t> </w:t>
      </w:r>
      <w:r>
        <w:rPr>
          <w:color w:val="231F20"/>
          <w:w w:val="105"/>
          <w:sz w:val="18"/>
        </w:rPr>
        <w:t>Sociales.</w:t>
      </w:r>
      <w:r>
        <w:rPr>
          <w:color w:val="231F20"/>
          <w:spacing w:val="-17"/>
          <w:w w:val="105"/>
          <w:sz w:val="18"/>
        </w:rPr>
        <w:t> </w:t>
      </w:r>
      <w:r>
        <w:rPr>
          <w:color w:val="231F20"/>
          <w:w w:val="105"/>
          <w:sz w:val="18"/>
        </w:rPr>
        <w:t>Coedición</w:t>
      </w:r>
      <w:r>
        <w:rPr>
          <w:color w:val="231F20"/>
          <w:spacing w:val="-17"/>
          <w:w w:val="105"/>
          <w:sz w:val="18"/>
        </w:rPr>
        <w:t> </w:t>
      </w:r>
      <w:r>
        <w:rPr>
          <w:color w:val="231F20"/>
          <w:w w:val="105"/>
          <w:sz w:val="18"/>
        </w:rPr>
        <w:t>Miguel</w:t>
      </w:r>
      <w:r>
        <w:rPr>
          <w:color w:val="231F20"/>
          <w:spacing w:val="-17"/>
          <w:w w:val="105"/>
          <w:sz w:val="18"/>
        </w:rPr>
        <w:t> </w:t>
      </w:r>
      <w:r>
        <w:rPr>
          <w:color w:val="231F20"/>
          <w:w w:val="105"/>
          <w:sz w:val="18"/>
        </w:rPr>
        <w:t>Ángel</w:t>
      </w:r>
      <w:r>
        <w:rPr>
          <w:color w:val="231F20"/>
          <w:spacing w:val="-17"/>
          <w:w w:val="105"/>
          <w:sz w:val="18"/>
        </w:rPr>
        <w:t> </w:t>
      </w:r>
      <w:r>
        <w:rPr>
          <w:color w:val="231F20"/>
          <w:w w:val="105"/>
          <w:sz w:val="18"/>
        </w:rPr>
        <w:t>Porrúa</w:t>
      </w:r>
      <w:r>
        <w:rPr>
          <w:color w:val="231F20"/>
          <w:spacing w:val="-17"/>
          <w:w w:val="105"/>
          <w:sz w:val="18"/>
        </w:rPr>
        <w:t> </w:t>
      </w:r>
      <w:r>
        <w:rPr>
          <w:color w:val="231F20"/>
          <w:w w:val="105"/>
          <w:sz w:val="18"/>
        </w:rPr>
        <w:t>y</w:t>
      </w:r>
      <w:r>
        <w:rPr>
          <w:color w:val="231F20"/>
          <w:spacing w:val="-17"/>
          <w:w w:val="105"/>
          <w:sz w:val="18"/>
        </w:rPr>
        <w:t> </w:t>
      </w:r>
      <w:r>
        <w:rPr>
          <w:color w:val="231F20"/>
          <w:w w:val="105"/>
          <w:sz w:val="18"/>
        </w:rPr>
        <w:t>CIDE.</w:t>
      </w:r>
      <w:r>
        <w:rPr>
          <w:color w:val="231F20"/>
          <w:spacing w:val="-17"/>
          <w:w w:val="105"/>
          <w:sz w:val="18"/>
        </w:rPr>
        <w:t> </w:t>
      </w:r>
      <w:r>
        <w:rPr>
          <w:color w:val="231F20"/>
          <w:w w:val="105"/>
          <w:sz w:val="18"/>
        </w:rPr>
        <w:t>México.</w:t>
      </w:r>
      <w:r>
        <w:rPr>
          <w:color w:val="231F20"/>
          <w:spacing w:val="-17"/>
          <w:w w:val="105"/>
          <w:sz w:val="18"/>
        </w:rPr>
        <w:t> </w:t>
      </w:r>
      <w:r>
        <w:rPr>
          <w:color w:val="231F20"/>
          <w:w w:val="105"/>
          <w:sz w:val="18"/>
        </w:rPr>
        <w:t>381</w:t>
      </w:r>
      <w:r>
        <w:rPr>
          <w:color w:val="231F20"/>
          <w:spacing w:val="-17"/>
          <w:w w:val="105"/>
          <w:sz w:val="18"/>
        </w:rPr>
        <w:t> </w:t>
      </w:r>
      <w:r>
        <w:rPr>
          <w:color w:val="231F20"/>
          <w:w w:val="105"/>
          <w:sz w:val="18"/>
        </w:rPr>
        <w:t>pp.</w:t>
      </w:r>
    </w:p>
    <w:p>
      <w:pPr>
        <w:spacing w:line="348" w:lineRule="auto" w:before="3"/>
        <w:ind w:left="393" w:right="96" w:hanging="284"/>
        <w:jc w:val="left"/>
        <w:rPr>
          <w:sz w:val="18"/>
        </w:rPr>
      </w:pPr>
      <w:r>
        <w:rPr>
          <w:color w:val="231F20"/>
          <w:w w:val="105"/>
          <w:sz w:val="18"/>
        </w:rPr>
        <w:t>_____________ (2002), Innovaciones en gobiernos locales: un panorama de experiencias municipales en México, CIDE-Fundación Ford-CNDM-INAFED</w:t>
      </w:r>
    </w:p>
    <w:p>
      <w:pPr>
        <w:spacing w:line="348" w:lineRule="auto" w:before="3"/>
        <w:ind w:left="436" w:right="3415" w:hanging="326"/>
        <w:jc w:val="left"/>
        <w:rPr>
          <w:sz w:val="18"/>
        </w:rPr>
      </w:pPr>
      <w:r>
        <w:rPr>
          <w:color w:val="231F20"/>
          <w:sz w:val="18"/>
        </w:rPr>
        <w:t>_____________ 2005, Acción pública y desarrollo local, FCE, México</w:t>
      </w:r>
    </w:p>
    <w:p>
      <w:pPr>
        <w:spacing w:line="348" w:lineRule="auto" w:before="3"/>
        <w:ind w:left="393" w:right="298" w:hanging="284"/>
        <w:jc w:val="left"/>
        <w:rPr>
          <w:sz w:val="18"/>
        </w:rPr>
      </w:pPr>
      <w:r>
        <w:rPr>
          <w:color w:val="231F20"/>
          <w:w w:val="105"/>
          <w:sz w:val="18"/>
        </w:rPr>
        <w:t>CANSINO, César (coord.) (2001), Gobiernos y partidos en América Latina. Un estudio comparado, Centro De Estudios de Política Comparada, A.C., México.</w:t>
      </w:r>
    </w:p>
    <w:p>
      <w:pPr>
        <w:spacing w:line="348" w:lineRule="auto" w:before="3"/>
        <w:ind w:left="393" w:right="149" w:hanging="284"/>
        <w:jc w:val="left"/>
        <w:rPr>
          <w:sz w:val="18"/>
        </w:rPr>
      </w:pPr>
      <w:r>
        <w:rPr>
          <w:color w:val="231F20"/>
          <w:sz w:val="18"/>
        </w:rPr>
        <w:t>DELGADO PEÑA, José Alfredo. (1995). “La gestión municipal en una capital estatal: el caso de Toluca (1991-1993) en Alicia Ziccardi (coord) (1995). La tarea de gobernar: gobiernos locales y demandas ciudadanas. Coedición IIS-UNAM y Miguel Ángel Porrúa.    México.</w:t>
      </w:r>
    </w:p>
    <w:p>
      <w:pPr>
        <w:spacing w:before="3"/>
        <w:ind w:left="110" w:right="0" w:firstLine="0"/>
        <w:jc w:val="left"/>
        <w:rPr>
          <w:sz w:val="18"/>
        </w:rPr>
      </w:pPr>
      <w:r>
        <w:rPr>
          <w:color w:val="231F20"/>
          <w:w w:val="105"/>
          <w:sz w:val="18"/>
        </w:rPr>
        <w:t>DROR, Yehezkel. (1996). La capacidad de gobernar. Informe al Club de Roma. (Tr. Carmen Aguilar).</w:t>
      </w:r>
    </w:p>
    <w:p>
      <w:pPr>
        <w:spacing w:before="93"/>
        <w:ind w:left="393" w:right="96" w:firstLine="0"/>
        <w:jc w:val="left"/>
        <w:rPr>
          <w:sz w:val="18"/>
        </w:rPr>
      </w:pPr>
      <w:r>
        <w:rPr>
          <w:color w:val="231F20"/>
          <w:w w:val="105"/>
          <w:sz w:val="18"/>
        </w:rPr>
        <w:t>Editado por FCE, México</w:t>
      </w:r>
    </w:p>
    <w:p>
      <w:pPr>
        <w:spacing w:line="348" w:lineRule="auto" w:before="93"/>
        <w:ind w:left="393" w:right="2221" w:hanging="284"/>
        <w:jc w:val="left"/>
        <w:rPr>
          <w:sz w:val="18"/>
        </w:rPr>
      </w:pPr>
      <w:r>
        <w:rPr>
          <w:color w:val="231F20"/>
          <w:sz w:val="18"/>
        </w:rPr>
        <w:t>FUENTES DÍAZ, Vicente (1979), Los partidos políticos en México, Altiplano, México.</w:t>
      </w:r>
    </w:p>
    <w:p>
      <w:pPr>
        <w:spacing w:before="3"/>
        <w:ind w:left="110" w:right="96" w:firstLine="0"/>
        <w:jc w:val="left"/>
        <w:rPr>
          <w:sz w:val="18"/>
        </w:rPr>
      </w:pPr>
      <w:r>
        <w:rPr>
          <w:color w:val="231F20"/>
          <w:sz w:val="18"/>
        </w:rPr>
        <w:t>GARRIDO, Luis Javier (1986), El partido de la Revolución   Institucionalizada.</w:t>
      </w:r>
    </w:p>
    <w:p>
      <w:pPr>
        <w:spacing w:line="348" w:lineRule="auto" w:before="93"/>
        <w:ind w:left="393" w:right="773" w:firstLine="0"/>
        <w:jc w:val="left"/>
        <w:rPr>
          <w:sz w:val="18"/>
        </w:rPr>
      </w:pPr>
      <w:r>
        <w:rPr>
          <w:color w:val="231F20"/>
          <w:sz w:val="18"/>
        </w:rPr>
        <w:t>Medio siglo en el poder político en México. La formación del nuevo Estado (1928-1945), Siglo XXI- SEP, México</w:t>
      </w:r>
    </w:p>
    <w:p>
      <w:pPr>
        <w:spacing w:line="348" w:lineRule="auto" w:before="3"/>
        <w:ind w:left="393" w:right="96" w:hanging="284"/>
        <w:jc w:val="left"/>
        <w:rPr>
          <w:sz w:val="18"/>
        </w:rPr>
      </w:pPr>
      <w:r>
        <w:rPr>
          <w:color w:val="231F20"/>
          <w:sz w:val="18"/>
        </w:rPr>
        <w:t>GARCÍA DEL CASTILLO, Rodolfo, (1999). Los municipios en México. Los retos ante el futuro. Colección Las ciencias sociales. Coedición Miguel Ángel Porrúa y CIDE. México, 295    pp.</w:t>
      </w:r>
    </w:p>
    <w:p>
      <w:pPr>
        <w:spacing w:line="348" w:lineRule="auto" w:before="3"/>
        <w:ind w:left="393" w:right="773" w:hanging="284"/>
        <w:jc w:val="left"/>
        <w:rPr>
          <w:sz w:val="18"/>
        </w:rPr>
      </w:pPr>
      <w:r>
        <w:rPr>
          <w:color w:val="231F20"/>
          <w:sz w:val="18"/>
        </w:rPr>
        <w:t>GARZA, Gustavo (1998), Gestión municipal en el área metropolitana en Monterrey (1989-1994), Miguel Ángel Porrúa, IISUNAM, México, cap.  8</w:t>
      </w:r>
    </w:p>
    <w:p>
      <w:pPr>
        <w:spacing w:line="348" w:lineRule="auto" w:before="3"/>
        <w:ind w:left="393" w:right="1246" w:hanging="284"/>
        <w:jc w:val="left"/>
        <w:rPr>
          <w:sz w:val="18"/>
        </w:rPr>
      </w:pPr>
      <w:r>
        <w:rPr>
          <w:color w:val="231F20"/>
          <w:sz w:val="18"/>
        </w:rPr>
        <w:t>GONZÁLEZ CASANOVA, Pablo (1986), El Estado y los partidos políticos en México, Era, México.</w:t>
      </w:r>
    </w:p>
    <w:p>
      <w:pPr>
        <w:spacing w:after="0" w:line="348" w:lineRule="auto"/>
        <w:jc w:val="left"/>
        <w:rPr>
          <w:sz w:val="18"/>
        </w:rPr>
        <w:sectPr>
          <w:footerReference w:type="default" r:id="rId832"/>
          <w:pgSz w:w="9640" w:h="12190"/>
          <w:pgMar w:footer="743" w:header="0" w:top="1120" w:bottom="940" w:left="740" w:right="920"/>
          <w:pgNumType w:start="380"/>
        </w:sectPr>
      </w:pPr>
    </w:p>
    <w:p>
      <w:pPr>
        <w:pStyle w:val="BodyText"/>
        <w:spacing w:before="6"/>
        <w:rPr>
          <w:sz w:val="13"/>
        </w:rPr>
      </w:pPr>
    </w:p>
    <w:p>
      <w:pPr>
        <w:spacing w:line="348" w:lineRule="auto" w:before="47"/>
        <w:ind w:left="393" w:right="1201" w:hanging="284"/>
        <w:jc w:val="left"/>
        <w:rPr>
          <w:sz w:val="18"/>
        </w:rPr>
      </w:pPr>
      <w:r>
        <w:rPr>
          <w:color w:val="231F20"/>
          <w:w w:val="105"/>
          <w:sz w:val="18"/>
        </w:rPr>
        <w:t>GUERRERO,</w:t>
      </w:r>
      <w:r>
        <w:rPr>
          <w:color w:val="231F20"/>
          <w:spacing w:val="-16"/>
          <w:w w:val="105"/>
          <w:sz w:val="18"/>
        </w:rPr>
        <w:t> </w:t>
      </w:r>
      <w:r>
        <w:rPr>
          <w:color w:val="231F20"/>
          <w:w w:val="105"/>
          <w:sz w:val="18"/>
        </w:rPr>
        <w:t>Juan</w:t>
      </w:r>
      <w:r>
        <w:rPr>
          <w:color w:val="231F20"/>
          <w:spacing w:val="-16"/>
          <w:w w:val="105"/>
          <w:sz w:val="18"/>
        </w:rPr>
        <w:t> </w:t>
      </w:r>
      <w:r>
        <w:rPr>
          <w:color w:val="231F20"/>
          <w:w w:val="105"/>
          <w:sz w:val="18"/>
        </w:rPr>
        <w:t>Manuel</w:t>
      </w:r>
      <w:r>
        <w:rPr>
          <w:color w:val="231F20"/>
          <w:spacing w:val="-16"/>
          <w:w w:val="105"/>
          <w:sz w:val="18"/>
        </w:rPr>
        <w:t> </w:t>
      </w:r>
      <w:r>
        <w:rPr>
          <w:color w:val="231F20"/>
          <w:w w:val="105"/>
          <w:sz w:val="18"/>
        </w:rPr>
        <w:t>(2008)</w:t>
      </w:r>
      <w:r>
        <w:rPr>
          <w:color w:val="231F20"/>
          <w:spacing w:val="-16"/>
          <w:w w:val="105"/>
          <w:sz w:val="18"/>
        </w:rPr>
        <w:t> </w:t>
      </w:r>
      <w:r>
        <w:rPr>
          <w:color w:val="231F20"/>
          <w:w w:val="105"/>
          <w:sz w:val="18"/>
        </w:rPr>
        <w:t>Entrevista</w:t>
      </w:r>
      <w:r>
        <w:rPr>
          <w:color w:val="231F20"/>
          <w:spacing w:val="-16"/>
          <w:w w:val="105"/>
          <w:sz w:val="18"/>
        </w:rPr>
        <w:t> </w:t>
      </w:r>
      <w:r>
        <w:rPr>
          <w:color w:val="231F20"/>
          <w:w w:val="105"/>
          <w:sz w:val="18"/>
        </w:rPr>
        <w:t>realizada</w:t>
      </w:r>
      <w:r>
        <w:rPr>
          <w:color w:val="231F20"/>
          <w:spacing w:val="-16"/>
          <w:w w:val="105"/>
          <w:sz w:val="18"/>
        </w:rPr>
        <w:t> </w:t>
      </w:r>
      <w:r>
        <w:rPr>
          <w:color w:val="231F20"/>
          <w:w w:val="105"/>
          <w:sz w:val="18"/>
        </w:rPr>
        <w:t>por</w:t>
      </w:r>
      <w:r>
        <w:rPr>
          <w:color w:val="231F20"/>
          <w:spacing w:val="-16"/>
          <w:w w:val="105"/>
          <w:sz w:val="18"/>
        </w:rPr>
        <w:t> </w:t>
      </w:r>
      <w:r>
        <w:rPr>
          <w:color w:val="231F20"/>
          <w:w w:val="105"/>
          <w:sz w:val="18"/>
        </w:rPr>
        <w:t>Miguel</w:t>
      </w:r>
      <w:r>
        <w:rPr>
          <w:color w:val="231F20"/>
          <w:spacing w:val="-16"/>
          <w:w w:val="105"/>
          <w:sz w:val="18"/>
        </w:rPr>
        <w:t> </w:t>
      </w:r>
      <w:r>
        <w:rPr>
          <w:color w:val="231F20"/>
          <w:w w:val="105"/>
          <w:sz w:val="18"/>
        </w:rPr>
        <w:t>Ángel</w:t>
      </w:r>
      <w:r>
        <w:rPr>
          <w:color w:val="231F20"/>
          <w:spacing w:val="-16"/>
          <w:w w:val="105"/>
          <w:sz w:val="18"/>
        </w:rPr>
        <w:t> </w:t>
      </w:r>
      <w:r>
        <w:rPr>
          <w:color w:val="231F20"/>
          <w:w w:val="105"/>
          <w:sz w:val="18"/>
        </w:rPr>
        <w:t>Sánchez</w:t>
      </w:r>
      <w:r>
        <w:rPr>
          <w:color w:val="231F20"/>
          <w:spacing w:val="-16"/>
          <w:w w:val="105"/>
          <w:sz w:val="18"/>
        </w:rPr>
        <w:t> </w:t>
      </w:r>
      <w:r>
        <w:rPr>
          <w:color w:val="231F20"/>
          <w:w w:val="105"/>
          <w:sz w:val="18"/>
        </w:rPr>
        <w:t>Ramos, el</w:t>
      </w:r>
      <w:r>
        <w:rPr>
          <w:color w:val="231F20"/>
          <w:spacing w:val="-9"/>
          <w:w w:val="105"/>
          <w:sz w:val="18"/>
        </w:rPr>
        <w:t> </w:t>
      </w:r>
      <w:r>
        <w:rPr>
          <w:color w:val="231F20"/>
          <w:w w:val="105"/>
          <w:sz w:val="18"/>
        </w:rPr>
        <w:t>5</w:t>
      </w:r>
      <w:r>
        <w:rPr>
          <w:color w:val="231F20"/>
          <w:spacing w:val="-9"/>
          <w:w w:val="105"/>
          <w:sz w:val="18"/>
        </w:rPr>
        <w:t> </w:t>
      </w:r>
      <w:r>
        <w:rPr>
          <w:color w:val="231F20"/>
          <w:w w:val="105"/>
          <w:sz w:val="18"/>
        </w:rPr>
        <w:t>de</w:t>
      </w:r>
      <w:r>
        <w:rPr>
          <w:color w:val="231F20"/>
          <w:spacing w:val="-9"/>
          <w:w w:val="105"/>
          <w:sz w:val="18"/>
        </w:rPr>
        <w:t> </w:t>
      </w:r>
      <w:r>
        <w:rPr>
          <w:color w:val="231F20"/>
          <w:w w:val="105"/>
          <w:sz w:val="18"/>
        </w:rPr>
        <w:t>noviembre</w:t>
      </w:r>
      <w:r>
        <w:rPr>
          <w:color w:val="231F20"/>
          <w:spacing w:val="-9"/>
          <w:w w:val="105"/>
          <w:sz w:val="18"/>
        </w:rPr>
        <w:t> </w:t>
      </w:r>
      <w:r>
        <w:rPr>
          <w:color w:val="231F20"/>
          <w:w w:val="105"/>
          <w:sz w:val="18"/>
        </w:rPr>
        <w:t>de</w:t>
      </w:r>
      <w:r>
        <w:rPr>
          <w:color w:val="231F20"/>
          <w:spacing w:val="-9"/>
          <w:w w:val="105"/>
          <w:sz w:val="18"/>
        </w:rPr>
        <w:t> </w:t>
      </w:r>
      <w:r>
        <w:rPr>
          <w:color w:val="231F20"/>
          <w:spacing w:val="3"/>
          <w:w w:val="105"/>
          <w:sz w:val="18"/>
        </w:rPr>
        <w:t>2008</w:t>
      </w:r>
      <w:r>
        <w:rPr>
          <w:color w:val="231F20"/>
          <w:spacing w:val="-9"/>
          <w:w w:val="105"/>
          <w:sz w:val="18"/>
        </w:rPr>
        <w:t> </w:t>
      </w:r>
      <w:r>
        <w:rPr>
          <w:color w:val="231F20"/>
          <w:w w:val="105"/>
          <w:sz w:val="18"/>
        </w:rPr>
        <w:t>en</w:t>
      </w:r>
      <w:r>
        <w:rPr>
          <w:color w:val="231F20"/>
          <w:spacing w:val="-9"/>
          <w:w w:val="105"/>
          <w:sz w:val="18"/>
        </w:rPr>
        <w:t> </w:t>
      </w:r>
      <w:r>
        <w:rPr>
          <w:color w:val="231F20"/>
          <w:w w:val="105"/>
          <w:sz w:val="18"/>
        </w:rPr>
        <w:t>la</w:t>
      </w:r>
      <w:r>
        <w:rPr>
          <w:color w:val="231F20"/>
          <w:spacing w:val="-9"/>
          <w:w w:val="105"/>
          <w:sz w:val="18"/>
        </w:rPr>
        <w:t> </w:t>
      </w:r>
      <w:r>
        <w:rPr>
          <w:color w:val="231F20"/>
          <w:w w:val="105"/>
          <w:sz w:val="18"/>
        </w:rPr>
        <w:t>presidencia</w:t>
      </w:r>
      <w:r>
        <w:rPr>
          <w:color w:val="231F20"/>
          <w:spacing w:val="-9"/>
          <w:w w:val="105"/>
          <w:sz w:val="18"/>
        </w:rPr>
        <w:t> </w:t>
      </w:r>
      <w:r>
        <w:rPr>
          <w:color w:val="231F20"/>
          <w:w w:val="105"/>
          <w:sz w:val="18"/>
        </w:rPr>
        <w:t>municipal.</w:t>
      </w:r>
    </w:p>
    <w:p>
      <w:pPr>
        <w:spacing w:line="348" w:lineRule="auto" w:before="3"/>
        <w:ind w:left="393" w:right="0" w:hanging="284"/>
        <w:jc w:val="left"/>
        <w:rPr>
          <w:sz w:val="18"/>
        </w:rPr>
      </w:pPr>
      <w:r>
        <w:rPr>
          <w:color w:val="231F20"/>
          <w:w w:val="105"/>
          <w:sz w:val="18"/>
        </w:rPr>
        <w:t>GUILLÉN,</w:t>
      </w:r>
      <w:r>
        <w:rPr>
          <w:color w:val="231F20"/>
          <w:spacing w:val="-11"/>
          <w:w w:val="105"/>
          <w:sz w:val="18"/>
        </w:rPr>
        <w:t> </w:t>
      </w:r>
      <w:r>
        <w:rPr>
          <w:color w:val="231F20"/>
          <w:w w:val="105"/>
          <w:sz w:val="18"/>
        </w:rPr>
        <w:t>Tonatiuh.</w:t>
      </w:r>
      <w:r>
        <w:rPr>
          <w:color w:val="231F20"/>
          <w:spacing w:val="-11"/>
          <w:w w:val="105"/>
          <w:sz w:val="18"/>
        </w:rPr>
        <w:t> </w:t>
      </w:r>
      <w:r>
        <w:rPr>
          <w:color w:val="231F20"/>
          <w:w w:val="105"/>
          <w:sz w:val="18"/>
        </w:rPr>
        <w:t>(1996).</w:t>
      </w:r>
      <w:r>
        <w:rPr>
          <w:color w:val="231F20"/>
          <w:spacing w:val="-11"/>
          <w:w w:val="105"/>
          <w:sz w:val="18"/>
        </w:rPr>
        <w:t> </w:t>
      </w:r>
      <w:r>
        <w:rPr>
          <w:color w:val="231F20"/>
          <w:w w:val="105"/>
          <w:sz w:val="18"/>
        </w:rPr>
        <w:t>Gobiernos</w:t>
      </w:r>
      <w:r>
        <w:rPr>
          <w:color w:val="231F20"/>
          <w:spacing w:val="-11"/>
          <w:w w:val="105"/>
          <w:sz w:val="18"/>
        </w:rPr>
        <w:t> </w:t>
      </w:r>
      <w:r>
        <w:rPr>
          <w:color w:val="231F20"/>
          <w:w w:val="105"/>
          <w:sz w:val="18"/>
        </w:rPr>
        <w:t>municipales</w:t>
      </w:r>
      <w:r>
        <w:rPr>
          <w:color w:val="231F20"/>
          <w:spacing w:val="-11"/>
          <w:w w:val="105"/>
          <w:sz w:val="18"/>
        </w:rPr>
        <w:t> </w:t>
      </w:r>
      <w:r>
        <w:rPr>
          <w:color w:val="231F20"/>
          <w:w w:val="105"/>
          <w:sz w:val="18"/>
        </w:rPr>
        <w:t>en</w:t>
      </w:r>
      <w:r>
        <w:rPr>
          <w:color w:val="231F20"/>
          <w:spacing w:val="-11"/>
          <w:w w:val="105"/>
          <w:sz w:val="18"/>
        </w:rPr>
        <w:t> </w:t>
      </w:r>
      <w:r>
        <w:rPr>
          <w:color w:val="231F20"/>
          <w:w w:val="105"/>
          <w:sz w:val="18"/>
        </w:rPr>
        <w:t>México:</w:t>
      </w:r>
      <w:r>
        <w:rPr>
          <w:color w:val="231F20"/>
          <w:spacing w:val="-11"/>
          <w:w w:val="105"/>
          <w:sz w:val="18"/>
        </w:rPr>
        <w:t> </w:t>
      </w:r>
      <w:r>
        <w:rPr>
          <w:color w:val="231F20"/>
          <w:w w:val="105"/>
          <w:sz w:val="18"/>
        </w:rPr>
        <w:t>entre</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descentralización</w:t>
      </w:r>
      <w:r>
        <w:rPr>
          <w:color w:val="231F20"/>
          <w:spacing w:val="-11"/>
          <w:w w:val="105"/>
          <w:sz w:val="18"/>
        </w:rPr>
        <w:t> </w:t>
      </w:r>
      <w:r>
        <w:rPr>
          <w:color w:val="231F20"/>
          <w:w w:val="105"/>
          <w:sz w:val="18"/>
        </w:rPr>
        <w:t>y</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tradición política.</w:t>
      </w:r>
      <w:r>
        <w:rPr>
          <w:color w:val="231F20"/>
          <w:spacing w:val="-14"/>
          <w:w w:val="105"/>
          <w:sz w:val="18"/>
        </w:rPr>
        <w:t> </w:t>
      </w:r>
      <w:r>
        <w:rPr>
          <w:color w:val="231F20"/>
          <w:w w:val="105"/>
          <w:sz w:val="18"/>
        </w:rPr>
        <w:t>Coeditado</w:t>
      </w:r>
      <w:r>
        <w:rPr>
          <w:color w:val="231F20"/>
          <w:spacing w:val="-14"/>
          <w:w w:val="105"/>
          <w:sz w:val="18"/>
        </w:rPr>
        <w:t> </w:t>
      </w:r>
      <w:r>
        <w:rPr>
          <w:color w:val="231F20"/>
          <w:w w:val="105"/>
          <w:sz w:val="18"/>
        </w:rPr>
        <w:t>por</w:t>
      </w:r>
      <w:r>
        <w:rPr>
          <w:color w:val="231F20"/>
          <w:spacing w:val="-14"/>
          <w:w w:val="105"/>
          <w:sz w:val="18"/>
        </w:rPr>
        <w:t> </w:t>
      </w:r>
      <w:r>
        <w:rPr>
          <w:color w:val="231F20"/>
          <w:w w:val="105"/>
          <w:sz w:val="18"/>
        </w:rPr>
        <w:t>COLEF</w:t>
      </w:r>
      <w:r>
        <w:rPr>
          <w:color w:val="231F20"/>
          <w:spacing w:val="-14"/>
          <w:w w:val="105"/>
          <w:sz w:val="18"/>
        </w:rPr>
        <w:t> </w:t>
      </w:r>
      <w:r>
        <w:rPr>
          <w:color w:val="231F20"/>
          <w:w w:val="105"/>
          <w:sz w:val="18"/>
        </w:rPr>
        <w:t>y</w:t>
      </w:r>
      <w:r>
        <w:rPr>
          <w:color w:val="231F20"/>
          <w:spacing w:val="-14"/>
          <w:w w:val="105"/>
          <w:sz w:val="18"/>
        </w:rPr>
        <w:t> </w:t>
      </w:r>
      <w:r>
        <w:rPr>
          <w:color w:val="231F20"/>
          <w:w w:val="105"/>
          <w:sz w:val="18"/>
        </w:rPr>
        <w:t>Miguel</w:t>
      </w:r>
      <w:r>
        <w:rPr>
          <w:color w:val="231F20"/>
          <w:spacing w:val="-14"/>
          <w:w w:val="105"/>
          <w:sz w:val="18"/>
        </w:rPr>
        <w:t> </w:t>
      </w:r>
      <w:r>
        <w:rPr>
          <w:color w:val="231F20"/>
          <w:w w:val="105"/>
          <w:sz w:val="18"/>
        </w:rPr>
        <w:t>Ángel</w:t>
      </w:r>
      <w:r>
        <w:rPr>
          <w:color w:val="231F20"/>
          <w:spacing w:val="-14"/>
          <w:w w:val="105"/>
          <w:sz w:val="18"/>
        </w:rPr>
        <w:t> </w:t>
      </w:r>
      <w:r>
        <w:rPr>
          <w:color w:val="231F20"/>
          <w:w w:val="105"/>
          <w:sz w:val="18"/>
        </w:rPr>
        <w:t>Porrúa,</w:t>
      </w:r>
      <w:r>
        <w:rPr>
          <w:color w:val="231F20"/>
          <w:spacing w:val="-14"/>
          <w:w w:val="105"/>
          <w:sz w:val="18"/>
        </w:rPr>
        <w:t> </w:t>
      </w:r>
      <w:r>
        <w:rPr>
          <w:color w:val="231F20"/>
          <w:w w:val="105"/>
          <w:sz w:val="18"/>
        </w:rPr>
        <w:t>México.</w:t>
      </w:r>
    </w:p>
    <w:p>
      <w:pPr>
        <w:spacing w:line="348" w:lineRule="auto" w:before="3"/>
        <w:ind w:left="393" w:right="696" w:hanging="284"/>
        <w:jc w:val="left"/>
        <w:rPr>
          <w:sz w:val="18"/>
        </w:rPr>
      </w:pPr>
      <w:r>
        <w:rPr>
          <w:color w:val="231F20"/>
          <w:sz w:val="18"/>
        </w:rPr>
        <w:t>IRACHETA CENECORTA, Alfonso Xavier. (1997) Planeación y desarrollo. Una visión del futuro. Problemas y perspectivas del desarrollo y la urbanización en México y el Estado de México.  Plaza y Valdés editores. México. 260</w:t>
      </w:r>
      <w:r>
        <w:rPr>
          <w:color w:val="231F20"/>
          <w:spacing w:val="43"/>
          <w:sz w:val="18"/>
        </w:rPr>
        <w:t> </w:t>
      </w:r>
      <w:r>
        <w:rPr>
          <w:color w:val="231F20"/>
          <w:sz w:val="18"/>
        </w:rPr>
        <w:t>pp.</w:t>
      </w:r>
    </w:p>
    <w:p>
      <w:pPr>
        <w:spacing w:line="348" w:lineRule="auto" w:before="3"/>
        <w:ind w:left="393" w:right="1201" w:hanging="284"/>
        <w:jc w:val="left"/>
        <w:rPr>
          <w:sz w:val="18"/>
        </w:rPr>
      </w:pPr>
      <w:r>
        <w:rPr>
          <w:color w:val="231F20"/>
          <w:spacing w:val="4"/>
          <w:w w:val="105"/>
          <w:sz w:val="18"/>
        </w:rPr>
        <w:t>LARA</w:t>
      </w:r>
      <w:r>
        <w:rPr>
          <w:color w:val="231F20"/>
          <w:spacing w:val="-16"/>
          <w:w w:val="105"/>
          <w:sz w:val="18"/>
        </w:rPr>
        <w:t> </w:t>
      </w:r>
      <w:r>
        <w:rPr>
          <w:color w:val="231F20"/>
          <w:w w:val="105"/>
          <w:sz w:val="18"/>
        </w:rPr>
        <w:t>GALICIA,</w:t>
      </w:r>
      <w:r>
        <w:rPr>
          <w:color w:val="231F20"/>
          <w:spacing w:val="-16"/>
          <w:w w:val="105"/>
          <w:sz w:val="18"/>
        </w:rPr>
        <w:t> </w:t>
      </w:r>
      <w:r>
        <w:rPr>
          <w:color w:val="231F20"/>
          <w:w w:val="105"/>
          <w:sz w:val="18"/>
        </w:rPr>
        <w:t>Alberto</w:t>
      </w:r>
      <w:r>
        <w:rPr>
          <w:color w:val="231F20"/>
          <w:spacing w:val="-16"/>
          <w:w w:val="105"/>
          <w:sz w:val="18"/>
        </w:rPr>
        <w:t> </w:t>
      </w:r>
      <w:r>
        <w:rPr>
          <w:color w:val="231F20"/>
          <w:w w:val="105"/>
          <w:sz w:val="18"/>
        </w:rPr>
        <w:t>(2006),</w:t>
      </w:r>
      <w:r>
        <w:rPr>
          <w:color w:val="231F20"/>
          <w:spacing w:val="-16"/>
          <w:w w:val="105"/>
          <w:sz w:val="18"/>
        </w:rPr>
        <w:t> </w:t>
      </w:r>
      <w:r>
        <w:rPr>
          <w:color w:val="231F20"/>
          <w:w w:val="105"/>
          <w:sz w:val="18"/>
        </w:rPr>
        <w:t>Entrevista</w:t>
      </w:r>
      <w:r>
        <w:rPr>
          <w:color w:val="231F20"/>
          <w:spacing w:val="-16"/>
          <w:w w:val="105"/>
          <w:sz w:val="18"/>
        </w:rPr>
        <w:t> </w:t>
      </w:r>
      <w:r>
        <w:rPr>
          <w:color w:val="231F20"/>
          <w:w w:val="105"/>
          <w:sz w:val="18"/>
        </w:rPr>
        <w:t>realizada</w:t>
      </w:r>
      <w:r>
        <w:rPr>
          <w:color w:val="231F20"/>
          <w:spacing w:val="-16"/>
          <w:w w:val="105"/>
          <w:sz w:val="18"/>
        </w:rPr>
        <w:t> </w:t>
      </w:r>
      <w:r>
        <w:rPr>
          <w:color w:val="231F20"/>
          <w:w w:val="105"/>
          <w:sz w:val="18"/>
        </w:rPr>
        <w:t>por</w:t>
      </w:r>
      <w:r>
        <w:rPr>
          <w:color w:val="231F20"/>
          <w:spacing w:val="-16"/>
          <w:w w:val="105"/>
          <w:sz w:val="18"/>
        </w:rPr>
        <w:t> </w:t>
      </w:r>
      <w:r>
        <w:rPr>
          <w:color w:val="231F20"/>
          <w:w w:val="105"/>
          <w:sz w:val="18"/>
        </w:rPr>
        <w:t>Miguel</w:t>
      </w:r>
      <w:r>
        <w:rPr>
          <w:color w:val="231F20"/>
          <w:spacing w:val="-16"/>
          <w:w w:val="105"/>
          <w:sz w:val="18"/>
        </w:rPr>
        <w:t> </w:t>
      </w:r>
      <w:r>
        <w:rPr>
          <w:color w:val="231F20"/>
          <w:w w:val="105"/>
          <w:sz w:val="18"/>
        </w:rPr>
        <w:t>ángel</w:t>
      </w:r>
      <w:r>
        <w:rPr>
          <w:color w:val="231F20"/>
          <w:spacing w:val="-16"/>
          <w:w w:val="105"/>
          <w:sz w:val="18"/>
        </w:rPr>
        <w:t> </w:t>
      </w:r>
      <w:r>
        <w:rPr>
          <w:color w:val="231F20"/>
          <w:w w:val="105"/>
          <w:sz w:val="18"/>
        </w:rPr>
        <w:t>Sánchez</w:t>
      </w:r>
      <w:r>
        <w:rPr>
          <w:color w:val="231F20"/>
          <w:spacing w:val="-16"/>
          <w:w w:val="105"/>
          <w:sz w:val="18"/>
        </w:rPr>
        <w:t> </w:t>
      </w:r>
      <w:r>
        <w:rPr>
          <w:color w:val="231F20"/>
          <w:w w:val="105"/>
          <w:sz w:val="18"/>
        </w:rPr>
        <w:t>Ramos, el</w:t>
      </w:r>
      <w:r>
        <w:rPr>
          <w:color w:val="231F20"/>
          <w:spacing w:val="-9"/>
          <w:w w:val="105"/>
          <w:sz w:val="18"/>
        </w:rPr>
        <w:t> </w:t>
      </w:r>
      <w:r>
        <w:rPr>
          <w:color w:val="231F20"/>
          <w:w w:val="105"/>
          <w:sz w:val="18"/>
        </w:rPr>
        <w:t>23</w:t>
      </w:r>
      <w:r>
        <w:rPr>
          <w:color w:val="231F20"/>
          <w:spacing w:val="-9"/>
          <w:w w:val="105"/>
          <w:sz w:val="18"/>
        </w:rPr>
        <w:t> </w:t>
      </w:r>
      <w:r>
        <w:rPr>
          <w:color w:val="231F20"/>
          <w:w w:val="105"/>
          <w:sz w:val="18"/>
        </w:rPr>
        <w:t>de</w:t>
      </w:r>
      <w:r>
        <w:rPr>
          <w:color w:val="231F20"/>
          <w:spacing w:val="-9"/>
          <w:w w:val="105"/>
          <w:sz w:val="18"/>
        </w:rPr>
        <w:t> </w:t>
      </w:r>
      <w:r>
        <w:rPr>
          <w:color w:val="231F20"/>
          <w:w w:val="105"/>
          <w:sz w:val="18"/>
        </w:rPr>
        <w:t>diciembre</w:t>
      </w:r>
      <w:r>
        <w:rPr>
          <w:color w:val="231F20"/>
          <w:spacing w:val="-9"/>
          <w:w w:val="105"/>
          <w:sz w:val="18"/>
        </w:rPr>
        <w:t> </w:t>
      </w:r>
      <w:r>
        <w:rPr>
          <w:color w:val="231F20"/>
          <w:w w:val="105"/>
          <w:sz w:val="18"/>
        </w:rPr>
        <w:t>de</w:t>
      </w:r>
      <w:r>
        <w:rPr>
          <w:color w:val="231F20"/>
          <w:spacing w:val="-9"/>
          <w:w w:val="105"/>
          <w:sz w:val="18"/>
        </w:rPr>
        <w:t> </w:t>
      </w:r>
      <w:r>
        <w:rPr>
          <w:color w:val="231F20"/>
          <w:spacing w:val="3"/>
          <w:w w:val="105"/>
          <w:sz w:val="18"/>
        </w:rPr>
        <w:t>2006</w:t>
      </w:r>
      <w:r>
        <w:rPr>
          <w:color w:val="231F20"/>
          <w:spacing w:val="-9"/>
          <w:w w:val="105"/>
          <w:sz w:val="18"/>
        </w:rPr>
        <w:t> </w:t>
      </w:r>
      <w:r>
        <w:rPr>
          <w:color w:val="231F20"/>
          <w:w w:val="105"/>
          <w:sz w:val="18"/>
        </w:rPr>
        <w:t>en</w:t>
      </w:r>
      <w:r>
        <w:rPr>
          <w:color w:val="231F20"/>
          <w:spacing w:val="-9"/>
          <w:w w:val="105"/>
          <w:sz w:val="18"/>
        </w:rPr>
        <w:t> </w:t>
      </w:r>
      <w:r>
        <w:rPr>
          <w:color w:val="231F20"/>
          <w:w w:val="105"/>
          <w:sz w:val="18"/>
        </w:rPr>
        <w:t>la</w:t>
      </w:r>
      <w:r>
        <w:rPr>
          <w:color w:val="231F20"/>
          <w:spacing w:val="-9"/>
          <w:w w:val="105"/>
          <w:sz w:val="18"/>
        </w:rPr>
        <w:t> </w:t>
      </w:r>
      <w:r>
        <w:rPr>
          <w:color w:val="231F20"/>
          <w:spacing w:val="2"/>
          <w:w w:val="105"/>
          <w:sz w:val="18"/>
        </w:rPr>
        <w:t>casa</w:t>
      </w:r>
      <w:r>
        <w:rPr>
          <w:color w:val="231F20"/>
          <w:spacing w:val="-9"/>
          <w:w w:val="105"/>
          <w:sz w:val="18"/>
        </w:rPr>
        <w:t> </w:t>
      </w:r>
      <w:r>
        <w:rPr>
          <w:color w:val="231F20"/>
          <w:w w:val="105"/>
          <w:sz w:val="18"/>
        </w:rPr>
        <w:t>del</w:t>
      </w:r>
      <w:r>
        <w:rPr>
          <w:color w:val="231F20"/>
          <w:spacing w:val="-9"/>
          <w:w w:val="105"/>
          <w:sz w:val="18"/>
        </w:rPr>
        <w:t> </w:t>
      </w:r>
      <w:r>
        <w:rPr>
          <w:color w:val="231F20"/>
          <w:w w:val="105"/>
          <w:sz w:val="18"/>
        </w:rPr>
        <w:t>entrevistado.</w:t>
      </w:r>
    </w:p>
    <w:p>
      <w:pPr>
        <w:spacing w:line="348" w:lineRule="auto" w:before="3"/>
        <w:ind w:left="393" w:right="1920" w:hanging="284"/>
        <w:jc w:val="left"/>
        <w:rPr>
          <w:sz w:val="18"/>
        </w:rPr>
      </w:pPr>
      <w:r>
        <w:rPr>
          <w:color w:val="231F20"/>
          <w:sz w:val="18"/>
        </w:rPr>
        <w:t>LOAEZA, Soledad (1999), El Partido Acción Nacional. La larga lucha 1939-1994, FCE, México</w:t>
      </w:r>
    </w:p>
    <w:p>
      <w:pPr>
        <w:spacing w:line="348" w:lineRule="auto" w:before="3"/>
        <w:ind w:left="393" w:right="194" w:hanging="284"/>
        <w:jc w:val="both"/>
        <w:rPr>
          <w:sz w:val="18"/>
        </w:rPr>
      </w:pPr>
      <w:r>
        <w:rPr>
          <w:color w:val="231F20"/>
          <w:w w:val="105"/>
          <w:sz w:val="18"/>
        </w:rPr>
        <w:t>LÓPEZ</w:t>
      </w:r>
      <w:r>
        <w:rPr>
          <w:color w:val="231F20"/>
          <w:spacing w:val="-13"/>
          <w:w w:val="105"/>
          <w:sz w:val="18"/>
        </w:rPr>
        <w:t> </w:t>
      </w:r>
      <w:r>
        <w:rPr>
          <w:color w:val="231F20"/>
          <w:w w:val="105"/>
          <w:sz w:val="18"/>
        </w:rPr>
        <w:t>CRUZ,</w:t>
      </w:r>
      <w:r>
        <w:rPr>
          <w:color w:val="231F20"/>
          <w:spacing w:val="-13"/>
          <w:w w:val="105"/>
          <w:sz w:val="18"/>
        </w:rPr>
        <w:t> </w:t>
      </w:r>
      <w:r>
        <w:rPr>
          <w:color w:val="231F20"/>
          <w:w w:val="105"/>
          <w:sz w:val="18"/>
        </w:rPr>
        <w:t>Ángel.</w:t>
      </w:r>
      <w:r>
        <w:rPr>
          <w:color w:val="231F20"/>
          <w:spacing w:val="-13"/>
          <w:w w:val="105"/>
          <w:sz w:val="18"/>
        </w:rPr>
        <w:t> </w:t>
      </w:r>
      <w:r>
        <w:rPr>
          <w:color w:val="231F20"/>
          <w:spacing w:val="-3"/>
          <w:w w:val="105"/>
          <w:sz w:val="18"/>
        </w:rPr>
        <w:t>(1999).</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descentralización</w:t>
      </w:r>
      <w:r>
        <w:rPr>
          <w:color w:val="231F20"/>
          <w:spacing w:val="-13"/>
          <w:w w:val="105"/>
          <w:sz w:val="18"/>
        </w:rPr>
        <w:t> </w:t>
      </w:r>
      <w:r>
        <w:rPr>
          <w:color w:val="231F20"/>
          <w:w w:val="105"/>
          <w:sz w:val="18"/>
        </w:rPr>
        <w:t>del</w:t>
      </w:r>
      <w:r>
        <w:rPr>
          <w:color w:val="231F20"/>
          <w:spacing w:val="-13"/>
          <w:w w:val="105"/>
          <w:sz w:val="18"/>
        </w:rPr>
        <w:t> </w:t>
      </w:r>
      <w:r>
        <w:rPr>
          <w:color w:val="231F20"/>
          <w:w w:val="105"/>
          <w:sz w:val="18"/>
        </w:rPr>
        <w:t>gasto</w:t>
      </w:r>
      <w:r>
        <w:rPr>
          <w:color w:val="231F20"/>
          <w:spacing w:val="-13"/>
          <w:w w:val="105"/>
          <w:sz w:val="18"/>
        </w:rPr>
        <w:t> </w:t>
      </w:r>
      <w:r>
        <w:rPr>
          <w:color w:val="231F20"/>
          <w:w w:val="105"/>
          <w:sz w:val="18"/>
        </w:rPr>
        <w:t>público:</w:t>
      </w:r>
      <w:r>
        <w:rPr>
          <w:color w:val="231F20"/>
          <w:spacing w:val="-13"/>
          <w:w w:val="105"/>
          <w:sz w:val="18"/>
        </w:rPr>
        <w:t> </w:t>
      </w:r>
      <w:r>
        <w:rPr>
          <w:color w:val="231F20"/>
          <w:w w:val="105"/>
          <w:sz w:val="18"/>
        </w:rPr>
        <w:t>un</w:t>
      </w:r>
      <w:r>
        <w:rPr>
          <w:color w:val="231F20"/>
          <w:spacing w:val="-13"/>
          <w:w w:val="105"/>
          <w:sz w:val="18"/>
        </w:rPr>
        <w:t> </w:t>
      </w:r>
      <w:r>
        <w:rPr>
          <w:color w:val="231F20"/>
          <w:w w:val="105"/>
          <w:sz w:val="18"/>
        </w:rPr>
        <w:t>imperativo</w:t>
      </w:r>
      <w:r>
        <w:rPr>
          <w:color w:val="231F20"/>
          <w:spacing w:val="-13"/>
          <w:w w:val="105"/>
          <w:sz w:val="18"/>
        </w:rPr>
        <w:t> </w:t>
      </w:r>
      <w:r>
        <w:rPr>
          <w:color w:val="231F20"/>
          <w:w w:val="105"/>
          <w:sz w:val="18"/>
        </w:rPr>
        <w:t>para</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desarrollo municipal”</w:t>
      </w:r>
      <w:r>
        <w:rPr>
          <w:color w:val="231F20"/>
          <w:spacing w:val="-11"/>
          <w:w w:val="105"/>
          <w:sz w:val="18"/>
        </w:rPr>
        <w:t> </w:t>
      </w:r>
      <w:r>
        <w:rPr>
          <w:color w:val="231F20"/>
          <w:w w:val="105"/>
          <w:sz w:val="18"/>
        </w:rPr>
        <w:t>en</w:t>
      </w:r>
      <w:r>
        <w:rPr>
          <w:color w:val="231F20"/>
          <w:spacing w:val="-11"/>
          <w:w w:val="105"/>
          <w:sz w:val="18"/>
        </w:rPr>
        <w:t> </w:t>
      </w:r>
      <w:r>
        <w:rPr>
          <w:color w:val="231F20"/>
          <w:w w:val="105"/>
          <w:sz w:val="18"/>
        </w:rPr>
        <w:t>Revista</w:t>
      </w:r>
      <w:r>
        <w:rPr>
          <w:color w:val="231F20"/>
          <w:spacing w:val="-11"/>
          <w:w w:val="105"/>
          <w:sz w:val="18"/>
        </w:rPr>
        <w:t> </w:t>
      </w:r>
      <w:r>
        <w:rPr>
          <w:color w:val="231F20"/>
          <w:w w:val="105"/>
          <w:sz w:val="18"/>
        </w:rPr>
        <w:t>Prospectiva</w:t>
      </w:r>
      <w:r>
        <w:rPr>
          <w:color w:val="231F20"/>
          <w:spacing w:val="-11"/>
          <w:w w:val="105"/>
          <w:sz w:val="18"/>
        </w:rPr>
        <w:t> </w:t>
      </w:r>
      <w:r>
        <w:rPr>
          <w:color w:val="231F20"/>
          <w:w w:val="105"/>
          <w:sz w:val="18"/>
        </w:rPr>
        <w:t>Nº</w:t>
      </w:r>
      <w:r>
        <w:rPr>
          <w:color w:val="231F20"/>
          <w:spacing w:val="-11"/>
          <w:w w:val="105"/>
          <w:sz w:val="18"/>
        </w:rPr>
        <w:t> </w:t>
      </w:r>
      <w:r>
        <w:rPr>
          <w:color w:val="231F20"/>
          <w:spacing w:val="-3"/>
          <w:w w:val="105"/>
          <w:sz w:val="18"/>
        </w:rPr>
        <w:t>10</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Agrupación</w:t>
      </w:r>
      <w:r>
        <w:rPr>
          <w:color w:val="231F20"/>
          <w:spacing w:val="-11"/>
          <w:w w:val="105"/>
          <w:sz w:val="18"/>
        </w:rPr>
        <w:t> </w:t>
      </w:r>
      <w:r>
        <w:rPr>
          <w:color w:val="231F20"/>
          <w:w w:val="105"/>
          <w:sz w:val="18"/>
        </w:rPr>
        <w:t>Política</w:t>
      </w:r>
      <w:r>
        <w:rPr>
          <w:color w:val="231F20"/>
          <w:spacing w:val="-11"/>
          <w:w w:val="105"/>
          <w:sz w:val="18"/>
        </w:rPr>
        <w:t> </w:t>
      </w:r>
      <w:r>
        <w:rPr>
          <w:color w:val="231F20"/>
          <w:w w:val="105"/>
          <w:sz w:val="18"/>
        </w:rPr>
        <w:t>Nueva,</w:t>
      </w:r>
      <w:r>
        <w:rPr>
          <w:color w:val="231F20"/>
          <w:spacing w:val="-11"/>
          <w:w w:val="105"/>
          <w:sz w:val="18"/>
        </w:rPr>
        <w:t> </w:t>
      </w:r>
      <w:r>
        <w:rPr>
          <w:color w:val="231F20"/>
          <w:w w:val="105"/>
          <w:sz w:val="18"/>
        </w:rPr>
        <w:t>A.C.</w:t>
      </w:r>
      <w:r>
        <w:rPr>
          <w:color w:val="231F20"/>
          <w:spacing w:val="-11"/>
          <w:w w:val="105"/>
          <w:sz w:val="18"/>
        </w:rPr>
        <w:t> </w:t>
      </w:r>
      <w:r>
        <w:rPr>
          <w:color w:val="231F20"/>
          <w:w w:val="105"/>
          <w:sz w:val="18"/>
        </w:rPr>
        <w:t>Año</w:t>
      </w:r>
      <w:r>
        <w:rPr>
          <w:color w:val="231F20"/>
          <w:spacing w:val="-11"/>
          <w:w w:val="105"/>
          <w:sz w:val="18"/>
        </w:rPr>
        <w:t> </w:t>
      </w:r>
      <w:r>
        <w:rPr>
          <w:color w:val="231F20"/>
          <w:w w:val="105"/>
          <w:sz w:val="18"/>
        </w:rPr>
        <w:t>4,</w:t>
      </w:r>
      <w:r>
        <w:rPr>
          <w:color w:val="231F20"/>
          <w:spacing w:val="-11"/>
          <w:w w:val="105"/>
          <w:sz w:val="18"/>
        </w:rPr>
        <w:t> </w:t>
      </w:r>
      <w:r>
        <w:rPr>
          <w:color w:val="231F20"/>
          <w:w w:val="105"/>
          <w:sz w:val="18"/>
        </w:rPr>
        <w:t>Enero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1999. México,</w:t>
      </w:r>
      <w:r>
        <w:rPr>
          <w:color w:val="231F20"/>
          <w:spacing w:val="-21"/>
          <w:w w:val="105"/>
          <w:sz w:val="18"/>
        </w:rPr>
        <w:t> </w:t>
      </w:r>
      <w:r>
        <w:rPr>
          <w:color w:val="231F20"/>
          <w:w w:val="105"/>
          <w:sz w:val="18"/>
        </w:rPr>
        <w:t>30-33</w:t>
      </w:r>
      <w:r>
        <w:rPr>
          <w:color w:val="231F20"/>
          <w:spacing w:val="-21"/>
          <w:w w:val="105"/>
          <w:sz w:val="18"/>
        </w:rPr>
        <w:t> </w:t>
      </w:r>
      <w:r>
        <w:rPr>
          <w:color w:val="231F20"/>
          <w:w w:val="105"/>
          <w:sz w:val="18"/>
        </w:rPr>
        <w:t>pp.</w:t>
      </w:r>
    </w:p>
    <w:p>
      <w:pPr>
        <w:spacing w:line="348" w:lineRule="auto" w:before="3"/>
        <w:ind w:left="393" w:right="283" w:hanging="284"/>
        <w:jc w:val="left"/>
        <w:rPr>
          <w:sz w:val="18"/>
        </w:rPr>
      </w:pPr>
      <w:r>
        <w:rPr>
          <w:color w:val="231F20"/>
          <w:sz w:val="18"/>
        </w:rPr>
        <w:t>MEJÍA LIRA, José. (1994). “Problemática de las finanzas municipales” en José Mejía Lira, 1994, Problemática y desarrollo municipal. Plaza y Valdés. México. 83-98   pp.</w:t>
      </w:r>
    </w:p>
    <w:p>
      <w:pPr>
        <w:spacing w:line="348" w:lineRule="auto" w:before="3"/>
        <w:ind w:left="393" w:right="283" w:hanging="284"/>
        <w:jc w:val="left"/>
        <w:rPr>
          <w:sz w:val="18"/>
        </w:rPr>
      </w:pPr>
      <w:r>
        <w:rPr>
          <w:color w:val="231F20"/>
          <w:w w:val="105"/>
          <w:sz w:val="18"/>
        </w:rPr>
        <w:t>MERINO, Mauricio, (1990). “El gobierno fuera del centro” en Revista del Colegio. Nª 4, año II, Colegio</w:t>
      </w:r>
      <w:r>
        <w:rPr>
          <w:color w:val="231F20"/>
          <w:spacing w:val="-12"/>
          <w:w w:val="105"/>
          <w:sz w:val="18"/>
        </w:rPr>
        <w:t> </w:t>
      </w:r>
      <w:r>
        <w:rPr>
          <w:color w:val="231F20"/>
          <w:w w:val="105"/>
          <w:sz w:val="18"/>
        </w:rPr>
        <w:t>Nacional</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Ciencias</w:t>
      </w:r>
      <w:r>
        <w:rPr>
          <w:color w:val="231F20"/>
          <w:spacing w:val="-12"/>
          <w:w w:val="105"/>
          <w:sz w:val="18"/>
        </w:rPr>
        <w:t> </w:t>
      </w:r>
      <w:r>
        <w:rPr>
          <w:color w:val="231F20"/>
          <w:w w:val="105"/>
          <w:sz w:val="18"/>
        </w:rPr>
        <w:t>Políticas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Administración</w:t>
      </w:r>
      <w:r>
        <w:rPr>
          <w:color w:val="231F20"/>
          <w:spacing w:val="-12"/>
          <w:w w:val="105"/>
          <w:sz w:val="18"/>
        </w:rPr>
        <w:t> </w:t>
      </w:r>
      <w:r>
        <w:rPr>
          <w:color w:val="231F20"/>
          <w:w w:val="105"/>
          <w:sz w:val="18"/>
        </w:rPr>
        <w:t>Pública</w:t>
      </w:r>
      <w:r>
        <w:rPr>
          <w:color w:val="231F20"/>
          <w:spacing w:val="-12"/>
          <w:w w:val="105"/>
          <w:sz w:val="18"/>
        </w:rPr>
        <w:t> </w:t>
      </w:r>
      <w:r>
        <w:rPr>
          <w:color w:val="231F20"/>
          <w:w w:val="105"/>
          <w:sz w:val="18"/>
        </w:rPr>
        <w:t>A.C.,</w:t>
      </w:r>
      <w:r>
        <w:rPr>
          <w:color w:val="231F20"/>
          <w:spacing w:val="-12"/>
          <w:w w:val="105"/>
          <w:sz w:val="18"/>
        </w:rPr>
        <w:t> </w:t>
      </w:r>
      <w:r>
        <w:rPr>
          <w:color w:val="231F20"/>
          <w:w w:val="105"/>
          <w:sz w:val="18"/>
        </w:rPr>
        <w:t>México,</w:t>
      </w:r>
      <w:r>
        <w:rPr>
          <w:color w:val="231F20"/>
          <w:spacing w:val="-12"/>
          <w:w w:val="105"/>
          <w:sz w:val="18"/>
        </w:rPr>
        <w:t> </w:t>
      </w:r>
      <w:r>
        <w:rPr>
          <w:color w:val="231F20"/>
          <w:w w:val="105"/>
          <w:sz w:val="18"/>
        </w:rPr>
        <w:t>octubre</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1990.</w:t>
      </w:r>
    </w:p>
    <w:p>
      <w:pPr>
        <w:spacing w:line="348" w:lineRule="auto" w:before="3"/>
        <w:ind w:left="393" w:right="434" w:hanging="284"/>
        <w:jc w:val="left"/>
        <w:rPr>
          <w:sz w:val="18"/>
        </w:rPr>
      </w:pPr>
      <w:r>
        <w:rPr>
          <w:color w:val="231F20"/>
          <w:spacing w:val="8"/>
          <w:sz w:val="18"/>
        </w:rPr>
        <w:t>_______________ </w:t>
      </w:r>
      <w:r>
        <w:rPr>
          <w:color w:val="231F20"/>
          <w:sz w:val="18"/>
        </w:rPr>
        <w:t>(coord.). </w:t>
      </w:r>
      <w:r>
        <w:rPr>
          <w:color w:val="231F20"/>
          <w:spacing w:val="-3"/>
          <w:sz w:val="18"/>
        </w:rPr>
        <w:t>(1994). </w:t>
      </w:r>
      <w:r>
        <w:rPr>
          <w:color w:val="231F20"/>
          <w:sz w:val="18"/>
        </w:rPr>
        <w:t>En busca de la democracia municipal. La participación ciudadana  en el gobierno local mexicano. El Colegio de México, </w:t>
      </w:r>
      <w:r>
        <w:rPr>
          <w:color w:val="231F20"/>
          <w:spacing w:val="41"/>
          <w:sz w:val="18"/>
        </w:rPr>
        <w:t> </w:t>
      </w:r>
      <w:r>
        <w:rPr>
          <w:color w:val="231F20"/>
          <w:sz w:val="18"/>
        </w:rPr>
        <w:t>México.</w:t>
      </w:r>
    </w:p>
    <w:p>
      <w:pPr>
        <w:spacing w:before="3"/>
        <w:ind w:left="110" w:right="0" w:firstLine="0"/>
        <w:jc w:val="left"/>
        <w:rPr>
          <w:sz w:val="18"/>
        </w:rPr>
      </w:pPr>
      <w:r>
        <w:rPr>
          <w:color w:val="231F20"/>
          <w:w w:val="105"/>
          <w:sz w:val="18"/>
        </w:rPr>
        <w:t>MEYER, Lorenzo. (1995) Liberalismo autoritario. Las contradicciones del sistema político mexicano.</w:t>
      </w:r>
    </w:p>
    <w:p>
      <w:pPr>
        <w:spacing w:before="93"/>
        <w:ind w:left="393" w:right="1201" w:firstLine="0"/>
        <w:jc w:val="left"/>
        <w:rPr>
          <w:sz w:val="18"/>
        </w:rPr>
      </w:pPr>
      <w:r>
        <w:rPr>
          <w:color w:val="231F20"/>
          <w:sz w:val="18"/>
        </w:rPr>
        <w:t>Editorial Océano México. México. 282  pp.</w:t>
      </w:r>
    </w:p>
    <w:p>
      <w:pPr>
        <w:spacing w:line="348" w:lineRule="auto" w:before="93"/>
        <w:ind w:left="393" w:right="283" w:hanging="284"/>
        <w:jc w:val="left"/>
        <w:rPr>
          <w:sz w:val="18"/>
        </w:rPr>
      </w:pPr>
      <w:r>
        <w:rPr>
          <w:color w:val="231F20"/>
          <w:w w:val="105"/>
          <w:sz w:val="18"/>
        </w:rPr>
        <w:t>Plan Municipal de Desarrollo de Amecameca 2006-2009, (2006), Ayuntamiento de Amecameca, Amecameca, México.</w:t>
      </w:r>
    </w:p>
    <w:p>
      <w:pPr>
        <w:spacing w:line="348" w:lineRule="auto" w:before="3"/>
        <w:ind w:left="393" w:right="283" w:hanging="284"/>
        <w:jc w:val="left"/>
        <w:rPr>
          <w:sz w:val="18"/>
        </w:rPr>
      </w:pPr>
      <w:r>
        <w:rPr>
          <w:color w:val="231F20"/>
          <w:w w:val="105"/>
          <w:sz w:val="18"/>
        </w:rPr>
        <w:t>PÉREZ</w:t>
      </w:r>
      <w:r>
        <w:rPr>
          <w:color w:val="231F20"/>
          <w:spacing w:val="-15"/>
          <w:w w:val="105"/>
          <w:sz w:val="18"/>
        </w:rPr>
        <w:t> </w:t>
      </w:r>
      <w:r>
        <w:rPr>
          <w:color w:val="231F20"/>
          <w:spacing w:val="2"/>
          <w:w w:val="105"/>
          <w:sz w:val="18"/>
        </w:rPr>
        <w:t>GONZÁLEZ,</w:t>
      </w:r>
      <w:r>
        <w:rPr>
          <w:color w:val="231F20"/>
          <w:spacing w:val="-15"/>
          <w:w w:val="105"/>
          <w:sz w:val="18"/>
        </w:rPr>
        <w:t> </w:t>
      </w:r>
      <w:r>
        <w:rPr>
          <w:color w:val="231F20"/>
          <w:w w:val="105"/>
          <w:sz w:val="18"/>
        </w:rPr>
        <w:t>Hugo.</w:t>
      </w:r>
      <w:r>
        <w:rPr>
          <w:color w:val="231F20"/>
          <w:spacing w:val="-15"/>
          <w:w w:val="105"/>
          <w:sz w:val="18"/>
        </w:rPr>
        <w:t> </w:t>
      </w:r>
      <w:r>
        <w:rPr>
          <w:color w:val="231F20"/>
          <w:spacing w:val="-3"/>
          <w:w w:val="105"/>
          <w:sz w:val="18"/>
        </w:rPr>
        <w:t>(1994).</w:t>
      </w:r>
      <w:r>
        <w:rPr>
          <w:color w:val="231F20"/>
          <w:spacing w:val="-15"/>
          <w:w w:val="105"/>
          <w:sz w:val="18"/>
        </w:rPr>
        <w:t> </w:t>
      </w:r>
      <w:r>
        <w:rPr>
          <w:color w:val="231F20"/>
          <w:w w:val="105"/>
          <w:sz w:val="18"/>
        </w:rPr>
        <w:t>“Propuesta</w:t>
      </w:r>
      <w:r>
        <w:rPr>
          <w:color w:val="231F20"/>
          <w:spacing w:val="-15"/>
          <w:w w:val="105"/>
          <w:sz w:val="18"/>
        </w:rPr>
        <w:t> </w:t>
      </w:r>
      <w:r>
        <w:rPr>
          <w:color w:val="231F20"/>
          <w:w w:val="105"/>
          <w:sz w:val="18"/>
        </w:rPr>
        <w:t>para</w:t>
      </w:r>
      <w:r>
        <w:rPr>
          <w:color w:val="231F20"/>
          <w:spacing w:val="-15"/>
          <w:w w:val="105"/>
          <w:sz w:val="18"/>
        </w:rPr>
        <w:t> </w:t>
      </w:r>
      <w:r>
        <w:rPr>
          <w:color w:val="231F20"/>
          <w:w w:val="105"/>
          <w:sz w:val="18"/>
        </w:rPr>
        <w:t>el</w:t>
      </w:r>
      <w:r>
        <w:rPr>
          <w:color w:val="231F20"/>
          <w:spacing w:val="-15"/>
          <w:w w:val="105"/>
          <w:sz w:val="18"/>
        </w:rPr>
        <w:t> </w:t>
      </w:r>
      <w:r>
        <w:rPr>
          <w:color w:val="231F20"/>
          <w:spacing w:val="2"/>
          <w:w w:val="105"/>
          <w:sz w:val="18"/>
        </w:rPr>
        <w:t>análisis</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w:t>
      </w:r>
      <w:r>
        <w:rPr>
          <w:color w:val="231F20"/>
          <w:spacing w:val="-15"/>
          <w:w w:val="105"/>
          <w:sz w:val="18"/>
        </w:rPr>
        <w:t> </w:t>
      </w:r>
      <w:r>
        <w:rPr>
          <w:color w:val="231F20"/>
          <w:spacing w:val="2"/>
          <w:w w:val="105"/>
          <w:sz w:val="18"/>
        </w:rPr>
        <w:t>estructura</w:t>
      </w:r>
      <w:r>
        <w:rPr>
          <w:color w:val="231F20"/>
          <w:spacing w:val="-15"/>
          <w:w w:val="105"/>
          <w:sz w:val="18"/>
        </w:rPr>
        <w:t> </w:t>
      </w:r>
      <w:r>
        <w:rPr>
          <w:color w:val="231F20"/>
          <w:w w:val="105"/>
          <w:sz w:val="18"/>
        </w:rPr>
        <w:t>de</w:t>
      </w:r>
      <w:r>
        <w:rPr>
          <w:color w:val="231F20"/>
          <w:spacing w:val="-15"/>
          <w:w w:val="105"/>
          <w:sz w:val="18"/>
        </w:rPr>
        <w:t> </w:t>
      </w:r>
      <w:r>
        <w:rPr>
          <w:color w:val="231F20"/>
          <w:spacing w:val="2"/>
          <w:w w:val="105"/>
          <w:sz w:val="18"/>
        </w:rPr>
        <w:t>las</w:t>
      </w:r>
      <w:r>
        <w:rPr>
          <w:color w:val="231F20"/>
          <w:spacing w:val="-15"/>
          <w:w w:val="105"/>
          <w:sz w:val="18"/>
        </w:rPr>
        <w:t> </w:t>
      </w:r>
      <w:r>
        <w:rPr>
          <w:color w:val="231F20"/>
          <w:spacing w:val="2"/>
          <w:w w:val="105"/>
          <w:sz w:val="18"/>
        </w:rPr>
        <w:t>finanzas </w:t>
      </w:r>
      <w:r>
        <w:rPr>
          <w:color w:val="231F20"/>
          <w:w w:val="105"/>
          <w:sz w:val="18"/>
        </w:rPr>
        <w:t>municipales:</w:t>
      </w:r>
      <w:r>
        <w:rPr>
          <w:color w:val="231F20"/>
          <w:spacing w:val="-16"/>
          <w:w w:val="105"/>
          <w:sz w:val="18"/>
        </w:rPr>
        <w:t> </w:t>
      </w:r>
      <w:r>
        <w:rPr>
          <w:color w:val="231F20"/>
          <w:w w:val="105"/>
          <w:sz w:val="18"/>
        </w:rPr>
        <w:t>El</w:t>
      </w:r>
      <w:r>
        <w:rPr>
          <w:color w:val="231F20"/>
          <w:spacing w:val="-16"/>
          <w:w w:val="105"/>
          <w:sz w:val="18"/>
        </w:rPr>
        <w:t> </w:t>
      </w:r>
      <w:r>
        <w:rPr>
          <w:color w:val="231F20"/>
          <w:spacing w:val="2"/>
          <w:w w:val="105"/>
          <w:sz w:val="18"/>
        </w:rPr>
        <w:t>caso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Tlatlauquitepec,</w:t>
      </w:r>
      <w:r>
        <w:rPr>
          <w:color w:val="231F20"/>
          <w:spacing w:val="-16"/>
          <w:w w:val="105"/>
          <w:sz w:val="18"/>
        </w:rPr>
        <w:t> </w:t>
      </w:r>
      <w:r>
        <w:rPr>
          <w:color w:val="231F20"/>
          <w:w w:val="105"/>
          <w:sz w:val="18"/>
        </w:rPr>
        <w:t>Pue.,</w:t>
      </w:r>
      <w:r>
        <w:rPr>
          <w:color w:val="231F20"/>
          <w:spacing w:val="-16"/>
          <w:w w:val="105"/>
          <w:sz w:val="18"/>
        </w:rPr>
        <w:t> </w:t>
      </w:r>
      <w:r>
        <w:rPr>
          <w:color w:val="231F20"/>
          <w:w w:val="105"/>
          <w:sz w:val="18"/>
        </w:rPr>
        <w:t>en:</w:t>
      </w:r>
      <w:r>
        <w:rPr>
          <w:color w:val="231F20"/>
          <w:spacing w:val="-16"/>
          <w:w w:val="105"/>
          <w:sz w:val="18"/>
        </w:rPr>
        <w:t> </w:t>
      </w:r>
      <w:r>
        <w:rPr>
          <w:color w:val="231F20"/>
          <w:w w:val="105"/>
          <w:sz w:val="18"/>
        </w:rPr>
        <w:t>José</w:t>
      </w:r>
      <w:r>
        <w:rPr>
          <w:color w:val="231F20"/>
          <w:spacing w:val="-16"/>
          <w:w w:val="105"/>
          <w:sz w:val="18"/>
        </w:rPr>
        <w:t> </w:t>
      </w:r>
      <w:r>
        <w:rPr>
          <w:color w:val="231F20"/>
          <w:w w:val="105"/>
          <w:sz w:val="18"/>
        </w:rPr>
        <w:t>Mejía</w:t>
      </w:r>
      <w:r>
        <w:rPr>
          <w:color w:val="231F20"/>
          <w:spacing w:val="-16"/>
          <w:w w:val="105"/>
          <w:sz w:val="18"/>
        </w:rPr>
        <w:t> </w:t>
      </w:r>
      <w:r>
        <w:rPr>
          <w:color w:val="231F20"/>
          <w:w w:val="105"/>
          <w:sz w:val="18"/>
        </w:rPr>
        <w:t>Lira,</w:t>
      </w:r>
      <w:r>
        <w:rPr>
          <w:color w:val="231F20"/>
          <w:spacing w:val="-16"/>
          <w:w w:val="105"/>
          <w:sz w:val="18"/>
        </w:rPr>
        <w:t> </w:t>
      </w:r>
      <w:r>
        <w:rPr>
          <w:color w:val="231F20"/>
          <w:spacing w:val="-3"/>
          <w:w w:val="105"/>
          <w:sz w:val="18"/>
        </w:rPr>
        <w:t>(1994),</w:t>
      </w:r>
    </w:p>
    <w:p>
      <w:pPr>
        <w:spacing w:before="3"/>
        <w:ind w:left="393" w:right="1201" w:firstLine="0"/>
        <w:jc w:val="left"/>
        <w:rPr>
          <w:sz w:val="18"/>
        </w:rPr>
      </w:pPr>
      <w:r>
        <w:rPr>
          <w:color w:val="231F20"/>
          <w:w w:val="105"/>
          <w:sz w:val="18"/>
        </w:rPr>
        <w:t>Problemática y desarrollo municipal. Plaza y Valdés. México. 111-154 pp.</w:t>
      </w:r>
    </w:p>
    <w:p>
      <w:pPr>
        <w:spacing w:before="93"/>
        <w:ind w:left="110" w:right="283" w:firstLine="0"/>
        <w:jc w:val="left"/>
        <w:rPr>
          <w:sz w:val="18"/>
        </w:rPr>
      </w:pPr>
      <w:r>
        <w:rPr>
          <w:color w:val="231F20"/>
          <w:w w:val="105"/>
          <w:sz w:val="18"/>
        </w:rPr>
        <w:t>RAICH, Uri. (2001) Impacts of expenditure decentralization on Mexican Local Governments.</w:t>
      </w:r>
    </w:p>
    <w:p>
      <w:pPr>
        <w:spacing w:before="93"/>
        <w:ind w:left="393" w:right="1201" w:firstLine="0"/>
        <w:jc w:val="left"/>
        <w:rPr>
          <w:sz w:val="18"/>
        </w:rPr>
      </w:pPr>
      <w:r>
        <w:rPr>
          <w:color w:val="231F20"/>
          <w:sz w:val="18"/>
        </w:rPr>
        <w:t>Cuaderno de Trabajo, CIDE-DAP, México,  2001.</w:t>
      </w:r>
    </w:p>
    <w:p>
      <w:pPr>
        <w:spacing w:after="0"/>
        <w:jc w:val="left"/>
        <w:rPr>
          <w:sz w:val="18"/>
        </w:rPr>
        <w:sectPr>
          <w:pgSz w:w="9640" w:h="12190"/>
          <w:pgMar w:header="0" w:footer="743" w:top="1120" w:bottom="940" w:left="740" w:right="820"/>
        </w:sectPr>
      </w:pPr>
    </w:p>
    <w:p>
      <w:pPr>
        <w:pStyle w:val="BodyText"/>
        <w:spacing w:before="6"/>
        <w:rPr>
          <w:sz w:val="13"/>
        </w:rPr>
      </w:pPr>
    </w:p>
    <w:p>
      <w:pPr>
        <w:spacing w:line="348" w:lineRule="auto" w:before="47"/>
        <w:ind w:left="393" w:right="124" w:hanging="284"/>
        <w:jc w:val="left"/>
        <w:rPr>
          <w:sz w:val="18"/>
        </w:rPr>
      </w:pPr>
      <w:r>
        <w:rPr>
          <w:color w:val="231F20"/>
          <w:w w:val="105"/>
          <w:sz w:val="18"/>
        </w:rPr>
        <w:t>RAMÍREZ, Juan Manuel, (1998), ¿Cómo gobiernan Guadalajara?, Miguel Ángel Porrúa, IISUNAM, México, In-conclusiones, ¿en qué medida los ayuntamientos priístas y panistas del AMG cumplen los requisitos de un buen gobierno?</w:t>
      </w:r>
    </w:p>
    <w:p>
      <w:pPr>
        <w:spacing w:line="348" w:lineRule="auto" w:before="3"/>
        <w:ind w:left="393" w:right="124" w:hanging="284"/>
        <w:jc w:val="left"/>
        <w:rPr>
          <w:sz w:val="18"/>
        </w:rPr>
      </w:pPr>
      <w:r>
        <w:rPr>
          <w:color w:val="231F20"/>
          <w:spacing w:val="2"/>
          <w:w w:val="105"/>
          <w:sz w:val="18"/>
        </w:rPr>
        <w:t>REVELES</w:t>
      </w:r>
      <w:r>
        <w:rPr>
          <w:color w:val="231F20"/>
          <w:spacing w:val="-19"/>
          <w:w w:val="105"/>
          <w:sz w:val="18"/>
        </w:rPr>
        <w:t> </w:t>
      </w:r>
      <w:r>
        <w:rPr>
          <w:color w:val="231F20"/>
          <w:w w:val="105"/>
          <w:sz w:val="18"/>
        </w:rPr>
        <w:t>VÁZQUEZ,</w:t>
      </w:r>
      <w:r>
        <w:rPr>
          <w:color w:val="231F20"/>
          <w:spacing w:val="-19"/>
          <w:w w:val="105"/>
          <w:sz w:val="18"/>
        </w:rPr>
        <w:t> </w:t>
      </w:r>
      <w:r>
        <w:rPr>
          <w:color w:val="231F20"/>
          <w:w w:val="105"/>
          <w:sz w:val="18"/>
        </w:rPr>
        <w:t>Francisco</w:t>
      </w:r>
      <w:r>
        <w:rPr>
          <w:color w:val="231F20"/>
          <w:spacing w:val="-19"/>
          <w:w w:val="105"/>
          <w:sz w:val="18"/>
        </w:rPr>
        <w:t> </w:t>
      </w:r>
      <w:r>
        <w:rPr>
          <w:color w:val="231F20"/>
          <w:spacing w:val="-3"/>
          <w:w w:val="105"/>
          <w:sz w:val="18"/>
        </w:rPr>
        <w:t>(1999),</w:t>
      </w:r>
      <w:r>
        <w:rPr>
          <w:color w:val="231F20"/>
          <w:spacing w:val="-19"/>
          <w:w w:val="105"/>
          <w:sz w:val="18"/>
        </w:rPr>
        <w:t> </w:t>
      </w:r>
      <w:r>
        <w:rPr>
          <w:color w:val="231F20"/>
          <w:w w:val="105"/>
          <w:sz w:val="18"/>
        </w:rPr>
        <w:t>“Los</w:t>
      </w:r>
      <w:r>
        <w:rPr>
          <w:color w:val="231F20"/>
          <w:spacing w:val="-19"/>
          <w:w w:val="105"/>
          <w:sz w:val="18"/>
        </w:rPr>
        <w:t> </w:t>
      </w:r>
      <w:r>
        <w:rPr>
          <w:color w:val="231F20"/>
          <w:w w:val="105"/>
          <w:sz w:val="18"/>
        </w:rPr>
        <w:t>intentos</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institucionalización</w:t>
      </w:r>
      <w:r>
        <w:rPr>
          <w:color w:val="231F20"/>
          <w:spacing w:val="-19"/>
          <w:w w:val="105"/>
          <w:sz w:val="18"/>
        </w:rPr>
        <w:t> </w:t>
      </w:r>
      <w:r>
        <w:rPr>
          <w:color w:val="231F20"/>
          <w:w w:val="105"/>
          <w:sz w:val="18"/>
        </w:rPr>
        <w:t>del</w:t>
      </w:r>
      <w:r>
        <w:rPr>
          <w:color w:val="231F20"/>
          <w:spacing w:val="-19"/>
          <w:w w:val="105"/>
          <w:sz w:val="18"/>
        </w:rPr>
        <w:t> </w:t>
      </w:r>
      <w:r>
        <w:rPr>
          <w:color w:val="231F20"/>
          <w:w w:val="105"/>
          <w:sz w:val="18"/>
        </w:rPr>
        <w:t>Partido</w:t>
      </w:r>
      <w:r>
        <w:rPr>
          <w:color w:val="231F20"/>
          <w:spacing w:val="-19"/>
          <w:w w:val="105"/>
          <w:sz w:val="18"/>
        </w:rPr>
        <w:t> </w:t>
      </w:r>
      <w:r>
        <w:rPr>
          <w:color w:val="231F20"/>
          <w:w w:val="105"/>
          <w:sz w:val="18"/>
        </w:rPr>
        <w:t>Acción Nacional</w:t>
      </w:r>
      <w:r>
        <w:rPr>
          <w:color w:val="231F20"/>
          <w:spacing w:val="-23"/>
          <w:w w:val="105"/>
          <w:sz w:val="18"/>
        </w:rPr>
        <w:t> </w:t>
      </w:r>
      <w:r>
        <w:rPr>
          <w:color w:val="231F20"/>
          <w:spacing w:val="-3"/>
          <w:w w:val="105"/>
          <w:sz w:val="18"/>
        </w:rPr>
        <w:t>(1956-1971),</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Revista</w:t>
      </w:r>
      <w:r>
        <w:rPr>
          <w:color w:val="231F20"/>
          <w:spacing w:val="-23"/>
          <w:w w:val="105"/>
          <w:sz w:val="18"/>
        </w:rPr>
        <w:t> </w:t>
      </w:r>
      <w:r>
        <w:rPr>
          <w:color w:val="231F20"/>
          <w:w w:val="105"/>
          <w:sz w:val="18"/>
        </w:rPr>
        <w:t>Mexicana</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Sociología,</w:t>
      </w:r>
      <w:r>
        <w:rPr>
          <w:color w:val="231F20"/>
          <w:spacing w:val="-23"/>
          <w:w w:val="105"/>
          <w:sz w:val="18"/>
        </w:rPr>
        <w:t> </w:t>
      </w:r>
      <w:r>
        <w:rPr>
          <w:color w:val="231F20"/>
          <w:spacing w:val="2"/>
          <w:w w:val="105"/>
          <w:sz w:val="18"/>
        </w:rPr>
        <w:t>IIS-UNAM,</w:t>
      </w:r>
      <w:r>
        <w:rPr>
          <w:color w:val="231F20"/>
          <w:spacing w:val="-23"/>
          <w:w w:val="105"/>
          <w:sz w:val="18"/>
        </w:rPr>
        <w:t> </w:t>
      </w:r>
      <w:r>
        <w:rPr>
          <w:color w:val="231F20"/>
          <w:w w:val="105"/>
          <w:sz w:val="18"/>
        </w:rPr>
        <w:t>México.</w:t>
      </w:r>
    </w:p>
    <w:p>
      <w:pPr>
        <w:spacing w:line="348" w:lineRule="auto" w:before="3"/>
        <w:ind w:left="393" w:right="1057" w:hanging="284"/>
        <w:jc w:val="left"/>
        <w:rPr>
          <w:sz w:val="18"/>
        </w:rPr>
      </w:pPr>
      <w:r>
        <w:rPr>
          <w:color w:val="231F20"/>
          <w:sz w:val="18"/>
        </w:rPr>
        <w:t>___________ (coord.) (2002), Partido Acción Nacional: los signos de la institucionalización, UNAM-Gernika,  México.</w:t>
      </w:r>
    </w:p>
    <w:p>
      <w:pPr>
        <w:spacing w:line="348" w:lineRule="auto" w:before="3"/>
        <w:ind w:left="393" w:right="2920" w:hanging="284"/>
        <w:jc w:val="left"/>
        <w:rPr>
          <w:sz w:val="18"/>
        </w:rPr>
      </w:pPr>
      <w:r>
        <w:rPr>
          <w:color w:val="231F20"/>
          <w:sz w:val="18"/>
        </w:rPr>
        <w:t>___________ (coord.) (2003), Partido Revolucionario Institucional, UNAM-Gernika,  México</w:t>
      </w:r>
    </w:p>
    <w:p>
      <w:pPr>
        <w:spacing w:line="348" w:lineRule="auto" w:before="3"/>
        <w:ind w:left="393" w:right="1487" w:hanging="284"/>
        <w:jc w:val="left"/>
        <w:rPr>
          <w:sz w:val="18"/>
        </w:rPr>
      </w:pPr>
      <w:r>
        <w:rPr>
          <w:color w:val="231F20"/>
          <w:sz w:val="18"/>
        </w:rPr>
        <w:t>____________ (coord.) (2004), Partido de la Revolución Democrática. Los problemas de  la  institucionalización,  UNAM-Gernika, México.</w:t>
      </w:r>
    </w:p>
    <w:p>
      <w:pPr>
        <w:spacing w:line="348" w:lineRule="auto" w:before="3"/>
        <w:ind w:left="393" w:right="113" w:hanging="284"/>
        <w:jc w:val="left"/>
        <w:rPr>
          <w:sz w:val="18"/>
        </w:rPr>
      </w:pPr>
      <w:r>
        <w:rPr>
          <w:color w:val="231F20"/>
          <w:w w:val="105"/>
          <w:sz w:val="18"/>
        </w:rPr>
        <w:t>____________ (coord.) (2005), Los partidos políticos en México, ¿Crisis, adaptación o transformación?, </w:t>
      </w:r>
      <w:r>
        <w:rPr>
          <w:color w:val="231F20"/>
          <w:sz w:val="18"/>
        </w:rPr>
        <w:t>UNAM-Gernika,  México.</w:t>
      </w:r>
    </w:p>
    <w:p>
      <w:pPr>
        <w:spacing w:line="348" w:lineRule="auto" w:before="3"/>
        <w:ind w:left="393" w:right="2053" w:hanging="284"/>
        <w:jc w:val="left"/>
        <w:rPr>
          <w:sz w:val="18"/>
        </w:rPr>
      </w:pPr>
      <w:r>
        <w:rPr>
          <w:color w:val="231F20"/>
          <w:w w:val="105"/>
          <w:sz w:val="18"/>
        </w:rPr>
        <w:t>____________ (coord.) (2008) Partidos emergentes en México: Convergencia, </w:t>
      </w:r>
      <w:r>
        <w:rPr>
          <w:color w:val="231F20"/>
          <w:sz w:val="18"/>
        </w:rPr>
        <w:t>México,  UNAM-Gernika.</w:t>
      </w:r>
    </w:p>
    <w:p>
      <w:pPr>
        <w:spacing w:line="348" w:lineRule="auto" w:before="3"/>
        <w:ind w:left="393" w:right="706" w:hanging="284"/>
        <w:jc w:val="left"/>
        <w:rPr>
          <w:sz w:val="18"/>
        </w:rPr>
      </w:pPr>
      <w:r>
        <w:rPr>
          <w:color w:val="231F20"/>
          <w:sz w:val="18"/>
        </w:rPr>
        <w:t>RODRÍGUEZ ARAUJO, Octavio (1989), La reforma política y los partidos políticos en México, Siglo XXI, México.</w:t>
      </w:r>
    </w:p>
    <w:p>
      <w:pPr>
        <w:spacing w:line="348" w:lineRule="auto" w:before="3"/>
        <w:ind w:left="393" w:right="113" w:hanging="284"/>
        <w:jc w:val="left"/>
        <w:rPr>
          <w:sz w:val="18"/>
        </w:rPr>
      </w:pPr>
      <w:r>
        <w:rPr>
          <w:color w:val="231F20"/>
          <w:w w:val="105"/>
          <w:sz w:val="18"/>
        </w:rPr>
        <w:t>RODRÍGUEZ,</w:t>
      </w:r>
      <w:r>
        <w:rPr>
          <w:color w:val="231F20"/>
          <w:spacing w:val="-14"/>
          <w:w w:val="105"/>
          <w:sz w:val="18"/>
        </w:rPr>
        <w:t> </w:t>
      </w:r>
      <w:r>
        <w:rPr>
          <w:color w:val="231F20"/>
          <w:w w:val="105"/>
          <w:sz w:val="18"/>
        </w:rPr>
        <w:t>Victoria</w:t>
      </w:r>
      <w:r>
        <w:rPr>
          <w:color w:val="231F20"/>
          <w:spacing w:val="-14"/>
          <w:w w:val="105"/>
          <w:sz w:val="18"/>
        </w:rPr>
        <w:t> </w:t>
      </w:r>
      <w:r>
        <w:rPr>
          <w:color w:val="231F20"/>
          <w:spacing w:val="2"/>
          <w:w w:val="105"/>
          <w:sz w:val="18"/>
        </w:rPr>
        <w:t>E.</w:t>
      </w:r>
      <w:r>
        <w:rPr>
          <w:color w:val="231F20"/>
          <w:spacing w:val="-14"/>
          <w:w w:val="105"/>
          <w:sz w:val="18"/>
        </w:rPr>
        <w:t> </w:t>
      </w:r>
      <w:r>
        <w:rPr>
          <w:color w:val="231F20"/>
          <w:spacing w:val="-3"/>
          <w:w w:val="105"/>
          <w:sz w:val="18"/>
        </w:rPr>
        <w:t>(1999).</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descentralización</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México.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reforma</w:t>
      </w:r>
      <w:r>
        <w:rPr>
          <w:color w:val="231F20"/>
          <w:spacing w:val="-14"/>
          <w:w w:val="105"/>
          <w:sz w:val="18"/>
        </w:rPr>
        <w:t> </w:t>
      </w:r>
      <w:r>
        <w:rPr>
          <w:color w:val="231F20"/>
          <w:w w:val="105"/>
          <w:sz w:val="18"/>
        </w:rPr>
        <w:t>municipal</w:t>
      </w:r>
      <w:r>
        <w:rPr>
          <w:color w:val="231F20"/>
          <w:spacing w:val="-14"/>
          <w:w w:val="105"/>
          <w:sz w:val="18"/>
        </w:rPr>
        <w:t> </w:t>
      </w:r>
      <w:r>
        <w:rPr>
          <w:color w:val="231F20"/>
          <w:w w:val="105"/>
          <w:sz w:val="18"/>
        </w:rPr>
        <w:t>a</w:t>
      </w:r>
      <w:r>
        <w:rPr>
          <w:color w:val="231F20"/>
          <w:spacing w:val="-14"/>
          <w:w w:val="105"/>
          <w:sz w:val="18"/>
        </w:rPr>
        <w:t> </w:t>
      </w:r>
      <w:r>
        <w:rPr>
          <w:color w:val="231F20"/>
          <w:w w:val="105"/>
          <w:sz w:val="18"/>
        </w:rPr>
        <w:t>Solidaridad y</w:t>
      </w:r>
      <w:r>
        <w:rPr>
          <w:color w:val="231F20"/>
          <w:spacing w:val="-16"/>
          <w:w w:val="105"/>
          <w:sz w:val="18"/>
        </w:rPr>
        <w:t> </w:t>
      </w:r>
      <w:r>
        <w:rPr>
          <w:color w:val="231F20"/>
          <w:w w:val="105"/>
          <w:sz w:val="18"/>
        </w:rPr>
        <w:t>el</w:t>
      </w:r>
      <w:r>
        <w:rPr>
          <w:color w:val="231F20"/>
          <w:spacing w:val="-16"/>
          <w:w w:val="105"/>
          <w:sz w:val="18"/>
        </w:rPr>
        <w:t> </w:t>
      </w:r>
      <w:r>
        <w:rPr>
          <w:color w:val="231F20"/>
          <w:w w:val="105"/>
          <w:sz w:val="18"/>
        </w:rPr>
        <w:t>nuevo</w:t>
      </w:r>
      <w:r>
        <w:rPr>
          <w:color w:val="231F20"/>
          <w:spacing w:val="-16"/>
          <w:w w:val="105"/>
          <w:sz w:val="18"/>
        </w:rPr>
        <w:t> </w:t>
      </w:r>
      <w:r>
        <w:rPr>
          <w:color w:val="231F20"/>
          <w:w w:val="105"/>
          <w:sz w:val="18"/>
        </w:rPr>
        <w:t>federalismo.</w:t>
      </w:r>
      <w:r>
        <w:rPr>
          <w:color w:val="231F20"/>
          <w:spacing w:val="-16"/>
          <w:w w:val="105"/>
          <w:sz w:val="18"/>
        </w:rPr>
        <w:t> </w:t>
      </w:r>
      <w:r>
        <w:rPr>
          <w:color w:val="231F20"/>
          <w:spacing w:val="-4"/>
          <w:w w:val="105"/>
          <w:sz w:val="18"/>
        </w:rPr>
        <w:t>(Tr.</w:t>
      </w:r>
      <w:r>
        <w:rPr>
          <w:color w:val="231F20"/>
          <w:spacing w:val="-16"/>
          <w:w w:val="105"/>
          <w:sz w:val="18"/>
        </w:rPr>
        <w:t> </w:t>
      </w:r>
      <w:r>
        <w:rPr>
          <w:color w:val="231F20"/>
          <w:w w:val="105"/>
          <w:sz w:val="18"/>
        </w:rPr>
        <w:t>Eduardo</w:t>
      </w:r>
      <w:r>
        <w:rPr>
          <w:color w:val="231F20"/>
          <w:spacing w:val="-16"/>
          <w:w w:val="105"/>
          <w:sz w:val="18"/>
        </w:rPr>
        <w:t> </w:t>
      </w:r>
      <w:r>
        <w:rPr>
          <w:color w:val="231F20"/>
          <w:spacing w:val="3"/>
          <w:w w:val="105"/>
          <w:sz w:val="18"/>
        </w:rPr>
        <w:t>L.</w:t>
      </w:r>
      <w:r>
        <w:rPr>
          <w:color w:val="231F20"/>
          <w:spacing w:val="-16"/>
          <w:w w:val="105"/>
          <w:sz w:val="18"/>
        </w:rPr>
        <w:t> </w:t>
      </w:r>
      <w:r>
        <w:rPr>
          <w:color w:val="231F20"/>
          <w:w w:val="105"/>
          <w:sz w:val="18"/>
        </w:rPr>
        <w:t>Suárez).</w:t>
      </w:r>
      <w:r>
        <w:rPr>
          <w:color w:val="231F20"/>
          <w:spacing w:val="-16"/>
          <w:w w:val="105"/>
          <w:sz w:val="18"/>
        </w:rPr>
        <w:t> </w:t>
      </w:r>
      <w:r>
        <w:rPr>
          <w:color w:val="231F20"/>
          <w:w w:val="105"/>
          <w:sz w:val="18"/>
        </w:rPr>
        <w:t>Editado</w:t>
      </w:r>
      <w:r>
        <w:rPr>
          <w:color w:val="231F20"/>
          <w:spacing w:val="-16"/>
          <w:w w:val="105"/>
          <w:sz w:val="18"/>
        </w:rPr>
        <w:t> </w:t>
      </w:r>
      <w:r>
        <w:rPr>
          <w:color w:val="231F20"/>
          <w:w w:val="105"/>
          <w:sz w:val="18"/>
        </w:rPr>
        <w:t>por</w:t>
      </w:r>
      <w:r>
        <w:rPr>
          <w:color w:val="231F20"/>
          <w:spacing w:val="-16"/>
          <w:w w:val="105"/>
          <w:sz w:val="18"/>
        </w:rPr>
        <w:t> </w:t>
      </w:r>
      <w:r>
        <w:rPr>
          <w:color w:val="231F20"/>
          <w:w w:val="105"/>
          <w:sz w:val="18"/>
        </w:rPr>
        <w:t>FCE.</w:t>
      </w:r>
      <w:r>
        <w:rPr>
          <w:color w:val="231F20"/>
          <w:spacing w:val="-16"/>
          <w:w w:val="105"/>
          <w:sz w:val="18"/>
        </w:rPr>
        <w:t> </w:t>
      </w:r>
      <w:r>
        <w:rPr>
          <w:color w:val="231F20"/>
          <w:w w:val="105"/>
          <w:sz w:val="18"/>
        </w:rPr>
        <w:t>México.</w:t>
      </w:r>
    </w:p>
    <w:p>
      <w:pPr>
        <w:spacing w:line="348" w:lineRule="auto" w:before="3"/>
        <w:ind w:left="393" w:right="124" w:hanging="284"/>
        <w:jc w:val="left"/>
        <w:rPr>
          <w:sz w:val="18"/>
        </w:rPr>
      </w:pPr>
      <w:r>
        <w:rPr>
          <w:color w:val="231F20"/>
          <w:spacing w:val="2"/>
          <w:w w:val="105"/>
          <w:sz w:val="18"/>
        </w:rPr>
        <w:t>SANCHEZ,</w:t>
      </w:r>
      <w:r>
        <w:rPr>
          <w:color w:val="231F20"/>
          <w:spacing w:val="-12"/>
          <w:w w:val="105"/>
          <w:sz w:val="18"/>
        </w:rPr>
        <w:t> </w:t>
      </w:r>
      <w:r>
        <w:rPr>
          <w:color w:val="231F20"/>
          <w:w w:val="105"/>
          <w:sz w:val="18"/>
        </w:rPr>
        <w:t>Marco</w:t>
      </w:r>
      <w:r>
        <w:rPr>
          <w:color w:val="231F20"/>
          <w:spacing w:val="-12"/>
          <w:w w:val="105"/>
          <w:sz w:val="18"/>
        </w:rPr>
        <w:t> </w:t>
      </w:r>
      <w:r>
        <w:rPr>
          <w:color w:val="231F20"/>
          <w:w w:val="105"/>
          <w:sz w:val="18"/>
        </w:rPr>
        <w:t>Aurelio</w:t>
      </w:r>
      <w:r>
        <w:rPr>
          <w:color w:val="231F20"/>
          <w:spacing w:val="-12"/>
          <w:w w:val="105"/>
          <w:sz w:val="18"/>
        </w:rPr>
        <w:t> </w:t>
      </w:r>
      <w:r>
        <w:rPr>
          <w:color w:val="231F20"/>
          <w:w w:val="105"/>
          <w:sz w:val="18"/>
        </w:rPr>
        <w:t>(2001),</w:t>
      </w:r>
      <w:r>
        <w:rPr>
          <w:color w:val="231F20"/>
          <w:spacing w:val="-12"/>
          <w:w w:val="105"/>
          <w:sz w:val="18"/>
        </w:rPr>
        <w:t> </w:t>
      </w:r>
      <w:r>
        <w:rPr>
          <w:color w:val="231F20"/>
          <w:w w:val="105"/>
          <w:sz w:val="18"/>
        </w:rPr>
        <w:t>PRD,</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rostro</w:t>
      </w:r>
      <w:r>
        <w:rPr>
          <w:color w:val="231F20"/>
          <w:spacing w:val="-12"/>
          <w:w w:val="105"/>
          <w:sz w:val="18"/>
        </w:rPr>
        <w:t> </w:t>
      </w:r>
      <w:r>
        <w:rPr>
          <w:color w:val="231F20"/>
          <w:w w:val="105"/>
          <w:sz w:val="18"/>
        </w:rPr>
        <w:t>y</w:t>
      </w:r>
      <w:r>
        <w:rPr>
          <w:color w:val="231F20"/>
          <w:spacing w:val="-12"/>
          <w:w w:val="105"/>
          <w:sz w:val="18"/>
        </w:rPr>
        <w:t> </w:t>
      </w:r>
      <w:r>
        <w:rPr>
          <w:color w:val="231F20"/>
          <w:w w:val="105"/>
          <w:sz w:val="18"/>
        </w:rPr>
        <w:t>la</w:t>
      </w:r>
      <w:r>
        <w:rPr>
          <w:color w:val="231F20"/>
          <w:spacing w:val="-12"/>
          <w:w w:val="105"/>
          <w:sz w:val="18"/>
        </w:rPr>
        <w:t> </w:t>
      </w:r>
      <w:r>
        <w:rPr>
          <w:color w:val="231F20"/>
          <w:spacing w:val="2"/>
          <w:w w:val="105"/>
          <w:sz w:val="18"/>
        </w:rPr>
        <w:t>máscara.</w:t>
      </w:r>
      <w:r>
        <w:rPr>
          <w:color w:val="231F20"/>
          <w:spacing w:val="-12"/>
          <w:w w:val="105"/>
          <w:sz w:val="18"/>
        </w:rPr>
        <w:t> </w:t>
      </w:r>
      <w:r>
        <w:rPr>
          <w:color w:val="231F20"/>
          <w:w w:val="105"/>
          <w:sz w:val="18"/>
        </w:rPr>
        <w:t>Reporte</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crisis</w:t>
      </w:r>
      <w:r>
        <w:rPr>
          <w:color w:val="231F20"/>
          <w:spacing w:val="-12"/>
          <w:w w:val="105"/>
          <w:sz w:val="18"/>
        </w:rPr>
        <w:t> </w:t>
      </w:r>
      <w:r>
        <w:rPr>
          <w:color w:val="231F20"/>
          <w:w w:val="105"/>
          <w:sz w:val="18"/>
        </w:rPr>
        <w:t>Terminal</w:t>
      </w:r>
      <w:r>
        <w:rPr>
          <w:color w:val="231F20"/>
          <w:spacing w:val="-12"/>
          <w:w w:val="105"/>
          <w:sz w:val="18"/>
        </w:rPr>
        <w:t> </w:t>
      </w:r>
      <w:r>
        <w:rPr>
          <w:color w:val="231F20"/>
          <w:w w:val="105"/>
          <w:sz w:val="18"/>
        </w:rPr>
        <w:t>de</w:t>
      </w:r>
      <w:r>
        <w:rPr>
          <w:color w:val="231F20"/>
          <w:spacing w:val="-12"/>
          <w:w w:val="105"/>
          <w:sz w:val="18"/>
        </w:rPr>
        <w:t> </w:t>
      </w:r>
      <w:r>
        <w:rPr>
          <w:color w:val="231F20"/>
          <w:spacing w:val="2"/>
          <w:w w:val="105"/>
          <w:sz w:val="18"/>
        </w:rPr>
        <w:t>una</w:t>
      </w:r>
      <w:r>
        <w:rPr>
          <w:color w:val="231F20"/>
          <w:spacing w:val="-12"/>
          <w:w w:val="105"/>
          <w:sz w:val="18"/>
        </w:rPr>
        <w:t> </w:t>
      </w:r>
      <w:r>
        <w:rPr>
          <w:color w:val="231F20"/>
          <w:w w:val="105"/>
          <w:sz w:val="18"/>
        </w:rPr>
        <w:t>élite política. Centro de Estudios de Política Comparada-Centro de Estudios de para la Transición Democrática,</w:t>
      </w:r>
      <w:r>
        <w:rPr>
          <w:color w:val="231F20"/>
          <w:spacing w:val="-22"/>
          <w:w w:val="105"/>
          <w:sz w:val="18"/>
        </w:rPr>
        <w:t> </w:t>
      </w:r>
      <w:r>
        <w:rPr>
          <w:color w:val="231F20"/>
          <w:w w:val="105"/>
          <w:sz w:val="18"/>
        </w:rPr>
        <w:t>México.</w:t>
      </w:r>
    </w:p>
    <w:p>
      <w:pPr>
        <w:spacing w:line="348" w:lineRule="auto" w:before="3"/>
        <w:ind w:left="393" w:right="124" w:hanging="284"/>
        <w:jc w:val="left"/>
        <w:rPr>
          <w:sz w:val="18"/>
        </w:rPr>
      </w:pPr>
      <w:r>
        <w:rPr>
          <w:color w:val="231F20"/>
          <w:w w:val="105"/>
          <w:sz w:val="18"/>
        </w:rPr>
        <w:t>SÁNCHEZ</w:t>
      </w:r>
      <w:r>
        <w:rPr>
          <w:color w:val="231F20"/>
          <w:spacing w:val="-16"/>
          <w:w w:val="105"/>
          <w:sz w:val="18"/>
        </w:rPr>
        <w:t> </w:t>
      </w:r>
      <w:r>
        <w:rPr>
          <w:color w:val="231F20"/>
          <w:spacing w:val="2"/>
          <w:w w:val="105"/>
          <w:sz w:val="18"/>
        </w:rPr>
        <w:t>RAMOS,</w:t>
      </w:r>
      <w:r>
        <w:rPr>
          <w:color w:val="231F20"/>
          <w:spacing w:val="-16"/>
          <w:w w:val="105"/>
          <w:sz w:val="18"/>
        </w:rPr>
        <w:t> </w:t>
      </w:r>
      <w:r>
        <w:rPr>
          <w:color w:val="231F20"/>
          <w:w w:val="105"/>
          <w:sz w:val="18"/>
        </w:rPr>
        <w:t>Miguel</w:t>
      </w:r>
      <w:r>
        <w:rPr>
          <w:color w:val="231F20"/>
          <w:spacing w:val="-16"/>
          <w:w w:val="105"/>
          <w:sz w:val="18"/>
        </w:rPr>
        <w:t> </w:t>
      </w:r>
      <w:r>
        <w:rPr>
          <w:color w:val="231F20"/>
          <w:w w:val="105"/>
          <w:sz w:val="18"/>
        </w:rPr>
        <w:t>Ángel</w:t>
      </w:r>
      <w:r>
        <w:rPr>
          <w:color w:val="231F20"/>
          <w:spacing w:val="-16"/>
          <w:w w:val="105"/>
          <w:sz w:val="18"/>
        </w:rPr>
        <w:t> </w:t>
      </w:r>
      <w:r>
        <w:rPr>
          <w:color w:val="231F20"/>
          <w:w w:val="105"/>
          <w:sz w:val="18"/>
        </w:rPr>
        <w:t>(2007).</w:t>
      </w:r>
      <w:r>
        <w:rPr>
          <w:color w:val="231F20"/>
          <w:spacing w:val="-16"/>
          <w:w w:val="105"/>
          <w:sz w:val="18"/>
        </w:rPr>
        <w:t> </w:t>
      </w:r>
      <w:r>
        <w:rPr>
          <w:color w:val="231F20"/>
          <w:w w:val="105"/>
          <w:sz w:val="18"/>
        </w:rPr>
        <w:t>“Tendencias</w:t>
      </w:r>
      <w:r>
        <w:rPr>
          <w:color w:val="231F20"/>
          <w:spacing w:val="-16"/>
          <w:w w:val="105"/>
          <w:sz w:val="18"/>
        </w:rPr>
        <w:t> </w:t>
      </w:r>
      <w:r>
        <w:rPr>
          <w:color w:val="231F20"/>
          <w:w w:val="105"/>
          <w:sz w:val="18"/>
        </w:rPr>
        <w:t>hacia</w:t>
      </w:r>
      <w:r>
        <w:rPr>
          <w:color w:val="231F20"/>
          <w:spacing w:val="-16"/>
          <w:w w:val="105"/>
          <w:sz w:val="18"/>
        </w:rPr>
        <w:t> </w:t>
      </w:r>
      <w:r>
        <w:rPr>
          <w:color w:val="231F20"/>
          <w:w w:val="105"/>
          <w:sz w:val="18"/>
        </w:rPr>
        <w:t>el</w:t>
      </w:r>
      <w:r>
        <w:rPr>
          <w:color w:val="231F20"/>
          <w:spacing w:val="-16"/>
          <w:w w:val="105"/>
          <w:sz w:val="18"/>
        </w:rPr>
        <w:t> </w:t>
      </w:r>
      <w:r>
        <w:rPr>
          <w:color w:val="231F20"/>
          <w:w w:val="105"/>
          <w:sz w:val="18"/>
        </w:rPr>
        <w:t>isomorfismo</w:t>
      </w:r>
      <w:r>
        <w:rPr>
          <w:color w:val="231F20"/>
          <w:spacing w:val="-16"/>
          <w:w w:val="105"/>
          <w:sz w:val="18"/>
        </w:rPr>
        <w:t> </w:t>
      </w:r>
      <w:r>
        <w:rPr>
          <w:color w:val="231F20"/>
          <w:w w:val="105"/>
          <w:sz w:val="18"/>
        </w:rPr>
        <w:t>en</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administración pública</w:t>
      </w:r>
      <w:r>
        <w:rPr>
          <w:color w:val="231F20"/>
          <w:spacing w:val="-13"/>
          <w:w w:val="105"/>
          <w:sz w:val="18"/>
        </w:rPr>
        <w:t> </w:t>
      </w:r>
      <w:r>
        <w:rPr>
          <w:color w:val="231F20"/>
          <w:w w:val="105"/>
          <w:sz w:val="18"/>
        </w:rPr>
        <w:t>municipal</w:t>
      </w:r>
      <w:r>
        <w:rPr>
          <w:color w:val="231F20"/>
          <w:spacing w:val="-13"/>
          <w:w w:val="105"/>
          <w:sz w:val="18"/>
        </w:rPr>
        <w:t> </w:t>
      </w:r>
      <w:r>
        <w:rPr>
          <w:color w:val="231F20"/>
          <w:w w:val="105"/>
          <w:sz w:val="18"/>
        </w:rPr>
        <w:t>del</w:t>
      </w:r>
      <w:r>
        <w:rPr>
          <w:color w:val="231F20"/>
          <w:spacing w:val="-13"/>
          <w:w w:val="105"/>
          <w:sz w:val="18"/>
        </w:rPr>
        <w:t> </w:t>
      </w:r>
      <w:r>
        <w:rPr>
          <w:color w:val="231F20"/>
          <w:w w:val="105"/>
          <w:sz w:val="18"/>
        </w:rPr>
        <w:t>Estado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México”</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Espacios</w:t>
      </w:r>
      <w:r>
        <w:rPr>
          <w:color w:val="231F20"/>
          <w:spacing w:val="-13"/>
          <w:w w:val="105"/>
          <w:sz w:val="18"/>
        </w:rPr>
        <w:t> </w:t>
      </w:r>
      <w:r>
        <w:rPr>
          <w:color w:val="231F20"/>
          <w:w w:val="105"/>
          <w:sz w:val="18"/>
        </w:rPr>
        <w:t>Públicos,</w:t>
      </w:r>
      <w:r>
        <w:rPr>
          <w:color w:val="231F20"/>
          <w:spacing w:val="-13"/>
          <w:w w:val="105"/>
          <w:sz w:val="18"/>
        </w:rPr>
        <w:t> </w:t>
      </w:r>
      <w:r>
        <w:rPr>
          <w:color w:val="231F20"/>
          <w:w w:val="105"/>
          <w:sz w:val="18"/>
        </w:rPr>
        <w:t>año</w:t>
      </w:r>
      <w:r>
        <w:rPr>
          <w:color w:val="231F20"/>
          <w:spacing w:val="-13"/>
          <w:w w:val="105"/>
          <w:sz w:val="18"/>
        </w:rPr>
        <w:t> </w:t>
      </w:r>
      <w:r>
        <w:rPr>
          <w:color w:val="231F20"/>
          <w:w w:val="105"/>
          <w:sz w:val="18"/>
        </w:rPr>
        <w:t>10,</w:t>
      </w:r>
      <w:r>
        <w:rPr>
          <w:color w:val="231F20"/>
          <w:spacing w:val="-13"/>
          <w:w w:val="105"/>
          <w:sz w:val="18"/>
        </w:rPr>
        <w:t> </w:t>
      </w:r>
      <w:r>
        <w:rPr>
          <w:color w:val="231F20"/>
          <w:w w:val="105"/>
          <w:sz w:val="18"/>
        </w:rPr>
        <w:t>Núm.</w:t>
      </w:r>
      <w:r>
        <w:rPr>
          <w:color w:val="231F20"/>
          <w:spacing w:val="-13"/>
          <w:w w:val="105"/>
          <w:sz w:val="18"/>
        </w:rPr>
        <w:t> </w:t>
      </w:r>
      <w:r>
        <w:rPr>
          <w:color w:val="231F20"/>
          <w:w w:val="105"/>
          <w:sz w:val="18"/>
        </w:rPr>
        <w:t>20,</w:t>
      </w:r>
    </w:p>
    <w:p>
      <w:pPr>
        <w:spacing w:before="3"/>
        <w:ind w:left="393" w:right="124" w:firstLine="0"/>
        <w:jc w:val="left"/>
        <w:rPr>
          <w:sz w:val="18"/>
        </w:rPr>
      </w:pPr>
      <w:r>
        <w:rPr>
          <w:color w:val="231F20"/>
          <w:w w:val="105"/>
          <w:sz w:val="18"/>
        </w:rPr>
        <w:t>Facultad de Ciencias Políticas y Administración Pública, UAAEM, México.</w:t>
      </w:r>
    </w:p>
    <w:p>
      <w:pPr>
        <w:spacing w:before="93"/>
        <w:ind w:left="110" w:right="124" w:firstLine="0"/>
        <w:jc w:val="left"/>
        <w:rPr>
          <w:sz w:val="18"/>
        </w:rPr>
      </w:pPr>
      <w:r>
        <w:rPr>
          <w:color w:val="231F20"/>
          <w:w w:val="105"/>
          <w:sz w:val="18"/>
        </w:rPr>
        <w:t>____________ (2008), La Democratización en el ámbito municipal en México.</w:t>
      </w:r>
    </w:p>
    <w:p>
      <w:pPr>
        <w:spacing w:before="93"/>
        <w:ind w:left="393" w:right="124" w:firstLine="0"/>
        <w:jc w:val="left"/>
        <w:rPr>
          <w:sz w:val="18"/>
        </w:rPr>
      </w:pPr>
      <w:r>
        <w:rPr>
          <w:color w:val="231F20"/>
          <w:sz w:val="18"/>
        </w:rPr>
        <w:t>El caso de los estados de México y Morelos, IEEM,  México</w:t>
      </w:r>
    </w:p>
    <w:p>
      <w:pPr>
        <w:spacing w:line="348" w:lineRule="auto" w:before="93"/>
        <w:ind w:left="393" w:right="706" w:hanging="284"/>
        <w:jc w:val="left"/>
        <w:rPr>
          <w:sz w:val="18"/>
        </w:rPr>
      </w:pPr>
      <w:r>
        <w:rPr>
          <w:color w:val="231F20"/>
          <w:w w:val="105"/>
          <w:sz w:val="18"/>
        </w:rPr>
        <w:t>SAUCEDO</w:t>
      </w:r>
      <w:r>
        <w:rPr>
          <w:color w:val="231F20"/>
          <w:spacing w:val="-22"/>
          <w:w w:val="105"/>
          <w:sz w:val="18"/>
        </w:rPr>
        <w:t> </w:t>
      </w:r>
      <w:r>
        <w:rPr>
          <w:color w:val="231F20"/>
          <w:spacing w:val="2"/>
          <w:w w:val="105"/>
          <w:sz w:val="18"/>
        </w:rPr>
        <w:t>SÁNCHEZ,</w:t>
      </w:r>
      <w:r>
        <w:rPr>
          <w:color w:val="231F20"/>
          <w:spacing w:val="-22"/>
          <w:w w:val="105"/>
          <w:sz w:val="18"/>
        </w:rPr>
        <w:t> </w:t>
      </w:r>
      <w:r>
        <w:rPr>
          <w:color w:val="231F20"/>
          <w:w w:val="105"/>
          <w:sz w:val="18"/>
        </w:rPr>
        <w:t>José</w:t>
      </w:r>
      <w:r>
        <w:rPr>
          <w:color w:val="231F20"/>
          <w:spacing w:val="-22"/>
          <w:w w:val="105"/>
          <w:sz w:val="18"/>
        </w:rPr>
        <w:t> </w:t>
      </w:r>
      <w:r>
        <w:rPr>
          <w:color w:val="231F20"/>
          <w:w w:val="105"/>
          <w:sz w:val="18"/>
        </w:rPr>
        <w:t>Alberto.</w:t>
      </w:r>
      <w:r>
        <w:rPr>
          <w:color w:val="231F20"/>
          <w:spacing w:val="-22"/>
          <w:w w:val="105"/>
          <w:sz w:val="18"/>
        </w:rPr>
        <w:t> </w:t>
      </w:r>
      <w:r>
        <w:rPr>
          <w:color w:val="231F20"/>
          <w:w w:val="105"/>
          <w:sz w:val="18"/>
        </w:rPr>
        <w:t>(1997).</w:t>
      </w:r>
      <w:r>
        <w:rPr>
          <w:color w:val="231F20"/>
          <w:spacing w:val="-22"/>
          <w:w w:val="105"/>
          <w:sz w:val="18"/>
        </w:rPr>
        <w:t> </w:t>
      </w:r>
      <w:r>
        <w:rPr>
          <w:color w:val="231F20"/>
          <w:w w:val="105"/>
          <w:sz w:val="18"/>
        </w:rPr>
        <w:t>Hacia</w:t>
      </w:r>
      <w:r>
        <w:rPr>
          <w:color w:val="231F20"/>
          <w:spacing w:val="-22"/>
          <w:w w:val="105"/>
          <w:sz w:val="18"/>
        </w:rPr>
        <w:t> </w:t>
      </w:r>
      <w:r>
        <w:rPr>
          <w:color w:val="231F20"/>
          <w:w w:val="105"/>
          <w:sz w:val="18"/>
        </w:rPr>
        <w:t>el</w:t>
      </w:r>
      <w:r>
        <w:rPr>
          <w:color w:val="231F20"/>
          <w:spacing w:val="-22"/>
          <w:w w:val="105"/>
          <w:sz w:val="18"/>
        </w:rPr>
        <w:t> </w:t>
      </w:r>
      <w:r>
        <w:rPr>
          <w:color w:val="231F20"/>
          <w:w w:val="105"/>
          <w:sz w:val="18"/>
        </w:rPr>
        <w:t>federalismo</w:t>
      </w:r>
      <w:r>
        <w:rPr>
          <w:color w:val="231F20"/>
          <w:spacing w:val="-22"/>
          <w:w w:val="105"/>
          <w:sz w:val="18"/>
        </w:rPr>
        <w:t> </w:t>
      </w:r>
      <w:r>
        <w:rPr>
          <w:color w:val="231F20"/>
          <w:spacing w:val="2"/>
          <w:w w:val="105"/>
          <w:sz w:val="18"/>
        </w:rPr>
        <w:t>fiscal.</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reforma</w:t>
      </w:r>
      <w:r>
        <w:rPr>
          <w:color w:val="231F20"/>
          <w:spacing w:val="-22"/>
          <w:w w:val="105"/>
          <w:sz w:val="18"/>
        </w:rPr>
        <w:t> </w:t>
      </w:r>
      <w:r>
        <w:rPr>
          <w:color w:val="231F20"/>
          <w:w w:val="105"/>
          <w:sz w:val="18"/>
        </w:rPr>
        <w:t>del</w:t>
      </w:r>
      <w:r>
        <w:rPr>
          <w:color w:val="231F20"/>
          <w:spacing w:val="-22"/>
          <w:w w:val="105"/>
          <w:sz w:val="18"/>
        </w:rPr>
        <w:t> </w:t>
      </w:r>
      <w:r>
        <w:rPr>
          <w:color w:val="231F20"/>
          <w:w w:val="105"/>
          <w:sz w:val="18"/>
        </w:rPr>
        <w:t>sistema de</w:t>
      </w:r>
      <w:r>
        <w:rPr>
          <w:color w:val="231F20"/>
          <w:spacing w:val="-9"/>
          <w:w w:val="105"/>
          <w:sz w:val="18"/>
        </w:rPr>
        <w:t> </w:t>
      </w:r>
      <w:r>
        <w:rPr>
          <w:color w:val="231F20"/>
          <w:w w:val="105"/>
          <w:sz w:val="18"/>
        </w:rPr>
        <w:t>asignación</w:t>
      </w:r>
      <w:r>
        <w:rPr>
          <w:color w:val="231F20"/>
          <w:spacing w:val="-9"/>
          <w:w w:val="105"/>
          <w:sz w:val="18"/>
        </w:rPr>
        <w:t> </w:t>
      </w:r>
      <w:r>
        <w:rPr>
          <w:color w:val="231F20"/>
          <w:w w:val="105"/>
          <w:sz w:val="18"/>
        </w:rPr>
        <w:t>de</w:t>
      </w:r>
      <w:r>
        <w:rPr>
          <w:color w:val="231F20"/>
          <w:spacing w:val="-9"/>
          <w:w w:val="105"/>
          <w:sz w:val="18"/>
        </w:rPr>
        <w:t> </w:t>
      </w:r>
      <w:r>
        <w:rPr>
          <w:color w:val="231F20"/>
          <w:w w:val="105"/>
          <w:sz w:val="18"/>
        </w:rPr>
        <w:t>participaciones</w:t>
      </w:r>
      <w:r>
        <w:rPr>
          <w:color w:val="231F20"/>
          <w:spacing w:val="-9"/>
          <w:w w:val="105"/>
          <w:sz w:val="18"/>
        </w:rPr>
        <w:t> </w:t>
      </w:r>
      <w:r>
        <w:rPr>
          <w:color w:val="231F20"/>
          <w:w w:val="105"/>
          <w:sz w:val="18"/>
        </w:rPr>
        <w:t>federales</w:t>
      </w:r>
      <w:r>
        <w:rPr>
          <w:color w:val="231F20"/>
          <w:spacing w:val="-9"/>
          <w:w w:val="105"/>
          <w:sz w:val="18"/>
        </w:rPr>
        <w:t> </w:t>
      </w:r>
      <w:r>
        <w:rPr>
          <w:color w:val="231F20"/>
          <w:w w:val="105"/>
          <w:sz w:val="18"/>
        </w:rPr>
        <w:t>a</w:t>
      </w:r>
      <w:r>
        <w:rPr>
          <w:color w:val="231F20"/>
          <w:spacing w:val="-9"/>
          <w:w w:val="105"/>
          <w:sz w:val="18"/>
        </w:rPr>
        <w:t> </w:t>
      </w:r>
      <w:r>
        <w:rPr>
          <w:color w:val="231F20"/>
          <w:w w:val="105"/>
          <w:sz w:val="18"/>
        </w:rPr>
        <w:t>los</w:t>
      </w:r>
      <w:r>
        <w:rPr>
          <w:color w:val="231F20"/>
          <w:spacing w:val="-9"/>
          <w:w w:val="105"/>
          <w:sz w:val="18"/>
        </w:rPr>
        <w:t> </w:t>
      </w:r>
      <w:r>
        <w:rPr>
          <w:color w:val="231F20"/>
          <w:w w:val="105"/>
          <w:sz w:val="18"/>
        </w:rPr>
        <w:t>estados.</w:t>
      </w:r>
      <w:r>
        <w:rPr>
          <w:color w:val="231F20"/>
          <w:spacing w:val="-9"/>
          <w:w w:val="105"/>
          <w:sz w:val="18"/>
        </w:rPr>
        <w:t> </w:t>
      </w:r>
      <w:r>
        <w:rPr>
          <w:color w:val="231F20"/>
          <w:w w:val="105"/>
          <w:sz w:val="18"/>
        </w:rPr>
        <w:t>Premio</w:t>
      </w:r>
      <w:r>
        <w:rPr>
          <w:color w:val="231F20"/>
          <w:spacing w:val="-9"/>
          <w:w w:val="105"/>
          <w:sz w:val="18"/>
        </w:rPr>
        <w:t> </w:t>
      </w:r>
      <w:r>
        <w:rPr>
          <w:color w:val="231F20"/>
          <w:w w:val="105"/>
          <w:sz w:val="18"/>
        </w:rPr>
        <w:t>del</w:t>
      </w:r>
      <w:r>
        <w:rPr>
          <w:color w:val="231F20"/>
          <w:spacing w:val="-9"/>
          <w:w w:val="105"/>
          <w:sz w:val="18"/>
        </w:rPr>
        <w:t> </w:t>
      </w:r>
      <w:r>
        <w:rPr>
          <w:color w:val="231F20"/>
          <w:w w:val="105"/>
          <w:sz w:val="18"/>
        </w:rPr>
        <w:t>INAP</w:t>
      </w:r>
      <w:r>
        <w:rPr>
          <w:color w:val="231F20"/>
          <w:spacing w:val="-9"/>
          <w:w w:val="105"/>
          <w:sz w:val="18"/>
        </w:rPr>
        <w:t> </w:t>
      </w:r>
      <w:r>
        <w:rPr>
          <w:color w:val="231F20"/>
          <w:w w:val="105"/>
          <w:sz w:val="18"/>
        </w:rPr>
        <w:t>1996.</w:t>
      </w:r>
    </w:p>
    <w:p>
      <w:pPr>
        <w:spacing w:before="3"/>
        <w:ind w:left="393" w:right="124" w:firstLine="0"/>
        <w:jc w:val="left"/>
        <w:rPr>
          <w:sz w:val="18"/>
        </w:rPr>
      </w:pPr>
      <w:r>
        <w:rPr>
          <w:color w:val="231F20"/>
          <w:sz w:val="18"/>
        </w:rPr>
        <w:t>INAP. México, 195 pp.</w:t>
      </w:r>
    </w:p>
    <w:p>
      <w:pPr>
        <w:spacing w:after="0"/>
        <w:jc w:val="left"/>
        <w:rPr>
          <w:sz w:val="18"/>
        </w:rPr>
        <w:sectPr>
          <w:pgSz w:w="9640" w:h="12190"/>
          <w:pgMar w:header="0" w:footer="743" w:top="1120" w:bottom="940" w:left="740" w:right="760"/>
        </w:sectPr>
      </w:pPr>
    </w:p>
    <w:p>
      <w:pPr>
        <w:pStyle w:val="BodyText"/>
        <w:spacing w:before="6"/>
        <w:rPr>
          <w:sz w:val="13"/>
        </w:rPr>
      </w:pPr>
    </w:p>
    <w:p>
      <w:pPr>
        <w:spacing w:line="348" w:lineRule="auto" w:before="47"/>
        <w:ind w:left="393" w:right="96" w:hanging="284"/>
        <w:jc w:val="left"/>
        <w:rPr>
          <w:sz w:val="18"/>
        </w:rPr>
      </w:pPr>
      <w:r>
        <w:rPr>
          <w:color w:val="231F20"/>
          <w:sz w:val="18"/>
        </w:rPr>
        <w:t>WOLDENBERG, José, Ricardo BECERRA y Pedro SALAZAR (2000), La mecánica del cambio político en México. Elecciones, partidos y reformas, Cal y Arena,   México.</w:t>
      </w:r>
    </w:p>
    <w:p>
      <w:pPr>
        <w:spacing w:before="3"/>
        <w:ind w:left="110" w:right="96" w:firstLine="0"/>
        <w:jc w:val="left"/>
        <w:rPr>
          <w:sz w:val="18"/>
        </w:rPr>
      </w:pPr>
      <w:r>
        <w:rPr>
          <w:color w:val="231F20"/>
          <w:w w:val="105"/>
          <w:sz w:val="18"/>
        </w:rPr>
        <w:t>WORLD BANK, (1991) Managing development: the governance dimension.</w:t>
      </w:r>
    </w:p>
    <w:p>
      <w:pPr>
        <w:spacing w:before="93"/>
        <w:ind w:left="393" w:right="96" w:firstLine="0"/>
        <w:jc w:val="left"/>
        <w:rPr>
          <w:sz w:val="18"/>
        </w:rPr>
      </w:pPr>
      <w:r>
        <w:rPr>
          <w:color w:val="231F20"/>
          <w:w w:val="105"/>
          <w:sz w:val="18"/>
        </w:rPr>
        <w:t>Discusion paper. Washington, D.C., 1991.</w:t>
      </w:r>
    </w:p>
    <w:p>
      <w:pPr>
        <w:spacing w:before="93"/>
        <w:ind w:left="110" w:right="96" w:firstLine="0"/>
        <w:jc w:val="left"/>
        <w:rPr>
          <w:sz w:val="18"/>
        </w:rPr>
      </w:pPr>
      <w:r>
        <w:rPr>
          <w:color w:val="231F20"/>
          <w:sz w:val="18"/>
        </w:rPr>
        <w:t>ZICCARDI, Alicia. (1991). Ciudades y gobiernos locales en AL en los  noventa.</w:t>
      </w:r>
    </w:p>
    <w:p>
      <w:pPr>
        <w:spacing w:before="93"/>
        <w:ind w:left="393" w:right="96" w:firstLine="0"/>
        <w:jc w:val="left"/>
        <w:rPr>
          <w:sz w:val="18"/>
        </w:rPr>
      </w:pPr>
      <w:r>
        <w:rPr>
          <w:color w:val="231F20"/>
          <w:w w:val="105"/>
          <w:sz w:val="18"/>
        </w:rPr>
        <w:t>Coedición de Miguel Ángel Porrúa, FLACSO, Instituto Mora. México.</w:t>
      </w:r>
    </w:p>
    <w:p>
      <w:pPr>
        <w:spacing w:line="348" w:lineRule="auto" w:before="93"/>
        <w:ind w:left="393" w:right="587" w:hanging="284"/>
        <w:jc w:val="left"/>
        <w:rPr>
          <w:sz w:val="18"/>
        </w:rPr>
      </w:pPr>
      <w:r>
        <w:rPr>
          <w:color w:val="231F20"/>
          <w:w w:val="105"/>
          <w:sz w:val="18"/>
        </w:rPr>
        <w:t>______________. (1994). “Gobiernos locales: problemas de la representación y la participación ciudadana” en La autoridad municipal y su compromiso con la democracia.</w:t>
      </w:r>
    </w:p>
    <w:p>
      <w:pPr>
        <w:spacing w:before="3"/>
        <w:ind w:left="393" w:right="96" w:firstLine="0"/>
        <w:jc w:val="left"/>
        <w:rPr>
          <w:sz w:val="18"/>
        </w:rPr>
      </w:pPr>
      <w:r>
        <w:rPr>
          <w:color w:val="231F20"/>
          <w:w w:val="105"/>
          <w:sz w:val="18"/>
        </w:rPr>
        <w:t>Secretaría de Gobernación, México.</w:t>
      </w:r>
    </w:p>
    <w:p>
      <w:pPr>
        <w:spacing w:line="348" w:lineRule="auto" w:before="93"/>
        <w:ind w:left="393" w:right="298" w:hanging="284"/>
        <w:jc w:val="left"/>
        <w:rPr>
          <w:sz w:val="18"/>
        </w:rPr>
      </w:pPr>
      <w:r>
        <w:rPr>
          <w:color w:val="231F20"/>
          <w:sz w:val="18"/>
        </w:rPr>
        <w:t>______________. (1994b). “Gobiernos locales entre la globalización y la ciudadanía (Reflexiones sobre las transformaciones recientes en el D.F). en: Lucía Álvarez (comp.) Participación social y cambio institucional en el DF.   IIH-UNAM.</w:t>
      </w:r>
    </w:p>
    <w:p>
      <w:pPr>
        <w:spacing w:before="3"/>
        <w:ind w:left="110" w:right="96" w:firstLine="0"/>
        <w:jc w:val="left"/>
        <w:rPr>
          <w:sz w:val="18"/>
        </w:rPr>
      </w:pPr>
      <w:r>
        <w:rPr>
          <w:color w:val="231F20"/>
          <w:sz w:val="18"/>
        </w:rPr>
        <w:t>______________. (1995) La tarea de gobernar: gobiernos locales y demandas   ciudadanas.</w:t>
      </w:r>
    </w:p>
    <w:p>
      <w:pPr>
        <w:spacing w:before="93"/>
        <w:ind w:left="393" w:right="96" w:firstLine="0"/>
        <w:jc w:val="left"/>
        <w:rPr>
          <w:sz w:val="18"/>
        </w:rPr>
      </w:pPr>
      <w:r>
        <w:rPr>
          <w:color w:val="231F20"/>
          <w:sz w:val="18"/>
        </w:rPr>
        <w:t>Coedición IIS-UNAM, Miguel Ángel Porrúa.   México.</w:t>
      </w:r>
    </w:p>
    <w:p>
      <w:pPr>
        <w:spacing w:line="348" w:lineRule="auto" w:before="93"/>
        <w:ind w:left="393" w:right="1022" w:hanging="284"/>
        <w:jc w:val="left"/>
        <w:rPr>
          <w:sz w:val="18"/>
        </w:rPr>
      </w:pPr>
      <w:r>
        <w:rPr>
          <w:color w:val="231F20"/>
          <w:sz w:val="18"/>
        </w:rPr>
        <w:t>______________ y Saltalamacchia H. (1997). Metodología de evaluación del desempeño de los gobiernos locales en ciudades mexicanas. IIS-UNAM.   México.</w:t>
      </w:r>
    </w:p>
    <w:p>
      <w:pPr>
        <w:spacing w:before="3"/>
        <w:ind w:left="110" w:right="96" w:firstLine="0"/>
        <w:jc w:val="left"/>
        <w:rPr>
          <w:sz w:val="18"/>
        </w:rPr>
      </w:pPr>
      <w:r>
        <w:rPr>
          <w:color w:val="231F20"/>
          <w:sz w:val="18"/>
        </w:rPr>
        <w:t>______________. (1998)  Gobernabilidad  y  participación ciudadana.</w:t>
      </w:r>
    </w:p>
    <w:p>
      <w:pPr>
        <w:spacing w:before="93"/>
        <w:ind w:left="393" w:right="96" w:firstLine="0"/>
        <w:jc w:val="left"/>
        <w:rPr>
          <w:sz w:val="18"/>
        </w:rPr>
      </w:pPr>
      <w:r>
        <w:rPr>
          <w:color w:val="231F20"/>
          <w:sz w:val="18"/>
        </w:rPr>
        <w:t>Editorial Miguel Ángel Porrúa- IISUNAM,   México.</w:t>
      </w:r>
    </w:p>
    <w:p>
      <w:pPr>
        <w:spacing w:line="348" w:lineRule="auto" w:before="93"/>
        <w:ind w:left="393" w:right="1246" w:hanging="284"/>
        <w:jc w:val="left"/>
        <w:rPr>
          <w:sz w:val="18"/>
        </w:rPr>
      </w:pPr>
      <w:r>
        <w:rPr>
          <w:color w:val="231F20"/>
          <w:sz w:val="18"/>
        </w:rPr>
        <w:t>______________. (2000). “Ciudadanos y vecinos” en Revista Universidad, N°. 595, UNAM, México.</w:t>
      </w:r>
    </w:p>
    <w:p>
      <w:pPr>
        <w:spacing w:after="0" w:line="348" w:lineRule="auto"/>
        <w:jc w:val="left"/>
        <w:rPr>
          <w:sz w:val="18"/>
        </w:rPr>
        <w:sectPr>
          <w:pgSz w:w="9640" w:h="12190"/>
          <w:pgMar w:header="0" w:footer="743" w:top="1120" w:bottom="940" w:left="740" w:right="9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pPr>
      <w:r>
        <w:rPr>
          <w:color w:val="231F20"/>
          <w:w w:val="105"/>
        </w:rPr>
        <w:t>El predominio del PRD en Nezahualcóyotl</w:t>
      </w:r>
    </w:p>
    <w:p>
      <w:pPr>
        <w:pStyle w:val="BodyText"/>
        <w:spacing w:before="6"/>
        <w:rPr>
          <w:b/>
          <w:sz w:val="29"/>
        </w:rPr>
      </w:pPr>
    </w:p>
    <w:p>
      <w:pPr>
        <w:spacing w:before="0"/>
        <w:ind w:left="0" w:right="108" w:firstLine="0"/>
        <w:jc w:val="right"/>
        <w:rPr>
          <w:i/>
          <w:sz w:val="20"/>
        </w:rPr>
      </w:pPr>
      <w:r>
        <w:rPr>
          <w:i/>
          <w:color w:val="231F20"/>
          <w:sz w:val="20"/>
        </w:rPr>
        <w:t>Ricardo Cortés Padilla</w:t>
      </w:r>
    </w:p>
    <w:p>
      <w:pPr>
        <w:pStyle w:val="BodyText"/>
        <w:spacing w:before="3"/>
        <w:rPr>
          <w:i/>
          <w:sz w:val="27"/>
        </w:rPr>
      </w:pPr>
    </w:p>
    <w:p>
      <w:pPr>
        <w:pStyle w:val="Heading3"/>
      </w:pPr>
      <w:r>
        <w:rPr>
          <w:color w:val="231F20"/>
          <w:w w:val="105"/>
        </w:rPr>
        <w:t>Introducción</w:t>
      </w:r>
    </w:p>
    <w:p>
      <w:pPr>
        <w:pStyle w:val="BodyText"/>
        <w:spacing w:line="285" w:lineRule="auto" w:before="38"/>
        <w:ind w:left="110" w:right="107"/>
        <w:jc w:val="both"/>
      </w:pPr>
      <w:r>
        <w:rPr>
          <w:color w:val="231F20"/>
          <w:w w:val="105"/>
        </w:rPr>
        <w:t>El proceso de desarrollo de la democracia en México ha tenido una dinámica peculiar desde prácticamente las últimas tres décadas. Singularidad que ha sido producto de  un</w:t>
      </w:r>
      <w:r>
        <w:rPr>
          <w:color w:val="231F20"/>
          <w:spacing w:val="-4"/>
          <w:w w:val="105"/>
        </w:rPr>
        <w:t> </w:t>
      </w:r>
      <w:r>
        <w:rPr>
          <w:color w:val="231F20"/>
          <w:w w:val="105"/>
        </w:rPr>
        <w:t>lento</w:t>
      </w:r>
      <w:r>
        <w:rPr>
          <w:color w:val="231F20"/>
          <w:spacing w:val="-4"/>
          <w:w w:val="105"/>
        </w:rPr>
        <w:t> </w:t>
      </w:r>
      <w:r>
        <w:rPr>
          <w:color w:val="231F20"/>
          <w:w w:val="105"/>
        </w:rPr>
        <w:t>avance</w:t>
      </w:r>
      <w:r>
        <w:rPr>
          <w:color w:val="231F20"/>
          <w:spacing w:val="-4"/>
          <w:w w:val="105"/>
        </w:rPr>
        <w:t> </w:t>
      </w:r>
      <w:r>
        <w:rPr>
          <w:color w:val="231F20"/>
          <w:w w:val="105"/>
        </w:rPr>
        <w:t>de</w:t>
      </w:r>
      <w:r>
        <w:rPr>
          <w:color w:val="231F20"/>
          <w:spacing w:val="-4"/>
          <w:w w:val="105"/>
        </w:rPr>
        <w:t> </w:t>
      </w:r>
      <w:r>
        <w:rPr>
          <w:color w:val="231F20"/>
          <w:w w:val="105"/>
        </w:rPr>
        <w:t>democratización,</w:t>
      </w:r>
      <w:r>
        <w:rPr>
          <w:color w:val="231F20"/>
          <w:spacing w:val="-4"/>
          <w:w w:val="105"/>
        </w:rPr>
        <w:t> </w:t>
      </w:r>
      <w:r>
        <w:rPr>
          <w:color w:val="231F20"/>
          <w:w w:val="105"/>
        </w:rPr>
        <w:t>impulsado</w:t>
      </w:r>
      <w:r>
        <w:rPr>
          <w:color w:val="231F20"/>
          <w:spacing w:val="-4"/>
          <w:w w:val="105"/>
        </w:rPr>
        <w:t> </w:t>
      </w:r>
      <w:r>
        <w:rPr>
          <w:color w:val="231F20"/>
          <w:w w:val="105"/>
        </w:rPr>
        <w:t>desde</w:t>
      </w:r>
      <w:r>
        <w:rPr>
          <w:color w:val="231F20"/>
          <w:spacing w:val="-4"/>
          <w:w w:val="105"/>
        </w:rPr>
        <w:t> </w:t>
      </w:r>
      <w:r>
        <w:rPr>
          <w:color w:val="231F20"/>
          <w:w w:val="105"/>
        </w:rPr>
        <w:t>la</w:t>
      </w:r>
      <w:r>
        <w:rPr>
          <w:color w:val="231F20"/>
          <w:spacing w:val="-4"/>
          <w:w w:val="105"/>
        </w:rPr>
        <w:t> </w:t>
      </w:r>
      <w:r>
        <w:rPr>
          <w:color w:val="231F20"/>
          <w:w w:val="105"/>
        </w:rPr>
        <w:t>lógica</w:t>
      </w:r>
      <w:r>
        <w:rPr>
          <w:color w:val="231F20"/>
          <w:spacing w:val="-4"/>
          <w:w w:val="105"/>
        </w:rPr>
        <w:t> </w:t>
      </w:r>
      <w:r>
        <w:rPr>
          <w:color w:val="231F20"/>
          <w:w w:val="105"/>
        </w:rPr>
        <w:t>del</w:t>
      </w:r>
      <w:r>
        <w:rPr>
          <w:color w:val="231F20"/>
          <w:spacing w:val="-4"/>
          <w:w w:val="105"/>
        </w:rPr>
        <w:t> </w:t>
      </w:r>
      <w:r>
        <w:rPr>
          <w:color w:val="231F20"/>
          <w:spacing w:val="-3"/>
          <w:w w:val="105"/>
        </w:rPr>
        <w:t>poder,</w:t>
      </w:r>
      <w:r>
        <w:rPr>
          <w:color w:val="231F20"/>
          <w:spacing w:val="-4"/>
          <w:w w:val="105"/>
        </w:rPr>
        <w:t> </w:t>
      </w:r>
      <w:r>
        <w:rPr>
          <w:color w:val="231F20"/>
          <w:w w:val="105"/>
        </w:rPr>
        <w:t>por</w:t>
      </w:r>
      <w:r>
        <w:rPr>
          <w:color w:val="231F20"/>
          <w:spacing w:val="-4"/>
          <w:w w:val="105"/>
        </w:rPr>
        <w:t> </w:t>
      </w:r>
      <w:r>
        <w:rPr>
          <w:color w:val="231F20"/>
          <w:w w:val="105"/>
        </w:rPr>
        <w:t>un</w:t>
      </w:r>
      <w:r>
        <w:rPr>
          <w:color w:val="231F20"/>
          <w:spacing w:val="-4"/>
          <w:w w:val="105"/>
        </w:rPr>
        <w:t> </w:t>
      </w:r>
      <w:r>
        <w:rPr>
          <w:color w:val="231F20"/>
          <w:w w:val="105"/>
        </w:rPr>
        <w:t>lado, en un </w:t>
      </w:r>
      <w:r>
        <w:rPr>
          <w:color w:val="231F20"/>
          <w:spacing w:val="2"/>
          <w:w w:val="105"/>
        </w:rPr>
        <w:t>afán </w:t>
      </w:r>
      <w:r>
        <w:rPr>
          <w:color w:val="231F20"/>
          <w:w w:val="105"/>
        </w:rPr>
        <w:t>de recuperar la legitimidad perdida, agudizada por las recurrentes crisis económicas</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spacing w:val="2"/>
          <w:w w:val="105"/>
        </w:rPr>
        <w:t>fin</w:t>
      </w:r>
      <w:r>
        <w:rPr>
          <w:color w:val="231F20"/>
          <w:spacing w:val="-17"/>
          <w:w w:val="105"/>
        </w:rPr>
        <w:t> </w:t>
      </w:r>
      <w:r>
        <w:rPr>
          <w:color w:val="231F20"/>
          <w:w w:val="105"/>
        </w:rPr>
        <w:t>del</w:t>
      </w:r>
      <w:r>
        <w:rPr>
          <w:color w:val="231F20"/>
          <w:spacing w:val="-17"/>
          <w:w w:val="105"/>
        </w:rPr>
        <w:t> </w:t>
      </w:r>
      <w:r>
        <w:rPr>
          <w:color w:val="231F20"/>
          <w:w w:val="105"/>
        </w:rPr>
        <w:t>modelo</w:t>
      </w:r>
      <w:r>
        <w:rPr>
          <w:color w:val="231F20"/>
          <w:spacing w:val="-17"/>
          <w:w w:val="105"/>
        </w:rPr>
        <w:t> </w:t>
      </w:r>
      <w:r>
        <w:rPr>
          <w:color w:val="231F20"/>
          <w:w w:val="105"/>
        </w:rPr>
        <w:t>económico</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benefactor;</w:t>
      </w:r>
      <w:r>
        <w:rPr>
          <w:color w:val="231F20"/>
          <w:spacing w:val="-17"/>
          <w:w w:val="105"/>
        </w:rPr>
        <w:t> </w:t>
      </w:r>
      <w:r>
        <w:rPr>
          <w:color w:val="231F20"/>
          <w:w w:val="105"/>
        </w:rPr>
        <w:t>y</w:t>
      </w:r>
      <w:r>
        <w:rPr>
          <w:color w:val="231F20"/>
          <w:spacing w:val="-17"/>
          <w:w w:val="105"/>
        </w:rPr>
        <w:t> </w:t>
      </w:r>
      <w:r>
        <w:rPr>
          <w:color w:val="231F20"/>
          <w:w w:val="105"/>
        </w:rPr>
        <w:t>por</w:t>
      </w:r>
      <w:r>
        <w:rPr>
          <w:color w:val="231F20"/>
          <w:spacing w:val="-17"/>
          <w:w w:val="105"/>
        </w:rPr>
        <w:t> </w:t>
      </w:r>
      <w:r>
        <w:rPr>
          <w:color w:val="231F20"/>
          <w:w w:val="105"/>
        </w:rPr>
        <w:t>otro</w:t>
      </w:r>
      <w:r>
        <w:rPr>
          <w:color w:val="231F20"/>
          <w:spacing w:val="-17"/>
          <w:w w:val="105"/>
        </w:rPr>
        <w:t> </w:t>
      </w:r>
      <w:r>
        <w:rPr>
          <w:color w:val="231F20"/>
          <w:w w:val="105"/>
        </w:rPr>
        <w:t>lado,</w:t>
      </w:r>
      <w:r>
        <w:rPr>
          <w:color w:val="231F20"/>
          <w:spacing w:val="-17"/>
          <w:w w:val="105"/>
        </w:rPr>
        <w:t> </w:t>
      </w:r>
      <w:r>
        <w:rPr>
          <w:color w:val="231F20"/>
          <w:w w:val="105"/>
        </w:rPr>
        <w:t>como resultado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crecientes</w:t>
      </w:r>
      <w:r>
        <w:rPr>
          <w:color w:val="231F20"/>
          <w:spacing w:val="-6"/>
          <w:w w:val="105"/>
        </w:rPr>
        <w:t> </w:t>
      </w:r>
      <w:r>
        <w:rPr>
          <w:color w:val="231F20"/>
          <w:w w:val="105"/>
        </w:rPr>
        <w:t>demandas</w:t>
      </w:r>
      <w:r>
        <w:rPr>
          <w:color w:val="231F20"/>
          <w:spacing w:val="-6"/>
          <w:w w:val="105"/>
        </w:rPr>
        <w:t> </w:t>
      </w:r>
      <w:r>
        <w:rPr>
          <w:color w:val="231F20"/>
          <w:w w:val="105"/>
        </w:rPr>
        <w:t>de</w:t>
      </w:r>
      <w:r>
        <w:rPr>
          <w:color w:val="231F20"/>
          <w:spacing w:val="-6"/>
          <w:w w:val="105"/>
        </w:rPr>
        <w:t> </w:t>
      </w:r>
      <w:r>
        <w:rPr>
          <w:color w:val="231F20"/>
          <w:w w:val="105"/>
        </w:rPr>
        <w:t>diferentes</w:t>
      </w:r>
      <w:r>
        <w:rPr>
          <w:color w:val="231F20"/>
          <w:spacing w:val="-6"/>
          <w:w w:val="105"/>
        </w:rPr>
        <w:t> </w:t>
      </w:r>
      <w:r>
        <w:rPr>
          <w:color w:val="231F20"/>
          <w:w w:val="105"/>
        </w:rPr>
        <w:t>sectores</w:t>
      </w:r>
      <w:r>
        <w:rPr>
          <w:color w:val="231F20"/>
          <w:spacing w:val="-6"/>
          <w:w w:val="105"/>
        </w:rPr>
        <w:t> </w:t>
      </w:r>
      <w:r>
        <w:rPr>
          <w:color w:val="231F20"/>
          <w:w w:val="105"/>
        </w:rPr>
        <w:t>sociales,</w:t>
      </w:r>
      <w:r>
        <w:rPr>
          <w:color w:val="231F20"/>
          <w:spacing w:val="-6"/>
          <w:w w:val="105"/>
        </w:rPr>
        <w:t> </w:t>
      </w:r>
      <w:r>
        <w:rPr>
          <w:color w:val="231F20"/>
          <w:w w:val="105"/>
        </w:rPr>
        <w:t>tanto</w:t>
      </w:r>
      <w:r>
        <w:rPr>
          <w:color w:val="231F20"/>
          <w:spacing w:val="-6"/>
          <w:w w:val="105"/>
        </w:rPr>
        <w:t> </w:t>
      </w:r>
      <w:r>
        <w:rPr>
          <w:color w:val="231F20"/>
          <w:w w:val="105"/>
        </w:rPr>
        <w:t>de</w:t>
      </w:r>
      <w:r>
        <w:rPr>
          <w:color w:val="231F20"/>
          <w:spacing w:val="-6"/>
          <w:w w:val="105"/>
        </w:rPr>
        <w:t> </w:t>
      </w:r>
      <w:r>
        <w:rPr>
          <w:color w:val="231F20"/>
          <w:w w:val="105"/>
        </w:rPr>
        <w:t>servicios públicos</w:t>
      </w:r>
      <w:r>
        <w:rPr>
          <w:color w:val="231F20"/>
          <w:spacing w:val="-10"/>
          <w:w w:val="105"/>
        </w:rPr>
        <w:t> </w:t>
      </w:r>
      <w:r>
        <w:rPr>
          <w:color w:val="231F20"/>
          <w:w w:val="105"/>
        </w:rPr>
        <w:t>básicos</w:t>
      </w:r>
      <w:r>
        <w:rPr>
          <w:color w:val="231F20"/>
          <w:spacing w:val="-10"/>
          <w:w w:val="105"/>
        </w:rPr>
        <w:t> </w:t>
      </w:r>
      <w:r>
        <w:rPr>
          <w:color w:val="231F20"/>
          <w:w w:val="105"/>
        </w:rPr>
        <w:t>como</w:t>
      </w:r>
      <w:r>
        <w:rPr>
          <w:color w:val="231F20"/>
          <w:spacing w:val="-10"/>
          <w:w w:val="105"/>
        </w:rPr>
        <w:t> </w:t>
      </w:r>
      <w:r>
        <w:rPr>
          <w:color w:val="231F20"/>
          <w:w w:val="105"/>
        </w:rPr>
        <w:t>de</w:t>
      </w:r>
      <w:r>
        <w:rPr>
          <w:color w:val="231F20"/>
          <w:spacing w:val="-10"/>
          <w:w w:val="105"/>
        </w:rPr>
        <w:t> </w:t>
      </w:r>
      <w:r>
        <w:rPr>
          <w:color w:val="231F20"/>
          <w:w w:val="105"/>
        </w:rPr>
        <w:t>gobiernos</w:t>
      </w:r>
      <w:r>
        <w:rPr>
          <w:color w:val="231F20"/>
          <w:spacing w:val="-10"/>
          <w:w w:val="105"/>
        </w:rPr>
        <w:t> </w:t>
      </w:r>
      <w:r>
        <w:rPr>
          <w:color w:val="231F20"/>
          <w:w w:val="105"/>
        </w:rPr>
        <w:t>más</w:t>
      </w:r>
      <w:r>
        <w:rPr>
          <w:color w:val="231F20"/>
          <w:spacing w:val="-10"/>
          <w:w w:val="105"/>
        </w:rPr>
        <w:t> </w:t>
      </w:r>
      <w:r>
        <w:rPr>
          <w:color w:val="231F20"/>
          <w:w w:val="105"/>
        </w:rPr>
        <w:t>transparentes</w:t>
      </w:r>
      <w:r>
        <w:rPr>
          <w:color w:val="231F20"/>
          <w:spacing w:val="-10"/>
          <w:w w:val="105"/>
        </w:rPr>
        <w:t> </w:t>
      </w:r>
      <w:r>
        <w:rPr>
          <w:color w:val="231F20"/>
          <w:w w:val="105"/>
        </w:rPr>
        <w:t>y</w:t>
      </w:r>
      <w:r>
        <w:rPr>
          <w:color w:val="231F20"/>
          <w:spacing w:val="-10"/>
          <w:w w:val="105"/>
        </w:rPr>
        <w:t> </w:t>
      </w:r>
      <w:r>
        <w:rPr>
          <w:color w:val="231F20"/>
          <w:w w:val="105"/>
        </w:rPr>
        <w:t>eficaces,</w:t>
      </w:r>
      <w:r>
        <w:rPr>
          <w:color w:val="231F20"/>
          <w:spacing w:val="-10"/>
          <w:w w:val="105"/>
        </w:rPr>
        <w:t> </w:t>
      </w:r>
      <w:r>
        <w:rPr>
          <w:color w:val="231F20"/>
          <w:w w:val="105"/>
        </w:rPr>
        <w:t>que</w:t>
      </w:r>
      <w:r>
        <w:rPr>
          <w:color w:val="231F20"/>
          <w:spacing w:val="-10"/>
          <w:w w:val="105"/>
        </w:rPr>
        <w:t> </w:t>
      </w:r>
      <w:r>
        <w:rPr>
          <w:color w:val="231F20"/>
          <w:w w:val="105"/>
        </w:rPr>
        <w:t>ha</w:t>
      </w:r>
      <w:r>
        <w:rPr>
          <w:color w:val="231F20"/>
          <w:spacing w:val="-10"/>
          <w:w w:val="105"/>
        </w:rPr>
        <w:t> </w:t>
      </w:r>
      <w:r>
        <w:rPr>
          <w:color w:val="231F20"/>
          <w:w w:val="105"/>
        </w:rPr>
        <w:t>venido</w:t>
      </w:r>
      <w:r>
        <w:rPr>
          <w:color w:val="231F20"/>
          <w:spacing w:val="-10"/>
          <w:w w:val="105"/>
        </w:rPr>
        <w:t> </w:t>
      </w:r>
      <w:r>
        <w:rPr>
          <w:color w:val="231F20"/>
          <w:spacing w:val="-3"/>
          <w:w w:val="105"/>
        </w:rPr>
        <w:t>reper- </w:t>
      </w:r>
      <w:r>
        <w:rPr>
          <w:color w:val="231F20"/>
          <w:w w:val="105"/>
        </w:rPr>
        <w:t>cutiendo</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mayor</w:t>
      </w:r>
      <w:r>
        <w:rPr>
          <w:color w:val="231F20"/>
          <w:spacing w:val="-12"/>
          <w:w w:val="105"/>
        </w:rPr>
        <w:t> </w:t>
      </w:r>
      <w:r>
        <w:rPr>
          <w:color w:val="231F20"/>
          <w:w w:val="105"/>
        </w:rPr>
        <w:t>competitividad</w:t>
      </w:r>
      <w:r>
        <w:rPr>
          <w:color w:val="231F20"/>
          <w:spacing w:val="-12"/>
          <w:w w:val="105"/>
        </w:rPr>
        <w:t> </w:t>
      </w:r>
      <w:r>
        <w:rPr>
          <w:color w:val="231F20"/>
          <w:w w:val="105"/>
        </w:rPr>
        <w:t>y</w:t>
      </w:r>
      <w:r>
        <w:rPr>
          <w:color w:val="231F20"/>
          <w:spacing w:val="-12"/>
          <w:w w:val="105"/>
        </w:rPr>
        <w:t> </w:t>
      </w:r>
      <w:r>
        <w:rPr>
          <w:color w:val="231F20"/>
          <w:w w:val="105"/>
        </w:rPr>
        <w:t>alternancia</w:t>
      </w:r>
      <w:r>
        <w:rPr>
          <w:color w:val="231F20"/>
          <w:spacing w:val="-12"/>
          <w:w w:val="105"/>
        </w:rPr>
        <w:t> </w:t>
      </w:r>
      <w:r>
        <w:rPr>
          <w:color w:val="231F20"/>
          <w:w w:val="105"/>
        </w:rPr>
        <w:t>política.</w:t>
      </w:r>
    </w:p>
    <w:p>
      <w:pPr>
        <w:pStyle w:val="BodyText"/>
        <w:spacing w:before="1"/>
        <w:rPr>
          <w:sz w:val="26"/>
        </w:rPr>
      </w:pPr>
    </w:p>
    <w:p>
      <w:pPr>
        <w:pStyle w:val="BodyText"/>
        <w:spacing w:line="285" w:lineRule="auto"/>
        <w:ind w:left="110" w:right="108"/>
        <w:jc w:val="both"/>
      </w:pPr>
      <w:r>
        <w:rPr>
          <w:color w:val="231F20"/>
          <w:w w:val="105"/>
        </w:rPr>
        <w:t>Estos</w:t>
      </w:r>
      <w:r>
        <w:rPr>
          <w:color w:val="231F20"/>
          <w:spacing w:val="-12"/>
          <w:w w:val="105"/>
        </w:rPr>
        <w:t> </w:t>
      </w:r>
      <w:r>
        <w:rPr>
          <w:color w:val="231F20"/>
          <w:w w:val="105"/>
        </w:rPr>
        <w:t>es,</w:t>
      </w:r>
      <w:r>
        <w:rPr>
          <w:color w:val="231F20"/>
          <w:spacing w:val="-12"/>
          <w:w w:val="105"/>
        </w:rPr>
        <w:t> </w:t>
      </w:r>
      <w:r>
        <w:rPr>
          <w:color w:val="231F20"/>
          <w:w w:val="105"/>
        </w:rPr>
        <w:t>la</w:t>
      </w:r>
      <w:r>
        <w:rPr>
          <w:color w:val="231F20"/>
          <w:spacing w:val="-12"/>
          <w:w w:val="105"/>
        </w:rPr>
        <w:t> </w:t>
      </w:r>
      <w:r>
        <w:rPr>
          <w:color w:val="231F20"/>
          <w:w w:val="105"/>
        </w:rPr>
        <w:t>transición</w:t>
      </w:r>
      <w:r>
        <w:rPr>
          <w:color w:val="231F20"/>
          <w:spacing w:val="-12"/>
          <w:w w:val="105"/>
        </w:rPr>
        <w:t> </w:t>
      </w:r>
      <w:r>
        <w:rPr>
          <w:color w:val="231F20"/>
          <w:w w:val="105"/>
        </w:rPr>
        <w:t>política</w:t>
      </w:r>
      <w:r>
        <w:rPr>
          <w:color w:val="231F20"/>
          <w:spacing w:val="-12"/>
          <w:w w:val="105"/>
        </w:rPr>
        <w:t> </w:t>
      </w:r>
      <w:r>
        <w:rPr>
          <w:color w:val="231F20"/>
          <w:w w:val="105"/>
        </w:rPr>
        <w:t>en</w:t>
      </w:r>
      <w:r>
        <w:rPr>
          <w:color w:val="231F20"/>
          <w:spacing w:val="-12"/>
          <w:w w:val="105"/>
        </w:rPr>
        <w:t> </w:t>
      </w:r>
      <w:r>
        <w:rPr>
          <w:color w:val="231F20"/>
          <w:w w:val="105"/>
        </w:rPr>
        <w:t>México</w:t>
      </w:r>
      <w:r>
        <w:rPr>
          <w:color w:val="231F20"/>
          <w:spacing w:val="-12"/>
          <w:w w:val="105"/>
        </w:rPr>
        <w:t> </w:t>
      </w:r>
      <w:r>
        <w:rPr>
          <w:color w:val="231F20"/>
          <w:w w:val="105"/>
        </w:rPr>
        <w:t>adquiere</w:t>
      </w:r>
      <w:r>
        <w:rPr>
          <w:color w:val="231F20"/>
          <w:spacing w:val="-12"/>
          <w:w w:val="105"/>
        </w:rPr>
        <w:t> </w:t>
      </w:r>
      <w:r>
        <w:rPr>
          <w:color w:val="231F20"/>
          <w:w w:val="105"/>
        </w:rPr>
        <w:t>tintes</w:t>
      </w:r>
      <w:r>
        <w:rPr>
          <w:color w:val="231F20"/>
          <w:spacing w:val="-12"/>
          <w:w w:val="105"/>
        </w:rPr>
        <w:t> </w:t>
      </w:r>
      <w:r>
        <w:rPr>
          <w:color w:val="231F20"/>
          <w:w w:val="105"/>
        </w:rPr>
        <w:t>sui</w:t>
      </w:r>
      <w:r>
        <w:rPr>
          <w:color w:val="231F20"/>
          <w:spacing w:val="-12"/>
          <w:w w:val="105"/>
        </w:rPr>
        <w:t> </w:t>
      </w:r>
      <w:r>
        <w:rPr>
          <w:color w:val="231F20"/>
          <w:w w:val="105"/>
        </w:rPr>
        <w:t>generis</w:t>
      </w:r>
      <w:r>
        <w:rPr>
          <w:color w:val="231F20"/>
          <w:spacing w:val="-12"/>
          <w:w w:val="105"/>
        </w:rPr>
        <w:t> </w:t>
      </w:r>
      <w:r>
        <w:rPr>
          <w:color w:val="231F20"/>
          <w:w w:val="105"/>
        </w:rPr>
        <w:t>pues</w:t>
      </w:r>
      <w:r>
        <w:rPr>
          <w:color w:val="231F20"/>
          <w:spacing w:val="-12"/>
          <w:w w:val="105"/>
        </w:rPr>
        <w:t> </w:t>
      </w:r>
      <w:r>
        <w:rPr>
          <w:color w:val="231F20"/>
          <w:w w:val="105"/>
        </w:rPr>
        <w:t>desde</w:t>
      </w:r>
      <w:r>
        <w:rPr>
          <w:color w:val="231F20"/>
          <w:spacing w:val="-12"/>
          <w:w w:val="105"/>
        </w:rPr>
        <w:t> </w:t>
      </w:r>
      <w:r>
        <w:rPr>
          <w:color w:val="231F20"/>
          <w:w w:val="105"/>
        </w:rPr>
        <w:t>la</w:t>
      </w:r>
      <w:r>
        <w:rPr>
          <w:color w:val="231F20"/>
          <w:spacing w:val="-12"/>
          <w:w w:val="105"/>
        </w:rPr>
        <w:t> </w:t>
      </w:r>
      <w:r>
        <w:rPr>
          <w:color w:val="231F20"/>
          <w:w w:val="105"/>
        </w:rPr>
        <w:t>pers- pectiva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clase</w:t>
      </w:r>
      <w:r>
        <w:rPr>
          <w:color w:val="231F20"/>
          <w:spacing w:val="-19"/>
          <w:w w:val="105"/>
        </w:rPr>
        <w:t> </w:t>
      </w:r>
      <w:r>
        <w:rPr>
          <w:color w:val="231F20"/>
          <w:w w:val="105"/>
        </w:rPr>
        <w:t>política</w:t>
      </w:r>
      <w:r>
        <w:rPr>
          <w:color w:val="231F20"/>
          <w:spacing w:val="-19"/>
          <w:w w:val="105"/>
        </w:rPr>
        <w:t> </w:t>
      </w:r>
      <w:r>
        <w:rPr>
          <w:color w:val="231F20"/>
          <w:w w:val="105"/>
        </w:rPr>
        <w:t>el</w:t>
      </w:r>
      <w:r>
        <w:rPr>
          <w:color w:val="231F20"/>
          <w:spacing w:val="-19"/>
          <w:w w:val="105"/>
        </w:rPr>
        <w:t> </w:t>
      </w:r>
      <w:r>
        <w:rPr>
          <w:color w:val="231F20"/>
          <w:w w:val="105"/>
        </w:rPr>
        <w:t>impulso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apertura</w:t>
      </w:r>
      <w:r>
        <w:rPr>
          <w:color w:val="231F20"/>
          <w:spacing w:val="-19"/>
          <w:w w:val="105"/>
        </w:rPr>
        <w:t> </w:t>
      </w:r>
      <w:r>
        <w:rPr>
          <w:color w:val="231F20"/>
          <w:w w:val="105"/>
        </w:rPr>
        <w:t>democrática</w:t>
      </w:r>
      <w:r>
        <w:rPr>
          <w:color w:val="231F20"/>
          <w:spacing w:val="-19"/>
          <w:w w:val="105"/>
        </w:rPr>
        <w:t> </w:t>
      </w:r>
      <w:r>
        <w:rPr>
          <w:color w:val="231F20"/>
          <w:w w:val="105"/>
        </w:rPr>
        <w:t>se</w:t>
      </w:r>
      <w:r>
        <w:rPr>
          <w:color w:val="231F20"/>
          <w:spacing w:val="-19"/>
          <w:w w:val="105"/>
        </w:rPr>
        <w:t> </w:t>
      </w:r>
      <w:r>
        <w:rPr>
          <w:color w:val="231F20"/>
          <w:w w:val="105"/>
        </w:rPr>
        <w:t>lleva</w:t>
      </w:r>
      <w:r>
        <w:rPr>
          <w:color w:val="231F20"/>
          <w:spacing w:val="-19"/>
          <w:w w:val="105"/>
        </w:rPr>
        <w:t> </w:t>
      </w:r>
      <w:r>
        <w:rPr>
          <w:color w:val="231F20"/>
          <w:w w:val="105"/>
        </w:rPr>
        <w:t>a</w:t>
      </w:r>
      <w:r>
        <w:rPr>
          <w:color w:val="231F20"/>
          <w:spacing w:val="-19"/>
          <w:w w:val="105"/>
        </w:rPr>
        <w:t> </w:t>
      </w:r>
      <w:r>
        <w:rPr>
          <w:color w:val="231F20"/>
          <w:w w:val="105"/>
        </w:rPr>
        <w:t>cabo</w:t>
      </w:r>
      <w:r>
        <w:rPr>
          <w:color w:val="231F20"/>
          <w:spacing w:val="-19"/>
          <w:w w:val="105"/>
        </w:rPr>
        <w:t> </w:t>
      </w:r>
      <w:r>
        <w:rPr>
          <w:color w:val="231F20"/>
          <w:w w:val="105"/>
        </w:rPr>
        <w:t>a</w:t>
      </w:r>
      <w:r>
        <w:rPr>
          <w:color w:val="231F20"/>
          <w:spacing w:val="-19"/>
          <w:w w:val="105"/>
        </w:rPr>
        <w:t> </w:t>
      </w:r>
      <w:r>
        <w:rPr>
          <w:color w:val="231F20"/>
          <w:w w:val="105"/>
        </w:rPr>
        <w:t>cuenta gotas,</w:t>
      </w:r>
      <w:r>
        <w:rPr>
          <w:color w:val="231F20"/>
          <w:spacing w:val="-9"/>
          <w:w w:val="105"/>
        </w:rPr>
        <w:t> </w:t>
      </w:r>
      <w:r>
        <w:rPr>
          <w:color w:val="231F20"/>
          <w:w w:val="105"/>
        </w:rPr>
        <w:t>con</w:t>
      </w:r>
      <w:r>
        <w:rPr>
          <w:color w:val="231F20"/>
          <w:spacing w:val="-9"/>
          <w:w w:val="105"/>
        </w:rPr>
        <w:t> </w:t>
      </w:r>
      <w:r>
        <w:rPr>
          <w:color w:val="231F20"/>
          <w:w w:val="105"/>
        </w:rPr>
        <w:t>un</w:t>
      </w:r>
      <w:r>
        <w:rPr>
          <w:color w:val="231F20"/>
          <w:spacing w:val="-9"/>
          <w:w w:val="105"/>
        </w:rPr>
        <w:t> </w:t>
      </w:r>
      <w:r>
        <w:rPr>
          <w:color w:val="231F20"/>
          <w:spacing w:val="2"/>
          <w:w w:val="105"/>
        </w:rPr>
        <w:t>afán</w:t>
      </w:r>
      <w:r>
        <w:rPr>
          <w:color w:val="231F20"/>
          <w:spacing w:val="-9"/>
          <w:w w:val="105"/>
        </w:rPr>
        <w:t> </w:t>
      </w:r>
      <w:r>
        <w:rPr>
          <w:color w:val="231F20"/>
          <w:w w:val="105"/>
        </w:rPr>
        <w:t>de</w:t>
      </w:r>
      <w:r>
        <w:rPr>
          <w:color w:val="231F20"/>
          <w:spacing w:val="-9"/>
          <w:w w:val="105"/>
        </w:rPr>
        <w:t> </w:t>
      </w:r>
      <w:r>
        <w:rPr>
          <w:color w:val="231F20"/>
          <w:w w:val="105"/>
        </w:rPr>
        <w:t>control</w:t>
      </w:r>
      <w:r>
        <w:rPr>
          <w:color w:val="231F20"/>
          <w:spacing w:val="-9"/>
          <w:w w:val="105"/>
        </w:rPr>
        <w:t> </w:t>
      </w:r>
      <w:r>
        <w:rPr>
          <w:color w:val="231F20"/>
          <w:w w:val="105"/>
        </w:rPr>
        <w:t>y</w:t>
      </w:r>
      <w:r>
        <w:rPr>
          <w:color w:val="231F20"/>
          <w:spacing w:val="-9"/>
          <w:w w:val="105"/>
        </w:rPr>
        <w:t> </w:t>
      </w:r>
      <w:r>
        <w:rPr>
          <w:color w:val="231F20"/>
          <w:w w:val="105"/>
        </w:rPr>
        <w:t>dirección</w:t>
      </w:r>
      <w:r>
        <w:rPr>
          <w:color w:val="231F20"/>
          <w:spacing w:val="-9"/>
          <w:w w:val="105"/>
        </w:rPr>
        <w:t> </w:t>
      </w:r>
      <w:r>
        <w:rPr>
          <w:color w:val="231F20"/>
          <w:w w:val="105"/>
        </w:rPr>
        <w:t>del</w:t>
      </w:r>
      <w:r>
        <w:rPr>
          <w:color w:val="231F20"/>
          <w:spacing w:val="-9"/>
          <w:w w:val="105"/>
        </w:rPr>
        <w:t> </w:t>
      </w:r>
      <w:r>
        <w:rPr>
          <w:color w:val="231F20"/>
          <w:w w:val="105"/>
        </w:rPr>
        <w:t>proceso</w:t>
      </w:r>
      <w:r>
        <w:rPr>
          <w:color w:val="231F20"/>
          <w:spacing w:val="-9"/>
          <w:w w:val="105"/>
        </w:rPr>
        <w:t> </w:t>
      </w:r>
      <w:r>
        <w:rPr>
          <w:color w:val="231F20"/>
          <w:w w:val="105"/>
        </w:rPr>
        <w:t>de</w:t>
      </w:r>
      <w:r>
        <w:rPr>
          <w:color w:val="231F20"/>
          <w:spacing w:val="-9"/>
          <w:w w:val="105"/>
        </w:rPr>
        <w:t> </w:t>
      </w:r>
      <w:r>
        <w:rPr>
          <w:color w:val="231F20"/>
          <w:w w:val="105"/>
        </w:rPr>
        <w:t>democratización.</w:t>
      </w:r>
      <w:r>
        <w:rPr>
          <w:color w:val="231F20"/>
          <w:spacing w:val="-9"/>
          <w:w w:val="105"/>
        </w:rPr>
        <w:t> </w:t>
      </w:r>
      <w:r>
        <w:rPr>
          <w:color w:val="231F20"/>
          <w:w w:val="105"/>
        </w:rPr>
        <w:t>Es</w:t>
      </w:r>
      <w:r>
        <w:rPr>
          <w:color w:val="231F20"/>
          <w:spacing w:val="-9"/>
          <w:w w:val="105"/>
        </w:rPr>
        <w:t> </w:t>
      </w:r>
      <w:r>
        <w:rPr>
          <w:color w:val="231F20"/>
          <w:spacing w:val="-3"/>
          <w:w w:val="105"/>
        </w:rPr>
        <w:t>compren- </w:t>
      </w:r>
      <w:r>
        <w:rPr>
          <w:color w:val="231F20"/>
          <w:w w:val="105"/>
        </w:rPr>
        <w:t>sible</w:t>
      </w:r>
      <w:r>
        <w:rPr>
          <w:color w:val="231F20"/>
          <w:spacing w:val="-17"/>
          <w:w w:val="105"/>
        </w:rPr>
        <w:t> </w:t>
      </w:r>
      <w:r>
        <w:rPr>
          <w:color w:val="231F20"/>
          <w:w w:val="105"/>
        </w:rPr>
        <w:t>pues</w:t>
      </w:r>
      <w:r>
        <w:rPr>
          <w:color w:val="231F20"/>
          <w:spacing w:val="-17"/>
          <w:w w:val="105"/>
        </w:rPr>
        <w:t> </w:t>
      </w:r>
      <w:r>
        <w:rPr>
          <w:color w:val="231F20"/>
          <w:w w:val="105"/>
        </w:rPr>
        <w:t>este</w:t>
      </w:r>
      <w:r>
        <w:rPr>
          <w:color w:val="231F20"/>
          <w:spacing w:val="-17"/>
          <w:w w:val="105"/>
        </w:rPr>
        <w:t> </w:t>
      </w:r>
      <w:r>
        <w:rPr>
          <w:color w:val="231F20"/>
          <w:w w:val="105"/>
        </w:rPr>
        <w:t>proceso</w:t>
      </w:r>
      <w:r>
        <w:rPr>
          <w:color w:val="231F20"/>
          <w:spacing w:val="-17"/>
          <w:w w:val="105"/>
        </w:rPr>
        <w:t> </w:t>
      </w:r>
      <w:r>
        <w:rPr>
          <w:color w:val="231F20"/>
          <w:w w:val="105"/>
        </w:rPr>
        <w:t>no</w:t>
      </w:r>
      <w:r>
        <w:rPr>
          <w:color w:val="231F20"/>
          <w:spacing w:val="-17"/>
          <w:w w:val="105"/>
        </w:rPr>
        <w:t> </w:t>
      </w:r>
      <w:r>
        <w:rPr>
          <w:color w:val="231F20"/>
          <w:w w:val="105"/>
        </w:rPr>
        <w:t>tendría</w:t>
      </w:r>
      <w:r>
        <w:rPr>
          <w:color w:val="231F20"/>
          <w:spacing w:val="-17"/>
          <w:w w:val="105"/>
        </w:rPr>
        <w:t> </w:t>
      </w:r>
      <w:r>
        <w:rPr>
          <w:color w:val="231F20"/>
          <w:w w:val="105"/>
        </w:rPr>
        <w:t>que</w:t>
      </w:r>
      <w:r>
        <w:rPr>
          <w:color w:val="231F20"/>
          <w:spacing w:val="-17"/>
          <w:w w:val="105"/>
        </w:rPr>
        <w:t> </w:t>
      </w:r>
      <w:r>
        <w:rPr>
          <w:color w:val="231F20"/>
          <w:w w:val="105"/>
        </w:rPr>
        <w:t>representar</w:t>
      </w:r>
      <w:r>
        <w:rPr>
          <w:color w:val="231F20"/>
          <w:spacing w:val="-17"/>
          <w:w w:val="105"/>
        </w:rPr>
        <w:t> </w:t>
      </w:r>
      <w:r>
        <w:rPr>
          <w:color w:val="231F20"/>
          <w:w w:val="105"/>
        </w:rPr>
        <w:t>la</w:t>
      </w:r>
      <w:r>
        <w:rPr>
          <w:color w:val="231F20"/>
          <w:spacing w:val="-17"/>
          <w:w w:val="105"/>
        </w:rPr>
        <w:t> </w:t>
      </w:r>
      <w:r>
        <w:rPr>
          <w:color w:val="231F20"/>
          <w:w w:val="105"/>
        </w:rPr>
        <w:t>entrega</w:t>
      </w:r>
      <w:r>
        <w:rPr>
          <w:color w:val="231F20"/>
          <w:spacing w:val="-17"/>
          <w:w w:val="105"/>
        </w:rPr>
        <w:t> </w:t>
      </w:r>
      <w:r>
        <w:rPr>
          <w:color w:val="231F20"/>
          <w:w w:val="105"/>
        </w:rPr>
        <w:t>del</w:t>
      </w:r>
      <w:r>
        <w:rPr>
          <w:color w:val="231F20"/>
          <w:spacing w:val="-17"/>
          <w:w w:val="105"/>
        </w:rPr>
        <w:t> </w:t>
      </w:r>
      <w:r>
        <w:rPr>
          <w:color w:val="231F20"/>
          <w:w w:val="105"/>
        </w:rPr>
        <w:t>poder</w:t>
      </w:r>
      <w:r>
        <w:rPr>
          <w:color w:val="231F20"/>
          <w:spacing w:val="-17"/>
          <w:w w:val="105"/>
        </w:rPr>
        <w:t> </w:t>
      </w:r>
      <w:r>
        <w:rPr>
          <w:color w:val="231F20"/>
          <w:w w:val="105"/>
        </w:rPr>
        <w:t>sin</w:t>
      </w:r>
      <w:r>
        <w:rPr>
          <w:color w:val="231F20"/>
          <w:spacing w:val="-17"/>
          <w:w w:val="105"/>
        </w:rPr>
        <w:t> </w:t>
      </w:r>
      <w:r>
        <w:rPr>
          <w:color w:val="231F20"/>
          <w:w w:val="105"/>
        </w:rPr>
        <w:t>más</w:t>
      </w:r>
      <w:r>
        <w:rPr>
          <w:color w:val="231F20"/>
          <w:spacing w:val="-17"/>
          <w:w w:val="105"/>
        </w:rPr>
        <w:t> </w:t>
      </w:r>
      <w:r>
        <w:rPr>
          <w:color w:val="231F20"/>
          <w:w w:val="105"/>
        </w:rPr>
        <w:t>ni</w:t>
      </w:r>
      <w:r>
        <w:rPr>
          <w:color w:val="231F20"/>
          <w:spacing w:val="-17"/>
          <w:w w:val="105"/>
        </w:rPr>
        <w:t> </w:t>
      </w:r>
      <w:r>
        <w:rPr>
          <w:color w:val="231F20"/>
          <w:w w:val="105"/>
        </w:rPr>
        <w:t>más,</w:t>
      </w:r>
      <w:r>
        <w:rPr>
          <w:color w:val="231F20"/>
          <w:spacing w:val="-17"/>
          <w:w w:val="105"/>
        </w:rPr>
        <w:t> </w:t>
      </w:r>
      <w:r>
        <w:rPr>
          <w:color w:val="231F20"/>
          <w:spacing w:val="2"/>
          <w:w w:val="105"/>
        </w:rPr>
        <w:t>al </w:t>
      </w:r>
      <w:r>
        <w:rPr>
          <w:color w:val="231F20"/>
          <w:w w:val="105"/>
        </w:rPr>
        <w:t>contrario</w:t>
      </w:r>
      <w:r>
        <w:rPr>
          <w:color w:val="231F20"/>
          <w:spacing w:val="-10"/>
          <w:w w:val="105"/>
        </w:rPr>
        <w:t> </w:t>
      </w:r>
      <w:r>
        <w:rPr>
          <w:color w:val="231F20"/>
          <w:w w:val="105"/>
        </w:rPr>
        <w:t>representa</w:t>
      </w:r>
      <w:r>
        <w:rPr>
          <w:color w:val="231F20"/>
          <w:spacing w:val="-10"/>
          <w:w w:val="105"/>
        </w:rPr>
        <w:t> </w:t>
      </w:r>
      <w:r>
        <w:rPr>
          <w:color w:val="231F20"/>
          <w:w w:val="105"/>
        </w:rPr>
        <w:t>el</w:t>
      </w:r>
      <w:r>
        <w:rPr>
          <w:color w:val="231F20"/>
          <w:spacing w:val="-10"/>
          <w:w w:val="105"/>
        </w:rPr>
        <w:t> </w:t>
      </w:r>
      <w:r>
        <w:rPr>
          <w:color w:val="231F20"/>
          <w:w w:val="105"/>
        </w:rPr>
        <w:t>impulso</w:t>
      </w:r>
      <w:r>
        <w:rPr>
          <w:color w:val="231F20"/>
          <w:spacing w:val="-10"/>
          <w:w w:val="105"/>
        </w:rPr>
        <w:t> </w:t>
      </w:r>
      <w:r>
        <w:rPr>
          <w:color w:val="231F20"/>
          <w:w w:val="105"/>
        </w:rPr>
        <w:t>de</w:t>
      </w:r>
      <w:r>
        <w:rPr>
          <w:color w:val="231F20"/>
          <w:spacing w:val="-10"/>
          <w:w w:val="105"/>
        </w:rPr>
        <w:t> </w:t>
      </w:r>
      <w:r>
        <w:rPr>
          <w:color w:val="231F20"/>
          <w:w w:val="105"/>
        </w:rPr>
        <w:t>medidas</w:t>
      </w:r>
      <w:r>
        <w:rPr>
          <w:color w:val="231F20"/>
          <w:spacing w:val="-10"/>
          <w:w w:val="105"/>
        </w:rPr>
        <w:t> </w:t>
      </w:r>
      <w:r>
        <w:rPr>
          <w:color w:val="231F20"/>
          <w:w w:val="105"/>
        </w:rPr>
        <w:t>legitimadoras</w:t>
      </w:r>
      <w:r>
        <w:rPr>
          <w:color w:val="231F20"/>
          <w:spacing w:val="-10"/>
          <w:w w:val="105"/>
        </w:rPr>
        <w:t> </w:t>
      </w:r>
      <w:r>
        <w:rPr>
          <w:color w:val="231F20"/>
          <w:w w:val="105"/>
        </w:rPr>
        <w:t>que</w:t>
      </w:r>
      <w:r>
        <w:rPr>
          <w:color w:val="231F20"/>
          <w:spacing w:val="-10"/>
          <w:w w:val="105"/>
        </w:rPr>
        <w:t> </w:t>
      </w:r>
      <w:r>
        <w:rPr>
          <w:color w:val="231F20"/>
          <w:w w:val="105"/>
        </w:rPr>
        <w:t>le</w:t>
      </w:r>
      <w:r>
        <w:rPr>
          <w:color w:val="231F20"/>
          <w:spacing w:val="-10"/>
          <w:w w:val="105"/>
        </w:rPr>
        <w:t> </w:t>
      </w:r>
      <w:r>
        <w:rPr>
          <w:color w:val="231F20"/>
          <w:w w:val="105"/>
        </w:rPr>
        <w:t>permitan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medida de lo posible su continuidad en el poder en el marco de un contexto más democrático. </w:t>
      </w:r>
      <w:r>
        <w:rPr>
          <w:color w:val="231F20"/>
          <w:spacing w:val="-3"/>
          <w:w w:val="105"/>
        </w:rPr>
        <w:t>Por </w:t>
      </w:r>
      <w:r>
        <w:rPr>
          <w:color w:val="231F20"/>
          <w:w w:val="105"/>
        </w:rPr>
        <w:t>consiguiente, desde esta perspectiva el impulso a la transición política se orquesta desde</w:t>
      </w:r>
      <w:r>
        <w:rPr>
          <w:color w:val="231F20"/>
          <w:spacing w:val="-10"/>
          <w:w w:val="105"/>
        </w:rPr>
        <w:t> </w:t>
      </w:r>
      <w:r>
        <w:rPr>
          <w:color w:val="231F20"/>
          <w:w w:val="105"/>
        </w:rPr>
        <w:t>el</w:t>
      </w:r>
      <w:r>
        <w:rPr>
          <w:color w:val="231F20"/>
          <w:spacing w:val="-10"/>
          <w:w w:val="105"/>
        </w:rPr>
        <w:t> </w:t>
      </w:r>
      <w:r>
        <w:rPr>
          <w:color w:val="231F20"/>
          <w:w w:val="105"/>
        </w:rPr>
        <w:t>ámbito</w:t>
      </w:r>
      <w:r>
        <w:rPr>
          <w:color w:val="231F20"/>
          <w:spacing w:val="-10"/>
          <w:w w:val="105"/>
        </w:rPr>
        <w:t> </w:t>
      </w:r>
      <w:r>
        <w:rPr>
          <w:color w:val="231F20"/>
          <w:w w:val="105"/>
        </w:rPr>
        <w:t>del</w:t>
      </w:r>
      <w:r>
        <w:rPr>
          <w:color w:val="231F20"/>
          <w:spacing w:val="-10"/>
          <w:w w:val="105"/>
        </w:rPr>
        <w:t> </w:t>
      </w:r>
      <w:r>
        <w:rPr>
          <w:color w:val="231F20"/>
          <w:w w:val="105"/>
        </w:rPr>
        <w:t>gobierno</w:t>
      </w:r>
      <w:r>
        <w:rPr>
          <w:color w:val="231F20"/>
          <w:spacing w:val="-10"/>
          <w:w w:val="105"/>
        </w:rPr>
        <w:t> </w:t>
      </w:r>
      <w:r>
        <w:rPr>
          <w:color w:val="231F20"/>
          <w:w w:val="105"/>
        </w:rPr>
        <w:t>federal</w:t>
      </w:r>
      <w:r>
        <w:rPr>
          <w:color w:val="231F20"/>
          <w:spacing w:val="-10"/>
          <w:w w:val="105"/>
        </w:rPr>
        <w:t> </w:t>
      </w:r>
      <w:r>
        <w:rPr>
          <w:color w:val="231F20"/>
          <w:w w:val="105"/>
        </w:rPr>
        <w:t>y</w:t>
      </w:r>
      <w:r>
        <w:rPr>
          <w:color w:val="231F20"/>
          <w:spacing w:val="-10"/>
          <w:w w:val="105"/>
        </w:rPr>
        <w:t> </w:t>
      </w:r>
      <w:r>
        <w:rPr>
          <w:color w:val="231F20"/>
          <w:w w:val="105"/>
        </w:rPr>
        <w:t>por</w:t>
      </w:r>
      <w:r>
        <w:rPr>
          <w:color w:val="231F20"/>
          <w:spacing w:val="-10"/>
          <w:w w:val="105"/>
        </w:rPr>
        <w:t> </w:t>
      </w:r>
      <w:r>
        <w:rPr>
          <w:color w:val="231F20"/>
          <w:w w:val="105"/>
        </w:rPr>
        <w:t>tanto</w:t>
      </w:r>
      <w:r>
        <w:rPr>
          <w:color w:val="231F20"/>
          <w:spacing w:val="-10"/>
          <w:w w:val="105"/>
        </w:rPr>
        <w:t> </w:t>
      </w:r>
      <w:r>
        <w:rPr>
          <w:color w:val="231F20"/>
          <w:w w:val="105"/>
        </w:rPr>
        <w:t>de</w:t>
      </w:r>
      <w:r>
        <w:rPr>
          <w:color w:val="231F20"/>
          <w:spacing w:val="-10"/>
          <w:w w:val="105"/>
        </w:rPr>
        <w:t> </w:t>
      </w:r>
      <w:r>
        <w:rPr>
          <w:color w:val="231F20"/>
          <w:w w:val="105"/>
        </w:rPr>
        <w:t>forma</w:t>
      </w:r>
      <w:r>
        <w:rPr>
          <w:color w:val="231F20"/>
          <w:spacing w:val="-10"/>
          <w:w w:val="105"/>
        </w:rPr>
        <w:t> </w:t>
      </w:r>
      <w:r>
        <w:rPr>
          <w:color w:val="231F20"/>
          <w:w w:val="105"/>
        </w:rPr>
        <w:t>vertical</w:t>
      </w:r>
      <w:r>
        <w:rPr>
          <w:color w:val="231F20"/>
          <w:spacing w:val="-10"/>
          <w:w w:val="105"/>
        </w:rPr>
        <w:t> </w:t>
      </w:r>
      <w:r>
        <w:rPr>
          <w:color w:val="231F20"/>
          <w:w w:val="105"/>
        </w:rPr>
        <w:t>de</w:t>
      </w:r>
      <w:r>
        <w:rPr>
          <w:color w:val="231F20"/>
          <w:spacing w:val="-10"/>
          <w:w w:val="105"/>
        </w:rPr>
        <w:t> </w:t>
      </w:r>
      <w:r>
        <w:rPr>
          <w:color w:val="231F20"/>
          <w:w w:val="105"/>
        </w:rPr>
        <w:t>arriba</w:t>
      </w:r>
      <w:r>
        <w:rPr>
          <w:color w:val="231F20"/>
          <w:spacing w:val="-10"/>
          <w:w w:val="105"/>
        </w:rPr>
        <w:t> </w:t>
      </w:r>
      <w:r>
        <w:rPr>
          <w:color w:val="231F20"/>
          <w:w w:val="105"/>
        </w:rPr>
        <w:t>hacia</w:t>
      </w:r>
      <w:r>
        <w:rPr>
          <w:color w:val="231F20"/>
          <w:spacing w:val="-10"/>
          <w:w w:val="105"/>
        </w:rPr>
        <w:t> </w:t>
      </w:r>
      <w:r>
        <w:rPr>
          <w:color w:val="231F20"/>
          <w:w w:val="105"/>
        </w:rPr>
        <w:t>abajo del</w:t>
      </w:r>
      <w:r>
        <w:rPr>
          <w:color w:val="231F20"/>
          <w:spacing w:val="-22"/>
          <w:w w:val="105"/>
        </w:rPr>
        <w:t> </w:t>
      </w:r>
      <w:r>
        <w:rPr>
          <w:color w:val="231F20"/>
          <w:w w:val="105"/>
        </w:rPr>
        <w:t>sistema</w:t>
      </w:r>
      <w:r>
        <w:rPr>
          <w:color w:val="231F20"/>
          <w:spacing w:val="-22"/>
          <w:w w:val="105"/>
        </w:rPr>
        <w:t> </w:t>
      </w:r>
      <w:r>
        <w:rPr>
          <w:color w:val="231F20"/>
          <w:w w:val="105"/>
        </w:rPr>
        <w:t>político</w:t>
      </w:r>
      <w:r>
        <w:rPr>
          <w:color w:val="231F20"/>
          <w:spacing w:val="-22"/>
          <w:w w:val="105"/>
        </w:rPr>
        <w:t> </w:t>
      </w:r>
      <w:r>
        <w:rPr>
          <w:color w:val="231F20"/>
          <w:w w:val="105"/>
        </w:rPr>
        <w:t>mexicano.</w:t>
      </w:r>
    </w:p>
    <w:p>
      <w:pPr>
        <w:pStyle w:val="BodyText"/>
        <w:spacing w:before="1"/>
        <w:rPr>
          <w:sz w:val="26"/>
        </w:rPr>
      </w:pPr>
    </w:p>
    <w:p>
      <w:pPr>
        <w:pStyle w:val="BodyText"/>
        <w:ind w:left="110"/>
        <w:jc w:val="both"/>
      </w:pPr>
      <w:r>
        <w:rPr>
          <w:color w:val="231F20"/>
          <w:w w:val="105"/>
        </w:rPr>
        <w:t>Sin embargo, el impulso de la democratización del país también se presenta desde  la</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lógica de la sociedad, partiendo del ámbito de gobierno municipal y posteriormente del</w:t>
      </w:r>
      <w:r>
        <w:rPr>
          <w:color w:val="231F20"/>
          <w:spacing w:val="-6"/>
          <w:w w:val="105"/>
        </w:rPr>
        <w:t> </w:t>
      </w:r>
      <w:r>
        <w:rPr>
          <w:color w:val="231F20"/>
          <w:w w:val="105"/>
        </w:rPr>
        <w:t>estatal</w:t>
      </w:r>
      <w:r>
        <w:rPr>
          <w:color w:val="231F20"/>
          <w:spacing w:val="-6"/>
          <w:w w:val="105"/>
        </w:rPr>
        <w:t> </w:t>
      </w:r>
      <w:r>
        <w:rPr>
          <w:color w:val="231F20"/>
          <w:w w:val="105"/>
        </w:rPr>
        <w:t>hasta</w:t>
      </w:r>
      <w:r>
        <w:rPr>
          <w:color w:val="231F20"/>
          <w:spacing w:val="-6"/>
          <w:w w:val="105"/>
        </w:rPr>
        <w:t> </w:t>
      </w:r>
      <w:r>
        <w:rPr>
          <w:color w:val="231F20"/>
          <w:w w:val="105"/>
        </w:rPr>
        <w:t>cristalizarse</w:t>
      </w:r>
      <w:r>
        <w:rPr>
          <w:color w:val="231F20"/>
          <w:spacing w:val="-6"/>
          <w:w w:val="105"/>
        </w:rPr>
        <w:t> </w:t>
      </w:r>
      <w:r>
        <w:rPr>
          <w:color w:val="231F20"/>
          <w:w w:val="105"/>
        </w:rPr>
        <w:t>a</w:t>
      </w:r>
      <w:r>
        <w:rPr>
          <w:color w:val="231F20"/>
          <w:spacing w:val="-6"/>
          <w:w w:val="105"/>
        </w:rPr>
        <w:t> </w:t>
      </w:r>
      <w:r>
        <w:rPr>
          <w:color w:val="231F20"/>
          <w:w w:val="105"/>
        </w:rPr>
        <w:t>nivel</w:t>
      </w:r>
      <w:r>
        <w:rPr>
          <w:color w:val="231F20"/>
          <w:spacing w:val="-6"/>
          <w:w w:val="105"/>
        </w:rPr>
        <w:t> </w:t>
      </w:r>
      <w:r>
        <w:rPr>
          <w:color w:val="231F20"/>
          <w:w w:val="105"/>
        </w:rPr>
        <w:t>federal,</w:t>
      </w:r>
      <w:r>
        <w:rPr>
          <w:color w:val="231F20"/>
          <w:spacing w:val="-6"/>
          <w:w w:val="105"/>
        </w:rPr>
        <w:t> </w:t>
      </w:r>
      <w:r>
        <w:rPr>
          <w:color w:val="231F20"/>
          <w:w w:val="105"/>
        </w:rPr>
        <w:t>es</w:t>
      </w:r>
      <w:r>
        <w:rPr>
          <w:color w:val="231F20"/>
          <w:spacing w:val="-6"/>
          <w:w w:val="105"/>
        </w:rPr>
        <w:t> </w:t>
      </w:r>
      <w:r>
        <w:rPr>
          <w:color w:val="231F20"/>
          <w:w w:val="105"/>
        </w:rPr>
        <w:t>decir</w:t>
      </w:r>
      <w:r>
        <w:rPr>
          <w:color w:val="231F20"/>
          <w:spacing w:val="-6"/>
          <w:w w:val="105"/>
        </w:rPr>
        <w:t> </w:t>
      </w:r>
      <w:r>
        <w:rPr>
          <w:color w:val="231F20"/>
          <w:w w:val="105"/>
        </w:rPr>
        <w:t>desde</w:t>
      </w:r>
      <w:r>
        <w:rPr>
          <w:color w:val="231F20"/>
          <w:spacing w:val="-6"/>
          <w:w w:val="105"/>
        </w:rPr>
        <w:t> </w:t>
      </w:r>
      <w:r>
        <w:rPr>
          <w:color w:val="231F20"/>
          <w:w w:val="105"/>
        </w:rPr>
        <w:t>la</w:t>
      </w:r>
      <w:r>
        <w:rPr>
          <w:color w:val="231F20"/>
          <w:spacing w:val="-6"/>
          <w:w w:val="105"/>
        </w:rPr>
        <w:t> </w:t>
      </w:r>
      <w:r>
        <w:rPr>
          <w:color w:val="231F20"/>
          <w:w w:val="105"/>
        </w:rPr>
        <w:t>base</w:t>
      </w:r>
      <w:r>
        <w:rPr>
          <w:color w:val="231F20"/>
          <w:spacing w:val="-6"/>
          <w:w w:val="105"/>
        </w:rPr>
        <w:t> </w:t>
      </w:r>
      <w:r>
        <w:rPr>
          <w:color w:val="231F20"/>
          <w:w w:val="105"/>
        </w:rPr>
        <w:t>social</w:t>
      </w:r>
      <w:r>
        <w:rPr>
          <w:color w:val="231F20"/>
          <w:spacing w:val="-6"/>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forma ascendente hacia las esferas del </w:t>
      </w:r>
      <w:r>
        <w:rPr>
          <w:color w:val="231F20"/>
          <w:spacing w:val="-2"/>
          <w:w w:val="105"/>
        </w:rPr>
        <w:t>poder. </w:t>
      </w:r>
      <w:r>
        <w:rPr>
          <w:color w:val="231F20"/>
          <w:w w:val="105"/>
        </w:rPr>
        <w:t>Sobre todo en espacios territoriales con cierto grado de consolidación urbana que ha permitido a los ciudadanos trascender las tradi- cionales</w:t>
      </w:r>
      <w:r>
        <w:rPr>
          <w:color w:val="231F20"/>
          <w:spacing w:val="-18"/>
          <w:w w:val="105"/>
        </w:rPr>
        <w:t> </w:t>
      </w:r>
      <w:r>
        <w:rPr>
          <w:color w:val="231F20"/>
          <w:w w:val="105"/>
        </w:rPr>
        <w:t>prácticas</w:t>
      </w:r>
      <w:r>
        <w:rPr>
          <w:color w:val="231F20"/>
          <w:spacing w:val="-18"/>
          <w:w w:val="105"/>
        </w:rPr>
        <w:t> </w:t>
      </w:r>
      <w:r>
        <w:rPr>
          <w:color w:val="231F20"/>
          <w:w w:val="105"/>
        </w:rPr>
        <w:t>de</w:t>
      </w:r>
      <w:r>
        <w:rPr>
          <w:color w:val="231F20"/>
          <w:spacing w:val="-18"/>
          <w:w w:val="105"/>
        </w:rPr>
        <w:t> </w:t>
      </w:r>
      <w:r>
        <w:rPr>
          <w:color w:val="231F20"/>
          <w:w w:val="105"/>
        </w:rPr>
        <w:t>relación</w:t>
      </w:r>
      <w:r>
        <w:rPr>
          <w:color w:val="231F20"/>
          <w:spacing w:val="-18"/>
          <w:w w:val="105"/>
        </w:rPr>
        <w:t> </w:t>
      </w:r>
      <w:r>
        <w:rPr>
          <w:color w:val="231F20"/>
          <w:w w:val="105"/>
        </w:rPr>
        <w:t>corporativa-clientelar</w:t>
      </w:r>
      <w:r>
        <w:rPr>
          <w:color w:val="231F20"/>
          <w:spacing w:val="-18"/>
          <w:w w:val="105"/>
        </w:rPr>
        <w:t> </w:t>
      </w:r>
      <w:r>
        <w:rPr>
          <w:color w:val="231F20"/>
          <w:w w:val="105"/>
        </w:rPr>
        <w:t>con</w:t>
      </w:r>
      <w:r>
        <w:rPr>
          <w:color w:val="231F20"/>
          <w:spacing w:val="-18"/>
          <w:w w:val="105"/>
        </w:rPr>
        <w:t> </w:t>
      </w:r>
      <w:r>
        <w:rPr>
          <w:color w:val="231F20"/>
          <w:w w:val="105"/>
        </w:rPr>
        <w:t>las</w:t>
      </w:r>
      <w:r>
        <w:rPr>
          <w:color w:val="231F20"/>
          <w:spacing w:val="-18"/>
          <w:w w:val="105"/>
        </w:rPr>
        <w:t> </w:t>
      </w:r>
      <w:r>
        <w:rPr>
          <w:color w:val="231F20"/>
          <w:w w:val="105"/>
        </w:rPr>
        <w:t>autoridades,</w:t>
      </w:r>
      <w:r>
        <w:rPr>
          <w:color w:val="231F20"/>
          <w:spacing w:val="-18"/>
          <w:w w:val="105"/>
        </w:rPr>
        <w:t> </w:t>
      </w:r>
      <w:r>
        <w:rPr>
          <w:color w:val="231F20"/>
          <w:w w:val="105"/>
        </w:rPr>
        <w:t>y</w:t>
      </w:r>
      <w:r>
        <w:rPr>
          <w:color w:val="231F20"/>
          <w:spacing w:val="-18"/>
          <w:w w:val="105"/>
        </w:rPr>
        <w:t> </w:t>
      </w:r>
      <w:r>
        <w:rPr>
          <w:color w:val="231F20"/>
          <w:w w:val="105"/>
        </w:rPr>
        <w:t>por</w:t>
      </w:r>
      <w:r>
        <w:rPr>
          <w:color w:val="231F20"/>
          <w:spacing w:val="-18"/>
          <w:w w:val="105"/>
        </w:rPr>
        <w:t> </w:t>
      </w:r>
      <w:r>
        <w:rPr>
          <w:color w:val="231F20"/>
          <w:w w:val="105"/>
        </w:rPr>
        <w:t>tanto</w:t>
      </w:r>
      <w:r>
        <w:rPr>
          <w:color w:val="231F20"/>
          <w:spacing w:val="-18"/>
          <w:w w:val="105"/>
        </w:rPr>
        <w:t> </w:t>
      </w:r>
      <w:r>
        <w:rPr>
          <w:color w:val="231F20"/>
          <w:w w:val="105"/>
        </w:rPr>
        <w:t>han asumido</w:t>
      </w:r>
      <w:r>
        <w:rPr>
          <w:color w:val="231F20"/>
          <w:spacing w:val="-12"/>
          <w:w w:val="105"/>
        </w:rPr>
        <w:t> </w:t>
      </w:r>
      <w:r>
        <w:rPr>
          <w:color w:val="231F20"/>
          <w:w w:val="105"/>
        </w:rPr>
        <w:t>una</w:t>
      </w:r>
      <w:r>
        <w:rPr>
          <w:color w:val="231F20"/>
          <w:spacing w:val="-12"/>
          <w:w w:val="105"/>
        </w:rPr>
        <w:t> </w:t>
      </w:r>
      <w:r>
        <w:rPr>
          <w:color w:val="231F20"/>
          <w:w w:val="105"/>
        </w:rPr>
        <w:t>actitud</w:t>
      </w:r>
      <w:r>
        <w:rPr>
          <w:color w:val="231F20"/>
          <w:spacing w:val="-12"/>
          <w:w w:val="105"/>
        </w:rPr>
        <w:t> </w:t>
      </w:r>
      <w:r>
        <w:rPr>
          <w:color w:val="231F20"/>
          <w:w w:val="105"/>
        </w:rPr>
        <w:t>de</w:t>
      </w:r>
      <w:r>
        <w:rPr>
          <w:color w:val="231F20"/>
          <w:spacing w:val="-12"/>
          <w:w w:val="105"/>
        </w:rPr>
        <w:t> </w:t>
      </w:r>
      <w:r>
        <w:rPr>
          <w:color w:val="231F20"/>
          <w:w w:val="105"/>
        </w:rPr>
        <w:t>mayor</w:t>
      </w:r>
      <w:r>
        <w:rPr>
          <w:color w:val="231F20"/>
          <w:spacing w:val="-12"/>
          <w:w w:val="105"/>
        </w:rPr>
        <w:t> </w:t>
      </w:r>
      <w:r>
        <w:rPr>
          <w:color w:val="231F20"/>
          <w:w w:val="105"/>
        </w:rPr>
        <w:t>demanda</w:t>
      </w:r>
      <w:r>
        <w:rPr>
          <w:color w:val="231F20"/>
          <w:spacing w:val="-12"/>
          <w:w w:val="105"/>
        </w:rPr>
        <w:t> </w:t>
      </w:r>
      <w:r>
        <w:rPr>
          <w:color w:val="231F20"/>
          <w:w w:val="105"/>
        </w:rPr>
        <w:t>y</w:t>
      </w:r>
      <w:r>
        <w:rPr>
          <w:color w:val="231F20"/>
          <w:spacing w:val="-12"/>
          <w:w w:val="105"/>
        </w:rPr>
        <w:t> </w:t>
      </w:r>
      <w:r>
        <w:rPr>
          <w:color w:val="231F20"/>
          <w:w w:val="105"/>
        </w:rPr>
        <w:t>reclamo</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autoridades</w:t>
      </w:r>
      <w:r>
        <w:rPr>
          <w:color w:val="231F20"/>
          <w:spacing w:val="-12"/>
          <w:w w:val="105"/>
        </w:rPr>
        <w:t> </w:t>
      </w:r>
      <w:r>
        <w:rPr>
          <w:color w:val="231F20"/>
          <w:w w:val="105"/>
        </w:rPr>
        <w:t>locales.</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contexto</w:t>
      </w:r>
      <w:r>
        <w:rPr>
          <w:color w:val="231F20"/>
          <w:spacing w:val="-18"/>
          <w:w w:val="105"/>
        </w:rPr>
        <w:t> </w:t>
      </w:r>
      <w:r>
        <w:rPr>
          <w:color w:val="231F20"/>
          <w:w w:val="105"/>
        </w:rPr>
        <w:t>la</w:t>
      </w:r>
      <w:r>
        <w:rPr>
          <w:color w:val="231F20"/>
          <w:spacing w:val="-18"/>
          <w:w w:val="105"/>
        </w:rPr>
        <w:t> </w:t>
      </w:r>
      <w:r>
        <w:rPr>
          <w:color w:val="231F20"/>
          <w:w w:val="105"/>
        </w:rPr>
        <w:t>transición</w:t>
      </w:r>
      <w:r>
        <w:rPr>
          <w:color w:val="231F20"/>
          <w:spacing w:val="-18"/>
          <w:w w:val="105"/>
        </w:rPr>
        <w:t> </w:t>
      </w:r>
      <w:r>
        <w:rPr>
          <w:color w:val="231F20"/>
          <w:w w:val="105"/>
        </w:rPr>
        <w:t>democrática</w:t>
      </w:r>
      <w:r>
        <w:rPr>
          <w:color w:val="231F20"/>
          <w:spacing w:val="-18"/>
          <w:w w:val="105"/>
        </w:rPr>
        <w:t> </w:t>
      </w:r>
      <w:r>
        <w:rPr>
          <w:color w:val="231F20"/>
          <w:w w:val="105"/>
        </w:rPr>
        <w:t>en</w:t>
      </w:r>
      <w:r>
        <w:rPr>
          <w:color w:val="231F20"/>
          <w:spacing w:val="-18"/>
          <w:w w:val="105"/>
        </w:rPr>
        <w:t> </w:t>
      </w:r>
      <w:r>
        <w:rPr>
          <w:color w:val="231F20"/>
          <w:w w:val="105"/>
        </w:rPr>
        <w:t>nuestro</w:t>
      </w:r>
      <w:r>
        <w:rPr>
          <w:color w:val="231F20"/>
          <w:spacing w:val="-18"/>
          <w:w w:val="105"/>
        </w:rPr>
        <w:t> </w:t>
      </w:r>
      <w:r>
        <w:rPr>
          <w:color w:val="231F20"/>
          <w:w w:val="105"/>
        </w:rPr>
        <w:t>país</w:t>
      </w:r>
      <w:r>
        <w:rPr>
          <w:color w:val="231F20"/>
          <w:spacing w:val="-18"/>
          <w:w w:val="105"/>
        </w:rPr>
        <w:t> </w:t>
      </w:r>
      <w:r>
        <w:rPr>
          <w:color w:val="231F20"/>
          <w:w w:val="105"/>
        </w:rPr>
        <w:t>se</w:t>
      </w:r>
      <w:r>
        <w:rPr>
          <w:color w:val="231F20"/>
          <w:spacing w:val="-18"/>
          <w:w w:val="105"/>
        </w:rPr>
        <w:t> </w:t>
      </w:r>
      <w:r>
        <w:rPr>
          <w:color w:val="231F20"/>
          <w:w w:val="105"/>
        </w:rPr>
        <w:t>ha</w:t>
      </w:r>
      <w:r>
        <w:rPr>
          <w:color w:val="231F20"/>
          <w:spacing w:val="-18"/>
          <w:w w:val="105"/>
        </w:rPr>
        <w:t> </w:t>
      </w:r>
      <w:r>
        <w:rPr>
          <w:color w:val="231F20"/>
          <w:w w:val="105"/>
        </w:rPr>
        <w:t>dado</w:t>
      </w:r>
      <w:r>
        <w:rPr>
          <w:color w:val="231F20"/>
          <w:spacing w:val="-18"/>
          <w:w w:val="105"/>
        </w:rPr>
        <w:t> </w:t>
      </w:r>
      <w:r>
        <w:rPr>
          <w:color w:val="231F20"/>
          <w:w w:val="105"/>
        </w:rPr>
        <w:t>con</w:t>
      </w:r>
      <w:r>
        <w:rPr>
          <w:color w:val="231F20"/>
          <w:spacing w:val="-18"/>
          <w:w w:val="105"/>
        </w:rPr>
        <w:t> </w:t>
      </w:r>
      <w:r>
        <w:rPr>
          <w:color w:val="231F20"/>
          <w:w w:val="105"/>
        </w:rPr>
        <w:t>altibajos</w:t>
      </w:r>
      <w:r>
        <w:rPr>
          <w:color w:val="231F20"/>
          <w:spacing w:val="-18"/>
          <w:w w:val="105"/>
        </w:rPr>
        <w:t> </w:t>
      </w:r>
      <w:r>
        <w:rPr>
          <w:color w:val="231F20"/>
          <w:w w:val="105"/>
        </w:rPr>
        <w:t>y</w:t>
      </w:r>
      <w:r>
        <w:rPr>
          <w:color w:val="231F20"/>
          <w:spacing w:val="-18"/>
          <w:w w:val="105"/>
        </w:rPr>
        <w:t> </w:t>
      </w:r>
      <w:r>
        <w:rPr>
          <w:color w:val="231F20"/>
          <w:w w:val="105"/>
        </w:rPr>
        <w:t>con dinámicas diferentes en cada uno de los ámbitos de </w:t>
      </w:r>
      <w:r>
        <w:rPr>
          <w:color w:val="231F20"/>
          <w:spacing w:val="-3"/>
          <w:w w:val="105"/>
        </w:rPr>
        <w:t>gobierno. </w:t>
      </w:r>
      <w:r>
        <w:rPr>
          <w:color w:val="231F20"/>
          <w:w w:val="105"/>
        </w:rPr>
        <w:t>El Estado de México no ha</w:t>
      </w:r>
      <w:r>
        <w:rPr>
          <w:color w:val="231F20"/>
          <w:spacing w:val="-8"/>
          <w:w w:val="105"/>
        </w:rPr>
        <w:t> </w:t>
      </w:r>
      <w:r>
        <w:rPr>
          <w:color w:val="231F20"/>
          <w:w w:val="105"/>
        </w:rPr>
        <w:t>escapado</w:t>
      </w:r>
      <w:r>
        <w:rPr>
          <w:color w:val="231F20"/>
          <w:spacing w:val="-8"/>
          <w:w w:val="105"/>
        </w:rPr>
        <w:t> </w:t>
      </w:r>
      <w:r>
        <w:rPr>
          <w:color w:val="231F20"/>
          <w:w w:val="105"/>
        </w:rPr>
        <w:t>a</w:t>
      </w:r>
      <w:r>
        <w:rPr>
          <w:color w:val="231F20"/>
          <w:spacing w:val="-8"/>
          <w:w w:val="105"/>
        </w:rPr>
        <w:t> </w:t>
      </w:r>
      <w:r>
        <w:rPr>
          <w:color w:val="231F20"/>
          <w:w w:val="105"/>
        </w:rPr>
        <w:t>este</w:t>
      </w:r>
      <w:r>
        <w:rPr>
          <w:color w:val="231F20"/>
          <w:spacing w:val="-8"/>
          <w:w w:val="105"/>
        </w:rPr>
        <w:t> </w:t>
      </w:r>
      <w:r>
        <w:rPr>
          <w:color w:val="231F20"/>
          <w:w w:val="105"/>
        </w:rPr>
        <w:t>proceso</w:t>
      </w:r>
      <w:r>
        <w:rPr>
          <w:color w:val="231F20"/>
          <w:spacing w:val="-8"/>
          <w:w w:val="105"/>
        </w:rPr>
        <w:t> </w:t>
      </w:r>
      <w:r>
        <w:rPr>
          <w:color w:val="231F20"/>
          <w:w w:val="105"/>
        </w:rPr>
        <w:t>de</w:t>
      </w:r>
      <w:r>
        <w:rPr>
          <w:color w:val="231F20"/>
          <w:spacing w:val="-8"/>
          <w:w w:val="105"/>
        </w:rPr>
        <w:t> </w:t>
      </w:r>
      <w:r>
        <w:rPr>
          <w:color w:val="231F20"/>
          <w:w w:val="105"/>
        </w:rPr>
        <w:t>democratización,</w:t>
      </w:r>
      <w:r>
        <w:rPr>
          <w:color w:val="231F20"/>
          <w:spacing w:val="-8"/>
          <w:w w:val="105"/>
        </w:rPr>
        <w:t> </w:t>
      </w:r>
      <w:r>
        <w:rPr>
          <w:color w:val="231F20"/>
          <w:w w:val="105"/>
        </w:rPr>
        <w:t>sobre</w:t>
      </w:r>
      <w:r>
        <w:rPr>
          <w:color w:val="231F20"/>
          <w:spacing w:val="-8"/>
          <w:w w:val="105"/>
        </w:rPr>
        <w:t> </w:t>
      </w:r>
      <w:r>
        <w:rPr>
          <w:color w:val="231F20"/>
          <w:w w:val="105"/>
        </w:rPr>
        <w:t>todo</w:t>
      </w:r>
      <w:r>
        <w:rPr>
          <w:color w:val="231F20"/>
          <w:spacing w:val="-8"/>
          <w:w w:val="105"/>
        </w:rPr>
        <w:t> </w:t>
      </w:r>
      <w:r>
        <w:rPr>
          <w:color w:val="231F20"/>
          <w:w w:val="105"/>
        </w:rPr>
        <w:t>desde</w:t>
      </w:r>
      <w:r>
        <w:rPr>
          <w:color w:val="231F20"/>
          <w:spacing w:val="-8"/>
          <w:w w:val="105"/>
        </w:rPr>
        <w:t> </w:t>
      </w:r>
      <w:r>
        <w:rPr>
          <w:color w:val="231F20"/>
          <w:w w:val="105"/>
        </w:rPr>
        <w:t>la</w:t>
      </w:r>
      <w:r>
        <w:rPr>
          <w:color w:val="231F20"/>
          <w:spacing w:val="-8"/>
          <w:w w:val="105"/>
        </w:rPr>
        <w:t> </w:t>
      </w:r>
      <w:r>
        <w:rPr>
          <w:color w:val="231F20"/>
          <w:w w:val="105"/>
        </w:rPr>
        <w:t>perspectiva</w:t>
      </w:r>
      <w:r>
        <w:rPr>
          <w:color w:val="231F20"/>
          <w:spacing w:val="-8"/>
          <w:w w:val="105"/>
        </w:rPr>
        <w:t> </w:t>
      </w:r>
      <w:r>
        <w:rPr>
          <w:color w:val="231F20"/>
          <w:w w:val="105"/>
        </w:rPr>
        <w:t>social, que</w:t>
      </w:r>
      <w:r>
        <w:rPr>
          <w:color w:val="231F20"/>
          <w:spacing w:val="-23"/>
          <w:w w:val="105"/>
        </w:rPr>
        <w:t> </w:t>
      </w:r>
      <w:r>
        <w:rPr>
          <w:color w:val="231F20"/>
          <w:w w:val="105"/>
        </w:rPr>
        <w:t>se</w:t>
      </w:r>
      <w:r>
        <w:rPr>
          <w:color w:val="231F20"/>
          <w:spacing w:val="-23"/>
          <w:w w:val="105"/>
        </w:rPr>
        <w:t> </w:t>
      </w:r>
      <w:r>
        <w:rPr>
          <w:color w:val="231F20"/>
          <w:w w:val="105"/>
        </w:rPr>
        <w:t>ve</w:t>
      </w:r>
      <w:r>
        <w:rPr>
          <w:color w:val="231F20"/>
          <w:spacing w:val="-23"/>
          <w:w w:val="105"/>
        </w:rPr>
        <w:t> </w:t>
      </w:r>
      <w:r>
        <w:rPr>
          <w:color w:val="231F20"/>
          <w:w w:val="105"/>
        </w:rPr>
        <w:t>reflejado</w:t>
      </w:r>
      <w:r>
        <w:rPr>
          <w:color w:val="231F20"/>
          <w:spacing w:val="-23"/>
          <w:w w:val="105"/>
        </w:rPr>
        <w:t> </w:t>
      </w:r>
      <w:r>
        <w:rPr>
          <w:color w:val="231F20"/>
          <w:w w:val="105"/>
        </w:rPr>
        <w:t>en</w:t>
      </w:r>
      <w:r>
        <w:rPr>
          <w:color w:val="231F20"/>
          <w:spacing w:val="-23"/>
          <w:w w:val="105"/>
        </w:rPr>
        <w:t> </w:t>
      </w:r>
      <w:r>
        <w:rPr>
          <w:color w:val="231F20"/>
          <w:w w:val="105"/>
        </w:rPr>
        <w:t>una</w:t>
      </w:r>
      <w:r>
        <w:rPr>
          <w:color w:val="231F20"/>
          <w:spacing w:val="-23"/>
          <w:w w:val="105"/>
        </w:rPr>
        <w:t> </w:t>
      </w:r>
      <w:r>
        <w:rPr>
          <w:color w:val="231F20"/>
          <w:w w:val="105"/>
        </w:rPr>
        <w:t>mayor</w:t>
      </w:r>
      <w:r>
        <w:rPr>
          <w:color w:val="231F20"/>
          <w:spacing w:val="-23"/>
          <w:w w:val="105"/>
        </w:rPr>
        <w:t> </w:t>
      </w:r>
      <w:r>
        <w:rPr>
          <w:color w:val="231F20"/>
          <w:w w:val="105"/>
        </w:rPr>
        <w:t>competitividad</w:t>
      </w:r>
      <w:r>
        <w:rPr>
          <w:color w:val="231F20"/>
          <w:spacing w:val="-23"/>
          <w:w w:val="105"/>
        </w:rPr>
        <w:t> </w:t>
      </w:r>
      <w:r>
        <w:rPr>
          <w:color w:val="231F20"/>
          <w:w w:val="105"/>
        </w:rPr>
        <w:t>electoral</w:t>
      </w:r>
      <w:r>
        <w:rPr>
          <w:color w:val="231F20"/>
          <w:spacing w:val="-23"/>
          <w:w w:val="105"/>
        </w:rPr>
        <w:t> </w:t>
      </w:r>
      <w:r>
        <w:rPr>
          <w:color w:val="231F20"/>
          <w:w w:val="105"/>
        </w:rPr>
        <w:t>y</w:t>
      </w:r>
      <w:r>
        <w:rPr>
          <w:color w:val="231F20"/>
          <w:spacing w:val="-23"/>
          <w:w w:val="105"/>
        </w:rPr>
        <w:t> </w:t>
      </w:r>
      <w:r>
        <w:rPr>
          <w:color w:val="231F20"/>
          <w:w w:val="105"/>
        </w:rPr>
        <w:t>alternancia</w:t>
      </w:r>
      <w:r>
        <w:rPr>
          <w:color w:val="231F20"/>
          <w:spacing w:val="-23"/>
          <w:w w:val="105"/>
        </w:rPr>
        <w:t> </w:t>
      </w:r>
      <w:r>
        <w:rPr>
          <w:color w:val="231F20"/>
          <w:w w:val="105"/>
        </w:rPr>
        <w:t>política</w:t>
      </w:r>
      <w:r>
        <w:rPr>
          <w:color w:val="231F20"/>
          <w:spacing w:val="-23"/>
          <w:w w:val="105"/>
        </w:rPr>
        <w:t> </w:t>
      </w:r>
      <w:r>
        <w:rPr>
          <w:color w:val="231F20"/>
          <w:w w:val="105"/>
        </w:rPr>
        <w:t>entre</w:t>
      </w:r>
      <w:r>
        <w:rPr>
          <w:color w:val="231F20"/>
          <w:spacing w:val="-23"/>
          <w:w w:val="105"/>
        </w:rPr>
        <w:t> </w:t>
      </w:r>
      <w:r>
        <w:rPr>
          <w:color w:val="231F20"/>
          <w:w w:val="105"/>
        </w:rPr>
        <w:t>los principales</w:t>
      </w:r>
      <w:r>
        <w:rPr>
          <w:color w:val="231F20"/>
          <w:spacing w:val="-16"/>
          <w:w w:val="105"/>
        </w:rPr>
        <w:t> </w:t>
      </w:r>
      <w:r>
        <w:rPr>
          <w:color w:val="231F20"/>
          <w:w w:val="105"/>
        </w:rPr>
        <w:t>partidos</w:t>
      </w:r>
      <w:r>
        <w:rPr>
          <w:color w:val="231F20"/>
          <w:spacing w:val="-16"/>
          <w:w w:val="105"/>
        </w:rPr>
        <w:t> </w:t>
      </w:r>
      <w:r>
        <w:rPr>
          <w:color w:val="231F20"/>
          <w:w w:val="105"/>
        </w:rPr>
        <w:t>políticos.</w:t>
      </w:r>
      <w:r>
        <w:rPr>
          <w:color w:val="231F20"/>
          <w:spacing w:val="-16"/>
          <w:w w:val="105"/>
        </w:rPr>
        <w:t> </w:t>
      </w:r>
      <w:r>
        <w:rPr>
          <w:color w:val="231F20"/>
          <w:w w:val="105"/>
        </w:rPr>
        <w:t>Competitividad</w:t>
      </w:r>
      <w:r>
        <w:rPr>
          <w:color w:val="231F20"/>
          <w:spacing w:val="-16"/>
          <w:w w:val="105"/>
        </w:rPr>
        <w:t> </w:t>
      </w:r>
      <w:r>
        <w:rPr>
          <w:color w:val="231F20"/>
          <w:w w:val="105"/>
        </w:rPr>
        <w:t>y</w:t>
      </w:r>
      <w:r>
        <w:rPr>
          <w:color w:val="231F20"/>
          <w:spacing w:val="-16"/>
          <w:w w:val="105"/>
        </w:rPr>
        <w:t> </w:t>
      </w:r>
      <w:r>
        <w:rPr>
          <w:color w:val="231F20"/>
          <w:w w:val="105"/>
        </w:rPr>
        <w:t>alternancia</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presentan</w:t>
      </w:r>
      <w:r>
        <w:rPr>
          <w:color w:val="231F20"/>
          <w:spacing w:val="-16"/>
          <w:w w:val="105"/>
        </w:rPr>
        <w:t> </w:t>
      </w:r>
      <w:r>
        <w:rPr>
          <w:color w:val="231F20"/>
          <w:w w:val="105"/>
        </w:rPr>
        <w:t>de</w:t>
      </w:r>
      <w:r>
        <w:rPr>
          <w:color w:val="231F20"/>
          <w:spacing w:val="-16"/>
          <w:w w:val="105"/>
        </w:rPr>
        <w:t> </w:t>
      </w:r>
      <w:r>
        <w:rPr>
          <w:color w:val="231F20"/>
          <w:w w:val="105"/>
        </w:rPr>
        <w:t>manera importante</w:t>
      </w:r>
      <w:r>
        <w:rPr>
          <w:color w:val="231F20"/>
          <w:spacing w:val="-6"/>
          <w:w w:val="105"/>
        </w:rPr>
        <w:t> </w:t>
      </w:r>
      <w:r>
        <w:rPr>
          <w:color w:val="231F20"/>
          <w:w w:val="105"/>
        </w:rPr>
        <w:t>a</w:t>
      </w:r>
      <w:r>
        <w:rPr>
          <w:color w:val="231F20"/>
          <w:spacing w:val="-6"/>
          <w:w w:val="105"/>
        </w:rPr>
        <w:t> </w:t>
      </w:r>
      <w:r>
        <w:rPr>
          <w:color w:val="231F20"/>
          <w:spacing w:val="2"/>
          <w:w w:val="105"/>
        </w:rPr>
        <w:t>partir</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comicios</w:t>
      </w:r>
      <w:r>
        <w:rPr>
          <w:color w:val="231F20"/>
          <w:spacing w:val="-6"/>
          <w:w w:val="105"/>
        </w:rPr>
        <w:t> </w:t>
      </w:r>
      <w:r>
        <w:rPr>
          <w:color w:val="231F20"/>
          <w:w w:val="105"/>
        </w:rPr>
        <w:t>municipales</w:t>
      </w:r>
      <w:r>
        <w:rPr>
          <w:color w:val="231F20"/>
          <w:spacing w:val="-6"/>
          <w:w w:val="105"/>
        </w:rPr>
        <w:t> </w:t>
      </w:r>
      <w:r>
        <w:rPr>
          <w:color w:val="231F20"/>
          <w:w w:val="105"/>
        </w:rPr>
        <w:t>de</w:t>
      </w:r>
      <w:r>
        <w:rPr>
          <w:color w:val="231F20"/>
          <w:spacing w:val="-6"/>
          <w:w w:val="105"/>
        </w:rPr>
        <w:t> </w:t>
      </w:r>
      <w:r>
        <w:rPr>
          <w:color w:val="231F20"/>
          <w:w w:val="105"/>
        </w:rPr>
        <w:t>1996,</w:t>
      </w:r>
      <w:r>
        <w:rPr>
          <w:color w:val="231F20"/>
          <w:spacing w:val="-6"/>
          <w:w w:val="105"/>
        </w:rPr>
        <w:t> </w:t>
      </w:r>
      <w:r>
        <w:rPr>
          <w:color w:val="231F20"/>
          <w:w w:val="105"/>
        </w:rPr>
        <w:t>fecha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mapa</w:t>
      </w:r>
      <w:r>
        <w:rPr>
          <w:color w:val="231F20"/>
          <w:spacing w:val="-6"/>
          <w:w w:val="105"/>
        </w:rPr>
        <w:t> </w:t>
      </w:r>
      <w:r>
        <w:rPr>
          <w:color w:val="231F20"/>
          <w:w w:val="105"/>
        </w:rPr>
        <w:t>elec- toral de la entidad adquiere matices de presencia partidista muy interesantes, dejando atrás</w:t>
      </w:r>
      <w:r>
        <w:rPr>
          <w:color w:val="231F20"/>
          <w:spacing w:val="-14"/>
          <w:w w:val="105"/>
        </w:rPr>
        <w:t> </w:t>
      </w:r>
      <w:r>
        <w:rPr>
          <w:color w:val="231F20"/>
          <w:w w:val="105"/>
        </w:rPr>
        <w:t>el</w:t>
      </w:r>
      <w:r>
        <w:rPr>
          <w:color w:val="231F20"/>
          <w:spacing w:val="-14"/>
          <w:w w:val="105"/>
        </w:rPr>
        <w:t> </w:t>
      </w:r>
      <w:r>
        <w:rPr>
          <w:color w:val="231F20"/>
          <w:w w:val="105"/>
        </w:rPr>
        <w:t>viejo</w:t>
      </w:r>
      <w:r>
        <w:rPr>
          <w:color w:val="231F20"/>
          <w:spacing w:val="-14"/>
          <w:w w:val="105"/>
        </w:rPr>
        <w:t> </w:t>
      </w:r>
      <w:r>
        <w:rPr>
          <w:color w:val="231F20"/>
          <w:w w:val="105"/>
        </w:rPr>
        <w:t>esquema</w:t>
      </w:r>
      <w:r>
        <w:rPr>
          <w:color w:val="231F20"/>
          <w:spacing w:val="-14"/>
          <w:w w:val="105"/>
        </w:rPr>
        <w:t> </w:t>
      </w:r>
      <w:r>
        <w:rPr>
          <w:color w:val="231F20"/>
          <w:w w:val="105"/>
        </w:rPr>
        <w:t>de</w:t>
      </w:r>
      <w:r>
        <w:rPr>
          <w:color w:val="231F20"/>
          <w:spacing w:val="-14"/>
          <w:w w:val="105"/>
        </w:rPr>
        <w:t> </w:t>
      </w:r>
      <w:r>
        <w:rPr>
          <w:color w:val="231F20"/>
          <w:w w:val="105"/>
        </w:rPr>
        <w:t>poder</w:t>
      </w:r>
      <w:r>
        <w:rPr>
          <w:color w:val="231F20"/>
          <w:spacing w:val="-14"/>
          <w:w w:val="105"/>
        </w:rPr>
        <w:t> </w:t>
      </w:r>
      <w:r>
        <w:rPr>
          <w:color w:val="231F20"/>
          <w:w w:val="105"/>
        </w:rPr>
        <w:t>monocromático.</w:t>
      </w:r>
    </w:p>
    <w:p>
      <w:pPr>
        <w:pStyle w:val="BodyText"/>
        <w:spacing w:before="1"/>
        <w:rPr>
          <w:sz w:val="26"/>
        </w:rPr>
      </w:pPr>
    </w:p>
    <w:p>
      <w:pPr>
        <w:pStyle w:val="BodyText"/>
        <w:spacing w:line="285" w:lineRule="auto"/>
        <w:ind w:left="110" w:right="108"/>
        <w:jc w:val="both"/>
      </w:pPr>
      <w:r>
        <w:rPr>
          <w:color w:val="231F20"/>
          <w:w w:val="105"/>
        </w:rPr>
        <w:t>A</w:t>
      </w:r>
      <w:r>
        <w:rPr>
          <w:color w:val="231F20"/>
          <w:spacing w:val="-25"/>
          <w:w w:val="105"/>
        </w:rPr>
        <w:t> </w:t>
      </w:r>
      <w:r>
        <w:rPr>
          <w:color w:val="231F20"/>
          <w:w w:val="105"/>
        </w:rPr>
        <w:t>raíz</w:t>
      </w:r>
      <w:r>
        <w:rPr>
          <w:color w:val="231F20"/>
          <w:spacing w:val="-25"/>
          <w:w w:val="105"/>
        </w:rPr>
        <w:t> </w:t>
      </w:r>
      <w:r>
        <w:rPr>
          <w:color w:val="231F20"/>
          <w:spacing w:val="-3"/>
          <w:w w:val="105"/>
        </w:rPr>
        <w:t>del</w:t>
      </w:r>
      <w:r>
        <w:rPr>
          <w:color w:val="231F20"/>
          <w:spacing w:val="-25"/>
          <w:w w:val="105"/>
        </w:rPr>
        <w:t> </w:t>
      </w:r>
      <w:r>
        <w:rPr>
          <w:color w:val="231F20"/>
          <w:w w:val="105"/>
        </w:rPr>
        <w:t>parteaguas</w:t>
      </w:r>
      <w:r>
        <w:rPr>
          <w:color w:val="231F20"/>
          <w:spacing w:val="-25"/>
          <w:w w:val="105"/>
        </w:rPr>
        <w:t> </w:t>
      </w:r>
      <w:r>
        <w:rPr>
          <w:color w:val="231F20"/>
          <w:spacing w:val="-3"/>
          <w:w w:val="105"/>
        </w:rPr>
        <w:t>que</w:t>
      </w:r>
      <w:r>
        <w:rPr>
          <w:color w:val="231F20"/>
          <w:spacing w:val="-25"/>
          <w:w w:val="105"/>
        </w:rPr>
        <w:t> </w:t>
      </w:r>
      <w:r>
        <w:rPr>
          <w:color w:val="231F20"/>
          <w:w w:val="105"/>
        </w:rPr>
        <w:t>ha</w:t>
      </w:r>
      <w:r>
        <w:rPr>
          <w:color w:val="231F20"/>
          <w:spacing w:val="-25"/>
          <w:w w:val="105"/>
        </w:rPr>
        <w:t> </w:t>
      </w:r>
      <w:r>
        <w:rPr>
          <w:color w:val="231F20"/>
          <w:spacing w:val="-4"/>
          <w:w w:val="105"/>
        </w:rPr>
        <w:t>representado</w:t>
      </w:r>
      <w:r>
        <w:rPr>
          <w:color w:val="231F20"/>
          <w:spacing w:val="-25"/>
          <w:w w:val="105"/>
        </w:rPr>
        <w:t> </w:t>
      </w:r>
      <w:r>
        <w:rPr>
          <w:color w:val="231F20"/>
          <w:w w:val="105"/>
        </w:rPr>
        <w:t>el</w:t>
      </w:r>
      <w:r>
        <w:rPr>
          <w:color w:val="231F20"/>
          <w:spacing w:val="-25"/>
          <w:w w:val="105"/>
        </w:rPr>
        <w:t> </w:t>
      </w:r>
      <w:r>
        <w:rPr>
          <w:color w:val="231F20"/>
          <w:spacing w:val="-3"/>
          <w:w w:val="105"/>
        </w:rPr>
        <w:t>proceso</w:t>
      </w:r>
      <w:r>
        <w:rPr>
          <w:color w:val="231F20"/>
          <w:spacing w:val="-25"/>
          <w:w w:val="105"/>
        </w:rPr>
        <w:t> </w:t>
      </w:r>
      <w:r>
        <w:rPr>
          <w:color w:val="231F20"/>
          <w:w w:val="105"/>
        </w:rPr>
        <w:t>electoral</w:t>
      </w:r>
      <w:r>
        <w:rPr>
          <w:color w:val="231F20"/>
          <w:spacing w:val="-25"/>
          <w:w w:val="105"/>
        </w:rPr>
        <w:t> </w:t>
      </w:r>
      <w:r>
        <w:rPr>
          <w:color w:val="231F20"/>
          <w:w w:val="105"/>
        </w:rPr>
        <w:t>de</w:t>
      </w:r>
      <w:r>
        <w:rPr>
          <w:color w:val="231F20"/>
          <w:spacing w:val="-25"/>
          <w:w w:val="105"/>
        </w:rPr>
        <w:t> </w:t>
      </w:r>
      <w:r>
        <w:rPr>
          <w:color w:val="231F20"/>
          <w:spacing w:val="-3"/>
          <w:w w:val="105"/>
        </w:rPr>
        <w:t>1996</w:t>
      </w:r>
      <w:r>
        <w:rPr>
          <w:color w:val="231F20"/>
          <w:spacing w:val="-25"/>
          <w:w w:val="105"/>
        </w:rPr>
        <w:t> </w:t>
      </w:r>
      <w:r>
        <w:rPr>
          <w:color w:val="231F20"/>
          <w:w w:val="105"/>
        </w:rPr>
        <w:t>para</w:t>
      </w:r>
      <w:r>
        <w:rPr>
          <w:color w:val="231F20"/>
          <w:spacing w:val="-25"/>
          <w:w w:val="105"/>
        </w:rPr>
        <w:t> </w:t>
      </w:r>
      <w:r>
        <w:rPr>
          <w:color w:val="231F20"/>
          <w:w w:val="105"/>
        </w:rPr>
        <w:t>la</w:t>
      </w:r>
      <w:r>
        <w:rPr>
          <w:color w:val="231F20"/>
          <w:spacing w:val="-25"/>
          <w:w w:val="105"/>
        </w:rPr>
        <w:t> </w:t>
      </w:r>
      <w:r>
        <w:rPr>
          <w:color w:val="231F20"/>
          <w:spacing w:val="-3"/>
          <w:w w:val="105"/>
        </w:rPr>
        <w:t>competitivi- dad</w:t>
      </w:r>
      <w:r>
        <w:rPr>
          <w:color w:val="231F20"/>
          <w:spacing w:val="-23"/>
          <w:w w:val="105"/>
        </w:rPr>
        <w:t> </w:t>
      </w:r>
      <w:r>
        <w:rPr>
          <w:color w:val="231F20"/>
          <w:w w:val="105"/>
        </w:rPr>
        <w:t>y</w:t>
      </w:r>
      <w:r>
        <w:rPr>
          <w:color w:val="231F20"/>
          <w:spacing w:val="-23"/>
          <w:w w:val="105"/>
        </w:rPr>
        <w:t> </w:t>
      </w:r>
      <w:r>
        <w:rPr>
          <w:color w:val="231F20"/>
          <w:w w:val="105"/>
        </w:rPr>
        <w:t>alternancia</w:t>
      </w:r>
      <w:r>
        <w:rPr>
          <w:color w:val="231F20"/>
          <w:spacing w:val="-23"/>
          <w:w w:val="105"/>
        </w:rPr>
        <w:t> </w:t>
      </w:r>
      <w:r>
        <w:rPr>
          <w:color w:val="231F20"/>
          <w:w w:val="105"/>
        </w:rPr>
        <w:t>política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spacing w:val="-3"/>
          <w:w w:val="105"/>
        </w:rPr>
        <w:t>Estado</w:t>
      </w:r>
      <w:r>
        <w:rPr>
          <w:color w:val="231F20"/>
          <w:spacing w:val="-23"/>
          <w:w w:val="105"/>
        </w:rPr>
        <w:t> </w:t>
      </w:r>
      <w:r>
        <w:rPr>
          <w:color w:val="231F20"/>
          <w:w w:val="105"/>
        </w:rPr>
        <w:t>de</w:t>
      </w:r>
      <w:r>
        <w:rPr>
          <w:color w:val="231F20"/>
          <w:spacing w:val="-23"/>
          <w:w w:val="105"/>
        </w:rPr>
        <w:t> </w:t>
      </w:r>
      <w:r>
        <w:rPr>
          <w:color w:val="231F20"/>
          <w:spacing w:val="-3"/>
          <w:w w:val="105"/>
        </w:rPr>
        <w:t>México,</w:t>
      </w:r>
      <w:r>
        <w:rPr>
          <w:color w:val="231F20"/>
          <w:spacing w:val="-23"/>
          <w:w w:val="105"/>
        </w:rPr>
        <w:t> </w:t>
      </w:r>
      <w:r>
        <w:rPr>
          <w:color w:val="231F20"/>
          <w:w w:val="105"/>
        </w:rPr>
        <w:t>El</w:t>
      </w:r>
      <w:r>
        <w:rPr>
          <w:color w:val="231F20"/>
          <w:spacing w:val="-23"/>
          <w:w w:val="105"/>
        </w:rPr>
        <w:t> </w:t>
      </w:r>
      <w:r>
        <w:rPr>
          <w:color w:val="231F20"/>
          <w:w w:val="105"/>
        </w:rPr>
        <w:t>Partido</w:t>
      </w:r>
      <w:r>
        <w:rPr>
          <w:color w:val="231F20"/>
          <w:spacing w:val="-23"/>
          <w:w w:val="105"/>
        </w:rPr>
        <w:t> </w:t>
      </w:r>
      <w:r>
        <w:rPr>
          <w:color w:val="231F20"/>
          <w:spacing w:val="-4"/>
          <w:w w:val="105"/>
        </w:rPr>
        <w:t>Acción</w:t>
      </w:r>
      <w:r>
        <w:rPr>
          <w:color w:val="231F20"/>
          <w:spacing w:val="-23"/>
          <w:w w:val="105"/>
        </w:rPr>
        <w:t> </w:t>
      </w:r>
      <w:r>
        <w:rPr>
          <w:color w:val="231F20"/>
          <w:spacing w:val="-3"/>
          <w:w w:val="105"/>
        </w:rPr>
        <w:t>Nacional</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Partido de</w:t>
      </w:r>
      <w:r>
        <w:rPr>
          <w:color w:val="231F20"/>
          <w:spacing w:val="-16"/>
          <w:w w:val="105"/>
        </w:rPr>
        <w:t> </w:t>
      </w:r>
      <w:r>
        <w:rPr>
          <w:color w:val="231F20"/>
          <w:w w:val="105"/>
        </w:rPr>
        <w:t>la</w:t>
      </w:r>
      <w:r>
        <w:rPr>
          <w:color w:val="231F20"/>
          <w:spacing w:val="-16"/>
          <w:w w:val="105"/>
        </w:rPr>
        <w:t> </w:t>
      </w:r>
      <w:r>
        <w:rPr>
          <w:color w:val="231F20"/>
          <w:spacing w:val="-5"/>
          <w:w w:val="105"/>
        </w:rPr>
        <w:t>Revolución</w:t>
      </w:r>
      <w:r>
        <w:rPr>
          <w:color w:val="231F20"/>
          <w:spacing w:val="-16"/>
          <w:w w:val="105"/>
        </w:rPr>
        <w:t> </w:t>
      </w:r>
      <w:r>
        <w:rPr>
          <w:color w:val="231F20"/>
          <w:spacing w:val="-3"/>
          <w:w w:val="105"/>
        </w:rPr>
        <w:t>Democrática</w:t>
      </w:r>
      <w:r>
        <w:rPr>
          <w:color w:val="231F20"/>
          <w:spacing w:val="-16"/>
          <w:w w:val="105"/>
        </w:rPr>
        <w:t> </w:t>
      </w:r>
      <w:r>
        <w:rPr>
          <w:color w:val="231F20"/>
          <w:spacing w:val="-3"/>
          <w:w w:val="105"/>
        </w:rPr>
        <w:t>llegaron</w:t>
      </w:r>
      <w:r>
        <w:rPr>
          <w:color w:val="231F20"/>
          <w:spacing w:val="-16"/>
          <w:w w:val="105"/>
        </w:rPr>
        <w:t> </w:t>
      </w:r>
      <w:r>
        <w:rPr>
          <w:color w:val="231F20"/>
          <w:w w:val="105"/>
        </w:rPr>
        <w:t>al</w:t>
      </w:r>
      <w:r>
        <w:rPr>
          <w:color w:val="231F20"/>
          <w:spacing w:val="-16"/>
          <w:w w:val="105"/>
        </w:rPr>
        <w:t> </w:t>
      </w:r>
      <w:r>
        <w:rPr>
          <w:color w:val="231F20"/>
          <w:spacing w:val="-3"/>
          <w:w w:val="105"/>
        </w:rPr>
        <w:t>poder</w:t>
      </w:r>
      <w:r>
        <w:rPr>
          <w:color w:val="231F20"/>
          <w:spacing w:val="-16"/>
          <w:w w:val="105"/>
        </w:rPr>
        <w:t> </w:t>
      </w:r>
      <w:r>
        <w:rPr>
          <w:color w:val="231F20"/>
          <w:w w:val="105"/>
        </w:rPr>
        <w:t>para</w:t>
      </w:r>
      <w:r>
        <w:rPr>
          <w:color w:val="231F20"/>
          <w:spacing w:val="-16"/>
          <w:w w:val="105"/>
        </w:rPr>
        <w:t> </w:t>
      </w:r>
      <w:r>
        <w:rPr>
          <w:color w:val="231F20"/>
          <w:w w:val="105"/>
        </w:rPr>
        <w:t>quedarse</w:t>
      </w:r>
      <w:r>
        <w:rPr>
          <w:color w:val="231F20"/>
          <w:spacing w:val="-16"/>
          <w:w w:val="105"/>
        </w:rPr>
        <w:t> </w:t>
      </w:r>
      <w:r>
        <w:rPr>
          <w:color w:val="231F20"/>
          <w:spacing w:val="-3"/>
          <w:w w:val="105"/>
        </w:rPr>
        <w:t>desde</w:t>
      </w:r>
      <w:r>
        <w:rPr>
          <w:color w:val="231F20"/>
          <w:spacing w:val="-16"/>
          <w:w w:val="105"/>
        </w:rPr>
        <w:t> </w:t>
      </w:r>
      <w:r>
        <w:rPr>
          <w:color w:val="231F20"/>
          <w:spacing w:val="-4"/>
          <w:w w:val="105"/>
        </w:rPr>
        <w:t>entonces</w:t>
      </w:r>
      <w:r>
        <w:rPr>
          <w:color w:val="231F20"/>
          <w:spacing w:val="-16"/>
          <w:w w:val="105"/>
        </w:rPr>
        <w:t> </w:t>
      </w:r>
      <w:r>
        <w:rPr>
          <w:color w:val="231F20"/>
          <w:w w:val="105"/>
        </w:rPr>
        <w:t>en</w:t>
      </w:r>
      <w:r>
        <w:rPr>
          <w:color w:val="231F20"/>
          <w:spacing w:val="-16"/>
          <w:w w:val="105"/>
        </w:rPr>
        <w:t> </w:t>
      </w:r>
      <w:r>
        <w:rPr>
          <w:color w:val="231F20"/>
          <w:w w:val="105"/>
        </w:rPr>
        <w:t>algunos </w:t>
      </w:r>
      <w:r>
        <w:rPr>
          <w:color w:val="231F20"/>
          <w:spacing w:val="-3"/>
          <w:w w:val="105"/>
        </w:rPr>
        <w:t>municipios,</w:t>
      </w:r>
      <w:r>
        <w:rPr>
          <w:color w:val="231F20"/>
          <w:spacing w:val="-7"/>
          <w:w w:val="105"/>
        </w:rPr>
        <w:t> </w:t>
      </w:r>
      <w:r>
        <w:rPr>
          <w:color w:val="231F20"/>
          <w:w w:val="105"/>
        </w:rPr>
        <w:t>tal</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caso</w:t>
      </w:r>
      <w:r>
        <w:rPr>
          <w:color w:val="231F20"/>
          <w:spacing w:val="-7"/>
          <w:w w:val="105"/>
        </w:rPr>
        <w:t> </w:t>
      </w:r>
      <w:r>
        <w:rPr>
          <w:color w:val="231F20"/>
          <w:w w:val="105"/>
        </w:rPr>
        <w:t>de</w:t>
      </w:r>
      <w:r>
        <w:rPr>
          <w:color w:val="231F20"/>
          <w:spacing w:val="-7"/>
          <w:w w:val="105"/>
        </w:rPr>
        <w:t> </w:t>
      </w:r>
      <w:r>
        <w:rPr>
          <w:color w:val="231F20"/>
          <w:spacing w:val="-3"/>
          <w:w w:val="105"/>
        </w:rPr>
        <w:t>Naucalpan,</w:t>
      </w:r>
      <w:r>
        <w:rPr>
          <w:color w:val="231F20"/>
          <w:spacing w:val="-7"/>
          <w:w w:val="105"/>
        </w:rPr>
        <w:t> </w:t>
      </w:r>
      <w:r>
        <w:rPr>
          <w:color w:val="231F20"/>
          <w:w w:val="105"/>
        </w:rPr>
        <w:t>Tlalnepantla,</w:t>
      </w:r>
      <w:r>
        <w:rPr>
          <w:color w:val="231F20"/>
          <w:spacing w:val="-7"/>
          <w:w w:val="105"/>
        </w:rPr>
        <w:t> </w:t>
      </w:r>
      <w:r>
        <w:rPr>
          <w:color w:val="231F20"/>
          <w:spacing w:val="-4"/>
          <w:w w:val="105"/>
        </w:rPr>
        <w:t>Temascalapa,</w:t>
      </w:r>
      <w:r>
        <w:rPr>
          <w:color w:val="231F20"/>
          <w:spacing w:val="-7"/>
          <w:w w:val="105"/>
        </w:rPr>
        <w:t> </w:t>
      </w:r>
      <w:r>
        <w:rPr>
          <w:color w:val="231F20"/>
          <w:spacing w:val="-3"/>
          <w:w w:val="105"/>
        </w:rPr>
        <w:t>Cuautitlán</w:t>
      </w:r>
      <w:r>
        <w:rPr>
          <w:color w:val="231F20"/>
          <w:spacing w:val="-7"/>
          <w:w w:val="105"/>
        </w:rPr>
        <w:t> </w:t>
      </w:r>
      <w:r>
        <w:rPr>
          <w:color w:val="231F20"/>
          <w:w w:val="105"/>
        </w:rPr>
        <w:t>Izcalli</w:t>
      </w:r>
      <w:r>
        <w:rPr>
          <w:color w:val="231F20"/>
          <w:spacing w:val="-7"/>
          <w:w w:val="105"/>
        </w:rPr>
        <w:t> </w:t>
      </w:r>
      <w:r>
        <w:rPr>
          <w:color w:val="231F20"/>
          <w:w w:val="105"/>
        </w:rPr>
        <w:t>y Atizapán</w:t>
      </w:r>
      <w:r>
        <w:rPr>
          <w:color w:val="231F20"/>
          <w:spacing w:val="-25"/>
          <w:w w:val="105"/>
        </w:rPr>
        <w:t> </w:t>
      </w:r>
      <w:r>
        <w:rPr>
          <w:color w:val="231F20"/>
          <w:w w:val="105"/>
        </w:rPr>
        <w:t>de</w:t>
      </w:r>
      <w:r>
        <w:rPr>
          <w:color w:val="231F20"/>
          <w:spacing w:val="-25"/>
          <w:w w:val="105"/>
        </w:rPr>
        <w:t> </w:t>
      </w:r>
      <w:r>
        <w:rPr>
          <w:color w:val="231F20"/>
          <w:w w:val="105"/>
        </w:rPr>
        <w:t>Zaragoza</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spacing w:val="-6"/>
          <w:w w:val="105"/>
        </w:rPr>
        <w:t>PAN</w:t>
      </w:r>
      <w:r>
        <w:rPr>
          <w:color w:val="231F20"/>
          <w:spacing w:val="-25"/>
          <w:w w:val="105"/>
        </w:rPr>
        <w:t> </w:t>
      </w:r>
      <w:r>
        <w:rPr>
          <w:color w:val="231F20"/>
          <w:w w:val="105"/>
        </w:rPr>
        <w:t>y</w:t>
      </w:r>
      <w:r>
        <w:rPr>
          <w:color w:val="231F20"/>
          <w:spacing w:val="-25"/>
          <w:w w:val="105"/>
        </w:rPr>
        <w:t> </w:t>
      </w:r>
      <w:r>
        <w:rPr>
          <w:color w:val="231F20"/>
          <w:spacing w:val="-3"/>
          <w:w w:val="105"/>
        </w:rPr>
        <w:t>Nezahualcóyotl</w:t>
      </w:r>
      <w:r>
        <w:rPr>
          <w:color w:val="231F20"/>
          <w:spacing w:val="-25"/>
          <w:w w:val="105"/>
        </w:rPr>
        <w:t> </w:t>
      </w:r>
      <w:r>
        <w:rPr>
          <w:color w:val="231F20"/>
          <w:w w:val="105"/>
        </w:rPr>
        <w:t>y</w:t>
      </w:r>
      <w:r>
        <w:rPr>
          <w:color w:val="231F20"/>
          <w:spacing w:val="-25"/>
          <w:w w:val="105"/>
        </w:rPr>
        <w:t> </w:t>
      </w:r>
      <w:r>
        <w:rPr>
          <w:color w:val="231F20"/>
          <w:spacing w:val="-6"/>
          <w:w w:val="105"/>
        </w:rPr>
        <w:t>Texcoco</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spacing w:val="-4"/>
          <w:w w:val="105"/>
        </w:rPr>
        <w:t>PRD.</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2"/>
          <w:w w:val="105"/>
        </w:rPr>
        <w:t> </w:t>
      </w:r>
      <w:r>
        <w:rPr>
          <w:color w:val="231F20"/>
          <w:spacing w:val="2"/>
          <w:w w:val="105"/>
        </w:rPr>
        <w:t>tal</w:t>
      </w:r>
      <w:r>
        <w:rPr>
          <w:color w:val="231F20"/>
          <w:spacing w:val="-12"/>
          <w:w w:val="105"/>
        </w:rPr>
        <w:t> </w:t>
      </w:r>
      <w:r>
        <w:rPr>
          <w:color w:val="231F20"/>
          <w:w w:val="105"/>
        </w:rPr>
        <w:t>manera</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interés</w:t>
      </w:r>
      <w:r>
        <w:rPr>
          <w:color w:val="231F20"/>
          <w:spacing w:val="-12"/>
          <w:w w:val="105"/>
        </w:rPr>
        <w:t> </w:t>
      </w:r>
      <w:r>
        <w:rPr>
          <w:color w:val="231F20"/>
          <w:w w:val="105"/>
        </w:rPr>
        <w:t>por</w:t>
      </w:r>
      <w:r>
        <w:rPr>
          <w:color w:val="231F20"/>
          <w:spacing w:val="-12"/>
          <w:w w:val="105"/>
        </w:rPr>
        <w:t> </w:t>
      </w:r>
      <w:r>
        <w:rPr>
          <w:color w:val="231F20"/>
          <w:w w:val="105"/>
        </w:rPr>
        <w:t>estudiar</w:t>
      </w:r>
      <w:r>
        <w:rPr>
          <w:color w:val="231F20"/>
          <w:spacing w:val="-12"/>
          <w:w w:val="105"/>
        </w:rPr>
        <w:t> </w:t>
      </w:r>
      <w:r>
        <w:rPr>
          <w:color w:val="231F20"/>
          <w:w w:val="105"/>
        </w:rPr>
        <w:t>el</w:t>
      </w:r>
      <w:r>
        <w:rPr>
          <w:color w:val="231F20"/>
          <w:spacing w:val="-12"/>
          <w:w w:val="105"/>
        </w:rPr>
        <w:t> </w:t>
      </w:r>
      <w:r>
        <w:rPr>
          <w:color w:val="231F20"/>
          <w:w w:val="105"/>
        </w:rPr>
        <w:t>predominio</w:t>
      </w:r>
      <w:r>
        <w:rPr>
          <w:color w:val="231F20"/>
          <w:spacing w:val="-12"/>
          <w:w w:val="105"/>
        </w:rPr>
        <w:t> </w:t>
      </w:r>
      <w:r>
        <w:rPr>
          <w:color w:val="231F20"/>
          <w:w w:val="105"/>
        </w:rPr>
        <w:t>político-electoral</w:t>
      </w:r>
      <w:r>
        <w:rPr>
          <w:color w:val="231F20"/>
          <w:spacing w:val="-12"/>
          <w:w w:val="105"/>
        </w:rPr>
        <w:t> </w:t>
      </w:r>
      <w:r>
        <w:rPr>
          <w:color w:val="231F20"/>
          <w:w w:val="105"/>
        </w:rPr>
        <w:t>del</w:t>
      </w:r>
      <w:r>
        <w:rPr>
          <w:color w:val="231F20"/>
          <w:spacing w:val="-12"/>
          <w:w w:val="105"/>
        </w:rPr>
        <w:t> </w:t>
      </w:r>
      <w:r>
        <w:rPr>
          <w:color w:val="231F20"/>
          <w:w w:val="105"/>
        </w:rPr>
        <w:t>PRD</w:t>
      </w:r>
      <w:r>
        <w:rPr>
          <w:color w:val="231F20"/>
          <w:spacing w:val="-12"/>
          <w:w w:val="105"/>
        </w:rPr>
        <w:t> </w:t>
      </w:r>
      <w:r>
        <w:rPr>
          <w:color w:val="231F20"/>
          <w:w w:val="105"/>
        </w:rPr>
        <w:t>en</w:t>
      </w:r>
      <w:r>
        <w:rPr>
          <w:color w:val="231F20"/>
          <w:spacing w:val="-12"/>
          <w:w w:val="105"/>
        </w:rPr>
        <w:t> </w:t>
      </w:r>
      <w:r>
        <w:rPr>
          <w:color w:val="231F20"/>
          <w:w w:val="105"/>
        </w:rPr>
        <w:t>el municipio</w:t>
      </w:r>
      <w:r>
        <w:rPr>
          <w:color w:val="231F20"/>
          <w:spacing w:val="-4"/>
          <w:w w:val="105"/>
        </w:rPr>
        <w:t> </w:t>
      </w:r>
      <w:r>
        <w:rPr>
          <w:color w:val="231F20"/>
          <w:w w:val="105"/>
        </w:rPr>
        <w:t>de</w:t>
      </w:r>
      <w:r>
        <w:rPr>
          <w:color w:val="231F20"/>
          <w:spacing w:val="-4"/>
          <w:w w:val="105"/>
        </w:rPr>
        <w:t> </w:t>
      </w:r>
      <w:r>
        <w:rPr>
          <w:color w:val="231F20"/>
          <w:w w:val="105"/>
        </w:rPr>
        <w:t>Nezahualcóyotl,</w:t>
      </w:r>
      <w:r>
        <w:rPr>
          <w:color w:val="231F20"/>
          <w:spacing w:val="-4"/>
          <w:w w:val="105"/>
        </w:rPr>
        <w:t> </w:t>
      </w:r>
      <w:r>
        <w:rPr>
          <w:color w:val="231F20"/>
          <w:w w:val="105"/>
        </w:rPr>
        <w:t>radica</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hecho</w:t>
      </w:r>
      <w:r>
        <w:rPr>
          <w:color w:val="231F20"/>
          <w:spacing w:val="-4"/>
          <w:w w:val="105"/>
        </w:rPr>
        <w:t> </w:t>
      </w:r>
      <w:r>
        <w:rPr>
          <w:color w:val="231F20"/>
          <w:w w:val="105"/>
        </w:rPr>
        <w:t>de</w:t>
      </w:r>
      <w:r>
        <w:rPr>
          <w:color w:val="231F20"/>
          <w:spacing w:val="-4"/>
          <w:w w:val="105"/>
        </w:rPr>
        <w:t> </w:t>
      </w:r>
      <w:r>
        <w:rPr>
          <w:color w:val="231F20"/>
          <w:w w:val="105"/>
        </w:rPr>
        <w:t>que</w:t>
      </w:r>
      <w:r>
        <w:rPr>
          <w:color w:val="231F20"/>
          <w:spacing w:val="-4"/>
          <w:w w:val="105"/>
        </w:rPr>
        <w:t> </w:t>
      </w:r>
      <w:r>
        <w:rPr>
          <w:color w:val="231F20"/>
          <w:spacing w:val="-3"/>
          <w:w w:val="105"/>
        </w:rPr>
        <w:t>hoy</w:t>
      </w:r>
      <w:r>
        <w:rPr>
          <w:color w:val="231F20"/>
          <w:spacing w:val="-4"/>
          <w:w w:val="105"/>
        </w:rPr>
        <w:t> </w:t>
      </w:r>
      <w:r>
        <w:rPr>
          <w:color w:val="231F20"/>
          <w:w w:val="105"/>
        </w:rPr>
        <w:t>en</w:t>
      </w:r>
      <w:r>
        <w:rPr>
          <w:color w:val="231F20"/>
          <w:spacing w:val="-4"/>
          <w:w w:val="105"/>
        </w:rPr>
        <w:t> </w:t>
      </w:r>
      <w:r>
        <w:rPr>
          <w:color w:val="231F20"/>
          <w:w w:val="105"/>
        </w:rPr>
        <w:t>día</w:t>
      </w:r>
      <w:r>
        <w:rPr>
          <w:color w:val="231F20"/>
          <w:spacing w:val="-4"/>
          <w:w w:val="105"/>
        </w:rPr>
        <w:t> </w:t>
      </w:r>
      <w:r>
        <w:rPr>
          <w:color w:val="231F20"/>
          <w:w w:val="105"/>
        </w:rPr>
        <w:t>la</w:t>
      </w:r>
      <w:r>
        <w:rPr>
          <w:color w:val="231F20"/>
          <w:spacing w:val="-4"/>
          <w:w w:val="105"/>
        </w:rPr>
        <w:t> </w:t>
      </w:r>
      <w:r>
        <w:rPr>
          <w:color w:val="231F20"/>
          <w:w w:val="105"/>
        </w:rPr>
        <w:t>fortaleza</w:t>
      </w:r>
      <w:r>
        <w:rPr>
          <w:color w:val="231F20"/>
          <w:spacing w:val="-4"/>
          <w:w w:val="105"/>
        </w:rPr>
        <w:t> </w:t>
      </w:r>
      <w:r>
        <w:rPr>
          <w:color w:val="231F20"/>
          <w:w w:val="105"/>
        </w:rPr>
        <w:t>de</w:t>
      </w:r>
      <w:r>
        <w:rPr>
          <w:color w:val="231F20"/>
          <w:spacing w:val="-4"/>
          <w:w w:val="105"/>
        </w:rPr>
        <w:t> </w:t>
      </w:r>
      <w:r>
        <w:rPr>
          <w:color w:val="231F20"/>
          <w:w w:val="105"/>
        </w:rPr>
        <w:t>este partido,</w:t>
      </w:r>
      <w:r>
        <w:rPr>
          <w:color w:val="231F20"/>
          <w:spacing w:val="-19"/>
          <w:w w:val="105"/>
        </w:rPr>
        <w:t> </w:t>
      </w:r>
      <w:r>
        <w:rPr>
          <w:color w:val="231F20"/>
          <w:spacing w:val="-3"/>
          <w:w w:val="105"/>
        </w:rPr>
        <w:t>lejos</w:t>
      </w:r>
      <w:r>
        <w:rPr>
          <w:color w:val="231F20"/>
          <w:spacing w:val="-19"/>
          <w:w w:val="105"/>
        </w:rPr>
        <w:t> </w:t>
      </w:r>
      <w:r>
        <w:rPr>
          <w:color w:val="231F20"/>
          <w:w w:val="105"/>
        </w:rPr>
        <w:t>de</w:t>
      </w:r>
      <w:r>
        <w:rPr>
          <w:color w:val="231F20"/>
          <w:spacing w:val="-19"/>
          <w:w w:val="105"/>
        </w:rPr>
        <w:t> </w:t>
      </w:r>
      <w:r>
        <w:rPr>
          <w:color w:val="231F20"/>
          <w:w w:val="105"/>
        </w:rPr>
        <w:t>disminuir,</w:t>
      </w:r>
      <w:r>
        <w:rPr>
          <w:color w:val="231F20"/>
          <w:spacing w:val="-19"/>
          <w:w w:val="105"/>
        </w:rPr>
        <w:t> </w:t>
      </w:r>
      <w:r>
        <w:rPr>
          <w:color w:val="231F20"/>
          <w:w w:val="105"/>
        </w:rPr>
        <w:t>tiende</w:t>
      </w:r>
      <w:r>
        <w:rPr>
          <w:color w:val="231F20"/>
          <w:spacing w:val="-19"/>
          <w:w w:val="105"/>
        </w:rPr>
        <w:t> </w:t>
      </w:r>
      <w:r>
        <w:rPr>
          <w:color w:val="231F20"/>
          <w:w w:val="105"/>
        </w:rPr>
        <w:t>a</w:t>
      </w:r>
      <w:r>
        <w:rPr>
          <w:color w:val="231F20"/>
          <w:spacing w:val="-19"/>
          <w:w w:val="105"/>
        </w:rPr>
        <w:t> </w:t>
      </w:r>
      <w:r>
        <w:rPr>
          <w:color w:val="231F20"/>
          <w:w w:val="105"/>
        </w:rPr>
        <w:t>acentuarse,</w:t>
      </w:r>
      <w:r>
        <w:rPr>
          <w:color w:val="231F20"/>
          <w:spacing w:val="-19"/>
          <w:w w:val="105"/>
        </w:rPr>
        <w:t> </w:t>
      </w:r>
      <w:r>
        <w:rPr>
          <w:color w:val="231F20"/>
          <w:w w:val="105"/>
        </w:rPr>
        <w:t>convirtiendo</w:t>
      </w:r>
      <w:r>
        <w:rPr>
          <w:color w:val="231F20"/>
          <w:spacing w:val="-19"/>
          <w:w w:val="105"/>
        </w:rPr>
        <w:t> </w:t>
      </w:r>
      <w:r>
        <w:rPr>
          <w:color w:val="231F20"/>
          <w:w w:val="105"/>
        </w:rPr>
        <w:t>a</w:t>
      </w:r>
      <w:r>
        <w:rPr>
          <w:color w:val="231F20"/>
          <w:spacing w:val="-19"/>
          <w:w w:val="105"/>
        </w:rPr>
        <w:t> </w:t>
      </w:r>
      <w:r>
        <w:rPr>
          <w:color w:val="231F20"/>
          <w:w w:val="105"/>
        </w:rPr>
        <w:t>este</w:t>
      </w:r>
      <w:r>
        <w:rPr>
          <w:color w:val="231F20"/>
          <w:spacing w:val="-19"/>
          <w:w w:val="105"/>
        </w:rPr>
        <w:t> </w:t>
      </w:r>
      <w:r>
        <w:rPr>
          <w:color w:val="231F20"/>
          <w:w w:val="105"/>
        </w:rPr>
        <w:t>municipio</w:t>
      </w:r>
      <w:r>
        <w:rPr>
          <w:color w:val="231F20"/>
          <w:spacing w:val="-19"/>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w w:val="105"/>
        </w:rPr>
        <w:t>bas- tión</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spacing w:val="-2"/>
          <w:w w:val="105"/>
        </w:rPr>
        <w:t>presencia</w:t>
      </w:r>
      <w:r>
        <w:rPr>
          <w:color w:val="231F20"/>
          <w:spacing w:val="-8"/>
          <w:w w:val="105"/>
        </w:rPr>
        <w:t> </w:t>
      </w:r>
      <w:r>
        <w:rPr>
          <w:color w:val="231F20"/>
          <w:w w:val="105"/>
        </w:rPr>
        <w:t>y</w:t>
      </w:r>
      <w:r>
        <w:rPr>
          <w:color w:val="231F20"/>
          <w:spacing w:val="-8"/>
          <w:w w:val="105"/>
        </w:rPr>
        <w:t> </w:t>
      </w:r>
      <w:r>
        <w:rPr>
          <w:color w:val="231F20"/>
          <w:w w:val="105"/>
        </w:rPr>
        <w:t>fuerza</w:t>
      </w:r>
      <w:r>
        <w:rPr>
          <w:color w:val="231F20"/>
          <w:spacing w:val="-8"/>
          <w:w w:val="105"/>
        </w:rPr>
        <w:t> </w:t>
      </w:r>
      <w:r>
        <w:rPr>
          <w:color w:val="231F20"/>
          <w:w w:val="105"/>
        </w:rPr>
        <w:t>electoral</w:t>
      </w:r>
      <w:r>
        <w:rPr>
          <w:color w:val="231F20"/>
          <w:spacing w:val="-8"/>
          <w:w w:val="105"/>
        </w:rPr>
        <w:t> </w:t>
      </w:r>
      <w:r>
        <w:rPr>
          <w:color w:val="231F20"/>
          <w:w w:val="105"/>
        </w:rPr>
        <w:t>en</w:t>
      </w:r>
      <w:r>
        <w:rPr>
          <w:color w:val="231F20"/>
          <w:spacing w:val="-8"/>
          <w:w w:val="105"/>
        </w:rPr>
        <w:t> </w:t>
      </w:r>
      <w:r>
        <w:rPr>
          <w:color w:val="231F20"/>
          <w:w w:val="105"/>
        </w:rPr>
        <w:t>toda</w:t>
      </w:r>
      <w:r>
        <w:rPr>
          <w:color w:val="231F20"/>
          <w:spacing w:val="-8"/>
          <w:w w:val="105"/>
        </w:rPr>
        <w:t> </w:t>
      </w:r>
      <w:r>
        <w:rPr>
          <w:color w:val="231F20"/>
          <w:w w:val="105"/>
        </w:rPr>
        <w:t>la</w:t>
      </w:r>
      <w:r>
        <w:rPr>
          <w:color w:val="231F20"/>
          <w:spacing w:val="-8"/>
          <w:w w:val="105"/>
        </w:rPr>
        <w:t> </w:t>
      </w:r>
      <w:r>
        <w:rPr>
          <w:color w:val="231F20"/>
          <w:w w:val="105"/>
        </w:rPr>
        <w:t>entidad.</w:t>
      </w:r>
      <w:r>
        <w:rPr>
          <w:color w:val="231F20"/>
          <w:spacing w:val="-8"/>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contexto</w:t>
      </w:r>
      <w:r>
        <w:rPr>
          <w:color w:val="231F20"/>
          <w:spacing w:val="-8"/>
          <w:w w:val="105"/>
        </w:rPr>
        <w:t> </w:t>
      </w:r>
      <w:r>
        <w:rPr>
          <w:color w:val="231F20"/>
          <w:w w:val="105"/>
        </w:rPr>
        <w:t>surgen</w:t>
      </w:r>
      <w:r>
        <w:rPr>
          <w:color w:val="231F20"/>
          <w:spacing w:val="-8"/>
          <w:w w:val="105"/>
        </w:rPr>
        <w:t> </w:t>
      </w:r>
      <w:r>
        <w:rPr>
          <w:color w:val="231F20"/>
          <w:w w:val="105"/>
        </w:rPr>
        <w:t>cues- tionamientos para </w:t>
      </w:r>
      <w:r>
        <w:rPr>
          <w:color w:val="231F20"/>
          <w:spacing w:val="-3"/>
          <w:w w:val="105"/>
        </w:rPr>
        <w:t>entender </w:t>
      </w:r>
      <w:r>
        <w:rPr>
          <w:color w:val="231F20"/>
          <w:w w:val="105"/>
        </w:rPr>
        <w:t>la </w:t>
      </w:r>
      <w:r>
        <w:rPr>
          <w:color w:val="231F20"/>
          <w:spacing w:val="-3"/>
          <w:w w:val="105"/>
        </w:rPr>
        <w:t>conformación </w:t>
      </w:r>
      <w:r>
        <w:rPr>
          <w:color w:val="231F20"/>
          <w:w w:val="105"/>
        </w:rPr>
        <w:t>de dicho bastión perredista en la </w:t>
      </w:r>
      <w:r>
        <w:rPr>
          <w:color w:val="231F20"/>
          <w:spacing w:val="-3"/>
          <w:w w:val="105"/>
        </w:rPr>
        <w:t>entidad </w:t>
      </w:r>
      <w:r>
        <w:rPr>
          <w:color w:val="231F20"/>
          <w:w w:val="105"/>
        </w:rPr>
        <w:t>mexiquense,</w:t>
      </w:r>
      <w:r>
        <w:rPr>
          <w:color w:val="231F20"/>
          <w:spacing w:val="-25"/>
          <w:w w:val="105"/>
        </w:rPr>
        <w:t> </w:t>
      </w:r>
      <w:r>
        <w:rPr>
          <w:color w:val="231F20"/>
          <w:w w:val="105"/>
        </w:rPr>
        <w:t>por</w:t>
      </w:r>
      <w:r>
        <w:rPr>
          <w:color w:val="231F20"/>
          <w:spacing w:val="-25"/>
          <w:w w:val="105"/>
        </w:rPr>
        <w:t> </w:t>
      </w:r>
      <w:r>
        <w:rPr>
          <w:color w:val="231F20"/>
          <w:spacing w:val="-3"/>
          <w:w w:val="105"/>
        </w:rPr>
        <w:t>ejemplo</w:t>
      </w:r>
      <w:r>
        <w:rPr>
          <w:color w:val="231F20"/>
          <w:spacing w:val="-25"/>
          <w:w w:val="105"/>
        </w:rPr>
        <w:t> </w:t>
      </w:r>
      <w:r>
        <w:rPr>
          <w:color w:val="231F20"/>
          <w:spacing w:val="-3"/>
          <w:w w:val="105"/>
        </w:rPr>
        <w:t>¿Qué</w:t>
      </w:r>
      <w:r>
        <w:rPr>
          <w:color w:val="231F20"/>
          <w:spacing w:val="-25"/>
          <w:w w:val="105"/>
        </w:rPr>
        <w:t> </w:t>
      </w:r>
      <w:r>
        <w:rPr>
          <w:color w:val="231F20"/>
          <w:w w:val="105"/>
        </w:rPr>
        <w:t>le</w:t>
      </w:r>
      <w:r>
        <w:rPr>
          <w:color w:val="231F20"/>
          <w:spacing w:val="-25"/>
          <w:w w:val="105"/>
        </w:rPr>
        <w:t> </w:t>
      </w:r>
      <w:r>
        <w:rPr>
          <w:color w:val="231F20"/>
          <w:w w:val="105"/>
        </w:rPr>
        <w:t>ha</w:t>
      </w:r>
      <w:r>
        <w:rPr>
          <w:color w:val="231F20"/>
          <w:spacing w:val="-25"/>
          <w:w w:val="105"/>
        </w:rPr>
        <w:t> </w:t>
      </w:r>
      <w:r>
        <w:rPr>
          <w:color w:val="231F20"/>
          <w:w w:val="105"/>
        </w:rPr>
        <w:t>permitido</w:t>
      </w:r>
      <w:r>
        <w:rPr>
          <w:color w:val="231F20"/>
          <w:spacing w:val="-25"/>
          <w:w w:val="105"/>
        </w:rPr>
        <w:t> </w:t>
      </w:r>
      <w:r>
        <w:rPr>
          <w:color w:val="231F20"/>
          <w:w w:val="105"/>
        </w:rPr>
        <w:t>al</w:t>
      </w:r>
      <w:r>
        <w:rPr>
          <w:color w:val="231F20"/>
          <w:spacing w:val="-25"/>
          <w:w w:val="105"/>
        </w:rPr>
        <w:t> </w:t>
      </w:r>
      <w:r>
        <w:rPr>
          <w:color w:val="231F20"/>
          <w:w w:val="105"/>
        </w:rPr>
        <w:t>PRD</w:t>
      </w:r>
      <w:r>
        <w:rPr>
          <w:color w:val="231F20"/>
          <w:spacing w:val="-25"/>
          <w:w w:val="105"/>
        </w:rPr>
        <w:t> </w:t>
      </w:r>
      <w:r>
        <w:rPr>
          <w:color w:val="231F20"/>
          <w:w w:val="105"/>
        </w:rPr>
        <w:t>mantener</w:t>
      </w:r>
      <w:r>
        <w:rPr>
          <w:color w:val="231F20"/>
          <w:spacing w:val="-25"/>
          <w:w w:val="105"/>
        </w:rPr>
        <w:t> </w:t>
      </w:r>
      <w:r>
        <w:rPr>
          <w:color w:val="231F20"/>
          <w:w w:val="105"/>
        </w:rPr>
        <w:t>el</w:t>
      </w:r>
      <w:r>
        <w:rPr>
          <w:color w:val="231F20"/>
          <w:spacing w:val="-25"/>
          <w:w w:val="105"/>
        </w:rPr>
        <w:t> </w:t>
      </w:r>
      <w:r>
        <w:rPr>
          <w:color w:val="231F20"/>
          <w:w w:val="105"/>
        </w:rPr>
        <w:t>poder</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municipio de</w:t>
      </w:r>
      <w:r>
        <w:rPr>
          <w:color w:val="231F20"/>
          <w:spacing w:val="-14"/>
          <w:w w:val="105"/>
        </w:rPr>
        <w:t> </w:t>
      </w:r>
      <w:r>
        <w:rPr>
          <w:color w:val="231F20"/>
          <w:w w:val="105"/>
        </w:rPr>
        <w:t>Nezahualcóyotl</w:t>
      </w:r>
      <w:r>
        <w:rPr>
          <w:color w:val="231F20"/>
          <w:spacing w:val="-14"/>
          <w:w w:val="105"/>
        </w:rPr>
        <w:t> </w:t>
      </w:r>
      <w:r>
        <w:rPr>
          <w:color w:val="231F20"/>
          <w:w w:val="105"/>
        </w:rPr>
        <w:t>por</w:t>
      </w:r>
      <w:r>
        <w:rPr>
          <w:color w:val="231F20"/>
          <w:spacing w:val="-14"/>
          <w:w w:val="105"/>
        </w:rPr>
        <w:t> </w:t>
      </w:r>
      <w:r>
        <w:rPr>
          <w:color w:val="231F20"/>
          <w:w w:val="105"/>
        </w:rPr>
        <w:t>cuatro</w:t>
      </w:r>
      <w:r>
        <w:rPr>
          <w:color w:val="231F20"/>
          <w:spacing w:val="-14"/>
          <w:w w:val="105"/>
        </w:rPr>
        <w:t> </w:t>
      </w:r>
      <w:r>
        <w:rPr>
          <w:color w:val="231F20"/>
          <w:w w:val="105"/>
        </w:rPr>
        <w:t>administraciones</w:t>
      </w:r>
      <w:r>
        <w:rPr>
          <w:color w:val="231F20"/>
          <w:spacing w:val="-14"/>
          <w:w w:val="105"/>
        </w:rPr>
        <w:t> </w:t>
      </w:r>
      <w:r>
        <w:rPr>
          <w:color w:val="231F20"/>
          <w:w w:val="105"/>
        </w:rPr>
        <w:t>seguidas?</w:t>
      </w:r>
      <w:r>
        <w:rPr>
          <w:color w:val="231F20"/>
          <w:spacing w:val="-14"/>
          <w:w w:val="105"/>
        </w:rPr>
        <w:t> </w:t>
      </w:r>
      <w:r>
        <w:rPr>
          <w:color w:val="231F20"/>
          <w:w w:val="105"/>
        </w:rPr>
        <w:t>y</w:t>
      </w:r>
      <w:r>
        <w:rPr>
          <w:color w:val="231F20"/>
          <w:spacing w:val="-14"/>
          <w:w w:val="105"/>
        </w:rPr>
        <w:t> </w:t>
      </w:r>
      <w:r>
        <w:rPr>
          <w:color w:val="231F20"/>
          <w:w w:val="105"/>
        </w:rPr>
        <w:t>¿Cuál</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principal</w:t>
      </w:r>
      <w:r>
        <w:rPr>
          <w:color w:val="231F20"/>
          <w:spacing w:val="-14"/>
          <w:w w:val="105"/>
        </w:rPr>
        <w:t> </w:t>
      </w:r>
      <w:r>
        <w:rPr>
          <w:color w:val="231F20"/>
          <w:w w:val="105"/>
        </w:rPr>
        <w:t>fuente de</w:t>
      </w:r>
      <w:r>
        <w:rPr>
          <w:color w:val="231F20"/>
          <w:spacing w:val="-24"/>
          <w:w w:val="105"/>
        </w:rPr>
        <w:t> </w:t>
      </w:r>
      <w:r>
        <w:rPr>
          <w:color w:val="231F20"/>
          <w:w w:val="105"/>
        </w:rPr>
        <w:t>legitimación</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administraciones</w:t>
      </w:r>
      <w:r>
        <w:rPr>
          <w:color w:val="231F20"/>
          <w:spacing w:val="-24"/>
          <w:w w:val="105"/>
        </w:rPr>
        <w:t> </w:t>
      </w:r>
      <w:r>
        <w:rPr>
          <w:color w:val="231F20"/>
          <w:w w:val="105"/>
        </w:rPr>
        <w:t>perredistas</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municipio</w:t>
      </w:r>
      <w:r>
        <w:rPr>
          <w:color w:val="231F20"/>
          <w:spacing w:val="-24"/>
          <w:w w:val="105"/>
        </w:rPr>
        <w:t> </w:t>
      </w:r>
      <w:r>
        <w:rPr>
          <w:color w:val="231F20"/>
          <w:w w:val="105"/>
        </w:rPr>
        <w:t>de</w:t>
      </w:r>
      <w:r>
        <w:rPr>
          <w:color w:val="231F20"/>
          <w:spacing w:val="-24"/>
          <w:w w:val="105"/>
        </w:rPr>
        <w:t> </w:t>
      </w:r>
      <w:r>
        <w:rPr>
          <w:color w:val="231F20"/>
          <w:w w:val="105"/>
        </w:rPr>
        <w:t>Nezahualcóyotl?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6"/>
        <w:jc w:val="both"/>
      </w:pPr>
      <w:r>
        <w:rPr>
          <w:color w:val="231F20"/>
          <w:w w:val="105"/>
        </w:rPr>
        <w:t>Una posible respuesta a estas interrogantes es que el predominio electoral del PRD en el</w:t>
      </w:r>
      <w:r>
        <w:rPr>
          <w:color w:val="231F20"/>
          <w:spacing w:val="-12"/>
          <w:w w:val="105"/>
        </w:rPr>
        <w:t> </w:t>
      </w:r>
      <w:r>
        <w:rPr>
          <w:color w:val="231F20"/>
          <w:w w:val="105"/>
        </w:rPr>
        <w:t>municipio</w:t>
      </w:r>
      <w:r>
        <w:rPr>
          <w:color w:val="231F20"/>
          <w:spacing w:val="-12"/>
          <w:w w:val="105"/>
        </w:rPr>
        <w:t> </w:t>
      </w:r>
      <w:r>
        <w:rPr>
          <w:color w:val="231F20"/>
          <w:w w:val="105"/>
        </w:rPr>
        <w:t>de</w:t>
      </w:r>
      <w:r>
        <w:rPr>
          <w:color w:val="231F20"/>
          <w:spacing w:val="-12"/>
          <w:w w:val="105"/>
        </w:rPr>
        <w:t> </w:t>
      </w:r>
      <w:r>
        <w:rPr>
          <w:color w:val="231F20"/>
          <w:w w:val="105"/>
        </w:rPr>
        <w:t>Nezahualcóyotl</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resultado</w:t>
      </w:r>
      <w:r>
        <w:rPr>
          <w:color w:val="231F20"/>
          <w:spacing w:val="-12"/>
          <w:w w:val="105"/>
        </w:rPr>
        <w:t> </w:t>
      </w:r>
      <w:r>
        <w:rPr>
          <w:color w:val="231F20"/>
          <w:w w:val="105"/>
        </w:rPr>
        <w:t>de</w:t>
      </w:r>
      <w:r>
        <w:rPr>
          <w:color w:val="231F20"/>
          <w:spacing w:val="-12"/>
          <w:w w:val="105"/>
        </w:rPr>
        <w:t> </w:t>
      </w:r>
      <w:r>
        <w:rPr>
          <w:color w:val="231F20"/>
          <w:w w:val="105"/>
        </w:rPr>
        <w:t>llevar</w:t>
      </w:r>
      <w:r>
        <w:rPr>
          <w:color w:val="231F20"/>
          <w:spacing w:val="-12"/>
          <w:w w:val="105"/>
        </w:rPr>
        <w:t> </w:t>
      </w:r>
      <w:r>
        <w:rPr>
          <w:color w:val="231F20"/>
          <w:w w:val="105"/>
        </w:rPr>
        <w:t>a</w:t>
      </w:r>
      <w:r>
        <w:rPr>
          <w:color w:val="231F20"/>
          <w:spacing w:val="-12"/>
          <w:w w:val="105"/>
        </w:rPr>
        <w:t> </w:t>
      </w:r>
      <w:r>
        <w:rPr>
          <w:color w:val="231F20"/>
          <w:w w:val="105"/>
        </w:rPr>
        <w:t>cabo</w:t>
      </w:r>
      <w:r>
        <w:rPr>
          <w:color w:val="231F20"/>
          <w:spacing w:val="-12"/>
          <w:w w:val="105"/>
        </w:rPr>
        <w:t> </w:t>
      </w:r>
      <w:r>
        <w:rPr>
          <w:color w:val="231F20"/>
          <w:w w:val="105"/>
        </w:rPr>
        <w:t>un</w:t>
      </w:r>
      <w:r>
        <w:rPr>
          <w:color w:val="231F20"/>
          <w:spacing w:val="-12"/>
          <w:w w:val="105"/>
        </w:rPr>
        <w:t> </w:t>
      </w:r>
      <w:r>
        <w:rPr>
          <w:color w:val="231F20"/>
          <w:w w:val="105"/>
        </w:rPr>
        <w:t>ejercicio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admi- nistración</w:t>
      </w:r>
      <w:r>
        <w:rPr>
          <w:color w:val="231F20"/>
          <w:spacing w:val="-16"/>
          <w:w w:val="105"/>
        </w:rPr>
        <w:t> </w:t>
      </w:r>
      <w:r>
        <w:rPr>
          <w:color w:val="231F20"/>
          <w:w w:val="105"/>
        </w:rPr>
        <w:t>pública</w:t>
      </w:r>
      <w:r>
        <w:rPr>
          <w:color w:val="231F20"/>
          <w:spacing w:val="-16"/>
          <w:w w:val="105"/>
        </w:rPr>
        <w:t> </w:t>
      </w:r>
      <w:r>
        <w:rPr>
          <w:color w:val="231F20"/>
          <w:w w:val="105"/>
        </w:rPr>
        <w:t>de</w:t>
      </w:r>
      <w:r>
        <w:rPr>
          <w:color w:val="231F20"/>
          <w:spacing w:val="-16"/>
          <w:w w:val="105"/>
        </w:rPr>
        <w:t> </w:t>
      </w:r>
      <w:r>
        <w:rPr>
          <w:color w:val="231F20"/>
          <w:w w:val="105"/>
        </w:rPr>
        <w:t>corte</w:t>
      </w:r>
      <w:r>
        <w:rPr>
          <w:color w:val="231F20"/>
          <w:spacing w:val="-16"/>
          <w:w w:val="105"/>
        </w:rPr>
        <w:t> </w:t>
      </w:r>
      <w:r>
        <w:rPr>
          <w:color w:val="231F20"/>
          <w:w w:val="105"/>
        </w:rPr>
        <w:t>asistencial</w:t>
      </w:r>
      <w:r>
        <w:rPr>
          <w:color w:val="231F20"/>
          <w:spacing w:val="-16"/>
          <w:w w:val="105"/>
        </w:rPr>
        <w:t> </w:t>
      </w:r>
      <w:r>
        <w:rPr>
          <w:color w:val="231F20"/>
          <w:w w:val="105"/>
        </w:rPr>
        <w:t>y</w:t>
      </w:r>
      <w:r>
        <w:rPr>
          <w:color w:val="231F20"/>
          <w:spacing w:val="-16"/>
          <w:w w:val="105"/>
        </w:rPr>
        <w:t> </w:t>
      </w:r>
      <w:r>
        <w:rPr>
          <w:color w:val="231F20"/>
          <w:w w:val="105"/>
        </w:rPr>
        <w:t>popular,</w:t>
      </w:r>
      <w:r>
        <w:rPr>
          <w:color w:val="231F20"/>
          <w:spacing w:val="-16"/>
          <w:w w:val="105"/>
        </w:rPr>
        <w:t> </w:t>
      </w:r>
      <w:r>
        <w:rPr>
          <w:color w:val="231F20"/>
          <w:w w:val="105"/>
        </w:rPr>
        <w:t>en</w:t>
      </w:r>
      <w:r>
        <w:rPr>
          <w:color w:val="231F20"/>
          <w:spacing w:val="-16"/>
          <w:w w:val="105"/>
        </w:rPr>
        <w:t> </w:t>
      </w:r>
      <w:r>
        <w:rPr>
          <w:color w:val="231F20"/>
          <w:w w:val="105"/>
        </w:rPr>
        <w:t>atención</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demandas</w:t>
      </w:r>
      <w:r>
        <w:rPr>
          <w:color w:val="231F20"/>
          <w:spacing w:val="-16"/>
          <w:w w:val="105"/>
        </w:rPr>
        <w:t> </w:t>
      </w:r>
      <w:r>
        <w:rPr>
          <w:color w:val="231F20"/>
          <w:w w:val="105"/>
        </w:rPr>
        <w:t>inmediatas </w:t>
      </w:r>
      <w:r>
        <w:rPr>
          <w:color w:val="231F20"/>
          <w:spacing w:val="-3"/>
          <w:w w:val="105"/>
        </w:rPr>
        <w:t>(sentidas)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ciudadanía</w:t>
      </w:r>
      <w:r>
        <w:rPr>
          <w:color w:val="231F20"/>
          <w:spacing w:val="-8"/>
          <w:w w:val="105"/>
        </w:rPr>
        <w:t> </w:t>
      </w:r>
      <w:r>
        <w:rPr>
          <w:color w:val="231F20"/>
          <w:w w:val="105"/>
        </w:rPr>
        <w:t>en</w:t>
      </w:r>
      <w:r>
        <w:rPr>
          <w:color w:val="231F20"/>
          <w:spacing w:val="-8"/>
          <w:w w:val="105"/>
        </w:rPr>
        <w:t> </w:t>
      </w:r>
      <w:r>
        <w:rPr>
          <w:color w:val="231F20"/>
          <w:w w:val="105"/>
        </w:rPr>
        <w:t>general,</w:t>
      </w:r>
      <w:r>
        <w:rPr>
          <w:color w:val="231F20"/>
          <w:spacing w:val="-8"/>
          <w:w w:val="105"/>
        </w:rPr>
        <w:t> </w:t>
      </w:r>
      <w:r>
        <w:rPr>
          <w:color w:val="231F20"/>
          <w:w w:val="105"/>
        </w:rPr>
        <w:t>enarbolando</w:t>
      </w:r>
      <w:r>
        <w:rPr>
          <w:color w:val="231F20"/>
          <w:spacing w:val="-8"/>
          <w:w w:val="105"/>
        </w:rPr>
        <w:t> </w:t>
      </w:r>
      <w:r>
        <w:rPr>
          <w:color w:val="231F20"/>
          <w:w w:val="105"/>
        </w:rPr>
        <w:t>los</w:t>
      </w:r>
      <w:r>
        <w:rPr>
          <w:color w:val="231F20"/>
          <w:spacing w:val="-8"/>
          <w:w w:val="105"/>
        </w:rPr>
        <w:t> </w:t>
      </w:r>
      <w:r>
        <w:rPr>
          <w:color w:val="231F20"/>
          <w:w w:val="105"/>
        </w:rPr>
        <w:t>principios</w:t>
      </w:r>
      <w:r>
        <w:rPr>
          <w:color w:val="231F20"/>
          <w:spacing w:val="-8"/>
          <w:w w:val="105"/>
        </w:rPr>
        <w:t> </w:t>
      </w:r>
      <w:r>
        <w:rPr>
          <w:color w:val="231F20"/>
          <w:w w:val="105"/>
        </w:rPr>
        <w:t>de</w:t>
      </w:r>
      <w:r>
        <w:rPr>
          <w:color w:val="231F20"/>
          <w:spacing w:val="-8"/>
          <w:w w:val="105"/>
        </w:rPr>
        <w:t> </w:t>
      </w:r>
      <w:r>
        <w:rPr>
          <w:color w:val="231F20"/>
          <w:w w:val="105"/>
        </w:rPr>
        <w:t>una</w:t>
      </w:r>
      <w:r>
        <w:rPr>
          <w:color w:val="231F20"/>
          <w:spacing w:val="-8"/>
          <w:w w:val="105"/>
        </w:rPr>
        <w:t> </w:t>
      </w:r>
      <w:r>
        <w:rPr>
          <w:color w:val="231F20"/>
          <w:w w:val="105"/>
        </w:rPr>
        <w:t>política</w:t>
      </w:r>
      <w:r>
        <w:rPr>
          <w:color w:val="231F20"/>
          <w:spacing w:val="-8"/>
          <w:w w:val="105"/>
        </w:rPr>
        <w:t> </w:t>
      </w:r>
      <w:r>
        <w:rPr>
          <w:color w:val="231F20"/>
          <w:w w:val="105"/>
        </w:rPr>
        <w:t>de</w:t>
      </w:r>
      <w:r>
        <w:rPr>
          <w:color w:val="231F20"/>
          <w:spacing w:val="-8"/>
          <w:w w:val="105"/>
        </w:rPr>
        <w:t> </w:t>
      </w:r>
      <w:r>
        <w:rPr>
          <w:color w:val="231F20"/>
          <w:w w:val="105"/>
        </w:rPr>
        <w:t>iz- quierda</w:t>
      </w:r>
      <w:r>
        <w:rPr>
          <w:color w:val="231F20"/>
          <w:spacing w:val="-25"/>
          <w:w w:val="105"/>
        </w:rPr>
        <w:t> </w:t>
      </w:r>
      <w:r>
        <w:rPr>
          <w:color w:val="231F20"/>
          <w:w w:val="105"/>
        </w:rPr>
        <w:t>con</w:t>
      </w:r>
      <w:r>
        <w:rPr>
          <w:color w:val="231F20"/>
          <w:spacing w:val="-25"/>
          <w:w w:val="105"/>
        </w:rPr>
        <w:t> </w:t>
      </w:r>
      <w:r>
        <w:rPr>
          <w:color w:val="231F20"/>
          <w:w w:val="105"/>
        </w:rPr>
        <w:t>apego</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w w:val="105"/>
        </w:rPr>
        <w:t>necesidades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gente.</w:t>
      </w:r>
      <w:r>
        <w:rPr>
          <w:color w:val="231F20"/>
          <w:spacing w:val="-25"/>
          <w:w w:val="105"/>
        </w:rPr>
        <w:t> </w:t>
      </w:r>
      <w:r>
        <w:rPr>
          <w:color w:val="231F20"/>
          <w:w w:val="105"/>
        </w:rPr>
        <w:t>Además</w:t>
      </w:r>
      <w:r>
        <w:rPr>
          <w:color w:val="231F20"/>
          <w:spacing w:val="-25"/>
          <w:w w:val="105"/>
        </w:rPr>
        <w:t> </w:t>
      </w:r>
      <w:r>
        <w:rPr>
          <w:color w:val="231F20"/>
          <w:w w:val="105"/>
        </w:rPr>
        <w:t>de</w:t>
      </w:r>
      <w:r>
        <w:rPr>
          <w:color w:val="231F20"/>
          <w:spacing w:val="-25"/>
          <w:w w:val="105"/>
        </w:rPr>
        <w:t> </w:t>
      </w:r>
      <w:r>
        <w:rPr>
          <w:color w:val="231F20"/>
          <w:w w:val="105"/>
        </w:rPr>
        <w:t>que</w:t>
      </w:r>
      <w:r>
        <w:rPr>
          <w:color w:val="231F20"/>
          <w:spacing w:val="-25"/>
          <w:w w:val="105"/>
        </w:rPr>
        <w:t> </w:t>
      </w:r>
      <w:r>
        <w:rPr>
          <w:color w:val="231F20"/>
          <w:w w:val="105"/>
        </w:rPr>
        <w:t>desde</w:t>
      </w:r>
      <w:r>
        <w:rPr>
          <w:color w:val="231F20"/>
          <w:spacing w:val="-25"/>
          <w:w w:val="105"/>
        </w:rPr>
        <w:t> </w:t>
      </w:r>
      <w:r>
        <w:rPr>
          <w:color w:val="231F20"/>
          <w:w w:val="105"/>
        </w:rPr>
        <w:t>la</w:t>
      </w:r>
      <w:r>
        <w:rPr>
          <w:color w:val="231F20"/>
          <w:spacing w:val="-25"/>
          <w:w w:val="105"/>
        </w:rPr>
        <w:t> </w:t>
      </w:r>
      <w:r>
        <w:rPr>
          <w:color w:val="231F20"/>
          <w:w w:val="105"/>
        </w:rPr>
        <w:t>llegada</w:t>
      </w:r>
      <w:r>
        <w:rPr>
          <w:color w:val="231F20"/>
          <w:spacing w:val="-25"/>
          <w:w w:val="105"/>
        </w:rPr>
        <w:t> </w:t>
      </w:r>
      <w:r>
        <w:rPr>
          <w:color w:val="231F20"/>
          <w:w w:val="105"/>
        </w:rPr>
        <w:t>del</w:t>
      </w:r>
      <w:r>
        <w:rPr>
          <w:color w:val="231F20"/>
          <w:spacing w:val="-25"/>
          <w:w w:val="105"/>
        </w:rPr>
        <w:t> </w:t>
      </w:r>
      <w:r>
        <w:rPr>
          <w:color w:val="231F20"/>
          <w:w w:val="105"/>
        </w:rPr>
        <w:t>PRD </w:t>
      </w:r>
      <w:r>
        <w:rPr>
          <w:color w:val="231F20"/>
          <w:spacing w:val="2"/>
          <w:w w:val="105"/>
        </w:rPr>
        <w:t>al </w:t>
      </w:r>
      <w:r>
        <w:rPr>
          <w:color w:val="231F20"/>
          <w:w w:val="105"/>
        </w:rPr>
        <w:t>gobierno del municipio ha sabido capitalizar su trabajo corporativo y clientelar con las</w:t>
      </w:r>
      <w:r>
        <w:rPr>
          <w:color w:val="231F20"/>
          <w:spacing w:val="-12"/>
          <w:w w:val="105"/>
        </w:rPr>
        <w:t> </w:t>
      </w:r>
      <w:r>
        <w:rPr>
          <w:color w:val="231F20"/>
          <w:w w:val="105"/>
        </w:rPr>
        <w:t>diferentes</w:t>
      </w:r>
      <w:r>
        <w:rPr>
          <w:color w:val="231F20"/>
          <w:spacing w:val="-12"/>
          <w:w w:val="105"/>
        </w:rPr>
        <w:t> </w:t>
      </w:r>
      <w:r>
        <w:rPr>
          <w:color w:val="231F20"/>
          <w:w w:val="105"/>
        </w:rPr>
        <w:t>organizaciones</w:t>
      </w:r>
      <w:r>
        <w:rPr>
          <w:color w:val="231F20"/>
          <w:spacing w:val="-12"/>
          <w:w w:val="105"/>
        </w:rPr>
        <w:t> </w:t>
      </w:r>
      <w:r>
        <w:rPr>
          <w:color w:val="231F20"/>
          <w:w w:val="105"/>
        </w:rPr>
        <w:t>populares</w:t>
      </w:r>
      <w:r>
        <w:rPr>
          <w:color w:val="231F20"/>
          <w:spacing w:val="-12"/>
          <w:w w:val="105"/>
        </w:rPr>
        <w:t> </w:t>
      </w:r>
      <w:r>
        <w:rPr>
          <w:color w:val="231F20"/>
          <w:w w:val="105"/>
        </w:rPr>
        <w:t>con</w:t>
      </w:r>
      <w:r>
        <w:rPr>
          <w:color w:val="231F20"/>
          <w:spacing w:val="-12"/>
          <w:w w:val="105"/>
        </w:rPr>
        <w:t> </w:t>
      </w:r>
      <w:r>
        <w:rPr>
          <w:color w:val="231F20"/>
          <w:w w:val="105"/>
        </w:rPr>
        <w:t>mayor</w:t>
      </w:r>
      <w:r>
        <w:rPr>
          <w:color w:val="231F20"/>
          <w:spacing w:val="-12"/>
          <w:w w:val="105"/>
        </w:rPr>
        <w:t> </w:t>
      </w:r>
      <w:r>
        <w:rPr>
          <w:color w:val="231F20"/>
          <w:w w:val="105"/>
        </w:rPr>
        <w:t>presencia</w:t>
      </w:r>
      <w:r>
        <w:rPr>
          <w:color w:val="231F20"/>
          <w:spacing w:val="-12"/>
          <w:w w:val="105"/>
        </w:rPr>
        <w:t> </w:t>
      </w:r>
      <w:r>
        <w:rPr>
          <w:color w:val="231F20"/>
          <w:w w:val="105"/>
        </w:rPr>
        <w:t>y</w:t>
      </w:r>
      <w:r>
        <w:rPr>
          <w:color w:val="231F20"/>
          <w:spacing w:val="-12"/>
          <w:w w:val="105"/>
        </w:rPr>
        <w:t> </w:t>
      </w:r>
      <w:r>
        <w:rPr>
          <w:color w:val="231F20"/>
          <w:w w:val="105"/>
        </w:rPr>
        <w:t>fuerza,</w:t>
      </w:r>
      <w:r>
        <w:rPr>
          <w:color w:val="231F20"/>
          <w:spacing w:val="-12"/>
          <w:w w:val="105"/>
        </w:rPr>
        <w:t> </w:t>
      </w:r>
      <w:r>
        <w:rPr>
          <w:color w:val="231F20"/>
          <w:w w:val="105"/>
        </w:rPr>
        <w:t>que</w:t>
      </w:r>
      <w:r>
        <w:rPr>
          <w:color w:val="231F20"/>
          <w:spacing w:val="-12"/>
          <w:w w:val="105"/>
        </w:rPr>
        <w:t> </w:t>
      </w:r>
      <w:r>
        <w:rPr>
          <w:color w:val="231F20"/>
          <w:w w:val="105"/>
        </w:rPr>
        <w:t>le</w:t>
      </w:r>
      <w:r>
        <w:rPr>
          <w:color w:val="231F20"/>
          <w:spacing w:val="-12"/>
          <w:w w:val="105"/>
        </w:rPr>
        <w:t> </w:t>
      </w:r>
      <w:r>
        <w:rPr>
          <w:color w:val="231F20"/>
          <w:w w:val="105"/>
        </w:rPr>
        <w:t>han</w:t>
      </w:r>
      <w:r>
        <w:rPr>
          <w:color w:val="231F20"/>
          <w:spacing w:val="-12"/>
          <w:w w:val="105"/>
        </w:rPr>
        <w:t> </w:t>
      </w:r>
      <w:r>
        <w:rPr>
          <w:color w:val="231F20"/>
          <w:w w:val="105"/>
        </w:rPr>
        <w:t>signi- ficado</w:t>
      </w:r>
      <w:r>
        <w:rPr>
          <w:color w:val="231F20"/>
          <w:spacing w:val="-12"/>
          <w:w w:val="105"/>
        </w:rPr>
        <w:t> </w:t>
      </w:r>
      <w:r>
        <w:rPr>
          <w:color w:val="231F20"/>
          <w:spacing w:val="2"/>
          <w:w w:val="105"/>
        </w:rPr>
        <w:t>afianzar</w:t>
      </w:r>
      <w:r>
        <w:rPr>
          <w:color w:val="231F20"/>
          <w:spacing w:val="-12"/>
          <w:w w:val="105"/>
        </w:rPr>
        <w:t> </w:t>
      </w:r>
      <w:r>
        <w:rPr>
          <w:color w:val="231F20"/>
          <w:w w:val="105"/>
        </w:rPr>
        <w:t>su</w:t>
      </w:r>
      <w:r>
        <w:rPr>
          <w:color w:val="231F20"/>
          <w:spacing w:val="-12"/>
          <w:w w:val="105"/>
        </w:rPr>
        <w:t> </w:t>
      </w:r>
      <w:r>
        <w:rPr>
          <w:color w:val="231F20"/>
          <w:w w:val="105"/>
        </w:rPr>
        <w:t>capital</w:t>
      </w:r>
      <w:r>
        <w:rPr>
          <w:color w:val="231F20"/>
          <w:spacing w:val="-12"/>
          <w:w w:val="105"/>
        </w:rPr>
        <w:t> </w:t>
      </w:r>
      <w:r>
        <w:rPr>
          <w:color w:val="231F20"/>
          <w:w w:val="105"/>
        </w:rPr>
        <w:t>político</w:t>
      </w:r>
      <w:r>
        <w:rPr>
          <w:color w:val="231F20"/>
          <w:spacing w:val="-12"/>
          <w:w w:val="105"/>
        </w:rPr>
        <w:t> </w:t>
      </w:r>
      <w:r>
        <w:rPr>
          <w:color w:val="231F20"/>
          <w:w w:val="105"/>
        </w:rPr>
        <w:t>y</w:t>
      </w:r>
      <w:r>
        <w:rPr>
          <w:color w:val="231F20"/>
          <w:spacing w:val="-12"/>
          <w:w w:val="105"/>
        </w:rPr>
        <w:t> </w:t>
      </w:r>
      <w:r>
        <w:rPr>
          <w:color w:val="231F20"/>
          <w:w w:val="105"/>
        </w:rPr>
        <w:t>convertirse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partido</w:t>
      </w:r>
      <w:r>
        <w:rPr>
          <w:color w:val="231F20"/>
          <w:spacing w:val="-12"/>
          <w:w w:val="105"/>
        </w:rPr>
        <w:t> </w:t>
      </w:r>
      <w:r>
        <w:rPr>
          <w:color w:val="231F20"/>
          <w:w w:val="105"/>
        </w:rPr>
        <w:t>político</w:t>
      </w:r>
      <w:r>
        <w:rPr>
          <w:color w:val="231F20"/>
          <w:spacing w:val="-12"/>
          <w:w w:val="105"/>
        </w:rPr>
        <w:t> </w:t>
      </w:r>
      <w:r>
        <w:rPr>
          <w:color w:val="231F20"/>
          <w:w w:val="105"/>
        </w:rPr>
        <w:t>predominante.</w:t>
      </w:r>
    </w:p>
    <w:p>
      <w:pPr>
        <w:pStyle w:val="BodyText"/>
        <w:spacing w:before="1"/>
        <w:rPr>
          <w:sz w:val="26"/>
        </w:rPr>
      </w:pPr>
    </w:p>
    <w:p>
      <w:pPr>
        <w:pStyle w:val="BodyText"/>
        <w:spacing w:line="285" w:lineRule="auto"/>
        <w:ind w:left="110" w:right="108"/>
        <w:jc w:val="both"/>
      </w:pPr>
      <w:r>
        <w:rPr>
          <w:color w:val="231F20"/>
          <w:w w:val="105"/>
        </w:rPr>
        <w:t>Sobre todo tomando en consideración que el municipio de Nezahualcóyotl está inte- grado por habitantes de sectores sociales medios y bajos que llegaron a residir en el municipio, atraídos por las oportunidades de empleo y servicios públicos que ofrece la Ciudad de México.</w:t>
      </w:r>
    </w:p>
    <w:p>
      <w:pPr>
        <w:pStyle w:val="BodyText"/>
        <w:spacing w:before="1"/>
        <w:rPr>
          <w:sz w:val="26"/>
        </w:rPr>
      </w:pPr>
    </w:p>
    <w:p>
      <w:pPr>
        <w:pStyle w:val="BodyText"/>
        <w:spacing w:line="285" w:lineRule="auto"/>
        <w:ind w:left="110" w:right="108"/>
        <w:jc w:val="both"/>
      </w:pPr>
      <w:r>
        <w:rPr>
          <w:color w:val="231F20"/>
          <w:w w:val="105"/>
        </w:rPr>
        <w:t>Para desarrollar este estudio nos remitiremos al análisis de la administración mu- nicipal, partiendo de la revisión de los Planes de Desarrollo Municipal de las cuatro administraciones perredistas, así como de sus respectivos Bandos Municipales y sus Informes de Actividades.</w:t>
      </w:r>
    </w:p>
    <w:p>
      <w:pPr>
        <w:pStyle w:val="BodyText"/>
        <w:spacing w:before="1"/>
        <w:rPr>
          <w:sz w:val="26"/>
        </w:rPr>
      </w:pPr>
    </w:p>
    <w:p>
      <w:pPr>
        <w:pStyle w:val="BodyText"/>
        <w:spacing w:line="285" w:lineRule="auto"/>
        <w:ind w:left="110" w:right="108"/>
        <w:jc w:val="both"/>
      </w:pPr>
      <w:r>
        <w:rPr>
          <w:color w:val="231F20"/>
          <w:w w:val="105"/>
        </w:rPr>
        <w:t>Este </w:t>
      </w:r>
      <w:r>
        <w:rPr>
          <w:color w:val="231F20"/>
          <w:spacing w:val="2"/>
          <w:w w:val="105"/>
        </w:rPr>
        <w:t>estudio está dividido </w:t>
      </w:r>
      <w:r>
        <w:rPr>
          <w:color w:val="231F20"/>
          <w:w w:val="105"/>
        </w:rPr>
        <w:t>en cuatro </w:t>
      </w:r>
      <w:r>
        <w:rPr>
          <w:color w:val="231F20"/>
          <w:spacing w:val="2"/>
          <w:w w:val="105"/>
        </w:rPr>
        <w:t>apartados: </w:t>
      </w:r>
      <w:r>
        <w:rPr>
          <w:color w:val="231F20"/>
          <w:w w:val="105"/>
        </w:rPr>
        <w:t>en el primero se abordan </w:t>
      </w:r>
      <w:r>
        <w:rPr>
          <w:color w:val="231F20"/>
          <w:spacing w:val="2"/>
          <w:w w:val="105"/>
        </w:rPr>
        <w:t>las </w:t>
      </w:r>
      <w:r>
        <w:rPr>
          <w:color w:val="231F20"/>
          <w:w w:val="105"/>
        </w:rPr>
        <w:t>genera- lidades del municipio, haciendo alusión a su </w:t>
      </w:r>
      <w:r>
        <w:rPr>
          <w:color w:val="231F20"/>
          <w:spacing w:val="2"/>
          <w:w w:val="105"/>
        </w:rPr>
        <w:t>desarrollo histórico </w:t>
      </w:r>
      <w:r>
        <w:rPr>
          <w:color w:val="231F20"/>
          <w:w w:val="105"/>
        </w:rPr>
        <w:t>que nos </w:t>
      </w:r>
      <w:r>
        <w:rPr>
          <w:color w:val="231F20"/>
          <w:spacing w:val="2"/>
          <w:w w:val="105"/>
        </w:rPr>
        <w:t>ayudará </w:t>
      </w:r>
      <w:r>
        <w:rPr>
          <w:color w:val="231F20"/>
          <w:w w:val="105"/>
        </w:rPr>
        <w:t>a comprender </w:t>
      </w:r>
      <w:r>
        <w:rPr>
          <w:color w:val="231F20"/>
          <w:spacing w:val="3"/>
          <w:w w:val="105"/>
        </w:rPr>
        <w:t>un </w:t>
      </w:r>
      <w:r>
        <w:rPr>
          <w:color w:val="231F20"/>
          <w:w w:val="105"/>
        </w:rPr>
        <w:t>poco mejor su contexto socioeconómico; en el segundo se contextua- </w:t>
      </w:r>
      <w:r>
        <w:rPr>
          <w:color w:val="231F20"/>
          <w:spacing w:val="3"/>
          <w:w w:val="105"/>
        </w:rPr>
        <w:t>lizará</w:t>
      </w:r>
      <w:r>
        <w:rPr>
          <w:color w:val="231F20"/>
          <w:spacing w:val="-15"/>
          <w:w w:val="105"/>
        </w:rPr>
        <w:t> </w:t>
      </w:r>
      <w:r>
        <w:rPr>
          <w:color w:val="231F20"/>
          <w:w w:val="105"/>
        </w:rPr>
        <w:t>la</w:t>
      </w:r>
      <w:r>
        <w:rPr>
          <w:color w:val="231F20"/>
          <w:spacing w:val="-15"/>
          <w:w w:val="105"/>
        </w:rPr>
        <w:t> </w:t>
      </w:r>
      <w:r>
        <w:rPr>
          <w:color w:val="231F20"/>
          <w:w w:val="105"/>
        </w:rPr>
        <w:t>llegada</w:t>
      </w:r>
      <w:r>
        <w:rPr>
          <w:color w:val="231F20"/>
          <w:spacing w:val="-15"/>
          <w:w w:val="105"/>
        </w:rPr>
        <w:t> </w:t>
      </w:r>
      <w:r>
        <w:rPr>
          <w:color w:val="231F20"/>
          <w:w w:val="105"/>
        </w:rPr>
        <w:t>y</w:t>
      </w:r>
      <w:r>
        <w:rPr>
          <w:color w:val="231F20"/>
          <w:spacing w:val="-15"/>
          <w:w w:val="105"/>
        </w:rPr>
        <w:t> </w:t>
      </w:r>
      <w:r>
        <w:rPr>
          <w:color w:val="231F20"/>
          <w:spacing w:val="2"/>
          <w:w w:val="105"/>
        </w:rPr>
        <w:t>desarrollo</w:t>
      </w:r>
      <w:r>
        <w:rPr>
          <w:color w:val="231F20"/>
          <w:spacing w:val="-15"/>
          <w:w w:val="105"/>
        </w:rPr>
        <w:t> </w:t>
      </w:r>
      <w:r>
        <w:rPr>
          <w:color w:val="231F20"/>
          <w:spacing w:val="2"/>
          <w:w w:val="105"/>
        </w:rPr>
        <w:t>electoral</w:t>
      </w:r>
      <w:r>
        <w:rPr>
          <w:color w:val="231F20"/>
          <w:spacing w:val="-15"/>
          <w:w w:val="105"/>
        </w:rPr>
        <w:t> </w:t>
      </w:r>
      <w:r>
        <w:rPr>
          <w:color w:val="231F20"/>
          <w:w w:val="105"/>
        </w:rPr>
        <w:t>del</w:t>
      </w:r>
      <w:r>
        <w:rPr>
          <w:color w:val="231F20"/>
          <w:spacing w:val="-15"/>
          <w:w w:val="105"/>
        </w:rPr>
        <w:t> </w:t>
      </w:r>
      <w:r>
        <w:rPr>
          <w:color w:val="231F20"/>
          <w:w w:val="105"/>
        </w:rPr>
        <w:t>PRD</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tercer</w:t>
      </w:r>
      <w:r>
        <w:rPr>
          <w:color w:val="231F20"/>
          <w:spacing w:val="-15"/>
          <w:w w:val="105"/>
        </w:rPr>
        <w:t> </w:t>
      </w:r>
      <w:r>
        <w:rPr>
          <w:color w:val="231F20"/>
          <w:spacing w:val="2"/>
          <w:w w:val="105"/>
        </w:rPr>
        <w:t>apartado</w:t>
      </w:r>
      <w:r>
        <w:rPr>
          <w:color w:val="231F20"/>
          <w:spacing w:val="-15"/>
          <w:w w:val="105"/>
        </w:rPr>
        <w:t> </w:t>
      </w:r>
      <w:r>
        <w:rPr>
          <w:color w:val="231F20"/>
          <w:w w:val="105"/>
        </w:rPr>
        <w:t>se </w:t>
      </w:r>
      <w:r>
        <w:rPr>
          <w:color w:val="231F20"/>
          <w:spacing w:val="4"/>
          <w:w w:val="105"/>
        </w:rPr>
        <w:t>analiza</w:t>
      </w:r>
      <w:r>
        <w:rPr>
          <w:color w:val="231F20"/>
          <w:spacing w:val="-8"/>
          <w:w w:val="105"/>
        </w:rPr>
        <w:t> </w:t>
      </w:r>
      <w:r>
        <w:rPr>
          <w:color w:val="231F20"/>
          <w:w w:val="105"/>
        </w:rPr>
        <w:t>el</w:t>
      </w:r>
      <w:r>
        <w:rPr>
          <w:color w:val="231F20"/>
          <w:spacing w:val="-8"/>
          <w:w w:val="105"/>
        </w:rPr>
        <w:t> </w:t>
      </w:r>
      <w:r>
        <w:rPr>
          <w:color w:val="231F20"/>
          <w:w w:val="105"/>
        </w:rPr>
        <w:t>desempeño</w:t>
      </w:r>
      <w:r>
        <w:rPr>
          <w:color w:val="231F20"/>
          <w:spacing w:val="-8"/>
          <w:w w:val="105"/>
        </w:rPr>
        <w:t> </w:t>
      </w:r>
      <w:r>
        <w:rPr>
          <w:color w:val="231F20"/>
          <w:w w:val="105"/>
        </w:rPr>
        <w:t>de</w:t>
      </w:r>
      <w:r>
        <w:rPr>
          <w:color w:val="231F20"/>
          <w:spacing w:val="-8"/>
          <w:w w:val="105"/>
        </w:rPr>
        <w:t> </w:t>
      </w:r>
      <w:r>
        <w:rPr>
          <w:color w:val="231F20"/>
          <w:spacing w:val="2"/>
          <w:w w:val="105"/>
        </w:rPr>
        <w:t>las</w:t>
      </w:r>
      <w:r>
        <w:rPr>
          <w:color w:val="231F20"/>
          <w:spacing w:val="-8"/>
          <w:w w:val="105"/>
        </w:rPr>
        <w:t> </w:t>
      </w:r>
      <w:r>
        <w:rPr>
          <w:color w:val="231F20"/>
          <w:spacing w:val="2"/>
          <w:w w:val="105"/>
        </w:rPr>
        <w:t>administraciones</w:t>
      </w:r>
      <w:r>
        <w:rPr>
          <w:color w:val="231F20"/>
          <w:spacing w:val="-8"/>
          <w:w w:val="105"/>
        </w:rPr>
        <w:t> </w:t>
      </w:r>
      <w:r>
        <w:rPr>
          <w:color w:val="231F20"/>
          <w:spacing w:val="3"/>
          <w:w w:val="105"/>
        </w:rPr>
        <w:t>perredistas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municipio</w:t>
      </w:r>
      <w:r>
        <w:rPr>
          <w:color w:val="231F20"/>
          <w:spacing w:val="-8"/>
          <w:w w:val="105"/>
        </w:rPr>
        <w:t> </w:t>
      </w:r>
      <w:r>
        <w:rPr>
          <w:color w:val="231F20"/>
          <w:w w:val="105"/>
        </w:rPr>
        <w:t>y</w:t>
      </w:r>
      <w:r>
        <w:rPr>
          <w:color w:val="231F20"/>
          <w:spacing w:val="-8"/>
          <w:w w:val="105"/>
        </w:rPr>
        <w:t> </w:t>
      </w:r>
      <w:r>
        <w:rPr>
          <w:color w:val="231F20"/>
          <w:spacing w:val="2"/>
          <w:w w:val="105"/>
        </w:rPr>
        <w:t>finalmen- </w:t>
      </w:r>
      <w:r>
        <w:rPr>
          <w:color w:val="231F20"/>
          <w:w w:val="105"/>
        </w:rPr>
        <w:t>te se presentan </w:t>
      </w:r>
      <w:r>
        <w:rPr>
          <w:color w:val="231F20"/>
          <w:spacing w:val="2"/>
          <w:w w:val="105"/>
        </w:rPr>
        <w:t>las </w:t>
      </w:r>
      <w:r>
        <w:rPr>
          <w:color w:val="231F20"/>
          <w:w w:val="105"/>
        </w:rPr>
        <w:t>conclusiones sobre </w:t>
      </w:r>
      <w:r>
        <w:rPr>
          <w:color w:val="231F20"/>
          <w:spacing w:val="2"/>
          <w:w w:val="105"/>
        </w:rPr>
        <w:t>las particularidades </w:t>
      </w:r>
      <w:r>
        <w:rPr>
          <w:color w:val="231F20"/>
          <w:w w:val="105"/>
        </w:rPr>
        <w:t>del gobierno </w:t>
      </w:r>
      <w:r>
        <w:rPr>
          <w:color w:val="231F20"/>
          <w:spacing w:val="2"/>
          <w:w w:val="105"/>
        </w:rPr>
        <w:t>perredista </w:t>
      </w:r>
      <w:r>
        <w:rPr>
          <w:color w:val="231F20"/>
          <w:w w:val="105"/>
        </w:rPr>
        <w:t>en el municipio de</w:t>
      </w:r>
      <w:r>
        <w:rPr>
          <w:color w:val="231F20"/>
          <w:spacing w:val="-6"/>
          <w:w w:val="105"/>
        </w:rPr>
        <w:t> </w:t>
      </w:r>
      <w:r>
        <w:rPr>
          <w:color w:val="231F20"/>
          <w:w w:val="105"/>
        </w:rPr>
        <w:t>Nezahualcóyotl.</w:t>
      </w:r>
    </w:p>
    <w:p>
      <w:pPr>
        <w:pStyle w:val="BodyText"/>
        <w:spacing w:before="9"/>
      </w:pPr>
    </w:p>
    <w:p>
      <w:pPr>
        <w:pStyle w:val="Heading3"/>
      </w:pPr>
      <w:r>
        <w:rPr>
          <w:color w:val="231F20"/>
          <w:w w:val="105"/>
        </w:rPr>
        <w:t>El Municipio de Nezahualcóyotl</w:t>
      </w:r>
    </w:p>
    <w:p>
      <w:pPr>
        <w:pStyle w:val="BodyText"/>
        <w:spacing w:line="285" w:lineRule="auto" w:before="38"/>
        <w:ind w:left="110" w:right="108"/>
        <w:jc w:val="both"/>
      </w:pPr>
      <w:r>
        <w:rPr>
          <w:color w:val="231F20"/>
          <w:w w:val="105"/>
        </w:rPr>
        <w:t>Originalmente el territorio que ocupa hoy en día el municipio de Nezahualcóyotl era parte del vaso del lago de </w:t>
      </w:r>
      <w:r>
        <w:rPr>
          <w:color w:val="231F20"/>
          <w:spacing w:val="-4"/>
          <w:w w:val="105"/>
        </w:rPr>
        <w:t>Texcoco </w:t>
      </w:r>
      <w:r>
        <w:rPr>
          <w:color w:val="231F20"/>
          <w:w w:val="105"/>
        </w:rPr>
        <w:t>perteneciente </w:t>
      </w:r>
      <w:r>
        <w:rPr>
          <w:color w:val="231F20"/>
          <w:spacing w:val="2"/>
          <w:w w:val="105"/>
        </w:rPr>
        <w:t>al </w:t>
      </w:r>
      <w:r>
        <w:rPr>
          <w:color w:val="231F20"/>
          <w:w w:val="105"/>
        </w:rPr>
        <w:t>municipio de Chimalhuacán. Una vez</w:t>
      </w:r>
      <w:r>
        <w:rPr>
          <w:color w:val="231F20"/>
          <w:spacing w:val="-6"/>
          <w:w w:val="105"/>
        </w:rPr>
        <w:t> </w:t>
      </w:r>
      <w:r>
        <w:rPr>
          <w:color w:val="231F20"/>
          <w:w w:val="105"/>
        </w:rPr>
        <w:t>que</w:t>
      </w:r>
      <w:r>
        <w:rPr>
          <w:color w:val="231F20"/>
          <w:spacing w:val="-6"/>
          <w:w w:val="105"/>
        </w:rPr>
        <w:t> </w:t>
      </w:r>
      <w:r>
        <w:rPr>
          <w:color w:val="231F20"/>
          <w:w w:val="105"/>
        </w:rPr>
        <w:t>por</w:t>
      </w:r>
      <w:r>
        <w:rPr>
          <w:color w:val="231F20"/>
          <w:spacing w:val="-6"/>
          <w:w w:val="105"/>
        </w:rPr>
        <w:t> </w:t>
      </w:r>
      <w:r>
        <w:rPr>
          <w:color w:val="231F20"/>
          <w:w w:val="105"/>
        </w:rPr>
        <w:t>decreto</w:t>
      </w:r>
      <w:r>
        <w:rPr>
          <w:color w:val="231F20"/>
          <w:spacing w:val="-6"/>
          <w:w w:val="105"/>
        </w:rPr>
        <w:t> </w:t>
      </w:r>
      <w:r>
        <w:rPr>
          <w:color w:val="231F20"/>
          <w:w w:val="105"/>
        </w:rPr>
        <w:t>presidencial</w:t>
      </w:r>
      <w:r>
        <w:rPr>
          <w:color w:val="231F20"/>
          <w:spacing w:val="-6"/>
          <w:w w:val="105"/>
        </w:rPr>
        <w:t> </w:t>
      </w:r>
      <w:r>
        <w:rPr>
          <w:color w:val="231F20"/>
          <w:w w:val="105"/>
        </w:rPr>
        <w:t>se</w:t>
      </w:r>
      <w:r>
        <w:rPr>
          <w:color w:val="231F20"/>
          <w:spacing w:val="-6"/>
          <w:w w:val="105"/>
        </w:rPr>
        <w:t> </w:t>
      </w:r>
      <w:r>
        <w:rPr>
          <w:color w:val="231F20"/>
          <w:w w:val="105"/>
        </w:rPr>
        <w:t>llevó</w:t>
      </w:r>
      <w:r>
        <w:rPr>
          <w:color w:val="231F20"/>
          <w:spacing w:val="-6"/>
          <w:w w:val="105"/>
        </w:rPr>
        <w:t> </w:t>
      </w:r>
      <w:r>
        <w:rPr>
          <w:color w:val="231F20"/>
          <w:w w:val="105"/>
        </w:rPr>
        <w:t>a</w:t>
      </w:r>
      <w:r>
        <w:rPr>
          <w:color w:val="231F20"/>
          <w:spacing w:val="-6"/>
          <w:w w:val="105"/>
        </w:rPr>
        <w:t> </w:t>
      </w:r>
      <w:r>
        <w:rPr>
          <w:color w:val="231F20"/>
          <w:w w:val="105"/>
        </w:rPr>
        <w:t>cabo</w:t>
      </w:r>
      <w:r>
        <w:rPr>
          <w:color w:val="231F20"/>
          <w:spacing w:val="-6"/>
          <w:w w:val="105"/>
        </w:rPr>
        <w:t> </w:t>
      </w:r>
      <w:r>
        <w:rPr>
          <w:color w:val="231F20"/>
          <w:w w:val="105"/>
        </w:rPr>
        <w:t>la</w:t>
      </w:r>
      <w:r>
        <w:rPr>
          <w:color w:val="231F20"/>
          <w:spacing w:val="-6"/>
          <w:w w:val="105"/>
        </w:rPr>
        <w:t> </w:t>
      </w:r>
      <w:r>
        <w:rPr>
          <w:color w:val="231F20"/>
          <w:w w:val="105"/>
        </w:rPr>
        <w:t>desecación</w:t>
      </w:r>
      <w:r>
        <w:rPr>
          <w:color w:val="231F20"/>
          <w:spacing w:val="-6"/>
          <w:w w:val="105"/>
        </w:rPr>
        <w:t> </w:t>
      </w:r>
      <w:r>
        <w:rPr>
          <w:color w:val="231F20"/>
          <w:w w:val="105"/>
        </w:rPr>
        <w:t>de</w:t>
      </w:r>
      <w:r>
        <w:rPr>
          <w:color w:val="231F20"/>
          <w:spacing w:val="-6"/>
          <w:w w:val="105"/>
        </w:rPr>
        <w:t> </w:t>
      </w:r>
      <w:r>
        <w:rPr>
          <w:color w:val="231F20"/>
          <w:w w:val="105"/>
        </w:rPr>
        <w:t>dicho</w:t>
      </w:r>
      <w:r>
        <w:rPr>
          <w:color w:val="231F20"/>
          <w:spacing w:val="-6"/>
          <w:w w:val="105"/>
        </w:rPr>
        <w:t> </w:t>
      </w:r>
      <w:r>
        <w:rPr>
          <w:color w:val="231F20"/>
          <w:w w:val="105"/>
        </w:rPr>
        <w:t>lago,</w:t>
      </w:r>
      <w:r>
        <w:rPr>
          <w:color w:val="231F20"/>
          <w:spacing w:val="-6"/>
          <w:w w:val="105"/>
        </w:rPr>
        <w:t> </w:t>
      </w:r>
      <w:r>
        <w:rPr>
          <w:color w:val="231F20"/>
          <w:w w:val="105"/>
        </w:rPr>
        <w:t>“El</w:t>
      </w:r>
      <w:r>
        <w:rPr>
          <w:color w:val="231F20"/>
          <w:spacing w:val="-6"/>
          <w:w w:val="105"/>
        </w:rPr>
        <w:t> </w:t>
      </w:r>
      <w:r>
        <w:rPr>
          <w:color w:val="231F20"/>
          <w:spacing w:val="-7"/>
          <w:w w:val="105"/>
        </w:rPr>
        <w:t>14</w:t>
      </w:r>
      <w:r>
        <w:rPr>
          <w:color w:val="231F20"/>
          <w:spacing w:val="-6"/>
          <w:w w:val="105"/>
        </w:rPr>
        <w:t> </w:t>
      </w:r>
      <w:r>
        <w:rPr>
          <w:color w:val="231F20"/>
          <w:w w:val="105"/>
        </w:rPr>
        <w:t>de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6"/>
        <w:jc w:val="both"/>
      </w:pPr>
      <w:r>
        <w:rPr>
          <w:color w:val="231F20"/>
          <w:w w:val="105"/>
        </w:rPr>
        <w:t>octubre</w:t>
      </w:r>
      <w:r>
        <w:rPr>
          <w:color w:val="231F20"/>
          <w:spacing w:val="-18"/>
          <w:w w:val="105"/>
        </w:rPr>
        <w:t> </w:t>
      </w:r>
      <w:r>
        <w:rPr>
          <w:color w:val="231F20"/>
          <w:w w:val="105"/>
        </w:rPr>
        <w:t>de</w:t>
      </w:r>
      <w:r>
        <w:rPr>
          <w:color w:val="231F20"/>
          <w:spacing w:val="-18"/>
          <w:w w:val="105"/>
        </w:rPr>
        <w:t> </w:t>
      </w:r>
      <w:r>
        <w:rPr>
          <w:color w:val="231F20"/>
          <w:spacing w:val="-5"/>
          <w:w w:val="105"/>
        </w:rPr>
        <w:t>1931</w:t>
      </w:r>
      <w:r>
        <w:rPr>
          <w:color w:val="231F20"/>
          <w:spacing w:val="-18"/>
          <w:w w:val="105"/>
        </w:rPr>
        <w:t> </w:t>
      </w:r>
      <w:r>
        <w:rPr>
          <w:color w:val="231F20"/>
          <w:w w:val="105"/>
        </w:rPr>
        <w:t>el</w:t>
      </w:r>
      <w:r>
        <w:rPr>
          <w:color w:val="231F20"/>
          <w:spacing w:val="-18"/>
          <w:w w:val="105"/>
        </w:rPr>
        <w:t> </w:t>
      </w:r>
      <w:r>
        <w:rPr>
          <w:color w:val="231F20"/>
          <w:w w:val="105"/>
        </w:rPr>
        <w:t>Presidente</w:t>
      </w:r>
      <w:r>
        <w:rPr>
          <w:color w:val="231F20"/>
          <w:spacing w:val="-18"/>
          <w:w w:val="105"/>
        </w:rPr>
        <w:t> </w:t>
      </w:r>
      <w:r>
        <w:rPr>
          <w:color w:val="231F20"/>
          <w:w w:val="105"/>
        </w:rPr>
        <w:t>Ortiz</w:t>
      </w:r>
      <w:r>
        <w:rPr>
          <w:color w:val="231F20"/>
          <w:spacing w:val="-18"/>
          <w:w w:val="105"/>
        </w:rPr>
        <w:t> </w:t>
      </w:r>
      <w:r>
        <w:rPr>
          <w:color w:val="231F20"/>
          <w:spacing w:val="-3"/>
          <w:w w:val="105"/>
        </w:rPr>
        <w:t>Rubio</w:t>
      </w:r>
      <w:r>
        <w:rPr>
          <w:color w:val="231F20"/>
          <w:spacing w:val="-18"/>
          <w:w w:val="105"/>
        </w:rPr>
        <w:t> </w:t>
      </w:r>
      <w:r>
        <w:rPr>
          <w:color w:val="231F20"/>
          <w:w w:val="105"/>
        </w:rPr>
        <w:t>expide</w:t>
      </w:r>
      <w:r>
        <w:rPr>
          <w:color w:val="231F20"/>
          <w:spacing w:val="-18"/>
          <w:w w:val="105"/>
        </w:rPr>
        <w:t> </w:t>
      </w:r>
      <w:r>
        <w:rPr>
          <w:color w:val="231F20"/>
          <w:w w:val="105"/>
        </w:rPr>
        <w:t>el</w:t>
      </w:r>
      <w:r>
        <w:rPr>
          <w:color w:val="231F20"/>
          <w:spacing w:val="-18"/>
          <w:w w:val="105"/>
        </w:rPr>
        <w:t> </w:t>
      </w:r>
      <w:r>
        <w:rPr>
          <w:color w:val="231F20"/>
          <w:w w:val="105"/>
        </w:rPr>
        <w:t>decreto</w:t>
      </w:r>
      <w:r>
        <w:rPr>
          <w:color w:val="231F20"/>
          <w:spacing w:val="-18"/>
          <w:w w:val="105"/>
        </w:rPr>
        <w:t> </w:t>
      </w:r>
      <w:r>
        <w:rPr>
          <w:color w:val="231F20"/>
          <w:w w:val="105"/>
        </w:rPr>
        <w:t>para</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ejecutarán</w:t>
      </w:r>
      <w:r>
        <w:rPr>
          <w:color w:val="231F20"/>
          <w:spacing w:val="-18"/>
          <w:w w:val="105"/>
        </w:rPr>
        <w:t> </w:t>
      </w:r>
      <w:r>
        <w:rPr>
          <w:color w:val="231F20"/>
          <w:w w:val="105"/>
        </w:rPr>
        <w:t>obras para</w:t>
      </w:r>
      <w:r>
        <w:rPr>
          <w:color w:val="231F20"/>
          <w:spacing w:val="-5"/>
          <w:w w:val="105"/>
        </w:rPr>
        <w:t> </w:t>
      </w:r>
      <w:r>
        <w:rPr>
          <w:color w:val="231F20"/>
          <w:w w:val="105"/>
        </w:rPr>
        <w:t>el</w:t>
      </w:r>
      <w:r>
        <w:rPr>
          <w:color w:val="231F20"/>
          <w:spacing w:val="-5"/>
          <w:w w:val="105"/>
        </w:rPr>
        <w:t> </w:t>
      </w:r>
      <w:r>
        <w:rPr>
          <w:color w:val="231F20"/>
          <w:w w:val="105"/>
        </w:rPr>
        <w:t>drenaje,</w:t>
      </w:r>
      <w:r>
        <w:rPr>
          <w:color w:val="231F20"/>
          <w:spacing w:val="-5"/>
          <w:w w:val="105"/>
        </w:rPr>
        <w:t> </w:t>
      </w:r>
      <w:r>
        <w:rPr>
          <w:color w:val="231F20"/>
          <w:w w:val="105"/>
        </w:rPr>
        <w:t>bonificación</w:t>
      </w:r>
      <w:r>
        <w:rPr>
          <w:color w:val="231F20"/>
          <w:spacing w:val="-5"/>
          <w:w w:val="105"/>
        </w:rPr>
        <w:t> </w:t>
      </w:r>
      <w:r>
        <w:rPr>
          <w:color w:val="231F20"/>
          <w:w w:val="105"/>
        </w:rPr>
        <w:t>e</w:t>
      </w:r>
      <w:r>
        <w:rPr>
          <w:color w:val="231F20"/>
          <w:spacing w:val="-5"/>
          <w:w w:val="105"/>
        </w:rPr>
        <w:t> </w:t>
      </w:r>
      <w:r>
        <w:rPr>
          <w:color w:val="231F20"/>
          <w:w w:val="105"/>
        </w:rPr>
        <w:t>irrigación</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tierras</w:t>
      </w:r>
      <w:r>
        <w:rPr>
          <w:color w:val="231F20"/>
          <w:spacing w:val="-5"/>
          <w:w w:val="105"/>
        </w:rPr>
        <w:t> </w:t>
      </w:r>
      <w:r>
        <w:rPr>
          <w:color w:val="231F20"/>
          <w:w w:val="105"/>
        </w:rPr>
        <w:t>desecadas</w:t>
      </w:r>
      <w:r>
        <w:rPr>
          <w:color w:val="231F20"/>
          <w:spacing w:val="-5"/>
          <w:w w:val="105"/>
        </w:rPr>
        <w:t> </w:t>
      </w:r>
      <w:r>
        <w:rPr>
          <w:color w:val="231F20"/>
          <w:w w:val="105"/>
        </w:rPr>
        <w:t>y</w:t>
      </w:r>
      <w:r>
        <w:rPr>
          <w:color w:val="231F20"/>
          <w:spacing w:val="-5"/>
          <w:w w:val="105"/>
        </w:rPr>
        <w:t> </w:t>
      </w:r>
      <w:r>
        <w:rPr>
          <w:color w:val="231F20"/>
          <w:w w:val="105"/>
        </w:rPr>
        <w:t>desecables</w:t>
      </w:r>
      <w:r>
        <w:rPr>
          <w:color w:val="231F20"/>
          <w:spacing w:val="-5"/>
          <w:w w:val="105"/>
        </w:rPr>
        <w:t> </w:t>
      </w:r>
      <w:r>
        <w:rPr>
          <w:color w:val="231F20"/>
          <w:w w:val="105"/>
        </w:rPr>
        <w:t>del</w:t>
      </w:r>
      <w:r>
        <w:rPr>
          <w:color w:val="231F20"/>
          <w:spacing w:val="-5"/>
          <w:w w:val="105"/>
        </w:rPr>
        <w:t> </w:t>
      </w:r>
      <w:r>
        <w:rPr>
          <w:color w:val="231F20"/>
          <w:w w:val="105"/>
        </w:rPr>
        <w:t>lago de</w:t>
      </w:r>
      <w:r>
        <w:rPr>
          <w:color w:val="231F20"/>
          <w:spacing w:val="-19"/>
          <w:w w:val="105"/>
        </w:rPr>
        <w:t> </w:t>
      </w:r>
      <w:r>
        <w:rPr>
          <w:color w:val="231F20"/>
          <w:spacing w:val="-4"/>
          <w:w w:val="105"/>
        </w:rPr>
        <w:t>Texcoco”</w:t>
      </w:r>
      <w:r>
        <w:rPr>
          <w:color w:val="231F20"/>
          <w:spacing w:val="-19"/>
          <w:w w:val="105"/>
        </w:rPr>
        <w:t> </w:t>
      </w:r>
      <w:r>
        <w:rPr>
          <w:color w:val="231F20"/>
          <w:spacing w:val="-3"/>
          <w:w w:val="105"/>
        </w:rPr>
        <w:t>(PDM,</w:t>
      </w:r>
      <w:r>
        <w:rPr>
          <w:color w:val="231F20"/>
          <w:spacing w:val="-19"/>
          <w:w w:val="105"/>
        </w:rPr>
        <w:t> </w:t>
      </w:r>
      <w:r>
        <w:rPr>
          <w:color w:val="231F20"/>
          <w:w w:val="105"/>
        </w:rPr>
        <w:t>2003-2006:7).</w:t>
      </w:r>
      <w:r>
        <w:rPr>
          <w:color w:val="231F20"/>
          <w:spacing w:val="-19"/>
          <w:w w:val="105"/>
        </w:rPr>
        <w:t> </w:t>
      </w:r>
      <w:r>
        <w:rPr>
          <w:color w:val="231F20"/>
          <w:w w:val="105"/>
        </w:rPr>
        <w:t>Sin</w:t>
      </w:r>
      <w:r>
        <w:rPr>
          <w:color w:val="231F20"/>
          <w:spacing w:val="-19"/>
          <w:w w:val="105"/>
        </w:rPr>
        <w:t> </w:t>
      </w:r>
      <w:r>
        <w:rPr>
          <w:color w:val="231F20"/>
          <w:w w:val="105"/>
        </w:rPr>
        <w:t>embargo,</w:t>
      </w:r>
      <w:r>
        <w:rPr>
          <w:color w:val="231F20"/>
          <w:spacing w:val="-19"/>
          <w:w w:val="105"/>
        </w:rPr>
        <w:t> </w:t>
      </w:r>
      <w:r>
        <w:rPr>
          <w:color w:val="231F20"/>
          <w:w w:val="105"/>
        </w:rPr>
        <w:t>va</w:t>
      </w:r>
      <w:r>
        <w:rPr>
          <w:color w:val="231F20"/>
          <w:spacing w:val="-19"/>
          <w:w w:val="105"/>
        </w:rPr>
        <w:t> </w:t>
      </w:r>
      <w:r>
        <w:rPr>
          <w:color w:val="231F20"/>
          <w:w w:val="105"/>
        </w:rPr>
        <w:t>a</w:t>
      </w:r>
      <w:r>
        <w:rPr>
          <w:color w:val="231F20"/>
          <w:spacing w:val="-19"/>
          <w:w w:val="105"/>
        </w:rPr>
        <w:t> </w:t>
      </w:r>
      <w:r>
        <w:rPr>
          <w:color w:val="231F20"/>
          <w:w w:val="105"/>
        </w:rPr>
        <w:t>ser</w:t>
      </w:r>
      <w:r>
        <w:rPr>
          <w:color w:val="231F20"/>
          <w:spacing w:val="-19"/>
          <w:w w:val="105"/>
        </w:rPr>
        <w:t> </w:t>
      </w:r>
      <w:r>
        <w:rPr>
          <w:color w:val="231F20"/>
          <w:w w:val="105"/>
        </w:rPr>
        <w:t>hasta</w:t>
      </w:r>
      <w:r>
        <w:rPr>
          <w:color w:val="231F20"/>
          <w:spacing w:val="-19"/>
          <w:w w:val="105"/>
        </w:rPr>
        <w:t> </w:t>
      </w:r>
      <w:r>
        <w:rPr>
          <w:color w:val="231F20"/>
          <w:w w:val="105"/>
        </w:rPr>
        <w:t>finales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40’s</w:t>
      </w:r>
      <w:r>
        <w:rPr>
          <w:color w:val="231F20"/>
          <w:spacing w:val="-19"/>
          <w:w w:val="105"/>
        </w:rPr>
        <w:t> </w:t>
      </w:r>
      <w:r>
        <w:rPr>
          <w:color w:val="231F20"/>
          <w:w w:val="105"/>
        </w:rPr>
        <w:t>y</w:t>
      </w:r>
      <w:r>
        <w:rPr>
          <w:color w:val="231F20"/>
          <w:spacing w:val="-19"/>
          <w:w w:val="105"/>
        </w:rPr>
        <w:t> </w:t>
      </w:r>
      <w:r>
        <w:rPr>
          <w:color w:val="231F20"/>
          <w:w w:val="105"/>
        </w:rPr>
        <w:t>prin- cipios de los </w:t>
      </w:r>
      <w:r>
        <w:rPr>
          <w:color w:val="231F20"/>
          <w:spacing w:val="-3"/>
          <w:w w:val="105"/>
        </w:rPr>
        <w:t>50’s </w:t>
      </w:r>
      <w:r>
        <w:rPr>
          <w:color w:val="231F20"/>
          <w:w w:val="105"/>
        </w:rPr>
        <w:t>cuando se iniciará de manera importante el poblamiento de terrenos desecados</w:t>
      </w:r>
      <w:r>
        <w:rPr>
          <w:color w:val="231F20"/>
          <w:spacing w:val="-25"/>
          <w:w w:val="105"/>
        </w:rPr>
        <w:t> </w:t>
      </w:r>
      <w:r>
        <w:rPr>
          <w:color w:val="231F20"/>
          <w:w w:val="105"/>
        </w:rPr>
        <w:t>del</w:t>
      </w:r>
      <w:r>
        <w:rPr>
          <w:color w:val="231F20"/>
          <w:spacing w:val="-25"/>
          <w:w w:val="105"/>
        </w:rPr>
        <w:t> </w:t>
      </w:r>
      <w:r>
        <w:rPr>
          <w:color w:val="231F20"/>
          <w:w w:val="105"/>
        </w:rPr>
        <w:t>lago</w:t>
      </w:r>
      <w:r>
        <w:rPr>
          <w:color w:val="231F20"/>
          <w:spacing w:val="-25"/>
          <w:w w:val="105"/>
        </w:rPr>
        <w:t> </w:t>
      </w:r>
      <w:r>
        <w:rPr>
          <w:color w:val="231F20"/>
          <w:w w:val="105"/>
        </w:rPr>
        <w:t>de</w:t>
      </w:r>
      <w:r>
        <w:rPr>
          <w:color w:val="231F20"/>
          <w:spacing w:val="-25"/>
          <w:w w:val="105"/>
        </w:rPr>
        <w:t> </w:t>
      </w:r>
      <w:r>
        <w:rPr>
          <w:color w:val="231F20"/>
          <w:spacing w:val="-4"/>
          <w:w w:val="105"/>
        </w:rPr>
        <w:t>Texcoco.</w:t>
      </w:r>
    </w:p>
    <w:p>
      <w:pPr>
        <w:pStyle w:val="BodyText"/>
        <w:spacing w:before="1"/>
        <w:rPr>
          <w:sz w:val="26"/>
        </w:rPr>
      </w:pPr>
    </w:p>
    <w:p>
      <w:pPr>
        <w:pStyle w:val="BodyText"/>
        <w:spacing w:line="285" w:lineRule="auto"/>
        <w:ind w:left="110" w:right="108"/>
        <w:jc w:val="both"/>
      </w:pPr>
      <w:r>
        <w:rPr>
          <w:color w:val="231F20"/>
          <w:w w:val="105"/>
        </w:rPr>
        <w:t>Estos terrenos se convirtieron en un espacio </w:t>
      </w:r>
      <w:r>
        <w:rPr>
          <w:color w:val="231F20"/>
          <w:spacing w:val="-3"/>
          <w:w w:val="105"/>
        </w:rPr>
        <w:t>propicio </w:t>
      </w:r>
      <w:r>
        <w:rPr>
          <w:color w:val="231F20"/>
          <w:w w:val="105"/>
        </w:rPr>
        <w:t>para nuevos asentamientos </w:t>
      </w:r>
      <w:r>
        <w:rPr>
          <w:color w:val="231F20"/>
          <w:spacing w:val="-3"/>
          <w:w w:val="105"/>
        </w:rPr>
        <w:t>hu- </w:t>
      </w:r>
      <w:r>
        <w:rPr>
          <w:color w:val="231F20"/>
          <w:w w:val="105"/>
        </w:rPr>
        <w:t>manos provenientes de diferentes partes de la República, principalmente de entidades como Oaxaca, Michoacán, Jalisco, Guanajuato, Guerrero, Veracruz, Puebla, Queréta- ro, Hidalgo, Distrito Federal, entre otros. Como resultado de un proceso migratorio campo-ciudad</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marco</w:t>
      </w:r>
      <w:r>
        <w:rPr>
          <w:color w:val="231F20"/>
          <w:spacing w:val="-20"/>
          <w:w w:val="105"/>
        </w:rPr>
        <w:t> </w:t>
      </w:r>
      <w:r>
        <w:rPr>
          <w:color w:val="231F20"/>
          <w:w w:val="105"/>
        </w:rPr>
        <w:t>del</w:t>
      </w:r>
      <w:r>
        <w:rPr>
          <w:color w:val="231F20"/>
          <w:spacing w:val="-20"/>
          <w:w w:val="105"/>
        </w:rPr>
        <w:t> </w:t>
      </w:r>
      <w:r>
        <w:rPr>
          <w:color w:val="231F20"/>
          <w:w w:val="105"/>
        </w:rPr>
        <w:t>desarrollo</w:t>
      </w:r>
      <w:r>
        <w:rPr>
          <w:color w:val="231F20"/>
          <w:spacing w:val="-20"/>
          <w:w w:val="105"/>
        </w:rPr>
        <w:t> </w:t>
      </w:r>
      <w:r>
        <w:rPr>
          <w:color w:val="231F20"/>
          <w:w w:val="105"/>
        </w:rPr>
        <w:t>industrial</w:t>
      </w:r>
      <w:r>
        <w:rPr>
          <w:color w:val="231F20"/>
          <w:spacing w:val="-20"/>
          <w:w w:val="105"/>
        </w:rPr>
        <w:t> </w:t>
      </w:r>
      <w:r>
        <w:rPr>
          <w:color w:val="231F20"/>
          <w:w w:val="105"/>
        </w:rPr>
        <w:t>del</w:t>
      </w:r>
      <w:r>
        <w:rPr>
          <w:color w:val="231F20"/>
          <w:spacing w:val="-20"/>
          <w:w w:val="105"/>
        </w:rPr>
        <w:t> </w:t>
      </w:r>
      <w:r>
        <w:rPr>
          <w:color w:val="231F20"/>
          <w:w w:val="105"/>
        </w:rPr>
        <w:t>país</w:t>
      </w:r>
      <w:r>
        <w:rPr>
          <w:color w:val="231F20"/>
          <w:spacing w:val="-20"/>
          <w:w w:val="105"/>
        </w:rPr>
        <w:t> </w:t>
      </w:r>
      <w:r>
        <w:rPr>
          <w:color w:val="231F20"/>
          <w:w w:val="105"/>
        </w:rPr>
        <w:t>a</w:t>
      </w:r>
      <w:r>
        <w:rPr>
          <w:color w:val="231F20"/>
          <w:spacing w:val="-20"/>
          <w:w w:val="105"/>
        </w:rPr>
        <w:t> </w:t>
      </w:r>
      <w:r>
        <w:rPr>
          <w:color w:val="231F20"/>
          <w:w w:val="105"/>
        </w:rPr>
        <w:t>mediados</w:t>
      </w:r>
      <w:r>
        <w:rPr>
          <w:color w:val="231F20"/>
          <w:spacing w:val="-20"/>
          <w:w w:val="105"/>
        </w:rPr>
        <w:t> </w:t>
      </w:r>
      <w:r>
        <w:rPr>
          <w:color w:val="231F20"/>
          <w:w w:val="105"/>
        </w:rPr>
        <w:t>del</w:t>
      </w:r>
      <w:r>
        <w:rPr>
          <w:color w:val="231F20"/>
          <w:spacing w:val="-20"/>
          <w:w w:val="105"/>
        </w:rPr>
        <w:t> </w:t>
      </w:r>
      <w:r>
        <w:rPr>
          <w:color w:val="231F20"/>
          <w:w w:val="105"/>
        </w:rPr>
        <w:t>siglo</w:t>
      </w:r>
      <w:r>
        <w:rPr>
          <w:color w:val="231F20"/>
          <w:spacing w:val="-20"/>
          <w:w w:val="105"/>
        </w:rPr>
        <w:t> </w:t>
      </w:r>
      <w:r>
        <w:rPr>
          <w:color w:val="231F20"/>
          <w:w w:val="105"/>
        </w:rPr>
        <w:t>XX,</w:t>
      </w:r>
      <w:r>
        <w:rPr>
          <w:color w:val="231F20"/>
          <w:spacing w:val="-20"/>
          <w:w w:val="105"/>
        </w:rPr>
        <w:t> </w:t>
      </w:r>
      <w:r>
        <w:rPr>
          <w:color w:val="231F20"/>
          <w:w w:val="105"/>
        </w:rPr>
        <w:t>así como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expansión</w:t>
      </w:r>
      <w:r>
        <w:rPr>
          <w:color w:val="231F20"/>
          <w:spacing w:val="-17"/>
          <w:w w:val="105"/>
        </w:rPr>
        <w:t> </w:t>
      </w:r>
      <w:r>
        <w:rPr>
          <w:color w:val="231F20"/>
          <w:w w:val="105"/>
        </w:rPr>
        <w:t>y</w:t>
      </w:r>
      <w:r>
        <w:rPr>
          <w:color w:val="231F20"/>
          <w:spacing w:val="-17"/>
          <w:w w:val="105"/>
        </w:rPr>
        <w:t> </w:t>
      </w:r>
      <w:r>
        <w:rPr>
          <w:color w:val="231F20"/>
          <w:w w:val="105"/>
        </w:rPr>
        <w:t>crecimiento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3"/>
          <w:w w:val="105"/>
        </w:rPr>
        <w:t>Ciudad</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y</w:t>
      </w:r>
      <w:r>
        <w:rPr>
          <w:color w:val="231F20"/>
          <w:spacing w:val="-17"/>
          <w:w w:val="105"/>
        </w:rPr>
        <w:t> </w:t>
      </w:r>
      <w:r>
        <w:rPr>
          <w:color w:val="231F20"/>
          <w:w w:val="105"/>
        </w:rPr>
        <w:t>en</w:t>
      </w:r>
      <w:r>
        <w:rPr>
          <w:color w:val="231F20"/>
          <w:spacing w:val="-17"/>
          <w:w w:val="105"/>
        </w:rPr>
        <w:t> </w:t>
      </w:r>
      <w:r>
        <w:rPr>
          <w:color w:val="231F20"/>
          <w:w w:val="105"/>
        </w:rPr>
        <w:t>específico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Dele- gaciones</w:t>
      </w:r>
      <w:r>
        <w:rPr>
          <w:color w:val="231F20"/>
          <w:spacing w:val="-10"/>
          <w:w w:val="105"/>
        </w:rPr>
        <w:t> </w:t>
      </w:r>
      <w:r>
        <w:rPr>
          <w:color w:val="231F20"/>
          <w:w w:val="105"/>
        </w:rPr>
        <w:t>centrales</w:t>
      </w:r>
      <w:r>
        <w:rPr>
          <w:color w:val="231F20"/>
          <w:spacing w:val="-10"/>
          <w:w w:val="105"/>
        </w:rPr>
        <w:t> </w:t>
      </w:r>
      <w:r>
        <w:rPr>
          <w:color w:val="231F20"/>
          <w:w w:val="105"/>
        </w:rPr>
        <w:t>del</w:t>
      </w:r>
      <w:r>
        <w:rPr>
          <w:color w:val="231F20"/>
          <w:spacing w:val="-10"/>
          <w:w w:val="105"/>
        </w:rPr>
        <w:t> </w:t>
      </w:r>
      <w:r>
        <w:rPr>
          <w:color w:val="231F20"/>
          <w:w w:val="105"/>
        </w:rPr>
        <w:t>Distrito</w:t>
      </w:r>
      <w:r>
        <w:rPr>
          <w:color w:val="231F20"/>
          <w:spacing w:val="-10"/>
          <w:w w:val="105"/>
        </w:rPr>
        <w:t> </w:t>
      </w:r>
      <w:r>
        <w:rPr>
          <w:color w:val="231F20"/>
          <w:w w:val="105"/>
        </w:rPr>
        <w:t>Federal,</w:t>
      </w:r>
      <w:r>
        <w:rPr>
          <w:color w:val="231F20"/>
          <w:spacing w:val="-10"/>
          <w:w w:val="105"/>
        </w:rPr>
        <w:t> </w:t>
      </w:r>
      <w:r>
        <w:rPr>
          <w:color w:val="231F20"/>
          <w:w w:val="105"/>
        </w:rPr>
        <w:t>ocurrió</w:t>
      </w:r>
      <w:r>
        <w:rPr>
          <w:color w:val="231F20"/>
          <w:spacing w:val="-10"/>
          <w:w w:val="105"/>
        </w:rPr>
        <w:t> </w:t>
      </w:r>
      <w:r>
        <w:rPr>
          <w:color w:val="231F20"/>
          <w:w w:val="105"/>
        </w:rPr>
        <w:t>el</w:t>
      </w:r>
      <w:r>
        <w:rPr>
          <w:color w:val="231F20"/>
          <w:spacing w:val="-10"/>
          <w:w w:val="105"/>
        </w:rPr>
        <w:t> </w:t>
      </w:r>
      <w:r>
        <w:rPr>
          <w:color w:val="231F20"/>
          <w:w w:val="105"/>
        </w:rPr>
        <w:t>cambio</w:t>
      </w:r>
      <w:r>
        <w:rPr>
          <w:color w:val="231F20"/>
          <w:spacing w:val="-10"/>
          <w:w w:val="105"/>
        </w:rPr>
        <w:t> </w:t>
      </w:r>
      <w:r>
        <w:rPr>
          <w:color w:val="231F20"/>
          <w:w w:val="105"/>
        </w:rPr>
        <w:t>de</w:t>
      </w:r>
      <w:r>
        <w:rPr>
          <w:color w:val="231F20"/>
          <w:spacing w:val="-10"/>
          <w:w w:val="105"/>
        </w:rPr>
        <w:t> </w:t>
      </w:r>
      <w:r>
        <w:rPr>
          <w:color w:val="231F20"/>
          <w:w w:val="105"/>
        </w:rPr>
        <w:t>uso</w:t>
      </w:r>
      <w:r>
        <w:rPr>
          <w:color w:val="231F20"/>
          <w:spacing w:val="-10"/>
          <w:w w:val="105"/>
        </w:rPr>
        <w:t> </w:t>
      </w:r>
      <w:r>
        <w:rPr>
          <w:color w:val="231F20"/>
          <w:w w:val="105"/>
        </w:rPr>
        <w:t>de</w:t>
      </w:r>
      <w:r>
        <w:rPr>
          <w:color w:val="231F20"/>
          <w:spacing w:val="-10"/>
          <w:w w:val="105"/>
        </w:rPr>
        <w:t> </w:t>
      </w:r>
      <w:r>
        <w:rPr>
          <w:color w:val="231F20"/>
          <w:w w:val="105"/>
        </w:rPr>
        <w:t>suelo</w:t>
      </w:r>
      <w:r>
        <w:rPr>
          <w:color w:val="231F20"/>
          <w:spacing w:val="-10"/>
          <w:w w:val="105"/>
        </w:rPr>
        <w:t> </w:t>
      </w:r>
      <w:r>
        <w:rPr>
          <w:color w:val="231F20"/>
          <w:w w:val="105"/>
        </w:rPr>
        <w:t>de</w:t>
      </w:r>
      <w:r>
        <w:rPr>
          <w:color w:val="231F20"/>
          <w:spacing w:val="-10"/>
          <w:w w:val="105"/>
        </w:rPr>
        <w:t> </w:t>
      </w:r>
      <w:r>
        <w:rPr>
          <w:color w:val="231F20"/>
          <w:w w:val="105"/>
        </w:rPr>
        <w:t>dichas</w:t>
      </w:r>
      <w:r>
        <w:rPr>
          <w:color w:val="231F20"/>
          <w:spacing w:val="-10"/>
          <w:w w:val="105"/>
        </w:rPr>
        <w:t> </w:t>
      </w:r>
      <w:r>
        <w:rPr>
          <w:color w:val="231F20"/>
          <w:w w:val="105"/>
        </w:rPr>
        <w:t>de- legaciones,</w:t>
      </w:r>
      <w:r>
        <w:rPr>
          <w:color w:val="231F20"/>
          <w:spacing w:val="-10"/>
          <w:w w:val="105"/>
        </w:rPr>
        <w:t> </w:t>
      </w:r>
      <w:r>
        <w:rPr>
          <w:color w:val="231F20"/>
          <w:spacing w:val="2"/>
          <w:w w:val="105"/>
        </w:rPr>
        <w:t>al</w:t>
      </w:r>
      <w:r>
        <w:rPr>
          <w:color w:val="231F20"/>
          <w:spacing w:val="-10"/>
          <w:w w:val="105"/>
        </w:rPr>
        <w:t> </w:t>
      </w:r>
      <w:r>
        <w:rPr>
          <w:color w:val="231F20"/>
          <w:w w:val="105"/>
        </w:rPr>
        <w:t>pasar</w:t>
      </w:r>
      <w:r>
        <w:rPr>
          <w:color w:val="231F20"/>
          <w:spacing w:val="-10"/>
          <w:w w:val="105"/>
        </w:rPr>
        <w:t> </w:t>
      </w:r>
      <w:r>
        <w:rPr>
          <w:color w:val="231F20"/>
          <w:w w:val="105"/>
        </w:rPr>
        <w:t>de</w:t>
      </w:r>
      <w:r>
        <w:rPr>
          <w:color w:val="231F20"/>
          <w:spacing w:val="-10"/>
          <w:w w:val="105"/>
        </w:rPr>
        <w:t> </w:t>
      </w:r>
      <w:r>
        <w:rPr>
          <w:color w:val="231F20"/>
          <w:w w:val="105"/>
        </w:rPr>
        <w:t>uso</w:t>
      </w:r>
      <w:r>
        <w:rPr>
          <w:color w:val="231F20"/>
          <w:spacing w:val="-10"/>
          <w:w w:val="105"/>
        </w:rPr>
        <w:t> </w:t>
      </w:r>
      <w:r>
        <w:rPr>
          <w:color w:val="231F20"/>
          <w:w w:val="105"/>
        </w:rPr>
        <w:t>habitacional</w:t>
      </w:r>
      <w:r>
        <w:rPr>
          <w:color w:val="231F20"/>
          <w:spacing w:val="-10"/>
          <w:w w:val="105"/>
        </w:rPr>
        <w:t> </w:t>
      </w:r>
      <w:r>
        <w:rPr>
          <w:color w:val="231F20"/>
          <w:w w:val="105"/>
        </w:rPr>
        <w:t>a</w:t>
      </w:r>
      <w:r>
        <w:rPr>
          <w:color w:val="231F20"/>
          <w:spacing w:val="-10"/>
          <w:w w:val="105"/>
        </w:rPr>
        <w:t> </w:t>
      </w:r>
      <w:r>
        <w:rPr>
          <w:color w:val="231F20"/>
          <w:w w:val="105"/>
        </w:rPr>
        <w:t>un</w:t>
      </w:r>
      <w:r>
        <w:rPr>
          <w:color w:val="231F20"/>
          <w:spacing w:val="-10"/>
          <w:w w:val="105"/>
        </w:rPr>
        <w:t> </w:t>
      </w:r>
      <w:r>
        <w:rPr>
          <w:color w:val="231F20"/>
          <w:w w:val="105"/>
        </w:rPr>
        <w:t>uso</w:t>
      </w:r>
      <w:r>
        <w:rPr>
          <w:color w:val="231F20"/>
          <w:spacing w:val="-10"/>
          <w:w w:val="105"/>
        </w:rPr>
        <w:t> </w:t>
      </w:r>
      <w:r>
        <w:rPr>
          <w:color w:val="231F20"/>
          <w:spacing w:val="-3"/>
          <w:w w:val="105"/>
        </w:rPr>
        <w:t>preferentemente</w:t>
      </w:r>
      <w:r>
        <w:rPr>
          <w:color w:val="231F20"/>
          <w:spacing w:val="-10"/>
          <w:w w:val="105"/>
        </w:rPr>
        <w:t> </w:t>
      </w:r>
      <w:r>
        <w:rPr>
          <w:color w:val="231F20"/>
          <w:w w:val="105"/>
        </w:rPr>
        <w:t>comercial,</w:t>
      </w:r>
      <w:r>
        <w:rPr>
          <w:color w:val="231F20"/>
          <w:spacing w:val="-10"/>
          <w:w w:val="105"/>
        </w:rPr>
        <w:t> </w:t>
      </w:r>
      <w:r>
        <w:rPr>
          <w:color w:val="231F20"/>
          <w:w w:val="105"/>
        </w:rPr>
        <w:t>hecho</w:t>
      </w:r>
      <w:r>
        <w:rPr>
          <w:color w:val="231F20"/>
          <w:spacing w:val="-10"/>
          <w:w w:val="105"/>
        </w:rPr>
        <w:t> </w:t>
      </w:r>
      <w:r>
        <w:rPr>
          <w:color w:val="231F20"/>
          <w:w w:val="105"/>
        </w:rPr>
        <w:t>que provocó</w:t>
      </w:r>
      <w:r>
        <w:rPr>
          <w:color w:val="231F20"/>
          <w:spacing w:val="-23"/>
          <w:w w:val="105"/>
        </w:rPr>
        <w:t> </w:t>
      </w:r>
      <w:r>
        <w:rPr>
          <w:color w:val="231F20"/>
          <w:w w:val="105"/>
        </w:rPr>
        <w:t>el</w:t>
      </w:r>
      <w:r>
        <w:rPr>
          <w:color w:val="231F20"/>
          <w:spacing w:val="-23"/>
          <w:w w:val="105"/>
        </w:rPr>
        <w:t> </w:t>
      </w:r>
      <w:r>
        <w:rPr>
          <w:color w:val="231F20"/>
          <w:w w:val="105"/>
        </w:rPr>
        <w:t>encarecimiento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vivienda</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zona</w:t>
      </w:r>
      <w:r>
        <w:rPr>
          <w:color w:val="231F20"/>
          <w:spacing w:val="-23"/>
          <w:w w:val="105"/>
        </w:rPr>
        <w:t> </w:t>
      </w:r>
      <w:r>
        <w:rPr>
          <w:color w:val="231F20"/>
          <w:w w:val="105"/>
        </w:rPr>
        <w:t>centro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Ciudad</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spacing w:val="-7"/>
          <w:w w:val="105"/>
        </w:rPr>
        <w:t>y,</w:t>
      </w:r>
      <w:r>
        <w:rPr>
          <w:color w:val="231F20"/>
          <w:spacing w:val="-23"/>
          <w:w w:val="105"/>
        </w:rPr>
        <w:t> </w:t>
      </w:r>
      <w:r>
        <w:rPr>
          <w:color w:val="231F20"/>
          <w:w w:val="105"/>
        </w:rPr>
        <w:t>por ende,</w:t>
      </w:r>
      <w:r>
        <w:rPr>
          <w:color w:val="231F20"/>
          <w:spacing w:val="-12"/>
          <w:w w:val="105"/>
        </w:rPr>
        <w:t> </w:t>
      </w:r>
      <w:r>
        <w:rPr>
          <w:color w:val="231F20"/>
          <w:w w:val="105"/>
        </w:rPr>
        <w:t>un</w:t>
      </w:r>
      <w:r>
        <w:rPr>
          <w:color w:val="231F20"/>
          <w:spacing w:val="-12"/>
          <w:w w:val="105"/>
        </w:rPr>
        <w:t> </w:t>
      </w:r>
      <w:r>
        <w:rPr>
          <w:color w:val="231F20"/>
          <w:w w:val="105"/>
        </w:rPr>
        <w:t>proceso</w:t>
      </w:r>
      <w:r>
        <w:rPr>
          <w:color w:val="231F20"/>
          <w:spacing w:val="-12"/>
          <w:w w:val="105"/>
        </w:rPr>
        <w:t> </w:t>
      </w:r>
      <w:r>
        <w:rPr>
          <w:color w:val="231F20"/>
          <w:w w:val="105"/>
        </w:rPr>
        <w:t>de</w:t>
      </w:r>
      <w:r>
        <w:rPr>
          <w:color w:val="231F20"/>
          <w:spacing w:val="-12"/>
          <w:w w:val="105"/>
        </w:rPr>
        <w:t> </w:t>
      </w:r>
      <w:r>
        <w:rPr>
          <w:color w:val="231F20"/>
          <w:w w:val="105"/>
        </w:rPr>
        <w:t>suburbanización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espacios</w:t>
      </w:r>
      <w:r>
        <w:rPr>
          <w:color w:val="231F20"/>
          <w:spacing w:val="-12"/>
          <w:w w:val="105"/>
        </w:rPr>
        <w:t> </w:t>
      </w:r>
      <w:r>
        <w:rPr>
          <w:color w:val="231F20"/>
          <w:w w:val="105"/>
        </w:rPr>
        <w:t>más</w:t>
      </w:r>
      <w:r>
        <w:rPr>
          <w:color w:val="231F20"/>
          <w:spacing w:val="-12"/>
          <w:w w:val="105"/>
        </w:rPr>
        <w:t> </w:t>
      </w:r>
      <w:r>
        <w:rPr>
          <w:color w:val="231F20"/>
          <w:w w:val="105"/>
        </w:rPr>
        <w:t>cercanos</w:t>
      </w:r>
      <w:r>
        <w:rPr>
          <w:color w:val="231F20"/>
          <w:spacing w:val="-12"/>
          <w:w w:val="105"/>
        </w:rPr>
        <w:t> </w:t>
      </w:r>
      <w:r>
        <w:rPr>
          <w:color w:val="231F20"/>
          <w:w w:val="105"/>
        </w:rPr>
        <w:t>a</w:t>
      </w:r>
      <w:r>
        <w:rPr>
          <w:color w:val="231F20"/>
          <w:spacing w:val="-12"/>
          <w:w w:val="105"/>
        </w:rPr>
        <w:t> </w:t>
      </w:r>
      <w:r>
        <w:rPr>
          <w:color w:val="231F20"/>
          <w:w w:val="105"/>
        </w:rPr>
        <w:t>dicho</w:t>
      </w:r>
      <w:r>
        <w:rPr>
          <w:color w:val="231F20"/>
          <w:spacing w:val="-12"/>
          <w:w w:val="105"/>
        </w:rPr>
        <w:t> </w:t>
      </w:r>
      <w:r>
        <w:rPr>
          <w:color w:val="231F20"/>
          <w:w w:val="105"/>
        </w:rPr>
        <w:t>centro.</w:t>
      </w:r>
    </w:p>
    <w:p>
      <w:pPr>
        <w:pStyle w:val="BodyText"/>
        <w:spacing w:before="1"/>
        <w:rPr>
          <w:sz w:val="26"/>
        </w:rPr>
      </w:pPr>
    </w:p>
    <w:p>
      <w:pPr>
        <w:pStyle w:val="BodyText"/>
        <w:spacing w:line="285" w:lineRule="auto"/>
        <w:ind w:left="110" w:right="107"/>
        <w:jc w:val="both"/>
      </w:pPr>
      <w:r>
        <w:rPr>
          <w:color w:val="231F20"/>
          <w:spacing w:val="-4"/>
          <w:w w:val="105"/>
        </w:rPr>
        <w:t>Tomando</w:t>
      </w:r>
      <w:r>
        <w:rPr>
          <w:color w:val="231F20"/>
          <w:spacing w:val="-12"/>
          <w:w w:val="105"/>
        </w:rPr>
        <w:t> </w:t>
      </w:r>
      <w:r>
        <w:rPr>
          <w:color w:val="231F20"/>
          <w:w w:val="105"/>
        </w:rPr>
        <w:t>en</w:t>
      </w:r>
      <w:r>
        <w:rPr>
          <w:color w:val="231F20"/>
          <w:spacing w:val="-12"/>
          <w:w w:val="105"/>
        </w:rPr>
        <w:t> </w:t>
      </w:r>
      <w:r>
        <w:rPr>
          <w:color w:val="231F20"/>
          <w:w w:val="105"/>
        </w:rPr>
        <w:t>consideración</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territorio</w:t>
      </w:r>
      <w:r>
        <w:rPr>
          <w:color w:val="231F20"/>
          <w:spacing w:val="-12"/>
          <w:w w:val="105"/>
        </w:rPr>
        <w:t> </w:t>
      </w:r>
      <w:r>
        <w:rPr>
          <w:color w:val="231F20"/>
          <w:w w:val="105"/>
        </w:rPr>
        <w:t>del</w:t>
      </w:r>
      <w:r>
        <w:rPr>
          <w:color w:val="231F20"/>
          <w:spacing w:val="-12"/>
          <w:w w:val="105"/>
        </w:rPr>
        <w:t> </w:t>
      </w:r>
      <w:r>
        <w:rPr>
          <w:color w:val="231F20"/>
          <w:w w:val="105"/>
        </w:rPr>
        <w:t>ex</w:t>
      </w:r>
      <w:r>
        <w:rPr>
          <w:color w:val="231F20"/>
          <w:spacing w:val="-12"/>
          <w:w w:val="105"/>
        </w:rPr>
        <w:t> </w:t>
      </w:r>
      <w:r>
        <w:rPr>
          <w:color w:val="231F20"/>
          <w:w w:val="105"/>
        </w:rPr>
        <w:t>vaso</w:t>
      </w:r>
      <w:r>
        <w:rPr>
          <w:color w:val="231F20"/>
          <w:spacing w:val="-12"/>
          <w:w w:val="105"/>
        </w:rPr>
        <w:t> </w:t>
      </w:r>
      <w:r>
        <w:rPr>
          <w:color w:val="231F20"/>
          <w:w w:val="105"/>
        </w:rPr>
        <w:t>del</w:t>
      </w:r>
      <w:r>
        <w:rPr>
          <w:color w:val="231F20"/>
          <w:spacing w:val="-12"/>
          <w:w w:val="105"/>
        </w:rPr>
        <w:t> </w:t>
      </w:r>
      <w:r>
        <w:rPr>
          <w:color w:val="231F20"/>
          <w:w w:val="105"/>
        </w:rPr>
        <w:t>lago</w:t>
      </w:r>
      <w:r>
        <w:rPr>
          <w:color w:val="231F20"/>
          <w:spacing w:val="-12"/>
          <w:w w:val="105"/>
        </w:rPr>
        <w:t> </w:t>
      </w:r>
      <w:r>
        <w:rPr>
          <w:color w:val="231F20"/>
          <w:w w:val="105"/>
        </w:rPr>
        <w:t>de</w:t>
      </w:r>
      <w:r>
        <w:rPr>
          <w:color w:val="231F20"/>
          <w:spacing w:val="-12"/>
          <w:w w:val="105"/>
        </w:rPr>
        <w:t> </w:t>
      </w:r>
      <w:r>
        <w:rPr>
          <w:color w:val="231F20"/>
          <w:spacing w:val="-4"/>
          <w:w w:val="105"/>
        </w:rPr>
        <w:t>Texcoco</w:t>
      </w:r>
      <w:r>
        <w:rPr>
          <w:color w:val="231F20"/>
          <w:spacing w:val="-12"/>
          <w:w w:val="105"/>
        </w:rPr>
        <w:t> </w:t>
      </w:r>
      <w:r>
        <w:rPr>
          <w:color w:val="231F20"/>
          <w:w w:val="105"/>
        </w:rPr>
        <w:t>representa- ba</w:t>
      </w:r>
      <w:r>
        <w:rPr>
          <w:color w:val="231F20"/>
          <w:spacing w:val="-18"/>
          <w:w w:val="105"/>
        </w:rPr>
        <w:t> </w:t>
      </w:r>
      <w:r>
        <w:rPr>
          <w:color w:val="231F20"/>
          <w:w w:val="105"/>
        </w:rPr>
        <w:t>ventajas</w:t>
      </w:r>
      <w:r>
        <w:rPr>
          <w:color w:val="231F20"/>
          <w:spacing w:val="-18"/>
          <w:w w:val="105"/>
        </w:rPr>
        <w:t> </w:t>
      </w:r>
      <w:r>
        <w:rPr>
          <w:color w:val="231F20"/>
          <w:w w:val="105"/>
        </w:rPr>
        <w:t>relevantes</w:t>
      </w:r>
      <w:r>
        <w:rPr>
          <w:color w:val="231F20"/>
          <w:spacing w:val="-18"/>
          <w:w w:val="105"/>
        </w:rPr>
        <w:t> </w:t>
      </w:r>
      <w:r>
        <w:rPr>
          <w:color w:val="231F20"/>
          <w:w w:val="105"/>
        </w:rPr>
        <w:t>en</w:t>
      </w:r>
      <w:r>
        <w:rPr>
          <w:color w:val="231F20"/>
          <w:spacing w:val="-18"/>
          <w:w w:val="105"/>
        </w:rPr>
        <w:t> </w:t>
      </w:r>
      <w:r>
        <w:rPr>
          <w:color w:val="231F20"/>
          <w:w w:val="105"/>
        </w:rPr>
        <w:t>cuanto</w:t>
      </w:r>
      <w:r>
        <w:rPr>
          <w:color w:val="231F20"/>
          <w:spacing w:val="-18"/>
          <w:w w:val="105"/>
        </w:rPr>
        <w:t> </w:t>
      </w:r>
      <w:r>
        <w:rPr>
          <w:color w:val="231F20"/>
          <w:w w:val="105"/>
        </w:rPr>
        <w:t>a</w:t>
      </w:r>
      <w:r>
        <w:rPr>
          <w:color w:val="231F20"/>
          <w:spacing w:val="-18"/>
          <w:w w:val="105"/>
        </w:rPr>
        <w:t> </w:t>
      </w:r>
      <w:r>
        <w:rPr>
          <w:color w:val="231F20"/>
          <w:w w:val="105"/>
        </w:rPr>
        <w:t>bajos</w:t>
      </w:r>
      <w:r>
        <w:rPr>
          <w:color w:val="231F20"/>
          <w:spacing w:val="-18"/>
          <w:w w:val="105"/>
        </w:rPr>
        <w:t> </w:t>
      </w:r>
      <w:r>
        <w:rPr>
          <w:color w:val="231F20"/>
          <w:w w:val="105"/>
        </w:rPr>
        <w:t>costos</w:t>
      </w:r>
      <w:r>
        <w:rPr>
          <w:color w:val="231F20"/>
          <w:spacing w:val="-18"/>
          <w:w w:val="105"/>
        </w:rPr>
        <w:t> </w:t>
      </w:r>
      <w:r>
        <w:rPr>
          <w:color w:val="231F20"/>
          <w:w w:val="105"/>
        </w:rPr>
        <w:t>y</w:t>
      </w:r>
      <w:r>
        <w:rPr>
          <w:color w:val="231F20"/>
          <w:spacing w:val="-18"/>
          <w:w w:val="105"/>
        </w:rPr>
        <w:t> </w:t>
      </w:r>
      <w:r>
        <w:rPr>
          <w:color w:val="231F20"/>
          <w:w w:val="105"/>
        </w:rPr>
        <w:t>a</w:t>
      </w:r>
      <w:r>
        <w:rPr>
          <w:color w:val="231F20"/>
          <w:spacing w:val="-18"/>
          <w:w w:val="105"/>
        </w:rPr>
        <w:t> </w:t>
      </w:r>
      <w:r>
        <w:rPr>
          <w:color w:val="231F20"/>
          <w:w w:val="105"/>
        </w:rPr>
        <w:t>su</w:t>
      </w:r>
      <w:r>
        <w:rPr>
          <w:color w:val="231F20"/>
          <w:spacing w:val="-18"/>
          <w:w w:val="105"/>
        </w:rPr>
        <w:t> </w:t>
      </w:r>
      <w:r>
        <w:rPr>
          <w:color w:val="231F20"/>
          <w:w w:val="105"/>
        </w:rPr>
        <w:t>cercanía</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centro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Ciudad </w:t>
      </w:r>
      <w:r>
        <w:rPr>
          <w:color w:val="231F20"/>
          <w:w w:val="105"/>
        </w:rPr>
        <w:t>de México, este espacio experimentó un crecimiento acelerado de población, con las consecuencias</w:t>
      </w:r>
      <w:r>
        <w:rPr>
          <w:color w:val="231F20"/>
          <w:spacing w:val="-18"/>
          <w:w w:val="105"/>
        </w:rPr>
        <w:t> </w:t>
      </w:r>
      <w:r>
        <w:rPr>
          <w:color w:val="231F20"/>
          <w:w w:val="105"/>
        </w:rPr>
        <w:t>que</w:t>
      </w:r>
      <w:r>
        <w:rPr>
          <w:color w:val="231F20"/>
          <w:spacing w:val="-18"/>
          <w:w w:val="105"/>
        </w:rPr>
        <w:t> </w:t>
      </w:r>
      <w:r>
        <w:rPr>
          <w:color w:val="231F20"/>
          <w:w w:val="105"/>
        </w:rPr>
        <w:t>este</w:t>
      </w:r>
      <w:r>
        <w:rPr>
          <w:color w:val="231F20"/>
          <w:spacing w:val="-18"/>
          <w:w w:val="105"/>
        </w:rPr>
        <w:t> </w:t>
      </w:r>
      <w:r>
        <w:rPr>
          <w:color w:val="231F20"/>
          <w:w w:val="105"/>
        </w:rPr>
        <w:t>tipo</w:t>
      </w:r>
      <w:r>
        <w:rPr>
          <w:color w:val="231F20"/>
          <w:spacing w:val="-18"/>
          <w:w w:val="105"/>
        </w:rPr>
        <w:t> </w:t>
      </w:r>
      <w:r>
        <w:rPr>
          <w:color w:val="231F20"/>
          <w:w w:val="105"/>
        </w:rPr>
        <w:t>de</w:t>
      </w:r>
      <w:r>
        <w:rPr>
          <w:color w:val="231F20"/>
          <w:spacing w:val="-18"/>
          <w:w w:val="105"/>
        </w:rPr>
        <w:t> </w:t>
      </w:r>
      <w:r>
        <w:rPr>
          <w:color w:val="231F20"/>
          <w:w w:val="105"/>
        </w:rPr>
        <w:t>procesos</w:t>
      </w:r>
      <w:r>
        <w:rPr>
          <w:color w:val="231F20"/>
          <w:spacing w:val="-18"/>
          <w:w w:val="105"/>
        </w:rPr>
        <w:t> </w:t>
      </w:r>
      <w:r>
        <w:rPr>
          <w:color w:val="231F20"/>
          <w:w w:val="105"/>
        </w:rPr>
        <w:t>de</w:t>
      </w:r>
      <w:r>
        <w:rPr>
          <w:color w:val="231F20"/>
          <w:spacing w:val="-18"/>
          <w:w w:val="105"/>
        </w:rPr>
        <w:t> </w:t>
      </w:r>
      <w:r>
        <w:rPr>
          <w:color w:val="231F20"/>
          <w:w w:val="105"/>
        </w:rPr>
        <w:t>expansión</w:t>
      </w:r>
      <w:r>
        <w:rPr>
          <w:color w:val="231F20"/>
          <w:spacing w:val="-18"/>
          <w:w w:val="105"/>
        </w:rPr>
        <w:t> </w:t>
      </w:r>
      <w:r>
        <w:rPr>
          <w:color w:val="231F20"/>
          <w:w w:val="105"/>
        </w:rPr>
        <w:t>urbana</w:t>
      </w:r>
      <w:r>
        <w:rPr>
          <w:color w:val="231F20"/>
          <w:spacing w:val="-18"/>
          <w:w w:val="105"/>
        </w:rPr>
        <w:t> </w:t>
      </w:r>
      <w:r>
        <w:rPr>
          <w:color w:val="231F20"/>
          <w:w w:val="105"/>
        </w:rPr>
        <w:t>desordenada</w:t>
      </w:r>
      <w:r>
        <w:rPr>
          <w:color w:val="231F20"/>
          <w:spacing w:val="-18"/>
          <w:w w:val="105"/>
        </w:rPr>
        <w:t> </w:t>
      </w:r>
      <w:r>
        <w:rPr>
          <w:color w:val="231F20"/>
          <w:w w:val="105"/>
        </w:rPr>
        <w:t>trae</w:t>
      </w:r>
      <w:r>
        <w:rPr>
          <w:color w:val="231F20"/>
          <w:spacing w:val="-18"/>
          <w:w w:val="105"/>
        </w:rPr>
        <w:t> </w:t>
      </w:r>
      <w:r>
        <w:rPr>
          <w:color w:val="231F20"/>
          <w:w w:val="105"/>
        </w:rPr>
        <w:t>consigo, como por </w:t>
      </w:r>
      <w:r>
        <w:rPr>
          <w:color w:val="231F20"/>
          <w:spacing w:val="-3"/>
          <w:w w:val="105"/>
        </w:rPr>
        <w:t>ejemplo </w:t>
      </w:r>
      <w:r>
        <w:rPr>
          <w:color w:val="231F20"/>
          <w:w w:val="105"/>
        </w:rPr>
        <w:t>la carencia de servicios públicos básicos, la invasión de terrenos, la lotificación</w:t>
      </w:r>
      <w:r>
        <w:rPr>
          <w:color w:val="231F20"/>
          <w:spacing w:val="-10"/>
          <w:w w:val="105"/>
        </w:rPr>
        <w:t> </w:t>
      </w:r>
      <w:r>
        <w:rPr>
          <w:color w:val="231F20"/>
          <w:w w:val="105"/>
        </w:rPr>
        <w:t>y</w:t>
      </w:r>
      <w:r>
        <w:rPr>
          <w:color w:val="231F20"/>
          <w:spacing w:val="-10"/>
          <w:w w:val="105"/>
        </w:rPr>
        <w:t> </w:t>
      </w:r>
      <w:r>
        <w:rPr>
          <w:color w:val="231F20"/>
          <w:w w:val="105"/>
        </w:rPr>
        <w:t>venta</w:t>
      </w:r>
      <w:r>
        <w:rPr>
          <w:color w:val="231F20"/>
          <w:spacing w:val="-10"/>
          <w:w w:val="105"/>
        </w:rPr>
        <w:t> </w:t>
      </w:r>
      <w:r>
        <w:rPr>
          <w:color w:val="231F20"/>
          <w:w w:val="105"/>
        </w:rPr>
        <w:t>ilegal</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mismos</w:t>
      </w:r>
      <w:r>
        <w:rPr>
          <w:color w:val="231F20"/>
          <w:spacing w:val="-10"/>
          <w:w w:val="105"/>
        </w:rPr>
        <w:t> </w:t>
      </w:r>
      <w:r>
        <w:rPr>
          <w:color w:val="231F20"/>
          <w:w w:val="105"/>
        </w:rPr>
        <w:t>por</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líderes</w:t>
      </w:r>
      <w:r>
        <w:rPr>
          <w:color w:val="231F20"/>
          <w:spacing w:val="-10"/>
          <w:w w:val="105"/>
        </w:rPr>
        <w:t> </w:t>
      </w:r>
      <w:r>
        <w:rPr>
          <w:color w:val="231F20"/>
          <w:w w:val="105"/>
        </w:rPr>
        <w:t>territoriales</w:t>
      </w:r>
      <w:r>
        <w:rPr>
          <w:color w:val="231F20"/>
          <w:spacing w:val="-10"/>
          <w:w w:val="105"/>
        </w:rPr>
        <w:t> </w:t>
      </w:r>
      <w:r>
        <w:rPr>
          <w:color w:val="231F20"/>
          <w:w w:val="105"/>
        </w:rPr>
        <w:t>coludidos</w:t>
      </w:r>
      <w:r>
        <w:rPr>
          <w:color w:val="231F20"/>
          <w:spacing w:val="-10"/>
          <w:w w:val="105"/>
        </w:rPr>
        <w:t> </w:t>
      </w:r>
      <w:r>
        <w:rPr>
          <w:color w:val="231F20"/>
          <w:w w:val="105"/>
        </w:rPr>
        <w:t>con autoridades municipales y estatales, convirtiendo a este territorio en un suburbio con graves</w:t>
      </w:r>
      <w:r>
        <w:rPr>
          <w:color w:val="231F20"/>
          <w:spacing w:val="-19"/>
          <w:w w:val="105"/>
        </w:rPr>
        <w:t> </w:t>
      </w:r>
      <w:r>
        <w:rPr>
          <w:color w:val="231F20"/>
          <w:w w:val="105"/>
        </w:rPr>
        <w:t>problemas</w:t>
      </w:r>
      <w:r>
        <w:rPr>
          <w:color w:val="231F20"/>
          <w:spacing w:val="-19"/>
          <w:w w:val="105"/>
        </w:rPr>
        <w:t> </w:t>
      </w:r>
      <w:r>
        <w:rPr>
          <w:color w:val="231F20"/>
          <w:w w:val="105"/>
        </w:rPr>
        <w:t>de</w:t>
      </w:r>
      <w:r>
        <w:rPr>
          <w:color w:val="231F20"/>
          <w:spacing w:val="-19"/>
          <w:w w:val="105"/>
        </w:rPr>
        <w:t> </w:t>
      </w:r>
      <w:r>
        <w:rPr>
          <w:color w:val="231F20"/>
          <w:w w:val="105"/>
        </w:rPr>
        <w:t>marginación</w:t>
      </w:r>
      <w:r>
        <w:rPr>
          <w:color w:val="231F20"/>
          <w:spacing w:val="-19"/>
          <w:w w:val="105"/>
        </w:rPr>
        <w:t> </w:t>
      </w:r>
      <w:r>
        <w:rPr>
          <w:color w:val="231F20"/>
          <w:w w:val="105"/>
        </w:rPr>
        <w:t>social</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w w:val="105"/>
        </w:rPr>
        <w:t>inseguridad</w:t>
      </w:r>
      <w:r>
        <w:rPr>
          <w:color w:val="231F20"/>
          <w:spacing w:val="-19"/>
          <w:w w:val="105"/>
        </w:rPr>
        <w:t> </w:t>
      </w:r>
      <w:r>
        <w:rPr>
          <w:color w:val="231F20"/>
          <w:w w:val="105"/>
        </w:rPr>
        <w:t>pública.</w:t>
      </w:r>
    </w:p>
    <w:p>
      <w:pPr>
        <w:pStyle w:val="BodyText"/>
        <w:spacing w:before="1"/>
        <w:rPr>
          <w:sz w:val="26"/>
        </w:rPr>
      </w:pPr>
    </w:p>
    <w:p>
      <w:pPr>
        <w:pStyle w:val="BodyText"/>
        <w:spacing w:line="285" w:lineRule="auto"/>
        <w:ind w:left="110" w:right="107"/>
        <w:jc w:val="both"/>
      </w:pPr>
      <w:r>
        <w:rPr>
          <w:color w:val="231F20"/>
          <w:w w:val="105"/>
        </w:rPr>
        <w:t>Dado</w:t>
      </w:r>
      <w:r>
        <w:rPr>
          <w:color w:val="231F20"/>
          <w:spacing w:val="-16"/>
          <w:w w:val="105"/>
        </w:rPr>
        <w:t> </w:t>
      </w:r>
      <w:r>
        <w:rPr>
          <w:color w:val="231F20"/>
          <w:w w:val="105"/>
        </w:rPr>
        <w:t>el</w:t>
      </w:r>
      <w:r>
        <w:rPr>
          <w:color w:val="231F20"/>
          <w:spacing w:val="-16"/>
          <w:w w:val="105"/>
        </w:rPr>
        <w:t> </w:t>
      </w:r>
      <w:r>
        <w:rPr>
          <w:color w:val="231F20"/>
          <w:w w:val="105"/>
        </w:rPr>
        <w:t>acelerado</w:t>
      </w:r>
      <w:r>
        <w:rPr>
          <w:color w:val="231F20"/>
          <w:spacing w:val="-16"/>
          <w:w w:val="105"/>
        </w:rPr>
        <w:t> </w:t>
      </w:r>
      <w:r>
        <w:rPr>
          <w:color w:val="231F20"/>
          <w:w w:val="105"/>
        </w:rPr>
        <w:t>crecimiento</w:t>
      </w:r>
      <w:r>
        <w:rPr>
          <w:color w:val="231F20"/>
          <w:spacing w:val="-16"/>
          <w:w w:val="105"/>
        </w:rPr>
        <w:t> </w:t>
      </w:r>
      <w:r>
        <w:rPr>
          <w:color w:val="231F20"/>
          <w:w w:val="105"/>
        </w:rPr>
        <w:t>poblacional</w:t>
      </w:r>
      <w:r>
        <w:rPr>
          <w:color w:val="231F20"/>
          <w:spacing w:val="-16"/>
          <w:w w:val="105"/>
        </w:rPr>
        <w:t> </w:t>
      </w:r>
      <w:r>
        <w:rPr>
          <w:color w:val="231F20"/>
          <w:w w:val="105"/>
        </w:rPr>
        <w:t>que</w:t>
      </w:r>
      <w:r>
        <w:rPr>
          <w:color w:val="231F20"/>
          <w:spacing w:val="-16"/>
          <w:w w:val="105"/>
        </w:rPr>
        <w:t> </w:t>
      </w:r>
      <w:r>
        <w:rPr>
          <w:color w:val="231F20"/>
          <w:w w:val="105"/>
        </w:rPr>
        <w:t>experimentaron</w:t>
      </w:r>
      <w:r>
        <w:rPr>
          <w:color w:val="231F20"/>
          <w:spacing w:val="-16"/>
          <w:w w:val="105"/>
        </w:rPr>
        <w:t> </w:t>
      </w:r>
      <w:r>
        <w:rPr>
          <w:color w:val="231F20"/>
          <w:w w:val="105"/>
        </w:rPr>
        <w:t>los</w:t>
      </w:r>
      <w:r>
        <w:rPr>
          <w:color w:val="231F20"/>
          <w:spacing w:val="-16"/>
          <w:w w:val="105"/>
        </w:rPr>
        <w:t> </w:t>
      </w:r>
      <w:r>
        <w:rPr>
          <w:color w:val="231F20"/>
          <w:w w:val="105"/>
        </w:rPr>
        <w:t>terrenos</w:t>
      </w:r>
      <w:r>
        <w:rPr>
          <w:color w:val="231F20"/>
          <w:spacing w:val="-16"/>
          <w:w w:val="105"/>
        </w:rPr>
        <w:t> </w:t>
      </w:r>
      <w:r>
        <w:rPr>
          <w:color w:val="231F20"/>
          <w:w w:val="105"/>
        </w:rPr>
        <w:t>del</w:t>
      </w:r>
      <w:r>
        <w:rPr>
          <w:color w:val="231F20"/>
          <w:spacing w:val="-16"/>
          <w:w w:val="105"/>
        </w:rPr>
        <w:t> </w:t>
      </w:r>
      <w:r>
        <w:rPr>
          <w:color w:val="231F20"/>
          <w:w w:val="105"/>
        </w:rPr>
        <w:t>ex</w:t>
      </w:r>
      <w:r>
        <w:rPr>
          <w:color w:val="231F20"/>
          <w:spacing w:val="-16"/>
          <w:w w:val="105"/>
        </w:rPr>
        <w:t> </w:t>
      </w:r>
      <w:r>
        <w:rPr>
          <w:color w:val="231F20"/>
          <w:w w:val="105"/>
        </w:rPr>
        <w:t>vaso del lago de </w:t>
      </w:r>
      <w:r>
        <w:rPr>
          <w:color w:val="231F20"/>
          <w:spacing w:val="-4"/>
          <w:w w:val="105"/>
        </w:rPr>
        <w:t>Texcoco </w:t>
      </w:r>
      <w:r>
        <w:rPr>
          <w:color w:val="231F20"/>
          <w:spacing w:val="-7"/>
          <w:w w:val="105"/>
        </w:rPr>
        <w:t>y, </w:t>
      </w:r>
      <w:r>
        <w:rPr>
          <w:color w:val="231F20"/>
          <w:w w:val="105"/>
        </w:rPr>
        <w:t>en consecuencia, el aumento de demanda de servicios públicos básicos, en </w:t>
      </w:r>
      <w:r>
        <w:rPr>
          <w:color w:val="231F20"/>
          <w:spacing w:val="-3"/>
          <w:w w:val="105"/>
        </w:rPr>
        <w:t>febrero </w:t>
      </w:r>
      <w:r>
        <w:rPr>
          <w:color w:val="231F20"/>
          <w:w w:val="105"/>
        </w:rPr>
        <w:t>1963 el entonces gobernador del Estado de México, Gustavo Baz Prada,</w:t>
      </w:r>
      <w:r>
        <w:rPr>
          <w:color w:val="231F20"/>
          <w:spacing w:val="-15"/>
          <w:w w:val="105"/>
        </w:rPr>
        <w:t> </w:t>
      </w:r>
      <w:r>
        <w:rPr>
          <w:color w:val="231F20"/>
          <w:w w:val="105"/>
        </w:rPr>
        <w:t>sometió</w:t>
      </w:r>
      <w:r>
        <w:rPr>
          <w:color w:val="231F20"/>
          <w:spacing w:val="-15"/>
          <w:w w:val="105"/>
        </w:rPr>
        <w:t> </w:t>
      </w:r>
      <w:r>
        <w:rPr>
          <w:color w:val="231F20"/>
          <w:w w:val="105"/>
        </w:rPr>
        <w:t>a</w:t>
      </w:r>
      <w:r>
        <w:rPr>
          <w:color w:val="231F20"/>
          <w:spacing w:val="-15"/>
          <w:w w:val="105"/>
        </w:rPr>
        <w:t> </w:t>
      </w:r>
      <w:r>
        <w:rPr>
          <w:color w:val="231F20"/>
          <w:w w:val="105"/>
        </w:rPr>
        <w:t>consideración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legislatura</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la</w:t>
      </w:r>
      <w:r>
        <w:rPr>
          <w:color w:val="231F20"/>
          <w:spacing w:val="-15"/>
          <w:w w:val="105"/>
        </w:rPr>
        <w:t> </w:t>
      </w:r>
      <w:r>
        <w:rPr>
          <w:color w:val="231F20"/>
          <w:w w:val="105"/>
        </w:rPr>
        <w:t>erección</w:t>
      </w:r>
      <w:r>
        <w:rPr>
          <w:color w:val="231F20"/>
          <w:spacing w:val="-15"/>
          <w:w w:val="105"/>
        </w:rPr>
        <w:t> </w:t>
      </w:r>
      <w:r>
        <w:rPr>
          <w:color w:val="231F20"/>
          <w:w w:val="105"/>
        </w:rPr>
        <w:t>del</w:t>
      </w:r>
      <w:r>
        <w:rPr>
          <w:color w:val="231F20"/>
          <w:spacing w:val="-15"/>
          <w:w w:val="105"/>
        </w:rPr>
        <w:t> </w:t>
      </w:r>
      <w:r>
        <w:rPr>
          <w:color w:val="231F20"/>
          <w:w w:val="105"/>
        </w:rPr>
        <w:t>municipio</w:t>
      </w:r>
      <w:r>
        <w:rPr>
          <w:color w:val="231F20"/>
          <w:spacing w:val="-15"/>
          <w:w w:val="105"/>
        </w:rPr>
        <w:t> </w:t>
      </w:r>
      <w:r>
        <w:rPr>
          <w:color w:val="231F20"/>
          <w:w w:val="105"/>
        </w:rPr>
        <w:t>de Nezahualcóyotl,</w:t>
      </w:r>
      <w:r>
        <w:rPr>
          <w:color w:val="231F20"/>
          <w:spacing w:val="-5"/>
          <w:w w:val="105"/>
        </w:rPr>
        <w:t> </w:t>
      </w:r>
      <w:r>
        <w:rPr>
          <w:color w:val="231F20"/>
          <w:w w:val="105"/>
        </w:rPr>
        <w:t>a</w:t>
      </w:r>
      <w:r>
        <w:rPr>
          <w:color w:val="231F20"/>
          <w:spacing w:val="-5"/>
          <w:w w:val="105"/>
        </w:rPr>
        <w:t> </w:t>
      </w:r>
      <w:r>
        <w:rPr>
          <w:color w:val="231F20"/>
          <w:spacing w:val="2"/>
          <w:w w:val="105"/>
        </w:rPr>
        <w:t>fin</w:t>
      </w:r>
      <w:r>
        <w:rPr>
          <w:color w:val="231F20"/>
          <w:spacing w:val="-5"/>
          <w:w w:val="105"/>
        </w:rPr>
        <w:t> </w:t>
      </w:r>
      <w:r>
        <w:rPr>
          <w:color w:val="231F20"/>
          <w:w w:val="105"/>
        </w:rPr>
        <w:t>de</w:t>
      </w:r>
      <w:r>
        <w:rPr>
          <w:color w:val="231F20"/>
          <w:spacing w:val="-5"/>
          <w:w w:val="105"/>
        </w:rPr>
        <w:t> </w:t>
      </w:r>
      <w:r>
        <w:rPr>
          <w:color w:val="231F20"/>
          <w:w w:val="105"/>
        </w:rPr>
        <w:t>dar</w:t>
      </w:r>
      <w:r>
        <w:rPr>
          <w:color w:val="231F20"/>
          <w:spacing w:val="-5"/>
          <w:w w:val="105"/>
        </w:rPr>
        <w:t> </w:t>
      </w:r>
      <w:r>
        <w:rPr>
          <w:color w:val="231F20"/>
          <w:w w:val="105"/>
        </w:rPr>
        <w:t>una</w:t>
      </w:r>
      <w:r>
        <w:rPr>
          <w:color w:val="231F20"/>
          <w:spacing w:val="-5"/>
          <w:w w:val="105"/>
        </w:rPr>
        <w:t> </w:t>
      </w:r>
      <w:r>
        <w:rPr>
          <w:color w:val="231F20"/>
          <w:w w:val="105"/>
        </w:rPr>
        <w:t>mejor</w:t>
      </w:r>
      <w:r>
        <w:rPr>
          <w:color w:val="231F20"/>
          <w:spacing w:val="-5"/>
          <w:w w:val="105"/>
        </w:rPr>
        <w:t> </w:t>
      </w:r>
      <w:r>
        <w:rPr>
          <w:color w:val="231F20"/>
          <w:w w:val="105"/>
        </w:rPr>
        <w:t>atención</w:t>
      </w:r>
      <w:r>
        <w:rPr>
          <w:color w:val="231F20"/>
          <w:spacing w:val="-5"/>
          <w:w w:val="105"/>
        </w:rPr>
        <w:t> </w:t>
      </w:r>
      <w:r>
        <w:rPr>
          <w:color w:val="231F20"/>
          <w:w w:val="105"/>
        </w:rPr>
        <w:t>a</w:t>
      </w:r>
      <w:r>
        <w:rPr>
          <w:color w:val="231F20"/>
          <w:spacing w:val="-5"/>
          <w:w w:val="105"/>
        </w:rPr>
        <w:t> </w:t>
      </w:r>
      <w:r>
        <w:rPr>
          <w:color w:val="231F20"/>
          <w:w w:val="105"/>
        </w:rPr>
        <w:t>las</w:t>
      </w:r>
      <w:r>
        <w:rPr>
          <w:color w:val="231F20"/>
          <w:spacing w:val="-5"/>
          <w:w w:val="105"/>
        </w:rPr>
        <w:t> </w:t>
      </w:r>
      <w:r>
        <w:rPr>
          <w:color w:val="231F20"/>
          <w:w w:val="105"/>
        </w:rPr>
        <w:t>demandas</w:t>
      </w:r>
      <w:r>
        <w:rPr>
          <w:color w:val="231F20"/>
          <w:spacing w:val="-5"/>
          <w:w w:val="105"/>
        </w:rPr>
        <w:t> </w:t>
      </w:r>
      <w:r>
        <w:rPr>
          <w:color w:val="231F20"/>
          <w:w w:val="105"/>
        </w:rPr>
        <w:t>sociales</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pobla-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10"/>
        <w:jc w:val="both"/>
      </w:pPr>
      <w:r>
        <w:rPr>
          <w:color w:val="231F20"/>
          <w:w w:val="105"/>
        </w:rPr>
        <w:t>dores.</w:t>
      </w:r>
      <w:r>
        <w:rPr>
          <w:color w:val="231F20"/>
          <w:spacing w:val="-22"/>
          <w:w w:val="105"/>
        </w:rPr>
        <w:t> </w:t>
      </w:r>
      <w:r>
        <w:rPr>
          <w:color w:val="231F20"/>
          <w:spacing w:val="-3"/>
          <w:w w:val="105"/>
        </w:rPr>
        <w:t>Por</w:t>
      </w:r>
      <w:r>
        <w:rPr>
          <w:color w:val="231F20"/>
          <w:spacing w:val="-22"/>
          <w:w w:val="105"/>
        </w:rPr>
        <w:t> </w:t>
      </w:r>
      <w:r>
        <w:rPr>
          <w:color w:val="231F20"/>
          <w:w w:val="105"/>
        </w:rPr>
        <w:t>lo</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spacing w:val="-5"/>
          <w:w w:val="105"/>
        </w:rPr>
        <w:t>18</w:t>
      </w:r>
      <w:r>
        <w:rPr>
          <w:color w:val="231F20"/>
          <w:spacing w:val="-22"/>
          <w:w w:val="105"/>
        </w:rPr>
        <w:t> </w:t>
      </w:r>
      <w:r>
        <w:rPr>
          <w:color w:val="231F20"/>
          <w:w w:val="105"/>
        </w:rPr>
        <w:t>de</w:t>
      </w:r>
      <w:r>
        <w:rPr>
          <w:color w:val="231F20"/>
          <w:spacing w:val="-22"/>
          <w:w w:val="105"/>
        </w:rPr>
        <w:t> </w:t>
      </w:r>
      <w:r>
        <w:rPr>
          <w:color w:val="231F20"/>
          <w:w w:val="105"/>
        </w:rPr>
        <w:t>abril</w:t>
      </w:r>
      <w:r>
        <w:rPr>
          <w:color w:val="231F20"/>
          <w:spacing w:val="-22"/>
          <w:w w:val="105"/>
        </w:rPr>
        <w:t> </w:t>
      </w:r>
      <w:r>
        <w:rPr>
          <w:color w:val="231F20"/>
          <w:w w:val="105"/>
        </w:rPr>
        <w:t>de</w:t>
      </w:r>
      <w:r>
        <w:rPr>
          <w:color w:val="231F20"/>
          <w:spacing w:val="-22"/>
          <w:w w:val="105"/>
        </w:rPr>
        <w:t> </w:t>
      </w:r>
      <w:r>
        <w:rPr>
          <w:color w:val="231F20"/>
          <w:w w:val="105"/>
        </w:rPr>
        <w:t>1963</w:t>
      </w:r>
      <w:r>
        <w:rPr>
          <w:color w:val="231F20"/>
          <w:spacing w:val="-22"/>
          <w:w w:val="105"/>
        </w:rPr>
        <w:t> </w:t>
      </w:r>
      <w:r>
        <w:rPr>
          <w:color w:val="231F20"/>
          <w:w w:val="105"/>
        </w:rPr>
        <w:t>la</w:t>
      </w:r>
      <w:r>
        <w:rPr>
          <w:color w:val="231F20"/>
          <w:spacing w:val="-22"/>
          <w:w w:val="105"/>
        </w:rPr>
        <w:t> </w:t>
      </w:r>
      <w:r>
        <w:rPr>
          <w:color w:val="231F20"/>
          <w:w w:val="105"/>
        </w:rPr>
        <w:t>XLI</w:t>
      </w:r>
      <w:r>
        <w:rPr>
          <w:color w:val="231F20"/>
          <w:spacing w:val="-22"/>
          <w:w w:val="105"/>
        </w:rPr>
        <w:t> </w:t>
      </w:r>
      <w:r>
        <w:rPr>
          <w:color w:val="231F20"/>
          <w:w w:val="105"/>
        </w:rPr>
        <w:t>Legislatura</w:t>
      </w:r>
      <w:r>
        <w:rPr>
          <w:color w:val="231F20"/>
          <w:spacing w:val="-22"/>
          <w:w w:val="105"/>
        </w:rPr>
        <w:t> </w:t>
      </w:r>
      <w:r>
        <w:rPr>
          <w:color w:val="231F20"/>
          <w:w w:val="105"/>
        </w:rPr>
        <w:t>expidió</w:t>
      </w:r>
      <w:r>
        <w:rPr>
          <w:color w:val="231F20"/>
          <w:spacing w:val="-22"/>
          <w:w w:val="105"/>
        </w:rPr>
        <w:t> </w:t>
      </w:r>
      <w:r>
        <w:rPr>
          <w:color w:val="231F20"/>
          <w:w w:val="105"/>
        </w:rPr>
        <w:t>el</w:t>
      </w:r>
      <w:r>
        <w:rPr>
          <w:color w:val="231F20"/>
          <w:spacing w:val="-22"/>
          <w:w w:val="105"/>
        </w:rPr>
        <w:t> </w:t>
      </w:r>
      <w:r>
        <w:rPr>
          <w:color w:val="231F20"/>
          <w:w w:val="105"/>
        </w:rPr>
        <w:t>decreto</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que</w:t>
      </w:r>
      <w:r>
        <w:rPr>
          <w:color w:val="231F20"/>
          <w:spacing w:val="-22"/>
          <w:w w:val="105"/>
        </w:rPr>
        <w:t> </w:t>
      </w:r>
      <w:r>
        <w:rPr>
          <w:color w:val="231F20"/>
          <w:w w:val="105"/>
        </w:rPr>
        <w:t>se erigió</w:t>
      </w:r>
      <w:r>
        <w:rPr>
          <w:color w:val="231F20"/>
          <w:spacing w:val="-16"/>
          <w:w w:val="105"/>
        </w:rPr>
        <w:t> </w:t>
      </w:r>
      <w:r>
        <w:rPr>
          <w:color w:val="231F20"/>
          <w:w w:val="105"/>
        </w:rPr>
        <w:t>a</w:t>
      </w:r>
      <w:r>
        <w:rPr>
          <w:color w:val="231F20"/>
          <w:spacing w:val="-16"/>
          <w:w w:val="105"/>
        </w:rPr>
        <w:t> </w:t>
      </w:r>
      <w:r>
        <w:rPr>
          <w:color w:val="231F20"/>
          <w:w w:val="105"/>
        </w:rPr>
        <w:t>Nezahualcóyotl</w:t>
      </w:r>
      <w:r>
        <w:rPr>
          <w:color w:val="231F20"/>
          <w:spacing w:val="-16"/>
          <w:w w:val="105"/>
        </w:rPr>
        <w:t> </w:t>
      </w:r>
      <w:r>
        <w:rPr>
          <w:color w:val="231F20"/>
          <w:w w:val="105"/>
        </w:rPr>
        <w:t>como</w:t>
      </w:r>
      <w:r>
        <w:rPr>
          <w:color w:val="231F20"/>
          <w:spacing w:val="-16"/>
          <w:w w:val="105"/>
        </w:rPr>
        <w:t> </w:t>
      </w: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número</w:t>
      </w:r>
      <w:r>
        <w:rPr>
          <w:color w:val="231F20"/>
          <w:spacing w:val="-16"/>
          <w:w w:val="105"/>
        </w:rPr>
        <w:t> </w:t>
      </w:r>
      <w:r>
        <w:rPr>
          <w:color w:val="231F20"/>
          <w:w w:val="105"/>
        </w:rPr>
        <w:t>120</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entidad.</w:t>
      </w:r>
    </w:p>
    <w:p>
      <w:pPr>
        <w:pStyle w:val="BodyText"/>
        <w:spacing w:before="1"/>
        <w:rPr>
          <w:sz w:val="26"/>
        </w:rPr>
      </w:pPr>
    </w:p>
    <w:p>
      <w:pPr>
        <w:pStyle w:val="BodyText"/>
        <w:spacing w:line="285" w:lineRule="auto"/>
        <w:ind w:left="110" w:right="108"/>
        <w:jc w:val="both"/>
      </w:pPr>
      <w:r>
        <w:rPr>
          <w:color w:val="231F20"/>
          <w:w w:val="105"/>
        </w:rPr>
        <w:t>La</w:t>
      </w:r>
      <w:r>
        <w:rPr>
          <w:color w:val="231F20"/>
          <w:spacing w:val="-20"/>
          <w:w w:val="105"/>
        </w:rPr>
        <w:t> </w:t>
      </w:r>
      <w:r>
        <w:rPr>
          <w:color w:val="231F20"/>
          <w:w w:val="105"/>
        </w:rPr>
        <w:t>dinámica</w:t>
      </w:r>
      <w:r>
        <w:rPr>
          <w:color w:val="231F20"/>
          <w:spacing w:val="-20"/>
          <w:w w:val="105"/>
        </w:rPr>
        <w:t> </w:t>
      </w:r>
      <w:r>
        <w:rPr>
          <w:color w:val="231F20"/>
          <w:w w:val="105"/>
        </w:rPr>
        <w:t>poblacional</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0"/>
          <w:w w:val="105"/>
        </w:rPr>
        <w:t> </w:t>
      </w:r>
      <w:r>
        <w:rPr>
          <w:color w:val="231F20"/>
          <w:w w:val="105"/>
        </w:rPr>
        <w:t>Nezahualcóyotl</w:t>
      </w:r>
      <w:r>
        <w:rPr>
          <w:color w:val="231F20"/>
          <w:spacing w:val="-20"/>
          <w:w w:val="105"/>
        </w:rPr>
        <w:t> </w:t>
      </w:r>
      <w:r>
        <w:rPr>
          <w:color w:val="231F20"/>
          <w:w w:val="105"/>
        </w:rPr>
        <w:t>estuvo</w:t>
      </w:r>
      <w:r>
        <w:rPr>
          <w:color w:val="231F20"/>
          <w:spacing w:val="-20"/>
          <w:w w:val="105"/>
        </w:rPr>
        <w:t> </w:t>
      </w:r>
      <w:r>
        <w:rPr>
          <w:color w:val="231F20"/>
          <w:w w:val="105"/>
        </w:rPr>
        <w:t>caracterizada</w:t>
      </w:r>
      <w:r>
        <w:rPr>
          <w:color w:val="231F20"/>
          <w:spacing w:val="-20"/>
          <w:w w:val="105"/>
        </w:rPr>
        <w:t> </w:t>
      </w:r>
      <w:r>
        <w:rPr>
          <w:color w:val="231F20"/>
          <w:w w:val="105"/>
        </w:rPr>
        <w:t>por</w:t>
      </w:r>
      <w:r>
        <w:rPr>
          <w:color w:val="231F20"/>
          <w:spacing w:val="-20"/>
          <w:w w:val="105"/>
        </w:rPr>
        <w:t> </w:t>
      </w:r>
      <w:r>
        <w:rPr>
          <w:color w:val="231F20"/>
          <w:w w:val="105"/>
        </w:rPr>
        <w:t>ele- vadas</w:t>
      </w:r>
      <w:r>
        <w:rPr>
          <w:color w:val="231F20"/>
          <w:spacing w:val="-15"/>
          <w:w w:val="105"/>
        </w:rPr>
        <w:t> </w:t>
      </w:r>
      <w:r>
        <w:rPr>
          <w:color w:val="231F20"/>
          <w:w w:val="105"/>
        </w:rPr>
        <w:t>tasas</w:t>
      </w:r>
      <w:r>
        <w:rPr>
          <w:color w:val="231F20"/>
          <w:spacing w:val="-15"/>
          <w:w w:val="105"/>
        </w:rPr>
        <w:t> </w:t>
      </w:r>
      <w:r>
        <w:rPr>
          <w:color w:val="231F20"/>
          <w:w w:val="105"/>
        </w:rPr>
        <w:t>de</w:t>
      </w:r>
      <w:r>
        <w:rPr>
          <w:color w:val="231F20"/>
          <w:spacing w:val="-15"/>
          <w:w w:val="105"/>
        </w:rPr>
        <w:t> </w:t>
      </w:r>
      <w:r>
        <w:rPr>
          <w:color w:val="231F20"/>
          <w:w w:val="105"/>
        </w:rPr>
        <w:t>crecimiento</w:t>
      </w:r>
      <w:r>
        <w:rPr>
          <w:color w:val="231F20"/>
          <w:spacing w:val="-15"/>
          <w:w w:val="105"/>
        </w:rPr>
        <w:t> </w:t>
      </w:r>
      <w:r>
        <w:rPr>
          <w:color w:val="231F20"/>
          <w:w w:val="105"/>
        </w:rPr>
        <w:t>social,</w:t>
      </w:r>
      <w:r>
        <w:rPr>
          <w:color w:val="231F20"/>
          <w:spacing w:val="-15"/>
          <w:w w:val="105"/>
        </w:rPr>
        <w:t> </w:t>
      </w:r>
      <w:r>
        <w:rPr>
          <w:color w:val="231F20"/>
          <w:w w:val="105"/>
        </w:rPr>
        <w:t>como</w:t>
      </w:r>
      <w:r>
        <w:rPr>
          <w:color w:val="231F20"/>
          <w:spacing w:val="-15"/>
          <w:w w:val="105"/>
        </w:rPr>
        <w:t> </w:t>
      </w:r>
      <w:r>
        <w:rPr>
          <w:color w:val="231F20"/>
          <w:w w:val="105"/>
        </w:rPr>
        <w:t>resultado</w:t>
      </w:r>
      <w:r>
        <w:rPr>
          <w:color w:val="231F20"/>
          <w:spacing w:val="-15"/>
          <w:w w:val="105"/>
        </w:rPr>
        <w:t> </w:t>
      </w:r>
      <w:r>
        <w:rPr>
          <w:color w:val="231F20"/>
          <w:w w:val="105"/>
        </w:rPr>
        <w:t>de</w:t>
      </w:r>
      <w:r>
        <w:rPr>
          <w:color w:val="231F20"/>
          <w:spacing w:val="-15"/>
          <w:w w:val="105"/>
        </w:rPr>
        <w:t> </w:t>
      </w:r>
      <w:r>
        <w:rPr>
          <w:color w:val="231F20"/>
          <w:w w:val="105"/>
        </w:rPr>
        <w:t>haberse</w:t>
      </w:r>
      <w:r>
        <w:rPr>
          <w:color w:val="231F20"/>
          <w:spacing w:val="-15"/>
          <w:w w:val="105"/>
        </w:rPr>
        <w:t> </w:t>
      </w:r>
      <w:r>
        <w:rPr>
          <w:color w:val="231F20"/>
          <w:w w:val="105"/>
        </w:rPr>
        <w:t>constituido</w:t>
      </w:r>
      <w:r>
        <w:rPr>
          <w:color w:val="231F20"/>
          <w:spacing w:val="-15"/>
          <w:w w:val="105"/>
        </w:rPr>
        <w:t> </w:t>
      </w:r>
      <w:r>
        <w:rPr>
          <w:color w:val="231F20"/>
          <w:w w:val="105"/>
        </w:rPr>
        <w:t>en</w:t>
      </w:r>
      <w:r>
        <w:rPr>
          <w:color w:val="231F20"/>
          <w:spacing w:val="-15"/>
          <w:w w:val="105"/>
        </w:rPr>
        <w:t> </w:t>
      </w:r>
      <w:r>
        <w:rPr>
          <w:color w:val="231F20"/>
          <w:w w:val="105"/>
        </w:rPr>
        <w:t>receptor</w:t>
      </w:r>
      <w:r>
        <w:rPr>
          <w:color w:val="231F20"/>
          <w:spacing w:val="-15"/>
          <w:w w:val="105"/>
        </w:rPr>
        <w:t> </w:t>
      </w:r>
      <w:r>
        <w:rPr>
          <w:color w:val="231F20"/>
          <w:w w:val="105"/>
        </w:rPr>
        <w:t>de grandes</w:t>
      </w:r>
      <w:r>
        <w:rPr>
          <w:color w:val="231F20"/>
          <w:spacing w:val="-19"/>
          <w:w w:val="105"/>
        </w:rPr>
        <w:t> </w:t>
      </w:r>
      <w:r>
        <w:rPr>
          <w:color w:val="231F20"/>
          <w:w w:val="105"/>
        </w:rPr>
        <w:t>flujos</w:t>
      </w:r>
      <w:r>
        <w:rPr>
          <w:color w:val="231F20"/>
          <w:spacing w:val="-19"/>
          <w:w w:val="105"/>
        </w:rPr>
        <w:t> </w:t>
      </w:r>
      <w:r>
        <w:rPr>
          <w:color w:val="231F20"/>
          <w:w w:val="105"/>
        </w:rPr>
        <w:t>migratorios.</w:t>
      </w:r>
      <w:r>
        <w:rPr>
          <w:color w:val="231F20"/>
          <w:spacing w:val="-19"/>
          <w:w w:val="105"/>
        </w:rPr>
        <w:t> </w:t>
      </w:r>
      <w:r>
        <w:rPr>
          <w:color w:val="231F20"/>
          <w:w w:val="105"/>
        </w:rPr>
        <w:t>Este</w:t>
      </w:r>
      <w:r>
        <w:rPr>
          <w:color w:val="231F20"/>
          <w:spacing w:val="-19"/>
          <w:w w:val="105"/>
        </w:rPr>
        <w:t> </w:t>
      </w:r>
      <w:r>
        <w:rPr>
          <w:color w:val="231F20"/>
          <w:w w:val="105"/>
        </w:rPr>
        <w:t>crecimiento</w:t>
      </w:r>
      <w:r>
        <w:rPr>
          <w:color w:val="231F20"/>
          <w:spacing w:val="-19"/>
          <w:w w:val="105"/>
        </w:rPr>
        <w:t> </w:t>
      </w:r>
      <w:r>
        <w:rPr>
          <w:color w:val="231F20"/>
          <w:w w:val="105"/>
        </w:rPr>
        <w:t>poblacional</w:t>
      </w:r>
      <w:r>
        <w:rPr>
          <w:color w:val="231F20"/>
          <w:spacing w:val="-19"/>
          <w:w w:val="105"/>
        </w:rPr>
        <w:t> </w:t>
      </w:r>
      <w:r>
        <w:rPr>
          <w:color w:val="231F20"/>
          <w:w w:val="105"/>
        </w:rPr>
        <w:t>alcanza</w:t>
      </w:r>
      <w:r>
        <w:rPr>
          <w:color w:val="231F20"/>
          <w:spacing w:val="-19"/>
          <w:w w:val="105"/>
        </w:rPr>
        <w:t> </w:t>
      </w:r>
      <w:r>
        <w:rPr>
          <w:color w:val="231F20"/>
          <w:w w:val="105"/>
        </w:rPr>
        <w:t>sus</w:t>
      </w:r>
      <w:r>
        <w:rPr>
          <w:color w:val="231F20"/>
          <w:spacing w:val="-19"/>
          <w:w w:val="105"/>
        </w:rPr>
        <w:t> </w:t>
      </w:r>
      <w:r>
        <w:rPr>
          <w:color w:val="231F20"/>
          <w:w w:val="105"/>
        </w:rPr>
        <w:t>niveles</w:t>
      </w:r>
      <w:r>
        <w:rPr>
          <w:color w:val="231F20"/>
          <w:spacing w:val="-19"/>
          <w:w w:val="105"/>
        </w:rPr>
        <w:t> </w:t>
      </w:r>
      <w:r>
        <w:rPr>
          <w:color w:val="231F20"/>
          <w:w w:val="105"/>
        </w:rPr>
        <w:t>más</w:t>
      </w:r>
      <w:r>
        <w:rPr>
          <w:color w:val="231F20"/>
          <w:spacing w:val="-19"/>
          <w:w w:val="105"/>
        </w:rPr>
        <w:t> </w:t>
      </w:r>
      <w:r>
        <w:rPr>
          <w:color w:val="231F20"/>
          <w:w w:val="105"/>
        </w:rPr>
        <w:t>eleva- dos</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décadas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60’s</w:t>
      </w:r>
      <w:r>
        <w:rPr>
          <w:color w:val="231F20"/>
          <w:spacing w:val="-19"/>
          <w:w w:val="105"/>
        </w:rPr>
        <w:t> </w:t>
      </w:r>
      <w:r>
        <w:rPr>
          <w:color w:val="231F20"/>
          <w:w w:val="105"/>
        </w:rPr>
        <w:t>y</w:t>
      </w:r>
      <w:r>
        <w:rPr>
          <w:color w:val="231F20"/>
          <w:spacing w:val="-19"/>
          <w:w w:val="105"/>
        </w:rPr>
        <w:t> </w:t>
      </w:r>
      <w:r>
        <w:rPr>
          <w:color w:val="231F20"/>
          <w:spacing w:val="-4"/>
          <w:w w:val="105"/>
        </w:rPr>
        <w:t>70’s,</w:t>
      </w:r>
      <w:r>
        <w:rPr>
          <w:color w:val="231F20"/>
          <w:spacing w:val="-19"/>
          <w:w w:val="105"/>
        </w:rPr>
        <w:t> </w:t>
      </w:r>
      <w:r>
        <w:rPr>
          <w:color w:val="231F20"/>
          <w:w w:val="105"/>
        </w:rPr>
        <w:t>como</w:t>
      </w:r>
      <w:r>
        <w:rPr>
          <w:color w:val="231F20"/>
          <w:spacing w:val="-19"/>
          <w:w w:val="105"/>
        </w:rPr>
        <w:t> </w:t>
      </w:r>
      <w:r>
        <w:rPr>
          <w:color w:val="231F20"/>
          <w:w w:val="105"/>
        </w:rPr>
        <w:t>se</w:t>
      </w:r>
      <w:r>
        <w:rPr>
          <w:color w:val="231F20"/>
          <w:spacing w:val="-19"/>
          <w:w w:val="105"/>
        </w:rPr>
        <w:t> </w:t>
      </w:r>
      <w:r>
        <w:rPr>
          <w:color w:val="231F20"/>
          <w:w w:val="105"/>
        </w:rPr>
        <w:t>puede</w:t>
      </w:r>
      <w:r>
        <w:rPr>
          <w:color w:val="231F20"/>
          <w:spacing w:val="-19"/>
          <w:w w:val="105"/>
        </w:rPr>
        <w:t> </w:t>
      </w:r>
      <w:r>
        <w:rPr>
          <w:color w:val="231F20"/>
          <w:w w:val="105"/>
        </w:rPr>
        <w:t>apreciar</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cuadro</w:t>
      </w:r>
      <w:r>
        <w:rPr>
          <w:color w:val="231F20"/>
          <w:spacing w:val="-19"/>
          <w:w w:val="105"/>
        </w:rPr>
        <w:t> </w:t>
      </w:r>
      <w:r>
        <w:rPr>
          <w:color w:val="231F20"/>
          <w:w w:val="105"/>
        </w:rPr>
        <w:t>1.</w:t>
      </w:r>
    </w:p>
    <w:p>
      <w:pPr>
        <w:pStyle w:val="BodyText"/>
        <w:spacing w:before="1"/>
        <w:rPr>
          <w:sz w:val="26"/>
        </w:rPr>
      </w:pPr>
    </w:p>
    <w:p>
      <w:pPr>
        <w:pStyle w:val="BodyText"/>
        <w:spacing w:line="285" w:lineRule="auto"/>
        <w:ind w:left="110" w:right="108"/>
        <w:jc w:val="both"/>
      </w:pPr>
      <w:r>
        <w:rPr>
          <w:color w:val="231F20"/>
          <w:w w:val="105"/>
        </w:rPr>
        <w:t>De hecho durante la década de los </w:t>
      </w:r>
      <w:r>
        <w:rPr>
          <w:color w:val="231F20"/>
          <w:spacing w:val="-3"/>
          <w:w w:val="105"/>
        </w:rPr>
        <w:t>50’s </w:t>
      </w:r>
      <w:r>
        <w:rPr>
          <w:color w:val="231F20"/>
          <w:w w:val="105"/>
        </w:rPr>
        <w:t>su población creció más del doble, </w:t>
      </w:r>
      <w:r>
        <w:rPr>
          <w:color w:val="231F20"/>
          <w:spacing w:val="2"/>
          <w:w w:val="105"/>
        </w:rPr>
        <w:t>al </w:t>
      </w:r>
      <w:r>
        <w:rPr>
          <w:color w:val="231F20"/>
          <w:w w:val="105"/>
        </w:rPr>
        <w:t>pasar de </w:t>
      </w:r>
      <w:r>
        <w:rPr>
          <w:color w:val="231F20"/>
          <w:spacing w:val="2"/>
          <w:w w:val="105"/>
        </w:rPr>
        <w:t>25,000</w:t>
      </w:r>
      <w:r>
        <w:rPr>
          <w:color w:val="231F20"/>
          <w:spacing w:val="-21"/>
          <w:w w:val="105"/>
        </w:rPr>
        <w:t> </w:t>
      </w:r>
      <w:r>
        <w:rPr>
          <w:color w:val="231F20"/>
          <w:w w:val="105"/>
        </w:rPr>
        <w:t>habitantes</w:t>
      </w:r>
      <w:r>
        <w:rPr>
          <w:color w:val="231F20"/>
          <w:spacing w:val="-21"/>
          <w:w w:val="105"/>
        </w:rPr>
        <w:t> </w:t>
      </w:r>
      <w:r>
        <w:rPr>
          <w:color w:val="231F20"/>
          <w:w w:val="105"/>
        </w:rPr>
        <w:t>en</w:t>
      </w:r>
      <w:r>
        <w:rPr>
          <w:color w:val="231F20"/>
          <w:spacing w:val="-21"/>
          <w:w w:val="105"/>
        </w:rPr>
        <w:t> </w:t>
      </w:r>
      <w:r>
        <w:rPr>
          <w:color w:val="231F20"/>
          <w:w w:val="105"/>
        </w:rPr>
        <w:t>1950</w:t>
      </w:r>
      <w:r>
        <w:rPr>
          <w:color w:val="231F20"/>
          <w:spacing w:val="-21"/>
          <w:w w:val="105"/>
        </w:rPr>
        <w:t> </w:t>
      </w:r>
      <w:r>
        <w:rPr>
          <w:color w:val="231F20"/>
          <w:w w:val="105"/>
        </w:rPr>
        <w:t>a</w:t>
      </w:r>
      <w:r>
        <w:rPr>
          <w:color w:val="231F20"/>
          <w:spacing w:val="-21"/>
          <w:w w:val="105"/>
        </w:rPr>
        <w:t> </w:t>
      </w:r>
      <w:r>
        <w:rPr>
          <w:color w:val="231F20"/>
          <w:spacing w:val="2"/>
          <w:w w:val="105"/>
        </w:rPr>
        <w:t>62,000</w:t>
      </w:r>
      <w:r>
        <w:rPr>
          <w:color w:val="231F20"/>
          <w:spacing w:val="-21"/>
          <w:w w:val="105"/>
        </w:rPr>
        <w:t> </w:t>
      </w:r>
      <w:r>
        <w:rPr>
          <w:color w:val="231F20"/>
          <w:w w:val="105"/>
        </w:rPr>
        <w:t>en</w:t>
      </w:r>
      <w:r>
        <w:rPr>
          <w:color w:val="231F20"/>
          <w:spacing w:val="-21"/>
          <w:w w:val="105"/>
        </w:rPr>
        <w:t> </w:t>
      </w:r>
      <w:r>
        <w:rPr>
          <w:color w:val="231F20"/>
          <w:w w:val="105"/>
        </w:rPr>
        <w:t>1960.</w:t>
      </w:r>
      <w:r>
        <w:rPr>
          <w:color w:val="231F20"/>
          <w:spacing w:val="-21"/>
          <w:w w:val="105"/>
        </w:rPr>
        <w:t> </w:t>
      </w:r>
      <w:r>
        <w:rPr>
          <w:color w:val="231F20"/>
          <w:w w:val="105"/>
        </w:rPr>
        <w:t>Sin</w:t>
      </w:r>
      <w:r>
        <w:rPr>
          <w:color w:val="231F20"/>
          <w:spacing w:val="-21"/>
          <w:w w:val="105"/>
        </w:rPr>
        <w:t> </w:t>
      </w:r>
      <w:r>
        <w:rPr>
          <w:color w:val="231F20"/>
          <w:w w:val="105"/>
        </w:rPr>
        <w:t>embargo,</w:t>
      </w:r>
      <w:r>
        <w:rPr>
          <w:color w:val="231F20"/>
          <w:spacing w:val="-21"/>
          <w:w w:val="105"/>
        </w:rPr>
        <w:t> </w:t>
      </w:r>
      <w:r>
        <w:rPr>
          <w:color w:val="231F20"/>
          <w:w w:val="105"/>
        </w:rPr>
        <w:t>la</w:t>
      </w:r>
      <w:r>
        <w:rPr>
          <w:color w:val="231F20"/>
          <w:spacing w:val="-21"/>
          <w:w w:val="105"/>
        </w:rPr>
        <w:t> </w:t>
      </w:r>
      <w:r>
        <w:rPr>
          <w:color w:val="231F20"/>
          <w:w w:val="105"/>
        </w:rPr>
        <w:t>gran</w:t>
      </w:r>
      <w:r>
        <w:rPr>
          <w:color w:val="231F20"/>
          <w:spacing w:val="-21"/>
          <w:w w:val="105"/>
        </w:rPr>
        <w:t> </w:t>
      </w:r>
      <w:r>
        <w:rPr>
          <w:color w:val="231F20"/>
          <w:w w:val="105"/>
        </w:rPr>
        <w:t>explosión</w:t>
      </w:r>
      <w:r>
        <w:rPr>
          <w:color w:val="231F20"/>
          <w:spacing w:val="-21"/>
          <w:w w:val="105"/>
        </w:rPr>
        <w:t> </w:t>
      </w:r>
      <w:r>
        <w:rPr>
          <w:color w:val="231F20"/>
          <w:w w:val="105"/>
        </w:rPr>
        <w:t>demográfi- ca</w:t>
      </w:r>
      <w:r>
        <w:rPr>
          <w:color w:val="231F20"/>
          <w:spacing w:val="-15"/>
          <w:w w:val="105"/>
        </w:rPr>
        <w:t> </w:t>
      </w:r>
      <w:r>
        <w:rPr>
          <w:color w:val="231F20"/>
          <w:w w:val="105"/>
        </w:rPr>
        <w:t>del</w:t>
      </w:r>
      <w:r>
        <w:rPr>
          <w:color w:val="231F20"/>
          <w:spacing w:val="-15"/>
          <w:w w:val="105"/>
        </w:rPr>
        <w:t> </w:t>
      </w:r>
      <w:r>
        <w:rPr>
          <w:color w:val="231F20"/>
          <w:w w:val="105"/>
        </w:rPr>
        <w:t>municipio</w:t>
      </w:r>
      <w:r>
        <w:rPr>
          <w:color w:val="231F20"/>
          <w:spacing w:val="-15"/>
          <w:w w:val="105"/>
        </w:rPr>
        <w:t> </w:t>
      </w:r>
      <w:r>
        <w:rPr>
          <w:color w:val="231F20"/>
          <w:w w:val="105"/>
        </w:rPr>
        <w:t>se</w:t>
      </w:r>
      <w:r>
        <w:rPr>
          <w:color w:val="231F20"/>
          <w:spacing w:val="-15"/>
          <w:w w:val="105"/>
        </w:rPr>
        <w:t> </w:t>
      </w:r>
      <w:r>
        <w:rPr>
          <w:color w:val="231F20"/>
          <w:w w:val="105"/>
        </w:rPr>
        <w:t>experimentó</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década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60’s</w:t>
      </w:r>
      <w:r>
        <w:rPr>
          <w:color w:val="231F20"/>
          <w:spacing w:val="-15"/>
          <w:w w:val="105"/>
        </w:rPr>
        <w:t> </w:t>
      </w:r>
      <w:r>
        <w:rPr>
          <w:color w:val="231F20"/>
          <w:w w:val="105"/>
        </w:rPr>
        <w:t>y</w:t>
      </w:r>
      <w:r>
        <w:rPr>
          <w:color w:val="231F20"/>
          <w:spacing w:val="-15"/>
          <w:w w:val="105"/>
        </w:rPr>
        <w:t> </w:t>
      </w:r>
      <w:r>
        <w:rPr>
          <w:color w:val="231F20"/>
          <w:spacing w:val="-4"/>
          <w:w w:val="105"/>
        </w:rPr>
        <w:t>70’s,</w:t>
      </w:r>
      <w:r>
        <w:rPr>
          <w:color w:val="231F20"/>
          <w:spacing w:val="-15"/>
          <w:w w:val="105"/>
        </w:rPr>
        <w:t> </w:t>
      </w:r>
      <w:r>
        <w:rPr>
          <w:color w:val="231F20"/>
          <w:w w:val="105"/>
        </w:rPr>
        <w:t>ya</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estos</w:t>
      </w:r>
      <w:r>
        <w:rPr>
          <w:color w:val="231F20"/>
          <w:spacing w:val="-15"/>
          <w:w w:val="105"/>
        </w:rPr>
        <w:t> </w:t>
      </w:r>
      <w:r>
        <w:rPr>
          <w:color w:val="231F20"/>
          <w:w w:val="105"/>
        </w:rPr>
        <w:t>20</w:t>
      </w:r>
      <w:r>
        <w:rPr>
          <w:color w:val="231F20"/>
          <w:spacing w:val="-15"/>
          <w:w w:val="105"/>
        </w:rPr>
        <w:t> </w:t>
      </w:r>
      <w:r>
        <w:rPr>
          <w:color w:val="231F20"/>
          <w:w w:val="105"/>
        </w:rPr>
        <w:t>años su</w:t>
      </w:r>
      <w:r>
        <w:rPr>
          <w:color w:val="231F20"/>
          <w:spacing w:val="-26"/>
          <w:w w:val="105"/>
        </w:rPr>
        <w:t> </w:t>
      </w:r>
      <w:r>
        <w:rPr>
          <w:color w:val="231F20"/>
          <w:w w:val="105"/>
        </w:rPr>
        <w:t>población</w:t>
      </w:r>
      <w:r>
        <w:rPr>
          <w:color w:val="231F20"/>
          <w:spacing w:val="-26"/>
          <w:w w:val="105"/>
        </w:rPr>
        <w:t> </w:t>
      </w:r>
      <w:r>
        <w:rPr>
          <w:color w:val="231F20"/>
          <w:w w:val="105"/>
        </w:rPr>
        <w:t>creció</w:t>
      </w:r>
      <w:r>
        <w:rPr>
          <w:color w:val="231F20"/>
          <w:spacing w:val="-26"/>
          <w:w w:val="105"/>
        </w:rPr>
        <w:t> </w:t>
      </w:r>
      <w:r>
        <w:rPr>
          <w:color w:val="231F20"/>
          <w:w w:val="105"/>
        </w:rPr>
        <w:t>exponencialmente</w:t>
      </w:r>
      <w:r>
        <w:rPr>
          <w:color w:val="231F20"/>
          <w:spacing w:val="-26"/>
          <w:w w:val="105"/>
        </w:rPr>
        <w:t> </w:t>
      </w:r>
      <w:r>
        <w:rPr>
          <w:color w:val="231F20"/>
          <w:spacing w:val="2"/>
          <w:w w:val="105"/>
        </w:rPr>
        <w:t>al</w:t>
      </w:r>
      <w:r>
        <w:rPr>
          <w:color w:val="231F20"/>
          <w:spacing w:val="-26"/>
          <w:w w:val="105"/>
        </w:rPr>
        <w:t> </w:t>
      </w:r>
      <w:r>
        <w:rPr>
          <w:color w:val="231F20"/>
          <w:w w:val="105"/>
        </w:rPr>
        <w:t>pasar</w:t>
      </w:r>
      <w:r>
        <w:rPr>
          <w:color w:val="231F20"/>
          <w:spacing w:val="-26"/>
          <w:w w:val="105"/>
        </w:rPr>
        <w:t> </w:t>
      </w:r>
      <w:r>
        <w:rPr>
          <w:color w:val="231F20"/>
          <w:w w:val="105"/>
        </w:rPr>
        <w:t>de</w:t>
      </w:r>
      <w:r>
        <w:rPr>
          <w:color w:val="231F20"/>
          <w:spacing w:val="-26"/>
          <w:w w:val="105"/>
        </w:rPr>
        <w:t> </w:t>
      </w:r>
      <w:r>
        <w:rPr>
          <w:color w:val="231F20"/>
          <w:spacing w:val="2"/>
          <w:w w:val="105"/>
        </w:rPr>
        <w:t>62,000</w:t>
      </w:r>
      <w:r>
        <w:rPr>
          <w:color w:val="231F20"/>
          <w:spacing w:val="-26"/>
          <w:w w:val="105"/>
        </w:rPr>
        <w:t> </w:t>
      </w:r>
      <w:r>
        <w:rPr>
          <w:color w:val="231F20"/>
          <w:w w:val="105"/>
        </w:rPr>
        <w:t>habitantes</w:t>
      </w:r>
      <w:r>
        <w:rPr>
          <w:color w:val="231F20"/>
          <w:spacing w:val="-26"/>
          <w:w w:val="105"/>
        </w:rPr>
        <w:t> </w:t>
      </w:r>
      <w:r>
        <w:rPr>
          <w:color w:val="231F20"/>
          <w:w w:val="105"/>
        </w:rPr>
        <w:t>en</w:t>
      </w:r>
      <w:r>
        <w:rPr>
          <w:color w:val="231F20"/>
          <w:spacing w:val="-26"/>
          <w:w w:val="105"/>
        </w:rPr>
        <w:t> </w:t>
      </w:r>
      <w:r>
        <w:rPr>
          <w:color w:val="231F20"/>
          <w:w w:val="105"/>
        </w:rPr>
        <w:t>1960</w:t>
      </w:r>
      <w:r>
        <w:rPr>
          <w:color w:val="231F20"/>
          <w:spacing w:val="-26"/>
          <w:w w:val="105"/>
        </w:rPr>
        <w:t> </w:t>
      </w:r>
      <w:r>
        <w:rPr>
          <w:color w:val="231F20"/>
          <w:w w:val="105"/>
        </w:rPr>
        <w:t>a</w:t>
      </w:r>
      <w:r>
        <w:rPr>
          <w:color w:val="231F20"/>
          <w:spacing w:val="-26"/>
          <w:w w:val="105"/>
        </w:rPr>
        <w:t> </w:t>
      </w:r>
      <w:r>
        <w:rPr>
          <w:color w:val="231F20"/>
          <w:spacing w:val="-3"/>
          <w:w w:val="105"/>
        </w:rPr>
        <w:t>1’393,797 </w:t>
      </w:r>
      <w:r>
        <w:rPr>
          <w:color w:val="231F20"/>
          <w:w w:val="105"/>
        </w:rPr>
        <w:t>habitantes en</w:t>
      </w:r>
      <w:r>
        <w:rPr>
          <w:color w:val="231F20"/>
          <w:spacing w:val="-31"/>
          <w:w w:val="105"/>
        </w:rPr>
        <w:t> </w:t>
      </w:r>
      <w:r>
        <w:rPr>
          <w:color w:val="231F20"/>
          <w:w w:val="105"/>
        </w:rPr>
        <w:t>1980.</w:t>
      </w:r>
    </w:p>
    <w:p>
      <w:pPr>
        <w:pStyle w:val="BodyText"/>
        <w:spacing w:before="1"/>
        <w:rPr>
          <w:sz w:val="26"/>
        </w:rPr>
      </w:pPr>
    </w:p>
    <w:p>
      <w:pPr>
        <w:pStyle w:val="BodyText"/>
        <w:spacing w:line="285" w:lineRule="auto"/>
        <w:ind w:left="110" w:right="107"/>
        <w:jc w:val="both"/>
      </w:pPr>
      <w:r>
        <w:rPr>
          <w:color w:val="231F20"/>
          <w:w w:val="105"/>
        </w:rPr>
        <w:t>No</w:t>
      </w:r>
      <w:r>
        <w:rPr>
          <w:color w:val="231F20"/>
          <w:spacing w:val="-3"/>
          <w:w w:val="105"/>
        </w:rPr>
        <w:t> </w:t>
      </w:r>
      <w:r>
        <w:rPr>
          <w:color w:val="231F20"/>
          <w:w w:val="105"/>
        </w:rPr>
        <w:t>obstante,</w:t>
      </w:r>
      <w:r>
        <w:rPr>
          <w:color w:val="231F20"/>
          <w:spacing w:val="-3"/>
          <w:w w:val="105"/>
        </w:rPr>
        <w:t> </w:t>
      </w:r>
      <w:r>
        <w:rPr>
          <w:color w:val="231F20"/>
          <w:w w:val="105"/>
        </w:rPr>
        <w:t>a</w:t>
      </w:r>
      <w:r>
        <w:rPr>
          <w:color w:val="231F20"/>
          <w:spacing w:val="-3"/>
          <w:w w:val="105"/>
        </w:rPr>
        <w:t> </w:t>
      </w:r>
      <w:r>
        <w:rPr>
          <w:color w:val="231F20"/>
          <w:spacing w:val="2"/>
          <w:w w:val="105"/>
        </w:rPr>
        <w:t>partir</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década</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80’s</w:t>
      </w:r>
      <w:r>
        <w:rPr>
          <w:color w:val="231F20"/>
          <w:spacing w:val="-3"/>
          <w:w w:val="105"/>
        </w:rPr>
        <w:t> </w:t>
      </w:r>
      <w:r>
        <w:rPr>
          <w:color w:val="231F20"/>
          <w:w w:val="105"/>
        </w:rPr>
        <w:t>comienza</w:t>
      </w:r>
      <w:r>
        <w:rPr>
          <w:color w:val="231F20"/>
          <w:spacing w:val="-3"/>
          <w:w w:val="105"/>
        </w:rPr>
        <w:t> </w:t>
      </w:r>
      <w:r>
        <w:rPr>
          <w:color w:val="231F20"/>
          <w:w w:val="105"/>
        </w:rPr>
        <w:t>a</w:t>
      </w:r>
      <w:r>
        <w:rPr>
          <w:color w:val="231F20"/>
          <w:spacing w:val="-3"/>
          <w:w w:val="105"/>
        </w:rPr>
        <w:t> </w:t>
      </w:r>
      <w:r>
        <w:rPr>
          <w:color w:val="231F20"/>
          <w:w w:val="105"/>
        </w:rPr>
        <w:t>presentarse</w:t>
      </w:r>
      <w:r>
        <w:rPr>
          <w:color w:val="231F20"/>
          <w:spacing w:val="-3"/>
          <w:w w:val="105"/>
        </w:rPr>
        <w:t> </w:t>
      </w:r>
      <w:r>
        <w:rPr>
          <w:color w:val="231F20"/>
          <w:w w:val="105"/>
        </w:rPr>
        <w:t>una</w:t>
      </w:r>
      <w:r>
        <w:rPr>
          <w:color w:val="231F20"/>
          <w:spacing w:val="-3"/>
          <w:w w:val="105"/>
        </w:rPr>
        <w:t> </w:t>
      </w:r>
      <w:r>
        <w:rPr>
          <w:color w:val="231F20"/>
          <w:w w:val="105"/>
        </w:rPr>
        <w:t>disminución de</w:t>
      </w:r>
      <w:r>
        <w:rPr>
          <w:color w:val="231F20"/>
          <w:spacing w:val="-8"/>
          <w:w w:val="105"/>
        </w:rPr>
        <w:t> </w:t>
      </w:r>
      <w:r>
        <w:rPr>
          <w:color w:val="231F20"/>
          <w:w w:val="105"/>
        </w:rPr>
        <w:t>población,</w:t>
      </w:r>
      <w:r>
        <w:rPr>
          <w:color w:val="231F20"/>
          <w:spacing w:val="-8"/>
          <w:w w:val="105"/>
        </w:rPr>
        <w:t> </w:t>
      </w:r>
      <w:r>
        <w:rPr>
          <w:color w:val="231F20"/>
          <w:w w:val="105"/>
        </w:rPr>
        <w:t>como</w:t>
      </w:r>
      <w:r>
        <w:rPr>
          <w:color w:val="231F20"/>
          <w:spacing w:val="-8"/>
          <w:w w:val="105"/>
        </w:rPr>
        <w:t> </w:t>
      </w:r>
      <w:r>
        <w:rPr>
          <w:color w:val="231F20"/>
          <w:w w:val="105"/>
        </w:rPr>
        <w:t>resultado</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proceso</w:t>
      </w:r>
      <w:r>
        <w:rPr>
          <w:color w:val="231F20"/>
          <w:spacing w:val="-8"/>
          <w:w w:val="105"/>
        </w:rPr>
        <w:t> </w:t>
      </w:r>
      <w:r>
        <w:rPr>
          <w:color w:val="231F20"/>
          <w:w w:val="105"/>
        </w:rPr>
        <w:t>de</w:t>
      </w:r>
      <w:r>
        <w:rPr>
          <w:color w:val="231F20"/>
          <w:spacing w:val="-8"/>
          <w:w w:val="105"/>
        </w:rPr>
        <w:t> </w:t>
      </w:r>
      <w:r>
        <w:rPr>
          <w:color w:val="231F20"/>
          <w:w w:val="105"/>
        </w:rPr>
        <w:t>suburbanización,</w:t>
      </w:r>
      <w:r>
        <w:rPr>
          <w:color w:val="231F20"/>
          <w:spacing w:val="-8"/>
          <w:w w:val="105"/>
        </w:rPr>
        <w:t> </w:t>
      </w:r>
      <w:r>
        <w:rPr>
          <w:color w:val="231F20"/>
          <w:w w:val="105"/>
        </w:rPr>
        <w:t>es</w:t>
      </w:r>
      <w:r>
        <w:rPr>
          <w:color w:val="231F20"/>
          <w:spacing w:val="-8"/>
          <w:w w:val="105"/>
        </w:rPr>
        <w:t> </w:t>
      </w:r>
      <w:r>
        <w:rPr>
          <w:color w:val="231F20"/>
          <w:w w:val="105"/>
        </w:rPr>
        <w:t>decir,</w:t>
      </w:r>
      <w:r>
        <w:rPr>
          <w:color w:val="231F20"/>
          <w:spacing w:val="-8"/>
          <w:w w:val="105"/>
        </w:rPr>
        <w:t> </w:t>
      </w:r>
      <w:r>
        <w:rPr>
          <w:color w:val="231F20"/>
          <w:w w:val="105"/>
        </w:rPr>
        <w:t>de</w:t>
      </w:r>
      <w:r>
        <w:rPr>
          <w:color w:val="231F20"/>
          <w:spacing w:val="-8"/>
          <w:w w:val="105"/>
        </w:rPr>
        <w:t> </w:t>
      </w:r>
      <w:r>
        <w:rPr>
          <w:color w:val="231F20"/>
          <w:w w:val="105"/>
        </w:rPr>
        <w:t>desplaza- miento</w:t>
      </w:r>
      <w:r>
        <w:rPr>
          <w:color w:val="231F20"/>
          <w:spacing w:val="-19"/>
          <w:w w:val="105"/>
        </w:rPr>
        <w:t> </w:t>
      </w:r>
      <w:r>
        <w:rPr>
          <w:color w:val="231F20"/>
          <w:w w:val="105"/>
        </w:rPr>
        <w:t>de</w:t>
      </w:r>
      <w:r>
        <w:rPr>
          <w:color w:val="231F20"/>
          <w:spacing w:val="-19"/>
          <w:w w:val="105"/>
        </w:rPr>
        <w:t> </w:t>
      </w:r>
      <w:r>
        <w:rPr>
          <w:color w:val="231F20"/>
          <w:w w:val="105"/>
        </w:rPr>
        <w:t>población</w:t>
      </w:r>
      <w:r>
        <w:rPr>
          <w:color w:val="231F20"/>
          <w:spacing w:val="-19"/>
          <w:w w:val="105"/>
        </w:rPr>
        <w:t> </w:t>
      </w:r>
      <w:r>
        <w:rPr>
          <w:color w:val="231F20"/>
          <w:w w:val="105"/>
        </w:rPr>
        <w:t>que</w:t>
      </w:r>
      <w:r>
        <w:rPr>
          <w:color w:val="231F20"/>
          <w:spacing w:val="-19"/>
          <w:w w:val="105"/>
        </w:rPr>
        <w:t> </w:t>
      </w:r>
      <w:r>
        <w:rPr>
          <w:color w:val="231F20"/>
          <w:w w:val="105"/>
        </w:rPr>
        <w:t>habitaba</w:t>
      </w:r>
      <w:r>
        <w:rPr>
          <w:color w:val="231F20"/>
          <w:spacing w:val="-19"/>
          <w:w w:val="105"/>
        </w:rPr>
        <w:t> </w:t>
      </w:r>
      <w:r>
        <w:rPr>
          <w:color w:val="231F20"/>
          <w:w w:val="105"/>
        </w:rPr>
        <w:t>en</w:t>
      </w:r>
      <w:r>
        <w:rPr>
          <w:color w:val="231F20"/>
          <w:spacing w:val="-19"/>
          <w:w w:val="105"/>
        </w:rPr>
        <w:t> </w:t>
      </w:r>
      <w:r>
        <w:rPr>
          <w:color w:val="231F20"/>
          <w:w w:val="105"/>
        </w:rPr>
        <w:t>Nezahualcóyotl</w:t>
      </w:r>
      <w:r>
        <w:rPr>
          <w:color w:val="231F20"/>
          <w:spacing w:val="-19"/>
          <w:w w:val="105"/>
        </w:rPr>
        <w:t> </w:t>
      </w:r>
      <w:r>
        <w:rPr>
          <w:color w:val="231F20"/>
          <w:w w:val="105"/>
        </w:rPr>
        <w:t>hacia</w:t>
      </w:r>
      <w:r>
        <w:rPr>
          <w:color w:val="231F20"/>
          <w:spacing w:val="-19"/>
          <w:w w:val="105"/>
        </w:rPr>
        <w:t> </w:t>
      </w:r>
      <w:r>
        <w:rPr>
          <w:color w:val="231F20"/>
          <w:w w:val="105"/>
        </w:rPr>
        <w:t>zonas</w:t>
      </w:r>
      <w:r>
        <w:rPr>
          <w:color w:val="231F20"/>
          <w:spacing w:val="-19"/>
          <w:w w:val="105"/>
        </w:rPr>
        <w:t> </w:t>
      </w:r>
      <w:r>
        <w:rPr>
          <w:color w:val="231F20"/>
          <w:w w:val="105"/>
        </w:rPr>
        <w:t>concéntricas</w:t>
      </w:r>
      <w:r>
        <w:rPr>
          <w:color w:val="231F20"/>
          <w:spacing w:val="-19"/>
          <w:w w:val="105"/>
        </w:rPr>
        <w:t> </w:t>
      </w:r>
      <w:r>
        <w:rPr>
          <w:color w:val="231F20"/>
          <w:w w:val="105"/>
        </w:rPr>
        <w:t>cercanas </w:t>
      </w:r>
      <w:r>
        <w:rPr>
          <w:color w:val="231F20"/>
          <w:spacing w:val="2"/>
          <w:w w:val="105"/>
        </w:rPr>
        <w:t>al</w:t>
      </w:r>
      <w:r>
        <w:rPr>
          <w:color w:val="231F20"/>
          <w:spacing w:val="-22"/>
          <w:w w:val="105"/>
        </w:rPr>
        <w:t> </w:t>
      </w:r>
      <w:r>
        <w:rPr>
          <w:color w:val="231F20"/>
          <w:spacing w:val="-3"/>
          <w:w w:val="105"/>
        </w:rPr>
        <w:t>propio</w:t>
      </w:r>
      <w:r>
        <w:rPr>
          <w:color w:val="231F20"/>
          <w:spacing w:val="-22"/>
          <w:w w:val="105"/>
        </w:rPr>
        <w:t> </w:t>
      </w:r>
      <w:r>
        <w:rPr>
          <w:color w:val="231F20"/>
          <w:w w:val="105"/>
        </w:rPr>
        <w:t>municipio,</w:t>
      </w:r>
      <w:r>
        <w:rPr>
          <w:color w:val="231F20"/>
          <w:spacing w:val="-22"/>
          <w:w w:val="105"/>
        </w:rPr>
        <w:t> </w:t>
      </w:r>
      <w:r>
        <w:rPr>
          <w:color w:val="231F20"/>
          <w:spacing w:val="2"/>
          <w:w w:val="105"/>
        </w:rPr>
        <w:t>tal</w:t>
      </w:r>
      <w:r>
        <w:rPr>
          <w:color w:val="231F20"/>
          <w:spacing w:val="-22"/>
          <w:w w:val="105"/>
        </w:rPr>
        <w:t> </w:t>
      </w:r>
      <w:r>
        <w:rPr>
          <w:color w:val="231F20"/>
          <w:w w:val="105"/>
        </w:rPr>
        <w:t>es</w:t>
      </w:r>
      <w:r>
        <w:rPr>
          <w:color w:val="231F20"/>
          <w:spacing w:val="-22"/>
          <w:w w:val="105"/>
        </w:rPr>
        <w:t> </w:t>
      </w:r>
      <w:r>
        <w:rPr>
          <w:color w:val="231F20"/>
          <w:w w:val="105"/>
        </w:rPr>
        <w:t>el</w:t>
      </w:r>
      <w:r>
        <w:rPr>
          <w:color w:val="231F20"/>
          <w:spacing w:val="-22"/>
          <w:w w:val="105"/>
        </w:rPr>
        <w:t> </w:t>
      </w:r>
      <w:r>
        <w:rPr>
          <w:color w:val="231F20"/>
          <w:w w:val="105"/>
        </w:rPr>
        <w:t>caso</w:t>
      </w:r>
      <w:r>
        <w:rPr>
          <w:color w:val="231F20"/>
          <w:spacing w:val="-22"/>
          <w:w w:val="105"/>
        </w:rPr>
        <w:t> </w:t>
      </w:r>
      <w:r>
        <w:rPr>
          <w:color w:val="231F20"/>
          <w:w w:val="105"/>
        </w:rPr>
        <w:t>de</w:t>
      </w:r>
      <w:r>
        <w:rPr>
          <w:color w:val="231F20"/>
          <w:spacing w:val="-22"/>
          <w:w w:val="105"/>
        </w:rPr>
        <w:t> </w:t>
      </w:r>
      <w:r>
        <w:rPr>
          <w:color w:val="231F20"/>
          <w:w w:val="105"/>
        </w:rPr>
        <w:t>municipios</w:t>
      </w:r>
      <w:r>
        <w:rPr>
          <w:color w:val="231F20"/>
          <w:spacing w:val="-22"/>
          <w:w w:val="105"/>
        </w:rPr>
        <w:t> </w:t>
      </w:r>
      <w:r>
        <w:rPr>
          <w:color w:val="231F20"/>
          <w:w w:val="105"/>
        </w:rPr>
        <w:t>como</w:t>
      </w:r>
      <w:r>
        <w:rPr>
          <w:color w:val="231F20"/>
          <w:spacing w:val="-22"/>
          <w:w w:val="105"/>
        </w:rPr>
        <w:t> </w:t>
      </w:r>
      <w:r>
        <w:rPr>
          <w:color w:val="231F20"/>
          <w:w w:val="105"/>
        </w:rPr>
        <w:t>La</w:t>
      </w:r>
      <w:r>
        <w:rPr>
          <w:color w:val="231F20"/>
          <w:spacing w:val="-22"/>
          <w:w w:val="105"/>
        </w:rPr>
        <w:t> </w:t>
      </w:r>
      <w:r>
        <w:rPr>
          <w:color w:val="231F20"/>
          <w:w w:val="105"/>
        </w:rPr>
        <w:t>Paz,</w:t>
      </w:r>
      <w:r>
        <w:rPr>
          <w:color w:val="231F20"/>
          <w:spacing w:val="-22"/>
          <w:w w:val="105"/>
        </w:rPr>
        <w:t> </w:t>
      </w:r>
      <w:r>
        <w:rPr>
          <w:color w:val="231F20"/>
          <w:w w:val="105"/>
        </w:rPr>
        <w:t>Ecatepec,</w:t>
      </w:r>
      <w:r>
        <w:rPr>
          <w:color w:val="231F20"/>
          <w:spacing w:val="-22"/>
          <w:w w:val="105"/>
        </w:rPr>
        <w:t> </w:t>
      </w:r>
      <w:r>
        <w:rPr>
          <w:color w:val="231F20"/>
          <w:w w:val="105"/>
        </w:rPr>
        <w:t>Chimalhuacán, Chalco</w:t>
      </w:r>
      <w:r>
        <w:rPr>
          <w:color w:val="231F20"/>
          <w:spacing w:val="-10"/>
          <w:w w:val="105"/>
        </w:rPr>
        <w:t> </w:t>
      </w:r>
      <w:r>
        <w:rPr>
          <w:color w:val="231F20"/>
          <w:w w:val="105"/>
        </w:rPr>
        <w:t>e</w:t>
      </w:r>
      <w:r>
        <w:rPr>
          <w:color w:val="231F20"/>
          <w:spacing w:val="-10"/>
          <w:w w:val="105"/>
        </w:rPr>
        <w:t> </w:t>
      </w:r>
      <w:r>
        <w:rPr>
          <w:color w:val="231F20"/>
          <w:w w:val="105"/>
        </w:rPr>
        <w:t>Ixtapaluca.</w:t>
      </w:r>
      <w:r>
        <w:rPr>
          <w:color w:val="231F20"/>
          <w:spacing w:val="-10"/>
          <w:w w:val="105"/>
        </w:rPr>
        <w:t> </w:t>
      </w:r>
      <w:r>
        <w:rPr>
          <w:color w:val="231F20"/>
          <w:w w:val="105"/>
        </w:rPr>
        <w:t>Cabe</w:t>
      </w:r>
      <w:r>
        <w:rPr>
          <w:color w:val="231F20"/>
          <w:spacing w:val="-10"/>
          <w:w w:val="105"/>
        </w:rPr>
        <w:t> </w:t>
      </w:r>
      <w:r>
        <w:rPr>
          <w:color w:val="231F20"/>
          <w:w w:val="105"/>
        </w:rPr>
        <w:t>mencionar</w:t>
      </w:r>
      <w:r>
        <w:rPr>
          <w:color w:val="231F20"/>
          <w:spacing w:val="-10"/>
          <w:w w:val="105"/>
        </w:rPr>
        <w:t> </w:t>
      </w:r>
      <w:r>
        <w:rPr>
          <w:color w:val="231F20"/>
          <w:w w:val="105"/>
        </w:rPr>
        <w:t>que</w:t>
      </w:r>
      <w:r>
        <w:rPr>
          <w:color w:val="231F20"/>
          <w:spacing w:val="-10"/>
          <w:w w:val="105"/>
        </w:rPr>
        <w:t> </w:t>
      </w:r>
      <w:r>
        <w:rPr>
          <w:color w:val="231F20"/>
          <w:w w:val="105"/>
        </w:rPr>
        <w:t>este</w:t>
      </w:r>
      <w:r>
        <w:rPr>
          <w:color w:val="231F20"/>
          <w:spacing w:val="-10"/>
          <w:w w:val="105"/>
        </w:rPr>
        <w:t> </w:t>
      </w:r>
      <w:r>
        <w:rPr>
          <w:color w:val="231F20"/>
          <w:w w:val="105"/>
        </w:rPr>
        <w:t>proceso</w:t>
      </w:r>
      <w:r>
        <w:rPr>
          <w:color w:val="231F20"/>
          <w:spacing w:val="-10"/>
          <w:w w:val="105"/>
        </w:rPr>
        <w:t> </w:t>
      </w:r>
      <w:r>
        <w:rPr>
          <w:color w:val="231F20"/>
          <w:w w:val="105"/>
        </w:rPr>
        <w:t>de</w:t>
      </w:r>
      <w:r>
        <w:rPr>
          <w:color w:val="231F20"/>
          <w:spacing w:val="-10"/>
          <w:w w:val="105"/>
        </w:rPr>
        <w:t> </w:t>
      </w:r>
      <w:r>
        <w:rPr>
          <w:color w:val="231F20"/>
          <w:w w:val="105"/>
        </w:rPr>
        <w:t>suburbanización</w:t>
      </w:r>
      <w:r>
        <w:rPr>
          <w:color w:val="231F20"/>
          <w:spacing w:val="-10"/>
          <w:w w:val="105"/>
        </w:rPr>
        <w:t> </w:t>
      </w:r>
      <w:r>
        <w:rPr>
          <w:color w:val="231F20"/>
          <w:w w:val="105"/>
        </w:rPr>
        <w:t>del</w:t>
      </w:r>
      <w:r>
        <w:rPr>
          <w:color w:val="231F20"/>
          <w:spacing w:val="-10"/>
          <w:w w:val="105"/>
        </w:rPr>
        <w:t> </w:t>
      </w:r>
      <w:r>
        <w:rPr>
          <w:color w:val="231F20"/>
          <w:w w:val="105"/>
        </w:rPr>
        <w:t>munici- pio</w:t>
      </w:r>
      <w:r>
        <w:rPr>
          <w:color w:val="231F20"/>
          <w:spacing w:val="-22"/>
          <w:w w:val="105"/>
        </w:rPr>
        <w:t> </w:t>
      </w:r>
      <w:r>
        <w:rPr>
          <w:color w:val="231F20"/>
          <w:w w:val="105"/>
        </w:rPr>
        <w:t>de</w:t>
      </w:r>
      <w:r>
        <w:rPr>
          <w:color w:val="231F20"/>
          <w:spacing w:val="-22"/>
          <w:w w:val="105"/>
        </w:rPr>
        <w:t> </w:t>
      </w:r>
      <w:r>
        <w:rPr>
          <w:color w:val="231F20"/>
          <w:w w:val="105"/>
        </w:rPr>
        <w:t>Nezahualcoyotl</w:t>
      </w:r>
      <w:r>
        <w:rPr>
          <w:color w:val="231F20"/>
          <w:spacing w:val="-22"/>
          <w:w w:val="105"/>
        </w:rPr>
        <w:t> </w:t>
      </w:r>
      <w:r>
        <w:rPr>
          <w:color w:val="231F20"/>
          <w:w w:val="105"/>
        </w:rPr>
        <w:t>e</w:t>
      </w:r>
      <w:r>
        <w:rPr>
          <w:color w:val="231F20"/>
          <w:spacing w:val="-22"/>
          <w:w w:val="105"/>
        </w:rPr>
        <w:t> </w:t>
      </w:r>
      <w:r>
        <w:rPr>
          <w:color w:val="231F20"/>
          <w:w w:val="105"/>
        </w:rPr>
        <w:t>inclusive</w:t>
      </w:r>
      <w:r>
        <w:rPr>
          <w:color w:val="231F20"/>
          <w:spacing w:val="-22"/>
          <w:w w:val="105"/>
        </w:rPr>
        <w:t> </w:t>
      </w:r>
      <w:r>
        <w:rPr>
          <w:color w:val="231F20"/>
          <w:w w:val="105"/>
        </w:rPr>
        <w:t>de</w:t>
      </w:r>
      <w:r>
        <w:rPr>
          <w:color w:val="231F20"/>
          <w:spacing w:val="-22"/>
          <w:w w:val="105"/>
        </w:rPr>
        <w:t> </w:t>
      </w:r>
      <w:r>
        <w:rPr>
          <w:color w:val="231F20"/>
          <w:w w:val="105"/>
        </w:rPr>
        <w:t>desurbanización</w:t>
      </w:r>
      <w:r>
        <w:rPr>
          <w:color w:val="231F20"/>
          <w:spacing w:val="-22"/>
          <w:w w:val="105"/>
        </w:rPr>
        <w:t> </w:t>
      </w:r>
      <w:r>
        <w:rPr>
          <w:color w:val="231F20"/>
          <w:w w:val="105"/>
        </w:rPr>
        <w:t>del</w:t>
      </w:r>
      <w:r>
        <w:rPr>
          <w:color w:val="231F20"/>
          <w:spacing w:val="-22"/>
          <w:w w:val="105"/>
        </w:rPr>
        <w:t> </w:t>
      </w:r>
      <w:r>
        <w:rPr>
          <w:color w:val="231F20"/>
          <w:w w:val="105"/>
        </w:rPr>
        <w:t>centro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Ciudad</w:t>
      </w:r>
      <w:r>
        <w:rPr>
          <w:color w:val="231F20"/>
          <w:spacing w:val="-22"/>
          <w:w w:val="105"/>
        </w:rPr>
        <w:t> </w:t>
      </w:r>
      <w:r>
        <w:rPr>
          <w:color w:val="231F20"/>
          <w:w w:val="105"/>
        </w:rPr>
        <w:t>de</w:t>
      </w:r>
      <w:r>
        <w:rPr>
          <w:color w:val="231F20"/>
          <w:spacing w:val="-22"/>
          <w:w w:val="105"/>
        </w:rPr>
        <w:t> </w:t>
      </w:r>
      <w:r>
        <w:rPr>
          <w:color w:val="231F20"/>
          <w:w w:val="105"/>
        </w:rPr>
        <w:t>México a</w:t>
      </w:r>
      <w:r>
        <w:rPr>
          <w:color w:val="231F20"/>
          <w:spacing w:val="-19"/>
          <w:w w:val="105"/>
        </w:rPr>
        <w:t> </w:t>
      </w:r>
      <w:r>
        <w:rPr>
          <w:color w:val="231F20"/>
          <w:spacing w:val="2"/>
          <w:w w:val="105"/>
        </w:rPr>
        <w:t>partir</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80’s,</w:t>
      </w:r>
      <w:r>
        <w:rPr>
          <w:color w:val="231F20"/>
          <w:spacing w:val="-19"/>
          <w:w w:val="105"/>
        </w:rPr>
        <w:t> </w:t>
      </w:r>
      <w:r>
        <w:rPr>
          <w:color w:val="231F20"/>
          <w:w w:val="105"/>
        </w:rPr>
        <w:t>es</w:t>
      </w:r>
      <w:r>
        <w:rPr>
          <w:color w:val="231F20"/>
          <w:spacing w:val="-19"/>
          <w:w w:val="105"/>
        </w:rPr>
        <w:t> </w:t>
      </w:r>
      <w:r>
        <w:rPr>
          <w:color w:val="231F20"/>
          <w:w w:val="105"/>
        </w:rPr>
        <w:t>resultado</w:t>
      </w:r>
      <w:r>
        <w:rPr>
          <w:color w:val="231F20"/>
          <w:spacing w:val="-19"/>
          <w:w w:val="105"/>
        </w:rPr>
        <w:t> </w:t>
      </w:r>
      <w:r>
        <w:rPr>
          <w:color w:val="231F20"/>
          <w:w w:val="105"/>
        </w:rPr>
        <w:t>del</w:t>
      </w:r>
      <w:r>
        <w:rPr>
          <w:color w:val="231F20"/>
          <w:spacing w:val="-19"/>
          <w:w w:val="105"/>
        </w:rPr>
        <w:t> </w:t>
      </w:r>
      <w:r>
        <w:rPr>
          <w:color w:val="231F20"/>
          <w:w w:val="105"/>
        </w:rPr>
        <w:t>encarecimiento</w:t>
      </w:r>
      <w:r>
        <w:rPr>
          <w:color w:val="231F20"/>
          <w:spacing w:val="-19"/>
          <w:w w:val="105"/>
        </w:rPr>
        <w:t> </w:t>
      </w:r>
      <w:r>
        <w:rPr>
          <w:color w:val="231F20"/>
          <w:w w:val="105"/>
        </w:rPr>
        <w:t>del</w:t>
      </w:r>
      <w:r>
        <w:rPr>
          <w:color w:val="231F20"/>
          <w:spacing w:val="-19"/>
          <w:w w:val="105"/>
        </w:rPr>
        <w:t> </w:t>
      </w:r>
      <w:r>
        <w:rPr>
          <w:color w:val="231F20"/>
          <w:w w:val="105"/>
        </w:rPr>
        <w:t>uso</w:t>
      </w:r>
      <w:r>
        <w:rPr>
          <w:color w:val="231F20"/>
          <w:spacing w:val="-19"/>
          <w:w w:val="105"/>
        </w:rPr>
        <w:t> </w:t>
      </w:r>
      <w:r>
        <w:rPr>
          <w:color w:val="231F20"/>
          <w:w w:val="105"/>
        </w:rPr>
        <w:t>del</w:t>
      </w:r>
      <w:r>
        <w:rPr>
          <w:color w:val="231F20"/>
          <w:spacing w:val="-19"/>
          <w:w w:val="105"/>
        </w:rPr>
        <w:t> </w:t>
      </w:r>
      <w:r>
        <w:rPr>
          <w:color w:val="231F20"/>
          <w:w w:val="105"/>
        </w:rPr>
        <w:t>suelo</w:t>
      </w:r>
      <w:r>
        <w:rPr>
          <w:color w:val="231F20"/>
          <w:spacing w:val="-19"/>
          <w:w w:val="105"/>
        </w:rPr>
        <w:t> </w:t>
      </w:r>
      <w:r>
        <w:rPr>
          <w:color w:val="231F20"/>
          <w:w w:val="105"/>
        </w:rPr>
        <w:t>habitacional,</w:t>
      </w:r>
      <w:r>
        <w:rPr>
          <w:color w:val="231F20"/>
          <w:spacing w:val="-19"/>
          <w:w w:val="105"/>
        </w:rPr>
        <w:t> </w:t>
      </w:r>
      <w:r>
        <w:rPr>
          <w:color w:val="231F20"/>
          <w:w w:val="105"/>
        </w:rPr>
        <w:t>como consecuencia</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proceso</w:t>
      </w:r>
      <w:r>
        <w:rPr>
          <w:color w:val="231F20"/>
          <w:spacing w:val="-13"/>
          <w:w w:val="105"/>
        </w:rPr>
        <w:t> </w:t>
      </w:r>
      <w:r>
        <w:rPr>
          <w:color w:val="231F20"/>
          <w:w w:val="105"/>
        </w:rPr>
        <w:t>de</w:t>
      </w:r>
      <w:r>
        <w:rPr>
          <w:color w:val="231F20"/>
          <w:spacing w:val="-13"/>
          <w:w w:val="105"/>
        </w:rPr>
        <w:t> </w:t>
      </w:r>
      <w:r>
        <w:rPr>
          <w:color w:val="231F20"/>
          <w:w w:val="105"/>
        </w:rPr>
        <w:t>mejoramiento</w:t>
      </w:r>
      <w:r>
        <w:rPr>
          <w:color w:val="231F20"/>
          <w:spacing w:val="-13"/>
          <w:w w:val="105"/>
        </w:rPr>
        <w:t> </w:t>
      </w:r>
      <w:r>
        <w:rPr>
          <w:color w:val="231F20"/>
          <w:w w:val="105"/>
        </w:rPr>
        <w:t>y</w:t>
      </w:r>
      <w:r>
        <w:rPr>
          <w:color w:val="231F20"/>
          <w:spacing w:val="-13"/>
          <w:w w:val="105"/>
        </w:rPr>
        <w:t> </w:t>
      </w:r>
      <w:r>
        <w:rPr>
          <w:color w:val="231F20"/>
          <w:w w:val="105"/>
        </w:rPr>
        <w:t>consolidación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servicios</w:t>
      </w:r>
      <w:r>
        <w:rPr>
          <w:color w:val="231F20"/>
          <w:spacing w:val="-13"/>
          <w:w w:val="105"/>
        </w:rPr>
        <w:t> </w:t>
      </w:r>
      <w:r>
        <w:rPr>
          <w:color w:val="231F20"/>
          <w:w w:val="105"/>
        </w:rPr>
        <w:t>urbanos; además de que ante el crecimiento poblacional la demanda de vivienda más barata se extiende</w:t>
      </w:r>
      <w:r>
        <w:rPr>
          <w:color w:val="231F20"/>
          <w:spacing w:val="-14"/>
          <w:w w:val="105"/>
        </w:rPr>
        <w:t> </w:t>
      </w:r>
      <w:r>
        <w:rPr>
          <w:color w:val="231F20"/>
          <w:w w:val="105"/>
        </w:rPr>
        <w:t>hacia</w:t>
      </w:r>
      <w:r>
        <w:rPr>
          <w:color w:val="231F20"/>
          <w:spacing w:val="-14"/>
          <w:w w:val="105"/>
        </w:rPr>
        <w:t> </w:t>
      </w:r>
      <w:r>
        <w:rPr>
          <w:color w:val="231F20"/>
          <w:w w:val="105"/>
        </w:rPr>
        <w:t>otros</w:t>
      </w:r>
      <w:r>
        <w:rPr>
          <w:color w:val="231F20"/>
          <w:spacing w:val="-14"/>
          <w:w w:val="105"/>
        </w:rPr>
        <w:t> </w:t>
      </w:r>
      <w:r>
        <w:rPr>
          <w:color w:val="231F20"/>
          <w:w w:val="105"/>
        </w:rPr>
        <w:t>municipios</w:t>
      </w:r>
      <w:r>
        <w:rPr>
          <w:color w:val="231F20"/>
          <w:spacing w:val="-14"/>
          <w:w w:val="105"/>
        </w:rPr>
        <w:t> </w:t>
      </w:r>
      <w:r>
        <w:rPr>
          <w:color w:val="231F20"/>
          <w:w w:val="105"/>
        </w:rPr>
        <w:t>conurbados.</w:t>
      </w:r>
    </w:p>
    <w:p>
      <w:pPr>
        <w:spacing w:after="0" w:line="285" w:lineRule="auto"/>
        <w:jc w:val="both"/>
        <w:sectPr>
          <w:pgSz w:w="9640" w:h="12190"/>
          <w:pgMar w:header="0" w:footer="743" w:top="1120" w:bottom="940" w:left="740" w:right="740"/>
        </w:sectPr>
      </w:pPr>
    </w:p>
    <w:p>
      <w:pPr>
        <w:pStyle w:val="Heading5"/>
        <w:spacing w:before="27"/>
        <w:ind w:left="447" w:right="-2"/>
      </w:pPr>
      <w:r>
        <w:rPr>
          <w:color w:val="231F20"/>
          <w:w w:val="105"/>
        </w:rPr>
        <w:t>Cuadro 1. Población Total del Municipio de Nezahualcóyotl de 1950 a 2005</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528"/>
        <w:gridCol w:w="4399"/>
      </w:tblGrid>
      <w:tr>
        <w:trPr>
          <w:trHeight w:val="315" w:hRule="exact"/>
        </w:trPr>
        <w:tc>
          <w:tcPr>
            <w:tcW w:w="3528" w:type="dxa"/>
            <w:shd w:val="clear" w:color="auto" w:fill="B3B4B4"/>
          </w:tcPr>
          <w:p>
            <w:pPr>
              <w:pStyle w:val="TableParagraph"/>
              <w:spacing w:before="60"/>
              <w:ind w:left="0"/>
              <w:rPr>
                <w:b/>
                <w:sz w:val="16"/>
              </w:rPr>
            </w:pPr>
            <w:r>
              <w:rPr>
                <w:b/>
                <w:color w:val="231F20"/>
                <w:w w:val="110"/>
                <w:sz w:val="16"/>
              </w:rPr>
              <w:t>Año</w:t>
            </w:r>
          </w:p>
        </w:tc>
        <w:tc>
          <w:tcPr>
            <w:tcW w:w="4399" w:type="dxa"/>
            <w:shd w:val="clear" w:color="auto" w:fill="B3B4B4"/>
          </w:tcPr>
          <w:p>
            <w:pPr>
              <w:pStyle w:val="TableParagraph"/>
              <w:spacing w:before="60"/>
              <w:ind w:left="0"/>
              <w:rPr>
                <w:b/>
                <w:sz w:val="16"/>
              </w:rPr>
            </w:pPr>
            <w:r>
              <w:rPr>
                <w:b/>
                <w:color w:val="231F20"/>
                <w:w w:val="110"/>
                <w:sz w:val="16"/>
              </w:rPr>
              <w:t>Población Total</w:t>
            </w:r>
          </w:p>
        </w:tc>
      </w:tr>
      <w:tr>
        <w:trPr>
          <w:trHeight w:val="251" w:hRule="exact"/>
        </w:trPr>
        <w:tc>
          <w:tcPr>
            <w:tcW w:w="3528" w:type="dxa"/>
          </w:tcPr>
          <w:p>
            <w:pPr>
              <w:pStyle w:val="TableParagraph"/>
              <w:spacing w:line="192" w:lineRule="exact" w:before="89"/>
              <w:ind w:left="0"/>
              <w:rPr>
                <w:sz w:val="16"/>
              </w:rPr>
            </w:pPr>
            <w:r>
              <w:rPr>
                <w:color w:val="231F20"/>
                <w:w w:val="85"/>
                <w:sz w:val="16"/>
              </w:rPr>
              <w:t>1950</w:t>
            </w:r>
          </w:p>
        </w:tc>
        <w:tc>
          <w:tcPr>
            <w:tcW w:w="4399" w:type="dxa"/>
          </w:tcPr>
          <w:p>
            <w:pPr>
              <w:pStyle w:val="TableParagraph"/>
              <w:spacing w:line="192" w:lineRule="exact" w:before="89"/>
              <w:ind w:left="0"/>
              <w:rPr>
                <w:sz w:val="16"/>
              </w:rPr>
            </w:pPr>
            <w:r>
              <w:rPr>
                <w:color w:val="231F20"/>
                <w:w w:val="85"/>
                <w:sz w:val="16"/>
              </w:rPr>
              <w:t>25,000</w:t>
            </w:r>
          </w:p>
        </w:tc>
      </w:tr>
      <w:tr>
        <w:trPr>
          <w:trHeight w:val="267" w:hRule="exact"/>
        </w:trPr>
        <w:tc>
          <w:tcPr>
            <w:tcW w:w="3528" w:type="dxa"/>
          </w:tcPr>
          <w:p>
            <w:pPr>
              <w:pStyle w:val="TableParagraph"/>
              <w:spacing w:line="192" w:lineRule="exact" w:before="105"/>
              <w:ind w:left="0"/>
              <w:rPr>
                <w:sz w:val="16"/>
              </w:rPr>
            </w:pPr>
            <w:r>
              <w:rPr>
                <w:color w:val="231F20"/>
                <w:w w:val="85"/>
                <w:sz w:val="16"/>
              </w:rPr>
              <w:t>1960</w:t>
            </w:r>
          </w:p>
        </w:tc>
        <w:tc>
          <w:tcPr>
            <w:tcW w:w="4399" w:type="dxa"/>
          </w:tcPr>
          <w:p>
            <w:pPr>
              <w:pStyle w:val="TableParagraph"/>
              <w:spacing w:line="192" w:lineRule="exact" w:before="105"/>
              <w:ind w:left="0"/>
              <w:rPr>
                <w:sz w:val="16"/>
              </w:rPr>
            </w:pPr>
            <w:r>
              <w:rPr>
                <w:color w:val="231F20"/>
                <w:w w:val="85"/>
                <w:sz w:val="16"/>
              </w:rPr>
              <w:t>62,000</w:t>
            </w:r>
          </w:p>
        </w:tc>
      </w:tr>
      <w:tr>
        <w:trPr>
          <w:trHeight w:val="259" w:hRule="exact"/>
        </w:trPr>
        <w:tc>
          <w:tcPr>
            <w:tcW w:w="3528" w:type="dxa"/>
          </w:tcPr>
          <w:p>
            <w:pPr>
              <w:pStyle w:val="TableParagraph"/>
              <w:spacing w:line="192" w:lineRule="exact" w:before="97"/>
              <w:ind w:left="0"/>
              <w:rPr>
                <w:sz w:val="16"/>
              </w:rPr>
            </w:pPr>
            <w:r>
              <w:rPr>
                <w:color w:val="231F20"/>
                <w:w w:val="85"/>
                <w:sz w:val="16"/>
              </w:rPr>
              <w:t>1970</w:t>
            </w:r>
          </w:p>
        </w:tc>
        <w:tc>
          <w:tcPr>
            <w:tcW w:w="4399" w:type="dxa"/>
          </w:tcPr>
          <w:p>
            <w:pPr>
              <w:pStyle w:val="TableParagraph"/>
              <w:spacing w:line="192" w:lineRule="exact" w:before="97"/>
              <w:ind w:left="0"/>
              <w:rPr>
                <w:sz w:val="16"/>
              </w:rPr>
            </w:pPr>
            <w:r>
              <w:rPr>
                <w:color w:val="231F20"/>
                <w:w w:val="85"/>
                <w:sz w:val="16"/>
              </w:rPr>
              <w:t>548,436</w:t>
            </w:r>
          </w:p>
        </w:tc>
      </w:tr>
      <w:tr>
        <w:trPr>
          <w:trHeight w:val="232" w:hRule="exact"/>
        </w:trPr>
        <w:tc>
          <w:tcPr>
            <w:tcW w:w="3528" w:type="dxa"/>
          </w:tcPr>
          <w:p>
            <w:pPr>
              <w:pStyle w:val="TableParagraph"/>
              <w:spacing w:line="192" w:lineRule="exact" w:before="69"/>
              <w:ind w:left="0"/>
              <w:rPr>
                <w:sz w:val="16"/>
              </w:rPr>
            </w:pPr>
            <w:r>
              <w:rPr>
                <w:color w:val="231F20"/>
                <w:w w:val="85"/>
                <w:sz w:val="16"/>
              </w:rPr>
              <w:t>1980</w:t>
            </w:r>
          </w:p>
        </w:tc>
        <w:tc>
          <w:tcPr>
            <w:tcW w:w="4399" w:type="dxa"/>
          </w:tcPr>
          <w:p>
            <w:pPr>
              <w:pStyle w:val="TableParagraph"/>
              <w:spacing w:line="192" w:lineRule="exact" w:before="69"/>
              <w:ind w:left="0"/>
              <w:rPr>
                <w:sz w:val="16"/>
              </w:rPr>
            </w:pPr>
            <w:r>
              <w:rPr>
                <w:color w:val="231F20"/>
                <w:w w:val="85"/>
                <w:sz w:val="16"/>
              </w:rPr>
              <w:t>1,393,797</w:t>
            </w:r>
          </w:p>
        </w:tc>
      </w:tr>
      <w:tr>
        <w:trPr>
          <w:trHeight w:val="224" w:hRule="exact"/>
        </w:trPr>
        <w:tc>
          <w:tcPr>
            <w:tcW w:w="3528" w:type="dxa"/>
          </w:tcPr>
          <w:p>
            <w:pPr>
              <w:pStyle w:val="TableParagraph"/>
              <w:spacing w:line="192" w:lineRule="exact" w:before="61"/>
              <w:ind w:left="0"/>
              <w:rPr>
                <w:sz w:val="16"/>
              </w:rPr>
            </w:pPr>
            <w:r>
              <w:rPr>
                <w:color w:val="231F20"/>
                <w:w w:val="85"/>
                <w:sz w:val="16"/>
              </w:rPr>
              <w:t>1990</w:t>
            </w:r>
          </w:p>
        </w:tc>
        <w:tc>
          <w:tcPr>
            <w:tcW w:w="4399" w:type="dxa"/>
          </w:tcPr>
          <w:p>
            <w:pPr>
              <w:pStyle w:val="TableParagraph"/>
              <w:spacing w:line="192" w:lineRule="exact" w:before="61"/>
              <w:ind w:left="0"/>
              <w:rPr>
                <w:sz w:val="16"/>
              </w:rPr>
            </w:pPr>
            <w:r>
              <w:rPr>
                <w:color w:val="231F20"/>
                <w:w w:val="85"/>
                <w:sz w:val="16"/>
              </w:rPr>
              <w:t>1,256,115</w:t>
            </w:r>
          </w:p>
        </w:tc>
      </w:tr>
      <w:tr>
        <w:trPr>
          <w:trHeight w:val="227" w:hRule="exact"/>
        </w:trPr>
        <w:tc>
          <w:tcPr>
            <w:tcW w:w="3528" w:type="dxa"/>
          </w:tcPr>
          <w:p>
            <w:pPr>
              <w:pStyle w:val="TableParagraph"/>
              <w:spacing w:line="192" w:lineRule="exact" w:before="65"/>
              <w:ind w:left="0"/>
              <w:rPr>
                <w:sz w:val="16"/>
              </w:rPr>
            </w:pPr>
            <w:r>
              <w:rPr>
                <w:color w:val="231F20"/>
                <w:w w:val="85"/>
                <w:sz w:val="16"/>
              </w:rPr>
              <w:t>1995</w:t>
            </w:r>
          </w:p>
        </w:tc>
        <w:tc>
          <w:tcPr>
            <w:tcW w:w="4399" w:type="dxa"/>
          </w:tcPr>
          <w:p>
            <w:pPr>
              <w:pStyle w:val="TableParagraph"/>
              <w:spacing w:line="192" w:lineRule="exact" w:before="65"/>
              <w:ind w:left="0"/>
              <w:rPr>
                <w:sz w:val="16"/>
              </w:rPr>
            </w:pPr>
            <w:r>
              <w:rPr>
                <w:color w:val="231F20"/>
                <w:w w:val="85"/>
                <w:sz w:val="16"/>
              </w:rPr>
              <w:t>1,233,868</w:t>
            </w:r>
          </w:p>
        </w:tc>
      </w:tr>
      <w:tr>
        <w:trPr>
          <w:trHeight w:val="235" w:hRule="exact"/>
        </w:trPr>
        <w:tc>
          <w:tcPr>
            <w:tcW w:w="3528" w:type="dxa"/>
          </w:tcPr>
          <w:p>
            <w:pPr>
              <w:pStyle w:val="TableParagraph"/>
              <w:spacing w:line="192" w:lineRule="exact" w:before="72"/>
              <w:ind w:left="0"/>
              <w:rPr>
                <w:sz w:val="16"/>
              </w:rPr>
            </w:pPr>
            <w:r>
              <w:rPr>
                <w:color w:val="231F20"/>
                <w:w w:val="85"/>
                <w:sz w:val="16"/>
              </w:rPr>
              <w:t>2000</w:t>
            </w:r>
          </w:p>
        </w:tc>
        <w:tc>
          <w:tcPr>
            <w:tcW w:w="4399" w:type="dxa"/>
          </w:tcPr>
          <w:p>
            <w:pPr>
              <w:pStyle w:val="TableParagraph"/>
              <w:spacing w:line="192" w:lineRule="exact" w:before="72"/>
              <w:ind w:left="0"/>
              <w:rPr>
                <w:sz w:val="16"/>
              </w:rPr>
            </w:pPr>
            <w:r>
              <w:rPr>
                <w:color w:val="231F20"/>
                <w:w w:val="85"/>
                <w:sz w:val="16"/>
              </w:rPr>
              <w:t>1,226,000</w:t>
            </w:r>
          </w:p>
        </w:tc>
      </w:tr>
      <w:tr>
        <w:trPr>
          <w:trHeight w:val="270" w:hRule="exact"/>
        </w:trPr>
        <w:tc>
          <w:tcPr>
            <w:tcW w:w="3528" w:type="dxa"/>
          </w:tcPr>
          <w:p>
            <w:pPr>
              <w:pStyle w:val="TableParagraph"/>
              <w:spacing w:line="192" w:lineRule="exact" w:before="107"/>
              <w:ind w:left="0"/>
              <w:rPr>
                <w:sz w:val="16"/>
              </w:rPr>
            </w:pPr>
            <w:r>
              <w:rPr>
                <w:color w:val="231F20"/>
                <w:w w:val="85"/>
                <w:sz w:val="16"/>
              </w:rPr>
              <w:t>2005</w:t>
            </w:r>
          </w:p>
        </w:tc>
        <w:tc>
          <w:tcPr>
            <w:tcW w:w="4399" w:type="dxa"/>
          </w:tcPr>
          <w:p>
            <w:pPr>
              <w:pStyle w:val="TableParagraph"/>
              <w:spacing w:line="192" w:lineRule="exact" w:before="107"/>
              <w:ind w:left="0"/>
              <w:rPr>
                <w:sz w:val="16"/>
              </w:rPr>
            </w:pPr>
            <w:r>
              <w:rPr>
                <w:color w:val="231F20"/>
                <w:w w:val="85"/>
                <w:sz w:val="16"/>
              </w:rPr>
              <w:t>1,140,528</w:t>
            </w:r>
          </w:p>
        </w:tc>
      </w:tr>
    </w:tbl>
    <w:p>
      <w:pPr>
        <w:pStyle w:val="BodyText"/>
        <w:spacing w:before="11"/>
        <w:rPr>
          <w:b/>
          <w:sz w:val="20"/>
        </w:rPr>
      </w:pPr>
    </w:p>
    <w:p>
      <w:pPr>
        <w:spacing w:before="74"/>
        <w:ind w:left="1113" w:right="-2" w:firstLine="0"/>
        <w:jc w:val="left"/>
        <w:rPr>
          <w:rFonts w:ascii="Calibri" w:hAnsi="Calibri"/>
          <w:sz w:val="16"/>
        </w:rPr>
      </w:pPr>
      <w:r>
        <w:rPr>
          <w:rFonts w:ascii="Calibri" w:hAnsi="Calibri"/>
          <w:color w:val="231F20"/>
          <w:sz w:val="16"/>
        </w:rPr>
        <w:t>Fuente:</w:t>
      </w:r>
      <w:r>
        <w:rPr>
          <w:rFonts w:ascii="Calibri" w:hAnsi="Calibri"/>
          <w:color w:val="231F20"/>
          <w:spacing w:val="-14"/>
          <w:sz w:val="16"/>
        </w:rPr>
        <w:t> </w:t>
      </w:r>
      <w:r>
        <w:rPr>
          <w:rFonts w:ascii="Calibri" w:hAnsi="Calibri"/>
          <w:color w:val="231F20"/>
          <w:sz w:val="16"/>
        </w:rPr>
        <w:t>PDM</w:t>
      </w:r>
      <w:r>
        <w:rPr>
          <w:rFonts w:ascii="Calibri" w:hAnsi="Calibri"/>
          <w:color w:val="231F20"/>
          <w:spacing w:val="-14"/>
          <w:sz w:val="16"/>
        </w:rPr>
        <w:t> </w:t>
      </w:r>
      <w:r>
        <w:rPr>
          <w:rFonts w:ascii="Calibri" w:hAnsi="Calibri"/>
          <w:color w:val="231F20"/>
          <w:sz w:val="16"/>
        </w:rPr>
        <w:t>2006-2009,</w:t>
      </w:r>
      <w:r>
        <w:rPr>
          <w:rFonts w:ascii="Calibri" w:hAnsi="Calibri"/>
          <w:color w:val="231F20"/>
          <w:spacing w:val="-14"/>
          <w:sz w:val="16"/>
        </w:rPr>
        <w:t> </w:t>
      </w:r>
      <w:r>
        <w:rPr>
          <w:rFonts w:ascii="Calibri" w:hAnsi="Calibri"/>
          <w:color w:val="231F20"/>
          <w:sz w:val="16"/>
        </w:rPr>
        <w:t>con</w:t>
      </w:r>
      <w:r>
        <w:rPr>
          <w:rFonts w:ascii="Calibri" w:hAnsi="Calibri"/>
          <w:color w:val="231F20"/>
          <w:spacing w:val="-14"/>
          <w:sz w:val="16"/>
        </w:rPr>
        <w:t> </w:t>
      </w:r>
      <w:r>
        <w:rPr>
          <w:rFonts w:ascii="Calibri" w:hAnsi="Calibri"/>
          <w:color w:val="231F20"/>
          <w:sz w:val="16"/>
        </w:rPr>
        <w:t>información</w:t>
      </w:r>
      <w:r>
        <w:rPr>
          <w:rFonts w:ascii="Calibri" w:hAnsi="Calibri"/>
          <w:color w:val="231F20"/>
          <w:spacing w:val="-14"/>
          <w:sz w:val="16"/>
        </w:rPr>
        <w:t> </w:t>
      </w:r>
      <w:r>
        <w:rPr>
          <w:rFonts w:ascii="Calibri" w:hAnsi="Calibri"/>
          <w:color w:val="231F20"/>
          <w:sz w:val="16"/>
        </w:rPr>
        <w:t>de</w:t>
      </w:r>
      <w:r>
        <w:rPr>
          <w:rFonts w:ascii="Calibri" w:hAnsi="Calibri"/>
          <w:color w:val="231F20"/>
          <w:spacing w:val="-14"/>
          <w:sz w:val="16"/>
        </w:rPr>
        <w:t> </w:t>
      </w:r>
      <w:r>
        <w:rPr>
          <w:rFonts w:ascii="Calibri" w:hAnsi="Calibri"/>
          <w:color w:val="231F20"/>
          <w:sz w:val="16"/>
        </w:rPr>
        <w:t>Censos</w:t>
      </w:r>
      <w:r>
        <w:rPr>
          <w:rFonts w:ascii="Calibri" w:hAnsi="Calibri"/>
          <w:color w:val="231F20"/>
          <w:spacing w:val="-14"/>
          <w:sz w:val="16"/>
        </w:rPr>
        <w:t> </w:t>
      </w:r>
      <w:r>
        <w:rPr>
          <w:rFonts w:ascii="Calibri" w:hAnsi="Calibri"/>
          <w:color w:val="231F20"/>
          <w:sz w:val="16"/>
        </w:rPr>
        <w:t>y</w:t>
      </w:r>
      <w:r>
        <w:rPr>
          <w:rFonts w:ascii="Calibri" w:hAnsi="Calibri"/>
          <w:color w:val="231F20"/>
          <w:spacing w:val="-14"/>
          <w:sz w:val="16"/>
        </w:rPr>
        <w:t> </w:t>
      </w:r>
      <w:r>
        <w:rPr>
          <w:rFonts w:ascii="Calibri" w:hAnsi="Calibri"/>
          <w:color w:val="231F20"/>
          <w:sz w:val="16"/>
        </w:rPr>
        <w:t>Conteos</w:t>
      </w:r>
      <w:r>
        <w:rPr>
          <w:rFonts w:ascii="Calibri" w:hAnsi="Calibri"/>
          <w:color w:val="231F20"/>
          <w:spacing w:val="-14"/>
          <w:sz w:val="16"/>
        </w:rPr>
        <w:t> </w:t>
      </w:r>
      <w:r>
        <w:rPr>
          <w:rFonts w:ascii="Calibri" w:hAnsi="Calibri"/>
          <w:color w:val="231F20"/>
          <w:sz w:val="16"/>
        </w:rPr>
        <w:t>de</w:t>
      </w:r>
      <w:r>
        <w:rPr>
          <w:rFonts w:ascii="Calibri" w:hAnsi="Calibri"/>
          <w:color w:val="231F20"/>
          <w:spacing w:val="-14"/>
          <w:sz w:val="16"/>
        </w:rPr>
        <w:t> </w:t>
      </w:r>
      <w:r>
        <w:rPr>
          <w:rFonts w:ascii="Calibri" w:hAnsi="Calibri"/>
          <w:color w:val="231F20"/>
          <w:sz w:val="16"/>
        </w:rPr>
        <w:t>Población</w:t>
      </w:r>
      <w:r>
        <w:rPr>
          <w:rFonts w:ascii="Calibri" w:hAnsi="Calibri"/>
          <w:color w:val="231F20"/>
          <w:spacing w:val="-14"/>
          <w:sz w:val="16"/>
        </w:rPr>
        <w:t> </w:t>
      </w:r>
      <w:r>
        <w:rPr>
          <w:rFonts w:ascii="Calibri" w:hAnsi="Calibri"/>
          <w:color w:val="231F20"/>
          <w:sz w:val="16"/>
        </w:rPr>
        <w:t>y</w:t>
      </w:r>
      <w:r>
        <w:rPr>
          <w:rFonts w:ascii="Calibri" w:hAnsi="Calibri"/>
          <w:color w:val="231F20"/>
          <w:spacing w:val="-14"/>
          <w:sz w:val="16"/>
        </w:rPr>
        <w:t> </w:t>
      </w:r>
      <w:r>
        <w:rPr>
          <w:rFonts w:ascii="Calibri" w:hAnsi="Calibri"/>
          <w:color w:val="231F20"/>
          <w:sz w:val="16"/>
        </w:rPr>
        <w:t>Vivienda</w:t>
      </w:r>
      <w:r>
        <w:rPr>
          <w:rFonts w:ascii="Calibri" w:hAnsi="Calibri"/>
          <w:color w:val="231F20"/>
          <w:spacing w:val="-14"/>
          <w:sz w:val="16"/>
        </w:rPr>
        <w:t> </w:t>
      </w:r>
      <w:r>
        <w:rPr>
          <w:rFonts w:ascii="Calibri" w:hAnsi="Calibri"/>
          <w:color w:val="231F20"/>
          <w:sz w:val="16"/>
        </w:rPr>
        <w:t>1950-2005</w:t>
      </w:r>
      <w:r>
        <w:rPr>
          <w:rFonts w:ascii="Calibri" w:hAnsi="Calibri"/>
          <w:color w:val="231F20"/>
          <w:spacing w:val="-14"/>
          <w:sz w:val="16"/>
        </w:rPr>
        <w:t> </w:t>
      </w:r>
      <w:r>
        <w:rPr>
          <w:rFonts w:ascii="Calibri" w:hAnsi="Calibri"/>
          <w:color w:val="231F20"/>
          <w:sz w:val="16"/>
        </w:rPr>
        <w:t>del</w:t>
      </w:r>
      <w:r>
        <w:rPr>
          <w:rFonts w:ascii="Calibri" w:hAnsi="Calibri"/>
          <w:color w:val="231F20"/>
          <w:spacing w:val="-14"/>
          <w:sz w:val="16"/>
        </w:rPr>
        <w:t> </w:t>
      </w:r>
      <w:r>
        <w:rPr>
          <w:rFonts w:ascii="Calibri" w:hAnsi="Calibri"/>
          <w:color w:val="231F20"/>
          <w:sz w:val="16"/>
        </w:rPr>
        <w:t>INEGI.</w:t>
      </w:r>
    </w:p>
    <w:p>
      <w:pPr>
        <w:pStyle w:val="BodyText"/>
        <w:rPr>
          <w:rFonts w:ascii="Calibri"/>
          <w:sz w:val="16"/>
        </w:rPr>
      </w:pPr>
    </w:p>
    <w:p>
      <w:pPr>
        <w:pStyle w:val="BodyText"/>
        <w:spacing w:before="9"/>
        <w:rPr>
          <w:rFonts w:ascii="Calibri"/>
          <w:sz w:val="12"/>
        </w:rPr>
      </w:pPr>
    </w:p>
    <w:p>
      <w:pPr>
        <w:pStyle w:val="BodyText"/>
        <w:spacing w:line="285" w:lineRule="auto"/>
        <w:ind w:left="110" w:right="106"/>
        <w:jc w:val="both"/>
      </w:pPr>
      <w:r>
        <w:rPr>
          <w:color w:val="231F20"/>
          <w:w w:val="105"/>
        </w:rPr>
        <w:t>El</w:t>
      </w:r>
      <w:r>
        <w:rPr>
          <w:color w:val="231F20"/>
          <w:spacing w:val="-9"/>
          <w:w w:val="105"/>
        </w:rPr>
        <w:t> </w:t>
      </w:r>
      <w:r>
        <w:rPr>
          <w:color w:val="231F20"/>
          <w:spacing w:val="-3"/>
          <w:w w:val="105"/>
        </w:rPr>
        <w:t>comportamiento</w:t>
      </w:r>
      <w:r>
        <w:rPr>
          <w:color w:val="231F20"/>
          <w:spacing w:val="-9"/>
          <w:w w:val="105"/>
        </w:rPr>
        <w:t> </w:t>
      </w:r>
      <w:r>
        <w:rPr>
          <w:color w:val="231F20"/>
          <w:w w:val="105"/>
        </w:rPr>
        <w:t>demográfico</w:t>
      </w:r>
      <w:r>
        <w:rPr>
          <w:color w:val="231F20"/>
          <w:spacing w:val="-9"/>
          <w:w w:val="105"/>
        </w:rPr>
        <w:t> </w:t>
      </w:r>
      <w:r>
        <w:rPr>
          <w:color w:val="231F20"/>
          <w:w w:val="105"/>
        </w:rPr>
        <w:t>de</w:t>
      </w:r>
      <w:r>
        <w:rPr>
          <w:color w:val="231F20"/>
          <w:spacing w:val="-9"/>
          <w:w w:val="105"/>
        </w:rPr>
        <w:t> </w:t>
      </w:r>
      <w:r>
        <w:rPr>
          <w:color w:val="231F20"/>
          <w:spacing w:val="-3"/>
          <w:w w:val="105"/>
        </w:rPr>
        <w:t>Nezahualcóyotl</w:t>
      </w:r>
      <w:r>
        <w:rPr>
          <w:color w:val="231F20"/>
          <w:spacing w:val="-9"/>
          <w:w w:val="105"/>
        </w:rPr>
        <w:t> </w:t>
      </w:r>
      <w:r>
        <w:rPr>
          <w:color w:val="231F20"/>
          <w:w w:val="105"/>
        </w:rPr>
        <w:t>ha</w:t>
      </w:r>
      <w:r>
        <w:rPr>
          <w:color w:val="231F20"/>
          <w:spacing w:val="-9"/>
          <w:w w:val="105"/>
        </w:rPr>
        <w:t> </w:t>
      </w:r>
      <w:r>
        <w:rPr>
          <w:color w:val="231F20"/>
          <w:spacing w:val="-3"/>
          <w:w w:val="105"/>
        </w:rPr>
        <w:t>tenido</w:t>
      </w:r>
      <w:r>
        <w:rPr>
          <w:color w:val="231F20"/>
          <w:spacing w:val="-9"/>
          <w:w w:val="105"/>
        </w:rPr>
        <w:t> </w:t>
      </w:r>
      <w:r>
        <w:rPr>
          <w:color w:val="231F20"/>
          <w:spacing w:val="-3"/>
          <w:w w:val="105"/>
        </w:rPr>
        <w:t>dos</w:t>
      </w:r>
      <w:r>
        <w:rPr>
          <w:color w:val="231F20"/>
          <w:spacing w:val="-9"/>
          <w:w w:val="105"/>
        </w:rPr>
        <w:t> </w:t>
      </w:r>
      <w:r>
        <w:rPr>
          <w:color w:val="231F20"/>
          <w:w w:val="105"/>
        </w:rPr>
        <w:t>etapas</w:t>
      </w:r>
      <w:r>
        <w:rPr>
          <w:color w:val="231F20"/>
          <w:spacing w:val="-9"/>
          <w:w w:val="105"/>
        </w:rPr>
        <w:t> </w:t>
      </w:r>
      <w:r>
        <w:rPr>
          <w:color w:val="231F20"/>
          <w:spacing w:val="-4"/>
          <w:w w:val="105"/>
        </w:rPr>
        <w:t>bien</w:t>
      </w:r>
      <w:r>
        <w:rPr>
          <w:color w:val="231F20"/>
          <w:spacing w:val="-9"/>
          <w:w w:val="105"/>
        </w:rPr>
        <w:t> </w:t>
      </w:r>
      <w:r>
        <w:rPr>
          <w:color w:val="231F20"/>
          <w:w w:val="105"/>
        </w:rPr>
        <w:t>definidas, la</w:t>
      </w:r>
      <w:r>
        <w:rPr>
          <w:color w:val="231F20"/>
          <w:spacing w:val="-27"/>
          <w:w w:val="105"/>
        </w:rPr>
        <w:t> </w:t>
      </w:r>
      <w:r>
        <w:rPr>
          <w:color w:val="231F20"/>
          <w:w w:val="105"/>
        </w:rPr>
        <w:t>primera</w:t>
      </w:r>
      <w:r>
        <w:rPr>
          <w:color w:val="231F20"/>
          <w:spacing w:val="-27"/>
          <w:w w:val="105"/>
        </w:rPr>
        <w:t> </w:t>
      </w:r>
      <w:r>
        <w:rPr>
          <w:color w:val="231F20"/>
          <w:w w:val="105"/>
        </w:rPr>
        <w:t>caracterizada</w:t>
      </w:r>
      <w:r>
        <w:rPr>
          <w:color w:val="231F20"/>
          <w:spacing w:val="-27"/>
          <w:w w:val="105"/>
        </w:rPr>
        <w:t> </w:t>
      </w:r>
      <w:r>
        <w:rPr>
          <w:color w:val="231F20"/>
          <w:spacing w:val="-3"/>
          <w:w w:val="105"/>
        </w:rPr>
        <w:t>por</w:t>
      </w:r>
      <w:r>
        <w:rPr>
          <w:color w:val="231F20"/>
          <w:spacing w:val="-27"/>
          <w:w w:val="105"/>
        </w:rPr>
        <w:t> </w:t>
      </w:r>
      <w:r>
        <w:rPr>
          <w:color w:val="231F20"/>
          <w:w w:val="105"/>
        </w:rPr>
        <w:t>un</w:t>
      </w:r>
      <w:r>
        <w:rPr>
          <w:color w:val="231F20"/>
          <w:spacing w:val="-27"/>
          <w:w w:val="105"/>
        </w:rPr>
        <w:t> </w:t>
      </w:r>
      <w:r>
        <w:rPr>
          <w:color w:val="231F20"/>
          <w:w w:val="105"/>
        </w:rPr>
        <w:t>vertiginoso</w:t>
      </w:r>
      <w:r>
        <w:rPr>
          <w:color w:val="231F20"/>
          <w:spacing w:val="-27"/>
          <w:w w:val="105"/>
        </w:rPr>
        <w:t> </w:t>
      </w:r>
      <w:r>
        <w:rPr>
          <w:color w:val="231F20"/>
          <w:spacing w:val="-3"/>
          <w:w w:val="105"/>
        </w:rPr>
        <w:t>crecimiento</w:t>
      </w:r>
      <w:r>
        <w:rPr>
          <w:color w:val="231F20"/>
          <w:spacing w:val="-27"/>
          <w:w w:val="105"/>
        </w:rPr>
        <w:t> </w:t>
      </w:r>
      <w:r>
        <w:rPr>
          <w:color w:val="231F20"/>
          <w:w w:val="105"/>
        </w:rPr>
        <w:t>de</w:t>
      </w:r>
      <w:r>
        <w:rPr>
          <w:color w:val="231F20"/>
          <w:spacing w:val="-27"/>
          <w:w w:val="105"/>
        </w:rPr>
        <w:t> </w:t>
      </w:r>
      <w:r>
        <w:rPr>
          <w:color w:val="231F20"/>
          <w:spacing w:val="-4"/>
          <w:w w:val="105"/>
        </w:rPr>
        <w:t>población</w:t>
      </w:r>
      <w:r>
        <w:rPr>
          <w:color w:val="231F20"/>
          <w:spacing w:val="-27"/>
          <w:w w:val="105"/>
        </w:rPr>
        <w:t> </w:t>
      </w:r>
      <w:r>
        <w:rPr>
          <w:color w:val="231F20"/>
          <w:w w:val="105"/>
        </w:rPr>
        <w:t>de</w:t>
      </w:r>
      <w:r>
        <w:rPr>
          <w:color w:val="231F20"/>
          <w:spacing w:val="-27"/>
          <w:w w:val="105"/>
        </w:rPr>
        <w:t> </w:t>
      </w:r>
      <w:r>
        <w:rPr>
          <w:color w:val="231F20"/>
          <w:spacing w:val="-3"/>
          <w:w w:val="105"/>
        </w:rPr>
        <w:t>los</w:t>
      </w:r>
      <w:r>
        <w:rPr>
          <w:color w:val="231F20"/>
          <w:spacing w:val="-27"/>
          <w:w w:val="105"/>
        </w:rPr>
        <w:t> </w:t>
      </w:r>
      <w:r>
        <w:rPr>
          <w:color w:val="231F20"/>
          <w:spacing w:val="-4"/>
          <w:w w:val="105"/>
        </w:rPr>
        <w:t>50’s</w:t>
      </w:r>
      <w:r>
        <w:rPr>
          <w:color w:val="231F20"/>
          <w:spacing w:val="-27"/>
          <w:w w:val="105"/>
        </w:rPr>
        <w:t> </w:t>
      </w:r>
      <w:r>
        <w:rPr>
          <w:color w:val="231F20"/>
          <w:w w:val="105"/>
        </w:rPr>
        <w:t>a</w:t>
      </w:r>
      <w:r>
        <w:rPr>
          <w:color w:val="231F20"/>
          <w:spacing w:val="-27"/>
          <w:w w:val="105"/>
        </w:rPr>
        <w:t> </w:t>
      </w:r>
      <w:r>
        <w:rPr>
          <w:color w:val="231F20"/>
          <w:spacing w:val="-3"/>
          <w:w w:val="105"/>
        </w:rPr>
        <w:t>los</w:t>
      </w:r>
      <w:r>
        <w:rPr>
          <w:color w:val="231F20"/>
          <w:spacing w:val="-27"/>
          <w:w w:val="105"/>
        </w:rPr>
        <w:t> </w:t>
      </w:r>
      <w:r>
        <w:rPr>
          <w:color w:val="231F20"/>
          <w:spacing w:val="-5"/>
          <w:w w:val="105"/>
        </w:rPr>
        <w:t>70’s, </w:t>
      </w:r>
      <w:r>
        <w:rPr>
          <w:color w:val="231F20"/>
          <w:spacing w:val="-4"/>
          <w:w w:val="105"/>
        </w:rPr>
        <w:t>como producto </w:t>
      </w:r>
      <w:r>
        <w:rPr>
          <w:color w:val="231F20"/>
          <w:w w:val="105"/>
        </w:rPr>
        <w:t>de un </w:t>
      </w:r>
      <w:r>
        <w:rPr>
          <w:color w:val="231F20"/>
          <w:spacing w:val="-3"/>
          <w:w w:val="105"/>
        </w:rPr>
        <w:t>elevado </w:t>
      </w:r>
      <w:r>
        <w:rPr>
          <w:color w:val="231F20"/>
          <w:w w:val="105"/>
        </w:rPr>
        <w:t>saldo </w:t>
      </w:r>
      <w:r>
        <w:rPr>
          <w:color w:val="231F20"/>
          <w:spacing w:val="-3"/>
          <w:w w:val="105"/>
        </w:rPr>
        <w:t>neto migratorio, </w:t>
      </w:r>
      <w:r>
        <w:rPr>
          <w:color w:val="231F20"/>
          <w:w w:val="105"/>
        </w:rPr>
        <w:t>alcanzando tasas de </w:t>
      </w:r>
      <w:r>
        <w:rPr>
          <w:color w:val="231F20"/>
          <w:spacing w:val="-3"/>
          <w:w w:val="105"/>
        </w:rPr>
        <w:t>crecimiento promedio</w:t>
      </w:r>
      <w:r>
        <w:rPr>
          <w:color w:val="231F20"/>
          <w:spacing w:val="-17"/>
          <w:w w:val="105"/>
        </w:rPr>
        <w:t> </w:t>
      </w:r>
      <w:r>
        <w:rPr>
          <w:color w:val="231F20"/>
          <w:w w:val="105"/>
        </w:rPr>
        <w:t>anual</w:t>
      </w:r>
      <w:r>
        <w:rPr>
          <w:color w:val="231F20"/>
          <w:spacing w:val="-17"/>
          <w:w w:val="105"/>
        </w:rPr>
        <w:t> </w:t>
      </w:r>
      <w:r>
        <w:rPr>
          <w:color w:val="231F20"/>
          <w:w w:val="105"/>
        </w:rPr>
        <w:t>de</w:t>
      </w:r>
      <w:r>
        <w:rPr>
          <w:color w:val="231F20"/>
          <w:spacing w:val="-17"/>
          <w:w w:val="105"/>
        </w:rPr>
        <w:t> </w:t>
      </w:r>
      <w:r>
        <w:rPr>
          <w:color w:val="231F20"/>
          <w:w w:val="105"/>
        </w:rPr>
        <w:t>más</w:t>
      </w:r>
      <w:r>
        <w:rPr>
          <w:color w:val="231F20"/>
          <w:spacing w:val="-17"/>
          <w:w w:val="105"/>
        </w:rPr>
        <w:t> </w:t>
      </w:r>
      <w:r>
        <w:rPr>
          <w:color w:val="231F20"/>
          <w:w w:val="105"/>
        </w:rPr>
        <w:t>de</w:t>
      </w:r>
      <w:r>
        <w:rPr>
          <w:color w:val="231F20"/>
          <w:spacing w:val="-17"/>
          <w:w w:val="105"/>
        </w:rPr>
        <w:t> </w:t>
      </w:r>
      <w:r>
        <w:rPr>
          <w:color w:val="231F20"/>
          <w:spacing w:val="-3"/>
          <w:w w:val="105"/>
        </w:rPr>
        <w:t>10%.</w:t>
      </w:r>
      <w:r>
        <w:rPr>
          <w:color w:val="231F20"/>
          <w:spacing w:val="-17"/>
          <w:w w:val="105"/>
        </w:rPr>
        <w:t> </w:t>
      </w:r>
      <w:r>
        <w:rPr>
          <w:color w:val="231F20"/>
          <w:spacing w:val="-4"/>
          <w:w w:val="105"/>
        </w:rPr>
        <w:t>Una</w:t>
      </w:r>
      <w:r>
        <w:rPr>
          <w:color w:val="231F20"/>
          <w:spacing w:val="-17"/>
          <w:w w:val="105"/>
        </w:rPr>
        <w:t> </w:t>
      </w:r>
      <w:r>
        <w:rPr>
          <w:color w:val="231F20"/>
          <w:w w:val="105"/>
        </w:rPr>
        <w:t>segunda</w:t>
      </w:r>
      <w:r>
        <w:rPr>
          <w:color w:val="231F20"/>
          <w:spacing w:val="-17"/>
          <w:w w:val="105"/>
        </w:rPr>
        <w:t> </w:t>
      </w:r>
      <w:r>
        <w:rPr>
          <w:color w:val="231F20"/>
          <w:w w:val="105"/>
        </w:rPr>
        <w:t>etapa</w:t>
      </w:r>
      <w:r>
        <w:rPr>
          <w:color w:val="231F20"/>
          <w:spacing w:val="-17"/>
          <w:w w:val="105"/>
        </w:rPr>
        <w:t> </w:t>
      </w:r>
      <w:r>
        <w:rPr>
          <w:color w:val="231F20"/>
          <w:w w:val="105"/>
        </w:rPr>
        <w:t>a</w:t>
      </w:r>
      <w:r>
        <w:rPr>
          <w:color w:val="231F20"/>
          <w:spacing w:val="-17"/>
          <w:w w:val="105"/>
        </w:rPr>
        <w:t> </w:t>
      </w:r>
      <w:r>
        <w:rPr>
          <w:color w:val="231F20"/>
          <w:w w:val="105"/>
        </w:rPr>
        <w:t>partir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3"/>
          <w:w w:val="105"/>
        </w:rPr>
        <w:t>década</w:t>
      </w:r>
      <w:r>
        <w:rPr>
          <w:color w:val="231F20"/>
          <w:spacing w:val="-17"/>
          <w:w w:val="105"/>
        </w:rPr>
        <w:t> </w:t>
      </w:r>
      <w:r>
        <w:rPr>
          <w:color w:val="231F20"/>
          <w:w w:val="105"/>
        </w:rPr>
        <w:t>de</w:t>
      </w:r>
      <w:r>
        <w:rPr>
          <w:color w:val="231F20"/>
          <w:spacing w:val="-17"/>
          <w:w w:val="105"/>
        </w:rPr>
        <w:t> </w:t>
      </w:r>
      <w:r>
        <w:rPr>
          <w:color w:val="231F20"/>
          <w:spacing w:val="-3"/>
          <w:w w:val="105"/>
        </w:rPr>
        <w:t>los</w:t>
      </w:r>
      <w:r>
        <w:rPr>
          <w:color w:val="231F20"/>
          <w:spacing w:val="-17"/>
          <w:w w:val="105"/>
        </w:rPr>
        <w:t> </w:t>
      </w:r>
      <w:r>
        <w:rPr>
          <w:color w:val="231F20"/>
          <w:spacing w:val="-3"/>
          <w:w w:val="105"/>
        </w:rPr>
        <w:t>80’s,</w:t>
      </w:r>
      <w:r>
        <w:rPr>
          <w:color w:val="231F20"/>
          <w:spacing w:val="-17"/>
          <w:w w:val="105"/>
        </w:rPr>
        <w:t> </w:t>
      </w:r>
      <w:r>
        <w:rPr>
          <w:color w:val="231F20"/>
          <w:spacing w:val="-3"/>
          <w:w w:val="105"/>
        </w:rPr>
        <w:t>defi- </w:t>
      </w:r>
      <w:r>
        <w:rPr>
          <w:color w:val="231F20"/>
          <w:w w:val="105"/>
        </w:rPr>
        <w:t>nida </w:t>
      </w:r>
      <w:r>
        <w:rPr>
          <w:color w:val="231F20"/>
          <w:spacing w:val="-3"/>
          <w:w w:val="105"/>
        </w:rPr>
        <w:t>por </w:t>
      </w:r>
      <w:r>
        <w:rPr>
          <w:color w:val="231F20"/>
          <w:w w:val="105"/>
        </w:rPr>
        <w:t>una </w:t>
      </w:r>
      <w:r>
        <w:rPr>
          <w:color w:val="231F20"/>
          <w:spacing w:val="-4"/>
          <w:w w:val="105"/>
        </w:rPr>
        <w:t>desaceleración </w:t>
      </w:r>
      <w:r>
        <w:rPr>
          <w:color w:val="231F20"/>
          <w:spacing w:val="-3"/>
          <w:w w:val="105"/>
        </w:rPr>
        <w:t>del crecimiento poblacional, reflejada </w:t>
      </w:r>
      <w:r>
        <w:rPr>
          <w:color w:val="231F20"/>
          <w:w w:val="105"/>
        </w:rPr>
        <w:t>en la disminución de su</w:t>
      </w:r>
      <w:r>
        <w:rPr>
          <w:color w:val="231F20"/>
          <w:spacing w:val="-9"/>
          <w:w w:val="105"/>
        </w:rPr>
        <w:t> </w:t>
      </w:r>
      <w:r>
        <w:rPr>
          <w:color w:val="231F20"/>
          <w:spacing w:val="-3"/>
          <w:w w:val="105"/>
        </w:rPr>
        <w:t>número</w:t>
      </w:r>
      <w:r>
        <w:rPr>
          <w:color w:val="231F20"/>
          <w:spacing w:val="-9"/>
          <w:w w:val="105"/>
        </w:rPr>
        <w:t> </w:t>
      </w:r>
      <w:r>
        <w:rPr>
          <w:color w:val="231F20"/>
          <w:w w:val="105"/>
        </w:rPr>
        <w:t>de</w:t>
      </w:r>
      <w:r>
        <w:rPr>
          <w:color w:val="231F20"/>
          <w:spacing w:val="-9"/>
          <w:w w:val="105"/>
        </w:rPr>
        <w:t> </w:t>
      </w:r>
      <w:r>
        <w:rPr>
          <w:color w:val="231F20"/>
          <w:spacing w:val="-3"/>
          <w:w w:val="105"/>
        </w:rPr>
        <w:t>habitantes,</w:t>
      </w:r>
      <w:r>
        <w:rPr>
          <w:color w:val="231F20"/>
          <w:spacing w:val="-9"/>
          <w:w w:val="105"/>
        </w:rPr>
        <w:t> </w:t>
      </w:r>
      <w:r>
        <w:rPr>
          <w:color w:val="231F20"/>
          <w:spacing w:val="-3"/>
          <w:w w:val="105"/>
        </w:rPr>
        <w:t>aunque</w:t>
      </w:r>
      <w:r>
        <w:rPr>
          <w:color w:val="231F20"/>
          <w:spacing w:val="-9"/>
          <w:w w:val="105"/>
        </w:rPr>
        <w:t> </w:t>
      </w:r>
      <w:r>
        <w:rPr>
          <w:color w:val="231F20"/>
          <w:spacing w:val="-3"/>
          <w:w w:val="105"/>
        </w:rPr>
        <w:t>con</w:t>
      </w:r>
      <w:r>
        <w:rPr>
          <w:color w:val="231F20"/>
          <w:spacing w:val="-9"/>
          <w:w w:val="105"/>
        </w:rPr>
        <w:t> </w:t>
      </w:r>
      <w:r>
        <w:rPr>
          <w:color w:val="231F20"/>
          <w:w w:val="105"/>
        </w:rPr>
        <w:t>tasas</w:t>
      </w:r>
      <w:r>
        <w:rPr>
          <w:color w:val="231F20"/>
          <w:spacing w:val="-9"/>
          <w:w w:val="105"/>
        </w:rPr>
        <w:t> </w:t>
      </w:r>
      <w:r>
        <w:rPr>
          <w:color w:val="231F20"/>
          <w:spacing w:val="-3"/>
          <w:w w:val="105"/>
        </w:rPr>
        <w:t>negativas</w:t>
      </w:r>
      <w:r>
        <w:rPr>
          <w:color w:val="231F20"/>
          <w:spacing w:val="-9"/>
          <w:w w:val="105"/>
        </w:rPr>
        <w:t> </w:t>
      </w:r>
      <w:r>
        <w:rPr>
          <w:color w:val="231F20"/>
          <w:w w:val="105"/>
        </w:rPr>
        <w:t>de</w:t>
      </w:r>
      <w:r>
        <w:rPr>
          <w:color w:val="231F20"/>
          <w:spacing w:val="-9"/>
          <w:w w:val="105"/>
        </w:rPr>
        <w:t> </w:t>
      </w:r>
      <w:r>
        <w:rPr>
          <w:color w:val="231F20"/>
          <w:spacing w:val="-3"/>
          <w:w w:val="105"/>
        </w:rPr>
        <w:t>crecimiento</w:t>
      </w:r>
      <w:r>
        <w:rPr>
          <w:color w:val="231F20"/>
          <w:spacing w:val="-9"/>
          <w:w w:val="105"/>
        </w:rPr>
        <w:t> </w:t>
      </w:r>
      <w:r>
        <w:rPr>
          <w:color w:val="231F20"/>
          <w:spacing w:val="-3"/>
          <w:w w:val="105"/>
        </w:rPr>
        <w:t>promedio</w:t>
      </w:r>
      <w:r>
        <w:rPr>
          <w:color w:val="231F20"/>
          <w:spacing w:val="-9"/>
          <w:w w:val="105"/>
        </w:rPr>
        <w:t> </w:t>
      </w:r>
      <w:r>
        <w:rPr>
          <w:color w:val="231F20"/>
          <w:w w:val="105"/>
        </w:rPr>
        <w:t>anual</w:t>
      </w:r>
      <w:r>
        <w:rPr>
          <w:color w:val="231F20"/>
          <w:spacing w:val="-9"/>
          <w:w w:val="105"/>
        </w:rPr>
        <w:t> </w:t>
      </w:r>
      <w:r>
        <w:rPr>
          <w:color w:val="231F20"/>
          <w:spacing w:val="-3"/>
          <w:w w:val="105"/>
        </w:rPr>
        <w:t>que no</w:t>
      </w:r>
      <w:r>
        <w:rPr>
          <w:color w:val="231F20"/>
          <w:spacing w:val="-18"/>
          <w:w w:val="105"/>
        </w:rPr>
        <w:t> </w:t>
      </w:r>
      <w:r>
        <w:rPr>
          <w:color w:val="231F20"/>
          <w:w w:val="105"/>
        </w:rPr>
        <w:t>alcanzan</w:t>
      </w:r>
      <w:r>
        <w:rPr>
          <w:color w:val="231F20"/>
          <w:spacing w:val="-18"/>
          <w:w w:val="105"/>
        </w:rPr>
        <w:t> </w:t>
      </w:r>
      <w:r>
        <w:rPr>
          <w:color w:val="231F20"/>
          <w:w w:val="105"/>
        </w:rPr>
        <w:t>el</w:t>
      </w:r>
      <w:r>
        <w:rPr>
          <w:color w:val="231F20"/>
          <w:spacing w:val="-18"/>
          <w:w w:val="105"/>
        </w:rPr>
        <w:t> </w:t>
      </w:r>
      <w:r>
        <w:rPr>
          <w:color w:val="231F20"/>
          <w:spacing w:val="-5"/>
          <w:w w:val="105"/>
        </w:rPr>
        <w:t>1%.</w:t>
      </w:r>
      <w:r>
        <w:rPr>
          <w:color w:val="231F20"/>
          <w:spacing w:val="-18"/>
          <w:w w:val="105"/>
        </w:rPr>
        <w:t> </w:t>
      </w:r>
      <w:r>
        <w:rPr>
          <w:color w:val="231F20"/>
          <w:w w:val="105"/>
        </w:rPr>
        <w:t>Estos</w:t>
      </w:r>
      <w:r>
        <w:rPr>
          <w:color w:val="231F20"/>
          <w:spacing w:val="-18"/>
          <w:w w:val="105"/>
        </w:rPr>
        <w:t> </w:t>
      </w:r>
      <w:r>
        <w:rPr>
          <w:color w:val="231F20"/>
          <w:w w:val="105"/>
        </w:rPr>
        <w:t>es,</w:t>
      </w:r>
      <w:r>
        <w:rPr>
          <w:color w:val="231F20"/>
          <w:spacing w:val="-18"/>
          <w:w w:val="105"/>
        </w:rPr>
        <w:t> </w:t>
      </w:r>
      <w:r>
        <w:rPr>
          <w:color w:val="231F20"/>
          <w:w w:val="105"/>
        </w:rPr>
        <w:t>aun</w:t>
      </w:r>
      <w:r>
        <w:rPr>
          <w:color w:val="231F20"/>
          <w:spacing w:val="-18"/>
          <w:w w:val="105"/>
        </w:rPr>
        <w:t> </w:t>
      </w:r>
      <w:r>
        <w:rPr>
          <w:color w:val="231F20"/>
          <w:w w:val="105"/>
        </w:rPr>
        <w:t>cuando</w:t>
      </w:r>
      <w:r>
        <w:rPr>
          <w:color w:val="231F20"/>
          <w:spacing w:val="-18"/>
          <w:w w:val="105"/>
        </w:rPr>
        <w:t> </w:t>
      </w:r>
      <w:r>
        <w:rPr>
          <w:color w:val="231F20"/>
          <w:w w:val="105"/>
        </w:rPr>
        <w:t>a</w:t>
      </w:r>
      <w:r>
        <w:rPr>
          <w:color w:val="231F20"/>
          <w:spacing w:val="-18"/>
          <w:w w:val="105"/>
        </w:rPr>
        <w:t> </w:t>
      </w:r>
      <w:r>
        <w:rPr>
          <w:color w:val="231F20"/>
          <w:w w:val="105"/>
        </w:rPr>
        <w:t>partir</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spacing w:val="-4"/>
          <w:w w:val="105"/>
        </w:rPr>
        <w:t>80’s</w:t>
      </w:r>
      <w:r>
        <w:rPr>
          <w:color w:val="231F20"/>
          <w:spacing w:val="-18"/>
          <w:w w:val="105"/>
        </w:rPr>
        <w:t> </w:t>
      </w:r>
      <w:r>
        <w:rPr>
          <w:color w:val="231F20"/>
          <w:w w:val="105"/>
        </w:rPr>
        <w:t>se</w:t>
      </w:r>
      <w:r>
        <w:rPr>
          <w:color w:val="231F20"/>
          <w:spacing w:val="-18"/>
          <w:w w:val="105"/>
        </w:rPr>
        <w:t> </w:t>
      </w:r>
      <w:r>
        <w:rPr>
          <w:color w:val="231F20"/>
          <w:spacing w:val="-3"/>
          <w:w w:val="105"/>
        </w:rPr>
        <w:t>presenta</w:t>
      </w:r>
      <w:r>
        <w:rPr>
          <w:color w:val="231F20"/>
          <w:spacing w:val="-18"/>
          <w:w w:val="105"/>
        </w:rPr>
        <w:t> </w:t>
      </w:r>
      <w:r>
        <w:rPr>
          <w:color w:val="231F20"/>
          <w:w w:val="105"/>
        </w:rPr>
        <w:t>la</w:t>
      </w:r>
      <w:r>
        <w:rPr>
          <w:color w:val="231F20"/>
          <w:spacing w:val="-18"/>
          <w:w w:val="105"/>
        </w:rPr>
        <w:t> </w:t>
      </w:r>
      <w:r>
        <w:rPr>
          <w:color w:val="231F20"/>
          <w:w w:val="105"/>
        </w:rPr>
        <w:t>disminución</w:t>
      </w:r>
      <w:r>
        <w:rPr>
          <w:color w:val="231F20"/>
          <w:spacing w:val="-18"/>
          <w:w w:val="105"/>
        </w:rPr>
        <w:t> </w:t>
      </w:r>
      <w:r>
        <w:rPr>
          <w:color w:val="231F20"/>
          <w:w w:val="105"/>
        </w:rPr>
        <w:t>de </w:t>
      </w:r>
      <w:r>
        <w:rPr>
          <w:color w:val="231F20"/>
          <w:spacing w:val="-4"/>
          <w:w w:val="105"/>
        </w:rPr>
        <w:t>población,</w:t>
      </w:r>
      <w:r>
        <w:rPr>
          <w:color w:val="231F20"/>
          <w:spacing w:val="-6"/>
          <w:w w:val="105"/>
        </w:rPr>
        <w:t> </w:t>
      </w:r>
      <w:r>
        <w:rPr>
          <w:color w:val="231F20"/>
          <w:w w:val="105"/>
        </w:rPr>
        <w:t>este</w:t>
      </w:r>
      <w:r>
        <w:rPr>
          <w:color w:val="231F20"/>
          <w:spacing w:val="-6"/>
          <w:w w:val="105"/>
        </w:rPr>
        <w:t> </w:t>
      </w:r>
      <w:r>
        <w:rPr>
          <w:color w:val="231F20"/>
          <w:w w:val="105"/>
        </w:rPr>
        <w:t>descenso</w:t>
      </w:r>
      <w:r>
        <w:rPr>
          <w:color w:val="231F20"/>
          <w:spacing w:val="-6"/>
          <w:w w:val="105"/>
        </w:rPr>
        <w:t> </w:t>
      </w:r>
      <w:r>
        <w:rPr>
          <w:color w:val="231F20"/>
          <w:w w:val="105"/>
        </w:rPr>
        <w:t>es</w:t>
      </w:r>
      <w:r>
        <w:rPr>
          <w:color w:val="231F20"/>
          <w:spacing w:val="-6"/>
          <w:w w:val="105"/>
        </w:rPr>
        <w:t> </w:t>
      </w:r>
      <w:r>
        <w:rPr>
          <w:color w:val="231F20"/>
          <w:spacing w:val="-3"/>
          <w:w w:val="105"/>
        </w:rPr>
        <w:t>relativamente</w:t>
      </w:r>
      <w:r>
        <w:rPr>
          <w:color w:val="231F20"/>
          <w:spacing w:val="-6"/>
          <w:w w:val="105"/>
        </w:rPr>
        <w:t> </w:t>
      </w:r>
      <w:r>
        <w:rPr>
          <w:color w:val="231F20"/>
          <w:spacing w:val="-3"/>
          <w:w w:val="105"/>
        </w:rPr>
        <w:t>pequeño</w:t>
      </w:r>
      <w:r>
        <w:rPr>
          <w:color w:val="231F20"/>
          <w:spacing w:val="-6"/>
          <w:w w:val="105"/>
        </w:rPr>
        <w:t> </w:t>
      </w:r>
      <w:r>
        <w:rPr>
          <w:color w:val="231F20"/>
          <w:w w:val="105"/>
        </w:rPr>
        <w:t>en</w:t>
      </w:r>
      <w:r>
        <w:rPr>
          <w:color w:val="231F20"/>
          <w:spacing w:val="-6"/>
          <w:w w:val="105"/>
        </w:rPr>
        <w:t> </w:t>
      </w:r>
      <w:r>
        <w:rPr>
          <w:color w:val="231F20"/>
          <w:spacing w:val="-3"/>
          <w:w w:val="105"/>
        </w:rPr>
        <w:t>comparación</w:t>
      </w:r>
      <w:r>
        <w:rPr>
          <w:color w:val="231F20"/>
          <w:spacing w:val="-6"/>
          <w:w w:val="105"/>
        </w:rPr>
        <w:t> </w:t>
      </w:r>
      <w:r>
        <w:rPr>
          <w:color w:val="231F20"/>
          <w:spacing w:val="-3"/>
          <w:w w:val="105"/>
        </w:rPr>
        <w:t>con</w:t>
      </w:r>
      <w:r>
        <w:rPr>
          <w:color w:val="231F20"/>
          <w:spacing w:val="-6"/>
          <w:w w:val="105"/>
        </w:rPr>
        <w:t> </w:t>
      </w:r>
      <w:r>
        <w:rPr>
          <w:color w:val="231F20"/>
          <w:spacing w:val="-3"/>
          <w:w w:val="105"/>
        </w:rPr>
        <w:t>los</w:t>
      </w:r>
      <w:r>
        <w:rPr>
          <w:color w:val="231F20"/>
          <w:spacing w:val="-6"/>
          <w:w w:val="105"/>
        </w:rPr>
        <w:t> </w:t>
      </w:r>
      <w:r>
        <w:rPr>
          <w:color w:val="231F20"/>
          <w:w w:val="105"/>
        </w:rPr>
        <w:t>altos</w:t>
      </w:r>
      <w:r>
        <w:rPr>
          <w:color w:val="231F20"/>
          <w:spacing w:val="-6"/>
          <w:w w:val="105"/>
        </w:rPr>
        <w:t> </w:t>
      </w:r>
      <w:r>
        <w:rPr>
          <w:color w:val="231F20"/>
          <w:spacing w:val="-3"/>
          <w:w w:val="105"/>
        </w:rPr>
        <w:t>niveles </w:t>
      </w:r>
      <w:r>
        <w:rPr>
          <w:color w:val="231F20"/>
          <w:w w:val="105"/>
        </w:rPr>
        <w:t>de </w:t>
      </w:r>
      <w:r>
        <w:rPr>
          <w:color w:val="231F20"/>
          <w:spacing w:val="-3"/>
          <w:w w:val="105"/>
        </w:rPr>
        <w:t>crecimiento </w:t>
      </w:r>
      <w:r>
        <w:rPr>
          <w:color w:val="231F20"/>
          <w:w w:val="105"/>
        </w:rPr>
        <w:t>en décadas </w:t>
      </w:r>
      <w:r>
        <w:rPr>
          <w:color w:val="231F20"/>
          <w:spacing w:val="-3"/>
          <w:w w:val="105"/>
        </w:rPr>
        <w:t>anteriores, que inclusive, </w:t>
      </w:r>
      <w:r>
        <w:rPr>
          <w:color w:val="231F20"/>
          <w:w w:val="105"/>
        </w:rPr>
        <w:t>en su </w:t>
      </w:r>
      <w:r>
        <w:rPr>
          <w:color w:val="231F20"/>
          <w:spacing w:val="-4"/>
          <w:w w:val="105"/>
        </w:rPr>
        <w:t>momento </w:t>
      </w:r>
      <w:r>
        <w:rPr>
          <w:color w:val="231F20"/>
          <w:spacing w:val="-3"/>
          <w:w w:val="105"/>
        </w:rPr>
        <w:t>lo </w:t>
      </w:r>
      <w:r>
        <w:rPr>
          <w:color w:val="231F20"/>
          <w:w w:val="105"/>
        </w:rPr>
        <w:t>llevaron a </w:t>
      </w:r>
      <w:r>
        <w:rPr>
          <w:color w:val="231F20"/>
          <w:spacing w:val="-2"/>
          <w:w w:val="105"/>
        </w:rPr>
        <w:t>ser </w:t>
      </w:r>
      <w:r>
        <w:rPr>
          <w:color w:val="231F20"/>
          <w:w w:val="105"/>
        </w:rPr>
        <w:t>el </w:t>
      </w:r>
      <w:r>
        <w:rPr>
          <w:color w:val="231F20"/>
          <w:spacing w:val="-3"/>
          <w:w w:val="105"/>
        </w:rPr>
        <w:t>municipio</w:t>
      </w:r>
      <w:r>
        <w:rPr>
          <w:color w:val="231F20"/>
          <w:spacing w:val="-21"/>
          <w:w w:val="105"/>
        </w:rPr>
        <w:t> </w:t>
      </w:r>
      <w:r>
        <w:rPr>
          <w:color w:val="231F20"/>
          <w:spacing w:val="-3"/>
          <w:w w:val="105"/>
        </w:rPr>
        <w:t>poblacionalmente</w:t>
      </w:r>
      <w:r>
        <w:rPr>
          <w:color w:val="231F20"/>
          <w:spacing w:val="-21"/>
          <w:w w:val="105"/>
        </w:rPr>
        <w:t> </w:t>
      </w:r>
      <w:r>
        <w:rPr>
          <w:color w:val="231F20"/>
          <w:w w:val="105"/>
        </w:rPr>
        <w:t>más</w:t>
      </w:r>
      <w:r>
        <w:rPr>
          <w:color w:val="231F20"/>
          <w:spacing w:val="-21"/>
          <w:w w:val="105"/>
        </w:rPr>
        <w:t> </w:t>
      </w:r>
      <w:r>
        <w:rPr>
          <w:color w:val="231F20"/>
          <w:w w:val="105"/>
        </w:rPr>
        <w:t>grande</w:t>
      </w:r>
      <w:r>
        <w:rPr>
          <w:color w:val="231F20"/>
          <w:spacing w:val="-21"/>
          <w:w w:val="105"/>
        </w:rPr>
        <w:t> </w:t>
      </w:r>
      <w:r>
        <w:rPr>
          <w:color w:val="231F20"/>
          <w:spacing w:val="-3"/>
          <w:w w:val="105"/>
        </w:rPr>
        <w:t>del</w:t>
      </w:r>
      <w:r>
        <w:rPr>
          <w:color w:val="231F20"/>
          <w:spacing w:val="-21"/>
          <w:w w:val="105"/>
        </w:rPr>
        <w:t> </w:t>
      </w:r>
      <w:r>
        <w:rPr>
          <w:color w:val="231F20"/>
          <w:w w:val="105"/>
        </w:rPr>
        <w:t>país.</w:t>
      </w:r>
      <w:r>
        <w:rPr>
          <w:color w:val="231F20"/>
          <w:spacing w:val="-21"/>
          <w:w w:val="105"/>
        </w:rPr>
        <w:t> </w:t>
      </w:r>
      <w:r>
        <w:rPr>
          <w:color w:val="231F20"/>
          <w:spacing w:val="-4"/>
          <w:w w:val="105"/>
        </w:rPr>
        <w:t>Hoy</w:t>
      </w:r>
      <w:r>
        <w:rPr>
          <w:color w:val="231F20"/>
          <w:spacing w:val="-21"/>
          <w:w w:val="105"/>
        </w:rPr>
        <w:t> </w:t>
      </w:r>
      <w:r>
        <w:rPr>
          <w:color w:val="231F20"/>
          <w:w w:val="105"/>
        </w:rPr>
        <w:t>en</w:t>
      </w:r>
      <w:r>
        <w:rPr>
          <w:color w:val="231F20"/>
          <w:spacing w:val="-21"/>
          <w:w w:val="105"/>
        </w:rPr>
        <w:t> </w:t>
      </w:r>
      <w:r>
        <w:rPr>
          <w:color w:val="231F20"/>
          <w:w w:val="105"/>
        </w:rPr>
        <w:t>día</w:t>
      </w:r>
      <w:r>
        <w:rPr>
          <w:color w:val="231F20"/>
          <w:spacing w:val="-21"/>
          <w:w w:val="105"/>
        </w:rPr>
        <w:t> </w:t>
      </w:r>
      <w:r>
        <w:rPr>
          <w:color w:val="231F20"/>
          <w:spacing w:val="-3"/>
          <w:w w:val="105"/>
        </w:rPr>
        <w:t>Nezahualcóyotl</w:t>
      </w:r>
      <w:r>
        <w:rPr>
          <w:color w:val="231F20"/>
          <w:spacing w:val="-21"/>
          <w:w w:val="105"/>
        </w:rPr>
        <w:t> </w:t>
      </w:r>
      <w:r>
        <w:rPr>
          <w:color w:val="231F20"/>
          <w:w w:val="105"/>
        </w:rPr>
        <w:t>ha</w:t>
      </w:r>
      <w:r>
        <w:rPr>
          <w:color w:val="231F20"/>
          <w:spacing w:val="-21"/>
          <w:w w:val="105"/>
        </w:rPr>
        <w:t> </w:t>
      </w:r>
      <w:r>
        <w:rPr>
          <w:color w:val="231F20"/>
          <w:spacing w:val="-4"/>
          <w:w w:val="105"/>
        </w:rPr>
        <w:t>sido</w:t>
      </w:r>
      <w:r>
        <w:rPr>
          <w:color w:val="231F20"/>
          <w:spacing w:val="-21"/>
          <w:w w:val="105"/>
        </w:rPr>
        <w:t> </w:t>
      </w:r>
      <w:r>
        <w:rPr>
          <w:color w:val="231F20"/>
          <w:spacing w:val="-3"/>
          <w:w w:val="105"/>
        </w:rPr>
        <w:t>des- plazado</w:t>
      </w:r>
      <w:r>
        <w:rPr>
          <w:color w:val="231F20"/>
          <w:spacing w:val="-15"/>
          <w:w w:val="105"/>
        </w:rPr>
        <w:t> </w:t>
      </w:r>
      <w:r>
        <w:rPr>
          <w:color w:val="231F20"/>
          <w:w w:val="105"/>
        </w:rPr>
        <w:t>al</w:t>
      </w:r>
      <w:r>
        <w:rPr>
          <w:color w:val="231F20"/>
          <w:spacing w:val="-15"/>
          <w:w w:val="105"/>
        </w:rPr>
        <w:t> </w:t>
      </w:r>
      <w:r>
        <w:rPr>
          <w:color w:val="231F20"/>
          <w:w w:val="105"/>
        </w:rPr>
        <w:t>segundo</w:t>
      </w:r>
      <w:r>
        <w:rPr>
          <w:color w:val="231F20"/>
          <w:spacing w:val="-15"/>
          <w:w w:val="105"/>
        </w:rPr>
        <w:t> </w:t>
      </w:r>
      <w:r>
        <w:rPr>
          <w:color w:val="231F20"/>
          <w:spacing w:val="-3"/>
          <w:w w:val="105"/>
        </w:rPr>
        <w:t>lugar</w:t>
      </w:r>
      <w:r>
        <w:rPr>
          <w:color w:val="231F20"/>
          <w:spacing w:val="-15"/>
          <w:w w:val="105"/>
        </w:rPr>
        <w:t> </w:t>
      </w: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a</w:t>
      </w:r>
      <w:r>
        <w:rPr>
          <w:color w:val="231F20"/>
          <w:spacing w:val="-15"/>
          <w:w w:val="105"/>
        </w:rPr>
        <w:t> </w:t>
      </w:r>
      <w:r>
        <w:rPr>
          <w:color w:val="231F20"/>
          <w:spacing w:val="-3"/>
          <w:w w:val="105"/>
        </w:rPr>
        <w:t>número</w:t>
      </w:r>
      <w:r>
        <w:rPr>
          <w:color w:val="231F20"/>
          <w:spacing w:val="-15"/>
          <w:w w:val="105"/>
        </w:rPr>
        <w:t> </w:t>
      </w:r>
      <w:r>
        <w:rPr>
          <w:color w:val="231F20"/>
          <w:w w:val="105"/>
        </w:rPr>
        <w:t>de</w:t>
      </w:r>
      <w:r>
        <w:rPr>
          <w:color w:val="231F20"/>
          <w:spacing w:val="-15"/>
          <w:w w:val="105"/>
        </w:rPr>
        <w:t> </w:t>
      </w:r>
      <w:r>
        <w:rPr>
          <w:color w:val="231F20"/>
          <w:spacing w:val="-3"/>
          <w:w w:val="105"/>
        </w:rPr>
        <w:t>habitantes</w:t>
      </w:r>
      <w:r>
        <w:rPr>
          <w:color w:val="231F20"/>
          <w:spacing w:val="-15"/>
          <w:w w:val="105"/>
        </w:rPr>
        <w:t> </w:t>
      </w:r>
      <w:r>
        <w:rPr>
          <w:color w:val="231F20"/>
          <w:spacing w:val="-3"/>
          <w:w w:val="105"/>
        </w:rPr>
        <w:t>por</w:t>
      </w:r>
      <w:r>
        <w:rPr>
          <w:color w:val="231F20"/>
          <w:spacing w:val="-15"/>
          <w:w w:val="105"/>
        </w:rPr>
        <w:t> </w:t>
      </w:r>
      <w:r>
        <w:rPr>
          <w:color w:val="231F20"/>
          <w:w w:val="105"/>
        </w:rPr>
        <w:t>el</w:t>
      </w:r>
      <w:r>
        <w:rPr>
          <w:color w:val="231F20"/>
          <w:spacing w:val="-15"/>
          <w:w w:val="105"/>
        </w:rPr>
        <w:t> </w:t>
      </w:r>
      <w:r>
        <w:rPr>
          <w:color w:val="231F20"/>
          <w:spacing w:val="-3"/>
          <w:w w:val="105"/>
        </w:rPr>
        <w:t>municipio</w:t>
      </w:r>
      <w:r>
        <w:rPr>
          <w:color w:val="231F20"/>
          <w:spacing w:val="-15"/>
          <w:w w:val="105"/>
        </w:rPr>
        <w:t> </w:t>
      </w:r>
      <w:r>
        <w:rPr>
          <w:color w:val="231F20"/>
          <w:w w:val="105"/>
        </w:rPr>
        <w:t>de</w:t>
      </w:r>
      <w:r>
        <w:rPr>
          <w:color w:val="231F20"/>
          <w:spacing w:val="-15"/>
          <w:w w:val="105"/>
        </w:rPr>
        <w:t> </w:t>
      </w:r>
      <w:r>
        <w:rPr>
          <w:color w:val="231F20"/>
          <w:spacing w:val="-3"/>
          <w:w w:val="105"/>
        </w:rPr>
        <w:t>Ecatepec, que</w:t>
      </w:r>
      <w:r>
        <w:rPr>
          <w:color w:val="231F20"/>
          <w:spacing w:val="-16"/>
          <w:w w:val="105"/>
        </w:rPr>
        <w:t> </w:t>
      </w:r>
      <w:r>
        <w:rPr>
          <w:color w:val="231F20"/>
          <w:w w:val="105"/>
        </w:rPr>
        <w:t>actualmente</w:t>
      </w:r>
      <w:r>
        <w:rPr>
          <w:color w:val="231F20"/>
          <w:spacing w:val="-16"/>
          <w:w w:val="105"/>
        </w:rPr>
        <w:t> </w:t>
      </w:r>
      <w:r>
        <w:rPr>
          <w:color w:val="231F20"/>
          <w:w w:val="105"/>
        </w:rPr>
        <w:t>registra</w:t>
      </w:r>
      <w:r>
        <w:rPr>
          <w:color w:val="231F20"/>
          <w:spacing w:val="-16"/>
          <w:w w:val="105"/>
        </w:rPr>
        <w:t> </w:t>
      </w:r>
      <w:r>
        <w:rPr>
          <w:color w:val="231F20"/>
          <w:w w:val="105"/>
        </w:rPr>
        <w:t>una</w:t>
      </w:r>
      <w:r>
        <w:rPr>
          <w:color w:val="231F20"/>
          <w:spacing w:val="-16"/>
          <w:w w:val="105"/>
        </w:rPr>
        <w:t> </w:t>
      </w:r>
      <w:r>
        <w:rPr>
          <w:color w:val="231F20"/>
          <w:spacing w:val="-4"/>
          <w:w w:val="105"/>
        </w:rPr>
        <w:t>población</w:t>
      </w:r>
      <w:r>
        <w:rPr>
          <w:color w:val="231F20"/>
          <w:spacing w:val="-16"/>
          <w:w w:val="105"/>
        </w:rPr>
        <w:t> </w:t>
      </w:r>
      <w:r>
        <w:rPr>
          <w:color w:val="231F20"/>
          <w:w w:val="105"/>
        </w:rPr>
        <w:t>de</w:t>
      </w:r>
      <w:r>
        <w:rPr>
          <w:color w:val="231F20"/>
          <w:spacing w:val="-16"/>
          <w:w w:val="105"/>
        </w:rPr>
        <w:t> </w:t>
      </w:r>
      <w:r>
        <w:rPr>
          <w:color w:val="231F20"/>
          <w:w w:val="105"/>
        </w:rPr>
        <w:t>más</w:t>
      </w:r>
      <w:r>
        <w:rPr>
          <w:color w:val="231F20"/>
          <w:spacing w:val="-16"/>
          <w:w w:val="105"/>
        </w:rPr>
        <w:t> </w:t>
      </w:r>
      <w:r>
        <w:rPr>
          <w:color w:val="231F20"/>
          <w:w w:val="105"/>
        </w:rPr>
        <w:t>de</w:t>
      </w:r>
      <w:r>
        <w:rPr>
          <w:color w:val="231F20"/>
          <w:spacing w:val="-16"/>
          <w:w w:val="105"/>
        </w:rPr>
        <w:t> </w:t>
      </w:r>
      <w:r>
        <w:rPr>
          <w:color w:val="231F20"/>
          <w:w w:val="105"/>
        </w:rPr>
        <w:t>millón</w:t>
      </w:r>
      <w:r>
        <w:rPr>
          <w:color w:val="231F20"/>
          <w:spacing w:val="-16"/>
          <w:w w:val="105"/>
        </w:rPr>
        <w:t> </w:t>
      </w:r>
      <w:r>
        <w:rPr>
          <w:color w:val="231F20"/>
          <w:w w:val="105"/>
        </w:rPr>
        <w:t>y</w:t>
      </w:r>
      <w:r>
        <w:rPr>
          <w:color w:val="231F20"/>
          <w:spacing w:val="-16"/>
          <w:w w:val="105"/>
        </w:rPr>
        <w:t> </w:t>
      </w:r>
      <w:r>
        <w:rPr>
          <w:color w:val="231F20"/>
          <w:spacing w:val="-3"/>
          <w:w w:val="105"/>
        </w:rPr>
        <w:t>medio.</w:t>
      </w:r>
    </w:p>
    <w:p>
      <w:pPr>
        <w:pStyle w:val="BodyText"/>
        <w:spacing w:before="1"/>
        <w:rPr>
          <w:sz w:val="26"/>
        </w:rPr>
      </w:pPr>
    </w:p>
    <w:p>
      <w:pPr>
        <w:pStyle w:val="BodyText"/>
        <w:spacing w:line="285" w:lineRule="auto"/>
        <w:ind w:left="110" w:right="108"/>
        <w:jc w:val="both"/>
      </w:pPr>
      <w:r>
        <w:rPr>
          <w:color w:val="231F20"/>
          <w:w w:val="105"/>
        </w:rPr>
        <w:t>Pese a la disminución de población que ha venido registrando el municipio en los úl- timos</w:t>
      </w:r>
      <w:r>
        <w:rPr>
          <w:color w:val="231F20"/>
          <w:spacing w:val="-8"/>
          <w:w w:val="105"/>
        </w:rPr>
        <w:t> </w:t>
      </w:r>
      <w:r>
        <w:rPr>
          <w:color w:val="231F20"/>
          <w:w w:val="105"/>
        </w:rPr>
        <w:t>años,</w:t>
      </w:r>
      <w:r>
        <w:rPr>
          <w:color w:val="231F20"/>
          <w:spacing w:val="-8"/>
          <w:w w:val="105"/>
        </w:rPr>
        <w:t> </w:t>
      </w:r>
      <w:r>
        <w:rPr>
          <w:color w:val="231F20"/>
          <w:w w:val="105"/>
        </w:rPr>
        <w:t>continúa</w:t>
      </w:r>
      <w:r>
        <w:rPr>
          <w:color w:val="231F20"/>
          <w:spacing w:val="-8"/>
          <w:w w:val="105"/>
        </w:rPr>
        <w:t> </w:t>
      </w:r>
      <w:r>
        <w:rPr>
          <w:color w:val="231F20"/>
          <w:w w:val="105"/>
        </w:rPr>
        <w:t>teniendo</w:t>
      </w:r>
      <w:r>
        <w:rPr>
          <w:color w:val="231F20"/>
          <w:spacing w:val="-8"/>
          <w:w w:val="105"/>
        </w:rPr>
        <w:t> </w:t>
      </w:r>
      <w:r>
        <w:rPr>
          <w:color w:val="231F20"/>
          <w:w w:val="105"/>
        </w:rPr>
        <w:t>la</w:t>
      </w:r>
      <w:r>
        <w:rPr>
          <w:color w:val="231F20"/>
          <w:spacing w:val="-8"/>
          <w:w w:val="105"/>
        </w:rPr>
        <w:t> </w:t>
      </w:r>
      <w:r>
        <w:rPr>
          <w:color w:val="231F20"/>
          <w:w w:val="105"/>
        </w:rPr>
        <w:t>más</w:t>
      </w:r>
      <w:r>
        <w:rPr>
          <w:color w:val="231F20"/>
          <w:spacing w:val="-8"/>
          <w:w w:val="105"/>
        </w:rPr>
        <w:t> </w:t>
      </w:r>
      <w:r>
        <w:rPr>
          <w:color w:val="231F20"/>
          <w:w w:val="105"/>
        </w:rPr>
        <w:t>elevada</w:t>
      </w:r>
      <w:r>
        <w:rPr>
          <w:color w:val="231F20"/>
          <w:spacing w:val="-8"/>
          <w:w w:val="105"/>
        </w:rPr>
        <w:t> </w:t>
      </w:r>
      <w:r>
        <w:rPr>
          <w:color w:val="231F20"/>
          <w:w w:val="105"/>
        </w:rPr>
        <w:t>densidad</w:t>
      </w:r>
      <w:r>
        <w:rPr>
          <w:color w:val="231F20"/>
          <w:spacing w:val="-8"/>
          <w:w w:val="105"/>
        </w:rPr>
        <w:t> </w:t>
      </w:r>
      <w:r>
        <w:rPr>
          <w:color w:val="231F20"/>
          <w:w w:val="105"/>
        </w:rPr>
        <w:t>poblacional</w:t>
      </w:r>
      <w:r>
        <w:rPr>
          <w:color w:val="231F20"/>
          <w:spacing w:val="-8"/>
          <w:w w:val="105"/>
        </w:rPr>
        <w:t> </w:t>
      </w:r>
      <w:r>
        <w:rPr>
          <w:color w:val="231F20"/>
          <w:w w:val="105"/>
        </w:rPr>
        <w:t>del</w:t>
      </w:r>
      <w:r>
        <w:rPr>
          <w:color w:val="231F20"/>
          <w:spacing w:val="-8"/>
          <w:w w:val="105"/>
        </w:rPr>
        <w:t> </w:t>
      </w:r>
      <w:r>
        <w:rPr>
          <w:color w:val="231F20"/>
          <w:w w:val="105"/>
        </w:rPr>
        <w:t>país</w:t>
      </w:r>
      <w:r>
        <w:rPr>
          <w:color w:val="231F20"/>
          <w:spacing w:val="-8"/>
          <w:w w:val="105"/>
        </w:rPr>
        <w:t> </w:t>
      </w:r>
      <w:r>
        <w:rPr>
          <w:color w:val="231F20"/>
          <w:w w:val="105"/>
        </w:rPr>
        <w:t>con</w:t>
      </w:r>
      <w:r>
        <w:rPr>
          <w:color w:val="231F20"/>
          <w:spacing w:val="-8"/>
          <w:w w:val="105"/>
        </w:rPr>
        <w:t> 17,978 </w:t>
      </w:r>
      <w:r>
        <w:rPr>
          <w:color w:val="231F20"/>
          <w:w w:val="105"/>
        </w:rPr>
        <w:t>habitantes por kilómetro</w:t>
      </w:r>
      <w:r>
        <w:rPr>
          <w:color w:val="231F20"/>
          <w:spacing w:val="-4"/>
          <w:w w:val="105"/>
        </w:rPr>
        <w:t> </w:t>
      </w:r>
      <w:r>
        <w:rPr>
          <w:color w:val="231F20"/>
          <w:w w:val="105"/>
        </w:rPr>
        <w:t>cuadrado.</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3"/>
          <w:w w:val="105"/>
        </w:rPr>
        <w:t> </w:t>
      </w:r>
      <w:r>
        <w:rPr>
          <w:color w:val="231F20"/>
          <w:spacing w:val="2"/>
          <w:w w:val="105"/>
        </w:rPr>
        <w:t>tal</w:t>
      </w:r>
      <w:r>
        <w:rPr>
          <w:color w:val="231F20"/>
          <w:spacing w:val="-13"/>
          <w:w w:val="105"/>
        </w:rPr>
        <w:t> </w:t>
      </w:r>
      <w:r>
        <w:rPr>
          <w:color w:val="231F20"/>
          <w:w w:val="105"/>
        </w:rPr>
        <w:t>manera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que</w:t>
      </w:r>
      <w:r>
        <w:rPr>
          <w:color w:val="231F20"/>
          <w:spacing w:val="-13"/>
          <w:w w:val="105"/>
        </w:rPr>
        <w:t> </w:t>
      </w:r>
      <w:r>
        <w:rPr>
          <w:color w:val="231F20"/>
          <w:w w:val="105"/>
        </w:rPr>
        <w:t>habita</w:t>
      </w:r>
      <w:r>
        <w:rPr>
          <w:color w:val="231F20"/>
          <w:spacing w:val="-13"/>
          <w:w w:val="105"/>
        </w:rPr>
        <w:t> </w:t>
      </w:r>
      <w:r>
        <w:rPr>
          <w:color w:val="231F20"/>
          <w:w w:val="105"/>
        </w:rPr>
        <w:t>Nezahualcóyotl</w:t>
      </w:r>
      <w:r>
        <w:rPr>
          <w:color w:val="231F20"/>
          <w:spacing w:val="-13"/>
          <w:w w:val="105"/>
        </w:rPr>
        <w:t> </w:t>
      </w:r>
      <w:r>
        <w:rPr>
          <w:color w:val="231F20"/>
          <w:w w:val="105"/>
        </w:rPr>
        <w:t>es</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mayoría</w:t>
      </w:r>
      <w:r>
        <w:rPr>
          <w:color w:val="231F20"/>
          <w:spacing w:val="-13"/>
          <w:w w:val="105"/>
        </w:rPr>
        <w:t> </w:t>
      </w:r>
      <w:r>
        <w:rPr>
          <w:color w:val="231F20"/>
          <w:w w:val="105"/>
        </w:rPr>
        <w:t>inmigrante proveniente</w:t>
      </w:r>
      <w:r>
        <w:rPr>
          <w:color w:val="231F20"/>
          <w:spacing w:val="-28"/>
          <w:w w:val="105"/>
        </w:rPr>
        <w:t> </w:t>
      </w:r>
      <w:r>
        <w:rPr>
          <w:color w:val="231F20"/>
          <w:w w:val="105"/>
        </w:rPr>
        <w:t>principalmente</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entidades</w:t>
      </w:r>
      <w:r>
        <w:rPr>
          <w:color w:val="231F20"/>
          <w:spacing w:val="-28"/>
          <w:w w:val="105"/>
        </w:rPr>
        <w:t> </w:t>
      </w:r>
      <w:r>
        <w:rPr>
          <w:color w:val="231F20"/>
          <w:w w:val="105"/>
        </w:rPr>
        <w:t>como</w:t>
      </w:r>
      <w:r>
        <w:rPr>
          <w:color w:val="231F20"/>
          <w:spacing w:val="-28"/>
          <w:w w:val="105"/>
        </w:rPr>
        <w:t> </w:t>
      </w:r>
      <w:r>
        <w:rPr>
          <w:color w:val="231F20"/>
          <w:w w:val="105"/>
        </w:rPr>
        <w:t>Oaxaca,</w:t>
      </w:r>
      <w:r>
        <w:rPr>
          <w:color w:val="231F20"/>
          <w:spacing w:val="-28"/>
          <w:w w:val="105"/>
        </w:rPr>
        <w:t> </w:t>
      </w:r>
      <w:r>
        <w:rPr>
          <w:color w:val="231F20"/>
          <w:w w:val="105"/>
        </w:rPr>
        <w:t>Distrito</w:t>
      </w:r>
      <w:r>
        <w:rPr>
          <w:color w:val="231F20"/>
          <w:spacing w:val="-28"/>
          <w:w w:val="105"/>
        </w:rPr>
        <w:t> </w:t>
      </w:r>
      <w:r>
        <w:rPr>
          <w:color w:val="231F20"/>
          <w:w w:val="105"/>
        </w:rPr>
        <w:t>Federal,</w:t>
      </w:r>
      <w:r>
        <w:rPr>
          <w:color w:val="231F20"/>
          <w:spacing w:val="-28"/>
          <w:w w:val="105"/>
        </w:rPr>
        <w:t> </w:t>
      </w:r>
      <w:r>
        <w:rPr>
          <w:color w:val="231F20"/>
          <w:w w:val="105"/>
        </w:rPr>
        <w:t>Michoacán,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Puebla</w:t>
      </w:r>
      <w:r>
        <w:rPr>
          <w:color w:val="231F20"/>
          <w:spacing w:val="-19"/>
          <w:w w:val="105"/>
        </w:rPr>
        <w:t> </w:t>
      </w:r>
      <w:r>
        <w:rPr>
          <w:color w:val="231F20"/>
          <w:w w:val="105"/>
        </w:rPr>
        <w:t>y</w:t>
      </w:r>
      <w:r>
        <w:rPr>
          <w:color w:val="231F20"/>
          <w:spacing w:val="-19"/>
          <w:w w:val="105"/>
        </w:rPr>
        <w:t> </w:t>
      </w:r>
      <w:r>
        <w:rPr>
          <w:color w:val="231F20"/>
          <w:w w:val="105"/>
        </w:rPr>
        <w:t>Veracruz.</w:t>
      </w:r>
      <w:r>
        <w:rPr>
          <w:color w:val="231F20"/>
          <w:spacing w:val="-19"/>
          <w:w w:val="105"/>
        </w:rPr>
        <w:t> </w:t>
      </w:r>
      <w:r>
        <w:rPr>
          <w:color w:val="231F20"/>
          <w:spacing w:val="3"/>
          <w:w w:val="105"/>
        </w:rPr>
        <w:t>Al</w:t>
      </w:r>
      <w:r>
        <w:rPr>
          <w:color w:val="231F20"/>
          <w:spacing w:val="-19"/>
          <w:w w:val="105"/>
        </w:rPr>
        <w:t> </w:t>
      </w:r>
      <w:r>
        <w:rPr>
          <w:color w:val="231F20"/>
          <w:w w:val="105"/>
        </w:rPr>
        <w:t>grado</w:t>
      </w:r>
      <w:r>
        <w:rPr>
          <w:color w:val="231F20"/>
          <w:spacing w:val="-19"/>
          <w:w w:val="105"/>
        </w:rPr>
        <w:t> </w:t>
      </w:r>
      <w:r>
        <w:rPr>
          <w:color w:val="231F20"/>
          <w:w w:val="105"/>
        </w:rPr>
        <w:t>de</w:t>
      </w:r>
      <w:r>
        <w:rPr>
          <w:color w:val="231F20"/>
          <w:spacing w:val="-19"/>
          <w:w w:val="105"/>
        </w:rPr>
        <w:t> </w:t>
      </w:r>
      <w:r>
        <w:rPr>
          <w:color w:val="231F20"/>
          <w:w w:val="105"/>
        </w:rPr>
        <w:t>que</w:t>
      </w:r>
      <w:r>
        <w:rPr>
          <w:color w:val="231F20"/>
          <w:spacing w:val="-19"/>
          <w:w w:val="105"/>
        </w:rPr>
        <w:t> </w:t>
      </w:r>
      <w:r>
        <w:rPr>
          <w:color w:val="231F20"/>
          <w:w w:val="105"/>
        </w:rPr>
        <w:t>algunos</w:t>
      </w:r>
      <w:r>
        <w:rPr>
          <w:color w:val="231F20"/>
          <w:spacing w:val="-19"/>
          <w:w w:val="105"/>
        </w:rPr>
        <w:t> </w:t>
      </w:r>
      <w:r>
        <w:rPr>
          <w:color w:val="231F20"/>
          <w:w w:val="105"/>
        </w:rPr>
        <w:t>políticos</w:t>
      </w:r>
      <w:r>
        <w:rPr>
          <w:color w:val="231F20"/>
          <w:spacing w:val="-19"/>
          <w:w w:val="105"/>
        </w:rPr>
        <w:t> </w:t>
      </w:r>
      <w:r>
        <w:rPr>
          <w:color w:val="231F20"/>
          <w:w w:val="105"/>
        </w:rPr>
        <w:t>y</w:t>
      </w:r>
      <w:r>
        <w:rPr>
          <w:color w:val="231F20"/>
          <w:spacing w:val="-19"/>
          <w:w w:val="105"/>
        </w:rPr>
        <w:t> </w:t>
      </w:r>
      <w:r>
        <w:rPr>
          <w:color w:val="231F20"/>
          <w:w w:val="105"/>
        </w:rPr>
        <w:t>candidatos</w:t>
      </w:r>
      <w:r>
        <w:rPr>
          <w:color w:val="231F20"/>
          <w:spacing w:val="-19"/>
          <w:w w:val="105"/>
        </w:rPr>
        <w:t> </w:t>
      </w:r>
      <w:r>
        <w:rPr>
          <w:color w:val="231F20"/>
          <w:w w:val="105"/>
        </w:rPr>
        <w:t>a</w:t>
      </w:r>
      <w:r>
        <w:rPr>
          <w:color w:val="231F20"/>
          <w:spacing w:val="-19"/>
          <w:w w:val="105"/>
        </w:rPr>
        <w:t> </w:t>
      </w:r>
      <w:r>
        <w:rPr>
          <w:color w:val="231F20"/>
          <w:w w:val="105"/>
        </w:rPr>
        <w:t>puestos</w:t>
      </w:r>
      <w:r>
        <w:rPr>
          <w:color w:val="231F20"/>
          <w:spacing w:val="-19"/>
          <w:w w:val="105"/>
        </w:rPr>
        <w:t> </w:t>
      </w:r>
      <w:r>
        <w:rPr>
          <w:color w:val="231F20"/>
          <w:w w:val="105"/>
        </w:rPr>
        <w:t>de</w:t>
      </w:r>
      <w:r>
        <w:rPr>
          <w:color w:val="231F20"/>
          <w:spacing w:val="-19"/>
          <w:w w:val="105"/>
        </w:rPr>
        <w:t> </w:t>
      </w:r>
      <w:r>
        <w:rPr>
          <w:color w:val="231F20"/>
          <w:w w:val="105"/>
        </w:rPr>
        <w:t>elección popular</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Oaxaca</w:t>
      </w:r>
      <w:r>
        <w:rPr>
          <w:color w:val="231F20"/>
          <w:spacing w:val="-15"/>
          <w:w w:val="105"/>
        </w:rPr>
        <w:t> </w:t>
      </w:r>
      <w:r>
        <w:rPr>
          <w:color w:val="231F20"/>
          <w:w w:val="105"/>
        </w:rPr>
        <w:t>también</w:t>
      </w:r>
      <w:r>
        <w:rPr>
          <w:color w:val="231F20"/>
          <w:spacing w:val="-15"/>
          <w:w w:val="105"/>
        </w:rPr>
        <w:t> </w:t>
      </w:r>
      <w:r>
        <w:rPr>
          <w:color w:val="231F20"/>
          <w:w w:val="105"/>
        </w:rPr>
        <w:t>realizan</w:t>
      </w:r>
      <w:r>
        <w:rPr>
          <w:color w:val="231F20"/>
          <w:spacing w:val="-15"/>
          <w:w w:val="105"/>
        </w:rPr>
        <w:t> </w:t>
      </w:r>
      <w:r>
        <w:rPr>
          <w:color w:val="231F20"/>
          <w:w w:val="105"/>
        </w:rPr>
        <w:t>actividades</w:t>
      </w:r>
      <w:r>
        <w:rPr>
          <w:color w:val="231F20"/>
          <w:spacing w:val="-15"/>
          <w:w w:val="105"/>
        </w:rPr>
        <w:t> </w:t>
      </w:r>
      <w:r>
        <w:rPr>
          <w:color w:val="231F20"/>
          <w:w w:val="105"/>
        </w:rPr>
        <w:t>de</w:t>
      </w:r>
      <w:r>
        <w:rPr>
          <w:color w:val="231F20"/>
          <w:spacing w:val="-15"/>
          <w:w w:val="105"/>
        </w:rPr>
        <w:t> </w:t>
      </w:r>
      <w:r>
        <w:rPr>
          <w:color w:val="231F20"/>
          <w:w w:val="105"/>
        </w:rPr>
        <w:t>proselitismo</w:t>
      </w:r>
      <w:r>
        <w:rPr>
          <w:color w:val="231F20"/>
          <w:spacing w:val="-15"/>
          <w:w w:val="105"/>
        </w:rPr>
        <w:t> </w:t>
      </w:r>
      <w:r>
        <w:rPr>
          <w:color w:val="231F20"/>
          <w:w w:val="105"/>
        </w:rPr>
        <w:t>en</w:t>
      </w:r>
      <w:r>
        <w:rPr>
          <w:color w:val="231F20"/>
          <w:spacing w:val="-15"/>
          <w:w w:val="105"/>
        </w:rPr>
        <w:t> </w:t>
      </w:r>
      <w:r>
        <w:rPr>
          <w:color w:val="231F20"/>
          <w:w w:val="105"/>
        </w:rPr>
        <w:t>algunas zonas</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además</w:t>
      </w:r>
      <w:r>
        <w:rPr>
          <w:color w:val="231F20"/>
          <w:spacing w:val="-18"/>
          <w:w w:val="105"/>
        </w:rPr>
        <w:t> </w:t>
      </w:r>
      <w:r>
        <w:rPr>
          <w:color w:val="231F20"/>
          <w:w w:val="105"/>
        </w:rPr>
        <w:t>que</w:t>
      </w:r>
      <w:r>
        <w:rPr>
          <w:color w:val="231F20"/>
          <w:spacing w:val="-18"/>
          <w:w w:val="105"/>
        </w:rPr>
        <w:t> </w:t>
      </w:r>
      <w:r>
        <w:rPr>
          <w:color w:val="231F20"/>
          <w:w w:val="105"/>
        </w:rPr>
        <w:t>los</w:t>
      </w:r>
      <w:r>
        <w:rPr>
          <w:color w:val="231F20"/>
          <w:spacing w:val="-18"/>
          <w:w w:val="105"/>
        </w:rPr>
        <w:t> </w:t>
      </w:r>
      <w:r>
        <w:rPr>
          <w:color w:val="231F20"/>
          <w:w w:val="105"/>
        </w:rPr>
        <w:t>líderes</w:t>
      </w:r>
      <w:r>
        <w:rPr>
          <w:color w:val="231F20"/>
          <w:spacing w:val="-18"/>
          <w:w w:val="105"/>
        </w:rPr>
        <w:t> </w:t>
      </w:r>
      <w:r>
        <w:rPr>
          <w:color w:val="231F20"/>
          <w:w w:val="105"/>
        </w:rPr>
        <w:t>perredistas</w:t>
      </w:r>
      <w:r>
        <w:rPr>
          <w:color w:val="231F20"/>
          <w:spacing w:val="-18"/>
          <w:w w:val="105"/>
        </w:rPr>
        <w:t> </w:t>
      </w:r>
      <w:r>
        <w:rPr>
          <w:color w:val="231F20"/>
          <w:w w:val="105"/>
        </w:rPr>
        <w:t>más</w:t>
      </w:r>
      <w:r>
        <w:rPr>
          <w:color w:val="231F20"/>
          <w:spacing w:val="-18"/>
          <w:w w:val="105"/>
        </w:rPr>
        <w:t> </w:t>
      </w:r>
      <w:r>
        <w:rPr>
          <w:color w:val="231F20"/>
          <w:w w:val="105"/>
        </w:rPr>
        <w:t>destacados</w:t>
      </w:r>
      <w:r>
        <w:rPr>
          <w:color w:val="231F20"/>
          <w:spacing w:val="-18"/>
          <w:w w:val="105"/>
        </w:rPr>
        <w:t> </w:t>
      </w:r>
      <w:r>
        <w:rPr>
          <w:color w:val="231F20"/>
          <w:w w:val="105"/>
        </w:rPr>
        <w:t>en</w:t>
      </w:r>
      <w:r>
        <w:rPr>
          <w:color w:val="231F20"/>
          <w:spacing w:val="-18"/>
          <w:w w:val="105"/>
        </w:rPr>
        <w:t> </w:t>
      </w:r>
      <w:r>
        <w:rPr>
          <w:color w:val="231F20"/>
          <w:w w:val="105"/>
        </w:rPr>
        <w:t>Nezahualcó- yotl</w:t>
      </w:r>
      <w:r>
        <w:rPr>
          <w:color w:val="231F20"/>
          <w:spacing w:val="-19"/>
          <w:w w:val="105"/>
        </w:rPr>
        <w:t> </w:t>
      </w:r>
      <w:r>
        <w:rPr>
          <w:color w:val="231F20"/>
          <w:w w:val="105"/>
        </w:rPr>
        <w:t>son</w:t>
      </w:r>
      <w:r>
        <w:rPr>
          <w:color w:val="231F20"/>
          <w:spacing w:val="-19"/>
          <w:w w:val="105"/>
        </w:rPr>
        <w:t> </w:t>
      </w:r>
      <w:r>
        <w:rPr>
          <w:color w:val="231F20"/>
          <w:w w:val="105"/>
        </w:rPr>
        <w:t>de</w:t>
      </w:r>
      <w:r>
        <w:rPr>
          <w:color w:val="231F20"/>
          <w:spacing w:val="-19"/>
          <w:w w:val="105"/>
        </w:rPr>
        <w:t> </w:t>
      </w:r>
      <w:r>
        <w:rPr>
          <w:color w:val="231F20"/>
          <w:w w:val="105"/>
        </w:rPr>
        <w:t>origen</w:t>
      </w:r>
      <w:r>
        <w:rPr>
          <w:color w:val="231F20"/>
          <w:spacing w:val="-19"/>
          <w:w w:val="105"/>
        </w:rPr>
        <w:t> </w:t>
      </w:r>
      <w:r>
        <w:rPr>
          <w:color w:val="231F20"/>
          <w:w w:val="105"/>
        </w:rPr>
        <w:t>oaxaqueño.</w:t>
      </w:r>
    </w:p>
    <w:p>
      <w:pPr>
        <w:pStyle w:val="BodyText"/>
        <w:spacing w:before="1"/>
        <w:rPr>
          <w:sz w:val="26"/>
        </w:rPr>
      </w:pPr>
    </w:p>
    <w:p>
      <w:pPr>
        <w:pStyle w:val="BodyText"/>
        <w:spacing w:line="285" w:lineRule="auto"/>
        <w:ind w:left="110" w:right="108"/>
        <w:jc w:val="both"/>
      </w:pPr>
      <w:r>
        <w:rPr>
          <w:color w:val="231F20"/>
          <w:w w:val="105"/>
        </w:rPr>
        <w:t>Es</w:t>
      </w:r>
      <w:r>
        <w:rPr>
          <w:color w:val="231F20"/>
          <w:spacing w:val="-23"/>
          <w:w w:val="105"/>
        </w:rPr>
        <w:t> </w:t>
      </w:r>
      <w:r>
        <w:rPr>
          <w:color w:val="231F20"/>
          <w:w w:val="105"/>
        </w:rPr>
        <w:t>importante</w:t>
      </w:r>
      <w:r>
        <w:rPr>
          <w:color w:val="231F20"/>
          <w:spacing w:val="-23"/>
          <w:w w:val="105"/>
        </w:rPr>
        <w:t> </w:t>
      </w:r>
      <w:r>
        <w:rPr>
          <w:color w:val="231F20"/>
          <w:w w:val="105"/>
        </w:rPr>
        <w:t>señalar</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mayoría</w:t>
      </w:r>
      <w:r>
        <w:rPr>
          <w:color w:val="231F20"/>
          <w:spacing w:val="-23"/>
          <w:w w:val="105"/>
        </w:rPr>
        <w:t> </w:t>
      </w:r>
      <w:r>
        <w:rPr>
          <w:color w:val="231F20"/>
          <w:w w:val="105"/>
        </w:rPr>
        <w:t>(aproximadamente</w:t>
      </w:r>
      <w:r>
        <w:rPr>
          <w:color w:val="231F20"/>
          <w:spacing w:val="-23"/>
          <w:w w:val="105"/>
        </w:rPr>
        <w:t> </w:t>
      </w:r>
      <w:r>
        <w:rPr>
          <w:color w:val="231F20"/>
          <w:w w:val="105"/>
        </w:rPr>
        <w:t>el</w:t>
      </w:r>
      <w:r>
        <w:rPr>
          <w:color w:val="231F20"/>
          <w:spacing w:val="-23"/>
          <w:w w:val="105"/>
        </w:rPr>
        <w:t> </w:t>
      </w:r>
      <w:r>
        <w:rPr>
          <w:color w:val="231F20"/>
          <w:w w:val="105"/>
        </w:rPr>
        <w:t>60%)</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Población</w:t>
      </w:r>
      <w:r>
        <w:rPr>
          <w:color w:val="231F20"/>
          <w:spacing w:val="-23"/>
          <w:w w:val="105"/>
        </w:rPr>
        <w:t> </w:t>
      </w:r>
      <w:r>
        <w:rPr>
          <w:color w:val="231F20"/>
          <w:w w:val="105"/>
        </w:rPr>
        <w:t>Econó- micamente</w:t>
      </w:r>
      <w:r>
        <w:rPr>
          <w:color w:val="231F20"/>
          <w:spacing w:val="-22"/>
          <w:w w:val="105"/>
        </w:rPr>
        <w:t> </w:t>
      </w:r>
      <w:r>
        <w:rPr>
          <w:color w:val="231F20"/>
          <w:w w:val="105"/>
        </w:rPr>
        <w:t>Activa</w:t>
      </w:r>
      <w:r>
        <w:rPr>
          <w:color w:val="231F20"/>
          <w:spacing w:val="-22"/>
          <w:w w:val="105"/>
        </w:rPr>
        <w:t> </w:t>
      </w:r>
      <w:r>
        <w:rPr>
          <w:color w:val="231F20"/>
          <w:spacing w:val="-3"/>
          <w:w w:val="105"/>
        </w:rPr>
        <w:t>(PEA)</w:t>
      </w:r>
      <w:r>
        <w:rPr>
          <w:color w:val="231F20"/>
          <w:spacing w:val="-22"/>
          <w:w w:val="105"/>
        </w:rPr>
        <w:t> </w:t>
      </w:r>
      <w:r>
        <w:rPr>
          <w:color w:val="231F20"/>
          <w:w w:val="105"/>
        </w:rPr>
        <w:t>desempeña</w:t>
      </w:r>
      <w:r>
        <w:rPr>
          <w:color w:val="231F20"/>
          <w:spacing w:val="-22"/>
          <w:w w:val="105"/>
        </w:rPr>
        <w:t> </w:t>
      </w:r>
      <w:r>
        <w:rPr>
          <w:color w:val="231F20"/>
          <w:w w:val="105"/>
        </w:rPr>
        <w:t>sus</w:t>
      </w:r>
      <w:r>
        <w:rPr>
          <w:color w:val="231F20"/>
          <w:spacing w:val="-22"/>
          <w:w w:val="105"/>
        </w:rPr>
        <w:t> </w:t>
      </w:r>
      <w:r>
        <w:rPr>
          <w:color w:val="231F20"/>
          <w:w w:val="105"/>
        </w:rPr>
        <w:t>labores</w:t>
      </w:r>
      <w:r>
        <w:rPr>
          <w:color w:val="231F20"/>
          <w:spacing w:val="-22"/>
          <w:w w:val="105"/>
        </w:rPr>
        <w:t> </w:t>
      </w:r>
      <w:r>
        <w:rPr>
          <w:color w:val="231F20"/>
          <w:w w:val="105"/>
        </w:rPr>
        <w:t>fuera</w:t>
      </w:r>
      <w:r>
        <w:rPr>
          <w:color w:val="231F20"/>
          <w:spacing w:val="-22"/>
          <w:w w:val="105"/>
        </w:rPr>
        <w:t> </w:t>
      </w:r>
      <w:r>
        <w:rPr>
          <w:color w:val="231F20"/>
          <w:w w:val="105"/>
        </w:rPr>
        <w:t>del</w:t>
      </w:r>
      <w:r>
        <w:rPr>
          <w:color w:val="231F20"/>
          <w:spacing w:val="-22"/>
          <w:w w:val="105"/>
        </w:rPr>
        <w:t> </w:t>
      </w:r>
      <w:r>
        <w:rPr>
          <w:color w:val="231F20"/>
          <w:w w:val="105"/>
        </w:rPr>
        <w:t>municipio,</w:t>
      </w:r>
      <w:r>
        <w:rPr>
          <w:color w:val="231F20"/>
          <w:spacing w:val="-22"/>
          <w:w w:val="105"/>
        </w:rPr>
        <w:t> </w:t>
      </w:r>
      <w:r>
        <w:rPr>
          <w:color w:val="231F20"/>
          <w:w w:val="105"/>
        </w:rPr>
        <w:t>principalmente</w:t>
      </w:r>
      <w:r>
        <w:rPr>
          <w:color w:val="231F20"/>
          <w:spacing w:val="-22"/>
          <w:w w:val="105"/>
        </w:rPr>
        <w:t> </w:t>
      </w:r>
      <w:r>
        <w:rPr>
          <w:color w:val="231F20"/>
          <w:w w:val="105"/>
        </w:rPr>
        <w:t>en el</w:t>
      </w:r>
      <w:r>
        <w:rPr>
          <w:color w:val="231F20"/>
          <w:spacing w:val="-13"/>
          <w:w w:val="105"/>
        </w:rPr>
        <w:t> </w:t>
      </w:r>
      <w:r>
        <w:rPr>
          <w:color w:val="231F20"/>
          <w:w w:val="105"/>
        </w:rPr>
        <w:t>Distrito</w:t>
      </w:r>
      <w:r>
        <w:rPr>
          <w:color w:val="231F20"/>
          <w:spacing w:val="-13"/>
          <w:w w:val="105"/>
        </w:rPr>
        <w:t> </w:t>
      </w:r>
      <w:r>
        <w:rPr>
          <w:color w:val="231F20"/>
          <w:w w:val="105"/>
        </w:rPr>
        <w:t>Federal.</w:t>
      </w:r>
      <w:r>
        <w:rPr>
          <w:color w:val="231F20"/>
          <w:spacing w:val="-13"/>
          <w:w w:val="105"/>
        </w:rPr>
        <w:t> </w:t>
      </w:r>
      <w:r>
        <w:rPr>
          <w:color w:val="231F20"/>
          <w:w w:val="105"/>
        </w:rPr>
        <w:t>Esto</w:t>
      </w:r>
      <w:r>
        <w:rPr>
          <w:color w:val="231F20"/>
          <w:spacing w:val="-13"/>
          <w:w w:val="105"/>
        </w:rPr>
        <w:t> </w:t>
      </w:r>
      <w:r>
        <w:rPr>
          <w:color w:val="231F20"/>
          <w:w w:val="105"/>
        </w:rPr>
        <w:t>indica</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trata</w:t>
      </w:r>
      <w:r>
        <w:rPr>
          <w:color w:val="231F20"/>
          <w:spacing w:val="-13"/>
          <w:w w:val="105"/>
        </w:rPr>
        <w:t> </w:t>
      </w:r>
      <w:r>
        <w:rPr>
          <w:color w:val="231F20"/>
          <w:w w:val="105"/>
        </w:rPr>
        <w:t>principalmente</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municipio</w:t>
      </w:r>
      <w:r>
        <w:rPr>
          <w:color w:val="231F20"/>
          <w:spacing w:val="-13"/>
          <w:w w:val="105"/>
        </w:rPr>
        <w:t> </w:t>
      </w:r>
      <w:r>
        <w:rPr>
          <w:color w:val="231F20"/>
          <w:w w:val="105"/>
        </w:rPr>
        <w:t>dormitorio. Asimismo</w:t>
      </w:r>
      <w:r>
        <w:rPr>
          <w:color w:val="231F20"/>
          <w:spacing w:val="-15"/>
          <w:w w:val="105"/>
        </w:rPr>
        <w:t> </w:t>
      </w:r>
      <w:r>
        <w:rPr>
          <w:color w:val="231F20"/>
          <w:w w:val="105"/>
        </w:rPr>
        <w:t>la</w:t>
      </w:r>
      <w:r>
        <w:rPr>
          <w:color w:val="231F20"/>
          <w:spacing w:val="-15"/>
          <w:w w:val="105"/>
        </w:rPr>
        <w:t> </w:t>
      </w:r>
      <w:r>
        <w:rPr>
          <w:color w:val="231F20"/>
          <w:w w:val="105"/>
        </w:rPr>
        <w:t>principal</w:t>
      </w:r>
      <w:r>
        <w:rPr>
          <w:color w:val="231F20"/>
          <w:spacing w:val="-15"/>
          <w:w w:val="105"/>
        </w:rPr>
        <w:t> </w:t>
      </w:r>
      <w:r>
        <w:rPr>
          <w:color w:val="231F20"/>
          <w:w w:val="105"/>
        </w:rPr>
        <w:t>actividad</w:t>
      </w:r>
      <w:r>
        <w:rPr>
          <w:color w:val="231F20"/>
          <w:spacing w:val="-15"/>
          <w:w w:val="105"/>
        </w:rPr>
        <w:t> </w:t>
      </w:r>
      <w:r>
        <w:rPr>
          <w:color w:val="231F20"/>
          <w:w w:val="105"/>
        </w:rPr>
        <w:t>económica</w:t>
      </w:r>
      <w:r>
        <w:rPr>
          <w:color w:val="231F20"/>
          <w:spacing w:val="-15"/>
          <w:w w:val="105"/>
        </w:rPr>
        <w:t> </w:t>
      </w:r>
      <w:r>
        <w:rPr>
          <w:color w:val="231F20"/>
          <w:w w:val="105"/>
        </w:rPr>
        <w:t>se</w:t>
      </w:r>
      <w:r>
        <w:rPr>
          <w:color w:val="231F20"/>
          <w:spacing w:val="-15"/>
          <w:w w:val="105"/>
        </w:rPr>
        <w:t> </w:t>
      </w:r>
      <w:r>
        <w:rPr>
          <w:color w:val="231F20"/>
          <w:w w:val="105"/>
        </w:rPr>
        <w:t>desarrolla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sector</w:t>
      </w:r>
      <w:r>
        <w:rPr>
          <w:color w:val="231F20"/>
          <w:spacing w:val="-15"/>
          <w:w w:val="105"/>
        </w:rPr>
        <w:t> </w:t>
      </w:r>
      <w:r>
        <w:rPr>
          <w:color w:val="231F20"/>
          <w:w w:val="105"/>
        </w:rPr>
        <w:t>terciario.</w:t>
      </w:r>
    </w:p>
    <w:p>
      <w:pPr>
        <w:pStyle w:val="BodyText"/>
        <w:spacing w:before="1"/>
        <w:rPr>
          <w:sz w:val="26"/>
        </w:rPr>
      </w:pPr>
    </w:p>
    <w:p>
      <w:pPr>
        <w:pStyle w:val="BodyText"/>
        <w:spacing w:line="285" w:lineRule="auto"/>
        <w:ind w:left="110" w:right="107"/>
        <w:jc w:val="both"/>
      </w:pP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económicamente</w:t>
      </w:r>
      <w:r>
        <w:rPr>
          <w:color w:val="231F20"/>
          <w:spacing w:val="-23"/>
          <w:w w:val="105"/>
        </w:rPr>
        <w:t> </w:t>
      </w:r>
      <w:r>
        <w:rPr>
          <w:color w:val="231F20"/>
          <w:w w:val="105"/>
        </w:rPr>
        <w:t>activa</w:t>
      </w:r>
      <w:r>
        <w:rPr>
          <w:color w:val="231F20"/>
          <w:spacing w:val="-23"/>
          <w:w w:val="105"/>
        </w:rPr>
        <w:t> </w:t>
      </w:r>
      <w:r>
        <w:rPr>
          <w:color w:val="231F20"/>
          <w:w w:val="105"/>
        </w:rPr>
        <w:t>que</w:t>
      </w:r>
      <w:r>
        <w:rPr>
          <w:color w:val="231F20"/>
          <w:spacing w:val="-23"/>
          <w:w w:val="105"/>
        </w:rPr>
        <w:t> </w:t>
      </w:r>
      <w:r>
        <w:rPr>
          <w:color w:val="231F20"/>
          <w:w w:val="105"/>
        </w:rPr>
        <w:t>asciende</w:t>
      </w:r>
      <w:r>
        <w:rPr>
          <w:color w:val="231F20"/>
          <w:spacing w:val="-23"/>
          <w:w w:val="105"/>
        </w:rPr>
        <w:t> </w:t>
      </w:r>
      <w:r>
        <w:rPr>
          <w:color w:val="231F20"/>
          <w:w w:val="105"/>
        </w:rPr>
        <w:t>a</w:t>
      </w:r>
      <w:r>
        <w:rPr>
          <w:color w:val="231F20"/>
          <w:spacing w:val="-23"/>
          <w:w w:val="105"/>
        </w:rPr>
        <w:t> </w:t>
      </w:r>
      <w:r>
        <w:rPr>
          <w:color w:val="231F20"/>
          <w:spacing w:val="-3"/>
          <w:w w:val="105"/>
        </w:rPr>
        <w:t>470</w:t>
      </w:r>
      <w:r>
        <w:rPr>
          <w:color w:val="231F20"/>
          <w:spacing w:val="-23"/>
          <w:w w:val="105"/>
        </w:rPr>
        <w:t> </w:t>
      </w:r>
      <w:r>
        <w:rPr>
          <w:color w:val="231F20"/>
          <w:spacing w:val="2"/>
          <w:w w:val="105"/>
        </w:rPr>
        <w:t>mil</w:t>
      </w:r>
      <w:r>
        <w:rPr>
          <w:color w:val="231F20"/>
          <w:spacing w:val="-23"/>
          <w:w w:val="105"/>
        </w:rPr>
        <w:t> </w:t>
      </w:r>
      <w:r>
        <w:rPr>
          <w:color w:val="231F20"/>
          <w:spacing w:val="-3"/>
          <w:w w:val="105"/>
        </w:rPr>
        <w:t>578</w:t>
      </w:r>
      <w:r>
        <w:rPr>
          <w:color w:val="231F20"/>
          <w:spacing w:val="-23"/>
          <w:w w:val="105"/>
        </w:rPr>
        <w:t> </w:t>
      </w:r>
      <w:r>
        <w:rPr>
          <w:color w:val="231F20"/>
          <w:w w:val="105"/>
        </w:rPr>
        <w:t>personas,</w:t>
      </w:r>
      <w:r>
        <w:rPr>
          <w:color w:val="231F20"/>
          <w:spacing w:val="-23"/>
          <w:w w:val="105"/>
        </w:rPr>
        <w:t> </w:t>
      </w:r>
      <w:r>
        <w:rPr>
          <w:color w:val="231F20"/>
          <w:w w:val="105"/>
        </w:rPr>
        <w:t>solamente </w:t>
      </w:r>
      <w:r>
        <w:rPr>
          <w:color w:val="231F20"/>
          <w:spacing w:val="-7"/>
          <w:w w:val="105"/>
        </w:rPr>
        <w:t>117</w:t>
      </w:r>
      <w:r>
        <w:rPr>
          <w:color w:val="231F20"/>
          <w:spacing w:val="-4"/>
          <w:w w:val="105"/>
        </w:rPr>
        <w:t> </w:t>
      </w:r>
      <w:r>
        <w:rPr>
          <w:color w:val="231F20"/>
          <w:spacing w:val="2"/>
          <w:w w:val="105"/>
        </w:rPr>
        <w:t>mil</w:t>
      </w:r>
      <w:r>
        <w:rPr>
          <w:color w:val="231F20"/>
          <w:spacing w:val="-4"/>
          <w:w w:val="105"/>
        </w:rPr>
        <w:t> </w:t>
      </w:r>
      <w:r>
        <w:rPr>
          <w:color w:val="231F20"/>
          <w:spacing w:val="-5"/>
          <w:w w:val="105"/>
        </w:rPr>
        <w:t>074</w:t>
      </w:r>
      <w:r>
        <w:rPr>
          <w:color w:val="231F20"/>
          <w:spacing w:val="-4"/>
          <w:w w:val="105"/>
        </w:rPr>
        <w:t> </w:t>
      </w:r>
      <w:r>
        <w:rPr>
          <w:color w:val="231F20"/>
          <w:w w:val="105"/>
        </w:rPr>
        <w:t>personas</w:t>
      </w:r>
      <w:r>
        <w:rPr>
          <w:color w:val="231F20"/>
          <w:spacing w:val="-4"/>
          <w:w w:val="105"/>
        </w:rPr>
        <w:t> </w:t>
      </w:r>
      <w:r>
        <w:rPr>
          <w:color w:val="231F20"/>
          <w:w w:val="105"/>
        </w:rPr>
        <w:t>contaban</w:t>
      </w:r>
      <w:r>
        <w:rPr>
          <w:color w:val="231F20"/>
          <w:spacing w:val="-4"/>
          <w:w w:val="105"/>
        </w:rPr>
        <w:t> </w:t>
      </w:r>
      <w:r>
        <w:rPr>
          <w:color w:val="231F20"/>
          <w:w w:val="105"/>
        </w:rPr>
        <w:t>con</w:t>
      </w:r>
      <w:r>
        <w:rPr>
          <w:color w:val="231F20"/>
          <w:spacing w:val="-4"/>
          <w:w w:val="105"/>
        </w:rPr>
        <w:t> </w:t>
      </w:r>
      <w:r>
        <w:rPr>
          <w:color w:val="231F20"/>
          <w:w w:val="105"/>
        </w:rPr>
        <w:t>algún</w:t>
      </w:r>
      <w:r>
        <w:rPr>
          <w:color w:val="231F20"/>
          <w:spacing w:val="-4"/>
          <w:w w:val="105"/>
        </w:rPr>
        <w:t> </w:t>
      </w:r>
      <w:r>
        <w:rPr>
          <w:color w:val="231F20"/>
          <w:w w:val="105"/>
        </w:rPr>
        <w:t>tipo</w:t>
      </w:r>
      <w:r>
        <w:rPr>
          <w:color w:val="231F20"/>
          <w:spacing w:val="-4"/>
          <w:w w:val="105"/>
        </w:rPr>
        <w:t> </w:t>
      </w:r>
      <w:r>
        <w:rPr>
          <w:color w:val="231F20"/>
          <w:w w:val="105"/>
        </w:rPr>
        <w:t>de</w:t>
      </w:r>
      <w:r>
        <w:rPr>
          <w:color w:val="231F20"/>
          <w:spacing w:val="-4"/>
          <w:w w:val="105"/>
        </w:rPr>
        <w:t> </w:t>
      </w:r>
      <w:r>
        <w:rPr>
          <w:color w:val="231F20"/>
          <w:w w:val="105"/>
        </w:rPr>
        <w:t>empleo</w:t>
      </w:r>
      <w:r>
        <w:rPr>
          <w:color w:val="231F20"/>
          <w:spacing w:val="-4"/>
          <w:w w:val="105"/>
        </w:rPr>
        <w:t> </w:t>
      </w:r>
      <w:r>
        <w:rPr>
          <w:color w:val="231F20"/>
          <w:w w:val="105"/>
        </w:rPr>
        <w:t>dentro</w:t>
      </w:r>
      <w:r>
        <w:rPr>
          <w:color w:val="231F20"/>
          <w:spacing w:val="-4"/>
          <w:w w:val="105"/>
        </w:rPr>
        <w:t> </w:t>
      </w:r>
      <w:r>
        <w:rPr>
          <w:color w:val="231F20"/>
          <w:w w:val="105"/>
        </w:rPr>
        <w:t>del</w:t>
      </w:r>
      <w:r>
        <w:rPr>
          <w:color w:val="231F20"/>
          <w:spacing w:val="-4"/>
          <w:w w:val="105"/>
        </w:rPr>
        <w:t> </w:t>
      </w:r>
      <w:r>
        <w:rPr>
          <w:color w:val="231F20"/>
          <w:w w:val="105"/>
        </w:rPr>
        <w:t>municipio.</w:t>
      </w:r>
      <w:r>
        <w:rPr>
          <w:color w:val="231F20"/>
          <w:spacing w:val="-4"/>
          <w:w w:val="105"/>
        </w:rPr>
        <w:t> </w:t>
      </w:r>
      <w:r>
        <w:rPr>
          <w:color w:val="231F20"/>
          <w:w w:val="105"/>
        </w:rPr>
        <w:t>En</w:t>
      </w:r>
      <w:r>
        <w:rPr>
          <w:color w:val="231F20"/>
          <w:spacing w:val="-4"/>
          <w:w w:val="105"/>
        </w:rPr>
        <w:t> </w:t>
      </w:r>
      <w:r>
        <w:rPr>
          <w:color w:val="231F20"/>
          <w:spacing w:val="-3"/>
          <w:w w:val="105"/>
        </w:rPr>
        <w:t>tér- </w:t>
      </w:r>
      <w:r>
        <w:rPr>
          <w:color w:val="231F20"/>
          <w:w w:val="105"/>
        </w:rPr>
        <w:t>minos</w:t>
      </w:r>
      <w:r>
        <w:rPr>
          <w:color w:val="231F20"/>
          <w:spacing w:val="-7"/>
          <w:w w:val="105"/>
        </w:rPr>
        <w:t> </w:t>
      </w:r>
      <w:r>
        <w:rPr>
          <w:color w:val="231F20"/>
          <w:w w:val="105"/>
        </w:rPr>
        <w:t>generales</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real</w:t>
      </w:r>
      <w:r>
        <w:rPr>
          <w:color w:val="231F20"/>
          <w:spacing w:val="-7"/>
          <w:w w:val="105"/>
        </w:rPr>
        <w:t> </w:t>
      </w:r>
      <w:r>
        <w:rPr>
          <w:color w:val="231F20"/>
          <w:w w:val="105"/>
        </w:rPr>
        <w:t>ocupada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concentra</w:t>
      </w:r>
      <w:r>
        <w:rPr>
          <w:color w:val="231F20"/>
          <w:spacing w:val="-7"/>
          <w:w w:val="105"/>
        </w:rPr>
        <w:t> </w:t>
      </w:r>
      <w:r>
        <w:rPr>
          <w:color w:val="231F20"/>
          <w:w w:val="105"/>
        </w:rPr>
        <w:t>a</w:t>
      </w:r>
      <w:r>
        <w:rPr>
          <w:color w:val="231F20"/>
          <w:spacing w:val="-7"/>
          <w:w w:val="105"/>
        </w:rPr>
        <w:t> </w:t>
      </w:r>
      <w:r>
        <w:rPr>
          <w:color w:val="231F20"/>
          <w:w w:val="105"/>
        </w:rPr>
        <w:t>24.8</w:t>
      </w:r>
      <w:r>
        <w:rPr>
          <w:color w:val="231F20"/>
          <w:spacing w:val="-7"/>
          <w:w w:val="105"/>
        </w:rPr>
        <w:t> </w:t>
      </w:r>
      <w:r>
        <w:rPr>
          <w:color w:val="231F20"/>
          <w:w w:val="105"/>
        </w:rPr>
        <w:t>por</w:t>
      </w:r>
      <w:r>
        <w:rPr>
          <w:color w:val="231F20"/>
          <w:spacing w:val="-7"/>
          <w:w w:val="105"/>
        </w:rPr>
        <w:t> </w:t>
      </w:r>
      <w:r>
        <w:rPr>
          <w:color w:val="231F20"/>
          <w:w w:val="105"/>
        </w:rPr>
        <w:t>ciento del</w:t>
      </w:r>
      <w:r>
        <w:rPr>
          <w:color w:val="231F20"/>
          <w:spacing w:val="-12"/>
          <w:w w:val="105"/>
        </w:rPr>
        <w:t> </w:t>
      </w:r>
      <w:r>
        <w:rPr>
          <w:color w:val="231F20"/>
          <w:w w:val="105"/>
        </w:rPr>
        <w:t>total</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encuentra</w:t>
      </w:r>
      <w:r>
        <w:rPr>
          <w:color w:val="231F20"/>
          <w:spacing w:val="-12"/>
          <w:w w:val="105"/>
        </w:rPr>
        <w:t> </w:t>
      </w:r>
      <w:r>
        <w:rPr>
          <w:color w:val="231F20"/>
          <w:w w:val="105"/>
        </w:rPr>
        <w:t>en</w:t>
      </w:r>
      <w:r>
        <w:rPr>
          <w:color w:val="231F20"/>
          <w:spacing w:val="-12"/>
          <w:w w:val="105"/>
        </w:rPr>
        <w:t> </w:t>
      </w:r>
      <w:r>
        <w:rPr>
          <w:color w:val="231F20"/>
          <w:w w:val="105"/>
        </w:rPr>
        <w:t>condiciones</w:t>
      </w:r>
      <w:r>
        <w:rPr>
          <w:color w:val="231F20"/>
          <w:spacing w:val="-12"/>
          <w:w w:val="105"/>
        </w:rPr>
        <w:t> </w:t>
      </w:r>
      <w:r>
        <w:rPr>
          <w:color w:val="231F20"/>
          <w:w w:val="105"/>
        </w:rPr>
        <w:t>de</w:t>
      </w:r>
      <w:r>
        <w:rPr>
          <w:color w:val="231F20"/>
          <w:spacing w:val="-12"/>
          <w:w w:val="105"/>
        </w:rPr>
        <w:t> </w:t>
      </w:r>
      <w:r>
        <w:rPr>
          <w:color w:val="231F20"/>
          <w:w w:val="105"/>
        </w:rPr>
        <w:t>laborar.</w:t>
      </w:r>
      <w:r>
        <w:rPr>
          <w:color w:val="231F20"/>
          <w:spacing w:val="-12"/>
          <w:w w:val="105"/>
        </w:rPr>
        <w:t> </w:t>
      </w:r>
      <w:r>
        <w:rPr>
          <w:color w:val="231F20"/>
          <w:w w:val="105"/>
        </w:rPr>
        <w:t>Estamos</w:t>
      </w:r>
      <w:r>
        <w:rPr>
          <w:color w:val="231F20"/>
          <w:spacing w:val="-12"/>
          <w:w w:val="105"/>
        </w:rPr>
        <w:t> </w:t>
      </w:r>
      <w:r>
        <w:rPr>
          <w:color w:val="231F20"/>
          <w:w w:val="105"/>
        </w:rPr>
        <w:t>hablando de</w:t>
      </w:r>
      <w:r>
        <w:rPr>
          <w:color w:val="231F20"/>
          <w:spacing w:val="-11"/>
          <w:w w:val="105"/>
        </w:rPr>
        <w:t> </w:t>
      </w:r>
      <w:r>
        <w:rPr>
          <w:color w:val="231F20"/>
          <w:w w:val="105"/>
        </w:rPr>
        <w:t>un</w:t>
      </w:r>
      <w:r>
        <w:rPr>
          <w:color w:val="231F20"/>
          <w:spacing w:val="-11"/>
          <w:w w:val="105"/>
        </w:rPr>
        <w:t> </w:t>
      </w:r>
      <w:r>
        <w:rPr>
          <w:color w:val="231F20"/>
          <w:w w:val="105"/>
        </w:rPr>
        <w:t>índice</w:t>
      </w:r>
      <w:r>
        <w:rPr>
          <w:color w:val="231F20"/>
          <w:spacing w:val="-11"/>
          <w:w w:val="105"/>
        </w:rPr>
        <w:t> </w:t>
      </w:r>
      <w:r>
        <w:rPr>
          <w:color w:val="231F20"/>
          <w:w w:val="105"/>
        </w:rPr>
        <w:t>que</w:t>
      </w:r>
      <w:r>
        <w:rPr>
          <w:color w:val="231F20"/>
          <w:spacing w:val="-11"/>
          <w:w w:val="105"/>
        </w:rPr>
        <w:t> </w:t>
      </w:r>
      <w:r>
        <w:rPr>
          <w:color w:val="231F20"/>
          <w:w w:val="105"/>
        </w:rPr>
        <w:t>nos</w:t>
      </w:r>
      <w:r>
        <w:rPr>
          <w:color w:val="231F20"/>
          <w:spacing w:val="-11"/>
          <w:w w:val="105"/>
        </w:rPr>
        <w:t> </w:t>
      </w:r>
      <w:r>
        <w:rPr>
          <w:color w:val="231F20"/>
          <w:w w:val="105"/>
        </w:rPr>
        <w:t>muestra</w:t>
      </w:r>
      <w:r>
        <w:rPr>
          <w:color w:val="231F20"/>
          <w:spacing w:val="-11"/>
          <w:w w:val="105"/>
        </w:rPr>
        <w:t> </w:t>
      </w:r>
      <w:r>
        <w:rPr>
          <w:color w:val="231F20"/>
          <w:w w:val="105"/>
        </w:rPr>
        <w:t>que</w:t>
      </w:r>
      <w:r>
        <w:rPr>
          <w:color w:val="231F20"/>
          <w:spacing w:val="-11"/>
          <w:w w:val="105"/>
        </w:rPr>
        <w:t> </w:t>
      </w:r>
      <w:r>
        <w:rPr>
          <w:color w:val="231F20"/>
          <w:w w:val="105"/>
        </w:rPr>
        <w:t>solo</w:t>
      </w:r>
      <w:r>
        <w:rPr>
          <w:color w:val="231F20"/>
          <w:spacing w:val="-11"/>
          <w:w w:val="105"/>
        </w:rPr>
        <w:t> </w:t>
      </w:r>
      <w:r>
        <w:rPr>
          <w:color w:val="231F20"/>
          <w:w w:val="105"/>
        </w:rPr>
        <w:t>4</w:t>
      </w:r>
      <w:r>
        <w:rPr>
          <w:color w:val="231F20"/>
          <w:spacing w:val="-11"/>
          <w:w w:val="105"/>
        </w:rPr>
        <w:t> </w:t>
      </w:r>
      <w:r>
        <w:rPr>
          <w:color w:val="231F20"/>
          <w:w w:val="105"/>
        </w:rPr>
        <w:t>de</w:t>
      </w:r>
      <w:r>
        <w:rPr>
          <w:color w:val="231F20"/>
          <w:spacing w:val="-11"/>
          <w:w w:val="105"/>
        </w:rPr>
        <w:t> </w:t>
      </w:r>
      <w:r>
        <w:rPr>
          <w:color w:val="231F20"/>
          <w:w w:val="105"/>
        </w:rPr>
        <w:t>cada</w:t>
      </w:r>
      <w:r>
        <w:rPr>
          <w:color w:val="231F20"/>
          <w:spacing w:val="-11"/>
          <w:w w:val="105"/>
        </w:rPr>
        <w:t> </w:t>
      </w:r>
      <w:r>
        <w:rPr>
          <w:color w:val="231F20"/>
          <w:spacing w:val="-5"/>
          <w:w w:val="105"/>
        </w:rPr>
        <w:t>10</w:t>
      </w:r>
      <w:r>
        <w:rPr>
          <w:color w:val="231F20"/>
          <w:spacing w:val="-11"/>
          <w:w w:val="105"/>
        </w:rPr>
        <w:t> </w:t>
      </w:r>
      <w:r>
        <w:rPr>
          <w:color w:val="231F20"/>
          <w:w w:val="105"/>
        </w:rPr>
        <w:t>personas,</w:t>
      </w:r>
      <w:r>
        <w:rPr>
          <w:color w:val="231F20"/>
          <w:spacing w:val="-11"/>
          <w:w w:val="105"/>
        </w:rPr>
        <w:t> </w:t>
      </w:r>
      <w:r>
        <w:rPr>
          <w:color w:val="231F20"/>
          <w:w w:val="105"/>
        </w:rPr>
        <w:t>que</w:t>
      </w:r>
      <w:r>
        <w:rPr>
          <w:color w:val="231F20"/>
          <w:spacing w:val="-11"/>
          <w:w w:val="105"/>
        </w:rPr>
        <w:t> </w:t>
      </w:r>
      <w:r>
        <w:rPr>
          <w:color w:val="231F20"/>
          <w:w w:val="105"/>
        </w:rPr>
        <w:t>habitan</w:t>
      </w:r>
      <w:r>
        <w:rPr>
          <w:color w:val="231F20"/>
          <w:spacing w:val="-11"/>
          <w:w w:val="105"/>
        </w:rPr>
        <w:t> </w:t>
      </w:r>
      <w:r>
        <w:rPr>
          <w:color w:val="231F20"/>
          <w:w w:val="105"/>
        </w:rPr>
        <w:t>en</w:t>
      </w:r>
      <w:r>
        <w:rPr>
          <w:color w:val="231F20"/>
          <w:spacing w:val="-11"/>
          <w:w w:val="105"/>
        </w:rPr>
        <w:t> </w:t>
      </w:r>
      <w:r>
        <w:rPr>
          <w:color w:val="231F20"/>
          <w:w w:val="105"/>
        </w:rPr>
        <w:t>Nezahual- cóyotl,</w:t>
      </w:r>
      <w:r>
        <w:rPr>
          <w:color w:val="231F20"/>
          <w:spacing w:val="-20"/>
          <w:w w:val="105"/>
        </w:rPr>
        <w:t> </w:t>
      </w:r>
      <w:r>
        <w:rPr>
          <w:color w:val="231F20"/>
          <w:w w:val="105"/>
        </w:rPr>
        <w:t>se</w:t>
      </w:r>
      <w:r>
        <w:rPr>
          <w:color w:val="231F20"/>
          <w:spacing w:val="-20"/>
          <w:w w:val="105"/>
        </w:rPr>
        <w:t> </w:t>
      </w:r>
      <w:r>
        <w:rPr>
          <w:color w:val="231F20"/>
          <w:w w:val="105"/>
        </w:rPr>
        <w:t>ocupan</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actividades</w:t>
      </w:r>
      <w:r>
        <w:rPr>
          <w:color w:val="231F20"/>
          <w:spacing w:val="-20"/>
          <w:w w:val="105"/>
        </w:rPr>
        <w:t> </w:t>
      </w:r>
      <w:r>
        <w:rPr>
          <w:color w:val="231F20"/>
          <w:w w:val="105"/>
        </w:rPr>
        <w:t>económicas</w:t>
      </w:r>
      <w:r>
        <w:rPr>
          <w:color w:val="231F20"/>
          <w:spacing w:val="-20"/>
          <w:w w:val="105"/>
        </w:rPr>
        <w:t> </w:t>
      </w:r>
      <w:r>
        <w:rPr>
          <w:color w:val="231F20"/>
          <w:w w:val="105"/>
        </w:rPr>
        <w:t>establecidas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p>
    <w:p>
      <w:pPr>
        <w:pStyle w:val="BodyText"/>
        <w:spacing w:before="1"/>
        <w:rPr>
          <w:sz w:val="26"/>
        </w:rPr>
      </w:pPr>
    </w:p>
    <w:p>
      <w:pPr>
        <w:pStyle w:val="BodyText"/>
        <w:spacing w:line="285" w:lineRule="auto"/>
        <w:ind w:left="110" w:right="107"/>
        <w:jc w:val="both"/>
      </w:pPr>
      <w:r>
        <w:rPr>
          <w:color w:val="231F20"/>
          <w:w w:val="105"/>
        </w:rPr>
        <w:t>A</w:t>
      </w:r>
      <w:r>
        <w:rPr>
          <w:color w:val="231F20"/>
          <w:spacing w:val="-12"/>
          <w:w w:val="105"/>
        </w:rPr>
        <w:t> </w:t>
      </w:r>
      <w:r>
        <w:rPr>
          <w:color w:val="231F20"/>
          <w:w w:val="105"/>
        </w:rPr>
        <w:t>excepción</w:t>
      </w:r>
      <w:r>
        <w:rPr>
          <w:color w:val="231F20"/>
          <w:spacing w:val="-12"/>
          <w:w w:val="105"/>
        </w:rPr>
        <w:t> </w:t>
      </w:r>
      <w:r>
        <w:rPr>
          <w:color w:val="231F20"/>
          <w:w w:val="105"/>
        </w:rPr>
        <w:t>de</w:t>
      </w:r>
      <w:r>
        <w:rPr>
          <w:color w:val="231F20"/>
          <w:spacing w:val="-12"/>
          <w:w w:val="105"/>
        </w:rPr>
        <w:t> </w:t>
      </w:r>
      <w:r>
        <w:rPr>
          <w:color w:val="231F20"/>
          <w:w w:val="105"/>
        </w:rPr>
        <w:t>Nezahualcóyotl,</w:t>
      </w:r>
      <w:r>
        <w:rPr>
          <w:color w:val="231F20"/>
          <w:spacing w:val="-12"/>
          <w:w w:val="105"/>
        </w:rPr>
        <w:t> </w:t>
      </w:r>
      <w:r>
        <w:rPr>
          <w:color w:val="231F20"/>
          <w:w w:val="105"/>
        </w:rPr>
        <w:t>los</w:t>
      </w:r>
      <w:r>
        <w:rPr>
          <w:color w:val="231F20"/>
          <w:spacing w:val="-12"/>
          <w:w w:val="105"/>
        </w:rPr>
        <w:t> </w:t>
      </w:r>
      <w:r>
        <w:rPr>
          <w:color w:val="231F20"/>
          <w:w w:val="105"/>
        </w:rPr>
        <w:t>cinco</w:t>
      </w:r>
      <w:r>
        <w:rPr>
          <w:color w:val="231F20"/>
          <w:spacing w:val="-12"/>
          <w:w w:val="105"/>
        </w:rPr>
        <w:t> </w:t>
      </w:r>
      <w:r>
        <w:rPr>
          <w:color w:val="231F20"/>
          <w:w w:val="105"/>
        </w:rPr>
        <w:t>municipios</w:t>
      </w:r>
      <w:r>
        <w:rPr>
          <w:color w:val="231F20"/>
          <w:spacing w:val="-12"/>
          <w:w w:val="105"/>
        </w:rPr>
        <w:t> </w:t>
      </w:r>
      <w:r>
        <w:rPr>
          <w:color w:val="231F20"/>
          <w:w w:val="105"/>
        </w:rPr>
        <w:t>más</w:t>
      </w:r>
      <w:r>
        <w:rPr>
          <w:color w:val="231F20"/>
          <w:spacing w:val="-12"/>
          <w:w w:val="105"/>
        </w:rPr>
        <w:t> </w:t>
      </w:r>
      <w:r>
        <w:rPr>
          <w:color w:val="231F20"/>
          <w:w w:val="105"/>
        </w:rPr>
        <w:t>grandes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entidad,</w:t>
      </w:r>
      <w:r>
        <w:rPr>
          <w:color w:val="231F20"/>
          <w:spacing w:val="-12"/>
          <w:w w:val="105"/>
        </w:rPr>
        <w:t> </w:t>
      </w:r>
      <w:r>
        <w:rPr>
          <w:color w:val="231F20"/>
          <w:w w:val="105"/>
        </w:rPr>
        <w:t>cuen- </w:t>
      </w:r>
      <w:r>
        <w:rPr>
          <w:color w:val="231F20"/>
          <w:spacing w:val="2"/>
          <w:w w:val="105"/>
        </w:rPr>
        <w:t>tan </w:t>
      </w:r>
      <w:r>
        <w:rPr>
          <w:color w:val="231F20"/>
          <w:w w:val="105"/>
        </w:rPr>
        <w:t>con un sector manufacturero que genera una cantidad importante de empleos; en Tlalnepantla</w:t>
      </w:r>
      <w:r>
        <w:rPr>
          <w:color w:val="231F20"/>
          <w:spacing w:val="-6"/>
          <w:w w:val="105"/>
        </w:rPr>
        <w:t> </w:t>
      </w:r>
      <w:r>
        <w:rPr>
          <w:color w:val="231F20"/>
          <w:w w:val="105"/>
        </w:rPr>
        <w:t>el</w:t>
      </w:r>
      <w:r>
        <w:rPr>
          <w:color w:val="231F20"/>
          <w:spacing w:val="-6"/>
          <w:w w:val="105"/>
        </w:rPr>
        <w:t> </w:t>
      </w:r>
      <w:r>
        <w:rPr>
          <w:color w:val="231F20"/>
          <w:w w:val="105"/>
        </w:rPr>
        <w:t>sector</w:t>
      </w:r>
      <w:r>
        <w:rPr>
          <w:color w:val="231F20"/>
          <w:spacing w:val="-6"/>
          <w:w w:val="105"/>
        </w:rPr>
        <w:t> </w:t>
      </w:r>
      <w:r>
        <w:rPr>
          <w:color w:val="231F20"/>
          <w:w w:val="105"/>
        </w:rPr>
        <w:t>manufacturero</w:t>
      </w:r>
      <w:r>
        <w:rPr>
          <w:color w:val="231F20"/>
          <w:spacing w:val="-6"/>
          <w:w w:val="105"/>
        </w:rPr>
        <w:t> </w:t>
      </w:r>
      <w:r>
        <w:rPr>
          <w:color w:val="231F20"/>
          <w:w w:val="105"/>
        </w:rPr>
        <w:t>absorbe</w:t>
      </w:r>
      <w:r>
        <w:rPr>
          <w:color w:val="231F20"/>
          <w:spacing w:val="-6"/>
          <w:w w:val="105"/>
        </w:rPr>
        <w:t> </w:t>
      </w:r>
      <w:r>
        <w:rPr>
          <w:color w:val="231F20"/>
          <w:spacing w:val="-5"/>
          <w:w w:val="105"/>
        </w:rPr>
        <w:t>47.5</w:t>
      </w:r>
      <w:r>
        <w:rPr>
          <w:color w:val="231F20"/>
          <w:spacing w:val="-6"/>
          <w:w w:val="105"/>
        </w:rPr>
        <w:t> </w:t>
      </w:r>
      <w:r>
        <w:rPr>
          <w:color w:val="231F20"/>
          <w:w w:val="105"/>
        </w:rPr>
        <w:t>por</w:t>
      </w:r>
      <w:r>
        <w:rPr>
          <w:color w:val="231F20"/>
          <w:spacing w:val="-6"/>
          <w:w w:val="105"/>
        </w:rPr>
        <w:t> </w:t>
      </w:r>
      <w:r>
        <w:rPr>
          <w:color w:val="231F20"/>
          <w:w w:val="105"/>
        </w:rPr>
        <w:t>ciento</w:t>
      </w:r>
      <w:r>
        <w:rPr>
          <w:color w:val="231F20"/>
          <w:spacing w:val="-6"/>
          <w:w w:val="105"/>
        </w:rPr>
        <w:t> </w:t>
      </w:r>
      <w:r>
        <w:rPr>
          <w:color w:val="231F20"/>
          <w:w w:val="105"/>
        </w:rPr>
        <w:t>del</w:t>
      </w:r>
      <w:r>
        <w:rPr>
          <w:color w:val="231F20"/>
          <w:spacing w:val="-6"/>
          <w:w w:val="105"/>
        </w:rPr>
        <w:t> </w:t>
      </w:r>
      <w:r>
        <w:rPr>
          <w:color w:val="231F20"/>
          <w:w w:val="105"/>
        </w:rPr>
        <w:t>personal</w:t>
      </w:r>
      <w:r>
        <w:rPr>
          <w:color w:val="231F20"/>
          <w:spacing w:val="-6"/>
          <w:w w:val="105"/>
        </w:rPr>
        <w:t> </w:t>
      </w:r>
      <w:r>
        <w:rPr>
          <w:color w:val="231F20"/>
          <w:w w:val="105"/>
        </w:rPr>
        <w:t>ocupado;</w:t>
      </w:r>
      <w:r>
        <w:rPr>
          <w:color w:val="231F20"/>
          <w:spacing w:val="-6"/>
          <w:w w:val="105"/>
        </w:rPr>
        <w:t> </w:t>
      </w:r>
      <w:r>
        <w:rPr>
          <w:color w:val="231F20"/>
          <w:w w:val="105"/>
        </w:rPr>
        <w:t>en Naucalpan 46.7 por ciento; en </w:t>
      </w:r>
      <w:r>
        <w:rPr>
          <w:color w:val="231F20"/>
          <w:spacing w:val="-6"/>
          <w:w w:val="105"/>
        </w:rPr>
        <w:t>Toluca </w:t>
      </w:r>
      <w:r>
        <w:rPr>
          <w:color w:val="231F20"/>
          <w:w w:val="105"/>
        </w:rPr>
        <w:t>38.5 por ciento; en Ecatepec 41 por ciento y en Nezahualcóyotl</w:t>
      </w:r>
      <w:r>
        <w:rPr>
          <w:color w:val="231F20"/>
          <w:spacing w:val="-35"/>
          <w:w w:val="105"/>
        </w:rPr>
        <w:t> </w:t>
      </w:r>
      <w:r>
        <w:rPr>
          <w:color w:val="231F20"/>
          <w:w w:val="105"/>
        </w:rPr>
        <w:t>sólo</w:t>
      </w:r>
      <w:r>
        <w:rPr>
          <w:color w:val="231F20"/>
          <w:spacing w:val="-35"/>
          <w:w w:val="105"/>
        </w:rPr>
        <w:t> </w:t>
      </w:r>
      <w:r>
        <w:rPr>
          <w:color w:val="231F20"/>
          <w:spacing w:val="-3"/>
          <w:w w:val="105"/>
        </w:rPr>
        <w:t>19.5</w:t>
      </w:r>
      <w:r>
        <w:rPr>
          <w:color w:val="231F20"/>
          <w:spacing w:val="-35"/>
          <w:w w:val="105"/>
        </w:rPr>
        <w:t> </w:t>
      </w:r>
      <w:r>
        <w:rPr>
          <w:color w:val="231F20"/>
          <w:w w:val="105"/>
        </w:rPr>
        <w:t>por</w:t>
      </w:r>
      <w:r>
        <w:rPr>
          <w:color w:val="231F20"/>
          <w:spacing w:val="-35"/>
          <w:w w:val="105"/>
        </w:rPr>
        <w:t> </w:t>
      </w:r>
      <w:r>
        <w:rPr>
          <w:color w:val="231F20"/>
          <w:w w:val="105"/>
        </w:rPr>
        <w:t>ciento.</w:t>
      </w:r>
      <w:r>
        <w:rPr>
          <w:color w:val="231F20"/>
          <w:spacing w:val="-35"/>
          <w:w w:val="105"/>
        </w:rPr>
        <w:t> </w:t>
      </w:r>
      <w:r>
        <w:rPr>
          <w:color w:val="231F20"/>
          <w:spacing w:val="-3"/>
          <w:w w:val="105"/>
        </w:rPr>
        <w:t>(PDM,</w:t>
      </w:r>
      <w:r>
        <w:rPr>
          <w:color w:val="231F20"/>
          <w:spacing w:val="-35"/>
          <w:w w:val="105"/>
        </w:rPr>
        <w:t> </w:t>
      </w:r>
      <w:r>
        <w:rPr>
          <w:color w:val="231F20"/>
          <w:w w:val="105"/>
        </w:rPr>
        <w:t>2006-2009:38).</w:t>
      </w:r>
    </w:p>
    <w:p>
      <w:pPr>
        <w:pStyle w:val="BodyText"/>
        <w:spacing w:before="1"/>
        <w:rPr>
          <w:sz w:val="26"/>
        </w:rPr>
      </w:pPr>
    </w:p>
    <w:p>
      <w:pPr>
        <w:pStyle w:val="BodyText"/>
        <w:spacing w:line="285" w:lineRule="auto"/>
        <w:ind w:left="110" w:right="107"/>
        <w:jc w:val="both"/>
      </w:pPr>
      <w:r>
        <w:rPr>
          <w:color w:val="231F20"/>
          <w:w w:val="105"/>
        </w:rPr>
        <w:t>De</w:t>
      </w:r>
      <w:r>
        <w:rPr>
          <w:color w:val="231F20"/>
          <w:spacing w:val="-11"/>
          <w:w w:val="105"/>
        </w:rPr>
        <w:t> </w:t>
      </w:r>
      <w:r>
        <w:rPr>
          <w:color w:val="231F20"/>
          <w:spacing w:val="2"/>
          <w:w w:val="105"/>
        </w:rPr>
        <w:t>tal</w:t>
      </w:r>
      <w:r>
        <w:rPr>
          <w:color w:val="231F20"/>
          <w:spacing w:val="-11"/>
          <w:w w:val="105"/>
        </w:rPr>
        <w:t> </w:t>
      </w:r>
      <w:r>
        <w:rPr>
          <w:color w:val="231F20"/>
          <w:w w:val="105"/>
        </w:rPr>
        <w:t>manera</w:t>
      </w:r>
      <w:r>
        <w:rPr>
          <w:color w:val="231F20"/>
          <w:spacing w:val="-11"/>
          <w:w w:val="105"/>
        </w:rPr>
        <w:t> </w:t>
      </w:r>
      <w:r>
        <w:rPr>
          <w:color w:val="231F20"/>
          <w:w w:val="105"/>
        </w:rPr>
        <w:t>que</w:t>
      </w:r>
      <w:r>
        <w:rPr>
          <w:color w:val="231F20"/>
          <w:spacing w:val="-11"/>
          <w:w w:val="105"/>
        </w:rPr>
        <w:t> </w:t>
      </w:r>
      <w:r>
        <w:rPr>
          <w:color w:val="231F20"/>
          <w:w w:val="105"/>
        </w:rPr>
        <w:t>Nezahualcóyotl,</w:t>
      </w:r>
      <w:r>
        <w:rPr>
          <w:color w:val="231F20"/>
          <w:spacing w:val="-11"/>
          <w:w w:val="105"/>
        </w:rPr>
        <w:t> </w:t>
      </w:r>
      <w:r>
        <w:rPr>
          <w:color w:val="231F20"/>
          <w:w w:val="105"/>
        </w:rPr>
        <w:t>además</w:t>
      </w:r>
      <w:r>
        <w:rPr>
          <w:color w:val="231F20"/>
          <w:spacing w:val="-11"/>
          <w:w w:val="105"/>
        </w:rPr>
        <w:t> </w:t>
      </w:r>
      <w:r>
        <w:rPr>
          <w:color w:val="231F20"/>
          <w:w w:val="105"/>
        </w:rPr>
        <w:t>de</w:t>
      </w:r>
      <w:r>
        <w:rPr>
          <w:color w:val="231F20"/>
          <w:spacing w:val="-11"/>
          <w:w w:val="105"/>
        </w:rPr>
        <w:t> </w:t>
      </w:r>
      <w:r>
        <w:rPr>
          <w:color w:val="231F20"/>
          <w:w w:val="105"/>
        </w:rPr>
        <w:t>continuar</w:t>
      </w:r>
      <w:r>
        <w:rPr>
          <w:color w:val="231F20"/>
          <w:spacing w:val="-11"/>
          <w:w w:val="105"/>
        </w:rPr>
        <w:t> </w:t>
      </w:r>
      <w:r>
        <w:rPr>
          <w:color w:val="231F20"/>
          <w:spacing w:val="-2"/>
          <w:w w:val="105"/>
        </w:rPr>
        <w:t>siendo</w:t>
      </w:r>
      <w:r>
        <w:rPr>
          <w:color w:val="231F20"/>
          <w:spacing w:val="-11"/>
          <w:w w:val="105"/>
        </w:rPr>
        <w:t> </w:t>
      </w:r>
      <w:r>
        <w:rPr>
          <w:color w:val="231F20"/>
          <w:w w:val="105"/>
        </w:rPr>
        <w:t>un</w:t>
      </w:r>
      <w:r>
        <w:rPr>
          <w:color w:val="231F20"/>
          <w:spacing w:val="-11"/>
          <w:w w:val="105"/>
        </w:rPr>
        <w:t> </w:t>
      </w:r>
      <w:r>
        <w:rPr>
          <w:color w:val="231F20"/>
          <w:w w:val="105"/>
        </w:rPr>
        <w:t>municipio</w:t>
      </w:r>
      <w:r>
        <w:rPr>
          <w:color w:val="231F20"/>
          <w:spacing w:val="-11"/>
          <w:w w:val="105"/>
        </w:rPr>
        <w:t> </w:t>
      </w:r>
      <w:r>
        <w:rPr>
          <w:color w:val="231F20"/>
          <w:w w:val="105"/>
        </w:rPr>
        <w:t>dormito- rio,</w:t>
      </w:r>
      <w:r>
        <w:rPr>
          <w:color w:val="231F20"/>
          <w:spacing w:val="-20"/>
          <w:w w:val="105"/>
        </w:rPr>
        <w:t> </w:t>
      </w:r>
      <w:r>
        <w:rPr>
          <w:color w:val="231F20"/>
          <w:w w:val="105"/>
        </w:rPr>
        <w:t>tiene</w:t>
      </w:r>
      <w:r>
        <w:rPr>
          <w:color w:val="231F20"/>
          <w:spacing w:val="-20"/>
          <w:w w:val="105"/>
        </w:rPr>
        <w:t> </w:t>
      </w:r>
      <w:r>
        <w:rPr>
          <w:color w:val="231F20"/>
          <w:w w:val="105"/>
        </w:rPr>
        <w:t>una</w:t>
      </w:r>
      <w:r>
        <w:rPr>
          <w:color w:val="231F20"/>
          <w:spacing w:val="-20"/>
          <w:w w:val="105"/>
        </w:rPr>
        <w:t> </w:t>
      </w:r>
      <w:r>
        <w:rPr>
          <w:color w:val="231F20"/>
          <w:w w:val="105"/>
        </w:rPr>
        <w:t>baja</w:t>
      </w:r>
      <w:r>
        <w:rPr>
          <w:color w:val="231F20"/>
          <w:spacing w:val="-20"/>
          <w:w w:val="105"/>
        </w:rPr>
        <w:t> </w:t>
      </w:r>
      <w:r>
        <w:rPr>
          <w:color w:val="231F20"/>
          <w:w w:val="105"/>
        </w:rPr>
        <w:t>capacidad</w:t>
      </w:r>
      <w:r>
        <w:rPr>
          <w:color w:val="231F20"/>
          <w:spacing w:val="-20"/>
          <w:w w:val="105"/>
        </w:rPr>
        <w:t> </w:t>
      </w:r>
      <w:r>
        <w:rPr>
          <w:color w:val="231F20"/>
          <w:w w:val="105"/>
        </w:rPr>
        <w:t>para</w:t>
      </w:r>
      <w:r>
        <w:rPr>
          <w:color w:val="231F20"/>
          <w:spacing w:val="-20"/>
          <w:w w:val="105"/>
        </w:rPr>
        <w:t> </w:t>
      </w:r>
      <w:r>
        <w:rPr>
          <w:color w:val="231F20"/>
          <w:w w:val="105"/>
        </w:rPr>
        <w:t>emplear</w:t>
      </w:r>
      <w:r>
        <w:rPr>
          <w:color w:val="231F20"/>
          <w:spacing w:val="-20"/>
          <w:w w:val="105"/>
        </w:rPr>
        <w:t> </w:t>
      </w:r>
      <w:r>
        <w:rPr>
          <w:color w:val="231F20"/>
          <w:w w:val="105"/>
        </w:rPr>
        <w:t>a</w:t>
      </w:r>
      <w:r>
        <w:rPr>
          <w:color w:val="231F20"/>
          <w:spacing w:val="-20"/>
          <w:w w:val="105"/>
        </w:rPr>
        <w:t> </w:t>
      </w:r>
      <w:r>
        <w:rPr>
          <w:color w:val="231F20"/>
          <w:w w:val="105"/>
        </w:rPr>
        <w:t>su</w:t>
      </w:r>
      <w:r>
        <w:rPr>
          <w:color w:val="231F20"/>
          <w:spacing w:val="-20"/>
          <w:w w:val="105"/>
        </w:rPr>
        <w:t> </w:t>
      </w:r>
      <w:r>
        <w:rPr>
          <w:color w:val="231F20"/>
          <w:w w:val="105"/>
        </w:rPr>
        <w:t>fuerza</w:t>
      </w:r>
      <w:r>
        <w:rPr>
          <w:color w:val="231F20"/>
          <w:spacing w:val="-20"/>
          <w:w w:val="105"/>
        </w:rPr>
        <w:t> </w:t>
      </w:r>
      <w:r>
        <w:rPr>
          <w:color w:val="231F20"/>
          <w:w w:val="105"/>
        </w:rPr>
        <w:t>productiva,</w:t>
      </w:r>
      <w:r>
        <w:rPr>
          <w:color w:val="231F20"/>
          <w:spacing w:val="-20"/>
          <w:w w:val="105"/>
        </w:rPr>
        <w:t> </w:t>
      </w:r>
      <w:r>
        <w:rPr>
          <w:color w:val="231F20"/>
          <w:w w:val="105"/>
        </w:rPr>
        <w:t>sobre</w:t>
      </w:r>
      <w:r>
        <w:rPr>
          <w:color w:val="231F20"/>
          <w:spacing w:val="-20"/>
          <w:w w:val="105"/>
        </w:rPr>
        <w:t> </w:t>
      </w:r>
      <w:r>
        <w:rPr>
          <w:color w:val="231F20"/>
          <w:w w:val="105"/>
        </w:rPr>
        <w:t>todo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sector secundario, pues menos del 20 por ciento de su población ocupada realiza actividades industriales dentro de esta demarcación. En consecuencia, la actividad económica que absorbe a mayor número de población es el sector terciario a través del comercio y de bienes</w:t>
      </w:r>
      <w:r>
        <w:rPr>
          <w:color w:val="231F20"/>
          <w:spacing w:val="-7"/>
          <w:w w:val="105"/>
        </w:rPr>
        <w:t> </w:t>
      </w:r>
      <w:r>
        <w:rPr>
          <w:color w:val="231F20"/>
          <w:w w:val="105"/>
        </w:rPr>
        <w:t>y</w:t>
      </w:r>
      <w:r>
        <w:rPr>
          <w:color w:val="231F20"/>
          <w:spacing w:val="-7"/>
          <w:w w:val="105"/>
        </w:rPr>
        <w:t> </w:t>
      </w:r>
      <w:r>
        <w:rPr>
          <w:color w:val="231F20"/>
          <w:w w:val="105"/>
        </w:rPr>
        <w:t>servicios.</w:t>
      </w:r>
      <w:r>
        <w:rPr>
          <w:color w:val="231F20"/>
          <w:spacing w:val="-7"/>
          <w:w w:val="105"/>
        </w:rPr>
        <w:t> </w:t>
      </w:r>
      <w:r>
        <w:rPr>
          <w:color w:val="231F20"/>
          <w:w w:val="105"/>
        </w:rPr>
        <w:t>En</w:t>
      </w:r>
      <w:r>
        <w:rPr>
          <w:color w:val="231F20"/>
          <w:spacing w:val="-7"/>
          <w:w w:val="105"/>
        </w:rPr>
        <w:t> </w:t>
      </w:r>
      <w:r>
        <w:rPr>
          <w:color w:val="231F20"/>
          <w:w w:val="105"/>
        </w:rPr>
        <w:t>Nezahualcóyotl</w:t>
      </w:r>
      <w:r>
        <w:rPr>
          <w:color w:val="231F20"/>
          <w:spacing w:val="-7"/>
          <w:w w:val="105"/>
        </w:rPr>
        <w:t> </w:t>
      </w:r>
      <w:r>
        <w:rPr>
          <w:color w:val="231F20"/>
          <w:w w:val="105"/>
        </w:rPr>
        <w:t>el</w:t>
      </w:r>
      <w:r>
        <w:rPr>
          <w:color w:val="231F20"/>
          <w:spacing w:val="-7"/>
          <w:w w:val="105"/>
        </w:rPr>
        <w:t> </w:t>
      </w:r>
      <w:r>
        <w:rPr>
          <w:color w:val="231F20"/>
          <w:w w:val="105"/>
        </w:rPr>
        <w:t>sector</w:t>
      </w:r>
      <w:r>
        <w:rPr>
          <w:color w:val="231F20"/>
          <w:spacing w:val="-7"/>
          <w:w w:val="105"/>
        </w:rPr>
        <w:t> </w:t>
      </w:r>
      <w:r>
        <w:rPr>
          <w:color w:val="231F20"/>
          <w:w w:val="105"/>
        </w:rPr>
        <w:t>terciario</w:t>
      </w:r>
      <w:r>
        <w:rPr>
          <w:color w:val="231F20"/>
          <w:spacing w:val="-7"/>
          <w:w w:val="105"/>
        </w:rPr>
        <w:t> </w:t>
      </w:r>
      <w:r>
        <w:rPr>
          <w:color w:val="231F20"/>
          <w:w w:val="105"/>
        </w:rPr>
        <w:t>absorbe</w:t>
      </w:r>
      <w:r>
        <w:rPr>
          <w:color w:val="231F20"/>
          <w:spacing w:val="-7"/>
          <w:w w:val="105"/>
        </w:rPr>
        <w:t> </w:t>
      </w:r>
      <w:r>
        <w:rPr>
          <w:color w:val="231F20"/>
          <w:w w:val="105"/>
        </w:rPr>
        <w:t>a</w:t>
      </w:r>
      <w:r>
        <w:rPr>
          <w:color w:val="231F20"/>
          <w:spacing w:val="-7"/>
          <w:w w:val="105"/>
        </w:rPr>
        <w:t> </w:t>
      </w:r>
      <w:r>
        <w:rPr>
          <w:color w:val="231F20"/>
          <w:w w:val="105"/>
        </w:rPr>
        <w:t>335,845</w:t>
      </w:r>
      <w:r>
        <w:rPr>
          <w:color w:val="231F20"/>
          <w:spacing w:val="-7"/>
          <w:w w:val="105"/>
        </w:rPr>
        <w:t> </w:t>
      </w:r>
      <w:r>
        <w:rPr>
          <w:color w:val="231F20"/>
          <w:w w:val="105"/>
        </w:rPr>
        <w:t>habitantes, lo</w:t>
      </w:r>
      <w:r>
        <w:rPr>
          <w:color w:val="231F20"/>
          <w:spacing w:val="-11"/>
          <w:w w:val="105"/>
        </w:rPr>
        <w:t> </w:t>
      </w:r>
      <w:r>
        <w:rPr>
          <w:color w:val="231F20"/>
          <w:w w:val="105"/>
        </w:rPr>
        <w:t>que</w:t>
      </w:r>
      <w:r>
        <w:rPr>
          <w:color w:val="231F20"/>
          <w:spacing w:val="-11"/>
          <w:w w:val="105"/>
        </w:rPr>
        <w:t> </w:t>
      </w:r>
      <w:r>
        <w:rPr>
          <w:color w:val="231F20"/>
          <w:w w:val="105"/>
        </w:rPr>
        <w:t>representa</w:t>
      </w:r>
      <w:r>
        <w:rPr>
          <w:color w:val="231F20"/>
          <w:spacing w:val="-11"/>
          <w:w w:val="105"/>
        </w:rPr>
        <w:t> </w:t>
      </w:r>
      <w:r>
        <w:rPr>
          <w:color w:val="231F20"/>
          <w:w w:val="105"/>
        </w:rPr>
        <w:t>el</w:t>
      </w:r>
      <w:r>
        <w:rPr>
          <w:color w:val="231F20"/>
          <w:spacing w:val="-11"/>
          <w:w w:val="105"/>
        </w:rPr>
        <w:t> </w:t>
      </w:r>
      <w:r>
        <w:rPr>
          <w:color w:val="231F20"/>
          <w:w w:val="105"/>
        </w:rPr>
        <w:t>71.3</w:t>
      </w:r>
      <w:r>
        <w:rPr>
          <w:color w:val="231F20"/>
          <w:spacing w:val="-11"/>
          <w:w w:val="105"/>
        </w:rPr>
        <w:t> </w:t>
      </w:r>
      <w:r>
        <w:rPr>
          <w:color w:val="231F20"/>
          <w:w w:val="105"/>
        </w:rPr>
        <w:t>por</w:t>
      </w:r>
      <w:r>
        <w:rPr>
          <w:color w:val="231F20"/>
          <w:spacing w:val="-11"/>
          <w:w w:val="105"/>
        </w:rPr>
        <w:t> </w:t>
      </w:r>
      <w:r>
        <w:rPr>
          <w:color w:val="231F20"/>
          <w:w w:val="105"/>
        </w:rPr>
        <w:t>ciento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ocupada</w:t>
      </w:r>
      <w:r>
        <w:rPr>
          <w:color w:val="231F20"/>
          <w:spacing w:val="-11"/>
          <w:w w:val="105"/>
        </w:rPr>
        <w:t> </w:t>
      </w:r>
      <w:r>
        <w:rPr>
          <w:color w:val="231F20"/>
          <w:w w:val="105"/>
        </w:rPr>
        <w:t>total</w:t>
      </w:r>
      <w:r>
        <w:rPr>
          <w:color w:val="231F20"/>
          <w:spacing w:val="-11"/>
          <w:w w:val="105"/>
        </w:rPr>
        <w:t> </w:t>
      </w:r>
      <w:r>
        <w:rPr>
          <w:color w:val="231F20"/>
          <w:w w:val="105"/>
        </w:rPr>
        <w:t>municipal</w:t>
      </w:r>
      <w:r>
        <w:rPr>
          <w:color w:val="231F20"/>
          <w:spacing w:val="-11"/>
          <w:w w:val="105"/>
        </w:rPr>
        <w:t> </w:t>
      </w:r>
      <w:r>
        <w:rPr>
          <w:color w:val="231F20"/>
          <w:w w:val="105"/>
        </w:rPr>
        <w:t>que</w:t>
      </w:r>
      <w:r>
        <w:rPr>
          <w:color w:val="231F20"/>
          <w:spacing w:val="-11"/>
          <w:w w:val="105"/>
        </w:rPr>
        <w:t> </w:t>
      </w:r>
      <w:r>
        <w:rPr>
          <w:color w:val="231F20"/>
          <w:w w:val="105"/>
        </w:rPr>
        <w:t>suman </w:t>
      </w:r>
      <w:r>
        <w:rPr>
          <w:color w:val="231F20"/>
        </w:rPr>
        <w:t>470,578 habitantes </w:t>
      </w:r>
      <w:r>
        <w:rPr>
          <w:color w:val="231F20"/>
          <w:spacing w:val="-3"/>
        </w:rPr>
        <w:t>(PDM,</w:t>
      </w:r>
      <w:r>
        <w:rPr>
          <w:color w:val="231F20"/>
          <w:spacing w:val="47"/>
        </w:rPr>
        <w:t> </w:t>
      </w:r>
      <w:r>
        <w:rPr>
          <w:color w:val="231F20"/>
        </w:rPr>
        <w:t>2003-2006).</w:t>
      </w:r>
    </w:p>
    <w:p>
      <w:pPr>
        <w:spacing w:after="0" w:line="285" w:lineRule="auto"/>
        <w:jc w:val="both"/>
        <w:sectPr>
          <w:footerReference w:type="default" r:id="rId833"/>
          <w:pgSz w:w="9640" w:h="12190"/>
          <w:pgMar w:footer="743" w:header="0" w:top="1120" w:bottom="940" w:left="740" w:right="740"/>
          <w:pgNumType w:start="390"/>
        </w:sectPr>
      </w:pPr>
    </w:p>
    <w:p>
      <w:pPr>
        <w:pStyle w:val="BodyText"/>
        <w:spacing w:before="3"/>
        <w:rPr>
          <w:sz w:val="11"/>
        </w:rPr>
      </w:pPr>
    </w:p>
    <w:p>
      <w:pPr>
        <w:pStyle w:val="BodyText"/>
        <w:spacing w:line="285" w:lineRule="auto" w:before="36"/>
        <w:ind w:left="110" w:right="108"/>
        <w:jc w:val="both"/>
      </w:pPr>
      <w:r>
        <w:rPr>
          <w:color w:val="231F20"/>
          <w:spacing w:val="-3"/>
          <w:w w:val="105"/>
        </w:rPr>
        <w:t>Por </w:t>
      </w:r>
      <w:r>
        <w:rPr>
          <w:color w:val="231F20"/>
          <w:w w:val="105"/>
        </w:rPr>
        <w:t>consiguiente, la gran mayoría de la PEA del municipio se dedica a las actividades económicas</w:t>
      </w:r>
      <w:r>
        <w:rPr>
          <w:color w:val="231F20"/>
          <w:spacing w:val="-9"/>
          <w:w w:val="105"/>
        </w:rPr>
        <w:t> </w:t>
      </w:r>
      <w:r>
        <w:rPr>
          <w:color w:val="231F20"/>
          <w:w w:val="105"/>
        </w:rPr>
        <w:t>de</w:t>
      </w:r>
      <w:r>
        <w:rPr>
          <w:color w:val="231F20"/>
          <w:spacing w:val="-9"/>
          <w:w w:val="105"/>
        </w:rPr>
        <w:t> </w:t>
      </w:r>
      <w:r>
        <w:rPr>
          <w:color w:val="231F20"/>
          <w:w w:val="105"/>
        </w:rPr>
        <w:t>comercio</w:t>
      </w:r>
      <w:r>
        <w:rPr>
          <w:color w:val="231F20"/>
          <w:spacing w:val="-9"/>
          <w:w w:val="105"/>
        </w:rPr>
        <w:t> </w:t>
      </w:r>
      <w:r>
        <w:rPr>
          <w:color w:val="231F20"/>
          <w:w w:val="105"/>
        </w:rPr>
        <w:t>y</w:t>
      </w:r>
      <w:r>
        <w:rPr>
          <w:color w:val="231F20"/>
          <w:spacing w:val="-9"/>
          <w:w w:val="105"/>
        </w:rPr>
        <w:t> </w:t>
      </w:r>
      <w:r>
        <w:rPr>
          <w:color w:val="231F20"/>
          <w:w w:val="105"/>
        </w:rPr>
        <w:t>servicios,</w:t>
      </w:r>
      <w:r>
        <w:rPr>
          <w:color w:val="231F20"/>
          <w:spacing w:val="-9"/>
          <w:w w:val="105"/>
        </w:rPr>
        <w:t> </w:t>
      </w:r>
      <w:r>
        <w:rPr>
          <w:color w:val="231F20"/>
          <w:w w:val="105"/>
        </w:rPr>
        <w:t>sobre</w:t>
      </w:r>
      <w:r>
        <w:rPr>
          <w:color w:val="231F20"/>
          <w:spacing w:val="-9"/>
          <w:w w:val="105"/>
        </w:rPr>
        <w:t> </w:t>
      </w:r>
      <w:r>
        <w:rPr>
          <w:color w:val="231F20"/>
          <w:w w:val="105"/>
        </w:rPr>
        <w:t>todo</w:t>
      </w:r>
      <w:r>
        <w:rPr>
          <w:color w:val="231F20"/>
          <w:spacing w:val="-9"/>
          <w:w w:val="105"/>
        </w:rPr>
        <w:t> </w:t>
      </w:r>
      <w:r>
        <w:rPr>
          <w:color w:val="231F20"/>
          <w:w w:val="105"/>
        </w:rPr>
        <w:t>en</w:t>
      </w:r>
      <w:r>
        <w:rPr>
          <w:color w:val="231F20"/>
          <w:spacing w:val="-9"/>
          <w:w w:val="105"/>
        </w:rPr>
        <w:t> </w:t>
      </w:r>
      <w:r>
        <w:rPr>
          <w:color w:val="231F20"/>
          <w:w w:val="105"/>
        </w:rPr>
        <w:t>microempresas</w:t>
      </w:r>
      <w:r>
        <w:rPr>
          <w:color w:val="231F20"/>
          <w:spacing w:val="-9"/>
          <w:w w:val="105"/>
        </w:rPr>
        <w:t> </w:t>
      </w:r>
      <w:r>
        <w:rPr>
          <w:color w:val="231F20"/>
          <w:w w:val="105"/>
        </w:rPr>
        <w:t>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pequeño</w:t>
      </w:r>
      <w:r>
        <w:rPr>
          <w:color w:val="231F20"/>
          <w:spacing w:val="-9"/>
          <w:w w:val="105"/>
        </w:rPr>
        <w:t> </w:t>
      </w:r>
      <w:r>
        <w:rPr>
          <w:color w:val="231F20"/>
          <w:w w:val="105"/>
        </w:rPr>
        <w:t>co- mercio.</w:t>
      </w:r>
      <w:r>
        <w:rPr>
          <w:color w:val="231F20"/>
          <w:spacing w:val="-16"/>
          <w:w w:val="105"/>
        </w:rPr>
        <w:t> </w:t>
      </w:r>
      <w:r>
        <w:rPr>
          <w:color w:val="231F20"/>
          <w:w w:val="105"/>
        </w:rPr>
        <w:t>Actividades</w:t>
      </w:r>
      <w:r>
        <w:rPr>
          <w:color w:val="231F20"/>
          <w:spacing w:val="-16"/>
          <w:w w:val="105"/>
        </w:rPr>
        <w:t> </w:t>
      </w:r>
      <w:r>
        <w:rPr>
          <w:color w:val="231F20"/>
          <w:w w:val="105"/>
        </w:rPr>
        <w:t>económicas</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buena</w:t>
      </w:r>
      <w:r>
        <w:rPr>
          <w:color w:val="231F20"/>
          <w:spacing w:val="-16"/>
          <w:w w:val="105"/>
        </w:rPr>
        <w:t> </w:t>
      </w:r>
      <w:r>
        <w:rPr>
          <w:color w:val="231F20"/>
          <w:w w:val="105"/>
        </w:rPr>
        <w:t>medida</w:t>
      </w:r>
      <w:r>
        <w:rPr>
          <w:color w:val="231F20"/>
          <w:spacing w:val="-16"/>
          <w:w w:val="105"/>
        </w:rPr>
        <w:t> </w:t>
      </w:r>
      <w:r>
        <w:rPr>
          <w:color w:val="231F20"/>
          <w:w w:val="105"/>
        </w:rPr>
        <w:t>se</w:t>
      </w:r>
      <w:r>
        <w:rPr>
          <w:color w:val="231F20"/>
          <w:spacing w:val="-16"/>
          <w:w w:val="105"/>
        </w:rPr>
        <w:t> </w:t>
      </w:r>
      <w:r>
        <w:rPr>
          <w:color w:val="231F20"/>
          <w:w w:val="105"/>
        </w:rPr>
        <w:t>desarrollan</w:t>
      </w:r>
      <w:r>
        <w:rPr>
          <w:color w:val="231F20"/>
          <w:spacing w:val="-16"/>
          <w:w w:val="105"/>
        </w:rPr>
        <w:t> </w:t>
      </w:r>
      <w:r>
        <w:rPr>
          <w:color w:val="231F20"/>
          <w:w w:val="105"/>
        </w:rPr>
        <w:t>dentro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infor- malidad,</w:t>
      </w:r>
      <w:r>
        <w:rPr>
          <w:color w:val="231F20"/>
          <w:spacing w:val="-11"/>
          <w:w w:val="105"/>
        </w:rPr>
        <w:t> </w:t>
      </w:r>
      <w:r>
        <w:rPr>
          <w:color w:val="231F20"/>
          <w:w w:val="105"/>
        </w:rPr>
        <w:t>muestra</w:t>
      </w:r>
      <w:r>
        <w:rPr>
          <w:color w:val="231F20"/>
          <w:spacing w:val="-11"/>
          <w:w w:val="105"/>
        </w:rPr>
        <w:t> </w:t>
      </w:r>
      <w:r>
        <w:rPr>
          <w:color w:val="231F20"/>
          <w:w w:val="105"/>
        </w:rPr>
        <w:t>de</w:t>
      </w:r>
      <w:r>
        <w:rPr>
          <w:color w:val="231F20"/>
          <w:spacing w:val="-11"/>
          <w:w w:val="105"/>
        </w:rPr>
        <w:t> </w:t>
      </w:r>
      <w:r>
        <w:rPr>
          <w:color w:val="231F20"/>
          <w:w w:val="105"/>
        </w:rPr>
        <w:t>ello</w:t>
      </w:r>
      <w:r>
        <w:rPr>
          <w:color w:val="231F20"/>
          <w:spacing w:val="-11"/>
          <w:w w:val="105"/>
        </w:rPr>
        <w:t> </w:t>
      </w:r>
      <w:r>
        <w:rPr>
          <w:color w:val="231F20"/>
          <w:w w:val="105"/>
        </w:rPr>
        <w:t>es</w:t>
      </w:r>
      <w:r>
        <w:rPr>
          <w:color w:val="231F20"/>
          <w:spacing w:val="-11"/>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existen</w:t>
      </w:r>
      <w:r>
        <w:rPr>
          <w:color w:val="231F20"/>
          <w:spacing w:val="-11"/>
          <w:w w:val="105"/>
        </w:rPr>
        <w:t> </w:t>
      </w:r>
      <w:r>
        <w:rPr>
          <w:color w:val="231F20"/>
          <w:w w:val="105"/>
        </w:rPr>
        <w:t>80</w:t>
      </w:r>
      <w:r>
        <w:rPr>
          <w:color w:val="231F20"/>
          <w:spacing w:val="-11"/>
          <w:w w:val="105"/>
        </w:rPr>
        <w:t> </w:t>
      </w:r>
      <w:r>
        <w:rPr>
          <w:color w:val="231F20"/>
          <w:spacing w:val="2"/>
          <w:w w:val="105"/>
        </w:rPr>
        <w:t>tianguis</w:t>
      </w:r>
      <w:r>
        <w:rPr>
          <w:color w:val="231F20"/>
          <w:spacing w:val="-11"/>
          <w:w w:val="105"/>
        </w:rPr>
        <w:t> </w:t>
      </w:r>
      <w:r>
        <w:rPr>
          <w:color w:val="231F20"/>
          <w:w w:val="105"/>
        </w:rPr>
        <w:t>ambulantes.</w:t>
      </w:r>
    </w:p>
    <w:p>
      <w:pPr>
        <w:pStyle w:val="BodyText"/>
        <w:spacing w:before="1"/>
        <w:rPr>
          <w:sz w:val="26"/>
        </w:rPr>
      </w:pPr>
    </w:p>
    <w:p>
      <w:pPr>
        <w:pStyle w:val="BodyText"/>
        <w:spacing w:line="285" w:lineRule="auto"/>
        <w:ind w:left="110" w:right="109"/>
        <w:jc w:val="both"/>
      </w:pPr>
      <w:r>
        <w:rPr>
          <w:color w:val="231F20"/>
          <w:w w:val="105"/>
        </w:rPr>
        <w:t>En cuanto a la distribución de la población ocupada según su situación de trabajo, de acuerdo</w:t>
      </w:r>
      <w:r>
        <w:rPr>
          <w:color w:val="231F20"/>
          <w:spacing w:val="-27"/>
          <w:w w:val="105"/>
        </w:rPr>
        <w:t> </w:t>
      </w:r>
      <w:r>
        <w:rPr>
          <w:color w:val="231F20"/>
          <w:w w:val="105"/>
        </w:rPr>
        <w:t>con</w:t>
      </w:r>
      <w:r>
        <w:rPr>
          <w:color w:val="231F20"/>
          <w:spacing w:val="-27"/>
          <w:w w:val="105"/>
        </w:rPr>
        <w:t> </w:t>
      </w:r>
      <w:r>
        <w:rPr>
          <w:color w:val="231F20"/>
          <w:w w:val="105"/>
        </w:rPr>
        <w:t>el</w:t>
      </w:r>
      <w:r>
        <w:rPr>
          <w:color w:val="231F20"/>
          <w:spacing w:val="-27"/>
          <w:w w:val="105"/>
        </w:rPr>
        <w:t> </w:t>
      </w:r>
      <w:r>
        <w:rPr>
          <w:color w:val="231F20"/>
          <w:w w:val="105"/>
        </w:rPr>
        <w:t>Censo</w:t>
      </w:r>
      <w:r>
        <w:rPr>
          <w:color w:val="231F20"/>
          <w:spacing w:val="-27"/>
          <w:w w:val="105"/>
        </w:rPr>
        <w:t> </w:t>
      </w:r>
      <w:r>
        <w:rPr>
          <w:color w:val="231F20"/>
          <w:w w:val="105"/>
        </w:rPr>
        <w:t>Económico</w:t>
      </w:r>
      <w:r>
        <w:rPr>
          <w:color w:val="231F20"/>
          <w:spacing w:val="-27"/>
          <w:w w:val="105"/>
        </w:rPr>
        <w:t> </w:t>
      </w:r>
      <w:r>
        <w:rPr>
          <w:color w:val="231F20"/>
          <w:w w:val="105"/>
        </w:rPr>
        <w:t>de</w:t>
      </w:r>
      <w:r>
        <w:rPr>
          <w:color w:val="231F20"/>
          <w:spacing w:val="-27"/>
          <w:w w:val="105"/>
        </w:rPr>
        <w:t> </w:t>
      </w:r>
      <w:r>
        <w:rPr>
          <w:color w:val="231F20"/>
          <w:w w:val="105"/>
        </w:rPr>
        <w:t>1998,</w:t>
      </w:r>
      <w:r>
        <w:rPr>
          <w:color w:val="231F20"/>
          <w:spacing w:val="-27"/>
          <w:w w:val="105"/>
        </w:rPr>
        <w:t> </w:t>
      </w:r>
      <w:r>
        <w:rPr>
          <w:color w:val="231F20"/>
          <w:w w:val="105"/>
        </w:rPr>
        <w:t>el</w:t>
      </w:r>
      <w:r>
        <w:rPr>
          <w:color w:val="231F20"/>
          <w:spacing w:val="-27"/>
          <w:w w:val="105"/>
        </w:rPr>
        <w:t> </w:t>
      </w:r>
      <w:r>
        <w:rPr>
          <w:color w:val="231F20"/>
          <w:spacing w:val="-4"/>
          <w:w w:val="105"/>
        </w:rPr>
        <w:t>69.49</w:t>
      </w:r>
      <w:r>
        <w:rPr>
          <w:color w:val="231F20"/>
          <w:spacing w:val="-27"/>
          <w:w w:val="105"/>
        </w:rPr>
        <w:t> </w:t>
      </w:r>
      <w:r>
        <w:rPr>
          <w:color w:val="231F20"/>
          <w:w w:val="105"/>
        </w:rPr>
        <w:t>por</w:t>
      </w:r>
      <w:r>
        <w:rPr>
          <w:color w:val="231F20"/>
          <w:spacing w:val="-27"/>
          <w:w w:val="105"/>
        </w:rPr>
        <w:t> </w:t>
      </w:r>
      <w:r>
        <w:rPr>
          <w:color w:val="231F20"/>
          <w:w w:val="105"/>
        </w:rPr>
        <w:t>ciento</w:t>
      </w:r>
      <w:r>
        <w:rPr>
          <w:color w:val="231F20"/>
          <w:spacing w:val="-27"/>
          <w:w w:val="105"/>
        </w:rPr>
        <w:t> </w:t>
      </w:r>
      <w:r>
        <w:rPr>
          <w:color w:val="231F20"/>
          <w:w w:val="105"/>
        </w:rPr>
        <w:t>eran</w:t>
      </w:r>
      <w:r>
        <w:rPr>
          <w:color w:val="231F20"/>
          <w:spacing w:val="-27"/>
          <w:w w:val="105"/>
        </w:rPr>
        <w:t> </w:t>
      </w:r>
      <w:r>
        <w:rPr>
          <w:color w:val="231F20"/>
          <w:w w:val="105"/>
        </w:rPr>
        <w:t>empleados</w:t>
      </w:r>
      <w:r>
        <w:rPr>
          <w:color w:val="231F20"/>
          <w:spacing w:val="-27"/>
          <w:w w:val="105"/>
        </w:rPr>
        <w:t> </w:t>
      </w:r>
      <w:r>
        <w:rPr>
          <w:color w:val="231F20"/>
          <w:w w:val="105"/>
        </w:rPr>
        <w:t>y</w:t>
      </w:r>
      <w:r>
        <w:rPr>
          <w:color w:val="231F20"/>
          <w:spacing w:val="-27"/>
          <w:w w:val="105"/>
        </w:rPr>
        <w:t> </w:t>
      </w:r>
      <w:r>
        <w:rPr>
          <w:color w:val="231F20"/>
          <w:w w:val="105"/>
        </w:rPr>
        <w:t>obreros</w:t>
      </w:r>
      <w:r>
        <w:rPr>
          <w:color w:val="231F20"/>
          <w:spacing w:val="-27"/>
          <w:w w:val="105"/>
        </w:rPr>
        <w:t> </w:t>
      </w:r>
      <w:r>
        <w:rPr>
          <w:color w:val="231F20"/>
          <w:w w:val="105"/>
        </w:rPr>
        <w:t>y</w:t>
      </w:r>
    </w:p>
    <w:p>
      <w:pPr>
        <w:pStyle w:val="BodyText"/>
        <w:spacing w:line="285" w:lineRule="auto" w:before="1"/>
        <w:ind w:left="110" w:right="107"/>
        <w:jc w:val="both"/>
      </w:pPr>
      <w:r>
        <w:rPr>
          <w:color w:val="231F20"/>
          <w:w w:val="105"/>
        </w:rPr>
        <w:t>24.20</w:t>
      </w:r>
      <w:r>
        <w:rPr>
          <w:color w:val="231F20"/>
          <w:spacing w:val="-20"/>
          <w:w w:val="105"/>
        </w:rPr>
        <w:t> </w:t>
      </w:r>
      <w:r>
        <w:rPr>
          <w:color w:val="231F20"/>
          <w:w w:val="105"/>
        </w:rPr>
        <w:t>por</w:t>
      </w:r>
      <w:r>
        <w:rPr>
          <w:color w:val="231F20"/>
          <w:spacing w:val="-20"/>
          <w:w w:val="105"/>
        </w:rPr>
        <w:t> </w:t>
      </w:r>
      <w:r>
        <w:rPr>
          <w:color w:val="231F20"/>
          <w:w w:val="105"/>
        </w:rPr>
        <w:t>ciento</w:t>
      </w:r>
      <w:r>
        <w:rPr>
          <w:color w:val="231F20"/>
          <w:spacing w:val="-20"/>
          <w:w w:val="105"/>
        </w:rPr>
        <w:t> </w:t>
      </w:r>
      <w:r>
        <w:rPr>
          <w:color w:val="231F20"/>
          <w:w w:val="105"/>
        </w:rPr>
        <w:t>eran</w:t>
      </w:r>
      <w:r>
        <w:rPr>
          <w:color w:val="231F20"/>
          <w:spacing w:val="-20"/>
          <w:w w:val="105"/>
        </w:rPr>
        <w:t> </w:t>
      </w:r>
      <w:r>
        <w:rPr>
          <w:color w:val="231F20"/>
          <w:w w:val="105"/>
        </w:rPr>
        <w:t>trabajadores</w:t>
      </w:r>
      <w:r>
        <w:rPr>
          <w:color w:val="231F20"/>
          <w:spacing w:val="-20"/>
          <w:w w:val="105"/>
        </w:rPr>
        <w:t> </w:t>
      </w:r>
      <w:r>
        <w:rPr>
          <w:color w:val="231F20"/>
          <w:w w:val="105"/>
        </w:rPr>
        <w:t>por</w:t>
      </w:r>
      <w:r>
        <w:rPr>
          <w:color w:val="231F20"/>
          <w:spacing w:val="-20"/>
          <w:w w:val="105"/>
        </w:rPr>
        <w:t> </w:t>
      </w:r>
      <w:r>
        <w:rPr>
          <w:color w:val="231F20"/>
          <w:w w:val="105"/>
        </w:rPr>
        <w:t>su</w:t>
      </w:r>
      <w:r>
        <w:rPr>
          <w:color w:val="231F20"/>
          <w:spacing w:val="-20"/>
          <w:w w:val="105"/>
        </w:rPr>
        <w:t> </w:t>
      </w:r>
      <w:r>
        <w:rPr>
          <w:color w:val="231F20"/>
          <w:w w:val="105"/>
        </w:rPr>
        <w:t>cuenta</w:t>
      </w:r>
      <w:r>
        <w:rPr>
          <w:color w:val="231F20"/>
          <w:spacing w:val="-20"/>
          <w:w w:val="105"/>
        </w:rPr>
        <w:t> </w:t>
      </w:r>
      <w:r>
        <w:rPr>
          <w:color w:val="231F20"/>
          <w:spacing w:val="-4"/>
          <w:w w:val="105"/>
        </w:rPr>
        <w:t>(ver</w:t>
      </w:r>
      <w:r>
        <w:rPr>
          <w:color w:val="231F20"/>
          <w:spacing w:val="-20"/>
          <w:w w:val="105"/>
        </w:rPr>
        <w:t> </w:t>
      </w:r>
      <w:r>
        <w:rPr>
          <w:color w:val="231F20"/>
          <w:w w:val="105"/>
        </w:rPr>
        <w:t>cuadro</w:t>
      </w:r>
      <w:r>
        <w:rPr>
          <w:color w:val="231F20"/>
          <w:spacing w:val="-20"/>
          <w:w w:val="105"/>
        </w:rPr>
        <w:t> </w:t>
      </w:r>
      <w:r>
        <w:rPr>
          <w:color w:val="231F20"/>
          <w:spacing w:val="-5"/>
          <w:w w:val="105"/>
        </w:rPr>
        <w:t>2).</w:t>
      </w:r>
      <w:r>
        <w:rPr>
          <w:color w:val="231F20"/>
          <w:spacing w:val="-20"/>
          <w:w w:val="105"/>
        </w:rPr>
        <w:t> </w:t>
      </w:r>
      <w:r>
        <w:rPr>
          <w:color w:val="231F20"/>
          <w:w w:val="105"/>
        </w:rPr>
        <w:t>Esto</w:t>
      </w:r>
      <w:r>
        <w:rPr>
          <w:color w:val="231F20"/>
          <w:spacing w:val="-20"/>
          <w:w w:val="105"/>
        </w:rPr>
        <w:t> </w:t>
      </w:r>
      <w:r>
        <w:rPr>
          <w:color w:val="231F20"/>
          <w:w w:val="105"/>
        </w:rPr>
        <w:t>es</w:t>
      </w:r>
      <w:r>
        <w:rPr>
          <w:color w:val="231F20"/>
          <w:spacing w:val="-20"/>
          <w:w w:val="105"/>
        </w:rPr>
        <w:t> </w:t>
      </w:r>
      <w:r>
        <w:rPr>
          <w:color w:val="231F20"/>
          <w:w w:val="105"/>
        </w:rPr>
        <w:t>indicativo</w:t>
      </w:r>
      <w:r>
        <w:rPr>
          <w:color w:val="231F20"/>
          <w:spacing w:val="-20"/>
          <w:w w:val="105"/>
        </w:rPr>
        <w:t> </w:t>
      </w:r>
      <w:r>
        <w:rPr>
          <w:color w:val="231F20"/>
          <w:w w:val="105"/>
        </w:rPr>
        <w:t>de</w:t>
      </w:r>
      <w:r>
        <w:rPr>
          <w:color w:val="231F20"/>
          <w:spacing w:val="-20"/>
          <w:w w:val="105"/>
        </w:rPr>
        <w:t> </w:t>
      </w:r>
      <w:r>
        <w:rPr>
          <w:color w:val="231F20"/>
          <w:w w:val="105"/>
        </w:rPr>
        <w:t>que el</w:t>
      </w:r>
      <w:r>
        <w:rPr>
          <w:color w:val="231F20"/>
          <w:spacing w:val="-4"/>
          <w:w w:val="105"/>
        </w:rPr>
        <w:t> </w:t>
      </w:r>
      <w:r>
        <w:rPr>
          <w:color w:val="231F20"/>
          <w:w w:val="105"/>
        </w:rPr>
        <w:t>municipio</w:t>
      </w:r>
      <w:r>
        <w:rPr>
          <w:color w:val="231F20"/>
          <w:spacing w:val="-4"/>
          <w:w w:val="105"/>
        </w:rPr>
        <w:t> </w:t>
      </w:r>
      <w:r>
        <w:rPr>
          <w:color w:val="231F20"/>
          <w:w w:val="105"/>
        </w:rPr>
        <w:t>no</w:t>
      </w:r>
      <w:r>
        <w:rPr>
          <w:color w:val="231F20"/>
          <w:spacing w:val="-4"/>
          <w:w w:val="105"/>
        </w:rPr>
        <w:t> </w:t>
      </w:r>
      <w:r>
        <w:rPr>
          <w:color w:val="231F20"/>
          <w:w w:val="105"/>
        </w:rPr>
        <w:t>cuenta</w:t>
      </w:r>
      <w:r>
        <w:rPr>
          <w:color w:val="231F20"/>
          <w:spacing w:val="-4"/>
          <w:w w:val="105"/>
        </w:rPr>
        <w:t> </w:t>
      </w:r>
      <w:r>
        <w:rPr>
          <w:color w:val="231F20"/>
          <w:w w:val="105"/>
        </w:rPr>
        <w:t>con</w:t>
      </w:r>
      <w:r>
        <w:rPr>
          <w:color w:val="231F20"/>
          <w:spacing w:val="-4"/>
          <w:w w:val="105"/>
        </w:rPr>
        <w:t> </w:t>
      </w:r>
      <w:r>
        <w:rPr>
          <w:color w:val="231F20"/>
          <w:w w:val="105"/>
        </w:rPr>
        <w:t>un</w:t>
      </w:r>
      <w:r>
        <w:rPr>
          <w:color w:val="231F20"/>
          <w:spacing w:val="-4"/>
          <w:w w:val="105"/>
        </w:rPr>
        <w:t> </w:t>
      </w:r>
      <w:r>
        <w:rPr>
          <w:color w:val="231F20"/>
          <w:w w:val="105"/>
        </w:rPr>
        <w:t>desarrollo</w:t>
      </w:r>
      <w:r>
        <w:rPr>
          <w:color w:val="231F20"/>
          <w:spacing w:val="-4"/>
          <w:w w:val="105"/>
        </w:rPr>
        <w:t> </w:t>
      </w:r>
      <w:r>
        <w:rPr>
          <w:color w:val="231F20"/>
          <w:w w:val="105"/>
        </w:rPr>
        <w:t>industrial</w:t>
      </w:r>
      <w:r>
        <w:rPr>
          <w:color w:val="231F20"/>
          <w:spacing w:val="-4"/>
          <w:w w:val="105"/>
        </w:rPr>
        <w:t> </w:t>
      </w:r>
      <w:r>
        <w:rPr>
          <w:color w:val="231F20"/>
          <w:w w:val="105"/>
        </w:rPr>
        <w:t>que</w:t>
      </w:r>
      <w:r>
        <w:rPr>
          <w:color w:val="231F20"/>
          <w:spacing w:val="-4"/>
          <w:w w:val="105"/>
        </w:rPr>
        <w:t> </w:t>
      </w:r>
      <w:r>
        <w:rPr>
          <w:color w:val="231F20"/>
          <w:w w:val="105"/>
        </w:rPr>
        <w:t>sea</w:t>
      </w:r>
      <w:r>
        <w:rPr>
          <w:color w:val="231F20"/>
          <w:spacing w:val="-4"/>
          <w:w w:val="105"/>
        </w:rPr>
        <w:t> </w:t>
      </w:r>
      <w:r>
        <w:rPr>
          <w:color w:val="231F20"/>
          <w:w w:val="105"/>
        </w:rPr>
        <w:t>capaz</w:t>
      </w:r>
      <w:r>
        <w:rPr>
          <w:color w:val="231F20"/>
          <w:spacing w:val="-4"/>
          <w:w w:val="105"/>
        </w:rPr>
        <w:t> </w:t>
      </w:r>
      <w:r>
        <w:rPr>
          <w:color w:val="231F20"/>
          <w:w w:val="105"/>
        </w:rPr>
        <w:t>de</w:t>
      </w:r>
      <w:r>
        <w:rPr>
          <w:color w:val="231F20"/>
          <w:spacing w:val="-4"/>
          <w:w w:val="105"/>
        </w:rPr>
        <w:t> </w:t>
      </w:r>
      <w:r>
        <w:rPr>
          <w:color w:val="231F20"/>
          <w:w w:val="105"/>
        </w:rPr>
        <w:t>absorber</w:t>
      </w:r>
      <w:r>
        <w:rPr>
          <w:color w:val="231F20"/>
          <w:spacing w:val="-4"/>
          <w:w w:val="105"/>
        </w:rPr>
        <w:t> </w:t>
      </w:r>
      <w:r>
        <w:rPr>
          <w:color w:val="231F20"/>
          <w:w w:val="105"/>
        </w:rPr>
        <w:t>la</w:t>
      </w:r>
      <w:r>
        <w:rPr>
          <w:color w:val="231F20"/>
          <w:spacing w:val="-4"/>
          <w:w w:val="105"/>
        </w:rPr>
        <w:t> </w:t>
      </w:r>
      <w:r>
        <w:rPr>
          <w:color w:val="231F20"/>
          <w:w w:val="105"/>
        </w:rPr>
        <w:t>mano de</w:t>
      </w:r>
      <w:r>
        <w:rPr>
          <w:color w:val="231F20"/>
          <w:spacing w:val="-18"/>
          <w:w w:val="105"/>
        </w:rPr>
        <w:t> </w:t>
      </w:r>
      <w:r>
        <w:rPr>
          <w:color w:val="231F20"/>
          <w:w w:val="105"/>
        </w:rPr>
        <w:t>obra</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población,</w:t>
      </w:r>
      <w:r>
        <w:rPr>
          <w:color w:val="231F20"/>
          <w:spacing w:val="-18"/>
          <w:w w:val="105"/>
        </w:rPr>
        <w:t> </w:t>
      </w:r>
      <w:r>
        <w:rPr>
          <w:color w:val="231F20"/>
          <w:w w:val="105"/>
        </w:rPr>
        <w:t>y</w:t>
      </w:r>
      <w:r>
        <w:rPr>
          <w:color w:val="231F20"/>
          <w:spacing w:val="-18"/>
          <w:w w:val="105"/>
        </w:rPr>
        <w:t> </w:t>
      </w:r>
      <w:r>
        <w:rPr>
          <w:color w:val="231F20"/>
          <w:w w:val="105"/>
        </w:rPr>
        <w:t>por</w:t>
      </w:r>
      <w:r>
        <w:rPr>
          <w:color w:val="231F20"/>
          <w:spacing w:val="-18"/>
          <w:w w:val="105"/>
        </w:rPr>
        <w:t> </w:t>
      </w:r>
      <w:r>
        <w:rPr>
          <w:color w:val="231F20"/>
          <w:w w:val="105"/>
        </w:rPr>
        <w:t>otro</w:t>
      </w:r>
      <w:r>
        <w:rPr>
          <w:color w:val="231F20"/>
          <w:spacing w:val="-18"/>
          <w:w w:val="105"/>
        </w:rPr>
        <w:t> </w:t>
      </w:r>
      <w:r>
        <w:rPr>
          <w:color w:val="231F20"/>
          <w:w w:val="105"/>
        </w:rPr>
        <w:t>lado,</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8"/>
          <w:w w:val="105"/>
        </w:rPr>
        <w:t> </w:t>
      </w:r>
      <w:r>
        <w:rPr>
          <w:color w:val="231F20"/>
          <w:w w:val="105"/>
        </w:rPr>
        <w:t>términos</w:t>
      </w:r>
      <w:r>
        <w:rPr>
          <w:color w:val="231F20"/>
          <w:spacing w:val="-18"/>
          <w:w w:val="105"/>
        </w:rPr>
        <w:t> </w:t>
      </w:r>
      <w:r>
        <w:rPr>
          <w:color w:val="231F20"/>
          <w:w w:val="105"/>
        </w:rPr>
        <w:t>generales</w:t>
      </w:r>
      <w:r>
        <w:rPr>
          <w:color w:val="231F20"/>
          <w:spacing w:val="-18"/>
          <w:w w:val="105"/>
        </w:rPr>
        <w:t> </w:t>
      </w:r>
      <w:r>
        <w:rPr>
          <w:color w:val="231F20"/>
          <w:w w:val="105"/>
        </w:rPr>
        <w:t>estamos</w:t>
      </w:r>
      <w:r>
        <w:rPr>
          <w:color w:val="231F20"/>
          <w:spacing w:val="-18"/>
          <w:w w:val="105"/>
        </w:rPr>
        <w:t> </w:t>
      </w:r>
      <w:r>
        <w:rPr>
          <w:color w:val="231F20"/>
          <w:w w:val="105"/>
        </w:rPr>
        <w:t>hablando</w:t>
      </w:r>
      <w:r>
        <w:rPr>
          <w:color w:val="231F20"/>
          <w:spacing w:val="-18"/>
          <w:w w:val="105"/>
        </w:rPr>
        <w:t> </w:t>
      </w:r>
      <w:r>
        <w:rPr>
          <w:color w:val="231F20"/>
          <w:w w:val="105"/>
        </w:rPr>
        <w:t>de un</w:t>
      </w:r>
      <w:r>
        <w:rPr>
          <w:color w:val="231F20"/>
          <w:spacing w:val="-11"/>
          <w:w w:val="105"/>
        </w:rPr>
        <w:t> </w:t>
      </w:r>
      <w:r>
        <w:rPr>
          <w:color w:val="231F20"/>
          <w:w w:val="105"/>
        </w:rPr>
        <w:t>municipio</w:t>
      </w:r>
      <w:r>
        <w:rPr>
          <w:color w:val="231F20"/>
          <w:spacing w:val="-11"/>
          <w:w w:val="105"/>
        </w:rPr>
        <w:t> </w:t>
      </w:r>
      <w:r>
        <w:rPr>
          <w:color w:val="231F20"/>
          <w:w w:val="105"/>
        </w:rPr>
        <w:t>constituido</w:t>
      </w:r>
      <w:r>
        <w:rPr>
          <w:color w:val="231F20"/>
          <w:spacing w:val="-11"/>
          <w:w w:val="105"/>
        </w:rPr>
        <w:t> </w:t>
      </w:r>
      <w:r>
        <w:rPr>
          <w:color w:val="231F20"/>
          <w:w w:val="105"/>
        </w:rPr>
        <w:t>por</w:t>
      </w:r>
      <w:r>
        <w:rPr>
          <w:color w:val="231F20"/>
          <w:spacing w:val="-11"/>
          <w:w w:val="105"/>
        </w:rPr>
        <w:t> </w:t>
      </w:r>
      <w:r>
        <w:rPr>
          <w:color w:val="231F20"/>
          <w:w w:val="105"/>
        </w:rPr>
        <w:t>sectores</w:t>
      </w:r>
      <w:r>
        <w:rPr>
          <w:color w:val="231F20"/>
          <w:spacing w:val="-11"/>
          <w:w w:val="105"/>
        </w:rPr>
        <w:t> </w:t>
      </w:r>
      <w:r>
        <w:rPr>
          <w:color w:val="231F20"/>
          <w:w w:val="105"/>
        </w:rPr>
        <w:t>sociales</w:t>
      </w:r>
      <w:r>
        <w:rPr>
          <w:color w:val="231F20"/>
          <w:spacing w:val="-11"/>
          <w:w w:val="105"/>
        </w:rPr>
        <w:t> </w:t>
      </w:r>
      <w:r>
        <w:rPr>
          <w:color w:val="231F20"/>
          <w:w w:val="105"/>
        </w:rPr>
        <w:t>populares</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bajos</w:t>
      </w:r>
      <w:r>
        <w:rPr>
          <w:color w:val="231F20"/>
          <w:spacing w:val="-11"/>
          <w:w w:val="105"/>
        </w:rPr>
        <w:t> </w:t>
      </w:r>
      <w:r>
        <w:rPr>
          <w:color w:val="231F20"/>
          <w:w w:val="105"/>
        </w:rPr>
        <w:t>recursos.</w:t>
      </w:r>
    </w:p>
    <w:p>
      <w:pPr>
        <w:pStyle w:val="BodyText"/>
        <w:spacing w:before="1"/>
        <w:rPr>
          <w:sz w:val="26"/>
        </w:rPr>
      </w:pPr>
    </w:p>
    <w:p>
      <w:pPr>
        <w:pStyle w:val="Heading5"/>
        <w:spacing w:line="285" w:lineRule="auto"/>
        <w:ind w:left="608" w:right="606"/>
        <w:jc w:val="center"/>
      </w:pPr>
      <w:r>
        <w:rPr>
          <w:color w:val="231F20"/>
          <w:w w:val="105"/>
        </w:rPr>
        <w:t>Cuadro</w:t>
      </w:r>
      <w:r>
        <w:rPr>
          <w:color w:val="231F20"/>
          <w:spacing w:val="-19"/>
          <w:w w:val="105"/>
        </w:rPr>
        <w:t> </w:t>
      </w:r>
      <w:r>
        <w:rPr>
          <w:color w:val="231F20"/>
          <w:spacing w:val="2"/>
          <w:w w:val="105"/>
        </w:rPr>
        <w:t>2.</w:t>
      </w:r>
      <w:r>
        <w:rPr>
          <w:color w:val="231F20"/>
          <w:spacing w:val="-19"/>
          <w:w w:val="105"/>
        </w:rPr>
        <w:t> </w:t>
      </w:r>
      <w:r>
        <w:rPr>
          <w:color w:val="231F20"/>
          <w:w w:val="105"/>
        </w:rPr>
        <w:t>Distribución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Población</w:t>
      </w:r>
      <w:r>
        <w:rPr>
          <w:color w:val="231F20"/>
          <w:spacing w:val="-19"/>
          <w:w w:val="105"/>
        </w:rPr>
        <w:t> </w:t>
      </w:r>
      <w:r>
        <w:rPr>
          <w:color w:val="231F20"/>
          <w:w w:val="105"/>
        </w:rPr>
        <w:t>Ocupada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 y</w:t>
      </w:r>
      <w:r>
        <w:rPr>
          <w:color w:val="231F20"/>
          <w:spacing w:val="-16"/>
          <w:w w:val="105"/>
        </w:rPr>
        <w:t> </w:t>
      </w:r>
      <w:r>
        <w:rPr>
          <w:color w:val="231F20"/>
          <w:w w:val="105"/>
        </w:rPr>
        <w:t>Nezahualcóyotl</w:t>
      </w:r>
      <w:r>
        <w:rPr>
          <w:color w:val="231F20"/>
          <w:spacing w:val="-16"/>
          <w:w w:val="105"/>
        </w:rPr>
        <w:t> </w:t>
      </w:r>
      <w:r>
        <w:rPr>
          <w:color w:val="231F20"/>
          <w:w w:val="105"/>
        </w:rPr>
        <w:t>Según</w:t>
      </w:r>
      <w:r>
        <w:rPr>
          <w:color w:val="231F20"/>
          <w:spacing w:val="-16"/>
          <w:w w:val="105"/>
        </w:rPr>
        <w:t> </w:t>
      </w:r>
      <w:r>
        <w:rPr>
          <w:color w:val="231F20"/>
          <w:w w:val="105"/>
        </w:rPr>
        <w:t>Razón</w:t>
      </w:r>
      <w:r>
        <w:rPr>
          <w:color w:val="231F20"/>
          <w:spacing w:val="-16"/>
          <w:w w:val="105"/>
        </w:rPr>
        <w:t> </w:t>
      </w:r>
      <w:r>
        <w:rPr>
          <w:color w:val="231F20"/>
          <w:w w:val="105"/>
        </w:rPr>
        <w:t>Social,</w:t>
      </w:r>
      <w:r>
        <w:rPr>
          <w:color w:val="231F20"/>
          <w:spacing w:val="-16"/>
          <w:w w:val="105"/>
        </w:rPr>
        <w:t> </w:t>
      </w:r>
      <w:r>
        <w:rPr>
          <w:color w:val="231F20"/>
          <w:w w:val="105"/>
        </w:rPr>
        <w:t>1998</w:t>
      </w:r>
    </w:p>
    <w:p>
      <w:pPr>
        <w:pStyle w:val="BodyText"/>
        <w:spacing w:before="9"/>
        <w:rPr>
          <w:b/>
          <w:sz w:val="24"/>
        </w:rPr>
      </w:pPr>
    </w:p>
    <w:tbl>
      <w:tblPr>
        <w:tblW w:w="0" w:type="auto"/>
        <w:jc w:val="left"/>
        <w:tblInd w:w="31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02"/>
        <w:gridCol w:w="652"/>
        <w:gridCol w:w="782"/>
        <w:gridCol w:w="757"/>
        <w:gridCol w:w="637"/>
        <w:gridCol w:w="1078"/>
        <w:gridCol w:w="1096"/>
        <w:gridCol w:w="1320"/>
      </w:tblGrid>
      <w:tr>
        <w:trPr>
          <w:trHeight w:val="675" w:hRule="exact"/>
        </w:trPr>
        <w:tc>
          <w:tcPr>
            <w:tcW w:w="1202" w:type="dxa"/>
            <w:shd w:val="clear" w:color="auto" w:fill="B3B4B4"/>
          </w:tcPr>
          <w:p>
            <w:pPr>
              <w:pStyle w:val="TableParagraph"/>
              <w:spacing w:before="10"/>
              <w:ind w:left="0"/>
              <w:rPr>
                <w:rFonts w:ascii="Times New Roman"/>
                <w:b/>
                <w:sz w:val="20"/>
              </w:rPr>
            </w:pPr>
          </w:p>
          <w:p>
            <w:pPr>
              <w:pStyle w:val="TableParagraph"/>
              <w:ind w:left="64"/>
              <w:rPr>
                <w:sz w:val="16"/>
              </w:rPr>
            </w:pPr>
            <w:r>
              <w:rPr>
                <w:color w:val="231F20"/>
                <w:w w:val="85"/>
                <w:sz w:val="16"/>
              </w:rPr>
              <w:t>Concepto</w:t>
            </w:r>
          </w:p>
        </w:tc>
        <w:tc>
          <w:tcPr>
            <w:tcW w:w="652" w:type="dxa"/>
            <w:shd w:val="clear" w:color="auto" w:fill="B3B4B4"/>
          </w:tcPr>
          <w:p>
            <w:pPr>
              <w:pStyle w:val="TableParagraph"/>
              <w:spacing w:before="10"/>
              <w:ind w:left="0"/>
              <w:rPr>
                <w:rFonts w:ascii="Times New Roman"/>
                <w:b/>
                <w:sz w:val="20"/>
              </w:rPr>
            </w:pPr>
          </w:p>
          <w:p>
            <w:pPr>
              <w:pStyle w:val="TableParagraph"/>
              <w:ind w:left="64"/>
              <w:rPr>
                <w:sz w:val="16"/>
              </w:rPr>
            </w:pPr>
            <w:r>
              <w:rPr>
                <w:color w:val="231F20"/>
                <w:w w:val="85"/>
                <w:sz w:val="16"/>
              </w:rPr>
              <w:t>Total</w:t>
            </w:r>
          </w:p>
        </w:tc>
        <w:tc>
          <w:tcPr>
            <w:tcW w:w="782" w:type="dxa"/>
            <w:shd w:val="clear" w:color="auto" w:fill="B3B4B4"/>
          </w:tcPr>
          <w:p>
            <w:pPr>
              <w:pStyle w:val="TableParagraph"/>
              <w:spacing w:line="192" w:lineRule="exact" w:before="143"/>
              <w:ind w:left="64" w:right="71"/>
              <w:rPr>
                <w:sz w:val="16"/>
              </w:rPr>
            </w:pPr>
            <w:r>
              <w:rPr>
                <w:color w:val="231F20"/>
                <w:w w:val="75"/>
                <w:sz w:val="16"/>
              </w:rPr>
              <w:t>Empleados y </w:t>
            </w:r>
            <w:r>
              <w:rPr>
                <w:color w:val="231F20"/>
                <w:w w:val="85"/>
                <w:sz w:val="16"/>
              </w:rPr>
              <w:t>obreros</w:t>
            </w:r>
          </w:p>
        </w:tc>
        <w:tc>
          <w:tcPr>
            <w:tcW w:w="757" w:type="dxa"/>
            <w:shd w:val="clear" w:color="auto" w:fill="B3B4B4"/>
          </w:tcPr>
          <w:p>
            <w:pPr>
              <w:pStyle w:val="TableParagraph"/>
              <w:spacing w:line="192" w:lineRule="exact" w:before="143"/>
              <w:ind w:left="65" w:right="77"/>
              <w:rPr>
                <w:sz w:val="16"/>
              </w:rPr>
            </w:pPr>
            <w:r>
              <w:rPr>
                <w:color w:val="231F20"/>
                <w:w w:val="75"/>
                <w:sz w:val="16"/>
              </w:rPr>
              <w:t>Jornaleros y </w:t>
            </w:r>
            <w:r>
              <w:rPr>
                <w:color w:val="231F20"/>
                <w:w w:val="85"/>
                <w:sz w:val="16"/>
              </w:rPr>
              <w:t>peones</w:t>
            </w:r>
          </w:p>
        </w:tc>
        <w:tc>
          <w:tcPr>
            <w:tcW w:w="637" w:type="dxa"/>
            <w:shd w:val="clear" w:color="auto" w:fill="B3B4B4"/>
          </w:tcPr>
          <w:p>
            <w:pPr>
              <w:pStyle w:val="TableParagraph"/>
              <w:spacing w:before="10"/>
              <w:ind w:left="0"/>
              <w:rPr>
                <w:rFonts w:ascii="Times New Roman"/>
                <w:b/>
                <w:sz w:val="20"/>
              </w:rPr>
            </w:pPr>
          </w:p>
          <w:p>
            <w:pPr>
              <w:pStyle w:val="TableParagraph"/>
              <w:ind w:left="64"/>
              <w:rPr>
                <w:sz w:val="16"/>
              </w:rPr>
            </w:pPr>
            <w:r>
              <w:rPr>
                <w:color w:val="231F20"/>
                <w:w w:val="85"/>
                <w:sz w:val="16"/>
              </w:rPr>
              <w:t>Patrones</w:t>
            </w:r>
          </w:p>
        </w:tc>
        <w:tc>
          <w:tcPr>
            <w:tcW w:w="1078" w:type="dxa"/>
            <w:shd w:val="clear" w:color="auto" w:fill="B3B4B4"/>
          </w:tcPr>
          <w:p>
            <w:pPr>
              <w:pStyle w:val="TableParagraph"/>
              <w:spacing w:line="192" w:lineRule="exact" w:before="143"/>
              <w:ind w:left="64" w:right="149"/>
              <w:rPr>
                <w:sz w:val="16"/>
              </w:rPr>
            </w:pPr>
            <w:r>
              <w:rPr>
                <w:color w:val="231F20"/>
                <w:w w:val="75"/>
                <w:sz w:val="16"/>
              </w:rPr>
              <w:t>Trabajadores por su cuenta</w:t>
            </w:r>
          </w:p>
        </w:tc>
        <w:tc>
          <w:tcPr>
            <w:tcW w:w="1096" w:type="dxa"/>
            <w:shd w:val="clear" w:color="auto" w:fill="B3B4B4"/>
          </w:tcPr>
          <w:p>
            <w:pPr>
              <w:pStyle w:val="TableParagraph"/>
              <w:spacing w:line="192" w:lineRule="exact" w:before="143"/>
              <w:ind w:left="64"/>
              <w:rPr>
                <w:sz w:val="16"/>
              </w:rPr>
            </w:pPr>
            <w:r>
              <w:rPr>
                <w:color w:val="231F20"/>
                <w:w w:val="75"/>
                <w:sz w:val="16"/>
              </w:rPr>
              <w:t>Trabajadores fami- </w:t>
            </w:r>
            <w:r>
              <w:rPr>
                <w:color w:val="231F20"/>
                <w:w w:val="80"/>
                <w:sz w:val="16"/>
              </w:rPr>
              <w:t>liares sin pago</w:t>
            </w:r>
          </w:p>
        </w:tc>
        <w:tc>
          <w:tcPr>
            <w:tcW w:w="1320" w:type="dxa"/>
            <w:shd w:val="clear" w:color="auto" w:fill="B3B4B4"/>
          </w:tcPr>
          <w:p>
            <w:pPr>
              <w:pStyle w:val="TableParagraph"/>
              <w:spacing w:before="10"/>
              <w:ind w:left="0"/>
              <w:rPr>
                <w:rFonts w:ascii="Times New Roman"/>
                <w:b/>
                <w:sz w:val="20"/>
              </w:rPr>
            </w:pPr>
          </w:p>
          <w:p>
            <w:pPr>
              <w:pStyle w:val="TableParagraph"/>
              <w:ind w:left="64"/>
              <w:rPr>
                <w:sz w:val="16"/>
              </w:rPr>
            </w:pPr>
            <w:r>
              <w:rPr>
                <w:color w:val="231F20"/>
                <w:w w:val="75"/>
                <w:sz w:val="16"/>
              </w:rPr>
              <w:t>No especificado</w:t>
            </w:r>
          </w:p>
        </w:tc>
      </w:tr>
      <w:tr>
        <w:trPr>
          <w:trHeight w:val="255" w:hRule="exact"/>
        </w:trPr>
        <w:tc>
          <w:tcPr>
            <w:tcW w:w="1202" w:type="dxa"/>
          </w:tcPr>
          <w:p>
            <w:pPr>
              <w:pStyle w:val="TableParagraph"/>
              <w:spacing w:line="192" w:lineRule="exact" w:before="92"/>
              <w:ind w:left="64"/>
              <w:rPr>
                <w:sz w:val="16"/>
              </w:rPr>
            </w:pPr>
            <w:r>
              <w:rPr>
                <w:color w:val="231F20"/>
                <w:w w:val="85"/>
                <w:sz w:val="16"/>
              </w:rPr>
              <w:t>México</w:t>
            </w:r>
          </w:p>
        </w:tc>
        <w:tc>
          <w:tcPr>
            <w:tcW w:w="652" w:type="dxa"/>
          </w:tcPr>
          <w:p>
            <w:pPr>
              <w:pStyle w:val="TableParagraph"/>
              <w:spacing w:before="30"/>
              <w:ind w:left="64"/>
              <w:rPr>
                <w:sz w:val="16"/>
              </w:rPr>
            </w:pPr>
            <w:r>
              <w:rPr>
                <w:color w:val="231F20"/>
                <w:w w:val="80"/>
                <w:sz w:val="16"/>
              </w:rPr>
              <w:t>4,462,361</w:t>
            </w:r>
          </w:p>
        </w:tc>
        <w:tc>
          <w:tcPr>
            <w:tcW w:w="782" w:type="dxa"/>
          </w:tcPr>
          <w:p>
            <w:pPr>
              <w:pStyle w:val="TableParagraph"/>
              <w:spacing w:before="30"/>
              <w:ind w:left="64" w:right="71"/>
              <w:rPr>
                <w:sz w:val="16"/>
              </w:rPr>
            </w:pPr>
            <w:r>
              <w:rPr>
                <w:color w:val="231F20"/>
                <w:w w:val="85"/>
                <w:sz w:val="16"/>
              </w:rPr>
              <w:t>3,034,206</w:t>
            </w:r>
          </w:p>
        </w:tc>
        <w:tc>
          <w:tcPr>
            <w:tcW w:w="757" w:type="dxa"/>
          </w:tcPr>
          <w:p>
            <w:pPr>
              <w:pStyle w:val="TableParagraph"/>
              <w:spacing w:before="30"/>
              <w:ind w:left="65" w:right="77"/>
              <w:rPr>
                <w:sz w:val="16"/>
              </w:rPr>
            </w:pPr>
            <w:r>
              <w:rPr>
                <w:color w:val="231F20"/>
                <w:w w:val="85"/>
                <w:sz w:val="16"/>
              </w:rPr>
              <w:t>162,731</w:t>
            </w:r>
          </w:p>
        </w:tc>
        <w:tc>
          <w:tcPr>
            <w:tcW w:w="637" w:type="dxa"/>
          </w:tcPr>
          <w:p>
            <w:pPr>
              <w:pStyle w:val="TableParagraph"/>
              <w:spacing w:before="30"/>
              <w:ind w:left="64"/>
              <w:rPr>
                <w:sz w:val="16"/>
              </w:rPr>
            </w:pPr>
            <w:r>
              <w:rPr>
                <w:color w:val="231F20"/>
                <w:w w:val="85"/>
                <w:sz w:val="16"/>
              </w:rPr>
              <w:t>79,137</w:t>
            </w:r>
          </w:p>
        </w:tc>
        <w:tc>
          <w:tcPr>
            <w:tcW w:w="1078" w:type="dxa"/>
          </w:tcPr>
          <w:p>
            <w:pPr>
              <w:pStyle w:val="TableParagraph"/>
              <w:spacing w:before="30"/>
              <w:ind w:left="64" w:right="149"/>
              <w:rPr>
                <w:sz w:val="16"/>
              </w:rPr>
            </w:pPr>
            <w:r>
              <w:rPr>
                <w:color w:val="231F20"/>
                <w:w w:val="85"/>
                <w:sz w:val="16"/>
              </w:rPr>
              <w:t>938,599</w:t>
            </w:r>
          </w:p>
        </w:tc>
        <w:tc>
          <w:tcPr>
            <w:tcW w:w="1096" w:type="dxa"/>
          </w:tcPr>
          <w:p>
            <w:pPr>
              <w:pStyle w:val="TableParagraph"/>
              <w:spacing w:before="30"/>
              <w:ind w:left="64"/>
              <w:rPr>
                <w:sz w:val="16"/>
              </w:rPr>
            </w:pPr>
            <w:r>
              <w:rPr>
                <w:color w:val="231F20"/>
                <w:w w:val="85"/>
                <w:sz w:val="16"/>
              </w:rPr>
              <w:t>121,900</w:t>
            </w:r>
          </w:p>
        </w:tc>
        <w:tc>
          <w:tcPr>
            <w:tcW w:w="1320" w:type="dxa"/>
          </w:tcPr>
          <w:p>
            <w:pPr>
              <w:pStyle w:val="TableParagraph"/>
              <w:spacing w:before="30"/>
              <w:ind w:left="64"/>
              <w:rPr>
                <w:sz w:val="16"/>
              </w:rPr>
            </w:pPr>
            <w:r>
              <w:rPr>
                <w:color w:val="231F20"/>
                <w:w w:val="85"/>
                <w:sz w:val="16"/>
              </w:rPr>
              <w:t>125,788</w:t>
            </w:r>
          </w:p>
        </w:tc>
      </w:tr>
      <w:tr>
        <w:trPr>
          <w:trHeight w:val="255" w:hRule="exact"/>
        </w:trPr>
        <w:tc>
          <w:tcPr>
            <w:tcW w:w="1202" w:type="dxa"/>
          </w:tcPr>
          <w:p>
            <w:pPr>
              <w:pStyle w:val="TableParagraph"/>
              <w:spacing w:line="192" w:lineRule="exact" w:before="92"/>
              <w:ind w:left="64"/>
              <w:rPr>
                <w:sz w:val="16"/>
              </w:rPr>
            </w:pPr>
            <w:r>
              <w:rPr>
                <w:color w:val="231F20"/>
                <w:w w:val="85"/>
                <w:sz w:val="16"/>
              </w:rPr>
              <w:t>Nezahualcóyotl</w:t>
            </w:r>
          </w:p>
        </w:tc>
        <w:tc>
          <w:tcPr>
            <w:tcW w:w="652" w:type="dxa"/>
          </w:tcPr>
          <w:p>
            <w:pPr>
              <w:pStyle w:val="TableParagraph"/>
              <w:spacing w:before="30"/>
              <w:ind w:left="64"/>
              <w:rPr>
                <w:sz w:val="16"/>
              </w:rPr>
            </w:pPr>
            <w:r>
              <w:rPr>
                <w:color w:val="231F20"/>
                <w:w w:val="85"/>
                <w:sz w:val="16"/>
              </w:rPr>
              <w:t>470,578</w:t>
            </w:r>
          </w:p>
        </w:tc>
        <w:tc>
          <w:tcPr>
            <w:tcW w:w="782" w:type="dxa"/>
          </w:tcPr>
          <w:p>
            <w:pPr>
              <w:pStyle w:val="TableParagraph"/>
              <w:spacing w:before="30"/>
              <w:ind w:left="64" w:right="71"/>
              <w:rPr>
                <w:sz w:val="16"/>
              </w:rPr>
            </w:pPr>
            <w:r>
              <w:rPr>
                <w:color w:val="231F20"/>
                <w:w w:val="85"/>
                <w:sz w:val="16"/>
              </w:rPr>
              <w:t>326,993</w:t>
            </w:r>
          </w:p>
        </w:tc>
        <w:tc>
          <w:tcPr>
            <w:tcW w:w="757" w:type="dxa"/>
          </w:tcPr>
          <w:p>
            <w:pPr>
              <w:pStyle w:val="TableParagraph"/>
              <w:spacing w:before="30"/>
              <w:ind w:left="65" w:right="77"/>
              <w:rPr>
                <w:sz w:val="16"/>
              </w:rPr>
            </w:pPr>
            <w:r>
              <w:rPr>
                <w:color w:val="231F20"/>
                <w:w w:val="85"/>
                <w:sz w:val="16"/>
              </w:rPr>
              <w:t>2,532</w:t>
            </w:r>
          </w:p>
        </w:tc>
        <w:tc>
          <w:tcPr>
            <w:tcW w:w="637" w:type="dxa"/>
          </w:tcPr>
          <w:p>
            <w:pPr>
              <w:pStyle w:val="TableParagraph"/>
              <w:spacing w:before="30"/>
              <w:ind w:left="64"/>
              <w:rPr>
                <w:sz w:val="16"/>
              </w:rPr>
            </w:pPr>
            <w:r>
              <w:rPr>
                <w:color w:val="231F20"/>
                <w:w w:val="85"/>
                <w:sz w:val="16"/>
              </w:rPr>
              <w:t>7,065</w:t>
            </w:r>
          </w:p>
        </w:tc>
        <w:tc>
          <w:tcPr>
            <w:tcW w:w="1078" w:type="dxa"/>
          </w:tcPr>
          <w:p>
            <w:pPr>
              <w:pStyle w:val="TableParagraph"/>
              <w:spacing w:before="30"/>
              <w:ind w:left="64" w:right="149"/>
              <w:rPr>
                <w:sz w:val="16"/>
              </w:rPr>
            </w:pPr>
            <w:r>
              <w:rPr>
                <w:color w:val="231F20"/>
                <w:w w:val="85"/>
                <w:sz w:val="16"/>
              </w:rPr>
              <w:t>113,889</w:t>
            </w:r>
          </w:p>
        </w:tc>
        <w:tc>
          <w:tcPr>
            <w:tcW w:w="1096" w:type="dxa"/>
          </w:tcPr>
          <w:p>
            <w:pPr>
              <w:pStyle w:val="TableParagraph"/>
              <w:spacing w:before="30"/>
              <w:ind w:left="64"/>
              <w:rPr>
                <w:sz w:val="16"/>
              </w:rPr>
            </w:pPr>
            <w:r>
              <w:rPr>
                <w:color w:val="231F20"/>
                <w:w w:val="85"/>
                <w:sz w:val="16"/>
              </w:rPr>
              <w:t>9,521</w:t>
            </w:r>
          </w:p>
        </w:tc>
        <w:tc>
          <w:tcPr>
            <w:tcW w:w="1320" w:type="dxa"/>
          </w:tcPr>
          <w:p>
            <w:pPr>
              <w:pStyle w:val="TableParagraph"/>
              <w:spacing w:before="30"/>
              <w:ind w:left="64"/>
              <w:rPr>
                <w:sz w:val="16"/>
              </w:rPr>
            </w:pPr>
            <w:r>
              <w:rPr>
                <w:color w:val="231F20"/>
                <w:w w:val="85"/>
                <w:sz w:val="16"/>
              </w:rPr>
              <w:t>10,578</w:t>
            </w:r>
          </w:p>
        </w:tc>
      </w:tr>
      <w:tr>
        <w:trPr>
          <w:trHeight w:val="366" w:hRule="exact"/>
        </w:trPr>
        <w:tc>
          <w:tcPr>
            <w:tcW w:w="7524" w:type="dxa"/>
            <w:gridSpan w:val="8"/>
          </w:tcPr>
          <w:p>
            <w:pPr>
              <w:pStyle w:val="TableParagraph"/>
              <w:spacing w:before="8"/>
              <w:ind w:left="0"/>
              <w:rPr>
                <w:rFonts w:ascii="Times New Roman"/>
                <w:b/>
                <w:sz w:val="17"/>
              </w:rPr>
            </w:pPr>
          </w:p>
          <w:p>
            <w:pPr>
              <w:pStyle w:val="TableParagraph"/>
              <w:spacing w:line="193" w:lineRule="exact"/>
              <w:ind w:left="64"/>
              <w:rPr>
                <w:sz w:val="16"/>
              </w:rPr>
            </w:pPr>
            <w:r>
              <w:rPr>
                <w:color w:val="231F20"/>
                <w:w w:val="75"/>
                <w:sz w:val="16"/>
              </w:rPr>
              <w:t>Estructura porcentual</w:t>
            </w:r>
          </w:p>
        </w:tc>
      </w:tr>
      <w:tr>
        <w:trPr>
          <w:trHeight w:val="255" w:hRule="exact"/>
        </w:trPr>
        <w:tc>
          <w:tcPr>
            <w:tcW w:w="1202" w:type="dxa"/>
          </w:tcPr>
          <w:p>
            <w:pPr>
              <w:pStyle w:val="TableParagraph"/>
              <w:spacing w:line="192" w:lineRule="exact" w:before="92"/>
              <w:ind w:left="64"/>
              <w:rPr>
                <w:sz w:val="16"/>
              </w:rPr>
            </w:pPr>
            <w:r>
              <w:rPr>
                <w:color w:val="231F20"/>
                <w:w w:val="85"/>
                <w:sz w:val="16"/>
              </w:rPr>
              <w:t>México</w:t>
            </w:r>
          </w:p>
        </w:tc>
        <w:tc>
          <w:tcPr>
            <w:tcW w:w="652" w:type="dxa"/>
          </w:tcPr>
          <w:p>
            <w:pPr>
              <w:pStyle w:val="TableParagraph"/>
              <w:spacing w:line="192" w:lineRule="exact" w:before="92"/>
              <w:ind w:left="64"/>
              <w:rPr>
                <w:sz w:val="16"/>
              </w:rPr>
            </w:pPr>
            <w:r>
              <w:rPr>
                <w:color w:val="231F20"/>
                <w:w w:val="85"/>
                <w:sz w:val="16"/>
              </w:rPr>
              <w:t>100</w:t>
            </w:r>
          </w:p>
        </w:tc>
        <w:tc>
          <w:tcPr>
            <w:tcW w:w="782" w:type="dxa"/>
          </w:tcPr>
          <w:p>
            <w:pPr>
              <w:pStyle w:val="TableParagraph"/>
              <w:spacing w:line="192" w:lineRule="exact" w:before="92"/>
              <w:ind w:left="64" w:right="71"/>
              <w:rPr>
                <w:sz w:val="16"/>
              </w:rPr>
            </w:pPr>
            <w:r>
              <w:rPr>
                <w:color w:val="231F20"/>
                <w:w w:val="85"/>
                <w:sz w:val="16"/>
              </w:rPr>
              <w:t>68.00</w:t>
            </w:r>
          </w:p>
        </w:tc>
        <w:tc>
          <w:tcPr>
            <w:tcW w:w="757" w:type="dxa"/>
          </w:tcPr>
          <w:p>
            <w:pPr>
              <w:pStyle w:val="TableParagraph"/>
              <w:spacing w:line="192" w:lineRule="exact" w:before="92"/>
              <w:ind w:left="65" w:right="77"/>
              <w:rPr>
                <w:sz w:val="16"/>
              </w:rPr>
            </w:pPr>
            <w:r>
              <w:rPr>
                <w:color w:val="231F20"/>
                <w:w w:val="85"/>
                <w:sz w:val="16"/>
              </w:rPr>
              <w:t>3.65</w:t>
            </w:r>
          </w:p>
        </w:tc>
        <w:tc>
          <w:tcPr>
            <w:tcW w:w="637" w:type="dxa"/>
          </w:tcPr>
          <w:p>
            <w:pPr>
              <w:pStyle w:val="TableParagraph"/>
              <w:spacing w:line="192" w:lineRule="exact" w:before="92"/>
              <w:ind w:left="64"/>
              <w:rPr>
                <w:sz w:val="16"/>
              </w:rPr>
            </w:pPr>
            <w:r>
              <w:rPr>
                <w:color w:val="231F20"/>
                <w:w w:val="85"/>
                <w:sz w:val="16"/>
              </w:rPr>
              <w:t>1.77</w:t>
            </w:r>
          </w:p>
        </w:tc>
        <w:tc>
          <w:tcPr>
            <w:tcW w:w="1078" w:type="dxa"/>
          </w:tcPr>
          <w:p>
            <w:pPr>
              <w:pStyle w:val="TableParagraph"/>
              <w:spacing w:line="192" w:lineRule="exact" w:before="92"/>
              <w:ind w:left="64" w:right="149"/>
              <w:rPr>
                <w:sz w:val="16"/>
              </w:rPr>
            </w:pPr>
            <w:r>
              <w:rPr>
                <w:color w:val="231F20"/>
                <w:w w:val="85"/>
                <w:sz w:val="16"/>
              </w:rPr>
              <w:t>21.03</w:t>
            </w:r>
          </w:p>
        </w:tc>
        <w:tc>
          <w:tcPr>
            <w:tcW w:w="1096" w:type="dxa"/>
          </w:tcPr>
          <w:p>
            <w:pPr>
              <w:pStyle w:val="TableParagraph"/>
              <w:spacing w:line="192" w:lineRule="exact" w:before="92"/>
              <w:ind w:left="64"/>
              <w:rPr>
                <w:sz w:val="16"/>
              </w:rPr>
            </w:pPr>
            <w:r>
              <w:rPr>
                <w:color w:val="231F20"/>
                <w:w w:val="85"/>
                <w:sz w:val="16"/>
              </w:rPr>
              <w:t>2.73</w:t>
            </w:r>
          </w:p>
        </w:tc>
        <w:tc>
          <w:tcPr>
            <w:tcW w:w="1320" w:type="dxa"/>
          </w:tcPr>
          <w:p>
            <w:pPr>
              <w:pStyle w:val="TableParagraph"/>
              <w:spacing w:line="192" w:lineRule="exact" w:before="92"/>
              <w:ind w:left="64"/>
              <w:rPr>
                <w:sz w:val="16"/>
              </w:rPr>
            </w:pPr>
            <w:r>
              <w:rPr>
                <w:color w:val="231F20"/>
                <w:w w:val="85"/>
                <w:sz w:val="16"/>
              </w:rPr>
              <w:t>2.82</w:t>
            </w:r>
          </w:p>
        </w:tc>
      </w:tr>
      <w:tr>
        <w:trPr>
          <w:trHeight w:val="255" w:hRule="exact"/>
        </w:trPr>
        <w:tc>
          <w:tcPr>
            <w:tcW w:w="1202" w:type="dxa"/>
          </w:tcPr>
          <w:p>
            <w:pPr>
              <w:pStyle w:val="TableParagraph"/>
              <w:spacing w:line="192" w:lineRule="exact" w:before="92"/>
              <w:ind w:left="64"/>
              <w:rPr>
                <w:sz w:val="16"/>
              </w:rPr>
            </w:pPr>
            <w:r>
              <w:rPr>
                <w:color w:val="231F20"/>
                <w:w w:val="85"/>
                <w:sz w:val="16"/>
              </w:rPr>
              <w:t>Nezahualcóyotl</w:t>
            </w:r>
          </w:p>
        </w:tc>
        <w:tc>
          <w:tcPr>
            <w:tcW w:w="652" w:type="dxa"/>
          </w:tcPr>
          <w:p>
            <w:pPr>
              <w:pStyle w:val="TableParagraph"/>
              <w:spacing w:line="192" w:lineRule="exact" w:before="92"/>
              <w:ind w:left="64"/>
              <w:rPr>
                <w:sz w:val="16"/>
              </w:rPr>
            </w:pPr>
            <w:r>
              <w:rPr>
                <w:color w:val="231F20"/>
                <w:w w:val="85"/>
                <w:sz w:val="16"/>
              </w:rPr>
              <w:t>100</w:t>
            </w:r>
          </w:p>
        </w:tc>
        <w:tc>
          <w:tcPr>
            <w:tcW w:w="782" w:type="dxa"/>
          </w:tcPr>
          <w:p>
            <w:pPr>
              <w:pStyle w:val="TableParagraph"/>
              <w:spacing w:line="192" w:lineRule="exact" w:before="92"/>
              <w:ind w:left="64" w:right="71"/>
              <w:rPr>
                <w:sz w:val="16"/>
              </w:rPr>
            </w:pPr>
            <w:r>
              <w:rPr>
                <w:color w:val="231F20"/>
                <w:w w:val="85"/>
                <w:sz w:val="16"/>
              </w:rPr>
              <w:t>69.49</w:t>
            </w:r>
          </w:p>
        </w:tc>
        <w:tc>
          <w:tcPr>
            <w:tcW w:w="757" w:type="dxa"/>
          </w:tcPr>
          <w:p>
            <w:pPr>
              <w:pStyle w:val="TableParagraph"/>
              <w:spacing w:line="192" w:lineRule="exact" w:before="92"/>
              <w:ind w:left="65" w:right="77"/>
              <w:rPr>
                <w:sz w:val="16"/>
              </w:rPr>
            </w:pPr>
            <w:r>
              <w:rPr>
                <w:color w:val="231F20"/>
                <w:w w:val="85"/>
                <w:sz w:val="16"/>
              </w:rPr>
              <w:t>0.54</w:t>
            </w:r>
          </w:p>
        </w:tc>
        <w:tc>
          <w:tcPr>
            <w:tcW w:w="637" w:type="dxa"/>
          </w:tcPr>
          <w:p>
            <w:pPr>
              <w:pStyle w:val="TableParagraph"/>
              <w:spacing w:line="192" w:lineRule="exact" w:before="92"/>
              <w:ind w:left="64"/>
              <w:rPr>
                <w:sz w:val="16"/>
              </w:rPr>
            </w:pPr>
            <w:r>
              <w:rPr>
                <w:color w:val="231F20"/>
                <w:w w:val="85"/>
                <w:sz w:val="16"/>
              </w:rPr>
              <w:t>1.50</w:t>
            </w:r>
          </w:p>
        </w:tc>
        <w:tc>
          <w:tcPr>
            <w:tcW w:w="1078" w:type="dxa"/>
          </w:tcPr>
          <w:p>
            <w:pPr>
              <w:pStyle w:val="TableParagraph"/>
              <w:spacing w:line="192" w:lineRule="exact" w:before="92"/>
              <w:ind w:left="64" w:right="149"/>
              <w:rPr>
                <w:sz w:val="16"/>
              </w:rPr>
            </w:pPr>
            <w:r>
              <w:rPr>
                <w:color w:val="231F20"/>
                <w:w w:val="85"/>
                <w:sz w:val="16"/>
              </w:rPr>
              <w:t>24.20</w:t>
            </w:r>
          </w:p>
        </w:tc>
        <w:tc>
          <w:tcPr>
            <w:tcW w:w="1096" w:type="dxa"/>
          </w:tcPr>
          <w:p>
            <w:pPr>
              <w:pStyle w:val="TableParagraph"/>
              <w:spacing w:line="192" w:lineRule="exact" w:before="92"/>
              <w:ind w:left="64"/>
              <w:rPr>
                <w:sz w:val="16"/>
              </w:rPr>
            </w:pPr>
            <w:r>
              <w:rPr>
                <w:color w:val="231F20"/>
                <w:w w:val="85"/>
                <w:sz w:val="16"/>
              </w:rPr>
              <w:t>2.02</w:t>
            </w:r>
          </w:p>
        </w:tc>
        <w:tc>
          <w:tcPr>
            <w:tcW w:w="1320" w:type="dxa"/>
          </w:tcPr>
          <w:p>
            <w:pPr>
              <w:pStyle w:val="TableParagraph"/>
              <w:spacing w:line="192" w:lineRule="exact" w:before="92"/>
              <w:ind w:left="64"/>
              <w:rPr>
                <w:sz w:val="16"/>
              </w:rPr>
            </w:pPr>
            <w:r>
              <w:rPr>
                <w:color w:val="231F20"/>
                <w:w w:val="85"/>
                <w:sz w:val="16"/>
              </w:rPr>
              <w:t>2.25</w:t>
            </w:r>
          </w:p>
        </w:tc>
      </w:tr>
    </w:tbl>
    <w:p>
      <w:pPr>
        <w:pStyle w:val="BodyText"/>
        <w:rPr>
          <w:b/>
          <w:sz w:val="28"/>
        </w:rPr>
      </w:pPr>
    </w:p>
    <w:p>
      <w:pPr>
        <w:spacing w:before="74"/>
        <w:ind w:left="4263" w:right="-2" w:firstLine="0"/>
        <w:jc w:val="left"/>
        <w:rPr>
          <w:rFonts w:ascii="Calibri" w:hAnsi="Calibri"/>
          <w:sz w:val="16"/>
        </w:rPr>
      </w:pPr>
      <w:r>
        <w:rPr>
          <w:rFonts w:ascii="Calibri" w:hAnsi="Calibri"/>
          <w:color w:val="231F20"/>
          <w:sz w:val="16"/>
        </w:rPr>
        <w:t>Fuente:</w:t>
      </w:r>
      <w:r>
        <w:rPr>
          <w:rFonts w:ascii="Calibri" w:hAnsi="Calibri"/>
          <w:color w:val="231F20"/>
          <w:spacing w:val="-22"/>
          <w:sz w:val="16"/>
        </w:rPr>
        <w:t> </w:t>
      </w:r>
      <w:r>
        <w:rPr>
          <w:rFonts w:ascii="Calibri" w:hAnsi="Calibri"/>
          <w:color w:val="231F20"/>
          <w:sz w:val="16"/>
        </w:rPr>
        <w:t>Censo</w:t>
      </w:r>
      <w:r>
        <w:rPr>
          <w:rFonts w:ascii="Calibri" w:hAnsi="Calibri"/>
          <w:color w:val="231F20"/>
          <w:spacing w:val="-22"/>
          <w:sz w:val="16"/>
        </w:rPr>
        <w:t> </w:t>
      </w:r>
      <w:r>
        <w:rPr>
          <w:rFonts w:ascii="Calibri" w:hAnsi="Calibri"/>
          <w:color w:val="231F20"/>
          <w:sz w:val="16"/>
        </w:rPr>
        <w:t>Económico</w:t>
      </w:r>
      <w:r>
        <w:rPr>
          <w:rFonts w:ascii="Calibri" w:hAnsi="Calibri"/>
          <w:color w:val="231F20"/>
          <w:spacing w:val="-22"/>
          <w:sz w:val="16"/>
        </w:rPr>
        <w:t> </w:t>
      </w:r>
      <w:r>
        <w:rPr>
          <w:rFonts w:ascii="Calibri" w:hAnsi="Calibri"/>
          <w:color w:val="231F20"/>
          <w:sz w:val="16"/>
        </w:rPr>
        <w:t>de</w:t>
      </w:r>
      <w:r>
        <w:rPr>
          <w:rFonts w:ascii="Calibri" w:hAnsi="Calibri"/>
          <w:color w:val="231F20"/>
          <w:spacing w:val="-22"/>
          <w:sz w:val="16"/>
        </w:rPr>
        <w:t> </w:t>
      </w:r>
      <w:r>
        <w:rPr>
          <w:rFonts w:ascii="Calibri" w:hAnsi="Calibri"/>
          <w:color w:val="231F20"/>
          <w:sz w:val="16"/>
        </w:rPr>
        <w:t>1998,</w:t>
      </w:r>
      <w:r>
        <w:rPr>
          <w:rFonts w:ascii="Calibri" w:hAnsi="Calibri"/>
          <w:color w:val="231F20"/>
          <w:spacing w:val="-22"/>
          <w:sz w:val="16"/>
        </w:rPr>
        <w:t> </w:t>
      </w:r>
      <w:r>
        <w:rPr>
          <w:rFonts w:ascii="Calibri" w:hAnsi="Calibri"/>
          <w:color w:val="231F20"/>
          <w:sz w:val="16"/>
        </w:rPr>
        <w:t>INEGI</w:t>
      </w:r>
      <w:r>
        <w:rPr>
          <w:rFonts w:ascii="Calibri" w:hAnsi="Calibri"/>
          <w:color w:val="231F20"/>
          <w:spacing w:val="-22"/>
          <w:sz w:val="16"/>
        </w:rPr>
        <w:t> </w:t>
      </w:r>
      <w:r>
        <w:rPr>
          <w:rFonts w:ascii="Calibri" w:hAnsi="Calibri"/>
          <w:color w:val="231F20"/>
          <w:sz w:val="16"/>
        </w:rPr>
        <w:t>(PDM,</w:t>
      </w:r>
      <w:r>
        <w:rPr>
          <w:rFonts w:ascii="Calibri" w:hAnsi="Calibri"/>
          <w:color w:val="231F20"/>
          <w:spacing w:val="-22"/>
          <w:sz w:val="16"/>
        </w:rPr>
        <w:t> </w:t>
      </w:r>
      <w:r>
        <w:rPr>
          <w:rFonts w:ascii="Calibri" w:hAnsi="Calibri"/>
          <w:color w:val="231F20"/>
          <w:sz w:val="16"/>
        </w:rPr>
        <w:t>2003-2006)</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En el cuadro 2 se puede observar que no existen diferencias muy notorias entre la dis- tribución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ocupada</w:t>
      </w:r>
      <w:r>
        <w:rPr>
          <w:color w:val="231F20"/>
          <w:spacing w:val="-23"/>
          <w:w w:val="105"/>
        </w:rPr>
        <w:t> </w:t>
      </w:r>
      <w:r>
        <w:rPr>
          <w:color w:val="231F20"/>
          <w:w w:val="105"/>
        </w:rPr>
        <w:t>del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w w:val="105"/>
        </w:rPr>
        <w:t>y</w:t>
      </w:r>
      <w:r>
        <w:rPr>
          <w:color w:val="231F20"/>
          <w:spacing w:val="-23"/>
          <w:w w:val="105"/>
        </w:rPr>
        <w:t> </w:t>
      </w:r>
      <w:r>
        <w:rPr>
          <w:color w:val="231F20"/>
          <w:w w:val="105"/>
        </w:rPr>
        <w:t>del</w:t>
      </w:r>
      <w:r>
        <w:rPr>
          <w:color w:val="231F20"/>
          <w:spacing w:val="-23"/>
          <w:w w:val="105"/>
        </w:rPr>
        <w:t> </w:t>
      </w:r>
      <w:r>
        <w:rPr>
          <w:color w:val="231F20"/>
          <w:w w:val="105"/>
        </w:rPr>
        <w:t>municipio</w:t>
      </w:r>
      <w:r>
        <w:rPr>
          <w:color w:val="231F20"/>
          <w:spacing w:val="-23"/>
          <w:w w:val="105"/>
        </w:rPr>
        <w:t> </w:t>
      </w:r>
      <w:r>
        <w:rPr>
          <w:color w:val="231F20"/>
          <w:w w:val="105"/>
        </w:rPr>
        <w:t>de</w:t>
      </w:r>
      <w:r>
        <w:rPr>
          <w:color w:val="231F20"/>
          <w:spacing w:val="-23"/>
          <w:w w:val="105"/>
        </w:rPr>
        <w:t> </w:t>
      </w:r>
      <w:r>
        <w:rPr>
          <w:color w:val="231F20"/>
          <w:w w:val="105"/>
        </w:rPr>
        <w:t>Nezahualcó- yotl,</w:t>
      </w:r>
      <w:r>
        <w:rPr>
          <w:color w:val="231F20"/>
          <w:spacing w:val="-14"/>
          <w:w w:val="105"/>
        </w:rPr>
        <w:t> </w:t>
      </w:r>
      <w:r>
        <w:rPr>
          <w:color w:val="231F20"/>
          <w:w w:val="105"/>
        </w:rPr>
        <w:t>lo</w:t>
      </w:r>
      <w:r>
        <w:rPr>
          <w:color w:val="231F20"/>
          <w:spacing w:val="-14"/>
          <w:w w:val="105"/>
        </w:rPr>
        <w:t> </w:t>
      </w:r>
      <w:r>
        <w:rPr>
          <w:color w:val="231F20"/>
          <w:w w:val="105"/>
        </w:rPr>
        <w:t>cual</w:t>
      </w:r>
      <w:r>
        <w:rPr>
          <w:color w:val="231F20"/>
          <w:spacing w:val="-14"/>
          <w:w w:val="105"/>
        </w:rPr>
        <w:t> </w:t>
      </w:r>
      <w:r>
        <w:rPr>
          <w:color w:val="231F20"/>
          <w:w w:val="105"/>
        </w:rPr>
        <w:t>habla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terciarización</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actividades</w:t>
      </w:r>
      <w:r>
        <w:rPr>
          <w:color w:val="231F20"/>
          <w:spacing w:val="-14"/>
          <w:w w:val="105"/>
        </w:rPr>
        <w:t> </w:t>
      </w:r>
      <w:r>
        <w:rPr>
          <w:color w:val="231F20"/>
          <w:w w:val="105"/>
        </w:rPr>
        <w:t>económicas</w:t>
      </w:r>
      <w:r>
        <w:rPr>
          <w:color w:val="231F20"/>
          <w:spacing w:val="-14"/>
          <w:w w:val="105"/>
        </w:rPr>
        <w:t> </w:t>
      </w:r>
      <w:r>
        <w:rPr>
          <w:color w:val="231F20"/>
          <w:w w:val="105"/>
        </w:rPr>
        <w:t>en</w:t>
      </w:r>
      <w:r>
        <w:rPr>
          <w:color w:val="231F20"/>
          <w:spacing w:val="-14"/>
          <w:w w:val="105"/>
        </w:rPr>
        <w:t> </w:t>
      </w:r>
      <w:r>
        <w:rPr>
          <w:color w:val="231F20"/>
          <w:w w:val="105"/>
        </w:rPr>
        <w:t>ambos</w:t>
      </w:r>
      <w:r>
        <w:rPr>
          <w:color w:val="231F20"/>
          <w:spacing w:val="-14"/>
          <w:w w:val="105"/>
        </w:rPr>
        <w:t> </w:t>
      </w:r>
      <w:r>
        <w:rPr>
          <w:color w:val="231F20"/>
          <w:w w:val="105"/>
        </w:rPr>
        <w:t>espacios territoriales.</w:t>
      </w:r>
    </w:p>
    <w:p>
      <w:pPr>
        <w:pStyle w:val="BodyText"/>
        <w:spacing w:before="1"/>
        <w:rPr>
          <w:sz w:val="26"/>
        </w:rPr>
      </w:pPr>
    </w:p>
    <w:p>
      <w:pPr>
        <w:pStyle w:val="BodyText"/>
        <w:ind w:left="110"/>
        <w:jc w:val="both"/>
      </w:pPr>
      <w:r>
        <w:rPr>
          <w:color w:val="231F20"/>
          <w:w w:val="105"/>
        </w:rPr>
        <w:t>Por otro lado, es importante señalar que de las condiciones de precariedad y margi-</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nación social que tuvieron que afrontar los primeros pobladores de Nezahualcóyotl,  se </w:t>
      </w:r>
      <w:r>
        <w:rPr>
          <w:color w:val="231F20"/>
          <w:spacing w:val="-3"/>
          <w:w w:val="105"/>
        </w:rPr>
        <w:t>generó </w:t>
      </w:r>
      <w:r>
        <w:rPr>
          <w:color w:val="231F20"/>
          <w:w w:val="105"/>
        </w:rPr>
        <w:t>una fuerte tradición de organización social</w:t>
      </w:r>
      <w:r>
        <w:rPr>
          <w:color w:val="231F20"/>
          <w:w w:val="105"/>
          <w:position w:val="7"/>
          <w:sz w:val="13"/>
        </w:rPr>
        <w:t>1 </w:t>
      </w:r>
      <w:r>
        <w:rPr>
          <w:color w:val="231F20"/>
          <w:w w:val="105"/>
        </w:rPr>
        <w:t>de carácter reivindicativo para demandar</w:t>
      </w:r>
      <w:r>
        <w:rPr>
          <w:color w:val="231F20"/>
          <w:spacing w:val="-26"/>
          <w:w w:val="105"/>
        </w:rPr>
        <w:t> </w:t>
      </w:r>
      <w:r>
        <w:rPr>
          <w:color w:val="231F20"/>
          <w:w w:val="105"/>
        </w:rPr>
        <w:t>servicios</w:t>
      </w:r>
      <w:r>
        <w:rPr>
          <w:color w:val="231F20"/>
          <w:spacing w:val="-26"/>
          <w:w w:val="105"/>
        </w:rPr>
        <w:t> </w:t>
      </w:r>
      <w:r>
        <w:rPr>
          <w:color w:val="231F20"/>
          <w:w w:val="105"/>
        </w:rPr>
        <w:t>públicos</w:t>
      </w:r>
      <w:r>
        <w:rPr>
          <w:color w:val="231F20"/>
          <w:spacing w:val="-26"/>
          <w:w w:val="105"/>
        </w:rPr>
        <w:t> </w:t>
      </w:r>
      <w:r>
        <w:rPr>
          <w:color w:val="231F20"/>
          <w:w w:val="105"/>
        </w:rPr>
        <w:t>básicos.</w:t>
      </w:r>
    </w:p>
    <w:p>
      <w:pPr>
        <w:pStyle w:val="BodyText"/>
        <w:spacing w:line="285" w:lineRule="auto" w:before="1"/>
        <w:ind w:left="677" w:right="108"/>
        <w:jc w:val="both"/>
      </w:pPr>
      <w:r>
        <w:rPr>
          <w:color w:val="231F20"/>
          <w:w w:val="105"/>
        </w:rPr>
        <w:t>“Se puede </w:t>
      </w:r>
      <w:r>
        <w:rPr>
          <w:color w:val="231F20"/>
          <w:spacing w:val="2"/>
          <w:w w:val="105"/>
        </w:rPr>
        <w:t>afirmar </w:t>
      </w:r>
      <w:r>
        <w:rPr>
          <w:color w:val="231F20"/>
          <w:w w:val="105"/>
        </w:rPr>
        <w:t>que los habitantes de este municipio, comparten una historia común </w:t>
      </w:r>
      <w:r>
        <w:rPr>
          <w:color w:val="231F20"/>
          <w:spacing w:val="-3"/>
          <w:w w:val="105"/>
        </w:rPr>
        <w:t>donde </w:t>
      </w:r>
      <w:r>
        <w:rPr>
          <w:color w:val="231F20"/>
          <w:w w:val="105"/>
        </w:rPr>
        <w:t>la organización y el enfrentamiento con las autoridades era una constante,</w:t>
      </w:r>
      <w:r>
        <w:rPr>
          <w:color w:val="231F20"/>
          <w:spacing w:val="-10"/>
          <w:w w:val="105"/>
        </w:rPr>
        <w:t> </w:t>
      </w:r>
      <w:r>
        <w:rPr>
          <w:color w:val="231F20"/>
          <w:w w:val="105"/>
        </w:rPr>
        <w:t>por</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algo</w:t>
      </w:r>
      <w:r>
        <w:rPr>
          <w:color w:val="231F20"/>
          <w:spacing w:val="-10"/>
          <w:w w:val="105"/>
        </w:rPr>
        <w:t> </w:t>
      </w:r>
      <w:r>
        <w:rPr>
          <w:color w:val="231F20"/>
          <w:w w:val="105"/>
        </w:rPr>
        <w:t>que</w:t>
      </w:r>
      <w:r>
        <w:rPr>
          <w:color w:val="231F20"/>
          <w:spacing w:val="-10"/>
          <w:w w:val="105"/>
        </w:rPr>
        <w:t> </w:t>
      </w:r>
      <w:r>
        <w:rPr>
          <w:color w:val="231F20"/>
          <w:w w:val="105"/>
        </w:rPr>
        <w:t>distingue</w:t>
      </w:r>
      <w:r>
        <w:rPr>
          <w:color w:val="231F20"/>
          <w:spacing w:val="-10"/>
          <w:w w:val="105"/>
        </w:rPr>
        <w:t> </w:t>
      </w:r>
      <w:r>
        <w:rPr>
          <w:color w:val="231F20"/>
          <w:w w:val="105"/>
        </w:rPr>
        <w:t>a</w:t>
      </w:r>
      <w:r>
        <w:rPr>
          <w:color w:val="231F20"/>
          <w:spacing w:val="-10"/>
          <w:w w:val="105"/>
        </w:rPr>
        <w:t> </w:t>
      </w:r>
      <w:r>
        <w:rPr>
          <w:color w:val="231F20"/>
          <w:w w:val="105"/>
        </w:rPr>
        <w:t>este</w:t>
      </w:r>
      <w:r>
        <w:rPr>
          <w:color w:val="231F20"/>
          <w:spacing w:val="-10"/>
          <w:w w:val="105"/>
        </w:rPr>
        <w:t> </w:t>
      </w:r>
      <w:r>
        <w:rPr>
          <w:color w:val="231F20"/>
          <w:w w:val="105"/>
        </w:rPr>
        <w:t>territorio,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alto</w:t>
      </w:r>
      <w:r>
        <w:rPr>
          <w:color w:val="231F20"/>
          <w:spacing w:val="-10"/>
          <w:w w:val="105"/>
        </w:rPr>
        <w:t> </w:t>
      </w:r>
      <w:r>
        <w:rPr>
          <w:color w:val="231F20"/>
          <w:w w:val="105"/>
        </w:rPr>
        <w:t>grado</w:t>
      </w:r>
      <w:r>
        <w:rPr>
          <w:color w:val="231F20"/>
          <w:spacing w:val="-10"/>
          <w:w w:val="105"/>
        </w:rPr>
        <w:t> </w:t>
      </w:r>
      <w:r>
        <w:rPr>
          <w:color w:val="231F20"/>
          <w:w w:val="105"/>
        </w:rPr>
        <w:t>de</w:t>
      </w:r>
      <w:r>
        <w:rPr>
          <w:color w:val="231F20"/>
          <w:spacing w:val="-10"/>
          <w:w w:val="105"/>
        </w:rPr>
        <w:t> </w:t>
      </w:r>
      <w:r>
        <w:rPr>
          <w:color w:val="231F20"/>
          <w:w w:val="105"/>
        </w:rPr>
        <w:t>invo- lucramiento</w:t>
      </w:r>
      <w:r>
        <w:rPr>
          <w:color w:val="231F20"/>
          <w:spacing w:val="-26"/>
          <w:w w:val="105"/>
        </w:rPr>
        <w:t> </w:t>
      </w:r>
      <w:r>
        <w:rPr>
          <w:color w:val="231F20"/>
          <w:w w:val="105"/>
        </w:rPr>
        <w:t>de</w:t>
      </w:r>
      <w:r>
        <w:rPr>
          <w:color w:val="231F20"/>
          <w:spacing w:val="-26"/>
          <w:w w:val="105"/>
        </w:rPr>
        <w:t> </w:t>
      </w:r>
      <w:r>
        <w:rPr>
          <w:color w:val="231F20"/>
          <w:w w:val="105"/>
        </w:rPr>
        <w:t>sus</w:t>
      </w:r>
      <w:r>
        <w:rPr>
          <w:color w:val="231F20"/>
          <w:spacing w:val="-26"/>
          <w:w w:val="105"/>
        </w:rPr>
        <w:t> </w:t>
      </w:r>
      <w:r>
        <w:rPr>
          <w:color w:val="231F20"/>
          <w:w w:val="105"/>
        </w:rPr>
        <w:t>habitantes</w:t>
      </w:r>
      <w:r>
        <w:rPr>
          <w:color w:val="231F20"/>
          <w:spacing w:val="-26"/>
          <w:w w:val="105"/>
        </w:rPr>
        <w:t> </w:t>
      </w:r>
      <w:r>
        <w:rPr>
          <w:color w:val="231F20"/>
          <w:w w:val="105"/>
        </w:rPr>
        <w:t>con</w:t>
      </w:r>
      <w:r>
        <w:rPr>
          <w:color w:val="231F20"/>
          <w:spacing w:val="-26"/>
          <w:w w:val="105"/>
        </w:rPr>
        <w:t> </w:t>
      </w:r>
      <w:r>
        <w:rPr>
          <w:color w:val="231F20"/>
          <w:w w:val="105"/>
        </w:rPr>
        <w:t>los</w:t>
      </w:r>
      <w:r>
        <w:rPr>
          <w:color w:val="231F20"/>
          <w:spacing w:val="-26"/>
          <w:w w:val="105"/>
        </w:rPr>
        <w:t> </w:t>
      </w:r>
      <w:r>
        <w:rPr>
          <w:color w:val="231F20"/>
          <w:w w:val="105"/>
        </w:rPr>
        <w:t>procesos</w:t>
      </w:r>
      <w:r>
        <w:rPr>
          <w:color w:val="231F20"/>
          <w:spacing w:val="-26"/>
          <w:w w:val="105"/>
        </w:rPr>
        <w:t> </w:t>
      </w:r>
      <w:r>
        <w:rPr>
          <w:color w:val="231F20"/>
          <w:w w:val="105"/>
        </w:rPr>
        <w:t>de</w:t>
      </w:r>
      <w:r>
        <w:rPr>
          <w:color w:val="231F20"/>
          <w:spacing w:val="-26"/>
          <w:w w:val="105"/>
        </w:rPr>
        <w:t> </w:t>
      </w:r>
      <w:r>
        <w:rPr>
          <w:color w:val="231F20"/>
          <w:w w:val="105"/>
        </w:rPr>
        <w:t>autogestión</w:t>
      </w:r>
      <w:r>
        <w:rPr>
          <w:color w:val="231F20"/>
          <w:spacing w:val="-26"/>
          <w:w w:val="105"/>
        </w:rPr>
        <w:t> </w:t>
      </w:r>
      <w:r>
        <w:rPr>
          <w:color w:val="231F20"/>
          <w:w w:val="105"/>
        </w:rPr>
        <w:t>y</w:t>
      </w:r>
      <w:r>
        <w:rPr>
          <w:color w:val="231F20"/>
          <w:spacing w:val="-26"/>
          <w:w w:val="105"/>
        </w:rPr>
        <w:t> </w:t>
      </w:r>
      <w:r>
        <w:rPr>
          <w:color w:val="231F20"/>
          <w:w w:val="105"/>
        </w:rPr>
        <w:t>educación</w:t>
      </w:r>
      <w:r>
        <w:rPr>
          <w:color w:val="231F20"/>
          <w:spacing w:val="-26"/>
          <w:w w:val="105"/>
        </w:rPr>
        <w:t> </w:t>
      </w:r>
      <w:r>
        <w:rPr>
          <w:color w:val="231F20"/>
          <w:spacing w:val="-3"/>
          <w:w w:val="105"/>
        </w:rPr>
        <w:t>cívica”. </w:t>
      </w:r>
      <w:r>
        <w:rPr>
          <w:color w:val="231F20"/>
        </w:rPr>
        <w:t>(Arzaluz;</w:t>
      </w:r>
      <w:r>
        <w:rPr>
          <w:color w:val="231F20"/>
          <w:spacing w:val="-27"/>
        </w:rPr>
        <w:t> </w:t>
      </w:r>
      <w:r>
        <w:rPr>
          <w:color w:val="231F20"/>
        </w:rPr>
        <w:t>2001:263).</w:t>
      </w:r>
    </w:p>
    <w:p>
      <w:pPr>
        <w:pStyle w:val="BodyText"/>
        <w:spacing w:before="1"/>
        <w:rPr>
          <w:sz w:val="26"/>
        </w:rPr>
      </w:pPr>
    </w:p>
    <w:p>
      <w:pPr>
        <w:pStyle w:val="BodyText"/>
        <w:spacing w:line="285" w:lineRule="auto"/>
        <w:ind w:left="110" w:right="107"/>
        <w:jc w:val="both"/>
      </w:pPr>
      <w:r>
        <w:rPr>
          <w:color w:val="231F20"/>
          <w:spacing w:val="-3"/>
          <w:w w:val="105"/>
        </w:rPr>
        <w:t>Hoy</w:t>
      </w:r>
      <w:r>
        <w:rPr>
          <w:color w:val="231F20"/>
          <w:spacing w:val="-20"/>
          <w:w w:val="105"/>
        </w:rPr>
        <w:t> </w:t>
      </w:r>
      <w:r>
        <w:rPr>
          <w:color w:val="231F20"/>
          <w:w w:val="105"/>
        </w:rPr>
        <w:t>en</w:t>
      </w:r>
      <w:r>
        <w:rPr>
          <w:color w:val="231F20"/>
          <w:spacing w:val="-20"/>
          <w:w w:val="105"/>
        </w:rPr>
        <w:t> </w:t>
      </w:r>
      <w:r>
        <w:rPr>
          <w:color w:val="231F20"/>
          <w:w w:val="105"/>
        </w:rPr>
        <w:t>día</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0"/>
          <w:w w:val="105"/>
        </w:rPr>
        <w:t> </w:t>
      </w:r>
      <w:r>
        <w:rPr>
          <w:color w:val="231F20"/>
          <w:w w:val="105"/>
        </w:rPr>
        <w:t>Nezahualcóyotl</w:t>
      </w:r>
      <w:r>
        <w:rPr>
          <w:color w:val="231F20"/>
          <w:spacing w:val="-20"/>
          <w:w w:val="105"/>
        </w:rPr>
        <w:t> </w:t>
      </w:r>
      <w:r>
        <w:rPr>
          <w:color w:val="231F20"/>
          <w:w w:val="105"/>
        </w:rPr>
        <w:t>no</w:t>
      </w:r>
      <w:r>
        <w:rPr>
          <w:color w:val="231F20"/>
          <w:spacing w:val="-20"/>
          <w:w w:val="105"/>
        </w:rPr>
        <w:t> </w:t>
      </w:r>
      <w:r>
        <w:rPr>
          <w:color w:val="231F20"/>
          <w:w w:val="105"/>
        </w:rPr>
        <w:t>presenta</w:t>
      </w:r>
      <w:r>
        <w:rPr>
          <w:color w:val="231F20"/>
          <w:spacing w:val="-20"/>
          <w:w w:val="105"/>
        </w:rPr>
        <w:t> </w:t>
      </w:r>
      <w:r>
        <w:rPr>
          <w:color w:val="231F20"/>
          <w:w w:val="105"/>
        </w:rPr>
        <w:t>problemas</w:t>
      </w:r>
      <w:r>
        <w:rPr>
          <w:color w:val="231F20"/>
          <w:spacing w:val="-20"/>
          <w:w w:val="105"/>
        </w:rPr>
        <w:t> </w:t>
      </w:r>
      <w:r>
        <w:rPr>
          <w:color w:val="231F20"/>
          <w:w w:val="105"/>
        </w:rPr>
        <w:t>de</w:t>
      </w:r>
      <w:r>
        <w:rPr>
          <w:color w:val="231F20"/>
          <w:spacing w:val="-20"/>
          <w:w w:val="105"/>
        </w:rPr>
        <w:t> </w:t>
      </w:r>
      <w:r>
        <w:rPr>
          <w:color w:val="231F20"/>
          <w:w w:val="105"/>
        </w:rPr>
        <w:t>servicios</w:t>
      </w:r>
      <w:r>
        <w:rPr>
          <w:color w:val="231F20"/>
          <w:spacing w:val="-20"/>
          <w:w w:val="105"/>
        </w:rPr>
        <w:t> </w:t>
      </w:r>
      <w:r>
        <w:rPr>
          <w:color w:val="231F20"/>
          <w:w w:val="105"/>
        </w:rPr>
        <w:t>públicos básicos debido a que su territorio se encuentra totalmente urbanizado y con un alto nivel</w:t>
      </w:r>
      <w:r>
        <w:rPr>
          <w:color w:val="231F20"/>
          <w:spacing w:val="-36"/>
          <w:w w:val="105"/>
        </w:rPr>
        <w:t> </w:t>
      </w:r>
      <w:r>
        <w:rPr>
          <w:color w:val="231F20"/>
          <w:w w:val="105"/>
        </w:rPr>
        <w:t>de</w:t>
      </w:r>
      <w:r>
        <w:rPr>
          <w:color w:val="231F20"/>
          <w:spacing w:val="-36"/>
          <w:w w:val="105"/>
        </w:rPr>
        <w:t> </w:t>
      </w:r>
      <w:r>
        <w:rPr>
          <w:color w:val="231F20"/>
          <w:w w:val="105"/>
        </w:rPr>
        <w:t>consolidación.</w:t>
      </w:r>
    </w:p>
    <w:p>
      <w:pPr>
        <w:pStyle w:val="BodyText"/>
        <w:spacing w:line="285" w:lineRule="auto" w:before="1"/>
        <w:ind w:left="677" w:right="108"/>
        <w:jc w:val="both"/>
      </w:pPr>
      <w:r>
        <w:rPr>
          <w:color w:val="231F20"/>
          <w:w w:val="105"/>
        </w:rPr>
        <w:t>“Es notable que los porcentajes de viviendas con agua entubada, drenaje a red</w:t>
      </w:r>
      <w:r>
        <w:rPr>
          <w:color w:val="231F20"/>
          <w:spacing w:val="-28"/>
          <w:w w:val="105"/>
        </w:rPr>
        <w:t> </w:t>
      </w:r>
      <w:r>
        <w:rPr>
          <w:color w:val="231F20"/>
          <w:w w:val="105"/>
        </w:rPr>
        <w:t>y electricidad han aumentado entre 1990 y 1995, y son </w:t>
      </w:r>
      <w:r>
        <w:rPr>
          <w:color w:val="231F20"/>
          <w:spacing w:val="-3"/>
          <w:w w:val="105"/>
        </w:rPr>
        <w:t>mucho </w:t>
      </w:r>
      <w:r>
        <w:rPr>
          <w:color w:val="231F20"/>
          <w:w w:val="105"/>
        </w:rPr>
        <w:t>más altos que en el país en su conjunto y en el Estado de México, pero también más altos que en el Distrito</w:t>
      </w:r>
      <w:r>
        <w:rPr>
          <w:color w:val="231F20"/>
          <w:spacing w:val="-26"/>
          <w:w w:val="105"/>
        </w:rPr>
        <w:t> </w:t>
      </w:r>
      <w:r>
        <w:rPr>
          <w:color w:val="231F20"/>
          <w:w w:val="105"/>
        </w:rPr>
        <w:t>Federal”</w:t>
      </w:r>
      <w:r>
        <w:rPr>
          <w:color w:val="231F20"/>
          <w:spacing w:val="-26"/>
          <w:w w:val="105"/>
        </w:rPr>
        <w:t> </w:t>
      </w:r>
      <w:r>
        <w:rPr>
          <w:color w:val="231F20"/>
          <w:w w:val="105"/>
        </w:rPr>
        <w:t>(Duhau</w:t>
      </w:r>
      <w:r>
        <w:rPr>
          <w:color w:val="231F20"/>
          <w:spacing w:val="-26"/>
          <w:w w:val="105"/>
        </w:rPr>
        <w:t> </w:t>
      </w:r>
      <w:r>
        <w:rPr>
          <w:color w:val="231F20"/>
          <w:w w:val="105"/>
        </w:rPr>
        <w:t>y</w:t>
      </w:r>
      <w:r>
        <w:rPr>
          <w:color w:val="231F20"/>
          <w:spacing w:val="-26"/>
          <w:w w:val="105"/>
        </w:rPr>
        <w:t> </w:t>
      </w:r>
      <w:r>
        <w:rPr>
          <w:color w:val="231F20"/>
          <w:w w:val="105"/>
        </w:rPr>
        <w:t>Schteingart,</w:t>
      </w:r>
      <w:r>
        <w:rPr>
          <w:color w:val="231F20"/>
          <w:spacing w:val="-26"/>
          <w:w w:val="105"/>
        </w:rPr>
        <w:t> </w:t>
      </w:r>
      <w:r>
        <w:rPr>
          <w:color w:val="231F20"/>
          <w:spacing w:val="-4"/>
          <w:w w:val="105"/>
        </w:rPr>
        <w:t>182:2001).</w:t>
      </w:r>
    </w:p>
    <w:p>
      <w:pPr>
        <w:pStyle w:val="BodyText"/>
        <w:spacing w:before="1"/>
        <w:rPr>
          <w:sz w:val="26"/>
        </w:rPr>
      </w:pPr>
    </w:p>
    <w:p>
      <w:pPr>
        <w:pStyle w:val="BodyText"/>
        <w:spacing w:line="285" w:lineRule="auto"/>
        <w:ind w:left="110" w:right="107"/>
        <w:jc w:val="both"/>
      </w:pPr>
      <w:r>
        <w:rPr>
          <w:color w:val="231F20"/>
          <w:w w:val="105"/>
        </w:rPr>
        <w:t>Este</w:t>
      </w:r>
      <w:r>
        <w:rPr>
          <w:color w:val="231F20"/>
          <w:spacing w:val="-6"/>
          <w:w w:val="105"/>
        </w:rPr>
        <w:t> </w:t>
      </w:r>
      <w:r>
        <w:rPr>
          <w:color w:val="231F20"/>
          <w:w w:val="105"/>
        </w:rPr>
        <w:t>alto</w:t>
      </w:r>
      <w:r>
        <w:rPr>
          <w:color w:val="231F20"/>
          <w:spacing w:val="-6"/>
          <w:w w:val="105"/>
        </w:rPr>
        <w:t> </w:t>
      </w:r>
      <w:r>
        <w:rPr>
          <w:color w:val="231F20"/>
          <w:w w:val="105"/>
        </w:rPr>
        <w:t>grado</w:t>
      </w:r>
      <w:r>
        <w:rPr>
          <w:color w:val="231F20"/>
          <w:spacing w:val="-6"/>
          <w:w w:val="105"/>
        </w:rPr>
        <w:t> </w:t>
      </w:r>
      <w:r>
        <w:rPr>
          <w:color w:val="231F20"/>
          <w:w w:val="105"/>
        </w:rPr>
        <w:t>de</w:t>
      </w:r>
      <w:r>
        <w:rPr>
          <w:color w:val="231F20"/>
          <w:spacing w:val="-6"/>
          <w:w w:val="105"/>
        </w:rPr>
        <w:t> </w:t>
      </w:r>
      <w:r>
        <w:rPr>
          <w:color w:val="231F20"/>
          <w:w w:val="105"/>
        </w:rPr>
        <w:t>urbanización</w:t>
      </w:r>
      <w:r>
        <w:rPr>
          <w:color w:val="231F20"/>
          <w:spacing w:val="-6"/>
          <w:w w:val="105"/>
        </w:rPr>
        <w:t> </w:t>
      </w:r>
      <w:r>
        <w:rPr>
          <w:color w:val="231F20"/>
          <w:w w:val="105"/>
        </w:rPr>
        <w:t>que</w:t>
      </w:r>
      <w:r>
        <w:rPr>
          <w:color w:val="231F20"/>
          <w:spacing w:val="-6"/>
          <w:w w:val="105"/>
        </w:rPr>
        <w:t> </w:t>
      </w:r>
      <w:r>
        <w:rPr>
          <w:color w:val="231F20"/>
          <w:w w:val="105"/>
        </w:rPr>
        <w:t>presenta</w:t>
      </w:r>
      <w:r>
        <w:rPr>
          <w:color w:val="231F20"/>
          <w:spacing w:val="-6"/>
          <w:w w:val="105"/>
        </w:rPr>
        <w:t> </w:t>
      </w:r>
      <w:r>
        <w:rPr>
          <w:color w:val="231F20"/>
          <w:w w:val="105"/>
        </w:rPr>
        <w:t>el</w:t>
      </w:r>
      <w:r>
        <w:rPr>
          <w:color w:val="231F20"/>
          <w:spacing w:val="-6"/>
          <w:w w:val="105"/>
        </w:rPr>
        <w:t> </w:t>
      </w:r>
      <w:r>
        <w:rPr>
          <w:color w:val="231F20"/>
          <w:w w:val="105"/>
        </w:rPr>
        <w:t>municipio</w:t>
      </w:r>
      <w:r>
        <w:rPr>
          <w:color w:val="231F20"/>
          <w:spacing w:val="-6"/>
          <w:w w:val="105"/>
        </w:rPr>
        <w:t> </w:t>
      </w:r>
      <w:r>
        <w:rPr>
          <w:color w:val="231F20"/>
          <w:w w:val="105"/>
        </w:rPr>
        <w:t>de</w:t>
      </w:r>
      <w:r>
        <w:rPr>
          <w:color w:val="231F20"/>
          <w:spacing w:val="-6"/>
          <w:w w:val="105"/>
        </w:rPr>
        <w:t> </w:t>
      </w:r>
      <w:r>
        <w:rPr>
          <w:color w:val="231F20"/>
          <w:w w:val="105"/>
        </w:rPr>
        <w:t>Nezahualcóyotl</w:t>
      </w:r>
      <w:r>
        <w:rPr>
          <w:color w:val="231F20"/>
          <w:spacing w:val="-6"/>
          <w:w w:val="105"/>
        </w:rPr>
        <w:t> </w:t>
      </w:r>
      <w:r>
        <w:rPr>
          <w:color w:val="231F20"/>
          <w:w w:val="105"/>
        </w:rPr>
        <w:t>se</w:t>
      </w:r>
      <w:r>
        <w:rPr>
          <w:color w:val="231F20"/>
          <w:spacing w:val="-6"/>
          <w:w w:val="105"/>
        </w:rPr>
        <w:t> </w:t>
      </w:r>
      <w:r>
        <w:rPr>
          <w:color w:val="231F20"/>
          <w:w w:val="105"/>
        </w:rPr>
        <w:t>ve</w:t>
      </w:r>
      <w:r>
        <w:rPr>
          <w:color w:val="231F20"/>
          <w:spacing w:val="-6"/>
          <w:w w:val="105"/>
        </w:rPr>
        <w:t> </w:t>
      </w:r>
      <w:r>
        <w:rPr>
          <w:color w:val="231F20"/>
          <w:w w:val="105"/>
        </w:rPr>
        <w:t>re- flejado</w:t>
      </w:r>
      <w:r>
        <w:rPr>
          <w:color w:val="231F20"/>
          <w:spacing w:val="-10"/>
          <w:w w:val="105"/>
        </w:rPr>
        <w:t> </w:t>
      </w:r>
      <w:r>
        <w:rPr>
          <w:color w:val="231F20"/>
          <w:w w:val="105"/>
        </w:rPr>
        <w:t>en</w:t>
      </w:r>
      <w:r>
        <w:rPr>
          <w:color w:val="231F20"/>
          <w:spacing w:val="-10"/>
          <w:w w:val="105"/>
        </w:rPr>
        <w:t> </w:t>
      </w:r>
      <w:r>
        <w:rPr>
          <w:color w:val="231F20"/>
          <w:w w:val="105"/>
        </w:rPr>
        <w:t>un</w:t>
      </w:r>
      <w:r>
        <w:rPr>
          <w:color w:val="231F20"/>
          <w:spacing w:val="-10"/>
          <w:w w:val="105"/>
        </w:rPr>
        <w:t> </w:t>
      </w:r>
      <w:r>
        <w:rPr>
          <w:color w:val="231F20"/>
          <w:w w:val="105"/>
        </w:rPr>
        <w:t>bajo</w:t>
      </w:r>
      <w:r>
        <w:rPr>
          <w:color w:val="231F20"/>
          <w:spacing w:val="-10"/>
          <w:w w:val="105"/>
        </w:rPr>
        <w:t> </w:t>
      </w:r>
      <w:r>
        <w:rPr>
          <w:color w:val="231F20"/>
          <w:w w:val="105"/>
        </w:rPr>
        <w:t>índice</w:t>
      </w:r>
      <w:r>
        <w:rPr>
          <w:color w:val="231F20"/>
          <w:spacing w:val="-10"/>
          <w:w w:val="105"/>
        </w:rPr>
        <w:t> </w:t>
      </w:r>
      <w:r>
        <w:rPr>
          <w:color w:val="231F20"/>
          <w:w w:val="105"/>
        </w:rPr>
        <w:t>de</w:t>
      </w:r>
      <w:r>
        <w:rPr>
          <w:color w:val="231F20"/>
          <w:spacing w:val="-10"/>
          <w:w w:val="105"/>
        </w:rPr>
        <w:t> </w:t>
      </w:r>
      <w:r>
        <w:rPr>
          <w:color w:val="231F20"/>
          <w:w w:val="105"/>
        </w:rPr>
        <w:t>marginación</w:t>
      </w:r>
      <w:r>
        <w:rPr>
          <w:color w:val="231F20"/>
          <w:spacing w:val="-10"/>
          <w:w w:val="105"/>
        </w:rPr>
        <w:t> </w:t>
      </w:r>
      <w:r>
        <w:rPr>
          <w:color w:val="231F20"/>
          <w:w w:val="105"/>
        </w:rPr>
        <w:t>tanto</w:t>
      </w:r>
      <w:r>
        <w:rPr>
          <w:color w:val="231F20"/>
          <w:spacing w:val="-10"/>
          <w:w w:val="105"/>
        </w:rPr>
        <w:t> </w:t>
      </w:r>
      <w:r>
        <w:rPr>
          <w:color w:val="231F20"/>
          <w:w w:val="105"/>
        </w:rPr>
        <w:t>a</w:t>
      </w:r>
      <w:r>
        <w:rPr>
          <w:color w:val="231F20"/>
          <w:spacing w:val="-10"/>
          <w:w w:val="105"/>
        </w:rPr>
        <w:t> </w:t>
      </w:r>
      <w:r>
        <w:rPr>
          <w:color w:val="231F20"/>
          <w:w w:val="105"/>
        </w:rPr>
        <w:t>nivel</w:t>
      </w:r>
      <w:r>
        <w:rPr>
          <w:color w:val="231F20"/>
          <w:spacing w:val="-10"/>
          <w:w w:val="105"/>
        </w:rPr>
        <w:t> </w:t>
      </w:r>
      <w:r>
        <w:rPr>
          <w:color w:val="231F20"/>
          <w:w w:val="105"/>
        </w:rPr>
        <w:t>nacional</w:t>
      </w:r>
      <w:r>
        <w:rPr>
          <w:color w:val="231F20"/>
          <w:spacing w:val="-10"/>
          <w:w w:val="105"/>
        </w:rPr>
        <w:t> </w:t>
      </w:r>
      <w:r>
        <w:rPr>
          <w:color w:val="231F20"/>
          <w:w w:val="105"/>
        </w:rPr>
        <w:t>como</w:t>
      </w:r>
      <w:r>
        <w:rPr>
          <w:color w:val="231F20"/>
          <w:spacing w:val="-10"/>
          <w:w w:val="105"/>
        </w:rPr>
        <w:t> </w:t>
      </w:r>
      <w:r>
        <w:rPr>
          <w:color w:val="231F20"/>
          <w:w w:val="105"/>
        </w:rPr>
        <w:t>estatal.</w:t>
      </w:r>
      <w:r>
        <w:rPr>
          <w:color w:val="231F20"/>
          <w:spacing w:val="-10"/>
          <w:w w:val="105"/>
        </w:rPr>
        <w:t> </w:t>
      </w:r>
      <w:r>
        <w:rPr>
          <w:color w:val="231F20"/>
          <w:spacing w:val="-3"/>
          <w:w w:val="105"/>
        </w:rPr>
        <w:t>Por</w:t>
      </w:r>
      <w:r>
        <w:rPr>
          <w:color w:val="231F20"/>
          <w:spacing w:val="-10"/>
          <w:w w:val="105"/>
        </w:rPr>
        <w:t> </w:t>
      </w:r>
      <w:r>
        <w:rPr>
          <w:color w:val="231F20"/>
          <w:w w:val="105"/>
        </w:rPr>
        <w:t>tanto, su</w:t>
      </w:r>
      <w:r>
        <w:rPr>
          <w:color w:val="231F20"/>
          <w:spacing w:val="-18"/>
          <w:w w:val="105"/>
        </w:rPr>
        <w:t> </w:t>
      </w:r>
      <w:r>
        <w:rPr>
          <w:color w:val="231F20"/>
          <w:w w:val="105"/>
        </w:rPr>
        <w:t>población</w:t>
      </w:r>
      <w:r>
        <w:rPr>
          <w:color w:val="231F20"/>
          <w:spacing w:val="-18"/>
          <w:w w:val="105"/>
        </w:rPr>
        <w:t> </w:t>
      </w:r>
      <w:r>
        <w:rPr>
          <w:color w:val="231F20"/>
          <w:w w:val="105"/>
        </w:rPr>
        <w:t>registra</w:t>
      </w:r>
      <w:r>
        <w:rPr>
          <w:color w:val="231F20"/>
          <w:spacing w:val="-18"/>
          <w:w w:val="105"/>
        </w:rPr>
        <w:t> </w:t>
      </w:r>
      <w:r>
        <w:rPr>
          <w:color w:val="231F20"/>
          <w:w w:val="105"/>
        </w:rPr>
        <w:t>muy</w:t>
      </w:r>
      <w:r>
        <w:rPr>
          <w:color w:val="231F20"/>
          <w:spacing w:val="-18"/>
          <w:w w:val="105"/>
        </w:rPr>
        <w:t> </w:t>
      </w:r>
      <w:r>
        <w:rPr>
          <w:color w:val="231F20"/>
          <w:w w:val="105"/>
        </w:rPr>
        <w:t>bajos</w:t>
      </w:r>
      <w:r>
        <w:rPr>
          <w:color w:val="231F20"/>
          <w:spacing w:val="-18"/>
          <w:w w:val="105"/>
        </w:rPr>
        <w:t> </w:t>
      </w:r>
      <w:r>
        <w:rPr>
          <w:color w:val="231F20"/>
          <w:w w:val="105"/>
        </w:rPr>
        <w:t>índices</w:t>
      </w:r>
      <w:r>
        <w:rPr>
          <w:color w:val="231F20"/>
          <w:spacing w:val="-18"/>
          <w:w w:val="105"/>
        </w:rPr>
        <w:t> </w:t>
      </w:r>
      <w:r>
        <w:rPr>
          <w:color w:val="231F20"/>
          <w:w w:val="105"/>
        </w:rPr>
        <w:t>de</w:t>
      </w:r>
      <w:r>
        <w:rPr>
          <w:color w:val="231F20"/>
          <w:spacing w:val="-18"/>
          <w:w w:val="105"/>
        </w:rPr>
        <w:t> </w:t>
      </w:r>
      <w:r>
        <w:rPr>
          <w:color w:val="231F20"/>
          <w:w w:val="105"/>
        </w:rPr>
        <w:t>analfabetismo</w:t>
      </w:r>
      <w:r>
        <w:rPr>
          <w:color w:val="231F20"/>
          <w:spacing w:val="-18"/>
          <w:w w:val="105"/>
        </w:rPr>
        <w:t> </w:t>
      </w:r>
      <w:r>
        <w:rPr>
          <w:color w:val="231F20"/>
          <w:spacing w:val="-3"/>
          <w:w w:val="105"/>
        </w:rPr>
        <w:t>(menores</w:t>
      </w:r>
      <w:r>
        <w:rPr>
          <w:color w:val="231F20"/>
          <w:spacing w:val="-18"/>
          <w:w w:val="105"/>
        </w:rPr>
        <w:t> </w:t>
      </w:r>
      <w:r>
        <w:rPr>
          <w:color w:val="231F20"/>
          <w:spacing w:val="2"/>
          <w:w w:val="105"/>
        </w:rPr>
        <w:t>al</w:t>
      </w:r>
      <w:r>
        <w:rPr>
          <w:color w:val="231F20"/>
          <w:spacing w:val="-18"/>
          <w:w w:val="105"/>
        </w:rPr>
        <w:t> </w:t>
      </w:r>
      <w:r>
        <w:rPr>
          <w:color w:val="231F20"/>
          <w:spacing w:val="-5"/>
          <w:w w:val="105"/>
        </w:rPr>
        <w:t>3%)</w:t>
      </w:r>
      <w:r>
        <w:rPr>
          <w:color w:val="231F20"/>
          <w:spacing w:val="-18"/>
          <w:w w:val="105"/>
        </w:rPr>
        <w:t> </w:t>
      </w:r>
      <w:r>
        <w:rPr>
          <w:color w:val="231F20"/>
          <w:w w:val="105"/>
        </w:rPr>
        <w:t>y</w:t>
      </w:r>
      <w:r>
        <w:rPr>
          <w:color w:val="231F20"/>
          <w:spacing w:val="-18"/>
          <w:w w:val="105"/>
        </w:rPr>
        <w:t> </w:t>
      </w:r>
      <w:r>
        <w:rPr>
          <w:color w:val="231F20"/>
          <w:w w:val="105"/>
        </w:rPr>
        <w:t>un</w:t>
      </w:r>
      <w:r>
        <w:rPr>
          <w:color w:val="231F20"/>
          <w:spacing w:val="-18"/>
          <w:w w:val="105"/>
        </w:rPr>
        <w:t> </w:t>
      </w:r>
      <w:r>
        <w:rPr>
          <w:color w:val="231F20"/>
          <w:w w:val="105"/>
        </w:rPr>
        <w:t>cada</w:t>
      </w:r>
      <w:r>
        <w:rPr>
          <w:color w:val="231F20"/>
          <w:spacing w:val="-18"/>
          <w:w w:val="105"/>
        </w:rPr>
        <w:t> </w:t>
      </w:r>
      <w:r>
        <w:rPr>
          <w:color w:val="231F20"/>
          <w:w w:val="105"/>
        </w:rPr>
        <w:t>vez más</w:t>
      </w:r>
      <w:r>
        <w:rPr>
          <w:color w:val="231F20"/>
          <w:spacing w:val="-13"/>
          <w:w w:val="105"/>
        </w:rPr>
        <w:t> </w:t>
      </w:r>
      <w:r>
        <w:rPr>
          <w:color w:val="231F20"/>
          <w:w w:val="105"/>
        </w:rPr>
        <w:t>creciente</w:t>
      </w:r>
      <w:r>
        <w:rPr>
          <w:color w:val="231F20"/>
          <w:spacing w:val="-13"/>
          <w:w w:val="105"/>
        </w:rPr>
        <w:t> </w:t>
      </w:r>
      <w:r>
        <w:rPr>
          <w:color w:val="231F20"/>
          <w:w w:val="105"/>
        </w:rPr>
        <w:t>nivel</w:t>
      </w:r>
      <w:r>
        <w:rPr>
          <w:color w:val="231F20"/>
          <w:spacing w:val="-13"/>
          <w:w w:val="105"/>
        </w:rPr>
        <w:t> </w:t>
      </w:r>
      <w:r>
        <w:rPr>
          <w:color w:val="231F20"/>
          <w:w w:val="105"/>
        </w:rPr>
        <w:t>educativo,</w:t>
      </w:r>
      <w:r>
        <w:rPr>
          <w:color w:val="231F20"/>
          <w:spacing w:val="-13"/>
          <w:w w:val="105"/>
        </w:rPr>
        <w:t> </w:t>
      </w:r>
      <w:r>
        <w:rPr>
          <w:color w:val="231F20"/>
          <w:w w:val="105"/>
        </w:rPr>
        <w:t>sobre</w:t>
      </w:r>
      <w:r>
        <w:rPr>
          <w:color w:val="231F20"/>
          <w:spacing w:val="-13"/>
          <w:w w:val="105"/>
        </w:rPr>
        <w:t> </w:t>
      </w:r>
      <w:r>
        <w:rPr>
          <w:color w:val="231F20"/>
          <w:w w:val="105"/>
        </w:rPr>
        <w:t>todo</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generaciones</w:t>
      </w:r>
      <w:r>
        <w:rPr>
          <w:color w:val="231F20"/>
          <w:spacing w:val="-13"/>
          <w:w w:val="105"/>
        </w:rPr>
        <w:t> </w:t>
      </w:r>
      <w:r>
        <w:rPr>
          <w:color w:val="231F20"/>
          <w:w w:val="105"/>
        </w:rPr>
        <w:t>originarias</w:t>
      </w:r>
      <w:r>
        <w:rPr>
          <w:color w:val="231F20"/>
          <w:spacing w:val="-13"/>
          <w:w w:val="105"/>
        </w:rPr>
        <w:t> </w:t>
      </w:r>
      <w:r>
        <w:rPr>
          <w:color w:val="231F20"/>
          <w:w w:val="105"/>
        </w:rPr>
        <w:t>de</w:t>
      </w:r>
      <w:r>
        <w:rPr>
          <w:color w:val="231F20"/>
          <w:spacing w:val="-13"/>
          <w:w w:val="105"/>
        </w:rPr>
        <w:t> </w:t>
      </w:r>
      <w:r>
        <w:rPr>
          <w:color w:val="231F20"/>
          <w:w w:val="105"/>
        </w:rPr>
        <w:t>esta</w:t>
      </w:r>
      <w:r>
        <w:rPr>
          <w:color w:val="231F20"/>
          <w:spacing w:val="-13"/>
          <w:w w:val="105"/>
        </w:rPr>
        <w:t> </w:t>
      </w:r>
      <w:r>
        <w:rPr>
          <w:color w:val="231F20"/>
          <w:w w:val="105"/>
        </w:rPr>
        <w:t>locali- dad,</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les</w:t>
      </w:r>
      <w:r>
        <w:rPr>
          <w:color w:val="231F20"/>
          <w:spacing w:val="-14"/>
          <w:w w:val="105"/>
        </w:rPr>
        <w:t> </w:t>
      </w:r>
      <w:r>
        <w:rPr>
          <w:color w:val="231F20"/>
          <w:w w:val="105"/>
        </w:rPr>
        <w:t>ha</w:t>
      </w:r>
      <w:r>
        <w:rPr>
          <w:color w:val="231F20"/>
          <w:spacing w:val="-14"/>
          <w:w w:val="105"/>
        </w:rPr>
        <w:t> </w:t>
      </w:r>
      <w:r>
        <w:rPr>
          <w:color w:val="231F20"/>
          <w:w w:val="105"/>
        </w:rPr>
        <w:t>permitido</w:t>
      </w:r>
      <w:r>
        <w:rPr>
          <w:color w:val="231F20"/>
          <w:spacing w:val="-14"/>
          <w:w w:val="105"/>
        </w:rPr>
        <w:t> </w:t>
      </w:r>
      <w:r>
        <w:rPr>
          <w:color w:val="231F20"/>
          <w:w w:val="105"/>
        </w:rPr>
        <w:t>mejorar</w:t>
      </w:r>
      <w:r>
        <w:rPr>
          <w:color w:val="231F20"/>
          <w:spacing w:val="-14"/>
          <w:w w:val="105"/>
        </w:rPr>
        <w:t> </w:t>
      </w:r>
      <w:r>
        <w:rPr>
          <w:color w:val="231F20"/>
          <w:w w:val="105"/>
        </w:rPr>
        <w:t>sus</w:t>
      </w:r>
      <w:r>
        <w:rPr>
          <w:color w:val="231F20"/>
          <w:spacing w:val="-14"/>
          <w:w w:val="105"/>
        </w:rPr>
        <w:t> </w:t>
      </w:r>
      <w:r>
        <w:rPr>
          <w:color w:val="231F20"/>
          <w:w w:val="105"/>
        </w:rPr>
        <w:t>condiciones</w:t>
      </w:r>
      <w:r>
        <w:rPr>
          <w:color w:val="231F20"/>
          <w:spacing w:val="-14"/>
          <w:w w:val="105"/>
        </w:rPr>
        <w:t> </w:t>
      </w:r>
      <w:r>
        <w:rPr>
          <w:color w:val="231F20"/>
          <w:w w:val="105"/>
        </w:rPr>
        <w:t>económicas.</w:t>
      </w:r>
    </w:p>
    <w:p>
      <w:pPr>
        <w:pStyle w:val="BodyText"/>
        <w:spacing w:before="1"/>
        <w:rPr>
          <w:sz w:val="26"/>
        </w:rPr>
      </w:pPr>
    </w:p>
    <w:p>
      <w:pPr>
        <w:pStyle w:val="BodyText"/>
        <w:spacing w:line="285" w:lineRule="auto"/>
        <w:ind w:left="110" w:right="107"/>
        <w:jc w:val="both"/>
      </w:pPr>
      <w:r>
        <w:rPr>
          <w:color w:val="231F20"/>
          <w:w w:val="105"/>
        </w:rPr>
        <w:t>Aunado</w:t>
      </w:r>
      <w:r>
        <w:rPr>
          <w:color w:val="231F20"/>
          <w:spacing w:val="-10"/>
          <w:w w:val="105"/>
        </w:rPr>
        <w:t> </w:t>
      </w:r>
      <w:r>
        <w:rPr>
          <w:color w:val="231F20"/>
          <w:w w:val="105"/>
        </w:rPr>
        <w:t>a</w:t>
      </w:r>
      <w:r>
        <w:rPr>
          <w:color w:val="231F20"/>
          <w:spacing w:val="-10"/>
          <w:w w:val="105"/>
        </w:rPr>
        <w:t> </w:t>
      </w:r>
      <w:r>
        <w:rPr>
          <w:color w:val="231F20"/>
          <w:w w:val="105"/>
        </w:rPr>
        <w:t>esto,</w:t>
      </w:r>
      <w:r>
        <w:rPr>
          <w:color w:val="231F20"/>
          <w:spacing w:val="-10"/>
          <w:w w:val="105"/>
        </w:rPr>
        <w:t> </w:t>
      </w:r>
      <w:r>
        <w:rPr>
          <w:color w:val="231F20"/>
          <w:w w:val="105"/>
        </w:rPr>
        <w:t>a</w:t>
      </w:r>
      <w:r>
        <w:rPr>
          <w:color w:val="231F20"/>
          <w:spacing w:val="-10"/>
          <w:w w:val="105"/>
        </w:rPr>
        <w:t> </w:t>
      </w:r>
      <w:r>
        <w:rPr>
          <w:color w:val="231F20"/>
          <w:w w:val="105"/>
        </w:rPr>
        <w:t>pesar</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Nezahualcóyotl</w:t>
      </w:r>
      <w:r>
        <w:rPr>
          <w:color w:val="231F20"/>
          <w:spacing w:val="-10"/>
          <w:w w:val="105"/>
        </w:rPr>
        <w:t> </w:t>
      </w:r>
      <w:r>
        <w:rPr>
          <w:color w:val="231F20"/>
          <w:w w:val="105"/>
        </w:rPr>
        <w:t>se</w:t>
      </w:r>
      <w:r>
        <w:rPr>
          <w:color w:val="231F20"/>
          <w:spacing w:val="-10"/>
          <w:w w:val="105"/>
        </w:rPr>
        <w:t> </w:t>
      </w:r>
      <w:r>
        <w:rPr>
          <w:color w:val="231F20"/>
          <w:w w:val="105"/>
        </w:rPr>
        <w:t>cuenta</w:t>
      </w:r>
      <w:r>
        <w:rPr>
          <w:color w:val="231F20"/>
          <w:spacing w:val="-10"/>
          <w:w w:val="105"/>
        </w:rPr>
        <w:t> </w:t>
      </w:r>
      <w:r>
        <w:rPr>
          <w:color w:val="231F20"/>
          <w:w w:val="105"/>
        </w:rPr>
        <w:t>con</w:t>
      </w:r>
      <w:r>
        <w:rPr>
          <w:color w:val="231F20"/>
          <w:spacing w:val="-10"/>
          <w:w w:val="105"/>
        </w:rPr>
        <w:t> </w:t>
      </w:r>
      <w:r>
        <w:rPr>
          <w:color w:val="231F20"/>
          <w:w w:val="105"/>
        </w:rPr>
        <w:t>una</w:t>
      </w:r>
      <w:r>
        <w:rPr>
          <w:color w:val="231F20"/>
          <w:spacing w:val="-10"/>
          <w:w w:val="105"/>
        </w:rPr>
        <w:t> </w:t>
      </w:r>
      <w:r>
        <w:rPr>
          <w:color w:val="231F20"/>
          <w:w w:val="105"/>
        </w:rPr>
        <w:t>amplia</w:t>
      </w:r>
      <w:r>
        <w:rPr>
          <w:color w:val="231F20"/>
          <w:spacing w:val="-10"/>
          <w:w w:val="105"/>
        </w:rPr>
        <w:t> </w:t>
      </w:r>
      <w:r>
        <w:rPr>
          <w:color w:val="231F20"/>
          <w:w w:val="105"/>
        </w:rPr>
        <w:t>infraestruc- </w:t>
      </w:r>
      <w:r>
        <w:rPr>
          <w:color w:val="231F20"/>
          <w:spacing w:val="2"/>
          <w:w w:val="105"/>
        </w:rPr>
        <w:t>tura</w:t>
      </w:r>
      <w:r>
        <w:rPr>
          <w:color w:val="231F20"/>
          <w:spacing w:val="-13"/>
          <w:w w:val="105"/>
        </w:rPr>
        <w:t> </w:t>
      </w:r>
      <w:r>
        <w:rPr>
          <w:color w:val="231F20"/>
          <w:w w:val="105"/>
        </w:rPr>
        <w:t>educativa</w:t>
      </w:r>
      <w:r>
        <w:rPr>
          <w:color w:val="231F20"/>
          <w:spacing w:val="-13"/>
          <w:w w:val="105"/>
        </w:rPr>
        <w:t> </w:t>
      </w:r>
      <w:r>
        <w:rPr>
          <w:color w:val="231F20"/>
          <w:w w:val="105"/>
        </w:rPr>
        <w:t>desde</w:t>
      </w:r>
      <w:r>
        <w:rPr>
          <w:color w:val="231F20"/>
          <w:spacing w:val="-13"/>
          <w:w w:val="105"/>
        </w:rPr>
        <w:t> </w:t>
      </w:r>
      <w:r>
        <w:rPr>
          <w:color w:val="231F20"/>
          <w:w w:val="105"/>
        </w:rPr>
        <w:t>nivel</w:t>
      </w:r>
      <w:r>
        <w:rPr>
          <w:color w:val="231F20"/>
          <w:spacing w:val="-13"/>
          <w:w w:val="105"/>
        </w:rPr>
        <w:t> </w:t>
      </w:r>
      <w:r>
        <w:rPr>
          <w:color w:val="231F20"/>
          <w:w w:val="105"/>
        </w:rPr>
        <w:t>preescolar</w:t>
      </w:r>
      <w:r>
        <w:rPr>
          <w:color w:val="231F20"/>
          <w:spacing w:val="-13"/>
          <w:w w:val="105"/>
        </w:rPr>
        <w:t> </w:t>
      </w:r>
      <w:r>
        <w:rPr>
          <w:color w:val="231F20"/>
          <w:w w:val="105"/>
        </w:rPr>
        <w:t>hasta</w:t>
      </w:r>
      <w:r>
        <w:rPr>
          <w:color w:val="231F20"/>
          <w:spacing w:val="-13"/>
          <w:w w:val="105"/>
        </w:rPr>
        <w:t> </w:t>
      </w:r>
      <w:r>
        <w:rPr>
          <w:color w:val="231F20"/>
          <w:w w:val="105"/>
        </w:rPr>
        <w:t>el</w:t>
      </w:r>
      <w:r>
        <w:rPr>
          <w:color w:val="231F20"/>
          <w:spacing w:val="-13"/>
          <w:w w:val="105"/>
        </w:rPr>
        <w:t> </w:t>
      </w:r>
      <w:r>
        <w:rPr>
          <w:color w:val="231F20"/>
          <w:w w:val="105"/>
        </w:rPr>
        <w:t>nivel</w:t>
      </w:r>
      <w:r>
        <w:rPr>
          <w:color w:val="231F20"/>
          <w:spacing w:val="-13"/>
          <w:w w:val="105"/>
        </w:rPr>
        <w:t> </w:t>
      </w:r>
      <w:r>
        <w:rPr>
          <w:color w:val="231F20"/>
          <w:w w:val="105"/>
        </w:rPr>
        <w:t>profesional</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Universidad</w:t>
      </w:r>
      <w:r>
        <w:rPr>
          <w:color w:val="231F20"/>
          <w:spacing w:val="-13"/>
          <w:w w:val="105"/>
        </w:rPr>
        <w:t> </w:t>
      </w:r>
      <w:r>
        <w:rPr>
          <w:color w:val="231F20"/>
          <w:spacing w:val="-6"/>
          <w:w w:val="105"/>
        </w:rPr>
        <w:t>Tec- </w:t>
      </w:r>
      <w:r>
        <w:rPr>
          <w:color w:val="231F20"/>
          <w:w w:val="105"/>
        </w:rPr>
        <w:t>nológica</w:t>
      </w:r>
      <w:r>
        <w:rPr>
          <w:color w:val="231F20"/>
          <w:spacing w:val="-16"/>
          <w:w w:val="105"/>
        </w:rPr>
        <w:t> </w:t>
      </w:r>
      <w:r>
        <w:rPr>
          <w:color w:val="231F20"/>
          <w:w w:val="105"/>
        </w:rPr>
        <w:t>de</w:t>
      </w:r>
      <w:r>
        <w:rPr>
          <w:color w:val="231F20"/>
          <w:spacing w:val="-16"/>
          <w:w w:val="105"/>
        </w:rPr>
        <w:t> </w:t>
      </w:r>
      <w:r>
        <w:rPr>
          <w:color w:val="231F20"/>
          <w:w w:val="105"/>
        </w:rPr>
        <w:t>Nezahualcóyotl,</w:t>
      </w:r>
      <w:r>
        <w:rPr>
          <w:color w:val="231F20"/>
          <w:spacing w:val="-16"/>
          <w:w w:val="105"/>
        </w:rPr>
        <w:t> </w:t>
      </w:r>
      <w:r>
        <w:rPr>
          <w:color w:val="231F20"/>
          <w:w w:val="105"/>
        </w:rPr>
        <w:t>la</w:t>
      </w:r>
      <w:r>
        <w:rPr>
          <w:color w:val="231F20"/>
          <w:spacing w:val="-16"/>
          <w:w w:val="105"/>
        </w:rPr>
        <w:t> </w:t>
      </w:r>
      <w:r>
        <w:rPr>
          <w:color w:val="231F20"/>
          <w:w w:val="105"/>
        </w:rPr>
        <w:t>Facultad</w:t>
      </w:r>
      <w:r>
        <w:rPr>
          <w:color w:val="231F20"/>
          <w:spacing w:val="-16"/>
          <w:w w:val="105"/>
        </w:rPr>
        <w:t> </w:t>
      </w:r>
      <w:r>
        <w:rPr>
          <w:color w:val="231F20"/>
          <w:w w:val="105"/>
        </w:rPr>
        <w:t>de</w:t>
      </w:r>
      <w:r>
        <w:rPr>
          <w:color w:val="231F20"/>
          <w:spacing w:val="-16"/>
          <w:w w:val="105"/>
        </w:rPr>
        <w:t> </w:t>
      </w:r>
      <w:r>
        <w:rPr>
          <w:color w:val="231F20"/>
          <w:w w:val="105"/>
        </w:rPr>
        <w:t>Estudios</w:t>
      </w:r>
      <w:r>
        <w:rPr>
          <w:color w:val="231F20"/>
          <w:spacing w:val="-16"/>
          <w:w w:val="105"/>
        </w:rPr>
        <w:t> </w:t>
      </w:r>
      <w:r>
        <w:rPr>
          <w:color w:val="231F20"/>
          <w:w w:val="105"/>
        </w:rPr>
        <w:t>Superiores</w:t>
      </w:r>
      <w:r>
        <w:rPr>
          <w:color w:val="231F20"/>
          <w:spacing w:val="-16"/>
          <w:w w:val="105"/>
        </w:rPr>
        <w:t> </w:t>
      </w:r>
      <w:r>
        <w:rPr>
          <w:color w:val="231F20"/>
          <w:w w:val="105"/>
        </w:rPr>
        <w:t>de</w:t>
      </w:r>
      <w:r>
        <w:rPr>
          <w:color w:val="231F20"/>
          <w:spacing w:val="-16"/>
          <w:w w:val="105"/>
        </w:rPr>
        <w:t> </w:t>
      </w:r>
      <w:r>
        <w:rPr>
          <w:color w:val="231F20"/>
          <w:w w:val="105"/>
        </w:rPr>
        <w:t>Aragón,</w:t>
      </w:r>
      <w:r>
        <w:rPr>
          <w:color w:val="231F20"/>
          <w:spacing w:val="-16"/>
          <w:w w:val="105"/>
        </w:rPr>
        <w:t> </w:t>
      </w:r>
      <w:r>
        <w:rPr>
          <w:color w:val="231F20"/>
          <w:w w:val="105"/>
        </w:rPr>
        <w:t>un</w:t>
      </w:r>
      <w:r>
        <w:rPr>
          <w:color w:val="231F20"/>
          <w:spacing w:val="-16"/>
          <w:w w:val="105"/>
        </w:rPr>
        <w:t> </w:t>
      </w:r>
      <w:r>
        <w:rPr>
          <w:color w:val="231F20"/>
          <w:w w:val="105"/>
        </w:rPr>
        <w:t>Campus de</w:t>
      </w:r>
      <w:r>
        <w:rPr>
          <w:color w:val="231F20"/>
          <w:spacing w:val="-6"/>
          <w:w w:val="105"/>
        </w:rPr>
        <w:t> </w:t>
      </w:r>
      <w:r>
        <w:rPr>
          <w:color w:val="231F20"/>
          <w:w w:val="105"/>
        </w:rPr>
        <w:t>la</w:t>
      </w:r>
      <w:r>
        <w:rPr>
          <w:color w:val="231F20"/>
          <w:spacing w:val="-6"/>
          <w:w w:val="105"/>
        </w:rPr>
        <w:t> </w:t>
      </w:r>
      <w:r>
        <w:rPr>
          <w:color w:val="231F20"/>
          <w:w w:val="105"/>
        </w:rPr>
        <w:t>Universidad</w:t>
      </w:r>
      <w:r>
        <w:rPr>
          <w:color w:val="231F20"/>
          <w:spacing w:val="-6"/>
          <w:w w:val="105"/>
        </w:rPr>
        <w:t> </w:t>
      </w:r>
      <w:r>
        <w:rPr>
          <w:color w:val="231F20"/>
          <w:w w:val="105"/>
        </w:rPr>
        <w:t>Lasalle</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Unidad</w:t>
      </w:r>
      <w:r>
        <w:rPr>
          <w:color w:val="231F20"/>
          <w:spacing w:val="-6"/>
          <w:w w:val="105"/>
        </w:rPr>
        <w:t> </w:t>
      </w:r>
      <w:r>
        <w:rPr>
          <w:color w:val="231F20"/>
          <w:w w:val="105"/>
        </w:rPr>
        <w:t>Académica</w:t>
      </w:r>
      <w:r>
        <w:rPr>
          <w:color w:val="231F20"/>
          <w:spacing w:val="-6"/>
          <w:w w:val="105"/>
        </w:rPr>
        <w:t> </w:t>
      </w:r>
      <w:r>
        <w:rPr>
          <w:color w:val="231F20"/>
          <w:w w:val="105"/>
        </w:rPr>
        <w:t>Profesional</w:t>
      </w:r>
      <w:r>
        <w:rPr>
          <w:color w:val="231F20"/>
          <w:spacing w:val="-6"/>
          <w:w w:val="105"/>
        </w:rPr>
        <w:t> </w:t>
      </w:r>
      <w:r>
        <w:rPr>
          <w:color w:val="231F20"/>
          <w:w w:val="105"/>
        </w:rPr>
        <w:t>de</w:t>
      </w:r>
      <w:r>
        <w:rPr>
          <w:color w:val="231F20"/>
          <w:spacing w:val="-6"/>
          <w:w w:val="105"/>
        </w:rPr>
        <w:t> </w:t>
      </w:r>
      <w:r>
        <w:rPr>
          <w:color w:val="231F20"/>
          <w:w w:val="105"/>
        </w:rPr>
        <w:t>Nezahualcóyotl</w:t>
      </w:r>
      <w:r>
        <w:rPr>
          <w:color w:val="231F20"/>
          <w:spacing w:val="-6"/>
          <w:w w:val="105"/>
        </w:rPr>
        <w:t> </w:t>
      </w:r>
      <w:r>
        <w:rPr>
          <w:color w:val="231F20"/>
          <w:w w:val="105"/>
        </w:rPr>
        <w:t>de</w:t>
      </w:r>
      <w:r>
        <w:rPr>
          <w:color w:val="231F20"/>
          <w:spacing w:val="-6"/>
          <w:w w:val="105"/>
        </w:rPr>
        <w:t> </w:t>
      </w:r>
      <w:r>
        <w:rPr>
          <w:color w:val="231F20"/>
          <w:w w:val="105"/>
        </w:rPr>
        <w:t>la </w:t>
      </w:r>
      <w:r>
        <w:rPr>
          <w:color w:val="231F20"/>
          <w:w w:val="105"/>
          <w:u w:val="single" w:color="231F20"/>
        </w:rPr>
        <w:t>Universidad</w:t>
      </w:r>
      <w:r>
        <w:rPr>
          <w:color w:val="231F20"/>
          <w:spacing w:val="-6"/>
          <w:w w:val="105"/>
          <w:u w:val="single" w:color="231F20"/>
        </w:rPr>
        <w:t> </w:t>
      </w:r>
      <w:r>
        <w:rPr>
          <w:color w:val="231F20"/>
          <w:w w:val="105"/>
          <w:u w:val="single" w:color="231F20"/>
        </w:rPr>
        <w:t>Au</w:t>
      </w:r>
      <w:r>
        <w:rPr>
          <w:color w:val="231F20"/>
          <w:w w:val="105"/>
        </w:rPr>
        <w:t>tónoma</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además</w:t>
      </w:r>
      <w:r>
        <w:rPr>
          <w:color w:val="231F20"/>
          <w:spacing w:val="-6"/>
          <w:w w:val="105"/>
        </w:rPr>
        <w:t> </w:t>
      </w:r>
      <w:r>
        <w:rPr>
          <w:color w:val="231F20"/>
          <w:w w:val="105"/>
        </w:rPr>
        <w:t>de</w:t>
      </w:r>
      <w:r>
        <w:rPr>
          <w:color w:val="231F20"/>
          <w:spacing w:val="-6"/>
          <w:w w:val="105"/>
        </w:rPr>
        <w:t> </w:t>
      </w:r>
      <w:r>
        <w:rPr>
          <w:color w:val="231F20"/>
          <w:w w:val="105"/>
        </w:rPr>
        <w:t>varios</w:t>
      </w:r>
      <w:r>
        <w:rPr>
          <w:color w:val="231F20"/>
          <w:spacing w:val="-6"/>
          <w:w w:val="105"/>
        </w:rPr>
        <w:t> </w:t>
      </w:r>
      <w:r>
        <w:rPr>
          <w:color w:val="231F20"/>
          <w:w w:val="105"/>
        </w:rPr>
        <w:t>institutos</w:t>
      </w:r>
      <w:r>
        <w:rPr>
          <w:color w:val="231F20"/>
          <w:spacing w:val="-6"/>
          <w:w w:val="105"/>
        </w:rPr>
        <w:t> </w:t>
      </w:r>
      <w:r>
        <w:rPr>
          <w:color w:val="231F20"/>
          <w:w w:val="105"/>
        </w:rPr>
        <w:t>privados</w:t>
      </w:r>
      <w:r>
        <w:rPr>
          <w:color w:val="231F20"/>
          <w:spacing w:val="-6"/>
          <w:w w:val="105"/>
        </w:rPr>
        <w:t> </w:t>
      </w:r>
      <w:r>
        <w:rPr>
          <w:color w:val="231F20"/>
          <w:w w:val="105"/>
        </w:rPr>
        <w:t>de</w:t>
      </w:r>
    </w:p>
    <w:p>
      <w:pPr>
        <w:pStyle w:val="ListParagraph"/>
        <w:numPr>
          <w:ilvl w:val="0"/>
          <w:numId w:val="22"/>
        </w:numPr>
        <w:tabs>
          <w:tab w:pos="223" w:val="left" w:leader="none"/>
        </w:tabs>
        <w:spacing w:line="244" w:lineRule="auto" w:before="42" w:after="0"/>
        <w:ind w:left="110" w:right="108" w:firstLine="0"/>
        <w:jc w:val="both"/>
        <w:rPr>
          <w:sz w:val="16"/>
        </w:rPr>
      </w:pPr>
      <w:r>
        <w:rPr>
          <w:color w:val="231F20"/>
          <w:sz w:val="16"/>
        </w:rPr>
        <w:t>En</w:t>
      </w:r>
      <w:r>
        <w:rPr>
          <w:color w:val="231F20"/>
          <w:spacing w:val="-7"/>
          <w:sz w:val="16"/>
        </w:rPr>
        <w:t> </w:t>
      </w:r>
      <w:r>
        <w:rPr>
          <w:color w:val="231F20"/>
          <w:sz w:val="16"/>
        </w:rPr>
        <w:t>Nezahualcóyotl</w:t>
      </w:r>
      <w:r>
        <w:rPr>
          <w:color w:val="231F20"/>
          <w:spacing w:val="-7"/>
          <w:sz w:val="16"/>
        </w:rPr>
        <w:t> </w:t>
      </w:r>
      <w:r>
        <w:rPr>
          <w:color w:val="231F20"/>
          <w:sz w:val="16"/>
        </w:rPr>
        <w:t>de</w:t>
      </w:r>
      <w:r>
        <w:rPr>
          <w:color w:val="231F20"/>
          <w:spacing w:val="-7"/>
          <w:sz w:val="16"/>
        </w:rPr>
        <w:t> </w:t>
      </w:r>
      <w:r>
        <w:rPr>
          <w:color w:val="231F20"/>
          <w:sz w:val="16"/>
        </w:rPr>
        <w:t>acuerdo</w:t>
      </w:r>
      <w:r>
        <w:rPr>
          <w:color w:val="231F20"/>
          <w:spacing w:val="-7"/>
          <w:sz w:val="16"/>
        </w:rPr>
        <w:t> </w:t>
      </w:r>
      <w:r>
        <w:rPr>
          <w:color w:val="231F20"/>
          <w:sz w:val="16"/>
        </w:rPr>
        <w:t>con</w:t>
      </w:r>
      <w:r>
        <w:rPr>
          <w:color w:val="231F20"/>
          <w:spacing w:val="-7"/>
          <w:sz w:val="16"/>
        </w:rPr>
        <w:t> </w:t>
      </w:r>
      <w:r>
        <w:rPr>
          <w:color w:val="231F20"/>
          <w:sz w:val="16"/>
        </w:rPr>
        <w:t>el</w:t>
      </w:r>
      <w:r>
        <w:rPr>
          <w:color w:val="231F20"/>
          <w:spacing w:val="-7"/>
          <w:sz w:val="16"/>
        </w:rPr>
        <w:t> </w:t>
      </w:r>
      <w:r>
        <w:rPr>
          <w:color w:val="231F20"/>
          <w:sz w:val="16"/>
        </w:rPr>
        <w:t>estudio</w:t>
      </w:r>
      <w:r>
        <w:rPr>
          <w:color w:val="231F20"/>
          <w:spacing w:val="-7"/>
          <w:sz w:val="16"/>
        </w:rPr>
        <w:t> </w:t>
      </w:r>
      <w:r>
        <w:rPr>
          <w:color w:val="231F20"/>
          <w:sz w:val="16"/>
        </w:rPr>
        <w:t>sobre</w:t>
      </w:r>
      <w:r>
        <w:rPr>
          <w:color w:val="231F20"/>
          <w:spacing w:val="-7"/>
          <w:sz w:val="16"/>
        </w:rPr>
        <w:t> </w:t>
      </w:r>
      <w:r>
        <w:rPr>
          <w:color w:val="231F20"/>
          <w:sz w:val="16"/>
        </w:rPr>
        <w:t>organizaciones</w:t>
      </w:r>
      <w:r>
        <w:rPr>
          <w:color w:val="231F20"/>
          <w:spacing w:val="-7"/>
          <w:sz w:val="16"/>
        </w:rPr>
        <w:t> </w:t>
      </w:r>
      <w:r>
        <w:rPr>
          <w:color w:val="231F20"/>
          <w:sz w:val="16"/>
        </w:rPr>
        <w:t>sociales</w:t>
      </w:r>
      <w:r>
        <w:rPr>
          <w:color w:val="231F20"/>
          <w:spacing w:val="-7"/>
          <w:sz w:val="16"/>
        </w:rPr>
        <w:t> </w:t>
      </w:r>
      <w:r>
        <w:rPr>
          <w:color w:val="231F20"/>
          <w:sz w:val="16"/>
        </w:rPr>
        <w:t>en</w:t>
      </w:r>
      <w:r>
        <w:rPr>
          <w:color w:val="231F20"/>
          <w:spacing w:val="-7"/>
          <w:sz w:val="16"/>
        </w:rPr>
        <w:t> </w:t>
      </w:r>
      <w:r>
        <w:rPr>
          <w:color w:val="231F20"/>
          <w:sz w:val="16"/>
        </w:rPr>
        <w:t>el</w:t>
      </w:r>
      <w:r>
        <w:rPr>
          <w:color w:val="231F20"/>
          <w:spacing w:val="-7"/>
          <w:sz w:val="16"/>
        </w:rPr>
        <w:t> </w:t>
      </w:r>
      <w:r>
        <w:rPr>
          <w:color w:val="231F20"/>
          <w:sz w:val="16"/>
        </w:rPr>
        <w:t>Estado</w:t>
      </w:r>
      <w:r>
        <w:rPr>
          <w:color w:val="231F20"/>
          <w:spacing w:val="-7"/>
          <w:sz w:val="16"/>
        </w:rPr>
        <w:t> </w:t>
      </w:r>
      <w:r>
        <w:rPr>
          <w:color w:val="231F20"/>
          <w:sz w:val="16"/>
        </w:rPr>
        <w:t>de</w:t>
      </w:r>
      <w:r>
        <w:rPr>
          <w:color w:val="231F20"/>
          <w:spacing w:val="-7"/>
          <w:sz w:val="16"/>
        </w:rPr>
        <w:t> </w:t>
      </w:r>
      <w:r>
        <w:rPr>
          <w:color w:val="231F20"/>
          <w:sz w:val="16"/>
        </w:rPr>
        <w:t>México,</w:t>
      </w:r>
      <w:r>
        <w:rPr>
          <w:color w:val="231F20"/>
          <w:spacing w:val="-7"/>
          <w:sz w:val="16"/>
        </w:rPr>
        <w:t> </w:t>
      </w:r>
      <w:r>
        <w:rPr>
          <w:color w:val="231F20"/>
          <w:sz w:val="16"/>
        </w:rPr>
        <w:t>existen</w:t>
      </w:r>
      <w:r>
        <w:rPr>
          <w:color w:val="231F20"/>
          <w:spacing w:val="-7"/>
          <w:sz w:val="16"/>
        </w:rPr>
        <w:t> </w:t>
      </w:r>
      <w:r>
        <w:rPr>
          <w:color w:val="231F20"/>
          <w:sz w:val="16"/>
        </w:rPr>
        <w:t>260</w:t>
      </w:r>
      <w:r>
        <w:rPr>
          <w:color w:val="231F20"/>
          <w:spacing w:val="-7"/>
          <w:sz w:val="16"/>
        </w:rPr>
        <w:t> </w:t>
      </w:r>
      <w:r>
        <w:rPr>
          <w:color w:val="231F20"/>
          <w:sz w:val="16"/>
        </w:rPr>
        <w:t>asociacio- nes de todo tipo, desde partidos políticos hasta grupos de drogadictos en recuperación. Se trata de un municipio con una importante</w:t>
      </w:r>
      <w:r>
        <w:rPr>
          <w:color w:val="231F20"/>
          <w:spacing w:val="-5"/>
          <w:sz w:val="16"/>
        </w:rPr>
        <w:t> </w:t>
      </w:r>
      <w:r>
        <w:rPr>
          <w:color w:val="231F20"/>
          <w:sz w:val="16"/>
        </w:rPr>
        <w:t>tradición</w:t>
      </w:r>
      <w:r>
        <w:rPr>
          <w:color w:val="231F20"/>
          <w:spacing w:val="-5"/>
          <w:sz w:val="16"/>
        </w:rPr>
        <w:t> </w:t>
      </w:r>
      <w:r>
        <w:rPr>
          <w:color w:val="231F20"/>
          <w:sz w:val="16"/>
        </w:rPr>
        <w:t>en</w:t>
      </w:r>
      <w:r>
        <w:rPr>
          <w:color w:val="231F20"/>
          <w:spacing w:val="-5"/>
          <w:sz w:val="16"/>
        </w:rPr>
        <w:t> </w:t>
      </w:r>
      <w:r>
        <w:rPr>
          <w:color w:val="231F20"/>
          <w:sz w:val="16"/>
        </w:rPr>
        <w:t>organización</w:t>
      </w:r>
      <w:r>
        <w:rPr>
          <w:color w:val="231F20"/>
          <w:spacing w:val="-5"/>
          <w:sz w:val="16"/>
        </w:rPr>
        <w:t> </w:t>
      </w:r>
      <w:r>
        <w:rPr>
          <w:color w:val="231F20"/>
          <w:sz w:val="16"/>
        </w:rPr>
        <w:t>social.</w:t>
      </w:r>
      <w:r>
        <w:rPr>
          <w:color w:val="231F20"/>
          <w:spacing w:val="-5"/>
          <w:sz w:val="16"/>
        </w:rPr>
        <w:t> </w:t>
      </w:r>
      <w:r>
        <w:rPr>
          <w:color w:val="231F20"/>
          <w:sz w:val="16"/>
        </w:rPr>
        <w:t>Destacan</w:t>
      </w:r>
      <w:r>
        <w:rPr>
          <w:color w:val="231F20"/>
          <w:spacing w:val="-5"/>
          <w:sz w:val="16"/>
        </w:rPr>
        <w:t> </w:t>
      </w:r>
      <w:r>
        <w:rPr>
          <w:color w:val="231F20"/>
          <w:sz w:val="16"/>
        </w:rPr>
        <w:t>un</w:t>
      </w:r>
      <w:r>
        <w:rPr>
          <w:color w:val="231F20"/>
          <w:spacing w:val="-5"/>
          <w:sz w:val="16"/>
        </w:rPr>
        <w:t> </w:t>
      </w:r>
      <w:r>
        <w:rPr>
          <w:color w:val="231F20"/>
          <w:sz w:val="16"/>
        </w:rPr>
        <w:t>gran</w:t>
      </w:r>
      <w:r>
        <w:rPr>
          <w:color w:val="231F20"/>
          <w:spacing w:val="-5"/>
          <w:sz w:val="16"/>
        </w:rPr>
        <w:t> </w:t>
      </w:r>
      <w:r>
        <w:rPr>
          <w:color w:val="231F20"/>
          <w:sz w:val="16"/>
        </w:rPr>
        <w:t>número</w:t>
      </w:r>
      <w:r>
        <w:rPr>
          <w:color w:val="231F20"/>
          <w:spacing w:val="-5"/>
          <w:sz w:val="16"/>
        </w:rPr>
        <w:t> </w:t>
      </w:r>
      <w:r>
        <w:rPr>
          <w:color w:val="231F20"/>
          <w:sz w:val="16"/>
        </w:rPr>
        <w:t>de</w:t>
      </w:r>
      <w:r>
        <w:rPr>
          <w:color w:val="231F20"/>
          <w:spacing w:val="-5"/>
          <w:sz w:val="16"/>
        </w:rPr>
        <w:t> </w:t>
      </w:r>
      <w:r>
        <w:rPr>
          <w:color w:val="231F20"/>
          <w:sz w:val="16"/>
        </w:rPr>
        <w:t>comités</w:t>
      </w:r>
      <w:r>
        <w:rPr>
          <w:color w:val="231F20"/>
          <w:spacing w:val="-5"/>
          <w:sz w:val="16"/>
        </w:rPr>
        <w:t> </w:t>
      </w:r>
      <w:r>
        <w:rPr>
          <w:color w:val="231F20"/>
          <w:sz w:val="16"/>
        </w:rPr>
        <w:t>de</w:t>
      </w:r>
      <w:r>
        <w:rPr>
          <w:color w:val="231F20"/>
          <w:spacing w:val="-5"/>
          <w:sz w:val="16"/>
        </w:rPr>
        <w:t> </w:t>
      </w:r>
      <w:r>
        <w:rPr>
          <w:color w:val="231F20"/>
          <w:sz w:val="16"/>
        </w:rPr>
        <w:t>base</w:t>
      </w:r>
      <w:r>
        <w:rPr>
          <w:color w:val="231F20"/>
          <w:spacing w:val="-5"/>
          <w:sz w:val="16"/>
        </w:rPr>
        <w:t> </w:t>
      </w:r>
      <w:r>
        <w:rPr>
          <w:color w:val="231F20"/>
          <w:sz w:val="16"/>
        </w:rPr>
        <w:t>de</w:t>
      </w:r>
      <w:r>
        <w:rPr>
          <w:color w:val="231F20"/>
          <w:spacing w:val="-5"/>
          <w:sz w:val="16"/>
        </w:rPr>
        <w:t> </w:t>
      </w:r>
      <w:r>
        <w:rPr>
          <w:color w:val="231F20"/>
          <w:sz w:val="16"/>
        </w:rPr>
        <w:t>apoyo</w:t>
      </w:r>
      <w:r>
        <w:rPr>
          <w:color w:val="231F20"/>
          <w:spacing w:val="-5"/>
          <w:sz w:val="16"/>
        </w:rPr>
        <w:t> </w:t>
      </w:r>
      <w:r>
        <w:rPr>
          <w:color w:val="231F20"/>
          <w:sz w:val="16"/>
        </w:rPr>
        <w:t>a</w:t>
      </w:r>
      <w:r>
        <w:rPr>
          <w:color w:val="231F20"/>
          <w:spacing w:val="-5"/>
          <w:sz w:val="16"/>
        </w:rPr>
        <w:t> </w:t>
      </w:r>
      <w:r>
        <w:rPr>
          <w:color w:val="231F20"/>
          <w:sz w:val="16"/>
        </w:rPr>
        <w:t>la</w:t>
      </w:r>
      <w:r>
        <w:rPr>
          <w:color w:val="231F20"/>
          <w:spacing w:val="-5"/>
          <w:sz w:val="16"/>
        </w:rPr>
        <w:t> </w:t>
      </w:r>
      <w:r>
        <w:rPr>
          <w:color w:val="231F20"/>
          <w:sz w:val="16"/>
        </w:rPr>
        <w:t>vivienda,</w:t>
      </w:r>
      <w:r>
        <w:rPr>
          <w:color w:val="231F20"/>
          <w:spacing w:val="-5"/>
          <w:sz w:val="16"/>
        </w:rPr>
        <w:t> </w:t>
      </w:r>
      <w:r>
        <w:rPr>
          <w:color w:val="231F20"/>
          <w:sz w:val="16"/>
        </w:rPr>
        <w:t>así</w:t>
      </w:r>
      <w:r>
        <w:rPr>
          <w:color w:val="231F20"/>
          <w:spacing w:val="-5"/>
          <w:sz w:val="16"/>
        </w:rPr>
        <w:t> </w:t>
      </w:r>
      <w:r>
        <w:rPr>
          <w:color w:val="231F20"/>
          <w:sz w:val="16"/>
        </w:rPr>
        <w:t>como agrupaciones</w:t>
      </w:r>
      <w:r>
        <w:rPr>
          <w:color w:val="231F20"/>
          <w:spacing w:val="-14"/>
          <w:sz w:val="16"/>
        </w:rPr>
        <w:t> </w:t>
      </w:r>
      <w:r>
        <w:rPr>
          <w:color w:val="231F20"/>
          <w:sz w:val="16"/>
        </w:rPr>
        <w:t>de</w:t>
      </w:r>
      <w:r>
        <w:rPr>
          <w:color w:val="231F20"/>
          <w:spacing w:val="-14"/>
          <w:sz w:val="16"/>
        </w:rPr>
        <w:t> </w:t>
      </w:r>
      <w:r>
        <w:rPr>
          <w:color w:val="231F20"/>
          <w:sz w:val="16"/>
        </w:rPr>
        <w:t>tipo</w:t>
      </w:r>
      <w:r>
        <w:rPr>
          <w:color w:val="231F20"/>
          <w:spacing w:val="-14"/>
          <w:sz w:val="16"/>
        </w:rPr>
        <w:t> </w:t>
      </w:r>
      <w:r>
        <w:rPr>
          <w:color w:val="231F20"/>
          <w:sz w:val="16"/>
        </w:rPr>
        <w:t>gremial</w:t>
      </w:r>
      <w:r>
        <w:rPr>
          <w:color w:val="231F20"/>
          <w:spacing w:val="-14"/>
          <w:sz w:val="16"/>
        </w:rPr>
        <w:t> </w:t>
      </w:r>
      <w:r>
        <w:rPr>
          <w:color w:val="231F20"/>
          <w:sz w:val="16"/>
        </w:rPr>
        <w:t>de</w:t>
      </w:r>
      <w:r>
        <w:rPr>
          <w:color w:val="231F20"/>
          <w:spacing w:val="-14"/>
          <w:sz w:val="16"/>
        </w:rPr>
        <w:t> </w:t>
      </w:r>
      <w:r>
        <w:rPr>
          <w:color w:val="231F20"/>
          <w:sz w:val="16"/>
        </w:rPr>
        <w:t>transportistas</w:t>
      </w:r>
      <w:r>
        <w:rPr>
          <w:color w:val="231F20"/>
          <w:spacing w:val="-14"/>
          <w:sz w:val="16"/>
        </w:rPr>
        <w:t> </w:t>
      </w:r>
      <w:r>
        <w:rPr>
          <w:color w:val="231F20"/>
          <w:sz w:val="16"/>
        </w:rPr>
        <w:t>y</w:t>
      </w:r>
      <w:r>
        <w:rPr>
          <w:color w:val="231F20"/>
          <w:spacing w:val="-14"/>
          <w:sz w:val="16"/>
        </w:rPr>
        <w:t> </w:t>
      </w:r>
      <w:r>
        <w:rPr>
          <w:color w:val="231F20"/>
          <w:sz w:val="16"/>
        </w:rPr>
        <w:t>de</w:t>
      </w:r>
      <w:r>
        <w:rPr>
          <w:color w:val="231F20"/>
          <w:spacing w:val="-14"/>
          <w:sz w:val="16"/>
        </w:rPr>
        <w:t> </w:t>
      </w:r>
      <w:r>
        <w:rPr>
          <w:color w:val="231F20"/>
          <w:sz w:val="16"/>
        </w:rPr>
        <w:t>comerciantes</w:t>
      </w:r>
      <w:r>
        <w:rPr>
          <w:color w:val="231F20"/>
          <w:spacing w:val="-14"/>
          <w:sz w:val="16"/>
        </w:rPr>
        <w:t> </w:t>
      </w:r>
      <w:r>
        <w:rPr>
          <w:color w:val="231F20"/>
          <w:sz w:val="16"/>
        </w:rPr>
        <w:t>de</w:t>
      </w:r>
      <w:r>
        <w:rPr>
          <w:color w:val="231F20"/>
          <w:spacing w:val="-14"/>
          <w:sz w:val="16"/>
        </w:rPr>
        <w:t> </w:t>
      </w:r>
      <w:r>
        <w:rPr>
          <w:color w:val="231F20"/>
          <w:sz w:val="16"/>
        </w:rPr>
        <w:t>diverso</w:t>
      </w:r>
      <w:r>
        <w:rPr>
          <w:color w:val="231F20"/>
          <w:spacing w:val="-14"/>
          <w:sz w:val="16"/>
        </w:rPr>
        <w:t> </w:t>
      </w:r>
      <w:r>
        <w:rPr>
          <w:color w:val="231F20"/>
          <w:sz w:val="16"/>
        </w:rPr>
        <w:t>giro.</w:t>
      </w:r>
      <w:r>
        <w:rPr>
          <w:color w:val="231F20"/>
          <w:spacing w:val="-14"/>
          <w:sz w:val="16"/>
        </w:rPr>
        <w:t> </w:t>
      </w:r>
      <w:r>
        <w:rPr>
          <w:color w:val="231F20"/>
          <w:sz w:val="16"/>
        </w:rPr>
        <w:t>(Arzaluz;</w:t>
      </w:r>
      <w:r>
        <w:rPr>
          <w:color w:val="231F20"/>
          <w:spacing w:val="-14"/>
          <w:sz w:val="16"/>
        </w:rPr>
        <w:t> </w:t>
      </w:r>
      <w:r>
        <w:rPr>
          <w:color w:val="231F20"/>
          <w:spacing w:val="-3"/>
          <w:sz w:val="16"/>
        </w:rPr>
        <w:t>2001:276).</w:t>
      </w:r>
    </w:p>
    <w:p>
      <w:pPr>
        <w:spacing w:after="0" w:line="244" w:lineRule="auto"/>
        <w:jc w:val="both"/>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w w:val="105"/>
        </w:rPr>
        <w:t>educación</w:t>
      </w:r>
      <w:r>
        <w:rPr>
          <w:color w:val="231F20"/>
          <w:spacing w:val="-4"/>
          <w:w w:val="105"/>
        </w:rPr>
        <w:t> </w:t>
      </w:r>
      <w:r>
        <w:rPr>
          <w:color w:val="231F20"/>
          <w:w w:val="105"/>
        </w:rPr>
        <w:t>superior;</w:t>
      </w:r>
      <w:r>
        <w:rPr>
          <w:color w:val="231F20"/>
          <w:spacing w:val="-4"/>
          <w:w w:val="105"/>
        </w:rPr>
        <w:t> </w:t>
      </w:r>
      <w:r>
        <w:rPr>
          <w:color w:val="231F20"/>
          <w:w w:val="105"/>
        </w:rPr>
        <w:t>la</w:t>
      </w:r>
      <w:r>
        <w:rPr>
          <w:color w:val="231F20"/>
          <w:spacing w:val="-4"/>
          <w:w w:val="105"/>
        </w:rPr>
        <w:t> </w:t>
      </w:r>
      <w:r>
        <w:rPr>
          <w:color w:val="231F20"/>
          <w:w w:val="105"/>
        </w:rPr>
        <w:t>cobertura</w:t>
      </w:r>
      <w:r>
        <w:rPr>
          <w:color w:val="231F20"/>
          <w:spacing w:val="-4"/>
          <w:w w:val="105"/>
        </w:rPr>
        <w:t> </w:t>
      </w:r>
      <w:r>
        <w:rPr>
          <w:color w:val="231F20"/>
          <w:w w:val="105"/>
        </w:rPr>
        <w:t>de</w:t>
      </w:r>
      <w:r>
        <w:rPr>
          <w:color w:val="231F20"/>
          <w:spacing w:val="-4"/>
          <w:w w:val="105"/>
        </w:rPr>
        <w:t> </w:t>
      </w:r>
      <w:r>
        <w:rPr>
          <w:color w:val="231F20"/>
          <w:w w:val="105"/>
        </w:rPr>
        <w:t>educación</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nivel</w:t>
      </w:r>
      <w:r>
        <w:rPr>
          <w:color w:val="231F20"/>
          <w:spacing w:val="-4"/>
          <w:w w:val="105"/>
        </w:rPr>
        <w:t> </w:t>
      </w:r>
      <w:r>
        <w:rPr>
          <w:color w:val="231F20"/>
          <w:w w:val="105"/>
        </w:rPr>
        <w:t>preescolar,</w:t>
      </w:r>
      <w:r>
        <w:rPr>
          <w:color w:val="231F20"/>
          <w:spacing w:val="-4"/>
          <w:w w:val="105"/>
        </w:rPr>
        <w:t> </w:t>
      </w:r>
      <w:r>
        <w:rPr>
          <w:color w:val="231F20"/>
          <w:w w:val="105"/>
        </w:rPr>
        <w:t>medio</w:t>
      </w:r>
      <w:r>
        <w:rPr>
          <w:color w:val="231F20"/>
          <w:spacing w:val="-4"/>
          <w:w w:val="105"/>
        </w:rPr>
        <w:t> </w:t>
      </w:r>
      <w:r>
        <w:rPr>
          <w:color w:val="231F20"/>
          <w:w w:val="105"/>
        </w:rPr>
        <w:t>superior</w:t>
      </w:r>
      <w:r>
        <w:rPr>
          <w:color w:val="231F20"/>
          <w:spacing w:val="-4"/>
          <w:w w:val="105"/>
        </w:rPr>
        <w:t> </w:t>
      </w:r>
      <w:r>
        <w:rPr>
          <w:color w:val="231F20"/>
          <w:w w:val="105"/>
        </w:rPr>
        <w:t>y superior es insuficiente, en el primer caso la mayoría de los jardines de niños son pri- vados</w:t>
      </w:r>
      <w:r>
        <w:rPr>
          <w:color w:val="231F20"/>
          <w:spacing w:val="-10"/>
          <w:w w:val="105"/>
        </w:rPr>
        <w:t> </w:t>
      </w:r>
      <w:r>
        <w:rPr>
          <w:color w:val="231F20"/>
          <w:w w:val="105"/>
        </w:rPr>
        <w:t>y</w:t>
      </w:r>
      <w:r>
        <w:rPr>
          <w:color w:val="231F20"/>
          <w:spacing w:val="-10"/>
          <w:w w:val="105"/>
        </w:rPr>
        <w:t> </w:t>
      </w:r>
      <w:r>
        <w:rPr>
          <w:color w:val="231F20"/>
          <w:w w:val="105"/>
        </w:rPr>
        <w:t>en</w:t>
      </w:r>
      <w:r>
        <w:rPr>
          <w:color w:val="231F20"/>
          <w:spacing w:val="-10"/>
          <w:w w:val="105"/>
        </w:rPr>
        <w:t> </w:t>
      </w:r>
      <w:r>
        <w:rPr>
          <w:color w:val="231F20"/>
          <w:w w:val="105"/>
        </w:rPr>
        <w:t>cuanto</w:t>
      </w:r>
      <w:r>
        <w:rPr>
          <w:color w:val="231F20"/>
          <w:spacing w:val="-10"/>
          <w:w w:val="105"/>
        </w:rPr>
        <w:t> </w:t>
      </w:r>
      <w:r>
        <w:rPr>
          <w:color w:val="231F20"/>
          <w:spacing w:val="2"/>
          <w:w w:val="105"/>
        </w:rPr>
        <w:t>al</w:t>
      </w:r>
      <w:r>
        <w:rPr>
          <w:color w:val="231F20"/>
          <w:spacing w:val="-10"/>
          <w:w w:val="105"/>
        </w:rPr>
        <w:t> </w:t>
      </w:r>
      <w:r>
        <w:rPr>
          <w:color w:val="231F20"/>
          <w:w w:val="105"/>
        </w:rPr>
        <w:t>nivel</w:t>
      </w:r>
      <w:r>
        <w:rPr>
          <w:color w:val="231F20"/>
          <w:spacing w:val="-10"/>
          <w:w w:val="105"/>
        </w:rPr>
        <w:t> </w:t>
      </w:r>
      <w:r>
        <w:rPr>
          <w:color w:val="231F20"/>
          <w:w w:val="105"/>
        </w:rPr>
        <w:t>medio</w:t>
      </w:r>
      <w:r>
        <w:rPr>
          <w:color w:val="231F20"/>
          <w:spacing w:val="-10"/>
          <w:w w:val="105"/>
        </w:rPr>
        <w:t> </w:t>
      </w:r>
      <w:r>
        <w:rPr>
          <w:color w:val="231F20"/>
          <w:w w:val="105"/>
        </w:rPr>
        <w:t>superior</w:t>
      </w:r>
      <w:r>
        <w:rPr>
          <w:color w:val="231F20"/>
          <w:spacing w:val="-10"/>
          <w:w w:val="105"/>
        </w:rPr>
        <w:t> </w:t>
      </w:r>
      <w:r>
        <w:rPr>
          <w:color w:val="231F20"/>
          <w:w w:val="105"/>
        </w:rPr>
        <w:t>y</w:t>
      </w:r>
      <w:r>
        <w:rPr>
          <w:color w:val="231F20"/>
          <w:spacing w:val="-10"/>
          <w:w w:val="105"/>
        </w:rPr>
        <w:t> </w:t>
      </w:r>
      <w:r>
        <w:rPr>
          <w:color w:val="231F20"/>
          <w:w w:val="105"/>
        </w:rPr>
        <w:t>superior</w:t>
      </w:r>
      <w:r>
        <w:rPr>
          <w:color w:val="231F20"/>
          <w:spacing w:val="-10"/>
          <w:w w:val="105"/>
        </w:rPr>
        <w:t> </w:t>
      </w:r>
      <w:r>
        <w:rPr>
          <w:color w:val="231F20"/>
          <w:w w:val="105"/>
        </w:rPr>
        <w:t>la</w:t>
      </w:r>
      <w:r>
        <w:rPr>
          <w:color w:val="231F20"/>
          <w:spacing w:val="-10"/>
          <w:w w:val="105"/>
        </w:rPr>
        <w:t> </w:t>
      </w:r>
      <w:r>
        <w:rPr>
          <w:color w:val="231F20"/>
          <w:w w:val="105"/>
        </w:rPr>
        <w:t>mayoría</w:t>
      </w:r>
      <w:r>
        <w:rPr>
          <w:color w:val="231F20"/>
          <w:spacing w:val="-10"/>
          <w:w w:val="105"/>
        </w:rPr>
        <w:t> </w:t>
      </w:r>
      <w:r>
        <w:rPr>
          <w:color w:val="231F20"/>
          <w:w w:val="105"/>
        </w:rPr>
        <w:t>de</w:t>
      </w:r>
      <w:r>
        <w:rPr>
          <w:color w:val="231F20"/>
          <w:spacing w:val="-10"/>
          <w:w w:val="105"/>
        </w:rPr>
        <w:t> </w:t>
      </w:r>
      <w:r>
        <w:rPr>
          <w:color w:val="231F20"/>
          <w:w w:val="105"/>
        </w:rPr>
        <w:t>estudiantes</w:t>
      </w:r>
      <w:r>
        <w:rPr>
          <w:color w:val="231F20"/>
          <w:spacing w:val="-10"/>
          <w:w w:val="105"/>
        </w:rPr>
        <w:t> </w:t>
      </w:r>
      <w:r>
        <w:rPr>
          <w:color w:val="231F20"/>
          <w:w w:val="105"/>
        </w:rPr>
        <w:t>realizan este tipo de estudios fuera del municipio, principalmente en instituciones educativas públicas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Distrito</w:t>
      </w:r>
      <w:r>
        <w:rPr>
          <w:color w:val="231F20"/>
          <w:spacing w:val="-17"/>
          <w:w w:val="105"/>
        </w:rPr>
        <w:t> </w:t>
      </w:r>
      <w:r>
        <w:rPr>
          <w:color w:val="231F20"/>
          <w:w w:val="105"/>
        </w:rPr>
        <w:t>Federal.</w:t>
      </w:r>
    </w:p>
    <w:p>
      <w:pPr>
        <w:pStyle w:val="BodyText"/>
        <w:spacing w:before="1"/>
        <w:rPr>
          <w:sz w:val="26"/>
        </w:rPr>
      </w:pPr>
    </w:p>
    <w:p>
      <w:pPr>
        <w:pStyle w:val="BodyText"/>
        <w:spacing w:line="285" w:lineRule="auto"/>
        <w:ind w:left="110" w:right="107"/>
        <w:jc w:val="both"/>
      </w:pPr>
      <w:r>
        <w:rPr>
          <w:color w:val="231F20"/>
          <w:w w:val="105"/>
        </w:rPr>
        <w:t>Ahora</w:t>
      </w:r>
      <w:r>
        <w:rPr>
          <w:color w:val="231F20"/>
          <w:spacing w:val="-11"/>
          <w:w w:val="105"/>
        </w:rPr>
        <w:t> </w:t>
      </w:r>
      <w:r>
        <w:rPr>
          <w:color w:val="231F20"/>
          <w:w w:val="105"/>
        </w:rPr>
        <w:t>bien,</w:t>
      </w:r>
      <w:r>
        <w:rPr>
          <w:color w:val="231F20"/>
          <w:spacing w:val="-11"/>
          <w:w w:val="105"/>
        </w:rPr>
        <w:t> </w:t>
      </w:r>
      <w:r>
        <w:rPr>
          <w:color w:val="231F20"/>
          <w:w w:val="105"/>
        </w:rPr>
        <w:t>el</w:t>
      </w:r>
      <w:r>
        <w:rPr>
          <w:color w:val="231F20"/>
          <w:spacing w:val="-11"/>
          <w:w w:val="105"/>
        </w:rPr>
        <w:t> </w:t>
      </w:r>
      <w:r>
        <w:rPr>
          <w:color w:val="231F20"/>
          <w:w w:val="105"/>
        </w:rPr>
        <w:t>hecho</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tenga</w:t>
      </w:r>
      <w:r>
        <w:rPr>
          <w:color w:val="231F20"/>
          <w:spacing w:val="-11"/>
          <w:w w:val="105"/>
        </w:rPr>
        <w:t> </w:t>
      </w:r>
      <w:r>
        <w:rPr>
          <w:color w:val="231F20"/>
          <w:w w:val="105"/>
        </w:rPr>
        <w:t>una</w:t>
      </w:r>
      <w:r>
        <w:rPr>
          <w:color w:val="231F20"/>
          <w:spacing w:val="-11"/>
          <w:w w:val="105"/>
        </w:rPr>
        <w:t> </w:t>
      </w:r>
      <w:r>
        <w:rPr>
          <w:color w:val="231F20"/>
          <w:w w:val="105"/>
        </w:rPr>
        <w:t>categoría</w:t>
      </w:r>
      <w:r>
        <w:rPr>
          <w:color w:val="231F20"/>
          <w:spacing w:val="-11"/>
          <w:w w:val="105"/>
        </w:rPr>
        <w:t> </w:t>
      </w:r>
      <w:r>
        <w:rPr>
          <w:color w:val="231F20"/>
          <w:w w:val="105"/>
        </w:rPr>
        <w:t>de</w:t>
      </w:r>
      <w:r>
        <w:rPr>
          <w:color w:val="231F20"/>
          <w:spacing w:val="-11"/>
          <w:w w:val="105"/>
        </w:rPr>
        <w:t> </w:t>
      </w:r>
      <w:r>
        <w:rPr>
          <w:color w:val="231F20"/>
          <w:w w:val="105"/>
        </w:rPr>
        <w:t>muy</w:t>
      </w:r>
      <w:r>
        <w:rPr>
          <w:color w:val="231F20"/>
          <w:spacing w:val="-11"/>
          <w:w w:val="105"/>
        </w:rPr>
        <w:t> </w:t>
      </w:r>
      <w:r>
        <w:rPr>
          <w:color w:val="231F20"/>
          <w:w w:val="105"/>
        </w:rPr>
        <w:t>baja</w:t>
      </w:r>
      <w:r>
        <w:rPr>
          <w:color w:val="231F20"/>
          <w:spacing w:val="-11"/>
          <w:w w:val="105"/>
        </w:rPr>
        <w:t> </w:t>
      </w:r>
      <w:r>
        <w:rPr>
          <w:color w:val="231F20"/>
          <w:w w:val="105"/>
        </w:rPr>
        <w:t>marginación social,</w:t>
      </w:r>
      <w:r>
        <w:rPr>
          <w:color w:val="231F20"/>
          <w:spacing w:val="-11"/>
          <w:w w:val="105"/>
        </w:rPr>
        <w:t> </w:t>
      </w:r>
      <w:r>
        <w:rPr>
          <w:color w:val="231F20"/>
          <w:w w:val="105"/>
        </w:rPr>
        <w:t>no</w:t>
      </w:r>
      <w:r>
        <w:rPr>
          <w:color w:val="231F20"/>
          <w:spacing w:val="-11"/>
          <w:w w:val="105"/>
        </w:rPr>
        <w:t> </w:t>
      </w:r>
      <w:r>
        <w:rPr>
          <w:color w:val="231F20"/>
          <w:w w:val="105"/>
        </w:rPr>
        <w:t>implica</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exista</w:t>
      </w:r>
      <w:r>
        <w:rPr>
          <w:color w:val="231F20"/>
          <w:spacing w:val="-11"/>
          <w:w w:val="105"/>
        </w:rPr>
        <w:t> </w:t>
      </w:r>
      <w:r>
        <w:rPr>
          <w:color w:val="231F20"/>
          <w:w w:val="105"/>
        </w:rPr>
        <w:t>pobreza,</w:t>
      </w:r>
      <w:r>
        <w:rPr>
          <w:color w:val="231F20"/>
          <w:spacing w:val="-11"/>
          <w:w w:val="105"/>
        </w:rPr>
        <w:t> </w:t>
      </w:r>
      <w:r>
        <w:rPr>
          <w:color w:val="231F20"/>
          <w:w w:val="105"/>
        </w:rPr>
        <w:t>desempleo</w:t>
      </w:r>
      <w:r>
        <w:rPr>
          <w:color w:val="231F20"/>
          <w:spacing w:val="-11"/>
          <w:w w:val="105"/>
        </w:rPr>
        <w:t> </w:t>
      </w:r>
      <w:r>
        <w:rPr>
          <w:color w:val="231F20"/>
          <w:w w:val="105"/>
        </w:rPr>
        <w:t>e</w:t>
      </w:r>
      <w:r>
        <w:rPr>
          <w:color w:val="231F20"/>
          <w:spacing w:val="-11"/>
          <w:w w:val="105"/>
        </w:rPr>
        <w:t> </w:t>
      </w:r>
      <w:r>
        <w:rPr>
          <w:color w:val="231F20"/>
          <w:w w:val="105"/>
        </w:rPr>
        <w:t>inseguridad</w:t>
      </w:r>
      <w:r>
        <w:rPr>
          <w:color w:val="231F20"/>
          <w:spacing w:val="-11"/>
          <w:w w:val="105"/>
        </w:rPr>
        <w:t> </w:t>
      </w:r>
      <w:r>
        <w:rPr>
          <w:color w:val="231F20"/>
          <w:w w:val="105"/>
        </w:rPr>
        <w:t>pública.</w:t>
      </w:r>
      <w:r>
        <w:rPr>
          <w:color w:val="231F20"/>
          <w:spacing w:val="-11"/>
          <w:w w:val="105"/>
        </w:rPr>
        <w:t> </w:t>
      </w:r>
      <w:r>
        <w:rPr>
          <w:color w:val="231F20"/>
          <w:w w:val="105"/>
        </w:rPr>
        <w:t>Esto</w:t>
      </w:r>
      <w:r>
        <w:rPr>
          <w:color w:val="231F20"/>
          <w:spacing w:val="-11"/>
          <w:w w:val="105"/>
        </w:rPr>
        <w:t> </w:t>
      </w:r>
      <w:r>
        <w:rPr>
          <w:color w:val="231F20"/>
          <w:w w:val="105"/>
        </w:rPr>
        <w:t>es,</w:t>
      </w:r>
      <w:r>
        <w:rPr>
          <w:color w:val="231F20"/>
          <w:spacing w:val="-11"/>
          <w:w w:val="105"/>
        </w:rPr>
        <w:t> </w:t>
      </w:r>
      <w:r>
        <w:rPr>
          <w:color w:val="231F20"/>
          <w:w w:val="105"/>
        </w:rPr>
        <w:t>por un lado el municipio cuenta con la cobertura casi total de servicios públicos básicos como drenaje, energía eléctrica, agua potable y educación, que impactan de manera directa en una baja marginación; pero por otro lado, </w:t>
      </w:r>
      <w:r>
        <w:rPr>
          <w:color w:val="231F20"/>
          <w:spacing w:val="2"/>
          <w:w w:val="105"/>
        </w:rPr>
        <w:t>al </w:t>
      </w:r>
      <w:r>
        <w:rPr>
          <w:color w:val="231F20"/>
          <w:w w:val="105"/>
        </w:rPr>
        <w:t>registrar un alto porcentaje de población ocupada laborando como empleados y obreros o en actividades informales, trae</w:t>
      </w:r>
      <w:r>
        <w:rPr>
          <w:color w:val="231F20"/>
          <w:spacing w:val="-13"/>
          <w:w w:val="105"/>
        </w:rPr>
        <w:t> </w:t>
      </w:r>
      <w:r>
        <w:rPr>
          <w:color w:val="231F20"/>
          <w:w w:val="105"/>
        </w:rPr>
        <w:t>como</w:t>
      </w:r>
      <w:r>
        <w:rPr>
          <w:color w:val="231F20"/>
          <w:spacing w:val="-13"/>
          <w:w w:val="105"/>
        </w:rPr>
        <w:t> </w:t>
      </w:r>
      <w:r>
        <w:rPr>
          <w:color w:val="231F20"/>
          <w:w w:val="105"/>
        </w:rPr>
        <w:t>consecuencia</w:t>
      </w:r>
      <w:r>
        <w:rPr>
          <w:color w:val="231F20"/>
          <w:spacing w:val="-13"/>
          <w:w w:val="105"/>
        </w:rPr>
        <w:t> </w:t>
      </w:r>
      <w:r>
        <w:rPr>
          <w:color w:val="231F20"/>
          <w:w w:val="105"/>
        </w:rPr>
        <w:t>que</w:t>
      </w:r>
      <w:r>
        <w:rPr>
          <w:color w:val="231F20"/>
          <w:spacing w:val="-13"/>
          <w:w w:val="105"/>
        </w:rPr>
        <w:t> </w:t>
      </w:r>
      <w:r>
        <w:rPr>
          <w:color w:val="231F20"/>
          <w:w w:val="105"/>
        </w:rPr>
        <w:t>un</w:t>
      </w:r>
      <w:r>
        <w:rPr>
          <w:color w:val="231F20"/>
          <w:spacing w:val="-13"/>
          <w:w w:val="105"/>
        </w:rPr>
        <w:t> </w:t>
      </w:r>
      <w:r>
        <w:rPr>
          <w:color w:val="231F20"/>
          <w:w w:val="105"/>
        </w:rPr>
        <w:t>número</w:t>
      </w:r>
      <w:r>
        <w:rPr>
          <w:color w:val="231F20"/>
          <w:spacing w:val="-13"/>
          <w:w w:val="105"/>
        </w:rPr>
        <w:t> </w:t>
      </w:r>
      <w:r>
        <w:rPr>
          <w:color w:val="231F20"/>
          <w:w w:val="105"/>
        </w:rPr>
        <w:t>considerable</w:t>
      </w:r>
      <w:r>
        <w:rPr>
          <w:color w:val="231F20"/>
          <w:spacing w:val="-13"/>
          <w:w w:val="105"/>
        </w:rPr>
        <w:t> </w:t>
      </w:r>
      <w:r>
        <w:rPr>
          <w:color w:val="231F20"/>
          <w:w w:val="105"/>
        </w:rPr>
        <w:t>de</w:t>
      </w:r>
      <w:r>
        <w:rPr>
          <w:color w:val="231F20"/>
          <w:spacing w:val="-13"/>
          <w:w w:val="105"/>
        </w:rPr>
        <w:t> </w:t>
      </w:r>
      <w:r>
        <w:rPr>
          <w:color w:val="231F20"/>
          <w:w w:val="105"/>
        </w:rPr>
        <w:t>habitantes</w:t>
      </w:r>
      <w:r>
        <w:rPr>
          <w:color w:val="231F20"/>
          <w:spacing w:val="-13"/>
          <w:w w:val="105"/>
        </w:rPr>
        <w:t> </w:t>
      </w:r>
      <w:r>
        <w:rPr>
          <w:color w:val="231F20"/>
          <w:w w:val="105"/>
        </w:rPr>
        <w:t>perciban</w:t>
      </w:r>
      <w:r>
        <w:rPr>
          <w:color w:val="231F20"/>
          <w:spacing w:val="-13"/>
          <w:w w:val="105"/>
        </w:rPr>
        <w:t> </w:t>
      </w:r>
      <w:r>
        <w:rPr>
          <w:color w:val="231F20"/>
          <w:w w:val="105"/>
        </w:rPr>
        <w:t>bajos</w:t>
      </w:r>
      <w:r>
        <w:rPr>
          <w:color w:val="231F20"/>
          <w:spacing w:val="-13"/>
          <w:w w:val="105"/>
        </w:rPr>
        <w:t> </w:t>
      </w:r>
      <w:r>
        <w:rPr>
          <w:color w:val="231F20"/>
          <w:w w:val="105"/>
        </w:rPr>
        <w:t>sala- rios que limitan su poder adquisitivo para acceder a una vivienda digna, a una canasta alimenticia</w:t>
      </w:r>
      <w:r>
        <w:rPr>
          <w:color w:val="231F20"/>
          <w:spacing w:val="-21"/>
          <w:w w:val="105"/>
        </w:rPr>
        <w:t> </w:t>
      </w:r>
      <w:r>
        <w:rPr>
          <w:color w:val="231F20"/>
          <w:w w:val="105"/>
        </w:rPr>
        <w:t>básica</w:t>
      </w:r>
      <w:r>
        <w:rPr>
          <w:color w:val="231F20"/>
          <w:spacing w:val="-21"/>
          <w:w w:val="105"/>
        </w:rPr>
        <w:t> </w:t>
      </w:r>
      <w:r>
        <w:rPr>
          <w:color w:val="231F20"/>
          <w:w w:val="105"/>
        </w:rPr>
        <w:t>y</w:t>
      </w:r>
      <w:r>
        <w:rPr>
          <w:color w:val="231F20"/>
          <w:spacing w:val="-21"/>
          <w:w w:val="105"/>
        </w:rPr>
        <w:t> </w:t>
      </w:r>
      <w:r>
        <w:rPr>
          <w:color w:val="231F20"/>
          <w:w w:val="105"/>
        </w:rPr>
        <w:t>a</w:t>
      </w:r>
      <w:r>
        <w:rPr>
          <w:color w:val="231F20"/>
          <w:spacing w:val="-21"/>
          <w:w w:val="105"/>
        </w:rPr>
        <w:t> </w:t>
      </w:r>
      <w:r>
        <w:rPr>
          <w:color w:val="231F20"/>
          <w:w w:val="105"/>
        </w:rPr>
        <w:t>espacios</w:t>
      </w:r>
      <w:r>
        <w:rPr>
          <w:color w:val="231F20"/>
          <w:spacing w:val="-21"/>
          <w:w w:val="105"/>
        </w:rPr>
        <w:t> </w:t>
      </w:r>
      <w:r>
        <w:rPr>
          <w:color w:val="231F20"/>
          <w:w w:val="105"/>
        </w:rPr>
        <w:t>y</w:t>
      </w:r>
      <w:r>
        <w:rPr>
          <w:color w:val="231F20"/>
          <w:spacing w:val="-21"/>
          <w:w w:val="105"/>
        </w:rPr>
        <w:t> </w:t>
      </w:r>
      <w:r>
        <w:rPr>
          <w:color w:val="231F20"/>
          <w:w w:val="105"/>
        </w:rPr>
        <w:t>eventos</w:t>
      </w:r>
      <w:r>
        <w:rPr>
          <w:color w:val="231F20"/>
          <w:spacing w:val="-21"/>
          <w:w w:val="105"/>
        </w:rPr>
        <w:t> </w:t>
      </w:r>
      <w:r>
        <w:rPr>
          <w:color w:val="231F20"/>
          <w:w w:val="105"/>
        </w:rPr>
        <w:t>de</w:t>
      </w:r>
      <w:r>
        <w:rPr>
          <w:color w:val="231F20"/>
          <w:spacing w:val="-21"/>
          <w:w w:val="105"/>
        </w:rPr>
        <w:t> </w:t>
      </w:r>
      <w:r>
        <w:rPr>
          <w:color w:val="231F20"/>
          <w:w w:val="105"/>
        </w:rPr>
        <w:t>esparcimiento.</w:t>
      </w:r>
    </w:p>
    <w:p>
      <w:pPr>
        <w:pStyle w:val="BodyText"/>
        <w:spacing w:before="1"/>
        <w:rPr>
          <w:sz w:val="26"/>
        </w:rPr>
      </w:pPr>
    </w:p>
    <w:p>
      <w:pPr>
        <w:pStyle w:val="BodyText"/>
        <w:spacing w:line="285" w:lineRule="auto"/>
        <w:ind w:left="110" w:right="108"/>
        <w:jc w:val="both"/>
      </w:pPr>
      <w:r>
        <w:rPr>
          <w:color w:val="231F20"/>
        </w:rPr>
        <w:t>Los rezagos municipales en materia productiva, de salarios, desempleo y actividades informales han impactado de manera significativa en elevados índices de inseguridad pública, convirtiéndose este tema en uno de los retos más importantes para las adminis- traciones perredistas en Nezahualcóyotl. En el Plan Municipal de Desarrollo </w:t>
      </w:r>
      <w:r>
        <w:rPr>
          <w:color w:val="231F20"/>
          <w:spacing w:val="2"/>
        </w:rPr>
        <w:t>2006-2009 </w:t>
      </w:r>
      <w:r>
        <w:rPr>
          <w:color w:val="231F20"/>
        </w:rPr>
        <w:t>se</w:t>
      </w:r>
      <w:r>
        <w:rPr>
          <w:color w:val="231F20"/>
          <w:spacing w:val="39"/>
        </w:rPr>
        <w:t> </w:t>
      </w:r>
      <w:r>
        <w:rPr>
          <w:color w:val="231F20"/>
        </w:rPr>
        <w:t>apuntaba:</w:t>
      </w:r>
    </w:p>
    <w:p>
      <w:pPr>
        <w:pStyle w:val="BodyText"/>
        <w:spacing w:line="285" w:lineRule="auto" w:before="1"/>
        <w:ind w:left="677" w:right="108"/>
        <w:jc w:val="both"/>
      </w:pPr>
      <w:r>
        <w:rPr>
          <w:color w:val="231F20"/>
          <w:w w:val="105"/>
        </w:rPr>
        <w:t>La inseguridad pública en gran medida es fruto de condiciones socioeconómi- cas cuyo manejo están por encima de las posibilidades jurídicas y materiales de un ayuntamiento. No obstante, el gobierno municipal de Nezahualcóyotl tiene la</w:t>
      </w:r>
      <w:r>
        <w:rPr>
          <w:color w:val="231F20"/>
          <w:spacing w:val="-10"/>
          <w:w w:val="105"/>
        </w:rPr>
        <w:t> </w:t>
      </w:r>
      <w:r>
        <w:rPr>
          <w:color w:val="231F20"/>
          <w:w w:val="105"/>
        </w:rPr>
        <w:t>obligación</w:t>
      </w:r>
      <w:r>
        <w:rPr>
          <w:color w:val="231F20"/>
          <w:spacing w:val="-10"/>
          <w:w w:val="105"/>
        </w:rPr>
        <w:t> </w:t>
      </w:r>
      <w:r>
        <w:rPr>
          <w:color w:val="231F20"/>
          <w:w w:val="105"/>
        </w:rPr>
        <w:t>indeclinable</w:t>
      </w:r>
      <w:r>
        <w:rPr>
          <w:color w:val="231F20"/>
          <w:spacing w:val="-10"/>
          <w:w w:val="105"/>
        </w:rPr>
        <w:t> </w:t>
      </w:r>
      <w:r>
        <w:rPr>
          <w:color w:val="231F20"/>
          <w:w w:val="105"/>
        </w:rPr>
        <w:t>de</w:t>
      </w:r>
      <w:r>
        <w:rPr>
          <w:color w:val="231F20"/>
          <w:spacing w:val="-10"/>
          <w:w w:val="105"/>
        </w:rPr>
        <w:t> </w:t>
      </w:r>
      <w:r>
        <w:rPr>
          <w:color w:val="231F20"/>
          <w:w w:val="105"/>
        </w:rPr>
        <w:t>mejorar</w:t>
      </w:r>
      <w:r>
        <w:rPr>
          <w:color w:val="231F20"/>
          <w:spacing w:val="-10"/>
          <w:w w:val="105"/>
        </w:rPr>
        <w:t> </w:t>
      </w:r>
      <w:r>
        <w:rPr>
          <w:color w:val="231F20"/>
          <w:w w:val="105"/>
        </w:rPr>
        <w:t>la</w:t>
      </w:r>
      <w:r>
        <w:rPr>
          <w:color w:val="231F20"/>
          <w:spacing w:val="-10"/>
          <w:w w:val="105"/>
        </w:rPr>
        <w:t> </w:t>
      </w:r>
      <w:r>
        <w:rPr>
          <w:color w:val="231F20"/>
          <w:w w:val="105"/>
        </w:rPr>
        <w:t>cobertura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calidad</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servicios</w:t>
      </w:r>
      <w:r>
        <w:rPr>
          <w:color w:val="231F20"/>
          <w:spacing w:val="-10"/>
          <w:w w:val="105"/>
        </w:rPr>
        <w:t> </w:t>
      </w:r>
      <w:r>
        <w:rPr>
          <w:color w:val="231F20"/>
          <w:w w:val="105"/>
        </w:rPr>
        <w:t>de seguridad</w:t>
      </w:r>
      <w:r>
        <w:rPr>
          <w:color w:val="231F20"/>
          <w:spacing w:val="-14"/>
          <w:w w:val="105"/>
        </w:rPr>
        <w:t> </w:t>
      </w:r>
      <w:r>
        <w:rPr>
          <w:color w:val="231F20"/>
          <w:w w:val="105"/>
        </w:rPr>
        <w:t>pública</w:t>
      </w:r>
      <w:r>
        <w:rPr>
          <w:color w:val="231F20"/>
          <w:spacing w:val="-14"/>
          <w:w w:val="105"/>
        </w:rPr>
        <w:t> </w:t>
      </w:r>
      <w:r>
        <w:rPr>
          <w:color w:val="231F20"/>
          <w:w w:val="105"/>
        </w:rPr>
        <w:t>que</w:t>
      </w:r>
      <w:r>
        <w:rPr>
          <w:color w:val="231F20"/>
          <w:spacing w:val="-14"/>
          <w:w w:val="105"/>
        </w:rPr>
        <w:t> </w:t>
      </w:r>
      <w:r>
        <w:rPr>
          <w:color w:val="231F20"/>
          <w:w w:val="105"/>
        </w:rPr>
        <w:t>ha</w:t>
      </w:r>
      <w:r>
        <w:rPr>
          <w:color w:val="231F20"/>
          <w:spacing w:val="-14"/>
          <w:w w:val="105"/>
        </w:rPr>
        <w:t> </w:t>
      </w:r>
      <w:r>
        <w:rPr>
          <w:color w:val="231F20"/>
          <w:w w:val="105"/>
        </w:rPr>
        <w:t>venido</w:t>
      </w:r>
      <w:r>
        <w:rPr>
          <w:color w:val="231F20"/>
          <w:spacing w:val="-14"/>
          <w:w w:val="105"/>
        </w:rPr>
        <w:t> </w:t>
      </w:r>
      <w:r>
        <w:rPr>
          <w:color w:val="231F20"/>
          <w:w w:val="105"/>
        </w:rPr>
        <w:t>brindando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población.</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3"/>
          <w:w w:val="105"/>
        </w:rPr>
        <w:t> </w:t>
      </w:r>
      <w:r>
        <w:rPr>
          <w:color w:val="231F20"/>
          <w:w w:val="105"/>
        </w:rPr>
        <w:t>Programa</w:t>
      </w:r>
      <w:r>
        <w:rPr>
          <w:color w:val="231F20"/>
          <w:spacing w:val="-13"/>
          <w:w w:val="105"/>
        </w:rPr>
        <w:t> </w:t>
      </w:r>
      <w:r>
        <w:rPr>
          <w:color w:val="231F20"/>
          <w:w w:val="105"/>
        </w:rPr>
        <w:t>Pilar</w:t>
      </w:r>
      <w:r>
        <w:rPr>
          <w:color w:val="231F20"/>
          <w:spacing w:val="-13"/>
          <w:w w:val="105"/>
        </w:rPr>
        <w:t> </w:t>
      </w:r>
      <w:r>
        <w:rPr>
          <w:color w:val="231F20"/>
          <w:w w:val="105"/>
        </w:rPr>
        <w:t>de</w:t>
      </w:r>
      <w:r>
        <w:rPr>
          <w:color w:val="231F20"/>
          <w:spacing w:val="-13"/>
          <w:w w:val="105"/>
        </w:rPr>
        <w:t> </w:t>
      </w:r>
      <w:r>
        <w:rPr>
          <w:color w:val="231F20"/>
          <w:w w:val="105"/>
        </w:rPr>
        <w:t>Seguridad</w:t>
      </w:r>
      <w:r>
        <w:rPr>
          <w:color w:val="231F20"/>
          <w:spacing w:val="-13"/>
          <w:w w:val="105"/>
        </w:rPr>
        <w:t> </w:t>
      </w:r>
      <w:r>
        <w:rPr>
          <w:color w:val="231F20"/>
          <w:w w:val="105"/>
        </w:rPr>
        <w:t>Pública</w:t>
      </w:r>
      <w:r>
        <w:rPr>
          <w:color w:val="231F20"/>
          <w:spacing w:val="-13"/>
          <w:w w:val="105"/>
        </w:rPr>
        <w:t> </w:t>
      </w:r>
      <w:r>
        <w:rPr>
          <w:color w:val="231F20"/>
          <w:w w:val="105"/>
        </w:rPr>
        <w:t>Municipal</w:t>
      </w:r>
      <w:r>
        <w:rPr>
          <w:color w:val="231F20"/>
          <w:spacing w:val="-13"/>
          <w:w w:val="105"/>
        </w:rPr>
        <w:t> </w:t>
      </w:r>
      <w:r>
        <w:rPr>
          <w:color w:val="231F20"/>
          <w:w w:val="105"/>
        </w:rPr>
        <w:t>(2006-2009)</w:t>
      </w:r>
      <w:r>
        <w:rPr>
          <w:color w:val="231F20"/>
          <w:spacing w:val="-13"/>
          <w:w w:val="105"/>
        </w:rPr>
        <w:t> </w:t>
      </w:r>
      <w:r>
        <w:rPr>
          <w:color w:val="231F20"/>
          <w:w w:val="105"/>
        </w:rPr>
        <w:t>se</w:t>
      </w:r>
      <w:r>
        <w:rPr>
          <w:color w:val="231F20"/>
          <w:spacing w:val="-13"/>
          <w:w w:val="105"/>
        </w:rPr>
        <w:t> </w:t>
      </w:r>
      <w:r>
        <w:rPr>
          <w:color w:val="231F20"/>
          <w:spacing w:val="-3"/>
          <w:w w:val="105"/>
        </w:rPr>
        <w:t>propone</w:t>
      </w:r>
      <w:r>
        <w:rPr>
          <w:color w:val="231F20"/>
          <w:spacing w:val="-13"/>
          <w:w w:val="105"/>
        </w:rPr>
        <w:t> </w:t>
      </w:r>
      <w:r>
        <w:rPr>
          <w:color w:val="231F20"/>
          <w:w w:val="105"/>
        </w:rPr>
        <w:t>reducir</w:t>
      </w:r>
      <w:r>
        <w:rPr>
          <w:color w:val="231F20"/>
          <w:spacing w:val="-13"/>
          <w:w w:val="105"/>
        </w:rPr>
        <w:t> </w:t>
      </w:r>
      <w:r>
        <w:rPr>
          <w:color w:val="231F20"/>
          <w:spacing w:val="-3"/>
          <w:w w:val="105"/>
        </w:rPr>
        <w:t>sig- </w:t>
      </w:r>
      <w:r>
        <w:rPr>
          <w:color w:val="231F20"/>
          <w:w w:val="105"/>
        </w:rPr>
        <w:t>nificativamente</w:t>
      </w:r>
      <w:r>
        <w:rPr>
          <w:color w:val="231F20"/>
          <w:spacing w:val="-23"/>
          <w:w w:val="105"/>
        </w:rPr>
        <w:t> </w:t>
      </w:r>
      <w:r>
        <w:rPr>
          <w:color w:val="231F20"/>
          <w:w w:val="105"/>
        </w:rPr>
        <w:t>la</w:t>
      </w:r>
      <w:r>
        <w:rPr>
          <w:color w:val="231F20"/>
          <w:spacing w:val="-23"/>
          <w:w w:val="105"/>
        </w:rPr>
        <w:t> </w:t>
      </w:r>
      <w:r>
        <w:rPr>
          <w:color w:val="231F20"/>
          <w:w w:val="105"/>
        </w:rPr>
        <w:t>incidencia</w:t>
      </w:r>
      <w:r>
        <w:rPr>
          <w:color w:val="231F20"/>
          <w:spacing w:val="-23"/>
          <w:w w:val="105"/>
        </w:rPr>
        <w:t> </w:t>
      </w:r>
      <w:r>
        <w:rPr>
          <w:color w:val="231F20"/>
          <w:w w:val="105"/>
        </w:rPr>
        <w:t>delictiva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municipio,</w:t>
      </w:r>
      <w:r>
        <w:rPr>
          <w:color w:val="231F20"/>
          <w:spacing w:val="-23"/>
          <w:w w:val="105"/>
        </w:rPr>
        <w:t> </w:t>
      </w:r>
      <w:r>
        <w:rPr>
          <w:color w:val="231F20"/>
          <w:w w:val="105"/>
        </w:rPr>
        <w:t>hacer</w:t>
      </w:r>
      <w:r>
        <w:rPr>
          <w:color w:val="231F20"/>
          <w:spacing w:val="-23"/>
          <w:w w:val="105"/>
        </w:rPr>
        <w:t> </w:t>
      </w:r>
      <w:r>
        <w:rPr>
          <w:color w:val="231F20"/>
          <w:w w:val="105"/>
        </w:rPr>
        <w:t>de</w:t>
      </w:r>
      <w:r>
        <w:rPr>
          <w:color w:val="231F20"/>
          <w:spacing w:val="-23"/>
          <w:w w:val="105"/>
        </w:rPr>
        <w:t> </w:t>
      </w:r>
      <w:r>
        <w:rPr>
          <w:color w:val="231F20"/>
          <w:w w:val="105"/>
        </w:rPr>
        <w:t>cada</w:t>
      </w:r>
      <w:r>
        <w:rPr>
          <w:color w:val="231F20"/>
          <w:spacing w:val="-23"/>
          <w:w w:val="105"/>
        </w:rPr>
        <w:t> </w:t>
      </w:r>
      <w:r>
        <w:rPr>
          <w:color w:val="231F20"/>
          <w:w w:val="105"/>
        </w:rPr>
        <w:t>espacio</w:t>
      </w:r>
      <w:r>
        <w:rPr>
          <w:color w:val="231F20"/>
          <w:spacing w:val="-23"/>
          <w:w w:val="105"/>
        </w:rPr>
        <w:t> </w:t>
      </w:r>
      <w:r>
        <w:rPr>
          <w:color w:val="231F20"/>
          <w:w w:val="105"/>
        </w:rPr>
        <w:t>público</w:t>
      </w:r>
      <w:r>
        <w:rPr>
          <w:color w:val="231F20"/>
          <w:spacing w:val="-23"/>
          <w:w w:val="105"/>
        </w:rPr>
        <w:t> </w:t>
      </w:r>
      <w:r>
        <w:rPr>
          <w:color w:val="231F20"/>
          <w:w w:val="105"/>
        </w:rPr>
        <w:t>un lugar</w:t>
      </w:r>
      <w:r>
        <w:rPr>
          <w:color w:val="231F20"/>
          <w:spacing w:val="-15"/>
          <w:w w:val="105"/>
        </w:rPr>
        <w:t> </w:t>
      </w:r>
      <w:r>
        <w:rPr>
          <w:color w:val="231F20"/>
          <w:w w:val="105"/>
        </w:rPr>
        <w:t>seguro</w:t>
      </w:r>
      <w:r>
        <w:rPr>
          <w:color w:val="231F20"/>
          <w:spacing w:val="-15"/>
          <w:w w:val="105"/>
        </w:rPr>
        <w:t> </w:t>
      </w:r>
      <w:r>
        <w:rPr>
          <w:color w:val="231F20"/>
          <w:w w:val="105"/>
        </w:rPr>
        <w:t>y</w:t>
      </w:r>
      <w:r>
        <w:rPr>
          <w:color w:val="231F20"/>
          <w:spacing w:val="-15"/>
          <w:w w:val="105"/>
        </w:rPr>
        <w:t> </w:t>
      </w:r>
      <w:r>
        <w:rPr>
          <w:color w:val="231F20"/>
          <w:w w:val="105"/>
        </w:rPr>
        <w:t>ordenado</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convivencia</w:t>
      </w:r>
      <w:r>
        <w:rPr>
          <w:color w:val="231F20"/>
          <w:spacing w:val="-15"/>
          <w:w w:val="105"/>
        </w:rPr>
        <w:t> </w:t>
      </w:r>
      <w:r>
        <w:rPr>
          <w:color w:val="231F20"/>
          <w:w w:val="105"/>
        </w:rPr>
        <w:t>social,</w:t>
      </w:r>
      <w:r>
        <w:rPr>
          <w:color w:val="231F20"/>
          <w:spacing w:val="-15"/>
          <w:w w:val="105"/>
        </w:rPr>
        <w:t> </w:t>
      </w:r>
      <w:r>
        <w:rPr>
          <w:color w:val="231F20"/>
          <w:w w:val="105"/>
        </w:rPr>
        <w:t>depurar</w:t>
      </w:r>
      <w:r>
        <w:rPr>
          <w:color w:val="231F20"/>
          <w:spacing w:val="-15"/>
          <w:w w:val="105"/>
        </w:rPr>
        <w:t> </w:t>
      </w:r>
      <w:r>
        <w:rPr>
          <w:color w:val="231F20"/>
          <w:w w:val="105"/>
        </w:rPr>
        <w:t>y</w:t>
      </w:r>
      <w:r>
        <w:rPr>
          <w:color w:val="231F20"/>
          <w:spacing w:val="-15"/>
          <w:w w:val="105"/>
        </w:rPr>
        <w:t> </w:t>
      </w:r>
      <w:r>
        <w:rPr>
          <w:color w:val="231F20"/>
          <w:w w:val="105"/>
        </w:rPr>
        <w:t>profesionalizar</w:t>
      </w:r>
      <w:r>
        <w:rPr>
          <w:color w:val="231F20"/>
          <w:spacing w:val="-15"/>
          <w:w w:val="105"/>
        </w:rPr>
        <w:t> </w:t>
      </w:r>
      <w:r>
        <w:rPr>
          <w:color w:val="231F20"/>
          <w:w w:val="105"/>
        </w:rPr>
        <w:t>el</w:t>
      </w:r>
      <w:r>
        <w:rPr>
          <w:color w:val="231F20"/>
          <w:spacing w:val="-15"/>
          <w:w w:val="105"/>
        </w:rPr>
        <w:t> </w:t>
      </w:r>
      <w:r>
        <w:rPr>
          <w:color w:val="231F20"/>
          <w:w w:val="105"/>
        </w:rPr>
        <w:t>Cuerpo Policíaco</w:t>
      </w:r>
      <w:r>
        <w:rPr>
          <w:color w:val="231F20"/>
          <w:spacing w:val="-6"/>
          <w:w w:val="105"/>
        </w:rPr>
        <w:t> </w:t>
      </w:r>
      <w:r>
        <w:rPr>
          <w:color w:val="231F20"/>
          <w:w w:val="105"/>
        </w:rPr>
        <w:t>Municipal</w:t>
      </w:r>
      <w:r>
        <w:rPr>
          <w:color w:val="231F20"/>
          <w:spacing w:val="-6"/>
          <w:w w:val="105"/>
        </w:rPr>
        <w:t> </w:t>
      </w:r>
      <w:r>
        <w:rPr>
          <w:color w:val="231F20"/>
          <w:w w:val="105"/>
        </w:rPr>
        <w:t>y</w:t>
      </w:r>
      <w:r>
        <w:rPr>
          <w:color w:val="231F20"/>
          <w:spacing w:val="-6"/>
          <w:w w:val="105"/>
        </w:rPr>
        <w:t> </w:t>
      </w:r>
      <w:r>
        <w:rPr>
          <w:color w:val="231F20"/>
          <w:spacing w:val="-3"/>
          <w:w w:val="105"/>
        </w:rPr>
        <w:t>promover</w:t>
      </w:r>
      <w:r>
        <w:rPr>
          <w:color w:val="231F20"/>
          <w:spacing w:val="-6"/>
          <w:w w:val="105"/>
        </w:rPr>
        <w:t> </w:t>
      </w:r>
      <w:r>
        <w:rPr>
          <w:color w:val="231F20"/>
          <w:w w:val="105"/>
        </w:rPr>
        <w:t>entre</w:t>
      </w:r>
      <w:r>
        <w:rPr>
          <w:color w:val="231F20"/>
          <w:spacing w:val="-6"/>
          <w:w w:val="105"/>
        </w:rPr>
        <w:t> </w:t>
      </w:r>
      <w:r>
        <w:rPr>
          <w:color w:val="231F20"/>
          <w:w w:val="105"/>
        </w:rPr>
        <w:t>la</w:t>
      </w:r>
      <w:r>
        <w:rPr>
          <w:color w:val="231F20"/>
          <w:spacing w:val="-6"/>
          <w:w w:val="105"/>
        </w:rPr>
        <w:t> </w:t>
      </w:r>
      <w:r>
        <w:rPr>
          <w:color w:val="231F20"/>
          <w:w w:val="105"/>
        </w:rPr>
        <w:t>población</w:t>
      </w:r>
      <w:r>
        <w:rPr>
          <w:color w:val="231F20"/>
          <w:spacing w:val="-6"/>
          <w:w w:val="105"/>
        </w:rPr>
        <w:t> </w:t>
      </w:r>
      <w:r>
        <w:rPr>
          <w:color w:val="231F20"/>
          <w:w w:val="105"/>
        </w:rPr>
        <w:t>una</w:t>
      </w:r>
      <w:r>
        <w:rPr>
          <w:color w:val="231F20"/>
          <w:spacing w:val="-6"/>
          <w:w w:val="105"/>
        </w:rPr>
        <w:t> </w:t>
      </w:r>
      <w:r>
        <w:rPr>
          <w:color w:val="231F20"/>
          <w:w w:val="105"/>
        </w:rPr>
        <w:t>cultura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seguridad</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spacing w:val="-4"/>
          <w:w w:val="105"/>
        </w:rPr>
        <w:t>au-</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toprotección</w:t>
      </w:r>
      <w:r>
        <w:rPr>
          <w:color w:val="231F20"/>
          <w:spacing w:val="-8"/>
          <w:w w:val="105"/>
        </w:rPr>
        <w:t> </w:t>
      </w:r>
      <w:r>
        <w:rPr>
          <w:color w:val="231F20"/>
          <w:w w:val="105"/>
        </w:rPr>
        <w:t>que</w:t>
      </w:r>
      <w:r>
        <w:rPr>
          <w:color w:val="231F20"/>
          <w:spacing w:val="-8"/>
          <w:w w:val="105"/>
        </w:rPr>
        <w:t> </w:t>
      </w:r>
      <w:r>
        <w:rPr>
          <w:color w:val="231F20"/>
          <w:w w:val="105"/>
        </w:rPr>
        <w:t>permita</w:t>
      </w:r>
      <w:r>
        <w:rPr>
          <w:color w:val="231F20"/>
          <w:spacing w:val="-8"/>
          <w:w w:val="105"/>
        </w:rPr>
        <w:t> </w:t>
      </w:r>
      <w:r>
        <w:rPr>
          <w:color w:val="231F20"/>
          <w:w w:val="105"/>
        </w:rPr>
        <w:t>la</w:t>
      </w:r>
      <w:r>
        <w:rPr>
          <w:color w:val="231F20"/>
          <w:spacing w:val="-8"/>
          <w:w w:val="105"/>
        </w:rPr>
        <w:t> </w:t>
      </w:r>
      <w:r>
        <w:rPr>
          <w:color w:val="231F20"/>
          <w:w w:val="105"/>
        </w:rPr>
        <w:t>participación</w:t>
      </w:r>
      <w:r>
        <w:rPr>
          <w:color w:val="231F20"/>
          <w:spacing w:val="-8"/>
          <w:w w:val="105"/>
        </w:rPr>
        <w:t> </w:t>
      </w:r>
      <w:r>
        <w:rPr>
          <w:color w:val="231F20"/>
          <w:w w:val="105"/>
        </w:rPr>
        <w:t>efectiva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ciudadanos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combate</w:t>
      </w:r>
      <w:r>
        <w:rPr>
          <w:color w:val="231F20"/>
          <w:spacing w:val="-8"/>
          <w:w w:val="105"/>
        </w:rPr>
        <w:t> </w:t>
      </w:r>
      <w:r>
        <w:rPr>
          <w:color w:val="231F20"/>
          <w:w w:val="105"/>
        </w:rPr>
        <w:t>a</w:t>
      </w:r>
      <w:r>
        <w:rPr>
          <w:color w:val="231F20"/>
          <w:spacing w:val="-8"/>
          <w:w w:val="105"/>
        </w:rPr>
        <w:t> </w:t>
      </w:r>
      <w:r>
        <w:rPr>
          <w:color w:val="231F20"/>
          <w:w w:val="105"/>
        </w:rPr>
        <w:t>la inseguridad y la consolidación de los avances que en esa materia se vayan alcanzando </w:t>
      </w:r>
      <w:r>
        <w:rPr>
          <w:color w:val="231F20"/>
          <w:spacing w:val="-3"/>
        </w:rPr>
        <w:t>(PDM,</w:t>
      </w:r>
      <w:r>
        <w:rPr>
          <w:color w:val="231F20"/>
          <w:spacing w:val="1"/>
        </w:rPr>
        <w:t> </w:t>
      </w:r>
      <w:r>
        <w:rPr>
          <w:color w:val="231F20"/>
        </w:rPr>
        <w:t>2006-2009:69).</w:t>
      </w:r>
    </w:p>
    <w:p>
      <w:pPr>
        <w:pStyle w:val="BodyText"/>
        <w:spacing w:before="1"/>
        <w:rPr>
          <w:sz w:val="26"/>
        </w:rPr>
      </w:pPr>
    </w:p>
    <w:p>
      <w:pPr>
        <w:pStyle w:val="BodyText"/>
        <w:spacing w:line="285" w:lineRule="auto"/>
        <w:ind w:left="110" w:right="107"/>
        <w:jc w:val="both"/>
      </w:pPr>
      <w:r>
        <w:rPr>
          <w:color w:val="231F20"/>
          <w:w w:val="105"/>
        </w:rPr>
        <w:t>El</w:t>
      </w:r>
      <w:r>
        <w:rPr>
          <w:color w:val="231F20"/>
          <w:spacing w:val="-6"/>
          <w:w w:val="105"/>
        </w:rPr>
        <w:t> </w:t>
      </w:r>
      <w:r>
        <w:rPr>
          <w:color w:val="231F20"/>
          <w:w w:val="105"/>
        </w:rPr>
        <w:t>problema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inseguridad</w:t>
      </w:r>
      <w:r>
        <w:rPr>
          <w:color w:val="231F20"/>
          <w:spacing w:val="-6"/>
          <w:w w:val="105"/>
        </w:rPr>
        <w:t> </w:t>
      </w:r>
      <w:r>
        <w:rPr>
          <w:color w:val="231F20"/>
          <w:w w:val="105"/>
        </w:rPr>
        <w:t>pública</w:t>
      </w:r>
      <w:r>
        <w:rPr>
          <w:color w:val="231F20"/>
          <w:spacing w:val="-6"/>
          <w:w w:val="105"/>
        </w:rPr>
        <w:t> </w:t>
      </w:r>
      <w:r>
        <w:rPr>
          <w:color w:val="231F20"/>
          <w:w w:val="105"/>
        </w:rPr>
        <w:t>en</w:t>
      </w:r>
      <w:r>
        <w:rPr>
          <w:color w:val="231F20"/>
          <w:spacing w:val="-6"/>
          <w:w w:val="105"/>
        </w:rPr>
        <w:t> </w:t>
      </w:r>
      <w:r>
        <w:rPr>
          <w:color w:val="231F20"/>
          <w:w w:val="105"/>
        </w:rPr>
        <w:t>Nezahualcóyotl</w:t>
      </w:r>
      <w:r>
        <w:rPr>
          <w:color w:val="231F20"/>
          <w:spacing w:val="-6"/>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spacing w:val="-2"/>
          <w:w w:val="105"/>
        </w:rPr>
        <w:t>nuevo,</w:t>
      </w:r>
      <w:r>
        <w:rPr>
          <w:color w:val="231F20"/>
          <w:spacing w:val="-6"/>
          <w:w w:val="105"/>
        </w:rPr>
        <w:t> </w:t>
      </w:r>
      <w:r>
        <w:rPr>
          <w:color w:val="231F20"/>
          <w:w w:val="105"/>
        </w:rPr>
        <w:t>de</w:t>
      </w:r>
      <w:r>
        <w:rPr>
          <w:color w:val="231F20"/>
          <w:spacing w:val="-6"/>
          <w:w w:val="105"/>
        </w:rPr>
        <w:t> </w:t>
      </w:r>
      <w:r>
        <w:rPr>
          <w:color w:val="231F20"/>
          <w:w w:val="105"/>
        </w:rPr>
        <w:t>hecho</w:t>
      </w:r>
      <w:r>
        <w:rPr>
          <w:color w:val="231F20"/>
          <w:spacing w:val="-6"/>
          <w:w w:val="105"/>
        </w:rPr>
        <w:t> </w:t>
      </w:r>
      <w:r>
        <w:rPr>
          <w:color w:val="231F20"/>
          <w:w w:val="105"/>
        </w:rPr>
        <w:t>es</w:t>
      </w:r>
      <w:r>
        <w:rPr>
          <w:color w:val="231F20"/>
          <w:spacing w:val="-6"/>
          <w:w w:val="105"/>
        </w:rPr>
        <w:t> </w:t>
      </w:r>
      <w:r>
        <w:rPr>
          <w:color w:val="231F20"/>
          <w:w w:val="105"/>
        </w:rPr>
        <w:t>ca- racterístico de los grandes suburbios que nacen y crecen en un contexto de margina- ción,</w:t>
      </w:r>
      <w:r>
        <w:rPr>
          <w:color w:val="231F20"/>
          <w:spacing w:val="-25"/>
          <w:w w:val="105"/>
        </w:rPr>
        <w:t> </w:t>
      </w:r>
      <w:r>
        <w:rPr>
          <w:color w:val="231F20"/>
          <w:w w:val="105"/>
        </w:rPr>
        <w:t>ilegalidad,</w:t>
      </w:r>
      <w:r>
        <w:rPr>
          <w:color w:val="231F20"/>
          <w:spacing w:val="-25"/>
          <w:w w:val="105"/>
        </w:rPr>
        <w:t> </w:t>
      </w:r>
      <w:r>
        <w:rPr>
          <w:color w:val="231F20"/>
          <w:w w:val="105"/>
        </w:rPr>
        <w:t>irregularidad</w:t>
      </w:r>
      <w:r>
        <w:rPr>
          <w:color w:val="231F20"/>
          <w:spacing w:val="-25"/>
          <w:w w:val="105"/>
        </w:rPr>
        <w:t> </w:t>
      </w:r>
      <w:r>
        <w:rPr>
          <w:color w:val="231F20"/>
          <w:w w:val="105"/>
        </w:rPr>
        <w:t>y</w:t>
      </w:r>
      <w:r>
        <w:rPr>
          <w:color w:val="231F20"/>
          <w:spacing w:val="-25"/>
          <w:w w:val="105"/>
        </w:rPr>
        <w:t> </w:t>
      </w:r>
      <w:r>
        <w:rPr>
          <w:color w:val="231F20"/>
          <w:w w:val="105"/>
        </w:rPr>
        <w:t>sin</w:t>
      </w:r>
      <w:r>
        <w:rPr>
          <w:color w:val="231F20"/>
          <w:spacing w:val="-25"/>
          <w:w w:val="105"/>
        </w:rPr>
        <w:t> </w:t>
      </w:r>
      <w:r>
        <w:rPr>
          <w:color w:val="231F20"/>
          <w:w w:val="105"/>
        </w:rPr>
        <w:t>planeación.</w:t>
      </w:r>
      <w:r>
        <w:rPr>
          <w:color w:val="231F20"/>
          <w:spacing w:val="-25"/>
          <w:w w:val="105"/>
        </w:rPr>
        <w:t> </w:t>
      </w:r>
      <w:r>
        <w:rPr>
          <w:color w:val="231F20"/>
          <w:w w:val="105"/>
        </w:rPr>
        <w:t>Sin</w:t>
      </w:r>
      <w:r>
        <w:rPr>
          <w:color w:val="231F20"/>
          <w:spacing w:val="-25"/>
          <w:w w:val="105"/>
        </w:rPr>
        <w:t> </w:t>
      </w:r>
      <w:r>
        <w:rPr>
          <w:color w:val="231F20"/>
          <w:w w:val="105"/>
        </w:rPr>
        <w:t>embargo,</w:t>
      </w:r>
      <w:r>
        <w:rPr>
          <w:color w:val="231F20"/>
          <w:spacing w:val="-25"/>
          <w:w w:val="105"/>
        </w:rPr>
        <w:t> </w:t>
      </w:r>
      <w:r>
        <w:rPr>
          <w:color w:val="231F20"/>
          <w:w w:val="105"/>
        </w:rPr>
        <w:t>a</w:t>
      </w:r>
      <w:r>
        <w:rPr>
          <w:color w:val="231F20"/>
          <w:spacing w:val="-25"/>
          <w:w w:val="105"/>
        </w:rPr>
        <w:t> </w:t>
      </w:r>
      <w:r>
        <w:rPr>
          <w:color w:val="231F20"/>
          <w:w w:val="105"/>
        </w:rPr>
        <w:t>pesar</w:t>
      </w:r>
      <w:r>
        <w:rPr>
          <w:color w:val="231F20"/>
          <w:spacing w:val="-25"/>
          <w:w w:val="105"/>
        </w:rPr>
        <w:t> </w:t>
      </w:r>
      <w:r>
        <w:rPr>
          <w:color w:val="231F20"/>
          <w:w w:val="105"/>
        </w:rPr>
        <w:t>de</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municipio ha</w:t>
      </w:r>
      <w:r>
        <w:rPr>
          <w:color w:val="231F20"/>
          <w:spacing w:val="-11"/>
          <w:w w:val="105"/>
        </w:rPr>
        <w:t> </w:t>
      </w:r>
      <w:r>
        <w:rPr>
          <w:color w:val="231F20"/>
          <w:w w:val="105"/>
        </w:rPr>
        <w:t>venido</w:t>
      </w:r>
      <w:r>
        <w:rPr>
          <w:color w:val="231F20"/>
          <w:spacing w:val="-11"/>
          <w:w w:val="105"/>
        </w:rPr>
        <w:t> </w:t>
      </w:r>
      <w:r>
        <w:rPr>
          <w:color w:val="231F20"/>
          <w:w w:val="105"/>
        </w:rPr>
        <w:t>superando</w:t>
      </w:r>
      <w:r>
        <w:rPr>
          <w:color w:val="231F20"/>
          <w:spacing w:val="-11"/>
          <w:w w:val="105"/>
        </w:rPr>
        <w:t> </w:t>
      </w:r>
      <w:r>
        <w:rPr>
          <w:color w:val="231F20"/>
          <w:w w:val="105"/>
        </w:rPr>
        <w:t>dicho</w:t>
      </w:r>
      <w:r>
        <w:rPr>
          <w:color w:val="231F20"/>
          <w:spacing w:val="-11"/>
          <w:w w:val="105"/>
        </w:rPr>
        <w:t> </w:t>
      </w:r>
      <w:r>
        <w:rPr>
          <w:color w:val="231F20"/>
          <w:w w:val="105"/>
        </w:rPr>
        <w:t>contexto</w:t>
      </w:r>
      <w:r>
        <w:rPr>
          <w:color w:val="231F20"/>
          <w:spacing w:val="-11"/>
          <w:w w:val="105"/>
        </w:rPr>
        <w:t> </w:t>
      </w:r>
      <w:r>
        <w:rPr>
          <w:color w:val="231F20"/>
          <w:w w:val="105"/>
        </w:rPr>
        <w:t>a</w:t>
      </w:r>
      <w:r>
        <w:rPr>
          <w:color w:val="231F20"/>
          <w:spacing w:val="-11"/>
          <w:w w:val="105"/>
        </w:rPr>
        <w:t> </w:t>
      </w:r>
      <w:r>
        <w:rPr>
          <w:color w:val="231F20"/>
          <w:w w:val="105"/>
        </w:rPr>
        <w:t>lo</w:t>
      </w:r>
      <w:r>
        <w:rPr>
          <w:color w:val="231F20"/>
          <w:spacing w:val="-11"/>
          <w:w w:val="105"/>
        </w:rPr>
        <w:t> </w:t>
      </w:r>
      <w:r>
        <w:rPr>
          <w:color w:val="231F20"/>
          <w:w w:val="105"/>
        </w:rPr>
        <w:t>largo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años,</w:t>
      </w:r>
      <w:r>
        <w:rPr>
          <w:color w:val="231F20"/>
          <w:spacing w:val="-11"/>
          <w:w w:val="105"/>
        </w:rPr>
        <w:t> </w:t>
      </w:r>
      <w:r>
        <w:rPr>
          <w:color w:val="231F20"/>
          <w:w w:val="105"/>
        </w:rPr>
        <w:t>la</w:t>
      </w:r>
      <w:r>
        <w:rPr>
          <w:color w:val="231F20"/>
          <w:spacing w:val="-11"/>
          <w:w w:val="105"/>
        </w:rPr>
        <w:t> </w:t>
      </w:r>
      <w:r>
        <w:rPr>
          <w:color w:val="231F20"/>
          <w:w w:val="105"/>
        </w:rPr>
        <w:t>inseguridad</w:t>
      </w:r>
      <w:r>
        <w:rPr>
          <w:color w:val="231F20"/>
          <w:spacing w:val="-11"/>
          <w:w w:val="105"/>
        </w:rPr>
        <w:t> </w:t>
      </w:r>
      <w:r>
        <w:rPr>
          <w:color w:val="231F20"/>
          <w:w w:val="105"/>
        </w:rPr>
        <w:t>pública</w:t>
      </w:r>
      <w:r>
        <w:rPr>
          <w:color w:val="231F20"/>
          <w:spacing w:val="-11"/>
          <w:w w:val="105"/>
        </w:rPr>
        <w:t> </w:t>
      </w:r>
      <w:r>
        <w:rPr>
          <w:color w:val="231F20"/>
          <w:w w:val="105"/>
        </w:rPr>
        <w:t>sigue </w:t>
      </w:r>
      <w:r>
        <w:rPr>
          <w:color w:val="231F20"/>
          <w:spacing w:val="-2"/>
          <w:w w:val="105"/>
        </w:rPr>
        <w:t>siendo </w:t>
      </w:r>
      <w:r>
        <w:rPr>
          <w:color w:val="231F20"/>
          <w:w w:val="105"/>
        </w:rPr>
        <w:t>un lastre social que aunado con el estigma de delincuencia con el que se asocia </w:t>
      </w:r>
      <w:r>
        <w:rPr>
          <w:color w:val="231F20"/>
          <w:spacing w:val="2"/>
          <w:w w:val="105"/>
        </w:rPr>
        <w:t>al</w:t>
      </w:r>
      <w:r>
        <w:rPr>
          <w:color w:val="231F20"/>
          <w:spacing w:val="-12"/>
          <w:w w:val="105"/>
        </w:rPr>
        <w:t> </w:t>
      </w:r>
      <w:r>
        <w:rPr>
          <w:color w:val="231F20"/>
          <w:w w:val="105"/>
        </w:rPr>
        <w:t>municipio,</w:t>
      </w:r>
      <w:r>
        <w:rPr>
          <w:color w:val="231F20"/>
          <w:spacing w:val="-12"/>
          <w:w w:val="105"/>
        </w:rPr>
        <w:t> </w:t>
      </w:r>
      <w:r>
        <w:rPr>
          <w:color w:val="231F20"/>
          <w:w w:val="105"/>
        </w:rPr>
        <w:t>este</w:t>
      </w:r>
      <w:r>
        <w:rPr>
          <w:color w:val="231F20"/>
          <w:spacing w:val="-12"/>
          <w:w w:val="105"/>
        </w:rPr>
        <w:t> </w:t>
      </w:r>
      <w:r>
        <w:rPr>
          <w:color w:val="231F20"/>
          <w:w w:val="105"/>
        </w:rPr>
        <w:t>tema</w:t>
      </w:r>
      <w:r>
        <w:rPr>
          <w:color w:val="231F20"/>
          <w:spacing w:val="-12"/>
          <w:w w:val="105"/>
        </w:rPr>
        <w:t> </w:t>
      </w:r>
      <w:r>
        <w:rPr>
          <w:color w:val="231F20"/>
          <w:w w:val="105"/>
        </w:rPr>
        <w:t>sigue</w:t>
      </w:r>
      <w:r>
        <w:rPr>
          <w:color w:val="231F20"/>
          <w:spacing w:val="-12"/>
          <w:w w:val="105"/>
        </w:rPr>
        <w:t> </w:t>
      </w:r>
      <w:r>
        <w:rPr>
          <w:color w:val="231F20"/>
          <w:spacing w:val="-2"/>
          <w:w w:val="105"/>
        </w:rPr>
        <w:t>siendo</w:t>
      </w:r>
      <w:r>
        <w:rPr>
          <w:color w:val="231F20"/>
          <w:spacing w:val="-12"/>
          <w:w w:val="105"/>
        </w:rPr>
        <w:t> </w:t>
      </w:r>
      <w:r>
        <w:rPr>
          <w:color w:val="231F20"/>
          <w:w w:val="105"/>
        </w:rPr>
        <w:t>una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demandas</w:t>
      </w:r>
      <w:r>
        <w:rPr>
          <w:color w:val="231F20"/>
          <w:spacing w:val="-12"/>
          <w:w w:val="105"/>
        </w:rPr>
        <w:t> </w:t>
      </w:r>
      <w:r>
        <w:rPr>
          <w:color w:val="231F20"/>
          <w:w w:val="105"/>
        </w:rPr>
        <w:t>más</w:t>
      </w:r>
      <w:r>
        <w:rPr>
          <w:color w:val="231F20"/>
          <w:spacing w:val="-12"/>
          <w:w w:val="105"/>
        </w:rPr>
        <w:t> </w:t>
      </w:r>
      <w:r>
        <w:rPr>
          <w:color w:val="231F20"/>
          <w:w w:val="105"/>
        </w:rPr>
        <w:t>sentidas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 Entre</w:t>
      </w:r>
      <w:r>
        <w:rPr>
          <w:color w:val="231F20"/>
          <w:spacing w:val="-7"/>
          <w:w w:val="105"/>
        </w:rPr>
        <w:t> </w:t>
      </w:r>
      <w:r>
        <w:rPr>
          <w:color w:val="231F20"/>
          <w:w w:val="105"/>
        </w:rPr>
        <w:t>los</w:t>
      </w:r>
      <w:r>
        <w:rPr>
          <w:color w:val="231F20"/>
          <w:spacing w:val="-7"/>
          <w:w w:val="105"/>
        </w:rPr>
        <w:t> </w:t>
      </w:r>
      <w:r>
        <w:rPr>
          <w:color w:val="231F20"/>
          <w:w w:val="105"/>
        </w:rPr>
        <w:t>delitos</w:t>
      </w:r>
      <w:r>
        <w:rPr>
          <w:color w:val="231F20"/>
          <w:spacing w:val="-7"/>
          <w:w w:val="105"/>
        </w:rPr>
        <w:t> </w:t>
      </w:r>
      <w:r>
        <w:rPr>
          <w:color w:val="231F20"/>
          <w:w w:val="105"/>
        </w:rPr>
        <w:t>más</w:t>
      </w:r>
      <w:r>
        <w:rPr>
          <w:color w:val="231F20"/>
          <w:spacing w:val="-7"/>
          <w:w w:val="105"/>
        </w:rPr>
        <w:t> </w:t>
      </w:r>
      <w:r>
        <w:rPr>
          <w:color w:val="231F20"/>
          <w:w w:val="105"/>
        </w:rPr>
        <w:t>recurrentes</w:t>
      </w:r>
      <w:r>
        <w:rPr>
          <w:color w:val="231F20"/>
          <w:spacing w:val="-7"/>
          <w:w w:val="105"/>
        </w:rPr>
        <w:t> </w:t>
      </w:r>
      <w:r>
        <w:rPr>
          <w:color w:val="231F20"/>
          <w:w w:val="105"/>
        </w:rPr>
        <w:t>en</w:t>
      </w:r>
      <w:r>
        <w:rPr>
          <w:color w:val="231F20"/>
          <w:spacing w:val="-7"/>
          <w:w w:val="105"/>
        </w:rPr>
        <w:t> </w:t>
      </w:r>
      <w:r>
        <w:rPr>
          <w:color w:val="231F20"/>
          <w:w w:val="105"/>
        </w:rPr>
        <w:t>Nezahualcóyotl</w:t>
      </w:r>
      <w:r>
        <w:rPr>
          <w:color w:val="231F20"/>
          <w:spacing w:val="-7"/>
          <w:w w:val="105"/>
        </w:rPr>
        <w:t> </w:t>
      </w:r>
      <w:r>
        <w:rPr>
          <w:color w:val="231F20"/>
          <w:w w:val="105"/>
        </w:rPr>
        <w:t>se</w:t>
      </w:r>
      <w:r>
        <w:rPr>
          <w:color w:val="231F20"/>
          <w:spacing w:val="-7"/>
          <w:w w:val="105"/>
        </w:rPr>
        <w:t> </w:t>
      </w:r>
      <w:r>
        <w:rPr>
          <w:color w:val="231F20"/>
          <w:w w:val="105"/>
        </w:rPr>
        <w:t>encuentra</w:t>
      </w:r>
      <w:r>
        <w:rPr>
          <w:color w:val="231F20"/>
          <w:spacing w:val="-7"/>
          <w:w w:val="105"/>
        </w:rPr>
        <w:t> </w:t>
      </w:r>
      <w:r>
        <w:rPr>
          <w:color w:val="231F20"/>
          <w:w w:val="105"/>
        </w:rPr>
        <w:t>el</w:t>
      </w:r>
      <w:r>
        <w:rPr>
          <w:color w:val="231F20"/>
          <w:spacing w:val="-7"/>
          <w:w w:val="105"/>
        </w:rPr>
        <w:t> </w:t>
      </w:r>
      <w:r>
        <w:rPr>
          <w:color w:val="231F20"/>
          <w:w w:val="105"/>
        </w:rPr>
        <w:t>robo</w:t>
      </w:r>
      <w:r>
        <w:rPr>
          <w:color w:val="231F20"/>
          <w:spacing w:val="-7"/>
          <w:w w:val="105"/>
        </w:rPr>
        <w:t> </w:t>
      </w:r>
      <w:r>
        <w:rPr>
          <w:color w:val="231F20"/>
          <w:w w:val="105"/>
        </w:rPr>
        <w:t>de</w:t>
      </w:r>
      <w:r>
        <w:rPr>
          <w:color w:val="231F20"/>
          <w:spacing w:val="-7"/>
          <w:w w:val="105"/>
        </w:rPr>
        <w:t> </w:t>
      </w:r>
      <w:r>
        <w:rPr>
          <w:color w:val="231F20"/>
          <w:w w:val="105"/>
        </w:rPr>
        <w:t>vehículos, colocándose entre los primeros lugares a nivel nacional, el robo a casas habitación y a transeúntes,</w:t>
      </w:r>
      <w:r>
        <w:rPr>
          <w:color w:val="231F20"/>
          <w:spacing w:val="-21"/>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violaciones,</w:t>
      </w:r>
      <w:r>
        <w:rPr>
          <w:color w:val="231F20"/>
          <w:spacing w:val="-21"/>
          <w:w w:val="105"/>
        </w:rPr>
        <w:t> </w:t>
      </w:r>
      <w:r>
        <w:rPr>
          <w:color w:val="231F20"/>
          <w:w w:val="105"/>
        </w:rPr>
        <w:t>riñas</w:t>
      </w:r>
      <w:r>
        <w:rPr>
          <w:color w:val="231F20"/>
          <w:spacing w:val="-21"/>
          <w:w w:val="105"/>
        </w:rPr>
        <w:t> </w:t>
      </w:r>
      <w:r>
        <w:rPr>
          <w:color w:val="231F20"/>
          <w:w w:val="105"/>
        </w:rPr>
        <w:t>y</w:t>
      </w:r>
      <w:r>
        <w:rPr>
          <w:color w:val="231F20"/>
          <w:spacing w:val="-21"/>
          <w:w w:val="105"/>
        </w:rPr>
        <w:t> </w:t>
      </w:r>
      <w:r>
        <w:rPr>
          <w:color w:val="231F20"/>
          <w:w w:val="105"/>
        </w:rPr>
        <w:t>lesiones.</w:t>
      </w:r>
    </w:p>
    <w:p>
      <w:pPr>
        <w:pStyle w:val="BodyText"/>
        <w:spacing w:before="9"/>
      </w:pPr>
    </w:p>
    <w:p>
      <w:pPr>
        <w:pStyle w:val="Heading3"/>
      </w:pPr>
      <w:r>
        <w:rPr>
          <w:color w:val="231F20"/>
          <w:w w:val="105"/>
        </w:rPr>
        <w:t>Presencia Político-Electoral del PRD en Nezahualcóyotl</w:t>
      </w:r>
    </w:p>
    <w:p>
      <w:pPr>
        <w:pStyle w:val="BodyText"/>
        <w:spacing w:line="285" w:lineRule="auto" w:before="38"/>
        <w:ind w:left="110" w:right="108"/>
        <w:jc w:val="both"/>
      </w:pPr>
      <w:r>
        <w:rPr>
          <w:color w:val="231F20"/>
          <w:w w:val="105"/>
        </w:rPr>
        <w:t>La </w:t>
      </w:r>
      <w:r>
        <w:rPr>
          <w:color w:val="231F20"/>
          <w:spacing w:val="-3"/>
          <w:w w:val="105"/>
        </w:rPr>
        <w:t>presencia del </w:t>
      </w:r>
      <w:r>
        <w:rPr>
          <w:color w:val="231F20"/>
          <w:w w:val="105"/>
        </w:rPr>
        <w:t>Partido de la </w:t>
      </w:r>
      <w:r>
        <w:rPr>
          <w:color w:val="231F20"/>
          <w:spacing w:val="-5"/>
          <w:w w:val="105"/>
        </w:rPr>
        <w:t>Revolución </w:t>
      </w:r>
      <w:r>
        <w:rPr>
          <w:color w:val="231F20"/>
          <w:spacing w:val="-3"/>
          <w:w w:val="105"/>
        </w:rPr>
        <w:t>Democrática </w:t>
      </w:r>
      <w:r>
        <w:rPr>
          <w:color w:val="231F20"/>
          <w:w w:val="105"/>
        </w:rPr>
        <w:t>en el </w:t>
      </w:r>
      <w:r>
        <w:rPr>
          <w:color w:val="231F20"/>
          <w:spacing w:val="-3"/>
          <w:w w:val="105"/>
        </w:rPr>
        <w:t>municipio </w:t>
      </w:r>
      <w:r>
        <w:rPr>
          <w:color w:val="231F20"/>
          <w:w w:val="105"/>
        </w:rPr>
        <w:t>de Nezahualcó- </w:t>
      </w:r>
      <w:r>
        <w:rPr>
          <w:color w:val="231F20"/>
          <w:spacing w:val="-3"/>
          <w:w w:val="105"/>
        </w:rPr>
        <w:t>yotl</w:t>
      </w:r>
      <w:r>
        <w:rPr>
          <w:color w:val="231F20"/>
          <w:spacing w:val="-16"/>
          <w:w w:val="105"/>
        </w:rPr>
        <w:t> </w:t>
      </w:r>
      <w:r>
        <w:rPr>
          <w:color w:val="231F20"/>
          <w:spacing w:val="-3"/>
          <w:w w:val="105"/>
        </w:rPr>
        <w:t>prácticamente</w:t>
      </w:r>
      <w:r>
        <w:rPr>
          <w:color w:val="231F20"/>
          <w:spacing w:val="-16"/>
          <w:w w:val="105"/>
        </w:rPr>
        <w:t> </w:t>
      </w:r>
      <w:r>
        <w:rPr>
          <w:color w:val="231F20"/>
          <w:w w:val="105"/>
        </w:rPr>
        <w:t>se</w:t>
      </w:r>
      <w:r>
        <w:rPr>
          <w:color w:val="231F20"/>
          <w:spacing w:val="-16"/>
          <w:w w:val="105"/>
        </w:rPr>
        <w:t> </w:t>
      </w:r>
      <w:r>
        <w:rPr>
          <w:color w:val="231F20"/>
          <w:spacing w:val="-4"/>
          <w:w w:val="105"/>
        </w:rPr>
        <w:t>remonta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spacing w:val="-4"/>
          <w:w w:val="105"/>
        </w:rPr>
        <w:t>elección</w:t>
      </w:r>
      <w:r>
        <w:rPr>
          <w:color w:val="231F20"/>
          <w:spacing w:val="-16"/>
          <w:w w:val="105"/>
        </w:rPr>
        <w:t> </w:t>
      </w:r>
      <w:r>
        <w:rPr>
          <w:color w:val="231F20"/>
          <w:w w:val="105"/>
        </w:rPr>
        <w:t>federal</w:t>
      </w:r>
      <w:r>
        <w:rPr>
          <w:color w:val="231F20"/>
          <w:spacing w:val="-16"/>
          <w:w w:val="105"/>
        </w:rPr>
        <w:t> </w:t>
      </w:r>
      <w:r>
        <w:rPr>
          <w:color w:val="231F20"/>
          <w:w w:val="105"/>
        </w:rPr>
        <w:t>de</w:t>
      </w:r>
      <w:r>
        <w:rPr>
          <w:color w:val="231F20"/>
          <w:spacing w:val="-16"/>
          <w:w w:val="105"/>
        </w:rPr>
        <w:t> </w:t>
      </w:r>
      <w:r>
        <w:rPr>
          <w:color w:val="231F20"/>
          <w:spacing w:val="-3"/>
          <w:w w:val="105"/>
        </w:rPr>
        <w:t>1988,</w:t>
      </w:r>
      <w:r>
        <w:rPr>
          <w:color w:val="231F20"/>
          <w:spacing w:val="-16"/>
          <w:w w:val="105"/>
        </w:rPr>
        <w:t> </w:t>
      </w:r>
      <w:r>
        <w:rPr>
          <w:color w:val="231F20"/>
          <w:spacing w:val="-3"/>
          <w:w w:val="105"/>
        </w:rPr>
        <w:t>proceso</w:t>
      </w:r>
      <w:r>
        <w:rPr>
          <w:color w:val="231F20"/>
          <w:spacing w:val="-16"/>
          <w:w w:val="105"/>
        </w:rPr>
        <w:t> </w:t>
      </w:r>
      <w:r>
        <w:rPr>
          <w:color w:val="231F20"/>
          <w:w w:val="105"/>
        </w:rPr>
        <w:t>electoral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que</w:t>
      </w:r>
      <w:r>
        <w:rPr>
          <w:color w:val="231F20"/>
          <w:spacing w:val="-16"/>
          <w:w w:val="105"/>
        </w:rPr>
        <w:t> </w:t>
      </w:r>
      <w:r>
        <w:rPr>
          <w:color w:val="231F20"/>
          <w:w w:val="105"/>
        </w:rPr>
        <w:t>el </w:t>
      </w:r>
      <w:r>
        <w:rPr>
          <w:color w:val="231F20"/>
          <w:spacing w:val="-3"/>
          <w:w w:val="105"/>
        </w:rPr>
        <w:t>antecedente </w:t>
      </w:r>
      <w:r>
        <w:rPr>
          <w:color w:val="231F20"/>
          <w:w w:val="105"/>
        </w:rPr>
        <w:t>inmediato </w:t>
      </w:r>
      <w:r>
        <w:rPr>
          <w:color w:val="231F20"/>
          <w:spacing w:val="-3"/>
          <w:w w:val="105"/>
        </w:rPr>
        <w:t>del </w:t>
      </w:r>
      <w:r>
        <w:rPr>
          <w:color w:val="231F20"/>
          <w:spacing w:val="-4"/>
          <w:w w:val="105"/>
        </w:rPr>
        <w:t>PRD, </w:t>
      </w:r>
      <w:r>
        <w:rPr>
          <w:color w:val="231F20"/>
          <w:w w:val="105"/>
        </w:rPr>
        <w:t>el </w:t>
      </w:r>
      <w:r>
        <w:rPr>
          <w:color w:val="231F20"/>
          <w:spacing w:val="-4"/>
          <w:w w:val="105"/>
        </w:rPr>
        <w:t>Frente </w:t>
      </w:r>
      <w:r>
        <w:rPr>
          <w:color w:val="231F20"/>
          <w:spacing w:val="-3"/>
          <w:w w:val="105"/>
        </w:rPr>
        <w:t>Democrático Nacional </w:t>
      </w:r>
      <w:r>
        <w:rPr>
          <w:color w:val="231F20"/>
          <w:spacing w:val="-4"/>
          <w:w w:val="105"/>
        </w:rPr>
        <w:t>recibió </w:t>
      </w:r>
      <w:r>
        <w:rPr>
          <w:color w:val="231F20"/>
          <w:w w:val="105"/>
        </w:rPr>
        <w:t>un gran </w:t>
      </w:r>
      <w:r>
        <w:rPr>
          <w:color w:val="231F20"/>
          <w:spacing w:val="-4"/>
          <w:w w:val="105"/>
        </w:rPr>
        <w:t>apoyo. </w:t>
      </w:r>
      <w:r>
        <w:rPr>
          <w:color w:val="231F20"/>
          <w:w w:val="105"/>
        </w:rPr>
        <w:t>Claro </w:t>
      </w:r>
      <w:r>
        <w:rPr>
          <w:color w:val="231F20"/>
          <w:spacing w:val="-3"/>
          <w:w w:val="105"/>
        </w:rPr>
        <w:t>que dicho </w:t>
      </w:r>
      <w:r>
        <w:rPr>
          <w:color w:val="231F20"/>
          <w:spacing w:val="-4"/>
          <w:w w:val="105"/>
        </w:rPr>
        <w:t>apoyo </w:t>
      </w:r>
      <w:r>
        <w:rPr>
          <w:color w:val="231F20"/>
          <w:w w:val="105"/>
        </w:rPr>
        <w:t>en </w:t>
      </w:r>
      <w:r>
        <w:rPr>
          <w:color w:val="231F20"/>
          <w:spacing w:val="-3"/>
          <w:w w:val="105"/>
        </w:rPr>
        <w:t>buena </w:t>
      </w:r>
      <w:r>
        <w:rPr>
          <w:color w:val="231F20"/>
          <w:w w:val="105"/>
        </w:rPr>
        <w:t>medida era </w:t>
      </w:r>
      <w:r>
        <w:rPr>
          <w:color w:val="231F20"/>
          <w:spacing w:val="-3"/>
          <w:w w:val="105"/>
        </w:rPr>
        <w:t>también </w:t>
      </w:r>
      <w:r>
        <w:rPr>
          <w:color w:val="231F20"/>
          <w:w w:val="105"/>
        </w:rPr>
        <w:t>el </w:t>
      </w:r>
      <w:r>
        <w:rPr>
          <w:color w:val="231F20"/>
          <w:spacing w:val="-3"/>
          <w:w w:val="105"/>
        </w:rPr>
        <w:t>resultado del </w:t>
      </w:r>
      <w:r>
        <w:rPr>
          <w:color w:val="231F20"/>
          <w:spacing w:val="-4"/>
          <w:w w:val="105"/>
        </w:rPr>
        <w:t>descontento </w:t>
      </w:r>
      <w:r>
        <w:rPr>
          <w:color w:val="231F20"/>
          <w:spacing w:val="-3"/>
          <w:w w:val="105"/>
        </w:rPr>
        <w:t>que </w:t>
      </w:r>
      <w:r>
        <w:rPr>
          <w:color w:val="231F20"/>
          <w:w w:val="105"/>
        </w:rPr>
        <w:t>existía </w:t>
      </w:r>
      <w:r>
        <w:rPr>
          <w:color w:val="231F20"/>
          <w:spacing w:val="-3"/>
          <w:w w:val="105"/>
        </w:rPr>
        <w:t>entre </w:t>
      </w:r>
      <w:r>
        <w:rPr>
          <w:color w:val="231F20"/>
          <w:w w:val="105"/>
        </w:rPr>
        <w:t>la </w:t>
      </w:r>
      <w:r>
        <w:rPr>
          <w:color w:val="231F20"/>
          <w:spacing w:val="-3"/>
          <w:w w:val="105"/>
        </w:rPr>
        <w:t>ciudadanía hacía </w:t>
      </w:r>
      <w:r>
        <w:rPr>
          <w:color w:val="231F20"/>
          <w:w w:val="105"/>
        </w:rPr>
        <w:t>las administraciones priístas tanto en el </w:t>
      </w:r>
      <w:r>
        <w:rPr>
          <w:color w:val="231F20"/>
          <w:spacing w:val="-3"/>
          <w:w w:val="105"/>
        </w:rPr>
        <w:t>plano </w:t>
      </w:r>
      <w:r>
        <w:rPr>
          <w:color w:val="231F20"/>
          <w:w w:val="105"/>
        </w:rPr>
        <w:t>federal </w:t>
      </w:r>
      <w:r>
        <w:rPr>
          <w:color w:val="231F20"/>
          <w:spacing w:val="-4"/>
          <w:w w:val="105"/>
        </w:rPr>
        <w:t>como</w:t>
      </w:r>
      <w:r>
        <w:rPr>
          <w:color w:val="231F20"/>
          <w:spacing w:val="-16"/>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local,</w:t>
      </w:r>
      <w:r>
        <w:rPr>
          <w:color w:val="231F20"/>
          <w:spacing w:val="-15"/>
          <w:w w:val="105"/>
        </w:rPr>
        <w:t> </w:t>
      </w:r>
      <w:r>
        <w:rPr>
          <w:color w:val="231F20"/>
          <w:spacing w:val="-3"/>
          <w:w w:val="105"/>
        </w:rPr>
        <w:t>además</w:t>
      </w:r>
      <w:r>
        <w:rPr>
          <w:color w:val="231F20"/>
          <w:spacing w:val="-16"/>
          <w:w w:val="105"/>
        </w:rPr>
        <w:t> </w:t>
      </w:r>
      <w:r>
        <w:rPr>
          <w:color w:val="231F20"/>
          <w:spacing w:val="-3"/>
          <w:w w:val="105"/>
        </w:rPr>
        <w:t>del</w:t>
      </w:r>
      <w:r>
        <w:rPr>
          <w:color w:val="231F20"/>
          <w:spacing w:val="-15"/>
          <w:w w:val="105"/>
        </w:rPr>
        <w:t> </w:t>
      </w:r>
      <w:r>
        <w:rPr>
          <w:color w:val="231F20"/>
          <w:spacing w:val="-3"/>
          <w:w w:val="105"/>
        </w:rPr>
        <w:t>trabajo</w:t>
      </w:r>
      <w:r>
        <w:rPr>
          <w:color w:val="231F20"/>
          <w:spacing w:val="-16"/>
          <w:w w:val="105"/>
        </w:rPr>
        <w:t> </w:t>
      </w:r>
      <w:r>
        <w:rPr>
          <w:color w:val="231F20"/>
          <w:spacing w:val="-3"/>
          <w:w w:val="105"/>
        </w:rPr>
        <w:t>político</w:t>
      </w:r>
      <w:r>
        <w:rPr>
          <w:color w:val="231F20"/>
          <w:spacing w:val="-15"/>
          <w:w w:val="105"/>
        </w:rPr>
        <w:t> </w:t>
      </w:r>
      <w:r>
        <w:rPr>
          <w:color w:val="231F20"/>
          <w:w w:val="105"/>
        </w:rPr>
        <w:t>y</w:t>
      </w:r>
      <w:r>
        <w:rPr>
          <w:color w:val="231F20"/>
          <w:spacing w:val="-15"/>
          <w:w w:val="105"/>
        </w:rPr>
        <w:t> </w:t>
      </w:r>
      <w:r>
        <w:rPr>
          <w:color w:val="231F20"/>
          <w:w w:val="105"/>
        </w:rPr>
        <w:t>social</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6"/>
          <w:w w:val="105"/>
        </w:rPr>
        <w:t> </w:t>
      </w:r>
      <w:r>
        <w:rPr>
          <w:color w:val="231F20"/>
          <w:spacing w:val="-3"/>
          <w:w w:val="105"/>
        </w:rPr>
        <w:t>principales</w:t>
      </w:r>
      <w:r>
        <w:rPr>
          <w:color w:val="231F20"/>
          <w:spacing w:val="-15"/>
          <w:w w:val="105"/>
        </w:rPr>
        <w:t> </w:t>
      </w:r>
      <w:r>
        <w:rPr>
          <w:color w:val="231F20"/>
          <w:spacing w:val="-3"/>
          <w:w w:val="105"/>
        </w:rPr>
        <w:t>organizaciones</w:t>
      </w:r>
      <w:r>
        <w:rPr>
          <w:color w:val="231F20"/>
          <w:spacing w:val="-15"/>
          <w:w w:val="105"/>
        </w:rPr>
        <w:t> </w:t>
      </w:r>
      <w:r>
        <w:rPr>
          <w:color w:val="231F20"/>
          <w:w w:val="105"/>
        </w:rPr>
        <w:t>de izquierda </w:t>
      </w:r>
      <w:r>
        <w:rPr>
          <w:color w:val="231F20"/>
          <w:spacing w:val="-4"/>
          <w:w w:val="105"/>
        </w:rPr>
        <w:t>como Unión </w:t>
      </w:r>
      <w:r>
        <w:rPr>
          <w:color w:val="231F20"/>
          <w:spacing w:val="-3"/>
          <w:w w:val="105"/>
        </w:rPr>
        <w:t>Popular </w:t>
      </w:r>
      <w:r>
        <w:rPr>
          <w:color w:val="231F20"/>
          <w:spacing w:val="-4"/>
          <w:w w:val="105"/>
        </w:rPr>
        <w:t>Revolucionaria </w:t>
      </w:r>
      <w:r>
        <w:rPr>
          <w:color w:val="231F20"/>
          <w:w w:val="105"/>
        </w:rPr>
        <w:t>Emiliano </w:t>
      </w:r>
      <w:r>
        <w:rPr>
          <w:color w:val="231F20"/>
          <w:spacing w:val="-3"/>
          <w:w w:val="105"/>
        </w:rPr>
        <w:t>Zapata (UPREZ), Movimiento </w:t>
      </w:r>
      <w:r>
        <w:rPr>
          <w:color w:val="231F20"/>
          <w:w w:val="105"/>
        </w:rPr>
        <w:t>de</w:t>
      </w:r>
      <w:r>
        <w:rPr>
          <w:color w:val="231F20"/>
          <w:spacing w:val="-25"/>
          <w:w w:val="105"/>
        </w:rPr>
        <w:t> </w:t>
      </w:r>
      <w:r>
        <w:rPr>
          <w:color w:val="231F20"/>
          <w:spacing w:val="-3"/>
          <w:w w:val="105"/>
        </w:rPr>
        <w:t>Vida</w:t>
      </w:r>
      <w:r>
        <w:rPr>
          <w:color w:val="231F20"/>
          <w:spacing w:val="-25"/>
          <w:w w:val="105"/>
        </w:rPr>
        <w:t> </w:t>
      </w:r>
      <w:r>
        <w:rPr>
          <w:color w:val="231F20"/>
          <w:w w:val="105"/>
        </w:rPr>
        <w:t>Digna</w:t>
      </w:r>
      <w:r>
        <w:rPr>
          <w:color w:val="231F20"/>
          <w:spacing w:val="-25"/>
          <w:w w:val="105"/>
        </w:rPr>
        <w:t> </w:t>
      </w:r>
      <w:r>
        <w:rPr>
          <w:color w:val="231F20"/>
          <w:spacing w:val="-5"/>
          <w:w w:val="105"/>
        </w:rPr>
        <w:t>(MOVIDIG)</w:t>
      </w:r>
      <w:r>
        <w:rPr>
          <w:color w:val="231F20"/>
          <w:spacing w:val="-25"/>
          <w:w w:val="105"/>
        </w:rPr>
        <w:t> </w:t>
      </w:r>
      <w:r>
        <w:rPr>
          <w:color w:val="231F20"/>
          <w:w w:val="105"/>
        </w:rPr>
        <w:t>y</w:t>
      </w:r>
      <w:r>
        <w:rPr>
          <w:color w:val="231F20"/>
          <w:spacing w:val="-25"/>
          <w:w w:val="105"/>
        </w:rPr>
        <w:t> </w:t>
      </w:r>
      <w:r>
        <w:rPr>
          <w:color w:val="231F20"/>
          <w:spacing w:val="-3"/>
          <w:w w:val="105"/>
        </w:rPr>
        <w:t>Movimiento</w:t>
      </w:r>
      <w:r>
        <w:rPr>
          <w:color w:val="231F20"/>
          <w:spacing w:val="-25"/>
          <w:w w:val="105"/>
        </w:rPr>
        <w:t> </w:t>
      </w:r>
      <w:r>
        <w:rPr>
          <w:color w:val="231F20"/>
          <w:w w:val="105"/>
        </w:rPr>
        <w:t>de</w:t>
      </w:r>
      <w:r>
        <w:rPr>
          <w:color w:val="231F20"/>
          <w:spacing w:val="-25"/>
          <w:w w:val="105"/>
        </w:rPr>
        <w:t> </w:t>
      </w:r>
      <w:r>
        <w:rPr>
          <w:color w:val="231F20"/>
          <w:spacing w:val="-3"/>
          <w:w w:val="105"/>
        </w:rPr>
        <w:t>Lucha</w:t>
      </w:r>
      <w:r>
        <w:rPr>
          <w:color w:val="231F20"/>
          <w:spacing w:val="-25"/>
          <w:w w:val="105"/>
        </w:rPr>
        <w:t> </w:t>
      </w:r>
      <w:r>
        <w:rPr>
          <w:color w:val="231F20"/>
          <w:w w:val="105"/>
        </w:rPr>
        <w:t>de</w:t>
      </w:r>
      <w:r>
        <w:rPr>
          <w:color w:val="231F20"/>
          <w:spacing w:val="-25"/>
          <w:w w:val="105"/>
        </w:rPr>
        <w:t> </w:t>
      </w:r>
      <w:r>
        <w:rPr>
          <w:color w:val="231F20"/>
          <w:spacing w:val="-3"/>
          <w:w w:val="105"/>
        </w:rPr>
        <w:t>Nezahualcóyotl</w:t>
      </w:r>
      <w:r>
        <w:rPr>
          <w:color w:val="231F20"/>
          <w:spacing w:val="-25"/>
          <w:w w:val="105"/>
        </w:rPr>
        <w:t> </w:t>
      </w:r>
      <w:r>
        <w:rPr>
          <w:color w:val="231F20"/>
          <w:spacing w:val="-3"/>
          <w:w w:val="105"/>
        </w:rPr>
        <w:t>(MLN),</w:t>
      </w:r>
      <w:r>
        <w:rPr>
          <w:color w:val="231F20"/>
          <w:spacing w:val="-25"/>
          <w:w w:val="105"/>
        </w:rPr>
        <w:t> </w:t>
      </w:r>
      <w:r>
        <w:rPr>
          <w:color w:val="231F20"/>
          <w:spacing w:val="-3"/>
          <w:w w:val="105"/>
        </w:rPr>
        <w:t>ligados</w:t>
      </w:r>
      <w:r>
        <w:rPr>
          <w:color w:val="231F20"/>
          <w:spacing w:val="-25"/>
          <w:w w:val="105"/>
        </w:rPr>
        <w:t> </w:t>
      </w:r>
      <w:r>
        <w:rPr>
          <w:color w:val="231F20"/>
          <w:w w:val="105"/>
        </w:rPr>
        <w:t>al </w:t>
      </w:r>
      <w:r>
        <w:rPr>
          <w:color w:val="231F20"/>
          <w:spacing w:val="-3"/>
          <w:w w:val="105"/>
        </w:rPr>
        <w:t>Movimiento</w:t>
      </w:r>
      <w:r>
        <w:rPr>
          <w:color w:val="231F20"/>
          <w:spacing w:val="-10"/>
          <w:w w:val="105"/>
        </w:rPr>
        <w:t> </w:t>
      </w:r>
      <w:r>
        <w:rPr>
          <w:color w:val="231F20"/>
          <w:spacing w:val="-3"/>
          <w:w w:val="105"/>
        </w:rPr>
        <w:t>Urbano</w:t>
      </w:r>
      <w:r>
        <w:rPr>
          <w:color w:val="231F20"/>
          <w:spacing w:val="-10"/>
          <w:w w:val="105"/>
        </w:rPr>
        <w:t> </w:t>
      </w:r>
      <w:r>
        <w:rPr>
          <w:color w:val="231F20"/>
          <w:spacing w:val="-3"/>
          <w:w w:val="105"/>
        </w:rPr>
        <w:t>Popular</w:t>
      </w:r>
      <w:r>
        <w:rPr>
          <w:color w:val="231F20"/>
          <w:spacing w:val="-10"/>
          <w:w w:val="105"/>
        </w:rPr>
        <w:t> </w:t>
      </w:r>
      <w:r>
        <w:rPr>
          <w:color w:val="231F20"/>
          <w:w w:val="105"/>
        </w:rPr>
        <w:t>y</w:t>
      </w:r>
      <w:r>
        <w:rPr>
          <w:color w:val="231F20"/>
          <w:spacing w:val="-10"/>
          <w:w w:val="105"/>
        </w:rPr>
        <w:t> </w:t>
      </w:r>
      <w:r>
        <w:rPr>
          <w:color w:val="231F20"/>
          <w:spacing w:val="-3"/>
          <w:w w:val="105"/>
        </w:rPr>
        <w:t>que</w:t>
      </w:r>
      <w:r>
        <w:rPr>
          <w:color w:val="231F20"/>
          <w:spacing w:val="-10"/>
          <w:w w:val="105"/>
        </w:rPr>
        <w:t> </w:t>
      </w:r>
      <w:r>
        <w:rPr>
          <w:color w:val="231F20"/>
          <w:spacing w:val="-3"/>
          <w:w w:val="105"/>
        </w:rPr>
        <w:t>posteriormente</w:t>
      </w:r>
      <w:r>
        <w:rPr>
          <w:color w:val="231F20"/>
          <w:spacing w:val="-10"/>
          <w:w w:val="105"/>
        </w:rPr>
        <w:t> </w:t>
      </w:r>
      <w:r>
        <w:rPr>
          <w:color w:val="231F20"/>
          <w:w w:val="105"/>
        </w:rPr>
        <w:t>formarían</w:t>
      </w:r>
      <w:r>
        <w:rPr>
          <w:color w:val="231F20"/>
          <w:spacing w:val="-10"/>
          <w:w w:val="105"/>
        </w:rPr>
        <w:t> </w:t>
      </w:r>
      <w:r>
        <w:rPr>
          <w:color w:val="231F20"/>
          <w:w w:val="105"/>
        </w:rPr>
        <w:t>parte</w:t>
      </w:r>
      <w:r>
        <w:rPr>
          <w:color w:val="231F20"/>
          <w:spacing w:val="-10"/>
          <w:w w:val="105"/>
        </w:rPr>
        <w:t> </w:t>
      </w:r>
      <w:r>
        <w:rPr>
          <w:color w:val="231F20"/>
          <w:spacing w:val="-3"/>
          <w:w w:val="105"/>
        </w:rPr>
        <w:t>del</w:t>
      </w:r>
      <w:r>
        <w:rPr>
          <w:color w:val="231F20"/>
          <w:spacing w:val="-10"/>
          <w:w w:val="105"/>
        </w:rPr>
        <w:t> </w:t>
      </w:r>
      <w:r>
        <w:rPr>
          <w:color w:val="231F20"/>
          <w:spacing w:val="-4"/>
          <w:w w:val="105"/>
        </w:rPr>
        <w:t>PRD.</w:t>
      </w:r>
    </w:p>
    <w:p>
      <w:pPr>
        <w:pStyle w:val="BodyText"/>
        <w:spacing w:before="1"/>
        <w:rPr>
          <w:sz w:val="26"/>
        </w:rPr>
      </w:pPr>
    </w:p>
    <w:p>
      <w:pPr>
        <w:pStyle w:val="BodyText"/>
        <w:spacing w:line="285" w:lineRule="auto"/>
        <w:ind w:left="110" w:right="106"/>
        <w:jc w:val="both"/>
      </w:pPr>
      <w:r>
        <w:rPr>
          <w:color w:val="231F20"/>
          <w:w w:val="105"/>
        </w:rPr>
        <w:t>No</w:t>
      </w:r>
      <w:r>
        <w:rPr>
          <w:color w:val="231F20"/>
          <w:spacing w:val="-14"/>
          <w:w w:val="105"/>
        </w:rPr>
        <w:t> </w:t>
      </w:r>
      <w:r>
        <w:rPr>
          <w:color w:val="231F20"/>
          <w:w w:val="105"/>
        </w:rPr>
        <w:t>hay</w:t>
      </w:r>
      <w:r>
        <w:rPr>
          <w:color w:val="231F20"/>
          <w:spacing w:val="-14"/>
          <w:w w:val="105"/>
        </w:rPr>
        <w:t> </w:t>
      </w:r>
      <w:r>
        <w:rPr>
          <w:color w:val="231F20"/>
          <w:w w:val="105"/>
        </w:rPr>
        <w:t>que</w:t>
      </w:r>
      <w:r>
        <w:rPr>
          <w:color w:val="231F20"/>
          <w:spacing w:val="-14"/>
          <w:w w:val="105"/>
        </w:rPr>
        <w:t> </w:t>
      </w:r>
      <w:r>
        <w:rPr>
          <w:color w:val="231F20"/>
          <w:w w:val="105"/>
        </w:rPr>
        <w:t>olvidar</w:t>
      </w:r>
      <w:r>
        <w:rPr>
          <w:color w:val="231F20"/>
          <w:spacing w:val="-14"/>
          <w:w w:val="105"/>
        </w:rPr>
        <w:t> </w:t>
      </w:r>
      <w:r>
        <w:rPr>
          <w:color w:val="231F20"/>
          <w:w w:val="105"/>
        </w:rPr>
        <w:t>que</w:t>
      </w:r>
      <w:r>
        <w:rPr>
          <w:color w:val="231F20"/>
          <w:spacing w:val="-14"/>
          <w:w w:val="105"/>
        </w:rPr>
        <w:t> </w:t>
      </w:r>
      <w:r>
        <w:rPr>
          <w:color w:val="231F20"/>
          <w:w w:val="105"/>
        </w:rPr>
        <w:t>por</w:t>
      </w:r>
      <w:r>
        <w:rPr>
          <w:color w:val="231F20"/>
          <w:spacing w:val="-14"/>
          <w:w w:val="105"/>
        </w:rPr>
        <w:t> </w:t>
      </w:r>
      <w:r>
        <w:rPr>
          <w:color w:val="231F20"/>
          <w:w w:val="105"/>
        </w:rPr>
        <w:t>su</w:t>
      </w:r>
      <w:r>
        <w:rPr>
          <w:color w:val="231F20"/>
          <w:spacing w:val="-14"/>
          <w:w w:val="105"/>
        </w:rPr>
        <w:t> </w:t>
      </w:r>
      <w:r>
        <w:rPr>
          <w:color w:val="231F20"/>
          <w:w w:val="105"/>
        </w:rPr>
        <w:t>cercanía</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Distrito</w:t>
      </w:r>
      <w:r>
        <w:rPr>
          <w:color w:val="231F20"/>
          <w:spacing w:val="-14"/>
          <w:w w:val="105"/>
        </w:rPr>
        <w:t> </w:t>
      </w:r>
      <w:r>
        <w:rPr>
          <w:color w:val="231F20"/>
          <w:w w:val="105"/>
        </w:rPr>
        <w:t>Federal,</w:t>
      </w:r>
      <w:r>
        <w:rPr>
          <w:color w:val="231F20"/>
          <w:spacing w:val="-14"/>
          <w:w w:val="105"/>
        </w:rPr>
        <w:t> </w:t>
      </w:r>
      <w:r>
        <w:rPr>
          <w:color w:val="231F20"/>
          <w:w w:val="105"/>
        </w:rPr>
        <w:t>la</w:t>
      </w:r>
      <w:r>
        <w:rPr>
          <w:color w:val="231F20"/>
          <w:spacing w:val="-14"/>
          <w:w w:val="105"/>
        </w:rPr>
        <w:t> </w:t>
      </w:r>
      <w:r>
        <w:rPr>
          <w:color w:val="231F20"/>
          <w:w w:val="105"/>
        </w:rPr>
        <w:t>vida</w:t>
      </w:r>
      <w:r>
        <w:rPr>
          <w:color w:val="231F20"/>
          <w:spacing w:val="-14"/>
          <w:w w:val="105"/>
        </w:rPr>
        <w:t> </w:t>
      </w:r>
      <w:r>
        <w:rPr>
          <w:color w:val="231F20"/>
          <w:w w:val="105"/>
        </w:rPr>
        <w:t>económica,</w:t>
      </w:r>
      <w:r>
        <w:rPr>
          <w:color w:val="231F20"/>
          <w:spacing w:val="-14"/>
          <w:w w:val="105"/>
        </w:rPr>
        <w:t> </w:t>
      </w:r>
      <w:r>
        <w:rPr>
          <w:color w:val="231F20"/>
          <w:w w:val="105"/>
        </w:rPr>
        <w:t>polí- tica</w:t>
      </w:r>
      <w:r>
        <w:rPr>
          <w:color w:val="231F20"/>
          <w:spacing w:val="-20"/>
          <w:w w:val="105"/>
        </w:rPr>
        <w:t> </w:t>
      </w:r>
      <w:r>
        <w:rPr>
          <w:color w:val="231F20"/>
          <w:w w:val="105"/>
        </w:rPr>
        <w:t>y</w:t>
      </w:r>
      <w:r>
        <w:rPr>
          <w:color w:val="231F20"/>
          <w:spacing w:val="-20"/>
          <w:w w:val="105"/>
        </w:rPr>
        <w:t> </w:t>
      </w:r>
      <w:r>
        <w:rPr>
          <w:color w:val="231F20"/>
          <w:w w:val="105"/>
        </w:rPr>
        <w:t>social</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0"/>
          <w:w w:val="105"/>
        </w:rPr>
        <w:t> </w:t>
      </w:r>
      <w:r>
        <w:rPr>
          <w:color w:val="231F20"/>
          <w:w w:val="105"/>
        </w:rPr>
        <w:t>Nezahualcóyotl</w:t>
      </w:r>
      <w:r>
        <w:rPr>
          <w:color w:val="231F20"/>
          <w:spacing w:val="-20"/>
          <w:w w:val="105"/>
        </w:rPr>
        <w:t> </w:t>
      </w:r>
      <w:r>
        <w:rPr>
          <w:color w:val="231F20"/>
          <w:w w:val="105"/>
        </w:rPr>
        <w:t>está</w:t>
      </w:r>
      <w:r>
        <w:rPr>
          <w:color w:val="231F20"/>
          <w:spacing w:val="-20"/>
          <w:w w:val="105"/>
        </w:rPr>
        <w:t> </w:t>
      </w:r>
      <w:r>
        <w:rPr>
          <w:color w:val="231F20"/>
          <w:w w:val="105"/>
        </w:rPr>
        <w:t>fuertemente</w:t>
      </w:r>
      <w:r>
        <w:rPr>
          <w:color w:val="231F20"/>
          <w:spacing w:val="-20"/>
          <w:w w:val="105"/>
        </w:rPr>
        <w:t> </w:t>
      </w:r>
      <w:r>
        <w:rPr>
          <w:color w:val="231F20"/>
          <w:spacing w:val="2"/>
          <w:w w:val="105"/>
        </w:rPr>
        <w:t>influida</w:t>
      </w:r>
      <w:r>
        <w:rPr>
          <w:color w:val="231F20"/>
          <w:spacing w:val="-20"/>
          <w:w w:val="105"/>
        </w:rPr>
        <w:t> </w:t>
      </w:r>
      <w:r>
        <w:rPr>
          <w:color w:val="231F20"/>
          <w:w w:val="105"/>
        </w:rPr>
        <w:t>por</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acon- tece en la capital del país y por tanto en la política nacional. </w:t>
      </w:r>
      <w:r>
        <w:rPr>
          <w:color w:val="231F20"/>
          <w:spacing w:val="-4"/>
          <w:w w:val="105"/>
        </w:rPr>
        <w:t>Tanto </w:t>
      </w:r>
      <w:r>
        <w:rPr>
          <w:color w:val="231F20"/>
          <w:w w:val="105"/>
        </w:rPr>
        <w:t>la crisis económica que</w:t>
      </w:r>
      <w:r>
        <w:rPr>
          <w:color w:val="231F20"/>
          <w:spacing w:val="-20"/>
          <w:w w:val="105"/>
        </w:rPr>
        <w:t> </w:t>
      </w:r>
      <w:r>
        <w:rPr>
          <w:color w:val="231F20"/>
          <w:w w:val="105"/>
        </w:rPr>
        <w:t>sufrió</w:t>
      </w:r>
      <w:r>
        <w:rPr>
          <w:color w:val="231F20"/>
          <w:spacing w:val="-20"/>
          <w:w w:val="105"/>
        </w:rPr>
        <w:t> </w:t>
      </w:r>
      <w:r>
        <w:rPr>
          <w:color w:val="231F20"/>
          <w:w w:val="105"/>
        </w:rPr>
        <w:t>el</w:t>
      </w:r>
      <w:r>
        <w:rPr>
          <w:color w:val="231F20"/>
          <w:spacing w:val="-20"/>
          <w:w w:val="105"/>
        </w:rPr>
        <w:t> </w:t>
      </w:r>
      <w:r>
        <w:rPr>
          <w:color w:val="231F20"/>
          <w:w w:val="105"/>
        </w:rPr>
        <w:t>país</w:t>
      </w:r>
      <w:r>
        <w:rPr>
          <w:color w:val="231F20"/>
          <w:spacing w:val="-20"/>
          <w:w w:val="105"/>
        </w:rPr>
        <w:t> </w:t>
      </w:r>
      <w:r>
        <w:rPr>
          <w:color w:val="231F20"/>
          <w:w w:val="105"/>
        </w:rPr>
        <w:t>en</w:t>
      </w:r>
      <w:r>
        <w:rPr>
          <w:color w:val="231F20"/>
          <w:spacing w:val="-20"/>
          <w:w w:val="105"/>
        </w:rPr>
        <w:t> </w:t>
      </w:r>
      <w:r>
        <w:rPr>
          <w:color w:val="231F20"/>
          <w:w w:val="105"/>
        </w:rPr>
        <w:t>diciembre</w:t>
      </w:r>
      <w:r>
        <w:rPr>
          <w:color w:val="231F20"/>
          <w:spacing w:val="-20"/>
          <w:w w:val="105"/>
        </w:rPr>
        <w:t> </w:t>
      </w:r>
      <w:r>
        <w:rPr>
          <w:color w:val="231F20"/>
          <w:w w:val="105"/>
        </w:rPr>
        <w:t>de</w:t>
      </w:r>
      <w:r>
        <w:rPr>
          <w:color w:val="231F20"/>
          <w:spacing w:val="-20"/>
          <w:w w:val="105"/>
        </w:rPr>
        <w:t> </w:t>
      </w:r>
      <w:r>
        <w:rPr>
          <w:color w:val="231F20"/>
          <w:w w:val="105"/>
        </w:rPr>
        <w:t>1994</w:t>
      </w:r>
      <w:r>
        <w:rPr>
          <w:color w:val="231F20"/>
          <w:spacing w:val="-20"/>
          <w:w w:val="105"/>
        </w:rPr>
        <w:t> </w:t>
      </w:r>
      <w:r>
        <w:rPr>
          <w:color w:val="231F20"/>
          <w:w w:val="105"/>
        </w:rPr>
        <w:t>como</w:t>
      </w:r>
      <w:r>
        <w:rPr>
          <w:color w:val="231F20"/>
          <w:spacing w:val="-20"/>
          <w:w w:val="105"/>
        </w:rPr>
        <w:t> </w:t>
      </w:r>
      <w:r>
        <w:rPr>
          <w:color w:val="231F20"/>
          <w:w w:val="105"/>
        </w:rPr>
        <w:t>el</w:t>
      </w:r>
      <w:r>
        <w:rPr>
          <w:color w:val="231F20"/>
          <w:spacing w:val="-20"/>
          <w:w w:val="105"/>
        </w:rPr>
        <w:t> </w:t>
      </w:r>
      <w:r>
        <w:rPr>
          <w:color w:val="231F20"/>
          <w:w w:val="105"/>
        </w:rPr>
        <w:t>proceso</w:t>
      </w:r>
      <w:r>
        <w:rPr>
          <w:color w:val="231F20"/>
          <w:spacing w:val="-20"/>
          <w:w w:val="105"/>
        </w:rPr>
        <w:t> </w:t>
      </w:r>
      <w:r>
        <w:rPr>
          <w:color w:val="231F20"/>
          <w:w w:val="105"/>
        </w:rPr>
        <w:t>de</w:t>
      </w:r>
      <w:r>
        <w:rPr>
          <w:color w:val="231F20"/>
          <w:spacing w:val="-20"/>
          <w:w w:val="105"/>
        </w:rPr>
        <w:t> </w:t>
      </w:r>
      <w:r>
        <w:rPr>
          <w:color w:val="231F20"/>
          <w:w w:val="105"/>
        </w:rPr>
        <w:t>democratización</w:t>
      </w:r>
      <w:r>
        <w:rPr>
          <w:color w:val="231F20"/>
          <w:spacing w:val="-20"/>
          <w:w w:val="105"/>
        </w:rPr>
        <w:t> </w:t>
      </w:r>
      <w:r>
        <w:rPr>
          <w:color w:val="231F20"/>
          <w:w w:val="105"/>
        </w:rPr>
        <w:t>del</w:t>
      </w:r>
      <w:r>
        <w:rPr>
          <w:color w:val="231F20"/>
          <w:spacing w:val="-20"/>
          <w:w w:val="105"/>
        </w:rPr>
        <w:t> </w:t>
      </w:r>
      <w:r>
        <w:rPr>
          <w:color w:val="231F20"/>
          <w:w w:val="105"/>
        </w:rPr>
        <w:t>Distrito Federal;</w:t>
      </w:r>
      <w:r>
        <w:rPr>
          <w:color w:val="231F20"/>
          <w:spacing w:val="-18"/>
          <w:w w:val="105"/>
        </w:rPr>
        <w:t> </w:t>
      </w:r>
      <w:r>
        <w:rPr>
          <w:color w:val="231F20"/>
          <w:w w:val="105"/>
        </w:rPr>
        <w:t>influyeron</w:t>
      </w:r>
      <w:r>
        <w:rPr>
          <w:color w:val="231F20"/>
          <w:spacing w:val="-18"/>
          <w:w w:val="105"/>
        </w:rPr>
        <w:t> </w:t>
      </w:r>
      <w:r>
        <w:rPr>
          <w:color w:val="231F20"/>
          <w:w w:val="105"/>
        </w:rPr>
        <w:t>de</w:t>
      </w:r>
      <w:r>
        <w:rPr>
          <w:color w:val="231F20"/>
          <w:spacing w:val="-18"/>
          <w:w w:val="105"/>
        </w:rPr>
        <w:t> </w:t>
      </w:r>
      <w:r>
        <w:rPr>
          <w:color w:val="231F20"/>
          <w:w w:val="105"/>
        </w:rPr>
        <w:t>manera</w:t>
      </w:r>
      <w:r>
        <w:rPr>
          <w:color w:val="231F20"/>
          <w:spacing w:val="-18"/>
          <w:w w:val="105"/>
        </w:rPr>
        <w:t> </w:t>
      </w:r>
      <w:r>
        <w:rPr>
          <w:color w:val="231F20"/>
          <w:w w:val="105"/>
        </w:rPr>
        <w:t>muy</w:t>
      </w:r>
      <w:r>
        <w:rPr>
          <w:color w:val="231F20"/>
          <w:spacing w:val="-18"/>
          <w:w w:val="105"/>
        </w:rPr>
        <w:t> </w:t>
      </w:r>
      <w:r>
        <w:rPr>
          <w:color w:val="231F20"/>
          <w:w w:val="105"/>
        </w:rPr>
        <w:t>importante</w:t>
      </w:r>
      <w:r>
        <w:rPr>
          <w:color w:val="231F20"/>
          <w:spacing w:val="-18"/>
          <w:w w:val="105"/>
        </w:rPr>
        <w:t> </w:t>
      </w:r>
      <w:r>
        <w:rPr>
          <w:color w:val="231F20"/>
          <w:w w:val="105"/>
        </w:rPr>
        <w:t>para</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comicios</w:t>
      </w:r>
      <w:r>
        <w:rPr>
          <w:color w:val="231F20"/>
          <w:spacing w:val="-18"/>
          <w:w w:val="105"/>
        </w:rPr>
        <w:t> </w:t>
      </w:r>
      <w:r>
        <w:rPr>
          <w:color w:val="231F20"/>
          <w:w w:val="105"/>
        </w:rPr>
        <w:t>municipales</w:t>
      </w:r>
      <w:r>
        <w:rPr>
          <w:color w:val="231F20"/>
          <w:spacing w:val="-18"/>
          <w:w w:val="105"/>
        </w:rPr>
        <w:t> </w:t>
      </w:r>
      <w:r>
        <w:rPr>
          <w:color w:val="231F20"/>
          <w:w w:val="105"/>
        </w:rPr>
        <w:t>de 1996,</w:t>
      </w:r>
      <w:r>
        <w:rPr>
          <w:color w:val="231F20"/>
          <w:spacing w:val="-22"/>
          <w:w w:val="105"/>
        </w:rPr>
        <w:t> </w:t>
      </w:r>
      <w:r>
        <w:rPr>
          <w:color w:val="231F20"/>
          <w:w w:val="105"/>
        </w:rPr>
        <w:t>el</w:t>
      </w:r>
      <w:r>
        <w:rPr>
          <w:color w:val="231F20"/>
          <w:spacing w:val="-22"/>
          <w:w w:val="105"/>
        </w:rPr>
        <w:t> </w:t>
      </w:r>
      <w:r>
        <w:rPr>
          <w:color w:val="231F20"/>
          <w:w w:val="105"/>
        </w:rPr>
        <w:t>PRD</w:t>
      </w:r>
      <w:r>
        <w:rPr>
          <w:color w:val="231F20"/>
          <w:spacing w:val="-22"/>
          <w:w w:val="105"/>
        </w:rPr>
        <w:t> </w:t>
      </w:r>
      <w:r>
        <w:rPr>
          <w:color w:val="231F20"/>
          <w:spacing w:val="2"/>
          <w:w w:val="105"/>
        </w:rPr>
        <w:t>alcanzara</w:t>
      </w:r>
      <w:r>
        <w:rPr>
          <w:color w:val="231F20"/>
          <w:spacing w:val="-22"/>
          <w:w w:val="105"/>
        </w:rPr>
        <w:t> </w:t>
      </w:r>
      <w:r>
        <w:rPr>
          <w:color w:val="231F20"/>
          <w:w w:val="105"/>
        </w:rPr>
        <w:t>el</w:t>
      </w:r>
      <w:r>
        <w:rPr>
          <w:color w:val="231F20"/>
          <w:spacing w:val="-22"/>
          <w:w w:val="105"/>
        </w:rPr>
        <w:t> </w:t>
      </w:r>
      <w:r>
        <w:rPr>
          <w:color w:val="231F20"/>
          <w:w w:val="105"/>
        </w:rPr>
        <w:t>triunfo</w:t>
      </w:r>
      <w:r>
        <w:rPr>
          <w:color w:val="231F20"/>
          <w:spacing w:val="-22"/>
          <w:w w:val="105"/>
        </w:rPr>
        <w:t> </w:t>
      </w:r>
      <w:r>
        <w:rPr>
          <w:color w:val="231F20"/>
          <w:w w:val="105"/>
        </w:rPr>
        <w:t>con</w:t>
      </w:r>
      <w:r>
        <w:rPr>
          <w:color w:val="231F20"/>
          <w:spacing w:val="-22"/>
          <w:w w:val="105"/>
        </w:rPr>
        <w:t> </w:t>
      </w:r>
      <w:r>
        <w:rPr>
          <w:color w:val="231F20"/>
          <w:w w:val="105"/>
        </w:rPr>
        <w:t>un</w:t>
      </w:r>
      <w:r>
        <w:rPr>
          <w:color w:val="231F20"/>
          <w:spacing w:val="-22"/>
          <w:w w:val="105"/>
        </w:rPr>
        <w:t> </w:t>
      </w:r>
      <w:r>
        <w:rPr>
          <w:color w:val="231F20"/>
          <w:w w:val="105"/>
        </w:rPr>
        <w:t>32.7%</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sufragios.</w:t>
      </w:r>
    </w:p>
    <w:p>
      <w:pPr>
        <w:spacing w:after="0" w:line="285" w:lineRule="auto"/>
        <w:jc w:val="both"/>
        <w:sectPr>
          <w:pgSz w:w="9640" w:h="12190"/>
          <w:pgMar w:header="0" w:footer="743" w:top="1120" w:bottom="940" w:left="740" w:right="740"/>
        </w:sectPr>
      </w:pPr>
    </w:p>
    <w:p>
      <w:pPr>
        <w:pStyle w:val="Heading5"/>
        <w:spacing w:before="27"/>
        <w:ind w:left="537" w:right="576"/>
        <w:jc w:val="center"/>
      </w:pPr>
      <w:r>
        <w:rPr/>
        <w:pict>
          <v:group style="position:absolute;margin-left:380.304077pt;margin-top:73.40464pt;width:31.25pt;height:6.05pt;mso-position-horizontal-relative:page;mso-position-vertical-relative:paragraph;z-index:-589936" coordorigin="7606,1468" coordsize="625,121">
            <v:line style="position:absolute" from="7626,1568" to="7930,1568" stroked="true" strokeweight="2pt" strokecolor="#1b75bc"/>
            <v:shape style="position:absolute;left:7977;top:1468;width:254;height:101" coordorigin="7977,1468" coordsize="254,101" path="m8051,1488l8049,1481,8048,1480,8038,1471,8038,1471,8038,1490,8038,1503,8036,1508,8028,1513,8023,1514,7991,1514,7991,1480,8022,1480,8027,1480,8030,1482,8035,1485,8038,1490,8038,1471,8031,1468,7977,1468,7977,1568,7991,1568,7991,1526,8032,1526,8039,1523,8046,1514,8049,1511,8051,1505,8051,1488m8139,1568l8128,1538,8124,1527,8110,1488,8110,1527,8079,1527,8095,1483,8110,1527,8110,1488,8108,1483,8103,1468,8088,1468,8050,1568,8064,1568,8075,1538,8114,1538,8124,1568,8139,1568m8230,1468l8217,1468,8217,1549,8179,1487,8168,1468,8152,1468,8152,1568,8165,1568,8165,1487,8215,1568,8230,1568,8230,1549,8230,1468e" filled="true" fillcolor="#231f20" stroked="false">
              <v:path arrowok="t"/>
              <v:fill type="solid"/>
            </v:shape>
            <w10:wrap type="none"/>
          </v:group>
        </w:pict>
      </w:r>
      <w:r>
        <w:rPr/>
        <w:pict>
          <v:group style="position:absolute;margin-left:380.304077pt;margin-top:92.418549pt;width:55.85pt;height:15.8pt;mso-position-horizontal-relative:page;mso-position-vertical-relative:paragraph;z-index:-589912" coordorigin="7606,1848" coordsize="1117,316">
            <v:line style="position:absolute" from="7626,1935" to="7930,1935" stroked="true" strokeweight="2pt" strokecolor="#009444"/>
            <v:shape style="position:absolute;left:7977;top:1855;width:176;height:101" coordorigin="7977,1855" coordsize="176,101" path="m8051,1875l8049,1868,8048,1867,8038,1858,8038,1858,8038,1877,8038,1891,8036,1895,8028,1900,8023,1902,7991,1902,7991,1867,8022,1867,8027,1868,8030,1869,8035,1872,8038,1877,8038,1858,8031,1855,7977,1855,7977,1955,7991,1955,7991,1913,8032,1913,8039,1910,8046,1902,8049,1899,8051,1892,8051,1875m8152,1953l8150,1952,8149,1950,8147,1945,8147,1942,8146,1925,8146,1919,8145,1915,8143,1913,8141,1910,8138,1908,8134,1906,8139,1904,8142,1901,8142,1901,8147,1893,8148,1888,8148,1871,8146,1867,8144,1863,8135,1859,8135,1877,8135,1890,8133,1895,8126,1900,8121,1901,8084,1901,8084,1867,8121,1867,8124,1868,8132,1872,8135,1877,8135,1859,8130,1856,8123,1855,8070,1855,8070,1955,8084,1955,8084,1913,8119,1913,8123,1913,8126,1914,8130,1917,8133,1921,8134,1948,8134,1951,8135,1954,8135,1955,8135,1955,8152,1955,8152,1953e" filled="true" fillcolor="#231f20" stroked="false">
              <v:path arrowok="t"/>
              <v:fill type="solid"/>
            </v:shape>
            <v:line style="position:absolute" from="8179,1855" to="8179,1955" stroked="true" strokeweight=".684pt" strokecolor="#231f20"/>
            <v:shape style="position:absolute;left:7975;top:2028;width:748;height:135" type="#_x0000_t75" stroked="false">
              <v:imagedata r:id="rId834" o:title=""/>
            </v:shape>
            <w10:wrap type="none"/>
          </v:group>
        </w:pict>
      </w:r>
      <w:r>
        <w:rPr/>
        <w:pict>
          <v:group style="position:absolute;margin-left:380.304077pt;margin-top:111.786842pt;width:32.3pt;height:5.05pt;mso-position-horizontal-relative:page;mso-position-vertical-relative:paragraph;z-index:-589888" coordorigin="7606,2236" coordsize="646,101">
            <v:line style="position:absolute" from="7626,2309" to="7930,2309" stroked="true" strokeweight="2pt" strokecolor="#f9ed32"/>
            <v:shape style="position:absolute;left:7977;top:2236;width:275;height:101" coordorigin="7977,2236" coordsize="275,101" path="m8051,2255l8049,2248,8048,2247,8038,2238,8038,2238,8038,2257,8038,2271,8036,2276,8028,2281,8023,2282,7991,2282,7991,2247,8022,2247,8027,2248,8030,2250,8035,2252,8038,2257,8038,2238,8031,2236,7977,2236,7977,2336,7991,2336,7991,2294,8032,2294,8039,2291,8046,2282,8049,2279,8051,2272,8051,2255m8152,2334l8150,2333,8149,2331,8147,2326,8147,2323,8146,2306,8146,2300,8145,2296,8143,2293,8141,2290,8138,2288,8134,2287,8139,2284,8142,2282,8142,2281,8147,2274,8148,2269,8148,2251,8146,2247,8144,2243,8135,2239,8135,2257,8135,2271,8133,2275,8126,2280,8121,2282,8084,2282,8084,2247,8121,2247,8124,2248,8132,2252,8135,2257,8135,2239,8130,2237,8123,2236,8070,2236,8070,2336,8084,2336,8084,2293,8119,2293,8123,2294,8126,2295,8130,2297,8133,2301,8134,2329,8134,2331,8135,2334,8135,2335,8135,2336,8152,2336,8152,2334m8252,2271l8248,2259,8240,2247,8238,2245,8238,2274,8238,2290,8238,2293,8236,2303,8234,2309,8228,2318,8224,2321,8219,2323,8216,2324,8212,2324,8184,2324,8184,2247,8218,2247,8226,2251,8236,2265,8238,2274,8238,2245,8234,2241,8224,2236,8170,2236,8170,2336,8210,2336,8222,2334,8232,2330,8238,2324,8240,2323,8246,2313,8250,2305,8252,2295,8252,2271e" filled="true" fillcolor="#231f20" stroked="false">
              <v:path arrowok="t"/>
              <v:fill type="solid"/>
            </v:shape>
            <w10:wrap type="none"/>
          </v:group>
        </w:pict>
      </w:r>
      <w:r>
        <w:rPr/>
        <w:pict>
          <v:shape style="position:absolute;margin-left:115.656006pt;margin-top:41.594521pt;width:9.1pt;height:5pt;mso-position-horizontal-relative:page;mso-position-vertical-relative:paragraph;z-index:-589840" coordorigin="2313,832" coordsize="182,100" path="m2398,876l2398,873,2398,870,2397,865,2396,859,2394,853,2389,846,2387,844,2383,840,2382,839,2382,873,2330,873,2331,865,2333,859,2343,848,2349,846,2366,846,2373,849,2380,861,2381,867,2382,873,2382,839,2370,833,2364,832,2344,832,2333,837,2317,855,2313,868,2313,898,2317,910,2333,927,2343,931,2360,931,2364,931,2368,930,2375,928,2380,925,2385,920,2388,918,2391,914,2395,906,2397,902,2397,898,2381,898,2380,903,2378,906,2376,909,2371,915,2364,918,2347,918,2341,915,2333,903,2330,895,2330,886,2398,886,2398,876m2495,928l2495,858,2493,851,2491,846,2486,837,2477,832,2458,832,2452,833,2442,838,2438,842,2433,847,2433,834,2418,834,2418,928,2434,928,2434,873,2434,868,2436,861,2438,858,2444,851,2447,849,2451,847,2454,846,2457,846,2468,846,2473,849,2478,858,2479,863,2479,928,2495,928e" filled="true" fillcolor="#231f20" stroked="false">
            <v:path arrowok="t"/>
            <v:fill type="solid"/>
            <w10:wrap type="none"/>
          </v:shape>
        </w:pict>
      </w:r>
      <w:r>
        <w:rPr>
          <w:color w:val="231F20"/>
          <w:w w:val="105"/>
        </w:rPr>
        <w:t>Gráfica 1</w:t>
      </w:r>
    </w:p>
    <w:p>
      <w:pPr>
        <w:pStyle w:val="BodyText"/>
        <w:rPr>
          <w:b/>
          <w:sz w:val="21"/>
        </w:rPr>
      </w:pPr>
      <w:r>
        <w:rPr/>
        <w:pict>
          <v:group style="position:absolute;margin-left:42.519699pt;margin-top:63.991215pt;width:6.3pt;height:67.5pt;mso-position-horizontal-relative:page;mso-position-vertical-relative:paragraph;z-index:11680;mso-wrap-distance-left:0;mso-wrap-distance-right:0" coordorigin="850,1280" coordsize="126,1350">
            <v:shape style="position:absolute;left:853;top:2011;width:124;height:619" type="#_x0000_t75" stroked="false">
              <v:imagedata r:id="rId835" o:title=""/>
            </v:shape>
            <v:shape style="position:absolute;left:852;top:1902;width:99;height:62" coordorigin="852,1902" coordsize="99,62" path="m948,1902l852,1902,852,1913,887,1913,884,1916,882,1918,878,1924,877,1929,877,1943,881,1951,896,1961,905,1964,926,1964,934,1961,945,1951,905,1951,899,1950,890,1942,887,1937,888,1926,890,1922,898,1915,904,1913,939,1913,938,1913,948,1913,948,1902xm939,1913l922,1913,929,1915,938,1922,940,1926,940,1938,938,1943,928,1950,922,1951,945,1951,947,1950,951,1943,951,1930,950,1926,946,1919,943,1915,939,1913xe" filled="true" fillcolor="#231f20" stroked="false">
              <v:path arrowok="t"/>
              <v:fill type="solid"/>
            </v:shape>
            <v:shape style="position:absolute;left:877;top:1825;width:74;height:64" coordorigin="877,1825" coordsize="74,64" path="m917,1825l910,1825,905,1826,902,1826,897,1827,893,1829,886,1834,883,1837,878,1846,877,1851,877,1866,880,1874,894,1886,903,1889,926,1889,935,1886,945,1876,917,1876,917,1876,908,1876,902,1876,897,1874,889,1866,887,1862,887,1849,890,1844,899,1839,903,1838,908,1837,917,1837,917,1825xm926,1826l926,1838,929,1839,932,1840,934,1842,938,1846,940,1851,940,1863,938,1868,930,1874,924,1876,917,1876,945,1876,947,1874,951,1866,951,1854,950,1851,948,1843,946,1839,942,1835,940,1833,938,1831,932,1828,929,1827,926,1826xm917,1837l908,1837,908,1876,917,1876,917,1837xe" filled="true" fillcolor="#231f20" stroked="false">
              <v:path arrowok="t"/>
              <v:fill type="solid"/>
            </v:shape>
            <v:shape style="position:absolute;left:850;top:1280;width:100;height:499" type="#_x0000_t75" stroked="false">
              <v:imagedata r:id="rId836" o:title=""/>
            </v:shape>
            <w10:wrap type="topAndBottom"/>
          </v:group>
        </w:pict>
      </w:r>
      <w:r>
        <w:rPr/>
        <w:pict>
          <v:group style="position:absolute;margin-left:66.067001pt;margin-top:14.051119pt;width:320.5pt;height:157.950pt;mso-position-horizontal-relative:page;mso-position-vertical-relative:paragraph;z-index:11704;mso-wrap-distance-left:0;mso-wrap-distance-right:0" coordorigin="1321,281" coordsize="6410,3159">
            <v:line style="position:absolute" from="1799,792" to="7506,792" stroked="true" strokeweight=".5pt" strokecolor="#231f20"/>
            <v:line style="position:absolute" from="1799,1121" to="7506,1121" stroked="true" strokeweight=".5pt" strokecolor="#231f20"/>
            <v:line style="position:absolute" from="1799,1455" to="7506,1455" stroked="true" strokeweight=".5pt" strokecolor="#231f20"/>
            <v:line style="position:absolute" from="1799,1764" to="7506,1764" stroked="true" strokeweight=".5pt" strokecolor="#231f20"/>
            <v:line style="position:absolute" from="1799,2098" to="7506,2098" stroked="true" strokeweight=".5pt" strokecolor="#231f20"/>
            <v:line style="position:absolute" from="1799,2402" to="7506,2402" stroked="true" strokeweight=".5pt" strokecolor="#231f20"/>
            <v:line style="position:absolute" from="1799,2736" to="7506,2736" stroked="true" strokeweight=".5pt" strokecolor="#231f20"/>
            <v:line style="position:absolute" from="1799,3070" to="7506,3070" stroked="true" strokeweight=".5pt" strokecolor="#231f20"/>
            <v:line style="position:absolute" from="1799,3379" to="7506,3379" stroked="true" strokeweight="1pt" strokecolor="#231f20"/>
            <v:line style="position:absolute" from="1829,3429" to="1829,792" stroked="true" strokeweight="1pt" strokecolor="#231f20"/>
            <v:line style="position:absolute" from="2965,3429" to="2965,3379" stroked="true" strokeweight="1pt" strokecolor="#231f20"/>
            <v:line style="position:absolute" from="4092,3429" to="4092,3379" stroked="true" strokeweight="1pt" strokecolor="#231f20"/>
            <v:line style="position:absolute" from="5243,3429" to="5243,3379" stroked="true" strokeweight="1pt" strokecolor="#231f20"/>
            <v:line style="position:absolute" from="6370,3429" to="6370,3379" stroked="true" strokeweight="1pt" strokecolor="#231f20"/>
            <v:line style="position:absolute" from="7506,3429" to="7506,792" stroked="true" strokeweight="1pt" strokecolor="#231f20"/>
            <v:shape style="position:absolute;left:1322;top:753;width:397;height:102" type="#_x0000_t75" stroked="false">
              <v:imagedata r:id="rId837" o:title=""/>
            </v:shape>
            <v:shape style="position:absolute;left:1323;top:1077;width:397;height:101" type="#_x0000_t75" stroked="false">
              <v:imagedata r:id="rId838" o:title=""/>
            </v:shape>
            <v:shape style="position:absolute;left:1323;top:1399;width:397;height:102" type="#_x0000_t75" stroked="false">
              <v:imagedata r:id="rId839" o:title=""/>
            </v:shape>
            <v:shape style="position:absolute;left:1322;top:1723;width:397;height:101" type="#_x0000_t75" stroked="false">
              <v:imagedata r:id="rId840" o:title=""/>
            </v:shape>
            <v:shape style="position:absolute;left:1322;top:2045;width:398;height:102" type="#_x0000_t75" stroked="false">
              <v:imagedata r:id="rId841" o:title=""/>
            </v:shape>
            <v:shape style="position:absolute;left:1321;top:2369;width:398;height:102" type="#_x0000_t75" stroked="false">
              <v:imagedata r:id="rId842" o:title=""/>
            </v:shape>
            <v:shape style="position:absolute;left:1322;top:2691;width:397;height:102" type="#_x0000_t75" stroked="false">
              <v:imagedata r:id="rId843" o:title=""/>
            </v:shape>
            <v:shape style="position:absolute;left:1330;top:3015;width:390;height:101" type="#_x0000_t75" stroked="false">
              <v:imagedata r:id="rId844" o:title=""/>
            </v:shape>
            <v:shape style="position:absolute;left:1389;top:3338;width:331;height:101" type="#_x0000_t75" stroked="false">
              <v:imagedata r:id="rId845" o:title=""/>
            </v:shape>
            <v:shape style="position:absolute;left:1766;top:290;width:96;height:129" coordorigin="1766,290" coordsize="96,129" path="m1835,290l1766,290,1766,419,1783,419,1783,364,1836,364,1846,360,1855,349,1783,349,1783,305,1857,305,1844,293,1835,290xm1857,305l1824,305,1830,306,1833,308,1840,311,1844,317,1844,335,1841,341,1832,348,1825,349,1855,349,1858,346,1861,337,1861,315,1858,306,1857,305xe" filled="true" fillcolor="#231f20" stroked="false">
              <v:path arrowok="t"/>
              <v:fill type="solid"/>
            </v:shape>
            <v:shape style="position:absolute;left:1875;top:322;width:87;height:100" coordorigin="1875,322" coordsize="87,100" path="m1931,322l1906,322,1895,327,1879,345,1875,358,1875,389,1879,400,1894,418,1904,422,1932,422,1944,417,1950,408,1909,408,1902,405,1894,392,1891,383,1891,363,1894,354,1902,339,1909,336,1951,336,1941,326,1931,322xm1951,336l1930,336,1937,340,1941,349,1944,354,1946,361,1946,380,1944,389,1940,396,1936,404,1929,408,1950,408,1958,397,1962,385,1962,354,1958,342,1951,336xe" filled="true" fillcolor="#231f20" stroked="false">
              <v:path arrowok="t"/>
              <v:fill type="solid"/>
            </v:shape>
            <v:shape style="position:absolute;left:1982;top:323;width:46;height:96" coordorigin="1982,323" coordsize="46,96" path="m1997,325l1982,325,1982,419,1998,419,1998,358,2000,352,2008,342,2011,341,1997,341,1997,325xm2016,323l2011,325,2001,334,1998,338,1997,341,2011,341,2014,339,2028,339,2028,323,2026,323,2016,323xm2028,339l2014,339,2026,339,2028,340,2028,339xe" filled="true" fillcolor="#231f20" stroked="false">
              <v:path arrowok="t"/>
              <v:fill type="solid"/>
            </v:shape>
            <v:shape style="position:absolute;left:2035;top:322;width:81;height:100" coordorigin="2035,322" coordsize="81,100" path="m2088,322l2065,322,2055,327,2047,336,2042,343,2038,352,2036,363,2035,374,2035,388,2038,399,2053,417,2063,421,2086,421,2095,418,2108,408,2068,408,2062,404,2054,392,2052,384,2052,365,2053,357,2060,341,2067,336,2110,336,2110,335,2097,325,2088,322xm2115,385l2100,385,2098,392,2096,398,2088,406,2083,408,2108,408,2109,407,2113,398,2115,385xm2110,336l2085,336,2090,338,2097,346,2099,350,2100,356,2115,356,2114,344,2110,336xe" filled="true" fillcolor="#231f20" stroked="false">
              <v:path arrowok="t"/>
              <v:fill type="solid"/>
            </v:shape>
            <v:shape style="position:absolute;left:2126;top:323;width:86;height:100" coordorigin="2126,323" coordsize="86,100" path="m2176,323l2157,323,2146,327,2130,346,2126,358,2126,389,2130,401,2146,418,2156,422,2172,422,2176,421,2180,420,2187,419,2193,416,2198,411,2201,408,2160,408,2153,405,2145,394,2143,386,2143,377,2211,377,2211,367,2211,364,2143,364,2143,356,2146,349,2155,339,2162,336,2201,336,2200,334,2195,330,2183,324,2176,323xm2209,389l2194,389,2193,393,2191,397,2188,400,2183,406,2177,408,2201,408,2203,405,2208,396,2209,393,2209,389xm2201,336l2179,336,2186,340,2192,352,2194,357,2195,364,2211,364,2210,360,2209,356,2208,350,2206,344,2201,336xe" filled="true" fillcolor="#231f20" stroked="false">
              <v:path arrowok="t"/>
              <v:fill type="solid"/>
            </v:shape>
            <v:shape style="position:absolute;left:2231;top:323;width:77;height:96" coordorigin="2231,323" coordsize="77,96" path="m2246,325l2231,325,2231,419,2247,419,2247,363,2247,359,2249,352,2250,349,2256,342,2260,339,2264,338,2246,338,2246,325xm2304,337l2281,337,2286,340,2290,349,2291,354,2291,419,2307,419,2307,349,2306,342,2304,337xm2290,323l2270,323,2265,324,2255,329,2250,333,2246,338,2264,338,2267,337,2270,337,2304,337,2299,327,2290,323xe" filled="true" fillcolor="#231f20" stroked="false">
              <v:path arrowok="t"/>
              <v:fill type="solid"/>
            </v:shape>
            <v:shape style="position:absolute;left:2321;top:299;width:44;height:122" coordorigin="2321,299" coordsize="44,122" path="m2350,338l2334,338,2334,406,2335,411,2340,418,2345,420,2357,420,2361,419,2363,419,2365,419,2365,406,2356,406,2354,406,2351,404,2350,402,2350,338xm2365,406l2356,406,2365,406,2365,406xm2365,325l2321,325,2321,338,2365,338,2365,325xm2350,299l2334,299,2334,325,2350,325,2350,299xe" filled="true" fillcolor="#231f20" stroked="false">
              <v:path arrowok="t"/>
              <v:fill type="solid"/>
            </v:shape>
            <v:shape style="position:absolute;left:2376;top:322;width:89;height:100" coordorigin="2376,322" coordsize="89,100" path="m2452,336l2424,336,2429,337,2437,342,2439,346,2439,354,2439,356,2437,360,2434,361,2397,366,2390,369,2379,379,2376,385,2376,402,2379,409,2390,419,2397,422,2413,422,2420,420,2432,414,2436,410,2438,408,2405,408,2401,407,2394,402,2393,398,2393,388,2395,383,2400,381,2403,379,2407,378,2422,376,2425,375,2428,375,2434,373,2437,372,2439,371,2454,371,2454,339,2452,336xm2455,406l2439,406,2440,410,2441,413,2445,419,2448,421,2458,420,2460,420,2462,420,2465,419,2465,408,2457,408,2456,407,2455,406xm2454,371l2439,371,2439,393,2434,400,2425,404,2420,407,2415,408,2438,408,2439,406,2455,406,2455,405,2454,404,2454,371xm2465,407l2463,408,2457,408,2465,408,2465,407xm2428,322l2408,322,2399,325,2385,334,2381,342,2381,353,2396,353,2396,349,2398,345,2403,338,2409,336,2452,336,2451,333,2437,325,2428,322xe" filled="true" fillcolor="#231f20" stroked="false">
              <v:path arrowok="t"/>
              <v:fill type="solid"/>
            </v:shape>
            <v:shape style="position:absolute;left:2465;top:290;width:31;height:167" coordorigin="2465,290" coordsize="31,167" path="m2496,325l2480,325,2480,436,2480,439,2477,441,2472,442,2465,442,2465,456,2467,456,2482,456,2489,454,2493,448,2495,444,2496,439,2496,325xm2496,290l2480,290,2480,308,2496,308,2496,290xe" filled="true" fillcolor="#231f20" stroked="false">
              <v:path arrowok="t"/>
              <v:fill type="solid"/>
            </v:shape>
            <v:shape style="position:absolute;left:2515;top:323;width:86;height:100" coordorigin="2515,323" coordsize="86,100" path="m2565,323l2546,323,2535,327,2519,346,2515,358,2515,389,2519,401,2535,418,2545,422,2561,422,2565,421,2569,420,2576,419,2582,416,2587,411,2590,408,2549,408,2543,405,2534,394,2532,386,2532,377,2600,377,2600,367,2600,364,2532,364,2532,356,2535,349,2545,339,2551,336,2590,336,2589,334,2584,330,2572,324,2565,323xm2599,389l2583,389,2582,393,2580,397,2577,400,2572,406,2566,408,2590,408,2592,405,2597,396,2598,393,2599,389xm2590,336l2568,336,2575,340,2582,352,2583,357,2584,364,2600,364,2599,360,2599,356,2597,350,2595,344,2590,336xe" filled="true" fillcolor="#231f20" stroked="false">
              <v:path arrowok="t"/>
              <v:fill type="solid"/>
            </v:shape>
            <v:shape style="position:absolute;left:2663;top:289;width:186;height:132" type="#_x0000_t75" stroked="false">
              <v:imagedata r:id="rId846" o:title=""/>
            </v:shape>
            <v:shape style="position:absolute;left:2901;top:289;width:1401;height:168" type="#_x0000_t75" stroked="false">
              <v:imagedata r:id="rId847" o:title=""/>
            </v:shape>
            <v:shape style="position:absolute;left:4359;top:287;width:672;height:135" type="#_x0000_t75" stroked="false">
              <v:imagedata r:id="rId848" o:title=""/>
            </v:shape>
            <v:shape style="position:absolute;left:5097;top:282;width:222;height:145" type="#_x0000_t75" stroked="false">
              <v:imagedata r:id="rId849" o:title=""/>
            </v:shape>
            <v:shape style="position:absolute;left:2568;top:511;width:212;height:144" type="#_x0000_t75" stroked="false">
              <v:imagedata r:id="rId850" o:title=""/>
            </v:shape>
            <v:shape style="position:absolute;left:2851;top:511;width:1844;height:174" type="#_x0000_t75" stroked="false">
              <v:imagedata r:id="rId851" o:title=""/>
            </v:shape>
            <v:shape style="position:absolute;left:4756;top:519;width:186;height:132" type="#_x0000_t75" stroked="false">
              <v:imagedata r:id="rId852" o:title=""/>
            </v:shape>
            <v:shape style="position:absolute;left:5014;top:519;width:591;height:132" type="#_x0000_t75" stroked="false">
              <v:imagedata r:id="rId853" o:title=""/>
            </v:shape>
            <v:shape style="position:absolute;left:5397;top:290;width:374;height:155" type="#_x0000_t75" stroked="false">
              <v:imagedata r:id="rId854" o:title=""/>
            </v:shape>
            <v:shape style="position:absolute;left:5853;top:290;width:225;height:129" type="#_x0000_t75" stroked="false">
              <v:imagedata r:id="rId855" o:title=""/>
            </v:shape>
            <v:shape style="position:absolute;left:6104;top:281;width:382;height:174" type="#_x0000_t75" stroked="false">
              <v:imagedata r:id="rId856" o:title=""/>
            </v:shape>
            <v:shape style="position:absolute;left:6513;top:281;width:647;height:174" type="#_x0000_t75" stroked="false">
              <v:imagedata r:id="rId857" o:title=""/>
            </v:shape>
            <v:shape style="position:absolute;left:7225;top:325;width:86;height:133" coordorigin="7225,325" coordsize="86,133" path="m7233,441l7233,456,7235,456,7237,457,7238,457,7252,457,7258,454,7262,449,7265,443,7266,443,7245,443,7241,443,7238,443,7236,442,7233,441xm7243,325l7225,325,7260,421,7259,423,7256,431,7253,438,7252,440,7250,441,7248,443,7245,443,7266,443,7270,434,7275,421,7281,405,7283,401,7268,401,7243,325xm7311,325l7293,325,7268,401,7283,401,7285,397,7288,388,7292,377,7305,340,7311,325xe" filled="true" fillcolor="#231f20" stroked="false">
              <v:path arrowok="t"/>
              <v:fill type="solid"/>
            </v:shape>
            <v:shape style="position:absolute;left:7378;top:290;width:353;height:129" type="#_x0000_t75" stroked="false">
              <v:imagedata r:id="rId858" o:title=""/>
            </v:shape>
            <v:shape style="position:absolute;left:5631;top:511;width:630;height:175" type="#_x0000_t75" stroked="false">
              <v:imagedata r:id="rId859" o:title=""/>
            </v:shape>
            <v:shape style="position:absolute;left:6344;top:522;width:834;height:129" type="#_x0000_t75" stroked="false">
              <v:imagedata r:id="rId860" o:title=""/>
            </v:shape>
            <v:shape style="position:absolute;left:2381;top:1121;width:4570;height:1017" coordorigin="2381,1121" coordsize="4570,1017" path="m2381,1743l3540,1404,4667,2138,5800,1221,6950,1121e" filled="false" stroked="true" strokeweight="2pt" strokecolor="#92278f">
              <v:path arrowok="t"/>
            </v:shape>
            <v:shape style="position:absolute;left:2397;top:1630;width:4553;height:968" coordorigin="2397,1630" coordsize="4553,968" path="m2397,1630l3544,2451,4683,2531,5820,2514,6950,2598e" filled="false" stroked="true" strokeweight="2pt" strokecolor="#009444">
              <v:path arrowok="t"/>
            </v:shape>
            <v:shape style="position:absolute;left:2381;top:1567;width:4570;height:1396" coordorigin="2381,1567" coordsize="4570,1396" path="m2381,2962l3557,2338,4667,2138,5810,1743,6950,1567e" filled="false" stroked="true" strokeweight="2.0pt" strokecolor="#f9ed32">
              <v:path arrowok="t"/>
            </v:shape>
            <v:shape style="position:absolute;left:2417;top:2500;width:4533;height:493" coordorigin="2417,2500" coordsize="4533,493" path="m2417,2992l3527,2641,4673,2500,5793,2889,6950,2949e" filled="false" stroked="true" strokeweight="2pt" strokecolor="#1b75bc">
              <v:path arrowok="t"/>
            </v:shape>
            <v:shape style="position:absolute;left:2500;top:1600;width:357;height:198" type="#_x0000_t75" stroked="false">
              <v:imagedata r:id="rId861" o:title=""/>
            </v:shape>
            <v:shape style="position:absolute;left:3631;top:1371;width:52;height:78" coordorigin="3631,1371" coordsize="52,78" path="m3667,1371l3647,1371,3639,1377,3632,1396,3631,1404,3631,1426,3633,1435,3633,1435,3644,1445,3650,1448,3665,1448,3671,1446,3676,1440,3653,1440,3649,1438,3643,1432,3642,1428,3642,1417,3643,1413,3649,1408,3651,1407,3641,1407,3641,1400,3641,1398,3643,1391,3649,1381,3653,1379,3677,1379,3672,1373,3667,1371xm3678,1407l3663,1407,3667,1408,3671,1415,3672,1419,3672,1428,3671,1431,3666,1438,3662,1440,3676,1440,3680,1435,3682,1429,3682,1414,3680,1408,3678,1407xm3665,1398l3655,1398,3652,1399,3649,1400,3645,1402,3643,1404,3641,1407,3651,1407,3653,1407,3678,1407,3671,1400,3665,1398xm3677,1379l3663,1379,3666,1381,3670,1385,3671,1388,3671,1391,3681,1391,3681,1386,3679,1382,3677,1379xe" filled="true" fillcolor="#231f20" stroked="false">
              <v:path arrowok="t"/>
              <v:fill type="solid"/>
            </v:shape>
            <v:shape style="position:absolute;left:3690;top:1371;width:52;height:78" coordorigin="3690,1371" coordsize="52,78" path="m3725,1371l3705,1371,3697,1377,3691,1394,3690,1400,3690,1421,3692,1430,3700,1444,3707,1448,3726,1448,3733,1443,3735,1440,3709,1440,3705,1436,3701,1424,3700,1419,3700,1400,3701,1393,3707,1382,3711,1379,3735,1379,3732,1375,3725,1371xm3735,1379l3722,1379,3726,1382,3731,1393,3732,1400,3732,1421,3730,1429,3724,1437,3720,1440,3735,1440,3740,1427,3742,1419,3742,1398,3740,1389,3735,1379xe" filled="true" fillcolor="#231f20" stroked="false">
              <v:path arrowok="t"/>
              <v:fill type="solid"/>
            </v:shape>
            <v:shape style="position:absolute;left:3755;top:1435;width:12;height:28" coordorigin="3755,1435" coordsize="12,28" path="m3767,1435l3755,1435,3755,1446,3761,1446,3761,1450,3761,1451,3759,1455,3758,1457,3755,1457,3755,1462,3759,1461,3762,1459,3766,1453,3767,1450,3767,1435xe" filled="true" fillcolor="#231f20" stroked="false">
              <v:path arrowok="t"/>
              <v:fill type="solid"/>
            </v:shape>
            <v:shape style="position:absolute;left:3780;top:1372;width:53;height:74" coordorigin="3780,1372" coordsize="53,74" path="m3833,1372l3780,1372,3780,1382,3822,1382,3817,1388,3791,1446,3801,1446,3803,1438,3804,1433,3833,1380,3833,1372xe" filled="true" fillcolor="#231f20" stroked="false">
              <v:path arrowok="t"/>
              <v:fill type="solid"/>
            </v:shape>
            <v:shape style="position:absolute;left:3839;top:1371;width:53;height:78" coordorigin="3839,1371" coordsize="53,78" path="m3849,1423l3839,1423,3839,1430,3841,1436,3849,1446,3855,1448,3873,1448,3879,1446,3886,1440,3858,1440,3854,1438,3850,1431,3849,1428,3849,1423xm3887,1411l3869,1411,3873,1412,3880,1417,3881,1420,3881,1430,3880,1433,3874,1438,3870,1440,3886,1440,3889,1437,3891,1431,3891,1419,3890,1416,3887,1411xm3859,1403l3859,1411,3869,1411,3887,1411,3886,1409,3883,1407,3879,1406,3881,1405,3883,1404,3884,1403,3867,1403,3862,1403,3859,1403xm3886,1379l3869,1379,3872,1380,3877,1385,3879,1387,3879,1396,3877,1400,3870,1403,3867,1403,3884,1403,3887,1399,3888,1396,3888,1384,3886,1379xm3872,1371l3855,1371,3848,1374,3844,1382,3842,1385,3841,1390,3841,1396,3850,1396,3850,1391,3851,1388,3855,1382,3859,1379,3886,1379,3886,1379,3878,1373,3872,1371xe" filled="true" fillcolor="#231f20" stroked="false">
              <v:path arrowok="t"/>
              <v:fill type="solid"/>
            </v:shape>
            <v:shape style="position:absolute;left:3899;top:1371;width:88;height:77" coordorigin="3899,1371" coordsize="88,77" path="m3968,1371l3962,1371,3920,1448,3925,1448,3968,1371xm3974,1410l3964,1410,3960,1411,3953,1419,3951,1422,3951,1433,3953,1437,3960,1444,3964,1446,3974,1446,3979,1444,3984,1439,3966,1439,3964,1438,3960,1433,3958,1431,3958,1425,3960,1422,3964,1418,3966,1417,3984,1417,3979,1411,3974,1410xm3984,1417l3972,1417,3975,1418,3979,1422,3980,1425,3980,1431,3979,1433,3975,1438,3972,1439,3984,1439,3986,1437,3987,1433,3987,1422,3986,1419,3984,1417xm3923,1373l3913,1373,3908,1375,3901,1382,3899,1387,3899,1397,3901,1401,3908,1408,3913,1410,3923,1410,3927,1408,3933,1402,3915,1402,3912,1401,3908,1397,3907,1395,3907,1389,3908,1386,3912,1382,3915,1381,3933,1381,3927,1375,3923,1373xm3933,1381l3921,1381,3923,1382,3928,1386,3929,1389,3929,1395,3928,1397,3923,1401,3921,1402,3933,1402,3934,1401,3936,1397,3936,1386,3934,1382,3933,1381xe" filled="true" fillcolor="#231f20" stroked="false">
              <v:path arrowok="t"/>
              <v:fill type="solid"/>
            </v:shape>
            <v:shape style="position:absolute;left:3629;top:2280;width:358;height:226" type="#_x0000_t75" stroked="false">
              <v:imagedata r:id="rId862" o:title=""/>
            </v:shape>
            <v:shape style="position:absolute;left:4779;top:2082;width:358;height:92" type="#_x0000_t75" stroked="false">
              <v:imagedata r:id="rId863" o:title=""/>
            </v:shape>
            <v:shape style="position:absolute;left:5911;top:1180;width:52;height:78" coordorigin="5911,1180" coordsize="52,78" path="m5946,1180l5926,1180,5918,1186,5912,1205,5911,1213,5911,1235,5913,1244,5913,1244,5923,1254,5929,1257,5945,1257,5951,1254,5956,1249,5932,1249,5929,1247,5923,1241,5922,1237,5922,1226,5923,1222,5929,1217,5931,1216,5920,1216,5921,1208,5921,1207,5922,1200,5929,1190,5933,1188,5957,1188,5952,1182,5946,1180xm5958,1216l5943,1216,5947,1217,5951,1224,5952,1228,5952,1237,5951,1240,5946,1247,5942,1249,5956,1249,5960,1244,5962,1238,5962,1223,5960,1217,5958,1216xm5945,1207l5935,1207,5932,1208,5929,1209,5925,1211,5923,1213,5920,1216,5931,1216,5933,1216,5958,1216,5950,1209,5945,1207xm5957,1188l5943,1188,5946,1189,5950,1194,5951,1197,5951,1200,5961,1200,5961,1195,5959,1190,5957,1188xe" filled="true" fillcolor="#231f20" stroked="false">
              <v:path arrowok="t"/>
              <v:fill type="solid"/>
            </v:shape>
            <v:shape style="position:absolute;left:5970;top:1180;width:52;height:78" coordorigin="5970,1180" coordsize="52,78" path="m6006,1180l5986,1180,5978,1186,5972,1205,5970,1213,5970,1235,5973,1244,5973,1244,5983,1254,5989,1257,6005,1257,6011,1254,6016,1249,5992,1249,5988,1247,5983,1241,5981,1237,5981,1226,5983,1222,5989,1217,5991,1216,5980,1216,5981,1208,5981,1207,5982,1200,5989,1190,5993,1188,6017,1188,6012,1182,6006,1180xm6018,1216l6003,1216,6007,1217,6011,1224,6012,1228,6012,1237,6011,1240,6008,1244,6006,1247,6002,1249,6016,1249,6020,1244,6022,1238,6022,1223,6020,1217,6018,1216xm6005,1207l5995,1207,5991,1208,5988,1209,5985,1211,5982,1213,5980,1216,5991,1216,5993,1216,6018,1216,6010,1209,6005,1207xm6017,1188l6003,1188,6006,1189,6010,1194,6011,1197,6011,1200,6020,1200,6020,1195,6019,1190,6017,1188xe" filled="true" fillcolor="#231f20" stroked="false">
              <v:path arrowok="t"/>
              <v:fill type="solid"/>
            </v:shape>
            <v:shape style="position:absolute;left:6035;top:1244;width:12;height:28" coordorigin="6035,1244" coordsize="12,28" path="m6046,1244l6035,1244,6035,1255,6041,1255,6041,1258,6041,1259,6039,1264,6038,1266,6035,1266,6035,1271,6039,1270,6042,1268,6046,1262,6046,1258,6046,1244xe" filled="true" fillcolor="#231f20" stroked="false">
              <v:path arrowok="t"/>
              <v:fill type="solid"/>
            </v:shape>
            <v:shape style="position:absolute;left:6060;top:1181;width:53;height:74" coordorigin="6060,1181" coordsize="53,74" path="m6112,1181l6060,1181,6060,1191,6102,1191,6096,1197,6071,1255,6081,1255,6083,1247,6084,1242,6112,1189,6112,1181xe" filled="true" fillcolor="#231f20" stroked="false">
              <v:path arrowok="t"/>
              <v:fill type="solid"/>
            </v:shape>
            <v:shape style="position:absolute;left:6119;top:1180;width:52;height:78" coordorigin="6119,1180" coordsize="52,78" path="m6155,1180l6134,1180,6127,1186,6120,1203,6120,1209,6119,1230,6121,1239,6129,1253,6136,1257,6155,1257,6162,1252,6164,1249,6139,1249,6135,1245,6130,1233,6130,1228,6130,1209,6131,1201,6136,1191,6140,1188,6164,1188,6162,1184,6155,1180xm6164,1188l6152,1188,6156,1191,6160,1202,6161,1209,6161,1230,6160,1238,6154,1246,6150,1249,6164,1249,6170,1236,6171,1228,6171,1207,6170,1198,6164,1188xe" filled="true" fillcolor="#231f20" stroked="false">
              <v:path arrowok="t"/>
              <v:fill type="solid"/>
            </v:shape>
            <v:shape style="position:absolute;left:6179;top:1180;width:89;height:77" coordorigin="6179,1180" coordsize="89,77" path="m6247,1180l6242,1180,6199,1257,6205,1257,6247,1180xm6254,1218l6244,1218,6240,1220,6233,1227,6231,1232,6231,1242,6233,1246,6236,1250,6240,1253,6244,1255,6254,1255,6259,1253,6264,1248,6246,1248,6244,1247,6239,1242,6238,1240,6238,1234,6239,1231,6244,1227,6246,1226,6264,1226,6259,1220,6254,1218xm6264,1226l6252,1226,6255,1227,6259,1231,6260,1234,6260,1240,6259,1242,6255,1247,6252,1248,6264,1248,6266,1246,6267,1242,6267,1232,6266,1227,6264,1226xm6203,1182l6193,1182,6188,1184,6181,1191,6179,1195,6179,1206,6181,1210,6188,1217,6193,1219,6203,1219,6207,1217,6213,1211,6195,1211,6192,1210,6188,1206,6187,1203,6187,1197,6188,1195,6192,1191,6195,1190,6213,1190,6207,1184,6203,1182xm6213,1190l6201,1190,6203,1191,6207,1195,6208,1197,6208,1203,6207,1206,6203,1210,6201,1211,6213,1211,6214,1210,6216,1206,6216,1195,6214,1191,6213,1190xe" filled="true" fillcolor="#231f20" stroked="false">
              <v:path arrowok="t"/>
              <v:fill type="solid"/>
            </v:shape>
            <v:shape style="position:absolute;left:7042;top:1065;width:53;height:74" coordorigin="7042,1065" coordsize="53,74" path="m7094,1065l7042,1065,7042,1074,7084,1074,7078,1080,7053,1139,7063,1139,7065,1131,7066,1126,7069,1117,7071,1111,7074,1104,7077,1097,7081,1091,7089,1080,7092,1075,7094,1073,7094,1065xe" filled="true" fillcolor="#231f20" stroked="false">
              <v:path arrowok="t"/>
              <v:fill type="solid"/>
            </v:shape>
            <v:shape style="position:absolute;left:7101;top:1064;width:52;height:78" coordorigin="7101,1064" coordsize="52,78" path="m7137,1064l7116,1064,7109,1069,7102,1087,7101,1093,7101,1114,7103,1123,7111,1137,7118,1141,7137,1141,7144,1136,7146,1132,7121,1132,7116,1129,7112,1117,7112,1111,7111,1093,7113,1085,7118,1075,7122,1072,7146,1072,7144,1068,7137,1064xm7146,1072l7134,1072,7138,1075,7142,1086,7143,1093,7143,1114,7142,1121,7136,1130,7132,1132,7146,1132,7152,1120,7153,1111,7153,1090,7151,1082,7146,1072xe" filled="true" fillcolor="#231f20" stroked="false">
              <v:path arrowok="t"/>
              <v:fill type="solid"/>
            </v:shape>
            <v:shape style="position:absolute;left:7167;top:1127;width:12;height:28" coordorigin="7167,1127" coordsize="12,28" path="m7178,1127l7167,1127,7167,1139,7172,1139,7172,1142,7172,1143,7171,1148,7169,1149,7167,1150,7167,1155,7171,1154,7174,1152,7177,1146,7178,1142,7178,1127xe" filled="true" fillcolor="#231f20" stroked="false">
              <v:path arrowok="t"/>
              <v:fill type="solid"/>
            </v:shape>
            <v:shape style="position:absolute;left:7191;top:1064;width:52;height:78" coordorigin="7191,1064" coordsize="52,78" path="m7227,1064l7206,1064,7198,1069,7192,1087,7191,1093,7191,1114,7193,1123,7201,1137,7208,1141,7227,1141,7234,1136,7236,1132,7211,1132,7206,1129,7202,1117,7201,1111,7201,1093,7203,1085,7208,1075,7212,1072,7236,1072,7234,1068,7227,1064xm7236,1072l7223,1072,7227,1075,7232,1086,7233,1093,7233,1114,7231,1121,7225,1130,7222,1132,7236,1132,7241,1120,7243,1111,7243,1090,7241,1082,7236,1072xe" filled="true" fillcolor="#231f20" stroked="false">
              <v:path arrowok="t"/>
              <v:fill type="solid"/>
            </v:shape>
            <v:shape style="position:absolute;left:7251;top:1063;width:51;height:78" coordorigin="7251,1063" coordsize="51,78" path="m7262,1121l7252,1121,7252,1126,7254,1131,7262,1139,7267,1141,7286,1141,7293,1135,7294,1133,7272,1133,7270,1132,7268,1131,7264,1129,7262,1126,7262,1121xm7302,1104l7293,1104,7291,1116,7289,1124,7283,1131,7279,1133,7294,1133,7301,1116,7302,1108,7302,1104xm7287,1063l7268,1063,7262,1066,7253,1076,7251,1082,7251,1096,7253,1102,7262,1111,7268,1113,7278,1113,7282,1113,7288,1110,7291,1108,7292,1105,7271,1105,7267,1104,7262,1098,7261,1095,7261,1084,7263,1080,7268,1074,7272,1072,7296,1072,7295,1068,7287,1063xm7296,1072l7281,1072,7284,1073,7290,1079,7291,1082,7291,1095,7290,1099,7283,1104,7280,1105,7292,1105,7293,1104,7302,1104,7302,1090,7301,1084,7296,1072xe" filled="true" fillcolor="#231f20" stroked="false">
              <v:path arrowok="t"/>
              <v:fill type="solid"/>
            </v:shape>
            <v:shape style="position:absolute;left:7311;top:1064;width:88;height:77" coordorigin="7311,1064" coordsize="88,77" path="m7379,1064l7373,1064,7331,1141,7337,1141,7379,1064xm7386,1102l7376,1102,7371,1104,7364,1111,7362,1115,7362,1126,7364,1130,7368,1133,7371,1137,7376,1139,7386,1139,7390,1137,7396,1131,7378,1131,7375,1130,7371,1126,7370,1123,7370,1118,7371,1115,7375,1111,7378,1110,7396,1110,7390,1104,7386,1102xm7396,1110l7384,1110,7386,1111,7390,1115,7392,1118,7392,1123,7390,1126,7386,1130,7384,1131,7396,1131,7397,1130,7399,1126,7399,1115,7397,1111,7396,1110xm7334,1066l7324,1066,7320,1068,7313,1075,7311,1079,7311,1090,7313,1094,7320,1101,7324,1102,7334,1102,7339,1101,7344,1095,7326,1095,7324,1094,7319,1090,7318,1087,7318,1081,7319,1079,7324,1074,7326,1073,7344,1073,7339,1068,7334,1066xm7344,1073l7332,1073,7335,1074,7339,1079,7340,1081,7340,1087,7339,1090,7335,1094,7332,1095,7344,1095,7346,1094,7347,1089,7347,1079,7346,1075,7344,1073xe" filled="true" fillcolor="#231f20" stroked="false">
              <v:path arrowok="t"/>
              <v:fill type="solid"/>
            </v:shape>
            <v:shape style="position:absolute;left:7042;top:1507;width:52;height:76" coordorigin="7042,1507" coordsize="52,76" path="m7051,1562l7042,1562,7042,1569,7045,1574,7054,1581,7060,1583,7075,1583,7082,1580,7087,1574,7064,1574,7061,1574,7055,1571,7052,1567,7051,1562xm7088,1541l7071,1541,7075,1542,7082,1548,7083,1552,7083,1562,7082,1565,7076,1573,7072,1574,7087,1574,7091,1569,7093,1563,7093,1549,7091,1543,7088,1541xm7089,1507l7050,1507,7044,1547,7052,1548,7054,1546,7056,1544,7061,1541,7064,1541,7088,1541,7084,1537,7054,1537,7057,1516,7089,1516,7089,1507xm7076,1532l7065,1532,7062,1533,7057,1535,7056,1536,7054,1537,7084,1537,7081,1534,7076,1532xe" filled="true" fillcolor="#231f20" stroked="false">
              <v:path arrowok="t"/>
              <v:fill type="solid"/>
            </v:shape>
            <v:shape style="position:absolute;left:7102;top:1505;width:52;height:78" coordorigin="7102,1505" coordsize="52,78" path="m7138,1505l7118,1505,7110,1511,7103,1530,7102,1538,7102,1560,7105,1569,7105,1570,7115,1580,7121,1583,7136,1583,7142,1580,7147,1574,7124,1574,7120,1573,7114,1566,7113,1562,7113,1552,7114,1548,7121,1543,7123,1542,7112,1542,7112,1533,7112,1533,7114,1526,7120,1516,7124,1514,7148,1514,7144,1507,7138,1505xm7150,1541l7134,1541,7138,1543,7142,1550,7144,1554,7144,1562,7142,1566,7140,1570,7137,1573,7134,1574,7147,1574,7151,1570,7154,1563,7154,1549,7151,1543,7150,1541xm7136,1533l7126,1533,7123,1533,7120,1535,7117,1536,7114,1539,7112,1542,7123,1542,7124,1541,7150,1541,7142,1535,7136,1533xm7148,1514l7134,1514,7138,1515,7141,1520,7142,1522,7143,1525,7152,1525,7152,1521,7150,1516,7148,1514xe" filled="true" fillcolor="#231f20" stroked="false">
              <v:path arrowok="t"/>
              <v:fill type="solid"/>
            </v:shape>
            <v:shape style="position:absolute;left:7167;top:1569;width:12;height:28" coordorigin="7167,1569" coordsize="12,28" path="m7178,1569l7167,1569,7167,1581,7172,1581,7172,1584,7172,1585,7171,1590,7169,1591,7167,1592,7167,1597,7171,1596,7174,1594,7177,1588,7178,1584,7178,1569xe" filled="true" fillcolor="#231f20" stroked="false">
              <v:path arrowok="t"/>
              <v:fill type="solid"/>
            </v:shape>
            <v:shape style="position:absolute;left:7190;top:1505;width:53;height:78" coordorigin="7190,1505" coordsize="53,78" path="m7200,1558l7190,1558,7190,1565,7192,1571,7200,1580,7207,1583,7224,1583,7231,1581,7238,1574,7210,1574,7205,1572,7201,1566,7201,1563,7200,1558xm7239,1546l7220,1546,7225,1547,7231,1551,7233,1555,7233,1564,7231,1568,7225,1573,7221,1574,7238,1574,7240,1572,7243,1566,7243,1554,7242,1550,7239,1546xm7211,1538l7211,1546,7220,1546,7239,1546,7237,1544,7234,1542,7230,1541,7233,1540,7235,1538,7235,1538,7219,1538,7213,1538,7211,1538xm7238,1514l7220,1514,7223,1515,7229,1519,7230,1522,7230,1531,7228,1534,7222,1537,7219,1538,7235,1538,7239,1534,7240,1530,7240,1519,7238,1514xm7223,1505l7206,1505,7199,1509,7195,1516,7193,1520,7192,1525,7192,1530,7201,1530,7202,1526,7202,1523,7206,1516,7211,1514,7238,1514,7238,1514,7229,1507,7223,1505xe" filled="true" fillcolor="#231f20" stroked="false">
              <v:path arrowok="t"/>
              <v:fill type="solid"/>
            </v:shape>
            <v:shape style="position:absolute;left:7250;top:1505;width:54;height:76" coordorigin="7250,1505" coordsize="54,76" path="m7293,1562l7283,1562,7283,1581,7293,1581,7293,1562xm7293,1505l7285,1505,7250,1553,7250,1562,7304,1562,7304,1554,7259,1554,7283,1520,7293,1520,7293,1505xm7293,1520l7283,1520,7283,1554,7293,1554,7293,1520xe" filled="true" fillcolor="#231f20" stroked="false">
              <v:path arrowok="t"/>
              <v:fill type="solid"/>
            </v:shape>
            <v:shape style="position:absolute;left:7311;top:1506;width:88;height:77" coordorigin="7311,1506" coordsize="88,77" path="m7379,1506l7373,1506,7331,1583,7337,1583,7379,1506xm7386,1544l7376,1544,7371,1546,7364,1553,7362,1557,7362,1568,7364,1572,7368,1575,7371,1579,7376,1581,7386,1581,7390,1579,7396,1573,7378,1573,7375,1572,7371,1568,7370,1565,7370,1559,7371,1557,7375,1553,7378,1552,7396,1552,7390,1546,7386,1544xm7396,1552l7384,1552,7386,1553,7390,1557,7392,1559,7392,1565,7390,1568,7386,1572,7384,1573,7396,1573,7397,1572,7399,1568,7399,1557,7397,1553,7396,1552xm7334,1508l7324,1508,7320,1510,7313,1517,7311,1521,7311,1532,7313,1535,7320,1543,7324,1544,7334,1544,7339,1543,7344,1537,7326,1537,7324,1536,7319,1532,7318,1529,7318,1523,7319,1521,7324,1516,7326,1515,7344,1515,7339,1510,7334,1508xm7344,1515l7332,1515,7335,1516,7339,1521,7340,1523,7340,1529,7339,1532,7335,1536,7332,1537,7344,1537,7346,1535,7347,1531,7347,1521,7346,1517,7344,1515xe" filled="true" fillcolor="#231f20" stroked="false">
              <v:path arrowok="t"/>
              <v:fill type="solid"/>
            </v:shape>
            <v:shape style="position:absolute;left:5910;top:1708;width:52;height:76" coordorigin="5910,1708" coordsize="52,76" path="m5920,1763l5910,1763,5911,1770,5913,1775,5923,1782,5928,1784,5944,1784,5951,1781,5955,1775,5932,1775,5930,1775,5923,1772,5920,1768,5920,1763xm5957,1742l5940,1742,5944,1743,5950,1749,5952,1753,5952,1763,5950,1767,5945,1774,5941,1775,5955,1775,5960,1770,5962,1764,5962,1750,5959,1744,5957,1742xm5958,1708l5918,1708,5913,1748,5921,1749,5923,1747,5925,1745,5929,1742,5932,1742,5957,1742,5953,1738,5922,1738,5926,1717,5958,1717,5958,1708xm5944,1733l5933,1733,5930,1734,5926,1736,5924,1737,5922,1738,5953,1738,5950,1735,5944,1733xe" filled="true" fillcolor="#231f20" stroked="false">
              <v:path arrowok="t"/>
              <v:fill type="solid"/>
            </v:shape>
            <v:shape style="position:absolute;left:5970;top:1707;width:52;height:78" coordorigin="5970,1707" coordsize="52,78" path="m6005,1707l5985,1707,5977,1712,5971,1730,5970,1736,5970,1757,5972,1766,5980,1780,5986,1784,6005,1784,6013,1779,6014,1775,5989,1775,5985,1772,5981,1760,5980,1754,5980,1736,5981,1728,5986,1718,5990,1715,6015,1715,6012,1711,6005,1707xm6015,1715l6002,1715,6006,1718,6010,1729,6011,1736,6011,1757,6010,1764,6004,1773,6000,1775,6014,1775,6020,1763,6022,1754,6022,1733,6020,1725,6015,1715xe" filled="true" fillcolor="#231f20" stroked="false">
              <v:path arrowok="t"/>
              <v:fill type="solid"/>
            </v:shape>
            <v:shape style="position:absolute;left:6035;top:1770;width:12;height:28" coordorigin="6035,1770" coordsize="12,28" path="m6046,1770l6035,1770,6035,1782,6041,1782,6041,1785,6041,1786,6039,1791,6038,1792,6035,1793,6035,1798,6039,1797,6042,1795,6046,1789,6046,1785,6046,1770xe" filled="true" fillcolor="#231f20" stroked="false">
              <v:path arrowok="t"/>
              <v:fill type="solid"/>
            </v:shape>
            <v:shape style="position:absolute;left:6060;top:1706;width:52;height:78" coordorigin="6060,1706" coordsize="52,78" path="m6096,1706l6076,1706,6068,1713,6061,1732,6060,1739,6060,1761,6063,1770,6063,1771,6073,1781,6079,1784,6094,1784,6101,1781,6106,1775,6082,1775,6078,1774,6073,1767,6071,1763,6071,1753,6073,1749,6079,1744,6081,1743,6070,1743,6070,1734,6070,1734,6072,1727,6078,1717,6083,1715,6107,1715,6102,1708,6096,1706xm6108,1742l6092,1742,6096,1744,6101,1751,6102,1755,6102,1763,6101,1767,6098,1771,6096,1774,6092,1775,6106,1775,6110,1771,6112,1765,6112,1750,6109,1744,6108,1742xm6095,1734l6085,1734,6081,1734,6078,1736,6075,1737,6072,1740,6070,1743,6081,1743,6082,1742,6108,1742,6100,1736,6095,1734xm6107,1715l6092,1715,6096,1716,6099,1721,6100,1723,6101,1726,6110,1726,6110,1722,6109,1717,6107,1715xe" filled="true" fillcolor="#231f20" stroked="false">
              <v:path arrowok="t"/>
              <v:fill type="solid"/>
            </v:shape>
            <v:shape style="position:absolute;left:6120;top:1706;width:51;height:78" coordorigin="6120,1706" coordsize="51,78" path="m6130,1764l6121,1764,6121,1769,6123,1774,6130,1782,6136,1784,6154,1784,6162,1778,6163,1776,6140,1776,6138,1775,6136,1774,6133,1772,6131,1769,6130,1764xm6171,1747l6161,1747,6160,1759,6158,1767,6151,1774,6147,1776,6163,1776,6169,1759,6171,1751,6171,1747xm6156,1706l6136,1706,6130,1709,6122,1719,6120,1725,6120,1739,6122,1745,6130,1754,6136,1756,6147,1756,6150,1756,6156,1753,6159,1751,6161,1748,6139,1748,6136,1747,6131,1741,6130,1738,6130,1727,6131,1723,6136,1717,6140,1715,6165,1715,6163,1711,6156,1706xm6165,1715l6149,1715,6153,1716,6158,1722,6159,1725,6160,1738,6158,1742,6152,1747,6148,1748,6161,1748,6161,1747,6171,1747,6171,1734,6170,1727,6165,1715xe" filled="true" fillcolor="#231f20" stroked="false">
              <v:path arrowok="t"/>
              <v:fill type="solid"/>
            </v:shape>
            <v:shape style="position:absolute;left:6179;top:1707;width:89;height:77" coordorigin="6179,1707" coordsize="89,77" path="m6247,1707l6242,1707,6199,1784,6205,1784,6247,1707xm6254,1745l6244,1745,6240,1747,6233,1754,6231,1758,6231,1769,6233,1773,6236,1776,6240,1780,6244,1782,6254,1782,6259,1780,6264,1774,6246,1774,6244,1773,6239,1769,6238,1767,6238,1761,6239,1758,6244,1754,6246,1753,6264,1753,6259,1747,6254,1745xm6264,1753l6252,1753,6255,1754,6259,1758,6260,1761,6260,1767,6259,1769,6255,1773,6252,1774,6264,1774,6266,1773,6267,1769,6267,1758,6266,1754,6264,1753xm6203,1709l6193,1709,6188,1711,6181,1718,6179,1722,6179,1732,6181,1737,6188,1744,6193,1745,6203,1745,6207,1744,6213,1738,6195,1738,6192,1737,6188,1733,6187,1730,6187,1724,6188,1722,6192,1717,6195,1716,6213,1716,6207,1711,6203,1709xm6213,1716l6201,1716,6203,1717,6207,1722,6208,1724,6208,1730,6207,1733,6203,1737,6201,1738,6213,1738,6214,1737,6216,1732,6216,1722,6214,1718,6213,1716xe" filled="true" fillcolor="#231f20" stroked="false">
              <v:path arrowok="t"/>
              <v:fill type="solid"/>
            </v:shape>
            <v:shape style="position:absolute;left:5910;top:2456;width:358;height:92" type="#_x0000_t75" stroked="false">
              <v:imagedata r:id="rId864" o:title=""/>
            </v:shape>
            <v:shape style="position:absolute;left:5917;top:2858;width:28;height:75" coordorigin="5917,2858" coordsize="28,75" path="m5945,2858l5937,2858,5936,2864,5934,2868,5928,2871,5924,2872,5917,2873,5917,2880,5935,2880,5935,2933,5945,2933,5945,2858xe" filled="true" fillcolor="#231f20" stroked="false">
              <v:path arrowok="t"/>
              <v:fill type="solid"/>
            </v:shape>
            <v:shape style="position:absolute;left:5969;top:2858;width:54;height:76" coordorigin="5969,2858" coordsize="54,76" path="m6012,2915l6002,2915,6002,2933,6012,2933,6012,2915xm6012,2858l6004,2858,5969,2906,5969,2915,6023,2915,6023,2907,5978,2907,6002,2872,6012,2872,6012,2858xm6012,2872l6002,2872,6002,2907,6012,2907,6012,2872xe" filled="true" fillcolor="#231f20" stroked="false">
              <v:path arrowok="t"/>
              <v:fill type="solid"/>
            </v:shape>
            <v:shape style="position:absolute;left:6035;top:2922;width:12;height:28" coordorigin="6035,2922" coordsize="12,28" path="m6046,2922l6035,2922,6035,2933,6041,2933,6041,2937,6041,2938,6039,2942,6038,2944,6035,2944,6035,2949,6039,2949,6042,2947,6046,2940,6046,2937,6046,2922xe" filled="true" fillcolor="#231f20" stroked="false">
              <v:path arrowok="t"/>
              <v:fill type="solid"/>
            </v:shape>
            <v:shape style="position:absolute;left:6060;top:2858;width:51;height:78" coordorigin="6060,2858" coordsize="51,78" path="m6070,2915l6061,2915,6061,2921,6063,2926,6070,2933,6076,2935,6094,2935,6102,2929,6103,2927,6081,2927,6078,2927,6076,2926,6073,2924,6071,2920,6070,2915xm6111,2899l6101,2899,6100,2910,6098,2918,6091,2926,6088,2927,6103,2927,6109,2910,6111,2902,6111,2899xm6096,2858l6077,2858,6070,2861,6062,2871,6060,2877,6060,2891,6062,2897,6071,2906,6076,2908,6087,2908,6090,2907,6097,2905,6099,2902,6101,2900,6080,2900,6076,2898,6071,2892,6070,2889,6070,2878,6071,2874,6077,2868,6080,2867,6105,2867,6103,2863,6096,2858xm6105,2867l6089,2867,6093,2868,6098,2873,6100,2877,6100,2889,6098,2893,6092,2898,6089,2900,6101,2900,6101,2899,6111,2899,6111,2885,6110,2878,6105,2867xe" filled="true" fillcolor="#231f20" stroked="false">
              <v:path arrowok="t"/>
              <v:fill type="solid"/>
            </v:shape>
            <v:shape style="position:absolute;left:6119;top:2858;width:52;height:78" coordorigin="6119,2858" coordsize="52,78" path="m6153,2858l6138,2858,6132,2860,6128,2864,6124,2868,6122,2872,6122,2883,6123,2886,6128,2891,6130,2892,6132,2893,6128,2895,6125,2897,6121,2904,6119,2908,6119,2920,6122,2926,6132,2933,6138,2935,6154,2935,6160,2933,6166,2927,6140,2927,6136,2925,6134,2923,6131,2920,6130,2916,6130,2908,6131,2904,6137,2899,6141,2898,6166,2898,6164,2896,6162,2895,6159,2893,6162,2892,6164,2890,6164,2890,6142,2890,6139,2889,6133,2885,6132,2882,6132,2875,6133,2872,6137,2868,6140,2866,6166,2866,6158,2860,6153,2858xm6166,2898l6150,2898,6154,2899,6160,2904,6161,2908,6161,2917,6160,2921,6154,2926,6150,2927,6166,2927,6169,2924,6171,2918,6171,2906,6169,2902,6166,2898xm6166,2866l6149,2866,6153,2868,6157,2872,6158,2875,6158,2881,6157,2884,6153,2888,6149,2890,6164,2890,6167,2885,6168,2882,6169,2872,6166,2867,6166,2866xe" filled="true" fillcolor="#231f20" stroked="false">
              <v:path arrowok="t"/>
              <v:fill type="solid"/>
            </v:shape>
            <v:shape style="position:absolute;left:6179;top:2858;width:89;height:77" coordorigin="6179,2858" coordsize="89,77" path="m6247,2858l6242,2858,6199,2935,6205,2935,6247,2858xm6254,2897l6244,2897,6240,2898,6233,2906,6231,2909,6231,2920,6233,2924,6240,2932,6244,2933,6254,2933,6259,2932,6264,2926,6246,2926,6244,2925,6239,2921,6238,2918,6238,2912,6239,2909,6244,2905,6246,2904,6264,2904,6259,2898,6254,2897xm6264,2904l6252,2904,6255,2905,6259,2909,6260,2912,6260,2918,6259,2921,6255,2925,6252,2926,6264,2926,6266,2924,6267,2920,6267,2910,6266,2906,6264,2904xm6203,2860l6193,2860,6188,2862,6181,2869,6179,2874,6179,2884,6181,2888,6188,2895,6193,2897,6203,2897,6207,2895,6213,2889,6195,2889,6192,2888,6188,2884,6187,2882,6187,2876,6188,2873,6192,2869,6195,2868,6213,2868,6207,2862,6203,2860xm6213,2868l6201,2868,6203,2869,6207,2873,6208,2876,6208,2882,6207,2884,6203,2888,6201,2889,6213,2889,6214,2888,6216,2884,6216,2873,6214,2869,6213,2868xe" filled="true" fillcolor="#231f20" stroked="false">
              <v:path arrowok="t"/>
              <v:fill type="solid"/>
            </v:shape>
            <v:shape style="position:absolute;left:7048;top:2900;width:28;height:75" coordorigin="7048,2900" coordsize="28,75" path="m7076,2900l7069,2900,7067,2906,7065,2909,7060,2913,7055,2914,7048,2914,7048,2922,7066,2922,7066,2975,7076,2975,7076,2900xe" filled="true" fillcolor="#231f20" stroked="false">
              <v:path arrowok="t"/>
              <v:fill type="solid"/>
            </v:shape>
            <v:shape style="position:absolute;left:7100;top:2899;width:53;height:78" coordorigin="7100,2899" coordsize="53,78" path="m7110,2952l7100,2952,7100,2959,7102,2965,7111,2974,7117,2977,7135,2977,7141,2975,7148,2968,7120,2968,7116,2966,7112,2960,7111,2957,7110,2952xm7149,2940l7131,2940,7135,2941,7141,2945,7143,2949,7143,2958,7141,2962,7135,2967,7131,2968,7148,2968,7151,2966,7153,2960,7153,2948,7152,2944,7149,2940xm7121,2932l7121,2940,7131,2940,7149,2940,7148,2938,7144,2936,7140,2935,7143,2934,7145,2932,7145,2932,7129,2932,7124,2932,7121,2932xm7148,2908l7131,2908,7134,2909,7139,2913,7140,2916,7140,2925,7138,2928,7132,2931,7129,2932,7145,2932,7149,2928,7150,2924,7150,2913,7148,2908xm7134,2899l7116,2899,7110,2903,7106,2910,7104,2914,7102,2919,7102,2924,7112,2924,7112,2920,7113,2917,7116,2910,7121,2908,7148,2908,7148,2908,7140,2901,7134,2899xe" filled="true" fillcolor="#231f20" stroked="false">
              <v:path arrowok="t"/>
              <v:fill type="solid"/>
            </v:shape>
            <v:shape style="position:absolute;left:7167;top:2963;width:12;height:28" coordorigin="7167,2963" coordsize="12,28" path="m7178,2963l7167,2963,7167,2975,7172,2975,7172,2978,7172,2979,7171,2984,7169,2985,7167,2986,7167,2991,7171,2990,7174,2988,7177,2982,7178,2978,7178,2963xe" filled="true" fillcolor="#231f20" stroked="false">
              <v:path arrowok="t"/>
              <v:fill type="solid"/>
            </v:shape>
            <v:shape style="position:absolute;left:7190;top:2899;width:53;height:78" coordorigin="7190,2899" coordsize="53,78" path="m7200,2952l7190,2952,7190,2959,7192,2965,7200,2974,7207,2977,7224,2977,7231,2975,7238,2968,7210,2968,7205,2966,7201,2960,7201,2957,7200,2952xm7239,2940l7220,2940,7225,2941,7231,2945,7233,2949,7233,2958,7231,2962,7225,2967,7221,2968,7238,2968,7240,2966,7243,2960,7243,2948,7242,2944,7239,2940xm7211,2932l7211,2940,7220,2940,7239,2940,7237,2938,7234,2936,7230,2935,7233,2934,7235,2932,7235,2932,7219,2932,7213,2932,7211,2932xm7238,2908l7220,2908,7223,2909,7229,2913,7230,2916,7230,2925,7228,2928,7222,2931,7219,2932,7235,2932,7239,2928,7240,2924,7240,2913,7238,2908xm7224,2899l7206,2899,7199,2903,7195,2910,7193,2914,7192,2919,7192,2924,7201,2924,7202,2920,7202,2917,7206,2910,7211,2908,7238,2908,7238,2908,7229,2901,7224,2899xe" filled="true" fillcolor="#231f20" stroked="false">
              <v:path arrowok="t"/>
              <v:fill type="solid"/>
            </v:shape>
            <v:shape style="position:absolute;left:7250;top:2899;width:54;height:76" coordorigin="7250,2899" coordsize="54,76" path="m7293,2956l7283,2956,7283,2975,7293,2975,7293,2956xm7293,2899l7285,2899,7250,2947,7250,2956,7304,2956,7304,2948,7259,2948,7283,2914,7293,2914,7293,2899xm7293,2914l7283,2914,7283,2948,7293,2948,7293,2914xe" filled="true" fillcolor="#231f20" stroked="false">
              <v:path arrowok="t"/>
              <v:fill type="solid"/>
            </v:shape>
            <v:shape style="position:absolute;left:7311;top:2900;width:88;height:77" coordorigin="7311,2900" coordsize="88,77" path="m7379,2900l7373,2900,7331,2977,7337,2977,7379,2900xm7386,2938l7376,2938,7371,2940,7364,2947,7363,2951,7362,2962,7364,2966,7371,2973,7376,2975,7386,2975,7390,2973,7396,2967,7378,2967,7375,2966,7371,2962,7370,2960,7370,2954,7371,2951,7375,2947,7378,2946,7396,2946,7390,2940,7386,2938xm7396,2946l7384,2946,7386,2947,7390,2951,7392,2954,7392,2960,7390,2962,7386,2966,7384,2967,7396,2967,7397,2966,7399,2962,7399,2951,7397,2947,7396,2946xm7334,2902l7324,2902,7320,2904,7313,2911,7311,2915,7311,2926,7313,2930,7320,2937,7324,2938,7334,2938,7339,2937,7344,2931,7326,2931,7324,2930,7319,2926,7318,2923,7318,2917,7319,2915,7324,2910,7326,2909,7344,2909,7339,2904,7334,2902xm7344,2909l7332,2909,7335,2910,7339,2915,7340,2917,7340,2923,7339,2926,7335,2930,7332,2931,7344,2931,7346,2930,7347,2926,7347,2915,7346,2911,7344,2909xe" filled="true" fillcolor="#231f20" stroked="false">
              <v:path arrowok="t"/>
              <v:fill type="solid"/>
            </v:shape>
            <v:shape style="position:absolute;left:7041;top:2522;width:53;height:76" coordorigin="7041,2522" coordsize="53,76" path="m7089,2531l7073,2531,7076,2532,7079,2535,7082,2537,7083,2541,7083,2549,7082,2552,7077,2557,7074,2559,7052,2572,7048,2576,7043,2586,7042,2591,7041,2598,7093,2598,7093,2589,7052,2589,7053,2585,7055,2582,7061,2577,7063,2575,7080,2566,7085,2563,7087,2560,7091,2556,7093,2551,7093,2539,7091,2534,7089,2531xm7077,2522l7058,2522,7051,2526,7045,2537,7043,2543,7043,2549,7053,2549,7053,2544,7054,2541,7058,2533,7062,2531,7089,2531,7084,2524,7077,2522xe" filled="true" fillcolor="#231f20" stroked="false">
              <v:path arrowok="t"/>
              <v:fill type="solid"/>
            </v:shape>
            <v:shape style="position:absolute;left:7101;top:2522;width:54;height:76" coordorigin="7101,2522" coordsize="54,76" path="m7143,2579l7134,2579,7134,2598,7143,2598,7143,2579xm7143,2522l7135,2522,7101,2570,7101,2579,7154,2579,7154,2571,7109,2571,7133,2537,7143,2537,7143,2522xm7143,2537l7133,2537,7133,2571,7143,2571,7143,2537xe" filled="true" fillcolor="#231f20" stroked="false">
              <v:path arrowok="t"/>
              <v:fill type="solid"/>
            </v:shape>
            <v:shape style="position:absolute;left:7167;top:2586;width:12;height:28" coordorigin="7167,2586" coordsize="12,28" path="m7178,2586l7167,2586,7167,2598,7172,2598,7172,2601,7172,2602,7171,2607,7169,2608,7167,2609,7167,2614,7171,2613,7174,2611,7177,2605,7178,2601,7178,2586xe" filled="true" fillcolor="#231f20" stroked="false">
              <v:path arrowok="t"/>
              <v:fill type="solid"/>
            </v:shape>
            <v:shape style="position:absolute;left:7191;top:2522;width:51;height:78" coordorigin="7191,2522" coordsize="51,78" path="m7202,2579l7192,2579,7192,2585,7194,2590,7202,2598,7208,2600,7226,2600,7234,2594,7234,2592,7212,2592,7210,2591,7204,2588,7202,2585,7202,2579xm7242,2563l7233,2563,7231,2575,7229,2582,7223,2590,7219,2592,7234,2592,7241,2575,7242,2567,7242,2563xm7227,2522l7208,2522,7202,2525,7194,2535,7191,2541,7191,2555,7194,2561,7202,2570,7208,2572,7219,2572,7222,2572,7228,2569,7231,2567,7232,2564,7211,2564,7207,2563,7203,2557,7202,2553,7201,2543,7203,2539,7208,2532,7212,2531,7236,2531,7235,2527,7227,2522xm7236,2531l7221,2531,7224,2532,7230,2538,7231,2541,7231,2553,7230,2558,7223,2563,7220,2564,7232,2564,7233,2563,7242,2563,7242,2549,7241,2543,7236,2531xe" filled="true" fillcolor="#231f20" stroked="false">
              <v:path arrowok="t"/>
              <v:fill type="solid"/>
            </v:shape>
            <v:shape style="position:absolute;left:7251;top:2522;width:52;height:78" coordorigin="7251,2522" coordsize="52,78" path="m7284,2522l7270,2522,7264,2524,7260,2528,7256,2532,7254,2537,7254,2547,7255,2551,7259,2555,7261,2556,7264,2558,7260,2559,7256,2562,7252,2568,7251,2572,7251,2584,7254,2590,7264,2598,7270,2600,7285,2600,7292,2598,7298,2591,7272,2591,7268,2590,7263,2584,7261,2581,7261,2572,7263,2569,7268,2563,7272,2562,7297,2562,7296,2561,7293,2559,7290,2557,7293,2556,7295,2554,7295,2554,7273,2554,7270,2553,7265,2549,7264,2546,7264,2539,7265,2537,7269,2532,7272,2531,7297,2531,7290,2524,7284,2522xm7297,2562l7281,2562,7285,2563,7288,2566,7291,2569,7293,2572,7293,2582,7291,2585,7285,2590,7282,2591,7298,2591,7300,2588,7303,2583,7303,2570,7301,2566,7297,2562xm7297,2531l7281,2531,7284,2532,7289,2537,7290,2539,7290,2545,7289,2548,7284,2553,7281,2554,7295,2554,7299,2550,7300,2546,7300,2536,7298,2532,7297,2531xe" filled="true" fillcolor="#231f20" stroked="false">
              <v:path arrowok="t"/>
              <v:fill type="solid"/>
            </v:shape>
            <v:shape style="position:absolute;left:7311;top:2523;width:88;height:77" coordorigin="7311,2523" coordsize="88,77" path="m7379,2523l7373,2523,7331,2600,7337,2600,7379,2523xm7386,2561l7376,2561,7371,2563,7364,2570,7362,2574,7362,2584,7364,2589,7371,2596,7376,2598,7386,2598,7390,2596,7396,2590,7378,2590,7375,2589,7371,2585,7370,2582,7370,2576,7371,2574,7375,2570,7378,2569,7396,2569,7390,2563,7386,2561xm7396,2569l7384,2569,7386,2570,7390,2574,7392,2576,7392,2582,7390,2585,7386,2589,7384,2590,7396,2590,7397,2589,7399,2584,7399,2574,7397,2570,7396,2569xm7334,2525l7324,2525,7320,2526,7313,2534,7311,2537,7311,2549,7313,2552,7320,2560,7324,2561,7334,2561,7339,2560,7344,2554,7326,2554,7324,2553,7321,2551,7319,2549,7318,2546,7318,2540,7319,2537,7324,2533,7326,2532,7344,2532,7339,2526,7334,2525xm7344,2532l7332,2532,7335,2533,7339,2537,7340,2540,7340,2546,7339,2549,7335,2553,7332,2554,7344,2554,7346,2552,7347,2548,7347,2538,7346,2534,7344,2532xe" filled="true" fillcolor="#231f20" stroked="false">
              <v:path arrowok="t"/>
              <v:fill type="solid"/>
            </v:shape>
            <v:shape style="position:absolute;left:4780;top:2424;width:358;height:203" type="#_x0000_t75" stroked="false">
              <v:imagedata r:id="rId865" o:title=""/>
            </v:shape>
            <v:shape style="position:absolute;left:3630;top:2619;width:52;height:76" coordorigin="3630,2619" coordsize="52,76" path="m3678,2627l3662,2627,3665,2628,3668,2631,3670,2634,3672,2637,3672,2645,3670,2649,3665,2653,3662,2656,3641,2668,3636,2672,3632,2682,3630,2688,3630,2694,3682,2694,3682,2685,3641,2685,3642,2681,3644,2678,3649,2673,3652,2671,3669,2662,3673,2659,3680,2652,3682,2647,3682,2635,3680,2630,3678,2627xm3666,2619l3647,2619,3640,2622,3633,2634,3632,2639,3632,2645,3642,2645,3642,2641,3642,2637,3646,2630,3651,2627,3678,2627,3672,2621,3666,2619xe" filled="true" fillcolor="#231f20" stroked="false">
              <v:path arrowok="t"/>
              <v:fill type="solid"/>
            </v:shape>
            <v:shape style="position:absolute;left:3690;top:2619;width:52;height:76" coordorigin="3690,2619" coordsize="52,76" path="m3737,2627l3721,2627,3725,2628,3728,2631,3730,2634,3731,2637,3731,2645,3730,2649,3725,2653,3722,2656,3701,2668,3696,2672,3692,2682,3690,2688,3690,2694,3742,2694,3742,2685,3700,2685,3701,2681,3704,2678,3709,2673,3712,2671,3729,2662,3733,2659,3740,2652,3742,2647,3742,2635,3740,2630,3737,2627xm3726,2619l3707,2619,3699,2622,3693,2634,3692,2639,3692,2645,3701,2645,3701,2641,3702,2637,3706,2630,3711,2627,3737,2627,3732,2621,3726,2619xe" filled="true" fillcolor="#231f20" stroked="false">
              <v:path arrowok="t"/>
              <v:fill type="solid"/>
            </v:shape>
            <v:shape style="position:absolute;left:3755;top:2683;width:12;height:28" coordorigin="3755,2683" coordsize="12,28" path="m3767,2683l3755,2683,3755,2694,3761,2694,3761,2697,3761,2698,3759,2703,3758,2705,3755,2705,3755,2710,3759,2709,3762,2707,3766,2701,3767,2697,3767,2683xe" filled="true" fillcolor="#231f20" stroked="false">
              <v:path arrowok="t"/>
              <v:fill type="solid"/>
            </v:shape>
            <v:shape style="position:absolute;left:3780;top:2620;width:52;height:76" coordorigin="3780,2620" coordsize="52,76" path="m3790,2675l3780,2675,3780,2682,3783,2687,3792,2694,3798,2696,3814,2696,3821,2693,3825,2688,3802,2688,3799,2687,3793,2684,3790,2680,3790,2675xm3826,2654l3810,2654,3813,2655,3817,2658,3820,2661,3821,2665,3821,2675,3820,2679,3815,2686,3810,2688,3825,2688,3829,2682,3832,2676,3832,2662,3829,2657,3826,2654xm3827,2620l3788,2620,3782,2661,3791,2661,3792,2659,3794,2657,3799,2655,3802,2654,3826,2654,3822,2650,3792,2650,3795,2629,3827,2629,3827,2620xm3814,2645l3803,2645,3800,2646,3796,2648,3794,2649,3792,2650,3822,2650,3820,2648,3814,2645xe" filled="true" fillcolor="#231f20" stroked="false">
              <v:path arrowok="t"/>
              <v:fill type="solid"/>
            </v:shape>
            <v:shape style="position:absolute;left:3840;top:2620;width:52;height:76" coordorigin="3840,2620" coordsize="52,76" path="m3849,2675l3840,2675,3840,2682,3843,2687,3852,2694,3858,2696,3873,2696,3880,2693,3885,2688,3862,2688,3859,2687,3853,2684,3850,2680,3849,2675xm3886,2654l3869,2654,3873,2655,3876,2658,3880,2661,3881,2665,3881,2675,3880,2679,3874,2686,3870,2688,3885,2688,3889,2682,3891,2676,3891,2662,3889,2657,3886,2654xm3887,2620l3848,2620,3842,2661,3851,2661,3852,2659,3854,2657,3859,2655,3862,2654,3886,2654,3882,2650,3852,2650,3855,2629,3887,2629,3887,2620xm3874,2645l3863,2645,3860,2646,3855,2648,3854,2649,3852,2650,3882,2650,3879,2648,3874,2645xe" filled="true" fillcolor="#231f20" stroked="false">
              <v:path arrowok="t"/>
              <v:fill type="solid"/>
            </v:shape>
            <v:shape style="position:absolute;left:3899;top:2619;width:89;height:77" coordorigin="3899,2619" coordsize="89,77" path="m3968,2619l3962,2619,3920,2696,3925,2696,3968,2619xm3974,2657l3964,2657,3960,2659,3953,2666,3951,2670,3951,2681,3953,2685,3960,2692,3964,2694,3974,2694,3979,2692,3984,2687,3966,2687,3964,2686,3960,2681,3958,2679,3958,2673,3960,2670,3964,2666,3966,2665,3984,2665,3979,2659,3974,2657xm3984,2665l3972,2665,3975,2666,3979,2670,3980,2673,3980,2679,3979,2681,3975,2686,3972,2687,3984,2687,3986,2685,3988,2681,3987,2670,3986,2666,3984,2665xm3923,2621l3913,2621,3908,2623,3901,2630,3899,2634,3899,2644,3901,2649,3908,2656,3913,2658,3923,2658,3927,2656,3933,2650,3915,2650,3912,2649,3908,2645,3907,2642,3907,2636,3908,2634,3912,2630,3915,2629,3933,2629,3927,2623,3923,2621xm3933,2629l3921,2629,3923,2630,3928,2634,3929,2636,3929,2642,3928,2645,3923,2649,3921,2650,3933,2650,3934,2649,3936,2645,3936,2634,3934,2630,3933,2629xe" filled="true" fillcolor="#231f20" stroked="false">
              <v:path arrowok="t"/>
              <v:fill type="solid"/>
            </v:shape>
            <v:shape style="position:absolute;left:2530;top:2851;width:351;height:198" type="#_x0000_t75" stroked="false">
              <v:imagedata r:id="rId866" o:title=""/>
            </v:shape>
            <w10:wrap type="topAndBottom"/>
          </v:group>
        </w:pict>
      </w:r>
    </w:p>
    <w:p>
      <w:pPr>
        <w:pStyle w:val="BodyText"/>
        <w:spacing w:before="5"/>
        <w:rPr>
          <w:b/>
          <w:sz w:val="4"/>
        </w:rPr>
      </w:pPr>
    </w:p>
    <w:p>
      <w:pPr>
        <w:tabs>
          <w:tab w:pos="2680" w:val="left" w:leader="none"/>
          <w:tab w:pos="3788" w:val="left" w:leader="none"/>
          <w:tab w:pos="4928" w:val="left" w:leader="none"/>
          <w:tab w:pos="6080" w:val="left" w:leader="none"/>
        </w:tabs>
        <w:spacing w:line="86" w:lineRule="exact"/>
        <w:ind w:left="1529" w:right="663" w:firstLine="0"/>
        <w:rPr>
          <w:sz w:val="8"/>
        </w:rPr>
      </w:pPr>
      <w:r>
        <w:rPr>
          <w:position w:val="-1"/>
          <w:sz w:val="8"/>
        </w:rPr>
        <w:pict>
          <v:group style="width:12.5pt;height:4.350pt;mso-position-horizontal-relative:char;mso-position-vertical-relative:line" coordorigin="0,0" coordsize="250,87">
            <v:shape style="position:absolute;left:0;top:0;width:31;height:84" coordorigin="0,0" coordsize="31,84" path="m31,0l23,0,21,7,19,11,13,15,8,16,0,16,0,25,20,25,20,84,31,84,31,0xe" filled="true" fillcolor="#231f20" stroked="false">
              <v:path arrowok="t"/>
              <v:fill type="solid"/>
            </v:shape>
            <v:shape style="position:absolute;left:59;top:0;width:57;height:87" coordorigin="59,0" coordsize="57,87" path="m71,64l60,64,60,70,62,75,71,84,77,86,98,86,106,79,107,77,82,77,80,77,74,73,71,69,71,64xm116,46l105,46,104,58,101,67,94,75,90,77,107,77,114,58,116,49,116,46xm99,0l78,0,71,3,62,14,59,21,59,37,62,43,71,53,77,56,89,56,93,55,100,52,103,49,105,46,81,46,77,45,72,38,70,34,70,23,72,18,78,11,82,10,109,10,107,6,99,0xm109,10l92,10,96,11,102,17,104,22,104,35,102,39,95,45,91,46,105,46,105,46,116,46,116,30,115,23,109,10xe" filled="true" fillcolor="#231f20" stroked="false">
              <v:path arrowok="t"/>
              <v:fill type="solid"/>
            </v:shape>
            <v:shape style="position:absolute;left:126;top:0;width:57;height:87" coordorigin="126,0" coordsize="57,87" path="m138,64l127,64,127,70,129,75,137,84,144,86,164,86,173,79,174,77,149,77,146,77,140,73,138,69,138,64xm182,46l172,46,170,58,168,67,161,75,156,77,174,77,181,58,182,49,182,46xm166,0l144,0,137,3,128,14,126,21,126,37,128,43,138,53,144,56,156,56,160,55,167,52,170,49,171,46,148,46,143,45,138,38,137,34,137,23,138,18,144,11,148,10,176,10,174,6,166,0xm176,10l158,10,162,11,168,17,170,22,170,35,168,39,161,45,158,46,171,46,172,46,182,46,182,30,181,23,176,10xe" filled="true" fillcolor="#231f20" stroked="false">
              <v:path arrowok="t"/>
              <v:fill type="solid"/>
            </v:shape>
            <v:shape style="position:absolute;left:191;top:0;width:59;height:87" coordorigin="191,0" coordsize="59,87" path="m202,58l191,58,191,66,193,72,202,83,209,86,229,86,236,84,244,76,213,76,208,74,205,70,203,67,202,63,202,58xm245,45l224,45,229,46,236,51,238,55,238,65,236,69,230,75,225,76,244,76,247,73,249,67,249,54,248,50,245,45xm214,36l214,45,245,45,243,43,240,41,235,39,238,38,240,37,241,36,223,36,217,36,214,36xm244,10l225,10,228,11,234,15,235,18,235,28,233,32,226,36,223,36,241,36,245,32,246,28,246,15,244,10xm228,0l209,0,201,4,197,12,194,16,193,21,193,28,204,28,204,23,205,19,209,12,214,10,244,10,244,10,235,2,228,0xe" filled="true" fillcolor="#231f20" stroked="false">
              <v:path arrowok="t"/>
              <v:fill type="solid"/>
            </v:shape>
          </v:group>
        </w:pict>
      </w:r>
      <w:r>
        <w:rPr>
          <w:position w:val="-1"/>
          <w:sz w:val="8"/>
        </w:rPr>
      </w:r>
      <w:r>
        <w:rPr>
          <w:position w:val="-1"/>
          <w:sz w:val="8"/>
        </w:rPr>
        <w:tab/>
      </w:r>
      <w:r>
        <w:rPr>
          <w:position w:val="-1"/>
          <w:sz w:val="8"/>
        </w:rPr>
        <w:pict>
          <v:group style="width:12.5pt;height:4.350pt;mso-position-horizontal-relative:char;mso-position-vertical-relative:line" coordorigin="0,0" coordsize="250,87">
            <v:shape style="position:absolute;left:0;top:1;width:31;height:84" coordorigin="0,1" coordsize="31,84" path="m31,1l23,1,21,7,19,11,13,15,8,16,0,17,0,25,20,25,20,84,31,84,31,1xe" filled="true" fillcolor="#231f20" stroked="false">
              <v:path arrowok="t"/>
              <v:fill type="solid"/>
            </v:shape>
            <v:shape style="position:absolute;left:59;top:0;width:57;height:87" coordorigin="59,0" coordsize="57,87" path="m71,64l60,64,60,70,62,76,71,84,77,86,98,86,106,80,107,78,82,78,80,77,74,74,71,70,71,64xm116,46l105,46,104,59,101,67,94,75,90,78,107,78,114,59,116,50,116,46xm99,0l78,0,71,3,62,15,59,21,59,37,62,43,71,53,77,56,89,56,93,55,100,52,103,49,105,47,81,47,77,45,72,39,70,34,70,23,72,18,78,12,82,10,109,10,107,6,99,0xm109,10l92,10,96,11,102,17,104,22,104,35,102,40,95,45,91,47,105,47,105,46,116,46,116,30,115,23,109,10xe" filled="true" fillcolor="#231f20" stroked="false">
              <v:path arrowok="t"/>
              <v:fill type="solid"/>
            </v:shape>
            <v:shape style="position:absolute;left:126;top:0;width:57;height:87" coordorigin="126,0" coordsize="57,87" path="m138,64l127,64,127,70,129,76,137,84,144,86,164,86,173,80,174,78,149,78,146,77,140,74,138,70,138,64xm182,46l172,46,170,59,168,67,161,75,156,78,174,78,181,59,182,50,182,46xm166,0l144,0,137,3,128,15,126,21,126,37,128,43,138,53,144,56,156,56,160,55,167,52,170,49,171,47,148,47,143,45,138,39,137,34,137,23,138,18,144,12,148,10,176,10,174,6,166,0xm176,10l158,10,162,11,168,17,170,22,170,35,168,40,161,45,158,47,171,47,172,46,182,46,182,30,181,23,176,10xe" filled="true" fillcolor="#231f20" stroked="false">
              <v:path arrowok="t"/>
              <v:fill type="solid"/>
            </v:shape>
            <v:shape style="position:absolute;left:193;top:0;width:58;height:87" coordorigin="193,0" coordsize="58,87" path="m232,0l210,0,201,7,194,28,193,37,193,61,196,71,207,83,214,86,231,86,238,83,243,77,217,77,213,75,206,68,205,63,205,52,207,47,213,42,215,41,204,41,204,33,204,30,206,23,213,12,217,9,244,9,239,2,232,0xm246,40l228,40,233,42,238,50,239,54,239,63,238,68,232,75,228,77,243,77,248,72,250,65,250,48,247,42,246,40xm231,30l220,30,216,31,213,33,209,35,206,37,204,41,215,41,217,40,246,40,237,33,231,30xm244,9l228,9,232,11,236,16,237,19,238,22,248,22,248,17,246,12,244,9xe" filled="true" fillcolor="#231f20" stroked="false">
              <v:path arrowok="t"/>
              <v:fill type="solid"/>
            </v:shape>
          </v:group>
        </w:pict>
      </w:r>
      <w:r>
        <w:rPr>
          <w:position w:val="-1"/>
          <w:sz w:val="8"/>
        </w:rPr>
      </w:r>
      <w:r>
        <w:rPr>
          <w:position w:val="-1"/>
          <w:sz w:val="8"/>
        </w:rPr>
        <w:tab/>
      </w:r>
      <w:r>
        <w:rPr>
          <w:position w:val="-1"/>
          <w:sz w:val="8"/>
        </w:rPr>
        <w:pict>
          <v:group style="width:12.9pt;height:4.350pt;mso-position-horizontal-relative:char;mso-position-vertical-relative:line" coordorigin="0,0" coordsize="258,87">
            <v:shape style="position:absolute;left:0;top:0;width:58;height:84" coordorigin="0,0" coordsize="58,84" path="m53,10l35,10,39,11,45,17,46,21,46,30,45,33,39,39,36,41,12,55,7,60,2,70,0,77,0,84,57,84,57,74,12,74,13,70,15,66,21,61,24,59,43,48,48,45,55,38,58,32,58,19,56,13,53,10xm40,0l19,0,11,4,4,17,2,23,2,30,13,30,13,25,14,21,18,12,23,10,53,10,47,3,40,0xe" filled="true" fillcolor="#231f20" stroked="false">
              <v:path arrowok="t"/>
              <v:fill type="solid"/>
            </v:shape>
            <v:shape style="position:absolute;left:67;top:0;width:58;height:86" coordorigin="67,0" coordsize="58,86" path="m106,0l83,0,75,7,68,26,67,34,67,56,69,66,78,82,85,86,106,86,114,81,116,77,88,77,83,73,79,60,78,53,78,33,79,24,82,18,85,13,90,10,117,10,114,5,106,0xm117,10l103,10,107,13,112,25,113,33,113,56,111,65,108,69,105,74,100,77,116,77,123,63,124,53,124,30,122,21,117,10xe" filled="true" fillcolor="#231f20" stroked="false">
              <v:path arrowok="t"/>
              <v:fill type="solid"/>
            </v:shape>
            <v:shape style="position:absolute;left:133;top:0;width:58;height:86" coordorigin="133,0" coordsize="58,86" path="m173,0l150,0,141,7,134,26,133,34,133,56,135,66,144,82,152,86,173,86,181,81,183,77,155,77,150,73,145,60,144,53,144,33,146,24,152,13,156,10,183,10,180,5,173,0xm183,10l169,10,174,13,178,25,179,33,179,56,178,65,171,74,167,77,183,77,189,63,191,53,191,30,189,21,183,10xe" filled="true" fillcolor="#231f20" stroked="false">
              <v:path arrowok="t"/>
              <v:fill type="solid"/>
            </v:shape>
            <v:shape style="position:absolute;left:200;top:0;width:58;height:86" coordorigin="200,0" coordsize="58,86" path="m239,0l216,0,208,7,201,26,200,34,200,56,202,66,211,82,218,86,239,86,247,81,249,77,221,77,217,73,212,60,211,53,211,33,212,24,218,13,223,10,250,10,247,5,239,0xm250,10l236,10,240,13,245,25,246,33,246,56,244,65,241,69,238,74,234,77,249,77,256,63,257,53,257,30,255,21,250,10xe" filled="true" fillcolor="#231f20" stroked="false">
              <v:path arrowok="t"/>
              <v:fill type="solid"/>
            </v:shape>
          </v:group>
        </w:pict>
      </w:r>
      <w:r>
        <w:rPr>
          <w:position w:val="-1"/>
          <w:sz w:val="8"/>
        </w:rPr>
      </w:r>
      <w:r>
        <w:rPr>
          <w:position w:val="-1"/>
          <w:sz w:val="8"/>
        </w:rPr>
        <w:tab/>
      </w:r>
      <w:r>
        <w:rPr>
          <w:position w:val="-1"/>
          <w:sz w:val="8"/>
        </w:rPr>
        <w:pict>
          <v:group style="width:12.9pt;height:4.350pt;mso-position-horizontal-relative:char;mso-position-vertical-relative:line" coordorigin="0,0" coordsize="258,87">
            <v:shape style="position:absolute;left:0;top:0;width:58;height:84" coordorigin="0,0" coordsize="58,84" path="m53,10l35,10,39,11,45,17,46,21,46,30,45,33,39,39,36,41,12,55,7,60,2,70,0,77,0,84,57,84,57,74,12,74,13,70,15,66,21,61,24,59,43,48,48,45,55,38,58,32,58,19,56,13,53,10xm40,0l19,0,11,4,3,17,2,23,2,30,13,30,13,25,14,21,18,12,23,10,53,10,47,3,40,0xe" filled="true" fillcolor="#231f20" stroked="false">
              <v:path arrowok="t"/>
              <v:fill type="solid"/>
            </v:shape>
            <v:shape style="position:absolute;left:67;top:0;width:58;height:86" coordorigin="67,0" coordsize="58,86" path="m106,0l83,0,75,7,68,26,67,34,67,56,69,66,78,82,85,86,106,86,114,81,116,77,88,77,83,73,79,60,78,53,78,33,79,24,82,18,85,13,90,10,117,10,114,5,106,0xm117,10l103,10,107,13,112,25,113,33,113,56,111,65,105,74,100,77,116,77,123,63,124,53,124,30,122,21,117,10xe" filled="true" fillcolor="#231f20" stroked="false">
              <v:path arrowok="t"/>
              <v:fill type="solid"/>
            </v:shape>
            <v:shape style="position:absolute;left:133;top:0;width:58;height:86" coordorigin="133,0" coordsize="58,86" path="m173,0l150,0,141,7,134,26,133,34,133,56,135,66,144,82,152,86,173,86,181,81,183,77,155,77,150,73,145,60,144,53,144,33,146,24,149,18,152,13,156,10,183,10,180,5,173,0xm183,10l169,10,174,13,176,19,178,25,179,33,179,56,178,65,171,74,167,77,183,77,189,63,191,53,191,30,189,21,183,10xe" filled="true" fillcolor="#231f20" stroked="false">
              <v:path arrowok="t"/>
              <v:fill type="solid"/>
            </v:shape>
            <v:shape style="position:absolute;left:199;top:0;width:59;height:87" coordorigin="199,0" coordsize="59,87" path="m210,58l199,58,199,66,201,73,210,84,217,86,237,86,244,84,251,77,220,77,215,74,213,70,211,68,210,64,210,58xm253,45l232,45,237,46,244,51,246,55,246,65,244,69,237,75,233,77,251,77,255,74,257,68,257,54,256,50,253,45xm222,36l222,45,253,45,251,43,248,41,243,40,246,38,248,37,249,36,231,36,224,36,222,36xm252,10l232,10,236,11,242,15,243,19,243,28,241,32,234,36,231,36,249,36,253,32,254,28,254,15,252,10xm236,0l216,0,209,4,204,12,202,16,201,22,201,28,211,28,211,23,212,19,216,12,221,10,252,10,252,10,247,6,242,2,236,0xe" filled="true" fillcolor="#231f20" stroked="false">
              <v:path arrowok="t"/>
              <v:fill type="solid"/>
            </v:shape>
          </v:group>
        </w:pict>
      </w:r>
      <w:r>
        <w:rPr>
          <w:position w:val="-1"/>
          <w:sz w:val="8"/>
        </w:rPr>
      </w:r>
      <w:r>
        <w:rPr>
          <w:position w:val="-1"/>
          <w:sz w:val="8"/>
        </w:rPr>
        <w:tab/>
      </w:r>
      <w:r>
        <w:rPr>
          <w:position w:val="-1"/>
          <w:sz w:val="8"/>
        </w:rPr>
        <w:pict>
          <v:group style="width:12.9pt;height:4.350pt;mso-position-horizontal-relative:char;mso-position-vertical-relative:line" coordorigin="0,0" coordsize="258,87">
            <v:shape style="position:absolute;left:0;top:0;width:58;height:84" coordorigin="0,0" coordsize="58,84" path="m53,10l35,10,39,11,45,17,46,21,46,30,45,33,39,39,36,41,12,55,7,60,2,71,0,77,0,84,57,84,57,74,12,74,13,70,15,66,21,61,24,59,43,48,48,45,55,38,58,32,58,19,56,13,53,10xm40,0l19,0,11,4,3,17,2,23,2,30,13,30,13,25,14,21,18,12,23,10,53,10,47,3,40,0xe" filled="true" fillcolor="#231f20" stroked="false">
              <v:path arrowok="t"/>
              <v:fill type="solid"/>
            </v:shape>
            <v:shape style="position:absolute;left:67;top:0;width:58;height:86" coordorigin="67,0" coordsize="58,86" path="m106,0l83,0,75,7,68,26,67,34,67,56,69,66,78,82,85,86,106,86,114,81,116,77,88,77,83,73,79,60,78,53,78,33,79,24,82,19,85,13,90,10,117,10,114,5,106,0xm117,10l103,10,107,13,112,25,113,33,113,56,111,65,105,74,100,77,116,77,123,63,124,53,124,30,122,21,117,10xe" filled="true" fillcolor="#231f20" stroked="false">
              <v:path arrowok="t"/>
              <v:fill type="solid"/>
            </v:shape>
            <v:shape style="position:absolute;left:133;top:0;width:58;height:86" coordorigin="133,0" coordsize="58,86" path="m173,0l150,0,141,7,134,26,133,34,133,56,135,66,144,82,152,86,173,86,181,81,183,77,155,77,150,73,145,60,144,53,144,33,146,24,152,13,156,10,183,10,180,5,173,0xm183,10l169,10,174,13,176,19,178,25,179,33,179,56,178,65,171,74,167,77,183,77,189,63,191,53,191,30,189,21,183,10xe" filled="true" fillcolor="#231f20" stroked="false">
              <v:path arrowok="t"/>
              <v:fill type="solid"/>
            </v:shape>
            <v:shape style="position:absolute;left:200;top:0;width:58;height:87" coordorigin="200,0" coordsize="58,87" path="m240,0l218,0,209,7,202,28,200,37,200,61,203,71,215,83,221,86,238,86,245,83,251,77,225,77,220,75,214,68,213,63,213,52,214,47,221,42,223,41,211,41,212,33,212,30,214,23,217,17,220,12,225,9,252,9,247,2,240,0xm253,40l236,40,240,42,245,50,247,54,247,63,245,68,240,75,236,77,251,77,255,72,258,65,258,48,255,42,253,40xm239,30l227,30,224,31,220,33,217,35,214,37,211,41,223,41,225,40,253,40,245,33,239,30xm252,9l236,9,240,11,244,16,245,19,246,22,256,22,256,17,254,12,252,9xe" filled="true" fillcolor="#231f20" stroked="false">
              <v:path arrowok="t"/>
              <v:fill type="solid"/>
            </v:shape>
          </v:group>
        </w:pict>
      </w:r>
      <w:r>
        <w:rPr>
          <w:position w:val="-1"/>
          <w:sz w:val="8"/>
        </w:rPr>
      </w:r>
    </w:p>
    <w:p>
      <w:pPr>
        <w:pStyle w:val="BodyText"/>
        <w:spacing w:before="10"/>
        <w:rPr>
          <w:b/>
          <w:sz w:val="9"/>
        </w:rPr>
      </w:pPr>
      <w:r>
        <w:rPr/>
        <w:pict>
          <v:group style="position:absolute;margin-left:203.700211pt;margin-top:7.623701pt;width:53.55pt;height:5.3pt;mso-position-horizontal-relative:page;mso-position-vertical-relative:paragraph;z-index:11848;mso-wrap-distance-left:0;mso-wrap-distance-right:0" coordorigin="4074,152" coordsize="1071,106">
            <v:shape style="position:absolute;left:4074;top:158;width:84;height:94" coordorigin="4074,158" coordsize="84,94" path="m4124,158l4109,158,4074,252,4087,252,4097,224,4147,224,4144,214,4101,214,4116,172,4129,172,4124,158xm4147,224l4134,224,4144,252,4158,252,4147,224xm4129,172l4116,172,4130,214,4144,214,4129,172xe" filled="true" fillcolor="#231f20" stroked="false">
              <v:path arrowok="t"/>
              <v:fill type="solid"/>
            </v:shape>
            <v:shape style="position:absolute;left:4167;top:158;width:56;height:94" coordorigin="4167,158" coordsize="56,94" path="m4178,184l4167,184,4167,252,4179,252,4179,212,4179,208,4180,204,4182,201,4186,196,4189,194,4192,193,4178,193,4178,184xm4220,193l4204,193,4207,195,4211,202,4211,205,4211,252,4223,252,4223,201,4222,196,4220,193xm4210,182l4196,182,4192,183,4185,187,4182,189,4178,193,4192,193,4194,193,4196,193,4220,193,4217,186,4210,182xm4191,159l4184,159,4181,161,4177,167,4176,170,4176,174,4182,174,4182,172,4183,170,4185,168,4186,168,4218,168,4218,167,4219,164,4210,164,4205,164,4203,164,4202,163,4198,161,4196,161,4192,160,4191,159xm4218,168l4186,168,4190,168,4192,169,4194,169,4199,171,4201,171,4202,172,4205,172,4210,173,4213,172,4218,168xm4220,158l4214,158,4213,160,4213,161,4211,164,4210,164,4219,164,4219,164,4220,158xe" filled="true" fillcolor="#231f20" stroked="false">
              <v:path arrowok="t"/>
              <v:fill type="solid"/>
            </v:shape>
            <v:shape style="position:absolute;left:4235;top:182;width:64;height:73" coordorigin="4235,182" coordsize="64,73" path="m4276,182l4258,182,4250,185,4238,199,4235,208,4235,230,4238,239,4249,251,4256,254,4277,254,4285,251,4290,245,4260,245,4255,242,4249,232,4247,226,4247,212,4249,205,4255,195,4260,192,4291,192,4283,185,4276,182xm4291,192l4275,192,4280,195,4285,205,4286,210,4286,224,4285,230,4279,242,4274,245,4290,245,4296,237,4298,227,4298,205,4295,196,4291,192xe" filled="true" fillcolor="#231f20" stroked="false">
              <v:path arrowok="t"/>
              <v:fill type="solid"/>
            </v:shape>
            <v:shape style="position:absolute;left:4344;top:158;width:61;height:97" coordorigin="4344,158" coordsize="61,97" path="m4378,183l4364,183,4357,186,4346,201,4344,209,4344,230,4347,238,4358,251,4364,254,4377,254,4381,254,4388,250,4391,247,4393,244,4369,244,4364,242,4358,232,4356,226,4356,209,4358,204,4365,195,4370,193,4393,193,4391,189,4388,187,4383,184,4378,183xm4404,243l4394,243,4394,252,4404,252,4404,243xm4404,158l4393,158,4393,193,4381,193,4385,195,4392,203,4394,209,4394,226,4392,233,4385,242,4381,244,4393,244,4394,243,4404,243,4404,158xe" filled="true" fillcolor="#231f20" stroked="false">
              <v:path arrowok="t"/>
              <v:fill type="solid"/>
            </v:shape>
            <v:shape style="position:absolute;left:4418;top:182;width:62;height:73" coordorigin="4418,182" coordsize="62,73" path="m4454,182l4440,182,4432,186,4420,199,4418,207,4418,231,4420,239,4426,245,4432,251,4439,254,4451,254,4454,254,4457,253,4462,252,4466,250,4470,247,4472,245,4442,245,4438,242,4432,234,4430,229,4430,222,4479,222,4479,212,4430,212,4430,207,4432,202,4439,194,4444,192,4472,192,4471,191,4468,188,4459,183,4454,182xm4478,231l4467,231,4466,234,4465,236,4463,239,4459,243,4455,245,4472,245,4474,242,4477,236,4478,233,4478,231xm4472,192l4456,192,4461,195,4466,204,4467,207,4468,212,4479,212,4479,210,4478,207,4478,202,4476,198,4472,192xe" filled="true" fillcolor="#231f20" stroked="false">
              <v:path arrowok="t"/>
              <v:fill type="solid"/>
            </v:shape>
            <v:line style="position:absolute" from="4536,158" to="4536,252" stroked="true" strokeweight=".573pt" strokecolor="#231f20"/>
            <v:shape style="position:absolute;left:4556;top:182;width:65;height:73" coordorigin="4556,182" coordsize="65,73" path="m4612,192l4591,192,4595,193,4600,196,4602,199,4602,205,4601,206,4600,209,4598,210,4571,214,4566,216,4558,223,4556,228,4556,240,4558,245,4566,252,4571,254,4583,254,4588,253,4596,249,4600,246,4601,245,4577,245,4574,244,4569,240,4568,237,4568,230,4570,226,4575,223,4578,222,4590,221,4592,221,4594,220,4598,219,4600,218,4601,217,4613,217,4613,195,4612,192xm4614,243l4602,243,4602,246,4603,248,4606,252,4609,253,4615,253,4617,253,4619,253,4620,252,4620,244,4615,244,4614,244,4614,243xm4613,217l4601,217,4601,234,4598,239,4588,244,4584,245,4601,245,4602,243,4614,243,4613,242,4613,242,4613,217xm4620,244l4620,244,4615,244,4620,244,4620,244xm4594,182l4579,182,4573,184,4562,190,4560,196,4560,205,4570,205,4571,201,4572,198,4575,193,4580,192,4612,192,4610,190,4600,184,4594,182xe" filled="true" fillcolor="#231f20" stroked="false">
              <v:path arrowok="t"/>
              <v:fill type="solid"/>
            </v:shape>
            <v:shape style="position:absolute;left:4671;top:153;width:473;height:105" type="#_x0000_t75" stroked="false">
              <v:imagedata r:id="rId867" o:title=""/>
            </v:shape>
            <w10:wrap type="topAndBottom"/>
          </v:group>
        </w:pict>
      </w:r>
    </w:p>
    <w:p>
      <w:pPr>
        <w:pStyle w:val="BodyText"/>
        <w:spacing w:before="11"/>
        <w:rPr>
          <w:b/>
          <w:sz w:val="14"/>
        </w:rPr>
      </w:pPr>
    </w:p>
    <w:p>
      <w:pPr>
        <w:spacing w:before="74"/>
        <w:ind w:left="5048" w:right="0" w:firstLine="0"/>
        <w:jc w:val="left"/>
        <w:rPr>
          <w:rFonts w:ascii="Calibri" w:hAnsi="Calibri"/>
          <w:sz w:val="16"/>
        </w:rPr>
      </w:pPr>
      <w:r>
        <w:rPr/>
        <w:pict>
          <v:group style="position:absolute;margin-left:380.304077pt;margin-top:-87.08802pt;width:60.6pt;height:14.7pt;mso-position-horizontal-relative:page;mso-position-vertical-relative:paragraph;z-index:-589864" coordorigin="7606,-1742" coordsize="1212,294">
            <v:line style="position:absolute" from="7626,-1635" to="7930,-1635" stroked="true" strokeweight="2pt" strokecolor="#92278f"/>
            <v:shape style="position:absolute;left:7967;top:-1737;width:651;height:106" coordorigin="7967,-1737" coordsize="651,106" path="m8057,-1635l8046,-1665,8042,-1676,8027,-1715,8027,-1676,7996,-1676,8012,-1720,8027,-1676,8027,-1715,8026,-1720,8020,-1735,8005,-1735,7967,-1635,7981,-1635,7992,-1665,8031,-1665,8042,-1635,8057,-1635m8146,-1657l8146,-1672,8144,-1678,8140,-1681,8137,-1684,8133,-1687,8133,-1687,8133,-1672,8133,-1660,8131,-1656,8129,-1653,8126,-1649,8120,-1646,8082,-1646,8082,-1681,8115,-1681,8119,-1681,8129,-1677,8133,-1672,8133,-1687,8128,-1689,8131,-1690,8134,-1692,8134,-1692,8139,-1698,8141,-1704,8141,-1715,8140,-1720,8137,-1723,8132,-1731,8128,-1733,8128,-1715,8128,-1702,8125,-1697,8117,-1693,8112,-1692,8082,-1692,8082,-1723,8112,-1723,8117,-1723,8125,-1719,8128,-1715,8128,-1733,8123,-1735,8068,-1735,8068,-1635,8124,-1635,8134,-1639,8140,-1646,8144,-1652,8146,-1657m8236,-1672l8233,-1678,8223,-1686,8218,-1688,8189,-1695,8183,-1697,8176,-1700,8174,-1704,8174,-1713,8176,-1717,8183,-1724,8188,-1726,8205,-1726,8212,-1723,8216,-1718,8218,-1715,8219,-1711,8220,-1705,8233,-1705,8233,-1717,8229,-1725,8228,-1726,8215,-1735,8206,-1737,8185,-1737,8176,-1734,8164,-1723,8161,-1715,8161,-1698,8164,-1692,8174,-1685,8180,-1683,8209,-1676,8214,-1674,8218,-1672,8221,-1670,8223,-1666,8223,-1653,8219,-1648,8207,-1644,8202,-1643,8187,-1643,8179,-1646,8172,-1657,8171,-1661,8171,-1667,8158,-1667,8158,-1656,8161,-1648,8175,-1635,8184,-1632,8207,-1632,8216,-1634,8231,-1643,8232,-1644,8236,-1652,8236,-1672m8328,-1735l8247,-1735,8247,-1723,8280,-1723,8280,-1635,8294,-1635,8294,-1723,8328,-1723,8328,-1735m8415,-1647l8355,-1647,8355,-1681,8410,-1681,8410,-1692,8355,-1692,8355,-1722,8414,-1722,8414,-1735,8342,-1735,8342,-1635,8415,-1635,8415,-1647m8512,-1735l8499,-1735,8499,-1654,8461,-1715,8449,-1735,8433,-1735,8433,-1635,8446,-1635,8446,-1715,8497,-1635,8512,-1635,8512,-1654,8512,-1735m8617,-1671l8604,-1671,8603,-1665,8601,-1659,8598,-1655,8593,-1648,8585,-1644,8565,-1644,8557,-1648,8546,-1662,8544,-1671,8544,-1698,8546,-1708,8558,-1722,8566,-1726,8584,-1726,8590,-1724,8599,-1716,8602,-1711,8603,-1705,8616,-1705,8616,-1713,8612,-1721,8607,-1726,8598,-1734,8588,-1737,8561,-1737,8550,-1732,8541,-1722,8533,-1713,8530,-1701,8530,-1686,8531,-1672,8533,-1660,8538,-1651,8545,-1643,8553,-1636,8563,-1632,8587,-1632,8598,-1636,8605,-1644,8612,-1652,8616,-1661,8617,-1671e" filled="true" fillcolor="#231f20" stroked="false">
              <v:path arrowok="t"/>
              <v:fill type="solid"/>
            </v:shape>
            <v:line style="position:absolute" from="8645,-1735" to="8645,-1635" stroked="true" strokeweight=".685pt" strokecolor="#231f20"/>
            <v:shape style="position:absolute;left:8669;top:-1737;width:98;height:106" coordorigin="8669,-1737" coordsize="98,106" path="m8717,-1737l8705,-1736,8695,-1733,8686,-1727,8679,-1719,8672,-1709,8669,-1698,8669,-1669,8672,-1657,8680,-1647,8689,-1637,8701,-1632,8717,-1632,8728,-1633,8739,-1636,8747,-1642,8750,-1644,8706,-1644,8697,-1648,8685,-1663,8683,-1672,8683,-1698,8686,-1708,8699,-1722,8707,-1725,8751,-1725,8749,-1728,8740,-1733,8729,-1736,8717,-1737xm8751,-1725l8728,-1725,8737,-1722,8749,-1707,8752,-1698,8752,-1675,8750,-1665,8739,-1648,8730,-1644,8750,-1644,8755,-1649,8762,-1659,8766,-1671,8766,-1700,8763,-1712,8756,-1720,8751,-1725xe" filled="true" fillcolor="#231f20" stroked="false">
              <v:path arrowok="t"/>
              <v:fill type="solid"/>
            </v:shape>
            <v:line style="position:absolute" from="8777,-1674" to="8812,-1674" stroked="true" strokeweight=".63pt" strokecolor="#231f20"/>
            <v:shape style="position:absolute;left:7976;top:-1555;width:79;height:101" coordorigin="7976,-1555" coordsize="79,101" path="m7992,-1555l7976,-1555,7976,-1455,7989,-1455,7989,-1536,8004,-1536,7992,-1555xm8004,-1536l7989,-1536,8039,-1455,8055,-1455,8055,-1474,8042,-1474,8004,-1536xm8055,-1555l8042,-1555,8042,-1474,8055,-1474,8055,-1555xe" filled="true" fillcolor="#231f20" stroked="false">
              <v:path arrowok="t"/>
              <v:fill type="solid"/>
            </v:shape>
            <v:shape style="position:absolute;left:8080;top:-1562;width:337;height:114" type="#_x0000_t75" stroked="false">
              <v:imagedata r:id="rId868" o:title=""/>
            </v:shape>
            <w10:wrap type="none"/>
          </v:group>
        </w:pict>
      </w:r>
      <w:r>
        <w:rPr>
          <w:rFonts w:ascii="Calibri" w:hAnsi="Calibri"/>
          <w:color w:val="231F20"/>
          <w:sz w:val="16"/>
        </w:rPr>
        <w:t>Fuente: Elaboración propia con datos del IEEM.</w:t>
      </w:r>
    </w:p>
    <w:p>
      <w:pPr>
        <w:pStyle w:val="BodyText"/>
        <w:rPr>
          <w:rFonts w:ascii="Calibri"/>
          <w:sz w:val="16"/>
        </w:rPr>
      </w:pPr>
    </w:p>
    <w:p>
      <w:pPr>
        <w:pStyle w:val="BodyText"/>
        <w:spacing w:before="9"/>
        <w:rPr>
          <w:rFonts w:ascii="Calibri"/>
          <w:sz w:val="12"/>
        </w:rPr>
      </w:pPr>
    </w:p>
    <w:p>
      <w:pPr>
        <w:pStyle w:val="BodyText"/>
        <w:spacing w:line="285" w:lineRule="auto" w:before="1"/>
        <w:ind w:left="110" w:right="148"/>
        <w:jc w:val="both"/>
      </w:pPr>
      <w:r>
        <w:rPr>
          <w:color w:val="231F20"/>
          <w:w w:val="105"/>
        </w:rPr>
        <w:t>Como</w:t>
      </w:r>
      <w:r>
        <w:rPr>
          <w:color w:val="231F20"/>
          <w:spacing w:val="-12"/>
          <w:w w:val="105"/>
        </w:rPr>
        <w:t> </w:t>
      </w:r>
      <w:r>
        <w:rPr>
          <w:color w:val="231F20"/>
          <w:w w:val="105"/>
        </w:rPr>
        <w:t>podemos</w:t>
      </w:r>
      <w:r>
        <w:rPr>
          <w:color w:val="231F20"/>
          <w:spacing w:val="-12"/>
          <w:w w:val="105"/>
        </w:rPr>
        <w:t> </w:t>
      </w:r>
      <w:r>
        <w:rPr>
          <w:color w:val="231F20"/>
          <w:w w:val="105"/>
        </w:rPr>
        <w:t>apreciar</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gráfica</w:t>
      </w:r>
      <w:r>
        <w:rPr>
          <w:color w:val="231F20"/>
          <w:spacing w:val="-12"/>
          <w:w w:val="105"/>
        </w:rPr>
        <w:t> </w:t>
      </w:r>
      <w:r>
        <w:rPr>
          <w:color w:val="231F20"/>
          <w:spacing w:val="-4"/>
          <w:w w:val="105"/>
        </w:rPr>
        <w:t>1,</w:t>
      </w:r>
      <w:r>
        <w:rPr>
          <w:color w:val="231F20"/>
          <w:spacing w:val="-12"/>
          <w:w w:val="105"/>
        </w:rPr>
        <w:t> </w:t>
      </w:r>
      <w:r>
        <w:rPr>
          <w:color w:val="231F20"/>
          <w:w w:val="105"/>
        </w:rPr>
        <w:t>la</w:t>
      </w:r>
      <w:r>
        <w:rPr>
          <w:color w:val="231F20"/>
          <w:spacing w:val="-12"/>
          <w:w w:val="105"/>
        </w:rPr>
        <w:t> </w:t>
      </w:r>
      <w:r>
        <w:rPr>
          <w:color w:val="231F20"/>
          <w:w w:val="105"/>
        </w:rPr>
        <w:t>tendencia</w:t>
      </w:r>
      <w:r>
        <w:rPr>
          <w:color w:val="231F20"/>
          <w:spacing w:val="-12"/>
          <w:w w:val="105"/>
        </w:rPr>
        <w:t> </w:t>
      </w:r>
      <w:r>
        <w:rPr>
          <w:color w:val="231F20"/>
          <w:w w:val="105"/>
        </w:rPr>
        <w:t>electoral</w:t>
      </w:r>
      <w:r>
        <w:rPr>
          <w:color w:val="231F20"/>
          <w:spacing w:val="-12"/>
          <w:w w:val="105"/>
        </w:rPr>
        <w:t> </w:t>
      </w:r>
      <w:r>
        <w:rPr>
          <w:color w:val="231F20"/>
          <w:w w:val="105"/>
        </w:rPr>
        <w:t>del</w:t>
      </w:r>
      <w:r>
        <w:rPr>
          <w:color w:val="231F20"/>
          <w:spacing w:val="-12"/>
          <w:w w:val="105"/>
        </w:rPr>
        <w:t> </w:t>
      </w:r>
      <w:r>
        <w:rPr>
          <w:color w:val="231F20"/>
          <w:w w:val="105"/>
        </w:rPr>
        <w:t>PRD</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Municipio de</w:t>
      </w:r>
      <w:r>
        <w:rPr>
          <w:color w:val="231F20"/>
          <w:spacing w:val="-17"/>
          <w:w w:val="105"/>
        </w:rPr>
        <w:t> </w:t>
      </w:r>
      <w:r>
        <w:rPr>
          <w:color w:val="231F20"/>
          <w:w w:val="105"/>
        </w:rPr>
        <w:t>Nezahualcóyotl</w:t>
      </w:r>
      <w:r>
        <w:rPr>
          <w:color w:val="231F20"/>
          <w:spacing w:val="-17"/>
          <w:w w:val="105"/>
        </w:rPr>
        <w:t> </w:t>
      </w:r>
      <w:r>
        <w:rPr>
          <w:color w:val="231F20"/>
          <w:w w:val="105"/>
        </w:rPr>
        <w:t>ha</w:t>
      </w:r>
      <w:r>
        <w:rPr>
          <w:color w:val="231F20"/>
          <w:spacing w:val="-17"/>
          <w:w w:val="105"/>
        </w:rPr>
        <w:t> </w:t>
      </w:r>
      <w:r>
        <w:rPr>
          <w:color w:val="231F20"/>
          <w:w w:val="105"/>
        </w:rPr>
        <w:t>sido</w:t>
      </w:r>
      <w:r>
        <w:rPr>
          <w:color w:val="231F20"/>
          <w:spacing w:val="-17"/>
          <w:w w:val="105"/>
        </w:rPr>
        <w:t> </w:t>
      </w:r>
      <w:r>
        <w:rPr>
          <w:color w:val="231F20"/>
          <w:w w:val="105"/>
        </w:rPr>
        <w:t>ascendente,</w:t>
      </w:r>
      <w:r>
        <w:rPr>
          <w:color w:val="231F20"/>
          <w:spacing w:val="-17"/>
          <w:w w:val="105"/>
        </w:rPr>
        <w:t> </w:t>
      </w:r>
      <w:r>
        <w:rPr>
          <w:color w:val="231F20"/>
          <w:w w:val="105"/>
        </w:rPr>
        <w:t>partiendo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débil</w:t>
      </w:r>
      <w:r>
        <w:rPr>
          <w:color w:val="231F20"/>
          <w:spacing w:val="-17"/>
          <w:w w:val="105"/>
        </w:rPr>
        <w:t> </w:t>
      </w:r>
      <w:r>
        <w:rPr>
          <w:color w:val="231F20"/>
          <w:w w:val="105"/>
        </w:rPr>
        <w:t>presencia</w:t>
      </w:r>
      <w:r>
        <w:rPr>
          <w:color w:val="231F20"/>
          <w:spacing w:val="-17"/>
          <w:w w:val="105"/>
        </w:rPr>
        <w:t> </w:t>
      </w:r>
      <w:r>
        <w:rPr>
          <w:color w:val="231F20"/>
          <w:w w:val="105"/>
        </w:rPr>
        <w:t>electoral</w:t>
      </w:r>
      <w:r>
        <w:rPr>
          <w:color w:val="231F20"/>
          <w:spacing w:val="-17"/>
          <w:w w:val="105"/>
        </w:rPr>
        <w:t> </w:t>
      </w:r>
      <w:r>
        <w:rPr>
          <w:color w:val="231F20"/>
          <w:w w:val="105"/>
        </w:rPr>
        <w:t>en</w:t>
      </w:r>
      <w:r>
        <w:rPr>
          <w:color w:val="231F20"/>
          <w:spacing w:val="-17"/>
          <w:w w:val="105"/>
        </w:rPr>
        <w:t> </w:t>
      </w:r>
      <w:r>
        <w:rPr>
          <w:color w:val="231F20"/>
          <w:w w:val="105"/>
        </w:rPr>
        <w:t>1993 con</w:t>
      </w:r>
      <w:r>
        <w:rPr>
          <w:color w:val="231F20"/>
          <w:spacing w:val="-25"/>
          <w:w w:val="105"/>
        </w:rPr>
        <w:t> </w:t>
      </w:r>
      <w:r>
        <w:rPr>
          <w:color w:val="231F20"/>
          <w:w w:val="105"/>
        </w:rPr>
        <w:t>apenas</w:t>
      </w:r>
      <w:r>
        <w:rPr>
          <w:color w:val="231F20"/>
          <w:spacing w:val="-25"/>
          <w:w w:val="105"/>
        </w:rPr>
        <w:t> </w:t>
      </w:r>
      <w:r>
        <w:rPr>
          <w:color w:val="231F20"/>
          <w:w w:val="105"/>
        </w:rPr>
        <w:t>13%</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votos,</w:t>
      </w:r>
      <w:r>
        <w:rPr>
          <w:color w:val="231F20"/>
          <w:spacing w:val="-25"/>
          <w:w w:val="105"/>
        </w:rPr>
        <w:t> </w:t>
      </w:r>
      <w:r>
        <w:rPr>
          <w:color w:val="231F20"/>
          <w:w w:val="105"/>
        </w:rPr>
        <w:t>hasta</w:t>
      </w:r>
      <w:r>
        <w:rPr>
          <w:color w:val="231F20"/>
          <w:spacing w:val="-25"/>
          <w:w w:val="105"/>
        </w:rPr>
        <w:t> </w:t>
      </w:r>
      <w:r>
        <w:rPr>
          <w:color w:val="231F20"/>
          <w:w w:val="105"/>
        </w:rPr>
        <w:t>llegar</w:t>
      </w:r>
      <w:r>
        <w:rPr>
          <w:color w:val="231F20"/>
          <w:spacing w:val="-25"/>
          <w:w w:val="105"/>
        </w:rPr>
        <w:t> </w:t>
      </w:r>
      <w:r>
        <w:rPr>
          <w:color w:val="231F20"/>
          <w:w w:val="105"/>
        </w:rPr>
        <w:t>a</w:t>
      </w:r>
      <w:r>
        <w:rPr>
          <w:color w:val="231F20"/>
          <w:spacing w:val="-25"/>
          <w:w w:val="105"/>
        </w:rPr>
        <w:t> </w:t>
      </w:r>
      <w:r>
        <w:rPr>
          <w:color w:val="231F20"/>
          <w:w w:val="105"/>
        </w:rPr>
        <w:t>obtener</w:t>
      </w:r>
      <w:r>
        <w:rPr>
          <w:color w:val="231F20"/>
          <w:spacing w:val="-25"/>
          <w:w w:val="105"/>
        </w:rPr>
        <w:t> </w:t>
      </w:r>
      <w:r>
        <w:rPr>
          <w:color w:val="231F20"/>
          <w:w w:val="105"/>
        </w:rPr>
        <w:t>una</w:t>
      </w:r>
      <w:r>
        <w:rPr>
          <w:color w:val="231F20"/>
          <w:spacing w:val="-25"/>
          <w:w w:val="105"/>
        </w:rPr>
        <w:t> </w:t>
      </w:r>
      <w:r>
        <w:rPr>
          <w:color w:val="231F20"/>
          <w:w w:val="105"/>
        </w:rPr>
        <w:t>mayoría</w:t>
      </w:r>
      <w:r>
        <w:rPr>
          <w:color w:val="231F20"/>
          <w:spacing w:val="-25"/>
          <w:w w:val="105"/>
        </w:rPr>
        <w:t> </w:t>
      </w:r>
      <w:r>
        <w:rPr>
          <w:color w:val="231F20"/>
          <w:w w:val="105"/>
        </w:rPr>
        <w:t>absoluta</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comicios de</w:t>
      </w:r>
      <w:r>
        <w:rPr>
          <w:color w:val="231F20"/>
          <w:spacing w:val="-19"/>
          <w:w w:val="105"/>
        </w:rPr>
        <w:t> </w:t>
      </w:r>
      <w:r>
        <w:rPr>
          <w:color w:val="231F20"/>
          <w:spacing w:val="2"/>
          <w:w w:val="105"/>
        </w:rPr>
        <w:t>2003</w:t>
      </w:r>
      <w:r>
        <w:rPr>
          <w:color w:val="231F20"/>
          <w:spacing w:val="-19"/>
          <w:w w:val="105"/>
        </w:rPr>
        <w:t> </w:t>
      </w:r>
      <w:r>
        <w:rPr>
          <w:color w:val="231F20"/>
          <w:w w:val="105"/>
        </w:rPr>
        <w:t>y</w:t>
      </w:r>
      <w:r>
        <w:rPr>
          <w:color w:val="231F20"/>
          <w:spacing w:val="-19"/>
          <w:w w:val="105"/>
        </w:rPr>
        <w:t> </w:t>
      </w:r>
      <w:r>
        <w:rPr>
          <w:color w:val="231F20"/>
          <w:spacing w:val="3"/>
          <w:w w:val="105"/>
        </w:rPr>
        <w:t>2006</w:t>
      </w:r>
      <w:r>
        <w:rPr>
          <w:color w:val="231F20"/>
          <w:spacing w:val="-19"/>
          <w:w w:val="105"/>
        </w:rPr>
        <w:t> </w:t>
      </w:r>
      <w:r>
        <w:rPr>
          <w:color w:val="231F20"/>
          <w:w w:val="105"/>
        </w:rPr>
        <w:t>con</w:t>
      </w:r>
      <w:r>
        <w:rPr>
          <w:color w:val="231F20"/>
          <w:spacing w:val="-19"/>
          <w:w w:val="105"/>
        </w:rPr>
        <w:t> </w:t>
      </w:r>
      <w:r>
        <w:rPr>
          <w:color w:val="231F20"/>
          <w:w w:val="105"/>
        </w:rPr>
        <w:t>50.7</w:t>
      </w:r>
      <w:r>
        <w:rPr>
          <w:color w:val="231F20"/>
          <w:spacing w:val="-19"/>
          <w:w w:val="105"/>
        </w:rPr>
        <w:t> </w:t>
      </w:r>
      <w:r>
        <w:rPr>
          <w:color w:val="231F20"/>
          <w:w w:val="105"/>
        </w:rPr>
        <w:t>y</w:t>
      </w:r>
      <w:r>
        <w:rPr>
          <w:color w:val="231F20"/>
          <w:spacing w:val="-19"/>
          <w:w w:val="105"/>
        </w:rPr>
        <w:t> </w:t>
      </w:r>
      <w:r>
        <w:rPr>
          <w:color w:val="231F20"/>
          <w:w w:val="105"/>
        </w:rPr>
        <w:t>56.3</w:t>
      </w:r>
      <w:r>
        <w:rPr>
          <w:color w:val="231F20"/>
          <w:spacing w:val="-19"/>
          <w:w w:val="105"/>
        </w:rPr>
        <w:t> </w:t>
      </w:r>
      <w:r>
        <w:rPr>
          <w:color w:val="231F20"/>
          <w:w w:val="105"/>
        </w:rPr>
        <w:t>por</w:t>
      </w:r>
      <w:r>
        <w:rPr>
          <w:color w:val="231F20"/>
          <w:spacing w:val="-19"/>
          <w:w w:val="105"/>
        </w:rPr>
        <w:t> </w:t>
      </w:r>
      <w:r>
        <w:rPr>
          <w:color w:val="231F20"/>
          <w:w w:val="105"/>
        </w:rPr>
        <w:t>ciento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sufragios</w:t>
      </w:r>
      <w:r>
        <w:rPr>
          <w:color w:val="231F20"/>
          <w:spacing w:val="-19"/>
          <w:w w:val="105"/>
        </w:rPr>
        <w:t> </w:t>
      </w:r>
      <w:r>
        <w:rPr>
          <w:color w:val="231F20"/>
          <w:w w:val="105"/>
        </w:rPr>
        <w:t>respectivamente.</w:t>
      </w:r>
      <w:r>
        <w:rPr>
          <w:color w:val="231F20"/>
          <w:spacing w:val="-19"/>
          <w:w w:val="105"/>
        </w:rPr>
        <w:t> </w:t>
      </w:r>
      <w:r>
        <w:rPr>
          <w:color w:val="231F20"/>
          <w:spacing w:val="-3"/>
          <w:w w:val="105"/>
        </w:rPr>
        <w:t>Por</w:t>
      </w:r>
      <w:r>
        <w:rPr>
          <w:color w:val="231F20"/>
          <w:spacing w:val="-19"/>
          <w:w w:val="105"/>
        </w:rPr>
        <w:t> </w:t>
      </w:r>
      <w:r>
        <w:rPr>
          <w:color w:val="231F20"/>
          <w:w w:val="105"/>
        </w:rPr>
        <w:t>su</w:t>
      </w:r>
      <w:r>
        <w:rPr>
          <w:color w:val="231F20"/>
          <w:spacing w:val="-19"/>
          <w:w w:val="105"/>
        </w:rPr>
        <w:t> </w:t>
      </w:r>
      <w:r>
        <w:rPr>
          <w:color w:val="231F20"/>
          <w:w w:val="105"/>
        </w:rPr>
        <w:t>parte el PRI registra una tendencia electoral descendente, </w:t>
      </w:r>
      <w:r>
        <w:rPr>
          <w:color w:val="231F20"/>
          <w:spacing w:val="2"/>
          <w:w w:val="105"/>
        </w:rPr>
        <w:t>al </w:t>
      </w:r>
      <w:r>
        <w:rPr>
          <w:color w:val="231F20"/>
          <w:w w:val="105"/>
        </w:rPr>
        <w:t>pasar del 54.1 por ciento de los votos</w:t>
      </w:r>
      <w:r>
        <w:rPr>
          <w:color w:val="231F20"/>
          <w:spacing w:val="-10"/>
          <w:w w:val="105"/>
        </w:rPr>
        <w:t> </w:t>
      </w:r>
      <w:r>
        <w:rPr>
          <w:color w:val="231F20"/>
          <w:w w:val="105"/>
        </w:rPr>
        <w:t>en</w:t>
      </w:r>
      <w:r>
        <w:rPr>
          <w:color w:val="231F20"/>
          <w:spacing w:val="-10"/>
          <w:w w:val="105"/>
        </w:rPr>
        <w:t> </w:t>
      </w:r>
      <w:r>
        <w:rPr>
          <w:color w:val="231F20"/>
          <w:w w:val="105"/>
        </w:rPr>
        <w:t>1993</w:t>
      </w:r>
      <w:r>
        <w:rPr>
          <w:color w:val="231F20"/>
          <w:spacing w:val="-10"/>
          <w:w w:val="105"/>
        </w:rPr>
        <w:t> </w:t>
      </w:r>
      <w:r>
        <w:rPr>
          <w:color w:val="231F20"/>
          <w:w w:val="105"/>
        </w:rPr>
        <w:t>a</w:t>
      </w:r>
      <w:r>
        <w:rPr>
          <w:color w:val="231F20"/>
          <w:spacing w:val="-10"/>
          <w:w w:val="105"/>
        </w:rPr>
        <w:t> </w:t>
      </w:r>
      <w:r>
        <w:rPr>
          <w:color w:val="231F20"/>
          <w:w w:val="105"/>
        </w:rPr>
        <w:t>menos</w:t>
      </w:r>
      <w:r>
        <w:rPr>
          <w:color w:val="231F20"/>
          <w:spacing w:val="-10"/>
          <w:w w:val="105"/>
        </w:rPr>
        <w:t> </w:t>
      </w:r>
      <w:r>
        <w:rPr>
          <w:color w:val="231F20"/>
          <w:w w:val="105"/>
        </w:rPr>
        <w:t>del</w:t>
      </w:r>
      <w:r>
        <w:rPr>
          <w:color w:val="231F20"/>
          <w:spacing w:val="-10"/>
          <w:w w:val="105"/>
        </w:rPr>
        <w:t> </w:t>
      </w:r>
      <w:r>
        <w:rPr>
          <w:color w:val="231F20"/>
          <w:w w:val="105"/>
        </w:rPr>
        <w:t>30</w:t>
      </w:r>
      <w:r>
        <w:rPr>
          <w:color w:val="231F20"/>
          <w:spacing w:val="-10"/>
          <w:w w:val="105"/>
        </w:rPr>
        <w:t> </w:t>
      </w:r>
      <w:r>
        <w:rPr>
          <w:color w:val="231F20"/>
          <w:w w:val="105"/>
        </w:rPr>
        <w:t>por</w:t>
      </w:r>
      <w:r>
        <w:rPr>
          <w:color w:val="231F20"/>
          <w:spacing w:val="-10"/>
          <w:w w:val="105"/>
        </w:rPr>
        <w:t> </w:t>
      </w:r>
      <w:r>
        <w:rPr>
          <w:color w:val="231F20"/>
          <w:w w:val="105"/>
        </w:rPr>
        <w:t>ciento</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siguientes</w:t>
      </w:r>
      <w:r>
        <w:rPr>
          <w:color w:val="231F20"/>
          <w:spacing w:val="-10"/>
          <w:w w:val="105"/>
        </w:rPr>
        <w:t> </w:t>
      </w:r>
      <w:r>
        <w:rPr>
          <w:color w:val="231F20"/>
          <w:w w:val="105"/>
        </w:rPr>
        <w:t>procesos</w:t>
      </w:r>
      <w:r>
        <w:rPr>
          <w:color w:val="231F20"/>
          <w:spacing w:val="-10"/>
          <w:w w:val="105"/>
        </w:rPr>
        <w:t> </w:t>
      </w:r>
      <w:r>
        <w:rPr>
          <w:color w:val="231F20"/>
          <w:w w:val="105"/>
        </w:rPr>
        <w:t>electorales,</w:t>
      </w:r>
      <w:r>
        <w:rPr>
          <w:color w:val="231F20"/>
          <w:spacing w:val="-10"/>
          <w:w w:val="105"/>
        </w:rPr>
        <w:t> </w:t>
      </w:r>
      <w:r>
        <w:rPr>
          <w:color w:val="231F20"/>
          <w:w w:val="105"/>
        </w:rPr>
        <w:t>ubicán- dose</w:t>
      </w:r>
      <w:r>
        <w:rPr>
          <w:color w:val="231F20"/>
          <w:spacing w:val="-19"/>
          <w:w w:val="105"/>
        </w:rPr>
        <w:t> </w:t>
      </w:r>
      <w:r>
        <w:rPr>
          <w:color w:val="231F20"/>
          <w:w w:val="105"/>
        </w:rPr>
        <w:t>como</w:t>
      </w:r>
      <w:r>
        <w:rPr>
          <w:color w:val="231F20"/>
          <w:spacing w:val="-19"/>
          <w:w w:val="105"/>
        </w:rPr>
        <w:t> </w:t>
      </w:r>
      <w:r>
        <w:rPr>
          <w:color w:val="231F20"/>
          <w:w w:val="105"/>
        </w:rPr>
        <w:t>la</w:t>
      </w:r>
      <w:r>
        <w:rPr>
          <w:color w:val="231F20"/>
          <w:spacing w:val="-19"/>
          <w:w w:val="105"/>
        </w:rPr>
        <w:t> </w:t>
      </w:r>
      <w:r>
        <w:rPr>
          <w:color w:val="231F20"/>
          <w:w w:val="105"/>
        </w:rPr>
        <w:t>segunda</w:t>
      </w:r>
      <w:r>
        <w:rPr>
          <w:color w:val="231F20"/>
          <w:spacing w:val="-19"/>
          <w:w w:val="105"/>
        </w:rPr>
        <w:t> </w:t>
      </w:r>
      <w:r>
        <w:rPr>
          <w:color w:val="231F20"/>
          <w:w w:val="105"/>
        </w:rPr>
        <w:t>fuerza</w:t>
      </w:r>
      <w:r>
        <w:rPr>
          <w:color w:val="231F20"/>
          <w:spacing w:val="-19"/>
          <w:w w:val="105"/>
        </w:rPr>
        <w:t> </w:t>
      </w:r>
      <w:r>
        <w:rPr>
          <w:color w:val="231F20"/>
          <w:w w:val="105"/>
        </w:rPr>
        <w:t>electoral</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municipio.</w:t>
      </w:r>
      <w:r>
        <w:rPr>
          <w:color w:val="231F20"/>
          <w:spacing w:val="-19"/>
          <w:w w:val="105"/>
        </w:rPr>
        <w:t> </w:t>
      </w:r>
      <w:r>
        <w:rPr>
          <w:color w:val="231F20"/>
          <w:w w:val="105"/>
        </w:rPr>
        <w:t>Finalmente</w:t>
      </w:r>
      <w:r>
        <w:rPr>
          <w:color w:val="231F20"/>
          <w:spacing w:val="-19"/>
          <w:w w:val="105"/>
        </w:rPr>
        <w:t> </w:t>
      </w:r>
      <w:r>
        <w:rPr>
          <w:color w:val="231F20"/>
          <w:w w:val="105"/>
        </w:rPr>
        <w:t>el</w:t>
      </w:r>
      <w:r>
        <w:rPr>
          <w:color w:val="231F20"/>
          <w:spacing w:val="-19"/>
          <w:w w:val="105"/>
        </w:rPr>
        <w:t> </w:t>
      </w:r>
      <w:r>
        <w:rPr>
          <w:color w:val="231F20"/>
          <w:spacing w:val="-4"/>
          <w:w w:val="105"/>
        </w:rPr>
        <w:t>PAN</w:t>
      </w:r>
      <w:r>
        <w:rPr>
          <w:color w:val="231F20"/>
          <w:spacing w:val="-19"/>
          <w:w w:val="105"/>
        </w:rPr>
        <w:t> </w:t>
      </w:r>
      <w:r>
        <w:rPr>
          <w:color w:val="231F20"/>
          <w:w w:val="105"/>
        </w:rPr>
        <w:t>se</w:t>
      </w:r>
      <w:r>
        <w:rPr>
          <w:color w:val="231F20"/>
          <w:spacing w:val="-19"/>
          <w:w w:val="105"/>
        </w:rPr>
        <w:t> </w:t>
      </w:r>
      <w:r>
        <w:rPr>
          <w:color w:val="231F20"/>
          <w:w w:val="105"/>
        </w:rPr>
        <w:t>ha</w:t>
      </w:r>
      <w:r>
        <w:rPr>
          <w:color w:val="231F20"/>
          <w:spacing w:val="-19"/>
          <w:w w:val="105"/>
        </w:rPr>
        <w:t> </w:t>
      </w:r>
      <w:r>
        <w:rPr>
          <w:color w:val="231F20"/>
          <w:w w:val="105"/>
        </w:rPr>
        <w:t>coloca- do</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tercera</w:t>
      </w:r>
      <w:r>
        <w:rPr>
          <w:color w:val="231F20"/>
          <w:spacing w:val="-21"/>
          <w:w w:val="105"/>
        </w:rPr>
        <w:t> </w:t>
      </w:r>
      <w:r>
        <w:rPr>
          <w:color w:val="231F20"/>
          <w:w w:val="105"/>
        </w:rPr>
        <w:t>fuerza</w:t>
      </w:r>
      <w:r>
        <w:rPr>
          <w:color w:val="231F20"/>
          <w:spacing w:val="-21"/>
          <w:w w:val="105"/>
        </w:rPr>
        <w:t> </w:t>
      </w:r>
      <w:r>
        <w:rPr>
          <w:color w:val="231F20"/>
          <w:w w:val="105"/>
        </w:rPr>
        <w:t>con</w:t>
      </w:r>
      <w:r>
        <w:rPr>
          <w:color w:val="231F20"/>
          <w:spacing w:val="-21"/>
          <w:w w:val="105"/>
        </w:rPr>
        <w:t> </w:t>
      </w:r>
      <w:r>
        <w:rPr>
          <w:color w:val="231F20"/>
          <w:w w:val="105"/>
        </w:rPr>
        <w:t>una</w:t>
      </w:r>
      <w:r>
        <w:rPr>
          <w:color w:val="231F20"/>
          <w:spacing w:val="-21"/>
          <w:w w:val="105"/>
        </w:rPr>
        <w:t> </w:t>
      </w:r>
      <w:r>
        <w:rPr>
          <w:color w:val="231F20"/>
          <w:w w:val="105"/>
        </w:rPr>
        <w:t>tendencia</w:t>
      </w:r>
      <w:r>
        <w:rPr>
          <w:color w:val="231F20"/>
          <w:spacing w:val="-21"/>
          <w:w w:val="105"/>
        </w:rPr>
        <w:t> </w:t>
      </w:r>
      <w:r>
        <w:rPr>
          <w:color w:val="231F20"/>
          <w:w w:val="105"/>
        </w:rPr>
        <w:t>ascendente</w:t>
      </w:r>
      <w:r>
        <w:rPr>
          <w:color w:val="231F20"/>
          <w:spacing w:val="-21"/>
          <w:w w:val="105"/>
        </w:rPr>
        <w:t> </w:t>
      </w:r>
      <w:r>
        <w:rPr>
          <w:color w:val="231F20"/>
          <w:w w:val="105"/>
        </w:rPr>
        <w:t>en</w:t>
      </w:r>
      <w:r>
        <w:rPr>
          <w:color w:val="231F20"/>
          <w:spacing w:val="-21"/>
          <w:w w:val="105"/>
        </w:rPr>
        <w:t> </w:t>
      </w:r>
      <w:r>
        <w:rPr>
          <w:color w:val="231F20"/>
          <w:w w:val="105"/>
        </w:rPr>
        <w:t>1996</w:t>
      </w:r>
      <w:r>
        <w:rPr>
          <w:color w:val="231F20"/>
          <w:spacing w:val="-21"/>
          <w:w w:val="105"/>
        </w:rPr>
        <w:t> </w:t>
      </w:r>
      <w:r>
        <w:rPr>
          <w:color w:val="231F20"/>
          <w:w w:val="105"/>
        </w:rPr>
        <w:t>y</w:t>
      </w:r>
      <w:r>
        <w:rPr>
          <w:color w:val="231F20"/>
          <w:spacing w:val="-21"/>
          <w:w w:val="105"/>
        </w:rPr>
        <w:t> </w:t>
      </w:r>
      <w:r>
        <w:rPr>
          <w:color w:val="231F20"/>
          <w:spacing w:val="3"/>
          <w:w w:val="105"/>
        </w:rPr>
        <w:t>2000,</w:t>
      </w:r>
      <w:r>
        <w:rPr>
          <w:color w:val="231F20"/>
          <w:spacing w:val="-21"/>
          <w:w w:val="105"/>
        </w:rPr>
        <w:t> </w:t>
      </w:r>
      <w:r>
        <w:rPr>
          <w:color w:val="231F20"/>
          <w:w w:val="105"/>
        </w:rPr>
        <w:t>cuando</w:t>
      </w:r>
      <w:r>
        <w:rPr>
          <w:color w:val="231F20"/>
          <w:spacing w:val="-21"/>
          <w:w w:val="105"/>
        </w:rPr>
        <w:t> </w:t>
      </w:r>
      <w:r>
        <w:rPr>
          <w:color w:val="231F20"/>
          <w:w w:val="105"/>
        </w:rPr>
        <w:t>alcanzó sus más altos porcentajes de votos con 22.5 y </w:t>
      </w:r>
      <w:r>
        <w:rPr>
          <w:color w:val="231F20"/>
          <w:spacing w:val="-8"/>
          <w:w w:val="105"/>
        </w:rPr>
        <w:t>27.1 </w:t>
      </w:r>
      <w:r>
        <w:rPr>
          <w:color w:val="231F20"/>
          <w:w w:val="105"/>
        </w:rPr>
        <w:t>respectivamente, para descender en los</w:t>
      </w:r>
      <w:r>
        <w:rPr>
          <w:color w:val="231F20"/>
          <w:spacing w:val="-20"/>
          <w:w w:val="105"/>
        </w:rPr>
        <w:t> </w:t>
      </w:r>
      <w:r>
        <w:rPr>
          <w:color w:val="231F20"/>
          <w:w w:val="105"/>
        </w:rPr>
        <w:t>comicios</w:t>
      </w:r>
      <w:r>
        <w:rPr>
          <w:color w:val="231F20"/>
          <w:spacing w:val="-20"/>
          <w:w w:val="105"/>
        </w:rPr>
        <w:t> </w:t>
      </w:r>
      <w:r>
        <w:rPr>
          <w:color w:val="231F20"/>
          <w:w w:val="105"/>
        </w:rPr>
        <w:t>de</w:t>
      </w:r>
      <w:r>
        <w:rPr>
          <w:color w:val="231F20"/>
          <w:spacing w:val="-20"/>
          <w:w w:val="105"/>
        </w:rPr>
        <w:t> </w:t>
      </w:r>
      <w:r>
        <w:rPr>
          <w:color w:val="231F20"/>
          <w:spacing w:val="2"/>
          <w:w w:val="105"/>
        </w:rPr>
        <w:t>2003</w:t>
      </w:r>
      <w:r>
        <w:rPr>
          <w:color w:val="231F20"/>
          <w:spacing w:val="-20"/>
          <w:w w:val="105"/>
        </w:rPr>
        <w:t> </w:t>
      </w:r>
      <w:r>
        <w:rPr>
          <w:color w:val="231F20"/>
          <w:w w:val="105"/>
        </w:rPr>
        <w:t>y</w:t>
      </w:r>
      <w:r>
        <w:rPr>
          <w:color w:val="231F20"/>
          <w:spacing w:val="-20"/>
          <w:w w:val="105"/>
        </w:rPr>
        <w:t> </w:t>
      </w:r>
      <w:r>
        <w:rPr>
          <w:color w:val="231F20"/>
          <w:spacing w:val="3"/>
          <w:w w:val="105"/>
        </w:rPr>
        <w:t>2006</w:t>
      </w:r>
      <w:r>
        <w:rPr>
          <w:color w:val="231F20"/>
          <w:spacing w:val="-20"/>
          <w:w w:val="105"/>
        </w:rPr>
        <w:t> </w:t>
      </w:r>
      <w:r>
        <w:rPr>
          <w:color w:val="231F20"/>
          <w:w w:val="105"/>
        </w:rPr>
        <w:t>a</w:t>
      </w:r>
      <w:r>
        <w:rPr>
          <w:color w:val="231F20"/>
          <w:spacing w:val="-20"/>
          <w:w w:val="105"/>
        </w:rPr>
        <w:t> </w:t>
      </w:r>
      <w:r>
        <w:rPr>
          <w:color w:val="231F20"/>
          <w:spacing w:val="-5"/>
          <w:w w:val="105"/>
        </w:rPr>
        <w:t>14.9</w:t>
      </w:r>
      <w:r>
        <w:rPr>
          <w:color w:val="231F20"/>
          <w:spacing w:val="-20"/>
          <w:w w:val="105"/>
        </w:rPr>
        <w:t> </w:t>
      </w:r>
      <w:r>
        <w:rPr>
          <w:color w:val="231F20"/>
          <w:w w:val="105"/>
        </w:rPr>
        <w:t>y</w:t>
      </w:r>
      <w:r>
        <w:rPr>
          <w:color w:val="231F20"/>
          <w:spacing w:val="-20"/>
          <w:w w:val="105"/>
        </w:rPr>
        <w:t> </w:t>
      </w:r>
      <w:r>
        <w:rPr>
          <w:color w:val="231F20"/>
          <w:w w:val="105"/>
        </w:rPr>
        <w:t>13.3</w:t>
      </w:r>
      <w:r>
        <w:rPr>
          <w:color w:val="231F20"/>
          <w:spacing w:val="-20"/>
          <w:w w:val="105"/>
        </w:rPr>
        <w:t> </w:t>
      </w:r>
      <w:r>
        <w:rPr>
          <w:color w:val="231F20"/>
          <w:w w:val="105"/>
        </w:rPr>
        <w:t>por</w:t>
      </w:r>
      <w:r>
        <w:rPr>
          <w:color w:val="231F20"/>
          <w:spacing w:val="-20"/>
          <w:w w:val="105"/>
        </w:rPr>
        <w:t> </w:t>
      </w:r>
      <w:r>
        <w:rPr>
          <w:color w:val="231F20"/>
          <w:w w:val="105"/>
        </w:rPr>
        <w:t>ciento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votos.</w:t>
      </w:r>
    </w:p>
    <w:p>
      <w:pPr>
        <w:pStyle w:val="BodyText"/>
        <w:spacing w:before="1"/>
        <w:rPr>
          <w:sz w:val="26"/>
        </w:rPr>
      </w:pPr>
    </w:p>
    <w:p>
      <w:pPr>
        <w:pStyle w:val="BodyText"/>
        <w:spacing w:line="285" w:lineRule="auto"/>
        <w:ind w:left="110" w:right="147"/>
        <w:jc w:val="both"/>
      </w:pPr>
      <w:r>
        <w:rPr>
          <w:color w:val="231F20"/>
          <w:w w:val="105"/>
        </w:rPr>
        <w:t>Otro aspecto interesante que no podemos perder de </w:t>
      </w:r>
      <w:r>
        <w:rPr>
          <w:color w:val="231F20"/>
          <w:spacing w:val="2"/>
          <w:w w:val="105"/>
        </w:rPr>
        <w:t>vista </w:t>
      </w:r>
      <w:r>
        <w:rPr>
          <w:color w:val="231F20"/>
          <w:w w:val="105"/>
        </w:rPr>
        <w:t>en la gráfica 1 es la </w:t>
      </w:r>
      <w:r>
        <w:rPr>
          <w:color w:val="231F20"/>
          <w:spacing w:val="-3"/>
          <w:w w:val="105"/>
        </w:rPr>
        <w:t>evolu- </w:t>
      </w:r>
      <w:r>
        <w:rPr>
          <w:color w:val="231F20"/>
          <w:w w:val="105"/>
        </w:rPr>
        <w:t>ción</w:t>
      </w:r>
      <w:r>
        <w:rPr>
          <w:color w:val="231F20"/>
          <w:spacing w:val="-12"/>
          <w:w w:val="105"/>
        </w:rPr>
        <w:t> </w:t>
      </w:r>
      <w:r>
        <w:rPr>
          <w:color w:val="231F20"/>
          <w:w w:val="105"/>
        </w:rPr>
        <w:t>y</w:t>
      </w:r>
      <w:r>
        <w:rPr>
          <w:color w:val="231F20"/>
          <w:spacing w:val="-12"/>
          <w:w w:val="105"/>
        </w:rPr>
        <w:t> </w:t>
      </w:r>
      <w:r>
        <w:rPr>
          <w:color w:val="231F20"/>
          <w:w w:val="105"/>
        </w:rPr>
        <w:t>tendencia</w:t>
      </w:r>
      <w:r>
        <w:rPr>
          <w:color w:val="231F20"/>
          <w:spacing w:val="-12"/>
          <w:w w:val="105"/>
        </w:rPr>
        <w:t> </w:t>
      </w:r>
      <w:r>
        <w:rPr>
          <w:color w:val="231F20"/>
          <w:w w:val="105"/>
        </w:rPr>
        <w:t>del</w:t>
      </w:r>
      <w:r>
        <w:rPr>
          <w:color w:val="231F20"/>
          <w:spacing w:val="-12"/>
          <w:w w:val="105"/>
        </w:rPr>
        <w:t> </w:t>
      </w:r>
      <w:r>
        <w:rPr>
          <w:color w:val="231F20"/>
          <w:w w:val="105"/>
        </w:rPr>
        <w:t>abstencionismo</w:t>
      </w:r>
      <w:r>
        <w:rPr>
          <w:color w:val="231F20"/>
          <w:spacing w:val="-12"/>
          <w:w w:val="105"/>
        </w:rPr>
        <w:t> </w:t>
      </w:r>
      <w:r>
        <w:rPr>
          <w:color w:val="231F20"/>
          <w:w w:val="105"/>
        </w:rPr>
        <w:t>electoral</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a</w:t>
      </w:r>
      <w:r>
        <w:rPr>
          <w:color w:val="231F20"/>
          <w:spacing w:val="-12"/>
          <w:w w:val="105"/>
        </w:rPr>
        <w:t> </w:t>
      </w:r>
      <w:r>
        <w:rPr>
          <w:color w:val="231F20"/>
          <w:w w:val="105"/>
        </w:rPr>
        <w:t>excepción</w:t>
      </w:r>
      <w:r>
        <w:rPr>
          <w:color w:val="231F20"/>
          <w:spacing w:val="-12"/>
          <w:w w:val="105"/>
        </w:rPr>
        <w:t> </w:t>
      </w:r>
      <w:r>
        <w:rPr>
          <w:color w:val="231F20"/>
          <w:w w:val="105"/>
        </w:rPr>
        <w:t>de</w:t>
      </w:r>
      <w:r>
        <w:rPr>
          <w:color w:val="231F20"/>
          <w:spacing w:val="-12"/>
          <w:w w:val="105"/>
        </w:rPr>
        <w:t> </w:t>
      </w:r>
      <w:r>
        <w:rPr>
          <w:color w:val="231F20"/>
          <w:w w:val="105"/>
        </w:rPr>
        <w:t>la elección</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año</w:t>
      </w:r>
      <w:r>
        <w:rPr>
          <w:color w:val="231F20"/>
          <w:spacing w:val="-10"/>
          <w:w w:val="105"/>
        </w:rPr>
        <w:t> </w:t>
      </w:r>
      <w:r>
        <w:rPr>
          <w:color w:val="231F20"/>
          <w:spacing w:val="3"/>
          <w:w w:val="105"/>
        </w:rPr>
        <w:t>2000,</w:t>
      </w:r>
      <w:r>
        <w:rPr>
          <w:color w:val="231F20"/>
          <w:spacing w:val="-10"/>
          <w:w w:val="105"/>
        </w:rPr>
        <w:t> </w:t>
      </w:r>
      <w:r>
        <w:rPr>
          <w:color w:val="231F20"/>
          <w:w w:val="105"/>
        </w:rPr>
        <w:t>año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proceso</w:t>
      </w:r>
      <w:r>
        <w:rPr>
          <w:color w:val="231F20"/>
          <w:spacing w:val="-10"/>
          <w:w w:val="105"/>
        </w:rPr>
        <w:t> </w:t>
      </w:r>
      <w:r>
        <w:rPr>
          <w:color w:val="231F20"/>
          <w:w w:val="105"/>
        </w:rPr>
        <w:t>de</w:t>
      </w:r>
      <w:r>
        <w:rPr>
          <w:color w:val="231F20"/>
          <w:spacing w:val="-10"/>
          <w:w w:val="105"/>
        </w:rPr>
        <w:t> </w:t>
      </w:r>
      <w:r>
        <w:rPr>
          <w:color w:val="231F20"/>
          <w:w w:val="105"/>
        </w:rPr>
        <w:t>elección</w:t>
      </w:r>
      <w:r>
        <w:rPr>
          <w:color w:val="231F20"/>
          <w:spacing w:val="-10"/>
          <w:w w:val="105"/>
        </w:rPr>
        <w:t> </w:t>
      </w:r>
      <w:r>
        <w:rPr>
          <w:color w:val="231F20"/>
          <w:w w:val="105"/>
        </w:rPr>
        <w:t>se</w:t>
      </w:r>
      <w:r>
        <w:rPr>
          <w:color w:val="231F20"/>
          <w:spacing w:val="-10"/>
          <w:w w:val="105"/>
        </w:rPr>
        <w:t> </w:t>
      </w:r>
      <w:r>
        <w:rPr>
          <w:color w:val="231F20"/>
          <w:w w:val="105"/>
        </w:rPr>
        <w:t>empató</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elección federal</w:t>
      </w:r>
      <w:r>
        <w:rPr>
          <w:color w:val="231F20"/>
          <w:spacing w:val="-7"/>
          <w:w w:val="105"/>
        </w:rPr>
        <w:t> </w:t>
      </w:r>
      <w:r>
        <w:rPr>
          <w:color w:val="231F20"/>
          <w:w w:val="105"/>
        </w:rPr>
        <w:t>para</w:t>
      </w:r>
      <w:r>
        <w:rPr>
          <w:color w:val="231F20"/>
          <w:spacing w:val="-7"/>
          <w:w w:val="105"/>
        </w:rPr>
        <w:t> </w:t>
      </w:r>
      <w:r>
        <w:rPr>
          <w:color w:val="231F20"/>
          <w:w w:val="105"/>
        </w:rPr>
        <w:t>elegir</w:t>
      </w:r>
      <w:r>
        <w:rPr>
          <w:color w:val="231F20"/>
          <w:spacing w:val="-7"/>
          <w:w w:val="105"/>
        </w:rPr>
        <w:t> </w:t>
      </w:r>
      <w:r>
        <w:rPr>
          <w:color w:val="231F20"/>
          <w:w w:val="105"/>
        </w:rPr>
        <w:t>presidente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República,</w:t>
      </w:r>
      <w:r>
        <w:rPr>
          <w:color w:val="231F20"/>
          <w:spacing w:val="-7"/>
          <w:w w:val="105"/>
        </w:rPr>
        <w:t> </w:t>
      </w:r>
      <w:r>
        <w:rPr>
          <w:color w:val="231F20"/>
          <w:w w:val="105"/>
        </w:rPr>
        <w:t>se</w:t>
      </w:r>
      <w:r>
        <w:rPr>
          <w:color w:val="231F20"/>
          <w:spacing w:val="-7"/>
          <w:w w:val="105"/>
        </w:rPr>
        <w:t> </w:t>
      </w:r>
      <w:r>
        <w:rPr>
          <w:color w:val="231F20"/>
          <w:w w:val="105"/>
        </w:rPr>
        <w:t>han</w:t>
      </w:r>
      <w:r>
        <w:rPr>
          <w:color w:val="231F20"/>
          <w:spacing w:val="-7"/>
          <w:w w:val="105"/>
        </w:rPr>
        <w:t> </w:t>
      </w:r>
      <w:r>
        <w:rPr>
          <w:color w:val="231F20"/>
          <w:w w:val="105"/>
        </w:rPr>
        <w:t>registrado</w:t>
      </w:r>
      <w:r>
        <w:rPr>
          <w:color w:val="231F20"/>
          <w:spacing w:val="-7"/>
          <w:w w:val="105"/>
        </w:rPr>
        <w:t> </w:t>
      </w:r>
      <w:r>
        <w:rPr>
          <w:color w:val="231F20"/>
          <w:w w:val="105"/>
        </w:rPr>
        <w:t>porcentajes</w:t>
      </w:r>
      <w:r>
        <w:rPr>
          <w:color w:val="231F20"/>
          <w:spacing w:val="-7"/>
          <w:w w:val="105"/>
        </w:rPr>
        <w:t> </w:t>
      </w:r>
      <w:r>
        <w:rPr>
          <w:color w:val="231F20"/>
          <w:w w:val="105"/>
        </w:rPr>
        <w:t>de</w:t>
      </w:r>
      <w:r>
        <w:rPr>
          <w:color w:val="231F20"/>
          <w:spacing w:val="-7"/>
          <w:w w:val="105"/>
        </w:rPr>
        <w:t> </w:t>
      </w:r>
      <w:r>
        <w:rPr>
          <w:color w:val="231F20"/>
          <w:w w:val="105"/>
        </w:rPr>
        <w:t>absten-</w:t>
      </w:r>
    </w:p>
    <w:p>
      <w:pPr>
        <w:spacing w:after="0" w:line="285" w:lineRule="auto"/>
        <w:jc w:val="both"/>
        <w:sectPr>
          <w:pgSz w:w="9640" w:h="12190"/>
          <w:pgMar w:header="0" w:footer="743" w:top="1120" w:bottom="940" w:left="740" w:right="700"/>
        </w:sectPr>
      </w:pPr>
    </w:p>
    <w:p>
      <w:pPr>
        <w:pStyle w:val="BodyText"/>
        <w:spacing w:before="3"/>
        <w:rPr>
          <w:sz w:val="11"/>
        </w:rPr>
      </w:pPr>
    </w:p>
    <w:p>
      <w:pPr>
        <w:pStyle w:val="BodyText"/>
        <w:spacing w:line="285" w:lineRule="auto" w:before="36"/>
        <w:ind w:left="110" w:right="109"/>
        <w:jc w:val="both"/>
      </w:pPr>
      <w:r>
        <w:rPr>
          <w:color w:val="231F20"/>
          <w:w w:val="105"/>
        </w:rPr>
        <w:t>cionismo</w:t>
      </w:r>
      <w:r>
        <w:rPr>
          <w:color w:val="231F20"/>
          <w:spacing w:val="-10"/>
          <w:w w:val="105"/>
        </w:rPr>
        <w:t> </w:t>
      </w:r>
      <w:r>
        <w:rPr>
          <w:color w:val="231F20"/>
          <w:w w:val="105"/>
        </w:rPr>
        <w:t>muy</w:t>
      </w:r>
      <w:r>
        <w:rPr>
          <w:color w:val="231F20"/>
          <w:spacing w:val="-10"/>
          <w:w w:val="105"/>
        </w:rPr>
        <w:t> </w:t>
      </w:r>
      <w:r>
        <w:rPr>
          <w:color w:val="231F20"/>
          <w:w w:val="105"/>
        </w:rPr>
        <w:t>elevados</w:t>
      </w:r>
      <w:r>
        <w:rPr>
          <w:color w:val="231F20"/>
          <w:spacing w:val="-10"/>
          <w:w w:val="105"/>
        </w:rPr>
        <w:t> </w:t>
      </w:r>
      <w:r>
        <w:rPr>
          <w:color w:val="231F20"/>
          <w:w w:val="105"/>
        </w:rPr>
        <w:t>con</w:t>
      </w:r>
      <w:r>
        <w:rPr>
          <w:color w:val="231F20"/>
          <w:spacing w:val="-10"/>
          <w:w w:val="105"/>
        </w:rPr>
        <w:t> </w:t>
      </w:r>
      <w:r>
        <w:rPr>
          <w:color w:val="231F20"/>
          <w:w w:val="105"/>
        </w:rPr>
        <w:t>una</w:t>
      </w:r>
      <w:r>
        <w:rPr>
          <w:color w:val="231F20"/>
          <w:spacing w:val="-10"/>
          <w:w w:val="105"/>
        </w:rPr>
        <w:t> </w:t>
      </w:r>
      <w:r>
        <w:rPr>
          <w:color w:val="231F20"/>
          <w:w w:val="105"/>
        </w:rPr>
        <w:t>tendencia</w:t>
      </w:r>
      <w:r>
        <w:rPr>
          <w:color w:val="231F20"/>
          <w:spacing w:val="-10"/>
          <w:w w:val="105"/>
        </w:rPr>
        <w:t> </w:t>
      </w:r>
      <w:r>
        <w:rPr>
          <w:color w:val="231F20"/>
          <w:w w:val="105"/>
        </w:rPr>
        <w:t>ascendente,</w:t>
      </w:r>
      <w:r>
        <w:rPr>
          <w:color w:val="231F20"/>
          <w:spacing w:val="-10"/>
          <w:w w:val="105"/>
        </w:rPr>
        <w:t> </w:t>
      </w:r>
      <w:r>
        <w:rPr>
          <w:color w:val="231F20"/>
          <w:w w:val="105"/>
        </w:rPr>
        <w:t>hasta</w:t>
      </w:r>
      <w:r>
        <w:rPr>
          <w:color w:val="231F20"/>
          <w:spacing w:val="-10"/>
          <w:w w:val="105"/>
        </w:rPr>
        <w:t> </w:t>
      </w:r>
      <w:r>
        <w:rPr>
          <w:color w:val="231F20"/>
          <w:w w:val="105"/>
        </w:rPr>
        <w:t>llegar</w:t>
      </w:r>
      <w:r>
        <w:rPr>
          <w:color w:val="231F20"/>
          <w:spacing w:val="-10"/>
          <w:w w:val="105"/>
        </w:rPr>
        <w:t> </w:t>
      </w:r>
      <w:r>
        <w:rPr>
          <w:color w:val="231F20"/>
          <w:w w:val="105"/>
        </w:rPr>
        <w:t>a</w:t>
      </w:r>
      <w:r>
        <w:rPr>
          <w:color w:val="231F20"/>
          <w:spacing w:val="-10"/>
          <w:w w:val="105"/>
        </w:rPr>
        <w:t> </w:t>
      </w:r>
      <w:r>
        <w:rPr>
          <w:color w:val="231F20"/>
          <w:w w:val="105"/>
        </w:rPr>
        <w:t>un</w:t>
      </w:r>
      <w:r>
        <w:rPr>
          <w:color w:val="231F20"/>
          <w:spacing w:val="-10"/>
          <w:w w:val="105"/>
        </w:rPr>
        <w:t> </w:t>
      </w:r>
      <w:r>
        <w:rPr>
          <w:color w:val="231F20"/>
          <w:w w:val="105"/>
        </w:rPr>
        <w:t>alarmante</w:t>
      </w:r>
      <w:r>
        <w:rPr>
          <w:color w:val="231F20"/>
          <w:spacing w:val="-10"/>
          <w:w w:val="105"/>
        </w:rPr>
        <w:t> </w:t>
      </w:r>
      <w:r>
        <w:rPr>
          <w:color w:val="231F20"/>
          <w:spacing w:val="-4"/>
          <w:w w:val="105"/>
        </w:rPr>
        <w:t>70.1 </w:t>
      </w:r>
      <w:r>
        <w:rPr>
          <w:color w:val="231F20"/>
          <w:w w:val="105"/>
        </w:rPr>
        <w:t>por ciento de abstencionismo, poniendo en entredicho el grado de legitimidad de las autoridades</w:t>
      </w:r>
      <w:r>
        <w:rPr>
          <w:color w:val="231F20"/>
          <w:spacing w:val="-30"/>
          <w:w w:val="105"/>
        </w:rPr>
        <w:t> </w:t>
      </w:r>
      <w:r>
        <w:rPr>
          <w:color w:val="231F20"/>
          <w:w w:val="105"/>
        </w:rPr>
        <w:t>electas.</w:t>
      </w:r>
    </w:p>
    <w:p>
      <w:pPr>
        <w:pStyle w:val="BodyText"/>
        <w:spacing w:before="1"/>
        <w:rPr>
          <w:sz w:val="26"/>
        </w:rPr>
      </w:pPr>
    </w:p>
    <w:p>
      <w:pPr>
        <w:pStyle w:val="BodyText"/>
        <w:spacing w:line="285" w:lineRule="auto"/>
        <w:ind w:left="110" w:right="108"/>
        <w:jc w:val="both"/>
      </w:pPr>
      <w:r>
        <w:rPr>
          <w:color w:val="231F20"/>
          <w:spacing w:val="-4"/>
          <w:w w:val="105"/>
        </w:rPr>
        <w:t>Tal</w:t>
      </w:r>
      <w:r>
        <w:rPr>
          <w:color w:val="231F20"/>
          <w:spacing w:val="-10"/>
          <w:w w:val="105"/>
        </w:rPr>
        <w:t> </w:t>
      </w:r>
      <w:r>
        <w:rPr>
          <w:color w:val="231F20"/>
          <w:w w:val="105"/>
        </w:rPr>
        <w:t>pareciera</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alto</w:t>
      </w:r>
      <w:r>
        <w:rPr>
          <w:color w:val="231F20"/>
          <w:spacing w:val="-10"/>
          <w:w w:val="105"/>
        </w:rPr>
        <w:t> </w:t>
      </w:r>
      <w:r>
        <w:rPr>
          <w:color w:val="231F20"/>
          <w:w w:val="105"/>
        </w:rPr>
        <w:t>porcentaje</w:t>
      </w:r>
      <w:r>
        <w:rPr>
          <w:color w:val="231F20"/>
          <w:spacing w:val="-10"/>
          <w:w w:val="105"/>
        </w:rPr>
        <w:t> </w:t>
      </w:r>
      <w:r>
        <w:rPr>
          <w:color w:val="231F20"/>
          <w:w w:val="105"/>
        </w:rPr>
        <w:t>de</w:t>
      </w:r>
      <w:r>
        <w:rPr>
          <w:color w:val="231F20"/>
          <w:spacing w:val="-10"/>
          <w:w w:val="105"/>
        </w:rPr>
        <w:t> </w:t>
      </w:r>
      <w:r>
        <w:rPr>
          <w:color w:val="231F20"/>
          <w:w w:val="105"/>
        </w:rPr>
        <w:t>abstencionismo</w:t>
      </w:r>
      <w:r>
        <w:rPr>
          <w:color w:val="231F20"/>
          <w:spacing w:val="-10"/>
          <w:w w:val="105"/>
        </w:rPr>
        <w:t> </w:t>
      </w:r>
      <w:r>
        <w:rPr>
          <w:color w:val="231F20"/>
          <w:w w:val="105"/>
        </w:rPr>
        <w:t>electoral</w:t>
      </w:r>
      <w:r>
        <w:rPr>
          <w:color w:val="231F20"/>
          <w:spacing w:val="-10"/>
          <w:w w:val="105"/>
        </w:rPr>
        <w:t> </w:t>
      </w:r>
      <w:r>
        <w:rPr>
          <w:color w:val="231F20"/>
          <w:w w:val="105"/>
        </w:rPr>
        <w:t>se</w:t>
      </w:r>
      <w:r>
        <w:rPr>
          <w:color w:val="231F20"/>
          <w:spacing w:val="-10"/>
          <w:w w:val="105"/>
        </w:rPr>
        <w:t> </w:t>
      </w:r>
      <w:r>
        <w:rPr>
          <w:color w:val="231F20"/>
          <w:w w:val="105"/>
        </w:rPr>
        <w:t>asocia</w:t>
      </w:r>
      <w:r>
        <w:rPr>
          <w:color w:val="231F20"/>
          <w:spacing w:val="-10"/>
          <w:w w:val="105"/>
        </w:rPr>
        <w:t> </w:t>
      </w:r>
      <w:r>
        <w:rPr>
          <w:color w:val="231F20"/>
          <w:w w:val="105"/>
        </w:rPr>
        <w:t>directamente con la apatía política de amplios sectores sociales del municipio, pues existe un gran desconocimiento</w:t>
      </w:r>
      <w:r>
        <w:rPr>
          <w:color w:val="231F20"/>
          <w:spacing w:val="-19"/>
          <w:w w:val="105"/>
        </w:rPr>
        <w:t> </w:t>
      </w:r>
      <w:r>
        <w:rPr>
          <w:color w:val="231F20"/>
          <w:w w:val="105"/>
        </w:rPr>
        <w:t>del</w:t>
      </w:r>
      <w:r>
        <w:rPr>
          <w:color w:val="231F20"/>
          <w:spacing w:val="-19"/>
          <w:w w:val="105"/>
        </w:rPr>
        <w:t> </w:t>
      </w:r>
      <w:r>
        <w:rPr>
          <w:color w:val="231F20"/>
          <w:w w:val="105"/>
        </w:rPr>
        <w:t>acontecer</w:t>
      </w:r>
      <w:r>
        <w:rPr>
          <w:color w:val="231F20"/>
          <w:spacing w:val="-19"/>
          <w:w w:val="105"/>
        </w:rPr>
        <w:t> </w:t>
      </w:r>
      <w:r>
        <w:rPr>
          <w:color w:val="231F20"/>
          <w:w w:val="105"/>
        </w:rPr>
        <w:t>político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9"/>
          <w:w w:val="105"/>
        </w:rPr>
        <w:t> </w:t>
      </w:r>
      <w:r>
        <w:rPr>
          <w:color w:val="231F20"/>
          <w:w w:val="105"/>
        </w:rPr>
        <w:t>localidad;</w:t>
      </w:r>
      <w:r>
        <w:rPr>
          <w:color w:val="231F20"/>
          <w:spacing w:val="-18"/>
          <w:w w:val="105"/>
        </w:rPr>
        <w:t> </w:t>
      </w:r>
      <w:r>
        <w:rPr>
          <w:color w:val="231F20"/>
          <w:w w:val="105"/>
        </w:rPr>
        <w:t>por</w:t>
      </w:r>
      <w:r>
        <w:rPr>
          <w:color w:val="231F20"/>
          <w:spacing w:val="-19"/>
          <w:w w:val="105"/>
        </w:rPr>
        <w:t> </w:t>
      </w:r>
      <w:r>
        <w:rPr>
          <w:color w:val="231F20"/>
          <w:spacing w:val="-3"/>
          <w:w w:val="105"/>
        </w:rPr>
        <w:t>ejemplo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9"/>
          <w:w w:val="105"/>
        </w:rPr>
        <w:t> </w:t>
      </w:r>
      <w:r>
        <w:rPr>
          <w:color w:val="231F20"/>
          <w:w w:val="105"/>
        </w:rPr>
        <w:t>sondeo</w:t>
      </w:r>
      <w:r>
        <w:rPr>
          <w:color w:val="231F20"/>
          <w:spacing w:val="-18"/>
          <w:w w:val="105"/>
        </w:rPr>
        <w:t> </w:t>
      </w:r>
      <w:r>
        <w:rPr>
          <w:color w:val="231F20"/>
          <w:w w:val="105"/>
        </w:rPr>
        <w:t>de</w:t>
      </w:r>
      <w:r>
        <w:rPr>
          <w:color w:val="231F20"/>
          <w:spacing w:val="-18"/>
          <w:w w:val="105"/>
        </w:rPr>
        <w:t> </w:t>
      </w:r>
      <w:r>
        <w:rPr>
          <w:color w:val="231F20"/>
          <w:spacing w:val="-3"/>
          <w:w w:val="105"/>
        </w:rPr>
        <w:t>opi- </w:t>
      </w:r>
      <w:r>
        <w:rPr>
          <w:color w:val="231F20"/>
          <w:w w:val="105"/>
        </w:rPr>
        <w:t>nión</w:t>
      </w:r>
      <w:r>
        <w:rPr>
          <w:color w:val="231F20"/>
          <w:spacing w:val="-11"/>
          <w:w w:val="105"/>
        </w:rPr>
        <w:t> </w:t>
      </w:r>
      <w:r>
        <w:rPr>
          <w:color w:val="231F20"/>
          <w:w w:val="105"/>
        </w:rPr>
        <w:t>realizado</w:t>
      </w:r>
      <w:r>
        <w:rPr>
          <w:color w:val="231F20"/>
          <w:spacing w:val="-11"/>
          <w:w w:val="105"/>
        </w:rPr>
        <w:t> </w:t>
      </w:r>
      <w:r>
        <w:rPr>
          <w:color w:val="231F20"/>
          <w:w w:val="105"/>
        </w:rPr>
        <w:t>por</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spacing w:val="2"/>
          <w:w w:val="105"/>
        </w:rPr>
        <w:t>2006-2009</w:t>
      </w:r>
      <w:r>
        <w:rPr>
          <w:color w:val="231F20"/>
          <w:spacing w:val="-11"/>
          <w:w w:val="105"/>
        </w:rPr>
        <w:t> </w:t>
      </w:r>
      <w:r>
        <w:rPr>
          <w:color w:val="231F20"/>
          <w:w w:val="105"/>
        </w:rPr>
        <w:t>para</w:t>
      </w:r>
      <w:r>
        <w:rPr>
          <w:color w:val="231F20"/>
          <w:spacing w:val="-11"/>
          <w:w w:val="105"/>
        </w:rPr>
        <w:t> </w:t>
      </w:r>
      <w:r>
        <w:rPr>
          <w:color w:val="231F20"/>
          <w:w w:val="105"/>
        </w:rPr>
        <w:t>efectos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elaboración</w:t>
      </w:r>
      <w:r>
        <w:rPr>
          <w:color w:val="231F20"/>
          <w:spacing w:val="-11"/>
          <w:w w:val="105"/>
        </w:rPr>
        <w:t> </w:t>
      </w:r>
      <w:r>
        <w:rPr>
          <w:color w:val="231F20"/>
          <w:w w:val="105"/>
        </w:rPr>
        <w:t>del</w:t>
      </w:r>
      <w:r>
        <w:rPr>
          <w:color w:val="231F20"/>
          <w:spacing w:val="-11"/>
          <w:w w:val="105"/>
        </w:rPr>
        <w:t> </w:t>
      </w:r>
      <w:r>
        <w:rPr>
          <w:color w:val="231F20"/>
          <w:w w:val="105"/>
        </w:rPr>
        <w:t>Plan de</w:t>
      </w:r>
      <w:r>
        <w:rPr>
          <w:color w:val="231F20"/>
          <w:spacing w:val="-22"/>
          <w:w w:val="105"/>
        </w:rPr>
        <w:t> </w:t>
      </w:r>
      <w:r>
        <w:rPr>
          <w:color w:val="231F20"/>
          <w:w w:val="105"/>
        </w:rPr>
        <w:t>Desarrollo</w:t>
      </w:r>
      <w:r>
        <w:rPr>
          <w:color w:val="231F20"/>
          <w:spacing w:val="-22"/>
          <w:w w:val="105"/>
        </w:rPr>
        <w:t> </w:t>
      </w:r>
      <w:r>
        <w:rPr>
          <w:color w:val="231F20"/>
          <w:w w:val="105"/>
        </w:rPr>
        <w:t>Municipal,</w:t>
      </w:r>
      <w:r>
        <w:rPr>
          <w:color w:val="231F20"/>
          <w:spacing w:val="-22"/>
          <w:w w:val="105"/>
        </w:rPr>
        <w:t> </w:t>
      </w:r>
      <w:r>
        <w:rPr>
          <w:color w:val="231F20"/>
          <w:w w:val="105"/>
        </w:rPr>
        <w:t>el</w:t>
      </w:r>
      <w:r>
        <w:rPr>
          <w:color w:val="231F20"/>
          <w:spacing w:val="-22"/>
          <w:w w:val="105"/>
        </w:rPr>
        <w:t> </w:t>
      </w:r>
      <w:r>
        <w:rPr>
          <w:color w:val="231F20"/>
          <w:w w:val="105"/>
        </w:rPr>
        <w:t>70%</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encuestados</w:t>
      </w:r>
      <w:r>
        <w:rPr>
          <w:color w:val="231F20"/>
          <w:spacing w:val="-22"/>
          <w:w w:val="105"/>
        </w:rPr>
        <w:t> </w:t>
      </w:r>
      <w:r>
        <w:rPr>
          <w:color w:val="231F20"/>
          <w:w w:val="105"/>
        </w:rPr>
        <w:t>manifestó</w:t>
      </w:r>
      <w:r>
        <w:rPr>
          <w:color w:val="231F20"/>
          <w:spacing w:val="-22"/>
          <w:w w:val="105"/>
        </w:rPr>
        <w:t> </w:t>
      </w:r>
      <w:r>
        <w:rPr>
          <w:color w:val="231F20"/>
          <w:w w:val="105"/>
        </w:rPr>
        <w:t>desconocer</w:t>
      </w:r>
      <w:r>
        <w:rPr>
          <w:color w:val="231F20"/>
          <w:spacing w:val="-22"/>
          <w:w w:val="105"/>
        </w:rPr>
        <w:t> </w:t>
      </w:r>
      <w:r>
        <w:rPr>
          <w:color w:val="231F20"/>
          <w:w w:val="105"/>
        </w:rPr>
        <w:t>el</w:t>
      </w:r>
      <w:r>
        <w:rPr>
          <w:color w:val="231F20"/>
          <w:spacing w:val="-22"/>
          <w:w w:val="105"/>
        </w:rPr>
        <w:t> </w:t>
      </w:r>
      <w:r>
        <w:rPr>
          <w:color w:val="231F20"/>
          <w:spacing w:val="-3"/>
          <w:w w:val="105"/>
        </w:rPr>
        <w:t>nombre</w:t>
      </w:r>
      <w:r>
        <w:rPr>
          <w:color w:val="231F20"/>
          <w:spacing w:val="-22"/>
          <w:w w:val="105"/>
        </w:rPr>
        <w:t> </w:t>
      </w:r>
      <w:r>
        <w:rPr>
          <w:color w:val="231F20"/>
          <w:w w:val="105"/>
        </w:rPr>
        <w:t>del Presidente</w:t>
      </w:r>
      <w:r>
        <w:rPr>
          <w:color w:val="231F20"/>
          <w:spacing w:val="-16"/>
          <w:w w:val="105"/>
        </w:rPr>
        <w:t> </w:t>
      </w:r>
      <w:r>
        <w:rPr>
          <w:color w:val="231F20"/>
          <w:w w:val="105"/>
        </w:rPr>
        <w:t>Municipal.</w:t>
      </w:r>
      <w:r>
        <w:rPr>
          <w:color w:val="231F20"/>
          <w:spacing w:val="-16"/>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sentido,</w:t>
      </w:r>
      <w:r>
        <w:rPr>
          <w:color w:val="231F20"/>
          <w:spacing w:val="-16"/>
          <w:w w:val="105"/>
        </w:rPr>
        <w:t> </w:t>
      </w:r>
      <w:r>
        <w:rPr>
          <w:color w:val="231F20"/>
          <w:w w:val="105"/>
        </w:rPr>
        <w:t>la</w:t>
      </w:r>
      <w:r>
        <w:rPr>
          <w:color w:val="231F20"/>
          <w:spacing w:val="-16"/>
          <w:w w:val="105"/>
        </w:rPr>
        <w:t> </w:t>
      </w:r>
      <w:r>
        <w:rPr>
          <w:color w:val="231F20"/>
          <w:w w:val="105"/>
        </w:rPr>
        <w:t>baja</w:t>
      </w:r>
      <w:r>
        <w:rPr>
          <w:color w:val="231F20"/>
          <w:spacing w:val="-16"/>
          <w:w w:val="105"/>
        </w:rPr>
        <w:t> </w:t>
      </w:r>
      <w:r>
        <w:rPr>
          <w:color w:val="231F20"/>
          <w:w w:val="105"/>
        </w:rPr>
        <w:t>participación</w:t>
      </w:r>
      <w:r>
        <w:rPr>
          <w:color w:val="231F20"/>
          <w:spacing w:val="-16"/>
          <w:w w:val="105"/>
        </w:rPr>
        <w:t> </w:t>
      </w:r>
      <w:r>
        <w:rPr>
          <w:color w:val="231F20"/>
          <w:w w:val="105"/>
        </w:rPr>
        <w:t>electoral</w:t>
      </w:r>
      <w:r>
        <w:rPr>
          <w:color w:val="231F20"/>
          <w:spacing w:val="-16"/>
          <w:w w:val="105"/>
        </w:rPr>
        <w:t> </w:t>
      </w:r>
      <w:r>
        <w:rPr>
          <w:color w:val="231F20"/>
          <w:w w:val="105"/>
        </w:rPr>
        <w:t>asociada</w:t>
      </w:r>
      <w:r>
        <w:rPr>
          <w:color w:val="231F20"/>
          <w:spacing w:val="-16"/>
          <w:w w:val="105"/>
        </w:rPr>
        <w:t> </w:t>
      </w:r>
      <w:r>
        <w:rPr>
          <w:color w:val="231F20"/>
          <w:spacing w:val="2"/>
          <w:w w:val="105"/>
        </w:rPr>
        <w:t>al</w:t>
      </w:r>
      <w:r>
        <w:rPr>
          <w:color w:val="231F20"/>
          <w:spacing w:val="-16"/>
          <w:w w:val="105"/>
        </w:rPr>
        <w:t> </w:t>
      </w:r>
      <w:r>
        <w:rPr>
          <w:color w:val="231F20"/>
          <w:w w:val="105"/>
        </w:rPr>
        <w:t>predo- minio electoral del PRD podría estar expresando el ejercicio de un voto cautivo de</w:t>
      </w:r>
      <w:r>
        <w:rPr>
          <w:color w:val="231F20"/>
          <w:spacing w:val="-33"/>
          <w:w w:val="105"/>
        </w:rPr>
        <w:t> </w:t>
      </w:r>
      <w:r>
        <w:rPr>
          <w:color w:val="231F20"/>
          <w:w w:val="105"/>
        </w:rPr>
        <w:t>los electores</w:t>
      </w:r>
      <w:r>
        <w:rPr>
          <w:color w:val="231F20"/>
          <w:spacing w:val="-8"/>
          <w:w w:val="105"/>
        </w:rPr>
        <w:t> </w:t>
      </w:r>
      <w:r>
        <w:rPr>
          <w:color w:val="231F20"/>
          <w:w w:val="105"/>
        </w:rPr>
        <w:t>perredistas.</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9"/>
          <w:w w:val="105"/>
        </w:rPr>
        <w:t> </w:t>
      </w:r>
      <w:r>
        <w:rPr>
          <w:color w:val="231F20"/>
          <w:w w:val="105"/>
        </w:rPr>
        <w:t>triunfo</w:t>
      </w:r>
      <w:r>
        <w:rPr>
          <w:color w:val="231F20"/>
          <w:spacing w:val="-19"/>
          <w:w w:val="105"/>
        </w:rPr>
        <w:t> </w:t>
      </w:r>
      <w:r>
        <w:rPr>
          <w:color w:val="231F20"/>
          <w:w w:val="105"/>
        </w:rPr>
        <w:t>electoral</w:t>
      </w:r>
      <w:r>
        <w:rPr>
          <w:color w:val="231F20"/>
          <w:spacing w:val="-19"/>
          <w:w w:val="105"/>
        </w:rPr>
        <w:t> </w:t>
      </w:r>
      <w:r>
        <w:rPr>
          <w:color w:val="231F20"/>
          <w:w w:val="105"/>
        </w:rPr>
        <w:t>del</w:t>
      </w:r>
      <w:r>
        <w:rPr>
          <w:color w:val="231F20"/>
          <w:spacing w:val="-19"/>
          <w:w w:val="105"/>
        </w:rPr>
        <w:t> </w:t>
      </w:r>
      <w:r>
        <w:rPr>
          <w:color w:val="231F20"/>
          <w:w w:val="105"/>
        </w:rPr>
        <w:t>PRD</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elección</w:t>
      </w:r>
      <w:r>
        <w:rPr>
          <w:color w:val="231F20"/>
          <w:spacing w:val="-19"/>
          <w:w w:val="105"/>
        </w:rPr>
        <w:t> </w:t>
      </w:r>
      <w:r>
        <w:rPr>
          <w:color w:val="231F20"/>
          <w:w w:val="105"/>
        </w:rPr>
        <w:t>del</w:t>
      </w:r>
      <w:r>
        <w:rPr>
          <w:color w:val="231F20"/>
          <w:spacing w:val="-19"/>
          <w:w w:val="105"/>
        </w:rPr>
        <w:t> </w:t>
      </w:r>
      <w:r>
        <w:rPr>
          <w:color w:val="231F20"/>
          <w:w w:val="105"/>
        </w:rPr>
        <w:t>ayuntamiento</w:t>
      </w:r>
      <w:r>
        <w:rPr>
          <w:color w:val="231F20"/>
          <w:spacing w:val="-19"/>
          <w:w w:val="105"/>
        </w:rPr>
        <w:t> </w:t>
      </w:r>
      <w:r>
        <w:rPr>
          <w:color w:val="231F20"/>
          <w:w w:val="105"/>
        </w:rPr>
        <w:t>de</w:t>
      </w:r>
      <w:r>
        <w:rPr>
          <w:color w:val="231F20"/>
          <w:spacing w:val="-19"/>
          <w:w w:val="105"/>
        </w:rPr>
        <w:t> </w:t>
      </w:r>
      <w:r>
        <w:rPr>
          <w:color w:val="231F20"/>
          <w:w w:val="105"/>
        </w:rPr>
        <w:t>Nezahualcóyotl</w:t>
      </w:r>
      <w:r>
        <w:rPr>
          <w:color w:val="231F20"/>
          <w:spacing w:val="-19"/>
          <w:w w:val="105"/>
        </w:rPr>
        <w:t> </w:t>
      </w:r>
      <w:r>
        <w:rPr>
          <w:color w:val="231F20"/>
          <w:w w:val="105"/>
        </w:rPr>
        <w:t>en</w:t>
      </w:r>
      <w:r>
        <w:rPr>
          <w:color w:val="231F20"/>
          <w:spacing w:val="-19"/>
          <w:w w:val="105"/>
        </w:rPr>
        <w:t> </w:t>
      </w:r>
      <w:r>
        <w:rPr>
          <w:color w:val="231F20"/>
          <w:w w:val="105"/>
        </w:rPr>
        <w:t>1996 sorprendió a </w:t>
      </w:r>
      <w:r>
        <w:rPr>
          <w:color w:val="231F20"/>
          <w:spacing w:val="-3"/>
          <w:w w:val="105"/>
        </w:rPr>
        <w:t>propios </w:t>
      </w:r>
      <w:r>
        <w:rPr>
          <w:color w:val="231F20"/>
          <w:w w:val="105"/>
        </w:rPr>
        <w:t>y extraños, debido a que, aun cuando la presencia de este partido no era nueva en la localidad, su fuerza electoral en los comicios municipales de 1993 sólo</w:t>
      </w:r>
      <w:r>
        <w:rPr>
          <w:color w:val="231F20"/>
          <w:spacing w:val="-15"/>
          <w:w w:val="105"/>
        </w:rPr>
        <w:t> </w:t>
      </w:r>
      <w:r>
        <w:rPr>
          <w:color w:val="231F20"/>
          <w:w w:val="105"/>
        </w:rPr>
        <w:t>había</w:t>
      </w:r>
      <w:r>
        <w:rPr>
          <w:color w:val="231F20"/>
          <w:spacing w:val="-15"/>
          <w:w w:val="105"/>
        </w:rPr>
        <w:t> </w:t>
      </w:r>
      <w:r>
        <w:rPr>
          <w:color w:val="231F20"/>
          <w:w w:val="105"/>
        </w:rPr>
        <w:t>alcanzado</w:t>
      </w:r>
      <w:r>
        <w:rPr>
          <w:color w:val="231F20"/>
          <w:spacing w:val="-15"/>
          <w:w w:val="105"/>
        </w:rPr>
        <w:t> </w:t>
      </w:r>
      <w:r>
        <w:rPr>
          <w:color w:val="231F20"/>
          <w:w w:val="105"/>
        </w:rPr>
        <w:t>un</w:t>
      </w:r>
      <w:r>
        <w:rPr>
          <w:color w:val="231F20"/>
          <w:spacing w:val="-15"/>
          <w:w w:val="105"/>
        </w:rPr>
        <w:t> </w:t>
      </w:r>
      <w:r>
        <w:rPr>
          <w:color w:val="231F20"/>
          <w:w w:val="105"/>
        </w:rPr>
        <w:t>13</w:t>
      </w:r>
      <w:r>
        <w:rPr>
          <w:color w:val="231F20"/>
          <w:spacing w:val="-15"/>
          <w:w w:val="105"/>
        </w:rPr>
        <w:t> </w:t>
      </w:r>
      <w:r>
        <w:rPr>
          <w:color w:val="231F20"/>
          <w:w w:val="105"/>
        </w:rPr>
        <w:t>por</w:t>
      </w:r>
      <w:r>
        <w:rPr>
          <w:color w:val="231F20"/>
          <w:spacing w:val="-15"/>
          <w:w w:val="105"/>
        </w:rPr>
        <w:t> </w:t>
      </w:r>
      <w:r>
        <w:rPr>
          <w:color w:val="231F20"/>
          <w:w w:val="105"/>
        </w:rPr>
        <w:t>ciento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sufragios</w:t>
      </w:r>
      <w:r>
        <w:rPr>
          <w:color w:val="231F20"/>
          <w:spacing w:val="-15"/>
          <w:w w:val="105"/>
        </w:rPr>
        <w:t> </w:t>
      </w:r>
      <w:r>
        <w:rPr>
          <w:color w:val="231F20"/>
          <w:w w:val="105"/>
        </w:rPr>
        <w:t>contra</w:t>
      </w:r>
      <w:r>
        <w:rPr>
          <w:color w:val="231F20"/>
          <w:spacing w:val="-15"/>
          <w:w w:val="105"/>
        </w:rPr>
        <w:t> </w:t>
      </w:r>
      <w:r>
        <w:rPr>
          <w:color w:val="231F20"/>
          <w:w w:val="105"/>
        </w:rPr>
        <w:t>el</w:t>
      </w:r>
      <w:r>
        <w:rPr>
          <w:color w:val="231F20"/>
          <w:spacing w:val="-15"/>
          <w:w w:val="105"/>
        </w:rPr>
        <w:t> </w:t>
      </w:r>
      <w:r>
        <w:rPr>
          <w:color w:val="231F20"/>
          <w:w w:val="105"/>
        </w:rPr>
        <w:t>54.1</w:t>
      </w:r>
      <w:r>
        <w:rPr>
          <w:color w:val="231F20"/>
          <w:spacing w:val="-15"/>
          <w:w w:val="105"/>
        </w:rPr>
        <w:t> </w:t>
      </w:r>
      <w:r>
        <w:rPr>
          <w:color w:val="231F20"/>
          <w:w w:val="105"/>
        </w:rPr>
        <w:t>por</w:t>
      </w:r>
      <w:r>
        <w:rPr>
          <w:color w:val="231F20"/>
          <w:spacing w:val="-15"/>
          <w:w w:val="105"/>
        </w:rPr>
        <w:t> </w:t>
      </w:r>
      <w:r>
        <w:rPr>
          <w:color w:val="231F20"/>
          <w:w w:val="105"/>
        </w:rPr>
        <w:t>ciento</w:t>
      </w:r>
      <w:r>
        <w:rPr>
          <w:color w:val="231F20"/>
          <w:spacing w:val="-15"/>
          <w:w w:val="105"/>
        </w:rPr>
        <w:t> </w:t>
      </w:r>
      <w:r>
        <w:rPr>
          <w:color w:val="231F20"/>
          <w:w w:val="105"/>
        </w:rPr>
        <w:t>de</w:t>
      </w:r>
      <w:r>
        <w:rPr>
          <w:color w:val="231F20"/>
          <w:spacing w:val="-15"/>
          <w:w w:val="105"/>
        </w:rPr>
        <w:t> </w:t>
      </w:r>
      <w:r>
        <w:rPr>
          <w:color w:val="231F20"/>
          <w:w w:val="105"/>
        </w:rPr>
        <w:t>votos que</w:t>
      </w:r>
      <w:r>
        <w:rPr>
          <w:color w:val="231F20"/>
          <w:spacing w:val="-20"/>
          <w:w w:val="105"/>
        </w:rPr>
        <w:t> </w:t>
      </w:r>
      <w:r>
        <w:rPr>
          <w:color w:val="231F20"/>
          <w:w w:val="105"/>
        </w:rPr>
        <w:t>alcanzó</w:t>
      </w:r>
      <w:r>
        <w:rPr>
          <w:color w:val="231F20"/>
          <w:spacing w:val="-20"/>
          <w:w w:val="105"/>
        </w:rPr>
        <w:t> </w:t>
      </w:r>
      <w:r>
        <w:rPr>
          <w:color w:val="231F20"/>
          <w:w w:val="105"/>
        </w:rPr>
        <w:t>el</w:t>
      </w:r>
      <w:r>
        <w:rPr>
          <w:color w:val="231F20"/>
          <w:spacing w:val="-20"/>
          <w:w w:val="105"/>
        </w:rPr>
        <w:t> </w:t>
      </w:r>
      <w:r>
        <w:rPr>
          <w:color w:val="231F20"/>
          <w:w w:val="105"/>
        </w:rPr>
        <w:t>PRI</w:t>
      </w:r>
      <w:r>
        <w:rPr>
          <w:color w:val="231F20"/>
          <w:spacing w:val="-20"/>
          <w:w w:val="105"/>
        </w:rPr>
        <w:t> </w:t>
      </w:r>
      <w:r>
        <w:rPr>
          <w:color w:val="231F20"/>
          <w:spacing w:val="-4"/>
          <w:w w:val="105"/>
        </w:rPr>
        <w:t>(ver</w:t>
      </w:r>
      <w:r>
        <w:rPr>
          <w:color w:val="231F20"/>
          <w:spacing w:val="-20"/>
          <w:w w:val="105"/>
        </w:rPr>
        <w:t> </w:t>
      </w:r>
      <w:r>
        <w:rPr>
          <w:color w:val="231F20"/>
          <w:w w:val="105"/>
        </w:rPr>
        <w:t>gráfica</w:t>
      </w:r>
      <w:r>
        <w:rPr>
          <w:color w:val="231F20"/>
          <w:spacing w:val="-20"/>
          <w:w w:val="105"/>
        </w:rPr>
        <w:t> </w:t>
      </w:r>
      <w:r>
        <w:rPr>
          <w:color w:val="231F20"/>
          <w:spacing w:val="-7"/>
          <w:w w:val="105"/>
        </w:rPr>
        <w:t>1).</w:t>
      </w:r>
    </w:p>
    <w:p>
      <w:pPr>
        <w:pStyle w:val="BodyText"/>
        <w:spacing w:before="1"/>
        <w:rPr>
          <w:sz w:val="26"/>
        </w:rPr>
      </w:pPr>
    </w:p>
    <w:p>
      <w:pPr>
        <w:pStyle w:val="BodyText"/>
        <w:spacing w:line="285" w:lineRule="auto"/>
        <w:ind w:left="110" w:right="108"/>
        <w:jc w:val="both"/>
      </w:pPr>
      <w:r>
        <w:rPr>
          <w:color w:val="231F20"/>
          <w:w w:val="105"/>
        </w:rPr>
        <w:t>Este ascenso electoral inmediato provocó que entre los mismos perredistas existieran pocas</w:t>
      </w:r>
      <w:r>
        <w:rPr>
          <w:color w:val="231F20"/>
          <w:spacing w:val="-16"/>
          <w:w w:val="105"/>
        </w:rPr>
        <w:t> </w:t>
      </w:r>
      <w:r>
        <w:rPr>
          <w:color w:val="231F20"/>
          <w:w w:val="105"/>
        </w:rPr>
        <w:t>expectativas</w:t>
      </w:r>
      <w:r>
        <w:rPr>
          <w:color w:val="231F20"/>
          <w:spacing w:val="-16"/>
          <w:w w:val="105"/>
        </w:rPr>
        <w:t> </w:t>
      </w:r>
      <w:r>
        <w:rPr>
          <w:color w:val="231F20"/>
          <w:w w:val="105"/>
        </w:rPr>
        <w:t>para</w:t>
      </w:r>
      <w:r>
        <w:rPr>
          <w:color w:val="231F20"/>
          <w:spacing w:val="-16"/>
          <w:w w:val="105"/>
        </w:rPr>
        <w:t> </w:t>
      </w:r>
      <w:r>
        <w:rPr>
          <w:color w:val="231F20"/>
          <w:w w:val="105"/>
        </w:rPr>
        <w:t>conquistar</w:t>
      </w:r>
      <w:r>
        <w:rPr>
          <w:color w:val="231F20"/>
          <w:spacing w:val="-16"/>
          <w:w w:val="105"/>
        </w:rPr>
        <w:t> </w:t>
      </w:r>
      <w:r>
        <w:rPr>
          <w:color w:val="231F20"/>
          <w:w w:val="105"/>
        </w:rPr>
        <w:t>la</w:t>
      </w:r>
      <w:r>
        <w:rPr>
          <w:color w:val="231F20"/>
          <w:spacing w:val="-16"/>
          <w:w w:val="105"/>
        </w:rPr>
        <w:t> </w:t>
      </w:r>
      <w:r>
        <w:rPr>
          <w:color w:val="231F20"/>
          <w:w w:val="105"/>
        </w:rPr>
        <w:t>presidencia</w:t>
      </w:r>
      <w:r>
        <w:rPr>
          <w:color w:val="231F20"/>
          <w:spacing w:val="-16"/>
          <w:w w:val="105"/>
        </w:rPr>
        <w:t> </w:t>
      </w:r>
      <w:r>
        <w:rPr>
          <w:color w:val="231F20"/>
          <w:w w:val="105"/>
        </w:rPr>
        <w:t>municipal</w:t>
      </w:r>
      <w:r>
        <w:rPr>
          <w:color w:val="231F20"/>
          <w:spacing w:val="-16"/>
          <w:w w:val="105"/>
        </w:rPr>
        <w:t> </w:t>
      </w:r>
      <w:r>
        <w:rPr>
          <w:color w:val="231F20"/>
          <w:w w:val="105"/>
        </w:rPr>
        <w:t>en</w:t>
      </w:r>
      <w:r>
        <w:rPr>
          <w:color w:val="231F20"/>
          <w:spacing w:val="-16"/>
          <w:w w:val="105"/>
        </w:rPr>
        <w:t> </w:t>
      </w:r>
      <w:r>
        <w:rPr>
          <w:color w:val="231F20"/>
          <w:w w:val="105"/>
        </w:rPr>
        <w:t>1996,</w:t>
      </w:r>
      <w:r>
        <w:rPr>
          <w:color w:val="231F20"/>
          <w:spacing w:val="-16"/>
          <w:w w:val="105"/>
        </w:rPr>
        <w:t> </w:t>
      </w:r>
      <w:r>
        <w:rPr>
          <w:color w:val="231F20"/>
          <w:w w:val="105"/>
        </w:rPr>
        <w:t>prueba</w:t>
      </w:r>
      <w:r>
        <w:rPr>
          <w:color w:val="231F20"/>
          <w:spacing w:val="-16"/>
          <w:w w:val="105"/>
        </w:rPr>
        <w:t> </w:t>
      </w:r>
      <w:r>
        <w:rPr>
          <w:color w:val="231F20"/>
          <w:w w:val="105"/>
        </w:rPr>
        <w:t>de</w:t>
      </w:r>
      <w:r>
        <w:rPr>
          <w:color w:val="231F20"/>
          <w:spacing w:val="-16"/>
          <w:w w:val="105"/>
        </w:rPr>
        <w:t> </w:t>
      </w:r>
      <w:r>
        <w:rPr>
          <w:color w:val="231F20"/>
          <w:w w:val="105"/>
        </w:rPr>
        <w:t>ello</w:t>
      </w:r>
      <w:r>
        <w:rPr>
          <w:color w:val="231F20"/>
          <w:spacing w:val="-16"/>
          <w:w w:val="105"/>
        </w:rPr>
        <w:t> </w:t>
      </w:r>
      <w:r>
        <w:rPr>
          <w:color w:val="231F20"/>
          <w:w w:val="105"/>
        </w:rPr>
        <w:t>fue que para la conformación de la planilla que contendió en dichos comicios, la negocia- ción</w:t>
      </w:r>
      <w:r>
        <w:rPr>
          <w:color w:val="231F20"/>
          <w:spacing w:val="-18"/>
          <w:w w:val="105"/>
        </w:rPr>
        <w:t> </w:t>
      </w:r>
      <w:r>
        <w:rPr>
          <w:color w:val="231F20"/>
          <w:w w:val="105"/>
        </w:rPr>
        <w:t>entre</w:t>
      </w:r>
      <w:r>
        <w:rPr>
          <w:color w:val="231F20"/>
          <w:spacing w:val="-18"/>
          <w:w w:val="105"/>
        </w:rPr>
        <w:t> </w:t>
      </w:r>
      <w:r>
        <w:rPr>
          <w:color w:val="231F20"/>
          <w:w w:val="105"/>
        </w:rPr>
        <w:t>las</w:t>
      </w:r>
      <w:r>
        <w:rPr>
          <w:color w:val="231F20"/>
          <w:spacing w:val="-18"/>
          <w:w w:val="105"/>
        </w:rPr>
        <w:t> </w:t>
      </w:r>
      <w:r>
        <w:rPr>
          <w:color w:val="231F20"/>
          <w:w w:val="105"/>
        </w:rPr>
        <w:t>principales</w:t>
      </w:r>
      <w:r>
        <w:rPr>
          <w:color w:val="231F20"/>
          <w:spacing w:val="-18"/>
          <w:w w:val="105"/>
        </w:rPr>
        <w:t> </w:t>
      </w:r>
      <w:r>
        <w:rPr>
          <w:color w:val="231F20"/>
          <w:w w:val="105"/>
        </w:rPr>
        <w:t>organizaciones</w:t>
      </w:r>
      <w:r>
        <w:rPr>
          <w:color w:val="231F20"/>
          <w:spacing w:val="-18"/>
          <w:w w:val="105"/>
        </w:rPr>
        <w:t> </w:t>
      </w:r>
      <w:r>
        <w:rPr>
          <w:color w:val="231F20"/>
          <w:w w:val="105"/>
        </w:rPr>
        <w:t>del</w:t>
      </w:r>
      <w:r>
        <w:rPr>
          <w:color w:val="231F20"/>
          <w:spacing w:val="-18"/>
          <w:w w:val="105"/>
        </w:rPr>
        <w:t> </w:t>
      </w:r>
      <w:r>
        <w:rPr>
          <w:color w:val="231F20"/>
          <w:w w:val="105"/>
        </w:rPr>
        <w:t>PRD</w:t>
      </w:r>
      <w:r>
        <w:rPr>
          <w:color w:val="231F20"/>
          <w:spacing w:val="-18"/>
          <w:w w:val="105"/>
        </w:rPr>
        <w:t> </w:t>
      </w:r>
      <w:r>
        <w:rPr>
          <w:color w:val="231F20"/>
          <w:w w:val="105"/>
        </w:rPr>
        <w:t>(UPREZ,</w:t>
      </w:r>
      <w:r>
        <w:rPr>
          <w:color w:val="231F20"/>
          <w:spacing w:val="-18"/>
          <w:w w:val="105"/>
        </w:rPr>
        <w:t> </w:t>
      </w:r>
      <w:r>
        <w:rPr>
          <w:color w:val="231F20"/>
          <w:w w:val="105"/>
        </w:rPr>
        <w:t>MOVIDIG</w:t>
      </w:r>
      <w:r>
        <w:rPr>
          <w:color w:val="231F20"/>
          <w:spacing w:val="-18"/>
          <w:w w:val="105"/>
        </w:rPr>
        <w:t> </w:t>
      </w:r>
      <w:r>
        <w:rPr>
          <w:color w:val="231F20"/>
          <w:w w:val="105"/>
        </w:rPr>
        <w:t>y</w:t>
      </w:r>
      <w:r>
        <w:rPr>
          <w:color w:val="231F20"/>
          <w:spacing w:val="-18"/>
          <w:w w:val="105"/>
        </w:rPr>
        <w:t> </w:t>
      </w:r>
      <w:r>
        <w:rPr>
          <w:color w:val="231F20"/>
          <w:w w:val="105"/>
        </w:rPr>
        <w:t>MLN)</w:t>
      </w:r>
      <w:r>
        <w:rPr>
          <w:color w:val="231F20"/>
          <w:spacing w:val="-18"/>
          <w:w w:val="105"/>
        </w:rPr>
        <w:t> </w:t>
      </w:r>
      <w:r>
        <w:rPr>
          <w:color w:val="231F20"/>
          <w:w w:val="105"/>
        </w:rPr>
        <w:t>se</w:t>
      </w:r>
      <w:r>
        <w:rPr>
          <w:color w:val="231F20"/>
          <w:spacing w:val="-18"/>
          <w:w w:val="105"/>
        </w:rPr>
        <w:t> </w:t>
      </w:r>
      <w:r>
        <w:rPr>
          <w:color w:val="231F20"/>
          <w:w w:val="105"/>
        </w:rPr>
        <w:t>cen- traron</w:t>
      </w:r>
      <w:r>
        <w:rPr>
          <w:color w:val="231F20"/>
          <w:spacing w:val="-7"/>
          <w:w w:val="105"/>
        </w:rPr>
        <w:t> </w:t>
      </w:r>
      <w:r>
        <w:rPr>
          <w:color w:val="231F20"/>
          <w:w w:val="105"/>
        </w:rPr>
        <w:t>principalmente</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primeras</w:t>
      </w:r>
      <w:r>
        <w:rPr>
          <w:color w:val="231F20"/>
          <w:spacing w:val="-7"/>
          <w:w w:val="105"/>
        </w:rPr>
        <w:t> </w:t>
      </w:r>
      <w:r>
        <w:rPr>
          <w:color w:val="231F20"/>
          <w:w w:val="105"/>
        </w:rPr>
        <w:t>regidurías,</w:t>
      </w:r>
      <w:r>
        <w:rPr>
          <w:color w:val="231F20"/>
          <w:spacing w:val="-7"/>
          <w:w w:val="105"/>
        </w:rPr>
        <w:t> </w:t>
      </w:r>
      <w:r>
        <w:rPr>
          <w:color w:val="231F20"/>
          <w:w w:val="105"/>
        </w:rPr>
        <w:t>dejando</w:t>
      </w:r>
      <w:r>
        <w:rPr>
          <w:color w:val="231F20"/>
          <w:spacing w:val="-7"/>
          <w:w w:val="105"/>
        </w:rPr>
        <w:t> </w:t>
      </w:r>
      <w:r>
        <w:rPr>
          <w:color w:val="231F20"/>
          <w:w w:val="105"/>
        </w:rPr>
        <w:t>la</w:t>
      </w:r>
      <w:r>
        <w:rPr>
          <w:color w:val="231F20"/>
          <w:spacing w:val="-7"/>
          <w:w w:val="105"/>
        </w:rPr>
        <w:t> </w:t>
      </w:r>
      <w:r>
        <w:rPr>
          <w:color w:val="231F20"/>
          <w:w w:val="105"/>
        </w:rPr>
        <w:t>candidatura</w:t>
      </w:r>
      <w:r>
        <w:rPr>
          <w:color w:val="231F20"/>
          <w:spacing w:val="-7"/>
          <w:w w:val="105"/>
        </w:rPr>
        <w:t> </w:t>
      </w:r>
      <w:r>
        <w:rPr>
          <w:color w:val="231F20"/>
          <w:w w:val="105"/>
        </w:rPr>
        <w:t>para</w:t>
      </w:r>
      <w:r>
        <w:rPr>
          <w:color w:val="231F20"/>
          <w:spacing w:val="-7"/>
          <w:w w:val="105"/>
        </w:rPr>
        <w:t> </w:t>
      </w:r>
      <w:r>
        <w:rPr>
          <w:color w:val="231F20"/>
          <w:w w:val="105"/>
        </w:rPr>
        <w:t>alcalde</w:t>
      </w:r>
      <w:r>
        <w:rPr>
          <w:color w:val="231F20"/>
          <w:spacing w:val="-7"/>
          <w:w w:val="105"/>
        </w:rPr>
        <w:t> </w:t>
      </w:r>
      <w:r>
        <w:rPr>
          <w:color w:val="231F20"/>
          <w:w w:val="105"/>
        </w:rPr>
        <w:t>a la</w:t>
      </w:r>
      <w:r>
        <w:rPr>
          <w:color w:val="231F20"/>
          <w:spacing w:val="-17"/>
          <w:w w:val="105"/>
        </w:rPr>
        <w:t> </w:t>
      </w:r>
      <w:r>
        <w:rPr>
          <w:color w:val="231F20"/>
          <w:w w:val="105"/>
        </w:rPr>
        <w:t>organización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Unión</w:t>
      </w:r>
      <w:r>
        <w:rPr>
          <w:color w:val="231F20"/>
          <w:spacing w:val="-17"/>
          <w:w w:val="105"/>
        </w:rPr>
        <w:t> </w:t>
      </w:r>
      <w:r>
        <w:rPr>
          <w:color w:val="231F20"/>
          <w:w w:val="105"/>
        </w:rPr>
        <w:t>General</w:t>
      </w:r>
      <w:r>
        <w:rPr>
          <w:color w:val="231F20"/>
          <w:spacing w:val="-17"/>
          <w:w w:val="105"/>
        </w:rPr>
        <w:t> </w:t>
      </w:r>
      <w:r>
        <w:rPr>
          <w:color w:val="231F20"/>
          <w:w w:val="105"/>
        </w:rPr>
        <w:t>de</w:t>
      </w:r>
      <w:r>
        <w:rPr>
          <w:color w:val="231F20"/>
          <w:spacing w:val="-17"/>
          <w:w w:val="105"/>
        </w:rPr>
        <w:t> </w:t>
      </w:r>
      <w:r>
        <w:rPr>
          <w:color w:val="231F20"/>
          <w:w w:val="105"/>
        </w:rPr>
        <w:t>Obreros</w:t>
      </w:r>
      <w:r>
        <w:rPr>
          <w:color w:val="231F20"/>
          <w:spacing w:val="-17"/>
          <w:w w:val="105"/>
        </w:rPr>
        <w:t> </w:t>
      </w:r>
      <w:r>
        <w:rPr>
          <w:color w:val="231F20"/>
          <w:w w:val="105"/>
        </w:rPr>
        <w:t>y</w:t>
      </w:r>
      <w:r>
        <w:rPr>
          <w:color w:val="231F20"/>
          <w:spacing w:val="-17"/>
          <w:w w:val="105"/>
        </w:rPr>
        <w:t> </w:t>
      </w:r>
      <w:r>
        <w:rPr>
          <w:color w:val="231F20"/>
          <w:w w:val="105"/>
        </w:rPr>
        <w:t>Campesinos</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(UGOCM).</w:t>
      </w:r>
    </w:p>
    <w:p>
      <w:pPr>
        <w:pStyle w:val="BodyText"/>
        <w:spacing w:before="1"/>
        <w:rPr>
          <w:sz w:val="26"/>
        </w:rPr>
      </w:pPr>
    </w:p>
    <w:p>
      <w:pPr>
        <w:pStyle w:val="BodyText"/>
        <w:spacing w:line="285" w:lineRule="auto"/>
        <w:ind w:left="110" w:right="108"/>
        <w:jc w:val="both"/>
      </w:pPr>
      <w:r>
        <w:rPr>
          <w:color w:val="231F20"/>
          <w:w w:val="105"/>
        </w:rPr>
        <w:t>Esta</w:t>
      </w:r>
      <w:r>
        <w:rPr>
          <w:color w:val="231F20"/>
          <w:spacing w:val="-19"/>
          <w:w w:val="105"/>
        </w:rPr>
        <w:t> </w:t>
      </w:r>
      <w:r>
        <w:rPr>
          <w:color w:val="231F20"/>
          <w:w w:val="105"/>
        </w:rPr>
        <w:t>situación</w:t>
      </w:r>
      <w:r>
        <w:rPr>
          <w:color w:val="231F20"/>
          <w:spacing w:val="-18"/>
          <w:w w:val="105"/>
        </w:rPr>
        <w:t> </w:t>
      </w:r>
      <w:r>
        <w:rPr>
          <w:color w:val="231F20"/>
          <w:w w:val="105"/>
        </w:rPr>
        <w:t>provocó</w:t>
      </w:r>
      <w:r>
        <w:rPr>
          <w:color w:val="231F20"/>
          <w:spacing w:val="-19"/>
          <w:w w:val="105"/>
        </w:rPr>
        <w:t> </w:t>
      </w:r>
      <w:r>
        <w:rPr>
          <w:color w:val="231F20"/>
          <w:w w:val="105"/>
        </w:rPr>
        <w:t>que</w:t>
      </w:r>
      <w:r>
        <w:rPr>
          <w:color w:val="231F20"/>
          <w:spacing w:val="-18"/>
          <w:w w:val="105"/>
        </w:rPr>
        <w:t> </w:t>
      </w:r>
      <w:r>
        <w:rPr>
          <w:color w:val="231F20"/>
          <w:w w:val="105"/>
        </w:rPr>
        <w:t>el</w:t>
      </w:r>
      <w:r>
        <w:rPr>
          <w:color w:val="231F20"/>
          <w:spacing w:val="-19"/>
          <w:w w:val="105"/>
        </w:rPr>
        <w:t> </w:t>
      </w:r>
      <w:r>
        <w:rPr>
          <w:color w:val="231F20"/>
          <w:w w:val="105"/>
        </w:rPr>
        <w:t>primer</w:t>
      </w:r>
      <w:r>
        <w:rPr>
          <w:color w:val="231F20"/>
          <w:spacing w:val="-19"/>
          <w:w w:val="105"/>
        </w:rPr>
        <w:t> </w:t>
      </w:r>
      <w:r>
        <w:rPr>
          <w:color w:val="231F20"/>
          <w:w w:val="105"/>
        </w:rPr>
        <w:t>cabildo</w:t>
      </w:r>
      <w:r>
        <w:rPr>
          <w:color w:val="231F20"/>
          <w:spacing w:val="-19"/>
          <w:w w:val="105"/>
        </w:rPr>
        <w:t> </w:t>
      </w:r>
      <w:r>
        <w:rPr>
          <w:color w:val="231F20"/>
          <w:w w:val="105"/>
        </w:rPr>
        <w:t>de</w:t>
      </w:r>
      <w:r>
        <w:rPr>
          <w:color w:val="231F20"/>
          <w:spacing w:val="-18"/>
          <w:w w:val="105"/>
        </w:rPr>
        <w:t> </w:t>
      </w:r>
      <w:r>
        <w:rPr>
          <w:color w:val="231F20"/>
          <w:w w:val="105"/>
        </w:rPr>
        <w:t>alternancia</w:t>
      </w:r>
      <w:r>
        <w:rPr>
          <w:color w:val="231F20"/>
          <w:spacing w:val="-18"/>
          <w:w w:val="105"/>
        </w:rPr>
        <w:t> </w:t>
      </w:r>
      <w:r>
        <w:rPr>
          <w:color w:val="231F20"/>
          <w:w w:val="105"/>
        </w:rPr>
        <w:t>en</w:t>
      </w:r>
      <w:r>
        <w:rPr>
          <w:color w:val="231F20"/>
          <w:spacing w:val="-18"/>
          <w:w w:val="105"/>
        </w:rPr>
        <w:t> </w:t>
      </w:r>
      <w:r>
        <w:rPr>
          <w:color w:val="231F20"/>
          <w:w w:val="105"/>
        </w:rPr>
        <w:t>Nezahualcóyotl</w:t>
      </w:r>
      <w:r>
        <w:rPr>
          <w:color w:val="231F20"/>
          <w:spacing w:val="-19"/>
          <w:w w:val="105"/>
        </w:rPr>
        <w:t> </w:t>
      </w:r>
      <w:r>
        <w:rPr>
          <w:color w:val="231F20"/>
          <w:w w:val="105"/>
        </w:rPr>
        <w:t>se</w:t>
      </w:r>
      <w:r>
        <w:rPr>
          <w:color w:val="231F20"/>
          <w:spacing w:val="-18"/>
          <w:w w:val="105"/>
        </w:rPr>
        <w:t> </w:t>
      </w:r>
      <w:r>
        <w:rPr>
          <w:color w:val="231F20"/>
          <w:w w:val="105"/>
        </w:rPr>
        <w:t>torna- ra</w:t>
      </w:r>
      <w:r>
        <w:rPr>
          <w:color w:val="231F20"/>
          <w:spacing w:val="-12"/>
          <w:w w:val="105"/>
        </w:rPr>
        <w:t> </w:t>
      </w:r>
      <w:r>
        <w:rPr>
          <w:color w:val="231F20"/>
          <w:w w:val="105"/>
        </w:rPr>
        <w:t>muy</w:t>
      </w:r>
      <w:r>
        <w:rPr>
          <w:color w:val="231F20"/>
          <w:spacing w:val="-12"/>
          <w:w w:val="105"/>
        </w:rPr>
        <w:t> </w:t>
      </w:r>
      <w:r>
        <w:rPr>
          <w:color w:val="231F20"/>
          <w:w w:val="105"/>
        </w:rPr>
        <w:t>conflictivo</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mismos</w:t>
      </w:r>
      <w:r>
        <w:rPr>
          <w:color w:val="231F20"/>
          <w:spacing w:val="-12"/>
          <w:w w:val="105"/>
        </w:rPr>
        <w:t> </w:t>
      </w:r>
      <w:r>
        <w:rPr>
          <w:color w:val="231F20"/>
          <w:w w:val="105"/>
        </w:rPr>
        <w:t>perredistas,</w:t>
      </w:r>
      <w:r>
        <w:rPr>
          <w:color w:val="231F20"/>
          <w:spacing w:val="-12"/>
          <w:w w:val="105"/>
        </w:rPr>
        <w:t> </w:t>
      </w:r>
      <w:r>
        <w:rPr>
          <w:color w:val="231F20"/>
          <w:w w:val="105"/>
        </w:rPr>
        <w:t>debido</w:t>
      </w:r>
      <w:r>
        <w:rPr>
          <w:color w:val="231F20"/>
          <w:spacing w:val="-12"/>
          <w:w w:val="105"/>
        </w:rPr>
        <w:t> </w:t>
      </w:r>
      <w:r>
        <w:rPr>
          <w:color w:val="231F20"/>
          <w:w w:val="105"/>
        </w:rPr>
        <w:t>a</w:t>
      </w:r>
      <w:r>
        <w:rPr>
          <w:color w:val="231F20"/>
          <w:spacing w:val="-12"/>
          <w:w w:val="105"/>
        </w:rPr>
        <w:t> </w:t>
      </w:r>
      <w:r>
        <w:rPr>
          <w:color w:val="231F20"/>
          <w:w w:val="105"/>
        </w:rPr>
        <w:t>que:</w:t>
      </w:r>
    </w:p>
    <w:p>
      <w:pPr>
        <w:pStyle w:val="BodyText"/>
        <w:spacing w:line="285" w:lineRule="auto" w:before="1"/>
        <w:ind w:left="677" w:right="108"/>
        <w:jc w:val="both"/>
      </w:pPr>
      <w:r>
        <w:rPr>
          <w:color w:val="231F20"/>
          <w:w w:val="105"/>
        </w:rPr>
        <w:t>…</w:t>
      </w:r>
      <w:r>
        <w:rPr>
          <w:color w:val="231F20"/>
          <w:spacing w:val="-16"/>
          <w:w w:val="105"/>
        </w:rPr>
        <w:t> </w:t>
      </w:r>
      <w:r>
        <w:rPr>
          <w:color w:val="231F20"/>
          <w:w w:val="105"/>
        </w:rPr>
        <w:t>grandes</w:t>
      </w:r>
      <w:r>
        <w:rPr>
          <w:color w:val="231F20"/>
          <w:spacing w:val="-16"/>
          <w:w w:val="105"/>
        </w:rPr>
        <w:t> </w:t>
      </w:r>
      <w:r>
        <w:rPr>
          <w:color w:val="231F20"/>
          <w:w w:val="105"/>
        </w:rPr>
        <w:t>enfrentamientos</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dieron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cabildo</w:t>
      </w:r>
      <w:r>
        <w:rPr>
          <w:color w:val="231F20"/>
          <w:spacing w:val="-16"/>
          <w:w w:val="105"/>
        </w:rPr>
        <w:t> </w:t>
      </w:r>
      <w:r>
        <w:rPr>
          <w:color w:val="231F20"/>
          <w:spacing w:val="2"/>
          <w:w w:val="105"/>
        </w:rPr>
        <w:t>al</w:t>
      </w:r>
      <w:r>
        <w:rPr>
          <w:color w:val="231F20"/>
          <w:spacing w:val="-16"/>
          <w:w w:val="105"/>
        </w:rPr>
        <w:t> </w:t>
      </w:r>
      <w:r>
        <w:rPr>
          <w:color w:val="231F20"/>
          <w:w w:val="105"/>
        </w:rPr>
        <w:t>someterse</w:t>
      </w:r>
      <w:r>
        <w:rPr>
          <w:color w:val="231F20"/>
          <w:spacing w:val="-16"/>
          <w:w w:val="105"/>
        </w:rPr>
        <w:t> </w:t>
      </w:r>
      <w:r>
        <w:rPr>
          <w:color w:val="231F20"/>
          <w:w w:val="105"/>
        </w:rPr>
        <w:t>a</w:t>
      </w:r>
      <w:r>
        <w:rPr>
          <w:color w:val="231F20"/>
          <w:spacing w:val="-16"/>
          <w:w w:val="105"/>
        </w:rPr>
        <w:t> </w:t>
      </w:r>
      <w:r>
        <w:rPr>
          <w:color w:val="231F20"/>
          <w:w w:val="105"/>
        </w:rPr>
        <w:t>aprobación los nombramientos de los directores de la administración perredista, ya que se </w:t>
      </w:r>
      <w:r>
        <w:rPr>
          <w:color w:val="231F20"/>
          <w:spacing w:val="-3"/>
          <w:w w:val="105"/>
        </w:rPr>
        <w:t>generó</w:t>
      </w:r>
      <w:r>
        <w:rPr>
          <w:color w:val="231F20"/>
          <w:spacing w:val="-12"/>
          <w:w w:val="105"/>
        </w:rPr>
        <w:t> </w:t>
      </w:r>
      <w:r>
        <w:rPr>
          <w:color w:val="231F20"/>
          <w:w w:val="105"/>
        </w:rPr>
        <w:t>una</w:t>
      </w:r>
      <w:r>
        <w:rPr>
          <w:color w:val="231F20"/>
          <w:spacing w:val="-12"/>
          <w:w w:val="105"/>
        </w:rPr>
        <w:t> </w:t>
      </w:r>
      <w:r>
        <w:rPr>
          <w:color w:val="231F20"/>
          <w:w w:val="105"/>
        </w:rPr>
        <w:t>pugna,</w:t>
      </w:r>
      <w:r>
        <w:rPr>
          <w:color w:val="231F20"/>
          <w:spacing w:val="-12"/>
          <w:w w:val="105"/>
        </w:rPr>
        <w:t> </w:t>
      </w:r>
      <w:r>
        <w:rPr>
          <w:color w:val="231F20"/>
          <w:w w:val="105"/>
        </w:rPr>
        <w:t>sobre</w:t>
      </w:r>
      <w:r>
        <w:rPr>
          <w:color w:val="231F20"/>
          <w:spacing w:val="-12"/>
          <w:w w:val="105"/>
        </w:rPr>
        <w:t> </w:t>
      </w:r>
      <w:r>
        <w:rPr>
          <w:color w:val="231F20"/>
          <w:w w:val="105"/>
        </w:rPr>
        <w:t>todo</w:t>
      </w:r>
      <w:r>
        <w:rPr>
          <w:color w:val="231F20"/>
          <w:spacing w:val="-12"/>
          <w:w w:val="105"/>
        </w:rPr>
        <w:t> </w:t>
      </w:r>
      <w:r>
        <w:rPr>
          <w:color w:val="231F20"/>
          <w:w w:val="105"/>
        </w:rPr>
        <w:t>entre</w:t>
      </w:r>
      <w:r>
        <w:rPr>
          <w:color w:val="231F20"/>
          <w:spacing w:val="-12"/>
          <w:w w:val="105"/>
        </w:rPr>
        <w:t> </w:t>
      </w:r>
      <w:r>
        <w:rPr>
          <w:color w:val="231F20"/>
          <w:w w:val="105"/>
        </w:rPr>
        <w:t>MOVIDIG,</w:t>
      </w:r>
      <w:r>
        <w:rPr>
          <w:color w:val="231F20"/>
          <w:spacing w:val="-12"/>
          <w:w w:val="105"/>
        </w:rPr>
        <w:t> </w:t>
      </w:r>
      <w:r>
        <w:rPr>
          <w:color w:val="231F20"/>
          <w:w w:val="105"/>
        </w:rPr>
        <w:t>UPREZ</w:t>
      </w:r>
      <w:r>
        <w:rPr>
          <w:color w:val="231F20"/>
          <w:spacing w:val="-12"/>
          <w:w w:val="105"/>
        </w:rPr>
        <w:t> </w:t>
      </w:r>
      <w:r>
        <w:rPr>
          <w:color w:val="231F20"/>
          <w:w w:val="105"/>
        </w:rPr>
        <w:t>y</w:t>
      </w:r>
      <w:r>
        <w:rPr>
          <w:color w:val="231F20"/>
          <w:spacing w:val="-12"/>
          <w:w w:val="105"/>
        </w:rPr>
        <w:t> </w:t>
      </w:r>
      <w:r>
        <w:rPr>
          <w:color w:val="231F20"/>
          <w:w w:val="105"/>
        </w:rPr>
        <w:t>MLN,</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búsqueda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w w:val="105"/>
        </w:rPr>
        <w:t>de</w:t>
      </w:r>
      <w:r>
        <w:rPr>
          <w:color w:val="231F20"/>
          <w:spacing w:val="-10"/>
          <w:w w:val="105"/>
        </w:rPr>
        <w:t> </w:t>
      </w:r>
      <w:r>
        <w:rPr>
          <w:color w:val="231F20"/>
          <w:w w:val="105"/>
        </w:rPr>
        <w:t>cuotas</w:t>
      </w:r>
      <w:r>
        <w:rPr>
          <w:color w:val="231F20"/>
          <w:spacing w:val="-10"/>
          <w:w w:val="105"/>
        </w:rPr>
        <w:t> </w:t>
      </w:r>
      <w:r>
        <w:rPr>
          <w:color w:val="231F20"/>
          <w:w w:val="105"/>
        </w:rPr>
        <w:t>de</w:t>
      </w:r>
      <w:r>
        <w:rPr>
          <w:color w:val="231F20"/>
          <w:spacing w:val="-10"/>
          <w:w w:val="105"/>
        </w:rPr>
        <w:t> </w:t>
      </w:r>
      <w:r>
        <w:rPr>
          <w:color w:val="231F20"/>
          <w:w w:val="105"/>
        </w:rPr>
        <w:t>poder</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administración.</w:t>
      </w:r>
      <w:r>
        <w:rPr>
          <w:color w:val="231F20"/>
          <w:spacing w:val="-10"/>
          <w:w w:val="105"/>
        </w:rPr>
        <w:t> </w:t>
      </w:r>
      <w:r>
        <w:rPr>
          <w:color w:val="231F20"/>
          <w:w w:val="105"/>
        </w:rPr>
        <w:t>Los</w:t>
      </w:r>
      <w:r>
        <w:rPr>
          <w:color w:val="231F20"/>
          <w:spacing w:val="-10"/>
          <w:w w:val="105"/>
        </w:rPr>
        <w:t> </w:t>
      </w:r>
      <w:r>
        <w:rPr>
          <w:color w:val="231F20"/>
          <w:w w:val="105"/>
        </w:rPr>
        <w:t>representes</w:t>
      </w:r>
      <w:r>
        <w:rPr>
          <w:color w:val="231F20"/>
          <w:spacing w:val="-10"/>
          <w:w w:val="105"/>
        </w:rPr>
        <w:t> </w:t>
      </w:r>
      <w:r>
        <w:rPr>
          <w:color w:val="231F20"/>
          <w:w w:val="105"/>
        </w:rPr>
        <w:t>del</w:t>
      </w:r>
      <w:r>
        <w:rPr>
          <w:color w:val="231F20"/>
          <w:spacing w:val="-10"/>
          <w:w w:val="105"/>
        </w:rPr>
        <w:t> </w:t>
      </w:r>
      <w:r>
        <w:rPr>
          <w:color w:val="231F20"/>
          <w:spacing w:val="-4"/>
          <w:w w:val="105"/>
        </w:rPr>
        <w:t>PAN,</w:t>
      </w:r>
      <w:r>
        <w:rPr>
          <w:color w:val="231F20"/>
          <w:spacing w:val="-10"/>
          <w:w w:val="105"/>
        </w:rPr>
        <w:t> </w:t>
      </w:r>
      <w:r>
        <w:rPr>
          <w:color w:val="231F20"/>
          <w:w w:val="105"/>
        </w:rPr>
        <w:t>en</w:t>
      </w:r>
      <w:r>
        <w:rPr>
          <w:color w:val="231F20"/>
          <w:spacing w:val="-10"/>
          <w:w w:val="105"/>
        </w:rPr>
        <w:t> </w:t>
      </w:r>
      <w:r>
        <w:rPr>
          <w:color w:val="231F20"/>
          <w:w w:val="105"/>
        </w:rPr>
        <w:t>cambio,</w:t>
      </w:r>
      <w:r>
        <w:rPr>
          <w:color w:val="231F20"/>
          <w:spacing w:val="-10"/>
          <w:w w:val="105"/>
        </w:rPr>
        <w:t> </w:t>
      </w:r>
      <w:r>
        <w:rPr>
          <w:color w:val="231F20"/>
          <w:w w:val="105"/>
        </w:rPr>
        <w:t>no expresaron</w:t>
      </w:r>
      <w:r>
        <w:rPr>
          <w:color w:val="231F20"/>
          <w:spacing w:val="-9"/>
          <w:w w:val="105"/>
        </w:rPr>
        <w:t> </w:t>
      </w:r>
      <w:r>
        <w:rPr>
          <w:color w:val="231F20"/>
          <w:w w:val="105"/>
        </w:rPr>
        <w:t>descontento</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forma</w:t>
      </w:r>
      <w:r>
        <w:rPr>
          <w:color w:val="231F20"/>
          <w:spacing w:val="-9"/>
          <w:w w:val="105"/>
        </w:rPr>
        <w:t> </w:t>
      </w:r>
      <w:r>
        <w:rPr>
          <w:color w:val="231F20"/>
          <w:w w:val="105"/>
        </w:rPr>
        <w:t>en</w:t>
      </w:r>
      <w:r>
        <w:rPr>
          <w:color w:val="231F20"/>
          <w:spacing w:val="-9"/>
          <w:w w:val="105"/>
        </w:rPr>
        <w:t> </w:t>
      </w:r>
      <w:r>
        <w:rPr>
          <w:color w:val="231F20"/>
          <w:w w:val="105"/>
        </w:rPr>
        <w:t>que</w:t>
      </w:r>
      <w:r>
        <w:rPr>
          <w:color w:val="231F20"/>
          <w:spacing w:val="-9"/>
          <w:w w:val="105"/>
        </w:rPr>
        <w:t> </w:t>
      </w:r>
      <w:r>
        <w:rPr>
          <w:color w:val="231F20"/>
          <w:w w:val="105"/>
        </w:rPr>
        <w:t>llevaron</w:t>
      </w:r>
      <w:r>
        <w:rPr>
          <w:color w:val="231F20"/>
          <w:spacing w:val="-9"/>
          <w:w w:val="105"/>
        </w:rPr>
        <w:t> </w:t>
      </w:r>
      <w:r>
        <w:rPr>
          <w:color w:val="231F20"/>
          <w:w w:val="105"/>
        </w:rPr>
        <w:t>las</w:t>
      </w:r>
      <w:r>
        <w:rPr>
          <w:color w:val="231F20"/>
          <w:spacing w:val="-9"/>
          <w:w w:val="105"/>
        </w:rPr>
        <w:t> </w:t>
      </w:r>
      <w:r>
        <w:rPr>
          <w:color w:val="231F20"/>
          <w:w w:val="105"/>
        </w:rPr>
        <w:t>reuniones</w:t>
      </w:r>
      <w:r>
        <w:rPr>
          <w:color w:val="231F20"/>
          <w:spacing w:val="-9"/>
          <w:w w:val="105"/>
        </w:rPr>
        <w:t> </w:t>
      </w:r>
      <w:r>
        <w:rPr>
          <w:color w:val="231F20"/>
          <w:w w:val="105"/>
        </w:rPr>
        <w:t>de</w:t>
      </w:r>
      <w:r>
        <w:rPr>
          <w:color w:val="231F20"/>
          <w:spacing w:val="-9"/>
          <w:w w:val="105"/>
        </w:rPr>
        <w:t> </w:t>
      </w:r>
      <w:r>
        <w:rPr>
          <w:color w:val="231F20"/>
          <w:w w:val="105"/>
        </w:rPr>
        <w:t>ese</w:t>
      </w:r>
      <w:r>
        <w:rPr>
          <w:color w:val="231F20"/>
          <w:spacing w:val="-9"/>
          <w:w w:val="105"/>
        </w:rPr>
        <w:t> </w:t>
      </w:r>
      <w:r>
        <w:rPr>
          <w:color w:val="231F20"/>
          <w:w w:val="105"/>
        </w:rPr>
        <w:t>cuerpo y</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contrario</w:t>
      </w:r>
      <w:r>
        <w:rPr>
          <w:color w:val="231F20"/>
          <w:spacing w:val="-16"/>
          <w:w w:val="105"/>
        </w:rPr>
        <w:t> </w:t>
      </w:r>
      <w:r>
        <w:rPr>
          <w:color w:val="231F20"/>
          <w:w w:val="105"/>
        </w:rPr>
        <w:t>reconocieron</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presidente</w:t>
      </w:r>
      <w:r>
        <w:rPr>
          <w:color w:val="231F20"/>
          <w:spacing w:val="-16"/>
          <w:w w:val="105"/>
        </w:rPr>
        <w:t> </w:t>
      </w:r>
      <w:r>
        <w:rPr>
          <w:color w:val="231F20"/>
          <w:w w:val="105"/>
        </w:rPr>
        <w:t>municipal</w:t>
      </w:r>
      <w:r>
        <w:rPr>
          <w:color w:val="231F20"/>
          <w:spacing w:val="-16"/>
          <w:w w:val="105"/>
        </w:rPr>
        <w:t> </w:t>
      </w:r>
      <w:r>
        <w:rPr>
          <w:color w:val="231F20"/>
          <w:w w:val="105"/>
        </w:rPr>
        <w:t>había</w:t>
      </w:r>
      <w:r>
        <w:rPr>
          <w:color w:val="231F20"/>
          <w:spacing w:val="-16"/>
          <w:w w:val="105"/>
        </w:rPr>
        <w:t> </w:t>
      </w:r>
      <w:r>
        <w:rPr>
          <w:color w:val="231F20"/>
          <w:w w:val="105"/>
        </w:rPr>
        <w:t>tenido</w:t>
      </w:r>
      <w:r>
        <w:rPr>
          <w:color w:val="231F20"/>
          <w:spacing w:val="-16"/>
          <w:w w:val="105"/>
        </w:rPr>
        <w:t> </w:t>
      </w:r>
      <w:r>
        <w:rPr>
          <w:color w:val="231F20"/>
          <w:w w:val="105"/>
        </w:rPr>
        <w:t>que</w:t>
      </w:r>
      <w:r>
        <w:rPr>
          <w:color w:val="231F20"/>
          <w:spacing w:val="-16"/>
          <w:w w:val="105"/>
        </w:rPr>
        <w:t> </w:t>
      </w:r>
      <w:r>
        <w:rPr>
          <w:color w:val="231F20"/>
          <w:w w:val="105"/>
        </w:rPr>
        <w:t>apo- yarse</w:t>
      </w:r>
      <w:r>
        <w:rPr>
          <w:color w:val="231F20"/>
          <w:spacing w:val="-9"/>
          <w:w w:val="105"/>
        </w:rPr>
        <w:t> </w:t>
      </w:r>
      <w:r>
        <w:rPr>
          <w:color w:val="231F20"/>
          <w:w w:val="105"/>
        </w:rPr>
        <w:t>en</w:t>
      </w:r>
      <w:r>
        <w:rPr>
          <w:color w:val="231F20"/>
          <w:spacing w:val="-9"/>
          <w:w w:val="105"/>
        </w:rPr>
        <w:t> </w:t>
      </w:r>
      <w:r>
        <w:rPr>
          <w:color w:val="231F20"/>
          <w:w w:val="105"/>
        </w:rPr>
        <w:t>ese</w:t>
      </w:r>
      <w:r>
        <w:rPr>
          <w:color w:val="231F20"/>
          <w:spacing w:val="-9"/>
          <w:w w:val="105"/>
        </w:rPr>
        <w:t> </w:t>
      </w:r>
      <w:r>
        <w:rPr>
          <w:color w:val="231F20"/>
          <w:w w:val="105"/>
        </w:rPr>
        <w:t>partido</w:t>
      </w:r>
      <w:r>
        <w:rPr>
          <w:color w:val="231F20"/>
          <w:spacing w:val="-9"/>
          <w:w w:val="105"/>
        </w:rPr>
        <w:t> </w:t>
      </w:r>
      <w:r>
        <w:rPr>
          <w:color w:val="231F20"/>
          <w:w w:val="105"/>
        </w:rPr>
        <w:t>para</w:t>
      </w:r>
      <w:r>
        <w:rPr>
          <w:color w:val="231F20"/>
          <w:spacing w:val="-9"/>
          <w:w w:val="105"/>
        </w:rPr>
        <w:t> </w:t>
      </w:r>
      <w:r>
        <w:rPr>
          <w:color w:val="231F20"/>
          <w:w w:val="105"/>
        </w:rPr>
        <w:t>sacar</w:t>
      </w:r>
      <w:r>
        <w:rPr>
          <w:color w:val="231F20"/>
          <w:spacing w:val="-9"/>
          <w:w w:val="105"/>
        </w:rPr>
        <w:t> </w:t>
      </w:r>
      <w:r>
        <w:rPr>
          <w:color w:val="231F20"/>
          <w:w w:val="105"/>
        </w:rPr>
        <w:t>adelante</w:t>
      </w:r>
      <w:r>
        <w:rPr>
          <w:color w:val="231F20"/>
          <w:spacing w:val="-9"/>
          <w:w w:val="105"/>
        </w:rPr>
        <w:t> </w:t>
      </w:r>
      <w:r>
        <w:rPr>
          <w:color w:val="231F20"/>
          <w:w w:val="105"/>
        </w:rPr>
        <w:t>sus</w:t>
      </w:r>
      <w:r>
        <w:rPr>
          <w:color w:val="231F20"/>
          <w:spacing w:val="-9"/>
          <w:w w:val="105"/>
        </w:rPr>
        <w:t> </w:t>
      </w:r>
      <w:r>
        <w:rPr>
          <w:color w:val="231F20"/>
          <w:w w:val="105"/>
        </w:rPr>
        <w:t>iniciativas</w:t>
      </w:r>
      <w:r>
        <w:rPr>
          <w:color w:val="231F20"/>
          <w:spacing w:val="-9"/>
          <w:w w:val="105"/>
        </w:rPr>
        <w:t> </w:t>
      </w:r>
      <w:r>
        <w:rPr>
          <w:color w:val="231F20"/>
          <w:w w:val="105"/>
        </w:rPr>
        <w:t>presentadas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cabildo, debido</w:t>
      </w:r>
      <w:r>
        <w:rPr>
          <w:color w:val="231F20"/>
          <w:spacing w:val="-23"/>
          <w:w w:val="105"/>
        </w:rPr>
        <w:t> </w:t>
      </w:r>
      <w:r>
        <w:rPr>
          <w:color w:val="231F20"/>
          <w:w w:val="105"/>
        </w:rPr>
        <w:t>a</w:t>
      </w:r>
      <w:r>
        <w:rPr>
          <w:color w:val="231F20"/>
          <w:spacing w:val="-23"/>
          <w:w w:val="105"/>
        </w:rPr>
        <w:t> </w:t>
      </w:r>
      <w:r>
        <w:rPr>
          <w:color w:val="231F20"/>
          <w:w w:val="105"/>
        </w:rPr>
        <w:t>las</w:t>
      </w:r>
      <w:r>
        <w:rPr>
          <w:color w:val="231F20"/>
          <w:spacing w:val="-23"/>
          <w:w w:val="105"/>
        </w:rPr>
        <w:t> </w:t>
      </w:r>
      <w:r>
        <w:rPr>
          <w:color w:val="231F20"/>
          <w:w w:val="105"/>
        </w:rPr>
        <w:t>divisiones</w:t>
      </w:r>
      <w:r>
        <w:rPr>
          <w:color w:val="231F20"/>
          <w:spacing w:val="-23"/>
          <w:w w:val="105"/>
        </w:rPr>
        <w:t> </w:t>
      </w:r>
      <w:r>
        <w:rPr>
          <w:color w:val="231F20"/>
          <w:spacing w:val="2"/>
          <w:w w:val="105"/>
        </w:rPr>
        <w:t>al</w:t>
      </w:r>
      <w:r>
        <w:rPr>
          <w:color w:val="231F20"/>
          <w:spacing w:val="-23"/>
          <w:w w:val="105"/>
        </w:rPr>
        <w:t> </w:t>
      </w:r>
      <w:r>
        <w:rPr>
          <w:color w:val="231F20"/>
          <w:w w:val="105"/>
        </w:rPr>
        <w:t>interior</w:t>
      </w:r>
      <w:r>
        <w:rPr>
          <w:color w:val="231F20"/>
          <w:spacing w:val="-23"/>
          <w:w w:val="105"/>
        </w:rPr>
        <w:t> </w:t>
      </w:r>
      <w:r>
        <w:rPr>
          <w:color w:val="231F20"/>
          <w:w w:val="105"/>
        </w:rPr>
        <w:t>del</w:t>
      </w:r>
      <w:r>
        <w:rPr>
          <w:color w:val="231F20"/>
          <w:spacing w:val="-23"/>
          <w:w w:val="105"/>
        </w:rPr>
        <w:t> </w:t>
      </w:r>
      <w:r>
        <w:rPr>
          <w:color w:val="231F20"/>
          <w:spacing w:val="-3"/>
          <w:w w:val="105"/>
        </w:rPr>
        <w:t>PRD.</w:t>
      </w:r>
      <w:r>
        <w:rPr>
          <w:color w:val="231F20"/>
          <w:spacing w:val="-23"/>
          <w:w w:val="105"/>
        </w:rPr>
        <w:t> </w:t>
      </w:r>
      <w:r>
        <w:rPr>
          <w:color w:val="231F20"/>
          <w:spacing w:val="-3"/>
          <w:w w:val="105"/>
        </w:rPr>
        <w:t>Tampoco</w:t>
      </w:r>
      <w:r>
        <w:rPr>
          <w:color w:val="231F20"/>
          <w:spacing w:val="-23"/>
          <w:w w:val="105"/>
        </w:rPr>
        <w:t> </w:t>
      </w:r>
      <w:r>
        <w:rPr>
          <w:color w:val="231F20"/>
          <w:w w:val="105"/>
        </w:rPr>
        <w:t>el</w:t>
      </w:r>
      <w:r>
        <w:rPr>
          <w:color w:val="231F20"/>
          <w:spacing w:val="-23"/>
          <w:w w:val="105"/>
        </w:rPr>
        <w:t> </w:t>
      </w:r>
      <w:r>
        <w:rPr>
          <w:color w:val="231F20"/>
          <w:w w:val="105"/>
        </w:rPr>
        <w:t>PRI,</w:t>
      </w:r>
      <w:r>
        <w:rPr>
          <w:color w:val="231F20"/>
          <w:spacing w:val="-23"/>
          <w:w w:val="105"/>
        </w:rPr>
        <w:t> </w:t>
      </w:r>
      <w:r>
        <w:rPr>
          <w:color w:val="231F20"/>
          <w:w w:val="105"/>
        </w:rPr>
        <w:t>después</w:t>
      </w:r>
      <w:r>
        <w:rPr>
          <w:color w:val="231F20"/>
          <w:spacing w:val="-23"/>
          <w:w w:val="105"/>
        </w:rPr>
        <w:t> </w:t>
      </w:r>
      <w:r>
        <w:rPr>
          <w:color w:val="231F20"/>
          <w:w w:val="105"/>
        </w:rPr>
        <w:t>de</w:t>
      </w:r>
      <w:r>
        <w:rPr>
          <w:color w:val="231F20"/>
          <w:spacing w:val="-23"/>
          <w:w w:val="105"/>
        </w:rPr>
        <w:t> </w:t>
      </w:r>
      <w:r>
        <w:rPr>
          <w:color w:val="231F20"/>
          <w:w w:val="105"/>
        </w:rPr>
        <w:t>sus</w:t>
      </w:r>
      <w:r>
        <w:rPr>
          <w:color w:val="231F20"/>
          <w:spacing w:val="-23"/>
          <w:w w:val="105"/>
        </w:rPr>
        <w:t> </w:t>
      </w:r>
      <w:r>
        <w:rPr>
          <w:color w:val="231F20"/>
          <w:w w:val="105"/>
        </w:rPr>
        <w:t>prime- ras reacciones (incluso violentas) frente </w:t>
      </w:r>
      <w:r>
        <w:rPr>
          <w:color w:val="231F20"/>
          <w:spacing w:val="2"/>
          <w:w w:val="105"/>
        </w:rPr>
        <w:t>al </w:t>
      </w:r>
      <w:r>
        <w:rPr>
          <w:color w:val="231F20"/>
          <w:w w:val="105"/>
        </w:rPr>
        <w:t>triunfo perredista, parecía tener en el </w:t>
      </w:r>
      <w:r>
        <w:rPr>
          <w:color w:val="231F20"/>
          <w:spacing w:val="-3"/>
          <w:w w:val="105"/>
        </w:rPr>
        <w:t>momento </w:t>
      </w:r>
      <w:r>
        <w:rPr>
          <w:color w:val="231F20"/>
          <w:w w:val="105"/>
        </w:rPr>
        <w:t>en que realizamos esta investigación una actitud beligerante en contra del</w:t>
      </w:r>
      <w:r>
        <w:rPr>
          <w:color w:val="231F20"/>
          <w:spacing w:val="-19"/>
          <w:w w:val="105"/>
        </w:rPr>
        <w:t> </w:t>
      </w:r>
      <w:r>
        <w:rPr>
          <w:color w:val="231F20"/>
          <w:w w:val="105"/>
        </w:rPr>
        <w:t>gobierno</w:t>
      </w:r>
      <w:r>
        <w:rPr>
          <w:color w:val="231F20"/>
          <w:spacing w:val="-19"/>
          <w:w w:val="105"/>
        </w:rPr>
        <w:t> </w:t>
      </w:r>
      <w:r>
        <w:rPr>
          <w:color w:val="231F20"/>
          <w:w w:val="105"/>
        </w:rPr>
        <w:t>municipal;</w:t>
      </w:r>
      <w:r>
        <w:rPr>
          <w:color w:val="231F20"/>
          <w:spacing w:val="-19"/>
          <w:w w:val="105"/>
        </w:rPr>
        <w:t> </w:t>
      </w:r>
      <w:r>
        <w:rPr>
          <w:color w:val="231F20"/>
          <w:w w:val="105"/>
        </w:rPr>
        <w:t>algunas</w:t>
      </w:r>
      <w:r>
        <w:rPr>
          <w:color w:val="231F20"/>
          <w:spacing w:val="-19"/>
          <w:w w:val="105"/>
        </w:rPr>
        <w:t> </w:t>
      </w:r>
      <w:r>
        <w:rPr>
          <w:color w:val="231F20"/>
          <w:w w:val="105"/>
        </w:rPr>
        <w:t>organizaciones</w:t>
      </w:r>
      <w:r>
        <w:rPr>
          <w:color w:val="231F20"/>
          <w:spacing w:val="-19"/>
          <w:w w:val="105"/>
        </w:rPr>
        <w:t> </w:t>
      </w:r>
      <w:r>
        <w:rPr>
          <w:color w:val="231F20"/>
          <w:w w:val="105"/>
        </w:rPr>
        <w:t>sociales</w:t>
      </w:r>
      <w:r>
        <w:rPr>
          <w:color w:val="231F20"/>
          <w:spacing w:val="-19"/>
          <w:w w:val="105"/>
        </w:rPr>
        <w:t> </w:t>
      </w:r>
      <w:r>
        <w:rPr>
          <w:color w:val="231F20"/>
          <w:w w:val="105"/>
        </w:rPr>
        <w:t>afirmaron</w:t>
      </w:r>
      <w:r>
        <w:rPr>
          <w:color w:val="231F20"/>
          <w:spacing w:val="-19"/>
          <w:w w:val="105"/>
        </w:rPr>
        <w:t> </w:t>
      </w:r>
      <w:r>
        <w:rPr>
          <w:color w:val="231F20"/>
          <w:w w:val="105"/>
        </w:rPr>
        <w:t>que</w:t>
      </w:r>
      <w:r>
        <w:rPr>
          <w:color w:val="231F20"/>
          <w:spacing w:val="-19"/>
          <w:w w:val="105"/>
        </w:rPr>
        <w:t> </w:t>
      </w:r>
      <w:r>
        <w:rPr>
          <w:color w:val="231F20"/>
          <w:w w:val="105"/>
        </w:rPr>
        <w:t>González Bautista</w:t>
      </w:r>
      <w:r>
        <w:rPr>
          <w:color w:val="231F20"/>
          <w:spacing w:val="-14"/>
          <w:w w:val="105"/>
        </w:rPr>
        <w:t> </w:t>
      </w:r>
      <w:r>
        <w:rPr>
          <w:color w:val="231F20"/>
          <w:w w:val="105"/>
        </w:rPr>
        <w:t>había</w:t>
      </w:r>
      <w:r>
        <w:rPr>
          <w:color w:val="231F20"/>
          <w:spacing w:val="-14"/>
          <w:w w:val="105"/>
        </w:rPr>
        <w:t> </w:t>
      </w:r>
      <w:r>
        <w:rPr>
          <w:color w:val="231F20"/>
          <w:w w:val="105"/>
        </w:rPr>
        <w:t>llegado</w:t>
      </w:r>
      <w:r>
        <w:rPr>
          <w:color w:val="231F20"/>
          <w:spacing w:val="-14"/>
          <w:w w:val="105"/>
        </w:rPr>
        <w:t> </w:t>
      </w:r>
      <w:r>
        <w:rPr>
          <w:color w:val="231F20"/>
          <w:w w:val="105"/>
        </w:rPr>
        <w:t>a</w:t>
      </w:r>
      <w:r>
        <w:rPr>
          <w:color w:val="231F20"/>
          <w:spacing w:val="-14"/>
          <w:w w:val="105"/>
        </w:rPr>
        <w:t> </w:t>
      </w:r>
      <w:r>
        <w:rPr>
          <w:color w:val="231F20"/>
          <w:w w:val="105"/>
        </w:rPr>
        <w:t>un</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síndico</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regidores</w:t>
      </w:r>
      <w:r>
        <w:rPr>
          <w:color w:val="231F20"/>
          <w:spacing w:val="-14"/>
          <w:w w:val="105"/>
        </w:rPr>
        <w:t> </w:t>
      </w:r>
      <w:r>
        <w:rPr>
          <w:color w:val="231F20"/>
          <w:w w:val="105"/>
        </w:rPr>
        <w:t>priístas,</w:t>
      </w:r>
      <w:r>
        <w:rPr>
          <w:color w:val="231F20"/>
          <w:spacing w:val="-14"/>
          <w:w w:val="105"/>
        </w:rPr>
        <w:t> </w:t>
      </w:r>
      <w:r>
        <w:rPr>
          <w:color w:val="231F20"/>
          <w:w w:val="105"/>
        </w:rPr>
        <w:t>a</w:t>
      </w:r>
      <w:r>
        <w:rPr>
          <w:color w:val="231F20"/>
          <w:spacing w:val="-14"/>
          <w:w w:val="105"/>
        </w:rPr>
        <w:t> </w:t>
      </w:r>
      <w:r>
        <w:rPr>
          <w:color w:val="231F20"/>
          <w:w w:val="105"/>
        </w:rPr>
        <w:t>pesar de</w:t>
      </w:r>
      <w:r>
        <w:rPr>
          <w:color w:val="231F20"/>
          <w:spacing w:val="-11"/>
          <w:w w:val="105"/>
        </w:rPr>
        <w:t> </w:t>
      </w:r>
      <w:r>
        <w:rPr>
          <w:color w:val="231F20"/>
          <w:w w:val="105"/>
        </w:rPr>
        <w:t>que</w:t>
      </w:r>
      <w:r>
        <w:rPr>
          <w:color w:val="231F20"/>
          <w:spacing w:val="-11"/>
          <w:w w:val="105"/>
        </w:rPr>
        <w:t> </w:t>
      </w:r>
      <w:r>
        <w:rPr>
          <w:color w:val="231F20"/>
          <w:w w:val="105"/>
        </w:rPr>
        <w:t>éstos</w:t>
      </w:r>
      <w:r>
        <w:rPr>
          <w:color w:val="231F20"/>
          <w:spacing w:val="-11"/>
          <w:w w:val="105"/>
        </w:rPr>
        <w:t> </w:t>
      </w:r>
      <w:r>
        <w:rPr>
          <w:color w:val="231F20"/>
          <w:w w:val="105"/>
        </w:rPr>
        <w:t>estaban</w:t>
      </w:r>
      <w:r>
        <w:rPr>
          <w:color w:val="231F20"/>
          <w:spacing w:val="-11"/>
          <w:w w:val="105"/>
        </w:rPr>
        <w:t> </w:t>
      </w:r>
      <w:r>
        <w:rPr>
          <w:color w:val="231F20"/>
          <w:w w:val="105"/>
        </w:rPr>
        <w:t>ligados</w:t>
      </w:r>
      <w:r>
        <w:rPr>
          <w:color w:val="231F20"/>
          <w:spacing w:val="-11"/>
          <w:w w:val="105"/>
        </w:rPr>
        <w:t> </w:t>
      </w:r>
      <w:r>
        <w:rPr>
          <w:color w:val="231F20"/>
          <w:w w:val="105"/>
        </w:rPr>
        <w:t>a</w:t>
      </w:r>
      <w:r>
        <w:rPr>
          <w:color w:val="231F20"/>
          <w:spacing w:val="-11"/>
          <w:w w:val="105"/>
        </w:rPr>
        <w:t> </w:t>
      </w:r>
      <w:r>
        <w:rPr>
          <w:color w:val="231F20"/>
          <w:w w:val="105"/>
        </w:rPr>
        <w:t>intereses</w:t>
      </w:r>
      <w:r>
        <w:rPr>
          <w:color w:val="231F20"/>
          <w:spacing w:val="-11"/>
          <w:w w:val="105"/>
        </w:rPr>
        <w:t> </w:t>
      </w:r>
      <w:r>
        <w:rPr>
          <w:color w:val="231F20"/>
          <w:w w:val="105"/>
        </w:rPr>
        <w:t>económicos</w:t>
      </w:r>
      <w:r>
        <w:rPr>
          <w:color w:val="231F20"/>
          <w:spacing w:val="-11"/>
          <w:w w:val="105"/>
        </w:rPr>
        <w:t> </w:t>
      </w:r>
      <w:r>
        <w:rPr>
          <w:color w:val="231F20"/>
          <w:w w:val="105"/>
        </w:rPr>
        <w:t>corruptos</w:t>
      </w:r>
      <w:r>
        <w:rPr>
          <w:color w:val="231F20"/>
          <w:spacing w:val="-11"/>
          <w:w w:val="105"/>
        </w:rPr>
        <w:t> </w:t>
      </w:r>
      <w:r>
        <w:rPr>
          <w:color w:val="231F20"/>
          <w:w w:val="105"/>
        </w:rPr>
        <w:t>que</w:t>
      </w:r>
      <w:r>
        <w:rPr>
          <w:color w:val="231F20"/>
          <w:spacing w:val="-11"/>
          <w:w w:val="105"/>
        </w:rPr>
        <w:t> </w:t>
      </w:r>
      <w:r>
        <w:rPr>
          <w:color w:val="231F20"/>
          <w:w w:val="105"/>
        </w:rPr>
        <w:t>supuestamen- te</w:t>
      </w:r>
      <w:r>
        <w:rPr>
          <w:color w:val="231F20"/>
          <w:spacing w:val="-19"/>
          <w:w w:val="105"/>
        </w:rPr>
        <w:t> </w:t>
      </w:r>
      <w:r>
        <w:rPr>
          <w:color w:val="231F20"/>
          <w:w w:val="105"/>
        </w:rPr>
        <w:t>el</w:t>
      </w:r>
      <w:r>
        <w:rPr>
          <w:color w:val="231F20"/>
          <w:spacing w:val="-19"/>
          <w:w w:val="105"/>
        </w:rPr>
        <w:t> </w:t>
      </w:r>
      <w:r>
        <w:rPr>
          <w:color w:val="231F20"/>
          <w:w w:val="105"/>
        </w:rPr>
        <w:t>PRD</w:t>
      </w:r>
      <w:r>
        <w:rPr>
          <w:color w:val="231F20"/>
          <w:spacing w:val="-19"/>
          <w:w w:val="105"/>
        </w:rPr>
        <w:t> </w:t>
      </w:r>
      <w:r>
        <w:rPr>
          <w:color w:val="231F20"/>
          <w:w w:val="105"/>
        </w:rPr>
        <w:t>intentaba</w:t>
      </w:r>
      <w:r>
        <w:rPr>
          <w:color w:val="231F20"/>
          <w:spacing w:val="-19"/>
          <w:w w:val="105"/>
        </w:rPr>
        <w:t> </w:t>
      </w:r>
      <w:r>
        <w:rPr>
          <w:color w:val="231F20"/>
          <w:w w:val="105"/>
        </w:rPr>
        <w:t>combatir.</w:t>
      </w:r>
      <w:r>
        <w:rPr>
          <w:color w:val="231F20"/>
          <w:spacing w:val="-19"/>
          <w:w w:val="105"/>
        </w:rPr>
        <w:t> </w:t>
      </w:r>
      <w:r>
        <w:rPr>
          <w:color w:val="231F20"/>
          <w:w w:val="105"/>
        </w:rPr>
        <w:t>(Duhau</w:t>
      </w:r>
      <w:r>
        <w:rPr>
          <w:color w:val="231F20"/>
          <w:spacing w:val="-19"/>
          <w:w w:val="105"/>
        </w:rPr>
        <w:t> </w:t>
      </w:r>
      <w:r>
        <w:rPr>
          <w:color w:val="231F20"/>
          <w:w w:val="105"/>
        </w:rPr>
        <w:t>y</w:t>
      </w:r>
      <w:r>
        <w:rPr>
          <w:color w:val="231F20"/>
          <w:spacing w:val="-19"/>
          <w:w w:val="105"/>
        </w:rPr>
        <w:t> </w:t>
      </w:r>
      <w:r>
        <w:rPr>
          <w:color w:val="231F20"/>
          <w:w w:val="105"/>
        </w:rPr>
        <w:t>Schteingart,</w:t>
      </w:r>
      <w:r>
        <w:rPr>
          <w:color w:val="231F20"/>
          <w:spacing w:val="-19"/>
          <w:w w:val="105"/>
        </w:rPr>
        <w:t> </w:t>
      </w:r>
      <w:r>
        <w:rPr>
          <w:color w:val="231F20"/>
          <w:spacing w:val="-5"/>
          <w:w w:val="105"/>
        </w:rPr>
        <w:t>2001:191)</w:t>
      </w:r>
    </w:p>
    <w:p>
      <w:pPr>
        <w:pStyle w:val="BodyText"/>
        <w:spacing w:before="1"/>
        <w:rPr>
          <w:sz w:val="26"/>
        </w:rPr>
      </w:pPr>
    </w:p>
    <w:p>
      <w:pPr>
        <w:pStyle w:val="BodyText"/>
        <w:spacing w:line="285" w:lineRule="auto"/>
        <w:ind w:left="110" w:right="109"/>
        <w:jc w:val="both"/>
      </w:pPr>
      <w:r>
        <w:rPr>
          <w:color w:val="231F20"/>
          <w:spacing w:val="-5"/>
          <w:w w:val="105"/>
        </w:rPr>
        <w:t>Por</w:t>
      </w:r>
      <w:r>
        <w:rPr>
          <w:color w:val="231F20"/>
          <w:spacing w:val="-23"/>
          <w:w w:val="105"/>
        </w:rPr>
        <w:t> </w:t>
      </w:r>
      <w:r>
        <w:rPr>
          <w:color w:val="231F20"/>
          <w:spacing w:val="-3"/>
          <w:w w:val="105"/>
        </w:rPr>
        <w:t>lo</w:t>
      </w:r>
      <w:r>
        <w:rPr>
          <w:color w:val="231F20"/>
          <w:spacing w:val="-23"/>
          <w:w w:val="105"/>
        </w:rPr>
        <w:t> </w:t>
      </w:r>
      <w:r>
        <w:rPr>
          <w:color w:val="231F20"/>
          <w:spacing w:val="-3"/>
          <w:w w:val="105"/>
        </w:rPr>
        <w:t>que</w:t>
      </w:r>
      <w:r>
        <w:rPr>
          <w:color w:val="231F20"/>
          <w:spacing w:val="-23"/>
          <w:w w:val="105"/>
        </w:rPr>
        <w:t> </w:t>
      </w:r>
      <w:r>
        <w:rPr>
          <w:color w:val="231F20"/>
          <w:w w:val="105"/>
        </w:rPr>
        <w:t>el</w:t>
      </w:r>
      <w:r>
        <w:rPr>
          <w:color w:val="231F20"/>
          <w:spacing w:val="-23"/>
          <w:w w:val="105"/>
        </w:rPr>
        <w:t> </w:t>
      </w:r>
      <w:r>
        <w:rPr>
          <w:color w:val="231F20"/>
          <w:w w:val="105"/>
        </w:rPr>
        <w:t>alcalde</w:t>
      </w:r>
      <w:r>
        <w:rPr>
          <w:color w:val="231F20"/>
          <w:spacing w:val="-23"/>
          <w:w w:val="105"/>
        </w:rPr>
        <w:t> </w:t>
      </w:r>
      <w:r>
        <w:rPr>
          <w:color w:val="231F20"/>
          <w:spacing w:val="-4"/>
          <w:w w:val="105"/>
        </w:rPr>
        <w:t>Valentín</w:t>
      </w:r>
      <w:r>
        <w:rPr>
          <w:color w:val="231F20"/>
          <w:spacing w:val="-23"/>
          <w:w w:val="105"/>
        </w:rPr>
        <w:t> </w:t>
      </w:r>
      <w:r>
        <w:rPr>
          <w:color w:val="231F20"/>
          <w:w w:val="105"/>
        </w:rPr>
        <w:t>González</w:t>
      </w:r>
      <w:r>
        <w:rPr>
          <w:color w:val="231F20"/>
          <w:spacing w:val="-23"/>
          <w:w w:val="105"/>
        </w:rPr>
        <w:t> </w:t>
      </w:r>
      <w:r>
        <w:rPr>
          <w:color w:val="231F20"/>
          <w:w w:val="105"/>
        </w:rPr>
        <w:t>Bautista</w:t>
      </w:r>
      <w:r>
        <w:rPr>
          <w:color w:val="231F20"/>
          <w:spacing w:val="-23"/>
          <w:w w:val="105"/>
        </w:rPr>
        <w:t> </w:t>
      </w:r>
      <w:r>
        <w:rPr>
          <w:color w:val="231F20"/>
          <w:w w:val="105"/>
        </w:rPr>
        <w:t>se</w:t>
      </w:r>
      <w:r>
        <w:rPr>
          <w:color w:val="231F20"/>
          <w:spacing w:val="-23"/>
          <w:w w:val="105"/>
        </w:rPr>
        <w:t> </w:t>
      </w:r>
      <w:r>
        <w:rPr>
          <w:color w:val="231F20"/>
          <w:w w:val="105"/>
        </w:rPr>
        <w:t>vio</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spacing w:val="-4"/>
          <w:w w:val="105"/>
        </w:rPr>
        <w:t>necesidad</w:t>
      </w:r>
      <w:r>
        <w:rPr>
          <w:color w:val="231F20"/>
          <w:spacing w:val="-23"/>
          <w:w w:val="105"/>
        </w:rPr>
        <w:t> </w:t>
      </w:r>
      <w:r>
        <w:rPr>
          <w:color w:val="231F20"/>
          <w:w w:val="105"/>
        </w:rPr>
        <w:t>de</w:t>
      </w:r>
      <w:r>
        <w:rPr>
          <w:color w:val="231F20"/>
          <w:spacing w:val="-23"/>
          <w:w w:val="105"/>
        </w:rPr>
        <w:t> </w:t>
      </w:r>
      <w:r>
        <w:rPr>
          <w:color w:val="231F20"/>
          <w:spacing w:val="-3"/>
          <w:w w:val="105"/>
        </w:rPr>
        <w:t>negociar</w:t>
      </w:r>
      <w:r>
        <w:rPr>
          <w:color w:val="231F20"/>
          <w:spacing w:val="-23"/>
          <w:w w:val="105"/>
        </w:rPr>
        <w:t> </w:t>
      </w:r>
      <w:r>
        <w:rPr>
          <w:color w:val="231F20"/>
          <w:spacing w:val="-3"/>
          <w:w w:val="105"/>
        </w:rPr>
        <w:t>con</w:t>
      </w:r>
      <w:r>
        <w:rPr>
          <w:color w:val="231F20"/>
          <w:spacing w:val="-23"/>
          <w:w w:val="105"/>
        </w:rPr>
        <w:t> </w:t>
      </w:r>
      <w:r>
        <w:rPr>
          <w:color w:val="231F20"/>
          <w:spacing w:val="-4"/>
          <w:w w:val="105"/>
        </w:rPr>
        <w:t>los </w:t>
      </w:r>
      <w:r>
        <w:rPr>
          <w:color w:val="231F20"/>
          <w:spacing w:val="-3"/>
          <w:w w:val="105"/>
        </w:rPr>
        <w:t>miembros</w:t>
      </w:r>
      <w:r>
        <w:rPr>
          <w:color w:val="231F20"/>
          <w:spacing w:val="-21"/>
          <w:w w:val="105"/>
        </w:rPr>
        <w:t> </w:t>
      </w:r>
      <w:r>
        <w:rPr>
          <w:color w:val="231F20"/>
          <w:spacing w:val="-3"/>
          <w:w w:val="105"/>
        </w:rPr>
        <w:t>del</w:t>
      </w:r>
      <w:r>
        <w:rPr>
          <w:color w:val="231F20"/>
          <w:spacing w:val="-21"/>
          <w:w w:val="105"/>
        </w:rPr>
        <w:t> </w:t>
      </w:r>
      <w:r>
        <w:rPr>
          <w:color w:val="231F20"/>
          <w:spacing w:val="-3"/>
          <w:w w:val="105"/>
        </w:rPr>
        <w:t>cabildo</w:t>
      </w:r>
      <w:r>
        <w:rPr>
          <w:color w:val="231F20"/>
          <w:spacing w:val="-21"/>
          <w:w w:val="105"/>
        </w:rPr>
        <w:t> </w:t>
      </w:r>
      <w:r>
        <w:rPr>
          <w:color w:val="231F20"/>
          <w:w w:val="105"/>
        </w:rPr>
        <w:t>de</w:t>
      </w:r>
      <w:r>
        <w:rPr>
          <w:color w:val="231F20"/>
          <w:spacing w:val="-21"/>
          <w:w w:val="105"/>
        </w:rPr>
        <w:t> </w:t>
      </w:r>
      <w:r>
        <w:rPr>
          <w:color w:val="231F20"/>
          <w:spacing w:val="-3"/>
          <w:w w:val="105"/>
        </w:rPr>
        <w:t>los</w:t>
      </w:r>
      <w:r>
        <w:rPr>
          <w:color w:val="231F20"/>
          <w:spacing w:val="-21"/>
          <w:w w:val="105"/>
        </w:rPr>
        <w:t> </w:t>
      </w:r>
      <w:r>
        <w:rPr>
          <w:color w:val="231F20"/>
          <w:w w:val="105"/>
        </w:rPr>
        <w:t>partidos</w:t>
      </w:r>
      <w:r>
        <w:rPr>
          <w:color w:val="231F20"/>
          <w:spacing w:val="-21"/>
          <w:w w:val="105"/>
        </w:rPr>
        <w:t> </w:t>
      </w:r>
      <w:r>
        <w:rPr>
          <w:color w:val="231F20"/>
          <w:w w:val="105"/>
        </w:rPr>
        <w:t>de</w:t>
      </w:r>
      <w:r>
        <w:rPr>
          <w:color w:val="231F20"/>
          <w:spacing w:val="-21"/>
          <w:w w:val="105"/>
        </w:rPr>
        <w:t> </w:t>
      </w:r>
      <w:r>
        <w:rPr>
          <w:color w:val="231F20"/>
          <w:spacing w:val="-4"/>
          <w:w w:val="105"/>
        </w:rPr>
        <w:t>oposición,</w:t>
      </w:r>
      <w:r>
        <w:rPr>
          <w:color w:val="231F20"/>
          <w:spacing w:val="-21"/>
          <w:w w:val="105"/>
        </w:rPr>
        <w:t> </w:t>
      </w:r>
      <w:r>
        <w:rPr>
          <w:color w:val="231F20"/>
          <w:w w:val="105"/>
        </w:rPr>
        <w:t>estrategia</w:t>
      </w:r>
      <w:r>
        <w:rPr>
          <w:color w:val="231F20"/>
          <w:spacing w:val="-21"/>
          <w:w w:val="105"/>
        </w:rPr>
        <w:t> </w:t>
      </w:r>
      <w:r>
        <w:rPr>
          <w:color w:val="231F20"/>
          <w:spacing w:val="-3"/>
          <w:w w:val="105"/>
        </w:rPr>
        <w:t>que</w:t>
      </w:r>
      <w:r>
        <w:rPr>
          <w:color w:val="231F20"/>
          <w:spacing w:val="-21"/>
          <w:w w:val="105"/>
        </w:rPr>
        <w:t> </w:t>
      </w:r>
      <w:r>
        <w:rPr>
          <w:color w:val="231F20"/>
          <w:w w:val="105"/>
        </w:rPr>
        <w:t>en</w:t>
      </w:r>
      <w:r>
        <w:rPr>
          <w:color w:val="231F20"/>
          <w:spacing w:val="-21"/>
          <w:w w:val="105"/>
        </w:rPr>
        <w:t> </w:t>
      </w:r>
      <w:r>
        <w:rPr>
          <w:color w:val="231F20"/>
          <w:w w:val="105"/>
        </w:rPr>
        <w:t>términos</w:t>
      </w:r>
      <w:r>
        <w:rPr>
          <w:color w:val="231F20"/>
          <w:spacing w:val="-21"/>
          <w:w w:val="105"/>
        </w:rPr>
        <w:t> </w:t>
      </w:r>
      <w:r>
        <w:rPr>
          <w:color w:val="231F20"/>
          <w:spacing w:val="-3"/>
          <w:w w:val="105"/>
        </w:rPr>
        <w:t>generales</w:t>
      </w:r>
      <w:r>
        <w:rPr>
          <w:color w:val="231F20"/>
          <w:spacing w:val="-21"/>
          <w:w w:val="105"/>
        </w:rPr>
        <w:t> </w:t>
      </w:r>
      <w:r>
        <w:rPr>
          <w:color w:val="231F20"/>
          <w:spacing w:val="-3"/>
          <w:w w:val="105"/>
        </w:rPr>
        <w:t>le </w:t>
      </w:r>
      <w:r>
        <w:rPr>
          <w:color w:val="231F20"/>
          <w:w w:val="105"/>
        </w:rPr>
        <w:t>dio </w:t>
      </w:r>
      <w:r>
        <w:rPr>
          <w:color w:val="231F20"/>
          <w:spacing w:val="-4"/>
          <w:w w:val="105"/>
        </w:rPr>
        <w:t>buenos </w:t>
      </w:r>
      <w:r>
        <w:rPr>
          <w:color w:val="231F20"/>
          <w:spacing w:val="-3"/>
          <w:w w:val="105"/>
        </w:rPr>
        <w:t>resultados, </w:t>
      </w:r>
      <w:r>
        <w:rPr>
          <w:color w:val="231F20"/>
          <w:w w:val="105"/>
        </w:rPr>
        <w:t>logrando </w:t>
      </w:r>
      <w:r>
        <w:rPr>
          <w:color w:val="231F20"/>
          <w:spacing w:val="-3"/>
          <w:w w:val="105"/>
        </w:rPr>
        <w:t>mantener </w:t>
      </w:r>
      <w:r>
        <w:rPr>
          <w:color w:val="231F20"/>
          <w:w w:val="105"/>
        </w:rPr>
        <w:t>una administración </w:t>
      </w:r>
      <w:r>
        <w:rPr>
          <w:color w:val="231F20"/>
          <w:spacing w:val="-3"/>
          <w:w w:val="105"/>
        </w:rPr>
        <w:t>estable </w:t>
      </w:r>
      <w:r>
        <w:rPr>
          <w:color w:val="231F20"/>
          <w:w w:val="105"/>
        </w:rPr>
        <w:t>y </w:t>
      </w:r>
      <w:r>
        <w:rPr>
          <w:color w:val="231F20"/>
          <w:spacing w:val="-3"/>
          <w:w w:val="105"/>
        </w:rPr>
        <w:t>con </w:t>
      </w:r>
      <w:r>
        <w:rPr>
          <w:color w:val="231F20"/>
          <w:w w:val="105"/>
        </w:rPr>
        <w:t>un carácter de</w:t>
      </w:r>
      <w:r>
        <w:rPr>
          <w:color w:val="231F20"/>
          <w:spacing w:val="-25"/>
          <w:w w:val="105"/>
        </w:rPr>
        <w:t> </w:t>
      </w:r>
      <w:r>
        <w:rPr>
          <w:color w:val="231F20"/>
          <w:spacing w:val="-4"/>
          <w:w w:val="105"/>
        </w:rPr>
        <w:t>mayor</w:t>
      </w:r>
      <w:r>
        <w:rPr>
          <w:color w:val="231F20"/>
          <w:spacing w:val="-25"/>
          <w:w w:val="105"/>
        </w:rPr>
        <w:t> </w:t>
      </w:r>
      <w:r>
        <w:rPr>
          <w:color w:val="231F20"/>
          <w:w w:val="105"/>
        </w:rPr>
        <w:t>transparencia</w:t>
      </w:r>
      <w:r>
        <w:rPr>
          <w:color w:val="231F20"/>
          <w:spacing w:val="-25"/>
          <w:w w:val="105"/>
        </w:rPr>
        <w:t> </w:t>
      </w:r>
      <w:r>
        <w:rPr>
          <w:color w:val="231F20"/>
          <w:w w:val="105"/>
        </w:rPr>
        <w:t>y</w:t>
      </w:r>
      <w:r>
        <w:rPr>
          <w:color w:val="231F20"/>
          <w:spacing w:val="-25"/>
          <w:w w:val="105"/>
        </w:rPr>
        <w:t> </w:t>
      </w:r>
      <w:r>
        <w:rPr>
          <w:color w:val="231F20"/>
          <w:w w:val="105"/>
        </w:rPr>
        <w:t>efectividad</w:t>
      </w:r>
      <w:r>
        <w:rPr>
          <w:color w:val="231F20"/>
          <w:spacing w:val="-25"/>
          <w:w w:val="105"/>
        </w:rPr>
        <w:t> </w:t>
      </w:r>
      <w:r>
        <w:rPr>
          <w:color w:val="231F20"/>
          <w:spacing w:val="-3"/>
          <w:w w:val="105"/>
        </w:rPr>
        <w:t>con</w:t>
      </w:r>
      <w:r>
        <w:rPr>
          <w:color w:val="231F20"/>
          <w:spacing w:val="-25"/>
          <w:w w:val="105"/>
        </w:rPr>
        <w:t> </w:t>
      </w:r>
      <w:r>
        <w:rPr>
          <w:color w:val="231F20"/>
          <w:w w:val="105"/>
        </w:rPr>
        <w:t>respecto</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w w:val="105"/>
        </w:rPr>
        <w:t>administraciones</w:t>
      </w:r>
      <w:r>
        <w:rPr>
          <w:color w:val="231F20"/>
          <w:spacing w:val="-25"/>
          <w:w w:val="105"/>
        </w:rPr>
        <w:t> </w:t>
      </w:r>
      <w:r>
        <w:rPr>
          <w:color w:val="231F20"/>
          <w:w w:val="105"/>
        </w:rPr>
        <w:t>priístas.</w:t>
      </w:r>
    </w:p>
    <w:p>
      <w:pPr>
        <w:pStyle w:val="BodyText"/>
        <w:spacing w:before="1"/>
        <w:rPr>
          <w:sz w:val="26"/>
        </w:rPr>
      </w:pPr>
    </w:p>
    <w:p>
      <w:pPr>
        <w:pStyle w:val="BodyText"/>
        <w:spacing w:line="285" w:lineRule="auto"/>
        <w:ind w:left="110" w:right="108"/>
        <w:jc w:val="both"/>
      </w:pPr>
      <w:r>
        <w:rPr>
          <w:color w:val="231F20"/>
          <w:w w:val="105"/>
        </w:rPr>
        <w:t>Para</w:t>
      </w:r>
      <w:r>
        <w:rPr>
          <w:color w:val="231F20"/>
          <w:spacing w:val="-18"/>
          <w:w w:val="105"/>
        </w:rPr>
        <w:t> </w:t>
      </w:r>
      <w:r>
        <w:rPr>
          <w:color w:val="231F20"/>
          <w:w w:val="105"/>
        </w:rPr>
        <w:t>los</w:t>
      </w:r>
      <w:r>
        <w:rPr>
          <w:color w:val="231F20"/>
          <w:spacing w:val="-18"/>
          <w:w w:val="105"/>
        </w:rPr>
        <w:t> </w:t>
      </w:r>
      <w:r>
        <w:rPr>
          <w:color w:val="231F20"/>
          <w:w w:val="105"/>
        </w:rPr>
        <w:t>comicios</w:t>
      </w:r>
      <w:r>
        <w:rPr>
          <w:color w:val="231F20"/>
          <w:spacing w:val="-18"/>
          <w:w w:val="105"/>
        </w:rPr>
        <w:t> </w:t>
      </w:r>
      <w:r>
        <w:rPr>
          <w:color w:val="231F20"/>
          <w:w w:val="105"/>
        </w:rPr>
        <w:t>del</w:t>
      </w:r>
      <w:r>
        <w:rPr>
          <w:color w:val="231F20"/>
          <w:spacing w:val="-18"/>
          <w:w w:val="105"/>
        </w:rPr>
        <w:t> </w:t>
      </w:r>
      <w:r>
        <w:rPr>
          <w:color w:val="231F20"/>
          <w:spacing w:val="4"/>
          <w:w w:val="105"/>
        </w:rPr>
        <w:t>2000</w:t>
      </w:r>
      <w:r>
        <w:rPr>
          <w:color w:val="231F20"/>
          <w:spacing w:val="-18"/>
          <w:w w:val="105"/>
        </w:rPr>
        <w:t> </w:t>
      </w:r>
      <w:r>
        <w:rPr>
          <w:color w:val="231F20"/>
          <w:w w:val="105"/>
        </w:rPr>
        <w:t>el</w:t>
      </w:r>
      <w:r>
        <w:rPr>
          <w:color w:val="231F20"/>
          <w:spacing w:val="-18"/>
          <w:w w:val="105"/>
        </w:rPr>
        <w:t> </w:t>
      </w:r>
      <w:r>
        <w:rPr>
          <w:color w:val="231F20"/>
          <w:w w:val="105"/>
        </w:rPr>
        <w:t>PRD</w:t>
      </w:r>
      <w:r>
        <w:rPr>
          <w:color w:val="231F20"/>
          <w:spacing w:val="-18"/>
          <w:w w:val="105"/>
        </w:rPr>
        <w:t> </w:t>
      </w:r>
      <w:r>
        <w:rPr>
          <w:color w:val="231F20"/>
          <w:w w:val="105"/>
        </w:rPr>
        <w:t>logró</w:t>
      </w:r>
      <w:r>
        <w:rPr>
          <w:color w:val="231F20"/>
          <w:spacing w:val="-18"/>
          <w:w w:val="105"/>
        </w:rPr>
        <w:t> </w:t>
      </w:r>
      <w:r>
        <w:rPr>
          <w:color w:val="231F20"/>
          <w:w w:val="105"/>
        </w:rPr>
        <w:t>ratificar</w:t>
      </w:r>
      <w:r>
        <w:rPr>
          <w:color w:val="231F20"/>
          <w:spacing w:val="-18"/>
          <w:w w:val="105"/>
        </w:rPr>
        <w:t> </w:t>
      </w:r>
      <w:r>
        <w:rPr>
          <w:color w:val="231F20"/>
          <w:w w:val="105"/>
        </w:rPr>
        <w:t>su</w:t>
      </w:r>
      <w:r>
        <w:rPr>
          <w:color w:val="231F20"/>
          <w:spacing w:val="-18"/>
          <w:w w:val="105"/>
        </w:rPr>
        <w:t> </w:t>
      </w:r>
      <w:r>
        <w:rPr>
          <w:color w:val="231F20"/>
          <w:w w:val="105"/>
        </w:rPr>
        <w:t>triunfo</w:t>
      </w:r>
      <w:r>
        <w:rPr>
          <w:color w:val="231F20"/>
          <w:spacing w:val="-18"/>
          <w:w w:val="105"/>
        </w:rPr>
        <w:t> </w:t>
      </w:r>
      <w:r>
        <w:rPr>
          <w:color w:val="231F20"/>
          <w:w w:val="105"/>
        </w:rPr>
        <w:t>electoral</w:t>
      </w:r>
      <w:r>
        <w:rPr>
          <w:color w:val="231F20"/>
          <w:spacing w:val="-18"/>
          <w:w w:val="105"/>
        </w:rPr>
        <w:t> </w:t>
      </w:r>
      <w:r>
        <w:rPr>
          <w:color w:val="231F20"/>
          <w:w w:val="105"/>
        </w:rPr>
        <w:t>conquistando</w:t>
      </w:r>
      <w:r>
        <w:rPr>
          <w:color w:val="231F20"/>
          <w:spacing w:val="-18"/>
          <w:w w:val="105"/>
        </w:rPr>
        <w:t> </w:t>
      </w:r>
      <w:r>
        <w:rPr>
          <w:color w:val="231F20"/>
          <w:w w:val="105"/>
        </w:rPr>
        <w:t>nue- vamente</w:t>
      </w:r>
      <w:r>
        <w:rPr>
          <w:color w:val="231F20"/>
          <w:spacing w:val="-20"/>
          <w:w w:val="105"/>
        </w:rPr>
        <w:t> </w:t>
      </w:r>
      <w:r>
        <w:rPr>
          <w:color w:val="231F20"/>
          <w:w w:val="105"/>
        </w:rPr>
        <w:t>el</w:t>
      </w:r>
      <w:r>
        <w:rPr>
          <w:color w:val="231F20"/>
          <w:spacing w:val="-20"/>
          <w:w w:val="105"/>
        </w:rPr>
        <w:t> </w:t>
      </w:r>
      <w:r>
        <w:rPr>
          <w:color w:val="231F20"/>
          <w:w w:val="105"/>
        </w:rPr>
        <w:t>ayuntamiento,</w:t>
      </w:r>
      <w:r>
        <w:rPr>
          <w:color w:val="231F20"/>
          <w:spacing w:val="-20"/>
          <w:w w:val="105"/>
        </w:rPr>
        <w:t> </w:t>
      </w:r>
      <w:r>
        <w:rPr>
          <w:color w:val="231F20"/>
          <w:w w:val="105"/>
        </w:rPr>
        <w:t>con</w:t>
      </w:r>
      <w:r>
        <w:rPr>
          <w:color w:val="231F20"/>
          <w:spacing w:val="-20"/>
          <w:w w:val="105"/>
        </w:rPr>
        <w:t> </w:t>
      </w:r>
      <w:r>
        <w:rPr>
          <w:color w:val="231F20"/>
          <w:w w:val="105"/>
        </w:rPr>
        <w:t>un</w:t>
      </w:r>
      <w:r>
        <w:rPr>
          <w:color w:val="231F20"/>
          <w:spacing w:val="-20"/>
          <w:w w:val="105"/>
        </w:rPr>
        <w:t> </w:t>
      </w:r>
      <w:r>
        <w:rPr>
          <w:color w:val="231F20"/>
          <w:w w:val="105"/>
        </w:rPr>
        <w:t>incremento</w:t>
      </w:r>
      <w:r>
        <w:rPr>
          <w:color w:val="231F20"/>
          <w:spacing w:val="-20"/>
          <w:w w:val="105"/>
        </w:rPr>
        <w:t> </w:t>
      </w:r>
      <w:r>
        <w:rPr>
          <w:color w:val="231F20"/>
          <w:w w:val="105"/>
        </w:rPr>
        <w:t>de</w:t>
      </w:r>
      <w:r>
        <w:rPr>
          <w:color w:val="231F20"/>
          <w:spacing w:val="-20"/>
          <w:w w:val="105"/>
        </w:rPr>
        <w:t> </w:t>
      </w:r>
      <w:r>
        <w:rPr>
          <w:color w:val="231F20"/>
          <w:w w:val="105"/>
        </w:rPr>
        <w:t>su</w:t>
      </w:r>
      <w:r>
        <w:rPr>
          <w:color w:val="231F20"/>
          <w:spacing w:val="-20"/>
          <w:w w:val="105"/>
        </w:rPr>
        <w:t> </w:t>
      </w:r>
      <w:r>
        <w:rPr>
          <w:color w:val="231F20"/>
          <w:w w:val="105"/>
        </w:rPr>
        <w:t>porcentaje</w:t>
      </w:r>
      <w:r>
        <w:rPr>
          <w:color w:val="231F20"/>
          <w:spacing w:val="-20"/>
          <w:w w:val="105"/>
        </w:rPr>
        <w:t> </w:t>
      </w:r>
      <w:r>
        <w:rPr>
          <w:color w:val="231F20"/>
          <w:w w:val="105"/>
        </w:rPr>
        <w:t>de</w:t>
      </w:r>
      <w:r>
        <w:rPr>
          <w:color w:val="231F20"/>
          <w:spacing w:val="-20"/>
          <w:w w:val="105"/>
        </w:rPr>
        <w:t> </w:t>
      </w:r>
      <w:r>
        <w:rPr>
          <w:color w:val="231F20"/>
          <w:w w:val="105"/>
        </w:rPr>
        <w:t>votación</w:t>
      </w:r>
      <w:r>
        <w:rPr>
          <w:color w:val="231F20"/>
          <w:spacing w:val="-20"/>
          <w:w w:val="105"/>
        </w:rPr>
        <w:t> </w:t>
      </w:r>
      <w:r>
        <w:rPr>
          <w:color w:val="231F20"/>
          <w:w w:val="105"/>
        </w:rPr>
        <w:t>con</w:t>
      </w:r>
      <w:r>
        <w:rPr>
          <w:color w:val="231F20"/>
          <w:spacing w:val="-20"/>
          <w:w w:val="105"/>
        </w:rPr>
        <w:t> </w:t>
      </w:r>
      <w:r>
        <w:rPr>
          <w:color w:val="231F20"/>
          <w:w w:val="105"/>
        </w:rPr>
        <w:t>38.6%</w:t>
      </w:r>
      <w:r>
        <w:rPr>
          <w:color w:val="231F20"/>
          <w:spacing w:val="-20"/>
          <w:w w:val="105"/>
        </w:rPr>
        <w:t> </w:t>
      </w:r>
      <w:r>
        <w:rPr>
          <w:color w:val="231F20"/>
          <w:w w:val="105"/>
        </w:rPr>
        <w:t>de los</w:t>
      </w:r>
      <w:r>
        <w:rPr>
          <w:color w:val="231F20"/>
          <w:spacing w:val="-10"/>
          <w:w w:val="105"/>
        </w:rPr>
        <w:t> </w:t>
      </w:r>
      <w:r>
        <w:rPr>
          <w:color w:val="231F20"/>
          <w:w w:val="105"/>
        </w:rPr>
        <w:t>sufragios.</w:t>
      </w:r>
      <w:r>
        <w:rPr>
          <w:color w:val="231F20"/>
          <w:spacing w:val="-10"/>
          <w:w w:val="105"/>
        </w:rPr>
        <w:t> </w:t>
      </w:r>
      <w:r>
        <w:rPr>
          <w:color w:val="231F20"/>
          <w:w w:val="105"/>
        </w:rPr>
        <w:t>La</w:t>
      </w:r>
      <w:r>
        <w:rPr>
          <w:color w:val="231F20"/>
          <w:spacing w:val="-10"/>
          <w:w w:val="105"/>
        </w:rPr>
        <w:t> </w:t>
      </w:r>
      <w:r>
        <w:rPr>
          <w:color w:val="231F20"/>
          <w:w w:val="105"/>
        </w:rPr>
        <w:t>planilla</w:t>
      </w:r>
      <w:r>
        <w:rPr>
          <w:color w:val="231F20"/>
          <w:spacing w:val="-10"/>
          <w:w w:val="105"/>
        </w:rPr>
        <w:t> </w:t>
      </w:r>
      <w:r>
        <w:rPr>
          <w:color w:val="231F20"/>
          <w:w w:val="105"/>
        </w:rPr>
        <w:t>fue</w:t>
      </w:r>
      <w:r>
        <w:rPr>
          <w:color w:val="231F20"/>
          <w:spacing w:val="-10"/>
          <w:w w:val="105"/>
        </w:rPr>
        <w:t> </w:t>
      </w:r>
      <w:r>
        <w:rPr>
          <w:color w:val="231F20"/>
          <w:w w:val="105"/>
        </w:rPr>
        <w:t>encabezada</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líder</w:t>
      </w:r>
      <w:r>
        <w:rPr>
          <w:color w:val="231F20"/>
          <w:spacing w:val="-10"/>
          <w:w w:val="105"/>
        </w:rPr>
        <w:t> </w:t>
      </w:r>
      <w:r>
        <w:rPr>
          <w:color w:val="231F20"/>
          <w:w w:val="105"/>
        </w:rPr>
        <w:t>fundador</w:t>
      </w:r>
      <w:r>
        <w:rPr>
          <w:color w:val="231F20"/>
          <w:spacing w:val="-10"/>
          <w:w w:val="105"/>
        </w:rPr>
        <w:t> </w:t>
      </w:r>
      <w:r>
        <w:rPr>
          <w:color w:val="231F20"/>
          <w:w w:val="105"/>
        </w:rPr>
        <w:t>y</w:t>
      </w:r>
      <w:r>
        <w:rPr>
          <w:color w:val="231F20"/>
          <w:spacing w:val="-10"/>
          <w:w w:val="105"/>
        </w:rPr>
        <w:t> </w:t>
      </w:r>
      <w:r>
        <w:rPr>
          <w:color w:val="231F20"/>
          <w:w w:val="105"/>
        </w:rPr>
        <w:t>moral</w:t>
      </w:r>
      <w:r>
        <w:rPr>
          <w:color w:val="231F20"/>
          <w:spacing w:val="-10"/>
          <w:w w:val="105"/>
        </w:rPr>
        <w:t> </w:t>
      </w:r>
      <w:r>
        <w:rPr>
          <w:color w:val="231F20"/>
          <w:w w:val="105"/>
        </w:rPr>
        <w:t>del</w:t>
      </w:r>
      <w:r>
        <w:rPr>
          <w:color w:val="231F20"/>
          <w:spacing w:val="-10"/>
          <w:w w:val="105"/>
        </w:rPr>
        <w:t> </w:t>
      </w:r>
      <w:r>
        <w:rPr>
          <w:color w:val="231F20"/>
          <w:w w:val="105"/>
        </w:rPr>
        <w:t>Movimiento de</w:t>
      </w:r>
      <w:r>
        <w:rPr>
          <w:color w:val="231F20"/>
          <w:spacing w:val="-25"/>
          <w:w w:val="105"/>
        </w:rPr>
        <w:t> </w:t>
      </w:r>
      <w:r>
        <w:rPr>
          <w:color w:val="231F20"/>
          <w:w w:val="105"/>
        </w:rPr>
        <w:t>Vida</w:t>
      </w:r>
      <w:r>
        <w:rPr>
          <w:color w:val="231F20"/>
          <w:spacing w:val="-25"/>
          <w:w w:val="105"/>
        </w:rPr>
        <w:t> </w:t>
      </w:r>
      <w:r>
        <w:rPr>
          <w:color w:val="231F20"/>
          <w:w w:val="105"/>
        </w:rPr>
        <w:t>Digna,</w:t>
      </w:r>
      <w:r>
        <w:rPr>
          <w:color w:val="231F20"/>
          <w:spacing w:val="-25"/>
          <w:w w:val="105"/>
        </w:rPr>
        <w:t> </w:t>
      </w:r>
      <w:r>
        <w:rPr>
          <w:color w:val="231F20"/>
          <w:w w:val="105"/>
        </w:rPr>
        <w:t>Héctor</w:t>
      </w:r>
      <w:r>
        <w:rPr>
          <w:color w:val="231F20"/>
          <w:spacing w:val="-25"/>
          <w:w w:val="105"/>
        </w:rPr>
        <w:t> </w:t>
      </w:r>
      <w:r>
        <w:rPr>
          <w:color w:val="231F20"/>
          <w:w w:val="105"/>
        </w:rPr>
        <w:t>Miguel</w:t>
      </w:r>
      <w:r>
        <w:rPr>
          <w:color w:val="231F20"/>
          <w:spacing w:val="-25"/>
          <w:w w:val="105"/>
        </w:rPr>
        <w:t> </w:t>
      </w:r>
      <w:r>
        <w:rPr>
          <w:color w:val="231F20"/>
          <w:w w:val="105"/>
        </w:rPr>
        <w:t>Bautista</w:t>
      </w:r>
      <w:r>
        <w:rPr>
          <w:color w:val="231F20"/>
          <w:spacing w:val="-25"/>
          <w:w w:val="105"/>
        </w:rPr>
        <w:t> </w:t>
      </w:r>
      <w:r>
        <w:rPr>
          <w:color w:val="231F20"/>
          <w:w w:val="105"/>
        </w:rPr>
        <w:t>López,</w:t>
      </w:r>
      <w:r>
        <w:rPr>
          <w:color w:val="231F20"/>
          <w:spacing w:val="-25"/>
          <w:w w:val="105"/>
        </w:rPr>
        <w:t> </w:t>
      </w:r>
      <w:r>
        <w:rPr>
          <w:color w:val="231F20"/>
          <w:w w:val="105"/>
        </w:rPr>
        <w:t>quien</w:t>
      </w:r>
      <w:r>
        <w:rPr>
          <w:color w:val="231F20"/>
          <w:spacing w:val="-25"/>
          <w:w w:val="105"/>
        </w:rPr>
        <w:t> </w:t>
      </w:r>
      <w:r>
        <w:rPr>
          <w:color w:val="231F20"/>
          <w:w w:val="105"/>
        </w:rPr>
        <w:t>actualmente</w:t>
      </w:r>
      <w:r>
        <w:rPr>
          <w:color w:val="231F20"/>
          <w:spacing w:val="-25"/>
          <w:w w:val="105"/>
        </w:rPr>
        <w:t> </w:t>
      </w:r>
      <w:r>
        <w:rPr>
          <w:color w:val="231F20"/>
          <w:w w:val="105"/>
        </w:rPr>
        <w:t>es</w:t>
      </w:r>
      <w:r>
        <w:rPr>
          <w:color w:val="231F20"/>
          <w:spacing w:val="-25"/>
          <w:w w:val="105"/>
        </w:rPr>
        <w:t> </w:t>
      </w:r>
      <w:r>
        <w:rPr>
          <w:color w:val="231F20"/>
          <w:w w:val="105"/>
        </w:rPr>
        <w:t>Senador</w:t>
      </w:r>
      <w:r>
        <w:rPr>
          <w:color w:val="231F20"/>
          <w:spacing w:val="-25"/>
          <w:w w:val="105"/>
        </w:rPr>
        <w:t> </w:t>
      </w:r>
      <w:r>
        <w:rPr>
          <w:color w:val="231F20"/>
          <w:w w:val="105"/>
        </w:rPr>
        <w:t>y</w:t>
      </w:r>
      <w:r>
        <w:rPr>
          <w:color w:val="231F20"/>
          <w:spacing w:val="-25"/>
          <w:w w:val="105"/>
        </w:rPr>
        <w:t> </w:t>
      </w:r>
      <w:r>
        <w:rPr>
          <w:color w:val="231F20"/>
          <w:w w:val="105"/>
        </w:rPr>
        <w:t>aspirante a</w:t>
      </w:r>
      <w:r>
        <w:rPr>
          <w:color w:val="231F20"/>
          <w:spacing w:val="-10"/>
          <w:w w:val="105"/>
        </w:rPr>
        <w:t> </w:t>
      </w:r>
      <w:r>
        <w:rPr>
          <w:color w:val="231F20"/>
          <w:w w:val="105"/>
        </w:rPr>
        <w:t>la</w:t>
      </w:r>
      <w:r>
        <w:rPr>
          <w:color w:val="231F20"/>
          <w:spacing w:val="-10"/>
          <w:w w:val="105"/>
        </w:rPr>
        <w:t> </w:t>
      </w:r>
      <w:r>
        <w:rPr>
          <w:color w:val="231F20"/>
          <w:w w:val="105"/>
        </w:rPr>
        <w:t>gubernatura</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por</w:t>
      </w:r>
      <w:r>
        <w:rPr>
          <w:color w:val="231F20"/>
          <w:spacing w:val="-10"/>
          <w:w w:val="105"/>
        </w:rPr>
        <w:t> </w:t>
      </w:r>
      <w:r>
        <w:rPr>
          <w:color w:val="231F20"/>
          <w:w w:val="105"/>
        </w:rPr>
        <w:t>parte</w:t>
      </w:r>
      <w:r>
        <w:rPr>
          <w:color w:val="231F20"/>
          <w:spacing w:val="-10"/>
          <w:w w:val="105"/>
        </w:rPr>
        <w:t> </w:t>
      </w:r>
      <w:r>
        <w:rPr>
          <w:color w:val="231F20"/>
          <w:w w:val="105"/>
        </w:rPr>
        <w:t>del</w:t>
      </w:r>
      <w:r>
        <w:rPr>
          <w:color w:val="231F20"/>
          <w:spacing w:val="-10"/>
          <w:w w:val="105"/>
        </w:rPr>
        <w:t> </w:t>
      </w:r>
      <w:r>
        <w:rPr>
          <w:color w:val="231F20"/>
          <w:spacing w:val="-3"/>
          <w:w w:val="105"/>
        </w:rPr>
        <w:t>PRD.</w:t>
      </w:r>
    </w:p>
    <w:p>
      <w:pPr>
        <w:pStyle w:val="BodyText"/>
        <w:spacing w:before="1"/>
        <w:rPr>
          <w:sz w:val="26"/>
        </w:rPr>
      </w:pPr>
    </w:p>
    <w:p>
      <w:pPr>
        <w:pStyle w:val="BodyText"/>
        <w:spacing w:line="285" w:lineRule="auto"/>
        <w:ind w:left="110" w:right="108"/>
        <w:jc w:val="both"/>
      </w:pPr>
      <w:r>
        <w:rPr>
          <w:color w:val="231F20"/>
          <w:w w:val="105"/>
        </w:rPr>
        <w:t>Con la llegada a la presidencia municipal de Nezahualcóyotl por parte de MOVIDIG, en</w:t>
      </w:r>
      <w:r>
        <w:rPr>
          <w:color w:val="231F20"/>
          <w:spacing w:val="-10"/>
          <w:w w:val="105"/>
        </w:rPr>
        <w:t> </w:t>
      </w:r>
      <w:r>
        <w:rPr>
          <w:color w:val="231F20"/>
          <w:w w:val="105"/>
        </w:rPr>
        <w:t>la</w:t>
      </w:r>
      <w:r>
        <w:rPr>
          <w:color w:val="231F20"/>
          <w:spacing w:val="-10"/>
          <w:w w:val="105"/>
        </w:rPr>
        <w:t> </w:t>
      </w:r>
      <w:r>
        <w:rPr>
          <w:color w:val="231F20"/>
          <w:w w:val="105"/>
        </w:rPr>
        <w:t>persona</w:t>
      </w:r>
      <w:r>
        <w:rPr>
          <w:color w:val="231F20"/>
          <w:spacing w:val="-10"/>
          <w:w w:val="105"/>
        </w:rPr>
        <w:t> </w:t>
      </w:r>
      <w:r>
        <w:rPr>
          <w:color w:val="231F20"/>
          <w:w w:val="105"/>
        </w:rPr>
        <w:t>del</w:t>
      </w:r>
      <w:r>
        <w:rPr>
          <w:color w:val="231F20"/>
          <w:spacing w:val="-10"/>
          <w:w w:val="105"/>
        </w:rPr>
        <w:t> </w:t>
      </w:r>
      <w:r>
        <w:rPr>
          <w:color w:val="231F20"/>
          <w:w w:val="105"/>
        </w:rPr>
        <w:t>Héctor</w:t>
      </w:r>
      <w:r>
        <w:rPr>
          <w:color w:val="231F20"/>
          <w:spacing w:val="-10"/>
          <w:w w:val="105"/>
        </w:rPr>
        <w:t> </w:t>
      </w:r>
      <w:r>
        <w:rPr>
          <w:color w:val="231F20"/>
          <w:w w:val="105"/>
        </w:rPr>
        <w:t>M.</w:t>
      </w:r>
      <w:r>
        <w:rPr>
          <w:color w:val="231F20"/>
          <w:spacing w:val="-10"/>
          <w:w w:val="105"/>
        </w:rPr>
        <w:t> </w:t>
      </w:r>
      <w:r>
        <w:rPr>
          <w:color w:val="231F20"/>
          <w:w w:val="105"/>
        </w:rPr>
        <w:t>Bautista</w:t>
      </w:r>
      <w:r>
        <w:rPr>
          <w:color w:val="231F20"/>
          <w:spacing w:val="-10"/>
          <w:w w:val="105"/>
        </w:rPr>
        <w:t> </w:t>
      </w:r>
      <w:r>
        <w:rPr>
          <w:color w:val="231F20"/>
          <w:w w:val="105"/>
        </w:rPr>
        <w:t>López,</w:t>
      </w:r>
      <w:r>
        <w:rPr>
          <w:color w:val="231F20"/>
          <w:spacing w:val="-10"/>
          <w:w w:val="105"/>
        </w:rPr>
        <w:t> </w:t>
      </w:r>
      <w:r>
        <w:rPr>
          <w:color w:val="231F20"/>
          <w:w w:val="105"/>
        </w:rPr>
        <w:t>se</w:t>
      </w:r>
      <w:r>
        <w:rPr>
          <w:color w:val="231F20"/>
          <w:spacing w:val="-10"/>
          <w:w w:val="105"/>
        </w:rPr>
        <w:t> </w:t>
      </w:r>
      <w:r>
        <w:rPr>
          <w:color w:val="231F20"/>
          <w:w w:val="105"/>
        </w:rPr>
        <w:t>pone</w:t>
      </w:r>
      <w:r>
        <w:rPr>
          <w:color w:val="231F20"/>
          <w:spacing w:val="-10"/>
          <w:w w:val="105"/>
        </w:rPr>
        <w:t> </w:t>
      </w:r>
      <w:r>
        <w:rPr>
          <w:color w:val="231F20"/>
          <w:w w:val="105"/>
        </w:rPr>
        <w:t>de</w:t>
      </w:r>
      <w:r>
        <w:rPr>
          <w:color w:val="231F20"/>
          <w:spacing w:val="-10"/>
          <w:w w:val="105"/>
        </w:rPr>
        <w:t> </w:t>
      </w:r>
      <w:r>
        <w:rPr>
          <w:color w:val="231F20"/>
          <w:w w:val="105"/>
        </w:rPr>
        <w:t>manifiesto</w:t>
      </w:r>
      <w:r>
        <w:rPr>
          <w:color w:val="231F20"/>
          <w:spacing w:val="-10"/>
          <w:w w:val="105"/>
        </w:rPr>
        <w:t> </w:t>
      </w:r>
      <w:r>
        <w:rPr>
          <w:color w:val="231F20"/>
          <w:w w:val="105"/>
        </w:rPr>
        <w:t>la</w:t>
      </w:r>
      <w:r>
        <w:rPr>
          <w:color w:val="231F20"/>
          <w:spacing w:val="-10"/>
          <w:w w:val="105"/>
        </w:rPr>
        <w:t> </w:t>
      </w:r>
      <w:r>
        <w:rPr>
          <w:color w:val="231F20"/>
          <w:w w:val="105"/>
        </w:rPr>
        <w:t>fortaleza</w:t>
      </w:r>
      <w:r>
        <w:rPr>
          <w:color w:val="231F20"/>
          <w:spacing w:val="-10"/>
          <w:w w:val="105"/>
        </w:rPr>
        <w:t> </w:t>
      </w:r>
      <w:r>
        <w:rPr>
          <w:color w:val="231F20"/>
          <w:w w:val="105"/>
        </w:rPr>
        <w:t>y</w:t>
      </w:r>
      <w:r>
        <w:rPr>
          <w:color w:val="231F20"/>
          <w:spacing w:val="-10"/>
          <w:w w:val="105"/>
        </w:rPr>
        <w:t> </w:t>
      </w:r>
      <w:r>
        <w:rPr>
          <w:color w:val="231F20"/>
          <w:w w:val="105"/>
        </w:rPr>
        <w:t>supre- macía de esta organización tanto </w:t>
      </w:r>
      <w:r>
        <w:rPr>
          <w:color w:val="231F20"/>
          <w:spacing w:val="2"/>
          <w:w w:val="105"/>
        </w:rPr>
        <w:t>al </w:t>
      </w:r>
      <w:r>
        <w:rPr>
          <w:color w:val="231F20"/>
          <w:w w:val="105"/>
        </w:rPr>
        <w:t>interior del municipio como en la entidad, pues se ha</w:t>
      </w:r>
      <w:r>
        <w:rPr>
          <w:color w:val="231F20"/>
          <w:spacing w:val="-13"/>
          <w:w w:val="105"/>
        </w:rPr>
        <w:t> </w:t>
      </w:r>
      <w:r>
        <w:rPr>
          <w:color w:val="231F20"/>
          <w:w w:val="105"/>
        </w:rPr>
        <w:t>venido</w:t>
      </w:r>
      <w:r>
        <w:rPr>
          <w:color w:val="231F20"/>
          <w:spacing w:val="-13"/>
          <w:w w:val="105"/>
        </w:rPr>
        <w:t> </w:t>
      </w:r>
      <w:r>
        <w:rPr>
          <w:color w:val="231F20"/>
          <w:w w:val="105"/>
        </w:rPr>
        <w:t>consolidando</w:t>
      </w:r>
      <w:r>
        <w:rPr>
          <w:color w:val="231F20"/>
          <w:spacing w:val="-13"/>
          <w:w w:val="105"/>
        </w:rPr>
        <w:t> </w:t>
      </w:r>
      <w:r>
        <w:rPr>
          <w:color w:val="231F20"/>
          <w:w w:val="105"/>
        </w:rPr>
        <w:t>como</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grupos</w:t>
      </w:r>
      <w:r>
        <w:rPr>
          <w:color w:val="231F20"/>
          <w:spacing w:val="-13"/>
          <w:w w:val="105"/>
        </w:rPr>
        <w:t> </w:t>
      </w:r>
      <w:r>
        <w:rPr>
          <w:color w:val="231F20"/>
          <w:w w:val="105"/>
        </w:rPr>
        <w:t>políticos</w:t>
      </w:r>
      <w:r>
        <w:rPr>
          <w:color w:val="231F20"/>
          <w:spacing w:val="-13"/>
          <w:w w:val="105"/>
        </w:rPr>
        <w:t> </w:t>
      </w:r>
      <w:r>
        <w:rPr>
          <w:color w:val="231F20"/>
          <w:w w:val="105"/>
        </w:rPr>
        <w:t>con</w:t>
      </w:r>
      <w:r>
        <w:rPr>
          <w:color w:val="231F20"/>
          <w:spacing w:val="-13"/>
          <w:w w:val="105"/>
        </w:rPr>
        <w:t> </w:t>
      </w:r>
      <w:r>
        <w:rPr>
          <w:color w:val="231F20"/>
          <w:w w:val="105"/>
        </w:rPr>
        <w:t>mayor</w:t>
      </w:r>
      <w:r>
        <w:rPr>
          <w:color w:val="231F20"/>
          <w:spacing w:val="-13"/>
          <w:w w:val="105"/>
        </w:rPr>
        <w:t> </w:t>
      </w:r>
      <w:r>
        <w:rPr>
          <w:color w:val="231F20"/>
          <w:w w:val="105"/>
        </w:rPr>
        <w:t>poder;</w:t>
      </w:r>
      <w:r>
        <w:rPr>
          <w:color w:val="231F20"/>
          <w:spacing w:val="-13"/>
          <w:w w:val="105"/>
        </w:rPr>
        <w:t> </w:t>
      </w:r>
      <w:r>
        <w:rPr>
          <w:color w:val="231F20"/>
          <w:w w:val="105"/>
        </w:rPr>
        <w:t>muestra</w:t>
      </w:r>
      <w:r>
        <w:rPr>
          <w:color w:val="231F20"/>
          <w:spacing w:val="-13"/>
          <w:w w:val="105"/>
        </w:rPr>
        <w:t> </w:t>
      </w:r>
      <w:r>
        <w:rPr>
          <w:color w:val="231F20"/>
          <w:w w:val="105"/>
        </w:rPr>
        <w:t>de ello</w:t>
      </w:r>
      <w:r>
        <w:rPr>
          <w:color w:val="231F20"/>
          <w:spacing w:val="-8"/>
          <w:w w:val="105"/>
        </w:rPr>
        <w:t> </w:t>
      </w:r>
      <w:r>
        <w:rPr>
          <w:color w:val="231F20"/>
          <w:w w:val="105"/>
        </w:rPr>
        <w:t>es</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siguientes</w:t>
      </w:r>
      <w:r>
        <w:rPr>
          <w:color w:val="231F20"/>
          <w:spacing w:val="-8"/>
          <w:w w:val="105"/>
        </w:rPr>
        <w:t> </w:t>
      </w:r>
      <w:r>
        <w:rPr>
          <w:color w:val="231F20"/>
          <w:w w:val="105"/>
        </w:rPr>
        <w:t>alcaldes</w:t>
      </w:r>
      <w:r>
        <w:rPr>
          <w:color w:val="231F20"/>
          <w:spacing w:val="-8"/>
          <w:w w:val="105"/>
        </w:rPr>
        <w:t> </w:t>
      </w:r>
      <w:r>
        <w:rPr>
          <w:color w:val="231F20"/>
          <w:w w:val="105"/>
        </w:rPr>
        <w:t>de</w:t>
      </w:r>
      <w:r>
        <w:rPr>
          <w:color w:val="231F20"/>
          <w:spacing w:val="-8"/>
          <w:w w:val="105"/>
        </w:rPr>
        <w:t> </w:t>
      </w:r>
      <w:r>
        <w:rPr>
          <w:color w:val="231F20"/>
          <w:w w:val="105"/>
        </w:rPr>
        <w:t>Nezahualcóyotl</w:t>
      </w:r>
      <w:r>
        <w:rPr>
          <w:color w:val="231F20"/>
          <w:spacing w:val="-8"/>
          <w:w w:val="105"/>
        </w:rPr>
        <w:t> </w:t>
      </w:r>
      <w:r>
        <w:rPr>
          <w:color w:val="231F20"/>
          <w:spacing w:val="2"/>
          <w:w w:val="105"/>
        </w:rPr>
        <w:t>van</w:t>
      </w:r>
      <w:r>
        <w:rPr>
          <w:color w:val="231F20"/>
          <w:spacing w:val="-8"/>
          <w:w w:val="105"/>
        </w:rPr>
        <w:t> </w:t>
      </w:r>
      <w:r>
        <w:rPr>
          <w:color w:val="231F20"/>
          <w:w w:val="105"/>
        </w:rPr>
        <w:t>a</w:t>
      </w:r>
      <w:r>
        <w:rPr>
          <w:color w:val="231F20"/>
          <w:spacing w:val="-8"/>
          <w:w w:val="105"/>
        </w:rPr>
        <w:t> </w:t>
      </w:r>
      <w:r>
        <w:rPr>
          <w:color w:val="231F20"/>
          <w:w w:val="105"/>
        </w:rPr>
        <w:t>surgir</w:t>
      </w:r>
      <w:r>
        <w:rPr>
          <w:color w:val="231F20"/>
          <w:spacing w:val="-8"/>
          <w:w w:val="105"/>
        </w:rPr>
        <w:t> </w:t>
      </w:r>
      <w:r>
        <w:rPr>
          <w:color w:val="231F20"/>
          <w:w w:val="105"/>
        </w:rPr>
        <w:t>precisamente</w:t>
      </w:r>
      <w:r>
        <w:rPr>
          <w:color w:val="231F20"/>
          <w:spacing w:val="-8"/>
          <w:w w:val="105"/>
        </w:rPr>
        <w:t> </w:t>
      </w:r>
      <w:r>
        <w:rPr>
          <w:color w:val="231F20"/>
          <w:w w:val="105"/>
        </w:rPr>
        <w:t>de</w:t>
      </w:r>
      <w:r>
        <w:rPr>
          <w:color w:val="231F20"/>
          <w:spacing w:val="-8"/>
          <w:w w:val="105"/>
        </w:rPr>
        <w:t> </w:t>
      </w:r>
      <w:r>
        <w:rPr>
          <w:color w:val="231F20"/>
          <w:w w:val="105"/>
        </w:rPr>
        <w:t>esta organización</w:t>
      </w:r>
      <w:r>
        <w:rPr>
          <w:color w:val="231F20"/>
          <w:spacing w:val="-39"/>
          <w:w w:val="105"/>
        </w:rPr>
        <w:t> </w:t>
      </w:r>
      <w:r>
        <w:rPr>
          <w:color w:val="231F20"/>
          <w:w w:val="105"/>
        </w:rPr>
        <w:t>política.</w:t>
      </w:r>
    </w:p>
    <w:p>
      <w:pPr>
        <w:pStyle w:val="BodyText"/>
        <w:spacing w:before="1"/>
        <w:rPr>
          <w:sz w:val="26"/>
        </w:rPr>
      </w:pPr>
    </w:p>
    <w:p>
      <w:pPr>
        <w:pStyle w:val="BodyText"/>
        <w:ind w:left="110"/>
        <w:jc w:val="both"/>
      </w:pPr>
      <w:r>
        <w:rPr>
          <w:color w:val="231F20"/>
          <w:w w:val="105"/>
        </w:rPr>
        <w:t>Para los comicios de 2003 el PRD nuevamente ratifica su triunfo electoral en el muni-</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cipio con un incremento importante de su porcentaje de votación </w:t>
      </w:r>
      <w:r>
        <w:rPr>
          <w:color w:val="231F20"/>
          <w:spacing w:val="-4"/>
          <w:w w:val="105"/>
        </w:rPr>
        <w:t>(50.6%), </w:t>
      </w:r>
      <w:r>
        <w:rPr>
          <w:color w:val="231F20"/>
          <w:w w:val="105"/>
        </w:rPr>
        <w:t>llevando a la alcandía a </w:t>
      </w:r>
      <w:r>
        <w:rPr>
          <w:color w:val="231F20"/>
          <w:spacing w:val="-3"/>
          <w:w w:val="105"/>
        </w:rPr>
        <w:t>Venancio </w:t>
      </w:r>
      <w:r>
        <w:rPr>
          <w:color w:val="231F20"/>
          <w:w w:val="105"/>
        </w:rPr>
        <w:t>Luis Sánchez Jiménez, quien había fungido como secretario</w:t>
      </w:r>
      <w:r>
        <w:rPr>
          <w:color w:val="231F20"/>
          <w:spacing w:val="-36"/>
          <w:w w:val="105"/>
        </w:rPr>
        <w:t> </w:t>
      </w:r>
      <w:r>
        <w:rPr>
          <w:color w:val="231F20"/>
          <w:w w:val="105"/>
        </w:rPr>
        <w:t>de gobierno</w:t>
      </w:r>
      <w:r>
        <w:rPr>
          <w:color w:val="231F20"/>
          <w:spacing w:val="-12"/>
          <w:w w:val="105"/>
        </w:rPr>
        <w:t> </w:t>
      </w:r>
      <w:r>
        <w:rPr>
          <w:color w:val="231F20"/>
          <w:w w:val="105"/>
        </w:rPr>
        <w:t>de</w:t>
      </w:r>
      <w:r>
        <w:rPr>
          <w:color w:val="231F20"/>
          <w:spacing w:val="-12"/>
          <w:w w:val="105"/>
        </w:rPr>
        <w:t> </w:t>
      </w:r>
      <w:r>
        <w:rPr>
          <w:color w:val="231F20"/>
          <w:w w:val="105"/>
        </w:rPr>
        <w:t>Héctor</w:t>
      </w:r>
      <w:r>
        <w:rPr>
          <w:color w:val="231F20"/>
          <w:spacing w:val="-12"/>
          <w:w w:val="105"/>
        </w:rPr>
        <w:t> </w:t>
      </w:r>
      <w:r>
        <w:rPr>
          <w:color w:val="231F20"/>
          <w:w w:val="105"/>
        </w:rPr>
        <w:t>M.</w:t>
      </w:r>
      <w:r>
        <w:rPr>
          <w:color w:val="231F20"/>
          <w:spacing w:val="-12"/>
          <w:w w:val="105"/>
        </w:rPr>
        <w:t> </w:t>
      </w:r>
      <w:r>
        <w:rPr>
          <w:color w:val="231F20"/>
          <w:w w:val="105"/>
        </w:rPr>
        <w:t>Bautista</w:t>
      </w:r>
      <w:r>
        <w:rPr>
          <w:color w:val="231F20"/>
          <w:spacing w:val="-12"/>
          <w:w w:val="105"/>
        </w:rPr>
        <w:t> </w:t>
      </w:r>
      <w:r>
        <w:rPr>
          <w:color w:val="231F20"/>
          <w:w w:val="105"/>
        </w:rPr>
        <w:t>López.</w:t>
      </w:r>
      <w:r>
        <w:rPr>
          <w:color w:val="231F20"/>
          <w:spacing w:val="-12"/>
          <w:w w:val="105"/>
        </w:rPr>
        <w:t> </w:t>
      </w:r>
      <w:r>
        <w:rPr>
          <w:color w:val="231F20"/>
          <w:w w:val="105"/>
        </w:rPr>
        <w:t>Finalmente</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electoral</w:t>
      </w:r>
      <w:r>
        <w:rPr>
          <w:color w:val="231F20"/>
          <w:spacing w:val="-12"/>
          <w:w w:val="105"/>
        </w:rPr>
        <w:t> </w:t>
      </w:r>
      <w:r>
        <w:rPr>
          <w:color w:val="231F20"/>
          <w:w w:val="105"/>
        </w:rPr>
        <w:t>de</w:t>
      </w:r>
      <w:r>
        <w:rPr>
          <w:color w:val="231F20"/>
          <w:spacing w:val="-12"/>
          <w:w w:val="105"/>
        </w:rPr>
        <w:t> </w:t>
      </w:r>
      <w:r>
        <w:rPr>
          <w:color w:val="231F20"/>
          <w:spacing w:val="3"/>
          <w:w w:val="105"/>
        </w:rPr>
        <w:t>2006</w:t>
      </w:r>
      <w:r>
        <w:rPr>
          <w:color w:val="231F20"/>
          <w:spacing w:val="-12"/>
          <w:w w:val="105"/>
        </w:rPr>
        <w:t> </w:t>
      </w:r>
      <w:r>
        <w:rPr>
          <w:color w:val="231F20"/>
          <w:w w:val="105"/>
        </w:rPr>
        <w:t>el PRD repite su triunfo con 56.3 por ciento de los votos, ratificando su predomino elec- toral y llevando a la presidencia municipal a Víctor Bautista López, hermano del líder moral</w:t>
      </w:r>
      <w:r>
        <w:rPr>
          <w:color w:val="231F20"/>
          <w:spacing w:val="-29"/>
          <w:w w:val="105"/>
        </w:rPr>
        <w:t> </w:t>
      </w:r>
      <w:r>
        <w:rPr>
          <w:color w:val="231F20"/>
          <w:w w:val="105"/>
        </w:rPr>
        <w:t>de</w:t>
      </w:r>
      <w:r>
        <w:rPr>
          <w:color w:val="231F20"/>
          <w:spacing w:val="-29"/>
          <w:w w:val="105"/>
        </w:rPr>
        <w:t> </w:t>
      </w:r>
      <w:r>
        <w:rPr>
          <w:color w:val="231F20"/>
          <w:w w:val="105"/>
        </w:rPr>
        <w:t>MOVIDIG.</w:t>
      </w:r>
    </w:p>
    <w:p>
      <w:pPr>
        <w:pStyle w:val="BodyText"/>
        <w:spacing w:before="1"/>
        <w:rPr>
          <w:sz w:val="26"/>
        </w:rPr>
      </w:pPr>
    </w:p>
    <w:p>
      <w:pPr>
        <w:pStyle w:val="BodyText"/>
        <w:spacing w:line="285" w:lineRule="auto"/>
        <w:ind w:left="110" w:right="107"/>
        <w:jc w:val="both"/>
      </w:pPr>
      <w:r>
        <w:rPr>
          <w:color w:val="231F20"/>
          <w:w w:val="105"/>
        </w:rPr>
        <w:t>Es</w:t>
      </w:r>
      <w:r>
        <w:rPr>
          <w:color w:val="231F20"/>
          <w:spacing w:val="-11"/>
          <w:w w:val="105"/>
        </w:rPr>
        <w:t> </w:t>
      </w:r>
      <w:r>
        <w:rPr>
          <w:color w:val="231F20"/>
          <w:w w:val="105"/>
        </w:rPr>
        <w:t>importante</w:t>
      </w:r>
      <w:r>
        <w:rPr>
          <w:color w:val="231F20"/>
          <w:spacing w:val="-11"/>
          <w:w w:val="105"/>
        </w:rPr>
        <w:t> </w:t>
      </w:r>
      <w:r>
        <w:rPr>
          <w:color w:val="231F20"/>
          <w:w w:val="105"/>
        </w:rPr>
        <w:t>resaltar</w:t>
      </w:r>
      <w:r>
        <w:rPr>
          <w:color w:val="231F20"/>
          <w:spacing w:val="-11"/>
          <w:w w:val="105"/>
        </w:rPr>
        <w:t> </w:t>
      </w:r>
      <w:r>
        <w:rPr>
          <w:color w:val="231F20"/>
          <w:w w:val="105"/>
        </w:rPr>
        <w:t>que</w:t>
      </w:r>
      <w:r>
        <w:rPr>
          <w:color w:val="231F20"/>
          <w:spacing w:val="-11"/>
          <w:w w:val="105"/>
        </w:rPr>
        <w:t> </w:t>
      </w:r>
      <w:r>
        <w:rPr>
          <w:color w:val="231F20"/>
          <w:w w:val="105"/>
        </w:rPr>
        <w:t>desde</w:t>
      </w:r>
      <w:r>
        <w:rPr>
          <w:color w:val="231F20"/>
          <w:spacing w:val="-11"/>
          <w:w w:val="105"/>
        </w:rPr>
        <w:t> </w:t>
      </w:r>
      <w:r>
        <w:rPr>
          <w:color w:val="231F20"/>
          <w:w w:val="105"/>
        </w:rPr>
        <w:t>la</w:t>
      </w:r>
      <w:r>
        <w:rPr>
          <w:color w:val="231F20"/>
          <w:spacing w:val="-11"/>
          <w:w w:val="105"/>
        </w:rPr>
        <w:t> </w:t>
      </w:r>
      <w:r>
        <w:rPr>
          <w:color w:val="231F20"/>
          <w:w w:val="105"/>
        </w:rPr>
        <w:t>llegada</w:t>
      </w:r>
      <w:r>
        <w:rPr>
          <w:color w:val="231F20"/>
          <w:spacing w:val="-11"/>
          <w:w w:val="105"/>
        </w:rPr>
        <w:t> </w:t>
      </w:r>
      <w:r>
        <w:rPr>
          <w:color w:val="231F20"/>
          <w:spacing w:val="2"/>
          <w:w w:val="105"/>
        </w:rPr>
        <w:t>al</w:t>
      </w:r>
      <w:r>
        <w:rPr>
          <w:color w:val="231F20"/>
          <w:spacing w:val="-11"/>
          <w:w w:val="105"/>
        </w:rPr>
        <w:t> </w:t>
      </w:r>
      <w:r>
        <w:rPr>
          <w:color w:val="231F20"/>
          <w:w w:val="105"/>
        </w:rPr>
        <w:t>poder</w:t>
      </w:r>
      <w:r>
        <w:rPr>
          <w:color w:val="231F20"/>
          <w:spacing w:val="-11"/>
          <w:w w:val="105"/>
        </w:rPr>
        <w:t> </w:t>
      </w:r>
      <w:r>
        <w:rPr>
          <w:color w:val="231F20"/>
          <w:w w:val="105"/>
        </w:rPr>
        <w:t>del</w:t>
      </w:r>
      <w:r>
        <w:rPr>
          <w:color w:val="231F20"/>
          <w:spacing w:val="-11"/>
          <w:w w:val="105"/>
        </w:rPr>
        <w:t> </w:t>
      </w:r>
      <w:r>
        <w:rPr>
          <w:color w:val="231F20"/>
          <w:w w:val="105"/>
        </w:rPr>
        <w:t>PRD</w:t>
      </w:r>
      <w:r>
        <w:rPr>
          <w:color w:val="231F20"/>
          <w:spacing w:val="-11"/>
          <w:w w:val="105"/>
        </w:rPr>
        <w:t> </w:t>
      </w:r>
      <w:r>
        <w:rPr>
          <w:color w:val="231F20"/>
          <w:spacing w:val="2"/>
          <w:w w:val="105"/>
        </w:rPr>
        <w:t>al</w:t>
      </w:r>
      <w:r>
        <w:rPr>
          <w:color w:val="231F20"/>
          <w:spacing w:val="-11"/>
          <w:w w:val="105"/>
        </w:rPr>
        <w:t> </w:t>
      </w:r>
      <w:r>
        <w:rPr>
          <w:color w:val="231F20"/>
          <w:w w:val="105"/>
        </w:rPr>
        <w:t>gobierno</w:t>
      </w:r>
      <w:r>
        <w:rPr>
          <w:color w:val="231F20"/>
          <w:spacing w:val="-11"/>
          <w:w w:val="105"/>
        </w:rPr>
        <w:t> </w:t>
      </w:r>
      <w:r>
        <w:rPr>
          <w:color w:val="231F20"/>
          <w:w w:val="105"/>
        </w:rPr>
        <w:t>del</w:t>
      </w:r>
      <w:r>
        <w:rPr>
          <w:color w:val="231F20"/>
          <w:spacing w:val="-11"/>
          <w:w w:val="105"/>
        </w:rPr>
        <w:t> </w:t>
      </w:r>
      <w:r>
        <w:rPr>
          <w:color w:val="231F20"/>
          <w:w w:val="105"/>
        </w:rPr>
        <w:t>municipio de Nezahualcóyotl, sus porcentajes de votación han presentado una tendencia ascen- dente</w:t>
      </w:r>
      <w:r>
        <w:rPr>
          <w:color w:val="231F20"/>
          <w:spacing w:val="-13"/>
          <w:w w:val="105"/>
        </w:rPr>
        <w:t> </w:t>
      </w:r>
      <w:r>
        <w:rPr>
          <w:color w:val="231F20"/>
          <w:w w:val="105"/>
        </w:rPr>
        <w:t>desde</w:t>
      </w:r>
      <w:r>
        <w:rPr>
          <w:color w:val="231F20"/>
          <w:spacing w:val="-13"/>
          <w:w w:val="105"/>
        </w:rPr>
        <w:t> </w:t>
      </w:r>
      <w:r>
        <w:rPr>
          <w:color w:val="231F20"/>
          <w:w w:val="105"/>
        </w:rPr>
        <w:t>1996</w:t>
      </w:r>
      <w:r>
        <w:rPr>
          <w:color w:val="231F20"/>
          <w:spacing w:val="-13"/>
          <w:w w:val="105"/>
        </w:rPr>
        <w:t> </w:t>
      </w:r>
      <w:r>
        <w:rPr>
          <w:color w:val="231F20"/>
          <w:w w:val="105"/>
        </w:rPr>
        <w:t>hasta</w:t>
      </w:r>
      <w:r>
        <w:rPr>
          <w:color w:val="231F20"/>
          <w:spacing w:val="-13"/>
          <w:w w:val="105"/>
        </w:rPr>
        <w:t> </w:t>
      </w:r>
      <w:r>
        <w:rPr>
          <w:color w:val="231F20"/>
          <w:w w:val="105"/>
        </w:rPr>
        <w:t>el</w:t>
      </w:r>
      <w:r>
        <w:rPr>
          <w:color w:val="231F20"/>
          <w:spacing w:val="-13"/>
          <w:w w:val="105"/>
        </w:rPr>
        <w:t> </w:t>
      </w:r>
      <w:r>
        <w:rPr>
          <w:color w:val="231F20"/>
          <w:spacing w:val="3"/>
          <w:w w:val="105"/>
        </w:rPr>
        <w:t>2006,</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hablaría</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mayor</w:t>
      </w:r>
      <w:r>
        <w:rPr>
          <w:color w:val="231F20"/>
          <w:spacing w:val="-13"/>
          <w:w w:val="105"/>
        </w:rPr>
        <w:t> </w:t>
      </w:r>
      <w:r>
        <w:rPr>
          <w:color w:val="231F20"/>
          <w:w w:val="105"/>
        </w:rPr>
        <w:t>fortaleza</w:t>
      </w:r>
      <w:r>
        <w:rPr>
          <w:color w:val="231F20"/>
          <w:spacing w:val="-13"/>
          <w:w w:val="105"/>
        </w:rPr>
        <w:t> </w:t>
      </w:r>
      <w:r>
        <w:rPr>
          <w:color w:val="231F20"/>
          <w:w w:val="105"/>
        </w:rPr>
        <w:t>y</w:t>
      </w:r>
      <w:r>
        <w:rPr>
          <w:color w:val="231F20"/>
          <w:spacing w:val="-13"/>
          <w:w w:val="105"/>
        </w:rPr>
        <w:t> </w:t>
      </w:r>
      <w:r>
        <w:rPr>
          <w:color w:val="231F20"/>
          <w:w w:val="105"/>
        </w:rPr>
        <w:t>consolidación de</w:t>
      </w:r>
      <w:r>
        <w:rPr>
          <w:color w:val="231F20"/>
          <w:spacing w:val="-7"/>
          <w:w w:val="105"/>
        </w:rPr>
        <w:t> </w:t>
      </w:r>
      <w:r>
        <w:rPr>
          <w:color w:val="231F20"/>
          <w:w w:val="105"/>
        </w:rPr>
        <w:t>su</w:t>
      </w:r>
      <w:r>
        <w:rPr>
          <w:color w:val="231F20"/>
          <w:spacing w:val="-7"/>
          <w:w w:val="105"/>
        </w:rPr>
        <w:t> </w:t>
      </w:r>
      <w:r>
        <w:rPr>
          <w:color w:val="231F20"/>
          <w:w w:val="105"/>
        </w:rPr>
        <w:t>poder</w:t>
      </w:r>
      <w:r>
        <w:rPr>
          <w:color w:val="231F20"/>
          <w:spacing w:val="-7"/>
          <w:w w:val="105"/>
        </w:rPr>
        <w:t> </w:t>
      </w:r>
      <w:r>
        <w:rPr>
          <w:color w:val="231F20"/>
          <w:w w:val="105"/>
        </w:rPr>
        <w:t>electoral,</w:t>
      </w:r>
      <w:r>
        <w:rPr>
          <w:color w:val="231F20"/>
          <w:spacing w:val="-7"/>
          <w:w w:val="105"/>
        </w:rPr>
        <w:t> </w:t>
      </w:r>
      <w:r>
        <w:rPr>
          <w:color w:val="231F20"/>
          <w:w w:val="105"/>
        </w:rPr>
        <w:t>que</w:t>
      </w:r>
      <w:r>
        <w:rPr>
          <w:color w:val="231F20"/>
          <w:spacing w:val="-7"/>
          <w:w w:val="105"/>
        </w:rPr>
        <w:t> </w:t>
      </w:r>
      <w:r>
        <w:rPr>
          <w:color w:val="231F20"/>
          <w:w w:val="105"/>
        </w:rPr>
        <w:t>le</w:t>
      </w:r>
      <w:r>
        <w:rPr>
          <w:color w:val="231F20"/>
          <w:spacing w:val="-7"/>
          <w:w w:val="105"/>
        </w:rPr>
        <w:t> </w:t>
      </w:r>
      <w:r>
        <w:rPr>
          <w:color w:val="231F20"/>
          <w:w w:val="105"/>
        </w:rPr>
        <w:t>ha</w:t>
      </w:r>
      <w:r>
        <w:rPr>
          <w:color w:val="231F20"/>
          <w:spacing w:val="-7"/>
          <w:w w:val="105"/>
        </w:rPr>
        <w:t> </w:t>
      </w:r>
      <w:r>
        <w:rPr>
          <w:color w:val="231F20"/>
          <w:w w:val="105"/>
        </w:rPr>
        <w:t>significado</w:t>
      </w:r>
      <w:r>
        <w:rPr>
          <w:color w:val="231F20"/>
          <w:spacing w:val="-7"/>
          <w:w w:val="105"/>
        </w:rPr>
        <w:t> </w:t>
      </w:r>
      <w:r>
        <w:rPr>
          <w:color w:val="231F20"/>
          <w:w w:val="105"/>
        </w:rPr>
        <w:t>obtener</w:t>
      </w:r>
      <w:r>
        <w:rPr>
          <w:color w:val="231F20"/>
          <w:spacing w:val="-7"/>
          <w:w w:val="105"/>
        </w:rPr>
        <w:t> </w:t>
      </w:r>
      <w:r>
        <w:rPr>
          <w:color w:val="231F20"/>
          <w:w w:val="105"/>
        </w:rPr>
        <w:t>triunfos</w:t>
      </w:r>
      <w:r>
        <w:rPr>
          <w:color w:val="231F20"/>
          <w:spacing w:val="-7"/>
          <w:w w:val="105"/>
        </w:rPr>
        <w:t> </w:t>
      </w:r>
      <w:r>
        <w:rPr>
          <w:color w:val="231F20"/>
          <w:w w:val="105"/>
        </w:rPr>
        <w:t>cada</w:t>
      </w:r>
      <w:r>
        <w:rPr>
          <w:color w:val="231F20"/>
          <w:spacing w:val="-7"/>
          <w:w w:val="105"/>
        </w:rPr>
        <w:t> </w:t>
      </w:r>
      <w:r>
        <w:rPr>
          <w:color w:val="231F20"/>
          <w:w w:val="105"/>
        </w:rPr>
        <w:t>vez</w:t>
      </w:r>
      <w:r>
        <w:rPr>
          <w:color w:val="231F20"/>
          <w:spacing w:val="-7"/>
          <w:w w:val="105"/>
        </w:rPr>
        <w:t> </w:t>
      </w:r>
      <w:r>
        <w:rPr>
          <w:color w:val="231F20"/>
          <w:w w:val="105"/>
        </w:rPr>
        <w:t>más</w:t>
      </w:r>
      <w:r>
        <w:rPr>
          <w:color w:val="231F20"/>
          <w:spacing w:val="-7"/>
          <w:w w:val="105"/>
        </w:rPr>
        <w:t> </w:t>
      </w:r>
      <w:r>
        <w:rPr>
          <w:color w:val="231F20"/>
          <w:w w:val="105"/>
        </w:rPr>
        <w:t>claros</w:t>
      </w:r>
      <w:r>
        <w:rPr>
          <w:color w:val="231F20"/>
          <w:spacing w:val="-7"/>
          <w:w w:val="105"/>
        </w:rPr>
        <w:t> </w:t>
      </w:r>
      <w:r>
        <w:rPr>
          <w:color w:val="231F20"/>
          <w:w w:val="105"/>
        </w:rPr>
        <w:t>y</w:t>
      </w:r>
      <w:r>
        <w:rPr>
          <w:color w:val="231F20"/>
          <w:spacing w:val="-7"/>
          <w:w w:val="105"/>
        </w:rPr>
        <w:t> </w:t>
      </w:r>
      <w:r>
        <w:rPr>
          <w:color w:val="231F20"/>
          <w:spacing w:val="-3"/>
          <w:w w:val="105"/>
        </w:rPr>
        <w:t>con- </w:t>
      </w:r>
      <w:r>
        <w:rPr>
          <w:color w:val="231F20"/>
          <w:w w:val="105"/>
        </w:rPr>
        <w:t>tundentes,</w:t>
      </w:r>
      <w:r>
        <w:rPr>
          <w:color w:val="231F20"/>
          <w:spacing w:val="-7"/>
          <w:w w:val="105"/>
        </w:rPr>
        <w:t> </w:t>
      </w: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contexto</w:t>
      </w:r>
      <w:r>
        <w:rPr>
          <w:color w:val="231F20"/>
          <w:spacing w:val="-7"/>
          <w:w w:val="105"/>
        </w:rPr>
        <w:t> </w:t>
      </w:r>
      <w:r>
        <w:rPr>
          <w:color w:val="231F20"/>
          <w:w w:val="105"/>
        </w:rPr>
        <w:t>competitivo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contienda</w:t>
      </w:r>
      <w:r>
        <w:rPr>
          <w:color w:val="231F20"/>
          <w:spacing w:val="-7"/>
          <w:w w:val="105"/>
        </w:rPr>
        <w:t> </w:t>
      </w:r>
      <w:r>
        <w:rPr>
          <w:color w:val="231F20"/>
          <w:w w:val="105"/>
        </w:rPr>
        <w:t>de</w:t>
      </w:r>
      <w:r>
        <w:rPr>
          <w:color w:val="231F20"/>
          <w:spacing w:val="-7"/>
          <w:w w:val="105"/>
        </w:rPr>
        <w:t> </w:t>
      </w:r>
      <w:r>
        <w:rPr>
          <w:color w:val="231F20"/>
          <w:w w:val="105"/>
        </w:rPr>
        <w:t>1996</w:t>
      </w:r>
      <w:r>
        <w:rPr>
          <w:color w:val="231F20"/>
          <w:spacing w:val="-7"/>
          <w:w w:val="105"/>
        </w:rPr>
        <w:t> </w:t>
      </w:r>
      <w:r>
        <w:rPr>
          <w:color w:val="231F20"/>
          <w:w w:val="105"/>
        </w:rPr>
        <w:t>entre</w:t>
      </w:r>
      <w:r>
        <w:rPr>
          <w:color w:val="231F20"/>
          <w:spacing w:val="-7"/>
          <w:w w:val="105"/>
        </w:rPr>
        <w:t> </w:t>
      </w:r>
      <w:r>
        <w:rPr>
          <w:color w:val="231F20"/>
          <w:spacing w:val="-3"/>
          <w:w w:val="105"/>
        </w:rPr>
        <w:t>PRD,</w:t>
      </w:r>
      <w:r>
        <w:rPr>
          <w:color w:val="231F20"/>
          <w:spacing w:val="-7"/>
          <w:w w:val="105"/>
        </w:rPr>
        <w:t> </w:t>
      </w:r>
      <w:r>
        <w:rPr>
          <w:color w:val="231F20"/>
          <w:w w:val="105"/>
        </w:rPr>
        <w:t>PRI</w:t>
      </w:r>
      <w:r>
        <w:rPr>
          <w:color w:val="231F20"/>
          <w:spacing w:val="-7"/>
          <w:w w:val="105"/>
        </w:rPr>
        <w:t> </w:t>
      </w:r>
      <w:r>
        <w:rPr>
          <w:color w:val="231F20"/>
          <w:w w:val="105"/>
        </w:rPr>
        <w:t>y</w:t>
      </w:r>
      <w:r>
        <w:rPr>
          <w:color w:val="231F20"/>
          <w:spacing w:val="-7"/>
          <w:w w:val="105"/>
        </w:rPr>
        <w:t> </w:t>
      </w:r>
      <w:r>
        <w:rPr>
          <w:color w:val="231F20"/>
          <w:spacing w:val="-4"/>
          <w:w w:val="105"/>
        </w:rPr>
        <w:t>PAN, </w:t>
      </w:r>
      <w:r>
        <w:rPr>
          <w:color w:val="231F20"/>
          <w:w w:val="105"/>
        </w:rPr>
        <w:t>que ha ido transformándose de elección en elección hacia una menor competitividad, dominada</w:t>
      </w:r>
      <w:r>
        <w:rPr>
          <w:color w:val="231F20"/>
          <w:spacing w:val="-12"/>
          <w:w w:val="105"/>
        </w:rPr>
        <w:t> </w:t>
      </w:r>
      <w:r>
        <w:rPr>
          <w:color w:val="231F20"/>
          <w:w w:val="105"/>
        </w:rPr>
        <w:t>cada</w:t>
      </w:r>
      <w:r>
        <w:rPr>
          <w:color w:val="231F20"/>
          <w:spacing w:val="-12"/>
          <w:w w:val="105"/>
        </w:rPr>
        <w:t> </w:t>
      </w:r>
      <w:r>
        <w:rPr>
          <w:color w:val="231F20"/>
          <w:w w:val="105"/>
        </w:rPr>
        <w:t>vez</w:t>
      </w:r>
      <w:r>
        <w:rPr>
          <w:color w:val="231F20"/>
          <w:spacing w:val="-12"/>
          <w:w w:val="105"/>
        </w:rPr>
        <w:t> </w:t>
      </w:r>
      <w:r>
        <w:rPr>
          <w:color w:val="231F20"/>
          <w:w w:val="105"/>
        </w:rPr>
        <w:t>más</w:t>
      </w:r>
      <w:r>
        <w:rPr>
          <w:color w:val="231F20"/>
          <w:spacing w:val="-12"/>
          <w:w w:val="105"/>
        </w:rPr>
        <w:t> </w:t>
      </w:r>
      <w:r>
        <w:rPr>
          <w:color w:val="231F20"/>
          <w:w w:val="105"/>
        </w:rPr>
        <w:t>por</w:t>
      </w:r>
      <w:r>
        <w:rPr>
          <w:color w:val="231F20"/>
          <w:spacing w:val="-12"/>
          <w:w w:val="105"/>
        </w:rPr>
        <w:t> </w:t>
      </w:r>
      <w:r>
        <w:rPr>
          <w:color w:val="231F20"/>
          <w:w w:val="105"/>
        </w:rPr>
        <w:t>el</w:t>
      </w:r>
      <w:r>
        <w:rPr>
          <w:color w:val="231F20"/>
          <w:spacing w:val="-12"/>
          <w:w w:val="105"/>
        </w:rPr>
        <w:t> </w:t>
      </w:r>
      <w:r>
        <w:rPr>
          <w:color w:val="231F20"/>
          <w:spacing w:val="-3"/>
          <w:w w:val="105"/>
        </w:rPr>
        <w:t>PRD,</w:t>
      </w:r>
      <w:r>
        <w:rPr>
          <w:color w:val="231F20"/>
          <w:spacing w:val="-12"/>
          <w:w w:val="105"/>
        </w:rPr>
        <w:t> </w:t>
      </w:r>
      <w:r>
        <w:rPr>
          <w:color w:val="231F20"/>
          <w:w w:val="105"/>
        </w:rPr>
        <w:t>pues</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dos</w:t>
      </w:r>
      <w:r>
        <w:rPr>
          <w:color w:val="231F20"/>
          <w:spacing w:val="-12"/>
          <w:w w:val="105"/>
        </w:rPr>
        <w:t> </w:t>
      </w:r>
      <w:r>
        <w:rPr>
          <w:color w:val="231F20"/>
          <w:w w:val="105"/>
        </w:rPr>
        <w:t>últimos</w:t>
      </w:r>
      <w:r>
        <w:rPr>
          <w:color w:val="231F20"/>
          <w:spacing w:val="-12"/>
          <w:w w:val="105"/>
        </w:rPr>
        <w:t> </w:t>
      </w:r>
      <w:r>
        <w:rPr>
          <w:color w:val="231F20"/>
          <w:w w:val="105"/>
        </w:rPr>
        <w:t>comicios</w:t>
      </w:r>
      <w:r>
        <w:rPr>
          <w:color w:val="231F20"/>
          <w:spacing w:val="-12"/>
          <w:w w:val="105"/>
        </w:rPr>
        <w:t> </w:t>
      </w:r>
      <w:r>
        <w:rPr>
          <w:color w:val="231F20"/>
          <w:w w:val="105"/>
        </w:rPr>
        <w:t>electorales</w:t>
      </w:r>
      <w:r>
        <w:rPr>
          <w:color w:val="231F20"/>
          <w:spacing w:val="-12"/>
          <w:w w:val="105"/>
        </w:rPr>
        <w:t> </w:t>
      </w:r>
      <w:r>
        <w:rPr>
          <w:color w:val="231F20"/>
          <w:w w:val="105"/>
        </w:rPr>
        <w:t>ha</w:t>
      </w:r>
      <w:r>
        <w:rPr>
          <w:color w:val="231F20"/>
          <w:spacing w:val="-12"/>
          <w:w w:val="105"/>
        </w:rPr>
        <w:t> </w:t>
      </w:r>
      <w:r>
        <w:rPr>
          <w:color w:val="231F20"/>
          <w:w w:val="105"/>
        </w:rPr>
        <w:t>re- basado</w:t>
      </w:r>
      <w:r>
        <w:rPr>
          <w:color w:val="231F20"/>
          <w:spacing w:val="-9"/>
          <w:w w:val="105"/>
        </w:rPr>
        <w:t> </w:t>
      </w:r>
      <w:r>
        <w:rPr>
          <w:color w:val="231F20"/>
          <w:w w:val="105"/>
        </w:rPr>
        <w:t>el</w:t>
      </w:r>
      <w:r>
        <w:rPr>
          <w:color w:val="231F20"/>
          <w:spacing w:val="-9"/>
          <w:w w:val="105"/>
        </w:rPr>
        <w:t> </w:t>
      </w:r>
      <w:r>
        <w:rPr>
          <w:color w:val="231F20"/>
          <w:w w:val="105"/>
        </w:rPr>
        <w:t>50%</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votos,</w:t>
      </w:r>
      <w:r>
        <w:rPr>
          <w:color w:val="231F20"/>
          <w:spacing w:val="-9"/>
          <w:w w:val="105"/>
        </w:rPr>
        <w:t> </w:t>
      </w:r>
      <w:r>
        <w:rPr>
          <w:color w:val="231F20"/>
          <w:w w:val="105"/>
        </w:rPr>
        <w:t>contra</w:t>
      </w:r>
      <w:r>
        <w:rPr>
          <w:color w:val="231F20"/>
          <w:spacing w:val="-9"/>
          <w:w w:val="105"/>
        </w:rPr>
        <w:t> </w:t>
      </w:r>
      <w:r>
        <w:rPr>
          <w:color w:val="231F20"/>
          <w:w w:val="105"/>
        </w:rPr>
        <w:t>aproximadamente</w:t>
      </w:r>
      <w:r>
        <w:rPr>
          <w:color w:val="231F20"/>
          <w:spacing w:val="-9"/>
          <w:w w:val="105"/>
        </w:rPr>
        <w:t> </w:t>
      </w:r>
      <w:r>
        <w:rPr>
          <w:color w:val="231F20"/>
          <w:w w:val="105"/>
        </w:rPr>
        <w:t>el</w:t>
      </w:r>
      <w:r>
        <w:rPr>
          <w:color w:val="231F20"/>
          <w:spacing w:val="-9"/>
          <w:w w:val="105"/>
        </w:rPr>
        <w:t> </w:t>
      </w:r>
      <w:r>
        <w:rPr>
          <w:color w:val="231F20"/>
          <w:w w:val="105"/>
        </w:rPr>
        <w:t>25</w:t>
      </w:r>
      <w:r>
        <w:rPr>
          <w:color w:val="231F20"/>
          <w:spacing w:val="-9"/>
          <w:w w:val="105"/>
        </w:rPr>
        <w:t> </w:t>
      </w:r>
      <w:r>
        <w:rPr>
          <w:color w:val="231F20"/>
          <w:w w:val="105"/>
        </w:rPr>
        <w:t>por</w:t>
      </w:r>
      <w:r>
        <w:rPr>
          <w:color w:val="231F20"/>
          <w:spacing w:val="-9"/>
          <w:w w:val="105"/>
        </w:rPr>
        <w:t> </w:t>
      </w:r>
      <w:r>
        <w:rPr>
          <w:color w:val="231F20"/>
          <w:w w:val="105"/>
        </w:rPr>
        <w:t>ciento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votos</w:t>
      </w:r>
      <w:r>
        <w:rPr>
          <w:color w:val="231F20"/>
          <w:spacing w:val="-9"/>
          <w:w w:val="105"/>
        </w:rPr>
        <w:t> </w:t>
      </w:r>
      <w:r>
        <w:rPr>
          <w:color w:val="231F20"/>
          <w:w w:val="105"/>
        </w:rPr>
        <w:t>para el</w:t>
      </w:r>
      <w:r>
        <w:rPr>
          <w:color w:val="231F20"/>
          <w:spacing w:val="-17"/>
          <w:w w:val="105"/>
        </w:rPr>
        <w:t> </w:t>
      </w:r>
      <w:r>
        <w:rPr>
          <w:color w:val="231F20"/>
          <w:w w:val="105"/>
        </w:rPr>
        <w:t>PRI,</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spacing w:val="-4"/>
          <w:w w:val="105"/>
        </w:rPr>
        <w:t>PAN</w:t>
      </w:r>
      <w:r>
        <w:rPr>
          <w:color w:val="231F20"/>
          <w:spacing w:val="-17"/>
          <w:w w:val="105"/>
        </w:rPr>
        <w:t> </w:t>
      </w:r>
      <w:r>
        <w:rPr>
          <w:color w:val="231F20"/>
          <w:w w:val="105"/>
        </w:rPr>
        <w:t>ha</w:t>
      </w:r>
      <w:r>
        <w:rPr>
          <w:color w:val="231F20"/>
          <w:spacing w:val="-17"/>
          <w:w w:val="105"/>
        </w:rPr>
        <w:t> </w:t>
      </w:r>
      <w:r>
        <w:rPr>
          <w:color w:val="231F20"/>
          <w:w w:val="105"/>
        </w:rPr>
        <w:t>quedado</w:t>
      </w:r>
      <w:r>
        <w:rPr>
          <w:color w:val="231F20"/>
          <w:spacing w:val="-17"/>
          <w:w w:val="105"/>
        </w:rPr>
        <w:t> </w:t>
      </w:r>
      <w:r>
        <w:rPr>
          <w:color w:val="231F20"/>
          <w:w w:val="105"/>
        </w:rPr>
        <w:t>reducido</w:t>
      </w:r>
      <w:r>
        <w:rPr>
          <w:color w:val="231F20"/>
          <w:spacing w:val="-17"/>
          <w:w w:val="105"/>
        </w:rPr>
        <w:t> </w:t>
      </w:r>
      <w:r>
        <w:rPr>
          <w:color w:val="231F20"/>
          <w:w w:val="105"/>
        </w:rPr>
        <w:t>a</w:t>
      </w:r>
      <w:r>
        <w:rPr>
          <w:color w:val="231F20"/>
          <w:spacing w:val="-17"/>
          <w:w w:val="105"/>
        </w:rPr>
        <w:t> </w:t>
      </w:r>
      <w:r>
        <w:rPr>
          <w:color w:val="231F20"/>
          <w:w w:val="105"/>
        </w:rPr>
        <w:t>una</w:t>
      </w:r>
      <w:r>
        <w:rPr>
          <w:color w:val="231F20"/>
          <w:spacing w:val="-17"/>
          <w:w w:val="105"/>
        </w:rPr>
        <w:t> </w:t>
      </w:r>
      <w:r>
        <w:rPr>
          <w:color w:val="231F20"/>
          <w:w w:val="105"/>
        </w:rPr>
        <w:t>débil</w:t>
      </w:r>
      <w:r>
        <w:rPr>
          <w:color w:val="231F20"/>
          <w:spacing w:val="-17"/>
          <w:w w:val="105"/>
        </w:rPr>
        <w:t> </w:t>
      </w:r>
      <w:r>
        <w:rPr>
          <w:color w:val="231F20"/>
          <w:w w:val="105"/>
        </w:rPr>
        <w:t>tercera</w:t>
      </w:r>
      <w:r>
        <w:rPr>
          <w:color w:val="231F20"/>
          <w:spacing w:val="-17"/>
          <w:w w:val="105"/>
        </w:rPr>
        <w:t> </w:t>
      </w:r>
      <w:r>
        <w:rPr>
          <w:color w:val="231F20"/>
          <w:w w:val="105"/>
        </w:rPr>
        <w:t>fuerza</w:t>
      </w:r>
      <w:r>
        <w:rPr>
          <w:color w:val="231F20"/>
          <w:spacing w:val="-17"/>
          <w:w w:val="105"/>
        </w:rPr>
        <w:t> </w:t>
      </w:r>
      <w:r>
        <w:rPr>
          <w:color w:val="231F20"/>
          <w:w w:val="105"/>
        </w:rPr>
        <w:t>electoral</w:t>
      </w:r>
      <w:r>
        <w:rPr>
          <w:color w:val="231F20"/>
          <w:spacing w:val="-17"/>
          <w:w w:val="105"/>
        </w:rPr>
        <w:t> </w:t>
      </w:r>
      <w:r>
        <w:rPr>
          <w:color w:val="231F20"/>
          <w:w w:val="105"/>
        </w:rPr>
        <w:t>con</w:t>
      </w:r>
      <w:r>
        <w:rPr>
          <w:color w:val="231F20"/>
          <w:spacing w:val="-17"/>
          <w:w w:val="105"/>
        </w:rPr>
        <w:t> </w:t>
      </w:r>
      <w:r>
        <w:rPr>
          <w:color w:val="231F20"/>
          <w:w w:val="105"/>
        </w:rPr>
        <w:t>menos</w:t>
      </w:r>
      <w:r>
        <w:rPr>
          <w:color w:val="231F20"/>
          <w:spacing w:val="-17"/>
          <w:w w:val="105"/>
        </w:rPr>
        <w:t> </w:t>
      </w:r>
      <w:r>
        <w:rPr>
          <w:color w:val="231F20"/>
          <w:w w:val="105"/>
        </w:rPr>
        <w:t>del </w:t>
      </w:r>
      <w:r>
        <w:rPr>
          <w:color w:val="231F20"/>
          <w:spacing w:val="-3"/>
          <w:w w:val="105"/>
        </w:rPr>
        <w:t>15%</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sufragios</w:t>
      </w:r>
      <w:r>
        <w:rPr>
          <w:color w:val="231F20"/>
          <w:spacing w:val="-28"/>
          <w:w w:val="105"/>
        </w:rPr>
        <w:t> </w:t>
      </w:r>
      <w:r>
        <w:rPr>
          <w:color w:val="231F20"/>
          <w:spacing w:val="-4"/>
          <w:w w:val="105"/>
        </w:rPr>
        <w:t>(ver</w:t>
      </w:r>
      <w:r>
        <w:rPr>
          <w:color w:val="231F20"/>
          <w:spacing w:val="-28"/>
          <w:w w:val="105"/>
        </w:rPr>
        <w:t> </w:t>
      </w:r>
      <w:r>
        <w:rPr>
          <w:color w:val="231F20"/>
          <w:w w:val="105"/>
        </w:rPr>
        <w:t>gráfica</w:t>
      </w:r>
      <w:r>
        <w:rPr>
          <w:color w:val="231F20"/>
          <w:spacing w:val="-28"/>
          <w:w w:val="105"/>
        </w:rPr>
        <w:t> </w:t>
      </w:r>
      <w:r>
        <w:rPr>
          <w:color w:val="231F20"/>
          <w:spacing w:val="-7"/>
          <w:w w:val="105"/>
        </w:rPr>
        <w:t>1).</w:t>
      </w:r>
    </w:p>
    <w:p>
      <w:pPr>
        <w:pStyle w:val="BodyText"/>
        <w:spacing w:before="1"/>
        <w:rPr>
          <w:sz w:val="26"/>
        </w:rPr>
      </w:pPr>
    </w:p>
    <w:p>
      <w:pPr>
        <w:pStyle w:val="BodyText"/>
        <w:spacing w:line="285" w:lineRule="auto"/>
        <w:ind w:left="110" w:right="106"/>
        <w:jc w:val="both"/>
      </w:pPr>
      <w:r>
        <w:rPr>
          <w:color w:val="231F20"/>
          <w:w w:val="105"/>
        </w:rPr>
        <w:t>No</w:t>
      </w:r>
      <w:r>
        <w:rPr>
          <w:color w:val="231F20"/>
          <w:spacing w:val="-6"/>
          <w:w w:val="105"/>
        </w:rPr>
        <w:t> </w:t>
      </w:r>
      <w:r>
        <w:rPr>
          <w:color w:val="231F20"/>
          <w:w w:val="105"/>
        </w:rPr>
        <w:t>obstante</w:t>
      </w:r>
      <w:r>
        <w:rPr>
          <w:color w:val="231F20"/>
          <w:spacing w:val="-6"/>
          <w:w w:val="105"/>
        </w:rPr>
        <w:t> </w:t>
      </w:r>
      <w:r>
        <w:rPr>
          <w:color w:val="231F20"/>
          <w:w w:val="105"/>
        </w:rPr>
        <w:t>el</w:t>
      </w:r>
      <w:r>
        <w:rPr>
          <w:color w:val="231F20"/>
          <w:spacing w:val="-6"/>
          <w:w w:val="105"/>
        </w:rPr>
        <w:t> </w:t>
      </w:r>
      <w:r>
        <w:rPr>
          <w:color w:val="231F20"/>
          <w:w w:val="105"/>
        </w:rPr>
        <w:t>predominio</w:t>
      </w:r>
      <w:r>
        <w:rPr>
          <w:color w:val="231F20"/>
          <w:spacing w:val="-6"/>
          <w:w w:val="105"/>
        </w:rPr>
        <w:t> </w:t>
      </w:r>
      <w:r>
        <w:rPr>
          <w:color w:val="231F20"/>
          <w:w w:val="105"/>
        </w:rPr>
        <w:t>electoral</w:t>
      </w:r>
      <w:r>
        <w:rPr>
          <w:color w:val="231F20"/>
          <w:spacing w:val="-6"/>
          <w:w w:val="105"/>
        </w:rPr>
        <w:t> </w:t>
      </w:r>
      <w:r>
        <w:rPr>
          <w:color w:val="231F20"/>
          <w:w w:val="105"/>
        </w:rPr>
        <w:t>del</w:t>
      </w:r>
      <w:r>
        <w:rPr>
          <w:color w:val="231F20"/>
          <w:spacing w:val="-6"/>
          <w:w w:val="105"/>
        </w:rPr>
        <w:t> </w:t>
      </w:r>
      <w:r>
        <w:rPr>
          <w:color w:val="231F20"/>
          <w:w w:val="105"/>
        </w:rPr>
        <w:t>PRD</w:t>
      </w:r>
      <w:r>
        <w:rPr>
          <w:color w:val="231F20"/>
          <w:spacing w:val="-6"/>
          <w:w w:val="105"/>
        </w:rPr>
        <w:t> </w:t>
      </w:r>
      <w:r>
        <w:rPr>
          <w:color w:val="231F20"/>
          <w:w w:val="105"/>
        </w:rPr>
        <w:t>en</w:t>
      </w:r>
      <w:r>
        <w:rPr>
          <w:color w:val="231F20"/>
          <w:spacing w:val="-6"/>
          <w:w w:val="105"/>
        </w:rPr>
        <w:t> </w:t>
      </w:r>
      <w:r>
        <w:rPr>
          <w:color w:val="231F20"/>
          <w:w w:val="105"/>
        </w:rPr>
        <w:t>Nezahualcóyotl,</w:t>
      </w:r>
      <w:r>
        <w:rPr>
          <w:color w:val="231F20"/>
          <w:spacing w:val="-6"/>
          <w:w w:val="105"/>
        </w:rPr>
        <w:t> </w:t>
      </w:r>
      <w:r>
        <w:rPr>
          <w:color w:val="231F20"/>
          <w:w w:val="105"/>
        </w:rPr>
        <w:t>resaltan</w:t>
      </w:r>
      <w:r>
        <w:rPr>
          <w:color w:val="231F20"/>
          <w:spacing w:val="-6"/>
          <w:w w:val="105"/>
        </w:rPr>
        <w:t> </w:t>
      </w:r>
      <w:r>
        <w:rPr>
          <w:color w:val="231F20"/>
          <w:w w:val="105"/>
        </w:rPr>
        <w:t>los</w:t>
      </w:r>
      <w:r>
        <w:rPr>
          <w:color w:val="231F20"/>
          <w:spacing w:val="-6"/>
          <w:w w:val="105"/>
        </w:rPr>
        <w:t> </w:t>
      </w:r>
      <w:r>
        <w:rPr>
          <w:color w:val="231F20"/>
          <w:w w:val="105"/>
        </w:rPr>
        <w:t>elevados porcentajes de abstencionismo electoral (por arriba del 60 por ciento de la lista nomi- nal),</w:t>
      </w:r>
      <w:r>
        <w:rPr>
          <w:color w:val="231F20"/>
          <w:spacing w:val="-6"/>
          <w:w w:val="105"/>
        </w:rPr>
        <w:t> </w:t>
      </w:r>
      <w:r>
        <w:rPr>
          <w:color w:val="231F20"/>
          <w:w w:val="105"/>
        </w:rPr>
        <w:t>llegando</w:t>
      </w:r>
      <w:r>
        <w:rPr>
          <w:color w:val="231F20"/>
          <w:spacing w:val="-6"/>
          <w:w w:val="105"/>
        </w:rPr>
        <w:t> </w:t>
      </w:r>
      <w:r>
        <w:rPr>
          <w:color w:val="231F20"/>
          <w:w w:val="105"/>
        </w:rPr>
        <w:t>a</w:t>
      </w:r>
      <w:r>
        <w:rPr>
          <w:color w:val="231F20"/>
          <w:spacing w:val="-6"/>
          <w:w w:val="105"/>
        </w:rPr>
        <w:t> </w:t>
      </w:r>
      <w:r>
        <w:rPr>
          <w:color w:val="231F20"/>
          <w:w w:val="105"/>
        </w:rPr>
        <w:t>un</w:t>
      </w:r>
      <w:r>
        <w:rPr>
          <w:color w:val="231F20"/>
          <w:spacing w:val="-6"/>
          <w:w w:val="105"/>
        </w:rPr>
        <w:t> </w:t>
      </w:r>
      <w:r>
        <w:rPr>
          <w:color w:val="231F20"/>
          <w:w w:val="105"/>
        </w:rPr>
        <w:t>70%</w:t>
      </w:r>
      <w:r>
        <w:rPr>
          <w:color w:val="231F20"/>
          <w:spacing w:val="-6"/>
          <w:w w:val="105"/>
        </w:rPr>
        <w:t> </w:t>
      </w:r>
      <w:r>
        <w:rPr>
          <w:color w:val="231F20"/>
          <w:w w:val="105"/>
        </w:rPr>
        <w:t>de</w:t>
      </w:r>
      <w:r>
        <w:rPr>
          <w:color w:val="231F20"/>
          <w:spacing w:val="-6"/>
          <w:w w:val="105"/>
        </w:rPr>
        <w:t> </w:t>
      </w:r>
      <w:r>
        <w:rPr>
          <w:color w:val="231F20"/>
          <w:w w:val="105"/>
        </w:rPr>
        <w:t>no</w:t>
      </w:r>
      <w:r>
        <w:rPr>
          <w:color w:val="231F20"/>
          <w:spacing w:val="-6"/>
          <w:w w:val="105"/>
        </w:rPr>
        <w:t> </w:t>
      </w:r>
      <w:r>
        <w:rPr>
          <w:color w:val="231F20"/>
          <w:w w:val="105"/>
        </w:rPr>
        <w:t>participación</w:t>
      </w:r>
      <w:r>
        <w:rPr>
          <w:color w:val="231F20"/>
          <w:spacing w:val="-6"/>
          <w:w w:val="105"/>
        </w:rPr>
        <w:t> </w:t>
      </w:r>
      <w:r>
        <w:rPr>
          <w:color w:val="231F20"/>
          <w:w w:val="105"/>
        </w:rPr>
        <w:t>electoral</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spacing w:val="3"/>
          <w:w w:val="105"/>
        </w:rPr>
        <w:t>2006.</w:t>
      </w:r>
      <w:r>
        <w:rPr>
          <w:color w:val="231F20"/>
          <w:spacing w:val="-6"/>
          <w:w w:val="105"/>
        </w:rPr>
        <w:t> </w:t>
      </w:r>
      <w:r>
        <w:rPr>
          <w:color w:val="231F20"/>
          <w:spacing w:val="-3"/>
          <w:w w:val="105"/>
        </w:rPr>
        <w:t>Fenómeno</w:t>
      </w:r>
      <w:r>
        <w:rPr>
          <w:color w:val="231F20"/>
          <w:spacing w:val="-6"/>
          <w:w w:val="105"/>
        </w:rPr>
        <w:t> </w:t>
      </w:r>
      <w:r>
        <w:rPr>
          <w:color w:val="231F20"/>
          <w:w w:val="105"/>
        </w:rPr>
        <w:t>que</w:t>
      </w:r>
      <w:r>
        <w:rPr>
          <w:color w:val="231F20"/>
          <w:spacing w:val="-6"/>
          <w:w w:val="105"/>
        </w:rPr>
        <w:t> </w:t>
      </w:r>
      <w:r>
        <w:rPr>
          <w:color w:val="231F20"/>
          <w:w w:val="105"/>
        </w:rPr>
        <w:t>puede tener diferentes lecturas, pero que sin lugar a dudas pone en cuestionamiento el grado de</w:t>
      </w:r>
      <w:r>
        <w:rPr>
          <w:color w:val="231F20"/>
          <w:spacing w:val="-5"/>
          <w:w w:val="105"/>
        </w:rPr>
        <w:t> </w:t>
      </w:r>
      <w:r>
        <w:rPr>
          <w:color w:val="231F20"/>
          <w:w w:val="105"/>
        </w:rPr>
        <w:t>legitimidad</w:t>
      </w:r>
      <w:r>
        <w:rPr>
          <w:color w:val="231F20"/>
          <w:spacing w:val="-5"/>
          <w:w w:val="105"/>
        </w:rPr>
        <w:t> </w:t>
      </w:r>
      <w:r>
        <w:rPr>
          <w:color w:val="231F20"/>
          <w:w w:val="105"/>
        </w:rPr>
        <w:t>de</w:t>
      </w:r>
      <w:r>
        <w:rPr>
          <w:color w:val="231F20"/>
          <w:spacing w:val="-5"/>
          <w:w w:val="105"/>
        </w:rPr>
        <w:t> </w:t>
      </w:r>
      <w:r>
        <w:rPr>
          <w:color w:val="231F20"/>
          <w:w w:val="105"/>
        </w:rPr>
        <w:t>dicho</w:t>
      </w:r>
      <w:r>
        <w:rPr>
          <w:color w:val="231F20"/>
          <w:spacing w:val="-5"/>
          <w:w w:val="105"/>
        </w:rPr>
        <w:t> </w:t>
      </w:r>
      <w:r>
        <w:rPr>
          <w:color w:val="231F20"/>
          <w:w w:val="105"/>
        </w:rPr>
        <w:t>predominio</w:t>
      </w:r>
      <w:r>
        <w:rPr>
          <w:color w:val="231F20"/>
          <w:spacing w:val="-5"/>
          <w:w w:val="105"/>
        </w:rPr>
        <w:t> </w:t>
      </w:r>
      <w:r>
        <w:rPr>
          <w:color w:val="231F20"/>
          <w:w w:val="105"/>
        </w:rPr>
        <w:t>electoral</w:t>
      </w:r>
      <w:r>
        <w:rPr>
          <w:color w:val="231F20"/>
          <w:spacing w:val="-5"/>
          <w:w w:val="105"/>
        </w:rPr>
        <w:t> </w:t>
      </w:r>
      <w:r>
        <w:rPr>
          <w:color w:val="231F20"/>
          <w:w w:val="105"/>
        </w:rPr>
        <w:t>del</w:t>
      </w:r>
      <w:r>
        <w:rPr>
          <w:color w:val="231F20"/>
          <w:spacing w:val="-5"/>
          <w:w w:val="105"/>
        </w:rPr>
        <w:t> </w:t>
      </w:r>
      <w:r>
        <w:rPr>
          <w:color w:val="231F20"/>
          <w:spacing w:val="-3"/>
          <w:w w:val="105"/>
        </w:rPr>
        <w:t>PRD,</w:t>
      </w:r>
      <w:r>
        <w:rPr>
          <w:color w:val="231F20"/>
          <w:spacing w:val="-5"/>
          <w:w w:val="105"/>
        </w:rPr>
        <w:t> </w:t>
      </w:r>
      <w:r>
        <w:rPr>
          <w:color w:val="231F20"/>
          <w:w w:val="105"/>
        </w:rPr>
        <w:t>dado</w:t>
      </w:r>
      <w:r>
        <w:rPr>
          <w:color w:val="231F20"/>
          <w:spacing w:val="-5"/>
          <w:w w:val="105"/>
        </w:rPr>
        <w:t> </w:t>
      </w:r>
      <w:r>
        <w:rPr>
          <w:color w:val="231F20"/>
          <w:w w:val="105"/>
        </w:rPr>
        <w:t>que</w:t>
      </w:r>
      <w:r>
        <w:rPr>
          <w:color w:val="231F20"/>
          <w:spacing w:val="-5"/>
          <w:w w:val="105"/>
        </w:rPr>
        <w:t> </w:t>
      </w:r>
      <w:r>
        <w:rPr>
          <w:color w:val="231F20"/>
          <w:w w:val="105"/>
        </w:rPr>
        <w:t>con</w:t>
      </w:r>
      <w:r>
        <w:rPr>
          <w:color w:val="231F20"/>
          <w:spacing w:val="-5"/>
          <w:w w:val="105"/>
        </w:rPr>
        <w:t> </w:t>
      </w:r>
      <w:r>
        <w:rPr>
          <w:color w:val="231F20"/>
          <w:spacing w:val="2"/>
          <w:w w:val="105"/>
        </w:rPr>
        <w:t>tan</w:t>
      </w:r>
      <w:r>
        <w:rPr>
          <w:color w:val="231F20"/>
          <w:spacing w:val="-5"/>
          <w:w w:val="105"/>
        </w:rPr>
        <w:t> </w:t>
      </w:r>
      <w:r>
        <w:rPr>
          <w:color w:val="231F20"/>
          <w:w w:val="105"/>
        </w:rPr>
        <w:t>elevados</w:t>
      </w:r>
      <w:r>
        <w:rPr>
          <w:color w:val="231F20"/>
          <w:spacing w:val="-5"/>
          <w:w w:val="105"/>
        </w:rPr>
        <w:t> </w:t>
      </w:r>
      <w:r>
        <w:rPr>
          <w:color w:val="231F20"/>
          <w:spacing w:val="-3"/>
          <w:w w:val="105"/>
        </w:rPr>
        <w:t>por- </w:t>
      </w:r>
      <w:r>
        <w:rPr>
          <w:color w:val="231F20"/>
          <w:w w:val="105"/>
        </w:rPr>
        <w:t>centajes</w:t>
      </w:r>
      <w:r>
        <w:rPr>
          <w:color w:val="231F20"/>
          <w:spacing w:val="-19"/>
          <w:w w:val="105"/>
        </w:rPr>
        <w:t> </w:t>
      </w:r>
      <w:r>
        <w:rPr>
          <w:color w:val="231F20"/>
          <w:w w:val="105"/>
        </w:rPr>
        <w:t>de</w:t>
      </w:r>
      <w:r>
        <w:rPr>
          <w:color w:val="231F20"/>
          <w:spacing w:val="-19"/>
          <w:w w:val="105"/>
        </w:rPr>
        <w:t> </w:t>
      </w:r>
      <w:r>
        <w:rPr>
          <w:color w:val="231F20"/>
          <w:w w:val="105"/>
        </w:rPr>
        <w:t>abstencionismo,</w:t>
      </w:r>
      <w:r>
        <w:rPr>
          <w:color w:val="231F20"/>
          <w:spacing w:val="-19"/>
          <w:w w:val="105"/>
        </w:rPr>
        <w:t> </w:t>
      </w:r>
      <w:r>
        <w:rPr>
          <w:color w:val="231F20"/>
          <w:w w:val="105"/>
        </w:rPr>
        <w:t>los</w:t>
      </w:r>
      <w:r>
        <w:rPr>
          <w:color w:val="231F20"/>
          <w:spacing w:val="-19"/>
          <w:w w:val="105"/>
        </w:rPr>
        <w:t> </w:t>
      </w:r>
      <w:r>
        <w:rPr>
          <w:color w:val="231F20"/>
          <w:w w:val="105"/>
        </w:rPr>
        <w:t>triunfos</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partido</w:t>
      </w:r>
      <w:r>
        <w:rPr>
          <w:color w:val="231F20"/>
          <w:spacing w:val="-19"/>
          <w:w w:val="105"/>
        </w:rPr>
        <w:t> </w:t>
      </w:r>
      <w:r>
        <w:rPr>
          <w:color w:val="231F20"/>
          <w:w w:val="105"/>
        </w:rPr>
        <w:t>han</w:t>
      </w:r>
      <w:r>
        <w:rPr>
          <w:color w:val="231F20"/>
          <w:spacing w:val="-19"/>
          <w:w w:val="105"/>
        </w:rPr>
        <w:t> </w:t>
      </w:r>
      <w:r>
        <w:rPr>
          <w:color w:val="231F20"/>
          <w:w w:val="105"/>
        </w:rPr>
        <w:t>sido</w:t>
      </w:r>
      <w:r>
        <w:rPr>
          <w:color w:val="231F20"/>
          <w:spacing w:val="-19"/>
          <w:w w:val="105"/>
        </w:rPr>
        <w:t> </w:t>
      </w:r>
      <w:r>
        <w:rPr>
          <w:color w:val="231F20"/>
          <w:w w:val="105"/>
        </w:rPr>
        <w:t>avalados</w:t>
      </w:r>
      <w:r>
        <w:rPr>
          <w:color w:val="231F20"/>
          <w:spacing w:val="-19"/>
          <w:w w:val="105"/>
        </w:rPr>
        <w:t> </w:t>
      </w:r>
      <w:r>
        <w:rPr>
          <w:color w:val="231F20"/>
          <w:w w:val="105"/>
        </w:rPr>
        <w:t>por</w:t>
      </w:r>
      <w:r>
        <w:rPr>
          <w:color w:val="231F20"/>
          <w:spacing w:val="-19"/>
          <w:w w:val="105"/>
        </w:rPr>
        <w:t> </w:t>
      </w:r>
      <w:r>
        <w:rPr>
          <w:color w:val="231F20"/>
          <w:w w:val="105"/>
        </w:rPr>
        <w:t>menos</w:t>
      </w:r>
      <w:r>
        <w:rPr>
          <w:color w:val="231F20"/>
          <w:spacing w:val="-19"/>
          <w:w w:val="105"/>
        </w:rPr>
        <w:t> </w:t>
      </w:r>
      <w:r>
        <w:rPr>
          <w:color w:val="231F20"/>
          <w:w w:val="105"/>
        </w:rPr>
        <w:t>del 20</w:t>
      </w:r>
      <w:r>
        <w:rPr>
          <w:color w:val="231F20"/>
          <w:spacing w:val="-15"/>
          <w:w w:val="105"/>
        </w:rPr>
        <w:t> </w:t>
      </w:r>
      <w:r>
        <w:rPr>
          <w:color w:val="231F20"/>
          <w:w w:val="105"/>
        </w:rPr>
        <w:t>por</w:t>
      </w:r>
      <w:r>
        <w:rPr>
          <w:color w:val="231F20"/>
          <w:spacing w:val="-15"/>
          <w:w w:val="105"/>
        </w:rPr>
        <w:t> </w:t>
      </w:r>
      <w:r>
        <w:rPr>
          <w:color w:val="231F20"/>
          <w:w w:val="105"/>
        </w:rPr>
        <w:t>ciento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ciudadanos</w:t>
      </w:r>
      <w:r>
        <w:rPr>
          <w:color w:val="231F20"/>
          <w:spacing w:val="-15"/>
          <w:w w:val="105"/>
        </w:rPr>
        <w:t> </w:t>
      </w:r>
      <w:r>
        <w:rPr>
          <w:color w:val="231F20"/>
          <w:w w:val="105"/>
        </w:rPr>
        <w:t>nezatlenses.</w:t>
      </w:r>
    </w:p>
    <w:p>
      <w:pPr>
        <w:pStyle w:val="BodyText"/>
        <w:spacing w:before="1"/>
        <w:rPr>
          <w:sz w:val="26"/>
        </w:rPr>
      </w:pPr>
    </w:p>
    <w:p>
      <w:pPr>
        <w:pStyle w:val="BodyText"/>
        <w:spacing w:line="285" w:lineRule="auto"/>
        <w:ind w:left="110" w:right="106"/>
        <w:jc w:val="both"/>
      </w:pPr>
      <w:r>
        <w:rPr>
          <w:color w:val="231F20"/>
          <w:spacing w:val="-3"/>
          <w:w w:val="105"/>
        </w:rPr>
        <w:t>Por </w:t>
      </w:r>
      <w:r>
        <w:rPr>
          <w:color w:val="231F20"/>
          <w:w w:val="105"/>
        </w:rPr>
        <w:t>tanto, los incrementos de los porcentajes de votación del PRD en el municipio de Nezahualcóyotl</w:t>
      </w:r>
      <w:r>
        <w:rPr>
          <w:color w:val="231F20"/>
          <w:spacing w:val="-7"/>
          <w:w w:val="105"/>
        </w:rPr>
        <w:t> </w:t>
      </w:r>
      <w:r>
        <w:rPr>
          <w:color w:val="231F20"/>
          <w:w w:val="105"/>
        </w:rPr>
        <w:t>no</w:t>
      </w:r>
      <w:r>
        <w:rPr>
          <w:color w:val="231F20"/>
          <w:spacing w:val="-7"/>
          <w:w w:val="105"/>
        </w:rPr>
        <w:t> </w:t>
      </w:r>
      <w:r>
        <w:rPr>
          <w:color w:val="231F20"/>
          <w:w w:val="105"/>
        </w:rPr>
        <w:t>implican</w:t>
      </w:r>
      <w:r>
        <w:rPr>
          <w:color w:val="231F20"/>
          <w:spacing w:val="-7"/>
          <w:w w:val="105"/>
        </w:rPr>
        <w:t> </w:t>
      </w:r>
      <w:r>
        <w:rPr>
          <w:color w:val="231F20"/>
          <w:w w:val="105"/>
        </w:rPr>
        <w:t>necesariamente</w:t>
      </w:r>
      <w:r>
        <w:rPr>
          <w:color w:val="231F20"/>
          <w:spacing w:val="-7"/>
          <w:w w:val="105"/>
        </w:rPr>
        <w:t> </w:t>
      </w:r>
      <w:r>
        <w:rPr>
          <w:color w:val="231F20"/>
          <w:w w:val="105"/>
        </w:rPr>
        <w:t>una</w:t>
      </w:r>
      <w:r>
        <w:rPr>
          <w:color w:val="231F20"/>
          <w:spacing w:val="-7"/>
          <w:w w:val="105"/>
        </w:rPr>
        <w:t> </w:t>
      </w:r>
      <w:r>
        <w:rPr>
          <w:color w:val="231F20"/>
          <w:w w:val="105"/>
        </w:rPr>
        <w:t>mayor</w:t>
      </w:r>
      <w:r>
        <w:rPr>
          <w:color w:val="231F20"/>
          <w:spacing w:val="-7"/>
          <w:w w:val="105"/>
        </w:rPr>
        <w:t> </w:t>
      </w:r>
      <w:r>
        <w:rPr>
          <w:color w:val="231F20"/>
          <w:w w:val="105"/>
        </w:rPr>
        <w:t>fortaleza</w:t>
      </w:r>
      <w:r>
        <w:rPr>
          <w:color w:val="231F20"/>
          <w:spacing w:val="-7"/>
          <w:w w:val="105"/>
        </w:rPr>
        <w:t> </w:t>
      </w:r>
      <w:r>
        <w:rPr>
          <w:color w:val="231F20"/>
          <w:w w:val="105"/>
        </w:rPr>
        <w:t>y</w:t>
      </w:r>
      <w:r>
        <w:rPr>
          <w:color w:val="231F20"/>
          <w:spacing w:val="-7"/>
          <w:w w:val="105"/>
        </w:rPr>
        <w:t> </w:t>
      </w:r>
      <w:r>
        <w:rPr>
          <w:color w:val="231F20"/>
          <w:w w:val="105"/>
        </w:rPr>
        <w:t>apoyo</w:t>
      </w:r>
      <w:r>
        <w:rPr>
          <w:color w:val="231F20"/>
          <w:spacing w:val="-7"/>
          <w:w w:val="105"/>
        </w:rPr>
        <w:t> </w:t>
      </w:r>
      <w:r>
        <w:rPr>
          <w:color w:val="231F20"/>
          <w:w w:val="105"/>
        </w:rPr>
        <w:t>electoral,</w:t>
      </w:r>
      <w:r>
        <w:rPr>
          <w:color w:val="231F20"/>
          <w:spacing w:val="-7"/>
          <w:w w:val="105"/>
        </w:rPr>
        <w:t> </w:t>
      </w:r>
      <w:r>
        <w:rPr>
          <w:color w:val="231F20"/>
          <w:w w:val="105"/>
        </w:rPr>
        <w:t>ya que si analizamos en números absolutos su caudal de votos en el cuadro 3, podemos identificar</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comicios</w:t>
      </w:r>
      <w:r>
        <w:rPr>
          <w:color w:val="231F20"/>
          <w:spacing w:val="-17"/>
          <w:w w:val="105"/>
        </w:rPr>
        <w:t> </w:t>
      </w:r>
      <w:r>
        <w:rPr>
          <w:color w:val="231F20"/>
          <w:w w:val="105"/>
        </w:rPr>
        <w:t>de</w:t>
      </w:r>
      <w:r>
        <w:rPr>
          <w:color w:val="231F20"/>
          <w:spacing w:val="-17"/>
          <w:w w:val="105"/>
        </w:rPr>
        <w:t> </w:t>
      </w:r>
      <w:r>
        <w:rPr>
          <w:color w:val="231F20"/>
          <w:spacing w:val="2"/>
          <w:w w:val="105"/>
        </w:rPr>
        <w:t>2003</w:t>
      </w:r>
      <w:r>
        <w:rPr>
          <w:color w:val="231F20"/>
          <w:spacing w:val="-17"/>
          <w:w w:val="105"/>
        </w:rPr>
        <w:t> </w:t>
      </w:r>
      <w:r>
        <w:rPr>
          <w:color w:val="231F20"/>
          <w:w w:val="105"/>
        </w:rPr>
        <w:t>y</w:t>
      </w:r>
      <w:r>
        <w:rPr>
          <w:color w:val="231F20"/>
          <w:spacing w:val="-17"/>
          <w:w w:val="105"/>
        </w:rPr>
        <w:t> </w:t>
      </w:r>
      <w:r>
        <w:rPr>
          <w:color w:val="231F20"/>
          <w:spacing w:val="3"/>
          <w:w w:val="105"/>
        </w:rPr>
        <w:t>2006</w:t>
      </w:r>
      <w:r>
        <w:rPr>
          <w:color w:val="231F20"/>
          <w:spacing w:val="-17"/>
          <w:w w:val="105"/>
        </w:rPr>
        <w:t> </w:t>
      </w:r>
      <w:r>
        <w:rPr>
          <w:color w:val="231F20"/>
          <w:w w:val="105"/>
        </w:rPr>
        <w:t>(años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este</w:t>
      </w:r>
      <w:r>
        <w:rPr>
          <w:color w:val="231F20"/>
          <w:spacing w:val="-17"/>
          <w:w w:val="105"/>
        </w:rPr>
        <w:t> </w:t>
      </w:r>
      <w:r>
        <w:rPr>
          <w:color w:val="231F20"/>
          <w:w w:val="105"/>
        </w:rPr>
        <w:t>partido</w:t>
      </w:r>
      <w:r>
        <w:rPr>
          <w:color w:val="231F20"/>
          <w:spacing w:val="-17"/>
          <w:w w:val="105"/>
        </w:rPr>
        <w:t> </w:t>
      </w:r>
      <w:r>
        <w:rPr>
          <w:color w:val="231F20"/>
          <w:w w:val="105"/>
        </w:rPr>
        <w:t>ha</w:t>
      </w:r>
      <w:r>
        <w:rPr>
          <w:color w:val="231F20"/>
          <w:spacing w:val="-17"/>
          <w:w w:val="105"/>
        </w:rPr>
        <w:t> </w:t>
      </w:r>
      <w:r>
        <w:rPr>
          <w:color w:val="231F20"/>
          <w:w w:val="105"/>
        </w:rPr>
        <w:t>rebasado el</w:t>
      </w:r>
      <w:r>
        <w:rPr>
          <w:color w:val="231F20"/>
          <w:spacing w:val="-17"/>
          <w:w w:val="105"/>
        </w:rPr>
        <w:t> </w:t>
      </w:r>
      <w:r>
        <w:rPr>
          <w:color w:val="231F20"/>
          <w:w w:val="105"/>
        </w:rPr>
        <w:t>50</w:t>
      </w:r>
      <w:r>
        <w:rPr>
          <w:color w:val="231F20"/>
          <w:spacing w:val="-17"/>
          <w:w w:val="105"/>
        </w:rPr>
        <w:t> </w:t>
      </w:r>
      <w:r>
        <w:rPr>
          <w:color w:val="231F20"/>
          <w:w w:val="105"/>
        </w:rPr>
        <w:t>por</w:t>
      </w:r>
      <w:r>
        <w:rPr>
          <w:color w:val="231F20"/>
          <w:spacing w:val="-17"/>
          <w:w w:val="105"/>
        </w:rPr>
        <w:t> </w:t>
      </w:r>
      <w:r>
        <w:rPr>
          <w:color w:val="231F20"/>
          <w:w w:val="105"/>
        </w:rPr>
        <w:t>ciento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sufragios</w:t>
      </w:r>
      <w:r>
        <w:rPr>
          <w:color w:val="231F20"/>
          <w:spacing w:val="-17"/>
          <w:w w:val="105"/>
        </w:rPr>
        <w:t> </w:t>
      </w:r>
      <w:r>
        <w:rPr>
          <w:color w:val="231F20"/>
          <w:w w:val="105"/>
        </w:rPr>
        <w:t>emitidos),</w:t>
      </w:r>
      <w:r>
        <w:rPr>
          <w:color w:val="231F20"/>
          <w:spacing w:val="-17"/>
          <w:w w:val="105"/>
        </w:rPr>
        <w:t> </w:t>
      </w:r>
      <w:r>
        <w:rPr>
          <w:color w:val="231F20"/>
          <w:w w:val="105"/>
        </w:rPr>
        <w:t>su</w:t>
      </w:r>
      <w:r>
        <w:rPr>
          <w:color w:val="231F20"/>
          <w:spacing w:val="-17"/>
          <w:w w:val="105"/>
        </w:rPr>
        <w:t> </w:t>
      </w:r>
      <w:r>
        <w:rPr>
          <w:color w:val="231F20"/>
          <w:w w:val="105"/>
        </w:rPr>
        <w:t>número</w:t>
      </w:r>
      <w:r>
        <w:rPr>
          <w:color w:val="231F20"/>
          <w:spacing w:val="-17"/>
          <w:w w:val="105"/>
        </w:rPr>
        <w:t> </w:t>
      </w:r>
      <w:r>
        <w:rPr>
          <w:color w:val="231F20"/>
          <w:w w:val="105"/>
        </w:rPr>
        <w:t>de</w:t>
      </w:r>
      <w:r>
        <w:rPr>
          <w:color w:val="231F20"/>
          <w:spacing w:val="-17"/>
          <w:w w:val="105"/>
        </w:rPr>
        <w:t> </w:t>
      </w:r>
      <w:r>
        <w:rPr>
          <w:color w:val="231F20"/>
          <w:w w:val="105"/>
        </w:rPr>
        <w:t>votos</w:t>
      </w:r>
      <w:r>
        <w:rPr>
          <w:color w:val="231F20"/>
          <w:spacing w:val="-17"/>
          <w:w w:val="105"/>
        </w:rPr>
        <w:t> </w:t>
      </w:r>
      <w:r>
        <w:rPr>
          <w:color w:val="231F20"/>
          <w:w w:val="105"/>
        </w:rPr>
        <w:t>obtenidos</w:t>
      </w:r>
      <w:r>
        <w:rPr>
          <w:color w:val="231F20"/>
          <w:spacing w:val="-17"/>
          <w:w w:val="105"/>
        </w:rPr>
        <w:t> </w:t>
      </w:r>
      <w:r>
        <w:rPr>
          <w:color w:val="231F20"/>
          <w:w w:val="105"/>
        </w:rPr>
        <w:t>ha</w:t>
      </w:r>
      <w:r>
        <w:rPr>
          <w:color w:val="231F20"/>
          <w:spacing w:val="-17"/>
          <w:w w:val="105"/>
        </w:rPr>
        <w:t> </w:t>
      </w:r>
      <w:r>
        <w:rPr>
          <w:color w:val="231F20"/>
          <w:w w:val="105"/>
        </w:rPr>
        <w:t>disminuido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2"/>
      </w:pPr>
      <w:r>
        <w:rPr>
          <w:color w:val="231F20"/>
          <w:w w:val="105"/>
        </w:rPr>
        <w:t>con relación a la elección del año 2000, cuando alcanzó su máximo de 200,854 sufra- gios. Cifra que disminuyó para los comicios siguientes.</w:t>
      </w:r>
    </w:p>
    <w:p>
      <w:pPr>
        <w:pStyle w:val="BodyText"/>
        <w:spacing w:before="1"/>
        <w:rPr>
          <w:sz w:val="26"/>
        </w:rPr>
      </w:pPr>
    </w:p>
    <w:p>
      <w:pPr>
        <w:pStyle w:val="Heading5"/>
        <w:ind w:right="102"/>
        <w:jc w:val="center"/>
      </w:pPr>
      <w:r>
        <w:rPr>
          <w:color w:val="231F20"/>
          <w:w w:val="105"/>
        </w:rPr>
        <w:t>Cuadro 3. Votación Absoluta y Porcentual Obtenida por el PAN, PRI y PRD</w:t>
      </w:r>
    </w:p>
    <w:p>
      <w:pPr>
        <w:spacing w:line="285" w:lineRule="auto" w:before="47"/>
        <w:ind w:left="140" w:right="138" w:firstLine="0"/>
        <w:jc w:val="center"/>
        <w:rPr>
          <w:b/>
          <w:sz w:val="22"/>
        </w:rPr>
      </w:pPr>
      <w:r>
        <w:rPr>
          <w:b/>
          <w:color w:val="231F20"/>
          <w:w w:val="105"/>
          <w:sz w:val="22"/>
        </w:rPr>
        <w:t>en</w:t>
      </w:r>
      <w:r>
        <w:rPr>
          <w:b/>
          <w:color w:val="231F20"/>
          <w:spacing w:val="-15"/>
          <w:w w:val="105"/>
          <w:sz w:val="22"/>
        </w:rPr>
        <w:t> </w:t>
      </w:r>
      <w:r>
        <w:rPr>
          <w:b/>
          <w:color w:val="231F20"/>
          <w:w w:val="105"/>
          <w:sz w:val="22"/>
        </w:rPr>
        <w:t>los</w:t>
      </w:r>
      <w:r>
        <w:rPr>
          <w:b/>
          <w:color w:val="231F20"/>
          <w:spacing w:val="-15"/>
          <w:w w:val="105"/>
          <w:sz w:val="22"/>
        </w:rPr>
        <w:t> </w:t>
      </w:r>
      <w:r>
        <w:rPr>
          <w:b/>
          <w:color w:val="231F20"/>
          <w:w w:val="105"/>
          <w:sz w:val="22"/>
        </w:rPr>
        <w:t>Comicios</w:t>
      </w:r>
      <w:r>
        <w:rPr>
          <w:b/>
          <w:color w:val="231F20"/>
          <w:spacing w:val="-15"/>
          <w:w w:val="105"/>
          <w:sz w:val="22"/>
        </w:rPr>
        <w:t> </w:t>
      </w:r>
      <w:r>
        <w:rPr>
          <w:b/>
          <w:color w:val="231F20"/>
          <w:w w:val="105"/>
          <w:sz w:val="22"/>
        </w:rPr>
        <w:t>Municipales</w:t>
      </w:r>
      <w:r>
        <w:rPr>
          <w:b/>
          <w:color w:val="231F20"/>
          <w:spacing w:val="-15"/>
          <w:w w:val="105"/>
          <w:sz w:val="22"/>
        </w:rPr>
        <w:t> </w:t>
      </w:r>
      <w:r>
        <w:rPr>
          <w:b/>
          <w:color w:val="231F20"/>
          <w:w w:val="105"/>
          <w:sz w:val="22"/>
        </w:rPr>
        <w:t>de</w:t>
      </w:r>
      <w:r>
        <w:rPr>
          <w:b/>
          <w:color w:val="231F20"/>
          <w:spacing w:val="-15"/>
          <w:w w:val="105"/>
          <w:sz w:val="22"/>
        </w:rPr>
        <w:t> </w:t>
      </w:r>
      <w:r>
        <w:rPr>
          <w:b/>
          <w:color w:val="231F20"/>
          <w:w w:val="105"/>
          <w:sz w:val="22"/>
        </w:rPr>
        <w:t>Nezahualcóyotl,</w:t>
      </w:r>
      <w:r>
        <w:rPr>
          <w:b/>
          <w:color w:val="231F20"/>
          <w:spacing w:val="-15"/>
          <w:w w:val="105"/>
          <w:sz w:val="22"/>
        </w:rPr>
        <w:t> </w:t>
      </w:r>
      <w:r>
        <w:rPr>
          <w:b/>
          <w:color w:val="231F20"/>
          <w:w w:val="105"/>
          <w:sz w:val="22"/>
        </w:rPr>
        <w:t>y</w:t>
      </w:r>
      <w:r>
        <w:rPr>
          <w:b/>
          <w:color w:val="231F20"/>
          <w:spacing w:val="-15"/>
          <w:w w:val="105"/>
          <w:sz w:val="22"/>
        </w:rPr>
        <w:t> </w:t>
      </w:r>
      <w:r>
        <w:rPr>
          <w:b/>
          <w:color w:val="231F20"/>
          <w:w w:val="105"/>
          <w:sz w:val="22"/>
        </w:rPr>
        <w:t>Porcentaje</w:t>
      </w:r>
      <w:r>
        <w:rPr>
          <w:b/>
          <w:color w:val="231F20"/>
          <w:spacing w:val="-15"/>
          <w:w w:val="105"/>
          <w:sz w:val="22"/>
        </w:rPr>
        <w:t> </w:t>
      </w:r>
      <w:r>
        <w:rPr>
          <w:b/>
          <w:color w:val="231F20"/>
          <w:w w:val="105"/>
          <w:sz w:val="22"/>
        </w:rPr>
        <w:t>de</w:t>
      </w:r>
      <w:r>
        <w:rPr>
          <w:b/>
          <w:color w:val="231F20"/>
          <w:spacing w:val="-15"/>
          <w:w w:val="105"/>
          <w:sz w:val="22"/>
        </w:rPr>
        <w:t> </w:t>
      </w:r>
      <w:r>
        <w:rPr>
          <w:b/>
          <w:color w:val="231F20"/>
          <w:w w:val="105"/>
          <w:sz w:val="22"/>
        </w:rPr>
        <w:t>Abstencionismo, 1993-2006</w:t>
      </w:r>
    </w:p>
    <w:p>
      <w:pPr>
        <w:pStyle w:val="BodyText"/>
        <w:spacing w:before="9" w:after="1"/>
        <w:rPr>
          <w:b/>
          <w:sz w:val="24"/>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04"/>
        <w:gridCol w:w="556"/>
        <w:gridCol w:w="569"/>
        <w:gridCol w:w="569"/>
        <w:gridCol w:w="718"/>
        <w:gridCol w:w="569"/>
        <w:gridCol w:w="586"/>
        <w:gridCol w:w="872"/>
        <w:gridCol w:w="818"/>
        <w:gridCol w:w="1666"/>
      </w:tblGrid>
      <w:tr>
        <w:trPr>
          <w:trHeight w:val="322" w:hRule="exact"/>
        </w:trPr>
        <w:tc>
          <w:tcPr>
            <w:tcW w:w="1004" w:type="dxa"/>
            <w:vMerge w:val="restart"/>
            <w:shd w:val="clear" w:color="auto" w:fill="C0C0BF"/>
          </w:tcPr>
          <w:p>
            <w:pPr>
              <w:pStyle w:val="TableParagraph"/>
              <w:spacing w:line="192" w:lineRule="exact" w:before="93"/>
              <w:ind w:left="65"/>
              <w:rPr>
                <w:sz w:val="16"/>
              </w:rPr>
            </w:pPr>
            <w:r>
              <w:rPr>
                <w:color w:val="231F20"/>
                <w:w w:val="75"/>
                <w:sz w:val="16"/>
              </w:rPr>
              <w:t>AÑO DE ELEC- </w:t>
            </w:r>
            <w:r>
              <w:rPr>
                <w:color w:val="231F20"/>
                <w:w w:val="85"/>
                <w:sz w:val="16"/>
              </w:rPr>
              <w:t>CIÓN</w:t>
            </w:r>
          </w:p>
        </w:tc>
        <w:tc>
          <w:tcPr>
            <w:tcW w:w="1125" w:type="dxa"/>
            <w:gridSpan w:val="2"/>
            <w:shd w:val="clear" w:color="auto" w:fill="C0C0BF"/>
          </w:tcPr>
          <w:p>
            <w:pPr>
              <w:pStyle w:val="TableParagraph"/>
              <w:spacing w:before="10"/>
              <w:ind w:left="0"/>
              <w:rPr>
                <w:rFonts w:ascii="Times New Roman"/>
                <w:b/>
                <w:sz w:val="13"/>
              </w:rPr>
            </w:pPr>
          </w:p>
          <w:p>
            <w:pPr>
              <w:pStyle w:val="TableParagraph"/>
              <w:spacing w:line="192" w:lineRule="exact"/>
              <w:ind w:left="64"/>
              <w:rPr>
                <w:sz w:val="16"/>
              </w:rPr>
            </w:pPr>
            <w:r>
              <w:rPr>
                <w:color w:val="231F20"/>
                <w:w w:val="85"/>
                <w:sz w:val="16"/>
              </w:rPr>
              <w:t>PAN</w:t>
            </w:r>
          </w:p>
        </w:tc>
        <w:tc>
          <w:tcPr>
            <w:tcW w:w="1287" w:type="dxa"/>
            <w:gridSpan w:val="2"/>
            <w:shd w:val="clear" w:color="auto" w:fill="C0C0BF"/>
          </w:tcPr>
          <w:p>
            <w:pPr>
              <w:pStyle w:val="TableParagraph"/>
              <w:spacing w:line="161" w:lineRule="exact"/>
              <w:ind w:left="65"/>
              <w:rPr>
                <w:b/>
                <w:sz w:val="16"/>
              </w:rPr>
            </w:pPr>
            <w:r>
              <w:rPr>
                <w:b/>
                <w:color w:val="231F20"/>
                <w:w w:val="105"/>
                <w:sz w:val="16"/>
              </w:rPr>
              <w:t>PRI (PRI-</w:t>
            </w:r>
          </w:p>
          <w:p>
            <w:pPr>
              <w:pStyle w:val="TableParagraph"/>
              <w:spacing w:line="191" w:lineRule="exact"/>
              <w:ind w:left="65"/>
              <w:rPr>
                <w:b/>
                <w:sz w:val="16"/>
              </w:rPr>
            </w:pPr>
            <w:r>
              <w:rPr>
                <w:b/>
                <w:color w:val="231F20"/>
                <w:sz w:val="16"/>
              </w:rPr>
              <w:t>PVEM*)</w:t>
            </w:r>
          </w:p>
        </w:tc>
        <w:tc>
          <w:tcPr>
            <w:tcW w:w="1155" w:type="dxa"/>
            <w:gridSpan w:val="2"/>
            <w:shd w:val="clear" w:color="auto" w:fill="C0C0BF"/>
          </w:tcPr>
          <w:p>
            <w:pPr>
              <w:pStyle w:val="TableParagraph"/>
              <w:spacing w:before="10"/>
              <w:ind w:left="0"/>
              <w:rPr>
                <w:rFonts w:ascii="Times New Roman"/>
                <w:b/>
                <w:sz w:val="13"/>
              </w:rPr>
            </w:pPr>
          </w:p>
          <w:p>
            <w:pPr>
              <w:pStyle w:val="TableParagraph"/>
              <w:spacing w:line="192" w:lineRule="exact"/>
              <w:ind w:left="64"/>
              <w:rPr>
                <w:b/>
                <w:sz w:val="16"/>
              </w:rPr>
            </w:pPr>
            <w:r>
              <w:rPr>
                <w:b/>
                <w:color w:val="231F20"/>
                <w:w w:val="110"/>
                <w:sz w:val="16"/>
              </w:rPr>
              <w:t>PRD</w:t>
            </w:r>
          </w:p>
        </w:tc>
        <w:tc>
          <w:tcPr>
            <w:tcW w:w="872" w:type="dxa"/>
            <w:vMerge w:val="restart"/>
            <w:shd w:val="clear" w:color="auto" w:fill="C0C0BF"/>
          </w:tcPr>
          <w:p>
            <w:pPr>
              <w:pStyle w:val="TableParagraph"/>
              <w:spacing w:line="192" w:lineRule="exact" w:before="93"/>
              <w:ind w:left="65"/>
              <w:rPr>
                <w:b/>
                <w:sz w:val="16"/>
              </w:rPr>
            </w:pPr>
            <w:r>
              <w:rPr>
                <w:b/>
                <w:color w:val="231F20"/>
                <w:w w:val="110"/>
                <w:sz w:val="16"/>
              </w:rPr>
              <w:t>TOTAL DE VOTOS</w:t>
            </w:r>
          </w:p>
        </w:tc>
        <w:tc>
          <w:tcPr>
            <w:tcW w:w="818" w:type="dxa"/>
            <w:vMerge w:val="restart"/>
            <w:shd w:val="clear" w:color="auto" w:fill="C0C0BF"/>
          </w:tcPr>
          <w:p>
            <w:pPr>
              <w:pStyle w:val="TableParagraph"/>
              <w:spacing w:line="235" w:lineRule="auto" w:before="1"/>
              <w:ind w:left="65" w:right="21"/>
              <w:rPr>
                <w:b/>
                <w:sz w:val="16"/>
              </w:rPr>
            </w:pPr>
            <w:r>
              <w:rPr>
                <w:b/>
                <w:color w:val="231F20"/>
                <w:w w:val="110"/>
                <w:sz w:val="16"/>
              </w:rPr>
              <w:t>LISTA </w:t>
            </w:r>
            <w:r>
              <w:rPr>
                <w:b/>
                <w:color w:val="231F20"/>
                <w:sz w:val="16"/>
              </w:rPr>
              <w:t>NOMI- </w:t>
            </w:r>
            <w:r>
              <w:rPr>
                <w:b/>
                <w:color w:val="231F20"/>
                <w:w w:val="110"/>
                <w:sz w:val="16"/>
              </w:rPr>
              <w:t>NAL</w:t>
            </w:r>
          </w:p>
        </w:tc>
        <w:tc>
          <w:tcPr>
            <w:tcW w:w="1666" w:type="dxa"/>
            <w:vMerge w:val="restart"/>
            <w:shd w:val="clear" w:color="auto" w:fill="C0C0BF"/>
          </w:tcPr>
          <w:p>
            <w:pPr>
              <w:pStyle w:val="TableParagraph"/>
              <w:spacing w:before="6"/>
              <w:ind w:left="0"/>
              <w:rPr>
                <w:rFonts w:ascii="Times New Roman"/>
                <w:b/>
                <w:sz w:val="16"/>
              </w:rPr>
            </w:pPr>
          </w:p>
          <w:p>
            <w:pPr>
              <w:pStyle w:val="TableParagraph"/>
              <w:ind w:left="65"/>
              <w:rPr>
                <w:b/>
                <w:sz w:val="16"/>
              </w:rPr>
            </w:pPr>
            <w:r>
              <w:rPr>
                <w:b/>
                <w:color w:val="231F20"/>
                <w:w w:val="110"/>
                <w:sz w:val="16"/>
              </w:rPr>
              <w:t>ABSTENCIONISMO</w:t>
            </w:r>
          </w:p>
        </w:tc>
      </w:tr>
      <w:tr>
        <w:trPr>
          <w:trHeight w:val="254" w:hRule="exact"/>
        </w:trPr>
        <w:tc>
          <w:tcPr>
            <w:tcW w:w="1004" w:type="dxa"/>
            <w:vMerge/>
            <w:shd w:val="clear" w:color="auto" w:fill="C0C0BF"/>
          </w:tcPr>
          <w:p>
            <w:pPr/>
          </w:p>
        </w:tc>
        <w:tc>
          <w:tcPr>
            <w:tcW w:w="556" w:type="dxa"/>
            <w:shd w:val="clear" w:color="auto" w:fill="C0C0BF"/>
          </w:tcPr>
          <w:p>
            <w:pPr>
              <w:pStyle w:val="TableParagraph"/>
              <w:spacing w:line="192" w:lineRule="exact" w:before="91"/>
              <w:ind w:left="64"/>
              <w:rPr>
                <w:sz w:val="16"/>
              </w:rPr>
            </w:pPr>
            <w:r>
              <w:rPr>
                <w:color w:val="231F20"/>
                <w:w w:val="80"/>
                <w:sz w:val="16"/>
              </w:rPr>
              <w:t>VOTOS</w:t>
            </w:r>
          </w:p>
        </w:tc>
        <w:tc>
          <w:tcPr>
            <w:tcW w:w="569" w:type="dxa"/>
            <w:shd w:val="clear" w:color="auto" w:fill="C0C0BF"/>
          </w:tcPr>
          <w:p>
            <w:pPr>
              <w:pStyle w:val="TableParagraph"/>
              <w:spacing w:line="192" w:lineRule="exact" w:before="91"/>
              <w:ind w:left="64"/>
              <w:rPr>
                <w:sz w:val="16"/>
              </w:rPr>
            </w:pPr>
            <w:r>
              <w:rPr>
                <w:color w:val="231F20"/>
                <w:w w:val="90"/>
                <w:sz w:val="16"/>
              </w:rPr>
              <w:t>%</w:t>
            </w:r>
          </w:p>
        </w:tc>
        <w:tc>
          <w:tcPr>
            <w:tcW w:w="569" w:type="dxa"/>
            <w:shd w:val="clear" w:color="auto" w:fill="C0C0BF"/>
          </w:tcPr>
          <w:p>
            <w:pPr>
              <w:pStyle w:val="TableParagraph"/>
              <w:spacing w:line="192" w:lineRule="exact" w:before="91"/>
              <w:ind w:left="64"/>
              <w:rPr>
                <w:sz w:val="16"/>
              </w:rPr>
            </w:pPr>
            <w:r>
              <w:rPr>
                <w:color w:val="231F20"/>
                <w:w w:val="80"/>
                <w:sz w:val="16"/>
              </w:rPr>
              <w:t>VOTOS</w:t>
            </w:r>
          </w:p>
        </w:tc>
        <w:tc>
          <w:tcPr>
            <w:tcW w:w="718" w:type="dxa"/>
            <w:shd w:val="clear" w:color="auto" w:fill="C0C0BF"/>
          </w:tcPr>
          <w:p>
            <w:pPr>
              <w:pStyle w:val="TableParagraph"/>
              <w:spacing w:line="192" w:lineRule="exact" w:before="91"/>
              <w:ind w:left="64"/>
              <w:rPr>
                <w:sz w:val="16"/>
              </w:rPr>
            </w:pPr>
            <w:r>
              <w:rPr>
                <w:color w:val="231F20"/>
                <w:w w:val="90"/>
                <w:sz w:val="16"/>
              </w:rPr>
              <w:t>%</w:t>
            </w:r>
          </w:p>
        </w:tc>
        <w:tc>
          <w:tcPr>
            <w:tcW w:w="569" w:type="dxa"/>
            <w:shd w:val="clear" w:color="auto" w:fill="C0C0BF"/>
          </w:tcPr>
          <w:p>
            <w:pPr>
              <w:pStyle w:val="TableParagraph"/>
              <w:spacing w:line="192" w:lineRule="exact" w:before="91"/>
              <w:ind w:left="64"/>
              <w:rPr>
                <w:sz w:val="16"/>
              </w:rPr>
            </w:pPr>
            <w:r>
              <w:rPr>
                <w:color w:val="231F20"/>
                <w:w w:val="80"/>
                <w:sz w:val="16"/>
              </w:rPr>
              <w:t>VOTOS</w:t>
            </w:r>
          </w:p>
        </w:tc>
        <w:tc>
          <w:tcPr>
            <w:tcW w:w="586" w:type="dxa"/>
            <w:shd w:val="clear" w:color="auto" w:fill="C0C0BF"/>
          </w:tcPr>
          <w:p>
            <w:pPr>
              <w:pStyle w:val="TableParagraph"/>
              <w:spacing w:line="192" w:lineRule="exact" w:before="91"/>
              <w:ind w:left="64"/>
              <w:rPr>
                <w:sz w:val="16"/>
              </w:rPr>
            </w:pPr>
            <w:r>
              <w:rPr>
                <w:color w:val="231F20"/>
                <w:w w:val="90"/>
                <w:sz w:val="16"/>
              </w:rPr>
              <w:t>%</w:t>
            </w:r>
          </w:p>
        </w:tc>
        <w:tc>
          <w:tcPr>
            <w:tcW w:w="872" w:type="dxa"/>
            <w:vMerge/>
            <w:shd w:val="clear" w:color="auto" w:fill="C0C0BF"/>
          </w:tcPr>
          <w:p>
            <w:pPr/>
          </w:p>
        </w:tc>
        <w:tc>
          <w:tcPr>
            <w:tcW w:w="818" w:type="dxa"/>
            <w:vMerge/>
            <w:shd w:val="clear" w:color="auto" w:fill="C0C0BF"/>
          </w:tcPr>
          <w:p>
            <w:pPr/>
          </w:p>
        </w:tc>
        <w:tc>
          <w:tcPr>
            <w:tcW w:w="1666" w:type="dxa"/>
            <w:vMerge/>
            <w:shd w:val="clear" w:color="auto" w:fill="C0C0BF"/>
          </w:tcPr>
          <w:p>
            <w:pPr/>
          </w:p>
        </w:tc>
      </w:tr>
      <w:tr>
        <w:trPr>
          <w:trHeight w:val="255" w:hRule="exact"/>
        </w:trPr>
        <w:tc>
          <w:tcPr>
            <w:tcW w:w="1004" w:type="dxa"/>
          </w:tcPr>
          <w:p>
            <w:pPr>
              <w:pStyle w:val="TableParagraph"/>
              <w:spacing w:line="192" w:lineRule="exact" w:before="92"/>
              <w:ind w:left="64"/>
              <w:rPr>
                <w:sz w:val="16"/>
              </w:rPr>
            </w:pPr>
            <w:r>
              <w:rPr>
                <w:color w:val="231F20"/>
                <w:w w:val="85"/>
                <w:sz w:val="16"/>
              </w:rPr>
              <w:t>1993</w:t>
            </w:r>
          </w:p>
        </w:tc>
        <w:tc>
          <w:tcPr>
            <w:tcW w:w="556" w:type="dxa"/>
          </w:tcPr>
          <w:p>
            <w:pPr>
              <w:pStyle w:val="TableParagraph"/>
              <w:spacing w:line="192" w:lineRule="exact" w:before="92"/>
              <w:ind w:left="64"/>
              <w:rPr>
                <w:sz w:val="16"/>
              </w:rPr>
            </w:pPr>
            <w:r>
              <w:rPr>
                <w:color w:val="231F20"/>
                <w:w w:val="85"/>
                <w:sz w:val="16"/>
              </w:rPr>
              <w:t>41263</w:t>
            </w:r>
          </w:p>
        </w:tc>
        <w:tc>
          <w:tcPr>
            <w:tcW w:w="569" w:type="dxa"/>
          </w:tcPr>
          <w:p>
            <w:pPr>
              <w:pStyle w:val="TableParagraph"/>
              <w:spacing w:line="192" w:lineRule="exact" w:before="92"/>
              <w:ind w:left="64"/>
              <w:rPr>
                <w:sz w:val="16"/>
              </w:rPr>
            </w:pPr>
            <w:r>
              <w:rPr>
                <w:color w:val="231F20"/>
                <w:w w:val="90"/>
                <w:sz w:val="16"/>
              </w:rPr>
              <w:t>12,03%</w:t>
            </w:r>
          </w:p>
        </w:tc>
        <w:tc>
          <w:tcPr>
            <w:tcW w:w="569" w:type="dxa"/>
          </w:tcPr>
          <w:p>
            <w:pPr>
              <w:pStyle w:val="TableParagraph"/>
              <w:spacing w:line="192" w:lineRule="exact" w:before="92"/>
              <w:ind w:left="64"/>
              <w:rPr>
                <w:sz w:val="16"/>
              </w:rPr>
            </w:pPr>
            <w:r>
              <w:rPr>
                <w:color w:val="231F20"/>
                <w:w w:val="85"/>
                <w:sz w:val="16"/>
              </w:rPr>
              <w:t>185552</w:t>
            </w:r>
          </w:p>
        </w:tc>
        <w:tc>
          <w:tcPr>
            <w:tcW w:w="718" w:type="dxa"/>
          </w:tcPr>
          <w:p>
            <w:pPr>
              <w:pStyle w:val="TableParagraph"/>
              <w:spacing w:line="192" w:lineRule="exact" w:before="92"/>
              <w:ind w:left="64"/>
              <w:rPr>
                <w:sz w:val="16"/>
              </w:rPr>
            </w:pPr>
            <w:r>
              <w:rPr>
                <w:color w:val="231F20"/>
                <w:w w:val="90"/>
                <w:sz w:val="16"/>
              </w:rPr>
              <w:t>54,11%</w:t>
            </w:r>
          </w:p>
        </w:tc>
        <w:tc>
          <w:tcPr>
            <w:tcW w:w="569" w:type="dxa"/>
          </w:tcPr>
          <w:p>
            <w:pPr>
              <w:pStyle w:val="TableParagraph"/>
              <w:spacing w:line="192" w:lineRule="exact" w:before="92"/>
              <w:ind w:left="64"/>
              <w:rPr>
                <w:sz w:val="16"/>
              </w:rPr>
            </w:pPr>
            <w:r>
              <w:rPr>
                <w:color w:val="231F20"/>
                <w:w w:val="85"/>
                <w:sz w:val="16"/>
              </w:rPr>
              <w:t>44640</w:t>
            </w:r>
          </w:p>
        </w:tc>
        <w:tc>
          <w:tcPr>
            <w:tcW w:w="586" w:type="dxa"/>
          </w:tcPr>
          <w:p>
            <w:pPr>
              <w:pStyle w:val="TableParagraph"/>
              <w:spacing w:line="192" w:lineRule="exact" w:before="92"/>
              <w:ind w:left="64"/>
              <w:rPr>
                <w:sz w:val="16"/>
              </w:rPr>
            </w:pPr>
            <w:r>
              <w:rPr>
                <w:color w:val="231F20"/>
                <w:w w:val="90"/>
                <w:sz w:val="16"/>
              </w:rPr>
              <w:t>13,02%</w:t>
            </w:r>
          </w:p>
        </w:tc>
        <w:tc>
          <w:tcPr>
            <w:tcW w:w="872" w:type="dxa"/>
          </w:tcPr>
          <w:p>
            <w:pPr>
              <w:pStyle w:val="TableParagraph"/>
              <w:spacing w:line="192" w:lineRule="exact" w:before="92"/>
              <w:ind w:left="64"/>
              <w:rPr>
                <w:sz w:val="16"/>
              </w:rPr>
            </w:pPr>
            <w:r>
              <w:rPr>
                <w:color w:val="231F20"/>
                <w:w w:val="85"/>
                <w:sz w:val="16"/>
              </w:rPr>
              <w:t>342940</w:t>
            </w:r>
          </w:p>
        </w:tc>
        <w:tc>
          <w:tcPr>
            <w:tcW w:w="818" w:type="dxa"/>
          </w:tcPr>
          <w:p>
            <w:pPr>
              <w:pStyle w:val="TableParagraph"/>
              <w:spacing w:line="192" w:lineRule="exact" w:before="92"/>
              <w:ind w:left="64" w:right="21"/>
              <w:rPr>
                <w:sz w:val="16"/>
              </w:rPr>
            </w:pPr>
            <w:r>
              <w:rPr>
                <w:color w:val="231F20"/>
                <w:w w:val="85"/>
                <w:sz w:val="16"/>
              </w:rPr>
              <w:t>692575</w:t>
            </w:r>
          </w:p>
        </w:tc>
        <w:tc>
          <w:tcPr>
            <w:tcW w:w="1666" w:type="dxa"/>
          </w:tcPr>
          <w:p>
            <w:pPr>
              <w:pStyle w:val="TableParagraph"/>
              <w:spacing w:line="192" w:lineRule="exact" w:before="92"/>
              <w:ind w:left="64"/>
              <w:rPr>
                <w:sz w:val="16"/>
              </w:rPr>
            </w:pPr>
            <w:r>
              <w:rPr>
                <w:color w:val="231F20"/>
                <w:w w:val="90"/>
                <w:sz w:val="16"/>
              </w:rPr>
              <w:t>50,48%</w:t>
            </w:r>
          </w:p>
        </w:tc>
      </w:tr>
      <w:tr>
        <w:trPr>
          <w:trHeight w:val="255" w:hRule="exact"/>
        </w:trPr>
        <w:tc>
          <w:tcPr>
            <w:tcW w:w="1004" w:type="dxa"/>
          </w:tcPr>
          <w:p>
            <w:pPr>
              <w:pStyle w:val="TableParagraph"/>
              <w:spacing w:line="192" w:lineRule="exact" w:before="92"/>
              <w:ind w:left="64"/>
              <w:rPr>
                <w:sz w:val="16"/>
              </w:rPr>
            </w:pPr>
            <w:r>
              <w:rPr>
                <w:color w:val="231F20"/>
                <w:w w:val="85"/>
                <w:sz w:val="16"/>
              </w:rPr>
              <w:t>1996</w:t>
            </w:r>
          </w:p>
        </w:tc>
        <w:tc>
          <w:tcPr>
            <w:tcW w:w="556" w:type="dxa"/>
          </w:tcPr>
          <w:p>
            <w:pPr>
              <w:pStyle w:val="TableParagraph"/>
              <w:spacing w:line="192" w:lineRule="exact" w:before="92"/>
              <w:ind w:left="64"/>
              <w:rPr>
                <w:sz w:val="16"/>
              </w:rPr>
            </w:pPr>
            <w:r>
              <w:rPr>
                <w:color w:val="231F20"/>
                <w:w w:val="85"/>
                <w:sz w:val="16"/>
              </w:rPr>
              <w:t>70530</w:t>
            </w:r>
          </w:p>
        </w:tc>
        <w:tc>
          <w:tcPr>
            <w:tcW w:w="569" w:type="dxa"/>
          </w:tcPr>
          <w:p>
            <w:pPr>
              <w:pStyle w:val="TableParagraph"/>
              <w:spacing w:line="192" w:lineRule="exact" w:before="92"/>
              <w:ind w:left="64"/>
              <w:rPr>
                <w:sz w:val="16"/>
              </w:rPr>
            </w:pPr>
            <w:r>
              <w:rPr>
                <w:color w:val="231F20"/>
                <w:w w:val="90"/>
                <w:sz w:val="16"/>
              </w:rPr>
              <w:t>22,55%</w:t>
            </w:r>
          </w:p>
        </w:tc>
        <w:tc>
          <w:tcPr>
            <w:tcW w:w="569" w:type="dxa"/>
          </w:tcPr>
          <w:p>
            <w:pPr>
              <w:pStyle w:val="TableParagraph"/>
              <w:spacing w:line="192" w:lineRule="exact" w:before="92"/>
              <w:ind w:left="64"/>
              <w:rPr>
                <w:sz w:val="16"/>
              </w:rPr>
            </w:pPr>
            <w:r>
              <w:rPr>
                <w:color w:val="231F20"/>
                <w:w w:val="85"/>
                <w:sz w:val="16"/>
              </w:rPr>
              <w:t>86730</w:t>
            </w:r>
          </w:p>
        </w:tc>
        <w:tc>
          <w:tcPr>
            <w:tcW w:w="718" w:type="dxa"/>
          </w:tcPr>
          <w:p>
            <w:pPr>
              <w:pStyle w:val="TableParagraph"/>
              <w:spacing w:line="192" w:lineRule="exact" w:before="92"/>
              <w:ind w:left="64"/>
              <w:rPr>
                <w:sz w:val="16"/>
              </w:rPr>
            </w:pPr>
            <w:r>
              <w:rPr>
                <w:color w:val="231F20"/>
                <w:w w:val="90"/>
                <w:sz w:val="16"/>
              </w:rPr>
              <w:t>28,85%</w:t>
            </w:r>
          </w:p>
        </w:tc>
        <w:tc>
          <w:tcPr>
            <w:tcW w:w="569" w:type="dxa"/>
          </w:tcPr>
          <w:p>
            <w:pPr>
              <w:pStyle w:val="TableParagraph"/>
              <w:spacing w:line="192" w:lineRule="exact" w:before="92"/>
              <w:ind w:left="64"/>
              <w:rPr>
                <w:sz w:val="16"/>
              </w:rPr>
            </w:pPr>
            <w:r>
              <w:rPr>
                <w:color w:val="231F20"/>
                <w:w w:val="85"/>
                <w:sz w:val="16"/>
              </w:rPr>
              <w:t>102096</w:t>
            </w:r>
          </w:p>
        </w:tc>
        <w:tc>
          <w:tcPr>
            <w:tcW w:w="586" w:type="dxa"/>
          </w:tcPr>
          <w:p>
            <w:pPr>
              <w:pStyle w:val="TableParagraph"/>
              <w:spacing w:line="192" w:lineRule="exact" w:before="92"/>
              <w:ind w:left="64"/>
              <w:rPr>
                <w:sz w:val="16"/>
              </w:rPr>
            </w:pPr>
            <w:r>
              <w:rPr>
                <w:color w:val="231F20"/>
                <w:w w:val="90"/>
                <w:sz w:val="16"/>
              </w:rPr>
              <w:t>32,65%</w:t>
            </w:r>
          </w:p>
        </w:tc>
        <w:tc>
          <w:tcPr>
            <w:tcW w:w="872" w:type="dxa"/>
          </w:tcPr>
          <w:p>
            <w:pPr>
              <w:pStyle w:val="TableParagraph"/>
              <w:spacing w:line="192" w:lineRule="exact" w:before="92"/>
              <w:ind w:left="64"/>
              <w:rPr>
                <w:sz w:val="16"/>
              </w:rPr>
            </w:pPr>
            <w:r>
              <w:rPr>
                <w:color w:val="231F20"/>
                <w:w w:val="85"/>
                <w:sz w:val="16"/>
              </w:rPr>
              <w:t>312724</w:t>
            </w:r>
          </w:p>
        </w:tc>
        <w:tc>
          <w:tcPr>
            <w:tcW w:w="818" w:type="dxa"/>
          </w:tcPr>
          <w:p>
            <w:pPr>
              <w:pStyle w:val="TableParagraph"/>
              <w:spacing w:line="192" w:lineRule="exact" w:before="92"/>
              <w:ind w:left="64" w:right="21"/>
              <w:rPr>
                <w:sz w:val="16"/>
              </w:rPr>
            </w:pPr>
            <w:r>
              <w:rPr>
                <w:color w:val="231F20"/>
                <w:w w:val="85"/>
                <w:sz w:val="16"/>
              </w:rPr>
              <w:t>796437</w:t>
            </w:r>
          </w:p>
        </w:tc>
        <w:tc>
          <w:tcPr>
            <w:tcW w:w="1666" w:type="dxa"/>
          </w:tcPr>
          <w:p>
            <w:pPr>
              <w:pStyle w:val="TableParagraph"/>
              <w:spacing w:line="192" w:lineRule="exact" w:before="92"/>
              <w:ind w:left="64"/>
              <w:rPr>
                <w:sz w:val="16"/>
              </w:rPr>
            </w:pPr>
            <w:r>
              <w:rPr>
                <w:color w:val="231F20"/>
                <w:w w:val="90"/>
                <w:sz w:val="16"/>
              </w:rPr>
              <w:t>60,73%</w:t>
            </w:r>
          </w:p>
        </w:tc>
      </w:tr>
      <w:tr>
        <w:trPr>
          <w:trHeight w:val="255" w:hRule="exact"/>
        </w:trPr>
        <w:tc>
          <w:tcPr>
            <w:tcW w:w="1004" w:type="dxa"/>
          </w:tcPr>
          <w:p>
            <w:pPr>
              <w:pStyle w:val="TableParagraph"/>
              <w:spacing w:line="192" w:lineRule="exact" w:before="92"/>
              <w:ind w:left="64"/>
              <w:rPr>
                <w:sz w:val="16"/>
              </w:rPr>
            </w:pPr>
            <w:r>
              <w:rPr>
                <w:color w:val="231F20"/>
                <w:w w:val="85"/>
                <w:sz w:val="16"/>
              </w:rPr>
              <w:t>2000</w:t>
            </w:r>
          </w:p>
        </w:tc>
        <w:tc>
          <w:tcPr>
            <w:tcW w:w="556" w:type="dxa"/>
          </w:tcPr>
          <w:p>
            <w:pPr>
              <w:pStyle w:val="TableParagraph"/>
              <w:spacing w:line="192" w:lineRule="exact" w:before="92"/>
              <w:ind w:left="64"/>
              <w:rPr>
                <w:sz w:val="16"/>
              </w:rPr>
            </w:pPr>
            <w:r>
              <w:rPr>
                <w:color w:val="231F20"/>
                <w:w w:val="85"/>
                <w:sz w:val="16"/>
              </w:rPr>
              <w:t>141052</w:t>
            </w:r>
          </w:p>
        </w:tc>
        <w:tc>
          <w:tcPr>
            <w:tcW w:w="569" w:type="dxa"/>
          </w:tcPr>
          <w:p>
            <w:pPr>
              <w:pStyle w:val="TableParagraph"/>
              <w:spacing w:line="192" w:lineRule="exact" w:before="92"/>
              <w:ind w:left="64"/>
              <w:rPr>
                <w:sz w:val="16"/>
              </w:rPr>
            </w:pPr>
            <w:r>
              <w:rPr>
                <w:color w:val="231F20"/>
                <w:w w:val="90"/>
                <w:sz w:val="16"/>
              </w:rPr>
              <w:t>27,13%</w:t>
            </w:r>
          </w:p>
        </w:tc>
        <w:tc>
          <w:tcPr>
            <w:tcW w:w="569" w:type="dxa"/>
          </w:tcPr>
          <w:p>
            <w:pPr>
              <w:pStyle w:val="TableParagraph"/>
              <w:spacing w:line="192" w:lineRule="exact" w:before="92"/>
              <w:ind w:left="64"/>
              <w:rPr>
                <w:sz w:val="16"/>
              </w:rPr>
            </w:pPr>
            <w:r>
              <w:rPr>
                <w:color w:val="231F20"/>
                <w:w w:val="85"/>
                <w:sz w:val="16"/>
              </w:rPr>
              <w:t>140080</w:t>
            </w:r>
          </w:p>
        </w:tc>
        <w:tc>
          <w:tcPr>
            <w:tcW w:w="718" w:type="dxa"/>
          </w:tcPr>
          <w:p>
            <w:pPr>
              <w:pStyle w:val="TableParagraph"/>
              <w:spacing w:line="192" w:lineRule="exact" w:before="92"/>
              <w:ind w:left="64"/>
              <w:rPr>
                <w:sz w:val="16"/>
              </w:rPr>
            </w:pPr>
            <w:r>
              <w:rPr>
                <w:color w:val="231F20"/>
                <w:w w:val="90"/>
                <w:sz w:val="16"/>
              </w:rPr>
              <w:t>26,94%</w:t>
            </w:r>
          </w:p>
        </w:tc>
        <w:tc>
          <w:tcPr>
            <w:tcW w:w="569" w:type="dxa"/>
          </w:tcPr>
          <w:p>
            <w:pPr>
              <w:pStyle w:val="TableParagraph"/>
              <w:spacing w:line="192" w:lineRule="exact" w:before="92"/>
              <w:ind w:left="64"/>
              <w:rPr>
                <w:sz w:val="16"/>
              </w:rPr>
            </w:pPr>
            <w:r>
              <w:rPr>
                <w:color w:val="231F20"/>
                <w:w w:val="85"/>
                <w:sz w:val="16"/>
              </w:rPr>
              <w:t>200854</w:t>
            </w:r>
          </w:p>
        </w:tc>
        <w:tc>
          <w:tcPr>
            <w:tcW w:w="586" w:type="dxa"/>
          </w:tcPr>
          <w:p>
            <w:pPr>
              <w:pStyle w:val="TableParagraph"/>
              <w:spacing w:line="192" w:lineRule="exact" w:before="92"/>
              <w:ind w:left="64"/>
              <w:rPr>
                <w:sz w:val="16"/>
              </w:rPr>
            </w:pPr>
            <w:r>
              <w:rPr>
                <w:color w:val="231F20"/>
                <w:w w:val="90"/>
                <w:sz w:val="16"/>
              </w:rPr>
              <w:t>38,63%</w:t>
            </w:r>
          </w:p>
        </w:tc>
        <w:tc>
          <w:tcPr>
            <w:tcW w:w="872" w:type="dxa"/>
          </w:tcPr>
          <w:p>
            <w:pPr>
              <w:pStyle w:val="TableParagraph"/>
              <w:spacing w:line="192" w:lineRule="exact" w:before="92"/>
              <w:ind w:left="64"/>
              <w:rPr>
                <w:sz w:val="16"/>
              </w:rPr>
            </w:pPr>
            <w:r>
              <w:rPr>
                <w:color w:val="231F20"/>
                <w:w w:val="85"/>
                <w:sz w:val="16"/>
              </w:rPr>
              <w:t>531008</w:t>
            </w:r>
          </w:p>
        </w:tc>
        <w:tc>
          <w:tcPr>
            <w:tcW w:w="818" w:type="dxa"/>
          </w:tcPr>
          <w:p>
            <w:pPr>
              <w:pStyle w:val="TableParagraph"/>
              <w:spacing w:line="192" w:lineRule="exact" w:before="92"/>
              <w:ind w:left="64" w:right="21"/>
              <w:rPr>
                <w:sz w:val="16"/>
              </w:rPr>
            </w:pPr>
            <w:r>
              <w:rPr>
                <w:color w:val="231F20"/>
                <w:w w:val="85"/>
                <w:sz w:val="16"/>
              </w:rPr>
              <w:t>864296</w:t>
            </w:r>
          </w:p>
        </w:tc>
        <w:tc>
          <w:tcPr>
            <w:tcW w:w="1666" w:type="dxa"/>
          </w:tcPr>
          <w:p>
            <w:pPr>
              <w:pStyle w:val="TableParagraph"/>
              <w:spacing w:line="192" w:lineRule="exact" w:before="92"/>
              <w:ind w:left="64"/>
              <w:rPr>
                <w:sz w:val="16"/>
              </w:rPr>
            </w:pPr>
            <w:r>
              <w:rPr>
                <w:color w:val="231F20"/>
                <w:w w:val="90"/>
                <w:sz w:val="16"/>
              </w:rPr>
              <w:t>38,56%</w:t>
            </w:r>
          </w:p>
        </w:tc>
      </w:tr>
      <w:tr>
        <w:trPr>
          <w:trHeight w:val="255" w:hRule="exact"/>
        </w:trPr>
        <w:tc>
          <w:tcPr>
            <w:tcW w:w="1004" w:type="dxa"/>
          </w:tcPr>
          <w:p>
            <w:pPr>
              <w:pStyle w:val="TableParagraph"/>
              <w:spacing w:line="192" w:lineRule="exact" w:before="92"/>
              <w:ind w:left="64"/>
              <w:rPr>
                <w:sz w:val="16"/>
              </w:rPr>
            </w:pPr>
            <w:r>
              <w:rPr>
                <w:color w:val="231F20"/>
                <w:w w:val="85"/>
                <w:sz w:val="16"/>
              </w:rPr>
              <w:t>2003</w:t>
            </w:r>
          </w:p>
        </w:tc>
        <w:tc>
          <w:tcPr>
            <w:tcW w:w="556" w:type="dxa"/>
          </w:tcPr>
          <w:p>
            <w:pPr>
              <w:pStyle w:val="TableParagraph"/>
              <w:spacing w:line="192" w:lineRule="exact" w:before="92"/>
              <w:ind w:left="64"/>
              <w:rPr>
                <w:sz w:val="16"/>
              </w:rPr>
            </w:pPr>
            <w:r>
              <w:rPr>
                <w:color w:val="231F20"/>
                <w:w w:val="85"/>
                <w:sz w:val="16"/>
              </w:rPr>
              <w:t>44025</w:t>
            </w:r>
          </w:p>
        </w:tc>
        <w:tc>
          <w:tcPr>
            <w:tcW w:w="569" w:type="dxa"/>
          </w:tcPr>
          <w:p>
            <w:pPr>
              <w:pStyle w:val="TableParagraph"/>
              <w:spacing w:line="192" w:lineRule="exact" w:before="92"/>
              <w:ind w:left="64"/>
              <w:rPr>
                <w:sz w:val="16"/>
              </w:rPr>
            </w:pPr>
            <w:r>
              <w:rPr>
                <w:color w:val="231F20"/>
                <w:w w:val="90"/>
                <w:sz w:val="16"/>
              </w:rPr>
              <w:t>14,98%</w:t>
            </w:r>
          </w:p>
        </w:tc>
        <w:tc>
          <w:tcPr>
            <w:tcW w:w="569" w:type="dxa"/>
          </w:tcPr>
          <w:p>
            <w:pPr>
              <w:pStyle w:val="TableParagraph"/>
              <w:spacing w:line="192" w:lineRule="exact" w:before="92"/>
              <w:ind w:left="64"/>
              <w:rPr>
                <w:sz w:val="16"/>
              </w:rPr>
            </w:pPr>
            <w:r>
              <w:rPr>
                <w:color w:val="231F20"/>
                <w:w w:val="85"/>
                <w:sz w:val="16"/>
              </w:rPr>
              <w:t>79144*</w:t>
            </w:r>
          </w:p>
        </w:tc>
        <w:tc>
          <w:tcPr>
            <w:tcW w:w="718" w:type="dxa"/>
          </w:tcPr>
          <w:p>
            <w:pPr>
              <w:pStyle w:val="TableParagraph"/>
              <w:spacing w:line="192" w:lineRule="exact" w:before="92"/>
              <w:ind w:left="64"/>
              <w:rPr>
                <w:sz w:val="16"/>
              </w:rPr>
            </w:pPr>
            <w:r>
              <w:rPr>
                <w:color w:val="231F20"/>
                <w:w w:val="90"/>
                <w:sz w:val="16"/>
              </w:rPr>
              <w:t>26,93%</w:t>
            </w:r>
          </w:p>
        </w:tc>
        <w:tc>
          <w:tcPr>
            <w:tcW w:w="569" w:type="dxa"/>
          </w:tcPr>
          <w:p>
            <w:pPr>
              <w:pStyle w:val="TableParagraph"/>
              <w:spacing w:line="192" w:lineRule="exact" w:before="92"/>
              <w:ind w:left="64"/>
              <w:rPr>
                <w:sz w:val="16"/>
              </w:rPr>
            </w:pPr>
            <w:r>
              <w:rPr>
                <w:color w:val="231F20"/>
                <w:w w:val="85"/>
                <w:sz w:val="16"/>
              </w:rPr>
              <w:t>148949</w:t>
            </w:r>
          </w:p>
        </w:tc>
        <w:tc>
          <w:tcPr>
            <w:tcW w:w="586" w:type="dxa"/>
          </w:tcPr>
          <w:p>
            <w:pPr>
              <w:pStyle w:val="TableParagraph"/>
              <w:spacing w:line="192" w:lineRule="exact" w:before="92"/>
              <w:ind w:left="64"/>
              <w:rPr>
                <w:sz w:val="16"/>
              </w:rPr>
            </w:pPr>
            <w:r>
              <w:rPr>
                <w:color w:val="231F20"/>
                <w:w w:val="90"/>
                <w:sz w:val="16"/>
              </w:rPr>
              <w:t>50,69%</w:t>
            </w:r>
          </w:p>
        </w:tc>
        <w:tc>
          <w:tcPr>
            <w:tcW w:w="872" w:type="dxa"/>
          </w:tcPr>
          <w:p>
            <w:pPr>
              <w:pStyle w:val="TableParagraph"/>
              <w:spacing w:line="192" w:lineRule="exact" w:before="92"/>
              <w:ind w:left="64"/>
              <w:rPr>
                <w:sz w:val="16"/>
              </w:rPr>
            </w:pPr>
            <w:r>
              <w:rPr>
                <w:color w:val="231F20"/>
                <w:w w:val="85"/>
                <w:sz w:val="16"/>
              </w:rPr>
              <w:t>293849</w:t>
            </w:r>
          </w:p>
        </w:tc>
        <w:tc>
          <w:tcPr>
            <w:tcW w:w="818" w:type="dxa"/>
          </w:tcPr>
          <w:p>
            <w:pPr>
              <w:pStyle w:val="TableParagraph"/>
              <w:spacing w:line="192" w:lineRule="exact" w:before="92"/>
              <w:ind w:left="64" w:right="21"/>
              <w:rPr>
                <w:sz w:val="16"/>
              </w:rPr>
            </w:pPr>
            <w:r>
              <w:rPr>
                <w:color w:val="231F20"/>
                <w:w w:val="85"/>
                <w:sz w:val="16"/>
              </w:rPr>
              <w:t>882428</w:t>
            </w:r>
          </w:p>
        </w:tc>
        <w:tc>
          <w:tcPr>
            <w:tcW w:w="1666" w:type="dxa"/>
          </w:tcPr>
          <w:p>
            <w:pPr>
              <w:pStyle w:val="TableParagraph"/>
              <w:spacing w:line="192" w:lineRule="exact" w:before="92"/>
              <w:ind w:left="64"/>
              <w:rPr>
                <w:sz w:val="16"/>
              </w:rPr>
            </w:pPr>
            <w:r>
              <w:rPr>
                <w:color w:val="231F20"/>
                <w:w w:val="90"/>
                <w:sz w:val="16"/>
              </w:rPr>
              <w:t>66,70%</w:t>
            </w:r>
          </w:p>
        </w:tc>
      </w:tr>
      <w:tr>
        <w:trPr>
          <w:trHeight w:val="255" w:hRule="exact"/>
        </w:trPr>
        <w:tc>
          <w:tcPr>
            <w:tcW w:w="1004" w:type="dxa"/>
          </w:tcPr>
          <w:p>
            <w:pPr>
              <w:pStyle w:val="TableParagraph"/>
              <w:spacing w:line="192" w:lineRule="exact" w:before="92"/>
              <w:ind w:left="64"/>
              <w:rPr>
                <w:sz w:val="16"/>
              </w:rPr>
            </w:pPr>
            <w:r>
              <w:rPr>
                <w:color w:val="231F20"/>
                <w:w w:val="85"/>
                <w:sz w:val="16"/>
              </w:rPr>
              <w:t>2006</w:t>
            </w:r>
          </w:p>
        </w:tc>
        <w:tc>
          <w:tcPr>
            <w:tcW w:w="556" w:type="dxa"/>
          </w:tcPr>
          <w:p>
            <w:pPr>
              <w:pStyle w:val="TableParagraph"/>
              <w:spacing w:line="192" w:lineRule="exact" w:before="92"/>
              <w:ind w:left="64"/>
              <w:rPr>
                <w:sz w:val="16"/>
              </w:rPr>
            </w:pPr>
            <w:r>
              <w:rPr>
                <w:color w:val="231F20"/>
                <w:w w:val="85"/>
                <w:sz w:val="16"/>
              </w:rPr>
              <w:t>35997</w:t>
            </w:r>
          </w:p>
        </w:tc>
        <w:tc>
          <w:tcPr>
            <w:tcW w:w="569" w:type="dxa"/>
          </w:tcPr>
          <w:p>
            <w:pPr>
              <w:pStyle w:val="TableParagraph"/>
              <w:spacing w:line="192" w:lineRule="exact" w:before="92"/>
              <w:ind w:left="64"/>
              <w:rPr>
                <w:sz w:val="16"/>
              </w:rPr>
            </w:pPr>
            <w:r>
              <w:rPr>
                <w:color w:val="231F20"/>
                <w:w w:val="90"/>
                <w:sz w:val="16"/>
              </w:rPr>
              <w:t>13,34%</w:t>
            </w:r>
          </w:p>
        </w:tc>
        <w:tc>
          <w:tcPr>
            <w:tcW w:w="569" w:type="dxa"/>
          </w:tcPr>
          <w:p>
            <w:pPr>
              <w:pStyle w:val="TableParagraph"/>
              <w:spacing w:line="192" w:lineRule="exact" w:before="92"/>
              <w:ind w:left="64"/>
              <w:rPr>
                <w:sz w:val="16"/>
              </w:rPr>
            </w:pPr>
            <w:r>
              <w:rPr>
                <w:color w:val="231F20"/>
                <w:w w:val="85"/>
                <w:sz w:val="16"/>
              </w:rPr>
              <w:t>67411*</w:t>
            </w:r>
          </w:p>
        </w:tc>
        <w:tc>
          <w:tcPr>
            <w:tcW w:w="718" w:type="dxa"/>
          </w:tcPr>
          <w:p>
            <w:pPr>
              <w:pStyle w:val="TableParagraph"/>
              <w:spacing w:line="192" w:lineRule="exact" w:before="92"/>
              <w:ind w:left="64"/>
              <w:rPr>
                <w:sz w:val="16"/>
              </w:rPr>
            </w:pPr>
            <w:r>
              <w:rPr>
                <w:color w:val="231F20"/>
                <w:w w:val="90"/>
                <w:sz w:val="16"/>
              </w:rPr>
              <w:t>24,98%</w:t>
            </w:r>
          </w:p>
        </w:tc>
        <w:tc>
          <w:tcPr>
            <w:tcW w:w="569" w:type="dxa"/>
          </w:tcPr>
          <w:p>
            <w:pPr>
              <w:pStyle w:val="TableParagraph"/>
              <w:spacing w:line="192" w:lineRule="exact" w:before="92"/>
              <w:ind w:left="64"/>
              <w:rPr>
                <w:sz w:val="16"/>
              </w:rPr>
            </w:pPr>
            <w:r>
              <w:rPr>
                <w:color w:val="231F20"/>
                <w:w w:val="85"/>
                <w:sz w:val="16"/>
              </w:rPr>
              <w:t>152014</w:t>
            </w:r>
          </w:p>
        </w:tc>
        <w:tc>
          <w:tcPr>
            <w:tcW w:w="586" w:type="dxa"/>
          </w:tcPr>
          <w:p>
            <w:pPr>
              <w:pStyle w:val="TableParagraph"/>
              <w:spacing w:line="192" w:lineRule="exact" w:before="92"/>
              <w:ind w:left="63"/>
              <w:rPr>
                <w:sz w:val="16"/>
              </w:rPr>
            </w:pPr>
            <w:r>
              <w:rPr>
                <w:color w:val="231F20"/>
                <w:w w:val="90"/>
                <w:sz w:val="16"/>
              </w:rPr>
              <w:t>56,34%</w:t>
            </w:r>
          </w:p>
        </w:tc>
        <w:tc>
          <w:tcPr>
            <w:tcW w:w="872" w:type="dxa"/>
          </w:tcPr>
          <w:p>
            <w:pPr>
              <w:pStyle w:val="TableParagraph"/>
              <w:spacing w:line="192" w:lineRule="exact" w:before="92"/>
              <w:ind w:left="64"/>
              <w:rPr>
                <w:sz w:val="16"/>
              </w:rPr>
            </w:pPr>
            <w:r>
              <w:rPr>
                <w:color w:val="231F20"/>
                <w:w w:val="85"/>
                <w:sz w:val="16"/>
              </w:rPr>
              <w:t>269838</w:t>
            </w:r>
          </w:p>
        </w:tc>
        <w:tc>
          <w:tcPr>
            <w:tcW w:w="818" w:type="dxa"/>
          </w:tcPr>
          <w:p>
            <w:pPr>
              <w:pStyle w:val="TableParagraph"/>
              <w:spacing w:line="192" w:lineRule="exact" w:before="92"/>
              <w:ind w:left="64" w:right="21"/>
              <w:rPr>
                <w:sz w:val="16"/>
              </w:rPr>
            </w:pPr>
            <w:r>
              <w:rPr>
                <w:color w:val="231F20"/>
                <w:w w:val="85"/>
                <w:sz w:val="16"/>
              </w:rPr>
              <w:t>902031</w:t>
            </w:r>
          </w:p>
        </w:tc>
        <w:tc>
          <w:tcPr>
            <w:tcW w:w="1666" w:type="dxa"/>
          </w:tcPr>
          <w:p>
            <w:pPr>
              <w:pStyle w:val="TableParagraph"/>
              <w:spacing w:line="192" w:lineRule="exact" w:before="92"/>
              <w:ind w:left="64"/>
              <w:rPr>
                <w:sz w:val="16"/>
              </w:rPr>
            </w:pPr>
            <w:r>
              <w:rPr>
                <w:color w:val="231F20"/>
                <w:w w:val="90"/>
                <w:sz w:val="16"/>
              </w:rPr>
              <w:t>70,09%</w:t>
            </w:r>
          </w:p>
        </w:tc>
      </w:tr>
    </w:tbl>
    <w:p>
      <w:pPr>
        <w:pStyle w:val="BodyText"/>
        <w:spacing w:before="11"/>
        <w:rPr>
          <w:b/>
          <w:sz w:val="18"/>
        </w:rPr>
      </w:pPr>
    </w:p>
    <w:p>
      <w:pPr>
        <w:spacing w:before="36"/>
        <w:ind w:left="5026" w:right="-2" w:firstLine="0"/>
        <w:jc w:val="left"/>
        <w:rPr>
          <w:sz w:val="22"/>
        </w:rPr>
      </w:pPr>
      <w:r>
        <w:rPr>
          <w:rFonts w:ascii="Calibri" w:hAnsi="Calibri"/>
          <w:color w:val="231F20"/>
          <w:sz w:val="16"/>
        </w:rPr>
        <w:t>Fuente: Elaboración propia con datos del IEEM</w:t>
      </w:r>
      <w:r>
        <w:rPr>
          <w:color w:val="231F20"/>
          <w:sz w:val="22"/>
        </w:rPr>
        <w:t>.</w:t>
      </w:r>
    </w:p>
    <w:p>
      <w:pPr>
        <w:pStyle w:val="BodyText"/>
        <w:spacing w:before="1"/>
        <w:rPr>
          <w:sz w:val="30"/>
        </w:rPr>
      </w:pPr>
    </w:p>
    <w:p>
      <w:pPr>
        <w:pStyle w:val="BodyText"/>
        <w:spacing w:line="285" w:lineRule="auto" w:before="1"/>
        <w:ind w:left="110" w:right="107"/>
        <w:jc w:val="both"/>
      </w:pPr>
      <w:r>
        <w:rPr>
          <w:color w:val="231F20"/>
          <w:w w:val="105"/>
        </w:rPr>
        <w:t>En este sentido, la supuesta fortaleza electoral del PRD en Nezahualcóyotl se ha debi- do más </w:t>
      </w:r>
      <w:r>
        <w:rPr>
          <w:color w:val="231F20"/>
          <w:spacing w:val="2"/>
          <w:w w:val="105"/>
        </w:rPr>
        <w:t>al </w:t>
      </w:r>
      <w:r>
        <w:rPr>
          <w:color w:val="231F20"/>
          <w:w w:val="105"/>
        </w:rPr>
        <w:t>incremento del abstencionismo electoral, que ha repercutido en una menor competitividad</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un</w:t>
      </w:r>
      <w:r>
        <w:rPr>
          <w:color w:val="231F20"/>
          <w:spacing w:val="-5"/>
          <w:w w:val="105"/>
        </w:rPr>
        <w:t> </w:t>
      </w:r>
      <w:r>
        <w:rPr>
          <w:color w:val="231F20"/>
          <w:w w:val="105"/>
        </w:rPr>
        <w:t>mayor</w:t>
      </w:r>
      <w:r>
        <w:rPr>
          <w:color w:val="231F20"/>
          <w:spacing w:val="-5"/>
          <w:w w:val="105"/>
        </w:rPr>
        <w:t> </w:t>
      </w:r>
      <w:r>
        <w:rPr>
          <w:color w:val="231F20"/>
          <w:w w:val="105"/>
        </w:rPr>
        <w:t>dominio</w:t>
      </w:r>
      <w:r>
        <w:rPr>
          <w:color w:val="231F20"/>
          <w:spacing w:val="-5"/>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partido,</w:t>
      </w:r>
      <w:r>
        <w:rPr>
          <w:color w:val="231F20"/>
          <w:spacing w:val="-5"/>
          <w:w w:val="105"/>
        </w:rPr>
        <w:t> </w:t>
      </w:r>
      <w:r>
        <w:rPr>
          <w:color w:val="231F20"/>
          <w:w w:val="105"/>
        </w:rPr>
        <w:t>y</w:t>
      </w:r>
      <w:r>
        <w:rPr>
          <w:color w:val="231F20"/>
          <w:spacing w:val="-5"/>
          <w:w w:val="105"/>
        </w:rPr>
        <w:t> </w:t>
      </w:r>
      <w:r>
        <w:rPr>
          <w:color w:val="231F20"/>
          <w:w w:val="105"/>
        </w:rPr>
        <w:t>no</w:t>
      </w:r>
      <w:r>
        <w:rPr>
          <w:color w:val="231F20"/>
          <w:spacing w:val="-5"/>
          <w:w w:val="105"/>
        </w:rPr>
        <w:t> </w:t>
      </w:r>
      <w:r>
        <w:rPr>
          <w:color w:val="231F20"/>
          <w:w w:val="105"/>
        </w:rPr>
        <w:t>porque</w:t>
      </w:r>
      <w:r>
        <w:rPr>
          <w:color w:val="231F20"/>
          <w:spacing w:val="-5"/>
          <w:w w:val="105"/>
        </w:rPr>
        <w:t> </w:t>
      </w:r>
      <w:r>
        <w:rPr>
          <w:color w:val="231F20"/>
          <w:w w:val="105"/>
        </w:rPr>
        <w:t>su</w:t>
      </w:r>
      <w:r>
        <w:rPr>
          <w:color w:val="231F20"/>
          <w:spacing w:val="-5"/>
          <w:w w:val="105"/>
        </w:rPr>
        <w:t> </w:t>
      </w:r>
      <w:r>
        <w:rPr>
          <w:color w:val="231F20"/>
          <w:w w:val="105"/>
        </w:rPr>
        <w:t>caudal</w:t>
      </w:r>
      <w:r>
        <w:rPr>
          <w:color w:val="231F20"/>
          <w:spacing w:val="-5"/>
          <w:w w:val="105"/>
        </w:rPr>
        <w:t> </w:t>
      </w:r>
      <w:r>
        <w:rPr>
          <w:color w:val="231F20"/>
          <w:w w:val="105"/>
        </w:rPr>
        <w:t>de</w:t>
      </w:r>
      <w:r>
        <w:rPr>
          <w:color w:val="231F20"/>
          <w:spacing w:val="-5"/>
          <w:w w:val="105"/>
        </w:rPr>
        <w:t> </w:t>
      </w:r>
      <w:r>
        <w:rPr>
          <w:color w:val="231F20"/>
          <w:w w:val="105"/>
        </w:rPr>
        <w:t>votos se haya incrementado. </w:t>
      </w:r>
      <w:r>
        <w:rPr>
          <w:color w:val="231F20"/>
          <w:spacing w:val="-3"/>
          <w:w w:val="105"/>
        </w:rPr>
        <w:t>Por </w:t>
      </w:r>
      <w:r>
        <w:rPr>
          <w:color w:val="231F20"/>
          <w:w w:val="105"/>
        </w:rPr>
        <w:t>lo que podemos decir que existe cierto grado de asociación positiva</w:t>
      </w:r>
      <w:r>
        <w:rPr>
          <w:color w:val="231F20"/>
          <w:spacing w:val="-22"/>
          <w:w w:val="105"/>
        </w:rPr>
        <w:t> </w:t>
      </w:r>
      <w:r>
        <w:rPr>
          <w:color w:val="231F20"/>
          <w:w w:val="105"/>
        </w:rPr>
        <w:t>entre</w:t>
      </w:r>
      <w:r>
        <w:rPr>
          <w:color w:val="231F20"/>
          <w:spacing w:val="-22"/>
          <w:w w:val="105"/>
        </w:rPr>
        <w:t> </w:t>
      </w:r>
      <w:r>
        <w:rPr>
          <w:color w:val="231F20"/>
          <w:w w:val="105"/>
        </w:rPr>
        <w:t>el</w:t>
      </w:r>
      <w:r>
        <w:rPr>
          <w:color w:val="231F20"/>
          <w:spacing w:val="-22"/>
          <w:w w:val="105"/>
        </w:rPr>
        <w:t> </w:t>
      </w:r>
      <w:r>
        <w:rPr>
          <w:color w:val="231F20"/>
          <w:w w:val="105"/>
        </w:rPr>
        <w:t>abstencionismo</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votación</w:t>
      </w:r>
      <w:r>
        <w:rPr>
          <w:color w:val="231F20"/>
          <w:spacing w:val="-22"/>
          <w:w w:val="105"/>
        </w:rPr>
        <w:t> </w:t>
      </w:r>
      <w:r>
        <w:rPr>
          <w:color w:val="231F20"/>
          <w:w w:val="105"/>
        </w:rPr>
        <w:t>del</w:t>
      </w:r>
      <w:r>
        <w:rPr>
          <w:color w:val="231F20"/>
          <w:spacing w:val="-22"/>
          <w:w w:val="105"/>
        </w:rPr>
        <w:t> </w:t>
      </w:r>
      <w:r>
        <w:rPr>
          <w:color w:val="231F20"/>
          <w:w w:val="105"/>
        </w:rPr>
        <w:t>PRD;</w:t>
      </w:r>
      <w:r>
        <w:rPr>
          <w:color w:val="231F20"/>
          <w:spacing w:val="-22"/>
          <w:w w:val="105"/>
        </w:rPr>
        <w:t> </w:t>
      </w:r>
      <w:r>
        <w:rPr>
          <w:color w:val="231F20"/>
          <w:w w:val="105"/>
        </w:rPr>
        <w:t>en</w:t>
      </w:r>
      <w:r>
        <w:rPr>
          <w:color w:val="231F20"/>
          <w:spacing w:val="-22"/>
          <w:w w:val="105"/>
        </w:rPr>
        <w:t> </w:t>
      </w:r>
      <w:r>
        <w:rPr>
          <w:color w:val="231F20"/>
          <w:w w:val="105"/>
        </w:rPr>
        <w:t>cambio</w:t>
      </w:r>
      <w:r>
        <w:rPr>
          <w:color w:val="231F20"/>
          <w:spacing w:val="-22"/>
          <w:w w:val="105"/>
        </w:rPr>
        <w:t> </w:t>
      </w:r>
      <w:r>
        <w:rPr>
          <w:color w:val="231F20"/>
          <w:w w:val="105"/>
        </w:rPr>
        <w:t>se</w:t>
      </w:r>
      <w:r>
        <w:rPr>
          <w:color w:val="231F20"/>
          <w:spacing w:val="-22"/>
          <w:w w:val="105"/>
        </w:rPr>
        <w:t> </w:t>
      </w:r>
      <w:r>
        <w:rPr>
          <w:color w:val="231F20"/>
          <w:w w:val="105"/>
        </w:rPr>
        <w:t>vislumbra</w:t>
      </w:r>
      <w:r>
        <w:rPr>
          <w:color w:val="231F20"/>
          <w:spacing w:val="-22"/>
          <w:w w:val="105"/>
        </w:rPr>
        <w:t> </w:t>
      </w:r>
      <w:r>
        <w:rPr>
          <w:color w:val="231F20"/>
          <w:w w:val="105"/>
        </w:rPr>
        <w:t>una</w:t>
      </w:r>
      <w:r>
        <w:rPr>
          <w:color w:val="231F20"/>
          <w:spacing w:val="-22"/>
          <w:w w:val="105"/>
        </w:rPr>
        <w:t> </w:t>
      </w:r>
      <w:r>
        <w:rPr>
          <w:color w:val="231F20"/>
          <w:w w:val="105"/>
        </w:rPr>
        <w:t>aso- ciación</w:t>
      </w:r>
      <w:r>
        <w:rPr>
          <w:color w:val="231F20"/>
          <w:spacing w:val="-22"/>
          <w:w w:val="105"/>
        </w:rPr>
        <w:t> </w:t>
      </w:r>
      <w:r>
        <w:rPr>
          <w:color w:val="231F20"/>
          <w:w w:val="105"/>
        </w:rPr>
        <w:t>negativa</w:t>
      </w:r>
      <w:r>
        <w:rPr>
          <w:color w:val="231F20"/>
          <w:spacing w:val="-22"/>
          <w:w w:val="105"/>
        </w:rPr>
        <w:t> </w:t>
      </w:r>
      <w:r>
        <w:rPr>
          <w:color w:val="231F20"/>
          <w:w w:val="105"/>
        </w:rPr>
        <w:t>entre</w:t>
      </w:r>
      <w:r>
        <w:rPr>
          <w:color w:val="231F20"/>
          <w:spacing w:val="-22"/>
          <w:w w:val="105"/>
        </w:rPr>
        <w:t> </w:t>
      </w:r>
      <w:r>
        <w:rPr>
          <w:color w:val="231F20"/>
          <w:w w:val="105"/>
        </w:rPr>
        <w:t>el</w:t>
      </w:r>
      <w:r>
        <w:rPr>
          <w:color w:val="231F20"/>
          <w:spacing w:val="-22"/>
          <w:w w:val="105"/>
        </w:rPr>
        <w:t> </w:t>
      </w:r>
      <w:r>
        <w:rPr>
          <w:color w:val="231F20"/>
          <w:w w:val="105"/>
        </w:rPr>
        <w:t>abstencionismo</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votación</w:t>
      </w:r>
      <w:r>
        <w:rPr>
          <w:color w:val="231F20"/>
          <w:spacing w:val="-22"/>
          <w:w w:val="105"/>
        </w:rPr>
        <w:t> </w:t>
      </w:r>
      <w:r>
        <w:rPr>
          <w:color w:val="231F20"/>
          <w:w w:val="105"/>
        </w:rPr>
        <w:t>del</w:t>
      </w:r>
      <w:r>
        <w:rPr>
          <w:color w:val="231F20"/>
          <w:spacing w:val="-22"/>
          <w:w w:val="105"/>
        </w:rPr>
        <w:t> </w:t>
      </w:r>
      <w:r>
        <w:rPr>
          <w:color w:val="231F20"/>
          <w:spacing w:val="-4"/>
          <w:w w:val="105"/>
        </w:rPr>
        <w:t>PAN</w:t>
      </w:r>
      <w:r>
        <w:rPr>
          <w:color w:val="231F20"/>
          <w:spacing w:val="-22"/>
          <w:w w:val="105"/>
        </w:rPr>
        <w:t> </w:t>
      </w:r>
      <w:r>
        <w:rPr>
          <w:color w:val="231F20"/>
          <w:w w:val="105"/>
        </w:rPr>
        <w:t>y</w:t>
      </w:r>
      <w:r>
        <w:rPr>
          <w:color w:val="231F20"/>
          <w:spacing w:val="-22"/>
          <w:w w:val="105"/>
        </w:rPr>
        <w:t> </w:t>
      </w:r>
      <w:r>
        <w:rPr>
          <w:color w:val="231F20"/>
          <w:w w:val="105"/>
        </w:rPr>
        <w:t>del</w:t>
      </w:r>
      <w:r>
        <w:rPr>
          <w:color w:val="231F20"/>
          <w:spacing w:val="-22"/>
          <w:w w:val="105"/>
        </w:rPr>
        <w:t> </w:t>
      </w:r>
      <w:r>
        <w:rPr>
          <w:color w:val="231F20"/>
          <w:w w:val="105"/>
        </w:rPr>
        <w:t>PRI.</w:t>
      </w:r>
    </w:p>
    <w:p>
      <w:pPr>
        <w:pStyle w:val="BodyText"/>
        <w:spacing w:before="1"/>
        <w:rPr>
          <w:sz w:val="26"/>
        </w:rPr>
      </w:pPr>
    </w:p>
    <w:p>
      <w:pPr>
        <w:pStyle w:val="BodyText"/>
        <w:spacing w:line="285" w:lineRule="auto"/>
        <w:ind w:left="110" w:right="108"/>
        <w:jc w:val="both"/>
      </w:pPr>
      <w:r>
        <w:rPr>
          <w:color w:val="231F20"/>
          <w:w w:val="105"/>
        </w:rPr>
        <w:t>Dicho de otra manera, la baja participación electoral de los ciudadanos en Nezahual- cóyotl beneficia porcentualmente </w:t>
      </w:r>
      <w:r>
        <w:rPr>
          <w:color w:val="231F20"/>
          <w:spacing w:val="2"/>
          <w:w w:val="105"/>
        </w:rPr>
        <w:t>al </w:t>
      </w:r>
      <w:r>
        <w:rPr>
          <w:color w:val="231F20"/>
          <w:w w:val="105"/>
        </w:rPr>
        <w:t>PRD y perjudica </w:t>
      </w:r>
      <w:r>
        <w:rPr>
          <w:color w:val="231F20"/>
          <w:spacing w:val="2"/>
          <w:w w:val="105"/>
        </w:rPr>
        <w:t>al </w:t>
      </w:r>
      <w:r>
        <w:rPr>
          <w:color w:val="231F20"/>
          <w:spacing w:val="-4"/>
          <w:w w:val="105"/>
        </w:rPr>
        <w:t>PAN </w:t>
      </w:r>
      <w:r>
        <w:rPr>
          <w:color w:val="231F20"/>
          <w:w w:val="105"/>
        </w:rPr>
        <w:t>y </w:t>
      </w:r>
      <w:r>
        <w:rPr>
          <w:color w:val="231F20"/>
          <w:spacing w:val="2"/>
          <w:w w:val="105"/>
        </w:rPr>
        <w:t>al </w:t>
      </w:r>
      <w:r>
        <w:rPr>
          <w:color w:val="231F20"/>
          <w:w w:val="105"/>
        </w:rPr>
        <w:t>PRI. Este </w:t>
      </w:r>
      <w:r>
        <w:rPr>
          <w:color w:val="231F20"/>
          <w:spacing w:val="-3"/>
          <w:w w:val="105"/>
        </w:rPr>
        <w:t>fenómeno </w:t>
      </w:r>
      <w:r>
        <w:rPr>
          <w:color w:val="231F20"/>
          <w:w w:val="105"/>
        </w:rPr>
        <w:t>puede</w:t>
      </w:r>
      <w:r>
        <w:rPr>
          <w:color w:val="231F20"/>
          <w:spacing w:val="-18"/>
          <w:w w:val="105"/>
        </w:rPr>
        <w:t> </w:t>
      </w:r>
      <w:r>
        <w:rPr>
          <w:color w:val="231F20"/>
          <w:w w:val="105"/>
        </w:rPr>
        <w:t>ser</w:t>
      </w:r>
      <w:r>
        <w:rPr>
          <w:color w:val="231F20"/>
          <w:spacing w:val="-18"/>
          <w:w w:val="105"/>
        </w:rPr>
        <w:t> </w:t>
      </w:r>
      <w:r>
        <w:rPr>
          <w:color w:val="231F20"/>
          <w:w w:val="105"/>
        </w:rPr>
        <w:t>el</w:t>
      </w:r>
      <w:r>
        <w:rPr>
          <w:color w:val="231F20"/>
          <w:spacing w:val="-18"/>
          <w:w w:val="105"/>
        </w:rPr>
        <w:t> </w:t>
      </w:r>
      <w:r>
        <w:rPr>
          <w:color w:val="231F20"/>
          <w:w w:val="105"/>
        </w:rPr>
        <w:t>reflejo</w:t>
      </w:r>
      <w:r>
        <w:rPr>
          <w:color w:val="231F20"/>
          <w:spacing w:val="-18"/>
          <w:w w:val="105"/>
        </w:rPr>
        <w:t> </w:t>
      </w:r>
      <w:r>
        <w:rPr>
          <w:color w:val="231F20"/>
          <w:w w:val="105"/>
        </w:rPr>
        <w:t>del</w:t>
      </w:r>
      <w:r>
        <w:rPr>
          <w:color w:val="231F20"/>
          <w:spacing w:val="-18"/>
          <w:w w:val="105"/>
        </w:rPr>
        <w:t> </w:t>
      </w:r>
      <w:r>
        <w:rPr>
          <w:color w:val="231F20"/>
          <w:w w:val="105"/>
        </w:rPr>
        <w:t>voto</w:t>
      </w:r>
      <w:r>
        <w:rPr>
          <w:color w:val="231F20"/>
          <w:spacing w:val="-18"/>
          <w:w w:val="105"/>
        </w:rPr>
        <w:t> </w:t>
      </w:r>
      <w:r>
        <w:rPr>
          <w:color w:val="231F20"/>
          <w:w w:val="105"/>
        </w:rPr>
        <w:t>cautivo</w:t>
      </w:r>
      <w:r>
        <w:rPr>
          <w:color w:val="231F20"/>
          <w:spacing w:val="-18"/>
          <w:w w:val="105"/>
        </w:rPr>
        <w:t> </w:t>
      </w:r>
      <w:r>
        <w:rPr>
          <w:color w:val="231F20"/>
          <w:w w:val="105"/>
        </w:rPr>
        <w:t>que</w:t>
      </w:r>
      <w:r>
        <w:rPr>
          <w:color w:val="231F20"/>
          <w:spacing w:val="-18"/>
          <w:w w:val="105"/>
        </w:rPr>
        <w:t> </w:t>
      </w:r>
      <w:r>
        <w:rPr>
          <w:color w:val="231F20"/>
          <w:w w:val="105"/>
        </w:rPr>
        <w:t>tienen</w:t>
      </w:r>
      <w:r>
        <w:rPr>
          <w:color w:val="231F20"/>
          <w:spacing w:val="-18"/>
          <w:w w:val="105"/>
        </w:rPr>
        <w:t> </w:t>
      </w:r>
      <w:r>
        <w:rPr>
          <w:color w:val="231F20"/>
          <w:w w:val="105"/>
        </w:rPr>
        <w:t>los</w:t>
      </w:r>
      <w:r>
        <w:rPr>
          <w:color w:val="231F20"/>
          <w:spacing w:val="-18"/>
          <w:w w:val="105"/>
        </w:rPr>
        <w:t> </w:t>
      </w:r>
      <w:r>
        <w:rPr>
          <w:color w:val="231F20"/>
          <w:w w:val="105"/>
        </w:rPr>
        <w:t>perredistas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municipio,</w:t>
      </w:r>
      <w:r>
        <w:rPr>
          <w:color w:val="231F20"/>
          <w:spacing w:val="-18"/>
          <w:w w:val="105"/>
        </w:rPr>
        <w:t> </w:t>
      </w:r>
      <w:r>
        <w:rPr>
          <w:color w:val="231F20"/>
          <w:w w:val="105"/>
        </w:rPr>
        <w:t>producto de</w:t>
      </w:r>
      <w:r>
        <w:rPr>
          <w:color w:val="231F20"/>
          <w:spacing w:val="-23"/>
          <w:w w:val="105"/>
        </w:rPr>
        <w:t> </w:t>
      </w:r>
      <w:r>
        <w:rPr>
          <w:color w:val="231F20"/>
          <w:w w:val="105"/>
        </w:rPr>
        <w:t>sus</w:t>
      </w:r>
      <w:r>
        <w:rPr>
          <w:color w:val="231F20"/>
          <w:spacing w:val="-23"/>
          <w:w w:val="105"/>
        </w:rPr>
        <w:t> </w:t>
      </w:r>
      <w:r>
        <w:rPr>
          <w:color w:val="231F20"/>
          <w:w w:val="105"/>
        </w:rPr>
        <w:t>relaciones</w:t>
      </w:r>
      <w:r>
        <w:rPr>
          <w:color w:val="231F20"/>
          <w:spacing w:val="-23"/>
          <w:w w:val="105"/>
        </w:rPr>
        <w:t> </w:t>
      </w:r>
      <w:r>
        <w:rPr>
          <w:color w:val="231F20"/>
          <w:w w:val="105"/>
        </w:rPr>
        <w:t>clientelares</w:t>
      </w:r>
      <w:r>
        <w:rPr>
          <w:color w:val="231F20"/>
          <w:spacing w:val="-23"/>
          <w:w w:val="105"/>
        </w:rPr>
        <w:t> </w:t>
      </w:r>
      <w:r>
        <w:rPr>
          <w:color w:val="231F20"/>
          <w:w w:val="105"/>
        </w:rPr>
        <w:t>y</w:t>
      </w:r>
      <w:r>
        <w:rPr>
          <w:color w:val="231F20"/>
          <w:spacing w:val="-23"/>
          <w:w w:val="105"/>
        </w:rPr>
        <w:t> </w:t>
      </w:r>
      <w:r>
        <w:rPr>
          <w:color w:val="231F20"/>
          <w:w w:val="105"/>
        </w:rPr>
        <w:t>corporativas</w:t>
      </w:r>
      <w:r>
        <w:rPr>
          <w:color w:val="231F20"/>
          <w:spacing w:val="-23"/>
          <w:w w:val="105"/>
        </w:rPr>
        <w:t> </w:t>
      </w:r>
      <w:r>
        <w:rPr>
          <w:color w:val="231F20"/>
          <w:w w:val="105"/>
        </w:rPr>
        <w:t>con</w:t>
      </w:r>
      <w:r>
        <w:rPr>
          <w:color w:val="231F20"/>
          <w:spacing w:val="-23"/>
          <w:w w:val="105"/>
        </w:rPr>
        <w:t> </w:t>
      </w:r>
      <w:r>
        <w:rPr>
          <w:color w:val="231F20"/>
          <w:w w:val="105"/>
        </w:rPr>
        <w:t>diversas</w:t>
      </w:r>
      <w:r>
        <w:rPr>
          <w:color w:val="231F20"/>
          <w:spacing w:val="-23"/>
          <w:w w:val="105"/>
        </w:rPr>
        <w:t> </w:t>
      </w:r>
      <w:r>
        <w:rPr>
          <w:color w:val="231F20"/>
          <w:w w:val="105"/>
        </w:rPr>
        <w:t>organizaciones.</w:t>
      </w:r>
    </w:p>
    <w:p>
      <w:pPr>
        <w:pStyle w:val="BodyText"/>
        <w:spacing w:before="9"/>
      </w:pPr>
    </w:p>
    <w:p>
      <w:pPr>
        <w:pStyle w:val="Heading3"/>
        <w:spacing w:before="1"/>
      </w:pPr>
      <w:r>
        <w:rPr>
          <w:color w:val="231F20"/>
          <w:w w:val="105"/>
        </w:rPr>
        <w:t>Administraciones Perredistas en Nezahualcóyotl</w:t>
      </w:r>
    </w:p>
    <w:p>
      <w:pPr>
        <w:pStyle w:val="BodyText"/>
        <w:spacing w:line="285" w:lineRule="auto" w:before="38"/>
        <w:ind w:left="110" w:right="108"/>
        <w:jc w:val="both"/>
      </w:pP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dos</w:t>
      </w:r>
      <w:r>
        <w:rPr>
          <w:color w:val="231F20"/>
          <w:spacing w:val="-8"/>
          <w:w w:val="105"/>
        </w:rPr>
        <w:t> </w:t>
      </w:r>
      <w:r>
        <w:rPr>
          <w:color w:val="231F20"/>
          <w:w w:val="105"/>
        </w:rPr>
        <w:t>primeras</w:t>
      </w:r>
      <w:r>
        <w:rPr>
          <w:color w:val="231F20"/>
          <w:spacing w:val="-8"/>
          <w:w w:val="105"/>
        </w:rPr>
        <w:t> </w:t>
      </w:r>
      <w:r>
        <w:rPr>
          <w:color w:val="231F20"/>
          <w:w w:val="105"/>
        </w:rPr>
        <w:t>administraciones</w:t>
      </w:r>
      <w:r>
        <w:rPr>
          <w:color w:val="231F20"/>
          <w:spacing w:val="-8"/>
          <w:w w:val="105"/>
        </w:rPr>
        <w:t> </w:t>
      </w:r>
      <w:r>
        <w:rPr>
          <w:color w:val="231F20"/>
          <w:w w:val="105"/>
        </w:rPr>
        <w:t>perredistas</w:t>
      </w:r>
      <w:r>
        <w:rPr>
          <w:color w:val="231F20"/>
          <w:spacing w:val="-8"/>
          <w:w w:val="105"/>
        </w:rPr>
        <w:t> </w:t>
      </w:r>
      <w:r>
        <w:rPr>
          <w:color w:val="231F20"/>
          <w:w w:val="105"/>
        </w:rPr>
        <w:t>en</w:t>
      </w:r>
      <w:r>
        <w:rPr>
          <w:color w:val="231F20"/>
          <w:spacing w:val="-8"/>
          <w:w w:val="105"/>
        </w:rPr>
        <w:t> </w:t>
      </w:r>
      <w:r>
        <w:rPr>
          <w:color w:val="231F20"/>
          <w:w w:val="105"/>
        </w:rPr>
        <w:t>Nezahualcóyotl</w:t>
      </w:r>
      <w:r>
        <w:rPr>
          <w:color w:val="231F20"/>
          <w:spacing w:val="-8"/>
          <w:w w:val="105"/>
        </w:rPr>
        <w:t> </w:t>
      </w:r>
      <w:r>
        <w:rPr>
          <w:color w:val="231F20"/>
          <w:w w:val="105"/>
        </w:rPr>
        <w:t>la</w:t>
      </w:r>
      <w:r>
        <w:rPr>
          <w:color w:val="231F20"/>
          <w:spacing w:val="-8"/>
          <w:w w:val="105"/>
        </w:rPr>
        <w:t> </w:t>
      </w:r>
      <w:r>
        <w:rPr>
          <w:color w:val="231F20"/>
          <w:w w:val="105"/>
        </w:rPr>
        <w:t>elaboración</w:t>
      </w:r>
      <w:r>
        <w:rPr>
          <w:color w:val="231F20"/>
          <w:spacing w:val="-8"/>
          <w:w w:val="105"/>
        </w:rPr>
        <w:t> </w:t>
      </w:r>
      <w:r>
        <w:rPr>
          <w:color w:val="231F20"/>
          <w:w w:val="105"/>
        </w:rPr>
        <w:t>del Plan</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Municipal</w:t>
      </w:r>
      <w:r>
        <w:rPr>
          <w:color w:val="231F20"/>
          <w:spacing w:val="-13"/>
          <w:w w:val="105"/>
        </w:rPr>
        <w:t> </w:t>
      </w:r>
      <w:r>
        <w:rPr>
          <w:color w:val="231F20"/>
          <w:w w:val="105"/>
        </w:rPr>
        <w:t>fue</w:t>
      </w:r>
      <w:r>
        <w:rPr>
          <w:color w:val="231F20"/>
          <w:spacing w:val="-13"/>
          <w:w w:val="105"/>
        </w:rPr>
        <w:t> </w:t>
      </w:r>
      <w:r>
        <w:rPr>
          <w:color w:val="231F20"/>
          <w:w w:val="105"/>
        </w:rPr>
        <w:t>parte</w:t>
      </w:r>
      <w:r>
        <w:rPr>
          <w:color w:val="231F20"/>
          <w:spacing w:val="-13"/>
          <w:w w:val="105"/>
        </w:rPr>
        <w:t> </w:t>
      </w:r>
      <w:r>
        <w:rPr>
          <w:color w:val="231F20"/>
          <w:w w:val="105"/>
        </w:rPr>
        <w:t>del</w:t>
      </w:r>
      <w:r>
        <w:rPr>
          <w:color w:val="231F20"/>
          <w:spacing w:val="-13"/>
          <w:w w:val="105"/>
        </w:rPr>
        <w:t> </w:t>
      </w:r>
      <w:r>
        <w:rPr>
          <w:color w:val="231F20"/>
          <w:w w:val="105"/>
        </w:rPr>
        <w:t>cumplimiento</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requisito</w:t>
      </w:r>
      <w:r>
        <w:rPr>
          <w:color w:val="231F20"/>
          <w:spacing w:val="-13"/>
          <w:w w:val="105"/>
        </w:rPr>
        <w:t> </w:t>
      </w:r>
      <w:r>
        <w:rPr>
          <w:color w:val="231F20"/>
          <w:w w:val="105"/>
        </w:rPr>
        <w:t>formal</w:t>
      </w:r>
      <w:r>
        <w:rPr>
          <w:color w:val="231F20"/>
          <w:spacing w:val="-13"/>
          <w:w w:val="105"/>
        </w:rPr>
        <w:t> </w:t>
      </w:r>
      <w:r>
        <w:rPr>
          <w:color w:val="231F20"/>
          <w:w w:val="105"/>
        </w:rPr>
        <w:t>y</w:t>
      </w:r>
      <w:r>
        <w:rPr>
          <w:color w:val="231F20"/>
          <w:spacing w:val="-13"/>
          <w:w w:val="105"/>
        </w:rPr>
        <w:t> </w:t>
      </w:r>
      <w:r>
        <w:rPr>
          <w:color w:val="231F20"/>
          <w:w w:val="105"/>
        </w:rPr>
        <w:t>pres-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cindió de la consulta ciudadana. Sin embargo, en las últimas dos administraciones se llevaron a cabo de una manera más detallada y con </w:t>
      </w:r>
      <w:r>
        <w:rPr>
          <w:color w:val="231F20"/>
          <w:spacing w:val="2"/>
          <w:w w:val="105"/>
        </w:rPr>
        <w:t>análisis </w:t>
      </w:r>
      <w:r>
        <w:rPr>
          <w:color w:val="231F20"/>
          <w:w w:val="105"/>
        </w:rPr>
        <w:t>de mayor profundidad, en los</w:t>
      </w:r>
      <w:r>
        <w:rPr>
          <w:color w:val="231F20"/>
          <w:spacing w:val="-22"/>
          <w:w w:val="105"/>
        </w:rPr>
        <w:t> </w:t>
      </w:r>
      <w:r>
        <w:rPr>
          <w:color w:val="231F20"/>
          <w:w w:val="105"/>
        </w:rPr>
        <w:t>cuales</w:t>
      </w:r>
      <w:r>
        <w:rPr>
          <w:color w:val="231F20"/>
          <w:spacing w:val="-22"/>
          <w:w w:val="105"/>
        </w:rPr>
        <w:t> </w:t>
      </w:r>
      <w:r>
        <w:rPr>
          <w:color w:val="231F20"/>
          <w:w w:val="105"/>
        </w:rPr>
        <w:t>se</w:t>
      </w:r>
      <w:r>
        <w:rPr>
          <w:color w:val="231F20"/>
          <w:spacing w:val="-22"/>
          <w:w w:val="105"/>
        </w:rPr>
        <w:t> </w:t>
      </w:r>
      <w:r>
        <w:rPr>
          <w:color w:val="231F20"/>
          <w:w w:val="105"/>
        </w:rPr>
        <w:t>utilizó</w:t>
      </w:r>
      <w:r>
        <w:rPr>
          <w:color w:val="231F20"/>
          <w:spacing w:val="-22"/>
          <w:w w:val="105"/>
        </w:rPr>
        <w:t> </w:t>
      </w:r>
      <w:r>
        <w:rPr>
          <w:color w:val="231F20"/>
          <w:w w:val="105"/>
        </w:rPr>
        <w:t>un</w:t>
      </w:r>
      <w:r>
        <w:rPr>
          <w:color w:val="231F20"/>
          <w:spacing w:val="-22"/>
          <w:w w:val="105"/>
        </w:rPr>
        <w:t> </w:t>
      </w:r>
      <w:r>
        <w:rPr>
          <w:color w:val="231F20"/>
          <w:w w:val="105"/>
        </w:rPr>
        <w:t>estudio</w:t>
      </w:r>
      <w:r>
        <w:rPr>
          <w:color w:val="231F20"/>
          <w:spacing w:val="-22"/>
          <w:w w:val="105"/>
        </w:rPr>
        <w:t> </w:t>
      </w:r>
      <w:r>
        <w:rPr>
          <w:color w:val="231F20"/>
          <w:w w:val="105"/>
        </w:rPr>
        <w:t>de</w:t>
      </w:r>
      <w:r>
        <w:rPr>
          <w:color w:val="231F20"/>
          <w:spacing w:val="-22"/>
          <w:w w:val="105"/>
        </w:rPr>
        <w:t> </w:t>
      </w:r>
      <w:r>
        <w:rPr>
          <w:color w:val="231F20"/>
          <w:w w:val="105"/>
        </w:rPr>
        <w:t>diagnóstico</w:t>
      </w:r>
      <w:r>
        <w:rPr>
          <w:color w:val="231F20"/>
          <w:spacing w:val="-22"/>
          <w:w w:val="105"/>
        </w:rPr>
        <w:t> </w:t>
      </w:r>
      <w:r>
        <w:rPr>
          <w:color w:val="231F20"/>
          <w:w w:val="105"/>
        </w:rPr>
        <w:t>y</w:t>
      </w:r>
      <w:r>
        <w:rPr>
          <w:color w:val="231F20"/>
          <w:spacing w:val="-22"/>
          <w:w w:val="105"/>
        </w:rPr>
        <w:t> </w:t>
      </w:r>
      <w:r>
        <w:rPr>
          <w:color w:val="231F20"/>
          <w:w w:val="105"/>
        </w:rPr>
        <w:t>evaluación</w:t>
      </w:r>
      <w:r>
        <w:rPr>
          <w:color w:val="231F20"/>
          <w:spacing w:val="-22"/>
          <w:w w:val="105"/>
        </w:rPr>
        <w:t> </w:t>
      </w:r>
      <w:r>
        <w:rPr>
          <w:color w:val="231F20"/>
          <w:w w:val="105"/>
        </w:rPr>
        <w:t>a</w:t>
      </w:r>
      <w:r>
        <w:rPr>
          <w:color w:val="231F20"/>
          <w:spacing w:val="-22"/>
          <w:w w:val="105"/>
        </w:rPr>
        <w:t> </w:t>
      </w:r>
      <w:r>
        <w:rPr>
          <w:color w:val="231F20"/>
          <w:w w:val="105"/>
        </w:rPr>
        <w:t>través</w:t>
      </w:r>
      <w:r>
        <w:rPr>
          <w:color w:val="231F20"/>
          <w:spacing w:val="-22"/>
          <w:w w:val="105"/>
        </w:rPr>
        <w:t> </w:t>
      </w:r>
      <w:r>
        <w:rPr>
          <w:color w:val="231F20"/>
          <w:w w:val="105"/>
        </w:rPr>
        <w:t>del</w:t>
      </w:r>
      <w:r>
        <w:rPr>
          <w:color w:val="231F20"/>
          <w:spacing w:val="-22"/>
          <w:w w:val="105"/>
        </w:rPr>
        <w:t> </w:t>
      </w:r>
      <w:r>
        <w:rPr>
          <w:color w:val="231F20"/>
          <w:spacing w:val="-3"/>
          <w:w w:val="105"/>
        </w:rPr>
        <w:t>FODA,</w:t>
      </w:r>
      <w:r>
        <w:rPr>
          <w:color w:val="231F20"/>
          <w:spacing w:val="-22"/>
          <w:w w:val="105"/>
        </w:rPr>
        <w:t> </w:t>
      </w:r>
      <w:r>
        <w:rPr>
          <w:color w:val="231F20"/>
          <w:w w:val="105"/>
        </w:rPr>
        <w:t>incluyen- do</w:t>
      </w:r>
      <w:r>
        <w:rPr>
          <w:color w:val="231F20"/>
          <w:spacing w:val="-6"/>
          <w:w w:val="105"/>
        </w:rPr>
        <w:t> </w:t>
      </w:r>
      <w:r>
        <w:rPr>
          <w:color w:val="231F20"/>
          <w:w w:val="105"/>
        </w:rPr>
        <w:t>un</w:t>
      </w:r>
      <w:r>
        <w:rPr>
          <w:color w:val="231F20"/>
          <w:spacing w:val="-6"/>
          <w:w w:val="105"/>
        </w:rPr>
        <w:t> </w:t>
      </w:r>
      <w:r>
        <w:rPr>
          <w:color w:val="231F20"/>
          <w:w w:val="105"/>
        </w:rPr>
        <w:t>apartado</w:t>
      </w:r>
      <w:r>
        <w:rPr>
          <w:color w:val="231F20"/>
          <w:spacing w:val="-6"/>
          <w:w w:val="105"/>
        </w:rPr>
        <w:t> </w:t>
      </w:r>
      <w:r>
        <w:rPr>
          <w:color w:val="231F20"/>
          <w:w w:val="105"/>
        </w:rPr>
        <w:t>de</w:t>
      </w:r>
      <w:r>
        <w:rPr>
          <w:color w:val="231F20"/>
          <w:spacing w:val="-6"/>
          <w:w w:val="105"/>
        </w:rPr>
        <w:t> </w:t>
      </w:r>
      <w:r>
        <w:rPr>
          <w:color w:val="231F20"/>
          <w:w w:val="105"/>
        </w:rPr>
        <w:t>evaluación</w:t>
      </w:r>
      <w:r>
        <w:rPr>
          <w:color w:val="231F20"/>
          <w:spacing w:val="-6"/>
          <w:w w:val="105"/>
        </w:rPr>
        <w:t> </w:t>
      </w:r>
      <w:r>
        <w:rPr>
          <w:color w:val="231F20"/>
          <w:w w:val="105"/>
        </w:rPr>
        <w:t>de</w:t>
      </w:r>
      <w:r>
        <w:rPr>
          <w:color w:val="231F20"/>
          <w:spacing w:val="-6"/>
          <w:w w:val="105"/>
        </w:rPr>
        <w:t> </w:t>
      </w:r>
      <w:r>
        <w:rPr>
          <w:color w:val="231F20"/>
          <w:w w:val="105"/>
        </w:rPr>
        <w:t>cumplimiento</w:t>
      </w:r>
      <w:r>
        <w:rPr>
          <w:color w:val="231F20"/>
          <w:spacing w:val="-6"/>
          <w:w w:val="105"/>
        </w:rPr>
        <w:t> </w:t>
      </w:r>
      <w:r>
        <w:rPr>
          <w:color w:val="231F20"/>
          <w:w w:val="105"/>
        </w:rPr>
        <w:t>de</w:t>
      </w:r>
      <w:r>
        <w:rPr>
          <w:color w:val="231F20"/>
          <w:spacing w:val="-6"/>
          <w:w w:val="105"/>
        </w:rPr>
        <w:t> </w:t>
      </w:r>
      <w:r>
        <w:rPr>
          <w:color w:val="231F20"/>
          <w:w w:val="105"/>
        </w:rPr>
        <w:t>metas.</w:t>
      </w:r>
    </w:p>
    <w:p>
      <w:pPr>
        <w:pStyle w:val="BodyText"/>
        <w:spacing w:before="1"/>
        <w:rPr>
          <w:sz w:val="26"/>
        </w:rPr>
      </w:pPr>
    </w:p>
    <w:p>
      <w:pPr>
        <w:pStyle w:val="BodyText"/>
        <w:spacing w:line="285" w:lineRule="auto"/>
        <w:ind w:left="110" w:right="107"/>
        <w:jc w:val="both"/>
      </w:pPr>
      <w:r>
        <w:rPr>
          <w:color w:val="231F20"/>
          <w:spacing w:val="-3"/>
          <w:w w:val="105"/>
        </w:rPr>
        <w:t>Uno </w:t>
      </w:r>
      <w:r>
        <w:rPr>
          <w:color w:val="231F20"/>
          <w:w w:val="105"/>
        </w:rPr>
        <w:t>de los primeros aciertos de las administraciones perredistas en Nezahualcóyotl ha sido transparentar el ejercicio administrativo, por medio de la implementación de nuevos</w:t>
      </w:r>
      <w:r>
        <w:rPr>
          <w:color w:val="231F20"/>
          <w:spacing w:val="-16"/>
          <w:w w:val="105"/>
        </w:rPr>
        <w:t> </w:t>
      </w:r>
      <w:r>
        <w:rPr>
          <w:color w:val="231F20"/>
          <w:w w:val="105"/>
        </w:rPr>
        <w:t>reglamentos</w:t>
      </w:r>
      <w:r>
        <w:rPr>
          <w:color w:val="231F20"/>
          <w:spacing w:val="-16"/>
          <w:w w:val="105"/>
        </w:rPr>
        <w:t> </w:t>
      </w:r>
      <w:r>
        <w:rPr>
          <w:color w:val="231F20"/>
          <w:w w:val="105"/>
        </w:rPr>
        <w:t>de</w:t>
      </w:r>
      <w:r>
        <w:rPr>
          <w:color w:val="231F20"/>
          <w:spacing w:val="-16"/>
          <w:w w:val="105"/>
        </w:rPr>
        <w:t> </w:t>
      </w:r>
      <w:r>
        <w:rPr>
          <w:color w:val="231F20"/>
          <w:w w:val="105"/>
        </w:rPr>
        <w:t>funcionamiento</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dependencias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muni- cipal.</w:t>
      </w:r>
      <w:r>
        <w:rPr>
          <w:color w:val="231F20"/>
          <w:spacing w:val="-7"/>
          <w:w w:val="105"/>
        </w:rPr>
        <w:t> </w:t>
      </w:r>
      <w:r>
        <w:rPr>
          <w:color w:val="231F20"/>
          <w:w w:val="105"/>
        </w:rPr>
        <w:t>Cuando</w:t>
      </w:r>
      <w:r>
        <w:rPr>
          <w:color w:val="231F20"/>
          <w:spacing w:val="-7"/>
          <w:w w:val="105"/>
        </w:rPr>
        <w:t> </w:t>
      </w:r>
      <w:r>
        <w:rPr>
          <w:color w:val="231F20"/>
          <w:w w:val="105"/>
        </w:rPr>
        <w:t>menos</w:t>
      </w:r>
      <w:r>
        <w:rPr>
          <w:color w:val="231F20"/>
          <w:spacing w:val="-7"/>
          <w:w w:val="105"/>
        </w:rPr>
        <w:t> </w:t>
      </w:r>
      <w:r>
        <w:rPr>
          <w:color w:val="231F20"/>
          <w:w w:val="105"/>
        </w:rPr>
        <w:t>ha</w:t>
      </w:r>
      <w:r>
        <w:rPr>
          <w:color w:val="231F20"/>
          <w:spacing w:val="-7"/>
          <w:w w:val="105"/>
        </w:rPr>
        <w:t> </w:t>
      </w:r>
      <w:r>
        <w:rPr>
          <w:color w:val="231F20"/>
          <w:w w:val="105"/>
        </w:rPr>
        <w:t>existido</w:t>
      </w:r>
      <w:r>
        <w:rPr>
          <w:color w:val="231F20"/>
          <w:spacing w:val="-7"/>
          <w:w w:val="105"/>
        </w:rPr>
        <w:t> </w:t>
      </w:r>
      <w:r>
        <w:rPr>
          <w:color w:val="231F20"/>
          <w:w w:val="105"/>
        </w:rPr>
        <w:t>una</w:t>
      </w:r>
      <w:r>
        <w:rPr>
          <w:color w:val="231F20"/>
          <w:spacing w:val="-7"/>
          <w:w w:val="105"/>
        </w:rPr>
        <w:t> </w:t>
      </w:r>
      <w:r>
        <w:rPr>
          <w:color w:val="231F20"/>
          <w:w w:val="105"/>
        </w:rPr>
        <w:t>mayor</w:t>
      </w:r>
      <w:r>
        <w:rPr>
          <w:color w:val="231F20"/>
          <w:spacing w:val="-7"/>
          <w:w w:val="105"/>
        </w:rPr>
        <w:t> </w:t>
      </w:r>
      <w:r>
        <w:rPr>
          <w:color w:val="231F20"/>
          <w:w w:val="105"/>
        </w:rPr>
        <w:t>preocupación</w:t>
      </w:r>
      <w:r>
        <w:rPr>
          <w:color w:val="231F20"/>
          <w:spacing w:val="-7"/>
          <w:w w:val="105"/>
        </w:rPr>
        <w:t> </w:t>
      </w:r>
      <w:r>
        <w:rPr>
          <w:color w:val="231F20"/>
          <w:w w:val="105"/>
        </w:rPr>
        <w:t>por</w:t>
      </w:r>
      <w:r>
        <w:rPr>
          <w:color w:val="231F20"/>
          <w:spacing w:val="-7"/>
          <w:w w:val="105"/>
        </w:rPr>
        <w:t> </w:t>
      </w:r>
      <w:r>
        <w:rPr>
          <w:color w:val="231F20"/>
          <w:w w:val="105"/>
        </w:rPr>
        <w:t>ir</w:t>
      </w:r>
      <w:r>
        <w:rPr>
          <w:color w:val="231F20"/>
          <w:spacing w:val="-7"/>
          <w:w w:val="105"/>
        </w:rPr>
        <w:t> </w:t>
      </w:r>
      <w:r>
        <w:rPr>
          <w:color w:val="231F20"/>
          <w:w w:val="105"/>
        </w:rPr>
        <w:t>erradicando</w:t>
      </w:r>
      <w:r>
        <w:rPr>
          <w:color w:val="231F20"/>
          <w:spacing w:val="-7"/>
          <w:w w:val="105"/>
        </w:rPr>
        <w:t> </w:t>
      </w:r>
      <w:r>
        <w:rPr>
          <w:color w:val="231F20"/>
          <w:w w:val="105"/>
        </w:rPr>
        <w:t>las</w:t>
      </w:r>
      <w:r>
        <w:rPr>
          <w:color w:val="231F20"/>
          <w:spacing w:val="-7"/>
          <w:w w:val="105"/>
        </w:rPr>
        <w:t> </w:t>
      </w:r>
      <w:r>
        <w:rPr>
          <w:color w:val="231F20"/>
          <w:w w:val="105"/>
        </w:rPr>
        <w:t>viejas prácticas</w:t>
      </w:r>
      <w:r>
        <w:rPr>
          <w:color w:val="231F20"/>
          <w:spacing w:val="-12"/>
          <w:w w:val="105"/>
        </w:rPr>
        <w:t> </w:t>
      </w:r>
      <w:r>
        <w:rPr>
          <w:color w:val="231F20"/>
          <w:w w:val="105"/>
        </w:rPr>
        <w:t>de</w:t>
      </w:r>
      <w:r>
        <w:rPr>
          <w:color w:val="231F20"/>
          <w:spacing w:val="-12"/>
          <w:w w:val="105"/>
        </w:rPr>
        <w:t> </w:t>
      </w:r>
      <w:r>
        <w:rPr>
          <w:color w:val="231F20"/>
          <w:w w:val="105"/>
        </w:rPr>
        <w:t>corrupción</w:t>
      </w:r>
      <w:r>
        <w:rPr>
          <w:color w:val="231F20"/>
          <w:spacing w:val="-12"/>
          <w:w w:val="105"/>
        </w:rPr>
        <w:t> </w:t>
      </w:r>
      <w:r>
        <w:rPr>
          <w:color w:val="231F20"/>
          <w:w w:val="105"/>
        </w:rPr>
        <w:t>política;</w:t>
      </w:r>
      <w:r>
        <w:rPr>
          <w:color w:val="231F20"/>
          <w:spacing w:val="-12"/>
          <w:w w:val="105"/>
        </w:rPr>
        <w:t> </w:t>
      </w:r>
      <w:r>
        <w:rPr>
          <w:color w:val="231F20"/>
          <w:w w:val="105"/>
        </w:rPr>
        <w:t>aunque</w:t>
      </w:r>
      <w:r>
        <w:rPr>
          <w:color w:val="231F20"/>
          <w:spacing w:val="-12"/>
          <w:w w:val="105"/>
        </w:rPr>
        <w:t> </w:t>
      </w:r>
      <w:r>
        <w:rPr>
          <w:color w:val="231F20"/>
          <w:w w:val="105"/>
        </w:rPr>
        <w:t>esto</w:t>
      </w:r>
      <w:r>
        <w:rPr>
          <w:color w:val="231F20"/>
          <w:spacing w:val="-12"/>
          <w:w w:val="105"/>
        </w:rPr>
        <w:t> </w:t>
      </w:r>
      <w:r>
        <w:rPr>
          <w:color w:val="231F20"/>
          <w:w w:val="105"/>
        </w:rPr>
        <w:t>no</w:t>
      </w:r>
      <w:r>
        <w:rPr>
          <w:color w:val="231F20"/>
          <w:spacing w:val="-12"/>
          <w:w w:val="105"/>
        </w:rPr>
        <w:t> </w:t>
      </w:r>
      <w:r>
        <w:rPr>
          <w:color w:val="231F20"/>
          <w:w w:val="105"/>
        </w:rPr>
        <w:t>quiere</w:t>
      </w:r>
      <w:r>
        <w:rPr>
          <w:color w:val="231F20"/>
          <w:spacing w:val="-12"/>
          <w:w w:val="105"/>
        </w:rPr>
        <w:t> </w:t>
      </w:r>
      <w:r>
        <w:rPr>
          <w:color w:val="231F20"/>
          <w:w w:val="105"/>
        </w:rPr>
        <w:t>decir</w:t>
      </w:r>
      <w:r>
        <w:rPr>
          <w:color w:val="231F20"/>
          <w:spacing w:val="-12"/>
          <w:w w:val="105"/>
        </w:rPr>
        <w:t> </w:t>
      </w:r>
      <w:r>
        <w:rPr>
          <w:color w:val="231F20"/>
          <w:w w:val="105"/>
        </w:rPr>
        <w:t>que</w:t>
      </w:r>
      <w:r>
        <w:rPr>
          <w:color w:val="231F20"/>
          <w:spacing w:val="-12"/>
          <w:w w:val="105"/>
        </w:rPr>
        <w:t> </w:t>
      </w:r>
      <w:r>
        <w:rPr>
          <w:color w:val="231F20"/>
          <w:w w:val="105"/>
        </w:rPr>
        <w:t>lo</w:t>
      </w:r>
      <w:r>
        <w:rPr>
          <w:color w:val="231F20"/>
          <w:spacing w:val="-12"/>
          <w:w w:val="105"/>
        </w:rPr>
        <w:t> </w:t>
      </w:r>
      <w:r>
        <w:rPr>
          <w:color w:val="231F20"/>
          <w:w w:val="105"/>
        </w:rPr>
        <w:t>hayan</w:t>
      </w:r>
      <w:r>
        <w:rPr>
          <w:color w:val="231F20"/>
          <w:spacing w:val="-12"/>
          <w:w w:val="105"/>
        </w:rPr>
        <w:t> </w:t>
      </w:r>
      <w:r>
        <w:rPr>
          <w:color w:val="231F20"/>
          <w:w w:val="105"/>
        </w:rPr>
        <w:t>logrado</w:t>
      </w:r>
      <w:r>
        <w:rPr>
          <w:color w:val="231F20"/>
          <w:spacing w:val="-12"/>
          <w:w w:val="105"/>
        </w:rPr>
        <w:t> </w:t>
      </w:r>
      <w:r>
        <w:rPr>
          <w:color w:val="231F20"/>
          <w:w w:val="105"/>
        </w:rPr>
        <w:t>a</w:t>
      </w:r>
      <w:r>
        <w:rPr>
          <w:color w:val="231F20"/>
          <w:spacing w:val="-12"/>
          <w:w w:val="105"/>
        </w:rPr>
        <w:t> </w:t>
      </w:r>
      <w:r>
        <w:rPr>
          <w:color w:val="231F20"/>
          <w:w w:val="105"/>
        </w:rPr>
        <w:t>ca- balidad,</w:t>
      </w:r>
      <w:r>
        <w:rPr>
          <w:color w:val="231F20"/>
          <w:spacing w:val="-12"/>
          <w:w w:val="105"/>
        </w:rPr>
        <w:t> </w:t>
      </w:r>
      <w:r>
        <w:rPr>
          <w:color w:val="231F20"/>
          <w:w w:val="105"/>
        </w:rPr>
        <w:t>pues</w:t>
      </w:r>
      <w:r>
        <w:rPr>
          <w:color w:val="231F20"/>
          <w:spacing w:val="-12"/>
          <w:w w:val="105"/>
        </w:rPr>
        <w:t> </w:t>
      </w:r>
      <w:r>
        <w:rPr>
          <w:color w:val="231F20"/>
          <w:w w:val="105"/>
        </w:rPr>
        <w:t>como</w:t>
      </w:r>
      <w:r>
        <w:rPr>
          <w:color w:val="231F20"/>
          <w:spacing w:val="-12"/>
          <w:w w:val="105"/>
        </w:rPr>
        <w:t> </w:t>
      </w:r>
      <w:r>
        <w:rPr>
          <w:color w:val="231F20"/>
          <w:w w:val="105"/>
        </w:rPr>
        <w:t>veremos</w:t>
      </w:r>
      <w:r>
        <w:rPr>
          <w:color w:val="231F20"/>
          <w:spacing w:val="-12"/>
          <w:w w:val="105"/>
        </w:rPr>
        <w:t> </w:t>
      </w:r>
      <w:r>
        <w:rPr>
          <w:color w:val="231F20"/>
          <w:w w:val="105"/>
        </w:rPr>
        <w:t>más</w:t>
      </w:r>
      <w:r>
        <w:rPr>
          <w:color w:val="231F20"/>
          <w:spacing w:val="-12"/>
          <w:w w:val="105"/>
        </w:rPr>
        <w:t> </w:t>
      </w:r>
      <w:r>
        <w:rPr>
          <w:color w:val="231F20"/>
          <w:w w:val="105"/>
        </w:rPr>
        <w:t>adelante</w:t>
      </w:r>
      <w:r>
        <w:rPr>
          <w:color w:val="231F20"/>
          <w:spacing w:val="-12"/>
          <w:w w:val="105"/>
        </w:rPr>
        <w:t> </w:t>
      </w:r>
      <w:r>
        <w:rPr>
          <w:color w:val="231F20"/>
          <w:w w:val="105"/>
        </w:rPr>
        <w:t>se</w:t>
      </w:r>
      <w:r>
        <w:rPr>
          <w:color w:val="231F20"/>
          <w:spacing w:val="-12"/>
          <w:w w:val="105"/>
        </w:rPr>
        <w:t> </w:t>
      </w:r>
      <w:r>
        <w:rPr>
          <w:color w:val="231F20"/>
          <w:w w:val="105"/>
        </w:rPr>
        <w:t>siguen</w:t>
      </w:r>
      <w:r>
        <w:rPr>
          <w:color w:val="231F20"/>
          <w:spacing w:val="-12"/>
          <w:w w:val="105"/>
        </w:rPr>
        <w:t> </w:t>
      </w:r>
      <w:r>
        <w:rPr>
          <w:color w:val="231F20"/>
          <w:w w:val="105"/>
        </w:rPr>
        <w:t>ejerciendo</w:t>
      </w:r>
      <w:r>
        <w:rPr>
          <w:color w:val="231F20"/>
          <w:spacing w:val="-12"/>
          <w:w w:val="105"/>
        </w:rPr>
        <w:t> </w:t>
      </w:r>
      <w:r>
        <w:rPr>
          <w:color w:val="231F20"/>
          <w:w w:val="105"/>
        </w:rPr>
        <w:t>prácticas</w:t>
      </w:r>
      <w:r>
        <w:rPr>
          <w:color w:val="231F20"/>
          <w:spacing w:val="-12"/>
          <w:w w:val="105"/>
        </w:rPr>
        <w:t> </w:t>
      </w:r>
      <w:r>
        <w:rPr>
          <w:color w:val="231F20"/>
          <w:w w:val="105"/>
        </w:rPr>
        <w:t>de</w:t>
      </w:r>
      <w:r>
        <w:rPr>
          <w:color w:val="231F20"/>
          <w:spacing w:val="-12"/>
          <w:w w:val="105"/>
        </w:rPr>
        <w:t> </w:t>
      </w:r>
      <w:r>
        <w:rPr>
          <w:color w:val="231F20"/>
          <w:w w:val="105"/>
        </w:rPr>
        <w:t>corrupción y</w:t>
      </w:r>
      <w:r>
        <w:rPr>
          <w:color w:val="231F20"/>
          <w:spacing w:val="-18"/>
          <w:w w:val="105"/>
        </w:rPr>
        <w:t> </w:t>
      </w:r>
      <w:r>
        <w:rPr>
          <w:color w:val="231F20"/>
          <w:w w:val="105"/>
        </w:rPr>
        <w:t>de</w:t>
      </w:r>
      <w:r>
        <w:rPr>
          <w:color w:val="231F20"/>
          <w:spacing w:val="-18"/>
          <w:w w:val="105"/>
        </w:rPr>
        <w:t> </w:t>
      </w:r>
      <w:r>
        <w:rPr>
          <w:color w:val="231F20"/>
          <w:w w:val="105"/>
        </w:rPr>
        <w:t>clientelismo</w:t>
      </w:r>
      <w:r>
        <w:rPr>
          <w:color w:val="231F20"/>
          <w:spacing w:val="-18"/>
          <w:w w:val="105"/>
        </w:rPr>
        <w:t> </w:t>
      </w:r>
      <w:r>
        <w:rPr>
          <w:color w:val="231F20"/>
          <w:w w:val="105"/>
        </w:rPr>
        <w:t>político</w:t>
      </w:r>
      <w:r>
        <w:rPr>
          <w:color w:val="231F20"/>
          <w:spacing w:val="-18"/>
          <w:w w:val="105"/>
        </w:rPr>
        <w:t> </w:t>
      </w:r>
      <w:r>
        <w:rPr>
          <w:color w:val="231F20"/>
          <w:w w:val="105"/>
        </w:rPr>
        <w:t>entre</w:t>
      </w:r>
      <w:r>
        <w:rPr>
          <w:color w:val="231F20"/>
          <w:spacing w:val="-18"/>
          <w:w w:val="105"/>
        </w:rPr>
        <w:t> </w:t>
      </w:r>
      <w:r>
        <w:rPr>
          <w:color w:val="231F20"/>
          <w:w w:val="105"/>
        </w:rPr>
        <w:t>las</w:t>
      </w:r>
      <w:r>
        <w:rPr>
          <w:color w:val="231F20"/>
          <w:spacing w:val="-18"/>
          <w:w w:val="105"/>
        </w:rPr>
        <w:t> </w:t>
      </w:r>
      <w:r>
        <w:rPr>
          <w:color w:val="231F20"/>
          <w:w w:val="105"/>
        </w:rPr>
        <w:t>autoridades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sectores</w:t>
      </w:r>
      <w:r>
        <w:rPr>
          <w:color w:val="231F20"/>
          <w:spacing w:val="-18"/>
          <w:w w:val="105"/>
        </w:rPr>
        <w:t> </w:t>
      </w:r>
      <w:r>
        <w:rPr>
          <w:color w:val="231F20"/>
          <w:w w:val="105"/>
        </w:rPr>
        <w:t>sociales</w:t>
      </w:r>
      <w:r>
        <w:rPr>
          <w:color w:val="231F20"/>
          <w:spacing w:val="-18"/>
          <w:w w:val="105"/>
        </w:rPr>
        <w:t> </w:t>
      </w:r>
      <w:r>
        <w:rPr>
          <w:color w:val="231F20"/>
          <w:w w:val="105"/>
        </w:rPr>
        <w:t>del</w:t>
      </w:r>
      <w:r>
        <w:rPr>
          <w:color w:val="231F20"/>
          <w:spacing w:val="-18"/>
          <w:w w:val="105"/>
        </w:rPr>
        <w:t> </w:t>
      </w:r>
      <w:r>
        <w:rPr>
          <w:color w:val="231F20"/>
          <w:w w:val="105"/>
        </w:rPr>
        <w:t>municipio.</w:t>
      </w:r>
    </w:p>
    <w:p>
      <w:pPr>
        <w:pStyle w:val="BodyText"/>
        <w:spacing w:before="1"/>
        <w:rPr>
          <w:sz w:val="26"/>
        </w:rPr>
      </w:pPr>
    </w:p>
    <w:p>
      <w:pPr>
        <w:pStyle w:val="BodyText"/>
        <w:spacing w:line="285" w:lineRule="auto"/>
        <w:ind w:left="110" w:right="108"/>
        <w:jc w:val="both"/>
      </w:pPr>
      <w:r>
        <w:rPr>
          <w:color w:val="231F20"/>
          <w:w w:val="105"/>
        </w:rPr>
        <w:t>Desde la primera administración perredista en el municipio de Nezahualcóyotl se fue- ron presentando avances sensibles en algunos aspectos. Como por </w:t>
      </w:r>
      <w:r>
        <w:rPr>
          <w:color w:val="231F20"/>
          <w:spacing w:val="-3"/>
          <w:w w:val="105"/>
        </w:rPr>
        <w:t>ejemplo </w:t>
      </w:r>
      <w:r>
        <w:rPr>
          <w:color w:val="231F20"/>
          <w:w w:val="105"/>
        </w:rPr>
        <w:t>se</w:t>
      </w:r>
      <w:r>
        <w:rPr>
          <w:color w:val="231F20"/>
          <w:spacing w:val="-40"/>
          <w:w w:val="105"/>
        </w:rPr>
        <w:t> </w:t>
      </w:r>
      <w:r>
        <w:rPr>
          <w:color w:val="231F20"/>
          <w:w w:val="105"/>
        </w:rPr>
        <w:t>elabora- ron el Manual de Organización de la Administración Pública Municipal, así como su Reglamento</w:t>
      </w:r>
      <w:r>
        <w:rPr>
          <w:color w:val="231F20"/>
          <w:spacing w:val="-19"/>
          <w:w w:val="105"/>
        </w:rPr>
        <w:t> </w:t>
      </w:r>
      <w:r>
        <w:rPr>
          <w:color w:val="231F20"/>
          <w:w w:val="105"/>
        </w:rPr>
        <w:t>Interno;</w:t>
      </w:r>
      <w:r>
        <w:rPr>
          <w:color w:val="231F20"/>
          <w:spacing w:val="-19"/>
          <w:w w:val="105"/>
        </w:rPr>
        <w:t> </w:t>
      </w:r>
      <w:r>
        <w:rPr>
          <w:color w:val="231F20"/>
          <w:w w:val="105"/>
        </w:rPr>
        <w:t>además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Guía</w:t>
      </w:r>
      <w:r>
        <w:rPr>
          <w:color w:val="231F20"/>
          <w:spacing w:val="-19"/>
          <w:w w:val="105"/>
        </w:rPr>
        <w:t> </w:t>
      </w:r>
      <w:r>
        <w:rPr>
          <w:color w:val="231F20"/>
          <w:w w:val="105"/>
        </w:rPr>
        <w:t>de</w:t>
      </w:r>
      <w:r>
        <w:rPr>
          <w:color w:val="231F20"/>
          <w:spacing w:val="-19"/>
          <w:w w:val="105"/>
        </w:rPr>
        <w:t> </w:t>
      </w:r>
      <w:r>
        <w:rPr>
          <w:color w:val="231F20"/>
          <w:w w:val="105"/>
        </w:rPr>
        <w:t>Trámites</w:t>
      </w:r>
      <w:r>
        <w:rPr>
          <w:color w:val="231F20"/>
          <w:spacing w:val="-19"/>
          <w:w w:val="105"/>
        </w:rPr>
        <w:t> </w:t>
      </w:r>
      <w:r>
        <w:rPr>
          <w:color w:val="231F20"/>
          <w:w w:val="105"/>
        </w:rPr>
        <w:t>y</w:t>
      </w:r>
      <w:r>
        <w:rPr>
          <w:color w:val="231F20"/>
          <w:spacing w:val="-19"/>
          <w:w w:val="105"/>
        </w:rPr>
        <w:t> </w:t>
      </w:r>
      <w:r>
        <w:rPr>
          <w:color w:val="231F20"/>
          <w:w w:val="105"/>
        </w:rPr>
        <w:t>Servicios</w:t>
      </w:r>
      <w:r>
        <w:rPr>
          <w:color w:val="231F20"/>
          <w:spacing w:val="-19"/>
          <w:w w:val="105"/>
        </w:rPr>
        <w:t> </w:t>
      </w:r>
      <w:r>
        <w:rPr>
          <w:color w:val="231F20"/>
          <w:spacing w:val="2"/>
          <w:w w:val="105"/>
        </w:rPr>
        <w:t>al</w:t>
      </w:r>
      <w:r>
        <w:rPr>
          <w:color w:val="231F20"/>
          <w:spacing w:val="-19"/>
          <w:w w:val="105"/>
        </w:rPr>
        <w:t> </w:t>
      </w:r>
      <w:r>
        <w:rPr>
          <w:color w:val="231F20"/>
          <w:w w:val="105"/>
        </w:rPr>
        <w:t>Público.</w:t>
      </w:r>
    </w:p>
    <w:p>
      <w:pPr>
        <w:pStyle w:val="BodyText"/>
        <w:spacing w:before="1"/>
        <w:rPr>
          <w:sz w:val="26"/>
        </w:rPr>
      </w:pPr>
    </w:p>
    <w:p>
      <w:pPr>
        <w:pStyle w:val="BodyText"/>
        <w:spacing w:line="285" w:lineRule="auto"/>
        <w:ind w:left="110" w:right="107"/>
        <w:jc w:val="both"/>
      </w:pPr>
      <w:r>
        <w:rPr>
          <w:color w:val="231F20"/>
          <w:w w:val="105"/>
        </w:rPr>
        <w:t>Además,</w:t>
      </w:r>
      <w:r>
        <w:rPr>
          <w:color w:val="231F20"/>
          <w:spacing w:val="-18"/>
          <w:w w:val="105"/>
        </w:rPr>
        <w:t> </w:t>
      </w:r>
      <w:r>
        <w:rPr>
          <w:color w:val="231F20"/>
          <w:w w:val="105"/>
        </w:rPr>
        <w:t>a</w:t>
      </w:r>
      <w:r>
        <w:rPr>
          <w:color w:val="231F20"/>
          <w:spacing w:val="-18"/>
          <w:w w:val="105"/>
        </w:rPr>
        <w:t> </w:t>
      </w:r>
      <w:r>
        <w:rPr>
          <w:color w:val="231F20"/>
          <w:spacing w:val="2"/>
          <w:w w:val="105"/>
        </w:rPr>
        <w:t>fin</w:t>
      </w:r>
      <w:r>
        <w:rPr>
          <w:color w:val="231F20"/>
          <w:spacing w:val="-18"/>
          <w:w w:val="105"/>
        </w:rPr>
        <w:t> </w:t>
      </w:r>
      <w:r>
        <w:rPr>
          <w:color w:val="231F20"/>
          <w:w w:val="105"/>
        </w:rPr>
        <w:t>de</w:t>
      </w:r>
      <w:r>
        <w:rPr>
          <w:color w:val="231F20"/>
          <w:spacing w:val="-18"/>
          <w:w w:val="105"/>
        </w:rPr>
        <w:t> </w:t>
      </w:r>
      <w:r>
        <w:rPr>
          <w:color w:val="231F20"/>
          <w:w w:val="105"/>
        </w:rPr>
        <w:t>combatir</w:t>
      </w:r>
      <w:r>
        <w:rPr>
          <w:color w:val="231F20"/>
          <w:spacing w:val="-18"/>
          <w:w w:val="105"/>
        </w:rPr>
        <w:t> </w:t>
      </w:r>
      <w:r>
        <w:rPr>
          <w:color w:val="231F20"/>
          <w:w w:val="105"/>
        </w:rPr>
        <w:t>la</w:t>
      </w:r>
      <w:r>
        <w:rPr>
          <w:color w:val="231F20"/>
          <w:spacing w:val="-18"/>
          <w:w w:val="105"/>
        </w:rPr>
        <w:t> </w:t>
      </w:r>
      <w:r>
        <w:rPr>
          <w:color w:val="231F20"/>
          <w:w w:val="105"/>
        </w:rPr>
        <w:t>corrupción</w:t>
      </w:r>
      <w:r>
        <w:rPr>
          <w:color w:val="231F20"/>
          <w:spacing w:val="-18"/>
          <w:w w:val="105"/>
        </w:rPr>
        <w:t> </w:t>
      </w:r>
      <w:r>
        <w:rPr>
          <w:color w:val="231F20"/>
          <w:w w:val="105"/>
        </w:rPr>
        <w:t>y</w:t>
      </w:r>
      <w:r>
        <w:rPr>
          <w:color w:val="231F20"/>
          <w:spacing w:val="-18"/>
          <w:w w:val="105"/>
        </w:rPr>
        <w:t> </w:t>
      </w:r>
      <w:r>
        <w:rPr>
          <w:color w:val="231F20"/>
          <w:w w:val="105"/>
        </w:rPr>
        <w:t>llevar</w:t>
      </w:r>
      <w:r>
        <w:rPr>
          <w:color w:val="231F20"/>
          <w:spacing w:val="-18"/>
          <w:w w:val="105"/>
        </w:rPr>
        <w:t> </w:t>
      </w:r>
      <w:r>
        <w:rPr>
          <w:color w:val="231F20"/>
          <w:w w:val="105"/>
        </w:rPr>
        <w:t>a</w:t>
      </w:r>
      <w:r>
        <w:rPr>
          <w:color w:val="231F20"/>
          <w:spacing w:val="-18"/>
          <w:w w:val="105"/>
        </w:rPr>
        <w:t> </w:t>
      </w:r>
      <w:r>
        <w:rPr>
          <w:color w:val="231F20"/>
          <w:w w:val="105"/>
        </w:rPr>
        <w:t>cabo</w:t>
      </w:r>
      <w:r>
        <w:rPr>
          <w:color w:val="231F20"/>
          <w:spacing w:val="-18"/>
          <w:w w:val="105"/>
        </w:rPr>
        <w:t> </w:t>
      </w:r>
      <w:r>
        <w:rPr>
          <w:color w:val="231F20"/>
          <w:w w:val="105"/>
        </w:rPr>
        <w:t>un</w:t>
      </w:r>
      <w:r>
        <w:rPr>
          <w:color w:val="231F20"/>
          <w:spacing w:val="-18"/>
          <w:w w:val="105"/>
        </w:rPr>
        <w:t> </w:t>
      </w:r>
      <w:r>
        <w:rPr>
          <w:color w:val="231F20"/>
          <w:w w:val="105"/>
        </w:rPr>
        <w:t>gobierno</w:t>
      </w:r>
      <w:r>
        <w:rPr>
          <w:color w:val="231F20"/>
          <w:spacing w:val="-18"/>
          <w:w w:val="105"/>
        </w:rPr>
        <w:t> </w:t>
      </w:r>
      <w:r>
        <w:rPr>
          <w:color w:val="231F20"/>
          <w:w w:val="105"/>
        </w:rPr>
        <w:t>más</w:t>
      </w:r>
      <w:r>
        <w:rPr>
          <w:color w:val="231F20"/>
          <w:spacing w:val="-18"/>
          <w:w w:val="105"/>
        </w:rPr>
        <w:t> </w:t>
      </w:r>
      <w:r>
        <w:rPr>
          <w:color w:val="231F20"/>
          <w:w w:val="105"/>
        </w:rPr>
        <w:t>transparente</w:t>
      </w:r>
      <w:r>
        <w:rPr>
          <w:color w:val="231F20"/>
          <w:spacing w:val="-18"/>
          <w:w w:val="105"/>
        </w:rPr>
        <w:t> </w:t>
      </w:r>
      <w:r>
        <w:rPr>
          <w:color w:val="231F20"/>
          <w:w w:val="105"/>
        </w:rPr>
        <w:t>la Contraloría</w:t>
      </w:r>
      <w:r>
        <w:rPr>
          <w:color w:val="231F20"/>
          <w:spacing w:val="-20"/>
          <w:w w:val="105"/>
        </w:rPr>
        <w:t> </w:t>
      </w:r>
      <w:r>
        <w:rPr>
          <w:color w:val="231F20"/>
          <w:w w:val="105"/>
        </w:rPr>
        <w:t>Municipal</w:t>
      </w:r>
      <w:r>
        <w:rPr>
          <w:color w:val="231F20"/>
          <w:spacing w:val="-20"/>
          <w:w w:val="105"/>
        </w:rPr>
        <w:t> </w:t>
      </w:r>
      <w:r>
        <w:rPr>
          <w:color w:val="231F20"/>
          <w:w w:val="105"/>
        </w:rPr>
        <w:t>puso</w:t>
      </w:r>
      <w:r>
        <w:rPr>
          <w:color w:val="231F20"/>
          <w:spacing w:val="-20"/>
          <w:w w:val="105"/>
        </w:rPr>
        <w:t> </w:t>
      </w:r>
      <w:r>
        <w:rPr>
          <w:color w:val="231F20"/>
          <w:w w:val="105"/>
        </w:rPr>
        <w:t>en</w:t>
      </w:r>
      <w:r>
        <w:rPr>
          <w:color w:val="231F20"/>
          <w:spacing w:val="-20"/>
          <w:w w:val="105"/>
        </w:rPr>
        <w:t> </w:t>
      </w:r>
      <w:r>
        <w:rPr>
          <w:color w:val="231F20"/>
          <w:w w:val="105"/>
        </w:rPr>
        <w:t>funcionamiento</w:t>
      </w:r>
      <w:r>
        <w:rPr>
          <w:color w:val="231F20"/>
          <w:spacing w:val="-20"/>
          <w:w w:val="105"/>
        </w:rPr>
        <w:t> </w:t>
      </w:r>
      <w:r>
        <w:rPr>
          <w:color w:val="231F20"/>
          <w:w w:val="105"/>
        </w:rPr>
        <w:t>en</w:t>
      </w:r>
      <w:r>
        <w:rPr>
          <w:color w:val="231F20"/>
          <w:spacing w:val="-20"/>
          <w:w w:val="105"/>
        </w:rPr>
        <w:t> </w:t>
      </w:r>
      <w:r>
        <w:rPr>
          <w:color w:val="231F20"/>
          <w:w w:val="105"/>
        </w:rPr>
        <w:t>marzo</w:t>
      </w:r>
      <w:r>
        <w:rPr>
          <w:color w:val="231F20"/>
          <w:spacing w:val="-20"/>
          <w:w w:val="105"/>
        </w:rPr>
        <w:t> </w:t>
      </w:r>
      <w:r>
        <w:rPr>
          <w:color w:val="231F20"/>
          <w:w w:val="105"/>
        </w:rPr>
        <w:t>de</w:t>
      </w:r>
      <w:r>
        <w:rPr>
          <w:color w:val="231F20"/>
          <w:spacing w:val="-20"/>
          <w:w w:val="105"/>
        </w:rPr>
        <w:t> </w:t>
      </w:r>
      <w:r>
        <w:rPr>
          <w:color w:val="231F20"/>
          <w:w w:val="105"/>
        </w:rPr>
        <w:t>1998</w:t>
      </w:r>
      <w:r>
        <w:rPr>
          <w:color w:val="231F20"/>
          <w:spacing w:val="-20"/>
          <w:w w:val="105"/>
        </w:rPr>
        <w:t> </w:t>
      </w:r>
      <w:r>
        <w:rPr>
          <w:color w:val="231F20"/>
          <w:w w:val="105"/>
        </w:rPr>
        <w:t>el</w:t>
      </w:r>
      <w:r>
        <w:rPr>
          <w:color w:val="231F20"/>
          <w:spacing w:val="-20"/>
          <w:w w:val="105"/>
        </w:rPr>
        <w:t> </w:t>
      </w:r>
      <w:r>
        <w:rPr>
          <w:color w:val="231F20"/>
          <w:w w:val="105"/>
        </w:rPr>
        <w:t>Registro</w:t>
      </w:r>
      <w:r>
        <w:rPr>
          <w:color w:val="231F20"/>
          <w:spacing w:val="-20"/>
          <w:w w:val="105"/>
        </w:rPr>
        <w:t> </w:t>
      </w:r>
      <w:r>
        <w:rPr>
          <w:color w:val="231F20"/>
          <w:w w:val="105"/>
        </w:rPr>
        <w:t>Municipal de</w:t>
      </w:r>
      <w:r>
        <w:rPr>
          <w:color w:val="231F20"/>
          <w:spacing w:val="-7"/>
          <w:w w:val="105"/>
        </w:rPr>
        <w:t> </w:t>
      </w:r>
      <w:r>
        <w:rPr>
          <w:color w:val="231F20"/>
          <w:w w:val="105"/>
        </w:rPr>
        <w:t>Inspectores.</w:t>
      </w:r>
      <w:r>
        <w:rPr>
          <w:color w:val="231F20"/>
          <w:spacing w:val="-7"/>
          <w:w w:val="105"/>
        </w:rPr>
        <w:t> </w:t>
      </w:r>
      <w:r>
        <w:rPr>
          <w:color w:val="231F20"/>
          <w:w w:val="105"/>
        </w:rPr>
        <w:t>Y</w:t>
      </w:r>
      <w:r>
        <w:rPr>
          <w:color w:val="231F20"/>
          <w:spacing w:val="-7"/>
          <w:w w:val="105"/>
        </w:rPr>
        <w:t> </w:t>
      </w:r>
      <w:r>
        <w:rPr>
          <w:color w:val="231F20"/>
          <w:w w:val="105"/>
        </w:rPr>
        <w:t>por</w:t>
      </w:r>
      <w:r>
        <w:rPr>
          <w:color w:val="231F20"/>
          <w:spacing w:val="-7"/>
          <w:w w:val="105"/>
        </w:rPr>
        <w:t> </w:t>
      </w:r>
      <w:r>
        <w:rPr>
          <w:color w:val="231F20"/>
          <w:w w:val="105"/>
        </w:rPr>
        <w:t>otro</w:t>
      </w:r>
      <w:r>
        <w:rPr>
          <w:color w:val="231F20"/>
          <w:spacing w:val="-7"/>
          <w:w w:val="105"/>
        </w:rPr>
        <w:t> </w:t>
      </w:r>
      <w:r>
        <w:rPr>
          <w:color w:val="231F20"/>
          <w:w w:val="105"/>
        </w:rPr>
        <w:t>lado,</w:t>
      </w:r>
      <w:r>
        <w:rPr>
          <w:color w:val="231F20"/>
          <w:spacing w:val="-7"/>
          <w:w w:val="105"/>
        </w:rPr>
        <w:t> </w:t>
      </w:r>
      <w:r>
        <w:rPr>
          <w:color w:val="231F20"/>
          <w:w w:val="105"/>
        </w:rPr>
        <w:t>en</w:t>
      </w:r>
      <w:r>
        <w:rPr>
          <w:color w:val="231F20"/>
          <w:spacing w:val="-7"/>
          <w:w w:val="105"/>
        </w:rPr>
        <w:t> </w:t>
      </w:r>
      <w:r>
        <w:rPr>
          <w:color w:val="231F20"/>
          <w:w w:val="105"/>
        </w:rPr>
        <w:t>diciembre</w:t>
      </w:r>
      <w:r>
        <w:rPr>
          <w:color w:val="231F20"/>
          <w:spacing w:val="-7"/>
          <w:w w:val="105"/>
        </w:rPr>
        <w:t> </w:t>
      </w:r>
      <w:r>
        <w:rPr>
          <w:color w:val="231F20"/>
          <w:w w:val="105"/>
        </w:rPr>
        <w:t>de</w:t>
      </w:r>
      <w:r>
        <w:rPr>
          <w:color w:val="231F20"/>
          <w:spacing w:val="-7"/>
          <w:w w:val="105"/>
        </w:rPr>
        <w:t> </w:t>
      </w:r>
      <w:r>
        <w:rPr>
          <w:color w:val="231F20"/>
          <w:w w:val="105"/>
        </w:rPr>
        <w:t>1997</w:t>
      </w:r>
      <w:r>
        <w:rPr>
          <w:color w:val="231F20"/>
          <w:spacing w:val="-7"/>
          <w:w w:val="105"/>
        </w:rPr>
        <w:t> </w:t>
      </w:r>
      <w:r>
        <w:rPr>
          <w:color w:val="231F20"/>
          <w:w w:val="105"/>
        </w:rPr>
        <w:t>se</w:t>
      </w:r>
      <w:r>
        <w:rPr>
          <w:color w:val="231F20"/>
          <w:spacing w:val="-7"/>
          <w:w w:val="105"/>
        </w:rPr>
        <w:t> </w:t>
      </w:r>
      <w:r>
        <w:rPr>
          <w:color w:val="231F20"/>
          <w:w w:val="105"/>
        </w:rPr>
        <w:t>instaló</w:t>
      </w:r>
      <w:r>
        <w:rPr>
          <w:color w:val="231F20"/>
          <w:spacing w:val="-7"/>
          <w:w w:val="105"/>
        </w:rPr>
        <w:t> </w:t>
      </w:r>
      <w:r>
        <w:rPr>
          <w:color w:val="231F20"/>
          <w:w w:val="105"/>
        </w:rPr>
        <w:t>la</w:t>
      </w:r>
      <w:r>
        <w:rPr>
          <w:color w:val="231F20"/>
          <w:spacing w:val="-7"/>
          <w:w w:val="105"/>
        </w:rPr>
        <w:t> </w:t>
      </w:r>
      <w:r>
        <w:rPr>
          <w:color w:val="231F20"/>
          <w:w w:val="105"/>
        </w:rPr>
        <w:t>red</w:t>
      </w:r>
      <w:r>
        <w:rPr>
          <w:color w:val="231F20"/>
          <w:spacing w:val="-7"/>
          <w:w w:val="105"/>
        </w:rPr>
        <w:t> </w:t>
      </w:r>
      <w:r>
        <w:rPr>
          <w:color w:val="231F20"/>
          <w:w w:val="105"/>
        </w:rPr>
        <w:t>de</w:t>
      </w:r>
      <w:r>
        <w:rPr>
          <w:color w:val="231F20"/>
          <w:spacing w:val="-7"/>
          <w:w w:val="105"/>
        </w:rPr>
        <w:t> </w:t>
      </w:r>
      <w:r>
        <w:rPr>
          <w:color w:val="231F20"/>
          <w:w w:val="105"/>
        </w:rPr>
        <w:t>cómputo</w:t>
      </w:r>
      <w:r>
        <w:rPr>
          <w:color w:val="231F20"/>
          <w:spacing w:val="-7"/>
          <w:w w:val="105"/>
        </w:rPr>
        <w:t> </w:t>
      </w:r>
      <w:r>
        <w:rPr>
          <w:color w:val="231F20"/>
          <w:w w:val="105"/>
        </w:rPr>
        <w:t>que conectaría a todas las unidades administrativas, pues ya se había creado la Unidad de Control</w:t>
      </w:r>
      <w:r>
        <w:rPr>
          <w:color w:val="231F20"/>
          <w:spacing w:val="-12"/>
          <w:w w:val="105"/>
        </w:rPr>
        <w:t> </w:t>
      </w:r>
      <w:r>
        <w:rPr>
          <w:color w:val="231F20"/>
          <w:w w:val="105"/>
        </w:rPr>
        <w:t>Normativo.</w:t>
      </w:r>
      <w:r>
        <w:rPr>
          <w:color w:val="231F20"/>
          <w:spacing w:val="-12"/>
          <w:w w:val="105"/>
        </w:rPr>
        <w:t> </w:t>
      </w:r>
      <w:r>
        <w:rPr>
          <w:color w:val="231F20"/>
          <w:w w:val="105"/>
        </w:rPr>
        <w:t>No</w:t>
      </w:r>
      <w:r>
        <w:rPr>
          <w:color w:val="231F20"/>
          <w:spacing w:val="-12"/>
          <w:w w:val="105"/>
        </w:rPr>
        <w:t> </w:t>
      </w:r>
      <w:r>
        <w:rPr>
          <w:color w:val="231F20"/>
          <w:w w:val="105"/>
        </w:rPr>
        <w:t>obstante,</w:t>
      </w:r>
      <w:r>
        <w:rPr>
          <w:color w:val="231F20"/>
          <w:spacing w:val="-12"/>
          <w:w w:val="105"/>
        </w:rPr>
        <w:t> </w:t>
      </w:r>
      <w:r>
        <w:rPr>
          <w:color w:val="231F20"/>
          <w:w w:val="105"/>
        </w:rPr>
        <w:t>pese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nueva</w:t>
      </w:r>
      <w:r>
        <w:rPr>
          <w:color w:val="231F20"/>
          <w:spacing w:val="-12"/>
          <w:w w:val="105"/>
        </w:rPr>
        <w:t> </w:t>
      </w:r>
      <w:r>
        <w:rPr>
          <w:color w:val="231F20"/>
          <w:w w:val="105"/>
        </w:rPr>
        <w:t>reglamentación</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desempeño</w:t>
      </w:r>
      <w:r>
        <w:rPr>
          <w:color w:val="231F20"/>
          <w:spacing w:val="-12"/>
          <w:w w:val="105"/>
        </w:rPr>
        <w:t> </w:t>
      </w:r>
      <w:r>
        <w:rPr>
          <w:color w:val="231F20"/>
          <w:w w:val="105"/>
        </w:rPr>
        <w:t>de la administración pública, uno de sus grandes retos sigue </w:t>
      </w:r>
      <w:r>
        <w:rPr>
          <w:color w:val="231F20"/>
          <w:spacing w:val="-2"/>
          <w:w w:val="105"/>
        </w:rPr>
        <w:t>siendo </w:t>
      </w:r>
      <w:r>
        <w:rPr>
          <w:color w:val="231F20"/>
          <w:w w:val="105"/>
        </w:rPr>
        <w:t>lo </w:t>
      </w:r>
      <w:r>
        <w:rPr>
          <w:color w:val="231F20"/>
          <w:spacing w:val="-3"/>
          <w:w w:val="105"/>
        </w:rPr>
        <w:t>referente </w:t>
      </w:r>
      <w:r>
        <w:rPr>
          <w:color w:val="231F20"/>
          <w:spacing w:val="2"/>
          <w:w w:val="105"/>
        </w:rPr>
        <w:t>al </w:t>
      </w:r>
      <w:r>
        <w:rPr>
          <w:color w:val="231F20"/>
          <w:w w:val="105"/>
        </w:rPr>
        <w:t>perfil, capacitación y profesionalización de los servidores públicos, ya que en muchos casos el</w:t>
      </w:r>
      <w:r>
        <w:rPr>
          <w:color w:val="231F20"/>
          <w:spacing w:val="-6"/>
          <w:w w:val="105"/>
        </w:rPr>
        <w:t> </w:t>
      </w:r>
      <w:r>
        <w:rPr>
          <w:color w:val="231F20"/>
          <w:w w:val="105"/>
        </w:rPr>
        <w:t>nivel</w:t>
      </w:r>
      <w:r>
        <w:rPr>
          <w:color w:val="231F20"/>
          <w:spacing w:val="-6"/>
          <w:w w:val="105"/>
        </w:rPr>
        <w:t> </w:t>
      </w:r>
      <w:r>
        <w:rPr>
          <w:color w:val="231F20"/>
          <w:w w:val="105"/>
        </w:rPr>
        <w:t>educativo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funcionarios</w:t>
      </w:r>
      <w:r>
        <w:rPr>
          <w:color w:val="231F20"/>
          <w:spacing w:val="-6"/>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óptimo,</w:t>
      </w:r>
      <w:r>
        <w:rPr>
          <w:color w:val="231F20"/>
          <w:spacing w:val="-6"/>
          <w:w w:val="105"/>
        </w:rPr>
        <w:t> </w:t>
      </w:r>
      <w:r>
        <w:rPr>
          <w:color w:val="231F20"/>
          <w:w w:val="105"/>
        </w:rPr>
        <w:t>además</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cursos</w:t>
      </w:r>
      <w:r>
        <w:rPr>
          <w:color w:val="231F20"/>
          <w:spacing w:val="-6"/>
          <w:w w:val="105"/>
        </w:rPr>
        <w:t> </w:t>
      </w:r>
      <w:r>
        <w:rPr>
          <w:color w:val="231F20"/>
          <w:w w:val="105"/>
        </w:rPr>
        <w:t>de</w:t>
      </w:r>
      <w:r>
        <w:rPr>
          <w:color w:val="231F20"/>
          <w:spacing w:val="-6"/>
          <w:w w:val="105"/>
        </w:rPr>
        <w:t> </w:t>
      </w:r>
      <w:r>
        <w:rPr>
          <w:color w:val="231F20"/>
          <w:w w:val="105"/>
        </w:rPr>
        <w:t>ca- pacitación que se han impartido a los empleados municipales han sido escasos y poco especializados</w:t>
      </w:r>
      <w:r>
        <w:rPr>
          <w:color w:val="231F20"/>
          <w:spacing w:val="-20"/>
          <w:w w:val="105"/>
        </w:rPr>
        <w:t> </w:t>
      </w:r>
      <w:r>
        <w:rPr>
          <w:color w:val="231F20"/>
          <w:w w:val="105"/>
        </w:rPr>
        <w:t>para</w:t>
      </w:r>
      <w:r>
        <w:rPr>
          <w:color w:val="231F20"/>
          <w:spacing w:val="-20"/>
          <w:w w:val="105"/>
        </w:rPr>
        <w:t> </w:t>
      </w:r>
      <w:r>
        <w:rPr>
          <w:color w:val="231F20"/>
          <w:w w:val="105"/>
        </w:rPr>
        <w:t>cada</w:t>
      </w:r>
      <w:r>
        <w:rPr>
          <w:color w:val="231F20"/>
          <w:spacing w:val="-20"/>
          <w:w w:val="105"/>
        </w:rPr>
        <w:t> </w:t>
      </w:r>
      <w:r>
        <w:rPr>
          <w:color w:val="231F20"/>
          <w:w w:val="105"/>
        </w:rPr>
        <w:t>ámbito</w:t>
      </w:r>
      <w:r>
        <w:rPr>
          <w:color w:val="231F20"/>
          <w:spacing w:val="-20"/>
          <w:w w:val="105"/>
        </w:rPr>
        <w:t> </w:t>
      </w:r>
      <w:r>
        <w:rPr>
          <w:color w:val="231F20"/>
          <w:w w:val="105"/>
        </w:rPr>
        <w:t>de</w:t>
      </w:r>
      <w:r>
        <w:rPr>
          <w:color w:val="231F20"/>
          <w:spacing w:val="-20"/>
          <w:w w:val="105"/>
        </w:rPr>
        <w:t> </w:t>
      </w:r>
      <w:r>
        <w:rPr>
          <w:color w:val="231F20"/>
          <w:w w:val="105"/>
        </w:rPr>
        <w:t>servicio</w:t>
      </w:r>
      <w:r>
        <w:rPr>
          <w:color w:val="231F20"/>
          <w:spacing w:val="-20"/>
          <w:w w:val="105"/>
        </w:rPr>
        <w:t> </w:t>
      </w:r>
      <w:r>
        <w:rPr>
          <w:color w:val="231F20"/>
          <w:w w:val="105"/>
        </w:rPr>
        <w:t>público.</w:t>
      </w:r>
    </w:p>
    <w:p>
      <w:pPr>
        <w:pStyle w:val="BodyText"/>
        <w:spacing w:before="1"/>
        <w:rPr>
          <w:sz w:val="26"/>
        </w:rPr>
      </w:pPr>
    </w:p>
    <w:p>
      <w:pPr>
        <w:pStyle w:val="BodyText"/>
        <w:spacing w:line="285" w:lineRule="auto"/>
        <w:ind w:left="110" w:right="108"/>
        <w:jc w:val="both"/>
      </w:pPr>
      <w:r>
        <w:rPr>
          <w:color w:val="231F20"/>
          <w:w w:val="105"/>
        </w:rPr>
        <w:t>Otro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aciertos</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administraciones</w:t>
      </w:r>
      <w:r>
        <w:rPr>
          <w:color w:val="231F20"/>
          <w:spacing w:val="-5"/>
          <w:w w:val="105"/>
        </w:rPr>
        <w:t> </w:t>
      </w:r>
      <w:r>
        <w:rPr>
          <w:color w:val="231F20"/>
          <w:w w:val="105"/>
        </w:rPr>
        <w:t>perredistas</w:t>
      </w:r>
      <w:r>
        <w:rPr>
          <w:color w:val="231F20"/>
          <w:spacing w:val="-5"/>
          <w:w w:val="105"/>
        </w:rPr>
        <w:t> </w:t>
      </w:r>
      <w:r>
        <w:rPr>
          <w:color w:val="231F20"/>
          <w:w w:val="105"/>
        </w:rPr>
        <w:t>ha</w:t>
      </w:r>
      <w:r>
        <w:rPr>
          <w:color w:val="231F20"/>
          <w:spacing w:val="-5"/>
          <w:w w:val="105"/>
        </w:rPr>
        <w:t> </w:t>
      </w:r>
      <w:r>
        <w:rPr>
          <w:color w:val="231F20"/>
          <w:w w:val="105"/>
        </w:rPr>
        <w:t>sido</w:t>
      </w:r>
      <w:r>
        <w:rPr>
          <w:color w:val="231F20"/>
          <w:spacing w:val="-5"/>
          <w:w w:val="105"/>
        </w:rPr>
        <w:t> </w:t>
      </w:r>
      <w:r>
        <w:rPr>
          <w:color w:val="231F20"/>
          <w:w w:val="105"/>
        </w:rPr>
        <w:t>el</w:t>
      </w:r>
      <w:r>
        <w:rPr>
          <w:color w:val="231F20"/>
          <w:spacing w:val="-5"/>
          <w:w w:val="105"/>
        </w:rPr>
        <w:t> </w:t>
      </w:r>
      <w:r>
        <w:rPr>
          <w:color w:val="231F20"/>
          <w:w w:val="105"/>
        </w:rPr>
        <w:t>incremento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co- bertura</w:t>
      </w:r>
      <w:r>
        <w:rPr>
          <w:color w:val="231F20"/>
          <w:spacing w:val="-4"/>
          <w:w w:val="105"/>
        </w:rPr>
        <w:t> </w:t>
      </w:r>
      <w:r>
        <w:rPr>
          <w:color w:val="231F20"/>
          <w:w w:val="105"/>
        </w:rPr>
        <w:t>del</w:t>
      </w:r>
      <w:r>
        <w:rPr>
          <w:color w:val="231F20"/>
          <w:spacing w:val="-4"/>
          <w:w w:val="105"/>
        </w:rPr>
        <w:t> </w:t>
      </w:r>
      <w:r>
        <w:rPr>
          <w:color w:val="231F20"/>
          <w:w w:val="105"/>
        </w:rPr>
        <w:t>pago</w:t>
      </w:r>
      <w:r>
        <w:rPr>
          <w:color w:val="231F20"/>
          <w:spacing w:val="-4"/>
          <w:w w:val="105"/>
        </w:rPr>
        <w:t> </w:t>
      </w:r>
      <w:r>
        <w:rPr>
          <w:color w:val="231F20"/>
          <w:w w:val="105"/>
        </w:rPr>
        <w:t>de</w:t>
      </w:r>
      <w:r>
        <w:rPr>
          <w:color w:val="231F20"/>
          <w:spacing w:val="-4"/>
          <w:w w:val="105"/>
        </w:rPr>
        <w:t> </w:t>
      </w:r>
      <w:r>
        <w:rPr>
          <w:color w:val="231F20"/>
          <w:w w:val="105"/>
        </w:rPr>
        <w:t>impuestos,</w:t>
      </w:r>
      <w:r>
        <w:rPr>
          <w:color w:val="231F20"/>
          <w:spacing w:val="-4"/>
          <w:w w:val="105"/>
        </w:rPr>
        <w:t> </w:t>
      </w:r>
      <w:r>
        <w:rPr>
          <w:color w:val="231F20"/>
          <w:w w:val="105"/>
        </w:rPr>
        <w:t>sobre</w:t>
      </w:r>
      <w:r>
        <w:rPr>
          <w:color w:val="231F20"/>
          <w:spacing w:val="-4"/>
          <w:w w:val="105"/>
        </w:rPr>
        <w:t> </w:t>
      </w:r>
      <w:r>
        <w:rPr>
          <w:color w:val="231F20"/>
          <w:w w:val="105"/>
        </w:rPr>
        <w:t>todo</w:t>
      </w:r>
      <w:r>
        <w:rPr>
          <w:color w:val="231F20"/>
          <w:spacing w:val="-4"/>
          <w:w w:val="105"/>
        </w:rPr>
        <w:t> </w:t>
      </w:r>
      <w:r>
        <w:rPr>
          <w:color w:val="231F20"/>
          <w:w w:val="105"/>
        </w:rPr>
        <w:t>de</w:t>
      </w:r>
      <w:r>
        <w:rPr>
          <w:color w:val="231F20"/>
          <w:spacing w:val="-4"/>
          <w:w w:val="105"/>
        </w:rPr>
        <w:t> </w:t>
      </w:r>
      <w:r>
        <w:rPr>
          <w:color w:val="231F20"/>
          <w:w w:val="105"/>
        </w:rPr>
        <w:t>actividades</w:t>
      </w:r>
      <w:r>
        <w:rPr>
          <w:color w:val="231F20"/>
          <w:spacing w:val="-4"/>
          <w:w w:val="105"/>
        </w:rPr>
        <w:t> </w:t>
      </w:r>
      <w:r>
        <w:rPr>
          <w:color w:val="231F20"/>
          <w:w w:val="105"/>
        </w:rPr>
        <w:t>informales,</w:t>
      </w:r>
      <w:r>
        <w:rPr>
          <w:color w:val="231F20"/>
          <w:spacing w:val="-4"/>
          <w:w w:val="105"/>
        </w:rPr>
        <w:t> </w:t>
      </w:r>
      <w:r>
        <w:rPr>
          <w:color w:val="231F20"/>
          <w:w w:val="105"/>
        </w:rPr>
        <w:t>tomando</w:t>
      </w:r>
      <w:r>
        <w:rPr>
          <w:color w:val="231F20"/>
          <w:spacing w:val="-4"/>
          <w:w w:val="105"/>
        </w:rPr>
        <w:t> </w:t>
      </w:r>
      <w:r>
        <w:rPr>
          <w:color w:val="231F20"/>
          <w:w w:val="105"/>
        </w:rPr>
        <w:t>en</w:t>
      </w:r>
      <w:r>
        <w:rPr>
          <w:color w:val="231F20"/>
          <w:spacing w:val="-4"/>
          <w:w w:val="105"/>
        </w:rPr>
        <w:t> </w:t>
      </w:r>
      <w:r>
        <w:rPr>
          <w:color w:val="231F20"/>
          <w:w w:val="105"/>
        </w:rPr>
        <w:t>con-</w:t>
      </w:r>
    </w:p>
    <w:p>
      <w:pPr>
        <w:spacing w:after="0" w:line="285" w:lineRule="auto"/>
        <w:jc w:val="both"/>
        <w:sectPr>
          <w:footerReference w:type="default" r:id="rId869"/>
          <w:pgSz w:w="9640" w:h="12190"/>
          <w:pgMar w:footer="743" w:header="0" w:top="1120" w:bottom="940" w:left="740" w:right="740"/>
          <w:pgNumType w:start="400"/>
        </w:sectPr>
      </w:pPr>
    </w:p>
    <w:p>
      <w:pPr>
        <w:pStyle w:val="BodyText"/>
        <w:spacing w:before="3"/>
        <w:rPr>
          <w:sz w:val="11"/>
        </w:rPr>
      </w:pPr>
    </w:p>
    <w:p>
      <w:pPr>
        <w:pStyle w:val="BodyText"/>
        <w:spacing w:line="285" w:lineRule="auto" w:before="36"/>
        <w:ind w:left="110" w:right="108"/>
        <w:jc w:val="both"/>
      </w:pPr>
      <w:r>
        <w:rPr>
          <w:color w:val="231F20"/>
          <w:w w:val="105"/>
        </w:rPr>
        <w:t>sideración</w:t>
      </w:r>
      <w:r>
        <w:rPr>
          <w:color w:val="231F20"/>
          <w:spacing w:val="-16"/>
          <w:w w:val="105"/>
        </w:rPr>
        <w:t> </w:t>
      </w:r>
      <w:r>
        <w:rPr>
          <w:color w:val="231F20"/>
          <w:w w:val="105"/>
        </w:rPr>
        <w:t>que</w:t>
      </w:r>
      <w:r>
        <w:rPr>
          <w:color w:val="231F20"/>
          <w:spacing w:val="-16"/>
          <w:w w:val="105"/>
        </w:rPr>
        <w:t> </w:t>
      </w:r>
      <w:r>
        <w:rPr>
          <w:color w:val="231F20"/>
          <w:w w:val="105"/>
        </w:rPr>
        <w:t>buena</w:t>
      </w:r>
      <w:r>
        <w:rPr>
          <w:color w:val="231F20"/>
          <w:spacing w:val="-16"/>
          <w:w w:val="105"/>
        </w:rPr>
        <w:t> </w:t>
      </w:r>
      <w:r>
        <w:rPr>
          <w:color w:val="231F20"/>
          <w:w w:val="105"/>
        </w:rPr>
        <w:t>parte</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actividades</w:t>
      </w:r>
      <w:r>
        <w:rPr>
          <w:color w:val="231F20"/>
          <w:spacing w:val="-16"/>
          <w:w w:val="105"/>
        </w:rPr>
        <w:t> </w:t>
      </w:r>
      <w:r>
        <w:rPr>
          <w:color w:val="231F20"/>
          <w:w w:val="105"/>
        </w:rPr>
        <w:t>económicas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se</w:t>
      </w:r>
      <w:r>
        <w:rPr>
          <w:color w:val="231F20"/>
          <w:spacing w:val="-16"/>
          <w:w w:val="105"/>
        </w:rPr>
        <w:t> </w:t>
      </w:r>
      <w:r>
        <w:rPr>
          <w:color w:val="231F20"/>
          <w:w w:val="105"/>
        </w:rPr>
        <w:t>realizan</w:t>
      </w:r>
      <w:r>
        <w:rPr>
          <w:color w:val="231F20"/>
          <w:spacing w:val="-16"/>
          <w:w w:val="105"/>
        </w:rPr>
        <w:t> </w:t>
      </w:r>
      <w:r>
        <w:rPr>
          <w:color w:val="231F20"/>
          <w:w w:val="105"/>
        </w:rPr>
        <w:t>de esta manera. </w:t>
      </w:r>
      <w:r>
        <w:rPr>
          <w:color w:val="231F20"/>
          <w:spacing w:val="-3"/>
          <w:w w:val="105"/>
        </w:rPr>
        <w:t>Por ejemplo </w:t>
      </w:r>
      <w:r>
        <w:rPr>
          <w:color w:val="231F20"/>
          <w:w w:val="105"/>
        </w:rPr>
        <w:t>Emilio Duhau y </w:t>
      </w:r>
      <w:r>
        <w:rPr>
          <w:color w:val="231F20"/>
          <w:spacing w:val="2"/>
          <w:w w:val="105"/>
        </w:rPr>
        <w:t>Martha </w:t>
      </w:r>
      <w:r>
        <w:rPr>
          <w:color w:val="231F20"/>
          <w:w w:val="105"/>
        </w:rPr>
        <w:t>Schteingart daban cuenta de esto </w:t>
      </w:r>
      <w:r>
        <w:rPr>
          <w:color w:val="231F20"/>
          <w:spacing w:val="2"/>
          <w:w w:val="105"/>
        </w:rPr>
        <w:t>al </w:t>
      </w:r>
      <w:r>
        <w:rPr>
          <w:color w:val="231F20"/>
          <w:w w:val="105"/>
        </w:rPr>
        <w:t>sostener</w:t>
      </w:r>
      <w:r>
        <w:rPr>
          <w:color w:val="231F20"/>
          <w:spacing w:val="-20"/>
          <w:w w:val="105"/>
        </w:rPr>
        <w:t> </w:t>
      </w:r>
      <w:r>
        <w:rPr>
          <w:color w:val="231F20"/>
          <w:w w:val="105"/>
        </w:rPr>
        <w:t>que:</w:t>
      </w:r>
    </w:p>
    <w:p>
      <w:pPr>
        <w:pStyle w:val="BodyText"/>
        <w:spacing w:line="285" w:lineRule="auto" w:before="1"/>
        <w:ind w:left="677" w:right="107"/>
        <w:jc w:val="both"/>
      </w:pPr>
      <w:r>
        <w:rPr>
          <w:color w:val="231F20"/>
          <w:w w:val="105"/>
        </w:rPr>
        <w:t>… en materia de aplicación de impuestos y normas a comercios y espectáculos, se regularizaron 4,625 puestos en vía pública, se extendieron 999 permisos para la</w:t>
      </w:r>
      <w:r>
        <w:rPr>
          <w:color w:val="231F20"/>
          <w:spacing w:val="-11"/>
          <w:w w:val="105"/>
        </w:rPr>
        <w:t> </w:t>
      </w:r>
      <w:r>
        <w:rPr>
          <w:color w:val="231F20"/>
          <w:w w:val="105"/>
        </w:rPr>
        <w:t>instalación</w:t>
      </w:r>
      <w:r>
        <w:rPr>
          <w:color w:val="231F20"/>
          <w:spacing w:val="-11"/>
          <w:w w:val="105"/>
        </w:rPr>
        <w:t> </w:t>
      </w:r>
      <w:r>
        <w:rPr>
          <w:color w:val="231F20"/>
          <w:w w:val="105"/>
        </w:rPr>
        <w:t>de</w:t>
      </w:r>
      <w:r>
        <w:rPr>
          <w:color w:val="231F20"/>
          <w:spacing w:val="-11"/>
          <w:w w:val="105"/>
        </w:rPr>
        <w:t> </w:t>
      </w:r>
      <w:r>
        <w:rPr>
          <w:color w:val="231F20"/>
          <w:w w:val="105"/>
        </w:rPr>
        <w:t>anuncios</w:t>
      </w:r>
      <w:r>
        <w:rPr>
          <w:color w:val="231F20"/>
          <w:spacing w:val="-11"/>
          <w:w w:val="105"/>
        </w:rPr>
        <w:t> </w:t>
      </w:r>
      <w:r>
        <w:rPr>
          <w:color w:val="231F20"/>
          <w:w w:val="105"/>
        </w:rPr>
        <w:t>comerciales</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retiraron</w:t>
      </w:r>
      <w:r>
        <w:rPr>
          <w:color w:val="231F20"/>
          <w:spacing w:val="-11"/>
          <w:w w:val="105"/>
        </w:rPr>
        <w:t> </w:t>
      </w:r>
      <w:r>
        <w:rPr>
          <w:color w:val="231F20"/>
          <w:spacing w:val="-3"/>
          <w:w w:val="105"/>
        </w:rPr>
        <w:t>721</w:t>
      </w:r>
      <w:r>
        <w:rPr>
          <w:color w:val="231F20"/>
          <w:spacing w:val="-11"/>
          <w:w w:val="105"/>
        </w:rPr>
        <w:t> </w:t>
      </w:r>
      <w:r>
        <w:rPr>
          <w:color w:val="231F20"/>
          <w:w w:val="105"/>
        </w:rPr>
        <w:t>localizados</w:t>
      </w:r>
      <w:r>
        <w:rPr>
          <w:color w:val="231F20"/>
          <w:spacing w:val="-11"/>
          <w:w w:val="105"/>
        </w:rPr>
        <w:t> </w:t>
      </w:r>
      <w:r>
        <w:rPr>
          <w:color w:val="231F20"/>
          <w:w w:val="105"/>
        </w:rPr>
        <w:t>ilegalmente en</w:t>
      </w:r>
      <w:r>
        <w:rPr>
          <w:color w:val="231F20"/>
          <w:spacing w:val="-18"/>
          <w:w w:val="105"/>
        </w:rPr>
        <w:t> </w:t>
      </w:r>
      <w:r>
        <w:rPr>
          <w:color w:val="231F20"/>
          <w:w w:val="105"/>
        </w:rPr>
        <w:t>áreas</w:t>
      </w:r>
      <w:r>
        <w:rPr>
          <w:color w:val="231F20"/>
          <w:spacing w:val="-18"/>
          <w:w w:val="105"/>
        </w:rPr>
        <w:t> </w:t>
      </w:r>
      <w:r>
        <w:rPr>
          <w:color w:val="231F20"/>
          <w:w w:val="105"/>
        </w:rPr>
        <w:t>verdes.</w:t>
      </w:r>
      <w:r>
        <w:rPr>
          <w:color w:val="231F20"/>
          <w:spacing w:val="-18"/>
          <w:w w:val="105"/>
        </w:rPr>
        <w:t> </w:t>
      </w:r>
      <w:r>
        <w:rPr>
          <w:color w:val="231F20"/>
          <w:w w:val="105"/>
        </w:rPr>
        <w:t>Durante</w:t>
      </w:r>
      <w:r>
        <w:rPr>
          <w:color w:val="231F20"/>
          <w:spacing w:val="-18"/>
          <w:w w:val="105"/>
        </w:rPr>
        <w:t> </w:t>
      </w:r>
      <w:r>
        <w:rPr>
          <w:color w:val="231F20"/>
          <w:w w:val="105"/>
        </w:rPr>
        <w:t>1996</w:t>
      </w:r>
      <w:r>
        <w:rPr>
          <w:color w:val="231F20"/>
          <w:spacing w:val="-18"/>
          <w:w w:val="105"/>
        </w:rPr>
        <w:t> </w:t>
      </w:r>
      <w:r>
        <w:rPr>
          <w:color w:val="231F20"/>
          <w:w w:val="105"/>
        </w:rPr>
        <w:t>sólo</w:t>
      </w:r>
      <w:r>
        <w:rPr>
          <w:color w:val="231F20"/>
          <w:spacing w:val="-18"/>
          <w:w w:val="105"/>
        </w:rPr>
        <w:t> </w:t>
      </w:r>
      <w:r>
        <w:rPr>
          <w:color w:val="231F20"/>
          <w:w w:val="105"/>
        </w:rPr>
        <w:t>habían</w:t>
      </w:r>
      <w:r>
        <w:rPr>
          <w:color w:val="231F20"/>
          <w:spacing w:val="-18"/>
          <w:w w:val="105"/>
        </w:rPr>
        <w:t> </w:t>
      </w:r>
      <w:r>
        <w:rPr>
          <w:color w:val="231F20"/>
          <w:w w:val="105"/>
        </w:rPr>
        <w:t>ingresado</w:t>
      </w:r>
      <w:r>
        <w:rPr>
          <w:color w:val="231F20"/>
          <w:spacing w:val="-18"/>
          <w:w w:val="105"/>
        </w:rPr>
        <w:t> </w:t>
      </w:r>
      <w:r>
        <w:rPr>
          <w:color w:val="231F20"/>
          <w:w w:val="105"/>
        </w:rPr>
        <w:t>71,000</w:t>
      </w:r>
      <w:r>
        <w:rPr>
          <w:color w:val="231F20"/>
          <w:spacing w:val="-18"/>
          <w:w w:val="105"/>
        </w:rPr>
        <w:t> </w:t>
      </w:r>
      <w:r>
        <w:rPr>
          <w:color w:val="231F20"/>
          <w:w w:val="105"/>
        </w:rPr>
        <w:t>pesos</w:t>
      </w:r>
      <w:r>
        <w:rPr>
          <w:color w:val="231F20"/>
          <w:spacing w:val="-18"/>
          <w:w w:val="105"/>
        </w:rPr>
        <w:t> </w:t>
      </w:r>
      <w:r>
        <w:rPr>
          <w:color w:val="231F20"/>
          <w:w w:val="105"/>
        </w:rPr>
        <w:t>por</w:t>
      </w:r>
      <w:r>
        <w:rPr>
          <w:color w:val="231F20"/>
          <w:spacing w:val="-18"/>
          <w:w w:val="105"/>
        </w:rPr>
        <w:t> </w:t>
      </w:r>
      <w:r>
        <w:rPr>
          <w:color w:val="231F20"/>
          <w:w w:val="105"/>
        </w:rPr>
        <w:t>derecho</w:t>
      </w:r>
      <w:r>
        <w:rPr>
          <w:color w:val="231F20"/>
          <w:spacing w:val="-18"/>
          <w:w w:val="105"/>
        </w:rPr>
        <w:t> </w:t>
      </w:r>
      <w:r>
        <w:rPr>
          <w:color w:val="231F20"/>
          <w:w w:val="105"/>
        </w:rPr>
        <w:t>de vía</w:t>
      </w:r>
      <w:r>
        <w:rPr>
          <w:color w:val="231F20"/>
          <w:spacing w:val="-11"/>
          <w:w w:val="105"/>
        </w:rPr>
        <w:t> </w:t>
      </w:r>
      <w:r>
        <w:rPr>
          <w:color w:val="231F20"/>
          <w:w w:val="105"/>
        </w:rPr>
        <w:t>pública</w:t>
      </w:r>
      <w:r>
        <w:rPr>
          <w:color w:val="231F20"/>
          <w:spacing w:val="-11"/>
          <w:w w:val="105"/>
        </w:rPr>
        <w:t> </w:t>
      </w:r>
      <w:r>
        <w:rPr>
          <w:color w:val="231F20"/>
          <w:w w:val="105"/>
        </w:rPr>
        <w:t>y</w:t>
      </w:r>
      <w:r>
        <w:rPr>
          <w:color w:val="231F20"/>
          <w:spacing w:val="-11"/>
          <w:w w:val="105"/>
        </w:rPr>
        <w:t> </w:t>
      </w:r>
      <w:r>
        <w:rPr>
          <w:color w:val="231F20"/>
          <w:w w:val="105"/>
        </w:rPr>
        <w:t>en</w:t>
      </w:r>
      <w:r>
        <w:rPr>
          <w:color w:val="231F20"/>
          <w:spacing w:val="-11"/>
          <w:w w:val="105"/>
        </w:rPr>
        <w:t> </w:t>
      </w:r>
      <w:r>
        <w:rPr>
          <w:color w:val="231F20"/>
          <w:w w:val="105"/>
        </w:rPr>
        <w:t>1997</w:t>
      </w:r>
      <w:r>
        <w:rPr>
          <w:color w:val="231F20"/>
          <w:spacing w:val="-11"/>
          <w:w w:val="105"/>
        </w:rPr>
        <w:t> </w:t>
      </w:r>
      <w:r>
        <w:rPr>
          <w:color w:val="231F20"/>
          <w:w w:val="105"/>
        </w:rPr>
        <w:t>ingresaron</w:t>
      </w:r>
      <w:r>
        <w:rPr>
          <w:color w:val="231F20"/>
          <w:spacing w:val="-11"/>
          <w:w w:val="105"/>
        </w:rPr>
        <w:t> </w:t>
      </w:r>
      <w:r>
        <w:rPr>
          <w:color w:val="231F20"/>
          <w:spacing w:val="3"/>
          <w:w w:val="105"/>
        </w:rPr>
        <w:t>448,000</w:t>
      </w:r>
      <w:r>
        <w:rPr>
          <w:color w:val="231F20"/>
          <w:spacing w:val="-11"/>
          <w:w w:val="105"/>
        </w:rPr>
        <w:t> </w:t>
      </w:r>
      <w:r>
        <w:rPr>
          <w:color w:val="231F20"/>
          <w:w w:val="105"/>
        </w:rPr>
        <w:t>pesos</w:t>
      </w:r>
      <w:r>
        <w:rPr>
          <w:color w:val="231F20"/>
          <w:spacing w:val="-11"/>
          <w:w w:val="105"/>
        </w:rPr>
        <w:t> </w:t>
      </w:r>
      <w:r>
        <w:rPr>
          <w:color w:val="231F20"/>
          <w:w w:val="105"/>
        </w:rPr>
        <w:t>por</w:t>
      </w:r>
      <w:r>
        <w:rPr>
          <w:color w:val="231F20"/>
          <w:spacing w:val="-11"/>
          <w:w w:val="105"/>
        </w:rPr>
        <w:t> </w:t>
      </w:r>
      <w:r>
        <w:rPr>
          <w:color w:val="231F20"/>
          <w:w w:val="105"/>
        </w:rPr>
        <w:t>ese</w:t>
      </w:r>
      <w:r>
        <w:rPr>
          <w:color w:val="231F20"/>
          <w:spacing w:val="-11"/>
          <w:w w:val="105"/>
        </w:rPr>
        <w:t> </w:t>
      </w:r>
      <w:r>
        <w:rPr>
          <w:color w:val="231F20"/>
          <w:w w:val="105"/>
        </w:rPr>
        <w:t>concepto,</w:t>
      </w:r>
      <w:r>
        <w:rPr>
          <w:color w:val="231F20"/>
          <w:spacing w:val="-11"/>
          <w:w w:val="105"/>
        </w:rPr>
        <w:t> </w:t>
      </w:r>
      <w:r>
        <w:rPr>
          <w:color w:val="231F20"/>
          <w:w w:val="105"/>
        </w:rPr>
        <w:t>661,000</w:t>
      </w:r>
      <w:r>
        <w:rPr>
          <w:color w:val="231F20"/>
          <w:spacing w:val="-11"/>
          <w:w w:val="105"/>
        </w:rPr>
        <w:t> </w:t>
      </w:r>
      <w:r>
        <w:rPr>
          <w:color w:val="231F20"/>
          <w:w w:val="105"/>
        </w:rPr>
        <w:t>pesos por</w:t>
      </w:r>
      <w:r>
        <w:rPr>
          <w:color w:val="231F20"/>
          <w:spacing w:val="-17"/>
          <w:w w:val="105"/>
        </w:rPr>
        <w:t> </w:t>
      </w:r>
      <w:r>
        <w:rPr>
          <w:color w:val="231F20"/>
          <w:w w:val="105"/>
        </w:rPr>
        <w:t>espectáculos,</w:t>
      </w:r>
      <w:r>
        <w:rPr>
          <w:color w:val="231F20"/>
          <w:spacing w:val="-17"/>
          <w:w w:val="105"/>
        </w:rPr>
        <w:t> </w:t>
      </w:r>
      <w:r>
        <w:rPr>
          <w:color w:val="231F20"/>
          <w:w w:val="105"/>
        </w:rPr>
        <w:t>678,000</w:t>
      </w:r>
      <w:r>
        <w:rPr>
          <w:color w:val="231F20"/>
          <w:spacing w:val="-17"/>
          <w:w w:val="105"/>
        </w:rPr>
        <w:t> </w:t>
      </w:r>
      <w:r>
        <w:rPr>
          <w:color w:val="231F20"/>
          <w:w w:val="105"/>
        </w:rPr>
        <w:t>pesos</w:t>
      </w:r>
      <w:r>
        <w:rPr>
          <w:color w:val="231F20"/>
          <w:spacing w:val="-17"/>
          <w:w w:val="105"/>
        </w:rPr>
        <w:t> </w:t>
      </w:r>
      <w:r>
        <w:rPr>
          <w:color w:val="231F20"/>
          <w:w w:val="105"/>
        </w:rPr>
        <w:t>por</w:t>
      </w:r>
      <w:r>
        <w:rPr>
          <w:color w:val="231F20"/>
          <w:spacing w:val="-17"/>
          <w:w w:val="105"/>
        </w:rPr>
        <w:t> </w:t>
      </w:r>
      <w:r>
        <w:rPr>
          <w:color w:val="231F20"/>
          <w:spacing w:val="2"/>
          <w:w w:val="105"/>
        </w:rPr>
        <w:t>tianguis</w:t>
      </w:r>
      <w:r>
        <w:rPr>
          <w:color w:val="231F20"/>
          <w:spacing w:val="-17"/>
          <w:w w:val="105"/>
        </w:rPr>
        <w:t> </w:t>
      </w:r>
      <w:r>
        <w:rPr>
          <w:color w:val="231F20"/>
          <w:w w:val="105"/>
        </w:rPr>
        <w:t>de</w:t>
      </w:r>
      <w:r>
        <w:rPr>
          <w:color w:val="231F20"/>
          <w:spacing w:val="-17"/>
          <w:w w:val="105"/>
        </w:rPr>
        <w:t> </w:t>
      </w:r>
      <w:r>
        <w:rPr>
          <w:color w:val="231F20"/>
          <w:w w:val="105"/>
        </w:rPr>
        <w:t>automóviles</w:t>
      </w:r>
      <w:r>
        <w:rPr>
          <w:color w:val="231F20"/>
          <w:spacing w:val="-17"/>
          <w:w w:val="105"/>
        </w:rPr>
        <w:t> </w:t>
      </w:r>
      <w:r>
        <w:rPr>
          <w:color w:val="231F20"/>
          <w:w w:val="105"/>
        </w:rPr>
        <w:t>y</w:t>
      </w:r>
      <w:r>
        <w:rPr>
          <w:color w:val="231F20"/>
          <w:spacing w:val="-17"/>
          <w:w w:val="105"/>
        </w:rPr>
        <w:t> </w:t>
      </w:r>
      <w:r>
        <w:rPr>
          <w:color w:val="231F20"/>
          <w:w w:val="105"/>
        </w:rPr>
        <w:t>528,000</w:t>
      </w:r>
      <w:r>
        <w:rPr>
          <w:color w:val="231F20"/>
          <w:spacing w:val="-17"/>
          <w:w w:val="105"/>
        </w:rPr>
        <w:t> </w:t>
      </w:r>
      <w:r>
        <w:rPr>
          <w:color w:val="231F20"/>
          <w:w w:val="105"/>
        </w:rPr>
        <w:t>pesos</w:t>
      </w:r>
      <w:r>
        <w:rPr>
          <w:color w:val="231F20"/>
          <w:spacing w:val="-17"/>
          <w:w w:val="105"/>
        </w:rPr>
        <w:t> </w:t>
      </w:r>
      <w:r>
        <w:rPr>
          <w:color w:val="231F20"/>
          <w:w w:val="105"/>
        </w:rPr>
        <w:t>por </w:t>
      </w:r>
      <w:r>
        <w:rPr>
          <w:color w:val="231F20"/>
          <w:spacing w:val="2"/>
          <w:w w:val="105"/>
        </w:rPr>
        <w:t>tianguis</w:t>
      </w:r>
      <w:r>
        <w:rPr>
          <w:color w:val="231F20"/>
          <w:spacing w:val="-23"/>
          <w:w w:val="105"/>
        </w:rPr>
        <w:t> </w:t>
      </w:r>
      <w:r>
        <w:rPr>
          <w:color w:val="231F20"/>
          <w:w w:val="105"/>
        </w:rPr>
        <w:t>de</w:t>
      </w:r>
      <w:r>
        <w:rPr>
          <w:color w:val="231F20"/>
          <w:spacing w:val="-23"/>
          <w:w w:val="105"/>
        </w:rPr>
        <w:t> </w:t>
      </w:r>
      <w:r>
        <w:rPr>
          <w:color w:val="231F20"/>
          <w:w w:val="105"/>
        </w:rPr>
        <w:t>piso</w:t>
      </w:r>
      <w:r>
        <w:rPr>
          <w:color w:val="231F20"/>
          <w:spacing w:val="-23"/>
          <w:w w:val="105"/>
        </w:rPr>
        <w:t> </w:t>
      </w:r>
      <w:r>
        <w:rPr>
          <w:color w:val="231F20"/>
          <w:w w:val="105"/>
        </w:rPr>
        <w:t>(Duhau</w:t>
      </w:r>
      <w:r>
        <w:rPr>
          <w:color w:val="231F20"/>
          <w:spacing w:val="-23"/>
          <w:w w:val="105"/>
        </w:rPr>
        <w:t> </w:t>
      </w:r>
      <w:r>
        <w:rPr>
          <w:color w:val="231F20"/>
          <w:w w:val="105"/>
        </w:rPr>
        <w:t>y</w:t>
      </w:r>
      <w:r>
        <w:rPr>
          <w:color w:val="231F20"/>
          <w:spacing w:val="-23"/>
          <w:w w:val="105"/>
        </w:rPr>
        <w:t> </w:t>
      </w:r>
      <w:r>
        <w:rPr>
          <w:color w:val="231F20"/>
          <w:w w:val="105"/>
        </w:rPr>
        <w:t>Schteingart,</w:t>
      </w:r>
      <w:r>
        <w:rPr>
          <w:color w:val="231F20"/>
          <w:spacing w:val="-23"/>
          <w:w w:val="105"/>
        </w:rPr>
        <w:t> </w:t>
      </w:r>
      <w:r>
        <w:rPr>
          <w:color w:val="231F20"/>
          <w:spacing w:val="-3"/>
          <w:w w:val="105"/>
        </w:rPr>
        <w:t>2001:201).</w:t>
      </w:r>
    </w:p>
    <w:p>
      <w:pPr>
        <w:pStyle w:val="BodyText"/>
        <w:spacing w:before="1"/>
        <w:rPr>
          <w:sz w:val="26"/>
        </w:rPr>
      </w:pPr>
    </w:p>
    <w:p>
      <w:pPr>
        <w:pStyle w:val="BodyText"/>
        <w:spacing w:line="285" w:lineRule="auto"/>
        <w:ind w:left="110" w:right="107"/>
        <w:jc w:val="both"/>
      </w:pPr>
      <w:r>
        <w:rPr>
          <w:color w:val="231F20"/>
        </w:rPr>
        <w:t>Nezahualcóyotl, como la mayoría de los municipios del país cuenta con </w:t>
      </w:r>
      <w:r>
        <w:rPr>
          <w:color w:val="231F20"/>
          <w:spacing w:val="2"/>
        </w:rPr>
        <w:t>finanzas </w:t>
      </w:r>
      <w:r>
        <w:rPr>
          <w:color w:val="231F20"/>
        </w:rPr>
        <w:t>públi- cas deficientes, producto de una baja capacidad de recaudación de impuestos municipa- les, de una baja capacidad productiva y de una significativa informalidad de actividades comerciales y de servicios. Situación que se ve reflejada en la dependencia financiera que guarda de los ingresos derivados de la Federación y del Estado, como se puede apreciar en el siguiente</w:t>
      </w:r>
      <w:r>
        <w:rPr>
          <w:color w:val="231F20"/>
          <w:spacing w:val="52"/>
        </w:rPr>
        <w:t> </w:t>
      </w:r>
      <w:r>
        <w:rPr>
          <w:color w:val="231F20"/>
        </w:rPr>
        <w:t>cuadro.</w:t>
      </w:r>
    </w:p>
    <w:p>
      <w:pPr>
        <w:pStyle w:val="BodyText"/>
        <w:spacing w:before="1"/>
        <w:rPr>
          <w:sz w:val="26"/>
        </w:rPr>
      </w:pPr>
    </w:p>
    <w:p>
      <w:pPr>
        <w:pStyle w:val="Heading5"/>
        <w:spacing w:line="285" w:lineRule="auto"/>
        <w:ind w:left="2589" w:hanging="1925"/>
      </w:pPr>
      <w:r>
        <w:rPr>
          <w:color w:val="231F20"/>
          <w:w w:val="105"/>
        </w:rPr>
        <w:t>Cuadro</w:t>
      </w:r>
      <w:r>
        <w:rPr>
          <w:color w:val="231F20"/>
          <w:spacing w:val="-30"/>
          <w:w w:val="105"/>
        </w:rPr>
        <w:t> </w:t>
      </w:r>
      <w:r>
        <w:rPr>
          <w:color w:val="231F20"/>
          <w:w w:val="105"/>
        </w:rPr>
        <w:t>4.</w:t>
      </w:r>
      <w:r>
        <w:rPr>
          <w:color w:val="231F20"/>
          <w:spacing w:val="-30"/>
          <w:w w:val="105"/>
        </w:rPr>
        <w:t> </w:t>
      </w:r>
      <w:r>
        <w:rPr>
          <w:color w:val="231F20"/>
          <w:w w:val="105"/>
        </w:rPr>
        <w:t>Capacidad</w:t>
      </w:r>
      <w:r>
        <w:rPr>
          <w:color w:val="231F20"/>
          <w:spacing w:val="-30"/>
          <w:w w:val="105"/>
        </w:rPr>
        <w:t> </w:t>
      </w:r>
      <w:r>
        <w:rPr>
          <w:color w:val="231F20"/>
          <w:w w:val="105"/>
        </w:rPr>
        <w:t>y</w:t>
      </w:r>
      <w:r>
        <w:rPr>
          <w:color w:val="231F20"/>
          <w:spacing w:val="-30"/>
          <w:w w:val="105"/>
        </w:rPr>
        <w:t> </w:t>
      </w:r>
      <w:r>
        <w:rPr>
          <w:color w:val="231F20"/>
          <w:w w:val="105"/>
        </w:rPr>
        <w:t>Dependencia</w:t>
      </w:r>
      <w:r>
        <w:rPr>
          <w:color w:val="231F20"/>
          <w:spacing w:val="-30"/>
          <w:w w:val="105"/>
        </w:rPr>
        <w:t> </w:t>
      </w:r>
      <w:r>
        <w:rPr>
          <w:color w:val="231F20"/>
          <w:w w:val="105"/>
        </w:rPr>
        <w:t>Financiera</w:t>
      </w:r>
      <w:r>
        <w:rPr>
          <w:color w:val="231F20"/>
          <w:spacing w:val="-30"/>
          <w:w w:val="105"/>
        </w:rPr>
        <w:t> </w:t>
      </w:r>
      <w:r>
        <w:rPr>
          <w:color w:val="231F20"/>
          <w:w w:val="105"/>
        </w:rPr>
        <w:t>Relativa</w:t>
      </w:r>
      <w:r>
        <w:rPr>
          <w:color w:val="231F20"/>
          <w:spacing w:val="-30"/>
          <w:w w:val="105"/>
        </w:rPr>
        <w:t> </w:t>
      </w:r>
      <w:r>
        <w:rPr>
          <w:color w:val="231F20"/>
          <w:w w:val="105"/>
        </w:rPr>
        <w:t>del</w:t>
      </w:r>
      <w:r>
        <w:rPr>
          <w:color w:val="231F20"/>
          <w:spacing w:val="-30"/>
          <w:w w:val="105"/>
        </w:rPr>
        <w:t> </w:t>
      </w:r>
      <w:r>
        <w:rPr>
          <w:color w:val="231F20"/>
          <w:w w:val="105"/>
        </w:rPr>
        <w:t>Municipio de Nezahualcóyotl,</w:t>
      </w:r>
      <w:r>
        <w:rPr>
          <w:color w:val="231F20"/>
          <w:spacing w:val="5"/>
          <w:w w:val="105"/>
        </w:rPr>
        <w:t> </w:t>
      </w:r>
      <w:r>
        <w:rPr>
          <w:color w:val="231F20"/>
          <w:w w:val="105"/>
        </w:rPr>
        <w:t>2001–2006</w:t>
      </w:r>
    </w:p>
    <w:p>
      <w:pPr>
        <w:pStyle w:val="BodyText"/>
        <w:spacing w:before="10"/>
        <w:rPr>
          <w:b/>
          <w:sz w:val="13"/>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693"/>
        <w:gridCol w:w="1280"/>
        <w:gridCol w:w="1800"/>
        <w:gridCol w:w="1197"/>
        <w:gridCol w:w="1440"/>
        <w:gridCol w:w="1518"/>
      </w:tblGrid>
      <w:tr>
        <w:trPr>
          <w:trHeight w:val="640" w:hRule="exact"/>
        </w:trPr>
        <w:tc>
          <w:tcPr>
            <w:tcW w:w="693" w:type="dxa"/>
            <w:shd w:val="clear" w:color="auto" w:fill="B3B4B4"/>
          </w:tcPr>
          <w:p>
            <w:pPr>
              <w:pStyle w:val="TableParagraph"/>
              <w:spacing w:before="4"/>
              <w:ind w:left="0"/>
              <w:rPr>
                <w:rFonts w:ascii="Times New Roman"/>
                <w:b/>
                <w:sz w:val="19"/>
              </w:rPr>
            </w:pPr>
          </w:p>
          <w:p>
            <w:pPr>
              <w:pStyle w:val="TableParagraph"/>
              <w:ind w:left="0"/>
              <w:rPr>
                <w:b/>
                <w:sz w:val="16"/>
              </w:rPr>
            </w:pPr>
            <w:r>
              <w:rPr>
                <w:b/>
                <w:color w:val="231F20"/>
                <w:w w:val="110"/>
                <w:sz w:val="16"/>
              </w:rPr>
              <w:t>Año</w:t>
            </w:r>
          </w:p>
        </w:tc>
        <w:tc>
          <w:tcPr>
            <w:tcW w:w="1280" w:type="dxa"/>
            <w:shd w:val="clear" w:color="auto" w:fill="B3B4B4"/>
          </w:tcPr>
          <w:p>
            <w:pPr>
              <w:pStyle w:val="TableParagraph"/>
              <w:spacing w:before="4"/>
              <w:ind w:left="0"/>
              <w:rPr>
                <w:rFonts w:ascii="Times New Roman"/>
                <w:b/>
                <w:sz w:val="19"/>
              </w:rPr>
            </w:pPr>
          </w:p>
          <w:p>
            <w:pPr>
              <w:pStyle w:val="TableParagraph"/>
              <w:ind w:left="0"/>
              <w:rPr>
                <w:b/>
                <w:sz w:val="16"/>
              </w:rPr>
            </w:pPr>
            <w:r>
              <w:rPr>
                <w:b/>
                <w:color w:val="231F20"/>
                <w:w w:val="110"/>
                <w:sz w:val="16"/>
              </w:rPr>
              <w:t>Ingresos Propios</w:t>
            </w:r>
          </w:p>
        </w:tc>
        <w:tc>
          <w:tcPr>
            <w:tcW w:w="1800" w:type="dxa"/>
            <w:shd w:val="clear" w:color="auto" w:fill="B3B4B4"/>
          </w:tcPr>
          <w:p>
            <w:pPr>
              <w:pStyle w:val="TableParagraph"/>
              <w:spacing w:line="192" w:lineRule="exact" w:before="125"/>
              <w:ind w:left="0" w:right="-9"/>
              <w:rPr>
                <w:b/>
                <w:sz w:val="16"/>
              </w:rPr>
            </w:pPr>
            <w:r>
              <w:rPr>
                <w:b/>
                <w:color w:val="231F20"/>
                <w:w w:val="110"/>
                <w:sz w:val="16"/>
              </w:rPr>
              <w:t>Ingresos Derivados de la Federación</w:t>
            </w:r>
            <w:r>
              <w:rPr>
                <w:b/>
                <w:color w:val="231F20"/>
                <w:spacing w:val="-17"/>
                <w:w w:val="110"/>
                <w:sz w:val="16"/>
              </w:rPr>
              <w:t> </w:t>
            </w:r>
            <w:r>
              <w:rPr>
                <w:b/>
                <w:color w:val="231F20"/>
                <w:spacing w:val="-3"/>
                <w:w w:val="110"/>
                <w:sz w:val="16"/>
              </w:rPr>
              <w:t>y/o</w:t>
            </w:r>
            <w:r>
              <w:rPr>
                <w:b/>
                <w:color w:val="231F20"/>
                <w:spacing w:val="-17"/>
                <w:w w:val="110"/>
                <w:sz w:val="16"/>
              </w:rPr>
              <w:t> </w:t>
            </w:r>
            <w:r>
              <w:rPr>
                <w:b/>
                <w:color w:val="231F20"/>
                <w:w w:val="110"/>
                <w:sz w:val="16"/>
              </w:rPr>
              <w:t>el</w:t>
            </w:r>
            <w:r>
              <w:rPr>
                <w:b/>
                <w:color w:val="231F20"/>
                <w:spacing w:val="-17"/>
                <w:w w:val="110"/>
                <w:sz w:val="16"/>
              </w:rPr>
              <w:t> </w:t>
            </w:r>
            <w:r>
              <w:rPr>
                <w:b/>
                <w:color w:val="231F20"/>
                <w:spacing w:val="2"/>
                <w:w w:val="110"/>
                <w:sz w:val="16"/>
              </w:rPr>
              <w:t>Estado</w:t>
            </w:r>
          </w:p>
        </w:tc>
        <w:tc>
          <w:tcPr>
            <w:tcW w:w="1197" w:type="dxa"/>
            <w:shd w:val="clear" w:color="auto" w:fill="B3B4B4"/>
          </w:tcPr>
          <w:p>
            <w:pPr>
              <w:pStyle w:val="TableParagraph"/>
              <w:spacing w:before="4"/>
              <w:ind w:left="0"/>
              <w:rPr>
                <w:rFonts w:ascii="Times New Roman"/>
                <w:b/>
                <w:sz w:val="19"/>
              </w:rPr>
            </w:pPr>
          </w:p>
          <w:p>
            <w:pPr>
              <w:pStyle w:val="TableParagraph"/>
              <w:ind w:left="0"/>
              <w:rPr>
                <w:b/>
                <w:sz w:val="16"/>
              </w:rPr>
            </w:pPr>
            <w:r>
              <w:rPr>
                <w:b/>
                <w:color w:val="231F20"/>
                <w:w w:val="110"/>
                <w:sz w:val="16"/>
              </w:rPr>
              <w:t>Egresos Totales</w:t>
            </w:r>
          </w:p>
        </w:tc>
        <w:tc>
          <w:tcPr>
            <w:tcW w:w="1440" w:type="dxa"/>
            <w:shd w:val="clear" w:color="auto" w:fill="B3B4B4"/>
          </w:tcPr>
          <w:p>
            <w:pPr>
              <w:pStyle w:val="TableParagraph"/>
              <w:spacing w:line="192" w:lineRule="exact" w:before="125"/>
              <w:ind w:left="-1" w:right="24"/>
              <w:rPr>
                <w:b/>
                <w:sz w:val="16"/>
              </w:rPr>
            </w:pPr>
            <w:r>
              <w:rPr>
                <w:b/>
                <w:color w:val="231F20"/>
                <w:w w:val="110"/>
                <w:sz w:val="16"/>
              </w:rPr>
              <w:t>Capacidad Financiera Relativa</w:t>
            </w:r>
          </w:p>
        </w:tc>
        <w:tc>
          <w:tcPr>
            <w:tcW w:w="1518" w:type="dxa"/>
            <w:shd w:val="clear" w:color="auto" w:fill="B3B4B4"/>
          </w:tcPr>
          <w:p>
            <w:pPr>
              <w:pStyle w:val="TableParagraph"/>
              <w:spacing w:line="192" w:lineRule="exact" w:before="125"/>
              <w:ind w:left="-1" w:right="101"/>
              <w:rPr>
                <w:b/>
                <w:sz w:val="16"/>
              </w:rPr>
            </w:pPr>
            <w:r>
              <w:rPr>
                <w:b/>
                <w:color w:val="231F20"/>
                <w:w w:val="110"/>
                <w:sz w:val="16"/>
              </w:rPr>
              <w:t>Dependencia Financiera Relativa</w:t>
            </w:r>
          </w:p>
        </w:tc>
      </w:tr>
      <w:tr>
        <w:trPr>
          <w:trHeight w:val="315" w:hRule="exact"/>
        </w:trPr>
        <w:tc>
          <w:tcPr>
            <w:tcW w:w="693" w:type="dxa"/>
          </w:tcPr>
          <w:p>
            <w:pPr>
              <w:pStyle w:val="TableParagraph"/>
              <w:spacing w:before="37"/>
              <w:ind w:left="0"/>
              <w:rPr>
                <w:sz w:val="20"/>
              </w:rPr>
            </w:pPr>
            <w:r>
              <w:rPr>
                <w:color w:val="231F20"/>
                <w:w w:val="85"/>
                <w:sz w:val="20"/>
              </w:rPr>
              <w:t>2001</w:t>
            </w:r>
          </w:p>
        </w:tc>
        <w:tc>
          <w:tcPr>
            <w:tcW w:w="1280" w:type="dxa"/>
          </w:tcPr>
          <w:p>
            <w:pPr>
              <w:pStyle w:val="TableParagraph"/>
              <w:spacing w:before="60"/>
              <w:ind w:left="0"/>
              <w:rPr>
                <w:sz w:val="16"/>
              </w:rPr>
            </w:pPr>
            <w:r>
              <w:rPr>
                <w:color w:val="231F20"/>
                <w:w w:val="85"/>
                <w:sz w:val="16"/>
              </w:rPr>
              <w:t>142,339,745.00</w:t>
            </w:r>
          </w:p>
        </w:tc>
        <w:tc>
          <w:tcPr>
            <w:tcW w:w="1800" w:type="dxa"/>
          </w:tcPr>
          <w:p>
            <w:pPr>
              <w:pStyle w:val="TableParagraph"/>
              <w:spacing w:before="60"/>
              <w:ind w:left="-1" w:right="-9"/>
              <w:rPr>
                <w:sz w:val="16"/>
              </w:rPr>
            </w:pPr>
            <w:r>
              <w:rPr>
                <w:color w:val="231F20"/>
                <w:w w:val="85"/>
                <w:sz w:val="16"/>
              </w:rPr>
              <w:t>656,038,429.00</w:t>
            </w:r>
          </w:p>
        </w:tc>
        <w:tc>
          <w:tcPr>
            <w:tcW w:w="1197" w:type="dxa"/>
          </w:tcPr>
          <w:p>
            <w:pPr>
              <w:pStyle w:val="TableParagraph"/>
              <w:spacing w:before="60"/>
              <w:ind w:left="-1"/>
              <w:rPr>
                <w:sz w:val="16"/>
              </w:rPr>
            </w:pPr>
            <w:r>
              <w:rPr>
                <w:color w:val="231F20"/>
                <w:w w:val="85"/>
                <w:sz w:val="16"/>
              </w:rPr>
              <w:t>560,192,480.00</w:t>
            </w:r>
          </w:p>
        </w:tc>
        <w:tc>
          <w:tcPr>
            <w:tcW w:w="1440" w:type="dxa"/>
          </w:tcPr>
          <w:p>
            <w:pPr>
              <w:pStyle w:val="TableParagraph"/>
              <w:spacing w:before="60"/>
              <w:ind w:left="-1" w:right="24"/>
              <w:rPr>
                <w:sz w:val="16"/>
              </w:rPr>
            </w:pPr>
            <w:r>
              <w:rPr>
                <w:color w:val="231F20"/>
                <w:w w:val="90"/>
                <w:sz w:val="16"/>
              </w:rPr>
              <w:t>25.41%</w:t>
            </w:r>
          </w:p>
        </w:tc>
        <w:tc>
          <w:tcPr>
            <w:tcW w:w="1518" w:type="dxa"/>
          </w:tcPr>
          <w:p>
            <w:pPr>
              <w:pStyle w:val="TableParagraph"/>
              <w:spacing w:before="37"/>
              <w:ind w:left="-1" w:right="101"/>
              <w:rPr>
                <w:sz w:val="20"/>
              </w:rPr>
            </w:pPr>
            <w:r>
              <w:rPr>
                <w:color w:val="231F20"/>
                <w:w w:val="90"/>
                <w:sz w:val="20"/>
              </w:rPr>
              <w:t>74.59%</w:t>
            </w:r>
          </w:p>
        </w:tc>
      </w:tr>
      <w:tr>
        <w:trPr>
          <w:trHeight w:val="315" w:hRule="exact"/>
        </w:trPr>
        <w:tc>
          <w:tcPr>
            <w:tcW w:w="693" w:type="dxa"/>
          </w:tcPr>
          <w:p>
            <w:pPr>
              <w:pStyle w:val="TableParagraph"/>
              <w:spacing w:before="37"/>
              <w:ind w:left="0"/>
              <w:rPr>
                <w:sz w:val="20"/>
              </w:rPr>
            </w:pPr>
            <w:r>
              <w:rPr>
                <w:color w:val="231F20"/>
                <w:w w:val="85"/>
                <w:sz w:val="20"/>
              </w:rPr>
              <w:t>2002</w:t>
            </w:r>
          </w:p>
        </w:tc>
        <w:tc>
          <w:tcPr>
            <w:tcW w:w="1280" w:type="dxa"/>
          </w:tcPr>
          <w:p>
            <w:pPr>
              <w:pStyle w:val="TableParagraph"/>
              <w:spacing w:before="60"/>
              <w:ind w:left="0"/>
              <w:rPr>
                <w:sz w:val="16"/>
              </w:rPr>
            </w:pPr>
            <w:r>
              <w:rPr>
                <w:color w:val="231F20"/>
                <w:w w:val="85"/>
                <w:sz w:val="16"/>
              </w:rPr>
              <w:t>137,574,095.00</w:t>
            </w:r>
          </w:p>
        </w:tc>
        <w:tc>
          <w:tcPr>
            <w:tcW w:w="1800" w:type="dxa"/>
          </w:tcPr>
          <w:p>
            <w:pPr>
              <w:pStyle w:val="TableParagraph"/>
              <w:spacing w:before="60"/>
              <w:ind w:left="-1" w:right="-9"/>
              <w:rPr>
                <w:sz w:val="16"/>
              </w:rPr>
            </w:pPr>
            <w:r>
              <w:rPr>
                <w:color w:val="231F20"/>
                <w:w w:val="85"/>
                <w:sz w:val="16"/>
              </w:rPr>
              <w:t>692,762,683.00</w:t>
            </w:r>
          </w:p>
        </w:tc>
        <w:tc>
          <w:tcPr>
            <w:tcW w:w="1197" w:type="dxa"/>
          </w:tcPr>
          <w:p>
            <w:pPr>
              <w:pStyle w:val="TableParagraph"/>
              <w:spacing w:before="60"/>
              <w:ind w:left="-1"/>
              <w:rPr>
                <w:sz w:val="16"/>
              </w:rPr>
            </w:pPr>
            <w:r>
              <w:rPr>
                <w:color w:val="231F20"/>
                <w:w w:val="85"/>
                <w:sz w:val="16"/>
              </w:rPr>
              <w:t>946,413,126.00</w:t>
            </w:r>
          </w:p>
        </w:tc>
        <w:tc>
          <w:tcPr>
            <w:tcW w:w="1440" w:type="dxa"/>
          </w:tcPr>
          <w:p>
            <w:pPr>
              <w:pStyle w:val="TableParagraph"/>
              <w:spacing w:before="60"/>
              <w:ind w:left="-1" w:right="24"/>
              <w:rPr>
                <w:sz w:val="16"/>
              </w:rPr>
            </w:pPr>
            <w:r>
              <w:rPr>
                <w:color w:val="231F20"/>
                <w:w w:val="90"/>
                <w:sz w:val="16"/>
              </w:rPr>
              <w:t>14.54%</w:t>
            </w:r>
          </w:p>
        </w:tc>
        <w:tc>
          <w:tcPr>
            <w:tcW w:w="1518" w:type="dxa"/>
          </w:tcPr>
          <w:p>
            <w:pPr>
              <w:pStyle w:val="TableParagraph"/>
              <w:spacing w:before="37"/>
              <w:ind w:left="-1" w:right="101"/>
              <w:rPr>
                <w:sz w:val="20"/>
              </w:rPr>
            </w:pPr>
            <w:r>
              <w:rPr>
                <w:color w:val="231F20"/>
                <w:w w:val="90"/>
                <w:sz w:val="20"/>
              </w:rPr>
              <w:t>85.46%</w:t>
            </w:r>
          </w:p>
        </w:tc>
      </w:tr>
      <w:tr>
        <w:trPr>
          <w:trHeight w:val="315" w:hRule="exact"/>
        </w:trPr>
        <w:tc>
          <w:tcPr>
            <w:tcW w:w="693" w:type="dxa"/>
          </w:tcPr>
          <w:p>
            <w:pPr>
              <w:pStyle w:val="TableParagraph"/>
              <w:spacing w:before="37"/>
              <w:ind w:left="0"/>
              <w:rPr>
                <w:sz w:val="20"/>
              </w:rPr>
            </w:pPr>
            <w:r>
              <w:rPr>
                <w:color w:val="231F20"/>
                <w:w w:val="85"/>
                <w:sz w:val="20"/>
              </w:rPr>
              <w:t>2003</w:t>
            </w:r>
          </w:p>
        </w:tc>
        <w:tc>
          <w:tcPr>
            <w:tcW w:w="1280" w:type="dxa"/>
          </w:tcPr>
          <w:p>
            <w:pPr>
              <w:pStyle w:val="TableParagraph"/>
              <w:spacing w:before="60"/>
              <w:ind w:left="0"/>
              <w:rPr>
                <w:sz w:val="16"/>
              </w:rPr>
            </w:pPr>
            <w:r>
              <w:rPr>
                <w:color w:val="231F20"/>
                <w:w w:val="85"/>
                <w:sz w:val="16"/>
              </w:rPr>
              <w:t>152,091,437.65</w:t>
            </w:r>
          </w:p>
        </w:tc>
        <w:tc>
          <w:tcPr>
            <w:tcW w:w="1800" w:type="dxa"/>
          </w:tcPr>
          <w:p>
            <w:pPr>
              <w:pStyle w:val="TableParagraph"/>
              <w:spacing w:before="60"/>
              <w:ind w:left="-1" w:right="-9"/>
              <w:rPr>
                <w:sz w:val="16"/>
              </w:rPr>
            </w:pPr>
            <w:r>
              <w:rPr>
                <w:color w:val="231F20"/>
                <w:w w:val="85"/>
                <w:sz w:val="16"/>
              </w:rPr>
              <w:t>734,413,171.67</w:t>
            </w:r>
          </w:p>
        </w:tc>
        <w:tc>
          <w:tcPr>
            <w:tcW w:w="1197" w:type="dxa"/>
          </w:tcPr>
          <w:p>
            <w:pPr>
              <w:pStyle w:val="TableParagraph"/>
              <w:spacing w:before="60"/>
              <w:ind w:left="-1"/>
              <w:rPr>
                <w:sz w:val="16"/>
              </w:rPr>
            </w:pPr>
            <w:r>
              <w:rPr>
                <w:color w:val="231F20"/>
                <w:w w:val="85"/>
                <w:sz w:val="16"/>
              </w:rPr>
              <w:t>1,141,060,083.42</w:t>
            </w:r>
          </w:p>
        </w:tc>
        <w:tc>
          <w:tcPr>
            <w:tcW w:w="1440" w:type="dxa"/>
          </w:tcPr>
          <w:p>
            <w:pPr>
              <w:pStyle w:val="TableParagraph"/>
              <w:spacing w:before="60"/>
              <w:ind w:left="-1" w:right="24"/>
              <w:rPr>
                <w:sz w:val="16"/>
              </w:rPr>
            </w:pPr>
            <w:r>
              <w:rPr>
                <w:color w:val="231F20"/>
                <w:w w:val="90"/>
                <w:sz w:val="16"/>
              </w:rPr>
              <w:t>13.33%</w:t>
            </w:r>
          </w:p>
        </w:tc>
        <w:tc>
          <w:tcPr>
            <w:tcW w:w="1518" w:type="dxa"/>
          </w:tcPr>
          <w:p>
            <w:pPr>
              <w:pStyle w:val="TableParagraph"/>
              <w:spacing w:before="37"/>
              <w:ind w:left="-1" w:right="101"/>
              <w:rPr>
                <w:sz w:val="20"/>
              </w:rPr>
            </w:pPr>
            <w:r>
              <w:rPr>
                <w:color w:val="231F20"/>
                <w:w w:val="90"/>
                <w:sz w:val="20"/>
              </w:rPr>
              <w:t>86.67%</w:t>
            </w:r>
          </w:p>
        </w:tc>
      </w:tr>
      <w:tr>
        <w:trPr>
          <w:trHeight w:val="315" w:hRule="exact"/>
        </w:trPr>
        <w:tc>
          <w:tcPr>
            <w:tcW w:w="693" w:type="dxa"/>
          </w:tcPr>
          <w:p>
            <w:pPr>
              <w:pStyle w:val="TableParagraph"/>
              <w:spacing w:before="37"/>
              <w:ind w:left="0"/>
              <w:rPr>
                <w:sz w:val="20"/>
              </w:rPr>
            </w:pPr>
            <w:r>
              <w:rPr>
                <w:color w:val="231F20"/>
                <w:w w:val="85"/>
                <w:sz w:val="20"/>
              </w:rPr>
              <w:t>2004</w:t>
            </w:r>
          </w:p>
        </w:tc>
        <w:tc>
          <w:tcPr>
            <w:tcW w:w="1280" w:type="dxa"/>
          </w:tcPr>
          <w:p>
            <w:pPr>
              <w:pStyle w:val="TableParagraph"/>
              <w:spacing w:before="60"/>
              <w:ind w:left="0"/>
              <w:rPr>
                <w:sz w:val="16"/>
              </w:rPr>
            </w:pPr>
            <w:r>
              <w:rPr>
                <w:color w:val="231F20"/>
                <w:w w:val="85"/>
                <w:sz w:val="16"/>
              </w:rPr>
              <w:t>156,570,009.21</w:t>
            </w:r>
          </w:p>
        </w:tc>
        <w:tc>
          <w:tcPr>
            <w:tcW w:w="1800" w:type="dxa"/>
          </w:tcPr>
          <w:p>
            <w:pPr>
              <w:pStyle w:val="TableParagraph"/>
              <w:spacing w:before="60"/>
              <w:ind w:left="-1" w:right="-9"/>
              <w:rPr>
                <w:sz w:val="16"/>
              </w:rPr>
            </w:pPr>
            <w:r>
              <w:rPr>
                <w:color w:val="231F20"/>
                <w:w w:val="85"/>
                <w:sz w:val="16"/>
              </w:rPr>
              <w:t>842,247,905.48</w:t>
            </w:r>
          </w:p>
        </w:tc>
        <w:tc>
          <w:tcPr>
            <w:tcW w:w="1197" w:type="dxa"/>
          </w:tcPr>
          <w:p>
            <w:pPr>
              <w:pStyle w:val="TableParagraph"/>
              <w:spacing w:before="60"/>
              <w:ind w:left="-1"/>
              <w:rPr>
                <w:sz w:val="16"/>
              </w:rPr>
            </w:pPr>
            <w:r>
              <w:rPr>
                <w:color w:val="231F20"/>
                <w:w w:val="85"/>
                <w:sz w:val="16"/>
              </w:rPr>
              <w:t>1,072,234,720.91</w:t>
            </w:r>
          </w:p>
        </w:tc>
        <w:tc>
          <w:tcPr>
            <w:tcW w:w="1440" w:type="dxa"/>
          </w:tcPr>
          <w:p>
            <w:pPr>
              <w:pStyle w:val="TableParagraph"/>
              <w:spacing w:before="60"/>
              <w:ind w:left="-1" w:right="24"/>
              <w:rPr>
                <w:sz w:val="16"/>
              </w:rPr>
            </w:pPr>
            <w:r>
              <w:rPr>
                <w:color w:val="231F20"/>
                <w:w w:val="90"/>
                <w:sz w:val="16"/>
              </w:rPr>
              <w:t>14.60%</w:t>
            </w:r>
          </w:p>
        </w:tc>
        <w:tc>
          <w:tcPr>
            <w:tcW w:w="1518" w:type="dxa"/>
          </w:tcPr>
          <w:p>
            <w:pPr>
              <w:pStyle w:val="TableParagraph"/>
              <w:spacing w:before="37"/>
              <w:ind w:left="-1" w:right="101"/>
              <w:rPr>
                <w:sz w:val="20"/>
              </w:rPr>
            </w:pPr>
            <w:r>
              <w:rPr>
                <w:color w:val="231F20"/>
                <w:w w:val="90"/>
                <w:sz w:val="20"/>
              </w:rPr>
              <w:t>85.40%</w:t>
            </w:r>
          </w:p>
        </w:tc>
      </w:tr>
      <w:tr>
        <w:trPr>
          <w:trHeight w:val="315" w:hRule="exact"/>
        </w:trPr>
        <w:tc>
          <w:tcPr>
            <w:tcW w:w="693" w:type="dxa"/>
          </w:tcPr>
          <w:p>
            <w:pPr>
              <w:pStyle w:val="TableParagraph"/>
              <w:spacing w:before="37"/>
              <w:ind w:left="0"/>
              <w:rPr>
                <w:sz w:val="20"/>
              </w:rPr>
            </w:pPr>
            <w:r>
              <w:rPr>
                <w:color w:val="231F20"/>
                <w:w w:val="85"/>
                <w:sz w:val="20"/>
              </w:rPr>
              <w:t>2005</w:t>
            </w:r>
          </w:p>
        </w:tc>
        <w:tc>
          <w:tcPr>
            <w:tcW w:w="1280" w:type="dxa"/>
          </w:tcPr>
          <w:p>
            <w:pPr>
              <w:pStyle w:val="TableParagraph"/>
              <w:spacing w:before="60"/>
              <w:ind w:left="0"/>
              <w:rPr>
                <w:sz w:val="16"/>
              </w:rPr>
            </w:pPr>
            <w:r>
              <w:rPr>
                <w:color w:val="231F20"/>
                <w:w w:val="85"/>
                <w:sz w:val="16"/>
              </w:rPr>
              <w:t>178,016,647.40</w:t>
            </w:r>
          </w:p>
        </w:tc>
        <w:tc>
          <w:tcPr>
            <w:tcW w:w="1800" w:type="dxa"/>
          </w:tcPr>
          <w:p>
            <w:pPr>
              <w:pStyle w:val="TableParagraph"/>
              <w:spacing w:before="60"/>
              <w:ind w:left="-1" w:right="-9"/>
              <w:rPr>
                <w:sz w:val="16"/>
              </w:rPr>
            </w:pPr>
            <w:r>
              <w:rPr>
                <w:color w:val="231F20"/>
                <w:w w:val="85"/>
                <w:sz w:val="16"/>
              </w:rPr>
              <w:t>851,478,110.65</w:t>
            </w:r>
          </w:p>
        </w:tc>
        <w:tc>
          <w:tcPr>
            <w:tcW w:w="1197" w:type="dxa"/>
          </w:tcPr>
          <w:p>
            <w:pPr>
              <w:pStyle w:val="TableParagraph"/>
              <w:spacing w:before="60"/>
              <w:ind w:left="-1"/>
              <w:rPr>
                <w:sz w:val="16"/>
              </w:rPr>
            </w:pPr>
            <w:r>
              <w:rPr>
                <w:color w:val="231F20"/>
                <w:w w:val="85"/>
                <w:sz w:val="16"/>
              </w:rPr>
              <w:t>1,220,874,001.94</w:t>
            </w:r>
          </w:p>
        </w:tc>
        <w:tc>
          <w:tcPr>
            <w:tcW w:w="1440" w:type="dxa"/>
          </w:tcPr>
          <w:p>
            <w:pPr>
              <w:pStyle w:val="TableParagraph"/>
              <w:spacing w:before="60"/>
              <w:ind w:left="-1" w:right="24"/>
              <w:rPr>
                <w:sz w:val="16"/>
              </w:rPr>
            </w:pPr>
            <w:r>
              <w:rPr>
                <w:color w:val="231F20"/>
                <w:w w:val="90"/>
                <w:sz w:val="16"/>
              </w:rPr>
              <w:t>14.58%</w:t>
            </w:r>
          </w:p>
        </w:tc>
        <w:tc>
          <w:tcPr>
            <w:tcW w:w="1518" w:type="dxa"/>
          </w:tcPr>
          <w:p>
            <w:pPr>
              <w:pStyle w:val="TableParagraph"/>
              <w:spacing w:before="37"/>
              <w:ind w:left="-1" w:right="101"/>
              <w:rPr>
                <w:sz w:val="20"/>
              </w:rPr>
            </w:pPr>
            <w:r>
              <w:rPr>
                <w:color w:val="231F20"/>
                <w:w w:val="90"/>
                <w:sz w:val="20"/>
              </w:rPr>
              <w:t>85.42%</w:t>
            </w:r>
          </w:p>
        </w:tc>
      </w:tr>
      <w:tr>
        <w:trPr>
          <w:trHeight w:val="315" w:hRule="exact"/>
        </w:trPr>
        <w:tc>
          <w:tcPr>
            <w:tcW w:w="693" w:type="dxa"/>
            <w:tcBorders>
              <w:bottom w:val="single" w:sz="12" w:space="0" w:color="231F20"/>
            </w:tcBorders>
          </w:tcPr>
          <w:p>
            <w:pPr>
              <w:pStyle w:val="TableParagraph"/>
              <w:spacing w:before="32"/>
              <w:ind w:left="0"/>
              <w:rPr>
                <w:sz w:val="20"/>
              </w:rPr>
            </w:pPr>
            <w:r>
              <w:rPr>
                <w:color w:val="231F20"/>
                <w:w w:val="85"/>
                <w:sz w:val="20"/>
              </w:rPr>
              <w:t>2006</w:t>
            </w:r>
          </w:p>
        </w:tc>
        <w:tc>
          <w:tcPr>
            <w:tcW w:w="1280" w:type="dxa"/>
            <w:tcBorders>
              <w:bottom w:val="single" w:sz="12" w:space="0" w:color="231F20"/>
            </w:tcBorders>
          </w:tcPr>
          <w:p>
            <w:pPr>
              <w:pStyle w:val="TableParagraph"/>
              <w:spacing w:before="55"/>
              <w:ind w:left="0"/>
              <w:rPr>
                <w:sz w:val="16"/>
              </w:rPr>
            </w:pPr>
            <w:r>
              <w:rPr>
                <w:color w:val="231F20"/>
                <w:w w:val="85"/>
                <w:sz w:val="16"/>
              </w:rPr>
              <w:t>150,996,722.36</w:t>
            </w:r>
          </w:p>
        </w:tc>
        <w:tc>
          <w:tcPr>
            <w:tcW w:w="1800" w:type="dxa"/>
            <w:tcBorders>
              <w:bottom w:val="single" w:sz="12" w:space="0" w:color="231F20"/>
            </w:tcBorders>
          </w:tcPr>
          <w:p>
            <w:pPr>
              <w:pStyle w:val="TableParagraph"/>
              <w:spacing w:before="55"/>
              <w:ind w:left="-1" w:right="-9"/>
              <w:rPr>
                <w:sz w:val="16"/>
              </w:rPr>
            </w:pPr>
            <w:r>
              <w:rPr>
                <w:color w:val="231F20"/>
                <w:w w:val="85"/>
                <w:sz w:val="16"/>
              </w:rPr>
              <w:t>798,415,202.81</w:t>
            </w:r>
          </w:p>
        </w:tc>
        <w:tc>
          <w:tcPr>
            <w:tcW w:w="1197" w:type="dxa"/>
            <w:tcBorders>
              <w:bottom w:val="single" w:sz="12" w:space="0" w:color="231F20"/>
            </w:tcBorders>
          </w:tcPr>
          <w:p>
            <w:pPr>
              <w:pStyle w:val="TableParagraph"/>
              <w:spacing w:before="55"/>
              <w:ind w:left="-1"/>
              <w:rPr>
                <w:sz w:val="16"/>
              </w:rPr>
            </w:pPr>
            <w:r>
              <w:rPr>
                <w:color w:val="231F20"/>
                <w:w w:val="85"/>
                <w:sz w:val="16"/>
              </w:rPr>
              <w:t>746,394,495.48</w:t>
            </w:r>
          </w:p>
        </w:tc>
        <w:tc>
          <w:tcPr>
            <w:tcW w:w="1440" w:type="dxa"/>
            <w:tcBorders>
              <w:bottom w:val="single" w:sz="12" w:space="0" w:color="231F20"/>
            </w:tcBorders>
          </w:tcPr>
          <w:p>
            <w:pPr>
              <w:pStyle w:val="TableParagraph"/>
              <w:spacing w:before="55"/>
              <w:ind w:left="-1" w:right="24"/>
              <w:rPr>
                <w:sz w:val="16"/>
              </w:rPr>
            </w:pPr>
            <w:r>
              <w:rPr>
                <w:color w:val="231F20"/>
                <w:w w:val="90"/>
                <w:sz w:val="16"/>
              </w:rPr>
              <w:t>20.23%</w:t>
            </w:r>
          </w:p>
        </w:tc>
        <w:tc>
          <w:tcPr>
            <w:tcW w:w="1518" w:type="dxa"/>
            <w:tcBorders>
              <w:bottom w:val="single" w:sz="12" w:space="0" w:color="231F20"/>
            </w:tcBorders>
          </w:tcPr>
          <w:p>
            <w:pPr>
              <w:pStyle w:val="TableParagraph"/>
              <w:spacing w:before="55"/>
              <w:ind w:left="-1" w:right="101"/>
              <w:rPr>
                <w:sz w:val="16"/>
              </w:rPr>
            </w:pPr>
            <w:r>
              <w:rPr>
                <w:color w:val="231F20"/>
                <w:w w:val="90"/>
                <w:sz w:val="16"/>
              </w:rPr>
              <w:t>79.77%</w:t>
            </w:r>
          </w:p>
        </w:tc>
      </w:tr>
    </w:tbl>
    <w:p>
      <w:pPr>
        <w:pStyle w:val="BodyText"/>
        <w:spacing w:before="4"/>
        <w:rPr>
          <w:b/>
          <w:sz w:val="23"/>
        </w:rPr>
      </w:pPr>
    </w:p>
    <w:p>
      <w:pPr>
        <w:spacing w:before="74"/>
        <w:ind w:left="4060" w:right="-2" w:firstLine="0"/>
        <w:jc w:val="left"/>
        <w:rPr>
          <w:rFonts w:ascii="Calibri" w:hAnsi="Calibri"/>
          <w:sz w:val="16"/>
        </w:rPr>
      </w:pPr>
      <w:r>
        <w:rPr>
          <w:rFonts w:ascii="Calibri" w:hAnsi="Calibri"/>
          <w:color w:val="231F20"/>
          <w:sz w:val="16"/>
        </w:rPr>
        <w:t>Fuente: Cálculos propios con información del PDM 2006-2009.</w:t>
      </w:r>
    </w:p>
    <w:p>
      <w:pPr>
        <w:spacing w:after="0"/>
        <w:jc w:val="left"/>
        <w:rPr>
          <w:rFonts w:ascii="Calibri" w:hAnsi="Calibri"/>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6"/>
        <w:jc w:val="both"/>
      </w:pPr>
      <w:r>
        <w:rPr>
          <w:color w:val="231F20"/>
          <w:w w:val="105"/>
        </w:rPr>
        <w:t>En</w:t>
      </w:r>
      <w:r>
        <w:rPr>
          <w:color w:val="231F20"/>
          <w:spacing w:val="-19"/>
          <w:w w:val="105"/>
        </w:rPr>
        <w:t> </w:t>
      </w:r>
      <w:r>
        <w:rPr>
          <w:color w:val="231F20"/>
          <w:spacing w:val="-4"/>
          <w:w w:val="105"/>
        </w:rPr>
        <w:t>promedio</w:t>
      </w:r>
      <w:r>
        <w:rPr>
          <w:color w:val="231F20"/>
          <w:spacing w:val="-19"/>
          <w:w w:val="105"/>
        </w:rPr>
        <w:t> </w:t>
      </w:r>
      <w:r>
        <w:rPr>
          <w:color w:val="231F20"/>
          <w:w w:val="105"/>
        </w:rPr>
        <w:t>la</w:t>
      </w:r>
      <w:r>
        <w:rPr>
          <w:color w:val="231F20"/>
          <w:spacing w:val="-19"/>
          <w:w w:val="105"/>
        </w:rPr>
        <w:t> </w:t>
      </w:r>
      <w:r>
        <w:rPr>
          <w:color w:val="231F20"/>
          <w:spacing w:val="-5"/>
          <w:w w:val="105"/>
        </w:rPr>
        <w:t>capacidad</w:t>
      </w:r>
      <w:r>
        <w:rPr>
          <w:color w:val="231F20"/>
          <w:spacing w:val="-19"/>
          <w:w w:val="105"/>
        </w:rPr>
        <w:t> </w:t>
      </w:r>
      <w:r>
        <w:rPr>
          <w:color w:val="231F20"/>
          <w:spacing w:val="-3"/>
          <w:w w:val="105"/>
        </w:rPr>
        <w:t>financiera</w:t>
      </w:r>
      <w:r>
        <w:rPr>
          <w:color w:val="231F20"/>
          <w:spacing w:val="-19"/>
          <w:w w:val="105"/>
        </w:rPr>
        <w:t> </w:t>
      </w:r>
      <w:r>
        <w:rPr>
          <w:color w:val="231F20"/>
          <w:spacing w:val="-4"/>
          <w:w w:val="105"/>
        </w:rPr>
        <w:t>relativa</w:t>
      </w:r>
      <w:r>
        <w:rPr>
          <w:color w:val="231F20"/>
          <w:spacing w:val="-19"/>
          <w:w w:val="105"/>
        </w:rPr>
        <w:t> </w:t>
      </w:r>
      <w:r>
        <w:rPr>
          <w:color w:val="231F20"/>
          <w:spacing w:val="-4"/>
          <w:w w:val="105"/>
        </w:rPr>
        <w:t>del</w:t>
      </w:r>
      <w:r>
        <w:rPr>
          <w:color w:val="231F20"/>
          <w:spacing w:val="-19"/>
          <w:w w:val="105"/>
        </w:rPr>
        <w:t> </w:t>
      </w:r>
      <w:r>
        <w:rPr>
          <w:color w:val="231F20"/>
          <w:spacing w:val="-4"/>
          <w:w w:val="105"/>
        </w:rPr>
        <w:t>municipio</w:t>
      </w:r>
      <w:r>
        <w:rPr>
          <w:color w:val="231F20"/>
          <w:spacing w:val="-19"/>
          <w:w w:val="105"/>
        </w:rPr>
        <w:t> </w:t>
      </w:r>
      <w:r>
        <w:rPr>
          <w:color w:val="231F20"/>
          <w:w w:val="105"/>
        </w:rPr>
        <w:t>fue</w:t>
      </w:r>
      <w:r>
        <w:rPr>
          <w:color w:val="231F20"/>
          <w:spacing w:val="-19"/>
          <w:w w:val="105"/>
        </w:rPr>
        <w:t> </w:t>
      </w:r>
      <w:r>
        <w:rPr>
          <w:color w:val="231F20"/>
          <w:spacing w:val="-4"/>
          <w:w w:val="105"/>
        </w:rPr>
        <w:t>del</w:t>
      </w:r>
      <w:r>
        <w:rPr>
          <w:color w:val="231F20"/>
          <w:spacing w:val="-19"/>
          <w:w w:val="105"/>
        </w:rPr>
        <w:t> </w:t>
      </w:r>
      <w:r>
        <w:rPr>
          <w:color w:val="231F20"/>
          <w:spacing w:val="-13"/>
          <w:w w:val="105"/>
        </w:rPr>
        <w:t>17.11%</w:t>
      </w:r>
      <w:r>
        <w:rPr>
          <w:color w:val="231F20"/>
          <w:spacing w:val="-19"/>
          <w:w w:val="105"/>
        </w:rPr>
        <w:t> </w:t>
      </w:r>
      <w:r>
        <w:rPr>
          <w:color w:val="231F20"/>
          <w:spacing w:val="-3"/>
          <w:w w:val="105"/>
        </w:rPr>
        <w:t>de</w:t>
      </w:r>
      <w:r>
        <w:rPr>
          <w:color w:val="231F20"/>
          <w:spacing w:val="-19"/>
          <w:w w:val="105"/>
        </w:rPr>
        <w:t> </w:t>
      </w:r>
      <w:r>
        <w:rPr>
          <w:color w:val="231F20"/>
          <w:spacing w:val="-3"/>
          <w:w w:val="105"/>
        </w:rPr>
        <w:t>2001</w:t>
      </w:r>
      <w:r>
        <w:rPr>
          <w:color w:val="231F20"/>
          <w:spacing w:val="-19"/>
          <w:w w:val="105"/>
        </w:rPr>
        <w:t> </w:t>
      </w:r>
      <w:r>
        <w:rPr>
          <w:color w:val="231F20"/>
          <w:w w:val="105"/>
        </w:rPr>
        <w:t>a</w:t>
      </w:r>
      <w:r>
        <w:rPr>
          <w:color w:val="231F20"/>
          <w:spacing w:val="-19"/>
          <w:w w:val="105"/>
        </w:rPr>
        <w:t> </w:t>
      </w:r>
      <w:r>
        <w:rPr>
          <w:color w:val="231F20"/>
          <w:w w:val="105"/>
        </w:rPr>
        <w:t>2006, </w:t>
      </w:r>
      <w:r>
        <w:rPr>
          <w:color w:val="231F20"/>
          <w:spacing w:val="-4"/>
          <w:w w:val="105"/>
        </w:rPr>
        <w:t>considerando</w:t>
      </w:r>
      <w:r>
        <w:rPr>
          <w:color w:val="231F20"/>
          <w:spacing w:val="-8"/>
          <w:w w:val="105"/>
        </w:rPr>
        <w:t> </w:t>
      </w:r>
      <w:r>
        <w:rPr>
          <w:color w:val="231F20"/>
          <w:spacing w:val="-3"/>
          <w:w w:val="105"/>
        </w:rPr>
        <w:t>el</w:t>
      </w:r>
      <w:r>
        <w:rPr>
          <w:color w:val="231F20"/>
          <w:spacing w:val="-8"/>
          <w:w w:val="105"/>
        </w:rPr>
        <w:t> </w:t>
      </w:r>
      <w:r>
        <w:rPr>
          <w:color w:val="231F20"/>
          <w:w w:val="105"/>
        </w:rPr>
        <w:t>total</w:t>
      </w:r>
      <w:r>
        <w:rPr>
          <w:color w:val="231F20"/>
          <w:spacing w:val="-8"/>
          <w:w w:val="105"/>
        </w:rPr>
        <w:t> </w:t>
      </w:r>
      <w:r>
        <w:rPr>
          <w:color w:val="231F20"/>
          <w:spacing w:val="-3"/>
          <w:w w:val="105"/>
        </w:rPr>
        <w:t>de</w:t>
      </w:r>
      <w:r>
        <w:rPr>
          <w:color w:val="231F20"/>
          <w:spacing w:val="-8"/>
          <w:w w:val="105"/>
        </w:rPr>
        <w:t> </w:t>
      </w:r>
      <w:r>
        <w:rPr>
          <w:color w:val="231F20"/>
          <w:spacing w:val="-3"/>
          <w:w w:val="105"/>
        </w:rPr>
        <w:t>egresos</w:t>
      </w:r>
      <w:r>
        <w:rPr>
          <w:color w:val="231F20"/>
          <w:spacing w:val="-8"/>
          <w:w w:val="105"/>
        </w:rPr>
        <w:t> </w:t>
      </w:r>
      <w:r>
        <w:rPr>
          <w:color w:val="231F20"/>
          <w:spacing w:val="-4"/>
          <w:w w:val="105"/>
        </w:rPr>
        <w:t>que</w:t>
      </w:r>
      <w:r>
        <w:rPr>
          <w:color w:val="231F20"/>
          <w:spacing w:val="-8"/>
          <w:w w:val="105"/>
        </w:rPr>
        <w:t> </w:t>
      </w:r>
      <w:r>
        <w:rPr>
          <w:color w:val="231F20"/>
          <w:spacing w:val="-3"/>
          <w:w w:val="105"/>
        </w:rPr>
        <w:t>registró</w:t>
      </w:r>
      <w:r>
        <w:rPr>
          <w:color w:val="231F20"/>
          <w:spacing w:val="-8"/>
          <w:w w:val="105"/>
        </w:rPr>
        <w:t> </w:t>
      </w:r>
      <w:r>
        <w:rPr>
          <w:color w:val="231F20"/>
          <w:spacing w:val="-3"/>
          <w:w w:val="105"/>
        </w:rPr>
        <w:t>el</w:t>
      </w:r>
      <w:r>
        <w:rPr>
          <w:color w:val="231F20"/>
          <w:spacing w:val="-8"/>
          <w:w w:val="105"/>
        </w:rPr>
        <w:t> </w:t>
      </w:r>
      <w:r>
        <w:rPr>
          <w:color w:val="231F20"/>
          <w:spacing w:val="-4"/>
          <w:w w:val="105"/>
        </w:rPr>
        <w:t>municipio</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spacing w:val="-5"/>
          <w:w w:val="105"/>
        </w:rPr>
        <w:t>capacidad</w:t>
      </w:r>
      <w:r>
        <w:rPr>
          <w:color w:val="231F20"/>
          <w:spacing w:val="-8"/>
          <w:w w:val="105"/>
        </w:rPr>
        <w:t> </w:t>
      </w:r>
      <w:r>
        <w:rPr>
          <w:color w:val="231F20"/>
          <w:spacing w:val="-3"/>
          <w:w w:val="105"/>
        </w:rPr>
        <w:t>de</w:t>
      </w:r>
      <w:r>
        <w:rPr>
          <w:color w:val="231F20"/>
          <w:spacing w:val="-8"/>
          <w:w w:val="105"/>
        </w:rPr>
        <w:t> </w:t>
      </w:r>
      <w:r>
        <w:rPr>
          <w:color w:val="231F20"/>
          <w:spacing w:val="-3"/>
          <w:w w:val="105"/>
        </w:rPr>
        <w:t>cubrir</w:t>
      </w:r>
      <w:r>
        <w:rPr>
          <w:color w:val="231F20"/>
          <w:spacing w:val="-8"/>
          <w:w w:val="105"/>
        </w:rPr>
        <w:t> </w:t>
      </w:r>
      <w:r>
        <w:rPr>
          <w:color w:val="231F20"/>
          <w:spacing w:val="-4"/>
          <w:w w:val="105"/>
        </w:rPr>
        <w:t>dichos </w:t>
      </w:r>
      <w:r>
        <w:rPr>
          <w:color w:val="231F20"/>
          <w:spacing w:val="-3"/>
          <w:w w:val="105"/>
        </w:rPr>
        <w:t>egresos</w:t>
      </w:r>
      <w:r>
        <w:rPr>
          <w:color w:val="231F20"/>
          <w:spacing w:val="-18"/>
          <w:w w:val="105"/>
        </w:rPr>
        <w:t> </w:t>
      </w:r>
      <w:r>
        <w:rPr>
          <w:color w:val="231F20"/>
          <w:spacing w:val="-4"/>
          <w:w w:val="105"/>
        </w:rPr>
        <w:t>con</w:t>
      </w:r>
      <w:r>
        <w:rPr>
          <w:color w:val="231F20"/>
          <w:spacing w:val="-18"/>
          <w:w w:val="105"/>
        </w:rPr>
        <w:t> </w:t>
      </w:r>
      <w:r>
        <w:rPr>
          <w:color w:val="231F20"/>
          <w:spacing w:val="-3"/>
          <w:w w:val="105"/>
        </w:rPr>
        <w:t>ingresos</w:t>
      </w:r>
      <w:r>
        <w:rPr>
          <w:color w:val="231F20"/>
          <w:spacing w:val="-18"/>
          <w:w w:val="105"/>
        </w:rPr>
        <w:t> </w:t>
      </w:r>
      <w:r>
        <w:rPr>
          <w:color w:val="231F20"/>
          <w:spacing w:val="-5"/>
          <w:w w:val="105"/>
        </w:rPr>
        <w:t>propios,</w:t>
      </w:r>
      <w:r>
        <w:rPr>
          <w:color w:val="231F20"/>
          <w:spacing w:val="-18"/>
          <w:w w:val="105"/>
        </w:rPr>
        <w:t> </w:t>
      </w:r>
      <w:r>
        <w:rPr>
          <w:color w:val="231F20"/>
          <w:spacing w:val="-3"/>
          <w:w w:val="105"/>
        </w:rPr>
        <w:t>en</w:t>
      </w:r>
      <w:r>
        <w:rPr>
          <w:color w:val="231F20"/>
          <w:spacing w:val="-18"/>
          <w:w w:val="105"/>
        </w:rPr>
        <w:t> </w:t>
      </w:r>
      <w:r>
        <w:rPr>
          <w:color w:val="231F20"/>
          <w:spacing w:val="-4"/>
          <w:w w:val="105"/>
        </w:rPr>
        <w:t>consecuencia</w:t>
      </w:r>
      <w:r>
        <w:rPr>
          <w:color w:val="231F20"/>
          <w:spacing w:val="-18"/>
          <w:w w:val="105"/>
        </w:rPr>
        <w:t> </w:t>
      </w:r>
      <w:r>
        <w:rPr>
          <w:color w:val="231F20"/>
          <w:w w:val="105"/>
        </w:rPr>
        <w:t>la</w:t>
      </w:r>
      <w:r>
        <w:rPr>
          <w:color w:val="231F20"/>
          <w:spacing w:val="-18"/>
          <w:w w:val="105"/>
        </w:rPr>
        <w:t> </w:t>
      </w:r>
      <w:r>
        <w:rPr>
          <w:color w:val="231F20"/>
          <w:spacing w:val="-5"/>
          <w:w w:val="105"/>
        </w:rPr>
        <w:t>dependencia</w:t>
      </w:r>
      <w:r>
        <w:rPr>
          <w:color w:val="231F20"/>
          <w:spacing w:val="-18"/>
          <w:w w:val="105"/>
        </w:rPr>
        <w:t> </w:t>
      </w:r>
      <w:r>
        <w:rPr>
          <w:color w:val="231F20"/>
          <w:spacing w:val="-3"/>
          <w:w w:val="105"/>
        </w:rPr>
        <w:t>financiera</w:t>
      </w:r>
      <w:r>
        <w:rPr>
          <w:color w:val="231F20"/>
          <w:spacing w:val="-18"/>
          <w:w w:val="105"/>
        </w:rPr>
        <w:t> </w:t>
      </w:r>
      <w:r>
        <w:rPr>
          <w:color w:val="231F20"/>
          <w:spacing w:val="-4"/>
          <w:w w:val="105"/>
        </w:rPr>
        <w:t>relativa</w:t>
      </w:r>
      <w:r>
        <w:rPr>
          <w:color w:val="231F20"/>
          <w:spacing w:val="-18"/>
          <w:w w:val="105"/>
        </w:rPr>
        <w:t> </w:t>
      </w:r>
      <w:r>
        <w:rPr>
          <w:color w:val="231F20"/>
          <w:spacing w:val="-4"/>
          <w:w w:val="105"/>
        </w:rPr>
        <w:t>que</w:t>
      </w:r>
      <w:r>
        <w:rPr>
          <w:color w:val="231F20"/>
          <w:spacing w:val="-18"/>
          <w:w w:val="105"/>
        </w:rPr>
        <w:t> </w:t>
      </w:r>
      <w:r>
        <w:rPr>
          <w:color w:val="231F20"/>
          <w:spacing w:val="-3"/>
          <w:w w:val="105"/>
        </w:rPr>
        <w:t>guar- dó</w:t>
      </w:r>
      <w:r>
        <w:rPr>
          <w:color w:val="231F20"/>
          <w:spacing w:val="-25"/>
          <w:w w:val="105"/>
        </w:rPr>
        <w:t> </w:t>
      </w:r>
      <w:r>
        <w:rPr>
          <w:color w:val="231F20"/>
          <w:spacing w:val="-3"/>
          <w:w w:val="105"/>
        </w:rPr>
        <w:t>el</w:t>
      </w:r>
      <w:r>
        <w:rPr>
          <w:color w:val="231F20"/>
          <w:spacing w:val="-25"/>
          <w:w w:val="105"/>
        </w:rPr>
        <w:t> </w:t>
      </w:r>
      <w:r>
        <w:rPr>
          <w:color w:val="231F20"/>
          <w:spacing w:val="-4"/>
          <w:w w:val="105"/>
        </w:rPr>
        <w:t>municipio</w:t>
      </w:r>
      <w:r>
        <w:rPr>
          <w:color w:val="231F20"/>
          <w:spacing w:val="-25"/>
          <w:w w:val="105"/>
        </w:rPr>
        <w:t> </w:t>
      </w:r>
      <w:r>
        <w:rPr>
          <w:color w:val="231F20"/>
          <w:spacing w:val="-3"/>
          <w:w w:val="105"/>
        </w:rPr>
        <w:t>durante</w:t>
      </w:r>
      <w:r>
        <w:rPr>
          <w:color w:val="231F20"/>
          <w:spacing w:val="-25"/>
          <w:w w:val="105"/>
        </w:rPr>
        <w:t> </w:t>
      </w:r>
      <w:r>
        <w:rPr>
          <w:color w:val="231F20"/>
          <w:spacing w:val="-3"/>
          <w:w w:val="105"/>
        </w:rPr>
        <w:t>este</w:t>
      </w:r>
      <w:r>
        <w:rPr>
          <w:color w:val="231F20"/>
          <w:spacing w:val="-25"/>
          <w:w w:val="105"/>
        </w:rPr>
        <w:t> </w:t>
      </w:r>
      <w:r>
        <w:rPr>
          <w:color w:val="231F20"/>
          <w:spacing w:val="-4"/>
          <w:w w:val="105"/>
        </w:rPr>
        <w:t>periodo</w:t>
      </w:r>
      <w:r>
        <w:rPr>
          <w:color w:val="231F20"/>
          <w:spacing w:val="-25"/>
          <w:w w:val="105"/>
        </w:rPr>
        <w:t> </w:t>
      </w:r>
      <w:r>
        <w:rPr>
          <w:color w:val="231F20"/>
          <w:w w:val="105"/>
        </w:rPr>
        <w:t>fue</w:t>
      </w:r>
      <w:r>
        <w:rPr>
          <w:color w:val="231F20"/>
          <w:spacing w:val="-25"/>
          <w:w w:val="105"/>
        </w:rPr>
        <w:t> </w:t>
      </w:r>
      <w:r>
        <w:rPr>
          <w:color w:val="231F20"/>
          <w:spacing w:val="-3"/>
          <w:w w:val="105"/>
        </w:rPr>
        <w:t>de</w:t>
      </w:r>
      <w:r>
        <w:rPr>
          <w:color w:val="231F20"/>
          <w:spacing w:val="-25"/>
          <w:w w:val="105"/>
        </w:rPr>
        <w:t> </w:t>
      </w:r>
      <w:r>
        <w:rPr>
          <w:color w:val="231F20"/>
          <w:spacing w:val="-3"/>
          <w:w w:val="105"/>
        </w:rPr>
        <w:t>82.89%</w:t>
      </w:r>
      <w:r>
        <w:rPr>
          <w:color w:val="231F20"/>
          <w:spacing w:val="-25"/>
          <w:w w:val="105"/>
        </w:rPr>
        <w:t> </w:t>
      </w:r>
      <w:r>
        <w:rPr>
          <w:color w:val="231F20"/>
          <w:spacing w:val="-3"/>
          <w:w w:val="105"/>
        </w:rPr>
        <w:t>en</w:t>
      </w:r>
      <w:r>
        <w:rPr>
          <w:color w:val="231F20"/>
          <w:spacing w:val="-25"/>
          <w:w w:val="105"/>
        </w:rPr>
        <w:t> </w:t>
      </w:r>
      <w:r>
        <w:rPr>
          <w:color w:val="231F20"/>
          <w:spacing w:val="-5"/>
          <w:w w:val="105"/>
        </w:rPr>
        <w:t>promedio.</w:t>
      </w:r>
      <w:r>
        <w:rPr>
          <w:color w:val="231F20"/>
          <w:spacing w:val="-25"/>
          <w:w w:val="105"/>
        </w:rPr>
        <w:t> </w:t>
      </w:r>
      <w:r>
        <w:rPr>
          <w:color w:val="231F20"/>
          <w:w w:val="105"/>
        </w:rPr>
        <w:t>Es</w:t>
      </w:r>
      <w:r>
        <w:rPr>
          <w:color w:val="231F20"/>
          <w:spacing w:val="-25"/>
          <w:w w:val="105"/>
        </w:rPr>
        <w:t> </w:t>
      </w:r>
      <w:r>
        <w:rPr>
          <w:color w:val="231F20"/>
          <w:spacing w:val="-5"/>
          <w:w w:val="105"/>
        </w:rPr>
        <w:t>decir,</w:t>
      </w:r>
      <w:r>
        <w:rPr>
          <w:color w:val="231F20"/>
          <w:spacing w:val="-25"/>
          <w:w w:val="105"/>
        </w:rPr>
        <w:t> </w:t>
      </w:r>
      <w:r>
        <w:rPr>
          <w:color w:val="231F20"/>
          <w:spacing w:val="-4"/>
          <w:w w:val="105"/>
        </w:rPr>
        <w:t>que</w:t>
      </w:r>
      <w:r>
        <w:rPr>
          <w:color w:val="231F20"/>
          <w:spacing w:val="-25"/>
          <w:w w:val="105"/>
        </w:rPr>
        <w:t> </w:t>
      </w:r>
      <w:r>
        <w:rPr>
          <w:color w:val="231F20"/>
          <w:spacing w:val="-3"/>
          <w:w w:val="105"/>
        </w:rPr>
        <w:t>de</w:t>
      </w:r>
      <w:r>
        <w:rPr>
          <w:color w:val="231F20"/>
          <w:spacing w:val="-25"/>
          <w:w w:val="105"/>
        </w:rPr>
        <w:t> </w:t>
      </w:r>
      <w:r>
        <w:rPr>
          <w:color w:val="231F20"/>
          <w:spacing w:val="-4"/>
          <w:w w:val="105"/>
        </w:rPr>
        <w:t>cada</w:t>
      </w:r>
      <w:r>
        <w:rPr>
          <w:color w:val="231F20"/>
          <w:spacing w:val="-25"/>
          <w:w w:val="105"/>
        </w:rPr>
        <w:t> </w:t>
      </w:r>
      <w:r>
        <w:rPr>
          <w:color w:val="231F20"/>
          <w:spacing w:val="-3"/>
          <w:w w:val="105"/>
        </w:rPr>
        <w:t>peso </w:t>
      </w:r>
      <w:r>
        <w:rPr>
          <w:color w:val="231F20"/>
          <w:spacing w:val="-4"/>
          <w:w w:val="105"/>
        </w:rPr>
        <w:t>que</w:t>
      </w:r>
      <w:r>
        <w:rPr>
          <w:color w:val="231F20"/>
          <w:spacing w:val="-22"/>
          <w:w w:val="105"/>
        </w:rPr>
        <w:t> </w:t>
      </w:r>
      <w:r>
        <w:rPr>
          <w:color w:val="231F20"/>
          <w:spacing w:val="-3"/>
          <w:w w:val="105"/>
        </w:rPr>
        <w:t>gastó</w:t>
      </w:r>
      <w:r>
        <w:rPr>
          <w:color w:val="231F20"/>
          <w:spacing w:val="-22"/>
          <w:w w:val="105"/>
        </w:rPr>
        <w:t> </w:t>
      </w:r>
      <w:r>
        <w:rPr>
          <w:color w:val="231F20"/>
          <w:spacing w:val="-3"/>
          <w:w w:val="105"/>
        </w:rPr>
        <w:t>el</w:t>
      </w:r>
      <w:r>
        <w:rPr>
          <w:color w:val="231F20"/>
          <w:spacing w:val="-22"/>
          <w:w w:val="105"/>
        </w:rPr>
        <w:t> </w:t>
      </w:r>
      <w:r>
        <w:rPr>
          <w:color w:val="231F20"/>
          <w:spacing w:val="-4"/>
          <w:w w:val="105"/>
        </w:rPr>
        <w:t>municipio</w:t>
      </w:r>
      <w:r>
        <w:rPr>
          <w:color w:val="231F20"/>
          <w:spacing w:val="-22"/>
          <w:w w:val="105"/>
        </w:rPr>
        <w:t> </w:t>
      </w:r>
      <w:r>
        <w:rPr>
          <w:color w:val="231F20"/>
          <w:spacing w:val="-3"/>
          <w:w w:val="105"/>
        </w:rPr>
        <w:t>en</w:t>
      </w:r>
      <w:r>
        <w:rPr>
          <w:color w:val="231F20"/>
          <w:spacing w:val="-22"/>
          <w:w w:val="105"/>
        </w:rPr>
        <w:t> </w:t>
      </w:r>
      <w:r>
        <w:rPr>
          <w:color w:val="231F20"/>
          <w:spacing w:val="-5"/>
          <w:w w:val="105"/>
        </w:rPr>
        <w:t>promedio</w:t>
      </w:r>
      <w:r>
        <w:rPr>
          <w:color w:val="231F20"/>
          <w:spacing w:val="-22"/>
          <w:w w:val="105"/>
        </w:rPr>
        <w:t> </w:t>
      </w:r>
      <w:r>
        <w:rPr>
          <w:color w:val="231F20"/>
          <w:spacing w:val="-3"/>
          <w:w w:val="105"/>
        </w:rPr>
        <w:t>en</w:t>
      </w:r>
      <w:r>
        <w:rPr>
          <w:color w:val="231F20"/>
          <w:spacing w:val="-22"/>
          <w:w w:val="105"/>
        </w:rPr>
        <w:t> </w:t>
      </w:r>
      <w:r>
        <w:rPr>
          <w:color w:val="231F20"/>
          <w:spacing w:val="-3"/>
          <w:w w:val="105"/>
        </w:rPr>
        <w:t>este</w:t>
      </w:r>
      <w:r>
        <w:rPr>
          <w:color w:val="231F20"/>
          <w:spacing w:val="-22"/>
          <w:w w:val="105"/>
        </w:rPr>
        <w:t> </w:t>
      </w:r>
      <w:r>
        <w:rPr>
          <w:color w:val="231F20"/>
          <w:spacing w:val="-4"/>
          <w:w w:val="105"/>
        </w:rPr>
        <w:t>periodo,</w:t>
      </w:r>
      <w:r>
        <w:rPr>
          <w:color w:val="231F20"/>
          <w:spacing w:val="-22"/>
          <w:w w:val="105"/>
        </w:rPr>
        <w:t> </w:t>
      </w:r>
      <w:r>
        <w:rPr>
          <w:color w:val="231F20"/>
          <w:w w:val="105"/>
        </w:rPr>
        <w:t>83</w:t>
      </w:r>
      <w:r>
        <w:rPr>
          <w:color w:val="231F20"/>
          <w:spacing w:val="-22"/>
          <w:w w:val="105"/>
        </w:rPr>
        <w:t> </w:t>
      </w:r>
      <w:r>
        <w:rPr>
          <w:color w:val="231F20"/>
          <w:spacing w:val="-5"/>
          <w:w w:val="105"/>
        </w:rPr>
        <w:t>centavos</w:t>
      </w:r>
      <w:r>
        <w:rPr>
          <w:color w:val="231F20"/>
          <w:spacing w:val="-22"/>
          <w:w w:val="105"/>
        </w:rPr>
        <w:t> </w:t>
      </w:r>
      <w:r>
        <w:rPr>
          <w:color w:val="231F20"/>
          <w:spacing w:val="-4"/>
          <w:w w:val="105"/>
        </w:rPr>
        <w:t>provenían</w:t>
      </w:r>
      <w:r>
        <w:rPr>
          <w:color w:val="231F20"/>
          <w:spacing w:val="-22"/>
          <w:w w:val="105"/>
        </w:rPr>
        <w:t> </w:t>
      </w:r>
      <w:r>
        <w:rPr>
          <w:color w:val="231F20"/>
          <w:spacing w:val="-3"/>
          <w:w w:val="105"/>
        </w:rPr>
        <w:t>de</w:t>
      </w:r>
      <w:r>
        <w:rPr>
          <w:color w:val="231F20"/>
          <w:spacing w:val="-22"/>
          <w:w w:val="105"/>
        </w:rPr>
        <w:t> </w:t>
      </w:r>
      <w:r>
        <w:rPr>
          <w:color w:val="231F20"/>
          <w:w w:val="105"/>
        </w:rPr>
        <w:t>la</w:t>
      </w:r>
      <w:r>
        <w:rPr>
          <w:color w:val="231F20"/>
          <w:spacing w:val="-22"/>
          <w:w w:val="105"/>
        </w:rPr>
        <w:t> </w:t>
      </w:r>
      <w:r>
        <w:rPr>
          <w:color w:val="231F20"/>
          <w:spacing w:val="-5"/>
          <w:w w:val="105"/>
        </w:rPr>
        <w:t>federación </w:t>
      </w:r>
      <w:r>
        <w:rPr>
          <w:color w:val="231F20"/>
          <w:w w:val="105"/>
        </w:rPr>
        <w:t>y</w:t>
      </w:r>
      <w:r>
        <w:rPr>
          <w:color w:val="231F20"/>
          <w:spacing w:val="-20"/>
          <w:w w:val="105"/>
        </w:rPr>
        <w:t> </w:t>
      </w:r>
      <w:r>
        <w:rPr>
          <w:color w:val="231F20"/>
          <w:spacing w:val="-4"/>
          <w:w w:val="105"/>
        </w:rPr>
        <w:t>del</w:t>
      </w:r>
      <w:r>
        <w:rPr>
          <w:color w:val="231F20"/>
          <w:spacing w:val="-20"/>
          <w:w w:val="105"/>
        </w:rPr>
        <w:t> </w:t>
      </w:r>
      <w:r>
        <w:rPr>
          <w:color w:val="231F20"/>
          <w:spacing w:val="-3"/>
          <w:w w:val="105"/>
        </w:rPr>
        <w:t>Estado</w:t>
      </w:r>
      <w:r>
        <w:rPr>
          <w:color w:val="231F20"/>
          <w:spacing w:val="-20"/>
          <w:w w:val="105"/>
        </w:rPr>
        <w:t> </w:t>
      </w:r>
      <w:r>
        <w:rPr>
          <w:color w:val="231F20"/>
          <w:spacing w:val="-3"/>
          <w:w w:val="105"/>
        </w:rPr>
        <w:t>de</w:t>
      </w:r>
      <w:r>
        <w:rPr>
          <w:color w:val="231F20"/>
          <w:spacing w:val="-20"/>
          <w:w w:val="105"/>
        </w:rPr>
        <w:t> </w:t>
      </w:r>
      <w:r>
        <w:rPr>
          <w:color w:val="231F20"/>
          <w:spacing w:val="-3"/>
          <w:w w:val="105"/>
        </w:rPr>
        <w:t>México</w:t>
      </w:r>
      <w:r>
        <w:rPr>
          <w:color w:val="231F20"/>
          <w:spacing w:val="-20"/>
          <w:w w:val="105"/>
        </w:rPr>
        <w:t> </w:t>
      </w:r>
      <w:r>
        <w:rPr>
          <w:color w:val="231F20"/>
          <w:w w:val="105"/>
        </w:rPr>
        <w:t>y</w:t>
      </w:r>
      <w:r>
        <w:rPr>
          <w:color w:val="231F20"/>
          <w:spacing w:val="-20"/>
          <w:w w:val="105"/>
        </w:rPr>
        <w:t> </w:t>
      </w:r>
      <w:r>
        <w:rPr>
          <w:color w:val="231F20"/>
          <w:spacing w:val="-4"/>
          <w:w w:val="105"/>
        </w:rPr>
        <w:t>sólo</w:t>
      </w:r>
      <w:r>
        <w:rPr>
          <w:color w:val="231F20"/>
          <w:spacing w:val="-20"/>
          <w:w w:val="105"/>
        </w:rPr>
        <w:t> </w:t>
      </w:r>
      <w:r>
        <w:rPr>
          <w:color w:val="231F20"/>
          <w:spacing w:val="-7"/>
          <w:w w:val="105"/>
        </w:rPr>
        <w:t>17</w:t>
      </w:r>
      <w:r>
        <w:rPr>
          <w:color w:val="231F20"/>
          <w:spacing w:val="-20"/>
          <w:w w:val="105"/>
        </w:rPr>
        <w:t> </w:t>
      </w:r>
      <w:r>
        <w:rPr>
          <w:color w:val="231F20"/>
          <w:spacing w:val="-5"/>
          <w:w w:val="105"/>
        </w:rPr>
        <w:t>centavos</w:t>
      </w:r>
      <w:r>
        <w:rPr>
          <w:color w:val="231F20"/>
          <w:spacing w:val="-20"/>
          <w:w w:val="105"/>
        </w:rPr>
        <w:t> </w:t>
      </w:r>
      <w:r>
        <w:rPr>
          <w:color w:val="231F20"/>
          <w:spacing w:val="-4"/>
          <w:w w:val="105"/>
        </w:rPr>
        <w:t>provenían</w:t>
      </w:r>
      <w:r>
        <w:rPr>
          <w:color w:val="231F20"/>
          <w:spacing w:val="-20"/>
          <w:w w:val="105"/>
        </w:rPr>
        <w:t> </w:t>
      </w:r>
      <w:r>
        <w:rPr>
          <w:color w:val="231F20"/>
          <w:spacing w:val="-3"/>
          <w:w w:val="105"/>
        </w:rPr>
        <w:t>de</w:t>
      </w:r>
      <w:r>
        <w:rPr>
          <w:color w:val="231F20"/>
          <w:spacing w:val="-20"/>
          <w:w w:val="105"/>
        </w:rPr>
        <w:t> </w:t>
      </w:r>
      <w:r>
        <w:rPr>
          <w:color w:val="231F20"/>
          <w:spacing w:val="-3"/>
          <w:w w:val="105"/>
        </w:rPr>
        <w:t>ingresos</w:t>
      </w:r>
      <w:r>
        <w:rPr>
          <w:color w:val="231F20"/>
          <w:spacing w:val="-20"/>
          <w:w w:val="105"/>
        </w:rPr>
        <w:t> </w:t>
      </w:r>
      <w:r>
        <w:rPr>
          <w:color w:val="231F20"/>
          <w:spacing w:val="-5"/>
          <w:w w:val="105"/>
        </w:rPr>
        <w:t>propios</w:t>
      </w:r>
      <w:r>
        <w:rPr>
          <w:color w:val="231F20"/>
          <w:spacing w:val="-20"/>
          <w:w w:val="105"/>
        </w:rPr>
        <w:t> </w:t>
      </w:r>
      <w:r>
        <w:rPr>
          <w:color w:val="231F20"/>
          <w:spacing w:val="-4"/>
          <w:w w:val="105"/>
        </w:rPr>
        <w:t>del</w:t>
      </w:r>
      <w:r>
        <w:rPr>
          <w:color w:val="231F20"/>
          <w:spacing w:val="-20"/>
          <w:w w:val="105"/>
        </w:rPr>
        <w:t> </w:t>
      </w:r>
      <w:r>
        <w:rPr>
          <w:color w:val="231F20"/>
          <w:spacing w:val="-5"/>
          <w:w w:val="105"/>
        </w:rPr>
        <w:t>municipio.</w:t>
      </w:r>
    </w:p>
    <w:p>
      <w:pPr>
        <w:pStyle w:val="BodyText"/>
        <w:spacing w:before="1"/>
        <w:rPr>
          <w:sz w:val="26"/>
        </w:rPr>
      </w:pPr>
    </w:p>
    <w:p>
      <w:pPr>
        <w:pStyle w:val="BodyText"/>
        <w:spacing w:line="285" w:lineRule="auto"/>
        <w:ind w:left="110" w:right="108"/>
        <w:jc w:val="both"/>
      </w:pPr>
      <w:r>
        <w:rPr>
          <w:color w:val="231F20"/>
          <w:w w:val="105"/>
        </w:rPr>
        <w:t>El</w:t>
      </w:r>
      <w:r>
        <w:rPr>
          <w:color w:val="231F20"/>
          <w:spacing w:val="-8"/>
          <w:w w:val="105"/>
        </w:rPr>
        <w:t> </w:t>
      </w:r>
      <w:r>
        <w:rPr>
          <w:color w:val="231F20"/>
          <w:w w:val="105"/>
        </w:rPr>
        <w:t>municipio</w:t>
      </w:r>
      <w:r>
        <w:rPr>
          <w:color w:val="231F20"/>
          <w:spacing w:val="-8"/>
          <w:w w:val="105"/>
        </w:rPr>
        <w:t> </w:t>
      </w:r>
      <w:r>
        <w:rPr>
          <w:color w:val="231F20"/>
          <w:w w:val="105"/>
        </w:rPr>
        <w:t>carece</w:t>
      </w:r>
      <w:r>
        <w:rPr>
          <w:color w:val="231F20"/>
          <w:spacing w:val="-8"/>
          <w:w w:val="105"/>
        </w:rPr>
        <w:t> </w:t>
      </w:r>
      <w:r>
        <w:rPr>
          <w:color w:val="231F20"/>
          <w:w w:val="105"/>
        </w:rPr>
        <w:t>de</w:t>
      </w:r>
      <w:r>
        <w:rPr>
          <w:color w:val="231F20"/>
          <w:spacing w:val="-8"/>
          <w:w w:val="105"/>
        </w:rPr>
        <w:t> </w:t>
      </w:r>
      <w:r>
        <w:rPr>
          <w:color w:val="231F20"/>
          <w:w w:val="105"/>
        </w:rPr>
        <w:t>autonomía</w:t>
      </w:r>
      <w:r>
        <w:rPr>
          <w:color w:val="231F20"/>
          <w:spacing w:val="-8"/>
          <w:w w:val="105"/>
        </w:rPr>
        <w:t> </w:t>
      </w:r>
      <w:r>
        <w:rPr>
          <w:color w:val="231F20"/>
          <w:w w:val="105"/>
        </w:rPr>
        <w:t>financiera,</w:t>
      </w:r>
      <w:r>
        <w:rPr>
          <w:color w:val="231F20"/>
          <w:spacing w:val="-8"/>
          <w:w w:val="105"/>
        </w:rPr>
        <w:t> </w:t>
      </w:r>
      <w:r>
        <w:rPr>
          <w:color w:val="231F20"/>
          <w:w w:val="105"/>
        </w:rPr>
        <w:t>pues</w:t>
      </w:r>
      <w:r>
        <w:rPr>
          <w:color w:val="231F20"/>
          <w:spacing w:val="-8"/>
          <w:w w:val="105"/>
        </w:rPr>
        <w:t> </w:t>
      </w:r>
      <w:r>
        <w:rPr>
          <w:color w:val="231F20"/>
          <w:w w:val="105"/>
        </w:rPr>
        <w:t>en</w:t>
      </w:r>
      <w:r>
        <w:rPr>
          <w:color w:val="231F20"/>
          <w:spacing w:val="-8"/>
          <w:w w:val="105"/>
        </w:rPr>
        <w:t> </w:t>
      </w:r>
      <w:r>
        <w:rPr>
          <w:color w:val="231F20"/>
          <w:w w:val="105"/>
        </w:rPr>
        <w:t>promedio</w:t>
      </w:r>
      <w:r>
        <w:rPr>
          <w:color w:val="231F20"/>
          <w:spacing w:val="-8"/>
          <w:w w:val="105"/>
        </w:rPr>
        <w:t> </w:t>
      </w:r>
      <w:r>
        <w:rPr>
          <w:color w:val="231F20"/>
          <w:w w:val="105"/>
        </w:rPr>
        <w:t>menos</w:t>
      </w:r>
      <w:r>
        <w:rPr>
          <w:color w:val="231F20"/>
          <w:spacing w:val="-8"/>
          <w:w w:val="105"/>
        </w:rPr>
        <w:t> </w:t>
      </w:r>
      <w:r>
        <w:rPr>
          <w:color w:val="231F20"/>
          <w:w w:val="105"/>
        </w:rPr>
        <w:t>del</w:t>
      </w:r>
      <w:r>
        <w:rPr>
          <w:color w:val="231F20"/>
          <w:spacing w:val="-8"/>
          <w:w w:val="105"/>
        </w:rPr>
        <w:t> </w:t>
      </w:r>
      <w:r>
        <w:rPr>
          <w:color w:val="231F20"/>
          <w:w w:val="105"/>
        </w:rPr>
        <w:t>30%</w:t>
      </w:r>
      <w:r>
        <w:rPr>
          <w:color w:val="231F20"/>
          <w:spacing w:val="-8"/>
          <w:w w:val="105"/>
        </w:rPr>
        <w:t> </w:t>
      </w:r>
      <w:r>
        <w:rPr>
          <w:color w:val="231F20"/>
          <w:w w:val="105"/>
        </w:rPr>
        <w:t>de</w:t>
      </w:r>
      <w:r>
        <w:rPr>
          <w:color w:val="231F20"/>
          <w:spacing w:val="-8"/>
          <w:w w:val="105"/>
        </w:rPr>
        <w:t> </w:t>
      </w:r>
      <w:r>
        <w:rPr>
          <w:color w:val="231F20"/>
          <w:w w:val="105"/>
        </w:rPr>
        <w:t>sus ingresos provienen de la recaudación municipal, la cual se concentra principalmente por</w:t>
      </w:r>
      <w:r>
        <w:rPr>
          <w:color w:val="231F20"/>
          <w:spacing w:val="-13"/>
          <w:w w:val="105"/>
        </w:rPr>
        <w:t> </w:t>
      </w:r>
      <w:r>
        <w:rPr>
          <w:color w:val="231F20"/>
          <w:w w:val="105"/>
        </w:rPr>
        <w:t>el</w:t>
      </w:r>
      <w:r>
        <w:rPr>
          <w:color w:val="231F20"/>
          <w:spacing w:val="-13"/>
          <w:w w:val="105"/>
        </w:rPr>
        <w:t> </w:t>
      </w:r>
      <w:r>
        <w:rPr>
          <w:color w:val="231F20"/>
          <w:w w:val="105"/>
        </w:rPr>
        <w:t>cobro</w:t>
      </w:r>
      <w:r>
        <w:rPr>
          <w:color w:val="231F20"/>
          <w:spacing w:val="-13"/>
          <w:w w:val="105"/>
        </w:rPr>
        <w:t> </w:t>
      </w:r>
      <w:r>
        <w:rPr>
          <w:color w:val="231F20"/>
          <w:w w:val="105"/>
        </w:rPr>
        <w:t>del</w:t>
      </w:r>
      <w:r>
        <w:rPr>
          <w:color w:val="231F20"/>
          <w:spacing w:val="-13"/>
          <w:w w:val="105"/>
        </w:rPr>
        <w:t> </w:t>
      </w:r>
      <w:r>
        <w:rPr>
          <w:color w:val="231F20"/>
          <w:w w:val="105"/>
        </w:rPr>
        <w:t>impuesto</w:t>
      </w:r>
      <w:r>
        <w:rPr>
          <w:color w:val="231F20"/>
          <w:spacing w:val="-13"/>
          <w:w w:val="105"/>
        </w:rPr>
        <w:t> </w:t>
      </w:r>
      <w:r>
        <w:rPr>
          <w:color w:val="231F20"/>
          <w:w w:val="105"/>
        </w:rPr>
        <w:t>predial.</w:t>
      </w:r>
      <w:r>
        <w:rPr>
          <w:color w:val="231F20"/>
          <w:spacing w:val="-13"/>
          <w:w w:val="105"/>
        </w:rPr>
        <w:t> </w:t>
      </w:r>
      <w:r>
        <w:rPr>
          <w:color w:val="231F20"/>
          <w:w w:val="105"/>
        </w:rPr>
        <w:t>Esta</w:t>
      </w:r>
      <w:r>
        <w:rPr>
          <w:color w:val="231F20"/>
          <w:spacing w:val="-13"/>
          <w:w w:val="105"/>
        </w:rPr>
        <w:t> </w:t>
      </w:r>
      <w:r>
        <w:rPr>
          <w:color w:val="231F20"/>
          <w:w w:val="105"/>
        </w:rPr>
        <w:t>baja</w:t>
      </w:r>
      <w:r>
        <w:rPr>
          <w:color w:val="231F20"/>
          <w:spacing w:val="-13"/>
          <w:w w:val="105"/>
        </w:rPr>
        <w:t> </w:t>
      </w:r>
      <w:r>
        <w:rPr>
          <w:color w:val="231F20"/>
          <w:w w:val="105"/>
        </w:rPr>
        <w:t>recaudación</w:t>
      </w:r>
      <w:r>
        <w:rPr>
          <w:color w:val="231F20"/>
          <w:spacing w:val="-13"/>
          <w:w w:val="105"/>
        </w:rPr>
        <w:t> </w:t>
      </w:r>
      <w:r>
        <w:rPr>
          <w:color w:val="231F20"/>
          <w:w w:val="105"/>
        </w:rPr>
        <w:t>genera</w:t>
      </w:r>
      <w:r>
        <w:rPr>
          <w:color w:val="231F20"/>
          <w:spacing w:val="-13"/>
          <w:w w:val="105"/>
        </w:rPr>
        <w:t> </w:t>
      </w:r>
      <w:r>
        <w:rPr>
          <w:color w:val="231F20"/>
          <w:w w:val="105"/>
        </w:rPr>
        <w:t>un</w:t>
      </w:r>
      <w:r>
        <w:rPr>
          <w:color w:val="231F20"/>
          <w:spacing w:val="-13"/>
          <w:w w:val="105"/>
        </w:rPr>
        <w:t> </w:t>
      </w:r>
      <w:r>
        <w:rPr>
          <w:color w:val="231F20"/>
          <w:w w:val="105"/>
        </w:rPr>
        <w:t>círculo</w:t>
      </w:r>
      <w:r>
        <w:rPr>
          <w:color w:val="231F20"/>
          <w:spacing w:val="-13"/>
          <w:w w:val="105"/>
        </w:rPr>
        <w:t> </w:t>
      </w:r>
      <w:r>
        <w:rPr>
          <w:color w:val="231F20"/>
          <w:w w:val="105"/>
        </w:rPr>
        <w:t>vicioso</w:t>
      </w:r>
      <w:r>
        <w:rPr>
          <w:color w:val="231F20"/>
          <w:spacing w:val="-13"/>
          <w:w w:val="105"/>
        </w:rPr>
        <w:t> </w:t>
      </w:r>
      <w:r>
        <w:rPr>
          <w:color w:val="231F20"/>
          <w:w w:val="105"/>
        </w:rPr>
        <w:t>pues esto</w:t>
      </w:r>
      <w:r>
        <w:rPr>
          <w:color w:val="231F20"/>
          <w:spacing w:val="-17"/>
          <w:w w:val="105"/>
        </w:rPr>
        <w:t> </w:t>
      </w:r>
      <w:r>
        <w:rPr>
          <w:color w:val="231F20"/>
          <w:w w:val="105"/>
        </w:rPr>
        <w:t>afecta</w:t>
      </w:r>
      <w:r>
        <w:rPr>
          <w:color w:val="231F20"/>
          <w:spacing w:val="-17"/>
          <w:w w:val="105"/>
        </w:rPr>
        <w:t> </w:t>
      </w:r>
      <w:r>
        <w:rPr>
          <w:color w:val="231F20"/>
          <w:w w:val="105"/>
        </w:rPr>
        <w:t>el</w:t>
      </w:r>
      <w:r>
        <w:rPr>
          <w:color w:val="231F20"/>
          <w:spacing w:val="-17"/>
          <w:w w:val="105"/>
        </w:rPr>
        <w:t> </w:t>
      </w:r>
      <w:r>
        <w:rPr>
          <w:color w:val="231F20"/>
          <w:w w:val="105"/>
        </w:rPr>
        <w:t>ingreso</w:t>
      </w:r>
      <w:r>
        <w:rPr>
          <w:color w:val="231F20"/>
          <w:spacing w:val="-17"/>
          <w:w w:val="105"/>
        </w:rPr>
        <w:t> </w:t>
      </w:r>
      <w:r>
        <w:rPr>
          <w:color w:val="231F20"/>
          <w:w w:val="105"/>
        </w:rPr>
        <w:t>vía</w:t>
      </w:r>
      <w:r>
        <w:rPr>
          <w:color w:val="231F20"/>
          <w:spacing w:val="-17"/>
          <w:w w:val="105"/>
        </w:rPr>
        <w:t> </w:t>
      </w:r>
      <w:r>
        <w:rPr>
          <w:color w:val="231F20"/>
          <w:w w:val="105"/>
        </w:rPr>
        <w:t>participaciones</w:t>
      </w:r>
      <w:r>
        <w:rPr>
          <w:color w:val="231F20"/>
          <w:spacing w:val="-17"/>
          <w:w w:val="105"/>
        </w:rPr>
        <w:t> </w:t>
      </w:r>
      <w:r>
        <w:rPr>
          <w:color w:val="231F20"/>
          <w:w w:val="105"/>
        </w:rPr>
        <w:t>federales,</w:t>
      </w:r>
      <w:r>
        <w:rPr>
          <w:color w:val="231F20"/>
          <w:spacing w:val="-16"/>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6"/>
          <w:w w:val="105"/>
        </w:rPr>
        <w:t> </w:t>
      </w:r>
      <w:r>
        <w:rPr>
          <w:color w:val="231F20"/>
          <w:w w:val="105"/>
        </w:rPr>
        <w:t>necesario</w:t>
      </w:r>
      <w:r>
        <w:rPr>
          <w:color w:val="231F20"/>
          <w:spacing w:val="-17"/>
          <w:w w:val="105"/>
        </w:rPr>
        <w:t> </w:t>
      </w:r>
      <w:r>
        <w:rPr>
          <w:color w:val="231F20"/>
          <w:w w:val="105"/>
        </w:rPr>
        <w:t>trabajar</w:t>
      </w:r>
      <w:r>
        <w:rPr>
          <w:color w:val="231F20"/>
          <w:spacing w:val="-17"/>
          <w:w w:val="105"/>
        </w:rPr>
        <w:t> </w:t>
      </w:r>
      <w:r>
        <w:rPr>
          <w:color w:val="231F20"/>
          <w:w w:val="105"/>
        </w:rPr>
        <w:t>en</w:t>
      </w:r>
      <w:r>
        <w:rPr>
          <w:color w:val="231F20"/>
          <w:spacing w:val="-17"/>
          <w:w w:val="105"/>
        </w:rPr>
        <w:t> </w:t>
      </w:r>
      <w:r>
        <w:rPr>
          <w:color w:val="231F20"/>
          <w:w w:val="105"/>
        </w:rPr>
        <w:t>la creación de un padrón de contribuyentes, así como en la implementación de mecanis- mos</w:t>
      </w:r>
      <w:r>
        <w:rPr>
          <w:color w:val="231F20"/>
          <w:spacing w:val="-13"/>
          <w:w w:val="105"/>
        </w:rPr>
        <w:t> </w:t>
      </w:r>
      <w:r>
        <w:rPr>
          <w:color w:val="231F20"/>
          <w:w w:val="105"/>
        </w:rPr>
        <w:t>más</w:t>
      </w:r>
      <w:r>
        <w:rPr>
          <w:color w:val="231F20"/>
          <w:spacing w:val="-13"/>
          <w:w w:val="105"/>
        </w:rPr>
        <w:t> </w:t>
      </w:r>
      <w:r>
        <w:rPr>
          <w:color w:val="231F20"/>
          <w:w w:val="105"/>
        </w:rPr>
        <w:t>eficientes</w:t>
      </w:r>
      <w:r>
        <w:rPr>
          <w:color w:val="231F20"/>
          <w:spacing w:val="-13"/>
          <w:w w:val="105"/>
        </w:rPr>
        <w:t> </w:t>
      </w:r>
      <w:r>
        <w:rPr>
          <w:color w:val="231F20"/>
          <w:w w:val="105"/>
        </w:rPr>
        <w:t>para</w:t>
      </w:r>
      <w:r>
        <w:rPr>
          <w:color w:val="231F20"/>
          <w:spacing w:val="-13"/>
          <w:w w:val="105"/>
        </w:rPr>
        <w:t> </w:t>
      </w:r>
      <w:r>
        <w:rPr>
          <w:color w:val="231F20"/>
          <w:w w:val="105"/>
        </w:rPr>
        <w:t>incrementar</w:t>
      </w:r>
      <w:r>
        <w:rPr>
          <w:color w:val="231F20"/>
          <w:spacing w:val="-13"/>
          <w:w w:val="105"/>
        </w:rPr>
        <w:t> </w:t>
      </w:r>
      <w:r>
        <w:rPr>
          <w:color w:val="231F20"/>
          <w:w w:val="105"/>
        </w:rPr>
        <w:t>el</w:t>
      </w:r>
      <w:r>
        <w:rPr>
          <w:color w:val="231F20"/>
          <w:spacing w:val="-13"/>
          <w:w w:val="105"/>
        </w:rPr>
        <w:t> </w:t>
      </w:r>
      <w:r>
        <w:rPr>
          <w:color w:val="231F20"/>
          <w:w w:val="105"/>
        </w:rPr>
        <w:t>cobro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base</w:t>
      </w:r>
      <w:r>
        <w:rPr>
          <w:color w:val="231F20"/>
          <w:spacing w:val="-13"/>
          <w:w w:val="105"/>
        </w:rPr>
        <w:t> </w:t>
      </w:r>
      <w:r>
        <w:rPr>
          <w:color w:val="231F20"/>
          <w:w w:val="105"/>
        </w:rPr>
        <w:t>de</w:t>
      </w:r>
      <w:r>
        <w:rPr>
          <w:color w:val="231F20"/>
          <w:spacing w:val="-13"/>
          <w:w w:val="105"/>
        </w:rPr>
        <w:t> </w:t>
      </w:r>
      <w:r>
        <w:rPr>
          <w:color w:val="231F20"/>
          <w:w w:val="105"/>
        </w:rPr>
        <w:t>contribuyentes.</w:t>
      </w:r>
    </w:p>
    <w:p>
      <w:pPr>
        <w:pStyle w:val="BodyText"/>
        <w:spacing w:before="1"/>
        <w:rPr>
          <w:sz w:val="26"/>
        </w:rPr>
      </w:pPr>
    </w:p>
    <w:p>
      <w:pPr>
        <w:pStyle w:val="BodyText"/>
        <w:spacing w:line="285" w:lineRule="auto"/>
        <w:ind w:left="110" w:right="108"/>
        <w:jc w:val="both"/>
      </w:pPr>
      <w:r>
        <w:rPr>
          <w:color w:val="231F20"/>
          <w:w w:val="105"/>
        </w:rPr>
        <w:t>Ante esta realidad resulta imperativo incrementar el rubro de ingresos </w:t>
      </w:r>
      <w:r>
        <w:rPr>
          <w:color w:val="231F20"/>
          <w:spacing w:val="-3"/>
          <w:w w:val="105"/>
        </w:rPr>
        <w:t>propios </w:t>
      </w:r>
      <w:r>
        <w:rPr>
          <w:color w:val="231F20"/>
          <w:w w:val="105"/>
        </w:rPr>
        <w:t>con el objetivo</w:t>
      </w:r>
      <w:r>
        <w:rPr>
          <w:color w:val="231F20"/>
          <w:spacing w:val="-19"/>
          <w:w w:val="105"/>
        </w:rPr>
        <w:t> </w:t>
      </w:r>
      <w:r>
        <w:rPr>
          <w:color w:val="231F20"/>
          <w:w w:val="105"/>
        </w:rPr>
        <w:t>de</w:t>
      </w:r>
      <w:r>
        <w:rPr>
          <w:color w:val="231F20"/>
          <w:spacing w:val="-19"/>
          <w:w w:val="105"/>
        </w:rPr>
        <w:t> </w:t>
      </w:r>
      <w:r>
        <w:rPr>
          <w:color w:val="231F20"/>
          <w:w w:val="105"/>
        </w:rPr>
        <w:t>buscar</w:t>
      </w:r>
      <w:r>
        <w:rPr>
          <w:color w:val="231F20"/>
          <w:spacing w:val="-19"/>
          <w:w w:val="105"/>
        </w:rPr>
        <w:t> </w:t>
      </w:r>
      <w:r>
        <w:rPr>
          <w:color w:val="231F20"/>
          <w:w w:val="105"/>
        </w:rPr>
        <w:t>revertir</w:t>
      </w:r>
      <w:r>
        <w:rPr>
          <w:color w:val="231F20"/>
          <w:spacing w:val="-19"/>
          <w:w w:val="105"/>
        </w:rPr>
        <w:t> </w:t>
      </w:r>
      <w:r>
        <w:rPr>
          <w:color w:val="231F20"/>
          <w:w w:val="105"/>
        </w:rPr>
        <w:t>la</w:t>
      </w:r>
      <w:r>
        <w:rPr>
          <w:color w:val="231F20"/>
          <w:spacing w:val="-19"/>
          <w:w w:val="105"/>
        </w:rPr>
        <w:t> </w:t>
      </w:r>
      <w:r>
        <w:rPr>
          <w:color w:val="231F20"/>
          <w:w w:val="105"/>
        </w:rPr>
        <w:t>aguda</w:t>
      </w:r>
      <w:r>
        <w:rPr>
          <w:color w:val="231F20"/>
          <w:spacing w:val="-19"/>
          <w:w w:val="105"/>
        </w:rPr>
        <w:t> </w:t>
      </w:r>
      <w:r>
        <w:rPr>
          <w:color w:val="231F20"/>
          <w:w w:val="105"/>
        </w:rPr>
        <w:t>dependencia</w:t>
      </w:r>
      <w:r>
        <w:rPr>
          <w:color w:val="231F20"/>
          <w:spacing w:val="-19"/>
          <w:w w:val="105"/>
        </w:rPr>
        <w:t> </w:t>
      </w:r>
      <w:r>
        <w:rPr>
          <w:color w:val="231F20"/>
          <w:w w:val="105"/>
        </w:rPr>
        <w:t>financiera</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por</w:t>
      </w:r>
      <w:r>
        <w:rPr>
          <w:color w:val="231F20"/>
          <w:spacing w:val="-19"/>
          <w:w w:val="105"/>
        </w:rPr>
        <w:t> </w:t>
      </w:r>
      <w:r>
        <w:rPr>
          <w:color w:val="231F20"/>
          <w:w w:val="105"/>
        </w:rPr>
        <w:t>medio</w:t>
      </w:r>
      <w:r>
        <w:rPr>
          <w:color w:val="231F20"/>
          <w:spacing w:val="-19"/>
          <w:w w:val="105"/>
        </w:rPr>
        <w:t> </w:t>
      </w:r>
      <w:r>
        <w:rPr>
          <w:color w:val="231F20"/>
          <w:w w:val="105"/>
        </w:rPr>
        <w:t>de la ampliación de la base tributaria a través de estímulos a los contribuyentes para que regularicen</w:t>
      </w:r>
      <w:r>
        <w:rPr>
          <w:color w:val="231F20"/>
          <w:spacing w:val="-25"/>
          <w:w w:val="105"/>
        </w:rPr>
        <w:t> </w:t>
      </w:r>
      <w:r>
        <w:rPr>
          <w:color w:val="231F20"/>
          <w:w w:val="105"/>
        </w:rPr>
        <w:t>su</w:t>
      </w:r>
      <w:r>
        <w:rPr>
          <w:color w:val="231F20"/>
          <w:spacing w:val="-25"/>
          <w:w w:val="105"/>
        </w:rPr>
        <w:t> </w:t>
      </w:r>
      <w:r>
        <w:rPr>
          <w:color w:val="231F20"/>
          <w:w w:val="105"/>
        </w:rPr>
        <w:t>situación</w:t>
      </w:r>
      <w:r>
        <w:rPr>
          <w:color w:val="231F20"/>
          <w:spacing w:val="-25"/>
          <w:w w:val="105"/>
        </w:rPr>
        <w:t> </w:t>
      </w:r>
      <w:r>
        <w:rPr>
          <w:color w:val="231F20"/>
          <w:spacing w:val="2"/>
          <w:w w:val="105"/>
        </w:rPr>
        <w:t>fiscal.</w:t>
      </w:r>
      <w:r>
        <w:rPr>
          <w:color w:val="231F20"/>
          <w:spacing w:val="-25"/>
          <w:w w:val="105"/>
        </w:rPr>
        <w:t> </w:t>
      </w:r>
      <w:r>
        <w:rPr>
          <w:color w:val="231F20"/>
          <w:w w:val="105"/>
        </w:rPr>
        <w:t>Conscientes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condiciones</w:t>
      </w:r>
      <w:r>
        <w:rPr>
          <w:color w:val="231F20"/>
          <w:spacing w:val="-25"/>
          <w:w w:val="105"/>
        </w:rPr>
        <w:t> </w:t>
      </w:r>
      <w:r>
        <w:rPr>
          <w:color w:val="231F20"/>
          <w:w w:val="105"/>
        </w:rPr>
        <w:t>financieras</w:t>
      </w:r>
      <w:r>
        <w:rPr>
          <w:color w:val="231F20"/>
          <w:spacing w:val="-25"/>
          <w:w w:val="105"/>
        </w:rPr>
        <w:t> </w:t>
      </w:r>
      <w:r>
        <w:rPr>
          <w:color w:val="231F20"/>
          <w:w w:val="105"/>
        </w:rPr>
        <w:t>del</w:t>
      </w:r>
      <w:r>
        <w:rPr>
          <w:color w:val="231F20"/>
          <w:spacing w:val="-25"/>
          <w:w w:val="105"/>
        </w:rPr>
        <w:t> </w:t>
      </w:r>
      <w:r>
        <w:rPr>
          <w:color w:val="231F20"/>
          <w:w w:val="105"/>
        </w:rPr>
        <w:t>municipio la actual administración se </w:t>
      </w:r>
      <w:r>
        <w:rPr>
          <w:color w:val="231F20"/>
          <w:spacing w:val="-3"/>
          <w:w w:val="105"/>
        </w:rPr>
        <w:t>propone</w:t>
      </w:r>
      <w:r>
        <w:rPr>
          <w:color w:val="231F20"/>
          <w:spacing w:val="-15"/>
          <w:w w:val="105"/>
        </w:rPr>
        <w:t> </w:t>
      </w:r>
      <w:r>
        <w:rPr>
          <w:color w:val="231F20"/>
          <w:w w:val="105"/>
        </w:rPr>
        <w:t>que:</w:t>
      </w:r>
    </w:p>
    <w:p>
      <w:pPr>
        <w:pStyle w:val="BodyText"/>
        <w:spacing w:line="285" w:lineRule="auto" w:before="1"/>
        <w:ind w:left="677" w:right="107"/>
        <w:jc w:val="both"/>
      </w:pPr>
      <w:r>
        <w:rPr>
          <w:color w:val="231F20"/>
          <w:w w:val="105"/>
        </w:rPr>
        <w:t>En los años subsecuentes se continuarán aplicando algunas de las acciones que han</w:t>
      </w:r>
      <w:r>
        <w:rPr>
          <w:color w:val="231F20"/>
          <w:spacing w:val="-16"/>
          <w:w w:val="105"/>
        </w:rPr>
        <w:t> </w:t>
      </w:r>
      <w:r>
        <w:rPr>
          <w:color w:val="231F20"/>
          <w:w w:val="105"/>
        </w:rPr>
        <w:t>dado</w:t>
      </w:r>
      <w:r>
        <w:rPr>
          <w:color w:val="231F20"/>
          <w:spacing w:val="-16"/>
          <w:w w:val="105"/>
        </w:rPr>
        <w:t> </w:t>
      </w:r>
      <w:r>
        <w:rPr>
          <w:color w:val="231F20"/>
          <w:w w:val="105"/>
        </w:rPr>
        <w:t>resultados</w:t>
      </w:r>
      <w:r>
        <w:rPr>
          <w:color w:val="231F20"/>
          <w:spacing w:val="-16"/>
          <w:w w:val="105"/>
        </w:rPr>
        <w:t> </w:t>
      </w:r>
      <w:r>
        <w:rPr>
          <w:color w:val="231F20"/>
          <w:w w:val="105"/>
        </w:rPr>
        <w:t>positivos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incremento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recaudación</w:t>
      </w:r>
      <w:r>
        <w:rPr>
          <w:color w:val="231F20"/>
          <w:spacing w:val="-16"/>
          <w:w w:val="105"/>
        </w:rPr>
        <w:t> </w:t>
      </w:r>
      <w:r>
        <w:rPr>
          <w:color w:val="231F20"/>
          <w:w w:val="105"/>
        </w:rPr>
        <w:t>como</w:t>
      </w:r>
      <w:r>
        <w:rPr>
          <w:color w:val="231F20"/>
          <w:spacing w:val="-16"/>
          <w:w w:val="105"/>
        </w:rPr>
        <w:t> </w:t>
      </w:r>
      <w:r>
        <w:rPr>
          <w:color w:val="231F20"/>
          <w:w w:val="105"/>
        </w:rPr>
        <w:t>son:</w:t>
      </w:r>
      <w:r>
        <w:rPr>
          <w:color w:val="231F20"/>
          <w:spacing w:val="-16"/>
          <w:w w:val="105"/>
        </w:rPr>
        <w:t> </w:t>
      </w:r>
      <w:r>
        <w:rPr>
          <w:color w:val="231F20"/>
          <w:w w:val="105"/>
        </w:rPr>
        <w:t>Con- tinuar con el sorteo para estimular a los contribuyentes cumplidos e integrar bandas</w:t>
      </w:r>
      <w:r>
        <w:rPr>
          <w:color w:val="231F20"/>
          <w:spacing w:val="-5"/>
          <w:w w:val="105"/>
        </w:rPr>
        <w:t> </w:t>
      </w:r>
      <w:r>
        <w:rPr>
          <w:color w:val="231F20"/>
          <w:w w:val="105"/>
        </w:rPr>
        <w:t>de</w:t>
      </w:r>
      <w:r>
        <w:rPr>
          <w:color w:val="231F20"/>
          <w:spacing w:val="-5"/>
          <w:w w:val="105"/>
        </w:rPr>
        <w:t> </w:t>
      </w:r>
      <w:r>
        <w:rPr>
          <w:color w:val="231F20"/>
          <w:w w:val="105"/>
        </w:rPr>
        <w:t>valor</w:t>
      </w:r>
      <w:r>
        <w:rPr>
          <w:color w:val="231F20"/>
          <w:spacing w:val="-5"/>
          <w:w w:val="105"/>
        </w:rPr>
        <w:t> </w:t>
      </w:r>
      <w:r>
        <w:rPr>
          <w:color w:val="231F20"/>
          <w:w w:val="105"/>
        </w:rPr>
        <w:t>y</w:t>
      </w:r>
      <w:r>
        <w:rPr>
          <w:color w:val="231F20"/>
          <w:spacing w:val="-5"/>
          <w:w w:val="105"/>
        </w:rPr>
        <w:t> </w:t>
      </w:r>
      <w:r>
        <w:rPr>
          <w:color w:val="231F20"/>
          <w:w w:val="105"/>
        </w:rPr>
        <w:t>áreas</w:t>
      </w:r>
      <w:r>
        <w:rPr>
          <w:color w:val="231F20"/>
          <w:spacing w:val="-5"/>
          <w:w w:val="105"/>
        </w:rPr>
        <w:t> </w:t>
      </w:r>
      <w:r>
        <w:rPr>
          <w:color w:val="231F20"/>
          <w:w w:val="105"/>
        </w:rPr>
        <w:t>homogéneas,</w:t>
      </w:r>
      <w:r>
        <w:rPr>
          <w:color w:val="231F20"/>
          <w:spacing w:val="-5"/>
          <w:w w:val="105"/>
        </w:rPr>
        <w:t> </w:t>
      </w:r>
      <w:r>
        <w:rPr>
          <w:color w:val="231F20"/>
          <w:w w:val="105"/>
        </w:rPr>
        <w:t>actualizando</w:t>
      </w:r>
      <w:r>
        <w:rPr>
          <w:color w:val="231F20"/>
          <w:spacing w:val="-5"/>
          <w:w w:val="105"/>
        </w:rPr>
        <w:t> </w:t>
      </w:r>
      <w:r>
        <w:rPr>
          <w:color w:val="231F20"/>
          <w:w w:val="105"/>
        </w:rPr>
        <w:t>los</w:t>
      </w:r>
      <w:r>
        <w:rPr>
          <w:color w:val="231F20"/>
          <w:spacing w:val="-5"/>
          <w:w w:val="105"/>
        </w:rPr>
        <w:t> </w:t>
      </w:r>
      <w:r>
        <w:rPr>
          <w:color w:val="231F20"/>
          <w:w w:val="105"/>
        </w:rPr>
        <w:t>valores</w:t>
      </w:r>
      <w:r>
        <w:rPr>
          <w:color w:val="231F20"/>
          <w:spacing w:val="-5"/>
          <w:w w:val="105"/>
        </w:rPr>
        <w:t> </w:t>
      </w:r>
      <w:r>
        <w:rPr>
          <w:color w:val="231F20"/>
          <w:w w:val="105"/>
        </w:rPr>
        <w:t>unitarios</w:t>
      </w:r>
      <w:r>
        <w:rPr>
          <w:color w:val="231F20"/>
          <w:spacing w:val="-5"/>
          <w:w w:val="105"/>
        </w:rPr>
        <w:t> </w:t>
      </w:r>
      <w:r>
        <w:rPr>
          <w:color w:val="231F20"/>
          <w:w w:val="105"/>
        </w:rPr>
        <w:t>de</w:t>
      </w:r>
      <w:r>
        <w:rPr>
          <w:color w:val="231F20"/>
          <w:spacing w:val="-5"/>
          <w:w w:val="105"/>
        </w:rPr>
        <w:t> </w:t>
      </w:r>
      <w:r>
        <w:rPr>
          <w:color w:val="231F20"/>
          <w:w w:val="105"/>
        </w:rPr>
        <w:t>suelo y de construcción, asimismo, se implementarán acciones para obligar a los </w:t>
      </w:r>
      <w:r>
        <w:rPr>
          <w:color w:val="231F20"/>
          <w:spacing w:val="-3"/>
          <w:w w:val="105"/>
        </w:rPr>
        <w:t>con- </w:t>
      </w:r>
      <w:r>
        <w:rPr>
          <w:color w:val="231F20"/>
          <w:w w:val="105"/>
        </w:rPr>
        <w:t>tribuyentes omisos o morosos para que cumplan con el pago de sus impuestos a través de la implementación del Proceso Administrativo de Ejecución, </w:t>
      </w:r>
      <w:r>
        <w:rPr>
          <w:color w:val="231F20"/>
          <w:spacing w:val="-3"/>
          <w:w w:val="105"/>
        </w:rPr>
        <w:t>siempre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marco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ley</w:t>
      </w:r>
      <w:r>
        <w:rPr>
          <w:color w:val="231F20"/>
          <w:spacing w:val="-11"/>
          <w:w w:val="105"/>
        </w:rPr>
        <w:t> </w:t>
      </w:r>
      <w:r>
        <w:rPr>
          <w:color w:val="231F20"/>
          <w:w w:val="105"/>
        </w:rPr>
        <w:t>y</w:t>
      </w:r>
      <w:r>
        <w:rPr>
          <w:color w:val="231F20"/>
          <w:spacing w:val="-11"/>
          <w:w w:val="105"/>
        </w:rPr>
        <w:t> </w:t>
      </w:r>
      <w:r>
        <w:rPr>
          <w:color w:val="231F20"/>
          <w:w w:val="105"/>
        </w:rPr>
        <w:t>respetando</w:t>
      </w:r>
      <w:r>
        <w:rPr>
          <w:color w:val="231F20"/>
          <w:spacing w:val="-11"/>
          <w:w w:val="105"/>
        </w:rPr>
        <w:t> </w:t>
      </w:r>
      <w:r>
        <w:rPr>
          <w:color w:val="231F20"/>
          <w:w w:val="105"/>
        </w:rPr>
        <w:t>las</w:t>
      </w:r>
      <w:r>
        <w:rPr>
          <w:color w:val="231F20"/>
          <w:spacing w:val="-11"/>
          <w:w w:val="105"/>
        </w:rPr>
        <w:t> </w:t>
      </w:r>
      <w:r>
        <w:rPr>
          <w:color w:val="231F20"/>
          <w:w w:val="105"/>
        </w:rPr>
        <w:t>garantías</w:t>
      </w:r>
      <w:r>
        <w:rPr>
          <w:color w:val="231F20"/>
          <w:spacing w:val="-11"/>
          <w:w w:val="105"/>
        </w:rPr>
        <w:t> </w:t>
      </w:r>
      <w:r>
        <w:rPr>
          <w:color w:val="231F20"/>
          <w:w w:val="105"/>
        </w:rPr>
        <w:t>individuales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habitantes</w:t>
      </w:r>
      <w:r>
        <w:rPr>
          <w:color w:val="231F20"/>
          <w:spacing w:val="-11"/>
          <w:w w:val="105"/>
        </w:rPr>
        <w:t> </w:t>
      </w:r>
      <w:r>
        <w:rPr>
          <w:color w:val="231F20"/>
          <w:w w:val="105"/>
        </w:rPr>
        <w:t>del Municipio; asimismo a través de la modernización técnica y administrativa del catastro</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Tesorería</w:t>
      </w:r>
      <w:r>
        <w:rPr>
          <w:color w:val="231F20"/>
          <w:spacing w:val="-16"/>
          <w:w w:val="105"/>
        </w:rPr>
        <w:t> </w:t>
      </w:r>
      <w:r>
        <w:rPr>
          <w:color w:val="231F20"/>
          <w:w w:val="105"/>
        </w:rPr>
        <w:t>Municipal,</w:t>
      </w:r>
      <w:r>
        <w:rPr>
          <w:color w:val="231F20"/>
          <w:spacing w:val="-16"/>
          <w:w w:val="105"/>
        </w:rPr>
        <w:t> </w:t>
      </w:r>
      <w:r>
        <w:rPr>
          <w:color w:val="231F20"/>
          <w:w w:val="105"/>
        </w:rPr>
        <w:t>se</w:t>
      </w:r>
      <w:r>
        <w:rPr>
          <w:color w:val="231F20"/>
          <w:spacing w:val="-16"/>
          <w:w w:val="105"/>
        </w:rPr>
        <w:t> </w:t>
      </w:r>
      <w:r>
        <w:rPr>
          <w:color w:val="231F20"/>
          <w:w w:val="105"/>
        </w:rPr>
        <w:t>buscará</w:t>
      </w:r>
      <w:r>
        <w:rPr>
          <w:color w:val="231F20"/>
          <w:spacing w:val="-16"/>
          <w:w w:val="105"/>
        </w:rPr>
        <w:t> </w:t>
      </w:r>
      <w:r>
        <w:rPr>
          <w:color w:val="231F20"/>
          <w:w w:val="105"/>
        </w:rPr>
        <w:t>ampliar</w:t>
      </w:r>
      <w:r>
        <w:rPr>
          <w:color w:val="231F20"/>
          <w:spacing w:val="-16"/>
          <w:w w:val="105"/>
        </w:rPr>
        <w:t> </w:t>
      </w:r>
      <w:r>
        <w:rPr>
          <w:color w:val="231F20"/>
          <w:w w:val="105"/>
        </w:rPr>
        <w:t>la</w:t>
      </w:r>
      <w:r>
        <w:rPr>
          <w:color w:val="231F20"/>
          <w:spacing w:val="-16"/>
          <w:w w:val="105"/>
        </w:rPr>
        <w:t> </w:t>
      </w:r>
      <w:r>
        <w:rPr>
          <w:color w:val="231F20"/>
          <w:w w:val="105"/>
        </w:rPr>
        <w:t>base</w:t>
      </w:r>
      <w:r>
        <w:rPr>
          <w:color w:val="231F20"/>
          <w:spacing w:val="-16"/>
          <w:w w:val="105"/>
        </w:rPr>
        <w:t> </w:t>
      </w:r>
      <w:r>
        <w:rPr>
          <w:color w:val="231F20"/>
          <w:w w:val="105"/>
        </w:rPr>
        <w:t>de</w:t>
      </w:r>
      <w:r>
        <w:rPr>
          <w:color w:val="231F20"/>
          <w:spacing w:val="-16"/>
          <w:w w:val="105"/>
        </w:rPr>
        <w:t> </w:t>
      </w:r>
      <w:r>
        <w:rPr>
          <w:color w:val="231F20"/>
          <w:w w:val="105"/>
        </w:rPr>
        <w:t>contribuyentes y actualizar los valores que sirven de base para el </w:t>
      </w:r>
      <w:r>
        <w:rPr>
          <w:color w:val="231F20"/>
          <w:spacing w:val="-2"/>
          <w:w w:val="105"/>
        </w:rPr>
        <w:t>cobro, </w:t>
      </w:r>
      <w:r>
        <w:rPr>
          <w:color w:val="231F20"/>
          <w:w w:val="105"/>
        </w:rPr>
        <w:t>con el </w:t>
      </w:r>
      <w:r>
        <w:rPr>
          <w:color w:val="231F20"/>
          <w:spacing w:val="2"/>
          <w:w w:val="105"/>
        </w:rPr>
        <w:t>fin </w:t>
      </w:r>
      <w:r>
        <w:rPr>
          <w:color w:val="231F20"/>
          <w:w w:val="105"/>
        </w:rPr>
        <w:t>de que cada quien</w:t>
      </w:r>
      <w:r>
        <w:rPr>
          <w:color w:val="231F20"/>
          <w:spacing w:val="-20"/>
          <w:w w:val="105"/>
        </w:rPr>
        <w:t> </w:t>
      </w:r>
      <w:r>
        <w:rPr>
          <w:color w:val="231F20"/>
          <w:w w:val="105"/>
        </w:rPr>
        <w:t>pague</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en</w:t>
      </w:r>
      <w:r>
        <w:rPr>
          <w:color w:val="231F20"/>
          <w:spacing w:val="-20"/>
          <w:w w:val="105"/>
        </w:rPr>
        <w:t> </w:t>
      </w:r>
      <w:r>
        <w:rPr>
          <w:color w:val="231F20"/>
          <w:w w:val="105"/>
        </w:rPr>
        <w:t>derecho</w:t>
      </w:r>
      <w:r>
        <w:rPr>
          <w:color w:val="231F20"/>
          <w:spacing w:val="-20"/>
          <w:w w:val="105"/>
        </w:rPr>
        <w:t> </w:t>
      </w:r>
      <w:r>
        <w:rPr>
          <w:color w:val="231F20"/>
          <w:w w:val="105"/>
        </w:rPr>
        <w:t>le</w:t>
      </w:r>
      <w:r>
        <w:rPr>
          <w:color w:val="231F20"/>
          <w:spacing w:val="-20"/>
          <w:w w:val="105"/>
        </w:rPr>
        <w:t> </w:t>
      </w:r>
      <w:r>
        <w:rPr>
          <w:color w:val="231F20"/>
          <w:w w:val="105"/>
        </w:rPr>
        <w:t>corresponde</w:t>
      </w:r>
      <w:r>
        <w:rPr>
          <w:color w:val="231F20"/>
          <w:spacing w:val="-20"/>
          <w:w w:val="105"/>
        </w:rPr>
        <w:t> </w:t>
      </w:r>
      <w:r>
        <w:rPr>
          <w:color w:val="231F20"/>
          <w:spacing w:val="-3"/>
          <w:w w:val="105"/>
        </w:rPr>
        <w:t>(PDM,</w:t>
      </w:r>
      <w:r>
        <w:rPr>
          <w:color w:val="231F20"/>
          <w:spacing w:val="-20"/>
          <w:w w:val="105"/>
        </w:rPr>
        <w:t> </w:t>
      </w:r>
      <w:r>
        <w:rPr>
          <w:color w:val="231F20"/>
          <w:w w:val="105"/>
        </w:rPr>
        <w:t>2006-2009:85).</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Considerando</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principal</w:t>
      </w:r>
      <w:r>
        <w:rPr>
          <w:color w:val="231F20"/>
          <w:spacing w:val="-10"/>
          <w:w w:val="105"/>
        </w:rPr>
        <w:t> </w:t>
      </w:r>
      <w:r>
        <w:rPr>
          <w:color w:val="231F20"/>
          <w:w w:val="105"/>
        </w:rPr>
        <w:t>fuente</w:t>
      </w:r>
      <w:r>
        <w:rPr>
          <w:color w:val="231F20"/>
          <w:spacing w:val="-10"/>
          <w:w w:val="105"/>
        </w:rPr>
        <w:t> </w:t>
      </w:r>
      <w:r>
        <w:rPr>
          <w:color w:val="231F20"/>
          <w:w w:val="105"/>
        </w:rPr>
        <w:t>de</w:t>
      </w:r>
      <w:r>
        <w:rPr>
          <w:color w:val="231F20"/>
          <w:spacing w:val="-10"/>
          <w:w w:val="105"/>
        </w:rPr>
        <w:t> </w:t>
      </w:r>
      <w:r>
        <w:rPr>
          <w:color w:val="231F20"/>
          <w:w w:val="105"/>
        </w:rPr>
        <w:t>ingresos</w:t>
      </w:r>
      <w:r>
        <w:rPr>
          <w:color w:val="231F20"/>
          <w:spacing w:val="-10"/>
          <w:w w:val="105"/>
        </w:rPr>
        <w:t> </w:t>
      </w:r>
      <w:r>
        <w:rPr>
          <w:color w:val="231F20"/>
          <w:w w:val="105"/>
        </w:rPr>
        <w:t>del</w:t>
      </w:r>
      <w:r>
        <w:rPr>
          <w:color w:val="231F20"/>
          <w:spacing w:val="-10"/>
          <w:w w:val="105"/>
        </w:rPr>
        <w:t> </w:t>
      </w:r>
      <w:r>
        <w:rPr>
          <w:color w:val="231F20"/>
          <w:w w:val="105"/>
        </w:rPr>
        <w:t>municipio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cobro</w:t>
      </w:r>
      <w:r>
        <w:rPr>
          <w:color w:val="231F20"/>
          <w:spacing w:val="-10"/>
          <w:w w:val="105"/>
        </w:rPr>
        <w:t> </w:t>
      </w:r>
      <w:r>
        <w:rPr>
          <w:color w:val="231F20"/>
          <w:w w:val="105"/>
        </w:rPr>
        <w:t>de</w:t>
      </w:r>
      <w:r>
        <w:rPr>
          <w:color w:val="231F20"/>
          <w:spacing w:val="-10"/>
          <w:w w:val="105"/>
        </w:rPr>
        <w:t> </w:t>
      </w:r>
      <w:r>
        <w:rPr>
          <w:color w:val="231F20"/>
          <w:w w:val="105"/>
        </w:rPr>
        <w:t>agua</w:t>
      </w:r>
      <w:r>
        <w:rPr>
          <w:color w:val="231F20"/>
          <w:spacing w:val="-10"/>
          <w:w w:val="105"/>
        </w:rPr>
        <w:t> </w:t>
      </w:r>
      <w:r>
        <w:rPr>
          <w:color w:val="231F20"/>
          <w:w w:val="105"/>
        </w:rPr>
        <w:t>po- table,</w:t>
      </w:r>
      <w:r>
        <w:rPr>
          <w:color w:val="231F20"/>
          <w:spacing w:val="-5"/>
          <w:w w:val="105"/>
        </w:rPr>
        <w:t> </w:t>
      </w:r>
      <w:r>
        <w:rPr>
          <w:color w:val="231F20"/>
          <w:w w:val="105"/>
        </w:rPr>
        <w:t>las</w:t>
      </w:r>
      <w:r>
        <w:rPr>
          <w:color w:val="231F20"/>
          <w:spacing w:val="-5"/>
          <w:w w:val="105"/>
        </w:rPr>
        <w:t> </w:t>
      </w:r>
      <w:r>
        <w:rPr>
          <w:color w:val="231F20"/>
          <w:w w:val="105"/>
        </w:rPr>
        <w:t>administraciones</w:t>
      </w:r>
      <w:r>
        <w:rPr>
          <w:color w:val="231F20"/>
          <w:spacing w:val="-5"/>
          <w:w w:val="105"/>
        </w:rPr>
        <w:t> </w:t>
      </w:r>
      <w:r>
        <w:rPr>
          <w:color w:val="231F20"/>
          <w:w w:val="105"/>
        </w:rPr>
        <w:t>perredistas</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particular</w:t>
      </w:r>
      <w:r>
        <w:rPr>
          <w:color w:val="231F20"/>
          <w:spacing w:val="-5"/>
          <w:w w:val="105"/>
        </w:rPr>
        <w:t> </w:t>
      </w:r>
      <w:r>
        <w:rPr>
          <w:color w:val="231F20"/>
          <w:w w:val="105"/>
        </w:rPr>
        <w:t>la</w:t>
      </w:r>
      <w:r>
        <w:rPr>
          <w:color w:val="231F20"/>
          <w:spacing w:val="-5"/>
          <w:w w:val="105"/>
        </w:rPr>
        <w:t> </w:t>
      </w:r>
      <w:r>
        <w:rPr>
          <w:color w:val="231F20"/>
          <w:w w:val="105"/>
        </w:rPr>
        <w:t>actual</w:t>
      </w:r>
      <w:r>
        <w:rPr>
          <w:color w:val="231F20"/>
          <w:spacing w:val="-5"/>
          <w:w w:val="105"/>
        </w:rPr>
        <w:t> </w:t>
      </w:r>
      <w:r>
        <w:rPr>
          <w:color w:val="231F20"/>
          <w:w w:val="105"/>
        </w:rPr>
        <w:t>han</w:t>
      </w:r>
      <w:r>
        <w:rPr>
          <w:color w:val="231F20"/>
          <w:spacing w:val="-5"/>
          <w:w w:val="105"/>
        </w:rPr>
        <w:t> </w:t>
      </w:r>
      <w:r>
        <w:rPr>
          <w:color w:val="231F20"/>
          <w:w w:val="105"/>
        </w:rPr>
        <w:t>llevado</w:t>
      </w:r>
      <w:r>
        <w:rPr>
          <w:color w:val="231F20"/>
          <w:spacing w:val="-5"/>
          <w:w w:val="105"/>
        </w:rPr>
        <w:t> </w:t>
      </w:r>
      <w:r>
        <w:rPr>
          <w:color w:val="231F20"/>
          <w:w w:val="105"/>
        </w:rPr>
        <w:t>a</w:t>
      </w:r>
      <w:r>
        <w:rPr>
          <w:color w:val="231F20"/>
          <w:spacing w:val="-5"/>
          <w:w w:val="105"/>
        </w:rPr>
        <w:t> </w:t>
      </w:r>
      <w:r>
        <w:rPr>
          <w:color w:val="231F20"/>
          <w:w w:val="105"/>
        </w:rPr>
        <w:t>cabo</w:t>
      </w:r>
      <w:r>
        <w:rPr>
          <w:color w:val="231F20"/>
          <w:spacing w:val="-5"/>
          <w:w w:val="105"/>
        </w:rPr>
        <w:t> </w:t>
      </w:r>
      <w:r>
        <w:rPr>
          <w:color w:val="231F20"/>
          <w:w w:val="105"/>
        </w:rPr>
        <w:t>pro- gramas de estímulos fiscales con los objetivos de incrementar la recaudación por este concepto</w:t>
      </w:r>
      <w:r>
        <w:rPr>
          <w:color w:val="231F20"/>
          <w:spacing w:val="-11"/>
          <w:w w:val="105"/>
        </w:rPr>
        <w:t> </w:t>
      </w:r>
      <w:r>
        <w:rPr>
          <w:color w:val="231F20"/>
          <w:w w:val="105"/>
        </w:rPr>
        <w:t>y</w:t>
      </w:r>
      <w:r>
        <w:rPr>
          <w:color w:val="231F20"/>
          <w:spacing w:val="-11"/>
          <w:w w:val="105"/>
        </w:rPr>
        <w:t> </w:t>
      </w:r>
      <w:r>
        <w:rPr>
          <w:color w:val="231F20"/>
          <w:w w:val="105"/>
        </w:rPr>
        <w:t>apoyar</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grupos</w:t>
      </w:r>
      <w:r>
        <w:rPr>
          <w:color w:val="231F20"/>
          <w:spacing w:val="-11"/>
          <w:w w:val="105"/>
        </w:rPr>
        <w:t> </w:t>
      </w:r>
      <w:r>
        <w:rPr>
          <w:color w:val="231F20"/>
          <w:w w:val="105"/>
        </w:rPr>
        <w:t>sociales</w:t>
      </w:r>
      <w:r>
        <w:rPr>
          <w:color w:val="231F20"/>
          <w:spacing w:val="-11"/>
          <w:w w:val="105"/>
        </w:rPr>
        <w:t> </w:t>
      </w:r>
      <w:r>
        <w:rPr>
          <w:color w:val="231F20"/>
          <w:w w:val="105"/>
        </w:rPr>
        <w:t>más</w:t>
      </w:r>
      <w:r>
        <w:rPr>
          <w:color w:val="231F20"/>
          <w:spacing w:val="-11"/>
          <w:w w:val="105"/>
        </w:rPr>
        <w:t> </w:t>
      </w:r>
      <w:r>
        <w:rPr>
          <w:color w:val="231F20"/>
          <w:w w:val="105"/>
        </w:rPr>
        <w:t>vulnerables</w:t>
      </w:r>
      <w:r>
        <w:rPr>
          <w:color w:val="231F20"/>
          <w:spacing w:val="-11"/>
          <w:w w:val="105"/>
        </w:rPr>
        <w:t> </w:t>
      </w:r>
      <w:r>
        <w:rPr>
          <w:color w:val="231F20"/>
          <w:w w:val="105"/>
        </w:rPr>
        <w:t>y</w:t>
      </w:r>
      <w:r>
        <w:rPr>
          <w:color w:val="231F20"/>
          <w:spacing w:val="-11"/>
          <w:w w:val="105"/>
        </w:rPr>
        <w:t> </w:t>
      </w:r>
      <w:r>
        <w:rPr>
          <w:color w:val="231F20"/>
          <w:w w:val="105"/>
        </w:rPr>
        <w:t>a</w:t>
      </w:r>
      <w:r>
        <w:rPr>
          <w:color w:val="231F20"/>
          <w:spacing w:val="-11"/>
          <w:w w:val="105"/>
        </w:rPr>
        <w:t> </w:t>
      </w:r>
      <w:r>
        <w:rPr>
          <w:color w:val="231F20"/>
          <w:w w:val="105"/>
        </w:rPr>
        <w:t>contribuyentes</w:t>
      </w:r>
      <w:r>
        <w:rPr>
          <w:color w:val="231F20"/>
          <w:spacing w:val="-11"/>
          <w:w w:val="105"/>
        </w:rPr>
        <w:t> </w:t>
      </w:r>
      <w:r>
        <w:rPr>
          <w:color w:val="231F20"/>
          <w:w w:val="105"/>
        </w:rPr>
        <w:t>cumplidos, con</w:t>
      </w:r>
      <w:r>
        <w:rPr>
          <w:color w:val="231F20"/>
          <w:spacing w:val="-6"/>
          <w:w w:val="105"/>
        </w:rPr>
        <w:t> </w:t>
      </w:r>
      <w:r>
        <w:rPr>
          <w:color w:val="231F20"/>
          <w:w w:val="105"/>
        </w:rPr>
        <w:t>descuentos</w:t>
      </w:r>
      <w:r>
        <w:rPr>
          <w:color w:val="231F20"/>
          <w:spacing w:val="-6"/>
          <w:w w:val="105"/>
        </w:rPr>
        <w:t> </w:t>
      </w:r>
      <w:r>
        <w:rPr>
          <w:color w:val="231F20"/>
          <w:w w:val="105"/>
        </w:rPr>
        <w:t>de</w:t>
      </w:r>
      <w:r>
        <w:rPr>
          <w:color w:val="231F20"/>
          <w:spacing w:val="-6"/>
          <w:w w:val="105"/>
        </w:rPr>
        <w:t> </w:t>
      </w:r>
      <w:r>
        <w:rPr>
          <w:color w:val="231F20"/>
          <w:w w:val="105"/>
        </w:rPr>
        <w:t>hasta</w:t>
      </w:r>
      <w:r>
        <w:rPr>
          <w:color w:val="231F20"/>
          <w:spacing w:val="-6"/>
          <w:w w:val="105"/>
        </w:rPr>
        <w:t> </w:t>
      </w:r>
      <w:r>
        <w:rPr>
          <w:color w:val="231F20"/>
          <w:w w:val="105"/>
        </w:rPr>
        <w:t>el</w:t>
      </w:r>
      <w:r>
        <w:rPr>
          <w:color w:val="231F20"/>
          <w:spacing w:val="-6"/>
          <w:w w:val="105"/>
        </w:rPr>
        <w:t> </w:t>
      </w:r>
      <w:r>
        <w:rPr>
          <w:color w:val="231F20"/>
          <w:w w:val="105"/>
        </w:rPr>
        <w:t>50%</w:t>
      </w:r>
      <w:r>
        <w:rPr>
          <w:color w:val="231F20"/>
          <w:spacing w:val="-6"/>
          <w:w w:val="105"/>
        </w:rPr>
        <w:t> </w:t>
      </w:r>
      <w:r>
        <w:rPr>
          <w:color w:val="231F20"/>
          <w:w w:val="105"/>
        </w:rPr>
        <w:t>del</w:t>
      </w:r>
      <w:r>
        <w:rPr>
          <w:color w:val="231F20"/>
          <w:spacing w:val="-6"/>
          <w:w w:val="105"/>
        </w:rPr>
        <w:t> </w:t>
      </w:r>
      <w:r>
        <w:rPr>
          <w:color w:val="231F20"/>
          <w:w w:val="105"/>
        </w:rPr>
        <w:t>impuesto.</w:t>
      </w:r>
      <w:r>
        <w:rPr>
          <w:color w:val="231F20"/>
          <w:spacing w:val="-6"/>
          <w:w w:val="105"/>
        </w:rPr>
        <w:t> </w:t>
      </w:r>
      <w:r>
        <w:rPr>
          <w:color w:val="231F20"/>
          <w:w w:val="105"/>
        </w:rPr>
        <w:t>De</w:t>
      </w:r>
      <w:r>
        <w:rPr>
          <w:color w:val="231F20"/>
          <w:spacing w:val="-6"/>
          <w:w w:val="105"/>
        </w:rPr>
        <w:t> </w:t>
      </w:r>
      <w:r>
        <w:rPr>
          <w:color w:val="231F20"/>
          <w:w w:val="105"/>
        </w:rPr>
        <w:t>esta</w:t>
      </w:r>
      <w:r>
        <w:rPr>
          <w:color w:val="231F20"/>
          <w:spacing w:val="-6"/>
          <w:w w:val="105"/>
        </w:rPr>
        <w:t> </w:t>
      </w:r>
      <w:r>
        <w:rPr>
          <w:color w:val="231F20"/>
          <w:w w:val="105"/>
        </w:rPr>
        <w:t>manera</w:t>
      </w:r>
      <w:r>
        <w:rPr>
          <w:color w:val="231F20"/>
          <w:spacing w:val="-6"/>
          <w:w w:val="105"/>
        </w:rPr>
        <w:t> </w:t>
      </w:r>
      <w:r>
        <w:rPr>
          <w:color w:val="231F20"/>
          <w:w w:val="105"/>
        </w:rPr>
        <w:t>se</w:t>
      </w:r>
      <w:r>
        <w:rPr>
          <w:color w:val="231F20"/>
          <w:spacing w:val="-6"/>
          <w:w w:val="105"/>
        </w:rPr>
        <w:t> </w:t>
      </w:r>
      <w:r>
        <w:rPr>
          <w:color w:val="231F20"/>
          <w:w w:val="105"/>
        </w:rPr>
        <w:t>otorgaron</w:t>
      </w:r>
      <w:r>
        <w:rPr>
          <w:color w:val="231F20"/>
          <w:spacing w:val="-6"/>
          <w:w w:val="105"/>
        </w:rPr>
        <w:t> </w:t>
      </w:r>
      <w:r>
        <w:rPr>
          <w:color w:val="231F20"/>
          <w:w w:val="105"/>
        </w:rPr>
        <w:t>descuentos a</w:t>
      </w:r>
      <w:r>
        <w:rPr>
          <w:color w:val="231F20"/>
          <w:spacing w:val="-8"/>
          <w:w w:val="105"/>
        </w:rPr>
        <w:t> </w:t>
      </w:r>
      <w:r>
        <w:rPr>
          <w:color w:val="231F20"/>
          <w:w w:val="105"/>
        </w:rPr>
        <w:t>pensionados,</w:t>
      </w:r>
      <w:r>
        <w:rPr>
          <w:color w:val="231F20"/>
          <w:spacing w:val="-8"/>
          <w:w w:val="105"/>
        </w:rPr>
        <w:t> </w:t>
      </w:r>
      <w:r>
        <w:rPr>
          <w:color w:val="231F20"/>
          <w:w w:val="105"/>
        </w:rPr>
        <w:t>jubilados,</w:t>
      </w:r>
      <w:r>
        <w:rPr>
          <w:color w:val="231F20"/>
          <w:spacing w:val="-8"/>
          <w:w w:val="105"/>
        </w:rPr>
        <w:t> </w:t>
      </w:r>
      <w:r>
        <w:rPr>
          <w:color w:val="231F20"/>
          <w:w w:val="105"/>
        </w:rPr>
        <w:t>discapacitados,</w:t>
      </w:r>
      <w:r>
        <w:rPr>
          <w:color w:val="231F20"/>
          <w:spacing w:val="-8"/>
          <w:w w:val="105"/>
        </w:rPr>
        <w:t> </w:t>
      </w:r>
      <w:r>
        <w:rPr>
          <w:color w:val="231F20"/>
          <w:w w:val="105"/>
        </w:rPr>
        <w:t>personas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tercera</w:t>
      </w:r>
      <w:r>
        <w:rPr>
          <w:color w:val="231F20"/>
          <w:spacing w:val="-8"/>
          <w:w w:val="105"/>
        </w:rPr>
        <w:t> </w:t>
      </w:r>
      <w:r>
        <w:rPr>
          <w:color w:val="231F20"/>
          <w:w w:val="105"/>
        </w:rPr>
        <w:t>edad,</w:t>
      </w:r>
      <w:r>
        <w:rPr>
          <w:color w:val="231F20"/>
          <w:spacing w:val="-8"/>
          <w:w w:val="105"/>
        </w:rPr>
        <w:t> </w:t>
      </w:r>
      <w:r>
        <w:rPr>
          <w:color w:val="231F20"/>
          <w:w w:val="105"/>
        </w:rPr>
        <w:t>a</w:t>
      </w:r>
      <w:r>
        <w:rPr>
          <w:color w:val="231F20"/>
          <w:spacing w:val="-8"/>
          <w:w w:val="105"/>
        </w:rPr>
        <w:t> </w:t>
      </w:r>
      <w:r>
        <w:rPr>
          <w:color w:val="231F20"/>
          <w:w w:val="105"/>
        </w:rPr>
        <w:t>viudas</w:t>
      </w:r>
      <w:r>
        <w:rPr>
          <w:color w:val="231F20"/>
          <w:spacing w:val="-8"/>
          <w:w w:val="105"/>
        </w:rPr>
        <w:t> </w:t>
      </w:r>
      <w:r>
        <w:rPr>
          <w:color w:val="231F20"/>
          <w:w w:val="105"/>
        </w:rPr>
        <w:t>y</w:t>
      </w:r>
      <w:r>
        <w:rPr>
          <w:color w:val="231F20"/>
          <w:spacing w:val="-8"/>
          <w:w w:val="105"/>
        </w:rPr>
        <w:t> </w:t>
      </w:r>
      <w:r>
        <w:rPr>
          <w:color w:val="231F20"/>
          <w:w w:val="105"/>
        </w:rPr>
        <w:t>a</w:t>
      </w:r>
      <w:r>
        <w:rPr>
          <w:color w:val="231F20"/>
          <w:spacing w:val="-8"/>
          <w:w w:val="105"/>
        </w:rPr>
        <w:t> </w:t>
      </w:r>
      <w:r>
        <w:rPr>
          <w:color w:val="231F20"/>
          <w:w w:val="105"/>
        </w:rPr>
        <w:t>con- tribuyentes</w:t>
      </w:r>
      <w:r>
        <w:rPr>
          <w:color w:val="231F20"/>
          <w:spacing w:val="-11"/>
          <w:w w:val="105"/>
        </w:rPr>
        <w:t> </w:t>
      </w:r>
      <w:r>
        <w:rPr>
          <w:color w:val="231F20"/>
          <w:w w:val="105"/>
        </w:rPr>
        <w:t>cumplidos,</w:t>
      </w:r>
      <w:r>
        <w:rPr>
          <w:color w:val="231F20"/>
          <w:spacing w:val="-11"/>
          <w:w w:val="105"/>
        </w:rPr>
        <w:t> </w:t>
      </w:r>
      <w:r>
        <w:rPr>
          <w:color w:val="231F20"/>
          <w:w w:val="105"/>
        </w:rPr>
        <w:t>alcanzando</w:t>
      </w:r>
      <w:r>
        <w:rPr>
          <w:color w:val="231F20"/>
          <w:spacing w:val="-11"/>
          <w:w w:val="105"/>
        </w:rPr>
        <w:t> </w:t>
      </w:r>
      <w:r>
        <w:rPr>
          <w:color w:val="231F20"/>
          <w:w w:val="105"/>
        </w:rPr>
        <w:t>una</w:t>
      </w:r>
      <w:r>
        <w:rPr>
          <w:color w:val="231F20"/>
          <w:spacing w:val="-11"/>
          <w:w w:val="105"/>
        </w:rPr>
        <w:t> </w:t>
      </w:r>
      <w:r>
        <w:rPr>
          <w:color w:val="231F20"/>
          <w:w w:val="105"/>
        </w:rPr>
        <w:t>recaudación</w:t>
      </w:r>
      <w:r>
        <w:rPr>
          <w:color w:val="231F20"/>
          <w:spacing w:val="-11"/>
          <w:w w:val="105"/>
        </w:rPr>
        <w:t> </w:t>
      </w:r>
      <w:r>
        <w:rPr>
          <w:color w:val="231F20"/>
          <w:w w:val="105"/>
        </w:rPr>
        <w:t>de</w:t>
      </w:r>
      <w:r>
        <w:rPr>
          <w:color w:val="231F20"/>
          <w:spacing w:val="-11"/>
          <w:w w:val="105"/>
        </w:rPr>
        <w:t> </w:t>
      </w:r>
      <w:r>
        <w:rPr>
          <w:color w:val="231F20"/>
          <w:w w:val="105"/>
        </w:rPr>
        <w:t>$87,832,056.85</w:t>
      </w:r>
      <w:r>
        <w:rPr>
          <w:color w:val="231F20"/>
          <w:spacing w:val="-11"/>
          <w:w w:val="105"/>
        </w:rPr>
        <w:t> </w:t>
      </w:r>
      <w:r>
        <w:rPr>
          <w:color w:val="231F20"/>
          <w:w w:val="105"/>
        </w:rPr>
        <w:t>pesos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año </w:t>
      </w:r>
      <w:r>
        <w:rPr>
          <w:color w:val="231F20"/>
          <w:spacing w:val="2"/>
          <w:w w:val="105"/>
        </w:rPr>
        <w:t>2007</w:t>
      </w:r>
      <w:r>
        <w:rPr>
          <w:color w:val="231F20"/>
          <w:spacing w:val="-41"/>
          <w:w w:val="105"/>
        </w:rPr>
        <w:t> </w:t>
      </w:r>
      <w:r>
        <w:rPr>
          <w:color w:val="231F20"/>
          <w:w w:val="105"/>
        </w:rPr>
        <w:t>(Bautista</w:t>
      </w:r>
      <w:r>
        <w:rPr>
          <w:color w:val="231F20"/>
          <w:spacing w:val="-41"/>
          <w:w w:val="105"/>
        </w:rPr>
        <w:t> </w:t>
      </w:r>
      <w:r>
        <w:rPr>
          <w:color w:val="231F20"/>
          <w:w w:val="105"/>
        </w:rPr>
        <w:t>López,</w:t>
      </w:r>
      <w:r>
        <w:rPr>
          <w:color w:val="231F20"/>
          <w:spacing w:val="-41"/>
          <w:w w:val="105"/>
        </w:rPr>
        <w:t> </w:t>
      </w:r>
      <w:r>
        <w:rPr>
          <w:color w:val="231F20"/>
          <w:w w:val="105"/>
        </w:rPr>
        <w:t>2007).</w:t>
      </w:r>
    </w:p>
    <w:p>
      <w:pPr>
        <w:pStyle w:val="BodyText"/>
        <w:spacing w:before="1"/>
        <w:rPr>
          <w:sz w:val="26"/>
        </w:rPr>
      </w:pPr>
    </w:p>
    <w:p>
      <w:pPr>
        <w:pStyle w:val="BodyText"/>
        <w:spacing w:line="285" w:lineRule="auto"/>
        <w:ind w:left="110" w:right="108"/>
        <w:jc w:val="both"/>
      </w:pPr>
      <w:r>
        <w:rPr>
          <w:color w:val="231F20"/>
          <w:w w:val="105"/>
        </w:rPr>
        <w:t>Cabe</w:t>
      </w:r>
      <w:r>
        <w:rPr>
          <w:color w:val="231F20"/>
          <w:spacing w:val="-13"/>
          <w:w w:val="105"/>
        </w:rPr>
        <w:t> </w:t>
      </w:r>
      <w:r>
        <w:rPr>
          <w:color w:val="231F20"/>
          <w:w w:val="105"/>
        </w:rPr>
        <w:t>mencionar</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dependencia</w:t>
      </w:r>
      <w:r>
        <w:rPr>
          <w:color w:val="231F20"/>
          <w:spacing w:val="-13"/>
          <w:w w:val="105"/>
        </w:rPr>
        <w:t> </w:t>
      </w:r>
      <w:r>
        <w:rPr>
          <w:color w:val="231F20"/>
          <w:w w:val="105"/>
        </w:rPr>
        <w:t>financiera</w:t>
      </w:r>
      <w:r>
        <w:rPr>
          <w:color w:val="231F20"/>
          <w:spacing w:val="-13"/>
          <w:w w:val="105"/>
        </w:rPr>
        <w:t> </w:t>
      </w:r>
      <w:r>
        <w:rPr>
          <w:color w:val="231F20"/>
          <w:w w:val="105"/>
        </w:rPr>
        <w:t>del</w:t>
      </w:r>
      <w:r>
        <w:rPr>
          <w:color w:val="231F20"/>
          <w:spacing w:val="-13"/>
          <w:w w:val="105"/>
        </w:rPr>
        <w:t> </w:t>
      </w:r>
      <w:r>
        <w:rPr>
          <w:color w:val="231F20"/>
          <w:w w:val="105"/>
        </w:rPr>
        <w:t>municipio</w:t>
      </w:r>
      <w:r>
        <w:rPr>
          <w:color w:val="231F20"/>
          <w:spacing w:val="-13"/>
          <w:w w:val="105"/>
        </w:rPr>
        <w:t> </w:t>
      </w:r>
      <w:r>
        <w:rPr>
          <w:color w:val="231F20"/>
          <w:w w:val="105"/>
        </w:rPr>
        <w:t>se</w:t>
      </w:r>
      <w:r>
        <w:rPr>
          <w:color w:val="231F20"/>
          <w:spacing w:val="-13"/>
          <w:w w:val="105"/>
        </w:rPr>
        <w:t> </w:t>
      </w:r>
      <w:r>
        <w:rPr>
          <w:color w:val="231F20"/>
          <w:w w:val="105"/>
        </w:rPr>
        <w:t>acentuó</w:t>
      </w:r>
      <w:r>
        <w:rPr>
          <w:color w:val="231F20"/>
          <w:spacing w:val="-13"/>
          <w:w w:val="105"/>
        </w:rPr>
        <w:t> </w:t>
      </w:r>
      <w:r>
        <w:rPr>
          <w:color w:val="231F20"/>
          <w:w w:val="105"/>
        </w:rPr>
        <w:t>prácticamente desde</w:t>
      </w:r>
      <w:r>
        <w:rPr>
          <w:color w:val="231F20"/>
          <w:spacing w:val="-14"/>
          <w:w w:val="105"/>
        </w:rPr>
        <w:t> </w:t>
      </w:r>
      <w:r>
        <w:rPr>
          <w:color w:val="231F20"/>
          <w:w w:val="105"/>
        </w:rPr>
        <w:t>el</w:t>
      </w:r>
      <w:r>
        <w:rPr>
          <w:color w:val="231F20"/>
          <w:spacing w:val="-14"/>
          <w:w w:val="105"/>
        </w:rPr>
        <w:t> </w:t>
      </w:r>
      <w:r>
        <w:rPr>
          <w:color w:val="231F20"/>
          <w:w w:val="105"/>
        </w:rPr>
        <w:t>inicio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administraciones</w:t>
      </w:r>
      <w:r>
        <w:rPr>
          <w:color w:val="231F20"/>
          <w:spacing w:val="-14"/>
          <w:w w:val="105"/>
        </w:rPr>
        <w:t> </w:t>
      </w:r>
      <w:r>
        <w:rPr>
          <w:color w:val="231F20"/>
          <w:w w:val="105"/>
        </w:rPr>
        <w:t>perredistas,</w:t>
      </w:r>
      <w:r>
        <w:rPr>
          <w:color w:val="231F20"/>
          <w:spacing w:val="-14"/>
          <w:w w:val="105"/>
        </w:rPr>
        <w:t> </w:t>
      </w:r>
      <w:r>
        <w:rPr>
          <w:color w:val="231F20"/>
          <w:w w:val="105"/>
        </w:rPr>
        <w:t>pues</w:t>
      </w:r>
      <w:r>
        <w:rPr>
          <w:color w:val="231F20"/>
          <w:spacing w:val="-14"/>
          <w:w w:val="105"/>
        </w:rPr>
        <w:t> </w:t>
      </w:r>
      <w:r>
        <w:rPr>
          <w:color w:val="231F20"/>
          <w:w w:val="105"/>
        </w:rPr>
        <w:t>éstas</w:t>
      </w:r>
      <w:r>
        <w:rPr>
          <w:color w:val="231F20"/>
          <w:spacing w:val="-14"/>
          <w:w w:val="105"/>
        </w:rPr>
        <w:t> </w:t>
      </w:r>
      <w:r>
        <w:rPr>
          <w:color w:val="231F20"/>
          <w:w w:val="105"/>
        </w:rPr>
        <w:t>se</w:t>
      </w:r>
      <w:r>
        <w:rPr>
          <w:color w:val="231F20"/>
          <w:spacing w:val="-14"/>
          <w:w w:val="105"/>
        </w:rPr>
        <w:t> </w:t>
      </w:r>
      <w:r>
        <w:rPr>
          <w:color w:val="231F20"/>
          <w:w w:val="105"/>
        </w:rPr>
        <w:t>vieron</w:t>
      </w:r>
      <w:r>
        <w:rPr>
          <w:color w:val="231F20"/>
          <w:spacing w:val="-14"/>
          <w:w w:val="105"/>
        </w:rPr>
        <w:t> </w:t>
      </w:r>
      <w:r>
        <w:rPr>
          <w:color w:val="231F20"/>
          <w:w w:val="105"/>
        </w:rPr>
        <w:t>favorecidas</w:t>
      </w:r>
      <w:r>
        <w:rPr>
          <w:color w:val="231F20"/>
          <w:spacing w:val="-14"/>
          <w:w w:val="105"/>
        </w:rPr>
        <w:t> </w:t>
      </w:r>
      <w:r>
        <w:rPr>
          <w:color w:val="231F20"/>
          <w:w w:val="105"/>
        </w:rPr>
        <w:t>con las</w:t>
      </w:r>
      <w:r>
        <w:rPr>
          <w:color w:val="231F20"/>
          <w:spacing w:val="-21"/>
          <w:w w:val="105"/>
        </w:rPr>
        <w:t> </w:t>
      </w:r>
      <w:r>
        <w:rPr>
          <w:color w:val="231F20"/>
          <w:w w:val="105"/>
        </w:rPr>
        <w:t>reformas</w:t>
      </w:r>
      <w:r>
        <w:rPr>
          <w:color w:val="231F20"/>
          <w:spacing w:val="-21"/>
          <w:w w:val="105"/>
        </w:rPr>
        <w:t> </w:t>
      </w:r>
      <w:r>
        <w:rPr>
          <w:color w:val="231F20"/>
          <w:w w:val="105"/>
        </w:rPr>
        <w:t>municipales</w:t>
      </w:r>
      <w:r>
        <w:rPr>
          <w:color w:val="231F20"/>
          <w:spacing w:val="-21"/>
          <w:w w:val="105"/>
        </w:rPr>
        <w:t> </w:t>
      </w:r>
      <w:r>
        <w:rPr>
          <w:color w:val="231F20"/>
          <w:w w:val="105"/>
        </w:rPr>
        <w:t>en</w:t>
      </w:r>
      <w:r>
        <w:rPr>
          <w:color w:val="231F20"/>
          <w:spacing w:val="-21"/>
          <w:w w:val="105"/>
        </w:rPr>
        <w:t> </w:t>
      </w:r>
      <w:r>
        <w:rPr>
          <w:color w:val="231F20"/>
          <w:w w:val="105"/>
        </w:rPr>
        <w:t>materia</w:t>
      </w:r>
      <w:r>
        <w:rPr>
          <w:color w:val="231F20"/>
          <w:spacing w:val="-21"/>
          <w:w w:val="105"/>
        </w:rPr>
        <w:t> </w:t>
      </w:r>
      <w:r>
        <w:rPr>
          <w:color w:val="231F20"/>
          <w:spacing w:val="2"/>
          <w:w w:val="105"/>
        </w:rPr>
        <w:t>fiscal</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implementaron</w:t>
      </w:r>
      <w:r>
        <w:rPr>
          <w:color w:val="231F20"/>
          <w:spacing w:val="-21"/>
          <w:w w:val="105"/>
        </w:rPr>
        <w:t> </w:t>
      </w:r>
      <w:r>
        <w:rPr>
          <w:color w:val="231F20"/>
          <w:w w:val="105"/>
        </w:rPr>
        <w:t>en</w:t>
      </w:r>
      <w:r>
        <w:rPr>
          <w:color w:val="231F20"/>
          <w:spacing w:val="-21"/>
          <w:w w:val="105"/>
        </w:rPr>
        <w:t> </w:t>
      </w:r>
      <w:r>
        <w:rPr>
          <w:color w:val="231F20"/>
          <w:w w:val="105"/>
        </w:rPr>
        <w:t>1998,</w:t>
      </w:r>
      <w:r>
        <w:rPr>
          <w:color w:val="231F20"/>
          <w:spacing w:val="-21"/>
          <w:w w:val="105"/>
        </w:rPr>
        <w:t> </w:t>
      </w:r>
      <w:r>
        <w:rPr>
          <w:color w:val="231F20"/>
          <w:w w:val="105"/>
        </w:rPr>
        <w:t>en</w:t>
      </w:r>
      <w:r>
        <w:rPr>
          <w:color w:val="231F20"/>
          <w:spacing w:val="-21"/>
          <w:w w:val="105"/>
        </w:rPr>
        <w:t> </w:t>
      </w:r>
      <w:r>
        <w:rPr>
          <w:color w:val="231F20"/>
          <w:w w:val="105"/>
        </w:rPr>
        <w:t>cuanto</w:t>
      </w:r>
      <w:r>
        <w:rPr>
          <w:color w:val="231F20"/>
          <w:spacing w:val="-21"/>
          <w:w w:val="105"/>
        </w:rPr>
        <w:t> </w:t>
      </w:r>
      <w:r>
        <w:rPr>
          <w:color w:val="231F20"/>
          <w:w w:val="105"/>
        </w:rPr>
        <w:t>a</w:t>
      </w:r>
      <w:r>
        <w:rPr>
          <w:color w:val="231F20"/>
          <w:spacing w:val="-21"/>
          <w:w w:val="105"/>
        </w:rPr>
        <w:t> </w:t>
      </w:r>
      <w:r>
        <w:rPr>
          <w:color w:val="231F20"/>
          <w:w w:val="105"/>
        </w:rPr>
        <w:t>la descentralización</w:t>
      </w:r>
      <w:r>
        <w:rPr>
          <w:color w:val="231F20"/>
          <w:spacing w:val="-13"/>
          <w:w w:val="105"/>
        </w:rPr>
        <w:t> </w:t>
      </w:r>
      <w:r>
        <w:rPr>
          <w:color w:val="231F20"/>
          <w:w w:val="105"/>
        </w:rPr>
        <w:t>de</w:t>
      </w:r>
      <w:r>
        <w:rPr>
          <w:color w:val="231F20"/>
          <w:spacing w:val="-13"/>
          <w:w w:val="105"/>
        </w:rPr>
        <w:t> </w:t>
      </w:r>
      <w:r>
        <w:rPr>
          <w:color w:val="231F20"/>
          <w:w w:val="105"/>
        </w:rPr>
        <w:t>ingresos</w:t>
      </w:r>
      <w:r>
        <w:rPr>
          <w:color w:val="231F20"/>
          <w:spacing w:val="-13"/>
          <w:w w:val="105"/>
        </w:rPr>
        <w:t> </w:t>
      </w:r>
      <w:r>
        <w:rPr>
          <w:color w:val="231F20"/>
          <w:w w:val="105"/>
        </w:rPr>
        <w:t>fiscales</w:t>
      </w:r>
      <w:r>
        <w:rPr>
          <w:color w:val="231F20"/>
          <w:spacing w:val="-13"/>
          <w:w w:val="105"/>
        </w:rPr>
        <w:t> </w:t>
      </w:r>
      <w:r>
        <w:rPr>
          <w:color w:val="231F20"/>
          <w:w w:val="105"/>
        </w:rPr>
        <w:t>provenientes</w:t>
      </w:r>
      <w:r>
        <w:rPr>
          <w:color w:val="231F20"/>
          <w:spacing w:val="-13"/>
          <w:w w:val="105"/>
        </w:rPr>
        <w:t> </w:t>
      </w:r>
      <w:r>
        <w:rPr>
          <w:color w:val="231F20"/>
          <w:w w:val="105"/>
        </w:rPr>
        <w:t>del</w:t>
      </w:r>
      <w:r>
        <w:rPr>
          <w:color w:val="231F20"/>
          <w:spacing w:val="-13"/>
          <w:w w:val="105"/>
        </w:rPr>
        <w:t> </w:t>
      </w:r>
      <w:r>
        <w:rPr>
          <w:color w:val="231F20"/>
          <w:w w:val="105"/>
        </w:rPr>
        <w:t>gobierno</w:t>
      </w:r>
      <w:r>
        <w:rPr>
          <w:color w:val="231F20"/>
          <w:spacing w:val="-13"/>
          <w:w w:val="105"/>
        </w:rPr>
        <w:t> </w:t>
      </w:r>
      <w:r>
        <w:rPr>
          <w:color w:val="231F20"/>
          <w:w w:val="105"/>
        </w:rPr>
        <w:t>federal,</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los </w:t>
      </w:r>
      <w:r>
        <w:rPr>
          <w:color w:val="231F20"/>
          <w:spacing w:val="-3"/>
          <w:w w:val="105"/>
        </w:rPr>
        <w:t>Fondos </w:t>
      </w:r>
      <w:r>
        <w:rPr>
          <w:color w:val="231F20"/>
          <w:w w:val="105"/>
        </w:rPr>
        <w:t>de Infraestructura Social Municipal y de Aportaciones para el Fortalecimiento de</w:t>
      </w:r>
      <w:r>
        <w:rPr>
          <w:color w:val="231F20"/>
          <w:spacing w:val="-14"/>
          <w:w w:val="105"/>
        </w:rPr>
        <w:t> </w:t>
      </w:r>
      <w:r>
        <w:rPr>
          <w:color w:val="231F20"/>
          <w:w w:val="105"/>
        </w:rPr>
        <w:t>los</w:t>
      </w:r>
      <w:r>
        <w:rPr>
          <w:color w:val="231F20"/>
          <w:spacing w:val="-14"/>
          <w:w w:val="105"/>
        </w:rPr>
        <w:t> </w:t>
      </w:r>
      <w:r>
        <w:rPr>
          <w:color w:val="231F20"/>
          <w:w w:val="105"/>
        </w:rPr>
        <w:t>Municipios.</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representó</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un</w:t>
      </w:r>
      <w:r>
        <w:rPr>
          <w:color w:val="231F20"/>
          <w:spacing w:val="-14"/>
          <w:w w:val="105"/>
        </w:rPr>
        <w:t> </w:t>
      </w:r>
      <w:r>
        <w:rPr>
          <w:color w:val="231F20"/>
          <w:w w:val="105"/>
        </w:rPr>
        <w:t>gran</w:t>
      </w:r>
      <w:r>
        <w:rPr>
          <w:color w:val="231F20"/>
          <w:spacing w:val="-14"/>
          <w:w w:val="105"/>
        </w:rPr>
        <w:t> </w:t>
      </w:r>
      <w:r>
        <w:rPr>
          <w:color w:val="231F20"/>
          <w:w w:val="105"/>
        </w:rPr>
        <w:t>incremento</w:t>
      </w:r>
      <w:r>
        <w:rPr>
          <w:color w:val="231F20"/>
          <w:spacing w:val="-14"/>
          <w:w w:val="105"/>
        </w:rPr>
        <w:t> </w:t>
      </w:r>
      <w:r>
        <w:rPr>
          <w:color w:val="231F20"/>
          <w:w w:val="105"/>
        </w:rPr>
        <w:t>de</w:t>
      </w:r>
      <w:r>
        <w:rPr>
          <w:color w:val="231F20"/>
          <w:spacing w:val="-14"/>
          <w:w w:val="105"/>
        </w:rPr>
        <w:t> </w:t>
      </w:r>
      <w:r>
        <w:rPr>
          <w:color w:val="231F20"/>
          <w:w w:val="105"/>
        </w:rPr>
        <w:t>recursos por</w:t>
      </w:r>
      <w:r>
        <w:rPr>
          <w:color w:val="231F20"/>
          <w:spacing w:val="-17"/>
          <w:w w:val="105"/>
        </w:rPr>
        <w:t> </w:t>
      </w:r>
      <w:r>
        <w:rPr>
          <w:color w:val="231F20"/>
          <w:w w:val="105"/>
        </w:rPr>
        <w:t>medio</w:t>
      </w:r>
      <w:r>
        <w:rPr>
          <w:color w:val="231F20"/>
          <w:spacing w:val="-17"/>
          <w:w w:val="105"/>
        </w:rPr>
        <w:t> </w:t>
      </w:r>
      <w:r>
        <w:rPr>
          <w:color w:val="231F20"/>
          <w:w w:val="105"/>
        </w:rPr>
        <w:t>del</w:t>
      </w:r>
      <w:r>
        <w:rPr>
          <w:color w:val="231F20"/>
          <w:spacing w:val="-17"/>
          <w:w w:val="105"/>
        </w:rPr>
        <w:t> </w:t>
      </w:r>
      <w:r>
        <w:rPr>
          <w:color w:val="231F20"/>
          <w:w w:val="105"/>
        </w:rPr>
        <w:t>Ramo</w:t>
      </w:r>
      <w:r>
        <w:rPr>
          <w:color w:val="231F20"/>
          <w:spacing w:val="-17"/>
          <w:w w:val="105"/>
        </w:rPr>
        <w:t> </w:t>
      </w:r>
      <w:r>
        <w:rPr>
          <w:color w:val="231F20"/>
          <w:w w:val="105"/>
        </w:rPr>
        <w:t>33,</w:t>
      </w:r>
      <w:r>
        <w:rPr>
          <w:color w:val="231F20"/>
          <w:spacing w:val="-17"/>
          <w:w w:val="105"/>
        </w:rPr>
        <w:t> </w:t>
      </w:r>
      <w:r>
        <w:rPr>
          <w:color w:val="231F20"/>
          <w:spacing w:val="2"/>
          <w:w w:val="105"/>
        </w:rPr>
        <w:t>al</w:t>
      </w:r>
      <w:r>
        <w:rPr>
          <w:color w:val="231F20"/>
          <w:spacing w:val="-17"/>
          <w:w w:val="105"/>
        </w:rPr>
        <w:t> </w:t>
      </w:r>
      <w:r>
        <w:rPr>
          <w:color w:val="231F20"/>
          <w:w w:val="105"/>
        </w:rPr>
        <w:t>recibir</w:t>
      </w:r>
      <w:r>
        <w:rPr>
          <w:color w:val="231F20"/>
          <w:spacing w:val="-17"/>
          <w:w w:val="105"/>
        </w:rPr>
        <w:t> </w:t>
      </w:r>
      <w:r>
        <w:rPr>
          <w:color w:val="231F20"/>
          <w:w w:val="105"/>
        </w:rPr>
        <w:t>más</w:t>
      </w:r>
      <w:r>
        <w:rPr>
          <w:color w:val="231F20"/>
          <w:spacing w:val="-17"/>
          <w:w w:val="105"/>
        </w:rPr>
        <w:t> </w:t>
      </w:r>
      <w:r>
        <w:rPr>
          <w:color w:val="231F20"/>
          <w:w w:val="105"/>
        </w:rPr>
        <w:t>de</w:t>
      </w:r>
      <w:r>
        <w:rPr>
          <w:color w:val="231F20"/>
          <w:spacing w:val="-17"/>
          <w:w w:val="105"/>
        </w:rPr>
        <w:t> </w:t>
      </w:r>
      <w:r>
        <w:rPr>
          <w:color w:val="231F20"/>
          <w:spacing w:val="-3"/>
          <w:w w:val="105"/>
        </w:rPr>
        <w:t>121</w:t>
      </w:r>
      <w:r>
        <w:rPr>
          <w:color w:val="231F20"/>
          <w:spacing w:val="-17"/>
          <w:w w:val="105"/>
        </w:rPr>
        <w:t> </w:t>
      </w:r>
      <w:r>
        <w:rPr>
          <w:color w:val="231F20"/>
          <w:w w:val="105"/>
        </w:rPr>
        <w:t>millones</w:t>
      </w:r>
      <w:r>
        <w:rPr>
          <w:color w:val="231F20"/>
          <w:spacing w:val="-17"/>
          <w:w w:val="105"/>
        </w:rPr>
        <w:t> </w:t>
      </w:r>
      <w:r>
        <w:rPr>
          <w:color w:val="231F20"/>
          <w:w w:val="105"/>
        </w:rPr>
        <w:t>de</w:t>
      </w:r>
      <w:r>
        <w:rPr>
          <w:color w:val="231F20"/>
          <w:spacing w:val="-17"/>
          <w:w w:val="105"/>
        </w:rPr>
        <w:t> </w:t>
      </w:r>
      <w:r>
        <w:rPr>
          <w:color w:val="231F20"/>
          <w:w w:val="105"/>
        </w:rPr>
        <w:t>pesos</w:t>
      </w:r>
      <w:r>
        <w:rPr>
          <w:color w:val="231F20"/>
          <w:spacing w:val="-17"/>
          <w:w w:val="105"/>
        </w:rPr>
        <w:t> </w:t>
      </w:r>
      <w:r>
        <w:rPr>
          <w:color w:val="231F20"/>
          <w:w w:val="105"/>
        </w:rPr>
        <w:t>en</w:t>
      </w:r>
      <w:r>
        <w:rPr>
          <w:color w:val="231F20"/>
          <w:spacing w:val="-17"/>
          <w:w w:val="105"/>
        </w:rPr>
        <w:t> </w:t>
      </w:r>
      <w:r>
        <w:rPr>
          <w:color w:val="231F20"/>
          <w:w w:val="105"/>
        </w:rPr>
        <w:t>comparación</w:t>
      </w:r>
      <w:r>
        <w:rPr>
          <w:color w:val="231F20"/>
          <w:spacing w:val="-17"/>
          <w:w w:val="105"/>
        </w:rPr>
        <w:t> </w:t>
      </w:r>
      <w:r>
        <w:rPr>
          <w:color w:val="231F20"/>
          <w:w w:val="105"/>
        </w:rPr>
        <w:t>con</w:t>
      </w:r>
      <w:r>
        <w:rPr>
          <w:color w:val="231F20"/>
          <w:spacing w:val="-17"/>
          <w:w w:val="105"/>
        </w:rPr>
        <w:t> </w:t>
      </w:r>
      <w:r>
        <w:rPr>
          <w:color w:val="231F20"/>
          <w:w w:val="105"/>
        </w:rPr>
        <w:t>los 27 millones de pesos que se habían recibido en 1997 a través del Ramo 26 (Gaceta de </w:t>
      </w:r>
      <w:r>
        <w:rPr>
          <w:color w:val="231F20"/>
          <w:spacing w:val="-3"/>
          <w:w w:val="105"/>
        </w:rPr>
        <w:t>Ciudad</w:t>
      </w:r>
      <w:r>
        <w:rPr>
          <w:color w:val="231F20"/>
          <w:spacing w:val="-37"/>
          <w:w w:val="105"/>
        </w:rPr>
        <w:t> </w:t>
      </w:r>
      <w:r>
        <w:rPr>
          <w:color w:val="231F20"/>
          <w:w w:val="105"/>
        </w:rPr>
        <w:t>Nezahualcóyotl,</w:t>
      </w:r>
      <w:r>
        <w:rPr>
          <w:color w:val="231F20"/>
          <w:spacing w:val="-37"/>
          <w:w w:val="105"/>
        </w:rPr>
        <w:t> </w:t>
      </w:r>
      <w:r>
        <w:rPr>
          <w:color w:val="231F20"/>
          <w:spacing w:val="-4"/>
          <w:w w:val="105"/>
        </w:rPr>
        <w:t>1998).</w:t>
      </w:r>
    </w:p>
    <w:p>
      <w:pPr>
        <w:pStyle w:val="BodyText"/>
        <w:spacing w:before="1"/>
        <w:rPr>
          <w:sz w:val="26"/>
        </w:rPr>
      </w:pPr>
    </w:p>
    <w:p>
      <w:pPr>
        <w:pStyle w:val="BodyText"/>
        <w:spacing w:line="285" w:lineRule="auto"/>
        <w:ind w:left="110" w:right="107"/>
        <w:jc w:val="both"/>
      </w:pPr>
      <w:r>
        <w:rPr>
          <w:color w:val="231F20"/>
          <w:w w:val="105"/>
        </w:rPr>
        <w:t>Con este incremento de recursos económicos las administraciones perredistas en Ne- zahualcóyotl</w:t>
      </w:r>
      <w:r>
        <w:rPr>
          <w:color w:val="231F20"/>
          <w:spacing w:val="-14"/>
          <w:w w:val="105"/>
        </w:rPr>
        <w:t> </w:t>
      </w:r>
      <w:r>
        <w:rPr>
          <w:color w:val="231F20"/>
          <w:w w:val="105"/>
        </w:rPr>
        <w:t>han</w:t>
      </w:r>
      <w:r>
        <w:rPr>
          <w:color w:val="231F20"/>
          <w:spacing w:val="-14"/>
          <w:w w:val="105"/>
        </w:rPr>
        <w:t> </w:t>
      </w:r>
      <w:r>
        <w:rPr>
          <w:color w:val="231F20"/>
          <w:w w:val="105"/>
        </w:rPr>
        <w:t>estado</w:t>
      </w:r>
      <w:r>
        <w:rPr>
          <w:color w:val="231F20"/>
          <w:spacing w:val="-14"/>
          <w:w w:val="105"/>
        </w:rPr>
        <w:t> </w:t>
      </w:r>
      <w:r>
        <w:rPr>
          <w:color w:val="231F20"/>
          <w:w w:val="105"/>
        </w:rPr>
        <w:t>en</w:t>
      </w:r>
      <w:r>
        <w:rPr>
          <w:color w:val="231F20"/>
          <w:spacing w:val="-14"/>
          <w:w w:val="105"/>
        </w:rPr>
        <w:t> </w:t>
      </w:r>
      <w:r>
        <w:rPr>
          <w:color w:val="231F20"/>
          <w:w w:val="105"/>
        </w:rPr>
        <w:t>posibilidades</w:t>
      </w:r>
      <w:r>
        <w:rPr>
          <w:color w:val="231F20"/>
          <w:spacing w:val="-14"/>
          <w:w w:val="105"/>
        </w:rPr>
        <w:t> </w:t>
      </w:r>
      <w:r>
        <w:rPr>
          <w:color w:val="231F20"/>
          <w:w w:val="105"/>
        </w:rPr>
        <w:t>de</w:t>
      </w:r>
      <w:r>
        <w:rPr>
          <w:color w:val="231F20"/>
          <w:spacing w:val="-14"/>
          <w:w w:val="105"/>
        </w:rPr>
        <w:t> </w:t>
      </w:r>
      <w:r>
        <w:rPr>
          <w:color w:val="231F20"/>
          <w:w w:val="105"/>
        </w:rPr>
        <w:t>direccionar</w:t>
      </w:r>
      <w:r>
        <w:rPr>
          <w:color w:val="231F20"/>
          <w:spacing w:val="-14"/>
          <w:w w:val="105"/>
        </w:rPr>
        <w:t> </w:t>
      </w:r>
      <w:r>
        <w:rPr>
          <w:color w:val="231F20"/>
          <w:w w:val="105"/>
        </w:rPr>
        <w:t>gran</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dichos</w:t>
      </w:r>
      <w:r>
        <w:rPr>
          <w:color w:val="231F20"/>
          <w:spacing w:val="-14"/>
          <w:w w:val="105"/>
        </w:rPr>
        <w:t> </w:t>
      </w:r>
      <w:r>
        <w:rPr>
          <w:color w:val="231F20"/>
          <w:w w:val="105"/>
        </w:rPr>
        <w:t>recursos</w:t>
      </w:r>
      <w:r>
        <w:rPr>
          <w:color w:val="231F20"/>
          <w:spacing w:val="-14"/>
          <w:w w:val="105"/>
        </w:rPr>
        <w:t> </w:t>
      </w:r>
      <w:r>
        <w:rPr>
          <w:color w:val="231F20"/>
          <w:w w:val="105"/>
        </w:rPr>
        <w:t>a infraestructura</w:t>
      </w:r>
      <w:r>
        <w:rPr>
          <w:color w:val="231F20"/>
          <w:spacing w:val="-10"/>
          <w:w w:val="105"/>
        </w:rPr>
        <w:t> </w:t>
      </w:r>
      <w:r>
        <w:rPr>
          <w:color w:val="231F20"/>
          <w:w w:val="105"/>
        </w:rPr>
        <w:t>básica</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servicios</w:t>
      </w:r>
      <w:r>
        <w:rPr>
          <w:color w:val="231F20"/>
          <w:spacing w:val="-10"/>
          <w:w w:val="105"/>
        </w:rPr>
        <w:t> </w:t>
      </w:r>
      <w:r>
        <w:rPr>
          <w:color w:val="231F20"/>
          <w:w w:val="105"/>
        </w:rPr>
        <w:t>públicos</w:t>
      </w:r>
      <w:r>
        <w:rPr>
          <w:color w:val="231F20"/>
          <w:spacing w:val="-10"/>
          <w:w w:val="105"/>
        </w:rPr>
        <w:t> </w:t>
      </w:r>
      <w:r>
        <w:rPr>
          <w:color w:val="231F20"/>
          <w:w w:val="105"/>
        </w:rPr>
        <w:t>primarios</w:t>
      </w:r>
      <w:r>
        <w:rPr>
          <w:color w:val="231F20"/>
          <w:spacing w:val="-10"/>
          <w:w w:val="105"/>
        </w:rPr>
        <w:t> </w:t>
      </w:r>
      <w:r>
        <w:rPr>
          <w:color w:val="231F20"/>
          <w:w w:val="105"/>
        </w:rPr>
        <w:t>como</w:t>
      </w:r>
      <w:r>
        <w:rPr>
          <w:color w:val="231F20"/>
          <w:spacing w:val="-10"/>
          <w:w w:val="105"/>
        </w:rPr>
        <w:t> </w:t>
      </w:r>
      <w:r>
        <w:rPr>
          <w:color w:val="231F20"/>
          <w:w w:val="105"/>
        </w:rPr>
        <w:t>agua</w:t>
      </w:r>
      <w:r>
        <w:rPr>
          <w:color w:val="231F20"/>
          <w:spacing w:val="-10"/>
          <w:w w:val="105"/>
        </w:rPr>
        <w:t> </w:t>
      </w:r>
      <w:r>
        <w:rPr>
          <w:color w:val="231F20"/>
          <w:w w:val="105"/>
        </w:rPr>
        <w:t>potable,</w:t>
      </w:r>
      <w:r>
        <w:rPr>
          <w:color w:val="231F20"/>
          <w:spacing w:val="-10"/>
          <w:w w:val="105"/>
        </w:rPr>
        <w:t> </w:t>
      </w:r>
      <w:r>
        <w:rPr>
          <w:color w:val="231F20"/>
          <w:w w:val="105"/>
        </w:rPr>
        <w:t>alcantarilla- do,</w:t>
      </w:r>
      <w:r>
        <w:rPr>
          <w:color w:val="231F20"/>
          <w:spacing w:val="-17"/>
          <w:w w:val="105"/>
        </w:rPr>
        <w:t> </w:t>
      </w:r>
      <w:r>
        <w:rPr>
          <w:color w:val="231F20"/>
          <w:w w:val="105"/>
        </w:rPr>
        <w:t>drenaje,</w:t>
      </w:r>
      <w:r>
        <w:rPr>
          <w:color w:val="231F20"/>
          <w:spacing w:val="-17"/>
          <w:w w:val="105"/>
        </w:rPr>
        <w:t> </w:t>
      </w:r>
      <w:r>
        <w:rPr>
          <w:color w:val="231F20"/>
          <w:w w:val="105"/>
        </w:rPr>
        <w:t>pavimentación</w:t>
      </w:r>
      <w:r>
        <w:rPr>
          <w:color w:val="231F20"/>
          <w:spacing w:val="-17"/>
          <w:w w:val="105"/>
        </w:rPr>
        <w:t> </w:t>
      </w:r>
      <w:r>
        <w:rPr>
          <w:color w:val="231F20"/>
          <w:w w:val="105"/>
        </w:rPr>
        <w:t>y</w:t>
      </w:r>
      <w:r>
        <w:rPr>
          <w:color w:val="231F20"/>
          <w:spacing w:val="-17"/>
          <w:w w:val="105"/>
        </w:rPr>
        <w:t> </w:t>
      </w:r>
      <w:r>
        <w:rPr>
          <w:color w:val="231F20"/>
          <w:w w:val="105"/>
        </w:rPr>
        <w:t>bacheo,</w:t>
      </w:r>
      <w:r>
        <w:rPr>
          <w:color w:val="231F20"/>
          <w:spacing w:val="-17"/>
          <w:w w:val="105"/>
        </w:rPr>
        <w:t> </w:t>
      </w:r>
      <w:r>
        <w:rPr>
          <w:color w:val="231F20"/>
          <w:w w:val="105"/>
        </w:rPr>
        <w:t>mantenimiento</w:t>
      </w:r>
      <w:r>
        <w:rPr>
          <w:color w:val="231F20"/>
          <w:spacing w:val="-17"/>
          <w:w w:val="105"/>
        </w:rPr>
        <w:t> </w:t>
      </w:r>
      <w:r>
        <w:rPr>
          <w:color w:val="231F20"/>
          <w:w w:val="105"/>
        </w:rPr>
        <w:t>y</w:t>
      </w:r>
      <w:r>
        <w:rPr>
          <w:color w:val="231F20"/>
          <w:spacing w:val="-17"/>
          <w:w w:val="105"/>
        </w:rPr>
        <w:t> </w:t>
      </w:r>
      <w:r>
        <w:rPr>
          <w:color w:val="231F20"/>
          <w:w w:val="105"/>
        </w:rPr>
        <w:t>remodelación</w:t>
      </w:r>
      <w:r>
        <w:rPr>
          <w:color w:val="231F20"/>
          <w:spacing w:val="-17"/>
          <w:w w:val="105"/>
        </w:rPr>
        <w:t> </w:t>
      </w:r>
      <w:r>
        <w:rPr>
          <w:color w:val="231F20"/>
          <w:w w:val="105"/>
        </w:rPr>
        <w:t>de</w:t>
      </w:r>
      <w:r>
        <w:rPr>
          <w:color w:val="231F20"/>
          <w:spacing w:val="-17"/>
          <w:w w:val="105"/>
        </w:rPr>
        <w:t> </w:t>
      </w:r>
      <w:r>
        <w:rPr>
          <w:color w:val="231F20"/>
          <w:w w:val="105"/>
        </w:rPr>
        <w:t>infraestructura educativa, entre</w:t>
      </w:r>
      <w:r>
        <w:rPr>
          <w:color w:val="231F20"/>
          <w:spacing w:val="-25"/>
          <w:w w:val="105"/>
        </w:rPr>
        <w:t> </w:t>
      </w:r>
      <w:r>
        <w:rPr>
          <w:color w:val="231F20"/>
          <w:w w:val="105"/>
        </w:rPr>
        <w:t>otros.</w:t>
      </w:r>
    </w:p>
    <w:p>
      <w:pPr>
        <w:spacing w:after="0" w:line="285" w:lineRule="auto"/>
        <w:jc w:val="both"/>
        <w:sectPr>
          <w:pgSz w:w="9640" w:h="12190"/>
          <w:pgMar w:header="0" w:footer="743" w:top="1120" w:bottom="940" w:left="740" w:right="740"/>
        </w:sectPr>
      </w:pPr>
    </w:p>
    <w:p>
      <w:pPr>
        <w:pStyle w:val="Heading5"/>
        <w:spacing w:line="285" w:lineRule="auto" w:before="27"/>
        <w:ind w:left="855" w:right="854" w:firstLine="107"/>
      </w:pPr>
      <w:r>
        <w:rPr>
          <w:color w:val="231F20"/>
          <w:w w:val="105"/>
        </w:rPr>
        <w:t>Cuadro</w:t>
      </w:r>
      <w:r>
        <w:rPr>
          <w:color w:val="231F20"/>
          <w:spacing w:val="-21"/>
          <w:w w:val="105"/>
        </w:rPr>
        <w:t> </w:t>
      </w:r>
      <w:r>
        <w:rPr>
          <w:color w:val="231F20"/>
          <w:w w:val="105"/>
        </w:rPr>
        <w:t>5</w:t>
      </w:r>
      <w:r>
        <w:rPr>
          <w:color w:val="231F20"/>
          <w:spacing w:val="-21"/>
          <w:w w:val="105"/>
        </w:rPr>
        <w:t> </w:t>
      </w:r>
      <w:r>
        <w:rPr>
          <w:color w:val="231F20"/>
          <w:w w:val="105"/>
        </w:rPr>
        <w:t>Porcentaje</w:t>
      </w:r>
      <w:r>
        <w:rPr>
          <w:color w:val="231F20"/>
          <w:spacing w:val="-21"/>
          <w:w w:val="105"/>
        </w:rPr>
        <w:t> </w:t>
      </w:r>
      <w:r>
        <w:rPr>
          <w:color w:val="231F20"/>
          <w:w w:val="105"/>
        </w:rPr>
        <w:t>de</w:t>
      </w:r>
      <w:r>
        <w:rPr>
          <w:color w:val="231F20"/>
          <w:spacing w:val="-21"/>
          <w:w w:val="105"/>
        </w:rPr>
        <w:t> </w:t>
      </w:r>
      <w:r>
        <w:rPr>
          <w:color w:val="231F20"/>
          <w:w w:val="105"/>
        </w:rPr>
        <w:t>Egresos</w:t>
      </w:r>
      <w:r>
        <w:rPr>
          <w:color w:val="231F20"/>
          <w:spacing w:val="-21"/>
          <w:w w:val="105"/>
        </w:rPr>
        <w:t> </w:t>
      </w:r>
      <w:r>
        <w:rPr>
          <w:color w:val="231F20"/>
          <w:w w:val="105"/>
        </w:rPr>
        <w:t>por</w:t>
      </w:r>
      <w:r>
        <w:rPr>
          <w:color w:val="231F20"/>
          <w:spacing w:val="-21"/>
          <w:w w:val="105"/>
        </w:rPr>
        <w:t> </w:t>
      </w:r>
      <w:r>
        <w:rPr>
          <w:color w:val="231F20"/>
          <w:w w:val="105"/>
        </w:rPr>
        <w:t>Concepto</w:t>
      </w:r>
      <w:r>
        <w:rPr>
          <w:color w:val="231F20"/>
          <w:spacing w:val="-21"/>
          <w:w w:val="105"/>
        </w:rPr>
        <w:t> </w:t>
      </w:r>
      <w:r>
        <w:rPr>
          <w:color w:val="231F20"/>
          <w:w w:val="105"/>
        </w:rPr>
        <w:t>de</w:t>
      </w:r>
      <w:r>
        <w:rPr>
          <w:color w:val="231F20"/>
          <w:spacing w:val="-21"/>
          <w:w w:val="105"/>
        </w:rPr>
        <w:t> </w:t>
      </w:r>
      <w:r>
        <w:rPr>
          <w:color w:val="231F20"/>
          <w:w w:val="105"/>
        </w:rPr>
        <w:t>Obras</w:t>
      </w:r>
      <w:r>
        <w:rPr>
          <w:color w:val="231F20"/>
          <w:spacing w:val="-21"/>
          <w:w w:val="105"/>
        </w:rPr>
        <w:t> </w:t>
      </w:r>
      <w:r>
        <w:rPr>
          <w:color w:val="231F20"/>
          <w:w w:val="105"/>
        </w:rPr>
        <w:t>Públicas y</w:t>
      </w:r>
      <w:r>
        <w:rPr>
          <w:color w:val="231F20"/>
          <w:spacing w:val="-17"/>
          <w:w w:val="105"/>
        </w:rPr>
        <w:t> </w:t>
      </w:r>
      <w:r>
        <w:rPr>
          <w:color w:val="231F20"/>
          <w:w w:val="105"/>
        </w:rPr>
        <w:t>Gasto</w:t>
      </w:r>
      <w:r>
        <w:rPr>
          <w:color w:val="231F20"/>
          <w:spacing w:val="-17"/>
          <w:w w:val="105"/>
        </w:rPr>
        <w:t> </w:t>
      </w:r>
      <w:r>
        <w:rPr>
          <w:color w:val="231F20"/>
          <w:w w:val="105"/>
        </w:rPr>
        <w:t>Corriente</w:t>
      </w:r>
      <w:r>
        <w:rPr>
          <w:color w:val="231F20"/>
          <w:spacing w:val="-17"/>
          <w:w w:val="105"/>
        </w:rPr>
        <w:t> </w:t>
      </w:r>
      <w:r>
        <w:rPr>
          <w:color w:val="231F20"/>
          <w:w w:val="105"/>
        </w:rPr>
        <w:t>con</w:t>
      </w:r>
      <w:r>
        <w:rPr>
          <w:color w:val="231F20"/>
          <w:spacing w:val="-17"/>
          <w:w w:val="105"/>
        </w:rPr>
        <w:t> </w:t>
      </w:r>
      <w:r>
        <w:rPr>
          <w:color w:val="231F20"/>
          <w:w w:val="105"/>
        </w:rPr>
        <w:t>Respecto</w:t>
      </w:r>
      <w:r>
        <w:rPr>
          <w:color w:val="231F20"/>
          <w:spacing w:val="-17"/>
          <w:w w:val="105"/>
        </w:rPr>
        <w:t> </w:t>
      </w:r>
      <w:r>
        <w:rPr>
          <w:color w:val="231F20"/>
          <w:w w:val="105"/>
        </w:rPr>
        <w:t>del</w:t>
      </w:r>
      <w:r>
        <w:rPr>
          <w:color w:val="231F20"/>
          <w:spacing w:val="-17"/>
          <w:w w:val="105"/>
        </w:rPr>
        <w:t> </w:t>
      </w:r>
      <w:r>
        <w:rPr>
          <w:color w:val="231F20"/>
          <w:spacing w:val="-3"/>
          <w:w w:val="105"/>
        </w:rPr>
        <w:t>Total</w:t>
      </w:r>
      <w:r>
        <w:rPr>
          <w:color w:val="231F20"/>
          <w:spacing w:val="-17"/>
          <w:w w:val="105"/>
        </w:rPr>
        <w:t> </w:t>
      </w:r>
      <w:r>
        <w:rPr>
          <w:color w:val="231F20"/>
          <w:w w:val="105"/>
        </w:rPr>
        <w:t>de</w:t>
      </w:r>
      <w:r>
        <w:rPr>
          <w:color w:val="231F20"/>
          <w:spacing w:val="-17"/>
          <w:w w:val="105"/>
        </w:rPr>
        <w:t> </w:t>
      </w:r>
      <w:r>
        <w:rPr>
          <w:color w:val="231F20"/>
          <w:w w:val="105"/>
        </w:rPr>
        <w:t>Egresos</w:t>
      </w:r>
      <w:r>
        <w:rPr>
          <w:color w:val="231F20"/>
          <w:spacing w:val="-17"/>
          <w:w w:val="105"/>
        </w:rPr>
        <w:t> </w:t>
      </w:r>
      <w:r>
        <w:rPr>
          <w:color w:val="231F20"/>
          <w:w w:val="105"/>
        </w:rPr>
        <w:t>del</w:t>
      </w:r>
      <w:r>
        <w:rPr>
          <w:color w:val="231F20"/>
          <w:spacing w:val="-17"/>
          <w:w w:val="105"/>
        </w:rPr>
        <w:t> </w:t>
      </w:r>
      <w:r>
        <w:rPr>
          <w:color w:val="231F20"/>
          <w:w w:val="105"/>
        </w:rPr>
        <w:t>Municipio</w:t>
      </w:r>
    </w:p>
    <w:p>
      <w:pPr>
        <w:spacing w:before="1"/>
        <w:ind w:left="2617" w:right="574" w:firstLine="0"/>
        <w:jc w:val="left"/>
        <w:rPr>
          <w:b/>
          <w:sz w:val="22"/>
        </w:rPr>
      </w:pPr>
      <w:r>
        <w:rPr>
          <w:b/>
          <w:color w:val="231F20"/>
          <w:w w:val="105"/>
          <w:sz w:val="22"/>
        </w:rPr>
        <w:t>de Nezahualcóyotl, 2001-2006</w:t>
      </w:r>
    </w:p>
    <w:p>
      <w:pPr>
        <w:pStyle w:val="BodyText"/>
        <w:rPr>
          <w:b/>
          <w:sz w:val="20"/>
        </w:rPr>
      </w:pPr>
    </w:p>
    <w:p>
      <w:pPr>
        <w:pStyle w:val="BodyText"/>
        <w:rPr>
          <w:b/>
          <w:sz w:val="20"/>
        </w:rPr>
      </w:pPr>
    </w:p>
    <w:p>
      <w:pPr>
        <w:pStyle w:val="BodyText"/>
        <w:spacing w:before="7"/>
        <w:rPr>
          <w:b/>
          <w:sz w:val="26"/>
        </w:rPr>
      </w:pPr>
    </w:p>
    <w:tbl>
      <w:tblPr>
        <w:tblW w:w="0" w:type="auto"/>
        <w:jc w:val="left"/>
        <w:tblInd w:w="392"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53"/>
        <w:gridCol w:w="1321"/>
        <w:gridCol w:w="1212"/>
        <w:gridCol w:w="1226"/>
        <w:gridCol w:w="1318"/>
        <w:gridCol w:w="1828"/>
      </w:tblGrid>
      <w:tr>
        <w:trPr>
          <w:trHeight w:val="524" w:hRule="exact"/>
        </w:trPr>
        <w:tc>
          <w:tcPr>
            <w:tcW w:w="453" w:type="dxa"/>
            <w:tcBorders>
              <w:right w:val="single" w:sz="4" w:space="0" w:color="231F20"/>
            </w:tcBorders>
            <w:shd w:val="clear" w:color="auto" w:fill="B3B4B4"/>
          </w:tcPr>
          <w:p>
            <w:pPr>
              <w:pStyle w:val="TableParagraph"/>
              <w:spacing w:before="10"/>
              <w:ind w:left="0"/>
              <w:rPr>
                <w:rFonts w:ascii="Times New Roman"/>
                <w:b/>
                <w:sz w:val="13"/>
              </w:rPr>
            </w:pPr>
          </w:p>
          <w:p>
            <w:pPr>
              <w:pStyle w:val="TableParagraph"/>
              <w:ind w:left="0"/>
              <w:rPr>
                <w:b/>
                <w:sz w:val="16"/>
              </w:rPr>
            </w:pPr>
            <w:r>
              <w:rPr>
                <w:b/>
                <w:color w:val="231F20"/>
                <w:w w:val="110"/>
                <w:sz w:val="16"/>
              </w:rPr>
              <w:t>Año</w:t>
            </w:r>
          </w:p>
        </w:tc>
        <w:tc>
          <w:tcPr>
            <w:tcW w:w="1321" w:type="dxa"/>
            <w:tcBorders>
              <w:left w:val="single" w:sz="4" w:space="0" w:color="231F20"/>
              <w:right w:val="single" w:sz="4" w:space="0" w:color="231F20"/>
            </w:tcBorders>
            <w:shd w:val="clear" w:color="auto" w:fill="B3B4B4"/>
          </w:tcPr>
          <w:p>
            <w:pPr>
              <w:pStyle w:val="TableParagraph"/>
              <w:spacing w:before="10"/>
              <w:ind w:left="0"/>
              <w:rPr>
                <w:rFonts w:ascii="Times New Roman"/>
                <w:b/>
                <w:sz w:val="13"/>
              </w:rPr>
            </w:pPr>
          </w:p>
          <w:p>
            <w:pPr>
              <w:pStyle w:val="TableParagraph"/>
              <w:ind w:left="0"/>
              <w:rPr>
                <w:b/>
                <w:sz w:val="16"/>
              </w:rPr>
            </w:pPr>
            <w:r>
              <w:rPr>
                <w:b/>
                <w:color w:val="231F20"/>
                <w:w w:val="110"/>
                <w:sz w:val="16"/>
              </w:rPr>
              <w:t>Gasto Total</w:t>
            </w:r>
          </w:p>
        </w:tc>
        <w:tc>
          <w:tcPr>
            <w:tcW w:w="1212" w:type="dxa"/>
            <w:tcBorders>
              <w:left w:val="single" w:sz="4" w:space="0" w:color="231F20"/>
              <w:right w:val="single" w:sz="4" w:space="0" w:color="231F20"/>
            </w:tcBorders>
            <w:shd w:val="clear" w:color="auto" w:fill="B3B4B4"/>
          </w:tcPr>
          <w:p>
            <w:pPr>
              <w:pStyle w:val="TableParagraph"/>
              <w:spacing w:line="192" w:lineRule="exact" w:before="62"/>
              <w:ind w:left="32" w:hanging="33"/>
              <w:rPr>
                <w:b/>
                <w:sz w:val="16"/>
              </w:rPr>
            </w:pPr>
            <w:r>
              <w:rPr>
                <w:b/>
                <w:color w:val="231F20"/>
                <w:w w:val="110"/>
                <w:sz w:val="16"/>
              </w:rPr>
              <w:t>Gasto en Obras Públicas</w:t>
            </w:r>
          </w:p>
        </w:tc>
        <w:tc>
          <w:tcPr>
            <w:tcW w:w="1226" w:type="dxa"/>
            <w:tcBorders>
              <w:left w:val="single" w:sz="4" w:space="0" w:color="231F20"/>
              <w:right w:val="single" w:sz="4" w:space="0" w:color="231F20"/>
            </w:tcBorders>
            <w:shd w:val="clear" w:color="auto" w:fill="B3B4B4"/>
          </w:tcPr>
          <w:p>
            <w:pPr>
              <w:pStyle w:val="TableParagraph"/>
              <w:spacing w:line="161" w:lineRule="exact"/>
              <w:ind w:left="-1"/>
              <w:rPr>
                <w:b/>
                <w:sz w:val="16"/>
              </w:rPr>
            </w:pPr>
            <w:r>
              <w:rPr>
                <w:b/>
                <w:color w:val="231F20"/>
                <w:w w:val="110"/>
                <w:sz w:val="16"/>
              </w:rPr>
              <w:t>Porcentaje de</w:t>
            </w:r>
          </w:p>
          <w:p>
            <w:pPr>
              <w:pStyle w:val="TableParagraph"/>
              <w:spacing w:line="235" w:lineRule="auto" w:before="1"/>
              <w:ind w:left="-1"/>
              <w:rPr>
                <w:b/>
                <w:sz w:val="16"/>
              </w:rPr>
            </w:pPr>
            <w:r>
              <w:rPr>
                <w:b/>
                <w:color w:val="231F20"/>
                <w:w w:val="110"/>
                <w:sz w:val="16"/>
              </w:rPr>
              <w:t>Gasto en Obras Públicas</w:t>
            </w:r>
          </w:p>
        </w:tc>
        <w:tc>
          <w:tcPr>
            <w:tcW w:w="1318" w:type="dxa"/>
            <w:tcBorders>
              <w:left w:val="single" w:sz="4" w:space="0" w:color="231F20"/>
              <w:right w:val="single" w:sz="4" w:space="0" w:color="231F20"/>
            </w:tcBorders>
            <w:shd w:val="clear" w:color="auto" w:fill="B3B4B4"/>
          </w:tcPr>
          <w:p>
            <w:pPr>
              <w:pStyle w:val="TableParagraph"/>
              <w:spacing w:before="10"/>
              <w:ind w:left="0"/>
              <w:rPr>
                <w:rFonts w:ascii="Times New Roman"/>
                <w:b/>
                <w:sz w:val="13"/>
              </w:rPr>
            </w:pPr>
          </w:p>
          <w:p>
            <w:pPr>
              <w:pStyle w:val="TableParagraph"/>
              <w:ind w:left="0"/>
              <w:rPr>
                <w:b/>
                <w:sz w:val="16"/>
              </w:rPr>
            </w:pPr>
            <w:r>
              <w:rPr>
                <w:b/>
                <w:color w:val="231F20"/>
                <w:w w:val="105"/>
                <w:sz w:val="16"/>
              </w:rPr>
              <w:t>Gasto  Corriente</w:t>
            </w:r>
          </w:p>
        </w:tc>
        <w:tc>
          <w:tcPr>
            <w:tcW w:w="1828" w:type="dxa"/>
            <w:tcBorders>
              <w:left w:val="single" w:sz="4" w:space="0" w:color="231F20"/>
              <w:right w:val="single" w:sz="4" w:space="0" w:color="231F20"/>
            </w:tcBorders>
            <w:shd w:val="clear" w:color="auto" w:fill="B3B4B4"/>
          </w:tcPr>
          <w:p>
            <w:pPr>
              <w:pStyle w:val="TableParagraph"/>
              <w:spacing w:line="161" w:lineRule="exact"/>
              <w:ind w:left="-1"/>
              <w:rPr>
                <w:b/>
                <w:sz w:val="16"/>
              </w:rPr>
            </w:pPr>
            <w:r>
              <w:rPr>
                <w:b/>
                <w:color w:val="231F20"/>
                <w:w w:val="110"/>
                <w:sz w:val="16"/>
              </w:rPr>
              <w:t>Porcentaje de Gasto</w:t>
            </w:r>
          </w:p>
          <w:p>
            <w:pPr>
              <w:pStyle w:val="TableParagraph"/>
              <w:spacing w:line="194" w:lineRule="exact"/>
              <w:ind w:left="-1"/>
              <w:rPr>
                <w:b/>
                <w:sz w:val="16"/>
              </w:rPr>
            </w:pPr>
            <w:r>
              <w:rPr>
                <w:b/>
                <w:color w:val="231F20"/>
                <w:w w:val="110"/>
                <w:sz w:val="16"/>
              </w:rPr>
              <w:t>Corriente</w:t>
            </w:r>
          </w:p>
        </w:tc>
      </w:tr>
      <w:tr>
        <w:trPr>
          <w:trHeight w:val="390" w:hRule="exact"/>
        </w:trPr>
        <w:tc>
          <w:tcPr>
            <w:tcW w:w="453" w:type="dxa"/>
            <w:tcBorders>
              <w:right w:val="single" w:sz="4" w:space="0" w:color="231F20"/>
            </w:tcBorders>
          </w:tcPr>
          <w:p>
            <w:pPr>
              <w:pStyle w:val="TableParagraph"/>
              <w:spacing w:before="92"/>
              <w:ind w:left="0"/>
              <w:rPr>
                <w:sz w:val="16"/>
              </w:rPr>
            </w:pPr>
            <w:r>
              <w:rPr>
                <w:color w:val="231F20"/>
                <w:w w:val="85"/>
                <w:sz w:val="16"/>
              </w:rPr>
              <w:t>2001</w:t>
            </w:r>
          </w:p>
        </w:tc>
        <w:tc>
          <w:tcPr>
            <w:tcW w:w="1321" w:type="dxa"/>
            <w:tcBorders>
              <w:left w:val="single" w:sz="4" w:space="0" w:color="231F20"/>
              <w:right w:val="single" w:sz="4" w:space="0" w:color="231F20"/>
            </w:tcBorders>
          </w:tcPr>
          <w:p>
            <w:pPr>
              <w:pStyle w:val="TableParagraph"/>
              <w:spacing w:before="92"/>
              <w:ind w:left="0"/>
              <w:rPr>
                <w:sz w:val="16"/>
              </w:rPr>
            </w:pPr>
            <w:r>
              <w:rPr>
                <w:color w:val="231F20"/>
                <w:w w:val="85"/>
                <w:sz w:val="16"/>
              </w:rPr>
              <w:t>560,192,480.00</w:t>
            </w:r>
          </w:p>
        </w:tc>
        <w:tc>
          <w:tcPr>
            <w:tcW w:w="1212" w:type="dxa"/>
            <w:tcBorders>
              <w:left w:val="single" w:sz="4" w:space="0" w:color="231F20"/>
              <w:right w:val="single" w:sz="4" w:space="0" w:color="231F20"/>
            </w:tcBorders>
          </w:tcPr>
          <w:p>
            <w:pPr>
              <w:pStyle w:val="TableParagraph"/>
              <w:spacing w:before="92"/>
              <w:ind w:left="-1"/>
              <w:rPr>
                <w:sz w:val="16"/>
              </w:rPr>
            </w:pPr>
            <w:r>
              <w:rPr>
                <w:color w:val="231F20"/>
                <w:w w:val="85"/>
                <w:sz w:val="16"/>
              </w:rPr>
              <w:t>28,691,845.00</w:t>
            </w:r>
          </w:p>
        </w:tc>
        <w:tc>
          <w:tcPr>
            <w:tcW w:w="1226" w:type="dxa"/>
            <w:tcBorders>
              <w:left w:val="single" w:sz="4" w:space="0" w:color="231F20"/>
              <w:right w:val="single" w:sz="4" w:space="0" w:color="231F20"/>
            </w:tcBorders>
          </w:tcPr>
          <w:p>
            <w:pPr>
              <w:pStyle w:val="TableParagraph"/>
              <w:spacing w:before="92"/>
              <w:ind w:left="-1"/>
              <w:rPr>
                <w:sz w:val="16"/>
              </w:rPr>
            </w:pPr>
            <w:r>
              <w:rPr>
                <w:color w:val="231F20"/>
                <w:w w:val="90"/>
                <w:sz w:val="16"/>
              </w:rPr>
              <w:t>5.12%</w:t>
            </w:r>
          </w:p>
        </w:tc>
        <w:tc>
          <w:tcPr>
            <w:tcW w:w="1318" w:type="dxa"/>
            <w:tcBorders>
              <w:left w:val="single" w:sz="4" w:space="0" w:color="231F20"/>
              <w:right w:val="single" w:sz="4" w:space="0" w:color="231F20"/>
            </w:tcBorders>
          </w:tcPr>
          <w:p>
            <w:pPr>
              <w:pStyle w:val="TableParagraph"/>
              <w:spacing w:before="92"/>
              <w:ind w:left="0"/>
              <w:rPr>
                <w:sz w:val="16"/>
              </w:rPr>
            </w:pPr>
            <w:r>
              <w:rPr>
                <w:color w:val="231F20"/>
                <w:w w:val="85"/>
                <w:sz w:val="16"/>
              </w:rPr>
              <w:t>401,782,269.00</w:t>
            </w:r>
          </w:p>
        </w:tc>
        <w:tc>
          <w:tcPr>
            <w:tcW w:w="1828" w:type="dxa"/>
            <w:tcBorders>
              <w:left w:val="single" w:sz="4" w:space="0" w:color="231F20"/>
              <w:right w:val="single" w:sz="4" w:space="0" w:color="231F20"/>
            </w:tcBorders>
          </w:tcPr>
          <w:p>
            <w:pPr>
              <w:pStyle w:val="TableParagraph"/>
              <w:spacing w:before="92"/>
              <w:ind w:left="-1"/>
              <w:rPr>
                <w:sz w:val="16"/>
              </w:rPr>
            </w:pPr>
            <w:r>
              <w:rPr>
                <w:color w:val="231F20"/>
                <w:w w:val="90"/>
                <w:sz w:val="16"/>
              </w:rPr>
              <w:t>71.72%</w:t>
            </w:r>
          </w:p>
        </w:tc>
      </w:tr>
      <w:tr>
        <w:trPr>
          <w:trHeight w:val="390" w:hRule="exact"/>
        </w:trPr>
        <w:tc>
          <w:tcPr>
            <w:tcW w:w="453" w:type="dxa"/>
            <w:tcBorders>
              <w:right w:val="single" w:sz="4" w:space="0" w:color="231F20"/>
            </w:tcBorders>
          </w:tcPr>
          <w:p>
            <w:pPr>
              <w:pStyle w:val="TableParagraph"/>
              <w:spacing w:before="92"/>
              <w:ind w:left="0"/>
              <w:rPr>
                <w:sz w:val="16"/>
              </w:rPr>
            </w:pPr>
            <w:r>
              <w:rPr>
                <w:color w:val="231F20"/>
                <w:w w:val="85"/>
                <w:sz w:val="16"/>
              </w:rPr>
              <w:t>2002</w:t>
            </w:r>
          </w:p>
        </w:tc>
        <w:tc>
          <w:tcPr>
            <w:tcW w:w="1321" w:type="dxa"/>
            <w:tcBorders>
              <w:left w:val="single" w:sz="4" w:space="0" w:color="231F20"/>
              <w:right w:val="single" w:sz="4" w:space="0" w:color="231F20"/>
            </w:tcBorders>
          </w:tcPr>
          <w:p>
            <w:pPr>
              <w:pStyle w:val="TableParagraph"/>
              <w:spacing w:before="92"/>
              <w:ind w:left="0"/>
              <w:rPr>
                <w:sz w:val="16"/>
              </w:rPr>
            </w:pPr>
            <w:r>
              <w:rPr>
                <w:color w:val="231F20"/>
                <w:w w:val="85"/>
                <w:sz w:val="16"/>
              </w:rPr>
              <w:t>946,413,126.00</w:t>
            </w:r>
          </w:p>
        </w:tc>
        <w:tc>
          <w:tcPr>
            <w:tcW w:w="1212" w:type="dxa"/>
            <w:tcBorders>
              <w:left w:val="single" w:sz="4" w:space="0" w:color="231F20"/>
              <w:right w:val="single" w:sz="4" w:space="0" w:color="231F20"/>
            </w:tcBorders>
          </w:tcPr>
          <w:p>
            <w:pPr>
              <w:pStyle w:val="TableParagraph"/>
              <w:spacing w:before="92"/>
              <w:ind w:left="-1"/>
              <w:rPr>
                <w:sz w:val="16"/>
              </w:rPr>
            </w:pPr>
            <w:r>
              <w:rPr>
                <w:color w:val="231F20"/>
                <w:w w:val="85"/>
                <w:sz w:val="16"/>
              </w:rPr>
              <w:t>99,843,393.00</w:t>
            </w:r>
          </w:p>
        </w:tc>
        <w:tc>
          <w:tcPr>
            <w:tcW w:w="1226" w:type="dxa"/>
            <w:tcBorders>
              <w:left w:val="single" w:sz="4" w:space="0" w:color="231F20"/>
              <w:right w:val="single" w:sz="4" w:space="0" w:color="231F20"/>
            </w:tcBorders>
          </w:tcPr>
          <w:p>
            <w:pPr>
              <w:pStyle w:val="TableParagraph"/>
              <w:spacing w:before="92"/>
              <w:ind w:left="-1"/>
              <w:rPr>
                <w:sz w:val="16"/>
              </w:rPr>
            </w:pPr>
            <w:r>
              <w:rPr>
                <w:color w:val="231F20"/>
                <w:w w:val="90"/>
                <w:sz w:val="16"/>
              </w:rPr>
              <w:t>10.55%</w:t>
            </w:r>
          </w:p>
        </w:tc>
        <w:tc>
          <w:tcPr>
            <w:tcW w:w="1318" w:type="dxa"/>
            <w:tcBorders>
              <w:left w:val="single" w:sz="4" w:space="0" w:color="231F20"/>
              <w:right w:val="single" w:sz="4" w:space="0" w:color="231F20"/>
            </w:tcBorders>
          </w:tcPr>
          <w:p>
            <w:pPr>
              <w:pStyle w:val="TableParagraph"/>
              <w:spacing w:before="92"/>
              <w:ind w:left="0"/>
              <w:rPr>
                <w:sz w:val="16"/>
              </w:rPr>
            </w:pPr>
            <w:r>
              <w:rPr>
                <w:color w:val="231F20"/>
                <w:w w:val="85"/>
                <w:sz w:val="16"/>
              </w:rPr>
              <w:t>570,452,135.00</w:t>
            </w:r>
          </w:p>
        </w:tc>
        <w:tc>
          <w:tcPr>
            <w:tcW w:w="1828" w:type="dxa"/>
            <w:tcBorders>
              <w:left w:val="single" w:sz="4" w:space="0" w:color="231F20"/>
              <w:right w:val="single" w:sz="4" w:space="0" w:color="231F20"/>
            </w:tcBorders>
          </w:tcPr>
          <w:p>
            <w:pPr>
              <w:pStyle w:val="TableParagraph"/>
              <w:spacing w:before="92"/>
              <w:ind w:left="-1"/>
              <w:rPr>
                <w:sz w:val="16"/>
              </w:rPr>
            </w:pPr>
            <w:r>
              <w:rPr>
                <w:color w:val="231F20"/>
                <w:w w:val="90"/>
                <w:sz w:val="16"/>
              </w:rPr>
              <w:t>60.27%</w:t>
            </w:r>
          </w:p>
        </w:tc>
      </w:tr>
      <w:tr>
        <w:trPr>
          <w:trHeight w:val="390" w:hRule="exact"/>
        </w:trPr>
        <w:tc>
          <w:tcPr>
            <w:tcW w:w="453" w:type="dxa"/>
            <w:tcBorders>
              <w:right w:val="single" w:sz="4" w:space="0" w:color="231F20"/>
            </w:tcBorders>
          </w:tcPr>
          <w:p>
            <w:pPr>
              <w:pStyle w:val="TableParagraph"/>
              <w:spacing w:before="92"/>
              <w:ind w:left="0"/>
              <w:rPr>
                <w:sz w:val="16"/>
              </w:rPr>
            </w:pPr>
            <w:r>
              <w:rPr>
                <w:color w:val="231F20"/>
                <w:w w:val="85"/>
                <w:sz w:val="16"/>
              </w:rPr>
              <w:t>2003</w:t>
            </w:r>
          </w:p>
        </w:tc>
        <w:tc>
          <w:tcPr>
            <w:tcW w:w="1321" w:type="dxa"/>
            <w:tcBorders>
              <w:left w:val="single" w:sz="4" w:space="0" w:color="231F20"/>
              <w:right w:val="single" w:sz="4" w:space="0" w:color="231F20"/>
            </w:tcBorders>
          </w:tcPr>
          <w:p>
            <w:pPr>
              <w:pStyle w:val="TableParagraph"/>
              <w:spacing w:before="92"/>
              <w:ind w:left="0"/>
              <w:rPr>
                <w:sz w:val="16"/>
              </w:rPr>
            </w:pPr>
            <w:r>
              <w:rPr>
                <w:color w:val="231F20"/>
                <w:w w:val="85"/>
                <w:sz w:val="16"/>
              </w:rPr>
              <w:t>1,141,060,083.42</w:t>
            </w:r>
          </w:p>
        </w:tc>
        <w:tc>
          <w:tcPr>
            <w:tcW w:w="1212" w:type="dxa"/>
            <w:tcBorders>
              <w:left w:val="single" w:sz="4" w:space="0" w:color="231F20"/>
              <w:right w:val="single" w:sz="4" w:space="0" w:color="231F20"/>
            </w:tcBorders>
          </w:tcPr>
          <w:p>
            <w:pPr>
              <w:pStyle w:val="TableParagraph"/>
              <w:spacing w:before="92"/>
              <w:ind w:left="-1"/>
              <w:rPr>
                <w:sz w:val="16"/>
              </w:rPr>
            </w:pPr>
            <w:r>
              <w:rPr>
                <w:color w:val="231F20"/>
                <w:w w:val="85"/>
                <w:sz w:val="16"/>
              </w:rPr>
              <w:t>108,354,025.57</w:t>
            </w:r>
          </w:p>
        </w:tc>
        <w:tc>
          <w:tcPr>
            <w:tcW w:w="1226" w:type="dxa"/>
            <w:tcBorders>
              <w:left w:val="single" w:sz="4" w:space="0" w:color="231F20"/>
              <w:right w:val="single" w:sz="4" w:space="0" w:color="231F20"/>
            </w:tcBorders>
          </w:tcPr>
          <w:p>
            <w:pPr>
              <w:pStyle w:val="TableParagraph"/>
              <w:spacing w:before="92"/>
              <w:ind w:left="-1"/>
              <w:rPr>
                <w:sz w:val="16"/>
              </w:rPr>
            </w:pPr>
            <w:r>
              <w:rPr>
                <w:color w:val="231F20"/>
                <w:w w:val="90"/>
                <w:sz w:val="16"/>
              </w:rPr>
              <w:t>9.50%</w:t>
            </w:r>
          </w:p>
        </w:tc>
        <w:tc>
          <w:tcPr>
            <w:tcW w:w="1318" w:type="dxa"/>
            <w:tcBorders>
              <w:left w:val="single" w:sz="4" w:space="0" w:color="231F20"/>
              <w:right w:val="single" w:sz="4" w:space="0" w:color="231F20"/>
            </w:tcBorders>
          </w:tcPr>
          <w:p>
            <w:pPr>
              <w:pStyle w:val="TableParagraph"/>
              <w:spacing w:before="92"/>
              <w:ind w:left="0"/>
              <w:rPr>
                <w:sz w:val="16"/>
              </w:rPr>
            </w:pPr>
            <w:r>
              <w:rPr>
                <w:color w:val="231F20"/>
                <w:w w:val="85"/>
                <w:sz w:val="16"/>
              </w:rPr>
              <w:t>649,060,026.27</w:t>
            </w:r>
          </w:p>
        </w:tc>
        <w:tc>
          <w:tcPr>
            <w:tcW w:w="1828" w:type="dxa"/>
            <w:tcBorders>
              <w:left w:val="single" w:sz="4" w:space="0" w:color="231F20"/>
              <w:right w:val="single" w:sz="4" w:space="0" w:color="231F20"/>
            </w:tcBorders>
          </w:tcPr>
          <w:p>
            <w:pPr>
              <w:pStyle w:val="TableParagraph"/>
              <w:spacing w:before="92"/>
              <w:ind w:left="-1"/>
              <w:rPr>
                <w:sz w:val="16"/>
              </w:rPr>
            </w:pPr>
            <w:r>
              <w:rPr>
                <w:color w:val="231F20"/>
                <w:w w:val="90"/>
                <w:sz w:val="16"/>
              </w:rPr>
              <w:t>56.88%</w:t>
            </w:r>
          </w:p>
        </w:tc>
      </w:tr>
      <w:tr>
        <w:trPr>
          <w:trHeight w:val="390" w:hRule="exact"/>
        </w:trPr>
        <w:tc>
          <w:tcPr>
            <w:tcW w:w="453" w:type="dxa"/>
            <w:tcBorders>
              <w:right w:val="single" w:sz="4" w:space="0" w:color="231F20"/>
            </w:tcBorders>
          </w:tcPr>
          <w:p>
            <w:pPr>
              <w:pStyle w:val="TableParagraph"/>
              <w:spacing w:before="93"/>
              <w:ind w:left="0"/>
              <w:rPr>
                <w:sz w:val="16"/>
              </w:rPr>
            </w:pPr>
            <w:r>
              <w:rPr>
                <w:color w:val="231F20"/>
                <w:w w:val="85"/>
                <w:sz w:val="16"/>
              </w:rPr>
              <w:t>2004</w:t>
            </w:r>
          </w:p>
        </w:tc>
        <w:tc>
          <w:tcPr>
            <w:tcW w:w="1321" w:type="dxa"/>
            <w:tcBorders>
              <w:left w:val="single" w:sz="4" w:space="0" w:color="231F20"/>
              <w:right w:val="single" w:sz="4" w:space="0" w:color="231F20"/>
            </w:tcBorders>
          </w:tcPr>
          <w:p>
            <w:pPr>
              <w:pStyle w:val="TableParagraph"/>
              <w:spacing w:before="93"/>
              <w:ind w:left="0"/>
              <w:rPr>
                <w:sz w:val="16"/>
              </w:rPr>
            </w:pPr>
            <w:r>
              <w:rPr>
                <w:color w:val="231F20"/>
                <w:w w:val="85"/>
                <w:sz w:val="16"/>
              </w:rPr>
              <w:t>1,072,234,720.91</w:t>
            </w:r>
          </w:p>
        </w:tc>
        <w:tc>
          <w:tcPr>
            <w:tcW w:w="1212" w:type="dxa"/>
            <w:tcBorders>
              <w:left w:val="single" w:sz="4" w:space="0" w:color="231F20"/>
              <w:right w:val="single" w:sz="4" w:space="0" w:color="231F20"/>
            </w:tcBorders>
          </w:tcPr>
          <w:p>
            <w:pPr>
              <w:pStyle w:val="TableParagraph"/>
              <w:spacing w:before="93"/>
              <w:ind w:left="-1"/>
              <w:rPr>
                <w:sz w:val="16"/>
              </w:rPr>
            </w:pPr>
            <w:r>
              <w:rPr>
                <w:color w:val="231F20"/>
                <w:w w:val="85"/>
                <w:sz w:val="16"/>
              </w:rPr>
              <w:t>100,490,928.27</w:t>
            </w:r>
          </w:p>
        </w:tc>
        <w:tc>
          <w:tcPr>
            <w:tcW w:w="1226" w:type="dxa"/>
            <w:tcBorders>
              <w:left w:val="single" w:sz="4" w:space="0" w:color="231F20"/>
              <w:right w:val="single" w:sz="4" w:space="0" w:color="231F20"/>
            </w:tcBorders>
          </w:tcPr>
          <w:p>
            <w:pPr>
              <w:pStyle w:val="TableParagraph"/>
              <w:spacing w:before="93"/>
              <w:ind w:left="-1"/>
              <w:rPr>
                <w:sz w:val="16"/>
              </w:rPr>
            </w:pPr>
            <w:r>
              <w:rPr>
                <w:color w:val="231F20"/>
                <w:w w:val="90"/>
                <w:sz w:val="16"/>
              </w:rPr>
              <w:t>9.37%</w:t>
            </w:r>
          </w:p>
        </w:tc>
        <w:tc>
          <w:tcPr>
            <w:tcW w:w="1318" w:type="dxa"/>
            <w:tcBorders>
              <w:left w:val="single" w:sz="4" w:space="0" w:color="231F20"/>
              <w:right w:val="single" w:sz="4" w:space="0" w:color="231F20"/>
            </w:tcBorders>
          </w:tcPr>
          <w:p>
            <w:pPr>
              <w:pStyle w:val="TableParagraph"/>
              <w:spacing w:before="93"/>
              <w:ind w:left="0"/>
              <w:rPr>
                <w:sz w:val="16"/>
              </w:rPr>
            </w:pPr>
            <w:r>
              <w:rPr>
                <w:color w:val="231F20"/>
                <w:w w:val="85"/>
                <w:sz w:val="16"/>
              </w:rPr>
              <w:t>707,872,057.93</w:t>
            </w:r>
          </w:p>
        </w:tc>
        <w:tc>
          <w:tcPr>
            <w:tcW w:w="1828" w:type="dxa"/>
            <w:tcBorders>
              <w:left w:val="single" w:sz="4" w:space="0" w:color="231F20"/>
              <w:right w:val="single" w:sz="4" w:space="0" w:color="231F20"/>
            </w:tcBorders>
          </w:tcPr>
          <w:p>
            <w:pPr>
              <w:pStyle w:val="TableParagraph"/>
              <w:spacing w:before="93"/>
              <w:ind w:left="-1"/>
              <w:rPr>
                <w:sz w:val="16"/>
              </w:rPr>
            </w:pPr>
            <w:r>
              <w:rPr>
                <w:color w:val="231F20"/>
                <w:w w:val="90"/>
                <w:sz w:val="16"/>
              </w:rPr>
              <w:t>66.01%</w:t>
            </w:r>
          </w:p>
        </w:tc>
      </w:tr>
      <w:tr>
        <w:trPr>
          <w:trHeight w:val="390" w:hRule="exact"/>
        </w:trPr>
        <w:tc>
          <w:tcPr>
            <w:tcW w:w="453" w:type="dxa"/>
            <w:tcBorders>
              <w:right w:val="single" w:sz="4" w:space="0" w:color="231F20"/>
            </w:tcBorders>
          </w:tcPr>
          <w:p>
            <w:pPr>
              <w:pStyle w:val="TableParagraph"/>
              <w:spacing w:before="93"/>
              <w:ind w:left="0"/>
              <w:rPr>
                <w:sz w:val="16"/>
              </w:rPr>
            </w:pPr>
            <w:r>
              <w:rPr>
                <w:color w:val="231F20"/>
                <w:w w:val="85"/>
                <w:sz w:val="16"/>
              </w:rPr>
              <w:t>2005</w:t>
            </w:r>
          </w:p>
        </w:tc>
        <w:tc>
          <w:tcPr>
            <w:tcW w:w="1321" w:type="dxa"/>
            <w:tcBorders>
              <w:left w:val="single" w:sz="4" w:space="0" w:color="231F20"/>
              <w:right w:val="single" w:sz="4" w:space="0" w:color="231F20"/>
            </w:tcBorders>
          </w:tcPr>
          <w:p>
            <w:pPr>
              <w:pStyle w:val="TableParagraph"/>
              <w:spacing w:before="93"/>
              <w:ind w:left="0"/>
              <w:rPr>
                <w:sz w:val="16"/>
              </w:rPr>
            </w:pPr>
            <w:r>
              <w:rPr>
                <w:color w:val="231F20"/>
                <w:w w:val="85"/>
                <w:sz w:val="16"/>
              </w:rPr>
              <w:t>1,220,874,001.94</w:t>
            </w:r>
          </w:p>
        </w:tc>
        <w:tc>
          <w:tcPr>
            <w:tcW w:w="1212" w:type="dxa"/>
            <w:tcBorders>
              <w:left w:val="single" w:sz="4" w:space="0" w:color="231F20"/>
              <w:right w:val="single" w:sz="4" w:space="0" w:color="231F20"/>
            </w:tcBorders>
          </w:tcPr>
          <w:p>
            <w:pPr>
              <w:pStyle w:val="TableParagraph"/>
              <w:spacing w:before="93"/>
              <w:ind w:left="-1"/>
              <w:rPr>
                <w:sz w:val="16"/>
              </w:rPr>
            </w:pPr>
            <w:r>
              <w:rPr>
                <w:color w:val="231F20"/>
                <w:w w:val="85"/>
                <w:sz w:val="16"/>
              </w:rPr>
              <w:t>138,967,220.71</w:t>
            </w:r>
          </w:p>
        </w:tc>
        <w:tc>
          <w:tcPr>
            <w:tcW w:w="1226" w:type="dxa"/>
            <w:tcBorders>
              <w:left w:val="single" w:sz="4" w:space="0" w:color="231F20"/>
              <w:right w:val="single" w:sz="4" w:space="0" w:color="231F20"/>
            </w:tcBorders>
          </w:tcPr>
          <w:p>
            <w:pPr>
              <w:pStyle w:val="TableParagraph"/>
              <w:spacing w:before="93"/>
              <w:ind w:left="-1"/>
              <w:rPr>
                <w:sz w:val="16"/>
              </w:rPr>
            </w:pPr>
            <w:r>
              <w:rPr>
                <w:color w:val="231F20"/>
                <w:w w:val="90"/>
                <w:sz w:val="16"/>
              </w:rPr>
              <w:t>11.38%</w:t>
            </w:r>
          </w:p>
        </w:tc>
        <w:tc>
          <w:tcPr>
            <w:tcW w:w="1318" w:type="dxa"/>
            <w:tcBorders>
              <w:left w:val="single" w:sz="4" w:space="0" w:color="231F20"/>
              <w:right w:val="single" w:sz="4" w:space="0" w:color="231F20"/>
            </w:tcBorders>
          </w:tcPr>
          <w:p>
            <w:pPr>
              <w:pStyle w:val="TableParagraph"/>
              <w:spacing w:before="93"/>
              <w:ind w:left="0"/>
              <w:rPr>
                <w:sz w:val="16"/>
              </w:rPr>
            </w:pPr>
            <w:r>
              <w:rPr>
                <w:color w:val="231F20"/>
                <w:w w:val="85"/>
                <w:sz w:val="16"/>
              </w:rPr>
              <w:t>780,797,354.63</w:t>
            </w:r>
          </w:p>
        </w:tc>
        <w:tc>
          <w:tcPr>
            <w:tcW w:w="1828" w:type="dxa"/>
            <w:tcBorders>
              <w:left w:val="single" w:sz="4" w:space="0" w:color="231F20"/>
              <w:right w:val="single" w:sz="4" w:space="0" w:color="231F20"/>
            </w:tcBorders>
          </w:tcPr>
          <w:p>
            <w:pPr>
              <w:pStyle w:val="TableParagraph"/>
              <w:spacing w:before="93"/>
              <w:ind w:left="-1"/>
              <w:rPr>
                <w:sz w:val="16"/>
              </w:rPr>
            </w:pPr>
            <w:r>
              <w:rPr>
                <w:color w:val="231F20"/>
                <w:w w:val="90"/>
                <w:sz w:val="16"/>
              </w:rPr>
              <w:t>63.95%</w:t>
            </w:r>
          </w:p>
        </w:tc>
      </w:tr>
      <w:tr>
        <w:trPr>
          <w:trHeight w:val="390" w:hRule="exact"/>
        </w:trPr>
        <w:tc>
          <w:tcPr>
            <w:tcW w:w="453" w:type="dxa"/>
            <w:tcBorders>
              <w:right w:val="single" w:sz="4" w:space="0" w:color="231F20"/>
            </w:tcBorders>
          </w:tcPr>
          <w:p>
            <w:pPr>
              <w:pStyle w:val="TableParagraph"/>
              <w:spacing w:before="93"/>
              <w:ind w:left="0"/>
              <w:rPr>
                <w:sz w:val="16"/>
              </w:rPr>
            </w:pPr>
            <w:r>
              <w:rPr>
                <w:color w:val="231F20"/>
                <w:w w:val="85"/>
                <w:sz w:val="16"/>
              </w:rPr>
              <w:t>2006</w:t>
            </w:r>
          </w:p>
        </w:tc>
        <w:tc>
          <w:tcPr>
            <w:tcW w:w="1321" w:type="dxa"/>
            <w:tcBorders>
              <w:left w:val="single" w:sz="4" w:space="0" w:color="231F20"/>
              <w:right w:val="single" w:sz="4" w:space="0" w:color="231F20"/>
            </w:tcBorders>
          </w:tcPr>
          <w:p>
            <w:pPr>
              <w:pStyle w:val="TableParagraph"/>
              <w:spacing w:before="93"/>
              <w:ind w:left="0"/>
              <w:rPr>
                <w:sz w:val="16"/>
              </w:rPr>
            </w:pPr>
            <w:r>
              <w:rPr>
                <w:color w:val="231F20"/>
                <w:w w:val="85"/>
                <w:sz w:val="16"/>
              </w:rPr>
              <w:t>746,394,495.48</w:t>
            </w:r>
          </w:p>
        </w:tc>
        <w:tc>
          <w:tcPr>
            <w:tcW w:w="1212" w:type="dxa"/>
            <w:tcBorders>
              <w:left w:val="single" w:sz="4" w:space="0" w:color="231F20"/>
              <w:right w:val="single" w:sz="4" w:space="0" w:color="231F20"/>
            </w:tcBorders>
          </w:tcPr>
          <w:p>
            <w:pPr>
              <w:pStyle w:val="TableParagraph"/>
              <w:spacing w:before="93"/>
              <w:ind w:left="-1"/>
              <w:rPr>
                <w:sz w:val="16"/>
              </w:rPr>
            </w:pPr>
            <w:r>
              <w:rPr>
                <w:color w:val="231F20"/>
                <w:w w:val="85"/>
                <w:sz w:val="16"/>
              </w:rPr>
              <w:t>95,953,525.62</w:t>
            </w:r>
          </w:p>
        </w:tc>
        <w:tc>
          <w:tcPr>
            <w:tcW w:w="1226" w:type="dxa"/>
            <w:tcBorders>
              <w:left w:val="single" w:sz="4" w:space="0" w:color="231F20"/>
              <w:right w:val="single" w:sz="4" w:space="0" w:color="231F20"/>
            </w:tcBorders>
          </w:tcPr>
          <w:p>
            <w:pPr>
              <w:pStyle w:val="TableParagraph"/>
              <w:spacing w:before="93"/>
              <w:ind w:left="-1"/>
              <w:rPr>
                <w:sz w:val="16"/>
              </w:rPr>
            </w:pPr>
            <w:r>
              <w:rPr>
                <w:color w:val="231F20"/>
                <w:w w:val="90"/>
                <w:sz w:val="16"/>
              </w:rPr>
              <w:t>12.86%</w:t>
            </w:r>
          </w:p>
        </w:tc>
        <w:tc>
          <w:tcPr>
            <w:tcW w:w="1318" w:type="dxa"/>
            <w:tcBorders>
              <w:left w:val="single" w:sz="4" w:space="0" w:color="231F20"/>
              <w:right w:val="single" w:sz="4" w:space="0" w:color="231F20"/>
            </w:tcBorders>
          </w:tcPr>
          <w:p>
            <w:pPr>
              <w:pStyle w:val="TableParagraph"/>
              <w:spacing w:before="93"/>
              <w:ind w:left="0"/>
              <w:rPr>
                <w:sz w:val="16"/>
              </w:rPr>
            </w:pPr>
            <w:r>
              <w:rPr>
                <w:color w:val="231F20"/>
                <w:w w:val="85"/>
                <w:sz w:val="16"/>
              </w:rPr>
              <w:t>451,462,781.87</w:t>
            </w:r>
          </w:p>
        </w:tc>
        <w:tc>
          <w:tcPr>
            <w:tcW w:w="1828" w:type="dxa"/>
            <w:tcBorders>
              <w:left w:val="single" w:sz="4" w:space="0" w:color="231F20"/>
              <w:right w:val="single" w:sz="4" w:space="0" w:color="231F20"/>
            </w:tcBorders>
          </w:tcPr>
          <w:p>
            <w:pPr>
              <w:pStyle w:val="TableParagraph"/>
              <w:spacing w:before="93"/>
              <w:ind w:left="-1"/>
              <w:rPr>
                <w:sz w:val="16"/>
              </w:rPr>
            </w:pPr>
            <w:r>
              <w:rPr>
                <w:color w:val="231F20"/>
                <w:w w:val="90"/>
                <w:sz w:val="16"/>
              </w:rPr>
              <w:t>60.48%</w:t>
            </w:r>
          </w:p>
        </w:tc>
      </w:tr>
    </w:tbl>
    <w:p>
      <w:pPr>
        <w:pStyle w:val="BodyText"/>
        <w:rPr>
          <w:b/>
          <w:sz w:val="20"/>
        </w:rPr>
      </w:pPr>
    </w:p>
    <w:p>
      <w:pPr>
        <w:pStyle w:val="BodyText"/>
        <w:rPr>
          <w:b/>
          <w:sz w:val="16"/>
        </w:rPr>
      </w:pPr>
    </w:p>
    <w:p>
      <w:pPr>
        <w:spacing w:before="74"/>
        <w:ind w:left="3105" w:right="-2" w:firstLine="0"/>
        <w:jc w:val="left"/>
        <w:rPr>
          <w:rFonts w:ascii="Calibri" w:hAnsi="Calibri"/>
          <w:sz w:val="16"/>
        </w:rPr>
      </w:pPr>
      <w:r>
        <w:rPr>
          <w:rFonts w:ascii="Calibri" w:hAnsi="Calibri"/>
          <w:color w:val="231F20"/>
          <w:sz w:val="16"/>
        </w:rPr>
        <w:t>Fuente: Elaboración propia con datos del PDM de Nezahualcóyotl 2006-2009.</w:t>
      </w:r>
    </w:p>
    <w:p>
      <w:pPr>
        <w:pStyle w:val="BodyText"/>
        <w:rPr>
          <w:rFonts w:ascii="Calibri"/>
          <w:sz w:val="16"/>
        </w:rPr>
      </w:pPr>
    </w:p>
    <w:p>
      <w:pPr>
        <w:pStyle w:val="BodyText"/>
        <w:spacing w:before="9"/>
        <w:rPr>
          <w:rFonts w:ascii="Calibri"/>
          <w:sz w:val="12"/>
        </w:rPr>
      </w:pPr>
    </w:p>
    <w:p>
      <w:pPr>
        <w:pStyle w:val="BodyText"/>
        <w:spacing w:line="285" w:lineRule="auto"/>
        <w:ind w:left="110" w:right="108"/>
        <w:jc w:val="both"/>
      </w:pPr>
      <w:r>
        <w:rPr>
          <w:color w:val="231F20"/>
          <w:w w:val="105"/>
        </w:rPr>
        <w:t>En el cuadro 5 podemos apreciar el </w:t>
      </w:r>
      <w:r>
        <w:rPr>
          <w:color w:val="231F20"/>
          <w:spacing w:val="-3"/>
          <w:w w:val="105"/>
        </w:rPr>
        <w:t>monto </w:t>
      </w:r>
      <w:r>
        <w:rPr>
          <w:color w:val="231F20"/>
          <w:w w:val="105"/>
        </w:rPr>
        <w:t>de egresos por concepto de obras públicas, el cual en términos generales se ha venido incrementando prácticamente año con año</w:t>
      </w:r>
      <w:r>
        <w:rPr>
          <w:color w:val="231F20"/>
          <w:w w:val="105"/>
          <w:position w:val="7"/>
          <w:sz w:val="13"/>
        </w:rPr>
        <w:t>2 </w:t>
      </w:r>
      <w:r>
        <w:rPr>
          <w:color w:val="231F20"/>
          <w:w w:val="105"/>
        </w:rPr>
        <w:t>y se ha convertido en el rubro de gastos más importante del municipio </w:t>
      </w:r>
      <w:r>
        <w:rPr>
          <w:color w:val="231F20"/>
          <w:spacing w:val="-4"/>
          <w:w w:val="105"/>
        </w:rPr>
        <w:t>(con </w:t>
      </w:r>
      <w:r>
        <w:rPr>
          <w:color w:val="231F20"/>
          <w:w w:val="105"/>
        </w:rPr>
        <w:t>aproxima- damente</w:t>
      </w:r>
      <w:r>
        <w:rPr>
          <w:color w:val="231F20"/>
          <w:spacing w:val="-15"/>
          <w:w w:val="105"/>
        </w:rPr>
        <w:t> </w:t>
      </w:r>
      <w:r>
        <w:rPr>
          <w:color w:val="231F20"/>
          <w:w w:val="105"/>
        </w:rPr>
        <w:t>el</w:t>
      </w:r>
      <w:r>
        <w:rPr>
          <w:color w:val="231F20"/>
          <w:spacing w:val="-15"/>
          <w:w w:val="105"/>
        </w:rPr>
        <w:t> </w:t>
      </w:r>
      <w:r>
        <w:rPr>
          <w:color w:val="231F20"/>
          <w:spacing w:val="-3"/>
          <w:w w:val="105"/>
        </w:rPr>
        <w:t>10%</w:t>
      </w:r>
      <w:r>
        <w:rPr>
          <w:color w:val="231F20"/>
          <w:spacing w:val="-15"/>
          <w:w w:val="105"/>
        </w:rPr>
        <w:t> </w:t>
      </w:r>
      <w:r>
        <w:rPr>
          <w:color w:val="231F20"/>
          <w:w w:val="105"/>
        </w:rPr>
        <w:t>del</w:t>
      </w:r>
      <w:r>
        <w:rPr>
          <w:color w:val="231F20"/>
          <w:spacing w:val="-15"/>
          <w:w w:val="105"/>
        </w:rPr>
        <w:t> </w:t>
      </w:r>
      <w:r>
        <w:rPr>
          <w:color w:val="231F20"/>
          <w:w w:val="105"/>
        </w:rPr>
        <w:t>gasto</w:t>
      </w:r>
      <w:r>
        <w:rPr>
          <w:color w:val="231F20"/>
          <w:spacing w:val="-15"/>
          <w:w w:val="105"/>
        </w:rPr>
        <w:t> </w:t>
      </w:r>
      <w:r>
        <w:rPr>
          <w:color w:val="231F20"/>
          <w:w w:val="105"/>
        </w:rPr>
        <w:t>total)</w:t>
      </w:r>
      <w:r>
        <w:rPr>
          <w:color w:val="231F20"/>
          <w:spacing w:val="-15"/>
          <w:w w:val="105"/>
        </w:rPr>
        <w:t> </w:t>
      </w:r>
      <w:r>
        <w:rPr>
          <w:color w:val="231F20"/>
          <w:w w:val="105"/>
        </w:rPr>
        <w:t>después</w:t>
      </w:r>
      <w:r>
        <w:rPr>
          <w:color w:val="231F20"/>
          <w:spacing w:val="-15"/>
          <w:w w:val="105"/>
        </w:rPr>
        <w:t> </w:t>
      </w:r>
      <w:r>
        <w:rPr>
          <w:color w:val="231F20"/>
          <w:w w:val="105"/>
        </w:rPr>
        <w:t>del</w:t>
      </w:r>
      <w:r>
        <w:rPr>
          <w:color w:val="231F20"/>
          <w:spacing w:val="-15"/>
          <w:w w:val="105"/>
        </w:rPr>
        <w:t> </w:t>
      </w:r>
      <w:r>
        <w:rPr>
          <w:color w:val="231F20"/>
          <w:w w:val="105"/>
        </w:rPr>
        <w:t>gasto</w:t>
      </w:r>
      <w:r>
        <w:rPr>
          <w:color w:val="231F20"/>
          <w:spacing w:val="-15"/>
          <w:w w:val="105"/>
        </w:rPr>
        <w:t> </w:t>
      </w:r>
      <w:r>
        <w:rPr>
          <w:color w:val="231F20"/>
          <w:w w:val="105"/>
        </w:rPr>
        <w:t>corriente,</w:t>
      </w:r>
      <w:r>
        <w:rPr>
          <w:color w:val="231F20"/>
          <w:spacing w:val="-15"/>
          <w:w w:val="105"/>
        </w:rPr>
        <w:t> </w:t>
      </w:r>
      <w:r>
        <w:rPr>
          <w:color w:val="231F20"/>
          <w:w w:val="105"/>
        </w:rPr>
        <w:t>el</w:t>
      </w:r>
      <w:r>
        <w:rPr>
          <w:color w:val="231F20"/>
          <w:spacing w:val="-15"/>
          <w:w w:val="105"/>
        </w:rPr>
        <w:t> </w:t>
      </w:r>
      <w:r>
        <w:rPr>
          <w:color w:val="231F20"/>
          <w:w w:val="105"/>
        </w:rPr>
        <w:t>cual</w:t>
      </w:r>
      <w:r>
        <w:rPr>
          <w:color w:val="231F20"/>
          <w:spacing w:val="-15"/>
          <w:w w:val="105"/>
        </w:rPr>
        <w:t> </w:t>
      </w:r>
      <w:r>
        <w:rPr>
          <w:color w:val="231F20"/>
          <w:w w:val="105"/>
        </w:rPr>
        <w:t>se</w:t>
      </w:r>
      <w:r>
        <w:rPr>
          <w:color w:val="231F20"/>
          <w:spacing w:val="-15"/>
          <w:w w:val="105"/>
        </w:rPr>
        <w:t> </w:t>
      </w:r>
      <w:r>
        <w:rPr>
          <w:color w:val="231F20"/>
          <w:w w:val="105"/>
        </w:rPr>
        <w:t>ubica</w:t>
      </w:r>
      <w:r>
        <w:rPr>
          <w:color w:val="231F20"/>
          <w:spacing w:val="-15"/>
          <w:w w:val="105"/>
        </w:rPr>
        <w:t> </w:t>
      </w:r>
      <w:r>
        <w:rPr>
          <w:color w:val="231F20"/>
          <w:w w:val="105"/>
        </w:rPr>
        <w:t>en</w:t>
      </w:r>
      <w:r>
        <w:rPr>
          <w:color w:val="231F20"/>
          <w:spacing w:val="-15"/>
          <w:w w:val="105"/>
        </w:rPr>
        <w:t> </w:t>
      </w:r>
      <w:r>
        <w:rPr>
          <w:color w:val="231F20"/>
          <w:w w:val="105"/>
        </w:rPr>
        <w:t>términos generales</w:t>
      </w:r>
      <w:r>
        <w:rPr>
          <w:color w:val="231F20"/>
          <w:spacing w:val="-17"/>
          <w:w w:val="105"/>
        </w:rPr>
        <w:t> </w:t>
      </w:r>
      <w:r>
        <w:rPr>
          <w:color w:val="231F20"/>
          <w:w w:val="105"/>
        </w:rPr>
        <w:t>por</w:t>
      </w:r>
      <w:r>
        <w:rPr>
          <w:color w:val="231F20"/>
          <w:spacing w:val="-17"/>
          <w:w w:val="105"/>
        </w:rPr>
        <w:t> </w:t>
      </w:r>
      <w:r>
        <w:rPr>
          <w:color w:val="231F20"/>
          <w:w w:val="105"/>
        </w:rPr>
        <w:t>arriba</w:t>
      </w:r>
      <w:r>
        <w:rPr>
          <w:color w:val="231F20"/>
          <w:spacing w:val="-17"/>
          <w:w w:val="105"/>
        </w:rPr>
        <w:t> </w:t>
      </w:r>
      <w:r>
        <w:rPr>
          <w:color w:val="231F20"/>
          <w:w w:val="105"/>
        </w:rPr>
        <w:t>del</w:t>
      </w:r>
      <w:r>
        <w:rPr>
          <w:color w:val="231F20"/>
          <w:spacing w:val="-17"/>
          <w:w w:val="105"/>
        </w:rPr>
        <w:t> </w:t>
      </w:r>
      <w:r>
        <w:rPr>
          <w:color w:val="231F20"/>
          <w:w w:val="105"/>
        </w:rPr>
        <w:t>60%</w:t>
      </w:r>
      <w:r>
        <w:rPr>
          <w:color w:val="231F20"/>
          <w:spacing w:val="-17"/>
          <w:w w:val="105"/>
        </w:rPr>
        <w:t> </w:t>
      </w:r>
      <w:r>
        <w:rPr>
          <w:color w:val="231F20"/>
          <w:w w:val="105"/>
        </w:rPr>
        <w:t>de</w:t>
      </w:r>
      <w:r>
        <w:rPr>
          <w:color w:val="231F20"/>
          <w:spacing w:val="-17"/>
          <w:w w:val="105"/>
        </w:rPr>
        <w:t> </w:t>
      </w:r>
      <w:r>
        <w:rPr>
          <w:color w:val="231F20"/>
          <w:w w:val="105"/>
        </w:rPr>
        <w:t>del</w:t>
      </w:r>
      <w:r>
        <w:rPr>
          <w:color w:val="231F20"/>
          <w:spacing w:val="-17"/>
          <w:w w:val="105"/>
        </w:rPr>
        <w:t> </w:t>
      </w:r>
      <w:r>
        <w:rPr>
          <w:color w:val="231F20"/>
          <w:w w:val="105"/>
        </w:rPr>
        <w:t>gasto</w:t>
      </w:r>
      <w:r>
        <w:rPr>
          <w:color w:val="231F20"/>
          <w:spacing w:val="-17"/>
          <w:w w:val="105"/>
        </w:rPr>
        <w:t> </w:t>
      </w:r>
      <w:r>
        <w:rPr>
          <w:color w:val="231F20"/>
          <w:w w:val="105"/>
        </w:rPr>
        <w:t>total.</w:t>
      </w:r>
      <w:r>
        <w:rPr>
          <w:color w:val="231F20"/>
          <w:spacing w:val="-17"/>
          <w:w w:val="105"/>
        </w:rPr>
        <w:t> </w:t>
      </w:r>
      <w:r>
        <w:rPr>
          <w:color w:val="231F20"/>
          <w:w w:val="105"/>
        </w:rPr>
        <w:t>Y</w:t>
      </w:r>
      <w:r>
        <w:rPr>
          <w:color w:val="231F20"/>
          <w:spacing w:val="-17"/>
          <w:w w:val="105"/>
        </w:rPr>
        <w:t> </w:t>
      </w:r>
      <w:r>
        <w:rPr>
          <w:color w:val="231F20"/>
          <w:w w:val="105"/>
        </w:rPr>
        <w:t>considerando</w:t>
      </w:r>
      <w:r>
        <w:rPr>
          <w:color w:val="231F20"/>
          <w:spacing w:val="-17"/>
          <w:w w:val="105"/>
        </w:rPr>
        <w:t> </w:t>
      </w:r>
      <w:r>
        <w:rPr>
          <w:color w:val="231F20"/>
          <w:w w:val="105"/>
        </w:rPr>
        <w:t>que</w:t>
      </w:r>
      <w:r>
        <w:rPr>
          <w:color w:val="231F20"/>
          <w:spacing w:val="-17"/>
          <w:w w:val="105"/>
        </w:rPr>
        <w:t> </w:t>
      </w:r>
      <w:r>
        <w:rPr>
          <w:color w:val="231F20"/>
          <w:w w:val="105"/>
        </w:rPr>
        <w:t>uno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rubros</w:t>
      </w:r>
      <w:r>
        <w:rPr>
          <w:color w:val="231F20"/>
          <w:spacing w:val="-17"/>
          <w:w w:val="105"/>
        </w:rPr>
        <w:t> </w:t>
      </w:r>
      <w:r>
        <w:rPr>
          <w:color w:val="231F20"/>
          <w:w w:val="105"/>
        </w:rPr>
        <w:t>de gasto</w:t>
      </w:r>
      <w:r>
        <w:rPr>
          <w:color w:val="231F20"/>
          <w:spacing w:val="-10"/>
          <w:w w:val="105"/>
        </w:rPr>
        <w:t> </w:t>
      </w:r>
      <w:r>
        <w:rPr>
          <w:color w:val="231F20"/>
          <w:w w:val="105"/>
        </w:rPr>
        <w:t>corriente</w:t>
      </w:r>
      <w:r>
        <w:rPr>
          <w:color w:val="231F20"/>
          <w:spacing w:val="-10"/>
          <w:w w:val="105"/>
        </w:rPr>
        <w:t> </w:t>
      </w:r>
      <w:r>
        <w:rPr>
          <w:color w:val="231F20"/>
          <w:w w:val="105"/>
        </w:rPr>
        <w:t>que</w:t>
      </w:r>
      <w:r>
        <w:rPr>
          <w:color w:val="231F20"/>
          <w:spacing w:val="-10"/>
          <w:w w:val="105"/>
        </w:rPr>
        <w:t> </w:t>
      </w:r>
      <w:r>
        <w:rPr>
          <w:color w:val="231F20"/>
          <w:w w:val="105"/>
        </w:rPr>
        <w:t>implica</w:t>
      </w:r>
      <w:r>
        <w:rPr>
          <w:color w:val="231F20"/>
          <w:spacing w:val="-10"/>
          <w:w w:val="105"/>
        </w:rPr>
        <w:t> </w:t>
      </w:r>
      <w:r>
        <w:rPr>
          <w:color w:val="231F20"/>
          <w:w w:val="105"/>
        </w:rPr>
        <w:t>mayores</w:t>
      </w:r>
      <w:r>
        <w:rPr>
          <w:color w:val="231F20"/>
          <w:spacing w:val="-10"/>
          <w:w w:val="105"/>
        </w:rPr>
        <w:t> </w:t>
      </w:r>
      <w:r>
        <w:rPr>
          <w:color w:val="231F20"/>
          <w:w w:val="105"/>
        </w:rPr>
        <w:t>egresos</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pago</w:t>
      </w:r>
      <w:r>
        <w:rPr>
          <w:color w:val="231F20"/>
          <w:spacing w:val="-10"/>
          <w:w w:val="105"/>
        </w:rPr>
        <w:t> </w:t>
      </w:r>
      <w:r>
        <w:rPr>
          <w:color w:val="231F20"/>
          <w:w w:val="105"/>
        </w:rPr>
        <w:t>por</w:t>
      </w:r>
      <w:r>
        <w:rPr>
          <w:color w:val="231F20"/>
          <w:spacing w:val="-10"/>
          <w:w w:val="105"/>
        </w:rPr>
        <w:t> </w:t>
      </w:r>
      <w:r>
        <w:rPr>
          <w:color w:val="231F20"/>
          <w:w w:val="105"/>
        </w:rPr>
        <w:t>servicios</w:t>
      </w:r>
      <w:r>
        <w:rPr>
          <w:color w:val="231F20"/>
          <w:spacing w:val="-10"/>
          <w:w w:val="105"/>
        </w:rPr>
        <w:t> </w:t>
      </w:r>
      <w:r>
        <w:rPr>
          <w:color w:val="231F20"/>
          <w:w w:val="105"/>
        </w:rPr>
        <w:t>personales</w:t>
      </w:r>
      <w:r>
        <w:rPr>
          <w:color w:val="231F20"/>
          <w:spacing w:val="-10"/>
          <w:w w:val="105"/>
        </w:rPr>
        <w:t> </w:t>
      </w:r>
      <w:r>
        <w:rPr>
          <w:color w:val="231F20"/>
          <w:w w:val="105"/>
        </w:rPr>
        <w:t>una</w:t>
      </w:r>
      <w:r>
        <w:rPr>
          <w:color w:val="231F20"/>
          <w:spacing w:val="-10"/>
          <w:w w:val="105"/>
        </w:rPr>
        <w:t> </w:t>
      </w:r>
      <w:r>
        <w:rPr>
          <w:color w:val="231F20"/>
          <w:w w:val="105"/>
        </w:rPr>
        <w:t>de las</w:t>
      </w:r>
      <w:r>
        <w:rPr>
          <w:color w:val="231F20"/>
          <w:spacing w:val="-17"/>
          <w:w w:val="105"/>
        </w:rPr>
        <w:t> </w:t>
      </w:r>
      <w:r>
        <w:rPr>
          <w:color w:val="231F20"/>
          <w:w w:val="105"/>
        </w:rPr>
        <w:t>medidas</w:t>
      </w:r>
      <w:r>
        <w:rPr>
          <w:color w:val="231F20"/>
          <w:spacing w:val="-17"/>
          <w:w w:val="105"/>
        </w:rPr>
        <w:t> </w:t>
      </w:r>
      <w:r>
        <w:rPr>
          <w:color w:val="231F20"/>
          <w:w w:val="105"/>
        </w:rPr>
        <w:t>tomadas</w:t>
      </w:r>
      <w:r>
        <w:rPr>
          <w:color w:val="231F20"/>
          <w:spacing w:val="-17"/>
          <w:w w:val="105"/>
        </w:rPr>
        <w:t> </w:t>
      </w:r>
      <w:r>
        <w:rPr>
          <w:color w:val="231F20"/>
          <w:w w:val="105"/>
        </w:rPr>
        <w:t>por</w:t>
      </w:r>
      <w:r>
        <w:rPr>
          <w:color w:val="231F20"/>
          <w:spacing w:val="-17"/>
          <w:w w:val="105"/>
        </w:rPr>
        <w:t> </w:t>
      </w:r>
      <w:r>
        <w:rPr>
          <w:color w:val="231F20"/>
          <w:w w:val="105"/>
        </w:rPr>
        <w:t>la</w:t>
      </w:r>
      <w:r>
        <w:rPr>
          <w:color w:val="231F20"/>
          <w:spacing w:val="-17"/>
          <w:w w:val="105"/>
        </w:rPr>
        <w:t> </w:t>
      </w:r>
      <w:r>
        <w:rPr>
          <w:color w:val="231F20"/>
          <w:w w:val="105"/>
        </w:rPr>
        <w:t>actual</w:t>
      </w:r>
      <w:r>
        <w:rPr>
          <w:color w:val="231F20"/>
          <w:spacing w:val="-17"/>
          <w:w w:val="105"/>
        </w:rPr>
        <w:t> </w:t>
      </w:r>
      <w:r>
        <w:rPr>
          <w:color w:val="231F20"/>
          <w:w w:val="105"/>
        </w:rPr>
        <w:t>administración</w:t>
      </w:r>
      <w:r>
        <w:rPr>
          <w:color w:val="231F20"/>
          <w:spacing w:val="-17"/>
          <w:w w:val="105"/>
        </w:rPr>
        <w:t> </w:t>
      </w:r>
      <w:r>
        <w:rPr>
          <w:color w:val="231F20"/>
          <w:w w:val="105"/>
        </w:rPr>
        <w:t>del</w:t>
      </w:r>
      <w:r>
        <w:rPr>
          <w:color w:val="231F20"/>
          <w:spacing w:val="-17"/>
          <w:w w:val="105"/>
        </w:rPr>
        <w:t> </w:t>
      </w:r>
      <w:r>
        <w:rPr>
          <w:color w:val="231F20"/>
          <w:w w:val="105"/>
        </w:rPr>
        <w:t>PRD</w:t>
      </w:r>
      <w:r>
        <w:rPr>
          <w:color w:val="231F20"/>
          <w:spacing w:val="-17"/>
          <w:w w:val="105"/>
        </w:rPr>
        <w:t> </w:t>
      </w:r>
      <w:r>
        <w:rPr>
          <w:color w:val="231F20"/>
          <w:w w:val="105"/>
        </w:rPr>
        <w:t>en</w:t>
      </w:r>
      <w:r>
        <w:rPr>
          <w:color w:val="231F20"/>
          <w:spacing w:val="-17"/>
          <w:w w:val="105"/>
        </w:rPr>
        <w:t> </w:t>
      </w:r>
      <w:r>
        <w:rPr>
          <w:color w:val="231F20"/>
          <w:w w:val="105"/>
        </w:rPr>
        <w:t>Nezahualcóyotl</w:t>
      </w:r>
      <w:r>
        <w:rPr>
          <w:color w:val="231F20"/>
          <w:spacing w:val="-17"/>
          <w:w w:val="105"/>
        </w:rPr>
        <w:t> </w:t>
      </w:r>
      <w:r>
        <w:rPr>
          <w:color w:val="231F20"/>
          <w:w w:val="105"/>
        </w:rPr>
        <w:t>ha</w:t>
      </w:r>
      <w:r>
        <w:rPr>
          <w:color w:val="231F20"/>
          <w:spacing w:val="-17"/>
          <w:w w:val="105"/>
        </w:rPr>
        <w:t> </w:t>
      </w:r>
      <w:r>
        <w:rPr>
          <w:color w:val="231F20"/>
          <w:w w:val="105"/>
        </w:rPr>
        <w:t>sido</w:t>
      </w:r>
      <w:r>
        <w:rPr>
          <w:color w:val="231F20"/>
          <w:spacing w:val="-17"/>
          <w:w w:val="105"/>
        </w:rPr>
        <w:t> </w:t>
      </w:r>
      <w:r>
        <w:rPr>
          <w:color w:val="231F20"/>
          <w:w w:val="105"/>
        </w:rPr>
        <w:t>la disminución</w:t>
      </w:r>
      <w:r>
        <w:rPr>
          <w:color w:val="231F20"/>
          <w:spacing w:val="-20"/>
          <w:w w:val="105"/>
        </w:rPr>
        <w:t> </w:t>
      </w:r>
      <w:r>
        <w:rPr>
          <w:color w:val="231F20"/>
          <w:w w:val="105"/>
        </w:rPr>
        <w:t>de</w:t>
      </w:r>
      <w:r>
        <w:rPr>
          <w:color w:val="231F20"/>
          <w:spacing w:val="-20"/>
          <w:w w:val="105"/>
        </w:rPr>
        <w:t> </w:t>
      </w:r>
      <w:r>
        <w:rPr>
          <w:color w:val="231F20"/>
          <w:w w:val="105"/>
        </w:rPr>
        <w:t>30%</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salarios</w:t>
      </w:r>
      <w:r>
        <w:rPr>
          <w:color w:val="231F20"/>
          <w:spacing w:val="-20"/>
          <w:w w:val="105"/>
        </w:rPr>
        <w:t> </w:t>
      </w:r>
      <w:r>
        <w:rPr>
          <w:color w:val="231F20"/>
          <w:w w:val="105"/>
        </w:rPr>
        <w:t>a</w:t>
      </w:r>
      <w:r>
        <w:rPr>
          <w:color w:val="231F20"/>
          <w:spacing w:val="-20"/>
          <w:w w:val="105"/>
        </w:rPr>
        <w:t> </w:t>
      </w:r>
      <w:r>
        <w:rPr>
          <w:color w:val="231F20"/>
          <w:w w:val="105"/>
        </w:rPr>
        <w:t>mandos</w:t>
      </w:r>
      <w:r>
        <w:rPr>
          <w:color w:val="231F20"/>
          <w:spacing w:val="-20"/>
          <w:w w:val="105"/>
        </w:rPr>
        <w:t> </w:t>
      </w:r>
      <w:r>
        <w:rPr>
          <w:color w:val="231F20"/>
          <w:w w:val="105"/>
        </w:rPr>
        <w:t>medios</w:t>
      </w:r>
      <w:r>
        <w:rPr>
          <w:color w:val="231F20"/>
          <w:spacing w:val="-20"/>
          <w:w w:val="105"/>
        </w:rPr>
        <w:t> </w:t>
      </w:r>
      <w:r>
        <w:rPr>
          <w:color w:val="231F20"/>
          <w:w w:val="105"/>
        </w:rPr>
        <w:t>y</w:t>
      </w:r>
      <w:r>
        <w:rPr>
          <w:color w:val="231F20"/>
          <w:spacing w:val="-20"/>
          <w:w w:val="105"/>
        </w:rPr>
        <w:t> </w:t>
      </w:r>
      <w:r>
        <w:rPr>
          <w:color w:val="231F20"/>
          <w:w w:val="105"/>
        </w:rPr>
        <w:t>superiores</w:t>
      </w:r>
      <w:r>
        <w:rPr>
          <w:color w:val="231F20"/>
          <w:spacing w:val="-20"/>
          <w:w w:val="105"/>
        </w:rPr>
        <w:t> </w:t>
      </w:r>
      <w:r>
        <w:rPr>
          <w:color w:val="231F20"/>
          <w:w w:val="105"/>
        </w:rPr>
        <w:t>integrantes</w:t>
      </w:r>
      <w:r>
        <w:rPr>
          <w:color w:val="231F20"/>
          <w:spacing w:val="-20"/>
          <w:w w:val="105"/>
        </w:rPr>
        <w:t> </w:t>
      </w:r>
      <w:r>
        <w:rPr>
          <w:color w:val="231F20"/>
          <w:w w:val="105"/>
        </w:rPr>
        <w:t>del</w:t>
      </w:r>
      <w:r>
        <w:rPr>
          <w:color w:val="231F20"/>
          <w:spacing w:val="-20"/>
          <w:w w:val="105"/>
        </w:rPr>
        <w:t> </w:t>
      </w:r>
      <w:r>
        <w:rPr>
          <w:color w:val="231F20"/>
          <w:w w:val="105"/>
        </w:rPr>
        <w:t>Ayun- tamiento, mediante acuerdo </w:t>
      </w:r>
      <w:r>
        <w:rPr>
          <w:color w:val="231F20"/>
          <w:spacing w:val="-3"/>
          <w:w w:val="105"/>
        </w:rPr>
        <w:t>aprobado </w:t>
      </w:r>
      <w:r>
        <w:rPr>
          <w:color w:val="231F20"/>
          <w:w w:val="105"/>
        </w:rPr>
        <w:t>por el cabildo, con la finalidad de propiciar una mejor</w:t>
      </w:r>
      <w:r>
        <w:rPr>
          <w:color w:val="231F20"/>
          <w:spacing w:val="-6"/>
          <w:w w:val="105"/>
        </w:rPr>
        <w:t> </w:t>
      </w:r>
      <w:r>
        <w:rPr>
          <w:color w:val="231F20"/>
          <w:w w:val="105"/>
        </w:rPr>
        <w:t>orientación</w:t>
      </w:r>
      <w:r>
        <w:rPr>
          <w:color w:val="231F20"/>
          <w:spacing w:val="-6"/>
          <w:w w:val="105"/>
        </w:rPr>
        <w:t> </w:t>
      </w:r>
      <w:r>
        <w:rPr>
          <w:color w:val="231F20"/>
          <w:w w:val="105"/>
        </w:rPr>
        <w:t>del</w:t>
      </w:r>
      <w:r>
        <w:rPr>
          <w:color w:val="231F20"/>
          <w:spacing w:val="-6"/>
          <w:w w:val="105"/>
        </w:rPr>
        <w:t> </w:t>
      </w:r>
      <w:r>
        <w:rPr>
          <w:color w:val="231F20"/>
          <w:w w:val="105"/>
        </w:rPr>
        <w:t>gasto</w:t>
      </w:r>
      <w:r>
        <w:rPr>
          <w:color w:val="231F20"/>
          <w:spacing w:val="-6"/>
          <w:w w:val="105"/>
        </w:rPr>
        <w:t> </w:t>
      </w:r>
      <w:r>
        <w:rPr>
          <w:color w:val="231F20"/>
          <w:w w:val="105"/>
        </w:rPr>
        <w:t>del</w:t>
      </w:r>
      <w:r>
        <w:rPr>
          <w:color w:val="231F20"/>
          <w:spacing w:val="-6"/>
          <w:w w:val="105"/>
        </w:rPr>
        <w:t> </w:t>
      </w:r>
      <w:r>
        <w:rPr>
          <w:color w:val="231F20"/>
          <w:w w:val="105"/>
        </w:rPr>
        <w:t>erario</w:t>
      </w:r>
      <w:r>
        <w:rPr>
          <w:color w:val="231F20"/>
          <w:spacing w:val="-6"/>
          <w:w w:val="105"/>
        </w:rPr>
        <w:t> </w:t>
      </w:r>
      <w:r>
        <w:rPr>
          <w:color w:val="231F20"/>
          <w:w w:val="105"/>
        </w:rPr>
        <w:t>público</w:t>
      </w:r>
      <w:r>
        <w:rPr>
          <w:color w:val="231F20"/>
          <w:spacing w:val="-6"/>
          <w:w w:val="105"/>
        </w:rPr>
        <w:t> </w:t>
      </w:r>
      <w:r>
        <w:rPr>
          <w:color w:val="231F20"/>
          <w:w w:val="105"/>
        </w:rPr>
        <w:t>privilegiando</w:t>
      </w:r>
      <w:r>
        <w:rPr>
          <w:color w:val="231F20"/>
          <w:spacing w:val="-6"/>
          <w:w w:val="105"/>
        </w:rPr>
        <w:t> </w:t>
      </w:r>
      <w:r>
        <w:rPr>
          <w:color w:val="231F20"/>
          <w:w w:val="105"/>
        </w:rPr>
        <w:t>la</w:t>
      </w:r>
      <w:r>
        <w:rPr>
          <w:color w:val="231F20"/>
          <w:spacing w:val="-6"/>
          <w:w w:val="105"/>
        </w:rPr>
        <w:t> </w:t>
      </w:r>
      <w:r>
        <w:rPr>
          <w:color w:val="231F20"/>
          <w:w w:val="105"/>
        </w:rPr>
        <w:t>inversión</w:t>
      </w:r>
      <w:r>
        <w:rPr>
          <w:color w:val="231F20"/>
          <w:spacing w:val="-6"/>
          <w:w w:val="105"/>
        </w:rPr>
        <w:t> </w:t>
      </w:r>
      <w:r>
        <w:rPr>
          <w:color w:val="231F20"/>
          <w:w w:val="105"/>
        </w:rPr>
        <w:t>social,</w:t>
      </w:r>
      <w:r>
        <w:rPr>
          <w:color w:val="231F20"/>
          <w:spacing w:val="-6"/>
          <w:w w:val="105"/>
        </w:rPr>
        <w:t> </w:t>
      </w:r>
      <w:r>
        <w:rPr>
          <w:color w:val="231F20"/>
          <w:w w:val="105"/>
        </w:rPr>
        <w:t>acorde con una política de</w:t>
      </w:r>
      <w:r>
        <w:rPr>
          <w:color w:val="231F20"/>
          <w:spacing w:val="-34"/>
          <w:w w:val="105"/>
        </w:rPr>
        <w:t> </w:t>
      </w:r>
      <w:r>
        <w:rPr>
          <w:color w:val="231F20"/>
          <w:w w:val="105"/>
        </w:rPr>
        <w:t>austeridad.</w:t>
      </w:r>
    </w:p>
    <w:p>
      <w:pPr>
        <w:pStyle w:val="BodyText"/>
        <w:spacing w:before="3"/>
      </w:pPr>
      <w:r>
        <w:rPr/>
        <w:pict>
          <v:line style="position:absolute;mso-position-horizontal-relative:page;mso-position-vertical-relative:paragraph;z-index:11992;mso-wrap-distance-left:0;mso-wrap-distance-right:0" from="42.519699pt,15.269801pt" to="114.519699pt,15.269801pt" stroked="true" strokeweight="1pt" strokecolor="#231f20">
            <w10:wrap type="topAndBottom"/>
          </v:line>
        </w:pict>
      </w:r>
    </w:p>
    <w:p>
      <w:pPr>
        <w:pStyle w:val="ListParagraph"/>
        <w:numPr>
          <w:ilvl w:val="0"/>
          <w:numId w:val="22"/>
        </w:numPr>
        <w:tabs>
          <w:tab w:pos="259" w:val="left" w:leader="none"/>
        </w:tabs>
        <w:spacing w:line="240" w:lineRule="auto" w:before="8" w:after="0"/>
        <w:ind w:left="258" w:right="0" w:hanging="148"/>
        <w:jc w:val="left"/>
        <w:rPr>
          <w:sz w:val="16"/>
        </w:rPr>
      </w:pPr>
      <w:r>
        <w:rPr>
          <w:color w:val="231F20"/>
          <w:sz w:val="16"/>
        </w:rPr>
        <w:t>Cabe</w:t>
      </w:r>
      <w:r>
        <w:rPr>
          <w:color w:val="231F20"/>
          <w:spacing w:val="-8"/>
          <w:sz w:val="16"/>
        </w:rPr>
        <w:t> </w:t>
      </w:r>
      <w:r>
        <w:rPr>
          <w:color w:val="231F20"/>
          <w:sz w:val="16"/>
        </w:rPr>
        <w:t>mencionar</w:t>
      </w:r>
      <w:r>
        <w:rPr>
          <w:color w:val="231F20"/>
          <w:spacing w:val="-8"/>
          <w:sz w:val="16"/>
        </w:rPr>
        <w:t> </w:t>
      </w:r>
      <w:r>
        <w:rPr>
          <w:color w:val="231F20"/>
          <w:sz w:val="16"/>
        </w:rPr>
        <w:t>que</w:t>
      </w:r>
      <w:r>
        <w:rPr>
          <w:color w:val="231F20"/>
          <w:spacing w:val="-8"/>
          <w:sz w:val="16"/>
        </w:rPr>
        <w:t> </w:t>
      </w:r>
      <w:r>
        <w:rPr>
          <w:color w:val="231F20"/>
          <w:sz w:val="16"/>
        </w:rPr>
        <w:t>las</w:t>
      </w:r>
      <w:r>
        <w:rPr>
          <w:color w:val="231F20"/>
          <w:spacing w:val="-8"/>
          <w:sz w:val="16"/>
        </w:rPr>
        <w:t> </w:t>
      </w:r>
      <w:r>
        <w:rPr>
          <w:color w:val="231F20"/>
          <w:sz w:val="16"/>
        </w:rPr>
        <w:t>cifras</w:t>
      </w:r>
      <w:r>
        <w:rPr>
          <w:color w:val="231F20"/>
          <w:spacing w:val="-8"/>
          <w:sz w:val="16"/>
        </w:rPr>
        <w:t> </w:t>
      </w:r>
      <w:r>
        <w:rPr>
          <w:color w:val="231F20"/>
          <w:sz w:val="16"/>
        </w:rPr>
        <w:t>del</w:t>
      </w:r>
      <w:r>
        <w:rPr>
          <w:color w:val="231F20"/>
          <w:spacing w:val="-8"/>
          <w:sz w:val="16"/>
        </w:rPr>
        <w:t> </w:t>
      </w:r>
      <w:r>
        <w:rPr>
          <w:color w:val="231F20"/>
          <w:sz w:val="16"/>
        </w:rPr>
        <w:t>año</w:t>
      </w:r>
      <w:r>
        <w:rPr>
          <w:color w:val="231F20"/>
          <w:spacing w:val="-8"/>
          <w:sz w:val="16"/>
        </w:rPr>
        <w:t> </w:t>
      </w:r>
      <w:r>
        <w:rPr>
          <w:color w:val="231F20"/>
          <w:sz w:val="16"/>
        </w:rPr>
        <w:t>2006</w:t>
      </w:r>
      <w:r>
        <w:rPr>
          <w:color w:val="231F20"/>
          <w:spacing w:val="-8"/>
          <w:sz w:val="16"/>
        </w:rPr>
        <w:t> </w:t>
      </w:r>
      <w:r>
        <w:rPr>
          <w:color w:val="231F20"/>
          <w:sz w:val="16"/>
        </w:rPr>
        <w:t>se</w:t>
      </w:r>
      <w:r>
        <w:rPr>
          <w:color w:val="231F20"/>
          <w:spacing w:val="-8"/>
          <w:sz w:val="16"/>
        </w:rPr>
        <w:t> </w:t>
      </w:r>
      <w:r>
        <w:rPr>
          <w:color w:val="231F20"/>
          <w:sz w:val="16"/>
        </w:rPr>
        <w:t>contemplan</w:t>
      </w:r>
      <w:r>
        <w:rPr>
          <w:color w:val="231F20"/>
          <w:spacing w:val="-8"/>
          <w:sz w:val="16"/>
        </w:rPr>
        <w:t> </w:t>
      </w:r>
      <w:r>
        <w:rPr>
          <w:color w:val="231F20"/>
          <w:sz w:val="16"/>
        </w:rPr>
        <w:t>hasta</w:t>
      </w:r>
      <w:r>
        <w:rPr>
          <w:color w:val="231F20"/>
          <w:spacing w:val="-8"/>
          <w:sz w:val="16"/>
        </w:rPr>
        <w:t> </w:t>
      </w:r>
      <w:r>
        <w:rPr>
          <w:color w:val="231F20"/>
          <w:sz w:val="16"/>
        </w:rPr>
        <w:t>el</w:t>
      </w:r>
      <w:r>
        <w:rPr>
          <w:color w:val="231F20"/>
          <w:spacing w:val="-8"/>
          <w:sz w:val="16"/>
        </w:rPr>
        <w:t> </w:t>
      </w:r>
      <w:r>
        <w:rPr>
          <w:color w:val="231F20"/>
          <w:sz w:val="16"/>
        </w:rPr>
        <w:t>mes</w:t>
      </w:r>
      <w:r>
        <w:rPr>
          <w:color w:val="231F20"/>
          <w:spacing w:val="-8"/>
          <w:sz w:val="16"/>
        </w:rPr>
        <w:t> </w:t>
      </w:r>
      <w:r>
        <w:rPr>
          <w:color w:val="231F20"/>
          <w:sz w:val="16"/>
        </w:rPr>
        <w:t>de</w:t>
      </w:r>
      <w:r>
        <w:rPr>
          <w:color w:val="231F20"/>
          <w:spacing w:val="-8"/>
          <w:sz w:val="16"/>
        </w:rPr>
        <w:t> </w:t>
      </w:r>
      <w:r>
        <w:rPr>
          <w:color w:val="231F20"/>
          <w:sz w:val="16"/>
        </w:rPr>
        <w:t>septiembre.</w:t>
      </w:r>
    </w:p>
    <w:p>
      <w:pPr>
        <w:spacing w:after="0" w:line="240" w:lineRule="auto"/>
        <w:jc w:val="left"/>
        <w:rPr>
          <w:sz w:val="16"/>
        </w:rPr>
        <w:sectPr>
          <w:pgSz w:w="9640" w:h="12190"/>
          <w:pgMar w:header="0" w:footer="743" w:top="1120" w:bottom="940" w:left="740" w:right="740"/>
        </w:sectPr>
      </w:pPr>
    </w:p>
    <w:p>
      <w:pPr>
        <w:pStyle w:val="BodyText"/>
        <w:spacing w:before="8"/>
        <w:rPr>
          <w:rFonts w:ascii="Calibri"/>
          <w:sz w:val="10"/>
        </w:rPr>
      </w:pPr>
    </w:p>
    <w:p>
      <w:pPr>
        <w:pStyle w:val="BodyText"/>
        <w:spacing w:line="285" w:lineRule="auto" w:before="35"/>
        <w:ind w:left="110" w:right="107"/>
        <w:jc w:val="both"/>
      </w:pPr>
      <w:r>
        <w:rPr>
          <w:color w:val="231F20"/>
          <w:spacing w:val="-3"/>
          <w:w w:val="105"/>
        </w:rPr>
        <w:t>Por </w:t>
      </w:r>
      <w:r>
        <w:rPr>
          <w:color w:val="231F20"/>
          <w:w w:val="105"/>
        </w:rPr>
        <w:t>tanto, además de la inversión en infraestructura y servicios básicos por medio del gasto público, las administraciones perredistas en el municipio han dado énfasis a la política</w:t>
      </w:r>
      <w:r>
        <w:rPr>
          <w:color w:val="231F20"/>
          <w:spacing w:val="-21"/>
          <w:w w:val="105"/>
        </w:rPr>
        <w:t> </w:t>
      </w:r>
      <w:r>
        <w:rPr>
          <w:color w:val="231F20"/>
          <w:w w:val="105"/>
        </w:rPr>
        <w:t>social,</w:t>
      </w:r>
      <w:r>
        <w:rPr>
          <w:color w:val="231F20"/>
          <w:spacing w:val="-21"/>
          <w:w w:val="105"/>
        </w:rPr>
        <w:t> </w:t>
      </w:r>
      <w:r>
        <w:rPr>
          <w:color w:val="231F20"/>
          <w:w w:val="105"/>
        </w:rPr>
        <w:t>con</w:t>
      </w:r>
      <w:r>
        <w:rPr>
          <w:color w:val="231F20"/>
          <w:spacing w:val="-21"/>
          <w:w w:val="105"/>
        </w:rPr>
        <w:t> </w:t>
      </w:r>
      <w:r>
        <w:rPr>
          <w:color w:val="231F20"/>
          <w:w w:val="105"/>
        </w:rPr>
        <w:t>acciones</w:t>
      </w:r>
      <w:r>
        <w:rPr>
          <w:color w:val="231F20"/>
          <w:spacing w:val="-21"/>
          <w:w w:val="105"/>
        </w:rPr>
        <w:t> </w:t>
      </w:r>
      <w:r>
        <w:rPr>
          <w:color w:val="231F20"/>
          <w:w w:val="105"/>
        </w:rPr>
        <w:t>como</w:t>
      </w:r>
      <w:r>
        <w:rPr>
          <w:color w:val="231F20"/>
          <w:spacing w:val="-21"/>
          <w:w w:val="105"/>
        </w:rPr>
        <w:t> </w:t>
      </w:r>
      <w:r>
        <w:rPr>
          <w:color w:val="231F20"/>
          <w:w w:val="105"/>
        </w:rPr>
        <w:t>atención</w:t>
      </w:r>
      <w:r>
        <w:rPr>
          <w:color w:val="231F20"/>
          <w:spacing w:val="-21"/>
          <w:w w:val="105"/>
        </w:rPr>
        <w:t> </w:t>
      </w:r>
      <w:r>
        <w:rPr>
          <w:color w:val="231F20"/>
          <w:w w:val="105"/>
        </w:rPr>
        <w:t>a</w:t>
      </w:r>
      <w:r>
        <w:rPr>
          <w:color w:val="231F20"/>
          <w:spacing w:val="-21"/>
          <w:w w:val="105"/>
        </w:rPr>
        <w:t> </w:t>
      </w:r>
      <w:r>
        <w:rPr>
          <w:color w:val="231F20"/>
          <w:w w:val="105"/>
        </w:rPr>
        <w:t>grupos</w:t>
      </w:r>
      <w:r>
        <w:rPr>
          <w:color w:val="231F20"/>
          <w:spacing w:val="-21"/>
          <w:w w:val="105"/>
        </w:rPr>
        <w:t> </w:t>
      </w:r>
      <w:r>
        <w:rPr>
          <w:color w:val="231F20"/>
          <w:w w:val="105"/>
        </w:rPr>
        <w:t>vulnerables</w:t>
      </w:r>
      <w:r>
        <w:rPr>
          <w:color w:val="231F20"/>
          <w:spacing w:val="-21"/>
          <w:w w:val="105"/>
        </w:rPr>
        <w:t> </w:t>
      </w:r>
      <w:r>
        <w:rPr>
          <w:color w:val="231F20"/>
          <w:w w:val="105"/>
        </w:rPr>
        <w:t>(madres</w:t>
      </w:r>
      <w:r>
        <w:rPr>
          <w:color w:val="231F20"/>
          <w:spacing w:val="-21"/>
          <w:w w:val="105"/>
        </w:rPr>
        <w:t> </w:t>
      </w:r>
      <w:r>
        <w:rPr>
          <w:color w:val="231F20"/>
          <w:w w:val="105"/>
        </w:rPr>
        <w:t>solteras,</w:t>
      </w:r>
      <w:r>
        <w:rPr>
          <w:color w:val="231F20"/>
          <w:spacing w:val="-21"/>
          <w:w w:val="105"/>
        </w:rPr>
        <w:t> </w:t>
      </w:r>
      <w:r>
        <w:rPr>
          <w:color w:val="231F20"/>
          <w:w w:val="105"/>
        </w:rPr>
        <w:t>adul- tos</w:t>
      </w:r>
      <w:r>
        <w:rPr>
          <w:color w:val="231F20"/>
          <w:spacing w:val="-13"/>
          <w:w w:val="105"/>
        </w:rPr>
        <w:t> </w:t>
      </w:r>
      <w:r>
        <w:rPr>
          <w:color w:val="231F20"/>
          <w:w w:val="105"/>
        </w:rPr>
        <w:t>mayores,</w:t>
      </w:r>
      <w:r>
        <w:rPr>
          <w:color w:val="231F20"/>
          <w:spacing w:val="-13"/>
          <w:w w:val="105"/>
        </w:rPr>
        <w:t> </w:t>
      </w:r>
      <w:r>
        <w:rPr>
          <w:color w:val="231F20"/>
          <w:w w:val="105"/>
        </w:rPr>
        <w:t>niños</w:t>
      </w:r>
      <w:r>
        <w:rPr>
          <w:color w:val="231F20"/>
          <w:spacing w:val="-13"/>
          <w:w w:val="105"/>
        </w:rPr>
        <w:t> </w:t>
      </w:r>
      <w:r>
        <w:rPr>
          <w:color w:val="231F20"/>
          <w:w w:val="105"/>
        </w:rPr>
        <w:t>y</w:t>
      </w:r>
      <w:r>
        <w:rPr>
          <w:color w:val="231F20"/>
          <w:spacing w:val="-13"/>
          <w:w w:val="105"/>
        </w:rPr>
        <w:t> </w:t>
      </w:r>
      <w:r>
        <w:rPr>
          <w:color w:val="231F20"/>
          <w:w w:val="105"/>
        </w:rPr>
        <w:t>personas</w:t>
      </w:r>
      <w:r>
        <w:rPr>
          <w:color w:val="231F20"/>
          <w:spacing w:val="-13"/>
          <w:w w:val="105"/>
        </w:rPr>
        <w:t> </w:t>
      </w:r>
      <w:r>
        <w:rPr>
          <w:color w:val="231F20"/>
          <w:w w:val="105"/>
        </w:rPr>
        <w:t>con</w:t>
      </w:r>
      <w:r>
        <w:rPr>
          <w:color w:val="231F20"/>
          <w:spacing w:val="-13"/>
          <w:w w:val="105"/>
        </w:rPr>
        <w:t> </w:t>
      </w:r>
      <w:r>
        <w:rPr>
          <w:color w:val="231F20"/>
          <w:w w:val="105"/>
        </w:rPr>
        <w:t>discapacidad),</w:t>
      </w:r>
      <w:r>
        <w:rPr>
          <w:color w:val="231F20"/>
          <w:spacing w:val="-13"/>
          <w:w w:val="105"/>
        </w:rPr>
        <w:t> </w:t>
      </w:r>
      <w:r>
        <w:rPr>
          <w:color w:val="231F20"/>
          <w:w w:val="105"/>
        </w:rPr>
        <w:t>atención</w:t>
      </w:r>
      <w:r>
        <w:rPr>
          <w:color w:val="231F20"/>
          <w:spacing w:val="-13"/>
          <w:w w:val="105"/>
        </w:rPr>
        <w:t> </w:t>
      </w:r>
      <w:r>
        <w:rPr>
          <w:color w:val="231F20"/>
          <w:w w:val="105"/>
        </w:rPr>
        <w:t>médica</w:t>
      </w:r>
      <w:r>
        <w:rPr>
          <w:color w:val="231F20"/>
          <w:spacing w:val="-13"/>
          <w:w w:val="105"/>
        </w:rPr>
        <w:t> </w:t>
      </w:r>
      <w:r>
        <w:rPr>
          <w:color w:val="231F20"/>
          <w:w w:val="105"/>
        </w:rPr>
        <w:t>a</w:t>
      </w:r>
      <w:r>
        <w:rPr>
          <w:color w:val="231F20"/>
          <w:spacing w:val="-13"/>
          <w:w w:val="105"/>
        </w:rPr>
        <w:t> </w:t>
      </w:r>
      <w:r>
        <w:rPr>
          <w:color w:val="231F20"/>
          <w:w w:val="105"/>
        </w:rPr>
        <w:t>población</w:t>
      </w:r>
      <w:r>
        <w:rPr>
          <w:color w:val="231F20"/>
          <w:spacing w:val="-13"/>
          <w:w w:val="105"/>
        </w:rPr>
        <w:t> </w:t>
      </w:r>
      <w:r>
        <w:rPr>
          <w:color w:val="231F20"/>
          <w:w w:val="105"/>
        </w:rPr>
        <w:t>de</w:t>
      </w:r>
      <w:r>
        <w:rPr>
          <w:color w:val="231F20"/>
          <w:spacing w:val="-13"/>
          <w:w w:val="105"/>
        </w:rPr>
        <w:t> </w:t>
      </w:r>
      <w:r>
        <w:rPr>
          <w:color w:val="231F20"/>
          <w:w w:val="105"/>
        </w:rPr>
        <w:t>bajos recursos,</w:t>
      </w:r>
      <w:r>
        <w:rPr>
          <w:color w:val="231F20"/>
          <w:spacing w:val="-15"/>
          <w:w w:val="105"/>
        </w:rPr>
        <w:t> </w:t>
      </w:r>
      <w:r>
        <w:rPr>
          <w:color w:val="231F20"/>
          <w:w w:val="105"/>
        </w:rPr>
        <w:t>útiles</w:t>
      </w:r>
      <w:r>
        <w:rPr>
          <w:color w:val="231F20"/>
          <w:spacing w:val="-15"/>
          <w:w w:val="105"/>
        </w:rPr>
        <w:t> </w:t>
      </w:r>
      <w:r>
        <w:rPr>
          <w:color w:val="231F20"/>
          <w:w w:val="105"/>
        </w:rPr>
        <w:t>escolares</w:t>
      </w:r>
      <w:r>
        <w:rPr>
          <w:color w:val="231F20"/>
          <w:spacing w:val="-15"/>
          <w:w w:val="105"/>
        </w:rPr>
        <w:t> </w:t>
      </w:r>
      <w:r>
        <w:rPr>
          <w:color w:val="231F20"/>
          <w:w w:val="105"/>
        </w:rPr>
        <w:t>gratuitos</w:t>
      </w:r>
      <w:r>
        <w:rPr>
          <w:color w:val="231F20"/>
          <w:spacing w:val="-15"/>
          <w:w w:val="105"/>
        </w:rPr>
        <w:t> </w:t>
      </w:r>
      <w:r>
        <w:rPr>
          <w:color w:val="231F20"/>
          <w:w w:val="105"/>
        </w:rPr>
        <w:t>a</w:t>
      </w:r>
      <w:r>
        <w:rPr>
          <w:color w:val="231F20"/>
          <w:spacing w:val="-15"/>
          <w:w w:val="105"/>
        </w:rPr>
        <w:t> </w:t>
      </w:r>
      <w:r>
        <w:rPr>
          <w:color w:val="231F20"/>
          <w:w w:val="105"/>
        </w:rPr>
        <w:t>alumnos</w:t>
      </w:r>
      <w:r>
        <w:rPr>
          <w:color w:val="231F20"/>
          <w:spacing w:val="-15"/>
          <w:w w:val="105"/>
        </w:rPr>
        <w:t> </w:t>
      </w:r>
      <w:r>
        <w:rPr>
          <w:color w:val="231F20"/>
          <w:w w:val="105"/>
        </w:rPr>
        <w:t>del</w:t>
      </w:r>
      <w:r>
        <w:rPr>
          <w:color w:val="231F20"/>
          <w:spacing w:val="-15"/>
          <w:w w:val="105"/>
        </w:rPr>
        <w:t> </w:t>
      </w:r>
      <w:r>
        <w:rPr>
          <w:color w:val="231F20"/>
          <w:w w:val="105"/>
        </w:rPr>
        <w:t>nivel</w:t>
      </w:r>
      <w:r>
        <w:rPr>
          <w:color w:val="231F20"/>
          <w:spacing w:val="-15"/>
          <w:w w:val="105"/>
        </w:rPr>
        <w:t> </w:t>
      </w:r>
      <w:r>
        <w:rPr>
          <w:color w:val="231F20"/>
          <w:w w:val="105"/>
        </w:rPr>
        <w:t>básico,</w:t>
      </w:r>
      <w:r>
        <w:rPr>
          <w:color w:val="231F20"/>
          <w:spacing w:val="-15"/>
          <w:w w:val="105"/>
        </w:rPr>
        <w:t> </w:t>
      </w:r>
      <w:r>
        <w:rPr>
          <w:color w:val="231F20"/>
          <w:w w:val="105"/>
        </w:rPr>
        <w:t>etc.</w:t>
      </w:r>
    </w:p>
    <w:p>
      <w:pPr>
        <w:pStyle w:val="BodyText"/>
        <w:spacing w:line="285" w:lineRule="auto" w:before="1"/>
        <w:ind w:left="677" w:right="108"/>
        <w:jc w:val="both"/>
      </w:pPr>
      <w:r>
        <w:rPr>
          <w:color w:val="231F20"/>
          <w:spacing w:val="-3"/>
          <w:w w:val="105"/>
        </w:rPr>
        <w:t>…el</w:t>
      </w:r>
      <w:r>
        <w:rPr>
          <w:color w:val="231F20"/>
          <w:spacing w:val="-20"/>
          <w:w w:val="105"/>
        </w:rPr>
        <w:t> </w:t>
      </w:r>
      <w:r>
        <w:rPr>
          <w:color w:val="231F20"/>
          <w:w w:val="105"/>
        </w:rPr>
        <w:t>Gobierno</w:t>
      </w:r>
      <w:r>
        <w:rPr>
          <w:color w:val="231F20"/>
          <w:spacing w:val="-20"/>
          <w:w w:val="105"/>
        </w:rPr>
        <w:t> </w:t>
      </w:r>
      <w:r>
        <w:rPr>
          <w:color w:val="231F20"/>
          <w:w w:val="105"/>
        </w:rPr>
        <w:t>Municipal</w:t>
      </w:r>
      <w:r>
        <w:rPr>
          <w:color w:val="231F20"/>
          <w:spacing w:val="-20"/>
          <w:w w:val="105"/>
        </w:rPr>
        <w:t> </w:t>
      </w:r>
      <w:r>
        <w:rPr>
          <w:color w:val="231F20"/>
          <w:w w:val="105"/>
        </w:rPr>
        <w:t>de</w:t>
      </w:r>
      <w:r>
        <w:rPr>
          <w:color w:val="231F20"/>
          <w:spacing w:val="-20"/>
          <w:w w:val="105"/>
        </w:rPr>
        <w:t> </w:t>
      </w:r>
      <w:r>
        <w:rPr>
          <w:color w:val="231F20"/>
          <w:w w:val="105"/>
        </w:rPr>
        <w:t>Nezahualcóyotl</w:t>
      </w:r>
      <w:r>
        <w:rPr>
          <w:color w:val="231F20"/>
          <w:spacing w:val="-20"/>
          <w:w w:val="105"/>
        </w:rPr>
        <w:t> </w:t>
      </w:r>
      <w:r>
        <w:rPr>
          <w:color w:val="231F20"/>
          <w:w w:val="105"/>
        </w:rPr>
        <w:t>ha</w:t>
      </w:r>
      <w:r>
        <w:rPr>
          <w:color w:val="231F20"/>
          <w:spacing w:val="-20"/>
          <w:w w:val="105"/>
        </w:rPr>
        <w:t> </w:t>
      </w:r>
      <w:r>
        <w:rPr>
          <w:color w:val="231F20"/>
          <w:w w:val="105"/>
        </w:rPr>
        <w:t>definido</w:t>
      </w:r>
      <w:r>
        <w:rPr>
          <w:color w:val="231F20"/>
          <w:spacing w:val="-20"/>
          <w:w w:val="105"/>
        </w:rPr>
        <w:t> </w:t>
      </w:r>
      <w:r>
        <w:rPr>
          <w:color w:val="231F20"/>
          <w:w w:val="105"/>
        </w:rPr>
        <w:t>la</w:t>
      </w:r>
      <w:r>
        <w:rPr>
          <w:color w:val="231F20"/>
          <w:spacing w:val="-20"/>
          <w:w w:val="105"/>
        </w:rPr>
        <w:t> </w:t>
      </w:r>
      <w:r>
        <w:rPr>
          <w:color w:val="231F20"/>
          <w:w w:val="105"/>
        </w:rPr>
        <w:t>atención</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sectores vulnerables de la sociedad como los adultos mayores, madres solteras, personas con</w:t>
      </w:r>
      <w:r>
        <w:rPr>
          <w:color w:val="231F20"/>
          <w:spacing w:val="-15"/>
          <w:w w:val="105"/>
        </w:rPr>
        <w:t> </w:t>
      </w:r>
      <w:r>
        <w:rPr>
          <w:color w:val="231F20"/>
          <w:w w:val="105"/>
        </w:rPr>
        <w:t>capacidades</w:t>
      </w:r>
      <w:r>
        <w:rPr>
          <w:color w:val="231F20"/>
          <w:spacing w:val="-15"/>
          <w:w w:val="105"/>
        </w:rPr>
        <w:t> </w:t>
      </w:r>
      <w:r>
        <w:rPr>
          <w:color w:val="231F20"/>
          <w:w w:val="105"/>
        </w:rPr>
        <w:t>diferentes</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situación</w:t>
      </w:r>
      <w:r>
        <w:rPr>
          <w:color w:val="231F20"/>
          <w:spacing w:val="-15"/>
          <w:w w:val="105"/>
        </w:rPr>
        <w:t> </w:t>
      </w:r>
      <w:r>
        <w:rPr>
          <w:color w:val="231F20"/>
          <w:w w:val="105"/>
        </w:rPr>
        <w:t>de</w:t>
      </w:r>
      <w:r>
        <w:rPr>
          <w:color w:val="231F20"/>
          <w:spacing w:val="-15"/>
          <w:w w:val="105"/>
        </w:rPr>
        <w:t> </w:t>
      </w:r>
      <w:r>
        <w:rPr>
          <w:color w:val="231F20"/>
          <w:w w:val="105"/>
        </w:rPr>
        <w:t>abandono</w:t>
      </w:r>
      <w:r>
        <w:rPr>
          <w:color w:val="231F20"/>
          <w:spacing w:val="-15"/>
          <w:w w:val="105"/>
        </w:rPr>
        <w:t> </w:t>
      </w:r>
      <w:r>
        <w:rPr>
          <w:color w:val="231F20"/>
          <w:w w:val="105"/>
        </w:rPr>
        <w:t>y</w:t>
      </w:r>
      <w:r>
        <w:rPr>
          <w:color w:val="231F20"/>
          <w:spacing w:val="-15"/>
          <w:w w:val="105"/>
        </w:rPr>
        <w:t> </w:t>
      </w:r>
      <w:r>
        <w:rPr>
          <w:color w:val="231F20"/>
          <w:w w:val="105"/>
        </w:rPr>
        <w:t>maltrato,</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quie- nes</w:t>
      </w:r>
      <w:r>
        <w:rPr>
          <w:color w:val="231F20"/>
          <w:spacing w:val="-10"/>
          <w:w w:val="105"/>
        </w:rPr>
        <w:t> </w:t>
      </w:r>
      <w:r>
        <w:rPr>
          <w:color w:val="231F20"/>
          <w:w w:val="105"/>
        </w:rPr>
        <w:t>sufren</w:t>
      </w:r>
      <w:r>
        <w:rPr>
          <w:color w:val="231F20"/>
          <w:spacing w:val="-10"/>
          <w:w w:val="105"/>
        </w:rPr>
        <w:t> </w:t>
      </w:r>
      <w:r>
        <w:rPr>
          <w:color w:val="231F20"/>
          <w:w w:val="105"/>
        </w:rPr>
        <w:t>algún</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adicción,</w:t>
      </w:r>
      <w:r>
        <w:rPr>
          <w:color w:val="231F20"/>
          <w:spacing w:val="-10"/>
          <w:w w:val="105"/>
        </w:rPr>
        <w:t> </w:t>
      </w:r>
      <w:r>
        <w:rPr>
          <w:color w:val="231F20"/>
          <w:w w:val="105"/>
        </w:rPr>
        <w:t>como</w:t>
      </w:r>
      <w:r>
        <w:rPr>
          <w:color w:val="231F20"/>
          <w:spacing w:val="-10"/>
          <w:w w:val="105"/>
        </w:rPr>
        <w:t> </w:t>
      </w:r>
      <w:r>
        <w:rPr>
          <w:color w:val="231F20"/>
          <w:w w:val="105"/>
        </w:rPr>
        <w:t>uno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sectores</w:t>
      </w:r>
      <w:r>
        <w:rPr>
          <w:color w:val="231F20"/>
          <w:spacing w:val="-10"/>
          <w:w w:val="105"/>
        </w:rPr>
        <w:t> </w:t>
      </w:r>
      <w:r>
        <w:rPr>
          <w:color w:val="231F20"/>
          <w:w w:val="105"/>
        </w:rPr>
        <w:t>prioritarios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eje- cución</w:t>
      </w:r>
      <w:r>
        <w:rPr>
          <w:color w:val="231F20"/>
          <w:spacing w:val="-23"/>
          <w:w w:val="105"/>
        </w:rPr>
        <w:t> </w:t>
      </w:r>
      <w:r>
        <w:rPr>
          <w:color w:val="231F20"/>
          <w:w w:val="105"/>
        </w:rPr>
        <w:t>de</w:t>
      </w:r>
      <w:r>
        <w:rPr>
          <w:color w:val="231F20"/>
          <w:spacing w:val="-23"/>
          <w:w w:val="105"/>
        </w:rPr>
        <w:t> </w:t>
      </w:r>
      <w:r>
        <w:rPr>
          <w:color w:val="231F20"/>
          <w:w w:val="105"/>
        </w:rPr>
        <w:t>sus</w:t>
      </w:r>
      <w:r>
        <w:rPr>
          <w:color w:val="231F20"/>
          <w:spacing w:val="-23"/>
          <w:w w:val="105"/>
        </w:rPr>
        <w:t> </w:t>
      </w:r>
      <w:r>
        <w:rPr>
          <w:color w:val="231F20"/>
          <w:w w:val="105"/>
        </w:rPr>
        <w:t>acciones</w:t>
      </w:r>
      <w:r>
        <w:rPr>
          <w:color w:val="231F20"/>
          <w:spacing w:val="-23"/>
          <w:w w:val="105"/>
        </w:rPr>
        <w:t> </w:t>
      </w:r>
      <w:r>
        <w:rPr>
          <w:color w:val="231F20"/>
          <w:w w:val="105"/>
        </w:rPr>
        <w:t>y</w:t>
      </w:r>
      <w:r>
        <w:rPr>
          <w:color w:val="231F20"/>
          <w:spacing w:val="-23"/>
          <w:w w:val="105"/>
        </w:rPr>
        <w:t> </w:t>
      </w:r>
      <w:r>
        <w:rPr>
          <w:color w:val="231F20"/>
          <w:w w:val="105"/>
        </w:rPr>
        <w:t>programas</w:t>
      </w:r>
      <w:r>
        <w:rPr>
          <w:color w:val="231F20"/>
          <w:spacing w:val="-23"/>
          <w:w w:val="105"/>
        </w:rPr>
        <w:t> </w:t>
      </w:r>
      <w:r>
        <w:rPr>
          <w:color w:val="231F20"/>
          <w:w w:val="105"/>
        </w:rPr>
        <w:t>de</w:t>
      </w:r>
      <w:r>
        <w:rPr>
          <w:color w:val="231F20"/>
          <w:spacing w:val="-23"/>
          <w:w w:val="105"/>
        </w:rPr>
        <w:t> </w:t>
      </w:r>
      <w:r>
        <w:rPr>
          <w:color w:val="231F20"/>
          <w:w w:val="105"/>
        </w:rPr>
        <w:t>trabajo.</w:t>
      </w:r>
      <w:r>
        <w:rPr>
          <w:color w:val="231F20"/>
          <w:spacing w:val="-23"/>
          <w:w w:val="105"/>
        </w:rPr>
        <w:t> </w:t>
      </w:r>
      <w:r>
        <w:rPr>
          <w:color w:val="231F20"/>
          <w:w w:val="105"/>
        </w:rPr>
        <w:t>(Bautista</w:t>
      </w:r>
      <w:r>
        <w:rPr>
          <w:color w:val="231F20"/>
          <w:spacing w:val="-23"/>
          <w:w w:val="105"/>
        </w:rPr>
        <w:t> </w:t>
      </w:r>
      <w:r>
        <w:rPr>
          <w:color w:val="231F20"/>
          <w:w w:val="105"/>
        </w:rPr>
        <w:t>López,</w:t>
      </w:r>
      <w:r>
        <w:rPr>
          <w:color w:val="231F20"/>
          <w:spacing w:val="-23"/>
          <w:w w:val="105"/>
        </w:rPr>
        <w:t> </w:t>
      </w:r>
      <w:r>
        <w:rPr>
          <w:color w:val="231F20"/>
          <w:spacing w:val="-4"/>
          <w:w w:val="105"/>
        </w:rPr>
        <w:t>2007:16).</w:t>
      </w:r>
    </w:p>
    <w:p>
      <w:pPr>
        <w:pStyle w:val="BodyText"/>
        <w:spacing w:before="1"/>
        <w:rPr>
          <w:sz w:val="26"/>
        </w:rPr>
      </w:pPr>
    </w:p>
    <w:p>
      <w:pPr>
        <w:pStyle w:val="BodyText"/>
        <w:spacing w:line="285" w:lineRule="auto"/>
        <w:ind w:left="110" w:right="107"/>
        <w:jc w:val="both"/>
      </w:pPr>
      <w:r>
        <w:rPr>
          <w:color w:val="231F20"/>
          <w:w w:val="105"/>
        </w:rPr>
        <w:t>Sin </w:t>
      </w:r>
      <w:r>
        <w:rPr>
          <w:color w:val="231F20"/>
          <w:spacing w:val="-3"/>
          <w:w w:val="105"/>
        </w:rPr>
        <w:t>lugar </w:t>
      </w:r>
      <w:r>
        <w:rPr>
          <w:color w:val="231F20"/>
          <w:w w:val="105"/>
        </w:rPr>
        <w:t>a </w:t>
      </w:r>
      <w:r>
        <w:rPr>
          <w:color w:val="231F20"/>
          <w:spacing w:val="-3"/>
          <w:w w:val="105"/>
        </w:rPr>
        <w:t>dudas que </w:t>
      </w:r>
      <w:r>
        <w:rPr>
          <w:color w:val="231F20"/>
          <w:w w:val="105"/>
        </w:rPr>
        <w:t>la política social </w:t>
      </w:r>
      <w:r>
        <w:rPr>
          <w:color w:val="231F20"/>
          <w:spacing w:val="-3"/>
          <w:w w:val="105"/>
        </w:rPr>
        <w:t>que </w:t>
      </w:r>
      <w:r>
        <w:rPr>
          <w:color w:val="231F20"/>
          <w:w w:val="105"/>
        </w:rPr>
        <w:t>han </w:t>
      </w:r>
      <w:r>
        <w:rPr>
          <w:color w:val="231F20"/>
          <w:spacing w:val="-3"/>
          <w:w w:val="105"/>
        </w:rPr>
        <w:t>llevado </w:t>
      </w:r>
      <w:r>
        <w:rPr>
          <w:color w:val="231F20"/>
          <w:w w:val="105"/>
        </w:rPr>
        <w:t>a cabo las administraciones </w:t>
      </w:r>
      <w:r>
        <w:rPr>
          <w:color w:val="231F20"/>
          <w:spacing w:val="-3"/>
          <w:w w:val="105"/>
        </w:rPr>
        <w:t>pe- </w:t>
      </w:r>
      <w:r>
        <w:rPr>
          <w:color w:val="231F20"/>
          <w:w w:val="105"/>
        </w:rPr>
        <w:t>rredistas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spacing w:val="-3"/>
          <w:w w:val="105"/>
        </w:rPr>
        <w:t>municipio</w:t>
      </w:r>
      <w:r>
        <w:rPr>
          <w:color w:val="231F20"/>
          <w:spacing w:val="-5"/>
          <w:w w:val="105"/>
        </w:rPr>
        <w:t> </w:t>
      </w:r>
      <w:r>
        <w:rPr>
          <w:color w:val="231F20"/>
          <w:w w:val="105"/>
        </w:rPr>
        <w:t>ha</w:t>
      </w:r>
      <w:r>
        <w:rPr>
          <w:color w:val="231F20"/>
          <w:spacing w:val="-5"/>
          <w:w w:val="105"/>
        </w:rPr>
        <w:t> </w:t>
      </w:r>
      <w:r>
        <w:rPr>
          <w:color w:val="231F20"/>
          <w:spacing w:val="-4"/>
          <w:w w:val="105"/>
        </w:rPr>
        <w:t>sido</w:t>
      </w:r>
      <w:r>
        <w:rPr>
          <w:color w:val="231F20"/>
          <w:spacing w:val="-5"/>
          <w:w w:val="105"/>
        </w:rPr>
        <w:t> </w:t>
      </w:r>
      <w:r>
        <w:rPr>
          <w:color w:val="231F20"/>
          <w:w w:val="105"/>
        </w:rPr>
        <w:t>un</w:t>
      </w:r>
      <w:r>
        <w:rPr>
          <w:color w:val="231F20"/>
          <w:spacing w:val="-5"/>
          <w:w w:val="105"/>
        </w:rPr>
        <w:t> </w:t>
      </w:r>
      <w:r>
        <w:rPr>
          <w:color w:val="231F20"/>
          <w:spacing w:val="-4"/>
          <w:w w:val="105"/>
        </w:rPr>
        <w:t>elemento</w:t>
      </w:r>
      <w:r>
        <w:rPr>
          <w:color w:val="231F20"/>
          <w:spacing w:val="-5"/>
          <w:w w:val="105"/>
        </w:rPr>
        <w:t> </w:t>
      </w:r>
      <w:r>
        <w:rPr>
          <w:color w:val="231F20"/>
          <w:spacing w:val="-3"/>
          <w:w w:val="105"/>
        </w:rPr>
        <w:t>muy</w:t>
      </w:r>
      <w:r>
        <w:rPr>
          <w:color w:val="231F20"/>
          <w:spacing w:val="-5"/>
          <w:w w:val="105"/>
        </w:rPr>
        <w:t> </w:t>
      </w:r>
      <w:r>
        <w:rPr>
          <w:color w:val="231F20"/>
          <w:w w:val="105"/>
        </w:rPr>
        <w:t>importante</w:t>
      </w:r>
      <w:r>
        <w:rPr>
          <w:color w:val="231F20"/>
          <w:spacing w:val="-5"/>
          <w:w w:val="105"/>
        </w:rPr>
        <w:t> </w:t>
      </w:r>
      <w:r>
        <w:rPr>
          <w:color w:val="231F20"/>
          <w:spacing w:val="-3"/>
          <w:w w:val="105"/>
        </w:rPr>
        <w:t>que</w:t>
      </w:r>
      <w:r>
        <w:rPr>
          <w:color w:val="231F20"/>
          <w:spacing w:val="-5"/>
          <w:w w:val="105"/>
        </w:rPr>
        <w:t> </w:t>
      </w:r>
      <w:r>
        <w:rPr>
          <w:color w:val="231F20"/>
          <w:spacing w:val="-3"/>
          <w:w w:val="105"/>
        </w:rPr>
        <w:t>nos</w:t>
      </w:r>
      <w:r>
        <w:rPr>
          <w:color w:val="231F20"/>
          <w:spacing w:val="-5"/>
          <w:w w:val="105"/>
        </w:rPr>
        <w:t> </w:t>
      </w:r>
      <w:r>
        <w:rPr>
          <w:color w:val="231F20"/>
          <w:w w:val="105"/>
        </w:rPr>
        <w:t>ayuda</w:t>
      </w:r>
      <w:r>
        <w:rPr>
          <w:color w:val="231F20"/>
          <w:spacing w:val="-5"/>
          <w:w w:val="105"/>
        </w:rPr>
        <w:t> </w:t>
      </w:r>
      <w:r>
        <w:rPr>
          <w:color w:val="231F20"/>
          <w:w w:val="105"/>
        </w:rPr>
        <w:t>a</w:t>
      </w:r>
      <w:r>
        <w:rPr>
          <w:color w:val="231F20"/>
          <w:spacing w:val="-5"/>
          <w:w w:val="105"/>
        </w:rPr>
        <w:t> </w:t>
      </w:r>
      <w:r>
        <w:rPr>
          <w:color w:val="231F20"/>
          <w:spacing w:val="-4"/>
          <w:w w:val="105"/>
        </w:rPr>
        <w:t>entender </w:t>
      </w:r>
      <w:r>
        <w:rPr>
          <w:color w:val="231F20"/>
          <w:w w:val="105"/>
        </w:rPr>
        <w:t>el</w:t>
      </w:r>
      <w:r>
        <w:rPr>
          <w:color w:val="231F20"/>
          <w:spacing w:val="-16"/>
          <w:w w:val="105"/>
        </w:rPr>
        <w:t> </w:t>
      </w:r>
      <w:r>
        <w:rPr>
          <w:color w:val="231F20"/>
          <w:w w:val="105"/>
        </w:rPr>
        <w:t>éxito</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spacing w:val="-3"/>
          <w:w w:val="105"/>
        </w:rPr>
        <w:t>continuidad</w:t>
      </w:r>
      <w:r>
        <w:rPr>
          <w:color w:val="231F20"/>
          <w:spacing w:val="-16"/>
          <w:w w:val="105"/>
        </w:rPr>
        <w:t> </w:t>
      </w:r>
      <w:r>
        <w:rPr>
          <w:color w:val="231F20"/>
          <w:w w:val="105"/>
        </w:rPr>
        <w:t>de</w:t>
      </w:r>
      <w:r>
        <w:rPr>
          <w:color w:val="231F20"/>
          <w:spacing w:val="-16"/>
          <w:w w:val="105"/>
        </w:rPr>
        <w:t> </w:t>
      </w:r>
      <w:r>
        <w:rPr>
          <w:color w:val="231F20"/>
          <w:w w:val="105"/>
        </w:rPr>
        <w:t>este</w:t>
      </w:r>
      <w:r>
        <w:rPr>
          <w:color w:val="231F20"/>
          <w:spacing w:val="-16"/>
          <w:w w:val="105"/>
        </w:rPr>
        <w:t> </w:t>
      </w:r>
      <w:r>
        <w:rPr>
          <w:color w:val="231F20"/>
          <w:w w:val="105"/>
        </w:rPr>
        <w:t>partido</w:t>
      </w:r>
      <w:r>
        <w:rPr>
          <w:color w:val="231F20"/>
          <w:spacing w:val="-16"/>
          <w:w w:val="105"/>
        </w:rPr>
        <w:t> </w:t>
      </w:r>
      <w:r>
        <w:rPr>
          <w:color w:val="231F20"/>
          <w:w w:val="105"/>
        </w:rPr>
        <w:t>en</w:t>
      </w:r>
      <w:r>
        <w:rPr>
          <w:color w:val="231F20"/>
          <w:spacing w:val="-16"/>
          <w:w w:val="105"/>
        </w:rPr>
        <w:t> </w:t>
      </w:r>
      <w:r>
        <w:rPr>
          <w:color w:val="231F20"/>
          <w:spacing w:val="-3"/>
          <w:w w:val="105"/>
        </w:rPr>
        <w:t>Nezahualcóyotl</w:t>
      </w:r>
      <w:r>
        <w:rPr>
          <w:color w:val="231F20"/>
          <w:spacing w:val="-16"/>
          <w:w w:val="105"/>
        </w:rPr>
        <w:t> </w:t>
      </w:r>
      <w:r>
        <w:rPr>
          <w:color w:val="231F20"/>
          <w:spacing w:val="-3"/>
          <w:w w:val="105"/>
        </w:rPr>
        <w:t>desde</w:t>
      </w:r>
      <w:r>
        <w:rPr>
          <w:color w:val="231F20"/>
          <w:spacing w:val="-16"/>
          <w:w w:val="105"/>
        </w:rPr>
        <w:t> </w:t>
      </w:r>
      <w:r>
        <w:rPr>
          <w:color w:val="231F20"/>
          <w:spacing w:val="-3"/>
          <w:w w:val="105"/>
        </w:rPr>
        <w:t>1996</w:t>
      </w:r>
      <w:r>
        <w:rPr>
          <w:color w:val="231F20"/>
          <w:spacing w:val="-16"/>
          <w:w w:val="105"/>
        </w:rPr>
        <w:t> </w:t>
      </w:r>
      <w:r>
        <w:rPr>
          <w:color w:val="231F20"/>
          <w:w w:val="105"/>
        </w:rPr>
        <w:t>hasta</w:t>
      </w:r>
      <w:r>
        <w:rPr>
          <w:color w:val="231F20"/>
          <w:spacing w:val="-16"/>
          <w:w w:val="105"/>
        </w:rPr>
        <w:t> </w:t>
      </w:r>
      <w:r>
        <w:rPr>
          <w:color w:val="231F20"/>
          <w:w w:val="105"/>
        </w:rPr>
        <w:t>la</w:t>
      </w:r>
      <w:r>
        <w:rPr>
          <w:color w:val="231F20"/>
          <w:spacing w:val="-16"/>
          <w:w w:val="105"/>
        </w:rPr>
        <w:t> </w:t>
      </w:r>
      <w:r>
        <w:rPr>
          <w:color w:val="231F20"/>
          <w:spacing w:val="-3"/>
          <w:w w:val="105"/>
        </w:rPr>
        <w:t>fecha.</w:t>
      </w:r>
      <w:r>
        <w:rPr>
          <w:color w:val="231F20"/>
          <w:spacing w:val="-16"/>
          <w:w w:val="105"/>
        </w:rPr>
        <w:t> </w:t>
      </w:r>
      <w:r>
        <w:rPr>
          <w:color w:val="231F20"/>
          <w:w w:val="105"/>
        </w:rPr>
        <w:t>Sin </w:t>
      </w:r>
      <w:r>
        <w:rPr>
          <w:color w:val="231F20"/>
          <w:spacing w:val="-3"/>
          <w:w w:val="105"/>
        </w:rPr>
        <w:t>embargo, consideramos que los </w:t>
      </w:r>
      <w:r>
        <w:rPr>
          <w:color w:val="231F20"/>
          <w:w w:val="105"/>
        </w:rPr>
        <w:t>programas sociales </w:t>
      </w:r>
      <w:r>
        <w:rPr>
          <w:color w:val="231F20"/>
          <w:spacing w:val="-4"/>
          <w:w w:val="105"/>
        </w:rPr>
        <w:t>implementados </w:t>
      </w:r>
      <w:r>
        <w:rPr>
          <w:color w:val="231F20"/>
          <w:spacing w:val="-3"/>
          <w:w w:val="105"/>
        </w:rPr>
        <w:t>por </w:t>
      </w:r>
      <w:r>
        <w:rPr>
          <w:color w:val="231F20"/>
          <w:w w:val="105"/>
        </w:rPr>
        <w:t>el PRD asumen un</w:t>
      </w:r>
      <w:r>
        <w:rPr>
          <w:color w:val="231F20"/>
          <w:spacing w:val="-22"/>
          <w:w w:val="105"/>
        </w:rPr>
        <w:t> </w:t>
      </w:r>
      <w:r>
        <w:rPr>
          <w:color w:val="231F20"/>
          <w:w w:val="105"/>
        </w:rPr>
        <w:t>carácter</w:t>
      </w:r>
      <w:r>
        <w:rPr>
          <w:color w:val="231F20"/>
          <w:spacing w:val="-22"/>
          <w:w w:val="105"/>
        </w:rPr>
        <w:t> </w:t>
      </w:r>
      <w:r>
        <w:rPr>
          <w:color w:val="231F20"/>
          <w:w w:val="105"/>
        </w:rPr>
        <w:t>asistencialista,</w:t>
      </w:r>
      <w:r>
        <w:rPr>
          <w:color w:val="231F20"/>
          <w:spacing w:val="-22"/>
          <w:w w:val="105"/>
        </w:rPr>
        <w:t> </w:t>
      </w:r>
      <w:r>
        <w:rPr>
          <w:color w:val="231F20"/>
          <w:spacing w:val="-4"/>
          <w:w w:val="105"/>
        </w:rPr>
        <w:t>dado</w:t>
      </w:r>
      <w:r>
        <w:rPr>
          <w:color w:val="231F20"/>
          <w:spacing w:val="-22"/>
          <w:w w:val="105"/>
        </w:rPr>
        <w:t> </w:t>
      </w:r>
      <w:r>
        <w:rPr>
          <w:color w:val="231F20"/>
          <w:spacing w:val="-3"/>
          <w:w w:val="105"/>
        </w:rPr>
        <w:t>que</w:t>
      </w:r>
      <w:r>
        <w:rPr>
          <w:color w:val="231F20"/>
          <w:spacing w:val="-22"/>
          <w:w w:val="105"/>
        </w:rPr>
        <w:t> </w:t>
      </w:r>
      <w:r>
        <w:rPr>
          <w:color w:val="231F20"/>
          <w:w w:val="105"/>
        </w:rPr>
        <w:t>están</w:t>
      </w:r>
      <w:r>
        <w:rPr>
          <w:color w:val="231F20"/>
          <w:spacing w:val="-22"/>
          <w:w w:val="105"/>
        </w:rPr>
        <w:t> </w:t>
      </w:r>
      <w:r>
        <w:rPr>
          <w:color w:val="231F20"/>
          <w:w w:val="105"/>
        </w:rPr>
        <w:t>encaminados</w:t>
      </w:r>
      <w:r>
        <w:rPr>
          <w:color w:val="231F20"/>
          <w:spacing w:val="-22"/>
          <w:w w:val="105"/>
        </w:rPr>
        <w:t> </w:t>
      </w:r>
      <w:r>
        <w:rPr>
          <w:color w:val="231F20"/>
          <w:w w:val="105"/>
        </w:rPr>
        <w:t>a</w:t>
      </w:r>
      <w:r>
        <w:rPr>
          <w:color w:val="231F20"/>
          <w:spacing w:val="-22"/>
          <w:w w:val="105"/>
        </w:rPr>
        <w:t> </w:t>
      </w:r>
      <w:r>
        <w:rPr>
          <w:color w:val="231F20"/>
          <w:w w:val="105"/>
        </w:rPr>
        <w:t>resarcir</w:t>
      </w:r>
      <w:r>
        <w:rPr>
          <w:color w:val="231F20"/>
          <w:spacing w:val="-22"/>
          <w:w w:val="105"/>
        </w:rPr>
        <w:t> </w:t>
      </w:r>
      <w:r>
        <w:rPr>
          <w:color w:val="231F20"/>
          <w:w w:val="105"/>
        </w:rPr>
        <w:t>y</w:t>
      </w:r>
      <w:r>
        <w:rPr>
          <w:color w:val="231F20"/>
          <w:spacing w:val="-22"/>
          <w:w w:val="105"/>
        </w:rPr>
        <w:t> </w:t>
      </w:r>
      <w:r>
        <w:rPr>
          <w:color w:val="231F20"/>
          <w:w w:val="105"/>
        </w:rPr>
        <w:t>aliviar</w:t>
      </w:r>
      <w:r>
        <w:rPr>
          <w:color w:val="231F20"/>
          <w:spacing w:val="-22"/>
          <w:w w:val="105"/>
        </w:rPr>
        <w:t> </w:t>
      </w:r>
      <w:r>
        <w:rPr>
          <w:color w:val="231F20"/>
          <w:w w:val="105"/>
        </w:rPr>
        <w:t>mínimamente y</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corto</w:t>
      </w:r>
      <w:r>
        <w:rPr>
          <w:color w:val="231F20"/>
          <w:spacing w:val="-23"/>
          <w:w w:val="105"/>
        </w:rPr>
        <w:t> </w:t>
      </w:r>
      <w:r>
        <w:rPr>
          <w:color w:val="231F20"/>
          <w:w w:val="105"/>
        </w:rPr>
        <w:t>plazo,</w:t>
      </w:r>
      <w:r>
        <w:rPr>
          <w:color w:val="231F20"/>
          <w:spacing w:val="-24"/>
          <w:w w:val="105"/>
        </w:rPr>
        <w:t> </w:t>
      </w:r>
      <w:r>
        <w:rPr>
          <w:color w:val="231F20"/>
          <w:w w:val="105"/>
        </w:rPr>
        <w:t>las</w:t>
      </w:r>
      <w:r>
        <w:rPr>
          <w:color w:val="231F20"/>
          <w:spacing w:val="-24"/>
          <w:w w:val="105"/>
        </w:rPr>
        <w:t> </w:t>
      </w:r>
      <w:r>
        <w:rPr>
          <w:color w:val="231F20"/>
          <w:spacing w:val="-4"/>
          <w:w w:val="105"/>
        </w:rPr>
        <w:t>necesidades</w:t>
      </w:r>
      <w:r>
        <w:rPr>
          <w:color w:val="231F20"/>
          <w:spacing w:val="-24"/>
          <w:w w:val="105"/>
        </w:rPr>
        <w:t> </w:t>
      </w:r>
      <w:r>
        <w:rPr>
          <w:color w:val="231F20"/>
          <w:w w:val="105"/>
        </w:rPr>
        <w:t>y</w:t>
      </w:r>
      <w:r>
        <w:rPr>
          <w:color w:val="231F20"/>
          <w:spacing w:val="-23"/>
          <w:w w:val="105"/>
        </w:rPr>
        <w:t> </w:t>
      </w:r>
      <w:r>
        <w:rPr>
          <w:color w:val="231F20"/>
          <w:w w:val="105"/>
        </w:rPr>
        <w:t>carencias</w:t>
      </w:r>
      <w:r>
        <w:rPr>
          <w:color w:val="231F20"/>
          <w:spacing w:val="-24"/>
          <w:w w:val="105"/>
        </w:rPr>
        <w:t> </w:t>
      </w:r>
      <w:r>
        <w:rPr>
          <w:color w:val="231F20"/>
          <w:w w:val="105"/>
        </w:rPr>
        <w:t>de</w:t>
      </w:r>
      <w:r>
        <w:rPr>
          <w:color w:val="231F20"/>
          <w:spacing w:val="-23"/>
          <w:w w:val="105"/>
        </w:rPr>
        <w:t> </w:t>
      </w:r>
      <w:r>
        <w:rPr>
          <w:color w:val="231F20"/>
          <w:spacing w:val="-3"/>
          <w:w w:val="105"/>
        </w:rPr>
        <w:t>los</w:t>
      </w:r>
      <w:r>
        <w:rPr>
          <w:color w:val="231F20"/>
          <w:spacing w:val="-23"/>
          <w:w w:val="105"/>
        </w:rPr>
        <w:t> </w:t>
      </w:r>
      <w:r>
        <w:rPr>
          <w:color w:val="231F20"/>
          <w:spacing w:val="-3"/>
          <w:w w:val="105"/>
        </w:rPr>
        <w:t>sectores</w:t>
      </w:r>
      <w:r>
        <w:rPr>
          <w:color w:val="231F20"/>
          <w:spacing w:val="-24"/>
          <w:w w:val="105"/>
        </w:rPr>
        <w:t> </w:t>
      </w:r>
      <w:r>
        <w:rPr>
          <w:color w:val="231F20"/>
          <w:w w:val="105"/>
        </w:rPr>
        <w:t>sociales</w:t>
      </w:r>
      <w:r>
        <w:rPr>
          <w:color w:val="231F20"/>
          <w:spacing w:val="-23"/>
          <w:w w:val="105"/>
        </w:rPr>
        <w:t> </w:t>
      </w:r>
      <w:r>
        <w:rPr>
          <w:color w:val="231F20"/>
          <w:w w:val="105"/>
        </w:rPr>
        <w:t>más</w:t>
      </w:r>
      <w:r>
        <w:rPr>
          <w:color w:val="231F20"/>
          <w:spacing w:val="-23"/>
          <w:w w:val="105"/>
        </w:rPr>
        <w:t> </w:t>
      </w:r>
      <w:r>
        <w:rPr>
          <w:color w:val="231F20"/>
          <w:spacing w:val="-3"/>
          <w:w w:val="105"/>
        </w:rPr>
        <w:t>pobres</w:t>
      </w:r>
      <w:r>
        <w:rPr>
          <w:color w:val="231F20"/>
          <w:spacing w:val="-23"/>
          <w:w w:val="105"/>
        </w:rPr>
        <w:t> </w:t>
      </w:r>
      <w:r>
        <w:rPr>
          <w:color w:val="231F20"/>
          <w:spacing w:val="-3"/>
          <w:w w:val="105"/>
        </w:rPr>
        <w:t>del</w:t>
      </w:r>
      <w:r>
        <w:rPr>
          <w:color w:val="231F20"/>
          <w:spacing w:val="-24"/>
          <w:w w:val="105"/>
        </w:rPr>
        <w:t> </w:t>
      </w:r>
      <w:r>
        <w:rPr>
          <w:color w:val="231F20"/>
          <w:spacing w:val="-4"/>
          <w:w w:val="105"/>
        </w:rPr>
        <w:t>mu- nicipio,</w:t>
      </w:r>
      <w:r>
        <w:rPr>
          <w:color w:val="231F20"/>
          <w:spacing w:val="-16"/>
          <w:w w:val="105"/>
        </w:rPr>
        <w:t> </w:t>
      </w:r>
      <w:r>
        <w:rPr>
          <w:color w:val="231F20"/>
          <w:spacing w:val="-3"/>
          <w:w w:val="105"/>
        </w:rPr>
        <w:t>que</w:t>
      </w:r>
      <w:r>
        <w:rPr>
          <w:color w:val="231F20"/>
          <w:spacing w:val="-16"/>
          <w:w w:val="105"/>
        </w:rPr>
        <w:t> </w:t>
      </w:r>
      <w:r>
        <w:rPr>
          <w:color w:val="231F20"/>
          <w:w w:val="105"/>
        </w:rPr>
        <w:t>poco</w:t>
      </w:r>
      <w:r>
        <w:rPr>
          <w:color w:val="231F20"/>
          <w:spacing w:val="-16"/>
          <w:w w:val="105"/>
        </w:rPr>
        <w:t> </w:t>
      </w:r>
      <w:r>
        <w:rPr>
          <w:color w:val="231F20"/>
          <w:spacing w:val="-3"/>
          <w:w w:val="105"/>
        </w:rPr>
        <w:t>contribuyen</w:t>
      </w:r>
      <w:r>
        <w:rPr>
          <w:color w:val="231F20"/>
          <w:spacing w:val="-16"/>
          <w:w w:val="105"/>
        </w:rPr>
        <w:t> </w:t>
      </w:r>
      <w:r>
        <w:rPr>
          <w:color w:val="231F20"/>
          <w:w w:val="105"/>
        </w:rPr>
        <w:t>a</w:t>
      </w:r>
      <w:r>
        <w:rPr>
          <w:color w:val="231F20"/>
          <w:spacing w:val="-16"/>
          <w:w w:val="105"/>
        </w:rPr>
        <w:t> </w:t>
      </w:r>
      <w:r>
        <w:rPr>
          <w:color w:val="231F20"/>
          <w:w w:val="105"/>
        </w:rPr>
        <w:t>atacar</w:t>
      </w:r>
      <w:r>
        <w:rPr>
          <w:color w:val="231F20"/>
          <w:spacing w:val="-16"/>
          <w:w w:val="105"/>
        </w:rPr>
        <w:t> </w:t>
      </w:r>
      <w:r>
        <w:rPr>
          <w:color w:val="231F20"/>
          <w:w w:val="105"/>
        </w:rPr>
        <w:t>de</w:t>
      </w:r>
      <w:r>
        <w:rPr>
          <w:color w:val="231F20"/>
          <w:spacing w:val="-16"/>
          <w:w w:val="105"/>
        </w:rPr>
        <w:t> </w:t>
      </w:r>
      <w:r>
        <w:rPr>
          <w:color w:val="231F20"/>
          <w:spacing w:val="-5"/>
          <w:w w:val="105"/>
        </w:rPr>
        <w:t>fondo</w:t>
      </w:r>
      <w:r>
        <w:rPr>
          <w:color w:val="231F20"/>
          <w:spacing w:val="-16"/>
          <w:w w:val="105"/>
        </w:rPr>
        <w:t> </w:t>
      </w:r>
      <w:r>
        <w:rPr>
          <w:color w:val="231F20"/>
          <w:w w:val="105"/>
        </w:rPr>
        <w:t>la</w:t>
      </w:r>
      <w:r>
        <w:rPr>
          <w:color w:val="231F20"/>
          <w:spacing w:val="-16"/>
          <w:w w:val="105"/>
        </w:rPr>
        <w:t> </w:t>
      </w:r>
      <w:r>
        <w:rPr>
          <w:color w:val="231F20"/>
          <w:spacing w:val="-4"/>
          <w:w w:val="105"/>
        </w:rPr>
        <w:t>problemática</w:t>
      </w:r>
      <w:r>
        <w:rPr>
          <w:color w:val="231F20"/>
          <w:spacing w:val="-16"/>
          <w:w w:val="105"/>
        </w:rPr>
        <w:t> </w:t>
      </w:r>
      <w:r>
        <w:rPr>
          <w:color w:val="231F20"/>
          <w:w w:val="105"/>
        </w:rPr>
        <w:t>social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pobreza,</w:t>
      </w:r>
      <w:r>
        <w:rPr>
          <w:color w:val="231F20"/>
          <w:spacing w:val="-16"/>
          <w:w w:val="105"/>
        </w:rPr>
        <w:t> </w:t>
      </w:r>
      <w:r>
        <w:rPr>
          <w:color w:val="231F20"/>
          <w:spacing w:val="-3"/>
          <w:w w:val="105"/>
        </w:rPr>
        <w:t>pero que</w:t>
      </w:r>
      <w:r>
        <w:rPr>
          <w:color w:val="231F20"/>
          <w:spacing w:val="-13"/>
          <w:w w:val="105"/>
        </w:rPr>
        <w:t> </w:t>
      </w:r>
      <w:r>
        <w:rPr>
          <w:color w:val="231F20"/>
          <w:w w:val="105"/>
        </w:rPr>
        <w:t>en</w:t>
      </w:r>
      <w:r>
        <w:rPr>
          <w:color w:val="231F20"/>
          <w:spacing w:val="-13"/>
          <w:w w:val="105"/>
        </w:rPr>
        <w:t> </w:t>
      </w:r>
      <w:r>
        <w:rPr>
          <w:color w:val="231F20"/>
          <w:spacing w:val="-3"/>
          <w:w w:val="105"/>
        </w:rPr>
        <w:t>cambio</w:t>
      </w:r>
      <w:r>
        <w:rPr>
          <w:color w:val="231F20"/>
          <w:spacing w:val="-13"/>
          <w:w w:val="105"/>
        </w:rPr>
        <w:t> </w:t>
      </w:r>
      <w:r>
        <w:rPr>
          <w:color w:val="231F20"/>
          <w:w w:val="105"/>
        </w:rPr>
        <w:t>sí</w:t>
      </w:r>
      <w:r>
        <w:rPr>
          <w:color w:val="231F20"/>
          <w:spacing w:val="-13"/>
          <w:w w:val="105"/>
        </w:rPr>
        <w:t> </w:t>
      </w:r>
      <w:r>
        <w:rPr>
          <w:color w:val="231F20"/>
          <w:spacing w:val="-3"/>
          <w:w w:val="105"/>
        </w:rPr>
        <w:t>representan</w:t>
      </w:r>
      <w:r>
        <w:rPr>
          <w:color w:val="231F20"/>
          <w:spacing w:val="-13"/>
          <w:w w:val="105"/>
        </w:rPr>
        <w:t> </w:t>
      </w:r>
      <w:r>
        <w:rPr>
          <w:color w:val="231F20"/>
          <w:w w:val="105"/>
        </w:rPr>
        <w:t>un</w:t>
      </w:r>
      <w:r>
        <w:rPr>
          <w:color w:val="231F20"/>
          <w:spacing w:val="-13"/>
          <w:w w:val="105"/>
        </w:rPr>
        <w:t> </w:t>
      </w:r>
      <w:r>
        <w:rPr>
          <w:color w:val="231F20"/>
          <w:spacing w:val="-3"/>
          <w:w w:val="105"/>
        </w:rPr>
        <w:t>gancho</w:t>
      </w:r>
      <w:r>
        <w:rPr>
          <w:color w:val="231F20"/>
          <w:spacing w:val="-13"/>
          <w:w w:val="105"/>
        </w:rPr>
        <w:t> </w:t>
      </w:r>
      <w:r>
        <w:rPr>
          <w:color w:val="231F20"/>
          <w:w w:val="105"/>
        </w:rPr>
        <w:t>para</w:t>
      </w:r>
      <w:r>
        <w:rPr>
          <w:color w:val="231F20"/>
          <w:spacing w:val="-13"/>
          <w:w w:val="105"/>
        </w:rPr>
        <w:t> </w:t>
      </w:r>
      <w:r>
        <w:rPr>
          <w:color w:val="231F20"/>
          <w:w w:val="105"/>
        </w:rPr>
        <w:t>ganar</w:t>
      </w:r>
      <w:r>
        <w:rPr>
          <w:color w:val="231F20"/>
          <w:spacing w:val="-13"/>
          <w:w w:val="105"/>
        </w:rPr>
        <w:t> </w:t>
      </w:r>
      <w:r>
        <w:rPr>
          <w:color w:val="231F20"/>
          <w:spacing w:val="-4"/>
          <w:w w:val="105"/>
        </w:rPr>
        <w:t>apoyo</w:t>
      </w:r>
      <w:r>
        <w:rPr>
          <w:color w:val="231F20"/>
          <w:spacing w:val="-13"/>
          <w:w w:val="105"/>
        </w:rPr>
        <w:t> </w:t>
      </w:r>
      <w:r>
        <w:rPr>
          <w:color w:val="231F20"/>
          <w:spacing w:val="-3"/>
          <w:w w:val="105"/>
        </w:rPr>
        <w:t>político</w:t>
      </w:r>
      <w:r>
        <w:rPr>
          <w:color w:val="231F20"/>
          <w:spacing w:val="-13"/>
          <w:w w:val="105"/>
        </w:rPr>
        <w:t> </w:t>
      </w:r>
      <w:r>
        <w:rPr>
          <w:color w:val="231F20"/>
          <w:w w:val="105"/>
        </w:rPr>
        <w:t>y</w:t>
      </w:r>
      <w:r>
        <w:rPr>
          <w:color w:val="231F20"/>
          <w:spacing w:val="-13"/>
          <w:w w:val="105"/>
        </w:rPr>
        <w:t> </w:t>
      </w:r>
      <w:r>
        <w:rPr>
          <w:color w:val="231F20"/>
          <w:w w:val="105"/>
        </w:rPr>
        <w:t>electoral.</w:t>
      </w:r>
    </w:p>
    <w:p>
      <w:pPr>
        <w:pStyle w:val="BodyText"/>
        <w:spacing w:before="1"/>
        <w:rPr>
          <w:sz w:val="26"/>
        </w:rPr>
      </w:pPr>
    </w:p>
    <w:p>
      <w:pPr>
        <w:pStyle w:val="BodyText"/>
        <w:spacing w:line="285" w:lineRule="auto"/>
        <w:ind w:left="110" w:right="108"/>
        <w:jc w:val="both"/>
      </w:pPr>
      <w:r>
        <w:rPr>
          <w:color w:val="231F20"/>
          <w:w w:val="105"/>
        </w:rPr>
        <w:t>Entre</w:t>
      </w:r>
      <w:r>
        <w:rPr>
          <w:color w:val="231F20"/>
          <w:spacing w:val="-16"/>
          <w:w w:val="105"/>
        </w:rPr>
        <w:t> </w:t>
      </w:r>
      <w:r>
        <w:rPr>
          <w:color w:val="231F20"/>
          <w:w w:val="105"/>
        </w:rPr>
        <w:t>los</w:t>
      </w:r>
      <w:r>
        <w:rPr>
          <w:color w:val="231F20"/>
          <w:spacing w:val="-16"/>
          <w:w w:val="105"/>
        </w:rPr>
        <w:t> </w:t>
      </w:r>
      <w:r>
        <w:rPr>
          <w:color w:val="231F20"/>
          <w:w w:val="105"/>
        </w:rPr>
        <w:t>programas</w:t>
      </w:r>
      <w:r>
        <w:rPr>
          <w:color w:val="231F20"/>
          <w:spacing w:val="-16"/>
          <w:w w:val="105"/>
        </w:rPr>
        <w:t> </w:t>
      </w:r>
      <w:r>
        <w:rPr>
          <w:color w:val="231F20"/>
          <w:w w:val="105"/>
        </w:rPr>
        <w:t>sociales</w:t>
      </w:r>
      <w:r>
        <w:rPr>
          <w:color w:val="231F20"/>
          <w:spacing w:val="-16"/>
          <w:w w:val="105"/>
        </w:rPr>
        <w:t> </w:t>
      </w:r>
      <w:r>
        <w:rPr>
          <w:color w:val="231F20"/>
          <w:w w:val="105"/>
        </w:rPr>
        <w:t>más</w:t>
      </w:r>
      <w:r>
        <w:rPr>
          <w:color w:val="231F20"/>
          <w:spacing w:val="-16"/>
          <w:w w:val="105"/>
        </w:rPr>
        <w:t> </w:t>
      </w:r>
      <w:r>
        <w:rPr>
          <w:color w:val="231F20"/>
          <w:w w:val="105"/>
        </w:rPr>
        <w:t>importantes</w:t>
      </w:r>
      <w:r>
        <w:rPr>
          <w:color w:val="231F20"/>
          <w:spacing w:val="-16"/>
          <w:w w:val="105"/>
        </w:rPr>
        <w:t> </w:t>
      </w:r>
      <w:r>
        <w:rPr>
          <w:color w:val="231F20"/>
          <w:w w:val="105"/>
        </w:rPr>
        <w:t>destacan</w:t>
      </w:r>
      <w:r>
        <w:rPr>
          <w:color w:val="231F20"/>
          <w:spacing w:val="-16"/>
          <w:w w:val="105"/>
        </w:rPr>
        <w:t> </w:t>
      </w:r>
      <w:r>
        <w:rPr>
          <w:color w:val="231F20"/>
          <w:w w:val="105"/>
        </w:rPr>
        <w:t>los</w:t>
      </w:r>
      <w:r>
        <w:rPr>
          <w:color w:val="231F20"/>
          <w:spacing w:val="-16"/>
          <w:w w:val="105"/>
        </w:rPr>
        <w:t> </w:t>
      </w:r>
      <w:r>
        <w:rPr>
          <w:color w:val="231F20"/>
          <w:w w:val="105"/>
        </w:rPr>
        <w:t>siguientes,</w:t>
      </w:r>
      <w:r>
        <w:rPr>
          <w:color w:val="231F20"/>
          <w:spacing w:val="-16"/>
          <w:w w:val="105"/>
        </w:rPr>
        <w:t> </w:t>
      </w:r>
      <w:r>
        <w:rPr>
          <w:color w:val="231F20"/>
          <w:w w:val="105"/>
        </w:rPr>
        <w:t>considerando</w:t>
      </w:r>
      <w:r>
        <w:rPr>
          <w:color w:val="231F20"/>
          <w:spacing w:val="-16"/>
          <w:w w:val="105"/>
        </w:rPr>
        <w:t> </w:t>
      </w:r>
      <w:r>
        <w:rPr>
          <w:color w:val="231F20"/>
          <w:w w:val="105"/>
        </w:rPr>
        <w:t>los datos</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informes</w:t>
      </w:r>
      <w:r>
        <w:rPr>
          <w:color w:val="231F20"/>
          <w:spacing w:val="-3"/>
          <w:w w:val="105"/>
        </w:rPr>
        <w:t> </w:t>
      </w:r>
      <w:r>
        <w:rPr>
          <w:color w:val="231F20"/>
          <w:w w:val="105"/>
        </w:rPr>
        <w:t>de</w:t>
      </w:r>
      <w:r>
        <w:rPr>
          <w:color w:val="231F20"/>
          <w:spacing w:val="-3"/>
          <w:w w:val="105"/>
        </w:rPr>
        <w:t> </w:t>
      </w:r>
      <w:r>
        <w:rPr>
          <w:color w:val="231F20"/>
          <w:w w:val="105"/>
        </w:rPr>
        <w:t>actividades</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dos</w:t>
      </w:r>
      <w:r>
        <w:rPr>
          <w:color w:val="231F20"/>
          <w:spacing w:val="-3"/>
          <w:w w:val="105"/>
        </w:rPr>
        <w:t> </w:t>
      </w:r>
      <w:r>
        <w:rPr>
          <w:color w:val="231F20"/>
          <w:w w:val="105"/>
        </w:rPr>
        <w:t>primeros</w:t>
      </w:r>
      <w:r>
        <w:rPr>
          <w:color w:val="231F20"/>
          <w:spacing w:val="-3"/>
          <w:w w:val="105"/>
        </w:rPr>
        <w:t> </w:t>
      </w:r>
      <w:r>
        <w:rPr>
          <w:color w:val="231F20"/>
          <w:w w:val="105"/>
        </w:rPr>
        <w:t>años</w:t>
      </w:r>
      <w:r>
        <w:rPr>
          <w:color w:val="231F20"/>
          <w:spacing w:val="-3"/>
          <w:w w:val="105"/>
        </w:rPr>
        <w:t> </w:t>
      </w:r>
      <w:r>
        <w:rPr>
          <w:color w:val="231F20"/>
          <w:w w:val="105"/>
        </w:rPr>
        <w:t>de</w:t>
      </w:r>
      <w:r>
        <w:rPr>
          <w:color w:val="231F20"/>
          <w:spacing w:val="-3"/>
          <w:w w:val="105"/>
        </w:rPr>
        <w:t> </w:t>
      </w:r>
      <w:r>
        <w:rPr>
          <w:color w:val="231F20"/>
          <w:w w:val="105"/>
        </w:rPr>
        <w:t>gobierno</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actual administración</w:t>
      </w:r>
      <w:r>
        <w:rPr>
          <w:color w:val="231F20"/>
          <w:spacing w:val="-15"/>
          <w:w w:val="105"/>
        </w:rPr>
        <w:t> </w:t>
      </w:r>
      <w:r>
        <w:rPr>
          <w:color w:val="231F20"/>
          <w:w w:val="105"/>
        </w:rPr>
        <w:t>encabezada</w:t>
      </w:r>
      <w:r>
        <w:rPr>
          <w:color w:val="231F20"/>
          <w:spacing w:val="-15"/>
          <w:w w:val="105"/>
        </w:rPr>
        <w:t> </w:t>
      </w:r>
      <w:r>
        <w:rPr>
          <w:color w:val="231F20"/>
          <w:w w:val="105"/>
        </w:rPr>
        <w:t>por</w:t>
      </w:r>
      <w:r>
        <w:rPr>
          <w:color w:val="231F20"/>
          <w:spacing w:val="-15"/>
          <w:w w:val="105"/>
        </w:rPr>
        <w:t> </w:t>
      </w:r>
      <w:r>
        <w:rPr>
          <w:color w:val="231F20"/>
          <w:w w:val="105"/>
        </w:rPr>
        <w:t>Víctor</w:t>
      </w:r>
      <w:r>
        <w:rPr>
          <w:color w:val="231F20"/>
          <w:spacing w:val="-15"/>
          <w:w w:val="105"/>
        </w:rPr>
        <w:t> </w:t>
      </w:r>
      <w:r>
        <w:rPr>
          <w:color w:val="231F20"/>
          <w:w w:val="105"/>
        </w:rPr>
        <w:t>Manuel</w:t>
      </w:r>
      <w:r>
        <w:rPr>
          <w:color w:val="231F20"/>
          <w:spacing w:val="-15"/>
          <w:w w:val="105"/>
        </w:rPr>
        <w:t> </w:t>
      </w:r>
      <w:r>
        <w:rPr>
          <w:color w:val="231F20"/>
          <w:w w:val="105"/>
        </w:rPr>
        <w:t>Bautista</w:t>
      </w:r>
      <w:r>
        <w:rPr>
          <w:color w:val="231F20"/>
          <w:spacing w:val="-15"/>
          <w:w w:val="105"/>
        </w:rPr>
        <w:t> </w:t>
      </w:r>
      <w:r>
        <w:rPr>
          <w:color w:val="231F20"/>
          <w:w w:val="105"/>
        </w:rPr>
        <w:t>López</w:t>
      </w:r>
    </w:p>
    <w:p>
      <w:pPr>
        <w:pStyle w:val="BodyText"/>
        <w:spacing w:line="285" w:lineRule="auto" w:before="1"/>
        <w:ind w:left="677" w:right="108"/>
        <w:jc w:val="both"/>
      </w:pPr>
      <w:r>
        <w:rPr>
          <w:color w:val="231F20"/>
          <w:w w:val="105"/>
        </w:rPr>
        <w:t>Programa</w:t>
      </w:r>
      <w:r>
        <w:rPr>
          <w:color w:val="231F20"/>
          <w:spacing w:val="-16"/>
          <w:w w:val="105"/>
        </w:rPr>
        <w:t> </w:t>
      </w:r>
      <w:r>
        <w:rPr>
          <w:color w:val="231F20"/>
          <w:w w:val="105"/>
        </w:rPr>
        <w:t>de</w:t>
      </w:r>
      <w:r>
        <w:rPr>
          <w:color w:val="231F20"/>
          <w:spacing w:val="-16"/>
          <w:w w:val="105"/>
        </w:rPr>
        <w:t> </w:t>
      </w:r>
      <w:r>
        <w:rPr>
          <w:color w:val="231F20"/>
          <w:w w:val="105"/>
        </w:rPr>
        <w:t>Entrega</w:t>
      </w:r>
      <w:r>
        <w:rPr>
          <w:color w:val="231F20"/>
          <w:spacing w:val="-16"/>
          <w:w w:val="105"/>
        </w:rPr>
        <w:t> </w:t>
      </w:r>
      <w:r>
        <w:rPr>
          <w:color w:val="231F20"/>
          <w:w w:val="105"/>
        </w:rPr>
        <w:t>de</w:t>
      </w:r>
      <w:r>
        <w:rPr>
          <w:color w:val="231F20"/>
          <w:spacing w:val="-16"/>
          <w:w w:val="105"/>
        </w:rPr>
        <w:t> </w:t>
      </w:r>
      <w:r>
        <w:rPr>
          <w:color w:val="231F20"/>
          <w:w w:val="105"/>
        </w:rPr>
        <w:t>Útiles</w:t>
      </w:r>
      <w:r>
        <w:rPr>
          <w:color w:val="231F20"/>
          <w:spacing w:val="-16"/>
          <w:w w:val="105"/>
        </w:rPr>
        <w:t> </w:t>
      </w:r>
      <w:r>
        <w:rPr>
          <w:color w:val="231F20"/>
          <w:w w:val="105"/>
        </w:rPr>
        <w:t>Escolares</w:t>
      </w:r>
      <w:r>
        <w:rPr>
          <w:color w:val="231F20"/>
          <w:spacing w:val="-16"/>
          <w:w w:val="105"/>
        </w:rPr>
        <w:t> </w:t>
      </w:r>
      <w:r>
        <w:rPr>
          <w:color w:val="231F20"/>
          <w:w w:val="105"/>
        </w:rPr>
        <w:t>Gratuitos.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ciclos</w:t>
      </w:r>
      <w:r>
        <w:rPr>
          <w:color w:val="231F20"/>
          <w:spacing w:val="-16"/>
          <w:w w:val="105"/>
        </w:rPr>
        <w:t> </w:t>
      </w:r>
      <w:r>
        <w:rPr>
          <w:color w:val="231F20"/>
          <w:w w:val="105"/>
        </w:rPr>
        <w:t>escolares</w:t>
      </w:r>
      <w:r>
        <w:rPr>
          <w:color w:val="231F20"/>
          <w:spacing w:val="-16"/>
          <w:w w:val="105"/>
        </w:rPr>
        <w:t> </w:t>
      </w:r>
      <w:r>
        <w:rPr>
          <w:color w:val="231F20"/>
          <w:spacing w:val="4"/>
          <w:w w:val="105"/>
        </w:rPr>
        <w:t>2006- </w:t>
      </w:r>
      <w:r>
        <w:rPr>
          <w:color w:val="231F20"/>
          <w:spacing w:val="2"/>
          <w:w w:val="105"/>
        </w:rPr>
        <w:t>2007</w:t>
      </w:r>
      <w:r>
        <w:rPr>
          <w:color w:val="231F20"/>
          <w:spacing w:val="-24"/>
          <w:w w:val="105"/>
        </w:rPr>
        <w:t> </w:t>
      </w:r>
      <w:r>
        <w:rPr>
          <w:color w:val="231F20"/>
          <w:w w:val="105"/>
        </w:rPr>
        <w:t>y</w:t>
      </w:r>
      <w:r>
        <w:rPr>
          <w:color w:val="231F20"/>
          <w:spacing w:val="-24"/>
          <w:w w:val="105"/>
        </w:rPr>
        <w:t> </w:t>
      </w:r>
      <w:r>
        <w:rPr>
          <w:color w:val="231F20"/>
          <w:w w:val="105"/>
        </w:rPr>
        <w:t>2007-2008</w:t>
      </w:r>
      <w:r>
        <w:rPr>
          <w:color w:val="231F20"/>
          <w:spacing w:val="-24"/>
          <w:w w:val="105"/>
        </w:rPr>
        <w:t> </w:t>
      </w:r>
      <w:r>
        <w:rPr>
          <w:color w:val="231F20"/>
          <w:w w:val="105"/>
        </w:rPr>
        <w:t>se</w:t>
      </w:r>
      <w:r>
        <w:rPr>
          <w:color w:val="231F20"/>
          <w:spacing w:val="-24"/>
          <w:w w:val="105"/>
        </w:rPr>
        <w:t> </w:t>
      </w:r>
      <w:r>
        <w:rPr>
          <w:color w:val="231F20"/>
          <w:w w:val="105"/>
        </w:rPr>
        <w:t>benefició</w:t>
      </w:r>
      <w:r>
        <w:rPr>
          <w:color w:val="231F20"/>
          <w:spacing w:val="-24"/>
          <w:w w:val="105"/>
        </w:rPr>
        <w:t> </w:t>
      </w:r>
      <w:r>
        <w:rPr>
          <w:color w:val="231F20"/>
          <w:w w:val="105"/>
        </w:rPr>
        <w:t>a</w:t>
      </w:r>
      <w:r>
        <w:rPr>
          <w:color w:val="231F20"/>
          <w:spacing w:val="-24"/>
          <w:w w:val="105"/>
        </w:rPr>
        <w:t> </w:t>
      </w:r>
      <w:r>
        <w:rPr>
          <w:color w:val="231F20"/>
          <w:w w:val="105"/>
        </w:rPr>
        <w:t>más</w:t>
      </w:r>
      <w:r>
        <w:rPr>
          <w:color w:val="231F20"/>
          <w:spacing w:val="-24"/>
          <w:w w:val="105"/>
        </w:rPr>
        <w:t> </w:t>
      </w:r>
      <w:r>
        <w:rPr>
          <w:color w:val="231F20"/>
          <w:w w:val="105"/>
        </w:rPr>
        <w:t>de</w:t>
      </w:r>
      <w:r>
        <w:rPr>
          <w:color w:val="231F20"/>
          <w:spacing w:val="-24"/>
          <w:w w:val="105"/>
        </w:rPr>
        <w:t> </w:t>
      </w:r>
      <w:r>
        <w:rPr>
          <w:color w:val="231F20"/>
          <w:w w:val="105"/>
        </w:rPr>
        <w:t>130</w:t>
      </w:r>
      <w:r>
        <w:rPr>
          <w:color w:val="231F20"/>
          <w:spacing w:val="-24"/>
          <w:w w:val="105"/>
        </w:rPr>
        <w:t> </w:t>
      </w:r>
      <w:r>
        <w:rPr>
          <w:color w:val="231F20"/>
          <w:spacing w:val="2"/>
          <w:w w:val="105"/>
        </w:rPr>
        <w:t>mil</w:t>
      </w:r>
      <w:r>
        <w:rPr>
          <w:color w:val="231F20"/>
          <w:spacing w:val="-24"/>
          <w:w w:val="105"/>
        </w:rPr>
        <w:t> </w:t>
      </w:r>
      <w:r>
        <w:rPr>
          <w:color w:val="231F20"/>
          <w:w w:val="105"/>
        </w:rPr>
        <w:t>estudiantes</w:t>
      </w:r>
      <w:r>
        <w:rPr>
          <w:color w:val="231F20"/>
          <w:spacing w:val="-24"/>
          <w:w w:val="105"/>
        </w:rPr>
        <w:t> </w:t>
      </w:r>
      <w:r>
        <w:rPr>
          <w:color w:val="231F20"/>
          <w:w w:val="105"/>
        </w:rPr>
        <w:t>de</w:t>
      </w:r>
      <w:r>
        <w:rPr>
          <w:color w:val="231F20"/>
          <w:spacing w:val="-24"/>
          <w:w w:val="105"/>
        </w:rPr>
        <w:t> </w:t>
      </w:r>
      <w:r>
        <w:rPr>
          <w:color w:val="231F20"/>
          <w:w w:val="105"/>
        </w:rPr>
        <w:t>nivel</w:t>
      </w:r>
      <w:r>
        <w:rPr>
          <w:color w:val="231F20"/>
          <w:spacing w:val="-24"/>
          <w:w w:val="105"/>
        </w:rPr>
        <w:t> </w:t>
      </w:r>
      <w:r>
        <w:rPr>
          <w:color w:val="231F20"/>
          <w:w w:val="105"/>
        </w:rPr>
        <w:t>básico</w:t>
      </w:r>
      <w:r>
        <w:rPr>
          <w:color w:val="231F20"/>
          <w:spacing w:val="-24"/>
          <w:w w:val="105"/>
        </w:rPr>
        <w:t> </w:t>
      </w:r>
      <w:r>
        <w:rPr>
          <w:color w:val="231F20"/>
          <w:w w:val="105"/>
        </w:rPr>
        <w:t>de</w:t>
      </w:r>
      <w:r>
        <w:rPr>
          <w:color w:val="231F20"/>
          <w:spacing w:val="-24"/>
          <w:w w:val="105"/>
        </w:rPr>
        <w:t> </w:t>
      </w:r>
      <w:r>
        <w:rPr>
          <w:color w:val="231F20"/>
          <w:spacing w:val="-6"/>
          <w:w w:val="105"/>
        </w:rPr>
        <w:t>170 </w:t>
      </w:r>
      <w:r>
        <w:rPr>
          <w:color w:val="231F20"/>
          <w:w w:val="105"/>
        </w:rPr>
        <w:t>escuelas</w:t>
      </w:r>
      <w:r>
        <w:rPr>
          <w:color w:val="231F20"/>
          <w:spacing w:val="-11"/>
          <w:w w:val="105"/>
        </w:rPr>
        <w:t> </w:t>
      </w:r>
      <w:r>
        <w:rPr>
          <w:color w:val="231F20"/>
          <w:w w:val="105"/>
        </w:rPr>
        <w:t>primarias</w:t>
      </w:r>
      <w:r>
        <w:rPr>
          <w:color w:val="231F20"/>
          <w:spacing w:val="-11"/>
          <w:w w:val="105"/>
        </w:rPr>
        <w:t> </w:t>
      </w:r>
      <w:r>
        <w:rPr>
          <w:color w:val="231F20"/>
          <w:w w:val="105"/>
        </w:rPr>
        <w:t>y</w:t>
      </w:r>
      <w:r>
        <w:rPr>
          <w:color w:val="231F20"/>
          <w:spacing w:val="-11"/>
          <w:w w:val="105"/>
        </w:rPr>
        <w:t> </w:t>
      </w:r>
      <w:r>
        <w:rPr>
          <w:color w:val="231F20"/>
          <w:spacing w:val="-3"/>
          <w:w w:val="105"/>
        </w:rPr>
        <w:t>70</w:t>
      </w:r>
      <w:r>
        <w:rPr>
          <w:color w:val="231F20"/>
          <w:spacing w:val="-11"/>
          <w:w w:val="105"/>
        </w:rPr>
        <w:t> </w:t>
      </w:r>
      <w:r>
        <w:rPr>
          <w:color w:val="231F20"/>
          <w:w w:val="105"/>
        </w:rPr>
        <w:t>secundarias</w:t>
      </w:r>
      <w:r>
        <w:rPr>
          <w:color w:val="231F20"/>
          <w:spacing w:val="-11"/>
          <w:w w:val="105"/>
        </w:rPr>
        <w:t> </w:t>
      </w:r>
      <w:r>
        <w:rPr>
          <w:color w:val="231F20"/>
          <w:w w:val="105"/>
        </w:rPr>
        <w:t>públicas</w:t>
      </w:r>
      <w:r>
        <w:rPr>
          <w:color w:val="231F20"/>
          <w:spacing w:val="-11"/>
          <w:w w:val="105"/>
        </w:rPr>
        <w:t> </w:t>
      </w:r>
      <w:r>
        <w:rPr>
          <w:color w:val="231F20"/>
          <w:w w:val="105"/>
        </w:rPr>
        <w:t>de</w:t>
      </w:r>
      <w:r>
        <w:rPr>
          <w:color w:val="231F20"/>
          <w:spacing w:val="-11"/>
          <w:w w:val="105"/>
        </w:rPr>
        <w:t> </w:t>
      </w:r>
      <w:r>
        <w:rPr>
          <w:color w:val="231F20"/>
          <w:w w:val="105"/>
        </w:rPr>
        <w:t>ambos</w:t>
      </w:r>
      <w:r>
        <w:rPr>
          <w:color w:val="231F20"/>
          <w:spacing w:val="-11"/>
          <w:w w:val="105"/>
        </w:rPr>
        <w:t> </w:t>
      </w:r>
      <w:r>
        <w:rPr>
          <w:color w:val="231F20"/>
          <w:w w:val="105"/>
        </w:rPr>
        <w:t>turnos,</w:t>
      </w:r>
      <w:r>
        <w:rPr>
          <w:color w:val="231F20"/>
          <w:spacing w:val="-11"/>
          <w:w w:val="105"/>
        </w:rPr>
        <w:t> </w:t>
      </w:r>
      <w:r>
        <w:rPr>
          <w:color w:val="231F20"/>
          <w:w w:val="105"/>
        </w:rPr>
        <w:t>con</w:t>
      </w:r>
      <w:r>
        <w:rPr>
          <w:color w:val="231F20"/>
          <w:spacing w:val="-11"/>
          <w:w w:val="105"/>
        </w:rPr>
        <w:t> </w:t>
      </w:r>
      <w:r>
        <w:rPr>
          <w:color w:val="231F20"/>
          <w:w w:val="105"/>
        </w:rPr>
        <w:t>una</w:t>
      </w:r>
      <w:r>
        <w:rPr>
          <w:color w:val="231F20"/>
          <w:spacing w:val="-11"/>
          <w:w w:val="105"/>
        </w:rPr>
        <w:t> </w:t>
      </w:r>
      <w:r>
        <w:rPr>
          <w:color w:val="231F20"/>
          <w:w w:val="105"/>
        </w:rPr>
        <w:t>inversión aproximada</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spacing w:val="-5"/>
          <w:w w:val="105"/>
        </w:rPr>
        <w:t>10</w:t>
      </w:r>
      <w:r>
        <w:rPr>
          <w:color w:val="231F20"/>
          <w:spacing w:val="-17"/>
          <w:w w:val="105"/>
        </w:rPr>
        <w:t> </w:t>
      </w:r>
      <w:r>
        <w:rPr>
          <w:color w:val="231F20"/>
          <w:w w:val="105"/>
        </w:rPr>
        <w:t>millones</w:t>
      </w:r>
      <w:r>
        <w:rPr>
          <w:color w:val="231F20"/>
          <w:spacing w:val="-17"/>
          <w:w w:val="105"/>
        </w:rPr>
        <w:t> </w:t>
      </w:r>
      <w:r>
        <w:rPr>
          <w:color w:val="231F20"/>
          <w:w w:val="105"/>
        </w:rPr>
        <w:t>de</w:t>
      </w:r>
      <w:r>
        <w:rPr>
          <w:color w:val="231F20"/>
          <w:spacing w:val="-17"/>
          <w:w w:val="105"/>
        </w:rPr>
        <w:t> </w:t>
      </w:r>
      <w:r>
        <w:rPr>
          <w:color w:val="231F20"/>
          <w:w w:val="105"/>
        </w:rPr>
        <w:t>pesos.</w:t>
      </w:r>
    </w:p>
    <w:p>
      <w:pPr>
        <w:pStyle w:val="BodyText"/>
        <w:spacing w:line="285" w:lineRule="auto" w:before="1"/>
        <w:ind w:left="677" w:right="107"/>
        <w:jc w:val="both"/>
      </w:pPr>
      <w:r>
        <w:rPr>
          <w:color w:val="231F20"/>
        </w:rPr>
        <w:t>Apoyo </w:t>
      </w:r>
      <w:r>
        <w:rPr>
          <w:color w:val="231F20"/>
          <w:spacing w:val="2"/>
        </w:rPr>
        <w:t>al </w:t>
      </w:r>
      <w:r>
        <w:rPr>
          <w:color w:val="231F20"/>
        </w:rPr>
        <w:t>Desarrollo de la Educación Básica. El municipio ha obtenido el primer lugar en el Estado de México y en el país, por el número de becas económicas   (226 pesos mensuales) y despensas alimenticias </w:t>
      </w:r>
      <w:r>
        <w:rPr>
          <w:color w:val="231F20"/>
          <w:spacing w:val="-8"/>
        </w:rPr>
        <w:t>(16  </w:t>
      </w:r>
      <w:r>
        <w:rPr>
          <w:color w:val="231F20"/>
        </w:rPr>
        <w:t>productos básicos) otorgadas   a la comunidad estudiantil, con más de 6 </w:t>
      </w:r>
      <w:r>
        <w:rPr>
          <w:color w:val="231F20"/>
          <w:spacing w:val="2"/>
        </w:rPr>
        <w:t>mil </w:t>
      </w:r>
      <w:r>
        <w:rPr>
          <w:color w:val="231F20"/>
          <w:spacing w:val="3"/>
        </w:rPr>
        <w:t>800 </w:t>
      </w:r>
      <w:r>
        <w:rPr>
          <w:color w:val="231F20"/>
        </w:rPr>
        <w:t>estudiantes beneficiados de   </w:t>
      </w:r>
      <w:r>
        <w:rPr>
          <w:color w:val="231F20"/>
          <w:spacing w:val="4"/>
        </w:rPr>
        <w:t> </w:t>
      </w:r>
      <w:r>
        <w:rPr>
          <w:color w:val="231F20"/>
          <w:spacing w:val="-5"/>
        </w:rPr>
        <w:t>167</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w w:val="105"/>
        </w:rPr>
        <w:t>escuelas</w:t>
      </w:r>
      <w:r>
        <w:rPr>
          <w:color w:val="231F20"/>
          <w:spacing w:val="-26"/>
          <w:w w:val="105"/>
        </w:rPr>
        <w:t> </w:t>
      </w:r>
      <w:r>
        <w:rPr>
          <w:color w:val="231F20"/>
          <w:w w:val="105"/>
        </w:rPr>
        <w:t>públicas.</w:t>
      </w:r>
      <w:r>
        <w:rPr>
          <w:color w:val="231F20"/>
          <w:spacing w:val="-26"/>
          <w:w w:val="105"/>
        </w:rPr>
        <w:t> </w:t>
      </w:r>
      <w:r>
        <w:rPr>
          <w:color w:val="231F20"/>
          <w:w w:val="105"/>
        </w:rPr>
        <w:t>Esta</w:t>
      </w:r>
      <w:r>
        <w:rPr>
          <w:color w:val="231F20"/>
          <w:spacing w:val="-26"/>
          <w:w w:val="105"/>
        </w:rPr>
        <w:t> </w:t>
      </w:r>
      <w:r>
        <w:rPr>
          <w:color w:val="231F20"/>
          <w:w w:val="105"/>
        </w:rPr>
        <w:t>iniciativa</w:t>
      </w:r>
      <w:r>
        <w:rPr>
          <w:color w:val="231F20"/>
          <w:spacing w:val="-26"/>
          <w:w w:val="105"/>
        </w:rPr>
        <w:t> </w:t>
      </w:r>
      <w:r>
        <w:rPr>
          <w:color w:val="231F20"/>
          <w:w w:val="105"/>
        </w:rPr>
        <w:t>representó</w:t>
      </w:r>
      <w:r>
        <w:rPr>
          <w:color w:val="231F20"/>
          <w:spacing w:val="-26"/>
          <w:w w:val="105"/>
        </w:rPr>
        <w:t> </w:t>
      </w:r>
      <w:r>
        <w:rPr>
          <w:color w:val="231F20"/>
          <w:w w:val="105"/>
        </w:rPr>
        <w:t>una</w:t>
      </w:r>
      <w:r>
        <w:rPr>
          <w:color w:val="231F20"/>
          <w:spacing w:val="-26"/>
          <w:w w:val="105"/>
        </w:rPr>
        <w:t> </w:t>
      </w:r>
      <w:r>
        <w:rPr>
          <w:color w:val="231F20"/>
          <w:w w:val="105"/>
        </w:rPr>
        <w:t>inversión</w:t>
      </w:r>
      <w:r>
        <w:rPr>
          <w:color w:val="231F20"/>
          <w:spacing w:val="-26"/>
          <w:w w:val="105"/>
        </w:rPr>
        <w:t> </w:t>
      </w:r>
      <w:r>
        <w:rPr>
          <w:color w:val="231F20"/>
          <w:w w:val="105"/>
        </w:rPr>
        <w:t>de</w:t>
      </w:r>
      <w:r>
        <w:rPr>
          <w:color w:val="231F20"/>
          <w:spacing w:val="-26"/>
          <w:w w:val="105"/>
        </w:rPr>
        <w:t> </w:t>
      </w:r>
      <w:r>
        <w:rPr>
          <w:color w:val="231F20"/>
          <w:w w:val="105"/>
        </w:rPr>
        <w:t>26</w:t>
      </w:r>
      <w:r>
        <w:rPr>
          <w:color w:val="231F20"/>
          <w:spacing w:val="-26"/>
          <w:w w:val="105"/>
        </w:rPr>
        <w:t> </w:t>
      </w:r>
      <w:r>
        <w:rPr>
          <w:color w:val="231F20"/>
          <w:w w:val="105"/>
        </w:rPr>
        <w:t>millones</w:t>
      </w:r>
      <w:r>
        <w:rPr>
          <w:color w:val="231F20"/>
          <w:spacing w:val="-26"/>
          <w:w w:val="105"/>
        </w:rPr>
        <w:t> </w:t>
      </w:r>
      <w:r>
        <w:rPr>
          <w:color w:val="231F20"/>
          <w:w w:val="105"/>
        </w:rPr>
        <w:t>de</w:t>
      </w:r>
      <w:r>
        <w:rPr>
          <w:color w:val="231F20"/>
          <w:spacing w:val="-26"/>
          <w:w w:val="105"/>
        </w:rPr>
        <w:t> </w:t>
      </w:r>
      <w:r>
        <w:rPr>
          <w:color w:val="231F20"/>
          <w:w w:val="105"/>
        </w:rPr>
        <w:t>pesos en</w:t>
      </w:r>
      <w:r>
        <w:rPr>
          <w:color w:val="231F20"/>
          <w:spacing w:val="-30"/>
          <w:w w:val="105"/>
        </w:rPr>
        <w:t> </w:t>
      </w:r>
      <w:r>
        <w:rPr>
          <w:color w:val="231F20"/>
          <w:w w:val="105"/>
        </w:rPr>
        <w:t>el</w:t>
      </w:r>
      <w:r>
        <w:rPr>
          <w:color w:val="231F20"/>
          <w:spacing w:val="-30"/>
          <w:w w:val="105"/>
        </w:rPr>
        <w:t> </w:t>
      </w:r>
      <w:r>
        <w:rPr>
          <w:color w:val="231F20"/>
          <w:w w:val="105"/>
        </w:rPr>
        <w:t>ciclo</w:t>
      </w:r>
      <w:r>
        <w:rPr>
          <w:color w:val="231F20"/>
          <w:spacing w:val="-30"/>
          <w:w w:val="105"/>
        </w:rPr>
        <w:t> </w:t>
      </w:r>
      <w:r>
        <w:rPr>
          <w:color w:val="231F20"/>
          <w:w w:val="105"/>
        </w:rPr>
        <w:t>escolar</w:t>
      </w:r>
      <w:r>
        <w:rPr>
          <w:color w:val="231F20"/>
          <w:spacing w:val="-30"/>
          <w:w w:val="105"/>
        </w:rPr>
        <w:t> </w:t>
      </w:r>
      <w:r>
        <w:rPr>
          <w:color w:val="231F20"/>
          <w:w w:val="105"/>
        </w:rPr>
        <w:t>2006-2007.</w:t>
      </w:r>
    </w:p>
    <w:p>
      <w:pPr>
        <w:pStyle w:val="BodyText"/>
        <w:spacing w:line="285" w:lineRule="auto" w:before="1"/>
        <w:ind w:left="677" w:right="107"/>
        <w:jc w:val="both"/>
      </w:pPr>
      <w:r>
        <w:rPr>
          <w:color w:val="231F20"/>
          <w:w w:val="105"/>
        </w:rPr>
        <w:t>Apoyo</w:t>
      </w:r>
      <w:r>
        <w:rPr>
          <w:color w:val="231F20"/>
          <w:spacing w:val="-30"/>
          <w:w w:val="105"/>
        </w:rPr>
        <w:t> </w:t>
      </w:r>
      <w:r>
        <w:rPr>
          <w:color w:val="231F20"/>
          <w:w w:val="105"/>
        </w:rPr>
        <w:t>de</w:t>
      </w:r>
      <w:r>
        <w:rPr>
          <w:color w:val="231F20"/>
          <w:spacing w:val="-30"/>
          <w:w w:val="105"/>
        </w:rPr>
        <w:t> </w:t>
      </w:r>
      <w:r>
        <w:rPr>
          <w:color w:val="231F20"/>
          <w:w w:val="105"/>
        </w:rPr>
        <w:t>Despensas</w:t>
      </w:r>
      <w:r>
        <w:rPr>
          <w:color w:val="231F20"/>
          <w:spacing w:val="-30"/>
          <w:w w:val="105"/>
        </w:rPr>
        <w:t> </w:t>
      </w:r>
      <w:r>
        <w:rPr>
          <w:color w:val="231F20"/>
          <w:w w:val="105"/>
        </w:rPr>
        <w:t>Alimenticias</w:t>
      </w:r>
      <w:r>
        <w:rPr>
          <w:color w:val="231F20"/>
          <w:spacing w:val="-30"/>
          <w:w w:val="105"/>
        </w:rPr>
        <w:t> </w:t>
      </w:r>
      <w:r>
        <w:rPr>
          <w:color w:val="231F20"/>
          <w:w w:val="105"/>
        </w:rPr>
        <w:t>a</w:t>
      </w:r>
      <w:r>
        <w:rPr>
          <w:color w:val="231F20"/>
          <w:spacing w:val="-30"/>
          <w:w w:val="105"/>
        </w:rPr>
        <w:t> </w:t>
      </w:r>
      <w:r>
        <w:rPr>
          <w:color w:val="231F20"/>
          <w:w w:val="105"/>
        </w:rPr>
        <w:t>Adultos</w:t>
      </w:r>
      <w:r>
        <w:rPr>
          <w:color w:val="231F20"/>
          <w:spacing w:val="-30"/>
          <w:w w:val="105"/>
        </w:rPr>
        <w:t> </w:t>
      </w:r>
      <w:r>
        <w:rPr>
          <w:color w:val="231F20"/>
          <w:w w:val="105"/>
        </w:rPr>
        <w:t>Mayores.</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spacing w:val="2"/>
          <w:w w:val="105"/>
        </w:rPr>
        <w:t>2007</w:t>
      </w:r>
      <w:r>
        <w:rPr>
          <w:color w:val="231F20"/>
          <w:spacing w:val="-30"/>
          <w:w w:val="105"/>
        </w:rPr>
        <w:t> </w:t>
      </w:r>
      <w:r>
        <w:rPr>
          <w:color w:val="231F20"/>
          <w:w w:val="105"/>
        </w:rPr>
        <w:t>se</w:t>
      </w:r>
      <w:r>
        <w:rPr>
          <w:color w:val="231F20"/>
          <w:spacing w:val="-30"/>
          <w:w w:val="105"/>
        </w:rPr>
        <w:t> </w:t>
      </w:r>
      <w:r>
        <w:rPr>
          <w:color w:val="231F20"/>
          <w:w w:val="105"/>
        </w:rPr>
        <w:t>benefició</w:t>
      </w:r>
      <w:r>
        <w:rPr>
          <w:color w:val="231F20"/>
          <w:spacing w:val="-30"/>
          <w:w w:val="105"/>
        </w:rPr>
        <w:t> </w:t>
      </w:r>
      <w:r>
        <w:rPr>
          <w:color w:val="231F20"/>
          <w:w w:val="105"/>
        </w:rPr>
        <w:t>a</w:t>
      </w:r>
      <w:r>
        <w:rPr>
          <w:color w:val="231F20"/>
          <w:spacing w:val="-30"/>
          <w:w w:val="105"/>
        </w:rPr>
        <w:t> </w:t>
      </w:r>
      <w:r>
        <w:rPr>
          <w:color w:val="231F20"/>
          <w:w w:val="105"/>
        </w:rPr>
        <w:t>22 </w:t>
      </w:r>
      <w:r>
        <w:rPr>
          <w:color w:val="231F20"/>
          <w:spacing w:val="2"/>
          <w:w w:val="105"/>
        </w:rPr>
        <w:t>mil</w:t>
      </w:r>
      <w:r>
        <w:rPr>
          <w:color w:val="231F20"/>
          <w:spacing w:val="-14"/>
          <w:w w:val="105"/>
        </w:rPr>
        <w:t> </w:t>
      </w:r>
      <w:r>
        <w:rPr>
          <w:color w:val="231F20"/>
          <w:w w:val="105"/>
        </w:rPr>
        <w:t>adultos</w:t>
      </w:r>
      <w:r>
        <w:rPr>
          <w:color w:val="231F20"/>
          <w:spacing w:val="-14"/>
          <w:w w:val="105"/>
        </w:rPr>
        <w:t> </w:t>
      </w:r>
      <w:r>
        <w:rPr>
          <w:color w:val="231F20"/>
          <w:w w:val="105"/>
        </w:rPr>
        <w:t>mayores</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entrega</w:t>
      </w:r>
      <w:r>
        <w:rPr>
          <w:color w:val="231F20"/>
          <w:spacing w:val="-14"/>
          <w:w w:val="105"/>
        </w:rPr>
        <w:t> </w:t>
      </w:r>
      <w:r>
        <w:rPr>
          <w:color w:val="231F20"/>
          <w:w w:val="105"/>
        </w:rPr>
        <w:t>de</w:t>
      </w:r>
      <w:r>
        <w:rPr>
          <w:color w:val="231F20"/>
          <w:spacing w:val="-14"/>
          <w:w w:val="105"/>
        </w:rPr>
        <w:t> </w:t>
      </w:r>
      <w:r>
        <w:rPr>
          <w:color w:val="231F20"/>
          <w:w w:val="105"/>
        </w:rPr>
        <w:t>una</w:t>
      </w:r>
      <w:r>
        <w:rPr>
          <w:color w:val="231F20"/>
          <w:spacing w:val="-14"/>
          <w:w w:val="105"/>
        </w:rPr>
        <w:t> </w:t>
      </w:r>
      <w:r>
        <w:rPr>
          <w:color w:val="231F20"/>
          <w:w w:val="105"/>
        </w:rPr>
        <w:t>despensa</w:t>
      </w:r>
      <w:r>
        <w:rPr>
          <w:color w:val="231F20"/>
          <w:spacing w:val="-14"/>
          <w:w w:val="105"/>
        </w:rPr>
        <w:t> </w:t>
      </w:r>
      <w:r>
        <w:rPr>
          <w:color w:val="231F20"/>
          <w:w w:val="105"/>
        </w:rPr>
        <w:t>mensual</w:t>
      </w:r>
      <w:r>
        <w:rPr>
          <w:color w:val="231F20"/>
          <w:spacing w:val="-14"/>
          <w:w w:val="105"/>
        </w:rPr>
        <w:t> </w:t>
      </w:r>
      <w:r>
        <w:rPr>
          <w:color w:val="231F20"/>
          <w:w w:val="105"/>
        </w:rPr>
        <w:t>y</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año</w:t>
      </w:r>
      <w:r>
        <w:rPr>
          <w:color w:val="231F20"/>
          <w:spacing w:val="-14"/>
          <w:w w:val="105"/>
        </w:rPr>
        <w:t> </w:t>
      </w:r>
      <w:r>
        <w:rPr>
          <w:color w:val="231F20"/>
          <w:w w:val="105"/>
        </w:rPr>
        <w:t>de gobierno</w:t>
      </w:r>
      <w:r>
        <w:rPr>
          <w:color w:val="231F20"/>
          <w:spacing w:val="-12"/>
          <w:w w:val="105"/>
        </w:rPr>
        <w:t> </w:t>
      </w:r>
      <w:r>
        <w:rPr>
          <w:color w:val="231F20"/>
          <w:w w:val="105"/>
        </w:rPr>
        <w:t>representan</w:t>
      </w:r>
      <w:r>
        <w:rPr>
          <w:color w:val="231F20"/>
          <w:spacing w:val="-11"/>
          <w:w w:val="105"/>
        </w:rPr>
        <w:t> </w:t>
      </w:r>
      <w:r>
        <w:rPr>
          <w:color w:val="231F20"/>
          <w:w w:val="105"/>
        </w:rPr>
        <w:t>220</w:t>
      </w:r>
      <w:r>
        <w:rPr>
          <w:color w:val="231F20"/>
          <w:spacing w:val="-11"/>
          <w:w w:val="105"/>
        </w:rPr>
        <w:t> </w:t>
      </w:r>
      <w:r>
        <w:rPr>
          <w:color w:val="231F20"/>
          <w:spacing w:val="2"/>
          <w:w w:val="105"/>
        </w:rPr>
        <w:t>mil</w:t>
      </w:r>
      <w:r>
        <w:rPr>
          <w:color w:val="231F20"/>
          <w:spacing w:val="-11"/>
          <w:w w:val="105"/>
        </w:rPr>
        <w:t> </w:t>
      </w:r>
      <w:r>
        <w:rPr>
          <w:color w:val="231F20"/>
          <w:w w:val="105"/>
        </w:rPr>
        <w:t>despensas</w:t>
      </w:r>
      <w:r>
        <w:rPr>
          <w:color w:val="231F20"/>
          <w:spacing w:val="-11"/>
          <w:w w:val="105"/>
        </w:rPr>
        <w:t> </w:t>
      </w:r>
      <w:r>
        <w:rPr>
          <w:color w:val="231F20"/>
          <w:w w:val="105"/>
        </w:rPr>
        <w:t>entregadas.</w:t>
      </w:r>
      <w:r>
        <w:rPr>
          <w:color w:val="231F20"/>
          <w:spacing w:val="-11"/>
          <w:w w:val="105"/>
        </w:rPr>
        <w:t> </w:t>
      </w:r>
      <w:r>
        <w:rPr>
          <w:color w:val="231F20"/>
          <w:w w:val="105"/>
        </w:rPr>
        <w:t>Y</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spacing w:val="3"/>
          <w:w w:val="105"/>
        </w:rPr>
        <w:t>2008</w:t>
      </w:r>
      <w:r>
        <w:rPr>
          <w:color w:val="231F20"/>
          <w:spacing w:val="-11"/>
          <w:w w:val="105"/>
        </w:rPr>
        <w:t> </w:t>
      </w:r>
      <w:r>
        <w:rPr>
          <w:color w:val="231F20"/>
          <w:w w:val="105"/>
        </w:rPr>
        <w:t>la</w:t>
      </w:r>
      <w:r>
        <w:rPr>
          <w:color w:val="231F20"/>
          <w:spacing w:val="-12"/>
          <w:w w:val="105"/>
        </w:rPr>
        <w:t> </w:t>
      </w:r>
      <w:r>
        <w:rPr>
          <w:color w:val="231F20"/>
          <w:w w:val="105"/>
        </w:rPr>
        <w:t>entrega</w:t>
      </w:r>
      <w:r>
        <w:rPr>
          <w:color w:val="231F20"/>
          <w:spacing w:val="-11"/>
          <w:w w:val="105"/>
        </w:rPr>
        <w:t> </w:t>
      </w:r>
      <w:r>
        <w:rPr>
          <w:color w:val="231F20"/>
          <w:w w:val="105"/>
        </w:rPr>
        <w:t>de despensas</w:t>
      </w:r>
      <w:r>
        <w:rPr>
          <w:color w:val="231F20"/>
          <w:spacing w:val="-19"/>
          <w:w w:val="105"/>
        </w:rPr>
        <w:t> </w:t>
      </w:r>
      <w:r>
        <w:rPr>
          <w:color w:val="231F20"/>
          <w:w w:val="105"/>
        </w:rPr>
        <w:t>se</w:t>
      </w:r>
      <w:r>
        <w:rPr>
          <w:color w:val="231F20"/>
          <w:spacing w:val="-19"/>
          <w:w w:val="105"/>
        </w:rPr>
        <w:t> </w:t>
      </w:r>
      <w:r>
        <w:rPr>
          <w:color w:val="231F20"/>
          <w:w w:val="105"/>
        </w:rPr>
        <w:t>incrementó</w:t>
      </w:r>
      <w:r>
        <w:rPr>
          <w:color w:val="231F20"/>
          <w:spacing w:val="-19"/>
          <w:w w:val="105"/>
        </w:rPr>
        <w:t> </w:t>
      </w:r>
      <w:r>
        <w:rPr>
          <w:color w:val="231F20"/>
          <w:w w:val="105"/>
        </w:rPr>
        <w:t>a</w:t>
      </w:r>
      <w:r>
        <w:rPr>
          <w:color w:val="231F20"/>
          <w:spacing w:val="-19"/>
          <w:w w:val="105"/>
        </w:rPr>
        <w:t> </w:t>
      </w:r>
      <w:r>
        <w:rPr>
          <w:color w:val="231F20"/>
          <w:w w:val="105"/>
        </w:rPr>
        <w:t>225,000</w:t>
      </w:r>
      <w:r>
        <w:rPr>
          <w:color w:val="231F20"/>
          <w:spacing w:val="-19"/>
          <w:w w:val="105"/>
        </w:rPr>
        <w:t> </w:t>
      </w:r>
      <w:r>
        <w:rPr>
          <w:color w:val="231F20"/>
          <w:w w:val="105"/>
        </w:rPr>
        <w:t>con</w:t>
      </w:r>
      <w:r>
        <w:rPr>
          <w:color w:val="231F20"/>
          <w:spacing w:val="-19"/>
          <w:w w:val="105"/>
        </w:rPr>
        <w:t> </w:t>
      </w:r>
      <w:r>
        <w:rPr>
          <w:color w:val="231F20"/>
          <w:w w:val="105"/>
        </w:rPr>
        <w:t>un</w:t>
      </w:r>
      <w:r>
        <w:rPr>
          <w:color w:val="231F20"/>
          <w:spacing w:val="-19"/>
          <w:w w:val="105"/>
        </w:rPr>
        <w:t> </w:t>
      </w:r>
      <w:r>
        <w:rPr>
          <w:color w:val="231F20"/>
          <w:spacing w:val="-3"/>
          <w:w w:val="105"/>
        </w:rPr>
        <w:t>monto</w:t>
      </w:r>
      <w:r>
        <w:rPr>
          <w:color w:val="231F20"/>
          <w:spacing w:val="-19"/>
          <w:w w:val="105"/>
        </w:rPr>
        <w:t> </w:t>
      </w:r>
      <w:r>
        <w:rPr>
          <w:color w:val="231F20"/>
          <w:w w:val="105"/>
        </w:rPr>
        <w:t>ejercido</w:t>
      </w:r>
      <w:r>
        <w:rPr>
          <w:color w:val="231F20"/>
          <w:spacing w:val="-19"/>
          <w:w w:val="105"/>
        </w:rPr>
        <w:t> </w:t>
      </w:r>
      <w:r>
        <w:rPr>
          <w:color w:val="231F20"/>
          <w:w w:val="105"/>
        </w:rPr>
        <w:t>de</w:t>
      </w:r>
      <w:r>
        <w:rPr>
          <w:color w:val="231F20"/>
          <w:spacing w:val="-19"/>
          <w:w w:val="105"/>
        </w:rPr>
        <w:t> </w:t>
      </w:r>
      <w:r>
        <w:rPr>
          <w:color w:val="231F20"/>
          <w:w w:val="105"/>
        </w:rPr>
        <w:t>$25’382,430.00.</w:t>
      </w:r>
    </w:p>
    <w:p>
      <w:pPr>
        <w:pStyle w:val="BodyText"/>
        <w:spacing w:line="285" w:lineRule="auto" w:before="1"/>
        <w:ind w:left="677" w:right="108"/>
        <w:jc w:val="both"/>
      </w:pPr>
      <w:r>
        <w:rPr>
          <w:color w:val="231F20"/>
          <w:w w:val="105"/>
        </w:rPr>
        <w:t>Subsidios y Descuentos en el Cobro de Agua Potable a Grupos Vulnerables. El Ayuntamiento</w:t>
      </w:r>
      <w:r>
        <w:rPr>
          <w:color w:val="231F20"/>
          <w:spacing w:val="-22"/>
          <w:w w:val="105"/>
        </w:rPr>
        <w:t> </w:t>
      </w:r>
      <w:r>
        <w:rPr>
          <w:color w:val="231F20"/>
          <w:w w:val="105"/>
        </w:rPr>
        <w:t>de</w:t>
      </w:r>
      <w:r>
        <w:rPr>
          <w:color w:val="231F20"/>
          <w:spacing w:val="-22"/>
          <w:w w:val="105"/>
        </w:rPr>
        <w:t> </w:t>
      </w:r>
      <w:r>
        <w:rPr>
          <w:color w:val="231F20"/>
          <w:w w:val="105"/>
        </w:rPr>
        <w:t>Nezahualcóyotl</w:t>
      </w:r>
      <w:r>
        <w:rPr>
          <w:color w:val="231F20"/>
          <w:spacing w:val="-22"/>
          <w:w w:val="105"/>
        </w:rPr>
        <w:t> </w:t>
      </w:r>
      <w:r>
        <w:rPr>
          <w:color w:val="231F20"/>
          <w:spacing w:val="-3"/>
          <w:w w:val="105"/>
        </w:rPr>
        <w:t>acordó</w:t>
      </w:r>
      <w:r>
        <w:rPr>
          <w:color w:val="231F20"/>
          <w:spacing w:val="-22"/>
          <w:w w:val="105"/>
        </w:rPr>
        <w:t> </w:t>
      </w:r>
      <w:r>
        <w:rPr>
          <w:color w:val="231F20"/>
          <w:w w:val="105"/>
        </w:rPr>
        <w:t>descuentos</w:t>
      </w:r>
      <w:r>
        <w:rPr>
          <w:color w:val="231F20"/>
          <w:spacing w:val="-22"/>
          <w:w w:val="105"/>
        </w:rPr>
        <w:t> </w:t>
      </w:r>
      <w:r>
        <w:rPr>
          <w:color w:val="231F20"/>
          <w:w w:val="105"/>
        </w:rPr>
        <w:t>y</w:t>
      </w:r>
      <w:r>
        <w:rPr>
          <w:color w:val="231F20"/>
          <w:spacing w:val="-22"/>
          <w:w w:val="105"/>
        </w:rPr>
        <w:t> </w:t>
      </w:r>
      <w:r>
        <w:rPr>
          <w:color w:val="231F20"/>
          <w:w w:val="105"/>
        </w:rPr>
        <w:t>subsidios</w:t>
      </w:r>
      <w:r>
        <w:rPr>
          <w:color w:val="231F20"/>
          <w:spacing w:val="-22"/>
          <w:w w:val="105"/>
        </w:rPr>
        <w:t> </w:t>
      </w:r>
      <w:r>
        <w:rPr>
          <w:color w:val="231F20"/>
          <w:w w:val="105"/>
        </w:rPr>
        <w:t>hasta</w:t>
      </w:r>
      <w:r>
        <w:rPr>
          <w:color w:val="231F20"/>
          <w:spacing w:val="-22"/>
          <w:w w:val="105"/>
        </w:rPr>
        <w:t> </w:t>
      </w:r>
      <w:r>
        <w:rPr>
          <w:color w:val="231F20"/>
          <w:w w:val="105"/>
        </w:rPr>
        <w:t>del</w:t>
      </w:r>
      <w:r>
        <w:rPr>
          <w:color w:val="231F20"/>
          <w:spacing w:val="-22"/>
          <w:w w:val="105"/>
        </w:rPr>
        <w:t> </w:t>
      </w:r>
      <w:r>
        <w:rPr>
          <w:color w:val="231F20"/>
          <w:w w:val="105"/>
        </w:rPr>
        <w:t>50%</w:t>
      </w:r>
      <w:r>
        <w:rPr>
          <w:color w:val="231F20"/>
          <w:spacing w:val="-22"/>
          <w:w w:val="105"/>
        </w:rPr>
        <w:t> </w:t>
      </w:r>
      <w:r>
        <w:rPr>
          <w:color w:val="231F20"/>
          <w:w w:val="105"/>
        </w:rPr>
        <w:t>en el cobro por este concepto a ciudadanos pensionados, jubilados, discapacitados, de</w:t>
      </w:r>
      <w:r>
        <w:rPr>
          <w:color w:val="231F20"/>
          <w:spacing w:val="-10"/>
          <w:w w:val="105"/>
        </w:rPr>
        <w:t> </w:t>
      </w:r>
      <w:r>
        <w:rPr>
          <w:color w:val="231F20"/>
          <w:w w:val="105"/>
        </w:rPr>
        <w:t>la</w:t>
      </w:r>
      <w:r>
        <w:rPr>
          <w:color w:val="231F20"/>
          <w:spacing w:val="-10"/>
          <w:w w:val="105"/>
        </w:rPr>
        <w:t> </w:t>
      </w:r>
      <w:r>
        <w:rPr>
          <w:color w:val="231F20"/>
          <w:w w:val="105"/>
        </w:rPr>
        <w:t>tercera</w:t>
      </w:r>
      <w:r>
        <w:rPr>
          <w:color w:val="231F20"/>
          <w:spacing w:val="-10"/>
          <w:w w:val="105"/>
        </w:rPr>
        <w:t> </w:t>
      </w:r>
      <w:r>
        <w:rPr>
          <w:color w:val="231F20"/>
          <w:w w:val="105"/>
        </w:rPr>
        <w:t>edad,</w:t>
      </w:r>
      <w:r>
        <w:rPr>
          <w:color w:val="231F20"/>
          <w:spacing w:val="-10"/>
          <w:w w:val="105"/>
        </w:rPr>
        <w:t> </w:t>
      </w:r>
      <w:r>
        <w:rPr>
          <w:color w:val="231F20"/>
          <w:w w:val="105"/>
        </w:rPr>
        <w:t>a</w:t>
      </w:r>
      <w:r>
        <w:rPr>
          <w:color w:val="231F20"/>
          <w:spacing w:val="-10"/>
          <w:w w:val="105"/>
        </w:rPr>
        <w:t> </w:t>
      </w:r>
      <w:r>
        <w:rPr>
          <w:color w:val="231F20"/>
          <w:w w:val="105"/>
        </w:rPr>
        <w:t>viudas,</w:t>
      </w:r>
      <w:r>
        <w:rPr>
          <w:color w:val="231F20"/>
          <w:spacing w:val="-10"/>
          <w:w w:val="105"/>
        </w:rPr>
        <w:t> </w:t>
      </w:r>
      <w:r>
        <w:rPr>
          <w:color w:val="231F20"/>
          <w:w w:val="105"/>
        </w:rPr>
        <w:t>a</w:t>
      </w:r>
      <w:r>
        <w:rPr>
          <w:color w:val="231F20"/>
          <w:spacing w:val="-10"/>
          <w:w w:val="105"/>
        </w:rPr>
        <w:t> </w:t>
      </w:r>
      <w:r>
        <w:rPr>
          <w:color w:val="231F20"/>
          <w:w w:val="105"/>
        </w:rPr>
        <w:t>contribuyentes</w:t>
      </w:r>
      <w:r>
        <w:rPr>
          <w:color w:val="231F20"/>
          <w:spacing w:val="-10"/>
          <w:w w:val="105"/>
        </w:rPr>
        <w:t> </w:t>
      </w:r>
      <w:r>
        <w:rPr>
          <w:color w:val="231F20"/>
          <w:w w:val="105"/>
        </w:rPr>
        <w:t>cumplidos</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gestiones</w:t>
      </w:r>
      <w:r>
        <w:rPr>
          <w:color w:val="231F20"/>
          <w:spacing w:val="-10"/>
          <w:w w:val="105"/>
        </w:rPr>
        <w:t> </w:t>
      </w:r>
      <w:r>
        <w:rPr>
          <w:color w:val="231F20"/>
          <w:w w:val="105"/>
        </w:rPr>
        <w:t>promo- vidas</w:t>
      </w:r>
      <w:r>
        <w:rPr>
          <w:color w:val="231F20"/>
          <w:spacing w:val="-18"/>
          <w:w w:val="105"/>
        </w:rPr>
        <w:t> </w:t>
      </w:r>
      <w:r>
        <w:rPr>
          <w:color w:val="231F20"/>
          <w:w w:val="105"/>
        </w:rPr>
        <w:t>por</w:t>
      </w:r>
      <w:r>
        <w:rPr>
          <w:color w:val="231F20"/>
          <w:spacing w:val="-18"/>
          <w:w w:val="105"/>
        </w:rPr>
        <w:t> </w:t>
      </w:r>
      <w:r>
        <w:rPr>
          <w:color w:val="231F20"/>
          <w:w w:val="105"/>
        </w:rPr>
        <w:t>los</w:t>
      </w:r>
      <w:r>
        <w:rPr>
          <w:color w:val="231F20"/>
          <w:spacing w:val="-18"/>
          <w:w w:val="105"/>
        </w:rPr>
        <w:t> </w:t>
      </w:r>
      <w:r>
        <w:rPr>
          <w:color w:val="231F20"/>
          <w:w w:val="105"/>
        </w:rPr>
        <w:t>integrantes</w:t>
      </w:r>
      <w:r>
        <w:rPr>
          <w:color w:val="231F20"/>
          <w:spacing w:val="-18"/>
          <w:w w:val="105"/>
        </w:rPr>
        <w:t> </w:t>
      </w:r>
      <w:r>
        <w:rPr>
          <w:color w:val="231F20"/>
          <w:w w:val="105"/>
        </w:rPr>
        <w:t>del</w:t>
      </w:r>
      <w:r>
        <w:rPr>
          <w:color w:val="231F20"/>
          <w:spacing w:val="-18"/>
          <w:w w:val="105"/>
        </w:rPr>
        <w:t> </w:t>
      </w:r>
      <w:r>
        <w:rPr>
          <w:color w:val="231F20"/>
          <w:w w:val="105"/>
        </w:rPr>
        <w:t>cabildo,</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representó</w:t>
      </w:r>
      <w:r>
        <w:rPr>
          <w:color w:val="231F20"/>
          <w:spacing w:val="-18"/>
          <w:w w:val="105"/>
        </w:rPr>
        <w:t> </w:t>
      </w:r>
      <w:r>
        <w:rPr>
          <w:color w:val="231F20"/>
          <w:w w:val="105"/>
        </w:rPr>
        <w:t>una</w:t>
      </w:r>
      <w:r>
        <w:rPr>
          <w:color w:val="231F20"/>
          <w:spacing w:val="-18"/>
          <w:w w:val="105"/>
        </w:rPr>
        <w:t> </w:t>
      </w:r>
      <w:r>
        <w:rPr>
          <w:color w:val="231F20"/>
          <w:w w:val="105"/>
        </w:rPr>
        <w:t>suma</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año</w:t>
      </w:r>
      <w:r>
        <w:rPr>
          <w:color w:val="231F20"/>
          <w:spacing w:val="-18"/>
          <w:w w:val="105"/>
        </w:rPr>
        <w:t> </w:t>
      </w:r>
      <w:r>
        <w:rPr>
          <w:color w:val="231F20"/>
          <w:spacing w:val="3"/>
          <w:w w:val="105"/>
        </w:rPr>
        <w:t>2008 </w:t>
      </w:r>
      <w:r>
        <w:rPr>
          <w:color w:val="231F20"/>
          <w:w w:val="95"/>
        </w:rPr>
        <w:t>de</w:t>
      </w:r>
      <w:r>
        <w:rPr>
          <w:color w:val="231F20"/>
          <w:spacing w:val="28"/>
          <w:w w:val="95"/>
        </w:rPr>
        <w:t> </w:t>
      </w:r>
      <w:r>
        <w:rPr>
          <w:color w:val="231F20"/>
          <w:w w:val="95"/>
        </w:rPr>
        <w:t>55’323,115.02.</w:t>
      </w:r>
    </w:p>
    <w:p>
      <w:pPr>
        <w:pStyle w:val="BodyText"/>
        <w:spacing w:line="285" w:lineRule="auto" w:before="1"/>
        <w:ind w:left="677" w:right="107"/>
        <w:jc w:val="both"/>
      </w:pPr>
      <w:r>
        <w:rPr>
          <w:color w:val="231F20"/>
          <w:w w:val="105"/>
        </w:rPr>
        <w:t>Fortalecimiento</w:t>
      </w:r>
      <w:r>
        <w:rPr>
          <w:color w:val="231F20"/>
          <w:spacing w:val="-12"/>
          <w:w w:val="105"/>
        </w:rPr>
        <w:t> </w:t>
      </w:r>
      <w:r>
        <w:rPr>
          <w:color w:val="231F20"/>
          <w:w w:val="105"/>
        </w:rPr>
        <w:t>del</w:t>
      </w:r>
      <w:r>
        <w:rPr>
          <w:color w:val="231F20"/>
          <w:spacing w:val="-12"/>
          <w:w w:val="105"/>
        </w:rPr>
        <w:t> </w:t>
      </w:r>
      <w:r>
        <w:rPr>
          <w:color w:val="231F20"/>
          <w:w w:val="105"/>
        </w:rPr>
        <w:t>DIF</w:t>
      </w:r>
      <w:r>
        <w:rPr>
          <w:color w:val="231F20"/>
          <w:spacing w:val="-12"/>
          <w:w w:val="105"/>
        </w:rPr>
        <w:t> </w:t>
      </w:r>
      <w:r>
        <w:rPr>
          <w:color w:val="231F20"/>
          <w:w w:val="105"/>
        </w:rPr>
        <w:t>Municipal.</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del</w:t>
      </w:r>
      <w:r>
        <w:rPr>
          <w:color w:val="231F20"/>
          <w:spacing w:val="-12"/>
          <w:w w:val="105"/>
        </w:rPr>
        <w:t> </w:t>
      </w:r>
      <w:r>
        <w:rPr>
          <w:color w:val="231F20"/>
          <w:w w:val="105"/>
        </w:rPr>
        <w:t>DIF</w:t>
      </w:r>
      <w:r>
        <w:rPr>
          <w:color w:val="231F20"/>
          <w:spacing w:val="-12"/>
          <w:w w:val="105"/>
        </w:rPr>
        <w:t> </w:t>
      </w:r>
      <w:r>
        <w:rPr>
          <w:color w:val="231F20"/>
          <w:w w:val="105"/>
        </w:rPr>
        <w:t>municipal</w:t>
      </w:r>
      <w:r>
        <w:rPr>
          <w:color w:val="231F20"/>
          <w:spacing w:val="-12"/>
          <w:w w:val="105"/>
        </w:rPr>
        <w:t> </w:t>
      </w:r>
      <w:r>
        <w:rPr>
          <w:color w:val="231F20"/>
          <w:w w:val="105"/>
        </w:rPr>
        <w:t>se</w:t>
      </w:r>
      <w:r>
        <w:rPr>
          <w:color w:val="231F20"/>
          <w:spacing w:val="-12"/>
          <w:w w:val="105"/>
        </w:rPr>
        <w:t> </w:t>
      </w:r>
      <w:r>
        <w:rPr>
          <w:color w:val="231F20"/>
          <w:w w:val="105"/>
        </w:rPr>
        <w:t>ofrecen</w:t>
      </w:r>
      <w:r>
        <w:rPr>
          <w:color w:val="231F20"/>
          <w:spacing w:val="-12"/>
          <w:w w:val="105"/>
        </w:rPr>
        <w:t> </w:t>
      </w:r>
      <w:r>
        <w:rPr>
          <w:color w:val="231F20"/>
          <w:w w:val="105"/>
        </w:rPr>
        <w:t>servi- cios,</w:t>
      </w:r>
      <w:r>
        <w:rPr>
          <w:color w:val="231F20"/>
          <w:spacing w:val="-28"/>
          <w:w w:val="105"/>
        </w:rPr>
        <w:t> </w:t>
      </w:r>
      <w:r>
        <w:rPr>
          <w:color w:val="231F20"/>
          <w:w w:val="105"/>
        </w:rPr>
        <w:t>estímulos</w:t>
      </w:r>
      <w:r>
        <w:rPr>
          <w:color w:val="231F20"/>
          <w:spacing w:val="-28"/>
          <w:w w:val="105"/>
        </w:rPr>
        <w:t> </w:t>
      </w:r>
      <w:r>
        <w:rPr>
          <w:color w:val="231F20"/>
          <w:w w:val="105"/>
        </w:rPr>
        <w:t>y</w:t>
      </w:r>
      <w:r>
        <w:rPr>
          <w:color w:val="231F20"/>
          <w:spacing w:val="-28"/>
          <w:w w:val="105"/>
        </w:rPr>
        <w:t> </w:t>
      </w:r>
      <w:r>
        <w:rPr>
          <w:color w:val="231F20"/>
          <w:w w:val="105"/>
        </w:rPr>
        <w:t>apoyo</w:t>
      </w:r>
      <w:r>
        <w:rPr>
          <w:color w:val="231F20"/>
          <w:spacing w:val="-28"/>
          <w:w w:val="105"/>
        </w:rPr>
        <w:t> </w:t>
      </w:r>
      <w:r>
        <w:rPr>
          <w:color w:val="231F20"/>
          <w:w w:val="105"/>
        </w:rPr>
        <w:t>a</w:t>
      </w:r>
      <w:r>
        <w:rPr>
          <w:color w:val="231F20"/>
          <w:spacing w:val="-28"/>
          <w:w w:val="105"/>
        </w:rPr>
        <w:t> </w:t>
      </w:r>
      <w:r>
        <w:rPr>
          <w:color w:val="231F20"/>
          <w:w w:val="105"/>
        </w:rPr>
        <w:t>las</w:t>
      </w:r>
      <w:r>
        <w:rPr>
          <w:color w:val="231F20"/>
          <w:spacing w:val="-28"/>
          <w:w w:val="105"/>
        </w:rPr>
        <w:t> </w:t>
      </w:r>
      <w:r>
        <w:rPr>
          <w:color w:val="231F20"/>
          <w:w w:val="105"/>
        </w:rPr>
        <w:t>madres</w:t>
      </w:r>
      <w:r>
        <w:rPr>
          <w:color w:val="231F20"/>
          <w:spacing w:val="-28"/>
          <w:w w:val="105"/>
        </w:rPr>
        <w:t> </w:t>
      </w:r>
      <w:r>
        <w:rPr>
          <w:color w:val="231F20"/>
          <w:w w:val="105"/>
        </w:rPr>
        <w:t>solteras,</w:t>
      </w:r>
      <w:r>
        <w:rPr>
          <w:color w:val="231F20"/>
          <w:spacing w:val="-28"/>
          <w:w w:val="105"/>
        </w:rPr>
        <w:t> </w:t>
      </w:r>
      <w:r>
        <w:rPr>
          <w:color w:val="231F20"/>
          <w:w w:val="105"/>
        </w:rPr>
        <w:t>personas</w:t>
      </w:r>
      <w:r>
        <w:rPr>
          <w:color w:val="231F20"/>
          <w:spacing w:val="-28"/>
          <w:w w:val="105"/>
        </w:rPr>
        <w:t> </w:t>
      </w:r>
      <w:r>
        <w:rPr>
          <w:color w:val="231F20"/>
          <w:w w:val="105"/>
        </w:rPr>
        <w:t>con</w:t>
      </w:r>
      <w:r>
        <w:rPr>
          <w:color w:val="231F20"/>
          <w:spacing w:val="-28"/>
          <w:w w:val="105"/>
        </w:rPr>
        <w:t> </w:t>
      </w:r>
      <w:r>
        <w:rPr>
          <w:color w:val="231F20"/>
          <w:w w:val="105"/>
        </w:rPr>
        <w:t>capacidades</w:t>
      </w:r>
      <w:r>
        <w:rPr>
          <w:color w:val="231F20"/>
          <w:spacing w:val="-28"/>
          <w:w w:val="105"/>
        </w:rPr>
        <w:t> </w:t>
      </w:r>
      <w:r>
        <w:rPr>
          <w:color w:val="231F20"/>
          <w:w w:val="105"/>
        </w:rPr>
        <w:t>diferentes, en</w:t>
      </w:r>
      <w:r>
        <w:rPr>
          <w:color w:val="231F20"/>
          <w:spacing w:val="-7"/>
          <w:w w:val="105"/>
        </w:rPr>
        <w:t> </w:t>
      </w:r>
      <w:r>
        <w:rPr>
          <w:color w:val="231F20"/>
          <w:w w:val="105"/>
        </w:rPr>
        <w:t>situación</w:t>
      </w:r>
      <w:r>
        <w:rPr>
          <w:color w:val="231F20"/>
          <w:spacing w:val="-7"/>
          <w:w w:val="105"/>
        </w:rPr>
        <w:t> </w:t>
      </w:r>
      <w:r>
        <w:rPr>
          <w:color w:val="231F20"/>
          <w:w w:val="105"/>
        </w:rPr>
        <w:t>de</w:t>
      </w:r>
      <w:r>
        <w:rPr>
          <w:color w:val="231F20"/>
          <w:spacing w:val="-7"/>
          <w:w w:val="105"/>
        </w:rPr>
        <w:t> </w:t>
      </w:r>
      <w:r>
        <w:rPr>
          <w:color w:val="231F20"/>
          <w:w w:val="105"/>
        </w:rPr>
        <w:t>abandono</w:t>
      </w:r>
      <w:r>
        <w:rPr>
          <w:color w:val="231F20"/>
          <w:spacing w:val="-7"/>
          <w:w w:val="105"/>
        </w:rPr>
        <w:t> </w:t>
      </w:r>
      <w:r>
        <w:rPr>
          <w:color w:val="231F20"/>
          <w:w w:val="105"/>
        </w:rPr>
        <w:t>y</w:t>
      </w:r>
      <w:r>
        <w:rPr>
          <w:color w:val="231F20"/>
          <w:spacing w:val="-7"/>
          <w:w w:val="105"/>
        </w:rPr>
        <w:t> </w:t>
      </w:r>
      <w:r>
        <w:rPr>
          <w:color w:val="231F20"/>
          <w:w w:val="105"/>
        </w:rPr>
        <w:t>maltrato</w:t>
      </w:r>
      <w:r>
        <w:rPr>
          <w:color w:val="231F20"/>
          <w:spacing w:val="-7"/>
          <w:w w:val="105"/>
        </w:rPr>
        <w:t> </w:t>
      </w:r>
      <w:r>
        <w:rPr>
          <w:color w:val="231F20"/>
          <w:w w:val="105"/>
        </w:rPr>
        <w:t>y</w:t>
      </w:r>
      <w:r>
        <w:rPr>
          <w:color w:val="231F20"/>
          <w:spacing w:val="-7"/>
          <w:w w:val="105"/>
        </w:rPr>
        <w:t> </w:t>
      </w:r>
      <w:r>
        <w:rPr>
          <w:color w:val="231F20"/>
          <w:w w:val="105"/>
        </w:rPr>
        <w:t>a</w:t>
      </w:r>
      <w:r>
        <w:rPr>
          <w:color w:val="231F20"/>
          <w:spacing w:val="-7"/>
          <w:w w:val="105"/>
        </w:rPr>
        <w:t> </w:t>
      </w:r>
      <w:r>
        <w:rPr>
          <w:color w:val="231F20"/>
          <w:w w:val="105"/>
        </w:rPr>
        <w:t>quienes</w:t>
      </w:r>
      <w:r>
        <w:rPr>
          <w:color w:val="231F20"/>
          <w:spacing w:val="-7"/>
          <w:w w:val="105"/>
        </w:rPr>
        <w:t> </w:t>
      </w:r>
      <w:r>
        <w:rPr>
          <w:color w:val="231F20"/>
          <w:w w:val="105"/>
        </w:rPr>
        <w:t>padecen</w:t>
      </w:r>
      <w:r>
        <w:rPr>
          <w:color w:val="231F20"/>
          <w:spacing w:val="-7"/>
          <w:w w:val="105"/>
        </w:rPr>
        <w:t> </w:t>
      </w:r>
      <w:r>
        <w:rPr>
          <w:color w:val="231F20"/>
          <w:w w:val="105"/>
        </w:rPr>
        <w:t>algún</w:t>
      </w:r>
      <w:r>
        <w:rPr>
          <w:color w:val="231F20"/>
          <w:spacing w:val="-7"/>
          <w:w w:val="105"/>
        </w:rPr>
        <w:t> </w:t>
      </w:r>
      <w:r>
        <w:rPr>
          <w:color w:val="231F20"/>
          <w:w w:val="105"/>
        </w:rPr>
        <w:t>tipo</w:t>
      </w:r>
      <w:r>
        <w:rPr>
          <w:color w:val="231F20"/>
          <w:spacing w:val="-7"/>
          <w:w w:val="105"/>
        </w:rPr>
        <w:t> </w:t>
      </w:r>
      <w:r>
        <w:rPr>
          <w:color w:val="231F20"/>
          <w:w w:val="105"/>
        </w:rPr>
        <w:t>de</w:t>
      </w:r>
      <w:r>
        <w:rPr>
          <w:color w:val="231F20"/>
          <w:spacing w:val="-7"/>
          <w:w w:val="105"/>
        </w:rPr>
        <w:t> </w:t>
      </w:r>
      <w:r>
        <w:rPr>
          <w:color w:val="231F20"/>
          <w:w w:val="105"/>
        </w:rPr>
        <w:t>adicción. </w:t>
      </w:r>
      <w:r>
        <w:rPr>
          <w:color w:val="231F20"/>
          <w:spacing w:val="-3"/>
          <w:w w:val="105"/>
        </w:rPr>
        <w:t>Por</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primer</w:t>
      </w:r>
      <w:r>
        <w:rPr>
          <w:color w:val="231F20"/>
          <w:spacing w:val="-12"/>
          <w:w w:val="105"/>
        </w:rPr>
        <w:t> </w:t>
      </w:r>
      <w:r>
        <w:rPr>
          <w:color w:val="231F20"/>
          <w:w w:val="105"/>
        </w:rPr>
        <w:t>año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administración</w:t>
      </w:r>
      <w:r>
        <w:rPr>
          <w:color w:val="231F20"/>
          <w:spacing w:val="-12"/>
          <w:w w:val="105"/>
        </w:rPr>
        <w:t> </w:t>
      </w:r>
      <w:r>
        <w:rPr>
          <w:color w:val="231F20"/>
          <w:w w:val="105"/>
        </w:rPr>
        <w:t>actual</w:t>
      </w:r>
      <w:r>
        <w:rPr>
          <w:color w:val="231F20"/>
          <w:spacing w:val="-12"/>
          <w:w w:val="105"/>
        </w:rPr>
        <w:t> </w:t>
      </w:r>
      <w:r>
        <w:rPr>
          <w:color w:val="231F20"/>
          <w:w w:val="105"/>
        </w:rPr>
        <w:t>(2006-2009)</w:t>
      </w:r>
      <w:r>
        <w:rPr>
          <w:color w:val="231F20"/>
          <w:spacing w:val="-12"/>
          <w:w w:val="105"/>
        </w:rPr>
        <w:t> </w:t>
      </w:r>
      <w:r>
        <w:rPr>
          <w:color w:val="231F20"/>
          <w:spacing w:val="-6"/>
          <w:w w:val="105"/>
        </w:rPr>
        <w:t>“…los</w:t>
      </w:r>
      <w:r>
        <w:rPr>
          <w:color w:val="231F20"/>
          <w:spacing w:val="-12"/>
          <w:w w:val="105"/>
        </w:rPr>
        <w:t> </w:t>
      </w:r>
      <w:r>
        <w:rPr>
          <w:color w:val="231F20"/>
          <w:w w:val="105"/>
        </w:rPr>
        <w:t>recur- sos</w:t>
      </w:r>
      <w:r>
        <w:rPr>
          <w:color w:val="231F20"/>
          <w:spacing w:val="-10"/>
          <w:w w:val="105"/>
        </w:rPr>
        <w:t> </w:t>
      </w:r>
      <w:r>
        <w:rPr>
          <w:color w:val="231F20"/>
          <w:w w:val="105"/>
        </w:rPr>
        <w:t>que</w:t>
      </w:r>
      <w:r>
        <w:rPr>
          <w:color w:val="231F20"/>
          <w:spacing w:val="-10"/>
          <w:w w:val="105"/>
        </w:rPr>
        <w:t> </w:t>
      </w:r>
      <w:r>
        <w:rPr>
          <w:color w:val="231F20"/>
          <w:w w:val="105"/>
        </w:rPr>
        <w:t>este</w:t>
      </w:r>
      <w:r>
        <w:rPr>
          <w:color w:val="231F20"/>
          <w:spacing w:val="-10"/>
          <w:w w:val="105"/>
        </w:rPr>
        <w:t> </w:t>
      </w:r>
      <w:r>
        <w:rPr>
          <w:color w:val="231F20"/>
          <w:w w:val="105"/>
        </w:rPr>
        <w:t>gobierno</w:t>
      </w:r>
      <w:r>
        <w:rPr>
          <w:color w:val="231F20"/>
          <w:spacing w:val="-10"/>
          <w:w w:val="105"/>
        </w:rPr>
        <w:t> </w:t>
      </w:r>
      <w:r>
        <w:rPr>
          <w:color w:val="231F20"/>
          <w:w w:val="105"/>
        </w:rPr>
        <w:t>municipal</w:t>
      </w:r>
      <w:r>
        <w:rPr>
          <w:color w:val="231F20"/>
          <w:spacing w:val="-10"/>
          <w:w w:val="105"/>
        </w:rPr>
        <w:t> </w:t>
      </w:r>
      <w:r>
        <w:rPr>
          <w:color w:val="231F20"/>
          <w:w w:val="105"/>
        </w:rPr>
        <w:t>ha</w:t>
      </w:r>
      <w:r>
        <w:rPr>
          <w:color w:val="231F20"/>
          <w:spacing w:val="-10"/>
          <w:w w:val="105"/>
        </w:rPr>
        <w:t> </w:t>
      </w:r>
      <w:r>
        <w:rPr>
          <w:color w:val="231F20"/>
          <w:w w:val="105"/>
        </w:rPr>
        <w:t>proporcionado</w:t>
      </w:r>
      <w:r>
        <w:rPr>
          <w:color w:val="231F20"/>
          <w:spacing w:val="-10"/>
          <w:w w:val="105"/>
        </w:rPr>
        <w:t> </w:t>
      </w:r>
      <w:r>
        <w:rPr>
          <w:color w:val="231F20"/>
          <w:spacing w:val="2"/>
          <w:w w:val="105"/>
        </w:rPr>
        <w:t>al</w:t>
      </w:r>
      <w:r>
        <w:rPr>
          <w:color w:val="231F20"/>
          <w:spacing w:val="-10"/>
          <w:w w:val="105"/>
        </w:rPr>
        <w:t> </w:t>
      </w:r>
      <w:r>
        <w:rPr>
          <w:color w:val="231F20"/>
          <w:spacing w:val="-6"/>
          <w:w w:val="105"/>
        </w:rPr>
        <w:t>DIF,</w:t>
      </w:r>
      <w:r>
        <w:rPr>
          <w:color w:val="231F20"/>
          <w:spacing w:val="-10"/>
          <w:w w:val="105"/>
        </w:rPr>
        <w:t> </w:t>
      </w:r>
      <w:r>
        <w:rPr>
          <w:color w:val="231F20"/>
          <w:w w:val="105"/>
        </w:rPr>
        <w:t>permiten</w:t>
      </w:r>
      <w:r>
        <w:rPr>
          <w:color w:val="231F20"/>
          <w:spacing w:val="-10"/>
          <w:w w:val="105"/>
        </w:rPr>
        <w:t> </w:t>
      </w:r>
      <w:r>
        <w:rPr>
          <w:color w:val="231F20"/>
          <w:spacing w:val="2"/>
          <w:w w:val="105"/>
        </w:rPr>
        <w:t>alcanzar</w:t>
      </w:r>
      <w:r>
        <w:rPr>
          <w:color w:val="231F20"/>
          <w:spacing w:val="-10"/>
          <w:w w:val="105"/>
        </w:rPr>
        <w:t> </w:t>
      </w:r>
      <w:r>
        <w:rPr>
          <w:color w:val="231F20"/>
          <w:w w:val="105"/>
        </w:rPr>
        <w:t>una cifra</w:t>
      </w:r>
      <w:r>
        <w:rPr>
          <w:color w:val="231F20"/>
          <w:spacing w:val="-29"/>
          <w:w w:val="105"/>
        </w:rPr>
        <w:t> </w:t>
      </w:r>
      <w:r>
        <w:rPr>
          <w:color w:val="231F20"/>
          <w:w w:val="105"/>
        </w:rPr>
        <w:t>total</w:t>
      </w:r>
      <w:r>
        <w:rPr>
          <w:color w:val="231F20"/>
          <w:spacing w:val="-29"/>
          <w:w w:val="105"/>
        </w:rPr>
        <w:t> </w:t>
      </w:r>
      <w:r>
        <w:rPr>
          <w:color w:val="231F20"/>
          <w:w w:val="105"/>
        </w:rPr>
        <w:t>de</w:t>
      </w:r>
      <w:r>
        <w:rPr>
          <w:color w:val="231F20"/>
          <w:spacing w:val="-29"/>
          <w:w w:val="105"/>
        </w:rPr>
        <w:t> </w:t>
      </w:r>
      <w:r>
        <w:rPr>
          <w:color w:val="231F20"/>
          <w:w w:val="105"/>
        </w:rPr>
        <w:t>$70’880,482.11</w:t>
      </w:r>
      <w:r>
        <w:rPr>
          <w:color w:val="231F20"/>
          <w:spacing w:val="-29"/>
          <w:w w:val="105"/>
        </w:rPr>
        <w:t> </w:t>
      </w:r>
      <w:r>
        <w:rPr>
          <w:color w:val="231F20"/>
          <w:w w:val="105"/>
        </w:rPr>
        <w:t>que</w:t>
      </w:r>
      <w:r>
        <w:rPr>
          <w:color w:val="231F20"/>
          <w:spacing w:val="-29"/>
          <w:w w:val="105"/>
        </w:rPr>
        <w:t> </w:t>
      </w:r>
      <w:r>
        <w:rPr>
          <w:color w:val="231F20"/>
          <w:w w:val="105"/>
        </w:rPr>
        <w:t>representa</w:t>
      </w:r>
      <w:r>
        <w:rPr>
          <w:color w:val="231F20"/>
          <w:spacing w:val="-29"/>
          <w:w w:val="105"/>
        </w:rPr>
        <w:t> </w:t>
      </w:r>
      <w:r>
        <w:rPr>
          <w:color w:val="231F20"/>
          <w:w w:val="105"/>
        </w:rPr>
        <w:t>un</w:t>
      </w:r>
      <w:r>
        <w:rPr>
          <w:color w:val="231F20"/>
          <w:spacing w:val="-29"/>
          <w:w w:val="105"/>
        </w:rPr>
        <w:t> </w:t>
      </w:r>
      <w:r>
        <w:rPr>
          <w:color w:val="231F20"/>
          <w:w w:val="105"/>
        </w:rPr>
        <w:t>incremento</w:t>
      </w:r>
      <w:r>
        <w:rPr>
          <w:color w:val="231F20"/>
          <w:spacing w:val="-29"/>
          <w:w w:val="105"/>
        </w:rPr>
        <w:t> </w:t>
      </w:r>
      <w:r>
        <w:rPr>
          <w:color w:val="231F20"/>
          <w:w w:val="105"/>
        </w:rPr>
        <w:t>del</w:t>
      </w:r>
      <w:r>
        <w:rPr>
          <w:color w:val="231F20"/>
          <w:spacing w:val="-29"/>
          <w:w w:val="105"/>
        </w:rPr>
        <w:t> </w:t>
      </w:r>
      <w:r>
        <w:rPr>
          <w:color w:val="231F20"/>
          <w:w w:val="105"/>
        </w:rPr>
        <w:t>38.7%</w:t>
      </w:r>
      <w:r>
        <w:rPr>
          <w:color w:val="231F20"/>
          <w:spacing w:val="-29"/>
          <w:w w:val="105"/>
        </w:rPr>
        <w:t> </w:t>
      </w:r>
      <w:r>
        <w:rPr>
          <w:color w:val="231F20"/>
          <w:w w:val="105"/>
        </w:rPr>
        <w:t>con</w:t>
      </w:r>
      <w:r>
        <w:rPr>
          <w:color w:val="231F20"/>
          <w:spacing w:val="-29"/>
          <w:w w:val="105"/>
        </w:rPr>
        <w:t> </w:t>
      </w:r>
      <w:r>
        <w:rPr>
          <w:color w:val="231F20"/>
          <w:w w:val="105"/>
        </w:rPr>
        <w:t>relación a</w:t>
      </w:r>
      <w:r>
        <w:rPr>
          <w:color w:val="231F20"/>
          <w:spacing w:val="-30"/>
          <w:w w:val="105"/>
        </w:rPr>
        <w:t> </w:t>
      </w:r>
      <w:r>
        <w:rPr>
          <w:color w:val="231F20"/>
          <w:w w:val="105"/>
        </w:rPr>
        <w:t>los</w:t>
      </w:r>
      <w:r>
        <w:rPr>
          <w:color w:val="231F20"/>
          <w:spacing w:val="-30"/>
          <w:w w:val="105"/>
        </w:rPr>
        <w:t> </w:t>
      </w:r>
      <w:r>
        <w:rPr>
          <w:color w:val="231F20"/>
          <w:w w:val="105"/>
        </w:rPr>
        <w:t>ejercidos</w:t>
      </w:r>
      <w:r>
        <w:rPr>
          <w:color w:val="231F20"/>
          <w:spacing w:val="-30"/>
          <w:w w:val="105"/>
        </w:rPr>
        <w:t> </w:t>
      </w:r>
      <w:r>
        <w:rPr>
          <w:color w:val="231F20"/>
          <w:w w:val="105"/>
        </w:rPr>
        <w:t>el</w:t>
      </w:r>
      <w:r>
        <w:rPr>
          <w:color w:val="231F20"/>
          <w:spacing w:val="-30"/>
          <w:w w:val="105"/>
        </w:rPr>
        <w:t> </w:t>
      </w:r>
      <w:r>
        <w:rPr>
          <w:color w:val="231F20"/>
          <w:w w:val="105"/>
        </w:rPr>
        <w:t>año</w:t>
      </w:r>
      <w:r>
        <w:rPr>
          <w:color w:val="231F20"/>
          <w:spacing w:val="-30"/>
          <w:w w:val="105"/>
        </w:rPr>
        <w:t> </w:t>
      </w:r>
      <w:r>
        <w:rPr>
          <w:color w:val="231F20"/>
          <w:spacing w:val="-3"/>
          <w:w w:val="105"/>
        </w:rPr>
        <w:t>anterior”.</w:t>
      </w:r>
      <w:r>
        <w:rPr>
          <w:color w:val="231F20"/>
          <w:spacing w:val="-30"/>
          <w:w w:val="105"/>
        </w:rPr>
        <w:t> </w:t>
      </w:r>
      <w:r>
        <w:rPr>
          <w:color w:val="231F20"/>
          <w:w w:val="105"/>
        </w:rPr>
        <w:t>(Bautista</w:t>
      </w:r>
      <w:r>
        <w:rPr>
          <w:color w:val="231F20"/>
          <w:spacing w:val="-30"/>
          <w:w w:val="105"/>
        </w:rPr>
        <w:t> </w:t>
      </w:r>
      <w:r>
        <w:rPr>
          <w:color w:val="231F20"/>
          <w:w w:val="105"/>
        </w:rPr>
        <w:t>López,</w:t>
      </w:r>
      <w:r>
        <w:rPr>
          <w:color w:val="231F20"/>
          <w:spacing w:val="-30"/>
          <w:w w:val="105"/>
        </w:rPr>
        <w:t> </w:t>
      </w:r>
      <w:r>
        <w:rPr>
          <w:color w:val="231F20"/>
          <w:w w:val="105"/>
        </w:rPr>
        <w:t>2007:24).</w:t>
      </w:r>
    </w:p>
    <w:p>
      <w:pPr>
        <w:pStyle w:val="BodyText"/>
        <w:spacing w:before="1"/>
        <w:rPr>
          <w:sz w:val="26"/>
        </w:rPr>
      </w:pPr>
    </w:p>
    <w:p>
      <w:pPr>
        <w:pStyle w:val="BodyText"/>
        <w:spacing w:line="285" w:lineRule="auto"/>
        <w:ind w:left="110" w:right="106"/>
        <w:jc w:val="both"/>
      </w:pPr>
      <w:r>
        <w:rPr>
          <w:color w:val="231F20"/>
          <w:w w:val="105"/>
        </w:rPr>
        <w:t>Es indudable que los </w:t>
      </w:r>
      <w:r>
        <w:rPr>
          <w:color w:val="231F20"/>
          <w:spacing w:val="2"/>
          <w:w w:val="105"/>
        </w:rPr>
        <w:t>programas sociales </w:t>
      </w:r>
      <w:r>
        <w:rPr>
          <w:color w:val="231F20"/>
          <w:w w:val="105"/>
        </w:rPr>
        <w:t>implementados por el gobierno </w:t>
      </w:r>
      <w:r>
        <w:rPr>
          <w:color w:val="231F20"/>
          <w:spacing w:val="2"/>
          <w:w w:val="105"/>
        </w:rPr>
        <w:t>perredista</w:t>
      </w:r>
      <w:r>
        <w:rPr>
          <w:color w:val="231F20"/>
          <w:spacing w:val="61"/>
          <w:w w:val="105"/>
        </w:rPr>
        <w:t> </w:t>
      </w:r>
      <w:r>
        <w:rPr>
          <w:color w:val="231F20"/>
          <w:w w:val="105"/>
        </w:rPr>
        <w:t>en el municipio de Nezahualcóyotl le </w:t>
      </w:r>
      <w:r>
        <w:rPr>
          <w:color w:val="231F20"/>
          <w:spacing w:val="3"/>
          <w:w w:val="105"/>
        </w:rPr>
        <w:t>han </w:t>
      </w:r>
      <w:r>
        <w:rPr>
          <w:color w:val="231F20"/>
          <w:spacing w:val="2"/>
          <w:w w:val="105"/>
        </w:rPr>
        <w:t>significado </w:t>
      </w:r>
      <w:r>
        <w:rPr>
          <w:color w:val="231F20"/>
          <w:spacing w:val="4"/>
          <w:w w:val="105"/>
        </w:rPr>
        <w:t>afianzar </w:t>
      </w:r>
      <w:r>
        <w:rPr>
          <w:color w:val="231F20"/>
          <w:w w:val="105"/>
        </w:rPr>
        <w:t>cierto </w:t>
      </w:r>
      <w:r>
        <w:rPr>
          <w:color w:val="231F20"/>
          <w:spacing w:val="2"/>
          <w:w w:val="105"/>
        </w:rPr>
        <w:t>capital </w:t>
      </w:r>
      <w:r>
        <w:rPr>
          <w:color w:val="231F20"/>
          <w:w w:val="105"/>
        </w:rPr>
        <w:t>político, sobre todo con aquellos sectores </w:t>
      </w:r>
      <w:r>
        <w:rPr>
          <w:color w:val="231F20"/>
          <w:spacing w:val="2"/>
          <w:w w:val="105"/>
        </w:rPr>
        <w:t>sociales </w:t>
      </w:r>
      <w:r>
        <w:rPr>
          <w:color w:val="231F20"/>
          <w:w w:val="105"/>
        </w:rPr>
        <w:t>que se </w:t>
      </w:r>
      <w:r>
        <w:rPr>
          <w:color w:val="231F20"/>
          <w:spacing w:val="3"/>
          <w:w w:val="105"/>
        </w:rPr>
        <w:t>han visto </w:t>
      </w:r>
      <w:r>
        <w:rPr>
          <w:color w:val="231F20"/>
          <w:spacing w:val="2"/>
          <w:w w:val="105"/>
        </w:rPr>
        <w:t>directamente </w:t>
      </w:r>
      <w:r>
        <w:rPr>
          <w:color w:val="231F20"/>
          <w:w w:val="105"/>
        </w:rPr>
        <w:t>beneficiados con</w:t>
      </w:r>
      <w:r>
        <w:rPr>
          <w:color w:val="231F20"/>
          <w:spacing w:val="-4"/>
          <w:w w:val="105"/>
        </w:rPr>
        <w:t> </w:t>
      </w:r>
      <w:r>
        <w:rPr>
          <w:color w:val="231F20"/>
          <w:w w:val="105"/>
        </w:rPr>
        <w:t>estos</w:t>
      </w:r>
      <w:r>
        <w:rPr>
          <w:color w:val="231F20"/>
          <w:spacing w:val="-4"/>
          <w:w w:val="105"/>
        </w:rPr>
        <w:t> </w:t>
      </w:r>
      <w:r>
        <w:rPr>
          <w:color w:val="231F20"/>
          <w:spacing w:val="2"/>
          <w:w w:val="105"/>
        </w:rPr>
        <w:t>programas.</w:t>
      </w:r>
      <w:r>
        <w:rPr>
          <w:color w:val="231F20"/>
          <w:spacing w:val="-4"/>
          <w:w w:val="105"/>
        </w:rPr>
        <w:t> </w:t>
      </w:r>
      <w:r>
        <w:rPr>
          <w:color w:val="231F20"/>
          <w:w w:val="105"/>
        </w:rPr>
        <w:t>Situación</w:t>
      </w:r>
      <w:r>
        <w:rPr>
          <w:color w:val="231F20"/>
          <w:spacing w:val="-4"/>
          <w:w w:val="105"/>
        </w:rPr>
        <w:t> </w:t>
      </w:r>
      <w:r>
        <w:rPr>
          <w:color w:val="231F20"/>
          <w:w w:val="105"/>
        </w:rPr>
        <w:t>que</w:t>
      </w:r>
      <w:r>
        <w:rPr>
          <w:color w:val="231F20"/>
          <w:spacing w:val="-4"/>
          <w:w w:val="105"/>
        </w:rPr>
        <w:t> </w:t>
      </w:r>
      <w:r>
        <w:rPr>
          <w:color w:val="231F20"/>
          <w:w w:val="105"/>
        </w:rPr>
        <w:t>si</w:t>
      </w:r>
      <w:r>
        <w:rPr>
          <w:color w:val="231F20"/>
          <w:spacing w:val="-4"/>
          <w:w w:val="105"/>
        </w:rPr>
        <w:t> </w:t>
      </w:r>
      <w:r>
        <w:rPr>
          <w:color w:val="231F20"/>
          <w:w w:val="105"/>
        </w:rPr>
        <w:t>por</w:t>
      </w:r>
      <w:r>
        <w:rPr>
          <w:color w:val="231F20"/>
          <w:spacing w:val="-4"/>
          <w:w w:val="105"/>
        </w:rPr>
        <w:t> </w:t>
      </w:r>
      <w:r>
        <w:rPr>
          <w:color w:val="231F20"/>
          <w:spacing w:val="3"/>
          <w:w w:val="105"/>
        </w:rPr>
        <w:t>un</w:t>
      </w:r>
      <w:r>
        <w:rPr>
          <w:color w:val="231F20"/>
          <w:spacing w:val="-4"/>
          <w:w w:val="105"/>
        </w:rPr>
        <w:t> </w:t>
      </w:r>
      <w:r>
        <w:rPr>
          <w:color w:val="231F20"/>
          <w:w w:val="105"/>
        </w:rPr>
        <w:t>lado</w:t>
      </w:r>
      <w:r>
        <w:rPr>
          <w:color w:val="231F20"/>
          <w:spacing w:val="-4"/>
          <w:w w:val="105"/>
        </w:rPr>
        <w:t> </w:t>
      </w:r>
      <w:r>
        <w:rPr>
          <w:color w:val="231F20"/>
          <w:w w:val="105"/>
        </w:rPr>
        <w:t>puede</w:t>
      </w:r>
      <w:r>
        <w:rPr>
          <w:color w:val="231F20"/>
          <w:spacing w:val="-4"/>
          <w:w w:val="105"/>
        </w:rPr>
        <w:t> </w:t>
      </w:r>
      <w:r>
        <w:rPr>
          <w:color w:val="231F20"/>
          <w:w w:val="105"/>
        </w:rPr>
        <w:t>ser</w:t>
      </w:r>
      <w:r>
        <w:rPr>
          <w:color w:val="231F20"/>
          <w:spacing w:val="-4"/>
          <w:w w:val="105"/>
        </w:rPr>
        <w:t> </w:t>
      </w:r>
      <w:r>
        <w:rPr>
          <w:color w:val="231F20"/>
          <w:w w:val="105"/>
        </w:rPr>
        <w:t>criticable</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sentido</w:t>
      </w:r>
      <w:r>
        <w:rPr>
          <w:color w:val="231F20"/>
          <w:spacing w:val="-4"/>
          <w:w w:val="105"/>
        </w:rPr>
        <w:t> </w:t>
      </w:r>
      <w:r>
        <w:rPr>
          <w:color w:val="231F20"/>
          <w:w w:val="105"/>
        </w:rPr>
        <w:t>de ser</w:t>
      </w:r>
      <w:r>
        <w:rPr>
          <w:color w:val="231F20"/>
          <w:spacing w:val="-8"/>
          <w:w w:val="105"/>
        </w:rPr>
        <w:t> </w:t>
      </w:r>
      <w:r>
        <w:rPr>
          <w:color w:val="231F20"/>
          <w:spacing w:val="2"/>
          <w:w w:val="105"/>
        </w:rPr>
        <w:t>programas</w:t>
      </w:r>
      <w:r>
        <w:rPr>
          <w:color w:val="231F20"/>
          <w:spacing w:val="-8"/>
          <w:w w:val="105"/>
        </w:rPr>
        <w:t> </w:t>
      </w:r>
      <w:r>
        <w:rPr>
          <w:color w:val="231F20"/>
          <w:w w:val="105"/>
        </w:rPr>
        <w:t>de</w:t>
      </w:r>
      <w:r>
        <w:rPr>
          <w:color w:val="231F20"/>
          <w:spacing w:val="-8"/>
          <w:w w:val="105"/>
        </w:rPr>
        <w:t> </w:t>
      </w:r>
      <w:r>
        <w:rPr>
          <w:color w:val="231F20"/>
          <w:w w:val="105"/>
        </w:rPr>
        <w:t>corte</w:t>
      </w:r>
      <w:r>
        <w:rPr>
          <w:color w:val="231F20"/>
          <w:spacing w:val="-8"/>
          <w:w w:val="105"/>
        </w:rPr>
        <w:t> </w:t>
      </w:r>
      <w:r>
        <w:rPr>
          <w:color w:val="231F20"/>
          <w:spacing w:val="3"/>
          <w:w w:val="105"/>
        </w:rPr>
        <w:t>populista</w:t>
      </w:r>
      <w:r>
        <w:rPr>
          <w:color w:val="231F20"/>
          <w:spacing w:val="-8"/>
          <w:w w:val="105"/>
        </w:rPr>
        <w:t> </w:t>
      </w:r>
      <w:r>
        <w:rPr>
          <w:color w:val="231F20"/>
          <w:w w:val="105"/>
        </w:rPr>
        <w:t>y</w:t>
      </w:r>
      <w:r>
        <w:rPr>
          <w:color w:val="231F20"/>
          <w:spacing w:val="-8"/>
          <w:w w:val="105"/>
        </w:rPr>
        <w:t> </w:t>
      </w:r>
      <w:r>
        <w:rPr>
          <w:color w:val="231F20"/>
          <w:spacing w:val="2"/>
          <w:w w:val="105"/>
        </w:rPr>
        <w:t>asistencialista,</w:t>
      </w:r>
      <w:r>
        <w:rPr>
          <w:color w:val="231F20"/>
          <w:spacing w:val="-8"/>
          <w:w w:val="105"/>
        </w:rPr>
        <w:t> </w:t>
      </w:r>
      <w:r>
        <w:rPr>
          <w:color w:val="231F20"/>
          <w:w w:val="105"/>
        </w:rPr>
        <w:t>es</w:t>
      </w:r>
      <w:r>
        <w:rPr>
          <w:color w:val="231F20"/>
          <w:spacing w:val="-8"/>
          <w:w w:val="105"/>
        </w:rPr>
        <w:t> </w:t>
      </w:r>
      <w:r>
        <w:rPr>
          <w:color w:val="231F20"/>
          <w:w w:val="105"/>
        </w:rPr>
        <w:t>loable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sentido</w:t>
      </w:r>
      <w:r>
        <w:rPr>
          <w:color w:val="231F20"/>
          <w:spacing w:val="-8"/>
          <w:w w:val="105"/>
        </w:rPr>
        <w:t> </w:t>
      </w:r>
      <w:r>
        <w:rPr>
          <w:color w:val="231F20"/>
          <w:w w:val="105"/>
        </w:rPr>
        <w:t>de</w:t>
      </w:r>
      <w:r>
        <w:rPr>
          <w:color w:val="231F20"/>
          <w:spacing w:val="-8"/>
          <w:w w:val="105"/>
        </w:rPr>
        <w:t> </w:t>
      </w:r>
      <w:r>
        <w:rPr>
          <w:color w:val="231F20"/>
          <w:spacing w:val="3"/>
          <w:w w:val="105"/>
        </w:rPr>
        <w:t>socializar </w:t>
      </w:r>
      <w:r>
        <w:rPr>
          <w:color w:val="231F20"/>
          <w:w w:val="105"/>
        </w:rPr>
        <w:t>el</w:t>
      </w:r>
      <w:r>
        <w:rPr>
          <w:color w:val="231F20"/>
          <w:spacing w:val="-5"/>
          <w:w w:val="105"/>
        </w:rPr>
        <w:t> </w:t>
      </w:r>
      <w:r>
        <w:rPr>
          <w:color w:val="231F20"/>
          <w:w w:val="105"/>
        </w:rPr>
        <w:t>gasto</w:t>
      </w:r>
      <w:r>
        <w:rPr>
          <w:color w:val="231F20"/>
          <w:spacing w:val="-5"/>
          <w:w w:val="105"/>
        </w:rPr>
        <w:t> </w:t>
      </w:r>
      <w:r>
        <w:rPr>
          <w:color w:val="231F20"/>
          <w:w w:val="105"/>
        </w:rPr>
        <w:t>público</w:t>
      </w:r>
      <w:r>
        <w:rPr>
          <w:color w:val="231F20"/>
          <w:spacing w:val="-5"/>
          <w:w w:val="105"/>
        </w:rPr>
        <w:t> </w:t>
      </w:r>
      <w:r>
        <w:rPr>
          <w:color w:val="231F20"/>
          <w:spacing w:val="2"/>
          <w:w w:val="105"/>
        </w:rPr>
        <w:t>municipal,</w:t>
      </w:r>
      <w:r>
        <w:rPr>
          <w:color w:val="231F20"/>
          <w:spacing w:val="-5"/>
          <w:w w:val="105"/>
        </w:rPr>
        <w:t> </w:t>
      </w:r>
      <w:r>
        <w:rPr>
          <w:color w:val="231F20"/>
          <w:w w:val="105"/>
        </w:rPr>
        <w:t>a</w:t>
      </w:r>
      <w:r>
        <w:rPr>
          <w:color w:val="231F20"/>
          <w:spacing w:val="-5"/>
          <w:w w:val="105"/>
        </w:rPr>
        <w:t> </w:t>
      </w:r>
      <w:r>
        <w:rPr>
          <w:color w:val="231F20"/>
          <w:spacing w:val="3"/>
          <w:w w:val="105"/>
        </w:rPr>
        <w:t>pesar</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este</w:t>
      </w:r>
      <w:r>
        <w:rPr>
          <w:color w:val="231F20"/>
          <w:spacing w:val="-5"/>
          <w:w w:val="105"/>
        </w:rPr>
        <w:t> </w:t>
      </w:r>
      <w:r>
        <w:rPr>
          <w:color w:val="231F20"/>
          <w:w w:val="105"/>
        </w:rPr>
        <w:t>adquiera</w:t>
      </w:r>
      <w:r>
        <w:rPr>
          <w:color w:val="231F20"/>
          <w:spacing w:val="-5"/>
          <w:w w:val="105"/>
        </w:rPr>
        <w:t> </w:t>
      </w:r>
      <w:r>
        <w:rPr>
          <w:color w:val="231F20"/>
          <w:spacing w:val="2"/>
          <w:w w:val="105"/>
        </w:rPr>
        <w:t>tintes</w:t>
      </w:r>
      <w:r>
        <w:rPr>
          <w:color w:val="231F20"/>
          <w:spacing w:val="-5"/>
          <w:w w:val="105"/>
        </w:rPr>
        <w:t> </w:t>
      </w:r>
      <w:r>
        <w:rPr>
          <w:color w:val="231F20"/>
          <w:w w:val="105"/>
        </w:rPr>
        <w:t>netamente</w:t>
      </w:r>
      <w:r>
        <w:rPr>
          <w:color w:val="231F20"/>
          <w:spacing w:val="-5"/>
          <w:w w:val="105"/>
        </w:rPr>
        <w:t> </w:t>
      </w:r>
      <w:r>
        <w:rPr>
          <w:color w:val="231F20"/>
          <w:spacing w:val="3"/>
          <w:w w:val="105"/>
        </w:rPr>
        <w:t>partidistas</w:t>
      </w:r>
      <w:r>
        <w:rPr>
          <w:color w:val="231F20"/>
          <w:spacing w:val="-5"/>
          <w:w w:val="105"/>
        </w:rPr>
        <w:t> </w:t>
      </w:r>
      <w:r>
        <w:rPr>
          <w:color w:val="231F20"/>
          <w:w w:val="105"/>
        </w:rPr>
        <w:t>a favor</w:t>
      </w:r>
      <w:r>
        <w:rPr>
          <w:color w:val="231F20"/>
          <w:spacing w:val="-12"/>
          <w:w w:val="105"/>
        </w:rPr>
        <w:t> </w:t>
      </w:r>
      <w:r>
        <w:rPr>
          <w:color w:val="231F20"/>
          <w:w w:val="105"/>
        </w:rPr>
        <w:t>del</w:t>
      </w:r>
      <w:r>
        <w:rPr>
          <w:color w:val="231F20"/>
          <w:spacing w:val="-12"/>
          <w:w w:val="105"/>
        </w:rPr>
        <w:t> </w:t>
      </w:r>
      <w:r>
        <w:rPr>
          <w:color w:val="231F20"/>
          <w:w w:val="105"/>
        </w:rPr>
        <w:t>PRD.</w:t>
      </w:r>
      <w:r>
        <w:rPr>
          <w:color w:val="231F20"/>
          <w:spacing w:val="-12"/>
          <w:w w:val="105"/>
        </w:rPr>
        <w:t> </w:t>
      </w:r>
      <w:r>
        <w:rPr>
          <w:color w:val="231F20"/>
          <w:w w:val="105"/>
        </w:rPr>
        <w:t>Por</w:t>
      </w:r>
      <w:r>
        <w:rPr>
          <w:color w:val="231F20"/>
          <w:spacing w:val="-12"/>
          <w:w w:val="105"/>
        </w:rPr>
        <w:t> </w:t>
      </w:r>
      <w:r>
        <w:rPr>
          <w:color w:val="231F20"/>
          <w:w w:val="105"/>
        </w:rPr>
        <w:t>tanto,</w:t>
      </w:r>
      <w:r>
        <w:rPr>
          <w:color w:val="231F20"/>
          <w:spacing w:val="-12"/>
          <w:w w:val="105"/>
        </w:rPr>
        <w:t> </w:t>
      </w:r>
      <w:r>
        <w:rPr>
          <w:color w:val="231F20"/>
          <w:w w:val="105"/>
        </w:rPr>
        <w:t>estos</w:t>
      </w:r>
      <w:r>
        <w:rPr>
          <w:color w:val="231F20"/>
          <w:spacing w:val="-12"/>
          <w:w w:val="105"/>
        </w:rPr>
        <w:t> </w:t>
      </w:r>
      <w:r>
        <w:rPr>
          <w:color w:val="231F20"/>
          <w:spacing w:val="2"/>
          <w:w w:val="105"/>
        </w:rPr>
        <w:t>programas</w:t>
      </w:r>
      <w:r>
        <w:rPr>
          <w:color w:val="231F20"/>
          <w:spacing w:val="-12"/>
          <w:w w:val="105"/>
        </w:rPr>
        <w:t> </w:t>
      </w:r>
      <w:r>
        <w:rPr>
          <w:color w:val="231F20"/>
          <w:spacing w:val="2"/>
          <w:w w:val="105"/>
        </w:rPr>
        <w:t>sociales</w:t>
      </w:r>
      <w:r>
        <w:rPr>
          <w:color w:val="231F20"/>
          <w:spacing w:val="-12"/>
          <w:w w:val="105"/>
        </w:rPr>
        <w:t> </w:t>
      </w:r>
      <w:r>
        <w:rPr>
          <w:color w:val="231F20"/>
          <w:w w:val="105"/>
        </w:rPr>
        <w:t>independientemente</w:t>
      </w:r>
      <w:r>
        <w:rPr>
          <w:color w:val="231F20"/>
          <w:spacing w:val="-12"/>
          <w:w w:val="105"/>
        </w:rPr>
        <w:t> </w:t>
      </w:r>
      <w:r>
        <w:rPr>
          <w:color w:val="231F20"/>
          <w:w w:val="105"/>
        </w:rPr>
        <w:t>que</w:t>
      </w:r>
      <w:r>
        <w:rPr>
          <w:color w:val="231F20"/>
          <w:spacing w:val="-12"/>
          <w:w w:val="105"/>
        </w:rPr>
        <w:t> </w:t>
      </w:r>
      <w:r>
        <w:rPr>
          <w:color w:val="231F20"/>
          <w:spacing w:val="2"/>
          <w:w w:val="105"/>
        </w:rPr>
        <w:t>sean</w:t>
      </w:r>
      <w:r>
        <w:rPr>
          <w:color w:val="231F20"/>
          <w:spacing w:val="-12"/>
          <w:w w:val="105"/>
        </w:rPr>
        <w:t> </w:t>
      </w:r>
      <w:r>
        <w:rPr>
          <w:color w:val="231F20"/>
          <w:spacing w:val="2"/>
          <w:w w:val="105"/>
        </w:rPr>
        <w:t>utili- </w:t>
      </w:r>
      <w:r>
        <w:rPr>
          <w:color w:val="231F20"/>
          <w:w w:val="105"/>
        </w:rPr>
        <w:t>zados de forma clientelar y corporativa con </w:t>
      </w:r>
      <w:r>
        <w:rPr>
          <w:color w:val="231F20"/>
          <w:spacing w:val="2"/>
          <w:w w:val="105"/>
        </w:rPr>
        <w:t>las </w:t>
      </w:r>
      <w:r>
        <w:rPr>
          <w:color w:val="231F20"/>
          <w:w w:val="105"/>
        </w:rPr>
        <w:t>principales organizaciones </w:t>
      </w:r>
      <w:r>
        <w:rPr>
          <w:color w:val="231F20"/>
          <w:spacing w:val="2"/>
          <w:w w:val="105"/>
        </w:rPr>
        <w:t>sociales </w:t>
      </w:r>
      <w:r>
        <w:rPr>
          <w:color w:val="231F20"/>
          <w:w w:val="105"/>
        </w:rPr>
        <w:t>en el municipio, representan </w:t>
      </w:r>
      <w:r>
        <w:rPr>
          <w:color w:val="231F20"/>
          <w:spacing w:val="3"/>
          <w:w w:val="105"/>
        </w:rPr>
        <w:t>un </w:t>
      </w:r>
      <w:r>
        <w:rPr>
          <w:color w:val="231F20"/>
          <w:w w:val="105"/>
        </w:rPr>
        <w:t>apoyo económico </w:t>
      </w:r>
      <w:r>
        <w:rPr>
          <w:color w:val="231F20"/>
          <w:spacing w:val="2"/>
          <w:w w:val="105"/>
        </w:rPr>
        <w:t>significativo para </w:t>
      </w:r>
      <w:r>
        <w:rPr>
          <w:color w:val="231F20"/>
          <w:w w:val="105"/>
        </w:rPr>
        <w:t>los ciudadanos que </w:t>
      </w:r>
      <w:r>
        <w:rPr>
          <w:color w:val="231F20"/>
          <w:spacing w:val="2"/>
          <w:w w:val="105"/>
        </w:rPr>
        <w:t>acusan </w:t>
      </w:r>
      <w:r>
        <w:rPr>
          <w:color w:val="231F20"/>
          <w:w w:val="105"/>
        </w:rPr>
        <w:t>mayores problemas de pobreza. Que a </w:t>
      </w:r>
      <w:r>
        <w:rPr>
          <w:color w:val="231F20"/>
          <w:spacing w:val="4"/>
          <w:w w:val="105"/>
        </w:rPr>
        <w:t>fin </w:t>
      </w:r>
      <w:r>
        <w:rPr>
          <w:color w:val="231F20"/>
          <w:w w:val="105"/>
        </w:rPr>
        <w:t>de cuentas esa pequeña ayuda, pero real,</w:t>
      </w:r>
      <w:r>
        <w:rPr>
          <w:color w:val="231F20"/>
          <w:spacing w:val="-10"/>
          <w:w w:val="105"/>
        </w:rPr>
        <w:t> </w:t>
      </w:r>
      <w:r>
        <w:rPr>
          <w:color w:val="231F20"/>
          <w:spacing w:val="3"/>
          <w:w w:val="105"/>
        </w:rPr>
        <w:t>directa</w:t>
      </w:r>
      <w:r>
        <w:rPr>
          <w:color w:val="231F20"/>
          <w:spacing w:val="-10"/>
          <w:w w:val="105"/>
        </w:rPr>
        <w:t> </w:t>
      </w:r>
      <w:r>
        <w:rPr>
          <w:color w:val="231F20"/>
          <w:w w:val="105"/>
        </w:rPr>
        <w:t>y</w:t>
      </w:r>
      <w:r>
        <w:rPr>
          <w:color w:val="231F20"/>
          <w:spacing w:val="-10"/>
          <w:w w:val="105"/>
        </w:rPr>
        <w:t> </w:t>
      </w:r>
      <w:r>
        <w:rPr>
          <w:color w:val="231F20"/>
          <w:w w:val="105"/>
        </w:rPr>
        <w:t>palpable</w:t>
      </w:r>
      <w:r>
        <w:rPr>
          <w:color w:val="231F20"/>
          <w:spacing w:val="-10"/>
          <w:w w:val="105"/>
        </w:rPr>
        <w:t> </w:t>
      </w:r>
      <w:r>
        <w:rPr>
          <w:color w:val="231F20"/>
          <w:w w:val="105"/>
        </w:rPr>
        <w:t>que</w:t>
      </w:r>
      <w:r>
        <w:rPr>
          <w:color w:val="231F20"/>
          <w:spacing w:val="-10"/>
          <w:w w:val="105"/>
        </w:rPr>
        <w:t> </w:t>
      </w:r>
      <w:r>
        <w:rPr>
          <w:color w:val="231F20"/>
          <w:w w:val="105"/>
        </w:rPr>
        <w:t>recibe</w:t>
      </w:r>
      <w:r>
        <w:rPr>
          <w:color w:val="231F20"/>
          <w:spacing w:val="-10"/>
          <w:w w:val="105"/>
        </w:rPr>
        <w:t> </w:t>
      </w:r>
      <w:r>
        <w:rPr>
          <w:color w:val="231F20"/>
          <w:w w:val="105"/>
        </w:rPr>
        <w:t>la</w:t>
      </w:r>
      <w:r>
        <w:rPr>
          <w:color w:val="231F20"/>
          <w:spacing w:val="-10"/>
          <w:w w:val="105"/>
        </w:rPr>
        <w:t> </w:t>
      </w:r>
      <w:r>
        <w:rPr>
          <w:color w:val="231F20"/>
          <w:w w:val="105"/>
        </w:rPr>
        <w:t>gente</w:t>
      </w:r>
      <w:r>
        <w:rPr>
          <w:color w:val="231F20"/>
          <w:spacing w:val="-10"/>
          <w:w w:val="105"/>
        </w:rPr>
        <w:t> </w:t>
      </w:r>
      <w:r>
        <w:rPr>
          <w:color w:val="231F20"/>
          <w:w w:val="105"/>
        </w:rPr>
        <w:t>se</w:t>
      </w:r>
      <w:r>
        <w:rPr>
          <w:color w:val="231F20"/>
          <w:spacing w:val="-10"/>
          <w:w w:val="105"/>
        </w:rPr>
        <w:t> </w:t>
      </w:r>
      <w:r>
        <w:rPr>
          <w:color w:val="231F20"/>
          <w:w w:val="105"/>
        </w:rPr>
        <w:t>traduce</w:t>
      </w:r>
      <w:r>
        <w:rPr>
          <w:color w:val="231F20"/>
          <w:spacing w:val="-10"/>
          <w:w w:val="105"/>
        </w:rPr>
        <w:t> </w:t>
      </w:r>
      <w:r>
        <w:rPr>
          <w:color w:val="231F20"/>
          <w:w w:val="105"/>
        </w:rPr>
        <w:t>en</w:t>
      </w:r>
      <w:r>
        <w:rPr>
          <w:color w:val="231F20"/>
          <w:spacing w:val="-10"/>
          <w:w w:val="105"/>
        </w:rPr>
        <w:t> </w:t>
      </w:r>
      <w:r>
        <w:rPr>
          <w:color w:val="231F20"/>
          <w:w w:val="105"/>
        </w:rPr>
        <w:t>beneficios</w:t>
      </w:r>
      <w:r>
        <w:rPr>
          <w:color w:val="231F20"/>
          <w:spacing w:val="-10"/>
          <w:w w:val="105"/>
        </w:rPr>
        <w:t> </w:t>
      </w:r>
      <w:r>
        <w:rPr>
          <w:color w:val="231F20"/>
          <w:spacing w:val="2"/>
          <w:w w:val="105"/>
        </w:rPr>
        <w:t>tangibles</w:t>
      </w:r>
      <w:r>
        <w:rPr>
          <w:color w:val="231F20"/>
          <w:spacing w:val="-10"/>
          <w:w w:val="105"/>
        </w:rPr>
        <w:t> </w:t>
      </w:r>
      <w:r>
        <w:rPr>
          <w:color w:val="231F20"/>
          <w:w w:val="105"/>
        </w:rPr>
        <w:t>de</w:t>
      </w:r>
      <w:r>
        <w:rPr>
          <w:color w:val="231F20"/>
          <w:spacing w:val="-10"/>
          <w:w w:val="105"/>
        </w:rPr>
        <w:t> </w:t>
      </w:r>
      <w:r>
        <w:rPr>
          <w:color w:val="231F20"/>
          <w:spacing w:val="3"/>
          <w:w w:val="105"/>
        </w:rPr>
        <w:t>un</w:t>
      </w:r>
      <w:r>
        <w:rPr>
          <w:color w:val="231F20"/>
          <w:spacing w:val="-10"/>
          <w:w w:val="105"/>
        </w:rPr>
        <w:t> </w:t>
      </w:r>
      <w:r>
        <w:rPr>
          <w:color w:val="231F20"/>
          <w:w w:val="105"/>
        </w:rPr>
        <w:t>go-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bierno;</w:t>
      </w:r>
      <w:r>
        <w:rPr>
          <w:color w:val="231F20"/>
          <w:spacing w:val="-8"/>
          <w:w w:val="105"/>
        </w:rPr>
        <w:t> </w:t>
      </w:r>
      <w:r>
        <w:rPr>
          <w:color w:val="231F20"/>
          <w:w w:val="105"/>
        </w:rPr>
        <w:t>antes,</w:t>
      </w:r>
      <w:r>
        <w:rPr>
          <w:color w:val="231F20"/>
          <w:spacing w:val="-8"/>
          <w:w w:val="105"/>
        </w:rPr>
        <w:t> </w:t>
      </w:r>
      <w:r>
        <w:rPr>
          <w:color w:val="231F20"/>
          <w:spacing w:val="2"/>
          <w:w w:val="105"/>
        </w:rPr>
        <w:t>términos</w:t>
      </w:r>
      <w:r>
        <w:rPr>
          <w:color w:val="231F20"/>
          <w:spacing w:val="-8"/>
          <w:w w:val="105"/>
        </w:rPr>
        <w:t> </w:t>
      </w:r>
      <w:r>
        <w:rPr>
          <w:color w:val="231F20"/>
          <w:w w:val="105"/>
        </w:rPr>
        <w:t>generales,</w:t>
      </w:r>
      <w:r>
        <w:rPr>
          <w:color w:val="231F20"/>
          <w:spacing w:val="-8"/>
          <w:w w:val="105"/>
        </w:rPr>
        <w:t> </w:t>
      </w:r>
      <w:r>
        <w:rPr>
          <w:color w:val="231F20"/>
          <w:w w:val="105"/>
        </w:rPr>
        <w:t>la</w:t>
      </w:r>
      <w:r>
        <w:rPr>
          <w:color w:val="231F20"/>
          <w:spacing w:val="-8"/>
          <w:w w:val="105"/>
        </w:rPr>
        <w:t> </w:t>
      </w:r>
      <w:r>
        <w:rPr>
          <w:color w:val="231F20"/>
          <w:w w:val="105"/>
        </w:rPr>
        <w:t>entrega</w:t>
      </w:r>
      <w:r>
        <w:rPr>
          <w:color w:val="231F20"/>
          <w:spacing w:val="-8"/>
          <w:w w:val="105"/>
        </w:rPr>
        <w:t> </w:t>
      </w:r>
      <w:r>
        <w:rPr>
          <w:color w:val="231F20"/>
          <w:w w:val="105"/>
        </w:rPr>
        <w:t>de</w:t>
      </w:r>
      <w:r>
        <w:rPr>
          <w:color w:val="231F20"/>
          <w:spacing w:val="-8"/>
          <w:w w:val="105"/>
        </w:rPr>
        <w:t> </w:t>
      </w:r>
      <w:r>
        <w:rPr>
          <w:color w:val="231F20"/>
          <w:w w:val="105"/>
        </w:rPr>
        <w:t>dichos</w:t>
      </w:r>
      <w:r>
        <w:rPr>
          <w:color w:val="231F20"/>
          <w:spacing w:val="-8"/>
          <w:w w:val="105"/>
        </w:rPr>
        <w:t> </w:t>
      </w:r>
      <w:r>
        <w:rPr>
          <w:color w:val="231F20"/>
          <w:w w:val="105"/>
        </w:rPr>
        <w:t>beneficios</w:t>
      </w:r>
      <w:r>
        <w:rPr>
          <w:color w:val="231F20"/>
          <w:spacing w:val="-8"/>
          <w:w w:val="105"/>
        </w:rPr>
        <w:t> </w:t>
      </w:r>
      <w:r>
        <w:rPr>
          <w:color w:val="231F20"/>
          <w:w w:val="105"/>
        </w:rPr>
        <w:t>sólo</w:t>
      </w:r>
      <w:r>
        <w:rPr>
          <w:color w:val="231F20"/>
          <w:spacing w:val="-8"/>
          <w:w w:val="105"/>
        </w:rPr>
        <w:t> </w:t>
      </w:r>
      <w:r>
        <w:rPr>
          <w:color w:val="231F20"/>
          <w:w w:val="105"/>
        </w:rPr>
        <w:t>se</w:t>
      </w:r>
      <w:r>
        <w:rPr>
          <w:color w:val="231F20"/>
          <w:spacing w:val="-8"/>
          <w:w w:val="105"/>
        </w:rPr>
        <w:t> </w:t>
      </w:r>
      <w:r>
        <w:rPr>
          <w:color w:val="231F20"/>
          <w:spacing w:val="2"/>
          <w:w w:val="105"/>
        </w:rPr>
        <w:t>circunscribía </w:t>
      </w:r>
      <w:r>
        <w:rPr>
          <w:color w:val="231F20"/>
          <w:w w:val="105"/>
        </w:rPr>
        <w:t>a </w:t>
      </w:r>
      <w:r>
        <w:rPr>
          <w:color w:val="231F20"/>
          <w:spacing w:val="2"/>
          <w:w w:val="105"/>
        </w:rPr>
        <w:t>épocas</w:t>
      </w:r>
      <w:r>
        <w:rPr>
          <w:color w:val="231F20"/>
          <w:spacing w:val="-36"/>
          <w:w w:val="105"/>
        </w:rPr>
        <w:t> </w:t>
      </w:r>
      <w:r>
        <w:rPr>
          <w:color w:val="231F20"/>
          <w:spacing w:val="2"/>
          <w:w w:val="105"/>
        </w:rPr>
        <w:t>electorales.</w:t>
      </w:r>
    </w:p>
    <w:p>
      <w:pPr>
        <w:pStyle w:val="BodyText"/>
        <w:spacing w:before="1"/>
        <w:rPr>
          <w:sz w:val="26"/>
        </w:rPr>
      </w:pPr>
    </w:p>
    <w:p>
      <w:pPr>
        <w:pStyle w:val="BodyText"/>
        <w:spacing w:line="285" w:lineRule="auto"/>
        <w:ind w:left="110" w:right="108"/>
        <w:jc w:val="both"/>
      </w:pPr>
      <w:r>
        <w:rPr>
          <w:color w:val="231F20"/>
          <w:w w:val="105"/>
        </w:rPr>
        <w:t>Si</w:t>
      </w:r>
      <w:r>
        <w:rPr>
          <w:color w:val="231F20"/>
          <w:spacing w:val="-6"/>
          <w:w w:val="105"/>
        </w:rPr>
        <w:t> </w:t>
      </w:r>
      <w:r>
        <w:rPr>
          <w:color w:val="231F20"/>
          <w:w w:val="105"/>
        </w:rPr>
        <w:t>bien</w:t>
      </w:r>
      <w:r>
        <w:rPr>
          <w:color w:val="231F20"/>
          <w:spacing w:val="-6"/>
          <w:w w:val="105"/>
        </w:rPr>
        <w:t> </w:t>
      </w:r>
      <w:r>
        <w:rPr>
          <w:color w:val="231F20"/>
          <w:w w:val="105"/>
        </w:rPr>
        <w:t>los</w:t>
      </w:r>
      <w:r>
        <w:rPr>
          <w:color w:val="231F20"/>
          <w:spacing w:val="-6"/>
          <w:w w:val="105"/>
        </w:rPr>
        <w:t> </w:t>
      </w:r>
      <w:r>
        <w:rPr>
          <w:color w:val="231F20"/>
          <w:w w:val="105"/>
        </w:rPr>
        <w:t>programas</w:t>
      </w:r>
      <w:r>
        <w:rPr>
          <w:color w:val="231F20"/>
          <w:spacing w:val="-6"/>
          <w:w w:val="105"/>
        </w:rPr>
        <w:t> </w:t>
      </w:r>
      <w:r>
        <w:rPr>
          <w:color w:val="231F20"/>
          <w:w w:val="105"/>
        </w:rPr>
        <w:t>sociales</w:t>
      </w:r>
      <w:r>
        <w:rPr>
          <w:color w:val="231F20"/>
          <w:spacing w:val="-6"/>
          <w:w w:val="105"/>
        </w:rPr>
        <w:t> </w:t>
      </w:r>
      <w:r>
        <w:rPr>
          <w:color w:val="231F20"/>
          <w:w w:val="105"/>
        </w:rPr>
        <w:t>del</w:t>
      </w:r>
      <w:r>
        <w:rPr>
          <w:color w:val="231F20"/>
          <w:spacing w:val="-6"/>
          <w:w w:val="105"/>
        </w:rPr>
        <w:t> </w:t>
      </w:r>
      <w:r>
        <w:rPr>
          <w:color w:val="231F20"/>
          <w:w w:val="105"/>
        </w:rPr>
        <w:t>gobierno</w:t>
      </w:r>
      <w:r>
        <w:rPr>
          <w:color w:val="231F20"/>
          <w:spacing w:val="-6"/>
          <w:w w:val="105"/>
        </w:rPr>
        <w:t> </w:t>
      </w:r>
      <w:r>
        <w:rPr>
          <w:color w:val="231F20"/>
          <w:w w:val="105"/>
        </w:rPr>
        <w:t>perredista</w:t>
      </w:r>
      <w:r>
        <w:rPr>
          <w:color w:val="231F20"/>
          <w:spacing w:val="-6"/>
          <w:w w:val="105"/>
        </w:rPr>
        <w:t> </w:t>
      </w:r>
      <w:r>
        <w:rPr>
          <w:color w:val="231F20"/>
          <w:w w:val="105"/>
        </w:rPr>
        <w:t>en</w:t>
      </w:r>
      <w:r>
        <w:rPr>
          <w:color w:val="231F20"/>
          <w:spacing w:val="-6"/>
          <w:w w:val="105"/>
        </w:rPr>
        <w:t> </w:t>
      </w:r>
      <w:r>
        <w:rPr>
          <w:color w:val="231F20"/>
          <w:w w:val="105"/>
        </w:rPr>
        <w:t>Nezahualcóyotl</w:t>
      </w:r>
      <w:r>
        <w:rPr>
          <w:color w:val="231F20"/>
          <w:spacing w:val="-6"/>
          <w:w w:val="105"/>
        </w:rPr>
        <w:t> </w:t>
      </w:r>
      <w:r>
        <w:rPr>
          <w:color w:val="231F20"/>
          <w:w w:val="105"/>
        </w:rPr>
        <w:t>le</w:t>
      </w:r>
      <w:r>
        <w:rPr>
          <w:color w:val="231F20"/>
          <w:spacing w:val="-6"/>
          <w:w w:val="105"/>
        </w:rPr>
        <w:t> </w:t>
      </w:r>
      <w:r>
        <w:rPr>
          <w:color w:val="231F20"/>
          <w:w w:val="105"/>
        </w:rPr>
        <w:t>han</w:t>
      </w:r>
      <w:r>
        <w:rPr>
          <w:color w:val="231F20"/>
          <w:spacing w:val="-6"/>
          <w:w w:val="105"/>
        </w:rPr>
        <w:t> </w:t>
      </w:r>
      <w:r>
        <w:rPr>
          <w:color w:val="231F20"/>
          <w:spacing w:val="-3"/>
          <w:w w:val="105"/>
        </w:rPr>
        <w:t>repre- </w:t>
      </w:r>
      <w:r>
        <w:rPr>
          <w:color w:val="231F20"/>
          <w:w w:val="105"/>
        </w:rPr>
        <w:t>sentado</w:t>
      </w:r>
      <w:r>
        <w:rPr>
          <w:color w:val="231F20"/>
          <w:spacing w:val="-22"/>
          <w:w w:val="105"/>
        </w:rPr>
        <w:t> </w:t>
      </w:r>
      <w:r>
        <w:rPr>
          <w:color w:val="231F20"/>
          <w:w w:val="105"/>
        </w:rPr>
        <w:t>cierto</w:t>
      </w:r>
      <w:r>
        <w:rPr>
          <w:color w:val="231F20"/>
          <w:spacing w:val="-22"/>
          <w:w w:val="105"/>
        </w:rPr>
        <w:t> </w:t>
      </w:r>
      <w:r>
        <w:rPr>
          <w:color w:val="231F20"/>
          <w:w w:val="105"/>
        </w:rPr>
        <w:t>capital</w:t>
      </w:r>
      <w:r>
        <w:rPr>
          <w:color w:val="231F20"/>
          <w:spacing w:val="-22"/>
          <w:w w:val="105"/>
        </w:rPr>
        <w:t> </w:t>
      </w:r>
      <w:r>
        <w:rPr>
          <w:color w:val="231F20"/>
          <w:w w:val="105"/>
        </w:rPr>
        <w:t>político</w:t>
      </w:r>
      <w:r>
        <w:rPr>
          <w:color w:val="231F20"/>
          <w:spacing w:val="-22"/>
          <w:w w:val="105"/>
        </w:rPr>
        <w:t> </w:t>
      </w:r>
      <w:r>
        <w:rPr>
          <w:color w:val="231F20"/>
          <w:w w:val="105"/>
        </w:rPr>
        <w:t>traducido</w:t>
      </w:r>
      <w:r>
        <w:rPr>
          <w:color w:val="231F20"/>
          <w:spacing w:val="-22"/>
          <w:w w:val="105"/>
        </w:rPr>
        <w:t> </w:t>
      </w:r>
      <w:r>
        <w:rPr>
          <w:color w:val="231F20"/>
          <w:w w:val="105"/>
        </w:rPr>
        <w:t>en</w:t>
      </w:r>
      <w:r>
        <w:rPr>
          <w:color w:val="231F20"/>
          <w:spacing w:val="-22"/>
          <w:w w:val="105"/>
        </w:rPr>
        <w:t> </w:t>
      </w:r>
      <w:r>
        <w:rPr>
          <w:color w:val="231F20"/>
          <w:w w:val="105"/>
        </w:rPr>
        <w:t>apoyo</w:t>
      </w:r>
      <w:r>
        <w:rPr>
          <w:color w:val="231F20"/>
          <w:spacing w:val="-22"/>
          <w:w w:val="105"/>
        </w:rPr>
        <w:t> </w:t>
      </w:r>
      <w:r>
        <w:rPr>
          <w:color w:val="231F20"/>
          <w:w w:val="105"/>
        </w:rPr>
        <w:t>electoral</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comicios</w:t>
      </w:r>
      <w:r>
        <w:rPr>
          <w:color w:val="231F20"/>
          <w:spacing w:val="-22"/>
          <w:w w:val="105"/>
        </w:rPr>
        <w:t> </w:t>
      </w:r>
      <w:r>
        <w:rPr>
          <w:color w:val="231F20"/>
          <w:w w:val="105"/>
        </w:rPr>
        <w:t>municipales, que</w:t>
      </w:r>
      <w:r>
        <w:rPr>
          <w:color w:val="231F20"/>
          <w:spacing w:val="-11"/>
          <w:w w:val="105"/>
        </w:rPr>
        <w:t> </w:t>
      </w:r>
      <w:r>
        <w:rPr>
          <w:color w:val="231F20"/>
          <w:w w:val="105"/>
        </w:rPr>
        <w:t>ha</w:t>
      </w:r>
      <w:r>
        <w:rPr>
          <w:color w:val="231F20"/>
          <w:spacing w:val="-11"/>
          <w:w w:val="105"/>
        </w:rPr>
        <w:t> </w:t>
      </w:r>
      <w:r>
        <w:rPr>
          <w:color w:val="231F20"/>
          <w:w w:val="105"/>
        </w:rPr>
        <w:t>permitido</w:t>
      </w:r>
      <w:r>
        <w:rPr>
          <w:color w:val="231F20"/>
          <w:spacing w:val="-11"/>
          <w:w w:val="105"/>
        </w:rPr>
        <w:t> </w:t>
      </w:r>
      <w:r>
        <w:rPr>
          <w:color w:val="231F20"/>
          <w:spacing w:val="2"/>
          <w:w w:val="105"/>
        </w:rPr>
        <w:t>al</w:t>
      </w:r>
      <w:r>
        <w:rPr>
          <w:color w:val="231F20"/>
          <w:spacing w:val="-11"/>
          <w:w w:val="105"/>
        </w:rPr>
        <w:t> </w:t>
      </w:r>
      <w:r>
        <w:rPr>
          <w:color w:val="231F20"/>
          <w:w w:val="105"/>
        </w:rPr>
        <w:t>PRD</w:t>
      </w:r>
      <w:r>
        <w:rPr>
          <w:color w:val="231F20"/>
          <w:spacing w:val="-11"/>
          <w:w w:val="105"/>
        </w:rPr>
        <w:t> </w:t>
      </w:r>
      <w:r>
        <w:rPr>
          <w:color w:val="231F20"/>
          <w:w w:val="105"/>
        </w:rPr>
        <w:t>mantenerse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poder</w:t>
      </w:r>
      <w:r>
        <w:rPr>
          <w:color w:val="231F20"/>
          <w:spacing w:val="-11"/>
          <w:w w:val="105"/>
        </w:rPr>
        <w:t> </w:t>
      </w:r>
      <w:r>
        <w:rPr>
          <w:color w:val="231F20"/>
          <w:w w:val="105"/>
        </w:rPr>
        <w:t>por</w:t>
      </w:r>
      <w:r>
        <w:rPr>
          <w:color w:val="231F20"/>
          <w:spacing w:val="-11"/>
          <w:w w:val="105"/>
        </w:rPr>
        <w:t> </w:t>
      </w:r>
      <w:r>
        <w:rPr>
          <w:color w:val="231F20"/>
          <w:w w:val="105"/>
        </w:rPr>
        <w:t>cuatro</w:t>
      </w:r>
      <w:r>
        <w:rPr>
          <w:color w:val="231F20"/>
          <w:spacing w:val="-11"/>
          <w:w w:val="105"/>
        </w:rPr>
        <w:t> </w:t>
      </w:r>
      <w:r>
        <w:rPr>
          <w:color w:val="231F20"/>
          <w:w w:val="105"/>
        </w:rPr>
        <w:t>administraciones</w:t>
      </w:r>
      <w:r>
        <w:rPr>
          <w:color w:val="231F20"/>
          <w:spacing w:val="-11"/>
          <w:w w:val="105"/>
        </w:rPr>
        <w:t> </w:t>
      </w:r>
      <w:r>
        <w:rPr>
          <w:color w:val="231F20"/>
          <w:w w:val="105"/>
        </w:rPr>
        <w:t>seguidas, no</w:t>
      </w:r>
      <w:r>
        <w:rPr>
          <w:color w:val="231F20"/>
          <w:spacing w:val="-13"/>
          <w:w w:val="105"/>
        </w:rPr>
        <w:t> </w:t>
      </w:r>
      <w:r>
        <w:rPr>
          <w:color w:val="231F20"/>
          <w:w w:val="105"/>
        </w:rPr>
        <w:t>ha</w:t>
      </w:r>
      <w:r>
        <w:rPr>
          <w:color w:val="231F20"/>
          <w:spacing w:val="-13"/>
          <w:w w:val="105"/>
        </w:rPr>
        <w:t> </w:t>
      </w:r>
      <w:r>
        <w:rPr>
          <w:color w:val="231F20"/>
          <w:w w:val="105"/>
        </w:rPr>
        <w:t>logrado</w:t>
      </w:r>
      <w:r>
        <w:rPr>
          <w:color w:val="231F20"/>
          <w:spacing w:val="-13"/>
          <w:w w:val="105"/>
        </w:rPr>
        <w:t> </w:t>
      </w:r>
      <w:r>
        <w:rPr>
          <w:color w:val="231F20"/>
          <w:w w:val="105"/>
        </w:rPr>
        <w:t>impactar</w:t>
      </w:r>
      <w:r>
        <w:rPr>
          <w:color w:val="231F20"/>
          <w:spacing w:val="-13"/>
          <w:w w:val="105"/>
        </w:rPr>
        <w:t> </w:t>
      </w:r>
      <w:r>
        <w:rPr>
          <w:color w:val="231F20"/>
          <w:w w:val="105"/>
        </w:rPr>
        <w:t>en</w:t>
      </w:r>
      <w:r>
        <w:rPr>
          <w:color w:val="231F20"/>
          <w:spacing w:val="-13"/>
          <w:w w:val="105"/>
        </w:rPr>
        <w:t> </w:t>
      </w:r>
      <w:r>
        <w:rPr>
          <w:color w:val="231F20"/>
          <w:w w:val="105"/>
        </w:rPr>
        <w:t>amplios</w:t>
      </w:r>
      <w:r>
        <w:rPr>
          <w:color w:val="231F20"/>
          <w:spacing w:val="-13"/>
          <w:w w:val="105"/>
        </w:rPr>
        <w:t> </w:t>
      </w:r>
      <w:r>
        <w:rPr>
          <w:color w:val="231F20"/>
          <w:w w:val="105"/>
        </w:rPr>
        <w:t>sectores</w:t>
      </w:r>
      <w:r>
        <w:rPr>
          <w:color w:val="231F20"/>
          <w:spacing w:val="-13"/>
          <w:w w:val="105"/>
        </w:rPr>
        <w:t> </w:t>
      </w:r>
      <w:r>
        <w:rPr>
          <w:color w:val="231F20"/>
          <w:w w:val="105"/>
        </w:rPr>
        <w:t>sociales</w:t>
      </w:r>
      <w:r>
        <w:rPr>
          <w:color w:val="231F20"/>
          <w:spacing w:val="-13"/>
          <w:w w:val="105"/>
        </w:rPr>
        <w:t> </w:t>
      </w:r>
      <w:r>
        <w:rPr>
          <w:color w:val="231F20"/>
          <w:w w:val="105"/>
        </w:rPr>
        <w:t>que</w:t>
      </w:r>
      <w:r>
        <w:rPr>
          <w:color w:val="231F20"/>
          <w:spacing w:val="-13"/>
          <w:w w:val="105"/>
        </w:rPr>
        <w:t> </w:t>
      </w:r>
      <w:r>
        <w:rPr>
          <w:color w:val="231F20"/>
          <w:spacing w:val="2"/>
          <w:w w:val="105"/>
        </w:rPr>
        <w:t>al</w:t>
      </w:r>
      <w:r>
        <w:rPr>
          <w:color w:val="231F20"/>
          <w:spacing w:val="-13"/>
          <w:w w:val="105"/>
        </w:rPr>
        <w:t> </w:t>
      </w:r>
      <w:r>
        <w:rPr>
          <w:color w:val="231F20"/>
          <w:w w:val="105"/>
        </w:rPr>
        <w:t>no</w:t>
      </w:r>
      <w:r>
        <w:rPr>
          <w:color w:val="231F20"/>
          <w:spacing w:val="-13"/>
          <w:w w:val="105"/>
        </w:rPr>
        <w:t> </w:t>
      </w:r>
      <w:r>
        <w:rPr>
          <w:color w:val="231F20"/>
          <w:w w:val="105"/>
        </w:rPr>
        <w:t>ser</w:t>
      </w:r>
      <w:r>
        <w:rPr>
          <w:color w:val="231F20"/>
          <w:spacing w:val="-13"/>
          <w:w w:val="105"/>
        </w:rPr>
        <w:t> </w:t>
      </w:r>
      <w:r>
        <w:rPr>
          <w:color w:val="231F20"/>
          <w:w w:val="105"/>
        </w:rPr>
        <w:t>beneficiarios</w:t>
      </w:r>
      <w:r>
        <w:rPr>
          <w:color w:val="231F20"/>
          <w:spacing w:val="-13"/>
          <w:w w:val="105"/>
        </w:rPr>
        <w:t> </w:t>
      </w:r>
      <w:r>
        <w:rPr>
          <w:color w:val="231F20"/>
          <w:w w:val="105"/>
        </w:rPr>
        <w:t>directos de</w:t>
      </w:r>
      <w:r>
        <w:rPr>
          <w:color w:val="231F20"/>
          <w:spacing w:val="-17"/>
          <w:w w:val="105"/>
        </w:rPr>
        <w:t> </w:t>
      </w:r>
      <w:r>
        <w:rPr>
          <w:color w:val="231F20"/>
          <w:w w:val="105"/>
        </w:rPr>
        <w:t>dichos</w:t>
      </w:r>
      <w:r>
        <w:rPr>
          <w:color w:val="231F20"/>
          <w:spacing w:val="-17"/>
          <w:w w:val="105"/>
        </w:rPr>
        <w:t> </w:t>
      </w:r>
      <w:r>
        <w:rPr>
          <w:color w:val="231F20"/>
          <w:w w:val="105"/>
        </w:rPr>
        <w:t>programas,</w:t>
      </w:r>
      <w:r>
        <w:rPr>
          <w:color w:val="231F20"/>
          <w:spacing w:val="-17"/>
          <w:w w:val="105"/>
        </w:rPr>
        <w:t> </w:t>
      </w:r>
      <w:r>
        <w:rPr>
          <w:color w:val="231F20"/>
          <w:w w:val="105"/>
        </w:rPr>
        <w:t>además</w:t>
      </w:r>
      <w:r>
        <w:rPr>
          <w:color w:val="231F20"/>
          <w:spacing w:val="-17"/>
          <w:w w:val="105"/>
        </w:rPr>
        <w:t> </w:t>
      </w:r>
      <w:r>
        <w:rPr>
          <w:color w:val="231F20"/>
          <w:w w:val="105"/>
        </w:rPr>
        <w:t>de</w:t>
      </w:r>
      <w:r>
        <w:rPr>
          <w:color w:val="231F20"/>
          <w:spacing w:val="-17"/>
          <w:w w:val="105"/>
        </w:rPr>
        <w:t> </w:t>
      </w:r>
      <w:r>
        <w:rPr>
          <w:color w:val="231F20"/>
          <w:w w:val="105"/>
        </w:rPr>
        <w:t>no</w:t>
      </w:r>
      <w:r>
        <w:rPr>
          <w:color w:val="231F20"/>
          <w:spacing w:val="-17"/>
          <w:w w:val="105"/>
        </w:rPr>
        <w:t> </w:t>
      </w:r>
      <w:r>
        <w:rPr>
          <w:color w:val="231F20"/>
          <w:w w:val="105"/>
        </w:rPr>
        <w:t>identificar</w:t>
      </w:r>
      <w:r>
        <w:rPr>
          <w:color w:val="231F20"/>
          <w:spacing w:val="-17"/>
          <w:w w:val="105"/>
        </w:rPr>
        <w:t> </w:t>
      </w:r>
      <w:r>
        <w:rPr>
          <w:color w:val="231F20"/>
          <w:w w:val="105"/>
        </w:rPr>
        <w:t>avances</w:t>
      </w:r>
      <w:r>
        <w:rPr>
          <w:color w:val="231F20"/>
          <w:spacing w:val="-17"/>
          <w:w w:val="105"/>
        </w:rPr>
        <w:t> </w:t>
      </w:r>
      <w:r>
        <w:rPr>
          <w:color w:val="231F20"/>
          <w:w w:val="105"/>
        </w:rPr>
        <w:t>significativos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administra- ciones</w:t>
      </w:r>
      <w:r>
        <w:rPr>
          <w:color w:val="231F20"/>
          <w:spacing w:val="-18"/>
          <w:w w:val="105"/>
        </w:rPr>
        <w:t> </w:t>
      </w:r>
      <w:r>
        <w:rPr>
          <w:color w:val="231F20"/>
          <w:w w:val="105"/>
        </w:rPr>
        <w:t>municipales,</w:t>
      </w:r>
      <w:r>
        <w:rPr>
          <w:color w:val="231F20"/>
          <w:spacing w:val="-18"/>
          <w:w w:val="105"/>
        </w:rPr>
        <w:t> </w:t>
      </w:r>
      <w:r>
        <w:rPr>
          <w:color w:val="231F20"/>
          <w:w w:val="105"/>
        </w:rPr>
        <w:t>asumen</w:t>
      </w:r>
      <w:r>
        <w:rPr>
          <w:color w:val="231F20"/>
          <w:spacing w:val="-18"/>
          <w:w w:val="105"/>
        </w:rPr>
        <w:t> </w:t>
      </w:r>
      <w:r>
        <w:rPr>
          <w:color w:val="231F20"/>
          <w:w w:val="105"/>
        </w:rPr>
        <w:t>una</w:t>
      </w:r>
      <w:r>
        <w:rPr>
          <w:color w:val="231F20"/>
          <w:spacing w:val="-18"/>
          <w:w w:val="105"/>
        </w:rPr>
        <w:t> </w:t>
      </w:r>
      <w:r>
        <w:rPr>
          <w:color w:val="231F20"/>
          <w:w w:val="105"/>
        </w:rPr>
        <w:t>actitud</w:t>
      </w:r>
      <w:r>
        <w:rPr>
          <w:color w:val="231F20"/>
          <w:spacing w:val="-18"/>
          <w:w w:val="105"/>
        </w:rPr>
        <w:t> </w:t>
      </w:r>
      <w:r>
        <w:rPr>
          <w:color w:val="231F20"/>
          <w:w w:val="105"/>
        </w:rPr>
        <w:t>de</w:t>
      </w:r>
      <w:r>
        <w:rPr>
          <w:color w:val="231F20"/>
          <w:spacing w:val="-18"/>
          <w:w w:val="105"/>
        </w:rPr>
        <w:t> </w:t>
      </w:r>
      <w:r>
        <w:rPr>
          <w:color w:val="231F20"/>
          <w:w w:val="105"/>
        </w:rPr>
        <w:t>apatía</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política</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que se</w:t>
      </w:r>
      <w:r>
        <w:rPr>
          <w:color w:val="231F20"/>
          <w:spacing w:val="-13"/>
          <w:w w:val="105"/>
        </w:rPr>
        <w:t> </w:t>
      </w:r>
      <w:r>
        <w:rPr>
          <w:color w:val="231F20"/>
          <w:w w:val="105"/>
        </w:rPr>
        <w:t>ve</w:t>
      </w:r>
      <w:r>
        <w:rPr>
          <w:color w:val="231F20"/>
          <w:spacing w:val="-13"/>
          <w:w w:val="105"/>
        </w:rPr>
        <w:t> </w:t>
      </w:r>
      <w:r>
        <w:rPr>
          <w:color w:val="231F20"/>
          <w:w w:val="105"/>
        </w:rPr>
        <w:t>reflejada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baja</w:t>
      </w:r>
      <w:r>
        <w:rPr>
          <w:color w:val="231F20"/>
          <w:spacing w:val="-13"/>
          <w:w w:val="105"/>
        </w:rPr>
        <w:t> </w:t>
      </w:r>
      <w:r>
        <w:rPr>
          <w:color w:val="231F20"/>
          <w:w w:val="105"/>
        </w:rPr>
        <w:t>participación</w:t>
      </w:r>
      <w:r>
        <w:rPr>
          <w:color w:val="231F20"/>
          <w:spacing w:val="-13"/>
          <w:w w:val="105"/>
        </w:rPr>
        <w:t> </w:t>
      </w:r>
      <w:r>
        <w:rPr>
          <w:color w:val="231F20"/>
          <w:w w:val="105"/>
        </w:rPr>
        <w:t>electoral</w:t>
      </w:r>
      <w:r>
        <w:rPr>
          <w:color w:val="231F20"/>
          <w:spacing w:val="-13"/>
          <w:w w:val="105"/>
        </w:rPr>
        <w:t> </w:t>
      </w:r>
      <w:r>
        <w:rPr>
          <w:color w:val="231F20"/>
          <w:w w:val="105"/>
        </w:rPr>
        <w:t>y</w:t>
      </w:r>
      <w:r>
        <w:rPr>
          <w:color w:val="231F20"/>
          <w:spacing w:val="-13"/>
          <w:w w:val="105"/>
        </w:rPr>
        <w:t> </w:t>
      </w:r>
      <w:r>
        <w:rPr>
          <w:color w:val="231F20"/>
          <w:w w:val="105"/>
        </w:rPr>
        <w:t>ciudadana,</w:t>
      </w:r>
      <w:r>
        <w:rPr>
          <w:color w:val="231F20"/>
          <w:spacing w:val="-13"/>
          <w:w w:val="105"/>
        </w:rPr>
        <w:t> </w:t>
      </w:r>
      <w:r>
        <w:rPr>
          <w:color w:val="231F20"/>
          <w:w w:val="105"/>
        </w:rPr>
        <w:t>poniendo</w:t>
      </w:r>
      <w:r>
        <w:rPr>
          <w:color w:val="231F20"/>
          <w:spacing w:val="-13"/>
          <w:w w:val="105"/>
        </w:rPr>
        <w:t> </w:t>
      </w:r>
      <w:r>
        <w:rPr>
          <w:color w:val="231F20"/>
          <w:w w:val="105"/>
        </w:rPr>
        <w:t>en</w:t>
      </w:r>
      <w:r>
        <w:rPr>
          <w:color w:val="231F20"/>
          <w:spacing w:val="-13"/>
          <w:w w:val="105"/>
        </w:rPr>
        <w:t> </w:t>
      </w:r>
      <w:r>
        <w:rPr>
          <w:color w:val="231F20"/>
          <w:w w:val="105"/>
        </w:rPr>
        <w:t>entredicho</w:t>
      </w:r>
      <w:r>
        <w:rPr>
          <w:color w:val="231F20"/>
          <w:spacing w:val="-13"/>
          <w:w w:val="105"/>
        </w:rPr>
        <w:t> </w:t>
      </w:r>
      <w:r>
        <w:rPr>
          <w:color w:val="231F20"/>
          <w:w w:val="105"/>
        </w:rPr>
        <w:t>la legitimidad</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perredista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ayuntamiento.</w:t>
      </w:r>
    </w:p>
    <w:p>
      <w:pPr>
        <w:pStyle w:val="BodyText"/>
        <w:spacing w:before="1"/>
        <w:rPr>
          <w:sz w:val="26"/>
        </w:rPr>
      </w:pPr>
    </w:p>
    <w:p>
      <w:pPr>
        <w:pStyle w:val="BodyText"/>
        <w:spacing w:line="285" w:lineRule="auto"/>
        <w:ind w:left="110" w:right="108"/>
        <w:jc w:val="both"/>
      </w:pPr>
      <w:r>
        <w:rPr>
          <w:color w:val="231F20"/>
          <w:w w:val="105"/>
        </w:rPr>
        <w:t>En este contexto, otra de las cuentas pendientes de las administraciones perredistas ha sido la escasa participación ciudadana en le gestión pública, lo cual es producto de di- ferentes</w:t>
      </w:r>
      <w:r>
        <w:rPr>
          <w:color w:val="231F20"/>
          <w:spacing w:val="-8"/>
          <w:w w:val="105"/>
        </w:rPr>
        <w:t> </w:t>
      </w:r>
      <w:r>
        <w:rPr>
          <w:color w:val="231F20"/>
          <w:w w:val="105"/>
        </w:rPr>
        <w:t>aspectos,</w:t>
      </w:r>
      <w:r>
        <w:rPr>
          <w:color w:val="231F20"/>
          <w:spacing w:val="-8"/>
          <w:w w:val="105"/>
        </w:rPr>
        <w:t> </w:t>
      </w:r>
      <w:r>
        <w:rPr>
          <w:color w:val="231F20"/>
          <w:w w:val="105"/>
        </w:rPr>
        <w:t>entre</w:t>
      </w:r>
      <w:r>
        <w:rPr>
          <w:color w:val="231F20"/>
          <w:spacing w:val="-8"/>
          <w:w w:val="105"/>
        </w:rPr>
        <w:t> </w:t>
      </w:r>
      <w:r>
        <w:rPr>
          <w:color w:val="231F20"/>
          <w:w w:val="105"/>
        </w:rPr>
        <w:t>ellos</w:t>
      </w:r>
      <w:r>
        <w:rPr>
          <w:color w:val="231F20"/>
          <w:spacing w:val="-8"/>
          <w:w w:val="105"/>
        </w:rPr>
        <w:t> </w:t>
      </w:r>
      <w:r>
        <w:rPr>
          <w:color w:val="231F20"/>
          <w:w w:val="105"/>
        </w:rPr>
        <w:t>tiene</w:t>
      </w:r>
      <w:r>
        <w:rPr>
          <w:color w:val="231F20"/>
          <w:spacing w:val="-8"/>
          <w:w w:val="105"/>
        </w:rPr>
        <w:t> </w:t>
      </w:r>
      <w:r>
        <w:rPr>
          <w:color w:val="231F20"/>
          <w:w w:val="105"/>
        </w:rPr>
        <w:t>que</w:t>
      </w:r>
      <w:r>
        <w:rPr>
          <w:color w:val="231F20"/>
          <w:spacing w:val="-8"/>
          <w:w w:val="105"/>
        </w:rPr>
        <w:t> </w:t>
      </w:r>
      <w:r>
        <w:rPr>
          <w:color w:val="231F20"/>
          <w:w w:val="105"/>
        </w:rPr>
        <w:t>ver</w:t>
      </w:r>
      <w:r>
        <w:rPr>
          <w:color w:val="231F20"/>
          <w:spacing w:val="-8"/>
          <w:w w:val="105"/>
        </w:rPr>
        <w:t> </w:t>
      </w:r>
      <w:r>
        <w:rPr>
          <w:color w:val="231F20"/>
          <w:w w:val="105"/>
        </w:rPr>
        <w:t>la</w:t>
      </w:r>
      <w:r>
        <w:rPr>
          <w:color w:val="231F20"/>
          <w:spacing w:val="-8"/>
          <w:w w:val="105"/>
        </w:rPr>
        <w:t> </w:t>
      </w:r>
      <w:r>
        <w:rPr>
          <w:color w:val="231F20"/>
          <w:w w:val="105"/>
        </w:rPr>
        <w:t>apatía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ciudadanos</w:t>
      </w:r>
      <w:r>
        <w:rPr>
          <w:color w:val="231F20"/>
          <w:spacing w:val="-8"/>
          <w:w w:val="105"/>
        </w:rPr>
        <w:t> </w:t>
      </w:r>
      <w:r>
        <w:rPr>
          <w:color w:val="231F20"/>
          <w:w w:val="105"/>
        </w:rPr>
        <w:t>por</w:t>
      </w:r>
      <w:r>
        <w:rPr>
          <w:color w:val="231F20"/>
          <w:spacing w:val="-8"/>
          <w:w w:val="105"/>
        </w:rPr>
        <w:t> </w:t>
      </w:r>
      <w:r>
        <w:rPr>
          <w:color w:val="231F20"/>
          <w:w w:val="105"/>
        </w:rPr>
        <w:t>participar</w:t>
      </w:r>
      <w:r>
        <w:rPr>
          <w:color w:val="231F20"/>
          <w:spacing w:val="-8"/>
          <w:w w:val="105"/>
        </w:rPr>
        <w:t> </w:t>
      </w:r>
      <w:r>
        <w:rPr>
          <w:color w:val="231F20"/>
          <w:w w:val="105"/>
        </w:rPr>
        <w:t>en los</w:t>
      </w:r>
      <w:r>
        <w:rPr>
          <w:color w:val="231F20"/>
          <w:spacing w:val="-19"/>
          <w:w w:val="105"/>
        </w:rPr>
        <w:t> </w:t>
      </w:r>
      <w:r>
        <w:rPr>
          <w:color w:val="231F20"/>
          <w:w w:val="105"/>
        </w:rPr>
        <w:t>Consejos</w:t>
      </w:r>
      <w:r>
        <w:rPr>
          <w:color w:val="231F20"/>
          <w:spacing w:val="-19"/>
          <w:w w:val="105"/>
        </w:rPr>
        <w:t> </w:t>
      </w:r>
      <w:r>
        <w:rPr>
          <w:color w:val="231F20"/>
          <w:w w:val="105"/>
        </w:rPr>
        <w:t>de</w:t>
      </w:r>
      <w:r>
        <w:rPr>
          <w:color w:val="231F20"/>
          <w:spacing w:val="-19"/>
          <w:w w:val="105"/>
        </w:rPr>
        <w:t> </w:t>
      </w:r>
      <w:r>
        <w:rPr>
          <w:color w:val="231F20"/>
          <w:w w:val="105"/>
        </w:rPr>
        <w:t>Participación</w:t>
      </w:r>
      <w:r>
        <w:rPr>
          <w:color w:val="231F20"/>
          <w:spacing w:val="-19"/>
          <w:w w:val="105"/>
        </w:rPr>
        <w:t> </w:t>
      </w:r>
      <w:r>
        <w:rPr>
          <w:color w:val="231F20"/>
          <w:w w:val="105"/>
        </w:rPr>
        <w:t>Ciudadana</w:t>
      </w:r>
      <w:r>
        <w:rPr>
          <w:color w:val="231F20"/>
          <w:spacing w:val="-19"/>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Consejos</w:t>
      </w:r>
      <w:r>
        <w:rPr>
          <w:color w:val="231F20"/>
          <w:spacing w:val="-19"/>
          <w:w w:val="105"/>
        </w:rPr>
        <w:t> </w:t>
      </w:r>
      <w:r>
        <w:rPr>
          <w:color w:val="231F20"/>
          <w:w w:val="105"/>
        </w:rPr>
        <w:t>Ciudadanos</w:t>
      </w:r>
      <w:r>
        <w:rPr>
          <w:color w:val="231F20"/>
          <w:spacing w:val="-19"/>
          <w:w w:val="105"/>
        </w:rPr>
        <w:t> </w:t>
      </w:r>
      <w:r>
        <w:rPr>
          <w:color w:val="231F20"/>
          <w:w w:val="105"/>
        </w:rPr>
        <w:t>de</w:t>
      </w:r>
      <w:r>
        <w:rPr>
          <w:color w:val="231F20"/>
          <w:spacing w:val="-19"/>
          <w:w w:val="105"/>
        </w:rPr>
        <w:t> </w:t>
      </w:r>
      <w:r>
        <w:rPr>
          <w:color w:val="231F20"/>
          <w:w w:val="105"/>
        </w:rPr>
        <w:t>Cooperación y</w:t>
      </w:r>
      <w:r>
        <w:rPr>
          <w:color w:val="231F20"/>
          <w:spacing w:val="-15"/>
          <w:w w:val="105"/>
        </w:rPr>
        <w:t> </w:t>
      </w:r>
      <w:r>
        <w:rPr>
          <w:color w:val="231F20"/>
          <w:w w:val="105"/>
        </w:rPr>
        <w:t>Vigilancia</w:t>
      </w:r>
      <w:r>
        <w:rPr>
          <w:color w:val="231F20"/>
          <w:spacing w:val="-15"/>
          <w:w w:val="105"/>
        </w:rPr>
        <w:t> </w:t>
      </w:r>
      <w:r>
        <w:rPr>
          <w:color w:val="231F20"/>
          <w:w w:val="105"/>
        </w:rPr>
        <w:t>sin</w:t>
      </w:r>
      <w:r>
        <w:rPr>
          <w:color w:val="231F20"/>
          <w:spacing w:val="-15"/>
          <w:w w:val="105"/>
        </w:rPr>
        <w:t> </w:t>
      </w:r>
      <w:r>
        <w:rPr>
          <w:color w:val="231F20"/>
          <w:w w:val="105"/>
        </w:rPr>
        <w:t>goce</w:t>
      </w:r>
      <w:r>
        <w:rPr>
          <w:color w:val="231F20"/>
          <w:spacing w:val="-15"/>
          <w:w w:val="105"/>
        </w:rPr>
        <w:t> </w:t>
      </w:r>
      <w:r>
        <w:rPr>
          <w:color w:val="231F20"/>
          <w:w w:val="105"/>
        </w:rPr>
        <w:t>de</w:t>
      </w:r>
      <w:r>
        <w:rPr>
          <w:color w:val="231F20"/>
          <w:spacing w:val="-15"/>
          <w:w w:val="105"/>
        </w:rPr>
        <w:t> </w:t>
      </w:r>
      <w:r>
        <w:rPr>
          <w:color w:val="231F20"/>
          <w:w w:val="105"/>
        </w:rPr>
        <w:t>sueldo</w:t>
      </w:r>
      <w:r>
        <w:rPr>
          <w:color w:val="231F20"/>
          <w:spacing w:val="-15"/>
          <w:w w:val="105"/>
        </w:rPr>
        <w:t> </w:t>
      </w:r>
      <w:r>
        <w:rPr>
          <w:color w:val="231F20"/>
          <w:w w:val="105"/>
        </w:rPr>
        <w:t>o</w:t>
      </w:r>
      <w:r>
        <w:rPr>
          <w:color w:val="231F20"/>
          <w:spacing w:val="-15"/>
          <w:w w:val="105"/>
        </w:rPr>
        <w:t> </w:t>
      </w:r>
      <w:r>
        <w:rPr>
          <w:color w:val="231F20"/>
          <w:w w:val="105"/>
        </w:rPr>
        <w:t>algún</w:t>
      </w:r>
      <w:r>
        <w:rPr>
          <w:color w:val="231F20"/>
          <w:spacing w:val="-15"/>
          <w:w w:val="105"/>
        </w:rPr>
        <w:t> </w:t>
      </w:r>
      <w:r>
        <w:rPr>
          <w:color w:val="231F20"/>
          <w:w w:val="105"/>
        </w:rPr>
        <w:t>beneficio</w:t>
      </w:r>
      <w:r>
        <w:rPr>
          <w:color w:val="231F20"/>
          <w:spacing w:val="-15"/>
          <w:w w:val="105"/>
        </w:rPr>
        <w:t> </w:t>
      </w:r>
      <w:r>
        <w:rPr>
          <w:color w:val="231F20"/>
          <w:w w:val="105"/>
        </w:rPr>
        <w:t>directo.</w:t>
      </w:r>
      <w:r>
        <w:rPr>
          <w:color w:val="231F20"/>
          <w:spacing w:val="-15"/>
          <w:w w:val="105"/>
        </w:rPr>
        <w:t> </w:t>
      </w:r>
      <w:r>
        <w:rPr>
          <w:color w:val="231F20"/>
          <w:w w:val="105"/>
        </w:rPr>
        <w:t>Es</w:t>
      </w:r>
      <w:r>
        <w:rPr>
          <w:color w:val="231F20"/>
          <w:spacing w:val="-15"/>
          <w:w w:val="105"/>
        </w:rPr>
        <w:t> </w:t>
      </w:r>
      <w:r>
        <w:rPr>
          <w:color w:val="231F20"/>
          <w:w w:val="105"/>
        </w:rPr>
        <w:t>decir,</w:t>
      </w:r>
      <w:r>
        <w:rPr>
          <w:color w:val="231F20"/>
          <w:spacing w:val="-15"/>
          <w:w w:val="105"/>
        </w:rPr>
        <w:t> </w:t>
      </w:r>
      <w:r>
        <w:rPr>
          <w:color w:val="231F20"/>
          <w:w w:val="105"/>
        </w:rPr>
        <w:t>si</w:t>
      </w:r>
      <w:r>
        <w:rPr>
          <w:color w:val="231F20"/>
          <w:spacing w:val="-15"/>
          <w:w w:val="105"/>
        </w:rPr>
        <w:t> </w:t>
      </w:r>
      <w:r>
        <w:rPr>
          <w:color w:val="231F20"/>
          <w:w w:val="105"/>
        </w:rPr>
        <w:t>bien</w:t>
      </w:r>
      <w:r>
        <w:rPr>
          <w:color w:val="231F20"/>
          <w:spacing w:val="-15"/>
          <w:w w:val="105"/>
        </w:rPr>
        <w:t> </w:t>
      </w:r>
      <w:r>
        <w:rPr>
          <w:color w:val="231F20"/>
          <w:w w:val="105"/>
        </w:rPr>
        <w:t>la</w:t>
      </w:r>
      <w:r>
        <w:rPr>
          <w:color w:val="231F20"/>
          <w:spacing w:val="-15"/>
          <w:w w:val="105"/>
        </w:rPr>
        <w:t> </w:t>
      </w:r>
      <w:r>
        <w:rPr>
          <w:color w:val="231F20"/>
          <w:w w:val="105"/>
        </w:rPr>
        <w:t>ciudadanía del municipio tiene una tradición organizativa y de participación comunitaria para de- mandar cierto tipo de reivindicaciones sociales, cuando se trata de involucrarse en los mecanismos de participación ciudadana de manera altruista, dicha tradición desapa- rece. Esto de alguna manera nos habla de cómo la organización y participación de la ciudadanía</w:t>
      </w:r>
      <w:r>
        <w:rPr>
          <w:color w:val="231F20"/>
          <w:spacing w:val="-11"/>
          <w:w w:val="105"/>
        </w:rPr>
        <w:t> </w:t>
      </w:r>
      <w:r>
        <w:rPr>
          <w:color w:val="231F20"/>
          <w:w w:val="105"/>
        </w:rPr>
        <w:t>de</w:t>
      </w:r>
      <w:r>
        <w:rPr>
          <w:color w:val="231F20"/>
          <w:spacing w:val="-11"/>
          <w:w w:val="105"/>
        </w:rPr>
        <w:t> </w:t>
      </w:r>
      <w:r>
        <w:rPr>
          <w:color w:val="231F20"/>
          <w:w w:val="105"/>
        </w:rPr>
        <w:t>Nezahualcóyotl</w:t>
      </w:r>
      <w:r>
        <w:rPr>
          <w:color w:val="231F20"/>
          <w:spacing w:val="-11"/>
          <w:w w:val="105"/>
        </w:rPr>
        <w:t> </w:t>
      </w:r>
      <w:r>
        <w:rPr>
          <w:color w:val="231F20"/>
          <w:w w:val="105"/>
        </w:rPr>
        <w:t>se</w:t>
      </w:r>
      <w:r>
        <w:rPr>
          <w:color w:val="231F20"/>
          <w:spacing w:val="-11"/>
          <w:w w:val="105"/>
        </w:rPr>
        <w:t> </w:t>
      </w:r>
      <w:r>
        <w:rPr>
          <w:color w:val="231F20"/>
          <w:w w:val="105"/>
        </w:rPr>
        <w:t>ha</w:t>
      </w:r>
      <w:r>
        <w:rPr>
          <w:color w:val="231F20"/>
          <w:spacing w:val="-11"/>
          <w:w w:val="105"/>
        </w:rPr>
        <w:t> </w:t>
      </w:r>
      <w:r>
        <w:rPr>
          <w:color w:val="231F20"/>
          <w:w w:val="105"/>
        </w:rPr>
        <w:t>desarrollado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marco</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relación</w:t>
      </w:r>
      <w:r>
        <w:rPr>
          <w:color w:val="231F20"/>
          <w:spacing w:val="-11"/>
          <w:w w:val="105"/>
        </w:rPr>
        <w:t> </w:t>
      </w:r>
      <w:r>
        <w:rPr>
          <w:color w:val="231F20"/>
          <w:w w:val="105"/>
        </w:rPr>
        <w:t>clientelar con</w:t>
      </w:r>
      <w:r>
        <w:rPr>
          <w:color w:val="231F20"/>
          <w:spacing w:val="-11"/>
          <w:w w:val="105"/>
        </w:rPr>
        <w:t> </w:t>
      </w:r>
      <w:r>
        <w:rPr>
          <w:color w:val="231F20"/>
          <w:w w:val="105"/>
        </w:rPr>
        <w:t>las</w:t>
      </w:r>
      <w:r>
        <w:rPr>
          <w:color w:val="231F20"/>
          <w:spacing w:val="-11"/>
          <w:w w:val="105"/>
        </w:rPr>
        <w:t> </w:t>
      </w:r>
      <w:r>
        <w:rPr>
          <w:color w:val="231F20"/>
          <w:w w:val="105"/>
        </w:rPr>
        <w:t>autoridades</w:t>
      </w:r>
      <w:r>
        <w:rPr>
          <w:color w:val="231F20"/>
          <w:spacing w:val="-11"/>
          <w:w w:val="105"/>
        </w:rPr>
        <w:t> </w:t>
      </w:r>
      <w:r>
        <w:rPr>
          <w:color w:val="231F20"/>
          <w:w w:val="105"/>
        </w:rPr>
        <w:t>en</w:t>
      </w:r>
      <w:r>
        <w:rPr>
          <w:color w:val="231F20"/>
          <w:spacing w:val="-11"/>
          <w:w w:val="105"/>
        </w:rPr>
        <w:t> </w:t>
      </w:r>
      <w:r>
        <w:rPr>
          <w:color w:val="231F20"/>
          <w:w w:val="105"/>
        </w:rPr>
        <w:t>turno,</w:t>
      </w:r>
      <w:r>
        <w:rPr>
          <w:color w:val="231F20"/>
          <w:spacing w:val="-11"/>
          <w:w w:val="105"/>
        </w:rPr>
        <w:t> </w:t>
      </w:r>
      <w:r>
        <w:rPr>
          <w:color w:val="231F20"/>
          <w:w w:val="105"/>
        </w:rPr>
        <w:t>en</w:t>
      </w:r>
      <w:r>
        <w:rPr>
          <w:color w:val="231F20"/>
          <w:spacing w:val="-11"/>
          <w:w w:val="105"/>
        </w:rPr>
        <w:t> </w:t>
      </w:r>
      <w:r>
        <w:rPr>
          <w:color w:val="231F20"/>
          <w:w w:val="105"/>
        </w:rPr>
        <w:t>primer</w:t>
      </w:r>
      <w:r>
        <w:rPr>
          <w:color w:val="231F20"/>
          <w:spacing w:val="-11"/>
          <w:w w:val="105"/>
        </w:rPr>
        <w:t> </w:t>
      </w:r>
      <w:r>
        <w:rPr>
          <w:color w:val="231F20"/>
          <w:w w:val="105"/>
        </w:rPr>
        <w:t>instancia</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PRI,</w:t>
      </w:r>
      <w:r>
        <w:rPr>
          <w:color w:val="231F20"/>
          <w:spacing w:val="-11"/>
          <w:w w:val="105"/>
        </w:rPr>
        <w:t> </w:t>
      </w:r>
      <w:r>
        <w:rPr>
          <w:color w:val="231F20"/>
          <w:w w:val="105"/>
        </w:rPr>
        <w:t>principalmente</w:t>
      </w:r>
      <w:r>
        <w:rPr>
          <w:color w:val="231F20"/>
          <w:spacing w:val="-11"/>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 la</w:t>
      </w:r>
      <w:r>
        <w:rPr>
          <w:color w:val="231F20"/>
          <w:spacing w:val="-13"/>
          <w:w w:val="105"/>
        </w:rPr>
        <w:t> </w:t>
      </w:r>
      <w:r>
        <w:rPr>
          <w:color w:val="231F20"/>
          <w:w w:val="105"/>
        </w:rPr>
        <w:t>Confederación</w:t>
      </w:r>
      <w:r>
        <w:rPr>
          <w:color w:val="231F20"/>
          <w:spacing w:val="-13"/>
          <w:w w:val="105"/>
        </w:rPr>
        <w:t> </w:t>
      </w:r>
      <w:r>
        <w:rPr>
          <w:color w:val="231F20"/>
          <w:w w:val="105"/>
        </w:rPr>
        <w:t>Nacional</w:t>
      </w:r>
      <w:r>
        <w:rPr>
          <w:color w:val="231F20"/>
          <w:spacing w:val="-13"/>
          <w:w w:val="105"/>
        </w:rPr>
        <w:t> </w:t>
      </w:r>
      <w:r>
        <w:rPr>
          <w:color w:val="231F20"/>
          <w:w w:val="105"/>
        </w:rPr>
        <w:t>de</w:t>
      </w:r>
      <w:r>
        <w:rPr>
          <w:color w:val="231F20"/>
          <w:spacing w:val="-13"/>
          <w:w w:val="105"/>
        </w:rPr>
        <w:t> </w:t>
      </w:r>
      <w:r>
        <w:rPr>
          <w:color w:val="231F20"/>
          <w:w w:val="105"/>
        </w:rPr>
        <w:t>Organizaciones</w:t>
      </w:r>
      <w:r>
        <w:rPr>
          <w:color w:val="231F20"/>
          <w:spacing w:val="-13"/>
          <w:w w:val="105"/>
        </w:rPr>
        <w:t> </w:t>
      </w:r>
      <w:r>
        <w:rPr>
          <w:color w:val="231F20"/>
          <w:w w:val="105"/>
        </w:rPr>
        <w:t>Populares</w:t>
      </w:r>
      <w:r>
        <w:rPr>
          <w:color w:val="231F20"/>
          <w:spacing w:val="-13"/>
          <w:w w:val="105"/>
        </w:rPr>
        <w:t> </w:t>
      </w:r>
      <w:r>
        <w:rPr>
          <w:color w:val="231F20"/>
          <w:spacing w:val="-4"/>
          <w:w w:val="105"/>
        </w:rPr>
        <w:t>(CNOP)</w:t>
      </w:r>
      <w:r>
        <w:rPr>
          <w:color w:val="231F20"/>
          <w:spacing w:val="-13"/>
          <w:w w:val="105"/>
        </w:rPr>
        <w:t> </w:t>
      </w:r>
      <w:r>
        <w:rPr>
          <w:color w:val="231F20"/>
          <w:w w:val="105"/>
        </w:rPr>
        <w:t>y</w:t>
      </w:r>
      <w:r>
        <w:rPr>
          <w:color w:val="231F20"/>
          <w:spacing w:val="-13"/>
          <w:w w:val="105"/>
        </w:rPr>
        <w:t> </w:t>
      </w:r>
      <w:r>
        <w:rPr>
          <w:color w:val="231F20"/>
          <w:w w:val="105"/>
        </w:rPr>
        <w:t>posteriormente</w:t>
      </w:r>
      <w:r>
        <w:rPr>
          <w:color w:val="231F20"/>
          <w:spacing w:val="-13"/>
          <w:w w:val="105"/>
        </w:rPr>
        <w:t> </w:t>
      </w:r>
      <w:r>
        <w:rPr>
          <w:color w:val="231F20"/>
          <w:spacing w:val="-3"/>
          <w:w w:val="105"/>
        </w:rPr>
        <w:t>con </w:t>
      </w:r>
      <w:r>
        <w:rPr>
          <w:color w:val="231F20"/>
          <w:w w:val="105"/>
        </w:rPr>
        <w:t>el</w:t>
      </w:r>
      <w:r>
        <w:rPr>
          <w:color w:val="231F20"/>
          <w:spacing w:val="-27"/>
          <w:w w:val="105"/>
        </w:rPr>
        <w:t> </w:t>
      </w:r>
      <w:r>
        <w:rPr>
          <w:color w:val="231F20"/>
          <w:w w:val="105"/>
        </w:rPr>
        <w:t>PRD</w:t>
      </w:r>
      <w:r>
        <w:rPr>
          <w:color w:val="231F20"/>
          <w:spacing w:val="-27"/>
          <w:w w:val="105"/>
        </w:rPr>
        <w:t> </w:t>
      </w:r>
      <w:r>
        <w:rPr>
          <w:color w:val="231F20"/>
          <w:w w:val="105"/>
        </w:rPr>
        <w:t>a</w:t>
      </w:r>
      <w:r>
        <w:rPr>
          <w:color w:val="231F20"/>
          <w:spacing w:val="-27"/>
          <w:w w:val="105"/>
        </w:rPr>
        <w:t> </w:t>
      </w:r>
      <w:r>
        <w:rPr>
          <w:color w:val="231F20"/>
          <w:w w:val="105"/>
        </w:rPr>
        <w:t>través</w:t>
      </w:r>
      <w:r>
        <w:rPr>
          <w:color w:val="231F20"/>
          <w:spacing w:val="-27"/>
          <w:w w:val="105"/>
        </w:rPr>
        <w:t> </w:t>
      </w:r>
      <w:r>
        <w:rPr>
          <w:color w:val="231F20"/>
          <w:w w:val="105"/>
        </w:rPr>
        <w:t>de</w:t>
      </w:r>
      <w:r>
        <w:rPr>
          <w:color w:val="231F20"/>
          <w:spacing w:val="-27"/>
          <w:w w:val="105"/>
        </w:rPr>
        <w:t> </w:t>
      </w:r>
      <w:r>
        <w:rPr>
          <w:color w:val="231F20"/>
          <w:w w:val="105"/>
        </w:rPr>
        <w:t>organizaciones</w:t>
      </w:r>
      <w:r>
        <w:rPr>
          <w:color w:val="231F20"/>
          <w:spacing w:val="-27"/>
          <w:w w:val="105"/>
        </w:rPr>
        <w:t> </w:t>
      </w:r>
      <w:r>
        <w:rPr>
          <w:color w:val="231F20"/>
          <w:w w:val="105"/>
        </w:rPr>
        <w:t>como</w:t>
      </w:r>
      <w:r>
        <w:rPr>
          <w:color w:val="231F20"/>
          <w:spacing w:val="-27"/>
          <w:w w:val="105"/>
        </w:rPr>
        <w:t> </w:t>
      </w:r>
      <w:r>
        <w:rPr>
          <w:color w:val="231F20"/>
          <w:w w:val="105"/>
        </w:rPr>
        <w:t>MOVIDIG,</w:t>
      </w:r>
      <w:r>
        <w:rPr>
          <w:color w:val="231F20"/>
          <w:spacing w:val="-27"/>
          <w:w w:val="105"/>
        </w:rPr>
        <w:t> </w:t>
      </w:r>
      <w:r>
        <w:rPr>
          <w:color w:val="231F20"/>
          <w:w w:val="105"/>
        </w:rPr>
        <w:t>UPREZ,</w:t>
      </w:r>
      <w:r>
        <w:rPr>
          <w:color w:val="231F20"/>
          <w:spacing w:val="-27"/>
          <w:w w:val="105"/>
        </w:rPr>
        <w:t> </w:t>
      </w:r>
      <w:r>
        <w:rPr>
          <w:color w:val="231F20"/>
          <w:w w:val="105"/>
        </w:rPr>
        <w:t>MLN,</w:t>
      </w:r>
      <w:r>
        <w:rPr>
          <w:color w:val="231F20"/>
          <w:spacing w:val="-27"/>
          <w:w w:val="105"/>
        </w:rPr>
        <w:t> </w:t>
      </w:r>
      <w:r>
        <w:rPr>
          <w:color w:val="231F20"/>
          <w:w w:val="105"/>
        </w:rPr>
        <w:t>UGOCEM,</w:t>
      </w:r>
      <w:r>
        <w:rPr>
          <w:color w:val="231F20"/>
          <w:spacing w:val="-27"/>
          <w:w w:val="105"/>
        </w:rPr>
        <w:t> </w:t>
      </w:r>
      <w:r>
        <w:rPr>
          <w:color w:val="231F20"/>
          <w:w w:val="105"/>
        </w:rPr>
        <w:t>etc.</w:t>
      </w:r>
    </w:p>
    <w:p>
      <w:pPr>
        <w:pStyle w:val="BodyText"/>
        <w:spacing w:before="1"/>
        <w:rPr>
          <w:sz w:val="26"/>
        </w:rPr>
      </w:pPr>
    </w:p>
    <w:p>
      <w:pPr>
        <w:pStyle w:val="BodyText"/>
        <w:spacing w:line="285" w:lineRule="auto"/>
        <w:ind w:left="110" w:right="107"/>
        <w:jc w:val="both"/>
      </w:pPr>
      <w:r>
        <w:rPr>
          <w:color w:val="231F20"/>
          <w:w w:val="105"/>
        </w:rPr>
        <w:t>En</w:t>
      </w:r>
      <w:r>
        <w:rPr>
          <w:color w:val="231F20"/>
          <w:spacing w:val="-11"/>
          <w:w w:val="105"/>
        </w:rPr>
        <w:t> </w:t>
      </w:r>
      <w:r>
        <w:rPr>
          <w:color w:val="231F20"/>
          <w:w w:val="105"/>
        </w:rPr>
        <w:t>cuanto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actuación</w:t>
      </w:r>
      <w:r>
        <w:rPr>
          <w:color w:val="231F20"/>
          <w:spacing w:val="-11"/>
          <w:w w:val="105"/>
        </w:rPr>
        <w:t> </w:t>
      </w:r>
      <w:r>
        <w:rPr>
          <w:color w:val="231F20"/>
          <w:w w:val="105"/>
        </w:rPr>
        <w:t>del</w:t>
      </w:r>
      <w:r>
        <w:rPr>
          <w:color w:val="231F20"/>
          <w:spacing w:val="-11"/>
          <w:w w:val="105"/>
        </w:rPr>
        <w:t> </w:t>
      </w:r>
      <w:r>
        <w:rPr>
          <w:color w:val="231F20"/>
          <w:w w:val="105"/>
        </w:rPr>
        <w:t>Cabildo</w:t>
      </w:r>
      <w:r>
        <w:rPr>
          <w:color w:val="231F20"/>
          <w:spacing w:val="-11"/>
          <w:w w:val="105"/>
        </w:rPr>
        <w:t> </w:t>
      </w:r>
      <w:r>
        <w:rPr>
          <w:color w:val="231F20"/>
          <w:w w:val="105"/>
        </w:rPr>
        <w:t>durante</w:t>
      </w:r>
      <w:r>
        <w:rPr>
          <w:color w:val="231F20"/>
          <w:spacing w:val="-11"/>
          <w:w w:val="105"/>
        </w:rPr>
        <w:t> </w:t>
      </w:r>
      <w:r>
        <w:rPr>
          <w:color w:val="231F20"/>
          <w:w w:val="105"/>
        </w:rPr>
        <w:t>las</w:t>
      </w:r>
      <w:r>
        <w:rPr>
          <w:color w:val="231F20"/>
          <w:spacing w:val="-11"/>
          <w:w w:val="105"/>
        </w:rPr>
        <w:t> </w:t>
      </w:r>
      <w:r>
        <w:rPr>
          <w:color w:val="231F20"/>
          <w:w w:val="105"/>
        </w:rPr>
        <w:t>administraciones</w:t>
      </w:r>
      <w:r>
        <w:rPr>
          <w:color w:val="231F20"/>
          <w:spacing w:val="-11"/>
          <w:w w:val="105"/>
        </w:rPr>
        <w:t> </w:t>
      </w:r>
      <w:r>
        <w:rPr>
          <w:color w:val="231F20"/>
          <w:w w:val="105"/>
        </w:rPr>
        <w:t>perredistas,</w:t>
      </w:r>
      <w:r>
        <w:rPr>
          <w:color w:val="231F20"/>
          <w:spacing w:val="-11"/>
          <w:w w:val="105"/>
        </w:rPr>
        <w:t> </w:t>
      </w:r>
      <w:r>
        <w:rPr>
          <w:color w:val="231F20"/>
          <w:w w:val="105"/>
        </w:rPr>
        <w:t>a</w:t>
      </w:r>
      <w:r>
        <w:rPr>
          <w:color w:val="231F20"/>
          <w:spacing w:val="-11"/>
          <w:w w:val="105"/>
        </w:rPr>
        <w:t> </w:t>
      </w:r>
      <w:r>
        <w:rPr>
          <w:color w:val="231F20"/>
          <w:w w:val="105"/>
        </w:rPr>
        <w:t>excep- ción</w:t>
      </w:r>
      <w:r>
        <w:rPr>
          <w:color w:val="231F20"/>
          <w:spacing w:val="-9"/>
          <w:w w:val="105"/>
        </w:rPr>
        <w:t> </w:t>
      </w:r>
      <w:r>
        <w:rPr>
          <w:color w:val="231F20"/>
          <w:w w:val="105"/>
        </w:rPr>
        <w:t>del</w:t>
      </w:r>
      <w:r>
        <w:rPr>
          <w:color w:val="231F20"/>
          <w:spacing w:val="-9"/>
          <w:w w:val="105"/>
        </w:rPr>
        <w:t> </w:t>
      </w:r>
      <w:r>
        <w:rPr>
          <w:color w:val="231F20"/>
          <w:w w:val="105"/>
        </w:rPr>
        <w:t>primer</w:t>
      </w:r>
      <w:r>
        <w:rPr>
          <w:color w:val="231F20"/>
          <w:spacing w:val="-9"/>
          <w:w w:val="105"/>
        </w:rPr>
        <w:t> </w:t>
      </w:r>
      <w:r>
        <w:rPr>
          <w:color w:val="231F20"/>
          <w:w w:val="105"/>
        </w:rPr>
        <w:t>cabildo</w:t>
      </w:r>
      <w:r>
        <w:rPr>
          <w:color w:val="231F20"/>
          <w:spacing w:val="-9"/>
          <w:w w:val="105"/>
        </w:rPr>
        <w:t> </w:t>
      </w:r>
      <w:r>
        <w:rPr>
          <w:color w:val="231F20"/>
          <w:w w:val="105"/>
        </w:rPr>
        <w:t>(1996-2000)</w:t>
      </w:r>
      <w:r>
        <w:rPr>
          <w:color w:val="231F20"/>
          <w:spacing w:val="-9"/>
          <w:w w:val="105"/>
        </w:rPr>
        <w:t> </w:t>
      </w:r>
      <w:r>
        <w:rPr>
          <w:color w:val="231F20"/>
          <w:w w:val="105"/>
        </w:rPr>
        <w:t>los</w:t>
      </w:r>
      <w:r>
        <w:rPr>
          <w:color w:val="231F20"/>
          <w:spacing w:val="-9"/>
          <w:w w:val="105"/>
        </w:rPr>
        <w:t> </w:t>
      </w:r>
      <w:r>
        <w:rPr>
          <w:color w:val="231F20"/>
          <w:w w:val="105"/>
        </w:rPr>
        <w:t>demás</w:t>
      </w:r>
      <w:r>
        <w:rPr>
          <w:color w:val="231F20"/>
          <w:spacing w:val="-9"/>
          <w:w w:val="105"/>
        </w:rPr>
        <w:t> </w:t>
      </w:r>
      <w:r>
        <w:rPr>
          <w:color w:val="231F20"/>
          <w:w w:val="105"/>
        </w:rPr>
        <w:t>se</w:t>
      </w:r>
      <w:r>
        <w:rPr>
          <w:color w:val="231F20"/>
          <w:spacing w:val="-9"/>
          <w:w w:val="105"/>
        </w:rPr>
        <w:t> </w:t>
      </w:r>
      <w:r>
        <w:rPr>
          <w:color w:val="231F20"/>
          <w:w w:val="105"/>
        </w:rPr>
        <w:t>han</w:t>
      </w:r>
      <w:r>
        <w:rPr>
          <w:color w:val="231F20"/>
          <w:spacing w:val="-9"/>
          <w:w w:val="105"/>
        </w:rPr>
        <w:t> </w:t>
      </w:r>
      <w:r>
        <w:rPr>
          <w:color w:val="231F20"/>
          <w:w w:val="105"/>
        </w:rPr>
        <w:t>desarrollado</w:t>
      </w:r>
      <w:r>
        <w:rPr>
          <w:color w:val="231F20"/>
          <w:spacing w:val="-9"/>
          <w:w w:val="105"/>
        </w:rPr>
        <w:t> </w:t>
      </w:r>
      <w:r>
        <w:rPr>
          <w:color w:val="231F20"/>
          <w:w w:val="105"/>
        </w:rPr>
        <w:t>con</w:t>
      </w:r>
      <w:r>
        <w:rPr>
          <w:color w:val="231F20"/>
          <w:spacing w:val="-9"/>
          <w:w w:val="105"/>
        </w:rPr>
        <w:t> </w:t>
      </w:r>
      <w:r>
        <w:rPr>
          <w:color w:val="231F20"/>
          <w:w w:val="105"/>
        </w:rPr>
        <w:t>relativa</w:t>
      </w:r>
      <w:r>
        <w:rPr>
          <w:color w:val="231F20"/>
          <w:spacing w:val="-9"/>
          <w:w w:val="105"/>
        </w:rPr>
        <w:t> </w:t>
      </w:r>
      <w:r>
        <w:rPr>
          <w:color w:val="231F20"/>
          <w:w w:val="105"/>
        </w:rPr>
        <w:t>unidad y</w:t>
      </w:r>
      <w:r>
        <w:rPr>
          <w:color w:val="231F20"/>
          <w:spacing w:val="-8"/>
          <w:w w:val="105"/>
        </w:rPr>
        <w:t> </w:t>
      </w:r>
      <w:r>
        <w:rPr>
          <w:color w:val="231F20"/>
          <w:w w:val="105"/>
        </w:rPr>
        <w:t>cordialidad</w:t>
      </w:r>
      <w:r>
        <w:rPr>
          <w:color w:val="231F20"/>
          <w:spacing w:val="-8"/>
          <w:w w:val="105"/>
        </w:rPr>
        <w:t> </w:t>
      </w:r>
      <w:r>
        <w:rPr>
          <w:color w:val="231F20"/>
          <w:w w:val="105"/>
        </w:rPr>
        <w:t>entre</w:t>
      </w:r>
      <w:r>
        <w:rPr>
          <w:color w:val="231F20"/>
          <w:spacing w:val="-8"/>
          <w:w w:val="105"/>
        </w:rPr>
        <w:t> </w:t>
      </w:r>
      <w:r>
        <w:rPr>
          <w:color w:val="231F20"/>
          <w:w w:val="105"/>
        </w:rPr>
        <w:t>las</w:t>
      </w:r>
      <w:r>
        <w:rPr>
          <w:color w:val="231F20"/>
          <w:spacing w:val="-8"/>
          <w:w w:val="105"/>
        </w:rPr>
        <w:t> </w:t>
      </w:r>
      <w:r>
        <w:rPr>
          <w:color w:val="231F20"/>
          <w:w w:val="105"/>
        </w:rPr>
        <w:t>fuerzas</w:t>
      </w:r>
      <w:r>
        <w:rPr>
          <w:color w:val="231F20"/>
          <w:spacing w:val="-8"/>
          <w:w w:val="105"/>
        </w:rPr>
        <w:t> </w:t>
      </w:r>
      <w:r>
        <w:rPr>
          <w:color w:val="231F20"/>
          <w:w w:val="105"/>
        </w:rPr>
        <w:t>internas</w:t>
      </w:r>
      <w:r>
        <w:rPr>
          <w:color w:val="231F20"/>
          <w:spacing w:val="-8"/>
          <w:w w:val="105"/>
        </w:rPr>
        <w:t> </w:t>
      </w:r>
      <w:r>
        <w:rPr>
          <w:color w:val="231F20"/>
          <w:w w:val="105"/>
        </w:rPr>
        <w:t>del</w:t>
      </w:r>
      <w:r>
        <w:rPr>
          <w:color w:val="231F20"/>
          <w:spacing w:val="-8"/>
          <w:w w:val="105"/>
        </w:rPr>
        <w:t> </w:t>
      </w:r>
      <w:r>
        <w:rPr>
          <w:color w:val="231F20"/>
          <w:w w:val="105"/>
        </w:rPr>
        <w:t>PRD</w:t>
      </w:r>
      <w:r>
        <w:rPr>
          <w:color w:val="231F20"/>
          <w:spacing w:val="-8"/>
          <w:w w:val="105"/>
        </w:rPr>
        <w:t> </w:t>
      </w:r>
      <w:r>
        <w:rPr>
          <w:color w:val="231F20"/>
          <w:w w:val="105"/>
        </w:rPr>
        <w:t>que</w:t>
      </w:r>
      <w:r>
        <w:rPr>
          <w:color w:val="231F20"/>
          <w:spacing w:val="-8"/>
          <w:w w:val="105"/>
        </w:rPr>
        <w:t> </w:t>
      </w:r>
      <w:r>
        <w:rPr>
          <w:color w:val="231F20"/>
          <w:w w:val="105"/>
        </w:rPr>
        <w:t>han</w:t>
      </w:r>
      <w:r>
        <w:rPr>
          <w:color w:val="231F20"/>
          <w:spacing w:val="-8"/>
          <w:w w:val="105"/>
        </w:rPr>
        <w:t> </w:t>
      </w:r>
      <w:r>
        <w:rPr>
          <w:color w:val="231F20"/>
          <w:w w:val="105"/>
        </w:rPr>
        <w:t>encabezado</w:t>
      </w:r>
      <w:r>
        <w:rPr>
          <w:color w:val="231F20"/>
          <w:spacing w:val="-8"/>
          <w:w w:val="105"/>
        </w:rPr>
        <w:t> </w:t>
      </w:r>
      <w:r>
        <w:rPr>
          <w:color w:val="231F20"/>
          <w:w w:val="105"/>
        </w:rPr>
        <w:t>las</w:t>
      </w:r>
      <w:r>
        <w:rPr>
          <w:color w:val="231F20"/>
          <w:spacing w:val="-8"/>
          <w:w w:val="105"/>
        </w:rPr>
        <w:t> </w:t>
      </w:r>
      <w:r>
        <w:rPr>
          <w:color w:val="231F20"/>
          <w:w w:val="105"/>
        </w:rPr>
        <w:t>regidurías.</w:t>
      </w:r>
      <w:r>
        <w:rPr>
          <w:color w:val="231F20"/>
          <w:spacing w:val="-8"/>
          <w:w w:val="105"/>
        </w:rPr>
        <w:t> </w:t>
      </w:r>
      <w:r>
        <w:rPr>
          <w:color w:val="231F20"/>
          <w:spacing w:val="-2"/>
          <w:w w:val="105"/>
        </w:rPr>
        <w:t>Si- </w:t>
      </w:r>
      <w:r>
        <w:rPr>
          <w:color w:val="231F20"/>
          <w:w w:val="105"/>
        </w:rPr>
        <w:t>tuación que fue muy diferente durante la primera administración, pues las disputas por</w:t>
      </w:r>
      <w:r>
        <w:rPr>
          <w:color w:val="231F20"/>
          <w:spacing w:val="-13"/>
          <w:w w:val="105"/>
        </w:rPr>
        <w:t> </w:t>
      </w:r>
      <w:r>
        <w:rPr>
          <w:color w:val="231F20"/>
          <w:w w:val="105"/>
        </w:rPr>
        <w:t>carteras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municipal</w:t>
      </w:r>
      <w:r>
        <w:rPr>
          <w:color w:val="231F20"/>
          <w:spacing w:val="-13"/>
          <w:w w:val="105"/>
        </w:rPr>
        <w:t> </w:t>
      </w:r>
      <w:r>
        <w:rPr>
          <w:color w:val="231F20"/>
          <w:w w:val="105"/>
        </w:rPr>
        <w:t>generaron</w:t>
      </w:r>
      <w:r>
        <w:rPr>
          <w:color w:val="231F20"/>
          <w:spacing w:val="-13"/>
          <w:w w:val="105"/>
        </w:rPr>
        <w:t> </w:t>
      </w:r>
      <w:r>
        <w:rPr>
          <w:color w:val="231F20"/>
          <w:w w:val="105"/>
        </w:rPr>
        <w:t>enfrentamientos</w:t>
      </w:r>
      <w:r>
        <w:rPr>
          <w:color w:val="231F20"/>
          <w:spacing w:val="-13"/>
          <w:w w:val="105"/>
        </w:rPr>
        <w:t> </w:t>
      </w:r>
      <w:r>
        <w:rPr>
          <w:color w:val="231F20"/>
          <w:w w:val="105"/>
        </w:rPr>
        <w:t>y</w:t>
      </w:r>
      <w:r>
        <w:rPr>
          <w:color w:val="231F20"/>
          <w:spacing w:val="-13"/>
          <w:w w:val="105"/>
        </w:rPr>
        <w:t> </w:t>
      </w:r>
      <w:r>
        <w:rPr>
          <w:color w:val="231F20"/>
          <w:w w:val="105"/>
        </w:rPr>
        <w:t>división</w:t>
      </w:r>
      <w:r>
        <w:rPr>
          <w:color w:val="231F20"/>
          <w:spacing w:val="-13"/>
          <w:w w:val="105"/>
        </w:rPr>
        <w:t> </w:t>
      </w:r>
      <w:r>
        <w:rPr>
          <w:color w:val="231F20"/>
          <w:w w:val="105"/>
        </w:rPr>
        <w:t>entre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los grupos internos del partido, que en su </w:t>
      </w:r>
      <w:r>
        <w:rPr>
          <w:color w:val="231F20"/>
          <w:spacing w:val="-3"/>
          <w:w w:val="105"/>
        </w:rPr>
        <w:t>momento </w:t>
      </w:r>
      <w:r>
        <w:rPr>
          <w:color w:val="231F20"/>
          <w:w w:val="105"/>
        </w:rPr>
        <w:t>inhibió la realización de cabildos abiertos.</w:t>
      </w:r>
      <w:r>
        <w:rPr>
          <w:color w:val="231F20"/>
          <w:spacing w:val="-11"/>
          <w:w w:val="105"/>
        </w:rPr>
        <w:t> </w:t>
      </w:r>
      <w:r>
        <w:rPr>
          <w:color w:val="231F20"/>
          <w:w w:val="105"/>
        </w:rPr>
        <w:t>Lo</w:t>
      </w:r>
      <w:r>
        <w:rPr>
          <w:color w:val="231F20"/>
          <w:spacing w:val="-11"/>
          <w:w w:val="105"/>
        </w:rPr>
        <w:t> </w:t>
      </w:r>
      <w:r>
        <w:rPr>
          <w:color w:val="231F20"/>
          <w:w w:val="105"/>
        </w:rPr>
        <w:t>cual</w:t>
      </w:r>
      <w:r>
        <w:rPr>
          <w:color w:val="231F20"/>
          <w:spacing w:val="-11"/>
          <w:w w:val="105"/>
        </w:rPr>
        <w:t> </w:t>
      </w:r>
      <w:r>
        <w:rPr>
          <w:color w:val="231F20"/>
          <w:w w:val="105"/>
        </w:rPr>
        <w:t>impulsó</w:t>
      </w:r>
      <w:r>
        <w:rPr>
          <w:color w:val="231F20"/>
          <w:spacing w:val="-11"/>
          <w:w w:val="105"/>
        </w:rPr>
        <w:t> </w:t>
      </w:r>
      <w:r>
        <w:rPr>
          <w:color w:val="231F20"/>
          <w:spacing w:val="2"/>
          <w:w w:val="105"/>
        </w:rPr>
        <w:t>al</w:t>
      </w:r>
      <w:r>
        <w:rPr>
          <w:color w:val="231F20"/>
          <w:spacing w:val="-11"/>
          <w:w w:val="105"/>
        </w:rPr>
        <w:t> </w:t>
      </w:r>
      <w:r>
        <w:rPr>
          <w:color w:val="231F20"/>
          <w:w w:val="105"/>
        </w:rPr>
        <w:t>alcalde</w:t>
      </w:r>
      <w:r>
        <w:rPr>
          <w:color w:val="231F20"/>
          <w:spacing w:val="-11"/>
          <w:w w:val="105"/>
        </w:rPr>
        <w:t> </w:t>
      </w:r>
      <w:r>
        <w:rPr>
          <w:color w:val="231F20"/>
          <w:w w:val="105"/>
        </w:rPr>
        <w:t>Valentín</w:t>
      </w:r>
      <w:r>
        <w:rPr>
          <w:color w:val="231F20"/>
          <w:spacing w:val="-11"/>
          <w:w w:val="105"/>
        </w:rPr>
        <w:t> </w:t>
      </w:r>
      <w:r>
        <w:rPr>
          <w:color w:val="231F20"/>
          <w:w w:val="105"/>
        </w:rPr>
        <w:t>González</w:t>
      </w:r>
      <w:r>
        <w:rPr>
          <w:color w:val="231F20"/>
          <w:spacing w:val="-11"/>
          <w:w w:val="105"/>
        </w:rPr>
        <w:t> </w:t>
      </w:r>
      <w:r>
        <w:rPr>
          <w:color w:val="231F20"/>
          <w:w w:val="105"/>
        </w:rPr>
        <w:t>a</w:t>
      </w:r>
      <w:r>
        <w:rPr>
          <w:color w:val="231F20"/>
          <w:spacing w:val="-11"/>
          <w:w w:val="105"/>
        </w:rPr>
        <w:t> </w:t>
      </w:r>
      <w:r>
        <w:rPr>
          <w:color w:val="231F20"/>
          <w:w w:val="105"/>
        </w:rPr>
        <w:t>fomentar</w:t>
      </w:r>
      <w:r>
        <w:rPr>
          <w:color w:val="231F20"/>
          <w:spacing w:val="-11"/>
          <w:w w:val="105"/>
        </w:rPr>
        <w:t> </w:t>
      </w:r>
      <w:r>
        <w:rPr>
          <w:color w:val="231F20"/>
          <w:w w:val="105"/>
        </w:rPr>
        <w:t>una</w:t>
      </w:r>
      <w:r>
        <w:rPr>
          <w:color w:val="231F20"/>
          <w:spacing w:val="-11"/>
          <w:w w:val="105"/>
        </w:rPr>
        <w:t> </w:t>
      </w:r>
      <w:r>
        <w:rPr>
          <w:color w:val="231F20"/>
          <w:w w:val="105"/>
        </w:rPr>
        <w:t>política</w:t>
      </w:r>
      <w:r>
        <w:rPr>
          <w:color w:val="231F20"/>
          <w:spacing w:val="-11"/>
          <w:w w:val="105"/>
        </w:rPr>
        <w:t> </w:t>
      </w:r>
      <w:r>
        <w:rPr>
          <w:color w:val="231F20"/>
          <w:w w:val="105"/>
        </w:rPr>
        <w:t>de</w:t>
      </w:r>
      <w:r>
        <w:rPr>
          <w:color w:val="231F20"/>
          <w:spacing w:val="-11"/>
          <w:w w:val="105"/>
        </w:rPr>
        <w:t> </w:t>
      </w:r>
      <w:r>
        <w:rPr>
          <w:color w:val="231F20"/>
          <w:spacing w:val="-3"/>
          <w:w w:val="105"/>
        </w:rPr>
        <w:t>acer- </w:t>
      </w:r>
      <w:r>
        <w:rPr>
          <w:color w:val="231F20"/>
          <w:w w:val="105"/>
        </w:rPr>
        <w:t>camiento</w:t>
      </w:r>
      <w:r>
        <w:rPr>
          <w:color w:val="231F20"/>
          <w:spacing w:val="-17"/>
          <w:w w:val="105"/>
        </w:rPr>
        <w:t> </w:t>
      </w:r>
      <w:r>
        <w:rPr>
          <w:color w:val="231F20"/>
          <w:w w:val="105"/>
        </w:rPr>
        <w:t>y</w:t>
      </w:r>
      <w:r>
        <w:rPr>
          <w:color w:val="231F20"/>
          <w:spacing w:val="-17"/>
          <w:w w:val="105"/>
        </w:rPr>
        <w:t> </w:t>
      </w:r>
      <w:r>
        <w:rPr>
          <w:color w:val="231F20"/>
          <w:w w:val="105"/>
        </w:rPr>
        <w:t>negociación</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w w:val="105"/>
        </w:rPr>
        <w:t>regidores</w:t>
      </w:r>
      <w:r>
        <w:rPr>
          <w:color w:val="231F20"/>
          <w:spacing w:val="-17"/>
          <w:w w:val="105"/>
        </w:rPr>
        <w:t> </w:t>
      </w:r>
      <w:r>
        <w:rPr>
          <w:color w:val="231F20"/>
          <w:w w:val="105"/>
        </w:rPr>
        <w:t>del</w:t>
      </w:r>
      <w:r>
        <w:rPr>
          <w:color w:val="231F20"/>
          <w:spacing w:val="-17"/>
          <w:w w:val="105"/>
        </w:rPr>
        <w:t> </w:t>
      </w:r>
      <w:r>
        <w:rPr>
          <w:color w:val="231F20"/>
          <w:spacing w:val="-4"/>
          <w:w w:val="105"/>
        </w:rPr>
        <w:t>PAN</w:t>
      </w:r>
      <w:r>
        <w:rPr>
          <w:color w:val="231F20"/>
          <w:spacing w:val="-17"/>
          <w:w w:val="105"/>
        </w:rPr>
        <w:t> </w:t>
      </w:r>
      <w:r>
        <w:rPr>
          <w:color w:val="231F20"/>
          <w:w w:val="105"/>
        </w:rPr>
        <w:t>y</w:t>
      </w:r>
      <w:r>
        <w:rPr>
          <w:color w:val="231F20"/>
          <w:spacing w:val="-17"/>
          <w:w w:val="105"/>
        </w:rPr>
        <w:t> </w:t>
      </w:r>
      <w:r>
        <w:rPr>
          <w:color w:val="231F20"/>
          <w:w w:val="105"/>
        </w:rPr>
        <w:t>del</w:t>
      </w:r>
      <w:r>
        <w:rPr>
          <w:color w:val="231F20"/>
          <w:spacing w:val="-17"/>
          <w:w w:val="105"/>
        </w:rPr>
        <w:t> </w:t>
      </w:r>
      <w:r>
        <w:rPr>
          <w:color w:val="231F20"/>
          <w:w w:val="105"/>
        </w:rPr>
        <w:t>PRI,</w:t>
      </w:r>
      <w:r>
        <w:rPr>
          <w:color w:val="231F20"/>
          <w:spacing w:val="-17"/>
          <w:w w:val="105"/>
        </w:rPr>
        <w:t> </w:t>
      </w:r>
      <w:r>
        <w:rPr>
          <w:color w:val="231F20"/>
          <w:w w:val="105"/>
        </w:rPr>
        <w:t>alcanzando</w:t>
      </w:r>
      <w:r>
        <w:rPr>
          <w:color w:val="231F20"/>
          <w:spacing w:val="-17"/>
          <w:w w:val="105"/>
        </w:rPr>
        <w:t> </w:t>
      </w:r>
      <w:r>
        <w:rPr>
          <w:color w:val="231F20"/>
          <w:w w:val="105"/>
        </w:rPr>
        <w:t>resultados</w:t>
      </w:r>
      <w:r>
        <w:rPr>
          <w:color w:val="231F20"/>
          <w:spacing w:val="-17"/>
          <w:w w:val="105"/>
        </w:rPr>
        <w:t> </w:t>
      </w:r>
      <w:r>
        <w:rPr>
          <w:color w:val="231F20"/>
          <w:w w:val="105"/>
        </w:rPr>
        <w:t>po- sitivos</w:t>
      </w:r>
      <w:r>
        <w:rPr>
          <w:color w:val="231F20"/>
          <w:spacing w:val="-38"/>
          <w:w w:val="105"/>
        </w:rPr>
        <w:t> </w:t>
      </w:r>
      <w:r>
        <w:rPr>
          <w:color w:val="231F20"/>
          <w:w w:val="105"/>
        </w:rPr>
        <w:t>de</w:t>
      </w:r>
      <w:r>
        <w:rPr>
          <w:color w:val="231F20"/>
          <w:spacing w:val="-38"/>
          <w:w w:val="105"/>
        </w:rPr>
        <w:t> </w:t>
      </w:r>
      <w:r>
        <w:rPr>
          <w:color w:val="231F20"/>
          <w:w w:val="105"/>
        </w:rPr>
        <w:t>colaboración.</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9"/>
          <w:w w:val="105"/>
        </w:rPr>
        <w:t> </w:t>
      </w:r>
      <w:r>
        <w:rPr>
          <w:color w:val="231F20"/>
          <w:w w:val="105"/>
        </w:rPr>
        <w:t>consiguiente,</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sucesivas</w:t>
      </w:r>
      <w:r>
        <w:rPr>
          <w:color w:val="231F20"/>
          <w:spacing w:val="-9"/>
          <w:w w:val="105"/>
        </w:rPr>
        <w:t> </w:t>
      </w:r>
      <w:r>
        <w:rPr>
          <w:color w:val="231F20"/>
          <w:w w:val="105"/>
        </w:rPr>
        <w:t>administraciones</w:t>
      </w:r>
      <w:r>
        <w:rPr>
          <w:color w:val="231F20"/>
          <w:spacing w:val="-9"/>
          <w:w w:val="105"/>
        </w:rPr>
        <w:t> </w:t>
      </w:r>
      <w:r>
        <w:rPr>
          <w:color w:val="231F20"/>
          <w:w w:val="105"/>
        </w:rPr>
        <w:t>perredistas</w:t>
      </w:r>
      <w:r>
        <w:rPr>
          <w:color w:val="231F20"/>
          <w:spacing w:val="-9"/>
          <w:w w:val="105"/>
        </w:rPr>
        <w:t> </w:t>
      </w:r>
      <w:r>
        <w:rPr>
          <w:color w:val="231F20"/>
          <w:w w:val="105"/>
        </w:rPr>
        <w:t>en</w:t>
      </w:r>
      <w:r>
        <w:rPr>
          <w:color w:val="231F20"/>
          <w:spacing w:val="-9"/>
          <w:w w:val="105"/>
        </w:rPr>
        <w:t> </w:t>
      </w:r>
      <w:r>
        <w:rPr>
          <w:color w:val="231F20"/>
          <w:w w:val="105"/>
        </w:rPr>
        <w:t>Nezahualcóyotl,</w:t>
      </w:r>
      <w:r>
        <w:rPr>
          <w:color w:val="231F20"/>
          <w:spacing w:val="-9"/>
          <w:w w:val="105"/>
        </w:rPr>
        <w:t> </w:t>
      </w:r>
      <w:r>
        <w:rPr>
          <w:color w:val="231F20"/>
          <w:w w:val="105"/>
        </w:rPr>
        <w:t>el funcionamiento del Cabildo ha venido transitando hacia una mayor unidad y estabili- dad,</w:t>
      </w:r>
      <w:r>
        <w:rPr>
          <w:color w:val="231F20"/>
          <w:spacing w:val="-5"/>
          <w:w w:val="105"/>
        </w:rPr>
        <w:t> </w:t>
      </w:r>
      <w:r>
        <w:rPr>
          <w:color w:val="231F20"/>
          <w:w w:val="105"/>
        </w:rPr>
        <w:t>en</w:t>
      </w:r>
      <w:r>
        <w:rPr>
          <w:color w:val="231F20"/>
          <w:spacing w:val="-5"/>
          <w:w w:val="105"/>
        </w:rPr>
        <w:t> </w:t>
      </w:r>
      <w:r>
        <w:rPr>
          <w:color w:val="231F20"/>
          <w:w w:val="105"/>
        </w:rPr>
        <w:t>relación</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grupos</w:t>
      </w:r>
      <w:r>
        <w:rPr>
          <w:color w:val="231F20"/>
          <w:spacing w:val="-5"/>
          <w:w w:val="105"/>
        </w:rPr>
        <w:t> </w:t>
      </w:r>
      <w:r>
        <w:rPr>
          <w:color w:val="231F20"/>
          <w:w w:val="105"/>
        </w:rPr>
        <w:t>internos</w:t>
      </w:r>
      <w:r>
        <w:rPr>
          <w:color w:val="231F20"/>
          <w:spacing w:val="-5"/>
          <w:w w:val="105"/>
        </w:rPr>
        <w:t> </w:t>
      </w:r>
      <w:r>
        <w:rPr>
          <w:color w:val="231F20"/>
          <w:w w:val="105"/>
        </w:rPr>
        <w:t>del</w:t>
      </w:r>
      <w:r>
        <w:rPr>
          <w:color w:val="231F20"/>
          <w:spacing w:val="-5"/>
          <w:w w:val="105"/>
        </w:rPr>
        <w:t> </w:t>
      </w:r>
      <w:r>
        <w:rPr>
          <w:color w:val="231F20"/>
          <w:w w:val="105"/>
        </w:rPr>
        <w:t>PRD</w:t>
      </w:r>
      <w:r>
        <w:rPr>
          <w:color w:val="231F20"/>
          <w:spacing w:val="-5"/>
          <w:w w:val="105"/>
        </w:rPr>
        <w:t> </w:t>
      </w:r>
      <w:r>
        <w:rPr>
          <w:color w:val="231F20"/>
          <w:w w:val="105"/>
        </w:rPr>
        <w:t>y</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regidores</w:t>
      </w:r>
      <w:r>
        <w:rPr>
          <w:color w:val="231F20"/>
          <w:spacing w:val="-5"/>
          <w:w w:val="105"/>
        </w:rPr>
        <w:t> </w:t>
      </w:r>
      <w:r>
        <w:rPr>
          <w:color w:val="231F20"/>
          <w:w w:val="105"/>
        </w:rPr>
        <w:t>priístas</w:t>
      </w:r>
      <w:r>
        <w:rPr>
          <w:color w:val="231F20"/>
          <w:spacing w:val="-5"/>
          <w:w w:val="105"/>
        </w:rPr>
        <w:t> </w:t>
      </w:r>
      <w:r>
        <w:rPr>
          <w:color w:val="231F20"/>
          <w:w w:val="105"/>
        </w:rPr>
        <w:t>y</w:t>
      </w:r>
      <w:r>
        <w:rPr>
          <w:color w:val="231F20"/>
          <w:spacing w:val="-5"/>
          <w:w w:val="105"/>
        </w:rPr>
        <w:t> </w:t>
      </w:r>
      <w:r>
        <w:rPr>
          <w:color w:val="231F20"/>
          <w:w w:val="105"/>
        </w:rPr>
        <w:t>panistas. La</w:t>
      </w:r>
      <w:r>
        <w:rPr>
          <w:color w:val="231F20"/>
          <w:spacing w:val="-11"/>
          <w:w w:val="105"/>
        </w:rPr>
        <w:t> </w:t>
      </w:r>
      <w:r>
        <w:rPr>
          <w:color w:val="231F20"/>
          <w:w w:val="105"/>
        </w:rPr>
        <w:t>explicación</w:t>
      </w:r>
      <w:r>
        <w:rPr>
          <w:color w:val="231F20"/>
          <w:spacing w:val="-11"/>
          <w:w w:val="105"/>
        </w:rPr>
        <w:t> </w:t>
      </w:r>
      <w:r>
        <w:rPr>
          <w:color w:val="231F20"/>
          <w:w w:val="105"/>
        </w:rPr>
        <w:t>de</w:t>
      </w:r>
      <w:r>
        <w:rPr>
          <w:color w:val="231F20"/>
          <w:spacing w:val="-11"/>
          <w:w w:val="105"/>
        </w:rPr>
        <w:t> </w:t>
      </w:r>
      <w:r>
        <w:rPr>
          <w:color w:val="231F20"/>
          <w:w w:val="105"/>
        </w:rPr>
        <w:t>este</w:t>
      </w:r>
      <w:r>
        <w:rPr>
          <w:color w:val="231F20"/>
          <w:spacing w:val="-11"/>
          <w:w w:val="105"/>
        </w:rPr>
        <w:t> </w:t>
      </w:r>
      <w:r>
        <w:rPr>
          <w:color w:val="231F20"/>
          <w:w w:val="105"/>
        </w:rPr>
        <w:t>cambio</w:t>
      </w:r>
      <w:r>
        <w:rPr>
          <w:color w:val="231F20"/>
          <w:spacing w:val="-11"/>
          <w:w w:val="105"/>
        </w:rPr>
        <w:t> </w:t>
      </w:r>
      <w:r>
        <w:rPr>
          <w:color w:val="231F20"/>
          <w:w w:val="105"/>
        </w:rPr>
        <w:t>experimentado</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Cabildo</w:t>
      </w:r>
      <w:r>
        <w:rPr>
          <w:color w:val="231F20"/>
          <w:spacing w:val="-11"/>
          <w:w w:val="105"/>
        </w:rPr>
        <w:t> </w:t>
      </w:r>
      <w:r>
        <w:rPr>
          <w:color w:val="231F20"/>
          <w:w w:val="105"/>
        </w:rPr>
        <w:t>se</w:t>
      </w:r>
      <w:r>
        <w:rPr>
          <w:color w:val="231F20"/>
          <w:spacing w:val="-11"/>
          <w:w w:val="105"/>
        </w:rPr>
        <w:t> </w:t>
      </w:r>
      <w:r>
        <w:rPr>
          <w:color w:val="231F20"/>
          <w:w w:val="105"/>
        </w:rPr>
        <w:t>encuentra,</w:t>
      </w:r>
      <w:r>
        <w:rPr>
          <w:color w:val="231F20"/>
          <w:spacing w:val="-11"/>
          <w:w w:val="105"/>
        </w:rPr>
        <w:t> </w:t>
      </w:r>
      <w:r>
        <w:rPr>
          <w:color w:val="231F20"/>
          <w:w w:val="105"/>
        </w:rPr>
        <w:t>por</w:t>
      </w:r>
      <w:r>
        <w:rPr>
          <w:color w:val="231F20"/>
          <w:spacing w:val="-11"/>
          <w:w w:val="105"/>
        </w:rPr>
        <w:t> </w:t>
      </w:r>
      <w:r>
        <w:rPr>
          <w:color w:val="231F20"/>
          <w:w w:val="105"/>
        </w:rPr>
        <w:t>un</w:t>
      </w:r>
      <w:r>
        <w:rPr>
          <w:color w:val="231F20"/>
          <w:spacing w:val="-11"/>
          <w:w w:val="105"/>
        </w:rPr>
        <w:t> </w:t>
      </w:r>
      <w:r>
        <w:rPr>
          <w:color w:val="231F20"/>
          <w:w w:val="105"/>
        </w:rPr>
        <w:t>lado, en el hecho del fortalecimiento y consolidación de la organización de MOVIDIG, que se</w:t>
      </w:r>
      <w:r>
        <w:rPr>
          <w:color w:val="231F20"/>
          <w:spacing w:val="-15"/>
          <w:w w:val="105"/>
        </w:rPr>
        <w:t> </w:t>
      </w:r>
      <w:r>
        <w:rPr>
          <w:color w:val="231F20"/>
          <w:w w:val="105"/>
        </w:rPr>
        <w:t>ha</w:t>
      </w:r>
      <w:r>
        <w:rPr>
          <w:color w:val="231F20"/>
          <w:spacing w:val="-15"/>
          <w:w w:val="105"/>
        </w:rPr>
        <w:t> </w:t>
      </w:r>
      <w:r>
        <w:rPr>
          <w:color w:val="231F20"/>
          <w:w w:val="105"/>
        </w:rPr>
        <w:t>reflejado</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conformación</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planillas</w:t>
      </w:r>
      <w:r>
        <w:rPr>
          <w:color w:val="231F20"/>
          <w:spacing w:val="-15"/>
          <w:w w:val="105"/>
        </w:rPr>
        <w:t> </w:t>
      </w:r>
      <w:r>
        <w:rPr>
          <w:color w:val="231F20"/>
          <w:w w:val="105"/>
        </w:rPr>
        <w:t>municipales</w:t>
      </w:r>
      <w:r>
        <w:rPr>
          <w:color w:val="231F20"/>
          <w:spacing w:val="-15"/>
          <w:w w:val="105"/>
        </w:rPr>
        <w:t> </w:t>
      </w:r>
      <w:r>
        <w:rPr>
          <w:color w:val="231F20"/>
          <w:w w:val="105"/>
        </w:rPr>
        <w:t>integradas</w:t>
      </w:r>
      <w:r>
        <w:rPr>
          <w:color w:val="231F20"/>
          <w:spacing w:val="-15"/>
          <w:w w:val="105"/>
        </w:rPr>
        <w:t> </w:t>
      </w:r>
      <w:r>
        <w:rPr>
          <w:color w:val="231F20"/>
          <w:w w:val="105"/>
        </w:rPr>
        <w:t>cada</w:t>
      </w:r>
      <w:r>
        <w:rPr>
          <w:color w:val="231F20"/>
          <w:spacing w:val="-15"/>
          <w:w w:val="105"/>
        </w:rPr>
        <w:t> </w:t>
      </w:r>
      <w:r>
        <w:rPr>
          <w:color w:val="231F20"/>
          <w:w w:val="105"/>
        </w:rPr>
        <w:t>vez</w:t>
      </w:r>
      <w:r>
        <w:rPr>
          <w:color w:val="231F20"/>
          <w:spacing w:val="-15"/>
          <w:w w:val="105"/>
        </w:rPr>
        <w:t> </w:t>
      </w:r>
      <w:r>
        <w:rPr>
          <w:color w:val="231F20"/>
          <w:w w:val="105"/>
        </w:rPr>
        <w:t>más por</w:t>
      </w:r>
      <w:r>
        <w:rPr>
          <w:color w:val="231F20"/>
          <w:spacing w:val="-14"/>
          <w:w w:val="105"/>
        </w:rPr>
        <w:t> </w:t>
      </w:r>
      <w:r>
        <w:rPr>
          <w:color w:val="231F20"/>
          <w:w w:val="105"/>
        </w:rPr>
        <w:t>líderes</w:t>
      </w:r>
      <w:r>
        <w:rPr>
          <w:color w:val="231F20"/>
          <w:spacing w:val="-14"/>
          <w:w w:val="105"/>
        </w:rPr>
        <w:t> </w:t>
      </w:r>
      <w:r>
        <w:rPr>
          <w:color w:val="231F20"/>
          <w:w w:val="105"/>
        </w:rPr>
        <w:t>políticos</w:t>
      </w:r>
      <w:r>
        <w:rPr>
          <w:color w:val="231F20"/>
          <w:spacing w:val="-14"/>
          <w:w w:val="105"/>
        </w:rPr>
        <w:t> </w:t>
      </w:r>
      <w:r>
        <w:rPr>
          <w:color w:val="231F20"/>
          <w:w w:val="105"/>
        </w:rPr>
        <w:t>afines</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otro</w:t>
      </w:r>
      <w:r>
        <w:rPr>
          <w:color w:val="231F20"/>
          <w:spacing w:val="-14"/>
          <w:w w:val="105"/>
        </w:rPr>
        <w:t> </w:t>
      </w:r>
      <w:r>
        <w:rPr>
          <w:color w:val="231F20"/>
          <w:w w:val="105"/>
        </w:rPr>
        <w:t>lado,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capacidad</w:t>
      </w:r>
      <w:r>
        <w:rPr>
          <w:color w:val="231F20"/>
          <w:spacing w:val="-14"/>
          <w:w w:val="105"/>
        </w:rPr>
        <w:t> </w:t>
      </w:r>
      <w:r>
        <w:rPr>
          <w:color w:val="231F20"/>
          <w:w w:val="105"/>
        </w:rPr>
        <w:t>de</w:t>
      </w:r>
      <w:r>
        <w:rPr>
          <w:color w:val="231F20"/>
          <w:spacing w:val="-14"/>
          <w:w w:val="105"/>
        </w:rPr>
        <w:t> </w:t>
      </w:r>
      <w:r>
        <w:rPr>
          <w:color w:val="231F20"/>
          <w:w w:val="105"/>
        </w:rPr>
        <w:t>negociación</w:t>
      </w:r>
      <w:r>
        <w:rPr>
          <w:color w:val="231F20"/>
          <w:spacing w:val="-14"/>
          <w:w w:val="105"/>
        </w:rPr>
        <w:t> </w:t>
      </w:r>
      <w:r>
        <w:rPr>
          <w:color w:val="231F20"/>
          <w:w w:val="105"/>
        </w:rPr>
        <w:t>de</w:t>
      </w:r>
      <w:r>
        <w:rPr>
          <w:color w:val="231F20"/>
          <w:spacing w:val="-14"/>
          <w:w w:val="105"/>
        </w:rPr>
        <w:t> </w:t>
      </w:r>
      <w:r>
        <w:rPr>
          <w:color w:val="231F20"/>
          <w:w w:val="105"/>
        </w:rPr>
        <w:t>MOVIDIG con</w:t>
      </w:r>
      <w:r>
        <w:rPr>
          <w:color w:val="231F20"/>
          <w:spacing w:val="-11"/>
          <w:w w:val="105"/>
        </w:rPr>
        <w:t> </w:t>
      </w:r>
      <w:r>
        <w:rPr>
          <w:color w:val="231F20"/>
          <w:w w:val="105"/>
        </w:rPr>
        <w:t>las</w:t>
      </w:r>
      <w:r>
        <w:rPr>
          <w:color w:val="231F20"/>
          <w:spacing w:val="-11"/>
          <w:w w:val="105"/>
        </w:rPr>
        <w:t> </w:t>
      </w:r>
      <w:r>
        <w:rPr>
          <w:color w:val="231F20"/>
          <w:w w:val="105"/>
        </w:rPr>
        <w:t>otras</w:t>
      </w:r>
      <w:r>
        <w:rPr>
          <w:color w:val="231F20"/>
          <w:spacing w:val="-11"/>
          <w:w w:val="105"/>
        </w:rPr>
        <w:t> </w:t>
      </w:r>
      <w:r>
        <w:rPr>
          <w:color w:val="231F20"/>
          <w:w w:val="105"/>
        </w:rPr>
        <w:t>organizaciones</w:t>
      </w:r>
      <w:r>
        <w:rPr>
          <w:color w:val="231F20"/>
          <w:spacing w:val="-11"/>
          <w:w w:val="105"/>
        </w:rPr>
        <w:t> </w:t>
      </w:r>
      <w:r>
        <w:rPr>
          <w:color w:val="231F20"/>
          <w:w w:val="105"/>
        </w:rPr>
        <w:t>más</w:t>
      </w:r>
      <w:r>
        <w:rPr>
          <w:color w:val="231F20"/>
          <w:spacing w:val="-11"/>
          <w:w w:val="105"/>
        </w:rPr>
        <w:t> </w:t>
      </w:r>
      <w:r>
        <w:rPr>
          <w:color w:val="231F20"/>
          <w:w w:val="105"/>
        </w:rPr>
        <w:t>importantes</w:t>
      </w:r>
      <w:r>
        <w:rPr>
          <w:color w:val="231F20"/>
          <w:spacing w:val="-11"/>
          <w:w w:val="105"/>
        </w:rPr>
        <w:t> </w:t>
      </w:r>
      <w:r>
        <w:rPr>
          <w:color w:val="231F20"/>
          <w:w w:val="105"/>
        </w:rPr>
        <w:t>del</w:t>
      </w:r>
      <w:r>
        <w:rPr>
          <w:color w:val="231F20"/>
          <w:spacing w:val="-11"/>
          <w:w w:val="105"/>
        </w:rPr>
        <w:t> </w:t>
      </w:r>
      <w:r>
        <w:rPr>
          <w:color w:val="231F20"/>
          <w:spacing w:val="-3"/>
          <w:w w:val="105"/>
        </w:rPr>
        <w:t>PRD.</w:t>
      </w:r>
    </w:p>
    <w:p>
      <w:pPr>
        <w:pStyle w:val="BodyText"/>
        <w:spacing w:before="1"/>
        <w:rPr>
          <w:sz w:val="26"/>
        </w:rPr>
      </w:pPr>
    </w:p>
    <w:p>
      <w:pPr>
        <w:pStyle w:val="BodyText"/>
        <w:spacing w:line="285" w:lineRule="auto"/>
        <w:ind w:left="110" w:right="109"/>
        <w:jc w:val="both"/>
      </w:pPr>
      <w:r>
        <w:rPr>
          <w:color w:val="231F20"/>
          <w:spacing w:val="-3"/>
          <w:w w:val="105"/>
        </w:rPr>
        <w:t>Por</w:t>
      </w:r>
      <w:r>
        <w:rPr>
          <w:color w:val="231F20"/>
          <w:spacing w:val="-12"/>
          <w:w w:val="105"/>
        </w:rPr>
        <w:t> </w:t>
      </w:r>
      <w:r>
        <w:rPr>
          <w:color w:val="231F20"/>
          <w:spacing w:val="-3"/>
          <w:w w:val="105"/>
        </w:rPr>
        <w:t>ejemplo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actual</w:t>
      </w:r>
      <w:r>
        <w:rPr>
          <w:color w:val="231F20"/>
          <w:spacing w:val="-12"/>
          <w:w w:val="105"/>
        </w:rPr>
        <w:t> </w:t>
      </w:r>
      <w:r>
        <w:rPr>
          <w:color w:val="231F20"/>
          <w:w w:val="105"/>
        </w:rPr>
        <w:t>administración</w:t>
      </w:r>
      <w:r>
        <w:rPr>
          <w:color w:val="231F20"/>
          <w:spacing w:val="-12"/>
          <w:w w:val="105"/>
        </w:rPr>
        <w:t> </w:t>
      </w:r>
      <w:r>
        <w:rPr>
          <w:color w:val="231F20"/>
          <w:w w:val="105"/>
        </w:rPr>
        <w:t>durante</w:t>
      </w:r>
      <w:r>
        <w:rPr>
          <w:color w:val="231F20"/>
          <w:spacing w:val="-12"/>
          <w:w w:val="105"/>
        </w:rPr>
        <w:t> </w:t>
      </w:r>
      <w:r>
        <w:rPr>
          <w:color w:val="231F20"/>
          <w:w w:val="105"/>
        </w:rPr>
        <w:t>el</w:t>
      </w:r>
      <w:r>
        <w:rPr>
          <w:color w:val="231F20"/>
          <w:spacing w:val="-12"/>
          <w:w w:val="105"/>
        </w:rPr>
        <w:t> </w:t>
      </w:r>
      <w:r>
        <w:rPr>
          <w:color w:val="231F20"/>
          <w:w w:val="105"/>
        </w:rPr>
        <w:t>primer</w:t>
      </w:r>
      <w:r>
        <w:rPr>
          <w:color w:val="231F20"/>
          <w:spacing w:val="-12"/>
          <w:w w:val="105"/>
        </w:rPr>
        <w:t> </w:t>
      </w:r>
      <w:r>
        <w:rPr>
          <w:color w:val="231F20"/>
          <w:w w:val="105"/>
        </w:rPr>
        <w:t>y</w:t>
      </w:r>
      <w:r>
        <w:rPr>
          <w:color w:val="231F20"/>
          <w:spacing w:val="-12"/>
          <w:w w:val="105"/>
        </w:rPr>
        <w:t> </w:t>
      </w:r>
      <w:r>
        <w:rPr>
          <w:color w:val="231F20"/>
          <w:w w:val="105"/>
        </w:rPr>
        <w:t>segundo</w:t>
      </w:r>
      <w:r>
        <w:rPr>
          <w:color w:val="231F20"/>
          <w:spacing w:val="-12"/>
          <w:w w:val="105"/>
        </w:rPr>
        <w:t> </w:t>
      </w:r>
      <w:r>
        <w:rPr>
          <w:color w:val="231F20"/>
          <w:w w:val="105"/>
        </w:rPr>
        <w:t>año</w:t>
      </w:r>
      <w:r>
        <w:rPr>
          <w:color w:val="231F20"/>
          <w:spacing w:val="-12"/>
          <w:w w:val="105"/>
        </w:rPr>
        <w:t> </w:t>
      </w:r>
      <w:r>
        <w:rPr>
          <w:color w:val="231F20"/>
          <w:w w:val="105"/>
        </w:rPr>
        <w:t>de</w:t>
      </w:r>
      <w:r>
        <w:rPr>
          <w:color w:val="231F20"/>
          <w:spacing w:val="-12"/>
          <w:w w:val="105"/>
        </w:rPr>
        <w:t> </w:t>
      </w:r>
      <w:r>
        <w:rPr>
          <w:color w:val="231F20"/>
          <w:w w:val="105"/>
        </w:rPr>
        <w:t>actividades se</w:t>
      </w:r>
      <w:r>
        <w:rPr>
          <w:color w:val="231F20"/>
          <w:spacing w:val="-12"/>
          <w:w w:val="105"/>
        </w:rPr>
        <w:t> </w:t>
      </w:r>
      <w:r>
        <w:rPr>
          <w:color w:val="231F20"/>
          <w:w w:val="105"/>
        </w:rPr>
        <w:t>reportan</w:t>
      </w:r>
      <w:r>
        <w:rPr>
          <w:color w:val="231F20"/>
          <w:spacing w:val="-12"/>
          <w:w w:val="105"/>
        </w:rPr>
        <w:t> </w:t>
      </w:r>
      <w:r>
        <w:rPr>
          <w:color w:val="231F20"/>
          <w:w w:val="105"/>
        </w:rPr>
        <w:t>los</w:t>
      </w:r>
      <w:r>
        <w:rPr>
          <w:color w:val="231F20"/>
          <w:spacing w:val="-12"/>
          <w:w w:val="105"/>
        </w:rPr>
        <w:t> </w:t>
      </w:r>
      <w:r>
        <w:rPr>
          <w:color w:val="231F20"/>
          <w:w w:val="105"/>
        </w:rPr>
        <w:t>siguientes</w:t>
      </w:r>
      <w:r>
        <w:rPr>
          <w:color w:val="231F20"/>
          <w:spacing w:val="-12"/>
          <w:w w:val="105"/>
        </w:rPr>
        <w:t> </w:t>
      </w:r>
      <w:r>
        <w:rPr>
          <w:color w:val="231F20"/>
          <w:w w:val="105"/>
        </w:rPr>
        <w:t>datos</w:t>
      </w:r>
      <w:r>
        <w:rPr>
          <w:color w:val="231F20"/>
          <w:spacing w:val="-12"/>
          <w:w w:val="105"/>
        </w:rPr>
        <w:t> </w:t>
      </w:r>
      <w:r>
        <w:rPr>
          <w:color w:val="231F20"/>
          <w:w w:val="105"/>
        </w:rPr>
        <w:t>con</w:t>
      </w:r>
      <w:r>
        <w:rPr>
          <w:color w:val="231F20"/>
          <w:spacing w:val="-12"/>
          <w:w w:val="105"/>
        </w:rPr>
        <w:t> </w:t>
      </w:r>
      <w:r>
        <w:rPr>
          <w:color w:val="231F20"/>
          <w:w w:val="105"/>
        </w:rPr>
        <w:t>respecto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actuación</w:t>
      </w:r>
      <w:r>
        <w:rPr>
          <w:color w:val="231F20"/>
          <w:spacing w:val="-12"/>
          <w:w w:val="105"/>
        </w:rPr>
        <w:t> </w:t>
      </w:r>
      <w:r>
        <w:rPr>
          <w:color w:val="231F20"/>
          <w:w w:val="105"/>
        </w:rPr>
        <w:t>del</w:t>
      </w:r>
      <w:r>
        <w:rPr>
          <w:color w:val="231F20"/>
          <w:spacing w:val="-12"/>
          <w:w w:val="105"/>
        </w:rPr>
        <w:t> </w:t>
      </w:r>
      <w:r>
        <w:rPr>
          <w:color w:val="231F20"/>
          <w:w w:val="105"/>
        </w:rPr>
        <w:t>cabildo.</w:t>
      </w:r>
    </w:p>
    <w:p>
      <w:pPr>
        <w:pStyle w:val="BodyText"/>
        <w:spacing w:before="1"/>
        <w:rPr>
          <w:sz w:val="26"/>
        </w:rPr>
      </w:pPr>
    </w:p>
    <w:p>
      <w:pPr>
        <w:pStyle w:val="Heading5"/>
        <w:spacing w:line="285" w:lineRule="auto"/>
        <w:ind w:left="851" w:right="-2" w:hanging="717"/>
      </w:pPr>
      <w:r>
        <w:rPr>
          <w:color w:val="231F20"/>
          <w:w w:val="105"/>
        </w:rPr>
        <w:t>Cuadro</w:t>
      </w:r>
      <w:r>
        <w:rPr>
          <w:color w:val="231F20"/>
          <w:spacing w:val="-18"/>
          <w:w w:val="105"/>
        </w:rPr>
        <w:t> </w:t>
      </w:r>
      <w:r>
        <w:rPr>
          <w:color w:val="231F20"/>
          <w:w w:val="105"/>
        </w:rPr>
        <w:t>6</w:t>
      </w:r>
      <w:r>
        <w:rPr>
          <w:color w:val="231F20"/>
          <w:spacing w:val="-18"/>
          <w:w w:val="105"/>
        </w:rPr>
        <w:t> </w:t>
      </w:r>
      <w:r>
        <w:rPr>
          <w:color w:val="231F20"/>
          <w:w w:val="105"/>
        </w:rPr>
        <w:t>Número</w:t>
      </w:r>
      <w:r>
        <w:rPr>
          <w:color w:val="231F20"/>
          <w:spacing w:val="-18"/>
          <w:w w:val="105"/>
        </w:rPr>
        <w:t> </w:t>
      </w:r>
      <w:r>
        <w:rPr>
          <w:color w:val="231F20"/>
          <w:w w:val="105"/>
        </w:rPr>
        <w:t>de</w:t>
      </w:r>
      <w:r>
        <w:rPr>
          <w:color w:val="231F20"/>
          <w:spacing w:val="-18"/>
          <w:w w:val="105"/>
        </w:rPr>
        <w:t> </w:t>
      </w:r>
      <w:r>
        <w:rPr>
          <w:color w:val="231F20"/>
          <w:w w:val="105"/>
        </w:rPr>
        <w:t>Acuerdos</w:t>
      </w:r>
      <w:r>
        <w:rPr>
          <w:color w:val="231F20"/>
          <w:spacing w:val="-18"/>
          <w:w w:val="105"/>
        </w:rPr>
        <w:t> </w:t>
      </w:r>
      <w:r>
        <w:rPr>
          <w:color w:val="231F20"/>
          <w:w w:val="105"/>
        </w:rPr>
        <w:t>de</w:t>
      </w:r>
      <w:r>
        <w:rPr>
          <w:color w:val="231F20"/>
          <w:spacing w:val="-18"/>
          <w:w w:val="105"/>
        </w:rPr>
        <w:t> </w:t>
      </w:r>
      <w:r>
        <w:rPr>
          <w:color w:val="231F20"/>
          <w:w w:val="105"/>
        </w:rPr>
        <w:t>Cabildo</w:t>
      </w:r>
      <w:r>
        <w:rPr>
          <w:color w:val="231F20"/>
          <w:spacing w:val="-18"/>
          <w:w w:val="105"/>
        </w:rPr>
        <w:t> </w:t>
      </w:r>
      <w:r>
        <w:rPr>
          <w:color w:val="231F20"/>
          <w:w w:val="105"/>
        </w:rPr>
        <w:t>Durante</w:t>
      </w:r>
      <w:r>
        <w:rPr>
          <w:color w:val="231F20"/>
          <w:spacing w:val="-18"/>
          <w:w w:val="105"/>
        </w:rPr>
        <w:t> </w:t>
      </w:r>
      <w:r>
        <w:rPr>
          <w:color w:val="231F20"/>
          <w:w w:val="105"/>
        </w:rPr>
        <w:t>el</w:t>
      </w:r>
      <w:r>
        <w:rPr>
          <w:color w:val="231F20"/>
          <w:spacing w:val="-18"/>
          <w:w w:val="105"/>
        </w:rPr>
        <w:t> </w:t>
      </w:r>
      <w:r>
        <w:rPr>
          <w:color w:val="231F20"/>
          <w:w w:val="105"/>
        </w:rPr>
        <w:t>Primer</w:t>
      </w:r>
      <w:r>
        <w:rPr>
          <w:color w:val="231F20"/>
          <w:spacing w:val="-18"/>
          <w:w w:val="105"/>
        </w:rPr>
        <w:t> </w:t>
      </w:r>
      <w:r>
        <w:rPr>
          <w:color w:val="231F20"/>
          <w:w w:val="105"/>
        </w:rPr>
        <w:t>y</w:t>
      </w:r>
      <w:r>
        <w:rPr>
          <w:color w:val="231F20"/>
          <w:spacing w:val="-18"/>
          <w:w w:val="105"/>
        </w:rPr>
        <w:t> </w:t>
      </w:r>
      <w:r>
        <w:rPr>
          <w:color w:val="231F20"/>
          <w:w w:val="105"/>
        </w:rPr>
        <w:t>Segundo</w:t>
      </w:r>
      <w:r>
        <w:rPr>
          <w:color w:val="231F20"/>
          <w:spacing w:val="-18"/>
          <w:w w:val="105"/>
        </w:rPr>
        <w:t> </w:t>
      </w:r>
      <w:r>
        <w:rPr>
          <w:color w:val="231F20"/>
          <w:w w:val="105"/>
        </w:rPr>
        <w:t>año</w:t>
      </w:r>
      <w:r>
        <w:rPr>
          <w:color w:val="231F20"/>
          <w:spacing w:val="-18"/>
          <w:w w:val="105"/>
        </w:rPr>
        <w:t> </w:t>
      </w:r>
      <w:r>
        <w:rPr>
          <w:color w:val="231F20"/>
          <w:w w:val="105"/>
        </w:rPr>
        <w:t>de</w:t>
      </w:r>
      <w:r>
        <w:rPr>
          <w:color w:val="231F20"/>
          <w:spacing w:val="-18"/>
          <w:w w:val="105"/>
        </w:rPr>
        <w:t> </w:t>
      </w:r>
      <w:r>
        <w:rPr>
          <w:color w:val="231F20"/>
          <w:w w:val="105"/>
        </w:rPr>
        <w:t>la Administración</w:t>
      </w:r>
      <w:r>
        <w:rPr>
          <w:color w:val="231F20"/>
          <w:spacing w:val="-9"/>
          <w:w w:val="105"/>
        </w:rPr>
        <w:t> </w:t>
      </w:r>
      <w:r>
        <w:rPr>
          <w:color w:val="231F20"/>
          <w:w w:val="105"/>
        </w:rPr>
        <w:t>Municipal</w:t>
      </w:r>
      <w:r>
        <w:rPr>
          <w:color w:val="231F20"/>
          <w:spacing w:val="-9"/>
          <w:w w:val="105"/>
        </w:rPr>
        <w:t> </w:t>
      </w:r>
      <w:r>
        <w:rPr>
          <w:color w:val="231F20"/>
          <w:w w:val="105"/>
        </w:rPr>
        <w:t>del</w:t>
      </w:r>
      <w:r>
        <w:rPr>
          <w:color w:val="231F20"/>
          <w:spacing w:val="-9"/>
          <w:w w:val="105"/>
        </w:rPr>
        <w:t> </w:t>
      </w:r>
      <w:r>
        <w:rPr>
          <w:color w:val="231F20"/>
          <w:w w:val="105"/>
        </w:rPr>
        <w:t>PRD</w:t>
      </w:r>
      <w:r>
        <w:rPr>
          <w:color w:val="231F20"/>
          <w:spacing w:val="-9"/>
          <w:w w:val="105"/>
        </w:rPr>
        <w:t> </w:t>
      </w:r>
      <w:r>
        <w:rPr>
          <w:color w:val="231F20"/>
          <w:w w:val="105"/>
        </w:rPr>
        <w:t>en</w:t>
      </w:r>
      <w:r>
        <w:rPr>
          <w:color w:val="231F20"/>
          <w:spacing w:val="-9"/>
          <w:w w:val="105"/>
        </w:rPr>
        <w:t> </w:t>
      </w:r>
      <w:r>
        <w:rPr>
          <w:color w:val="231F20"/>
          <w:w w:val="105"/>
        </w:rPr>
        <w:t>Nezahualcóyotl,</w:t>
      </w:r>
      <w:r>
        <w:rPr>
          <w:color w:val="231F20"/>
          <w:spacing w:val="-9"/>
          <w:w w:val="105"/>
        </w:rPr>
        <w:t> </w:t>
      </w:r>
      <w:r>
        <w:rPr>
          <w:color w:val="231F20"/>
          <w:w w:val="105"/>
        </w:rPr>
        <w:t>2006-2009</w:t>
      </w:r>
    </w:p>
    <w:p>
      <w:pPr>
        <w:pStyle w:val="BodyText"/>
        <w:spacing w:before="5"/>
        <w:rPr>
          <w:b/>
          <w:sz w:val="2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40"/>
        <w:gridCol w:w="1472"/>
        <w:gridCol w:w="1409"/>
        <w:gridCol w:w="1080"/>
        <w:gridCol w:w="1308"/>
        <w:gridCol w:w="1216"/>
      </w:tblGrid>
      <w:tr>
        <w:trPr>
          <w:trHeight w:val="454" w:hRule="exact"/>
        </w:trPr>
        <w:tc>
          <w:tcPr>
            <w:tcW w:w="1440" w:type="dxa"/>
            <w:shd w:val="clear" w:color="auto" w:fill="B3B4B4"/>
          </w:tcPr>
          <w:p>
            <w:pPr>
              <w:pStyle w:val="TableParagraph"/>
              <w:spacing w:before="129"/>
              <w:ind w:left="65" w:right="24"/>
              <w:rPr>
                <w:sz w:val="16"/>
              </w:rPr>
            </w:pPr>
            <w:r>
              <w:rPr>
                <w:color w:val="231F20"/>
                <w:w w:val="85"/>
                <w:sz w:val="16"/>
              </w:rPr>
              <w:t>Año</w:t>
            </w:r>
          </w:p>
        </w:tc>
        <w:tc>
          <w:tcPr>
            <w:tcW w:w="1472" w:type="dxa"/>
            <w:shd w:val="clear" w:color="auto" w:fill="B3B4B4"/>
          </w:tcPr>
          <w:p>
            <w:pPr>
              <w:pStyle w:val="TableParagraph"/>
              <w:spacing w:before="129"/>
              <w:ind w:left="65"/>
              <w:rPr>
                <w:sz w:val="16"/>
              </w:rPr>
            </w:pPr>
            <w:r>
              <w:rPr>
                <w:color w:val="231F20"/>
                <w:w w:val="75"/>
                <w:sz w:val="16"/>
              </w:rPr>
              <w:t>No. de Acuerdos</w:t>
            </w:r>
          </w:p>
        </w:tc>
        <w:tc>
          <w:tcPr>
            <w:tcW w:w="1409" w:type="dxa"/>
            <w:shd w:val="clear" w:color="auto" w:fill="B3B4B4"/>
          </w:tcPr>
          <w:p>
            <w:pPr>
              <w:pStyle w:val="TableParagraph"/>
              <w:spacing w:before="129"/>
              <w:ind w:left="64"/>
              <w:rPr>
                <w:sz w:val="16"/>
              </w:rPr>
            </w:pPr>
            <w:r>
              <w:rPr>
                <w:color w:val="231F20"/>
                <w:w w:val="75"/>
                <w:sz w:val="16"/>
              </w:rPr>
              <w:t>Por Unanimidad</w:t>
            </w:r>
          </w:p>
        </w:tc>
        <w:tc>
          <w:tcPr>
            <w:tcW w:w="1080" w:type="dxa"/>
            <w:shd w:val="clear" w:color="auto" w:fill="B3B4B4"/>
          </w:tcPr>
          <w:p>
            <w:pPr>
              <w:pStyle w:val="TableParagraph"/>
              <w:spacing w:before="129"/>
              <w:ind w:left="64"/>
              <w:rPr>
                <w:b/>
                <w:sz w:val="16"/>
              </w:rPr>
            </w:pPr>
            <w:r>
              <w:rPr>
                <w:b/>
                <w:color w:val="231F20"/>
                <w:w w:val="120"/>
                <w:sz w:val="16"/>
              </w:rPr>
              <w:t>%</w:t>
            </w:r>
          </w:p>
        </w:tc>
        <w:tc>
          <w:tcPr>
            <w:tcW w:w="1308" w:type="dxa"/>
            <w:shd w:val="clear" w:color="auto" w:fill="B3B4B4"/>
          </w:tcPr>
          <w:p>
            <w:pPr>
              <w:pStyle w:val="TableParagraph"/>
              <w:spacing w:before="129"/>
              <w:ind w:left="64"/>
              <w:rPr>
                <w:b/>
                <w:sz w:val="16"/>
              </w:rPr>
            </w:pPr>
            <w:r>
              <w:rPr>
                <w:b/>
                <w:color w:val="231F20"/>
                <w:w w:val="105"/>
                <w:sz w:val="16"/>
              </w:rPr>
              <w:t>Por Mayoría</w:t>
            </w:r>
          </w:p>
        </w:tc>
        <w:tc>
          <w:tcPr>
            <w:tcW w:w="1216" w:type="dxa"/>
            <w:shd w:val="clear" w:color="auto" w:fill="B3B4B4"/>
          </w:tcPr>
          <w:p>
            <w:pPr>
              <w:pStyle w:val="TableParagraph"/>
              <w:spacing w:before="129"/>
              <w:ind w:left="64"/>
              <w:rPr>
                <w:b/>
                <w:sz w:val="16"/>
              </w:rPr>
            </w:pPr>
            <w:r>
              <w:rPr>
                <w:b/>
                <w:color w:val="231F20"/>
                <w:w w:val="120"/>
                <w:sz w:val="16"/>
              </w:rPr>
              <w:t>%</w:t>
            </w:r>
          </w:p>
        </w:tc>
      </w:tr>
      <w:tr>
        <w:trPr>
          <w:trHeight w:val="454" w:hRule="exact"/>
        </w:trPr>
        <w:tc>
          <w:tcPr>
            <w:tcW w:w="1440" w:type="dxa"/>
          </w:tcPr>
          <w:p>
            <w:pPr>
              <w:pStyle w:val="TableParagraph"/>
              <w:spacing w:before="129"/>
              <w:ind w:left="65" w:right="24"/>
              <w:rPr>
                <w:sz w:val="16"/>
              </w:rPr>
            </w:pPr>
            <w:r>
              <w:rPr>
                <w:color w:val="231F20"/>
                <w:w w:val="90"/>
                <w:sz w:val="16"/>
              </w:rPr>
              <w:t>2006-2007</w:t>
            </w:r>
          </w:p>
        </w:tc>
        <w:tc>
          <w:tcPr>
            <w:tcW w:w="1472" w:type="dxa"/>
          </w:tcPr>
          <w:p>
            <w:pPr>
              <w:pStyle w:val="TableParagraph"/>
              <w:spacing w:before="129"/>
              <w:ind w:left="65"/>
              <w:rPr>
                <w:sz w:val="16"/>
              </w:rPr>
            </w:pPr>
            <w:r>
              <w:rPr>
                <w:color w:val="231F20"/>
                <w:w w:val="85"/>
                <w:sz w:val="16"/>
              </w:rPr>
              <w:t>74</w:t>
            </w:r>
          </w:p>
        </w:tc>
        <w:tc>
          <w:tcPr>
            <w:tcW w:w="1409" w:type="dxa"/>
          </w:tcPr>
          <w:p>
            <w:pPr>
              <w:pStyle w:val="TableParagraph"/>
              <w:spacing w:before="129"/>
              <w:ind w:left="64"/>
              <w:rPr>
                <w:sz w:val="16"/>
              </w:rPr>
            </w:pPr>
            <w:r>
              <w:rPr>
                <w:color w:val="231F20"/>
                <w:w w:val="85"/>
                <w:sz w:val="16"/>
              </w:rPr>
              <w:t>67</w:t>
            </w:r>
          </w:p>
        </w:tc>
        <w:tc>
          <w:tcPr>
            <w:tcW w:w="1080" w:type="dxa"/>
          </w:tcPr>
          <w:p>
            <w:pPr>
              <w:pStyle w:val="TableParagraph"/>
              <w:spacing w:before="129"/>
              <w:ind w:left="64"/>
              <w:rPr>
                <w:sz w:val="16"/>
              </w:rPr>
            </w:pPr>
            <w:r>
              <w:rPr>
                <w:color w:val="231F20"/>
                <w:w w:val="85"/>
                <w:sz w:val="16"/>
              </w:rPr>
              <w:t>90,54</w:t>
            </w:r>
          </w:p>
        </w:tc>
        <w:tc>
          <w:tcPr>
            <w:tcW w:w="1308" w:type="dxa"/>
          </w:tcPr>
          <w:p>
            <w:pPr>
              <w:pStyle w:val="TableParagraph"/>
              <w:spacing w:before="129"/>
              <w:ind w:left="64"/>
              <w:rPr>
                <w:sz w:val="16"/>
              </w:rPr>
            </w:pPr>
            <w:r>
              <w:rPr>
                <w:color w:val="231F20"/>
                <w:w w:val="75"/>
                <w:sz w:val="16"/>
              </w:rPr>
              <w:t>7</w:t>
            </w:r>
          </w:p>
        </w:tc>
        <w:tc>
          <w:tcPr>
            <w:tcW w:w="1216" w:type="dxa"/>
          </w:tcPr>
          <w:p>
            <w:pPr>
              <w:pStyle w:val="TableParagraph"/>
              <w:spacing w:before="129"/>
              <w:ind w:left="64"/>
              <w:rPr>
                <w:sz w:val="16"/>
              </w:rPr>
            </w:pPr>
            <w:r>
              <w:rPr>
                <w:color w:val="231F20"/>
                <w:w w:val="85"/>
                <w:sz w:val="16"/>
              </w:rPr>
              <w:t>9,46</w:t>
            </w:r>
          </w:p>
        </w:tc>
      </w:tr>
      <w:tr>
        <w:trPr>
          <w:trHeight w:val="454" w:hRule="exact"/>
        </w:trPr>
        <w:tc>
          <w:tcPr>
            <w:tcW w:w="1440" w:type="dxa"/>
          </w:tcPr>
          <w:p>
            <w:pPr>
              <w:pStyle w:val="TableParagraph"/>
              <w:spacing w:before="130"/>
              <w:ind w:left="65" w:right="24"/>
              <w:rPr>
                <w:sz w:val="16"/>
              </w:rPr>
            </w:pPr>
            <w:r>
              <w:rPr>
                <w:color w:val="231F20"/>
                <w:w w:val="90"/>
                <w:sz w:val="16"/>
              </w:rPr>
              <w:t>2007-2008</w:t>
            </w:r>
          </w:p>
        </w:tc>
        <w:tc>
          <w:tcPr>
            <w:tcW w:w="1472" w:type="dxa"/>
          </w:tcPr>
          <w:p>
            <w:pPr>
              <w:pStyle w:val="TableParagraph"/>
              <w:spacing w:before="130"/>
              <w:ind w:left="65"/>
              <w:rPr>
                <w:sz w:val="16"/>
              </w:rPr>
            </w:pPr>
            <w:r>
              <w:rPr>
                <w:color w:val="231F20"/>
                <w:w w:val="85"/>
                <w:sz w:val="16"/>
              </w:rPr>
              <w:t>64</w:t>
            </w:r>
          </w:p>
        </w:tc>
        <w:tc>
          <w:tcPr>
            <w:tcW w:w="1409" w:type="dxa"/>
          </w:tcPr>
          <w:p>
            <w:pPr>
              <w:pStyle w:val="TableParagraph"/>
              <w:spacing w:before="130"/>
              <w:ind w:left="64"/>
              <w:rPr>
                <w:sz w:val="16"/>
              </w:rPr>
            </w:pPr>
            <w:r>
              <w:rPr>
                <w:color w:val="231F20"/>
                <w:w w:val="85"/>
                <w:sz w:val="16"/>
              </w:rPr>
              <w:t>58</w:t>
            </w:r>
          </w:p>
        </w:tc>
        <w:tc>
          <w:tcPr>
            <w:tcW w:w="1080" w:type="dxa"/>
          </w:tcPr>
          <w:p>
            <w:pPr>
              <w:pStyle w:val="TableParagraph"/>
              <w:spacing w:before="130"/>
              <w:ind w:left="64"/>
              <w:rPr>
                <w:sz w:val="16"/>
              </w:rPr>
            </w:pPr>
            <w:r>
              <w:rPr>
                <w:color w:val="231F20"/>
                <w:w w:val="85"/>
                <w:sz w:val="16"/>
              </w:rPr>
              <w:t>90,63</w:t>
            </w:r>
          </w:p>
        </w:tc>
        <w:tc>
          <w:tcPr>
            <w:tcW w:w="1308" w:type="dxa"/>
          </w:tcPr>
          <w:p>
            <w:pPr>
              <w:pStyle w:val="TableParagraph"/>
              <w:spacing w:before="130"/>
              <w:ind w:left="64"/>
              <w:rPr>
                <w:sz w:val="16"/>
              </w:rPr>
            </w:pPr>
            <w:r>
              <w:rPr>
                <w:color w:val="231F20"/>
                <w:w w:val="75"/>
                <w:sz w:val="16"/>
              </w:rPr>
              <w:t>6</w:t>
            </w:r>
          </w:p>
        </w:tc>
        <w:tc>
          <w:tcPr>
            <w:tcW w:w="1216" w:type="dxa"/>
          </w:tcPr>
          <w:p>
            <w:pPr>
              <w:pStyle w:val="TableParagraph"/>
              <w:spacing w:before="130"/>
              <w:ind w:left="64"/>
              <w:rPr>
                <w:sz w:val="16"/>
              </w:rPr>
            </w:pPr>
            <w:r>
              <w:rPr>
                <w:color w:val="231F20"/>
                <w:w w:val="85"/>
                <w:sz w:val="16"/>
              </w:rPr>
              <w:t>9,38</w:t>
            </w:r>
          </w:p>
        </w:tc>
      </w:tr>
    </w:tbl>
    <w:p>
      <w:pPr>
        <w:pStyle w:val="BodyText"/>
        <w:rPr>
          <w:b/>
          <w:sz w:val="20"/>
        </w:rPr>
      </w:pPr>
    </w:p>
    <w:p>
      <w:pPr>
        <w:pStyle w:val="BodyText"/>
        <w:rPr>
          <w:b/>
          <w:sz w:val="21"/>
        </w:rPr>
      </w:pPr>
    </w:p>
    <w:p>
      <w:pPr>
        <w:spacing w:before="74"/>
        <w:ind w:left="1584" w:right="-2" w:firstLine="0"/>
        <w:jc w:val="left"/>
        <w:rPr>
          <w:rFonts w:ascii="Calibri" w:hAnsi="Calibri"/>
          <w:sz w:val="16"/>
        </w:rPr>
      </w:pPr>
      <w:r>
        <w:rPr>
          <w:rFonts w:ascii="Calibri" w:hAnsi="Calibri"/>
          <w:color w:val="231F20"/>
          <w:sz w:val="16"/>
        </w:rPr>
        <w:t>Fuente:</w:t>
      </w:r>
      <w:r>
        <w:rPr>
          <w:rFonts w:ascii="Calibri" w:hAnsi="Calibri"/>
          <w:color w:val="231F20"/>
          <w:spacing w:val="-13"/>
          <w:sz w:val="16"/>
        </w:rPr>
        <w:t> </w:t>
      </w:r>
      <w:r>
        <w:rPr>
          <w:rFonts w:ascii="Calibri" w:hAnsi="Calibri"/>
          <w:color w:val="231F20"/>
          <w:sz w:val="16"/>
        </w:rPr>
        <w:t>Elaboración</w:t>
      </w:r>
      <w:r>
        <w:rPr>
          <w:rFonts w:ascii="Calibri" w:hAnsi="Calibri"/>
          <w:color w:val="231F20"/>
          <w:spacing w:val="-13"/>
          <w:sz w:val="16"/>
        </w:rPr>
        <w:t> </w:t>
      </w:r>
      <w:r>
        <w:rPr>
          <w:rFonts w:ascii="Calibri" w:hAnsi="Calibri"/>
          <w:color w:val="231F20"/>
          <w:sz w:val="16"/>
        </w:rPr>
        <w:t>propia</w:t>
      </w:r>
      <w:r>
        <w:rPr>
          <w:rFonts w:ascii="Calibri" w:hAnsi="Calibri"/>
          <w:color w:val="231F20"/>
          <w:spacing w:val="-13"/>
          <w:sz w:val="16"/>
        </w:rPr>
        <w:t> </w:t>
      </w:r>
      <w:r>
        <w:rPr>
          <w:rFonts w:ascii="Calibri" w:hAnsi="Calibri"/>
          <w:color w:val="231F20"/>
          <w:sz w:val="16"/>
        </w:rPr>
        <w:t>con</w:t>
      </w:r>
      <w:r>
        <w:rPr>
          <w:rFonts w:ascii="Calibri" w:hAnsi="Calibri"/>
          <w:color w:val="231F20"/>
          <w:spacing w:val="-13"/>
          <w:sz w:val="16"/>
        </w:rPr>
        <w:t> </w:t>
      </w:r>
      <w:r>
        <w:rPr>
          <w:rFonts w:ascii="Calibri" w:hAnsi="Calibri"/>
          <w:color w:val="231F20"/>
          <w:sz w:val="16"/>
        </w:rPr>
        <w:t>datos</w:t>
      </w:r>
      <w:r>
        <w:rPr>
          <w:rFonts w:ascii="Calibri" w:hAnsi="Calibri"/>
          <w:color w:val="231F20"/>
          <w:spacing w:val="-13"/>
          <w:sz w:val="16"/>
        </w:rPr>
        <w:t> </w:t>
      </w:r>
      <w:r>
        <w:rPr>
          <w:rFonts w:ascii="Calibri" w:hAnsi="Calibri"/>
          <w:color w:val="231F20"/>
          <w:sz w:val="16"/>
        </w:rPr>
        <w:t>del</w:t>
      </w:r>
      <w:r>
        <w:rPr>
          <w:rFonts w:ascii="Calibri" w:hAnsi="Calibri"/>
          <w:color w:val="231F20"/>
          <w:spacing w:val="-13"/>
          <w:sz w:val="16"/>
        </w:rPr>
        <w:t> </w:t>
      </w:r>
      <w:r>
        <w:rPr>
          <w:rFonts w:ascii="Calibri" w:hAnsi="Calibri"/>
          <w:color w:val="231F20"/>
          <w:spacing w:val="-4"/>
          <w:sz w:val="16"/>
        </w:rPr>
        <w:t>1er.</w:t>
      </w:r>
      <w:r>
        <w:rPr>
          <w:rFonts w:ascii="Calibri" w:hAnsi="Calibri"/>
          <w:color w:val="231F20"/>
          <w:spacing w:val="-13"/>
          <w:sz w:val="16"/>
        </w:rPr>
        <w:t> </w:t>
      </w:r>
      <w:r>
        <w:rPr>
          <w:rFonts w:ascii="Calibri" w:hAnsi="Calibri"/>
          <w:color w:val="231F20"/>
          <w:sz w:val="16"/>
        </w:rPr>
        <w:t>y</w:t>
      </w:r>
      <w:r>
        <w:rPr>
          <w:rFonts w:ascii="Calibri" w:hAnsi="Calibri"/>
          <w:color w:val="231F20"/>
          <w:spacing w:val="-13"/>
          <w:sz w:val="16"/>
        </w:rPr>
        <w:t> </w:t>
      </w:r>
      <w:r>
        <w:rPr>
          <w:rFonts w:ascii="Calibri" w:hAnsi="Calibri"/>
          <w:color w:val="231F20"/>
          <w:sz w:val="16"/>
        </w:rPr>
        <w:t>2º</w:t>
      </w:r>
      <w:r>
        <w:rPr>
          <w:rFonts w:ascii="Calibri" w:hAnsi="Calibri"/>
          <w:color w:val="231F20"/>
          <w:spacing w:val="-13"/>
          <w:sz w:val="16"/>
        </w:rPr>
        <w:t> </w:t>
      </w:r>
      <w:r>
        <w:rPr>
          <w:rFonts w:ascii="Calibri" w:hAnsi="Calibri"/>
          <w:color w:val="231F20"/>
          <w:sz w:val="16"/>
        </w:rPr>
        <w:t>Informe</w:t>
      </w:r>
      <w:r>
        <w:rPr>
          <w:rFonts w:ascii="Calibri" w:hAnsi="Calibri"/>
          <w:color w:val="231F20"/>
          <w:spacing w:val="-13"/>
          <w:sz w:val="16"/>
        </w:rPr>
        <w:t> </w:t>
      </w:r>
      <w:r>
        <w:rPr>
          <w:rFonts w:ascii="Calibri" w:hAnsi="Calibri"/>
          <w:color w:val="231F20"/>
          <w:sz w:val="16"/>
        </w:rPr>
        <w:t>de</w:t>
      </w:r>
      <w:r>
        <w:rPr>
          <w:rFonts w:ascii="Calibri" w:hAnsi="Calibri"/>
          <w:color w:val="231F20"/>
          <w:spacing w:val="-13"/>
          <w:sz w:val="16"/>
        </w:rPr>
        <w:t> </w:t>
      </w:r>
      <w:r>
        <w:rPr>
          <w:rFonts w:ascii="Calibri" w:hAnsi="Calibri"/>
          <w:color w:val="231F20"/>
          <w:sz w:val="16"/>
        </w:rPr>
        <w:t>Gobierno</w:t>
      </w:r>
      <w:r>
        <w:rPr>
          <w:rFonts w:ascii="Calibri" w:hAnsi="Calibri"/>
          <w:color w:val="231F20"/>
          <w:spacing w:val="-13"/>
          <w:sz w:val="16"/>
        </w:rPr>
        <w:t> </w:t>
      </w:r>
      <w:r>
        <w:rPr>
          <w:rFonts w:ascii="Calibri" w:hAnsi="Calibri"/>
          <w:color w:val="231F20"/>
          <w:sz w:val="16"/>
        </w:rPr>
        <w:t>(Bautista</w:t>
      </w:r>
      <w:r>
        <w:rPr>
          <w:rFonts w:ascii="Calibri" w:hAnsi="Calibri"/>
          <w:color w:val="231F20"/>
          <w:spacing w:val="-13"/>
          <w:sz w:val="16"/>
        </w:rPr>
        <w:t> </w:t>
      </w:r>
      <w:r>
        <w:rPr>
          <w:rFonts w:ascii="Calibri" w:hAnsi="Calibri"/>
          <w:color w:val="231F20"/>
          <w:sz w:val="16"/>
        </w:rPr>
        <w:t>López,</w:t>
      </w:r>
      <w:r>
        <w:rPr>
          <w:rFonts w:ascii="Calibri" w:hAnsi="Calibri"/>
          <w:color w:val="231F20"/>
          <w:spacing w:val="-13"/>
          <w:sz w:val="16"/>
        </w:rPr>
        <w:t> </w:t>
      </w:r>
      <w:r>
        <w:rPr>
          <w:rFonts w:ascii="Calibri" w:hAnsi="Calibri"/>
          <w:color w:val="231F20"/>
          <w:sz w:val="16"/>
        </w:rPr>
        <w:t>2007</w:t>
      </w:r>
      <w:r>
        <w:rPr>
          <w:rFonts w:ascii="Calibri" w:hAnsi="Calibri"/>
          <w:color w:val="231F20"/>
          <w:spacing w:val="-13"/>
          <w:sz w:val="16"/>
        </w:rPr>
        <w:t> </w:t>
      </w:r>
      <w:r>
        <w:rPr>
          <w:rFonts w:ascii="Calibri" w:hAnsi="Calibri"/>
          <w:color w:val="231F20"/>
          <w:sz w:val="16"/>
        </w:rPr>
        <w:t>y</w:t>
      </w:r>
      <w:r>
        <w:rPr>
          <w:rFonts w:ascii="Calibri" w:hAnsi="Calibri"/>
          <w:color w:val="231F20"/>
          <w:spacing w:val="-13"/>
          <w:sz w:val="16"/>
        </w:rPr>
        <w:t> </w:t>
      </w:r>
      <w:r>
        <w:rPr>
          <w:rFonts w:ascii="Calibri" w:hAnsi="Calibri"/>
          <w:color w:val="231F20"/>
          <w:sz w:val="16"/>
        </w:rPr>
        <w:t>2008).</w:t>
      </w:r>
    </w:p>
    <w:p>
      <w:pPr>
        <w:pStyle w:val="BodyText"/>
        <w:rPr>
          <w:rFonts w:ascii="Calibri"/>
          <w:sz w:val="16"/>
        </w:rPr>
      </w:pPr>
    </w:p>
    <w:p>
      <w:pPr>
        <w:pStyle w:val="BodyText"/>
        <w:spacing w:before="9"/>
        <w:rPr>
          <w:rFonts w:ascii="Calibri"/>
          <w:sz w:val="12"/>
        </w:rPr>
      </w:pPr>
    </w:p>
    <w:p>
      <w:pPr>
        <w:pStyle w:val="BodyText"/>
        <w:spacing w:line="285" w:lineRule="auto"/>
        <w:ind w:left="110" w:right="108"/>
        <w:jc w:val="both"/>
      </w:pPr>
      <w:r>
        <w:rPr>
          <w:color w:val="231F20"/>
          <w:w w:val="105"/>
        </w:rPr>
        <w:t>Como se puede observar en el cuadro 6 la actuación de los dos últimos cabildos del municipio, han logrado conciliar intereses y llegar a acuerdos en su mayoría de forma unánime.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Otra</w:t>
      </w:r>
      <w:r>
        <w:rPr>
          <w:color w:val="231F20"/>
          <w:spacing w:val="-12"/>
          <w:w w:val="105"/>
        </w:rPr>
        <w:t> </w:t>
      </w:r>
      <w:r>
        <w:rPr>
          <w:color w:val="231F20"/>
          <w:w w:val="105"/>
        </w:rPr>
        <w:t>característica</w:t>
      </w:r>
      <w:r>
        <w:rPr>
          <w:color w:val="231F20"/>
          <w:spacing w:val="-12"/>
          <w:w w:val="105"/>
        </w:rPr>
        <w:t> </w:t>
      </w:r>
      <w:r>
        <w:rPr>
          <w:color w:val="231F20"/>
          <w:w w:val="105"/>
        </w:rPr>
        <w:t>importante</w:t>
      </w:r>
      <w:r>
        <w:rPr>
          <w:color w:val="231F20"/>
          <w:spacing w:val="-12"/>
          <w:w w:val="105"/>
        </w:rPr>
        <w:t> </w:t>
      </w:r>
      <w:r>
        <w:rPr>
          <w:color w:val="231F20"/>
          <w:w w:val="105"/>
        </w:rPr>
        <w:t>que</w:t>
      </w:r>
      <w:r>
        <w:rPr>
          <w:color w:val="231F20"/>
          <w:spacing w:val="-12"/>
          <w:w w:val="105"/>
        </w:rPr>
        <w:t> </w:t>
      </w:r>
      <w:r>
        <w:rPr>
          <w:color w:val="231F20"/>
          <w:w w:val="105"/>
        </w:rPr>
        <w:t>han</w:t>
      </w:r>
      <w:r>
        <w:rPr>
          <w:color w:val="231F20"/>
          <w:spacing w:val="-12"/>
          <w:w w:val="105"/>
        </w:rPr>
        <w:t> </w:t>
      </w:r>
      <w:r>
        <w:rPr>
          <w:color w:val="231F20"/>
          <w:w w:val="105"/>
        </w:rPr>
        <w:t>asumido</w:t>
      </w:r>
      <w:r>
        <w:rPr>
          <w:color w:val="231F20"/>
          <w:spacing w:val="-12"/>
          <w:w w:val="105"/>
        </w:rPr>
        <w:t> </w:t>
      </w:r>
      <w:r>
        <w:rPr>
          <w:color w:val="231F20"/>
          <w:w w:val="105"/>
        </w:rPr>
        <w:t>los</w:t>
      </w:r>
      <w:r>
        <w:rPr>
          <w:color w:val="231F20"/>
          <w:spacing w:val="-12"/>
          <w:w w:val="105"/>
        </w:rPr>
        <w:t> </w:t>
      </w:r>
      <w:r>
        <w:rPr>
          <w:color w:val="231F20"/>
          <w:w w:val="105"/>
        </w:rPr>
        <w:t>Cabildos</w:t>
      </w:r>
      <w:r>
        <w:rPr>
          <w:color w:val="231F20"/>
          <w:spacing w:val="-12"/>
          <w:w w:val="105"/>
        </w:rPr>
        <w:t> </w:t>
      </w:r>
      <w:r>
        <w:rPr>
          <w:color w:val="231F20"/>
          <w:w w:val="105"/>
        </w:rPr>
        <w:t>en</w:t>
      </w:r>
      <w:r>
        <w:rPr>
          <w:color w:val="231F20"/>
          <w:spacing w:val="-12"/>
          <w:w w:val="105"/>
        </w:rPr>
        <w:t> </w:t>
      </w:r>
      <w:r>
        <w:rPr>
          <w:color w:val="231F20"/>
          <w:w w:val="105"/>
        </w:rPr>
        <w:t>Nezahualcóyotl</w:t>
      </w:r>
      <w:r>
        <w:rPr>
          <w:color w:val="231F20"/>
          <w:spacing w:val="-12"/>
          <w:w w:val="105"/>
        </w:rPr>
        <w:t> </w:t>
      </w:r>
      <w:r>
        <w:rPr>
          <w:color w:val="231F20"/>
          <w:w w:val="105"/>
        </w:rPr>
        <w:t>duran- te</w:t>
      </w:r>
      <w:r>
        <w:rPr>
          <w:color w:val="231F20"/>
          <w:spacing w:val="-6"/>
          <w:w w:val="105"/>
        </w:rPr>
        <w:t> </w:t>
      </w:r>
      <w:r>
        <w:rPr>
          <w:color w:val="231F20"/>
          <w:w w:val="105"/>
        </w:rPr>
        <w:t>las</w:t>
      </w:r>
      <w:r>
        <w:rPr>
          <w:color w:val="231F20"/>
          <w:spacing w:val="-6"/>
          <w:w w:val="105"/>
        </w:rPr>
        <w:t> </w:t>
      </w:r>
      <w:r>
        <w:rPr>
          <w:color w:val="231F20"/>
          <w:w w:val="105"/>
        </w:rPr>
        <w:t>administraciones</w:t>
      </w:r>
      <w:r>
        <w:rPr>
          <w:color w:val="231F20"/>
          <w:spacing w:val="-6"/>
          <w:w w:val="105"/>
        </w:rPr>
        <w:t> </w:t>
      </w:r>
      <w:r>
        <w:rPr>
          <w:color w:val="231F20"/>
          <w:w w:val="105"/>
        </w:rPr>
        <w:t>perredistas</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carácter</w:t>
      </w:r>
      <w:r>
        <w:rPr>
          <w:color w:val="231F20"/>
          <w:spacing w:val="-6"/>
          <w:w w:val="105"/>
        </w:rPr>
        <w:t> </w:t>
      </w:r>
      <w:r>
        <w:rPr>
          <w:color w:val="231F20"/>
          <w:w w:val="105"/>
        </w:rPr>
        <w:t>de</w:t>
      </w:r>
      <w:r>
        <w:rPr>
          <w:color w:val="231F20"/>
          <w:spacing w:val="-6"/>
          <w:w w:val="105"/>
        </w:rPr>
        <w:t> </w:t>
      </w:r>
      <w:r>
        <w:rPr>
          <w:color w:val="231F20"/>
          <w:w w:val="105"/>
        </w:rPr>
        <w:t>gestor</w:t>
      </w:r>
      <w:r>
        <w:rPr>
          <w:color w:val="231F20"/>
          <w:spacing w:val="-6"/>
          <w:w w:val="105"/>
        </w:rPr>
        <w:t> </w:t>
      </w:r>
      <w:r>
        <w:rPr>
          <w:color w:val="231F20"/>
          <w:w w:val="105"/>
        </w:rPr>
        <w:t>que</w:t>
      </w:r>
      <w:r>
        <w:rPr>
          <w:color w:val="231F20"/>
          <w:spacing w:val="-6"/>
          <w:w w:val="105"/>
        </w:rPr>
        <w:t> </w:t>
      </w:r>
      <w:r>
        <w:rPr>
          <w:color w:val="231F20"/>
          <w:w w:val="105"/>
        </w:rPr>
        <w:t>opera</w:t>
      </w:r>
      <w:r>
        <w:rPr>
          <w:color w:val="231F20"/>
          <w:spacing w:val="-6"/>
          <w:w w:val="105"/>
        </w:rPr>
        <w:t> </w:t>
      </w:r>
      <w:r>
        <w:rPr>
          <w:color w:val="231F20"/>
          <w:w w:val="105"/>
        </w:rPr>
        <w:t>en</w:t>
      </w:r>
      <w:r>
        <w:rPr>
          <w:color w:val="231F20"/>
          <w:spacing w:val="-6"/>
          <w:w w:val="105"/>
        </w:rPr>
        <w:t> </w:t>
      </w:r>
      <w:r>
        <w:rPr>
          <w:color w:val="231F20"/>
          <w:w w:val="105"/>
        </w:rPr>
        <w:t>un</w:t>
      </w:r>
      <w:r>
        <w:rPr>
          <w:color w:val="231F20"/>
          <w:spacing w:val="-6"/>
          <w:w w:val="105"/>
        </w:rPr>
        <w:t> </w:t>
      </w:r>
      <w:r>
        <w:rPr>
          <w:color w:val="231F20"/>
          <w:w w:val="105"/>
        </w:rPr>
        <w:t>contexto</w:t>
      </w:r>
      <w:r>
        <w:rPr>
          <w:color w:val="231F20"/>
          <w:spacing w:val="-6"/>
          <w:w w:val="105"/>
        </w:rPr>
        <w:t> </w:t>
      </w:r>
      <w:r>
        <w:rPr>
          <w:color w:val="231F20"/>
          <w:w w:val="105"/>
        </w:rPr>
        <w:t>de labores</w:t>
      </w:r>
      <w:r>
        <w:rPr>
          <w:color w:val="231F20"/>
          <w:spacing w:val="-20"/>
          <w:w w:val="105"/>
        </w:rPr>
        <w:t> </w:t>
      </w:r>
      <w:r>
        <w:rPr>
          <w:color w:val="231F20"/>
          <w:w w:val="105"/>
        </w:rPr>
        <w:t>partidistas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lo</w:t>
      </w:r>
      <w:r>
        <w:rPr>
          <w:color w:val="231F20"/>
          <w:spacing w:val="-20"/>
          <w:w w:val="105"/>
        </w:rPr>
        <w:t> </w:t>
      </w:r>
      <w:r>
        <w:rPr>
          <w:color w:val="231F20"/>
          <w:w w:val="105"/>
        </w:rPr>
        <w:t>cual</w:t>
      </w:r>
      <w:r>
        <w:rPr>
          <w:color w:val="231F20"/>
          <w:spacing w:val="-20"/>
          <w:w w:val="105"/>
        </w:rPr>
        <w:t> </w:t>
      </w:r>
      <w:r>
        <w:rPr>
          <w:color w:val="231F20"/>
          <w:w w:val="105"/>
        </w:rPr>
        <w:t>es</w:t>
      </w:r>
      <w:r>
        <w:rPr>
          <w:color w:val="231F20"/>
          <w:spacing w:val="-20"/>
          <w:w w:val="105"/>
        </w:rPr>
        <w:t> </w:t>
      </w:r>
      <w:r>
        <w:rPr>
          <w:color w:val="231F20"/>
          <w:w w:val="105"/>
        </w:rPr>
        <w:t>comprensible</w:t>
      </w:r>
      <w:r>
        <w:rPr>
          <w:color w:val="231F20"/>
          <w:spacing w:val="-20"/>
          <w:w w:val="105"/>
        </w:rPr>
        <w:t> </w:t>
      </w:r>
      <w:r>
        <w:rPr>
          <w:color w:val="231F20"/>
          <w:w w:val="105"/>
        </w:rPr>
        <w:t>considerando</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líderes de</w:t>
      </w:r>
      <w:r>
        <w:rPr>
          <w:color w:val="231F20"/>
          <w:spacing w:val="-16"/>
          <w:w w:val="105"/>
        </w:rPr>
        <w:t> </w:t>
      </w:r>
      <w:r>
        <w:rPr>
          <w:color w:val="231F20"/>
          <w:w w:val="105"/>
        </w:rPr>
        <w:t>las</w:t>
      </w:r>
      <w:r>
        <w:rPr>
          <w:color w:val="231F20"/>
          <w:spacing w:val="-16"/>
          <w:w w:val="105"/>
        </w:rPr>
        <w:t> </w:t>
      </w:r>
      <w:r>
        <w:rPr>
          <w:color w:val="231F20"/>
          <w:w w:val="105"/>
        </w:rPr>
        <w:t>organizaciones</w:t>
      </w:r>
      <w:r>
        <w:rPr>
          <w:color w:val="231F20"/>
          <w:spacing w:val="-16"/>
          <w:w w:val="105"/>
        </w:rPr>
        <w:t> </w:t>
      </w:r>
      <w:r>
        <w:rPr>
          <w:color w:val="231F20"/>
          <w:w w:val="105"/>
        </w:rPr>
        <w:t>políticas</w:t>
      </w:r>
      <w:r>
        <w:rPr>
          <w:color w:val="231F20"/>
          <w:spacing w:val="-16"/>
          <w:w w:val="105"/>
        </w:rPr>
        <w:t> </w:t>
      </w:r>
      <w:r>
        <w:rPr>
          <w:color w:val="231F20"/>
          <w:w w:val="105"/>
        </w:rPr>
        <w:t>mantienen</w:t>
      </w:r>
      <w:r>
        <w:rPr>
          <w:color w:val="231F20"/>
          <w:spacing w:val="-16"/>
          <w:w w:val="105"/>
        </w:rPr>
        <w:t> </w:t>
      </w:r>
      <w:r>
        <w:rPr>
          <w:color w:val="231F20"/>
          <w:w w:val="105"/>
        </w:rPr>
        <w:t>relaciones</w:t>
      </w:r>
      <w:r>
        <w:rPr>
          <w:color w:val="231F20"/>
          <w:spacing w:val="-16"/>
          <w:w w:val="105"/>
        </w:rPr>
        <w:t> </w:t>
      </w:r>
      <w:r>
        <w:rPr>
          <w:color w:val="231F20"/>
          <w:w w:val="105"/>
        </w:rPr>
        <w:t>clientelares</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ciudadanía,</w:t>
      </w:r>
      <w:r>
        <w:rPr>
          <w:color w:val="231F20"/>
          <w:spacing w:val="-16"/>
          <w:w w:val="105"/>
        </w:rPr>
        <w:t> </w:t>
      </w:r>
      <w:r>
        <w:rPr>
          <w:color w:val="231F20"/>
          <w:spacing w:val="-3"/>
          <w:w w:val="105"/>
        </w:rPr>
        <w:t>con </w:t>
      </w:r>
      <w:r>
        <w:rPr>
          <w:color w:val="231F20"/>
          <w:w w:val="105"/>
        </w:rPr>
        <w:t>el</w:t>
      </w:r>
      <w:r>
        <w:rPr>
          <w:color w:val="231F20"/>
          <w:spacing w:val="-16"/>
          <w:w w:val="105"/>
        </w:rPr>
        <w:t> </w:t>
      </w:r>
      <w:r>
        <w:rPr>
          <w:color w:val="231F20"/>
          <w:w w:val="105"/>
        </w:rPr>
        <w:t>objetivo</w:t>
      </w:r>
      <w:r>
        <w:rPr>
          <w:color w:val="231F20"/>
          <w:spacing w:val="-16"/>
          <w:w w:val="105"/>
        </w:rPr>
        <w:t> </w:t>
      </w:r>
      <w:r>
        <w:rPr>
          <w:color w:val="231F20"/>
          <w:w w:val="105"/>
        </w:rPr>
        <w:t>de</w:t>
      </w:r>
      <w:r>
        <w:rPr>
          <w:color w:val="231F20"/>
          <w:spacing w:val="-16"/>
          <w:w w:val="105"/>
        </w:rPr>
        <w:t> </w:t>
      </w:r>
      <w:r>
        <w:rPr>
          <w:color w:val="231F20"/>
          <w:w w:val="105"/>
        </w:rPr>
        <w:t>incrementar</w:t>
      </w:r>
      <w:r>
        <w:rPr>
          <w:color w:val="231F20"/>
          <w:spacing w:val="-16"/>
          <w:w w:val="105"/>
        </w:rPr>
        <w:t> </w:t>
      </w:r>
      <w:r>
        <w:rPr>
          <w:color w:val="231F20"/>
          <w:w w:val="105"/>
        </w:rPr>
        <w:t>su</w:t>
      </w:r>
      <w:r>
        <w:rPr>
          <w:color w:val="231F20"/>
          <w:spacing w:val="-16"/>
          <w:w w:val="105"/>
        </w:rPr>
        <w:t> </w:t>
      </w:r>
      <w:r>
        <w:rPr>
          <w:color w:val="231F20"/>
          <w:w w:val="105"/>
        </w:rPr>
        <w:t>capital</w:t>
      </w:r>
      <w:r>
        <w:rPr>
          <w:color w:val="231F20"/>
          <w:spacing w:val="-16"/>
          <w:w w:val="105"/>
        </w:rPr>
        <w:t> </w:t>
      </w:r>
      <w:r>
        <w:rPr>
          <w:color w:val="231F20"/>
          <w:w w:val="105"/>
        </w:rPr>
        <w:t>político</w:t>
      </w:r>
      <w:r>
        <w:rPr>
          <w:color w:val="231F20"/>
          <w:spacing w:val="-16"/>
          <w:w w:val="105"/>
        </w:rPr>
        <w:t> </w:t>
      </w:r>
      <w:r>
        <w:rPr>
          <w:color w:val="231F20"/>
          <w:w w:val="105"/>
        </w:rPr>
        <w:t>que</w:t>
      </w:r>
      <w:r>
        <w:rPr>
          <w:color w:val="231F20"/>
          <w:spacing w:val="-16"/>
          <w:w w:val="105"/>
        </w:rPr>
        <w:t> </w:t>
      </w:r>
      <w:r>
        <w:rPr>
          <w:color w:val="231F20"/>
          <w:w w:val="105"/>
        </w:rPr>
        <w:t>les</w:t>
      </w:r>
      <w:r>
        <w:rPr>
          <w:color w:val="231F20"/>
          <w:spacing w:val="-16"/>
          <w:w w:val="105"/>
        </w:rPr>
        <w:t> </w:t>
      </w:r>
      <w:r>
        <w:rPr>
          <w:color w:val="231F20"/>
          <w:w w:val="105"/>
        </w:rPr>
        <w:t>permita</w:t>
      </w:r>
      <w:r>
        <w:rPr>
          <w:color w:val="231F20"/>
          <w:spacing w:val="-16"/>
          <w:w w:val="105"/>
        </w:rPr>
        <w:t> </w:t>
      </w:r>
      <w:r>
        <w:rPr>
          <w:color w:val="231F20"/>
          <w:w w:val="105"/>
        </w:rPr>
        <w:t>hacer</w:t>
      </w:r>
      <w:r>
        <w:rPr>
          <w:color w:val="231F20"/>
          <w:spacing w:val="-16"/>
          <w:w w:val="105"/>
        </w:rPr>
        <w:t> </w:t>
      </w:r>
      <w:r>
        <w:rPr>
          <w:color w:val="231F20"/>
          <w:w w:val="105"/>
        </w:rPr>
        <w:t>frente</w:t>
      </w:r>
      <w:r>
        <w:rPr>
          <w:color w:val="231F20"/>
          <w:spacing w:val="-16"/>
          <w:w w:val="105"/>
        </w:rPr>
        <w:t> </w:t>
      </w:r>
      <w:r>
        <w:rPr>
          <w:color w:val="231F20"/>
          <w:spacing w:val="2"/>
          <w:w w:val="105"/>
        </w:rPr>
        <w:t>al</w:t>
      </w:r>
      <w:r>
        <w:rPr>
          <w:color w:val="231F20"/>
          <w:spacing w:val="-16"/>
          <w:w w:val="105"/>
        </w:rPr>
        <w:t> </w:t>
      </w:r>
      <w:r>
        <w:rPr>
          <w:color w:val="231F20"/>
          <w:w w:val="105"/>
        </w:rPr>
        <w:t>poder</w:t>
      </w:r>
      <w:r>
        <w:rPr>
          <w:color w:val="231F20"/>
          <w:spacing w:val="-16"/>
          <w:w w:val="105"/>
        </w:rPr>
        <w:t> </w:t>
      </w:r>
      <w:r>
        <w:rPr>
          <w:color w:val="231F20"/>
          <w:w w:val="105"/>
        </w:rPr>
        <w:t>de</w:t>
      </w:r>
      <w:r>
        <w:rPr>
          <w:color w:val="231F20"/>
          <w:spacing w:val="-16"/>
          <w:w w:val="105"/>
        </w:rPr>
        <w:t> </w:t>
      </w:r>
      <w:r>
        <w:rPr>
          <w:color w:val="231F20"/>
          <w:w w:val="105"/>
        </w:rPr>
        <w:t>las otras</w:t>
      </w:r>
      <w:r>
        <w:rPr>
          <w:color w:val="231F20"/>
          <w:spacing w:val="-11"/>
          <w:w w:val="105"/>
        </w:rPr>
        <w:t> </w:t>
      </w:r>
      <w:r>
        <w:rPr>
          <w:color w:val="231F20"/>
          <w:w w:val="105"/>
        </w:rPr>
        <w:t>organizaciones,</w:t>
      </w:r>
      <w:r>
        <w:rPr>
          <w:color w:val="231F20"/>
          <w:spacing w:val="-11"/>
          <w:w w:val="105"/>
        </w:rPr>
        <w:t> </w:t>
      </w:r>
      <w:r>
        <w:rPr>
          <w:color w:val="231F20"/>
          <w:w w:val="105"/>
        </w:rPr>
        <w:t>y</w:t>
      </w:r>
      <w:r>
        <w:rPr>
          <w:color w:val="231F20"/>
          <w:spacing w:val="-11"/>
          <w:w w:val="105"/>
        </w:rPr>
        <w:t> </w:t>
      </w:r>
      <w:r>
        <w:rPr>
          <w:color w:val="231F20"/>
          <w:w w:val="105"/>
        </w:rPr>
        <w:t>mantener</w:t>
      </w:r>
      <w:r>
        <w:rPr>
          <w:color w:val="231F20"/>
          <w:spacing w:val="-11"/>
          <w:w w:val="105"/>
        </w:rPr>
        <w:t> </w:t>
      </w:r>
      <w:r>
        <w:rPr>
          <w:color w:val="231F20"/>
          <w:w w:val="105"/>
        </w:rPr>
        <w:t>e</w:t>
      </w:r>
      <w:r>
        <w:rPr>
          <w:color w:val="231F20"/>
          <w:spacing w:val="-11"/>
          <w:w w:val="105"/>
        </w:rPr>
        <w:t> </w:t>
      </w:r>
      <w:r>
        <w:rPr>
          <w:color w:val="231F20"/>
          <w:w w:val="105"/>
        </w:rPr>
        <w:t>incrementar</w:t>
      </w:r>
      <w:r>
        <w:rPr>
          <w:color w:val="231F20"/>
          <w:spacing w:val="-11"/>
          <w:w w:val="105"/>
        </w:rPr>
        <w:t> </w:t>
      </w:r>
      <w:r>
        <w:rPr>
          <w:color w:val="231F20"/>
          <w:w w:val="105"/>
        </w:rPr>
        <w:t>sus</w:t>
      </w:r>
      <w:r>
        <w:rPr>
          <w:color w:val="231F20"/>
          <w:spacing w:val="-11"/>
          <w:w w:val="105"/>
        </w:rPr>
        <w:t> </w:t>
      </w:r>
      <w:r>
        <w:rPr>
          <w:color w:val="231F20"/>
          <w:w w:val="105"/>
        </w:rPr>
        <w:t>posiciones</w:t>
      </w:r>
      <w:r>
        <w:rPr>
          <w:color w:val="231F20"/>
          <w:spacing w:val="-11"/>
          <w:w w:val="105"/>
        </w:rPr>
        <w:t> </w:t>
      </w:r>
      <w:r>
        <w:rPr>
          <w:color w:val="231F20"/>
          <w:w w:val="105"/>
        </w:rPr>
        <w:t>de</w:t>
      </w:r>
      <w:r>
        <w:rPr>
          <w:color w:val="231F20"/>
          <w:spacing w:val="-11"/>
          <w:w w:val="105"/>
        </w:rPr>
        <w:t> </w:t>
      </w:r>
      <w:r>
        <w:rPr>
          <w:color w:val="231F20"/>
          <w:w w:val="105"/>
        </w:rPr>
        <w:t>poder</w:t>
      </w:r>
      <w:r>
        <w:rPr>
          <w:color w:val="231F20"/>
          <w:spacing w:val="-11"/>
          <w:w w:val="105"/>
        </w:rPr>
        <w:t> </w:t>
      </w:r>
      <w:r>
        <w:rPr>
          <w:color w:val="231F20"/>
          <w:w w:val="105"/>
        </w:rPr>
        <w:t>político.</w:t>
      </w:r>
    </w:p>
    <w:p>
      <w:pPr>
        <w:pStyle w:val="BodyText"/>
        <w:spacing w:before="1"/>
        <w:rPr>
          <w:sz w:val="26"/>
        </w:rPr>
      </w:pPr>
    </w:p>
    <w:p>
      <w:pPr>
        <w:pStyle w:val="BodyText"/>
        <w:spacing w:line="285" w:lineRule="auto"/>
        <w:ind w:left="110" w:right="107"/>
        <w:jc w:val="both"/>
      </w:pPr>
      <w:r>
        <w:rPr>
          <w:color w:val="231F20"/>
          <w:spacing w:val="-3"/>
          <w:w w:val="105"/>
        </w:rPr>
        <w:t>Por </w:t>
      </w:r>
      <w:r>
        <w:rPr>
          <w:color w:val="231F20"/>
          <w:w w:val="105"/>
        </w:rPr>
        <w:t>otro lado, las administraciones perredistas se han caracterizado por llevar a cabo una intensa labor de comunicación social, principalmente a través de boletines, por medio de los cuales se encargan de </w:t>
      </w:r>
      <w:r>
        <w:rPr>
          <w:color w:val="231F20"/>
          <w:spacing w:val="2"/>
          <w:w w:val="105"/>
        </w:rPr>
        <w:t>difundir </w:t>
      </w:r>
      <w:r>
        <w:rPr>
          <w:color w:val="231F20"/>
          <w:w w:val="105"/>
        </w:rPr>
        <w:t>las acciones y logros del gobierno muni- cipal. Y aun cuando ha existido una mayor comunicación abierta con la ciudadanía en cuanto</w:t>
      </w:r>
      <w:r>
        <w:rPr>
          <w:color w:val="231F20"/>
          <w:spacing w:val="-18"/>
          <w:w w:val="105"/>
        </w:rPr>
        <w:t> </w:t>
      </w:r>
      <w:r>
        <w:rPr>
          <w:color w:val="231F20"/>
          <w:spacing w:val="2"/>
          <w:w w:val="105"/>
        </w:rPr>
        <w:t>al</w:t>
      </w:r>
      <w:r>
        <w:rPr>
          <w:color w:val="231F20"/>
          <w:spacing w:val="-18"/>
          <w:w w:val="105"/>
        </w:rPr>
        <w:t> </w:t>
      </w:r>
      <w:r>
        <w:rPr>
          <w:color w:val="231F20"/>
          <w:w w:val="105"/>
        </w:rPr>
        <w:t>acceso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información,</w:t>
      </w:r>
      <w:r>
        <w:rPr>
          <w:color w:val="231F20"/>
          <w:spacing w:val="-18"/>
          <w:w w:val="105"/>
        </w:rPr>
        <w:t> </w:t>
      </w:r>
      <w:r>
        <w:rPr>
          <w:color w:val="231F20"/>
          <w:w w:val="105"/>
        </w:rPr>
        <w:t>sigue</w:t>
      </w:r>
      <w:r>
        <w:rPr>
          <w:color w:val="231F20"/>
          <w:spacing w:val="-18"/>
          <w:w w:val="105"/>
        </w:rPr>
        <w:t> </w:t>
      </w:r>
      <w:r>
        <w:rPr>
          <w:color w:val="231F20"/>
          <w:w w:val="105"/>
        </w:rPr>
        <w:t>presentes</w:t>
      </w:r>
      <w:r>
        <w:rPr>
          <w:color w:val="231F20"/>
          <w:spacing w:val="-18"/>
          <w:w w:val="105"/>
        </w:rPr>
        <w:t> </w:t>
      </w:r>
      <w:r>
        <w:rPr>
          <w:color w:val="231F20"/>
          <w:w w:val="105"/>
        </w:rPr>
        <w:t>muchas</w:t>
      </w:r>
      <w:r>
        <w:rPr>
          <w:color w:val="231F20"/>
          <w:spacing w:val="-18"/>
          <w:w w:val="105"/>
        </w:rPr>
        <w:t> </w:t>
      </w:r>
      <w:r>
        <w:rPr>
          <w:color w:val="231F20"/>
          <w:w w:val="105"/>
        </w:rPr>
        <w:t>resistencias</w:t>
      </w:r>
      <w:r>
        <w:rPr>
          <w:color w:val="231F20"/>
          <w:spacing w:val="-18"/>
          <w:w w:val="105"/>
        </w:rPr>
        <w:t> </w:t>
      </w:r>
      <w:r>
        <w:rPr>
          <w:color w:val="231F20"/>
          <w:w w:val="105"/>
        </w:rPr>
        <w:t>de</w:t>
      </w:r>
      <w:r>
        <w:rPr>
          <w:color w:val="231F20"/>
          <w:spacing w:val="-18"/>
          <w:w w:val="105"/>
        </w:rPr>
        <w:t> </w:t>
      </w:r>
      <w:r>
        <w:rPr>
          <w:color w:val="231F20"/>
          <w:w w:val="105"/>
        </w:rPr>
        <w:t>varios</w:t>
      </w:r>
      <w:r>
        <w:rPr>
          <w:color w:val="231F20"/>
          <w:spacing w:val="-18"/>
          <w:w w:val="105"/>
        </w:rPr>
        <w:t> </w:t>
      </w:r>
      <w:r>
        <w:rPr>
          <w:color w:val="231F20"/>
          <w:w w:val="105"/>
        </w:rPr>
        <w:t>funcio- narios,</w:t>
      </w:r>
      <w:r>
        <w:rPr>
          <w:color w:val="231F20"/>
          <w:spacing w:val="-10"/>
          <w:w w:val="105"/>
        </w:rPr>
        <w:t> </w:t>
      </w:r>
      <w:r>
        <w:rPr>
          <w:color w:val="231F20"/>
          <w:w w:val="105"/>
        </w:rPr>
        <w:t>ya</w:t>
      </w:r>
      <w:r>
        <w:rPr>
          <w:color w:val="231F20"/>
          <w:spacing w:val="-10"/>
          <w:w w:val="105"/>
        </w:rPr>
        <w:t> </w:t>
      </w:r>
      <w:r>
        <w:rPr>
          <w:color w:val="231F20"/>
          <w:w w:val="105"/>
        </w:rPr>
        <w:t>que</w:t>
      </w:r>
      <w:r>
        <w:rPr>
          <w:color w:val="231F20"/>
          <w:spacing w:val="-10"/>
          <w:w w:val="105"/>
        </w:rPr>
        <w:t> </w:t>
      </w:r>
      <w:r>
        <w:rPr>
          <w:color w:val="231F20"/>
          <w:w w:val="105"/>
        </w:rPr>
        <w:t>a</w:t>
      </w:r>
      <w:r>
        <w:rPr>
          <w:color w:val="231F20"/>
          <w:spacing w:val="-10"/>
          <w:w w:val="105"/>
        </w:rPr>
        <w:t> </w:t>
      </w:r>
      <w:r>
        <w:rPr>
          <w:color w:val="231F20"/>
          <w:w w:val="105"/>
        </w:rPr>
        <w:t>pesar</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cuenta</w:t>
      </w:r>
      <w:r>
        <w:rPr>
          <w:color w:val="231F20"/>
          <w:spacing w:val="-10"/>
          <w:w w:val="105"/>
        </w:rPr>
        <w:t> </w:t>
      </w:r>
      <w:r>
        <w:rPr>
          <w:color w:val="231F20"/>
          <w:w w:val="105"/>
        </w:rPr>
        <w:t>con</w:t>
      </w:r>
      <w:r>
        <w:rPr>
          <w:color w:val="231F20"/>
          <w:spacing w:val="-10"/>
          <w:w w:val="105"/>
        </w:rPr>
        <w:t> </w:t>
      </w:r>
      <w:r>
        <w:rPr>
          <w:color w:val="231F20"/>
          <w:w w:val="105"/>
        </w:rPr>
        <w:t>una</w:t>
      </w:r>
      <w:r>
        <w:rPr>
          <w:color w:val="231F20"/>
          <w:spacing w:val="-10"/>
          <w:w w:val="105"/>
        </w:rPr>
        <w:t> </w:t>
      </w:r>
      <w:r>
        <w:rPr>
          <w:color w:val="231F20"/>
          <w:w w:val="105"/>
        </w:rPr>
        <w:t>oficina</w:t>
      </w:r>
      <w:r>
        <w:rPr>
          <w:color w:val="231F20"/>
          <w:spacing w:val="-10"/>
          <w:w w:val="105"/>
        </w:rPr>
        <w:t> </w:t>
      </w:r>
      <w:r>
        <w:rPr>
          <w:color w:val="231F20"/>
          <w:w w:val="105"/>
        </w:rPr>
        <w:t>de</w:t>
      </w:r>
      <w:r>
        <w:rPr>
          <w:color w:val="231F20"/>
          <w:spacing w:val="-10"/>
          <w:w w:val="105"/>
        </w:rPr>
        <w:t> </w:t>
      </w:r>
      <w:r>
        <w:rPr>
          <w:color w:val="231F20"/>
          <w:w w:val="105"/>
        </w:rPr>
        <w:t>información</w:t>
      </w:r>
      <w:r>
        <w:rPr>
          <w:color w:val="231F20"/>
          <w:spacing w:val="-10"/>
          <w:w w:val="105"/>
        </w:rPr>
        <w:t> </w:t>
      </w:r>
      <w:r>
        <w:rPr>
          <w:color w:val="231F20"/>
          <w:w w:val="105"/>
        </w:rPr>
        <w:t>y</w:t>
      </w:r>
      <w:r>
        <w:rPr>
          <w:color w:val="231F20"/>
          <w:spacing w:val="-10"/>
          <w:w w:val="105"/>
        </w:rPr>
        <w:t> </w:t>
      </w:r>
      <w:r>
        <w:rPr>
          <w:color w:val="231F20"/>
          <w:w w:val="105"/>
        </w:rPr>
        <w:t>transparencia, el procedimiento para proporcionar la información es irregular y lento, debido a que existe discrecionalidad de los titulares de las diferentes direcciones municipales para brindar información de manera oportuna. Además hay cierta aversión por parte de los funcionarios perredistas para brindar entrevistas en relación con el funcionamiento de la administración, </w:t>
      </w:r>
      <w:r>
        <w:rPr>
          <w:color w:val="231F20"/>
          <w:spacing w:val="-3"/>
          <w:w w:val="105"/>
        </w:rPr>
        <w:t>ejemplo </w:t>
      </w:r>
      <w:r>
        <w:rPr>
          <w:color w:val="231F20"/>
          <w:w w:val="105"/>
        </w:rPr>
        <w:t>de ello fue que para la presente investigación se solicitaron algunas</w:t>
      </w:r>
      <w:r>
        <w:rPr>
          <w:color w:val="231F20"/>
          <w:spacing w:val="-10"/>
          <w:w w:val="105"/>
        </w:rPr>
        <w:t> </w:t>
      </w:r>
      <w:r>
        <w:rPr>
          <w:color w:val="231F20"/>
          <w:w w:val="105"/>
        </w:rPr>
        <w:t>entrevistas</w:t>
      </w:r>
      <w:r>
        <w:rPr>
          <w:color w:val="231F20"/>
          <w:spacing w:val="-10"/>
          <w:w w:val="105"/>
        </w:rPr>
        <w:t> </w:t>
      </w:r>
      <w:r>
        <w:rPr>
          <w:color w:val="231F20"/>
          <w:w w:val="105"/>
        </w:rPr>
        <w:t>con</w:t>
      </w:r>
      <w:r>
        <w:rPr>
          <w:color w:val="231F20"/>
          <w:spacing w:val="-10"/>
          <w:w w:val="105"/>
        </w:rPr>
        <w:t> </w:t>
      </w:r>
      <w:r>
        <w:rPr>
          <w:color w:val="231F20"/>
          <w:w w:val="105"/>
        </w:rPr>
        <w:t>altos</w:t>
      </w:r>
      <w:r>
        <w:rPr>
          <w:color w:val="231F20"/>
          <w:spacing w:val="-10"/>
          <w:w w:val="105"/>
        </w:rPr>
        <w:t> </w:t>
      </w:r>
      <w:r>
        <w:rPr>
          <w:color w:val="231F20"/>
          <w:w w:val="105"/>
        </w:rPr>
        <w:t>directivos</w:t>
      </w:r>
      <w:r>
        <w:rPr>
          <w:color w:val="231F20"/>
          <w:spacing w:val="-10"/>
          <w:w w:val="105"/>
        </w:rPr>
        <w:t> </w:t>
      </w:r>
      <w:r>
        <w:rPr>
          <w:color w:val="231F20"/>
          <w:w w:val="105"/>
        </w:rPr>
        <w:t>y</w:t>
      </w:r>
      <w:r>
        <w:rPr>
          <w:color w:val="231F20"/>
          <w:spacing w:val="-10"/>
          <w:w w:val="105"/>
        </w:rPr>
        <w:t> </w:t>
      </w:r>
      <w:r>
        <w:rPr>
          <w:color w:val="231F20"/>
          <w:w w:val="105"/>
        </w:rPr>
        <w:t>se</w:t>
      </w:r>
      <w:r>
        <w:rPr>
          <w:color w:val="231F20"/>
          <w:spacing w:val="-10"/>
          <w:w w:val="105"/>
        </w:rPr>
        <w:t> </w:t>
      </w:r>
      <w:r>
        <w:rPr>
          <w:color w:val="231F20"/>
          <w:w w:val="105"/>
        </w:rPr>
        <w:t>negaron</w:t>
      </w:r>
      <w:r>
        <w:rPr>
          <w:color w:val="231F20"/>
          <w:spacing w:val="-10"/>
          <w:w w:val="105"/>
        </w:rPr>
        <w:t> </w:t>
      </w:r>
      <w:r>
        <w:rPr>
          <w:color w:val="231F20"/>
          <w:w w:val="105"/>
        </w:rPr>
        <w:t>o</w:t>
      </w:r>
      <w:r>
        <w:rPr>
          <w:color w:val="231F20"/>
          <w:spacing w:val="-10"/>
          <w:w w:val="105"/>
        </w:rPr>
        <w:t> </w:t>
      </w:r>
      <w:r>
        <w:rPr>
          <w:color w:val="231F20"/>
          <w:w w:val="105"/>
        </w:rPr>
        <w:t>simplemente</w:t>
      </w:r>
      <w:r>
        <w:rPr>
          <w:color w:val="231F20"/>
          <w:spacing w:val="-10"/>
          <w:w w:val="105"/>
        </w:rPr>
        <w:t> </w:t>
      </w:r>
      <w:r>
        <w:rPr>
          <w:color w:val="231F20"/>
          <w:w w:val="105"/>
        </w:rPr>
        <w:t>nos</w:t>
      </w:r>
      <w:r>
        <w:rPr>
          <w:color w:val="231F20"/>
          <w:spacing w:val="-10"/>
          <w:w w:val="105"/>
        </w:rPr>
        <w:t> </w:t>
      </w:r>
      <w:r>
        <w:rPr>
          <w:color w:val="231F20"/>
          <w:w w:val="105"/>
        </w:rPr>
        <w:t>remitieron</w:t>
      </w:r>
      <w:r>
        <w:rPr>
          <w:color w:val="231F20"/>
          <w:spacing w:val="-10"/>
          <w:w w:val="105"/>
        </w:rPr>
        <w:t> </w:t>
      </w:r>
      <w:r>
        <w:rPr>
          <w:color w:val="231F20"/>
          <w:w w:val="105"/>
        </w:rPr>
        <w:t>a</w:t>
      </w:r>
      <w:r>
        <w:rPr>
          <w:color w:val="231F20"/>
          <w:spacing w:val="-10"/>
          <w:w w:val="105"/>
        </w:rPr>
        <w:t> </w:t>
      </w:r>
      <w:r>
        <w:rPr>
          <w:color w:val="231F20"/>
          <w:w w:val="105"/>
        </w:rPr>
        <w:t>la dirección</w:t>
      </w:r>
      <w:r>
        <w:rPr>
          <w:color w:val="231F20"/>
          <w:spacing w:val="-11"/>
          <w:w w:val="105"/>
        </w:rPr>
        <w:t> </w:t>
      </w:r>
      <w:r>
        <w:rPr>
          <w:color w:val="231F20"/>
          <w:w w:val="105"/>
        </w:rPr>
        <w:t>de</w:t>
      </w:r>
      <w:r>
        <w:rPr>
          <w:color w:val="231F20"/>
          <w:spacing w:val="-11"/>
          <w:w w:val="105"/>
        </w:rPr>
        <w:t> </w:t>
      </w:r>
      <w:r>
        <w:rPr>
          <w:color w:val="231F20"/>
          <w:w w:val="105"/>
        </w:rPr>
        <w:t>comunicación</w:t>
      </w:r>
      <w:r>
        <w:rPr>
          <w:color w:val="231F20"/>
          <w:spacing w:val="-11"/>
          <w:w w:val="105"/>
        </w:rPr>
        <w:t> </w:t>
      </w:r>
      <w:r>
        <w:rPr>
          <w:color w:val="231F20"/>
          <w:w w:val="105"/>
        </w:rPr>
        <w:t>social</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spacing w:val="2"/>
          <w:w w:val="105"/>
        </w:rPr>
        <w:t>ahí</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página</w:t>
      </w:r>
      <w:r>
        <w:rPr>
          <w:color w:val="231F20"/>
          <w:spacing w:val="-11"/>
          <w:w w:val="105"/>
        </w:rPr>
        <w:t> </w:t>
      </w:r>
      <w:r>
        <w:rPr>
          <w:color w:val="231F20"/>
          <w:w w:val="105"/>
        </w:rPr>
        <w:t>de</w:t>
      </w:r>
      <w:r>
        <w:rPr>
          <w:color w:val="231F20"/>
          <w:spacing w:val="-11"/>
          <w:w w:val="105"/>
        </w:rPr>
        <w:t> </w:t>
      </w:r>
      <w:r>
        <w:rPr>
          <w:color w:val="231F20"/>
          <w:w w:val="105"/>
        </w:rPr>
        <w:t>internet</w:t>
      </w:r>
      <w:r>
        <w:rPr>
          <w:color w:val="231F20"/>
          <w:spacing w:val="-11"/>
          <w:w w:val="105"/>
        </w:rPr>
        <w:t> </w:t>
      </w:r>
      <w:r>
        <w:rPr>
          <w:color w:val="231F20"/>
          <w:w w:val="105"/>
        </w:rPr>
        <w:t>del</w:t>
      </w:r>
      <w:r>
        <w:rPr>
          <w:color w:val="231F20"/>
          <w:spacing w:val="-11"/>
          <w:w w:val="105"/>
        </w:rPr>
        <w:t> </w:t>
      </w:r>
      <w:r>
        <w:rPr>
          <w:color w:val="231F20"/>
          <w:w w:val="105"/>
        </w:rPr>
        <w:t>ayuntamiento.</w:t>
      </w:r>
    </w:p>
    <w:p>
      <w:pPr>
        <w:pStyle w:val="BodyText"/>
        <w:spacing w:before="1"/>
        <w:rPr>
          <w:sz w:val="26"/>
        </w:rPr>
      </w:pPr>
    </w:p>
    <w:p>
      <w:pPr>
        <w:pStyle w:val="BodyText"/>
        <w:spacing w:line="285" w:lineRule="auto"/>
        <w:ind w:left="110" w:right="107"/>
        <w:jc w:val="both"/>
      </w:pPr>
      <w:r>
        <w:rPr>
          <w:color w:val="231F20"/>
          <w:w w:val="105"/>
        </w:rPr>
        <w:t>De</w:t>
      </w:r>
      <w:r>
        <w:rPr>
          <w:color w:val="231F20"/>
          <w:spacing w:val="-10"/>
          <w:w w:val="105"/>
        </w:rPr>
        <w:t> </w:t>
      </w:r>
      <w:r>
        <w:rPr>
          <w:color w:val="231F20"/>
          <w:spacing w:val="2"/>
          <w:w w:val="105"/>
        </w:rPr>
        <w:t>tal</w:t>
      </w:r>
      <w:r>
        <w:rPr>
          <w:color w:val="231F20"/>
          <w:spacing w:val="-10"/>
          <w:w w:val="105"/>
        </w:rPr>
        <w:t> </w:t>
      </w:r>
      <w:r>
        <w:rPr>
          <w:color w:val="231F20"/>
          <w:w w:val="105"/>
        </w:rPr>
        <w:t>manera</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intensa</w:t>
      </w:r>
      <w:r>
        <w:rPr>
          <w:color w:val="231F20"/>
          <w:spacing w:val="-10"/>
          <w:w w:val="105"/>
        </w:rPr>
        <w:t> </w:t>
      </w:r>
      <w:r>
        <w:rPr>
          <w:color w:val="231F20"/>
          <w:w w:val="105"/>
        </w:rPr>
        <w:t>actividad</w:t>
      </w:r>
      <w:r>
        <w:rPr>
          <w:color w:val="231F20"/>
          <w:spacing w:val="-10"/>
          <w:w w:val="105"/>
        </w:rPr>
        <w:t> </w:t>
      </w:r>
      <w:r>
        <w:rPr>
          <w:color w:val="231F20"/>
          <w:w w:val="105"/>
        </w:rPr>
        <w:t>de</w:t>
      </w:r>
      <w:r>
        <w:rPr>
          <w:color w:val="231F20"/>
          <w:spacing w:val="-10"/>
          <w:w w:val="105"/>
        </w:rPr>
        <w:t> </w:t>
      </w:r>
      <w:r>
        <w:rPr>
          <w:color w:val="231F20"/>
          <w:w w:val="105"/>
        </w:rPr>
        <w:t>comunicación</w:t>
      </w:r>
      <w:r>
        <w:rPr>
          <w:color w:val="231F20"/>
          <w:spacing w:val="-10"/>
          <w:w w:val="105"/>
        </w:rPr>
        <w:t> </w:t>
      </w:r>
      <w:r>
        <w:rPr>
          <w:color w:val="231F20"/>
          <w:w w:val="105"/>
        </w:rPr>
        <w:t>social</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lleva</w:t>
      </w:r>
      <w:r>
        <w:rPr>
          <w:color w:val="231F20"/>
          <w:spacing w:val="-10"/>
          <w:w w:val="105"/>
        </w:rPr>
        <w:t> </w:t>
      </w:r>
      <w:r>
        <w:rPr>
          <w:color w:val="231F20"/>
          <w:w w:val="105"/>
        </w:rPr>
        <w:t>a</w:t>
      </w:r>
      <w:r>
        <w:rPr>
          <w:color w:val="231F20"/>
          <w:spacing w:val="-10"/>
          <w:w w:val="105"/>
        </w:rPr>
        <w:t> </w:t>
      </w:r>
      <w:r>
        <w:rPr>
          <w:color w:val="231F20"/>
          <w:w w:val="105"/>
        </w:rPr>
        <w:t>cabo</w:t>
      </w:r>
      <w:r>
        <w:rPr>
          <w:color w:val="231F20"/>
          <w:spacing w:val="-10"/>
          <w:w w:val="105"/>
        </w:rPr>
        <w:t> </w:t>
      </w:r>
      <w:r>
        <w:rPr>
          <w:color w:val="231F20"/>
          <w:w w:val="105"/>
        </w:rPr>
        <w:t>en</w:t>
      </w:r>
      <w:r>
        <w:rPr>
          <w:color w:val="231F20"/>
          <w:spacing w:val="-10"/>
          <w:w w:val="105"/>
        </w:rPr>
        <w:t> </w:t>
      </w:r>
      <w:r>
        <w:rPr>
          <w:color w:val="231F20"/>
          <w:w w:val="105"/>
        </w:rPr>
        <w:t>el municipio</w:t>
      </w:r>
      <w:r>
        <w:rPr>
          <w:color w:val="231F20"/>
          <w:spacing w:val="-16"/>
          <w:w w:val="105"/>
        </w:rPr>
        <w:t> </w:t>
      </w:r>
      <w:r>
        <w:rPr>
          <w:color w:val="231F20"/>
          <w:w w:val="105"/>
        </w:rPr>
        <w:t>adquiere</w:t>
      </w:r>
      <w:r>
        <w:rPr>
          <w:color w:val="231F20"/>
          <w:spacing w:val="-16"/>
          <w:w w:val="105"/>
        </w:rPr>
        <w:t> </w:t>
      </w:r>
      <w:r>
        <w:rPr>
          <w:color w:val="231F20"/>
          <w:w w:val="105"/>
        </w:rPr>
        <w:t>un</w:t>
      </w:r>
      <w:r>
        <w:rPr>
          <w:color w:val="231F20"/>
          <w:spacing w:val="-16"/>
          <w:w w:val="105"/>
        </w:rPr>
        <w:t> </w:t>
      </w:r>
      <w:r>
        <w:rPr>
          <w:color w:val="231F20"/>
          <w:w w:val="105"/>
        </w:rPr>
        <w:t>carácter</w:t>
      </w:r>
      <w:r>
        <w:rPr>
          <w:color w:val="231F20"/>
          <w:spacing w:val="-16"/>
          <w:w w:val="105"/>
        </w:rPr>
        <w:t> </w:t>
      </w:r>
      <w:r>
        <w:rPr>
          <w:color w:val="231F20"/>
          <w:w w:val="105"/>
        </w:rPr>
        <w:t>unidireccional,</w:t>
      </w:r>
      <w:r>
        <w:rPr>
          <w:color w:val="231F20"/>
          <w:spacing w:val="-16"/>
          <w:w w:val="105"/>
        </w:rPr>
        <w:t> </w:t>
      </w:r>
      <w:r>
        <w:rPr>
          <w:color w:val="231F20"/>
          <w:w w:val="105"/>
        </w:rPr>
        <w:t>pues</w:t>
      </w:r>
      <w:r>
        <w:rPr>
          <w:color w:val="231F20"/>
          <w:spacing w:val="-16"/>
          <w:w w:val="105"/>
        </w:rPr>
        <w:t> </w:t>
      </w:r>
      <w:r>
        <w:rPr>
          <w:color w:val="231F20"/>
          <w:w w:val="105"/>
        </w:rPr>
        <w:t>tiene</w:t>
      </w:r>
      <w:r>
        <w:rPr>
          <w:color w:val="231F20"/>
          <w:spacing w:val="-16"/>
          <w:w w:val="105"/>
        </w:rPr>
        <w:t> </w:t>
      </w:r>
      <w:r>
        <w:rPr>
          <w:color w:val="231F20"/>
          <w:w w:val="105"/>
        </w:rPr>
        <w:t>la</w:t>
      </w:r>
      <w:r>
        <w:rPr>
          <w:color w:val="231F20"/>
          <w:spacing w:val="-16"/>
          <w:w w:val="105"/>
        </w:rPr>
        <w:t> </w:t>
      </w:r>
      <w:r>
        <w:rPr>
          <w:color w:val="231F20"/>
          <w:w w:val="105"/>
        </w:rPr>
        <w:t>función</w:t>
      </w:r>
      <w:r>
        <w:rPr>
          <w:color w:val="231F20"/>
          <w:spacing w:val="-16"/>
          <w:w w:val="105"/>
        </w:rPr>
        <w:t> </w:t>
      </w:r>
      <w:r>
        <w:rPr>
          <w:color w:val="231F20"/>
          <w:w w:val="105"/>
        </w:rPr>
        <w:t>principal</w:t>
      </w:r>
      <w:r>
        <w:rPr>
          <w:color w:val="231F20"/>
          <w:spacing w:val="-16"/>
          <w:w w:val="105"/>
        </w:rPr>
        <w:t> </w:t>
      </w:r>
      <w:r>
        <w:rPr>
          <w:color w:val="231F20"/>
          <w:w w:val="105"/>
        </w:rPr>
        <w:t>de</w:t>
      </w:r>
      <w:r>
        <w:rPr>
          <w:color w:val="231F20"/>
          <w:spacing w:val="-16"/>
          <w:w w:val="105"/>
        </w:rPr>
        <w:t> </w:t>
      </w:r>
      <w:r>
        <w:rPr>
          <w:color w:val="231F20"/>
          <w:spacing w:val="2"/>
          <w:w w:val="105"/>
        </w:rPr>
        <w:t>difun- dir</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autoridades</w:t>
      </w:r>
      <w:r>
        <w:rPr>
          <w:color w:val="231F20"/>
          <w:spacing w:val="-18"/>
          <w:w w:val="105"/>
        </w:rPr>
        <w:t> </w:t>
      </w:r>
      <w:r>
        <w:rPr>
          <w:color w:val="231F20"/>
          <w:w w:val="105"/>
        </w:rPr>
        <w:t>les</w:t>
      </w:r>
      <w:r>
        <w:rPr>
          <w:color w:val="231F20"/>
          <w:spacing w:val="-18"/>
          <w:w w:val="105"/>
        </w:rPr>
        <w:t> </w:t>
      </w:r>
      <w:r>
        <w:rPr>
          <w:color w:val="231F20"/>
          <w:w w:val="105"/>
        </w:rPr>
        <w:t>conviene,</w:t>
      </w:r>
      <w:r>
        <w:rPr>
          <w:color w:val="231F20"/>
          <w:spacing w:val="-18"/>
          <w:w w:val="105"/>
        </w:rPr>
        <w:t> </w:t>
      </w:r>
      <w:r>
        <w:rPr>
          <w:color w:val="231F20"/>
          <w:w w:val="105"/>
        </w:rPr>
        <w:t>pero</w:t>
      </w:r>
      <w:r>
        <w:rPr>
          <w:color w:val="231F20"/>
          <w:spacing w:val="-18"/>
          <w:w w:val="105"/>
        </w:rPr>
        <w:t> </w:t>
      </w:r>
      <w:r>
        <w:rPr>
          <w:color w:val="231F20"/>
          <w:w w:val="105"/>
        </w:rPr>
        <w:t>en</w:t>
      </w:r>
      <w:r>
        <w:rPr>
          <w:color w:val="231F20"/>
          <w:spacing w:val="-18"/>
          <w:w w:val="105"/>
        </w:rPr>
        <w:t> </w:t>
      </w:r>
      <w:r>
        <w:rPr>
          <w:color w:val="231F20"/>
          <w:w w:val="105"/>
        </w:rPr>
        <w:t>cuanto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demanda</w:t>
      </w:r>
      <w:r>
        <w:rPr>
          <w:color w:val="231F20"/>
          <w:spacing w:val="-18"/>
          <w:w w:val="105"/>
        </w:rPr>
        <w:t> </w:t>
      </w:r>
      <w:r>
        <w:rPr>
          <w:color w:val="231F20"/>
          <w:w w:val="105"/>
        </w:rPr>
        <w:t>de</w:t>
      </w:r>
      <w:r>
        <w:rPr>
          <w:color w:val="231F20"/>
          <w:spacing w:val="-18"/>
          <w:w w:val="105"/>
        </w:rPr>
        <w:t> </w:t>
      </w:r>
      <w:r>
        <w:rPr>
          <w:color w:val="231F20"/>
          <w:w w:val="105"/>
        </w:rPr>
        <w:t>información</w:t>
      </w:r>
      <w:r>
        <w:rPr>
          <w:color w:val="231F20"/>
          <w:spacing w:val="-18"/>
          <w:w w:val="105"/>
        </w:rPr>
        <w:t> </w:t>
      </w:r>
      <w:r>
        <w:rPr>
          <w:color w:val="231F20"/>
          <w:w w:val="105"/>
        </w:rPr>
        <w:t>de la</w:t>
      </w:r>
      <w:r>
        <w:rPr>
          <w:color w:val="231F20"/>
          <w:spacing w:val="-17"/>
          <w:w w:val="105"/>
        </w:rPr>
        <w:t> </w:t>
      </w:r>
      <w:r>
        <w:rPr>
          <w:color w:val="231F20"/>
          <w:w w:val="105"/>
        </w:rPr>
        <w:t>ciudadanía</w:t>
      </w:r>
      <w:r>
        <w:rPr>
          <w:color w:val="231F20"/>
          <w:spacing w:val="-17"/>
          <w:w w:val="105"/>
        </w:rPr>
        <w:t> </w:t>
      </w:r>
      <w:r>
        <w:rPr>
          <w:color w:val="231F20"/>
          <w:w w:val="105"/>
        </w:rPr>
        <w:t>se</w:t>
      </w:r>
      <w:r>
        <w:rPr>
          <w:color w:val="231F20"/>
          <w:spacing w:val="-17"/>
          <w:w w:val="105"/>
        </w:rPr>
        <w:t> </w:t>
      </w:r>
      <w:r>
        <w:rPr>
          <w:color w:val="231F20"/>
          <w:w w:val="105"/>
        </w:rPr>
        <w:t>siguen</w:t>
      </w:r>
      <w:r>
        <w:rPr>
          <w:color w:val="231F20"/>
          <w:spacing w:val="-17"/>
          <w:w w:val="105"/>
        </w:rPr>
        <w:t> </w:t>
      </w:r>
      <w:r>
        <w:rPr>
          <w:color w:val="231F20"/>
          <w:w w:val="105"/>
        </w:rPr>
        <w:t>presentando</w:t>
      </w:r>
      <w:r>
        <w:rPr>
          <w:color w:val="231F20"/>
          <w:spacing w:val="-17"/>
          <w:w w:val="105"/>
        </w:rPr>
        <w:t> </w:t>
      </w:r>
      <w:r>
        <w:rPr>
          <w:color w:val="231F20"/>
          <w:w w:val="105"/>
        </w:rPr>
        <w:t>muchos</w:t>
      </w:r>
      <w:r>
        <w:rPr>
          <w:color w:val="231F20"/>
          <w:spacing w:val="-17"/>
          <w:w w:val="105"/>
        </w:rPr>
        <w:t> </w:t>
      </w:r>
      <w:r>
        <w:rPr>
          <w:color w:val="231F20"/>
          <w:w w:val="105"/>
        </w:rPr>
        <w:t>rezagos.</w:t>
      </w:r>
    </w:p>
    <w:p>
      <w:pPr>
        <w:pStyle w:val="BodyText"/>
        <w:spacing w:before="1"/>
        <w:rPr>
          <w:sz w:val="26"/>
        </w:rPr>
      </w:pPr>
    </w:p>
    <w:p>
      <w:pPr>
        <w:pStyle w:val="BodyText"/>
        <w:spacing w:line="285" w:lineRule="auto"/>
        <w:ind w:left="110" w:right="108"/>
        <w:jc w:val="both"/>
      </w:pPr>
      <w:r>
        <w:rPr>
          <w:color w:val="231F20"/>
          <w:spacing w:val="-3"/>
          <w:w w:val="105"/>
        </w:rPr>
        <w:t>Por </w:t>
      </w:r>
      <w:r>
        <w:rPr>
          <w:color w:val="231F20"/>
          <w:w w:val="105"/>
        </w:rPr>
        <w:t>otro lado, recapitulando un poco, no hay que olvidar la tradición de organización social</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que</w:t>
      </w:r>
      <w:r>
        <w:rPr>
          <w:color w:val="231F20"/>
          <w:spacing w:val="-22"/>
          <w:w w:val="105"/>
        </w:rPr>
        <w:t> </w:t>
      </w:r>
      <w:r>
        <w:rPr>
          <w:color w:val="231F20"/>
          <w:w w:val="105"/>
        </w:rPr>
        <w:t>cuenta</w:t>
      </w:r>
      <w:r>
        <w:rPr>
          <w:color w:val="231F20"/>
          <w:spacing w:val="-22"/>
          <w:w w:val="105"/>
        </w:rPr>
        <w:t> </w:t>
      </w:r>
      <w:r>
        <w:rPr>
          <w:color w:val="231F20"/>
          <w:w w:val="105"/>
        </w:rPr>
        <w:t>la</w:t>
      </w:r>
      <w:r>
        <w:rPr>
          <w:color w:val="231F20"/>
          <w:spacing w:val="-22"/>
          <w:w w:val="105"/>
        </w:rPr>
        <w:t> </w:t>
      </w:r>
      <w:r>
        <w:rPr>
          <w:color w:val="231F20"/>
          <w:w w:val="105"/>
        </w:rPr>
        <w:t>población</w:t>
      </w:r>
      <w:r>
        <w:rPr>
          <w:color w:val="231F20"/>
          <w:spacing w:val="-22"/>
          <w:w w:val="105"/>
        </w:rPr>
        <w:t> </w:t>
      </w:r>
      <w:r>
        <w:rPr>
          <w:color w:val="231F20"/>
          <w:w w:val="105"/>
        </w:rPr>
        <w:t>de</w:t>
      </w:r>
      <w:r>
        <w:rPr>
          <w:color w:val="231F20"/>
          <w:spacing w:val="-22"/>
          <w:w w:val="105"/>
        </w:rPr>
        <w:t> </w:t>
      </w:r>
      <w:r>
        <w:rPr>
          <w:color w:val="231F20"/>
          <w:w w:val="105"/>
        </w:rPr>
        <w:t>Nezahualcóyotl,</w:t>
      </w:r>
      <w:r>
        <w:rPr>
          <w:color w:val="231F20"/>
          <w:spacing w:val="-22"/>
          <w:w w:val="105"/>
        </w:rPr>
        <w:t> </w:t>
      </w:r>
      <w:r>
        <w:rPr>
          <w:color w:val="231F20"/>
          <w:w w:val="105"/>
        </w:rPr>
        <w:t>producto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escasa</w:t>
      </w:r>
      <w:r>
        <w:rPr>
          <w:color w:val="231F20"/>
          <w:spacing w:val="-22"/>
          <w:w w:val="105"/>
        </w:rPr>
        <w:t> </w:t>
      </w:r>
      <w:r>
        <w:rPr>
          <w:color w:val="231F20"/>
          <w:w w:val="105"/>
        </w:rPr>
        <w:t>respuesta de</w:t>
      </w:r>
      <w:r>
        <w:rPr>
          <w:color w:val="231F20"/>
          <w:spacing w:val="-20"/>
          <w:w w:val="105"/>
        </w:rPr>
        <w:t> </w:t>
      </w:r>
      <w:r>
        <w:rPr>
          <w:color w:val="231F20"/>
          <w:w w:val="105"/>
        </w:rPr>
        <w:t>las</w:t>
      </w:r>
      <w:r>
        <w:rPr>
          <w:color w:val="231F20"/>
          <w:spacing w:val="-20"/>
          <w:w w:val="105"/>
        </w:rPr>
        <w:t> </w:t>
      </w:r>
      <w:r>
        <w:rPr>
          <w:color w:val="231F20"/>
          <w:w w:val="105"/>
        </w:rPr>
        <w:t>autoridades</w:t>
      </w:r>
      <w:r>
        <w:rPr>
          <w:color w:val="231F20"/>
          <w:spacing w:val="-20"/>
          <w:w w:val="105"/>
        </w:rPr>
        <w:t> </w:t>
      </w:r>
      <w:r>
        <w:rPr>
          <w:color w:val="231F20"/>
          <w:w w:val="105"/>
        </w:rPr>
        <w:t>para</w:t>
      </w:r>
      <w:r>
        <w:rPr>
          <w:color w:val="231F20"/>
          <w:spacing w:val="-20"/>
          <w:w w:val="105"/>
        </w:rPr>
        <w:t> </w:t>
      </w:r>
      <w:r>
        <w:rPr>
          <w:color w:val="231F20"/>
          <w:w w:val="105"/>
        </w:rPr>
        <w:t>satisfacer</w:t>
      </w:r>
      <w:r>
        <w:rPr>
          <w:color w:val="231F20"/>
          <w:spacing w:val="-20"/>
          <w:w w:val="105"/>
        </w:rPr>
        <w:t> </w:t>
      </w:r>
      <w:r>
        <w:rPr>
          <w:color w:val="231F20"/>
          <w:w w:val="105"/>
        </w:rPr>
        <w:t>sus</w:t>
      </w:r>
      <w:r>
        <w:rPr>
          <w:color w:val="231F20"/>
          <w:spacing w:val="-20"/>
          <w:w w:val="105"/>
        </w:rPr>
        <w:t> </w:t>
      </w:r>
      <w:r>
        <w:rPr>
          <w:color w:val="231F20"/>
          <w:w w:val="105"/>
        </w:rPr>
        <w:t>crecientes</w:t>
      </w:r>
      <w:r>
        <w:rPr>
          <w:color w:val="231F20"/>
          <w:spacing w:val="-20"/>
          <w:w w:val="105"/>
        </w:rPr>
        <w:t> </w:t>
      </w:r>
      <w:r>
        <w:rPr>
          <w:color w:val="231F20"/>
          <w:w w:val="105"/>
        </w:rPr>
        <w:t>demandas,</w:t>
      </w:r>
      <w:r>
        <w:rPr>
          <w:color w:val="231F20"/>
          <w:spacing w:val="-20"/>
          <w:w w:val="105"/>
        </w:rPr>
        <w:t> </w:t>
      </w:r>
      <w:r>
        <w:rPr>
          <w:color w:val="231F20"/>
          <w:w w:val="105"/>
        </w:rPr>
        <w:t>en</w:t>
      </w:r>
      <w:r>
        <w:rPr>
          <w:color w:val="231F20"/>
          <w:spacing w:val="-20"/>
          <w:w w:val="105"/>
        </w:rPr>
        <w:t> </w:t>
      </w:r>
      <w:r>
        <w:rPr>
          <w:color w:val="231F20"/>
          <w:w w:val="105"/>
        </w:rPr>
        <w:t>cuanto</w:t>
      </w:r>
      <w:r>
        <w:rPr>
          <w:color w:val="231F20"/>
          <w:spacing w:val="-20"/>
          <w:w w:val="105"/>
        </w:rPr>
        <w:t> </w:t>
      </w:r>
      <w:r>
        <w:rPr>
          <w:color w:val="231F20"/>
          <w:w w:val="105"/>
        </w:rPr>
        <w:t>a</w:t>
      </w:r>
      <w:r>
        <w:rPr>
          <w:color w:val="231F20"/>
          <w:spacing w:val="-20"/>
          <w:w w:val="105"/>
        </w:rPr>
        <w:t> </w:t>
      </w:r>
      <w:r>
        <w:rPr>
          <w:color w:val="231F20"/>
          <w:w w:val="105"/>
        </w:rPr>
        <w:t>vivienda,</w:t>
      </w:r>
      <w:r>
        <w:rPr>
          <w:color w:val="231F20"/>
          <w:spacing w:val="-20"/>
          <w:w w:val="105"/>
        </w:rPr>
        <w:t> </w:t>
      </w:r>
      <w:r>
        <w:rPr>
          <w:color w:val="231F20"/>
          <w:w w:val="105"/>
        </w:rPr>
        <w:t>regula- rización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tenencia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tierra,</w:t>
      </w:r>
      <w:r>
        <w:rPr>
          <w:color w:val="231F20"/>
          <w:spacing w:val="-16"/>
          <w:w w:val="105"/>
        </w:rPr>
        <w:t> </w:t>
      </w:r>
      <w:r>
        <w:rPr>
          <w:color w:val="231F20"/>
          <w:w w:val="105"/>
        </w:rPr>
        <w:t>servicios</w:t>
      </w:r>
      <w:r>
        <w:rPr>
          <w:color w:val="231F20"/>
          <w:spacing w:val="-16"/>
          <w:w w:val="105"/>
        </w:rPr>
        <w:t> </w:t>
      </w:r>
      <w:r>
        <w:rPr>
          <w:color w:val="231F20"/>
          <w:w w:val="105"/>
        </w:rPr>
        <w:t>y</w:t>
      </w:r>
      <w:r>
        <w:rPr>
          <w:color w:val="231F20"/>
          <w:spacing w:val="-16"/>
          <w:w w:val="105"/>
        </w:rPr>
        <w:t> </w:t>
      </w:r>
      <w:r>
        <w:rPr>
          <w:color w:val="231F20"/>
          <w:w w:val="105"/>
        </w:rPr>
        <w:t>obras</w:t>
      </w:r>
      <w:r>
        <w:rPr>
          <w:color w:val="231F20"/>
          <w:spacing w:val="-16"/>
          <w:w w:val="105"/>
        </w:rPr>
        <w:t> </w:t>
      </w:r>
      <w:r>
        <w:rPr>
          <w:color w:val="231F20"/>
          <w:w w:val="105"/>
        </w:rPr>
        <w:t>públicas,</w:t>
      </w:r>
      <w:r>
        <w:rPr>
          <w:color w:val="231F20"/>
          <w:spacing w:val="-16"/>
          <w:w w:val="105"/>
        </w:rPr>
        <w:t> </w:t>
      </w:r>
      <w:r>
        <w:rPr>
          <w:color w:val="231F20"/>
          <w:w w:val="105"/>
        </w:rPr>
        <w:t>infraestructura</w:t>
      </w:r>
      <w:r>
        <w:rPr>
          <w:color w:val="231F20"/>
          <w:spacing w:val="-16"/>
          <w:w w:val="105"/>
        </w:rPr>
        <w:t> </w:t>
      </w:r>
      <w:r>
        <w:rPr>
          <w:color w:val="231F20"/>
          <w:w w:val="105"/>
        </w:rPr>
        <w:t>educativa, entre</w:t>
      </w:r>
      <w:r>
        <w:rPr>
          <w:color w:val="231F20"/>
          <w:spacing w:val="-5"/>
          <w:w w:val="105"/>
        </w:rPr>
        <w:t> </w:t>
      </w:r>
      <w:r>
        <w:rPr>
          <w:color w:val="231F20"/>
          <w:w w:val="105"/>
        </w:rPr>
        <w:t>otras.</w:t>
      </w:r>
      <w:r>
        <w:rPr>
          <w:color w:val="231F20"/>
          <w:spacing w:val="-5"/>
          <w:w w:val="105"/>
        </w:rPr>
        <w:t> </w:t>
      </w:r>
      <w:r>
        <w:rPr>
          <w:color w:val="231F20"/>
          <w:w w:val="105"/>
        </w:rPr>
        <w:t>Sin</w:t>
      </w:r>
      <w:r>
        <w:rPr>
          <w:color w:val="231F20"/>
          <w:spacing w:val="-5"/>
          <w:w w:val="105"/>
        </w:rPr>
        <w:t> </w:t>
      </w:r>
      <w:r>
        <w:rPr>
          <w:color w:val="231F20"/>
          <w:w w:val="105"/>
        </w:rPr>
        <w:t>embargo,</w:t>
      </w:r>
      <w:r>
        <w:rPr>
          <w:color w:val="231F20"/>
          <w:spacing w:val="-5"/>
          <w:w w:val="105"/>
        </w:rPr>
        <w:t> </w:t>
      </w:r>
      <w:r>
        <w:rPr>
          <w:color w:val="231F20"/>
          <w:w w:val="105"/>
        </w:rPr>
        <w:t>una</w:t>
      </w:r>
      <w:r>
        <w:rPr>
          <w:color w:val="231F20"/>
          <w:spacing w:val="-5"/>
          <w:w w:val="105"/>
        </w:rPr>
        <w:t> </w:t>
      </w:r>
      <w:r>
        <w:rPr>
          <w:color w:val="231F20"/>
          <w:w w:val="105"/>
        </w:rPr>
        <w:t>vez</w:t>
      </w:r>
      <w:r>
        <w:rPr>
          <w:color w:val="231F20"/>
          <w:spacing w:val="-5"/>
          <w:w w:val="105"/>
        </w:rPr>
        <w:t> </w:t>
      </w:r>
      <w:r>
        <w:rPr>
          <w:color w:val="231F20"/>
          <w:w w:val="105"/>
        </w:rPr>
        <w:t>que</w:t>
      </w:r>
      <w:r>
        <w:rPr>
          <w:color w:val="231F20"/>
          <w:spacing w:val="-5"/>
          <w:w w:val="105"/>
        </w:rPr>
        <w:t> </w:t>
      </w:r>
      <w:r>
        <w:rPr>
          <w:color w:val="231F20"/>
          <w:w w:val="105"/>
        </w:rPr>
        <w:t>este</w:t>
      </w:r>
      <w:r>
        <w:rPr>
          <w:color w:val="231F20"/>
          <w:spacing w:val="-5"/>
          <w:w w:val="105"/>
        </w:rPr>
        <w:t> </w:t>
      </w:r>
      <w:r>
        <w:rPr>
          <w:color w:val="231F20"/>
          <w:w w:val="105"/>
        </w:rPr>
        <w:t>tipo</w:t>
      </w:r>
      <w:r>
        <w:rPr>
          <w:color w:val="231F20"/>
          <w:spacing w:val="-5"/>
          <w:w w:val="105"/>
        </w:rPr>
        <w:t> </w:t>
      </w:r>
      <w:r>
        <w:rPr>
          <w:color w:val="231F20"/>
          <w:w w:val="105"/>
        </w:rPr>
        <w:t>de</w:t>
      </w:r>
      <w:r>
        <w:rPr>
          <w:color w:val="231F20"/>
          <w:spacing w:val="-5"/>
          <w:w w:val="105"/>
        </w:rPr>
        <w:t> </w:t>
      </w:r>
      <w:r>
        <w:rPr>
          <w:color w:val="231F20"/>
          <w:w w:val="105"/>
        </w:rPr>
        <w:t>demandas</w:t>
      </w:r>
      <w:r>
        <w:rPr>
          <w:color w:val="231F20"/>
          <w:spacing w:val="-5"/>
          <w:w w:val="105"/>
        </w:rPr>
        <w:t> </w:t>
      </w:r>
      <w:r>
        <w:rPr>
          <w:color w:val="231F20"/>
          <w:w w:val="105"/>
        </w:rPr>
        <w:t>fueron</w:t>
      </w:r>
      <w:r>
        <w:rPr>
          <w:color w:val="231F20"/>
          <w:spacing w:val="-5"/>
          <w:w w:val="105"/>
        </w:rPr>
        <w:t> </w:t>
      </w:r>
      <w:r>
        <w:rPr>
          <w:color w:val="231F20"/>
          <w:w w:val="105"/>
        </w:rPr>
        <w:t>satisfechas,</w:t>
      </w:r>
      <w:r>
        <w:rPr>
          <w:color w:val="231F20"/>
          <w:spacing w:val="-5"/>
          <w:w w:val="105"/>
        </w:rPr>
        <w:t> </w:t>
      </w:r>
      <w:r>
        <w:rPr>
          <w:color w:val="231F20"/>
          <w:w w:val="105"/>
        </w:rPr>
        <w:t>con</w:t>
      </w:r>
      <w:r>
        <w:rPr>
          <w:color w:val="231F20"/>
          <w:spacing w:val="-5"/>
          <w:w w:val="105"/>
        </w:rPr>
        <w:t> </w:t>
      </w:r>
      <w:r>
        <w:rPr>
          <w:color w:val="231F20"/>
          <w:w w:val="105"/>
        </w:rPr>
        <w:t>el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acelerado</w:t>
      </w:r>
      <w:r>
        <w:rPr>
          <w:color w:val="231F20"/>
          <w:spacing w:val="-24"/>
          <w:w w:val="105"/>
        </w:rPr>
        <w:t> </w:t>
      </w:r>
      <w:r>
        <w:rPr>
          <w:color w:val="231F20"/>
          <w:w w:val="105"/>
        </w:rPr>
        <w:t>proceso</w:t>
      </w:r>
      <w:r>
        <w:rPr>
          <w:color w:val="231F20"/>
          <w:spacing w:val="-24"/>
          <w:w w:val="105"/>
        </w:rPr>
        <w:t> </w:t>
      </w:r>
      <w:r>
        <w:rPr>
          <w:color w:val="231F20"/>
          <w:w w:val="105"/>
        </w:rPr>
        <w:t>de</w:t>
      </w:r>
      <w:r>
        <w:rPr>
          <w:color w:val="231F20"/>
          <w:spacing w:val="-24"/>
          <w:w w:val="105"/>
        </w:rPr>
        <w:t> </w:t>
      </w:r>
      <w:r>
        <w:rPr>
          <w:color w:val="231F20"/>
          <w:w w:val="105"/>
        </w:rPr>
        <w:t>urbanización,</w:t>
      </w:r>
      <w:r>
        <w:rPr>
          <w:color w:val="231F20"/>
          <w:spacing w:val="-24"/>
          <w:w w:val="105"/>
        </w:rPr>
        <w:t> </w:t>
      </w:r>
      <w:r>
        <w:rPr>
          <w:color w:val="231F20"/>
          <w:w w:val="105"/>
        </w:rPr>
        <w:t>las</w:t>
      </w:r>
      <w:r>
        <w:rPr>
          <w:color w:val="231F20"/>
          <w:spacing w:val="-24"/>
          <w:w w:val="105"/>
        </w:rPr>
        <w:t> </w:t>
      </w:r>
      <w:r>
        <w:rPr>
          <w:color w:val="231F20"/>
          <w:w w:val="105"/>
        </w:rPr>
        <w:t>organizaciones</w:t>
      </w:r>
      <w:r>
        <w:rPr>
          <w:color w:val="231F20"/>
          <w:spacing w:val="-24"/>
          <w:w w:val="105"/>
        </w:rPr>
        <w:t> </w:t>
      </w:r>
      <w:r>
        <w:rPr>
          <w:color w:val="231F20"/>
          <w:w w:val="105"/>
        </w:rPr>
        <w:t>de</w:t>
      </w:r>
      <w:r>
        <w:rPr>
          <w:color w:val="231F20"/>
          <w:spacing w:val="-24"/>
          <w:w w:val="105"/>
        </w:rPr>
        <w:t> </w:t>
      </w:r>
      <w:r>
        <w:rPr>
          <w:color w:val="231F20"/>
          <w:w w:val="105"/>
        </w:rPr>
        <w:t>carácter</w:t>
      </w:r>
      <w:r>
        <w:rPr>
          <w:color w:val="231F20"/>
          <w:spacing w:val="-24"/>
          <w:w w:val="105"/>
        </w:rPr>
        <w:t> </w:t>
      </w:r>
      <w:r>
        <w:rPr>
          <w:color w:val="231F20"/>
          <w:w w:val="105"/>
        </w:rPr>
        <w:t>reivindicativo</w:t>
      </w:r>
      <w:r>
        <w:rPr>
          <w:color w:val="231F20"/>
          <w:spacing w:val="-24"/>
          <w:w w:val="105"/>
        </w:rPr>
        <w:t> </w:t>
      </w:r>
      <w:r>
        <w:rPr>
          <w:color w:val="231F20"/>
          <w:w w:val="105"/>
        </w:rPr>
        <w:t>perdie- ron</w:t>
      </w:r>
      <w:r>
        <w:rPr>
          <w:color w:val="231F20"/>
          <w:spacing w:val="-11"/>
          <w:w w:val="105"/>
        </w:rPr>
        <w:t> </w:t>
      </w:r>
      <w:r>
        <w:rPr>
          <w:color w:val="231F20"/>
          <w:w w:val="105"/>
        </w:rPr>
        <w:t>fuerza</w:t>
      </w:r>
      <w:r>
        <w:rPr>
          <w:color w:val="231F20"/>
          <w:spacing w:val="-11"/>
          <w:w w:val="105"/>
        </w:rPr>
        <w:t> </w:t>
      </w:r>
      <w:r>
        <w:rPr>
          <w:color w:val="231F20"/>
          <w:w w:val="105"/>
        </w:rPr>
        <w:t>e</w:t>
      </w:r>
      <w:r>
        <w:rPr>
          <w:color w:val="231F20"/>
          <w:spacing w:val="-11"/>
          <w:w w:val="105"/>
        </w:rPr>
        <w:t> </w:t>
      </w:r>
      <w:r>
        <w:rPr>
          <w:color w:val="231F20"/>
          <w:w w:val="105"/>
        </w:rPr>
        <w:t>inclusive</w:t>
      </w:r>
      <w:r>
        <w:rPr>
          <w:color w:val="231F20"/>
          <w:spacing w:val="-11"/>
          <w:w w:val="105"/>
        </w:rPr>
        <w:t> </w:t>
      </w:r>
      <w:r>
        <w:rPr>
          <w:color w:val="231F20"/>
          <w:w w:val="105"/>
        </w:rPr>
        <w:t>tendieron</w:t>
      </w:r>
      <w:r>
        <w:rPr>
          <w:color w:val="231F20"/>
          <w:spacing w:val="-11"/>
          <w:w w:val="105"/>
        </w:rPr>
        <w:t> </w:t>
      </w:r>
      <w:r>
        <w:rPr>
          <w:color w:val="231F20"/>
          <w:w w:val="105"/>
        </w:rPr>
        <w:t>a</w:t>
      </w:r>
      <w:r>
        <w:rPr>
          <w:color w:val="231F20"/>
          <w:spacing w:val="-11"/>
          <w:w w:val="105"/>
        </w:rPr>
        <w:t> </w:t>
      </w:r>
      <w:r>
        <w:rPr>
          <w:color w:val="231F20"/>
          <w:w w:val="105"/>
        </w:rPr>
        <w:t>desaparecer,</w:t>
      </w:r>
      <w:r>
        <w:rPr>
          <w:color w:val="231F20"/>
          <w:spacing w:val="-11"/>
          <w:w w:val="105"/>
        </w:rPr>
        <w:t> </w:t>
      </w:r>
      <w:r>
        <w:rPr>
          <w:color w:val="231F20"/>
          <w:w w:val="105"/>
        </w:rPr>
        <w:t>afectando</w:t>
      </w:r>
      <w:r>
        <w:rPr>
          <w:color w:val="231F20"/>
          <w:spacing w:val="-11"/>
          <w:w w:val="105"/>
        </w:rPr>
        <w:t> </w:t>
      </w:r>
      <w:r>
        <w:rPr>
          <w:color w:val="231F20"/>
          <w:w w:val="105"/>
        </w:rPr>
        <w:t>de</w:t>
      </w:r>
      <w:r>
        <w:rPr>
          <w:color w:val="231F20"/>
          <w:spacing w:val="-11"/>
          <w:w w:val="105"/>
        </w:rPr>
        <w:t> </w:t>
      </w:r>
      <w:r>
        <w:rPr>
          <w:color w:val="231F20"/>
          <w:w w:val="105"/>
        </w:rPr>
        <w:t>manera</w:t>
      </w:r>
      <w:r>
        <w:rPr>
          <w:color w:val="231F20"/>
          <w:spacing w:val="-11"/>
          <w:w w:val="105"/>
        </w:rPr>
        <w:t> </w:t>
      </w:r>
      <w:r>
        <w:rPr>
          <w:color w:val="231F20"/>
          <w:w w:val="105"/>
        </w:rPr>
        <w:t>directa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spacing w:val="-5"/>
          <w:w w:val="105"/>
        </w:rPr>
        <w:t>CNOP, </w:t>
      </w:r>
      <w:r>
        <w:rPr>
          <w:color w:val="231F20"/>
          <w:w w:val="105"/>
        </w:rPr>
        <w:t>que era la confederación que aglutinaba a dichas organizaciones y abanderaba sus de- mandas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marco</w:t>
      </w:r>
      <w:r>
        <w:rPr>
          <w:color w:val="231F20"/>
          <w:spacing w:val="-13"/>
          <w:w w:val="105"/>
        </w:rPr>
        <w:t> </w:t>
      </w:r>
      <w:r>
        <w:rPr>
          <w:color w:val="231F20"/>
          <w:w w:val="105"/>
        </w:rPr>
        <w:t>de</w:t>
      </w:r>
      <w:r>
        <w:rPr>
          <w:color w:val="231F20"/>
          <w:spacing w:val="-13"/>
          <w:w w:val="105"/>
        </w:rPr>
        <w:t> </w:t>
      </w:r>
      <w:r>
        <w:rPr>
          <w:color w:val="231F20"/>
          <w:w w:val="105"/>
        </w:rPr>
        <w:t>relaciones</w:t>
      </w:r>
      <w:r>
        <w:rPr>
          <w:color w:val="231F20"/>
          <w:spacing w:val="-13"/>
          <w:w w:val="105"/>
        </w:rPr>
        <w:t> </w:t>
      </w:r>
      <w:r>
        <w:rPr>
          <w:color w:val="231F20"/>
          <w:w w:val="105"/>
        </w:rPr>
        <w:t>corporativo-clientelares</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spacing w:val="-3"/>
          <w:w w:val="105"/>
        </w:rPr>
        <w:t>gobierno.</w:t>
      </w:r>
    </w:p>
    <w:p>
      <w:pPr>
        <w:pStyle w:val="BodyText"/>
        <w:spacing w:before="1"/>
        <w:rPr>
          <w:sz w:val="26"/>
        </w:rPr>
      </w:pPr>
    </w:p>
    <w:p>
      <w:pPr>
        <w:pStyle w:val="BodyText"/>
        <w:spacing w:line="285" w:lineRule="auto"/>
        <w:ind w:left="110" w:right="106"/>
        <w:jc w:val="both"/>
      </w:pPr>
      <w:r>
        <w:rPr>
          <w:color w:val="231F20"/>
          <w:w w:val="105"/>
        </w:rPr>
        <w:t>La</w:t>
      </w:r>
      <w:r>
        <w:rPr>
          <w:color w:val="231F20"/>
          <w:spacing w:val="-15"/>
          <w:w w:val="105"/>
        </w:rPr>
        <w:t> </w:t>
      </w:r>
      <w:r>
        <w:rPr>
          <w:color w:val="231F20"/>
          <w:w w:val="105"/>
        </w:rPr>
        <w:t>crisis</w:t>
      </w:r>
      <w:r>
        <w:rPr>
          <w:color w:val="231F20"/>
          <w:spacing w:val="-15"/>
          <w:w w:val="105"/>
        </w:rPr>
        <w:t> </w:t>
      </w:r>
      <w:r>
        <w:rPr>
          <w:color w:val="231F20"/>
          <w:w w:val="105"/>
        </w:rPr>
        <w:t>del</w:t>
      </w:r>
      <w:r>
        <w:rPr>
          <w:color w:val="231F20"/>
          <w:spacing w:val="-15"/>
          <w:w w:val="105"/>
        </w:rPr>
        <w:t> </w:t>
      </w:r>
      <w:r>
        <w:rPr>
          <w:color w:val="231F20"/>
          <w:w w:val="105"/>
        </w:rPr>
        <w:t>corporativismo</w:t>
      </w:r>
      <w:r>
        <w:rPr>
          <w:color w:val="231F20"/>
          <w:spacing w:val="-15"/>
          <w:w w:val="105"/>
        </w:rPr>
        <w:t> </w:t>
      </w:r>
      <w:r>
        <w:rPr>
          <w:color w:val="231F20"/>
          <w:w w:val="105"/>
        </w:rPr>
        <w:t>que</w:t>
      </w:r>
      <w:r>
        <w:rPr>
          <w:color w:val="231F20"/>
          <w:spacing w:val="-15"/>
          <w:w w:val="105"/>
        </w:rPr>
        <w:t> </w:t>
      </w:r>
      <w:r>
        <w:rPr>
          <w:color w:val="231F20"/>
          <w:w w:val="105"/>
        </w:rPr>
        <w:t>sufrió</w:t>
      </w:r>
      <w:r>
        <w:rPr>
          <w:color w:val="231F20"/>
          <w:spacing w:val="-15"/>
          <w:w w:val="105"/>
        </w:rPr>
        <w:t> </w:t>
      </w:r>
      <w:r>
        <w:rPr>
          <w:color w:val="231F20"/>
          <w:w w:val="105"/>
        </w:rPr>
        <w:t>la</w:t>
      </w:r>
      <w:r>
        <w:rPr>
          <w:color w:val="231F20"/>
          <w:spacing w:val="-15"/>
          <w:w w:val="105"/>
        </w:rPr>
        <w:t> </w:t>
      </w:r>
      <w:r>
        <w:rPr>
          <w:color w:val="231F20"/>
          <w:w w:val="105"/>
        </w:rPr>
        <w:t>CNOP</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como</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diferentes ámbitos</w:t>
      </w:r>
      <w:r>
        <w:rPr>
          <w:color w:val="231F20"/>
          <w:spacing w:val="-8"/>
          <w:w w:val="105"/>
        </w:rPr>
        <w:t> </w:t>
      </w:r>
      <w:r>
        <w:rPr>
          <w:color w:val="231F20"/>
          <w:w w:val="105"/>
        </w:rPr>
        <w:t>de</w:t>
      </w:r>
      <w:r>
        <w:rPr>
          <w:color w:val="231F20"/>
          <w:spacing w:val="-8"/>
          <w:w w:val="105"/>
        </w:rPr>
        <w:t> </w:t>
      </w:r>
      <w:r>
        <w:rPr>
          <w:color w:val="231F20"/>
          <w:w w:val="105"/>
        </w:rPr>
        <w:t>gobierno,</w:t>
      </w:r>
      <w:r>
        <w:rPr>
          <w:color w:val="231F20"/>
          <w:spacing w:val="-8"/>
          <w:w w:val="105"/>
        </w:rPr>
        <w:t> </w:t>
      </w:r>
      <w:r>
        <w:rPr>
          <w:color w:val="231F20"/>
          <w:w w:val="105"/>
        </w:rPr>
        <w:t>de</w:t>
      </w:r>
      <w:r>
        <w:rPr>
          <w:color w:val="231F20"/>
          <w:spacing w:val="-8"/>
          <w:w w:val="105"/>
        </w:rPr>
        <w:t> </w:t>
      </w:r>
      <w:r>
        <w:rPr>
          <w:color w:val="231F20"/>
          <w:w w:val="105"/>
        </w:rPr>
        <w:t>alguna</w:t>
      </w:r>
      <w:r>
        <w:rPr>
          <w:color w:val="231F20"/>
          <w:spacing w:val="-8"/>
          <w:w w:val="105"/>
        </w:rPr>
        <w:t> </w:t>
      </w:r>
      <w:r>
        <w:rPr>
          <w:color w:val="231F20"/>
          <w:w w:val="105"/>
        </w:rPr>
        <w:t>manera</w:t>
      </w:r>
      <w:r>
        <w:rPr>
          <w:color w:val="231F20"/>
          <w:spacing w:val="-8"/>
          <w:w w:val="105"/>
        </w:rPr>
        <w:t> </w:t>
      </w:r>
      <w:r>
        <w:rPr>
          <w:color w:val="231F20"/>
          <w:w w:val="105"/>
        </w:rPr>
        <w:t>repercutió</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pérdida</w:t>
      </w:r>
      <w:r>
        <w:rPr>
          <w:color w:val="231F20"/>
          <w:spacing w:val="-8"/>
          <w:w w:val="105"/>
        </w:rPr>
        <w:t> </w:t>
      </w:r>
      <w:r>
        <w:rPr>
          <w:color w:val="231F20"/>
          <w:w w:val="105"/>
        </w:rPr>
        <w:t>de</w:t>
      </w:r>
      <w:r>
        <w:rPr>
          <w:color w:val="231F20"/>
          <w:spacing w:val="-8"/>
          <w:w w:val="105"/>
        </w:rPr>
        <w:t> </w:t>
      </w:r>
      <w:r>
        <w:rPr>
          <w:color w:val="231F20"/>
          <w:w w:val="105"/>
        </w:rPr>
        <w:t>legitimidad</w:t>
      </w:r>
      <w:r>
        <w:rPr>
          <w:color w:val="231F20"/>
          <w:spacing w:val="-8"/>
          <w:w w:val="105"/>
        </w:rPr>
        <w:t> </w:t>
      </w:r>
      <w:r>
        <w:rPr>
          <w:color w:val="231F20"/>
          <w:w w:val="105"/>
        </w:rPr>
        <w:t>y</w:t>
      </w:r>
      <w:r>
        <w:rPr>
          <w:color w:val="231F20"/>
          <w:spacing w:val="-8"/>
          <w:w w:val="105"/>
        </w:rPr>
        <w:t> </w:t>
      </w:r>
      <w:r>
        <w:rPr>
          <w:color w:val="231F20"/>
          <w:w w:val="105"/>
        </w:rPr>
        <w:t>forta- leza política del PRI, que a la postre contribuyó a la alternancia política. No obstante, ello</w:t>
      </w:r>
      <w:r>
        <w:rPr>
          <w:color w:val="231F20"/>
          <w:spacing w:val="-11"/>
          <w:w w:val="105"/>
        </w:rPr>
        <w:t> </w:t>
      </w:r>
      <w:r>
        <w:rPr>
          <w:color w:val="231F20"/>
          <w:w w:val="105"/>
        </w:rPr>
        <w:t>no</w:t>
      </w:r>
      <w:r>
        <w:rPr>
          <w:color w:val="231F20"/>
          <w:spacing w:val="-11"/>
          <w:w w:val="105"/>
        </w:rPr>
        <w:t> </w:t>
      </w:r>
      <w:r>
        <w:rPr>
          <w:color w:val="231F20"/>
          <w:w w:val="105"/>
        </w:rPr>
        <w:t>implica</w:t>
      </w:r>
      <w:r>
        <w:rPr>
          <w:color w:val="231F20"/>
          <w:spacing w:val="-11"/>
          <w:w w:val="105"/>
        </w:rPr>
        <w:t> </w:t>
      </w:r>
      <w:r>
        <w:rPr>
          <w:color w:val="231F20"/>
          <w:w w:val="105"/>
        </w:rPr>
        <w:t>que</w:t>
      </w:r>
      <w:r>
        <w:rPr>
          <w:color w:val="231F20"/>
          <w:spacing w:val="-11"/>
          <w:w w:val="105"/>
        </w:rPr>
        <w:t> </w:t>
      </w:r>
      <w:r>
        <w:rPr>
          <w:color w:val="231F20"/>
          <w:w w:val="105"/>
        </w:rPr>
        <w:t>a</w:t>
      </w:r>
      <w:r>
        <w:rPr>
          <w:color w:val="231F20"/>
          <w:spacing w:val="-11"/>
          <w:w w:val="105"/>
        </w:rPr>
        <w:t> </w:t>
      </w:r>
      <w:r>
        <w:rPr>
          <w:color w:val="231F20"/>
          <w:spacing w:val="2"/>
          <w:w w:val="105"/>
        </w:rPr>
        <w:t>partir</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administraciones</w:t>
      </w:r>
      <w:r>
        <w:rPr>
          <w:color w:val="231F20"/>
          <w:spacing w:val="-11"/>
          <w:w w:val="105"/>
        </w:rPr>
        <w:t> </w:t>
      </w:r>
      <w:r>
        <w:rPr>
          <w:color w:val="231F20"/>
          <w:w w:val="105"/>
        </w:rPr>
        <w:t>perredistas</w:t>
      </w:r>
      <w:r>
        <w:rPr>
          <w:color w:val="231F20"/>
          <w:spacing w:val="-11"/>
          <w:w w:val="105"/>
        </w:rPr>
        <w:t> </w:t>
      </w:r>
      <w:r>
        <w:rPr>
          <w:color w:val="231F20"/>
          <w:w w:val="105"/>
        </w:rPr>
        <w:t>en</w:t>
      </w:r>
      <w:r>
        <w:rPr>
          <w:color w:val="231F20"/>
          <w:spacing w:val="-11"/>
          <w:w w:val="105"/>
        </w:rPr>
        <w:t> </w:t>
      </w:r>
      <w:r>
        <w:rPr>
          <w:color w:val="231F20"/>
          <w:w w:val="105"/>
        </w:rPr>
        <w:t>Nezahualcóyotl,</w:t>
      </w:r>
      <w:r>
        <w:rPr>
          <w:color w:val="231F20"/>
          <w:spacing w:val="-11"/>
          <w:w w:val="105"/>
        </w:rPr>
        <w:t> </w:t>
      </w:r>
      <w:r>
        <w:rPr>
          <w:color w:val="231F20"/>
          <w:w w:val="105"/>
        </w:rPr>
        <w:t>este tipo de relaciones hayan desaparecido, sino más bien sufrieron un proceso de trans- formación hacia un neocorporativismo o corporativismo social, caracterizado por una relación</w:t>
      </w:r>
      <w:r>
        <w:rPr>
          <w:color w:val="231F20"/>
          <w:spacing w:val="-10"/>
          <w:w w:val="105"/>
        </w:rPr>
        <w:t> </w:t>
      </w:r>
      <w:r>
        <w:rPr>
          <w:color w:val="231F20"/>
          <w:w w:val="105"/>
        </w:rPr>
        <w:t>entre</w:t>
      </w:r>
      <w:r>
        <w:rPr>
          <w:color w:val="231F20"/>
          <w:spacing w:val="-10"/>
          <w:w w:val="105"/>
        </w:rPr>
        <w:t> </w:t>
      </w:r>
      <w:r>
        <w:rPr>
          <w:color w:val="231F20"/>
          <w:w w:val="105"/>
        </w:rPr>
        <w:t>gobierno</w:t>
      </w:r>
      <w:r>
        <w:rPr>
          <w:color w:val="231F20"/>
          <w:spacing w:val="-10"/>
          <w:w w:val="105"/>
        </w:rPr>
        <w:t> </w:t>
      </w:r>
      <w:r>
        <w:rPr>
          <w:color w:val="231F20"/>
          <w:w w:val="105"/>
        </w:rPr>
        <w:t>y</w:t>
      </w:r>
      <w:r>
        <w:rPr>
          <w:color w:val="231F20"/>
          <w:spacing w:val="-10"/>
          <w:w w:val="105"/>
        </w:rPr>
        <w:t> </w:t>
      </w:r>
      <w:r>
        <w:rPr>
          <w:color w:val="231F20"/>
          <w:w w:val="105"/>
        </w:rPr>
        <w:t>pequeñas</w:t>
      </w:r>
      <w:r>
        <w:rPr>
          <w:color w:val="231F20"/>
          <w:spacing w:val="-10"/>
          <w:w w:val="105"/>
        </w:rPr>
        <w:t> </w:t>
      </w:r>
      <w:r>
        <w:rPr>
          <w:color w:val="231F20"/>
          <w:w w:val="105"/>
        </w:rPr>
        <w:t>organizaciones</w:t>
      </w:r>
      <w:r>
        <w:rPr>
          <w:color w:val="231F20"/>
          <w:spacing w:val="-10"/>
          <w:w w:val="105"/>
        </w:rPr>
        <w:t> </w:t>
      </w:r>
      <w:r>
        <w:rPr>
          <w:color w:val="231F20"/>
          <w:w w:val="105"/>
        </w:rPr>
        <w:t>territoriales</w:t>
      </w:r>
      <w:r>
        <w:rPr>
          <w:color w:val="231F20"/>
          <w:spacing w:val="-10"/>
          <w:w w:val="105"/>
        </w:rPr>
        <w:t> </w:t>
      </w:r>
      <w:r>
        <w:rPr>
          <w:color w:val="231F20"/>
          <w:w w:val="105"/>
        </w:rPr>
        <w:t>que</w:t>
      </w:r>
      <w:r>
        <w:rPr>
          <w:color w:val="231F20"/>
          <w:spacing w:val="-10"/>
          <w:w w:val="105"/>
        </w:rPr>
        <w:t> </w:t>
      </w:r>
      <w:r>
        <w:rPr>
          <w:color w:val="231F20"/>
          <w:w w:val="105"/>
        </w:rPr>
        <w:t>les</w:t>
      </w:r>
      <w:r>
        <w:rPr>
          <w:color w:val="231F20"/>
          <w:spacing w:val="-10"/>
          <w:w w:val="105"/>
        </w:rPr>
        <w:t> </w:t>
      </w:r>
      <w:r>
        <w:rPr>
          <w:color w:val="231F20"/>
          <w:w w:val="105"/>
        </w:rPr>
        <w:t>permite</w:t>
      </w:r>
      <w:r>
        <w:rPr>
          <w:color w:val="231F20"/>
          <w:spacing w:val="-10"/>
          <w:w w:val="105"/>
        </w:rPr>
        <w:t> </w:t>
      </w:r>
      <w:r>
        <w:rPr>
          <w:color w:val="231F20"/>
          <w:w w:val="105"/>
        </w:rPr>
        <w:t>atender demandas</w:t>
      </w:r>
      <w:r>
        <w:rPr>
          <w:color w:val="231F20"/>
          <w:spacing w:val="-19"/>
          <w:w w:val="105"/>
        </w:rPr>
        <w:t> </w:t>
      </w:r>
      <w:r>
        <w:rPr>
          <w:color w:val="231F20"/>
          <w:w w:val="105"/>
        </w:rPr>
        <w:t>y</w:t>
      </w:r>
      <w:r>
        <w:rPr>
          <w:color w:val="231F20"/>
          <w:spacing w:val="-19"/>
          <w:w w:val="105"/>
        </w:rPr>
        <w:t> </w:t>
      </w:r>
      <w:r>
        <w:rPr>
          <w:color w:val="231F20"/>
          <w:w w:val="105"/>
        </w:rPr>
        <w:t>proveer</w:t>
      </w:r>
      <w:r>
        <w:rPr>
          <w:color w:val="231F20"/>
          <w:spacing w:val="-19"/>
          <w:w w:val="105"/>
        </w:rPr>
        <w:t> </w:t>
      </w:r>
      <w:r>
        <w:rPr>
          <w:color w:val="231F20"/>
          <w:w w:val="105"/>
        </w:rPr>
        <w:t>de</w:t>
      </w:r>
      <w:r>
        <w:rPr>
          <w:color w:val="231F20"/>
          <w:spacing w:val="-19"/>
          <w:w w:val="105"/>
        </w:rPr>
        <w:t> </w:t>
      </w:r>
      <w:r>
        <w:rPr>
          <w:color w:val="231F20"/>
          <w:w w:val="105"/>
        </w:rPr>
        <w:t>ciertas</w:t>
      </w:r>
      <w:r>
        <w:rPr>
          <w:color w:val="231F20"/>
          <w:spacing w:val="-19"/>
          <w:w w:val="105"/>
        </w:rPr>
        <w:t> </w:t>
      </w:r>
      <w:r>
        <w:rPr>
          <w:color w:val="231F20"/>
          <w:w w:val="105"/>
        </w:rPr>
        <w:t>canonjías</w:t>
      </w:r>
      <w:r>
        <w:rPr>
          <w:color w:val="231F20"/>
          <w:spacing w:val="-19"/>
          <w:w w:val="105"/>
        </w:rPr>
        <w:t> </w:t>
      </w:r>
      <w:r>
        <w:rPr>
          <w:color w:val="231F20"/>
          <w:w w:val="105"/>
        </w:rPr>
        <w:t>a</w:t>
      </w:r>
      <w:r>
        <w:rPr>
          <w:color w:val="231F20"/>
          <w:spacing w:val="-19"/>
          <w:w w:val="105"/>
        </w:rPr>
        <w:t> </w:t>
      </w:r>
      <w:r>
        <w:rPr>
          <w:color w:val="231F20"/>
          <w:w w:val="105"/>
        </w:rPr>
        <w:t>cambio</w:t>
      </w:r>
      <w:r>
        <w:rPr>
          <w:color w:val="231F20"/>
          <w:spacing w:val="-19"/>
          <w:w w:val="105"/>
        </w:rPr>
        <w:t> </w:t>
      </w:r>
      <w:r>
        <w:rPr>
          <w:color w:val="231F20"/>
          <w:w w:val="105"/>
        </w:rPr>
        <w:t>del</w:t>
      </w:r>
      <w:r>
        <w:rPr>
          <w:color w:val="231F20"/>
          <w:spacing w:val="-19"/>
          <w:w w:val="105"/>
        </w:rPr>
        <w:t> </w:t>
      </w:r>
      <w:r>
        <w:rPr>
          <w:color w:val="231F20"/>
          <w:w w:val="105"/>
        </w:rPr>
        <w:t>apoyo</w:t>
      </w:r>
      <w:r>
        <w:rPr>
          <w:color w:val="231F20"/>
          <w:spacing w:val="-19"/>
          <w:w w:val="105"/>
        </w:rPr>
        <w:t> </w:t>
      </w:r>
      <w:r>
        <w:rPr>
          <w:color w:val="231F20"/>
          <w:w w:val="105"/>
        </w:rPr>
        <w:t>de</w:t>
      </w:r>
      <w:r>
        <w:rPr>
          <w:color w:val="231F20"/>
          <w:spacing w:val="-19"/>
          <w:w w:val="105"/>
        </w:rPr>
        <w:t> </w:t>
      </w:r>
      <w:r>
        <w:rPr>
          <w:color w:val="231F20"/>
          <w:w w:val="105"/>
        </w:rPr>
        <w:t>estas</w:t>
      </w:r>
      <w:r>
        <w:rPr>
          <w:color w:val="231F20"/>
          <w:spacing w:val="-19"/>
          <w:w w:val="105"/>
        </w:rPr>
        <w:t> </w:t>
      </w:r>
      <w:r>
        <w:rPr>
          <w:color w:val="231F20"/>
          <w:w w:val="105"/>
        </w:rPr>
        <w:t>organizaciones.</w:t>
      </w:r>
      <w:r>
        <w:rPr>
          <w:color w:val="231F20"/>
          <w:spacing w:val="-19"/>
          <w:w w:val="105"/>
        </w:rPr>
        <w:t> </w:t>
      </w:r>
      <w:r>
        <w:rPr>
          <w:color w:val="231F20"/>
          <w:w w:val="105"/>
        </w:rPr>
        <w:t>Es decir, si anteriormente el corporativismo estaba mediado entre autoridades y grandes corporaciones,</w:t>
      </w:r>
      <w:r>
        <w:rPr>
          <w:color w:val="231F20"/>
          <w:spacing w:val="-6"/>
          <w:w w:val="105"/>
        </w:rPr>
        <w:t> </w:t>
      </w:r>
      <w:r>
        <w:rPr>
          <w:color w:val="231F20"/>
          <w:w w:val="105"/>
        </w:rPr>
        <w:t>ahora</w:t>
      </w:r>
      <w:r>
        <w:rPr>
          <w:color w:val="231F20"/>
          <w:spacing w:val="-6"/>
          <w:w w:val="105"/>
        </w:rPr>
        <w:t> </w:t>
      </w:r>
      <w:r>
        <w:rPr>
          <w:color w:val="231F20"/>
          <w:w w:val="105"/>
        </w:rPr>
        <w:t>dicha</w:t>
      </w:r>
      <w:r>
        <w:rPr>
          <w:color w:val="231F20"/>
          <w:spacing w:val="-6"/>
          <w:w w:val="105"/>
        </w:rPr>
        <w:t> </w:t>
      </w:r>
      <w:r>
        <w:rPr>
          <w:color w:val="231F20"/>
          <w:w w:val="105"/>
        </w:rPr>
        <w:t>relación</w:t>
      </w:r>
      <w:r>
        <w:rPr>
          <w:color w:val="231F20"/>
          <w:spacing w:val="-6"/>
          <w:w w:val="105"/>
        </w:rPr>
        <w:t> </w:t>
      </w:r>
      <w:r>
        <w:rPr>
          <w:color w:val="231F20"/>
          <w:w w:val="105"/>
        </w:rPr>
        <w:t>se</w:t>
      </w:r>
      <w:r>
        <w:rPr>
          <w:color w:val="231F20"/>
          <w:spacing w:val="-6"/>
          <w:w w:val="105"/>
        </w:rPr>
        <w:t> </w:t>
      </w:r>
      <w:r>
        <w:rPr>
          <w:color w:val="231F20"/>
          <w:w w:val="105"/>
        </w:rPr>
        <w:t>da</w:t>
      </w:r>
      <w:r>
        <w:rPr>
          <w:color w:val="231F20"/>
          <w:spacing w:val="-6"/>
          <w:w w:val="105"/>
        </w:rPr>
        <w:t> </w:t>
      </w:r>
      <w:r>
        <w:rPr>
          <w:color w:val="231F20"/>
          <w:w w:val="105"/>
        </w:rPr>
        <w:t>entre</w:t>
      </w:r>
      <w:r>
        <w:rPr>
          <w:color w:val="231F20"/>
          <w:spacing w:val="-6"/>
          <w:w w:val="105"/>
        </w:rPr>
        <w:t> </w:t>
      </w:r>
      <w:r>
        <w:rPr>
          <w:color w:val="231F20"/>
          <w:w w:val="105"/>
        </w:rPr>
        <w:t>el</w:t>
      </w:r>
      <w:r>
        <w:rPr>
          <w:color w:val="231F20"/>
          <w:spacing w:val="-6"/>
          <w:w w:val="105"/>
        </w:rPr>
        <w:t> </w:t>
      </w:r>
      <w:r>
        <w:rPr>
          <w:color w:val="231F20"/>
          <w:w w:val="105"/>
        </w:rPr>
        <w:t>gobierno</w:t>
      </w:r>
      <w:r>
        <w:rPr>
          <w:color w:val="231F20"/>
          <w:spacing w:val="-6"/>
          <w:w w:val="105"/>
        </w:rPr>
        <w:t> </w:t>
      </w:r>
      <w:r>
        <w:rPr>
          <w:color w:val="231F20"/>
          <w:w w:val="105"/>
        </w:rPr>
        <w:t>y</w:t>
      </w:r>
      <w:r>
        <w:rPr>
          <w:color w:val="231F20"/>
          <w:spacing w:val="-6"/>
          <w:w w:val="105"/>
        </w:rPr>
        <w:t> </w:t>
      </w:r>
      <w:r>
        <w:rPr>
          <w:color w:val="231F20"/>
          <w:w w:val="105"/>
        </w:rPr>
        <w:t>pequeñas</w:t>
      </w:r>
      <w:r>
        <w:rPr>
          <w:color w:val="231F20"/>
          <w:spacing w:val="-6"/>
          <w:w w:val="105"/>
        </w:rPr>
        <w:t> </w:t>
      </w:r>
      <w:r>
        <w:rPr>
          <w:color w:val="231F20"/>
          <w:w w:val="105"/>
        </w:rPr>
        <w:t>organizaciones territoriales,</w:t>
      </w:r>
      <w:r>
        <w:rPr>
          <w:color w:val="231F20"/>
          <w:spacing w:val="-10"/>
          <w:w w:val="105"/>
        </w:rPr>
        <w:t> </w:t>
      </w:r>
      <w:r>
        <w:rPr>
          <w:color w:val="231F20"/>
          <w:w w:val="105"/>
        </w:rPr>
        <w:t>provocando</w:t>
      </w:r>
      <w:r>
        <w:rPr>
          <w:color w:val="231F20"/>
          <w:spacing w:val="-10"/>
          <w:w w:val="105"/>
        </w:rPr>
        <w:t> </w:t>
      </w:r>
      <w:r>
        <w:rPr>
          <w:color w:val="231F20"/>
          <w:w w:val="105"/>
        </w:rPr>
        <w:t>de</w:t>
      </w:r>
      <w:r>
        <w:rPr>
          <w:color w:val="231F20"/>
          <w:spacing w:val="-10"/>
          <w:w w:val="105"/>
        </w:rPr>
        <w:t> </w:t>
      </w:r>
      <w:r>
        <w:rPr>
          <w:color w:val="231F20"/>
          <w:w w:val="105"/>
        </w:rPr>
        <w:t>alguna</w:t>
      </w:r>
      <w:r>
        <w:rPr>
          <w:color w:val="231F20"/>
          <w:spacing w:val="-10"/>
          <w:w w:val="105"/>
        </w:rPr>
        <w:t> </w:t>
      </w:r>
      <w:r>
        <w:rPr>
          <w:color w:val="231F20"/>
          <w:w w:val="105"/>
        </w:rPr>
        <w:t>manera</w:t>
      </w:r>
      <w:r>
        <w:rPr>
          <w:color w:val="231F20"/>
          <w:spacing w:val="-10"/>
          <w:w w:val="105"/>
        </w:rPr>
        <w:t> </w:t>
      </w:r>
      <w:r>
        <w:rPr>
          <w:color w:val="231F20"/>
          <w:w w:val="105"/>
        </w:rPr>
        <w:t>la</w:t>
      </w:r>
      <w:r>
        <w:rPr>
          <w:color w:val="231F20"/>
          <w:spacing w:val="-10"/>
          <w:w w:val="105"/>
        </w:rPr>
        <w:t> </w:t>
      </w:r>
      <w:r>
        <w:rPr>
          <w:color w:val="231F20"/>
          <w:w w:val="105"/>
        </w:rPr>
        <w:t>socialización</w:t>
      </w:r>
      <w:r>
        <w:rPr>
          <w:color w:val="231F20"/>
          <w:spacing w:val="-10"/>
          <w:w w:val="105"/>
        </w:rPr>
        <w:t> </w:t>
      </w:r>
      <w:r>
        <w:rPr>
          <w:color w:val="231F20"/>
          <w:w w:val="105"/>
        </w:rPr>
        <w:t>de</w:t>
      </w:r>
      <w:r>
        <w:rPr>
          <w:color w:val="231F20"/>
          <w:spacing w:val="-10"/>
          <w:w w:val="105"/>
        </w:rPr>
        <w:t> </w:t>
      </w:r>
      <w:r>
        <w:rPr>
          <w:color w:val="231F20"/>
          <w:w w:val="105"/>
        </w:rPr>
        <w:t>algunos</w:t>
      </w:r>
      <w:r>
        <w:rPr>
          <w:color w:val="231F20"/>
          <w:spacing w:val="-10"/>
          <w:w w:val="105"/>
        </w:rPr>
        <w:t> </w:t>
      </w:r>
      <w:r>
        <w:rPr>
          <w:color w:val="231F20"/>
          <w:w w:val="105"/>
        </w:rPr>
        <w:t>beneficios</w:t>
      </w:r>
      <w:r>
        <w:rPr>
          <w:color w:val="231F20"/>
          <w:spacing w:val="-10"/>
          <w:w w:val="105"/>
        </w:rPr>
        <w:t> </w:t>
      </w:r>
      <w:r>
        <w:rPr>
          <w:color w:val="231F20"/>
          <w:w w:val="105"/>
        </w:rPr>
        <w:t>de</w:t>
      </w:r>
      <w:r>
        <w:rPr>
          <w:color w:val="231F20"/>
          <w:spacing w:val="-10"/>
          <w:w w:val="105"/>
        </w:rPr>
        <w:t> </w:t>
      </w:r>
      <w:r>
        <w:rPr>
          <w:color w:val="231F20"/>
          <w:w w:val="105"/>
        </w:rPr>
        <w:t>la administración</w:t>
      </w:r>
      <w:r>
        <w:rPr>
          <w:color w:val="231F20"/>
          <w:spacing w:val="3"/>
          <w:w w:val="105"/>
        </w:rPr>
        <w:t> </w:t>
      </w:r>
      <w:r>
        <w:rPr>
          <w:color w:val="231F20"/>
          <w:w w:val="105"/>
        </w:rPr>
        <w:t>municipal.</w:t>
      </w:r>
    </w:p>
    <w:p>
      <w:pPr>
        <w:pStyle w:val="BodyText"/>
        <w:spacing w:before="1"/>
        <w:rPr>
          <w:sz w:val="26"/>
        </w:rPr>
      </w:pPr>
    </w:p>
    <w:p>
      <w:pPr>
        <w:pStyle w:val="BodyText"/>
        <w:spacing w:line="285" w:lineRule="auto"/>
        <w:ind w:left="110" w:right="108"/>
        <w:jc w:val="both"/>
      </w:pPr>
      <w:r>
        <w:rPr>
          <w:color w:val="231F20"/>
          <w:w w:val="105"/>
        </w:rPr>
        <w:t>La</w:t>
      </w:r>
      <w:r>
        <w:rPr>
          <w:color w:val="231F20"/>
          <w:spacing w:val="-15"/>
          <w:w w:val="105"/>
        </w:rPr>
        <w:t> </w:t>
      </w:r>
      <w:r>
        <w:rPr>
          <w:color w:val="231F20"/>
          <w:w w:val="105"/>
        </w:rPr>
        <w:t>relevancia</w:t>
      </w:r>
      <w:r>
        <w:rPr>
          <w:color w:val="231F20"/>
          <w:spacing w:val="-15"/>
          <w:w w:val="105"/>
        </w:rPr>
        <w:t> </w:t>
      </w:r>
      <w:r>
        <w:rPr>
          <w:color w:val="231F20"/>
          <w:w w:val="105"/>
        </w:rPr>
        <w:t>de</w:t>
      </w:r>
      <w:r>
        <w:rPr>
          <w:color w:val="231F20"/>
          <w:spacing w:val="-15"/>
          <w:w w:val="105"/>
        </w:rPr>
        <w:t> </w:t>
      </w:r>
      <w:r>
        <w:rPr>
          <w:color w:val="231F20"/>
          <w:w w:val="105"/>
        </w:rPr>
        <w:t>esta</w:t>
      </w:r>
      <w:r>
        <w:rPr>
          <w:color w:val="231F20"/>
          <w:spacing w:val="-15"/>
          <w:w w:val="105"/>
        </w:rPr>
        <w:t> </w:t>
      </w:r>
      <w:r>
        <w:rPr>
          <w:color w:val="231F20"/>
          <w:w w:val="105"/>
        </w:rPr>
        <w:t>relación</w:t>
      </w:r>
      <w:r>
        <w:rPr>
          <w:color w:val="231F20"/>
          <w:spacing w:val="-15"/>
          <w:w w:val="105"/>
        </w:rPr>
        <w:t> </w:t>
      </w:r>
      <w:r>
        <w:rPr>
          <w:color w:val="231F20"/>
          <w:w w:val="105"/>
        </w:rPr>
        <w:t>entre</w:t>
      </w:r>
      <w:r>
        <w:rPr>
          <w:color w:val="231F20"/>
          <w:spacing w:val="-15"/>
          <w:w w:val="105"/>
        </w:rPr>
        <w:t> </w:t>
      </w:r>
      <w:r>
        <w:rPr>
          <w:color w:val="231F20"/>
          <w:w w:val="105"/>
        </w:rPr>
        <w:t>las</w:t>
      </w:r>
      <w:r>
        <w:rPr>
          <w:color w:val="231F20"/>
          <w:spacing w:val="-15"/>
          <w:w w:val="105"/>
        </w:rPr>
        <w:t> </w:t>
      </w:r>
      <w:r>
        <w:rPr>
          <w:color w:val="231F20"/>
          <w:w w:val="105"/>
        </w:rPr>
        <w:t>autoridades</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w w:val="105"/>
        </w:rPr>
        <w:t>organizaciones</w:t>
      </w:r>
      <w:r>
        <w:rPr>
          <w:color w:val="231F20"/>
          <w:spacing w:val="-15"/>
          <w:w w:val="105"/>
        </w:rPr>
        <w:t> </w:t>
      </w:r>
      <w:r>
        <w:rPr>
          <w:color w:val="231F20"/>
          <w:w w:val="105"/>
        </w:rPr>
        <w:t>sociales</w:t>
      </w:r>
      <w:r>
        <w:rPr>
          <w:color w:val="231F20"/>
          <w:spacing w:val="-15"/>
          <w:w w:val="105"/>
        </w:rPr>
        <w:t> </w:t>
      </w:r>
      <w:r>
        <w:rPr>
          <w:color w:val="231F20"/>
          <w:w w:val="105"/>
        </w:rPr>
        <w:t>en</w:t>
      </w:r>
      <w:r>
        <w:rPr>
          <w:color w:val="231F20"/>
          <w:spacing w:val="-15"/>
          <w:w w:val="105"/>
        </w:rPr>
        <w:t> </w:t>
      </w:r>
      <w:r>
        <w:rPr>
          <w:color w:val="231F20"/>
          <w:w w:val="105"/>
        </w:rPr>
        <w:t>Ne- zahualcóyotl es muy importante para entender el éxito y el predominio del PRD en este</w:t>
      </w:r>
      <w:r>
        <w:rPr>
          <w:color w:val="231F20"/>
          <w:spacing w:val="-9"/>
          <w:w w:val="105"/>
        </w:rPr>
        <w:t> </w:t>
      </w:r>
      <w:r>
        <w:rPr>
          <w:color w:val="231F20"/>
          <w:w w:val="105"/>
        </w:rPr>
        <w:t>municipio.</w:t>
      </w:r>
      <w:r>
        <w:rPr>
          <w:color w:val="231F20"/>
          <w:spacing w:val="-9"/>
          <w:w w:val="105"/>
        </w:rPr>
        <w:t> </w:t>
      </w:r>
      <w:r>
        <w:rPr>
          <w:color w:val="231F20"/>
          <w:w w:val="105"/>
        </w:rPr>
        <w:t>Debido</w:t>
      </w:r>
      <w:r>
        <w:rPr>
          <w:color w:val="231F20"/>
          <w:spacing w:val="-9"/>
          <w:w w:val="105"/>
        </w:rPr>
        <w:t> </w:t>
      </w:r>
      <w:r>
        <w:rPr>
          <w:color w:val="231F20"/>
          <w:w w:val="105"/>
        </w:rPr>
        <w:t>a</w:t>
      </w:r>
      <w:r>
        <w:rPr>
          <w:color w:val="231F20"/>
          <w:spacing w:val="-9"/>
          <w:w w:val="105"/>
        </w:rPr>
        <w:t> </w:t>
      </w:r>
      <w:r>
        <w:rPr>
          <w:color w:val="231F20"/>
          <w:w w:val="105"/>
        </w:rPr>
        <w:t>que</w:t>
      </w:r>
      <w:r>
        <w:rPr>
          <w:color w:val="231F20"/>
          <w:spacing w:val="-9"/>
          <w:w w:val="105"/>
        </w:rPr>
        <w:t> </w:t>
      </w:r>
      <w:r>
        <w:rPr>
          <w:color w:val="231F20"/>
          <w:w w:val="105"/>
        </w:rPr>
        <w:t>tomando</w:t>
      </w:r>
      <w:r>
        <w:rPr>
          <w:color w:val="231F20"/>
          <w:spacing w:val="-9"/>
          <w:w w:val="105"/>
        </w:rPr>
        <w:t> </w:t>
      </w:r>
      <w:r>
        <w:rPr>
          <w:color w:val="231F20"/>
          <w:w w:val="105"/>
        </w:rPr>
        <w:t>en</w:t>
      </w:r>
      <w:r>
        <w:rPr>
          <w:color w:val="231F20"/>
          <w:spacing w:val="-9"/>
          <w:w w:val="105"/>
        </w:rPr>
        <w:t> </w:t>
      </w:r>
      <w:r>
        <w:rPr>
          <w:color w:val="231F20"/>
          <w:w w:val="105"/>
        </w:rPr>
        <w:t>consideración</w:t>
      </w:r>
      <w:r>
        <w:rPr>
          <w:color w:val="231F20"/>
          <w:spacing w:val="-9"/>
          <w:w w:val="105"/>
        </w:rPr>
        <w:t> </w:t>
      </w:r>
      <w:r>
        <w:rPr>
          <w:color w:val="231F20"/>
          <w:w w:val="105"/>
        </w:rPr>
        <w:t>que</w:t>
      </w:r>
      <w:r>
        <w:rPr>
          <w:color w:val="231F20"/>
          <w:spacing w:val="-9"/>
          <w:w w:val="105"/>
        </w:rPr>
        <w:t> </w:t>
      </w:r>
      <w:r>
        <w:rPr>
          <w:color w:val="231F20"/>
          <w:w w:val="105"/>
        </w:rPr>
        <w:t>en</w:t>
      </w:r>
      <w:r>
        <w:rPr>
          <w:color w:val="231F20"/>
          <w:spacing w:val="-9"/>
          <w:w w:val="105"/>
        </w:rPr>
        <w:t> </w:t>
      </w:r>
      <w:r>
        <w:rPr>
          <w:color w:val="231F20"/>
          <w:w w:val="105"/>
        </w:rPr>
        <w:t>esta</w:t>
      </w:r>
      <w:r>
        <w:rPr>
          <w:color w:val="231F20"/>
          <w:spacing w:val="-9"/>
          <w:w w:val="105"/>
        </w:rPr>
        <w:t> </w:t>
      </w:r>
      <w:r>
        <w:rPr>
          <w:color w:val="231F20"/>
          <w:w w:val="105"/>
        </w:rPr>
        <w:t>demarcación</w:t>
      </w:r>
      <w:r>
        <w:rPr>
          <w:color w:val="231F20"/>
          <w:spacing w:val="-9"/>
          <w:w w:val="105"/>
        </w:rPr>
        <w:t> </w:t>
      </w:r>
      <w:r>
        <w:rPr>
          <w:color w:val="231F20"/>
          <w:w w:val="105"/>
        </w:rPr>
        <w:t>exis- ten más de 260 organizaciones, ya no sólo de tipo reivindicativo de servicios públicos básicos sino de todo tipo, desde agrupaciones gremiales, pasando por asociaciones de transportistas, de comerciantes de diverso giro, hasta de grupos de drogadictos en re- cuperación. Inclusive los líderes del PRD en el municipio son quienes encabezan las principales</w:t>
      </w:r>
      <w:r>
        <w:rPr>
          <w:color w:val="231F20"/>
          <w:spacing w:val="-14"/>
          <w:w w:val="105"/>
        </w:rPr>
        <w:t> </w:t>
      </w:r>
      <w:r>
        <w:rPr>
          <w:color w:val="231F20"/>
          <w:w w:val="105"/>
        </w:rPr>
        <w:t>organizaciones</w:t>
      </w:r>
      <w:r>
        <w:rPr>
          <w:color w:val="231F20"/>
          <w:spacing w:val="-14"/>
          <w:w w:val="105"/>
        </w:rPr>
        <w:t> </w:t>
      </w:r>
      <w:r>
        <w:rPr>
          <w:color w:val="231F20"/>
          <w:w w:val="105"/>
        </w:rPr>
        <w:t>políticas</w:t>
      </w:r>
      <w:r>
        <w:rPr>
          <w:color w:val="231F20"/>
          <w:spacing w:val="-14"/>
          <w:w w:val="105"/>
        </w:rPr>
        <w:t> </w:t>
      </w:r>
      <w:r>
        <w:rPr>
          <w:color w:val="231F20"/>
          <w:w w:val="105"/>
        </w:rPr>
        <w:t>del</w:t>
      </w:r>
      <w:r>
        <w:rPr>
          <w:color w:val="231F20"/>
          <w:spacing w:val="-14"/>
          <w:w w:val="105"/>
        </w:rPr>
        <w:t> </w:t>
      </w:r>
      <w:r>
        <w:rPr>
          <w:color w:val="231F20"/>
          <w:w w:val="105"/>
        </w:rPr>
        <w:t>municipio,</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este</w:t>
      </w:r>
      <w:r>
        <w:rPr>
          <w:color w:val="231F20"/>
          <w:spacing w:val="-14"/>
          <w:w w:val="105"/>
        </w:rPr>
        <w:t> </w:t>
      </w:r>
      <w:r>
        <w:rPr>
          <w:color w:val="231F20"/>
          <w:w w:val="105"/>
        </w:rPr>
        <w:t>partido</w:t>
      </w:r>
      <w:r>
        <w:rPr>
          <w:color w:val="231F20"/>
          <w:spacing w:val="-14"/>
          <w:w w:val="105"/>
        </w:rPr>
        <w:t> </w:t>
      </w:r>
      <w:r>
        <w:rPr>
          <w:color w:val="231F20"/>
          <w:w w:val="105"/>
        </w:rPr>
        <w:t>encuentra</w:t>
      </w:r>
      <w:r>
        <w:rPr>
          <w:color w:val="231F20"/>
          <w:spacing w:val="-14"/>
          <w:w w:val="105"/>
        </w:rPr>
        <w:t> </w:t>
      </w:r>
      <w:r>
        <w:rPr>
          <w:color w:val="231F20"/>
          <w:w w:val="105"/>
        </w:rPr>
        <w:t>en diversas</w:t>
      </w:r>
      <w:r>
        <w:rPr>
          <w:color w:val="231F20"/>
          <w:spacing w:val="-22"/>
          <w:w w:val="105"/>
        </w:rPr>
        <w:t> </w:t>
      </w:r>
      <w:r>
        <w:rPr>
          <w:color w:val="231F20"/>
          <w:w w:val="105"/>
        </w:rPr>
        <w:t>organizaciones</w:t>
      </w:r>
      <w:r>
        <w:rPr>
          <w:color w:val="231F20"/>
          <w:spacing w:val="-22"/>
          <w:w w:val="105"/>
        </w:rPr>
        <w:t> </w:t>
      </w:r>
      <w:r>
        <w:rPr>
          <w:color w:val="231F20"/>
          <w:w w:val="105"/>
        </w:rPr>
        <w:t>su</w:t>
      </w:r>
      <w:r>
        <w:rPr>
          <w:color w:val="231F20"/>
          <w:spacing w:val="-22"/>
          <w:w w:val="105"/>
        </w:rPr>
        <w:t> </w:t>
      </w:r>
      <w:r>
        <w:rPr>
          <w:color w:val="231F20"/>
          <w:w w:val="105"/>
        </w:rPr>
        <w:t>fuente</w:t>
      </w:r>
      <w:r>
        <w:rPr>
          <w:color w:val="231F20"/>
          <w:spacing w:val="-22"/>
          <w:w w:val="105"/>
        </w:rPr>
        <w:t> </w:t>
      </w:r>
      <w:r>
        <w:rPr>
          <w:color w:val="231F20"/>
          <w:w w:val="105"/>
        </w:rPr>
        <w:t>de</w:t>
      </w:r>
      <w:r>
        <w:rPr>
          <w:color w:val="231F20"/>
          <w:spacing w:val="-22"/>
          <w:w w:val="105"/>
        </w:rPr>
        <w:t> </w:t>
      </w:r>
      <w:r>
        <w:rPr>
          <w:color w:val="231F20"/>
          <w:w w:val="105"/>
        </w:rPr>
        <w:t>cuadros</w:t>
      </w:r>
      <w:r>
        <w:rPr>
          <w:color w:val="231F20"/>
          <w:spacing w:val="-22"/>
          <w:w w:val="105"/>
        </w:rPr>
        <w:t> </w:t>
      </w:r>
      <w:r>
        <w:rPr>
          <w:color w:val="231F20"/>
          <w:w w:val="105"/>
        </w:rPr>
        <w:t>políticos</w:t>
      </w:r>
      <w:r>
        <w:rPr>
          <w:color w:val="231F20"/>
          <w:spacing w:val="-22"/>
          <w:w w:val="105"/>
        </w:rPr>
        <w:t> </w:t>
      </w:r>
      <w:r>
        <w:rPr>
          <w:color w:val="231F20"/>
          <w:w w:val="105"/>
        </w:rPr>
        <w:t>y</w:t>
      </w:r>
      <w:r>
        <w:rPr>
          <w:color w:val="231F20"/>
          <w:spacing w:val="-22"/>
          <w:w w:val="105"/>
        </w:rPr>
        <w:t> </w:t>
      </w:r>
      <w:r>
        <w:rPr>
          <w:color w:val="231F20"/>
          <w:w w:val="105"/>
        </w:rPr>
        <w:t>administrativos</w:t>
      </w:r>
      <w:r>
        <w:rPr>
          <w:color w:val="231F20"/>
          <w:spacing w:val="-22"/>
          <w:w w:val="105"/>
        </w:rPr>
        <w:t> </w:t>
      </w:r>
      <w:r>
        <w:rPr>
          <w:color w:val="231F20"/>
          <w:w w:val="105"/>
        </w:rPr>
        <w:t>como</w:t>
      </w:r>
      <w:r>
        <w:rPr>
          <w:color w:val="231F20"/>
          <w:spacing w:val="-22"/>
          <w:w w:val="105"/>
        </w:rPr>
        <w:t> </w:t>
      </w:r>
      <w:r>
        <w:rPr>
          <w:color w:val="231F20"/>
          <w:w w:val="105"/>
        </w:rPr>
        <w:t>sus</w:t>
      </w:r>
      <w:r>
        <w:rPr>
          <w:color w:val="231F20"/>
          <w:spacing w:val="-22"/>
          <w:w w:val="105"/>
        </w:rPr>
        <w:t> </w:t>
      </w:r>
      <w:r>
        <w:rPr>
          <w:color w:val="231F20"/>
          <w:w w:val="105"/>
        </w:rPr>
        <w:t>bases de</w:t>
      </w:r>
      <w:r>
        <w:rPr>
          <w:color w:val="231F20"/>
          <w:spacing w:val="-25"/>
          <w:w w:val="105"/>
        </w:rPr>
        <w:t> </w:t>
      </w:r>
      <w:r>
        <w:rPr>
          <w:color w:val="231F20"/>
          <w:w w:val="105"/>
        </w:rPr>
        <w:t>apoyo</w:t>
      </w:r>
      <w:r>
        <w:rPr>
          <w:color w:val="231F20"/>
          <w:spacing w:val="-25"/>
          <w:w w:val="105"/>
        </w:rPr>
        <w:t> </w:t>
      </w:r>
      <w:r>
        <w:rPr>
          <w:color w:val="231F20"/>
          <w:w w:val="105"/>
        </w:rPr>
        <w:t>y</w:t>
      </w:r>
      <w:r>
        <w:rPr>
          <w:color w:val="231F20"/>
          <w:spacing w:val="-25"/>
          <w:w w:val="105"/>
        </w:rPr>
        <w:t> </w:t>
      </w:r>
      <w:r>
        <w:rPr>
          <w:color w:val="231F20"/>
          <w:w w:val="105"/>
        </w:rPr>
        <w:t>capital</w:t>
      </w:r>
      <w:r>
        <w:rPr>
          <w:color w:val="231F20"/>
          <w:spacing w:val="-25"/>
          <w:w w:val="105"/>
        </w:rPr>
        <w:t> </w:t>
      </w:r>
      <w:r>
        <w:rPr>
          <w:color w:val="231F20"/>
          <w:w w:val="105"/>
        </w:rPr>
        <w:t>político.</w:t>
      </w:r>
    </w:p>
    <w:p>
      <w:pPr>
        <w:pStyle w:val="BodyText"/>
        <w:spacing w:before="1"/>
        <w:rPr>
          <w:sz w:val="26"/>
        </w:rPr>
      </w:pPr>
    </w:p>
    <w:p>
      <w:pPr>
        <w:pStyle w:val="BodyText"/>
        <w:spacing w:line="285" w:lineRule="auto"/>
        <w:ind w:left="110" w:right="109"/>
        <w:jc w:val="both"/>
      </w:pP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siguiente</w:t>
      </w:r>
      <w:r>
        <w:rPr>
          <w:color w:val="231F20"/>
          <w:spacing w:val="-17"/>
          <w:w w:val="105"/>
        </w:rPr>
        <w:t> </w:t>
      </w:r>
      <w:r>
        <w:rPr>
          <w:color w:val="231F20"/>
          <w:w w:val="105"/>
        </w:rPr>
        <w:t>cuadro</w:t>
      </w:r>
      <w:r>
        <w:rPr>
          <w:color w:val="231F20"/>
          <w:spacing w:val="-17"/>
          <w:w w:val="105"/>
        </w:rPr>
        <w:t> </w:t>
      </w:r>
      <w:r>
        <w:rPr>
          <w:color w:val="231F20"/>
          <w:w w:val="105"/>
        </w:rPr>
        <w:t>podemos</w:t>
      </w:r>
      <w:r>
        <w:rPr>
          <w:color w:val="231F20"/>
          <w:spacing w:val="-17"/>
          <w:w w:val="105"/>
        </w:rPr>
        <w:t> </w:t>
      </w:r>
      <w:r>
        <w:rPr>
          <w:color w:val="231F20"/>
          <w:w w:val="105"/>
        </w:rPr>
        <w:t>observar</w:t>
      </w:r>
      <w:r>
        <w:rPr>
          <w:color w:val="231F20"/>
          <w:spacing w:val="-17"/>
          <w:w w:val="105"/>
        </w:rPr>
        <w:t> </w:t>
      </w:r>
      <w:r>
        <w:rPr>
          <w:color w:val="231F20"/>
          <w:w w:val="105"/>
        </w:rPr>
        <w:t>algunas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organizaciones</w:t>
      </w:r>
      <w:r>
        <w:rPr>
          <w:color w:val="231F20"/>
          <w:spacing w:val="-17"/>
          <w:w w:val="105"/>
        </w:rPr>
        <w:t> </w:t>
      </w:r>
      <w:r>
        <w:rPr>
          <w:color w:val="231F20"/>
          <w:w w:val="105"/>
        </w:rPr>
        <w:t>perredistas</w:t>
      </w:r>
      <w:r>
        <w:rPr>
          <w:color w:val="231F20"/>
          <w:spacing w:val="-17"/>
          <w:w w:val="105"/>
        </w:rPr>
        <w:t> </w:t>
      </w:r>
      <w:r>
        <w:rPr>
          <w:color w:val="231F20"/>
          <w:w w:val="105"/>
        </w:rPr>
        <w:t>más relevantes</w:t>
      </w:r>
      <w:r>
        <w:rPr>
          <w:color w:val="231F20"/>
          <w:spacing w:val="-17"/>
          <w:w w:val="105"/>
        </w:rPr>
        <w:t> </w:t>
      </w:r>
      <w:r>
        <w:rPr>
          <w:color w:val="231F20"/>
          <w:w w:val="105"/>
        </w:rPr>
        <w:t>que</w:t>
      </w:r>
      <w:r>
        <w:rPr>
          <w:color w:val="231F20"/>
          <w:spacing w:val="-17"/>
          <w:w w:val="105"/>
        </w:rPr>
        <w:t> </w:t>
      </w:r>
      <w:r>
        <w:rPr>
          <w:color w:val="231F20"/>
          <w:w w:val="105"/>
        </w:rPr>
        <w:t>existen</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de</w:t>
      </w:r>
      <w:r>
        <w:rPr>
          <w:color w:val="231F20"/>
          <w:spacing w:val="-17"/>
          <w:w w:val="105"/>
        </w:rPr>
        <w:t> </w:t>
      </w:r>
      <w:r>
        <w:rPr>
          <w:color w:val="231F20"/>
          <w:w w:val="105"/>
        </w:rPr>
        <w:t>Nezahualcóyotl.</w:t>
      </w:r>
    </w:p>
    <w:p>
      <w:pPr>
        <w:spacing w:after="0" w:line="285" w:lineRule="auto"/>
        <w:jc w:val="both"/>
        <w:sectPr>
          <w:footerReference w:type="default" r:id="rId870"/>
          <w:pgSz w:w="9640" w:h="12190"/>
          <w:pgMar w:footer="743" w:header="0" w:top="1120" w:bottom="940" w:left="740" w:right="740"/>
          <w:pgNumType w:start="410"/>
        </w:sectPr>
      </w:pPr>
    </w:p>
    <w:p>
      <w:pPr>
        <w:pStyle w:val="Heading5"/>
        <w:spacing w:line="285" w:lineRule="auto" w:before="27"/>
        <w:ind w:left="1435" w:right="809" w:hanging="469"/>
      </w:pPr>
      <w:r>
        <w:rPr>
          <w:color w:val="231F20"/>
          <w:w w:val="105"/>
        </w:rPr>
        <w:t>Cuadro</w:t>
      </w:r>
      <w:r>
        <w:rPr>
          <w:color w:val="231F20"/>
          <w:spacing w:val="-23"/>
          <w:w w:val="105"/>
        </w:rPr>
        <w:t> </w:t>
      </w:r>
      <w:r>
        <w:rPr>
          <w:color w:val="231F20"/>
          <w:w w:val="105"/>
        </w:rPr>
        <w:t>4</w:t>
      </w:r>
      <w:r>
        <w:rPr>
          <w:color w:val="231F20"/>
          <w:spacing w:val="-23"/>
          <w:w w:val="105"/>
        </w:rPr>
        <w:t> </w:t>
      </w:r>
      <w:r>
        <w:rPr>
          <w:color w:val="231F20"/>
          <w:w w:val="105"/>
        </w:rPr>
        <w:t>Principales</w:t>
      </w:r>
      <w:r>
        <w:rPr>
          <w:color w:val="231F20"/>
          <w:spacing w:val="-23"/>
          <w:w w:val="105"/>
        </w:rPr>
        <w:t> </w:t>
      </w:r>
      <w:r>
        <w:rPr>
          <w:color w:val="231F20"/>
          <w:w w:val="105"/>
        </w:rPr>
        <w:t>Líderes</w:t>
      </w:r>
      <w:r>
        <w:rPr>
          <w:color w:val="231F20"/>
          <w:spacing w:val="-23"/>
          <w:w w:val="105"/>
        </w:rPr>
        <w:t> </w:t>
      </w:r>
      <w:r>
        <w:rPr>
          <w:color w:val="231F20"/>
          <w:w w:val="105"/>
        </w:rPr>
        <w:t>y</w:t>
      </w:r>
      <w:r>
        <w:rPr>
          <w:color w:val="231F20"/>
          <w:spacing w:val="-23"/>
          <w:w w:val="105"/>
        </w:rPr>
        <w:t> </w:t>
      </w:r>
      <w:r>
        <w:rPr>
          <w:color w:val="231F20"/>
          <w:w w:val="105"/>
        </w:rPr>
        <w:t>Organizaciones</w:t>
      </w:r>
      <w:r>
        <w:rPr>
          <w:color w:val="231F20"/>
          <w:spacing w:val="-23"/>
          <w:w w:val="105"/>
        </w:rPr>
        <w:t> </w:t>
      </w:r>
      <w:r>
        <w:rPr>
          <w:color w:val="231F20"/>
          <w:w w:val="105"/>
        </w:rPr>
        <w:t>Sociales</w:t>
      </w:r>
      <w:r>
        <w:rPr>
          <w:color w:val="231F20"/>
          <w:spacing w:val="-23"/>
          <w:w w:val="105"/>
        </w:rPr>
        <w:t> </w:t>
      </w:r>
      <w:r>
        <w:rPr>
          <w:color w:val="231F20"/>
          <w:w w:val="105"/>
        </w:rPr>
        <w:t>del</w:t>
      </w:r>
      <w:r>
        <w:rPr>
          <w:color w:val="231F20"/>
          <w:spacing w:val="-23"/>
          <w:w w:val="105"/>
        </w:rPr>
        <w:t> </w:t>
      </w:r>
      <w:r>
        <w:rPr>
          <w:color w:val="231F20"/>
          <w:w w:val="105"/>
        </w:rPr>
        <w:t>PRD en</w:t>
      </w:r>
      <w:r>
        <w:rPr>
          <w:color w:val="231F20"/>
          <w:spacing w:val="-20"/>
          <w:w w:val="105"/>
        </w:rPr>
        <w:t> </w:t>
      </w:r>
      <w:r>
        <w:rPr>
          <w:color w:val="231F20"/>
          <w:w w:val="105"/>
        </w:rPr>
        <w:t>Nezahualcóyotl,</w:t>
      </w:r>
      <w:r>
        <w:rPr>
          <w:color w:val="231F20"/>
          <w:spacing w:val="-20"/>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0"/>
          <w:w w:val="105"/>
        </w:rPr>
        <w:t> </w:t>
      </w:r>
      <w:r>
        <w:rPr>
          <w:color w:val="231F20"/>
          <w:w w:val="105"/>
        </w:rPr>
        <w:t>Febrero</w:t>
      </w:r>
      <w:r>
        <w:rPr>
          <w:color w:val="231F20"/>
          <w:spacing w:val="-20"/>
          <w:w w:val="105"/>
        </w:rPr>
        <w:t> </w:t>
      </w:r>
      <w:r>
        <w:rPr>
          <w:color w:val="231F20"/>
          <w:w w:val="105"/>
        </w:rPr>
        <w:t>de</w:t>
      </w:r>
      <w:r>
        <w:rPr>
          <w:color w:val="231F20"/>
          <w:spacing w:val="-20"/>
          <w:w w:val="105"/>
        </w:rPr>
        <w:t> </w:t>
      </w:r>
      <w:r>
        <w:rPr>
          <w:color w:val="231F20"/>
          <w:spacing w:val="3"/>
          <w:w w:val="105"/>
        </w:rPr>
        <w:t>2006</w:t>
      </w:r>
    </w:p>
    <w:p>
      <w:pPr>
        <w:pStyle w:val="BodyText"/>
        <w:rPr>
          <w:b/>
          <w:sz w:val="20"/>
        </w:rPr>
      </w:pPr>
    </w:p>
    <w:p>
      <w:pPr>
        <w:pStyle w:val="BodyText"/>
        <w:spacing w:before="4"/>
        <w:rPr>
          <w:b/>
          <w:sz w:val="21"/>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380"/>
        <w:gridCol w:w="1121"/>
        <w:gridCol w:w="2433"/>
      </w:tblGrid>
      <w:tr>
        <w:trPr>
          <w:trHeight w:val="405" w:hRule="exact"/>
        </w:trPr>
        <w:tc>
          <w:tcPr>
            <w:tcW w:w="4380" w:type="dxa"/>
            <w:shd w:val="clear" w:color="auto" w:fill="B3B4B4"/>
          </w:tcPr>
          <w:p>
            <w:pPr>
              <w:pStyle w:val="TableParagraph"/>
              <w:spacing w:before="105"/>
              <w:ind w:left="0"/>
              <w:rPr>
                <w:sz w:val="16"/>
              </w:rPr>
            </w:pPr>
            <w:r>
              <w:rPr>
                <w:color w:val="231F20"/>
                <w:w w:val="70"/>
                <w:sz w:val="16"/>
              </w:rPr>
              <w:t>NOMBRE O DENOMINACIÓN</w:t>
            </w:r>
          </w:p>
        </w:tc>
        <w:tc>
          <w:tcPr>
            <w:tcW w:w="1121" w:type="dxa"/>
            <w:shd w:val="clear" w:color="auto" w:fill="B3B4B4"/>
          </w:tcPr>
          <w:p>
            <w:pPr>
              <w:pStyle w:val="TableParagraph"/>
              <w:spacing w:before="105"/>
              <w:ind w:left="0"/>
              <w:rPr>
                <w:sz w:val="16"/>
              </w:rPr>
            </w:pPr>
            <w:r>
              <w:rPr>
                <w:color w:val="231F20"/>
                <w:w w:val="85"/>
                <w:sz w:val="16"/>
              </w:rPr>
              <w:t>SIGLAS</w:t>
            </w:r>
          </w:p>
        </w:tc>
        <w:tc>
          <w:tcPr>
            <w:tcW w:w="2433" w:type="dxa"/>
            <w:shd w:val="clear" w:color="auto" w:fill="B3B4B4"/>
          </w:tcPr>
          <w:p>
            <w:pPr>
              <w:pStyle w:val="TableParagraph"/>
              <w:spacing w:before="105"/>
              <w:ind w:left="0"/>
              <w:rPr>
                <w:sz w:val="16"/>
              </w:rPr>
            </w:pPr>
            <w:r>
              <w:rPr>
                <w:color w:val="231F20"/>
                <w:w w:val="75"/>
                <w:sz w:val="16"/>
              </w:rPr>
              <w:t>DIRIGENTE O LÍDER</w:t>
            </w:r>
          </w:p>
        </w:tc>
      </w:tr>
      <w:tr>
        <w:trPr>
          <w:trHeight w:val="215" w:hRule="exact"/>
        </w:trPr>
        <w:tc>
          <w:tcPr>
            <w:tcW w:w="4380" w:type="dxa"/>
          </w:tcPr>
          <w:p>
            <w:pPr>
              <w:pStyle w:val="TableParagraph"/>
              <w:spacing w:line="163" w:lineRule="exact"/>
              <w:ind w:left="0"/>
              <w:rPr>
                <w:sz w:val="16"/>
              </w:rPr>
            </w:pPr>
            <w:r>
              <w:rPr>
                <w:color w:val="231F20"/>
                <w:w w:val="75"/>
                <w:sz w:val="16"/>
              </w:rPr>
              <w:t>ALIANZA GARANTE DE LUCHA</w:t>
            </w:r>
          </w:p>
        </w:tc>
        <w:tc>
          <w:tcPr>
            <w:tcW w:w="1121" w:type="dxa"/>
          </w:tcPr>
          <w:p>
            <w:pPr>
              <w:pStyle w:val="TableParagraph"/>
              <w:spacing w:before="10"/>
              <w:ind w:left="0"/>
              <w:rPr>
                <w:sz w:val="16"/>
              </w:rPr>
            </w:pPr>
            <w:r>
              <w:rPr>
                <w:color w:val="231F20"/>
                <w:w w:val="85"/>
                <w:sz w:val="16"/>
              </w:rPr>
              <w:t>AGL</w:t>
            </w:r>
          </w:p>
        </w:tc>
        <w:tc>
          <w:tcPr>
            <w:tcW w:w="2433" w:type="dxa"/>
          </w:tcPr>
          <w:p>
            <w:pPr>
              <w:pStyle w:val="TableParagraph"/>
              <w:spacing w:line="163" w:lineRule="exact"/>
              <w:ind w:left="0"/>
              <w:rPr>
                <w:sz w:val="16"/>
              </w:rPr>
            </w:pPr>
            <w:r>
              <w:rPr>
                <w:color w:val="231F20"/>
                <w:w w:val="75"/>
                <w:sz w:val="16"/>
              </w:rPr>
              <w:t>ANDRÉS JUÁREZ</w:t>
            </w:r>
          </w:p>
        </w:tc>
      </w:tr>
      <w:tr>
        <w:trPr>
          <w:trHeight w:val="210" w:hRule="exact"/>
        </w:trPr>
        <w:tc>
          <w:tcPr>
            <w:tcW w:w="4380" w:type="dxa"/>
          </w:tcPr>
          <w:p>
            <w:pPr>
              <w:pStyle w:val="TableParagraph"/>
              <w:spacing w:line="163" w:lineRule="exact"/>
              <w:ind w:left="0"/>
              <w:rPr>
                <w:sz w:val="16"/>
              </w:rPr>
            </w:pPr>
            <w:r>
              <w:rPr>
                <w:color w:val="231F20"/>
                <w:w w:val="75"/>
                <w:sz w:val="16"/>
              </w:rPr>
              <w:t>ALIANZA SOL AZTECA</w:t>
            </w:r>
          </w:p>
        </w:tc>
        <w:tc>
          <w:tcPr>
            <w:tcW w:w="1121" w:type="dxa"/>
          </w:tcPr>
          <w:p>
            <w:pPr>
              <w:pStyle w:val="TableParagraph"/>
              <w:spacing w:before="7"/>
              <w:ind w:left="0"/>
              <w:rPr>
                <w:sz w:val="16"/>
              </w:rPr>
            </w:pPr>
            <w:r>
              <w:rPr>
                <w:color w:val="231F20"/>
                <w:w w:val="85"/>
                <w:sz w:val="16"/>
              </w:rPr>
              <w:t>ASA</w:t>
            </w:r>
          </w:p>
        </w:tc>
        <w:tc>
          <w:tcPr>
            <w:tcW w:w="2433" w:type="dxa"/>
          </w:tcPr>
          <w:p>
            <w:pPr>
              <w:pStyle w:val="TableParagraph"/>
              <w:spacing w:line="163" w:lineRule="exact"/>
              <w:ind w:left="0"/>
              <w:rPr>
                <w:sz w:val="16"/>
              </w:rPr>
            </w:pPr>
            <w:r>
              <w:rPr>
                <w:color w:val="231F20"/>
                <w:w w:val="75"/>
                <w:sz w:val="16"/>
              </w:rPr>
              <w:t>MIGUELINA PÉREZ MARANTO</w:t>
            </w:r>
          </w:p>
        </w:tc>
      </w:tr>
      <w:tr>
        <w:trPr>
          <w:trHeight w:val="179" w:hRule="exact"/>
        </w:trPr>
        <w:tc>
          <w:tcPr>
            <w:tcW w:w="4380" w:type="dxa"/>
          </w:tcPr>
          <w:p>
            <w:pPr>
              <w:pStyle w:val="TableParagraph"/>
              <w:spacing w:line="163" w:lineRule="exact"/>
              <w:ind w:left="0"/>
              <w:rPr>
                <w:sz w:val="16"/>
              </w:rPr>
            </w:pPr>
            <w:r>
              <w:rPr>
                <w:color w:val="231F20"/>
                <w:w w:val="70"/>
                <w:sz w:val="16"/>
              </w:rPr>
              <w:t>CÍRCULO  DEMOCRÁTICO</w:t>
            </w:r>
          </w:p>
        </w:tc>
        <w:tc>
          <w:tcPr>
            <w:tcW w:w="1121" w:type="dxa"/>
          </w:tcPr>
          <w:p>
            <w:pPr>
              <w:pStyle w:val="TableParagraph"/>
              <w:spacing w:line="188" w:lineRule="exact"/>
              <w:ind w:left="0"/>
              <w:rPr>
                <w:sz w:val="16"/>
              </w:rPr>
            </w:pPr>
            <w:r>
              <w:rPr>
                <w:color w:val="231F20"/>
                <w:w w:val="80"/>
                <w:sz w:val="16"/>
              </w:rPr>
              <w:t>CD</w:t>
            </w:r>
          </w:p>
        </w:tc>
        <w:tc>
          <w:tcPr>
            <w:tcW w:w="2433" w:type="dxa"/>
          </w:tcPr>
          <w:p>
            <w:pPr>
              <w:pStyle w:val="TableParagraph"/>
              <w:spacing w:line="163" w:lineRule="exact"/>
              <w:ind w:left="0"/>
              <w:rPr>
                <w:sz w:val="16"/>
              </w:rPr>
            </w:pPr>
            <w:r>
              <w:rPr>
                <w:color w:val="231F20"/>
                <w:w w:val="70"/>
                <w:sz w:val="16"/>
              </w:rPr>
              <w:t>ANTONIO  BARRIENTOS</w:t>
            </w:r>
          </w:p>
        </w:tc>
      </w:tr>
      <w:tr>
        <w:trPr>
          <w:trHeight w:val="199" w:hRule="exact"/>
        </w:trPr>
        <w:tc>
          <w:tcPr>
            <w:tcW w:w="4380" w:type="dxa"/>
          </w:tcPr>
          <w:p>
            <w:pPr>
              <w:pStyle w:val="TableParagraph"/>
              <w:spacing w:line="163" w:lineRule="exact"/>
              <w:ind w:left="0"/>
              <w:rPr>
                <w:sz w:val="16"/>
              </w:rPr>
            </w:pPr>
            <w:r>
              <w:rPr>
                <w:color w:val="231F20"/>
                <w:w w:val="75"/>
                <w:sz w:val="16"/>
              </w:rPr>
              <w:t>COMBATE A LA POBREZA</w:t>
            </w:r>
          </w:p>
        </w:tc>
        <w:tc>
          <w:tcPr>
            <w:tcW w:w="1121" w:type="dxa"/>
          </w:tcPr>
          <w:p>
            <w:pPr/>
          </w:p>
        </w:tc>
        <w:tc>
          <w:tcPr>
            <w:tcW w:w="2433" w:type="dxa"/>
          </w:tcPr>
          <w:p>
            <w:pPr>
              <w:pStyle w:val="TableParagraph"/>
              <w:spacing w:line="163" w:lineRule="exact"/>
              <w:ind w:left="0"/>
              <w:rPr>
                <w:sz w:val="16"/>
              </w:rPr>
            </w:pPr>
            <w:r>
              <w:rPr>
                <w:color w:val="231F20"/>
                <w:w w:val="70"/>
                <w:sz w:val="16"/>
              </w:rPr>
              <w:t>PEDRO  CACIQUE</w:t>
            </w:r>
          </w:p>
        </w:tc>
      </w:tr>
      <w:tr>
        <w:trPr>
          <w:trHeight w:val="257" w:hRule="exact"/>
        </w:trPr>
        <w:tc>
          <w:tcPr>
            <w:tcW w:w="4380" w:type="dxa"/>
          </w:tcPr>
          <w:p>
            <w:pPr>
              <w:pStyle w:val="TableParagraph"/>
              <w:spacing w:line="163" w:lineRule="exact"/>
              <w:ind w:left="0"/>
              <w:rPr>
                <w:sz w:val="16"/>
              </w:rPr>
            </w:pPr>
            <w:r>
              <w:rPr>
                <w:color w:val="231F20"/>
                <w:w w:val="75"/>
                <w:sz w:val="16"/>
              </w:rPr>
              <w:t>COMITÉ CUAUHTÉMOC CÁRDENAS NO. 139</w:t>
            </w:r>
          </w:p>
        </w:tc>
        <w:tc>
          <w:tcPr>
            <w:tcW w:w="1121" w:type="dxa"/>
          </w:tcPr>
          <w:p>
            <w:pPr/>
          </w:p>
        </w:tc>
        <w:tc>
          <w:tcPr>
            <w:tcW w:w="2433" w:type="dxa"/>
          </w:tcPr>
          <w:p>
            <w:pPr>
              <w:pStyle w:val="TableParagraph"/>
              <w:spacing w:line="163" w:lineRule="exact"/>
              <w:ind w:left="0"/>
              <w:rPr>
                <w:sz w:val="16"/>
              </w:rPr>
            </w:pPr>
            <w:r>
              <w:rPr>
                <w:color w:val="231F20"/>
                <w:w w:val="75"/>
                <w:sz w:val="16"/>
              </w:rPr>
              <w:t>CLEMENCIA VILCHIS</w:t>
            </w:r>
          </w:p>
        </w:tc>
      </w:tr>
      <w:tr>
        <w:trPr>
          <w:trHeight w:val="255" w:hRule="exact"/>
        </w:trPr>
        <w:tc>
          <w:tcPr>
            <w:tcW w:w="4380" w:type="dxa"/>
          </w:tcPr>
          <w:p>
            <w:pPr>
              <w:pStyle w:val="TableParagraph"/>
              <w:spacing w:line="163" w:lineRule="exact"/>
              <w:ind w:left="0"/>
              <w:rPr>
                <w:sz w:val="16"/>
              </w:rPr>
            </w:pPr>
            <w:r>
              <w:rPr>
                <w:color w:val="231F20"/>
                <w:w w:val="70"/>
                <w:sz w:val="16"/>
              </w:rPr>
              <w:t>COMITÉ DE COLONOS INDEPENDIENTES</w:t>
            </w:r>
          </w:p>
        </w:tc>
        <w:tc>
          <w:tcPr>
            <w:tcW w:w="1121" w:type="dxa"/>
          </w:tcPr>
          <w:p>
            <w:pPr>
              <w:pStyle w:val="TableParagraph"/>
              <w:spacing w:before="30"/>
              <w:ind w:left="0"/>
              <w:rPr>
                <w:sz w:val="16"/>
              </w:rPr>
            </w:pPr>
            <w:r>
              <w:rPr>
                <w:color w:val="231F20"/>
                <w:w w:val="85"/>
                <w:sz w:val="16"/>
              </w:rPr>
              <w:t>CCI</w:t>
            </w:r>
          </w:p>
        </w:tc>
        <w:tc>
          <w:tcPr>
            <w:tcW w:w="2433" w:type="dxa"/>
          </w:tcPr>
          <w:p>
            <w:pPr>
              <w:pStyle w:val="TableParagraph"/>
              <w:spacing w:line="163" w:lineRule="exact"/>
              <w:ind w:left="0"/>
              <w:rPr>
                <w:sz w:val="16"/>
              </w:rPr>
            </w:pPr>
            <w:r>
              <w:rPr>
                <w:color w:val="231F20"/>
                <w:w w:val="75"/>
                <w:sz w:val="16"/>
              </w:rPr>
              <w:t>JOSÉ LUIS NARANJO QUINTANA</w:t>
            </w:r>
          </w:p>
        </w:tc>
      </w:tr>
      <w:tr>
        <w:trPr>
          <w:trHeight w:val="234" w:hRule="exact"/>
        </w:trPr>
        <w:tc>
          <w:tcPr>
            <w:tcW w:w="4380" w:type="dxa"/>
          </w:tcPr>
          <w:p>
            <w:pPr>
              <w:pStyle w:val="TableParagraph"/>
              <w:spacing w:line="163" w:lineRule="exact"/>
              <w:ind w:left="0"/>
              <w:rPr>
                <w:sz w:val="16"/>
              </w:rPr>
            </w:pPr>
            <w:r>
              <w:rPr>
                <w:color w:val="231F20"/>
                <w:w w:val="70"/>
                <w:sz w:val="16"/>
              </w:rPr>
              <w:t>COMITÉ MORELOS</w:t>
            </w:r>
          </w:p>
        </w:tc>
        <w:tc>
          <w:tcPr>
            <w:tcW w:w="1121" w:type="dxa"/>
          </w:tcPr>
          <w:p>
            <w:pPr>
              <w:pStyle w:val="TableParagraph"/>
              <w:spacing w:before="19"/>
              <w:ind w:left="0"/>
              <w:rPr>
                <w:sz w:val="16"/>
              </w:rPr>
            </w:pPr>
            <w:r>
              <w:rPr>
                <w:color w:val="231F20"/>
                <w:w w:val="80"/>
                <w:sz w:val="16"/>
              </w:rPr>
              <w:t>CM</w:t>
            </w:r>
          </w:p>
        </w:tc>
        <w:tc>
          <w:tcPr>
            <w:tcW w:w="2433" w:type="dxa"/>
          </w:tcPr>
          <w:p>
            <w:pPr>
              <w:pStyle w:val="TableParagraph"/>
              <w:spacing w:line="163" w:lineRule="exact"/>
              <w:ind w:left="0"/>
              <w:rPr>
                <w:sz w:val="16"/>
              </w:rPr>
            </w:pPr>
            <w:r>
              <w:rPr>
                <w:color w:val="231F20"/>
                <w:w w:val="75"/>
                <w:sz w:val="16"/>
              </w:rPr>
              <w:t>JOSÉ FERMÍN VILLORDO ROCHA</w:t>
            </w:r>
          </w:p>
        </w:tc>
      </w:tr>
      <w:tr>
        <w:trPr>
          <w:trHeight w:val="285" w:hRule="exact"/>
        </w:trPr>
        <w:tc>
          <w:tcPr>
            <w:tcW w:w="4380" w:type="dxa"/>
          </w:tcPr>
          <w:p>
            <w:pPr>
              <w:pStyle w:val="TableParagraph"/>
              <w:spacing w:line="163" w:lineRule="exact"/>
              <w:ind w:left="0"/>
              <w:rPr>
                <w:sz w:val="16"/>
              </w:rPr>
            </w:pPr>
            <w:r>
              <w:rPr>
                <w:color w:val="231F20"/>
                <w:w w:val="75"/>
                <w:sz w:val="16"/>
              </w:rPr>
              <w:t>EXPRESIÓN CIUDADANA</w:t>
            </w:r>
          </w:p>
        </w:tc>
        <w:tc>
          <w:tcPr>
            <w:tcW w:w="1121" w:type="dxa"/>
          </w:tcPr>
          <w:p>
            <w:pPr>
              <w:pStyle w:val="TableParagraph"/>
              <w:spacing w:before="45"/>
              <w:ind w:left="0"/>
              <w:rPr>
                <w:sz w:val="16"/>
              </w:rPr>
            </w:pPr>
            <w:r>
              <w:rPr>
                <w:color w:val="231F20"/>
                <w:w w:val="85"/>
                <w:sz w:val="16"/>
              </w:rPr>
              <w:t>EP</w:t>
            </w:r>
          </w:p>
        </w:tc>
        <w:tc>
          <w:tcPr>
            <w:tcW w:w="2433" w:type="dxa"/>
          </w:tcPr>
          <w:p>
            <w:pPr/>
          </w:p>
        </w:tc>
      </w:tr>
      <w:tr>
        <w:trPr>
          <w:trHeight w:val="438" w:hRule="exact"/>
        </w:trPr>
        <w:tc>
          <w:tcPr>
            <w:tcW w:w="4380" w:type="dxa"/>
          </w:tcPr>
          <w:p>
            <w:pPr>
              <w:pStyle w:val="TableParagraph"/>
              <w:spacing w:line="161" w:lineRule="exact"/>
              <w:ind w:left="0"/>
              <w:rPr>
                <w:sz w:val="16"/>
              </w:rPr>
            </w:pPr>
            <w:r>
              <w:rPr>
                <w:color w:val="231F20"/>
                <w:w w:val="75"/>
                <w:sz w:val="16"/>
              </w:rPr>
              <w:t>FEDERACIÓN DE TRANSPORTISTAS PÚBLICOS</w:t>
            </w:r>
          </w:p>
          <w:p>
            <w:pPr>
              <w:pStyle w:val="TableParagraph"/>
              <w:spacing w:line="194" w:lineRule="exact"/>
              <w:ind w:left="0"/>
              <w:rPr>
                <w:sz w:val="16"/>
              </w:rPr>
            </w:pPr>
            <w:r>
              <w:rPr>
                <w:color w:val="231F20"/>
                <w:w w:val="75"/>
                <w:sz w:val="16"/>
              </w:rPr>
              <w:t>SIN ITINERARIO FIJO</w:t>
            </w:r>
          </w:p>
        </w:tc>
        <w:tc>
          <w:tcPr>
            <w:tcW w:w="1121" w:type="dxa"/>
          </w:tcPr>
          <w:p>
            <w:pPr>
              <w:pStyle w:val="TableParagraph"/>
              <w:spacing w:before="121"/>
              <w:ind w:left="0"/>
              <w:rPr>
                <w:sz w:val="16"/>
              </w:rPr>
            </w:pPr>
            <w:r>
              <w:rPr>
                <w:color w:val="231F20"/>
                <w:w w:val="85"/>
                <w:sz w:val="16"/>
              </w:rPr>
              <w:t>FETRAPSIF</w:t>
            </w:r>
          </w:p>
        </w:tc>
        <w:tc>
          <w:tcPr>
            <w:tcW w:w="2433" w:type="dxa"/>
          </w:tcPr>
          <w:p>
            <w:pPr>
              <w:pStyle w:val="TableParagraph"/>
              <w:spacing w:line="163" w:lineRule="exact"/>
              <w:ind w:left="0"/>
              <w:rPr>
                <w:sz w:val="16"/>
              </w:rPr>
            </w:pPr>
            <w:r>
              <w:rPr>
                <w:color w:val="231F20"/>
                <w:w w:val="75"/>
                <w:sz w:val="16"/>
              </w:rPr>
              <w:t>CESAREO CEJA CEJA</w:t>
            </w:r>
          </w:p>
        </w:tc>
      </w:tr>
      <w:tr>
        <w:trPr>
          <w:trHeight w:val="471" w:hRule="exact"/>
        </w:trPr>
        <w:tc>
          <w:tcPr>
            <w:tcW w:w="4380" w:type="dxa"/>
          </w:tcPr>
          <w:p>
            <w:pPr>
              <w:pStyle w:val="TableParagraph"/>
              <w:spacing w:line="161" w:lineRule="exact"/>
              <w:ind w:left="0"/>
              <w:rPr>
                <w:sz w:val="16"/>
              </w:rPr>
            </w:pPr>
            <w:r>
              <w:rPr>
                <w:color w:val="231F20"/>
                <w:w w:val="75"/>
                <w:sz w:val="16"/>
              </w:rPr>
              <w:t>FEDERACIÓN DE UNIONES MUTUALISTAS DE COLONOS</w:t>
            </w:r>
          </w:p>
          <w:p>
            <w:pPr>
              <w:pStyle w:val="TableParagraph"/>
              <w:spacing w:line="194" w:lineRule="exact"/>
              <w:ind w:left="0"/>
              <w:rPr>
                <w:sz w:val="16"/>
              </w:rPr>
            </w:pPr>
            <w:r>
              <w:rPr>
                <w:color w:val="231F20"/>
                <w:w w:val="75"/>
                <w:sz w:val="16"/>
              </w:rPr>
              <w:t>Y COMERCIANTES DEL ESTADO DE MÉXICO</w:t>
            </w:r>
          </w:p>
        </w:tc>
        <w:tc>
          <w:tcPr>
            <w:tcW w:w="1121" w:type="dxa"/>
          </w:tcPr>
          <w:p>
            <w:pPr>
              <w:pStyle w:val="TableParagraph"/>
              <w:spacing w:before="138"/>
              <w:ind w:left="0"/>
              <w:rPr>
                <w:sz w:val="16"/>
              </w:rPr>
            </w:pPr>
            <w:r>
              <w:rPr>
                <w:color w:val="231F20"/>
                <w:w w:val="80"/>
                <w:sz w:val="16"/>
              </w:rPr>
              <w:t>FUMCOEM</w:t>
            </w:r>
          </w:p>
        </w:tc>
        <w:tc>
          <w:tcPr>
            <w:tcW w:w="2433" w:type="dxa"/>
          </w:tcPr>
          <w:p>
            <w:pPr>
              <w:pStyle w:val="TableParagraph"/>
              <w:spacing w:line="163" w:lineRule="exact"/>
              <w:ind w:left="0"/>
              <w:rPr>
                <w:sz w:val="16"/>
              </w:rPr>
            </w:pPr>
            <w:r>
              <w:rPr>
                <w:color w:val="231F20"/>
                <w:w w:val="75"/>
                <w:sz w:val="16"/>
              </w:rPr>
              <w:t>GRACIELA MARTÍNEZ Y MARIO ZARAGOZA</w:t>
            </w:r>
          </w:p>
        </w:tc>
      </w:tr>
      <w:tr>
        <w:trPr>
          <w:trHeight w:val="285" w:hRule="exact"/>
        </w:trPr>
        <w:tc>
          <w:tcPr>
            <w:tcW w:w="4380" w:type="dxa"/>
          </w:tcPr>
          <w:p>
            <w:pPr>
              <w:pStyle w:val="TableParagraph"/>
              <w:spacing w:line="163" w:lineRule="exact"/>
              <w:ind w:left="0"/>
              <w:rPr>
                <w:sz w:val="16"/>
              </w:rPr>
            </w:pPr>
            <w:r>
              <w:rPr>
                <w:color w:val="231F20"/>
                <w:w w:val="75"/>
                <w:sz w:val="16"/>
              </w:rPr>
              <w:t>FORO NUEVO SOL</w:t>
            </w:r>
          </w:p>
        </w:tc>
        <w:tc>
          <w:tcPr>
            <w:tcW w:w="1121" w:type="dxa"/>
          </w:tcPr>
          <w:p>
            <w:pPr>
              <w:pStyle w:val="TableParagraph"/>
              <w:spacing w:before="45"/>
              <w:ind w:left="0"/>
              <w:rPr>
                <w:sz w:val="16"/>
              </w:rPr>
            </w:pPr>
            <w:r>
              <w:rPr>
                <w:color w:val="231F20"/>
                <w:w w:val="85"/>
                <w:sz w:val="16"/>
              </w:rPr>
              <w:t>FNS</w:t>
            </w:r>
          </w:p>
        </w:tc>
        <w:tc>
          <w:tcPr>
            <w:tcW w:w="2433" w:type="dxa"/>
          </w:tcPr>
          <w:p>
            <w:pPr>
              <w:pStyle w:val="TableParagraph"/>
              <w:spacing w:line="163" w:lineRule="exact"/>
              <w:ind w:left="0"/>
              <w:rPr>
                <w:sz w:val="16"/>
              </w:rPr>
            </w:pPr>
            <w:r>
              <w:rPr>
                <w:color w:val="231F20"/>
                <w:w w:val="75"/>
                <w:sz w:val="16"/>
              </w:rPr>
              <w:t>MIGUEL ÁNGEL CHAVESTI</w:t>
            </w:r>
          </w:p>
        </w:tc>
      </w:tr>
      <w:tr>
        <w:trPr>
          <w:trHeight w:val="285" w:hRule="exact"/>
        </w:trPr>
        <w:tc>
          <w:tcPr>
            <w:tcW w:w="4380" w:type="dxa"/>
          </w:tcPr>
          <w:p>
            <w:pPr>
              <w:pStyle w:val="TableParagraph"/>
              <w:spacing w:line="163" w:lineRule="exact"/>
              <w:ind w:left="0"/>
              <w:rPr>
                <w:sz w:val="16"/>
              </w:rPr>
            </w:pPr>
            <w:r>
              <w:rPr>
                <w:color w:val="231F20"/>
                <w:w w:val="70"/>
                <w:sz w:val="16"/>
              </w:rPr>
              <w:t>FRENTE  MORELOS</w:t>
            </w:r>
          </w:p>
        </w:tc>
        <w:tc>
          <w:tcPr>
            <w:tcW w:w="1121" w:type="dxa"/>
          </w:tcPr>
          <w:p>
            <w:pPr>
              <w:pStyle w:val="TableParagraph"/>
              <w:spacing w:before="45"/>
              <w:ind w:left="0"/>
              <w:rPr>
                <w:sz w:val="16"/>
              </w:rPr>
            </w:pPr>
            <w:r>
              <w:rPr>
                <w:color w:val="231F20"/>
                <w:w w:val="80"/>
                <w:sz w:val="16"/>
              </w:rPr>
              <w:t>FM</w:t>
            </w:r>
          </w:p>
        </w:tc>
        <w:tc>
          <w:tcPr>
            <w:tcW w:w="2433" w:type="dxa"/>
          </w:tcPr>
          <w:p>
            <w:pPr>
              <w:pStyle w:val="TableParagraph"/>
              <w:spacing w:line="163" w:lineRule="exact"/>
              <w:ind w:left="0"/>
              <w:rPr>
                <w:sz w:val="16"/>
              </w:rPr>
            </w:pPr>
            <w:r>
              <w:rPr>
                <w:color w:val="231F20"/>
                <w:w w:val="75"/>
                <w:sz w:val="16"/>
              </w:rPr>
              <w:t>JOSÉ LUIS ALDAVE PÉREZ</w:t>
            </w:r>
          </w:p>
        </w:tc>
      </w:tr>
      <w:tr>
        <w:trPr>
          <w:trHeight w:val="408" w:hRule="exact"/>
        </w:trPr>
        <w:tc>
          <w:tcPr>
            <w:tcW w:w="4380" w:type="dxa"/>
          </w:tcPr>
          <w:p>
            <w:pPr>
              <w:pStyle w:val="TableParagraph"/>
              <w:spacing w:line="161" w:lineRule="exact"/>
              <w:ind w:left="0"/>
              <w:rPr>
                <w:sz w:val="16"/>
              </w:rPr>
            </w:pPr>
            <w:r>
              <w:rPr>
                <w:color w:val="231F20"/>
                <w:w w:val="75"/>
                <w:sz w:val="16"/>
              </w:rPr>
              <w:t>FUNDACIÓN SOMOS GENTE TRABAJANDO</w:t>
            </w:r>
          </w:p>
          <w:p>
            <w:pPr>
              <w:pStyle w:val="TableParagraph"/>
              <w:spacing w:line="194" w:lineRule="exact"/>
              <w:ind w:left="0"/>
              <w:rPr>
                <w:sz w:val="16"/>
              </w:rPr>
            </w:pPr>
            <w:r>
              <w:rPr>
                <w:color w:val="231F20"/>
                <w:w w:val="75"/>
                <w:sz w:val="16"/>
              </w:rPr>
              <w:t>POR UN MÉXICO NUEVO</w:t>
            </w:r>
          </w:p>
        </w:tc>
        <w:tc>
          <w:tcPr>
            <w:tcW w:w="1121" w:type="dxa"/>
          </w:tcPr>
          <w:p>
            <w:pPr>
              <w:pStyle w:val="TableParagraph"/>
              <w:spacing w:before="106"/>
              <w:ind w:left="0"/>
              <w:rPr>
                <w:sz w:val="16"/>
              </w:rPr>
            </w:pPr>
            <w:r>
              <w:rPr>
                <w:color w:val="231F20"/>
                <w:w w:val="80"/>
                <w:sz w:val="16"/>
              </w:rPr>
              <w:t>SGTMN</w:t>
            </w:r>
          </w:p>
        </w:tc>
        <w:tc>
          <w:tcPr>
            <w:tcW w:w="2433" w:type="dxa"/>
          </w:tcPr>
          <w:p>
            <w:pPr>
              <w:pStyle w:val="TableParagraph"/>
              <w:spacing w:line="163" w:lineRule="exact"/>
              <w:ind w:left="0"/>
              <w:rPr>
                <w:sz w:val="16"/>
              </w:rPr>
            </w:pPr>
            <w:r>
              <w:rPr>
                <w:color w:val="231F20"/>
                <w:w w:val="75"/>
                <w:sz w:val="16"/>
              </w:rPr>
              <w:t>JOSÉ CONCEPCIÓN RAMÍREZ MORALES</w:t>
            </w:r>
          </w:p>
        </w:tc>
      </w:tr>
      <w:tr>
        <w:trPr>
          <w:trHeight w:val="285" w:hRule="exact"/>
        </w:trPr>
        <w:tc>
          <w:tcPr>
            <w:tcW w:w="4380" w:type="dxa"/>
          </w:tcPr>
          <w:p>
            <w:pPr>
              <w:pStyle w:val="TableParagraph"/>
              <w:spacing w:line="163" w:lineRule="exact"/>
              <w:ind w:left="0"/>
              <w:rPr>
                <w:sz w:val="16"/>
              </w:rPr>
            </w:pPr>
            <w:r>
              <w:rPr>
                <w:color w:val="231F20"/>
                <w:w w:val="70"/>
                <w:sz w:val="16"/>
              </w:rPr>
              <w:t>GENTE EN MOVIMIENTO</w:t>
            </w:r>
          </w:p>
        </w:tc>
        <w:tc>
          <w:tcPr>
            <w:tcW w:w="1121" w:type="dxa"/>
          </w:tcPr>
          <w:p>
            <w:pPr/>
          </w:p>
        </w:tc>
        <w:tc>
          <w:tcPr>
            <w:tcW w:w="2433" w:type="dxa"/>
          </w:tcPr>
          <w:p>
            <w:pPr>
              <w:pStyle w:val="TableParagraph"/>
              <w:spacing w:line="163" w:lineRule="exact"/>
              <w:ind w:left="0"/>
              <w:rPr>
                <w:sz w:val="16"/>
              </w:rPr>
            </w:pPr>
            <w:r>
              <w:rPr>
                <w:color w:val="231F20"/>
                <w:w w:val="75"/>
                <w:sz w:val="16"/>
              </w:rPr>
              <w:t>JORGE CERVANTES</w:t>
            </w:r>
          </w:p>
        </w:tc>
      </w:tr>
      <w:tr>
        <w:trPr>
          <w:trHeight w:val="285" w:hRule="exact"/>
        </w:trPr>
        <w:tc>
          <w:tcPr>
            <w:tcW w:w="4380" w:type="dxa"/>
          </w:tcPr>
          <w:p>
            <w:pPr>
              <w:pStyle w:val="TableParagraph"/>
              <w:spacing w:line="163" w:lineRule="exact"/>
              <w:ind w:left="0"/>
              <w:rPr>
                <w:sz w:val="16"/>
              </w:rPr>
            </w:pPr>
            <w:r>
              <w:rPr>
                <w:color w:val="231F20"/>
                <w:w w:val="75"/>
                <w:sz w:val="16"/>
              </w:rPr>
              <w:t>GRUPO DE ACCIÓN POLÍTICA</w:t>
            </w:r>
          </w:p>
        </w:tc>
        <w:tc>
          <w:tcPr>
            <w:tcW w:w="1121" w:type="dxa"/>
          </w:tcPr>
          <w:p>
            <w:pPr>
              <w:pStyle w:val="TableParagraph"/>
              <w:spacing w:before="45"/>
              <w:ind w:left="0"/>
              <w:rPr>
                <w:sz w:val="16"/>
              </w:rPr>
            </w:pPr>
            <w:r>
              <w:rPr>
                <w:color w:val="231F20"/>
                <w:w w:val="85"/>
                <w:sz w:val="16"/>
              </w:rPr>
              <w:t>GAP</w:t>
            </w:r>
          </w:p>
        </w:tc>
        <w:tc>
          <w:tcPr>
            <w:tcW w:w="2433" w:type="dxa"/>
          </w:tcPr>
          <w:p>
            <w:pPr/>
          </w:p>
        </w:tc>
      </w:tr>
      <w:tr>
        <w:trPr>
          <w:trHeight w:val="255" w:hRule="exact"/>
        </w:trPr>
        <w:tc>
          <w:tcPr>
            <w:tcW w:w="4380" w:type="dxa"/>
          </w:tcPr>
          <w:p>
            <w:pPr>
              <w:pStyle w:val="TableParagraph"/>
              <w:spacing w:line="163" w:lineRule="exact"/>
              <w:ind w:left="0"/>
              <w:rPr>
                <w:sz w:val="16"/>
              </w:rPr>
            </w:pPr>
            <w:r>
              <w:rPr>
                <w:color w:val="231F20"/>
                <w:w w:val="75"/>
                <w:sz w:val="16"/>
              </w:rPr>
              <w:t>GRUPO SOCIAL NEZAHUALCÓYOTL</w:t>
            </w:r>
          </w:p>
        </w:tc>
        <w:tc>
          <w:tcPr>
            <w:tcW w:w="1121" w:type="dxa"/>
          </w:tcPr>
          <w:p>
            <w:pPr>
              <w:pStyle w:val="TableParagraph"/>
              <w:spacing w:before="30"/>
              <w:ind w:left="0"/>
              <w:rPr>
                <w:sz w:val="16"/>
              </w:rPr>
            </w:pPr>
            <w:r>
              <w:rPr>
                <w:color w:val="231F20"/>
                <w:w w:val="85"/>
                <w:sz w:val="16"/>
              </w:rPr>
              <w:t>GSN</w:t>
            </w:r>
          </w:p>
        </w:tc>
        <w:tc>
          <w:tcPr>
            <w:tcW w:w="2433" w:type="dxa"/>
          </w:tcPr>
          <w:p>
            <w:pPr/>
          </w:p>
        </w:tc>
      </w:tr>
      <w:tr>
        <w:trPr>
          <w:trHeight w:val="285" w:hRule="exact"/>
        </w:trPr>
        <w:tc>
          <w:tcPr>
            <w:tcW w:w="4380" w:type="dxa"/>
          </w:tcPr>
          <w:p>
            <w:pPr>
              <w:pStyle w:val="TableParagraph"/>
              <w:spacing w:line="163" w:lineRule="exact"/>
              <w:ind w:left="0"/>
              <w:rPr>
                <w:sz w:val="16"/>
              </w:rPr>
            </w:pPr>
            <w:r>
              <w:rPr>
                <w:color w:val="231F20"/>
                <w:w w:val="75"/>
                <w:sz w:val="16"/>
              </w:rPr>
              <w:t>HEBERTO CASTILLO</w:t>
            </w:r>
          </w:p>
        </w:tc>
        <w:tc>
          <w:tcPr>
            <w:tcW w:w="1121" w:type="dxa"/>
          </w:tcPr>
          <w:p>
            <w:pPr/>
          </w:p>
        </w:tc>
        <w:tc>
          <w:tcPr>
            <w:tcW w:w="2433" w:type="dxa"/>
          </w:tcPr>
          <w:p>
            <w:pPr>
              <w:pStyle w:val="TableParagraph"/>
              <w:spacing w:line="163" w:lineRule="exact"/>
              <w:ind w:left="0"/>
              <w:rPr>
                <w:sz w:val="16"/>
              </w:rPr>
            </w:pPr>
            <w:r>
              <w:rPr>
                <w:color w:val="231F20"/>
                <w:w w:val="70"/>
                <w:sz w:val="16"/>
              </w:rPr>
              <w:t>ANTONIO  CABELLO</w:t>
            </w:r>
          </w:p>
        </w:tc>
      </w:tr>
      <w:tr>
        <w:trPr>
          <w:trHeight w:val="285" w:hRule="exact"/>
        </w:trPr>
        <w:tc>
          <w:tcPr>
            <w:tcW w:w="4380" w:type="dxa"/>
          </w:tcPr>
          <w:p>
            <w:pPr>
              <w:pStyle w:val="TableParagraph"/>
              <w:spacing w:line="163" w:lineRule="exact"/>
              <w:ind w:left="0"/>
              <w:rPr>
                <w:sz w:val="16"/>
              </w:rPr>
            </w:pPr>
            <w:r>
              <w:rPr>
                <w:color w:val="231F20"/>
                <w:w w:val="75"/>
                <w:sz w:val="16"/>
              </w:rPr>
              <w:t>INTEGRACIÓN CÍVICA</w:t>
            </w:r>
          </w:p>
        </w:tc>
        <w:tc>
          <w:tcPr>
            <w:tcW w:w="1121" w:type="dxa"/>
          </w:tcPr>
          <w:p>
            <w:pPr>
              <w:pStyle w:val="TableParagraph"/>
              <w:spacing w:before="45"/>
              <w:ind w:left="0"/>
              <w:rPr>
                <w:sz w:val="16"/>
              </w:rPr>
            </w:pPr>
            <w:r>
              <w:rPr>
                <w:color w:val="231F20"/>
                <w:w w:val="85"/>
                <w:sz w:val="16"/>
              </w:rPr>
              <w:t>IC</w:t>
            </w:r>
          </w:p>
        </w:tc>
        <w:tc>
          <w:tcPr>
            <w:tcW w:w="2433" w:type="dxa"/>
          </w:tcPr>
          <w:p>
            <w:pPr>
              <w:pStyle w:val="TableParagraph"/>
              <w:spacing w:line="163" w:lineRule="exact"/>
              <w:ind w:left="0"/>
              <w:rPr>
                <w:sz w:val="16"/>
              </w:rPr>
            </w:pPr>
            <w:r>
              <w:rPr>
                <w:color w:val="231F20"/>
                <w:w w:val="75"/>
                <w:sz w:val="16"/>
              </w:rPr>
              <w:t>JAVIER TORRES RESÉNDIZ</w:t>
            </w:r>
          </w:p>
        </w:tc>
      </w:tr>
      <w:tr>
        <w:trPr>
          <w:trHeight w:val="387" w:hRule="exact"/>
        </w:trPr>
        <w:tc>
          <w:tcPr>
            <w:tcW w:w="4380" w:type="dxa"/>
          </w:tcPr>
          <w:p>
            <w:pPr>
              <w:pStyle w:val="TableParagraph"/>
              <w:spacing w:line="161" w:lineRule="exact"/>
              <w:ind w:left="0"/>
              <w:rPr>
                <w:sz w:val="16"/>
              </w:rPr>
            </w:pPr>
            <w:r>
              <w:rPr>
                <w:color w:val="231F20"/>
                <w:w w:val="70"/>
                <w:sz w:val="16"/>
              </w:rPr>
              <w:t>IZQUIERDA   DEMOCRÁTICA</w:t>
            </w:r>
          </w:p>
          <w:p>
            <w:pPr>
              <w:pStyle w:val="TableParagraph"/>
              <w:spacing w:line="194" w:lineRule="exact"/>
              <w:ind w:left="25"/>
              <w:rPr>
                <w:sz w:val="16"/>
              </w:rPr>
            </w:pPr>
            <w:r>
              <w:rPr>
                <w:color w:val="231F20"/>
                <w:w w:val="70"/>
                <w:sz w:val="16"/>
              </w:rPr>
              <w:t>DE   NEZAHUALCÓYOTL</w:t>
            </w:r>
          </w:p>
        </w:tc>
        <w:tc>
          <w:tcPr>
            <w:tcW w:w="1121" w:type="dxa"/>
          </w:tcPr>
          <w:p>
            <w:pPr>
              <w:pStyle w:val="TableParagraph"/>
              <w:spacing w:before="96"/>
              <w:ind w:left="0"/>
              <w:rPr>
                <w:sz w:val="16"/>
              </w:rPr>
            </w:pPr>
            <w:r>
              <w:rPr>
                <w:color w:val="231F20"/>
                <w:w w:val="85"/>
                <w:sz w:val="16"/>
              </w:rPr>
              <w:t>IDN</w:t>
            </w:r>
          </w:p>
        </w:tc>
        <w:tc>
          <w:tcPr>
            <w:tcW w:w="2433" w:type="dxa"/>
          </w:tcPr>
          <w:p>
            <w:pPr>
              <w:pStyle w:val="TableParagraph"/>
              <w:spacing w:line="163" w:lineRule="exact"/>
              <w:ind w:left="0"/>
              <w:rPr>
                <w:sz w:val="16"/>
              </w:rPr>
            </w:pPr>
            <w:r>
              <w:rPr>
                <w:color w:val="231F20"/>
                <w:w w:val="70"/>
                <w:sz w:val="16"/>
              </w:rPr>
              <w:t>ROSENDO  MARÍN</w:t>
            </w:r>
          </w:p>
        </w:tc>
      </w:tr>
      <w:tr>
        <w:trPr>
          <w:trHeight w:val="285" w:hRule="exact"/>
        </w:trPr>
        <w:tc>
          <w:tcPr>
            <w:tcW w:w="4380" w:type="dxa"/>
          </w:tcPr>
          <w:p>
            <w:pPr>
              <w:pStyle w:val="TableParagraph"/>
              <w:spacing w:line="163" w:lineRule="exact"/>
              <w:ind w:left="0"/>
              <w:rPr>
                <w:sz w:val="16"/>
              </w:rPr>
            </w:pPr>
            <w:r>
              <w:rPr>
                <w:color w:val="231F20"/>
                <w:w w:val="75"/>
                <w:sz w:val="16"/>
              </w:rPr>
              <w:t>LOS DE ABAJO</w:t>
            </w:r>
          </w:p>
        </w:tc>
        <w:tc>
          <w:tcPr>
            <w:tcW w:w="1121" w:type="dxa"/>
          </w:tcPr>
          <w:p>
            <w:pPr/>
          </w:p>
        </w:tc>
        <w:tc>
          <w:tcPr>
            <w:tcW w:w="2433" w:type="dxa"/>
          </w:tcPr>
          <w:p>
            <w:pPr>
              <w:pStyle w:val="TableParagraph"/>
              <w:spacing w:line="163" w:lineRule="exact"/>
              <w:ind w:left="0"/>
              <w:rPr>
                <w:sz w:val="16"/>
              </w:rPr>
            </w:pPr>
            <w:r>
              <w:rPr>
                <w:color w:val="231F20"/>
                <w:w w:val="75"/>
                <w:sz w:val="16"/>
              </w:rPr>
              <w:t>LUIS (A) “EL ALCOHOL”</w:t>
            </w:r>
          </w:p>
        </w:tc>
      </w:tr>
      <w:tr>
        <w:trPr>
          <w:trHeight w:val="285" w:hRule="exact"/>
        </w:trPr>
        <w:tc>
          <w:tcPr>
            <w:tcW w:w="4380" w:type="dxa"/>
          </w:tcPr>
          <w:p>
            <w:pPr>
              <w:pStyle w:val="TableParagraph"/>
              <w:spacing w:line="163" w:lineRule="exact"/>
              <w:ind w:left="0"/>
              <w:rPr>
                <w:sz w:val="16"/>
              </w:rPr>
            </w:pPr>
            <w:r>
              <w:rPr>
                <w:color w:val="231F20"/>
                <w:w w:val="70"/>
                <w:sz w:val="16"/>
              </w:rPr>
              <w:t>MÉXICO NUEVO</w:t>
            </w:r>
          </w:p>
        </w:tc>
        <w:tc>
          <w:tcPr>
            <w:tcW w:w="1121" w:type="dxa"/>
          </w:tcPr>
          <w:p>
            <w:pPr>
              <w:pStyle w:val="TableParagraph"/>
              <w:spacing w:before="45"/>
              <w:ind w:left="0"/>
              <w:rPr>
                <w:sz w:val="16"/>
              </w:rPr>
            </w:pPr>
            <w:r>
              <w:rPr>
                <w:color w:val="231F20"/>
                <w:w w:val="80"/>
                <w:sz w:val="16"/>
              </w:rPr>
              <w:t>MN</w:t>
            </w:r>
          </w:p>
        </w:tc>
        <w:tc>
          <w:tcPr>
            <w:tcW w:w="2433" w:type="dxa"/>
          </w:tcPr>
          <w:p>
            <w:pPr>
              <w:pStyle w:val="TableParagraph"/>
              <w:spacing w:line="163" w:lineRule="exact"/>
              <w:ind w:left="0"/>
              <w:rPr>
                <w:sz w:val="16"/>
              </w:rPr>
            </w:pPr>
            <w:r>
              <w:rPr>
                <w:color w:val="231F20"/>
                <w:w w:val="75"/>
                <w:sz w:val="16"/>
              </w:rPr>
              <w:t>JUAN HUGO DE LA ROSA</w:t>
            </w:r>
          </w:p>
        </w:tc>
      </w:tr>
      <w:tr>
        <w:trPr>
          <w:trHeight w:val="401" w:hRule="exact"/>
        </w:trPr>
        <w:tc>
          <w:tcPr>
            <w:tcW w:w="4380" w:type="dxa"/>
          </w:tcPr>
          <w:p>
            <w:pPr>
              <w:pStyle w:val="TableParagraph"/>
              <w:spacing w:line="161" w:lineRule="exact"/>
              <w:ind w:left="0"/>
              <w:rPr>
                <w:sz w:val="16"/>
              </w:rPr>
            </w:pPr>
            <w:r>
              <w:rPr>
                <w:color w:val="231F20"/>
                <w:w w:val="70"/>
                <w:sz w:val="16"/>
              </w:rPr>
              <w:t>MOVIMIENTO UNIDO DE CIUDADANOS</w:t>
            </w:r>
          </w:p>
          <w:p>
            <w:pPr>
              <w:pStyle w:val="TableParagraph"/>
              <w:spacing w:line="194" w:lineRule="exact"/>
              <w:ind w:left="0"/>
              <w:rPr>
                <w:sz w:val="16"/>
              </w:rPr>
            </w:pPr>
            <w:r>
              <w:rPr>
                <w:color w:val="231F20"/>
                <w:w w:val="70"/>
                <w:sz w:val="16"/>
              </w:rPr>
              <w:t>DE   NEZAHUALCÓYOTL</w:t>
            </w:r>
          </w:p>
        </w:tc>
        <w:tc>
          <w:tcPr>
            <w:tcW w:w="1121" w:type="dxa"/>
          </w:tcPr>
          <w:p>
            <w:pPr>
              <w:pStyle w:val="TableParagraph"/>
              <w:spacing w:before="103"/>
              <w:ind w:left="0"/>
              <w:rPr>
                <w:sz w:val="16"/>
              </w:rPr>
            </w:pPr>
            <w:r>
              <w:rPr>
                <w:color w:val="231F20"/>
                <w:w w:val="80"/>
                <w:sz w:val="16"/>
              </w:rPr>
              <w:t>MUCIN</w:t>
            </w:r>
          </w:p>
        </w:tc>
        <w:tc>
          <w:tcPr>
            <w:tcW w:w="2433" w:type="dxa"/>
          </w:tcPr>
          <w:p>
            <w:pPr>
              <w:pStyle w:val="TableParagraph"/>
              <w:spacing w:line="163" w:lineRule="exact"/>
              <w:ind w:left="0"/>
              <w:rPr>
                <w:sz w:val="16"/>
              </w:rPr>
            </w:pPr>
            <w:r>
              <w:rPr>
                <w:color w:val="231F20"/>
                <w:w w:val="75"/>
                <w:sz w:val="16"/>
              </w:rPr>
              <w:t>ALEJANDRO CHÁVEZ</w:t>
            </w:r>
          </w:p>
        </w:tc>
      </w:tr>
      <w:tr>
        <w:trPr>
          <w:trHeight w:val="235" w:hRule="exact"/>
        </w:trPr>
        <w:tc>
          <w:tcPr>
            <w:tcW w:w="4380" w:type="dxa"/>
          </w:tcPr>
          <w:p>
            <w:pPr>
              <w:pStyle w:val="TableParagraph"/>
              <w:spacing w:line="163" w:lineRule="exact"/>
              <w:ind w:left="0"/>
              <w:rPr>
                <w:sz w:val="16"/>
              </w:rPr>
            </w:pPr>
            <w:r>
              <w:rPr>
                <w:color w:val="231F20"/>
                <w:w w:val="70"/>
                <w:sz w:val="16"/>
              </w:rPr>
              <w:t>MOVIMIENTO CÍVICO  POPULAR</w:t>
            </w:r>
          </w:p>
        </w:tc>
        <w:tc>
          <w:tcPr>
            <w:tcW w:w="1121" w:type="dxa"/>
          </w:tcPr>
          <w:p>
            <w:pPr>
              <w:pStyle w:val="TableParagraph"/>
              <w:spacing w:before="20"/>
              <w:ind w:left="0"/>
              <w:rPr>
                <w:sz w:val="16"/>
              </w:rPr>
            </w:pPr>
            <w:r>
              <w:rPr>
                <w:color w:val="231F20"/>
                <w:w w:val="80"/>
                <w:sz w:val="16"/>
              </w:rPr>
              <w:t>MCP</w:t>
            </w:r>
          </w:p>
        </w:tc>
        <w:tc>
          <w:tcPr>
            <w:tcW w:w="2433" w:type="dxa"/>
          </w:tcPr>
          <w:p>
            <w:pPr/>
          </w:p>
        </w:tc>
      </w:tr>
      <w:tr>
        <w:trPr>
          <w:trHeight w:val="257" w:hRule="exact"/>
        </w:trPr>
        <w:tc>
          <w:tcPr>
            <w:tcW w:w="4380" w:type="dxa"/>
          </w:tcPr>
          <w:p>
            <w:pPr>
              <w:pStyle w:val="TableParagraph"/>
              <w:spacing w:line="163" w:lineRule="exact"/>
              <w:ind w:left="0"/>
              <w:rPr>
                <w:sz w:val="16"/>
              </w:rPr>
            </w:pPr>
            <w:r>
              <w:rPr>
                <w:color w:val="231F20"/>
                <w:w w:val="75"/>
                <w:sz w:val="16"/>
              </w:rPr>
              <w:t>MOVIMIENTO 4 “ERNESTO CHE GUEVARA”</w:t>
            </w:r>
          </w:p>
        </w:tc>
        <w:tc>
          <w:tcPr>
            <w:tcW w:w="1121" w:type="dxa"/>
          </w:tcPr>
          <w:p>
            <w:pPr>
              <w:pStyle w:val="TableParagraph"/>
              <w:spacing w:before="31"/>
              <w:ind w:left="0"/>
              <w:rPr>
                <w:sz w:val="16"/>
              </w:rPr>
            </w:pPr>
            <w:r>
              <w:rPr>
                <w:color w:val="231F20"/>
                <w:w w:val="80"/>
                <w:sz w:val="16"/>
              </w:rPr>
              <w:t>M4</w:t>
            </w:r>
          </w:p>
        </w:tc>
        <w:tc>
          <w:tcPr>
            <w:tcW w:w="2433" w:type="dxa"/>
          </w:tcPr>
          <w:p>
            <w:pPr>
              <w:pStyle w:val="TableParagraph"/>
              <w:spacing w:line="163" w:lineRule="exact"/>
              <w:ind w:left="0"/>
              <w:rPr>
                <w:sz w:val="16"/>
              </w:rPr>
            </w:pPr>
            <w:r>
              <w:rPr>
                <w:color w:val="231F20"/>
                <w:w w:val="75"/>
                <w:sz w:val="16"/>
              </w:rPr>
              <w:t>JORGE LEÓN</w:t>
            </w:r>
          </w:p>
        </w:tc>
      </w:tr>
      <w:tr>
        <w:trPr>
          <w:trHeight w:val="285" w:hRule="exact"/>
        </w:trPr>
        <w:tc>
          <w:tcPr>
            <w:tcW w:w="4380" w:type="dxa"/>
          </w:tcPr>
          <w:p>
            <w:pPr>
              <w:pStyle w:val="TableParagraph"/>
              <w:spacing w:line="163" w:lineRule="exact"/>
              <w:ind w:left="0"/>
              <w:rPr>
                <w:sz w:val="16"/>
              </w:rPr>
            </w:pPr>
            <w:r>
              <w:rPr>
                <w:color w:val="231F20"/>
                <w:w w:val="70"/>
                <w:sz w:val="16"/>
              </w:rPr>
              <w:t>MOVIMIENTO DE COLONOS</w:t>
            </w:r>
          </w:p>
        </w:tc>
        <w:tc>
          <w:tcPr>
            <w:tcW w:w="1121" w:type="dxa"/>
          </w:tcPr>
          <w:p>
            <w:pPr>
              <w:pStyle w:val="TableParagraph"/>
              <w:spacing w:before="45"/>
              <w:ind w:left="0"/>
              <w:rPr>
                <w:sz w:val="16"/>
              </w:rPr>
            </w:pPr>
            <w:r>
              <w:rPr>
                <w:color w:val="231F20"/>
                <w:w w:val="80"/>
                <w:sz w:val="16"/>
              </w:rPr>
              <w:t>MC</w:t>
            </w:r>
          </w:p>
        </w:tc>
        <w:tc>
          <w:tcPr>
            <w:tcW w:w="2433" w:type="dxa"/>
          </w:tcPr>
          <w:p>
            <w:pPr>
              <w:pStyle w:val="TableParagraph"/>
              <w:spacing w:line="163" w:lineRule="exact"/>
              <w:ind w:left="0"/>
              <w:rPr>
                <w:sz w:val="16"/>
              </w:rPr>
            </w:pPr>
            <w:r>
              <w:rPr>
                <w:color w:val="231F20"/>
                <w:w w:val="70"/>
                <w:sz w:val="16"/>
              </w:rPr>
              <w:t>FERNANDO GARCÍA  ROMANO</w:t>
            </w:r>
          </w:p>
        </w:tc>
      </w:tr>
      <w:tr>
        <w:trPr>
          <w:trHeight w:val="387" w:hRule="exact"/>
        </w:trPr>
        <w:tc>
          <w:tcPr>
            <w:tcW w:w="4380" w:type="dxa"/>
          </w:tcPr>
          <w:p>
            <w:pPr>
              <w:pStyle w:val="TableParagraph"/>
              <w:spacing w:line="161" w:lineRule="exact"/>
              <w:ind w:left="0"/>
              <w:rPr>
                <w:sz w:val="16"/>
              </w:rPr>
            </w:pPr>
            <w:r>
              <w:rPr>
                <w:color w:val="231F20"/>
                <w:w w:val="70"/>
                <w:sz w:val="16"/>
              </w:rPr>
              <w:t>MOVIMIENTO DE LUCHA</w:t>
            </w:r>
          </w:p>
          <w:p>
            <w:pPr>
              <w:pStyle w:val="TableParagraph"/>
              <w:spacing w:line="194" w:lineRule="exact"/>
              <w:ind w:left="0"/>
              <w:rPr>
                <w:sz w:val="16"/>
              </w:rPr>
            </w:pPr>
            <w:r>
              <w:rPr>
                <w:color w:val="231F20"/>
                <w:w w:val="70"/>
                <w:sz w:val="16"/>
              </w:rPr>
              <w:t>EN   NEZAHUALCÓYOTL</w:t>
            </w:r>
          </w:p>
        </w:tc>
        <w:tc>
          <w:tcPr>
            <w:tcW w:w="1121" w:type="dxa"/>
          </w:tcPr>
          <w:p>
            <w:pPr>
              <w:pStyle w:val="TableParagraph"/>
              <w:spacing w:before="96"/>
              <w:ind w:left="0"/>
              <w:rPr>
                <w:sz w:val="16"/>
              </w:rPr>
            </w:pPr>
            <w:r>
              <w:rPr>
                <w:color w:val="231F20"/>
                <w:w w:val="85"/>
                <w:sz w:val="16"/>
              </w:rPr>
              <w:t>MLN</w:t>
            </w:r>
          </w:p>
        </w:tc>
        <w:tc>
          <w:tcPr>
            <w:tcW w:w="2433" w:type="dxa"/>
          </w:tcPr>
          <w:p>
            <w:pPr>
              <w:pStyle w:val="TableParagraph"/>
              <w:spacing w:line="163" w:lineRule="exact"/>
              <w:ind w:left="0"/>
              <w:rPr>
                <w:sz w:val="16"/>
              </w:rPr>
            </w:pPr>
            <w:r>
              <w:rPr>
                <w:color w:val="231F20"/>
                <w:w w:val="75"/>
                <w:sz w:val="16"/>
              </w:rPr>
              <w:t>EMILIO ULLOA PÉREZ</w:t>
            </w:r>
          </w:p>
        </w:tc>
      </w:tr>
    </w:tbl>
    <w:p>
      <w:pPr>
        <w:spacing w:after="0" w:line="163" w:lineRule="exact"/>
        <w:rPr>
          <w:sz w:val="16"/>
        </w:rPr>
        <w:sectPr>
          <w:pgSz w:w="9640" w:h="12190"/>
          <w:pgMar w:header="0" w:footer="743" w:top="1120" w:bottom="940" w:left="740" w:right="720"/>
        </w:sectPr>
      </w:pPr>
    </w:p>
    <w:p>
      <w:pPr>
        <w:pStyle w:val="BodyText"/>
        <w:spacing w:before="2"/>
        <w:rPr>
          <w:b/>
          <w:sz w:val="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380"/>
        <w:gridCol w:w="1121"/>
        <w:gridCol w:w="2433"/>
      </w:tblGrid>
      <w:tr>
        <w:trPr>
          <w:trHeight w:val="391" w:hRule="exact"/>
        </w:trPr>
        <w:tc>
          <w:tcPr>
            <w:tcW w:w="4380" w:type="dxa"/>
          </w:tcPr>
          <w:p>
            <w:pPr>
              <w:pStyle w:val="TableParagraph"/>
              <w:spacing w:line="161" w:lineRule="exact"/>
              <w:ind w:left="0"/>
              <w:rPr>
                <w:sz w:val="16"/>
              </w:rPr>
            </w:pPr>
            <w:r>
              <w:rPr>
                <w:color w:val="231F20"/>
                <w:w w:val="70"/>
                <w:sz w:val="16"/>
              </w:rPr>
              <w:t>MOVIMIENTO DE  ORGANIZACIONES</w:t>
            </w:r>
          </w:p>
          <w:p>
            <w:pPr>
              <w:pStyle w:val="TableParagraph"/>
              <w:spacing w:line="194" w:lineRule="exact"/>
              <w:ind w:left="0"/>
              <w:rPr>
                <w:sz w:val="16"/>
              </w:rPr>
            </w:pPr>
            <w:r>
              <w:rPr>
                <w:color w:val="231F20"/>
                <w:w w:val="85"/>
                <w:sz w:val="16"/>
              </w:rPr>
              <w:t>SOCIALES</w:t>
            </w:r>
          </w:p>
        </w:tc>
        <w:tc>
          <w:tcPr>
            <w:tcW w:w="1121" w:type="dxa"/>
          </w:tcPr>
          <w:p>
            <w:pPr>
              <w:pStyle w:val="TableParagraph"/>
              <w:spacing w:before="98"/>
              <w:ind w:left="0"/>
              <w:rPr>
                <w:sz w:val="16"/>
              </w:rPr>
            </w:pPr>
            <w:r>
              <w:rPr>
                <w:color w:val="231F20"/>
                <w:w w:val="80"/>
                <w:sz w:val="16"/>
              </w:rPr>
              <w:t>MOS</w:t>
            </w:r>
          </w:p>
        </w:tc>
        <w:tc>
          <w:tcPr>
            <w:tcW w:w="2433" w:type="dxa"/>
          </w:tcPr>
          <w:p>
            <w:pPr>
              <w:pStyle w:val="TableParagraph"/>
              <w:spacing w:line="163" w:lineRule="exact"/>
              <w:ind w:left="0"/>
              <w:rPr>
                <w:sz w:val="16"/>
              </w:rPr>
            </w:pPr>
            <w:r>
              <w:rPr>
                <w:color w:val="231F20"/>
                <w:w w:val="75"/>
                <w:sz w:val="16"/>
              </w:rPr>
              <w:t>ONÉSIMO MORALES MORALES</w:t>
            </w:r>
          </w:p>
        </w:tc>
      </w:tr>
      <w:tr>
        <w:trPr>
          <w:trHeight w:val="417" w:hRule="exact"/>
        </w:trPr>
        <w:tc>
          <w:tcPr>
            <w:tcW w:w="4380" w:type="dxa"/>
          </w:tcPr>
          <w:p>
            <w:pPr>
              <w:pStyle w:val="TableParagraph"/>
              <w:spacing w:line="161" w:lineRule="exact"/>
              <w:ind w:left="0"/>
              <w:rPr>
                <w:sz w:val="16"/>
              </w:rPr>
            </w:pPr>
            <w:r>
              <w:rPr>
                <w:color w:val="231F20"/>
                <w:w w:val="70"/>
                <w:sz w:val="16"/>
              </w:rPr>
              <w:t>MOVIMIENTO DE  PARTICIPACIÓN</w:t>
            </w:r>
          </w:p>
          <w:p>
            <w:pPr>
              <w:pStyle w:val="TableParagraph"/>
              <w:spacing w:line="194" w:lineRule="exact"/>
              <w:ind w:left="0"/>
              <w:rPr>
                <w:sz w:val="16"/>
              </w:rPr>
            </w:pPr>
            <w:r>
              <w:rPr>
                <w:color w:val="231F20"/>
                <w:w w:val="85"/>
                <w:sz w:val="16"/>
              </w:rPr>
              <w:t>CIUDADANA</w:t>
            </w:r>
          </w:p>
        </w:tc>
        <w:tc>
          <w:tcPr>
            <w:tcW w:w="1121" w:type="dxa"/>
          </w:tcPr>
          <w:p>
            <w:pPr/>
          </w:p>
        </w:tc>
        <w:tc>
          <w:tcPr>
            <w:tcW w:w="2433" w:type="dxa"/>
          </w:tcPr>
          <w:p>
            <w:pPr>
              <w:pStyle w:val="TableParagraph"/>
              <w:spacing w:line="163" w:lineRule="exact"/>
              <w:ind w:left="0"/>
              <w:rPr>
                <w:sz w:val="16"/>
              </w:rPr>
            </w:pPr>
            <w:r>
              <w:rPr>
                <w:color w:val="231F20"/>
                <w:w w:val="75"/>
                <w:sz w:val="16"/>
              </w:rPr>
              <w:t>AURELIA CRUZ</w:t>
            </w:r>
          </w:p>
        </w:tc>
      </w:tr>
      <w:tr>
        <w:trPr>
          <w:trHeight w:val="414" w:hRule="exact"/>
        </w:trPr>
        <w:tc>
          <w:tcPr>
            <w:tcW w:w="4380" w:type="dxa"/>
          </w:tcPr>
          <w:p>
            <w:pPr>
              <w:pStyle w:val="TableParagraph"/>
              <w:spacing w:line="161" w:lineRule="exact"/>
              <w:ind w:left="0"/>
              <w:rPr>
                <w:sz w:val="16"/>
              </w:rPr>
            </w:pPr>
            <w:r>
              <w:rPr>
                <w:color w:val="231F20"/>
                <w:w w:val="70"/>
                <w:sz w:val="16"/>
              </w:rPr>
              <w:t>MOVIMIENTO   INDEPENDIENTE</w:t>
            </w:r>
          </w:p>
          <w:p>
            <w:pPr>
              <w:pStyle w:val="TableParagraph"/>
              <w:spacing w:line="194" w:lineRule="exact"/>
              <w:ind w:left="0"/>
              <w:rPr>
                <w:sz w:val="16"/>
              </w:rPr>
            </w:pPr>
            <w:r>
              <w:rPr>
                <w:color w:val="231F20"/>
                <w:w w:val="75"/>
                <w:sz w:val="16"/>
              </w:rPr>
              <w:t>FRANCISCO VILLA</w:t>
            </w:r>
          </w:p>
        </w:tc>
        <w:tc>
          <w:tcPr>
            <w:tcW w:w="1121" w:type="dxa"/>
          </w:tcPr>
          <w:p>
            <w:pPr/>
          </w:p>
        </w:tc>
        <w:tc>
          <w:tcPr>
            <w:tcW w:w="2433" w:type="dxa"/>
          </w:tcPr>
          <w:p>
            <w:pPr>
              <w:pStyle w:val="TableParagraph"/>
              <w:spacing w:line="163" w:lineRule="exact"/>
              <w:ind w:left="0"/>
              <w:rPr>
                <w:sz w:val="16"/>
              </w:rPr>
            </w:pPr>
            <w:r>
              <w:rPr>
                <w:color w:val="231F20"/>
                <w:w w:val="75"/>
                <w:sz w:val="16"/>
              </w:rPr>
              <w:t>JAVIER CORTÉS</w:t>
            </w:r>
          </w:p>
        </w:tc>
      </w:tr>
      <w:tr>
        <w:trPr>
          <w:trHeight w:val="285" w:hRule="exact"/>
        </w:trPr>
        <w:tc>
          <w:tcPr>
            <w:tcW w:w="4380" w:type="dxa"/>
          </w:tcPr>
          <w:p>
            <w:pPr>
              <w:pStyle w:val="TableParagraph"/>
              <w:spacing w:line="163" w:lineRule="exact"/>
              <w:ind w:left="0"/>
              <w:rPr>
                <w:sz w:val="16"/>
              </w:rPr>
            </w:pPr>
            <w:r>
              <w:rPr>
                <w:color w:val="231F20"/>
                <w:w w:val="70"/>
                <w:sz w:val="16"/>
              </w:rPr>
              <w:t>MOVIMIENTO  SOL</w:t>
            </w:r>
          </w:p>
        </w:tc>
        <w:tc>
          <w:tcPr>
            <w:tcW w:w="1121" w:type="dxa"/>
          </w:tcPr>
          <w:p>
            <w:pPr/>
          </w:p>
        </w:tc>
        <w:tc>
          <w:tcPr>
            <w:tcW w:w="2433" w:type="dxa"/>
          </w:tcPr>
          <w:p>
            <w:pPr>
              <w:pStyle w:val="TableParagraph"/>
              <w:spacing w:line="163" w:lineRule="exact"/>
              <w:ind w:left="0"/>
              <w:rPr>
                <w:sz w:val="16"/>
              </w:rPr>
            </w:pPr>
            <w:r>
              <w:rPr>
                <w:color w:val="231F20"/>
                <w:w w:val="75"/>
                <w:sz w:val="16"/>
              </w:rPr>
              <w:t>RAMÓN LUJÁN</w:t>
            </w:r>
          </w:p>
        </w:tc>
      </w:tr>
      <w:tr>
        <w:trPr>
          <w:trHeight w:val="229" w:hRule="exact"/>
        </w:trPr>
        <w:tc>
          <w:tcPr>
            <w:tcW w:w="4380" w:type="dxa"/>
          </w:tcPr>
          <w:p>
            <w:pPr>
              <w:pStyle w:val="TableParagraph"/>
              <w:spacing w:line="163" w:lineRule="exact"/>
              <w:ind w:left="0"/>
              <w:rPr>
                <w:sz w:val="16"/>
              </w:rPr>
            </w:pPr>
            <w:r>
              <w:rPr>
                <w:color w:val="231F20"/>
                <w:w w:val="70"/>
                <w:sz w:val="16"/>
              </w:rPr>
              <w:t>MOVIMIENTO VIDA DIGNA</w:t>
            </w:r>
          </w:p>
        </w:tc>
        <w:tc>
          <w:tcPr>
            <w:tcW w:w="1121" w:type="dxa"/>
          </w:tcPr>
          <w:p>
            <w:pPr>
              <w:pStyle w:val="TableParagraph"/>
              <w:spacing w:before="17"/>
              <w:ind w:left="0"/>
              <w:rPr>
                <w:sz w:val="16"/>
              </w:rPr>
            </w:pPr>
            <w:r>
              <w:rPr>
                <w:color w:val="231F20"/>
                <w:w w:val="85"/>
                <w:sz w:val="16"/>
              </w:rPr>
              <w:t>MOVIDIG</w:t>
            </w:r>
          </w:p>
        </w:tc>
        <w:tc>
          <w:tcPr>
            <w:tcW w:w="2433" w:type="dxa"/>
          </w:tcPr>
          <w:p>
            <w:pPr>
              <w:pStyle w:val="TableParagraph"/>
              <w:spacing w:line="163" w:lineRule="exact"/>
              <w:ind w:left="0"/>
              <w:rPr>
                <w:sz w:val="16"/>
              </w:rPr>
            </w:pPr>
            <w:r>
              <w:rPr>
                <w:color w:val="231F20"/>
                <w:w w:val="75"/>
                <w:sz w:val="16"/>
              </w:rPr>
              <w:t>HÉCTOR BAUTISTA LÓPEZ</w:t>
            </w:r>
          </w:p>
        </w:tc>
      </w:tr>
      <w:tr>
        <w:trPr>
          <w:trHeight w:val="285" w:hRule="exact"/>
        </w:trPr>
        <w:tc>
          <w:tcPr>
            <w:tcW w:w="4380" w:type="dxa"/>
          </w:tcPr>
          <w:p>
            <w:pPr>
              <w:pStyle w:val="TableParagraph"/>
              <w:spacing w:line="163" w:lineRule="exact"/>
              <w:ind w:left="0"/>
              <w:rPr>
                <w:sz w:val="16"/>
              </w:rPr>
            </w:pPr>
            <w:r>
              <w:rPr>
                <w:color w:val="231F20"/>
                <w:w w:val="75"/>
                <w:sz w:val="16"/>
              </w:rPr>
              <w:t>NUEVA VIDA</w:t>
            </w:r>
          </w:p>
        </w:tc>
        <w:tc>
          <w:tcPr>
            <w:tcW w:w="1121" w:type="dxa"/>
          </w:tcPr>
          <w:p>
            <w:pPr/>
          </w:p>
        </w:tc>
        <w:tc>
          <w:tcPr>
            <w:tcW w:w="2433" w:type="dxa"/>
          </w:tcPr>
          <w:p>
            <w:pPr>
              <w:pStyle w:val="TableParagraph"/>
              <w:spacing w:line="163" w:lineRule="exact"/>
              <w:ind w:left="0"/>
              <w:rPr>
                <w:sz w:val="16"/>
              </w:rPr>
            </w:pPr>
            <w:r>
              <w:rPr>
                <w:color w:val="231F20"/>
                <w:w w:val="75"/>
                <w:sz w:val="16"/>
              </w:rPr>
              <w:t>MARTÍN ROSALES</w:t>
            </w:r>
          </w:p>
        </w:tc>
      </w:tr>
      <w:tr>
        <w:trPr>
          <w:trHeight w:val="245" w:hRule="exact"/>
        </w:trPr>
        <w:tc>
          <w:tcPr>
            <w:tcW w:w="4380" w:type="dxa"/>
          </w:tcPr>
          <w:p>
            <w:pPr>
              <w:pStyle w:val="TableParagraph"/>
              <w:spacing w:line="163" w:lineRule="exact"/>
              <w:ind w:left="0"/>
              <w:rPr>
                <w:sz w:val="16"/>
              </w:rPr>
            </w:pPr>
            <w:r>
              <w:rPr>
                <w:color w:val="231F20"/>
                <w:w w:val="75"/>
                <w:sz w:val="16"/>
              </w:rPr>
              <w:t>SOCIEDAD DE ORGANIZACIÓN POLÍTICA</w:t>
            </w:r>
          </w:p>
        </w:tc>
        <w:tc>
          <w:tcPr>
            <w:tcW w:w="1121" w:type="dxa"/>
          </w:tcPr>
          <w:p>
            <w:pPr>
              <w:pStyle w:val="TableParagraph"/>
              <w:spacing w:before="25"/>
              <w:ind w:left="0"/>
              <w:rPr>
                <w:sz w:val="16"/>
              </w:rPr>
            </w:pPr>
            <w:r>
              <w:rPr>
                <w:color w:val="231F20"/>
                <w:w w:val="85"/>
                <w:sz w:val="16"/>
              </w:rPr>
              <w:t>SOP</w:t>
            </w:r>
          </w:p>
        </w:tc>
        <w:tc>
          <w:tcPr>
            <w:tcW w:w="2433" w:type="dxa"/>
          </w:tcPr>
          <w:p>
            <w:pPr>
              <w:pStyle w:val="TableParagraph"/>
              <w:spacing w:line="163" w:lineRule="exact"/>
              <w:ind w:left="0"/>
              <w:rPr>
                <w:sz w:val="16"/>
              </w:rPr>
            </w:pPr>
            <w:r>
              <w:rPr>
                <w:color w:val="231F20"/>
                <w:w w:val="75"/>
                <w:sz w:val="16"/>
              </w:rPr>
              <w:t>EDGAR ESPINOZA</w:t>
            </w:r>
          </w:p>
        </w:tc>
      </w:tr>
      <w:tr>
        <w:trPr>
          <w:trHeight w:val="431" w:hRule="exact"/>
        </w:trPr>
        <w:tc>
          <w:tcPr>
            <w:tcW w:w="4380" w:type="dxa"/>
          </w:tcPr>
          <w:p>
            <w:pPr>
              <w:pStyle w:val="TableParagraph"/>
              <w:spacing w:line="161" w:lineRule="exact"/>
              <w:ind w:left="0"/>
              <w:rPr>
                <w:sz w:val="16"/>
              </w:rPr>
            </w:pPr>
            <w:r>
              <w:rPr>
                <w:color w:val="231F20"/>
                <w:w w:val="75"/>
                <w:sz w:val="16"/>
              </w:rPr>
              <w:t>UNIÓN DE BASES AUTOGESTIVAS</w:t>
            </w:r>
          </w:p>
          <w:p>
            <w:pPr>
              <w:pStyle w:val="TableParagraph"/>
              <w:spacing w:line="194" w:lineRule="exact"/>
              <w:ind w:left="0"/>
              <w:rPr>
                <w:sz w:val="16"/>
              </w:rPr>
            </w:pPr>
            <w:r>
              <w:rPr>
                <w:color w:val="231F20"/>
                <w:w w:val="75"/>
                <w:sz w:val="16"/>
              </w:rPr>
              <w:t>DEMOCRÁTICAS “EMILIANO ZAPATA”</w:t>
            </w:r>
          </w:p>
        </w:tc>
        <w:tc>
          <w:tcPr>
            <w:tcW w:w="1121" w:type="dxa"/>
          </w:tcPr>
          <w:p>
            <w:pPr>
              <w:pStyle w:val="TableParagraph"/>
              <w:spacing w:before="118"/>
              <w:ind w:left="0"/>
              <w:rPr>
                <w:sz w:val="16"/>
              </w:rPr>
            </w:pPr>
            <w:r>
              <w:rPr>
                <w:color w:val="231F20"/>
                <w:w w:val="85"/>
                <w:sz w:val="16"/>
              </w:rPr>
              <w:t>UBADEZ</w:t>
            </w:r>
          </w:p>
        </w:tc>
        <w:tc>
          <w:tcPr>
            <w:tcW w:w="2433" w:type="dxa"/>
          </w:tcPr>
          <w:p>
            <w:pPr>
              <w:pStyle w:val="TableParagraph"/>
              <w:spacing w:line="163" w:lineRule="exact"/>
              <w:ind w:left="0"/>
              <w:rPr>
                <w:sz w:val="16"/>
              </w:rPr>
            </w:pPr>
            <w:r>
              <w:rPr>
                <w:color w:val="231F20"/>
                <w:w w:val="75"/>
                <w:sz w:val="16"/>
              </w:rPr>
              <w:t>JUAN MANUEL MENDOZA HERNÁNDEZ</w:t>
            </w:r>
          </w:p>
        </w:tc>
      </w:tr>
      <w:tr>
        <w:trPr>
          <w:trHeight w:val="232" w:hRule="exact"/>
        </w:trPr>
        <w:tc>
          <w:tcPr>
            <w:tcW w:w="4380" w:type="dxa"/>
          </w:tcPr>
          <w:p>
            <w:pPr>
              <w:pStyle w:val="TableParagraph"/>
              <w:spacing w:line="163" w:lineRule="exact"/>
              <w:ind w:left="0"/>
              <w:rPr>
                <w:sz w:val="16"/>
              </w:rPr>
            </w:pPr>
            <w:r>
              <w:rPr>
                <w:color w:val="231F20"/>
                <w:w w:val="75"/>
                <w:sz w:val="16"/>
              </w:rPr>
              <w:t>UNIÓN DE RESISTENCIA CIUDADANA</w:t>
            </w:r>
          </w:p>
        </w:tc>
        <w:tc>
          <w:tcPr>
            <w:tcW w:w="1121" w:type="dxa"/>
          </w:tcPr>
          <w:p>
            <w:pPr>
              <w:pStyle w:val="TableParagraph"/>
              <w:spacing w:before="19"/>
              <w:ind w:left="0"/>
              <w:rPr>
                <w:sz w:val="16"/>
              </w:rPr>
            </w:pPr>
            <w:r>
              <w:rPr>
                <w:color w:val="231F20"/>
                <w:w w:val="80"/>
                <w:sz w:val="16"/>
              </w:rPr>
              <w:t>URC</w:t>
            </w:r>
          </w:p>
        </w:tc>
        <w:tc>
          <w:tcPr>
            <w:tcW w:w="2433" w:type="dxa"/>
          </w:tcPr>
          <w:p>
            <w:pPr>
              <w:pStyle w:val="TableParagraph"/>
              <w:spacing w:line="163" w:lineRule="exact"/>
              <w:ind w:left="0"/>
              <w:rPr>
                <w:sz w:val="16"/>
              </w:rPr>
            </w:pPr>
            <w:r>
              <w:rPr>
                <w:color w:val="231F20"/>
                <w:w w:val="75"/>
                <w:sz w:val="16"/>
              </w:rPr>
              <w:t>MANUELA DÁVALOS</w:t>
            </w:r>
          </w:p>
        </w:tc>
      </w:tr>
      <w:tr>
        <w:trPr>
          <w:trHeight w:val="442" w:hRule="exact"/>
        </w:trPr>
        <w:tc>
          <w:tcPr>
            <w:tcW w:w="4380" w:type="dxa"/>
          </w:tcPr>
          <w:p>
            <w:pPr>
              <w:pStyle w:val="TableParagraph"/>
              <w:spacing w:line="161" w:lineRule="exact"/>
              <w:ind w:left="0"/>
              <w:rPr>
                <w:sz w:val="16"/>
              </w:rPr>
            </w:pPr>
            <w:r>
              <w:rPr>
                <w:color w:val="231F20"/>
                <w:w w:val="75"/>
                <w:sz w:val="16"/>
              </w:rPr>
              <w:t>UNIÓN DE TRANSPORTISTAS</w:t>
            </w:r>
          </w:p>
          <w:p>
            <w:pPr>
              <w:pStyle w:val="TableParagraph"/>
              <w:spacing w:line="194" w:lineRule="exact"/>
              <w:ind w:left="0"/>
              <w:rPr>
                <w:sz w:val="16"/>
              </w:rPr>
            </w:pPr>
            <w:r>
              <w:rPr>
                <w:color w:val="231F20"/>
                <w:w w:val="75"/>
                <w:sz w:val="16"/>
              </w:rPr>
              <w:t>RECOLECTORES DE BASURA</w:t>
            </w:r>
          </w:p>
        </w:tc>
        <w:tc>
          <w:tcPr>
            <w:tcW w:w="1121" w:type="dxa"/>
          </w:tcPr>
          <w:p>
            <w:pPr>
              <w:pStyle w:val="TableParagraph"/>
              <w:spacing w:before="124"/>
              <w:ind w:left="0"/>
              <w:rPr>
                <w:sz w:val="16"/>
              </w:rPr>
            </w:pPr>
            <w:r>
              <w:rPr>
                <w:color w:val="231F20"/>
                <w:w w:val="85"/>
                <w:sz w:val="16"/>
              </w:rPr>
              <w:t>UTREBA</w:t>
            </w:r>
          </w:p>
        </w:tc>
        <w:tc>
          <w:tcPr>
            <w:tcW w:w="2433" w:type="dxa"/>
          </w:tcPr>
          <w:p>
            <w:pPr>
              <w:pStyle w:val="TableParagraph"/>
              <w:spacing w:line="163" w:lineRule="exact"/>
              <w:ind w:left="0"/>
              <w:rPr>
                <w:sz w:val="16"/>
              </w:rPr>
            </w:pPr>
            <w:r>
              <w:rPr>
                <w:color w:val="231F20"/>
                <w:w w:val="75"/>
                <w:sz w:val="16"/>
              </w:rPr>
              <w:t>DAVID GARNICA</w:t>
            </w:r>
          </w:p>
        </w:tc>
      </w:tr>
      <w:tr>
        <w:trPr>
          <w:trHeight w:val="398" w:hRule="exact"/>
        </w:trPr>
        <w:tc>
          <w:tcPr>
            <w:tcW w:w="4380" w:type="dxa"/>
          </w:tcPr>
          <w:p>
            <w:pPr>
              <w:pStyle w:val="TableParagraph"/>
              <w:spacing w:line="161" w:lineRule="exact"/>
              <w:ind w:left="0"/>
              <w:rPr>
                <w:sz w:val="16"/>
              </w:rPr>
            </w:pPr>
            <w:r>
              <w:rPr>
                <w:color w:val="231F20"/>
                <w:w w:val="75"/>
                <w:sz w:val="16"/>
              </w:rPr>
              <w:t>UNIÓN GENERAL DE OBREROS</w:t>
            </w:r>
          </w:p>
          <w:p>
            <w:pPr>
              <w:pStyle w:val="TableParagraph"/>
              <w:spacing w:line="194" w:lineRule="exact"/>
              <w:ind w:left="0"/>
              <w:rPr>
                <w:sz w:val="16"/>
              </w:rPr>
            </w:pPr>
            <w:r>
              <w:rPr>
                <w:color w:val="231F20"/>
                <w:w w:val="75"/>
                <w:sz w:val="16"/>
              </w:rPr>
              <w:t>Y CAMPESINOS DEL ESTADO DE MÉXICO</w:t>
            </w:r>
          </w:p>
        </w:tc>
        <w:tc>
          <w:tcPr>
            <w:tcW w:w="1121" w:type="dxa"/>
          </w:tcPr>
          <w:p>
            <w:pPr>
              <w:pStyle w:val="TableParagraph"/>
              <w:spacing w:before="101"/>
              <w:ind w:left="0"/>
              <w:rPr>
                <w:sz w:val="16"/>
              </w:rPr>
            </w:pPr>
            <w:r>
              <w:rPr>
                <w:color w:val="231F20"/>
                <w:w w:val="80"/>
                <w:sz w:val="16"/>
              </w:rPr>
              <w:t>UGOCEM</w:t>
            </w:r>
          </w:p>
        </w:tc>
        <w:tc>
          <w:tcPr>
            <w:tcW w:w="2433" w:type="dxa"/>
          </w:tcPr>
          <w:p>
            <w:pPr>
              <w:pStyle w:val="TableParagraph"/>
              <w:spacing w:line="163" w:lineRule="exact"/>
              <w:ind w:left="0"/>
              <w:rPr>
                <w:sz w:val="16"/>
              </w:rPr>
            </w:pPr>
            <w:r>
              <w:rPr>
                <w:color w:val="231F20"/>
                <w:w w:val="75"/>
                <w:sz w:val="16"/>
              </w:rPr>
              <w:t>VALENTÍN GONZÁLEZ BAUTISTA</w:t>
            </w:r>
          </w:p>
        </w:tc>
      </w:tr>
      <w:tr>
        <w:trPr>
          <w:trHeight w:val="408" w:hRule="exact"/>
        </w:trPr>
        <w:tc>
          <w:tcPr>
            <w:tcW w:w="4380" w:type="dxa"/>
          </w:tcPr>
          <w:p>
            <w:pPr>
              <w:pStyle w:val="TableParagraph"/>
              <w:spacing w:line="161" w:lineRule="exact"/>
              <w:ind w:left="0"/>
              <w:rPr>
                <w:sz w:val="16"/>
              </w:rPr>
            </w:pPr>
            <w:r>
              <w:rPr>
                <w:color w:val="231F20"/>
                <w:w w:val="75"/>
                <w:sz w:val="16"/>
              </w:rPr>
              <w:t>UNIÓN POPULAR REVOLUCIONARIA</w:t>
            </w:r>
          </w:p>
          <w:p>
            <w:pPr>
              <w:pStyle w:val="TableParagraph"/>
              <w:spacing w:line="194" w:lineRule="exact"/>
              <w:ind w:left="0"/>
              <w:rPr>
                <w:sz w:val="16"/>
              </w:rPr>
            </w:pPr>
            <w:r>
              <w:rPr>
                <w:color w:val="231F20"/>
                <w:w w:val="75"/>
                <w:sz w:val="16"/>
              </w:rPr>
              <w:t>EMILIANO ZAPATA</w:t>
            </w:r>
          </w:p>
        </w:tc>
        <w:tc>
          <w:tcPr>
            <w:tcW w:w="1121" w:type="dxa"/>
          </w:tcPr>
          <w:p>
            <w:pPr>
              <w:pStyle w:val="TableParagraph"/>
              <w:spacing w:before="106"/>
              <w:ind w:left="0"/>
              <w:rPr>
                <w:sz w:val="16"/>
              </w:rPr>
            </w:pPr>
            <w:r>
              <w:rPr>
                <w:color w:val="231F20"/>
                <w:w w:val="85"/>
                <w:sz w:val="16"/>
              </w:rPr>
              <w:t>UPREZ</w:t>
            </w:r>
          </w:p>
        </w:tc>
        <w:tc>
          <w:tcPr>
            <w:tcW w:w="2433" w:type="dxa"/>
          </w:tcPr>
          <w:p>
            <w:pPr>
              <w:pStyle w:val="TableParagraph"/>
              <w:spacing w:line="163" w:lineRule="exact"/>
              <w:ind w:left="0"/>
              <w:rPr>
                <w:sz w:val="16"/>
              </w:rPr>
            </w:pPr>
            <w:r>
              <w:rPr>
                <w:color w:val="231F20"/>
                <w:w w:val="75"/>
                <w:sz w:val="16"/>
              </w:rPr>
              <w:t>FELIPE RODRÍGUEZ AGUIRRE</w:t>
            </w:r>
          </w:p>
        </w:tc>
      </w:tr>
    </w:tbl>
    <w:p>
      <w:pPr>
        <w:pStyle w:val="BodyText"/>
        <w:rPr>
          <w:b/>
          <w:sz w:val="20"/>
        </w:rPr>
      </w:pPr>
    </w:p>
    <w:p>
      <w:pPr>
        <w:pStyle w:val="BodyText"/>
        <w:spacing w:before="1"/>
        <w:rPr>
          <w:b/>
          <w:sz w:val="20"/>
        </w:rPr>
      </w:pPr>
    </w:p>
    <w:p>
      <w:pPr>
        <w:spacing w:before="0"/>
        <w:ind w:left="0" w:right="128" w:firstLine="0"/>
        <w:jc w:val="right"/>
        <w:rPr>
          <w:rFonts w:ascii="Calibri" w:hAnsi="Calibri"/>
          <w:sz w:val="16"/>
        </w:rPr>
      </w:pPr>
      <w:r>
        <w:rPr>
          <w:rFonts w:ascii="Calibri" w:hAnsi="Calibri"/>
          <w:color w:val="231F20"/>
          <w:w w:val="95"/>
          <w:sz w:val="16"/>
        </w:rPr>
        <w:t>Fuente: Hernández Muñoz (2006).</w:t>
      </w:r>
    </w:p>
    <w:p>
      <w:pPr>
        <w:pStyle w:val="BodyText"/>
        <w:rPr>
          <w:rFonts w:ascii="Calibri"/>
          <w:sz w:val="16"/>
        </w:rPr>
      </w:pPr>
    </w:p>
    <w:p>
      <w:pPr>
        <w:pStyle w:val="BodyText"/>
        <w:spacing w:before="9"/>
        <w:rPr>
          <w:rFonts w:ascii="Calibri"/>
          <w:sz w:val="12"/>
        </w:rPr>
      </w:pPr>
    </w:p>
    <w:p>
      <w:pPr>
        <w:pStyle w:val="BodyText"/>
        <w:spacing w:line="285" w:lineRule="auto"/>
        <w:ind w:left="110" w:right="128"/>
        <w:jc w:val="both"/>
      </w:pPr>
      <w:r>
        <w:rPr>
          <w:color w:val="231F20"/>
          <w:w w:val="105"/>
        </w:rPr>
        <w:t>Ahora</w:t>
      </w:r>
      <w:r>
        <w:rPr>
          <w:color w:val="231F20"/>
          <w:spacing w:val="-8"/>
          <w:w w:val="105"/>
        </w:rPr>
        <w:t> </w:t>
      </w:r>
      <w:r>
        <w:rPr>
          <w:color w:val="231F20"/>
          <w:w w:val="105"/>
        </w:rPr>
        <w:t>bien,</w:t>
      </w:r>
      <w:r>
        <w:rPr>
          <w:color w:val="231F20"/>
          <w:spacing w:val="-8"/>
          <w:w w:val="105"/>
        </w:rPr>
        <w:t> </w:t>
      </w:r>
      <w:r>
        <w:rPr>
          <w:color w:val="231F20"/>
          <w:w w:val="105"/>
        </w:rPr>
        <w:t>considerando</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principales</w:t>
      </w:r>
      <w:r>
        <w:rPr>
          <w:color w:val="231F20"/>
          <w:spacing w:val="-8"/>
          <w:w w:val="105"/>
        </w:rPr>
        <w:t> </w:t>
      </w:r>
      <w:r>
        <w:rPr>
          <w:color w:val="231F20"/>
          <w:w w:val="105"/>
        </w:rPr>
        <w:t>organizaciones</w:t>
      </w:r>
      <w:r>
        <w:rPr>
          <w:color w:val="231F20"/>
          <w:spacing w:val="-8"/>
          <w:w w:val="105"/>
        </w:rPr>
        <w:t> </w:t>
      </w:r>
      <w:r>
        <w:rPr>
          <w:color w:val="231F20"/>
          <w:w w:val="105"/>
        </w:rPr>
        <w:t>sociales</w:t>
      </w:r>
      <w:r>
        <w:rPr>
          <w:color w:val="231F20"/>
          <w:spacing w:val="-8"/>
          <w:w w:val="105"/>
        </w:rPr>
        <w:t> </w:t>
      </w:r>
      <w:r>
        <w:rPr>
          <w:color w:val="231F20"/>
          <w:w w:val="105"/>
        </w:rPr>
        <w:t>que</w:t>
      </w:r>
      <w:r>
        <w:rPr>
          <w:color w:val="231F20"/>
          <w:spacing w:val="-8"/>
          <w:w w:val="105"/>
        </w:rPr>
        <w:t> </w:t>
      </w:r>
      <w:r>
        <w:rPr>
          <w:color w:val="231F20"/>
          <w:w w:val="105"/>
        </w:rPr>
        <w:t>existen</w:t>
      </w:r>
      <w:r>
        <w:rPr>
          <w:color w:val="231F20"/>
          <w:spacing w:val="-8"/>
          <w:w w:val="105"/>
        </w:rPr>
        <w:t> </w:t>
      </w:r>
      <w:r>
        <w:rPr>
          <w:color w:val="231F20"/>
          <w:w w:val="105"/>
        </w:rPr>
        <w:t>en</w:t>
      </w:r>
      <w:r>
        <w:rPr>
          <w:color w:val="231F20"/>
          <w:spacing w:val="-8"/>
          <w:w w:val="105"/>
        </w:rPr>
        <w:t> </w:t>
      </w:r>
      <w:r>
        <w:rPr>
          <w:color w:val="231F20"/>
          <w:w w:val="105"/>
        </w:rPr>
        <w:t>el municipio pertenecen </w:t>
      </w:r>
      <w:r>
        <w:rPr>
          <w:color w:val="231F20"/>
          <w:spacing w:val="2"/>
          <w:w w:val="105"/>
        </w:rPr>
        <w:t>al </w:t>
      </w:r>
      <w:r>
        <w:rPr>
          <w:color w:val="231F20"/>
          <w:w w:val="105"/>
        </w:rPr>
        <w:t>PRD </w:t>
      </w:r>
      <w:r>
        <w:rPr>
          <w:color w:val="231F20"/>
          <w:spacing w:val="-4"/>
          <w:w w:val="105"/>
        </w:rPr>
        <w:t>(con </w:t>
      </w:r>
      <w:r>
        <w:rPr>
          <w:color w:val="231F20"/>
          <w:w w:val="105"/>
        </w:rPr>
        <w:t>una importante presencia inclusive a nivel estatal), no podemos dejar de observar una simbiosis entre el partido y el gobierno municipal. Los líderes de las organizaciones sociales perredistas en Nezahualcóyotl distribuyen apoyos materiales entre sus miembros para </w:t>
      </w:r>
      <w:r>
        <w:rPr>
          <w:color w:val="231F20"/>
          <w:spacing w:val="-3"/>
          <w:w w:val="105"/>
        </w:rPr>
        <w:t>promover </w:t>
      </w:r>
      <w:r>
        <w:rPr>
          <w:color w:val="231F20"/>
          <w:w w:val="105"/>
        </w:rPr>
        <w:t>la participación política, apoyos obtenidos</w:t>
      </w:r>
      <w:r>
        <w:rPr>
          <w:color w:val="231F20"/>
          <w:spacing w:val="-12"/>
          <w:w w:val="105"/>
        </w:rPr>
        <w:t> </w:t>
      </w:r>
      <w:r>
        <w:rPr>
          <w:color w:val="231F20"/>
          <w:w w:val="105"/>
        </w:rPr>
        <w:t>en</w:t>
      </w:r>
      <w:r>
        <w:rPr>
          <w:color w:val="231F20"/>
          <w:spacing w:val="-12"/>
          <w:w w:val="105"/>
        </w:rPr>
        <w:t> </w:t>
      </w:r>
      <w:r>
        <w:rPr>
          <w:color w:val="231F20"/>
          <w:w w:val="105"/>
        </w:rPr>
        <w:t>buena</w:t>
      </w:r>
      <w:r>
        <w:rPr>
          <w:color w:val="231F20"/>
          <w:spacing w:val="-12"/>
          <w:w w:val="105"/>
        </w:rPr>
        <w:t> </w:t>
      </w:r>
      <w:r>
        <w:rPr>
          <w:color w:val="231F20"/>
          <w:w w:val="105"/>
        </w:rPr>
        <w:t>medida</w:t>
      </w:r>
      <w:r>
        <w:rPr>
          <w:color w:val="231F20"/>
          <w:spacing w:val="-12"/>
          <w:w w:val="105"/>
        </w:rPr>
        <w:t> </w:t>
      </w:r>
      <w:r>
        <w:rPr>
          <w:color w:val="231F20"/>
          <w:w w:val="105"/>
        </w:rPr>
        <w:t>por</w:t>
      </w:r>
      <w:r>
        <w:rPr>
          <w:color w:val="231F20"/>
          <w:spacing w:val="-12"/>
          <w:w w:val="105"/>
        </w:rPr>
        <w:t> </w:t>
      </w:r>
      <w:r>
        <w:rPr>
          <w:color w:val="231F20"/>
          <w:w w:val="105"/>
        </w:rPr>
        <w:t>las</w:t>
      </w:r>
      <w:r>
        <w:rPr>
          <w:color w:val="231F20"/>
          <w:spacing w:val="-12"/>
          <w:w w:val="105"/>
        </w:rPr>
        <w:t> </w:t>
      </w:r>
      <w:r>
        <w:rPr>
          <w:color w:val="231F20"/>
          <w:w w:val="105"/>
        </w:rPr>
        <w:t>administraciones</w:t>
      </w:r>
      <w:r>
        <w:rPr>
          <w:color w:val="231F20"/>
          <w:spacing w:val="-12"/>
          <w:w w:val="105"/>
        </w:rPr>
        <w:t> </w:t>
      </w:r>
      <w:r>
        <w:rPr>
          <w:color w:val="231F20"/>
          <w:w w:val="105"/>
        </w:rPr>
        <w:t>del</w:t>
      </w:r>
      <w:r>
        <w:rPr>
          <w:color w:val="231F20"/>
          <w:spacing w:val="-12"/>
          <w:w w:val="105"/>
        </w:rPr>
        <w:t> </w:t>
      </w:r>
      <w:r>
        <w:rPr>
          <w:color w:val="231F20"/>
          <w:w w:val="105"/>
        </w:rPr>
        <w:t>PRD</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municipio.</w:t>
      </w:r>
    </w:p>
    <w:p>
      <w:pPr>
        <w:pStyle w:val="BodyText"/>
        <w:spacing w:before="1"/>
        <w:rPr>
          <w:sz w:val="26"/>
        </w:rPr>
      </w:pPr>
    </w:p>
    <w:p>
      <w:pPr>
        <w:pStyle w:val="BodyText"/>
        <w:spacing w:line="285" w:lineRule="auto"/>
        <w:ind w:left="110" w:right="128"/>
        <w:jc w:val="both"/>
      </w:pPr>
      <w:r>
        <w:rPr>
          <w:color w:val="231F20"/>
          <w:w w:val="105"/>
        </w:rPr>
        <w:t>De</w:t>
      </w:r>
      <w:r>
        <w:rPr>
          <w:color w:val="231F20"/>
          <w:spacing w:val="-4"/>
          <w:w w:val="105"/>
        </w:rPr>
        <w:t> </w:t>
      </w:r>
      <w:r>
        <w:rPr>
          <w:color w:val="231F20"/>
          <w:spacing w:val="2"/>
          <w:w w:val="105"/>
        </w:rPr>
        <w:t>tal</w:t>
      </w:r>
      <w:r>
        <w:rPr>
          <w:color w:val="231F20"/>
          <w:spacing w:val="-4"/>
          <w:w w:val="105"/>
        </w:rPr>
        <w:t> </w:t>
      </w:r>
      <w:r>
        <w:rPr>
          <w:color w:val="231F20"/>
          <w:w w:val="105"/>
        </w:rPr>
        <w:t>manera</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mayoría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líderes</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organizaciones</w:t>
      </w:r>
      <w:r>
        <w:rPr>
          <w:color w:val="231F20"/>
          <w:spacing w:val="-4"/>
          <w:w w:val="105"/>
        </w:rPr>
        <w:t> </w:t>
      </w:r>
      <w:r>
        <w:rPr>
          <w:color w:val="231F20"/>
          <w:w w:val="105"/>
        </w:rPr>
        <w:t>sociales</w:t>
      </w:r>
      <w:r>
        <w:rPr>
          <w:color w:val="231F20"/>
          <w:spacing w:val="-4"/>
          <w:w w:val="105"/>
        </w:rPr>
        <w:t> </w:t>
      </w:r>
      <w:r>
        <w:rPr>
          <w:color w:val="231F20"/>
          <w:w w:val="105"/>
        </w:rPr>
        <w:t>más</w:t>
      </w:r>
      <w:r>
        <w:rPr>
          <w:color w:val="231F20"/>
          <w:spacing w:val="-4"/>
          <w:w w:val="105"/>
        </w:rPr>
        <w:t> </w:t>
      </w:r>
      <w:r>
        <w:rPr>
          <w:color w:val="231F20"/>
          <w:w w:val="105"/>
        </w:rPr>
        <w:t>impor- tantes</w:t>
      </w:r>
      <w:r>
        <w:rPr>
          <w:color w:val="231F20"/>
          <w:spacing w:val="-5"/>
          <w:w w:val="105"/>
        </w:rPr>
        <w:t> </w:t>
      </w:r>
      <w:r>
        <w:rPr>
          <w:color w:val="231F20"/>
          <w:w w:val="105"/>
        </w:rPr>
        <w:t>en</w:t>
      </w:r>
      <w:r>
        <w:rPr>
          <w:color w:val="231F20"/>
          <w:spacing w:val="-5"/>
          <w:w w:val="105"/>
        </w:rPr>
        <w:t> </w:t>
      </w:r>
      <w:r>
        <w:rPr>
          <w:color w:val="231F20"/>
          <w:w w:val="105"/>
        </w:rPr>
        <w:t>Nezahualcóyotl</w:t>
      </w:r>
      <w:r>
        <w:rPr>
          <w:color w:val="231F20"/>
          <w:spacing w:val="-5"/>
          <w:w w:val="105"/>
        </w:rPr>
        <w:t> </w:t>
      </w:r>
      <w:r>
        <w:rPr>
          <w:color w:val="231F20"/>
          <w:w w:val="105"/>
        </w:rPr>
        <w:t>han</w:t>
      </w:r>
      <w:r>
        <w:rPr>
          <w:color w:val="231F20"/>
          <w:spacing w:val="-5"/>
          <w:w w:val="105"/>
        </w:rPr>
        <w:t> </w:t>
      </w:r>
      <w:r>
        <w:rPr>
          <w:color w:val="231F20"/>
          <w:w w:val="105"/>
        </w:rPr>
        <w:t>ocupado</w:t>
      </w:r>
      <w:r>
        <w:rPr>
          <w:color w:val="231F20"/>
          <w:spacing w:val="-5"/>
          <w:w w:val="105"/>
        </w:rPr>
        <w:t> </w:t>
      </w:r>
      <w:r>
        <w:rPr>
          <w:color w:val="231F20"/>
          <w:w w:val="105"/>
        </w:rPr>
        <w:t>puestos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Administración</w:t>
      </w:r>
      <w:r>
        <w:rPr>
          <w:color w:val="231F20"/>
          <w:spacing w:val="-5"/>
          <w:w w:val="105"/>
        </w:rPr>
        <w:t> </w:t>
      </w:r>
      <w:r>
        <w:rPr>
          <w:color w:val="231F20"/>
          <w:w w:val="105"/>
        </w:rPr>
        <w:t>Municipal,</w:t>
      </w:r>
      <w:r>
        <w:rPr>
          <w:color w:val="231F20"/>
          <w:spacing w:val="-5"/>
          <w:w w:val="105"/>
        </w:rPr>
        <w:t> </w:t>
      </w:r>
      <w:r>
        <w:rPr>
          <w:color w:val="231F20"/>
          <w:w w:val="105"/>
        </w:rPr>
        <w:t>ejem- plo</w:t>
      </w:r>
      <w:r>
        <w:rPr>
          <w:color w:val="231F20"/>
          <w:spacing w:val="-6"/>
          <w:w w:val="105"/>
        </w:rPr>
        <w:t> </w:t>
      </w:r>
      <w:r>
        <w:rPr>
          <w:color w:val="231F20"/>
          <w:w w:val="105"/>
        </w:rPr>
        <w:t>de</w:t>
      </w:r>
      <w:r>
        <w:rPr>
          <w:color w:val="231F20"/>
          <w:spacing w:val="-6"/>
          <w:w w:val="105"/>
        </w:rPr>
        <w:t> </w:t>
      </w:r>
      <w:r>
        <w:rPr>
          <w:color w:val="231F20"/>
          <w:w w:val="105"/>
        </w:rPr>
        <w:t>ello</w:t>
      </w:r>
      <w:r>
        <w:rPr>
          <w:color w:val="231F20"/>
          <w:spacing w:val="-6"/>
          <w:w w:val="105"/>
        </w:rPr>
        <w:t> </w:t>
      </w:r>
      <w:r>
        <w:rPr>
          <w:color w:val="231F20"/>
          <w:w w:val="105"/>
        </w:rPr>
        <w:t>han</w:t>
      </w:r>
      <w:r>
        <w:rPr>
          <w:color w:val="231F20"/>
          <w:spacing w:val="-6"/>
          <w:w w:val="105"/>
        </w:rPr>
        <w:t> </w:t>
      </w:r>
      <w:r>
        <w:rPr>
          <w:color w:val="231F20"/>
          <w:w w:val="105"/>
        </w:rPr>
        <w:t>sido</w:t>
      </w:r>
      <w:r>
        <w:rPr>
          <w:color w:val="231F20"/>
          <w:spacing w:val="-6"/>
          <w:w w:val="105"/>
        </w:rPr>
        <w:t> </w:t>
      </w:r>
      <w:r>
        <w:rPr>
          <w:color w:val="231F20"/>
          <w:w w:val="105"/>
        </w:rPr>
        <w:t>los</w:t>
      </w:r>
      <w:r>
        <w:rPr>
          <w:color w:val="231F20"/>
          <w:spacing w:val="-6"/>
          <w:w w:val="105"/>
        </w:rPr>
        <w:t> </w:t>
      </w:r>
      <w:r>
        <w:rPr>
          <w:color w:val="231F20"/>
          <w:w w:val="105"/>
        </w:rPr>
        <w:t>cuatro</w:t>
      </w:r>
      <w:r>
        <w:rPr>
          <w:color w:val="231F20"/>
          <w:spacing w:val="-6"/>
          <w:w w:val="105"/>
        </w:rPr>
        <w:t> </w:t>
      </w:r>
      <w:r>
        <w:rPr>
          <w:color w:val="231F20"/>
          <w:w w:val="105"/>
        </w:rPr>
        <w:t>presidentes</w:t>
      </w:r>
      <w:r>
        <w:rPr>
          <w:color w:val="231F20"/>
          <w:spacing w:val="-6"/>
          <w:w w:val="105"/>
        </w:rPr>
        <w:t> </w:t>
      </w:r>
      <w:r>
        <w:rPr>
          <w:color w:val="231F20"/>
          <w:w w:val="105"/>
        </w:rPr>
        <w:t>municipales</w:t>
      </w:r>
      <w:r>
        <w:rPr>
          <w:color w:val="231F20"/>
          <w:spacing w:val="-6"/>
          <w:w w:val="105"/>
        </w:rPr>
        <w:t> </w:t>
      </w:r>
      <w:r>
        <w:rPr>
          <w:color w:val="231F20"/>
          <w:w w:val="105"/>
        </w:rPr>
        <w:t>del</w:t>
      </w:r>
      <w:r>
        <w:rPr>
          <w:color w:val="231F20"/>
          <w:spacing w:val="-6"/>
          <w:w w:val="105"/>
        </w:rPr>
        <w:t> </w:t>
      </w:r>
      <w:r>
        <w:rPr>
          <w:color w:val="231F20"/>
          <w:w w:val="105"/>
        </w:rPr>
        <w:t>PRD:</w:t>
      </w:r>
      <w:r>
        <w:rPr>
          <w:color w:val="231F20"/>
          <w:spacing w:val="-6"/>
          <w:w w:val="105"/>
        </w:rPr>
        <w:t> </w:t>
      </w:r>
      <w:r>
        <w:rPr>
          <w:color w:val="231F20"/>
          <w:spacing w:val="-7"/>
          <w:w w:val="105"/>
        </w:rPr>
        <w:t>1)</w:t>
      </w:r>
      <w:r>
        <w:rPr>
          <w:color w:val="231F20"/>
          <w:spacing w:val="-6"/>
          <w:w w:val="105"/>
        </w:rPr>
        <w:t> </w:t>
      </w:r>
      <w:r>
        <w:rPr>
          <w:color w:val="231F20"/>
          <w:w w:val="105"/>
        </w:rPr>
        <w:t>Valentín</w:t>
      </w:r>
      <w:r>
        <w:rPr>
          <w:color w:val="231F20"/>
          <w:spacing w:val="-6"/>
          <w:w w:val="105"/>
        </w:rPr>
        <w:t> </w:t>
      </w:r>
      <w:r>
        <w:rPr>
          <w:color w:val="231F20"/>
          <w:w w:val="105"/>
        </w:rPr>
        <w:t>González Bautista</w:t>
      </w:r>
      <w:r>
        <w:rPr>
          <w:color w:val="231F20"/>
          <w:spacing w:val="-32"/>
          <w:w w:val="105"/>
        </w:rPr>
        <w:t> </w:t>
      </w:r>
      <w:r>
        <w:rPr>
          <w:color w:val="231F20"/>
          <w:w w:val="105"/>
        </w:rPr>
        <w:t>(1996-2000),</w:t>
      </w:r>
      <w:r>
        <w:rPr>
          <w:color w:val="231F20"/>
          <w:spacing w:val="-32"/>
          <w:w w:val="105"/>
        </w:rPr>
        <w:t> </w:t>
      </w:r>
      <w:r>
        <w:rPr>
          <w:color w:val="231F20"/>
          <w:w w:val="105"/>
        </w:rPr>
        <w:t>líder</w:t>
      </w:r>
      <w:r>
        <w:rPr>
          <w:color w:val="231F20"/>
          <w:spacing w:val="-32"/>
          <w:w w:val="105"/>
        </w:rPr>
        <w:t> </w:t>
      </w:r>
      <w:r>
        <w:rPr>
          <w:color w:val="231F20"/>
          <w:w w:val="105"/>
        </w:rPr>
        <w:t>de</w:t>
      </w:r>
      <w:r>
        <w:rPr>
          <w:color w:val="231F20"/>
          <w:spacing w:val="-32"/>
          <w:w w:val="105"/>
        </w:rPr>
        <w:t> </w:t>
      </w:r>
      <w:r>
        <w:rPr>
          <w:color w:val="231F20"/>
          <w:w w:val="105"/>
        </w:rPr>
        <w:t>UGOCM;</w:t>
      </w:r>
      <w:r>
        <w:rPr>
          <w:color w:val="231F20"/>
          <w:spacing w:val="-32"/>
          <w:w w:val="105"/>
        </w:rPr>
        <w:t> </w:t>
      </w:r>
      <w:r>
        <w:rPr>
          <w:color w:val="231F20"/>
          <w:spacing w:val="-4"/>
          <w:w w:val="105"/>
        </w:rPr>
        <w:t>2)</w:t>
      </w:r>
      <w:r>
        <w:rPr>
          <w:color w:val="231F20"/>
          <w:spacing w:val="-32"/>
          <w:w w:val="105"/>
        </w:rPr>
        <w:t> </w:t>
      </w:r>
      <w:r>
        <w:rPr>
          <w:color w:val="231F20"/>
          <w:w w:val="105"/>
        </w:rPr>
        <w:t>Héctor</w:t>
      </w:r>
      <w:r>
        <w:rPr>
          <w:color w:val="231F20"/>
          <w:spacing w:val="-32"/>
          <w:w w:val="105"/>
        </w:rPr>
        <w:t> </w:t>
      </w:r>
      <w:r>
        <w:rPr>
          <w:color w:val="231F20"/>
          <w:w w:val="105"/>
        </w:rPr>
        <w:t>Miguel</w:t>
      </w:r>
      <w:r>
        <w:rPr>
          <w:color w:val="231F20"/>
          <w:spacing w:val="-32"/>
          <w:w w:val="105"/>
        </w:rPr>
        <w:t> </w:t>
      </w:r>
      <w:r>
        <w:rPr>
          <w:color w:val="231F20"/>
          <w:w w:val="105"/>
        </w:rPr>
        <w:t>Bautista</w:t>
      </w:r>
      <w:r>
        <w:rPr>
          <w:color w:val="231F20"/>
          <w:spacing w:val="-32"/>
          <w:w w:val="105"/>
        </w:rPr>
        <w:t> </w:t>
      </w:r>
      <w:r>
        <w:rPr>
          <w:color w:val="231F20"/>
          <w:w w:val="105"/>
        </w:rPr>
        <w:t>López</w:t>
      </w:r>
      <w:r>
        <w:rPr>
          <w:color w:val="231F20"/>
          <w:spacing w:val="-32"/>
          <w:w w:val="105"/>
        </w:rPr>
        <w:t> </w:t>
      </w:r>
      <w:r>
        <w:rPr>
          <w:color w:val="231F20"/>
          <w:w w:val="105"/>
        </w:rPr>
        <w:t>(2000</w:t>
      </w:r>
      <w:r>
        <w:rPr>
          <w:color w:val="231F20"/>
          <w:spacing w:val="-32"/>
          <w:w w:val="105"/>
        </w:rPr>
        <w:t> </w:t>
      </w:r>
      <w:r>
        <w:rPr>
          <w:color w:val="231F20"/>
          <w:w w:val="105"/>
        </w:rPr>
        <w:t>–</w:t>
      </w:r>
      <w:r>
        <w:rPr>
          <w:color w:val="231F20"/>
          <w:spacing w:val="-32"/>
          <w:w w:val="105"/>
        </w:rPr>
        <w:t> </w:t>
      </w:r>
      <w:r>
        <w:rPr>
          <w:color w:val="231F20"/>
          <w:w w:val="105"/>
        </w:rPr>
        <w:t>2003), líder</w:t>
      </w:r>
      <w:r>
        <w:rPr>
          <w:color w:val="231F20"/>
          <w:spacing w:val="-32"/>
          <w:w w:val="105"/>
        </w:rPr>
        <w:t> </w:t>
      </w:r>
      <w:r>
        <w:rPr>
          <w:color w:val="231F20"/>
          <w:w w:val="105"/>
        </w:rPr>
        <w:t>de</w:t>
      </w:r>
      <w:r>
        <w:rPr>
          <w:color w:val="231F20"/>
          <w:spacing w:val="-32"/>
          <w:w w:val="105"/>
        </w:rPr>
        <w:t> </w:t>
      </w:r>
      <w:r>
        <w:rPr>
          <w:color w:val="231F20"/>
          <w:w w:val="105"/>
        </w:rPr>
        <w:t>MOVIDIG;</w:t>
      </w:r>
      <w:r>
        <w:rPr>
          <w:color w:val="231F20"/>
          <w:spacing w:val="-32"/>
          <w:w w:val="105"/>
        </w:rPr>
        <w:t> </w:t>
      </w:r>
      <w:r>
        <w:rPr>
          <w:color w:val="231F20"/>
          <w:spacing w:val="-4"/>
          <w:w w:val="105"/>
        </w:rPr>
        <w:t>3)</w:t>
      </w:r>
      <w:r>
        <w:rPr>
          <w:color w:val="231F20"/>
          <w:spacing w:val="-31"/>
          <w:w w:val="105"/>
        </w:rPr>
        <w:t> </w:t>
      </w:r>
      <w:r>
        <w:rPr>
          <w:color w:val="231F20"/>
          <w:w w:val="105"/>
        </w:rPr>
        <w:t>Luis</w:t>
      </w:r>
      <w:r>
        <w:rPr>
          <w:color w:val="231F20"/>
          <w:spacing w:val="-32"/>
          <w:w w:val="105"/>
        </w:rPr>
        <w:t> </w:t>
      </w:r>
      <w:r>
        <w:rPr>
          <w:color w:val="231F20"/>
          <w:w w:val="105"/>
        </w:rPr>
        <w:t>Sánchez</w:t>
      </w:r>
      <w:r>
        <w:rPr>
          <w:color w:val="231F20"/>
          <w:spacing w:val="-31"/>
          <w:w w:val="105"/>
        </w:rPr>
        <w:t> </w:t>
      </w:r>
      <w:r>
        <w:rPr>
          <w:color w:val="231F20"/>
          <w:w w:val="105"/>
        </w:rPr>
        <w:t>Jiménez</w:t>
      </w:r>
      <w:r>
        <w:rPr>
          <w:color w:val="231F20"/>
          <w:spacing w:val="-31"/>
          <w:w w:val="105"/>
        </w:rPr>
        <w:t> </w:t>
      </w:r>
      <w:r>
        <w:rPr>
          <w:color w:val="231F20"/>
          <w:w w:val="105"/>
        </w:rPr>
        <w:t>(2003</w:t>
      </w:r>
      <w:r>
        <w:rPr>
          <w:color w:val="231F20"/>
          <w:spacing w:val="-32"/>
          <w:w w:val="105"/>
        </w:rPr>
        <w:t> </w:t>
      </w:r>
      <w:r>
        <w:rPr>
          <w:color w:val="231F20"/>
          <w:w w:val="105"/>
        </w:rPr>
        <w:t>–</w:t>
      </w:r>
      <w:r>
        <w:rPr>
          <w:color w:val="231F20"/>
          <w:spacing w:val="-31"/>
          <w:w w:val="105"/>
        </w:rPr>
        <w:t> </w:t>
      </w:r>
      <w:r>
        <w:rPr>
          <w:color w:val="231F20"/>
          <w:w w:val="105"/>
        </w:rPr>
        <w:t>2006),</w:t>
      </w:r>
      <w:r>
        <w:rPr>
          <w:color w:val="231F20"/>
          <w:spacing w:val="-31"/>
          <w:w w:val="105"/>
        </w:rPr>
        <w:t> </w:t>
      </w:r>
      <w:r>
        <w:rPr>
          <w:color w:val="231F20"/>
          <w:w w:val="105"/>
        </w:rPr>
        <w:t>miembro</w:t>
      </w:r>
      <w:r>
        <w:rPr>
          <w:color w:val="231F20"/>
          <w:spacing w:val="-32"/>
          <w:w w:val="105"/>
        </w:rPr>
        <w:t> </w:t>
      </w:r>
      <w:r>
        <w:rPr>
          <w:color w:val="231F20"/>
          <w:w w:val="105"/>
        </w:rPr>
        <w:t>del</w:t>
      </w:r>
      <w:r>
        <w:rPr>
          <w:color w:val="231F20"/>
          <w:spacing w:val="-32"/>
          <w:w w:val="105"/>
        </w:rPr>
        <w:t> </w:t>
      </w:r>
      <w:r>
        <w:rPr>
          <w:color w:val="231F20"/>
          <w:w w:val="105"/>
        </w:rPr>
        <w:t>MOVIDIG</w:t>
      </w:r>
      <w:r>
        <w:rPr>
          <w:color w:val="231F20"/>
          <w:spacing w:val="-32"/>
          <w:w w:val="105"/>
        </w:rPr>
        <w:t> </w:t>
      </w:r>
      <w:r>
        <w:rPr>
          <w:color w:val="231F20"/>
          <w:w w:val="105"/>
        </w:rPr>
        <w:t>y</w:t>
      </w:r>
      <w:r>
        <w:rPr>
          <w:color w:val="231F20"/>
          <w:spacing w:val="-31"/>
          <w:w w:val="105"/>
        </w:rPr>
        <w:t> </w:t>
      </w:r>
      <w:r>
        <w:rPr>
          <w:color w:val="231F20"/>
          <w:spacing w:val="-4"/>
          <w:w w:val="105"/>
        </w:rPr>
        <w:t>4) </w:t>
      </w:r>
      <w:r>
        <w:rPr>
          <w:color w:val="231F20"/>
          <w:w w:val="105"/>
        </w:rPr>
        <w:t>Víctor</w:t>
      </w:r>
      <w:r>
        <w:rPr>
          <w:color w:val="231F20"/>
          <w:spacing w:val="-29"/>
          <w:w w:val="105"/>
        </w:rPr>
        <w:t> </w:t>
      </w:r>
      <w:r>
        <w:rPr>
          <w:color w:val="231F20"/>
          <w:w w:val="105"/>
        </w:rPr>
        <w:t>Bautista</w:t>
      </w:r>
      <w:r>
        <w:rPr>
          <w:color w:val="231F20"/>
          <w:spacing w:val="-29"/>
          <w:w w:val="105"/>
        </w:rPr>
        <w:t> </w:t>
      </w:r>
      <w:r>
        <w:rPr>
          <w:color w:val="231F20"/>
          <w:w w:val="105"/>
        </w:rPr>
        <w:t>López</w:t>
      </w:r>
      <w:r>
        <w:rPr>
          <w:color w:val="231F20"/>
          <w:spacing w:val="-29"/>
          <w:w w:val="105"/>
        </w:rPr>
        <w:t> </w:t>
      </w:r>
      <w:r>
        <w:rPr>
          <w:color w:val="231F20"/>
          <w:w w:val="105"/>
        </w:rPr>
        <w:t>(2006</w:t>
      </w:r>
      <w:r>
        <w:rPr>
          <w:color w:val="231F20"/>
          <w:spacing w:val="-29"/>
          <w:w w:val="105"/>
        </w:rPr>
        <w:t> </w:t>
      </w:r>
      <w:r>
        <w:rPr>
          <w:color w:val="231F20"/>
          <w:spacing w:val="-3"/>
          <w:w w:val="105"/>
        </w:rPr>
        <w:t>-2009),</w:t>
      </w:r>
      <w:r>
        <w:rPr>
          <w:color w:val="231F20"/>
          <w:spacing w:val="-29"/>
          <w:w w:val="105"/>
        </w:rPr>
        <w:t> </w:t>
      </w:r>
      <w:r>
        <w:rPr>
          <w:color w:val="231F20"/>
          <w:w w:val="105"/>
        </w:rPr>
        <w:t>miembro</w:t>
      </w:r>
      <w:r>
        <w:rPr>
          <w:color w:val="231F20"/>
          <w:spacing w:val="-29"/>
          <w:w w:val="105"/>
        </w:rPr>
        <w:t> </w:t>
      </w:r>
      <w:r>
        <w:rPr>
          <w:color w:val="231F20"/>
          <w:w w:val="105"/>
        </w:rPr>
        <w:t>del</w:t>
      </w:r>
      <w:r>
        <w:rPr>
          <w:color w:val="231F20"/>
          <w:spacing w:val="-29"/>
          <w:w w:val="105"/>
        </w:rPr>
        <w:t> </w:t>
      </w:r>
      <w:r>
        <w:rPr>
          <w:color w:val="231F20"/>
          <w:w w:val="105"/>
        </w:rPr>
        <w:t>MOVIDIG.</w:t>
      </w:r>
    </w:p>
    <w:p>
      <w:pPr>
        <w:spacing w:after="0" w:line="285" w:lineRule="auto"/>
        <w:jc w:val="both"/>
        <w:sectPr>
          <w:pgSz w:w="9640" w:h="12190"/>
          <w:pgMar w:header="0" w:footer="743" w:top="1120" w:bottom="940" w:left="740" w:right="720"/>
        </w:sectPr>
      </w:pPr>
    </w:p>
    <w:p>
      <w:pPr>
        <w:pStyle w:val="BodyText"/>
        <w:spacing w:before="3"/>
        <w:rPr>
          <w:sz w:val="11"/>
        </w:rPr>
      </w:pPr>
    </w:p>
    <w:p>
      <w:pPr>
        <w:pStyle w:val="BodyText"/>
        <w:spacing w:line="285" w:lineRule="auto" w:before="36"/>
        <w:ind w:left="110" w:right="107"/>
        <w:jc w:val="both"/>
      </w:pPr>
      <w:r>
        <w:rPr>
          <w:color w:val="231F20"/>
          <w:spacing w:val="-3"/>
          <w:w w:val="105"/>
        </w:rPr>
        <w:t>Por </w:t>
      </w:r>
      <w:r>
        <w:rPr>
          <w:color w:val="231F20"/>
          <w:w w:val="105"/>
        </w:rPr>
        <w:t>consiguiente, la organización perredista que logra aglutinar mayor poder y capital político en el PRD es la organización que obtiene el mayor número de carteras en la administración municipal. Como se puede apreciar en la procedencia de los últimos tres</w:t>
      </w:r>
      <w:r>
        <w:rPr>
          <w:color w:val="231F20"/>
          <w:spacing w:val="-10"/>
          <w:w w:val="105"/>
        </w:rPr>
        <w:t> </w:t>
      </w:r>
      <w:r>
        <w:rPr>
          <w:color w:val="231F20"/>
          <w:w w:val="105"/>
        </w:rPr>
        <w:t>presidentes</w:t>
      </w:r>
      <w:r>
        <w:rPr>
          <w:color w:val="231F20"/>
          <w:spacing w:val="-10"/>
          <w:w w:val="105"/>
        </w:rPr>
        <w:t> </w:t>
      </w:r>
      <w:r>
        <w:rPr>
          <w:color w:val="231F20"/>
          <w:w w:val="105"/>
        </w:rPr>
        <w:t>municipales,</w:t>
      </w:r>
      <w:r>
        <w:rPr>
          <w:color w:val="231F20"/>
          <w:spacing w:val="-10"/>
          <w:w w:val="105"/>
        </w:rPr>
        <w:t> </w:t>
      </w:r>
      <w:r>
        <w:rPr>
          <w:color w:val="231F20"/>
          <w:w w:val="105"/>
        </w:rPr>
        <w:t>es</w:t>
      </w:r>
      <w:r>
        <w:rPr>
          <w:color w:val="231F20"/>
          <w:spacing w:val="-10"/>
          <w:w w:val="105"/>
        </w:rPr>
        <w:t> </w:t>
      </w:r>
      <w:r>
        <w:rPr>
          <w:color w:val="231F20"/>
          <w:w w:val="105"/>
        </w:rPr>
        <w:t>claro</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organización</w:t>
      </w:r>
      <w:r>
        <w:rPr>
          <w:color w:val="231F20"/>
          <w:spacing w:val="-10"/>
          <w:w w:val="105"/>
        </w:rPr>
        <w:t> </w:t>
      </w:r>
      <w:r>
        <w:rPr>
          <w:color w:val="231F20"/>
          <w:w w:val="105"/>
        </w:rPr>
        <w:t>de</w:t>
      </w:r>
      <w:r>
        <w:rPr>
          <w:color w:val="231F20"/>
          <w:spacing w:val="-10"/>
          <w:w w:val="105"/>
        </w:rPr>
        <w:t> </w:t>
      </w:r>
      <w:r>
        <w:rPr>
          <w:color w:val="231F20"/>
          <w:w w:val="105"/>
        </w:rPr>
        <w:t>MOVIDIG</w:t>
      </w:r>
      <w:r>
        <w:rPr>
          <w:color w:val="231F20"/>
          <w:spacing w:val="-10"/>
          <w:w w:val="105"/>
        </w:rPr>
        <w:t> </w:t>
      </w:r>
      <w:r>
        <w:rPr>
          <w:color w:val="231F20"/>
          <w:w w:val="105"/>
        </w:rPr>
        <w:t>es</w:t>
      </w:r>
      <w:r>
        <w:rPr>
          <w:color w:val="231F20"/>
          <w:spacing w:val="-10"/>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ha consolidado</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más</w:t>
      </w:r>
      <w:r>
        <w:rPr>
          <w:color w:val="231F20"/>
          <w:spacing w:val="-11"/>
          <w:w w:val="105"/>
        </w:rPr>
        <w:t> </w:t>
      </w:r>
      <w:r>
        <w:rPr>
          <w:color w:val="231F20"/>
          <w:w w:val="105"/>
        </w:rPr>
        <w:t>fuerte</w:t>
      </w:r>
      <w:r>
        <w:rPr>
          <w:color w:val="231F20"/>
          <w:spacing w:val="-11"/>
          <w:w w:val="105"/>
        </w:rPr>
        <w:t> </w:t>
      </w:r>
      <w:r>
        <w:rPr>
          <w:color w:val="231F20"/>
          <w:w w:val="105"/>
        </w:rPr>
        <w:t>del</w:t>
      </w:r>
      <w:r>
        <w:rPr>
          <w:color w:val="231F20"/>
          <w:spacing w:val="-11"/>
          <w:w w:val="105"/>
        </w:rPr>
        <w:t> </w:t>
      </w:r>
      <w:r>
        <w:rPr>
          <w:color w:val="231F20"/>
          <w:w w:val="105"/>
        </w:rPr>
        <w:t>partido,</w:t>
      </w:r>
      <w:r>
        <w:rPr>
          <w:color w:val="231F20"/>
          <w:spacing w:val="-11"/>
          <w:w w:val="105"/>
        </w:rPr>
        <w:t> </w:t>
      </w:r>
      <w:r>
        <w:rPr>
          <w:color w:val="231F20"/>
          <w:spacing w:val="2"/>
          <w:w w:val="105"/>
        </w:rPr>
        <w:t>al</w:t>
      </w:r>
      <w:r>
        <w:rPr>
          <w:color w:val="231F20"/>
          <w:spacing w:val="-11"/>
          <w:w w:val="105"/>
        </w:rPr>
        <w:t> </w:t>
      </w:r>
      <w:r>
        <w:rPr>
          <w:color w:val="231F20"/>
          <w:w w:val="105"/>
        </w:rPr>
        <w:t>grado</w:t>
      </w:r>
      <w:r>
        <w:rPr>
          <w:color w:val="231F20"/>
          <w:spacing w:val="-11"/>
          <w:w w:val="105"/>
        </w:rPr>
        <w:t> </w:t>
      </w:r>
      <w:r>
        <w:rPr>
          <w:color w:val="231F20"/>
          <w:w w:val="105"/>
        </w:rPr>
        <w:t>de</w:t>
      </w:r>
      <w:r>
        <w:rPr>
          <w:color w:val="231F20"/>
          <w:spacing w:val="-11"/>
          <w:w w:val="105"/>
        </w:rPr>
        <w:t> </w:t>
      </w:r>
      <w:r>
        <w:rPr>
          <w:color w:val="231F20"/>
          <w:w w:val="105"/>
        </w:rPr>
        <w:t>ir</w:t>
      </w:r>
      <w:r>
        <w:rPr>
          <w:color w:val="231F20"/>
          <w:spacing w:val="-11"/>
          <w:w w:val="105"/>
        </w:rPr>
        <w:t> </w:t>
      </w:r>
      <w:r>
        <w:rPr>
          <w:color w:val="231F20"/>
          <w:w w:val="105"/>
        </w:rPr>
        <w:t>adquiriendo</w:t>
      </w:r>
      <w:r>
        <w:rPr>
          <w:color w:val="231F20"/>
          <w:spacing w:val="-11"/>
          <w:w w:val="105"/>
        </w:rPr>
        <w:t> </w:t>
      </w:r>
      <w:r>
        <w:rPr>
          <w:color w:val="231F20"/>
          <w:w w:val="105"/>
        </w:rPr>
        <w:t>un carácter</w:t>
      </w:r>
      <w:r>
        <w:rPr>
          <w:color w:val="231F20"/>
          <w:spacing w:val="-21"/>
          <w:w w:val="105"/>
        </w:rPr>
        <w:t> </w:t>
      </w:r>
      <w:r>
        <w:rPr>
          <w:color w:val="231F20"/>
          <w:w w:val="105"/>
        </w:rPr>
        <w:t>de</w:t>
      </w:r>
      <w:r>
        <w:rPr>
          <w:color w:val="231F20"/>
          <w:spacing w:val="-21"/>
          <w:w w:val="105"/>
        </w:rPr>
        <w:t> </w:t>
      </w:r>
      <w:r>
        <w:rPr>
          <w:color w:val="231F20"/>
          <w:w w:val="105"/>
        </w:rPr>
        <w:t>corporación,</w:t>
      </w:r>
      <w:r>
        <w:rPr>
          <w:color w:val="231F20"/>
          <w:spacing w:val="-21"/>
          <w:w w:val="105"/>
        </w:rPr>
        <w:t> </w:t>
      </w:r>
      <w:r>
        <w:rPr>
          <w:color w:val="231F20"/>
          <w:spacing w:val="2"/>
          <w:w w:val="105"/>
        </w:rPr>
        <w:t>al</w:t>
      </w:r>
      <w:r>
        <w:rPr>
          <w:color w:val="231F20"/>
          <w:spacing w:val="-21"/>
          <w:w w:val="105"/>
        </w:rPr>
        <w:t> </w:t>
      </w:r>
      <w:r>
        <w:rPr>
          <w:color w:val="231F20"/>
          <w:w w:val="105"/>
        </w:rPr>
        <w:t>aglutinar</w:t>
      </w:r>
      <w:r>
        <w:rPr>
          <w:color w:val="231F20"/>
          <w:spacing w:val="-21"/>
          <w:w w:val="105"/>
        </w:rPr>
        <w:t> </w:t>
      </w:r>
      <w:r>
        <w:rPr>
          <w:color w:val="231F20"/>
          <w:w w:val="105"/>
        </w:rPr>
        <w:t>en</w:t>
      </w:r>
      <w:r>
        <w:rPr>
          <w:color w:val="231F20"/>
          <w:spacing w:val="-21"/>
          <w:w w:val="105"/>
        </w:rPr>
        <w:t> </w:t>
      </w:r>
      <w:r>
        <w:rPr>
          <w:color w:val="231F20"/>
          <w:w w:val="105"/>
        </w:rPr>
        <w:t>su</w:t>
      </w:r>
      <w:r>
        <w:rPr>
          <w:color w:val="231F20"/>
          <w:spacing w:val="-21"/>
          <w:w w:val="105"/>
        </w:rPr>
        <w:t> </w:t>
      </w:r>
      <w:r>
        <w:rPr>
          <w:color w:val="231F20"/>
          <w:w w:val="105"/>
        </w:rPr>
        <w:t>seno</w:t>
      </w:r>
      <w:r>
        <w:rPr>
          <w:color w:val="231F20"/>
          <w:spacing w:val="-21"/>
          <w:w w:val="105"/>
        </w:rPr>
        <w:t> </w:t>
      </w:r>
      <w:r>
        <w:rPr>
          <w:color w:val="231F20"/>
          <w:w w:val="105"/>
        </w:rPr>
        <w:t>a</w:t>
      </w:r>
      <w:r>
        <w:rPr>
          <w:color w:val="231F20"/>
          <w:spacing w:val="-21"/>
          <w:w w:val="105"/>
        </w:rPr>
        <w:t> </w:t>
      </w:r>
      <w:r>
        <w:rPr>
          <w:color w:val="231F20"/>
          <w:w w:val="105"/>
        </w:rPr>
        <w:t>organizaciones</w:t>
      </w:r>
      <w:r>
        <w:rPr>
          <w:color w:val="231F20"/>
          <w:spacing w:val="-21"/>
          <w:w w:val="105"/>
        </w:rPr>
        <w:t> </w:t>
      </w:r>
      <w:r>
        <w:rPr>
          <w:color w:val="231F20"/>
          <w:w w:val="105"/>
        </w:rPr>
        <w:t>sociales</w:t>
      </w:r>
      <w:r>
        <w:rPr>
          <w:color w:val="231F20"/>
          <w:spacing w:val="-21"/>
          <w:w w:val="105"/>
        </w:rPr>
        <w:t> </w:t>
      </w:r>
      <w:r>
        <w:rPr>
          <w:color w:val="231F20"/>
          <w:w w:val="105"/>
        </w:rPr>
        <w:t>más</w:t>
      </w:r>
      <w:r>
        <w:rPr>
          <w:color w:val="231F20"/>
          <w:spacing w:val="-21"/>
          <w:w w:val="105"/>
        </w:rPr>
        <w:t> </w:t>
      </w:r>
      <w:r>
        <w:rPr>
          <w:color w:val="231F20"/>
          <w:w w:val="105"/>
        </w:rPr>
        <w:t>pequeñas, </w:t>
      </w:r>
      <w:r>
        <w:rPr>
          <w:color w:val="231F20"/>
          <w:spacing w:val="-3"/>
          <w:w w:val="105"/>
        </w:rPr>
        <w:t>reproduciendo</w:t>
      </w:r>
      <w:r>
        <w:rPr>
          <w:color w:val="231F20"/>
          <w:spacing w:val="-11"/>
          <w:w w:val="105"/>
        </w:rPr>
        <w:t> </w:t>
      </w:r>
      <w:r>
        <w:rPr>
          <w:color w:val="231F20"/>
          <w:w w:val="105"/>
        </w:rPr>
        <w:t>el</w:t>
      </w:r>
      <w:r>
        <w:rPr>
          <w:color w:val="231F20"/>
          <w:spacing w:val="-11"/>
          <w:w w:val="105"/>
        </w:rPr>
        <w:t> </w:t>
      </w:r>
      <w:r>
        <w:rPr>
          <w:color w:val="231F20"/>
          <w:w w:val="105"/>
        </w:rPr>
        <w:t>neocorporativismo</w:t>
      </w:r>
      <w:r>
        <w:rPr>
          <w:color w:val="231F20"/>
          <w:spacing w:val="-11"/>
          <w:w w:val="105"/>
        </w:rPr>
        <w:t> </w:t>
      </w:r>
      <w:r>
        <w:rPr>
          <w:color w:val="231F20"/>
          <w:w w:val="105"/>
        </w:rPr>
        <w:t>y</w:t>
      </w:r>
      <w:r>
        <w:rPr>
          <w:color w:val="231F20"/>
          <w:spacing w:val="-11"/>
          <w:w w:val="105"/>
        </w:rPr>
        <w:t> </w:t>
      </w:r>
      <w:r>
        <w:rPr>
          <w:color w:val="231F20"/>
          <w:w w:val="105"/>
        </w:rPr>
        <w:t>clientelismo</w:t>
      </w:r>
      <w:r>
        <w:rPr>
          <w:color w:val="231F20"/>
          <w:spacing w:val="-11"/>
          <w:w w:val="105"/>
        </w:rPr>
        <w:t> </w:t>
      </w:r>
      <w:r>
        <w:rPr>
          <w:color w:val="231F20"/>
          <w:w w:val="105"/>
        </w:rPr>
        <w:t>con</w:t>
      </w:r>
      <w:r>
        <w:rPr>
          <w:color w:val="231F20"/>
          <w:spacing w:val="-11"/>
          <w:w w:val="105"/>
        </w:rPr>
        <w:t> </w:t>
      </w:r>
      <w:r>
        <w:rPr>
          <w:color w:val="231F20"/>
          <w:w w:val="105"/>
        </w:rPr>
        <w:t>este</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organizaciones</w:t>
      </w:r>
      <w:r>
        <w:rPr>
          <w:color w:val="231F20"/>
          <w:spacing w:val="-11"/>
          <w:w w:val="105"/>
        </w:rPr>
        <w:t> </w:t>
      </w:r>
      <w:r>
        <w:rPr>
          <w:color w:val="231F20"/>
          <w:w w:val="105"/>
        </w:rPr>
        <w:t>que se</w:t>
      </w:r>
      <w:r>
        <w:rPr>
          <w:color w:val="231F20"/>
          <w:spacing w:val="-15"/>
          <w:w w:val="105"/>
        </w:rPr>
        <w:t> </w:t>
      </w:r>
      <w:r>
        <w:rPr>
          <w:color w:val="231F20"/>
          <w:w w:val="105"/>
        </w:rPr>
        <w:t>adhieren</w:t>
      </w:r>
      <w:r>
        <w:rPr>
          <w:color w:val="231F20"/>
          <w:spacing w:val="-15"/>
          <w:w w:val="105"/>
        </w:rPr>
        <w:t> </w:t>
      </w:r>
      <w:r>
        <w:rPr>
          <w:color w:val="231F20"/>
          <w:w w:val="105"/>
        </w:rPr>
        <w:t>a</w:t>
      </w:r>
      <w:r>
        <w:rPr>
          <w:color w:val="231F20"/>
          <w:spacing w:val="-15"/>
          <w:w w:val="105"/>
        </w:rPr>
        <w:t> </w:t>
      </w:r>
      <w:r>
        <w:rPr>
          <w:color w:val="231F20"/>
          <w:w w:val="105"/>
        </w:rPr>
        <w:t>sus</w:t>
      </w:r>
      <w:r>
        <w:rPr>
          <w:color w:val="231F20"/>
          <w:spacing w:val="-15"/>
          <w:w w:val="105"/>
        </w:rPr>
        <w:t> </w:t>
      </w:r>
      <w:r>
        <w:rPr>
          <w:color w:val="231F20"/>
          <w:w w:val="105"/>
        </w:rPr>
        <w:t>filas.</w:t>
      </w:r>
    </w:p>
    <w:p>
      <w:pPr>
        <w:pStyle w:val="BodyText"/>
        <w:spacing w:before="1"/>
        <w:rPr>
          <w:sz w:val="26"/>
        </w:rPr>
      </w:pPr>
    </w:p>
    <w:p>
      <w:pPr>
        <w:pStyle w:val="BodyText"/>
        <w:spacing w:line="285" w:lineRule="auto"/>
        <w:ind w:left="110" w:right="109"/>
        <w:jc w:val="both"/>
      </w:pPr>
      <w:r>
        <w:rPr>
          <w:color w:val="231F20"/>
          <w:w w:val="105"/>
        </w:rPr>
        <w:t>Ante</w:t>
      </w:r>
      <w:r>
        <w:rPr>
          <w:color w:val="231F20"/>
          <w:spacing w:val="-28"/>
          <w:w w:val="105"/>
        </w:rPr>
        <w:t> </w:t>
      </w:r>
      <w:r>
        <w:rPr>
          <w:color w:val="231F20"/>
          <w:w w:val="105"/>
        </w:rPr>
        <w:t>esta</w:t>
      </w:r>
      <w:r>
        <w:rPr>
          <w:color w:val="231F20"/>
          <w:spacing w:val="-28"/>
          <w:w w:val="105"/>
        </w:rPr>
        <w:t> </w:t>
      </w:r>
      <w:r>
        <w:rPr>
          <w:color w:val="231F20"/>
          <w:spacing w:val="-4"/>
          <w:w w:val="105"/>
        </w:rPr>
        <w:t>hegemonía</w:t>
      </w:r>
      <w:r>
        <w:rPr>
          <w:color w:val="231F20"/>
          <w:spacing w:val="-28"/>
          <w:w w:val="105"/>
        </w:rPr>
        <w:t> </w:t>
      </w:r>
      <w:r>
        <w:rPr>
          <w:color w:val="231F20"/>
          <w:w w:val="105"/>
        </w:rPr>
        <w:t>de</w:t>
      </w:r>
      <w:r>
        <w:rPr>
          <w:color w:val="231F20"/>
          <w:spacing w:val="-28"/>
          <w:w w:val="105"/>
        </w:rPr>
        <w:t> </w:t>
      </w:r>
      <w:r>
        <w:rPr>
          <w:color w:val="231F20"/>
          <w:spacing w:val="-5"/>
          <w:w w:val="105"/>
        </w:rPr>
        <w:t>MOVIDIG</w:t>
      </w:r>
      <w:r>
        <w:rPr>
          <w:color w:val="231F20"/>
          <w:spacing w:val="-28"/>
          <w:w w:val="105"/>
        </w:rPr>
        <w:t> </w:t>
      </w:r>
      <w:r>
        <w:rPr>
          <w:color w:val="231F20"/>
          <w:w w:val="105"/>
        </w:rPr>
        <w:t>al</w:t>
      </w:r>
      <w:r>
        <w:rPr>
          <w:color w:val="231F20"/>
          <w:spacing w:val="-28"/>
          <w:w w:val="105"/>
        </w:rPr>
        <w:t> </w:t>
      </w:r>
      <w:r>
        <w:rPr>
          <w:color w:val="231F20"/>
          <w:spacing w:val="-3"/>
          <w:w w:val="105"/>
        </w:rPr>
        <w:t>interior</w:t>
      </w:r>
      <w:r>
        <w:rPr>
          <w:color w:val="231F20"/>
          <w:spacing w:val="-28"/>
          <w:w w:val="105"/>
        </w:rPr>
        <w:t> </w:t>
      </w:r>
      <w:r>
        <w:rPr>
          <w:color w:val="231F20"/>
          <w:spacing w:val="-3"/>
          <w:w w:val="105"/>
        </w:rPr>
        <w:t>del</w:t>
      </w:r>
      <w:r>
        <w:rPr>
          <w:color w:val="231F20"/>
          <w:spacing w:val="-28"/>
          <w:w w:val="105"/>
        </w:rPr>
        <w:t> </w:t>
      </w:r>
      <w:r>
        <w:rPr>
          <w:color w:val="231F20"/>
          <w:w w:val="105"/>
        </w:rPr>
        <w:t>PRD</w:t>
      </w:r>
      <w:r>
        <w:rPr>
          <w:color w:val="231F20"/>
          <w:spacing w:val="-28"/>
          <w:w w:val="105"/>
        </w:rPr>
        <w:t> </w:t>
      </w:r>
      <w:r>
        <w:rPr>
          <w:color w:val="231F20"/>
          <w:w w:val="105"/>
        </w:rPr>
        <w:t>y</w:t>
      </w:r>
      <w:r>
        <w:rPr>
          <w:color w:val="231F20"/>
          <w:spacing w:val="-28"/>
          <w:w w:val="105"/>
        </w:rPr>
        <w:t> </w:t>
      </w:r>
      <w:r>
        <w:rPr>
          <w:color w:val="231F20"/>
          <w:w w:val="105"/>
        </w:rPr>
        <w:t>en</w:t>
      </w:r>
      <w:r>
        <w:rPr>
          <w:color w:val="231F20"/>
          <w:spacing w:val="-28"/>
          <w:w w:val="105"/>
        </w:rPr>
        <w:t> </w:t>
      </w:r>
      <w:r>
        <w:rPr>
          <w:color w:val="231F20"/>
          <w:spacing w:val="-3"/>
          <w:w w:val="105"/>
        </w:rPr>
        <w:t>consecuencia</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spacing w:val="-4"/>
          <w:w w:val="105"/>
        </w:rPr>
        <w:t>gobierno</w:t>
      </w:r>
      <w:r>
        <w:rPr>
          <w:color w:val="231F20"/>
          <w:spacing w:val="-28"/>
          <w:w w:val="105"/>
        </w:rPr>
        <w:t> </w:t>
      </w:r>
      <w:r>
        <w:rPr>
          <w:color w:val="231F20"/>
          <w:w w:val="105"/>
        </w:rPr>
        <w:t>de </w:t>
      </w:r>
      <w:r>
        <w:rPr>
          <w:color w:val="231F20"/>
          <w:spacing w:val="-3"/>
          <w:w w:val="105"/>
        </w:rPr>
        <w:t>Nezahualcóyotl,</w:t>
      </w:r>
      <w:r>
        <w:rPr>
          <w:color w:val="231F20"/>
          <w:spacing w:val="-22"/>
          <w:w w:val="105"/>
        </w:rPr>
        <w:t> </w:t>
      </w:r>
      <w:r>
        <w:rPr>
          <w:color w:val="231F20"/>
          <w:w w:val="105"/>
        </w:rPr>
        <w:t>las</w:t>
      </w:r>
      <w:r>
        <w:rPr>
          <w:color w:val="231F20"/>
          <w:spacing w:val="-22"/>
          <w:w w:val="105"/>
        </w:rPr>
        <w:t> </w:t>
      </w:r>
      <w:r>
        <w:rPr>
          <w:color w:val="231F20"/>
          <w:w w:val="105"/>
        </w:rPr>
        <w:t>demás</w:t>
      </w:r>
      <w:r>
        <w:rPr>
          <w:color w:val="231F20"/>
          <w:spacing w:val="-22"/>
          <w:w w:val="105"/>
        </w:rPr>
        <w:t> </w:t>
      </w:r>
      <w:r>
        <w:rPr>
          <w:color w:val="231F20"/>
          <w:spacing w:val="-3"/>
          <w:w w:val="105"/>
        </w:rPr>
        <w:t>organizaciones</w:t>
      </w:r>
      <w:r>
        <w:rPr>
          <w:color w:val="231F20"/>
          <w:spacing w:val="-22"/>
          <w:w w:val="105"/>
        </w:rPr>
        <w:t> </w:t>
      </w:r>
      <w:r>
        <w:rPr>
          <w:color w:val="231F20"/>
          <w:w w:val="105"/>
        </w:rPr>
        <w:t>sociales</w:t>
      </w:r>
      <w:r>
        <w:rPr>
          <w:color w:val="231F20"/>
          <w:spacing w:val="-22"/>
          <w:w w:val="105"/>
        </w:rPr>
        <w:t> </w:t>
      </w:r>
      <w:r>
        <w:rPr>
          <w:color w:val="231F20"/>
          <w:w w:val="105"/>
        </w:rPr>
        <w:t>se</w:t>
      </w:r>
      <w:r>
        <w:rPr>
          <w:color w:val="231F20"/>
          <w:spacing w:val="-22"/>
          <w:w w:val="105"/>
        </w:rPr>
        <w:t> </w:t>
      </w:r>
      <w:r>
        <w:rPr>
          <w:color w:val="231F20"/>
          <w:spacing w:val="-4"/>
          <w:w w:val="105"/>
        </w:rPr>
        <w:t>ven</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spacing w:val="-4"/>
          <w:w w:val="105"/>
        </w:rPr>
        <w:t>necesidad</w:t>
      </w:r>
      <w:r>
        <w:rPr>
          <w:color w:val="231F20"/>
          <w:spacing w:val="-22"/>
          <w:w w:val="105"/>
        </w:rPr>
        <w:t> </w:t>
      </w:r>
      <w:r>
        <w:rPr>
          <w:color w:val="231F20"/>
          <w:w w:val="105"/>
        </w:rPr>
        <w:t>de</w:t>
      </w:r>
      <w:r>
        <w:rPr>
          <w:color w:val="231F20"/>
          <w:spacing w:val="-22"/>
          <w:w w:val="105"/>
        </w:rPr>
        <w:t> </w:t>
      </w:r>
      <w:r>
        <w:rPr>
          <w:color w:val="231F20"/>
          <w:spacing w:val="-3"/>
          <w:w w:val="105"/>
        </w:rPr>
        <w:t>negociar</w:t>
      </w:r>
      <w:r>
        <w:rPr>
          <w:color w:val="231F20"/>
          <w:spacing w:val="-22"/>
          <w:w w:val="105"/>
        </w:rPr>
        <w:t> </w:t>
      </w:r>
      <w:r>
        <w:rPr>
          <w:color w:val="231F20"/>
          <w:spacing w:val="-3"/>
          <w:w w:val="105"/>
        </w:rPr>
        <w:t>con </w:t>
      </w:r>
      <w:r>
        <w:rPr>
          <w:color w:val="231F20"/>
          <w:w w:val="105"/>
        </w:rPr>
        <w:t>ésta</w:t>
      </w:r>
      <w:r>
        <w:rPr>
          <w:color w:val="231F20"/>
          <w:spacing w:val="-23"/>
          <w:w w:val="105"/>
        </w:rPr>
        <w:t> </w:t>
      </w:r>
      <w:r>
        <w:rPr>
          <w:color w:val="231F20"/>
          <w:w w:val="105"/>
        </w:rPr>
        <w:t>para</w:t>
      </w:r>
      <w:r>
        <w:rPr>
          <w:color w:val="231F20"/>
          <w:spacing w:val="-23"/>
          <w:w w:val="105"/>
        </w:rPr>
        <w:t> </w:t>
      </w:r>
      <w:r>
        <w:rPr>
          <w:color w:val="231F20"/>
          <w:spacing w:val="-4"/>
          <w:w w:val="105"/>
        </w:rPr>
        <w:t>obtener</w:t>
      </w:r>
      <w:r>
        <w:rPr>
          <w:color w:val="231F20"/>
          <w:spacing w:val="-23"/>
          <w:w w:val="105"/>
        </w:rPr>
        <w:t> </w:t>
      </w:r>
      <w:r>
        <w:rPr>
          <w:color w:val="231F20"/>
          <w:spacing w:val="-3"/>
          <w:w w:val="105"/>
        </w:rPr>
        <w:t>beneficios</w:t>
      </w:r>
      <w:r>
        <w:rPr>
          <w:color w:val="231F20"/>
          <w:spacing w:val="-23"/>
          <w:w w:val="105"/>
        </w:rPr>
        <w:t> </w:t>
      </w:r>
      <w:r>
        <w:rPr>
          <w:color w:val="231F20"/>
          <w:w w:val="105"/>
        </w:rPr>
        <w:t>y</w:t>
      </w:r>
      <w:r>
        <w:rPr>
          <w:color w:val="231F20"/>
          <w:spacing w:val="-23"/>
          <w:w w:val="105"/>
        </w:rPr>
        <w:t> </w:t>
      </w:r>
      <w:r>
        <w:rPr>
          <w:color w:val="231F20"/>
          <w:spacing w:val="-3"/>
          <w:w w:val="105"/>
        </w:rPr>
        <w:t>respuesta</w:t>
      </w:r>
      <w:r>
        <w:rPr>
          <w:color w:val="231F20"/>
          <w:spacing w:val="-23"/>
          <w:w w:val="105"/>
        </w:rPr>
        <w:t> </w:t>
      </w:r>
      <w:r>
        <w:rPr>
          <w:color w:val="231F20"/>
          <w:w w:val="105"/>
        </w:rPr>
        <w:t>a</w:t>
      </w:r>
      <w:r>
        <w:rPr>
          <w:color w:val="231F20"/>
          <w:spacing w:val="-23"/>
          <w:w w:val="105"/>
        </w:rPr>
        <w:t> </w:t>
      </w:r>
      <w:r>
        <w:rPr>
          <w:color w:val="231F20"/>
          <w:w w:val="105"/>
        </w:rPr>
        <w:t>sus</w:t>
      </w:r>
      <w:r>
        <w:rPr>
          <w:color w:val="231F20"/>
          <w:spacing w:val="-23"/>
          <w:w w:val="105"/>
        </w:rPr>
        <w:t> </w:t>
      </w:r>
      <w:r>
        <w:rPr>
          <w:color w:val="231F20"/>
          <w:w w:val="105"/>
        </w:rPr>
        <w:t>demandas,</w:t>
      </w:r>
      <w:r>
        <w:rPr>
          <w:color w:val="231F20"/>
          <w:spacing w:val="-23"/>
          <w:w w:val="105"/>
        </w:rPr>
        <w:t> </w:t>
      </w:r>
      <w:r>
        <w:rPr>
          <w:color w:val="231F20"/>
          <w:w w:val="105"/>
        </w:rPr>
        <w:t>o</w:t>
      </w:r>
      <w:r>
        <w:rPr>
          <w:color w:val="231F20"/>
          <w:spacing w:val="-23"/>
          <w:w w:val="105"/>
        </w:rPr>
        <w:t> </w:t>
      </w:r>
      <w:r>
        <w:rPr>
          <w:color w:val="231F20"/>
          <w:w w:val="105"/>
        </w:rPr>
        <w:t>de</w:t>
      </w:r>
      <w:r>
        <w:rPr>
          <w:color w:val="231F20"/>
          <w:spacing w:val="-23"/>
          <w:w w:val="105"/>
        </w:rPr>
        <w:t> </w:t>
      </w:r>
      <w:r>
        <w:rPr>
          <w:color w:val="231F20"/>
          <w:spacing w:val="-3"/>
          <w:w w:val="105"/>
        </w:rPr>
        <w:t>lo</w:t>
      </w:r>
      <w:r>
        <w:rPr>
          <w:color w:val="231F20"/>
          <w:spacing w:val="-23"/>
          <w:w w:val="105"/>
        </w:rPr>
        <w:t> </w:t>
      </w:r>
      <w:r>
        <w:rPr>
          <w:color w:val="231F20"/>
          <w:w w:val="105"/>
        </w:rPr>
        <w:t>contrario</w:t>
      </w:r>
      <w:r>
        <w:rPr>
          <w:color w:val="231F20"/>
          <w:spacing w:val="-23"/>
          <w:w w:val="105"/>
        </w:rPr>
        <w:t> </w:t>
      </w:r>
      <w:r>
        <w:rPr>
          <w:color w:val="231F20"/>
          <w:w w:val="105"/>
        </w:rPr>
        <w:t>se</w:t>
      </w:r>
      <w:r>
        <w:rPr>
          <w:color w:val="231F20"/>
          <w:spacing w:val="-23"/>
          <w:w w:val="105"/>
        </w:rPr>
        <w:t> </w:t>
      </w:r>
      <w:r>
        <w:rPr>
          <w:color w:val="231F20"/>
          <w:spacing w:val="-3"/>
          <w:w w:val="105"/>
        </w:rPr>
        <w:t>convierten</w:t>
      </w:r>
      <w:r>
        <w:rPr>
          <w:color w:val="231F20"/>
          <w:spacing w:val="-23"/>
          <w:w w:val="105"/>
        </w:rPr>
        <w:t> </w:t>
      </w:r>
      <w:r>
        <w:rPr>
          <w:color w:val="231F20"/>
          <w:w w:val="105"/>
        </w:rPr>
        <w:t>en grupos</w:t>
      </w:r>
      <w:r>
        <w:rPr>
          <w:color w:val="231F20"/>
          <w:spacing w:val="-23"/>
          <w:w w:val="105"/>
        </w:rPr>
        <w:t> </w:t>
      </w:r>
      <w:r>
        <w:rPr>
          <w:color w:val="231F20"/>
          <w:w w:val="105"/>
        </w:rPr>
        <w:t>de</w:t>
      </w:r>
      <w:r>
        <w:rPr>
          <w:color w:val="231F20"/>
          <w:spacing w:val="-23"/>
          <w:w w:val="105"/>
        </w:rPr>
        <w:t> </w:t>
      </w:r>
      <w:r>
        <w:rPr>
          <w:color w:val="231F20"/>
          <w:spacing w:val="-4"/>
          <w:w w:val="105"/>
        </w:rPr>
        <w:t>presión</w:t>
      </w:r>
      <w:r>
        <w:rPr>
          <w:color w:val="231F20"/>
          <w:spacing w:val="-23"/>
          <w:w w:val="105"/>
        </w:rPr>
        <w:t> </w:t>
      </w:r>
      <w:r>
        <w:rPr>
          <w:color w:val="231F20"/>
          <w:w w:val="105"/>
        </w:rPr>
        <w:t>política</w:t>
      </w:r>
      <w:r>
        <w:rPr>
          <w:color w:val="231F20"/>
          <w:spacing w:val="-23"/>
          <w:w w:val="105"/>
        </w:rPr>
        <w:t> </w:t>
      </w:r>
      <w:r>
        <w:rPr>
          <w:color w:val="231F20"/>
          <w:spacing w:val="-3"/>
          <w:w w:val="105"/>
        </w:rPr>
        <w:t>con</w:t>
      </w:r>
      <w:r>
        <w:rPr>
          <w:color w:val="231F20"/>
          <w:spacing w:val="-23"/>
          <w:w w:val="105"/>
        </w:rPr>
        <w:t> </w:t>
      </w:r>
      <w:r>
        <w:rPr>
          <w:color w:val="231F20"/>
          <w:spacing w:val="-4"/>
          <w:w w:val="105"/>
        </w:rPr>
        <w:t>capacidad</w:t>
      </w:r>
      <w:r>
        <w:rPr>
          <w:color w:val="231F20"/>
          <w:spacing w:val="-23"/>
          <w:w w:val="105"/>
        </w:rPr>
        <w:t> </w:t>
      </w:r>
      <w:r>
        <w:rPr>
          <w:color w:val="231F20"/>
          <w:w w:val="105"/>
        </w:rPr>
        <w:t>de</w:t>
      </w:r>
      <w:r>
        <w:rPr>
          <w:color w:val="231F20"/>
          <w:spacing w:val="-23"/>
          <w:w w:val="105"/>
        </w:rPr>
        <w:t> </w:t>
      </w:r>
      <w:r>
        <w:rPr>
          <w:color w:val="231F20"/>
          <w:w w:val="105"/>
        </w:rPr>
        <w:t>movilización</w:t>
      </w:r>
      <w:r>
        <w:rPr>
          <w:color w:val="231F20"/>
          <w:spacing w:val="-23"/>
          <w:w w:val="105"/>
        </w:rPr>
        <w:t> </w:t>
      </w:r>
      <w:r>
        <w:rPr>
          <w:color w:val="231F20"/>
          <w:w w:val="105"/>
        </w:rPr>
        <w:t>para</w:t>
      </w:r>
      <w:r>
        <w:rPr>
          <w:color w:val="231F20"/>
          <w:spacing w:val="-23"/>
          <w:w w:val="105"/>
        </w:rPr>
        <w:t> </w:t>
      </w:r>
      <w:r>
        <w:rPr>
          <w:color w:val="231F20"/>
          <w:w w:val="105"/>
        </w:rPr>
        <w:t>lograr</w:t>
      </w:r>
      <w:r>
        <w:rPr>
          <w:color w:val="231F20"/>
          <w:spacing w:val="-23"/>
          <w:w w:val="105"/>
        </w:rPr>
        <w:t> </w:t>
      </w:r>
      <w:r>
        <w:rPr>
          <w:color w:val="231F20"/>
          <w:w w:val="105"/>
        </w:rPr>
        <w:t>sus</w:t>
      </w:r>
      <w:r>
        <w:rPr>
          <w:color w:val="231F20"/>
          <w:spacing w:val="-23"/>
          <w:w w:val="105"/>
        </w:rPr>
        <w:t> </w:t>
      </w:r>
      <w:r>
        <w:rPr>
          <w:color w:val="231F20"/>
          <w:spacing w:val="-3"/>
          <w:w w:val="105"/>
        </w:rPr>
        <w:t>objetivos.</w:t>
      </w:r>
    </w:p>
    <w:p>
      <w:pPr>
        <w:pStyle w:val="BodyText"/>
        <w:spacing w:before="1"/>
        <w:rPr>
          <w:sz w:val="26"/>
        </w:rPr>
      </w:pPr>
    </w:p>
    <w:p>
      <w:pPr>
        <w:pStyle w:val="BodyText"/>
        <w:spacing w:line="285" w:lineRule="auto"/>
        <w:ind w:left="110" w:right="107"/>
        <w:jc w:val="both"/>
      </w:pPr>
      <w:r>
        <w:rPr>
          <w:color w:val="231F20"/>
          <w:w w:val="105"/>
        </w:rPr>
        <w:t>El crecimiento, fortaleza y consolidación de MOVIDIG en el municipio de Nezahual- cóyotl</w:t>
      </w:r>
      <w:r>
        <w:rPr>
          <w:color w:val="231F20"/>
          <w:spacing w:val="-4"/>
          <w:w w:val="105"/>
        </w:rPr>
        <w:t> </w:t>
      </w:r>
      <w:r>
        <w:rPr>
          <w:color w:val="231F20"/>
          <w:w w:val="105"/>
        </w:rPr>
        <w:t>puede</w:t>
      </w:r>
      <w:r>
        <w:rPr>
          <w:color w:val="231F20"/>
          <w:spacing w:val="-4"/>
          <w:w w:val="105"/>
        </w:rPr>
        <w:t> </w:t>
      </w:r>
      <w:r>
        <w:rPr>
          <w:color w:val="231F20"/>
          <w:w w:val="105"/>
        </w:rPr>
        <w:t>representar</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mediano</w:t>
      </w:r>
      <w:r>
        <w:rPr>
          <w:color w:val="231F20"/>
          <w:spacing w:val="-4"/>
          <w:w w:val="105"/>
        </w:rPr>
        <w:t> </w:t>
      </w:r>
      <w:r>
        <w:rPr>
          <w:color w:val="231F20"/>
          <w:w w:val="105"/>
        </w:rPr>
        <w:t>plazo</w:t>
      </w:r>
      <w:r>
        <w:rPr>
          <w:color w:val="231F20"/>
          <w:spacing w:val="-4"/>
          <w:w w:val="105"/>
        </w:rPr>
        <w:t> </w:t>
      </w:r>
      <w:r>
        <w:rPr>
          <w:color w:val="231F20"/>
          <w:w w:val="105"/>
        </w:rPr>
        <w:t>un</w:t>
      </w:r>
      <w:r>
        <w:rPr>
          <w:color w:val="231F20"/>
          <w:spacing w:val="-4"/>
          <w:w w:val="105"/>
        </w:rPr>
        <w:t> </w:t>
      </w:r>
      <w:r>
        <w:rPr>
          <w:color w:val="231F20"/>
          <w:w w:val="105"/>
        </w:rPr>
        <w:t>proceso</w:t>
      </w:r>
      <w:r>
        <w:rPr>
          <w:color w:val="231F20"/>
          <w:spacing w:val="-4"/>
          <w:w w:val="105"/>
        </w:rPr>
        <w:t> </w:t>
      </w:r>
      <w:r>
        <w:rPr>
          <w:color w:val="231F20"/>
          <w:w w:val="105"/>
        </w:rPr>
        <w:t>de</w:t>
      </w:r>
      <w:r>
        <w:rPr>
          <w:color w:val="231F20"/>
          <w:spacing w:val="-4"/>
          <w:w w:val="105"/>
        </w:rPr>
        <w:t> </w:t>
      </w:r>
      <w:r>
        <w:rPr>
          <w:color w:val="231F20"/>
          <w:w w:val="105"/>
        </w:rPr>
        <w:t>involución</w:t>
      </w:r>
      <w:r>
        <w:rPr>
          <w:color w:val="231F20"/>
          <w:spacing w:val="-4"/>
          <w:w w:val="105"/>
        </w:rPr>
        <w:t> </w:t>
      </w:r>
      <w:r>
        <w:rPr>
          <w:color w:val="231F20"/>
          <w:w w:val="105"/>
        </w:rPr>
        <w:t>del</w:t>
      </w:r>
      <w:r>
        <w:rPr>
          <w:color w:val="231F20"/>
          <w:spacing w:val="-4"/>
          <w:w w:val="105"/>
        </w:rPr>
        <w:t> </w:t>
      </w:r>
      <w:r>
        <w:rPr>
          <w:color w:val="231F20"/>
          <w:w w:val="105"/>
        </w:rPr>
        <w:t>avance</w:t>
      </w:r>
      <w:r>
        <w:rPr>
          <w:color w:val="231F20"/>
          <w:spacing w:val="-4"/>
          <w:w w:val="105"/>
        </w:rPr>
        <w:t> </w:t>
      </w:r>
      <w:r>
        <w:rPr>
          <w:color w:val="231F20"/>
          <w:w w:val="105"/>
        </w:rPr>
        <w:t>de- mocrático en esta demarcación, que de alguna manera ya se ve reflejado con una me- nor competitividad electoral y en consecuencia con cada vez menos expectativas de alternancia política. </w:t>
      </w:r>
      <w:r>
        <w:rPr>
          <w:color w:val="231F20"/>
          <w:spacing w:val="-3"/>
          <w:w w:val="105"/>
        </w:rPr>
        <w:t>Pero </w:t>
      </w:r>
      <w:r>
        <w:rPr>
          <w:color w:val="231F20"/>
          <w:w w:val="105"/>
        </w:rPr>
        <w:t>quizás el mayor retroceso se puede presentar en el sentido  de que en la medida que esta organización asuma el monopolio del partido y del go- bierno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los</w:t>
      </w:r>
      <w:r>
        <w:rPr>
          <w:color w:val="231F20"/>
          <w:spacing w:val="-5"/>
          <w:w w:val="105"/>
        </w:rPr>
        <w:t> </w:t>
      </w:r>
      <w:r>
        <w:rPr>
          <w:color w:val="231F20"/>
          <w:w w:val="105"/>
        </w:rPr>
        <w:t>avances</w:t>
      </w:r>
      <w:r>
        <w:rPr>
          <w:color w:val="231F20"/>
          <w:spacing w:val="-5"/>
          <w:w w:val="105"/>
        </w:rPr>
        <w:t> </w:t>
      </w:r>
      <w:r>
        <w:rPr>
          <w:color w:val="231F20"/>
          <w:w w:val="105"/>
        </w:rPr>
        <w:t>registrados</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alternancia</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llegada</w:t>
      </w:r>
      <w:r>
        <w:rPr>
          <w:color w:val="231F20"/>
          <w:spacing w:val="-5"/>
          <w:w w:val="105"/>
        </w:rPr>
        <w:t> </w:t>
      </w:r>
      <w:r>
        <w:rPr>
          <w:color w:val="231F20"/>
          <w:w w:val="105"/>
        </w:rPr>
        <w:t>del</w:t>
      </w:r>
      <w:r>
        <w:rPr>
          <w:color w:val="231F20"/>
          <w:spacing w:val="-5"/>
          <w:w w:val="105"/>
        </w:rPr>
        <w:t> </w:t>
      </w:r>
      <w:r>
        <w:rPr>
          <w:color w:val="231F20"/>
          <w:w w:val="105"/>
        </w:rPr>
        <w:t>PRD </w:t>
      </w:r>
      <w:r>
        <w:rPr>
          <w:color w:val="231F20"/>
          <w:spacing w:val="2"/>
          <w:w w:val="105"/>
        </w:rPr>
        <w:t>al</w:t>
      </w:r>
      <w:r>
        <w:rPr>
          <w:color w:val="231F20"/>
          <w:spacing w:val="-7"/>
          <w:w w:val="105"/>
        </w:rPr>
        <w:t> </w:t>
      </w:r>
      <w:r>
        <w:rPr>
          <w:color w:val="231F20"/>
          <w:spacing w:val="-3"/>
          <w:w w:val="105"/>
        </w:rPr>
        <w:t>poder,</w:t>
      </w:r>
      <w:r>
        <w:rPr>
          <w:color w:val="231F20"/>
          <w:spacing w:val="-7"/>
          <w:w w:val="105"/>
        </w:rPr>
        <w:t> </w:t>
      </w:r>
      <w:r>
        <w:rPr>
          <w:color w:val="231F20"/>
          <w:w w:val="105"/>
        </w:rPr>
        <w:t>corren</w:t>
      </w:r>
      <w:r>
        <w:rPr>
          <w:color w:val="231F20"/>
          <w:spacing w:val="-7"/>
          <w:w w:val="105"/>
        </w:rPr>
        <w:t> </w:t>
      </w:r>
      <w:r>
        <w:rPr>
          <w:color w:val="231F20"/>
          <w:w w:val="105"/>
        </w:rPr>
        <w:t>el</w:t>
      </w:r>
      <w:r>
        <w:rPr>
          <w:color w:val="231F20"/>
          <w:spacing w:val="-7"/>
          <w:w w:val="105"/>
        </w:rPr>
        <w:t> </w:t>
      </w:r>
      <w:r>
        <w:rPr>
          <w:color w:val="231F20"/>
          <w:w w:val="105"/>
        </w:rPr>
        <w:t>peligro</w:t>
      </w:r>
      <w:r>
        <w:rPr>
          <w:color w:val="231F20"/>
          <w:spacing w:val="-7"/>
          <w:w w:val="105"/>
        </w:rPr>
        <w:t> </w:t>
      </w:r>
      <w:r>
        <w:rPr>
          <w:color w:val="231F20"/>
          <w:w w:val="105"/>
        </w:rPr>
        <w:t>de</w:t>
      </w:r>
      <w:r>
        <w:rPr>
          <w:color w:val="231F20"/>
          <w:spacing w:val="-7"/>
          <w:w w:val="105"/>
        </w:rPr>
        <w:t> </w:t>
      </w:r>
      <w:r>
        <w:rPr>
          <w:color w:val="231F20"/>
          <w:w w:val="105"/>
        </w:rPr>
        <w:t>irse</w:t>
      </w:r>
      <w:r>
        <w:rPr>
          <w:color w:val="231F20"/>
          <w:spacing w:val="-7"/>
          <w:w w:val="105"/>
        </w:rPr>
        <w:t> </w:t>
      </w:r>
      <w:r>
        <w:rPr>
          <w:color w:val="231F20"/>
          <w:w w:val="105"/>
        </w:rPr>
        <w:t>por</w:t>
      </w:r>
      <w:r>
        <w:rPr>
          <w:color w:val="231F20"/>
          <w:spacing w:val="-7"/>
          <w:w w:val="105"/>
        </w:rPr>
        <w:t> </w:t>
      </w:r>
      <w:r>
        <w:rPr>
          <w:color w:val="231F20"/>
          <w:w w:val="105"/>
        </w:rPr>
        <w:t>la</w:t>
      </w:r>
      <w:r>
        <w:rPr>
          <w:color w:val="231F20"/>
          <w:spacing w:val="-7"/>
          <w:w w:val="105"/>
        </w:rPr>
        <w:t> </w:t>
      </w:r>
      <w:r>
        <w:rPr>
          <w:color w:val="231F20"/>
          <w:w w:val="105"/>
        </w:rPr>
        <w:t>borda,</w:t>
      </w:r>
      <w:r>
        <w:rPr>
          <w:color w:val="231F20"/>
          <w:spacing w:val="-7"/>
          <w:w w:val="105"/>
        </w:rPr>
        <w:t> </w:t>
      </w:r>
      <w:r>
        <w:rPr>
          <w:color w:val="231F20"/>
          <w:w w:val="105"/>
        </w:rPr>
        <w:t>ante</w:t>
      </w:r>
      <w:r>
        <w:rPr>
          <w:color w:val="231F20"/>
          <w:spacing w:val="-7"/>
          <w:w w:val="105"/>
        </w:rPr>
        <w:t> </w:t>
      </w:r>
      <w:r>
        <w:rPr>
          <w:color w:val="231F20"/>
          <w:w w:val="105"/>
        </w:rPr>
        <w:t>la</w:t>
      </w:r>
      <w:r>
        <w:rPr>
          <w:color w:val="231F20"/>
          <w:spacing w:val="-7"/>
          <w:w w:val="105"/>
        </w:rPr>
        <w:t> </w:t>
      </w:r>
      <w:r>
        <w:rPr>
          <w:color w:val="231F20"/>
          <w:w w:val="105"/>
        </w:rPr>
        <w:t>falta</w:t>
      </w:r>
      <w:r>
        <w:rPr>
          <w:color w:val="231F20"/>
          <w:spacing w:val="-7"/>
          <w:w w:val="105"/>
        </w:rPr>
        <w:t> </w:t>
      </w:r>
      <w:r>
        <w:rPr>
          <w:color w:val="231F20"/>
          <w:w w:val="105"/>
        </w:rPr>
        <w:t>de</w:t>
      </w:r>
      <w:r>
        <w:rPr>
          <w:color w:val="231F20"/>
          <w:spacing w:val="-7"/>
          <w:w w:val="105"/>
        </w:rPr>
        <w:t> </w:t>
      </w:r>
      <w:r>
        <w:rPr>
          <w:color w:val="231F20"/>
          <w:w w:val="105"/>
        </w:rPr>
        <w:t>necesidad</w:t>
      </w:r>
      <w:r>
        <w:rPr>
          <w:color w:val="231F20"/>
          <w:spacing w:val="-7"/>
          <w:w w:val="105"/>
        </w:rPr>
        <w:t> </w:t>
      </w:r>
      <w:r>
        <w:rPr>
          <w:color w:val="231F20"/>
          <w:w w:val="105"/>
        </w:rPr>
        <w:t>de</w:t>
      </w:r>
      <w:r>
        <w:rPr>
          <w:color w:val="231F20"/>
          <w:spacing w:val="-7"/>
          <w:w w:val="105"/>
        </w:rPr>
        <w:t> </w:t>
      </w:r>
      <w:r>
        <w:rPr>
          <w:color w:val="231F20"/>
          <w:w w:val="105"/>
        </w:rPr>
        <w:t>ejercer</w:t>
      </w:r>
      <w:r>
        <w:rPr>
          <w:color w:val="231F20"/>
          <w:spacing w:val="-7"/>
          <w:w w:val="105"/>
        </w:rPr>
        <w:t> </w:t>
      </w:r>
      <w:r>
        <w:rPr>
          <w:color w:val="231F20"/>
          <w:w w:val="105"/>
        </w:rPr>
        <w:t>una administración más eficaz y transparente por la exigencia que representan las cuotas de </w:t>
      </w:r>
      <w:r>
        <w:rPr>
          <w:color w:val="231F20"/>
          <w:spacing w:val="-3"/>
          <w:w w:val="105"/>
        </w:rPr>
        <w:t>poder, </w:t>
      </w:r>
      <w:r>
        <w:rPr>
          <w:color w:val="231F20"/>
          <w:w w:val="105"/>
        </w:rPr>
        <w:t>tanto endógenamente entre las diferentes organizaciones que conforman el partido</w:t>
      </w:r>
      <w:r>
        <w:rPr>
          <w:color w:val="231F20"/>
          <w:spacing w:val="-4"/>
          <w:w w:val="105"/>
        </w:rPr>
        <w:t> </w:t>
      </w:r>
      <w:r>
        <w:rPr>
          <w:color w:val="231F20"/>
          <w:w w:val="105"/>
        </w:rPr>
        <w:t>como</w:t>
      </w:r>
      <w:r>
        <w:rPr>
          <w:color w:val="231F20"/>
          <w:spacing w:val="-4"/>
          <w:w w:val="105"/>
        </w:rPr>
        <w:t> </w:t>
      </w:r>
      <w:r>
        <w:rPr>
          <w:color w:val="231F20"/>
          <w:w w:val="105"/>
        </w:rPr>
        <w:t>exógenamente</w:t>
      </w:r>
      <w:r>
        <w:rPr>
          <w:color w:val="231F20"/>
          <w:spacing w:val="-4"/>
          <w:w w:val="105"/>
        </w:rPr>
        <w:t> </w:t>
      </w:r>
      <w:r>
        <w:rPr>
          <w:color w:val="231F20"/>
          <w:w w:val="105"/>
        </w:rPr>
        <w:t>por</w:t>
      </w:r>
      <w:r>
        <w:rPr>
          <w:color w:val="231F20"/>
          <w:spacing w:val="-4"/>
          <w:w w:val="105"/>
        </w:rPr>
        <w:t> </w:t>
      </w:r>
      <w:r>
        <w:rPr>
          <w:color w:val="231F20"/>
          <w:w w:val="105"/>
        </w:rPr>
        <w:t>la</w:t>
      </w:r>
      <w:r>
        <w:rPr>
          <w:color w:val="231F20"/>
          <w:spacing w:val="-4"/>
          <w:w w:val="105"/>
        </w:rPr>
        <w:t> </w:t>
      </w:r>
      <w:r>
        <w:rPr>
          <w:color w:val="231F20"/>
          <w:w w:val="105"/>
        </w:rPr>
        <w:t>vigilancia</w:t>
      </w:r>
      <w:r>
        <w:rPr>
          <w:color w:val="231F20"/>
          <w:spacing w:val="-4"/>
          <w:w w:val="105"/>
        </w:rPr>
        <w:t> </w:t>
      </w:r>
      <w:r>
        <w:rPr>
          <w:color w:val="231F20"/>
          <w:w w:val="105"/>
        </w:rPr>
        <w:t>y</w:t>
      </w:r>
      <w:r>
        <w:rPr>
          <w:color w:val="231F20"/>
          <w:spacing w:val="-4"/>
          <w:w w:val="105"/>
        </w:rPr>
        <w:t> </w:t>
      </w:r>
      <w:r>
        <w:rPr>
          <w:color w:val="231F20"/>
          <w:w w:val="105"/>
        </w:rPr>
        <w:t>actitud</w:t>
      </w:r>
      <w:r>
        <w:rPr>
          <w:color w:val="231F20"/>
          <w:spacing w:val="-4"/>
          <w:w w:val="105"/>
        </w:rPr>
        <w:t> </w:t>
      </w:r>
      <w:r>
        <w:rPr>
          <w:color w:val="231F20"/>
          <w:w w:val="105"/>
        </w:rPr>
        <w:t>contestataria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partidos</w:t>
      </w:r>
      <w:r>
        <w:rPr>
          <w:color w:val="231F20"/>
          <w:spacing w:val="-4"/>
          <w:w w:val="105"/>
        </w:rPr>
        <w:t> </w:t>
      </w:r>
      <w:r>
        <w:rPr>
          <w:color w:val="231F20"/>
          <w:w w:val="105"/>
        </w:rPr>
        <w:t>de oposición.</w:t>
      </w:r>
      <w:r>
        <w:rPr>
          <w:color w:val="231F20"/>
          <w:spacing w:val="-17"/>
          <w:w w:val="105"/>
        </w:rPr>
        <w:t> </w:t>
      </w:r>
      <w:r>
        <w:rPr>
          <w:color w:val="231F20"/>
          <w:w w:val="105"/>
        </w:rPr>
        <w:t>Esto</w:t>
      </w:r>
      <w:r>
        <w:rPr>
          <w:color w:val="231F20"/>
          <w:spacing w:val="-17"/>
          <w:w w:val="105"/>
        </w:rPr>
        <w:t> </w:t>
      </w:r>
      <w:r>
        <w:rPr>
          <w:color w:val="231F20"/>
          <w:w w:val="105"/>
        </w:rPr>
        <w:t>es,</w:t>
      </w:r>
      <w:r>
        <w:rPr>
          <w:color w:val="231F20"/>
          <w:spacing w:val="-17"/>
          <w:w w:val="105"/>
        </w:rPr>
        <w:t> </w:t>
      </w:r>
      <w:r>
        <w:rPr>
          <w:color w:val="231F20"/>
          <w:w w:val="105"/>
        </w:rPr>
        <w:t>si</w:t>
      </w:r>
      <w:r>
        <w:rPr>
          <w:color w:val="231F20"/>
          <w:spacing w:val="-17"/>
          <w:w w:val="105"/>
        </w:rPr>
        <w:t> </w:t>
      </w:r>
      <w:r>
        <w:rPr>
          <w:color w:val="231F20"/>
          <w:w w:val="105"/>
        </w:rPr>
        <w:t>MOVIDIG</w:t>
      </w:r>
      <w:r>
        <w:rPr>
          <w:color w:val="231F20"/>
          <w:spacing w:val="-17"/>
          <w:w w:val="105"/>
        </w:rPr>
        <w:t> </w:t>
      </w:r>
      <w:r>
        <w:rPr>
          <w:color w:val="231F20"/>
          <w:w w:val="105"/>
        </w:rPr>
        <w:t>se</w:t>
      </w:r>
      <w:r>
        <w:rPr>
          <w:color w:val="231F20"/>
          <w:spacing w:val="-17"/>
          <w:w w:val="105"/>
        </w:rPr>
        <w:t> </w:t>
      </w:r>
      <w:r>
        <w:rPr>
          <w:color w:val="231F20"/>
          <w:w w:val="105"/>
        </w:rPr>
        <w:t>empeña</w:t>
      </w:r>
      <w:r>
        <w:rPr>
          <w:color w:val="231F20"/>
          <w:spacing w:val="-17"/>
          <w:w w:val="105"/>
        </w:rPr>
        <w:t> </w:t>
      </w:r>
      <w:r>
        <w:rPr>
          <w:color w:val="231F20"/>
          <w:w w:val="105"/>
        </w:rPr>
        <w:t>en</w:t>
      </w:r>
      <w:r>
        <w:rPr>
          <w:color w:val="231F20"/>
          <w:spacing w:val="-17"/>
          <w:w w:val="105"/>
        </w:rPr>
        <w:t> </w:t>
      </w:r>
      <w:r>
        <w:rPr>
          <w:color w:val="231F20"/>
          <w:w w:val="105"/>
        </w:rPr>
        <w:t>acaparar</w:t>
      </w:r>
      <w:r>
        <w:rPr>
          <w:color w:val="231F20"/>
          <w:spacing w:val="-17"/>
          <w:w w:val="105"/>
        </w:rPr>
        <w:t> </w:t>
      </w:r>
      <w:r>
        <w:rPr>
          <w:color w:val="231F20"/>
          <w:w w:val="105"/>
        </w:rPr>
        <w:t>todas</w:t>
      </w:r>
      <w:r>
        <w:rPr>
          <w:color w:val="231F20"/>
          <w:spacing w:val="-17"/>
          <w:w w:val="105"/>
        </w:rPr>
        <w:t> </w:t>
      </w:r>
      <w:r>
        <w:rPr>
          <w:color w:val="231F20"/>
          <w:w w:val="105"/>
        </w:rPr>
        <w:t>las</w:t>
      </w:r>
      <w:r>
        <w:rPr>
          <w:color w:val="231F20"/>
          <w:spacing w:val="-17"/>
          <w:w w:val="105"/>
        </w:rPr>
        <w:t> </w:t>
      </w:r>
      <w:r>
        <w:rPr>
          <w:color w:val="231F20"/>
          <w:w w:val="105"/>
        </w:rPr>
        <w:t>posiciones</w:t>
      </w:r>
      <w:r>
        <w:rPr>
          <w:color w:val="231F20"/>
          <w:spacing w:val="-17"/>
          <w:w w:val="105"/>
        </w:rPr>
        <w:t> </w:t>
      </w:r>
      <w:r>
        <w:rPr>
          <w:color w:val="231F20"/>
          <w:w w:val="105"/>
        </w:rPr>
        <w:t>del</w:t>
      </w:r>
      <w:r>
        <w:rPr>
          <w:color w:val="231F20"/>
          <w:spacing w:val="-17"/>
          <w:w w:val="105"/>
        </w:rPr>
        <w:t> </w:t>
      </w:r>
      <w:r>
        <w:rPr>
          <w:color w:val="231F20"/>
          <w:w w:val="105"/>
        </w:rPr>
        <w:t>partido y</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w w:val="105"/>
        </w:rPr>
        <w:t>municipal</w:t>
      </w:r>
      <w:r>
        <w:rPr>
          <w:color w:val="231F20"/>
          <w:spacing w:val="-14"/>
          <w:w w:val="105"/>
        </w:rPr>
        <w:t> </w:t>
      </w:r>
      <w:r>
        <w:rPr>
          <w:color w:val="231F20"/>
          <w:w w:val="105"/>
        </w:rPr>
        <w:t>pasando</w:t>
      </w:r>
      <w:r>
        <w:rPr>
          <w:color w:val="231F20"/>
          <w:spacing w:val="-14"/>
          <w:w w:val="105"/>
        </w:rPr>
        <w:t> </w:t>
      </w:r>
      <w:r>
        <w:rPr>
          <w:color w:val="231F20"/>
          <w:w w:val="105"/>
        </w:rPr>
        <w:t>por</w:t>
      </w:r>
      <w:r>
        <w:rPr>
          <w:color w:val="231F20"/>
          <w:spacing w:val="-14"/>
          <w:w w:val="105"/>
        </w:rPr>
        <w:t> </w:t>
      </w:r>
      <w:r>
        <w:rPr>
          <w:color w:val="231F20"/>
          <w:w w:val="105"/>
        </w:rPr>
        <w:t>alto</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demás</w:t>
      </w:r>
      <w:r>
        <w:rPr>
          <w:color w:val="231F20"/>
          <w:spacing w:val="-14"/>
          <w:w w:val="105"/>
        </w:rPr>
        <w:t> </w:t>
      </w:r>
      <w:r>
        <w:rPr>
          <w:color w:val="231F20"/>
          <w:w w:val="105"/>
        </w:rPr>
        <w:t>organizaciones</w:t>
      </w:r>
      <w:r>
        <w:rPr>
          <w:color w:val="231F20"/>
          <w:spacing w:val="-14"/>
          <w:w w:val="105"/>
        </w:rPr>
        <w:t> </w:t>
      </w:r>
      <w:r>
        <w:rPr>
          <w:color w:val="231F20"/>
          <w:w w:val="105"/>
        </w:rPr>
        <w:t>perredis- tas</w:t>
      </w:r>
      <w:r>
        <w:rPr>
          <w:color w:val="231F20"/>
          <w:spacing w:val="-13"/>
          <w:w w:val="105"/>
        </w:rPr>
        <w:t> </w:t>
      </w:r>
      <w:r>
        <w:rPr>
          <w:color w:val="231F20"/>
          <w:w w:val="105"/>
        </w:rPr>
        <w:t>y</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mismos</w:t>
      </w:r>
      <w:r>
        <w:rPr>
          <w:color w:val="231F20"/>
          <w:spacing w:val="-13"/>
          <w:w w:val="105"/>
        </w:rPr>
        <w:t> </w:t>
      </w:r>
      <w:r>
        <w:rPr>
          <w:color w:val="231F20"/>
          <w:w w:val="105"/>
        </w:rPr>
        <w:t>partidos</w:t>
      </w:r>
      <w:r>
        <w:rPr>
          <w:color w:val="231F20"/>
          <w:spacing w:val="-13"/>
          <w:w w:val="105"/>
        </w:rPr>
        <w:t> </w:t>
      </w:r>
      <w:r>
        <w:rPr>
          <w:color w:val="231F20"/>
          <w:w w:val="105"/>
        </w:rPr>
        <w:t>de</w:t>
      </w:r>
      <w:r>
        <w:rPr>
          <w:color w:val="231F20"/>
          <w:spacing w:val="-13"/>
          <w:w w:val="105"/>
        </w:rPr>
        <w:t> </w:t>
      </w:r>
      <w:r>
        <w:rPr>
          <w:color w:val="231F20"/>
          <w:w w:val="105"/>
        </w:rPr>
        <w:t>oposición,</w:t>
      </w:r>
      <w:r>
        <w:rPr>
          <w:color w:val="231F20"/>
          <w:spacing w:val="-13"/>
          <w:w w:val="105"/>
        </w:rPr>
        <w:t> </w:t>
      </w:r>
      <w:r>
        <w:rPr>
          <w:color w:val="231F20"/>
          <w:w w:val="105"/>
        </w:rPr>
        <w:t>corre</w:t>
      </w:r>
      <w:r>
        <w:rPr>
          <w:color w:val="231F20"/>
          <w:spacing w:val="-13"/>
          <w:w w:val="105"/>
        </w:rPr>
        <w:t> </w:t>
      </w:r>
      <w:r>
        <w:rPr>
          <w:color w:val="231F20"/>
          <w:w w:val="105"/>
        </w:rPr>
        <w:t>el</w:t>
      </w:r>
      <w:r>
        <w:rPr>
          <w:color w:val="231F20"/>
          <w:spacing w:val="-13"/>
          <w:w w:val="105"/>
        </w:rPr>
        <w:t> </w:t>
      </w:r>
      <w:r>
        <w:rPr>
          <w:color w:val="231F20"/>
          <w:w w:val="105"/>
        </w:rPr>
        <w:t>peligro</w:t>
      </w:r>
      <w:r>
        <w:rPr>
          <w:color w:val="231F20"/>
          <w:spacing w:val="-13"/>
          <w:w w:val="105"/>
        </w:rPr>
        <w:t> </w:t>
      </w:r>
      <w:r>
        <w:rPr>
          <w:color w:val="231F20"/>
          <w:w w:val="105"/>
        </w:rPr>
        <w:t>de</w:t>
      </w:r>
      <w:r>
        <w:rPr>
          <w:color w:val="231F20"/>
          <w:spacing w:val="-13"/>
          <w:w w:val="105"/>
        </w:rPr>
        <w:t> </w:t>
      </w:r>
      <w:r>
        <w:rPr>
          <w:color w:val="231F20"/>
          <w:w w:val="105"/>
        </w:rPr>
        <w:t>reproducir</w:t>
      </w:r>
      <w:r>
        <w:rPr>
          <w:color w:val="231F20"/>
          <w:spacing w:val="-13"/>
          <w:w w:val="105"/>
        </w:rPr>
        <w:t> </w:t>
      </w:r>
      <w:r>
        <w:rPr>
          <w:color w:val="231F20"/>
          <w:w w:val="105"/>
        </w:rPr>
        <w:t>los</w:t>
      </w:r>
      <w:r>
        <w:rPr>
          <w:color w:val="231F20"/>
          <w:spacing w:val="-13"/>
          <w:w w:val="105"/>
        </w:rPr>
        <w:t> </w:t>
      </w:r>
      <w:r>
        <w:rPr>
          <w:color w:val="231F20"/>
          <w:w w:val="105"/>
        </w:rPr>
        <w:t>viejos</w:t>
      </w:r>
      <w:r>
        <w:rPr>
          <w:color w:val="231F20"/>
          <w:spacing w:val="-13"/>
          <w:w w:val="105"/>
        </w:rPr>
        <w:t> </w:t>
      </w:r>
      <w:r>
        <w:rPr>
          <w:color w:val="231F20"/>
          <w:w w:val="105"/>
        </w:rPr>
        <w:t>vicios corporativistas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5"/>
          <w:w w:val="105"/>
        </w:rPr>
        <w:t>CNOP,</w:t>
      </w:r>
      <w:r>
        <w:rPr>
          <w:color w:val="231F20"/>
          <w:spacing w:val="-9"/>
          <w:w w:val="105"/>
        </w:rPr>
        <w:t> </w:t>
      </w:r>
      <w:r>
        <w:rPr>
          <w:color w:val="231F20"/>
          <w:w w:val="105"/>
        </w:rPr>
        <w:t>que</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postre</w:t>
      </w:r>
      <w:r>
        <w:rPr>
          <w:color w:val="231F20"/>
          <w:spacing w:val="-9"/>
          <w:w w:val="105"/>
        </w:rPr>
        <w:t> </w:t>
      </w:r>
      <w:r>
        <w:rPr>
          <w:color w:val="231F20"/>
          <w:w w:val="105"/>
        </w:rPr>
        <w:t>minen</w:t>
      </w:r>
      <w:r>
        <w:rPr>
          <w:color w:val="231F20"/>
          <w:spacing w:val="-9"/>
          <w:w w:val="105"/>
        </w:rPr>
        <w:t> </w:t>
      </w:r>
      <w:r>
        <w:rPr>
          <w:color w:val="231F20"/>
          <w:w w:val="105"/>
        </w:rPr>
        <w:t>su</w:t>
      </w:r>
      <w:r>
        <w:rPr>
          <w:color w:val="231F20"/>
          <w:spacing w:val="-9"/>
          <w:w w:val="105"/>
        </w:rPr>
        <w:t> </w:t>
      </w:r>
      <w:r>
        <w:rPr>
          <w:color w:val="231F20"/>
          <w:w w:val="105"/>
        </w:rPr>
        <w:t>grado</w:t>
      </w:r>
      <w:r>
        <w:rPr>
          <w:color w:val="231F20"/>
          <w:spacing w:val="-9"/>
          <w:w w:val="105"/>
        </w:rPr>
        <w:t> </w:t>
      </w:r>
      <w:r>
        <w:rPr>
          <w:color w:val="231F20"/>
          <w:w w:val="105"/>
        </w:rPr>
        <w:t>de</w:t>
      </w:r>
      <w:r>
        <w:rPr>
          <w:color w:val="231F20"/>
          <w:spacing w:val="-9"/>
          <w:w w:val="105"/>
        </w:rPr>
        <w:t> </w:t>
      </w:r>
      <w:r>
        <w:rPr>
          <w:color w:val="231F20"/>
          <w:w w:val="105"/>
        </w:rPr>
        <w:t>legitimidad.</w:t>
      </w:r>
    </w:p>
    <w:p>
      <w:pPr>
        <w:pStyle w:val="BodyText"/>
        <w:spacing w:before="1"/>
        <w:rPr>
          <w:sz w:val="26"/>
        </w:rPr>
      </w:pPr>
    </w:p>
    <w:p>
      <w:pPr>
        <w:pStyle w:val="BodyText"/>
        <w:ind w:left="110"/>
        <w:jc w:val="both"/>
      </w:pPr>
      <w:r>
        <w:rPr>
          <w:color w:val="231F20"/>
          <w:w w:val="105"/>
        </w:rPr>
        <w:t>Como ya se había mencionado una de las grandes cuentas pendientes de las</w:t>
      </w:r>
      <w:r>
        <w:rPr>
          <w:color w:val="231F20"/>
          <w:spacing w:val="54"/>
          <w:w w:val="105"/>
        </w:rPr>
        <w:t> </w:t>
      </w:r>
      <w:r>
        <w:rPr>
          <w:color w:val="231F20"/>
          <w:w w:val="105"/>
        </w:rPr>
        <w:t>adminis-</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traciones</w:t>
      </w:r>
      <w:r>
        <w:rPr>
          <w:color w:val="231F20"/>
          <w:spacing w:val="-15"/>
          <w:w w:val="105"/>
        </w:rPr>
        <w:t> </w:t>
      </w:r>
      <w:r>
        <w:rPr>
          <w:color w:val="231F20"/>
          <w:w w:val="105"/>
        </w:rPr>
        <w:t>perredistas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de</w:t>
      </w:r>
      <w:r>
        <w:rPr>
          <w:color w:val="231F20"/>
          <w:spacing w:val="-15"/>
          <w:w w:val="105"/>
        </w:rPr>
        <w:t> </w:t>
      </w:r>
      <w:r>
        <w:rPr>
          <w:color w:val="231F20"/>
          <w:w w:val="105"/>
        </w:rPr>
        <w:t>Nezahualcóyotl</w:t>
      </w:r>
      <w:r>
        <w:rPr>
          <w:color w:val="231F20"/>
          <w:spacing w:val="-15"/>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impulso</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verdadera participación ciudadana, a través de los Consejo de Participación Ciudadana y de los Consejos Ciudadanos de Cooperación y Vigilancia, los cuales no han funcionado en apego</w:t>
      </w:r>
      <w:r>
        <w:rPr>
          <w:color w:val="231F20"/>
          <w:spacing w:val="-13"/>
          <w:w w:val="105"/>
        </w:rPr>
        <w:t> </w:t>
      </w:r>
      <w:r>
        <w:rPr>
          <w:color w:val="231F20"/>
          <w:spacing w:val="2"/>
          <w:w w:val="105"/>
        </w:rPr>
        <w:t>al</w:t>
      </w:r>
      <w:r>
        <w:rPr>
          <w:color w:val="231F20"/>
          <w:spacing w:val="-13"/>
          <w:w w:val="105"/>
        </w:rPr>
        <w:t> </w:t>
      </w:r>
      <w:r>
        <w:rPr>
          <w:color w:val="231F20"/>
          <w:w w:val="105"/>
        </w:rPr>
        <w:t>verdadero</w:t>
      </w:r>
      <w:r>
        <w:rPr>
          <w:color w:val="231F20"/>
          <w:spacing w:val="-13"/>
          <w:w w:val="105"/>
        </w:rPr>
        <w:t> </w:t>
      </w:r>
      <w:r>
        <w:rPr>
          <w:color w:val="231F20"/>
          <w:w w:val="105"/>
        </w:rPr>
        <w:t>espíritu</w:t>
      </w:r>
      <w:r>
        <w:rPr>
          <w:color w:val="231F20"/>
          <w:spacing w:val="-13"/>
          <w:w w:val="105"/>
        </w:rPr>
        <w:t> </w:t>
      </w:r>
      <w:r>
        <w:rPr>
          <w:color w:val="231F20"/>
          <w:w w:val="105"/>
        </w:rPr>
        <w:t>ciudadano,</w:t>
      </w:r>
      <w:r>
        <w:rPr>
          <w:color w:val="231F20"/>
          <w:spacing w:val="-13"/>
          <w:w w:val="105"/>
        </w:rPr>
        <w:t> </w:t>
      </w:r>
      <w:r>
        <w:rPr>
          <w:color w:val="231F20"/>
          <w:w w:val="105"/>
        </w:rPr>
        <w:t>debido</w:t>
      </w:r>
      <w:r>
        <w:rPr>
          <w:color w:val="231F20"/>
          <w:spacing w:val="-13"/>
          <w:w w:val="105"/>
        </w:rPr>
        <w:t> </w:t>
      </w:r>
      <w:r>
        <w:rPr>
          <w:color w:val="231F20"/>
          <w:w w:val="105"/>
        </w:rPr>
        <w:t>en</w:t>
      </w:r>
      <w:r>
        <w:rPr>
          <w:color w:val="231F20"/>
          <w:spacing w:val="-13"/>
          <w:w w:val="105"/>
        </w:rPr>
        <w:t> </w:t>
      </w:r>
      <w:r>
        <w:rPr>
          <w:color w:val="231F20"/>
          <w:w w:val="105"/>
        </w:rPr>
        <w:t>buena</w:t>
      </w:r>
      <w:r>
        <w:rPr>
          <w:color w:val="231F20"/>
          <w:spacing w:val="-13"/>
          <w:w w:val="105"/>
        </w:rPr>
        <w:t> </w:t>
      </w:r>
      <w:r>
        <w:rPr>
          <w:color w:val="231F20"/>
          <w:w w:val="105"/>
        </w:rPr>
        <w:t>medida</w:t>
      </w:r>
      <w:r>
        <w:rPr>
          <w:color w:val="231F20"/>
          <w:spacing w:val="-13"/>
          <w:w w:val="105"/>
        </w:rPr>
        <w:t> </w:t>
      </w:r>
      <w:r>
        <w:rPr>
          <w:color w:val="231F20"/>
          <w:w w:val="105"/>
        </w:rPr>
        <w:t>a</w:t>
      </w:r>
      <w:r>
        <w:rPr>
          <w:color w:val="231F20"/>
          <w:spacing w:val="-13"/>
          <w:w w:val="105"/>
        </w:rPr>
        <w:t> </w:t>
      </w:r>
      <w:r>
        <w:rPr>
          <w:color w:val="231F20"/>
          <w:w w:val="105"/>
        </w:rPr>
        <w:t>que</w:t>
      </w:r>
      <w:r>
        <w:rPr>
          <w:color w:val="231F20"/>
          <w:spacing w:val="-13"/>
          <w:w w:val="105"/>
        </w:rPr>
        <w:t> </w:t>
      </w:r>
      <w:r>
        <w:rPr>
          <w:color w:val="231F20"/>
          <w:w w:val="105"/>
        </w:rPr>
        <w:t>estos</w:t>
      </w:r>
      <w:r>
        <w:rPr>
          <w:color w:val="231F20"/>
          <w:spacing w:val="-13"/>
          <w:w w:val="105"/>
        </w:rPr>
        <w:t> </w:t>
      </w:r>
      <w:r>
        <w:rPr>
          <w:color w:val="231F20"/>
          <w:w w:val="105"/>
        </w:rPr>
        <w:t>espacios</w:t>
      </w:r>
      <w:r>
        <w:rPr>
          <w:color w:val="231F20"/>
          <w:spacing w:val="-13"/>
          <w:w w:val="105"/>
        </w:rPr>
        <w:t> </w:t>
      </w:r>
      <w:r>
        <w:rPr>
          <w:color w:val="231F20"/>
          <w:w w:val="105"/>
        </w:rPr>
        <w:t>de participación son campo de disputa de las organizaciones partidistas, principalmente del </w:t>
      </w:r>
      <w:r>
        <w:rPr>
          <w:color w:val="231F20"/>
          <w:spacing w:val="-3"/>
          <w:w w:val="105"/>
        </w:rPr>
        <w:t>PRD, </w:t>
      </w:r>
      <w:r>
        <w:rPr>
          <w:color w:val="231F20"/>
          <w:w w:val="105"/>
        </w:rPr>
        <w:t>adquiriendo un carácter partidista y hasta sectario; reduciendo la participa- ción ciudadana a un mero elemento emblemático de legitimidad y transparencia del manejo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recursos</w:t>
      </w:r>
      <w:r>
        <w:rPr>
          <w:color w:val="231F20"/>
          <w:spacing w:val="-15"/>
          <w:w w:val="105"/>
        </w:rPr>
        <w:t> </w:t>
      </w:r>
      <w:r>
        <w:rPr>
          <w:color w:val="231F20"/>
          <w:w w:val="105"/>
        </w:rPr>
        <w:t>que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injerencia</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acciones</w:t>
      </w:r>
      <w:r>
        <w:rPr>
          <w:color w:val="231F20"/>
          <w:spacing w:val="-15"/>
          <w:w w:val="105"/>
        </w:rPr>
        <w:t> </w:t>
      </w:r>
      <w:r>
        <w:rPr>
          <w:color w:val="231F20"/>
          <w:w w:val="105"/>
        </w:rPr>
        <w:t>del</w:t>
      </w:r>
      <w:r>
        <w:rPr>
          <w:color w:val="231F20"/>
          <w:spacing w:val="-15"/>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spacing w:val="-3"/>
          <w:w w:val="105"/>
        </w:rPr>
        <w:t>Por</w:t>
      </w:r>
      <w:r>
        <w:rPr>
          <w:color w:val="231F20"/>
          <w:spacing w:val="-19"/>
          <w:w w:val="105"/>
        </w:rPr>
        <w:t> </w:t>
      </w:r>
      <w:r>
        <w:rPr>
          <w:color w:val="231F20"/>
          <w:w w:val="105"/>
        </w:rPr>
        <w:t>otro</w:t>
      </w:r>
      <w:r>
        <w:rPr>
          <w:color w:val="231F20"/>
          <w:spacing w:val="-19"/>
          <w:w w:val="105"/>
        </w:rPr>
        <w:t> </w:t>
      </w:r>
      <w:r>
        <w:rPr>
          <w:color w:val="231F20"/>
          <w:w w:val="105"/>
        </w:rPr>
        <w:t>lado,</w:t>
      </w:r>
      <w:r>
        <w:rPr>
          <w:color w:val="231F20"/>
          <w:spacing w:val="-19"/>
          <w:w w:val="105"/>
        </w:rPr>
        <w:t> </w:t>
      </w:r>
      <w:r>
        <w:rPr>
          <w:color w:val="231F20"/>
          <w:w w:val="105"/>
        </w:rPr>
        <w:t>el</w:t>
      </w:r>
      <w:r>
        <w:rPr>
          <w:color w:val="231F20"/>
          <w:spacing w:val="-19"/>
          <w:w w:val="105"/>
        </w:rPr>
        <w:t> </w:t>
      </w:r>
      <w:r>
        <w:rPr>
          <w:color w:val="231F20"/>
          <w:w w:val="105"/>
        </w:rPr>
        <w:t>desarrollo</w:t>
      </w:r>
      <w:r>
        <w:rPr>
          <w:color w:val="231F20"/>
          <w:spacing w:val="-19"/>
          <w:w w:val="105"/>
        </w:rPr>
        <w:t> </w:t>
      </w:r>
      <w:r>
        <w:rPr>
          <w:color w:val="231F20"/>
          <w:w w:val="105"/>
        </w:rPr>
        <w:t>económico</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es</w:t>
      </w:r>
      <w:r>
        <w:rPr>
          <w:color w:val="231F20"/>
          <w:spacing w:val="-19"/>
          <w:w w:val="105"/>
        </w:rPr>
        <w:t> </w:t>
      </w:r>
      <w:r>
        <w:rPr>
          <w:color w:val="231F20"/>
          <w:w w:val="105"/>
        </w:rPr>
        <w:t>otro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temas</w:t>
      </w:r>
      <w:r>
        <w:rPr>
          <w:color w:val="231F20"/>
          <w:spacing w:val="-19"/>
          <w:w w:val="105"/>
        </w:rPr>
        <w:t> </w:t>
      </w:r>
      <w:r>
        <w:rPr>
          <w:color w:val="231F20"/>
          <w:w w:val="105"/>
        </w:rPr>
        <w:t>que</w:t>
      </w:r>
      <w:r>
        <w:rPr>
          <w:color w:val="231F20"/>
          <w:spacing w:val="-19"/>
          <w:w w:val="105"/>
        </w:rPr>
        <w:t> </w:t>
      </w:r>
      <w:r>
        <w:rPr>
          <w:color w:val="231F20"/>
          <w:w w:val="105"/>
        </w:rPr>
        <w:t>han</w:t>
      </w:r>
      <w:r>
        <w:rPr>
          <w:color w:val="231F20"/>
          <w:spacing w:val="-19"/>
          <w:w w:val="105"/>
        </w:rPr>
        <w:t> </w:t>
      </w:r>
      <w:r>
        <w:rPr>
          <w:color w:val="231F20"/>
          <w:spacing w:val="-2"/>
          <w:w w:val="105"/>
        </w:rPr>
        <w:t>dejado </w:t>
      </w:r>
      <w:r>
        <w:rPr>
          <w:color w:val="231F20"/>
          <w:spacing w:val="-3"/>
          <w:w w:val="105"/>
        </w:rPr>
        <w:t>mucho </w:t>
      </w:r>
      <w:r>
        <w:rPr>
          <w:color w:val="231F20"/>
          <w:w w:val="105"/>
        </w:rPr>
        <w:t>que desear en las administraciones perredistas, pues como ya se había mencio- nado, el municipio no cuenta con la capacidad productiva necesaria que sea capaz de absorber la mano de obra que genera y </w:t>
      </w:r>
      <w:r>
        <w:rPr>
          <w:color w:val="231F20"/>
          <w:spacing w:val="-3"/>
          <w:w w:val="105"/>
        </w:rPr>
        <w:t>mucho </w:t>
      </w:r>
      <w:r>
        <w:rPr>
          <w:color w:val="231F20"/>
          <w:w w:val="105"/>
        </w:rPr>
        <w:t>menos para ofrecer oportunidades de empleo y desarrollo </w:t>
      </w:r>
      <w:r>
        <w:rPr>
          <w:color w:val="231F20"/>
          <w:spacing w:val="2"/>
          <w:w w:val="105"/>
        </w:rPr>
        <w:t>al </w:t>
      </w:r>
      <w:r>
        <w:rPr>
          <w:color w:val="231F20"/>
          <w:w w:val="105"/>
        </w:rPr>
        <w:t>creciente número de profesionistas originarios de la localidad. Muestra de esto es que en la actual administración el principal proyecto de desarrollo económico</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denominado</w:t>
      </w:r>
      <w:r>
        <w:rPr>
          <w:color w:val="231F20"/>
          <w:spacing w:val="-6"/>
          <w:w w:val="105"/>
        </w:rPr>
        <w:t> </w:t>
      </w:r>
      <w:r>
        <w:rPr>
          <w:color w:val="231F20"/>
          <w:spacing w:val="-3"/>
          <w:w w:val="105"/>
        </w:rPr>
        <w:t>“Ciudad</w:t>
      </w:r>
      <w:r>
        <w:rPr>
          <w:color w:val="231F20"/>
          <w:spacing w:val="-6"/>
          <w:w w:val="105"/>
        </w:rPr>
        <w:t> </w:t>
      </w:r>
      <w:r>
        <w:rPr>
          <w:color w:val="231F20"/>
          <w:w w:val="105"/>
        </w:rPr>
        <w:t>Jardín</w:t>
      </w:r>
      <w:r>
        <w:rPr>
          <w:color w:val="231F20"/>
          <w:spacing w:val="-6"/>
          <w:w w:val="105"/>
        </w:rPr>
        <w:t> </w:t>
      </w:r>
      <w:r>
        <w:rPr>
          <w:color w:val="231F20"/>
          <w:spacing w:val="-3"/>
          <w:w w:val="105"/>
        </w:rPr>
        <w:t>Bicentenario”,</w:t>
      </w:r>
      <w:r>
        <w:rPr>
          <w:color w:val="231F20"/>
          <w:spacing w:val="-6"/>
          <w:w w:val="105"/>
        </w:rPr>
        <w:t> </w:t>
      </w:r>
      <w:r>
        <w:rPr>
          <w:color w:val="231F20"/>
          <w:w w:val="105"/>
        </w:rPr>
        <w:t>impulsado</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gobierno del</w:t>
      </w:r>
      <w:r>
        <w:rPr>
          <w:color w:val="231F20"/>
          <w:spacing w:val="-10"/>
          <w:w w:val="105"/>
        </w:rPr>
        <w:t> </w:t>
      </w:r>
      <w:r>
        <w:rPr>
          <w:color w:val="231F20"/>
          <w:w w:val="105"/>
        </w:rPr>
        <w:t>Estado</w:t>
      </w:r>
      <w:r>
        <w:rPr>
          <w:color w:val="231F20"/>
          <w:spacing w:val="-10"/>
          <w:w w:val="105"/>
        </w:rPr>
        <w:t> </w:t>
      </w:r>
      <w:r>
        <w:rPr>
          <w:color w:val="231F20"/>
          <w:w w:val="105"/>
        </w:rPr>
        <w:t>de</w:t>
      </w:r>
      <w:r>
        <w:rPr>
          <w:color w:val="231F20"/>
          <w:spacing w:val="-10"/>
          <w:w w:val="105"/>
        </w:rPr>
        <w:t> </w:t>
      </w:r>
      <w:r>
        <w:rPr>
          <w:color w:val="231F20"/>
          <w:w w:val="105"/>
        </w:rPr>
        <w:t>México</w:t>
      </w:r>
      <w:r>
        <w:rPr>
          <w:color w:val="231F20"/>
          <w:spacing w:val="-10"/>
          <w:w w:val="105"/>
        </w:rPr>
        <w:t> </w:t>
      </w:r>
      <w:r>
        <w:rPr>
          <w:color w:val="231F20"/>
          <w:w w:val="105"/>
        </w:rPr>
        <w:t>que</w:t>
      </w:r>
      <w:r>
        <w:rPr>
          <w:color w:val="231F20"/>
          <w:spacing w:val="-10"/>
          <w:w w:val="105"/>
        </w:rPr>
        <w:t> </w:t>
      </w:r>
      <w:r>
        <w:rPr>
          <w:color w:val="231F20"/>
          <w:w w:val="105"/>
        </w:rPr>
        <w:t>contempla</w:t>
      </w:r>
      <w:r>
        <w:rPr>
          <w:color w:val="231F20"/>
          <w:spacing w:val="-10"/>
          <w:w w:val="105"/>
        </w:rPr>
        <w:t> </w:t>
      </w:r>
      <w:r>
        <w:rPr>
          <w:color w:val="231F20"/>
          <w:w w:val="105"/>
        </w:rPr>
        <w:t>la</w:t>
      </w:r>
      <w:r>
        <w:rPr>
          <w:color w:val="231F20"/>
          <w:spacing w:val="-10"/>
          <w:w w:val="105"/>
        </w:rPr>
        <w:t> </w:t>
      </w:r>
      <w:r>
        <w:rPr>
          <w:color w:val="231F20"/>
          <w:w w:val="105"/>
        </w:rPr>
        <w:t>construcción</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complejo</w:t>
      </w:r>
      <w:r>
        <w:rPr>
          <w:color w:val="231F20"/>
          <w:spacing w:val="-10"/>
          <w:w w:val="105"/>
        </w:rPr>
        <w:t> </w:t>
      </w:r>
      <w:r>
        <w:rPr>
          <w:color w:val="231F20"/>
          <w:w w:val="105"/>
        </w:rPr>
        <w:t>ecológico,</w:t>
      </w:r>
      <w:r>
        <w:rPr>
          <w:color w:val="231F20"/>
          <w:spacing w:val="-10"/>
          <w:w w:val="105"/>
        </w:rPr>
        <w:t> </w:t>
      </w:r>
      <w:r>
        <w:rPr>
          <w:color w:val="231F20"/>
          <w:spacing w:val="-3"/>
          <w:w w:val="105"/>
        </w:rPr>
        <w:t>depor- </w:t>
      </w:r>
      <w:r>
        <w:rPr>
          <w:color w:val="231F20"/>
          <w:w w:val="105"/>
        </w:rPr>
        <w:t>tivo,</w:t>
      </w:r>
      <w:r>
        <w:rPr>
          <w:color w:val="231F20"/>
          <w:spacing w:val="-5"/>
          <w:w w:val="105"/>
        </w:rPr>
        <w:t> </w:t>
      </w:r>
      <w:r>
        <w:rPr>
          <w:color w:val="231F20"/>
          <w:w w:val="105"/>
        </w:rPr>
        <w:t>comercial,</w:t>
      </w:r>
      <w:r>
        <w:rPr>
          <w:color w:val="231F20"/>
          <w:spacing w:val="-5"/>
          <w:w w:val="105"/>
        </w:rPr>
        <w:t> </w:t>
      </w:r>
      <w:r>
        <w:rPr>
          <w:color w:val="231F20"/>
          <w:w w:val="105"/>
        </w:rPr>
        <w:t>académico</w:t>
      </w:r>
      <w:r>
        <w:rPr>
          <w:color w:val="231F20"/>
          <w:spacing w:val="-5"/>
          <w:w w:val="105"/>
        </w:rPr>
        <w:t> </w:t>
      </w:r>
      <w:r>
        <w:rPr>
          <w:color w:val="231F20"/>
          <w:w w:val="105"/>
        </w:rPr>
        <w:t>y</w:t>
      </w:r>
      <w:r>
        <w:rPr>
          <w:color w:val="231F20"/>
          <w:spacing w:val="-5"/>
          <w:w w:val="105"/>
        </w:rPr>
        <w:t> </w:t>
      </w:r>
      <w:r>
        <w:rPr>
          <w:color w:val="231F20"/>
          <w:w w:val="105"/>
        </w:rPr>
        <w:t>de</w:t>
      </w:r>
      <w:r>
        <w:rPr>
          <w:color w:val="231F20"/>
          <w:spacing w:val="-5"/>
          <w:w w:val="105"/>
        </w:rPr>
        <w:t> </w:t>
      </w:r>
      <w:r>
        <w:rPr>
          <w:color w:val="231F20"/>
          <w:w w:val="105"/>
        </w:rPr>
        <w:t>servicios.</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proyecto</w:t>
      </w:r>
      <w:r>
        <w:rPr>
          <w:color w:val="231F20"/>
          <w:spacing w:val="-5"/>
          <w:w w:val="105"/>
        </w:rPr>
        <w:t> </w:t>
      </w:r>
      <w:r>
        <w:rPr>
          <w:color w:val="231F20"/>
          <w:w w:val="105"/>
        </w:rPr>
        <w:t>económico</w:t>
      </w:r>
      <w:r>
        <w:rPr>
          <w:color w:val="231F20"/>
          <w:spacing w:val="-5"/>
          <w:w w:val="105"/>
        </w:rPr>
        <w:t> </w:t>
      </w:r>
      <w:r>
        <w:rPr>
          <w:color w:val="231F20"/>
          <w:w w:val="105"/>
        </w:rPr>
        <w:t>se</w:t>
      </w:r>
      <w:r>
        <w:rPr>
          <w:color w:val="231F20"/>
          <w:spacing w:val="-5"/>
          <w:w w:val="105"/>
        </w:rPr>
        <w:t> </w:t>
      </w:r>
      <w:r>
        <w:rPr>
          <w:color w:val="231F20"/>
          <w:w w:val="105"/>
        </w:rPr>
        <w:t>ha</w:t>
      </w:r>
      <w:r>
        <w:rPr>
          <w:color w:val="231F20"/>
          <w:spacing w:val="-5"/>
          <w:w w:val="105"/>
        </w:rPr>
        <w:t> </w:t>
      </w:r>
      <w:r>
        <w:rPr>
          <w:color w:val="231F20"/>
          <w:w w:val="105"/>
        </w:rPr>
        <w:t>llevado</w:t>
      </w:r>
      <w:r>
        <w:rPr>
          <w:color w:val="231F20"/>
          <w:spacing w:val="-5"/>
          <w:w w:val="105"/>
        </w:rPr>
        <w:t> </w:t>
      </w:r>
      <w:r>
        <w:rPr>
          <w:color w:val="231F20"/>
          <w:w w:val="105"/>
        </w:rPr>
        <w:t>a cabo la construcción de un centro deportivo, de la Unidad Académica Profesional de Nezahualcóyotl</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UAEM</w:t>
      </w:r>
      <w:r>
        <w:rPr>
          <w:color w:val="231F20"/>
          <w:spacing w:val="-8"/>
          <w:w w:val="105"/>
        </w:rPr>
        <w:t> </w:t>
      </w:r>
      <w:r>
        <w:rPr>
          <w:color w:val="231F20"/>
          <w:w w:val="105"/>
        </w:rPr>
        <w:t>y</w:t>
      </w:r>
      <w:r>
        <w:rPr>
          <w:color w:val="231F20"/>
          <w:spacing w:val="-8"/>
          <w:w w:val="105"/>
        </w:rPr>
        <w:t> </w:t>
      </w:r>
      <w:r>
        <w:rPr>
          <w:color w:val="231F20"/>
          <w:w w:val="105"/>
        </w:rPr>
        <w:t>un</w:t>
      </w:r>
      <w:r>
        <w:rPr>
          <w:color w:val="231F20"/>
          <w:spacing w:val="-8"/>
          <w:w w:val="105"/>
        </w:rPr>
        <w:t> </w:t>
      </w:r>
      <w:r>
        <w:rPr>
          <w:color w:val="231F20"/>
          <w:w w:val="105"/>
        </w:rPr>
        <w:t>campus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Universidad</w:t>
      </w:r>
      <w:r>
        <w:rPr>
          <w:color w:val="231F20"/>
          <w:spacing w:val="-8"/>
          <w:w w:val="105"/>
        </w:rPr>
        <w:t> </w:t>
      </w:r>
      <w:r>
        <w:rPr>
          <w:color w:val="231F20"/>
          <w:w w:val="105"/>
        </w:rPr>
        <w:t>Lasalle,</w:t>
      </w:r>
      <w:r>
        <w:rPr>
          <w:color w:val="231F20"/>
          <w:spacing w:val="-8"/>
          <w:w w:val="105"/>
        </w:rPr>
        <w:t> </w:t>
      </w:r>
      <w:r>
        <w:rPr>
          <w:color w:val="231F20"/>
          <w:w w:val="105"/>
        </w:rPr>
        <w:t>un</w:t>
      </w:r>
      <w:r>
        <w:rPr>
          <w:color w:val="231F20"/>
          <w:spacing w:val="-8"/>
          <w:w w:val="105"/>
        </w:rPr>
        <w:t> </w:t>
      </w:r>
      <w:r>
        <w:rPr>
          <w:color w:val="231F20"/>
          <w:w w:val="105"/>
        </w:rPr>
        <w:t>centro</w:t>
      </w:r>
      <w:r>
        <w:rPr>
          <w:color w:val="231F20"/>
          <w:spacing w:val="-8"/>
          <w:w w:val="105"/>
        </w:rPr>
        <w:t> </w:t>
      </w:r>
      <w:r>
        <w:rPr>
          <w:color w:val="231F20"/>
          <w:spacing w:val="-3"/>
          <w:w w:val="105"/>
        </w:rPr>
        <w:t>comer- </w:t>
      </w:r>
      <w:r>
        <w:rPr>
          <w:color w:val="231F20"/>
          <w:w w:val="105"/>
        </w:rPr>
        <w:t>cial</w:t>
      </w:r>
      <w:r>
        <w:rPr>
          <w:color w:val="231F20"/>
          <w:spacing w:val="-9"/>
          <w:w w:val="105"/>
        </w:rPr>
        <w:t> </w:t>
      </w:r>
      <w:r>
        <w:rPr>
          <w:color w:val="231F20"/>
          <w:w w:val="105"/>
        </w:rPr>
        <w:t>con</w:t>
      </w:r>
      <w:r>
        <w:rPr>
          <w:color w:val="231F20"/>
          <w:spacing w:val="-9"/>
          <w:w w:val="105"/>
        </w:rPr>
        <w:t> </w:t>
      </w:r>
      <w:r>
        <w:rPr>
          <w:color w:val="231F20"/>
          <w:w w:val="105"/>
        </w:rPr>
        <w:t>diversas</w:t>
      </w:r>
      <w:r>
        <w:rPr>
          <w:color w:val="231F20"/>
          <w:spacing w:val="-9"/>
          <w:w w:val="105"/>
        </w:rPr>
        <w:t> </w:t>
      </w:r>
      <w:r>
        <w:rPr>
          <w:color w:val="231F20"/>
          <w:w w:val="105"/>
        </w:rPr>
        <w:t>tiendas</w:t>
      </w:r>
      <w:r>
        <w:rPr>
          <w:color w:val="231F20"/>
          <w:spacing w:val="-9"/>
          <w:w w:val="105"/>
        </w:rPr>
        <w:t> </w:t>
      </w:r>
      <w:r>
        <w:rPr>
          <w:color w:val="231F20"/>
          <w:w w:val="105"/>
        </w:rPr>
        <w:t>departamentales,</w:t>
      </w:r>
      <w:r>
        <w:rPr>
          <w:color w:val="231F20"/>
          <w:spacing w:val="-9"/>
          <w:w w:val="105"/>
        </w:rPr>
        <w:t> </w:t>
      </w:r>
      <w:r>
        <w:rPr>
          <w:color w:val="231F20"/>
          <w:w w:val="105"/>
        </w:rPr>
        <w:t>el</w:t>
      </w:r>
      <w:r>
        <w:rPr>
          <w:color w:val="231F20"/>
          <w:spacing w:val="-9"/>
          <w:w w:val="105"/>
        </w:rPr>
        <w:t> </w:t>
      </w:r>
      <w:r>
        <w:rPr>
          <w:color w:val="231F20"/>
          <w:w w:val="105"/>
        </w:rPr>
        <w:t>Centro</w:t>
      </w:r>
      <w:r>
        <w:rPr>
          <w:color w:val="231F20"/>
          <w:spacing w:val="-9"/>
          <w:w w:val="105"/>
        </w:rPr>
        <w:t> </w:t>
      </w:r>
      <w:r>
        <w:rPr>
          <w:color w:val="231F20"/>
          <w:w w:val="105"/>
        </w:rPr>
        <w:t>de</w:t>
      </w:r>
      <w:r>
        <w:rPr>
          <w:color w:val="231F20"/>
          <w:spacing w:val="-9"/>
          <w:w w:val="105"/>
        </w:rPr>
        <w:t> </w:t>
      </w:r>
      <w:r>
        <w:rPr>
          <w:color w:val="231F20"/>
          <w:w w:val="105"/>
        </w:rPr>
        <w:t>Rehabilitación</w:t>
      </w:r>
      <w:r>
        <w:rPr>
          <w:color w:val="231F20"/>
          <w:spacing w:val="-9"/>
          <w:w w:val="105"/>
        </w:rPr>
        <w:t> </w:t>
      </w:r>
      <w:r>
        <w:rPr>
          <w:color w:val="231F20"/>
          <w:w w:val="105"/>
        </w:rPr>
        <w:t>Infantil</w:t>
      </w:r>
      <w:r>
        <w:rPr>
          <w:color w:val="231F20"/>
          <w:spacing w:val="-9"/>
          <w:w w:val="105"/>
        </w:rPr>
        <w:t> </w:t>
      </w:r>
      <w:r>
        <w:rPr>
          <w:color w:val="231F20"/>
          <w:spacing w:val="-4"/>
          <w:w w:val="105"/>
        </w:rPr>
        <w:t>Teletón, </w:t>
      </w:r>
      <w:r>
        <w:rPr>
          <w:color w:val="231F20"/>
          <w:w w:val="105"/>
        </w:rPr>
        <w:t>entre</w:t>
      </w:r>
      <w:r>
        <w:rPr>
          <w:color w:val="231F20"/>
          <w:spacing w:val="-21"/>
          <w:w w:val="105"/>
        </w:rPr>
        <w:t> </w:t>
      </w:r>
      <w:r>
        <w:rPr>
          <w:color w:val="231F20"/>
          <w:w w:val="105"/>
        </w:rPr>
        <w:t>otras</w:t>
      </w:r>
      <w:r>
        <w:rPr>
          <w:color w:val="231F20"/>
          <w:spacing w:val="-21"/>
          <w:w w:val="105"/>
        </w:rPr>
        <w:t> </w:t>
      </w:r>
      <w:r>
        <w:rPr>
          <w:color w:val="231F20"/>
          <w:w w:val="105"/>
        </w:rPr>
        <w:t>empresas</w:t>
      </w:r>
      <w:r>
        <w:rPr>
          <w:color w:val="231F20"/>
          <w:spacing w:val="-21"/>
          <w:w w:val="105"/>
        </w:rPr>
        <w:t> </w:t>
      </w:r>
      <w:r>
        <w:rPr>
          <w:color w:val="231F20"/>
          <w:w w:val="105"/>
        </w:rPr>
        <w:t>comerciales</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servicios.</w:t>
      </w:r>
      <w:r>
        <w:rPr>
          <w:color w:val="231F20"/>
          <w:spacing w:val="-21"/>
          <w:w w:val="105"/>
        </w:rPr>
        <w:t> </w:t>
      </w:r>
      <w:r>
        <w:rPr>
          <w:color w:val="231F20"/>
          <w:w w:val="105"/>
        </w:rPr>
        <w:t>Con</w:t>
      </w:r>
      <w:r>
        <w:rPr>
          <w:color w:val="231F20"/>
          <w:spacing w:val="-21"/>
          <w:w w:val="105"/>
        </w:rPr>
        <w:t> </w:t>
      </w:r>
      <w:r>
        <w:rPr>
          <w:color w:val="231F20"/>
          <w:w w:val="105"/>
        </w:rPr>
        <w:t>una</w:t>
      </w:r>
      <w:r>
        <w:rPr>
          <w:color w:val="231F20"/>
          <w:spacing w:val="-21"/>
          <w:w w:val="105"/>
        </w:rPr>
        <w:t> </w:t>
      </w:r>
      <w:r>
        <w:rPr>
          <w:color w:val="231F20"/>
          <w:w w:val="105"/>
        </w:rPr>
        <w:t>expectativa</w:t>
      </w:r>
      <w:r>
        <w:rPr>
          <w:color w:val="231F20"/>
          <w:spacing w:val="-21"/>
          <w:w w:val="105"/>
        </w:rPr>
        <w:t> </w:t>
      </w:r>
      <w:r>
        <w:rPr>
          <w:color w:val="231F20"/>
          <w:w w:val="105"/>
        </w:rPr>
        <w:t>de</w:t>
      </w:r>
      <w:r>
        <w:rPr>
          <w:color w:val="231F20"/>
          <w:spacing w:val="-21"/>
          <w:w w:val="105"/>
        </w:rPr>
        <w:t> </w:t>
      </w:r>
      <w:r>
        <w:rPr>
          <w:color w:val="231F20"/>
          <w:w w:val="105"/>
        </w:rPr>
        <w:t>generación</w:t>
      </w:r>
      <w:r>
        <w:rPr>
          <w:color w:val="231F20"/>
          <w:spacing w:val="-21"/>
          <w:w w:val="105"/>
        </w:rPr>
        <w:t> </w:t>
      </w:r>
      <w:r>
        <w:rPr>
          <w:color w:val="231F20"/>
          <w:w w:val="105"/>
        </w:rPr>
        <w:t>de</w:t>
      </w:r>
      <w:r>
        <w:rPr>
          <w:color w:val="231F20"/>
          <w:spacing w:val="-21"/>
          <w:w w:val="105"/>
        </w:rPr>
        <w:t> </w:t>
      </w:r>
      <w:r>
        <w:rPr>
          <w:color w:val="231F20"/>
          <w:w w:val="105"/>
        </w:rPr>
        <w:t>5 </w:t>
      </w:r>
      <w:r>
        <w:rPr>
          <w:color w:val="231F20"/>
          <w:spacing w:val="2"/>
          <w:w w:val="105"/>
        </w:rPr>
        <w:t>mil</w:t>
      </w:r>
      <w:r>
        <w:rPr>
          <w:color w:val="231F20"/>
          <w:spacing w:val="-15"/>
          <w:w w:val="105"/>
        </w:rPr>
        <w:t> </w:t>
      </w:r>
      <w:r>
        <w:rPr>
          <w:color w:val="231F20"/>
          <w:w w:val="105"/>
        </w:rPr>
        <w:t>empleos</w:t>
      </w:r>
      <w:r>
        <w:rPr>
          <w:color w:val="231F20"/>
          <w:spacing w:val="-15"/>
          <w:w w:val="105"/>
        </w:rPr>
        <w:t> </w:t>
      </w:r>
      <w:r>
        <w:rPr>
          <w:color w:val="231F20"/>
          <w:w w:val="105"/>
        </w:rPr>
        <w:t>temporales</w:t>
      </w:r>
      <w:r>
        <w:rPr>
          <w:color w:val="231F20"/>
          <w:spacing w:val="-15"/>
          <w:w w:val="105"/>
        </w:rPr>
        <w:t> </w:t>
      </w:r>
      <w:r>
        <w:rPr>
          <w:color w:val="231F20"/>
          <w:w w:val="105"/>
        </w:rPr>
        <w:t>y</w:t>
      </w:r>
      <w:r>
        <w:rPr>
          <w:color w:val="231F20"/>
          <w:spacing w:val="-15"/>
          <w:w w:val="105"/>
        </w:rPr>
        <w:t> </w:t>
      </w:r>
      <w:r>
        <w:rPr>
          <w:color w:val="231F20"/>
          <w:w w:val="105"/>
        </w:rPr>
        <w:t>una</w:t>
      </w:r>
      <w:r>
        <w:rPr>
          <w:color w:val="231F20"/>
          <w:spacing w:val="-15"/>
          <w:w w:val="105"/>
        </w:rPr>
        <w:t> </w:t>
      </w:r>
      <w:r>
        <w:rPr>
          <w:color w:val="231F20"/>
          <w:w w:val="105"/>
        </w:rPr>
        <w:t>vez</w:t>
      </w:r>
      <w:r>
        <w:rPr>
          <w:color w:val="231F20"/>
          <w:spacing w:val="-15"/>
          <w:w w:val="105"/>
        </w:rPr>
        <w:t> </w:t>
      </w:r>
      <w:r>
        <w:rPr>
          <w:color w:val="231F20"/>
          <w:w w:val="105"/>
        </w:rPr>
        <w:t>concluido</w:t>
      </w:r>
      <w:r>
        <w:rPr>
          <w:color w:val="231F20"/>
          <w:spacing w:val="-15"/>
          <w:w w:val="105"/>
        </w:rPr>
        <w:t> </w:t>
      </w:r>
      <w:r>
        <w:rPr>
          <w:color w:val="231F20"/>
          <w:w w:val="105"/>
        </w:rPr>
        <w:t>de</w:t>
      </w:r>
      <w:r>
        <w:rPr>
          <w:color w:val="231F20"/>
          <w:spacing w:val="-15"/>
          <w:w w:val="105"/>
        </w:rPr>
        <w:t> </w:t>
      </w:r>
      <w:r>
        <w:rPr>
          <w:color w:val="231F20"/>
          <w:w w:val="105"/>
        </w:rPr>
        <w:t>3</w:t>
      </w:r>
      <w:r>
        <w:rPr>
          <w:color w:val="231F20"/>
          <w:spacing w:val="-15"/>
          <w:w w:val="105"/>
        </w:rPr>
        <w:t> </w:t>
      </w:r>
      <w:r>
        <w:rPr>
          <w:color w:val="231F20"/>
          <w:spacing w:val="2"/>
          <w:w w:val="105"/>
        </w:rPr>
        <w:t>mil</w:t>
      </w:r>
      <w:r>
        <w:rPr>
          <w:color w:val="231F20"/>
          <w:spacing w:val="-15"/>
          <w:w w:val="105"/>
        </w:rPr>
        <w:t> </w:t>
      </w:r>
      <w:r>
        <w:rPr>
          <w:color w:val="231F20"/>
          <w:spacing w:val="2"/>
          <w:w w:val="105"/>
        </w:rPr>
        <w:t>500</w:t>
      </w:r>
      <w:r>
        <w:rPr>
          <w:color w:val="231F20"/>
          <w:spacing w:val="-15"/>
          <w:w w:val="105"/>
        </w:rPr>
        <w:t> </w:t>
      </w:r>
      <w:r>
        <w:rPr>
          <w:color w:val="231F20"/>
          <w:w w:val="105"/>
        </w:rPr>
        <w:t>empleos</w:t>
      </w:r>
      <w:r>
        <w:rPr>
          <w:color w:val="231F20"/>
          <w:spacing w:val="-15"/>
          <w:w w:val="105"/>
        </w:rPr>
        <w:t> </w:t>
      </w:r>
      <w:r>
        <w:rPr>
          <w:color w:val="231F20"/>
          <w:w w:val="105"/>
        </w:rPr>
        <w:t>permanentes.</w:t>
      </w:r>
    </w:p>
    <w:p>
      <w:pPr>
        <w:pStyle w:val="BodyText"/>
        <w:spacing w:before="1"/>
        <w:rPr>
          <w:sz w:val="26"/>
        </w:rPr>
      </w:pPr>
    </w:p>
    <w:p>
      <w:pPr>
        <w:pStyle w:val="BodyText"/>
        <w:spacing w:line="285" w:lineRule="auto"/>
        <w:ind w:left="110" w:right="107"/>
        <w:jc w:val="both"/>
      </w:pPr>
      <w:r>
        <w:rPr>
          <w:color w:val="231F20"/>
          <w:w w:val="105"/>
        </w:rPr>
        <w:t>Finalmente, no podemos dejar de resaltar que una de las grandes cuentas pendientes para el desarrollo económico es el tema de la seguridad pública, aun cuando se han logrado</w:t>
      </w:r>
      <w:r>
        <w:rPr>
          <w:color w:val="231F20"/>
          <w:spacing w:val="-13"/>
          <w:w w:val="105"/>
        </w:rPr>
        <w:t> </w:t>
      </w:r>
      <w:r>
        <w:rPr>
          <w:color w:val="231F20"/>
          <w:w w:val="105"/>
        </w:rPr>
        <w:t>algunos</w:t>
      </w:r>
      <w:r>
        <w:rPr>
          <w:color w:val="231F20"/>
          <w:spacing w:val="-13"/>
          <w:w w:val="105"/>
        </w:rPr>
        <w:t> </w:t>
      </w:r>
      <w:r>
        <w:rPr>
          <w:color w:val="231F20"/>
          <w:w w:val="105"/>
        </w:rPr>
        <w:t>avances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materia</w:t>
      </w:r>
      <w:r>
        <w:rPr>
          <w:color w:val="231F20"/>
          <w:spacing w:val="-13"/>
          <w:w w:val="105"/>
        </w:rPr>
        <w:t> </w:t>
      </w:r>
      <w:r>
        <w:rPr>
          <w:color w:val="231F20"/>
          <w:w w:val="105"/>
        </w:rPr>
        <w:t>como</w:t>
      </w:r>
      <w:r>
        <w:rPr>
          <w:color w:val="231F20"/>
          <w:spacing w:val="-13"/>
          <w:w w:val="105"/>
        </w:rPr>
        <w:t> </w:t>
      </w:r>
      <w:r>
        <w:rPr>
          <w:color w:val="231F20"/>
          <w:w w:val="105"/>
        </w:rPr>
        <w:t>se</w:t>
      </w:r>
      <w:r>
        <w:rPr>
          <w:color w:val="231F20"/>
          <w:spacing w:val="-13"/>
          <w:w w:val="105"/>
        </w:rPr>
        <w:t> </w:t>
      </w:r>
      <w:r>
        <w:rPr>
          <w:color w:val="231F20"/>
          <w:w w:val="105"/>
        </w:rPr>
        <w:t>resalta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2006-2009: Como</w:t>
      </w:r>
      <w:r>
        <w:rPr>
          <w:color w:val="231F20"/>
          <w:spacing w:val="-24"/>
          <w:w w:val="105"/>
        </w:rPr>
        <w:t> </w:t>
      </w:r>
      <w:r>
        <w:rPr>
          <w:color w:val="231F20"/>
          <w:w w:val="105"/>
        </w:rPr>
        <w:t>resultado</w:t>
      </w:r>
      <w:r>
        <w:rPr>
          <w:color w:val="231F20"/>
          <w:spacing w:val="-24"/>
          <w:w w:val="105"/>
        </w:rPr>
        <w:t> </w:t>
      </w:r>
      <w:r>
        <w:rPr>
          <w:color w:val="231F20"/>
          <w:w w:val="105"/>
        </w:rPr>
        <w:t>de</w:t>
      </w:r>
      <w:r>
        <w:rPr>
          <w:color w:val="231F20"/>
          <w:spacing w:val="-24"/>
          <w:w w:val="105"/>
        </w:rPr>
        <w:t> </w:t>
      </w:r>
      <w:r>
        <w:rPr>
          <w:color w:val="231F20"/>
          <w:w w:val="105"/>
        </w:rPr>
        <w:t>operativos</w:t>
      </w:r>
      <w:r>
        <w:rPr>
          <w:color w:val="231F20"/>
          <w:spacing w:val="-24"/>
          <w:w w:val="105"/>
        </w:rPr>
        <w:t> </w:t>
      </w:r>
      <w:r>
        <w:rPr>
          <w:color w:val="231F20"/>
          <w:w w:val="105"/>
        </w:rPr>
        <w:t>más</w:t>
      </w:r>
      <w:r>
        <w:rPr>
          <w:color w:val="231F20"/>
          <w:spacing w:val="-24"/>
          <w:w w:val="105"/>
        </w:rPr>
        <w:t> </w:t>
      </w:r>
      <w:r>
        <w:rPr>
          <w:color w:val="231F20"/>
          <w:w w:val="105"/>
        </w:rPr>
        <w:t>constantes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policía</w:t>
      </w:r>
      <w:r>
        <w:rPr>
          <w:color w:val="231F20"/>
          <w:spacing w:val="-24"/>
          <w:w w:val="105"/>
        </w:rPr>
        <w:t> </w:t>
      </w:r>
      <w:r>
        <w:rPr>
          <w:color w:val="231F20"/>
          <w:w w:val="105"/>
        </w:rPr>
        <w:t>municipal,</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mayor</w:t>
      </w:r>
      <w:r>
        <w:rPr>
          <w:color w:val="231F20"/>
          <w:spacing w:val="-24"/>
          <w:w w:val="105"/>
        </w:rPr>
        <w:t> </w:t>
      </w:r>
      <w:r>
        <w:rPr>
          <w:color w:val="231F20"/>
          <w:w w:val="105"/>
        </w:rPr>
        <w:t>proxi- midad</w:t>
      </w:r>
      <w:r>
        <w:rPr>
          <w:color w:val="231F20"/>
          <w:spacing w:val="-12"/>
          <w:w w:val="105"/>
        </w:rPr>
        <w:t> </w:t>
      </w:r>
      <w:r>
        <w:rPr>
          <w:color w:val="231F20"/>
          <w:w w:val="105"/>
        </w:rPr>
        <w:t>de</w:t>
      </w:r>
      <w:r>
        <w:rPr>
          <w:color w:val="231F20"/>
          <w:spacing w:val="-12"/>
          <w:w w:val="105"/>
        </w:rPr>
        <w:t> </w:t>
      </w:r>
      <w:r>
        <w:rPr>
          <w:color w:val="231F20"/>
          <w:w w:val="105"/>
        </w:rPr>
        <w:t>nuestros</w:t>
      </w:r>
      <w:r>
        <w:rPr>
          <w:color w:val="231F20"/>
          <w:spacing w:val="-12"/>
          <w:w w:val="105"/>
        </w:rPr>
        <w:t> </w:t>
      </w:r>
      <w:r>
        <w:rPr>
          <w:color w:val="231F20"/>
          <w:w w:val="105"/>
        </w:rPr>
        <w:t>elementos</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vecinos</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w w:val="105"/>
        </w:rPr>
        <w:t>de</w:t>
      </w:r>
      <w:r>
        <w:rPr>
          <w:color w:val="231F20"/>
          <w:spacing w:val="-12"/>
          <w:w w:val="105"/>
        </w:rPr>
        <w:t> </w:t>
      </w:r>
      <w:r>
        <w:rPr>
          <w:color w:val="231F20"/>
          <w:w w:val="105"/>
        </w:rPr>
        <w:t>nuestra</w:t>
      </w:r>
      <w:r>
        <w:rPr>
          <w:color w:val="231F20"/>
          <w:spacing w:val="-12"/>
          <w:w w:val="105"/>
        </w:rPr>
        <w:t> </w:t>
      </w:r>
      <w:r>
        <w:rPr>
          <w:color w:val="231F20"/>
          <w:w w:val="105"/>
        </w:rPr>
        <w:t>acrecentada</w:t>
      </w:r>
      <w:r>
        <w:rPr>
          <w:color w:val="231F20"/>
          <w:spacing w:val="-12"/>
          <w:w w:val="105"/>
        </w:rPr>
        <w:t> </w:t>
      </w:r>
      <w:r>
        <w:rPr>
          <w:color w:val="231F20"/>
          <w:w w:val="105"/>
        </w:rPr>
        <w:t>capa- cidad</w:t>
      </w:r>
      <w:r>
        <w:rPr>
          <w:color w:val="231F20"/>
          <w:spacing w:val="-13"/>
          <w:w w:val="105"/>
        </w:rPr>
        <w:t> </w:t>
      </w:r>
      <w:r>
        <w:rPr>
          <w:color w:val="231F20"/>
          <w:w w:val="105"/>
        </w:rPr>
        <w:t>de</w:t>
      </w:r>
      <w:r>
        <w:rPr>
          <w:color w:val="231F20"/>
          <w:spacing w:val="-13"/>
          <w:w w:val="105"/>
        </w:rPr>
        <w:t> </w:t>
      </w:r>
      <w:r>
        <w:rPr>
          <w:color w:val="231F20"/>
          <w:w w:val="105"/>
        </w:rPr>
        <w:t>reacción,</w:t>
      </w:r>
      <w:r>
        <w:rPr>
          <w:color w:val="231F20"/>
          <w:spacing w:val="-13"/>
          <w:w w:val="105"/>
        </w:rPr>
        <w:t> </w:t>
      </w:r>
      <w:r>
        <w:rPr>
          <w:color w:val="231F20"/>
          <w:w w:val="105"/>
        </w:rPr>
        <w:t>nuestra</w:t>
      </w:r>
      <w:r>
        <w:rPr>
          <w:color w:val="231F20"/>
          <w:spacing w:val="-13"/>
          <w:w w:val="105"/>
        </w:rPr>
        <w:t> </w:t>
      </w:r>
      <w:r>
        <w:rPr>
          <w:color w:val="231F20"/>
          <w:w w:val="105"/>
        </w:rPr>
        <w:t>permanente</w:t>
      </w:r>
      <w:r>
        <w:rPr>
          <w:color w:val="231F20"/>
          <w:spacing w:val="-13"/>
          <w:w w:val="105"/>
        </w:rPr>
        <w:t> </w:t>
      </w:r>
      <w:r>
        <w:rPr>
          <w:color w:val="231F20"/>
          <w:w w:val="105"/>
        </w:rPr>
        <w:t>presencia</w:t>
      </w:r>
      <w:r>
        <w:rPr>
          <w:color w:val="231F20"/>
          <w:spacing w:val="-13"/>
          <w:w w:val="105"/>
        </w:rPr>
        <w:t> </w:t>
      </w:r>
      <w:r>
        <w:rPr>
          <w:color w:val="231F20"/>
          <w:w w:val="105"/>
        </w:rPr>
        <w:t>terrestre</w:t>
      </w:r>
      <w:r>
        <w:rPr>
          <w:color w:val="231F20"/>
          <w:spacing w:val="-13"/>
          <w:w w:val="105"/>
        </w:rPr>
        <w:t> </w:t>
      </w:r>
      <w:r>
        <w:rPr>
          <w:color w:val="231F20"/>
          <w:w w:val="105"/>
        </w:rPr>
        <w:t>y</w:t>
      </w:r>
      <w:r>
        <w:rPr>
          <w:color w:val="231F20"/>
          <w:spacing w:val="-13"/>
          <w:w w:val="105"/>
        </w:rPr>
        <w:t> </w:t>
      </w:r>
      <w:r>
        <w:rPr>
          <w:color w:val="231F20"/>
          <w:w w:val="105"/>
        </w:rPr>
        <w:t>aérea,</w:t>
      </w:r>
      <w:r>
        <w:rPr>
          <w:color w:val="231F20"/>
          <w:spacing w:val="-13"/>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la</w:t>
      </w:r>
      <w:r>
        <w:rPr>
          <w:color w:val="231F20"/>
          <w:spacing w:val="-13"/>
          <w:w w:val="105"/>
        </w:rPr>
        <w:t> </w:t>
      </w:r>
      <w:r>
        <w:rPr>
          <w:color w:val="231F20"/>
          <w:w w:val="105"/>
        </w:rPr>
        <w:t>profesio- nalización de nuestros elementos, durante este Primer Año de Gobierno, se</w:t>
      </w:r>
      <w:r>
        <w:rPr>
          <w:color w:val="231F20"/>
          <w:spacing w:val="14"/>
          <w:w w:val="105"/>
        </w:rPr>
        <w:t> </w:t>
      </w:r>
      <w:r>
        <w:rPr>
          <w:color w:val="231F20"/>
          <w:w w:val="105"/>
        </w:rPr>
        <w:t>consiguió</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incidencia</w:t>
      </w:r>
      <w:r>
        <w:rPr>
          <w:color w:val="231F20"/>
          <w:spacing w:val="-7"/>
          <w:w w:val="105"/>
        </w:rPr>
        <w:t> </w:t>
      </w:r>
      <w:r>
        <w:rPr>
          <w:color w:val="231F20"/>
          <w:w w:val="105"/>
        </w:rPr>
        <w:t>de</w:t>
      </w:r>
      <w:r>
        <w:rPr>
          <w:color w:val="231F20"/>
          <w:spacing w:val="-7"/>
          <w:w w:val="105"/>
        </w:rPr>
        <w:t> </w:t>
      </w:r>
      <w:r>
        <w:rPr>
          <w:color w:val="231F20"/>
          <w:w w:val="105"/>
        </w:rPr>
        <w:t>otros</w:t>
      </w:r>
      <w:r>
        <w:rPr>
          <w:color w:val="231F20"/>
          <w:spacing w:val="-7"/>
          <w:w w:val="105"/>
        </w:rPr>
        <w:t> </w:t>
      </w:r>
      <w:r>
        <w:rPr>
          <w:color w:val="231F20"/>
          <w:w w:val="105"/>
        </w:rPr>
        <w:t>delitos</w:t>
      </w:r>
      <w:r>
        <w:rPr>
          <w:color w:val="231F20"/>
          <w:spacing w:val="-7"/>
          <w:w w:val="105"/>
        </w:rPr>
        <w:t> </w:t>
      </w:r>
      <w:r>
        <w:rPr>
          <w:color w:val="231F20"/>
          <w:w w:val="105"/>
        </w:rPr>
        <w:t>hayan</w:t>
      </w:r>
      <w:r>
        <w:rPr>
          <w:color w:val="231F20"/>
          <w:spacing w:val="-7"/>
          <w:w w:val="105"/>
        </w:rPr>
        <w:t> </w:t>
      </w:r>
      <w:r>
        <w:rPr>
          <w:color w:val="231F20"/>
          <w:w w:val="105"/>
        </w:rPr>
        <w:t>disminuido</w:t>
      </w:r>
      <w:r>
        <w:rPr>
          <w:color w:val="231F20"/>
          <w:spacing w:val="-7"/>
          <w:w w:val="105"/>
        </w:rPr>
        <w:t> </w:t>
      </w:r>
      <w:r>
        <w:rPr>
          <w:color w:val="231F20"/>
          <w:w w:val="105"/>
        </w:rPr>
        <w:t>comparando</w:t>
      </w:r>
      <w:r>
        <w:rPr>
          <w:color w:val="231F20"/>
          <w:spacing w:val="-7"/>
          <w:w w:val="105"/>
        </w:rPr>
        <w:t> </w:t>
      </w:r>
      <w:r>
        <w:rPr>
          <w:color w:val="231F20"/>
          <w:w w:val="105"/>
        </w:rPr>
        <w:t>el</w:t>
      </w:r>
      <w:r>
        <w:rPr>
          <w:color w:val="231F20"/>
          <w:spacing w:val="-7"/>
          <w:w w:val="105"/>
        </w:rPr>
        <w:t> </w:t>
      </w:r>
      <w:r>
        <w:rPr>
          <w:color w:val="231F20"/>
          <w:w w:val="105"/>
        </w:rPr>
        <w:t>período</w:t>
      </w:r>
      <w:r>
        <w:rPr>
          <w:color w:val="231F20"/>
          <w:spacing w:val="-7"/>
          <w:w w:val="105"/>
        </w:rPr>
        <w:t> </w:t>
      </w:r>
      <w:r>
        <w:rPr>
          <w:color w:val="231F20"/>
          <w:w w:val="105"/>
        </w:rPr>
        <w:t>2005-2006 con</w:t>
      </w:r>
      <w:r>
        <w:rPr>
          <w:color w:val="231F20"/>
          <w:spacing w:val="-15"/>
          <w:w w:val="105"/>
        </w:rPr>
        <w:t> </w:t>
      </w:r>
      <w:r>
        <w:rPr>
          <w:color w:val="231F20"/>
          <w:w w:val="105"/>
        </w:rPr>
        <w:t>el</w:t>
      </w:r>
      <w:r>
        <w:rPr>
          <w:color w:val="231F20"/>
          <w:spacing w:val="-15"/>
          <w:w w:val="105"/>
        </w:rPr>
        <w:t> </w:t>
      </w:r>
      <w:r>
        <w:rPr>
          <w:color w:val="231F20"/>
          <w:w w:val="105"/>
        </w:rPr>
        <w:t>periodo</w:t>
      </w:r>
      <w:r>
        <w:rPr>
          <w:color w:val="231F20"/>
          <w:spacing w:val="-15"/>
          <w:w w:val="105"/>
        </w:rPr>
        <w:t> </w:t>
      </w:r>
      <w:r>
        <w:rPr>
          <w:color w:val="231F20"/>
          <w:w w:val="105"/>
        </w:rPr>
        <w:t>2006-2007,</w:t>
      </w:r>
      <w:r>
        <w:rPr>
          <w:color w:val="231F20"/>
          <w:spacing w:val="-15"/>
          <w:w w:val="105"/>
        </w:rPr>
        <w:t> </w:t>
      </w:r>
      <w:r>
        <w:rPr>
          <w:color w:val="231F20"/>
          <w:w w:val="105"/>
        </w:rPr>
        <w:t>estos</w:t>
      </w:r>
      <w:r>
        <w:rPr>
          <w:color w:val="231F20"/>
          <w:spacing w:val="-15"/>
          <w:w w:val="105"/>
        </w:rPr>
        <w:t> </w:t>
      </w:r>
      <w:r>
        <w:rPr>
          <w:color w:val="231F20"/>
          <w:w w:val="105"/>
        </w:rPr>
        <w:t>casos</w:t>
      </w:r>
      <w:r>
        <w:rPr>
          <w:color w:val="231F20"/>
          <w:spacing w:val="-15"/>
          <w:w w:val="105"/>
        </w:rPr>
        <w:t> </w:t>
      </w:r>
      <w:r>
        <w:rPr>
          <w:color w:val="231F20"/>
          <w:w w:val="105"/>
        </w:rPr>
        <w:t>son</w:t>
      </w:r>
      <w:r>
        <w:rPr>
          <w:color w:val="231F20"/>
          <w:spacing w:val="-15"/>
          <w:w w:val="105"/>
        </w:rPr>
        <w:t> </w:t>
      </w:r>
      <w:r>
        <w:rPr>
          <w:color w:val="231F20"/>
          <w:w w:val="105"/>
        </w:rPr>
        <w:t>los</w:t>
      </w:r>
      <w:r>
        <w:rPr>
          <w:color w:val="231F20"/>
          <w:spacing w:val="-15"/>
          <w:w w:val="105"/>
        </w:rPr>
        <w:t> </w:t>
      </w:r>
      <w:r>
        <w:rPr>
          <w:color w:val="231F20"/>
          <w:w w:val="105"/>
        </w:rPr>
        <w:t>de</w:t>
      </w:r>
      <w:r>
        <w:rPr>
          <w:color w:val="231F20"/>
          <w:spacing w:val="-15"/>
          <w:w w:val="105"/>
        </w:rPr>
        <w:t> </w:t>
      </w:r>
      <w:r>
        <w:rPr>
          <w:color w:val="231F20"/>
          <w:w w:val="105"/>
        </w:rPr>
        <w:t>violación,</w:t>
      </w:r>
      <w:r>
        <w:rPr>
          <w:color w:val="231F20"/>
          <w:spacing w:val="-15"/>
          <w:w w:val="105"/>
        </w:rPr>
        <w:t> </w:t>
      </w:r>
      <w:r>
        <w:rPr>
          <w:color w:val="231F20"/>
          <w:w w:val="105"/>
        </w:rPr>
        <w:t>que</w:t>
      </w:r>
      <w:r>
        <w:rPr>
          <w:color w:val="231F20"/>
          <w:spacing w:val="-15"/>
          <w:w w:val="105"/>
        </w:rPr>
        <w:t> </w:t>
      </w:r>
      <w:r>
        <w:rPr>
          <w:color w:val="231F20"/>
          <w:w w:val="105"/>
        </w:rPr>
        <w:t>ha</w:t>
      </w:r>
      <w:r>
        <w:rPr>
          <w:color w:val="231F20"/>
          <w:spacing w:val="-15"/>
          <w:w w:val="105"/>
        </w:rPr>
        <w:t> </w:t>
      </w:r>
      <w:r>
        <w:rPr>
          <w:color w:val="231F20"/>
          <w:w w:val="105"/>
        </w:rPr>
        <w:t>pasado</w:t>
      </w:r>
      <w:r>
        <w:rPr>
          <w:color w:val="231F20"/>
          <w:spacing w:val="-15"/>
          <w:w w:val="105"/>
        </w:rPr>
        <w:t> </w:t>
      </w:r>
      <w:r>
        <w:rPr>
          <w:color w:val="231F20"/>
          <w:w w:val="105"/>
        </w:rPr>
        <w:t>de</w:t>
      </w:r>
      <w:r>
        <w:rPr>
          <w:color w:val="231F20"/>
          <w:spacing w:val="-15"/>
          <w:w w:val="105"/>
        </w:rPr>
        <w:t> </w:t>
      </w:r>
      <w:r>
        <w:rPr>
          <w:color w:val="231F20"/>
          <w:w w:val="105"/>
        </w:rPr>
        <w:t>158</w:t>
      </w:r>
      <w:r>
        <w:rPr>
          <w:color w:val="231F20"/>
          <w:spacing w:val="-15"/>
          <w:w w:val="105"/>
        </w:rPr>
        <w:t> </w:t>
      </w:r>
      <w:r>
        <w:rPr>
          <w:color w:val="231F20"/>
          <w:w w:val="105"/>
        </w:rPr>
        <w:t>a</w:t>
      </w:r>
      <w:r>
        <w:rPr>
          <w:color w:val="231F20"/>
          <w:spacing w:val="-15"/>
          <w:w w:val="105"/>
        </w:rPr>
        <w:t> </w:t>
      </w:r>
      <w:r>
        <w:rPr>
          <w:color w:val="231F20"/>
          <w:w w:val="105"/>
        </w:rPr>
        <w:t>138; el</w:t>
      </w:r>
      <w:r>
        <w:rPr>
          <w:color w:val="231F20"/>
          <w:spacing w:val="-18"/>
          <w:w w:val="105"/>
        </w:rPr>
        <w:t> </w:t>
      </w:r>
      <w:r>
        <w:rPr>
          <w:color w:val="231F20"/>
          <w:w w:val="105"/>
        </w:rPr>
        <w:t>de</w:t>
      </w:r>
      <w:r>
        <w:rPr>
          <w:color w:val="231F20"/>
          <w:spacing w:val="-18"/>
          <w:w w:val="105"/>
        </w:rPr>
        <w:t> </w:t>
      </w:r>
      <w:r>
        <w:rPr>
          <w:color w:val="231F20"/>
          <w:w w:val="105"/>
        </w:rPr>
        <w:t>homicidio</w:t>
      </w:r>
      <w:r>
        <w:rPr>
          <w:color w:val="231F20"/>
          <w:spacing w:val="-18"/>
          <w:w w:val="105"/>
        </w:rPr>
        <w:t> </w:t>
      </w:r>
      <w:r>
        <w:rPr>
          <w:color w:val="231F20"/>
          <w:w w:val="105"/>
        </w:rPr>
        <w:t>de</w:t>
      </w:r>
      <w:r>
        <w:rPr>
          <w:color w:val="231F20"/>
          <w:spacing w:val="-18"/>
          <w:w w:val="105"/>
        </w:rPr>
        <w:t> </w:t>
      </w:r>
      <w:r>
        <w:rPr>
          <w:color w:val="231F20"/>
          <w:w w:val="105"/>
        </w:rPr>
        <w:t>284</w:t>
      </w:r>
      <w:r>
        <w:rPr>
          <w:color w:val="231F20"/>
          <w:spacing w:val="-18"/>
          <w:w w:val="105"/>
        </w:rPr>
        <w:t> </w:t>
      </w:r>
      <w:r>
        <w:rPr>
          <w:color w:val="231F20"/>
          <w:w w:val="105"/>
        </w:rPr>
        <w:t>a</w:t>
      </w:r>
      <w:r>
        <w:rPr>
          <w:color w:val="231F20"/>
          <w:spacing w:val="-18"/>
          <w:w w:val="105"/>
        </w:rPr>
        <w:t> </w:t>
      </w:r>
      <w:r>
        <w:rPr>
          <w:color w:val="231F20"/>
          <w:w w:val="105"/>
        </w:rPr>
        <w:t>245;</w:t>
      </w:r>
      <w:r>
        <w:rPr>
          <w:color w:val="231F20"/>
          <w:spacing w:val="-18"/>
          <w:w w:val="105"/>
        </w:rPr>
        <w:t> </w:t>
      </w:r>
      <w:r>
        <w:rPr>
          <w:color w:val="231F20"/>
          <w:w w:val="105"/>
        </w:rPr>
        <w:t>el</w:t>
      </w:r>
      <w:r>
        <w:rPr>
          <w:color w:val="231F20"/>
          <w:spacing w:val="-18"/>
          <w:w w:val="105"/>
        </w:rPr>
        <w:t> </w:t>
      </w:r>
      <w:r>
        <w:rPr>
          <w:color w:val="231F20"/>
          <w:w w:val="105"/>
        </w:rPr>
        <w:t>robo</w:t>
      </w:r>
      <w:r>
        <w:rPr>
          <w:color w:val="231F20"/>
          <w:spacing w:val="-18"/>
          <w:w w:val="105"/>
        </w:rPr>
        <w:t> </w:t>
      </w:r>
      <w:r>
        <w:rPr>
          <w:color w:val="231F20"/>
          <w:w w:val="105"/>
        </w:rPr>
        <w:t>en</w:t>
      </w:r>
      <w:r>
        <w:rPr>
          <w:color w:val="231F20"/>
          <w:spacing w:val="-18"/>
          <w:w w:val="105"/>
        </w:rPr>
        <w:t> </w:t>
      </w:r>
      <w:r>
        <w:rPr>
          <w:color w:val="231F20"/>
          <w:w w:val="105"/>
        </w:rPr>
        <w:t>vía</w:t>
      </w:r>
      <w:r>
        <w:rPr>
          <w:color w:val="231F20"/>
          <w:spacing w:val="-18"/>
          <w:w w:val="105"/>
        </w:rPr>
        <w:t> </w:t>
      </w:r>
      <w:r>
        <w:rPr>
          <w:color w:val="231F20"/>
          <w:w w:val="105"/>
        </w:rPr>
        <w:t>pública</w:t>
      </w:r>
      <w:r>
        <w:rPr>
          <w:color w:val="231F20"/>
          <w:spacing w:val="-18"/>
          <w:w w:val="105"/>
        </w:rPr>
        <w:t> </w:t>
      </w:r>
      <w:r>
        <w:rPr>
          <w:color w:val="231F20"/>
          <w:w w:val="105"/>
        </w:rPr>
        <w:t>de</w:t>
      </w:r>
      <w:r>
        <w:rPr>
          <w:color w:val="231F20"/>
          <w:spacing w:val="-18"/>
          <w:w w:val="105"/>
        </w:rPr>
        <w:t> </w:t>
      </w:r>
      <w:r>
        <w:rPr>
          <w:color w:val="231F20"/>
          <w:w w:val="105"/>
        </w:rPr>
        <w:t>1,655</w:t>
      </w:r>
      <w:r>
        <w:rPr>
          <w:color w:val="231F20"/>
          <w:spacing w:val="-18"/>
          <w:w w:val="105"/>
        </w:rPr>
        <w:t> </w:t>
      </w:r>
      <w:r>
        <w:rPr>
          <w:color w:val="231F20"/>
          <w:w w:val="105"/>
        </w:rPr>
        <w:t>casos</w:t>
      </w:r>
      <w:r>
        <w:rPr>
          <w:color w:val="231F20"/>
          <w:spacing w:val="-18"/>
          <w:w w:val="105"/>
        </w:rPr>
        <w:t> </w:t>
      </w:r>
      <w:r>
        <w:rPr>
          <w:color w:val="231F20"/>
          <w:w w:val="105"/>
        </w:rPr>
        <w:t>a</w:t>
      </w:r>
      <w:r>
        <w:rPr>
          <w:color w:val="231F20"/>
          <w:spacing w:val="-18"/>
          <w:w w:val="105"/>
        </w:rPr>
        <w:t> </w:t>
      </w:r>
      <w:r>
        <w:rPr>
          <w:color w:val="231F20"/>
          <w:spacing w:val="-3"/>
          <w:w w:val="105"/>
        </w:rPr>
        <w:t>1,378</w:t>
      </w:r>
      <w:r>
        <w:rPr>
          <w:color w:val="231F20"/>
          <w:spacing w:val="-18"/>
          <w:w w:val="105"/>
        </w:rPr>
        <w:t> </w:t>
      </w:r>
      <w:r>
        <w:rPr>
          <w:color w:val="231F20"/>
          <w:w w:val="105"/>
        </w:rPr>
        <w:t>incidentes;</w:t>
      </w:r>
      <w:r>
        <w:rPr>
          <w:color w:val="231F20"/>
          <w:spacing w:val="-18"/>
          <w:w w:val="105"/>
        </w:rPr>
        <w:t> </w:t>
      </w:r>
      <w:r>
        <w:rPr>
          <w:color w:val="231F20"/>
          <w:w w:val="105"/>
        </w:rPr>
        <w:t>el robo</w:t>
      </w:r>
      <w:r>
        <w:rPr>
          <w:color w:val="231F20"/>
          <w:spacing w:val="-14"/>
          <w:w w:val="105"/>
        </w:rPr>
        <w:t> </w:t>
      </w:r>
      <w:r>
        <w:rPr>
          <w:color w:val="231F20"/>
          <w:w w:val="105"/>
        </w:rPr>
        <w:t>a</w:t>
      </w:r>
      <w:r>
        <w:rPr>
          <w:color w:val="231F20"/>
          <w:spacing w:val="-14"/>
          <w:w w:val="105"/>
        </w:rPr>
        <w:t> </w:t>
      </w:r>
      <w:r>
        <w:rPr>
          <w:color w:val="231F20"/>
          <w:w w:val="105"/>
        </w:rPr>
        <w:t>casa</w:t>
      </w:r>
      <w:r>
        <w:rPr>
          <w:color w:val="231F20"/>
          <w:spacing w:val="-14"/>
          <w:w w:val="105"/>
        </w:rPr>
        <w:t> </w:t>
      </w:r>
      <w:r>
        <w:rPr>
          <w:color w:val="231F20"/>
          <w:w w:val="105"/>
        </w:rPr>
        <w:t>habitación</w:t>
      </w:r>
      <w:r>
        <w:rPr>
          <w:color w:val="231F20"/>
          <w:spacing w:val="-14"/>
          <w:w w:val="105"/>
        </w:rPr>
        <w:t> </w:t>
      </w:r>
      <w:r>
        <w:rPr>
          <w:color w:val="231F20"/>
          <w:w w:val="105"/>
        </w:rPr>
        <w:t>de</w:t>
      </w:r>
      <w:r>
        <w:rPr>
          <w:color w:val="231F20"/>
          <w:spacing w:val="-14"/>
          <w:w w:val="105"/>
        </w:rPr>
        <w:t> </w:t>
      </w:r>
      <w:r>
        <w:rPr>
          <w:color w:val="231F20"/>
          <w:w w:val="105"/>
        </w:rPr>
        <w:t>493</w:t>
      </w:r>
      <w:r>
        <w:rPr>
          <w:color w:val="231F20"/>
          <w:spacing w:val="-14"/>
          <w:w w:val="105"/>
        </w:rPr>
        <w:t> </w:t>
      </w:r>
      <w:r>
        <w:rPr>
          <w:color w:val="231F20"/>
          <w:w w:val="105"/>
        </w:rPr>
        <w:t>a</w:t>
      </w:r>
      <w:r>
        <w:rPr>
          <w:color w:val="231F20"/>
          <w:spacing w:val="-14"/>
          <w:w w:val="105"/>
        </w:rPr>
        <w:t> </w:t>
      </w:r>
      <w:r>
        <w:rPr>
          <w:color w:val="231F20"/>
          <w:w w:val="105"/>
        </w:rPr>
        <w:t>354.</w:t>
      </w:r>
      <w:r>
        <w:rPr>
          <w:color w:val="231F20"/>
          <w:spacing w:val="-14"/>
          <w:w w:val="105"/>
        </w:rPr>
        <w:t> </w:t>
      </w:r>
      <w:r>
        <w:rPr>
          <w:color w:val="231F20"/>
          <w:spacing w:val="-3"/>
          <w:w w:val="105"/>
        </w:rPr>
        <w:t>Un</w:t>
      </w:r>
      <w:r>
        <w:rPr>
          <w:color w:val="231F20"/>
          <w:spacing w:val="-14"/>
          <w:w w:val="105"/>
        </w:rPr>
        <w:t> </w:t>
      </w:r>
      <w:r>
        <w:rPr>
          <w:color w:val="231F20"/>
          <w:w w:val="105"/>
        </w:rPr>
        <w:t>delito</w:t>
      </w:r>
      <w:r>
        <w:rPr>
          <w:color w:val="231F20"/>
          <w:spacing w:val="-14"/>
          <w:w w:val="105"/>
        </w:rPr>
        <w:t> </w:t>
      </w:r>
      <w:r>
        <w:rPr>
          <w:color w:val="231F20"/>
          <w:w w:val="105"/>
        </w:rPr>
        <w:t>cuya</w:t>
      </w:r>
      <w:r>
        <w:rPr>
          <w:color w:val="231F20"/>
          <w:spacing w:val="-14"/>
          <w:w w:val="105"/>
        </w:rPr>
        <w:t> </w:t>
      </w:r>
      <w:r>
        <w:rPr>
          <w:color w:val="231F20"/>
          <w:w w:val="105"/>
        </w:rPr>
        <w:t>incidencia</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incrementado</w:t>
      </w:r>
      <w:r>
        <w:rPr>
          <w:color w:val="231F20"/>
          <w:spacing w:val="-14"/>
          <w:w w:val="105"/>
        </w:rPr>
        <w:t> </w:t>
      </w:r>
      <w:r>
        <w:rPr>
          <w:color w:val="231F20"/>
          <w:w w:val="105"/>
        </w:rPr>
        <w:t>en</w:t>
      </w:r>
      <w:r>
        <w:rPr>
          <w:color w:val="231F20"/>
          <w:spacing w:val="-14"/>
          <w:w w:val="105"/>
        </w:rPr>
        <w:t> </w:t>
      </w:r>
      <w:r>
        <w:rPr>
          <w:color w:val="231F20"/>
          <w:w w:val="105"/>
        </w:rPr>
        <w:t>el periodo</w:t>
      </w:r>
      <w:r>
        <w:rPr>
          <w:color w:val="231F20"/>
          <w:spacing w:val="-25"/>
          <w:w w:val="105"/>
        </w:rPr>
        <w:t> </w:t>
      </w:r>
      <w:r>
        <w:rPr>
          <w:color w:val="231F20"/>
          <w:w w:val="105"/>
        </w:rPr>
        <w:t>señalado</w:t>
      </w:r>
      <w:r>
        <w:rPr>
          <w:color w:val="231F20"/>
          <w:spacing w:val="-25"/>
          <w:w w:val="105"/>
        </w:rPr>
        <w:t> </w:t>
      </w:r>
      <w:r>
        <w:rPr>
          <w:color w:val="231F20"/>
          <w:w w:val="105"/>
        </w:rPr>
        <w:t>es</w:t>
      </w:r>
      <w:r>
        <w:rPr>
          <w:color w:val="231F20"/>
          <w:spacing w:val="-25"/>
          <w:w w:val="105"/>
        </w:rPr>
        <w:t> </w:t>
      </w:r>
      <w:r>
        <w:rPr>
          <w:color w:val="231F20"/>
          <w:w w:val="105"/>
        </w:rPr>
        <w:t>el</w:t>
      </w:r>
      <w:r>
        <w:rPr>
          <w:color w:val="231F20"/>
          <w:spacing w:val="-25"/>
          <w:w w:val="105"/>
        </w:rPr>
        <w:t> </w:t>
      </w:r>
      <w:r>
        <w:rPr>
          <w:color w:val="231F20"/>
          <w:w w:val="105"/>
        </w:rPr>
        <w:t>de</w:t>
      </w:r>
      <w:r>
        <w:rPr>
          <w:color w:val="231F20"/>
          <w:spacing w:val="-25"/>
          <w:w w:val="105"/>
        </w:rPr>
        <w:t> </w:t>
      </w:r>
      <w:r>
        <w:rPr>
          <w:color w:val="231F20"/>
          <w:w w:val="105"/>
        </w:rPr>
        <w:t>lesiones,</w:t>
      </w:r>
      <w:r>
        <w:rPr>
          <w:color w:val="231F20"/>
          <w:spacing w:val="-25"/>
          <w:w w:val="105"/>
        </w:rPr>
        <w:t> </w:t>
      </w:r>
      <w:r>
        <w:rPr>
          <w:color w:val="231F20"/>
          <w:w w:val="105"/>
        </w:rPr>
        <w:t>variando</w:t>
      </w:r>
      <w:r>
        <w:rPr>
          <w:color w:val="231F20"/>
          <w:spacing w:val="-25"/>
          <w:w w:val="105"/>
        </w:rPr>
        <w:t> </w:t>
      </w:r>
      <w:r>
        <w:rPr>
          <w:color w:val="231F20"/>
          <w:w w:val="105"/>
        </w:rPr>
        <w:t>de</w:t>
      </w:r>
      <w:r>
        <w:rPr>
          <w:color w:val="231F20"/>
          <w:spacing w:val="-25"/>
          <w:w w:val="105"/>
        </w:rPr>
        <w:t> </w:t>
      </w:r>
      <w:r>
        <w:rPr>
          <w:color w:val="231F20"/>
          <w:w w:val="105"/>
        </w:rPr>
        <w:t>3,579</w:t>
      </w:r>
      <w:r>
        <w:rPr>
          <w:color w:val="231F20"/>
          <w:spacing w:val="-25"/>
          <w:w w:val="105"/>
        </w:rPr>
        <w:t> </w:t>
      </w:r>
      <w:r>
        <w:rPr>
          <w:color w:val="231F20"/>
          <w:w w:val="105"/>
        </w:rPr>
        <w:t>a</w:t>
      </w:r>
      <w:r>
        <w:rPr>
          <w:color w:val="231F20"/>
          <w:spacing w:val="-25"/>
          <w:w w:val="105"/>
        </w:rPr>
        <w:t> </w:t>
      </w:r>
      <w:r>
        <w:rPr>
          <w:color w:val="231F20"/>
          <w:w w:val="105"/>
        </w:rPr>
        <w:t>3,772.</w:t>
      </w:r>
      <w:r>
        <w:rPr>
          <w:color w:val="231F20"/>
          <w:spacing w:val="-25"/>
          <w:w w:val="105"/>
        </w:rPr>
        <w:t> </w:t>
      </w:r>
      <w:r>
        <w:rPr>
          <w:color w:val="231F20"/>
          <w:w w:val="105"/>
        </w:rPr>
        <w:t>(Bautista</w:t>
      </w:r>
      <w:r>
        <w:rPr>
          <w:color w:val="231F20"/>
          <w:spacing w:val="-25"/>
          <w:w w:val="105"/>
        </w:rPr>
        <w:t> </w:t>
      </w:r>
      <w:r>
        <w:rPr>
          <w:color w:val="231F20"/>
          <w:w w:val="105"/>
        </w:rPr>
        <w:t>López,</w:t>
      </w:r>
      <w:r>
        <w:rPr>
          <w:color w:val="231F20"/>
          <w:spacing w:val="-25"/>
          <w:w w:val="105"/>
        </w:rPr>
        <w:t> </w:t>
      </w:r>
      <w:r>
        <w:rPr>
          <w:color w:val="231F20"/>
          <w:spacing w:val="-3"/>
          <w:w w:val="105"/>
        </w:rPr>
        <w:t>2007:59).</w:t>
      </w:r>
    </w:p>
    <w:p>
      <w:pPr>
        <w:pStyle w:val="BodyText"/>
        <w:spacing w:before="1"/>
        <w:rPr>
          <w:sz w:val="26"/>
        </w:rPr>
      </w:pPr>
    </w:p>
    <w:p>
      <w:pPr>
        <w:pStyle w:val="BodyText"/>
        <w:spacing w:line="285" w:lineRule="auto"/>
        <w:ind w:left="110" w:right="107"/>
        <w:jc w:val="both"/>
      </w:pPr>
      <w:r>
        <w:rPr>
          <w:color w:val="231F20"/>
          <w:w w:val="105"/>
        </w:rPr>
        <w:t>Resulta</w:t>
      </w:r>
      <w:r>
        <w:rPr>
          <w:color w:val="231F20"/>
          <w:spacing w:val="-19"/>
          <w:w w:val="105"/>
        </w:rPr>
        <w:t> </w:t>
      </w:r>
      <w:r>
        <w:rPr>
          <w:color w:val="231F20"/>
          <w:spacing w:val="-3"/>
          <w:w w:val="105"/>
        </w:rPr>
        <w:t>insoslayable</w:t>
      </w:r>
      <w:r>
        <w:rPr>
          <w:color w:val="231F20"/>
          <w:spacing w:val="-19"/>
          <w:w w:val="105"/>
        </w:rPr>
        <w:t> </w:t>
      </w:r>
      <w:r>
        <w:rPr>
          <w:color w:val="231F20"/>
          <w:spacing w:val="-3"/>
          <w:w w:val="105"/>
        </w:rPr>
        <w:t>que</w:t>
      </w:r>
      <w:r>
        <w:rPr>
          <w:color w:val="231F20"/>
          <w:spacing w:val="-19"/>
          <w:w w:val="105"/>
        </w:rPr>
        <w:t> </w:t>
      </w:r>
      <w:r>
        <w:rPr>
          <w:color w:val="231F20"/>
          <w:w w:val="105"/>
        </w:rPr>
        <w:t>estos</w:t>
      </w:r>
      <w:r>
        <w:rPr>
          <w:color w:val="231F20"/>
          <w:spacing w:val="-19"/>
          <w:w w:val="105"/>
        </w:rPr>
        <w:t> </w:t>
      </w:r>
      <w:r>
        <w:rPr>
          <w:color w:val="231F20"/>
          <w:spacing w:val="-3"/>
          <w:w w:val="105"/>
        </w:rPr>
        <w:t>logros</w:t>
      </w:r>
      <w:r>
        <w:rPr>
          <w:color w:val="231F20"/>
          <w:spacing w:val="-19"/>
          <w:w w:val="105"/>
        </w:rPr>
        <w:t> </w:t>
      </w:r>
      <w:r>
        <w:rPr>
          <w:color w:val="231F20"/>
          <w:w w:val="105"/>
        </w:rPr>
        <w:t>y</w:t>
      </w:r>
      <w:r>
        <w:rPr>
          <w:color w:val="231F20"/>
          <w:spacing w:val="-19"/>
          <w:w w:val="105"/>
        </w:rPr>
        <w:t> </w:t>
      </w:r>
      <w:r>
        <w:rPr>
          <w:color w:val="231F20"/>
          <w:spacing w:val="-3"/>
          <w:w w:val="105"/>
        </w:rPr>
        <w:t>avances</w:t>
      </w:r>
      <w:r>
        <w:rPr>
          <w:color w:val="231F20"/>
          <w:spacing w:val="-19"/>
          <w:w w:val="105"/>
        </w:rPr>
        <w:t> </w:t>
      </w:r>
      <w:r>
        <w:rPr>
          <w:color w:val="231F20"/>
          <w:w w:val="105"/>
        </w:rPr>
        <w:t>poco</w:t>
      </w:r>
      <w:r>
        <w:rPr>
          <w:color w:val="231F20"/>
          <w:spacing w:val="-19"/>
          <w:w w:val="105"/>
        </w:rPr>
        <w:t> </w:t>
      </w:r>
      <w:r>
        <w:rPr>
          <w:color w:val="231F20"/>
          <w:w w:val="105"/>
        </w:rPr>
        <w:t>han</w:t>
      </w:r>
      <w:r>
        <w:rPr>
          <w:color w:val="231F20"/>
          <w:spacing w:val="-19"/>
          <w:w w:val="105"/>
        </w:rPr>
        <w:t> </w:t>
      </w:r>
      <w:r>
        <w:rPr>
          <w:color w:val="231F20"/>
          <w:w w:val="105"/>
        </w:rPr>
        <w:t>influido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spacing w:val="-4"/>
          <w:w w:val="105"/>
        </w:rPr>
        <w:t>percepción</w:t>
      </w:r>
      <w:r>
        <w:rPr>
          <w:color w:val="231F20"/>
          <w:spacing w:val="-19"/>
          <w:w w:val="105"/>
        </w:rPr>
        <w:t> </w:t>
      </w:r>
      <w:r>
        <w:rPr>
          <w:color w:val="231F20"/>
          <w:spacing w:val="-4"/>
          <w:w w:val="105"/>
        </w:rPr>
        <w:t>ciuda- </w:t>
      </w:r>
      <w:r>
        <w:rPr>
          <w:color w:val="231F20"/>
          <w:w w:val="105"/>
        </w:rPr>
        <w:t>dana. </w:t>
      </w:r>
      <w:r>
        <w:rPr>
          <w:color w:val="231F20"/>
          <w:spacing w:val="-3"/>
          <w:w w:val="105"/>
        </w:rPr>
        <w:t>Aunado </w:t>
      </w:r>
      <w:r>
        <w:rPr>
          <w:color w:val="231F20"/>
          <w:w w:val="105"/>
        </w:rPr>
        <w:t>a ello </w:t>
      </w:r>
      <w:r>
        <w:rPr>
          <w:color w:val="231F20"/>
          <w:spacing w:val="-3"/>
          <w:w w:val="105"/>
        </w:rPr>
        <w:t>no podemos </w:t>
      </w:r>
      <w:r>
        <w:rPr>
          <w:color w:val="231F20"/>
          <w:spacing w:val="-4"/>
          <w:w w:val="105"/>
        </w:rPr>
        <w:t>perder </w:t>
      </w:r>
      <w:r>
        <w:rPr>
          <w:color w:val="231F20"/>
          <w:w w:val="105"/>
        </w:rPr>
        <w:t>de vista </w:t>
      </w:r>
      <w:r>
        <w:rPr>
          <w:color w:val="231F20"/>
          <w:spacing w:val="-3"/>
          <w:w w:val="105"/>
        </w:rPr>
        <w:t>que </w:t>
      </w:r>
      <w:r>
        <w:rPr>
          <w:color w:val="231F20"/>
          <w:w w:val="105"/>
        </w:rPr>
        <w:t>uno de </w:t>
      </w:r>
      <w:r>
        <w:rPr>
          <w:color w:val="231F20"/>
          <w:spacing w:val="-3"/>
          <w:w w:val="105"/>
        </w:rPr>
        <w:t>los </w:t>
      </w:r>
      <w:r>
        <w:rPr>
          <w:color w:val="231F20"/>
          <w:spacing w:val="-4"/>
          <w:w w:val="105"/>
        </w:rPr>
        <w:t>problemas </w:t>
      </w:r>
      <w:r>
        <w:rPr>
          <w:color w:val="231F20"/>
          <w:w w:val="105"/>
        </w:rPr>
        <w:t>de</w:t>
      </w:r>
      <w:r>
        <w:rPr>
          <w:color w:val="231F20"/>
          <w:spacing w:val="-38"/>
          <w:w w:val="105"/>
        </w:rPr>
        <w:t> </w:t>
      </w:r>
      <w:r>
        <w:rPr>
          <w:color w:val="231F20"/>
          <w:spacing w:val="-5"/>
          <w:w w:val="105"/>
        </w:rPr>
        <w:t>fondo </w:t>
      </w:r>
      <w:r>
        <w:rPr>
          <w:color w:val="231F20"/>
          <w:spacing w:val="-3"/>
          <w:w w:val="105"/>
        </w:rPr>
        <w:t>que </w:t>
      </w:r>
      <w:r>
        <w:rPr>
          <w:color w:val="231F20"/>
          <w:w w:val="105"/>
        </w:rPr>
        <w:t>traen</w:t>
      </w:r>
      <w:r>
        <w:rPr>
          <w:color w:val="231F20"/>
          <w:spacing w:val="-23"/>
          <w:w w:val="105"/>
        </w:rPr>
        <w:t> </w:t>
      </w:r>
      <w:r>
        <w:rPr>
          <w:color w:val="231F20"/>
          <w:spacing w:val="-3"/>
          <w:w w:val="105"/>
        </w:rPr>
        <w:t>consigo</w:t>
      </w:r>
      <w:r>
        <w:rPr>
          <w:color w:val="231F20"/>
          <w:spacing w:val="-23"/>
          <w:w w:val="105"/>
        </w:rPr>
        <w:t> </w:t>
      </w:r>
      <w:r>
        <w:rPr>
          <w:color w:val="231F20"/>
          <w:w w:val="105"/>
        </w:rPr>
        <w:t>el</w:t>
      </w:r>
      <w:r>
        <w:rPr>
          <w:color w:val="231F20"/>
          <w:spacing w:val="-23"/>
          <w:w w:val="105"/>
        </w:rPr>
        <w:t> </w:t>
      </w:r>
      <w:r>
        <w:rPr>
          <w:color w:val="231F20"/>
          <w:spacing w:val="-4"/>
          <w:w w:val="105"/>
        </w:rPr>
        <w:t>problema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delincuencia</w:t>
      </w:r>
      <w:r>
        <w:rPr>
          <w:color w:val="231F20"/>
          <w:spacing w:val="-23"/>
          <w:w w:val="105"/>
        </w:rPr>
        <w:t> </w:t>
      </w:r>
      <w:r>
        <w:rPr>
          <w:color w:val="231F20"/>
          <w:w w:val="105"/>
        </w:rPr>
        <w:t>es</w:t>
      </w:r>
      <w:r>
        <w:rPr>
          <w:color w:val="231F20"/>
          <w:spacing w:val="-23"/>
          <w:w w:val="105"/>
        </w:rPr>
        <w:t> </w:t>
      </w:r>
      <w:r>
        <w:rPr>
          <w:color w:val="231F20"/>
          <w:w w:val="105"/>
        </w:rPr>
        <w:t>el</w:t>
      </w:r>
      <w:r>
        <w:rPr>
          <w:color w:val="231F20"/>
          <w:spacing w:val="-23"/>
          <w:w w:val="105"/>
        </w:rPr>
        <w:t> </w:t>
      </w:r>
      <w:r>
        <w:rPr>
          <w:color w:val="231F20"/>
          <w:spacing w:val="-4"/>
          <w:w w:val="105"/>
        </w:rPr>
        <w:t>relativo</w:t>
      </w:r>
      <w:r>
        <w:rPr>
          <w:color w:val="231F20"/>
          <w:spacing w:val="-23"/>
          <w:w w:val="105"/>
        </w:rPr>
        <w:t> </w:t>
      </w:r>
      <w:r>
        <w:rPr>
          <w:color w:val="231F20"/>
          <w:w w:val="105"/>
        </w:rPr>
        <w:t>al</w:t>
      </w:r>
      <w:r>
        <w:rPr>
          <w:color w:val="231F20"/>
          <w:spacing w:val="-23"/>
          <w:w w:val="105"/>
        </w:rPr>
        <w:t> </w:t>
      </w:r>
      <w:r>
        <w:rPr>
          <w:color w:val="231F20"/>
          <w:spacing w:val="-3"/>
          <w:w w:val="105"/>
        </w:rPr>
        <w:t>bajo</w:t>
      </w:r>
      <w:r>
        <w:rPr>
          <w:color w:val="231F20"/>
          <w:spacing w:val="-23"/>
          <w:w w:val="105"/>
        </w:rPr>
        <w:t> </w:t>
      </w:r>
      <w:r>
        <w:rPr>
          <w:color w:val="231F20"/>
          <w:w w:val="105"/>
        </w:rPr>
        <w:t>desarrollo</w:t>
      </w:r>
      <w:r>
        <w:rPr>
          <w:color w:val="231F20"/>
          <w:spacing w:val="-23"/>
          <w:w w:val="105"/>
        </w:rPr>
        <w:t> </w:t>
      </w:r>
      <w:r>
        <w:rPr>
          <w:color w:val="231F20"/>
          <w:w w:val="105"/>
        </w:rPr>
        <w:t>social,</w:t>
      </w:r>
      <w:r>
        <w:rPr>
          <w:color w:val="231F20"/>
          <w:spacing w:val="-23"/>
          <w:w w:val="105"/>
        </w:rPr>
        <w:t> </w:t>
      </w:r>
      <w:r>
        <w:rPr>
          <w:color w:val="231F20"/>
          <w:spacing w:val="-3"/>
          <w:w w:val="105"/>
        </w:rPr>
        <w:t>que</w:t>
      </w:r>
      <w:r>
        <w:rPr>
          <w:color w:val="231F20"/>
          <w:spacing w:val="-23"/>
          <w:w w:val="105"/>
        </w:rPr>
        <w:t> </w:t>
      </w:r>
      <w:r>
        <w:rPr>
          <w:color w:val="231F20"/>
          <w:w w:val="105"/>
        </w:rPr>
        <w:t>di- fícilmente</w:t>
      </w:r>
      <w:r>
        <w:rPr>
          <w:color w:val="231F20"/>
          <w:spacing w:val="-27"/>
          <w:w w:val="105"/>
        </w:rPr>
        <w:t> </w:t>
      </w:r>
      <w:r>
        <w:rPr>
          <w:color w:val="231F20"/>
          <w:spacing w:val="-3"/>
          <w:w w:val="105"/>
        </w:rPr>
        <w:t>mejorará</w:t>
      </w:r>
      <w:r>
        <w:rPr>
          <w:color w:val="231F20"/>
          <w:spacing w:val="-27"/>
          <w:w w:val="105"/>
        </w:rPr>
        <w:t> </w:t>
      </w:r>
      <w:r>
        <w:rPr>
          <w:color w:val="231F20"/>
          <w:spacing w:val="-3"/>
          <w:w w:val="105"/>
        </w:rPr>
        <w:t>con</w:t>
      </w:r>
      <w:r>
        <w:rPr>
          <w:color w:val="231F20"/>
          <w:spacing w:val="-27"/>
          <w:w w:val="105"/>
        </w:rPr>
        <w:t> </w:t>
      </w:r>
      <w:r>
        <w:rPr>
          <w:color w:val="231F20"/>
          <w:w w:val="105"/>
        </w:rPr>
        <w:t>políticas</w:t>
      </w:r>
      <w:r>
        <w:rPr>
          <w:color w:val="231F20"/>
          <w:spacing w:val="-27"/>
          <w:w w:val="105"/>
        </w:rPr>
        <w:t> </w:t>
      </w:r>
      <w:r>
        <w:rPr>
          <w:color w:val="231F20"/>
          <w:w w:val="105"/>
        </w:rPr>
        <w:t>sociales</w:t>
      </w:r>
      <w:r>
        <w:rPr>
          <w:color w:val="231F20"/>
          <w:spacing w:val="-27"/>
          <w:w w:val="105"/>
        </w:rPr>
        <w:t> </w:t>
      </w:r>
      <w:r>
        <w:rPr>
          <w:color w:val="231F20"/>
          <w:w w:val="105"/>
        </w:rPr>
        <w:t>de</w:t>
      </w:r>
      <w:r>
        <w:rPr>
          <w:color w:val="231F20"/>
          <w:spacing w:val="-27"/>
          <w:w w:val="105"/>
        </w:rPr>
        <w:t> </w:t>
      </w:r>
      <w:r>
        <w:rPr>
          <w:color w:val="231F20"/>
          <w:w w:val="105"/>
        </w:rPr>
        <w:t>poco</w:t>
      </w:r>
      <w:r>
        <w:rPr>
          <w:color w:val="231F20"/>
          <w:spacing w:val="-27"/>
          <w:w w:val="105"/>
        </w:rPr>
        <w:t> </w:t>
      </w:r>
      <w:r>
        <w:rPr>
          <w:color w:val="231F20"/>
          <w:spacing w:val="-3"/>
          <w:w w:val="105"/>
        </w:rPr>
        <w:t>impacto</w:t>
      </w:r>
      <w:r>
        <w:rPr>
          <w:color w:val="231F20"/>
          <w:spacing w:val="-27"/>
          <w:w w:val="105"/>
        </w:rPr>
        <w:t> </w:t>
      </w:r>
      <w:r>
        <w:rPr>
          <w:color w:val="231F20"/>
          <w:w w:val="105"/>
        </w:rPr>
        <w:t>estructural.</w:t>
      </w:r>
      <w:r>
        <w:rPr>
          <w:color w:val="231F20"/>
          <w:spacing w:val="-27"/>
          <w:w w:val="105"/>
        </w:rPr>
        <w:t> </w:t>
      </w:r>
      <w:r>
        <w:rPr>
          <w:color w:val="231F20"/>
          <w:w w:val="105"/>
        </w:rPr>
        <w:t>De</w:t>
      </w:r>
      <w:r>
        <w:rPr>
          <w:color w:val="231F20"/>
          <w:spacing w:val="-27"/>
          <w:w w:val="105"/>
        </w:rPr>
        <w:t> </w:t>
      </w:r>
      <w:r>
        <w:rPr>
          <w:color w:val="231F20"/>
          <w:w w:val="105"/>
        </w:rPr>
        <w:t>ahí,</w:t>
      </w:r>
      <w:r>
        <w:rPr>
          <w:color w:val="231F20"/>
          <w:spacing w:val="-27"/>
          <w:w w:val="105"/>
        </w:rPr>
        <w:t> </w:t>
      </w:r>
      <w:r>
        <w:rPr>
          <w:color w:val="231F20"/>
          <w:spacing w:val="-3"/>
          <w:w w:val="105"/>
        </w:rPr>
        <w:t>que</w:t>
      </w:r>
      <w:r>
        <w:rPr>
          <w:color w:val="231F20"/>
          <w:spacing w:val="-27"/>
          <w:w w:val="105"/>
        </w:rPr>
        <w:t> </w:t>
      </w:r>
      <w:r>
        <w:rPr>
          <w:color w:val="231F20"/>
          <w:w w:val="105"/>
        </w:rPr>
        <w:t>el</w:t>
      </w:r>
      <w:r>
        <w:rPr>
          <w:color w:val="231F20"/>
          <w:spacing w:val="-27"/>
          <w:w w:val="105"/>
        </w:rPr>
        <w:t> </w:t>
      </w:r>
      <w:r>
        <w:rPr>
          <w:color w:val="231F20"/>
          <w:w w:val="105"/>
        </w:rPr>
        <w:t>gran </w:t>
      </w:r>
      <w:r>
        <w:rPr>
          <w:color w:val="231F20"/>
          <w:spacing w:val="-3"/>
          <w:w w:val="105"/>
        </w:rPr>
        <w:t>reto</w:t>
      </w:r>
      <w:r>
        <w:rPr>
          <w:color w:val="231F20"/>
          <w:spacing w:val="-17"/>
          <w:w w:val="105"/>
        </w:rPr>
        <w:t> </w:t>
      </w:r>
      <w:r>
        <w:rPr>
          <w:color w:val="231F20"/>
          <w:w w:val="105"/>
        </w:rPr>
        <w:t>de</w:t>
      </w:r>
      <w:r>
        <w:rPr>
          <w:color w:val="231F20"/>
          <w:spacing w:val="-17"/>
          <w:w w:val="105"/>
        </w:rPr>
        <w:t> </w:t>
      </w:r>
      <w:r>
        <w:rPr>
          <w:color w:val="231F20"/>
          <w:spacing w:val="-3"/>
          <w:w w:val="105"/>
        </w:rPr>
        <w:t>los</w:t>
      </w:r>
      <w:r>
        <w:rPr>
          <w:color w:val="231F20"/>
          <w:spacing w:val="-17"/>
          <w:w w:val="105"/>
        </w:rPr>
        <w:t> </w:t>
      </w:r>
      <w:r>
        <w:rPr>
          <w:color w:val="231F20"/>
          <w:spacing w:val="-4"/>
          <w:w w:val="105"/>
        </w:rPr>
        <w:t>gobiernos</w:t>
      </w:r>
      <w:r>
        <w:rPr>
          <w:color w:val="231F20"/>
          <w:spacing w:val="-17"/>
          <w:w w:val="105"/>
        </w:rPr>
        <w:t> </w:t>
      </w:r>
      <w:r>
        <w:rPr>
          <w:color w:val="231F20"/>
          <w:w w:val="105"/>
        </w:rPr>
        <w:t>en</w:t>
      </w:r>
      <w:r>
        <w:rPr>
          <w:color w:val="231F20"/>
          <w:spacing w:val="-17"/>
          <w:w w:val="105"/>
        </w:rPr>
        <w:t> </w:t>
      </w:r>
      <w:r>
        <w:rPr>
          <w:color w:val="231F20"/>
          <w:spacing w:val="-3"/>
          <w:w w:val="105"/>
        </w:rPr>
        <w:t>Nezahualcóyotl</w:t>
      </w:r>
      <w:r>
        <w:rPr>
          <w:color w:val="231F20"/>
          <w:spacing w:val="-17"/>
          <w:w w:val="105"/>
        </w:rPr>
        <w:t> </w:t>
      </w:r>
      <w:r>
        <w:rPr>
          <w:color w:val="231F20"/>
          <w:w w:val="105"/>
        </w:rPr>
        <w:t>será</w:t>
      </w:r>
      <w:r>
        <w:rPr>
          <w:color w:val="231F20"/>
          <w:spacing w:val="-17"/>
          <w:w w:val="105"/>
        </w:rPr>
        <w:t> </w:t>
      </w:r>
      <w:r>
        <w:rPr>
          <w:color w:val="231F20"/>
          <w:w w:val="105"/>
        </w:rPr>
        <w:t>impulsar</w:t>
      </w:r>
      <w:r>
        <w:rPr>
          <w:color w:val="231F20"/>
          <w:spacing w:val="-17"/>
          <w:w w:val="105"/>
        </w:rPr>
        <w:t> </w:t>
      </w:r>
      <w:r>
        <w:rPr>
          <w:color w:val="231F20"/>
          <w:w w:val="105"/>
        </w:rPr>
        <w:t>un</w:t>
      </w:r>
      <w:r>
        <w:rPr>
          <w:color w:val="231F20"/>
          <w:spacing w:val="-17"/>
          <w:w w:val="105"/>
        </w:rPr>
        <w:t> </w:t>
      </w:r>
      <w:r>
        <w:rPr>
          <w:color w:val="231F20"/>
          <w:spacing w:val="-4"/>
          <w:w w:val="105"/>
        </w:rPr>
        <w:t>verdadero</w:t>
      </w:r>
      <w:r>
        <w:rPr>
          <w:color w:val="231F20"/>
          <w:spacing w:val="-17"/>
          <w:w w:val="105"/>
        </w:rPr>
        <w:t> </w:t>
      </w:r>
      <w:r>
        <w:rPr>
          <w:color w:val="231F20"/>
          <w:w w:val="105"/>
        </w:rPr>
        <w:t>desarrollo</w:t>
      </w:r>
      <w:r>
        <w:rPr>
          <w:color w:val="231F20"/>
          <w:spacing w:val="-17"/>
          <w:w w:val="105"/>
        </w:rPr>
        <w:t> </w:t>
      </w:r>
      <w:r>
        <w:rPr>
          <w:color w:val="231F20"/>
          <w:w w:val="105"/>
        </w:rPr>
        <w:t>social</w:t>
      </w:r>
      <w:r>
        <w:rPr>
          <w:color w:val="231F20"/>
          <w:spacing w:val="-17"/>
          <w:w w:val="105"/>
        </w:rPr>
        <w:t> </w:t>
      </w:r>
      <w:r>
        <w:rPr>
          <w:color w:val="231F20"/>
          <w:spacing w:val="-3"/>
          <w:w w:val="105"/>
        </w:rPr>
        <w:t>con proyectos</w:t>
      </w:r>
      <w:r>
        <w:rPr>
          <w:color w:val="231F20"/>
          <w:spacing w:val="-7"/>
          <w:w w:val="105"/>
        </w:rPr>
        <w:t> </w:t>
      </w:r>
      <w:r>
        <w:rPr>
          <w:color w:val="231F20"/>
          <w:spacing w:val="-3"/>
          <w:w w:val="105"/>
        </w:rPr>
        <w:t>económicos</w:t>
      </w:r>
      <w:r>
        <w:rPr>
          <w:color w:val="231F20"/>
          <w:spacing w:val="-7"/>
          <w:w w:val="105"/>
        </w:rPr>
        <w:t> </w:t>
      </w:r>
      <w:r>
        <w:rPr>
          <w:color w:val="231F20"/>
          <w:spacing w:val="-3"/>
          <w:w w:val="105"/>
        </w:rPr>
        <w:t>que</w:t>
      </w:r>
      <w:r>
        <w:rPr>
          <w:color w:val="231F20"/>
          <w:spacing w:val="-7"/>
          <w:w w:val="105"/>
        </w:rPr>
        <w:t> </w:t>
      </w:r>
      <w:r>
        <w:rPr>
          <w:color w:val="231F20"/>
          <w:w w:val="105"/>
        </w:rPr>
        <w:t>trasciendan</w:t>
      </w:r>
      <w:r>
        <w:rPr>
          <w:color w:val="231F20"/>
          <w:spacing w:val="-7"/>
          <w:w w:val="105"/>
        </w:rPr>
        <w:t> </w:t>
      </w:r>
      <w:r>
        <w:rPr>
          <w:color w:val="231F20"/>
          <w:w w:val="105"/>
        </w:rPr>
        <w:t>la</w:t>
      </w:r>
      <w:r>
        <w:rPr>
          <w:color w:val="231F20"/>
          <w:spacing w:val="-7"/>
          <w:w w:val="105"/>
        </w:rPr>
        <w:t> </w:t>
      </w:r>
      <w:r>
        <w:rPr>
          <w:color w:val="231F20"/>
          <w:w w:val="105"/>
        </w:rPr>
        <w:t>inmediatez</w:t>
      </w:r>
      <w:r>
        <w:rPr>
          <w:color w:val="231F20"/>
          <w:spacing w:val="-7"/>
          <w:w w:val="105"/>
        </w:rPr>
        <w:t> </w:t>
      </w:r>
      <w:r>
        <w:rPr>
          <w:color w:val="231F20"/>
          <w:w w:val="105"/>
        </w:rPr>
        <w:t>de</w:t>
      </w:r>
      <w:r>
        <w:rPr>
          <w:color w:val="231F20"/>
          <w:spacing w:val="-7"/>
          <w:w w:val="105"/>
        </w:rPr>
        <w:t> </w:t>
      </w:r>
      <w:r>
        <w:rPr>
          <w:color w:val="231F20"/>
          <w:spacing w:val="-3"/>
          <w:w w:val="105"/>
        </w:rPr>
        <w:t>resultados</w:t>
      </w:r>
      <w:r>
        <w:rPr>
          <w:color w:val="231F20"/>
          <w:spacing w:val="-7"/>
          <w:w w:val="105"/>
        </w:rPr>
        <w:t> </w:t>
      </w:r>
      <w:r>
        <w:rPr>
          <w:color w:val="231F20"/>
          <w:spacing w:val="-3"/>
          <w:w w:val="105"/>
        </w:rPr>
        <w:t>con</w:t>
      </w:r>
      <w:r>
        <w:rPr>
          <w:color w:val="231F20"/>
          <w:spacing w:val="-7"/>
          <w:w w:val="105"/>
        </w:rPr>
        <w:t> </w:t>
      </w:r>
      <w:r>
        <w:rPr>
          <w:color w:val="231F20"/>
          <w:w w:val="105"/>
        </w:rPr>
        <w:t>tintes</w:t>
      </w:r>
      <w:r>
        <w:rPr>
          <w:color w:val="231F20"/>
          <w:spacing w:val="-7"/>
          <w:w w:val="105"/>
        </w:rPr>
        <w:t> </w:t>
      </w:r>
      <w:r>
        <w:rPr>
          <w:color w:val="231F20"/>
          <w:w w:val="105"/>
        </w:rPr>
        <w:t>partidistas y</w:t>
      </w:r>
      <w:r>
        <w:rPr>
          <w:color w:val="231F20"/>
          <w:spacing w:val="-10"/>
          <w:w w:val="105"/>
        </w:rPr>
        <w:t> </w:t>
      </w:r>
      <w:r>
        <w:rPr>
          <w:color w:val="231F20"/>
          <w:w w:val="105"/>
        </w:rPr>
        <w:t>se</w:t>
      </w:r>
      <w:r>
        <w:rPr>
          <w:color w:val="231F20"/>
          <w:spacing w:val="-10"/>
          <w:w w:val="105"/>
        </w:rPr>
        <w:t> </w:t>
      </w:r>
      <w:r>
        <w:rPr>
          <w:color w:val="231F20"/>
          <w:spacing w:val="-4"/>
          <w:w w:val="105"/>
        </w:rPr>
        <w:t>sienten</w:t>
      </w:r>
      <w:r>
        <w:rPr>
          <w:color w:val="231F20"/>
          <w:spacing w:val="-10"/>
          <w:w w:val="105"/>
        </w:rPr>
        <w:t> </w:t>
      </w:r>
      <w:r>
        <w:rPr>
          <w:color w:val="231F20"/>
          <w:w w:val="105"/>
        </w:rPr>
        <w:t>la</w:t>
      </w:r>
      <w:r>
        <w:rPr>
          <w:color w:val="231F20"/>
          <w:spacing w:val="-10"/>
          <w:w w:val="105"/>
        </w:rPr>
        <w:t> </w:t>
      </w:r>
      <w:r>
        <w:rPr>
          <w:color w:val="231F20"/>
          <w:w w:val="105"/>
        </w:rPr>
        <w:t>bases</w:t>
      </w:r>
      <w:r>
        <w:rPr>
          <w:color w:val="231F20"/>
          <w:spacing w:val="-10"/>
          <w:w w:val="105"/>
        </w:rPr>
        <w:t> </w:t>
      </w:r>
      <w:r>
        <w:rPr>
          <w:color w:val="231F20"/>
          <w:w w:val="105"/>
        </w:rPr>
        <w:t>para</w:t>
      </w:r>
      <w:r>
        <w:rPr>
          <w:color w:val="231F20"/>
          <w:spacing w:val="-10"/>
          <w:w w:val="105"/>
        </w:rPr>
        <w:t> </w:t>
      </w:r>
      <w:r>
        <w:rPr>
          <w:color w:val="231F20"/>
          <w:w w:val="105"/>
        </w:rPr>
        <w:t>un</w:t>
      </w:r>
      <w:r>
        <w:rPr>
          <w:color w:val="231F20"/>
          <w:spacing w:val="-10"/>
          <w:w w:val="105"/>
        </w:rPr>
        <w:t> </w:t>
      </w:r>
      <w:r>
        <w:rPr>
          <w:color w:val="231F20"/>
          <w:w w:val="105"/>
        </w:rPr>
        <w:t>desarrollo</w:t>
      </w:r>
      <w:r>
        <w:rPr>
          <w:color w:val="231F20"/>
          <w:spacing w:val="-10"/>
          <w:w w:val="105"/>
        </w:rPr>
        <w:t> </w:t>
      </w:r>
      <w:r>
        <w:rPr>
          <w:color w:val="231F20"/>
          <w:spacing w:val="-4"/>
          <w:w w:val="105"/>
        </w:rPr>
        <w:t>económico,</w:t>
      </w:r>
      <w:r>
        <w:rPr>
          <w:color w:val="231F20"/>
          <w:spacing w:val="-10"/>
          <w:w w:val="105"/>
        </w:rPr>
        <w:t> </w:t>
      </w:r>
      <w:r>
        <w:rPr>
          <w:color w:val="231F20"/>
          <w:spacing w:val="-3"/>
          <w:w w:val="105"/>
        </w:rPr>
        <w:t>político</w:t>
      </w:r>
      <w:r>
        <w:rPr>
          <w:color w:val="231F20"/>
          <w:spacing w:val="-10"/>
          <w:w w:val="105"/>
        </w:rPr>
        <w:t> </w:t>
      </w:r>
      <w:r>
        <w:rPr>
          <w:color w:val="231F20"/>
          <w:w w:val="105"/>
        </w:rPr>
        <w:t>y</w:t>
      </w:r>
      <w:r>
        <w:rPr>
          <w:color w:val="231F20"/>
          <w:spacing w:val="-10"/>
          <w:w w:val="105"/>
        </w:rPr>
        <w:t> </w:t>
      </w:r>
      <w:r>
        <w:rPr>
          <w:color w:val="231F20"/>
          <w:w w:val="105"/>
        </w:rPr>
        <w:t>social</w:t>
      </w:r>
      <w:r>
        <w:rPr>
          <w:color w:val="231F20"/>
          <w:spacing w:val="-10"/>
          <w:w w:val="105"/>
        </w:rPr>
        <w:t> </w:t>
      </w:r>
      <w:r>
        <w:rPr>
          <w:color w:val="231F20"/>
          <w:w w:val="105"/>
        </w:rPr>
        <w:t>de</w:t>
      </w:r>
      <w:r>
        <w:rPr>
          <w:color w:val="231F20"/>
          <w:spacing w:val="-10"/>
          <w:w w:val="105"/>
        </w:rPr>
        <w:t> </w:t>
      </w:r>
      <w:r>
        <w:rPr>
          <w:color w:val="231F20"/>
          <w:w w:val="105"/>
        </w:rPr>
        <w:t>largo</w:t>
      </w:r>
      <w:r>
        <w:rPr>
          <w:color w:val="231F20"/>
          <w:spacing w:val="-10"/>
          <w:w w:val="105"/>
        </w:rPr>
        <w:t> </w:t>
      </w:r>
      <w:r>
        <w:rPr>
          <w:color w:val="231F20"/>
          <w:w w:val="105"/>
        </w:rPr>
        <w:t>alcance,</w:t>
      </w:r>
      <w:r>
        <w:rPr>
          <w:color w:val="231F20"/>
          <w:spacing w:val="-10"/>
          <w:w w:val="105"/>
        </w:rPr>
        <w:t> </w:t>
      </w:r>
      <w:r>
        <w:rPr>
          <w:color w:val="231F20"/>
          <w:w w:val="105"/>
        </w:rPr>
        <w:t>en el</w:t>
      </w:r>
      <w:r>
        <w:rPr>
          <w:color w:val="231F20"/>
          <w:spacing w:val="-16"/>
          <w:w w:val="105"/>
        </w:rPr>
        <w:t> </w:t>
      </w:r>
      <w:r>
        <w:rPr>
          <w:color w:val="231F20"/>
          <w:spacing w:val="-3"/>
          <w:w w:val="105"/>
        </w:rPr>
        <w:t>contexto</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spacing w:val="-3"/>
          <w:w w:val="105"/>
        </w:rPr>
        <w:t>municipio</w:t>
      </w:r>
      <w:r>
        <w:rPr>
          <w:color w:val="231F20"/>
          <w:spacing w:val="-16"/>
          <w:w w:val="105"/>
        </w:rPr>
        <w:t> </w:t>
      </w:r>
      <w:r>
        <w:rPr>
          <w:color w:val="231F20"/>
          <w:spacing w:val="-3"/>
          <w:w w:val="105"/>
        </w:rPr>
        <w:t>que</w:t>
      </w:r>
      <w:r>
        <w:rPr>
          <w:color w:val="231F20"/>
          <w:spacing w:val="-16"/>
          <w:w w:val="105"/>
        </w:rPr>
        <w:t> </w:t>
      </w:r>
      <w:r>
        <w:rPr>
          <w:color w:val="231F20"/>
          <w:spacing w:val="-3"/>
          <w:w w:val="105"/>
        </w:rPr>
        <w:t>cuenta</w:t>
      </w:r>
      <w:r>
        <w:rPr>
          <w:color w:val="231F20"/>
          <w:spacing w:val="-16"/>
          <w:w w:val="105"/>
        </w:rPr>
        <w:t> </w:t>
      </w:r>
      <w:r>
        <w:rPr>
          <w:color w:val="231F20"/>
          <w:spacing w:val="-3"/>
          <w:w w:val="105"/>
        </w:rPr>
        <w:t>con</w:t>
      </w:r>
      <w:r>
        <w:rPr>
          <w:color w:val="231F20"/>
          <w:spacing w:val="-16"/>
          <w:w w:val="105"/>
        </w:rPr>
        <w:t> </w:t>
      </w:r>
      <w:r>
        <w:rPr>
          <w:color w:val="231F20"/>
          <w:w w:val="105"/>
        </w:rPr>
        <w:t>las</w:t>
      </w:r>
      <w:r>
        <w:rPr>
          <w:color w:val="231F20"/>
          <w:spacing w:val="-16"/>
          <w:w w:val="105"/>
        </w:rPr>
        <w:t> </w:t>
      </w:r>
      <w:r>
        <w:rPr>
          <w:color w:val="231F20"/>
          <w:spacing w:val="-4"/>
          <w:w w:val="105"/>
        </w:rPr>
        <w:t>condiciones</w:t>
      </w:r>
      <w:r>
        <w:rPr>
          <w:color w:val="231F20"/>
          <w:spacing w:val="-16"/>
          <w:w w:val="105"/>
        </w:rPr>
        <w:t> </w:t>
      </w:r>
      <w:r>
        <w:rPr>
          <w:color w:val="231F20"/>
          <w:w w:val="105"/>
        </w:rPr>
        <w:t>urbanas</w:t>
      </w:r>
      <w:r>
        <w:rPr>
          <w:color w:val="231F20"/>
          <w:spacing w:val="-16"/>
          <w:w w:val="105"/>
        </w:rPr>
        <w:t> </w:t>
      </w:r>
      <w:r>
        <w:rPr>
          <w:color w:val="231F20"/>
          <w:w w:val="105"/>
        </w:rPr>
        <w:t>necesarias,</w:t>
      </w:r>
      <w:r>
        <w:rPr>
          <w:color w:val="231F20"/>
          <w:spacing w:val="-16"/>
          <w:w w:val="105"/>
        </w:rPr>
        <w:t> </w:t>
      </w:r>
      <w:r>
        <w:rPr>
          <w:color w:val="231F20"/>
          <w:w w:val="105"/>
        </w:rPr>
        <w:t>el</w:t>
      </w:r>
      <w:r>
        <w:rPr>
          <w:color w:val="231F20"/>
          <w:spacing w:val="-16"/>
          <w:w w:val="105"/>
        </w:rPr>
        <w:t> </w:t>
      </w:r>
      <w:r>
        <w:rPr>
          <w:color w:val="231F20"/>
          <w:w w:val="105"/>
        </w:rPr>
        <w:t>capital humano</w:t>
      </w:r>
      <w:r>
        <w:rPr>
          <w:color w:val="231F20"/>
          <w:spacing w:val="-32"/>
          <w:w w:val="105"/>
        </w:rPr>
        <w:t> </w:t>
      </w:r>
      <w:r>
        <w:rPr>
          <w:color w:val="231F20"/>
          <w:spacing w:val="-3"/>
          <w:w w:val="105"/>
        </w:rPr>
        <w:t>suficiente</w:t>
      </w:r>
      <w:r>
        <w:rPr>
          <w:color w:val="231F20"/>
          <w:spacing w:val="-32"/>
          <w:w w:val="105"/>
        </w:rPr>
        <w:t> </w:t>
      </w:r>
      <w:r>
        <w:rPr>
          <w:color w:val="231F20"/>
          <w:w w:val="105"/>
        </w:rPr>
        <w:t>y</w:t>
      </w:r>
      <w:r>
        <w:rPr>
          <w:color w:val="231F20"/>
          <w:spacing w:val="-32"/>
          <w:w w:val="105"/>
        </w:rPr>
        <w:t> </w:t>
      </w:r>
      <w:r>
        <w:rPr>
          <w:color w:val="231F20"/>
          <w:w w:val="105"/>
        </w:rPr>
        <w:t>las</w:t>
      </w:r>
      <w:r>
        <w:rPr>
          <w:color w:val="231F20"/>
          <w:spacing w:val="-32"/>
          <w:w w:val="105"/>
        </w:rPr>
        <w:t> </w:t>
      </w:r>
      <w:r>
        <w:rPr>
          <w:color w:val="231F20"/>
          <w:spacing w:val="-3"/>
          <w:w w:val="105"/>
        </w:rPr>
        <w:t>ventajas</w:t>
      </w:r>
      <w:r>
        <w:rPr>
          <w:color w:val="231F20"/>
          <w:spacing w:val="-32"/>
          <w:w w:val="105"/>
        </w:rPr>
        <w:t> </w:t>
      </w:r>
      <w:r>
        <w:rPr>
          <w:color w:val="231F20"/>
          <w:w w:val="105"/>
        </w:rPr>
        <w:t>competitivas</w:t>
      </w:r>
      <w:r>
        <w:rPr>
          <w:color w:val="231F20"/>
          <w:spacing w:val="-32"/>
          <w:w w:val="105"/>
        </w:rPr>
        <w:t> </w:t>
      </w:r>
      <w:r>
        <w:rPr>
          <w:color w:val="231F20"/>
          <w:w w:val="105"/>
        </w:rPr>
        <w:t>de</w:t>
      </w:r>
      <w:r>
        <w:rPr>
          <w:color w:val="231F20"/>
          <w:spacing w:val="-32"/>
          <w:w w:val="105"/>
        </w:rPr>
        <w:t> </w:t>
      </w:r>
      <w:r>
        <w:rPr>
          <w:color w:val="231F20"/>
          <w:w w:val="105"/>
        </w:rPr>
        <w:t>su</w:t>
      </w:r>
      <w:r>
        <w:rPr>
          <w:color w:val="231F20"/>
          <w:spacing w:val="-32"/>
          <w:w w:val="105"/>
        </w:rPr>
        <w:t> </w:t>
      </w:r>
      <w:r>
        <w:rPr>
          <w:color w:val="231F20"/>
          <w:w w:val="105"/>
        </w:rPr>
        <w:t>localización</w:t>
      </w:r>
      <w:r>
        <w:rPr>
          <w:color w:val="231F20"/>
          <w:spacing w:val="-32"/>
          <w:w w:val="105"/>
        </w:rPr>
        <w:t> </w:t>
      </w:r>
      <w:r>
        <w:rPr>
          <w:color w:val="231F20"/>
          <w:w w:val="105"/>
        </w:rPr>
        <w:t>espacial.</w:t>
      </w:r>
    </w:p>
    <w:p>
      <w:pPr>
        <w:pStyle w:val="BodyText"/>
        <w:spacing w:before="9"/>
      </w:pPr>
    </w:p>
    <w:p>
      <w:pPr>
        <w:pStyle w:val="Heading3"/>
      </w:pPr>
      <w:r>
        <w:rPr>
          <w:color w:val="231F20"/>
          <w:w w:val="105"/>
        </w:rPr>
        <w:t>Conclusiones</w:t>
      </w:r>
    </w:p>
    <w:p>
      <w:pPr>
        <w:pStyle w:val="BodyText"/>
        <w:spacing w:line="285" w:lineRule="auto" w:before="38"/>
        <w:ind w:left="110" w:right="107"/>
        <w:jc w:val="both"/>
      </w:pPr>
      <w:r>
        <w:rPr>
          <w:color w:val="231F20"/>
          <w:w w:val="105"/>
        </w:rPr>
        <w:t>El gobierno perredista en el municipio de Nezahualcóyotl parece estar a la medida de las características de la población, pues existe correspondencia entre una administra- ción de corte populista, con programas de gobierno dirigidos a la población de bajos recursos, la cual representa el grueso de la población en el municipio, que se ve en la necesidad de trasladarse a otras demarcaciones administrativas, principalmente el </w:t>
      </w:r>
      <w:r>
        <w:rPr>
          <w:color w:val="231F20"/>
          <w:spacing w:val="-8"/>
          <w:w w:val="105"/>
        </w:rPr>
        <w:t>DF, </w:t>
      </w:r>
      <w:r>
        <w:rPr>
          <w:color w:val="231F20"/>
          <w:w w:val="105"/>
        </w:rPr>
        <w:t>para</w:t>
      </w:r>
      <w:r>
        <w:rPr>
          <w:color w:val="231F20"/>
          <w:spacing w:val="-17"/>
          <w:w w:val="105"/>
        </w:rPr>
        <w:t> </w:t>
      </w:r>
      <w:r>
        <w:rPr>
          <w:color w:val="231F20"/>
          <w:w w:val="105"/>
        </w:rPr>
        <w:t>buscar</w:t>
      </w:r>
      <w:r>
        <w:rPr>
          <w:color w:val="231F20"/>
          <w:spacing w:val="-17"/>
          <w:w w:val="105"/>
        </w:rPr>
        <w:t> </w:t>
      </w:r>
      <w:r>
        <w:rPr>
          <w:color w:val="231F20"/>
          <w:w w:val="105"/>
        </w:rPr>
        <w:t>fuentes</w:t>
      </w:r>
      <w:r>
        <w:rPr>
          <w:color w:val="231F20"/>
          <w:spacing w:val="-17"/>
          <w:w w:val="105"/>
        </w:rPr>
        <w:t> </w:t>
      </w:r>
      <w:r>
        <w:rPr>
          <w:color w:val="231F20"/>
          <w:w w:val="105"/>
        </w:rPr>
        <w:t>de</w:t>
      </w:r>
      <w:r>
        <w:rPr>
          <w:color w:val="231F20"/>
          <w:spacing w:val="-17"/>
          <w:w w:val="105"/>
        </w:rPr>
        <w:t> </w:t>
      </w:r>
      <w:r>
        <w:rPr>
          <w:color w:val="231F20"/>
          <w:w w:val="105"/>
        </w:rPr>
        <w:t>empleo</w:t>
      </w:r>
      <w:r>
        <w:rPr>
          <w:color w:val="231F20"/>
          <w:spacing w:val="-17"/>
          <w:w w:val="105"/>
        </w:rPr>
        <w:t> </w:t>
      </w:r>
      <w:r>
        <w:rPr>
          <w:color w:val="231F20"/>
          <w:w w:val="105"/>
        </w:rPr>
        <w:t>o</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defecto</w:t>
      </w:r>
      <w:r>
        <w:rPr>
          <w:color w:val="231F20"/>
          <w:spacing w:val="-17"/>
          <w:w w:val="105"/>
        </w:rPr>
        <w:t> </w:t>
      </w:r>
      <w:r>
        <w:rPr>
          <w:color w:val="231F20"/>
          <w:w w:val="105"/>
        </w:rPr>
        <w:t>desarrollar</w:t>
      </w:r>
      <w:r>
        <w:rPr>
          <w:color w:val="231F20"/>
          <w:spacing w:val="-17"/>
          <w:w w:val="105"/>
        </w:rPr>
        <w:t> </w:t>
      </w:r>
      <w:r>
        <w:rPr>
          <w:color w:val="231F20"/>
          <w:w w:val="105"/>
        </w:rPr>
        <w:t>sus</w:t>
      </w:r>
      <w:r>
        <w:rPr>
          <w:color w:val="231F20"/>
          <w:spacing w:val="-17"/>
          <w:w w:val="105"/>
        </w:rPr>
        <w:t> </w:t>
      </w:r>
      <w:r>
        <w:rPr>
          <w:color w:val="231F20"/>
          <w:w w:val="105"/>
        </w:rPr>
        <w:t>actividades</w:t>
      </w:r>
      <w:r>
        <w:rPr>
          <w:color w:val="231F20"/>
          <w:spacing w:val="-17"/>
          <w:w w:val="105"/>
        </w:rPr>
        <w:t> </w:t>
      </w:r>
      <w:r>
        <w:rPr>
          <w:color w:val="231F20"/>
          <w:w w:val="105"/>
        </w:rPr>
        <w:t>económicas</w:t>
      </w:r>
      <w:r>
        <w:rPr>
          <w:color w:val="231F20"/>
          <w:spacing w:val="-17"/>
          <w:w w:val="105"/>
        </w:rPr>
        <w:t> </w:t>
      </w:r>
      <w:r>
        <w:rPr>
          <w:color w:val="231F20"/>
          <w:spacing w:val="2"/>
          <w:w w:val="105"/>
        </w:rPr>
        <w:t>al </w:t>
      </w:r>
      <w:r>
        <w:rPr>
          <w:color w:val="231F20"/>
          <w:w w:val="105"/>
        </w:rPr>
        <w:t>interior</w:t>
      </w:r>
      <w:r>
        <w:rPr>
          <w:color w:val="231F20"/>
          <w:spacing w:val="-5"/>
          <w:w w:val="105"/>
        </w:rPr>
        <w:t> </w:t>
      </w:r>
      <w:r>
        <w:rPr>
          <w:color w:val="231F20"/>
          <w:w w:val="105"/>
        </w:rPr>
        <w:t>del</w:t>
      </w:r>
      <w:r>
        <w:rPr>
          <w:color w:val="231F20"/>
          <w:spacing w:val="-5"/>
          <w:w w:val="105"/>
        </w:rPr>
        <w:t> </w:t>
      </w:r>
      <w:r>
        <w:rPr>
          <w:color w:val="231F20"/>
          <w:w w:val="105"/>
        </w:rPr>
        <w:t>municipio</w:t>
      </w:r>
      <w:r>
        <w:rPr>
          <w:color w:val="231F20"/>
          <w:spacing w:val="-5"/>
          <w:w w:val="105"/>
        </w:rPr>
        <w:t> </w:t>
      </w:r>
      <w:r>
        <w:rPr>
          <w:color w:val="231F20"/>
          <w:w w:val="105"/>
        </w:rPr>
        <w:t>pero</w:t>
      </w:r>
      <w:r>
        <w:rPr>
          <w:color w:val="231F20"/>
          <w:spacing w:val="-5"/>
          <w:w w:val="105"/>
        </w:rPr>
        <w:t> </w:t>
      </w:r>
      <w:r>
        <w:rPr>
          <w:color w:val="231F20"/>
          <w:w w:val="105"/>
        </w:rPr>
        <w:t>sobre</w:t>
      </w:r>
      <w:r>
        <w:rPr>
          <w:color w:val="231F20"/>
          <w:spacing w:val="-5"/>
          <w:w w:val="105"/>
        </w:rPr>
        <w:t> </w:t>
      </w:r>
      <w:r>
        <w:rPr>
          <w:color w:val="231F20"/>
          <w:w w:val="105"/>
        </w:rPr>
        <w:t>todo</w:t>
      </w:r>
      <w:r>
        <w:rPr>
          <w:color w:val="231F20"/>
          <w:spacing w:val="-5"/>
          <w:w w:val="105"/>
        </w:rPr>
        <w:t> </w:t>
      </w:r>
      <w:r>
        <w:rPr>
          <w:color w:val="231F20"/>
          <w:w w:val="105"/>
        </w:rPr>
        <w:t>en</w:t>
      </w:r>
      <w:r>
        <w:rPr>
          <w:color w:val="231F20"/>
          <w:spacing w:val="-5"/>
          <w:w w:val="105"/>
        </w:rPr>
        <w:t> </w:t>
      </w:r>
      <w:r>
        <w:rPr>
          <w:color w:val="231F20"/>
          <w:w w:val="105"/>
        </w:rPr>
        <w:t>actividades</w:t>
      </w:r>
      <w:r>
        <w:rPr>
          <w:color w:val="231F20"/>
          <w:spacing w:val="-5"/>
          <w:w w:val="105"/>
        </w:rPr>
        <w:t> </w:t>
      </w:r>
      <w:r>
        <w:rPr>
          <w:color w:val="231F20"/>
          <w:w w:val="105"/>
        </w:rPr>
        <w:t>informales</w:t>
      </w:r>
      <w:r>
        <w:rPr>
          <w:color w:val="231F20"/>
          <w:spacing w:val="-5"/>
          <w:w w:val="105"/>
        </w:rPr>
        <w:t> </w:t>
      </w:r>
      <w:r>
        <w:rPr>
          <w:color w:val="231F20"/>
          <w:w w:val="105"/>
        </w:rPr>
        <w:t>de</w:t>
      </w:r>
      <w:r>
        <w:rPr>
          <w:color w:val="231F20"/>
          <w:spacing w:val="-5"/>
          <w:w w:val="105"/>
        </w:rPr>
        <w:t> </w:t>
      </w:r>
      <w:r>
        <w:rPr>
          <w:color w:val="231F20"/>
          <w:w w:val="105"/>
        </w:rPr>
        <w:t>bienes</w:t>
      </w:r>
      <w:r>
        <w:rPr>
          <w:color w:val="231F20"/>
          <w:spacing w:val="-5"/>
          <w:w w:val="105"/>
        </w:rPr>
        <w:t> </w:t>
      </w:r>
      <w:r>
        <w:rPr>
          <w:color w:val="231F20"/>
          <w:w w:val="105"/>
        </w:rPr>
        <w:t>y</w:t>
      </w:r>
      <w:r>
        <w:rPr>
          <w:color w:val="231F20"/>
          <w:spacing w:val="-5"/>
          <w:w w:val="105"/>
        </w:rPr>
        <w:t> </w:t>
      </w:r>
      <w:r>
        <w:rPr>
          <w:color w:val="231F20"/>
          <w:w w:val="105"/>
        </w:rPr>
        <w:t>servicios. Esta es una peculiaridad importante que distingue </w:t>
      </w:r>
      <w:r>
        <w:rPr>
          <w:color w:val="231F20"/>
          <w:spacing w:val="2"/>
          <w:w w:val="105"/>
        </w:rPr>
        <w:t>al </w:t>
      </w:r>
      <w:r>
        <w:rPr>
          <w:color w:val="231F20"/>
          <w:w w:val="105"/>
        </w:rPr>
        <w:t>gobierno del PRD en Nezahual- cóyotl, un gobierno populista para una sociedad con características de bajos recursos, inmigrante y con tradición organizativa clientelar, es decir </w:t>
      </w:r>
      <w:r>
        <w:rPr>
          <w:color w:val="231F20"/>
          <w:spacing w:val="-3"/>
          <w:w w:val="105"/>
        </w:rPr>
        <w:t>siempre </w:t>
      </w:r>
      <w:r>
        <w:rPr>
          <w:color w:val="231F20"/>
          <w:w w:val="105"/>
        </w:rPr>
        <w:t>y cuando reporte algún beneficio</w:t>
      </w:r>
      <w:r>
        <w:rPr>
          <w:color w:val="231F20"/>
          <w:spacing w:val="-40"/>
          <w:w w:val="105"/>
        </w:rPr>
        <w:t> </w:t>
      </w:r>
      <w:r>
        <w:rPr>
          <w:color w:val="231F20"/>
          <w:spacing w:val="-3"/>
          <w:w w:val="105"/>
        </w:rPr>
        <w:t>propio.</w:t>
      </w:r>
    </w:p>
    <w:p>
      <w:pPr>
        <w:pStyle w:val="BodyText"/>
        <w:spacing w:before="1"/>
        <w:rPr>
          <w:sz w:val="26"/>
        </w:rPr>
      </w:pPr>
    </w:p>
    <w:p>
      <w:pPr>
        <w:pStyle w:val="BodyText"/>
        <w:spacing w:line="285" w:lineRule="auto"/>
        <w:ind w:left="110" w:right="108"/>
        <w:jc w:val="both"/>
      </w:pPr>
      <w:r>
        <w:rPr>
          <w:color w:val="231F20"/>
          <w:spacing w:val="-7"/>
          <w:w w:val="105"/>
        </w:rPr>
        <w:t>Todo</w:t>
      </w:r>
      <w:r>
        <w:rPr>
          <w:color w:val="231F20"/>
          <w:spacing w:val="-11"/>
          <w:w w:val="105"/>
        </w:rPr>
        <w:t> </w:t>
      </w:r>
      <w:r>
        <w:rPr>
          <w:color w:val="231F20"/>
          <w:w w:val="105"/>
        </w:rPr>
        <w:t>parece</w:t>
      </w:r>
      <w:r>
        <w:rPr>
          <w:color w:val="231F20"/>
          <w:spacing w:val="-11"/>
          <w:w w:val="105"/>
        </w:rPr>
        <w:t> </w:t>
      </w:r>
      <w:r>
        <w:rPr>
          <w:color w:val="231F20"/>
          <w:w w:val="105"/>
        </w:rPr>
        <w:t>indicar</w:t>
      </w:r>
      <w:r>
        <w:rPr>
          <w:color w:val="231F20"/>
          <w:spacing w:val="-11"/>
          <w:w w:val="105"/>
        </w:rPr>
        <w:t> </w:t>
      </w:r>
      <w:r>
        <w:rPr>
          <w:color w:val="231F20"/>
          <w:w w:val="105"/>
        </w:rPr>
        <w:t>que</w:t>
      </w:r>
      <w:r>
        <w:rPr>
          <w:color w:val="231F20"/>
          <w:spacing w:val="-11"/>
          <w:w w:val="105"/>
        </w:rPr>
        <w:t> </w:t>
      </w:r>
      <w:r>
        <w:rPr>
          <w:color w:val="231F20"/>
          <w:w w:val="105"/>
        </w:rPr>
        <w:t>mientras</w:t>
      </w:r>
      <w:r>
        <w:rPr>
          <w:color w:val="231F20"/>
          <w:spacing w:val="-11"/>
          <w:w w:val="105"/>
        </w:rPr>
        <w:t> </w:t>
      </w:r>
      <w:r>
        <w:rPr>
          <w:color w:val="231F20"/>
          <w:w w:val="105"/>
        </w:rPr>
        <w:t>el</w:t>
      </w:r>
      <w:r>
        <w:rPr>
          <w:color w:val="231F20"/>
          <w:spacing w:val="-11"/>
          <w:w w:val="105"/>
        </w:rPr>
        <w:t> </w:t>
      </w:r>
      <w:r>
        <w:rPr>
          <w:color w:val="231F20"/>
          <w:w w:val="105"/>
        </w:rPr>
        <w:t>PRD</w:t>
      </w:r>
      <w:r>
        <w:rPr>
          <w:color w:val="231F20"/>
          <w:spacing w:val="-11"/>
          <w:w w:val="105"/>
        </w:rPr>
        <w:t> </w:t>
      </w:r>
      <w:r>
        <w:rPr>
          <w:color w:val="231F20"/>
          <w:w w:val="105"/>
        </w:rPr>
        <w:t>mantenga</w:t>
      </w:r>
      <w:r>
        <w:rPr>
          <w:color w:val="231F20"/>
          <w:spacing w:val="-11"/>
          <w:w w:val="105"/>
        </w:rPr>
        <w:t> </w:t>
      </w:r>
      <w:r>
        <w:rPr>
          <w:color w:val="231F20"/>
          <w:w w:val="105"/>
        </w:rPr>
        <w:t>una</w:t>
      </w:r>
      <w:r>
        <w:rPr>
          <w:color w:val="231F20"/>
          <w:spacing w:val="-11"/>
          <w:w w:val="105"/>
        </w:rPr>
        <w:t> </w:t>
      </w:r>
      <w:r>
        <w:rPr>
          <w:color w:val="231F20"/>
          <w:w w:val="105"/>
        </w:rPr>
        <w:t>administración</w:t>
      </w:r>
      <w:r>
        <w:rPr>
          <w:color w:val="231F20"/>
          <w:spacing w:val="-11"/>
          <w:w w:val="105"/>
        </w:rPr>
        <w:t> </w:t>
      </w:r>
      <w:r>
        <w:rPr>
          <w:color w:val="231F20"/>
          <w:w w:val="105"/>
        </w:rPr>
        <w:t>dirigida</w:t>
      </w:r>
      <w:r>
        <w:rPr>
          <w:color w:val="231F20"/>
          <w:spacing w:val="-11"/>
          <w:w w:val="105"/>
        </w:rPr>
        <w:t> </w:t>
      </w:r>
      <w:r>
        <w:rPr>
          <w:color w:val="231F20"/>
          <w:w w:val="105"/>
        </w:rPr>
        <w:t>a</w:t>
      </w:r>
      <w:r>
        <w:rPr>
          <w:color w:val="231F20"/>
          <w:spacing w:val="-11"/>
          <w:w w:val="105"/>
        </w:rPr>
        <w:t> </w:t>
      </w:r>
      <w:r>
        <w:rPr>
          <w:color w:val="231F20"/>
          <w:w w:val="105"/>
        </w:rPr>
        <w:t>aten- der</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sectores</w:t>
      </w:r>
      <w:r>
        <w:rPr>
          <w:color w:val="231F20"/>
          <w:spacing w:val="-20"/>
          <w:w w:val="105"/>
        </w:rPr>
        <w:t> </w:t>
      </w:r>
      <w:r>
        <w:rPr>
          <w:color w:val="231F20"/>
          <w:w w:val="105"/>
        </w:rPr>
        <w:t>sociales</w:t>
      </w:r>
      <w:r>
        <w:rPr>
          <w:color w:val="231F20"/>
          <w:spacing w:val="-20"/>
          <w:w w:val="105"/>
        </w:rPr>
        <w:t> </w:t>
      </w:r>
      <w:r>
        <w:rPr>
          <w:color w:val="231F20"/>
          <w:w w:val="105"/>
        </w:rPr>
        <w:t>más</w:t>
      </w:r>
      <w:r>
        <w:rPr>
          <w:color w:val="231F20"/>
          <w:spacing w:val="-20"/>
          <w:w w:val="105"/>
        </w:rPr>
        <w:t> </w:t>
      </w:r>
      <w:r>
        <w:rPr>
          <w:color w:val="231F20"/>
          <w:w w:val="105"/>
        </w:rPr>
        <w:t>vulnerables</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w:t>
      </w:r>
      <w:r>
        <w:rPr>
          <w:color w:val="231F20"/>
          <w:spacing w:val="-20"/>
          <w:w w:val="105"/>
        </w:rPr>
        <w:t> </w:t>
      </w:r>
      <w:r>
        <w:rPr>
          <w:color w:val="231F20"/>
          <w:w w:val="105"/>
        </w:rPr>
        <w:t>programas</w:t>
      </w:r>
      <w:r>
        <w:rPr>
          <w:color w:val="231F20"/>
          <w:spacing w:val="-20"/>
          <w:w w:val="105"/>
        </w:rPr>
        <w:t> </w:t>
      </w:r>
      <w:r>
        <w:rPr>
          <w:color w:val="231F20"/>
          <w:w w:val="105"/>
        </w:rPr>
        <w:t>asistenciales,</w:t>
      </w:r>
      <w:r>
        <w:rPr>
          <w:color w:val="231F20"/>
          <w:spacing w:val="-20"/>
          <w:w w:val="105"/>
        </w:rPr>
        <w:t> </w:t>
      </w:r>
      <w:r>
        <w:rPr>
          <w:color w:val="231F20"/>
          <w:w w:val="105"/>
        </w:rPr>
        <w:t>así</w:t>
      </w:r>
      <w:r>
        <w:rPr>
          <w:color w:val="231F20"/>
          <w:spacing w:val="-20"/>
          <w:w w:val="105"/>
        </w:rPr>
        <w:t> </w:t>
      </w:r>
      <w:r>
        <w:rPr>
          <w:color w:val="231F20"/>
          <w:w w:val="105"/>
        </w:rPr>
        <w:t>como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una relación gobierno-sociedad en el marco del neocorporativismo y clientelismo con organizaciones</w:t>
      </w:r>
      <w:r>
        <w:rPr>
          <w:color w:val="231F20"/>
          <w:spacing w:val="-10"/>
          <w:w w:val="105"/>
        </w:rPr>
        <w:t> </w:t>
      </w:r>
      <w:r>
        <w:rPr>
          <w:color w:val="231F20"/>
          <w:w w:val="105"/>
        </w:rPr>
        <w:t>sociales</w:t>
      </w:r>
      <w:r>
        <w:rPr>
          <w:color w:val="231F20"/>
          <w:spacing w:val="-10"/>
          <w:w w:val="105"/>
        </w:rPr>
        <w:t> </w:t>
      </w:r>
      <w:r>
        <w:rPr>
          <w:color w:val="231F20"/>
          <w:w w:val="105"/>
        </w:rPr>
        <w:t>de</w:t>
      </w:r>
      <w:r>
        <w:rPr>
          <w:color w:val="231F20"/>
          <w:spacing w:val="-10"/>
          <w:w w:val="105"/>
        </w:rPr>
        <w:t> </w:t>
      </w:r>
      <w:r>
        <w:rPr>
          <w:color w:val="231F20"/>
          <w:w w:val="105"/>
        </w:rPr>
        <w:t>diferente</w:t>
      </w:r>
      <w:r>
        <w:rPr>
          <w:color w:val="231F20"/>
          <w:spacing w:val="-9"/>
          <w:w w:val="105"/>
        </w:rPr>
        <w:t> </w:t>
      </w:r>
      <w:r>
        <w:rPr>
          <w:color w:val="231F20"/>
          <w:w w:val="105"/>
        </w:rPr>
        <w:t>signo</w:t>
      </w:r>
      <w:r>
        <w:rPr>
          <w:color w:val="231F20"/>
          <w:spacing w:val="-9"/>
          <w:w w:val="105"/>
        </w:rPr>
        <w:t> </w:t>
      </w:r>
      <w:r>
        <w:rPr>
          <w:color w:val="231F20"/>
          <w:w w:val="105"/>
        </w:rPr>
        <w:t>político,</w:t>
      </w:r>
      <w:r>
        <w:rPr>
          <w:color w:val="231F20"/>
          <w:spacing w:val="-10"/>
          <w:w w:val="105"/>
        </w:rPr>
        <w:t> </w:t>
      </w:r>
      <w:r>
        <w:rPr>
          <w:color w:val="231F20"/>
          <w:w w:val="105"/>
        </w:rPr>
        <w:t>tendrá</w:t>
      </w:r>
      <w:r>
        <w:rPr>
          <w:color w:val="231F20"/>
          <w:spacing w:val="-10"/>
          <w:w w:val="105"/>
        </w:rPr>
        <w:t> </w:t>
      </w:r>
      <w:r>
        <w:rPr>
          <w:color w:val="231F20"/>
          <w:w w:val="105"/>
        </w:rPr>
        <w:t>amplias</w:t>
      </w:r>
      <w:r>
        <w:rPr>
          <w:color w:val="231F20"/>
          <w:spacing w:val="-9"/>
          <w:w w:val="105"/>
        </w:rPr>
        <w:t> </w:t>
      </w:r>
      <w:r>
        <w:rPr>
          <w:color w:val="231F20"/>
          <w:w w:val="105"/>
        </w:rPr>
        <w:t>posibilidades</w:t>
      </w:r>
      <w:r>
        <w:rPr>
          <w:color w:val="231F20"/>
          <w:spacing w:val="-9"/>
          <w:w w:val="105"/>
        </w:rPr>
        <w:t> </w:t>
      </w:r>
      <w:r>
        <w:rPr>
          <w:color w:val="231F20"/>
          <w:w w:val="105"/>
        </w:rPr>
        <w:t>de</w:t>
      </w:r>
      <w:r>
        <w:rPr>
          <w:color w:val="231F20"/>
          <w:spacing w:val="-10"/>
          <w:w w:val="105"/>
        </w:rPr>
        <w:t> </w:t>
      </w:r>
      <w:r>
        <w:rPr>
          <w:color w:val="231F20"/>
          <w:w w:val="105"/>
        </w:rPr>
        <w:t>se- </w:t>
      </w:r>
      <w:r>
        <w:rPr>
          <w:color w:val="231F20"/>
          <w:spacing w:val="2"/>
          <w:w w:val="105"/>
        </w:rPr>
        <w:t>guir</w:t>
      </w:r>
      <w:r>
        <w:rPr>
          <w:color w:val="231F20"/>
          <w:spacing w:val="-15"/>
          <w:w w:val="105"/>
        </w:rPr>
        <w:t> </w:t>
      </w:r>
      <w:r>
        <w:rPr>
          <w:color w:val="231F20"/>
          <w:w w:val="105"/>
        </w:rPr>
        <w:t>haciendo</w:t>
      </w:r>
      <w:r>
        <w:rPr>
          <w:color w:val="231F20"/>
          <w:spacing w:val="-15"/>
          <w:w w:val="105"/>
        </w:rPr>
        <w:t> </w:t>
      </w:r>
      <w:r>
        <w:rPr>
          <w:color w:val="231F20"/>
          <w:w w:val="105"/>
        </w:rPr>
        <w:t>de</w:t>
      </w:r>
      <w:r>
        <w:rPr>
          <w:color w:val="231F20"/>
          <w:spacing w:val="-15"/>
          <w:w w:val="105"/>
        </w:rPr>
        <w:t> </w:t>
      </w:r>
      <w:r>
        <w:rPr>
          <w:color w:val="231F20"/>
          <w:w w:val="105"/>
        </w:rPr>
        <w:t>Nezahualcóyotl</w:t>
      </w:r>
      <w:r>
        <w:rPr>
          <w:color w:val="231F20"/>
          <w:spacing w:val="-15"/>
          <w:w w:val="105"/>
        </w:rPr>
        <w:t> </w:t>
      </w:r>
      <w:r>
        <w:rPr>
          <w:color w:val="231F20"/>
          <w:w w:val="105"/>
        </w:rPr>
        <w:t>uno</w:t>
      </w:r>
      <w:r>
        <w:rPr>
          <w:color w:val="231F20"/>
          <w:spacing w:val="-15"/>
          <w:w w:val="105"/>
        </w:rPr>
        <w:t> </w:t>
      </w:r>
      <w:r>
        <w:rPr>
          <w:color w:val="231F20"/>
          <w:w w:val="105"/>
        </w:rPr>
        <w:t>de</w:t>
      </w:r>
      <w:r>
        <w:rPr>
          <w:color w:val="231F20"/>
          <w:spacing w:val="-15"/>
          <w:w w:val="105"/>
        </w:rPr>
        <w:t> </w:t>
      </w:r>
      <w:r>
        <w:rPr>
          <w:color w:val="231F20"/>
          <w:w w:val="105"/>
        </w:rPr>
        <w:t>sus</w:t>
      </w:r>
      <w:r>
        <w:rPr>
          <w:color w:val="231F20"/>
          <w:spacing w:val="-15"/>
          <w:w w:val="105"/>
        </w:rPr>
        <w:t> </w:t>
      </w:r>
      <w:r>
        <w:rPr>
          <w:color w:val="231F20"/>
          <w:w w:val="105"/>
        </w:rPr>
        <w:t>bastiones</w:t>
      </w:r>
      <w:r>
        <w:rPr>
          <w:color w:val="231F20"/>
          <w:spacing w:val="-15"/>
          <w:w w:val="105"/>
        </w:rPr>
        <w:t> </w:t>
      </w:r>
      <w:r>
        <w:rPr>
          <w:color w:val="231F20"/>
          <w:w w:val="105"/>
        </w:rPr>
        <w:t>políticos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entidad</w:t>
      </w:r>
      <w:r>
        <w:rPr>
          <w:color w:val="231F20"/>
          <w:spacing w:val="-15"/>
          <w:w w:val="105"/>
        </w:rPr>
        <w:t> </w:t>
      </w:r>
      <w:r>
        <w:rPr>
          <w:color w:val="231F20"/>
          <w:w w:val="105"/>
        </w:rPr>
        <w:t>y</w:t>
      </w:r>
      <w:r>
        <w:rPr>
          <w:color w:val="231F20"/>
          <w:spacing w:val="-15"/>
          <w:w w:val="105"/>
        </w:rPr>
        <w:t> </w:t>
      </w:r>
      <w:r>
        <w:rPr>
          <w:color w:val="231F20"/>
          <w:w w:val="105"/>
        </w:rPr>
        <w:t>su</w:t>
      </w:r>
      <w:r>
        <w:rPr>
          <w:color w:val="231F20"/>
          <w:spacing w:val="-15"/>
          <w:w w:val="105"/>
        </w:rPr>
        <w:t> </w:t>
      </w:r>
      <w:r>
        <w:rPr>
          <w:color w:val="231F20"/>
          <w:w w:val="105"/>
        </w:rPr>
        <w:t>punta de</w:t>
      </w:r>
      <w:r>
        <w:rPr>
          <w:color w:val="231F20"/>
          <w:spacing w:val="-13"/>
          <w:w w:val="105"/>
        </w:rPr>
        <w:t> </w:t>
      </w:r>
      <w:r>
        <w:rPr>
          <w:color w:val="231F20"/>
          <w:w w:val="105"/>
        </w:rPr>
        <w:t>lanza</w:t>
      </w:r>
      <w:r>
        <w:rPr>
          <w:color w:val="231F20"/>
          <w:spacing w:val="-13"/>
          <w:w w:val="105"/>
        </w:rPr>
        <w:t> </w:t>
      </w:r>
      <w:r>
        <w:rPr>
          <w:color w:val="231F20"/>
          <w:w w:val="105"/>
        </w:rPr>
        <w:t>para</w:t>
      </w:r>
      <w:r>
        <w:rPr>
          <w:color w:val="231F20"/>
          <w:spacing w:val="-13"/>
          <w:w w:val="105"/>
        </w:rPr>
        <w:t> </w:t>
      </w:r>
      <w:r>
        <w:rPr>
          <w:color w:val="231F20"/>
          <w:w w:val="105"/>
        </w:rPr>
        <w:t>seguir</w:t>
      </w:r>
      <w:r>
        <w:rPr>
          <w:color w:val="231F20"/>
          <w:spacing w:val="-13"/>
          <w:w w:val="105"/>
        </w:rPr>
        <w:t> </w:t>
      </w:r>
      <w:r>
        <w:rPr>
          <w:color w:val="231F20"/>
          <w:w w:val="105"/>
        </w:rPr>
        <w:t>avanzando</w:t>
      </w:r>
      <w:r>
        <w:rPr>
          <w:color w:val="231F20"/>
          <w:spacing w:val="-13"/>
          <w:w w:val="105"/>
        </w:rPr>
        <w:t> </w:t>
      </w:r>
      <w:r>
        <w:rPr>
          <w:color w:val="231F20"/>
          <w:w w:val="105"/>
        </w:rPr>
        <w:t>en</w:t>
      </w:r>
      <w:r>
        <w:rPr>
          <w:color w:val="231F20"/>
          <w:spacing w:val="-13"/>
          <w:w w:val="105"/>
        </w:rPr>
        <w:t> </w:t>
      </w:r>
      <w:r>
        <w:rPr>
          <w:color w:val="231F20"/>
          <w:w w:val="105"/>
        </w:rPr>
        <w:t>espacios</w:t>
      </w:r>
      <w:r>
        <w:rPr>
          <w:color w:val="231F20"/>
          <w:spacing w:val="-13"/>
          <w:w w:val="105"/>
        </w:rPr>
        <w:t> </w:t>
      </w:r>
      <w:r>
        <w:rPr>
          <w:color w:val="231F20"/>
          <w:w w:val="105"/>
        </w:rPr>
        <w:t>de</w:t>
      </w:r>
      <w:r>
        <w:rPr>
          <w:color w:val="231F20"/>
          <w:spacing w:val="-13"/>
          <w:w w:val="105"/>
        </w:rPr>
        <w:t> </w:t>
      </w:r>
      <w:r>
        <w:rPr>
          <w:color w:val="231F20"/>
          <w:w w:val="105"/>
        </w:rPr>
        <w:t>poder</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p>
    <w:p>
      <w:pPr>
        <w:pStyle w:val="BodyText"/>
        <w:spacing w:before="1"/>
        <w:rPr>
          <w:sz w:val="26"/>
        </w:rPr>
      </w:pPr>
    </w:p>
    <w:p>
      <w:pPr>
        <w:pStyle w:val="BodyText"/>
        <w:spacing w:line="285" w:lineRule="auto"/>
        <w:ind w:left="110" w:right="107"/>
        <w:jc w:val="both"/>
      </w:pPr>
      <w:r>
        <w:rPr>
          <w:color w:val="231F20"/>
          <w:w w:val="105"/>
        </w:rPr>
        <w:t>Sin</w:t>
      </w:r>
      <w:r>
        <w:rPr>
          <w:color w:val="231F20"/>
          <w:spacing w:val="-20"/>
          <w:w w:val="105"/>
        </w:rPr>
        <w:t> </w:t>
      </w:r>
      <w:r>
        <w:rPr>
          <w:color w:val="231F20"/>
          <w:w w:val="105"/>
        </w:rPr>
        <w:t>embargo,</w:t>
      </w:r>
      <w:r>
        <w:rPr>
          <w:color w:val="231F20"/>
          <w:spacing w:val="-20"/>
          <w:w w:val="105"/>
        </w:rPr>
        <w:t> </w:t>
      </w:r>
      <w:r>
        <w:rPr>
          <w:color w:val="231F20"/>
          <w:w w:val="105"/>
        </w:rPr>
        <w:t>el</w:t>
      </w:r>
      <w:r>
        <w:rPr>
          <w:color w:val="231F20"/>
          <w:spacing w:val="-20"/>
          <w:w w:val="105"/>
        </w:rPr>
        <w:t> </w:t>
      </w:r>
      <w:r>
        <w:rPr>
          <w:color w:val="231F20"/>
          <w:w w:val="105"/>
        </w:rPr>
        <w:t>creciente</w:t>
      </w:r>
      <w:r>
        <w:rPr>
          <w:color w:val="231F20"/>
          <w:spacing w:val="-20"/>
          <w:w w:val="105"/>
        </w:rPr>
        <w:t> </w:t>
      </w:r>
      <w:r>
        <w:rPr>
          <w:color w:val="231F20"/>
          <w:w w:val="105"/>
        </w:rPr>
        <w:t>predominio</w:t>
      </w:r>
      <w:r>
        <w:rPr>
          <w:color w:val="231F20"/>
          <w:spacing w:val="-20"/>
          <w:w w:val="105"/>
        </w:rPr>
        <w:t> </w:t>
      </w:r>
      <w:r>
        <w:rPr>
          <w:color w:val="231F20"/>
          <w:w w:val="105"/>
        </w:rPr>
        <w:t>del</w:t>
      </w:r>
      <w:r>
        <w:rPr>
          <w:color w:val="231F20"/>
          <w:spacing w:val="-20"/>
          <w:w w:val="105"/>
        </w:rPr>
        <w:t> </w:t>
      </w:r>
      <w:r>
        <w:rPr>
          <w:color w:val="231F20"/>
          <w:w w:val="105"/>
        </w:rPr>
        <w:t>PRD</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afecta</w:t>
      </w:r>
      <w:r>
        <w:rPr>
          <w:color w:val="231F20"/>
          <w:spacing w:val="-20"/>
          <w:w w:val="105"/>
        </w:rPr>
        <w:t> </w:t>
      </w:r>
      <w:r>
        <w:rPr>
          <w:color w:val="231F20"/>
          <w:w w:val="105"/>
        </w:rPr>
        <w:t>la</w:t>
      </w:r>
      <w:r>
        <w:rPr>
          <w:color w:val="231F20"/>
          <w:spacing w:val="-20"/>
          <w:w w:val="105"/>
        </w:rPr>
        <w:t> </w:t>
      </w:r>
      <w:r>
        <w:rPr>
          <w:color w:val="231F20"/>
          <w:w w:val="105"/>
        </w:rPr>
        <w:t>competitividad, la</w:t>
      </w:r>
      <w:r>
        <w:rPr>
          <w:color w:val="231F20"/>
          <w:spacing w:val="-8"/>
          <w:w w:val="105"/>
        </w:rPr>
        <w:t> </w:t>
      </w:r>
      <w:r>
        <w:rPr>
          <w:color w:val="231F20"/>
          <w:w w:val="105"/>
        </w:rPr>
        <w:t>alternancia</w:t>
      </w:r>
      <w:r>
        <w:rPr>
          <w:color w:val="231F20"/>
          <w:spacing w:val="-8"/>
          <w:w w:val="105"/>
        </w:rPr>
        <w:t> </w:t>
      </w:r>
      <w:r>
        <w:rPr>
          <w:color w:val="231F20"/>
          <w:w w:val="105"/>
        </w:rPr>
        <w:t>y</w:t>
      </w:r>
      <w:r>
        <w:rPr>
          <w:color w:val="231F20"/>
          <w:spacing w:val="-8"/>
          <w:w w:val="105"/>
        </w:rPr>
        <w:t> </w:t>
      </w:r>
      <w:r>
        <w:rPr>
          <w:color w:val="231F20"/>
          <w:w w:val="105"/>
        </w:rPr>
        <w:t>esto</w:t>
      </w:r>
      <w:r>
        <w:rPr>
          <w:color w:val="231F20"/>
          <w:spacing w:val="-8"/>
          <w:w w:val="105"/>
        </w:rPr>
        <w:t> </w:t>
      </w:r>
      <w:r>
        <w:rPr>
          <w:color w:val="231F20"/>
          <w:w w:val="105"/>
        </w:rPr>
        <w:t>puede</w:t>
      </w:r>
      <w:r>
        <w:rPr>
          <w:color w:val="231F20"/>
          <w:spacing w:val="-8"/>
          <w:w w:val="105"/>
        </w:rPr>
        <w:t> </w:t>
      </w:r>
      <w:r>
        <w:rPr>
          <w:color w:val="231F20"/>
          <w:w w:val="105"/>
        </w:rPr>
        <w:t>repercutir</w:t>
      </w:r>
      <w:r>
        <w:rPr>
          <w:color w:val="231F20"/>
          <w:spacing w:val="-8"/>
          <w:w w:val="105"/>
        </w:rPr>
        <w:t> </w:t>
      </w:r>
      <w:r>
        <w:rPr>
          <w:color w:val="231F20"/>
          <w:w w:val="105"/>
        </w:rPr>
        <w:t>en</w:t>
      </w:r>
      <w:r>
        <w:rPr>
          <w:color w:val="231F20"/>
          <w:spacing w:val="-8"/>
          <w:w w:val="105"/>
        </w:rPr>
        <w:t> </w:t>
      </w:r>
      <w:r>
        <w:rPr>
          <w:color w:val="231F20"/>
          <w:w w:val="105"/>
        </w:rPr>
        <w:t>una</w:t>
      </w:r>
      <w:r>
        <w:rPr>
          <w:color w:val="231F20"/>
          <w:spacing w:val="-8"/>
          <w:w w:val="105"/>
        </w:rPr>
        <w:t> </w:t>
      </w:r>
      <w:r>
        <w:rPr>
          <w:color w:val="231F20"/>
          <w:w w:val="105"/>
        </w:rPr>
        <w:t>administración</w:t>
      </w:r>
      <w:r>
        <w:rPr>
          <w:color w:val="231F20"/>
          <w:spacing w:val="-8"/>
          <w:w w:val="105"/>
        </w:rPr>
        <w:t> </w:t>
      </w:r>
      <w:r>
        <w:rPr>
          <w:color w:val="231F20"/>
          <w:w w:val="105"/>
        </w:rPr>
        <w:t>menos</w:t>
      </w:r>
      <w:r>
        <w:rPr>
          <w:color w:val="231F20"/>
          <w:spacing w:val="-8"/>
          <w:w w:val="105"/>
        </w:rPr>
        <w:t> </w:t>
      </w:r>
      <w:r>
        <w:rPr>
          <w:color w:val="231F20"/>
          <w:w w:val="105"/>
        </w:rPr>
        <w:t>transparente,</w:t>
      </w:r>
      <w:r>
        <w:rPr>
          <w:color w:val="231F20"/>
          <w:spacing w:val="-8"/>
          <w:w w:val="105"/>
        </w:rPr>
        <w:t> </w:t>
      </w:r>
      <w:r>
        <w:rPr>
          <w:color w:val="231F20"/>
          <w:w w:val="105"/>
        </w:rPr>
        <w:t>como resultado</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mayor</w:t>
      </w:r>
      <w:r>
        <w:rPr>
          <w:color w:val="231F20"/>
          <w:spacing w:val="-16"/>
          <w:w w:val="105"/>
        </w:rPr>
        <w:t> </w:t>
      </w:r>
      <w:r>
        <w:rPr>
          <w:color w:val="231F20"/>
          <w:w w:val="105"/>
        </w:rPr>
        <w:t>concentración</w:t>
      </w:r>
      <w:r>
        <w:rPr>
          <w:color w:val="231F20"/>
          <w:spacing w:val="-16"/>
          <w:w w:val="105"/>
        </w:rPr>
        <w:t> </w:t>
      </w:r>
      <w:r>
        <w:rPr>
          <w:color w:val="231F20"/>
          <w:w w:val="105"/>
        </w:rPr>
        <w:t>de</w:t>
      </w:r>
      <w:r>
        <w:rPr>
          <w:color w:val="231F20"/>
          <w:spacing w:val="-16"/>
          <w:w w:val="105"/>
        </w:rPr>
        <w:t> </w:t>
      </w:r>
      <w:r>
        <w:rPr>
          <w:color w:val="231F20"/>
          <w:w w:val="105"/>
        </w:rPr>
        <w:t>poder</w:t>
      </w:r>
      <w:r>
        <w:rPr>
          <w:color w:val="231F20"/>
          <w:spacing w:val="-16"/>
          <w:w w:val="105"/>
        </w:rPr>
        <w:t> </w:t>
      </w:r>
      <w:r>
        <w:rPr>
          <w:color w:val="231F20"/>
          <w:w w:val="105"/>
        </w:rPr>
        <w:t>tanto</w:t>
      </w:r>
      <w:r>
        <w:rPr>
          <w:color w:val="231F20"/>
          <w:spacing w:val="-16"/>
          <w:w w:val="105"/>
        </w:rPr>
        <w:t> </w:t>
      </w:r>
      <w:r>
        <w:rPr>
          <w:color w:val="231F20"/>
          <w:w w:val="105"/>
        </w:rPr>
        <w:t>del</w:t>
      </w:r>
      <w:r>
        <w:rPr>
          <w:color w:val="231F20"/>
          <w:spacing w:val="-16"/>
          <w:w w:val="105"/>
        </w:rPr>
        <w:t> </w:t>
      </w:r>
      <w:r>
        <w:rPr>
          <w:color w:val="231F20"/>
          <w:w w:val="105"/>
        </w:rPr>
        <w:t>partido</w:t>
      </w:r>
      <w:r>
        <w:rPr>
          <w:color w:val="231F20"/>
          <w:spacing w:val="-16"/>
          <w:w w:val="105"/>
        </w:rPr>
        <w:t> </w:t>
      </w:r>
      <w:r>
        <w:rPr>
          <w:color w:val="231F20"/>
          <w:w w:val="105"/>
        </w:rPr>
        <w:t>como</w:t>
      </w:r>
      <w:r>
        <w:rPr>
          <w:color w:val="231F20"/>
          <w:spacing w:val="-16"/>
          <w:w w:val="105"/>
        </w:rPr>
        <w:t> </w:t>
      </w:r>
      <w:r>
        <w:rPr>
          <w:color w:val="231F20"/>
          <w:w w:val="105"/>
        </w:rPr>
        <w:t>del</w:t>
      </w:r>
      <w:r>
        <w:rPr>
          <w:color w:val="231F20"/>
          <w:spacing w:val="-16"/>
          <w:w w:val="105"/>
        </w:rPr>
        <w:t> </w:t>
      </w:r>
      <w:r>
        <w:rPr>
          <w:color w:val="231F20"/>
          <w:w w:val="105"/>
        </w:rPr>
        <w:t>gobierno</w:t>
      </w:r>
      <w:r>
        <w:rPr>
          <w:color w:val="231F20"/>
          <w:spacing w:val="-16"/>
          <w:w w:val="105"/>
        </w:rPr>
        <w:t> </w:t>
      </w:r>
      <w:r>
        <w:rPr>
          <w:color w:val="231F20"/>
          <w:w w:val="105"/>
        </w:rPr>
        <w:t>por parte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organización</w:t>
      </w:r>
      <w:r>
        <w:rPr>
          <w:color w:val="231F20"/>
          <w:spacing w:val="-19"/>
          <w:w w:val="105"/>
        </w:rPr>
        <w:t> </w:t>
      </w:r>
      <w:r>
        <w:rPr>
          <w:color w:val="231F20"/>
          <w:w w:val="105"/>
        </w:rPr>
        <w:t>política</w:t>
      </w:r>
      <w:r>
        <w:rPr>
          <w:color w:val="231F20"/>
          <w:spacing w:val="-19"/>
          <w:w w:val="105"/>
        </w:rPr>
        <w:t> </w:t>
      </w:r>
      <w:r>
        <w:rPr>
          <w:color w:val="231F20"/>
          <w:w w:val="105"/>
        </w:rPr>
        <w:t>MOVIDIG.</w:t>
      </w:r>
    </w:p>
    <w:p>
      <w:pPr>
        <w:pStyle w:val="BodyText"/>
        <w:spacing w:before="1"/>
        <w:rPr>
          <w:sz w:val="26"/>
        </w:rPr>
      </w:pPr>
    </w:p>
    <w:p>
      <w:pPr>
        <w:pStyle w:val="BodyText"/>
        <w:spacing w:line="285" w:lineRule="auto"/>
        <w:ind w:left="110" w:right="108"/>
        <w:jc w:val="both"/>
      </w:pPr>
      <w:r>
        <w:rPr>
          <w:color w:val="231F20"/>
          <w:w w:val="105"/>
        </w:rPr>
        <w:t>En Nezahualcóyotl podemos identificar una convergencia entre los postulados y ob- jetivos del PRD y las acciones del gobierno, ello como consecuencia del dominio que presenta</w:t>
      </w:r>
      <w:r>
        <w:rPr>
          <w:color w:val="231F20"/>
          <w:spacing w:val="-9"/>
          <w:w w:val="105"/>
        </w:rPr>
        <w:t> </w:t>
      </w:r>
      <w:r>
        <w:rPr>
          <w:color w:val="231F20"/>
          <w:w w:val="105"/>
        </w:rPr>
        <w:t>la</w:t>
      </w:r>
      <w:r>
        <w:rPr>
          <w:color w:val="231F20"/>
          <w:spacing w:val="-9"/>
          <w:w w:val="105"/>
        </w:rPr>
        <w:t> </w:t>
      </w:r>
      <w:r>
        <w:rPr>
          <w:color w:val="231F20"/>
          <w:w w:val="105"/>
        </w:rPr>
        <w:t>organización</w:t>
      </w:r>
      <w:r>
        <w:rPr>
          <w:color w:val="231F20"/>
          <w:spacing w:val="-9"/>
          <w:w w:val="105"/>
        </w:rPr>
        <w:t> </w:t>
      </w:r>
      <w:r>
        <w:rPr>
          <w:color w:val="231F20"/>
          <w:w w:val="105"/>
        </w:rPr>
        <w:t>de</w:t>
      </w:r>
      <w:r>
        <w:rPr>
          <w:color w:val="231F20"/>
          <w:spacing w:val="-9"/>
          <w:w w:val="105"/>
        </w:rPr>
        <w:t> </w:t>
      </w:r>
      <w:r>
        <w:rPr>
          <w:color w:val="231F20"/>
          <w:w w:val="105"/>
        </w:rPr>
        <w:t>MOVIDIG</w:t>
      </w:r>
      <w:r>
        <w:rPr>
          <w:color w:val="231F20"/>
          <w:spacing w:val="-9"/>
          <w:w w:val="105"/>
        </w:rPr>
        <w:t> </w:t>
      </w:r>
      <w:r>
        <w:rPr>
          <w:color w:val="231F20"/>
          <w:w w:val="105"/>
        </w:rPr>
        <w:t>tanto</w:t>
      </w:r>
      <w:r>
        <w:rPr>
          <w:color w:val="231F20"/>
          <w:spacing w:val="-9"/>
          <w:w w:val="105"/>
        </w:rPr>
        <w:t> </w:t>
      </w:r>
      <w:r>
        <w:rPr>
          <w:color w:val="231F20"/>
          <w:spacing w:val="2"/>
          <w:w w:val="105"/>
        </w:rPr>
        <w:t>al</w:t>
      </w:r>
      <w:r>
        <w:rPr>
          <w:color w:val="231F20"/>
          <w:spacing w:val="-9"/>
          <w:w w:val="105"/>
        </w:rPr>
        <w:t> </w:t>
      </w:r>
      <w:r>
        <w:rPr>
          <w:color w:val="231F20"/>
          <w:w w:val="105"/>
        </w:rPr>
        <w:t>interior</w:t>
      </w:r>
      <w:r>
        <w:rPr>
          <w:color w:val="231F20"/>
          <w:spacing w:val="-9"/>
          <w:w w:val="105"/>
        </w:rPr>
        <w:t> </w:t>
      </w:r>
      <w:r>
        <w:rPr>
          <w:color w:val="231F20"/>
          <w:w w:val="105"/>
        </w:rPr>
        <w:t>del</w:t>
      </w:r>
      <w:r>
        <w:rPr>
          <w:color w:val="231F20"/>
          <w:spacing w:val="-9"/>
          <w:w w:val="105"/>
        </w:rPr>
        <w:t> </w:t>
      </w:r>
      <w:r>
        <w:rPr>
          <w:color w:val="231F20"/>
          <w:w w:val="105"/>
        </w:rPr>
        <w:t>partido</w:t>
      </w:r>
      <w:r>
        <w:rPr>
          <w:color w:val="231F20"/>
          <w:spacing w:val="-9"/>
          <w:w w:val="105"/>
        </w:rPr>
        <w:t> </w:t>
      </w:r>
      <w:r>
        <w:rPr>
          <w:color w:val="231F20"/>
          <w:w w:val="105"/>
        </w:rPr>
        <w:t>como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spacing w:val="-4"/>
          <w:w w:val="105"/>
        </w:rPr>
        <w:t>gobier- </w:t>
      </w:r>
      <w:r>
        <w:rPr>
          <w:color w:val="231F20"/>
          <w:w w:val="105"/>
        </w:rPr>
        <w:t>nos municipales (cuando menos de forma clara en las tres últimas administraciones). Inclusive podríamos llegar a decir que dicha corresponsabilidad entre las administra- ciones</w:t>
      </w:r>
      <w:r>
        <w:rPr>
          <w:color w:val="231F20"/>
          <w:spacing w:val="-19"/>
          <w:w w:val="105"/>
        </w:rPr>
        <w:t> </w:t>
      </w:r>
      <w:r>
        <w:rPr>
          <w:color w:val="231F20"/>
          <w:w w:val="105"/>
        </w:rPr>
        <w:t>perredistas</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principios</w:t>
      </w:r>
      <w:r>
        <w:rPr>
          <w:color w:val="231F20"/>
          <w:spacing w:val="-19"/>
          <w:w w:val="105"/>
        </w:rPr>
        <w:t> </w:t>
      </w:r>
      <w:r>
        <w:rPr>
          <w:color w:val="231F20"/>
          <w:w w:val="105"/>
        </w:rPr>
        <w:t>ideológicos</w:t>
      </w:r>
      <w:r>
        <w:rPr>
          <w:color w:val="231F20"/>
          <w:spacing w:val="-19"/>
          <w:w w:val="105"/>
        </w:rPr>
        <w:t> </w:t>
      </w:r>
      <w:r>
        <w:rPr>
          <w:color w:val="231F20"/>
          <w:w w:val="105"/>
        </w:rPr>
        <w:t>y</w:t>
      </w:r>
      <w:r>
        <w:rPr>
          <w:color w:val="231F20"/>
          <w:spacing w:val="-19"/>
          <w:w w:val="105"/>
        </w:rPr>
        <w:t> </w:t>
      </w:r>
      <w:r>
        <w:rPr>
          <w:color w:val="231F20"/>
          <w:w w:val="105"/>
        </w:rPr>
        <w:t>plataforma</w:t>
      </w:r>
      <w:r>
        <w:rPr>
          <w:color w:val="231F20"/>
          <w:spacing w:val="-19"/>
          <w:w w:val="105"/>
        </w:rPr>
        <w:t> </w:t>
      </w:r>
      <w:r>
        <w:rPr>
          <w:color w:val="231F20"/>
          <w:w w:val="105"/>
        </w:rPr>
        <w:t>política</w:t>
      </w:r>
      <w:r>
        <w:rPr>
          <w:color w:val="231F20"/>
          <w:spacing w:val="-19"/>
          <w:w w:val="105"/>
        </w:rPr>
        <w:t> </w:t>
      </w:r>
      <w:r>
        <w:rPr>
          <w:color w:val="231F20"/>
          <w:w w:val="105"/>
        </w:rPr>
        <w:t>del</w:t>
      </w:r>
      <w:r>
        <w:rPr>
          <w:color w:val="231F20"/>
          <w:spacing w:val="-19"/>
          <w:w w:val="105"/>
        </w:rPr>
        <w:t> </w:t>
      </w:r>
      <w:r>
        <w:rPr>
          <w:color w:val="231F20"/>
          <w:w w:val="105"/>
        </w:rPr>
        <w:t>partido</w:t>
      </w:r>
      <w:r>
        <w:rPr>
          <w:color w:val="231F20"/>
          <w:spacing w:val="-19"/>
          <w:w w:val="105"/>
        </w:rPr>
        <w:t> </w:t>
      </w:r>
      <w:r>
        <w:rPr>
          <w:color w:val="231F20"/>
          <w:w w:val="105"/>
        </w:rPr>
        <w:t>está</w:t>
      </w:r>
      <w:r>
        <w:rPr>
          <w:color w:val="231F20"/>
          <w:spacing w:val="-19"/>
          <w:w w:val="105"/>
        </w:rPr>
        <w:t> </w:t>
      </w:r>
      <w:r>
        <w:rPr>
          <w:color w:val="231F20"/>
          <w:w w:val="105"/>
        </w:rPr>
        <w:t>más sustentada</w:t>
      </w:r>
      <w:r>
        <w:rPr>
          <w:color w:val="231F20"/>
          <w:spacing w:val="-19"/>
          <w:w w:val="105"/>
        </w:rPr>
        <w:t> </w:t>
      </w:r>
      <w:r>
        <w:rPr>
          <w:color w:val="231F20"/>
          <w:w w:val="105"/>
        </w:rPr>
        <w:t>en</w:t>
      </w:r>
      <w:r>
        <w:rPr>
          <w:color w:val="231F20"/>
          <w:spacing w:val="-19"/>
          <w:w w:val="105"/>
        </w:rPr>
        <w:t> </w:t>
      </w:r>
      <w:r>
        <w:rPr>
          <w:color w:val="231F20"/>
          <w:w w:val="105"/>
        </w:rPr>
        <w:t>relación</w:t>
      </w:r>
      <w:r>
        <w:rPr>
          <w:color w:val="231F20"/>
          <w:spacing w:val="-19"/>
          <w:w w:val="105"/>
        </w:rPr>
        <w:t> </w:t>
      </w:r>
      <w:r>
        <w:rPr>
          <w:color w:val="231F20"/>
          <w:w w:val="105"/>
        </w:rPr>
        <w:t>con</w:t>
      </w:r>
      <w:r>
        <w:rPr>
          <w:color w:val="231F20"/>
          <w:spacing w:val="-19"/>
          <w:w w:val="105"/>
        </w:rPr>
        <w:t> </w:t>
      </w:r>
      <w:r>
        <w:rPr>
          <w:color w:val="231F20"/>
          <w:w w:val="105"/>
        </w:rPr>
        <w:t>los</w:t>
      </w:r>
      <w:r>
        <w:rPr>
          <w:color w:val="231F20"/>
          <w:spacing w:val="-19"/>
          <w:w w:val="105"/>
        </w:rPr>
        <w:t> </w:t>
      </w:r>
      <w:r>
        <w:rPr>
          <w:color w:val="231F20"/>
          <w:w w:val="105"/>
        </w:rPr>
        <w:t>intereses</w:t>
      </w:r>
      <w:r>
        <w:rPr>
          <w:color w:val="231F20"/>
          <w:spacing w:val="-19"/>
          <w:w w:val="105"/>
        </w:rPr>
        <w:t> </w:t>
      </w:r>
      <w:r>
        <w:rPr>
          <w:color w:val="231F20"/>
          <w:w w:val="105"/>
        </w:rPr>
        <w:t>y</w:t>
      </w:r>
      <w:r>
        <w:rPr>
          <w:color w:val="231F20"/>
          <w:spacing w:val="-19"/>
          <w:w w:val="105"/>
        </w:rPr>
        <w:t> </w:t>
      </w:r>
      <w:r>
        <w:rPr>
          <w:color w:val="231F20"/>
          <w:w w:val="105"/>
        </w:rPr>
        <w:t>objetivos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organización</w:t>
      </w:r>
      <w:r>
        <w:rPr>
          <w:color w:val="231F20"/>
          <w:spacing w:val="-19"/>
          <w:w w:val="105"/>
        </w:rPr>
        <w:t> </w:t>
      </w:r>
      <w:r>
        <w:rPr>
          <w:color w:val="231F20"/>
          <w:w w:val="105"/>
        </w:rPr>
        <w:t>de</w:t>
      </w:r>
      <w:r>
        <w:rPr>
          <w:color w:val="231F20"/>
          <w:spacing w:val="-19"/>
          <w:w w:val="105"/>
        </w:rPr>
        <w:t> </w:t>
      </w:r>
      <w:r>
        <w:rPr>
          <w:color w:val="231F20"/>
          <w:w w:val="105"/>
        </w:rPr>
        <w:t>MOVIDIG.</w:t>
      </w:r>
    </w:p>
    <w:p>
      <w:pPr>
        <w:pStyle w:val="BodyText"/>
        <w:spacing w:before="1"/>
        <w:rPr>
          <w:sz w:val="26"/>
        </w:rPr>
      </w:pPr>
    </w:p>
    <w:p>
      <w:pPr>
        <w:pStyle w:val="BodyText"/>
        <w:spacing w:line="285" w:lineRule="auto"/>
        <w:ind w:left="110" w:right="108"/>
        <w:jc w:val="both"/>
      </w:pPr>
      <w:r>
        <w:rPr>
          <w:color w:val="231F20"/>
          <w:w w:val="105"/>
        </w:rPr>
        <w:t>Sin </w:t>
      </w:r>
      <w:r>
        <w:rPr>
          <w:color w:val="231F20"/>
          <w:spacing w:val="-3"/>
          <w:w w:val="105"/>
        </w:rPr>
        <w:t>lugar </w:t>
      </w:r>
      <w:r>
        <w:rPr>
          <w:color w:val="231F20"/>
          <w:w w:val="105"/>
        </w:rPr>
        <w:t>a </w:t>
      </w:r>
      <w:r>
        <w:rPr>
          <w:color w:val="231F20"/>
          <w:spacing w:val="-3"/>
          <w:w w:val="105"/>
        </w:rPr>
        <w:t>dudas </w:t>
      </w:r>
      <w:r>
        <w:rPr>
          <w:color w:val="231F20"/>
          <w:w w:val="105"/>
        </w:rPr>
        <w:t>el desarrollo social </w:t>
      </w:r>
      <w:r>
        <w:rPr>
          <w:color w:val="231F20"/>
          <w:spacing w:val="-3"/>
          <w:w w:val="105"/>
        </w:rPr>
        <w:t>del municipio </w:t>
      </w:r>
      <w:r>
        <w:rPr>
          <w:color w:val="231F20"/>
          <w:w w:val="105"/>
        </w:rPr>
        <w:t>se sustenta en </w:t>
      </w:r>
      <w:r>
        <w:rPr>
          <w:color w:val="231F20"/>
          <w:spacing w:val="-3"/>
          <w:w w:val="105"/>
        </w:rPr>
        <w:t>buena </w:t>
      </w:r>
      <w:r>
        <w:rPr>
          <w:color w:val="231F20"/>
          <w:w w:val="105"/>
        </w:rPr>
        <w:t>medida en la </w:t>
      </w:r>
      <w:r>
        <w:rPr>
          <w:color w:val="231F20"/>
          <w:spacing w:val="-4"/>
          <w:w w:val="105"/>
        </w:rPr>
        <w:t>evolución</w:t>
      </w:r>
      <w:r>
        <w:rPr>
          <w:color w:val="231F20"/>
          <w:spacing w:val="-14"/>
          <w:w w:val="105"/>
        </w:rPr>
        <w:t> </w:t>
      </w:r>
      <w:r>
        <w:rPr>
          <w:color w:val="231F20"/>
          <w:w w:val="105"/>
        </w:rPr>
        <w:t>histórica</w:t>
      </w:r>
      <w:r>
        <w:rPr>
          <w:color w:val="231F20"/>
          <w:spacing w:val="-14"/>
          <w:w w:val="105"/>
        </w:rPr>
        <w:t> </w:t>
      </w:r>
      <w:r>
        <w:rPr>
          <w:color w:val="231F20"/>
          <w:w w:val="105"/>
        </w:rPr>
        <w:t>de</w:t>
      </w:r>
      <w:r>
        <w:rPr>
          <w:color w:val="231F20"/>
          <w:spacing w:val="-14"/>
          <w:w w:val="105"/>
        </w:rPr>
        <w:t> </w:t>
      </w:r>
      <w:r>
        <w:rPr>
          <w:color w:val="231F20"/>
          <w:w w:val="105"/>
        </w:rPr>
        <w:t>sus</w:t>
      </w:r>
      <w:r>
        <w:rPr>
          <w:color w:val="231F20"/>
          <w:spacing w:val="-14"/>
          <w:w w:val="105"/>
        </w:rPr>
        <w:t> </w:t>
      </w:r>
      <w:r>
        <w:rPr>
          <w:color w:val="231F20"/>
          <w:w w:val="105"/>
        </w:rPr>
        <w:t>servicios</w:t>
      </w:r>
      <w:r>
        <w:rPr>
          <w:color w:val="231F20"/>
          <w:spacing w:val="-14"/>
          <w:w w:val="105"/>
        </w:rPr>
        <w:t> </w:t>
      </w:r>
      <w:r>
        <w:rPr>
          <w:color w:val="231F20"/>
          <w:spacing w:val="-3"/>
          <w:w w:val="105"/>
        </w:rPr>
        <w:t>públicos</w:t>
      </w:r>
      <w:r>
        <w:rPr>
          <w:color w:val="231F20"/>
          <w:spacing w:val="-14"/>
          <w:w w:val="105"/>
        </w:rPr>
        <w:t> </w:t>
      </w:r>
      <w:r>
        <w:rPr>
          <w:color w:val="231F20"/>
          <w:spacing w:val="-3"/>
          <w:w w:val="105"/>
        </w:rPr>
        <w:t>básicos,</w:t>
      </w:r>
      <w:r>
        <w:rPr>
          <w:color w:val="231F20"/>
          <w:spacing w:val="-14"/>
          <w:w w:val="105"/>
        </w:rPr>
        <w:t> </w:t>
      </w:r>
      <w:r>
        <w:rPr>
          <w:color w:val="231F20"/>
          <w:spacing w:val="-3"/>
          <w:w w:val="105"/>
        </w:rPr>
        <w:t>llegando</w:t>
      </w:r>
      <w:r>
        <w:rPr>
          <w:color w:val="231F20"/>
          <w:spacing w:val="-14"/>
          <w:w w:val="105"/>
        </w:rPr>
        <w:t> </w:t>
      </w:r>
      <w:r>
        <w:rPr>
          <w:color w:val="231F20"/>
          <w:w w:val="105"/>
        </w:rPr>
        <w:t>a</w:t>
      </w:r>
      <w:r>
        <w:rPr>
          <w:color w:val="231F20"/>
          <w:spacing w:val="-14"/>
          <w:w w:val="105"/>
        </w:rPr>
        <w:t> </w:t>
      </w:r>
      <w:r>
        <w:rPr>
          <w:color w:val="231F20"/>
          <w:w w:val="105"/>
        </w:rPr>
        <w:t>un</w:t>
      </w:r>
      <w:r>
        <w:rPr>
          <w:color w:val="231F20"/>
          <w:spacing w:val="-14"/>
          <w:w w:val="105"/>
        </w:rPr>
        <w:t> </w:t>
      </w:r>
      <w:r>
        <w:rPr>
          <w:color w:val="231F20"/>
          <w:w w:val="105"/>
        </w:rPr>
        <w:t>alto</w:t>
      </w:r>
      <w:r>
        <w:rPr>
          <w:color w:val="231F20"/>
          <w:spacing w:val="-14"/>
          <w:w w:val="105"/>
        </w:rPr>
        <w:t> </w:t>
      </w:r>
      <w:r>
        <w:rPr>
          <w:color w:val="231F20"/>
          <w:spacing w:val="-3"/>
          <w:w w:val="105"/>
        </w:rPr>
        <w:t>grado</w:t>
      </w:r>
      <w:r>
        <w:rPr>
          <w:color w:val="231F20"/>
          <w:spacing w:val="-14"/>
          <w:w w:val="105"/>
        </w:rPr>
        <w:t> </w:t>
      </w:r>
      <w:r>
        <w:rPr>
          <w:color w:val="231F20"/>
          <w:w w:val="105"/>
        </w:rPr>
        <w:t>de</w:t>
      </w:r>
      <w:r>
        <w:rPr>
          <w:color w:val="231F20"/>
          <w:spacing w:val="-14"/>
          <w:w w:val="105"/>
        </w:rPr>
        <w:t> </w:t>
      </w:r>
      <w:r>
        <w:rPr>
          <w:color w:val="231F20"/>
          <w:w w:val="105"/>
        </w:rPr>
        <w:t>urbani- </w:t>
      </w:r>
      <w:r>
        <w:rPr>
          <w:color w:val="231F20"/>
          <w:spacing w:val="-4"/>
          <w:w w:val="105"/>
        </w:rPr>
        <w:t>zación,</w:t>
      </w:r>
      <w:r>
        <w:rPr>
          <w:color w:val="231F20"/>
          <w:spacing w:val="-13"/>
          <w:w w:val="105"/>
        </w:rPr>
        <w:t> </w:t>
      </w:r>
      <w:r>
        <w:rPr>
          <w:color w:val="231F20"/>
          <w:spacing w:val="-3"/>
          <w:w w:val="105"/>
        </w:rPr>
        <w:t>reflejado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cobertura</w:t>
      </w:r>
      <w:r>
        <w:rPr>
          <w:color w:val="231F20"/>
          <w:spacing w:val="-13"/>
          <w:w w:val="105"/>
        </w:rPr>
        <w:t> </w:t>
      </w:r>
      <w:r>
        <w:rPr>
          <w:color w:val="231F20"/>
          <w:w w:val="105"/>
        </w:rPr>
        <w:t>casi</w:t>
      </w:r>
      <w:r>
        <w:rPr>
          <w:color w:val="231F20"/>
          <w:spacing w:val="-13"/>
          <w:w w:val="105"/>
        </w:rPr>
        <w:t> </w:t>
      </w:r>
      <w:r>
        <w:rPr>
          <w:color w:val="231F20"/>
          <w:w w:val="105"/>
        </w:rPr>
        <w:t>total</w:t>
      </w:r>
      <w:r>
        <w:rPr>
          <w:color w:val="231F20"/>
          <w:spacing w:val="-13"/>
          <w:w w:val="105"/>
        </w:rPr>
        <w:t> </w:t>
      </w:r>
      <w:r>
        <w:rPr>
          <w:color w:val="231F20"/>
          <w:w w:val="105"/>
        </w:rPr>
        <w:t>de</w:t>
      </w:r>
      <w:r>
        <w:rPr>
          <w:color w:val="231F20"/>
          <w:spacing w:val="-13"/>
          <w:w w:val="105"/>
        </w:rPr>
        <w:t> </w:t>
      </w:r>
      <w:r>
        <w:rPr>
          <w:color w:val="231F20"/>
          <w:spacing w:val="-3"/>
          <w:w w:val="105"/>
        </w:rPr>
        <w:t>dichos</w:t>
      </w:r>
      <w:r>
        <w:rPr>
          <w:color w:val="231F20"/>
          <w:spacing w:val="-13"/>
          <w:w w:val="105"/>
        </w:rPr>
        <w:t> </w:t>
      </w:r>
      <w:r>
        <w:rPr>
          <w:color w:val="231F20"/>
          <w:w w:val="105"/>
        </w:rPr>
        <w:t>servicios.</w:t>
      </w:r>
      <w:r>
        <w:rPr>
          <w:color w:val="231F20"/>
          <w:spacing w:val="-13"/>
          <w:w w:val="105"/>
        </w:rPr>
        <w:t> </w:t>
      </w:r>
      <w:r>
        <w:rPr>
          <w:color w:val="231F20"/>
          <w:spacing w:val="-3"/>
          <w:w w:val="105"/>
        </w:rPr>
        <w:t>No</w:t>
      </w:r>
      <w:r>
        <w:rPr>
          <w:color w:val="231F20"/>
          <w:spacing w:val="-13"/>
          <w:w w:val="105"/>
        </w:rPr>
        <w:t> </w:t>
      </w:r>
      <w:r>
        <w:rPr>
          <w:color w:val="231F20"/>
          <w:w w:val="105"/>
        </w:rPr>
        <w:t>obstante,</w:t>
      </w:r>
      <w:r>
        <w:rPr>
          <w:color w:val="231F20"/>
          <w:spacing w:val="-13"/>
          <w:w w:val="105"/>
        </w:rPr>
        <w:t> </w:t>
      </w:r>
      <w:r>
        <w:rPr>
          <w:color w:val="231F20"/>
          <w:w w:val="105"/>
        </w:rPr>
        <w:t>es</w:t>
      </w:r>
      <w:r>
        <w:rPr>
          <w:color w:val="231F20"/>
          <w:spacing w:val="-13"/>
          <w:w w:val="105"/>
        </w:rPr>
        <w:t> </w:t>
      </w:r>
      <w:r>
        <w:rPr>
          <w:color w:val="231F20"/>
          <w:spacing w:val="-3"/>
          <w:w w:val="105"/>
        </w:rPr>
        <w:t>tiempo</w:t>
      </w:r>
      <w:r>
        <w:rPr>
          <w:color w:val="231F20"/>
          <w:spacing w:val="-13"/>
          <w:w w:val="105"/>
        </w:rPr>
        <w:t> </w:t>
      </w:r>
      <w:r>
        <w:rPr>
          <w:color w:val="231F20"/>
          <w:w w:val="105"/>
        </w:rPr>
        <w:t>de </w:t>
      </w:r>
      <w:r>
        <w:rPr>
          <w:color w:val="231F20"/>
          <w:spacing w:val="-3"/>
          <w:w w:val="105"/>
        </w:rPr>
        <w:t>que</w:t>
      </w:r>
      <w:r>
        <w:rPr>
          <w:color w:val="231F20"/>
          <w:spacing w:val="-17"/>
          <w:w w:val="105"/>
        </w:rPr>
        <w:t> </w:t>
      </w:r>
      <w:r>
        <w:rPr>
          <w:color w:val="231F20"/>
          <w:w w:val="105"/>
        </w:rPr>
        <w:t>el</w:t>
      </w:r>
      <w:r>
        <w:rPr>
          <w:color w:val="231F20"/>
          <w:spacing w:val="-17"/>
          <w:w w:val="105"/>
        </w:rPr>
        <w:t> </w:t>
      </w:r>
      <w:r>
        <w:rPr>
          <w:color w:val="231F20"/>
          <w:spacing w:val="-4"/>
          <w:w w:val="105"/>
        </w:rPr>
        <w:t>gobierno</w:t>
      </w:r>
      <w:r>
        <w:rPr>
          <w:color w:val="231F20"/>
          <w:spacing w:val="-17"/>
          <w:w w:val="105"/>
        </w:rPr>
        <w:t> </w:t>
      </w:r>
      <w:r>
        <w:rPr>
          <w:color w:val="231F20"/>
          <w:w w:val="105"/>
        </w:rPr>
        <w:t>municipal</w:t>
      </w:r>
      <w:r>
        <w:rPr>
          <w:color w:val="231F20"/>
          <w:spacing w:val="-17"/>
          <w:w w:val="105"/>
        </w:rPr>
        <w:t> </w:t>
      </w:r>
      <w:r>
        <w:rPr>
          <w:color w:val="231F20"/>
          <w:w w:val="105"/>
        </w:rPr>
        <w:t>pase</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cobertura</w:t>
      </w:r>
      <w:r>
        <w:rPr>
          <w:color w:val="231F20"/>
          <w:spacing w:val="-17"/>
          <w:w w:val="105"/>
        </w:rPr>
        <w:t> </w:t>
      </w:r>
      <w:r>
        <w:rPr>
          <w:color w:val="231F20"/>
          <w:w w:val="105"/>
        </w:rPr>
        <w:t>cuantitativa</w:t>
      </w:r>
      <w:r>
        <w:rPr>
          <w:color w:val="231F20"/>
          <w:spacing w:val="-17"/>
          <w:w w:val="105"/>
        </w:rPr>
        <w:t> </w:t>
      </w:r>
      <w:r>
        <w:rPr>
          <w:color w:val="231F20"/>
          <w:w w:val="105"/>
        </w:rPr>
        <w:t>de</w:t>
      </w:r>
      <w:r>
        <w:rPr>
          <w:color w:val="231F20"/>
          <w:spacing w:val="-17"/>
          <w:w w:val="105"/>
        </w:rPr>
        <w:t> </w:t>
      </w:r>
      <w:r>
        <w:rPr>
          <w:color w:val="231F20"/>
          <w:w w:val="105"/>
        </w:rPr>
        <w:t>estos</w:t>
      </w:r>
      <w:r>
        <w:rPr>
          <w:color w:val="231F20"/>
          <w:spacing w:val="-17"/>
          <w:w w:val="105"/>
        </w:rPr>
        <w:t> </w:t>
      </w:r>
      <w:r>
        <w:rPr>
          <w:color w:val="231F20"/>
          <w:w w:val="105"/>
        </w:rPr>
        <w:t>a</w:t>
      </w:r>
      <w:r>
        <w:rPr>
          <w:color w:val="231F20"/>
          <w:spacing w:val="-17"/>
          <w:w w:val="105"/>
        </w:rPr>
        <w:t> </w:t>
      </w:r>
      <w:r>
        <w:rPr>
          <w:color w:val="231F20"/>
          <w:w w:val="105"/>
        </w:rPr>
        <w:t>una</w:t>
      </w:r>
      <w:r>
        <w:rPr>
          <w:color w:val="231F20"/>
          <w:spacing w:val="-17"/>
          <w:w w:val="105"/>
        </w:rPr>
        <w:t> </w:t>
      </w:r>
      <w:r>
        <w:rPr>
          <w:color w:val="231F20"/>
          <w:w w:val="105"/>
        </w:rPr>
        <w:t>cobertura</w:t>
      </w:r>
      <w:r>
        <w:rPr>
          <w:color w:val="231F20"/>
          <w:spacing w:val="-17"/>
          <w:w w:val="105"/>
        </w:rPr>
        <w:t> </w:t>
      </w:r>
      <w:r>
        <w:rPr>
          <w:color w:val="231F20"/>
          <w:spacing w:val="-3"/>
          <w:w w:val="105"/>
        </w:rPr>
        <w:t>cua- </w:t>
      </w:r>
      <w:r>
        <w:rPr>
          <w:color w:val="231F20"/>
          <w:w w:val="105"/>
        </w:rPr>
        <w:t>litativa;</w:t>
      </w:r>
      <w:r>
        <w:rPr>
          <w:color w:val="231F20"/>
          <w:spacing w:val="-22"/>
          <w:w w:val="105"/>
        </w:rPr>
        <w:t> </w:t>
      </w:r>
      <w:r>
        <w:rPr>
          <w:color w:val="231F20"/>
          <w:spacing w:val="-3"/>
          <w:w w:val="105"/>
        </w:rPr>
        <w:t>además</w:t>
      </w:r>
      <w:r>
        <w:rPr>
          <w:color w:val="231F20"/>
          <w:spacing w:val="-22"/>
          <w:w w:val="105"/>
        </w:rPr>
        <w:t> </w:t>
      </w:r>
      <w:r>
        <w:rPr>
          <w:color w:val="231F20"/>
          <w:w w:val="105"/>
        </w:rPr>
        <w:t>de</w:t>
      </w:r>
      <w:r>
        <w:rPr>
          <w:color w:val="231F20"/>
          <w:spacing w:val="-22"/>
          <w:w w:val="105"/>
        </w:rPr>
        <w:t> </w:t>
      </w:r>
      <w:r>
        <w:rPr>
          <w:color w:val="231F20"/>
          <w:w w:val="105"/>
        </w:rPr>
        <w:t>impulsar</w:t>
      </w:r>
      <w:r>
        <w:rPr>
          <w:color w:val="231F20"/>
          <w:spacing w:val="-22"/>
          <w:w w:val="105"/>
        </w:rPr>
        <w:t> </w:t>
      </w:r>
      <w:r>
        <w:rPr>
          <w:color w:val="231F20"/>
          <w:spacing w:val="-3"/>
          <w:w w:val="105"/>
        </w:rPr>
        <w:t>decididamente</w:t>
      </w:r>
      <w:r>
        <w:rPr>
          <w:color w:val="231F20"/>
          <w:spacing w:val="-22"/>
          <w:w w:val="105"/>
        </w:rPr>
        <w:t> </w:t>
      </w:r>
      <w:r>
        <w:rPr>
          <w:color w:val="231F20"/>
          <w:w w:val="105"/>
        </w:rPr>
        <w:t>el</w:t>
      </w:r>
      <w:r>
        <w:rPr>
          <w:color w:val="231F20"/>
          <w:spacing w:val="-22"/>
          <w:w w:val="105"/>
        </w:rPr>
        <w:t> </w:t>
      </w:r>
      <w:r>
        <w:rPr>
          <w:color w:val="231F20"/>
          <w:w w:val="105"/>
        </w:rPr>
        <w:t>desarrollo</w:t>
      </w:r>
      <w:r>
        <w:rPr>
          <w:color w:val="231F20"/>
          <w:spacing w:val="-22"/>
          <w:w w:val="105"/>
        </w:rPr>
        <w:t> </w:t>
      </w:r>
      <w:r>
        <w:rPr>
          <w:color w:val="231F20"/>
          <w:spacing w:val="-3"/>
          <w:w w:val="105"/>
        </w:rPr>
        <w:t>económico</w:t>
      </w:r>
      <w:r>
        <w:rPr>
          <w:color w:val="231F20"/>
          <w:spacing w:val="-22"/>
          <w:w w:val="105"/>
        </w:rPr>
        <w:t> </w:t>
      </w:r>
      <w:r>
        <w:rPr>
          <w:color w:val="231F20"/>
          <w:w w:val="105"/>
        </w:rPr>
        <w:t>a</w:t>
      </w:r>
      <w:r>
        <w:rPr>
          <w:color w:val="231F20"/>
          <w:spacing w:val="-22"/>
          <w:w w:val="105"/>
        </w:rPr>
        <w:t> </w:t>
      </w:r>
      <w:r>
        <w:rPr>
          <w:color w:val="231F20"/>
          <w:spacing w:val="-3"/>
          <w:w w:val="105"/>
        </w:rPr>
        <w:t>través</w:t>
      </w:r>
      <w:r>
        <w:rPr>
          <w:color w:val="231F20"/>
          <w:spacing w:val="-22"/>
          <w:w w:val="105"/>
        </w:rPr>
        <w:t> </w:t>
      </w:r>
      <w:r>
        <w:rPr>
          <w:color w:val="231F20"/>
          <w:w w:val="105"/>
        </w:rPr>
        <w:t>de</w:t>
      </w:r>
      <w:r>
        <w:rPr>
          <w:color w:val="231F20"/>
          <w:spacing w:val="-22"/>
          <w:w w:val="105"/>
        </w:rPr>
        <w:t> </w:t>
      </w:r>
      <w:r>
        <w:rPr>
          <w:color w:val="231F20"/>
          <w:spacing w:val="-4"/>
          <w:w w:val="105"/>
        </w:rPr>
        <w:t>proyectos </w:t>
      </w:r>
      <w:r>
        <w:rPr>
          <w:color w:val="231F20"/>
          <w:spacing w:val="-3"/>
          <w:w w:val="105"/>
        </w:rPr>
        <w:t>productivos</w:t>
      </w:r>
      <w:r>
        <w:rPr>
          <w:color w:val="231F20"/>
          <w:spacing w:val="-14"/>
          <w:w w:val="105"/>
        </w:rPr>
        <w:t> </w:t>
      </w:r>
      <w:r>
        <w:rPr>
          <w:color w:val="231F20"/>
          <w:spacing w:val="-3"/>
          <w:w w:val="105"/>
        </w:rPr>
        <w:t>que</w:t>
      </w:r>
      <w:r>
        <w:rPr>
          <w:color w:val="231F20"/>
          <w:spacing w:val="-14"/>
          <w:w w:val="105"/>
        </w:rPr>
        <w:t> </w:t>
      </w:r>
      <w:r>
        <w:rPr>
          <w:color w:val="231F20"/>
          <w:spacing w:val="-4"/>
          <w:w w:val="105"/>
        </w:rPr>
        <w:t>generen</w:t>
      </w:r>
      <w:r>
        <w:rPr>
          <w:color w:val="231F20"/>
          <w:spacing w:val="-14"/>
          <w:w w:val="105"/>
        </w:rPr>
        <w:t> </w:t>
      </w:r>
      <w:r>
        <w:rPr>
          <w:color w:val="231F20"/>
          <w:spacing w:val="-3"/>
          <w:w w:val="105"/>
        </w:rPr>
        <w:t>crecimiento</w:t>
      </w:r>
      <w:r>
        <w:rPr>
          <w:color w:val="231F20"/>
          <w:spacing w:val="-14"/>
          <w:w w:val="105"/>
        </w:rPr>
        <w:t> </w:t>
      </w:r>
      <w:r>
        <w:rPr>
          <w:color w:val="231F20"/>
          <w:w w:val="105"/>
        </w:rPr>
        <w:t>y</w:t>
      </w:r>
      <w:r>
        <w:rPr>
          <w:color w:val="231F20"/>
          <w:spacing w:val="-14"/>
          <w:w w:val="105"/>
        </w:rPr>
        <w:t> </w:t>
      </w:r>
      <w:r>
        <w:rPr>
          <w:color w:val="231F20"/>
          <w:spacing w:val="-4"/>
          <w:w w:val="105"/>
        </w:rPr>
        <w:t>mejores</w:t>
      </w:r>
      <w:r>
        <w:rPr>
          <w:color w:val="231F20"/>
          <w:spacing w:val="-14"/>
          <w:w w:val="105"/>
        </w:rPr>
        <w:t> </w:t>
      </w:r>
      <w:r>
        <w:rPr>
          <w:color w:val="231F20"/>
          <w:spacing w:val="-4"/>
          <w:w w:val="105"/>
        </w:rPr>
        <w:t>condiciones</w:t>
      </w:r>
      <w:r>
        <w:rPr>
          <w:color w:val="231F20"/>
          <w:spacing w:val="-14"/>
          <w:w w:val="105"/>
        </w:rPr>
        <w:t> </w:t>
      </w:r>
      <w:r>
        <w:rPr>
          <w:color w:val="231F20"/>
          <w:w w:val="105"/>
        </w:rPr>
        <w:t>de</w:t>
      </w:r>
      <w:r>
        <w:rPr>
          <w:color w:val="231F20"/>
          <w:spacing w:val="-14"/>
          <w:w w:val="105"/>
        </w:rPr>
        <w:t> </w:t>
      </w:r>
      <w:r>
        <w:rPr>
          <w:color w:val="231F20"/>
          <w:w w:val="105"/>
        </w:rPr>
        <w:t>vida</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spacing w:val="-4"/>
          <w:w w:val="105"/>
        </w:rPr>
        <w:t>población.</w:t>
      </w:r>
    </w:p>
    <w:p>
      <w:pPr>
        <w:pStyle w:val="BodyText"/>
        <w:spacing w:before="1"/>
        <w:rPr>
          <w:sz w:val="26"/>
        </w:rPr>
      </w:pPr>
    </w:p>
    <w:p>
      <w:pPr>
        <w:pStyle w:val="BodyText"/>
        <w:spacing w:line="285" w:lineRule="auto"/>
        <w:ind w:left="110" w:right="108"/>
        <w:jc w:val="both"/>
      </w:pPr>
      <w:r>
        <w:rPr>
          <w:color w:val="231F20"/>
          <w:w w:val="105"/>
        </w:rPr>
        <w:t>Es importante reconocer que en la actualidad el gobierno del PRD en Nezahualcóyotl ejerce</w:t>
      </w:r>
      <w:r>
        <w:rPr>
          <w:color w:val="231F20"/>
          <w:spacing w:val="-6"/>
          <w:w w:val="105"/>
        </w:rPr>
        <w:t> </w:t>
      </w:r>
      <w:r>
        <w:rPr>
          <w:color w:val="231F20"/>
          <w:w w:val="105"/>
        </w:rPr>
        <w:t>un</w:t>
      </w:r>
      <w:r>
        <w:rPr>
          <w:color w:val="231F20"/>
          <w:spacing w:val="-6"/>
          <w:w w:val="105"/>
        </w:rPr>
        <w:t> </w:t>
      </w:r>
      <w:r>
        <w:rPr>
          <w:color w:val="231F20"/>
          <w:w w:val="105"/>
        </w:rPr>
        <w:t>importante</w:t>
      </w:r>
      <w:r>
        <w:rPr>
          <w:color w:val="231F20"/>
          <w:spacing w:val="-6"/>
          <w:w w:val="105"/>
        </w:rPr>
        <w:t> </w:t>
      </w:r>
      <w:r>
        <w:rPr>
          <w:color w:val="231F20"/>
          <w:w w:val="105"/>
        </w:rPr>
        <w:t>presupuesto</w:t>
      </w:r>
      <w:r>
        <w:rPr>
          <w:color w:val="231F20"/>
          <w:spacing w:val="-6"/>
          <w:w w:val="105"/>
        </w:rPr>
        <w:t> </w:t>
      </w:r>
      <w:r>
        <w:rPr>
          <w:color w:val="231F20"/>
          <w:w w:val="105"/>
        </w:rPr>
        <w:t>en</w:t>
      </w:r>
      <w:r>
        <w:rPr>
          <w:color w:val="231F20"/>
          <w:spacing w:val="-6"/>
          <w:w w:val="105"/>
        </w:rPr>
        <w:t> </w:t>
      </w:r>
      <w:r>
        <w:rPr>
          <w:color w:val="231F20"/>
          <w:w w:val="105"/>
        </w:rPr>
        <w:t>obra</w:t>
      </w:r>
      <w:r>
        <w:rPr>
          <w:color w:val="231F20"/>
          <w:spacing w:val="-6"/>
          <w:w w:val="105"/>
        </w:rPr>
        <w:t> </w:t>
      </w:r>
      <w:r>
        <w:rPr>
          <w:color w:val="231F20"/>
          <w:w w:val="105"/>
        </w:rPr>
        <w:t>pública,</w:t>
      </w:r>
      <w:r>
        <w:rPr>
          <w:color w:val="231F20"/>
          <w:spacing w:val="-6"/>
          <w:w w:val="105"/>
        </w:rPr>
        <w:t> </w:t>
      </w:r>
      <w:r>
        <w:rPr>
          <w:color w:val="231F20"/>
          <w:w w:val="105"/>
        </w:rPr>
        <w:t>basado</w:t>
      </w:r>
      <w:r>
        <w:rPr>
          <w:color w:val="231F20"/>
          <w:spacing w:val="-6"/>
          <w:w w:val="105"/>
        </w:rPr>
        <w:t> </w:t>
      </w:r>
      <w:r>
        <w:rPr>
          <w:color w:val="231F20"/>
          <w:w w:val="105"/>
        </w:rPr>
        <w:t>prioritariamente</w:t>
      </w:r>
      <w:r>
        <w:rPr>
          <w:color w:val="231F20"/>
          <w:spacing w:val="-6"/>
          <w:w w:val="105"/>
        </w:rPr>
        <w:t> </w:t>
      </w:r>
      <w:r>
        <w:rPr>
          <w:color w:val="231F20"/>
          <w:w w:val="105"/>
        </w:rPr>
        <w:t>en</w:t>
      </w:r>
      <w:r>
        <w:rPr>
          <w:color w:val="231F20"/>
          <w:spacing w:val="-6"/>
          <w:w w:val="105"/>
        </w:rPr>
        <w:t> </w:t>
      </w:r>
      <w:r>
        <w:rPr>
          <w:color w:val="231F20"/>
          <w:w w:val="105"/>
        </w:rPr>
        <w:t>recursos derivados de la Federación y del Estado de México, lo cual no es nada desdeñable en la búsqueda de una cobertura de servicios públicos de mayor calidad. Sin embargo es necesario impulsar el desarrollo económico productivo del municipio que sea capaz de responder a la creciente demanda de empleos bien remunerados, para hacer </w:t>
      </w:r>
      <w:r>
        <w:rPr>
          <w:color w:val="231F20"/>
          <w:spacing w:val="16"/>
          <w:w w:val="105"/>
        </w:rPr>
        <w:t> </w:t>
      </w:r>
      <w:r>
        <w:rPr>
          <w:color w:val="231F20"/>
          <w:w w:val="105"/>
        </w:rPr>
        <w:t>frente</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spacing w:val="2"/>
        </w:rPr>
        <w:t>al </w:t>
      </w:r>
      <w:r>
        <w:rPr>
          <w:color w:val="231F20"/>
        </w:rPr>
        <w:t>desempleo y subempleo en un contexto de amplia informalidad. Además de que es necesario aprovechar el capital humano que se ha desarrollado en el municipio, con una creciente población con niveles educativos altos e inclusive profesionales, quienes ante    la falta de espacios de trabajo se ven en la necesidad de buscar su desarrollo laboral y profesional fuera de la</w:t>
      </w:r>
      <w:r>
        <w:rPr>
          <w:color w:val="231F20"/>
          <w:spacing w:val="50"/>
        </w:rPr>
        <w:t> </w:t>
      </w:r>
      <w:r>
        <w:rPr>
          <w:color w:val="231F20"/>
        </w:rPr>
        <w:t>localidad.</w:t>
      </w:r>
    </w:p>
    <w:p>
      <w:pPr>
        <w:pStyle w:val="BodyText"/>
        <w:spacing w:before="1"/>
        <w:rPr>
          <w:sz w:val="26"/>
        </w:rPr>
      </w:pPr>
    </w:p>
    <w:p>
      <w:pPr>
        <w:pStyle w:val="BodyText"/>
        <w:spacing w:line="285" w:lineRule="auto"/>
        <w:ind w:left="110" w:right="107"/>
        <w:jc w:val="both"/>
      </w:pPr>
      <w:r>
        <w:rPr>
          <w:color w:val="231F20"/>
          <w:w w:val="105"/>
        </w:rPr>
        <w:t>En</w:t>
      </w:r>
      <w:r>
        <w:rPr>
          <w:color w:val="231F20"/>
          <w:spacing w:val="-26"/>
          <w:w w:val="105"/>
        </w:rPr>
        <w:t> </w:t>
      </w:r>
      <w:r>
        <w:rPr>
          <w:color w:val="231F20"/>
          <w:w w:val="105"/>
        </w:rPr>
        <w:t>cuanto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socialización</w:t>
      </w:r>
      <w:r>
        <w:rPr>
          <w:color w:val="231F20"/>
          <w:spacing w:val="-26"/>
          <w:w w:val="105"/>
        </w:rPr>
        <w:t> </w:t>
      </w:r>
      <w:r>
        <w:rPr>
          <w:color w:val="231F20"/>
          <w:w w:val="105"/>
        </w:rPr>
        <w:t>del</w:t>
      </w:r>
      <w:r>
        <w:rPr>
          <w:color w:val="231F20"/>
          <w:spacing w:val="-26"/>
          <w:w w:val="105"/>
        </w:rPr>
        <w:t> </w:t>
      </w:r>
      <w:r>
        <w:rPr>
          <w:color w:val="231F20"/>
          <w:w w:val="105"/>
        </w:rPr>
        <w:t>gasto</w:t>
      </w:r>
      <w:r>
        <w:rPr>
          <w:color w:val="231F20"/>
          <w:spacing w:val="-26"/>
          <w:w w:val="105"/>
        </w:rPr>
        <w:t> </w:t>
      </w:r>
      <w:r>
        <w:rPr>
          <w:color w:val="231F20"/>
          <w:w w:val="105"/>
        </w:rPr>
        <w:t>público</w:t>
      </w:r>
      <w:r>
        <w:rPr>
          <w:color w:val="231F20"/>
          <w:spacing w:val="-26"/>
          <w:w w:val="105"/>
        </w:rPr>
        <w:t> </w:t>
      </w:r>
      <w:r>
        <w:rPr>
          <w:color w:val="231F20"/>
          <w:w w:val="105"/>
        </w:rPr>
        <w:t>a</w:t>
      </w:r>
      <w:r>
        <w:rPr>
          <w:color w:val="231F20"/>
          <w:spacing w:val="-26"/>
          <w:w w:val="105"/>
        </w:rPr>
        <w:t> </w:t>
      </w:r>
      <w:r>
        <w:rPr>
          <w:color w:val="231F20"/>
          <w:w w:val="105"/>
        </w:rPr>
        <w:t>través</w:t>
      </w:r>
      <w:r>
        <w:rPr>
          <w:color w:val="231F20"/>
          <w:spacing w:val="-26"/>
          <w:w w:val="105"/>
        </w:rPr>
        <w:t> </w:t>
      </w:r>
      <w:r>
        <w:rPr>
          <w:color w:val="231F20"/>
          <w:w w:val="105"/>
        </w:rPr>
        <w:t>de</w:t>
      </w:r>
      <w:r>
        <w:rPr>
          <w:color w:val="231F20"/>
          <w:spacing w:val="-26"/>
          <w:w w:val="105"/>
        </w:rPr>
        <w:t> </w:t>
      </w:r>
      <w:r>
        <w:rPr>
          <w:color w:val="231F20"/>
          <w:w w:val="105"/>
        </w:rPr>
        <w:t>programas</w:t>
      </w:r>
      <w:r>
        <w:rPr>
          <w:color w:val="231F20"/>
          <w:spacing w:val="-26"/>
          <w:w w:val="105"/>
        </w:rPr>
        <w:t> </w:t>
      </w:r>
      <w:r>
        <w:rPr>
          <w:color w:val="231F20"/>
          <w:w w:val="105"/>
        </w:rPr>
        <w:t>sociales</w:t>
      </w:r>
      <w:r>
        <w:rPr>
          <w:color w:val="231F20"/>
          <w:spacing w:val="-26"/>
          <w:w w:val="105"/>
        </w:rPr>
        <w:t> </w:t>
      </w:r>
      <w:r>
        <w:rPr>
          <w:color w:val="231F20"/>
          <w:w w:val="105"/>
        </w:rPr>
        <w:t>es</w:t>
      </w:r>
      <w:r>
        <w:rPr>
          <w:color w:val="231F20"/>
          <w:spacing w:val="-26"/>
          <w:w w:val="105"/>
        </w:rPr>
        <w:t> </w:t>
      </w:r>
      <w:r>
        <w:rPr>
          <w:color w:val="231F20"/>
          <w:w w:val="105"/>
        </w:rPr>
        <w:t>loable,</w:t>
      </w:r>
      <w:r>
        <w:rPr>
          <w:color w:val="231F20"/>
          <w:spacing w:val="-26"/>
          <w:w w:val="105"/>
        </w:rPr>
        <w:t> </w:t>
      </w:r>
      <w:r>
        <w:rPr>
          <w:color w:val="231F20"/>
          <w:w w:val="105"/>
        </w:rPr>
        <w:t>en el</w:t>
      </w:r>
      <w:r>
        <w:rPr>
          <w:color w:val="231F20"/>
          <w:spacing w:val="-12"/>
          <w:w w:val="105"/>
        </w:rPr>
        <w:t> </w:t>
      </w:r>
      <w:r>
        <w:rPr>
          <w:color w:val="231F20"/>
          <w:w w:val="105"/>
        </w:rPr>
        <w:t>sentido</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permite</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sectores</w:t>
      </w:r>
      <w:r>
        <w:rPr>
          <w:color w:val="231F20"/>
          <w:spacing w:val="-12"/>
          <w:w w:val="105"/>
        </w:rPr>
        <w:t> </w:t>
      </w:r>
      <w:r>
        <w:rPr>
          <w:color w:val="231F20"/>
          <w:w w:val="105"/>
        </w:rPr>
        <w:t>sociales</w:t>
      </w:r>
      <w:r>
        <w:rPr>
          <w:color w:val="231F20"/>
          <w:spacing w:val="-12"/>
          <w:w w:val="105"/>
        </w:rPr>
        <w:t> </w:t>
      </w:r>
      <w:r>
        <w:rPr>
          <w:color w:val="231F20"/>
          <w:w w:val="105"/>
        </w:rPr>
        <w:t>más</w:t>
      </w:r>
      <w:r>
        <w:rPr>
          <w:color w:val="231F20"/>
          <w:spacing w:val="-12"/>
          <w:w w:val="105"/>
        </w:rPr>
        <w:t> </w:t>
      </w:r>
      <w:r>
        <w:rPr>
          <w:color w:val="231F20"/>
          <w:w w:val="105"/>
        </w:rPr>
        <w:t>pobres</w:t>
      </w:r>
      <w:r>
        <w:rPr>
          <w:color w:val="231F20"/>
          <w:spacing w:val="-12"/>
          <w:w w:val="105"/>
        </w:rPr>
        <w:t> </w:t>
      </w:r>
      <w:r>
        <w:rPr>
          <w:color w:val="231F20"/>
          <w:w w:val="105"/>
        </w:rPr>
        <w:t>sobrellevar</w:t>
      </w:r>
      <w:r>
        <w:rPr>
          <w:color w:val="231F20"/>
          <w:spacing w:val="-12"/>
          <w:w w:val="105"/>
        </w:rPr>
        <w:t> </w:t>
      </w:r>
      <w:r>
        <w:rPr>
          <w:color w:val="231F20"/>
          <w:w w:val="105"/>
        </w:rPr>
        <w:t>de</w:t>
      </w:r>
      <w:r>
        <w:rPr>
          <w:color w:val="231F20"/>
          <w:spacing w:val="-12"/>
          <w:w w:val="105"/>
        </w:rPr>
        <w:t> </w:t>
      </w:r>
      <w:r>
        <w:rPr>
          <w:color w:val="231F20"/>
          <w:w w:val="105"/>
        </w:rPr>
        <w:t>mejor</w:t>
      </w:r>
      <w:r>
        <w:rPr>
          <w:color w:val="231F20"/>
          <w:spacing w:val="-12"/>
          <w:w w:val="105"/>
        </w:rPr>
        <w:t> </w:t>
      </w:r>
      <w:r>
        <w:rPr>
          <w:color w:val="231F20"/>
          <w:w w:val="105"/>
        </w:rPr>
        <w:t>forma sus condiciones de precariedad Sin embargo, no son suficientes en el mediano y largo plazo</w:t>
      </w:r>
      <w:r>
        <w:rPr>
          <w:color w:val="231F20"/>
          <w:spacing w:val="-14"/>
          <w:w w:val="105"/>
        </w:rPr>
        <w:t> </w:t>
      </w:r>
      <w:r>
        <w:rPr>
          <w:color w:val="231F20"/>
          <w:w w:val="105"/>
        </w:rPr>
        <w:t>para</w:t>
      </w:r>
      <w:r>
        <w:rPr>
          <w:color w:val="231F20"/>
          <w:spacing w:val="-14"/>
          <w:w w:val="105"/>
        </w:rPr>
        <w:t> </w:t>
      </w:r>
      <w:r>
        <w:rPr>
          <w:color w:val="231F20"/>
          <w:w w:val="105"/>
        </w:rPr>
        <w:t>trascender</w:t>
      </w:r>
      <w:r>
        <w:rPr>
          <w:color w:val="231F20"/>
          <w:spacing w:val="-14"/>
          <w:w w:val="105"/>
        </w:rPr>
        <w:t> </w:t>
      </w:r>
      <w:r>
        <w:rPr>
          <w:color w:val="231F20"/>
          <w:w w:val="105"/>
        </w:rPr>
        <w:t>y</w:t>
      </w:r>
      <w:r>
        <w:rPr>
          <w:color w:val="231F20"/>
          <w:spacing w:val="-14"/>
          <w:w w:val="105"/>
        </w:rPr>
        <w:t> </w:t>
      </w:r>
      <w:r>
        <w:rPr>
          <w:color w:val="231F20"/>
          <w:w w:val="105"/>
        </w:rPr>
        <w:t>abatir</w:t>
      </w:r>
      <w:r>
        <w:rPr>
          <w:color w:val="231F20"/>
          <w:spacing w:val="-14"/>
          <w:w w:val="105"/>
        </w:rPr>
        <w:t> </w:t>
      </w:r>
      <w:r>
        <w:rPr>
          <w:color w:val="231F20"/>
          <w:w w:val="105"/>
        </w:rPr>
        <w:t>los</w:t>
      </w:r>
      <w:r>
        <w:rPr>
          <w:color w:val="231F20"/>
          <w:spacing w:val="-14"/>
          <w:w w:val="105"/>
        </w:rPr>
        <w:t> </w:t>
      </w:r>
      <w:r>
        <w:rPr>
          <w:color w:val="231F20"/>
          <w:w w:val="105"/>
        </w:rPr>
        <w:t>índices</w:t>
      </w:r>
      <w:r>
        <w:rPr>
          <w:color w:val="231F20"/>
          <w:spacing w:val="-14"/>
          <w:w w:val="105"/>
        </w:rPr>
        <w:t> </w:t>
      </w:r>
      <w:r>
        <w:rPr>
          <w:color w:val="231F20"/>
          <w:w w:val="105"/>
        </w:rPr>
        <w:t>de</w:t>
      </w:r>
      <w:r>
        <w:rPr>
          <w:color w:val="231F20"/>
          <w:spacing w:val="-14"/>
          <w:w w:val="105"/>
        </w:rPr>
        <w:t> </w:t>
      </w:r>
      <w:r>
        <w:rPr>
          <w:color w:val="231F20"/>
          <w:w w:val="105"/>
        </w:rPr>
        <w:t>pobreza.</w:t>
      </w:r>
      <w:r>
        <w:rPr>
          <w:color w:val="231F20"/>
          <w:spacing w:val="-14"/>
          <w:w w:val="105"/>
        </w:rPr>
        <w:t> </w:t>
      </w:r>
      <w:r>
        <w:rPr>
          <w:color w:val="231F20"/>
          <w:w w:val="105"/>
        </w:rPr>
        <w:t>De</w:t>
      </w:r>
      <w:r>
        <w:rPr>
          <w:color w:val="231F20"/>
          <w:spacing w:val="-14"/>
          <w:w w:val="105"/>
        </w:rPr>
        <w:t> </w:t>
      </w:r>
      <w:r>
        <w:rPr>
          <w:color w:val="231F20"/>
          <w:spacing w:val="2"/>
          <w:w w:val="105"/>
        </w:rPr>
        <w:t>ahí</w:t>
      </w:r>
      <w:r>
        <w:rPr>
          <w:color w:val="231F20"/>
          <w:spacing w:val="-14"/>
          <w:w w:val="105"/>
        </w:rPr>
        <w:t> </w:t>
      </w:r>
      <w:r>
        <w:rPr>
          <w:color w:val="231F20"/>
          <w:w w:val="105"/>
        </w:rPr>
        <w:t>la</w:t>
      </w:r>
      <w:r>
        <w:rPr>
          <w:color w:val="231F20"/>
          <w:spacing w:val="-14"/>
          <w:w w:val="105"/>
        </w:rPr>
        <w:t> </w:t>
      </w:r>
      <w:r>
        <w:rPr>
          <w:color w:val="231F20"/>
          <w:w w:val="105"/>
        </w:rPr>
        <w:t>necesidad</w:t>
      </w:r>
      <w:r>
        <w:rPr>
          <w:color w:val="231F20"/>
          <w:spacing w:val="-14"/>
          <w:w w:val="105"/>
        </w:rPr>
        <w:t> </w:t>
      </w:r>
      <w:r>
        <w:rPr>
          <w:color w:val="231F20"/>
          <w:w w:val="105"/>
        </w:rPr>
        <w:t>de</w:t>
      </w:r>
      <w:r>
        <w:rPr>
          <w:color w:val="231F20"/>
          <w:spacing w:val="-14"/>
          <w:w w:val="105"/>
        </w:rPr>
        <w:t> </w:t>
      </w:r>
      <w:r>
        <w:rPr>
          <w:color w:val="231F20"/>
          <w:w w:val="105"/>
        </w:rPr>
        <w:t>impulsar</w:t>
      </w:r>
      <w:r>
        <w:rPr>
          <w:color w:val="231F20"/>
          <w:spacing w:val="-14"/>
          <w:w w:val="105"/>
        </w:rPr>
        <w:t> </w:t>
      </w:r>
      <w:r>
        <w:rPr>
          <w:color w:val="231F20"/>
          <w:w w:val="105"/>
        </w:rPr>
        <w:t>el crecimiento</w:t>
      </w:r>
      <w:r>
        <w:rPr>
          <w:color w:val="231F20"/>
          <w:spacing w:val="-23"/>
          <w:w w:val="105"/>
        </w:rPr>
        <w:t> </w:t>
      </w:r>
      <w:r>
        <w:rPr>
          <w:color w:val="231F20"/>
          <w:w w:val="105"/>
        </w:rPr>
        <w:t>económico</w:t>
      </w:r>
      <w:r>
        <w:rPr>
          <w:color w:val="231F20"/>
          <w:spacing w:val="-23"/>
          <w:w w:val="105"/>
        </w:rPr>
        <w:t> </w:t>
      </w:r>
      <w:r>
        <w:rPr>
          <w:color w:val="231F20"/>
          <w:w w:val="105"/>
        </w:rPr>
        <w:t>del</w:t>
      </w:r>
      <w:r>
        <w:rPr>
          <w:color w:val="231F20"/>
          <w:spacing w:val="-23"/>
          <w:w w:val="105"/>
        </w:rPr>
        <w:t> </w:t>
      </w:r>
      <w:r>
        <w:rPr>
          <w:color w:val="231F20"/>
          <w:w w:val="105"/>
        </w:rPr>
        <w:t>municipio</w:t>
      </w:r>
      <w:r>
        <w:rPr>
          <w:color w:val="231F20"/>
          <w:spacing w:val="-23"/>
          <w:w w:val="105"/>
        </w:rPr>
        <w:t> </w:t>
      </w:r>
      <w:r>
        <w:rPr>
          <w:color w:val="231F20"/>
          <w:w w:val="105"/>
        </w:rPr>
        <w:t>que</w:t>
      </w:r>
      <w:r>
        <w:rPr>
          <w:color w:val="231F20"/>
          <w:spacing w:val="-23"/>
          <w:w w:val="105"/>
        </w:rPr>
        <w:t> </w:t>
      </w:r>
      <w:r>
        <w:rPr>
          <w:color w:val="231F20"/>
          <w:w w:val="105"/>
        </w:rPr>
        <w:t>impacte</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desarrollo</w:t>
      </w:r>
      <w:r>
        <w:rPr>
          <w:color w:val="231F20"/>
          <w:spacing w:val="-23"/>
          <w:w w:val="105"/>
        </w:rPr>
        <w:t> </w:t>
      </w:r>
      <w:r>
        <w:rPr>
          <w:color w:val="231F20"/>
          <w:w w:val="105"/>
        </w:rPr>
        <w:t>social</w:t>
      </w:r>
      <w:r>
        <w:rPr>
          <w:color w:val="231F20"/>
          <w:spacing w:val="-23"/>
          <w:w w:val="105"/>
        </w:rPr>
        <w:t> </w:t>
      </w:r>
      <w:r>
        <w:rPr>
          <w:color w:val="231F20"/>
          <w:w w:val="105"/>
        </w:rPr>
        <w:t>y</w:t>
      </w:r>
      <w:r>
        <w:rPr>
          <w:color w:val="231F20"/>
          <w:spacing w:val="-23"/>
          <w:w w:val="105"/>
        </w:rPr>
        <w:t> </w:t>
      </w:r>
      <w:r>
        <w:rPr>
          <w:color w:val="231F20"/>
          <w:w w:val="105"/>
        </w:rPr>
        <w:t>político</w:t>
      </w:r>
      <w:r>
        <w:rPr>
          <w:color w:val="231F20"/>
          <w:spacing w:val="-23"/>
          <w:w w:val="105"/>
        </w:rPr>
        <w:t> </w:t>
      </w:r>
      <w:r>
        <w:rPr>
          <w:color w:val="231F20"/>
          <w:w w:val="105"/>
        </w:rPr>
        <w:t>de</w:t>
      </w:r>
      <w:r>
        <w:rPr>
          <w:color w:val="231F20"/>
          <w:spacing w:val="-23"/>
          <w:w w:val="105"/>
        </w:rPr>
        <w:t> </w:t>
      </w:r>
      <w:r>
        <w:rPr>
          <w:color w:val="231F20"/>
          <w:w w:val="105"/>
        </w:rPr>
        <w:t>la población,</w:t>
      </w:r>
      <w:r>
        <w:rPr>
          <w:color w:val="231F20"/>
          <w:spacing w:val="-14"/>
          <w:w w:val="105"/>
        </w:rPr>
        <w:t> </w:t>
      </w:r>
      <w:r>
        <w:rPr>
          <w:color w:val="231F20"/>
          <w:w w:val="105"/>
        </w:rPr>
        <w:t>que</w:t>
      </w:r>
      <w:r>
        <w:rPr>
          <w:color w:val="231F20"/>
          <w:spacing w:val="-14"/>
          <w:w w:val="105"/>
        </w:rPr>
        <w:t> </w:t>
      </w:r>
      <w:r>
        <w:rPr>
          <w:color w:val="231F20"/>
          <w:spacing w:val="-3"/>
          <w:w w:val="105"/>
        </w:rPr>
        <w:t>fomente</w:t>
      </w:r>
      <w:r>
        <w:rPr>
          <w:color w:val="231F20"/>
          <w:spacing w:val="-14"/>
          <w:w w:val="105"/>
        </w:rPr>
        <w:t> </w:t>
      </w:r>
      <w:r>
        <w:rPr>
          <w:color w:val="231F20"/>
          <w:w w:val="105"/>
        </w:rPr>
        <w:t>una</w:t>
      </w:r>
      <w:r>
        <w:rPr>
          <w:color w:val="231F20"/>
          <w:spacing w:val="-14"/>
          <w:w w:val="105"/>
        </w:rPr>
        <w:t> </w:t>
      </w:r>
      <w:r>
        <w:rPr>
          <w:color w:val="231F20"/>
          <w:w w:val="105"/>
        </w:rPr>
        <w:t>cultura</w:t>
      </w:r>
      <w:r>
        <w:rPr>
          <w:color w:val="231F20"/>
          <w:spacing w:val="-14"/>
          <w:w w:val="105"/>
        </w:rPr>
        <w:t> </w:t>
      </w:r>
      <w:r>
        <w:rPr>
          <w:color w:val="231F20"/>
          <w:w w:val="105"/>
        </w:rPr>
        <w:t>de</w:t>
      </w:r>
      <w:r>
        <w:rPr>
          <w:color w:val="231F20"/>
          <w:spacing w:val="-14"/>
          <w:w w:val="105"/>
        </w:rPr>
        <w:t> </w:t>
      </w:r>
      <w:r>
        <w:rPr>
          <w:color w:val="231F20"/>
          <w:w w:val="105"/>
        </w:rPr>
        <w:t>corresponsabilidad</w:t>
      </w:r>
      <w:r>
        <w:rPr>
          <w:color w:val="231F20"/>
          <w:spacing w:val="-14"/>
          <w:w w:val="105"/>
        </w:rPr>
        <w:t> </w:t>
      </w:r>
      <w:r>
        <w:rPr>
          <w:color w:val="231F20"/>
          <w:w w:val="105"/>
        </w:rPr>
        <w:t>político-administrativa</w:t>
      </w:r>
      <w:r>
        <w:rPr>
          <w:color w:val="231F20"/>
          <w:spacing w:val="-14"/>
          <w:w w:val="105"/>
        </w:rPr>
        <w:t> </w:t>
      </w:r>
      <w:r>
        <w:rPr>
          <w:color w:val="231F20"/>
          <w:w w:val="105"/>
        </w:rPr>
        <w:t>entre autoridades</w:t>
      </w:r>
      <w:r>
        <w:rPr>
          <w:color w:val="231F20"/>
          <w:spacing w:val="-25"/>
          <w:w w:val="105"/>
        </w:rPr>
        <w:t> </w:t>
      </w:r>
      <w:r>
        <w:rPr>
          <w:color w:val="231F20"/>
          <w:w w:val="105"/>
        </w:rPr>
        <w:t>y</w:t>
      </w:r>
      <w:r>
        <w:rPr>
          <w:color w:val="231F20"/>
          <w:spacing w:val="-25"/>
          <w:w w:val="105"/>
        </w:rPr>
        <w:t> </w:t>
      </w:r>
      <w:r>
        <w:rPr>
          <w:color w:val="231F20"/>
          <w:w w:val="105"/>
        </w:rPr>
        <w:t>ciudadanía,</w:t>
      </w:r>
      <w:r>
        <w:rPr>
          <w:color w:val="231F20"/>
          <w:spacing w:val="-25"/>
          <w:w w:val="105"/>
        </w:rPr>
        <w:t> </w:t>
      </w:r>
      <w:r>
        <w:rPr>
          <w:color w:val="231F20"/>
          <w:w w:val="105"/>
        </w:rPr>
        <w:t>que</w:t>
      </w:r>
      <w:r>
        <w:rPr>
          <w:color w:val="231F20"/>
          <w:spacing w:val="-25"/>
          <w:w w:val="105"/>
        </w:rPr>
        <w:t> </w:t>
      </w:r>
      <w:r>
        <w:rPr>
          <w:color w:val="231F20"/>
          <w:w w:val="105"/>
        </w:rPr>
        <w:t>deje</w:t>
      </w:r>
      <w:r>
        <w:rPr>
          <w:color w:val="231F20"/>
          <w:spacing w:val="-25"/>
          <w:w w:val="105"/>
        </w:rPr>
        <w:t> </w:t>
      </w:r>
      <w:r>
        <w:rPr>
          <w:color w:val="231F20"/>
          <w:w w:val="105"/>
        </w:rPr>
        <w:t>atrás</w:t>
      </w:r>
      <w:r>
        <w:rPr>
          <w:color w:val="231F20"/>
          <w:spacing w:val="-25"/>
          <w:w w:val="105"/>
        </w:rPr>
        <w:t> </w:t>
      </w:r>
      <w:r>
        <w:rPr>
          <w:color w:val="231F20"/>
          <w:w w:val="105"/>
        </w:rPr>
        <w:t>viejas</w:t>
      </w:r>
      <w:r>
        <w:rPr>
          <w:color w:val="231F20"/>
          <w:spacing w:val="-25"/>
          <w:w w:val="105"/>
        </w:rPr>
        <w:t> </w:t>
      </w:r>
      <w:r>
        <w:rPr>
          <w:color w:val="231F20"/>
          <w:w w:val="105"/>
        </w:rPr>
        <w:t>prácticas</w:t>
      </w:r>
      <w:r>
        <w:rPr>
          <w:color w:val="231F20"/>
          <w:spacing w:val="-25"/>
          <w:w w:val="105"/>
        </w:rPr>
        <w:t> </w:t>
      </w:r>
      <w:r>
        <w:rPr>
          <w:color w:val="231F20"/>
          <w:w w:val="105"/>
        </w:rPr>
        <w:t>clientelares</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w w:val="105"/>
        </w:rPr>
        <w:t>corporativismo autoritario que, si bien benefician electoralmente </w:t>
      </w:r>
      <w:r>
        <w:rPr>
          <w:color w:val="231F20"/>
          <w:spacing w:val="2"/>
          <w:w w:val="105"/>
        </w:rPr>
        <w:t>al </w:t>
      </w:r>
      <w:r>
        <w:rPr>
          <w:color w:val="231F20"/>
          <w:w w:val="105"/>
        </w:rPr>
        <w:t>partido en el gobierno, impactan negativamente</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grado</w:t>
      </w:r>
      <w:r>
        <w:rPr>
          <w:color w:val="231F20"/>
          <w:spacing w:val="-15"/>
          <w:w w:val="105"/>
        </w:rPr>
        <w:t> </w:t>
      </w:r>
      <w:r>
        <w:rPr>
          <w:color w:val="231F20"/>
          <w:w w:val="105"/>
        </w:rPr>
        <w:t>de</w:t>
      </w:r>
      <w:r>
        <w:rPr>
          <w:color w:val="231F20"/>
          <w:spacing w:val="-15"/>
          <w:w w:val="105"/>
        </w:rPr>
        <w:t> </w:t>
      </w:r>
      <w:r>
        <w:rPr>
          <w:color w:val="231F20"/>
          <w:w w:val="105"/>
        </w:rPr>
        <w:t>legitimidad.</w:t>
      </w:r>
    </w:p>
    <w:p>
      <w:pPr>
        <w:pStyle w:val="BodyText"/>
        <w:spacing w:before="9"/>
      </w:pPr>
    </w:p>
    <w:p>
      <w:pPr>
        <w:pStyle w:val="Heading3"/>
      </w:pPr>
      <w:r>
        <w:rPr>
          <w:color w:val="231F20"/>
          <w:w w:val="105"/>
        </w:rPr>
        <w:t>Fuentes de consulta</w:t>
      </w:r>
    </w:p>
    <w:p>
      <w:pPr>
        <w:spacing w:line="348" w:lineRule="auto" w:before="75"/>
        <w:ind w:left="393" w:right="1235" w:hanging="284"/>
        <w:jc w:val="left"/>
        <w:rPr>
          <w:sz w:val="18"/>
        </w:rPr>
      </w:pPr>
      <w:r>
        <w:rPr>
          <w:color w:val="231F20"/>
          <w:spacing w:val="2"/>
          <w:sz w:val="18"/>
        </w:rPr>
        <w:t>ARZALUZ </w:t>
      </w:r>
      <w:r>
        <w:rPr>
          <w:color w:val="231F20"/>
          <w:sz w:val="18"/>
        </w:rPr>
        <w:t>Solano, </w:t>
      </w:r>
      <w:r>
        <w:rPr>
          <w:color w:val="231F20"/>
          <w:spacing w:val="2"/>
          <w:sz w:val="18"/>
        </w:rPr>
        <w:t>María </w:t>
      </w:r>
      <w:r>
        <w:rPr>
          <w:color w:val="231F20"/>
          <w:sz w:val="18"/>
        </w:rPr>
        <w:t>del Socorro (2002), Participación Ciudadana en la Gestión Urbana   de  Ecatepec,  Tlalnepantla  y</w:t>
      </w:r>
      <w:r>
        <w:rPr>
          <w:color w:val="231F20"/>
          <w:spacing w:val="-6"/>
          <w:sz w:val="18"/>
        </w:rPr>
        <w:t> </w:t>
      </w:r>
      <w:r>
        <w:rPr>
          <w:color w:val="231F20"/>
          <w:sz w:val="18"/>
        </w:rPr>
        <w:t>Nezahualcóyotl,</w:t>
      </w:r>
    </w:p>
    <w:p>
      <w:pPr>
        <w:spacing w:before="3"/>
        <w:ind w:left="393" w:right="574" w:firstLine="0"/>
        <w:jc w:val="left"/>
        <w:rPr>
          <w:sz w:val="18"/>
        </w:rPr>
      </w:pPr>
      <w:r>
        <w:rPr>
          <w:color w:val="231F20"/>
          <w:sz w:val="18"/>
        </w:rPr>
        <w:t>Toluca, México, IAPEM, 390 pp.</w:t>
      </w:r>
    </w:p>
    <w:p>
      <w:pPr>
        <w:spacing w:before="93"/>
        <w:ind w:left="110" w:right="0" w:firstLine="0"/>
        <w:jc w:val="both"/>
        <w:rPr>
          <w:sz w:val="18"/>
        </w:rPr>
      </w:pPr>
      <w:r>
        <w:rPr>
          <w:color w:val="231F20"/>
          <w:w w:val="105"/>
          <w:sz w:val="18"/>
        </w:rPr>
        <w:t>AYUNTAMIENTO de Nezahualcóyotl,</w:t>
      </w:r>
    </w:p>
    <w:p>
      <w:pPr>
        <w:spacing w:before="93"/>
        <w:ind w:left="393" w:right="574" w:firstLine="0"/>
        <w:jc w:val="left"/>
        <w:rPr>
          <w:sz w:val="18"/>
        </w:rPr>
      </w:pPr>
      <w:r>
        <w:rPr>
          <w:color w:val="231F20"/>
          <w:w w:val="105"/>
          <w:sz w:val="18"/>
        </w:rPr>
        <w:t>Plan de Desarrollo Municipal 1996-2000.</w:t>
      </w:r>
    </w:p>
    <w:p>
      <w:pPr>
        <w:spacing w:line="348" w:lineRule="auto" w:before="93"/>
        <w:ind w:left="393" w:right="4568" w:hanging="284"/>
        <w:jc w:val="left"/>
        <w:rPr>
          <w:sz w:val="18"/>
        </w:rPr>
      </w:pPr>
      <w:r>
        <w:rPr>
          <w:color w:val="231F20"/>
          <w:w w:val="105"/>
          <w:sz w:val="18"/>
        </w:rPr>
        <w:t>AYUNTAMIENTO de Nezahualcóyotl, ç Plan de Desarrollo Municipal 2000-2003.</w:t>
      </w:r>
    </w:p>
    <w:p>
      <w:pPr>
        <w:spacing w:before="3"/>
        <w:ind w:left="110" w:right="0" w:firstLine="0"/>
        <w:jc w:val="both"/>
        <w:rPr>
          <w:sz w:val="18"/>
        </w:rPr>
      </w:pPr>
      <w:r>
        <w:rPr>
          <w:color w:val="231F20"/>
          <w:w w:val="105"/>
          <w:sz w:val="18"/>
        </w:rPr>
        <w:t>AYUNTAMIENTO de Nezahualcóyotl,</w:t>
      </w:r>
    </w:p>
    <w:p>
      <w:pPr>
        <w:spacing w:before="93"/>
        <w:ind w:left="393" w:right="574" w:firstLine="0"/>
        <w:jc w:val="left"/>
        <w:rPr>
          <w:sz w:val="18"/>
        </w:rPr>
      </w:pPr>
      <w:r>
        <w:rPr>
          <w:color w:val="231F20"/>
          <w:w w:val="105"/>
          <w:sz w:val="18"/>
        </w:rPr>
        <w:t>Plan de Desarrollo Municipal 2003-2006.</w:t>
      </w:r>
    </w:p>
    <w:p>
      <w:pPr>
        <w:spacing w:before="93"/>
        <w:ind w:left="110" w:right="0" w:firstLine="0"/>
        <w:jc w:val="both"/>
        <w:rPr>
          <w:sz w:val="18"/>
        </w:rPr>
      </w:pPr>
      <w:r>
        <w:rPr>
          <w:color w:val="231F20"/>
          <w:w w:val="105"/>
          <w:sz w:val="18"/>
        </w:rPr>
        <w:t>AYUNTAMIENTO de Nezahualcóyotl,</w:t>
      </w:r>
    </w:p>
    <w:p>
      <w:pPr>
        <w:spacing w:before="93"/>
        <w:ind w:left="393" w:right="574" w:firstLine="0"/>
        <w:jc w:val="left"/>
        <w:rPr>
          <w:sz w:val="18"/>
        </w:rPr>
      </w:pPr>
      <w:r>
        <w:rPr>
          <w:color w:val="231F20"/>
          <w:w w:val="105"/>
          <w:sz w:val="18"/>
        </w:rPr>
        <w:t>Plan de Desarrollo Municipal 2006-2009.</w:t>
      </w:r>
    </w:p>
    <w:p>
      <w:pPr>
        <w:spacing w:line="348" w:lineRule="auto" w:before="93"/>
        <w:ind w:left="393" w:right="4568" w:hanging="284"/>
        <w:jc w:val="left"/>
        <w:rPr>
          <w:sz w:val="18"/>
        </w:rPr>
      </w:pPr>
      <w:r>
        <w:rPr>
          <w:color w:val="231F20"/>
          <w:w w:val="105"/>
          <w:sz w:val="18"/>
        </w:rPr>
        <w:t>AYUNTAMIENTO de Nezahualcóyotl, Bando Municipal 1996-2000.</w:t>
      </w:r>
    </w:p>
    <w:p>
      <w:pPr>
        <w:spacing w:after="0" w:line="348" w:lineRule="auto"/>
        <w:jc w:val="left"/>
        <w:rPr>
          <w:sz w:val="18"/>
        </w:rPr>
        <w:sectPr>
          <w:pgSz w:w="9640" w:h="12190"/>
          <w:pgMar w:header="0" w:footer="743" w:top="1120" w:bottom="940" w:left="740" w:right="740"/>
        </w:sectPr>
      </w:pPr>
    </w:p>
    <w:p>
      <w:pPr>
        <w:pStyle w:val="BodyText"/>
        <w:spacing w:before="6"/>
        <w:rPr>
          <w:sz w:val="13"/>
        </w:rPr>
      </w:pPr>
    </w:p>
    <w:p>
      <w:pPr>
        <w:spacing w:line="348" w:lineRule="auto" w:before="47"/>
        <w:ind w:left="393" w:right="4637" w:hanging="284"/>
        <w:jc w:val="left"/>
        <w:rPr>
          <w:sz w:val="18"/>
        </w:rPr>
      </w:pPr>
      <w:r>
        <w:rPr>
          <w:color w:val="231F20"/>
          <w:w w:val="105"/>
          <w:sz w:val="18"/>
        </w:rPr>
        <w:t>AYUNTAMIENTO de Nezahualcóyotl, Bando Municipal 2000-2003.</w:t>
      </w:r>
    </w:p>
    <w:p>
      <w:pPr>
        <w:spacing w:line="348" w:lineRule="auto" w:before="3"/>
        <w:ind w:left="393" w:right="4637" w:hanging="284"/>
        <w:jc w:val="left"/>
        <w:rPr>
          <w:sz w:val="18"/>
        </w:rPr>
      </w:pPr>
      <w:r>
        <w:rPr>
          <w:color w:val="231F20"/>
          <w:w w:val="105"/>
          <w:sz w:val="18"/>
        </w:rPr>
        <w:t>AYUNTAMIENTO de Nezahualcóyotl, Bando Municipal 2003-2006.</w:t>
      </w:r>
    </w:p>
    <w:p>
      <w:pPr>
        <w:spacing w:line="348" w:lineRule="auto" w:before="3"/>
        <w:ind w:left="393" w:right="4637" w:hanging="284"/>
        <w:jc w:val="left"/>
        <w:rPr>
          <w:sz w:val="18"/>
        </w:rPr>
      </w:pPr>
      <w:r>
        <w:rPr>
          <w:color w:val="231F20"/>
          <w:w w:val="105"/>
          <w:sz w:val="18"/>
        </w:rPr>
        <w:t>AYUNTAMIENTO de Nezahualcóyotl, Bando Municipal 2006-2009.</w:t>
      </w:r>
    </w:p>
    <w:p>
      <w:pPr>
        <w:spacing w:line="348" w:lineRule="auto" w:before="3"/>
        <w:ind w:left="393" w:right="4637" w:hanging="284"/>
        <w:jc w:val="left"/>
        <w:rPr>
          <w:sz w:val="18"/>
        </w:rPr>
      </w:pPr>
      <w:r>
        <w:rPr>
          <w:color w:val="231F20"/>
          <w:sz w:val="18"/>
        </w:rPr>
        <w:t>AYUNTAMIENTO de Nezahualcóyotl, Gaceta  Municipal, 1998.</w:t>
      </w:r>
    </w:p>
    <w:p>
      <w:pPr>
        <w:spacing w:line="348" w:lineRule="auto" w:before="3"/>
        <w:ind w:left="393" w:right="1388" w:hanging="284"/>
        <w:jc w:val="left"/>
        <w:rPr>
          <w:sz w:val="18"/>
        </w:rPr>
      </w:pPr>
      <w:r>
        <w:rPr>
          <w:color w:val="231F20"/>
          <w:w w:val="105"/>
          <w:sz w:val="18"/>
        </w:rPr>
        <w:t>BAUTISTA</w:t>
      </w:r>
      <w:r>
        <w:rPr>
          <w:color w:val="231F20"/>
          <w:spacing w:val="-15"/>
          <w:w w:val="105"/>
          <w:sz w:val="18"/>
        </w:rPr>
        <w:t> </w:t>
      </w:r>
      <w:r>
        <w:rPr>
          <w:color w:val="231F20"/>
          <w:w w:val="105"/>
          <w:sz w:val="18"/>
        </w:rPr>
        <w:t>LÓPEZ,</w:t>
      </w:r>
      <w:r>
        <w:rPr>
          <w:color w:val="231F20"/>
          <w:spacing w:val="-15"/>
          <w:w w:val="105"/>
          <w:sz w:val="18"/>
        </w:rPr>
        <w:t> </w:t>
      </w:r>
      <w:r>
        <w:rPr>
          <w:color w:val="231F20"/>
          <w:w w:val="105"/>
          <w:sz w:val="18"/>
        </w:rPr>
        <w:t>Víctor</w:t>
      </w:r>
      <w:r>
        <w:rPr>
          <w:color w:val="231F20"/>
          <w:spacing w:val="-15"/>
          <w:w w:val="105"/>
          <w:sz w:val="18"/>
        </w:rPr>
        <w:t> </w:t>
      </w:r>
      <w:r>
        <w:rPr>
          <w:color w:val="231F20"/>
          <w:w w:val="105"/>
          <w:sz w:val="18"/>
        </w:rPr>
        <w:t>Manuel</w:t>
      </w:r>
      <w:r>
        <w:rPr>
          <w:color w:val="231F20"/>
          <w:spacing w:val="-15"/>
          <w:w w:val="105"/>
          <w:sz w:val="18"/>
        </w:rPr>
        <w:t> </w:t>
      </w:r>
      <w:r>
        <w:rPr>
          <w:color w:val="231F20"/>
          <w:w w:val="105"/>
          <w:sz w:val="18"/>
        </w:rPr>
        <w:t>(2007),</w:t>
      </w:r>
      <w:r>
        <w:rPr>
          <w:color w:val="231F20"/>
          <w:spacing w:val="-15"/>
          <w:w w:val="105"/>
          <w:sz w:val="18"/>
        </w:rPr>
        <w:t> </w:t>
      </w:r>
      <w:r>
        <w:rPr>
          <w:color w:val="231F20"/>
          <w:w w:val="105"/>
          <w:sz w:val="18"/>
        </w:rPr>
        <w:t>Primer</w:t>
      </w:r>
      <w:r>
        <w:rPr>
          <w:color w:val="231F20"/>
          <w:spacing w:val="-15"/>
          <w:w w:val="105"/>
          <w:sz w:val="18"/>
        </w:rPr>
        <w:t> </w:t>
      </w:r>
      <w:r>
        <w:rPr>
          <w:color w:val="231F20"/>
          <w:w w:val="105"/>
          <w:sz w:val="18"/>
        </w:rPr>
        <w:t>informe</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gobierno</w:t>
      </w:r>
      <w:r>
        <w:rPr>
          <w:color w:val="231F20"/>
          <w:spacing w:val="-15"/>
          <w:w w:val="105"/>
          <w:sz w:val="18"/>
        </w:rPr>
        <w:t> </w:t>
      </w:r>
      <w:r>
        <w:rPr>
          <w:color w:val="231F20"/>
          <w:w w:val="105"/>
          <w:sz w:val="18"/>
        </w:rPr>
        <w:t>del</w:t>
      </w:r>
      <w:r>
        <w:rPr>
          <w:color w:val="231F20"/>
          <w:spacing w:val="-15"/>
          <w:w w:val="105"/>
          <w:sz w:val="18"/>
        </w:rPr>
        <w:t> </w:t>
      </w:r>
      <w:r>
        <w:rPr>
          <w:color w:val="231F20"/>
          <w:w w:val="105"/>
          <w:sz w:val="18"/>
        </w:rPr>
        <w:t>municipio de</w:t>
      </w:r>
      <w:r>
        <w:rPr>
          <w:color w:val="231F20"/>
          <w:spacing w:val="-9"/>
          <w:w w:val="105"/>
          <w:sz w:val="18"/>
        </w:rPr>
        <w:t> </w:t>
      </w:r>
      <w:r>
        <w:rPr>
          <w:color w:val="231F20"/>
          <w:w w:val="105"/>
          <w:sz w:val="18"/>
        </w:rPr>
        <w:t>Nezahualcóyotl,</w:t>
      </w:r>
      <w:r>
        <w:rPr>
          <w:color w:val="231F20"/>
          <w:spacing w:val="-9"/>
          <w:w w:val="105"/>
          <w:sz w:val="18"/>
        </w:rPr>
        <w:t> </w:t>
      </w:r>
      <w:r>
        <w:rPr>
          <w:color w:val="231F20"/>
          <w:w w:val="105"/>
          <w:sz w:val="18"/>
        </w:rPr>
        <w:t>H.</w:t>
      </w:r>
      <w:r>
        <w:rPr>
          <w:color w:val="231F20"/>
          <w:spacing w:val="-9"/>
          <w:w w:val="105"/>
          <w:sz w:val="18"/>
        </w:rPr>
        <w:t> </w:t>
      </w:r>
      <w:r>
        <w:rPr>
          <w:color w:val="231F20"/>
          <w:w w:val="105"/>
          <w:sz w:val="18"/>
        </w:rPr>
        <w:t>Ayuntamiento</w:t>
      </w:r>
      <w:r>
        <w:rPr>
          <w:color w:val="231F20"/>
          <w:spacing w:val="-9"/>
          <w:w w:val="105"/>
          <w:sz w:val="18"/>
        </w:rPr>
        <w:t> </w:t>
      </w:r>
      <w:r>
        <w:rPr>
          <w:color w:val="231F20"/>
          <w:w w:val="105"/>
          <w:sz w:val="18"/>
        </w:rPr>
        <w:t>de</w:t>
      </w:r>
      <w:r>
        <w:rPr>
          <w:color w:val="231F20"/>
          <w:spacing w:val="-9"/>
          <w:w w:val="105"/>
          <w:sz w:val="18"/>
        </w:rPr>
        <w:t> </w:t>
      </w:r>
      <w:r>
        <w:rPr>
          <w:color w:val="231F20"/>
          <w:w w:val="105"/>
          <w:sz w:val="18"/>
        </w:rPr>
        <w:t>Nezahualcóyotl</w:t>
      </w:r>
      <w:r>
        <w:rPr>
          <w:color w:val="231F20"/>
          <w:spacing w:val="-9"/>
          <w:w w:val="105"/>
          <w:sz w:val="18"/>
        </w:rPr>
        <w:t> </w:t>
      </w:r>
      <w:r>
        <w:rPr>
          <w:color w:val="231F20"/>
          <w:w w:val="105"/>
          <w:sz w:val="18"/>
        </w:rPr>
        <w:t>2006-2009.</w:t>
      </w:r>
    </w:p>
    <w:p>
      <w:pPr>
        <w:spacing w:before="3"/>
        <w:ind w:left="110" w:right="1388" w:firstLine="0"/>
        <w:jc w:val="left"/>
        <w:rPr>
          <w:sz w:val="18"/>
        </w:rPr>
      </w:pPr>
      <w:r>
        <w:rPr>
          <w:color w:val="231F20"/>
          <w:sz w:val="18"/>
        </w:rPr>
        <w:t>_____________ (2007), Segundo informe de gobierno del municipio de   Nezahualcóyotl,</w:t>
      </w:r>
    </w:p>
    <w:p>
      <w:pPr>
        <w:pStyle w:val="ListParagraph"/>
        <w:numPr>
          <w:ilvl w:val="1"/>
          <w:numId w:val="20"/>
        </w:numPr>
        <w:tabs>
          <w:tab w:pos="620" w:val="left" w:leader="none"/>
        </w:tabs>
        <w:spacing w:line="240" w:lineRule="auto" w:before="93" w:after="0"/>
        <w:ind w:left="619" w:right="0" w:hanging="226"/>
        <w:jc w:val="left"/>
        <w:rPr>
          <w:rFonts w:ascii="Times New Roman" w:hAnsi="Times New Roman"/>
          <w:sz w:val="18"/>
        </w:rPr>
      </w:pPr>
      <w:r>
        <w:rPr>
          <w:rFonts w:ascii="Times New Roman" w:hAnsi="Times New Roman"/>
          <w:color w:val="231F20"/>
          <w:w w:val="105"/>
          <w:sz w:val="18"/>
        </w:rPr>
        <w:t>Ayuntamiento de Nezahualcóyotl</w:t>
      </w:r>
      <w:r>
        <w:rPr>
          <w:rFonts w:ascii="Times New Roman" w:hAnsi="Times New Roman"/>
          <w:color w:val="231F20"/>
          <w:spacing w:val="-25"/>
          <w:w w:val="105"/>
          <w:sz w:val="18"/>
        </w:rPr>
        <w:t> </w:t>
      </w:r>
      <w:r>
        <w:rPr>
          <w:rFonts w:ascii="Times New Roman" w:hAnsi="Times New Roman"/>
          <w:color w:val="231F20"/>
          <w:w w:val="105"/>
          <w:sz w:val="18"/>
        </w:rPr>
        <w:t>2006-2009.</w:t>
      </w:r>
    </w:p>
    <w:p>
      <w:pPr>
        <w:spacing w:line="348" w:lineRule="auto" w:before="93"/>
        <w:ind w:left="393" w:right="114" w:hanging="284"/>
        <w:jc w:val="left"/>
        <w:rPr>
          <w:sz w:val="18"/>
        </w:rPr>
      </w:pPr>
      <w:r>
        <w:rPr>
          <w:color w:val="231F20"/>
          <w:sz w:val="18"/>
        </w:rPr>
        <w:t>BERNAL BARBA, Lucila (2007), El nacimiento, crecimiento y debilidad de un grupo dentro de </w:t>
      </w:r>
      <w:r>
        <w:rPr>
          <w:color w:val="231F20"/>
          <w:spacing w:val="2"/>
          <w:sz w:val="18"/>
        </w:rPr>
        <w:t>las </w:t>
      </w:r>
      <w:r>
        <w:rPr>
          <w:color w:val="231F20"/>
          <w:sz w:val="18"/>
        </w:rPr>
        <w:t>tribus del</w:t>
      </w:r>
      <w:r>
        <w:rPr>
          <w:color w:val="231F20"/>
          <w:spacing w:val="15"/>
          <w:sz w:val="18"/>
        </w:rPr>
        <w:t> </w:t>
      </w:r>
      <w:r>
        <w:rPr>
          <w:color w:val="231F20"/>
          <w:sz w:val="18"/>
        </w:rPr>
        <w:t>PRD</w:t>
      </w:r>
      <w:r>
        <w:rPr>
          <w:color w:val="231F20"/>
          <w:spacing w:val="15"/>
          <w:sz w:val="18"/>
        </w:rPr>
        <w:t> </w:t>
      </w:r>
      <w:r>
        <w:rPr>
          <w:color w:val="231F20"/>
          <w:sz w:val="18"/>
        </w:rPr>
        <w:t>en</w:t>
      </w:r>
      <w:r>
        <w:rPr>
          <w:color w:val="231F20"/>
          <w:spacing w:val="15"/>
          <w:sz w:val="18"/>
        </w:rPr>
        <w:t> </w:t>
      </w:r>
      <w:r>
        <w:rPr>
          <w:color w:val="231F20"/>
          <w:sz w:val="18"/>
        </w:rPr>
        <w:t>Nezahualcóyotl:</w:t>
      </w:r>
      <w:r>
        <w:rPr>
          <w:color w:val="231F20"/>
          <w:spacing w:val="15"/>
          <w:sz w:val="18"/>
        </w:rPr>
        <w:t> </w:t>
      </w:r>
      <w:r>
        <w:rPr>
          <w:color w:val="231F20"/>
          <w:sz w:val="18"/>
        </w:rPr>
        <w:t>el</w:t>
      </w:r>
      <w:r>
        <w:rPr>
          <w:color w:val="231F20"/>
          <w:spacing w:val="15"/>
          <w:sz w:val="18"/>
        </w:rPr>
        <w:t> </w:t>
      </w:r>
      <w:r>
        <w:rPr>
          <w:color w:val="231F20"/>
          <w:spacing w:val="2"/>
          <w:sz w:val="18"/>
        </w:rPr>
        <w:t>caso</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Coordinadora</w:t>
      </w:r>
      <w:r>
        <w:rPr>
          <w:color w:val="231F20"/>
          <w:spacing w:val="15"/>
          <w:sz w:val="18"/>
        </w:rPr>
        <w:t> </w:t>
      </w:r>
      <w:r>
        <w:rPr>
          <w:color w:val="231F20"/>
          <w:sz w:val="18"/>
        </w:rPr>
        <w:t>“Heberto</w:t>
      </w:r>
      <w:r>
        <w:rPr>
          <w:color w:val="231F20"/>
          <w:spacing w:val="15"/>
          <w:sz w:val="18"/>
        </w:rPr>
        <w:t> </w:t>
      </w:r>
      <w:r>
        <w:rPr>
          <w:color w:val="231F20"/>
          <w:sz w:val="18"/>
        </w:rPr>
        <w:t>Castillo”,</w:t>
      </w:r>
      <w:r>
        <w:rPr>
          <w:color w:val="231F20"/>
          <w:spacing w:val="15"/>
          <w:sz w:val="18"/>
        </w:rPr>
        <w:t> </w:t>
      </w:r>
      <w:r>
        <w:rPr>
          <w:color w:val="231F20"/>
          <w:sz w:val="18"/>
        </w:rPr>
        <w:t>Tesina,</w:t>
      </w:r>
    </w:p>
    <w:p>
      <w:pPr>
        <w:spacing w:before="3"/>
        <w:ind w:left="393" w:right="4637" w:firstLine="0"/>
        <w:jc w:val="left"/>
        <w:rPr>
          <w:sz w:val="18"/>
        </w:rPr>
      </w:pPr>
      <w:r>
        <w:rPr>
          <w:color w:val="231F20"/>
          <w:sz w:val="18"/>
        </w:rPr>
        <w:t>México, D.F. FCPyS-UNAM, 65 pp.</w:t>
      </w:r>
    </w:p>
    <w:p>
      <w:pPr>
        <w:spacing w:before="93"/>
        <w:ind w:left="110" w:right="114" w:firstLine="0"/>
        <w:jc w:val="left"/>
        <w:rPr>
          <w:sz w:val="18"/>
        </w:rPr>
      </w:pPr>
      <w:r>
        <w:rPr>
          <w:color w:val="231F20"/>
          <w:sz w:val="18"/>
        </w:rPr>
        <w:t>DUHAU, Emilio y Martha SCHTEINGART (Coords.), (2001), “El primer gobierno    perredista</w:t>
      </w:r>
    </w:p>
    <w:p>
      <w:pPr>
        <w:spacing w:line="348" w:lineRule="auto" w:before="93"/>
        <w:ind w:left="393" w:right="529" w:firstLine="0"/>
        <w:jc w:val="left"/>
        <w:rPr>
          <w:sz w:val="18"/>
        </w:rPr>
      </w:pPr>
      <w:r>
        <w:rPr>
          <w:color w:val="231F20"/>
          <w:sz w:val="18"/>
        </w:rPr>
        <w:t>de Nezahualcóyotl, Estado de México”, en: Transición política y democracia municipal en México     y Colombia. México, Grupo Porrúa. 165–225,  </w:t>
      </w:r>
      <w:r>
        <w:rPr>
          <w:color w:val="231F20"/>
          <w:spacing w:val="9"/>
          <w:sz w:val="18"/>
        </w:rPr>
        <w:t> </w:t>
      </w:r>
      <w:r>
        <w:rPr>
          <w:color w:val="231F20"/>
          <w:sz w:val="18"/>
        </w:rPr>
        <w:t>pp.</w:t>
      </w:r>
    </w:p>
    <w:p>
      <w:pPr>
        <w:spacing w:line="348" w:lineRule="auto" w:before="3"/>
        <w:ind w:left="393" w:right="529" w:hanging="284"/>
        <w:jc w:val="left"/>
        <w:rPr>
          <w:sz w:val="18"/>
        </w:rPr>
      </w:pPr>
      <w:r>
        <w:rPr>
          <w:color w:val="231F20"/>
          <w:sz w:val="18"/>
        </w:rPr>
        <w:t>HERNÁNDEZ MUÑOZ, Miguel Ángel (2006), De líder social a cacique urbano en Nezahualcóyotl, Tesis, México, D.F. FCP y S-UNAM, 208 pp.</w:t>
      </w:r>
    </w:p>
    <w:p>
      <w:pPr>
        <w:spacing w:before="3"/>
        <w:ind w:left="110" w:right="1388" w:firstLine="0"/>
        <w:jc w:val="left"/>
        <w:rPr>
          <w:sz w:val="18"/>
        </w:rPr>
      </w:pPr>
      <w:r>
        <w:rPr>
          <w:color w:val="231F20"/>
          <w:sz w:val="18"/>
        </w:rPr>
        <w:t>HERNÁNDEZ PÉREZ, José Alfredo (2006). La participación ciudadana en el   municipio</w:t>
      </w:r>
    </w:p>
    <w:p>
      <w:pPr>
        <w:spacing w:line="348" w:lineRule="auto" w:before="93"/>
        <w:ind w:left="393" w:right="529" w:firstLine="0"/>
        <w:jc w:val="left"/>
        <w:rPr>
          <w:sz w:val="18"/>
        </w:rPr>
      </w:pPr>
      <w:r>
        <w:rPr>
          <w:color w:val="231F20"/>
          <w:sz w:val="18"/>
        </w:rPr>
        <w:t>de Nezahualcóyotl, Estado de México. Un análisis del Consejo de Participación Ciudadana (COPACI) No. 26, Tesis, México, D.F. FCPyS-UNAM, 165 pp.</w:t>
      </w:r>
    </w:p>
    <w:p>
      <w:pPr>
        <w:spacing w:before="3"/>
        <w:ind w:left="110" w:right="114" w:firstLine="0"/>
        <w:jc w:val="left"/>
        <w:rPr>
          <w:sz w:val="18"/>
        </w:rPr>
      </w:pPr>
      <w:r>
        <w:rPr>
          <w:color w:val="231F20"/>
          <w:sz w:val="18"/>
        </w:rPr>
        <w:t>PAREDES HERNÁNDEZ, Noemí (2005), El ejercicio de Gobierno del PRD en el  municipio</w:t>
      </w:r>
    </w:p>
    <w:p>
      <w:pPr>
        <w:spacing w:before="93"/>
        <w:ind w:left="393" w:right="114" w:firstLine="0"/>
        <w:jc w:val="left"/>
        <w:rPr>
          <w:sz w:val="18"/>
        </w:rPr>
      </w:pPr>
      <w:r>
        <w:rPr>
          <w:color w:val="231F20"/>
          <w:sz w:val="18"/>
        </w:rPr>
        <w:t>de Nezahualcóyotl 1997-2003, Tesina, San Juan de Aragón Edo. Méx., FES- ARAGÓN, 119   pp.</w:t>
      </w:r>
    </w:p>
    <w:p>
      <w:pPr>
        <w:spacing w:after="0"/>
        <w:jc w:val="left"/>
        <w:rPr>
          <w:sz w:val="18"/>
        </w:rPr>
        <w:sectPr>
          <w:pgSz w:w="9640" w:h="12190"/>
          <w:pgMar w:header="0" w:footer="743" w:top="1120" w:bottom="940" w:left="74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pPr>
      <w:r>
        <w:rPr>
          <w:color w:val="231F20"/>
          <w:w w:val="105"/>
        </w:rPr>
        <w:t>El gobierno del municipio de Chalco</w:t>
      </w:r>
    </w:p>
    <w:p>
      <w:pPr>
        <w:spacing w:before="39"/>
        <w:ind w:left="3249" w:right="-2" w:firstLine="0"/>
        <w:jc w:val="left"/>
        <w:rPr>
          <w:i/>
          <w:sz w:val="20"/>
        </w:rPr>
      </w:pPr>
      <w:r>
        <w:rPr>
          <w:i/>
          <w:color w:val="231F20"/>
          <w:sz w:val="20"/>
        </w:rPr>
        <w:t>Mónica Selene Meléndez Rivera | Jeany Fernández Jiménez</w:t>
      </w:r>
    </w:p>
    <w:p>
      <w:pPr>
        <w:pStyle w:val="BodyText"/>
        <w:spacing w:before="3"/>
        <w:rPr>
          <w:i/>
          <w:sz w:val="27"/>
        </w:rPr>
      </w:pPr>
    </w:p>
    <w:p>
      <w:pPr>
        <w:pStyle w:val="Heading3"/>
      </w:pPr>
      <w:r>
        <w:rPr>
          <w:color w:val="231F20"/>
          <w:w w:val="105"/>
        </w:rPr>
        <w:t>Introducción</w:t>
      </w:r>
    </w:p>
    <w:p>
      <w:pPr>
        <w:pStyle w:val="BodyText"/>
        <w:spacing w:line="285" w:lineRule="auto" w:before="38"/>
        <w:ind w:left="110" w:right="107"/>
        <w:jc w:val="both"/>
      </w:pPr>
      <w:r>
        <w:rPr>
          <w:color w:val="231F20"/>
          <w:w w:val="105"/>
        </w:rPr>
        <w:t>El</w:t>
      </w:r>
      <w:r>
        <w:rPr>
          <w:color w:val="231F20"/>
          <w:spacing w:val="-6"/>
          <w:w w:val="105"/>
        </w:rPr>
        <w:t> </w:t>
      </w:r>
      <w:r>
        <w:rPr>
          <w:color w:val="231F20"/>
          <w:w w:val="105"/>
        </w:rPr>
        <w:t>Estado</w:t>
      </w:r>
      <w:r>
        <w:rPr>
          <w:color w:val="231F20"/>
          <w:spacing w:val="-6"/>
          <w:w w:val="105"/>
        </w:rPr>
        <w:t> </w:t>
      </w:r>
      <w:r>
        <w:rPr>
          <w:color w:val="231F20"/>
          <w:w w:val="105"/>
        </w:rPr>
        <w:t>cuenta</w:t>
      </w:r>
      <w:r>
        <w:rPr>
          <w:color w:val="231F20"/>
          <w:spacing w:val="-6"/>
          <w:w w:val="105"/>
        </w:rPr>
        <w:t> </w:t>
      </w:r>
      <w:r>
        <w:rPr>
          <w:color w:val="231F20"/>
          <w:w w:val="105"/>
        </w:rPr>
        <w:t>con</w:t>
      </w:r>
      <w:r>
        <w:rPr>
          <w:color w:val="231F20"/>
          <w:spacing w:val="-6"/>
          <w:w w:val="105"/>
        </w:rPr>
        <w:t> </w:t>
      </w:r>
      <w:r>
        <w:rPr>
          <w:color w:val="231F20"/>
          <w:w w:val="105"/>
        </w:rPr>
        <w:t>una</w:t>
      </w:r>
      <w:r>
        <w:rPr>
          <w:color w:val="231F20"/>
          <w:spacing w:val="-6"/>
          <w:w w:val="105"/>
        </w:rPr>
        <w:t> </w:t>
      </w:r>
      <w:r>
        <w:rPr>
          <w:color w:val="231F20"/>
          <w:spacing w:val="2"/>
          <w:w w:val="105"/>
        </w:rPr>
        <w:t>figura</w:t>
      </w:r>
      <w:r>
        <w:rPr>
          <w:color w:val="231F20"/>
          <w:spacing w:val="-6"/>
          <w:w w:val="105"/>
        </w:rPr>
        <w:t> </w:t>
      </w:r>
      <w:r>
        <w:rPr>
          <w:color w:val="231F20"/>
          <w:w w:val="105"/>
        </w:rPr>
        <w:t>de</w:t>
      </w:r>
      <w:r>
        <w:rPr>
          <w:color w:val="231F20"/>
          <w:spacing w:val="-6"/>
          <w:w w:val="105"/>
        </w:rPr>
        <w:t> </w:t>
      </w:r>
      <w:r>
        <w:rPr>
          <w:color w:val="231F20"/>
          <w:w w:val="105"/>
        </w:rPr>
        <w:t>organización</w:t>
      </w:r>
      <w:r>
        <w:rPr>
          <w:color w:val="231F20"/>
          <w:spacing w:val="-6"/>
          <w:w w:val="105"/>
        </w:rPr>
        <w:t> </w:t>
      </w:r>
      <w:r>
        <w:rPr>
          <w:color w:val="231F20"/>
          <w:w w:val="105"/>
        </w:rPr>
        <w:t>política</w:t>
      </w:r>
      <w:r>
        <w:rPr>
          <w:color w:val="231F20"/>
          <w:spacing w:val="-6"/>
          <w:w w:val="105"/>
        </w:rPr>
        <w:t> </w:t>
      </w:r>
      <w:r>
        <w:rPr>
          <w:color w:val="231F20"/>
          <w:w w:val="105"/>
        </w:rPr>
        <w:t>y</w:t>
      </w:r>
      <w:r>
        <w:rPr>
          <w:color w:val="231F20"/>
          <w:spacing w:val="-6"/>
          <w:w w:val="105"/>
        </w:rPr>
        <w:t> </w:t>
      </w:r>
      <w:r>
        <w:rPr>
          <w:color w:val="231F20"/>
          <w:w w:val="105"/>
        </w:rPr>
        <w:t>administrativa</w:t>
      </w:r>
      <w:r>
        <w:rPr>
          <w:color w:val="231F20"/>
          <w:spacing w:val="-6"/>
          <w:w w:val="105"/>
        </w:rPr>
        <w:t> </w:t>
      </w:r>
      <w:r>
        <w:rPr>
          <w:color w:val="231F20"/>
          <w:w w:val="105"/>
        </w:rPr>
        <w:t>denominada Municipio, aspecto que nos lleva a considerar que la sociedad necesita de un </w:t>
      </w:r>
      <w:r>
        <w:rPr>
          <w:color w:val="231F20"/>
          <w:spacing w:val="-3"/>
          <w:w w:val="105"/>
        </w:rPr>
        <w:t>Gobier- </w:t>
      </w:r>
      <w:r>
        <w:rPr>
          <w:color w:val="231F20"/>
          <w:w w:val="105"/>
        </w:rPr>
        <w:t>no que la guíe con autoridad y materialice la satisfacción de sus necesidades básicas. Sin</w:t>
      </w:r>
      <w:r>
        <w:rPr>
          <w:color w:val="231F20"/>
          <w:spacing w:val="-5"/>
          <w:w w:val="105"/>
        </w:rPr>
        <w:t> </w:t>
      </w:r>
      <w:r>
        <w:rPr>
          <w:color w:val="231F20"/>
          <w:w w:val="105"/>
        </w:rPr>
        <w:t>embargo</w:t>
      </w:r>
      <w:r>
        <w:rPr>
          <w:color w:val="231F20"/>
          <w:spacing w:val="-5"/>
          <w:w w:val="105"/>
        </w:rPr>
        <w:t> </w:t>
      </w:r>
      <w:r>
        <w:rPr>
          <w:color w:val="231F20"/>
          <w:w w:val="105"/>
        </w:rPr>
        <w:t>el</w:t>
      </w:r>
      <w:r>
        <w:rPr>
          <w:color w:val="231F20"/>
          <w:spacing w:val="-5"/>
          <w:w w:val="105"/>
        </w:rPr>
        <w:t> </w:t>
      </w:r>
      <w:r>
        <w:rPr>
          <w:color w:val="231F20"/>
          <w:w w:val="105"/>
        </w:rPr>
        <w:t>funcionamiento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gobiernos</w:t>
      </w:r>
      <w:r>
        <w:rPr>
          <w:color w:val="231F20"/>
          <w:spacing w:val="-5"/>
          <w:w w:val="105"/>
        </w:rPr>
        <w:t> </w:t>
      </w:r>
      <w:r>
        <w:rPr>
          <w:color w:val="231F20"/>
          <w:w w:val="105"/>
        </w:rPr>
        <w:t>es</w:t>
      </w:r>
      <w:r>
        <w:rPr>
          <w:color w:val="231F20"/>
          <w:spacing w:val="-5"/>
          <w:w w:val="105"/>
        </w:rPr>
        <w:t> </w:t>
      </w:r>
      <w:r>
        <w:rPr>
          <w:color w:val="231F20"/>
          <w:w w:val="105"/>
        </w:rPr>
        <w:t>cada</w:t>
      </w:r>
      <w:r>
        <w:rPr>
          <w:color w:val="231F20"/>
          <w:spacing w:val="-5"/>
          <w:w w:val="105"/>
        </w:rPr>
        <w:t> </w:t>
      </w:r>
      <w:r>
        <w:rPr>
          <w:color w:val="231F20"/>
          <w:w w:val="105"/>
        </w:rPr>
        <w:t>vez</w:t>
      </w:r>
      <w:r>
        <w:rPr>
          <w:color w:val="231F20"/>
          <w:spacing w:val="-5"/>
          <w:w w:val="105"/>
        </w:rPr>
        <w:t> </w:t>
      </w:r>
      <w:r>
        <w:rPr>
          <w:color w:val="231F20"/>
          <w:w w:val="105"/>
        </w:rPr>
        <w:t>más</w:t>
      </w:r>
      <w:r>
        <w:rPr>
          <w:color w:val="231F20"/>
          <w:spacing w:val="-5"/>
          <w:w w:val="105"/>
        </w:rPr>
        <w:t> </w:t>
      </w:r>
      <w:r>
        <w:rPr>
          <w:color w:val="231F20"/>
          <w:spacing w:val="-3"/>
          <w:w w:val="105"/>
        </w:rPr>
        <w:t>complejo,</w:t>
      </w:r>
      <w:r>
        <w:rPr>
          <w:color w:val="231F20"/>
          <w:spacing w:val="-5"/>
          <w:w w:val="105"/>
        </w:rPr>
        <w:t> </w:t>
      </w:r>
      <w:r>
        <w:rPr>
          <w:color w:val="231F20"/>
          <w:w w:val="105"/>
        </w:rPr>
        <w:t>pues</w:t>
      </w:r>
      <w:r>
        <w:rPr>
          <w:color w:val="231F20"/>
          <w:spacing w:val="-5"/>
          <w:w w:val="105"/>
        </w:rPr>
        <w:t> </w:t>
      </w:r>
      <w:r>
        <w:rPr>
          <w:color w:val="231F20"/>
          <w:w w:val="105"/>
        </w:rPr>
        <w:t>están inmersos en presiones de la ciudadanía y tienen que hacer frente a una sobrecarga de demandas.</w:t>
      </w:r>
      <w:r>
        <w:rPr>
          <w:color w:val="231F20"/>
          <w:spacing w:val="-10"/>
          <w:w w:val="105"/>
        </w:rPr>
        <w:t> </w:t>
      </w:r>
      <w:r>
        <w:rPr>
          <w:color w:val="231F20"/>
          <w:w w:val="105"/>
        </w:rPr>
        <w:t>“Los</w:t>
      </w:r>
      <w:r>
        <w:rPr>
          <w:color w:val="231F20"/>
          <w:spacing w:val="-10"/>
          <w:w w:val="105"/>
        </w:rPr>
        <w:t> </w:t>
      </w:r>
      <w:r>
        <w:rPr>
          <w:color w:val="231F20"/>
          <w:w w:val="105"/>
        </w:rPr>
        <w:t>servidores</w:t>
      </w:r>
      <w:r>
        <w:rPr>
          <w:color w:val="231F20"/>
          <w:spacing w:val="-10"/>
          <w:w w:val="105"/>
        </w:rPr>
        <w:t> </w:t>
      </w:r>
      <w:r>
        <w:rPr>
          <w:color w:val="231F20"/>
          <w:w w:val="105"/>
        </w:rPr>
        <w:t>públicos</w:t>
      </w:r>
      <w:r>
        <w:rPr>
          <w:color w:val="231F20"/>
          <w:spacing w:val="-10"/>
          <w:w w:val="105"/>
        </w:rPr>
        <w:t> </w:t>
      </w:r>
      <w:r>
        <w:rPr>
          <w:color w:val="231F20"/>
          <w:w w:val="105"/>
        </w:rPr>
        <w:t>en</w:t>
      </w:r>
      <w:r>
        <w:rPr>
          <w:color w:val="231F20"/>
          <w:spacing w:val="-10"/>
          <w:w w:val="105"/>
        </w:rPr>
        <w:t> </w:t>
      </w:r>
      <w:r>
        <w:rPr>
          <w:color w:val="231F20"/>
          <w:w w:val="105"/>
        </w:rPr>
        <w:t>México</w:t>
      </w:r>
      <w:r>
        <w:rPr>
          <w:color w:val="231F20"/>
          <w:spacing w:val="-10"/>
          <w:w w:val="105"/>
        </w:rPr>
        <w:t> </w:t>
      </w:r>
      <w:r>
        <w:rPr>
          <w:color w:val="231F20"/>
          <w:w w:val="105"/>
        </w:rPr>
        <w:t>enfrentan</w:t>
      </w:r>
      <w:r>
        <w:rPr>
          <w:color w:val="231F20"/>
          <w:spacing w:val="-10"/>
          <w:w w:val="105"/>
        </w:rPr>
        <w:t> </w:t>
      </w:r>
      <w:r>
        <w:rPr>
          <w:color w:val="231F20"/>
          <w:w w:val="105"/>
        </w:rPr>
        <w:t>retos</w:t>
      </w:r>
      <w:r>
        <w:rPr>
          <w:color w:val="231F20"/>
          <w:spacing w:val="-10"/>
          <w:w w:val="105"/>
        </w:rPr>
        <w:t> </w:t>
      </w:r>
      <w:r>
        <w:rPr>
          <w:color w:val="231F20"/>
          <w:w w:val="105"/>
        </w:rPr>
        <w:t>más</w:t>
      </w:r>
      <w:r>
        <w:rPr>
          <w:color w:val="231F20"/>
          <w:spacing w:val="-10"/>
          <w:w w:val="105"/>
        </w:rPr>
        <w:t> </w:t>
      </w:r>
      <w:r>
        <w:rPr>
          <w:color w:val="231F20"/>
          <w:w w:val="105"/>
        </w:rPr>
        <w:t>complejos.</w:t>
      </w:r>
      <w:r>
        <w:rPr>
          <w:color w:val="231F20"/>
          <w:spacing w:val="-10"/>
          <w:w w:val="105"/>
        </w:rPr>
        <w:t> </w:t>
      </w:r>
      <w:r>
        <w:rPr>
          <w:color w:val="231F20"/>
          <w:w w:val="105"/>
        </w:rPr>
        <w:t>La</w:t>
      </w:r>
      <w:r>
        <w:rPr>
          <w:color w:val="231F20"/>
          <w:spacing w:val="-10"/>
          <w:w w:val="105"/>
        </w:rPr>
        <w:t> </w:t>
      </w:r>
      <w:r>
        <w:rPr>
          <w:color w:val="231F20"/>
          <w:w w:val="105"/>
        </w:rPr>
        <w:t>res- ponsabilidad</w:t>
      </w:r>
      <w:r>
        <w:rPr>
          <w:color w:val="231F20"/>
          <w:spacing w:val="-10"/>
          <w:w w:val="105"/>
        </w:rPr>
        <w:t> </w:t>
      </w:r>
      <w:r>
        <w:rPr>
          <w:color w:val="231F20"/>
          <w:w w:val="105"/>
        </w:rPr>
        <w:t>ha</w:t>
      </w:r>
      <w:r>
        <w:rPr>
          <w:color w:val="231F20"/>
          <w:spacing w:val="-10"/>
          <w:w w:val="105"/>
        </w:rPr>
        <w:t> </w:t>
      </w:r>
      <w:r>
        <w:rPr>
          <w:color w:val="231F20"/>
          <w:spacing w:val="-2"/>
          <w:w w:val="105"/>
        </w:rPr>
        <w:t>dejado</w:t>
      </w:r>
      <w:r>
        <w:rPr>
          <w:color w:val="231F20"/>
          <w:spacing w:val="-10"/>
          <w:w w:val="105"/>
        </w:rPr>
        <w:t> </w:t>
      </w:r>
      <w:r>
        <w:rPr>
          <w:color w:val="231F20"/>
          <w:w w:val="105"/>
        </w:rPr>
        <w:t>de</w:t>
      </w:r>
      <w:r>
        <w:rPr>
          <w:color w:val="231F20"/>
          <w:spacing w:val="-10"/>
          <w:w w:val="105"/>
        </w:rPr>
        <w:t> </w:t>
      </w:r>
      <w:r>
        <w:rPr>
          <w:color w:val="231F20"/>
          <w:w w:val="105"/>
        </w:rPr>
        <w:t>ser</w:t>
      </w:r>
      <w:r>
        <w:rPr>
          <w:color w:val="231F20"/>
          <w:spacing w:val="-10"/>
          <w:w w:val="105"/>
        </w:rPr>
        <w:t> </w:t>
      </w:r>
      <w:r>
        <w:rPr>
          <w:color w:val="231F20"/>
          <w:w w:val="105"/>
        </w:rPr>
        <w:t>una</w:t>
      </w:r>
      <w:r>
        <w:rPr>
          <w:color w:val="231F20"/>
          <w:spacing w:val="-10"/>
          <w:w w:val="105"/>
        </w:rPr>
        <w:t> </w:t>
      </w:r>
      <w:r>
        <w:rPr>
          <w:color w:val="231F20"/>
          <w:w w:val="105"/>
        </w:rPr>
        <w:t>moda</w:t>
      </w:r>
      <w:r>
        <w:rPr>
          <w:color w:val="231F20"/>
          <w:spacing w:val="-10"/>
          <w:w w:val="105"/>
        </w:rPr>
        <w:t> </w:t>
      </w:r>
      <w:r>
        <w:rPr>
          <w:color w:val="231F20"/>
          <w:w w:val="105"/>
        </w:rPr>
        <w:t>administrativa</w:t>
      </w:r>
      <w:r>
        <w:rPr>
          <w:color w:val="231F20"/>
          <w:spacing w:val="-10"/>
          <w:w w:val="105"/>
        </w:rPr>
        <w:t> </w:t>
      </w:r>
      <w:r>
        <w:rPr>
          <w:color w:val="231F20"/>
          <w:w w:val="105"/>
        </w:rPr>
        <w:t>para</w:t>
      </w:r>
      <w:r>
        <w:rPr>
          <w:color w:val="231F20"/>
          <w:spacing w:val="-10"/>
          <w:w w:val="105"/>
        </w:rPr>
        <w:t> </w:t>
      </w:r>
      <w:r>
        <w:rPr>
          <w:color w:val="231F20"/>
          <w:w w:val="105"/>
        </w:rPr>
        <w:t>convertirse</w:t>
      </w:r>
      <w:r>
        <w:rPr>
          <w:color w:val="231F20"/>
          <w:spacing w:val="-10"/>
          <w:w w:val="105"/>
        </w:rPr>
        <w:t> </w:t>
      </w:r>
      <w:r>
        <w:rPr>
          <w:color w:val="231F20"/>
          <w:w w:val="105"/>
        </w:rPr>
        <w:t>en</w:t>
      </w:r>
      <w:r>
        <w:rPr>
          <w:color w:val="231F20"/>
          <w:spacing w:val="-10"/>
          <w:w w:val="105"/>
        </w:rPr>
        <w:t> </w:t>
      </w:r>
      <w:r>
        <w:rPr>
          <w:color w:val="231F20"/>
          <w:w w:val="105"/>
        </w:rPr>
        <w:t>una</w:t>
      </w:r>
      <w:r>
        <w:rPr>
          <w:color w:val="231F20"/>
          <w:spacing w:val="-10"/>
          <w:w w:val="105"/>
        </w:rPr>
        <w:t> </w:t>
      </w:r>
      <w:r>
        <w:rPr>
          <w:color w:val="231F20"/>
          <w:w w:val="105"/>
        </w:rPr>
        <w:t>deman- da</w:t>
      </w:r>
      <w:r>
        <w:rPr>
          <w:color w:val="231F20"/>
          <w:spacing w:val="-31"/>
          <w:w w:val="105"/>
        </w:rPr>
        <w:t> </w:t>
      </w:r>
      <w:r>
        <w:rPr>
          <w:color w:val="231F20"/>
          <w:w w:val="105"/>
        </w:rPr>
        <w:t>más”</w:t>
      </w:r>
      <w:r>
        <w:rPr>
          <w:color w:val="231F20"/>
          <w:spacing w:val="-31"/>
          <w:w w:val="105"/>
        </w:rPr>
        <w:t> </w:t>
      </w:r>
      <w:r>
        <w:rPr>
          <w:color w:val="231F20"/>
          <w:spacing w:val="-3"/>
          <w:w w:val="105"/>
        </w:rPr>
        <w:t>(Cuaderno</w:t>
      </w:r>
      <w:r>
        <w:rPr>
          <w:color w:val="231F20"/>
          <w:spacing w:val="-31"/>
          <w:w w:val="105"/>
        </w:rPr>
        <w:t> </w:t>
      </w:r>
      <w:r>
        <w:rPr>
          <w:color w:val="231F20"/>
          <w:w w:val="105"/>
        </w:rPr>
        <w:t>del</w:t>
      </w:r>
      <w:r>
        <w:rPr>
          <w:color w:val="231F20"/>
          <w:spacing w:val="-31"/>
          <w:w w:val="105"/>
        </w:rPr>
        <w:t> </w:t>
      </w:r>
      <w:r>
        <w:rPr>
          <w:color w:val="231F20"/>
          <w:w w:val="105"/>
        </w:rPr>
        <w:t>IFE,</w:t>
      </w:r>
      <w:r>
        <w:rPr>
          <w:color w:val="231F20"/>
          <w:spacing w:val="-31"/>
          <w:w w:val="105"/>
        </w:rPr>
        <w:t> </w:t>
      </w:r>
      <w:r>
        <w:rPr>
          <w:color w:val="231F20"/>
          <w:w w:val="105"/>
        </w:rPr>
        <w:t>2001:20).</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9"/>
          <w:w w:val="105"/>
        </w:rPr>
        <w:t> </w:t>
      </w:r>
      <w:r>
        <w:rPr>
          <w:color w:val="231F20"/>
          <w:w w:val="105"/>
        </w:rPr>
        <w:t>paralelo,</w:t>
      </w:r>
      <w:r>
        <w:rPr>
          <w:color w:val="231F20"/>
          <w:spacing w:val="-19"/>
          <w:w w:val="105"/>
        </w:rPr>
        <w:t> </w:t>
      </w:r>
      <w:r>
        <w:rPr>
          <w:color w:val="231F20"/>
          <w:w w:val="105"/>
        </w:rPr>
        <w:t>actualmente</w:t>
      </w:r>
      <w:r>
        <w:rPr>
          <w:color w:val="231F20"/>
          <w:spacing w:val="-19"/>
          <w:w w:val="105"/>
        </w:rPr>
        <w:t> </w:t>
      </w:r>
      <w:r>
        <w:rPr>
          <w:color w:val="231F20"/>
          <w:spacing w:val="-3"/>
          <w:w w:val="105"/>
        </w:rPr>
        <w:t>los</w:t>
      </w:r>
      <w:r>
        <w:rPr>
          <w:color w:val="231F20"/>
          <w:spacing w:val="-19"/>
          <w:w w:val="105"/>
        </w:rPr>
        <w:t> </w:t>
      </w:r>
      <w:r>
        <w:rPr>
          <w:color w:val="231F20"/>
          <w:spacing w:val="-3"/>
          <w:w w:val="105"/>
        </w:rPr>
        <w:t>ciudadanos</w:t>
      </w:r>
      <w:r>
        <w:rPr>
          <w:color w:val="231F20"/>
          <w:spacing w:val="-19"/>
          <w:w w:val="105"/>
        </w:rPr>
        <w:t> </w:t>
      </w:r>
      <w:r>
        <w:rPr>
          <w:color w:val="231F20"/>
          <w:spacing w:val="-3"/>
          <w:w w:val="105"/>
        </w:rPr>
        <w:t>tiene</w:t>
      </w:r>
      <w:r>
        <w:rPr>
          <w:color w:val="231F20"/>
          <w:spacing w:val="-19"/>
          <w:w w:val="105"/>
        </w:rPr>
        <w:t> </w:t>
      </w:r>
      <w:r>
        <w:rPr>
          <w:color w:val="231F20"/>
          <w:w w:val="105"/>
        </w:rPr>
        <w:t>la</w:t>
      </w:r>
      <w:r>
        <w:rPr>
          <w:color w:val="231F20"/>
          <w:spacing w:val="-19"/>
          <w:w w:val="105"/>
        </w:rPr>
        <w:t> </w:t>
      </w:r>
      <w:r>
        <w:rPr>
          <w:color w:val="231F20"/>
          <w:spacing w:val="-3"/>
          <w:w w:val="105"/>
        </w:rPr>
        <w:t>posibilidad</w:t>
      </w:r>
      <w:r>
        <w:rPr>
          <w:color w:val="231F20"/>
          <w:spacing w:val="-19"/>
          <w:w w:val="105"/>
        </w:rPr>
        <w:t> </w:t>
      </w:r>
      <w:r>
        <w:rPr>
          <w:color w:val="231F20"/>
          <w:w w:val="105"/>
        </w:rPr>
        <w:t>de</w:t>
      </w:r>
      <w:r>
        <w:rPr>
          <w:color w:val="231F20"/>
          <w:spacing w:val="-19"/>
          <w:w w:val="105"/>
        </w:rPr>
        <w:t> </w:t>
      </w:r>
      <w:r>
        <w:rPr>
          <w:color w:val="231F20"/>
          <w:w w:val="105"/>
        </w:rPr>
        <w:t>emitir</w:t>
      </w:r>
      <w:r>
        <w:rPr>
          <w:color w:val="231F20"/>
          <w:spacing w:val="-19"/>
          <w:w w:val="105"/>
        </w:rPr>
        <w:t> </w:t>
      </w:r>
      <w:r>
        <w:rPr>
          <w:color w:val="231F20"/>
          <w:w w:val="105"/>
        </w:rPr>
        <w:t>su</w:t>
      </w:r>
      <w:r>
        <w:rPr>
          <w:color w:val="231F20"/>
          <w:spacing w:val="-19"/>
          <w:w w:val="105"/>
        </w:rPr>
        <w:t> </w:t>
      </w:r>
      <w:r>
        <w:rPr>
          <w:color w:val="231F20"/>
          <w:w w:val="105"/>
        </w:rPr>
        <w:t>sufragio</w:t>
      </w:r>
      <w:r>
        <w:rPr>
          <w:color w:val="231F20"/>
          <w:spacing w:val="-19"/>
          <w:w w:val="105"/>
        </w:rPr>
        <w:t> </w:t>
      </w:r>
      <w:r>
        <w:rPr>
          <w:color w:val="231F20"/>
          <w:spacing w:val="-3"/>
          <w:w w:val="105"/>
        </w:rPr>
        <w:t>por</w:t>
      </w:r>
      <w:r>
        <w:rPr>
          <w:color w:val="231F20"/>
          <w:spacing w:val="-19"/>
          <w:w w:val="105"/>
        </w:rPr>
        <w:t> </w:t>
      </w:r>
      <w:r>
        <w:rPr>
          <w:color w:val="231F20"/>
          <w:w w:val="105"/>
        </w:rPr>
        <w:t>una </w:t>
      </w:r>
      <w:r>
        <w:rPr>
          <w:color w:val="231F20"/>
          <w:spacing w:val="-4"/>
          <w:w w:val="105"/>
        </w:rPr>
        <w:t>diversidad</w:t>
      </w:r>
      <w:r>
        <w:rPr>
          <w:color w:val="231F20"/>
          <w:spacing w:val="-16"/>
          <w:w w:val="105"/>
        </w:rPr>
        <w:t> </w:t>
      </w:r>
      <w:r>
        <w:rPr>
          <w:color w:val="231F20"/>
          <w:w w:val="105"/>
        </w:rPr>
        <w:t>de</w:t>
      </w:r>
      <w:r>
        <w:rPr>
          <w:color w:val="231F20"/>
          <w:spacing w:val="-16"/>
          <w:w w:val="105"/>
        </w:rPr>
        <w:t> </w:t>
      </w:r>
      <w:r>
        <w:rPr>
          <w:color w:val="231F20"/>
          <w:w w:val="105"/>
        </w:rPr>
        <w:t>partidos</w:t>
      </w:r>
      <w:r>
        <w:rPr>
          <w:color w:val="231F20"/>
          <w:spacing w:val="-16"/>
          <w:w w:val="105"/>
        </w:rPr>
        <w:t> </w:t>
      </w:r>
      <w:r>
        <w:rPr>
          <w:color w:val="231F20"/>
          <w:spacing w:val="-3"/>
          <w:w w:val="105"/>
        </w:rPr>
        <w:t>políticos</w:t>
      </w:r>
      <w:r>
        <w:rPr>
          <w:color w:val="231F20"/>
          <w:spacing w:val="-16"/>
          <w:w w:val="105"/>
        </w:rPr>
        <w:t> </w:t>
      </w:r>
      <w:r>
        <w:rPr>
          <w:color w:val="231F20"/>
          <w:spacing w:val="-3"/>
          <w:w w:val="105"/>
        </w:rPr>
        <w:t>que</w:t>
      </w:r>
      <w:r>
        <w:rPr>
          <w:color w:val="231F20"/>
          <w:spacing w:val="-16"/>
          <w:w w:val="105"/>
        </w:rPr>
        <w:t> </w:t>
      </w:r>
      <w:r>
        <w:rPr>
          <w:color w:val="231F20"/>
          <w:w w:val="105"/>
        </w:rPr>
        <w:t>se</w:t>
      </w:r>
      <w:r>
        <w:rPr>
          <w:color w:val="231F20"/>
          <w:spacing w:val="-16"/>
          <w:w w:val="105"/>
        </w:rPr>
        <w:t> </w:t>
      </w:r>
      <w:r>
        <w:rPr>
          <w:color w:val="231F20"/>
          <w:w w:val="105"/>
        </w:rPr>
        <w:t>disputan</w:t>
      </w:r>
      <w:r>
        <w:rPr>
          <w:color w:val="231F20"/>
          <w:spacing w:val="-16"/>
          <w:w w:val="105"/>
        </w:rPr>
        <w:t> </w:t>
      </w:r>
      <w:r>
        <w:rPr>
          <w:color w:val="231F20"/>
          <w:w w:val="105"/>
        </w:rPr>
        <w:t>el</w:t>
      </w:r>
      <w:r>
        <w:rPr>
          <w:color w:val="231F20"/>
          <w:spacing w:val="-16"/>
          <w:w w:val="105"/>
        </w:rPr>
        <w:t> </w:t>
      </w:r>
      <w:r>
        <w:rPr>
          <w:color w:val="231F20"/>
          <w:spacing w:val="-3"/>
          <w:w w:val="105"/>
        </w:rPr>
        <w:t>poder</w:t>
      </w:r>
      <w:r>
        <w:rPr>
          <w:color w:val="231F20"/>
          <w:spacing w:val="-16"/>
          <w:w w:val="105"/>
        </w:rPr>
        <w:t> </w:t>
      </w:r>
      <w:r>
        <w:rPr>
          <w:color w:val="231F20"/>
          <w:w w:val="105"/>
        </w:rPr>
        <w:t>en</w:t>
      </w:r>
      <w:r>
        <w:rPr>
          <w:color w:val="231F20"/>
          <w:spacing w:val="-16"/>
          <w:w w:val="105"/>
        </w:rPr>
        <w:t> </w:t>
      </w:r>
      <w:r>
        <w:rPr>
          <w:color w:val="231F20"/>
          <w:spacing w:val="-3"/>
          <w:w w:val="105"/>
        </w:rPr>
        <w:t>diversos</w:t>
      </w:r>
      <w:r>
        <w:rPr>
          <w:color w:val="231F20"/>
          <w:spacing w:val="-16"/>
          <w:w w:val="105"/>
        </w:rPr>
        <w:t> </w:t>
      </w:r>
      <w:r>
        <w:rPr>
          <w:color w:val="231F20"/>
          <w:spacing w:val="-3"/>
          <w:w w:val="105"/>
        </w:rPr>
        <w:t>planos:</w:t>
      </w:r>
      <w:r>
        <w:rPr>
          <w:color w:val="231F20"/>
          <w:spacing w:val="-16"/>
          <w:w w:val="105"/>
        </w:rPr>
        <w:t> </w:t>
      </w:r>
      <w:r>
        <w:rPr>
          <w:color w:val="231F20"/>
          <w:spacing w:val="-3"/>
          <w:w w:val="105"/>
        </w:rPr>
        <w:t>federal,</w:t>
      </w:r>
      <w:r>
        <w:rPr>
          <w:color w:val="231F20"/>
          <w:spacing w:val="-16"/>
          <w:w w:val="105"/>
        </w:rPr>
        <w:t> </w:t>
      </w:r>
      <w:r>
        <w:rPr>
          <w:color w:val="231F20"/>
          <w:w w:val="105"/>
        </w:rPr>
        <w:t>esta- tal</w:t>
      </w:r>
      <w:r>
        <w:rPr>
          <w:color w:val="231F20"/>
          <w:spacing w:val="-20"/>
          <w:w w:val="105"/>
        </w:rPr>
        <w:t> </w:t>
      </w:r>
      <w:r>
        <w:rPr>
          <w:color w:val="231F20"/>
          <w:w w:val="105"/>
        </w:rPr>
        <w:t>y</w:t>
      </w:r>
      <w:r>
        <w:rPr>
          <w:color w:val="231F20"/>
          <w:spacing w:val="-20"/>
          <w:w w:val="105"/>
        </w:rPr>
        <w:t> </w:t>
      </w:r>
      <w:r>
        <w:rPr>
          <w:color w:val="231F20"/>
          <w:w w:val="105"/>
        </w:rPr>
        <w:t>municipal.</w:t>
      </w:r>
      <w:r>
        <w:rPr>
          <w:color w:val="231F20"/>
          <w:spacing w:val="-20"/>
          <w:w w:val="105"/>
        </w:rPr>
        <w:t> </w:t>
      </w:r>
      <w:r>
        <w:rPr>
          <w:color w:val="231F20"/>
          <w:w w:val="105"/>
        </w:rPr>
        <w:t>Es</w:t>
      </w:r>
      <w:r>
        <w:rPr>
          <w:color w:val="231F20"/>
          <w:spacing w:val="-20"/>
          <w:w w:val="105"/>
        </w:rPr>
        <w:t> </w:t>
      </w:r>
      <w:r>
        <w:rPr>
          <w:color w:val="231F20"/>
          <w:w w:val="105"/>
        </w:rPr>
        <w:t>ahí</w:t>
      </w:r>
      <w:r>
        <w:rPr>
          <w:color w:val="231F20"/>
          <w:spacing w:val="-20"/>
          <w:w w:val="105"/>
        </w:rPr>
        <w:t> </w:t>
      </w:r>
      <w:r>
        <w:rPr>
          <w:color w:val="231F20"/>
          <w:spacing w:val="-4"/>
          <w:w w:val="105"/>
        </w:rPr>
        <w:t>donde</w:t>
      </w:r>
      <w:r>
        <w:rPr>
          <w:color w:val="231F20"/>
          <w:spacing w:val="-20"/>
          <w:w w:val="105"/>
        </w:rPr>
        <w:t> </w:t>
      </w:r>
      <w:r>
        <w:rPr>
          <w:color w:val="231F20"/>
          <w:w w:val="105"/>
        </w:rPr>
        <w:t>la</w:t>
      </w:r>
      <w:r>
        <w:rPr>
          <w:color w:val="231F20"/>
          <w:spacing w:val="-20"/>
          <w:w w:val="105"/>
        </w:rPr>
        <w:t> </w:t>
      </w:r>
      <w:r>
        <w:rPr>
          <w:color w:val="231F20"/>
          <w:spacing w:val="-3"/>
          <w:w w:val="105"/>
        </w:rPr>
        <w:t>dualidad</w:t>
      </w:r>
      <w:r>
        <w:rPr>
          <w:color w:val="231F20"/>
          <w:spacing w:val="-20"/>
          <w:w w:val="105"/>
        </w:rPr>
        <w:t> </w:t>
      </w:r>
      <w:r>
        <w:rPr>
          <w:color w:val="231F20"/>
          <w:w w:val="105"/>
        </w:rPr>
        <w:t>partidos</w:t>
      </w:r>
      <w:r>
        <w:rPr>
          <w:color w:val="231F20"/>
          <w:spacing w:val="-20"/>
          <w:w w:val="105"/>
        </w:rPr>
        <w:t> </w:t>
      </w:r>
      <w:r>
        <w:rPr>
          <w:color w:val="231F20"/>
          <w:spacing w:val="-4"/>
          <w:w w:val="105"/>
        </w:rPr>
        <w:t>políticos-gobierno</w:t>
      </w:r>
      <w:r>
        <w:rPr>
          <w:color w:val="231F20"/>
          <w:spacing w:val="-20"/>
          <w:w w:val="105"/>
        </w:rPr>
        <w:t> </w:t>
      </w:r>
      <w:r>
        <w:rPr>
          <w:color w:val="231F20"/>
          <w:spacing w:val="-3"/>
          <w:w w:val="105"/>
        </w:rPr>
        <w:t>son</w:t>
      </w:r>
      <w:r>
        <w:rPr>
          <w:color w:val="231F20"/>
          <w:spacing w:val="-20"/>
          <w:w w:val="105"/>
        </w:rPr>
        <w:t> </w:t>
      </w:r>
      <w:r>
        <w:rPr>
          <w:color w:val="231F20"/>
          <w:w w:val="105"/>
        </w:rPr>
        <w:t>aspectos</w:t>
      </w:r>
      <w:r>
        <w:rPr>
          <w:color w:val="231F20"/>
          <w:spacing w:val="-20"/>
          <w:w w:val="105"/>
        </w:rPr>
        <w:t> </w:t>
      </w:r>
      <w:r>
        <w:rPr>
          <w:color w:val="231F20"/>
          <w:spacing w:val="-3"/>
          <w:w w:val="105"/>
        </w:rPr>
        <w:t>que</w:t>
      </w:r>
      <w:r>
        <w:rPr>
          <w:color w:val="231F20"/>
          <w:spacing w:val="-20"/>
          <w:w w:val="105"/>
        </w:rPr>
        <w:t> </w:t>
      </w:r>
      <w:r>
        <w:rPr>
          <w:color w:val="231F20"/>
          <w:w w:val="105"/>
        </w:rPr>
        <w:t>po- </w:t>
      </w:r>
      <w:r>
        <w:rPr>
          <w:color w:val="231F20"/>
          <w:spacing w:val="-4"/>
          <w:w w:val="105"/>
        </w:rPr>
        <w:t>demos</w:t>
      </w:r>
      <w:r>
        <w:rPr>
          <w:color w:val="231F20"/>
          <w:spacing w:val="-18"/>
          <w:w w:val="105"/>
        </w:rPr>
        <w:t> </w:t>
      </w:r>
      <w:r>
        <w:rPr>
          <w:color w:val="231F20"/>
          <w:w w:val="105"/>
        </w:rPr>
        <w:t>estudiar</w:t>
      </w:r>
      <w:r>
        <w:rPr>
          <w:color w:val="231F20"/>
          <w:spacing w:val="-18"/>
          <w:w w:val="105"/>
        </w:rPr>
        <w:t> </w:t>
      </w:r>
      <w:r>
        <w:rPr>
          <w:color w:val="231F20"/>
          <w:w w:val="105"/>
        </w:rPr>
        <w:t>de</w:t>
      </w:r>
      <w:r>
        <w:rPr>
          <w:color w:val="231F20"/>
          <w:spacing w:val="-18"/>
          <w:w w:val="105"/>
        </w:rPr>
        <w:t> </w:t>
      </w:r>
      <w:r>
        <w:rPr>
          <w:color w:val="231F20"/>
          <w:w w:val="105"/>
        </w:rPr>
        <w:t>manera</w:t>
      </w:r>
      <w:r>
        <w:rPr>
          <w:color w:val="231F20"/>
          <w:spacing w:val="-18"/>
          <w:w w:val="105"/>
        </w:rPr>
        <w:t> </w:t>
      </w:r>
      <w:r>
        <w:rPr>
          <w:color w:val="231F20"/>
          <w:spacing w:val="-4"/>
          <w:w w:val="105"/>
        </w:rPr>
        <w:t>interrelacionada,</w:t>
      </w:r>
      <w:r>
        <w:rPr>
          <w:color w:val="231F20"/>
          <w:spacing w:val="-18"/>
          <w:w w:val="105"/>
        </w:rPr>
        <w:t> </w:t>
      </w:r>
      <w:r>
        <w:rPr>
          <w:color w:val="231F20"/>
          <w:w w:val="105"/>
        </w:rPr>
        <w:t>específicamente</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municipio</w:t>
      </w:r>
      <w:r>
        <w:rPr>
          <w:color w:val="231F20"/>
          <w:spacing w:val="-18"/>
          <w:w w:val="105"/>
        </w:rPr>
        <w:t> </w:t>
      </w:r>
      <w:r>
        <w:rPr>
          <w:color w:val="231F20"/>
          <w:w w:val="105"/>
        </w:rPr>
        <w:t>de</w:t>
      </w:r>
      <w:r>
        <w:rPr>
          <w:color w:val="231F20"/>
          <w:spacing w:val="-18"/>
          <w:w w:val="105"/>
        </w:rPr>
        <w:t> </w:t>
      </w:r>
      <w:r>
        <w:rPr>
          <w:color w:val="231F20"/>
          <w:w w:val="105"/>
        </w:rPr>
        <w:t>Chalco.</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5"/>
          <w:w w:val="105"/>
        </w:rPr>
        <w:t> </w:t>
      </w:r>
      <w:r>
        <w:rPr>
          <w:color w:val="231F20"/>
          <w:w w:val="105"/>
        </w:rPr>
        <w:t>retos</w:t>
      </w:r>
      <w:r>
        <w:rPr>
          <w:color w:val="231F20"/>
          <w:spacing w:val="-5"/>
          <w:w w:val="105"/>
        </w:rPr>
        <w:t> </w:t>
      </w:r>
      <w:r>
        <w:rPr>
          <w:color w:val="231F20"/>
          <w:w w:val="105"/>
        </w:rPr>
        <w:t>de</w:t>
      </w:r>
      <w:r>
        <w:rPr>
          <w:color w:val="231F20"/>
          <w:spacing w:val="-5"/>
          <w:w w:val="105"/>
        </w:rPr>
        <w:t> </w:t>
      </w:r>
      <w:r>
        <w:rPr>
          <w:color w:val="231F20"/>
          <w:w w:val="105"/>
        </w:rPr>
        <w:t>todo</w:t>
      </w:r>
      <w:r>
        <w:rPr>
          <w:color w:val="231F20"/>
          <w:spacing w:val="-5"/>
          <w:w w:val="105"/>
        </w:rPr>
        <w:t> </w:t>
      </w:r>
      <w:r>
        <w:rPr>
          <w:color w:val="231F20"/>
          <w:w w:val="105"/>
        </w:rPr>
        <w:t>gobierno</w:t>
      </w:r>
      <w:r>
        <w:rPr>
          <w:color w:val="231F20"/>
          <w:spacing w:val="-5"/>
          <w:w w:val="105"/>
        </w:rPr>
        <w:t> </w:t>
      </w:r>
      <w:r>
        <w:rPr>
          <w:color w:val="231F20"/>
          <w:w w:val="105"/>
        </w:rPr>
        <w:t>local</w:t>
      </w:r>
      <w:r>
        <w:rPr>
          <w:color w:val="231F20"/>
          <w:spacing w:val="-5"/>
          <w:w w:val="105"/>
        </w:rPr>
        <w:t> </w:t>
      </w:r>
      <w:r>
        <w:rPr>
          <w:color w:val="231F20"/>
          <w:w w:val="105"/>
        </w:rPr>
        <w:t>radican</w:t>
      </w:r>
      <w:r>
        <w:rPr>
          <w:color w:val="231F20"/>
          <w:spacing w:val="-5"/>
          <w:w w:val="105"/>
        </w:rPr>
        <w:t> </w:t>
      </w:r>
      <w:r>
        <w:rPr>
          <w:color w:val="231F20"/>
          <w:w w:val="105"/>
        </w:rPr>
        <w:t>en</w:t>
      </w:r>
      <w:r>
        <w:rPr>
          <w:color w:val="231F20"/>
          <w:spacing w:val="-5"/>
          <w:w w:val="105"/>
        </w:rPr>
        <w:t> </w:t>
      </w:r>
      <w:r>
        <w:rPr>
          <w:color w:val="231F20"/>
          <w:w w:val="105"/>
        </w:rPr>
        <w:t>ofrecer</w:t>
      </w:r>
      <w:r>
        <w:rPr>
          <w:color w:val="231F20"/>
          <w:spacing w:val="-5"/>
          <w:w w:val="105"/>
        </w:rPr>
        <w:t> </w:t>
      </w:r>
      <w:r>
        <w:rPr>
          <w:color w:val="231F20"/>
          <w:w w:val="105"/>
        </w:rPr>
        <w:t>la</w:t>
      </w:r>
      <w:r>
        <w:rPr>
          <w:color w:val="231F20"/>
          <w:spacing w:val="-5"/>
          <w:w w:val="105"/>
        </w:rPr>
        <w:t> </w:t>
      </w:r>
      <w:r>
        <w:rPr>
          <w:color w:val="231F20"/>
          <w:w w:val="105"/>
        </w:rPr>
        <w:t>posibilidad</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para</w:t>
      </w:r>
      <w:r>
        <w:rPr>
          <w:color w:val="231F20"/>
          <w:spacing w:val="-5"/>
          <w:w w:val="105"/>
        </w:rPr>
        <w:t> </w:t>
      </w:r>
      <w:r>
        <w:rPr>
          <w:color w:val="231F20"/>
          <w:w w:val="105"/>
        </w:rPr>
        <w:t>la sociedad,</w:t>
      </w:r>
      <w:r>
        <w:rPr>
          <w:color w:val="231F20"/>
          <w:spacing w:val="-17"/>
          <w:w w:val="105"/>
        </w:rPr>
        <w:t> </w:t>
      </w:r>
      <w:r>
        <w:rPr>
          <w:color w:val="231F20"/>
          <w:w w:val="105"/>
        </w:rPr>
        <w:t>mejoramiento</w:t>
      </w:r>
      <w:r>
        <w:rPr>
          <w:color w:val="231F20"/>
          <w:spacing w:val="-17"/>
          <w:w w:val="105"/>
        </w:rPr>
        <w:t> </w:t>
      </w:r>
      <w:r>
        <w:rPr>
          <w:color w:val="231F20"/>
          <w:w w:val="105"/>
        </w:rPr>
        <w:t>de</w:t>
      </w:r>
      <w:r>
        <w:rPr>
          <w:color w:val="231F20"/>
          <w:spacing w:val="-17"/>
          <w:w w:val="105"/>
        </w:rPr>
        <w:t> </w:t>
      </w:r>
      <w:r>
        <w:rPr>
          <w:color w:val="231F20"/>
          <w:w w:val="105"/>
        </w:rPr>
        <w:t>servicios</w:t>
      </w:r>
      <w:r>
        <w:rPr>
          <w:color w:val="231F20"/>
          <w:spacing w:val="-17"/>
          <w:w w:val="105"/>
        </w:rPr>
        <w:t> </w:t>
      </w:r>
      <w:r>
        <w:rPr>
          <w:color w:val="231F20"/>
          <w:w w:val="105"/>
        </w:rPr>
        <w:t>públicos</w:t>
      </w:r>
      <w:r>
        <w:rPr>
          <w:color w:val="231F20"/>
          <w:spacing w:val="-17"/>
          <w:w w:val="105"/>
        </w:rPr>
        <w:t> </w:t>
      </w:r>
      <w:r>
        <w:rPr>
          <w:color w:val="231F20"/>
          <w:w w:val="105"/>
        </w:rPr>
        <w:t>y</w:t>
      </w:r>
      <w:r>
        <w:rPr>
          <w:color w:val="231F20"/>
          <w:spacing w:val="-17"/>
          <w:w w:val="105"/>
        </w:rPr>
        <w:t> </w:t>
      </w:r>
      <w:r>
        <w:rPr>
          <w:color w:val="231F20"/>
          <w:w w:val="105"/>
        </w:rPr>
        <w:t>transparentar</w:t>
      </w:r>
      <w:r>
        <w:rPr>
          <w:color w:val="231F20"/>
          <w:spacing w:val="-17"/>
          <w:w w:val="105"/>
        </w:rPr>
        <w:t> </w:t>
      </w:r>
      <w:r>
        <w:rPr>
          <w:color w:val="231F20"/>
          <w:w w:val="105"/>
        </w:rPr>
        <w:t>la</w:t>
      </w:r>
      <w:r>
        <w:rPr>
          <w:color w:val="231F20"/>
          <w:spacing w:val="-17"/>
          <w:w w:val="105"/>
        </w:rPr>
        <w:t> </w:t>
      </w:r>
      <w:r>
        <w:rPr>
          <w:color w:val="231F20"/>
          <w:w w:val="105"/>
        </w:rPr>
        <w:t>aplicación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recur- sos</w:t>
      </w:r>
      <w:r>
        <w:rPr>
          <w:color w:val="231F20"/>
          <w:spacing w:val="-8"/>
          <w:w w:val="105"/>
        </w:rPr>
        <w:t> </w:t>
      </w:r>
      <w:r>
        <w:rPr>
          <w:color w:val="231F20"/>
          <w:w w:val="105"/>
        </w:rPr>
        <w:t>económicos,</w:t>
      </w:r>
      <w:r>
        <w:rPr>
          <w:color w:val="231F20"/>
          <w:spacing w:val="-8"/>
          <w:w w:val="105"/>
        </w:rPr>
        <w:t> </w:t>
      </w:r>
      <w:r>
        <w:rPr>
          <w:color w:val="231F20"/>
          <w:w w:val="105"/>
        </w:rPr>
        <w:t>entre</w:t>
      </w:r>
      <w:r>
        <w:rPr>
          <w:color w:val="231F20"/>
          <w:spacing w:val="-8"/>
          <w:w w:val="105"/>
        </w:rPr>
        <w:t> </w:t>
      </w:r>
      <w:r>
        <w:rPr>
          <w:color w:val="231F20"/>
          <w:w w:val="105"/>
        </w:rPr>
        <w:t>otros.</w:t>
      </w:r>
      <w:r>
        <w:rPr>
          <w:color w:val="231F20"/>
          <w:spacing w:val="-8"/>
          <w:w w:val="105"/>
        </w:rPr>
        <w:t> </w:t>
      </w:r>
      <w:r>
        <w:rPr>
          <w:color w:val="231F20"/>
          <w:w w:val="105"/>
        </w:rPr>
        <w:t>Estos</w:t>
      </w:r>
      <w:r>
        <w:rPr>
          <w:color w:val="231F20"/>
          <w:spacing w:val="-8"/>
          <w:w w:val="105"/>
        </w:rPr>
        <w:t> </w:t>
      </w:r>
      <w:r>
        <w:rPr>
          <w:color w:val="231F20"/>
          <w:w w:val="105"/>
        </w:rPr>
        <w:t>aspectos</w:t>
      </w:r>
      <w:r>
        <w:rPr>
          <w:color w:val="231F20"/>
          <w:spacing w:val="-8"/>
          <w:w w:val="105"/>
        </w:rPr>
        <w:t> </w:t>
      </w:r>
      <w:r>
        <w:rPr>
          <w:color w:val="231F20"/>
          <w:w w:val="105"/>
        </w:rPr>
        <w:t>son</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estudiaremos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administra- </w:t>
      </w:r>
      <w:r>
        <w:rPr>
          <w:color w:val="231F20"/>
        </w:rPr>
        <w:t>ción</w:t>
      </w:r>
      <w:r>
        <w:rPr>
          <w:color w:val="231F20"/>
          <w:spacing w:val="24"/>
        </w:rPr>
        <w:t> </w:t>
      </w:r>
      <w:r>
        <w:rPr>
          <w:color w:val="231F20"/>
        </w:rPr>
        <w:t>2006-2009.</w:t>
      </w:r>
    </w:p>
    <w:p>
      <w:pPr>
        <w:pStyle w:val="BodyText"/>
        <w:spacing w:before="1"/>
        <w:rPr>
          <w:sz w:val="26"/>
        </w:rPr>
      </w:pPr>
    </w:p>
    <w:p>
      <w:pPr>
        <w:pStyle w:val="BodyText"/>
        <w:spacing w:line="285" w:lineRule="auto"/>
        <w:ind w:left="110" w:right="108"/>
        <w:jc w:val="both"/>
      </w:pPr>
      <w:r>
        <w:rPr>
          <w:color w:val="231F20"/>
          <w:spacing w:val="-3"/>
          <w:w w:val="105"/>
        </w:rPr>
        <w:t>No podemos </w:t>
      </w:r>
      <w:r>
        <w:rPr>
          <w:color w:val="231F20"/>
          <w:w w:val="105"/>
        </w:rPr>
        <w:t>omitir </w:t>
      </w:r>
      <w:r>
        <w:rPr>
          <w:color w:val="231F20"/>
          <w:spacing w:val="-3"/>
          <w:w w:val="105"/>
        </w:rPr>
        <w:t>que </w:t>
      </w:r>
      <w:r>
        <w:rPr>
          <w:color w:val="231F20"/>
          <w:w w:val="105"/>
        </w:rPr>
        <w:t>el Partido </w:t>
      </w:r>
      <w:r>
        <w:rPr>
          <w:color w:val="231F20"/>
          <w:spacing w:val="-4"/>
          <w:w w:val="105"/>
        </w:rPr>
        <w:t>Revolucionario </w:t>
      </w:r>
      <w:r>
        <w:rPr>
          <w:color w:val="231F20"/>
          <w:w w:val="105"/>
        </w:rPr>
        <w:t>Institucional es un </w:t>
      </w:r>
      <w:r>
        <w:rPr>
          <w:color w:val="231F20"/>
          <w:spacing w:val="-3"/>
          <w:w w:val="105"/>
        </w:rPr>
        <w:t>actor que </w:t>
      </w:r>
      <w:r>
        <w:rPr>
          <w:color w:val="231F20"/>
          <w:w w:val="105"/>
        </w:rPr>
        <w:t>ha des- </w:t>
      </w:r>
      <w:r>
        <w:rPr>
          <w:color w:val="231F20"/>
          <w:spacing w:val="-4"/>
          <w:w w:val="105"/>
        </w:rPr>
        <w:t>empeñado</w:t>
      </w:r>
      <w:r>
        <w:rPr>
          <w:color w:val="231F20"/>
          <w:spacing w:val="-18"/>
          <w:w w:val="105"/>
        </w:rPr>
        <w:t> </w:t>
      </w:r>
      <w:r>
        <w:rPr>
          <w:color w:val="231F20"/>
          <w:w w:val="105"/>
        </w:rPr>
        <w:t>un</w:t>
      </w:r>
      <w:r>
        <w:rPr>
          <w:color w:val="231F20"/>
          <w:spacing w:val="-18"/>
          <w:w w:val="105"/>
        </w:rPr>
        <w:t> </w:t>
      </w:r>
      <w:r>
        <w:rPr>
          <w:color w:val="231F20"/>
          <w:spacing w:val="-3"/>
          <w:w w:val="105"/>
        </w:rPr>
        <w:t>papel</w:t>
      </w:r>
      <w:r>
        <w:rPr>
          <w:color w:val="231F20"/>
          <w:spacing w:val="-18"/>
          <w:w w:val="105"/>
        </w:rPr>
        <w:t> </w:t>
      </w:r>
      <w:r>
        <w:rPr>
          <w:color w:val="231F20"/>
          <w:w w:val="105"/>
        </w:rPr>
        <w:t>fundamental</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política</w:t>
      </w:r>
      <w:r>
        <w:rPr>
          <w:color w:val="231F20"/>
          <w:spacing w:val="-18"/>
          <w:w w:val="105"/>
        </w:rPr>
        <w:t> </w:t>
      </w:r>
      <w:r>
        <w:rPr>
          <w:color w:val="231F20"/>
          <w:spacing w:val="-3"/>
          <w:w w:val="105"/>
        </w:rPr>
        <w:t>del</w:t>
      </w:r>
      <w:r>
        <w:rPr>
          <w:color w:val="231F20"/>
          <w:spacing w:val="-18"/>
          <w:w w:val="105"/>
        </w:rPr>
        <w:t> </w:t>
      </w:r>
      <w:r>
        <w:rPr>
          <w:color w:val="231F20"/>
          <w:spacing w:val="-3"/>
          <w:w w:val="105"/>
        </w:rPr>
        <w:t>Estado</w:t>
      </w:r>
      <w:r>
        <w:rPr>
          <w:color w:val="231F20"/>
          <w:spacing w:val="-18"/>
          <w:w w:val="105"/>
        </w:rPr>
        <w:t> </w:t>
      </w:r>
      <w:r>
        <w:rPr>
          <w:color w:val="231F20"/>
          <w:w w:val="105"/>
        </w:rPr>
        <w:t>de</w:t>
      </w:r>
      <w:r>
        <w:rPr>
          <w:color w:val="231F20"/>
          <w:spacing w:val="-18"/>
          <w:w w:val="105"/>
        </w:rPr>
        <w:t> </w:t>
      </w:r>
      <w:r>
        <w:rPr>
          <w:color w:val="231F20"/>
          <w:spacing w:val="-3"/>
          <w:w w:val="105"/>
        </w:rPr>
        <w:t>México,</w:t>
      </w:r>
      <w:r>
        <w:rPr>
          <w:color w:val="231F20"/>
          <w:spacing w:val="-18"/>
          <w:w w:val="105"/>
        </w:rPr>
        <w:t> </w:t>
      </w:r>
      <w:r>
        <w:rPr>
          <w:color w:val="231F20"/>
          <w:w w:val="105"/>
        </w:rPr>
        <w:t>de</w:t>
      </w:r>
      <w:r>
        <w:rPr>
          <w:color w:val="231F20"/>
          <w:spacing w:val="-18"/>
          <w:w w:val="105"/>
        </w:rPr>
        <w:t> </w:t>
      </w:r>
      <w:r>
        <w:rPr>
          <w:color w:val="231F20"/>
          <w:w w:val="105"/>
        </w:rPr>
        <w:t>ahí</w:t>
      </w:r>
      <w:r>
        <w:rPr>
          <w:color w:val="231F20"/>
          <w:spacing w:val="-18"/>
          <w:w w:val="105"/>
        </w:rPr>
        <w:t> </w:t>
      </w:r>
      <w:r>
        <w:rPr>
          <w:color w:val="231F20"/>
          <w:spacing w:val="-3"/>
          <w:w w:val="105"/>
        </w:rPr>
        <w:t>que</w:t>
      </w:r>
      <w:r>
        <w:rPr>
          <w:color w:val="231F20"/>
          <w:spacing w:val="-18"/>
          <w:w w:val="105"/>
        </w:rPr>
        <w:t> </w:t>
      </w:r>
      <w:r>
        <w:rPr>
          <w:color w:val="231F20"/>
          <w:spacing w:val="-3"/>
          <w:w w:val="105"/>
        </w:rPr>
        <w:t>siga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spacing w:val="-3"/>
          <w:w w:val="105"/>
        </w:rPr>
        <w:t>manteniendo </w:t>
      </w:r>
      <w:r>
        <w:rPr>
          <w:color w:val="231F20"/>
          <w:w w:val="105"/>
        </w:rPr>
        <w:t>su </w:t>
      </w:r>
      <w:r>
        <w:rPr>
          <w:color w:val="231F20"/>
          <w:spacing w:val="-3"/>
          <w:w w:val="105"/>
        </w:rPr>
        <w:t>hegemonía. </w:t>
      </w:r>
      <w:r>
        <w:rPr>
          <w:color w:val="231F20"/>
          <w:w w:val="105"/>
        </w:rPr>
        <w:t>Sin </w:t>
      </w:r>
      <w:r>
        <w:rPr>
          <w:color w:val="231F20"/>
          <w:spacing w:val="-3"/>
          <w:w w:val="105"/>
        </w:rPr>
        <w:t>embargo, son diversos los factores que </w:t>
      </w:r>
      <w:r>
        <w:rPr>
          <w:color w:val="231F20"/>
          <w:w w:val="105"/>
        </w:rPr>
        <w:t>determinan la </w:t>
      </w:r>
      <w:r>
        <w:rPr>
          <w:color w:val="231F20"/>
          <w:spacing w:val="-3"/>
          <w:w w:val="105"/>
        </w:rPr>
        <w:t>permanencia</w:t>
      </w:r>
      <w:r>
        <w:rPr>
          <w:color w:val="231F20"/>
          <w:spacing w:val="-18"/>
          <w:w w:val="105"/>
        </w:rPr>
        <w:t> </w:t>
      </w:r>
      <w:r>
        <w:rPr>
          <w:color w:val="231F20"/>
          <w:w w:val="105"/>
        </w:rPr>
        <w:t>o</w:t>
      </w:r>
      <w:r>
        <w:rPr>
          <w:color w:val="231F20"/>
          <w:spacing w:val="-18"/>
          <w:w w:val="105"/>
        </w:rPr>
        <w:t> </w:t>
      </w:r>
      <w:r>
        <w:rPr>
          <w:color w:val="231F20"/>
          <w:w w:val="105"/>
        </w:rPr>
        <w:t>alternancia</w:t>
      </w:r>
      <w:r>
        <w:rPr>
          <w:color w:val="231F20"/>
          <w:spacing w:val="-18"/>
          <w:w w:val="105"/>
        </w:rPr>
        <w:t> </w:t>
      </w:r>
      <w:r>
        <w:rPr>
          <w:color w:val="231F20"/>
          <w:w w:val="105"/>
        </w:rPr>
        <w:t>electoral</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Partido</w:t>
      </w:r>
      <w:r>
        <w:rPr>
          <w:color w:val="231F20"/>
          <w:spacing w:val="-18"/>
          <w:w w:val="105"/>
        </w:rPr>
        <w:t> </w:t>
      </w:r>
      <w:r>
        <w:rPr>
          <w:color w:val="231F20"/>
          <w:spacing w:val="-4"/>
          <w:w w:val="105"/>
        </w:rPr>
        <w:t>Político</w:t>
      </w:r>
      <w:r>
        <w:rPr>
          <w:color w:val="231F20"/>
          <w:spacing w:val="-18"/>
          <w:w w:val="105"/>
        </w:rPr>
        <w:t> </w:t>
      </w:r>
      <w:r>
        <w:rPr>
          <w:color w:val="231F20"/>
          <w:w w:val="105"/>
        </w:rPr>
        <w:t>y</w:t>
      </w:r>
      <w:r>
        <w:rPr>
          <w:color w:val="231F20"/>
          <w:spacing w:val="-18"/>
          <w:w w:val="105"/>
        </w:rPr>
        <w:t> </w:t>
      </w:r>
      <w:r>
        <w:rPr>
          <w:color w:val="231F20"/>
          <w:w w:val="105"/>
        </w:rPr>
        <w:t>es</w:t>
      </w:r>
      <w:r>
        <w:rPr>
          <w:color w:val="231F20"/>
          <w:spacing w:val="-18"/>
          <w:w w:val="105"/>
        </w:rPr>
        <w:t> </w:t>
      </w:r>
      <w:r>
        <w:rPr>
          <w:color w:val="231F20"/>
          <w:spacing w:val="-3"/>
          <w:w w:val="105"/>
        </w:rPr>
        <w:t>evidente</w:t>
      </w:r>
      <w:r>
        <w:rPr>
          <w:color w:val="231F20"/>
          <w:spacing w:val="-18"/>
          <w:w w:val="105"/>
        </w:rPr>
        <w:t> </w:t>
      </w:r>
      <w:r>
        <w:rPr>
          <w:color w:val="231F20"/>
          <w:spacing w:val="-3"/>
          <w:w w:val="105"/>
        </w:rPr>
        <w:t>que</w:t>
      </w:r>
      <w:r>
        <w:rPr>
          <w:color w:val="231F20"/>
          <w:spacing w:val="-18"/>
          <w:w w:val="105"/>
        </w:rPr>
        <w:t> </w:t>
      </w:r>
      <w:r>
        <w:rPr>
          <w:color w:val="231F20"/>
          <w:w w:val="105"/>
        </w:rPr>
        <w:t>varios</w:t>
      </w:r>
      <w:r>
        <w:rPr>
          <w:color w:val="231F20"/>
          <w:spacing w:val="-18"/>
          <w:w w:val="105"/>
        </w:rPr>
        <w:t> </w:t>
      </w:r>
      <w:r>
        <w:rPr>
          <w:color w:val="231F20"/>
          <w:w w:val="105"/>
        </w:rPr>
        <w:t>muni- </w:t>
      </w:r>
      <w:r>
        <w:rPr>
          <w:color w:val="231F20"/>
          <w:spacing w:val="-4"/>
          <w:w w:val="105"/>
        </w:rPr>
        <w:t>cipios </w:t>
      </w:r>
      <w:r>
        <w:rPr>
          <w:color w:val="231F20"/>
          <w:w w:val="105"/>
        </w:rPr>
        <w:t>han </w:t>
      </w:r>
      <w:r>
        <w:rPr>
          <w:color w:val="231F20"/>
          <w:spacing w:val="-3"/>
          <w:w w:val="105"/>
        </w:rPr>
        <w:t>experimentado </w:t>
      </w:r>
      <w:r>
        <w:rPr>
          <w:color w:val="231F20"/>
          <w:w w:val="105"/>
        </w:rPr>
        <w:t>otras maneras de </w:t>
      </w:r>
      <w:r>
        <w:rPr>
          <w:color w:val="231F20"/>
          <w:spacing w:val="-4"/>
          <w:w w:val="105"/>
        </w:rPr>
        <w:t>gobernar, </w:t>
      </w:r>
      <w:r>
        <w:rPr>
          <w:color w:val="231F20"/>
          <w:spacing w:val="-3"/>
          <w:w w:val="105"/>
        </w:rPr>
        <w:t>permitiendo con </w:t>
      </w:r>
      <w:r>
        <w:rPr>
          <w:color w:val="231F20"/>
          <w:w w:val="105"/>
        </w:rPr>
        <w:t>esto </w:t>
      </w:r>
      <w:r>
        <w:rPr>
          <w:color w:val="231F20"/>
          <w:spacing w:val="-3"/>
          <w:w w:val="105"/>
        </w:rPr>
        <w:t>que </w:t>
      </w:r>
      <w:r>
        <w:rPr>
          <w:color w:val="231F20"/>
          <w:w w:val="105"/>
        </w:rPr>
        <w:t>partidos </w:t>
      </w:r>
      <w:r>
        <w:rPr>
          <w:color w:val="231F20"/>
          <w:spacing w:val="-4"/>
          <w:w w:val="105"/>
        </w:rPr>
        <w:t>como</w:t>
      </w:r>
      <w:r>
        <w:rPr>
          <w:color w:val="231F20"/>
          <w:spacing w:val="-20"/>
          <w:w w:val="105"/>
        </w:rPr>
        <w:t> </w:t>
      </w:r>
      <w:r>
        <w:rPr>
          <w:color w:val="231F20"/>
          <w:spacing w:val="-4"/>
          <w:w w:val="105"/>
        </w:rPr>
        <w:t>Acción</w:t>
      </w:r>
      <w:r>
        <w:rPr>
          <w:color w:val="231F20"/>
          <w:spacing w:val="-20"/>
          <w:w w:val="105"/>
        </w:rPr>
        <w:t> </w:t>
      </w:r>
      <w:r>
        <w:rPr>
          <w:color w:val="231F20"/>
          <w:spacing w:val="-3"/>
          <w:w w:val="105"/>
        </w:rPr>
        <w:t>Nacional</w:t>
      </w:r>
      <w:r>
        <w:rPr>
          <w:color w:val="231F20"/>
          <w:spacing w:val="-20"/>
          <w:w w:val="105"/>
        </w:rPr>
        <w:t> </w:t>
      </w:r>
      <w:r>
        <w:rPr>
          <w:color w:val="231F20"/>
          <w:w w:val="105"/>
        </w:rPr>
        <w:t>o</w:t>
      </w:r>
      <w:r>
        <w:rPr>
          <w:color w:val="231F20"/>
          <w:spacing w:val="-20"/>
          <w:w w:val="105"/>
        </w:rPr>
        <w:t> </w:t>
      </w:r>
      <w:r>
        <w:rPr>
          <w:color w:val="231F20"/>
          <w:w w:val="105"/>
        </w:rPr>
        <w:t>el</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5"/>
          <w:w w:val="105"/>
        </w:rPr>
        <w:t>Revolución</w:t>
      </w:r>
      <w:r>
        <w:rPr>
          <w:color w:val="231F20"/>
          <w:spacing w:val="-20"/>
          <w:w w:val="105"/>
        </w:rPr>
        <w:t> </w:t>
      </w:r>
      <w:r>
        <w:rPr>
          <w:color w:val="231F20"/>
          <w:spacing w:val="-3"/>
          <w:w w:val="105"/>
        </w:rPr>
        <w:t>Democrática</w:t>
      </w:r>
      <w:r>
        <w:rPr>
          <w:color w:val="231F20"/>
          <w:spacing w:val="-20"/>
          <w:w w:val="105"/>
        </w:rPr>
        <w:t> </w:t>
      </w:r>
      <w:r>
        <w:rPr>
          <w:color w:val="231F20"/>
          <w:w w:val="105"/>
        </w:rPr>
        <w:t>hayan</w:t>
      </w:r>
      <w:r>
        <w:rPr>
          <w:color w:val="231F20"/>
          <w:spacing w:val="-20"/>
          <w:w w:val="105"/>
        </w:rPr>
        <w:t> </w:t>
      </w:r>
      <w:r>
        <w:rPr>
          <w:color w:val="231F20"/>
          <w:spacing w:val="-3"/>
          <w:w w:val="105"/>
        </w:rPr>
        <w:t>llegado</w:t>
      </w:r>
      <w:r>
        <w:rPr>
          <w:color w:val="231F20"/>
          <w:spacing w:val="-20"/>
          <w:w w:val="105"/>
        </w:rPr>
        <w:t> </w:t>
      </w:r>
      <w:r>
        <w:rPr>
          <w:color w:val="231F20"/>
          <w:w w:val="105"/>
        </w:rPr>
        <w:t>al</w:t>
      </w:r>
      <w:r>
        <w:rPr>
          <w:color w:val="231F20"/>
          <w:spacing w:val="-20"/>
          <w:w w:val="105"/>
        </w:rPr>
        <w:t> </w:t>
      </w:r>
      <w:r>
        <w:rPr>
          <w:color w:val="231F20"/>
          <w:spacing w:val="-4"/>
          <w:w w:val="105"/>
        </w:rPr>
        <w:t>poder.</w:t>
      </w:r>
    </w:p>
    <w:p>
      <w:pPr>
        <w:pStyle w:val="BodyText"/>
        <w:spacing w:before="1"/>
        <w:rPr>
          <w:sz w:val="26"/>
        </w:rPr>
      </w:pPr>
    </w:p>
    <w:p>
      <w:pPr>
        <w:pStyle w:val="BodyText"/>
        <w:spacing w:line="285" w:lineRule="auto"/>
        <w:ind w:left="110" w:right="107"/>
        <w:jc w:val="both"/>
      </w:pPr>
      <w:r>
        <w:rPr>
          <w:color w:val="231F20"/>
          <w:w w:val="105"/>
        </w:rPr>
        <w:t>Recordemos que la democratización del poder tiende a romper con la centralización que ha mantenido una fuerza política. En el caso de Chalco el Partido Revolucionario Institucional</w:t>
      </w:r>
      <w:r>
        <w:rPr>
          <w:color w:val="231F20"/>
          <w:spacing w:val="-4"/>
          <w:w w:val="105"/>
        </w:rPr>
        <w:t> </w:t>
      </w:r>
      <w:r>
        <w:rPr>
          <w:color w:val="231F20"/>
          <w:w w:val="105"/>
        </w:rPr>
        <w:t>mantuvo</w:t>
      </w:r>
      <w:r>
        <w:rPr>
          <w:color w:val="231F20"/>
          <w:spacing w:val="-4"/>
          <w:w w:val="105"/>
        </w:rPr>
        <w:t> </w:t>
      </w:r>
      <w:r>
        <w:rPr>
          <w:color w:val="231F20"/>
          <w:w w:val="105"/>
        </w:rPr>
        <w:t>el</w:t>
      </w:r>
      <w:r>
        <w:rPr>
          <w:color w:val="231F20"/>
          <w:spacing w:val="-4"/>
          <w:w w:val="105"/>
        </w:rPr>
        <w:t> </w:t>
      </w:r>
      <w:r>
        <w:rPr>
          <w:color w:val="231F20"/>
          <w:w w:val="105"/>
        </w:rPr>
        <w:t>poder</w:t>
      </w:r>
      <w:r>
        <w:rPr>
          <w:color w:val="231F20"/>
          <w:spacing w:val="-4"/>
          <w:w w:val="105"/>
        </w:rPr>
        <w:t> </w:t>
      </w:r>
      <w:r>
        <w:rPr>
          <w:color w:val="231F20"/>
          <w:w w:val="105"/>
        </w:rPr>
        <w:t>hasta</w:t>
      </w:r>
      <w:r>
        <w:rPr>
          <w:color w:val="231F20"/>
          <w:spacing w:val="-4"/>
          <w:w w:val="105"/>
        </w:rPr>
        <w:t> </w:t>
      </w:r>
      <w:r>
        <w:rPr>
          <w:color w:val="231F20"/>
          <w:w w:val="105"/>
        </w:rPr>
        <w:t>el</w:t>
      </w:r>
      <w:r>
        <w:rPr>
          <w:color w:val="231F20"/>
          <w:spacing w:val="-4"/>
          <w:w w:val="105"/>
        </w:rPr>
        <w:t> </w:t>
      </w:r>
      <w:r>
        <w:rPr>
          <w:color w:val="231F20"/>
          <w:w w:val="105"/>
        </w:rPr>
        <w:t>año</w:t>
      </w:r>
      <w:r>
        <w:rPr>
          <w:color w:val="231F20"/>
          <w:spacing w:val="-4"/>
          <w:w w:val="105"/>
        </w:rPr>
        <w:t> </w:t>
      </w:r>
      <w:r>
        <w:rPr>
          <w:color w:val="231F20"/>
          <w:spacing w:val="2"/>
          <w:w w:val="105"/>
        </w:rPr>
        <w:t>2003,</w:t>
      </w:r>
      <w:r>
        <w:rPr>
          <w:color w:val="231F20"/>
          <w:spacing w:val="-4"/>
          <w:w w:val="105"/>
        </w:rPr>
        <w:t> </w:t>
      </w:r>
      <w:r>
        <w:rPr>
          <w:color w:val="231F20"/>
          <w:w w:val="105"/>
        </w:rPr>
        <w:t>año</w:t>
      </w:r>
      <w:r>
        <w:rPr>
          <w:color w:val="231F20"/>
          <w:spacing w:val="-4"/>
          <w:w w:val="105"/>
        </w:rPr>
        <w:t> </w:t>
      </w:r>
      <w:r>
        <w:rPr>
          <w:color w:val="231F20"/>
          <w:w w:val="105"/>
        </w:rPr>
        <w:t>en</w:t>
      </w:r>
      <w:r>
        <w:rPr>
          <w:color w:val="231F20"/>
          <w:spacing w:val="-4"/>
          <w:w w:val="105"/>
        </w:rPr>
        <w:t> </w:t>
      </w:r>
      <w:r>
        <w:rPr>
          <w:color w:val="231F20"/>
          <w:w w:val="105"/>
        </w:rPr>
        <w:t>que</w:t>
      </w:r>
      <w:r>
        <w:rPr>
          <w:color w:val="231F20"/>
          <w:spacing w:val="-4"/>
          <w:w w:val="105"/>
        </w:rPr>
        <w:t> </w:t>
      </w:r>
      <w:r>
        <w:rPr>
          <w:color w:val="231F20"/>
          <w:w w:val="105"/>
        </w:rPr>
        <w:t>es</w:t>
      </w:r>
      <w:r>
        <w:rPr>
          <w:color w:val="231F20"/>
          <w:spacing w:val="-4"/>
          <w:w w:val="105"/>
        </w:rPr>
        <w:t> </w:t>
      </w:r>
      <w:r>
        <w:rPr>
          <w:color w:val="231F20"/>
          <w:w w:val="105"/>
        </w:rPr>
        <w:t>derrotado</w:t>
      </w:r>
      <w:r>
        <w:rPr>
          <w:color w:val="231F20"/>
          <w:spacing w:val="-4"/>
          <w:w w:val="105"/>
        </w:rPr>
        <w:t> </w:t>
      </w:r>
      <w:r>
        <w:rPr>
          <w:color w:val="231F20"/>
          <w:w w:val="105"/>
        </w:rPr>
        <w:t>por</w:t>
      </w:r>
      <w:r>
        <w:rPr>
          <w:color w:val="231F20"/>
          <w:spacing w:val="-4"/>
          <w:w w:val="105"/>
        </w:rPr>
        <w:t> </w:t>
      </w:r>
      <w:r>
        <w:rPr>
          <w:color w:val="231F20"/>
          <w:w w:val="105"/>
        </w:rPr>
        <w:t>primera vez por el Partido de la </w:t>
      </w:r>
      <w:r>
        <w:rPr>
          <w:color w:val="231F20"/>
          <w:spacing w:val="-3"/>
          <w:w w:val="105"/>
        </w:rPr>
        <w:t>Revolución </w:t>
      </w:r>
      <w:r>
        <w:rPr>
          <w:color w:val="231F20"/>
          <w:w w:val="105"/>
        </w:rPr>
        <w:t>Democrática. Para el periodo </w:t>
      </w:r>
      <w:r>
        <w:rPr>
          <w:color w:val="231F20"/>
          <w:spacing w:val="2"/>
          <w:w w:val="105"/>
        </w:rPr>
        <w:t>2006-2009 </w:t>
      </w:r>
      <w:r>
        <w:rPr>
          <w:color w:val="231F20"/>
          <w:w w:val="105"/>
        </w:rPr>
        <w:t>ocurren </w:t>
      </w:r>
      <w:r>
        <w:rPr>
          <w:color w:val="231F20"/>
          <w:spacing w:val="-3"/>
          <w:w w:val="105"/>
        </w:rPr>
        <w:t>fenómenos </w:t>
      </w:r>
      <w:r>
        <w:rPr>
          <w:color w:val="231F20"/>
          <w:w w:val="105"/>
        </w:rPr>
        <w:t>interesantes que merecen la atención en el presente artículo y que en el de- sarrollo podrán ser</w:t>
      </w:r>
      <w:r>
        <w:rPr>
          <w:color w:val="231F20"/>
          <w:spacing w:val="-26"/>
          <w:w w:val="105"/>
        </w:rPr>
        <w:t> </w:t>
      </w:r>
      <w:r>
        <w:rPr>
          <w:color w:val="231F20"/>
          <w:w w:val="105"/>
        </w:rPr>
        <w:t>conocidos.</w:t>
      </w:r>
    </w:p>
    <w:p>
      <w:pPr>
        <w:pStyle w:val="BodyText"/>
        <w:spacing w:before="1"/>
        <w:rPr>
          <w:sz w:val="26"/>
        </w:rPr>
      </w:pPr>
    </w:p>
    <w:p>
      <w:pPr>
        <w:pStyle w:val="BodyText"/>
        <w:spacing w:line="285" w:lineRule="auto"/>
        <w:ind w:left="110" w:right="107"/>
        <w:jc w:val="both"/>
      </w:pPr>
      <w:r>
        <w:rPr>
          <w:color w:val="231F20"/>
          <w:w w:val="105"/>
        </w:rPr>
        <w:t>De</w:t>
      </w:r>
      <w:r>
        <w:rPr>
          <w:color w:val="231F20"/>
          <w:spacing w:val="-13"/>
          <w:w w:val="105"/>
        </w:rPr>
        <w:t> </w:t>
      </w:r>
      <w:r>
        <w:rPr>
          <w:color w:val="231F20"/>
          <w:w w:val="105"/>
        </w:rPr>
        <w:t>igual</w:t>
      </w:r>
      <w:r>
        <w:rPr>
          <w:color w:val="231F20"/>
          <w:spacing w:val="-13"/>
          <w:w w:val="105"/>
        </w:rPr>
        <w:t> </w:t>
      </w:r>
      <w:r>
        <w:rPr>
          <w:color w:val="231F20"/>
          <w:w w:val="105"/>
        </w:rPr>
        <w:t>manera</w:t>
      </w:r>
      <w:r>
        <w:rPr>
          <w:color w:val="231F20"/>
          <w:spacing w:val="-13"/>
          <w:w w:val="105"/>
        </w:rPr>
        <w:t> </w:t>
      </w:r>
      <w:r>
        <w:rPr>
          <w:color w:val="231F20"/>
          <w:w w:val="105"/>
        </w:rPr>
        <w:t>se</w:t>
      </w:r>
      <w:r>
        <w:rPr>
          <w:color w:val="231F20"/>
          <w:spacing w:val="-13"/>
          <w:w w:val="105"/>
        </w:rPr>
        <w:t> </w:t>
      </w:r>
      <w:r>
        <w:rPr>
          <w:color w:val="231F20"/>
          <w:w w:val="105"/>
        </w:rPr>
        <w:t>expone</w:t>
      </w:r>
      <w:r>
        <w:rPr>
          <w:color w:val="231F20"/>
          <w:spacing w:val="-13"/>
          <w:w w:val="105"/>
        </w:rPr>
        <w:t> </w:t>
      </w:r>
      <w:r>
        <w:rPr>
          <w:color w:val="231F20"/>
          <w:w w:val="105"/>
        </w:rPr>
        <w:t>la</w:t>
      </w:r>
      <w:r>
        <w:rPr>
          <w:color w:val="231F20"/>
          <w:spacing w:val="-13"/>
          <w:w w:val="105"/>
        </w:rPr>
        <w:t> </w:t>
      </w:r>
      <w:r>
        <w:rPr>
          <w:color w:val="231F20"/>
          <w:w w:val="105"/>
        </w:rPr>
        <w:t>forma</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gobierno</w:t>
      </w:r>
      <w:r>
        <w:rPr>
          <w:color w:val="231F20"/>
          <w:spacing w:val="-13"/>
          <w:w w:val="105"/>
        </w:rPr>
        <w:t> </w:t>
      </w:r>
      <w:r>
        <w:rPr>
          <w:color w:val="231F20"/>
          <w:w w:val="105"/>
        </w:rPr>
        <w:t>conoce</w:t>
      </w:r>
      <w:r>
        <w:rPr>
          <w:color w:val="231F20"/>
          <w:spacing w:val="-13"/>
          <w:w w:val="105"/>
        </w:rPr>
        <w:t> </w:t>
      </w:r>
      <w:r>
        <w:rPr>
          <w:color w:val="231F20"/>
          <w:w w:val="105"/>
        </w:rPr>
        <w:t>las</w:t>
      </w:r>
      <w:r>
        <w:rPr>
          <w:color w:val="231F20"/>
          <w:spacing w:val="-13"/>
          <w:w w:val="105"/>
        </w:rPr>
        <w:t> </w:t>
      </w:r>
      <w:r>
        <w:rPr>
          <w:color w:val="231F20"/>
          <w:w w:val="105"/>
        </w:rPr>
        <w:t>diferentes</w:t>
      </w:r>
      <w:r>
        <w:rPr>
          <w:color w:val="231F20"/>
          <w:spacing w:val="-13"/>
          <w:w w:val="105"/>
        </w:rPr>
        <w:t> </w:t>
      </w:r>
      <w:r>
        <w:rPr>
          <w:color w:val="231F20"/>
          <w:w w:val="105"/>
        </w:rPr>
        <w:t>demandas ciudadanas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elaboración</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Plan</w:t>
      </w:r>
      <w:r>
        <w:rPr>
          <w:color w:val="231F20"/>
          <w:spacing w:val="-4"/>
          <w:w w:val="105"/>
        </w:rPr>
        <w:t> </w:t>
      </w:r>
      <w:r>
        <w:rPr>
          <w:color w:val="231F20"/>
          <w:w w:val="105"/>
        </w:rPr>
        <w:t>de</w:t>
      </w:r>
      <w:r>
        <w:rPr>
          <w:color w:val="231F20"/>
          <w:spacing w:val="-4"/>
          <w:w w:val="105"/>
        </w:rPr>
        <w:t> </w:t>
      </w:r>
      <w:r>
        <w:rPr>
          <w:color w:val="231F20"/>
          <w:w w:val="105"/>
        </w:rPr>
        <w:t>Desarrollo,</w:t>
      </w:r>
      <w:r>
        <w:rPr>
          <w:color w:val="231F20"/>
          <w:spacing w:val="-4"/>
          <w:w w:val="105"/>
        </w:rPr>
        <w:t> </w:t>
      </w:r>
      <w:r>
        <w:rPr>
          <w:color w:val="231F20"/>
          <w:w w:val="105"/>
        </w:rPr>
        <w:t>así</w:t>
      </w:r>
      <w:r>
        <w:rPr>
          <w:color w:val="231F20"/>
          <w:spacing w:val="-4"/>
          <w:w w:val="105"/>
        </w:rPr>
        <w:t> </w:t>
      </w:r>
      <w:r>
        <w:rPr>
          <w:color w:val="231F20"/>
          <w:w w:val="105"/>
        </w:rPr>
        <w:t>como</w:t>
      </w:r>
      <w:r>
        <w:rPr>
          <w:color w:val="231F20"/>
          <w:spacing w:val="-4"/>
          <w:w w:val="105"/>
        </w:rPr>
        <w:t> </w:t>
      </w:r>
      <w:r>
        <w:rPr>
          <w:color w:val="231F20"/>
          <w:w w:val="105"/>
        </w:rPr>
        <w:t>los</w:t>
      </w:r>
      <w:r>
        <w:rPr>
          <w:color w:val="231F20"/>
          <w:spacing w:val="-4"/>
          <w:w w:val="105"/>
        </w:rPr>
        <w:t> </w:t>
      </w:r>
      <w:r>
        <w:rPr>
          <w:color w:val="231F20"/>
          <w:w w:val="105"/>
        </w:rPr>
        <w:t>principales</w:t>
      </w:r>
      <w:r>
        <w:rPr>
          <w:color w:val="231F20"/>
          <w:spacing w:val="-4"/>
          <w:w w:val="105"/>
        </w:rPr>
        <w:t> </w:t>
      </w:r>
      <w:r>
        <w:rPr>
          <w:color w:val="231F20"/>
          <w:w w:val="105"/>
        </w:rPr>
        <w:t>pro- blemas</w:t>
      </w:r>
      <w:r>
        <w:rPr>
          <w:color w:val="231F20"/>
          <w:spacing w:val="-9"/>
          <w:w w:val="105"/>
        </w:rPr>
        <w:t> </w:t>
      </w:r>
      <w:r>
        <w:rPr>
          <w:color w:val="231F20"/>
          <w:w w:val="105"/>
        </w:rPr>
        <w:t>atendidos</w:t>
      </w:r>
      <w:r>
        <w:rPr>
          <w:color w:val="231F20"/>
          <w:spacing w:val="-9"/>
          <w:w w:val="105"/>
        </w:rPr>
        <w:t> </w:t>
      </w:r>
      <w:r>
        <w:rPr>
          <w:color w:val="231F20"/>
          <w:w w:val="105"/>
        </w:rPr>
        <w:t>durante</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municipal</w:t>
      </w:r>
      <w:r>
        <w:rPr>
          <w:color w:val="231F20"/>
          <w:spacing w:val="-9"/>
          <w:w w:val="105"/>
        </w:rPr>
        <w:t> </w:t>
      </w:r>
      <w:r>
        <w:rPr>
          <w:color w:val="231F20"/>
          <w:w w:val="105"/>
        </w:rPr>
        <w:t>2006-2009,</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forma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que ha</w:t>
      </w:r>
      <w:r>
        <w:rPr>
          <w:color w:val="231F20"/>
          <w:spacing w:val="-12"/>
          <w:w w:val="105"/>
        </w:rPr>
        <w:t> </w:t>
      </w:r>
      <w:r>
        <w:rPr>
          <w:color w:val="231F20"/>
          <w:w w:val="105"/>
        </w:rPr>
        <w:t>funcionado</w:t>
      </w:r>
      <w:r>
        <w:rPr>
          <w:color w:val="231F20"/>
          <w:spacing w:val="-12"/>
          <w:w w:val="105"/>
        </w:rPr>
        <w:t> </w:t>
      </w:r>
      <w:r>
        <w:rPr>
          <w:color w:val="231F20"/>
          <w:w w:val="105"/>
        </w:rPr>
        <w:t>recientemente.</w:t>
      </w:r>
      <w:r>
        <w:rPr>
          <w:color w:val="231F20"/>
          <w:spacing w:val="-12"/>
          <w:w w:val="105"/>
        </w:rPr>
        <w:t> </w:t>
      </w:r>
      <w:r>
        <w:rPr>
          <w:color w:val="231F20"/>
          <w:spacing w:val="-3"/>
          <w:w w:val="105"/>
        </w:rPr>
        <w:t>También</w:t>
      </w:r>
      <w:r>
        <w:rPr>
          <w:color w:val="231F20"/>
          <w:spacing w:val="-12"/>
          <w:w w:val="105"/>
        </w:rPr>
        <w:t> </w:t>
      </w:r>
      <w:r>
        <w:rPr>
          <w:color w:val="231F20"/>
          <w:w w:val="105"/>
        </w:rPr>
        <w:t>se</w:t>
      </w:r>
      <w:r>
        <w:rPr>
          <w:color w:val="231F20"/>
          <w:spacing w:val="-12"/>
          <w:w w:val="105"/>
        </w:rPr>
        <w:t> </w:t>
      </w:r>
      <w:r>
        <w:rPr>
          <w:color w:val="231F20"/>
          <w:spacing w:val="2"/>
          <w:w w:val="105"/>
        </w:rPr>
        <w:t>analizará</w:t>
      </w:r>
      <w:r>
        <w:rPr>
          <w:color w:val="231F20"/>
          <w:spacing w:val="-12"/>
          <w:w w:val="105"/>
        </w:rPr>
        <w:t> </w:t>
      </w:r>
      <w:r>
        <w:rPr>
          <w:color w:val="231F20"/>
          <w:w w:val="105"/>
        </w:rPr>
        <w:t>la</w:t>
      </w:r>
      <w:r>
        <w:rPr>
          <w:color w:val="231F20"/>
          <w:spacing w:val="-12"/>
          <w:w w:val="105"/>
        </w:rPr>
        <w:t> </w:t>
      </w:r>
      <w:r>
        <w:rPr>
          <w:color w:val="231F20"/>
          <w:w w:val="105"/>
        </w:rPr>
        <w:t>relación</w:t>
      </w:r>
      <w:r>
        <w:rPr>
          <w:color w:val="231F20"/>
          <w:spacing w:val="-12"/>
          <w:w w:val="105"/>
        </w:rPr>
        <w:t> </w:t>
      </w:r>
      <w:r>
        <w:rPr>
          <w:color w:val="231F20"/>
          <w:w w:val="105"/>
        </w:rPr>
        <w:t>del</w:t>
      </w:r>
      <w:r>
        <w:rPr>
          <w:color w:val="231F20"/>
          <w:spacing w:val="-12"/>
          <w:w w:val="105"/>
        </w:rPr>
        <w:t> </w:t>
      </w:r>
      <w:r>
        <w:rPr>
          <w:color w:val="231F20"/>
          <w:w w:val="105"/>
        </w:rPr>
        <w:t>gobierno</w:t>
      </w:r>
      <w:r>
        <w:rPr>
          <w:color w:val="231F20"/>
          <w:spacing w:val="-12"/>
          <w:w w:val="105"/>
        </w:rPr>
        <w:t> </w:t>
      </w:r>
      <w:r>
        <w:rPr>
          <w:color w:val="231F20"/>
          <w:w w:val="105"/>
        </w:rPr>
        <w:t>en</w:t>
      </w:r>
      <w:r>
        <w:rPr>
          <w:color w:val="231F20"/>
          <w:spacing w:val="-12"/>
          <w:w w:val="105"/>
        </w:rPr>
        <w:t> </w:t>
      </w:r>
      <w:r>
        <w:rPr>
          <w:color w:val="231F20"/>
          <w:w w:val="105"/>
        </w:rPr>
        <w:t>función con</w:t>
      </w:r>
      <w:r>
        <w:rPr>
          <w:color w:val="231F20"/>
          <w:spacing w:val="-9"/>
          <w:w w:val="105"/>
        </w:rPr>
        <w:t> </w:t>
      </w:r>
      <w:r>
        <w:rPr>
          <w:color w:val="231F20"/>
          <w:w w:val="105"/>
        </w:rPr>
        <w:t>el</w:t>
      </w:r>
      <w:r>
        <w:rPr>
          <w:color w:val="231F20"/>
          <w:spacing w:val="-9"/>
          <w:w w:val="105"/>
        </w:rPr>
        <w:t> </w:t>
      </w:r>
      <w:r>
        <w:rPr>
          <w:color w:val="231F20"/>
          <w:w w:val="105"/>
        </w:rPr>
        <w:t>partido</w:t>
      </w:r>
      <w:r>
        <w:rPr>
          <w:color w:val="231F20"/>
          <w:spacing w:val="-9"/>
          <w:w w:val="105"/>
        </w:rPr>
        <w:t> </w:t>
      </w:r>
      <w:r>
        <w:rPr>
          <w:color w:val="231F20"/>
          <w:w w:val="105"/>
        </w:rPr>
        <w:t>que</w:t>
      </w:r>
      <w:r>
        <w:rPr>
          <w:color w:val="231F20"/>
          <w:spacing w:val="-9"/>
          <w:w w:val="105"/>
        </w:rPr>
        <w:t> </w:t>
      </w:r>
      <w:r>
        <w:rPr>
          <w:color w:val="231F20"/>
          <w:w w:val="105"/>
        </w:rPr>
        <w:t>lo</w:t>
      </w:r>
      <w:r>
        <w:rPr>
          <w:color w:val="231F20"/>
          <w:spacing w:val="-9"/>
          <w:w w:val="105"/>
        </w:rPr>
        <w:t> </w:t>
      </w:r>
      <w:r>
        <w:rPr>
          <w:color w:val="231F20"/>
          <w:w w:val="105"/>
        </w:rPr>
        <w:t>llevó</w:t>
      </w:r>
      <w:r>
        <w:rPr>
          <w:color w:val="231F20"/>
          <w:spacing w:val="-9"/>
          <w:w w:val="105"/>
        </w:rPr>
        <w:t> </w:t>
      </w:r>
      <w:r>
        <w:rPr>
          <w:color w:val="231F20"/>
          <w:spacing w:val="2"/>
          <w:w w:val="105"/>
        </w:rPr>
        <w:t>al</w:t>
      </w:r>
      <w:r>
        <w:rPr>
          <w:color w:val="231F20"/>
          <w:spacing w:val="-9"/>
          <w:w w:val="105"/>
        </w:rPr>
        <w:t> </w:t>
      </w:r>
      <w:r>
        <w:rPr>
          <w:color w:val="231F20"/>
          <w:spacing w:val="-3"/>
          <w:w w:val="105"/>
        </w:rPr>
        <w:t>poder,</w:t>
      </w:r>
      <w:r>
        <w:rPr>
          <w:color w:val="231F20"/>
          <w:spacing w:val="-9"/>
          <w:w w:val="105"/>
        </w:rPr>
        <w:t> </w:t>
      </w:r>
      <w:r>
        <w:rPr>
          <w:color w:val="231F20"/>
          <w:w w:val="105"/>
        </w:rPr>
        <w:t>si</w:t>
      </w:r>
      <w:r>
        <w:rPr>
          <w:color w:val="231F20"/>
          <w:spacing w:val="-9"/>
          <w:w w:val="105"/>
        </w:rPr>
        <w:t> </w:t>
      </w:r>
      <w:r>
        <w:rPr>
          <w:color w:val="231F20"/>
          <w:w w:val="105"/>
        </w:rPr>
        <w:t>han</w:t>
      </w:r>
      <w:r>
        <w:rPr>
          <w:color w:val="231F20"/>
          <w:spacing w:val="-9"/>
          <w:w w:val="105"/>
        </w:rPr>
        <w:t> </w:t>
      </w:r>
      <w:r>
        <w:rPr>
          <w:color w:val="231F20"/>
          <w:w w:val="105"/>
        </w:rPr>
        <w:t>trabajado</w:t>
      </w:r>
      <w:r>
        <w:rPr>
          <w:color w:val="231F20"/>
          <w:spacing w:val="-9"/>
          <w:w w:val="105"/>
        </w:rPr>
        <w:t> </w:t>
      </w:r>
      <w:r>
        <w:rPr>
          <w:color w:val="231F20"/>
          <w:w w:val="105"/>
        </w:rPr>
        <w:t>de</w:t>
      </w:r>
      <w:r>
        <w:rPr>
          <w:color w:val="231F20"/>
          <w:spacing w:val="-9"/>
          <w:w w:val="105"/>
        </w:rPr>
        <w:t> </w:t>
      </w:r>
      <w:r>
        <w:rPr>
          <w:color w:val="231F20"/>
          <w:w w:val="105"/>
        </w:rPr>
        <w:t>manera</w:t>
      </w:r>
      <w:r>
        <w:rPr>
          <w:color w:val="231F20"/>
          <w:spacing w:val="-9"/>
          <w:w w:val="105"/>
        </w:rPr>
        <w:t> </w:t>
      </w:r>
      <w:r>
        <w:rPr>
          <w:color w:val="231F20"/>
          <w:w w:val="105"/>
        </w:rPr>
        <w:t>conjunta</w:t>
      </w:r>
      <w:r>
        <w:rPr>
          <w:color w:val="231F20"/>
          <w:spacing w:val="-9"/>
          <w:w w:val="105"/>
        </w:rPr>
        <w:t> </w:t>
      </w:r>
      <w:r>
        <w:rPr>
          <w:color w:val="231F20"/>
          <w:w w:val="105"/>
        </w:rPr>
        <w:t>o</w:t>
      </w:r>
      <w:r>
        <w:rPr>
          <w:color w:val="231F20"/>
          <w:spacing w:val="-9"/>
          <w:w w:val="105"/>
        </w:rPr>
        <w:t> </w:t>
      </w:r>
      <w:r>
        <w:rPr>
          <w:color w:val="231F20"/>
          <w:w w:val="105"/>
        </w:rPr>
        <w:t>no</w:t>
      </w:r>
      <w:r>
        <w:rPr>
          <w:color w:val="231F20"/>
          <w:spacing w:val="-9"/>
          <w:w w:val="105"/>
        </w:rPr>
        <w:t> </w:t>
      </w:r>
      <w:r>
        <w:rPr>
          <w:color w:val="231F20"/>
          <w:w w:val="105"/>
        </w:rPr>
        <w:t>y</w:t>
      </w:r>
      <w:r>
        <w:rPr>
          <w:color w:val="231F20"/>
          <w:spacing w:val="-9"/>
          <w:w w:val="105"/>
        </w:rPr>
        <w:t> </w:t>
      </w:r>
      <w:r>
        <w:rPr>
          <w:color w:val="231F20"/>
          <w:w w:val="105"/>
        </w:rPr>
        <w:t>porqué.</w:t>
      </w:r>
    </w:p>
    <w:p>
      <w:pPr>
        <w:pStyle w:val="BodyText"/>
        <w:spacing w:before="1"/>
        <w:rPr>
          <w:sz w:val="26"/>
        </w:rPr>
      </w:pPr>
    </w:p>
    <w:p>
      <w:pPr>
        <w:pStyle w:val="BodyText"/>
        <w:spacing w:line="285" w:lineRule="auto"/>
        <w:ind w:left="110" w:right="107"/>
        <w:jc w:val="both"/>
      </w:pPr>
      <w:r>
        <w:rPr>
          <w:color w:val="231F20"/>
          <w:w w:val="105"/>
        </w:rPr>
        <w:t>El lector encontrará la siguiente estructura: primero se exponen las Generalidades del Municipio,</w:t>
      </w:r>
      <w:r>
        <w:rPr>
          <w:color w:val="231F20"/>
          <w:spacing w:val="-7"/>
          <w:w w:val="105"/>
        </w:rPr>
        <w:t> </w:t>
      </w:r>
      <w:r>
        <w:rPr>
          <w:color w:val="231F20"/>
          <w:w w:val="105"/>
        </w:rPr>
        <w:t>para</w:t>
      </w:r>
      <w:r>
        <w:rPr>
          <w:color w:val="231F20"/>
          <w:spacing w:val="-7"/>
          <w:w w:val="105"/>
        </w:rPr>
        <w:t> </w:t>
      </w:r>
      <w:r>
        <w:rPr>
          <w:color w:val="231F20"/>
          <w:w w:val="105"/>
        </w:rPr>
        <w:t>después</w:t>
      </w:r>
      <w:r>
        <w:rPr>
          <w:color w:val="231F20"/>
          <w:spacing w:val="-7"/>
          <w:w w:val="105"/>
        </w:rPr>
        <w:t> </w:t>
      </w:r>
      <w:r>
        <w:rPr>
          <w:color w:val="231F20"/>
          <w:w w:val="105"/>
        </w:rPr>
        <w:t>conocer</w:t>
      </w:r>
      <w:r>
        <w:rPr>
          <w:color w:val="231F20"/>
          <w:spacing w:val="-7"/>
          <w:w w:val="105"/>
        </w:rPr>
        <w:t> </w:t>
      </w:r>
      <w:r>
        <w:rPr>
          <w:color w:val="231F20"/>
          <w:w w:val="105"/>
        </w:rPr>
        <w:t>su</w:t>
      </w:r>
      <w:r>
        <w:rPr>
          <w:color w:val="231F20"/>
          <w:spacing w:val="-7"/>
          <w:w w:val="105"/>
        </w:rPr>
        <w:t> </w:t>
      </w:r>
      <w:r>
        <w:rPr>
          <w:color w:val="231F20"/>
          <w:w w:val="105"/>
        </w:rPr>
        <w:t>normatividad,</w:t>
      </w:r>
      <w:r>
        <w:rPr>
          <w:color w:val="231F20"/>
          <w:spacing w:val="-7"/>
          <w:w w:val="105"/>
        </w:rPr>
        <w:t> </w:t>
      </w:r>
      <w:r>
        <w:rPr>
          <w:color w:val="231F20"/>
          <w:w w:val="105"/>
        </w:rPr>
        <w:t>esto</w:t>
      </w:r>
      <w:r>
        <w:rPr>
          <w:color w:val="231F20"/>
          <w:spacing w:val="-7"/>
          <w:w w:val="105"/>
        </w:rPr>
        <w:t> </w:t>
      </w:r>
      <w:r>
        <w:rPr>
          <w:color w:val="231F20"/>
          <w:w w:val="105"/>
        </w:rPr>
        <w:t>nos</w:t>
      </w:r>
      <w:r>
        <w:rPr>
          <w:color w:val="231F20"/>
          <w:spacing w:val="-7"/>
          <w:w w:val="105"/>
        </w:rPr>
        <w:t> </w:t>
      </w:r>
      <w:r>
        <w:rPr>
          <w:color w:val="231F20"/>
          <w:w w:val="105"/>
        </w:rPr>
        <w:t>conducirá</w:t>
      </w:r>
      <w:r>
        <w:rPr>
          <w:color w:val="231F20"/>
          <w:spacing w:val="-7"/>
          <w:w w:val="105"/>
        </w:rPr>
        <w:t> </w:t>
      </w:r>
      <w:r>
        <w:rPr>
          <w:color w:val="231F20"/>
          <w:w w:val="105"/>
        </w:rPr>
        <w:t>a</w:t>
      </w:r>
      <w:r>
        <w:rPr>
          <w:color w:val="231F20"/>
          <w:spacing w:val="-7"/>
          <w:w w:val="105"/>
        </w:rPr>
        <w:t> </w:t>
      </w:r>
      <w:r>
        <w:rPr>
          <w:color w:val="231F20"/>
          <w:w w:val="105"/>
        </w:rPr>
        <w:t>establecer</w:t>
      </w:r>
      <w:r>
        <w:rPr>
          <w:color w:val="231F20"/>
          <w:spacing w:val="-7"/>
          <w:w w:val="105"/>
        </w:rPr>
        <w:t> </w:t>
      </w:r>
      <w:r>
        <w:rPr>
          <w:color w:val="231F20"/>
          <w:w w:val="105"/>
        </w:rPr>
        <w:t>una evaluación</w:t>
      </w:r>
      <w:r>
        <w:rPr>
          <w:color w:val="231F20"/>
          <w:spacing w:val="-19"/>
          <w:w w:val="105"/>
        </w:rPr>
        <w:t> </w:t>
      </w:r>
      <w:r>
        <w:rPr>
          <w:color w:val="231F20"/>
          <w:w w:val="105"/>
        </w:rPr>
        <w:t>general</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desempeño</w:t>
      </w:r>
      <w:r>
        <w:rPr>
          <w:color w:val="231F20"/>
          <w:spacing w:val="-19"/>
          <w:w w:val="105"/>
        </w:rPr>
        <w:t> </w:t>
      </w:r>
      <w:r>
        <w:rPr>
          <w:color w:val="231F20"/>
          <w:w w:val="105"/>
        </w:rPr>
        <w:t>y</w:t>
      </w:r>
      <w:r>
        <w:rPr>
          <w:color w:val="231F20"/>
          <w:spacing w:val="-19"/>
          <w:w w:val="105"/>
        </w:rPr>
        <w:t> </w:t>
      </w:r>
      <w:r>
        <w:rPr>
          <w:color w:val="231F20"/>
          <w:w w:val="105"/>
        </w:rPr>
        <w:t>finalmente</w:t>
      </w:r>
      <w:r>
        <w:rPr>
          <w:color w:val="231F20"/>
          <w:spacing w:val="-19"/>
          <w:w w:val="105"/>
        </w:rPr>
        <w:t> </w:t>
      </w:r>
      <w:r>
        <w:rPr>
          <w:color w:val="231F20"/>
          <w:w w:val="105"/>
        </w:rPr>
        <w:t>expondremos</w:t>
      </w:r>
      <w:r>
        <w:rPr>
          <w:color w:val="231F20"/>
          <w:spacing w:val="-19"/>
          <w:w w:val="105"/>
        </w:rPr>
        <w:t> </w:t>
      </w:r>
      <w:r>
        <w:rPr>
          <w:color w:val="231F20"/>
          <w:w w:val="105"/>
        </w:rPr>
        <w:t>las</w:t>
      </w:r>
      <w:r>
        <w:rPr>
          <w:color w:val="231F20"/>
          <w:spacing w:val="-19"/>
          <w:w w:val="105"/>
        </w:rPr>
        <w:t> </w:t>
      </w:r>
      <w:r>
        <w:rPr>
          <w:color w:val="231F20"/>
          <w:w w:val="105"/>
        </w:rPr>
        <w:t>conclusiones.</w:t>
      </w:r>
    </w:p>
    <w:p>
      <w:pPr>
        <w:pStyle w:val="BodyText"/>
        <w:spacing w:before="9"/>
      </w:pPr>
    </w:p>
    <w:p>
      <w:pPr>
        <w:pStyle w:val="Heading3"/>
      </w:pPr>
      <w:r>
        <w:rPr>
          <w:color w:val="231F20"/>
          <w:w w:val="105"/>
        </w:rPr>
        <w:t>Generalidades</w:t>
      </w:r>
      <w:r>
        <w:rPr>
          <w:color w:val="231F20"/>
          <w:spacing w:val="-55"/>
          <w:w w:val="105"/>
        </w:rPr>
        <w:t> </w:t>
      </w:r>
      <w:r>
        <w:rPr>
          <w:color w:val="231F20"/>
          <w:spacing w:val="-3"/>
          <w:w w:val="105"/>
        </w:rPr>
        <w:t>del Municipio</w:t>
      </w:r>
    </w:p>
    <w:p>
      <w:pPr>
        <w:pStyle w:val="BodyText"/>
        <w:spacing w:line="285" w:lineRule="auto" w:before="38"/>
        <w:ind w:left="110" w:right="107"/>
        <w:jc w:val="both"/>
      </w:pPr>
      <w:r>
        <w:rPr>
          <w:color w:val="231F20"/>
        </w:rPr>
        <w:t>Chalco adquiere la categoría de Municipio el </w:t>
      </w:r>
      <w:r>
        <w:rPr>
          <w:color w:val="231F20"/>
          <w:spacing w:val="-5"/>
        </w:rPr>
        <w:t>31 </w:t>
      </w:r>
      <w:r>
        <w:rPr>
          <w:color w:val="231F20"/>
        </w:rPr>
        <w:t>de enero de 1824. Se localiza en la </w:t>
      </w:r>
      <w:r>
        <w:rPr>
          <w:color w:val="231F20"/>
          <w:spacing w:val="-3"/>
        </w:rPr>
        <w:t>por- </w:t>
      </w:r>
      <w:r>
        <w:rPr>
          <w:color w:val="231F20"/>
        </w:rPr>
        <w:t>ción Oriente del Estado de México y colinda </w:t>
      </w:r>
      <w:r>
        <w:rPr>
          <w:color w:val="231F20"/>
          <w:spacing w:val="2"/>
        </w:rPr>
        <w:t>al </w:t>
      </w:r>
      <w:r>
        <w:rPr>
          <w:color w:val="231F20"/>
        </w:rPr>
        <w:t>norte con los Municipios de Ixtapaluca y la Paz, </w:t>
      </w:r>
      <w:r>
        <w:rPr>
          <w:color w:val="231F20"/>
          <w:spacing w:val="2"/>
        </w:rPr>
        <w:t>al </w:t>
      </w:r>
      <w:r>
        <w:rPr>
          <w:color w:val="231F20"/>
          <w:spacing w:val="-3"/>
        </w:rPr>
        <w:t>sur, </w:t>
      </w:r>
      <w:r>
        <w:rPr>
          <w:color w:val="231F20"/>
        </w:rPr>
        <w:t>con los Municipios de Temamatla, Cocotitlán, Tlalmanalco y Juchitepec,    </w:t>
      </w:r>
      <w:r>
        <w:rPr>
          <w:color w:val="231F20"/>
          <w:spacing w:val="2"/>
        </w:rPr>
        <w:t>al </w:t>
      </w:r>
      <w:r>
        <w:rPr>
          <w:color w:val="231F20"/>
        </w:rPr>
        <w:t>este, con el Municipio de Ixtapaluca, y </w:t>
      </w:r>
      <w:r>
        <w:rPr>
          <w:color w:val="231F20"/>
          <w:spacing w:val="2"/>
        </w:rPr>
        <w:t>al </w:t>
      </w:r>
      <w:r>
        <w:rPr>
          <w:color w:val="231F20"/>
        </w:rPr>
        <w:t>oeste, con el Distrito Federal y Valle de Chalco</w:t>
      </w:r>
      <w:r>
        <w:rPr>
          <w:color w:val="231F20"/>
          <w:spacing w:val="46"/>
        </w:rPr>
        <w:t> </w:t>
      </w:r>
      <w:r>
        <w:rPr>
          <w:color w:val="231F20"/>
        </w:rPr>
        <w:t>Solidaridad.</w:t>
      </w:r>
    </w:p>
    <w:p>
      <w:pPr>
        <w:pStyle w:val="BodyText"/>
        <w:spacing w:before="1"/>
        <w:rPr>
          <w:sz w:val="26"/>
        </w:rPr>
      </w:pPr>
    </w:p>
    <w:p>
      <w:pPr>
        <w:pStyle w:val="BodyText"/>
        <w:spacing w:line="285" w:lineRule="auto"/>
        <w:ind w:left="110" w:right="108"/>
        <w:jc w:val="both"/>
      </w:pPr>
      <w:r>
        <w:rPr>
          <w:color w:val="231F20"/>
        </w:rPr>
        <w:t>Es parte del Distrito Federal electoral 33 junto con Valle de Chalco Solidaridad, Coco- titlán, Temamatla, Tlalmanalco, Tenango  del Aire, Ayapango, Juchitepec,    Amecameca,</w:t>
      </w:r>
    </w:p>
    <w:p>
      <w:pPr>
        <w:spacing w:after="0" w:line="285" w:lineRule="auto"/>
        <w:jc w:val="both"/>
        <w:sectPr>
          <w:footerReference w:type="default" r:id="rId871"/>
          <w:pgSz w:w="9640" w:h="12190"/>
          <w:pgMar w:footer="743" w:header="0" w:top="1120" w:bottom="940" w:left="740" w:right="740"/>
          <w:pgNumType w:start="420"/>
        </w:sectPr>
      </w:pPr>
    </w:p>
    <w:p>
      <w:pPr>
        <w:pStyle w:val="BodyText"/>
        <w:spacing w:before="3"/>
        <w:rPr>
          <w:sz w:val="11"/>
        </w:rPr>
      </w:pPr>
    </w:p>
    <w:p>
      <w:pPr>
        <w:pStyle w:val="BodyText"/>
        <w:spacing w:line="285" w:lineRule="auto" w:before="36"/>
        <w:ind w:left="110" w:right="109"/>
        <w:jc w:val="both"/>
      </w:pPr>
      <w:r>
        <w:rPr>
          <w:color w:val="231F20"/>
        </w:rPr>
        <w:t>Ozumba, Atlautla, Tepetlixpa y Ecatzingo. Pertenece al Distrito Local electoral 27 junto con los municipios de Cocotitlán, Juchitepec, Temamatla, Tenango del Aire y Valle de Chalco Solidaridad.</w:t>
      </w:r>
    </w:p>
    <w:p>
      <w:pPr>
        <w:pStyle w:val="BodyText"/>
        <w:spacing w:before="1"/>
        <w:rPr>
          <w:sz w:val="26"/>
        </w:rPr>
      </w:pPr>
    </w:p>
    <w:p>
      <w:pPr>
        <w:pStyle w:val="Heading5"/>
        <w:ind w:right="102"/>
        <w:jc w:val="center"/>
      </w:pPr>
      <w:r>
        <w:rPr>
          <w:color w:val="231F20"/>
          <w:w w:val="105"/>
        </w:rPr>
        <w:t>MAPA 1</w:t>
      </w:r>
    </w:p>
    <w:p>
      <w:pPr>
        <w:pStyle w:val="BodyText"/>
        <w:spacing w:before="9"/>
        <w:rPr>
          <w:b/>
          <w:sz w:val="17"/>
        </w:rPr>
      </w:pPr>
      <w:r>
        <w:rPr/>
        <w:pict>
          <v:group style="position:absolute;margin-left:43.653pt;margin-top:12.17592pt;width:395.15pt;height:225.45pt;mso-position-horizontal-relative:page;mso-position-vertical-relative:paragraph;z-index:12016;mso-wrap-distance-left:0;mso-wrap-distance-right:0" coordorigin="873,244" coordsize="7903,4509">
            <v:rect style="position:absolute;left:883;top:535;width:7882;height:4207" filled="false" stroked="true" strokeweight="1pt" strokecolor="#231f20"/>
            <v:shape style="position:absolute;left:3112;top:252;width:2263;height:219" type="#_x0000_t75" stroked="false">
              <v:imagedata r:id="rId872" o:title=""/>
            </v:shape>
            <v:shape style="position:absolute;left:5450;top:259;width:256;height:167" type="#_x0000_t75" stroked="false">
              <v:imagedata r:id="rId873" o:title=""/>
            </v:shape>
            <v:shape style="position:absolute;left:5780;top:256;width:411;height:170" type="#_x0000_t75" stroked="false">
              <v:imagedata r:id="rId874" o:title=""/>
            </v:shape>
            <v:shape style="position:absolute;left:6212;top:244;width:303;height:194" type="#_x0000_t75" stroked="false">
              <v:imagedata r:id="rId875" o:title=""/>
            </v:shape>
            <v:shape style="position:absolute;left:6310;top:579;width:1964;height:1228" coordorigin="6310,579" coordsize="1964,1228" path="m6632,1706l6413,1706,6493,1807,6600,1799,6632,1706xm6690,844l6690,914,6576,1090,6577,1097,6576,1102,6576,1107,6584,1115,6595,1124,6634,1161,6475,1316,6503,1326,6503,1400,6391,1400,6310,1436,6319,1588,6375,1644,6412,1707,6413,1706,6632,1706,6646,1665,6747,1625,6813,1533,6837,1410,6775,1398,6836,1244,6911,1244,6914,1196,6950,1176,6950,1092,7781,1092,7951,1046,8203,1046,8213,1034,8216,1029,8274,1016,8238,861,7213,861,7205,859,6841,859,6690,844xm7781,1092l6950,1092,7051,1112,7242,1276,7265,1378,7354,1396,7422,1328,7532,1300,7626,1300,7627,1274,7555,1202,7578,1194,7596,1186,7614,1179,7628,1171,7638,1165,7639,1159,7642,1152,7656,1140,7691,1123,7756,1099,7781,1092xm7626,1300l7532,1300,7549,1367,7602,1369,7617,1370,7621,1355,7624,1333,7626,1305,7626,1300xm6911,1244l6836,1244,6909,1292,6911,1244xm8203,1046l7951,1046,8029,1083,8132,1086,8159,1086,8168,1082,8182,1070,8197,1053,8203,1046xm7394,683l7366,743,7285,747,7213,861,8238,861,8236,855,7422,855,7402,854,7390,853,7374,778,7429,726,7394,683xm6976,734l6936,767,6841,859,7205,859,7092,824,7116,782,7025,782,6976,734xm7578,733l7569,743,7497,824,7481,841,7465,850,7444,854,7422,855,8236,855,8225,805,7673,805,7578,733xm8050,579l7896,614,7908,725,7797,743,7673,805,8225,805,8192,663,8050,579xm7094,734l7025,782,7116,782,7135,748,7094,734xe" filled="true" fillcolor="#fff200" stroked="false">
              <v:path arrowok="t"/>
              <v:fill type="solid"/>
            </v:shape>
            <v:shape style="position:absolute;left:6310;top:579;width:1964;height:1228" coordorigin="6310,579" coordsize="1964,1228" path="m6375,1644l6319,1588,6310,1436,6391,1400,6503,1400,6503,1326,6475,1316,6634,1161,6622,1150,6607,1136,6595,1124,6584,1115,6576,1107,6576,1102,6577,1097,6576,1090,6690,914,6690,844,6841,859,6936,767,6976,734,7025,782,7094,734,7135,748,7092,824,7213,861,7285,747,7366,743,7394,683,7429,726,7374,778,7390,853,7402,854,7422,855,7444,854,7497,824,7554,761,7578,733,7673,805,7797,743,7908,725,7896,614,8050,579,8192,663,8274,1016,8216,1029,8213,1034,8197,1053,8182,1070,8168,1082,8159,1086,8132,1086,8093,1085,8054,1083,8029,1083,7951,1046,7756,1099,7691,1123,7639,1159,7638,1165,7628,1171,7614,1179,7596,1186,7578,1194,7555,1202,7627,1274,7626,1305,7624,1333,7621,1355,7617,1370,7602,1369,7583,1369,7565,1368,7549,1367,7532,1300,7422,1328,7354,1396,7265,1378,7242,1276,7051,1112,6950,1092,6950,1176,6914,1196,6909,1292,6836,1244,6775,1398,6837,1410,6813,1533,6747,1625,6646,1665,6600,1799,6576,1801,6550,1803,6523,1805,6493,1807,6413,1706,6412,1707,6375,1644xe" filled="false" stroked="true" strokeweight="1.0pt" strokecolor="#231f20">
              <v:path arrowok="t"/>
            </v:shape>
            <v:shape style="position:absolute;left:2268;top:1056;width:3603;height:3640" type="#_x0000_t75" stroked="false">
              <v:imagedata r:id="rId876" o:title=""/>
            </v:shape>
            <v:shape style="position:absolute;left:4551;top:2308;width:217;height:170" type="#_x0000_t75" stroked="false">
              <v:imagedata r:id="rId877" o:title=""/>
            </v:shape>
            <v:shape style="position:absolute;left:4145;top:2402;width:459;height:364" coordorigin="4145,2402" coordsize="459,364" path="m4442,2431l4421,2443,4359,2460,4316,2504,4371,2535,4377,2554,4346,2561,4325,2599,4305,2626,4274,2642,4260,2665,4246,2668,4231,2673,4228,2675,4224,2679,4196,2695,4169,2715,4145,2724,4155,2737,4181,2737,4177,2765,4182,2764,4203,2748,4232,2748,4232,2738,4235,2724,4243,2724,4249,2721,4259,2716,4271,2708,4283,2699,4284,2699,4308,2690,4319,2664,4377,2656,4418,2652,4418,2620,4438,2619,4486,2619,4498,2606,4509,2556,4529,2531,4553,2528,4552,2508,4571,2486,4603,2477,4592,2450,4592,2447,4449,2447,4442,2431xm4232,2748l4203,2748,4215,2755,4232,2751,4232,2748xm4486,2619l4438,2619,4453,2635,4472,2635,4486,2619xm4543,2402l4520,2418,4485,2425,4449,2447,4592,2447,4593,2438,4589,2428,4545,2428,4543,2402xm4580,2403l4572,2415,4545,2428,4589,2428,4585,2418,4580,2403xe" filled="true" fillcolor="#ffffff" stroked="false">
              <v:path arrowok="t"/>
              <v:fill type="solid"/>
            </v:shape>
            <v:shape style="position:absolute;left:4178;top:2660;width:292;height:523" type="#_x0000_t75" stroked="false">
              <v:imagedata r:id="rId878" o:title=""/>
            </v:shape>
            <v:shape style="position:absolute;left:4205;top:3251;width:134;height:217" type="#_x0000_t75" stroked="false">
              <v:imagedata r:id="rId879" o:title=""/>
            </v:shape>
            <v:shape style="position:absolute;left:3768;top:2582;width:522;height:1089" coordorigin="3768,2582" coordsize="522,1089" path="m4197,3621l4116,3621,4135,3649,4160,3649,4187,3669,4187,3671,4193,3653,4209,3637,4194,3627,4197,3621xm4203,3367l3991,3367,3996,3410,3996,3420,4025,3420,4040,3457,4030,3477,4030,3509,4023,3513,4027,3532,4065,3552,4077,3563,4059,3590,4066,3616,4064,3624,4116,3621,4197,3621,4205,3606,4186,3581,4202,3565,4242,3565,4256,3538,4252,3512,4259,3491,4250,3483,4258,3465,4152,3465,4139,3453,4109,3450,4085,3449,4080,3422,4028,3422,4022,3416,4041,3397,4197,3397,4198,3379,4198,3374,4203,3367xm4242,3565l4202,3565,4227,3571,4238,3573,4241,3568,4242,3565xm3878,2947l3863,2956,3849,2984,3880,2989,3869,3031,3874,3046,3860,3070,3852,3078,3840,3079,3833,3080,3831,3084,3829,3092,3829,3095,3828,3103,3825,3115,3822,3127,3819,3135,3819,3136,3785,3189,3787,3218,3796,3248,3768,3270,3770,3298,3795,3312,3794,3355,3794,3355,3792,3374,3792,3379,3793,3417,3794,3462,3794,3470,3796,3479,3798,3482,3803,3483,3813,3490,3818,3495,3826,3500,3809,3431,3828,3412,3847,3410,3859,3379,3855,3379,3837,3351,3820,3332,3820,3308,3849,3291,3850,3277,3849,3257,3851,3257,3880,3200,3930,3148,3982,3112,3997,3069,4010,3043,4026,3018,3999,2979,4021,2966,4030,2955,4059,2952,3905,2952,3878,2947xm4228,3412l4209,3412,4194,3442,4170,3446,4152,3465,4258,3465,4261,3456,4278,3441,4290,3427,4286,3422,4261,3422,4228,3412xm4197,3397l4041,3397,4094,3399,4102,3416,4088,3421,4092,3441,4110,3442,4142,3445,4152,3454,4166,3439,4188,3435,4189,3433,4172,3433,4164,3432,4168,3406,4197,3399,4197,3397xm4204,3405l4175,3412,4172,3433,4189,3433,4204,3405xm4282,3417l4261,3422,4286,3422,4282,3417xm4044,3405l4028,3422,4080,3422,4079,3416,4091,3412,4089,3407,4044,3405xm3918,3241l3912,3259,3858,3264,3858,3277,3856,3296,3827,3313,3827,3329,3843,3346,3861,3374,3855,3379,3859,3379,3860,3377,3910,3375,3961,3371,3991,3367,4203,3367,4220,3341,4209,3318,4200,3286,4212,3273,4212,3251,4128,3249,4126,3246,4022,3246,3918,3241xm4022,3214l4022,3246,4126,3246,4122,3235,4073,3235,4070,3232,4066,3226,4068,3220,4069,3215,4022,3214xm4115,3222l4108,3226,4090,3235,4122,3235,4121,3231,4115,3222xm4141,2887l3905,2887,3913,2924,3905,2952,4059,2952,4062,2952,4070,2952,4072,2951,4072,2942,4069,2929,4140,2929,4135,2892,4141,2887xm3866,2689l3866,2716,3845,2716,3845,2776,3873,2800,3866,2835,3844,2855,3846,2864,3850,2873,3852,2876,3861,2876,3877,2893,3905,2887,4141,2887,4151,2879,4166,2864,4205,2864,4198,2841,4190,2808,4183,2793,4141,2793,4123,2780,4096,2764,4096,2745,4073,2735,4038,2723,4026,2711,4036,2693,3889,2693,3866,2689xm4205,2864l4166,2864,4188,2871,4205,2865,4205,2864xm4162,2766l4141,2793,4183,2793,4177,2782,4162,2766xm3979,2583l3962,2583,3958,2598,3949,2622,3943,2646,3915,2652,3908,2677,3894,2680,3889,2693,4036,2693,4036,2693,3999,2671,3999,2621,3997,2591,3980,2591,3979,2583xm3997,2582l3984,2582,3980,2591,3997,2591,3997,2582xe" filled="true" fillcolor="#ffffff" stroked="false">
              <v:path arrowok="t"/>
              <v:fill type="solid"/>
            </v:shape>
            <v:shape style="position:absolute;left:4175;top:3704;width:72;height:113" coordorigin="4175,3704" coordsize="72,113" path="m4188,3704l4183,3704,4178,3717,4176,3729,4175,3744,4175,3747,4180,3751,4200,3771,4200,3779,4223,3780,4225,3804,4230,3814,4245,3817,4246,3812,4242,3774,4229,3759,4209,3750,4205,3720,4188,3715,4188,3704xe" filled="true" fillcolor="#ffffff" stroked="false">
              <v:path arrowok="t"/>
              <v:fill type="solid"/>
            </v:shape>
            <v:shape style="position:absolute;left:3818;top:3376;width:269;height:438" coordorigin="3818,3376" coordsize="269,438" path="m4052,3657l3977,3657,4028,3708,4058,3749,4063,3790,4078,3813,4086,3800,4084,3772,4083,3766,4079,3761,4073,3757,4072,3708,4072,3685,4051,3660,4052,3657xm3955,3661l3923,3661,3940,3666,3966,3684,3970,3680,3955,3661xm4019,3529l3872,3529,3865,3556,3875,3577,3854,3589,3842,3600,3869,3625,3886,3663,3923,3661,3955,3661,3954,3659,3977,3657,4052,3657,4054,3632,4053,3632,4057,3616,4050,3589,4066,3564,4060,3558,4020,3537,4019,3529xm4054,3632l4053,3632,4054,3632,4054,3632xm3836,3514l3833,3535,3843,3547,3872,3529,4019,3529,4016,3515,3839,3515,3836,3514xm3984,3376l3962,3379,3910,3383,3865,3385,3852,3418,3831,3420,3818,3433,3839,3515,4016,3515,4014,3510,4022,3505,4022,3475,4031,3457,4020,3428,3988,3428,3988,3411,3984,3376xe" filled="true" fillcolor="#ffffff" stroked="false">
              <v:path arrowok="t"/>
              <v:fill type="solid"/>
            </v:shape>
            <v:shape style="position:absolute;left:3577;top:3348;width:300;height:504" coordorigin="3577,3348" coordsize="300,504" path="m3866,3731l3745,3731,3773,3771,3780,3812,3766,3834,3780,3842,3793,3851,3832,3841,3825,3807,3800,3781,3822,3775,3813,3746,3860,3746,3866,3741,3866,3731xm3860,3746l3813,3746,3843,3758,3864,3780,3868,3779,3855,3751,3860,3746xm3851,3668l3677,3668,3703,3714,3720,3740,3745,3731,3866,3731,3866,3722,3848,3693,3851,3668xm3586,3482l3577,3507,3594,3521,3639,3538,3638,3556,3611,3615,3585,3660,3622,3695,3634,3686,3647,3668,3851,3668,3851,3663,3877,3663,3862,3629,3831,3600,3849,3582,3864,3573,3857,3558,3841,3558,3824,3538,3828,3510,3825,3508,3662,3508,3629,3495,3586,3482xm3859,3546l3841,3558,3857,3558,3856,3557,3859,3546xm3784,3377l3680,3377,3717,3412,3722,3446,3684,3446,3670,3455,3662,3508,3825,3508,3813,3501,3806,3495,3799,3490,3797,3490,3794,3490,3788,3489,3786,3462,3786,3421,3784,3377xm3693,3348l3677,3363,3656,3377,3654,3386,3680,3377,3784,3377,3784,3376,3785,3362,3762,3359,3758,3359,3747,3358,3730,3355,3703,3351,3693,3348xe" filled="true" fillcolor="#ffffff" stroked="false">
              <v:path arrowok="t"/>
              <v:fill type="solid"/>
            </v:shape>
            <v:shape style="position:absolute;left:3359;top:3449;width:412;height:612" type="#_x0000_t75" stroked="false">
              <v:imagedata r:id="rId880" o:title=""/>
            </v:shape>
            <v:shape style="position:absolute;left:2940;top:3040;width:739;height:489" coordorigin="2940,3040" coordsize="739,489" path="m3111,3463l2965,3463,2989,3482,3026,3487,3047,3505,3053,3510,3060,3522,3064,3529,3073,3523,3083,3516,3084,3514,3084,3509,3089,3501,3092,3498,3089,3474,3111,3463xm3614,3416l3367,3416,3411,3450,3448,3450,3472,3464,3462,3491,3458,3492,3497,3498,3542,3513,3554,3470,3558,3438,3632,3438,3615,3429,3614,3416xm3632,3438l3558,3438,3590,3447,3588,3474,3631,3488,3634,3489,3636,3440,3632,3438xm3009,3308l2972,3358,2970,3365,2967,3370,2959,3370,2954,3372,2951,3374,2965,3425,2962,3447,2940,3468,2965,3463,3111,3463,3126,3456,3129,3455,3151,3449,3280,3449,3298,3424,3347,3424,3367,3416,3614,3416,3613,3405,3613,3400,3109,3400,3065,3333,3046,3327,3009,3308xm3278,3453l3246,3453,3274,3458,3278,3453xm3280,3449l3165,3449,3198,3453,3198,3458,3246,3453,3278,3453,3280,3449xm3142,3385l3130,3397,3109,3400,3613,3400,3613,3397,3154,3397,3142,3385xm3224,3322l3202,3332,3205,3356,3176,3366,3154,3397,3613,3397,3613,3367,3635,3361,3637,3343,3241,3343,3224,3322xm3267,3258l3267,3283,3272,3338,3241,3343,3637,3343,3637,3339,3656,3326,3664,3297,3665,3295,3364,3295,3352,3283,3332,3283,3318,3267,3290,3267,3267,3258xm3542,3053l3533,3068,3523,3108,3490,3125,3429,3136,3443,3152,3443,3170,3432,3185,3421,3218,3389,3234,3393,3260,3364,3295,3665,3295,3677,3248,3678,3222,3660,3198,3610,3198,3599,3178,3628,3162,3639,3156,3637,3130,3625,3130,3608,3112,3577,3097,3581,3072,3597,3069,3597,3067,3556,3067,3542,3053xm3348,3279l3332,3283,3352,3283,3348,3279xm3315,3263l3290,3267,3318,3267,3315,3263xm3658,3195l3610,3198,3660,3198,3658,3195xm3630,3117l3625,3130,3637,3130,3636,3125,3630,3117xm3589,3040l3556,3067,3597,3067,3600,3056,3589,3040xe" filled="true" fillcolor="#ffffff" stroked="false">
              <v:path arrowok="t"/>
              <v:fill type="solid"/>
            </v:shape>
            <v:shape style="position:absolute;left:2837;top:3276;width:145;height:198" type="#_x0000_t75" stroked="false">
              <v:imagedata r:id="rId881" o:title=""/>
            </v:shape>
            <v:shape style="position:absolute;left:2928;top:2946;width:508;height:446" coordorigin="2928,2946" coordsize="508,446" path="m3260,3298l3006,3298,3049,3320,3070,3326,3113,3391,3127,3389,3142,3374,3160,3374,3171,3359,3196,3350,3193,3327,3227,3312,3262,3312,3260,3298xm3160,3374l3142,3374,3153,3385,3160,3374xm3266,3148l2956,3148,2964,3156,2966,3164,2967,3168,2989,3180,2997,3198,2997,3206,3000,3215,3002,3221,3015,3228,2990,3275,2987,3304,2976,3339,3006,3298,3260,3298,3259,3283,3259,3246,3383,3246,3381,3230,3415,3212,3425,3181,3435,3167,3435,3155,3432,3152,3266,3152,3266,3148xm3262,3312l3227,3312,3244,3334,3264,3331,3262,3312xm3374,3270l3350,3270,3363,3283,3374,3270xm3384,3255l3319,3255,3335,3274,3350,3270,3374,3270,3385,3258,3384,3255xm3383,3246l3259,3246,3291,3259,3319,3255,3384,3255,3383,3246xm2963,3002l2950,3005,2942,3028,2953,3033,2957,3076,2948,3096,2948,3119,2928,3123,2930,3126,2932,3131,2932,3139,2935,3150,2938,3158,2956,3148,3266,3148,3267,3112,3252,3087,3262,3064,3216,3064,3200,3048,3201,3047,3065,3047,3030,3040,3029,3019,3026,3003,2963,3003,2963,3002xm3376,3130l3339,3130,3318,3141,3266,3152,3432,3152,3420,3138,3402,3138,3376,3130xm3419,3137l3402,3138,3420,3138,3419,3137xm3242,3047l3243,3062,3216,3064,3262,3064,3266,3054,3256,3054,3248,3051,3242,3047xm3266,3052l3264,3054,3262,3054,3266,3054,3266,3052xm3084,2946l3063,2947,3062,2959,3058,2984,3072,2998,3059,3009,3056,3012,3056,3015,3059,3029,3065,3047,3201,3047,3209,3039,3186,3039,3176,3020,3191,3000,3154,2993,3168,2979,3171,2966,3104,2966,3084,2946xm3211,3037l3186,3039,3209,3039,3211,3037xm3025,2966l3009,2968,2991,2968,2988,2989,2963,3003,3026,3003,3024,2988,3025,2966xm3155,2959l3104,2966,3171,2966,3171,2962,3155,2959xe" filled="true" fillcolor="#ffffff" stroked="false">
              <v:path arrowok="t"/>
              <v:fill type="solid"/>
            </v:shape>
            <v:shape style="position:absolute;left:3211;top:2863;width:329;height:279" type="#_x0000_t75" stroked="false">
              <v:imagedata r:id="rId882" o:title=""/>
            </v:shape>
            <v:shape style="position:absolute;left:3094;top:2403;width:528;height:519" coordorigin="3094,2403" coordsize="528,519" path="m3498,2853l3399,2853,3444,2888,3456,2893,3470,2899,3478,2899,3498,2910,3509,2916,3510,2917,3513,2921,3516,2898,3508,2895,3506,2894,3506,2892,3498,2853xm3512,2635l3225,2635,3260,2638,3259,2683,3260,2715,3278,2717,3294,2748,3303,2785,3309,2819,3340,2827,3368,2850,3368,2879,3399,2853,3498,2853,3496,2847,3501,2791,3549,2789,3551,2777,3516,2777,3515,2724,3555,2706,3572,2706,3572,2703,3595,2697,3596,2685,3622,2684,3617,2667,3564,2667,3511,2655,3512,2635xm3572,2706l3555,2706,3559,2721,3572,2721,3572,2706xm3585,2652l3564,2667,3617,2667,3614,2655,3585,2652xm3546,2610l3138,2610,3156,2619,3183,2639,3213,2635,3512,2635,3513,2631,3555,2631,3555,2629,3546,2610xm3555,2631l3513,2631,3555,2638,3555,2631xm3096,2575l3094,2588,3102,2611,3138,2610,3546,2610,3546,2609,3541,2608,3459,2608,3440,2583,3448,2578,3106,2578,3096,2575xm3485,2572l3459,2608,3541,2608,3523,2605,3513,2582,3485,2572xm3140,2492l3129,2507,3127,2553,3106,2578,3448,2578,3461,2566,3231,2566,3221,2560,3178,2560,3176,2550,3188,2543,3190,2534,3192,2521,3193,2516,3192,2516,3156,2516,3152,2496,3140,2492xm3362,2429l3307,2439,3297,2465,3255,2493,3253,2514,3253,2516,3254,2539,3254,2549,3231,2566,3461,2566,3468,2561,3474,2531,3476,2507,3464,2502,3459,2475,3443,2468,3447,2462,3436,2462,3418,2460,3375,2452,3362,2429xm3214,2556l3210,2557,3200,2560,3221,2560,3214,2556xm3188,2514l3173,2514,3156,2516,3192,2516,3188,2514xm3439,2429l3436,2462,3447,2462,3462,2434,3468,2432,3467,2432,3439,2429xm3463,2403l3467,2432,3468,2432,3484,2427,3486,2407,3463,2403xe" filled="true" fillcolor="#ffffff" stroked="false">
              <v:path arrowok="t"/>
              <v:fill type="solid"/>
            </v:shape>
            <v:shape style="position:absolute;left:3210;top:2042;width:379;height:429" coordorigin="3210,2042" coordsize="379,429" path="m3523,2393l3453,2393,3494,2401,3492,2433,3468,2441,3455,2465,3464,2469,3480,2470,3480,2460,3471,2444,3513,2444,3505,2421,3526,2399,3523,2393xm3457,2420l3366,2420,3380,2445,3428,2453,3431,2420,3457,2420,3457,2420xm3515,2371l3311,2371,3347,2380,3343,2403,3337,2426,3366,2420,3457,2420,3453,2393,3523,2393,3518,2384,3515,2371xm3457,2420l3431,2420,3457,2423,3457,2420xm3228,2142l3224,2142,3223,2143,3222,2156,3220,2179,3217,2211,3210,2216,3222,2221,3238,2239,3263,2253,3234,2283,3231,2313,3226,2348,3265,2366,3278,2385,3302,2381,3311,2371,3515,2371,3515,2368,3564,2318,3588,2292,3560,2252,3558,2238,3545,2238,3532,2217,3511,2179,3532,2178,3527,2167,3527,2148,3525,2143,3233,2143,3228,2142xm3558,2235l3545,2238,3558,2238,3558,2235xm3227,2052l3219,2061,3225,2076,3232,2092,3234,2094,3237,2098,3243,2117,3246,2127,3233,2143,3525,2143,3516,2124,3539,2120,3531,2114,3484,2114,3489,2105,3323,2105,3293,2101,3304,2084,3241,2084,3227,2052xm3528,2113l3484,2114,3531,2114,3528,2113xm3346,2073l3323,2105,3489,2105,3491,2101,3448,2101,3420,2096,3400,2093,3386,2091,3381,2091,3379,2089,3376,2083,3377,2078,3379,2074,3346,2073xm3477,2085l3448,2101,3491,2101,3495,2094,3477,2085xm3252,2042l3258,2067,3241,2084,3304,2084,3313,2070,3312,2059,3293,2049,3252,2042xe" filled="true" fillcolor="#ffffff" stroked="false">
              <v:path arrowok="t"/>
              <v:fill type="solid"/>
            </v:shape>
            <v:shape style="position:absolute;left:3333;top:1943;width:604;height:367" coordorigin="3333,1943" coordsize="604,367" path="m3777,2278l3723,2278,3719,2301,3738,2310,3777,2286,3777,2278xm3825,2270l3777,2270,3816,2273,3824,2282,3825,2270xm3693,2087l3561,2087,3595,2094,3612,2125,3653,2160,3653,2166,3653,2178,3655,2181,3666,2182,3684,2197,3689,2201,3719,2213,3702,2230,3683,2234,3671,2252,3685,2273,3707,2280,3723,2278,3777,2278,3777,2270,3825,2270,3828,2250,3858,2246,3871,2215,3886,2213,3887,2185,3915,2166,3923,2152,3937,2125,3936,2114,3915,2114,3916,2100,3807,2100,3805,2099,3805,2099,3705,2099,3693,2087xm3566,2105l3531,2105,3550,2117,3567,2111,3566,2105xm3935,2113l3915,2114,3936,2114,3935,2113xm3624,2076l3476,2076,3506,2091,3498,2106,3531,2105,3566,2105,3561,2087,3693,2087,3683,2078,3626,2078,3624,2076xm3883,2068l3867,2081,3839,2084,3831,2089,3815,2100,3916,2100,3916,2085,3904,2070,3883,2068xm3772,2067l3761,2075,3749,2083,3740,2090,3735,2094,3730,2098,3714,2099,3805,2099,3801,2093,3803,2085,3805,2078,3772,2067xm3612,2065l3342,2065,3394,2066,3387,2076,3384,2082,3385,2083,3399,2085,3417,2087,3435,2090,3447,2092,3476,2076,3624,2076,3612,2065xm3635,2052l3626,2078,3683,2078,3676,2071,3635,2052xm3388,1943l3378,1979,3371,2024,3345,2031,3333,2048,3337,2071,3342,2065,3612,2065,3603,2056,3600,2044,3565,2044,3568,2021,3562,2021,3531,2010,3501,1996,3503,1992,3484,1992,3477,1989,3422,1989,3423,1945,3407,1945,3388,1943xm3600,2042l3565,2044,3600,2044,3600,2042xm3569,2020l3562,2021,3568,2021,3569,2020xm3506,1959l3501,1959,3494,1962,3489,1964,3484,1992,3503,1992,3513,1977,3520,1966,3513,1963,3506,1959xm3456,1979l3422,1989,3477,1989,3456,1979xe" filled="true" fillcolor="#ffffff" stroked="false">
              <v:path arrowok="t"/>
              <v:fill type="solid"/>
            </v:shape>
            <v:shape style="position:absolute;left:3408;top:1780;width:469;height:312" coordorigin="3408,1780" coordsize="469,312" path="m3874,2058l3771,2058,3815,2074,3811,2083,3810,2088,3810,2092,3815,2090,3826,2083,3836,2076,3864,2073,3876,2063,3874,2058xm3865,2041l3630,2041,3681,2065,3709,2091,3718,2091,3727,2090,3729,2088,3737,2082,3749,2073,3762,2064,3771,2058,3874,2058,3865,2043,3865,2041xm3865,2034l3607,2034,3610,2052,3622,2064,3630,2041,3865,2041,3865,2034xm3824,2010l3578,2010,3574,2036,3607,2034,3865,2034,3865,2023,3824,2010xm3754,1952l3509,1952,3523,1959,3531,1963,3520,1981,3513,1993,3534,2003,3563,2013,3578,2010,3824,2010,3819,2009,3807,1990,3802,1972,3781,1972,3769,1963,3759,1956,3754,1952xm3480,1970l3456,1970,3478,1981,3480,1970xm3429,1908l3431,1938,3431,1938,3430,1978,3456,1970,3480,1970,3482,1959,3484,1958,3498,1952,3754,1952,3751,1950,3747,1947,3746,1947,3744,1946,3741,1942,3742,1936,3744,1931,3758,1922,3460,1922,3429,1908xm3747,1947l3746,1947,3747,1947,3747,1947xm3616,1852l3476,1852,3483,1882,3464,1884,3460,1922,3758,1922,3757,1913,3732,1905,3728,1891,3706,1891,3686,1875,3675,1868,3615,1868,3616,1852xm3726,1886l3706,1891,3728,1891,3726,1886xm3411,1824l3408,1848,3421,1866,3438,1866,3442,1868,3446,1870,3449,1857,3476,1852,3616,1852,3617,1841,3458,1841,3426,1829,3411,1824xm3640,1845l3615,1868,3675,1868,3665,1863,3640,1845xm3466,1797l3473,1815,3458,1841,3617,1841,3617,1841,3615,1824,3603,1814,3534,1814,3513,1808,3466,1797xm3557,1780l3548,1790,3553,1804,3534,1814,3603,1814,3582,1796,3557,1780xe" filled="true" fillcolor="#ffffff" stroked="false">
              <v:path arrowok="t"/>
              <v:fill type="solid"/>
            </v:shape>
            <v:shape style="position:absolute;left:3453;top:1861;width:21;height:16" coordorigin="3453,1861" coordsize="21,16" path="m3470,1861l3456,1864,3453,1876,3453,1877,3473,1875,3470,1861xe" filled="true" fillcolor="#ffffff" stroked="false">
              <v:path arrowok="t"/>
              <v:fill type="solid"/>
            </v:shape>
            <v:shape style="position:absolute;left:3720;top:1695;width:487;height:500" type="#_x0000_t75" stroked="false">
              <v:imagedata r:id="rId883" o:title=""/>
            </v:shape>
            <v:shape style="position:absolute;left:3834;top:2150;width:373;height:417" coordorigin="3834,2150" coordsize="373,417" path="m4052,2508l3968,2508,3986,2517,3983,2562,3984,2566,4007,2520,4033,2519,4052,2508xm4114,2477l3906,2477,3907,2482,3927,2484,3925,2517,3925,2520,3927,2526,3938,2519,3968,2508,4052,2508,4085,2488,4114,2477xm3851,2453l3850,2457,3862,2473,3873,2484,3863,2503,3869,2509,3889,2479,3906,2477,4114,2477,4122,2473,4127,2462,3924,2462,3851,2453xm4146,2416l3916,2416,3930,2443,3924,2462,4127,2462,4146,2416xm4147,2414l3867,2414,3872,2424,3899,2430,3916,2416,4146,2416,4147,2414xm3914,2239l3907,2247,3903,2270,3883,2282,3860,2289,3860,2303,3860,2311,3844,2348,3866,2375,3847,2388,3834,2400,3847,2415,3867,2414,4147,2414,4152,2403,4167,2369,4202,2369,4182,2350,4193,2337,4123,2337,4101,2320,4079,2317,4073,2317,4071,2316,4068,2311,4070,2306,4071,2303,4069,2288,4028,2288,4017,2261,3943,2261,3914,2239xm4146,2272l4147,2285,4136,2300,4123,2337,4193,2337,4197,2332,4207,2312,4204,2307,4172,2300,4146,2272xm4068,2287l4028,2288,4069,2288,4068,2287xm3918,2173l3895,2189,3894,2208,3931,2217,3943,2261,4017,2261,4014,2251,3995,2230,3993,2229,3989,2226,3981,2216,3982,2198,3999,2197,4001,2186,4003,2180,3968,2180,3941,2178,3931,2178,3922,2175,3918,2173xm3969,2150l3968,2180,4003,2180,4004,2174,3987,2158,3969,2150xe" filled="true" fillcolor="#ffffff" stroked="false">
              <v:path arrowok="t"/>
              <v:fill type="solid"/>
            </v:shape>
            <v:shape style="position:absolute;left:4005;top:2204;width:135;height:120" type="#_x0000_t75" stroked="false">
              <v:imagedata r:id="rId884" o:title=""/>
            </v:shape>
            <v:shape style="position:absolute;left:4193;top:2134;width:479;height:268" coordorigin="4193,2134" coordsize="479,268" path="m4419,2382l4284,2382,4309,2387,4309,2400,4327,2401,4361,2387,4395,2387,4396,2387,4418,2383,4419,2382xm4340,2237l4332,2304,4306,2316,4213,2317,4203,2337,4193,2349,4214,2370,4232,2386,4268,2393,4284,2382,4419,2382,4430,2372,4464,2361,4486,2361,4491,2357,4515,2341,4570,2341,4575,2335,4658,2335,4665,2324,4672,2315,4650,2302,4646,2276,4636,2254,4631,2248,4589,2248,4581,2245,4372,2245,4340,2237xm4395,2387l4361,2387,4378,2393,4395,2387xm4486,2361l4464,2361,4478,2368,4486,2361xm4570,2341l4515,2341,4517,2364,4530,2360,4543,2349,4563,2349,4570,2341xm4563,2349l4543,2349,4554,2360,4563,2349xm4658,2335l4575,2335,4607,2338,4627,2355,4635,2352,4647,2346,4654,2339,4658,2335xm4638,2208l4626,2216,4609,2241,4589,2248,4631,2248,4626,2243,4653,2209,4638,2208xm4394,2148l4391,2154,4388,2160,4384,2164,4384,2165,4385,2166,4390,2167,4400,2169,4388,2187,4396,2230,4372,2245,4581,2245,4574,2241,4556,2241,4550,2218,4567,2211,4567,2200,4562,2194,4532,2194,4541,2166,4541,2165,4524,2155,4521,2151,4430,2151,4394,2148xm4557,2187l4532,2194,4562,2194,4557,2187xm4456,2139l4430,2151,4521,2151,4515,2145,4473,2145,4456,2139xm4498,2134l4473,2145,4515,2145,4510,2140,4498,2134xe" filled="true" fillcolor="#ffffff" stroked="false">
              <v:path arrowok="t"/>
              <v:fill type="solid"/>
            </v:shape>
            <v:shape style="position:absolute;left:3859;top:2355;width:699;height:427" type="#_x0000_t75" stroked="false">
              <v:imagedata r:id="rId885" o:title=""/>
            </v:shape>
            <v:shape style="position:absolute;left:3451;top:2452;width:437;height:574" coordorigin="3451,2452" coordsize="437,574" path="m3619,2990l3590,2990,3597,3025,3603,3025,3619,2997,3619,2990xm3550,2717l3523,2729,3524,2769,3561,2769,3556,2796,3508,2799,3504,2847,3513,2888,3517,2892,3520,2899,3522,2911,3520,2929,3544,2957,3544,2986,3545,2992,3590,2990,3619,2990,3619,2945,3623,2898,3653,2898,3679,2872,3766,2872,3768,2853,3806,2845,3843,2845,3859,2831,3864,2803,3837,2780,3837,2729,3553,2729,3550,2717xm3787,2925l3718,2925,3772,2942,3781,2933,3787,2925xm3766,2872l3710,2872,3704,2904,3700,2932,3718,2925,3787,2925,3796,2914,3794,2893,3764,2883,3766,2872xm3843,2845l3806,2845,3813,2861,3829,2865,3835,2854,3835,2853,3843,2845xm3864,2644l3583,2644,3620,2648,3632,2691,3604,2693,3602,2703,3580,2709,3580,2729,3837,2729,3837,2708,3858,2708,3858,2680,3886,2680,3887,2676,3886,2658,3865,2648,3864,2644xm3886,2680l3858,2680,3884,2684,3886,2680xm3520,2640l3519,2649,3562,2658,3578,2647,3563,2647,3520,2640xm3728,2562l3482,2562,3519,2576,3528,2598,3551,2602,3563,2628,3563,2647,3578,2647,3583,2644,3864,2644,3861,2634,3877,2617,3887,2602,3767,2602,3754,2578,3728,2564,3728,2562xm3797,2569l3779,2574,3767,2602,3887,2602,3888,2601,3868,2595,3866,2592,3809,2592,3797,2569xm3517,2452l3484,2452,3488,2459,3488,2479,3468,2479,3471,2496,3485,2502,3482,2533,3475,2565,3451,2585,3459,2595,3482,2562,3728,2562,3727,2524,3684,2493,3669,2480,3628,2480,3626,2479,3488,2479,3468,2477,3620,2477,3580,2463,3517,2452xm3842,2572l3841,2573,3838,2580,3837,2591,3809,2592,3866,2592,3857,2582,3846,2572,3842,2572xm3657,2469l3628,2480,3669,2480,3657,2469xe" filled="true" fillcolor="#ffffff" stroked="false">
              <v:path arrowok="t"/>
              <v:fill type="solid"/>
            </v:shape>
            <v:shape style="position:absolute;left:3586;top:2854;width:320;height:500" coordorigin="3586,2854" coordsize="320,500" path="m3777,3187l3662,3187,3686,3219,3685,3250,3672,3299,3664,3327,3672,3333,3705,3343,3737,3348,3750,3350,3758,3351,3762,3351,3786,3354,3787,3317,3762,3303,3760,3267,3787,3245,3779,3219,3777,3190,3777,3187xm3820,3103l3627,3103,3644,3121,3647,3160,3632,3169,3610,3181,3615,3190,3662,3187,3777,3187,3812,3132,3816,3119,3820,3103xm3700,2880l3683,2880,3656,2906,3630,2906,3627,2946,3627,3000,3608,3033,3593,3033,3609,3054,3604,3076,3588,3079,3586,3093,3613,3106,3622,3116,3627,3103,3820,3103,3822,3099,3822,3089,3826,3072,3839,3072,3849,3070,3851,3068,3853,3066,3860,3053,3865,3045,3861,3031,3870,2996,3837,2991,3857,2951,3774,2951,3749,2943,3691,2943,3696,2902,3700,2880xm3801,2854l3775,2860,3773,2877,3802,2887,3805,2916,3786,2939,3774,2951,3857,2951,3857,2951,3876,2938,3901,2938,3905,2924,3900,2902,3874,2902,3858,2884,3844,2884,3841,2874,3833,2874,3807,2868,3801,2854xm3718,2934l3691,2943,3749,2943,3718,2934xm3901,2938l3876,2938,3899,2943,3901,2938xm3899,2897l3874,2902,3900,2902,3899,2897xm3838,2865l3833,2874,3841,2874,3838,2865xe" filled="true" fillcolor="#ffffff" stroked="false">
              <v:path arrowok="t"/>
              <v:fill type="solid"/>
            </v:shape>
            <v:shape style="position:absolute;left:3621;top:3333;width:92;height:164" coordorigin="3621,3333" coordsize="92,164" path="m3659,3333l3645,3343,3642,3367,3621,3373,3621,3405,3622,3424,3644,3436,3642,3492,3656,3497,3662,3450,3682,3438,3712,3438,3709,3416,3690,3398,3644,3398,3649,3373,3673,3357,3684,3345,3668,3339,3659,3333xm3678,3387l3644,3398,3690,3398,3678,3387xe" filled="true" fillcolor="#ffffff" stroked="false">
              <v:path arrowok="t"/>
              <v:fill type="solid"/>
            </v:shape>
            <v:shape style="position:absolute;left:3545;top:2999;width:45;height:58" coordorigin="3545,2999" coordsize="45,58" path="m3583,2999l3546,3000,3549,3016,3545,3045,3556,3056,3589,3029,3583,2999xe" filled="true" fillcolor="#ffffff" stroked="false">
              <v:path arrowok="t"/>
              <v:fill type="solid"/>
            </v:shape>
            <v:shape style="position:absolute;left:3514;top:2098;width:416;height:487" coordorigin="3514,2098" coordsize="416,487" path="m3878,2560l3802,2560,3814,2584,3830,2583,3831,2576,3834,2564,3873,2564,3877,2564,3878,2560xm3842,2460l3659,2460,3689,2486,3735,2520,3736,2559,3760,2572,3766,2584,3773,2567,3802,2560,3878,2560,3885,2532,3895,2521,3870,2521,3853,2504,3863,2485,3856,2478,3842,2460xm3873,2564l3844,2564,3847,2565,3850,2567,3855,2567,3869,2565,3873,2564xm3903,2485l3893,2487,3870,2521,3895,2521,3897,2518,3903,2485xm3684,2226l3565,2226,3568,2249,3598,2292,3570,2324,3523,2370,3525,2382,3536,2400,3514,2423,3522,2444,3582,2456,3628,2471,3659,2460,3842,2460,3841,2459,3846,2444,3921,2444,3921,2444,3919,2438,3901,2438,3867,2431,3863,2423,3844,2423,3823,2399,3842,2382,3854,2373,3834,2350,3848,2319,3738,2319,3710,2306,3713,2288,3706,2288,3680,2279,3662,2252,3679,2227,3684,2226xm3921,2444l3846,2444,3919,2454,3921,2444xm3913,2428l3901,2438,3919,2438,3913,2428xm3862,2422l3844,2423,3863,2423,3862,2422xm3785,2279l3785,2290,3738,2319,3848,2319,3852,2308,3852,2299,3830,2299,3812,2281,3785,2279xm3894,2216l3893,2220,3876,2222,3863,2253,3835,2257,3830,2299,3852,2299,3852,2284,3880,2275,3895,2265,3899,2244,3913,2228,3926,2228,3925,2223,3894,2216xm3713,2287l3706,2288,3713,2288,3713,2287xm3926,2228l3913,2228,3929,2240,3926,2228xm3549,2126l3527,2130,3535,2147,3535,2166,3544,2185,3524,2187,3538,2213,3549,2229,3565,2226,3684,2226,3698,2223,3705,2216,3684,2207,3675,2200,3661,2190,3653,2190,3651,2189,3644,2181,3645,2169,3645,2163,3606,2129,3604,2126,3549,2126,3549,2126xm3572,2098l3577,2116,3549,2126,3604,2126,3590,2101,3572,2098xe" filled="true" fillcolor="#ffffff" stroked="false">
              <v:path arrowok="t"/>
              <v:fill type="solid"/>
            </v:shape>
            <v:shape style="position:absolute;left:3175;top:3425;width:287;height:225" type="#_x0000_t75" stroked="false">
              <v:imagedata r:id="rId886" o:title=""/>
            </v:shape>
            <v:shape style="position:absolute;left:4144;top:2873;width:120;height:181" type="#_x0000_t75" stroked="false">
              <v:imagedata r:id="rId887" o:title=""/>
            </v:shape>
            <v:shape style="position:absolute;left:3860;top:3060;width:441;height:197" coordorigin="3860,3060" coordsize="441,197" path="m4009,3064l4005,3072,3989,3117,3935,3154,3886,3205,3860,3256,3906,3252,3912,3232,4014,3232,4014,3206,4076,3206,4084,3197,4071,3180,4097,3178,4107,3164,4093,3155,4105,3135,4169,3135,4170,3131,4157,3131,4124,3124,4123,3105,4097,3105,4066,3103,4065,3069,4060,3067,4009,3067,4009,3064xm4014,3232l3912,3232,4014,3237,4014,3232xm4076,3206l4014,3206,4074,3208,4076,3206xm4169,3135l4105,3135,4138,3137,4168,3139,4169,3135xm4244,3061l4229,3070,4214,3074,4200,3081,4195,3099,4181,3110,4161,3110,4157,3131,4170,3131,4173,3120,4216,3107,4299,3107,4297,3095,4297,3070,4277,3063,4244,3063,4244,3061xm4299,3107l4216,3107,4232,3117,4284,3117,4294,3119,4301,3120,4299,3107xm4122,3098l4097,3105,4123,3105,4122,3098xm4054,3065l4009,3067,4060,3067,4054,3065xm4269,3060l4244,3063,4277,3063,4269,3060xe" filled="true" fillcolor="#ffffff" stroked="false">
              <v:path arrowok="t"/>
              <v:fill type="solid"/>
            </v:shape>
            <v:shape style="position:absolute;left:4011;top:2937;width:320;height:359" type="#_x0000_t75" stroked="false">
              <v:imagedata r:id="rId888" o:title=""/>
            </v:shape>
            <v:shape style="position:absolute;left:4636;top:1750;width:555;height:593" type="#_x0000_t75" stroked="false">
              <v:imagedata r:id="rId889" o:title=""/>
            </v:shape>
            <v:shape style="position:absolute;left:4889;top:1438;width:350;height:438" coordorigin="4889,1438" coordsize="350,438" path="m5161,1667l4976,1667,5018,1678,5040,1689,5017,1716,4992,1721,4986,1722,4998,1731,4987,1753,5002,1762,5000,1791,5020,1796,5018,1843,5044,1858,5055,1866,5067,1874,5072,1876,5074,1870,5077,1853,5080,1837,5088,1788,5113,1774,5157,1736,5222,1736,5217,1700,5200,1693,5161,1667xm5222,1736l5157,1736,5163,1760,5165,1782,5209,1761,5223,1742,5222,1736xm4907,1624l4889,1645,4908,1651,4908,1659,4911,1665,4914,1670,4976,1667,5161,1667,5161,1666,5133,1665,5139,1639,5171,1639,5178,1632,5083,1632,5079,1625,4934,1625,4907,1624xm5171,1639l5139,1639,5168,1642,5171,1639xm5150,1438l5139,1464,5124,1464,5121,1489,5134,1497,5117,1552,5109,1578,5122,1593,5134,1627,5083,1632,5178,1632,5211,1599,5236,1596,5239,1569,5228,1542,5233,1511,5198,1505,5203,1484,5150,1438xm4980,1498l4926,1506,4927,1516,4948,1520,4969,1526,4992,1546,4974,1574,4963,1594,4942,1603,4934,1625,5079,1625,5077,1623,5030,1623,5015,1602,5017,1532,4989,1523,4980,1498xm5081,1536l5052,1548,5053,1575,5037,1580,5030,1623,5077,1623,5070,1612,5086,1561,5081,1536xe" filled="true" fillcolor="#ffffff" stroked="false">
              <v:path arrowok="t"/>
              <v:fill type="solid"/>
            </v:shape>
            <v:shape style="position:absolute;left:4396;top:1508;width:631;height:732" type="#_x0000_t75" stroked="false">
              <v:imagedata r:id="rId890" o:title=""/>
            </v:shape>
            <v:shape style="position:absolute;left:3989;top:1842;width:476;height:468" coordorigin="3989,1842" coordsize="476,468" path="m4108,2195l4047,2195,4080,2199,4108,2216,4127,2237,4151,2266,4177,2293,4209,2300,4214,2309,4305,2308,4325,2299,4333,2228,4385,2228,4387,2226,4382,2203,4163,2203,4110,2199,4108,2195xm4385,2228l4333,2228,4371,2236,4385,2228xm4011,2178l4009,2188,4006,2205,3990,2205,3989,2214,3993,2218,3997,2222,3998,2223,4000,2223,4017,2218,4020,2216,4022,2213,4049,2212,4047,2195,4108,2195,4107,2191,4059,2191,4036,2188,4011,2178xm4394,2121l4168,2121,4226,2122,4204,2144,4187,2181,4163,2203,4382,2203,4379,2186,4387,2174,4383,2173,4378,2171,4376,2165,4376,2162,4380,2158,4384,2151,4388,2139,4392,2125,4394,2121xm4064,2163l4059,2191,4107,2191,4098,2173,4064,2163xm4201,2049l4180,2054,4155,2074,4104,2082,4109,2088,4131,2097,4124,2129,4168,2121,4394,2121,4395,2113,4398,2091,4274,2091,4233,2077,4219,2053,4201,2049xm4444,1842l4390,1856,4386,1863,4385,1886,4342,1895,4329,1903,4338,1934,4311,1934,4309,1952,4292,1990,4291,1993,4277,2014,4272,2019,4271,2027,4271,2043,4272,2063,4274,2085,4274,2091,4398,2091,4403,2050,4422,2010,4448,1997,4446,1991,4445,1984,4445,1981,4446,1968,4465,1954,4454,1936,4454,1934,4338,1934,4311,1932,4454,1932,4454,1904,4465,1869,4465,1851,4444,1842xe" filled="true" fillcolor="#ffffff" stroked="false">
              <v:path arrowok="t"/>
              <v:fill type="solid"/>
            </v:shape>
            <v:shape style="position:absolute;left:3946;top:1772;width:438;height:308" coordorigin="3946,1772" coordsize="438,308" path="m4263,2041l4201,2041,4225,2046,4239,2071,4265,2079,4264,2058,4263,2041xm4170,2052l4075,2052,4091,2068,4099,2075,4152,2066,4170,2052xm4324,1914l4049,1914,4038,1952,4052,1967,4075,1993,4095,2000,4062,2024,4054,2038,4052,2055,4075,2052,4170,2052,4176,2046,4201,2041,4263,2041,4263,2037,4263,2022,4266,2013,4270,2010,4281,1992,4285,1986,4302,1950,4304,1923,4327,1923,4324,1914xm4327,1923l4304,1923,4327,1925,4327,1923xm3965,1783l3956,1794,3956,1806,3965,1825,3950,1866,3946,1887,3969,1900,3990,1923,4008,1919,4049,1914,4324,1914,4320,1900,4340,1888,4378,1880,4378,1861,4379,1860,4333,1860,4318,1835,4131,1835,4125,1812,4112,1802,4086,1802,4082,1800,4001,1800,3965,1783xm4374,1821l4356,1825,4333,1860,4379,1860,4384,1852,4380,1830,4374,1821xm4246,1790l4162,1790,4155,1802,4176,1830,4131,1835,4318,1835,4318,1834,4311,1818,4293,1818,4280,1797,4246,1790xm4310,1815l4293,1818,4311,1818,4310,1815xm4106,1798l4086,1802,4112,1802,4106,1798xm4032,1772l4001,1800,4082,1800,4070,1793,4032,1772xe" filled="true" fillcolor="#ffffff" stroked="false">
              <v:path arrowok="t"/>
              <v:fill type="solid"/>
            </v:shape>
            <v:shape style="position:absolute;left:4092;top:1354;width:262;height:244" type="#_x0000_t75" stroked="false">
              <v:imagedata r:id="rId891" o:title=""/>
            </v:shape>
            <v:shape style="position:absolute;left:3073;top:1054;width:1296;height:899" type="#_x0000_t75" stroked="false">
              <v:imagedata r:id="rId892" o:title=""/>
            </v:shape>
            <v:shape style="position:absolute;left:3092;top:1864;width:288;height:232" type="#_x0000_t75" stroked="false">
              <v:imagedata r:id="rId893" o:title=""/>
            </v:shape>
            <v:shape style="position:absolute;left:2873;top:2020;width:488;height:903" coordorigin="2873,2020" coordsize="488,903" path="m3300,2437l2954,2437,2994,2481,3002,2489,3004,2542,3018,2569,2995,2569,2998,2580,3004,2592,2997,2599,2997,2620,3026,2661,3012,2681,2999,2681,2966,2722,2934,2732,2938,2748,2919,2758,2919,2770,2933,2796,2929,2816,2940,2833,2953,2873,2948,2895,2950,2912,2951,2922,2975,2907,2992,2901,3037,2901,3037,2894,3031,2867,3057,2861,3079,2819,3301,2819,3296,2787,3287,2750,3273,2724,3252,2722,3251,2683,3252,2647,3181,2647,3152,2625,3139,2619,3096,2619,3086,2589,3088,2574,3072,2570,3046,2559,3037,2555,3014,2555,3010,2548,3024,2540,3120,2540,3121,2504,3137,2483,3256,2483,3290,2460,3300,2437xm3037,2901l2992,2901,3002,2915,3039,2918,3037,2901xm3360,2872l3270,2872,3306,2885,3330,2905,3339,2914,3360,2887,3360,2872xm3337,2835l3227,2835,3247,2866,3248,2891,3248,2900,3265,2901,3270,2872,3360,2872,3360,2854,3337,2835xm3301,2822l3176,2822,3196,2852,3207,2859,3227,2835,3337,2835,3336,2834,3302,2825,3301,2822xm3301,2819l3079,2819,3111,2840,3140,2840,3176,2822,3301,2822,3301,2819xm3223,2643l3214,2643,3181,2647,3252,2647,3252,2645,3223,2643xm3136,2618l3096,2619,3139,2619,3136,2618xm3120,2540l3024,2540,3049,2552,3074,2563,3103,2569,3119,2550,3119,2548,3120,2540xm3242,2547l3214,2547,3231,2556,3238,2551,3242,2547xm3025,2549l3014,2555,3037,2555,3025,2549xm3246,2506l3194,2506,3200,2511,3201,2513,3201,2521,3195,2548,3192,2550,3190,2551,3188,2552,3202,2552,3214,2547,3242,2547,3245,2545,3246,2543,3246,2539,3245,2516,3246,2506xm3256,2483l3137,2483,3158,2490,3162,2507,3175,2506,3194,2506,3246,2506,3248,2488,3256,2483xm2933,2131l2923,2160,2900,2165,2889,2182,2873,2209,2897,2233,2897,2249,2917,2292,2900,2314,2909,2344,2909,2362,2923,2381,2923,2406,2938,2421,2933,2446,2935,2446,2954,2437,3300,2437,3302,2432,3328,2427,3336,2402,3337,2393,3275,2393,3260,2372,3217,2352,3223,2313,3226,2279,3250,2255,3233,2245,3217,2228,3194,2219,3209,2206,3212,2176,3012,2176,2977,2159,2941,2159,2943,2132,2933,2131xm3314,2380l3305,2389,3275,2393,3337,2393,3338,2386,3314,2380xm3102,2055l3102,2056,3098,2072,3097,2114,3068,2115,3064,2144,3026,2144,3012,2176,3212,2176,3214,2150,3215,2144,3215,2140,3216,2138,3220,2134,3230,2134,3237,2125,3234,2114,3230,2102,3228,2100,3224,2094,3223,2091,3154,2091,3122,2064,3102,2055xm3230,2134l3220,2134,3226,2134,3230,2135,3230,2134xm3199,2020l3196,2033,3191,2049,3184,2056,3172,2057,3163,2057,3154,2091,3223,2091,3219,2083,3214,2071,3209,2059,3222,2046,3210,2046,3199,2020xe" filled="true" fillcolor="#ffffff" stroked="false">
              <v:path arrowok="t"/>
              <v:fill type="solid"/>
            </v:shape>
            <v:shape style="position:absolute;left:2807;top:2730;width:457;height:306" coordorigin="2807,2730" coordsize="457,306" path="m3055,2957l3034,2957,3032,2984,3032,2988,3036,3018,3037,3033,3054,3036,3045,3011,3052,3005,3060,2997,3049,2987,3055,2958,3055,2957xm3233,3028l3222,3028,3234,3034,3233,3028xm3254,2951l3155,2951,3181,2955,3176,2983,3170,2988,3205,2995,3186,3021,3190,3030,3222,3028,3233,3028,3227,3004,3245,2998,3241,2971,3254,2951xm3056,2943l2931,2943,2953,2944,2971,2966,2971,2990,2981,2984,2984,2960,3009,2960,3034,2957,3055,2957,3056,2943xm3260,2938l3087,2938,3107,2957,3155,2951,3254,2951,3259,2944,3260,2938xm2945,2874l2855,2874,2866,2890,2864,2908,2863,2912,2863,2916,2863,2918,2870,2918,2880,2927,2882,2929,2905,2951,2911,2955,2931,2943,3056,2943,3056,2940,3087,2938,3260,2938,3260,2937,2943,2937,2943,2912,2940,2895,2945,2874xm2989,2910l2979,2915,2943,2937,3260,2937,3261,2927,3048,2927,2997,2923,2989,2910xm3082,2830l3062,2868,3040,2873,3045,2893,3048,2927,3261,2927,3263,2909,3240,2908,3240,2890,3239,2870,3209,2870,3190,2857,3184,2848,3109,2848,3082,2830xm2888,2730l2875,2745,2844,2745,2841,2765,2832,2786,2807,2811,2814,2829,2831,2845,2816,2868,2832,2880,2855,2874,2945,2874,2945,2874,2932,2835,2921,2817,2925,2797,2911,2772,2911,2753,2929,2744,2926,2733,2888,2730xm3226,2849l3209,2870,3239,2870,3239,2868,3226,2849xm3174,2832l3141,2848,3184,2848,3174,2832xe" filled="true" fillcolor="#ffffff" stroked="false">
              <v:path arrowok="t"/>
              <v:fill type="solid"/>
            </v:shape>
            <v:shape style="position:absolute;left:2636;top:2875;width:368;height:539" type="#_x0000_t75" stroked="false">
              <v:imagedata r:id="rId894" o:title=""/>
            </v:shape>
            <v:shape style="position:absolute;left:2276;top:3349;width:1696;height:1337" type="#_x0000_t75" stroked="false">
              <v:imagedata r:id="rId895" o:title=""/>
            </v:shape>
            <v:shape style="position:absolute;left:3815;top:3665;width:332;height:339" type="#_x0000_t75" stroked="false">
              <v:imagedata r:id="rId896" o:title=""/>
            </v:shape>
            <v:shape style="position:absolute;left:4060;top:2205;width:1668;height:1843" type="#_x0000_t75" stroked="false">
              <v:imagedata r:id="rId897" o:title=""/>
            </v:shape>
            <v:shape style="position:absolute;left:5226;top:2948;width:628;height:625" type="#_x0000_t75" stroked="false">
              <v:imagedata r:id="rId898" o:title=""/>
            </v:shape>
            <v:shape style="position:absolute;left:5177;top:2673;width:652;height:297" coordorigin="5177,2673" coordsize="652,297" path="m5767,2833l5670,2833,5712,2857,5734,2952,5755,2958,5771,2970,5798,2949,5828,2941,5820,2931,5767,2833xm5769,2806l5246,2806,5253,2835,5267,2845,5286,2864,5323,2900,5360,2904,5382,2883,5398,2870,5493,2870,5501,2853,5622,2853,5621,2844,5670,2833,5767,2833,5765,2829,5769,2806xm5492,2872l5426,2872,5449,2880,5438,2899,5454,2903,5471,2876,5491,2875,5492,2872xm5622,2853l5501,2853,5522,2879,5506,2894,5508,2903,5513,2903,5518,2903,5519,2902,5521,2900,5548,2870,5624,2870,5622,2853xm5624,2870l5548,2870,5574,2889,5603,2875,5624,2872,5624,2870xm5493,2870l5398,2870,5410,2882,5426,2872,5492,2872,5493,2870xm5245,2714l5240,2725,5235,2739,5230,2749,5226,2755,5221,2757,5210,2759,5195,2760,5177,2761,5178,2776,5218,2817,5246,2806,5769,2806,5772,2782,5325,2782,5325,2773,5325,2762,5337,2750,5333,2745,5316,2741,5301,2737,5285,2731,5272,2726,5265,2722,5264,2721,5254,2717,5245,2714xm5379,2728l5371,2739,5362,2758,5343,2782,5772,2782,5774,2774,5792,2773,5806,2763,5803,2754,5790,2752,5777,2739,5775,2729,5399,2729,5379,2728xm5398,2715l5399,2729,5775,2729,5774,2719,5430,2719,5398,2715xm5498,2687l5440,2699,5430,2719,5774,2719,5773,2716,5772,2709,5532,2709,5509,2697,5498,2687xm5566,2680l5546,2693,5532,2709,5772,2709,5772,2708,5656,2708,5648,2703,5618,2703,5585,2699,5566,2680xm5680,2673l5676,2691,5656,2708,5772,2708,5771,2698,5726,2698,5711,2681,5680,2673xm5627,2689l5618,2703,5648,2703,5627,2689xm5750,2686l5726,2698,5771,2698,5771,2695,5750,2686xe" filled="true" fillcolor="#ffffff" stroked="false">
              <v:path arrowok="t"/>
              <v:fill type="solid"/>
            </v:shape>
            <v:shape style="position:absolute;left:5110;top:2399;width:701;height:300" coordorigin="5110,2399" coordsize="701,300" path="m5671,2678l5624,2678,5655,2698,5669,2686,5671,2678xm5673,2670l5567,2670,5589,2692,5614,2694,5624,2678,5671,2678,5673,2670xm5770,2663l5674,2663,5715,2674,5728,2688,5750,2677,5769,2677,5770,2663xm5769,2677l5750,2677,5769,2686,5769,2685,5769,2677xm5770,2622l5371,2622,5395,2636,5431,2657,5471,2657,5514,2671,5543,2685,5567,2670,5673,2670,5674,2663,5770,2663,5770,2622xm5765,2570l5267,2570,5289,2591,5298,2640,5330,2644,5371,2622,5770,2622,5770,2618,5794,2616,5802,2616,5796,2608,5765,2570xm5110,2543l5116,2630,5177,2642,5196,2625,5198,2608,5192,2586,5267,2570,5765,2570,5760,2565,5760,2565,5752,2553,5730,2549,5726,2544,5118,2544,5114,2544,5110,2543xm5802,2616l5794,2616,5809,2630,5811,2628,5802,2616xm5296,2423l5292,2438,5276,2480,5236,2485,5157,2522,5149,2528,5139,2535,5129,2542,5121,2544,5726,2544,5704,2520,5661,2479,5547,2479,5547,2458,5541,2449,5535,2440,5533,2440,5360,2440,5311,2438,5305,2425,5296,2423xm5570,2435l5569,2454,5547,2479,5661,2479,5647,2465,5637,2463,5624,2461,5612,2457,5605,2453,5591,2439,5570,2435xm5398,2403l5392,2426,5360,2440,5533,2440,5533,2440,5531,2440,5529,2439,5525,2434,5526,2427,5527,2423,5521,2411,5447,2411,5425,2409,5398,2403xm5532,2440l5531,2440,5533,2440,5532,2440xm5458,2399l5447,2411,5521,2411,5519,2407,5480,2407,5458,2399xm5517,2402l5480,2407,5519,2407,5517,2402xe" filled="true" fillcolor="#ffffff" stroked="false">
              <v:path arrowok="t"/>
              <v:fill type="solid"/>
            </v:shape>
            <v:shape style="position:absolute;left:5389;top:2055;width:431;height:502" type="#_x0000_t75" stroked="false">
              <v:imagedata r:id="rId899" o:title=""/>
            </v:shape>
            <v:shape style="position:absolute;left:5383;top:1776;width:479;height:351" coordorigin="5383,1776" coordsize="479,351" path="m5592,2018l5556,2018,5584,2039,5560,2060,5541,2079,5532,2103,5552,2110,5562,2126,5564,2119,5566,2088,5632,2088,5664,2067,5671,2055,5626,2055,5587,2027,5592,2018xm5804,2082l5787,2082,5810,2100,5803,2083,5804,2082xm5632,2088l5566,2088,5630,2089,5632,2088xm5851,2046l5678,2046,5743,2060,5768,2085,5787,2082,5804,2082,5816,2057,5849,2056,5851,2046xm5709,1928l5689,1963,5656,1996,5626,2055,5671,2055,5678,2046,5851,2046,5857,2008,5861,1995,5833,1961,5833,1949,5813,1949,5812,1939,5723,1939,5709,1928xm5544,2029l5520,2029,5538,2034,5544,2029xm5402,1959l5389,1974,5383,1987,5420,2003,5458,2028,5496,2032,5496,2030,5520,2029,5544,2029,5556,2018,5592,2018,5602,1999,5605,1995,5472,1995,5441,1992,5426,1983,5417,1967,5402,1959xm5451,1925l5448,1930,5451,1940,5464,1949,5491,1958,5472,1995,5605,1995,5625,1957,5600,1951,5570,1935,5472,1935,5451,1925xm5833,1948l5813,1949,5833,1949,5833,1948xm5738,1926l5723,1939,5812,1939,5811,1934,5765,1934,5738,1926xm5475,1811l5466,1836,5475,1845,5460,1874,5464,1885,5487,1895,5472,1935,5570,1935,5562,1931,5564,1905,5532,1902,5537,1843,5594,1843,5595,1842,5613,1833,5613,1831,5514,1831,5475,1811xm5783,1919l5765,1934,5811,1934,5811,1929,5783,1919xm5594,1843l5537,1843,5546,1855,5556,1859,5568,1864,5573,1864,5578,1865,5581,1866,5586,1860,5594,1843xm5537,1776l5513,1796,5514,1831,5613,1831,5613,1802,5596,1791,5561,1791,5537,1776xm5591,1789l5561,1791,5596,1791,5591,1789xe" filled="true" fillcolor="#ffffff" stroked="false">
              <v:path arrowok="t"/>
              <v:fill type="solid"/>
            </v:shape>
            <v:line style="position:absolute" from="6311,1436" to="5228,3058" stroked="true" strokeweight=".25pt" strokecolor="#231f20"/>
            <v:line style="position:absolute" from="5271,3160" to="6494,1806" stroked="true" strokeweight=".25pt" strokecolor="#231f20"/>
            <v:line style="position:absolute" from="5470,3044" to="7265,1378" stroked="true" strokeweight=".25pt" strokecolor="#231f20"/>
            <v:line style="position:absolute" from="5493,3048" to="7354,1396" stroked="true" strokeweight=".25pt" strokecolor="#231f20"/>
            <v:line style="position:absolute" from="5302,3158" to="6583,1806" stroked="true" strokeweight=".25pt" strokecolor="#231f20"/>
            <v:line style="position:absolute" from="5223,3100" to="6320,1587" stroked="true" strokeweight=".25pt" strokecolor="#231f20"/>
            <v:shape style="position:absolute;left:1895;top:1537;width:949;height:171" type="#_x0000_t75" stroked="false">
              <v:imagedata r:id="rId900" o:title=""/>
            </v:shape>
            <v:shape style="position:absolute;left:4272;top:1127;width:121;height:154" type="#_x0000_t75" stroked="false">
              <v:imagedata r:id="rId901" o:title=""/>
            </v:shape>
            <v:shape style="position:absolute;left:4413;top:1118;width:561;height:211" type="#_x0000_t75" stroked="false">
              <v:imagedata r:id="rId902" o:title=""/>
            </v:shape>
            <v:line style="position:absolute" from="6001,2007" to="6001,2142" stroked="true" strokeweight="1.054pt" strokecolor="#231f20"/>
            <v:line style="position:absolute" from="5938,1997" to="6063,1997" stroked="true" strokeweight=".918pt" strokecolor="#231f20"/>
            <v:line style="position:absolute" from="6090,1988" to="6090,2142" stroked="true" strokeweight=".944pt" strokecolor="#231f20"/>
            <v:shape style="position:absolute;left:6123;top:2027;width:107;height:119" coordorigin="6123,2027" coordsize="107,119" path="m6214,2043l6180,2043,6187,2045,6196,2051,6198,2055,6198,2065,6198,2067,6197,2069,6195,2072,6192,2074,6147,2080,6139,2083,6126,2094,6123,2103,6123,2122,6126,2130,6139,2143,6148,2146,6167,2146,6175,2144,6189,2137,6195,2133,6196,2130,6157,2130,6152,2129,6144,2122,6142,2118,6142,2105,6145,2100,6155,2095,6160,2093,6178,2091,6181,2091,6185,2090,6192,2088,6195,2087,6197,2085,6216,2085,6216,2048,6214,2043xm6217,2128l6198,2128,6199,2132,6200,2135,6205,2143,6209,2145,6221,2145,6224,2144,6226,2144,6229,2143,6229,2130,6220,2130,6218,2129,6217,2128xm6216,2085l6197,2085,6197,2112,6192,2120,6182,2126,6176,2129,6169,2130,6196,2130,6198,2128,6217,2128,6217,2127,6216,2126,6216,2085xm6229,2129l6228,2129,6227,2129,6220,2130,6229,2130,6229,2129xm6185,2027l6161,2027,6151,2030,6133,2041,6129,2051,6128,2064,6146,2064,6147,2059,6148,2054,6151,2051,6155,2046,6162,2043,6214,2043,6212,2040,6196,2030,6185,2027xe" filled="true" fillcolor="#231f20" stroked="false">
              <v:path arrowok="t"/>
              <v:fill type="solid"/>
            </v:shape>
            <v:shape style="position:absolute;left:6235;top:2030;width:104;height:113" coordorigin="6235,2030" coordsize="104,113" path="m6261,2030l6237,2030,6274,2085,6235,2142,6259,2142,6286,2100,6309,2100,6298,2085,6309,2070,6287,2070,6261,2030xm6309,2100l6286,2100,6314,2142,6338,2142,6309,2100xm6313,2030l6287,2070,6309,2070,6336,2031,6313,2030xe" filled="true" fillcolor="#231f20" stroked="false">
              <v:path arrowok="t"/>
              <v:fill type="solid"/>
            </v:shape>
            <v:shape style="position:absolute;left:6347;top:2027;width:97;height:119" coordorigin="6347,2027" coordsize="97,119" path="m6411,2027l6398,2027,6387,2028,6378,2031,6369,2036,6361,2043,6355,2052,6351,2063,6348,2075,6347,2089,6348,2101,6350,2111,6354,2121,6360,2130,6369,2140,6381,2146,6408,2146,6419,2142,6435,2129,6387,2129,6379,2126,6370,2110,6367,2101,6367,2078,6369,2069,6377,2050,6386,2044,6438,2044,6437,2042,6421,2030,6411,2027xm6443,2103l6425,2103,6423,2111,6420,2117,6411,2127,6405,2129,6435,2129,6436,2128,6441,2118,6443,2103xm6438,2044l6407,2044,6413,2046,6421,2055,6424,2061,6425,2068,6443,2068,6442,2053,6438,2044xe" filled="true" fillcolor="#231f20" stroked="false">
              <v:path arrowok="t"/>
              <v:fill type="solid"/>
            </v:shape>
            <v:shape style="position:absolute;left:6457;top:2027;width:107;height:119" coordorigin="6457,2027" coordsize="107,119" path="m6548,2043l6514,2043,6521,2045,6530,2051,6532,2055,6532,2065,6532,2067,6531,2069,6530,2072,6527,2074,6482,2080,6473,2083,6460,2094,6457,2103,6457,2122,6460,2130,6473,2143,6482,2146,6501,2146,6509,2144,6523,2137,6529,2133,6531,2130,6491,2130,6487,2129,6479,2122,6477,2118,6477,2105,6480,2100,6489,2095,6494,2093,6512,2091,6516,2091,6519,2090,6527,2088,6529,2087,6532,2085,6551,2085,6551,2048,6548,2043xm6552,2128l6533,2128,6533,2132,6534,2135,6539,2143,6544,2145,6555,2145,6558,2144,6560,2144,6563,2143,6563,2130,6554,2130,6553,2129,6552,2128xm6551,2085l6532,2085,6532,2112,6527,2120,6516,2126,6510,2129,6503,2130,6531,2130,6533,2128,6552,2128,6551,2127,6551,2126,6551,2085xm6563,2129l6562,2129,6561,2129,6554,2130,6563,2130,6563,2129xm6519,2027l6495,2027,6485,2030,6468,2041,6463,2051,6463,2064,6480,2064,6481,2059,6483,2054,6485,2051,6489,2046,6496,2043,6548,2043,6547,2040,6530,2030,6519,2027xe" filled="true" fillcolor="#231f20" stroked="false">
              <v:path arrowok="t"/>
              <v:fill type="solid"/>
            </v:shape>
            <v:line style="position:absolute" from="6592,1988" to="6592,2142" stroked="true" strokeweight=".944pt" strokecolor="#231f20"/>
            <v:shape style="position:absolute;left:6624;top:2027;width:107;height:119" coordorigin="6624,2027" coordsize="107,119" path="m6716,2043l6682,2043,6688,2045,6697,2051,6700,2055,6700,2065,6699,2067,6698,2069,6697,2072,6694,2074,6649,2080,6640,2083,6627,2094,6624,2103,6624,2122,6627,2130,6641,2143,6649,2146,6668,2146,6676,2144,6691,2137,6696,2133,6698,2130,6659,2130,6654,2129,6646,2122,6644,2118,6644,2105,6647,2100,6656,2095,6661,2093,6679,2091,6683,2091,6686,2090,6694,2088,6697,2087,6699,2085,6718,2085,6718,2048,6716,2043xm6719,2128l6700,2128,6701,2132,6702,2135,6706,2143,6711,2145,6722,2145,6725,2144,6727,2144,6730,2143,6730,2130,6722,2130,6720,2129,6719,2128xm6718,2085l6699,2085,6699,2112,6694,2120,6683,2126,6677,2129,6671,2130,6698,2130,6700,2128,6719,2128,6718,2127,6718,2126,6718,2085xm6730,2129l6729,2129,6728,2129,6722,2130,6730,2130,6730,2129xm6687,2027l6662,2027,6652,2030,6635,2041,6630,2051,6630,2064,6648,2064,6648,2059,6650,2054,6653,2051,6656,2046,6663,2043,6716,2043,6714,2040,6697,2030,6687,2027xe" filled="true" fillcolor="#231f20" stroked="false">
              <v:path arrowok="t"/>
              <v:fill type="solid"/>
            </v:shape>
            <v:shape style="position:absolute;left:6511;top:3220;width:475;height:159" type="#_x0000_t75" stroked="false">
              <v:imagedata r:id="rId903" o:title=""/>
            </v:shape>
            <v:shape style="position:absolute;left:7009;top:3211;width:148;height:173" type="#_x0000_t75" stroked="false">
              <v:imagedata r:id="rId904" o:title=""/>
            </v:shape>
            <v:shape style="position:absolute;left:1612;top:2508;width:148;height:155" coordorigin="1612,2508" coordsize="148,155" path="m1642,2508l1612,2508,1612,2662,1632,2662,1632,2562,1632,2548,1631,2532,1650,2532,1642,2508xm1650,2532l1631,2532,1676,2662,1697,2662,1705,2638,1686,2638,1650,2532xm1760,2532l1741,2532,1740,2562,1740,2662,1760,2662,1760,2532xm1760,2508l1730,2508,1686,2638,1705,2638,1741,2532,1760,2532,1760,2508xe" filled="true" fillcolor="#231f20" stroked="false">
              <v:path arrowok="t"/>
              <v:fill type="solid"/>
            </v:shape>
            <v:line style="position:absolute" from="1789,2518" to="1808,2518" stroked="true" strokeweight="1.07pt" strokecolor="#231f20"/>
            <v:line style="position:absolute" from="1799,2550" to="1799,2662" stroked="true" strokeweight=".959pt" strokecolor="#231f20"/>
            <v:shape style="position:absolute;left:1829;top:2546;width:97;height:119" coordorigin="1829,2546" coordsize="97,119" path="m1893,2546l1880,2546,1870,2547,1860,2550,1851,2556,1844,2563,1837,2572,1833,2582,1830,2595,1829,2609,1830,2620,1832,2631,1837,2640,1842,2649,1851,2660,1863,2665,1891,2665,1901,2662,1917,2649,1869,2649,1861,2645,1852,2630,1849,2620,1849,2598,1851,2588,1860,2569,1868,2563,1920,2563,1919,2562,1903,2549,1893,2546xm1925,2622l1907,2622,1905,2630,1902,2637,1893,2646,1887,2649,1917,2649,1918,2648,1923,2637,1925,2622xm1920,2563l1889,2563,1895,2565,1903,2575,1906,2580,1907,2587,1925,2587,1924,2572,1920,2563xe" filled="true" fillcolor="#231f20" stroked="false">
              <v:path arrowok="t"/>
              <v:fill type="solid"/>
            </v:shape>
            <v:shape style="position:absolute;left:1944;top:2507;width:92;height:155" coordorigin="1944,2507" coordsize="92,155" path="m1963,2507l1944,2507,1944,2662,1963,2662,1963,2587,1966,2577,1979,2566,1983,2565,1963,2565,1963,2507xm2031,2564l2003,2564,2010,2567,2013,2573,2015,2577,2016,2583,2016,2662,2036,2662,2036,2579,2034,2570,2031,2564xm2014,2547l1989,2547,1981,2549,1972,2555,1968,2559,1963,2565,1983,2565,1986,2564,2031,2564,2025,2552,2014,2547xe" filled="true" fillcolor="#231f20" stroked="false">
              <v:path arrowok="t"/>
              <v:fill type="solid"/>
            </v:shape>
            <v:shape style="position:absolute;left:2056;top:2546;width:104;height:120" coordorigin="2056,2546" coordsize="104,120" path="m2123,2546l2109,2546,2097,2547,2087,2550,2078,2556,2070,2563,2064,2572,2060,2583,2057,2595,2056,2608,2057,2621,2059,2632,2064,2642,2070,2650,2079,2661,2091,2666,2106,2666,2119,2665,2130,2661,2139,2656,2146,2650,2097,2650,2088,2646,2078,2630,2075,2620,2076,2595,2078,2585,2088,2567,2097,2563,2147,2563,2145,2561,2135,2551,2123,2546xm2147,2563l2121,2563,2130,2568,2139,2585,2140,2593,2140,2616,2138,2626,2129,2645,2120,2650,2146,2650,2147,2648,2153,2639,2157,2628,2159,2616,2160,2603,2159,2590,2156,2579,2152,2569,2147,2563xe" filled="true" fillcolor="#231f20" stroked="false">
              <v:path arrowok="t"/>
              <v:fill type="solid"/>
            </v:shape>
            <v:shape style="position:absolute;left:2178;top:2547;width:107;height:119" coordorigin="2178,2547" coordsize="107,119" path="m2269,2563l2235,2563,2242,2564,2251,2570,2253,2575,2253,2584,2253,2587,2252,2588,2251,2592,2248,2593,2203,2599,2194,2603,2181,2614,2178,2622,2178,2642,2181,2650,2195,2662,2203,2666,2222,2666,2230,2664,2244,2656,2250,2652,2252,2650,2212,2650,2208,2648,2200,2642,2198,2637,2198,2625,2201,2620,2210,2614,2215,2613,2237,2610,2240,2609,2248,2607,2251,2606,2253,2605,2272,2605,2272,2567,2269,2563xm2273,2647l2254,2647,2254,2651,2256,2655,2260,2662,2265,2664,2276,2664,2279,2664,2281,2663,2284,2662,2284,2649,2275,2649,2274,2648,2273,2647xm2272,2605l2253,2605,2253,2632,2248,2640,2231,2648,2224,2650,2252,2650,2254,2647,2273,2647,2272,2646,2272,2645,2272,2605xm2284,2648l2283,2649,2282,2649,2275,2649,2284,2649,2284,2648xm2241,2547l2216,2547,2206,2550,2189,2560,2184,2570,2184,2584,2201,2584,2202,2578,2204,2574,2210,2565,2217,2563,2269,2563,2268,2559,2251,2549,2241,2547xe" filled="true" fillcolor="#231f20" stroked="false">
              <v:path arrowok="t"/>
              <v:fill type="solid"/>
            </v:shape>
            <v:shape style="position:absolute;left:2295;top:2546;width:97;height:119" coordorigin="2295,2546" coordsize="97,119" path="m2359,2546l2346,2546,2335,2547,2326,2550,2317,2556,2309,2563,2303,2572,2299,2582,2296,2595,2295,2609,2296,2620,2298,2631,2302,2640,2308,2649,2317,2660,2329,2665,2356,2665,2367,2662,2383,2649,2335,2649,2327,2645,2318,2630,2315,2620,2315,2598,2317,2588,2325,2569,2334,2563,2386,2563,2385,2562,2369,2549,2359,2546xm2391,2622l2373,2622,2371,2630,2368,2637,2359,2646,2353,2649,2383,2649,2384,2648,2389,2637,2391,2622xm2386,2563l2355,2563,2361,2565,2369,2575,2372,2580,2373,2587,2391,2587,2390,2572,2386,2563xe" filled="true" fillcolor="#231f20" stroked="false">
              <v:path arrowok="t"/>
              <v:fill type="solid"/>
            </v:shape>
            <v:shape style="position:absolute;left:2405;top:2504;width:107;height:162" coordorigin="2405,2504" coordsize="107,162" path="m2496,2563l2462,2563,2469,2564,2478,2570,2480,2575,2480,2584,2480,2587,2479,2588,2478,2592,2475,2593,2430,2599,2421,2603,2408,2614,2405,2622,2405,2642,2408,2650,2421,2662,2430,2666,2449,2666,2457,2664,2471,2656,2477,2652,2479,2650,2439,2650,2435,2648,2427,2642,2425,2637,2425,2625,2428,2620,2437,2614,2442,2613,2464,2610,2467,2609,2475,2607,2477,2606,2480,2605,2499,2605,2499,2567,2496,2563xm2500,2647l2481,2647,2481,2651,2482,2655,2487,2662,2492,2664,2503,2664,2506,2664,2508,2663,2511,2662,2511,2649,2502,2649,2501,2648,2500,2647xm2499,2605l2480,2605,2480,2632,2475,2640,2458,2648,2451,2650,2479,2650,2481,2647,2500,2647,2499,2646,2499,2645,2499,2605xm2511,2648l2510,2649,2509,2649,2502,2649,2511,2649,2511,2648xm2467,2547l2443,2547,2433,2550,2416,2560,2411,2570,2411,2584,2428,2584,2429,2578,2431,2574,2437,2565,2444,2563,2496,2563,2495,2559,2478,2549,2467,2547xm2478,2504l2455,2504,2436,2535,2450,2535,2478,2504xe" filled="true" fillcolor="#231f20" stroked="false">
              <v:path arrowok="t"/>
              <v:fill type="solid"/>
            </v:shape>
            <v:shape style="position:absolute;left:2530;top:2547;width:92;height:115" coordorigin="2530,2547" coordsize="92,115" path="m2548,2550l2530,2550,2530,2662,2548,2662,2548,2596,2549,2590,2551,2582,2553,2578,2560,2570,2565,2567,2569,2565,2548,2565,2548,2550xm2617,2564l2590,2564,2596,2567,2601,2579,2602,2584,2602,2662,2621,2662,2621,2578,2620,2570,2617,2564xm2600,2547l2577,2547,2570,2548,2558,2554,2553,2559,2548,2565,2569,2565,2573,2564,2576,2564,2617,2564,2611,2553,2600,2547xe" filled="true" fillcolor="#231f20" stroked="false">
              <v:path arrowok="t"/>
              <v:fill type="solid"/>
            </v:shape>
            <v:shape style="position:absolute;left:1322;top:3956;width:139;height:162" type="#_x0000_t75" stroked="false">
              <v:imagedata r:id="rId905" o:title=""/>
            </v:shape>
            <v:shape style="position:absolute;left:1492;top:3999;width:670;height:120" type="#_x0000_t75" stroked="false">
              <v:imagedata r:id="rId906" o:title=""/>
            </v:shape>
            <v:shape style="position:absolute;left:3554;top:4324;width:464;height:158" type="#_x0000_t75" stroked="false">
              <v:imagedata r:id="rId907" o:title=""/>
            </v:shape>
            <v:shape style="position:absolute;left:4042;top:4315;width:254;height:173" type="#_x0000_t75" stroked="false">
              <v:imagedata r:id="rId908" o:title=""/>
            </v:shape>
            <v:shape style="position:absolute;left:4668;top:3379;width:657;height:168" type="#_x0000_t75" stroked="false">
              <v:imagedata r:id="rId909" o:title=""/>
            </v:shape>
            <v:shape style="position:absolute;left:4885;top:3641;width:223;height:159" type="#_x0000_t75" stroked="false">
              <v:imagedata r:id="rId910" o:title=""/>
            </v:shape>
            <v:shape style="position:absolute;left:4704;top:3896;width:655;height:167" type="#_x0000_t75" stroked="false">
              <v:imagedata r:id="rId911" o:title=""/>
            </v:shape>
            <v:shape style="position:absolute;left:6505;top:4216;width:91;height:112" coordorigin="6505,4216" coordsize="91,112" path="m6529,4216l6505,4216,6505,4328,6526,4328,6526,4248,6548,4248,6529,4216xm6548,4248l6526,4248,6572,4328,6595,4328,6595,4294,6573,4294,6548,4248xm6595,4216l6573,4216,6573,4294,6595,4294,6595,4216xe" filled="true" fillcolor="#231f20" stroked="false">
              <v:path arrowok="t"/>
              <v:fill type="solid"/>
            </v:shape>
            <v:shape style="position:absolute;left:6244;top:4040;width:611;height:230" coordorigin="6244,4040" coordsize="611,230" path="m6549,4040l6244,4269,6434,4269,6443,4225,6468,4188,6505,4164,6549,4154,6702,4154,6549,4040xm6702,4154l6549,4154,6594,4164,6630,4188,6655,4225,6664,4269,6854,4269,6702,4154xe" filled="true" fillcolor="#231f20" stroked="false">
              <v:path arrowok="t"/>
              <v:fill type="solid"/>
            </v:shape>
            <w10:wrap type="topAndBottom"/>
          </v:group>
        </w:pict>
      </w:r>
    </w:p>
    <w:p>
      <w:pPr>
        <w:spacing w:before="118"/>
        <w:ind w:left="3369" w:right="-2" w:firstLine="0"/>
        <w:jc w:val="left"/>
        <w:rPr>
          <w:rFonts w:ascii="Calibri"/>
          <w:sz w:val="16"/>
        </w:rPr>
      </w:pPr>
      <w:r>
        <w:rPr>
          <w:rFonts w:ascii="Calibri"/>
          <w:color w:val="231F20"/>
          <w:sz w:val="16"/>
        </w:rPr>
        <w:t>Fuente: Plan de Desarrollo Municipal 2006-2009 del Municipio de Chalco.</w:t>
      </w:r>
    </w:p>
    <w:p>
      <w:pPr>
        <w:pStyle w:val="BodyText"/>
        <w:rPr>
          <w:rFonts w:ascii="Calibri"/>
          <w:sz w:val="16"/>
        </w:rPr>
      </w:pPr>
    </w:p>
    <w:p>
      <w:pPr>
        <w:pStyle w:val="Heading3"/>
        <w:spacing w:before="119"/>
      </w:pPr>
      <w:r>
        <w:rPr>
          <w:color w:val="231F20"/>
          <w:w w:val="105"/>
        </w:rPr>
        <w:t>Población</w:t>
      </w:r>
    </w:p>
    <w:p>
      <w:pPr>
        <w:pStyle w:val="BodyText"/>
        <w:spacing w:line="285" w:lineRule="auto" w:before="38"/>
        <w:ind w:left="110" w:right="108"/>
        <w:jc w:val="both"/>
      </w:pP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de</w:t>
      </w:r>
      <w:r>
        <w:rPr>
          <w:color w:val="231F20"/>
          <w:spacing w:val="-5"/>
          <w:w w:val="105"/>
        </w:rPr>
        <w:t> </w:t>
      </w:r>
      <w:r>
        <w:rPr>
          <w:color w:val="231F20"/>
          <w:w w:val="105"/>
        </w:rPr>
        <w:t>Chalco</w:t>
      </w:r>
      <w:r>
        <w:rPr>
          <w:color w:val="231F20"/>
          <w:spacing w:val="-5"/>
          <w:w w:val="105"/>
        </w:rPr>
        <w:t> </w:t>
      </w:r>
      <w:r>
        <w:rPr>
          <w:color w:val="231F20"/>
          <w:w w:val="105"/>
        </w:rPr>
        <w:t>cuenta</w:t>
      </w:r>
      <w:r>
        <w:rPr>
          <w:color w:val="231F20"/>
          <w:spacing w:val="-5"/>
          <w:w w:val="105"/>
        </w:rPr>
        <w:t> </w:t>
      </w:r>
      <w:r>
        <w:rPr>
          <w:color w:val="231F20"/>
          <w:w w:val="105"/>
        </w:rPr>
        <w:t>con</w:t>
      </w:r>
      <w:r>
        <w:rPr>
          <w:color w:val="231F20"/>
          <w:spacing w:val="-5"/>
          <w:w w:val="105"/>
        </w:rPr>
        <w:t> </w:t>
      </w:r>
      <w:r>
        <w:rPr>
          <w:color w:val="231F20"/>
          <w:w w:val="105"/>
        </w:rPr>
        <w:t>una</w:t>
      </w:r>
      <w:r>
        <w:rPr>
          <w:color w:val="231F20"/>
          <w:spacing w:val="-5"/>
          <w:w w:val="105"/>
        </w:rPr>
        <w:t> </w:t>
      </w:r>
      <w:r>
        <w:rPr>
          <w:color w:val="231F20"/>
          <w:w w:val="105"/>
        </w:rPr>
        <w:t>población</w:t>
      </w:r>
      <w:r>
        <w:rPr>
          <w:color w:val="231F20"/>
          <w:spacing w:val="-5"/>
          <w:w w:val="105"/>
        </w:rPr>
        <w:t> </w:t>
      </w:r>
      <w:r>
        <w:rPr>
          <w:color w:val="231F20"/>
          <w:w w:val="105"/>
        </w:rPr>
        <w:t>de</w:t>
      </w:r>
      <w:r>
        <w:rPr>
          <w:color w:val="231F20"/>
          <w:spacing w:val="-5"/>
          <w:w w:val="105"/>
        </w:rPr>
        <w:t> </w:t>
      </w:r>
      <w:r>
        <w:rPr>
          <w:color w:val="231F20"/>
          <w:spacing w:val="-3"/>
          <w:w w:val="105"/>
        </w:rPr>
        <w:t>257,403</w:t>
      </w:r>
      <w:r>
        <w:rPr>
          <w:color w:val="231F20"/>
          <w:spacing w:val="-5"/>
          <w:w w:val="105"/>
        </w:rPr>
        <w:t> </w:t>
      </w:r>
      <w:r>
        <w:rPr>
          <w:color w:val="231F20"/>
          <w:w w:val="105"/>
        </w:rPr>
        <w:t>habitantes</w:t>
      </w:r>
      <w:r>
        <w:rPr>
          <w:color w:val="231F20"/>
          <w:spacing w:val="-5"/>
          <w:w w:val="105"/>
        </w:rPr>
        <w:t> </w:t>
      </w:r>
      <w:r>
        <w:rPr>
          <w:color w:val="231F20"/>
          <w:w w:val="105"/>
        </w:rPr>
        <w:t>que</w:t>
      </w:r>
      <w:r>
        <w:rPr>
          <w:color w:val="231F20"/>
          <w:spacing w:val="-5"/>
          <w:w w:val="105"/>
        </w:rPr>
        <w:t> </w:t>
      </w:r>
      <w:r>
        <w:rPr>
          <w:color w:val="231F20"/>
          <w:w w:val="105"/>
        </w:rPr>
        <w:t>represen- </w:t>
      </w:r>
      <w:r>
        <w:rPr>
          <w:color w:val="231F20"/>
          <w:spacing w:val="2"/>
          <w:w w:val="105"/>
        </w:rPr>
        <w:t>tan</w:t>
      </w:r>
      <w:r>
        <w:rPr>
          <w:color w:val="231F20"/>
          <w:spacing w:val="-23"/>
          <w:w w:val="105"/>
        </w:rPr>
        <w:t> </w:t>
      </w:r>
      <w:r>
        <w:rPr>
          <w:color w:val="231F20"/>
          <w:w w:val="105"/>
        </w:rPr>
        <w:t>el</w:t>
      </w:r>
      <w:r>
        <w:rPr>
          <w:color w:val="231F20"/>
          <w:spacing w:val="-23"/>
          <w:w w:val="105"/>
        </w:rPr>
        <w:t> </w:t>
      </w:r>
      <w:r>
        <w:rPr>
          <w:color w:val="231F20"/>
          <w:w w:val="105"/>
        </w:rPr>
        <w:t>1.84%</w:t>
      </w:r>
      <w:r>
        <w:rPr>
          <w:color w:val="231F20"/>
          <w:spacing w:val="-23"/>
          <w:w w:val="105"/>
        </w:rPr>
        <w:t> </w:t>
      </w:r>
      <w:r>
        <w:rPr>
          <w:color w:val="231F20"/>
          <w:w w:val="105"/>
        </w:rPr>
        <w:t>del</w:t>
      </w:r>
      <w:r>
        <w:rPr>
          <w:color w:val="231F20"/>
          <w:spacing w:val="-23"/>
          <w:w w:val="105"/>
        </w:rPr>
        <w:t> </w:t>
      </w:r>
      <w:r>
        <w:rPr>
          <w:color w:val="231F20"/>
          <w:w w:val="105"/>
        </w:rPr>
        <w:t>total</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del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w w:val="105"/>
        </w:rPr>
        <w:t>(INEGI,</w:t>
      </w:r>
      <w:r>
        <w:rPr>
          <w:color w:val="231F20"/>
          <w:spacing w:val="-23"/>
          <w:w w:val="105"/>
        </w:rPr>
        <w:t> </w:t>
      </w:r>
      <w:r>
        <w:rPr>
          <w:color w:val="231F20"/>
          <w:w w:val="105"/>
        </w:rPr>
        <w:t>2005).</w:t>
      </w:r>
    </w:p>
    <w:p>
      <w:pPr>
        <w:spacing w:after="0" w:line="285" w:lineRule="auto"/>
        <w:jc w:val="both"/>
        <w:sectPr>
          <w:pgSz w:w="9640" w:h="12190"/>
          <w:pgMar w:header="0" w:footer="743" w:top="1120" w:bottom="940" w:left="740" w:right="740"/>
        </w:sectPr>
      </w:pPr>
    </w:p>
    <w:p>
      <w:pPr>
        <w:pStyle w:val="Heading5"/>
        <w:spacing w:before="27"/>
        <w:ind w:left="388" w:right="-2"/>
      </w:pPr>
      <w:r>
        <w:rPr>
          <w:color w:val="231F20"/>
          <w:w w:val="105"/>
        </w:rPr>
        <w:t>Gráfica 1. Porcentaje de la población municipal en el Estado de México 2005</w:t>
      </w:r>
    </w:p>
    <w:p>
      <w:pPr>
        <w:pStyle w:val="BodyText"/>
        <w:spacing w:before="8"/>
        <w:rPr>
          <w:b/>
          <w:sz w:val="9"/>
        </w:rPr>
      </w:pPr>
      <w:r>
        <w:rPr/>
        <w:pict>
          <v:group style="position:absolute;margin-left:218.763pt;margin-top:7.535619pt;width:69.6pt;height:28.6pt;mso-position-horizontal-relative:page;mso-position-vertical-relative:paragraph;z-index:12040;mso-wrap-distance-left:0;mso-wrap-distance-right:0" coordorigin="4375,151" coordsize="1392,572">
            <v:shape style="position:absolute;left:4405;top:152;width:206;height:212" type="#_x0000_t75" stroked="false">
              <v:imagedata r:id="rId912" o:title=""/>
            </v:shape>
            <v:shape style="position:absolute;left:4647;top:207;width:142;height:161" type="#_x0000_t75" stroked="false">
              <v:imagedata r:id="rId913" o:title=""/>
            </v:shape>
            <v:shape style="position:absolute;left:4828;top:204;width:142;height:161" type="#_x0000_t75" stroked="false">
              <v:imagedata r:id="rId914" o:title=""/>
            </v:shape>
            <v:shape style="position:absolute;left:4990;top:151;width:760;height:276" type="#_x0000_t75" stroked="false">
              <v:imagedata r:id="rId915" o:title=""/>
            </v:shape>
            <v:shape style="position:absolute;left:4375;top:490;width:334;height:217" type="#_x0000_t75" stroked="false">
              <v:imagedata r:id="rId916" o:title=""/>
            </v:shape>
            <v:shape style="position:absolute;left:4806;top:486;width:187;height:222" type="#_x0000_t75" stroked="false">
              <v:imagedata r:id="rId917" o:title=""/>
            </v:shape>
            <v:shape style="position:absolute;left:5025;top:490;width:317;height:217" type="#_x0000_t75" stroked="false">
              <v:imagedata r:id="rId918" o:title=""/>
            </v:shape>
            <v:shape style="position:absolute;left:5370;top:469;width:396;height:254" type="#_x0000_t75" stroked="false">
              <v:imagedata r:id="rId919" o:title=""/>
            </v:shape>
            <w10:wrap type="topAndBottom"/>
          </v:group>
        </w:pict>
      </w:r>
    </w:p>
    <w:p>
      <w:pPr>
        <w:pStyle w:val="BodyText"/>
        <w:spacing w:before="9"/>
        <w:rPr>
          <w:b/>
          <w:sz w:val="6"/>
        </w:rPr>
      </w:pPr>
    </w:p>
    <w:p>
      <w:pPr>
        <w:pStyle w:val="BodyText"/>
        <w:spacing w:line="215" w:lineRule="exact"/>
        <w:ind w:left="3933"/>
        <w:rPr>
          <w:sz w:val="20"/>
        </w:rPr>
      </w:pPr>
      <w:r>
        <w:rPr>
          <w:position w:val="-3"/>
          <w:sz w:val="20"/>
        </w:rPr>
        <w:pict>
          <v:group style="width:40.450pt;height:10.8pt;mso-position-horizontal-relative:char;mso-position-vertical-relative:line" coordorigin="0,0" coordsize="809,216">
            <v:shape style="position:absolute;left:0;top:1;width:92;height:209" coordorigin="0,1" coordsize="92,209" path="m91,1l57,1,57,3,56,6,0,38,0,66,49,66,49,210,91,210,91,1xe" filled="true" fillcolor="#231f20" stroked="false">
              <v:path arrowok="t"/>
              <v:fill type="solid"/>
            </v:shape>
            <v:shape style="position:absolute;left:141;top:0;width:668;height:215" type="#_x0000_t75" stroked="false">
              <v:imagedata r:id="rId920" o:title=""/>
            </v:shape>
          </v:group>
        </w:pict>
      </w:r>
      <w:r>
        <w:rPr>
          <w:position w:val="-3"/>
          <w:sz w:val="20"/>
        </w:rPr>
      </w:r>
    </w:p>
    <w:p>
      <w:pPr>
        <w:pStyle w:val="BodyText"/>
        <w:spacing w:before="8"/>
        <w:rPr>
          <w:b/>
          <w:sz w:val="6"/>
        </w:rPr>
      </w:pPr>
      <w:r>
        <w:rPr/>
        <w:pict>
          <v:group style="position:absolute;margin-left:151.6866pt;margin-top:5.837396pt;width:174.5pt;height:63.65pt;mso-position-horizontal-relative:page;mso-position-vertical-relative:paragraph;z-index:12088;mso-wrap-distance-left:0;mso-wrap-distance-right:0" coordorigin="3034,117" coordsize="3490,1273">
            <v:shape style="position:absolute;left:3034;top:651;width:3490;height:738" coordorigin="3034,651" coordsize="3490,738" path="m3034,651l3034,1020,3037,1044,3048,1068,3066,1092,3091,1114,3123,1137,3160,1158,3204,1179,3254,1200,3310,1219,3370,1238,3436,1256,3508,1273,3583,1289,3664,1304,3748,1318,3837,1331,3929,1343,4025,1353,4125,1362,4227,1370,4333,1377,4441,1382,4551,1386,4664,1388,4779,1389,4893,1388,5006,1386,5117,1382,5225,1377,5330,1370,5433,1362,5532,1353,5628,1343,5721,1331,5809,1318,5894,1304,5974,1289,6050,1273,6121,1256,6187,1238,6248,1219,6303,1200,6353,1179,6397,1158,6435,1137,6466,1114,6491,1092,6509,1068,6520,1044,6524,1020,4779,1020,4664,1019,4551,1017,4441,1013,4333,1008,4227,1001,4125,993,4025,984,3929,974,3837,962,3748,949,3664,935,3583,920,3508,904,3436,887,3370,869,3310,850,3254,831,3204,810,3160,789,3123,768,3091,745,3066,723,3048,699,3037,675,3034,651xm6524,651l6520,675,6509,699,6491,723,6466,745,6435,768,6397,789,6353,810,6303,831,6248,850,6187,869,6121,887,6050,904,5974,920,5894,935,5809,949,5721,962,5628,974,5532,984,5433,993,5330,1001,5225,1008,5117,1013,5006,1017,4893,1019,4779,1020,6524,1020,6524,651xe" filled="true" fillcolor="#66003d" stroked="false">
              <v:path arrowok="t"/>
              <v:fill type="solid"/>
            </v:shape>
            <v:shape style="position:absolute;left:4829;top:117;width:210;height:371" coordorigin="4829,117" coordsize="210,371" path="m4829,117l4829,487,5038,121,4882,117,4829,117xe" filled="true" fillcolor="#bc8cbf" stroked="false">
              <v:path arrowok="t"/>
              <v:fill type="solid"/>
            </v:shape>
            <v:shape style="position:absolute;left:3034;top:282;width:3490;height:754" coordorigin="3034,282" coordsize="3490,754" path="m4779,282l4664,283,4551,285,4441,289,4333,294,4227,301,4125,309,4025,318,3929,329,3837,340,3748,353,3664,367,3583,382,3508,398,3436,415,3370,433,3310,452,3254,471,3204,492,3160,513,3123,535,3091,557,3066,580,3048,603,3037,627,3034,651,3037,675,3048,700,3066,723,3091,747,3123,769,3160,792,3204,813,3254,835,3310,855,3370,875,3436,893,3508,911,3583,928,3664,944,3748,959,3837,973,3929,985,4025,997,4125,1007,4227,1015,4333,1023,4441,1028,4551,1032,4664,1035,4779,1036,4893,1035,5006,1032,5117,1028,5225,1023,5330,1015,5433,1007,5532,997,5628,985,5721,973,5809,959,5894,944,5974,928,6050,911,6121,893,6187,875,6248,855,6303,835,6353,813,6397,792,6435,769,6466,747,6491,723,6509,700,6520,675,6524,651,4779,651,4779,282xm4989,285l4779,651,6524,651,6519,626,6507,601,6487,576,6460,552,6425,529,6384,506,6335,484,6281,463,6220,443,6153,424,6080,405,6003,388,5920,372,5832,357,5740,343,5643,331,5543,319,5438,309,5331,301,5220,294,5106,289,4989,285xe" filled="true" fillcolor="#9e1f63" stroked="false">
              <v:path arrowok="t"/>
              <v:fill type="solid"/>
            </v:shape>
            <v:shape style="position:absolute;left:4829;top:121;width:210;height:444" coordorigin="4829,121" coordsize="210,444" path="m5038,121l4829,487,4829,564,4989,285,5038,285,5038,121xm5038,285l4989,285,5038,286,5038,285xe" filled="true" fillcolor="#705273" stroked="false">
              <v:path arrowok="t"/>
              <v:fill type="solid"/>
            </v:shape>
            <w10:wrap type="topAndBottom"/>
          </v:group>
        </w:pict>
      </w:r>
    </w:p>
    <w:p>
      <w:pPr>
        <w:pStyle w:val="BodyText"/>
        <w:spacing w:before="1"/>
        <w:rPr>
          <w:b/>
          <w:sz w:val="8"/>
        </w:rPr>
      </w:pPr>
    </w:p>
    <w:p>
      <w:pPr>
        <w:spacing w:line="218" w:lineRule="exact"/>
        <w:ind w:left="3089" w:right="0" w:firstLine="0"/>
        <w:rPr>
          <w:sz w:val="20"/>
        </w:rPr>
      </w:pPr>
      <w:r>
        <w:rPr>
          <w:position w:val="-3"/>
          <w:sz w:val="20"/>
        </w:rPr>
        <w:pict>
          <v:group style="width:48.9pt;height:10.95pt;mso-position-horizontal-relative:char;mso-position-vertical-relative:line" coordorigin="0,0" coordsize="978,219">
            <v:line style="position:absolute" from="27,193" to="188,193" stroked="true" strokeweight="1.9pt" strokecolor="#231f20"/>
            <v:line style="position:absolute" from="27,147" to="70,147" stroked="true" strokeweight="2.7pt" strokecolor="#231f20"/>
            <v:line style="position:absolute" from="27,102" to="174,102" stroked="true" strokeweight="1.8pt" strokecolor="#231f20"/>
            <v:line style="position:absolute" from="27,61" to="70,61" stroked="true" strokeweight="2.3pt" strokecolor="#231f20"/>
            <v:line style="position:absolute" from="27,19" to="183,19" stroked="true" strokeweight="1.9pt" strokecolor="#231f20"/>
            <v:shape style="position:absolute;left:209;top:51;width:144;height:167" coordorigin="209,51" coordsize="144,167" path="m251,163l209,163,211,174,214,185,219,194,227,203,237,209,250,214,265,217,282,218,299,217,314,214,326,210,336,203,343,195,349,186,271,186,262,184,254,175,252,170,251,163xm280,51l265,52,252,55,241,60,231,67,224,75,219,84,215,94,214,104,214,117,218,126,225,133,232,137,240,142,251,146,263,149,280,153,292,157,301,159,306,162,310,164,312,167,312,177,309,180,300,185,293,186,349,186,352,176,353,165,353,153,349,144,341,136,334,130,326,126,316,122,304,118,288,115,275,111,266,109,261,107,257,105,255,101,255,93,257,90,265,84,271,83,344,83,342,79,336,70,328,63,318,58,306,54,294,52,280,51xm344,83l291,83,299,85,303,91,306,94,307,98,308,104,349,104,346,90,344,83xe" filled="true" fillcolor="#231f20" stroked="false">
              <v:path arrowok="t"/>
              <v:fill type="solid"/>
            </v:shape>
            <v:shape style="position:absolute;left:367;top:13;width:89;height:202" coordorigin="367,13" coordsize="89,202" path="m430,86l389,86,389,193,392,200,396,205,403,210,411,213,422,215,436,215,455,214,455,184,439,184,434,183,431,180,430,176,430,86xm455,184l439,184,455,184,455,184xm455,57l367,57,367,86,455,86,455,57xm430,13l389,13,389,57,430,57,430,13xe" filled="true" fillcolor="#231f20" stroked="false">
              <v:path arrowok="t"/>
              <v:fill type="solid"/>
            </v:shape>
            <v:shape style="position:absolute;left:471;top:52;width:148;height:166" coordorigin="471,52" coordsize="148,166" path="m608,85l551,85,558,86,567,91,569,96,569,107,566,111,560,114,557,115,552,116,514,121,502,124,494,129,484,137,477,146,472,158,471,171,471,186,476,197,494,214,506,218,532,218,542,215,558,206,565,201,570,194,610,194,610,191,610,188,527,188,522,186,514,180,512,175,512,160,515,154,526,148,532,146,555,142,558,141,564,139,566,138,569,136,610,136,610,101,609,88,608,85xm610,194l570,194,571,198,571,201,572,207,573,210,574,213,619,213,619,207,616,206,614,204,611,200,611,196,610,194xm610,136l569,136,569,158,569,165,565,175,550,185,541,188,610,188,610,136xm544,52l525,53,510,57,497,64,488,73,481,82,477,93,476,107,516,107,517,101,519,96,522,92,526,87,533,85,608,85,605,77,599,68,590,62,579,58,568,55,556,53,544,52xe" filled="true" fillcolor="#231f20" stroked="false">
              <v:path arrowok="t"/>
              <v:fill type="solid"/>
            </v:shape>
            <v:shape style="position:absolute;left:636;top:1;width:154;height:218" coordorigin="636,1" coordsize="154,218" path="m713,52l704,52,689,53,676,58,664,65,654,75,646,88,640,102,637,119,636,138,637,155,641,170,646,184,655,195,665,205,676,212,688,216,701,218,712,218,721,216,736,207,743,200,749,191,789,191,789,183,701,183,692,179,681,161,678,150,678,122,681,111,692,92,701,88,789,88,789,76,747,76,743,68,737,62,722,54,713,52xm789,191l749,191,749,213,789,213,789,191xm789,88l721,88,728,90,734,95,740,103,745,112,747,123,748,137,748,150,745,162,733,179,724,183,789,183,789,88xm789,1l747,1,747,76,789,76,789,1xe" filled="true" fillcolor="#231f20" stroked="false">
              <v:path arrowok="t"/>
              <v:fill type="solid"/>
            </v:shape>
            <v:shape style="position:absolute;left:817;top:51;width:161;height:168" coordorigin="817,51" coordsize="161,168" path="m897,51l878,52,861,57,848,65,836,76,828,89,822,103,818,118,817,134,818,151,822,167,828,181,836,194,848,204,861,212,878,217,897,218,916,217,932,212,946,204,957,194,964,184,885,184,875,179,862,162,859,150,859,118,862,107,875,90,885,85,964,85,957,76,946,65,932,57,916,52,897,51xm964,85l909,85,918,90,931,107,934,118,934,150,931,162,918,179,909,184,964,184,966,181,972,167,976,151,977,134,976,118,972,103,966,89,964,85xe" filled="true" fillcolor="#231f20" stroked="false">
              <v:path arrowok="t"/>
              <v:fill type="solid"/>
            </v:shape>
          </v:group>
        </w:pict>
      </w:r>
      <w:r>
        <w:rPr>
          <w:position w:val="-3"/>
          <w:sz w:val="20"/>
        </w:rPr>
      </w:r>
      <w:r>
        <w:rPr>
          <w:spacing w:val="42"/>
          <w:position w:val="-3"/>
          <w:sz w:val="20"/>
        </w:rPr>
        <w:t> </w:t>
      </w:r>
      <w:r>
        <w:rPr>
          <w:spacing w:val="42"/>
          <w:position w:val="-3"/>
          <w:sz w:val="20"/>
        </w:rPr>
        <w:drawing>
          <wp:inline distT="0" distB="0" distL="0" distR="0">
            <wp:extent cx="212104" cy="138112"/>
            <wp:effectExtent l="0" t="0" r="0" b="0"/>
            <wp:docPr id="361" name="image822.png" descr=""/>
            <wp:cNvGraphicFramePr>
              <a:graphicFrameLocks noChangeAspect="1"/>
            </wp:cNvGraphicFramePr>
            <a:graphic>
              <a:graphicData uri="http://schemas.openxmlformats.org/drawingml/2006/picture">
                <pic:pic>
                  <pic:nvPicPr>
                    <pic:cNvPr id="362" name="image822.png"/>
                    <pic:cNvPicPr/>
                  </pic:nvPicPr>
                  <pic:blipFill>
                    <a:blip r:embed="rId921" cstate="print"/>
                    <a:stretch>
                      <a:fillRect/>
                    </a:stretch>
                  </pic:blipFill>
                  <pic:spPr>
                    <a:xfrm>
                      <a:off x="0" y="0"/>
                      <a:ext cx="212104" cy="138112"/>
                    </a:xfrm>
                    <a:prstGeom prst="rect">
                      <a:avLst/>
                    </a:prstGeom>
                  </pic:spPr>
                </pic:pic>
              </a:graphicData>
            </a:graphic>
          </wp:inline>
        </w:drawing>
      </w:r>
      <w:r>
        <w:rPr>
          <w:spacing w:val="42"/>
          <w:position w:val="-3"/>
          <w:sz w:val="20"/>
        </w:rPr>
      </w:r>
    </w:p>
    <w:p>
      <w:pPr>
        <w:pStyle w:val="BodyText"/>
        <w:spacing w:before="6"/>
        <w:rPr>
          <w:b/>
          <w:sz w:val="8"/>
        </w:rPr>
      </w:pPr>
    </w:p>
    <w:p>
      <w:pPr>
        <w:pStyle w:val="BodyText"/>
        <w:ind w:left="3319"/>
        <w:rPr>
          <w:sz w:val="20"/>
        </w:rPr>
      </w:pPr>
      <w:r>
        <w:rPr>
          <w:sz w:val="20"/>
        </w:rPr>
        <w:pict>
          <v:group style="width:48.45pt;height:12.8pt;mso-position-horizontal-relative:char;mso-position-vertical-relative:line" coordorigin="0,0" coordsize="969,256">
            <v:shape style="position:absolute;left:0;top:22;width:206;height:213" coordorigin="0,22" coordsize="206,213" path="m65,22l0,22,0,235,41,235,41,66,41,56,73,56,65,22xm73,56l41,56,81,235,124,235,134,189,103,189,73,56xm206,56l164,56,164,66,164,235,206,235,206,56xm206,22l142,22,103,189,134,189,164,56,206,56,206,22xe" filled="true" fillcolor="#231f20" stroked="false">
              <v:path arrowok="t"/>
              <v:fill type="solid"/>
            </v:shape>
            <v:shape style="position:absolute;left:231;top:13;width:156;height:227" coordorigin="231,13" coordsize="156,227" path="m322,73l309,73,292,75,277,79,264,86,253,95,243,107,236,122,232,139,231,158,232,178,237,195,244,210,255,221,267,229,281,235,295,239,310,240,328,239,344,234,358,227,369,217,378,208,379,207,302,207,295,205,289,201,278,195,273,184,272,168,387,168,387,154,386,144,386,141,273,141,275,130,278,122,290,110,298,107,375,107,373,104,366,94,357,86,335,76,322,73xm385,189l343,189,340,193,337,197,328,204,321,207,379,207,383,198,385,189xm375,107l318,107,327,110,340,121,343,130,344,141,386,141,383,124,379,113,375,107xm357,13l311,13,284,56,313,56,357,13xe" filled="true" fillcolor="#231f20" stroked="false">
              <v:path arrowok="t"/>
              <v:fill type="solid"/>
            </v:shape>
            <v:shape style="position:absolute;left:392;top:78;width:156;height:157" coordorigin="392,78" coordsize="156,157" path="m444,78l394,78,445,155,392,235,442,235,469,188,516,188,494,154,515,123,471,123,444,78xm516,188l469,188,496,235,547,235,516,188xm545,78l496,78,471,123,515,123,545,78xe" filled="true" fillcolor="#231f20" stroked="false">
              <v:path arrowok="t"/>
              <v:fill type="solid"/>
            </v:shape>
            <v:line style="position:absolute" from="593,21" to="593,235" stroked="true" strokeweight="2.082pt" strokecolor="#231f20"/>
            <v:shape style="position:absolute;left:645;top:74;width:145;height:167" coordorigin="645,74" coordsize="145,167" path="m719,74l703,75,688,80,675,87,664,96,656,109,650,123,646,140,645,159,646,176,649,192,655,206,663,218,673,227,686,234,701,239,718,240,736,238,752,233,765,225,776,213,781,206,706,206,697,199,692,186,689,179,688,170,688,146,689,137,697,116,706,109,784,109,782,106,776,95,767,87,757,81,746,77,733,75,719,74xm789,178l747,178,746,186,744,193,736,203,729,206,781,206,784,202,788,190,789,178xm784,109l730,109,737,112,742,118,745,123,747,128,748,134,790,134,787,118,784,109xe" filled="true" fillcolor="#231f20" stroked="false">
              <v:path arrowok="t"/>
              <v:fill type="solid"/>
            </v:shape>
            <v:shape style="position:absolute;left:808;top:73;width:161;height:168" coordorigin="808,73" coordsize="161,168" path="m888,73l869,74,853,79,839,87,828,98,819,111,813,125,809,140,808,156,809,173,813,188,819,203,828,216,839,226,853,234,869,239,888,240,907,239,924,234,938,226,949,216,956,206,876,206,867,201,854,184,851,172,851,140,854,129,867,112,876,107,955,107,949,98,938,87,924,79,907,74,888,73xm955,107l900,107,910,112,922,129,925,140,926,172,922,184,910,201,900,206,956,206,958,203,964,188,967,173,969,156,967,140,964,125,958,111,955,107xe" filled="true" fillcolor="#231f20" stroked="false">
              <v:path arrowok="t"/>
              <v:fill type="solid"/>
            </v:shape>
          </v:group>
        </w:pict>
      </w:r>
      <w:r>
        <w:rPr>
          <w:sz w:val="20"/>
        </w:rPr>
      </w:r>
    </w:p>
    <w:p>
      <w:pPr>
        <w:pStyle w:val="BodyText"/>
        <w:spacing w:before="7"/>
        <w:rPr>
          <w:b/>
          <w:sz w:val="6"/>
        </w:rPr>
      </w:pPr>
    </w:p>
    <w:p>
      <w:pPr>
        <w:pStyle w:val="BodyText"/>
        <w:spacing w:line="217" w:lineRule="exact"/>
        <w:ind w:left="3306"/>
        <w:rPr>
          <w:sz w:val="20"/>
        </w:rPr>
      </w:pPr>
      <w:r>
        <w:rPr>
          <w:position w:val="-3"/>
          <w:sz w:val="20"/>
        </w:rPr>
        <w:pict>
          <v:group style="width:49.2pt;height:10.9pt;mso-position-horizontal-relative:char;mso-position-vertical-relative:line" coordorigin="0,0" coordsize="984,218">
            <v:shape style="position:absolute;left:0;top:0;width:513;height:217" type="#_x0000_t75" stroked="false">
              <v:imagedata r:id="rId922" o:title=""/>
            </v:shape>
            <v:shape style="position:absolute;left:575;top:0;width:409;height:216" type="#_x0000_t75" stroked="false">
              <v:imagedata r:id="rId923" o:title=""/>
            </v:shape>
          </v:group>
        </w:pict>
      </w:r>
      <w:r>
        <w:rPr>
          <w:position w:val="-3"/>
          <w:sz w:val="20"/>
        </w:rPr>
      </w:r>
    </w:p>
    <w:p>
      <w:pPr>
        <w:spacing w:before="88"/>
        <w:ind w:left="3368" w:right="-2" w:firstLine="0"/>
        <w:jc w:val="left"/>
        <w:rPr>
          <w:rFonts w:ascii="Calibri"/>
          <w:sz w:val="16"/>
        </w:rPr>
      </w:pPr>
      <w:r>
        <w:rPr>
          <w:rFonts w:ascii="Calibri"/>
          <w:color w:val="231F20"/>
          <w:sz w:val="16"/>
        </w:rPr>
        <w:t>Fuente: Plan de Desarrollo Municipal 2006-2008 del Municipio de Chalco.</w:t>
      </w:r>
    </w:p>
    <w:p>
      <w:pPr>
        <w:pStyle w:val="BodyText"/>
        <w:rPr>
          <w:rFonts w:ascii="Calibri"/>
          <w:sz w:val="16"/>
        </w:rPr>
      </w:pPr>
    </w:p>
    <w:p>
      <w:pPr>
        <w:pStyle w:val="BodyText"/>
        <w:spacing w:before="9"/>
        <w:rPr>
          <w:rFonts w:ascii="Calibri"/>
          <w:sz w:val="12"/>
        </w:rPr>
      </w:pPr>
    </w:p>
    <w:p>
      <w:pPr>
        <w:pStyle w:val="BodyText"/>
        <w:spacing w:line="285" w:lineRule="auto" w:before="1"/>
        <w:ind w:left="110" w:right="101"/>
      </w:pPr>
      <w:r>
        <w:rPr>
          <w:color w:val="231F20"/>
          <w:w w:val="105"/>
        </w:rPr>
        <w:t>La organización territorial y administrativa del municipio de Chalco se integra por las </w:t>
      </w:r>
      <w:r>
        <w:rPr>
          <w:color w:val="231F20"/>
        </w:rPr>
        <w:t>siguientes localidades:</w:t>
      </w:r>
    </w:p>
    <w:p>
      <w:pPr>
        <w:spacing w:after="0" w:line="285" w:lineRule="auto"/>
        <w:sectPr>
          <w:pgSz w:w="9640" w:h="12190"/>
          <w:pgMar w:header="0" w:footer="743" w:top="1120" w:bottom="940" w:left="740" w:right="740"/>
        </w:sectPr>
      </w:pPr>
    </w:p>
    <w:p>
      <w:pPr>
        <w:pStyle w:val="Heading5"/>
        <w:spacing w:before="27" w:after="32"/>
        <w:ind w:left="1163" w:right="20"/>
      </w:pPr>
      <w:r>
        <w:rPr>
          <w:color w:val="231F20"/>
          <w:w w:val="105"/>
        </w:rPr>
        <w:t>Cuadro 1. Localidades del Municipio de Chalco.</w:t>
      </w:r>
    </w:p>
    <w:tbl>
      <w:tblPr>
        <w:tblW w:w="0" w:type="auto"/>
        <w:jc w:val="left"/>
        <w:tblInd w:w="122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87"/>
        <w:gridCol w:w="2108"/>
      </w:tblGrid>
      <w:tr>
        <w:trPr>
          <w:trHeight w:val="127" w:hRule="exact"/>
        </w:trPr>
        <w:tc>
          <w:tcPr>
            <w:tcW w:w="2387" w:type="dxa"/>
          </w:tcPr>
          <w:p>
            <w:pPr>
              <w:pStyle w:val="TableParagraph"/>
              <w:spacing w:line="157" w:lineRule="exact"/>
              <w:rPr>
                <w:sz w:val="15"/>
              </w:rPr>
            </w:pPr>
            <w:r>
              <w:rPr>
                <w:color w:val="231F20"/>
                <w:w w:val="80"/>
                <w:sz w:val="15"/>
              </w:rPr>
              <w:t>I. CABECERA MUNICIPAL</w:t>
            </w:r>
          </w:p>
        </w:tc>
        <w:tc>
          <w:tcPr>
            <w:tcW w:w="2108" w:type="dxa"/>
          </w:tcPr>
          <w:p>
            <w:pPr>
              <w:pStyle w:val="TableParagraph"/>
              <w:spacing w:line="157" w:lineRule="exact"/>
              <w:ind w:left="102" w:right="189"/>
              <w:rPr>
                <w:sz w:val="15"/>
              </w:rPr>
            </w:pPr>
            <w:r>
              <w:rPr>
                <w:color w:val="231F20"/>
                <w:w w:val="80"/>
                <w:sz w:val="15"/>
              </w:rPr>
              <w:t>Chalco de Díaz Covarrubias</w:t>
            </w:r>
          </w:p>
        </w:tc>
      </w:tr>
      <w:tr>
        <w:trPr>
          <w:trHeight w:val="689" w:hRule="exact"/>
        </w:trPr>
        <w:tc>
          <w:tcPr>
            <w:tcW w:w="2387" w:type="dxa"/>
          </w:tcPr>
          <w:p>
            <w:pPr>
              <w:pStyle w:val="TableParagraph"/>
              <w:spacing w:line="157" w:lineRule="exact"/>
              <w:rPr>
                <w:sz w:val="15"/>
              </w:rPr>
            </w:pPr>
            <w:r>
              <w:rPr>
                <w:color w:val="231F20"/>
                <w:w w:val="80"/>
                <w:sz w:val="15"/>
              </w:rPr>
              <w:t>II. BARRIOS</w:t>
            </w:r>
          </w:p>
        </w:tc>
        <w:tc>
          <w:tcPr>
            <w:tcW w:w="2108" w:type="dxa"/>
          </w:tcPr>
          <w:p>
            <w:pPr>
              <w:pStyle w:val="TableParagraph"/>
              <w:spacing w:line="157" w:lineRule="exact"/>
              <w:ind w:left="102" w:right="189"/>
              <w:rPr>
                <w:sz w:val="15"/>
              </w:rPr>
            </w:pPr>
            <w:r>
              <w:rPr>
                <w:color w:val="231F20"/>
                <w:w w:val="80"/>
                <w:sz w:val="15"/>
              </w:rPr>
              <w:t>La Conchita</w:t>
            </w:r>
          </w:p>
          <w:p>
            <w:pPr>
              <w:pStyle w:val="TableParagraph"/>
              <w:spacing w:line="244" w:lineRule="auto" w:before="4"/>
              <w:ind w:left="102" w:right="1181"/>
              <w:rPr>
                <w:sz w:val="15"/>
              </w:rPr>
            </w:pPr>
            <w:r>
              <w:rPr>
                <w:color w:val="231F20"/>
                <w:w w:val="85"/>
                <w:sz w:val="15"/>
              </w:rPr>
              <w:t>San Francisco </w:t>
            </w:r>
            <w:r>
              <w:rPr>
                <w:color w:val="231F20"/>
                <w:w w:val="90"/>
                <w:sz w:val="15"/>
              </w:rPr>
              <w:t>San Antonio </w:t>
            </w:r>
            <w:r>
              <w:rPr>
                <w:color w:val="231F20"/>
                <w:w w:val="80"/>
                <w:sz w:val="15"/>
              </w:rPr>
              <w:t>San Sebastián</w:t>
            </w:r>
          </w:p>
        </w:tc>
      </w:tr>
      <w:tr>
        <w:trPr>
          <w:trHeight w:val="3122" w:hRule="exact"/>
        </w:trPr>
        <w:tc>
          <w:tcPr>
            <w:tcW w:w="2387" w:type="dxa"/>
          </w:tcPr>
          <w:p>
            <w:pPr>
              <w:pStyle w:val="TableParagraph"/>
              <w:spacing w:line="157" w:lineRule="exact"/>
              <w:rPr>
                <w:sz w:val="15"/>
              </w:rPr>
            </w:pPr>
            <w:r>
              <w:rPr>
                <w:color w:val="231F20"/>
                <w:w w:val="80"/>
                <w:sz w:val="15"/>
              </w:rPr>
              <w:t>III. COLONIAS</w:t>
            </w:r>
          </w:p>
        </w:tc>
        <w:tc>
          <w:tcPr>
            <w:tcW w:w="2108" w:type="dxa"/>
          </w:tcPr>
          <w:p>
            <w:pPr>
              <w:pStyle w:val="TableParagraph"/>
              <w:spacing w:line="157" w:lineRule="exact"/>
              <w:ind w:left="102" w:right="189"/>
              <w:rPr>
                <w:sz w:val="15"/>
              </w:rPr>
            </w:pPr>
            <w:r>
              <w:rPr>
                <w:color w:val="231F20"/>
                <w:w w:val="90"/>
                <w:sz w:val="15"/>
              </w:rPr>
              <w:t>Agrarista</w:t>
            </w:r>
          </w:p>
          <w:p>
            <w:pPr>
              <w:pStyle w:val="TableParagraph"/>
              <w:spacing w:line="244" w:lineRule="auto" w:before="4"/>
              <w:ind w:left="102" w:right="1002"/>
              <w:rPr>
                <w:sz w:val="15"/>
              </w:rPr>
            </w:pPr>
            <w:r>
              <w:rPr>
                <w:color w:val="231F20"/>
                <w:w w:val="85"/>
                <w:sz w:val="15"/>
              </w:rPr>
              <w:t>Casco de San Juan </w:t>
            </w:r>
            <w:r>
              <w:rPr>
                <w:color w:val="231F20"/>
                <w:w w:val="90"/>
                <w:sz w:val="15"/>
              </w:rPr>
              <w:t>Covadonga </w:t>
            </w:r>
            <w:r>
              <w:rPr>
                <w:color w:val="231F20"/>
                <w:w w:val="80"/>
                <w:sz w:val="15"/>
              </w:rPr>
              <w:t>Culturas de México </w:t>
            </w:r>
            <w:r>
              <w:rPr>
                <w:color w:val="231F20"/>
                <w:w w:val="90"/>
                <w:sz w:val="15"/>
              </w:rPr>
              <w:t>Ejidal</w:t>
            </w:r>
          </w:p>
          <w:p>
            <w:pPr>
              <w:pStyle w:val="TableParagraph"/>
              <w:spacing w:line="244" w:lineRule="auto"/>
              <w:ind w:left="102" w:right="1075"/>
              <w:rPr>
                <w:sz w:val="15"/>
              </w:rPr>
            </w:pPr>
            <w:r>
              <w:rPr>
                <w:color w:val="231F20"/>
                <w:w w:val="90"/>
                <w:sz w:val="15"/>
              </w:rPr>
              <w:t>Emiliano Zapata Jacalones I Jacalones II </w:t>
            </w:r>
            <w:r>
              <w:rPr>
                <w:color w:val="231F20"/>
                <w:w w:val="80"/>
                <w:sz w:val="15"/>
              </w:rPr>
              <w:t>Jardines de Chalco La Bomba</w:t>
            </w:r>
          </w:p>
          <w:p>
            <w:pPr>
              <w:pStyle w:val="TableParagraph"/>
              <w:spacing w:line="244" w:lineRule="auto"/>
              <w:ind w:left="102" w:right="892"/>
              <w:rPr>
                <w:sz w:val="15"/>
              </w:rPr>
            </w:pPr>
            <w:r>
              <w:rPr>
                <w:color w:val="231F20"/>
                <w:w w:val="90"/>
                <w:sz w:val="15"/>
              </w:rPr>
              <w:t>Nueva San Antonio Nueva San Miguel Nueva San Isidro </w:t>
            </w:r>
            <w:r>
              <w:rPr>
                <w:color w:val="231F20"/>
                <w:w w:val="80"/>
                <w:sz w:val="15"/>
              </w:rPr>
              <w:t>Santa Cruz Amalinalco </w:t>
            </w:r>
            <w:r>
              <w:rPr>
                <w:color w:val="231F20"/>
                <w:w w:val="75"/>
                <w:sz w:val="15"/>
              </w:rPr>
              <w:t>Tres Marías</w:t>
            </w:r>
          </w:p>
          <w:p>
            <w:pPr>
              <w:pStyle w:val="TableParagraph"/>
              <w:spacing w:line="244" w:lineRule="auto"/>
              <w:ind w:left="102" w:right="815"/>
              <w:rPr>
                <w:sz w:val="15"/>
              </w:rPr>
            </w:pPr>
            <w:r>
              <w:rPr>
                <w:color w:val="231F20"/>
                <w:w w:val="90"/>
                <w:sz w:val="15"/>
              </w:rPr>
              <w:t>Unión de Guadalupe </w:t>
            </w:r>
            <w:r>
              <w:rPr>
                <w:color w:val="231F20"/>
                <w:w w:val="80"/>
                <w:sz w:val="15"/>
              </w:rPr>
              <w:t>Fraternidad Antorchista</w:t>
            </w:r>
          </w:p>
        </w:tc>
      </w:tr>
      <w:tr>
        <w:trPr>
          <w:trHeight w:val="2373" w:hRule="exact"/>
        </w:trPr>
        <w:tc>
          <w:tcPr>
            <w:tcW w:w="2387" w:type="dxa"/>
          </w:tcPr>
          <w:p>
            <w:pPr>
              <w:pStyle w:val="TableParagraph"/>
              <w:spacing w:line="157" w:lineRule="exact"/>
              <w:rPr>
                <w:sz w:val="15"/>
              </w:rPr>
            </w:pPr>
            <w:r>
              <w:rPr>
                <w:color w:val="231F20"/>
                <w:w w:val="75"/>
                <w:sz w:val="15"/>
              </w:rPr>
              <w:t>IV. PUEBLOS</w:t>
            </w:r>
          </w:p>
        </w:tc>
        <w:tc>
          <w:tcPr>
            <w:tcW w:w="2108" w:type="dxa"/>
          </w:tcPr>
          <w:p>
            <w:pPr>
              <w:pStyle w:val="TableParagraph"/>
              <w:spacing w:line="157" w:lineRule="exact"/>
              <w:ind w:left="102" w:right="189"/>
              <w:rPr>
                <w:sz w:val="15"/>
              </w:rPr>
            </w:pPr>
            <w:r>
              <w:rPr>
                <w:color w:val="231F20"/>
                <w:w w:val="80"/>
                <w:sz w:val="15"/>
              </w:rPr>
              <w:t>La Candelaria Tlapala</w:t>
            </w:r>
          </w:p>
          <w:p>
            <w:pPr>
              <w:pStyle w:val="TableParagraph"/>
              <w:spacing w:line="244" w:lineRule="auto" w:before="4"/>
              <w:ind w:left="102" w:right="771"/>
              <w:rPr>
                <w:sz w:val="15"/>
              </w:rPr>
            </w:pPr>
            <w:r>
              <w:rPr>
                <w:color w:val="231F20"/>
                <w:w w:val="80"/>
                <w:sz w:val="15"/>
              </w:rPr>
              <w:t>San Gregorio Cuautzingo San Juan Tezompa</w:t>
            </w:r>
          </w:p>
          <w:p>
            <w:pPr>
              <w:pStyle w:val="TableParagraph"/>
              <w:spacing w:line="244" w:lineRule="auto"/>
              <w:ind w:left="102" w:right="771"/>
              <w:rPr>
                <w:sz w:val="15"/>
              </w:rPr>
            </w:pPr>
            <w:r>
              <w:rPr>
                <w:color w:val="231F20"/>
                <w:w w:val="85"/>
                <w:sz w:val="15"/>
              </w:rPr>
              <w:t>San Lorenzo Chimalpa </w:t>
            </w:r>
            <w:r>
              <w:rPr>
                <w:color w:val="231F20"/>
                <w:w w:val="90"/>
                <w:sz w:val="15"/>
              </w:rPr>
              <w:t>San Lucas Amalinalco San Marcos Huixtoco </w:t>
            </w:r>
            <w:r>
              <w:rPr>
                <w:color w:val="231F20"/>
                <w:w w:val="80"/>
                <w:sz w:val="15"/>
              </w:rPr>
              <w:t>San Martín Cuautlalpan </w:t>
            </w:r>
            <w:r>
              <w:rPr>
                <w:color w:val="231F20"/>
                <w:w w:val="85"/>
                <w:sz w:val="15"/>
              </w:rPr>
              <w:t>San Martín Xico Nuevo </w:t>
            </w:r>
            <w:r>
              <w:rPr>
                <w:color w:val="231F20"/>
                <w:w w:val="80"/>
                <w:sz w:val="15"/>
              </w:rPr>
              <w:t>San Mateo Huitzilzingo</w:t>
            </w:r>
          </w:p>
          <w:p>
            <w:pPr>
              <w:pStyle w:val="TableParagraph"/>
              <w:spacing w:line="244" w:lineRule="auto"/>
              <w:ind w:left="102" w:right="189"/>
              <w:rPr>
                <w:sz w:val="15"/>
              </w:rPr>
            </w:pPr>
            <w:r>
              <w:rPr>
                <w:color w:val="231F20"/>
                <w:w w:val="80"/>
                <w:sz w:val="15"/>
              </w:rPr>
              <w:t>San Mateo Tezoquipan Miraflores San Pablo Atlazalpan</w:t>
            </w:r>
          </w:p>
          <w:p>
            <w:pPr>
              <w:pStyle w:val="TableParagraph"/>
              <w:spacing w:line="244" w:lineRule="auto"/>
              <w:ind w:left="102" w:right="590"/>
              <w:rPr>
                <w:sz w:val="15"/>
              </w:rPr>
            </w:pPr>
            <w:r>
              <w:rPr>
                <w:color w:val="231F20"/>
                <w:w w:val="80"/>
                <w:sz w:val="15"/>
              </w:rPr>
              <w:t>Santa Catarina Ayotzingo Santa María Huexoculco</w:t>
            </w:r>
          </w:p>
        </w:tc>
      </w:tr>
      <w:tr>
        <w:trPr>
          <w:trHeight w:val="2186" w:hRule="exact"/>
        </w:trPr>
        <w:tc>
          <w:tcPr>
            <w:tcW w:w="2387" w:type="dxa"/>
          </w:tcPr>
          <w:p>
            <w:pPr>
              <w:pStyle w:val="TableParagraph"/>
              <w:spacing w:line="157" w:lineRule="exact"/>
              <w:rPr>
                <w:sz w:val="15"/>
              </w:rPr>
            </w:pPr>
            <w:r>
              <w:rPr>
                <w:color w:val="231F20"/>
                <w:w w:val="75"/>
                <w:sz w:val="15"/>
              </w:rPr>
              <w:t>V.  FRACCIONAMIENTOS</w:t>
            </w:r>
          </w:p>
        </w:tc>
        <w:tc>
          <w:tcPr>
            <w:tcW w:w="2108" w:type="dxa"/>
          </w:tcPr>
          <w:p>
            <w:pPr>
              <w:pStyle w:val="TableParagraph"/>
              <w:spacing w:line="157" w:lineRule="exact"/>
              <w:ind w:left="102" w:right="189"/>
              <w:rPr>
                <w:sz w:val="15"/>
              </w:rPr>
            </w:pPr>
            <w:r>
              <w:rPr>
                <w:color w:val="231F20"/>
                <w:w w:val="80"/>
                <w:sz w:val="15"/>
              </w:rPr>
              <w:t>En la cabecera municipal:</w:t>
            </w:r>
          </w:p>
          <w:p>
            <w:pPr>
              <w:pStyle w:val="TableParagraph"/>
              <w:spacing w:line="244" w:lineRule="auto" w:before="4"/>
              <w:ind w:left="102" w:right="857"/>
              <w:rPr>
                <w:sz w:val="15"/>
              </w:rPr>
            </w:pPr>
            <w:r>
              <w:rPr>
                <w:color w:val="231F20"/>
                <w:w w:val="90"/>
                <w:sz w:val="15"/>
              </w:rPr>
              <w:t>Paseos de Chalco </w:t>
            </w:r>
            <w:r>
              <w:rPr>
                <w:color w:val="231F20"/>
                <w:w w:val="85"/>
                <w:sz w:val="15"/>
              </w:rPr>
              <w:t>Bosques</w:t>
            </w:r>
            <w:r>
              <w:rPr>
                <w:color w:val="231F20"/>
                <w:spacing w:val="-18"/>
                <w:w w:val="85"/>
                <w:sz w:val="15"/>
              </w:rPr>
              <w:t> </w:t>
            </w:r>
            <w:r>
              <w:rPr>
                <w:color w:val="231F20"/>
                <w:w w:val="85"/>
                <w:sz w:val="15"/>
              </w:rPr>
              <w:t>de</w:t>
            </w:r>
            <w:r>
              <w:rPr>
                <w:color w:val="231F20"/>
                <w:spacing w:val="-18"/>
                <w:w w:val="85"/>
                <w:sz w:val="15"/>
              </w:rPr>
              <w:t> </w:t>
            </w:r>
            <w:r>
              <w:rPr>
                <w:color w:val="231F20"/>
                <w:w w:val="85"/>
                <w:sz w:val="15"/>
              </w:rPr>
              <w:t>Chalco</w:t>
            </w:r>
            <w:r>
              <w:rPr>
                <w:color w:val="231F20"/>
                <w:spacing w:val="-18"/>
                <w:w w:val="85"/>
                <w:sz w:val="15"/>
              </w:rPr>
              <w:t> </w:t>
            </w:r>
            <w:r>
              <w:rPr>
                <w:color w:val="231F20"/>
                <w:w w:val="85"/>
                <w:sz w:val="15"/>
              </w:rPr>
              <w:t>I</w:t>
            </w:r>
            <w:r>
              <w:rPr>
                <w:color w:val="231F20"/>
                <w:spacing w:val="-18"/>
                <w:w w:val="85"/>
                <w:sz w:val="15"/>
              </w:rPr>
              <w:t> </w:t>
            </w:r>
            <w:r>
              <w:rPr>
                <w:color w:val="231F20"/>
                <w:w w:val="85"/>
                <w:sz w:val="15"/>
              </w:rPr>
              <w:t>y</w:t>
            </w:r>
            <w:r>
              <w:rPr>
                <w:color w:val="231F20"/>
                <w:spacing w:val="-18"/>
                <w:w w:val="85"/>
                <w:sz w:val="15"/>
              </w:rPr>
              <w:t> </w:t>
            </w:r>
            <w:r>
              <w:rPr>
                <w:color w:val="231F20"/>
                <w:w w:val="85"/>
                <w:sz w:val="15"/>
              </w:rPr>
              <w:t>II </w:t>
            </w:r>
            <w:r>
              <w:rPr>
                <w:color w:val="231F20"/>
                <w:w w:val="80"/>
                <w:sz w:val="15"/>
              </w:rPr>
              <w:t>Los</w:t>
            </w:r>
            <w:r>
              <w:rPr>
                <w:color w:val="231F20"/>
                <w:spacing w:val="-9"/>
                <w:w w:val="80"/>
                <w:sz w:val="15"/>
              </w:rPr>
              <w:t> </w:t>
            </w:r>
            <w:r>
              <w:rPr>
                <w:color w:val="231F20"/>
                <w:w w:val="80"/>
                <w:sz w:val="15"/>
              </w:rPr>
              <w:t>Volcanes</w:t>
            </w:r>
          </w:p>
          <w:p>
            <w:pPr>
              <w:pStyle w:val="TableParagraph"/>
              <w:spacing w:line="244" w:lineRule="auto"/>
              <w:ind w:left="102" w:right="1181"/>
              <w:rPr>
                <w:sz w:val="15"/>
              </w:rPr>
            </w:pPr>
            <w:r>
              <w:rPr>
                <w:color w:val="231F20"/>
                <w:w w:val="80"/>
                <w:sz w:val="15"/>
              </w:rPr>
              <w:t>Portal de Chalco Granjas Chalco</w:t>
            </w:r>
          </w:p>
          <w:p>
            <w:pPr>
              <w:pStyle w:val="TableParagraph"/>
              <w:spacing w:line="244" w:lineRule="auto"/>
              <w:ind w:left="102" w:right="590"/>
              <w:rPr>
                <w:sz w:val="15"/>
              </w:rPr>
            </w:pPr>
            <w:r>
              <w:rPr>
                <w:color w:val="231F20"/>
                <w:w w:val="80"/>
                <w:sz w:val="15"/>
              </w:rPr>
              <w:t>En San Gregorio Cuautzingo: Los Álamos</w:t>
            </w:r>
          </w:p>
          <w:p>
            <w:pPr>
              <w:pStyle w:val="TableParagraph"/>
              <w:spacing w:line="244" w:lineRule="auto"/>
              <w:ind w:left="102" w:right="649"/>
              <w:rPr>
                <w:sz w:val="15"/>
              </w:rPr>
            </w:pPr>
            <w:r>
              <w:rPr>
                <w:color w:val="231F20"/>
                <w:w w:val="80"/>
                <w:sz w:val="15"/>
              </w:rPr>
              <w:t>En San Martín Cuautlalpan: </w:t>
            </w:r>
            <w:r>
              <w:rPr>
                <w:color w:val="231F20"/>
                <w:w w:val="85"/>
                <w:sz w:val="15"/>
              </w:rPr>
              <w:t>Villas de San Martín</w:t>
            </w:r>
          </w:p>
          <w:p>
            <w:pPr>
              <w:pStyle w:val="TableParagraph"/>
              <w:spacing w:line="244" w:lineRule="auto"/>
              <w:ind w:left="102" w:right="649"/>
              <w:rPr>
                <w:sz w:val="15"/>
              </w:rPr>
            </w:pPr>
            <w:r>
              <w:rPr>
                <w:color w:val="231F20"/>
                <w:w w:val="80"/>
                <w:sz w:val="15"/>
              </w:rPr>
              <w:t>En San Marcos Huixtoco: San Marcos</w:t>
            </w:r>
          </w:p>
        </w:tc>
      </w:tr>
      <w:tr>
        <w:trPr>
          <w:trHeight w:val="130" w:hRule="exact"/>
        </w:trPr>
        <w:tc>
          <w:tcPr>
            <w:tcW w:w="2387" w:type="dxa"/>
          </w:tcPr>
          <w:p>
            <w:pPr>
              <w:pStyle w:val="TableParagraph"/>
              <w:spacing w:line="157" w:lineRule="exact"/>
              <w:rPr>
                <w:sz w:val="15"/>
              </w:rPr>
            </w:pPr>
            <w:r>
              <w:rPr>
                <w:color w:val="231F20"/>
                <w:w w:val="80"/>
                <w:sz w:val="15"/>
              </w:rPr>
              <w:t>VI. ZONA INDUSTRIAL</w:t>
            </w:r>
          </w:p>
        </w:tc>
        <w:tc>
          <w:tcPr>
            <w:tcW w:w="2108" w:type="dxa"/>
          </w:tcPr>
          <w:p>
            <w:pPr/>
          </w:p>
        </w:tc>
      </w:tr>
    </w:tbl>
    <w:p>
      <w:pPr>
        <w:pStyle w:val="BodyText"/>
        <w:spacing w:before="10"/>
        <w:rPr>
          <w:b/>
          <w:sz w:val="16"/>
        </w:rPr>
      </w:pPr>
    </w:p>
    <w:p>
      <w:pPr>
        <w:spacing w:before="74"/>
        <w:ind w:left="628" w:right="20" w:firstLine="0"/>
        <w:jc w:val="left"/>
        <w:rPr>
          <w:rFonts w:ascii="Calibri" w:hAnsi="Calibri"/>
          <w:sz w:val="16"/>
        </w:rPr>
      </w:pPr>
      <w:r>
        <w:rPr>
          <w:rFonts w:ascii="Calibri" w:hAnsi="Calibri"/>
          <w:color w:val="231F20"/>
          <w:sz w:val="16"/>
        </w:rPr>
        <w:t>Fuente:</w:t>
      </w:r>
      <w:r>
        <w:rPr>
          <w:rFonts w:ascii="Calibri" w:hAnsi="Calibri"/>
          <w:color w:val="231F20"/>
          <w:spacing w:val="-12"/>
          <w:sz w:val="16"/>
        </w:rPr>
        <w:t> </w:t>
      </w:r>
      <w:r>
        <w:rPr>
          <w:rFonts w:ascii="Calibri" w:hAnsi="Calibri"/>
          <w:color w:val="231F20"/>
          <w:sz w:val="16"/>
        </w:rPr>
        <w:t>Elaboración</w:t>
      </w:r>
      <w:r>
        <w:rPr>
          <w:rFonts w:ascii="Calibri" w:hAnsi="Calibri"/>
          <w:color w:val="231F20"/>
          <w:spacing w:val="-12"/>
          <w:sz w:val="16"/>
        </w:rPr>
        <w:t> </w:t>
      </w:r>
      <w:r>
        <w:rPr>
          <w:rFonts w:ascii="Calibri" w:hAnsi="Calibri"/>
          <w:color w:val="231F20"/>
          <w:sz w:val="16"/>
        </w:rPr>
        <w:t>Propia</w:t>
      </w:r>
      <w:r>
        <w:rPr>
          <w:rFonts w:ascii="Calibri" w:hAnsi="Calibri"/>
          <w:color w:val="231F20"/>
          <w:spacing w:val="-12"/>
          <w:sz w:val="16"/>
        </w:rPr>
        <w:t> </w:t>
      </w:r>
      <w:r>
        <w:rPr>
          <w:rFonts w:ascii="Calibri" w:hAnsi="Calibri"/>
          <w:color w:val="231F20"/>
          <w:sz w:val="16"/>
        </w:rPr>
        <w:t>con</w:t>
      </w:r>
      <w:r>
        <w:rPr>
          <w:rFonts w:ascii="Calibri" w:hAnsi="Calibri"/>
          <w:color w:val="231F20"/>
          <w:spacing w:val="-12"/>
          <w:sz w:val="16"/>
        </w:rPr>
        <w:t> </w:t>
      </w:r>
      <w:r>
        <w:rPr>
          <w:rFonts w:ascii="Calibri" w:hAnsi="Calibri"/>
          <w:color w:val="231F20"/>
          <w:sz w:val="16"/>
        </w:rPr>
        <w:t>datos</w:t>
      </w:r>
      <w:r>
        <w:rPr>
          <w:rFonts w:ascii="Calibri" w:hAnsi="Calibri"/>
          <w:color w:val="231F20"/>
          <w:spacing w:val="-12"/>
          <w:sz w:val="16"/>
        </w:rPr>
        <w:t> </w:t>
      </w:r>
      <w:r>
        <w:rPr>
          <w:rFonts w:ascii="Calibri" w:hAnsi="Calibri"/>
          <w:color w:val="231F20"/>
          <w:sz w:val="16"/>
        </w:rPr>
        <w:t>del</w:t>
      </w:r>
      <w:r>
        <w:rPr>
          <w:rFonts w:ascii="Calibri" w:hAnsi="Calibri"/>
          <w:color w:val="231F20"/>
          <w:spacing w:val="-12"/>
          <w:sz w:val="16"/>
        </w:rPr>
        <w:t> </w:t>
      </w:r>
      <w:r>
        <w:rPr>
          <w:rFonts w:ascii="Calibri" w:hAnsi="Calibri"/>
          <w:color w:val="231F20"/>
          <w:sz w:val="16"/>
        </w:rPr>
        <w:t>Plan</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Desarrollo</w:t>
      </w:r>
      <w:r>
        <w:rPr>
          <w:rFonts w:ascii="Calibri" w:hAnsi="Calibri"/>
          <w:color w:val="231F20"/>
          <w:spacing w:val="-12"/>
          <w:sz w:val="16"/>
        </w:rPr>
        <w:t> </w:t>
      </w:r>
      <w:r>
        <w:rPr>
          <w:rFonts w:ascii="Calibri" w:hAnsi="Calibri"/>
          <w:color w:val="231F20"/>
          <w:sz w:val="16"/>
        </w:rPr>
        <w:t>Municipal</w:t>
      </w:r>
      <w:r>
        <w:rPr>
          <w:rFonts w:ascii="Calibri" w:hAnsi="Calibri"/>
          <w:color w:val="231F20"/>
          <w:spacing w:val="-12"/>
          <w:sz w:val="16"/>
        </w:rPr>
        <w:t> </w:t>
      </w:r>
      <w:r>
        <w:rPr>
          <w:rFonts w:ascii="Calibri" w:hAnsi="Calibri"/>
          <w:color w:val="231F20"/>
          <w:sz w:val="16"/>
        </w:rPr>
        <w:t>2006-2009</w:t>
      </w:r>
      <w:r>
        <w:rPr>
          <w:rFonts w:ascii="Calibri" w:hAnsi="Calibri"/>
          <w:color w:val="231F20"/>
          <w:spacing w:val="-12"/>
          <w:sz w:val="16"/>
        </w:rPr>
        <w:t> </w:t>
      </w:r>
      <w:r>
        <w:rPr>
          <w:rFonts w:ascii="Calibri" w:hAnsi="Calibri"/>
          <w:color w:val="231F20"/>
          <w:sz w:val="16"/>
        </w:rPr>
        <w:t>del</w:t>
      </w:r>
      <w:r>
        <w:rPr>
          <w:rFonts w:ascii="Calibri" w:hAnsi="Calibri"/>
          <w:color w:val="231F20"/>
          <w:spacing w:val="-12"/>
          <w:sz w:val="16"/>
        </w:rPr>
        <w:t> </w:t>
      </w:r>
      <w:r>
        <w:rPr>
          <w:rFonts w:ascii="Calibri" w:hAnsi="Calibri"/>
          <w:color w:val="231F20"/>
          <w:sz w:val="16"/>
        </w:rPr>
        <w:t>Municipio</w:t>
      </w:r>
      <w:r>
        <w:rPr>
          <w:rFonts w:ascii="Calibri" w:hAnsi="Calibri"/>
          <w:color w:val="231F20"/>
          <w:spacing w:val="-12"/>
          <w:sz w:val="16"/>
        </w:rPr>
        <w:t> </w:t>
      </w:r>
      <w:r>
        <w:rPr>
          <w:rFonts w:ascii="Calibri" w:hAnsi="Calibri"/>
          <w:color w:val="231F20"/>
          <w:sz w:val="16"/>
        </w:rPr>
        <w:t>de</w:t>
      </w:r>
      <w:r>
        <w:rPr>
          <w:rFonts w:ascii="Calibri" w:hAnsi="Calibri"/>
          <w:color w:val="231F20"/>
          <w:spacing w:val="-12"/>
          <w:sz w:val="16"/>
        </w:rPr>
        <w:t> </w:t>
      </w:r>
      <w:r>
        <w:rPr>
          <w:rFonts w:ascii="Calibri" w:hAnsi="Calibri"/>
          <w:color w:val="231F20"/>
          <w:sz w:val="16"/>
        </w:rPr>
        <w:t>Chalco.</w:t>
      </w:r>
    </w:p>
    <w:p>
      <w:pPr>
        <w:spacing w:after="0"/>
        <w:jc w:val="left"/>
        <w:rPr>
          <w:rFonts w:ascii="Calibri" w:hAnsi="Calibri"/>
          <w:sz w:val="16"/>
        </w:rPr>
        <w:sectPr>
          <w:pgSz w:w="9640" w:h="12190"/>
          <w:pgMar w:header="0" w:footer="743" w:top="1120" w:bottom="940" w:left="1340" w:right="740"/>
        </w:sectPr>
      </w:pPr>
    </w:p>
    <w:p>
      <w:pPr>
        <w:pStyle w:val="BodyText"/>
        <w:spacing w:before="8"/>
        <w:rPr>
          <w:rFonts w:ascii="Calibri"/>
          <w:sz w:val="10"/>
        </w:rPr>
      </w:pPr>
    </w:p>
    <w:p>
      <w:pPr>
        <w:pStyle w:val="BodyText"/>
        <w:spacing w:line="285" w:lineRule="auto" w:before="35"/>
        <w:ind w:left="110" w:right="128"/>
        <w:jc w:val="both"/>
      </w:pPr>
      <w:r>
        <w:rPr>
          <w:color w:val="231F20"/>
          <w:w w:val="105"/>
        </w:rPr>
        <w:t>Cabe</w:t>
      </w:r>
      <w:r>
        <w:rPr>
          <w:color w:val="231F20"/>
          <w:spacing w:val="-14"/>
          <w:w w:val="105"/>
        </w:rPr>
        <w:t> </w:t>
      </w:r>
      <w:r>
        <w:rPr>
          <w:color w:val="231F20"/>
          <w:w w:val="105"/>
        </w:rPr>
        <w:t>destacar</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composición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población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de</w:t>
      </w:r>
      <w:r>
        <w:rPr>
          <w:color w:val="231F20"/>
          <w:spacing w:val="-14"/>
          <w:w w:val="105"/>
        </w:rPr>
        <w:t> </w:t>
      </w:r>
      <w:r>
        <w:rPr>
          <w:color w:val="231F20"/>
          <w:w w:val="105"/>
        </w:rPr>
        <w:t>Chalco</w:t>
      </w:r>
      <w:r>
        <w:rPr>
          <w:color w:val="231F20"/>
          <w:spacing w:val="-14"/>
          <w:w w:val="105"/>
        </w:rPr>
        <w:t> </w:t>
      </w:r>
      <w:r>
        <w:rPr>
          <w:color w:val="231F20"/>
          <w:w w:val="105"/>
        </w:rPr>
        <w:t>está</w:t>
      </w:r>
      <w:r>
        <w:rPr>
          <w:color w:val="231F20"/>
          <w:spacing w:val="-14"/>
          <w:w w:val="105"/>
        </w:rPr>
        <w:t> </w:t>
      </w:r>
      <w:r>
        <w:rPr>
          <w:color w:val="231F20"/>
          <w:spacing w:val="-2"/>
          <w:w w:val="105"/>
        </w:rPr>
        <w:t>deter- </w:t>
      </w:r>
      <w:r>
        <w:rPr>
          <w:color w:val="231F20"/>
          <w:w w:val="105"/>
        </w:rPr>
        <w:t>minada</w:t>
      </w:r>
      <w:r>
        <w:rPr>
          <w:color w:val="231F20"/>
          <w:spacing w:val="-16"/>
          <w:w w:val="105"/>
        </w:rPr>
        <w:t> </w:t>
      </w:r>
      <w:r>
        <w:rPr>
          <w:color w:val="231F20"/>
          <w:w w:val="105"/>
        </w:rPr>
        <w:t>por</w:t>
      </w:r>
      <w:r>
        <w:rPr>
          <w:color w:val="231F20"/>
          <w:spacing w:val="-16"/>
          <w:w w:val="105"/>
        </w:rPr>
        <w:t> </w:t>
      </w:r>
      <w:r>
        <w:rPr>
          <w:color w:val="231F20"/>
          <w:w w:val="105"/>
        </w:rPr>
        <w:t>un</w:t>
      </w:r>
      <w:r>
        <w:rPr>
          <w:color w:val="231F20"/>
          <w:spacing w:val="-16"/>
          <w:w w:val="105"/>
        </w:rPr>
        <w:t> </w:t>
      </w:r>
      <w:r>
        <w:rPr>
          <w:color w:val="231F20"/>
          <w:w w:val="105"/>
        </w:rPr>
        <w:t>93.43</w:t>
      </w:r>
      <w:r>
        <w:rPr>
          <w:color w:val="231F20"/>
          <w:spacing w:val="-16"/>
          <w:w w:val="105"/>
        </w:rPr>
        <w:t> </w:t>
      </w:r>
      <w:r>
        <w:rPr>
          <w:color w:val="231F20"/>
          <w:w w:val="105"/>
        </w:rPr>
        <w:t>%</w:t>
      </w:r>
      <w:r>
        <w:rPr>
          <w:color w:val="231F20"/>
          <w:spacing w:val="-16"/>
          <w:w w:val="105"/>
        </w:rPr>
        <w:t> </w:t>
      </w:r>
      <w:r>
        <w:rPr>
          <w:color w:val="231F20"/>
          <w:w w:val="105"/>
        </w:rPr>
        <w:t>de</w:t>
      </w:r>
      <w:r>
        <w:rPr>
          <w:color w:val="231F20"/>
          <w:spacing w:val="-16"/>
          <w:w w:val="105"/>
        </w:rPr>
        <w:t> </w:t>
      </w:r>
      <w:r>
        <w:rPr>
          <w:color w:val="231F20"/>
          <w:w w:val="105"/>
        </w:rPr>
        <w:t>población</w:t>
      </w:r>
      <w:r>
        <w:rPr>
          <w:color w:val="231F20"/>
          <w:spacing w:val="-16"/>
          <w:w w:val="105"/>
        </w:rPr>
        <w:t> </w:t>
      </w:r>
      <w:r>
        <w:rPr>
          <w:color w:val="231F20"/>
          <w:w w:val="105"/>
        </w:rPr>
        <w:t>urbana</w:t>
      </w:r>
      <w:r>
        <w:rPr>
          <w:color w:val="231F20"/>
          <w:spacing w:val="-16"/>
          <w:w w:val="105"/>
        </w:rPr>
        <w:t> </w:t>
      </w:r>
      <w:r>
        <w:rPr>
          <w:color w:val="231F20"/>
          <w:w w:val="105"/>
        </w:rPr>
        <w:t>y</w:t>
      </w:r>
      <w:r>
        <w:rPr>
          <w:color w:val="231F20"/>
          <w:spacing w:val="-16"/>
          <w:w w:val="105"/>
        </w:rPr>
        <w:t> </w:t>
      </w:r>
      <w:r>
        <w:rPr>
          <w:color w:val="231F20"/>
          <w:w w:val="105"/>
        </w:rPr>
        <w:t>un</w:t>
      </w:r>
      <w:r>
        <w:rPr>
          <w:color w:val="231F20"/>
          <w:spacing w:val="-16"/>
          <w:w w:val="105"/>
        </w:rPr>
        <w:t> </w:t>
      </w:r>
      <w:r>
        <w:rPr>
          <w:color w:val="231F20"/>
          <w:w w:val="105"/>
        </w:rPr>
        <w:t>6.57%</w:t>
      </w:r>
      <w:r>
        <w:rPr>
          <w:color w:val="231F20"/>
          <w:spacing w:val="-16"/>
          <w:w w:val="105"/>
        </w:rPr>
        <w:t> </w:t>
      </w:r>
      <w:r>
        <w:rPr>
          <w:color w:val="231F20"/>
          <w:w w:val="105"/>
        </w:rPr>
        <w:t>de</w:t>
      </w:r>
      <w:r>
        <w:rPr>
          <w:color w:val="231F20"/>
          <w:spacing w:val="-16"/>
          <w:w w:val="105"/>
        </w:rPr>
        <w:t> </w:t>
      </w:r>
      <w:r>
        <w:rPr>
          <w:color w:val="231F20"/>
          <w:w w:val="105"/>
        </w:rPr>
        <w:t>población</w:t>
      </w:r>
      <w:r>
        <w:rPr>
          <w:color w:val="231F20"/>
          <w:spacing w:val="-16"/>
          <w:w w:val="105"/>
        </w:rPr>
        <w:t> </w:t>
      </w:r>
      <w:r>
        <w:rPr>
          <w:color w:val="231F20"/>
          <w:spacing w:val="2"/>
          <w:w w:val="105"/>
        </w:rPr>
        <w:t>rural.</w:t>
      </w:r>
    </w:p>
    <w:p>
      <w:pPr>
        <w:pStyle w:val="BodyText"/>
        <w:spacing w:before="10"/>
      </w:pPr>
    </w:p>
    <w:p>
      <w:pPr>
        <w:pStyle w:val="Heading3"/>
      </w:pPr>
      <w:r>
        <w:rPr>
          <w:color w:val="231F20"/>
          <w:w w:val="105"/>
        </w:rPr>
        <w:t>Datos Socioeconómicos</w:t>
      </w:r>
    </w:p>
    <w:p>
      <w:pPr>
        <w:pStyle w:val="BodyText"/>
        <w:spacing w:line="285" w:lineRule="auto" w:before="38"/>
        <w:ind w:left="110" w:right="128"/>
        <w:jc w:val="both"/>
      </w:pPr>
      <w:r>
        <w:rPr>
          <w:color w:val="231F20"/>
          <w:w w:val="105"/>
        </w:rPr>
        <w:t>Chalco se ha caracterizado por ser un Municipio </w:t>
      </w:r>
      <w:r>
        <w:rPr>
          <w:color w:val="231F20"/>
          <w:spacing w:val="2"/>
          <w:w w:val="105"/>
        </w:rPr>
        <w:t>al </w:t>
      </w:r>
      <w:r>
        <w:rPr>
          <w:color w:val="231F20"/>
          <w:w w:val="105"/>
        </w:rPr>
        <w:t>cual acude la mayoría de la gente de</w:t>
      </w:r>
      <w:r>
        <w:rPr>
          <w:color w:val="231F20"/>
          <w:spacing w:val="-11"/>
          <w:w w:val="105"/>
        </w:rPr>
        <w:t> </w:t>
      </w:r>
      <w:r>
        <w:rPr>
          <w:color w:val="231F20"/>
          <w:w w:val="105"/>
        </w:rPr>
        <w:t>los</w:t>
      </w:r>
      <w:r>
        <w:rPr>
          <w:color w:val="231F20"/>
          <w:spacing w:val="-11"/>
          <w:w w:val="105"/>
        </w:rPr>
        <w:t> </w:t>
      </w:r>
      <w:r>
        <w:rPr>
          <w:color w:val="231F20"/>
          <w:w w:val="105"/>
        </w:rPr>
        <w:t>Municipio</w:t>
      </w:r>
      <w:r>
        <w:rPr>
          <w:color w:val="231F20"/>
          <w:spacing w:val="-11"/>
          <w:w w:val="105"/>
        </w:rPr>
        <w:t> </w:t>
      </w:r>
      <w:r>
        <w:rPr>
          <w:color w:val="231F20"/>
          <w:w w:val="105"/>
        </w:rPr>
        <w:t>aledaños</w:t>
      </w:r>
      <w:r>
        <w:rPr>
          <w:color w:val="231F20"/>
          <w:spacing w:val="-11"/>
          <w:w w:val="105"/>
        </w:rPr>
        <w:t> </w:t>
      </w:r>
      <w:r>
        <w:rPr>
          <w:color w:val="231F20"/>
          <w:w w:val="105"/>
        </w:rPr>
        <w:t>así</w:t>
      </w:r>
      <w:r>
        <w:rPr>
          <w:color w:val="231F20"/>
          <w:spacing w:val="-11"/>
          <w:w w:val="105"/>
        </w:rPr>
        <w:t> </w:t>
      </w:r>
      <w:r>
        <w:rPr>
          <w:color w:val="231F20"/>
          <w:w w:val="105"/>
        </w:rPr>
        <w:t>como</w:t>
      </w:r>
      <w:r>
        <w:rPr>
          <w:color w:val="231F20"/>
          <w:spacing w:val="-11"/>
          <w:w w:val="105"/>
        </w:rPr>
        <w:t> </w:t>
      </w:r>
      <w:r>
        <w:rPr>
          <w:color w:val="231F20"/>
          <w:w w:val="105"/>
        </w:rPr>
        <w:t>de</w:t>
      </w:r>
      <w:r>
        <w:rPr>
          <w:color w:val="231F20"/>
          <w:spacing w:val="-11"/>
          <w:w w:val="105"/>
        </w:rPr>
        <w:t> </w:t>
      </w:r>
      <w:r>
        <w:rPr>
          <w:color w:val="231F20"/>
          <w:w w:val="105"/>
        </w:rPr>
        <w:t>sus</w:t>
      </w:r>
      <w:r>
        <w:rPr>
          <w:color w:val="231F20"/>
          <w:spacing w:val="-11"/>
          <w:w w:val="105"/>
        </w:rPr>
        <w:t> </w:t>
      </w:r>
      <w:r>
        <w:rPr>
          <w:color w:val="231F20"/>
          <w:w w:val="105"/>
        </w:rPr>
        <w:t>mismas</w:t>
      </w:r>
      <w:r>
        <w:rPr>
          <w:color w:val="231F20"/>
          <w:spacing w:val="-11"/>
          <w:w w:val="105"/>
        </w:rPr>
        <w:t> </w:t>
      </w:r>
      <w:r>
        <w:rPr>
          <w:color w:val="231F20"/>
          <w:w w:val="105"/>
        </w:rPr>
        <w:t>delegaciones</w:t>
      </w:r>
      <w:r>
        <w:rPr>
          <w:color w:val="231F20"/>
          <w:spacing w:val="-11"/>
          <w:w w:val="105"/>
        </w:rPr>
        <w:t> </w:t>
      </w:r>
      <w:r>
        <w:rPr>
          <w:color w:val="231F20"/>
          <w:w w:val="105"/>
        </w:rPr>
        <w:t>para</w:t>
      </w:r>
      <w:r>
        <w:rPr>
          <w:color w:val="231F20"/>
          <w:spacing w:val="-11"/>
          <w:w w:val="105"/>
        </w:rPr>
        <w:t> </w:t>
      </w:r>
      <w:r>
        <w:rPr>
          <w:color w:val="231F20"/>
          <w:w w:val="105"/>
        </w:rPr>
        <w:t>realizar</w:t>
      </w:r>
      <w:r>
        <w:rPr>
          <w:color w:val="231F20"/>
          <w:spacing w:val="-11"/>
          <w:w w:val="105"/>
        </w:rPr>
        <w:t> </w:t>
      </w:r>
      <w:r>
        <w:rPr>
          <w:color w:val="231F20"/>
          <w:w w:val="105"/>
        </w:rPr>
        <w:t>sus</w:t>
      </w:r>
      <w:r>
        <w:rPr>
          <w:color w:val="231F20"/>
          <w:spacing w:val="-11"/>
          <w:w w:val="105"/>
        </w:rPr>
        <w:t> </w:t>
      </w:r>
      <w:r>
        <w:rPr>
          <w:color w:val="231F20"/>
          <w:spacing w:val="-3"/>
          <w:w w:val="105"/>
        </w:rPr>
        <w:t>com- </w:t>
      </w:r>
      <w:r>
        <w:rPr>
          <w:color w:val="231F20"/>
          <w:w w:val="105"/>
        </w:rPr>
        <w:t>pras, realizar diversos trámites y por entretenimiento. </w:t>
      </w:r>
      <w:r>
        <w:rPr>
          <w:color w:val="231F20"/>
          <w:spacing w:val="-3"/>
          <w:w w:val="105"/>
        </w:rPr>
        <w:t>Por </w:t>
      </w:r>
      <w:r>
        <w:rPr>
          <w:color w:val="231F20"/>
          <w:w w:val="105"/>
        </w:rPr>
        <w:t>lo tanto, su actividad más importante</w:t>
      </w:r>
      <w:r>
        <w:rPr>
          <w:color w:val="231F20"/>
          <w:spacing w:val="-6"/>
          <w:w w:val="105"/>
        </w:rPr>
        <w:t> </w:t>
      </w:r>
      <w:r>
        <w:rPr>
          <w:color w:val="231F20"/>
          <w:w w:val="105"/>
        </w:rPr>
        <w:t>es</w:t>
      </w:r>
      <w:r>
        <w:rPr>
          <w:color w:val="231F20"/>
          <w:spacing w:val="-6"/>
          <w:w w:val="105"/>
        </w:rPr>
        <w:t> </w:t>
      </w:r>
      <w:r>
        <w:rPr>
          <w:color w:val="231F20"/>
          <w:w w:val="105"/>
        </w:rPr>
        <w:t>la</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refiere</w:t>
      </w:r>
      <w:r>
        <w:rPr>
          <w:color w:val="231F20"/>
          <w:spacing w:val="-6"/>
          <w:w w:val="105"/>
        </w:rPr>
        <w:t> </w:t>
      </w:r>
      <w:r>
        <w:rPr>
          <w:color w:val="231F20"/>
          <w:spacing w:val="2"/>
          <w:w w:val="105"/>
        </w:rPr>
        <w:t>al</w:t>
      </w:r>
      <w:r>
        <w:rPr>
          <w:color w:val="231F20"/>
          <w:spacing w:val="-6"/>
          <w:w w:val="105"/>
        </w:rPr>
        <w:t> </w:t>
      </w:r>
      <w:r>
        <w:rPr>
          <w:color w:val="231F20"/>
          <w:w w:val="105"/>
        </w:rPr>
        <w:t>sector</w:t>
      </w:r>
      <w:r>
        <w:rPr>
          <w:color w:val="231F20"/>
          <w:spacing w:val="-6"/>
          <w:w w:val="105"/>
        </w:rPr>
        <w:t> </w:t>
      </w:r>
      <w:r>
        <w:rPr>
          <w:color w:val="231F20"/>
          <w:w w:val="105"/>
        </w:rPr>
        <w:t>terciario,</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cual</w:t>
      </w:r>
      <w:r>
        <w:rPr>
          <w:color w:val="231F20"/>
          <w:spacing w:val="-6"/>
          <w:w w:val="105"/>
        </w:rPr>
        <w:t> </w:t>
      </w:r>
      <w:r>
        <w:rPr>
          <w:color w:val="231F20"/>
          <w:w w:val="105"/>
        </w:rPr>
        <w:t>está</w:t>
      </w:r>
      <w:r>
        <w:rPr>
          <w:color w:val="231F20"/>
          <w:spacing w:val="-6"/>
          <w:w w:val="105"/>
        </w:rPr>
        <w:t> </w:t>
      </w:r>
      <w:r>
        <w:rPr>
          <w:color w:val="231F20"/>
          <w:w w:val="105"/>
        </w:rPr>
        <w:t>ocupada</w:t>
      </w:r>
      <w:r>
        <w:rPr>
          <w:color w:val="231F20"/>
          <w:spacing w:val="-6"/>
          <w:w w:val="105"/>
        </w:rPr>
        <w:t> </w:t>
      </w:r>
      <w:r>
        <w:rPr>
          <w:color w:val="231F20"/>
          <w:w w:val="105"/>
        </w:rPr>
        <w:t>la</w:t>
      </w:r>
      <w:r>
        <w:rPr>
          <w:color w:val="231F20"/>
          <w:spacing w:val="-6"/>
          <w:w w:val="105"/>
        </w:rPr>
        <w:t> </w:t>
      </w:r>
      <w:r>
        <w:rPr>
          <w:color w:val="231F20"/>
          <w:w w:val="105"/>
        </w:rPr>
        <w:t>mayoría</w:t>
      </w:r>
      <w:r>
        <w:rPr>
          <w:color w:val="231F20"/>
          <w:spacing w:val="-6"/>
          <w:w w:val="105"/>
        </w:rPr>
        <w:t> </w:t>
      </w:r>
      <w:r>
        <w:rPr>
          <w:color w:val="231F20"/>
          <w:w w:val="105"/>
        </w:rPr>
        <w:t>de los</w:t>
      </w:r>
      <w:r>
        <w:rPr>
          <w:color w:val="231F20"/>
          <w:spacing w:val="-20"/>
          <w:w w:val="105"/>
        </w:rPr>
        <w:t> </w:t>
      </w:r>
      <w:r>
        <w:rPr>
          <w:color w:val="231F20"/>
          <w:w w:val="105"/>
        </w:rPr>
        <w:t>ciudadanos.</w:t>
      </w:r>
      <w:r>
        <w:rPr>
          <w:color w:val="231F20"/>
          <w:spacing w:val="-20"/>
          <w:w w:val="105"/>
        </w:rPr>
        <w:t> </w:t>
      </w:r>
      <w:r>
        <w:rPr>
          <w:color w:val="231F20"/>
          <w:w w:val="105"/>
        </w:rPr>
        <w:t>Se</w:t>
      </w:r>
      <w:r>
        <w:rPr>
          <w:color w:val="231F20"/>
          <w:spacing w:val="-20"/>
          <w:w w:val="105"/>
        </w:rPr>
        <w:t> </w:t>
      </w:r>
      <w:r>
        <w:rPr>
          <w:color w:val="231F20"/>
          <w:w w:val="105"/>
        </w:rPr>
        <w:t>dedican</w:t>
      </w:r>
      <w:r>
        <w:rPr>
          <w:color w:val="231F20"/>
          <w:spacing w:val="-20"/>
          <w:w w:val="105"/>
        </w:rPr>
        <w:t> </w:t>
      </w:r>
      <w:r>
        <w:rPr>
          <w:color w:val="231F20"/>
          <w:w w:val="105"/>
        </w:rPr>
        <w:t>primordialmente</w:t>
      </w:r>
      <w:r>
        <w:rPr>
          <w:color w:val="231F20"/>
          <w:spacing w:val="-20"/>
          <w:w w:val="105"/>
        </w:rPr>
        <w:t> </w:t>
      </w:r>
      <w:r>
        <w:rPr>
          <w:color w:val="231F20"/>
          <w:spacing w:val="2"/>
          <w:w w:val="105"/>
        </w:rPr>
        <w:t>al</w:t>
      </w:r>
      <w:r>
        <w:rPr>
          <w:color w:val="231F20"/>
          <w:spacing w:val="-20"/>
          <w:w w:val="105"/>
        </w:rPr>
        <w:t> </w:t>
      </w:r>
      <w:r>
        <w:rPr>
          <w:color w:val="231F20"/>
          <w:w w:val="105"/>
        </w:rPr>
        <w:t>comercio</w:t>
      </w:r>
      <w:r>
        <w:rPr>
          <w:color w:val="231F20"/>
          <w:spacing w:val="-20"/>
          <w:w w:val="105"/>
        </w:rPr>
        <w:t> </w:t>
      </w:r>
      <w:r>
        <w:rPr>
          <w:color w:val="231F20"/>
          <w:w w:val="105"/>
        </w:rPr>
        <w:t>de</w:t>
      </w:r>
      <w:r>
        <w:rPr>
          <w:color w:val="231F20"/>
          <w:spacing w:val="-20"/>
          <w:w w:val="105"/>
        </w:rPr>
        <w:t> </w:t>
      </w:r>
      <w:r>
        <w:rPr>
          <w:color w:val="231F20"/>
          <w:w w:val="105"/>
        </w:rPr>
        <w:t>mayoreo</w:t>
      </w:r>
      <w:r>
        <w:rPr>
          <w:color w:val="231F20"/>
          <w:spacing w:val="-20"/>
          <w:w w:val="105"/>
        </w:rPr>
        <w:t> </w:t>
      </w:r>
      <w:r>
        <w:rPr>
          <w:color w:val="231F20"/>
          <w:w w:val="105"/>
        </w:rPr>
        <w:t>y</w:t>
      </w:r>
      <w:r>
        <w:rPr>
          <w:color w:val="231F20"/>
          <w:spacing w:val="-20"/>
          <w:w w:val="105"/>
        </w:rPr>
        <w:t> </w:t>
      </w:r>
      <w:r>
        <w:rPr>
          <w:color w:val="231F20"/>
          <w:w w:val="105"/>
        </w:rPr>
        <w:t>menudeo.</w:t>
      </w:r>
      <w:r>
        <w:rPr>
          <w:color w:val="231F20"/>
          <w:spacing w:val="-20"/>
          <w:w w:val="105"/>
        </w:rPr>
        <w:t> </w:t>
      </w:r>
      <w:r>
        <w:rPr>
          <w:color w:val="231F20"/>
          <w:spacing w:val="-5"/>
          <w:w w:val="105"/>
        </w:rPr>
        <w:t>Todos </w:t>
      </w:r>
      <w:r>
        <w:rPr>
          <w:color w:val="231F20"/>
          <w:w w:val="105"/>
        </w:rPr>
        <w:t>los</w:t>
      </w:r>
      <w:r>
        <w:rPr>
          <w:color w:val="231F20"/>
          <w:spacing w:val="-6"/>
          <w:w w:val="105"/>
        </w:rPr>
        <w:t> </w:t>
      </w:r>
      <w:r>
        <w:rPr>
          <w:color w:val="231F20"/>
          <w:w w:val="105"/>
        </w:rPr>
        <w:t>viernes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cabecera</w:t>
      </w:r>
      <w:r>
        <w:rPr>
          <w:color w:val="231F20"/>
          <w:spacing w:val="-6"/>
          <w:w w:val="105"/>
        </w:rPr>
        <w:t> </w:t>
      </w:r>
      <w:r>
        <w:rPr>
          <w:color w:val="231F20"/>
          <w:w w:val="105"/>
        </w:rPr>
        <w:t>municipal</w:t>
      </w:r>
      <w:r>
        <w:rPr>
          <w:color w:val="231F20"/>
          <w:spacing w:val="-6"/>
          <w:w w:val="105"/>
        </w:rPr>
        <w:t> </w:t>
      </w:r>
      <w:r>
        <w:rPr>
          <w:color w:val="231F20"/>
          <w:w w:val="105"/>
        </w:rPr>
        <w:t>hay</w:t>
      </w:r>
      <w:r>
        <w:rPr>
          <w:color w:val="231F20"/>
          <w:spacing w:val="-6"/>
          <w:w w:val="105"/>
        </w:rPr>
        <w:t> </w:t>
      </w:r>
      <w:r>
        <w:rPr>
          <w:color w:val="231F20"/>
          <w:w w:val="105"/>
        </w:rPr>
        <w:t>un</w:t>
      </w:r>
      <w:r>
        <w:rPr>
          <w:color w:val="231F20"/>
          <w:spacing w:val="-6"/>
          <w:w w:val="105"/>
        </w:rPr>
        <w:t> </w:t>
      </w:r>
      <w:r>
        <w:rPr>
          <w:color w:val="231F20"/>
          <w:spacing w:val="2"/>
          <w:w w:val="105"/>
        </w:rPr>
        <w:t>tianguis</w:t>
      </w:r>
      <w:r>
        <w:rPr>
          <w:color w:val="231F20"/>
          <w:spacing w:val="-6"/>
          <w:w w:val="105"/>
        </w:rPr>
        <w:t> </w:t>
      </w:r>
      <w:r>
        <w:rPr>
          <w:color w:val="231F20"/>
          <w:w w:val="105"/>
        </w:rPr>
        <w:t>que</w:t>
      </w:r>
      <w:r>
        <w:rPr>
          <w:color w:val="231F20"/>
          <w:spacing w:val="-6"/>
          <w:w w:val="105"/>
        </w:rPr>
        <w:t> </w:t>
      </w:r>
      <w:r>
        <w:rPr>
          <w:color w:val="231F20"/>
          <w:w w:val="105"/>
        </w:rPr>
        <w:t>data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época</w:t>
      </w:r>
      <w:r>
        <w:rPr>
          <w:color w:val="231F20"/>
          <w:spacing w:val="-6"/>
          <w:w w:val="105"/>
        </w:rPr>
        <w:t> </w:t>
      </w:r>
      <w:r>
        <w:rPr>
          <w:color w:val="231F20"/>
          <w:w w:val="105"/>
        </w:rPr>
        <w:t>prehispánica y que se ha mantenido hasta nuestros</w:t>
      </w:r>
      <w:r>
        <w:rPr>
          <w:color w:val="231F20"/>
          <w:spacing w:val="-36"/>
          <w:w w:val="105"/>
        </w:rPr>
        <w:t> </w:t>
      </w:r>
      <w:r>
        <w:rPr>
          <w:color w:val="231F20"/>
          <w:w w:val="105"/>
        </w:rPr>
        <w:t>días.</w:t>
      </w:r>
    </w:p>
    <w:p>
      <w:pPr>
        <w:pStyle w:val="BodyText"/>
        <w:spacing w:before="1"/>
        <w:rPr>
          <w:sz w:val="26"/>
        </w:rPr>
      </w:pPr>
    </w:p>
    <w:p>
      <w:pPr>
        <w:pStyle w:val="BodyText"/>
        <w:spacing w:line="285" w:lineRule="auto"/>
        <w:ind w:left="110" w:right="128"/>
        <w:jc w:val="both"/>
      </w:pPr>
      <w:r>
        <w:rPr>
          <w:color w:val="231F20"/>
          <w:w w:val="105"/>
        </w:rPr>
        <w:t>La</w:t>
      </w:r>
      <w:r>
        <w:rPr>
          <w:color w:val="231F20"/>
          <w:spacing w:val="-19"/>
          <w:w w:val="105"/>
        </w:rPr>
        <w:t> </w:t>
      </w:r>
      <w:r>
        <w:rPr>
          <w:color w:val="231F20"/>
          <w:w w:val="105"/>
        </w:rPr>
        <w:t>población</w:t>
      </w:r>
      <w:r>
        <w:rPr>
          <w:color w:val="231F20"/>
          <w:spacing w:val="-19"/>
          <w:w w:val="105"/>
        </w:rPr>
        <w:t> </w:t>
      </w:r>
      <w:r>
        <w:rPr>
          <w:color w:val="231F20"/>
          <w:w w:val="105"/>
        </w:rPr>
        <w:t>económicamente</w:t>
      </w:r>
      <w:r>
        <w:rPr>
          <w:color w:val="231F20"/>
          <w:spacing w:val="-19"/>
          <w:w w:val="105"/>
        </w:rPr>
        <w:t> </w:t>
      </w:r>
      <w:r>
        <w:rPr>
          <w:color w:val="231F20"/>
          <w:w w:val="105"/>
        </w:rPr>
        <w:t>activa</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es</w:t>
      </w:r>
      <w:r>
        <w:rPr>
          <w:color w:val="231F20"/>
          <w:spacing w:val="-19"/>
          <w:w w:val="105"/>
        </w:rPr>
        <w:t> </w:t>
      </w:r>
      <w:r>
        <w:rPr>
          <w:color w:val="231F20"/>
          <w:w w:val="105"/>
        </w:rPr>
        <w:t>de</w:t>
      </w:r>
      <w:r>
        <w:rPr>
          <w:color w:val="231F20"/>
          <w:spacing w:val="-19"/>
          <w:w w:val="105"/>
        </w:rPr>
        <w:t> </w:t>
      </w:r>
      <w:r>
        <w:rPr>
          <w:color w:val="231F20"/>
          <w:w w:val="105"/>
        </w:rPr>
        <w:t>68,108</w:t>
      </w:r>
      <w:r>
        <w:rPr>
          <w:color w:val="231F20"/>
          <w:spacing w:val="-19"/>
          <w:w w:val="105"/>
        </w:rPr>
        <w:t> </w:t>
      </w:r>
      <w:r>
        <w:rPr>
          <w:color w:val="231F20"/>
          <w:w w:val="105"/>
        </w:rPr>
        <w:t>habitantes,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cua- les</w:t>
      </w:r>
      <w:r>
        <w:rPr>
          <w:color w:val="231F20"/>
          <w:spacing w:val="-20"/>
          <w:w w:val="105"/>
        </w:rPr>
        <w:t> </w:t>
      </w:r>
      <w:r>
        <w:rPr>
          <w:color w:val="231F20"/>
          <w:w w:val="105"/>
        </w:rPr>
        <w:t>3,882</w:t>
      </w:r>
      <w:r>
        <w:rPr>
          <w:color w:val="231F20"/>
          <w:spacing w:val="-20"/>
          <w:w w:val="105"/>
        </w:rPr>
        <w:t> </w:t>
      </w:r>
      <w:r>
        <w:rPr>
          <w:color w:val="231F20"/>
          <w:w w:val="105"/>
        </w:rPr>
        <w:t>se</w:t>
      </w:r>
      <w:r>
        <w:rPr>
          <w:color w:val="231F20"/>
          <w:spacing w:val="-20"/>
          <w:w w:val="105"/>
        </w:rPr>
        <w:t> </w:t>
      </w:r>
      <w:r>
        <w:rPr>
          <w:color w:val="231F20"/>
          <w:w w:val="105"/>
        </w:rPr>
        <w:t>dedican</w:t>
      </w:r>
      <w:r>
        <w:rPr>
          <w:color w:val="231F20"/>
          <w:spacing w:val="-20"/>
          <w:w w:val="105"/>
        </w:rPr>
        <w:t> </w:t>
      </w:r>
      <w:r>
        <w:rPr>
          <w:color w:val="231F20"/>
          <w:spacing w:val="2"/>
          <w:w w:val="105"/>
        </w:rPr>
        <w:t>al</w:t>
      </w:r>
      <w:r>
        <w:rPr>
          <w:color w:val="231F20"/>
          <w:spacing w:val="-20"/>
          <w:w w:val="105"/>
        </w:rPr>
        <w:t> </w:t>
      </w:r>
      <w:r>
        <w:rPr>
          <w:color w:val="231F20"/>
          <w:w w:val="105"/>
        </w:rPr>
        <w:t>sector</w:t>
      </w:r>
      <w:r>
        <w:rPr>
          <w:color w:val="231F20"/>
          <w:spacing w:val="-20"/>
          <w:w w:val="105"/>
        </w:rPr>
        <w:t> </w:t>
      </w:r>
      <w:r>
        <w:rPr>
          <w:color w:val="231F20"/>
          <w:w w:val="105"/>
        </w:rPr>
        <w:t>primario</w:t>
      </w:r>
      <w:r>
        <w:rPr>
          <w:color w:val="231F20"/>
          <w:spacing w:val="-20"/>
          <w:w w:val="105"/>
        </w:rPr>
        <w:t> </w:t>
      </w:r>
      <w:r>
        <w:rPr>
          <w:color w:val="231F20"/>
          <w:w w:val="105"/>
        </w:rPr>
        <w:t>que</w:t>
      </w:r>
      <w:r>
        <w:rPr>
          <w:color w:val="231F20"/>
          <w:spacing w:val="-20"/>
          <w:w w:val="105"/>
        </w:rPr>
        <w:t> </w:t>
      </w:r>
      <w:r>
        <w:rPr>
          <w:color w:val="231F20"/>
          <w:w w:val="105"/>
        </w:rPr>
        <w:t>representa</w:t>
      </w:r>
      <w:r>
        <w:rPr>
          <w:color w:val="231F20"/>
          <w:spacing w:val="-20"/>
          <w:w w:val="105"/>
        </w:rPr>
        <w:t> </w:t>
      </w:r>
      <w:r>
        <w:rPr>
          <w:color w:val="231F20"/>
          <w:w w:val="105"/>
        </w:rPr>
        <w:t>el</w:t>
      </w:r>
      <w:r>
        <w:rPr>
          <w:color w:val="231F20"/>
          <w:spacing w:val="-20"/>
          <w:w w:val="105"/>
        </w:rPr>
        <w:t> </w:t>
      </w:r>
      <w:r>
        <w:rPr>
          <w:color w:val="231F20"/>
          <w:w w:val="105"/>
        </w:rPr>
        <w:t>5.7%,</w:t>
      </w:r>
      <w:r>
        <w:rPr>
          <w:color w:val="231F20"/>
          <w:spacing w:val="-20"/>
          <w:w w:val="105"/>
        </w:rPr>
        <w:t> </w:t>
      </w:r>
      <w:r>
        <w:rPr>
          <w:color w:val="231F20"/>
          <w:w w:val="105"/>
        </w:rPr>
        <w:t>22,135</w:t>
      </w:r>
      <w:r>
        <w:rPr>
          <w:color w:val="231F20"/>
          <w:spacing w:val="-20"/>
          <w:w w:val="105"/>
        </w:rPr>
        <w:t> </w:t>
      </w:r>
      <w:r>
        <w:rPr>
          <w:color w:val="231F20"/>
          <w:spacing w:val="2"/>
          <w:w w:val="105"/>
        </w:rPr>
        <w:t>al</w:t>
      </w:r>
      <w:r>
        <w:rPr>
          <w:color w:val="231F20"/>
          <w:spacing w:val="-20"/>
          <w:w w:val="105"/>
        </w:rPr>
        <w:t> </w:t>
      </w:r>
      <w:r>
        <w:rPr>
          <w:color w:val="231F20"/>
          <w:w w:val="105"/>
        </w:rPr>
        <w:t>sector</w:t>
      </w:r>
      <w:r>
        <w:rPr>
          <w:color w:val="231F20"/>
          <w:spacing w:val="-20"/>
          <w:w w:val="105"/>
        </w:rPr>
        <w:t> </w:t>
      </w:r>
      <w:r>
        <w:rPr>
          <w:color w:val="231F20"/>
          <w:w w:val="105"/>
        </w:rPr>
        <w:t>secunda- rio</w:t>
      </w:r>
      <w:r>
        <w:rPr>
          <w:color w:val="231F20"/>
          <w:spacing w:val="-11"/>
          <w:w w:val="105"/>
        </w:rPr>
        <w:t> </w:t>
      </w:r>
      <w:r>
        <w:rPr>
          <w:color w:val="231F20"/>
          <w:w w:val="105"/>
        </w:rPr>
        <w:t>representando</w:t>
      </w:r>
      <w:r>
        <w:rPr>
          <w:color w:val="231F20"/>
          <w:spacing w:val="-11"/>
          <w:w w:val="105"/>
        </w:rPr>
        <w:t> </w:t>
      </w:r>
      <w:r>
        <w:rPr>
          <w:color w:val="231F20"/>
          <w:w w:val="105"/>
        </w:rPr>
        <w:t>el</w:t>
      </w:r>
      <w:r>
        <w:rPr>
          <w:color w:val="231F20"/>
          <w:spacing w:val="-11"/>
          <w:w w:val="105"/>
        </w:rPr>
        <w:t> </w:t>
      </w:r>
      <w:r>
        <w:rPr>
          <w:color w:val="231F20"/>
          <w:w w:val="105"/>
        </w:rPr>
        <w:t>32.5%</w:t>
      </w:r>
      <w:r>
        <w:rPr>
          <w:color w:val="231F20"/>
          <w:spacing w:val="-11"/>
          <w:w w:val="105"/>
        </w:rPr>
        <w:t> </w:t>
      </w:r>
      <w:r>
        <w:rPr>
          <w:color w:val="231F20"/>
          <w:w w:val="105"/>
        </w:rPr>
        <w:t>y</w:t>
      </w:r>
      <w:r>
        <w:rPr>
          <w:color w:val="231F20"/>
          <w:spacing w:val="-11"/>
          <w:w w:val="105"/>
        </w:rPr>
        <w:t> </w:t>
      </w:r>
      <w:r>
        <w:rPr>
          <w:color w:val="231F20"/>
          <w:spacing w:val="2"/>
          <w:w w:val="105"/>
        </w:rPr>
        <w:t>40,388</w:t>
      </w:r>
      <w:r>
        <w:rPr>
          <w:color w:val="231F20"/>
          <w:spacing w:val="-11"/>
          <w:w w:val="105"/>
        </w:rPr>
        <w:t> </w:t>
      </w:r>
      <w:r>
        <w:rPr>
          <w:color w:val="231F20"/>
          <w:spacing w:val="2"/>
          <w:w w:val="105"/>
        </w:rPr>
        <w:t>al</w:t>
      </w:r>
      <w:r>
        <w:rPr>
          <w:color w:val="231F20"/>
          <w:spacing w:val="-11"/>
          <w:w w:val="105"/>
        </w:rPr>
        <w:t> </w:t>
      </w:r>
      <w:r>
        <w:rPr>
          <w:color w:val="231F20"/>
          <w:w w:val="105"/>
        </w:rPr>
        <w:t>sector</w:t>
      </w:r>
      <w:r>
        <w:rPr>
          <w:color w:val="231F20"/>
          <w:spacing w:val="-11"/>
          <w:w w:val="105"/>
        </w:rPr>
        <w:t> </w:t>
      </w:r>
      <w:r>
        <w:rPr>
          <w:color w:val="231F20"/>
          <w:w w:val="105"/>
        </w:rPr>
        <w:t>terciario</w:t>
      </w:r>
      <w:r>
        <w:rPr>
          <w:color w:val="231F20"/>
          <w:spacing w:val="-11"/>
          <w:w w:val="105"/>
        </w:rPr>
        <w:t> </w:t>
      </w:r>
      <w:r>
        <w:rPr>
          <w:color w:val="231F20"/>
          <w:w w:val="105"/>
        </w:rPr>
        <w:t>que</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spacing w:val="-3"/>
          <w:w w:val="105"/>
        </w:rPr>
        <w:t>59.3</w:t>
      </w:r>
      <w:r>
        <w:rPr>
          <w:color w:val="231F20"/>
          <w:spacing w:val="-11"/>
          <w:w w:val="105"/>
        </w:rPr>
        <w:t> </w:t>
      </w:r>
      <w:r>
        <w:rPr>
          <w:color w:val="231F20"/>
          <w:w w:val="105"/>
        </w:rPr>
        <w:t>%</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población económicamente</w:t>
      </w:r>
      <w:r>
        <w:rPr>
          <w:color w:val="231F20"/>
          <w:spacing w:val="-32"/>
          <w:w w:val="105"/>
        </w:rPr>
        <w:t> </w:t>
      </w:r>
      <w:r>
        <w:rPr>
          <w:color w:val="231F20"/>
          <w:w w:val="105"/>
        </w:rPr>
        <w:t>activa</w:t>
      </w:r>
      <w:r>
        <w:rPr>
          <w:color w:val="231F20"/>
          <w:spacing w:val="-32"/>
          <w:w w:val="105"/>
        </w:rPr>
        <w:t> </w:t>
      </w:r>
      <w:r>
        <w:rPr>
          <w:color w:val="231F20"/>
          <w:w w:val="105"/>
        </w:rPr>
        <w:t>(INEGI,</w:t>
      </w:r>
      <w:r>
        <w:rPr>
          <w:color w:val="231F20"/>
          <w:spacing w:val="-32"/>
          <w:w w:val="105"/>
        </w:rPr>
        <w:t> </w:t>
      </w:r>
      <w:r>
        <w:rPr>
          <w:color w:val="231F20"/>
          <w:w w:val="105"/>
        </w:rPr>
        <w:t>2000).</w:t>
      </w:r>
    </w:p>
    <w:p>
      <w:pPr>
        <w:pStyle w:val="BodyText"/>
        <w:spacing w:before="1"/>
        <w:rPr>
          <w:sz w:val="26"/>
        </w:rPr>
      </w:pPr>
    </w:p>
    <w:p>
      <w:pPr>
        <w:pStyle w:val="Heading5"/>
        <w:ind w:left="1455" w:right="340"/>
      </w:pPr>
      <w:r>
        <w:rPr/>
        <w:pict>
          <v:group style="position:absolute;margin-left:86.569695pt;margin-top:27.551722pt;width:276.95pt;height:156.4pt;mso-position-horizontal-relative:page;mso-position-vertical-relative:paragraph;z-index:12184" coordorigin="1731,551" coordsize="5539,3128">
            <v:shape style="position:absolute;left:0;top:5794;width:5445;height:767" coordorigin="0,5794" coordsize="5445,767" path="m1737,557l7181,557m1737,935l7181,935m1737,1323l7181,1323e" filled="false" stroked="true" strokeweight=".525pt" strokecolor="#231f20">
              <v:path arrowok="t"/>
            </v:shape>
            <v:shape style="position:absolute;left:5428;top:557;width:830;height:829" type="#_x0000_t75" stroked="false">
              <v:imagedata r:id="rId924" o:title=""/>
            </v:shape>
            <v:shape style="position:absolute;left:0;top:6938;width:5445;height:751" coordorigin="0,6938" coordsize="5445,751" path="m1737,1701l7181,1701m1737,2074l7181,2074m1737,2452l7181,2452e" filled="false" stroked="true" strokeweight=".525pt" strokecolor="#231f20">
              <v:path arrowok="t"/>
            </v:shape>
            <v:shape style="position:absolute;left:4073;top:1558;width:829;height:830" type="#_x0000_t75" stroked="false">
              <v:imagedata r:id="rId925" o:title=""/>
            </v:shape>
            <v:shape style="position:absolute;left:0;top:8072;width:5445;height:378" coordorigin="0,8072" coordsize="5445,378" path="m1737,2835l7181,2835m1737,3213l7181,3213e" filled="false" stroked="true" strokeweight=".525pt" strokecolor="#231f20">
              <v:path arrowok="t"/>
            </v:shape>
            <v:shape style="position:absolute;left:2745;top:2578;width:829;height:830" type="#_x0000_t75" stroked="false">
              <v:imagedata r:id="rId926" o:title=""/>
            </v:shape>
            <v:shape style="position:absolute;left:0;top:2759;width:5445;height:3035" coordorigin="0,2759" coordsize="5445,3035" path="m1737,3591l7181,3591m1816,3591l1816,557e" filled="false" stroked="true" strokeweight=".525pt" strokecolor="#231f20">
              <v:path arrowok="t"/>
            </v:shape>
            <v:shape style="position:absolute;left:1753;top:3528;width:101;height:151" type="#_x0000_t75" stroked="false">
              <v:imagedata r:id="rId927" o:title=""/>
            </v:shape>
            <v:shape style="position:absolute;left:3110;top:3529;width:55;height:147" coordorigin="3110,3529" coordsize="55,147" path="m3164,3529l3150,3529,3147,3540,3143,3547,3133,3553,3124,3556,3110,3557,3110,3571,3145,3571,3145,3675,3164,3675,3164,3529xe" filled="true" fillcolor="#231f20" stroked="false">
              <v:path arrowok="t"/>
              <v:fill type="solid"/>
            </v:shape>
            <v:shape style="position:absolute;left:4430;top:3528;width:102;height:147" type="#_x0000_t75" stroked="false">
              <v:imagedata r:id="rId928" o:title=""/>
            </v:shape>
            <v:shape style="position:absolute;left:5767;top:3528;width:103;height:151" type="#_x0000_t75" stroked="false">
              <v:imagedata r:id="rId929" o:title=""/>
            </v:shape>
            <v:shape style="position:absolute;left:7122;top:3528;width:105;height:147" type="#_x0000_t75" stroked="false">
              <v:imagedata r:id="rId930" o:title=""/>
            </v:shape>
            <v:shape style="position:absolute;left:3911;top:2618;width:594;height:159" type="#_x0000_t75" stroked="false">
              <v:imagedata r:id="rId931" o:title=""/>
            </v:shape>
            <v:shape style="position:absolute;left:3831;top:2936;width:755;height:160" type="#_x0000_t75" stroked="false">
              <v:imagedata r:id="rId932" o:title=""/>
            </v:shape>
            <v:shape style="position:absolute;left:4001;top:3256;width:406;height:150" type="#_x0000_t75" stroked="false">
              <v:imagedata r:id="rId933" o:title=""/>
            </v:shape>
            <v:shape style="position:absolute;left:5381;top:1489;width:594;height:159" type="#_x0000_t75" stroked="false">
              <v:imagedata r:id="rId934" o:title=""/>
            </v:shape>
            <v:shape style="position:absolute;left:5153;top:1804;width:452;height:159" type="#_x0000_t75" stroked="false">
              <v:imagedata r:id="rId935" o:title=""/>
            </v:shape>
            <v:shape style="position:absolute;left:5635;top:1807;width:561;height:161" type="#_x0000_t75" stroked="false">
              <v:imagedata r:id="rId936" o:title=""/>
            </v:shape>
            <v:shape style="position:absolute;left:5382;top:2126;width:583;height:151" type="#_x0000_t75" stroked="false">
              <v:imagedata r:id="rId937" o:title=""/>
            </v:shape>
            <v:shape style="position:absolute;left:6589;top:733;width:594;height:159" type="#_x0000_t75" stroked="false">
              <v:imagedata r:id="rId938" o:title=""/>
            </v:shape>
            <v:shape style="position:absolute;left:6480;top:1052;width:790;height:161" type="#_x0000_t75" stroked="false">
              <v:imagedata r:id="rId939" o:title=""/>
            </v:shape>
            <v:shape style="position:absolute;left:6591;top:1370;width:581;height:151" type="#_x0000_t75" stroked="false">
              <v:imagedata r:id="rId940" o:title=""/>
            </v:shape>
            <v:line style="position:absolute" from="3160,2998" to="5837,966" stroked="true" strokeweight="1.05pt" strokecolor="#231f20"/>
            <w10:wrap type="none"/>
          </v:group>
        </w:pict>
      </w:r>
      <w:r>
        <w:rPr/>
        <w:drawing>
          <wp:anchor distT="0" distB="0" distL="0" distR="0" allowOverlap="1" layoutInCell="1" locked="0" behindDoc="0" simplePos="0" relativeHeight="12208">
            <wp:simplePos x="0" y="0"/>
            <wp:positionH relativeFrom="page">
              <wp:posOffset>805062</wp:posOffset>
            </wp:positionH>
            <wp:positionV relativeFrom="paragraph">
              <wp:posOffset>300164</wp:posOffset>
            </wp:positionV>
            <wp:extent cx="175772" cy="95250"/>
            <wp:effectExtent l="0" t="0" r="0" b="0"/>
            <wp:wrapNone/>
            <wp:docPr id="363" name="image842.png" descr=""/>
            <wp:cNvGraphicFramePr>
              <a:graphicFrameLocks noChangeAspect="1"/>
            </wp:cNvGraphicFramePr>
            <a:graphic>
              <a:graphicData uri="http://schemas.openxmlformats.org/drawingml/2006/picture">
                <pic:pic>
                  <pic:nvPicPr>
                    <pic:cNvPr id="364" name="image842.png"/>
                    <pic:cNvPicPr/>
                  </pic:nvPicPr>
                  <pic:blipFill>
                    <a:blip r:embed="rId941" cstate="print"/>
                    <a:stretch>
                      <a:fillRect/>
                    </a:stretch>
                  </pic:blipFill>
                  <pic:spPr>
                    <a:xfrm>
                      <a:off x="0" y="0"/>
                      <a:ext cx="175772" cy="95250"/>
                    </a:xfrm>
                    <a:prstGeom prst="rect">
                      <a:avLst/>
                    </a:prstGeom>
                  </pic:spPr>
                </pic:pic>
              </a:graphicData>
            </a:graphic>
          </wp:anchor>
        </w:drawing>
      </w:r>
      <w:r>
        <w:rPr/>
        <w:drawing>
          <wp:anchor distT="0" distB="0" distL="0" distR="0" allowOverlap="1" layoutInCell="1" locked="0" behindDoc="0" simplePos="0" relativeHeight="12232">
            <wp:simplePos x="0" y="0"/>
            <wp:positionH relativeFrom="page">
              <wp:posOffset>805062</wp:posOffset>
            </wp:positionH>
            <wp:positionV relativeFrom="paragraph">
              <wp:posOffset>539807</wp:posOffset>
            </wp:positionV>
            <wp:extent cx="174285" cy="95250"/>
            <wp:effectExtent l="0" t="0" r="0" b="0"/>
            <wp:wrapNone/>
            <wp:docPr id="365" name="image843.png" descr=""/>
            <wp:cNvGraphicFramePr>
              <a:graphicFrameLocks noChangeAspect="1"/>
            </wp:cNvGraphicFramePr>
            <a:graphic>
              <a:graphicData uri="http://schemas.openxmlformats.org/drawingml/2006/picture">
                <pic:pic>
                  <pic:nvPicPr>
                    <pic:cNvPr id="366" name="image843.png"/>
                    <pic:cNvPicPr/>
                  </pic:nvPicPr>
                  <pic:blipFill>
                    <a:blip r:embed="rId942" cstate="print"/>
                    <a:stretch>
                      <a:fillRect/>
                    </a:stretch>
                  </pic:blipFill>
                  <pic:spPr>
                    <a:xfrm>
                      <a:off x="0" y="0"/>
                      <a:ext cx="174285" cy="95250"/>
                    </a:xfrm>
                    <a:prstGeom prst="rect">
                      <a:avLst/>
                    </a:prstGeom>
                  </pic:spPr>
                </pic:pic>
              </a:graphicData>
            </a:graphic>
          </wp:anchor>
        </w:drawing>
      </w:r>
      <w:r>
        <w:rPr/>
        <w:drawing>
          <wp:anchor distT="0" distB="0" distL="0" distR="0" allowOverlap="1" layoutInCell="1" locked="0" behindDoc="0" simplePos="0" relativeHeight="12256">
            <wp:simplePos x="0" y="0"/>
            <wp:positionH relativeFrom="page">
              <wp:posOffset>805062</wp:posOffset>
            </wp:positionH>
            <wp:positionV relativeFrom="paragraph">
              <wp:posOffset>780224</wp:posOffset>
            </wp:positionV>
            <wp:extent cx="174536" cy="95250"/>
            <wp:effectExtent l="0" t="0" r="0" b="0"/>
            <wp:wrapNone/>
            <wp:docPr id="367" name="image844.png" descr=""/>
            <wp:cNvGraphicFramePr>
              <a:graphicFrameLocks noChangeAspect="1"/>
            </wp:cNvGraphicFramePr>
            <a:graphic>
              <a:graphicData uri="http://schemas.openxmlformats.org/drawingml/2006/picture">
                <pic:pic>
                  <pic:nvPicPr>
                    <pic:cNvPr id="368" name="image844.png"/>
                    <pic:cNvPicPr/>
                  </pic:nvPicPr>
                  <pic:blipFill>
                    <a:blip r:embed="rId943" cstate="print"/>
                    <a:stretch>
                      <a:fillRect/>
                    </a:stretch>
                  </pic:blipFill>
                  <pic:spPr>
                    <a:xfrm>
                      <a:off x="0" y="0"/>
                      <a:ext cx="174536" cy="95250"/>
                    </a:xfrm>
                    <a:prstGeom prst="rect">
                      <a:avLst/>
                    </a:prstGeom>
                  </pic:spPr>
                </pic:pic>
              </a:graphicData>
            </a:graphic>
          </wp:anchor>
        </w:drawing>
      </w:r>
      <w:r>
        <w:rPr/>
        <w:drawing>
          <wp:anchor distT="0" distB="0" distL="0" distR="0" allowOverlap="1" layoutInCell="1" locked="0" behindDoc="0" simplePos="0" relativeHeight="12280">
            <wp:simplePos x="0" y="0"/>
            <wp:positionH relativeFrom="page">
              <wp:posOffset>805062</wp:posOffset>
            </wp:positionH>
            <wp:positionV relativeFrom="paragraph">
              <wp:posOffset>1019997</wp:posOffset>
            </wp:positionV>
            <wp:extent cx="175305" cy="95250"/>
            <wp:effectExtent l="0" t="0" r="0" b="0"/>
            <wp:wrapNone/>
            <wp:docPr id="369" name="image845.png" descr=""/>
            <wp:cNvGraphicFramePr>
              <a:graphicFrameLocks noChangeAspect="1"/>
            </wp:cNvGraphicFramePr>
            <a:graphic>
              <a:graphicData uri="http://schemas.openxmlformats.org/drawingml/2006/picture">
                <pic:pic>
                  <pic:nvPicPr>
                    <pic:cNvPr id="370" name="image845.png"/>
                    <pic:cNvPicPr/>
                  </pic:nvPicPr>
                  <pic:blipFill>
                    <a:blip r:embed="rId944" cstate="print"/>
                    <a:stretch>
                      <a:fillRect/>
                    </a:stretch>
                  </pic:blipFill>
                  <pic:spPr>
                    <a:xfrm>
                      <a:off x="0" y="0"/>
                      <a:ext cx="175305" cy="95250"/>
                    </a:xfrm>
                    <a:prstGeom prst="rect">
                      <a:avLst/>
                    </a:prstGeom>
                  </pic:spPr>
                </pic:pic>
              </a:graphicData>
            </a:graphic>
          </wp:anchor>
        </w:drawing>
      </w:r>
      <w:r>
        <w:rPr/>
        <w:drawing>
          <wp:anchor distT="0" distB="0" distL="0" distR="0" allowOverlap="1" layoutInCell="1" locked="0" behindDoc="0" simplePos="0" relativeHeight="12304">
            <wp:simplePos x="0" y="0"/>
            <wp:positionH relativeFrom="page">
              <wp:posOffset>805062</wp:posOffset>
            </wp:positionH>
            <wp:positionV relativeFrom="paragraph">
              <wp:posOffset>1260157</wp:posOffset>
            </wp:positionV>
            <wp:extent cx="174181" cy="95250"/>
            <wp:effectExtent l="0" t="0" r="0" b="0"/>
            <wp:wrapNone/>
            <wp:docPr id="371" name="image846.png" descr=""/>
            <wp:cNvGraphicFramePr>
              <a:graphicFrameLocks noChangeAspect="1"/>
            </wp:cNvGraphicFramePr>
            <a:graphic>
              <a:graphicData uri="http://schemas.openxmlformats.org/drawingml/2006/picture">
                <pic:pic>
                  <pic:nvPicPr>
                    <pic:cNvPr id="372" name="image846.png"/>
                    <pic:cNvPicPr/>
                  </pic:nvPicPr>
                  <pic:blipFill>
                    <a:blip r:embed="rId945" cstate="print"/>
                    <a:stretch>
                      <a:fillRect/>
                    </a:stretch>
                  </pic:blipFill>
                  <pic:spPr>
                    <a:xfrm>
                      <a:off x="0" y="0"/>
                      <a:ext cx="174181" cy="95250"/>
                    </a:xfrm>
                    <a:prstGeom prst="rect">
                      <a:avLst/>
                    </a:prstGeom>
                  </pic:spPr>
                </pic:pic>
              </a:graphicData>
            </a:graphic>
          </wp:anchor>
        </w:drawing>
      </w:r>
      <w:r>
        <w:rPr/>
        <w:drawing>
          <wp:anchor distT="0" distB="0" distL="0" distR="0" allowOverlap="1" layoutInCell="1" locked="0" behindDoc="0" simplePos="0" relativeHeight="12424">
            <wp:simplePos x="0" y="0"/>
            <wp:positionH relativeFrom="page">
              <wp:posOffset>4979504</wp:posOffset>
            </wp:positionH>
            <wp:positionV relativeFrom="paragraph">
              <wp:posOffset>1307658</wp:posOffset>
            </wp:positionV>
            <wp:extent cx="358892" cy="92297"/>
            <wp:effectExtent l="0" t="0" r="0" b="0"/>
            <wp:wrapNone/>
            <wp:docPr id="373" name="image847.png" descr=""/>
            <wp:cNvGraphicFramePr>
              <a:graphicFrameLocks noChangeAspect="1"/>
            </wp:cNvGraphicFramePr>
            <a:graphic>
              <a:graphicData uri="http://schemas.openxmlformats.org/drawingml/2006/picture">
                <pic:pic>
                  <pic:nvPicPr>
                    <pic:cNvPr id="374" name="image847.png"/>
                    <pic:cNvPicPr/>
                  </pic:nvPicPr>
                  <pic:blipFill>
                    <a:blip r:embed="rId946" cstate="print"/>
                    <a:stretch>
                      <a:fillRect/>
                    </a:stretch>
                  </pic:blipFill>
                  <pic:spPr>
                    <a:xfrm>
                      <a:off x="0" y="0"/>
                      <a:ext cx="358892" cy="92297"/>
                    </a:xfrm>
                    <a:prstGeom prst="rect">
                      <a:avLst/>
                    </a:prstGeom>
                  </pic:spPr>
                </pic:pic>
              </a:graphicData>
            </a:graphic>
          </wp:anchor>
        </w:drawing>
      </w:r>
      <w:r>
        <w:rPr/>
        <w:drawing>
          <wp:anchor distT="0" distB="0" distL="0" distR="0" allowOverlap="1" layoutInCell="1" locked="0" behindDoc="0" simplePos="0" relativeHeight="12448">
            <wp:simplePos x="0" y="0"/>
            <wp:positionH relativeFrom="page">
              <wp:posOffset>4843398</wp:posOffset>
            </wp:positionH>
            <wp:positionV relativeFrom="paragraph">
              <wp:posOffset>1316854</wp:posOffset>
            </wp:positionV>
            <wp:extent cx="86664" cy="86677"/>
            <wp:effectExtent l="0" t="0" r="0" b="0"/>
            <wp:wrapNone/>
            <wp:docPr id="375" name="image848.png" descr=""/>
            <wp:cNvGraphicFramePr>
              <a:graphicFrameLocks noChangeAspect="1"/>
            </wp:cNvGraphicFramePr>
            <a:graphic>
              <a:graphicData uri="http://schemas.openxmlformats.org/drawingml/2006/picture">
                <pic:pic>
                  <pic:nvPicPr>
                    <pic:cNvPr id="376" name="image848.png"/>
                    <pic:cNvPicPr/>
                  </pic:nvPicPr>
                  <pic:blipFill>
                    <a:blip r:embed="rId947" cstate="print"/>
                    <a:stretch>
                      <a:fillRect/>
                    </a:stretch>
                  </pic:blipFill>
                  <pic:spPr>
                    <a:xfrm>
                      <a:off x="0" y="0"/>
                      <a:ext cx="86664" cy="86677"/>
                    </a:xfrm>
                    <a:prstGeom prst="rect">
                      <a:avLst/>
                    </a:prstGeom>
                  </pic:spPr>
                </pic:pic>
              </a:graphicData>
            </a:graphic>
          </wp:anchor>
        </w:drawing>
      </w:r>
      <w:r>
        <w:rPr>
          <w:color w:val="231F20"/>
          <w:w w:val="105"/>
        </w:rPr>
        <w:t>Gráfica 2. Principales Actividades Económicas (2000).</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57"/>
        <w:ind w:left="4474" w:right="-3" w:firstLine="0"/>
        <w:jc w:val="left"/>
        <w:rPr>
          <w:rFonts w:ascii="Calibri" w:hAnsi="Calibri"/>
          <w:sz w:val="16"/>
        </w:rPr>
      </w:pPr>
      <w:r>
        <w:rPr/>
        <w:drawing>
          <wp:anchor distT="0" distB="0" distL="0" distR="0" allowOverlap="1" layoutInCell="1" locked="0" behindDoc="0" simplePos="0" relativeHeight="12328">
            <wp:simplePos x="0" y="0"/>
            <wp:positionH relativeFrom="page">
              <wp:posOffset>805062</wp:posOffset>
            </wp:positionH>
            <wp:positionV relativeFrom="paragraph">
              <wp:posOffset>-910125</wp:posOffset>
            </wp:positionV>
            <wp:extent cx="175467" cy="96012"/>
            <wp:effectExtent l="0" t="0" r="0" b="0"/>
            <wp:wrapNone/>
            <wp:docPr id="377" name="image849.png" descr=""/>
            <wp:cNvGraphicFramePr>
              <a:graphicFrameLocks noChangeAspect="1"/>
            </wp:cNvGraphicFramePr>
            <a:graphic>
              <a:graphicData uri="http://schemas.openxmlformats.org/drawingml/2006/picture">
                <pic:pic>
                  <pic:nvPicPr>
                    <pic:cNvPr id="378" name="image849.png"/>
                    <pic:cNvPicPr/>
                  </pic:nvPicPr>
                  <pic:blipFill>
                    <a:blip r:embed="rId948" cstate="print"/>
                    <a:stretch>
                      <a:fillRect/>
                    </a:stretch>
                  </pic:blipFill>
                  <pic:spPr>
                    <a:xfrm>
                      <a:off x="0" y="0"/>
                      <a:ext cx="175467" cy="96012"/>
                    </a:xfrm>
                    <a:prstGeom prst="rect">
                      <a:avLst/>
                    </a:prstGeom>
                  </pic:spPr>
                </pic:pic>
              </a:graphicData>
            </a:graphic>
          </wp:anchor>
        </w:drawing>
      </w:r>
      <w:r>
        <w:rPr/>
        <w:drawing>
          <wp:anchor distT="0" distB="0" distL="0" distR="0" allowOverlap="1" layoutInCell="1" locked="0" behindDoc="0" simplePos="0" relativeHeight="12352">
            <wp:simplePos x="0" y="0"/>
            <wp:positionH relativeFrom="page">
              <wp:posOffset>805062</wp:posOffset>
            </wp:positionH>
            <wp:positionV relativeFrom="paragraph">
              <wp:posOffset>-669763</wp:posOffset>
            </wp:positionV>
            <wp:extent cx="153366" cy="95250"/>
            <wp:effectExtent l="0" t="0" r="0" b="0"/>
            <wp:wrapNone/>
            <wp:docPr id="379" name="image850.png" descr=""/>
            <wp:cNvGraphicFramePr>
              <a:graphicFrameLocks noChangeAspect="1"/>
            </wp:cNvGraphicFramePr>
            <a:graphic>
              <a:graphicData uri="http://schemas.openxmlformats.org/drawingml/2006/picture">
                <pic:pic>
                  <pic:nvPicPr>
                    <pic:cNvPr id="380" name="image850.png"/>
                    <pic:cNvPicPr/>
                  </pic:nvPicPr>
                  <pic:blipFill>
                    <a:blip r:embed="rId949" cstate="print"/>
                    <a:stretch>
                      <a:fillRect/>
                    </a:stretch>
                  </pic:blipFill>
                  <pic:spPr>
                    <a:xfrm>
                      <a:off x="0" y="0"/>
                      <a:ext cx="153366" cy="95250"/>
                    </a:xfrm>
                    <a:prstGeom prst="rect">
                      <a:avLst/>
                    </a:prstGeom>
                  </pic:spPr>
                </pic:pic>
              </a:graphicData>
            </a:graphic>
          </wp:anchor>
        </w:drawing>
      </w:r>
      <w:r>
        <w:rPr/>
        <w:drawing>
          <wp:anchor distT="0" distB="0" distL="0" distR="0" allowOverlap="1" layoutInCell="1" locked="0" behindDoc="0" simplePos="0" relativeHeight="12376">
            <wp:simplePos x="0" y="0"/>
            <wp:positionH relativeFrom="page">
              <wp:posOffset>916272</wp:posOffset>
            </wp:positionH>
            <wp:positionV relativeFrom="paragraph">
              <wp:posOffset>-429733</wp:posOffset>
            </wp:positionV>
            <wp:extent cx="63947" cy="95250"/>
            <wp:effectExtent l="0" t="0" r="0" b="0"/>
            <wp:wrapNone/>
            <wp:docPr id="381" name="image851.png" descr=""/>
            <wp:cNvGraphicFramePr>
              <a:graphicFrameLocks noChangeAspect="1"/>
            </wp:cNvGraphicFramePr>
            <a:graphic>
              <a:graphicData uri="http://schemas.openxmlformats.org/drawingml/2006/picture">
                <pic:pic>
                  <pic:nvPicPr>
                    <pic:cNvPr id="382" name="image851.png"/>
                    <pic:cNvPicPr/>
                  </pic:nvPicPr>
                  <pic:blipFill>
                    <a:blip r:embed="rId950" cstate="print"/>
                    <a:stretch>
                      <a:fillRect/>
                    </a:stretch>
                  </pic:blipFill>
                  <pic:spPr>
                    <a:xfrm>
                      <a:off x="0" y="0"/>
                      <a:ext cx="63947" cy="95250"/>
                    </a:xfrm>
                    <a:prstGeom prst="rect">
                      <a:avLst/>
                    </a:prstGeom>
                  </pic:spPr>
                </pic:pic>
              </a:graphicData>
            </a:graphic>
          </wp:anchor>
        </w:drawing>
      </w:r>
      <w:r>
        <w:rPr/>
        <w:drawing>
          <wp:anchor distT="0" distB="0" distL="0" distR="0" allowOverlap="1" layoutInCell="1" locked="0" behindDoc="0" simplePos="0" relativeHeight="12400">
            <wp:simplePos x="0" y="0"/>
            <wp:positionH relativeFrom="page">
              <wp:posOffset>755973</wp:posOffset>
            </wp:positionH>
            <wp:positionV relativeFrom="paragraph">
              <wp:posOffset>-189703</wp:posOffset>
            </wp:positionV>
            <wp:extent cx="202182" cy="95250"/>
            <wp:effectExtent l="0" t="0" r="0" b="0"/>
            <wp:wrapNone/>
            <wp:docPr id="383" name="image852.png" descr=""/>
            <wp:cNvGraphicFramePr>
              <a:graphicFrameLocks noChangeAspect="1"/>
            </wp:cNvGraphicFramePr>
            <a:graphic>
              <a:graphicData uri="http://schemas.openxmlformats.org/drawingml/2006/picture">
                <pic:pic>
                  <pic:nvPicPr>
                    <pic:cNvPr id="384" name="image852.png"/>
                    <pic:cNvPicPr/>
                  </pic:nvPicPr>
                  <pic:blipFill>
                    <a:blip r:embed="rId951" cstate="print"/>
                    <a:stretch>
                      <a:fillRect/>
                    </a:stretch>
                  </pic:blipFill>
                  <pic:spPr>
                    <a:xfrm>
                      <a:off x="0" y="0"/>
                      <a:ext cx="202182" cy="95250"/>
                    </a:xfrm>
                    <a:prstGeom prst="rect">
                      <a:avLst/>
                    </a:prstGeom>
                  </pic:spPr>
                </pic:pic>
              </a:graphicData>
            </a:graphic>
          </wp:anchor>
        </w:drawing>
      </w:r>
      <w:r>
        <w:rPr>
          <w:rFonts w:ascii="Calibri" w:hAnsi="Calibri"/>
          <w:color w:val="231F20"/>
          <w:sz w:val="16"/>
        </w:rPr>
        <w:t>Fuente: Elaboración propia con datos según INEGI 2000.</w:t>
      </w:r>
    </w:p>
    <w:p>
      <w:pPr>
        <w:spacing w:after="0"/>
        <w:jc w:val="left"/>
        <w:rPr>
          <w:rFonts w:ascii="Calibri" w:hAnsi="Calibri"/>
          <w:sz w:val="16"/>
        </w:rPr>
        <w:sectPr>
          <w:pgSz w:w="9640" w:h="12190"/>
          <w:pgMar w:header="0" w:footer="743" w:top="1120" w:bottom="940" w:left="740" w:right="720"/>
        </w:sectPr>
      </w:pPr>
    </w:p>
    <w:p>
      <w:pPr>
        <w:pStyle w:val="BodyText"/>
        <w:spacing w:before="8"/>
        <w:rPr>
          <w:rFonts w:ascii="Calibri"/>
          <w:sz w:val="10"/>
        </w:rPr>
      </w:pPr>
    </w:p>
    <w:p>
      <w:pPr>
        <w:pStyle w:val="BodyText"/>
        <w:spacing w:line="285" w:lineRule="auto" w:before="35"/>
        <w:ind w:left="110" w:right="108"/>
        <w:jc w:val="both"/>
      </w:pPr>
      <w:r>
        <w:rPr>
          <w:color w:val="231F20"/>
        </w:rPr>
        <w:t>Hay servicios como los educativos, culturales, de salud, transporte, profesionales, finan- cieros entre otros. Respecto al tema de salud en la Cabecera municipal se concentra el mayor número de unidades médicas, ya que cuenta con instituciones, las cuales perte- necen al ISSSTE, ISSEMYM, IMSS e ISEM.</w:t>
      </w:r>
    </w:p>
    <w:p>
      <w:pPr>
        <w:pStyle w:val="BodyText"/>
        <w:spacing w:before="1"/>
        <w:rPr>
          <w:sz w:val="26"/>
        </w:rPr>
      </w:pPr>
    </w:p>
    <w:p>
      <w:pPr>
        <w:pStyle w:val="BodyText"/>
        <w:spacing w:line="285" w:lineRule="auto"/>
        <w:ind w:left="110" w:right="107"/>
        <w:jc w:val="both"/>
      </w:pPr>
      <w:r>
        <w:rPr>
          <w:color w:val="231F20"/>
          <w:w w:val="105"/>
        </w:rPr>
        <w:t>En el caso de los poblados, éstos cuentan con una unidad médica de consulta externa pertenecientes</w:t>
      </w:r>
      <w:r>
        <w:rPr>
          <w:color w:val="231F20"/>
          <w:spacing w:val="-10"/>
          <w:w w:val="105"/>
        </w:rPr>
        <w:t> </w:t>
      </w:r>
      <w:r>
        <w:rPr>
          <w:color w:val="231F20"/>
          <w:w w:val="105"/>
        </w:rPr>
        <w:t>ISEM,</w:t>
      </w:r>
      <w:r>
        <w:rPr>
          <w:color w:val="231F20"/>
          <w:spacing w:val="-10"/>
          <w:w w:val="105"/>
        </w:rPr>
        <w:t> </w:t>
      </w:r>
      <w:r>
        <w:rPr>
          <w:color w:val="231F20"/>
          <w:w w:val="105"/>
        </w:rPr>
        <w:t>aclarando</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poblado</w:t>
      </w:r>
      <w:r>
        <w:rPr>
          <w:color w:val="231F20"/>
          <w:spacing w:val="-10"/>
          <w:w w:val="105"/>
        </w:rPr>
        <w:t> </w:t>
      </w:r>
      <w:r>
        <w:rPr>
          <w:color w:val="231F20"/>
          <w:w w:val="105"/>
        </w:rPr>
        <w:t>de</w:t>
      </w:r>
      <w:r>
        <w:rPr>
          <w:color w:val="231F20"/>
          <w:spacing w:val="-10"/>
          <w:w w:val="105"/>
        </w:rPr>
        <w:t> </w:t>
      </w:r>
      <w:r>
        <w:rPr>
          <w:color w:val="231F20"/>
          <w:w w:val="105"/>
        </w:rPr>
        <w:t>San</w:t>
      </w:r>
      <w:r>
        <w:rPr>
          <w:color w:val="231F20"/>
          <w:spacing w:val="-10"/>
          <w:w w:val="105"/>
        </w:rPr>
        <w:t> </w:t>
      </w:r>
      <w:r>
        <w:rPr>
          <w:color w:val="231F20"/>
          <w:w w:val="105"/>
        </w:rPr>
        <w:t>Pablo</w:t>
      </w:r>
      <w:r>
        <w:rPr>
          <w:color w:val="231F20"/>
          <w:spacing w:val="-10"/>
          <w:w w:val="105"/>
        </w:rPr>
        <w:t> </w:t>
      </w:r>
      <w:r>
        <w:rPr>
          <w:color w:val="231F20"/>
          <w:w w:val="105"/>
        </w:rPr>
        <w:t>Atlazalpan</w:t>
      </w:r>
      <w:r>
        <w:rPr>
          <w:color w:val="231F20"/>
          <w:spacing w:val="-10"/>
          <w:w w:val="105"/>
        </w:rPr>
        <w:t> </w:t>
      </w:r>
      <w:r>
        <w:rPr>
          <w:color w:val="231F20"/>
          <w:w w:val="105"/>
        </w:rPr>
        <w:t>carece</w:t>
      </w:r>
      <w:r>
        <w:rPr>
          <w:color w:val="231F20"/>
          <w:spacing w:val="-10"/>
          <w:w w:val="105"/>
        </w:rPr>
        <w:t> </w:t>
      </w:r>
      <w:r>
        <w:rPr>
          <w:color w:val="231F20"/>
          <w:w w:val="105"/>
        </w:rPr>
        <w:t>de</w:t>
      </w:r>
      <w:r>
        <w:rPr>
          <w:color w:val="231F20"/>
          <w:spacing w:val="-10"/>
          <w:w w:val="105"/>
        </w:rPr>
        <w:t> </w:t>
      </w:r>
      <w:r>
        <w:rPr>
          <w:color w:val="231F20"/>
          <w:w w:val="105"/>
        </w:rPr>
        <w:t>este servicio.</w:t>
      </w:r>
      <w:r>
        <w:rPr>
          <w:color w:val="231F20"/>
          <w:spacing w:val="-13"/>
          <w:w w:val="105"/>
        </w:rPr>
        <w:t> </w:t>
      </w:r>
      <w:r>
        <w:rPr>
          <w:color w:val="231F20"/>
          <w:w w:val="105"/>
        </w:rPr>
        <w:t>Con</w:t>
      </w:r>
      <w:r>
        <w:rPr>
          <w:color w:val="231F20"/>
          <w:spacing w:val="-13"/>
          <w:w w:val="105"/>
        </w:rPr>
        <w:t> </w:t>
      </w:r>
      <w:r>
        <w:rPr>
          <w:color w:val="231F20"/>
          <w:w w:val="105"/>
        </w:rPr>
        <w:t>esto</w:t>
      </w:r>
      <w:r>
        <w:rPr>
          <w:color w:val="231F20"/>
          <w:spacing w:val="-13"/>
          <w:w w:val="105"/>
        </w:rPr>
        <w:t> </w:t>
      </w:r>
      <w:r>
        <w:rPr>
          <w:color w:val="231F20"/>
          <w:w w:val="105"/>
        </w:rPr>
        <w:t>el</w:t>
      </w:r>
      <w:r>
        <w:rPr>
          <w:color w:val="231F20"/>
          <w:spacing w:val="-13"/>
          <w:w w:val="105"/>
        </w:rPr>
        <w:t> </w:t>
      </w:r>
      <w:r>
        <w:rPr>
          <w:color w:val="231F20"/>
          <w:w w:val="105"/>
        </w:rPr>
        <w:t>65</w:t>
      </w:r>
      <w:r>
        <w:rPr>
          <w:color w:val="231F20"/>
          <w:spacing w:val="-13"/>
          <w:w w:val="105"/>
        </w:rPr>
        <w:t> </w:t>
      </w:r>
      <w:r>
        <w:rPr>
          <w:color w:val="231F20"/>
          <w:w w:val="105"/>
        </w:rPr>
        <w:t>%</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accede</w:t>
      </w:r>
      <w:r>
        <w:rPr>
          <w:color w:val="231F20"/>
          <w:spacing w:val="-13"/>
          <w:w w:val="105"/>
        </w:rPr>
        <w:t> </w:t>
      </w:r>
      <w:r>
        <w:rPr>
          <w:color w:val="231F20"/>
          <w:w w:val="105"/>
        </w:rPr>
        <w:t>a</w:t>
      </w:r>
      <w:r>
        <w:rPr>
          <w:color w:val="231F20"/>
          <w:spacing w:val="-13"/>
          <w:w w:val="105"/>
        </w:rPr>
        <w:t> </w:t>
      </w:r>
      <w:r>
        <w:rPr>
          <w:color w:val="231F20"/>
          <w:w w:val="105"/>
        </w:rPr>
        <w:t>estas</w:t>
      </w:r>
      <w:r>
        <w:rPr>
          <w:color w:val="231F20"/>
          <w:spacing w:val="-13"/>
          <w:w w:val="105"/>
        </w:rPr>
        <w:t> </w:t>
      </w:r>
      <w:r>
        <w:rPr>
          <w:color w:val="231F20"/>
          <w:w w:val="105"/>
        </w:rPr>
        <w:t>instituciones</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35%,</w:t>
      </w:r>
      <w:r>
        <w:rPr>
          <w:color w:val="231F20"/>
          <w:spacing w:val="-13"/>
          <w:w w:val="105"/>
        </w:rPr>
        <w:t> </w:t>
      </w:r>
      <w:r>
        <w:rPr>
          <w:color w:val="231F20"/>
          <w:w w:val="105"/>
        </w:rPr>
        <w:t>que</w:t>
      </w:r>
      <w:r>
        <w:rPr>
          <w:color w:val="231F20"/>
          <w:spacing w:val="-13"/>
          <w:w w:val="105"/>
        </w:rPr>
        <w:t> </w:t>
      </w:r>
      <w:r>
        <w:rPr>
          <w:color w:val="231F20"/>
          <w:w w:val="105"/>
        </w:rPr>
        <w:t>re- presenta</w:t>
      </w:r>
      <w:r>
        <w:rPr>
          <w:color w:val="231F20"/>
          <w:spacing w:val="-15"/>
          <w:w w:val="105"/>
        </w:rPr>
        <w:t> </w:t>
      </w:r>
      <w:r>
        <w:rPr>
          <w:color w:val="231F20"/>
          <w:w w:val="105"/>
        </w:rPr>
        <w:t>la</w:t>
      </w:r>
      <w:r>
        <w:rPr>
          <w:color w:val="231F20"/>
          <w:spacing w:val="-15"/>
          <w:w w:val="105"/>
        </w:rPr>
        <w:t> </w:t>
      </w:r>
      <w:r>
        <w:rPr>
          <w:color w:val="231F20"/>
          <w:w w:val="105"/>
        </w:rPr>
        <w:t>población</w:t>
      </w:r>
      <w:r>
        <w:rPr>
          <w:color w:val="231F20"/>
          <w:spacing w:val="-15"/>
          <w:w w:val="105"/>
        </w:rPr>
        <w:t> </w:t>
      </w:r>
      <w:r>
        <w:rPr>
          <w:color w:val="231F20"/>
          <w:w w:val="105"/>
        </w:rPr>
        <w:t>asegurada,</w:t>
      </w:r>
      <w:r>
        <w:rPr>
          <w:color w:val="231F20"/>
          <w:spacing w:val="-15"/>
          <w:w w:val="105"/>
        </w:rPr>
        <w:t> </w:t>
      </w:r>
      <w:r>
        <w:rPr>
          <w:color w:val="231F20"/>
          <w:w w:val="105"/>
        </w:rPr>
        <w:t>acude</w:t>
      </w:r>
      <w:r>
        <w:rPr>
          <w:color w:val="231F20"/>
          <w:spacing w:val="-15"/>
          <w:w w:val="105"/>
        </w:rPr>
        <w:t> </w:t>
      </w:r>
      <w:r>
        <w:rPr>
          <w:color w:val="231F20"/>
          <w:w w:val="105"/>
        </w:rPr>
        <w:t>a</w:t>
      </w:r>
      <w:r>
        <w:rPr>
          <w:color w:val="231F20"/>
          <w:spacing w:val="-15"/>
          <w:w w:val="105"/>
        </w:rPr>
        <w:t> </w:t>
      </w:r>
      <w:r>
        <w:rPr>
          <w:color w:val="231F20"/>
          <w:w w:val="105"/>
        </w:rPr>
        <w:t>su</w:t>
      </w:r>
      <w:r>
        <w:rPr>
          <w:color w:val="231F20"/>
          <w:spacing w:val="-15"/>
          <w:w w:val="105"/>
        </w:rPr>
        <w:t> </w:t>
      </w:r>
      <w:r>
        <w:rPr>
          <w:color w:val="231F20"/>
          <w:w w:val="105"/>
        </w:rPr>
        <w:t>clínica</w:t>
      </w:r>
      <w:r>
        <w:rPr>
          <w:color w:val="231F20"/>
          <w:spacing w:val="-15"/>
          <w:w w:val="105"/>
        </w:rPr>
        <w:t> </w:t>
      </w:r>
      <w:r>
        <w:rPr>
          <w:color w:val="231F20"/>
          <w:w w:val="105"/>
        </w:rPr>
        <w:t>correspondiente.</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1"/>
          <w:w w:val="105"/>
        </w:rPr>
        <w:t> </w:t>
      </w:r>
      <w:r>
        <w:rPr>
          <w:color w:val="231F20"/>
          <w:w w:val="105"/>
        </w:rPr>
        <w:t>municipio</w:t>
      </w:r>
      <w:r>
        <w:rPr>
          <w:color w:val="231F20"/>
          <w:spacing w:val="-11"/>
          <w:w w:val="105"/>
        </w:rPr>
        <w:t> </w:t>
      </w:r>
      <w:r>
        <w:rPr>
          <w:color w:val="231F20"/>
          <w:w w:val="105"/>
        </w:rPr>
        <w:t>tiene</w:t>
      </w:r>
      <w:r>
        <w:rPr>
          <w:color w:val="231F20"/>
          <w:spacing w:val="-11"/>
          <w:w w:val="105"/>
        </w:rPr>
        <w:t> </w:t>
      </w:r>
      <w:r>
        <w:rPr>
          <w:color w:val="231F20"/>
          <w:w w:val="105"/>
        </w:rPr>
        <w:t>un</w:t>
      </w:r>
      <w:r>
        <w:rPr>
          <w:color w:val="231F20"/>
          <w:spacing w:val="-11"/>
          <w:w w:val="105"/>
        </w:rPr>
        <w:t> </w:t>
      </w:r>
      <w:r>
        <w:rPr>
          <w:color w:val="231F20"/>
          <w:w w:val="105"/>
        </w:rPr>
        <w:t>grado</w:t>
      </w:r>
      <w:r>
        <w:rPr>
          <w:color w:val="231F20"/>
          <w:spacing w:val="-11"/>
          <w:w w:val="105"/>
        </w:rPr>
        <w:t> </w:t>
      </w:r>
      <w:r>
        <w:rPr>
          <w:color w:val="231F20"/>
          <w:w w:val="105"/>
        </w:rPr>
        <w:t>de</w:t>
      </w:r>
      <w:r>
        <w:rPr>
          <w:color w:val="231F20"/>
          <w:spacing w:val="-11"/>
          <w:w w:val="105"/>
        </w:rPr>
        <w:t> </w:t>
      </w:r>
      <w:r>
        <w:rPr>
          <w:color w:val="231F20"/>
          <w:w w:val="105"/>
        </w:rPr>
        <w:t>marginación</w:t>
      </w:r>
      <w:r>
        <w:rPr>
          <w:color w:val="231F20"/>
          <w:spacing w:val="-11"/>
          <w:w w:val="105"/>
        </w:rPr>
        <w:t> </w:t>
      </w:r>
      <w:r>
        <w:rPr>
          <w:color w:val="231F20"/>
          <w:w w:val="105"/>
        </w:rPr>
        <w:t>bajo,</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índice</w:t>
      </w:r>
      <w:r>
        <w:rPr>
          <w:color w:val="231F20"/>
          <w:spacing w:val="-11"/>
          <w:w w:val="105"/>
        </w:rPr>
        <w:t> </w:t>
      </w:r>
      <w:r>
        <w:rPr>
          <w:color w:val="231F20"/>
          <w:w w:val="105"/>
        </w:rPr>
        <w:t>de</w:t>
      </w:r>
      <w:r>
        <w:rPr>
          <w:color w:val="231F20"/>
          <w:spacing w:val="-11"/>
          <w:w w:val="105"/>
        </w:rPr>
        <w:t> </w:t>
      </w:r>
      <w:r>
        <w:rPr>
          <w:color w:val="231F20"/>
          <w:w w:val="105"/>
        </w:rPr>
        <w:t>marginación</w:t>
      </w:r>
      <w:r>
        <w:rPr>
          <w:color w:val="231F20"/>
          <w:spacing w:val="-11"/>
          <w:w w:val="105"/>
        </w:rPr>
        <w:t> </w:t>
      </w:r>
      <w:r>
        <w:rPr>
          <w:color w:val="231F20"/>
          <w:w w:val="105"/>
        </w:rPr>
        <w:t>para</w:t>
      </w:r>
      <w:r>
        <w:rPr>
          <w:color w:val="231F20"/>
          <w:spacing w:val="-11"/>
          <w:w w:val="105"/>
        </w:rPr>
        <w:t> </w:t>
      </w:r>
      <w:r>
        <w:rPr>
          <w:color w:val="231F20"/>
          <w:w w:val="105"/>
        </w:rPr>
        <w:t>el año</w:t>
      </w:r>
      <w:r>
        <w:rPr>
          <w:color w:val="231F20"/>
          <w:spacing w:val="-17"/>
          <w:w w:val="105"/>
        </w:rPr>
        <w:t> </w:t>
      </w:r>
      <w:r>
        <w:rPr>
          <w:color w:val="231F20"/>
          <w:spacing w:val="4"/>
          <w:w w:val="105"/>
        </w:rPr>
        <w:t>2000</w:t>
      </w:r>
      <w:r>
        <w:rPr>
          <w:color w:val="231F20"/>
          <w:spacing w:val="-17"/>
          <w:w w:val="105"/>
        </w:rPr>
        <w:t> </w:t>
      </w:r>
      <w:r>
        <w:rPr>
          <w:color w:val="231F20"/>
          <w:w w:val="105"/>
        </w:rPr>
        <w:t>de</w:t>
      </w:r>
      <w:r>
        <w:rPr>
          <w:color w:val="231F20"/>
          <w:spacing w:val="-17"/>
          <w:w w:val="105"/>
        </w:rPr>
        <w:t> </w:t>
      </w:r>
      <w:r>
        <w:rPr>
          <w:color w:val="231F20"/>
          <w:spacing w:val="-6"/>
          <w:w w:val="105"/>
        </w:rPr>
        <w:t>-1.18661</w:t>
      </w:r>
      <w:r>
        <w:rPr>
          <w:color w:val="231F20"/>
          <w:spacing w:val="-17"/>
          <w:w w:val="105"/>
        </w:rPr>
        <w:t> </w:t>
      </w:r>
      <w:r>
        <w:rPr>
          <w:color w:val="231F20"/>
          <w:w w:val="105"/>
        </w:rPr>
        <w:t>y</w:t>
      </w:r>
      <w:r>
        <w:rPr>
          <w:color w:val="231F20"/>
          <w:spacing w:val="-17"/>
          <w:w w:val="105"/>
        </w:rPr>
        <w:t> </w:t>
      </w:r>
      <w:r>
        <w:rPr>
          <w:color w:val="231F20"/>
          <w:w w:val="105"/>
        </w:rPr>
        <w:t>ocupaba</w:t>
      </w:r>
      <w:r>
        <w:rPr>
          <w:color w:val="231F20"/>
          <w:spacing w:val="-17"/>
          <w:w w:val="105"/>
        </w:rPr>
        <w:t> </w:t>
      </w:r>
      <w:r>
        <w:rPr>
          <w:color w:val="231F20"/>
          <w:w w:val="105"/>
        </w:rPr>
        <w:t>a</w:t>
      </w:r>
      <w:r>
        <w:rPr>
          <w:color w:val="231F20"/>
          <w:spacing w:val="-17"/>
          <w:w w:val="105"/>
        </w:rPr>
        <w:t> </w:t>
      </w:r>
      <w:r>
        <w:rPr>
          <w:color w:val="231F20"/>
          <w:w w:val="105"/>
        </w:rPr>
        <w:t>nivel</w:t>
      </w:r>
      <w:r>
        <w:rPr>
          <w:color w:val="231F20"/>
          <w:spacing w:val="-17"/>
          <w:w w:val="105"/>
        </w:rPr>
        <w:t> </w:t>
      </w:r>
      <w:r>
        <w:rPr>
          <w:color w:val="231F20"/>
          <w:w w:val="105"/>
        </w:rPr>
        <w:t>nacional</w:t>
      </w:r>
      <w:r>
        <w:rPr>
          <w:color w:val="231F20"/>
          <w:spacing w:val="-17"/>
          <w:w w:val="105"/>
        </w:rPr>
        <w:t> </w:t>
      </w:r>
      <w:r>
        <w:rPr>
          <w:color w:val="231F20"/>
          <w:w w:val="105"/>
        </w:rPr>
        <w:t>el</w:t>
      </w:r>
      <w:r>
        <w:rPr>
          <w:color w:val="231F20"/>
          <w:spacing w:val="-17"/>
          <w:w w:val="105"/>
        </w:rPr>
        <w:t> </w:t>
      </w:r>
      <w:r>
        <w:rPr>
          <w:color w:val="231F20"/>
          <w:w w:val="105"/>
        </w:rPr>
        <w:t>lugar</w:t>
      </w:r>
      <w:r>
        <w:rPr>
          <w:color w:val="231F20"/>
          <w:spacing w:val="-17"/>
          <w:w w:val="105"/>
        </w:rPr>
        <w:t> </w:t>
      </w:r>
      <w:r>
        <w:rPr>
          <w:color w:val="231F20"/>
          <w:w w:val="105"/>
        </w:rPr>
        <w:t>2134,</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año</w:t>
      </w:r>
      <w:r>
        <w:rPr>
          <w:color w:val="231F20"/>
          <w:spacing w:val="-17"/>
          <w:w w:val="105"/>
        </w:rPr>
        <w:t> </w:t>
      </w:r>
      <w:r>
        <w:rPr>
          <w:color w:val="231F20"/>
          <w:spacing w:val="3"/>
          <w:w w:val="105"/>
        </w:rPr>
        <w:t>2005</w:t>
      </w:r>
      <w:r>
        <w:rPr>
          <w:color w:val="231F20"/>
          <w:spacing w:val="-17"/>
          <w:w w:val="105"/>
        </w:rPr>
        <w:t> </w:t>
      </w:r>
      <w:r>
        <w:rPr>
          <w:color w:val="231F20"/>
          <w:w w:val="105"/>
        </w:rPr>
        <w:t>su</w:t>
      </w:r>
      <w:r>
        <w:rPr>
          <w:color w:val="231F20"/>
          <w:spacing w:val="-17"/>
          <w:w w:val="105"/>
        </w:rPr>
        <w:t> </w:t>
      </w:r>
      <w:r>
        <w:rPr>
          <w:color w:val="231F20"/>
          <w:w w:val="105"/>
        </w:rPr>
        <w:t>índi- ce</w:t>
      </w:r>
      <w:r>
        <w:rPr>
          <w:color w:val="231F20"/>
          <w:spacing w:val="-14"/>
          <w:w w:val="105"/>
        </w:rPr>
        <w:t> </w:t>
      </w:r>
      <w:r>
        <w:rPr>
          <w:color w:val="231F20"/>
          <w:w w:val="105"/>
        </w:rPr>
        <w:t>de</w:t>
      </w:r>
      <w:r>
        <w:rPr>
          <w:color w:val="231F20"/>
          <w:spacing w:val="-14"/>
          <w:w w:val="105"/>
        </w:rPr>
        <w:t> </w:t>
      </w:r>
      <w:r>
        <w:rPr>
          <w:color w:val="231F20"/>
          <w:w w:val="105"/>
        </w:rPr>
        <w:t>marginación</w:t>
      </w:r>
      <w:r>
        <w:rPr>
          <w:color w:val="231F20"/>
          <w:spacing w:val="-14"/>
          <w:w w:val="105"/>
        </w:rPr>
        <w:t> </w:t>
      </w:r>
      <w:r>
        <w:rPr>
          <w:color w:val="231F20"/>
          <w:w w:val="105"/>
        </w:rPr>
        <w:t>era</w:t>
      </w:r>
      <w:r>
        <w:rPr>
          <w:color w:val="231F20"/>
          <w:spacing w:val="-14"/>
          <w:w w:val="105"/>
        </w:rPr>
        <w:t> </w:t>
      </w:r>
      <w:r>
        <w:rPr>
          <w:color w:val="231F20"/>
          <w:w w:val="105"/>
        </w:rPr>
        <w:t>de</w:t>
      </w:r>
      <w:r>
        <w:rPr>
          <w:color w:val="231F20"/>
          <w:spacing w:val="-14"/>
          <w:w w:val="105"/>
        </w:rPr>
        <w:t> </w:t>
      </w:r>
      <w:r>
        <w:rPr>
          <w:color w:val="231F20"/>
          <w:spacing w:val="-6"/>
          <w:w w:val="105"/>
        </w:rPr>
        <w:t>-1.19512</w:t>
      </w:r>
      <w:r>
        <w:rPr>
          <w:color w:val="231F20"/>
          <w:spacing w:val="-14"/>
          <w:w w:val="105"/>
        </w:rPr>
        <w:t> </w:t>
      </w:r>
      <w:r>
        <w:rPr>
          <w:color w:val="231F20"/>
          <w:w w:val="105"/>
        </w:rPr>
        <w:t>y</w:t>
      </w:r>
      <w:r>
        <w:rPr>
          <w:color w:val="231F20"/>
          <w:spacing w:val="-14"/>
          <w:w w:val="105"/>
        </w:rPr>
        <w:t> </w:t>
      </w:r>
      <w:r>
        <w:rPr>
          <w:color w:val="231F20"/>
          <w:w w:val="105"/>
        </w:rPr>
        <w:t>ocupaba</w:t>
      </w:r>
      <w:r>
        <w:rPr>
          <w:color w:val="231F20"/>
          <w:spacing w:val="-14"/>
          <w:w w:val="105"/>
        </w:rPr>
        <w:t> </w:t>
      </w:r>
      <w:r>
        <w:rPr>
          <w:color w:val="231F20"/>
          <w:w w:val="105"/>
        </w:rPr>
        <w:t>el</w:t>
      </w:r>
      <w:r>
        <w:rPr>
          <w:color w:val="231F20"/>
          <w:spacing w:val="-14"/>
          <w:w w:val="105"/>
        </w:rPr>
        <w:t> </w:t>
      </w:r>
      <w:r>
        <w:rPr>
          <w:color w:val="231F20"/>
          <w:w w:val="105"/>
        </w:rPr>
        <w:t>lugar</w:t>
      </w:r>
      <w:r>
        <w:rPr>
          <w:color w:val="231F20"/>
          <w:spacing w:val="-14"/>
          <w:w w:val="105"/>
        </w:rPr>
        <w:t> </w:t>
      </w:r>
      <w:r>
        <w:rPr>
          <w:color w:val="231F20"/>
          <w:spacing w:val="-6"/>
          <w:w w:val="105"/>
        </w:rPr>
        <w:t>2162</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nacional.</w:t>
      </w:r>
      <w:r>
        <w:rPr>
          <w:color w:val="231F20"/>
          <w:spacing w:val="-14"/>
          <w:w w:val="105"/>
        </w:rPr>
        <w:t> </w:t>
      </w:r>
      <w:r>
        <w:rPr>
          <w:color w:val="231F20"/>
          <w:spacing w:val="-3"/>
          <w:w w:val="105"/>
        </w:rPr>
        <w:t>(CONAPO, </w:t>
      </w:r>
      <w:r>
        <w:rPr>
          <w:color w:val="231F20"/>
          <w:spacing w:val="4"/>
          <w:w w:val="105"/>
        </w:rPr>
        <w:t>2000</w:t>
      </w:r>
      <w:r>
        <w:rPr>
          <w:color w:val="231F20"/>
          <w:spacing w:val="-40"/>
          <w:w w:val="105"/>
        </w:rPr>
        <w:t> </w:t>
      </w:r>
      <w:r>
        <w:rPr>
          <w:color w:val="231F20"/>
          <w:w w:val="105"/>
        </w:rPr>
        <w:t>y</w:t>
      </w:r>
      <w:r>
        <w:rPr>
          <w:color w:val="231F20"/>
          <w:spacing w:val="-40"/>
          <w:w w:val="105"/>
        </w:rPr>
        <w:t> </w:t>
      </w:r>
      <w:r>
        <w:rPr>
          <w:color w:val="231F20"/>
          <w:w w:val="105"/>
        </w:rPr>
        <w:t>2005).</w:t>
      </w:r>
    </w:p>
    <w:p>
      <w:pPr>
        <w:pStyle w:val="BodyText"/>
        <w:spacing w:before="9"/>
      </w:pPr>
    </w:p>
    <w:p>
      <w:pPr>
        <w:pStyle w:val="Heading3"/>
        <w:spacing w:before="1"/>
      </w:pPr>
      <w:r>
        <w:rPr>
          <w:color w:val="231F20"/>
          <w:w w:val="105"/>
        </w:rPr>
        <w:t>Finanzas Públicas Municipales</w:t>
      </w:r>
    </w:p>
    <w:p>
      <w:pPr>
        <w:pStyle w:val="BodyText"/>
        <w:spacing w:line="285" w:lineRule="auto" w:before="38"/>
        <w:ind w:left="110" w:right="108"/>
        <w:jc w:val="both"/>
      </w:pP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125</w:t>
      </w:r>
      <w:r>
        <w:rPr>
          <w:color w:val="231F20"/>
          <w:spacing w:val="-20"/>
          <w:w w:val="105"/>
        </w:rPr>
        <w:t> </w:t>
      </w:r>
      <w:r>
        <w:rPr>
          <w:color w:val="231F20"/>
          <w:w w:val="105"/>
        </w:rPr>
        <w:t>municipios</w:t>
      </w:r>
      <w:r>
        <w:rPr>
          <w:color w:val="231F20"/>
          <w:spacing w:val="-20"/>
          <w:w w:val="105"/>
        </w:rPr>
        <w:t> </w:t>
      </w:r>
      <w:r>
        <w:rPr>
          <w:color w:val="231F20"/>
          <w:w w:val="105"/>
        </w:rPr>
        <w:t>del</w:t>
      </w:r>
      <w:r>
        <w:rPr>
          <w:color w:val="231F20"/>
          <w:spacing w:val="-20"/>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0"/>
          <w:w w:val="105"/>
        </w:rPr>
        <w:t> </w:t>
      </w:r>
      <w:r>
        <w:rPr>
          <w:color w:val="231F20"/>
          <w:w w:val="105"/>
        </w:rPr>
        <w:t>Chalco</w:t>
      </w:r>
      <w:r>
        <w:rPr>
          <w:color w:val="231F20"/>
          <w:spacing w:val="-20"/>
          <w:w w:val="105"/>
        </w:rPr>
        <w:t> </w:t>
      </w:r>
      <w:r>
        <w:rPr>
          <w:color w:val="231F20"/>
          <w:w w:val="105"/>
        </w:rPr>
        <w:t>es</w:t>
      </w:r>
      <w:r>
        <w:rPr>
          <w:color w:val="231F20"/>
          <w:spacing w:val="-20"/>
          <w:w w:val="105"/>
        </w:rPr>
        <w:t> </w:t>
      </w:r>
      <w:r>
        <w:rPr>
          <w:color w:val="231F20"/>
          <w:w w:val="105"/>
        </w:rPr>
        <w:t>uno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cinco</w:t>
      </w:r>
      <w:r>
        <w:rPr>
          <w:color w:val="231F20"/>
          <w:spacing w:val="-20"/>
          <w:w w:val="105"/>
        </w:rPr>
        <w:t> </w:t>
      </w:r>
      <w:r>
        <w:rPr>
          <w:color w:val="231F20"/>
          <w:w w:val="105"/>
        </w:rPr>
        <w:t>municipios</w:t>
      </w:r>
      <w:r>
        <w:rPr>
          <w:color w:val="231F20"/>
          <w:spacing w:val="-20"/>
          <w:w w:val="105"/>
        </w:rPr>
        <w:t> </w:t>
      </w:r>
      <w:r>
        <w:rPr>
          <w:color w:val="231F20"/>
          <w:w w:val="105"/>
        </w:rPr>
        <w:t>que tienen certificación por el buen manejo de sus </w:t>
      </w:r>
      <w:r>
        <w:rPr>
          <w:color w:val="231F20"/>
          <w:spacing w:val="2"/>
          <w:w w:val="105"/>
        </w:rPr>
        <w:t>finanzas </w:t>
      </w:r>
      <w:r>
        <w:rPr>
          <w:color w:val="231F20"/>
          <w:w w:val="105"/>
        </w:rPr>
        <w:t>públicas, lo que ha permitido la</w:t>
      </w:r>
      <w:r>
        <w:rPr>
          <w:color w:val="231F20"/>
          <w:spacing w:val="-13"/>
          <w:w w:val="105"/>
        </w:rPr>
        <w:t> </w:t>
      </w:r>
      <w:r>
        <w:rPr>
          <w:color w:val="231F20"/>
          <w:w w:val="105"/>
        </w:rPr>
        <w:t>inversión</w:t>
      </w:r>
      <w:r>
        <w:rPr>
          <w:color w:val="231F20"/>
          <w:spacing w:val="-13"/>
          <w:w w:val="105"/>
        </w:rPr>
        <w:t> </w:t>
      </w:r>
      <w:r>
        <w:rPr>
          <w:color w:val="231F20"/>
          <w:w w:val="105"/>
        </w:rPr>
        <w:t>de</w:t>
      </w:r>
      <w:r>
        <w:rPr>
          <w:color w:val="231F20"/>
          <w:spacing w:val="-13"/>
          <w:w w:val="105"/>
        </w:rPr>
        <w:t> </w:t>
      </w:r>
      <w:r>
        <w:rPr>
          <w:color w:val="231F20"/>
          <w:w w:val="105"/>
        </w:rPr>
        <w:t>más</w:t>
      </w:r>
      <w:r>
        <w:rPr>
          <w:color w:val="231F20"/>
          <w:spacing w:val="-13"/>
          <w:w w:val="105"/>
        </w:rPr>
        <w:t> </w:t>
      </w:r>
      <w:r>
        <w:rPr>
          <w:color w:val="231F20"/>
          <w:w w:val="105"/>
        </w:rPr>
        <w:t>recursos</w:t>
      </w:r>
      <w:r>
        <w:rPr>
          <w:color w:val="231F20"/>
          <w:spacing w:val="-13"/>
          <w:w w:val="105"/>
        </w:rPr>
        <w:t> </w:t>
      </w:r>
      <w:r>
        <w:rPr>
          <w:color w:val="231F20"/>
          <w:w w:val="105"/>
        </w:rPr>
        <w:t>en</w:t>
      </w:r>
      <w:r>
        <w:rPr>
          <w:color w:val="231F20"/>
          <w:spacing w:val="-13"/>
          <w:w w:val="105"/>
        </w:rPr>
        <w:t> </w:t>
      </w:r>
      <w:r>
        <w:rPr>
          <w:color w:val="231F20"/>
          <w:w w:val="105"/>
        </w:rPr>
        <w:t>obras</w:t>
      </w:r>
      <w:r>
        <w:rPr>
          <w:color w:val="231F20"/>
          <w:spacing w:val="-13"/>
          <w:w w:val="105"/>
        </w:rPr>
        <w:t> </w:t>
      </w:r>
      <w:r>
        <w:rPr>
          <w:color w:val="231F20"/>
          <w:w w:val="105"/>
        </w:rPr>
        <w:t>y</w:t>
      </w:r>
      <w:r>
        <w:rPr>
          <w:color w:val="231F20"/>
          <w:spacing w:val="-13"/>
          <w:w w:val="105"/>
        </w:rPr>
        <w:t> </w:t>
      </w:r>
      <w:r>
        <w:rPr>
          <w:color w:val="231F20"/>
          <w:w w:val="105"/>
        </w:rPr>
        <w:t>acciones</w:t>
      </w:r>
      <w:r>
        <w:rPr>
          <w:color w:val="231F20"/>
          <w:spacing w:val="-13"/>
          <w:w w:val="105"/>
        </w:rPr>
        <w:t> </w:t>
      </w:r>
      <w:r>
        <w:rPr>
          <w:color w:val="231F20"/>
          <w:w w:val="105"/>
        </w:rPr>
        <w:t>para</w:t>
      </w:r>
      <w:r>
        <w:rPr>
          <w:color w:val="231F20"/>
          <w:spacing w:val="-13"/>
          <w:w w:val="105"/>
        </w:rPr>
        <w:t> </w:t>
      </w:r>
      <w:r>
        <w:rPr>
          <w:color w:val="231F20"/>
          <w:w w:val="105"/>
        </w:rPr>
        <w:t>beneficio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ciudadanía</w:t>
      </w:r>
      <w:r>
        <w:rPr>
          <w:color w:val="231F20"/>
          <w:spacing w:val="-13"/>
          <w:w w:val="105"/>
        </w:rPr>
        <w:t> </w:t>
      </w:r>
      <w:r>
        <w:rPr>
          <w:color w:val="231F20"/>
          <w:spacing w:val="-3"/>
          <w:w w:val="105"/>
        </w:rPr>
        <w:t>(PDM, </w:t>
      </w:r>
      <w:r>
        <w:rPr>
          <w:color w:val="231F20"/>
        </w:rPr>
        <w:t>2006-2009:</w:t>
      </w:r>
      <w:r>
        <w:rPr>
          <w:color w:val="231F20"/>
          <w:spacing w:val="11"/>
        </w:rPr>
        <w:t> </w:t>
      </w:r>
      <w:r>
        <w:rPr>
          <w:color w:val="231F20"/>
          <w:spacing w:val="-4"/>
        </w:rPr>
        <w:t>27).</w:t>
      </w:r>
    </w:p>
    <w:p>
      <w:pPr>
        <w:pStyle w:val="BodyText"/>
        <w:spacing w:before="1"/>
        <w:rPr>
          <w:sz w:val="26"/>
        </w:rPr>
      </w:pPr>
    </w:p>
    <w:p>
      <w:pPr>
        <w:pStyle w:val="BodyText"/>
        <w:spacing w:line="285" w:lineRule="auto"/>
        <w:ind w:left="110" w:right="107"/>
        <w:jc w:val="both"/>
      </w:pPr>
      <w:r>
        <w:rPr>
          <w:color w:val="231F20"/>
          <w:w w:val="105"/>
        </w:rPr>
        <w:t>La Constitución Política de los Estados Unidos Mexicanos en su artículo </w:t>
      </w:r>
      <w:r>
        <w:rPr>
          <w:color w:val="231F20"/>
          <w:spacing w:val="-4"/>
          <w:w w:val="105"/>
        </w:rPr>
        <w:t>115 </w:t>
      </w:r>
      <w:r>
        <w:rPr>
          <w:color w:val="231F20"/>
          <w:w w:val="105"/>
        </w:rPr>
        <w:t>fracción </w:t>
      </w:r>
      <w:r>
        <w:rPr>
          <w:color w:val="231F20"/>
          <w:spacing w:val="-7"/>
          <w:w w:val="105"/>
        </w:rPr>
        <w:t>IV, </w:t>
      </w:r>
      <w:r>
        <w:rPr>
          <w:color w:val="231F20"/>
          <w:w w:val="105"/>
        </w:rPr>
        <w:t>permite</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la</w:t>
      </w:r>
      <w:r>
        <w:rPr>
          <w:color w:val="231F20"/>
          <w:spacing w:val="-7"/>
          <w:w w:val="105"/>
        </w:rPr>
        <w:t> </w:t>
      </w:r>
      <w:r>
        <w:rPr>
          <w:color w:val="231F20"/>
          <w:w w:val="105"/>
        </w:rPr>
        <w:t>administración</w:t>
      </w:r>
      <w:r>
        <w:rPr>
          <w:color w:val="231F20"/>
          <w:spacing w:val="-7"/>
          <w:w w:val="105"/>
        </w:rPr>
        <w:t> </w:t>
      </w:r>
      <w:r>
        <w:rPr>
          <w:color w:val="231F20"/>
          <w:w w:val="105"/>
        </w:rPr>
        <w:t>libre</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Hacienda,</w:t>
      </w:r>
      <w:r>
        <w:rPr>
          <w:color w:val="231F20"/>
          <w:spacing w:val="-7"/>
          <w:w w:val="105"/>
        </w:rPr>
        <w:t> </w:t>
      </w:r>
      <w:r>
        <w:rPr>
          <w:color w:val="231F20"/>
          <w:w w:val="105"/>
        </w:rPr>
        <w:t>con</w:t>
      </w:r>
      <w:r>
        <w:rPr>
          <w:color w:val="231F20"/>
          <w:spacing w:val="-7"/>
          <w:w w:val="105"/>
        </w:rPr>
        <w:t> </w:t>
      </w:r>
      <w:r>
        <w:rPr>
          <w:color w:val="231F20"/>
          <w:w w:val="105"/>
        </w:rPr>
        <w:t>lo</w:t>
      </w:r>
      <w:r>
        <w:rPr>
          <w:color w:val="231F20"/>
          <w:spacing w:val="-7"/>
          <w:w w:val="105"/>
        </w:rPr>
        <w:t> </w:t>
      </w:r>
      <w:r>
        <w:rPr>
          <w:color w:val="231F20"/>
          <w:w w:val="105"/>
        </w:rPr>
        <w:t>cual</w:t>
      </w:r>
      <w:r>
        <w:rPr>
          <w:color w:val="231F20"/>
          <w:spacing w:val="-7"/>
          <w:w w:val="105"/>
        </w:rPr>
        <w:t> </w:t>
      </w:r>
      <w:r>
        <w:rPr>
          <w:color w:val="231F20"/>
          <w:w w:val="105"/>
        </w:rPr>
        <w:t>las</w:t>
      </w:r>
      <w:r>
        <w:rPr>
          <w:color w:val="231F20"/>
          <w:spacing w:val="-7"/>
          <w:w w:val="105"/>
        </w:rPr>
        <w:t> </w:t>
      </w:r>
      <w:r>
        <w:rPr>
          <w:color w:val="231F20"/>
          <w:w w:val="105"/>
        </w:rPr>
        <w:t>lo- calidades</w:t>
      </w:r>
      <w:r>
        <w:rPr>
          <w:color w:val="231F20"/>
          <w:spacing w:val="-8"/>
          <w:w w:val="105"/>
        </w:rPr>
        <w:t> </w:t>
      </w:r>
      <w:r>
        <w:rPr>
          <w:color w:val="231F20"/>
          <w:w w:val="105"/>
        </w:rPr>
        <w:t>podrán</w:t>
      </w:r>
      <w:r>
        <w:rPr>
          <w:color w:val="231F20"/>
          <w:spacing w:val="-8"/>
          <w:w w:val="105"/>
        </w:rPr>
        <w:t> </w:t>
      </w:r>
      <w:r>
        <w:rPr>
          <w:color w:val="231F20"/>
          <w:w w:val="105"/>
        </w:rPr>
        <w:t>cubrir</w:t>
      </w:r>
      <w:r>
        <w:rPr>
          <w:color w:val="231F20"/>
          <w:spacing w:val="-8"/>
          <w:w w:val="105"/>
        </w:rPr>
        <w:t> </w:t>
      </w:r>
      <w:r>
        <w:rPr>
          <w:color w:val="231F20"/>
          <w:w w:val="105"/>
        </w:rPr>
        <w:t>sus</w:t>
      </w:r>
      <w:r>
        <w:rPr>
          <w:color w:val="231F20"/>
          <w:spacing w:val="-8"/>
          <w:w w:val="105"/>
        </w:rPr>
        <w:t> </w:t>
      </w:r>
      <w:r>
        <w:rPr>
          <w:color w:val="231F20"/>
          <w:w w:val="105"/>
        </w:rPr>
        <w:t>necesidades,</w:t>
      </w:r>
      <w:r>
        <w:rPr>
          <w:color w:val="231F20"/>
          <w:spacing w:val="-8"/>
          <w:w w:val="105"/>
        </w:rPr>
        <w:t> </w:t>
      </w:r>
      <w:r>
        <w:rPr>
          <w:color w:val="231F20"/>
          <w:w w:val="105"/>
        </w:rPr>
        <w:t>así</w:t>
      </w:r>
      <w:r>
        <w:rPr>
          <w:color w:val="231F20"/>
          <w:spacing w:val="-8"/>
          <w:w w:val="105"/>
        </w:rPr>
        <w:t> </w:t>
      </w:r>
      <w:r>
        <w:rPr>
          <w:color w:val="231F20"/>
          <w:w w:val="105"/>
        </w:rPr>
        <w:t>también</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artículo</w:t>
      </w:r>
      <w:r>
        <w:rPr>
          <w:color w:val="231F20"/>
          <w:spacing w:val="-8"/>
          <w:w w:val="105"/>
        </w:rPr>
        <w:t> </w:t>
      </w:r>
      <w:r>
        <w:rPr>
          <w:color w:val="231F20"/>
          <w:spacing w:val="-5"/>
          <w:w w:val="105"/>
        </w:rPr>
        <w:t>31</w:t>
      </w:r>
      <w:r>
        <w:rPr>
          <w:color w:val="231F20"/>
          <w:spacing w:val="-8"/>
          <w:w w:val="105"/>
        </w:rPr>
        <w:t> </w:t>
      </w:r>
      <w:r>
        <w:rPr>
          <w:color w:val="231F20"/>
          <w:w w:val="105"/>
        </w:rPr>
        <w:t>fracción</w:t>
      </w:r>
      <w:r>
        <w:rPr>
          <w:color w:val="231F20"/>
          <w:spacing w:val="-8"/>
          <w:w w:val="105"/>
        </w:rPr>
        <w:t> </w:t>
      </w:r>
      <w:r>
        <w:rPr>
          <w:color w:val="231F20"/>
          <w:w w:val="105"/>
        </w:rPr>
        <w:t>IV</w:t>
      </w:r>
      <w:r>
        <w:rPr>
          <w:color w:val="231F20"/>
          <w:spacing w:val="-8"/>
          <w:w w:val="105"/>
        </w:rPr>
        <w:t> </w:t>
      </w:r>
      <w:r>
        <w:rPr>
          <w:color w:val="231F20"/>
          <w:w w:val="105"/>
        </w:rPr>
        <w:t>de</w:t>
      </w:r>
      <w:r>
        <w:rPr>
          <w:color w:val="231F20"/>
          <w:spacing w:val="-8"/>
          <w:w w:val="105"/>
        </w:rPr>
        <w:t> </w:t>
      </w:r>
      <w:r>
        <w:rPr>
          <w:color w:val="231F20"/>
          <w:w w:val="105"/>
        </w:rPr>
        <w:t>la misma</w:t>
      </w:r>
      <w:r>
        <w:rPr>
          <w:color w:val="231F20"/>
          <w:spacing w:val="-21"/>
          <w:w w:val="105"/>
        </w:rPr>
        <w:t> </w:t>
      </w:r>
      <w:r>
        <w:rPr>
          <w:color w:val="231F20"/>
          <w:w w:val="105"/>
        </w:rPr>
        <w:t>Constitución</w:t>
      </w:r>
      <w:r>
        <w:rPr>
          <w:color w:val="231F20"/>
          <w:spacing w:val="-21"/>
          <w:w w:val="105"/>
        </w:rPr>
        <w:t> </w:t>
      </w:r>
      <w:r>
        <w:rPr>
          <w:color w:val="231F20"/>
          <w:w w:val="105"/>
        </w:rPr>
        <w:t>se</w:t>
      </w:r>
      <w:r>
        <w:rPr>
          <w:color w:val="231F20"/>
          <w:spacing w:val="-21"/>
          <w:w w:val="105"/>
        </w:rPr>
        <w:t> </w:t>
      </w:r>
      <w:r>
        <w:rPr>
          <w:color w:val="231F20"/>
          <w:w w:val="105"/>
        </w:rPr>
        <w:t>establece</w:t>
      </w:r>
      <w:r>
        <w:rPr>
          <w:color w:val="231F20"/>
          <w:spacing w:val="-21"/>
          <w:w w:val="105"/>
        </w:rPr>
        <w:t> </w:t>
      </w:r>
      <w:r>
        <w:rPr>
          <w:color w:val="231F20"/>
          <w:w w:val="105"/>
        </w:rPr>
        <w:t>la</w:t>
      </w:r>
      <w:r>
        <w:rPr>
          <w:color w:val="231F20"/>
          <w:spacing w:val="-21"/>
          <w:w w:val="105"/>
        </w:rPr>
        <w:t> </w:t>
      </w:r>
      <w:r>
        <w:rPr>
          <w:color w:val="231F20"/>
          <w:w w:val="105"/>
        </w:rPr>
        <w:t>obligación</w:t>
      </w:r>
      <w:r>
        <w:rPr>
          <w:color w:val="231F20"/>
          <w:spacing w:val="-21"/>
          <w:w w:val="105"/>
        </w:rPr>
        <w:t> </w:t>
      </w:r>
      <w:r>
        <w:rPr>
          <w:color w:val="231F20"/>
          <w:w w:val="105"/>
        </w:rPr>
        <w:t>que</w:t>
      </w:r>
      <w:r>
        <w:rPr>
          <w:color w:val="231F20"/>
          <w:spacing w:val="-21"/>
          <w:w w:val="105"/>
        </w:rPr>
        <w:t> </w:t>
      </w:r>
      <w:r>
        <w:rPr>
          <w:color w:val="231F20"/>
          <w:w w:val="105"/>
        </w:rPr>
        <w:t>tienen</w:t>
      </w:r>
      <w:r>
        <w:rPr>
          <w:color w:val="231F20"/>
          <w:spacing w:val="-21"/>
          <w:w w:val="105"/>
        </w:rPr>
        <w:t> </w:t>
      </w:r>
      <w:r>
        <w:rPr>
          <w:color w:val="231F20"/>
          <w:w w:val="105"/>
        </w:rPr>
        <w:t>los</w:t>
      </w:r>
      <w:r>
        <w:rPr>
          <w:color w:val="231F20"/>
          <w:spacing w:val="-21"/>
          <w:w w:val="105"/>
        </w:rPr>
        <w:t> </w:t>
      </w:r>
      <w:r>
        <w:rPr>
          <w:color w:val="231F20"/>
          <w:w w:val="105"/>
        </w:rPr>
        <w:t>ciudadanos</w:t>
      </w:r>
      <w:r>
        <w:rPr>
          <w:color w:val="231F20"/>
          <w:spacing w:val="-21"/>
          <w:w w:val="105"/>
        </w:rPr>
        <w:t> </w:t>
      </w:r>
      <w:r>
        <w:rPr>
          <w:color w:val="231F20"/>
          <w:w w:val="105"/>
        </w:rPr>
        <w:t>para</w:t>
      </w:r>
      <w:r>
        <w:rPr>
          <w:color w:val="231F20"/>
          <w:spacing w:val="-21"/>
          <w:w w:val="105"/>
        </w:rPr>
        <w:t> </w:t>
      </w:r>
      <w:r>
        <w:rPr>
          <w:color w:val="231F20"/>
          <w:w w:val="105"/>
        </w:rPr>
        <w:t>contribuir en</w:t>
      </w:r>
      <w:r>
        <w:rPr>
          <w:color w:val="231F20"/>
          <w:spacing w:val="-4"/>
          <w:w w:val="105"/>
        </w:rPr>
        <w:t> </w:t>
      </w:r>
      <w:r>
        <w:rPr>
          <w:color w:val="231F20"/>
          <w:w w:val="105"/>
        </w:rPr>
        <w:t>los</w:t>
      </w:r>
      <w:r>
        <w:rPr>
          <w:color w:val="231F20"/>
          <w:spacing w:val="-4"/>
          <w:w w:val="105"/>
        </w:rPr>
        <w:t> </w:t>
      </w:r>
      <w:r>
        <w:rPr>
          <w:color w:val="231F20"/>
          <w:w w:val="105"/>
        </w:rPr>
        <w:t>gastos</w:t>
      </w:r>
      <w:r>
        <w:rPr>
          <w:color w:val="231F20"/>
          <w:spacing w:val="-4"/>
          <w:w w:val="105"/>
        </w:rPr>
        <w:t> </w:t>
      </w:r>
      <w:r>
        <w:rPr>
          <w:color w:val="231F20"/>
          <w:w w:val="105"/>
        </w:rPr>
        <w:t>públicos</w:t>
      </w:r>
      <w:r>
        <w:rPr>
          <w:color w:val="231F20"/>
          <w:spacing w:val="-4"/>
          <w:w w:val="105"/>
        </w:rPr>
        <w:t> </w:t>
      </w:r>
      <w:r>
        <w:rPr>
          <w:color w:val="231F20"/>
          <w:w w:val="105"/>
        </w:rPr>
        <w:t>del</w:t>
      </w:r>
      <w:r>
        <w:rPr>
          <w:color w:val="231F20"/>
          <w:spacing w:val="-4"/>
          <w:w w:val="105"/>
        </w:rPr>
        <w:t> </w:t>
      </w:r>
      <w:r>
        <w:rPr>
          <w:color w:val="231F20"/>
          <w:w w:val="105"/>
        </w:rPr>
        <w:t>lugar</w:t>
      </w:r>
      <w:r>
        <w:rPr>
          <w:color w:val="231F20"/>
          <w:spacing w:val="-4"/>
          <w:w w:val="105"/>
        </w:rPr>
        <w:t> </w:t>
      </w:r>
      <w:r>
        <w:rPr>
          <w:color w:val="231F20"/>
          <w:w w:val="105"/>
        </w:rPr>
        <w:t>en</w:t>
      </w:r>
      <w:r>
        <w:rPr>
          <w:color w:val="231F20"/>
          <w:spacing w:val="-4"/>
          <w:w w:val="105"/>
        </w:rPr>
        <w:t> </w:t>
      </w:r>
      <w:r>
        <w:rPr>
          <w:color w:val="231F20"/>
          <w:spacing w:val="-3"/>
          <w:w w:val="105"/>
        </w:rPr>
        <w:t>donde</w:t>
      </w:r>
      <w:r>
        <w:rPr>
          <w:color w:val="231F20"/>
          <w:spacing w:val="-4"/>
          <w:w w:val="105"/>
        </w:rPr>
        <w:t> </w:t>
      </w:r>
      <w:r>
        <w:rPr>
          <w:color w:val="231F20"/>
          <w:w w:val="105"/>
        </w:rPr>
        <w:t>residan,</w:t>
      </w:r>
      <w:r>
        <w:rPr>
          <w:color w:val="231F20"/>
          <w:spacing w:val="-4"/>
          <w:w w:val="105"/>
        </w:rPr>
        <w:t> </w:t>
      </w:r>
      <w:r>
        <w:rPr>
          <w:color w:val="231F20"/>
          <w:w w:val="105"/>
        </w:rPr>
        <w:t>de</w:t>
      </w:r>
      <w:r>
        <w:rPr>
          <w:color w:val="231F20"/>
          <w:spacing w:val="-4"/>
          <w:w w:val="105"/>
        </w:rPr>
        <w:t> </w:t>
      </w:r>
      <w:r>
        <w:rPr>
          <w:color w:val="231F20"/>
          <w:w w:val="105"/>
        </w:rPr>
        <w:t>manera</w:t>
      </w:r>
      <w:r>
        <w:rPr>
          <w:color w:val="231F20"/>
          <w:spacing w:val="-4"/>
          <w:w w:val="105"/>
        </w:rPr>
        <w:t> </w:t>
      </w:r>
      <w:r>
        <w:rPr>
          <w:color w:val="231F20"/>
          <w:w w:val="105"/>
        </w:rPr>
        <w:t>proporcional</w:t>
      </w:r>
      <w:r>
        <w:rPr>
          <w:color w:val="231F20"/>
          <w:spacing w:val="-4"/>
          <w:w w:val="105"/>
        </w:rPr>
        <w:t> </w:t>
      </w:r>
      <w:r>
        <w:rPr>
          <w:color w:val="231F20"/>
          <w:w w:val="105"/>
        </w:rPr>
        <w:t>y</w:t>
      </w:r>
      <w:r>
        <w:rPr>
          <w:color w:val="231F20"/>
          <w:spacing w:val="-4"/>
          <w:w w:val="105"/>
        </w:rPr>
        <w:t> </w:t>
      </w:r>
      <w:r>
        <w:rPr>
          <w:color w:val="231F20"/>
          <w:w w:val="105"/>
        </w:rPr>
        <w:t>equitativa que</w:t>
      </w:r>
      <w:r>
        <w:rPr>
          <w:color w:val="231F20"/>
          <w:spacing w:val="-23"/>
          <w:w w:val="105"/>
        </w:rPr>
        <w:t> </w:t>
      </w:r>
      <w:r>
        <w:rPr>
          <w:color w:val="231F20"/>
          <w:w w:val="105"/>
        </w:rPr>
        <w:t>dispongan</w:t>
      </w:r>
      <w:r>
        <w:rPr>
          <w:color w:val="231F20"/>
          <w:spacing w:val="-23"/>
          <w:w w:val="105"/>
        </w:rPr>
        <w:t> </w:t>
      </w:r>
      <w:r>
        <w:rPr>
          <w:color w:val="231F20"/>
          <w:w w:val="105"/>
        </w:rPr>
        <w:t>las</w:t>
      </w:r>
      <w:r>
        <w:rPr>
          <w:color w:val="231F20"/>
          <w:spacing w:val="-23"/>
          <w:w w:val="105"/>
        </w:rPr>
        <w:t> </w:t>
      </w:r>
      <w:r>
        <w:rPr>
          <w:color w:val="231F20"/>
          <w:w w:val="105"/>
        </w:rPr>
        <w:t>leyes.</w:t>
      </w:r>
    </w:p>
    <w:p>
      <w:pPr>
        <w:pStyle w:val="BodyText"/>
        <w:spacing w:before="1"/>
        <w:rPr>
          <w:sz w:val="26"/>
        </w:rPr>
      </w:pPr>
    </w:p>
    <w:p>
      <w:pPr>
        <w:pStyle w:val="BodyText"/>
        <w:spacing w:line="285" w:lineRule="auto"/>
        <w:ind w:left="110" w:right="108"/>
        <w:jc w:val="both"/>
      </w:pPr>
      <w:r>
        <w:rPr>
          <w:color w:val="231F20"/>
          <w:w w:val="105"/>
        </w:rPr>
        <w:t>Debemos tener presente que la clasificación de los ingresos públicos municipales se conforma de la siguiente manera: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2"/>
      </w:pPr>
      <w:r>
        <w:rPr>
          <w:color w:val="231F20"/>
          <w:w w:val="105"/>
        </w:rPr>
        <w:t>Ordinarios:</w:t>
      </w:r>
      <w:r>
        <w:rPr>
          <w:color w:val="231F20"/>
          <w:spacing w:val="-22"/>
          <w:w w:val="105"/>
        </w:rPr>
        <w:t> </w:t>
      </w:r>
      <w:r>
        <w:rPr>
          <w:color w:val="231F20"/>
          <w:w w:val="105"/>
        </w:rPr>
        <w:t>se</w:t>
      </w:r>
      <w:r>
        <w:rPr>
          <w:color w:val="231F20"/>
          <w:spacing w:val="-22"/>
          <w:w w:val="105"/>
        </w:rPr>
        <w:t> </w:t>
      </w:r>
      <w:r>
        <w:rPr>
          <w:color w:val="231F20"/>
          <w:w w:val="105"/>
        </w:rPr>
        <w:t>constituyen</w:t>
      </w:r>
      <w:r>
        <w:rPr>
          <w:color w:val="231F20"/>
          <w:spacing w:val="-22"/>
          <w:w w:val="105"/>
        </w:rPr>
        <w:t> </w:t>
      </w:r>
      <w:r>
        <w:rPr>
          <w:color w:val="231F20"/>
          <w:spacing w:val="-4"/>
          <w:w w:val="105"/>
        </w:rPr>
        <w:t>por,</w:t>
      </w:r>
      <w:r>
        <w:rPr>
          <w:color w:val="231F20"/>
          <w:spacing w:val="-22"/>
          <w:w w:val="105"/>
        </w:rPr>
        <w:t> </w:t>
      </w:r>
      <w:r>
        <w:rPr>
          <w:color w:val="231F20"/>
          <w:w w:val="105"/>
        </w:rPr>
        <w:t>impuestos,</w:t>
      </w:r>
      <w:r>
        <w:rPr>
          <w:color w:val="231F20"/>
          <w:spacing w:val="-22"/>
          <w:w w:val="105"/>
        </w:rPr>
        <w:t> </w:t>
      </w:r>
      <w:r>
        <w:rPr>
          <w:color w:val="231F20"/>
          <w:w w:val="105"/>
        </w:rPr>
        <w:t>derechos,</w:t>
      </w:r>
      <w:r>
        <w:rPr>
          <w:color w:val="231F20"/>
          <w:spacing w:val="-22"/>
          <w:w w:val="105"/>
        </w:rPr>
        <w:t> </w:t>
      </w:r>
      <w:r>
        <w:rPr>
          <w:color w:val="231F20"/>
          <w:w w:val="105"/>
        </w:rPr>
        <w:t>productos</w:t>
      </w:r>
      <w:r>
        <w:rPr>
          <w:color w:val="231F20"/>
          <w:spacing w:val="-22"/>
          <w:w w:val="105"/>
        </w:rPr>
        <w:t> </w:t>
      </w:r>
      <w:r>
        <w:rPr>
          <w:color w:val="231F20"/>
          <w:w w:val="105"/>
        </w:rPr>
        <w:t>y</w:t>
      </w:r>
      <w:r>
        <w:rPr>
          <w:color w:val="231F20"/>
          <w:spacing w:val="-22"/>
          <w:w w:val="105"/>
        </w:rPr>
        <w:t> </w:t>
      </w:r>
      <w:r>
        <w:rPr>
          <w:color w:val="231F20"/>
          <w:w w:val="105"/>
        </w:rPr>
        <w:t>aprovechamien- tos,</w:t>
      </w:r>
      <w:r>
        <w:rPr>
          <w:color w:val="231F20"/>
          <w:spacing w:val="-31"/>
          <w:w w:val="105"/>
        </w:rPr>
        <w:t> </w:t>
      </w:r>
      <w:r>
        <w:rPr>
          <w:color w:val="231F20"/>
          <w:w w:val="105"/>
        </w:rPr>
        <w:t>participaciones.</w:t>
      </w:r>
    </w:p>
    <w:p>
      <w:pPr>
        <w:pStyle w:val="BodyText"/>
        <w:spacing w:line="285" w:lineRule="auto" w:before="1"/>
        <w:ind w:left="677" w:right="-2"/>
      </w:pPr>
      <w:r>
        <w:rPr>
          <w:color w:val="231F20"/>
          <w:w w:val="105"/>
        </w:rPr>
        <w:t>Extraordinarios:</w:t>
      </w:r>
      <w:r>
        <w:rPr>
          <w:color w:val="231F20"/>
          <w:spacing w:val="-22"/>
          <w:w w:val="105"/>
        </w:rPr>
        <w:t> </w:t>
      </w:r>
      <w:r>
        <w:rPr>
          <w:color w:val="231F20"/>
          <w:w w:val="105"/>
        </w:rPr>
        <w:t>se</w:t>
      </w:r>
      <w:r>
        <w:rPr>
          <w:color w:val="231F20"/>
          <w:spacing w:val="-22"/>
          <w:w w:val="105"/>
        </w:rPr>
        <w:t> </w:t>
      </w:r>
      <w:r>
        <w:rPr>
          <w:color w:val="231F20"/>
          <w:w w:val="105"/>
        </w:rPr>
        <w:t>perciben</w:t>
      </w:r>
      <w:r>
        <w:rPr>
          <w:color w:val="231F20"/>
          <w:spacing w:val="-22"/>
          <w:w w:val="105"/>
        </w:rPr>
        <w:t> </w:t>
      </w:r>
      <w:r>
        <w:rPr>
          <w:color w:val="231F20"/>
          <w:w w:val="105"/>
        </w:rPr>
        <w:t>para</w:t>
      </w:r>
      <w:r>
        <w:rPr>
          <w:color w:val="231F20"/>
          <w:spacing w:val="-22"/>
          <w:w w:val="105"/>
        </w:rPr>
        <w:t> </w:t>
      </w:r>
      <w:r>
        <w:rPr>
          <w:color w:val="231F20"/>
          <w:w w:val="105"/>
        </w:rPr>
        <w:t>satisfacer</w:t>
      </w:r>
      <w:r>
        <w:rPr>
          <w:color w:val="231F20"/>
          <w:spacing w:val="-22"/>
          <w:w w:val="105"/>
        </w:rPr>
        <w:t> </w:t>
      </w:r>
      <w:r>
        <w:rPr>
          <w:color w:val="231F20"/>
          <w:w w:val="105"/>
        </w:rPr>
        <w:t>necesidades</w:t>
      </w:r>
      <w:r>
        <w:rPr>
          <w:color w:val="231F20"/>
          <w:spacing w:val="-22"/>
          <w:w w:val="105"/>
        </w:rPr>
        <w:t> </w:t>
      </w:r>
      <w:r>
        <w:rPr>
          <w:color w:val="231F20"/>
          <w:w w:val="105"/>
        </w:rPr>
        <w:t>imprevistas,</w:t>
      </w:r>
      <w:r>
        <w:rPr>
          <w:color w:val="231F20"/>
          <w:spacing w:val="-22"/>
          <w:w w:val="105"/>
        </w:rPr>
        <w:t> </w:t>
      </w:r>
      <w:r>
        <w:rPr>
          <w:color w:val="231F20"/>
          <w:w w:val="105"/>
        </w:rPr>
        <w:t>de</w:t>
      </w:r>
      <w:r>
        <w:rPr>
          <w:color w:val="231F20"/>
          <w:spacing w:val="-22"/>
          <w:w w:val="105"/>
        </w:rPr>
        <w:t> </w:t>
      </w:r>
      <w:r>
        <w:rPr>
          <w:color w:val="231F20"/>
          <w:spacing w:val="-3"/>
          <w:w w:val="105"/>
        </w:rPr>
        <w:t>emergen- </w:t>
      </w:r>
      <w:r>
        <w:rPr>
          <w:color w:val="231F20"/>
          <w:w w:val="105"/>
        </w:rPr>
        <w:t>cia,</w:t>
      </w:r>
      <w:r>
        <w:rPr>
          <w:color w:val="231F20"/>
          <w:spacing w:val="-25"/>
          <w:w w:val="105"/>
        </w:rPr>
        <w:t> </w:t>
      </w:r>
      <w:r>
        <w:rPr>
          <w:color w:val="231F20"/>
          <w:w w:val="105"/>
        </w:rPr>
        <w:t>créditos</w:t>
      </w:r>
      <w:r>
        <w:rPr>
          <w:color w:val="231F20"/>
          <w:spacing w:val="-25"/>
          <w:w w:val="105"/>
        </w:rPr>
        <w:t> </w:t>
      </w:r>
      <w:r>
        <w:rPr>
          <w:color w:val="231F20"/>
          <w:w w:val="105"/>
        </w:rPr>
        <w:t>y</w:t>
      </w:r>
      <w:r>
        <w:rPr>
          <w:color w:val="231F20"/>
          <w:spacing w:val="-25"/>
          <w:w w:val="105"/>
        </w:rPr>
        <w:t> </w:t>
      </w:r>
      <w:r>
        <w:rPr>
          <w:color w:val="231F20"/>
          <w:w w:val="105"/>
        </w:rPr>
        <w:t>contribuciones</w:t>
      </w:r>
      <w:r>
        <w:rPr>
          <w:color w:val="231F20"/>
          <w:spacing w:val="-25"/>
          <w:w w:val="105"/>
        </w:rPr>
        <w:t> </w:t>
      </w:r>
      <w:r>
        <w:rPr>
          <w:color w:val="231F20"/>
          <w:w w:val="105"/>
        </w:rPr>
        <w:t>especiales.</w:t>
      </w:r>
    </w:p>
    <w:p>
      <w:pPr>
        <w:pStyle w:val="BodyText"/>
        <w:spacing w:before="1"/>
        <w:rPr>
          <w:sz w:val="26"/>
        </w:rPr>
      </w:pPr>
    </w:p>
    <w:p>
      <w:pPr>
        <w:pStyle w:val="BodyText"/>
        <w:spacing w:line="285" w:lineRule="auto"/>
        <w:ind w:left="110" w:right="108"/>
        <w:jc w:val="both"/>
      </w:pPr>
      <w:r>
        <w:rPr>
          <w:color w:val="231F20"/>
          <w:w w:val="105"/>
        </w:rPr>
        <w:t>Además</w:t>
      </w:r>
      <w:r>
        <w:rPr>
          <w:color w:val="231F20"/>
          <w:spacing w:val="-12"/>
          <w:w w:val="105"/>
        </w:rPr>
        <w:t> </w:t>
      </w:r>
      <w:r>
        <w:rPr>
          <w:color w:val="231F20"/>
          <w:w w:val="105"/>
        </w:rPr>
        <w:t>los</w:t>
      </w:r>
      <w:r>
        <w:rPr>
          <w:color w:val="231F20"/>
          <w:spacing w:val="-12"/>
          <w:w w:val="105"/>
        </w:rPr>
        <w:t> </w:t>
      </w:r>
      <w:r>
        <w:rPr>
          <w:color w:val="231F20"/>
          <w:w w:val="105"/>
        </w:rPr>
        <w:t>derivados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Sistemas</w:t>
      </w:r>
      <w:r>
        <w:rPr>
          <w:color w:val="231F20"/>
          <w:spacing w:val="-12"/>
          <w:w w:val="105"/>
        </w:rPr>
        <w:t> </w:t>
      </w:r>
      <w:r>
        <w:rPr>
          <w:color w:val="231F20"/>
          <w:w w:val="105"/>
        </w:rPr>
        <w:t>Nacional</w:t>
      </w:r>
      <w:r>
        <w:rPr>
          <w:color w:val="231F20"/>
          <w:spacing w:val="-12"/>
          <w:w w:val="105"/>
        </w:rPr>
        <w:t> </w:t>
      </w:r>
      <w:r>
        <w:rPr>
          <w:color w:val="231F20"/>
          <w:w w:val="105"/>
        </w:rPr>
        <w:t>de</w:t>
      </w:r>
      <w:r>
        <w:rPr>
          <w:color w:val="231F20"/>
          <w:spacing w:val="-12"/>
          <w:w w:val="105"/>
        </w:rPr>
        <w:t> </w:t>
      </w:r>
      <w:r>
        <w:rPr>
          <w:color w:val="231F20"/>
          <w:w w:val="105"/>
        </w:rPr>
        <w:t>coordinación</w:t>
      </w:r>
      <w:r>
        <w:rPr>
          <w:color w:val="231F20"/>
          <w:spacing w:val="-12"/>
          <w:w w:val="105"/>
        </w:rPr>
        <w:t> </w:t>
      </w:r>
      <w:r>
        <w:rPr>
          <w:color w:val="231F20"/>
          <w:w w:val="105"/>
        </w:rPr>
        <w:t>Fiscal</w:t>
      </w:r>
      <w:r>
        <w:rPr>
          <w:color w:val="231F20"/>
          <w:spacing w:val="-12"/>
          <w:w w:val="105"/>
        </w:rPr>
        <w:t> </w:t>
      </w:r>
      <w:r>
        <w:rPr>
          <w:color w:val="231F20"/>
          <w:w w:val="105"/>
        </w:rPr>
        <w:t>y</w:t>
      </w:r>
      <w:r>
        <w:rPr>
          <w:color w:val="231F20"/>
          <w:spacing w:val="-12"/>
          <w:w w:val="105"/>
        </w:rPr>
        <w:t> </w:t>
      </w:r>
      <w:r>
        <w:rPr>
          <w:color w:val="231F20"/>
          <w:w w:val="105"/>
        </w:rPr>
        <w:t>Estatal</w:t>
      </w:r>
      <w:r>
        <w:rPr>
          <w:color w:val="231F20"/>
          <w:spacing w:val="-12"/>
          <w:w w:val="105"/>
        </w:rPr>
        <w:t> </w:t>
      </w:r>
      <w:r>
        <w:rPr>
          <w:color w:val="231F20"/>
          <w:w w:val="105"/>
        </w:rPr>
        <w:t>de</w:t>
      </w:r>
      <w:r>
        <w:rPr>
          <w:color w:val="231F20"/>
          <w:spacing w:val="-12"/>
          <w:w w:val="105"/>
        </w:rPr>
        <w:t> </w:t>
      </w:r>
      <w:r>
        <w:rPr>
          <w:color w:val="231F20"/>
          <w:w w:val="105"/>
        </w:rPr>
        <w:t>co- ordinación</w:t>
      </w:r>
      <w:r>
        <w:rPr>
          <w:color w:val="231F20"/>
          <w:spacing w:val="-13"/>
          <w:w w:val="105"/>
        </w:rPr>
        <w:t> </w:t>
      </w:r>
      <w:r>
        <w:rPr>
          <w:color w:val="231F20"/>
          <w:w w:val="105"/>
        </w:rPr>
        <w:t>Hacendaria.</w:t>
      </w:r>
    </w:p>
    <w:p>
      <w:pPr>
        <w:pStyle w:val="BodyText"/>
        <w:spacing w:before="1"/>
        <w:rPr>
          <w:sz w:val="26"/>
        </w:rPr>
      </w:pPr>
    </w:p>
    <w:p>
      <w:pPr>
        <w:pStyle w:val="BodyText"/>
        <w:spacing w:line="285" w:lineRule="auto"/>
        <w:ind w:left="110" w:right="107"/>
        <w:jc w:val="both"/>
      </w:pPr>
      <w:r>
        <w:rPr>
          <w:color w:val="231F20"/>
          <w:w w:val="105"/>
        </w:rPr>
        <w:t>Antes</w:t>
      </w:r>
      <w:r>
        <w:rPr>
          <w:color w:val="231F20"/>
          <w:spacing w:val="-17"/>
          <w:w w:val="105"/>
        </w:rPr>
        <w:t> </w:t>
      </w:r>
      <w:r>
        <w:rPr>
          <w:color w:val="231F20"/>
          <w:w w:val="105"/>
        </w:rPr>
        <w:t>de</w:t>
      </w:r>
      <w:r>
        <w:rPr>
          <w:color w:val="231F20"/>
          <w:spacing w:val="-17"/>
          <w:w w:val="105"/>
        </w:rPr>
        <w:t> </w:t>
      </w:r>
      <w:r>
        <w:rPr>
          <w:color w:val="231F20"/>
          <w:w w:val="105"/>
        </w:rPr>
        <w:t>ofrecer</w:t>
      </w:r>
      <w:r>
        <w:rPr>
          <w:color w:val="231F20"/>
          <w:spacing w:val="-17"/>
          <w:w w:val="105"/>
        </w:rPr>
        <w:t> </w:t>
      </w:r>
      <w:r>
        <w:rPr>
          <w:color w:val="231F20"/>
          <w:w w:val="105"/>
        </w:rPr>
        <w:t>los</w:t>
      </w:r>
      <w:r>
        <w:rPr>
          <w:color w:val="231F20"/>
          <w:spacing w:val="-17"/>
          <w:w w:val="105"/>
        </w:rPr>
        <w:t> </w:t>
      </w:r>
      <w:r>
        <w:rPr>
          <w:color w:val="231F20"/>
          <w:w w:val="105"/>
        </w:rPr>
        <w:t>datos</w:t>
      </w:r>
      <w:r>
        <w:rPr>
          <w:color w:val="231F20"/>
          <w:spacing w:val="-17"/>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apartado</w:t>
      </w:r>
      <w:r>
        <w:rPr>
          <w:color w:val="231F20"/>
          <w:spacing w:val="-17"/>
          <w:w w:val="105"/>
        </w:rPr>
        <w:t> </w:t>
      </w:r>
      <w:r>
        <w:rPr>
          <w:color w:val="231F20"/>
          <w:w w:val="105"/>
        </w:rPr>
        <w:t>aclaramos</w:t>
      </w:r>
      <w:r>
        <w:rPr>
          <w:color w:val="231F20"/>
          <w:spacing w:val="-17"/>
          <w:w w:val="105"/>
        </w:rPr>
        <w:t> </w:t>
      </w:r>
      <w:r>
        <w:rPr>
          <w:color w:val="231F20"/>
          <w:w w:val="105"/>
        </w:rPr>
        <w:t>que</w:t>
      </w:r>
      <w:r>
        <w:rPr>
          <w:color w:val="231F20"/>
          <w:spacing w:val="-17"/>
          <w:w w:val="105"/>
        </w:rPr>
        <w:t> </w:t>
      </w:r>
      <w:r>
        <w:rPr>
          <w:color w:val="231F20"/>
          <w:w w:val="105"/>
        </w:rPr>
        <w:t>retomamos</w:t>
      </w:r>
      <w:r>
        <w:rPr>
          <w:color w:val="231F20"/>
          <w:spacing w:val="-17"/>
          <w:w w:val="105"/>
        </w:rPr>
        <w:t> </w:t>
      </w:r>
      <w:r>
        <w:rPr>
          <w:color w:val="231F20"/>
          <w:w w:val="105"/>
        </w:rPr>
        <w:t>desde</w:t>
      </w:r>
      <w:r>
        <w:rPr>
          <w:color w:val="231F20"/>
          <w:spacing w:val="-17"/>
          <w:w w:val="105"/>
        </w:rPr>
        <w:t> </w:t>
      </w:r>
      <w:r>
        <w:rPr>
          <w:color w:val="231F20"/>
          <w:w w:val="105"/>
        </w:rPr>
        <w:t>el</w:t>
      </w:r>
      <w:r>
        <w:rPr>
          <w:color w:val="231F20"/>
          <w:spacing w:val="-17"/>
          <w:w w:val="105"/>
        </w:rPr>
        <w:t> </w:t>
      </w:r>
      <w:r>
        <w:rPr>
          <w:color w:val="231F20"/>
          <w:w w:val="105"/>
        </w:rPr>
        <w:t>año</w:t>
      </w:r>
      <w:r>
        <w:rPr>
          <w:color w:val="231F20"/>
          <w:spacing w:val="-17"/>
          <w:w w:val="105"/>
        </w:rPr>
        <w:t> </w:t>
      </w:r>
      <w:r>
        <w:rPr>
          <w:color w:val="231F20"/>
          <w:spacing w:val="4"/>
          <w:w w:val="105"/>
        </w:rPr>
        <w:t>2000 </w:t>
      </w:r>
      <w:r>
        <w:rPr>
          <w:color w:val="231F20"/>
          <w:w w:val="105"/>
        </w:rPr>
        <w:t>porque</w:t>
      </w:r>
      <w:r>
        <w:rPr>
          <w:color w:val="231F20"/>
          <w:spacing w:val="-17"/>
          <w:w w:val="105"/>
        </w:rPr>
        <w:t> </w:t>
      </w:r>
      <w:r>
        <w:rPr>
          <w:color w:val="231F20"/>
          <w:w w:val="105"/>
        </w:rPr>
        <w:t>quisimos</w:t>
      </w:r>
      <w:r>
        <w:rPr>
          <w:color w:val="231F20"/>
          <w:spacing w:val="-17"/>
          <w:w w:val="105"/>
        </w:rPr>
        <w:t> </w:t>
      </w:r>
      <w:r>
        <w:rPr>
          <w:color w:val="231F20"/>
          <w:w w:val="105"/>
        </w:rPr>
        <w:t>conocer</w:t>
      </w:r>
      <w:r>
        <w:rPr>
          <w:color w:val="231F20"/>
          <w:spacing w:val="-17"/>
          <w:w w:val="105"/>
        </w:rPr>
        <w:t> </w:t>
      </w:r>
      <w:r>
        <w:rPr>
          <w:color w:val="231F20"/>
          <w:w w:val="105"/>
        </w:rPr>
        <w:t>si</w:t>
      </w:r>
      <w:r>
        <w:rPr>
          <w:color w:val="231F20"/>
          <w:spacing w:val="-17"/>
          <w:w w:val="105"/>
        </w:rPr>
        <w:t> </w:t>
      </w:r>
      <w:r>
        <w:rPr>
          <w:color w:val="231F20"/>
          <w:w w:val="105"/>
        </w:rPr>
        <w:t>los</w:t>
      </w:r>
      <w:r>
        <w:rPr>
          <w:color w:val="231F20"/>
          <w:spacing w:val="-17"/>
          <w:w w:val="105"/>
        </w:rPr>
        <w:t> </w:t>
      </w:r>
      <w:r>
        <w:rPr>
          <w:color w:val="231F20"/>
          <w:w w:val="105"/>
        </w:rPr>
        <w:t>ingresos</w:t>
      </w:r>
      <w:r>
        <w:rPr>
          <w:color w:val="231F20"/>
          <w:spacing w:val="-17"/>
          <w:w w:val="105"/>
        </w:rPr>
        <w:t> </w:t>
      </w:r>
      <w:r>
        <w:rPr>
          <w:color w:val="231F20"/>
          <w:w w:val="105"/>
        </w:rPr>
        <w:t>y</w:t>
      </w:r>
      <w:r>
        <w:rPr>
          <w:color w:val="231F20"/>
          <w:spacing w:val="-17"/>
          <w:w w:val="105"/>
        </w:rPr>
        <w:t> </w:t>
      </w:r>
      <w:r>
        <w:rPr>
          <w:color w:val="231F20"/>
          <w:w w:val="105"/>
        </w:rPr>
        <w:t>egresos</w:t>
      </w:r>
      <w:r>
        <w:rPr>
          <w:color w:val="231F20"/>
          <w:spacing w:val="-17"/>
          <w:w w:val="105"/>
        </w:rPr>
        <w:t> </w:t>
      </w:r>
      <w:r>
        <w:rPr>
          <w:color w:val="231F20"/>
          <w:w w:val="105"/>
        </w:rPr>
        <w:t>se</w:t>
      </w:r>
      <w:r>
        <w:rPr>
          <w:color w:val="231F20"/>
          <w:spacing w:val="-17"/>
          <w:w w:val="105"/>
        </w:rPr>
        <w:t> </w:t>
      </w:r>
      <w:r>
        <w:rPr>
          <w:color w:val="231F20"/>
          <w:w w:val="105"/>
        </w:rPr>
        <w:t>vieron</w:t>
      </w:r>
      <w:r>
        <w:rPr>
          <w:color w:val="231F20"/>
          <w:spacing w:val="-17"/>
          <w:w w:val="105"/>
        </w:rPr>
        <w:t> </w:t>
      </w:r>
      <w:r>
        <w:rPr>
          <w:color w:val="231F20"/>
          <w:w w:val="105"/>
        </w:rPr>
        <w:t>afectados</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alternancia de</w:t>
      </w:r>
      <w:r>
        <w:rPr>
          <w:color w:val="231F20"/>
          <w:spacing w:val="-5"/>
          <w:w w:val="105"/>
        </w:rPr>
        <w:t> </w:t>
      </w:r>
      <w:r>
        <w:rPr>
          <w:color w:val="231F20"/>
          <w:w w:val="105"/>
        </w:rPr>
        <w:t>partido.</w:t>
      </w:r>
    </w:p>
    <w:p>
      <w:pPr>
        <w:pStyle w:val="BodyText"/>
        <w:spacing w:before="1"/>
        <w:rPr>
          <w:sz w:val="26"/>
        </w:rPr>
      </w:pPr>
    </w:p>
    <w:p>
      <w:pPr>
        <w:pStyle w:val="BodyText"/>
        <w:spacing w:line="285" w:lineRule="auto"/>
        <w:ind w:left="110" w:right="109"/>
        <w:jc w:val="both"/>
      </w:pPr>
      <w:r>
        <w:rPr>
          <w:color w:val="231F20"/>
          <w:w w:val="105"/>
        </w:rPr>
        <w:t>Los</w:t>
      </w:r>
      <w:r>
        <w:rPr>
          <w:color w:val="231F20"/>
          <w:spacing w:val="-10"/>
          <w:w w:val="105"/>
        </w:rPr>
        <w:t> </w:t>
      </w:r>
      <w:r>
        <w:rPr>
          <w:color w:val="231F20"/>
          <w:w w:val="105"/>
        </w:rPr>
        <w:t>ingresos</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Municipio</w:t>
      </w:r>
      <w:r>
        <w:rPr>
          <w:color w:val="231F20"/>
          <w:spacing w:val="-10"/>
          <w:w w:val="105"/>
        </w:rPr>
        <w:t> </w:t>
      </w:r>
      <w:r>
        <w:rPr>
          <w:color w:val="231F20"/>
          <w:w w:val="105"/>
        </w:rPr>
        <w:t>ha</w:t>
      </w:r>
      <w:r>
        <w:rPr>
          <w:color w:val="231F20"/>
          <w:spacing w:val="-10"/>
          <w:w w:val="105"/>
        </w:rPr>
        <w:t> </w:t>
      </w:r>
      <w:r>
        <w:rPr>
          <w:color w:val="231F20"/>
          <w:w w:val="105"/>
        </w:rPr>
        <w:t>percibido</w:t>
      </w:r>
      <w:r>
        <w:rPr>
          <w:color w:val="231F20"/>
          <w:spacing w:val="-10"/>
          <w:w w:val="105"/>
        </w:rPr>
        <w:t> </w:t>
      </w:r>
      <w:r>
        <w:rPr>
          <w:color w:val="231F20"/>
          <w:w w:val="105"/>
        </w:rPr>
        <w:t>a</w:t>
      </w:r>
      <w:r>
        <w:rPr>
          <w:color w:val="231F20"/>
          <w:spacing w:val="-10"/>
          <w:w w:val="105"/>
        </w:rPr>
        <w:t> </w:t>
      </w:r>
      <w:r>
        <w:rPr>
          <w:color w:val="231F20"/>
          <w:spacing w:val="2"/>
          <w:w w:val="105"/>
        </w:rPr>
        <w:t>partir</w:t>
      </w:r>
      <w:r>
        <w:rPr>
          <w:color w:val="231F20"/>
          <w:spacing w:val="-10"/>
          <w:w w:val="105"/>
        </w:rPr>
        <w:t> </w:t>
      </w:r>
      <w:r>
        <w:rPr>
          <w:color w:val="231F20"/>
          <w:w w:val="105"/>
        </w:rPr>
        <w:t>del</w:t>
      </w:r>
      <w:r>
        <w:rPr>
          <w:color w:val="231F20"/>
          <w:spacing w:val="-10"/>
          <w:w w:val="105"/>
        </w:rPr>
        <w:t> </w:t>
      </w:r>
      <w:r>
        <w:rPr>
          <w:color w:val="231F20"/>
          <w:w w:val="105"/>
        </w:rPr>
        <w:t>año</w:t>
      </w:r>
      <w:r>
        <w:rPr>
          <w:color w:val="231F20"/>
          <w:spacing w:val="-10"/>
          <w:w w:val="105"/>
        </w:rPr>
        <w:t> </w:t>
      </w:r>
      <w:r>
        <w:rPr>
          <w:color w:val="231F20"/>
          <w:spacing w:val="2"/>
          <w:w w:val="105"/>
        </w:rPr>
        <w:t>2000-2005</w:t>
      </w:r>
      <w:r>
        <w:rPr>
          <w:color w:val="231F20"/>
          <w:spacing w:val="-10"/>
          <w:w w:val="105"/>
        </w:rPr>
        <w:t> </w:t>
      </w:r>
      <w:r>
        <w:rPr>
          <w:color w:val="231F20"/>
          <w:w w:val="105"/>
        </w:rPr>
        <w:t>se</w:t>
      </w:r>
      <w:r>
        <w:rPr>
          <w:color w:val="231F20"/>
          <w:spacing w:val="-10"/>
          <w:w w:val="105"/>
        </w:rPr>
        <w:t> </w:t>
      </w:r>
      <w:r>
        <w:rPr>
          <w:color w:val="231F20"/>
          <w:w w:val="105"/>
        </w:rPr>
        <w:t>desglosan</w:t>
      </w:r>
      <w:r>
        <w:rPr>
          <w:color w:val="231F20"/>
          <w:spacing w:val="-10"/>
          <w:w w:val="105"/>
        </w:rPr>
        <w:t> </w:t>
      </w:r>
      <w:r>
        <w:rPr>
          <w:color w:val="231F20"/>
          <w:w w:val="105"/>
        </w:rPr>
        <w:t>en el</w:t>
      </w:r>
      <w:r>
        <w:rPr>
          <w:color w:val="231F20"/>
          <w:spacing w:val="-14"/>
          <w:w w:val="105"/>
        </w:rPr>
        <w:t> </w:t>
      </w:r>
      <w:r>
        <w:rPr>
          <w:color w:val="231F20"/>
          <w:w w:val="105"/>
        </w:rPr>
        <w:t>siguiente</w:t>
      </w:r>
      <w:r>
        <w:rPr>
          <w:color w:val="231F20"/>
          <w:spacing w:val="-14"/>
          <w:w w:val="105"/>
        </w:rPr>
        <w:t> </w:t>
      </w:r>
      <w:r>
        <w:rPr>
          <w:color w:val="231F20"/>
          <w:w w:val="105"/>
        </w:rPr>
        <w:t>cuadro.</w:t>
      </w:r>
      <w:r>
        <w:rPr>
          <w:color w:val="231F20"/>
          <w:spacing w:val="-14"/>
          <w:w w:val="105"/>
        </w:rPr>
        <w:t> </w:t>
      </w:r>
      <w:r>
        <w:rPr>
          <w:color w:val="231F20"/>
          <w:w w:val="105"/>
        </w:rPr>
        <w:t>Aclaramos</w:t>
      </w:r>
      <w:r>
        <w:rPr>
          <w:color w:val="231F20"/>
          <w:spacing w:val="-14"/>
          <w:w w:val="105"/>
        </w:rPr>
        <w:t> </w:t>
      </w:r>
      <w:r>
        <w:rPr>
          <w:color w:val="231F20"/>
          <w:w w:val="105"/>
        </w:rPr>
        <w:t>que</w:t>
      </w:r>
      <w:r>
        <w:rPr>
          <w:color w:val="231F20"/>
          <w:spacing w:val="-14"/>
          <w:w w:val="105"/>
        </w:rPr>
        <w:t> </w:t>
      </w:r>
      <w:r>
        <w:rPr>
          <w:color w:val="231F20"/>
          <w:w w:val="105"/>
        </w:rPr>
        <w:t>solo</w:t>
      </w:r>
      <w:r>
        <w:rPr>
          <w:color w:val="231F20"/>
          <w:spacing w:val="-14"/>
          <w:w w:val="105"/>
        </w:rPr>
        <w:t> </w:t>
      </w:r>
      <w:r>
        <w:rPr>
          <w:color w:val="231F20"/>
          <w:w w:val="105"/>
        </w:rPr>
        <w:t>nos</w:t>
      </w:r>
      <w:r>
        <w:rPr>
          <w:color w:val="231F20"/>
          <w:spacing w:val="-14"/>
          <w:w w:val="105"/>
        </w:rPr>
        <w:t> </w:t>
      </w:r>
      <w:r>
        <w:rPr>
          <w:color w:val="231F20"/>
          <w:w w:val="105"/>
        </w:rPr>
        <w:t>centramos</w:t>
      </w:r>
      <w:r>
        <w:rPr>
          <w:color w:val="231F20"/>
          <w:spacing w:val="-14"/>
          <w:w w:val="105"/>
        </w:rPr>
        <w:t> </w:t>
      </w:r>
      <w:r>
        <w:rPr>
          <w:color w:val="231F20"/>
          <w:w w:val="105"/>
        </w:rPr>
        <w:t>en</w:t>
      </w:r>
      <w:r>
        <w:rPr>
          <w:color w:val="231F20"/>
          <w:spacing w:val="-14"/>
          <w:w w:val="105"/>
        </w:rPr>
        <w:t> </w:t>
      </w:r>
      <w:r>
        <w:rPr>
          <w:color w:val="231F20"/>
          <w:w w:val="105"/>
        </w:rPr>
        <w:t>2</w:t>
      </w:r>
      <w:r>
        <w:rPr>
          <w:color w:val="231F20"/>
          <w:spacing w:val="-14"/>
          <w:w w:val="105"/>
        </w:rPr>
        <w:t> </w:t>
      </w:r>
      <w:r>
        <w:rPr>
          <w:color w:val="231F20"/>
          <w:w w:val="105"/>
        </w:rPr>
        <w:t>aspectos:</w:t>
      </w:r>
    </w:p>
    <w:p>
      <w:pPr>
        <w:pStyle w:val="BodyText"/>
        <w:spacing w:before="1"/>
        <w:rPr>
          <w:sz w:val="26"/>
        </w:rPr>
      </w:pPr>
    </w:p>
    <w:p>
      <w:pPr>
        <w:pStyle w:val="Heading5"/>
        <w:ind w:left="1123"/>
      </w:pPr>
      <w:r>
        <w:rPr>
          <w:color w:val="231F20"/>
          <w:w w:val="105"/>
        </w:rPr>
        <w:t>Cuadro 2. Ingresos del Municipio de Chalco del 2000 al 2005</w:t>
      </w:r>
    </w:p>
    <w:p>
      <w:pPr>
        <w:pStyle w:val="BodyText"/>
        <w:spacing w:before="10"/>
        <w:rPr>
          <w:b/>
          <w:sz w:val="28"/>
        </w:rPr>
      </w:pPr>
    </w:p>
    <w:tbl>
      <w:tblPr>
        <w:tblW w:w="0" w:type="auto"/>
        <w:jc w:val="left"/>
        <w:tblInd w:w="69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84"/>
        <w:gridCol w:w="1064"/>
        <w:gridCol w:w="1081"/>
        <w:gridCol w:w="889"/>
        <w:gridCol w:w="889"/>
        <w:gridCol w:w="915"/>
        <w:gridCol w:w="842"/>
      </w:tblGrid>
      <w:tr>
        <w:trPr>
          <w:trHeight w:val="130" w:hRule="exact"/>
        </w:trPr>
        <w:tc>
          <w:tcPr>
            <w:tcW w:w="1084" w:type="dxa"/>
          </w:tcPr>
          <w:p>
            <w:pPr/>
          </w:p>
        </w:tc>
        <w:tc>
          <w:tcPr>
            <w:tcW w:w="1064" w:type="dxa"/>
          </w:tcPr>
          <w:p>
            <w:pPr>
              <w:pStyle w:val="TableParagraph"/>
              <w:spacing w:line="160" w:lineRule="exact"/>
              <w:rPr>
                <w:sz w:val="16"/>
              </w:rPr>
            </w:pPr>
            <w:r>
              <w:rPr>
                <w:color w:val="231F20"/>
                <w:w w:val="85"/>
                <w:sz w:val="16"/>
              </w:rPr>
              <w:t>2000</w:t>
            </w:r>
          </w:p>
        </w:tc>
        <w:tc>
          <w:tcPr>
            <w:tcW w:w="1081" w:type="dxa"/>
          </w:tcPr>
          <w:p>
            <w:pPr>
              <w:pStyle w:val="TableParagraph"/>
              <w:spacing w:line="160" w:lineRule="exact"/>
              <w:rPr>
                <w:sz w:val="16"/>
              </w:rPr>
            </w:pPr>
            <w:r>
              <w:rPr>
                <w:color w:val="231F20"/>
                <w:w w:val="85"/>
                <w:sz w:val="16"/>
              </w:rPr>
              <w:t>2001</w:t>
            </w:r>
          </w:p>
        </w:tc>
        <w:tc>
          <w:tcPr>
            <w:tcW w:w="889" w:type="dxa"/>
          </w:tcPr>
          <w:p>
            <w:pPr>
              <w:pStyle w:val="TableParagraph"/>
              <w:spacing w:line="160" w:lineRule="exact"/>
              <w:ind w:left="102"/>
              <w:rPr>
                <w:sz w:val="16"/>
              </w:rPr>
            </w:pPr>
            <w:r>
              <w:rPr>
                <w:color w:val="231F20"/>
                <w:w w:val="85"/>
                <w:sz w:val="16"/>
              </w:rPr>
              <w:t>2002</w:t>
            </w:r>
          </w:p>
        </w:tc>
        <w:tc>
          <w:tcPr>
            <w:tcW w:w="889" w:type="dxa"/>
          </w:tcPr>
          <w:p>
            <w:pPr>
              <w:pStyle w:val="TableParagraph"/>
              <w:spacing w:line="160" w:lineRule="exact"/>
              <w:ind w:left="102"/>
              <w:rPr>
                <w:sz w:val="16"/>
              </w:rPr>
            </w:pPr>
            <w:r>
              <w:rPr>
                <w:color w:val="231F20"/>
                <w:w w:val="85"/>
                <w:sz w:val="16"/>
              </w:rPr>
              <w:t>2003</w:t>
            </w:r>
          </w:p>
        </w:tc>
        <w:tc>
          <w:tcPr>
            <w:tcW w:w="915" w:type="dxa"/>
          </w:tcPr>
          <w:p>
            <w:pPr>
              <w:pStyle w:val="TableParagraph"/>
              <w:spacing w:line="160" w:lineRule="exact"/>
              <w:ind w:left="102"/>
              <w:rPr>
                <w:sz w:val="16"/>
              </w:rPr>
            </w:pPr>
            <w:r>
              <w:rPr>
                <w:color w:val="231F20"/>
                <w:w w:val="85"/>
                <w:sz w:val="16"/>
              </w:rPr>
              <w:t>2004</w:t>
            </w:r>
          </w:p>
        </w:tc>
        <w:tc>
          <w:tcPr>
            <w:tcW w:w="842" w:type="dxa"/>
          </w:tcPr>
          <w:p>
            <w:pPr>
              <w:pStyle w:val="TableParagraph"/>
              <w:spacing w:line="160" w:lineRule="exact"/>
              <w:ind w:left="102"/>
              <w:rPr>
                <w:sz w:val="16"/>
              </w:rPr>
            </w:pPr>
            <w:r>
              <w:rPr>
                <w:color w:val="231F20"/>
                <w:w w:val="85"/>
                <w:sz w:val="16"/>
              </w:rPr>
              <w:t>2005</w:t>
            </w:r>
          </w:p>
        </w:tc>
      </w:tr>
      <w:tr>
        <w:trPr>
          <w:trHeight w:val="130" w:hRule="exact"/>
        </w:trPr>
        <w:tc>
          <w:tcPr>
            <w:tcW w:w="1084" w:type="dxa"/>
          </w:tcPr>
          <w:p>
            <w:pPr>
              <w:pStyle w:val="TableParagraph"/>
              <w:spacing w:line="160" w:lineRule="exact"/>
              <w:ind w:left="102"/>
              <w:rPr>
                <w:sz w:val="16"/>
              </w:rPr>
            </w:pPr>
            <w:r>
              <w:rPr>
                <w:color w:val="231F20"/>
                <w:w w:val="75"/>
                <w:sz w:val="16"/>
              </w:rPr>
              <w:t>Ingresos brutos</w:t>
            </w:r>
          </w:p>
        </w:tc>
        <w:tc>
          <w:tcPr>
            <w:tcW w:w="1064" w:type="dxa"/>
          </w:tcPr>
          <w:p>
            <w:pPr>
              <w:pStyle w:val="TableParagraph"/>
              <w:spacing w:line="160" w:lineRule="exact"/>
              <w:ind w:left="102"/>
              <w:rPr>
                <w:sz w:val="16"/>
              </w:rPr>
            </w:pPr>
            <w:r>
              <w:rPr>
                <w:color w:val="231F20"/>
                <w:w w:val="85"/>
                <w:sz w:val="16"/>
              </w:rPr>
              <w:t>138,323,936</w:t>
            </w:r>
          </w:p>
        </w:tc>
        <w:tc>
          <w:tcPr>
            <w:tcW w:w="1081" w:type="dxa"/>
          </w:tcPr>
          <w:p>
            <w:pPr>
              <w:pStyle w:val="TableParagraph"/>
              <w:spacing w:line="160" w:lineRule="exact"/>
              <w:ind w:left="102"/>
              <w:rPr>
                <w:sz w:val="16"/>
              </w:rPr>
            </w:pPr>
            <w:r>
              <w:rPr>
                <w:color w:val="231F20"/>
                <w:w w:val="85"/>
                <w:sz w:val="16"/>
              </w:rPr>
              <w:t>168,482,507</w:t>
            </w:r>
          </w:p>
        </w:tc>
        <w:tc>
          <w:tcPr>
            <w:tcW w:w="889" w:type="dxa"/>
          </w:tcPr>
          <w:p>
            <w:pPr>
              <w:pStyle w:val="TableParagraph"/>
              <w:spacing w:line="160" w:lineRule="exact"/>
              <w:ind w:left="102"/>
              <w:rPr>
                <w:sz w:val="16"/>
              </w:rPr>
            </w:pPr>
            <w:r>
              <w:rPr>
                <w:color w:val="231F20"/>
                <w:w w:val="85"/>
                <w:sz w:val="16"/>
              </w:rPr>
              <w:t>229,754,281</w:t>
            </w:r>
          </w:p>
        </w:tc>
        <w:tc>
          <w:tcPr>
            <w:tcW w:w="889" w:type="dxa"/>
          </w:tcPr>
          <w:p>
            <w:pPr>
              <w:pStyle w:val="TableParagraph"/>
              <w:spacing w:line="160" w:lineRule="exact"/>
              <w:ind w:left="102"/>
              <w:rPr>
                <w:sz w:val="16"/>
              </w:rPr>
            </w:pPr>
            <w:r>
              <w:rPr>
                <w:color w:val="231F20"/>
                <w:w w:val="85"/>
                <w:sz w:val="16"/>
              </w:rPr>
              <w:t>248,016,563</w:t>
            </w:r>
          </w:p>
        </w:tc>
        <w:tc>
          <w:tcPr>
            <w:tcW w:w="915" w:type="dxa"/>
          </w:tcPr>
          <w:p>
            <w:pPr>
              <w:pStyle w:val="TableParagraph"/>
              <w:spacing w:line="160" w:lineRule="exact"/>
              <w:ind w:left="102"/>
              <w:rPr>
                <w:sz w:val="16"/>
              </w:rPr>
            </w:pPr>
            <w:r>
              <w:rPr>
                <w:color w:val="231F20"/>
                <w:w w:val="85"/>
                <w:sz w:val="16"/>
              </w:rPr>
              <w:t>318,063,076</w:t>
            </w:r>
          </w:p>
        </w:tc>
        <w:tc>
          <w:tcPr>
            <w:tcW w:w="842" w:type="dxa"/>
          </w:tcPr>
          <w:p>
            <w:pPr>
              <w:pStyle w:val="TableParagraph"/>
              <w:spacing w:line="160" w:lineRule="exact"/>
              <w:ind w:left="102"/>
              <w:rPr>
                <w:sz w:val="16"/>
              </w:rPr>
            </w:pPr>
            <w:r>
              <w:rPr>
                <w:color w:val="231F20"/>
                <w:w w:val="85"/>
                <w:sz w:val="16"/>
              </w:rPr>
              <w:t>374,550,366</w:t>
            </w:r>
          </w:p>
        </w:tc>
      </w:tr>
      <w:tr>
        <w:trPr>
          <w:trHeight w:val="322" w:hRule="exact"/>
        </w:trPr>
        <w:tc>
          <w:tcPr>
            <w:tcW w:w="1084" w:type="dxa"/>
          </w:tcPr>
          <w:p>
            <w:pPr>
              <w:pStyle w:val="TableParagraph"/>
              <w:spacing w:line="161" w:lineRule="exact"/>
              <w:ind w:left="102"/>
              <w:rPr>
                <w:sz w:val="16"/>
              </w:rPr>
            </w:pPr>
            <w:r>
              <w:rPr>
                <w:color w:val="231F20"/>
                <w:w w:val="85"/>
                <w:sz w:val="16"/>
              </w:rPr>
              <w:t>Participación</w:t>
            </w:r>
          </w:p>
          <w:p>
            <w:pPr>
              <w:pStyle w:val="TableParagraph"/>
              <w:spacing w:line="191" w:lineRule="exact"/>
              <w:ind w:left="102"/>
              <w:rPr>
                <w:sz w:val="16"/>
              </w:rPr>
            </w:pPr>
            <w:r>
              <w:rPr>
                <w:color w:val="231F20"/>
                <w:w w:val="85"/>
                <w:sz w:val="16"/>
              </w:rPr>
              <w:t>federal</w:t>
            </w:r>
          </w:p>
        </w:tc>
        <w:tc>
          <w:tcPr>
            <w:tcW w:w="1064" w:type="dxa"/>
          </w:tcPr>
          <w:p>
            <w:pPr>
              <w:pStyle w:val="TableParagraph"/>
              <w:spacing w:line="163" w:lineRule="exact"/>
              <w:ind w:left="102"/>
              <w:rPr>
                <w:sz w:val="16"/>
              </w:rPr>
            </w:pPr>
            <w:r>
              <w:rPr>
                <w:color w:val="231F20"/>
                <w:w w:val="85"/>
                <w:sz w:val="16"/>
              </w:rPr>
              <w:t>56,350,552</w:t>
            </w:r>
          </w:p>
        </w:tc>
        <w:tc>
          <w:tcPr>
            <w:tcW w:w="1081" w:type="dxa"/>
          </w:tcPr>
          <w:p>
            <w:pPr>
              <w:pStyle w:val="TableParagraph"/>
              <w:spacing w:line="163" w:lineRule="exact"/>
              <w:ind w:left="102"/>
              <w:rPr>
                <w:sz w:val="16"/>
              </w:rPr>
            </w:pPr>
            <w:r>
              <w:rPr>
                <w:color w:val="231F20"/>
                <w:w w:val="85"/>
                <w:sz w:val="16"/>
              </w:rPr>
              <w:t>129,080,660</w:t>
            </w:r>
          </w:p>
        </w:tc>
        <w:tc>
          <w:tcPr>
            <w:tcW w:w="889" w:type="dxa"/>
          </w:tcPr>
          <w:p>
            <w:pPr>
              <w:pStyle w:val="TableParagraph"/>
              <w:spacing w:line="163" w:lineRule="exact"/>
              <w:ind w:left="102"/>
              <w:rPr>
                <w:sz w:val="16"/>
              </w:rPr>
            </w:pPr>
            <w:r>
              <w:rPr>
                <w:color w:val="231F20"/>
                <w:w w:val="85"/>
                <w:sz w:val="16"/>
              </w:rPr>
              <w:t>66,554,895</w:t>
            </w:r>
          </w:p>
        </w:tc>
        <w:tc>
          <w:tcPr>
            <w:tcW w:w="889" w:type="dxa"/>
          </w:tcPr>
          <w:p>
            <w:pPr>
              <w:pStyle w:val="TableParagraph"/>
              <w:spacing w:line="163" w:lineRule="exact"/>
              <w:ind w:left="102"/>
              <w:rPr>
                <w:sz w:val="16"/>
              </w:rPr>
            </w:pPr>
            <w:r>
              <w:rPr>
                <w:color w:val="231F20"/>
                <w:w w:val="85"/>
                <w:sz w:val="16"/>
              </w:rPr>
              <w:t>76,032,305</w:t>
            </w:r>
          </w:p>
        </w:tc>
        <w:tc>
          <w:tcPr>
            <w:tcW w:w="915" w:type="dxa"/>
          </w:tcPr>
          <w:p>
            <w:pPr>
              <w:pStyle w:val="TableParagraph"/>
              <w:spacing w:line="163" w:lineRule="exact"/>
              <w:ind w:left="102"/>
              <w:rPr>
                <w:sz w:val="16"/>
              </w:rPr>
            </w:pPr>
            <w:r>
              <w:rPr>
                <w:color w:val="231F20"/>
                <w:w w:val="85"/>
                <w:sz w:val="16"/>
              </w:rPr>
              <w:t>94,372,596</w:t>
            </w:r>
          </w:p>
        </w:tc>
        <w:tc>
          <w:tcPr>
            <w:tcW w:w="842" w:type="dxa"/>
          </w:tcPr>
          <w:p>
            <w:pPr>
              <w:pStyle w:val="TableParagraph"/>
              <w:spacing w:line="163" w:lineRule="exact"/>
              <w:ind w:left="102"/>
              <w:rPr>
                <w:sz w:val="16"/>
              </w:rPr>
            </w:pPr>
            <w:r>
              <w:rPr>
                <w:color w:val="231F20"/>
                <w:w w:val="85"/>
                <w:sz w:val="16"/>
              </w:rPr>
              <w:t>93,022,278</w:t>
            </w:r>
          </w:p>
        </w:tc>
      </w:tr>
    </w:tbl>
    <w:p>
      <w:pPr>
        <w:pStyle w:val="BodyText"/>
        <w:spacing w:before="2"/>
        <w:rPr>
          <w:b/>
          <w:sz w:val="26"/>
        </w:rPr>
      </w:pPr>
    </w:p>
    <w:p>
      <w:pPr>
        <w:spacing w:before="74"/>
        <w:ind w:left="4882" w:right="-2" w:firstLine="0"/>
        <w:jc w:val="left"/>
        <w:rPr>
          <w:rFonts w:ascii="Calibri" w:hAnsi="Calibri"/>
          <w:sz w:val="16"/>
        </w:rPr>
      </w:pPr>
      <w:r>
        <w:rPr>
          <w:rFonts w:ascii="Calibri" w:hAnsi="Calibri"/>
          <w:color w:val="231F20"/>
          <w:sz w:val="16"/>
        </w:rPr>
        <w:t>Fuente: Elaboración propia según datos del INEGI</w:t>
      </w:r>
    </w:p>
    <w:p>
      <w:pPr>
        <w:spacing w:after="0"/>
        <w:jc w:val="left"/>
        <w:rPr>
          <w:rFonts w:ascii="Calibri" w:hAnsi="Calibri"/>
          <w:sz w:val="16"/>
        </w:rPr>
        <w:sectPr>
          <w:pgSz w:w="9640" w:h="12190"/>
          <w:pgMar w:header="0" w:footer="743" w:top="1120" w:bottom="940" w:left="740" w:right="740"/>
        </w:sectPr>
      </w:pPr>
    </w:p>
    <w:p>
      <w:pPr>
        <w:pStyle w:val="Heading5"/>
        <w:spacing w:before="27"/>
        <w:ind w:left="0" w:right="301"/>
        <w:jc w:val="right"/>
      </w:pPr>
      <w:r>
        <w:rPr/>
        <w:pict>
          <v:group style="position:absolute;margin-left:125.485001pt;margin-top:17.723545pt;width:54.05pt;height:13.5pt;mso-position-horizontal-relative:page;mso-position-vertical-relative:paragraph;z-index:12544" coordorigin="2510,354" coordsize="1081,270">
            <v:shape style="position:absolute;left:2510;top:354;width:364;height:269" type="#_x0000_t75" stroked="false">
              <v:imagedata r:id="rId952" o:title=""/>
            </v:shape>
            <v:shape style="position:absolute;left:2908;top:420;width:682;height:151" type="#_x0000_t75" stroked="false">
              <v:imagedata r:id="rId953" o:title=""/>
            </v:shape>
            <w10:wrap type="none"/>
          </v:group>
        </w:pict>
      </w:r>
      <w:r>
        <w:rPr/>
        <w:pict>
          <v:group style="position:absolute;margin-left:184.131409pt;margin-top:17.791546pt;width:17.9pt;height:11.45pt;mso-position-horizontal-relative:page;mso-position-vertical-relative:paragraph;z-index:12568" coordorigin="3683,356" coordsize="358,229">
            <v:shape style="position:absolute;left:3683;top:375;width:301;height:196" type="#_x0000_t75" stroked="false">
              <v:imagedata r:id="rId954" o:title=""/>
            </v:shape>
            <v:line style="position:absolute" from="4021,374" to="4021,566" stroked="true" strokeweight="1.849pt" strokecolor="#231f20"/>
            <w10:wrap type="none"/>
          </v:group>
        </w:pict>
      </w:r>
      <w:r>
        <w:rPr/>
        <w:pict>
          <v:group style="position:absolute;margin-left:207.598297pt;margin-top:18.657545pt;width:60.6pt;height:12.45pt;mso-position-horizontal-relative:page;mso-position-vertical-relative:paragraph;z-index:12592" coordorigin="4152,373" coordsize="1212,249">
            <v:shape style="position:absolute;left:4152;top:374;width:185;height:191" type="#_x0000_t75" stroked="false">
              <v:imagedata r:id="rId955" o:title=""/>
            </v:shape>
            <v:shape style="position:absolute;left:4370;top:424;width:127;height:145" type="#_x0000_t75" stroked="false">
              <v:imagedata r:id="rId956" o:title=""/>
            </v:shape>
            <v:shape style="position:absolute;left:4534;top:421;width:128;height:145" type="#_x0000_t75" stroked="false">
              <v:imagedata r:id="rId957" o:title=""/>
            </v:shape>
            <v:shape style="position:absolute;left:4679;top:373;width:684;height:248" type="#_x0000_t75" stroked="false">
              <v:imagedata r:id="rId958" o:title=""/>
            </v:shape>
            <w10:wrap type="none"/>
          </v:group>
        </w:pict>
      </w:r>
      <w:r>
        <w:rPr/>
        <w:drawing>
          <wp:anchor distT="0" distB="0" distL="0" distR="0" allowOverlap="1" layoutInCell="1" locked="0" behindDoc="0" simplePos="0" relativeHeight="12616">
            <wp:simplePos x="0" y="0"/>
            <wp:positionH relativeFrom="page">
              <wp:posOffset>3463711</wp:posOffset>
            </wp:positionH>
            <wp:positionV relativeFrom="paragraph">
              <wp:posOffset>237871</wp:posOffset>
            </wp:positionV>
            <wp:extent cx="190991" cy="124357"/>
            <wp:effectExtent l="0" t="0" r="0" b="0"/>
            <wp:wrapNone/>
            <wp:docPr id="385" name="image860.png" descr=""/>
            <wp:cNvGraphicFramePr>
              <a:graphicFrameLocks noChangeAspect="1"/>
            </wp:cNvGraphicFramePr>
            <a:graphic>
              <a:graphicData uri="http://schemas.openxmlformats.org/drawingml/2006/picture">
                <pic:pic>
                  <pic:nvPicPr>
                    <pic:cNvPr id="386" name="image860.png"/>
                    <pic:cNvPicPr/>
                  </pic:nvPicPr>
                  <pic:blipFill>
                    <a:blip r:embed="rId959" cstate="print"/>
                    <a:stretch>
                      <a:fillRect/>
                    </a:stretch>
                  </pic:blipFill>
                  <pic:spPr>
                    <a:xfrm>
                      <a:off x="0" y="0"/>
                      <a:ext cx="190991" cy="124357"/>
                    </a:xfrm>
                    <a:prstGeom prst="rect">
                      <a:avLst/>
                    </a:prstGeom>
                  </pic:spPr>
                </pic:pic>
              </a:graphicData>
            </a:graphic>
          </wp:anchor>
        </w:drawing>
      </w:r>
      <w:r>
        <w:rPr/>
        <w:pict>
          <v:group style="position:absolute;margin-left:180.397995pt;margin-top:34.773544pt;width:17.9pt;height:11.45pt;mso-position-horizontal-relative:page;mso-position-vertical-relative:paragraph;z-index:12640" coordorigin="3608,695" coordsize="358,229">
            <v:shape style="position:absolute;left:3608;top:714;width:301;height:196" type="#_x0000_t75" stroked="false">
              <v:imagedata r:id="rId960" o:title=""/>
            </v:shape>
            <v:line style="position:absolute" from="3947,714" to="3947,905" stroked="true" strokeweight="1.849pt" strokecolor="#231f20"/>
            <w10:wrap type="none"/>
          </v:group>
        </w:pict>
      </w:r>
      <w:r>
        <w:rPr/>
        <w:drawing>
          <wp:anchor distT="0" distB="0" distL="0" distR="0" allowOverlap="1" layoutInCell="1" locked="0" behindDoc="0" simplePos="0" relativeHeight="12664">
            <wp:simplePos x="0" y="0"/>
            <wp:positionH relativeFrom="page">
              <wp:posOffset>2581909</wp:posOffset>
            </wp:positionH>
            <wp:positionV relativeFrom="paragraph">
              <wp:posOffset>454534</wp:posOffset>
            </wp:positionV>
            <wp:extent cx="364016" cy="123291"/>
            <wp:effectExtent l="0" t="0" r="0" b="0"/>
            <wp:wrapNone/>
            <wp:docPr id="387" name="image862.png" descr=""/>
            <wp:cNvGraphicFramePr>
              <a:graphicFrameLocks noChangeAspect="1"/>
            </wp:cNvGraphicFramePr>
            <a:graphic>
              <a:graphicData uri="http://schemas.openxmlformats.org/drawingml/2006/picture">
                <pic:pic>
                  <pic:nvPicPr>
                    <pic:cNvPr id="388" name="image862.png"/>
                    <pic:cNvPicPr/>
                  </pic:nvPicPr>
                  <pic:blipFill>
                    <a:blip r:embed="rId961" cstate="print"/>
                    <a:stretch>
                      <a:fillRect/>
                    </a:stretch>
                  </pic:blipFill>
                  <pic:spPr>
                    <a:xfrm>
                      <a:off x="0" y="0"/>
                      <a:ext cx="364016" cy="123291"/>
                    </a:xfrm>
                    <a:prstGeom prst="rect">
                      <a:avLst/>
                    </a:prstGeom>
                  </pic:spPr>
                </pic:pic>
              </a:graphicData>
            </a:graphic>
          </wp:anchor>
        </w:drawing>
      </w:r>
      <w:r>
        <w:rPr/>
        <w:pict>
          <v:group style="position:absolute;margin-left:236.525391pt;margin-top:34.773544pt;width:9.8pt;height:11.45pt;mso-position-horizontal-relative:page;mso-position-vertical-relative:paragraph;z-index:12688" coordorigin="4731,695" coordsize="196,229">
            <v:shape style="position:absolute;left:4731;top:760;width:133;height:149" type="#_x0000_t75" stroked="false">
              <v:imagedata r:id="rId962" o:title=""/>
            </v:shape>
            <v:line style="position:absolute" from="4907,714" to="4907,905" stroked="true" strokeweight="1.849pt" strokecolor="#231f20"/>
            <w10:wrap type="none"/>
          </v:group>
        </w:pict>
      </w:r>
      <w:r>
        <w:rPr/>
        <w:drawing>
          <wp:anchor distT="0" distB="0" distL="0" distR="0" allowOverlap="1" layoutInCell="1" locked="0" behindDoc="0" simplePos="0" relativeHeight="12712">
            <wp:simplePos x="0" y="0"/>
            <wp:positionH relativeFrom="page">
              <wp:posOffset>3191926</wp:posOffset>
            </wp:positionH>
            <wp:positionV relativeFrom="paragraph">
              <wp:posOffset>454534</wp:posOffset>
            </wp:positionV>
            <wp:extent cx="363383" cy="123464"/>
            <wp:effectExtent l="0" t="0" r="0" b="0"/>
            <wp:wrapNone/>
            <wp:docPr id="389" name="image864.png" descr=""/>
            <wp:cNvGraphicFramePr>
              <a:graphicFrameLocks noChangeAspect="1"/>
            </wp:cNvGraphicFramePr>
            <a:graphic>
              <a:graphicData uri="http://schemas.openxmlformats.org/drawingml/2006/picture">
                <pic:pic>
                  <pic:nvPicPr>
                    <pic:cNvPr id="390" name="image864.png"/>
                    <pic:cNvPicPr/>
                  </pic:nvPicPr>
                  <pic:blipFill>
                    <a:blip r:embed="rId963" cstate="print"/>
                    <a:stretch>
                      <a:fillRect/>
                    </a:stretch>
                  </pic:blipFill>
                  <pic:spPr>
                    <a:xfrm>
                      <a:off x="0" y="0"/>
                      <a:ext cx="363383" cy="123464"/>
                    </a:xfrm>
                    <a:prstGeom prst="rect">
                      <a:avLst/>
                    </a:prstGeom>
                  </pic:spPr>
                </pic:pic>
              </a:graphicData>
            </a:graphic>
          </wp:anchor>
        </w:drawing>
      </w:r>
      <w:r>
        <w:rPr>
          <w:color w:val="231F20"/>
          <w:w w:val="105"/>
        </w:rPr>
        <w:t>Gráfica 3.</w:t>
      </w:r>
    </w:p>
    <w:p>
      <w:pPr>
        <w:pStyle w:val="BodyText"/>
        <w:spacing w:before="6" w:after="40"/>
        <w:rPr>
          <w:b/>
          <w:sz w:val="27"/>
        </w:rPr>
      </w:pPr>
      <w:r>
        <w:rPr/>
        <w:br w:type="column"/>
      </w:r>
      <w:r>
        <w:rPr>
          <w:b/>
          <w:sz w:val="27"/>
        </w:rPr>
      </w:r>
    </w:p>
    <w:p>
      <w:pPr>
        <w:pStyle w:val="BodyText"/>
        <w:spacing w:line="228" w:lineRule="exact"/>
        <w:ind w:left="203"/>
        <w:rPr>
          <w:sz w:val="20"/>
        </w:rPr>
      </w:pPr>
      <w:r>
        <w:rPr>
          <w:position w:val="-4"/>
          <w:sz w:val="20"/>
        </w:rPr>
        <w:pict>
          <v:group style="width:43.3pt;height:11.45pt;mso-position-horizontal-relative:char;mso-position-vertical-relative:line" coordorigin="0,0" coordsize="866,229">
            <v:shape style="position:absolute;left:0;top:15;width:483;height:200" type="#_x0000_t75" stroked="false">
              <v:imagedata r:id="rId964" o:title=""/>
            </v:shape>
            <v:shape style="position:absolute;left:508;top:0;width:357;height:228" type="#_x0000_t75" stroked="false">
              <v:imagedata r:id="rId965" o:title=""/>
            </v:shape>
          </v:group>
        </w:pict>
      </w:r>
      <w:r>
        <w:rPr>
          <w:position w:val="-4"/>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4"/>
        </w:rPr>
      </w:pPr>
      <w:r>
        <w:rPr/>
        <w:pict>
          <v:group style="position:absolute;margin-left:295.164001pt;margin-top:16.214382pt;width:144.25pt;height:111.35pt;mso-position-horizontal-relative:page;mso-position-vertical-relative:paragraph;z-index:12496;mso-wrap-distance-left:0;mso-wrap-distance-right:0" coordorigin="5903,324" coordsize="2885,2227">
            <v:shape style="position:absolute;left:6262;top:398;width:325;height:223" type="#_x0000_t75" stroked="false">
              <v:imagedata r:id="rId966" o:title=""/>
            </v:shape>
            <v:shape style="position:absolute;left:6623;top:451;width:624;height:125" type="#_x0000_t75" stroked="false">
              <v:imagedata r:id="rId967" o:title=""/>
            </v:shape>
            <v:shape style="position:absolute;left:7344;top:410;width:716;height:166" type="#_x0000_t75" stroked="false">
              <v:imagedata r:id="rId968" o:title=""/>
            </v:shape>
            <v:shape style="position:absolute;left:8150;top:414;width:572;height:161" type="#_x0000_t75" stroked="false">
              <v:imagedata r:id="rId969" o:title=""/>
            </v:shape>
            <v:shape style="position:absolute;left:6262;top:770;width:325;height:223" type="#_x0000_t75" stroked="false">
              <v:imagedata r:id="rId970" o:title=""/>
            </v:shape>
            <v:shape style="position:absolute;left:6623;top:824;width:624;height:125" type="#_x0000_t75" stroked="false">
              <v:imagedata r:id="rId971" o:title=""/>
            </v:shape>
            <v:shape style="position:absolute;left:7344;top:783;width:716;height:166" type="#_x0000_t75" stroked="false">
              <v:imagedata r:id="rId972" o:title=""/>
            </v:shape>
            <v:shape style="position:absolute;left:8150;top:787;width:424;height:161" type="#_x0000_t75" stroked="false">
              <v:imagedata r:id="rId973" o:title=""/>
            </v:shape>
            <v:shape style="position:absolute;left:8611;top:788;width:69;height:156" coordorigin="8611,788" coordsize="69,156" path="m8679,788l8661,788,8658,800,8653,808,8639,814,8628,817,8611,818,8611,833,8654,833,8654,944,8679,944,8679,788xe" filled="true" fillcolor="#231f20" stroked="false">
              <v:path arrowok="t"/>
              <v:fill type="solid"/>
            </v:shape>
            <v:shape style="position:absolute;left:6262;top:1143;width:325;height:223" type="#_x0000_t75" stroked="false">
              <v:imagedata r:id="rId974" o:title=""/>
            </v:shape>
            <v:shape style="position:absolute;left:6623;top:1196;width:624;height:125" type="#_x0000_t75" stroked="false">
              <v:imagedata r:id="rId975" o:title=""/>
            </v:shape>
            <v:shape style="position:absolute;left:7344;top:1156;width:716;height:166" type="#_x0000_t75" stroked="false">
              <v:imagedata r:id="rId976" o:title=""/>
            </v:shape>
            <v:shape style="position:absolute;left:8150;top:1160;width:572;height:161" type="#_x0000_t75" stroked="false">
              <v:imagedata r:id="rId977" o:title=""/>
            </v:shape>
            <v:shape style="position:absolute;left:6262;top:1516;width:325;height:223" type="#_x0000_t75" stroked="false">
              <v:imagedata r:id="rId978" o:title=""/>
            </v:shape>
            <v:shape style="position:absolute;left:6623;top:1569;width:624;height:125" type="#_x0000_t75" stroked="false">
              <v:imagedata r:id="rId979" o:title=""/>
            </v:shape>
            <v:shape style="position:absolute;left:7344;top:1528;width:716;height:166" type="#_x0000_t75" stroked="false">
              <v:imagedata r:id="rId980" o:title=""/>
            </v:shape>
            <v:shape style="position:absolute;left:8150;top:1532;width:572;height:161" type="#_x0000_t75" stroked="false">
              <v:imagedata r:id="rId981" o:title=""/>
            </v:shape>
            <v:shape style="position:absolute;left:6262;top:1888;width:325;height:223" type="#_x0000_t75" stroked="false">
              <v:imagedata r:id="rId982" o:title=""/>
            </v:shape>
            <v:shape style="position:absolute;left:6623;top:1942;width:624;height:125" type="#_x0000_t75" stroked="false">
              <v:imagedata r:id="rId983" o:title=""/>
            </v:shape>
            <v:shape style="position:absolute;left:7344;top:1901;width:716;height:166" type="#_x0000_t75" stroked="false">
              <v:imagedata r:id="rId984" o:title=""/>
            </v:shape>
            <v:shape style="position:absolute;left:8150;top:1905;width:574;height:161" type="#_x0000_t75" stroked="false">
              <v:imagedata r:id="rId985" o:title=""/>
            </v:shape>
            <v:shape style="position:absolute;left:6262;top:2261;width:325;height:223" type="#_x0000_t75" stroked="false">
              <v:imagedata r:id="rId986" o:title=""/>
            </v:shape>
            <v:shape style="position:absolute;left:6623;top:2314;width:624;height:125" type="#_x0000_t75" stroked="false">
              <v:imagedata r:id="rId987" o:title=""/>
            </v:shape>
            <v:shape style="position:absolute;left:7344;top:2274;width:716;height:166" type="#_x0000_t75" stroked="false">
              <v:imagedata r:id="rId988" o:title=""/>
            </v:shape>
            <v:shape style="position:absolute;left:8150;top:2278;width:572;height:161" type="#_x0000_t75" stroked="false">
              <v:imagedata r:id="rId989" o:title=""/>
            </v:shape>
            <v:rect style="position:absolute;left:6012;top:465;width:134;height:121" filled="true" fillcolor="#bc8cbf" stroked="false">
              <v:fill type="solid"/>
            </v:rect>
            <v:rect style="position:absolute;left:6012;top:832;width:134;height:121" filled="true" fillcolor="#9c1421" stroked="false">
              <v:fill type="solid"/>
            </v:rect>
            <v:rect style="position:absolute;left:6012;top:1220;width:134;height:121" filled="true" fillcolor="#c2b59b" stroked="false">
              <v:fill type="solid"/>
            </v:rect>
            <v:rect style="position:absolute;left:6012;top:1590;width:134;height:121" filled="true" fillcolor="#84afca" stroked="false">
              <v:fill type="solid"/>
            </v:rect>
            <v:rect style="position:absolute;left:6012;top:1946;width:134;height:121" filled="true" fillcolor="#662d91" stroked="false">
              <v:fill type="solid"/>
            </v:rect>
            <v:rect style="position:absolute;left:6012;top:2335;width:134;height:121" filled="true" fillcolor="#f05a88" stroked="false">
              <v:fill type="solid"/>
            </v:rect>
            <v:rect style="position:absolute;left:5906;top:327;width:2879;height:2222" filled="false" stroked="true" strokeweight=".25pt" strokecolor="#231f20"/>
            <w10:wrap type="topAndBottom"/>
          </v:group>
        </w:pict>
      </w:r>
    </w:p>
    <w:p>
      <w:pPr>
        <w:spacing w:before="104"/>
        <w:ind w:left="-16" w:right="0" w:firstLine="0"/>
        <w:jc w:val="left"/>
        <w:rPr>
          <w:rFonts w:ascii="Calibri" w:hAnsi="Calibri"/>
          <w:sz w:val="16"/>
        </w:rPr>
      </w:pPr>
      <w:r>
        <w:rPr>
          <w:rFonts w:ascii="Calibri" w:hAnsi="Calibri"/>
          <w:color w:val="231F20"/>
          <w:sz w:val="16"/>
        </w:rPr>
        <w:t>Fuente: Elaboración propia según datos del INEGI</w:t>
      </w:r>
    </w:p>
    <w:p>
      <w:pPr>
        <w:spacing w:after="0"/>
        <w:jc w:val="left"/>
        <w:rPr>
          <w:rFonts w:ascii="Calibri" w:hAnsi="Calibri"/>
          <w:sz w:val="16"/>
        </w:rPr>
        <w:sectPr>
          <w:pgSz w:w="9640" w:h="12190"/>
          <w:pgMar w:header="0" w:footer="743" w:top="1120" w:bottom="940" w:left="740" w:right="740"/>
          <w:cols w:num="2" w:equalWidth="0">
            <w:col w:w="4859" w:space="40"/>
            <w:col w:w="3261"/>
          </w:cols>
        </w:sectPr>
      </w:pPr>
    </w:p>
    <w:p>
      <w:pPr>
        <w:pStyle w:val="BodyText"/>
        <w:spacing w:before="10"/>
        <w:rPr>
          <w:rFonts w:ascii="Calibri"/>
          <w:sz w:val="25"/>
        </w:rPr>
      </w:pPr>
      <w:r>
        <w:rPr/>
        <w:pict>
          <v:group style="position:absolute;margin-left:42.519604pt;margin-top:173.458069pt;width:244.15pt;height:78.45pt;mso-position-horizontal-relative:page;mso-position-vertical-relative:page;z-index:12520" coordorigin="850,3469" coordsize="4883,1569">
            <v:shape style="position:absolute;left:3124;top:3946;width:575;height:239" coordorigin="3124,3946" coordsize="575,239" path="m3141,3946l3124,3946,3124,4184,3699,3982,3628,3973,3554,3965,3476,3958,3396,3953,3313,3949,3228,3946,3141,3946xe" filled="true" fillcolor="#bc8cbf" stroked="false">
              <v:path arrowok="t"/>
              <v:fill type="solid"/>
            </v:shape>
            <v:shape style="position:absolute;left:2101;top:3946;width:1024;height:239" coordorigin="2101,3946" coordsize="1024,239" path="m3124,3946l3013,3947,2905,3952,2801,3959,2701,3968,2607,3979,2520,3992,2438,4007,2364,4024,2298,4043,2241,4063,2153,4107,2107,4155,2101,4181,3124,4184,3124,3946xe" filled="true" fillcolor="#f05a88" stroked="false">
              <v:path arrowok="t"/>
              <v:fill type="solid"/>
            </v:shape>
            <v:shape style="position:absolute;left:2101;top:4181;width:1024;height:231" coordorigin="2101,4181" coordsize="1024,231" path="m2101,4181l2131,4238,2213,4291,2273,4316,2343,4339,2424,4359,2513,4377,2611,4392,2716,4402,2828,4409,2946,4411,3124,4184,2101,4181xe" filled="true" fillcolor="#662d91" stroked="false">
              <v:path arrowok="t"/>
              <v:fill type="solid"/>
            </v:shape>
            <v:shape style="position:absolute;left:2101;top:4181;width:845;height:466" coordorigin="2101,4181" coordsize="845,466" path="m2101,4181l2101,4416,2109,4444,2166,4497,2273,4545,2343,4566,2424,4586,2513,4603,2611,4618,2716,4630,2828,4640,2946,4646,2946,4411,2828,4405,2716,4395,2611,4383,2513,4368,2424,4351,2343,4331,2273,4310,2213,4287,2131,4236,2109,4209,2101,4181xe" filled="true" fillcolor="#440e62" stroked="false">
              <v:path arrowok="t"/>
              <v:fill type="solid"/>
            </v:shape>
            <v:shape style="position:absolute;left:2946;top:4184;width:964;height:232" coordorigin="2946,4184" coordsize="964,232" path="m3124,4184l2946,4411,2999,4413,3058,4415,3173,4416,3273,4415,3367,4411,3457,4406,3543,4399,3624,4390,3702,4380,3775,4368,3844,4354,3909,4339,3124,4184xe" filled="true" fillcolor="#84afca" stroked="false">
              <v:path arrowok="t"/>
              <v:fill type="solid"/>
            </v:shape>
            <v:shape style="position:absolute;left:2946;top:4339;width:964;height:312" coordorigin="2946,4339" coordsize="964,312" path="m2946,4411l2946,4647,2994,4648,3042,4650,3092,4650,3141,4651,3232,4650,3320,4647,3405,4643,3488,4637,3568,4630,3644,4621,3717,4611,3786,4600,3850,4588,3909,4574,3909,4416,3141,4416,3092,4415,3042,4415,2994,4413,2946,4411xm3909,4339l3850,4353,3786,4365,3717,4376,3644,4386,3568,4395,3488,4402,3405,4408,3320,4412,3232,4415,3141,4416,3909,4416,3909,4339xe" filled="true" fillcolor="#5c7d91" stroked="false">
              <v:path arrowok="t"/>
              <v:fill type="solid"/>
            </v:shape>
            <v:shape style="position:absolute;left:3124;top:4110;width:1058;height:229" coordorigin="3124,4110" coordsize="1058,229" path="m4134,4110l3124,4184,3909,4339,4023,4305,4109,4267,4163,4225,4182,4181,4178,4162,4169,4145,4155,4127,4134,4110xe" filled="true" fillcolor="#c2b59b" stroked="false">
              <v:path arrowok="t"/>
              <v:fill type="solid"/>
            </v:shape>
            <v:shape style="position:absolute;left:3909;top:4181;width:272;height:394" type="#_x0000_t75" stroked="false">
              <v:imagedata r:id="rId990" o:title=""/>
            </v:shape>
            <v:shape style="position:absolute;left:3124;top:3982;width:1010;height:202" coordorigin="3124,3982" coordsize="1010,202" path="m3699,3982l3124,4184,4134,4110,4090,4084,4034,4060,3965,4037,3886,4017,3797,3998,3699,3982xe" filled="true" fillcolor="#9c1421" stroked="false">
              <v:path arrowok="t"/>
              <v:fill type="solid"/>
            </v:shape>
            <v:shape style="position:absolute;left:893;top:3716;width:419;height:187" type="#_x0000_t75" stroked="false">
              <v:imagedata r:id="rId991" o:title=""/>
            </v:shape>
            <v:shape style="position:absolute;left:1342;top:3871;width:28;height:67" coordorigin="1342,3871" coordsize="28,67" path="m1369,3871l1342,3871,1342,3898,1355,3898,1356,3899,1342,3925,1342,3937,1352,3935,1359,3930,1367,3915,1369,3906,1369,3871xe" filled="true" fillcolor="#231f20" stroked="false">
              <v:path arrowok="t"/>
              <v:fill type="solid"/>
            </v:shape>
            <v:shape style="position:absolute;left:1401;top:3717;width:414;height:187" type="#_x0000_t75" stroked="false">
              <v:imagedata r:id="rId992" o:title=""/>
            </v:shape>
            <v:shape style="position:absolute;left:1847;top:3716;width:474;height:221" type="#_x0000_t75" stroked="false">
              <v:imagedata r:id="rId993" o:title=""/>
            </v:shape>
            <v:shape style="position:absolute;left:850;top:4627;width:127;height:187" type="#_x0000_t75" stroked="false">
              <v:imagedata r:id="rId994" o:title=""/>
            </v:shape>
            <v:shape style="position:absolute;left:1013;top:4628;width:68;height:181" coordorigin="1013,4628" coordsize="68,181" path="m1081,4628l1063,4628,1059,4642,1054,4651,1041,4658,1030,4661,1013,4662,1013,4680,1056,4680,1056,4809,1081,4809,1081,4628xe" filled="true" fillcolor="#231f20" stroked="false">
              <v:path arrowok="t"/>
              <v:fill type="solid"/>
            </v:shape>
            <v:shape style="position:absolute;left:1141;top:4626;width:125;height:187" type="#_x0000_t75" stroked="false">
              <v:imagedata r:id="rId995" o:title=""/>
            </v:shape>
            <v:shape style="position:absolute;left:1299;top:4781;width:28;height:67" coordorigin="1299,4781" coordsize="28,67" path="m1326,4781l1299,4781,1299,4809,1313,4809,1313,4809,1299,4835,1299,4847,1309,4845,1316,4841,1324,4825,1326,4817,1326,4781xe" filled="true" fillcolor="#231f20" stroked="false">
              <v:path arrowok="t"/>
              <v:fill type="solid"/>
            </v:shape>
            <v:shape style="position:absolute;left:1358;top:4626;width:414;height:187" type="#_x0000_t75" stroked="false">
              <v:imagedata r:id="rId996" o:title=""/>
            </v:shape>
            <v:shape style="position:absolute;left:1805;top:4781;width:28;height:67" coordorigin="1805,4781" coordsize="28,67" path="m1832,4781l1805,4781,1805,4809,1818,4809,1819,4809,1805,4835,1805,4847,1815,4845,1822,4841,1830,4825,1832,4817,1832,4781xe" filled="true" fillcolor="#231f20" stroked="false">
              <v:path arrowok="t"/>
              <v:fill type="solid"/>
            </v:shape>
            <v:shape style="position:absolute;left:1863;top:4626;width:415;height:187" type="#_x0000_t75" stroked="false">
              <v:imagedata r:id="rId997" o:title=""/>
            </v:shape>
            <v:shape style="position:absolute;left:3600;top:3471;width:68;height:181" coordorigin="3600,3471" coordsize="68,181" path="m3667,3471l3649,3471,3646,3485,3641,3494,3628,3501,3616,3504,3600,3505,3600,3523,3643,3523,3643,3652,3667,3652,3667,3471xe" filled="true" fillcolor="#231f20" stroked="false">
              <v:path arrowok="t"/>
              <v:fill type="solid"/>
            </v:shape>
            <v:shape style="position:absolute;left:3726;top:3469;width:271;height:187" type="#_x0000_t75" stroked="false">
              <v:imagedata r:id="rId998" o:title=""/>
            </v:shape>
            <v:shape style="position:absolute;left:4030;top:3469;width:473;height:221" type="#_x0000_t75" stroked="false">
              <v:imagedata r:id="rId999" o:title=""/>
            </v:shape>
            <v:shape style="position:absolute;left:4536;top:3624;width:28;height:67" coordorigin="4536,3624" coordsize="28,67" path="m4563,3624l4536,3624,4536,3652,4549,3652,4550,3652,4536,3678,4536,3690,4546,3688,4553,3684,4561,3668,4563,3660,4563,3624xe" filled="true" fillcolor="#231f20" stroked="false">
              <v:path arrowok="t"/>
              <v:fill type="solid"/>
            </v:shape>
            <v:shape style="position:absolute;left:4595;top:3469;width:414;height:187" type="#_x0000_t75" stroked="false">
              <v:imagedata r:id="rId1000" o:title=""/>
            </v:shape>
            <v:shape style="position:absolute;left:4179;top:3929;width:68;height:181" coordorigin="4179,3929" coordsize="68,181" path="m4246,3929l4228,3929,4224,3943,4220,3952,4206,3960,4195,3962,4179,3964,4179,3982,4221,3982,4221,4110,4246,4110,4246,3929xe" filled="true" fillcolor="#231f20" stroked="false">
              <v:path arrowok="t"/>
              <v:fill type="solid"/>
            </v:shape>
            <v:shape style="position:absolute;left:4308;top:3928;width:268;height:188" type="#_x0000_t75" stroked="false">
              <v:imagedata r:id="rId1001" o:title=""/>
            </v:shape>
            <v:shape style="position:absolute;left:4609;top:4083;width:28;height:67" coordorigin="4609,4083" coordsize="28,67" path="m4636,4083l4609,4083,4609,4110,4622,4110,4623,4111,4609,4137,4609,4149,4619,4147,4626,4142,4634,4127,4636,4118,4636,4083xe" filled="true" fillcolor="#231f20" stroked="false">
              <v:path arrowok="t"/>
              <v:fill type="solid"/>
            </v:shape>
            <v:shape style="position:absolute;left:4666;top:3928;width:416;height:187" type="#_x0000_t75" stroked="false">
              <v:imagedata r:id="rId1002" o:title=""/>
            </v:shape>
            <v:shape style="position:absolute;left:5114;top:4083;width:28;height:67" coordorigin="5114,4083" coordsize="28,67" path="m5141,4083l5114,4083,5114,4110,5128,4110,5128,4111,5114,4137,5114,4149,5124,4147,5131,4142,5139,4127,5141,4118,5141,4083xe" filled="true" fillcolor="#231f20" stroked="false">
              <v:path arrowok="t"/>
              <v:fill type="solid"/>
            </v:shape>
            <v:shape style="position:absolute;left:5173;top:3929;width:416;height:187" type="#_x0000_t75" stroked="false">
              <v:imagedata r:id="rId1003" o:title=""/>
            </v:shape>
            <v:shape style="position:absolute;left:4349;top:4392;width:413;height:187" type="#_x0000_t75" stroked="false">
              <v:imagedata r:id="rId1004" o:title=""/>
            </v:shape>
            <v:shape style="position:absolute;left:4796;top:4546;width:28;height:67" coordorigin="4796,4546" coordsize="28,67" path="m4823,4546l4796,4546,4796,4574,4810,4574,4810,4575,4796,4601,4796,4613,4806,4611,4813,4606,4821,4591,4823,4582,4823,4546xe" filled="true" fillcolor="#231f20" stroked="false">
              <v:path arrowok="t"/>
              <v:fill type="solid"/>
            </v:shape>
            <v:shape style="position:absolute;left:4856;top:4392;width:415;height:187" type="#_x0000_t75" stroked="false">
              <v:imagedata r:id="rId1005" o:title=""/>
            </v:shape>
            <v:shape style="position:absolute;left:5301;top:4546;width:28;height:67" coordorigin="5301,4546" coordsize="28,67" path="m5328,4546l5301,4546,5301,4574,5315,4574,5315,4575,5301,4601,5301,4613,5311,4611,5318,4606,5326,4591,5328,4582,5328,4546xe" filled="true" fillcolor="#231f20" stroked="false">
              <v:path arrowok="t"/>
              <v:fill type="solid"/>
            </v:shape>
            <v:shape style="position:absolute;left:5360;top:4392;width:270;height:187" type="#_x0000_t75" stroked="false">
              <v:imagedata r:id="rId1006" o:title=""/>
            </v:shape>
            <v:shape style="position:absolute;left:5666;top:4393;width:68;height:181" coordorigin="5666,4393" coordsize="68,181" path="m5733,4393l5715,4393,5711,4407,5707,4416,5694,4424,5682,4426,5666,4428,5666,4446,5708,4446,5708,4574,5733,4574,5733,4393xe" filled="true" fillcolor="#231f20" stroked="false">
              <v:path arrowok="t"/>
              <v:fill type="solid"/>
            </v:shape>
            <v:shape style="position:absolute;left:3626;top:4817;width:414;height:187" type="#_x0000_t75" stroked="false">
              <v:imagedata r:id="rId1007" o:title=""/>
            </v:shape>
            <v:shape style="position:absolute;left:4073;top:4818;width:184;height:220" type="#_x0000_t75" stroked="false">
              <v:imagedata r:id="rId1008" o:title=""/>
            </v:shape>
            <v:shape style="position:absolute;left:4293;top:4819;width:68;height:181" coordorigin="4293,4819" coordsize="68,181" path="m4360,4819l4342,4819,4338,4833,4334,4842,4320,4849,4309,4852,4293,4853,4293,4871,4335,4871,4335,5000,4360,5000,4360,4819xe" filled="true" fillcolor="#231f20" stroked="false">
              <v:path arrowok="t"/>
              <v:fill type="solid"/>
            </v:shape>
            <v:shape style="position:absolute;left:4422;top:4817;width:125;height:187" type="#_x0000_t75" stroked="false">
              <v:imagedata r:id="rId1009" o:title=""/>
            </v:shape>
            <v:shape style="position:absolute;left:4578;top:4972;width:28;height:67" coordorigin="4578,4972" coordsize="28,67" path="m4605,4972l4578,4972,4578,5000,4592,5000,4592,5000,4578,5026,4578,5038,4588,5036,4595,5032,4603,5016,4605,5008,4605,4972xe" filled="true" fillcolor="#231f20" stroked="false">
              <v:path arrowok="t"/>
              <v:fill type="solid"/>
            </v:shape>
            <v:shape style="position:absolute;left:4637;top:4817;width:414;height:187" type="#_x0000_t75" stroked="false">
              <v:imagedata r:id="rId1010" o:title=""/>
            </v:shape>
            <v:shape style="position:absolute;left:-89;top:12189;width:866;height:1363" coordorigin="-89,12189" coordsize="866,1363" path="m3519,3569l3452,3569,3429,3968m4100,4016l4030,4016,3950,4048m4295,4493l4168,4493m3557,4931l3493,4931,3474,4598e" filled="false" stroked="true" strokeweight=".5pt" strokecolor="#231f20">
              <v:path arrowok="t"/>
            </v:shape>
            <w10:wrap type="none"/>
          </v:group>
        </w:pict>
      </w:r>
    </w:p>
    <w:p>
      <w:pPr>
        <w:pStyle w:val="BodyText"/>
        <w:spacing w:line="285" w:lineRule="auto" w:before="36"/>
        <w:ind w:left="110" w:right="108"/>
        <w:jc w:val="both"/>
      </w:pPr>
      <w:r>
        <w:rPr>
          <w:color w:val="231F20"/>
          <w:w w:val="105"/>
        </w:rPr>
        <w:t>Como</w:t>
      </w:r>
      <w:r>
        <w:rPr>
          <w:color w:val="231F20"/>
          <w:spacing w:val="-6"/>
          <w:w w:val="105"/>
        </w:rPr>
        <w:t> </w:t>
      </w:r>
      <w:r>
        <w:rPr>
          <w:color w:val="231F20"/>
          <w:w w:val="105"/>
        </w:rPr>
        <w:t>podemos</w:t>
      </w:r>
      <w:r>
        <w:rPr>
          <w:color w:val="231F20"/>
          <w:spacing w:val="-6"/>
          <w:w w:val="105"/>
        </w:rPr>
        <w:t> </w:t>
      </w:r>
      <w:r>
        <w:rPr>
          <w:color w:val="231F20"/>
          <w:w w:val="105"/>
        </w:rPr>
        <w:t>observar</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gráfica</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cuadro</w:t>
      </w:r>
      <w:r>
        <w:rPr>
          <w:color w:val="231F20"/>
          <w:spacing w:val="-6"/>
          <w:w w:val="105"/>
        </w:rPr>
        <w:t> </w:t>
      </w:r>
      <w:r>
        <w:rPr>
          <w:color w:val="231F20"/>
          <w:spacing w:val="-3"/>
          <w:w w:val="105"/>
        </w:rPr>
        <w:t>anterior,</w:t>
      </w:r>
      <w:r>
        <w:rPr>
          <w:color w:val="231F20"/>
          <w:spacing w:val="-6"/>
          <w:w w:val="105"/>
        </w:rPr>
        <w:t> </w:t>
      </w:r>
      <w:r>
        <w:rPr>
          <w:color w:val="231F20"/>
          <w:w w:val="105"/>
        </w:rPr>
        <w:t>los</w:t>
      </w:r>
      <w:r>
        <w:rPr>
          <w:color w:val="231F20"/>
          <w:spacing w:val="-6"/>
          <w:w w:val="105"/>
        </w:rPr>
        <w:t> </w:t>
      </w:r>
      <w:r>
        <w:rPr>
          <w:color w:val="231F20"/>
          <w:w w:val="105"/>
        </w:rPr>
        <w:t>años</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ha tenido</w:t>
      </w:r>
      <w:r>
        <w:rPr>
          <w:color w:val="231F20"/>
          <w:spacing w:val="-18"/>
          <w:w w:val="105"/>
        </w:rPr>
        <w:t> </w:t>
      </w:r>
      <w:r>
        <w:rPr>
          <w:color w:val="231F20"/>
          <w:w w:val="105"/>
        </w:rPr>
        <w:t>mayores</w:t>
      </w:r>
      <w:r>
        <w:rPr>
          <w:color w:val="231F20"/>
          <w:spacing w:val="-18"/>
          <w:w w:val="105"/>
        </w:rPr>
        <w:t> </w:t>
      </w:r>
      <w:r>
        <w:rPr>
          <w:color w:val="231F20"/>
          <w:w w:val="105"/>
        </w:rPr>
        <w:t>ingresos</w:t>
      </w:r>
      <w:r>
        <w:rPr>
          <w:color w:val="231F20"/>
          <w:spacing w:val="-18"/>
          <w:w w:val="105"/>
        </w:rPr>
        <w:t> </w:t>
      </w:r>
      <w:r>
        <w:rPr>
          <w:color w:val="231F20"/>
          <w:w w:val="105"/>
        </w:rPr>
        <w:t>son</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2004</w:t>
      </w:r>
      <w:r>
        <w:rPr>
          <w:color w:val="231F20"/>
          <w:spacing w:val="-18"/>
          <w:w w:val="105"/>
        </w:rPr>
        <w:t> </w:t>
      </w:r>
      <w:r>
        <w:rPr>
          <w:color w:val="231F20"/>
          <w:w w:val="105"/>
        </w:rPr>
        <w:t>y</w:t>
      </w:r>
      <w:r>
        <w:rPr>
          <w:color w:val="231F20"/>
          <w:spacing w:val="-18"/>
          <w:w w:val="105"/>
        </w:rPr>
        <w:t> </w:t>
      </w:r>
      <w:r>
        <w:rPr>
          <w:color w:val="231F20"/>
          <w:spacing w:val="2"/>
          <w:w w:val="105"/>
        </w:rPr>
        <w:t>2005.</w:t>
      </w:r>
      <w:r>
        <w:rPr>
          <w:color w:val="231F20"/>
          <w:spacing w:val="-18"/>
          <w:w w:val="105"/>
        </w:rPr>
        <w:t> </w:t>
      </w:r>
      <w:r>
        <w:rPr>
          <w:color w:val="231F20"/>
          <w:w w:val="105"/>
        </w:rPr>
        <w:t>Los</w:t>
      </w:r>
      <w:r>
        <w:rPr>
          <w:color w:val="231F20"/>
          <w:spacing w:val="-18"/>
          <w:w w:val="105"/>
        </w:rPr>
        <w:t> </w:t>
      </w:r>
      <w:r>
        <w:rPr>
          <w:color w:val="231F20"/>
          <w:w w:val="105"/>
        </w:rPr>
        <w:t>incrementos</w:t>
      </w:r>
      <w:r>
        <w:rPr>
          <w:color w:val="231F20"/>
          <w:spacing w:val="-18"/>
          <w:w w:val="105"/>
        </w:rPr>
        <w:t> </w:t>
      </w:r>
      <w:r>
        <w:rPr>
          <w:color w:val="231F20"/>
          <w:w w:val="105"/>
        </w:rPr>
        <w:t>se</w:t>
      </w:r>
      <w:r>
        <w:rPr>
          <w:color w:val="231F20"/>
          <w:spacing w:val="-18"/>
          <w:w w:val="105"/>
        </w:rPr>
        <w:t> </w:t>
      </w:r>
      <w:r>
        <w:rPr>
          <w:color w:val="231F20"/>
          <w:w w:val="105"/>
        </w:rPr>
        <w:t>han</w:t>
      </w:r>
      <w:r>
        <w:rPr>
          <w:color w:val="231F20"/>
          <w:spacing w:val="-18"/>
          <w:w w:val="105"/>
        </w:rPr>
        <w:t> </w:t>
      </w:r>
      <w:r>
        <w:rPr>
          <w:color w:val="231F20"/>
          <w:w w:val="105"/>
        </w:rPr>
        <w:t>dado</w:t>
      </w:r>
      <w:r>
        <w:rPr>
          <w:color w:val="231F20"/>
          <w:spacing w:val="-18"/>
          <w:w w:val="105"/>
        </w:rPr>
        <w:t> </w:t>
      </w:r>
      <w:r>
        <w:rPr>
          <w:color w:val="231F20"/>
          <w:w w:val="105"/>
        </w:rPr>
        <w:t>de</w:t>
      </w:r>
      <w:r>
        <w:rPr>
          <w:color w:val="231F20"/>
          <w:spacing w:val="-18"/>
          <w:w w:val="105"/>
        </w:rPr>
        <w:t> </w:t>
      </w:r>
      <w:r>
        <w:rPr>
          <w:color w:val="231F20"/>
          <w:w w:val="105"/>
        </w:rPr>
        <w:t>manera proporcional</w:t>
      </w:r>
      <w:r>
        <w:rPr>
          <w:color w:val="231F20"/>
          <w:spacing w:val="-16"/>
          <w:w w:val="105"/>
        </w:rPr>
        <w:t> </w:t>
      </w:r>
      <w:r>
        <w:rPr>
          <w:color w:val="231F20"/>
          <w:w w:val="105"/>
        </w:rPr>
        <w:t>en</w:t>
      </w:r>
      <w:r>
        <w:rPr>
          <w:color w:val="231F20"/>
          <w:spacing w:val="-16"/>
          <w:w w:val="105"/>
        </w:rPr>
        <w:t> </w:t>
      </w:r>
      <w:r>
        <w:rPr>
          <w:color w:val="231F20"/>
          <w:w w:val="105"/>
        </w:rPr>
        <w:t>cada</w:t>
      </w:r>
      <w:r>
        <w:rPr>
          <w:color w:val="231F20"/>
          <w:spacing w:val="-16"/>
          <w:w w:val="105"/>
        </w:rPr>
        <w:t> </w:t>
      </w:r>
      <w:r>
        <w:rPr>
          <w:color w:val="231F20"/>
          <w:w w:val="105"/>
        </w:rPr>
        <w:t>año,</w:t>
      </w:r>
      <w:r>
        <w:rPr>
          <w:color w:val="231F20"/>
          <w:spacing w:val="-16"/>
          <w:w w:val="105"/>
        </w:rPr>
        <w:t> </w:t>
      </w:r>
      <w:r>
        <w:rPr>
          <w:color w:val="231F20"/>
          <w:w w:val="105"/>
        </w:rPr>
        <w:t>por</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sus</w:t>
      </w:r>
      <w:r>
        <w:rPr>
          <w:color w:val="231F20"/>
          <w:spacing w:val="-16"/>
          <w:w w:val="105"/>
        </w:rPr>
        <w:t> </w:t>
      </w:r>
      <w:r>
        <w:rPr>
          <w:color w:val="231F20"/>
          <w:w w:val="105"/>
        </w:rPr>
        <w:t>ingresos</w:t>
      </w:r>
      <w:r>
        <w:rPr>
          <w:color w:val="231F20"/>
          <w:spacing w:val="-16"/>
          <w:w w:val="105"/>
        </w:rPr>
        <w:t> </w:t>
      </w:r>
      <w:r>
        <w:rPr>
          <w:color w:val="231F20"/>
          <w:w w:val="105"/>
        </w:rPr>
        <w:t>percibidos</w:t>
      </w:r>
      <w:r>
        <w:rPr>
          <w:color w:val="231F20"/>
          <w:spacing w:val="-16"/>
          <w:w w:val="105"/>
        </w:rPr>
        <w:t> </w:t>
      </w:r>
      <w:r>
        <w:rPr>
          <w:color w:val="231F20"/>
          <w:w w:val="105"/>
        </w:rPr>
        <w:t>no</w:t>
      </w:r>
      <w:r>
        <w:rPr>
          <w:color w:val="231F20"/>
          <w:spacing w:val="-16"/>
          <w:w w:val="105"/>
        </w:rPr>
        <w:t> </w:t>
      </w:r>
      <w:r>
        <w:rPr>
          <w:color w:val="231F20"/>
          <w:w w:val="105"/>
        </w:rPr>
        <w:t>han</w:t>
      </w:r>
      <w:r>
        <w:rPr>
          <w:color w:val="231F20"/>
          <w:spacing w:val="-16"/>
          <w:w w:val="105"/>
        </w:rPr>
        <w:t> </w:t>
      </w:r>
      <w:r>
        <w:rPr>
          <w:color w:val="231F20"/>
          <w:w w:val="105"/>
        </w:rPr>
        <w:t>disminuido.</w:t>
      </w:r>
      <w:r>
        <w:rPr>
          <w:color w:val="231F20"/>
          <w:spacing w:val="-16"/>
          <w:w w:val="105"/>
        </w:rPr>
        <w:t> </w:t>
      </w:r>
      <w:r>
        <w:rPr>
          <w:color w:val="231F20"/>
          <w:w w:val="105"/>
        </w:rPr>
        <w:t>Enton- ces su </w:t>
      </w:r>
      <w:r>
        <w:rPr>
          <w:color w:val="231F20"/>
          <w:spacing w:val="-3"/>
          <w:w w:val="105"/>
        </w:rPr>
        <w:t>monto </w:t>
      </w:r>
      <w:r>
        <w:rPr>
          <w:color w:val="231F20"/>
          <w:w w:val="105"/>
        </w:rPr>
        <w:t>no dependió del partido que se encontrara gobernando el Municipio, ya que</w:t>
      </w:r>
      <w:r>
        <w:rPr>
          <w:color w:val="231F20"/>
          <w:spacing w:val="-18"/>
          <w:w w:val="105"/>
        </w:rPr>
        <w:t> </w:t>
      </w:r>
      <w:r>
        <w:rPr>
          <w:color w:val="231F20"/>
          <w:w w:val="105"/>
        </w:rPr>
        <w:t>del</w:t>
      </w:r>
      <w:r>
        <w:rPr>
          <w:color w:val="231F20"/>
          <w:spacing w:val="-18"/>
          <w:w w:val="105"/>
        </w:rPr>
        <w:t> </w:t>
      </w:r>
      <w:r>
        <w:rPr>
          <w:color w:val="231F20"/>
          <w:spacing w:val="4"/>
          <w:w w:val="105"/>
        </w:rPr>
        <w:t>2000</w:t>
      </w:r>
      <w:r>
        <w:rPr>
          <w:color w:val="231F20"/>
          <w:spacing w:val="-18"/>
          <w:w w:val="105"/>
        </w:rPr>
        <w:t> </w:t>
      </w:r>
      <w:r>
        <w:rPr>
          <w:color w:val="231F20"/>
          <w:spacing w:val="2"/>
          <w:w w:val="105"/>
        </w:rPr>
        <w:t>al</w:t>
      </w:r>
      <w:r>
        <w:rPr>
          <w:color w:val="231F20"/>
          <w:spacing w:val="-18"/>
          <w:w w:val="105"/>
        </w:rPr>
        <w:t> </w:t>
      </w:r>
      <w:r>
        <w:rPr>
          <w:color w:val="231F20"/>
          <w:spacing w:val="2"/>
          <w:w w:val="105"/>
        </w:rPr>
        <w:t>2003</w:t>
      </w:r>
      <w:r>
        <w:rPr>
          <w:color w:val="231F20"/>
          <w:spacing w:val="-18"/>
          <w:w w:val="105"/>
        </w:rPr>
        <w:t> </w:t>
      </w:r>
      <w:r>
        <w:rPr>
          <w:color w:val="231F20"/>
          <w:w w:val="105"/>
        </w:rPr>
        <w:t>el</w:t>
      </w:r>
      <w:r>
        <w:rPr>
          <w:color w:val="231F20"/>
          <w:spacing w:val="-18"/>
          <w:w w:val="105"/>
        </w:rPr>
        <w:t> </w:t>
      </w:r>
      <w:r>
        <w:rPr>
          <w:color w:val="231F20"/>
          <w:w w:val="105"/>
        </w:rPr>
        <w:t>gobierno</w:t>
      </w:r>
      <w:r>
        <w:rPr>
          <w:color w:val="231F20"/>
          <w:spacing w:val="-18"/>
          <w:w w:val="105"/>
        </w:rPr>
        <w:t> </w:t>
      </w:r>
      <w:r>
        <w:rPr>
          <w:color w:val="231F20"/>
          <w:w w:val="105"/>
        </w:rPr>
        <w:t>fue</w:t>
      </w:r>
      <w:r>
        <w:rPr>
          <w:color w:val="231F20"/>
          <w:spacing w:val="-18"/>
          <w:w w:val="105"/>
        </w:rPr>
        <w:t> </w:t>
      </w:r>
      <w:r>
        <w:rPr>
          <w:color w:val="231F20"/>
          <w:w w:val="105"/>
        </w:rPr>
        <w:t>priísta</w:t>
      </w:r>
      <w:r>
        <w:rPr>
          <w:color w:val="231F20"/>
          <w:spacing w:val="-18"/>
          <w:w w:val="105"/>
        </w:rPr>
        <w:t> </w:t>
      </w:r>
      <w:r>
        <w:rPr>
          <w:color w:val="231F20"/>
          <w:w w:val="105"/>
        </w:rPr>
        <w:t>y</w:t>
      </w:r>
      <w:r>
        <w:rPr>
          <w:color w:val="231F20"/>
          <w:spacing w:val="-18"/>
          <w:w w:val="105"/>
        </w:rPr>
        <w:t> </w:t>
      </w:r>
      <w:r>
        <w:rPr>
          <w:color w:val="231F20"/>
          <w:w w:val="105"/>
        </w:rPr>
        <w:t>del</w:t>
      </w:r>
      <w:r>
        <w:rPr>
          <w:color w:val="231F20"/>
          <w:spacing w:val="-18"/>
          <w:w w:val="105"/>
        </w:rPr>
        <w:t> </w:t>
      </w:r>
      <w:r>
        <w:rPr>
          <w:color w:val="231F20"/>
          <w:spacing w:val="2"/>
          <w:w w:val="105"/>
        </w:rPr>
        <w:t>2003</w:t>
      </w:r>
      <w:r>
        <w:rPr>
          <w:color w:val="231F20"/>
          <w:spacing w:val="-18"/>
          <w:w w:val="105"/>
        </w:rPr>
        <w:t> </w:t>
      </w:r>
      <w:r>
        <w:rPr>
          <w:color w:val="231F20"/>
          <w:spacing w:val="2"/>
          <w:w w:val="105"/>
        </w:rPr>
        <w:t>al</w:t>
      </w:r>
      <w:r>
        <w:rPr>
          <w:color w:val="231F20"/>
          <w:spacing w:val="-18"/>
          <w:w w:val="105"/>
        </w:rPr>
        <w:t> </w:t>
      </w:r>
      <w:r>
        <w:rPr>
          <w:color w:val="231F20"/>
          <w:w w:val="105"/>
        </w:rPr>
        <w:t>2009,</w:t>
      </w:r>
      <w:r>
        <w:rPr>
          <w:color w:val="231F20"/>
          <w:spacing w:val="-18"/>
          <w:w w:val="105"/>
        </w:rPr>
        <w:t> </w:t>
      </w:r>
      <w:r>
        <w:rPr>
          <w:color w:val="231F20"/>
          <w:w w:val="105"/>
        </w:rPr>
        <w:t>perredista.</w:t>
      </w:r>
    </w:p>
    <w:p>
      <w:pPr>
        <w:pStyle w:val="BodyText"/>
        <w:spacing w:before="1"/>
        <w:rPr>
          <w:sz w:val="26"/>
        </w:rPr>
      </w:pPr>
    </w:p>
    <w:p>
      <w:pPr>
        <w:pStyle w:val="BodyText"/>
        <w:spacing w:line="285" w:lineRule="auto"/>
        <w:ind w:left="110" w:right="109"/>
        <w:jc w:val="both"/>
      </w:pPr>
      <w:r>
        <w:rPr>
          <w:color w:val="231F20"/>
        </w:rPr>
        <w:t>Por lo que a Egresos se refiere del Municipio de Chalco del año 2000 al 2005, se han utilizado de la siguiente forma, aquí solo retomamos 7 aspectos    principales:</w:t>
      </w:r>
    </w:p>
    <w:p>
      <w:pPr>
        <w:spacing w:after="0" w:line="285" w:lineRule="auto"/>
        <w:jc w:val="both"/>
        <w:sectPr>
          <w:type w:val="continuous"/>
          <w:pgSz w:w="9640" w:h="12190"/>
          <w:pgMar w:top="0" w:bottom="0" w:left="740" w:right="740"/>
        </w:sectPr>
      </w:pPr>
    </w:p>
    <w:p>
      <w:pPr>
        <w:pStyle w:val="Heading5"/>
        <w:spacing w:before="27"/>
        <w:ind w:left="1166"/>
      </w:pPr>
      <w:r>
        <w:rPr>
          <w:color w:val="231F20"/>
          <w:w w:val="105"/>
        </w:rPr>
        <w:t>Cuadro 3. Egresos del Municipio de Chalco del 2000 al 2005</w:t>
      </w:r>
    </w:p>
    <w:p>
      <w:pPr>
        <w:pStyle w:val="BodyText"/>
        <w:rPr>
          <w:b/>
          <w:sz w:val="20"/>
        </w:rPr>
      </w:pPr>
    </w:p>
    <w:p>
      <w:pPr>
        <w:pStyle w:val="BodyText"/>
        <w:spacing w:before="10"/>
        <w:rPr>
          <w:b/>
          <w:sz w:val="20"/>
        </w:rPr>
      </w:pPr>
    </w:p>
    <w:tbl>
      <w:tblPr>
        <w:tblW w:w="0" w:type="auto"/>
        <w:jc w:val="left"/>
        <w:tblInd w:w="67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42"/>
        <w:gridCol w:w="960"/>
        <w:gridCol w:w="983"/>
        <w:gridCol w:w="966"/>
        <w:gridCol w:w="855"/>
        <w:gridCol w:w="895"/>
        <w:gridCol w:w="893"/>
      </w:tblGrid>
      <w:tr>
        <w:trPr>
          <w:trHeight w:val="130" w:hRule="exact"/>
        </w:trPr>
        <w:tc>
          <w:tcPr>
            <w:tcW w:w="1242" w:type="dxa"/>
            <w:tcBorders>
              <w:top w:val="nil"/>
              <w:left w:val="nil"/>
            </w:tcBorders>
          </w:tcPr>
          <w:p>
            <w:pPr/>
          </w:p>
        </w:tc>
        <w:tc>
          <w:tcPr>
            <w:tcW w:w="960" w:type="dxa"/>
          </w:tcPr>
          <w:p>
            <w:pPr>
              <w:pStyle w:val="TableParagraph"/>
              <w:spacing w:line="160" w:lineRule="exact"/>
              <w:rPr>
                <w:sz w:val="16"/>
              </w:rPr>
            </w:pPr>
            <w:r>
              <w:rPr>
                <w:color w:val="231F20"/>
                <w:w w:val="85"/>
                <w:sz w:val="16"/>
              </w:rPr>
              <w:t>2000</w:t>
            </w:r>
          </w:p>
        </w:tc>
        <w:tc>
          <w:tcPr>
            <w:tcW w:w="983" w:type="dxa"/>
          </w:tcPr>
          <w:p>
            <w:pPr>
              <w:pStyle w:val="TableParagraph"/>
              <w:spacing w:line="160" w:lineRule="exact"/>
              <w:ind w:left="102"/>
              <w:rPr>
                <w:sz w:val="16"/>
              </w:rPr>
            </w:pPr>
            <w:r>
              <w:rPr>
                <w:color w:val="231F20"/>
                <w:w w:val="85"/>
                <w:sz w:val="16"/>
              </w:rPr>
              <w:t>2001</w:t>
            </w:r>
          </w:p>
        </w:tc>
        <w:tc>
          <w:tcPr>
            <w:tcW w:w="966" w:type="dxa"/>
          </w:tcPr>
          <w:p>
            <w:pPr>
              <w:pStyle w:val="TableParagraph"/>
              <w:spacing w:line="160" w:lineRule="exact"/>
              <w:ind w:left="102"/>
              <w:rPr>
                <w:sz w:val="16"/>
              </w:rPr>
            </w:pPr>
            <w:r>
              <w:rPr>
                <w:color w:val="231F20"/>
                <w:w w:val="85"/>
                <w:sz w:val="16"/>
              </w:rPr>
              <w:t>2002</w:t>
            </w:r>
          </w:p>
        </w:tc>
        <w:tc>
          <w:tcPr>
            <w:tcW w:w="855" w:type="dxa"/>
          </w:tcPr>
          <w:p>
            <w:pPr>
              <w:pStyle w:val="TableParagraph"/>
              <w:spacing w:line="160" w:lineRule="exact"/>
              <w:ind w:left="102"/>
              <w:rPr>
                <w:sz w:val="16"/>
              </w:rPr>
            </w:pPr>
            <w:r>
              <w:rPr>
                <w:color w:val="231F20"/>
                <w:w w:val="85"/>
                <w:sz w:val="16"/>
              </w:rPr>
              <w:t>2003</w:t>
            </w:r>
          </w:p>
        </w:tc>
        <w:tc>
          <w:tcPr>
            <w:tcW w:w="895" w:type="dxa"/>
          </w:tcPr>
          <w:p>
            <w:pPr>
              <w:pStyle w:val="TableParagraph"/>
              <w:spacing w:line="160" w:lineRule="exact"/>
              <w:ind w:left="102"/>
              <w:rPr>
                <w:sz w:val="16"/>
              </w:rPr>
            </w:pPr>
            <w:r>
              <w:rPr>
                <w:color w:val="231F20"/>
                <w:w w:val="85"/>
                <w:sz w:val="16"/>
              </w:rPr>
              <w:t>2004</w:t>
            </w:r>
          </w:p>
        </w:tc>
        <w:tc>
          <w:tcPr>
            <w:tcW w:w="893" w:type="dxa"/>
          </w:tcPr>
          <w:p>
            <w:pPr>
              <w:pStyle w:val="TableParagraph"/>
              <w:spacing w:line="160" w:lineRule="exact"/>
              <w:ind w:left="102"/>
              <w:rPr>
                <w:sz w:val="16"/>
              </w:rPr>
            </w:pPr>
            <w:r>
              <w:rPr>
                <w:color w:val="231F20"/>
                <w:w w:val="85"/>
                <w:sz w:val="16"/>
              </w:rPr>
              <w:t>2005</w:t>
            </w:r>
          </w:p>
        </w:tc>
      </w:tr>
      <w:tr>
        <w:trPr>
          <w:trHeight w:val="130" w:hRule="exact"/>
        </w:trPr>
        <w:tc>
          <w:tcPr>
            <w:tcW w:w="1242" w:type="dxa"/>
          </w:tcPr>
          <w:p>
            <w:pPr>
              <w:pStyle w:val="TableParagraph"/>
              <w:spacing w:line="160" w:lineRule="exact"/>
              <w:ind w:left="102"/>
              <w:rPr>
                <w:sz w:val="16"/>
              </w:rPr>
            </w:pPr>
            <w:r>
              <w:rPr>
                <w:color w:val="231F20"/>
                <w:w w:val="75"/>
                <w:sz w:val="16"/>
              </w:rPr>
              <w:t>Egresos brutos</w:t>
            </w:r>
          </w:p>
        </w:tc>
        <w:tc>
          <w:tcPr>
            <w:tcW w:w="960" w:type="dxa"/>
          </w:tcPr>
          <w:p>
            <w:pPr>
              <w:pStyle w:val="TableParagraph"/>
              <w:spacing w:line="160" w:lineRule="exact"/>
              <w:ind w:left="102"/>
              <w:rPr>
                <w:sz w:val="16"/>
              </w:rPr>
            </w:pPr>
            <w:r>
              <w:rPr>
                <w:color w:val="231F20"/>
                <w:w w:val="85"/>
                <w:sz w:val="16"/>
              </w:rPr>
              <w:t>138,323,936</w:t>
            </w:r>
          </w:p>
        </w:tc>
        <w:tc>
          <w:tcPr>
            <w:tcW w:w="983" w:type="dxa"/>
          </w:tcPr>
          <w:p>
            <w:pPr>
              <w:pStyle w:val="TableParagraph"/>
              <w:spacing w:line="160" w:lineRule="exact"/>
              <w:ind w:left="102"/>
              <w:rPr>
                <w:sz w:val="16"/>
              </w:rPr>
            </w:pPr>
            <w:r>
              <w:rPr>
                <w:color w:val="231F20"/>
                <w:w w:val="85"/>
                <w:sz w:val="16"/>
              </w:rPr>
              <w:t>168,428,507</w:t>
            </w:r>
          </w:p>
        </w:tc>
        <w:tc>
          <w:tcPr>
            <w:tcW w:w="966" w:type="dxa"/>
          </w:tcPr>
          <w:p>
            <w:pPr>
              <w:pStyle w:val="TableParagraph"/>
              <w:spacing w:line="160" w:lineRule="exact"/>
              <w:ind w:left="102"/>
              <w:rPr>
                <w:sz w:val="16"/>
              </w:rPr>
            </w:pPr>
            <w:r>
              <w:rPr>
                <w:color w:val="231F20"/>
                <w:w w:val="85"/>
                <w:sz w:val="16"/>
              </w:rPr>
              <w:t>229,754,281</w:t>
            </w:r>
          </w:p>
        </w:tc>
        <w:tc>
          <w:tcPr>
            <w:tcW w:w="855" w:type="dxa"/>
          </w:tcPr>
          <w:p>
            <w:pPr>
              <w:pStyle w:val="TableParagraph"/>
              <w:spacing w:line="160" w:lineRule="exact"/>
              <w:ind w:left="102"/>
              <w:rPr>
                <w:sz w:val="16"/>
              </w:rPr>
            </w:pPr>
            <w:r>
              <w:rPr>
                <w:color w:val="231F20"/>
                <w:w w:val="85"/>
                <w:sz w:val="16"/>
              </w:rPr>
              <w:t>248,016,563</w:t>
            </w:r>
          </w:p>
        </w:tc>
        <w:tc>
          <w:tcPr>
            <w:tcW w:w="895" w:type="dxa"/>
          </w:tcPr>
          <w:p>
            <w:pPr>
              <w:pStyle w:val="TableParagraph"/>
              <w:spacing w:line="160" w:lineRule="exact"/>
              <w:ind w:left="102"/>
              <w:rPr>
                <w:sz w:val="16"/>
              </w:rPr>
            </w:pPr>
            <w:r>
              <w:rPr>
                <w:color w:val="231F20"/>
                <w:w w:val="85"/>
                <w:sz w:val="16"/>
              </w:rPr>
              <w:t>318,063,076</w:t>
            </w:r>
          </w:p>
        </w:tc>
        <w:tc>
          <w:tcPr>
            <w:tcW w:w="893" w:type="dxa"/>
          </w:tcPr>
          <w:p>
            <w:pPr>
              <w:pStyle w:val="TableParagraph"/>
              <w:spacing w:line="160" w:lineRule="exact"/>
              <w:ind w:left="102"/>
              <w:rPr>
                <w:sz w:val="16"/>
              </w:rPr>
            </w:pPr>
            <w:r>
              <w:rPr>
                <w:color w:val="231F20"/>
                <w:w w:val="85"/>
                <w:sz w:val="16"/>
              </w:rPr>
              <w:t>374,550,366</w:t>
            </w:r>
          </w:p>
        </w:tc>
      </w:tr>
      <w:tr>
        <w:trPr>
          <w:trHeight w:val="130" w:hRule="exact"/>
        </w:trPr>
        <w:tc>
          <w:tcPr>
            <w:tcW w:w="1242" w:type="dxa"/>
          </w:tcPr>
          <w:p>
            <w:pPr>
              <w:pStyle w:val="TableParagraph"/>
              <w:spacing w:line="160" w:lineRule="exact"/>
              <w:ind w:left="102"/>
              <w:rPr>
                <w:sz w:val="16"/>
              </w:rPr>
            </w:pPr>
            <w:r>
              <w:rPr>
                <w:color w:val="231F20"/>
                <w:w w:val="75"/>
                <w:sz w:val="16"/>
              </w:rPr>
              <w:t>Servicios personales</w:t>
            </w:r>
          </w:p>
        </w:tc>
        <w:tc>
          <w:tcPr>
            <w:tcW w:w="960" w:type="dxa"/>
          </w:tcPr>
          <w:p>
            <w:pPr>
              <w:pStyle w:val="TableParagraph"/>
              <w:spacing w:line="160" w:lineRule="exact"/>
              <w:ind w:left="102"/>
              <w:rPr>
                <w:sz w:val="16"/>
              </w:rPr>
            </w:pPr>
            <w:r>
              <w:rPr>
                <w:color w:val="231F20"/>
                <w:w w:val="85"/>
                <w:sz w:val="16"/>
              </w:rPr>
              <w:t>47,577,261</w:t>
            </w:r>
          </w:p>
        </w:tc>
        <w:tc>
          <w:tcPr>
            <w:tcW w:w="983" w:type="dxa"/>
          </w:tcPr>
          <w:p>
            <w:pPr>
              <w:pStyle w:val="TableParagraph"/>
              <w:spacing w:line="160" w:lineRule="exact"/>
              <w:ind w:left="102"/>
              <w:rPr>
                <w:sz w:val="16"/>
              </w:rPr>
            </w:pPr>
            <w:r>
              <w:rPr>
                <w:color w:val="231F20"/>
                <w:w w:val="85"/>
                <w:sz w:val="16"/>
              </w:rPr>
              <w:t>49,976,865</w:t>
            </w:r>
          </w:p>
        </w:tc>
        <w:tc>
          <w:tcPr>
            <w:tcW w:w="966" w:type="dxa"/>
          </w:tcPr>
          <w:p>
            <w:pPr>
              <w:pStyle w:val="TableParagraph"/>
              <w:spacing w:line="160" w:lineRule="exact"/>
              <w:ind w:left="102"/>
              <w:rPr>
                <w:sz w:val="16"/>
              </w:rPr>
            </w:pPr>
            <w:r>
              <w:rPr>
                <w:color w:val="231F20"/>
                <w:w w:val="85"/>
                <w:sz w:val="16"/>
              </w:rPr>
              <w:t>68,918,952</w:t>
            </w:r>
          </w:p>
        </w:tc>
        <w:tc>
          <w:tcPr>
            <w:tcW w:w="855" w:type="dxa"/>
          </w:tcPr>
          <w:p>
            <w:pPr>
              <w:pStyle w:val="TableParagraph"/>
              <w:spacing w:line="160" w:lineRule="exact"/>
              <w:ind w:left="102"/>
              <w:rPr>
                <w:sz w:val="16"/>
              </w:rPr>
            </w:pPr>
            <w:r>
              <w:rPr>
                <w:color w:val="231F20"/>
                <w:w w:val="85"/>
                <w:sz w:val="16"/>
              </w:rPr>
              <w:t>105,163,726</w:t>
            </w:r>
          </w:p>
        </w:tc>
        <w:tc>
          <w:tcPr>
            <w:tcW w:w="895" w:type="dxa"/>
          </w:tcPr>
          <w:p>
            <w:pPr>
              <w:pStyle w:val="TableParagraph"/>
              <w:spacing w:line="160" w:lineRule="exact"/>
              <w:ind w:left="102"/>
              <w:rPr>
                <w:sz w:val="16"/>
              </w:rPr>
            </w:pPr>
            <w:r>
              <w:rPr>
                <w:color w:val="231F20"/>
                <w:w w:val="85"/>
                <w:sz w:val="16"/>
              </w:rPr>
              <w:t>146,304,798</w:t>
            </w:r>
          </w:p>
        </w:tc>
        <w:tc>
          <w:tcPr>
            <w:tcW w:w="893" w:type="dxa"/>
          </w:tcPr>
          <w:p>
            <w:pPr>
              <w:pStyle w:val="TableParagraph"/>
              <w:spacing w:line="160" w:lineRule="exact"/>
              <w:ind w:left="102"/>
              <w:rPr>
                <w:sz w:val="16"/>
              </w:rPr>
            </w:pPr>
            <w:r>
              <w:rPr>
                <w:color w:val="231F20"/>
                <w:w w:val="85"/>
                <w:sz w:val="16"/>
              </w:rPr>
              <w:t>137,737,556</w:t>
            </w:r>
          </w:p>
        </w:tc>
      </w:tr>
      <w:tr>
        <w:trPr>
          <w:trHeight w:val="322" w:hRule="exact"/>
        </w:trPr>
        <w:tc>
          <w:tcPr>
            <w:tcW w:w="1242" w:type="dxa"/>
          </w:tcPr>
          <w:p>
            <w:pPr>
              <w:pStyle w:val="TableParagraph"/>
              <w:spacing w:line="161" w:lineRule="exact"/>
              <w:ind w:left="102"/>
              <w:rPr>
                <w:sz w:val="16"/>
              </w:rPr>
            </w:pPr>
            <w:r>
              <w:rPr>
                <w:color w:val="231F20"/>
                <w:w w:val="75"/>
                <w:sz w:val="16"/>
              </w:rPr>
              <w:t>Materiales y</w:t>
            </w:r>
          </w:p>
          <w:p>
            <w:pPr>
              <w:pStyle w:val="TableParagraph"/>
              <w:spacing w:line="191" w:lineRule="exact"/>
              <w:ind w:left="102"/>
              <w:rPr>
                <w:sz w:val="16"/>
              </w:rPr>
            </w:pPr>
            <w:r>
              <w:rPr>
                <w:color w:val="231F20"/>
                <w:w w:val="85"/>
                <w:sz w:val="16"/>
              </w:rPr>
              <w:t>suministros</w:t>
            </w:r>
          </w:p>
        </w:tc>
        <w:tc>
          <w:tcPr>
            <w:tcW w:w="960" w:type="dxa"/>
          </w:tcPr>
          <w:p>
            <w:pPr>
              <w:pStyle w:val="TableParagraph"/>
              <w:spacing w:line="163" w:lineRule="exact"/>
              <w:ind w:left="102"/>
              <w:rPr>
                <w:sz w:val="16"/>
              </w:rPr>
            </w:pPr>
            <w:r>
              <w:rPr>
                <w:color w:val="231F20"/>
                <w:w w:val="85"/>
                <w:sz w:val="16"/>
              </w:rPr>
              <w:t>6,726,684</w:t>
            </w:r>
          </w:p>
        </w:tc>
        <w:tc>
          <w:tcPr>
            <w:tcW w:w="983" w:type="dxa"/>
          </w:tcPr>
          <w:p>
            <w:pPr>
              <w:pStyle w:val="TableParagraph"/>
              <w:spacing w:line="163" w:lineRule="exact"/>
              <w:ind w:left="102"/>
              <w:rPr>
                <w:sz w:val="16"/>
              </w:rPr>
            </w:pPr>
            <w:r>
              <w:rPr>
                <w:color w:val="231F20"/>
                <w:w w:val="85"/>
                <w:sz w:val="16"/>
              </w:rPr>
              <w:t>8,549,206</w:t>
            </w:r>
          </w:p>
        </w:tc>
        <w:tc>
          <w:tcPr>
            <w:tcW w:w="966" w:type="dxa"/>
          </w:tcPr>
          <w:p>
            <w:pPr>
              <w:pStyle w:val="TableParagraph"/>
              <w:spacing w:line="163" w:lineRule="exact"/>
              <w:ind w:left="102"/>
              <w:rPr>
                <w:sz w:val="16"/>
              </w:rPr>
            </w:pPr>
            <w:r>
              <w:rPr>
                <w:color w:val="231F20"/>
                <w:w w:val="85"/>
                <w:sz w:val="16"/>
              </w:rPr>
              <w:t>10,169,474</w:t>
            </w:r>
          </w:p>
        </w:tc>
        <w:tc>
          <w:tcPr>
            <w:tcW w:w="855" w:type="dxa"/>
          </w:tcPr>
          <w:p>
            <w:pPr>
              <w:pStyle w:val="TableParagraph"/>
              <w:spacing w:line="163" w:lineRule="exact"/>
              <w:ind w:left="102"/>
              <w:rPr>
                <w:sz w:val="16"/>
              </w:rPr>
            </w:pPr>
            <w:r>
              <w:rPr>
                <w:color w:val="231F20"/>
                <w:w w:val="85"/>
                <w:sz w:val="16"/>
              </w:rPr>
              <w:t>11,813,879</w:t>
            </w:r>
          </w:p>
        </w:tc>
        <w:tc>
          <w:tcPr>
            <w:tcW w:w="895" w:type="dxa"/>
          </w:tcPr>
          <w:p>
            <w:pPr>
              <w:pStyle w:val="TableParagraph"/>
              <w:spacing w:line="163" w:lineRule="exact"/>
              <w:ind w:left="102"/>
              <w:rPr>
                <w:sz w:val="16"/>
              </w:rPr>
            </w:pPr>
            <w:r>
              <w:rPr>
                <w:color w:val="231F20"/>
                <w:w w:val="85"/>
                <w:sz w:val="16"/>
              </w:rPr>
              <w:t>17,952,231</w:t>
            </w:r>
          </w:p>
        </w:tc>
        <w:tc>
          <w:tcPr>
            <w:tcW w:w="893" w:type="dxa"/>
          </w:tcPr>
          <w:p>
            <w:pPr>
              <w:pStyle w:val="TableParagraph"/>
              <w:spacing w:line="163" w:lineRule="exact"/>
              <w:ind w:left="102"/>
              <w:rPr>
                <w:sz w:val="16"/>
              </w:rPr>
            </w:pPr>
            <w:r>
              <w:rPr>
                <w:color w:val="231F20"/>
                <w:w w:val="85"/>
                <w:sz w:val="16"/>
              </w:rPr>
              <w:t>19,978,069</w:t>
            </w:r>
          </w:p>
        </w:tc>
      </w:tr>
      <w:tr>
        <w:trPr>
          <w:trHeight w:val="130" w:hRule="exact"/>
        </w:trPr>
        <w:tc>
          <w:tcPr>
            <w:tcW w:w="1242" w:type="dxa"/>
          </w:tcPr>
          <w:p>
            <w:pPr>
              <w:pStyle w:val="TableParagraph"/>
              <w:spacing w:line="160" w:lineRule="exact"/>
              <w:ind w:left="102"/>
              <w:rPr>
                <w:sz w:val="16"/>
              </w:rPr>
            </w:pPr>
            <w:r>
              <w:rPr>
                <w:color w:val="231F20"/>
                <w:w w:val="75"/>
                <w:sz w:val="16"/>
              </w:rPr>
              <w:t>Servicios generales</w:t>
            </w:r>
          </w:p>
        </w:tc>
        <w:tc>
          <w:tcPr>
            <w:tcW w:w="960" w:type="dxa"/>
          </w:tcPr>
          <w:p>
            <w:pPr>
              <w:pStyle w:val="TableParagraph"/>
              <w:spacing w:line="160" w:lineRule="exact"/>
              <w:ind w:left="102"/>
              <w:rPr>
                <w:sz w:val="16"/>
              </w:rPr>
            </w:pPr>
            <w:r>
              <w:rPr>
                <w:color w:val="231F20"/>
                <w:w w:val="85"/>
                <w:sz w:val="16"/>
              </w:rPr>
              <w:t>14,041,871</w:t>
            </w:r>
          </w:p>
        </w:tc>
        <w:tc>
          <w:tcPr>
            <w:tcW w:w="983" w:type="dxa"/>
          </w:tcPr>
          <w:p>
            <w:pPr>
              <w:pStyle w:val="TableParagraph"/>
              <w:spacing w:line="160" w:lineRule="exact"/>
              <w:ind w:left="102"/>
              <w:rPr>
                <w:sz w:val="16"/>
              </w:rPr>
            </w:pPr>
            <w:r>
              <w:rPr>
                <w:color w:val="231F20"/>
                <w:w w:val="85"/>
                <w:sz w:val="16"/>
              </w:rPr>
              <w:t>21,599,944</w:t>
            </w:r>
          </w:p>
        </w:tc>
        <w:tc>
          <w:tcPr>
            <w:tcW w:w="966" w:type="dxa"/>
          </w:tcPr>
          <w:p>
            <w:pPr>
              <w:pStyle w:val="TableParagraph"/>
              <w:spacing w:line="160" w:lineRule="exact"/>
              <w:ind w:left="102"/>
              <w:rPr>
                <w:sz w:val="16"/>
              </w:rPr>
            </w:pPr>
            <w:r>
              <w:rPr>
                <w:color w:val="231F20"/>
                <w:w w:val="85"/>
                <w:sz w:val="16"/>
              </w:rPr>
              <w:t>23,752,569</w:t>
            </w:r>
          </w:p>
        </w:tc>
        <w:tc>
          <w:tcPr>
            <w:tcW w:w="855" w:type="dxa"/>
          </w:tcPr>
          <w:p>
            <w:pPr>
              <w:pStyle w:val="TableParagraph"/>
              <w:spacing w:line="160" w:lineRule="exact"/>
              <w:ind w:left="102"/>
              <w:rPr>
                <w:sz w:val="16"/>
              </w:rPr>
            </w:pPr>
            <w:r>
              <w:rPr>
                <w:color w:val="231F20"/>
                <w:w w:val="85"/>
                <w:sz w:val="16"/>
              </w:rPr>
              <w:t>26,507,719</w:t>
            </w:r>
          </w:p>
        </w:tc>
        <w:tc>
          <w:tcPr>
            <w:tcW w:w="895" w:type="dxa"/>
          </w:tcPr>
          <w:p>
            <w:pPr>
              <w:pStyle w:val="TableParagraph"/>
              <w:spacing w:line="160" w:lineRule="exact"/>
              <w:ind w:left="102"/>
              <w:rPr>
                <w:sz w:val="16"/>
              </w:rPr>
            </w:pPr>
            <w:r>
              <w:rPr>
                <w:color w:val="231F20"/>
                <w:w w:val="85"/>
                <w:sz w:val="16"/>
              </w:rPr>
              <w:t>28,431,828</w:t>
            </w:r>
          </w:p>
        </w:tc>
        <w:tc>
          <w:tcPr>
            <w:tcW w:w="893" w:type="dxa"/>
          </w:tcPr>
          <w:p>
            <w:pPr>
              <w:pStyle w:val="TableParagraph"/>
              <w:spacing w:line="160" w:lineRule="exact"/>
              <w:ind w:left="102"/>
              <w:rPr>
                <w:sz w:val="16"/>
              </w:rPr>
            </w:pPr>
            <w:r>
              <w:rPr>
                <w:color w:val="231F20"/>
                <w:w w:val="85"/>
                <w:sz w:val="16"/>
              </w:rPr>
              <w:t>34,567,994</w:t>
            </w:r>
          </w:p>
        </w:tc>
      </w:tr>
      <w:tr>
        <w:trPr>
          <w:trHeight w:val="514" w:hRule="exact"/>
        </w:trPr>
        <w:tc>
          <w:tcPr>
            <w:tcW w:w="1242" w:type="dxa"/>
          </w:tcPr>
          <w:p>
            <w:pPr>
              <w:pStyle w:val="TableParagraph"/>
              <w:spacing w:line="161" w:lineRule="exact"/>
              <w:ind w:left="102"/>
              <w:rPr>
                <w:sz w:val="16"/>
              </w:rPr>
            </w:pPr>
            <w:r>
              <w:rPr>
                <w:color w:val="231F20"/>
                <w:w w:val="85"/>
                <w:sz w:val="16"/>
              </w:rPr>
              <w:t>Adquisiciones,</w:t>
            </w:r>
          </w:p>
          <w:p>
            <w:pPr>
              <w:pStyle w:val="TableParagraph"/>
              <w:spacing w:line="235" w:lineRule="auto" w:before="1"/>
              <w:ind w:left="102"/>
              <w:rPr>
                <w:sz w:val="16"/>
              </w:rPr>
            </w:pPr>
            <w:r>
              <w:rPr>
                <w:color w:val="231F20"/>
                <w:w w:val="80"/>
                <w:sz w:val="16"/>
              </w:rPr>
              <w:t>bienes muebles e </w:t>
            </w:r>
            <w:r>
              <w:rPr>
                <w:color w:val="231F20"/>
                <w:w w:val="85"/>
                <w:sz w:val="16"/>
              </w:rPr>
              <w:t>inmueble</w:t>
            </w:r>
          </w:p>
        </w:tc>
        <w:tc>
          <w:tcPr>
            <w:tcW w:w="960" w:type="dxa"/>
          </w:tcPr>
          <w:p>
            <w:pPr>
              <w:pStyle w:val="TableParagraph"/>
              <w:spacing w:line="163" w:lineRule="exact"/>
              <w:ind w:left="102"/>
              <w:rPr>
                <w:sz w:val="16"/>
              </w:rPr>
            </w:pPr>
            <w:r>
              <w:rPr>
                <w:color w:val="231F20"/>
                <w:w w:val="85"/>
                <w:sz w:val="16"/>
              </w:rPr>
              <w:t>1,576,436</w:t>
            </w:r>
          </w:p>
        </w:tc>
        <w:tc>
          <w:tcPr>
            <w:tcW w:w="983" w:type="dxa"/>
          </w:tcPr>
          <w:p>
            <w:pPr>
              <w:pStyle w:val="TableParagraph"/>
              <w:spacing w:line="163" w:lineRule="exact"/>
              <w:ind w:left="102"/>
              <w:rPr>
                <w:sz w:val="16"/>
              </w:rPr>
            </w:pPr>
            <w:r>
              <w:rPr>
                <w:color w:val="231F20"/>
                <w:w w:val="85"/>
                <w:sz w:val="16"/>
              </w:rPr>
              <w:t>8,550,602</w:t>
            </w:r>
          </w:p>
        </w:tc>
        <w:tc>
          <w:tcPr>
            <w:tcW w:w="966" w:type="dxa"/>
          </w:tcPr>
          <w:p>
            <w:pPr>
              <w:pStyle w:val="TableParagraph"/>
              <w:spacing w:line="163" w:lineRule="exact"/>
              <w:ind w:left="102"/>
              <w:rPr>
                <w:sz w:val="16"/>
              </w:rPr>
            </w:pPr>
            <w:r>
              <w:rPr>
                <w:color w:val="231F20"/>
                <w:w w:val="85"/>
                <w:sz w:val="16"/>
              </w:rPr>
              <w:t>11,858,203</w:t>
            </w:r>
          </w:p>
        </w:tc>
        <w:tc>
          <w:tcPr>
            <w:tcW w:w="855" w:type="dxa"/>
          </w:tcPr>
          <w:p>
            <w:pPr>
              <w:pStyle w:val="TableParagraph"/>
              <w:spacing w:line="163" w:lineRule="exact"/>
              <w:ind w:left="102"/>
              <w:rPr>
                <w:sz w:val="16"/>
              </w:rPr>
            </w:pPr>
            <w:r>
              <w:rPr>
                <w:color w:val="231F20"/>
                <w:w w:val="85"/>
                <w:sz w:val="16"/>
              </w:rPr>
              <w:t>5,073,001</w:t>
            </w:r>
          </w:p>
        </w:tc>
        <w:tc>
          <w:tcPr>
            <w:tcW w:w="895" w:type="dxa"/>
          </w:tcPr>
          <w:p>
            <w:pPr>
              <w:pStyle w:val="TableParagraph"/>
              <w:spacing w:line="163" w:lineRule="exact"/>
              <w:ind w:left="102"/>
              <w:rPr>
                <w:sz w:val="16"/>
              </w:rPr>
            </w:pPr>
            <w:r>
              <w:rPr>
                <w:color w:val="231F20"/>
                <w:w w:val="85"/>
                <w:sz w:val="16"/>
              </w:rPr>
              <w:t>3,887,484</w:t>
            </w:r>
          </w:p>
        </w:tc>
        <w:tc>
          <w:tcPr>
            <w:tcW w:w="893" w:type="dxa"/>
          </w:tcPr>
          <w:p>
            <w:pPr>
              <w:pStyle w:val="TableParagraph"/>
              <w:spacing w:line="163" w:lineRule="exact"/>
              <w:ind w:left="102"/>
              <w:rPr>
                <w:sz w:val="16"/>
              </w:rPr>
            </w:pPr>
            <w:r>
              <w:rPr>
                <w:color w:val="231F20"/>
                <w:w w:val="85"/>
                <w:sz w:val="16"/>
              </w:rPr>
              <w:t>2,220,859</w:t>
            </w:r>
          </w:p>
        </w:tc>
      </w:tr>
      <w:tr>
        <w:trPr>
          <w:trHeight w:val="322" w:hRule="exact"/>
        </w:trPr>
        <w:tc>
          <w:tcPr>
            <w:tcW w:w="1242" w:type="dxa"/>
          </w:tcPr>
          <w:p>
            <w:pPr>
              <w:pStyle w:val="TableParagraph"/>
              <w:spacing w:line="161" w:lineRule="exact"/>
              <w:ind w:left="102"/>
              <w:rPr>
                <w:sz w:val="16"/>
              </w:rPr>
            </w:pPr>
            <w:r>
              <w:rPr>
                <w:color w:val="231F20"/>
                <w:w w:val="75"/>
                <w:sz w:val="16"/>
              </w:rPr>
              <w:t>Obras públicas y</w:t>
            </w:r>
          </w:p>
          <w:p>
            <w:pPr>
              <w:pStyle w:val="TableParagraph"/>
              <w:spacing w:line="191" w:lineRule="exact"/>
              <w:ind w:left="102"/>
              <w:rPr>
                <w:sz w:val="16"/>
              </w:rPr>
            </w:pPr>
            <w:r>
              <w:rPr>
                <w:color w:val="231F20"/>
                <w:w w:val="75"/>
                <w:sz w:val="16"/>
              </w:rPr>
              <w:t>acciones sociales</w:t>
            </w:r>
          </w:p>
        </w:tc>
        <w:tc>
          <w:tcPr>
            <w:tcW w:w="960" w:type="dxa"/>
          </w:tcPr>
          <w:p>
            <w:pPr>
              <w:pStyle w:val="TableParagraph"/>
              <w:spacing w:line="163" w:lineRule="exact"/>
              <w:ind w:left="102"/>
              <w:rPr>
                <w:sz w:val="16"/>
              </w:rPr>
            </w:pPr>
            <w:r>
              <w:rPr>
                <w:color w:val="231F20"/>
                <w:w w:val="85"/>
                <w:sz w:val="16"/>
              </w:rPr>
              <w:t>20,183,521</w:t>
            </w:r>
          </w:p>
        </w:tc>
        <w:tc>
          <w:tcPr>
            <w:tcW w:w="983" w:type="dxa"/>
          </w:tcPr>
          <w:p>
            <w:pPr>
              <w:pStyle w:val="TableParagraph"/>
              <w:spacing w:line="163" w:lineRule="exact"/>
              <w:ind w:left="102"/>
              <w:rPr>
                <w:sz w:val="16"/>
              </w:rPr>
            </w:pPr>
            <w:r>
              <w:rPr>
                <w:color w:val="231F20"/>
                <w:w w:val="85"/>
                <w:sz w:val="16"/>
              </w:rPr>
              <w:t>30,208,976</w:t>
            </w:r>
          </w:p>
        </w:tc>
        <w:tc>
          <w:tcPr>
            <w:tcW w:w="966" w:type="dxa"/>
          </w:tcPr>
          <w:p>
            <w:pPr>
              <w:pStyle w:val="TableParagraph"/>
              <w:spacing w:line="163" w:lineRule="exact"/>
              <w:ind w:left="101"/>
              <w:rPr>
                <w:sz w:val="16"/>
              </w:rPr>
            </w:pPr>
            <w:r>
              <w:rPr>
                <w:color w:val="231F20"/>
                <w:w w:val="85"/>
                <w:sz w:val="16"/>
              </w:rPr>
              <w:t>85,728,477</w:t>
            </w:r>
          </w:p>
        </w:tc>
        <w:tc>
          <w:tcPr>
            <w:tcW w:w="855" w:type="dxa"/>
          </w:tcPr>
          <w:p>
            <w:pPr>
              <w:pStyle w:val="TableParagraph"/>
              <w:spacing w:line="163" w:lineRule="exact"/>
              <w:ind w:left="101"/>
              <w:rPr>
                <w:sz w:val="16"/>
              </w:rPr>
            </w:pPr>
            <w:r>
              <w:rPr>
                <w:color w:val="231F20"/>
                <w:w w:val="85"/>
                <w:sz w:val="16"/>
              </w:rPr>
              <w:t>69,028,955</w:t>
            </w:r>
          </w:p>
        </w:tc>
        <w:tc>
          <w:tcPr>
            <w:tcW w:w="895" w:type="dxa"/>
          </w:tcPr>
          <w:p>
            <w:pPr>
              <w:pStyle w:val="TableParagraph"/>
              <w:spacing w:line="163" w:lineRule="exact"/>
              <w:ind w:left="101"/>
              <w:rPr>
                <w:sz w:val="16"/>
              </w:rPr>
            </w:pPr>
            <w:r>
              <w:rPr>
                <w:color w:val="231F20"/>
                <w:w w:val="85"/>
                <w:sz w:val="16"/>
              </w:rPr>
              <w:t>29,315,020</w:t>
            </w:r>
          </w:p>
        </w:tc>
        <w:tc>
          <w:tcPr>
            <w:tcW w:w="893" w:type="dxa"/>
          </w:tcPr>
          <w:p>
            <w:pPr>
              <w:pStyle w:val="TableParagraph"/>
              <w:spacing w:line="163" w:lineRule="exact"/>
              <w:ind w:left="101"/>
              <w:rPr>
                <w:sz w:val="16"/>
              </w:rPr>
            </w:pPr>
            <w:r>
              <w:rPr>
                <w:color w:val="231F20"/>
                <w:w w:val="85"/>
                <w:sz w:val="16"/>
              </w:rPr>
              <w:t>42,126,821</w:t>
            </w:r>
          </w:p>
        </w:tc>
      </w:tr>
      <w:tr>
        <w:trPr>
          <w:trHeight w:val="130" w:hRule="exact"/>
        </w:trPr>
        <w:tc>
          <w:tcPr>
            <w:tcW w:w="1242" w:type="dxa"/>
          </w:tcPr>
          <w:p>
            <w:pPr>
              <w:pStyle w:val="TableParagraph"/>
              <w:spacing w:line="160" w:lineRule="exact"/>
              <w:ind w:left="101"/>
              <w:rPr>
                <w:sz w:val="16"/>
              </w:rPr>
            </w:pPr>
            <w:r>
              <w:rPr>
                <w:color w:val="231F20"/>
                <w:w w:val="75"/>
                <w:sz w:val="16"/>
              </w:rPr>
              <w:t>Deuda pública</w:t>
            </w:r>
          </w:p>
        </w:tc>
        <w:tc>
          <w:tcPr>
            <w:tcW w:w="960" w:type="dxa"/>
          </w:tcPr>
          <w:p>
            <w:pPr>
              <w:pStyle w:val="TableParagraph"/>
              <w:spacing w:line="160" w:lineRule="exact"/>
              <w:ind w:left="101"/>
              <w:rPr>
                <w:sz w:val="16"/>
              </w:rPr>
            </w:pPr>
            <w:r>
              <w:rPr>
                <w:color w:val="231F20"/>
                <w:w w:val="85"/>
                <w:sz w:val="16"/>
              </w:rPr>
              <w:t>18,803,243</w:t>
            </w:r>
          </w:p>
        </w:tc>
        <w:tc>
          <w:tcPr>
            <w:tcW w:w="983" w:type="dxa"/>
          </w:tcPr>
          <w:p>
            <w:pPr>
              <w:pStyle w:val="TableParagraph"/>
              <w:spacing w:line="160" w:lineRule="exact"/>
              <w:ind w:left="101"/>
              <w:rPr>
                <w:sz w:val="16"/>
              </w:rPr>
            </w:pPr>
            <w:r>
              <w:rPr>
                <w:color w:val="231F20"/>
                <w:w w:val="85"/>
                <w:sz w:val="16"/>
              </w:rPr>
              <w:t>339,642</w:t>
            </w:r>
          </w:p>
        </w:tc>
        <w:tc>
          <w:tcPr>
            <w:tcW w:w="966" w:type="dxa"/>
          </w:tcPr>
          <w:p>
            <w:pPr>
              <w:pStyle w:val="TableParagraph"/>
              <w:spacing w:line="160" w:lineRule="exact"/>
              <w:ind w:left="101"/>
              <w:rPr>
                <w:sz w:val="16"/>
              </w:rPr>
            </w:pPr>
            <w:r>
              <w:rPr>
                <w:color w:val="231F20"/>
                <w:w w:val="85"/>
                <w:sz w:val="16"/>
              </w:rPr>
              <w:t>4,260,984</w:t>
            </w:r>
          </w:p>
        </w:tc>
        <w:tc>
          <w:tcPr>
            <w:tcW w:w="855" w:type="dxa"/>
          </w:tcPr>
          <w:p>
            <w:pPr>
              <w:pStyle w:val="TableParagraph"/>
              <w:spacing w:line="160" w:lineRule="exact"/>
              <w:ind w:left="101"/>
              <w:rPr>
                <w:sz w:val="16"/>
              </w:rPr>
            </w:pPr>
            <w:r>
              <w:rPr>
                <w:color w:val="231F20"/>
                <w:w w:val="85"/>
                <w:sz w:val="16"/>
              </w:rPr>
              <w:t>1,012,826</w:t>
            </w:r>
          </w:p>
        </w:tc>
        <w:tc>
          <w:tcPr>
            <w:tcW w:w="895" w:type="dxa"/>
          </w:tcPr>
          <w:p>
            <w:pPr>
              <w:pStyle w:val="TableParagraph"/>
              <w:spacing w:line="160" w:lineRule="exact"/>
              <w:ind w:left="101"/>
              <w:rPr>
                <w:sz w:val="16"/>
              </w:rPr>
            </w:pPr>
            <w:r>
              <w:rPr>
                <w:color w:val="231F20"/>
                <w:w w:val="85"/>
                <w:sz w:val="16"/>
              </w:rPr>
              <w:t>55,249,433</w:t>
            </w:r>
          </w:p>
        </w:tc>
        <w:tc>
          <w:tcPr>
            <w:tcW w:w="893" w:type="dxa"/>
          </w:tcPr>
          <w:p>
            <w:pPr>
              <w:pStyle w:val="TableParagraph"/>
              <w:spacing w:line="160" w:lineRule="exact"/>
              <w:ind w:left="101"/>
              <w:rPr>
                <w:sz w:val="16"/>
              </w:rPr>
            </w:pPr>
            <w:r>
              <w:rPr>
                <w:color w:val="231F20"/>
                <w:w w:val="85"/>
                <w:sz w:val="16"/>
              </w:rPr>
              <w:t>93,393,766</w:t>
            </w:r>
          </w:p>
        </w:tc>
      </w:tr>
    </w:tbl>
    <w:p>
      <w:pPr>
        <w:pStyle w:val="BodyText"/>
        <w:spacing w:before="11"/>
        <w:rPr>
          <w:b/>
          <w:sz w:val="23"/>
        </w:rPr>
      </w:pPr>
    </w:p>
    <w:p>
      <w:pPr>
        <w:spacing w:before="74"/>
        <w:ind w:left="4887" w:right="-2" w:firstLine="0"/>
        <w:jc w:val="left"/>
        <w:rPr>
          <w:rFonts w:ascii="Calibri" w:hAnsi="Calibri"/>
          <w:sz w:val="16"/>
        </w:rPr>
      </w:pPr>
      <w:r>
        <w:rPr>
          <w:rFonts w:ascii="Calibri" w:hAnsi="Calibri"/>
          <w:color w:val="231F20"/>
          <w:sz w:val="16"/>
        </w:rPr>
        <w:t>Fuente: Elaboración propia según datos de INEGI.</w:t>
      </w:r>
    </w:p>
    <w:p>
      <w:pPr>
        <w:pStyle w:val="BodyText"/>
        <w:rPr>
          <w:rFonts w:ascii="Calibri"/>
          <w:sz w:val="16"/>
        </w:rPr>
      </w:pPr>
    </w:p>
    <w:p>
      <w:pPr>
        <w:pStyle w:val="BodyText"/>
        <w:spacing w:before="9"/>
        <w:rPr>
          <w:rFonts w:ascii="Calibri"/>
          <w:sz w:val="12"/>
        </w:rPr>
      </w:pPr>
    </w:p>
    <w:p>
      <w:pPr>
        <w:pStyle w:val="BodyText"/>
        <w:spacing w:line="285" w:lineRule="auto" w:before="1"/>
        <w:ind w:left="110" w:right="106"/>
        <w:jc w:val="both"/>
      </w:pPr>
      <w:r>
        <w:rPr>
          <w:color w:val="231F20"/>
          <w:w w:val="105"/>
        </w:rPr>
        <w:t>Podemos</w:t>
      </w:r>
      <w:r>
        <w:rPr>
          <w:color w:val="231F20"/>
          <w:spacing w:val="-17"/>
          <w:w w:val="105"/>
        </w:rPr>
        <w:t> </w:t>
      </w:r>
      <w:r>
        <w:rPr>
          <w:color w:val="231F20"/>
          <w:w w:val="105"/>
        </w:rPr>
        <w:t>destacar</w:t>
      </w:r>
      <w:r>
        <w:rPr>
          <w:color w:val="231F20"/>
          <w:spacing w:val="-17"/>
          <w:w w:val="105"/>
        </w:rPr>
        <w:t> </w:t>
      </w:r>
      <w:r>
        <w:rPr>
          <w:color w:val="231F20"/>
          <w:w w:val="105"/>
        </w:rPr>
        <w:t>varios</w:t>
      </w:r>
      <w:r>
        <w:rPr>
          <w:color w:val="231F20"/>
          <w:spacing w:val="-17"/>
          <w:w w:val="105"/>
        </w:rPr>
        <w:t> </w:t>
      </w:r>
      <w:r>
        <w:rPr>
          <w:color w:val="231F20"/>
          <w:w w:val="105"/>
        </w:rPr>
        <w:t>aspectos</w:t>
      </w:r>
      <w:r>
        <w:rPr>
          <w:color w:val="231F20"/>
          <w:spacing w:val="-17"/>
          <w:w w:val="105"/>
        </w:rPr>
        <w:t> </w:t>
      </w:r>
      <w:r>
        <w:rPr>
          <w:color w:val="231F20"/>
          <w:w w:val="105"/>
        </w:rPr>
        <w:t>del</w:t>
      </w:r>
      <w:r>
        <w:rPr>
          <w:color w:val="231F20"/>
          <w:spacing w:val="-17"/>
          <w:w w:val="105"/>
        </w:rPr>
        <w:t> </w:t>
      </w:r>
      <w:r>
        <w:rPr>
          <w:color w:val="231F20"/>
          <w:w w:val="105"/>
        </w:rPr>
        <w:t>cuadro</w:t>
      </w:r>
      <w:r>
        <w:rPr>
          <w:color w:val="231F20"/>
          <w:spacing w:val="-17"/>
          <w:w w:val="105"/>
        </w:rPr>
        <w:t> </w:t>
      </w:r>
      <w:r>
        <w:rPr>
          <w:color w:val="231F20"/>
          <w:w w:val="105"/>
        </w:rPr>
        <w:t>anterior.</w:t>
      </w:r>
      <w:r>
        <w:rPr>
          <w:color w:val="231F20"/>
          <w:spacing w:val="-17"/>
          <w:w w:val="105"/>
        </w:rPr>
        <w:t> </w:t>
      </w:r>
      <w:r>
        <w:rPr>
          <w:color w:val="231F20"/>
          <w:w w:val="105"/>
        </w:rPr>
        <w:t>Primero:</w:t>
      </w:r>
      <w:r>
        <w:rPr>
          <w:color w:val="231F20"/>
          <w:spacing w:val="-17"/>
          <w:w w:val="105"/>
        </w:rPr>
        <w:t> </w:t>
      </w:r>
      <w:r>
        <w:rPr>
          <w:color w:val="231F20"/>
          <w:w w:val="105"/>
        </w:rPr>
        <w:t>el</w:t>
      </w:r>
      <w:r>
        <w:rPr>
          <w:color w:val="231F20"/>
          <w:spacing w:val="-17"/>
          <w:w w:val="105"/>
        </w:rPr>
        <w:t> </w:t>
      </w:r>
      <w:r>
        <w:rPr>
          <w:color w:val="231F20"/>
          <w:w w:val="105"/>
        </w:rPr>
        <w:t>año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gasta más</w:t>
      </w:r>
      <w:r>
        <w:rPr>
          <w:color w:val="231F20"/>
          <w:spacing w:val="-7"/>
          <w:w w:val="105"/>
        </w:rPr>
        <w:t> </w:t>
      </w:r>
      <w:r>
        <w:rPr>
          <w:color w:val="231F20"/>
          <w:w w:val="105"/>
        </w:rPr>
        <w:t>en</w:t>
      </w:r>
      <w:r>
        <w:rPr>
          <w:color w:val="231F20"/>
          <w:spacing w:val="-7"/>
          <w:w w:val="105"/>
        </w:rPr>
        <w:t> </w:t>
      </w:r>
      <w:r>
        <w:rPr>
          <w:color w:val="231F20"/>
          <w:w w:val="105"/>
        </w:rPr>
        <w:t>servicios</w:t>
      </w:r>
      <w:r>
        <w:rPr>
          <w:color w:val="231F20"/>
          <w:spacing w:val="-7"/>
          <w:w w:val="105"/>
        </w:rPr>
        <w:t> </w:t>
      </w:r>
      <w:r>
        <w:rPr>
          <w:color w:val="231F20"/>
          <w:w w:val="105"/>
        </w:rPr>
        <w:t>personales</w:t>
      </w:r>
      <w:r>
        <w:rPr>
          <w:color w:val="231F20"/>
          <w:spacing w:val="-7"/>
          <w:w w:val="105"/>
        </w:rPr>
        <w:t> </w:t>
      </w:r>
      <w:r>
        <w:rPr>
          <w:color w:val="231F20"/>
          <w:w w:val="105"/>
        </w:rPr>
        <w:t>es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spacing w:val="3"/>
          <w:w w:val="105"/>
        </w:rPr>
        <w:t>2004,</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cual</w:t>
      </w:r>
      <w:r>
        <w:rPr>
          <w:color w:val="231F20"/>
          <w:spacing w:val="-7"/>
          <w:w w:val="105"/>
        </w:rPr>
        <w:t> </w:t>
      </w:r>
      <w:r>
        <w:rPr>
          <w:color w:val="231F20"/>
          <w:w w:val="105"/>
        </w:rPr>
        <w:t>se</w:t>
      </w:r>
      <w:r>
        <w:rPr>
          <w:color w:val="231F20"/>
          <w:spacing w:val="-7"/>
          <w:w w:val="105"/>
        </w:rPr>
        <w:t> </w:t>
      </w:r>
      <w:r>
        <w:rPr>
          <w:color w:val="231F20"/>
          <w:w w:val="105"/>
        </w:rPr>
        <w:t>encontraba</w:t>
      </w:r>
      <w:r>
        <w:rPr>
          <w:color w:val="231F20"/>
          <w:spacing w:val="-7"/>
          <w:w w:val="105"/>
        </w:rPr>
        <w:t> </w:t>
      </w:r>
      <w:r>
        <w:rPr>
          <w:color w:val="231F20"/>
          <w:w w:val="105"/>
        </w:rPr>
        <w:t>en</w:t>
      </w:r>
      <w:r>
        <w:rPr>
          <w:color w:val="231F20"/>
          <w:spacing w:val="-7"/>
          <w:w w:val="105"/>
        </w:rPr>
        <w:t> </w:t>
      </w:r>
      <w:r>
        <w:rPr>
          <w:color w:val="231F20"/>
          <w:w w:val="105"/>
        </w:rPr>
        <w:t>funciones</w:t>
      </w:r>
      <w:r>
        <w:rPr>
          <w:color w:val="231F20"/>
          <w:spacing w:val="-7"/>
          <w:w w:val="105"/>
        </w:rPr>
        <w:t> </w:t>
      </w:r>
      <w:r>
        <w:rPr>
          <w:color w:val="231F20"/>
          <w:w w:val="105"/>
        </w:rPr>
        <w:t>el</w:t>
      </w:r>
      <w:r>
        <w:rPr>
          <w:color w:val="231F20"/>
          <w:spacing w:val="-7"/>
          <w:w w:val="105"/>
        </w:rPr>
        <w:t> </w:t>
      </w:r>
      <w:r>
        <w:rPr>
          <w:color w:val="231F20"/>
          <w:w w:val="105"/>
        </w:rPr>
        <w:t>pri- mer</w:t>
      </w:r>
      <w:r>
        <w:rPr>
          <w:color w:val="231F20"/>
          <w:spacing w:val="-16"/>
          <w:w w:val="105"/>
        </w:rPr>
        <w:t> </w:t>
      </w:r>
      <w:r>
        <w:rPr>
          <w:color w:val="231F20"/>
          <w:w w:val="105"/>
        </w:rPr>
        <w:t>gobierno</w:t>
      </w:r>
      <w:r>
        <w:rPr>
          <w:color w:val="231F20"/>
          <w:spacing w:val="-16"/>
          <w:w w:val="105"/>
        </w:rPr>
        <w:t> </w:t>
      </w:r>
      <w:r>
        <w:rPr>
          <w:color w:val="231F20"/>
          <w:w w:val="105"/>
        </w:rPr>
        <w:t>perredista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historia</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w w:val="105"/>
        </w:rPr>
        <w:t>de</w:t>
      </w:r>
      <w:r>
        <w:rPr>
          <w:color w:val="231F20"/>
          <w:spacing w:val="-16"/>
          <w:w w:val="105"/>
        </w:rPr>
        <w:t> </w:t>
      </w:r>
      <w:r>
        <w:rPr>
          <w:color w:val="231F20"/>
          <w:w w:val="105"/>
        </w:rPr>
        <w:t>Chalco,</w:t>
      </w:r>
      <w:r>
        <w:rPr>
          <w:color w:val="231F20"/>
          <w:spacing w:val="-16"/>
          <w:w w:val="105"/>
        </w:rPr>
        <w:t> </w:t>
      </w:r>
      <w:r>
        <w:rPr>
          <w:color w:val="231F20"/>
          <w:w w:val="105"/>
        </w:rPr>
        <w:t>el</w:t>
      </w:r>
      <w:r>
        <w:rPr>
          <w:color w:val="231F20"/>
          <w:spacing w:val="-16"/>
          <w:w w:val="105"/>
        </w:rPr>
        <w:t> </w:t>
      </w:r>
      <w:r>
        <w:rPr>
          <w:color w:val="231F20"/>
          <w:w w:val="105"/>
        </w:rPr>
        <w:t>año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gasta menos</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rubro</w:t>
      </w:r>
      <w:r>
        <w:rPr>
          <w:color w:val="231F20"/>
          <w:spacing w:val="-4"/>
          <w:w w:val="105"/>
        </w:rPr>
        <w:t> </w:t>
      </w:r>
      <w:r>
        <w:rPr>
          <w:color w:val="231F20"/>
          <w:w w:val="105"/>
        </w:rPr>
        <w:t>es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spacing w:val="4"/>
          <w:w w:val="105"/>
        </w:rPr>
        <w:t>2000;</w:t>
      </w:r>
      <w:r>
        <w:rPr>
          <w:color w:val="231F20"/>
          <w:spacing w:val="-4"/>
          <w:w w:val="105"/>
        </w:rPr>
        <w:t> </w:t>
      </w:r>
      <w:r>
        <w:rPr>
          <w:color w:val="231F20"/>
          <w:w w:val="105"/>
        </w:rPr>
        <w:t>el</w:t>
      </w:r>
      <w:r>
        <w:rPr>
          <w:color w:val="231F20"/>
          <w:spacing w:val="-4"/>
          <w:w w:val="105"/>
        </w:rPr>
        <w:t> </w:t>
      </w:r>
      <w:r>
        <w:rPr>
          <w:color w:val="231F20"/>
          <w:w w:val="105"/>
        </w:rPr>
        <w:t>año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invierte</w:t>
      </w:r>
      <w:r>
        <w:rPr>
          <w:color w:val="231F20"/>
          <w:spacing w:val="-4"/>
          <w:w w:val="105"/>
        </w:rPr>
        <w:t> </w:t>
      </w:r>
      <w:r>
        <w:rPr>
          <w:color w:val="231F20"/>
          <w:w w:val="105"/>
        </w:rPr>
        <w:t>más</w:t>
      </w:r>
      <w:r>
        <w:rPr>
          <w:color w:val="231F20"/>
          <w:spacing w:val="-4"/>
          <w:w w:val="105"/>
        </w:rPr>
        <w:t> </w:t>
      </w:r>
      <w:r>
        <w:rPr>
          <w:color w:val="231F20"/>
          <w:w w:val="105"/>
        </w:rPr>
        <w:t>en</w:t>
      </w:r>
      <w:r>
        <w:rPr>
          <w:color w:val="231F20"/>
          <w:spacing w:val="-4"/>
          <w:w w:val="105"/>
        </w:rPr>
        <w:t> </w:t>
      </w:r>
      <w:r>
        <w:rPr>
          <w:color w:val="231F20"/>
          <w:w w:val="105"/>
        </w:rPr>
        <w:t>obras</w:t>
      </w:r>
      <w:r>
        <w:rPr>
          <w:color w:val="231F20"/>
          <w:spacing w:val="-4"/>
          <w:w w:val="105"/>
        </w:rPr>
        <w:t> </w:t>
      </w:r>
      <w:r>
        <w:rPr>
          <w:color w:val="231F20"/>
          <w:w w:val="105"/>
        </w:rPr>
        <w:t>públicas</w:t>
      </w:r>
      <w:r>
        <w:rPr>
          <w:color w:val="231F20"/>
          <w:spacing w:val="-4"/>
          <w:w w:val="105"/>
        </w:rPr>
        <w:t> </w:t>
      </w:r>
      <w:r>
        <w:rPr>
          <w:color w:val="231F20"/>
          <w:w w:val="105"/>
        </w:rPr>
        <w:t>y acciones</w:t>
      </w:r>
      <w:r>
        <w:rPr>
          <w:color w:val="231F20"/>
          <w:spacing w:val="-5"/>
          <w:w w:val="105"/>
        </w:rPr>
        <w:t> </w:t>
      </w:r>
      <w:r>
        <w:rPr>
          <w:color w:val="231F20"/>
          <w:w w:val="105"/>
        </w:rPr>
        <w:t>sociales</w:t>
      </w:r>
      <w:r>
        <w:rPr>
          <w:color w:val="231F20"/>
          <w:spacing w:val="-5"/>
          <w:w w:val="105"/>
        </w:rPr>
        <w:t> </w:t>
      </w:r>
      <w:r>
        <w:rPr>
          <w:color w:val="231F20"/>
          <w:w w:val="105"/>
        </w:rPr>
        <w:t>es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spacing w:val="2"/>
          <w:w w:val="105"/>
        </w:rPr>
        <w:t>2002</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invierte</w:t>
      </w:r>
      <w:r>
        <w:rPr>
          <w:color w:val="231F20"/>
          <w:spacing w:val="-5"/>
          <w:w w:val="105"/>
        </w:rPr>
        <w:t> </w:t>
      </w:r>
      <w:r>
        <w:rPr>
          <w:color w:val="231F20"/>
          <w:w w:val="105"/>
        </w:rPr>
        <w:t>menos</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rubro</w:t>
      </w:r>
      <w:r>
        <w:rPr>
          <w:color w:val="231F20"/>
          <w:spacing w:val="-5"/>
          <w:w w:val="105"/>
        </w:rPr>
        <w:t> </w:t>
      </w:r>
      <w:r>
        <w:rPr>
          <w:color w:val="231F20"/>
          <w:w w:val="105"/>
        </w:rPr>
        <w:t>es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año </w:t>
      </w:r>
      <w:r>
        <w:rPr>
          <w:color w:val="231F20"/>
          <w:spacing w:val="4"/>
          <w:w w:val="105"/>
        </w:rPr>
        <w:t>2000</w:t>
      </w:r>
      <w:r>
        <w:rPr>
          <w:color w:val="231F20"/>
          <w:spacing w:val="-11"/>
          <w:w w:val="105"/>
        </w:rPr>
        <w:t> </w:t>
      </w:r>
      <w:r>
        <w:rPr>
          <w:color w:val="231F20"/>
          <w:w w:val="105"/>
        </w:rPr>
        <w:t>ambos</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gobierno</w:t>
      </w:r>
      <w:r>
        <w:rPr>
          <w:color w:val="231F20"/>
          <w:spacing w:val="-11"/>
          <w:w w:val="105"/>
        </w:rPr>
        <w:t> </w:t>
      </w:r>
      <w:r>
        <w:rPr>
          <w:color w:val="231F20"/>
          <w:w w:val="105"/>
        </w:rPr>
        <w:t>priísta.</w:t>
      </w:r>
    </w:p>
    <w:p>
      <w:pPr>
        <w:pStyle w:val="BodyText"/>
        <w:spacing w:before="1"/>
        <w:rPr>
          <w:sz w:val="26"/>
        </w:rPr>
      </w:pPr>
    </w:p>
    <w:p>
      <w:pPr>
        <w:pStyle w:val="BodyText"/>
        <w:spacing w:line="285" w:lineRule="auto"/>
        <w:ind w:left="110" w:right="107"/>
        <w:jc w:val="both"/>
      </w:pPr>
      <w:r>
        <w:rPr>
          <w:color w:val="231F20"/>
          <w:w w:val="105"/>
        </w:rPr>
        <w:t>Cabe destacar que durante el año 2004 y 2005, la primera administración perredista destina el mayor porcentaje para deuda pública.</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siguiente</w:t>
      </w:r>
      <w:r>
        <w:rPr>
          <w:color w:val="231F20"/>
          <w:spacing w:val="-10"/>
          <w:w w:val="105"/>
        </w:rPr>
        <w:t> </w:t>
      </w:r>
      <w:r>
        <w:rPr>
          <w:color w:val="231F20"/>
          <w:w w:val="105"/>
        </w:rPr>
        <w:t>gráfica</w:t>
      </w:r>
      <w:r>
        <w:rPr>
          <w:color w:val="231F20"/>
          <w:spacing w:val="-10"/>
          <w:w w:val="105"/>
        </w:rPr>
        <w:t> </w:t>
      </w:r>
      <w:r>
        <w:rPr>
          <w:color w:val="231F20"/>
          <w:w w:val="105"/>
        </w:rPr>
        <w:t>se</w:t>
      </w:r>
      <w:r>
        <w:rPr>
          <w:color w:val="231F20"/>
          <w:spacing w:val="-10"/>
          <w:w w:val="105"/>
        </w:rPr>
        <w:t> </w:t>
      </w:r>
      <w:r>
        <w:rPr>
          <w:color w:val="231F20"/>
          <w:w w:val="105"/>
        </w:rPr>
        <w:t>muestra</w:t>
      </w:r>
      <w:r>
        <w:rPr>
          <w:color w:val="231F20"/>
          <w:spacing w:val="-10"/>
          <w:w w:val="105"/>
        </w:rPr>
        <w:t> </w:t>
      </w:r>
      <w:r>
        <w:rPr>
          <w:color w:val="231F20"/>
          <w:w w:val="105"/>
        </w:rPr>
        <w:t>el</w:t>
      </w:r>
      <w:r>
        <w:rPr>
          <w:color w:val="231F20"/>
          <w:spacing w:val="-10"/>
          <w:w w:val="105"/>
        </w:rPr>
        <w:t> </w:t>
      </w:r>
      <w:r>
        <w:rPr>
          <w:color w:val="231F20"/>
          <w:w w:val="105"/>
        </w:rPr>
        <w:t>egreso</w:t>
      </w:r>
      <w:r>
        <w:rPr>
          <w:color w:val="231F20"/>
          <w:spacing w:val="-10"/>
          <w:w w:val="105"/>
        </w:rPr>
        <w:t> </w:t>
      </w:r>
      <w:r>
        <w:rPr>
          <w:color w:val="231F20"/>
          <w:w w:val="105"/>
        </w:rPr>
        <w:t>ejercido</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municipio</w:t>
      </w:r>
      <w:r>
        <w:rPr>
          <w:color w:val="231F20"/>
          <w:spacing w:val="-10"/>
          <w:w w:val="105"/>
        </w:rPr>
        <w:t> </w:t>
      </w:r>
      <w:r>
        <w:rPr>
          <w:color w:val="231F20"/>
          <w:w w:val="105"/>
        </w:rPr>
        <w:t>de</w:t>
      </w:r>
      <w:r>
        <w:rPr>
          <w:color w:val="231F20"/>
          <w:spacing w:val="-10"/>
          <w:w w:val="105"/>
        </w:rPr>
        <w:t> </w:t>
      </w:r>
      <w:r>
        <w:rPr>
          <w:color w:val="231F20"/>
          <w:w w:val="105"/>
        </w:rPr>
        <w:t>Chalco</w:t>
      </w:r>
      <w:r>
        <w:rPr>
          <w:color w:val="231F20"/>
          <w:spacing w:val="-10"/>
          <w:w w:val="105"/>
        </w:rPr>
        <w:t> </w:t>
      </w:r>
      <w:r>
        <w:rPr>
          <w:color w:val="231F20"/>
          <w:w w:val="105"/>
        </w:rPr>
        <w:t>en</w:t>
      </w:r>
      <w:r>
        <w:rPr>
          <w:color w:val="231F20"/>
          <w:spacing w:val="-10"/>
          <w:w w:val="105"/>
        </w:rPr>
        <w:t> </w:t>
      </w:r>
      <w:r>
        <w:rPr>
          <w:color w:val="231F20"/>
          <w:w w:val="105"/>
        </w:rPr>
        <w:t>ser- vicios</w:t>
      </w:r>
      <w:r>
        <w:rPr>
          <w:color w:val="231F20"/>
          <w:spacing w:val="-20"/>
          <w:w w:val="105"/>
        </w:rPr>
        <w:t> </w:t>
      </w:r>
      <w:r>
        <w:rPr>
          <w:color w:val="231F20"/>
          <w:w w:val="105"/>
        </w:rPr>
        <w:t>personales</w:t>
      </w:r>
      <w:r>
        <w:rPr>
          <w:color w:val="231F20"/>
          <w:spacing w:val="-20"/>
          <w:w w:val="105"/>
        </w:rPr>
        <w:t> </w:t>
      </w:r>
      <w:r>
        <w:rPr>
          <w:color w:val="231F20"/>
          <w:w w:val="105"/>
        </w:rPr>
        <w:t>y</w:t>
      </w:r>
      <w:r>
        <w:rPr>
          <w:color w:val="231F20"/>
          <w:spacing w:val="-20"/>
          <w:w w:val="105"/>
        </w:rPr>
        <w:t> </w:t>
      </w:r>
      <w:r>
        <w:rPr>
          <w:color w:val="231F20"/>
          <w:w w:val="105"/>
        </w:rPr>
        <w:t>obra</w:t>
      </w:r>
      <w:r>
        <w:rPr>
          <w:color w:val="231F20"/>
          <w:spacing w:val="-20"/>
          <w:w w:val="105"/>
        </w:rPr>
        <w:t> </w:t>
      </w:r>
      <w:r>
        <w:rPr>
          <w:color w:val="231F20"/>
          <w:w w:val="105"/>
        </w:rPr>
        <w:t>pública</w:t>
      </w:r>
      <w:r>
        <w:rPr>
          <w:color w:val="231F20"/>
          <w:spacing w:val="-20"/>
          <w:w w:val="105"/>
        </w:rPr>
        <w:t> </w:t>
      </w:r>
      <w:r>
        <w:rPr>
          <w:color w:val="231F20"/>
          <w:w w:val="105"/>
        </w:rPr>
        <w:t>y</w:t>
      </w:r>
      <w:r>
        <w:rPr>
          <w:color w:val="231F20"/>
          <w:spacing w:val="-20"/>
          <w:w w:val="105"/>
        </w:rPr>
        <w:t> </w:t>
      </w:r>
      <w:r>
        <w:rPr>
          <w:color w:val="231F20"/>
          <w:w w:val="105"/>
        </w:rPr>
        <w:t>acciones</w:t>
      </w:r>
      <w:r>
        <w:rPr>
          <w:color w:val="231F20"/>
          <w:spacing w:val="-20"/>
          <w:w w:val="105"/>
        </w:rPr>
        <w:t> </w:t>
      </w:r>
      <w:r>
        <w:rPr>
          <w:color w:val="231F20"/>
          <w:w w:val="105"/>
        </w:rPr>
        <w:t>desde</w:t>
      </w:r>
      <w:r>
        <w:rPr>
          <w:color w:val="231F20"/>
          <w:spacing w:val="-20"/>
          <w:w w:val="105"/>
        </w:rPr>
        <w:t> </w:t>
      </w:r>
      <w:r>
        <w:rPr>
          <w:color w:val="231F20"/>
          <w:w w:val="105"/>
        </w:rPr>
        <w:t>el</w:t>
      </w:r>
      <w:r>
        <w:rPr>
          <w:color w:val="231F20"/>
          <w:spacing w:val="-20"/>
          <w:w w:val="105"/>
        </w:rPr>
        <w:t> </w:t>
      </w:r>
      <w:r>
        <w:rPr>
          <w:color w:val="231F20"/>
          <w:w w:val="105"/>
        </w:rPr>
        <w:t>año</w:t>
      </w:r>
      <w:r>
        <w:rPr>
          <w:color w:val="231F20"/>
          <w:spacing w:val="-20"/>
          <w:w w:val="105"/>
        </w:rPr>
        <w:t> </w:t>
      </w:r>
      <w:r>
        <w:rPr>
          <w:color w:val="231F20"/>
          <w:spacing w:val="4"/>
          <w:w w:val="105"/>
        </w:rPr>
        <w:t>2000</w:t>
      </w:r>
      <w:r>
        <w:rPr>
          <w:color w:val="231F20"/>
          <w:spacing w:val="-20"/>
          <w:w w:val="105"/>
        </w:rPr>
        <w:t> </w:t>
      </w:r>
      <w:r>
        <w:rPr>
          <w:color w:val="231F20"/>
          <w:w w:val="105"/>
        </w:rPr>
        <w:t>hasta</w:t>
      </w:r>
      <w:r>
        <w:rPr>
          <w:color w:val="231F20"/>
          <w:spacing w:val="-20"/>
          <w:w w:val="105"/>
        </w:rPr>
        <w:t> </w:t>
      </w:r>
      <w:r>
        <w:rPr>
          <w:color w:val="231F20"/>
          <w:w w:val="105"/>
        </w:rPr>
        <w:t>el</w:t>
      </w:r>
      <w:r>
        <w:rPr>
          <w:color w:val="231F20"/>
          <w:spacing w:val="-20"/>
          <w:w w:val="105"/>
        </w:rPr>
        <w:t> </w:t>
      </w:r>
      <w:r>
        <w:rPr>
          <w:color w:val="231F20"/>
          <w:spacing w:val="2"/>
          <w:w w:val="105"/>
        </w:rPr>
        <w:t>2005.</w:t>
      </w:r>
    </w:p>
    <w:p>
      <w:pPr>
        <w:spacing w:after="0" w:line="285" w:lineRule="auto"/>
        <w:jc w:val="both"/>
        <w:sectPr>
          <w:pgSz w:w="9640" w:h="12190"/>
          <w:pgMar w:header="0" w:footer="743" w:top="1120" w:bottom="940" w:left="740" w:right="740"/>
        </w:sectPr>
      </w:pPr>
    </w:p>
    <w:p>
      <w:pPr>
        <w:pStyle w:val="Heading5"/>
        <w:spacing w:before="27"/>
        <w:ind w:left="0" w:right="0"/>
        <w:jc w:val="right"/>
      </w:pPr>
      <w:r>
        <w:rPr/>
        <w:pict>
          <v:group style="position:absolute;margin-left:48.393394pt;margin-top:86.458549pt;width:222.25pt;height:110.25pt;mso-position-horizontal-relative:page;mso-position-vertical-relative:paragraph;z-index:-589048" coordorigin="968,1729" coordsize="4445,2205">
            <v:shape style="position:absolute;left:1651;top:2622;width:1415;height:359" coordorigin="1651,2622" coordsize="1415,359" path="m2631,2622l2519,2633,2412,2646,2310,2661,2213,2679,2122,2698,2037,2719,1959,2741,1888,2766,1824,2791,1768,2818,1681,2876,1651,2907,3065,2981,2631,2622xe" filled="true" fillcolor="#f9ed32" stroked="false">
              <v:path arrowok="t"/>
              <v:fill type="solid"/>
            </v:shape>
            <v:shape style="position:absolute;left:2631;top:2604;width:442;height:377" coordorigin="2631,2604" coordsize="442,377" path="m3072,2604l2996,2605,2920,2606,2846,2609,2773,2612,2701,2617,2631,2622,3065,2981,3072,2604xe" filled="true" fillcolor="#00a79d" stroked="false">
              <v:path arrowok="t"/>
              <v:fill type="solid"/>
            </v:shape>
            <v:shape style="position:absolute;left:3065;top:2604;width:529;height:377" coordorigin="3065,2604" coordsize="529,377" path="m3080,2604l3072,2604,3065,2981,3594,2628,3513,2621,3430,2615,3345,2610,3258,2607,3170,2605,3080,2604xe" filled="true" fillcolor="#92278f" stroked="false">
              <v:path arrowok="t"/>
              <v:fill type="solid"/>
            </v:shape>
            <v:shape style="position:absolute;left:3065;top:2628;width:729;height:353" coordorigin="3065,2628" coordsize="729,353" path="m3594,2628l3065,2981,3794,2653,3745,2646,3696,2639,3645,2634,3594,2628xe" filled="true" fillcolor="#da1c5c" stroked="false">
              <v:path arrowok="t"/>
              <v:fill type="solid"/>
            </v:shape>
            <v:shape style="position:absolute;left:3065;top:2653;width:1133;height:328" coordorigin="3065,2653" coordsize="1133,328" path="m3794,2653l3065,2981,4198,2740,4128,2720,4051,2701,3970,2683,3884,2667,3794,2653xe" filled="true" fillcolor="#d1e39b" stroked="false">
              <v:path arrowok="t"/>
              <v:fill type="solid"/>
            </v:shape>
            <v:shape style="position:absolute;left:3065;top:2740;width:1313;height:241" coordorigin="3065,2740" coordsize="1313,241" path="m4198,2740l3065,2981,4378,2810,4338,2792,4295,2774,4249,2757,4198,2740xe" filled="true" fillcolor="#b5d5e5" stroked="false">
              <v:path arrowok="t"/>
              <v:fill type="solid"/>
            </v:shape>
            <v:shape style="position:absolute;left:3065;top:2810;width:1477;height:207" coordorigin="3065,2810" coordsize="1477,207" path="m4378,2810l3065,2981,4538,3017,4541,3007,4542,2997,4542,2987,4531,2940,4499,2895,4448,2851,4378,2810xe" filled="true" fillcolor="#662d91" stroked="false">
              <v:path arrowok="t"/>
              <v:fill type="solid"/>
            </v:shape>
            <v:shape style="position:absolute;left:3065;top:2981;width:1473;height:261" coordorigin="3065,2981" coordsize="1473,261" path="m3065,2981l4176,3241,4283,3208,4370,3173,4436,3137,4486,3099,4519,3059,4538,3017,3065,2981xe" filled="true" fillcolor="#f27292" stroked="false">
              <v:path arrowok="t"/>
              <v:fill type="solid"/>
            </v:shape>
            <v:shape style="position:absolute;left:4176;top:3017;width:366;height:621" coordorigin="4176,3017" coordsize="366,621" path="m4538,3017l4478,3100,4424,3138,4355,3175,4272,3209,4176,3241,4176,3638,4282,3602,4372,3564,4444,3522,4498,3478,4542,3384,4538,3017xe" filled="true" fillcolor="#a14962" stroked="false">
              <v:path arrowok="t"/>
              <v:fill type="solid"/>
            </v:shape>
            <v:shape style="position:absolute;left:3065;top:2981;width:1111;height:390" coordorigin="3065,2981" coordsize="1111,390" path="m3065,2981l3169,3370,3264,3369,3356,3367,3446,3363,3532,3358,3615,3351,3696,3343,3773,3333,3848,3321,3919,3308,3988,3294,4053,3278,4116,3260,4176,3241,3065,2981xe" filled="true" fillcolor="#1b75bc" stroked="false">
              <v:path arrowok="t"/>
              <v:fill type="solid"/>
            </v:shape>
            <v:shape style="position:absolute;left:3169;top:3241;width:1008;height:526" coordorigin="3169,3241" coordsize="1008,526" path="m4176,3241l4117,3258,4054,3273,3987,3288,3917,3302,3844,3314,3768,3326,3689,3336,3608,3345,3524,3353,3438,3359,3350,3364,3260,3368,3169,3370,3169,3767,3260,3765,3350,3761,3438,3756,3524,3750,3608,3742,3689,3733,3768,3723,3844,3711,3917,3699,3987,3685,4054,3670,4117,3655,4176,3638,4176,3241xe" filled="true" fillcolor="#0d4d80" stroked="false">
              <v:path arrowok="t"/>
              <v:fill type="solid"/>
            </v:shape>
            <v:shape style="position:absolute;left:2409;top:2981;width:760;height:390" coordorigin="2409,2981" coordsize="760,390" path="m3065,2981l2409,3328,2498,3342,2583,3352,2665,3360,2745,3365,2826,3368,2908,3370,2992,3370,3147,3370,3169,3370,3065,2981xe" filled="true" fillcolor="#b28abf" stroked="false">
              <v:path arrowok="t"/>
              <v:fill type="solid"/>
            </v:shape>
            <v:shape style="position:absolute;left:2409;top:3328;width:760;height:440" coordorigin="2409,3328" coordsize="760,440" path="m2409,3328l2432,3728,2507,3737,2583,3745,2662,3752,2742,3757,2825,3762,2908,3765,2994,3767,3080,3768,3169,3767,3169,3371,3080,3371,2990,3370,2902,3368,2815,3364,2729,3359,2646,3353,2565,3346,2486,3337,2409,3328xm3169,3370l3080,3371,3169,3371,3169,3370xe" filled="true" fillcolor="#785c82" stroked="false">
              <v:path arrowok="t"/>
              <v:fill type="solid"/>
            </v:shape>
            <v:shape style="position:absolute;left:1619;top:2981;width:1447;height:348" coordorigin="1619,2981" coordsize="1447,348" path="m3065,2981l1619,2987,1625,3024,1643,3060,1715,3128,1768,3159,1831,3190,1904,3218,1987,3245,2079,3269,2181,3291,2291,3311,2409,3328,3065,2981xe" filled="true" fillcolor="#2b3890" stroked="false">
              <v:path arrowok="t"/>
              <v:fill type="solid"/>
            </v:shape>
            <v:shape style="position:absolute;left:1619;top:2987;width:814;height:741" coordorigin="1619,2987" coordsize="814,741" path="m1619,2987l1619,3384,1626,3421,1678,3493,1778,3558,1845,3589,1921,3618,2007,3644,2102,3669,2205,3691,2315,3711,2432,3728,2409,3328,2295,3311,2187,3291,2087,3269,1995,3244,1912,3218,1838,3189,1773,3159,1719,3127,1645,3059,1625,3024,1619,2987xe" filled="true" fillcolor="#111256" stroked="false">
              <v:path arrowok="t"/>
              <v:fill type="solid"/>
            </v:shape>
            <v:line style="position:absolute" from="1619,2947" to="3065,2947" stroked="true" strokeweight="4.027pt" strokecolor="#662d91"/>
            <v:shape style="position:absolute;left:1297;top:2572;width:760;height:119" type="#_x0000_t75" stroked="false">
              <v:imagedata r:id="rId1011" o:title=""/>
            </v:shape>
            <v:shape style="position:absolute;left:968;top:2882;width:318;height:119" type="#_x0000_t75" stroked="false">
              <v:imagedata r:id="rId1012" o:title=""/>
            </v:shape>
            <v:shape style="position:absolute;left:1318;top:2882;width:340;height:119" type="#_x0000_t75" stroked="false">
              <v:imagedata r:id="rId1013" o:title=""/>
            </v:shape>
            <v:shape style="position:absolute;left:1132;top:3630;width:759;height:119" type="#_x0000_t75" stroked="false">
              <v:imagedata r:id="rId1014" o:title=""/>
            </v:shape>
            <v:shape style="position:absolute;left:3749;top:3815;width:309;height:119" type="#_x0000_t75" stroked="false">
              <v:imagedata r:id="rId1015" o:title=""/>
            </v:shape>
            <v:shape style="position:absolute;left:4091;top:3815;width:417;height:119" type="#_x0000_t75" stroked="false">
              <v:imagedata r:id="rId1016" o:title=""/>
            </v:shape>
            <v:shape style="position:absolute;left:4485;top:3545;width:692;height:119" type="#_x0000_t75" stroked="false">
              <v:imagedata r:id="rId1017" o:title=""/>
            </v:shape>
            <v:shape style="position:absolute;left:4723;top:2870;width:317;height:119" type="#_x0000_t75" stroked="false">
              <v:imagedata r:id="rId1018" o:title=""/>
            </v:shape>
            <v:shape style="position:absolute;left:5073;top:2870;width:340;height:119" type="#_x0000_t75" stroked="false">
              <v:imagedata r:id="rId1019" o:title=""/>
            </v:shape>
            <v:shape style="position:absolute;left:4501;top:2590;width:692;height:119" type="#_x0000_t75" stroked="false">
              <v:imagedata r:id="rId1020" o:title=""/>
            </v:shape>
            <v:shape style="position:absolute;left:3442;top:1729;width:669;height:119" type="#_x0000_t75" stroked="false">
              <v:imagedata r:id="rId1021" o:title=""/>
            </v:shape>
            <v:shape style="position:absolute;left:3318;top:1773;width:100;height:818" coordorigin="3318,1773" coordsize="100,818" path="m3418,1773l3333,1773,3318,2591e" filled="false" stroked="true" strokeweight=".5pt" strokecolor="#231f20">
              <v:path arrowok="t"/>
            </v:shape>
            <v:shape style="position:absolute;left:3845;top:2014;width:240;height:119" type="#_x0000_t75" stroked="false">
              <v:imagedata r:id="rId1022" o:title=""/>
            </v:shape>
            <v:shape style="position:absolute;left:4118;top:2014;width:395;height:119" type="#_x0000_t75" stroked="false">
              <v:imagedata r:id="rId1023" o:title=""/>
            </v:shape>
            <v:shape style="position:absolute;left:3690;top:2058;width:133;height:565" coordorigin="3690,2058" coordsize="133,565" path="m3823,2058l3735,2058,3690,2623e" filled="false" stroked="true" strokeweight=".5pt" strokecolor="#231f20">
              <v:path arrowok="t"/>
            </v:shape>
            <v:shape style="position:absolute;left:4181;top:2302;width:691;height:119" type="#_x0000_t75" stroked="false">
              <v:imagedata r:id="rId1024" o:title=""/>
            </v:shape>
            <v:shape style="position:absolute;left:592;top:11627;width:680;height:578" coordorigin="592,11627" coordsize="680,578" path="m4160,2341l4078,2341,4010,2671m4480,2623l4393,2623,4300,2758m4690,2918l4520,2918e" filled="false" stroked="true" strokeweight=".5pt" strokecolor="#231f20">
              <v:path arrowok="t"/>
            </v:shape>
            <w10:wrap type="none"/>
          </v:group>
        </w:pict>
      </w:r>
      <w:r>
        <w:rPr/>
        <w:pict>
          <v:group style="position:absolute;margin-left:70.255005pt;margin-top:21.025545pt;width:349.55pt;height:245.7pt;mso-position-horizontal-relative:page;mso-position-vertical-relative:paragraph;z-index:-589024" coordorigin="1405,421" coordsize="6991,4914">
            <v:shape style="position:absolute;left:6419;top:952;width:652;height:124" type="#_x0000_t75" stroked="false">
              <v:imagedata r:id="rId1025" o:title=""/>
            </v:shape>
            <v:shape style="position:absolute;left:7131;top:948;width:787;height:159" type="#_x0000_t75" stroked="false">
              <v:imagedata r:id="rId1026" o:title=""/>
            </v:shape>
            <v:shape style="position:absolute;left:7974;top:958;width:352;height:118" type="#_x0000_t75" stroked="false">
              <v:imagedata r:id="rId1027" o:title=""/>
            </v:shape>
            <v:shape style="position:absolute;left:6417;top:1317;width:435;height:124" type="#_x0000_t75" stroked="false">
              <v:imagedata r:id="rId1028" o:title=""/>
            </v:shape>
            <v:shape style="position:absolute;left:6912;top:1313;width:587;height:159" type="#_x0000_t75" stroked="false">
              <v:imagedata r:id="rId1029" o:title=""/>
            </v:shape>
            <v:shape style="position:absolute;left:7551;top:1352;width:79;height:121" coordorigin="7551,1352" coordsize="79,121" path="m7559,1459l7559,1472,7561,1472,7562,1473,7563,1473,7576,1473,7582,1471,7585,1466,7588,1461,7588,1460,7570,1460,7566,1460,7563,1460,7562,1460,7559,1459xm7568,1352l7551,1352,7583,1440,7582,1442,7581,1445,7578,1453,7577,1455,7576,1457,7575,1458,7572,1460,7570,1460,7588,1460,7592,1452,7597,1440,7603,1426,7604,1422,7591,1422,7568,1352xm7630,1352l7614,1352,7591,1422,7604,1422,7606,1417,7611,1405,7616,1390,7628,1358,7630,1352xe" filled="true" fillcolor="#231f20" stroked="false">
              <v:path arrowok="t"/>
              <v:fill type="solid"/>
            </v:shape>
            <v:shape style="position:absolute;left:7684;top:1320;width:635;height:121" type="#_x0000_t75" stroked="false">
              <v:imagedata r:id="rId1030" o:title=""/>
            </v:shape>
            <v:shape style="position:absolute;left:6416;top:1493;width:582;height:132" type="#_x0000_t75" stroked="false">
              <v:imagedata r:id="rId1031" o:title=""/>
            </v:shape>
            <v:shape style="position:absolute;left:7054;top:1503;width:352;height:118" type="#_x0000_t75" stroked="false">
              <v:imagedata r:id="rId1032" o:title=""/>
            </v:shape>
            <v:shape style="position:absolute;left:6419;top:1696;width:652;height:124" type="#_x0000_t75" stroked="false">
              <v:imagedata r:id="rId1033" o:title=""/>
            </v:shape>
            <v:shape style="position:absolute;left:7131;top:1692;width:787;height:159" type="#_x0000_t75" stroked="false">
              <v:imagedata r:id="rId1034" o:title=""/>
            </v:shape>
            <v:shape style="position:absolute;left:7974;top:1702;width:326;height:118" type="#_x0000_t75" stroked="false">
              <v:imagedata r:id="rId1035" o:title=""/>
            </v:shape>
            <v:shape style="position:absolute;left:6417;top:2061;width:435;height:124" type="#_x0000_t75" stroked="false">
              <v:imagedata r:id="rId1036" o:title=""/>
            </v:shape>
            <v:shape style="position:absolute;left:6912;top:2057;width:587;height:159" type="#_x0000_t75" stroked="false">
              <v:imagedata r:id="rId1037" o:title=""/>
            </v:shape>
            <v:shape style="position:absolute;left:7551;top:2096;width:79;height:121" coordorigin="7551,2096" coordsize="79,121" path="m7559,2203l7559,2216,7561,2216,7562,2217,7563,2217,7576,2217,7582,2215,7585,2210,7588,2205,7588,2204,7570,2204,7566,2204,7563,2204,7562,2203,7559,2203xm7568,2096l7551,2096,7583,2184,7582,2186,7581,2189,7578,2197,7577,2199,7576,2201,7575,2202,7572,2204,7570,2204,7588,2204,7592,2196,7597,2184,7603,2170,7604,2166,7591,2166,7568,2096xm7630,2096l7614,2096,7591,2166,7604,2166,7606,2160,7611,2148,7616,2134,7628,2102,7630,2096xe" filled="true" fillcolor="#231f20" stroked="false">
              <v:path arrowok="t"/>
              <v:fill type="solid"/>
            </v:shape>
            <v:shape style="position:absolute;left:7684;top:2064;width:635;height:121" type="#_x0000_t75" stroked="false">
              <v:imagedata r:id="rId1038" o:title=""/>
            </v:shape>
            <v:shape style="position:absolute;left:6416;top:2237;width:582;height:132" type="#_x0000_t75" stroked="false">
              <v:imagedata r:id="rId1039" o:title=""/>
            </v:shape>
            <v:shape style="position:absolute;left:7054;top:2247;width:326;height:118" type="#_x0000_t75" stroked="false">
              <v:imagedata r:id="rId1040" o:title=""/>
            </v:shape>
            <v:shape style="position:absolute;left:6419;top:2433;width:652;height:124" type="#_x0000_t75" stroked="false">
              <v:imagedata r:id="rId1041" o:title=""/>
            </v:shape>
            <v:shape style="position:absolute;left:7131;top:2428;width:787;height:159" type="#_x0000_t75" stroked="false">
              <v:imagedata r:id="rId1042" o:title=""/>
            </v:shape>
            <v:shape style="position:absolute;left:7974;top:2438;width:353;height:118" type="#_x0000_t75" stroked="false">
              <v:imagedata r:id="rId1043" o:title=""/>
            </v:shape>
            <v:shape style="position:absolute;left:6417;top:2797;width:435;height:124" type="#_x0000_t75" stroked="false">
              <v:imagedata r:id="rId1044" o:title=""/>
            </v:shape>
            <v:shape style="position:absolute;left:6912;top:2793;width:587;height:159" type="#_x0000_t75" stroked="false">
              <v:imagedata r:id="rId1045" o:title=""/>
            </v:shape>
            <v:shape style="position:absolute;left:7551;top:2832;width:79;height:121" coordorigin="7551,2832" coordsize="79,121" path="m7559,2939l7559,2952,7561,2952,7562,2953,7563,2953,7576,2953,7582,2951,7585,2946,7588,2941,7588,2940,7570,2940,7566,2940,7563,2940,7562,2940,7559,2939xm7568,2832l7551,2832,7583,2921,7582,2922,7578,2933,7577,2935,7576,2936,7576,2937,7575,2938,7572,2940,7570,2940,7588,2940,7592,2932,7597,2921,7603,2906,7604,2902,7591,2902,7568,2832xm7630,2832l7614,2832,7591,2902,7604,2902,7606,2897,7611,2885,7616,2870,7628,2838,7630,2832xe" filled="true" fillcolor="#231f20" stroked="false">
              <v:path arrowok="t"/>
              <v:fill type="solid"/>
            </v:shape>
            <v:shape style="position:absolute;left:7684;top:2801;width:635;height:121" type="#_x0000_t75" stroked="false">
              <v:imagedata r:id="rId1046" o:title=""/>
            </v:shape>
            <v:shape style="position:absolute;left:6416;top:2973;width:582;height:132" type="#_x0000_t75" stroked="false">
              <v:imagedata r:id="rId1047" o:title=""/>
            </v:shape>
            <v:shape style="position:absolute;left:7054;top:2983;width:353;height:118" type="#_x0000_t75" stroked="false">
              <v:imagedata r:id="rId1048" o:title=""/>
            </v:shape>
            <v:shape style="position:absolute;left:6419;top:3138;width:652;height:124" type="#_x0000_t75" stroked="false">
              <v:imagedata r:id="rId1049" o:title=""/>
            </v:shape>
            <v:shape style="position:absolute;left:7131;top:3133;width:787;height:159" type="#_x0000_t75" stroked="false">
              <v:imagedata r:id="rId1050" o:title=""/>
            </v:shape>
            <v:shape style="position:absolute;left:7974;top:3143;width:352;height:118" type="#_x0000_t75" stroked="false">
              <v:imagedata r:id="rId1051" o:title=""/>
            </v:shape>
            <v:shape style="position:absolute;left:6417;top:3502;width:435;height:124" type="#_x0000_t75" stroked="false">
              <v:imagedata r:id="rId1052" o:title=""/>
            </v:shape>
            <v:shape style="position:absolute;left:6912;top:3498;width:587;height:159" type="#_x0000_t75" stroked="false">
              <v:imagedata r:id="rId1053" o:title=""/>
            </v:shape>
            <v:shape style="position:absolute;left:7551;top:3537;width:79;height:121" coordorigin="7551,3537" coordsize="79,121" path="m7559,3644l7559,3657,7561,3657,7562,3658,7563,3658,7576,3658,7582,3656,7585,3651,7588,3646,7588,3645,7570,3645,7566,3645,7563,3645,7562,3645,7559,3644xm7568,3537l7551,3537,7583,3626,7582,3627,7578,3638,7577,3640,7576,3641,7576,3642,7575,3643,7572,3645,7570,3645,7588,3645,7592,3637,7597,3626,7603,3611,7604,3607,7591,3607,7568,3537xm7630,3537l7614,3537,7591,3607,7604,3607,7606,3602,7611,3590,7616,3575,7628,3543,7630,3537xe" filled="true" fillcolor="#231f20" stroked="false">
              <v:path arrowok="t"/>
              <v:fill type="solid"/>
            </v:shape>
            <v:shape style="position:absolute;left:7684;top:3506;width:635;height:121" type="#_x0000_t75" stroked="false">
              <v:imagedata r:id="rId1054" o:title=""/>
            </v:shape>
            <v:shape style="position:absolute;left:6416;top:3678;width:582;height:132" type="#_x0000_t75" stroked="false">
              <v:imagedata r:id="rId1047" o:title=""/>
            </v:shape>
            <v:shape style="position:absolute;left:7054;top:3688;width:352;height:118" type="#_x0000_t75" stroked="false">
              <v:imagedata r:id="rId1055" o:title=""/>
            </v:shape>
            <v:shape style="position:absolute;left:6419;top:3888;width:652;height:124" type="#_x0000_t75" stroked="false">
              <v:imagedata r:id="rId1049" o:title=""/>
            </v:shape>
            <v:shape style="position:absolute;left:7131;top:3883;width:787;height:159" type="#_x0000_t75" stroked="false">
              <v:imagedata r:id="rId1050" o:title=""/>
            </v:shape>
            <v:shape style="position:absolute;left:7974;top:3893;width:354;height:118" type="#_x0000_t75" stroked="false">
              <v:imagedata r:id="rId1056" o:title=""/>
            </v:shape>
            <v:shape style="position:absolute;left:6417;top:4252;width:435;height:124" type="#_x0000_t75" stroked="false">
              <v:imagedata r:id="rId1052" o:title=""/>
            </v:shape>
            <v:shape style="position:absolute;left:6912;top:4248;width:587;height:159" type="#_x0000_t75" stroked="false">
              <v:imagedata r:id="rId1053" o:title=""/>
            </v:shape>
            <v:shape style="position:absolute;left:7551;top:4287;width:79;height:121" coordorigin="7551,4287" coordsize="79,121" path="m7559,4394l7559,4407,7561,4407,7562,4408,7563,4408,7576,4408,7582,4406,7585,4401,7588,4396,7588,4395,7570,4395,7566,4395,7563,4395,7562,4395,7559,4394xm7568,4287l7551,4287,7583,4376,7582,4377,7578,4388,7577,4390,7576,4391,7576,4392,7575,4393,7572,4395,7570,4395,7588,4395,7592,4387,7597,4376,7603,4361,7604,4357,7591,4357,7568,4287xm7630,4287l7614,4287,7591,4357,7604,4357,7606,4352,7611,4340,7616,4325,7628,4293,7630,4287xe" filled="true" fillcolor="#231f20" stroked="false">
              <v:path arrowok="t"/>
              <v:fill type="solid"/>
            </v:shape>
            <v:shape style="position:absolute;left:7684;top:4256;width:635;height:121" type="#_x0000_t75" stroked="false">
              <v:imagedata r:id="rId1054" o:title=""/>
            </v:shape>
            <v:shape style="position:absolute;left:6416;top:4428;width:582;height:132" type="#_x0000_t75" stroked="false">
              <v:imagedata r:id="rId1047" o:title=""/>
            </v:shape>
            <v:shape style="position:absolute;left:7054;top:4438;width:354;height:118" type="#_x0000_t75" stroked="false">
              <v:imagedata r:id="rId1057" o:title=""/>
            </v:shape>
            <v:shape style="position:absolute;left:6419;top:4623;width:652;height:124" type="#_x0000_t75" stroked="false">
              <v:imagedata r:id="rId1049" o:title=""/>
            </v:shape>
            <v:shape style="position:absolute;left:7131;top:4618;width:787;height:159" type="#_x0000_t75" stroked="false">
              <v:imagedata r:id="rId1058" o:title=""/>
            </v:shape>
            <v:shape style="position:absolute;left:7974;top:4628;width:352;height:118" type="#_x0000_t75" stroked="false">
              <v:imagedata r:id="rId1059" o:title=""/>
            </v:shape>
            <v:shape style="position:absolute;left:6417;top:4987;width:435;height:124" type="#_x0000_t75" stroked="false">
              <v:imagedata r:id="rId1052" o:title=""/>
            </v:shape>
            <v:shape style="position:absolute;left:6912;top:4983;width:587;height:159" type="#_x0000_t75" stroked="false">
              <v:imagedata r:id="rId1053" o:title=""/>
            </v:shape>
            <v:shape style="position:absolute;left:7551;top:5022;width:79;height:121" coordorigin="7551,5022" coordsize="79,121" path="m7559,5129l7559,5142,7561,5142,7562,5143,7563,5143,7576,5143,7582,5141,7585,5136,7588,5131,7588,5130,7570,5130,7566,5130,7563,5130,7562,5130,7559,5129xm7568,5022l7551,5022,7583,5111,7582,5112,7578,5123,7577,5125,7576,5126,7576,5127,7575,5128,7572,5130,7570,5130,7588,5130,7592,5122,7597,5111,7603,5096,7604,5092,7591,5092,7568,5022xm7630,5022l7614,5022,7591,5092,7604,5092,7606,5087,7611,5075,7616,5060,7628,5028,7630,5022xe" filled="true" fillcolor="#231f20" stroked="false">
              <v:path arrowok="t"/>
              <v:fill type="solid"/>
            </v:shape>
            <v:shape style="position:absolute;left:7684;top:4991;width:635;height:121" type="#_x0000_t75" stroked="false">
              <v:imagedata r:id="rId1054" o:title=""/>
            </v:shape>
            <v:shape style="position:absolute;left:6416;top:5163;width:582;height:132" type="#_x0000_t75" stroked="false">
              <v:imagedata r:id="rId1047" o:title=""/>
            </v:shape>
            <v:shape style="position:absolute;left:7054;top:5173;width:352;height:118" type="#_x0000_t75" stroked="false">
              <v:imagedata r:id="rId1060" o:title=""/>
            </v:shape>
            <v:shape style="position:absolute;left:1405;top:433;width:689;height:169" type="#_x0000_t75" stroked="false">
              <v:imagedata r:id="rId1061" o:title=""/>
            </v:shape>
            <v:shape style="position:absolute;left:2156;top:421;width:242;height:155" type="#_x0000_t75" stroked="false">
              <v:imagedata r:id="rId1062" o:title=""/>
            </v:shape>
            <v:shape style="position:absolute;left:2474;top:432;width:821;height:169" coordorigin="2474,432" coordsize="821,169" path="m2600,433l2561,433,2537,535,2519,454,2514,433,2474,433,2474,563,2499,563,2499,454,2524,563,2550,563,2556,535,2575,454,2574,563,2600,563,2600,454,2600,433m2708,467l2683,467,2683,525,2682,530,2680,534,2677,541,2671,544,2656,544,2652,542,2648,534,2648,530,2648,467,2622,467,2622,536,2623,544,2626,549,2631,560,2641,565,2660,565,2664,564,2671,561,2675,559,2679,556,2680,554,2681,553,2684,549,2684,549,2684,563,2708,563,2708,549,2708,544,2708,467m2819,486l2819,485,2817,481,2816,477,2804,467,2796,465,2778,465,2771,466,2763,472,2760,476,2757,481,2757,467,2733,467,2733,563,2758,563,2758,505,2759,500,2763,489,2769,485,2784,485,2789,488,2793,495,2794,499,2794,563,2819,563,2819,486m2868,467l2843,467,2843,563,2868,563,2868,467m2868,432l2843,432,2843,455,2868,455,2868,432m2976,501l2974,488,2973,486,2970,478,2954,467,2944,465,2918,465,2907,469,2899,478,2894,486,2890,495,2888,505,2887,517,2887,531,2891,543,2905,561,2917,566,2947,566,2959,560,2967,549,2970,545,2972,543,2975,535,2975,528,2950,528,2949,533,2948,537,2943,543,2939,545,2924,545,2919,541,2916,533,2914,529,2913,523,2913,509,2914,503,2919,490,2925,486,2939,486,2943,488,2946,492,2948,494,2949,498,2950,501,2976,501m3018,467l2993,467,2993,563,3018,563,3018,467m3018,432l2993,432,2993,455,3018,455,3018,432m3135,497l3131,487,3131,485,3127,481,3115,469,3109,466,3109,507,3109,524,3107,531,3100,542,3094,544,3083,544,3078,543,3069,536,3066,528,3066,510,3067,504,3069,500,3072,491,3078,487,3095,487,3101,489,3107,501,3109,507,3109,466,3106,465,3087,465,3080,467,3075,471,3072,474,3069,477,3066,481,3066,467,3042,467,3042,600,3067,600,3067,550,3069,554,3072,558,3080,563,3086,565,3106,565,3116,561,3123,552,3125,550,3129,545,3129,544,3132,536,3134,525,3135,513,3135,497m3178,467l3153,467,3153,563,3178,563,3178,467m3178,432l3153,432,3153,455,3178,455,3178,432m3295,501l3291,489,3287,485,3274,469,3268,466,3268,505,3268,524,3266,532,3259,542,3253,545,3238,545,3233,542,3225,532,3223,524,3223,505,3225,498,3233,488,3238,485,3253,485,3259,488,3266,498,3268,505,3268,466,3262,464,3229,464,3217,469,3201,489,3197,501,3197,529,3201,541,3217,561,3229,566,3262,566,3274,561,3287,545,3291,541,3295,529,3295,501e" filled="true" fillcolor="#231f20" stroked="false">
              <v:path arrowok="t"/>
              <v:fill type="solid"/>
            </v:shape>
            <v:shape style="position:absolute;left:3356;top:433;width:204;height:133" type="#_x0000_t75" stroked="false">
              <v:imagedata r:id="rId1063" o:title=""/>
            </v:shape>
            <v:shape style="position:absolute;left:3617;top:433;width:292;height:132" type="#_x0000_t75" stroked="false">
              <v:imagedata r:id="rId1064" o:title=""/>
            </v:shape>
            <v:shape style="position:absolute;left:3933;top:421;width:242;height:155" type="#_x0000_t75" stroked="false">
              <v:imagedata r:id="rId1065" o:title=""/>
            </v:shape>
            <v:shape style="position:absolute;left:4243;top:432;width:758;height:134" type="#_x0000_t75" stroked="false">
              <v:imagedata r:id="rId1066" o:title=""/>
            </v:shape>
            <v:shape style="position:absolute;left:5057;top:465;width:91;height:102" coordorigin="5057,465" coordsize="91,102" path="m5141,485l5106,485,5110,485,5115,488,5117,491,5117,498,5115,501,5109,503,5106,504,5083,507,5075,509,5061,517,5057,525,5057,546,5060,553,5071,563,5078,566,5094,566,5100,564,5110,558,5114,555,5117,551,5142,551,5142,547,5091,547,5088,546,5083,543,5082,540,5082,530,5084,527,5090,523,5094,522,5108,520,5110,519,5113,518,5115,517,5117,516,5142,516,5141,485xm5142,551l5117,551,5117,553,5118,555,5118,559,5119,561,5120,563,5147,563,5147,559,5145,558,5144,557,5142,555,5142,553,5142,551xm5142,516l5117,516,5116,534,5114,539,5105,546,5100,547,5142,547,5142,516xm5112,465l5085,465,5074,469,5067,477,5063,483,5060,489,5060,498,5084,498,5085,494,5086,491,5088,489,5090,486,5094,485,5141,485,5141,483,5137,475,5121,467,5112,465xe" filled="true" fillcolor="#231f20" stroked="false">
              <v:path arrowok="t"/>
              <v:fill type="solid"/>
            </v:shape>
            <v:shape style="position:absolute;left:5209;top:429;width:786;height:137" type="#_x0000_t75" stroked="false">
              <v:imagedata r:id="rId1067" o:title=""/>
            </v:shape>
            <v:shape style="position:absolute;left:2009;top:659;width:505;height:137" type="#_x0000_t75" stroked="false">
              <v:imagedata r:id="rId1068" o:title=""/>
            </v:shape>
            <v:shape style="position:absolute;left:2585;top:658;width:320;height:138" type="#_x0000_t75" stroked="false">
              <v:imagedata r:id="rId1069" o:title=""/>
            </v:shape>
            <v:shape style="position:absolute;left:2923;top:651;width:381;height:155" type="#_x0000_t75" stroked="false">
              <v:imagedata r:id="rId1070" o:title=""/>
            </v:shape>
            <v:shape style="position:absolute;left:3363;top:697;width:96;height:135" coordorigin="3363,697" coordsize="96,135" path="m3376,811l3376,831,3399,831,3406,829,3414,820,3418,811,3382,811,3376,811xm3391,697l3363,697,3398,797,3398,798,3397,799,3395,806,3394,808,3391,810,3389,811,3384,811,3382,811,3418,811,3419,809,3433,767,3411,767,3391,697xm3458,697l3431,697,3411,767,3433,767,3458,697xe" filled="true" fillcolor="#231f20" stroked="false">
              <v:path arrowok="t"/>
              <v:fill type="solid"/>
            </v:shape>
            <v:shape style="position:absolute;left:3516;top:662;width:758;height:134" type="#_x0000_t75" stroked="false">
              <v:imagedata r:id="rId1071" o:title=""/>
            </v:shape>
            <v:shape style="position:absolute;left:4337;top:651;width:698;height:155" type="#_x0000_t75" stroked="false">
              <v:imagedata r:id="rId1072" o:title=""/>
            </v:shape>
            <v:shape style="position:absolute;left:5097;top:651;width:242;height:155" type="#_x0000_t75" stroked="false">
              <v:imagedata r:id="rId1073" o:title=""/>
            </v:shape>
            <v:shape style="position:absolute;left:5408;top:664;width:388;height:131" type="#_x0000_t75" stroked="false">
              <v:imagedata r:id="rId1074" o:title=""/>
            </v:shape>
            <v:shape style="position:absolute;left:5858;top:651;width:132;height:155" type="#_x0000_t75" stroked="false">
              <v:imagedata r:id="rId1075" o:title=""/>
            </v:shape>
            <v:shape style="position:absolute;left:6058;top:664;width:388;height:132" type="#_x0000_t75" stroked="false">
              <v:imagedata r:id="rId1076" o:title=""/>
            </v:shape>
            <v:line style="position:absolute" from="6333,946" to="6333,1046" stroked="true" strokeweight="4.75pt" strokecolor="#92278f"/>
            <v:line style="position:absolute" from="6333,1308" to="6333,1403" stroked="true" strokeweight="5pt" strokecolor="#da1c5c"/>
            <v:line style="position:absolute" from="6333,1678" to="6333,1773" stroked="true" strokeweight="5pt" strokecolor="#d1e39b"/>
            <v:line style="position:absolute" from="6333,2058" to="6333,2153" stroked="true" strokeweight="5pt" strokecolor="#b5d5e5"/>
            <v:line style="position:absolute" from="6333,2428" to="6333,2523" stroked="true" strokeweight="5pt" strokecolor="#662d91"/>
            <v:line style="position:absolute" from="6333,2793" to="6333,2888" stroked="true" strokeweight="5pt" strokecolor="#f27292"/>
            <v:line style="position:absolute" from="6333,3141" to="6333,3236" stroked="true" strokeweight="5pt" strokecolor="#1b75bc"/>
            <v:line style="position:absolute" from="6333,3523" to="6333,3618" stroked="true" strokeweight="5pt" strokecolor="#b28abf"/>
            <v:line style="position:absolute" from="6333,3871" to="6333,3966" stroked="true" strokeweight="5pt" strokecolor="#2b3890"/>
            <v:line style="position:absolute" from="6333,4261" to="6333,4356" stroked="true" strokeweight="5pt" strokecolor="#662d91"/>
            <v:line style="position:absolute" from="6333,4608" to="6333,4703" stroked="true" strokeweight="5pt" strokecolor="#f9ed32"/>
            <v:line style="position:absolute" from="6333,5013" to="6333,5108" stroked="true" strokeweight="5pt" strokecolor="#00a79d"/>
            <v:shape style="position:absolute;left:5975;top:901;width:2415;height:4429" coordorigin="5975,901" coordsize="2415,4429" path="m5975,5329l5975,901,8390,901e" filled="false" stroked="true" strokeweight=".5pt" strokecolor="#231f20">
              <v:path arrowok="t"/>
            </v:shape>
            <w10:wrap type="none"/>
          </v:group>
        </w:pict>
      </w:r>
      <w:r>
        <w:rPr>
          <w:color w:val="231F20"/>
          <w:w w:val="105"/>
        </w:rPr>
        <w:t>Gráfica 4</w:t>
      </w:r>
    </w:p>
    <w:p>
      <w:pPr>
        <w:pStyle w:val="BodyText"/>
        <w:rPr>
          <w:b/>
          <w:sz w:val="20"/>
        </w:rPr>
      </w:pPr>
      <w:r>
        <w:rPr/>
        <w:br w:type="column"/>
      </w:r>
      <w:r>
        <w:rPr>
          <w:b/>
          <w:sz w:val="20"/>
        </w:rPr>
      </w:r>
    </w:p>
    <w:p>
      <w:pPr>
        <w:pStyle w:val="BodyText"/>
        <w:spacing w:before="2"/>
        <w:rPr>
          <w:b/>
          <w:sz w:val="13"/>
        </w:rPr>
      </w:pPr>
      <w:r>
        <w:rPr/>
        <w:drawing>
          <wp:anchor distT="0" distB="0" distL="0" distR="0" allowOverlap="1" layoutInCell="1" locked="0" behindDoc="0" simplePos="0" relativeHeight="12736">
            <wp:simplePos x="0" y="0"/>
            <wp:positionH relativeFrom="page">
              <wp:posOffset>3852248</wp:posOffset>
            </wp:positionH>
            <wp:positionV relativeFrom="paragraph">
              <wp:posOffset>121195</wp:posOffset>
            </wp:positionV>
            <wp:extent cx="624354" cy="109537"/>
            <wp:effectExtent l="0" t="0" r="0" b="0"/>
            <wp:wrapTopAndBottom/>
            <wp:docPr id="391" name="image978.png" descr=""/>
            <wp:cNvGraphicFramePr>
              <a:graphicFrameLocks noChangeAspect="1"/>
            </wp:cNvGraphicFramePr>
            <a:graphic>
              <a:graphicData uri="http://schemas.openxmlformats.org/drawingml/2006/picture">
                <pic:pic>
                  <pic:nvPicPr>
                    <pic:cNvPr id="392" name="image978.png"/>
                    <pic:cNvPicPr/>
                  </pic:nvPicPr>
                  <pic:blipFill>
                    <a:blip r:embed="rId1077" cstate="print"/>
                    <a:stretch>
                      <a:fillRect/>
                    </a:stretch>
                  </pic:blipFill>
                  <pic:spPr>
                    <a:xfrm>
                      <a:off x="0" y="0"/>
                      <a:ext cx="624354" cy="109537"/>
                    </a:xfrm>
                    <a:prstGeom prst="rect">
                      <a:avLst/>
                    </a:prstGeom>
                  </pic:spPr>
                </pic:pic>
              </a:graphicData>
            </a:graphic>
          </wp:anchor>
        </w:drawing>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5"/>
        <w:rPr>
          <w:b/>
          <w:sz w:val="18"/>
        </w:rPr>
      </w:pPr>
    </w:p>
    <w:p>
      <w:pPr>
        <w:spacing w:before="0"/>
        <w:ind w:left="523" w:right="0" w:firstLine="0"/>
        <w:jc w:val="left"/>
        <w:rPr>
          <w:rFonts w:ascii="Calibri" w:hAnsi="Calibri"/>
          <w:sz w:val="16"/>
        </w:rPr>
      </w:pPr>
      <w:r>
        <w:rPr/>
        <w:drawing>
          <wp:anchor distT="0" distB="0" distL="0" distR="0" allowOverlap="1" layoutInCell="1" locked="0" behindDoc="0" simplePos="0" relativeHeight="12832">
            <wp:simplePos x="0" y="0"/>
            <wp:positionH relativeFrom="page">
              <wp:posOffset>1448605</wp:posOffset>
            </wp:positionH>
            <wp:positionV relativeFrom="paragraph">
              <wp:posOffset>-1111949</wp:posOffset>
            </wp:positionV>
            <wp:extent cx="437812" cy="75616"/>
            <wp:effectExtent l="0" t="0" r="0" b="0"/>
            <wp:wrapNone/>
            <wp:docPr id="393" name="image979.png" descr=""/>
            <wp:cNvGraphicFramePr>
              <a:graphicFrameLocks noChangeAspect="1"/>
            </wp:cNvGraphicFramePr>
            <a:graphic>
              <a:graphicData uri="http://schemas.openxmlformats.org/drawingml/2006/picture">
                <pic:pic>
                  <pic:nvPicPr>
                    <pic:cNvPr id="394" name="image979.png"/>
                    <pic:cNvPicPr/>
                  </pic:nvPicPr>
                  <pic:blipFill>
                    <a:blip r:embed="rId1078" cstate="print"/>
                    <a:stretch>
                      <a:fillRect/>
                    </a:stretch>
                  </pic:blipFill>
                  <pic:spPr>
                    <a:xfrm>
                      <a:off x="0" y="0"/>
                      <a:ext cx="437812" cy="75616"/>
                    </a:xfrm>
                    <a:prstGeom prst="rect">
                      <a:avLst/>
                    </a:prstGeom>
                  </pic:spPr>
                </pic:pic>
              </a:graphicData>
            </a:graphic>
          </wp:anchor>
        </w:drawing>
      </w:r>
      <w:r>
        <w:rPr>
          <w:rFonts w:ascii="Calibri" w:hAnsi="Calibri"/>
          <w:color w:val="231F20"/>
          <w:sz w:val="16"/>
        </w:rPr>
        <w:t>Fuente: Elaboración propia según datos INEGI.</w:t>
      </w:r>
    </w:p>
    <w:p>
      <w:pPr>
        <w:spacing w:after="0"/>
        <w:jc w:val="left"/>
        <w:rPr>
          <w:rFonts w:ascii="Calibri" w:hAnsi="Calibri"/>
          <w:sz w:val="16"/>
        </w:rPr>
        <w:sectPr>
          <w:pgSz w:w="9640" w:h="12190"/>
          <w:pgMar w:header="0" w:footer="743" w:top="1120" w:bottom="940" w:left="740" w:right="740"/>
          <w:cols w:num="2" w:equalWidth="0">
            <w:col w:w="4527" w:space="40"/>
            <w:col w:w="3593"/>
          </w:cols>
        </w:sectPr>
      </w:pPr>
    </w:p>
    <w:p>
      <w:pPr>
        <w:pStyle w:val="BodyText"/>
        <w:spacing w:before="10"/>
        <w:rPr>
          <w:rFonts w:ascii="Calibri"/>
          <w:sz w:val="25"/>
        </w:rPr>
      </w:pPr>
      <w:r>
        <w:rPr/>
        <w:pict>
          <v:group style="position:absolute;margin-left:121.102905pt;margin-top:177.048874pt;width:33.450pt;height:6pt;mso-position-horizontal-relative:page;mso-position-vertical-relative:page;z-index:12808" coordorigin="2422,3541" coordsize="669,120">
            <v:shape style="position:absolute;left:2422;top:3541;width:241;height:119" type="#_x0000_t75" stroked="false">
              <v:imagedata r:id="rId1079" o:title=""/>
            </v:shape>
            <v:shape style="position:absolute;left:2695;top:3541;width:396;height:119" type="#_x0000_t75" stroked="false">
              <v:imagedata r:id="rId1080" o:title=""/>
            </v:shape>
            <w10:wrap type="none"/>
          </v:group>
        </w:pict>
      </w:r>
    </w:p>
    <w:p>
      <w:pPr>
        <w:pStyle w:val="BodyText"/>
        <w:spacing w:line="285" w:lineRule="auto" w:before="36"/>
        <w:ind w:left="110" w:right="106"/>
        <w:jc w:val="both"/>
      </w:pPr>
      <w:r>
        <w:rPr>
          <w:color w:val="231F20"/>
          <w:w w:val="105"/>
        </w:rPr>
        <w:t>Podemos notar que en el periodo de la </w:t>
      </w:r>
      <w:r>
        <w:rPr>
          <w:color w:val="231F20"/>
          <w:spacing w:val="3"/>
          <w:w w:val="105"/>
        </w:rPr>
        <w:t>última </w:t>
      </w:r>
      <w:r>
        <w:rPr>
          <w:color w:val="231F20"/>
          <w:spacing w:val="2"/>
          <w:w w:val="105"/>
        </w:rPr>
        <w:t>administración </w:t>
      </w:r>
      <w:r>
        <w:rPr>
          <w:color w:val="231F20"/>
          <w:spacing w:val="3"/>
          <w:w w:val="105"/>
        </w:rPr>
        <w:t>priísta </w:t>
      </w:r>
      <w:r>
        <w:rPr>
          <w:color w:val="231F20"/>
          <w:w w:val="105"/>
        </w:rPr>
        <w:t>se destinó </w:t>
      </w:r>
      <w:r>
        <w:rPr>
          <w:color w:val="231F20"/>
          <w:spacing w:val="3"/>
          <w:w w:val="105"/>
        </w:rPr>
        <w:t>una </w:t>
      </w:r>
      <w:r>
        <w:rPr>
          <w:color w:val="231F20"/>
          <w:w w:val="105"/>
        </w:rPr>
        <w:t>cantidad menor a obra pública y acciones </w:t>
      </w:r>
      <w:r>
        <w:rPr>
          <w:color w:val="231F20"/>
          <w:spacing w:val="2"/>
          <w:w w:val="105"/>
        </w:rPr>
        <w:t>sociales </w:t>
      </w:r>
      <w:r>
        <w:rPr>
          <w:color w:val="231F20"/>
          <w:w w:val="105"/>
        </w:rPr>
        <w:t>y </w:t>
      </w:r>
      <w:r>
        <w:rPr>
          <w:color w:val="231F20"/>
          <w:spacing w:val="3"/>
          <w:w w:val="105"/>
        </w:rPr>
        <w:t>una </w:t>
      </w:r>
      <w:r>
        <w:rPr>
          <w:color w:val="231F20"/>
          <w:w w:val="105"/>
        </w:rPr>
        <w:t>mayor cantidad a </w:t>
      </w:r>
      <w:r>
        <w:rPr>
          <w:color w:val="231F20"/>
          <w:spacing w:val="3"/>
          <w:w w:val="105"/>
        </w:rPr>
        <w:t>servicios </w:t>
      </w:r>
      <w:r>
        <w:rPr>
          <w:color w:val="231F20"/>
          <w:w w:val="105"/>
        </w:rPr>
        <w:t>personales, esto </w:t>
      </w:r>
      <w:r>
        <w:rPr>
          <w:color w:val="231F20"/>
          <w:spacing w:val="2"/>
          <w:w w:val="105"/>
        </w:rPr>
        <w:t>tanto para </w:t>
      </w:r>
      <w:r>
        <w:rPr>
          <w:color w:val="231F20"/>
          <w:w w:val="105"/>
        </w:rPr>
        <w:t>el </w:t>
      </w:r>
      <w:r>
        <w:rPr>
          <w:color w:val="231F20"/>
          <w:spacing w:val="2"/>
          <w:w w:val="105"/>
        </w:rPr>
        <w:t>2000-2001; mientras </w:t>
      </w:r>
      <w:r>
        <w:rPr>
          <w:color w:val="231F20"/>
          <w:w w:val="105"/>
        </w:rPr>
        <w:t>que </w:t>
      </w:r>
      <w:r>
        <w:rPr>
          <w:color w:val="231F20"/>
          <w:spacing w:val="2"/>
          <w:w w:val="105"/>
        </w:rPr>
        <w:t>para </w:t>
      </w:r>
      <w:r>
        <w:rPr>
          <w:color w:val="231F20"/>
          <w:w w:val="105"/>
        </w:rPr>
        <w:t>el año </w:t>
      </w:r>
      <w:r>
        <w:rPr>
          <w:color w:val="231F20"/>
          <w:spacing w:val="3"/>
          <w:w w:val="105"/>
        </w:rPr>
        <w:t>2002 </w:t>
      </w:r>
      <w:r>
        <w:rPr>
          <w:color w:val="231F20"/>
          <w:w w:val="105"/>
        </w:rPr>
        <w:t>se </w:t>
      </w:r>
      <w:r>
        <w:rPr>
          <w:color w:val="231F20"/>
          <w:spacing w:val="2"/>
          <w:w w:val="105"/>
        </w:rPr>
        <w:t>destina </w:t>
      </w:r>
      <w:r>
        <w:rPr>
          <w:color w:val="231F20"/>
          <w:w w:val="105"/>
        </w:rPr>
        <w:t>mayor presupuesto a obras y se </w:t>
      </w:r>
      <w:r>
        <w:rPr>
          <w:color w:val="231F20"/>
          <w:spacing w:val="2"/>
          <w:w w:val="105"/>
        </w:rPr>
        <w:t>gasta </w:t>
      </w:r>
      <w:r>
        <w:rPr>
          <w:color w:val="231F20"/>
          <w:w w:val="105"/>
        </w:rPr>
        <w:t>menos en </w:t>
      </w:r>
      <w:r>
        <w:rPr>
          <w:color w:val="231F20"/>
          <w:spacing w:val="2"/>
          <w:w w:val="105"/>
        </w:rPr>
        <w:t>servicios </w:t>
      </w:r>
      <w:r>
        <w:rPr>
          <w:color w:val="231F20"/>
          <w:w w:val="105"/>
        </w:rPr>
        <w:t>personales. En el periodo de la primera </w:t>
      </w:r>
      <w:r>
        <w:rPr>
          <w:color w:val="231F20"/>
          <w:spacing w:val="2"/>
          <w:w w:val="105"/>
        </w:rPr>
        <w:t>administración perredista </w:t>
      </w:r>
      <w:r>
        <w:rPr>
          <w:color w:val="231F20"/>
          <w:w w:val="105"/>
        </w:rPr>
        <w:t>tenemos que </w:t>
      </w:r>
      <w:r>
        <w:rPr>
          <w:color w:val="231F20"/>
          <w:spacing w:val="2"/>
          <w:w w:val="105"/>
        </w:rPr>
        <w:t>para </w:t>
      </w:r>
      <w:r>
        <w:rPr>
          <w:color w:val="231F20"/>
          <w:w w:val="105"/>
        </w:rPr>
        <w:t>el año </w:t>
      </w:r>
      <w:r>
        <w:rPr>
          <w:color w:val="231F20"/>
          <w:spacing w:val="4"/>
          <w:w w:val="105"/>
        </w:rPr>
        <w:t>2003 </w:t>
      </w:r>
      <w:r>
        <w:rPr>
          <w:color w:val="231F20"/>
          <w:w w:val="105"/>
        </w:rPr>
        <w:t>hay </w:t>
      </w:r>
      <w:r>
        <w:rPr>
          <w:color w:val="231F20"/>
          <w:spacing w:val="3"/>
          <w:w w:val="105"/>
        </w:rPr>
        <w:t>una </w:t>
      </w:r>
      <w:r>
        <w:rPr>
          <w:color w:val="231F20"/>
          <w:w w:val="105"/>
        </w:rPr>
        <w:t>cantidad mayor de $ </w:t>
      </w:r>
      <w:r>
        <w:rPr>
          <w:color w:val="231F20"/>
          <w:spacing w:val="2"/>
          <w:w w:val="105"/>
        </w:rPr>
        <w:t>36, </w:t>
      </w:r>
      <w:r>
        <w:rPr>
          <w:color w:val="231F20"/>
          <w:w w:val="105"/>
        </w:rPr>
        <w:t>134,771 pesos destinados a </w:t>
      </w:r>
      <w:r>
        <w:rPr>
          <w:color w:val="231F20"/>
          <w:spacing w:val="2"/>
          <w:w w:val="105"/>
        </w:rPr>
        <w:t>servicios </w:t>
      </w:r>
      <w:r>
        <w:rPr>
          <w:color w:val="231F20"/>
          <w:w w:val="105"/>
        </w:rPr>
        <w:t>personales que a obra pública y acciones</w:t>
      </w:r>
      <w:r>
        <w:rPr>
          <w:color w:val="231F20"/>
          <w:spacing w:val="-5"/>
          <w:w w:val="105"/>
        </w:rPr>
        <w:t> </w:t>
      </w:r>
      <w:r>
        <w:rPr>
          <w:color w:val="231F20"/>
          <w:spacing w:val="2"/>
          <w:w w:val="105"/>
        </w:rPr>
        <w:t>sociales.</w:t>
      </w:r>
      <w:r>
        <w:rPr>
          <w:color w:val="231F20"/>
          <w:spacing w:val="-5"/>
          <w:w w:val="105"/>
        </w:rPr>
        <w:t> </w:t>
      </w:r>
      <w:r>
        <w:rPr>
          <w:color w:val="231F20"/>
          <w:spacing w:val="2"/>
          <w:w w:val="105"/>
        </w:rPr>
        <w:t>Durante</w:t>
      </w:r>
      <w:r>
        <w:rPr>
          <w:color w:val="231F20"/>
          <w:spacing w:val="-5"/>
          <w:w w:val="105"/>
        </w:rPr>
        <w:t> </w:t>
      </w:r>
      <w:r>
        <w:rPr>
          <w:color w:val="231F20"/>
          <w:w w:val="105"/>
        </w:rPr>
        <w:t>el</w:t>
      </w:r>
      <w:r>
        <w:rPr>
          <w:color w:val="231F20"/>
          <w:spacing w:val="-5"/>
          <w:w w:val="105"/>
        </w:rPr>
        <w:t> </w:t>
      </w:r>
      <w:r>
        <w:rPr>
          <w:color w:val="231F20"/>
          <w:spacing w:val="5"/>
          <w:w w:val="105"/>
        </w:rPr>
        <w:t>2004</w:t>
      </w:r>
      <w:r>
        <w:rPr>
          <w:color w:val="231F20"/>
          <w:spacing w:val="-5"/>
          <w:w w:val="105"/>
        </w:rPr>
        <w:t> </w:t>
      </w:r>
      <w:r>
        <w:rPr>
          <w:color w:val="231F20"/>
          <w:w w:val="105"/>
        </w:rPr>
        <w:t>se</w:t>
      </w:r>
      <w:r>
        <w:rPr>
          <w:color w:val="231F20"/>
          <w:spacing w:val="-5"/>
          <w:w w:val="105"/>
        </w:rPr>
        <w:t> </w:t>
      </w:r>
      <w:r>
        <w:rPr>
          <w:color w:val="231F20"/>
          <w:spacing w:val="4"/>
          <w:w w:val="105"/>
        </w:rPr>
        <w:t>canaliza</w:t>
      </w:r>
      <w:r>
        <w:rPr>
          <w:color w:val="231F20"/>
          <w:spacing w:val="-5"/>
          <w:w w:val="105"/>
        </w:rPr>
        <w:t> </w:t>
      </w:r>
      <w:r>
        <w:rPr>
          <w:color w:val="231F20"/>
          <w:spacing w:val="3"/>
          <w:w w:val="105"/>
        </w:rPr>
        <w:t>un</w:t>
      </w:r>
      <w:r>
        <w:rPr>
          <w:color w:val="231F20"/>
          <w:spacing w:val="-5"/>
          <w:w w:val="105"/>
        </w:rPr>
        <w:t> </w:t>
      </w:r>
      <w:r>
        <w:rPr>
          <w:color w:val="231F20"/>
          <w:spacing w:val="3"/>
          <w:w w:val="105"/>
        </w:rPr>
        <w:t>mínimo</w:t>
      </w:r>
      <w:r>
        <w:rPr>
          <w:color w:val="231F20"/>
          <w:spacing w:val="-5"/>
          <w:w w:val="105"/>
        </w:rPr>
        <w:t> </w:t>
      </w:r>
      <w:r>
        <w:rPr>
          <w:color w:val="231F20"/>
          <w:w w:val="105"/>
        </w:rPr>
        <w:t>presupuesto</w:t>
      </w:r>
      <w:r>
        <w:rPr>
          <w:color w:val="231F20"/>
          <w:spacing w:val="-5"/>
          <w:w w:val="105"/>
        </w:rPr>
        <w:t> </w:t>
      </w:r>
      <w:r>
        <w:rPr>
          <w:color w:val="231F20"/>
          <w:w w:val="105"/>
        </w:rPr>
        <w:t>a</w:t>
      </w:r>
      <w:r>
        <w:rPr>
          <w:color w:val="231F20"/>
          <w:spacing w:val="-5"/>
          <w:w w:val="105"/>
        </w:rPr>
        <w:t> </w:t>
      </w:r>
      <w:r>
        <w:rPr>
          <w:color w:val="231F20"/>
          <w:w w:val="105"/>
        </w:rPr>
        <w:t>obra</w:t>
      </w:r>
      <w:r>
        <w:rPr>
          <w:color w:val="231F20"/>
          <w:spacing w:val="-5"/>
          <w:w w:val="105"/>
        </w:rPr>
        <w:t> </w:t>
      </w:r>
      <w:r>
        <w:rPr>
          <w:color w:val="231F20"/>
          <w:w w:val="105"/>
        </w:rPr>
        <w:t>pública y</w:t>
      </w:r>
      <w:r>
        <w:rPr>
          <w:color w:val="231F20"/>
          <w:spacing w:val="-15"/>
          <w:w w:val="105"/>
        </w:rPr>
        <w:t> </w:t>
      </w:r>
      <w:r>
        <w:rPr>
          <w:color w:val="231F20"/>
          <w:w w:val="105"/>
        </w:rPr>
        <w:t>acciones</w:t>
      </w:r>
      <w:r>
        <w:rPr>
          <w:color w:val="231F20"/>
          <w:spacing w:val="-15"/>
          <w:w w:val="105"/>
        </w:rPr>
        <w:t> </w:t>
      </w:r>
      <w:r>
        <w:rPr>
          <w:color w:val="231F20"/>
          <w:spacing w:val="2"/>
          <w:w w:val="105"/>
        </w:rPr>
        <w:t>sociales,</w:t>
      </w:r>
      <w:r>
        <w:rPr>
          <w:color w:val="231F20"/>
          <w:spacing w:val="-15"/>
          <w:w w:val="105"/>
        </w:rPr>
        <w:t> </w:t>
      </w:r>
      <w:r>
        <w:rPr>
          <w:color w:val="231F20"/>
          <w:w w:val="105"/>
        </w:rPr>
        <w:t>con</w:t>
      </w:r>
      <w:r>
        <w:rPr>
          <w:color w:val="231F20"/>
          <w:spacing w:val="-15"/>
          <w:w w:val="105"/>
        </w:rPr>
        <w:t> </w:t>
      </w:r>
      <w:r>
        <w:rPr>
          <w:color w:val="231F20"/>
          <w:spacing w:val="3"/>
          <w:w w:val="105"/>
        </w:rPr>
        <w:t>una</w:t>
      </w:r>
      <w:r>
        <w:rPr>
          <w:color w:val="231F20"/>
          <w:spacing w:val="-15"/>
          <w:w w:val="105"/>
        </w:rPr>
        <w:t> </w:t>
      </w:r>
      <w:r>
        <w:rPr>
          <w:color w:val="231F20"/>
          <w:w w:val="105"/>
        </w:rPr>
        <w:t>baja</w:t>
      </w:r>
      <w:r>
        <w:rPr>
          <w:color w:val="231F20"/>
          <w:spacing w:val="-15"/>
          <w:w w:val="105"/>
        </w:rPr>
        <w:t> </w:t>
      </w:r>
      <w:r>
        <w:rPr>
          <w:color w:val="231F20"/>
          <w:w w:val="105"/>
        </w:rPr>
        <w:t>considerable</w:t>
      </w:r>
      <w:r>
        <w:rPr>
          <w:color w:val="231F20"/>
          <w:spacing w:val="-15"/>
          <w:w w:val="105"/>
        </w:rPr>
        <w:t> </w:t>
      </w:r>
      <w:r>
        <w:rPr>
          <w:color w:val="231F20"/>
          <w:w w:val="105"/>
        </w:rPr>
        <w:t>de</w:t>
      </w:r>
      <w:r>
        <w:rPr>
          <w:color w:val="231F20"/>
          <w:spacing w:val="-15"/>
          <w:w w:val="105"/>
        </w:rPr>
        <w:t> </w:t>
      </w:r>
      <w:r>
        <w:rPr>
          <w:color w:val="231F20"/>
          <w:w w:val="105"/>
        </w:rPr>
        <w:t>$39,</w:t>
      </w:r>
      <w:r>
        <w:rPr>
          <w:color w:val="231F20"/>
          <w:spacing w:val="-15"/>
          <w:w w:val="105"/>
        </w:rPr>
        <w:t> </w:t>
      </w:r>
      <w:r>
        <w:rPr>
          <w:color w:val="231F20"/>
          <w:w w:val="105"/>
        </w:rPr>
        <w:t>413,</w:t>
      </w:r>
      <w:r>
        <w:rPr>
          <w:color w:val="231F20"/>
          <w:spacing w:val="-15"/>
          <w:w w:val="105"/>
        </w:rPr>
        <w:t> </w:t>
      </w:r>
      <w:r>
        <w:rPr>
          <w:color w:val="231F20"/>
          <w:w w:val="105"/>
        </w:rPr>
        <w:t>935</w:t>
      </w:r>
      <w:r>
        <w:rPr>
          <w:color w:val="231F20"/>
          <w:spacing w:val="-15"/>
          <w:w w:val="105"/>
        </w:rPr>
        <w:t> </w:t>
      </w:r>
      <w:r>
        <w:rPr>
          <w:color w:val="231F20"/>
          <w:w w:val="105"/>
        </w:rPr>
        <w:t>respecto</w:t>
      </w:r>
      <w:r>
        <w:rPr>
          <w:color w:val="231F20"/>
          <w:spacing w:val="-15"/>
          <w:w w:val="105"/>
        </w:rPr>
        <w:t> </w:t>
      </w:r>
      <w:r>
        <w:rPr>
          <w:color w:val="231F20"/>
          <w:spacing w:val="3"/>
          <w:w w:val="105"/>
        </w:rPr>
        <w:t>al</w:t>
      </w:r>
      <w:r>
        <w:rPr>
          <w:color w:val="231F20"/>
          <w:spacing w:val="-15"/>
          <w:w w:val="105"/>
        </w:rPr>
        <w:t> </w:t>
      </w:r>
      <w:r>
        <w:rPr>
          <w:color w:val="231F20"/>
          <w:w w:val="105"/>
        </w:rPr>
        <w:t>año</w:t>
      </w:r>
      <w:r>
        <w:rPr>
          <w:color w:val="231F20"/>
          <w:spacing w:val="-15"/>
          <w:w w:val="105"/>
        </w:rPr>
        <w:t> </w:t>
      </w:r>
      <w:r>
        <w:rPr>
          <w:color w:val="231F20"/>
          <w:w w:val="105"/>
        </w:rPr>
        <w:t>anterior y se </w:t>
      </w:r>
      <w:r>
        <w:rPr>
          <w:color w:val="231F20"/>
          <w:spacing w:val="2"/>
          <w:w w:val="105"/>
        </w:rPr>
        <w:t>gasta más </w:t>
      </w:r>
      <w:r>
        <w:rPr>
          <w:color w:val="231F20"/>
          <w:w w:val="105"/>
        </w:rPr>
        <w:t>en </w:t>
      </w:r>
      <w:r>
        <w:rPr>
          <w:color w:val="231F20"/>
          <w:spacing w:val="2"/>
          <w:w w:val="105"/>
        </w:rPr>
        <w:t>servicios personales. Para </w:t>
      </w:r>
      <w:r>
        <w:rPr>
          <w:color w:val="231F20"/>
          <w:w w:val="105"/>
        </w:rPr>
        <w:t>el año </w:t>
      </w:r>
      <w:r>
        <w:rPr>
          <w:color w:val="231F20"/>
          <w:spacing w:val="4"/>
          <w:w w:val="105"/>
        </w:rPr>
        <w:t>2005 </w:t>
      </w:r>
      <w:r>
        <w:rPr>
          <w:color w:val="231F20"/>
          <w:w w:val="105"/>
        </w:rPr>
        <w:t>solo hay </w:t>
      </w:r>
      <w:r>
        <w:rPr>
          <w:color w:val="231F20"/>
          <w:spacing w:val="3"/>
          <w:w w:val="105"/>
        </w:rPr>
        <w:t>un</w:t>
      </w:r>
      <w:r>
        <w:rPr>
          <w:color w:val="231F20"/>
          <w:spacing w:val="-37"/>
          <w:w w:val="105"/>
        </w:rPr>
        <w:t> </w:t>
      </w:r>
      <w:r>
        <w:rPr>
          <w:color w:val="231F20"/>
          <w:w w:val="105"/>
        </w:rPr>
        <w:t>incremento de $ </w:t>
      </w:r>
      <w:r>
        <w:rPr>
          <w:color w:val="231F20"/>
          <w:spacing w:val="2"/>
          <w:w w:val="105"/>
        </w:rPr>
        <w:t>12,</w:t>
      </w:r>
      <w:r>
        <w:rPr>
          <w:color w:val="231F20"/>
          <w:spacing w:val="-15"/>
          <w:w w:val="105"/>
        </w:rPr>
        <w:t> </w:t>
      </w:r>
      <w:r>
        <w:rPr>
          <w:color w:val="231F20"/>
          <w:w w:val="105"/>
        </w:rPr>
        <w:t>811,801</w:t>
      </w:r>
      <w:r>
        <w:rPr>
          <w:color w:val="231F20"/>
          <w:spacing w:val="-15"/>
          <w:w w:val="105"/>
        </w:rPr>
        <w:t> </w:t>
      </w:r>
      <w:r>
        <w:rPr>
          <w:color w:val="231F20"/>
          <w:w w:val="105"/>
        </w:rPr>
        <w:t>pesos</w:t>
      </w:r>
      <w:r>
        <w:rPr>
          <w:color w:val="231F20"/>
          <w:spacing w:val="-15"/>
          <w:w w:val="105"/>
        </w:rPr>
        <w:t> </w:t>
      </w:r>
      <w:r>
        <w:rPr>
          <w:color w:val="231F20"/>
          <w:w w:val="105"/>
        </w:rPr>
        <w:t>destinados</w:t>
      </w:r>
      <w:r>
        <w:rPr>
          <w:color w:val="231F20"/>
          <w:spacing w:val="-15"/>
          <w:w w:val="105"/>
        </w:rPr>
        <w:t> </w:t>
      </w:r>
      <w:r>
        <w:rPr>
          <w:color w:val="231F20"/>
          <w:w w:val="105"/>
        </w:rPr>
        <w:t>a</w:t>
      </w:r>
      <w:r>
        <w:rPr>
          <w:color w:val="231F20"/>
          <w:spacing w:val="-15"/>
          <w:w w:val="105"/>
        </w:rPr>
        <w:t> </w:t>
      </w:r>
      <w:r>
        <w:rPr>
          <w:color w:val="231F20"/>
          <w:w w:val="105"/>
        </w:rPr>
        <w:t>obra</w:t>
      </w:r>
      <w:r>
        <w:rPr>
          <w:color w:val="231F20"/>
          <w:spacing w:val="-15"/>
          <w:w w:val="105"/>
        </w:rPr>
        <w:t> </w:t>
      </w:r>
      <w:r>
        <w:rPr>
          <w:color w:val="231F20"/>
          <w:w w:val="105"/>
        </w:rPr>
        <w:t>pública</w:t>
      </w:r>
      <w:r>
        <w:rPr>
          <w:color w:val="231F20"/>
          <w:spacing w:val="-15"/>
          <w:w w:val="105"/>
        </w:rPr>
        <w:t> </w:t>
      </w:r>
      <w:r>
        <w:rPr>
          <w:color w:val="231F20"/>
          <w:w w:val="105"/>
        </w:rPr>
        <w:t>y</w:t>
      </w:r>
      <w:r>
        <w:rPr>
          <w:color w:val="231F20"/>
          <w:spacing w:val="-15"/>
          <w:w w:val="105"/>
        </w:rPr>
        <w:t> </w:t>
      </w:r>
      <w:r>
        <w:rPr>
          <w:color w:val="231F20"/>
          <w:w w:val="105"/>
        </w:rPr>
        <w:t>acciones</w:t>
      </w:r>
      <w:r>
        <w:rPr>
          <w:color w:val="231F20"/>
          <w:spacing w:val="-15"/>
          <w:w w:val="105"/>
        </w:rPr>
        <w:t> </w:t>
      </w:r>
      <w:r>
        <w:rPr>
          <w:color w:val="231F20"/>
          <w:spacing w:val="2"/>
          <w:w w:val="105"/>
        </w:rPr>
        <w:t>sociales,</w:t>
      </w:r>
      <w:r>
        <w:rPr>
          <w:color w:val="231F20"/>
          <w:spacing w:val="-15"/>
          <w:w w:val="105"/>
        </w:rPr>
        <w:t> </w:t>
      </w:r>
      <w:r>
        <w:rPr>
          <w:color w:val="231F20"/>
          <w:w w:val="105"/>
        </w:rPr>
        <w:t>y</w:t>
      </w:r>
      <w:r>
        <w:rPr>
          <w:color w:val="231F20"/>
          <w:spacing w:val="-15"/>
          <w:w w:val="105"/>
        </w:rPr>
        <w:t> </w:t>
      </w:r>
      <w:r>
        <w:rPr>
          <w:color w:val="231F20"/>
          <w:w w:val="105"/>
        </w:rPr>
        <w:t>nuevamente</w:t>
      </w:r>
      <w:r>
        <w:rPr>
          <w:color w:val="231F20"/>
          <w:spacing w:val="-15"/>
          <w:w w:val="105"/>
        </w:rPr>
        <w:t> </w:t>
      </w:r>
      <w:r>
        <w:rPr>
          <w:color w:val="231F20"/>
          <w:w w:val="105"/>
        </w:rPr>
        <w:t>se</w:t>
      </w:r>
      <w:r>
        <w:rPr>
          <w:color w:val="231F20"/>
          <w:spacing w:val="-15"/>
          <w:w w:val="105"/>
        </w:rPr>
        <w:t> </w:t>
      </w:r>
      <w:r>
        <w:rPr>
          <w:color w:val="231F20"/>
          <w:spacing w:val="2"/>
          <w:w w:val="105"/>
        </w:rPr>
        <w:t>gasta más </w:t>
      </w:r>
      <w:r>
        <w:rPr>
          <w:color w:val="231F20"/>
          <w:w w:val="105"/>
        </w:rPr>
        <w:t>en </w:t>
      </w:r>
      <w:r>
        <w:rPr>
          <w:color w:val="231F20"/>
          <w:spacing w:val="2"/>
          <w:w w:val="105"/>
        </w:rPr>
        <w:t>servicios</w:t>
      </w:r>
      <w:r>
        <w:rPr>
          <w:color w:val="231F20"/>
          <w:spacing w:val="-40"/>
          <w:w w:val="105"/>
        </w:rPr>
        <w:t> </w:t>
      </w:r>
      <w:r>
        <w:rPr>
          <w:color w:val="231F20"/>
          <w:spacing w:val="2"/>
          <w:w w:val="105"/>
        </w:rPr>
        <w:t>personales.</w:t>
      </w:r>
    </w:p>
    <w:p>
      <w:pPr>
        <w:spacing w:after="0" w:line="285" w:lineRule="auto"/>
        <w:jc w:val="both"/>
        <w:sectPr>
          <w:type w:val="continuous"/>
          <w:pgSz w:w="9640" w:h="12190"/>
          <w:pgMar w:top="0" w:bottom="0" w:left="740" w:right="740"/>
        </w:sectPr>
      </w:pPr>
    </w:p>
    <w:p>
      <w:pPr>
        <w:pStyle w:val="BodyText"/>
        <w:spacing w:before="3"/>
        <w:rPr>
          <w:sz w:val="11"/>
        </w:rPr>
      </w:pPr>
    </w:p>
    <w:p>
      <w:pPr>
        <w:pStyle w:val="BodyText"/>
        <w:spacing w:line="285" w:lineRule="auto" w:before="36"/>
        <w:ind w:left="110" w:right="107"/>
        <w:jc w:val="both"/>
      </w:pP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siguiente</w:t>
      </w:r>
      <w:r>
        <w:rPr>
          <w:color w:val="231F20"/>
          <w:spacing w:val="-15"/>
          <w:w w:val="105"/>
        </w:rPr>
        <w:t> </w:t>
      </w:r>
      <w:r>
        <w:rPr>
          <w:color w:val="231F20"/>
          <w:w w:val="105"/>
        </w:rPr>
        <w:t>gráfica</w:t>
      </w:r>
      <w:r>
        <w:rPr>
          <w:color w:val="231F20"/>
          <w:spacing w:val="-15"/>
          <w:w w:val="105"/>
        </w:rPr>
        <w:t> </w:t>
      </w:r>
      <w:r>
        <w:rPr>
          <w:color w:val="231F20"/>
          <w:w w:val="105"/>
        </w:rPr>
        <w:t>se</w:t>
      </w:r>
      <w:r>
        <w:rPr>
          <w:color w:val="231F20"/>
          <w:spacing w:val="-15"/>
          <w:w w:val="105"/>
        </w:rPr>
        <w:t> </w:t>
      </w:r>
      <w:r>
        <w:rPr>
          <w:color w:val="231F20"/>
          <w:w w:val="105"/>
        </w:rPr>
        <w:t>muestran</w:t>
      </w:r>
      <w:r>
        <w:rPr>
          <w:color w:val="231F20"/>
          <w:spacing w:val="-15"/>
          <w:w w:val="105"/>
        </w:rPr>
        <w:t> </w:t>
      </w:r>
      <w:r>
        <w:rPr>
          <w:color w:val="231F20"/>
          <w:w w:val="105"/>
        </w:rPr>
        <w:t>los</w:t>
      </w:r>
      <w:r>
        <w:rPr>
          <w:color w:val="231F20"/>
          <w:spacing w:val="-15"/>
          <w:w w:val="105"/>
        </w:rPr>
        <w:t> </w:t>
      </w:r>
      <w:r>
        <w:rPr>
          <w:color w:val="231F20"/>
          <w:w w:val="105"/>
        </w:rPr>
        <w:t>ingresos</w:t>
      </w:r>
      <w:r>
        <w:rPr>
          <w:color w:val="231F20"/>
          <w:spacing w:val="-15"/>
          <w:w w:val="105"/>
        </w:rPr>
        <w:t> </w:t>
      </w:r>
      <w:r>
        <w:rPr>
          <w:color w:val="231F20"/>
          <w:spacing w:val="-3"/>
          <w:w w:val="105"/>
        </w:rPr>
        <w:t>propios</w:t>
      </w:r>
      <w:r>
        <w:rPr>
          <w:color w:val="231F20"/>
          <w:spacing w:val="-15"/>
          <w:w w:val="105"/>
        </w:rPr>
        <w:t> </w:t>
      </w:r>
      <w:r>
        <w:rPr>
          <w:color w:val="231F20"/>
          <w:w w:val="105"/>
        </w:rPr>
        <w:t>del</w:t>
      </w:r>
      <w:r>
        <w:rPr>
          <w:color w:val="231F20"/>
          <w:spacing w:val="-15"/>
          <w:w w:val="105"/>
        </w:rPr>
        <w:t> </w:t>
      </w:r>
      <w:r>
        <w:rPr>
          <w:color w:val="231F20"/>
          <w:w w:val="105"/>
        </w:rPr>
        <w:t>municipio</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año</w:t>
      </w:r>
      <w:r>
        <w:rPr>
          <w:color w:val="231F20"/>
          <w:spacing w:val="-15"/>
          <w:w w:val="105"/>
        </w:rPr>
        <w:t> </w:t>
      </w:r>
      <w:r>
        <w:rPr>
          <w:color w:val="231F20"/>
          <w:spacing w:val="3"/>
          <w:w w:val="105"/>
        </w:rPr>
        <w:t>2006, </w:t>
      </w:r>
      <w:r>
        <w:rPr>
          <w:color w:val="231F20"/>
          <w:w w:val="105"/>
        </w:rPr>
        <w:t>que</w:t>
      </w:r>
      <w:r>
        <w:rPr>
          <w:color w:val="231F20"/>
          <w:spacing w:val="-17"/>
          <w:w w:val="105"/>
        </w:rPr>
        <w:t> </w:t>
      </w:r>
      <w:r>
        <w:rPr>
          <w:color w:val="231F20"/>
          <w:w w:val="105"/>
        </w:rPr>
        <w:t>fueron</w:t>
      </w:r>
      <w:r>
        <w:rPr>
          <w:color w:val="231F20"/>
          <w:spacing w:val="-17"/>
          <w:w w:val="105"/>
        </w:rPr>
        <w:t> </w:t>
      </w:r>
      <w:r>
        <w:rPr>
          <w:color w:val="231F20"/>
          <w:w w:val="105"/>
        </w:rPr>
        <w:t>$62.4</w:t>
      </w:r>
      <w:r>
        <w:rPr>
          <w:color w:val="231F20"/>
          <w:spacing w:val="-17"/>
          <w:w w:val="105"/>
        </w:rPr>
        <w:t> </w:t>
      </w:r>
      <w:r>
        <w:rPr>
          <w:color w:val="231F20"/>
          <w:w w:val="105"/>
        </w:rPr>
        <w:t>millones</w:t>
      </w:r>
      <w:r>
        <w:rPr>
          <w:color w:val="231F20"/>
          <w:spacing w:val="-17"/>
          <w:w w:val="105"/>
        </w:rPr>
        <w:t> </w:t>
      </w:r>
      <w:r>
        <w:rPr>
          <w:color w:val="231F20"/>
          <w:w w:val="105"/>
        </w:rPr>
        <w:t>de</w:t>
      </w:r>
      <w:r>
        <w:rPr>
          <w:color w:val="231F20"/>
          <w:spacing w:val="-17"/>
          <w:w w:val="105"/>
        </w:rPr>
        <w:t> </w:t>
      </w:r>
      <w:r>
        <w:rPr>
          <w:color w:val="231F20"/>
          <w:w w:val="105"/>
        </w:rPr>
        <w:t>pesos</w:t>
      </w:r>
      <w:r>
        <w:rPr>
          <w:color w:val="231F20"/>
          <w:spacing w:val="-17"/>
          <w:w w:val="105"/>
        </w:rPr>
        <w:t> </w:t>
      </w:r>
      <w:r>
        <w:rPr>
          <w:color w:val="231F20"/>
          <w:w w:val="105"/>
        </w:rPr>
        <w:t>y</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spacing w:val="2"/>
          <w:w w:val="105"/>
        </w:rPr>
        <w:t>2007</w:t>
      </w:r>
      <w:r>
        <w:rPr>
          <w:color w:val="231F20"/>
          <w:spacing w:val="-17"/>
          <w:w w:val="105"/>
        </w:rPr>
        <w:t> </w:t>
      </w:r>
      <w:r>
        <w:rPr>
          <w:color w:val="231F20"/>
          <w:w w:val="105"/>
        </w:rPr>
        <w:t>$60.3</w:t>
      </w:r>
      <w:r>
        <w:rPr>
          <w:color w:val="231F20"/>
          <w:spacing w:val="-17"/>
          <w:w w:val="105"/>
        </w:rPr>
        <w:t> </w:t>
      </w:r>
      <w:r>
        <w:rPr>
          <w:color w:val="231F20"/>
          <w:w w:val="105"/>
        </w:rPr>
        <w:t>millones</w:t>
      </w:r>
      <w:r>
        <w:rPr>
          <w:color w:val="231F20"/>
          <w:spacing w:val="-17"/>
          <w:w w:val="105"/>
        </w:rPr>
        <w:t> </w:t>
      </w:r>
      <w:r>
        <w:rPr>
          <w:color w:val="231F20"/>
          <w:w w:val="105"/>
        </w:rPr>
        <w:t>de</w:t>
      </w:r>
      <w:r>
        <w:rPr>
          <w:color w:val="231F20"/>
          <w:spacing w:val="-17"/>
          <w:w w:val="105"/>
        </w:rPr>
        <w:t> </w:t>
      </w:r>
      <w:r>
        <w:rPr>
          <w:color w:val="231F20"/>
          <w:w w:val="105"/>
        </w:rPr>
        <w:t>pesos.</w:t>
      </w:r>
    </w:p>
    <w:p>
      <w:pPr>
        <w:pStyle w:val="BodyText"/>
        <w:spacing w:before="1"/>
        <w:rPr>
          <w:sz w:val="26"/>
        </w:rPr>
      </w:pPr>
    </w:p>
    <w:p>
      <w:pPr>
        <w:pStyle w:val="Heading5"/>
        <w:ind w:left="1009"/>
      </w:pPr>
      <w:r>
        <w:rPr/>
        <w:pict>
          <v:group style="position:absolute;margin-left:96.306999pt;margin-top:19.550344pt;width:290.850pt;height:156.050pt;mso-position-horizontal-relative:page;mso-position-vertical-relative:paragraph;z-index:12856;mso-wrap-distance-left:0;mso-wrap-distance-right:0" coordorigin="1926,391" coordsize="5817,3121">
            <v:rect style="position:absolute;left:1936;top:401;width:5797;height:3101" filled="true" fillcolor="#c2b59b" stroked="false">
              <v:fill type="solid"/>
            </v:rect>
            <v:rect style="position:absolute;left:1936;top:401;width:5797;height:3101" filled="false" stroked="true" strokeweight="1pt" strokecolor="#808285"/>
            <v:shape style="position:absolute;left:2961;top:1885;width:913;height:214" coordorigin="2961,1885" coordsize="913,214" path="m2961,1885l2961,2099,3873,1970,2961,1885xe" filled="true" fillcolor="#1b75bc" stroked="false">
              <v:path arrowok="t"/>
              <v:fill type="solid"/>
            </v:shape>
            <v:shape style="position:absolute;left:2961;top:2364;width:2358;height:214" coordorigin="2961,2364" coordsize="2358,214" path="m2961,2364l2961,2577,5319,2448,2961,2364xe" filled="true" fillcolor="#1b75bc" stroked="false">
              <v:path arrowok="t"/>
              <v:fill type="solid"/>
            </v:shape>
            <v:rect style="position:absolute;left:6400;top:1757;width:132;height:129" filled="true" fillcolor="#1b75bc" stroked="false">
              <v:fill type="solid"/>
            </v:rect>
            <v:line style="position:absolute" from="2851,829" to="5841,829" stroked="true" strokeweight=".5pt" strokecolor="#e6e7e8"/>
            <v:line style="position:absolute" from="2851,1315" to="5841,1315" stroked="true" strokeweight=".5pt" strokecolor="#e6e7e8"/>
            <v:line style="position:absolute" from="2851,1782" to="5841,1782" stroked="true" strokeweight=".5pt" strokecolor="#e6e7e8"/>
            <v:line style="position:absolute" from="2851,2257" to="5841,2257" stroked="true" strokeweight=".5pt" strokecolor="#e6e7e8"/>
            <v:line style="position:absolute" from="2851,2739" to="5841,2739" stroked="true" strokeweight=".5pt" strokecolor="#e6e7e8"/>
            <v:line style="position:absolute" from="2913,2809" to="2913,829" stroked="true" strokeweight=".5pt" strokecolor="#e6e7e8"/>
            <v:line style="position:absolute" from="3598,2809" to="3598,2739" stroked="true" strokeweight=".5pt" strokecolor="#e6e7e8"/>
            <v:line style="position:absolute" from="4289,2809" to="4289,2739" stroked="true" strokeweight=".5pt" strokecolor="#e6e7e8"/>
            <v:line style="position:absolute" from="4995,2809" to="4995,2739" stroked="true" strokeweight=".5pt" strokecolor="#e6e7e8"/>
            <v:line style="position:absolute" from="5679,2809" to="5679,2739" stroked="true" strokeweight=".5pt" strokecolor="#e6e7e8"/>
            <v:shape style="position:absolute;left:2809;top:3030;width:205;height:143" type="#_x0000_t75" stroked="false">
              <v:imagedata r:id="rId1082" o:title=""/>
            </v:shape>
            <v:shape style="position:absolute;left:3166;top:1919;width:482;height:177" type="#_x0000_t75" stroked="false">
              <v:imagedata r:id="rId1083" o:title=""/>
            </v:shape>
            <v:shape style="position:absolute;left:3880;top:2390;width:484;height:177" type="#_x0000_t75" stroked="false">
              <v:imagedata r:id="rId1084" o:title=""/>
            </v:shape>
            <v:shape style="position:absolute;left:2272;top:1959;width:429;height:143" type="#_x0000_t75" stroked="false">
              <v:imagedata r:id="rId1085" o:title=""/>
            </v:shape>
            <v:shape style="position:absolute;left:2272;top:2438;width:428;height:143" type="#_x0000_t75" stroked="false">
              <v:imagedata r:id="rId1086" o:title=""/>
            </v:shape>
            <v:shape style="position:absolute;left:3498;top:3030;width:205;height:143" type="#_x0000_t75" stroked="false">
              <v:imagedata r:id="rId1087" o:title=""/>
            </v:shape>
            <v:shape style="position:absolute;left:4190;top:3030;width:173;height:143" type="#_x0000_t75" stroked="false">
              <v:imagedata r:id="rId1088" o:title=""/>
            </v:shape>
            <v:shape style="position:absolute;left:4900;top:3030;width:205;height:143" type="#_x0000_t75" stroked="false">
              <v:imagedata r:id="rId1089" o:title=""/>
            </v:shape>
            <v:shape style="position:absolute;left:5591;top:3030;width:205;height:143" type="#_x0000_t75" stroked="false">
              <v:imagedata r:id="rId1090" o:title=""/>
            </v:shape>
            <v:line style="position:absolute" from="6610,1739" to="6610,1863" stroked="true" strokeweight=".847pt" strokecolor="#231f20"/>
            <v:shape style="position:absolute;left:6645;top:1739;width:98;height:124" coordorigin="6645,1739" coordsize="98,124" path="m6665,1739l6645,1739,6645,1863,6661,1863,6661,1763,6680,1763,6665,1739xm6680,1763l6661,1763,6724,1863,6743,1863,6743,1839,6727,1839,6680,1763xm6743,1739l6727,1739,6727,1839,6743,1839,6743,1739xe" filled="true" fillcolor="#231f20" stroked="false">
              <v:path arrowok="t"/>
              <v:fill type="solid"/>
            </v:shape>
            <v:shape style="position:absolute;left:6765;top:1736;width:112;height:131" coordorigin="6765,1736" coordsize="112,131" path="m6834,1736l6823,1736,6811,1737,6800,1741,6790,1746,6782,1754,6775,1764,6769,1775,6766,1788,6765,1803,6766,1818,6769,1831,6775,1842,6782,1852,6793,1862,6805,1866,6831,1866,6840,1864,6847,1860,6851,1858,6856,1853,6858,1852,6809,1852,6798,1847,6786,1829,6782,1817,6782,1802,6783,1790,6785,1780,6789,1771,6794,1764,6802,1755,6811,1751,6863,1751,6861,1749,6852,1743,6844,1738,6834,1736xm6877,1847l6862,1847,6866,1863,6877,1863,6877,1847xm6877,1797l6822,1797,6822,1811,6861,1811,6861,1825,6857,1836,6843,1849,6834,1852,6858,1852,6862,1847,6877,1847,6877,1797xm6863,1751l6832,1751,6840,1753,6852,1761,6856,1768,6858,1777,6875,1777,6872,1766,6867,1756,6863,1751xe" filled="true" fillcolor="#231f20" stroked="false">
              <v:path arrowok="t"/>
              <v:fill type="solid"/>
            </v:shape>
            <v:shape style="position:absolute;left:6906;top:1739;width:101;height:124" coordorigin="6906,1739" coordsize="101,124" path="m6972,1739l6906,1739,6906,1863,6923,1863,6923,1810,6996,1810,6994,1807,6990,1804,6985,1802,6991,1799,6994,1796,6923,1796,6923,1754,7000,1754,6997,1749,6979,1741,6972,1739xm6996,1810l6967,1810,6972,1811,6975,1812,6980,1815,6983,1820,6985,1854,6985,1857,6986,1861,6986,1862,6987,1863,7007,1863,7007,1860,7005,1859,7003,1857,7001,1850,7001,1847,7000,1818,6998,1813,6996,1810xm7000,1754l6968,1754,6973,1755,6976,1756,6982,1759,6986,1765,6986,1782,6983,1788,6974,1794,6968,1796,6994,1796,6995,1796,7001,1786,7003,1780,7003,1758,7000,1754xe" filled="true" fillcolor="#231f20" stroked="false">
              <v:path arrowok="t"/>
              <v:fill type="solid"/>
            </v:shape>
            <v:shape style="position:absolute;left:7030;top:1739;width:92;height:124" coordorigin="7030,1739" coordsize="92,124" path="m7120,1739l7030,1739,7030,1863,7122,1863,7122,1848,7047,1848,7047,1806,7115,1806,7115,1792,7047,1792,7047,1755,7120,1755,7120,1739xe" filled="true" fillcolor="#231f20" stroked="false">
              <v:path arrowok="t"/>
              <v:fill type="solid"/>
            </v:shape>
            <v:shape style="position:absolute;left:7139;top:1736;width:97;height:131" coordorigin="7139,1736" coordsize="97,131" path="m7155,1823l7139,1823,7139,1837,7143,1847,7160,1863,7172,1867,7200,1867,7211,1864,7230,1853,7175,1853,7165,1848,7160,1840,7157,1836,7155,1830,7155,1823xm7199,1736l7173,1736,7162,1740,7147,1754,7143,1763,7143,1785,7147,1792,7159,1800,7167,1803,7202,1812,7209,1814,7213,1817,7217,1820,7219,1824,7219,1840,7214,1846,7200,1852,7194,1853,7230,1853,7231,1852,7235,1842,7235,1817,7232,1809,7220,1800,7213,1797,7177,1789,7170,1787,7167,1785,7162,1782,7159,1777,7159,1766,7161,1761,7170,1753,7176,1751,7226,1751,7210,1739,7199,1736xm7226,1751l7198,1751,7206,1754,7213,1764,7215,1769,7216,1776,7232,1776,7232,1762,7227,1752,7226,1751xe" filled="true" fillcolor="#231f20" stroked="false">
              <v:path arrowok="t"/>
              <v:fill type="solid"/>
            </v:shape>
            <v:shape style="position:absolute;left:7253;top:1736;width:121;height:131" coordorigin="7253,1736" coordsize="121,131" path="m7312,1736l7298,1737,7285,1742,7274,1749,7265,1759,7260,1768,7256,1779,7253,1790,7253,1799,7253,1803,7254,1815,7256,1827,7261,1838,7267,1848,7276,1856,7287,1862,7299,1866,7312,1867,7327,1865,7339,1861,7350,1855,7353,1852,7299,1852,7287,1847,7273,1828,7270,1817,7270,1802,7271,1791,7273,1780,7277,1771,7282,1764,7290,1755,7301,1751,7355,1751,7352,1748,7341,1741,7328,1737,7312,1736xm7355,1751l7327,1751,7337,1755,7352,1773,7356,1785,7356,1813,7353,1825,7340,1847,7329,1852,7353,1852,7359,1845,7365,1835,7370,1824,7372,1812,7373,1799,7373,1787,7370,1776,7366,1766,7361,1757,7355,1751xe" filled="true" fillcolor="#231f20" stroked="false">
              <v:path arrowok="t"/>
              <v:fill type="solid"/>
            </v:shape>
            <v:shape style="position:absolute;left:7388;top:1736;width:97;height:131" coordorigin="7388,1736" coordsize="97,131" path="m7404,1823l7388,1823,7388,1837,7392,1847,7409,1863,7421,1867,7449,1867,7460,1864,7479,1853,7424,1853,7414,1848,7409,1840,7406,1836,7405,1830,7404,1823xm7448,1736l7422,1736,7411,1740,7396,1754,7393,1763,7393,1785,7396,1792,7408,1800,7416,1803,7452,1812,7458,1814,7462,1817,7466,1820,7468,1824,7468,1840,7464,1846,7449,1852,7443,1853,7479,1853,7480,1852,7485,1842,7485,1817,7481,1809,7469,1800,7463,1797,7426,1789,7419,1787,7416,1785,7411,1782,7409,1777,7409,1766,7411,1761,7419,1753,7426,1751,7475,1751,7459,1739,7448,1736xm7475,1751l7447,1751,7455,1754,7463,1764,7465,1769,7465,1776,7481,1776,7481,1762,7477,1752,7475,1751xe" filled="true" fillcolor="#231f20" stroked="false">
              <v:path arrowok="t"/>
              <v:fill type="solid"/>
            </v:shape>
            <v:shape style="position:absolute;left:6599;top:2023;width:466;height:131" type="#_x0000_t75" stroked="false">
              <v:imagedata r:id="rId1091" o:title=""/>
            </v:shape>
            <v:shape style="position:absolute;left:7090;top:2018;width:270;height:141" type="#_x0000_t75" stroked="false">
              <v:imagedata r:id="rId1092" o:title=""/>
            </v:shape>
            <w10:wrap type="topAndBottom"/>
          </v:group>
        </w:pict>
      </w:r>
      <w:r>
        <w:rPr>
          <w:color w:val="231F20"/>
          <w:w w:val="105"/>
        </w:rPr>
        <w:t>Gráfica 5. Ingresos propios del Municipio de Chalco 2006-2007</w:t>
      </w:r>
    </w:p>
    <w:p>
      <w:pPr>
        <w:spacing w:before="112"/>
        <w:ind w:left="3882" w:right="-2" w:firstLine="0"/>
        <w:jc w:val="left"/>
        <w:rPr>
          <w:rFonts w:ascii="Calibri" w:hAnsi="Calibri"/>
          <w:sz w:val="16"/>
        </w:rPr>
      </w:pPr>
      <w:r>
        <w:rPr>
          <w:rFonts w:ascii="Calibri" w:hAnsi="Calibri"/>
          <w:color w:val="231F20"/>
          <w:sz w:val="16"/>
        </w:rPr>
        <w:t>Fuente: Elaboración propia con datos según fitchmexico.com.mx</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Las</w:t>
      </w:r>
      <w:r>
        <w:rPr>
          <w:color w:val="231F20"/>
          <w:spacing w:val="-29"/>
          <w:w w:val="105"/>
        </w:rPr>
        <w:t> </w:t>
      </w:r>
      <w:r>
        <w:rPr>
          <w:color w:val="231F20"/>
          <w:w w:val="105"/>
        </w:rPr>
        <w:t>participaciones</w:t>
      </w:r>
      <w:r>
        <w:rPr>
          <w:color w:val="231F20"/>
          <w:spacing w:val="-29"/>
          <w:w w:val="105"/>
        </w:rPr>
        <w:t> </w:t>
      </w:r>
      <w:r>
        <w:rPr>
          <w:color w:val="231F20"/>
          <w:w w:val="105"/>
        </w:rPr>
        <w:t>Federales</w:t>
      </w:r>
      <w:r>
        <w:rPr>
          <w:color w:val="231F20"/>
          <w:spacing w:val="-29"/>
          <w:w w:val="105"/>
        </w:rPr>
        <w:t> </w:t>
      </w:r>
      <w:r>
        <w:rPr>
          <w:color w:val="231F20"/>
          <w:w w:val="105"/>
        </w:rPr>
        <w:t>fueron</w:t>
      </w:r>
      <w:r>
        <w:rPr>
          <w:color w:val="231F20"/>
          <w:spacing w:val="-29"/>
          <w:w w:val="105"/>
        </w:rPr>
        <w:t> </w:t>
      </w:r>
      <w:r>
        <w:rPr>
          <w:color w:val="231F20"/>
          <w:w w:val="105"/>
        </w:rPr>
        <w:t>$100.3</w:t>
      </w:r>
      <w:r>
        <w:rPr>
          <w:color w:val="231F20"/>
          <w:spacing w:val="-29"/>
          <w:w w:val="105"/>
        </w:rPr>
        <w:t> </w:t>
      </w:r>
      <w:r>
        <w:rPr>
          <w:color w:val="231F20"/>
          <w:w w:val="105"/>
        </w:rPr>
        <w:t>y</w:t>
      </w:r>
      <w:r>
        <w:rPr>
          <w:color w:val="231F20"/>
          <w:spacing w:val="-29"/>
          <w:w w:val="105"/>
        </w:rPr>
        <w:t> </w:t>
      </w:r>
      <w:r>
        <w:rPr>
          <w:color w:val="231F20"/>
          <w:w w:val="105"/>
        </w:rPr>
        <w:t>$86.4</w:t>
      </w:r>
      <w:r>
        <w:rPr>
          <w:color w:val="231F20"/>
          <w:spacing w:val="-29"/>
          <w:w w:val="105"/>
        </w:rPr>
        <w:t> </w:t>
      </w:r>
      <w:r>
        <w:rPr>
          <w:color w:val="231F20"/>
          <w:w w:val="105"/>
        </w:rPr>
        <w:t>millones</w:t>
      </w:r>
      <w:r>
        <w:rPr>
          <w:color w:val="231F20"/>
          <w:spacing w:val="-29"/>
          <w:w w:val="105"/>
        </w:rPr>
        <w:t> </w:t>
      </w:r>
      <w:r>
        <w:rPr>
          <w:color w:val="231F20"/>
          <w:w w:val="105"/>
        </w:rPr>
        <w:t>de</w:t>
      </w:r>
      <w:r>
        <w:rPr>
          <w:color w:val="231F20"/>
          <w:spacing w:val="-29"/>
          <w:w w:val="105"/>
        </w:rPr>
        <w:t> </w:t>
      </w:r>
      <w:r>
        <w:rPr>
          <w:color w:val="231F20"/>
          <w:w w:val="105"/>
        </w:rPr>
        <w:t>pesos</w:t>
      </w:r>
      <w:r>
        <w:rPr>
          <w:color w:val="231F20"/>
          <w:spacing w:val="-29"/>
          <w:w w:val="105"/>
        </w:rPr>
        <w:t> </w:t>
      </w:r>
      <w:r>
        <w:rPr>
          <w:color w:val="231F20"/>
          <w:w w:val="105"/>
        </w:rPr>
        <w:t>para</w:t>
      </w:r>
      <w:r>
        <w:rPr>
          <w:color w:val="231F20"/>
          <w:spacing w:val="-29"/>
          <w:w w:val="105"/>
        </w:rPr>
        <w:t> </w:t>
      </w:r>
      <w:r>
        <w:rPr>
          <w:color w:val="231F20"/>
          <w:w w:val="105"/>
        </w:rPr>
        <w:t>el</w:t>
      </w:r>
      <w:r>
        <w:rPr>
          <w:color w:val="231F20"/>
          <w:spacing w:val="-29"/>
          <w:w w:val="105"/>
        </w:rPr>
        <w:t> </w:t>
      </w:r>
      <w:r>
        <w:rPr>
          <w:color w:val="231F20"/>
          <w:w w:val="105"/>
        </w:rPr>
        <w:t>año</w:t>
      </w:r>
      <w:r>
        <w:rPr>
          <w:color w:val="231F20"/>
          <w:spacing w:val="-29"/>
          <w:w w:val="105"/>
        </w:rPr>
        <w:t> </w:t>
      </w:r>
      <w:r>
        <w:rPr>
          <w:color w:val="231F20"/>
          <w:spacing w:val="3"/>
          <w:w w:val="105"/>
        </w:rPr>
        <w:t>2006</w:t>
      </w:r>
      <w:r>
        <w:rPr>
          <w:color w:val="231F20"/>
          <w:spacing w:val="-29"/>
          <w:w w:val="105"/>
        </w:rPr>
        <w:t> </w:t>
      </w:r>
      <w:r>
        <w:rPr>
          <w:color w:val="231F20"/>
          <w:w w:val="105"/>
        </w:rPr>
        <w:t>y </w:t>
      </w:r>
      <w:r>
        <w:rPr>
          <w:color w:val="231F20"/>
          <w:spacing w:val="2"/>
          <w:w w:val="105"/>
        </w:rPr>
        <w:t>2007</w:t>
      </w:r>
      <w:r>
        <w:rPr>
          <w:color w:val="231F20"/>
          <w:spacing w:val="-19"/>
          <w:w w:val="105"/>
        </w:rPr>
        <w:t> </w:t>
      </w:r>
      <w:r>
        <w:rPr>
          <w:color w:val="231F20"/>
          <w:w w:val="105"/>
        </w:rPr>
        <w:t>respectivamente.</w:t>
      </w:r>
      <w:r>
        <w:rPr>
          <w:color w:val="231F20"/>
          <w:spacing w:val="-19"/>
          <w:w w:val="105"/>
        </w:rPr>
        <w:t> </w:t>
      </w:r>
      <w:r>
        <w:rPr>
          <w:color w:val="231F20"/>
          <w:spacing w:val="-7"/>
          <w:w w:val="105"/>
        </w:rPr>
        <w:t>Ver</w:t>
      </w:r>
      <w:r>
        <w:rPr>
          <w:color w:val="231F20"/>
          <w:spacing w:val="-19"/>
          <w:w w:val="105"/>
        </w:rPr>
        <w:t> </w:t>
      </w:r>
      <w:r>
        <w:rPr>
          <w:color w:val="231F20"/>
          <w:w w:val="105"/>
        </w:rPr>
        <w:t>gráfica</w:t>
      </w:r>
      <w:r>
        <w:rPr>
          <w:color w:val="231F20"/>
          <w:spacing w:val="-19"/>
          <w:w w:val="105"/>
        </w:rPr>
        <w:t> </w:t>
      </w:r>
      <w:r>
        <w:rPr>
          <w:color w:val="231F20"/>
          <w:w w:val="105"/>
        </w:rPr>
        <w:t>6.</w:t>
      </w:r>
      <w:r>
        <w:rPr>
          <w:color w:val="231F20"/>
          <w:spacing w:val="-19"/>
          <w:w w:val="105"/>
        </w:rPr>
        <w:t> </w:t>
      </w:r>
      <w:r>
        <w:rPr>
          <w:color w:val="231F20"/>
          <w:w w:val="105"/>
        </w:rPr>
        <w:t>En</w:t>
      </w:r>
      <w:r>
        <w:rPr>
          <w:color w:val="231F20"/>
          <w:spacing w:val="-19"/>
          <w:w w:val="105"/>
        </w:rPr>
        <w:t> </w:t>
      </w:r>
      <w:r>
        <w:rPr>
          <w:color w:val="231F20"/>
          <w:w w:val="105"/>
        </w:rPr>
        <w:t>cuanto</w:t>
      </w:r>
      <w:r>
        <w:rPr>
          <w:color w:val="231F20"/>
          <w:spacing w:val="-19"/>
          <w:w w:val="105"/>
        </w:rPr>
        <w:t> </w:t>
      </w:r>
      <w:r>
        <w:rPr>
          <w:color w:val="231F20"/>
          <w:spacing w:val="2"/>
          <w:w w:val="105"/>
        </w:rPr>
        <w:t>al</w:t>
      </w:r>
      <w:r>
        <w:rPr>
          <w:color w:val="231F20"/>
          <w:spacing w:val="-19"/>
          <w:w w:val="105"/>
        </w:rPr>
        <w:t> </w:t>
      </w:r>
      <w:r>
        <w:rPr>
          <w:color w:val="231F20"/>
          <w:spacing w:val="-3"/>
          <w:w w:val="105"/>
        </w:rPr>
        <w:t>fondo</w:t>
      </w:r>
      <w:r>
        <w:rPr>
          <w:color w:val="231F20"/>
          <w:spacing w:val="-19"/>
          <w:w w:val="105"/>
        </w:rPr>
        <w:t> </w:t>
      </w:r>
      <w:r>
        <w:rPr>
          <w:color w:val="231F20"/>
          <w:w w:val="105"/>
        </w:rPr>
        <w:t>de</w:t>
      </w:r>
      <w:r>
        <w:rPr>
          <w:color w:val="231F20"/>
          <w:spacing w:val="-19"/>
          <w:w w:val="105"/>
        </w:rPr>
        <w:t> </w:t>
      </w:r>
      <w:r>
        <w:rPr>
          <w:color w:val="231F20"/>
          <w:w w:val="105"/>
        </w:rPr>
        <w:t>Infraestructura</w:t>
      </w:r>
      <w:r>
        <w:rPr>
          <w:color w:val="231F20"/>
          <w:spacing w:val="-19"/>
          <w:w w:val="105"/>
        </w:rPr>
        <w:t> </w:t>
      </w:r>
      <w:r>
        <w:rPr>
          <w:color w:val="231F20"/>
          <w:w w:val="105"/>
        </w:rPr>
        <w:t>Social</w:t>
      </w:r>
      <w:r>
        <w:rPr>
          <w:color w:val="231F20"/>
          <w:spacing w:val="-19"/>
          <w:w w:val="105"/>
        </w:rPr>
        <w:t> </w:t>
      </w:r>
      <w:r>
        <w:rPr>
          <w:color w:val="231F20"/>
          <w:w w:val="105"/>
        </w:rPr>
        <w:t>Ramo 33</w:t>
      </w:r>
      <w:r>
        <w:rPr>
          <w:color w:val="231F20"/>
          <w:spacing w:val="-17"/>
          <w:w w:val="105"/>
        </w:rPr>
        <w:t> </w:t>
      </w:r>
      <w:r>
        <w:rPr>
          <w:color w:val="231F20"/>
          <w:w w:val="105"/>
        </w:rPr>
        <w:t>se</w:t>
      </w:r>
      <w:r>
        <w:rPr>
          <w:color w:val="231F20"/>
          <w:spacing w:val="-17"/>
          <w:w w:val="105"/>
        </w:rPr>
        <w:t> </w:t>
      </w:r>
      <w:r>
        <w:rPr>
          <w:color w:val="231F20"/>
          <w:w w:val="105"/>
        </w:rPr>
        <w:t>tuvo</w:t>
      </w:r>
      <w:r>
        <w:rPr>
          <w:color w:val="231F20"/>
          <w:spacing w:val="-17"/>
          <w:w w:val="105"/>
        </w:rPr>
        <w:t> </w:t>
      </w:r>
      <w:r>
        <w:rPr>
          <w:color w:val="231F20"/>
          <w:w w:val="105"/>
        </w:rPr>
        <w:t>$33.4</w:t>
      </w:r>
      <w:r>
        <w:rPr>
          <w:color w:val="231F20"/>
          <w:spacing w:val="-17"/>
          <w:w w:val="105"/>
        </w:rPr>
        <w:t> </w:t>
      </w:r>
      <w:r>
        <w:rPr>
          <w:color w:val="231F20"/>
          <w:w w:val="105"/>
        </w:rPr>
        <w:t>millones</w:t>
      </w:r>
      <w:r>
        <w:rPr>
          <w:color w:val="231F20"/>
          <w:spacing w:val="-17"/>
          <w:w w:val="105"/>
        </w:rPr>
        <w:t> </w:t>
      </w:r>
      <w:r>
        <w:rPr>
          <w:color w:val="231F20"/>
          <w:w w:val="105"/>
        </w:rPr>
        <w:t>de</w:t>
      </w:r>
      <w:r>
        <w:rPr>
          <w:color w:val="231F20"/>
          <w:spacing w:val="-17"/>
          <w:w w:val="105"/>
        </w:rPr>
        <w:t> </w:t>
      </w:r>
      <w:r>
        <w:rPr>
          <w:color w:val="231F20"/>
          <w:w w:val="105"/>
        </w:rPr>
        <w:t>pesos</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spacing w:val="3"/>
          <w:w w:val="105"/>
        </w:rPr>
        <w:t>2006</w:t>
      </w:r>
      <w:r>
        <w:rPr>
          <w:color w:val="231F20"/>
          <w:spacing w:val="-17"/>
          <w:w w:val="105"/>
        </w:rPr>
        <w:t> </w:t>
      </w:r>
      <w:r>
        <w:rPr>
          <w:color w:val="231F20"/>
          <w:w w:val="105"/>
        </w:rPr>
        <w:t>y</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spacing w:val="2"/>
          <w:w w:val="105"/>
        </w:rPr>
        <w:t>2007</w:t>
      </w:r>
      <w:r>
        <w:rPr>
          <w:color w:val="231F20"/>
          <w:spacing w:val="-17"/>
          <w:w w:val="105"/>
        </w:rPr>
        <w:t> </w:t>
      </w:r>
      <w:r>
        <w:rPr>
          <w:color w:val="231F20"/>
          <w:w w:val="105"/>
        </w:rPr>
        <w:t>$</w:t>
      </w:r>
      <w:r>
        <w:rPr>
          <w:color w:val="231F20"/>
          <w:spacing w:val="-17"/>
          <w:w w:val="105"/>
        </w:rPr>
        <w:t> </w:t>
      </w:r>
      <w:r>
        <w:rPr>
          <w:color w:val="231F20"/>
          <w:w w:val="105"/>
        </w:rPr>
        <w:t>36.7</w:t>
      </w:r>
      <w:r>
        <w:rPr>
          <w:color w:val="231F20"/>
          <w:spacing w:val="-17"/>
          <w:w w:val="105"/>
        </w:rPr>
        <w:t> </w:t>
      </w:r>
      <w:r>
        <w:rPr>
          <w:color w:val="231F20"/>
          <w:w w:val="105"/>
        </w:rPr>
        <w:t>millones</w:t>
      </w:r>
      <w:r>
        <w:rPr>
          <w:color w:val="231F20"/>
          <w:spacing w:val="-17"/>
          <w:w w:val="105"/>
        </w:rPr>
        <w:t> </w:t>
      </w:r>
      <w:r>
        <w:rPr>
          <w:color w:val="231F20"/>
          <w:w w:val="105"/>
        </w:rPr>
        <w:t>de</w:t>
      </w:r>
      <w:r>
        <w:rPr>
          <w:color w:val="231F20"/>
          <w:spacing w:val="-17"/>
          <w:w w:val="105"/>
        </w:rPr>
        <w:t> </w:t>
      </w:r>
      <w:r>
        <w:rPr>
          <w:color w:val="231F20"/>
          <w:w w:val="105"/>
        </w:rPr>
        <w:t>pesos. </w:t>
      </w:r>
      <w:r>
        <w:rPr>
          <w:color w:val="231F20"/>
          <w:spacing w:val="-7"/>
          <w:w w:val="105"/>
        </w:rPr>
        <w:t>Ver </w:t>
      </w:r>
      <w:r>
        <w:rPr>
          <w:color w:val="231F20"/>
          <w:w w:val="105"/>
        </w:rPr>
        <w:t>gráfica</w:t>
      </w:r>
      <w:r>
        <w:rPr>
          <w:color w:val="231F20"/>
          <w:spacing w:val="-39"/>
          <w:w w:val="105"/>
        </w:rPr>
        <w:t> </w:t>
      </w:r>
      <w:r>
        <w:rPr>
          <w:color w:val="231F20"/>
          <w:spacing w:val="-11"/>
          <w:w w:val="105"/>
        </w:rPr>
        <w:t>7.</w:t>
      </w:r>
    </w:p>
    <w:p>
      <w:pPr>
        <w:spacing w:after="0" w:line="285" w:lineRule="auto"/>
        <w:jc w:val="both"/>
        <w:sectPr>
          <w:footerReference w:type="default" r:id="rId1081"/>
          <w:pgSz w:w="9640" w:h="12190"/>
          <w:pgMar w:footer="743" w:header="0" w:top="1120" w:bottom="940" w:left="740" w:right="740"/>
          <w:pgNumType w:start="430"/>
        </w:sectPr>
      </w:pPr>
    </w:p>
    <w:p>
      <w:pPr>
        <w:pStyle w:val="Heading5"/>
        <w:spacing w:before="27"/>
        <w:ind w:left="66" w:right="585"/>
        <w:jc w:val="center"/>
      </w:pPr>
      <w:r>
        <w:rPr/>
        <w:pict>
          <v:group style="position:absolute;margin-left:254.104294pt;margin-top:23.22085pt;width:131.7pt;height:156pt;mso-position-horizontal-relative:page;mso-position-vertical-relative:paragraph;z-index:13312" coordorigin="5082,464" coordsize="2634,3120">
            <v:shape style="position:absolute;left:0;top:11060;width:2624;height:3110" coordorigin="0,11060" coordsize="2624,3110" path="m5087,469l7711,469m5087,973l7711,973m5087,1487l7711,1487m5087,1990l7711,1990m5087,2488l7711,2488m5087,2991l7711,2991m5087,3500l7711,3500m5149,3579l5149,469m5800,3579l5800,3500m6433,3579l6433,3500m7077,3579l7077,3500m7711,3579l7711,3500e" filled="false" stroked="true" strokeweight=".5pt" strokecolor="#231f20">
              <v:path arrowok="t"/>
            </v:shape>
            <v:shape style="position:absolute;left:5840;top:846;width:111;height:203" type="#_x0000_t75" stroked="false">
              <v:imagedata r:id="rId1093" o:title=""/>
            </v:shape>
            <v:shape style="position:absolute;left:5982;top:864;width:59;height:159" coordorigin="5982,864" coordsize="59,159" path="m6041,864l6025,864,6022,876,6018,884,6006,890,5996,893,5982,894,5982,909,6019,909,6019,1022,6041,1022,6041,864xe" filled="true" fillcolor="#231f20" stroked="false">
              <v:path arrowok="t"/>
              <v:fill type="solid"/>
            </v:shape>
            <v:shape style="position:absolute;left:6094;top:863;width:427;height:164" type="#_x0000_t75" stroked="false">
              <v:imagedata r:id="rId1094" o:title=""/>
            </v:shape>
            <v:shape style="position:absolute;left:6485;top:2253;width:556;height:203" type="#_x0000_t75" stroked="false">
              <v:imagedata r:id="rId1095" o:title=""/>
            </v:shape>
            <v:shape style="position:absolute;left:5288;top:748;width:1020;height:1802" coordorigin="5288,748" coordsize="1020,1802" path="m5672,940l5480,748,5288,940,5480,1132,5672,940m6307,2358l6116,2166,5924,2358,6116,2550,6307,2358e" filled="true" fillcolor="#8dc63f" stroked="false">
              <v:path arrowok="t"/>
              <v:fill type="solid"/>
            </v:shape>
            <v:line style="position:absolute" from="5474,938" to="6094,2315" stroked="true" strokeweight="5pt" strokecolor="#8dc63f"/>
            <w10:wrap type="none"/>
          </v:group>
        </w:pict>
      </w:r>
      <w:r>
        <w:rPr/>
        <w:pict>
          <v:group style="position:absolute;margin-left:209.48851pt;margin-top:18.535051pt;width:34.050pt;height:10.2pt;mso-position-horizontal-relative:page;mso-position-vertical-relative:paragraph;z-index:13336" coordorigin="4190,371" coordsize="681,204">
            <v:shape style="position:absolute;left:4190;top:371;width:111;height:203" type="#_x0000_t75" stroked="false">
              <v:imagedata r:id="rId1096" o:title=""/>
            </v:shape>
            <v:shape style="position:absolute;left:4331;top:389;width:59;height:159" coordorigin="4331,389" coordsize="59,159" path="m4390,389l4374,389,4372,401,4367,409,4356,415,4346,418,4331,419,4331,435,4369,435,4369,547,4390,547,4390,389xe" filled="true" fillcolor="#231f20" stroked="false">
              <v:path arrowok="t"/>
              <v:fill type="solid"/>
            </v:shape>
            <v:shape style="position:absolute;left:4443;top:388;width:427;height:164" type="#_x0000_t75" stroked="false">
              <v:imagedata r:id="rId1097" o:title=""/>
            </v:shape>
            <w10:wrap type="none"/>
          </v:group>
        </w:pict>
      </w:r>
      <w:r>
        <w:rPr/>
        <w:pict>
          <v:group style="position:absolute;margin-left:209.48851pt;margin-top:43.406845pt;width:34.050pt;height:10.2pt;mso-position-horizontal-relative:page;mso-position-vertical-relative:paragraph;z-index:13360" coordorigin="4190,868" coordsize="681,204">
            <v:shape style="position:absolute;left:4190;top:868;width:111;height:203" type="#_x0000_t75" stroked="false">
              <v:imagedata r:id="rId1098" o:title=""/>
            </v:shape>
            <v:shape style="position:absolute;left:4331;top:886;width:59;height:159" coordorigin="4331,886" coordsize="59,159" path="m4390,886l4374,886,4372,898,4367,906,4356,913,4346,915,4331,917,4331,932,4369,932,4369,1045,4390,1045,4390,886xe" filled="true" fillcolor="#231f20" stroked="false">
              <v:path arrowok="t"/>
              <v:fill type="solid"/>
            </v:shape>
            <v:shape style="position:absolute;left:4443;top:885;width:427;height:164" type="#_x0000_t75" stroked="false">
              <v:imagedata r:id="rId1099" o:title=""/>
            </v:shape>
            <w10:wrap type="none"/>
          </v:group>
        </w:pict>
      </w:r>
      <w:r>
        <w:rPr/>
        <w:drawing>
          <wp:anchor distT="0" distB="0" distL="0" distR="0" allowOverlap="1" layoutInCell="1" locked="0" behindDoc="0" simplePos="0" relativeHeight="13384">
            <wp:simplePos x="0" y="0"/>
            <wp:positionH relativeFrom="page">
              <wp:posOffset>2736169</wp:posOffset>
            </wp:positionH>
            <wp:positionV relativeFrom="paragraph">
              <wp:posOffset>877908</wp:posOffset>
            </wp:positionV>
            <wp:extent cx="350518" cy="128587"/>
            <wp:effectExtent l="0" t="0" r="0" b="0"/>
            <wp:wrapNone/>
            <wp:docPr id="395" name="image1000.png" descr=""/>
            <wp:cNvGraphicFramePr>
              <a:graphicFrameLocks noChangeAspect="1"/>
            </wp:cNvGraphicFramePr>
            <a:graphic>
              <a:graphicData uri="http://schemas.openxmlformats.org/drawingml/2006/picture">
                <pic:pic>
                  <pic:nvPicPr>
                    <pic:cNvPr id="396" name="image1000.png"/>
                    <pic:cNvPicPr/>
                  </pic:nvPicPr>
                  <pic:blipFill>
                    <a:blip r:embed="rId1100" cstate="print"/>
                    <a:stretch>
                      <a:fillRect/>
                    </a:stretch>
                  </pic:blipFill>
                  <pic:spPr>
                    <a:xfrm>
                      <a:off x="0" y="0"/>
                      <a:ext cx="350518" cy="128587"/>
                    </a:xfrm>
                    <a:prstGeom prst="rect">
                      <a:avLst/>
                    </a:prstGeom>
                  </pic:spPr>
                </pic:pic>
              </a:graphicData>
            </a:graphic>
          </wp:anchor>
        </w:drawing>
      </w:r>
      <w:r>
        <w:rPr/>
        <w:pict>
          <v:group style="position:absolute;margin-left:95.078705pt;margin-top:93.99855pt;width:148.1pt;height:15.1pt;mso-position-horizontal-relative:page;mso-position-vertical-relative:paragraph;z-index:13408" coordorigin="1902,1880" coordsize="2962,302">
            <v:shape style="position:absolute;left:4309;top:1880;width:554;height:203" type="#_x0000_t75" stroked="false">
              <v:imagedata r:id="rId1101" o:title=""/>
            </v:shape>
            <v:shape style="position:absolute;left:2476;top:2018;width:689;height:163" type="#_x0000_t75" stroked="false">
              <v:imagedata r:id="rId1102" o:title=""/>
            </v:shape>
            <v:shape style="position:absolute;left:3195;top:2018;width:423;height:163" type="#_x0000_t75" stroked="false">
              <v:imagedata r:id="rId1103" o:title=""/>
            </v:shape>
            <v:shape style="position:absolute;left:3648;top:2018;width:320;height:163" type="#_x0000_t75" stroked="false">
              <v:imagedata r:id="rId1104" o:title=""/>
            </v:shape>
            <v:shape style="position:absolute;left:4001;top:2025;width:238;height:152" type="#_x0000_t75" stroked="false">
              <v:imagedata r:id="rId1105" o:title=""/>
            </v:shape>
            <v:line style="position:absolute" from="1922,2104" to="2425,2104" stroked="true" strokeweight="2pt" strokecolor="#8dc63f"/>
            <w10:wrap type="none"/>
          </v:group>
        </w:pict>
      </w:r>
      <w:r>
        <w:rPr/>
        <w:drawing>
          <wp:anchor distT="0" distB="0" distL="0" distR="0" allowOverlap="1" layoutInCell="1" locked="0" behindDoc="0" simplePos="0" relativeHeight="13432">
            <wp:simplePos x="0" y="0"/>
            <wp:positionH relativeFrom="page">
              <wp:posOffset>2736169</wp:posOffset>
            </wp:positionH>
            <wp:positionV relativeFrom="paragraph">
              <wp:posOffset>1516832</wp:posOffset>
            </wp:positionV>
            <wp:extent cx="350518" cy="128587"/>
            <wp:effectExtent l="0" t="0" r="0" b="0"/>
            <wp:wrapNone/>
            <wp:docPr id="397" name="image1006.png" descr=""/>
            <wp:cNvGraphicFramePr>
              <a:graphicFrameLocks noChangeAspect="1"/>
            </wp:cNvGraphicFramePr>
            <a:graphic>
              <a:graphicData uri="http://schemas.openxmlformats.org/drawingml/2006/picture">
                <pic:pic>
                  <pic:nvPicPr>
                    <pic:cNvPr id="398" name="image1006.png"/>
                    <pic:cNvPicPr/>
                  </pic:nvPicPr>
                  <pic:blipFill>
                    <a:blip r:embed="rId1106" cstate="print"/>
                    <a:stretch>
                      <a:fillRect/>
                    </a:stretch>
                  </pic:blipFill>
                  <pic:spPr>
                    <a:xfrm>
                      <a:off x="0" y="0"/>
                      <a:ext cx="350518" cy="128587"/>
                    </a:xfrm>
                    <a:prstGeom prst="rect">
                      <a:avLst/>
                    </a:prstGeom>
                  </pic:spPr>
                </pic:pic>
              </a:graphicData>
            </a:graphic>
          </wp:anchor>
        </w:drawing>
      </w:r>
      <w:r>
        <w:rPr/>
        <w:pict>
          <v:shape style="position:absolute;margin-left:123.785004pt;margin-top:113.250526pt;width:58.15pt;height:7.6pt;mso-position-horizontal-relative:page;mso-position-vertical-relative:paragraph;z-index:13504" coordorigin="2476,2265" coordsize="1163,152" path="m2575,2269l2476,2269,2476,2412,2495,2412,2495,2347,2566,2347,2566,2330,2495,2330,2495,2286,2575,2286,2575,2269m2704,2395l2617,2395,2617,2347,2696,2347,2696,2330,2617,2330,2617,2286,2702,2286,2702,2269,2598,2269,2598,2412,2704,2412,2704,2395m2848,2338l2847,2324,2844,2311,2840,2300,2834,2290,2829,2285,2828,2284,2828,2346,2828,2351,2827,2357,2825,2366,2822,2373,2814,2386,2808,2391,2800,2394,2796,2395,2791,2396,2750,2396,2750,2285,2800,2285,2811,2290,2818,2300,2822,2308,2825,2318,2827,2329,2828,2338,2828,2346,2828,2284,2825,2280,2814,2274,2802,2270,2788,2269,2731,2269,2731,2412,2788,2412,2805,2410,2819,2404,2829,2396,2831,2394,2839,2380,2843,2370,2846,2360,2847,2349,2848,2338m2982,2395l2895,2395,2895,2347,2974,2347,2974,2330,2895,2330,2895,2286,2981,2286,2981,2269,2876,2269,2876,2412,2982,2412,2982,2395m3128,2409l3125,2408,3123,2405,3122,2400,3121,2398,3120,2394,3120,2369,3119,2360,3118,2354,3115,2351,3112,2347,3108,2344,3102,2342,3109,2338,3113,2334,3114,2334,3121,2323,3122,2316,3122,2291,3119,2285,3116,2280,3103,2274,3103,2299,3103,2319,3100,2325,3090,2333,3083,2334,3030,2334,3030,2285,3083,2285,3088,2286,3099,2292,3103,2299,3103,2274,3096,2270,3087,2269,3011,2269,3011,2412,3030,2412,3030,2351,3081,2351,3087,2352,3090,2353,3096,2357,3100,2363,3102,2398,3102,2402,3102,2406,3103,2410,3103,2411,3104,2412,3128,2412,3128,2409m3269,2412l3253,2369,3248,2353,3227,2297,3227,2353,3182,2353,3205,2290,3227,2353,3227,2297,3225,2290,3217,2269,3195,2269,3141,2412,3161,2412,3176,2369,3233,2369,3248,2412,3269,2412m3378,2395l3306,2395,3306,2269,3287,2269,3287,2412,3378,2412,3378,2395m3506,2395l3419,2395,3419,2347,3498,2347,3498,2330,3419,2330,3419,2286,3504,2286,3504,2269,3400,2269,3400,2412,3506,2412,3506,2395m3638,2359l3633,2350,3624,2343,3619,2339,3612,2336,3570,2326,3562,2323,3552,2318,3549,2313,3549,2300,3552,2294,3561,2284,3569,2282,3594,2282,3604,2286,3609,2293,3612,2297,3614,2303,3615,2311,3634,2311,3634,2295,3629,2283,3627,2282,3608,2269,3596,2265,3565,2265,3553,2269,3535,2286,3531,2296,3531,2321,3535,2330,3549,2340,3558,2343,3599,2352,3607,2355,3612,2359,3616,2362,3619,2367,3619,2386,3613,2393,3596,2399,3590,2400,3567,2400,3556,2395,3550,2386,3547,2381,3545,2374,3544,2366,3526,2366,3526,2382,3531,2394,3541,2403,3549,2409,3558,2413,3569,2416,3582,2417,3592,2416,3603,2414,3612,2411,3621,2406,3631,2400,3632,2399,3638,2388,3638,2359e" filled="true" fillcolor="#231f20" stroked="false">
            <v:path arrowok="t"/>
            <v:fill type="solid"/>
            <w10:wrap type="none"/>
          </v:shape>
        </w:pict>
      </w:r>
      <w:r>
        <w:rPr>
          <w:color w:val="231F20"/>
          <w:w w:val="105"/>
        </w:rPr>
        <w:t>Gráfica 6. Participaciones Federales al municipio de Chalco 2006-2007</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3"/>
        </w:rPr>
      </w:pPr>
      <w:r>
        <w:rPr/>
        <w:drawing>
          <wp:anchor distT="0" distB="0" distL="0" distR="0" allowOverlap="1" layoutInCell="1" locked="0" behindDoc="0" simplePos="0" relativeHeight="12880">
            <wp:simplePos x="0" y="0"/>
            <wp:positionH relativeFrom="page">
              <wp:posOffset>3320969</wp:posOffset>
            </wp:positionH>
            <wp:positionV relativeFrom="paragraph">
              <wp:posOffset>195301</wp:posOffset>
            </wp:positionV>
            <wp:extent cx="313012" cy="104775"/>
            <wp:effectExtent l="0" t="0" r="0" b="0"/>
            <wp:wrapTopAndBottom/>
            <wp:docPr id="399" name="image1007.png" descr=""/>
            <wp:cNvGraphicFramePr>
              <a:graphicFrameLocks noChangeAspect="1"/>
            </wp:cNvGraphicFramePr>
            <a:graphic>
              <a:graphicData uri="http://schemas.openxmlformats.org/drawingml/2006/picture">
                <pic:pic>
                  <pic:nvPicPr>
                    <pic:cNvPr id="400" name="image1007.png"/>
                    <pic:cNvPicPr/>
                  </pic:nvPicPr>
                  <pic:blipFill>
                    <a:blip r:embed="rId1107" cstate="print"/>
                    <a:stretch>
                      <a:fillRect/>
                    </a:stretch>
                  </pic:blipFill>
                  <pic:spPr>
                    <a:xfrm>
                      <a:off x="0" y="0"/>
                      <a:ext cx="313012" cy="104775"/>
                    </a:xfrm>
                    <a:prstGeom prst="rect">
                      <a:avLst/>
                    </a:prstGeom>
                  </pic:spPr>
                </pic:pic>
              </a:graphicData>
            </a:graphic>
          </wp:anchor>
        </w:drawing>
      </w:r>
      <w:r>
        <w:rPr/>
        <w:drawing>
          <wp:anchor distT="0" distB="0" distL="0" distR="0" allowOverlap="1" layoutInCell="1" locked="0" behindDoc="0" simplePos="0" relativeHeight="12904">
            <wp:simplePos x="0" y="0"/>
            <wp:positionH relativeFrom="page">
              <wp:posOffset>3708639</wp:posOffset>
            </wp:positionH>
            <wp:positionV relativeFrom="paragraph">
              <wp:posOffset>195379</wp:posOffset>
            </wp:positionV>
            <wp:extent cx="314079" cy="104775"/>
            <wp:effectExtent l="0" t="0" r="0" b="0"/>
            <wp:wrapTopAndBottom/>
            <wp:docPr id="401" name="image1008.png" descr=""/>
            <wp:cNvGraphicFramePr>
              <a:graphicFrameLocks noChangeAspect="1"/>
            </wp:cNvGraphicFramePr>
            <a:graphic>
              <a:graphicData uri="http://schemas.openxmlformats.org/drawingml/2006/picture">
                <pic:pic>
                  <pic:nvPicPr>
                    <pic:cNvPr id="402" name="image1008.png"/>
                    <pic:cNvPicPr/>
                  </pic:nvPicPr>
                  <pic:blipFill>
                    <a:blip r:embed="rId1108" cstate="print"/>
                    <a:stretch>
                      <a:fillRect/>
                    </a:stretch>
                  </pic:blipFill>
                  <pic:spPr>
                    <a:xfrm>
                      <a:off x="0" y="0"/>
                      <a:ext cx="314079" cy="104775"/>
                    </a:xfrm>
                    <a:prstGeom prst="rect">
                      <a:avLst/>
                    </a:prstGeom>
                  </pic:spPr>
                </pic:pic>
              </a:graphicData>
            </a:graphic>
          </wp:anchor>
        </w:drawing>
      </w:r>
    </w:p>
    <w:p>
      <w:pPr>
        <w:spacing w:before="117"/>
        <w:ind w:left="3362" w:right="0" w:firstLine="0"/>
        <w:jc w:val="left"/>
        <w:rPr>
          <w:rFonts w:ascii="Calibri" w:hAnsi="Calibri"/>
          <w:sz w:val="16"/>
        </w:rPr>
      </w:pPr>
      <w:r>
        <w:rPr>
          <w:rFonts w:ascii="Calibri" w:hAnsi="Calibri"/>
          <w:color w:val="231F20"/>
          <w:sz w:val="16"/>
        </w:rPr>
        <w:t>Fuente: Elaboración propia con datos según fitchmexico.com.mx</w:t>
      </w:r>
    </w:p>
    <w:p>
      <w:pPr>
        <w:pStyle w:val="BodyText"/>
        <w:rPr>
          <w:rFonts w:ascii="Calibri"/>
          <w:sz w:val="16"/>
        </w:rPr>
      </w:pPr>
    </w:p>
    <w:p>
      <w:pPr>
        <w:pStyle w:val="BodyText"/>
        <w:spacing w:before="9"/>
        <w:rPr>
          <w:rFonts w:ascii="Calibri"/>
          <w:sz w:val="12"/>
        </w:rPr>
      </w:pPr>
    </w:p>
    <w:p>
      <w:pPr>
        <w:pStyle w:val="Heading5"/>
        <w:spacing w:before="1"/>
        <w:ind w:left="66" w:right="585"/>
        <w:jc w:val="center"/>
      </w:pPr>
      <w:r>
        <w:rPr/>
        <w:pict>
          <v:group style="position:absolute;margin-left:183.305206pt;margin-top:23.710323pt;width:195.1pt;height:145.75pt;mso-position-horizontal-relative:page;mso-position-vertical-relative:paragraph;z-index:13048" coordorigin="3666,474" coordsize="3902,2915">
            <v:rect style="position:absolute;left:3758;top:480;width:3804;height:2840" filled="true" fillcolor="#00aeef" stroked="false">
              <v:fill type="solid"/>
            </v:rect>
            <v:shape style="position:absolute;left:0;top:6395;width:3892;height:2905" coordorigin="0,6395" coordsize="3892,2905" path="m3671,479l7563,479m3671,834l7563,834m3671,1200l7563,1200m3671,1554l7563,1554m3671,1891l7563,1891m3671,2245l7563,2245m3671,2600l7563,2600m3671,2954l7563,2954m3671,3320l7563,3320m3758,3384l3758,479m4705,3384l4705,3320m5652,3384l5652,3320m6605,3384l6605,3320m7563,3384l7563,3320e" filled="false" stroked="true" strokeweight=".5pt" strokecolor="#231f20">
              <v:path arrowok="t"/>
            </v:shape>
            <v:shape style="position:absolute;left:6971;top:596;width:566;height:207" type="#_x0000_t75" stroked="false">
              <v:imagedata r:id="rId1109" o:title=""/>
            </v:shape>
            <v:shape style="position:absolute;left:5066;top:2977;width:566;height:207" type="#_x0000_t75" stroked="false">
              <v:imagedata r:id="rId1110" o:title=""/>
            </v:shape>
            <v:shape style="position:absolute;left:4507;top:489;width:2296;height:2740" coordorigin="4507,489" coordsize="2296,2740" path="m4903,3030l4705,2832,4507,3030,4705,3228,4903,3030m6802,688l6604,489,6406,688,6604,886,6802,688e" filled="true" fillcolor="#8dc63f" stroked="false">
              <v:path arrowok="t"/>
              <v:fill type="solid"/>
            </v:shape>
            <w10:wrap type="none"/>
          </v:group>
        </w:pict>
      </w:r>
      <w:r>
        <w:rPr/>
        <w:drawing>
          <wp:anchor distT="0" distB="0" distL="0" distR="0" allowOverlap="1" layoutInCell="1" locked="0" behindDoc="0" simplePos="0" relativeHeight="13072">
            <wp:simplePos x="0" y="0"/>
            <wp:positionH relativeFrom="page">
              <wp:posOffset>1845283</wp:posOffset>
            </wp:positionH>
            <wp:positionV relativeFrom="paragraph">
              <wp:posOffset>242052</wp:posOffset>
            </wp:positionV>
            <wp:extent cx="356146" cy="130683"/>
            <wp:effectExtent l="0" t="0" r="0" b="0"/>
            <wp:wrapNone/>
            <wp:docPr id="403" name="image1011.png" descr=""/>
            <wp:cNvGraphicFramePr>
              <a:graphicFrameLocks noChangeAspect="1"/>
            </wp:cNvGraphicFramePr>
            <a:graphic>
              <a:graphicData uri="http://schemas.openxmlformats.org/drawingml/2006/picture">
                <pic:pic>
                  <pic:nvPicPr>
                    <pic:cNvPr id="404" name="image1011.png"/>
                    <pic:cNvPicPr/>
                  </pic:nvPicPr>
                  <pic:blipFill>
                    <a:blip r:embed="rId1111" cstate="print"/>
                    <a:stretch>
                      <a:fillRect/>
                    </a:stretch>
                  </pic:blipFill>
                  <pic:spPr>
                    <a:xfrm>
                      <a:off x="0" y="0"/>
                      <a:ext cx="356146" cy="130683"/>
                    </a:xfrm>
                    <a:prstGeom prst="rect">
                      <a:avLst/>
                    </a:prstGeom>
                  </pic:spPr>
                </pic:pic>
              </a:graphicData>
            </a:graphic>
          </wp:anchor>
        </w:drawing>
      </w:r>
      <w:r>
        <w:rPr/>
        <w:drawing>
          <wp:anchor distT="0" distB="0" distL="0" distR="0" allowOverlap="1" layoutInCell="1" locked="0" behindDoc="0" simplePos="0" relativeHeight="13096">
            <wp:simplePos x="0" y="0"/>
            <wp:positionH relativeFrom="page">
              <wp:posOffset>1845283</wp:posOffset>
            </wp:positionH>
            <wp:positionV relativeFrom="paragraph">
              <wp:posOffset>466275</wp:posOffset>
            </wp:positionV>
            <wp:extent cx="356158" cy="130683"/>
            <wp:effectExtent l="0" t="0" r="0" b="0"/>
            <wp:wrapNone/>
            <wp:docPr id="405" name="image1012.png" descr=""/>
            <wp:cNvGraphicFramePr>
              <a:graphicFrameLocks noChangeAspect="1"/>
            </wp:cNvGraphicFramePr>
            <a:graphic>
              <a:graphicData uri="http://schemas.openxmlformats.org/drawingml/2006/picture">
                <pic:pic>
                  <pic:nvPicPr>
                    <pic:cNvPr id="406" name="image1012.png"/>
                    <pic:cNvPicPr/>
                  </pic:nvPicPr>
                  <pic:blipFill>
                    <a:blip r:embed="rId1112" cstate="print"/>
                    <a:stretch>
                      <a:fillRect/>
                    </a:stretch>
                  </pic:blipFill>
                  <pic:spPr>
                    <a:xfrm>
                      <a:off x="0" y="0"/>
                      <a:ext cx="356158" cy="130683"/>
                    </a:xfrm>
                    <a:prstGeom prst="rect">
                      <a:avLst/>
                    </a:prstGeom>
                  </pic:spPr>
                </pic:pic>
              </a:graphicData>
            </a:graphic>
          </wp:anchor>
        </w:drawing>
      </w:r>
      <w:r>
        <w:rPr/>
        <w:drawing>
          <wp:anchor distT="0" distB="0" distL="0" distR="0" allowOverlap="1" layoutInCell="1" locked="0" behindDoc="0" simplePos="0" relativeHeight="13120">
            <wp:simplePos x="0" y="0"/>
            <wp:positionH relativeFrom="page">
              <wp:posOffset>1845283</wp:posOffset>
            </wp:positionH>
            <wp:positionV relativeFrom="paragraph">
              <wp:posOffset>690491</wp:posOffset>
            </wp:positionV>
            <wp:extent cx="356146" cy="130682"/>
            <wp:effectExtent l="0" t="0" r="0" b="0"/>
            <wp:wrapNone/>
            <wp:docPr id="407" name="image1013.png" descr=""/>
            <wp:cNvGraphicFramePr>
              <a:graphicFrameLocks noChangeAspect="1"/>
            </wp:cNvGraphicFramePr>
            <a:graphic>
              <a:graphicData uri="http://schemas.openxmlformats.org/drawingml/2006/picture">
                <pic:pic>
                  <pic:nvPicPr>
                    <pic:cNvPr id="408" name="image1013.png"/>
                    <pic:cNvPicPr/>
                  </pic:nvPicPr>
                  <pic:blipFill>
                    <a:blip r:embed="rId1113" cstate="print"/>
                    <a:stretch>
                      <a:fillRect/>
                    </a:stretch>
                  </pic:blipFill>
                  <pic:spPr>
                    <a:xfrm>
                      <a:off x="0" y="0"/>
                      <a:ext cx="356146" cy="130682"/>
                    </a:xfrm>
                    <a:prstGeom prst="rect">
                      <a:avLst/>
                    </a:prstGeom>
                  </pic:spPr>
                </pic:pic>
              </a:graphicData>
            </a:graphic>
          </wp:anchor>
        </w:drawing>
      </w:r>
      <w:r>
        <w:rPr/>
        <w:drawing>
          <wp:anchor distT="0" distB="0" distL="0" distR="0" allowOverlap="1" layoutInCell="1" locked="0" behindDoc="0" simplePos="0" relativeHeight="13144">
            <wp:simplePos x="0" y="0"/>
            <wp:positionH relativeFrom="page">
              <wp:posOffset>1845283</wp:posOffset>
            </wp:positionH>
            <wp:positionV relativeFrom="paragraph">
              <wp:posOffset>914714</wp:posOffset>
            </wp:positionV>
            <wp:extent cx="356158" cy="130682"/>
            <wp:effectExtent l="0" t="0" r="0" b="0"/>
            <wp:wrapNone/>
            <wp:docPr id="409" name="image1014.png" descr=""/>
            <wp:cNvGraphicFramePr>
              <a:graphicFrameLocks noChangeAspect="1"/>
            </wp:cNvGraphicFramePr>
            <a:graphic>
              <a:graphicData uri="http://schemas.openxmlformats.org/drawingml/2006/picture">
                <pic:pic>
                  <pic:nvPicPr>
                    <pic:cNvPr id="410" name="image1014.png"/>
                    <pic:cNvPicPr/>
                  </pic:nvPicPr>
                  <pic:blipFill>
                    <a:blip r:embed="rId1114" cstate="print"/>
                    <a:stretch>
                      <a:fillRect/>
                    </a:stretch>
                  </pic:blipFill>
                  <pic:spPr>
                    <a:xfrm>
                      <a:off x="0" y="0"/>
                      <a:ext cx="356158" cy="130682"/>
                    </a:xfrm>
                    <a:prstGeom prst="rect">
                      <a:avLst/>
                    </a:prstGeom>
                  </pic:spPr>
                </pic:pic>
              </a:graphicData>
            </a:graphic>
          </wp:anchor>
        </w:drawing>
      </w:r>
      <w:r>
        <w:rPr/>
        <w:drawing>
          <wp:anchor distT="0" distB="0" distL="0" distR="0" allowOverlap="1" layoutInCell="1" locked="0" behindDoc="0" simplePos="0" relativeHeight="13168">
            <wp:simplePos x="0" y="0"/>
            <wp:positionH relativeFrom="page">
              <wp:posOffset>1845283</wp:posOffset>
            </wp:positionH>
            <wp:positionV relativeFrom="paragraph">
              <wp:posOffset>1138929</wp:posOffset>
            </wp:positionV>
            <wp:extent cx="356146" cy="130682"/>
            <wp:effectExtent l="0" t="0" r="0" b="0"/>
            <wp:wrapNone/>
            <wp:docPr id="411" name="image1015.png" descr=""/>
            <wp:cNvGraphicFramePr>
              <a:graphicFrameLocks noChangeAspect="1"/>
            </wp:cNvGraphicFramePr>
            <a:graphic>
              <a:graphicData uri="http://schemas.openxmlformats.org/drawingml/2006/picture">
                <pic:pic>
                  <pic:nvPicPr>
                    <pic:cNvPr id="412" name="image1015.png"/>
                    <pic:cNvPicPr/>
                  </pic:nvPicPr>
                  <pic:blipFill>
                    <a:blip r:embed="rId1115" cstate="print"/>
                    <a:stretch>
                      <a:fillRect/>
                    </a:stretch>
                  </pic:blipFill>
                  <pic:spPr>
                    <a:xfrm>
                      <a:off x="0" y="0"/>
                      <a:ext cx="356146" cy="130682"/>
                    </a:xfrm>
                    <a:prstGeom prst="rect">
                      <a:avLst/>
                    </a:prstGeom>
                  </pic:spPr>
                </pic:pic>
              </a:graphicData>
            </a:graphic>
          </wp:anchor>
        </w:drawing>
      </w:r>
      <w:r>
        <w:rPr/>
        <w:drawing>
          <wp:anchor distT="0" distB="0" distL="0" distR="0" allowOverlap="1" layoutInCell="1" locked="0" behindDoc="0" simplePos="0" relativeHeight="13192">
            <wp:simplePos x="0" y="0"/>
            <wp:positionH relativeFrom="page">
              <wp:posOffset>1845283</wp:posOffset>
            </wp:positionH>
            <wp:positionV relativeFrom="paragraph">
              <wp:posOffset>1363153</wp:posOffset>
            </wp:positionV>
            <wp:extent cx="357456" cy="131159"/>
            <wp:effectExtent l="0" t="0" r="0" b="0"/>
            <wp:wrapNone/>
            <wp:docPr id="413" name="image1016.png" descr=""/>
            <wp:cNvGraphicFramePr>
              <a:graphicFrameLocks noChangeAspect="1"/>
            </wp:cNvGraphicFramePr>
            <a:graphic>
              <a:graphicData uri="http://schemas.openxmlformats.org/drawingml/2006/picture">
                <pic:pic>
                  <pic:nvPicPr>
                    <pic:cNvPr id="414" name="image1016.png"/>
                    <pic:cNvPicPr/>
                  </pic:nvPicPr>
                  <pic:blipFill>
                    <a:blip r:embed="rId1116" cstate="print"/>
                    <a:stretch>
                      <a:fillRect/>
                    </a:stretch>
                  </pic:blipFill>
                  <pic:spPr>
                    <a:xfrm>
                      <a:off x="0" y="0"/>
                      <a:ext cx="357456" cy="131159"/>
                    </a:xfrm>
                    <a:prstGeom prst="rect">
                      <a:avLst/>
                    </a:prstGeom>
                  </pic:spPr>
                </pic:pic>
              </a:graphicData>
            </a:graphic>
          </wp:anchor>
        </w:drawing>
      </w:r>
      <w:r>
        <w:rPr/>
        <w:drawing>
          <wp:anchor distT="0" distB="0" distL="0" distR="0" allowOverlap="1" layoutInCell="1" locked="0" behindDoc="0" simplePos="0" relativeHeight="13216">
            <wp:simplePos x="0" y="0"/>
            <wp:positionH relativeFrom="page">
              <wp:posOffset>1845283</wp:posOffset>
            </wp:positionH>
            <wp:positionV relativeFrom="paragraph">
              <wp:posOffset>1587377</wp:posOffset>
            </wp:positionV>
            <wp:extent cx="357444" cy="131159"/>
            <wp:effectExtent l="0" t="0" r="0" b="0"/>
            <wp:wrapNone/>
            <wp:docPr id="415" name="image1017.png" descr=""/>
            <wp:cNvGraphicFramePr>
              <a:graphicFrameLocks noChangeAspect="1"/>
            </wp:cNvGraphicFramePr>
            <a:graphic>
              <a:graphicData uri="http://schemas.openxmlformats.org/drawingml/2006/picture">
                <pic:pic>
                  <pic:nvPicPr>
                    <pic:cNvPr id="416" name="image1017.png"/>
                    <pic:cNvPicPr/>
                  </pic:nvPicPr>
                  <pic:blipFill>
                    <a:blip r:embed="rId1117" cstate="print"/>
                    <a:stretch>
                      <a:fillRect/>
                    </a:stretch>
                  </pic:blipFill>
                  <pic:spPr>
                    <a:xfrm>
                      <a:off x="0" y="0"/>
                      <a:ext cx="357444" cy="131159"/>
                    </a:xfrm>
                    <a:prstGeom prst="rect">
                      <a:avLst/>
                    </a:prstGeom>
                  </pic:spPr>
                </pic:pic>
              </a:graphicData>
            </a:graphic>
          </wp:anchor>
        </w:drawing>
      </w:r>
      <w:r>
        <w:rPr/>
        <w:drawing>
          <wp:anchor distT="0" distB="0" distL="0" distR="0" allowOverlap="1" layoutInCell="1" locked="0" behindDoc="0" simplePos="0" relativeHeight="13240">
            <wp:simplePos x="0" y="0"/>
            <wp:positionH relativeFrom="page">
              <wp:posOffset>1845283</wp:posOffset>
            </wp:positionH>
            <wp:positionV relativeFrom="paragraph">
              <wp:posOffset>1811591</wp:posOffset>
            </wp:positionV>
            <wp:extent cx="357456" cy="131159"/>
            <wp:effectExtent l="0" t="0" r="0" b="0"/>
            <wp:wrapNone/>
            <wp:docPr id="417" name="image1018.png" descr=""/>
            <wp:cNvGraphicFramePr>
              <a:graphicFrameLocks noChangeAspect="1"/>
            </wp:cNvGraphicFramePr>
            <a:graphic>
              <a:graphicData uri="http://schemas.openxmlformats.org/drawingml/2006/picture">
                <pic:pic>
                  <pic:nvPicPr>
                    <pic:cNvPr id="418" name="image1018.png"/>
                    <pic:cNvPicPr/>
                  </pic:nvPicPr>
                  <pic:blipFill>
                    <a:blip r:embed="rId1118" cstate="print"/>
                    <a:stretch>
                      <a:fillRect/>
                    </a:stretch>
                  </pic:blipFill>
                  <pic:spPr>
                    <a:xfrm>
                      <a:off x="0" y="0"/>
                      <a:ext cx="357456" cy="131159"/>
                    </a:xfrm>
                    <a:prstGeom prst="rect">
                      <a:avLst/>
                    </a:prstGeom>
                  </pic:spPr>
                </pic:pic>
              </a:graphicData>
            </a:graphic>
          </wp:anchor>
        </w:drawing>
      </w:r>
      <w:r>
        <w:rPr/>
        <w:drawing>
          <wp:anchor distT="0" distB="0" distL="0" distR="0" allowOverlap="1" layoutInCell="1" locked="0" behindDoc="0" simplePos="0" relativeHeight="13264">
            <wp:simplePos x="0" y="0"/>
            <wp:positionH relativeFrom="page">
              <wp:posOffset>1845283</wp:posOffset>
            </wp:positionH>
            <wp:positionV relativeFrom="paragraph">
              <wp:posOffset>2035815</wp:posOffset>
            </wp:positionV>
            <wp:extent cx="357444" cy="131159"/>
            <wp:effectExtent l="0" t="0" r="0" b="0"/>
            <wp:wrapNone/>
            <wp:docPr id="419" name="image1019.png" descr=""/>
            <wp:cNvGraphicFramePr>
              <a:graphicFrameLocks noChangeAspect="1"/>
            </wp:cNvGraphicFramePr>
            <a:graphic>
              <a:graphicData uri="http://schemas.openxmlformats.org/drawingml/2006/picture">
                <pic:pic>
                  <pic:nvPicPr>
                    <pic:cNvPr id="420" name="image1019.png"/>
                    <pic:cNvPicPr/>
                  </pic:nvPicPr>
                  <pic:blipFill>
                    <a:blip r:embed="rId1119" cstate="print"/>
                    <a:stretch>
                      <a:fillRect/>
                    </a:stretch>
                  </pic:blipFill>
                  <pic:spPr>
                    <a:xfrm>
                      <a:off x="0" y="0"/>
                      <a:ext cx="357444" cy="131159"/>
                    </a:xfrm>
                    <a:prstGeom prst="rect">
                      <a:avLst/>
                    </a:prstGeom>
                  </pic:spPr>
                </pic:pic>
              </a:graphicData>
            </a:graphic>
          </wp:anchor>
        </w:drawing>
      </w:r>
      <w:r>
        <w:rPr/>
        <w:pict>
          <v:group style="position:absolute;margin-left:86.881905pt;margin-top:88.748627pt;width:37.1pt;height:10.1pt;mso-position-horizontal-relative:page;mso-position-vertical-relative:paragraph;z-index:13288" coordorigin="1738,1775" coordsize="742,202">
            <v:shape style="position:absolute;left:1999;top:1798;width:107;height:154" type="#_x0000_t75" stroked="false">
              <v:imagedata r:id="rId1120" o:title=""/>
            </v:shape>
            <v:shape style="position:absolute;left:2133;top:1787;width:346;height:175" type="#_x0000_t75" stroked="false">
              <v:imagedata r:id="rId1121" o:title=""/>
            </v:shape>
            <v:shape style="position:absolute;left:1738;top:1775;width:202;height:202" coordorigin="1738,1775" coordsize="202,202" path="m1838,1775l1738,1876,1838,1977,1939,1876,1838,1775xe" filled="true" fillcolor="#8dc63f" stroked="false">
              <v:path arrowok="t"/>
              <v:fill type="solid"/>
            </v:shape>
            <w10:wrap type="none"/>
          </v:group>
        </w:pict>
      </w:r>
      <w:r>
        <w:rPr/>
        <w:drawing>
          <wp:anchor distT="0" distB="0" distL="0" distR="0" allowOverlap="1" layoutInCell="1" locked="0" behindDoc="0" simplePos="0" relativeHeight="13456">
            <wp:simplePos x="0" y="0"/>
            <wp:positionH relativeFrom="page">
              <wp:posOffset>2736169</wp:posOffset>
            </wp:positionH>
            <wp:positionV relativeFrom="paragraph">
              <wp:posOffset>-1129127</wp:posOffset>
            </wp:positionV>
            <wp:extent cx="350518" cy="128587"/>
            <wp:effectExtent l="0" t="0" r="0" b="0"/>
            <wp:wrapNone/>
            <wp:docPr id="421" name="image1022.png" descr=""/>
            <wp:cNvGraphicFramePr>
              <a:graphicFrameLocks noChangeAspect="1"/>
            </wp:cNvGraphicFramePr>
            <a:graphic>
              <a:graphicData uri="http://schemas.openxmlformats.org/drawingml/2006/picture">
                <pic:pic>
                  <pic:nvPicPr>
                    <pic:cNvPr id="422" name="image1022.png"/>
                    <pic:cNvPicPr/>
                  </pic:nvPicPr>
                  <pic:blipFill>
                    <a:blip r:embed="rId1122" cstate="print"/>
                    <a:stretch>
                      <a:fillRect/>
                    </a:stretch>
                  </pic:blipFill>
                  <pic:spPr>
                    <a:xfrm>
                      <a:off x="0" y="0"/>
                      <a:ext cx="350518" cy="128587"/>
                    </a:xfrm>
                    <a:prstGeom prst="rect">
                      <a:avLst/>
                    </a:prstGeom>
                  </pic:spPr>
                </pic:pic>
              </a:graphicData>
            </a:graphic>
          </wp:anchor>
        </w:drawing>
      </w:r>
      <w:r>
        <w:rPr/>
        <w:drawing>
          <wp:anchor distT="0" distB="0" distL="0" distR="0" allowOverlap="1" layoutInCell="1" locked="0" behindDoc="0" simplePos="0" relativeHeight="13480">
            <wp:simplePos x="0" y="0"/>
            <wp:positionH relativeFrom="page">
              <wp:posOffset>2736169</wp:posOffset>
            </wp:positionH>
            <wp:positionV relativeFrom="paragraph">
              <wp:posOffset>-801370</wp:posOffset>
            </wp:positionV>
            <wp:extent cx="350518" cy="128587"/>
            <wp:effectExtent l="0" t="0" r="0" b="0"/>
            <wp:wrapNone/>
            <wp:docPr id="423" name="image1023.png" descr=""/>
            <wp:cNvGraphicFramePr>
              <a:graphicFrameLocks noChangeAspect="1"/>
            </wp:cNvGraphicFramePr>
            <a:graphic>
              <a:graphicData uri="http://schemas.openxmlformats.org/drawingml/2006/picture">
                <pic:pic>
                  <pic:nvPicPr>
                    <pic:cNvPr id="424" name="image1023.png"/>
                    <pic:cNvPicPr/>
                  </pic:nvPicPr>
                  <pic:blipFill>
                    <a:blip r:embed="rId1123" cstate="print"/>
                    <a:stretch>
                      <a:fillRect/>
                    </a:stretch>
                  </pic:blipFill>
                  <pic:spPr>
                    <a:xfrm>
                      <a:off x="0" y="0"/>
                      <a:ext cx="350518" cy="128587"/>
                    </a:xfrm>
                    <a:prstGeom prst="rect">
                      <a:avLst/>
                    </a:prstGeom>
                  </pic:spPr>
                </pic:pic>
              </a:graphicData>
            </a:graphic>
          </wp:anchor>
        </w:drawing>
      </w:r>
      <w:r>
        <w:rPr>
          <w:color w:val="231F20"/>
          <w:w w:val="105"/>
        </w:rPr>
        <w:t>Gráfica 7. Fondo de infraestructura destinado a Chalco 2006-2007</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0"/>
        </w:rPr>
      </w:pPr>
      <w:r>
        <w:rPr/>
        <w:drawing>
          <wp:anchor distT="0" distB="0" distL="0" distR="0" allowOverlap="1" layoutInCell="1" locked="0" behindDoc="0" simplePos="0" relativeHeight="12928">
            <wp:simplePos x="0" y="0"/>
            <wp:positionH relativeFrom="page">
              <wp:posOffset>2169806</wp:posOffset>
            </wp:positionH>
            <wp:positionV relativeFrom="paragraph">
              <wp:posOffset>104938</wp:posOffset>
            </wp:positionV>
            <wp:extent cx="444569" cy="107346"/>
            <wp:effectExtent l="0" t="0" r="0" b="0"/>
            <wp:wrapTopAndBottom/>
            <wp:docPr id="425" name="image1024.png" descr=""/>
            <wp:cNvGraphicFramePr>
              <a:graphicFrameLocks noChangeAspect="1"/>
            </wp:cNvGraphicFramePr>
            <a:graphic>
              <a:graphicData uri="http://schemas.openxmlformats.org/drawingml/2006/picture">
                <pic:pic>
                  <pic:nvPicPr>
                    <pic:cNvPr id="426" name="image1024.png"/>
                    <pic:cNvPicPr/>
                  </pic:nvPicPr>
                  <pic:blipFill>
                    <a:blip r:embed="rId1124" cstate="print"/>
                    <a:stretch>
                      <a:fillRect/>
                    </a:stretch>
                  </pic:blipFill>
                  <pic:spPr>
                    <a:xfrm>
                      <a:off x="0" y="0"/>
                      <a:ext cx="444569" cy="107346"/>
                    </a:xfrm>
                    <a:prstGeom prst="rect">
                      <a:avLst/>
                    </a:prstGeom>
                  </pic:spPr>
                </pic:pic>
              </a:graphicData>
            </a:graphic>
          </wp:anchor>
        </w:drawing>
      </w:r>
      <w:r>
        <w:rPr/>
        <w:drawing>
          <wp:anchor distT="0" distB="0" distL="0" distR="0" allowOverlap="1" layoutInCell="1" locked="0" behindDoc="0" simplePos="0" relativeHeight="12952">
            <wp:simplePos x="0" y="0"/>
            <wp:positionH relativeFrom="page">
              <wp:posOffset>2811490</wp:posOffset>
            </wp:positionH>
            <wp:positionV relativeFrom="paragraph">
              <wp:posOffset>104871</wp:posOffset>
            </wp:positionV>
            <wp:extent cx="320667" cy="107346"/>
            <wp:effectExtent l="0" t="0" r="0" b="0"/>
            <wp:wrapTopAndBottom/>
            <wp:docPr id="427" name="image1025.png" descr=""/>
            <wp:cNvGraphicFramePr>
              <a:graphicFrameLocks noChangeAspect="1"/>
            </wp:cNvGraphicFramePr>
            <a:graphic>
              <a:graphicData uri="http://schemas.openxmlformats.org/drawingml/2006/picture">
                <pic:pic>
                  <pic:nvPicPr>
                    <pic:cNvPr id="428" name="image1025.png"/>
                    <pic:cNvPicPr/>
                  </pic:nvPicPr>
                  <pic:blipFill>
                    <a:blip r:embed="rId1125" cstate="print"/>
                    <a:stretch>
                      <a:fillRect/>
                    </a:stretch>
                  </pic:blipFill>
                  <pic:spPr>
                    <a:xfrm>
                      <a:off x="0" y="0"/>
                      <a:ext cx="320667" cy="107346"/>
                    </a:xfrm>
                    <a:prstGeom prst="rect">
                      <a:avLst/>
                    </a:prstGeom>
                  </pic:spPr>
                </pic:pic>
              </a:graphicData>
            </a:graphic>
          </wp:anchor>
        </w:drawing>
      </w:r>
      <w:r>
        <w:rPr/>
        <w:drawing>
          <wp:anchor distT="0" distB="0" distL="0" distR="0" allowOverlap="1" layoutInCell="1" locked="0" behindDoc="0" simplePos="0" relativeHeight="12976">
            <wp:simplePos x="0" y="0"/>
            <wp:positionH relativeFrom="page">
              <wp:posOffset>3379416</wp:posOffset>
            </wp:positionH>
            <wp:positionV relativeFrom="paragraph">
              <wp:posOffset>104871</wp:posOffset>
            </wp:positionV>
            <wp:extent cx="444286" cy="107346"/>
            <wp:effectExtent l="0" t="0" r="0" b="0"/>
            <wp:wrapTopAndBottom/>
            <wp:docPr id="429" name="image1026.png" descr=""/>
            <wp:cNvGraphicFramePr>
              <a:graphicFrameLocks noChangeAspect="1"/>
            </wp:cNvGraphicFramePr>
            <a:graphic>
              <a:graphicData uri="http://schemas.openxmlformats.org/drawingml/2006/picture">
                <pic:pic>
                  <pic:nvPicPr>
                    <pic:cNvPr id="430" name="image1026.png"/>
                    <pic:cNvPicPr/>
                  </pic:nvPicPr>
                  <pic:blipFill>
                    <a:blip r:embed="rId1126" cstate="print"/>
                    <a:stretch>
                      <a:fillRect/>
                    </a:stretch>
                  </pic:blipFill>
                  <pic:spPr>
                    <a:xfrm>
                      <a:off x="0" y="0"/>
                      <a:ext cx="444286" cy="107346"/>
                    </a:xfrm>
                    <a:prstGeom prst="rect">
                      <a:avLst/>
                    </a:prstGeom>
                  </pic:spPr>
                </pic:pic>
              </a:graphicData>
            </a:graphic>
          </wp:anchor>
        </w:drawing>
      </w:r>
      <w:r>
        <w:rPr/>
        <w:drawing>
          <wp:anchor distT="0" distB="0" distL="0" distR="0" allowOverlap="1" layoutInCell="1" locked="0" behindDoc="0" simplePos="0" relativeHeight="13000">
            <wp:simplePos x="0" y="0"/>
            <wp:positionH relativeFrom="page">
              <wp:posOffset>4032167</wp:posOffset>
            </wp:positionH>
            <wp:positionV relativeFrom="paragraph">
              <wp:posOffset>104938</wp:posOffset>
            </wp:positionV>
            <wp:extent cx="321736" cy="107346"/>
            <wp:effectExtent l="0" t="0" r="0" b="0"/>
            <wp:wrapTopAndBottom/>
            <wp:docPr id="431" name="image1027.png" descr=""/>
            <wp:cNvGraphicFramePr>
              <a:graphicFrameLocks noChangeAspect="1"/>
            </wp:cNvGraphicFramePr>
            <a:graphic>
              <a:graphicData uri="http://schemas.openxmlformats.org/drawingml/2006/picture">
                <pic:pic>
                  <pic:nvPicPr>
                    <pic:cNvPr id="432" name="image1027.png"/>
                    <pic:cNvPicPr/>
                  </pic:nvPicPr>
                  <pic:blipFill>
                    <a:blip r:embed="rId1127" cstate="print"/>
                    <a:stretch>
                      <a:fillRect/>
                    </a:stretch>
                  </pic:blipFill>
                  <pic:spPr>
                    <a:xfrm>
                      <a:off x="0" y="0"/>
                      <a:ext cx="321736" cy="107346"/>
                    </a:xfrm>
                    <a:prstGeom prst="rect">
                      <a:avLst/>
                    </a:prstGeom>
                  </pic:spPr>
                </pic:pic>
              </a:graphicData>
            </a:graphic>
          </wp:anchor>
        </w:drawing>
      </w:r>
      <w:r>
        <w:rPr/>
        <w:drawing>
          <wp:anchor distT="0" distB="0" distL="0" distR="0" allowOverlap="1" layoutInCell="1" locked="0" behindDoc="0" simplePos="0" relativeHeight="13024">
            <wp:simplePos x="0" y="0"/>
            <wp:positionH relativeFrom="page">
              <wp:posOffset>4574278</wp:posOffset>
            </wp:positionH>
            <wp:positionV relativeFrom="paragraph">
              <wp:posOffset>104938</wp:posOffset>
            </wp:positionV>
            <wp:extent cx="444563" cy="107346"/>
            <wp:effectExtent l="0" t="0" r="0" b="0"/>
            <wp:wrapTopAndBottom/>
            <wp:docPr id="433" name="image1028.png" descr=""/>
            <wp:cNvGraphicFramePr>
              <a:graphicFrameLocks noChangeAspect="1"/>
            </wp:cNvGraphicFramePr>
            <a:graphic>
              <a:graphicData uri="http://schemas.openxmlformats.org/drawingml/2006/picture">
                <pic:pic>
                  <pic:nvPicPr>
                    <pic:cNvPr id="434" name="image1028.png"/>
                    <pic:cNvPicPr/>
                  </pic:nvPicPr>
                  <pic:blipFill>
                    <a:blip r:embed="rId1128" cstate="print"/>
                    <a:stretch>
                      <a:fillRect/>
                    </a:stretch>
                  </pic:blipFill>
                  <pic:spPr>
                    <a:xfrm>
                      <a:off x="0" y="0"/>
                      <a:ext cx="444563" cy="107346"/>
                    </a:xfrm>
                    <a:prstGeom prst="rect">
                      <a:avLst/>
                    </a:prstGeom>
                  </pic:spPr>
                </pic:pic>
              </a:graphicData>
            </a:graphic>
          </wp:anchor>
        </w:drawing>
      </w:r>
    </w:p>
    <w:p>
      <w:pPr>
        <w:spacing w:before="117"/>
        <w:ind w:left="3362" w:right="0" w:firstLine="0"/>
        <w:jc w:val="left"/>
        <w:rPr>
          <w:rFonts w:ascii="Calibri" w:hAnsi="Calibri"/>
          <w:sz w:val="16"/>
        </w:rPr>
      </w:pPr>
      <w:r>
        <w:rPr>
          <w:rFonts w:ascii="Calibri" w:hAnsi="Calibri"/>
          <w:color w:val="231F20"/>
          <w:sz w:val="16"/>
        </w:rPr>
        <w:t>Fuente: Elaboración propia con datos según fitchmexico.com.mx</w:t>
      </w:r>
    </w:p>
    <w:p>
      <w:pPr>
        <w:spacing w:after="0"/>
        <w:jc w:val="left"/>
        <w:rPr>
          <w:rFonts w:ascii="Calibri" w:hAnsi="Calibri"/>
          <w:sz w:val="16"/>
        </w:rPr>
        <w:sectPr>
          <w:pgSz w:w="9640" w:h="12190"/>
          <w:pgMar w:header="0" w:footer="743" w:top="1120" w:bottom="940" w:left="1260" w:right="740"/>
        </w:sectPr>
      </w:pPr>
    </w:p>
    <w:p>
      <w:pPr>
        <w:pStyle w:val="BodyText"/>
        <w:spacing w:before="8"/>
        <w:rPr>
          <w:rFonts w:ascii="Calibri"/>
          <w:sz w:val="8"/>
        </w:rPr>
      </w:pPr>
    </w:p>
    <w:p>
      <w:pPr>
        <w:pStyle w:val="Heading3"/>
        <w:spacing w:before="22"/>
      </w:pPr>
      <w:r>
        <w:rPr>
          <w:color w:val="231F20"/>
          <w:w w:val="105"/>
        </w:rPr>
        <w:t>Composición Política del Ayuntamiento 2006-2009</w:t>
      </w:r>
    </w:p>
    <w:p>
      <w:pPr>
        <w:pStyle w:val="BodyText"/>
        <w:spacing w:line="285" w:lineRule="auto" w:before="38"/>
        <w:ind w:left="110" w:right="108"/>
        <w:jc w:val="both"/>
      </w:pPr>
      <w:r>
        <w:rPr>
          <w:color w:val="231F20"/>
          <w:w w:val="105"/>
        </w:rPr>
        <w:t>El</w:t>
      </w:r>
      <w:r>
        <w:rPr>
          <w:color w:val="231F20"/>
          <w:spacing w:val="-11"/>
          <w:w w:val="105"/>
        </w:rPr>
        <w:t> </w:t>
      </w:r>
      <w:r>
        <w:rPr>
          <w:color w:val="231F20"/>
          <w:w w:val="105"/>
        </w:rPr>
        <w:t>Gobierno</w:t>
      </w:r>
      <w:r>
        <w:rPr>
          <w:color w:val="231F20"/>
          <w:spacing w:val="-11"/>
          <w:w w:val="105"/>
        </w:rPr>
        <w:t> </w:t>
      </w:r>
      <w:r>
        <w:rPr>
          <w:color w:val="231F20"/>
          <w:w w:val="105"/>
        </w:rPr>
        <w:t>del</w:t>
      </w:r>
      <w:r>
        <w:rPr>
          <w:color w:val="231F20"/>
          <w:spacing w:val="-11"/>
          <w:w w:val="105"/>
        </w:rPr>
        <w:t> </w:t>
      </w:r>
      <w:r>
        <w:rPr>
          <w:color w:val="231F20"/>
          <w:w w:val="105"/>
        </w:rPr>
        <w:t>Municipio</w:t>
      </w:r>
      <w:r>
        <w:rPr>
          <w:color w:val="231F20"/>
          <w:spacing w:val="-11"/>
          <w:w w:val="105"/>
        </w:rPr>
        <w:t> </w:t>
      </w:r>
      <w:r>
        <w:rPr>
          <w:color w:val="231F20"/>
          <w:w w:val="105"/>
        </w:rPr>
        <w:t>de</w:t>
      </w:r>
      <w:r>
        <w:rPr>
          <w:color w:val="231F20"/>
          <w:spacing w:val="-11"/>
          <w:w w:val="105"/>
        </w:rPr>
        <w:t> </w:t>
      </w:r>
      <w:r>
        <w:rPr>
          <w:color w:val="231F20"/>
          <w:w w:val="105"/>
        </w:rPr>
        <w:t>Chalco</w:t>
      </w:r>
      <w:r>
        <w:rPr>
          <w:color w:val="231F20"/>
          <w:spacing w:val="-11"/>
          <w:w w:val="105"/>
        </w:rPr>
        <w:t> </w:t>
      </w:r>
      <w:r>
        <w:rPr>
          <w:color w:val="231F20"/>
          <w:spacing w:val="2"/>
          <w:w w:val="105"/>
        </w:rPr>
        <w:t>2006-2009</w:t>
      </w:r>
      <w:r>
        <w:rPr>
          <w:color w:val="231F20"/>
          <w:spacing w:val="-11"/>
          <w:w w:val="105"/>
        </w:rPr>
        <w:t> </w:t>
      </w:r>
      <w:r>
        <w:rPr>
          <w:color w:val="231F20"/>
          <w:w w:val="105"/>
        </w:rPr>
        <w:t>se</w:t>
      </w:r>
      <w:r>
        <w:rPr>
          <w:color w:val="231F20"/>
          <w:spacing w:val="-11"/>
          <w:w w:val="105"/>
        </w:rPr>
        <w:t> </w:t>
      </w:r>
      <w:r>
        <w:rPr>
          <w:color w:val="231F20"/>
          <w:w w:val="105"/>
        </w:rPr>
        <w:t>encuentra</w:t>
      </w:r>
      <w:r>
        <w:rPr>
          <w:color w:val="231F20"/>
          <w:spacing w:val="-11"/>
          <w:w w:val="105"/>
        </w:rPr>
        <w:t> </w:t>
      </w:r>
      <w:r>
        <w:rPr>
          <w:color w:val="231F20"/>
          <w:w w:val="105"/>
        </w:rPr>
        <w:t>conformado</w:t>
      </w:r>
      <w:r>
        <w:rPr>
          <w:color w:val="231F20"/>
          <w:spacing w:val="-11"/>
          <w:w w:val="105"/>
        </w:rPr>
        <w:t> </w:t>
      </w:r>
      <w:r>
        <w:rPr>
          <w:color w:val="231F20"/>
          <w:w w:val="105"/>
        </w:rPr>
        <w:t>por</w:t>
      </w:r>
      <w:r>
        <w:rPr>
          <w:color w:val="231F20"/>
          <w:spacing w:val="-11"/>
          <w:w w:val="105"/>
        </w:rPr>
        <w:t> </w:t>
      </w:r>
      <w:r>
        <w:rPr>
          <w:color w:val="231F20"/>
          <w:w w:val="105"/>
        </w:rPr>
        <w:t>un</w:t>
      </w:r>
      <w:r>
        <w:rPr>
          <w:color w:val="231F20"/>
          <w:spacing w:val="-11"/>
          <w:w w:val="105"/>
        </w:rPr>
        <w:t> </w:t>
      </w:r>
      <w:r>
        <w:rPr>
          <w:color w:val="231F20"/>
          <w:w w:val="105"/>
        </w:rPr>
        <w:t>Pre- sidente</w:t>
      </w:r>
      <w:r>
        <w:rPr>
          <w:color w:val="231F20"/>
          <w:spacing w:val="-9"/>
          <w:w w:val="105"/>
        </w:rPr>
        <w:t> </w:t>
      </w:r>
      <w:r>
        <w:rPr>
          <w:color w:val="231F20"/>
          <w:w w:val="105"/>
        </w:rPr>
        <w:t>Municipal,</w:t>
      </w:r>
      <w:r>
        <w:rPr>
          <w:color w:val="231F20"/>
          <w:spacing w:val="-9"/>
          <w:w w:val="105"/>
        </w:rPr>
        <w:t> </w:t>
      </w:r>
      <w:r>
        <w:rPr>
          <w:color w:val="231F20"/>
          <w:w w:val="105"/>
        </w:rPr>
        <w:t>un</w:t>
      </w:r>
      <w:r>
        <w:rPr>
          <w:color w:val="231F20"/>
          <w:spacing w:val="-9"/>
          <w:w w:val="105"/>
        </w:rPr>
        <w:t> </w:t>
      </w:r>
      <w:r>
        <w:rPr>
          <w:color w:val="231F20"/>
          <w:w w:val="105"/>
        </w:rPr>
        <w:t>Síndico</w:t>
      </w:r>
      <w:r>
        <w:rPr>
          <w:color w:val="231F20"/>
          <w:spacing w:val="-9"/>
          <w:w w:val="105"/>
        </w:rPr>
        <w:t> </w:t>
      </w:r>
      <w:r>
        <w:rPr>
          <w:color w:val="231F20"/>
          <w:w w:val="105"/>
        </w:rPr>
        <w:t>Procurador</w:t>
      </w:r>
      <w:r>
        <w:rPr>
          <w:color w:val="231F20"/>
          <w:spacing w:val="-9"/>
          <w:w w:val="105"/>
        </w:rPr>
        <w:t> </w:t>
      </w:r>
      <w:r>
        <w:rPr>
          <w:color w:val="231F20"/>
          <w:w w:val="105"/>
        </w:rPr>
        <w:t>y</w:t>
      </w:r>
      <w:r>
        <w:rPr>
          <w:color w:val="231F20"/>
          <w:spacing w:val="-9"/>
          <w:w w:val="105"/>
        </w:rPr>
        <w:t> </w:t>
      </w:r>
      <w:r>
        <w:rPr>
          <w:color w:val="231F20"/>
          <w:w w:val="105"/>
        </w:rPr>
        <w:t>trece</w:t>
      </w:r>
      <w:r>
        <w:rPr>
          <w:color w:val="231F20"/>
          <w:spacing w:val="-9"/>
          <w:w w:val="105"/>
        </w:rPr>
        <w:t> </w:t>
      </w:r>
      <w:r>
        <w:rPr>
          <w:color w:val="231F20"/>
          <w:w w:val="105"/>
        </w:rPr>
        <w:t>regidores,</w:t>
      </w:r>
      <w:r>
        <w:rPr>
          <w:color w:val="231F20"/>
          <w:spacing w:val="-9"/>
          <w:w w:val="105"/>
        </w:rPr>
        <w:t> </w:t>
      </w:r>
      <w:r>
        <w:rPr>
          <w:color w:val="231F20"/>
          <w:w w:val="105"/>
        </w:rPr>
        <w:t>siete</w:t>
      </w:r>
      <w:r>
        <w:rPr>
          <w:color w:val="231F20"/>
          <w:spacing w:val="-9"/>
          <w:w w:val="105"/>
        </w:rPr>
        <w:t> </w:t>
      </w:r>
      <w:r>
        <w:rPr>
          <w:color w:val="231F20"/>
          <w:w w:val="105"/>
        </w:rPr>
        <w:t>de</w:t>
      </w:r>
      <w:r>
        <w:rPr>
          <w:color w:val="231F20"/>
          <w:spacing w:val="-9"/>
          <w:w w:val="105"/>
        </w:rPr>
        <w:t> </w:t>
      </w:r>
      <w:r>
        <w:rPr>
          <w:color w:val="231F20"/>
          <w:w w:val="105"/>
        </w:rPr>
        <w:t>mayoría</w:t>
      </w:r>
      <w:r>
        <w:rPr>
          <w:color w:val="231F20"/>
          <w:spacing w:val="-9"/>
          <w:w w:val="105"/>
        </w:rPr>
        <w:t> </w:t>
      </w:r>
      <w:r>
        <w:rPr>
          <w:color w:val="231F20"/>
          <w:w w:val="105"/>
        </w:rPr>
        <w:t>relativa</w:t>
      </w:r>
      <w:r>
        <w:rPr>
          <w:color w:val="231F20"/>
          <w:spacing w:val="-9"/>
          <w:w w:val="105"/>
        </w:rPr>
        <w:t> </w:t>
      </w:r>
      <w:r>
        <w:rPr>
          <w:color w:val="231F20"/>
          <w:w w:val="105"/>
        </w:rPr>
        <w:t>y seis</w:t>
      </w:r>
      <w:r>
        <w:rPr>
          <w:color w:val="231F20"/>
          <w:spacing w:val="-18"/>
          <w:w w:val="105"/>
        </w:rPr>
        <w:t> </w:t>
      </w:r>
      <w:r>
        <w:rPr>
          <w:color w:val="231F20"/>
          <w:w w:val="105"/>
        </w:rPr>
        <w:t>de</w:t>
      </w:r>
      <w:r>
        <w:rPr>
          <w:color w:val="231F20"/>
          <w:spacing w:val="-18"/>
          <w:w w:val="105"/>
        </w:rPr>
        <w:t> </w:t>
      </w:r>
      <w:r>
        <w:rPr>
          <w:color w:val="231F20"/>
          <w:w w:val="105"/>
        </w:rPr>
        <w:t>representación</w:t>
      </w:r>
      <w:r>
        <w:rPr>
          <w:color w:val="231F20"/>
          <w:spacing w:val="-18"/>
          <w:w w:val="105"/>
        </w:rPr>
        <w:t> </w:t>
      </w:r>
      <w:r>
        <w:rPr>
          <w:color w:val="231F20"/>
          <w:w w:val="105"/>
        </w:rPr>
        <w:t>proporcional.</w:t>
      </w:r>
    </w:p>
    <w:p>
      <w:pPr>
        <w:pStyle w:val="BodyText"/>
        <w:spacing w:before="1"/>
        <w:rPr>
          <w:sz w:val="26"/>
        </w:rPr>
      </w:pPr>
    </w:p>
    <w:p>
      <w:pPr>
        <w:pStyle w:val="BodyText"/>
        <w:spacing w:line="285" w:lineRule="auto"/>
        <w:ind w:left="110" w:right="107"/>
        <w:jc w:val="both"/>
      </w:pPr>
      <w:r>
        <w:rPr>
          <w:color w:val="231F20"/>
          <w:w w:val="105"/>
        </w:rPr>
        <w:t>Esto de acuerdo con los resultados obtenidos durante el proceso electoral </w:t>
      </w:r>
      <w:r>
        <w:rPr>
          <w:color w:val="231F20"/>
          <w:spacing w:val="2"/>
          <w:w w:val="105"/>
        </w:rPr>
        <w:t>2006-2009 </w:t>
      </w:r>
      <w:r>
        <w:rPr>
          <w:color w:val="231F20"/>
          <w:w w:val="105"/>
        </w:rPr>
        <w:t>para conformar los ayuntamientos municipales. El cuadro </w:t>
      </w:r>
      <w:r>
        <w:rPr>
          <w:color w:val="231F20"/>
          <w:spacing w:val="-3"/>
          <w:w w:val="105"/>
        </w:rPr>
        <w:t>No. </w:t>
      </w:r>
      <w:r>
        <w:rPr>
          <w:color w:val="231F20"/>
          <w:w w:val="105"/>
        </w:rPr>
        <w:t>4 indica que existe una </w:t>
      </w:r>
      <w:r>
        <w:rPr>
          <w:color w:val="231F20"/>
          <w:spacing w:val="2"/>
          <w:w w:val="105"/>
        </w:rPr>
        <w:t>mínima</w:t>
      </w:r>
      <w:r>
        <w:rPr>
          <w:color w:val="231F20"/>
          <w:spacing w:val="-15"/>
          <w:w w:val="105"/>
        </w:rPr>
        <w:t> </w:t>
      </w:r>
      <w:r>
        <w:rPr>
          <w:color w:val="231F20"/>
          <w:w w:val="105"/>
        </w:rPr>
        <w:t>diferencia</w:t>
      </w:r>
      <w:r>
        <w:rPr>
          <w:color w:val="231F20"/>
          <w:spacing w:val="-15"/>
          <w:w w:val="105"/>
        </w:rPr>
        <w:t> </w:t>
      </w:r>
      <w:r>
        <w:rPr>
          <w:color w:val="231F20"/>
          <w:w w:val="105"/>
        </w:rPr>
        <w:t>respecto</w:t>
      </w:r>
      <w:r>
        <w:rPr>
          <w:color w:val="231F20"/>
          <w:spacing w:val="-15"/>
          <w:w w:val="105"/>
        </w:rPr>
        <w:t> </w:t>
      </w:r>
      <w:r>
        <w:rPr>
          <w:color w:val="231F20"/>
          <w:spacing w:val="2"/>
          <w:w w:val="105"/>
        </w:rPr>
        <w:t>al</w:t>
      </w:r>
      <w:r>
        <w:rPr>
          <w:color w:val="231F20"/>
          <w:spacing w:val="-15"/>
          <w:w w:val="105"/>
        </w:rPr>
        <w:t> </w:t>
      </w:r>
      <w:r>
        <w:rPr>
          <w:color w:val="231F20"/>
          <w:w w:val="105"/>
        </w:rPr>
        <w:t>porcentaje</w:t>
      </w:r>
      <w:r>
        <w:rPr>
          <w:color w:val="231F20"/>
          <w:spacing w:val="-15"/>
          <w:w w:val="105"/>
        </w:rPr>
        <w:t> </w:t>
      </w:r>
      <w:r>
        <w:rPr>
          <w:color w:val="231F20"/>
          <w:w w:val="105"/>
        </w:rPr>
        <w:t>de</w:t>
      </w:r>
      <w:r>
        <w:rPr>
          <w:color w:val="231F20"/>
          <w:spacing w:val="-15"/>
          <w:w w:val="105"/>
        </w:rPr>
        <w:t> </w:t>
      </w:r>
      <w:r>
        <w:rPr>
          <w:color w:val="231F20"/>
          <w:w w:val="105"/>
        </w:rPr>
        <w:t>votación</w:t>
      </w:r>
      <w:r>
        <w:rPr>
          <w:color w:val="231F20"/>
          <w:spacing w:val="-15"/>
          <w:w w:val="105"/>
        </w:rPr>
        <w:t> </w:t>
      </w:r>
      <w:r>
        <w:rPr>
          <w:color w:val="231F20"/>
          <w:w w:val="105"/>
        </w:rPr>
        <w:t>entre</w:t>
      </w:r>
      <w:r>
        <w:rPr>
          <w:color w:val="231F20"/>
          <w:spacing w:val="-15"/>
          <w:w w:val="105"/>
        </w:rPr>
        <w:t> </w:t>
      </w:r>
      <w:r>
        <w:rPr>
          <w:color w:val="231F20"/>
          <w:w w:val="105"/>
        </w:rPr>
        <w:t>el</w:t>
      </w:r>
      <w:r>
        <w:rPr>
          <w:color w:val="231F20"/>
          <w:spacing w:val="-15"/>
          <w:w w:val="105"/>
        </w:rPr>
        <w:t> </w:t>
      </w:r>
      <w:r>
        <w:rPr>
          <w:color w:val="231F20"/>
          <w:w w:val="105"/>
        </w:rPr>
        <w:t>PRD</w:t>
      </w:r>
      <w:r>
        <w:rPr>
          <w:color w:val="231F20"/>
          <w:spacing w:val="-15"/>
          <w:w w:val="105"/>
        </w:rPr>
        <w:t> </w:t>
      </w:r>
      <w:r>
        <w:rPr>
          <w:color w:val="231F20"/>
          <w:w w:val="105"/>
        </w:rPr>
        <w:t>y</w:t>
      </w:r>
      <w:r>
        <w:rPr>
          <w:color w:val="231F20"/>
          <w:spacing w:val="-15"/>
          <w:w w:val="105"/>
        </w:rPr>
        <w:t> </w:t>
      </w:r>
      <w:r>
        <w:rPr>
          <w:color w:val="231F20"/>
          <w:spacing w:val="2"/>
          <w:w w:val="105"/>
        </w:rPr>
        <w:t>Alianza</w:t>
      </w:r>
      <w:r>
        <w:rPr>
          <w:color w:val="231F20"/>
          <w:spacing w:val="-15"/>
          <w:w w:val="105"/>
        </w:rPr>
        <w:t> </w:t>
      </w:r>
      <w:r>
        <w:rPr>
          <w:color w:val="231F20"/>
          <w:w w:val="105"/>
        </w:rPr>
        <w:t>por</w:t>
      </w:r>
      <w:r>
        <w:rPr>
          <w:color w:val="231F20"/>
          <w:spacing w:val="-15"/>
          <w:w w:val="105"/>
        </w:rPr>
        <w:t> </w:t>
      </w:r>
      <w:r>
        <w:rPr>
          <w:color w:val="231F20"/>
          <w:w w:val="105"/>
        </w:rPr>
        <w:t>Méxi- co</w:t>
      </w:r>
      <w:r>
        <w:rPr>
          <w:color w:val="231F20"/>
          <w:spacing w:val="-29"/>
          <w:w w:val="105"/>
        </w:rPr>
        <w:t> </w:t>
      </w:r>
      <w:r>
        <w:rPr>
          <w:color w:val="231F20"/>
          <w:w w:val="105"/>
        </w:rPr>
        <w:t>que</w:t>
      </w:r>
      <w:r>
        <w:rPr>
          <w:color w:val="231F20"/>
          <w:spacing w:val="-29"/>
          <w:w w:val="105"/>
        </w:rPr>
        <w:t> </w:t>
      </w:r>
      <w:r>
        <w:rPr>
          <w:color w:val="231F20"/>
          <w:w w:val="105"/>
        </w:rPr>
        <w:t>fue</w:t>
      </w:r>
      <w:r>
        <w:rPr>
          <w:color w:val="231F20"/>
          <w:spacing w:val="-29"/>
          <w:w w:val="105"/>
        </w:rPr>
        <w:t> </w:t>
      </w:r>
      <w:r>
        <w:rPr>
          <w:color w:val="231F20"/>
          <w:w w:val="105"/>
        </w:rPr>
        <w:t>de</w:t>
      </w:r>
      <w:r>
        <w:rPr>
          <w:color w:val="231F20"/>
          <w:spacing w:val="-29"/>
          <w:w w:val="105"/>
        </w:rPr>
        <w:t> </w:t>
      </w:r>
      <w:r>
        <w:rPr>
          <w:color w:val="231F20"/>
          <w:w w:val="105"/>
        </w:rPr>
        <w:t>8.19%.</w:t>
      </w:r>
    </w:p>
    <w:p>
      <w:pPr>
        <w:pStyle w:val="BodyText"/>
        <w:spacing w:before="1"/>
        <w:rPr>
          <w:sz w:val="26"/>
        </w:rPr>
      </w:pPr>
    </w:p>
    <w:p>
      <w:pPr>
        <w:pStyle w:val="Heading5"/>
        <w:ind w:left="1487"/>
      </w:pPr>
      <w:r>
        <w:rPr>
          <w:color w:val="231F20"/>
          <w:w w:val="105"/>
        </w:rPr>
        <w:t>Cuadro4. Resultados Obtenidos del Proceso Electoral</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02"/>
        <w:gridCol w:w="2545"/>
        <w:gridCol w:w="2680"/>
      </w:tblGrid>
      <w:tr>
        <w:trPr>
          <w:trHeight w:val="322" w:hRule="exact"/>
        </w:trPr>
        <w:tc>
          <w:tcPr>
            <w:tcW w:w="2702" w:type="dxa"/>
          </w:tcPr>
          <w:p>
            <w:pPr>
              <w:pStyle w:val="TableParagraph"/>
              <w:spacing w:line="163" w:lineRule="exact"/>
              <w:ind w:left="347" w:right="347"/>
              <w:jc w:val="center"/>
              <w:rPr>
                <w:sz w:val="16"/>
              </w:rPr>
            </w:pPr>
            <w:r>
              <w:rPr>
                <w:color w:val="231F20"/>
                <w:sz w:val="16"/>
              </w:rPr>
              <w:t>PARTIDO</w:t>
            </w:r>
          </w:p>
        </w:tc>
        <w:tc>
          <w:tcPr>
            <w:tcW w:w="2545" w:type="dxa"/>
          </w:tcPr>
          <w:p>
            <w:pPr>
              <w:pStyle w:val="TableParagraph"/>
              <w:spacing w:line="163" w:lineRule="exact"/>
              <w:ind w:left="856" w:right="856"/>
              <w:jc w:val="center"/>
              <w:rPr>
                <w:sz w:val="16"/>
              </w:rPr>
            </w:pPr>
            <w:r>
              <w:rPr>
                <w:color w:val="231F20"/>
                <w:sz w:val="16"/>
              </w:rPr>
              <w:t># DE VOTOS</w:t>
            </w:r>
          </w:p>
        </w:tc>
        <w:tc>
          <w:tcPr>
            <w:tcW w:w="2680" w:type="dxa"/>
          </w:tcPr>
          <w:p>
            <w:pPr>
              <w:pStyle w:val="TableParagraph"/>
              <w:spacing w:line="161" w:lineRule="exact"/>
              <w:ind w:left="342" w:right="342"/>
              <w:jc w:val="center"/>
              <w:rPr>
                <w:sz w:val="16"/>
              </w:rPr>
            </w:pPr>
            <w:r>
              <w:rPr>
                <w:color w:val="231F20"/>
                <w:w w:val="105"/>
                <w:sz w:val="16"/>
              </w:rPr>
              <w:t>% DE VOTOS CON RESPECTO</w:t>
            </w:r>
          </w:p>
          <w:p>
            <w:pPr>
              <w:pStyle w:val="TableParagraph"/>
              <w:spacing w:line="191" w:lineRule="exact"/>
              <w:ind w:left="342" w:right="342"/>
              <w:jc w:val="center"/>
              <w:rPr>
                <w:sz w:val="16"/>
              </w:rPr>
            </w:pPr>
            <w:r>
              <w:rPr>
                <w:color w:val="231F20"/>
                <w:w w:val="105"/>
                <w:sz w:val="16"/>
              </w:rPr>
              <w:t>A LA ELECCIÓN TOTAL.</w:t>
            </w:r>
          </w:p>
        </w:tc>
      </w:tr>
      <w:tr>
        <w:trPr>
          <w:trHeight w:val="130" w:hRule="exact"/>
        </w:trPr>
        <w:tc>
          <w:tcPr>
            <w:tcW w:w="2702" w:type="dxa"/>
          </w:tcPr>
          <w:p>
            <w:pPr>
              <w:pStyle w:val="TableParagraph"/>
              <w:spacing w:line="160" w:lineRule="exact"/>
              <w:ind w:left="347" w:right="347"/>
              <w:jc w:val="center"/>
              <w:rPr>
                <w:sz w:val="16"/>
              </w:rPr>
            </w:pPr>
            <w:r>
              <w:rPr>
                <w:color w:val="231F20"/>
                <w:w w:val="105"/>
                <w:sz w:val="16"/>
              </w:rPr>
              <w:t>PRD</w:t>
            </w:r>
          </w:p>
        </w:tc>
        <w:tc>
          <w:tcPr>
            <w:tcW w:w="2545" w:type="dxa"/>
          </w:tcPr>
          <w:p>
            <w:pPr>
              <w:pStyle w:val="TableParagraph"/>
              <w:spacing w:line="160" w:lineRule="exact"/>
              <w:ind w:left="850" w:right="856"/>
              <w:jc w:val="center"/>
              <w:rPr>
                <w:sz w:val="16"/>
              </w:rPr>
            </w:pPr>
            <w:r>
              <w:rPr>
                <w:color w:val="231F20"/>
                <w:sz w:val="16"/>
              </w:rPr>
              <w:t>25,815</w:t>
            </w:r>
          </w:p>
        </w:tc>
        <w:tc>
          <w:tcPr>
            <w:tcW w:w="2680" w:type="dxa"/>
          </w:tcPr>
          <w:p>
            <w:pPr>
              <w:pStyle w:val="TableParagraph"/>
              <w:spacing w:line="160" w:lineRule="exact"/>
              <w:ind w:left="342" w:right="342"/>
              <w:jc w:val="center"/>
              <w:rPr>
                <w:sz w:val="16"/>
              </w:rPr>
            </w:pPr>
            <w:r>
              <w:rPr>
                <w:color w:val="231F20"/>
                <w:sz w:val="16"/>
              </w:rPr>
              <w:t>40.98</w:t>
            </w:r>
          </w:p>
        </w:tc>
      </w:tr>
      <w:tr>
        <w:trPr>
          <w:trHeight w:val="130" w:hRule="exact"/>
        </w:trPr>
        <w:tc>
          <w:tcPr>
            <w:tcW w:w="2702" w:type="dxa"/>
          </w:tcPr>
          <w:p>
            <w:pPr>
              <w:pStyle w:val="TableParagraph"/>
              <w:spacing w:line="160" w:lineRule="exact"/>
              <w:ind w:left="347" w:right="347"/>
              <w:jc w:val="center"/>
              <w:rPr>
                <w:sz w:val="16"/>
              </w:rPr>
            </w:pPr>
            <w:r>
              <w:rPr>
                <w:color w:val="231F20"/>
                <w:sz w:val="16"/>
              </w:rPr>
              <w:t>Alianza por México  PRI-PVEM</w:t>
            </w:r>
          </w:p>
        </w:tc>
        <w:tc>
          <w:tcPr>
            <w:tcW w:w="2545" w:type="dxa"/>
          </w:tcPr>
          <w:p>
            <w:pPr>
              <w:pStyle w:val="TableParagraph"/>
              <w:spacing w:line="160" w:lineRule="exact"/>
              <w:ind w:left="854" w:right="856"/>
              <w:jc w:val="center"/>
              <w:rPr>
                <w:sz w:val="16"/>
              </w:rPr>
            </w:pPr>
            <w:r>
              <w:rPr>
                <w:color w:val="231F20"/>
                <w:sz w:val="16"/>
              </w:rPr>
              <w:t>20,653</w:t>
            </w:r>
          </w:p>
        </w:tc>
        <w:tc>
          <w:tcPr>
            <w:tcW w:w="2680" w:type="dxa"/>
          </w:tcPr>
          <w:p>
            <w:pPr>
              <w:pStyle w:val="TableParagraph"/>
              <w:spacing w:line="160" w:lineRule="exact"/>
              <w:ind w:left="342" w:right="342"/>
              <w:jc w:val="center"/>
              <w:rPr>
                <w:sz w:val="16"/>
              </w:rPr>
            </w:pPr>
            <w:r>
              <w:rPr>
                <w:color w:val="231F20"/>
                <w:sz w:val="16"/>
              </w:rPr>
              <w:t>32.79</w:t>
            </w:r>
          </w:p>
        </w:tc>
      </w:tr>
      <w:tr>
        <w:trPr>
          <w:trHeight w:val="130" w:hRule="exact"/>
        </w:trPr>
        <w:tc>
          <w:tcPr>
            <w:tcW w:w="2702" w:type="dxa"/>
          </w:tcPr>
          <w:p>
            <w:pPr>
              <w:pStyle w:val="TableParagraph"/>
              <w:spacing w:line="160" w:lineRule="exact"/>
              <w:ind w:left="347" w:right="347"/>
              <w:jc w:val="center"/>
              <w:rPr>
                <w:sz w:val="16"/>
              </w:rPr>
            </w:pPr>
            <w:r>
              <w:rPr>
                <w:color w:val="231F20"/>
                <w:w w:val="105"/>
                <w:sz w:val="16"/>
              </w:rPr>
              <w:t>PAN</w:t>
            </w:r>
          </w:p>
        </w:tc>
        <w:tc>
          <w:tcPr>
            <w:tcW w:w="2545" w:type="dxa"/>
          </w:tcPr>
          <w:p>
            <w:pPr>
              <w:pStyle w:val="TableParagraph"/>
              <w:spacing w:line="160" w:lineRule="exact"/>
              <w:ind w:left="856" w:right="856"/>
              <w:jc w:val="center"/>
              <w:rPr>
                <w:sz w:val="16"/>
              </w:rPr>
            </w:pPr>
            <w:r>
              <w:rPr>
                <w:color w:val="231F20"/>
                <w:sz w:val="16"/>
              </w:rPr>
              <w:t>10,404</w:t>
            </w:r>
          </w:p>
        </w:tc>
        <w:tc>
          <w:tcPr>
            <w:tcW w:w="2680" w:type="dxa"/>
          </w:tcPr>
          <w:p>
            <w:pPr>
              <w:pStyle w:val="TableParagraph"/>
              <w:spacing w:line="160" w:lineRule="exact"/>
              <w:ind w:left="342" w:right="342"/>
              <w:jc w:val="center"/>
              <w:rPr>
                <w:sz w:val="16"/>
              </w:rPr>
            </w:pPr>
            <w:r>
              <w:rPr>
                <w:color w:val="231F20"/>
                <w:sz w:val="16"/>
              </w:rPr>
              <w:t>16.52</w:t>
            </w:r>
          </w:p>
        </w:tc>
      </w:tr>
      <w:tr>
        <w:trPr>
          <w:trHeight w:val="130" w:hRule="exact"/>
        </w:trPr>
        <w:tc>
          <w:tcPr>
            <w:tcW w:w="2702" w:type="dxa"/>
          </w:tcPr>
          <w:p>
            <w:pPr>
              <w:pStyle w:val="TableParagraph"/>
              <w:spacing w:line="160" w:lineRule="exact"/>
              <w:ind w:left="347" w:right="347"/>
              <w:jc w:val="center"/>
              <w:rPr>
                <w:sz w:val="16"/>
              </w:rPr>
            </w:pPr>
            <w:r>
              <w:rPr>
                <w:color w:val="231F20"/>
                <w:w w:val="105"/>
                <w:sz w:val="16"/>
              </w:rPr>
              <w:t>CONVERGENCIA</w:t>
            </w:r>
          </w:p>
        </w:tc>
        <w:tc>
          <w:tcPr>
            <w:tcW w:w="2545" w:type="dxa"/>
          </w:tcPr>
          <w:p>
            <w:pPr>
              <w:pStyle w:val="TableParagraph"/>
              <w:spacing w:line="160" w:lineRule="exact"/>
              <w:ind w:left="854" w:right="856"/>
              <w:jc w:val="center"/>
              <w:rPr>
                <w:sz w:val="16"/>
              </w:rPr>
            </w:pPr>
            <w:r>
              <w:rPr>
                <w:color w:val="231F20"/>
                <w:sz w:val="16"/>
              </w:rPr>
              <w:t>2,337</w:t>
            </w:r>
          </w:p>
        </w:tc>
        <w:tc>
          <w:tcPr>
            <w:tcW w:w="2680" w:type="dxa"/>
          </w:tcPr>
          <w:p>
            <w:pPr>
              <w:pStyle w:val="TableParagraph"/>
              <w:spacing w:line="160" w:lineRule="exact"/>
              <w:ind w:left="341" w:right="342"/>
              <w:jc w:val="center"/>
              <w:rPr>
                <w:sz w:val="16"/>
              </w:rPr>
            </w:pPr>
            <w:r>
              <w:rPr>
                <w:color w:val="231F20"/>
                <w:sz w:val="16"/>
              </w:rPr>
              <w:t>3.71</w:t>
            </w:r>
          </w:p>
        </w:tc>
      </w:tr>
      <w:tr>
        <w:trPr>
          <w:trHeight w:val="130" w:hRule="exact"/>
        </w:trPr>
        <w:tc>
          <w:tcPr>
            <w:tcW w:w="2702" w:type="dxa"/>
          </w:tcPr>
          <w:p>
            <w:pPr>
              <w:pStyle w:val="TableParagraph"/>
              <w:spacing w:line="160" w:lineRule="exact"/>
              <w:ind w:left="347" w:right="345"/>
              <w:jc w:val="center"/>
              <w:rPr>
                <w:sz w:val="16"/>
              </w:rPr>
            </w:pPr>
            <w:r>
              <w:rPr>
                <w:color w:val="231F20"/>
                <w:sz w:val="16"/>
              </w:rPr>
              <w:t>PT</w:t>
            </w:r>
          </w:p>
        </w:tc>
        <w:tc>
          <w:tcPr>
            <w:tcW w:w="2545" w:type="dxa"/>
          </w:tcPr>
          <w:p>
            <w:pPr>
              <w:pStyle w:val="TableParagraph"/>
              <w:spacing w:line="160" w:lineRule="exact"/>
              <w:ind w:left="856" w:right="856"/>
              <w:jc w:val="center"/>
              <w:rPr>
                <w:sz w:val="16"/>
              </w:rPr>
            </w:pPr>
            <w:r>
              <w:rPr>
                <w:color w:val="231F20"/>
                <w:sz w:val="16"/>
              </w:rPr>
              <w:t>1,757</w:t>
            </w:r>
          </w:p>
        </w:tc>
        <w:tc>
          <w:tcPr>
            <w:tcW w:w="2680" w:type="dxa"/>
          </w:tcPr>
          <w:p>
            <w:pPr>
              <w:pStyle w:val="TableParagraph"/>
              <w:spacing w:line="160" w:lineRule="exact"/>
              <w:ind w:left="341" w:right="342"/>
              <w:jc w:val="center"/>
              <w:rPr>
                <w:sz w:val="16"/>
              </w:rPr>
            </w:pPr>
            <w:r>
              <w:rPr>
                <w:color w:val="231F20"/>
                <w:sz w:val="16"/>
              </w:rPr>
              <w:t>2.79</w:t>
            </w:r>
          </w:p>
        </w:tc>
      </w:tr>
    </w:tbl>
    <w:p>
      <w:pPr>
        <w:pStyle w:val="BodyText"/>
        <w:spacing w:before="4"/>
        <w:rPr>
          <w:b/>
          <w:sz w:val="18"/>
        </w:rPr>
      </w:pPr>
    </w:p>
    <w:p>
      <w:pPr>
        <w:spacing w:before="74"/>
        <w:ind w:left="5055" w:right="-2" w:firstLine="0"/>
        <w:jc w:val="left"/>
        <w:rPr>
          <w:rFonts w:ascii="Calibri" w:hAnsi="Calibri"/>
          <w:sz w:val="16"/>
        </w:rPr>
      </w:pPr>
      <w:r>
        <w:rPr>
          <w:rFonts w:ascii="Calibri" w:hAnsi="Calibri"/>
          <w:color w:val="231F20"/>
          <w:sz w:val="16"/>
        </w:rPr>
        <w:t>FUENTE: Elaboración propia con datos de IEEM</w:t>
      </w:r>
    </w:p>
    <w:p>
      <w:pPr>
        <w:pStyle w:val="BodyText"/>
        <w:rPr>
          <w:rFonts w:ascii="Calibri"/>
          <w:sz w:val="16"/>
        </w:rPr>
      </w:pPr>
    </w:p>
    <w:p>
      <w:pPr>
        <w:pStyle w:val="BodyText"/>
        <w:spacing w:before="10"/>
        <w:rPr>
          <w:rFonts w:ascii="Calibri"/>
          <w:sz w:val="12"/>
        </w:rPr>
      </w:pPr>
    </w:p>
    <w:p>
      <w:pPr>
        <w:pStyle w:val="BodyText"/>
        <w:ind w:right="102"/>
        <w:jc w:val="center"/>
      </w:pPr>
      <w:r>
        <w:rPr>
          <w:color w:val="231F20"/>
          <w:w w:val="105"/>
        </w:rPr>
        <w:t>A continuación presentamos el Organigrama del Municipio para conocer su estructura:</w:t>
      </w:r>
    </w:p>
    <w:p>
      <w:pPr>
        <w:pStyle w:val="Heading5"/>
        <w:spacing w:line="285" w:lineRule="auto" w:before="47"/>
        <w:ind w:left="776" w:right="774"/>
        <w:jc w:val="center"/>
      </w:pPr>
      <w:r>
        <w:rPr>
          <w:color w:val="231F20"/>
        </w:rPr>
        <w:t>ORGANIGRAMA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REGIDORES</w:t>
      </w:r>
      <w:r>
        <w:rPr>
          <w:color w:val="231F20"/>
          <w:spacing w:val="-18"/>
        </w:rPr>
        <w:t> </w:t>
      </w:r>
      <w:r>
        <w:rPr>
          <w:color w:val="231F20"/>
        </w:rPr>
        <w:t>DEL</w:t>
      </w:r>
      <w:r>
        <w:rPr>
          <w:color w:val="231F20"/>
          <w:spacing w:val="-18"/>
        </w:rPr>
        <w:t> </w:t>
      </w:r>
      <w:r>
        <w:rPr>
          <w:color w:val="231F20"/>
        </w:rPr>
        <w:t>H.</w:t>
      </w:r>
      <w:r>
        <w:rPr>
          <w:color w:val="231F20"/>
          <w:spacing w:val="-18"/>
        </w:rPr>
        <w:t> </w:t>
      </w:r>
      <w:r>
        <w:rPr>
          <w:color w:val="231F20"/>
        </w:rPr>
        <w:t>AYUNTAMIENTO DE  CHALCO</w:t>
      </w:r>
      <w:r>
        <w:rPr>
          <w:color w:val="231F20"/>
          <w:spacing w:val="6"/>
        </w:rPr>
        <w:t> </w:t>
      </w:r>
      <w:r>
        <w:rPr>
          <w:color w:val="231F20"/>
        </w:rPr>
        <w:t>2006-2009.</w:t>
      </w:r>
    </w:p>
    <w:p>
      <w:pPr>
        <w:pStyle w:val="BodyText"/>
        <w:spacing w:before="2"/>
        <w:rPr>
          <w:b/>
          <w:sz w:val="29"/>
        </w:rPr>
      </w:pPr>
      <w:r>
        <w:rPr/>
        <w:drawing>
          <wp:anchor distT="0" distB="0" distL="0" distR="0" allowOverlap="1" layoutInCell="1" locked="0" behindDoc="0" simplePos="0" relativeHeight="13528">
            <wp:simplePos x="0" y="0"/>
            <wp:positionH relativeFrom="page">
              <wp:posOffset>540000</wp:posOffset>
            </wp:positionH>
            <wp:positionV relativeFrom="paragraph">
              <wp:posOffset>238187</wp:posOffset>
            </wp:positionV>
            <wp:extent cx="4949011" cy="1159478"/>
            <wp:effectExtent l="0" t="0" r="0" b="0"/>
            <wp:wrapTopAndBottom/>
            <wp:docPr id="435" name="image1029.png" descr=""/>
            <wp:cNvGraphicFramePr>
              <a:graphicFrameLocks noChangeAspect="1"/>
            </wp:cNvGraphicFramePr>
            <a:graphic>
              <a:graphicData uri="http://schemas.openxmlformats.org/drawingml/2006/picture">
                <pic:pic>
                  <pic:nvPicPr>
                    <pic:cNvPr id="436" name="image1029.png"/>
                    <pic:cNvPicPr/>
                  </pic:nvPicPr>
                  <pic:blipFill>
                    <a:blip r:embed="rId1129" cstate="print"/>
                    <a:stretch>
                      <a:fillRect/>
                    </a:stretch>
                  </pic:blipFill>
                  <pic:spPr>
                    <a:xfrm>
                      <a:off x="0" y="0"/>
                      <a:ext cx="4949011" cy="1159478"/>
                    </a:xfrm>
                    <a:prstGeom prst="rect">
                      <a:avLst/>
                    </a:prstGeom>
                  </pic:spPr>
                </pic:pic>
              </a:graphicData>
            </a:graphic>
          </wp:anchor>
        </w:drawing>
      </w:r>
    </w:p>
    <w:p>
      <w:pPr>
        <w:spacing w:after="0"/>
        <w:rPr>
          <w:sz w:val="29"/>
        </w:rPr>
        <w:sectPr>
          <w:pgSz w:w="9640" w:h="12190"/>
          <w:pgMar w:header="0" w:footer="743" w:top="1120" w:bottom="940" w:left="740" w:right="740"/>
        </w:sectPr>
      </w:pPr>
    </w:p>
    <w:p>
      <w:pPr>
        <w:pStyle w:val="BodyText"/>
        <w:spacing w:before="3"/>
        <w:rPr>
          <w:b/>
          <w:sz w:val="11"/>
        </w:rPr>
      </w:pPr>
    </w:p>
    <w:p>
      <w:pPr>
        <w:pStyle w:val="BodyText"/>
        <w:spacing w:line="285" w:lineRule="auto" w:before="36"/>
        <w:ind w:left="110" w:right="108"/>
        <w:jc w:val="both"/>
      </w:pPr>
      <w:r>
        <w:rPr>
          <w:color w:val="231F20"/>
          <w:w w:val="105"/>
        </w:rPr>
        <w:t>Así,</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r>
        <w:rPr>
          <w:color w:val="231F20"/>
          <w:spacing w:val="-15"/>
          <w:w w:val="105"/>
        </w:rPr>
        <w:t> </w:t>
      </w:r>
      <w:r>
        <w:rPr>
          <w:color w:val="231F20"/>
          <w:w w:val="105"/>
        </w:rPr>
        <w:t>el</w:t>
      </w:r>
      <w:r>
        <w:rPr>
          <w:color w:val="231F20"/>
          <w:spacing w:val="-15"/>
          <w:w w:val="105"/>
        </w:rPr>
        <w:t> </w:t>
      </w:r>
      <w:r>
        <w:rPr>
          <w:color w:val="231F20"/>
          <w:w w:val="105"/>
        </w:rPr>
        <w:t>síndico</w:t>
      </w:r>
      <w:r>
        <w:rPr>
          <w:color w:val="231F20"/>
          <w:spacing w:val="-15"/>
          <w:w w:val="105"/>
        </w:rPr>
        <w:t> </w:t>
      </w:r>
      <w:r>
        <w:rPr>
          <w:color w:val="231F20"/>
          <w:w w:val="105"/>
        </w:rPr>
        <w:t>y</w:t>
      </w:r>
      <w:r>
        <w:rPr>
          <w:color w:val="231F20"/>
          <w:spacing w:val="-15"/>
          <w:w w:val="105"/>
        </w:rPr>
        <w:t> </w:t>
      </w:r>
      <w:r>
        <w:rPr>
          <w:color w:val="231F20"/>
          <w:w w:val="105"/>
        </w:rPr>
        <w:t>los</w:t>
      </w:r>
      <w:r>
        <w:rPr>
          <w:color w:val="231F20"/>
          <w:spacing w:val="-15"/>
          <w:w w:val="105"/>
        </w:rPr>
        <w:t> </w:t>
      </w:r>
      <w:r>
        <w:rPr>
          <w:color w:val="231F20"/>
          <w:w w:val="105"/>
        </w:rPr>
        <w:t>siete</w:t>
      </w:r>
      <w:r>
        <w:rPr>
          <w:color w:val="231F20"/>
          <w:spacing w:val="-15"/>
          <w:w w:val="105"/>
        </w:rPr>
        <w:t> </w:t>
      </w:r>
      <w:r>
        <w:rPr>
          <w:color w:val="231F20"/>
          <w:w w:val="105"/>
        </w:rPr>
        <w:t>primeros</w:t>
      </w:r>
      <w:r>
        <w:rPr>
          <w:color w:val="231F20"/>
          <w:spacing w:val="-15"/>
          <w:w w:val="105"/>
        </w:rPr>
        <w:t> </w:t>
      </w:r>
      <w:r>
        <w:rPr>
          <w:color w:val="231F20"/>
          <w:w w:val="105"/>
        </w:rPr>
        <w:t>regidores</w:t>
      </w:r>
      <w:r>
        <w:rPr>
          <w:color w:val="231F20"/>
          <w:spacing w:val="-15"/>
          <w:w w:val="105"/>
        </w:rPr>
        <w:t> </w:t>
      </w:r>
      <w:r>
        <w:rPr>
          <w:color w:val="231F20"/>
          <w:w w:val="105"/>
        </w:rPr>
        <w:t>son</w:t>
      </w:r>
      <w:r>
        <w:rPr>
          <w:color w:val="231F20"/>
          <w:spacing w:val="-15"/>
          <w:w w:val="105"/>
        </w:rPr>
        <w:t> </w:t>
      </w:r>
      <w:r>
        <w:rPr>
          <w:color w:val="231F20"/>
          <w:w w:val="105"/>
        </w:rPr>
        <w:t>de</w:t>
      </w:r>
      <w:r>
        <w:rPr>
          <w:color w:val="231F20"/>
          <w:spacing w:val="-15"/>
          <w:w w:val="105"/>
        </w:rPr>
        <w:t> </w:t>
      </w:r>
      <w:r>
        <w:rPr>
          <w:color w:val="231F20"/>
          <w:w w:val="105"/>
        </w:rPr>
        <w:t>extracción perredista, pudiendo destacar que hay 3 representantes femeninas; los tres siguientes regidores</w:t>
      </w:r>
      <w:r>
        <w:rPr>
          <w:color w:val="231F20"/>
          <w:spacing w:val="-13"/>
          <w:w w:val="105"/>
        </w:rPr>
        <w:t> </w:t>
      </w:r>
      <w:r>
        <w:rPr>
          <w:color w:val="231F20"/>
          <w:w w:val="105"/>
        </w:rPr>
        <w:t>pertenecen</w:t>
      </w:r>
      <w:r>
        <w:rPr>
          <w:color w:val="231F20"/>
          <w:spacing w:val="-13"/>
          <w:w w:val="105"/>
        </w:rPr>
        <w:t> </w:t>
      </w:r>
      <w:r>
        <w:rPr>
          <w:color w:val="231F20"/>
          <w:w w:val="105"/>
        </w:rPr>
        <w:t>a</w:t>
      </w:r>
      <w:r>
        <w:rPr>
          <w:color w:val="231F20"/>
          <w:spacing w:val="-13"/>
          <w:w w:val="105"/>
        </w:rPr>
        <w:t> </w:t>
      </w:r>
      <w:r>
        <w:rPr>
          <w:color w:val="231F20"/>
          <w:spacing w:val="2"/>
          <w:w w:val="105"/>
        </w:rPr>
        <w:t>Alianza</w:t>
      </w:r>
      <w:r>
        <w:rPr>
          <w:color w:val="231F20"/>
          <w:spacing w:val="-13"/>
          <w:w w:val="105"/>
        </w:rPr>
        <w:t> </w:t>
      </w:r>
      <w:r>
        <w:rPr>
          <w:color w:val="231F20"/>
          <w:w w:val="105"/>
        </w:rPr>
        <w:t>por</w:t>
      </w:r>
      <w:r>
        <w:rPr>
          <w:color w:val="231F20"/>
          <w:spacing w:val="-13"/>
          <w:w w:val="105"/>
        </w:rPr>
        <w:t> </w:t>
      </w:r>
      <w:r>
        <w:rPr>
          <w:color w:val="231F20"/>
          <w:w w:val="105"/>
        </w:rPr>
        <w:t>México</w:t>
      </w:r>
      <w:r>
        <w:rPr>
          <w:color w:val="231F20"/>
          <w:spacing w:val="-13"/>
          <w:w w:val="105"/>
        </w:rPr>
        <w:t> </w:t>
      </w:r>
      <w:r>
        <w:rPr>
          <w:color w:val="231F20"/>
          <w:w w:val="105"/>
        </w:rPr>
        <w:t>(PRI-PVEM,</w:t>
      </w:r>
      <w:r>
        <w:rPr>
          <w:color w:val="231F20"/>
          <w:spacing w:val="-13"/>
          <w:w w:val="105"/>
        </w:rPr>
        <w:t> </w:t>
      </w:r>
      <w:r>
        <w:rPr>
          <w:color w:val="231F20"/>
          <w:w w:val="105"/>
        </w:rPr>
        <w:t>Partido</w:t>
      </w:r>
      <w:r>
        <w:rPr>
          <w:color w:val="231F20"/>
          <w:spacing w:val="-13"/>
          <w:w w:val="105"/>
        </w:rPr>
        <w:t> </w:t>
      </w:r>
      <w:r>
        <w:rPr>
          <w:color w:val="231F20"/>
          <w:w w:val="105"/>
        </w:rPr>
        <w:t>Revolucionario</w:t>
      </w:r>
      <w:r>
        <w:rPr>
          <w:color w:val="231F20"/>
          <w:spacing w:val="-13"/>
          <w:w w:val="105"/>
        </w:rPr>
        <w:t> </w:t>
      </w:r>
      <w:r>
        <w:rPr>
          <w:color w:val="231F20"/>
          <w:w w:val="105"/>
        </w:rPr>
        <w:t>Insti- tucional</w:t>
      </w:r>
      <w:r>
        <w:rPr>
          <w:color w:val="231F20"/>
          <w:spacing w:val="-11"/>
          <w:w w:val="105"/>
        </w:rPr>
        <w:t> </w:t>
      </w:r>
      <w:r>
        <w:rPr>
          <w:color w:val="231F20"/>
          <w:w w:val="105"/>
        </w:rPr>
        <w:t>y</w:t>
      </w:r>
      <w:r>
        <w:rPr>
          <w:color w:val="231F20"/>
          <w:spacing w:val="-11"/>
          <w:w w:val="105"/>
        </w:rPr>
        <w:t> </w:t>
      </w:r>
      <w:r>
        <w:rPr>
          <w:color w:val="231F20"/>
          <w:w w:val="105"/>
        </w:rPr>
        <w:t>Partido</w:t>
      </w:r>
      <w:r>
        <w:rPr>
          <w:color w:val="231F20"/>
          <w:spacing w:val="-11"/>
          <w:w w:val="105"/>
        </w:rPr>
        <w:t> </w:t>
      </w:r>
      <w:r>
        <w:rPr>
          <w:color w:val="231F20"/>
          <w:spacing w:val="-5"/>
          <w:w w:val="105"/>
        </w:rPr>
        <w:t>Verde</w:t>
      </w:r>
      <w:r>
        <w:rPr>
          <w:color w:val="231F20"/>
          <w:spacing w:val="-11"/>
          <w:w w:val="105"/>
        </w:rPr>
        <w:t> </w:t>
      </w:r>
      <w:r>
        <w:rPr>
          <w:color w:val="231F20"/>
          <w:w w:val="105"/>
        </w:rPr>
        <w:t>Ecologista</w:t>
      </w:r>
      <w:r>
        <w:rPr>
          <w:color w:val="231F20"/>
          <w:spacing w:val="-11"/>
          <w:w w:val="105"/>
        </w:rPr>
        <w:t> </w:t>
      </w:r>
      <w:r>
        <w:rPr>
          <w:color w:val="231F20"/>
          <w:w w:val="105"/>
        </w:rPr>
        <w:t>de</w:t>
      </w:r>
      <w:r>
        <w:rPr>
          <w:color w:val="231F20"/>
          <w:spacing w:val="-11"/>
          <w:w w:val="105"/>
        </w:rPr>
        <w:t> </w:t>
      </w:r>
      <w:r>
        <w:rPr>
          <w:color w:val="231F20"/>
          <w:spacing w:val="-3"/>
          <w:w w:val="105"/>
        </w:rPr>
        <w:t>México)</w:t>
      </w:r>
      <w:r>
        <w:rPr>
          <w:color w:val="231F20"/>
          <w:spacing w:val="-11"/>
          <w:w w:val="105"/>
        </w:rPr>
        <w:t> </w:t>
      </w:r>
      <w:r>
        <w:rPr>
          <w:color w:val="231F20"/>
          <w:w w:val="105"/>
        </w:rPr>
        <w:t>y</w:t>
      </w:r>
      <w:r>
        <w:rPr>
          <w:color w:val="231F20"/>
          <w:spacing w:val="-11"/>
          <w:w w:val="105"/>
        </w:rPr>
        <w:t> </w:t>
      </w:r>
      <w:r>
        <w:rPr>
          <w:color w:val="231F20"/>
          <w:w w:val="105"/>
        </w:rPr>
        <w:t>solo</w:t>
      </w:r>
      <w:r>
        <w:rPr>
          <w:color w:val="231F20"/>
          <w:spacing w:val="-11"/>
          <w:w w:val="105"/>
        </w:rPr>
        <w:t> </w:t>
      </w:r>
      <w:r>
        <w:rPr>
          <w:color w:val="231F20"/>
          <w:w w:val="105"/>
        </w:rPr>
        <w:t>hay</w:t>
      </w:r>
      <w:r>
        <w:rPr>
          <w:color w:val="231F20"/>
          <w:spacing w:val="-11"/>
          <w:w w:val="105"/>
        </w:rPr>
        <w:t> </w:t>
      </w:r>
      <w:r>
        <w:rPr>
          <w:color w:val="231F20"/>
          <w:w w:val="105"/>
        </w:rPr>
        <w:t>una</w:t>
      </w:r>
      <w:r>
        <w:rPr>
          <w:color w:val="231F20"/>
          <w:spacing w:val="-11"/>
          <w:w w:val="105"/>
        </w:rPr>
        <w:t> </w:t>
      </w:r>
      <w:r>
        <w:rPr>
          <w:color w:val="231F20"/>
          <w:w w:val="105"/>
        </w:rPr>
        <w:t>representante</w:t>
      </w:r>
      <w:r>
        <w:rPr>
          <w:color w:val="231F20"/>
          <w:spacing w:val="-11"/>
          <w:w w:val="105"/>
        </w:rPr>
        <w:t> </w:t>
      </w:r>
      <w:r>
        <w:rPr>
          <w:color w:val="231F20"/>
          <w:w w:val="105"/>
        </w:rPr>
        <w:t>femenina; los</w:t>
      </w:r>
      <w:r>
        <w:rPr>
          <w:color w:val="231F20"/>
          <w:spacing w:val="-18"/>
          <w:w w:val="105"/>
        </w:rPr>
        <w:t> </w:t>
      </w:r>
      <w:r>
        <w:rPr>
          <w:color w:val="231F20"/>
          <w:w w:val="105"/>
        </w:rPr>
        <w:t>dos</w:t>
      </w:r>
      <w:r>
        <w:rPr>
          <w:color w:val="231F20"/>
          <w:spacing w:val="-18"/>
          <w:w w:val="105"/>
        </w:rPr>
        <w:t> </w:t>
      </w:r>
      <w:r>
        <w:rPr>
          <w:color w:val="231F20"/>
          <w:w w:val="105"/>
        </w:rPr>
        <w:t>siguientes</w:t>
      </w:r>
      <w:r>
        <w:rPr>
          <w:color w:val="231F20"/>
          <w:spacing w:val="-18"/>
          <w:w w:val="105"/>
        </w:rPr>
        <w:t> </w:t>
      </w:r>
      <w:r>
        <w:rPr>
          <w:color w:val="231F20"/>
          <w:w w:val="105"/>
        </w:rPr>
        <w:t>pertenecen</w:t>
      </w:r>
      <w:r>
        <w:rPr>
          <w:color w:val="231F20"/>
          <w:spacing w:val="-18"/>
          <w:w w:val="105"/>
        </w:rPr>
        <w:t> </w:t>
      </w:r>
      <w:r>
        <w:rPr>
          <w:color w:val="231F20"/>
          <w:w w:val="105"/>
        </w:rPr>
        <w:t>a</w:t>
      </w:r>
      <w:r>
        <w:rPr>
          <w:color w:val="231F20"/>
          <w:spacing w:val="-18"/>
          <w:w w:val="105"/>
        </w:rPr>
        <w:t> </w:t>
      </w:r>
      <w:r>
        <w:rPr>
          <w:color w:val="231F20"/>
          <w:w w:val="105"/>
        </w:rPr>
        <w:t>Acción</w:t>
      </w:r>
      <w:r>
        <w:rPr>
          <w:color w:val="231F20"/>
          <w:spacing w:val="-18"/>
          <w:w w:val="105"/>
        </w:rPr>
        <w:t> </w:t>
      </w:r>
      <w:r>
        <w:rPr>
          <w:color w:val="231F20"/>
          <w:w w:val="105"/>
        </w:rPr>
        <w:t>Nacional</w:t>
      </w:r>
      <w:r>
        <w:rPr>
          <w:color w:val="231F20"/>
          <w:spacing w:val="-18"/>
          <w:w w:val="105"/>
        </w:rPr>
        <w:t> </w:t>
      </w:r>
      <w:r>
        <w:rPr>
          <w:color w:val="231F20"/>
          <w:spacing w:val="-4"/>
          <w:w w:val="105"/>
        </w:rPr>
        <w:t>(PAN),</w:t>
      </w:r>
      <w:r>
        <w:rPr>
          <w:color w:val="231F20"/>
          <w:spacing w:val="-18"/>
          <w:w w:val="105"/>
        </w:rPr>
        <w:t> </w:t>
      </w:r>
      <w:r>
        <w:rPr>
          <w:color w:val="231F20"/>
          <w:w w:val="105"/>
        </w:rPr>
        <w:t>y</w:t>
      </w:r>
      <w:r>
        <w:rPr>
          <w:color w:val="231F20"/>
          <w:spacing w:val="-18"/>
          <w:w w:val="105"/>
        </w:rPr>
        <w:t> </w:t>
      </w:r>
      <w:r>
        <w:rPr>
          <w:color w:val="231F20"/>
          <w:w w:val="105"/>
        </w:rPr>
        <w:t>sólo</w:t>
      </w:r>
      <w:r>
        <w:rPr>
          <w:color w:val="231F20"/>
          <w:spacing w:val="-18"/>
          <w:w w:val="105"/>
        </w:rPr>
        <w:t> </w:t>
      </w:r>
      <w:r>
        <w:rPr>
          <w:color w:val="231F20"/>
          <w:w w:val="105"/>
        </w:rPr>
        <w:t>una</w:t>
      </w:r>
      <w:r>
        <w:rPr>
          <w:color w:val="231F20"/>
          <w:spacing w:val="-18"/>
          <w:w w:val="105"/>
        </w:rPr>
        <w:t> </w:t>
      </w:r>
      <w:r>
        <w:rPr>
          <w:color w:val="231F20"/>
          <w:w w:val="105"/>
        </w:rPr>
        <w:t>es</w:t>
      </w:r>
      <w:r>
        <w:rPr>
          <w:color w:val="231F20"/>
          <w:spacing w:val="-18"/>
          <w:w w:val="105"/>
        </w:rPr>
        <w:t> </w:t>
      </w:r>
      <w:r>
        <w:rPr>
          <w:color w:val="231F20"/>
          <w:w w:val="105"/>
        </w:rPr>
        <w:t>mujer;</w:t>
      </w:r>
      <w:r>
        <w:rPr>
          <w:color w:val="231F20"/>
          <w:spacing w:val="-18"/>
          <w:w w:val="105"/>
        </w:rPr>
        <w:t> </w:t>
      </w:r>
      <w:r>
        <w:rPr>
          <w:color w:val="231F20"/>
          <w:w w:val="105"/>
        </w:rPr>
        <w:t>finalmente el</w:t>
      </w:r>
      <w:r>
        <w:rPr>
          <w:color w:val="231F20"/>
          <w:spacing w:val="-14"/>
          <w:w w:val="105"/>
        </w:rPr>
        <w:t> </w:t>
      </w:r>
      <w:r>
        <w:rPr>
          <w:color w:val="231F20"/>
          <w:w w:val="105"/>
        </w:rPr>
        <w:t>ultimo</w:t>
      </w:r>
      <w:r>
        <w:rPr>
          <w:color w:val="231F20"/>
          <w:spacing w:val="-14"/>
          <w:w w:val="105"/>
        </w:rPr>
        <w:t> </w:t>
      </w:r>
      <w:r>
        <w:rPr>
          <w:color w:val="231F20"/>
          <w:w w:val="105"/>
        </w:rPr>
        <w:t>regidor</w:t>
      </w:r>
      <w:r>
        <w:rPr>
          <w:color w:val="231F20"/>
          <w:spacing w:val="-14"/>
          <w:w w:val="105"/>
        </w:rPr>
        <w:t> </w:t>
      </w:r>
      <w:r>
        <w:rPr>
          <w:color w:val="231F20"/>
          <w:w w:val="105"/>
        </w:rPr>
        <w:t>pertenece</w:t>
      </w:r>
      <w:r>
        <w:rPr>
          <w:color w:val="231F20"/>
          <w:spacing w:val="-14"/>
          <w:w w:val="105"/>
        </w:rPr>
        <w:t> </w:t>
      </w:r>
      <w:r>
        <w:rPr>
          <w:color w:val="231F20"/>
          <w:w w:val="105"/>
        </w:rPr>
        <w:t>a</w:t>
      </w:r>
      <w:r>
        <w:rPr>
          <w:color w:val="231F20"/>
          <w:spacing w:val="-14"/>
          <w:w w:val="105"/>
        </w:rPr>
        <w:t> </w:t>
      </w:r>
      <w:r>
        <w:rPr>
          <w:color w:val="231F20"/>
          <w:spacing w:val="2"/>
          <w:w w:val="105"/>
        </w:rPr>
        <w:t>Alianza</w:t>
      </w:r>
      <w:r>
        <w:rPr>
          <w:color w:val="231F20"/>
          <w:spacing w:val="-14"/>
          <w:w w:val="105"/>
        </w:rPr>
        <w:t> </w:t>
      </w:r>
      <w:r>
        <w:rPr>
          <w:color w:val="231F20"/>
          <w:w w:val="105"/>
        </w:rPr>
        <w:t>por</w:t>
      </w:r>
      <w:r>
        <w:rPr>
          <w:color w:val="231F20"/>
          <w:spacing w:val="-14"/>
          <w:w w:val="105"/>
        </w:rPr>
        <w:t> </w:t>
      </w:r>
      <w:r>
        <w:rPr>
          <w:color w:val="231F20"/>
          <w:w w:val="105"/>
        </w:rPr>
        <w:t>México.</w:t>
      </w:r>
    </w:p>
    <w:p>
      <w:pPr>
        <w:pStyle w:val="BodyText"/>
        <w:spacing w:before="1"/>
        <w:rPr>
          <w:sz w:val="26"/>
        </w:rPr>
      </w:pPr>
    </w:p>
    <w:p>
      <w:pPr>
        <w:pStyle w:val="BodyText"/>
        <w:spacing w:line="285" w:lineRule="auto"/>
        <w:ind w:left="110" w:right="108"/>
        <w:jc w:val="both"/>
      </w:pPr>
      <w:r>
        <w:rPr>
          <w:color w:val="231F20"/>
        </w:rPr>
        <w:t>Es con este grupo que el presidente municipal perredista, Vicente Alberto Onofre </w:t>
      </w:r>
      <w:r>
        <w:rPr>
          <w:color w:val="231F20"/>
          <w:spacing w:val="-3"/>
        </w:rPr>
        <w:t>Váz- </w:t>
      </w:r>
      <w:r>
        <w:rPr>
          <w:color w:val="231F20"/>
        </w:rPr>
        <w:t>quez, trabajó en el periodo 2006-2009. Más adelante se menciona si ha logrado proyec- </w:t>
      </w:r>
      <w:r>
        <w:rPr>
          <w:color w:val="231F20"/>
          <w:spacing w:val="2"/>
        </w:rPr>
        <w:t>tar </w:t>
      </w:r>
      <w:r>
        <w:rPr>
          <w:color w:val="231F20"/>
        </w:rPr>
        <w:t>en este tiempo “responsabilidad, iniciativa, convencimiento, coordinación, espíritu    de justicia y equidad” (Reyes, </w:t>
      </w:r>
      <w:r>
        <w:rPr>
          <w:color w:val="231F20"/>
          <w:spacing w:val="4"/>
        </w:rPr>
        <w:t>2000:</w:t>
      </w:r>
      <w:r>
        <w:rPr>
          <w:color w:val="231F20"/>
          <w:spacing w:val="-26"/>
        </w:rPr>
        <w:t> </w:t>
      </w:r>
      <w:r>
        <w:rPr>
          <w:color w:val="231F20"/>
          <w:spacing w:val="-3"/>
        </w:rPr>
        <w:t>469).</w:t>
      </w:r>
    </w:p>
    <w:p>
      <w:pPr>
        <w:pStyle w:val="BodyText"/>
        <w:spacing w:before="1"/>
        <w:rPr>
          <w:sz w:val="26"/>
        </w:rPr>
      </w:pPr>
    </w:p>
    <w:p>
      <w:pPr>
        <w:pStyle w:val="Heading5"/>
        <w:spacing w:line="285" w:lineRule="auto"/>
        <w:ind w:left="1907" w:right="830" w:hanging="984"/>
      </w:pPr>
      <w:r>
        <w:rPr>
          <w:color w:val="231F20"/>
        </w:rPr>
        <w:t>ORGANIGRAMA DE LA ADMINISTRACIÓN PÚBLICA DEL H. AYUNTAMIENTO DE CHALCO  2006-2009</w:t>
      </w:r>
    </w:p>
    <w:p>
      <w:pPr>
        <w:pStyle w:val="BodyText"/>
        <w:spacing w:before="5"/>
        <w:rPr>
          <w:b/>
          <w:sz w:val="14"/>
        </w:rPr>
      </w:pPr>
      <w:r>
        <w:rPr/>
        <w:drawing>
          <wp:anchor distT="0" distB="0" distL="0" distR="0" allowOverlap="1" layoutInCell="1" locked="0" behindDoc="0" simplePos="0" relativeHeight="13552">
            <wp:simplePos x="0" y="0"/>
            <wp:positionH relativeFrom="page">
              <wp:posOffset>936688</wp:posOffset>
            </wp:positionH>
            <wp:positionV relativeFrom="paragraph">
              <wp:posOffset>130506</wp:posOffset>
            </wp:positionV>
            <wp:extent cx="4157176" cy="2985992"/>
            <wp:effectExtent l="0" t="0" r="0" b="0"/>
            <wp:wrapTopAndBottom/>
            <wp:docPr id="437" name="image1030.png" descr=""/>
            <wp:cNvGraphicFramePr>
              <a:graphicFrameLocks noChangeAspect="1"/>
            </wp:cNvGraphicFramePr>
            <a:graphic>
              <a:graphicData uri="http://schemas.openxmlformats.org/drawingml/2006/picture">
                <pic:pic>
                  <pic:nvPicPr>
                    <pic:cNvPr id="438" name="image1030.png"/>
                    <pic:cNvPicPr/>
                  </pic:nvPicPr>
                  <pic:blipFill>
                    <a:blip r:embed="rId1130" cstate="print"/>
                    <a:stretch>
                      <a:fillRect/>
                    </a:stretch>
                  </pic:blipFill>
                  <pic:spPr>
                    <a:xfrm>
                      <a:off x="0" y="0"/>
                      <a:ext cx="4157176" cy="2985992"/>
                    </a:xfrm>
                    <a:prstGeom prst="rect">
                      <a:avLst/>
                    </a:prstGeom>
                  </pic:spPr>
                </pic:pic>
              </a:graphicData>
            </a:graphic>
          </wp:anchor>
        </w:drawing>
      </w:r>
    </w:p>
    <w:p>
      <w:pPr>
        <w:spacing w:after="0"/>
        <w:rPr>
          <w:sz w:val="14"/>
        </w:rPr>
        <w:sectPr>
          <w:pgSz w:w="9640" w:h="12190"/>
          <w:pgMar w:header="0" w:footer="743" w:top="1120" w:bottom="940" w:left="740" w:right="740"/>
        </w:sectPr>
      </w:pPr>
    </w:p>
    <w:p>
      <w:pPr>
        <w:pStyle w:val="BodyText"/>
        <w:spacing w:before="3"/>
        <w:rPr>
          <w:b/>
          <w:sz w:val="11"/>
        </w:rPr>
      </w:pPr>
    </w:p>
    <w:p>
      <w:pPr>
        <w:pStyle w:val="BodyText"/>
        <w:spacing w:line="285" w:lineRule="auto" w:before="36"/>
        <w:ind w:left="110" w:right="107"/>
        <w:jc w:val="both"/>
      </w:pPr>
      <w:r>
        <w:rPr>
          <w:color w:val="231F20"/>
          <w:w w:val="105"/>
        </w:rPr>
        <w:t>Respecto a la estructura de la Administración Pública Municipal de Chalco, podemos destacar que en, entrevista con el Presidente Municipal, Onofre Vázquez (Diciembre, 2008), enfatizó que la gente que se encuentra </w:t>
      </w:r>
      <w:r>
        <w:rPr>
          <w:color w:val="231F20"/>
          <w:spacing w:val="2"/>
          <w:w w:val="105"/>
        </w:rPr>
        <w:t>al </w:t>
      </w:r>
      <w:r>
        <w:rPr>
          <w:color w:val="231F20"/>
          <w:w w:val="105"/>
        </w:rPr>
        <w:t>frente de cada unidad administrativa tiene los conocimientos y preparación necesaria para cada una de estas áreas, además de</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les</w:t>
      </w:r>
      <w:r>
        <w:rPr>
          <w:color w:val="231F20"/>
          <w:spacing w:val="-13"/>
          <w:w w:val="105"/>
        </w:rPr>
        <w:t> </w:t>
      </w:r>
      <w:r>
        <w:rPr>
          <w:color w:val="231F20"/>
          <w:w w:val="105"/>
        </w:rPr>
        <w:t>capacita</w:t>
      </w:r>
      <w:r>
        <w:rPr>
          <w:color w:val="231F20"/>
          <w:spacing w:val="-13"/>
          <w:w w:val="105"/>
        </w:rPr>
        <w:t> </w:t>
      </w:r>
      <w:r>
        <w:rPr>
          <w:color w:val="231F20"/>
          <w:w w:val="105"/>
        </w:rPr>
        <w:t>continuamente</w:t>
      </w:r>
      <w:r>
        <w:rPr>
          <w:color w:val="231F20"/>
          <w:spacing w:val="-13"/>
          <w:w w:val="105"/>
        </w:rPr>
        <w:t> </w:t>
      </w:r>
      <w:r>
        <w:rPr>
          <w:color w:val="231F20"/>
          <w:w w:val="105"/>
        </w:rPr>
        <w:t>para</w:t>
      </w:r>
      <w:r>
        <w:rPr>
          <w:color w:val="231F20"/>
          <w:spacing w:val="-13"/>
          <w:w w:val="105"/>
        </w:rPr>
        <w:t> </w:t>
      </w:r>
      <w:r>
        <w:rPr>
          <w:color w:val="231F20"/>
          <w:w w:val="105"/>
        </w:rPr>
        <w:t>brindarle</w:t>
      </w:r>
      <w:r>
        <w:rPr>
          <w:color w:val="231F20"/>
          <w:spacing w:val="-13"/>
          <w:w w:val="105"/>
        </w:rPr>
        <w:t> </w:t>
      </w:r>
      <w:r>
        <w:rPr>
          <w:color w:val="231F20"/>
          <w:w w:val="105"/>
        </w:rPr>
        <w:t>un</w:t>
      </w:r>
      <w:r>
        <w:rPr>
          <w:color w:val="231F20"/>
          <w:spacing w:val="-13"/>
          <w:w w:val="105"/>
        </w:rPr>
        <w:t> </w:t>
      </w:r>
      <w:r>
        <w:rPr>
          <w:color w:val="231F20"/>
          <w:w w:val="105"/>
        </w:rPr>
        <w:t>mejor</w:t>
      </w:r>
      <w:r>
        <w:rPr>
          <w:color w:val="231F20"/>
          <w:spacing w:val="-13"/>
          <w:w w:val="105"/>
        </w:rPr>
        <w:t> </w:t>
      </w:r>
      <w:r>
        <w:rPr>
          <w:color w:val="231F20"/>
          <w:w w:val="105"/>
        </w:rPr>
        <w:t>servicio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ciudadanos. Como</w:t>
      </w:r>
      <w:r>
        <w:rPr>
          <w:color w:val="231F20"/>
          <w:spacing w:val="-12"/>
          <w:w w:val="105"/>
        </w:rPr>
        <w:t> </w:t>
      </w:r>
      <w:r>
        <w:rPr>
          <w:color w:val="231F20"/>
          <w:w w:val="105"/>
        </w:rPr>
        <w:t>podemos</w:t>
      </w:r>
      <w:r>
        <w:rPr>
          <w:color w:val="231F20"/>
          <w:spacing w:val="-12"/>
          <w:w w:val="105"/>
        </w:rPr>
        <w:t> </w:t>
      </w:r>
      <w:r>
        <w:rPr>
          <w:color w:val="231F20"/>
          <w:w w:val="105"/>
        </w:rPr>
        <w:t>observar</w:t>
      </w:r>
      <w:r>
        <w:rPr>
          <w:color w:val="231F20"/>
          <w:spacing w:val="-12"/>
          <w:w w:val="105"/>
        </w:rPr>
        <w:t> </w:t>
      </w:r>
      <w:r>
        <w:rPr>
          <w:color w:val="231F20"/>
          <w:w w:val="105"/>
        </w:rPr>
        <w:t>están</w:t>
      </w:r>
      <w:r>
        <w:rPr>
          <w:color w:val="231F20"/>
          <w:spacing w:val="-12"/>
          <w:w w:val="105"/>
        </w:rPr>
        <w:t> </w:t>
      </w:r>
      <w:r>
        <w:rPr>
          <w:color w:val="231F20"/>
          <w:w w:val="105"/>
        </w:rPr>
        <w:t>integrados</w:t>
      </w:r>
      <w:r>
        <w:rPr>
          <w:color w:val="231F20"/>
          <w:spacing w:val="-12"/>
          <w:w w:val="105"/>
        </w:rPr>
        <w:t> </w:t>
      </w:r>
      <w:r>
        <w:rPr>
          <w:color w:val="231F20"/>
          <w:spacing w:val="-6"/>
          <w:w w:val="105"/>
        </w:rPr>
        <w:t>17</w:t>
      </w:r>
      <w:r>
        <w:rPr>
          <w:color w:val="231F20"/>
          <w:spacing w:val="-12"/>
          <w:w w:val="105"/>
        </w:rPr>
        <w:t> </w:t>
      </w:r>
      <w:r>
        <w:rPr>
          <w:color w:val="231F20"/>
          <w:w w:val="105"/>
        </w:rPr>
        <w:t>profesionistas.</w:t>
      </w:r>
    </w:p>
    <w:p>
      <w:pPr>
        <w:pStyle w:val="BodyText"/>
        <w:spacing w:before="1"/>
        <w:rPr>
          <w:sz w:val="26"/>
        </w:rPr>
      </w:pPr>
    </w:p>
    <w:p>
      <w:pPr>
        <w:pStyle w:val="BodyText"/>
        <w:spacing w:line="285" w:lineRule="auto"/>
        <w:ind w:left="110" w:right="107"/>
        <w:jc w:val="both"/>
      </w:pPr>
      <w:r>
        <w:rPr>
          <w:color w:val="231F20"/>
          <w:spacing w:val="-3"/>
          <w:w w:val="105"/>
        </w:rPr>
        <w:t>También </w:t>
      </w:r>
      <w:r>
        <w:rPr>
          <w:color w:val="231F20"/>
          <w:w w:val="105"/>
        </w:rPr>
        <w:t>comentó que los cambios de algunos funcionarios en su Administración se deben básicamente a que es gente que cometió faltas administrativas, así como gente que</w:t>
      </w:r>
      <w:r>
        <w:rPr>
          <w:color w:val="231F20"/>
          <w:spacing w:val="-11"/>
          <w:w w:val="105"/>
        </w:rPr>
        <w:t> </w:t>
      </w:r>
      <w:r>
        <w:rPr>
          <w:color w:val="231F20"/>
          <w:w w:val="105"/>
        </w:rPr>
        <w:t>agotada</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trabajo</w:t>
      </w:r>
      <w:r>
        <w:rPr>
          <w:color w:val="231F20"/>
          <w:spacing w:val="-11"/>
          <w:w w:val="105"/>
        </w:rPr>
        <w:t> </w:t>
      </w:r>
      <w:r>
        <w:rPr>
          <w:color w:val="231F20"/>
          <w:w w:val="105"/>
        </w:rPr>
        <w:t>ya</w:t>
      </w:r>
      <w:r>
        <w:rPr>
          <w:color w:val="231F20"/>
          <w:spacing w:val="-11"/>
          <w:w w:val="105"/>
        </w:rPr>
        <w:t> </w:t>
      </w:r>
      <w:r>
        <w:rPr>
          <w:color w:val="231F20"/>
          <w:w w:val="105"/>
        </w:rPr>
        <w:t>no</w:t>
      </w:r>
      <w:r>
        <w:rPr>
          <w:color w:val="231F20"/>
          <w:spacing w:val="-11"/>
          <w:w w:val="105"/>
        </w:rPr>
        <w:t> </w:t>
      </w:r>
      <w:r>
        <w:rPr>
          <w:color w:val="231F20"/>
          <w:w w:val="105"/>
        </w:rPr>
        <w:t>ofrecía</w:t>
      </w:r>
      <w:r>
        <w:rPr>
          <w:color w:val="231F20"/>
          <w:spacing w:val="-11"/>
          <w:w w:val="105"/>
        </w:rPr>
        <w:t> </w:t>
      </w:r>
      <w:r>
        <w:rPr>
          <w:color w:val="231F20"/>
          <w:w w:val="105"/>
        </w:rPr>
        <w:t>un</w:t>
      </w:r>
      <w:r>
        <w:rPr>
          <w:color w:val="231F20"/>
          <w:spacing w:val="-11"/>
          <w:w w:val="105"/>
        </w:rPr>
        <w:t> </w:t>
      </w:r>
      <w:r>
        <w:rPr>
          <w:color w:val="231F20"/>
          <w:w w:val="105"/>
        </w:rPr>
        <w:t>buen</w:t>
      </w:r>
      <w:r>
        <w:rPr>
          <w:color w:val="231F20"/>
          <w:spacing w:val="-11"/>
          <w:w w:val="105"/>
        </w:rPr>
        <w:t> </w:t>
      </w:r>
      <w:r>
        <w:rPr>
          <w:color w:val="231F20"/>
          <w:w w:val="105"/>
        </w:rPr>
        <w:t>servicio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ciudadanía;</w:t>
      </w:r>
      <w:r>
        <w:rPr>
          <w:color w:val="231F20"/>
          <w:spacing w:val="-11"/>
          <w:w w:val="105"/>
        </w:rPr>
        <w:t> </w:t>
      </w:r>
      <w:r>
        <w:rPr>
          <w:color w:val="231F20"/>
          <w:w w:val="105"/>
        </w:rPr>
        <w:t>es</w:t>
      </w:r>
      <w:r>
        <w:rPr>
          <w:color w:val="231F20"/>
          <w:spacing w:val="-11"/>
          <w:w w:val="105"/>
        </w:rPr>
        <w:t> </w:t>
      </w:r>
      <w:r>
        <w:rPr>
          <w:color w:val="231F20"/>
          <w:w w:val="105"/>
        </w:rPr>
        <w:t>importante destacar</w:t>
      </w:r>
      <w:r>
        <w:rPr>
          <w:color w:val="231F20"/>
          <w:spacing w:val="-8"/>
          <w:w w:val="105"/>
        </w:rPr>
        <w:t> </w:t>
      </w:r>
      <w:r>
        <w:rPr>
          <w:color w:val="231F20"/>
          <w:w w:val="105"/>
        </w:rPr>
        <w:t>que</w:t>
      </w:r>
      <w:r>
        <w:rPr>
          <w:color w:val="231F20"/>
          <w:spacing w:val="-8"/>
          <w:w w:val="105"/>
        </w:rPr>
        <w:t> </w:t>
      </w:r>
      <w:r>
        <w:rPr>
          <w:color w:val="231F20"/>
          <w:w w:val="105"/>
        </w:rPr>
        <w:t>hubo</w:t>
      </w:r>
      <w:r>
        <w:rPr>
          <w:color w:val="231F20"/>
          <w:spacing w:val="-8"/>
          <w:w w:val="105"/>
        </w:rPr>
        <w:t> </w:t>
      </w:r>
      <w:r>
        <w:rPr>
          <w:color w:val="231F20"/>
          <w:w w:val="105"/>
        </w:rPr>
        <w:t>dos</w:t>
      </w:r>
      <w:r>
        <w:rPr>
          <w:color w:val="231F20"/>
          <w:spacing w:val="-8"/>
          <w:w w:val="105"/>
        </w:rPr>
        <w:t> </w:t>
      </w:r>
      <w:r>
        <w:rPr>
          <w:color w:val="231F20"/>
          <w:w w:val="105"/>
        </w:rPr>
        <w:t>cambios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puesto</w:t>
      </w:r>
      <w:r>
        <w:rPr>
          <w:color w:val="231F20"/>
          <w:spacing w:val="-8"/>
          <w:w w:val="105"/>
        </w:rPr>
        <w:t> </w:t>
      </w:r>
      <w:r>
        <w:rPr>
          <w:color w:val="231F20"/>
          <w:w w:val="105"/>
        </w:rPr>
        <w:t>de</w:t>
      </w:r>
      <w:r>
        <w:rPr>
          <w:color w:val="231F20"/>
          <w:spacing w:val="-8"/>
          <w:w w:val="105"/>
        </w:rPr>
        <w:t> </w:t>
      </w:r>
      <w:r>
        <w:rPr>
          <w:color w:val="231F20"/>
          <w:w w:val="105"/>
        </w:rPr>
        <w:t>Secretario</w:t>
      </w:r>
      <w:r>
        <w:rPr>
          <w:color w:val="231F20"/>
          <w:spacing w:val="-8"/>
          <w:w w:val="105"/>
        </w:rPr>
        <w:t> </w:t>
      </w:r>
      <w:r>
        <w:rPr>
          <w:color w:val="231F20"/>
          <w:w w:val="105"/>
        </w:rPr>
        <w:t>Particular,</w:t>
      </w:r>
      <w:r>
        <w:rPr>
          <w:color w:val="231F20"/>
          <w:spacing w:val="-8"/>
          <w:w w:val="105"/>
        </w:rPr>
        <w:t> </w:t>
      </w:r>
      <w:r>
        <w:rPr>
          <w:color w:val="231F20"/>
          <w:w w:val="105"/>
        </w:rPr>
        <w:t>uno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Sistema Municipal</w:t>
      </w:r>
      <w:r>
        <w:rPr>
          <w:color w:val="231F20"/>
          <w:spacing w:val="-10"/>
          <w:w w:val="105"/>
        </w:rPr>
        <w:t> </w:t>
      </w:r>
      <w:r>
        <w:rPr>
          <w:color w:val="231F20"/>
          <w:w w:val="105"/>
        </w:rPr>
        <w:t>del</w:t>
      </w:r>
      <w:r>
        <w:rPr>
          <w:color w:val="231F20"/>
          <w:spacing w:val="-10"/>
          <w:w w:val="105"/>
        </w:rPr>
        <w:t> </w:t>
      </w:r>
      <w:r>
        <w:rPr>
          <w:color w:val="231F20"/>
          <w:spacing w:val="-6"/>
          <w:w w:val="105"/>
        </w:rPr>
        <w:t>DIF,</w:t>
      </w:r>
      <w:r>
        <w:rPr>
          <w:color w:val="231F20"/>
          <w:spacing w:val="-10"/>
          <w:w w:val="105"/>
        </w:rPr>
        <w:t> </w:t>
      </w:r>
      <w:r>
        <w:rPr>
          <w:color w:val="231F20"/>
          <w:w w:val="105"/>
        </w:rPr>
        <w:t>uno</w:t>
      </w:r>
      <w:r>
        <w:rPr>
          <w:color w:val="231F20"/>
          <w:spacing w:val="-10"/>
          <w:w w:val="105"/>
        </w:rPr>
        <w:t> </w:t>
      </w:r>
      <w:r>
        <w:rPr>
          <w:color w:val="231F20"/>
          <w:w w:val="105"/>
        </w:rPr>
        <w:t>en</w:t>
      </w:r>
      <w:r>
        <w:rPr>
          <w:color w:val="231F20"/>
          <w:spacing w:val="-10"/>
          <w:w w:val="105"/>
        </w:rPr>
        <w:t> </w:t>
      </w:r>
      <w:r>
        <w:rPr>
          <w:color w:val="231F20"/>
          <w:w w:val="105"/>
        </w:rPr>
        <w:t>O.D.A.P.A.S,</w:t>
      </w:r>
      <w:r>
        <w:rPr>
          <w:color w:val="231F20"/>
          <w:spacing w:val="-10"/>
          <w:w w:val="105"/>
        </w:rPr>
        <w:t> </w:t>
      </w:r>
      <w:r>
        <w:rPr>
          <w:color w:val="231F20"/>
          <w:w w:val="105"/>
        </w:rPr>
        <w:t>dos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spacing w:val="-3"/>
          <w:w w:val="105"/>
        </w:rPr>
        <w:t>Tesorería</w:t>
      </w:r>
      <w:r>
        <w:rPr>
          <w:color w:val="231F20"/>
          <w:spacing w:val="-10"/>
          <w:w w:val="105"/>
        </w:rPr>
        <w:t> </w:t>
      </w:r>
      <w:r>
        <w:rPr>
          <w:color w:val="231F20"/>
          <w:w w:val="105"/>
        </w:rPr>
        <w:t>Municipal,</w:t>
      </w:r>
      <w:r>
        <w:rPr>
          <w:color w:val="231F20"/>
          <w:spacing w:val="-10"/>
          <w:w w:val="105"/>
        </w:rPr>
        <w:t> </w:t>
      </w:r>
      <w:r>
        <w:rPr>
          <w:color w:val="231F20"/>
          <w:w w:val="105"/>
        </w:rPr>
        <w:t>uno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Con- traloría</w:t>
      </w:r>
      <w:r>
        <w:rPr>
          <w:color w:val="231F20"/>
          <w:spacing w:val="-16"/>
          <w:w w:val="105"/>
        </w:rPr>
        <w:t> </w:t>
      </w:r>
      <w:r>
        <w:rPr>
          <w:color w:val="231F20"/>
          <w:w w:val="105"/>
        </w:rPr>
        <w:t>Interna</w:t>
      </w:r>
      <w:r>
        <w:rPr>
          <w:color w:val="231F20"/>
          <w:spacing w:val="-16"/>
          <w:w w:val="105"/>
        </w:rPr>
        <w:t> </w:t>
      </w:r>
      <w:r>
        <w:rPr>
          <w:color w:val="231F20"/>
          <w:w w:val="105"/>
        </w:rPr>
        <w:t>Municipal,</w:t>
      </w:r>
      <w:r>
        <w:rPr>
          <w:color w:val="231F20"/>
          <w:spacing w:val="-16"/>
          <w:w w:val="105"/>
        </w:rPr>
        <w:t> </w:t>
      </w:r>
      <w:r>
        <w:rPr>
          <w:color w:val="231F20"/>
          <w:w w:val="105"/>
        </w:rPr>
        <w:t>uno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Secretaría</w:t>
      </w:r>
      <w:r>
        <w:rPr>
          <w:color w:val="231F20"/>
          <w:spacing w:val="-16"/>
          <w:w w:val="105"/>
        </w:rPr>
        <w:t> </w:t>
      </w:r>
      <w:r>
        <w:rPr>
          <w:color w:val="231F20"/>
          <w:spacing w:val="-3"/>
          <w:w w:val="105"/>
        </w:rPr>
        <w:t>Técnica</w:t>
      </w:r>
      <w:r>
        <w:rPr>
          <w:color w:val="231F20"/>
          <w:spacing w:val="-16"/>
          <w:w w:val="105"/>
        </w:rPr>
        <w:t> </w:t>
      </w:r>
      <w:r>
        <w:rPr>
          <w:color w:val="231F20"/>
          <w:w w:val="105"/>
        </w:rPr>
        <w:t>de</w:t>
      </w:r>
      <w:r>
        <w:rPr>
          <w:color w:val="231F20"/>
          <w:spacing w:val="-16"/>
          <w:w w:val="105"/>
        </w:rPr>
        <w:t> </w:t>
      </w:r>
      <w:r>
        <w:rPr>
          <w:color w:val="231F20"/>
          <w:w w:val="105"/>
        </w:rPr>
        <w:t>Planeación,</w:t>
      </w:r>
      <w:r>
        <w:rPr>
          <w:color w:val="231F20"/>
          <w:spacing w:val="-16"/>
          <w:w w:val="105"/>
        </w:rPr>
        <w:t> </w:t>
      </w:r>
      <w:r>
        <w:rPr>
          <w:color w:val="231F20"/>
          <w:w w:val="105"/>
        </w:rPr>
        <w:t>Evaluación</w:t>
      </w:r>
      <w:r>
        <w:rPr>
          <w:color w:val="231F20"/>
          <w:spacing w:val="-16"/>
          <w:w w:val="105"/>
        </w:rPr>
        <w:t> </w:t>
      </w:r>
      <w:r>
        <w:rPr>
          <w:color w:val="231F20"/>
          <w:w w:val="105"/>
        </w:rPr>
        <w:t>e</w:t>
      </w:r>
      <w:r>
        <w:rPr>
          <w:color w:val="231F20"/>
          <w:spacing w:val="-16"/>
          <w:w w:val="105"/>
        </w:rPr>
        <w:t> </w:t>
      </w:r>
      <w:r>
        <w:rPr>
          <w:color w:val="231F20"/>
          <w:w w:val="105"/>
        </w:rPr>
        <w:t>In- formación,</w:t>
      </w:r>
      <w:r>
        <w:rPr>
          <w:color w:val="231F20"/>
          <w:spacing w:val="-24"/>
          <w:w w:val="105"/>
        </w:rPr>
        <w:t> </w:t>
      </w:r>
      <w:r>
        <w:rPr>
          <w:color w:val="231F20"/>
          <w:w w:val="105"/>
        </w:rPr>
        <w:t>uno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Consejería</w:t>
      </w:r>
      <w:r>
        <w:rPr>
          <w:color w:val="231F20"/>
          <w:spacing w:val="-24"/>
          <w:w w:val="105"/>
        </w:rPr>
        <w:t> </w:t>
      </w:r>
      <w:r>
        <w:rPr>
          <w:color w:val="231F20"/>
          <w:w w:val="105"/>
        </w:rPr>
        <w:t>Jurídica</w:t>
      </w:r>
      <w:r>
        <w:rPr>
          <w:color w:val="231F20"/>
          <w:spacing w:val="-24"/>
          <w:w w:val="105"/>
        </w:rPr>
        <w:t> </w:t>
      </w:r>
      <w:r>
        <w:rPr>
          <w:color w:val="231F20"/>
          <w:w w:val="105"/>
        </w:rPr>
        <w:t>y</w:t>
      </w:r>
      <w:r>
        <w:rPr>
          <w:color w:val="231F20"/>
          <w:spacing w:val="-24"/>
          <w:w w:val="105"/>
        </w:rPr>
        <w:t> </w:t>
      </w:r>
      <w:r>
        <w:rPr>
          <w:color w:val="231F20"/>
          <w:w w:val="105"/>
        </w:rPr>
        <w:t>Consultiva,</w:t>
      </w:r>
      <w:r>
        <w:rPr>
          <w:color w:val="231F20"/>
          <w:spacing w:val="-24"/>
          <w:w w:val="105"/>
        </w:rPr>
        <w:t> </w:t>
      </w:r>
      <w:r>
        <w:rPr>
          <w:color w:val="231F20"/>
          <w:w w:val="105"/>
        </w:rPr>
        <w:t>uno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Dirección</w:t>
      </w:r>
      <w:r>
        <w:rPr>
          <w:color w:val="231F20"/>
          <w:spacing w:val="-24"/>
          <w:w w:val="105"/>
        </w:rPr>
        <w:t> </w:t>
      </w:r>
      <w:r>
        <w:rPr>
          <w:color w:val="231F20"/>
          <w:w w:val="105"/>
        </w:rPr>
        <w:t>de</w:t>
      </w:r>
      <w:r>
        <w:rPr>
          <w:color w:val="231F20"/>
          <w:spacing w:val="-24"/>
          <w:w w:val="105"/>
        </w:rPr>
        <w:t> </w:t>
      </w:r>
      <w:r>
        <w:rPr>
          <w:color w:val="231F20"/>
          <w:w w:val="105"/>
        </w:rPr>
        <w:t>Desarrollo Social,</w:t>
      </w:r>
      <w:r>
        <w:rPr>
          <w:color w:val="231F20"/>
          <w:spacing w:val="-12"/>
          <w:w w:val="105"/>
        </w:rPr>
        <w:t> </w:t>
      </w:r>
      <w:r>
        <w:rPr>
          <w:color w:val="231F20"/>
          <w:w w:val="105"/>
        </w:rPr>
        <w:t>dos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de</w:t>
      </w:r>
      <w:r>
        <w:rPr>
          <w:color w:val="231F20"/>
          <w:spacing w:val="-12"/>
          <w:w w:val="105"/>
        </w:rPr>
        <w:t> </w:t>
      </w:r>
      <w:r>
        <w:rPr>
          <w:color w:val="231F20"/>
          <w:w w:val="105"/>
        </w:rPr>
        <w:t>Desarrollo</w:t>
      </w:r>
      <w:r>
        <w:rPr>
          <w:color w:val="231F20"/>
          <w:spacing w:val="-12"/>
          <w:w w:val="105"/>
        </w:rPr>
        <w:t> </w:t>
      </w:r>
      <w:r>
        <w:rPr>
          <w:color w:val="231F20"/>
          <w:w w:val="105"/>
        </w:rPr>
        <w:t>Económico,</w:t>
      </w:r>
      <w:r>
        <w:rPr>
          <w:color w:val="231F20"/>
          <w:spacing w:val="-12"/>
          <w:w w:val="105"/>
        </w:rPr>
        <w:t> </w:t>
      </w:r>
      <w:r>
        <w:rPr>
          <w:color w:val="231F20"/>
          <w:w w:val="105"/>
        </w:rPr>
        <w:t>uno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de</w:t>
      </w:r>
      <w:r>
        <w:rPr>
          <w:color w:val="231F20"/>
          <w:spacing w:val="-12"/>
          <w:w w:val="105"/>
        </w:rPr>
        <w:t> </w:t>
      </w:r>
      <w:r>
        <w:rPr>
          <w:color w:val="231F20"/>
          <w:w w:val="105"/>
        </w:rPr>
        <w:t>Desarrollo</w:t>
      </w:r>
      <w:r>
        <w:rPr>
          <w:color w:val="231F20"/>
          <w:spacing w:val="-12"/>
          <w:w w:val="105"/>
        </w:rPr>
        <w:t> </w:t>
      </w:r>
      <w:r>
        <w:rPr>
          <w:color w:val="231F20"/>
          <w:w w:val="105"/>
        </w:rPr>
        <w:t>Urbano</w:t>
      </w:r>
      <w:r>
        <w:rPr>
          <w:color w:val="231F20"/>
          <w:spacing w:val="-12"/>
          <w:w w:val="105"/>
        </w:rPr>
        <w:t> </w:t>
      </w:r>
      <w:r>
        <w:rPr>
          <w:color w:val="231F20"/>
          <w:w w:val="105"/>
        </w:rPr>
        <w:t>y</w:t>
      </w:r>
      <w:r>
        <w:rPr>
          <w:color w:val="231F20"/>
          <w:spacing w:val="-12"/>
          <w:w w:val="105"/>
        </w:rPr>
        <w:t> </w:t>
      </w:r>
      <w:r>
        <w:rPr>
          <w:color w:val="231F20"/>
          <w:w w:val="105"/>
        </w:rPr>
        <w:t>Ecología, dos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de</w:t>
      </w:r>
      <w:r>
        <w:rPr>
          <w:color w:val="231F20"/>
          <w:spacing w:val="-14"/>
          <w:w w:val="105"/>
        </w:rPr>
        <w:t> </w:t>
      </w:r>
      <w:r>
        <w:rPr>
          <w:color w:val="231F20"/>
          <w:w w:val="105"/>
        </w:rPr>
        <w:t>Gobierno,</w:t>
      </w:r>
      <w:r>
        <w:rPr>
          <w:color w:val="231F20"/>
          <w:spacing w:val="-14"/>
          <w:w w:val="105"/>
        </w:rPr>
        <w:t> </w:t>
      </w:r>
      <w:r>
        <w:rPr>
          <w:color w:val="231F20"/>
          <w:w w:val="105"/>
        </w:rPr>
        <w:t>dos</w:t>
      </w:r>
      <w:r>
        <w:rPr>
          <w:color w:val="231F20"/>
          <w:spacing w:val="-14"/>
          <w:w w:val="105"/>
        </w:rPr>
        <w:t> </w:t>
      </w:r>
      <w:r>
        <w:rPr>
          <w:color w:val="231F20"/>
          <w:w w:val="105"/>
        </w:rPr>
        <w:t>en</w:t>
      </w:r>
      <w:r>
        <w:rPr>
          <w:color w:val="231F20"/>
          <w:spacing w:val="-14"/>
          <w:w w:val="105"/>
        </w:rPr>
        <w:t> </w:t>
      </w:r>
      <w:r>
        <w:rPr>
          <w:color w:val="231F20"/>
          <w:w w:val="105"/>
        </w:rPr>
        <w:t>Obras</w:t>
      </w:r>
      <w:r>
        <w:rPr>
          <w:color w:val="231F20"/>
          <w:spacing w:val="-14"/>
          <w:w w:val="105"/>
        </w:rPr>
        <w:t> </w:t>
      </w:r>
      <w:r>
        <w:rPr>
          <w:color w:val="231F20"/>
          <w:w w:val="105"/>
        </w:rPr>
        <w:t>Públicas,</w:t>
      </w:r>
      <w:r>
        <w:rPr>
          <w:color w:val="231F20"/>
          <w:spacing w:val="-14"/>
          <w:w w:val="105"/>
        </w:rPr>
        <w:t> </w:t>
      </w:r>
      <w:r>
        <w:rPr>
          <w:color w:val="231F20"/>
          <w:w w:val="105"/>
        </w:rPr>
        <w:t>uno</w:t>
      </w:r>
      <w:r>
        <w:rPr>
          <w:color w:val="231F20"/>
          <w:spacing w:val="-14"/>
          <w:w w:val="105"/>
        </w:rPr>
        <w:t> </w:t>
      </w:r>
      <w:r>
        <w:rPr>
          <w:color w:val="231F20"/>
          <w:w w:val="105"/>
        </w:rPr>
        <w:t>en</w:t>
      </w:r>
      <w:r>
        <w:rPr>
          <w:color w:val="231F20"/>
          <w:spacing w:val="-14"/>
          <w:w w:val="105"/>
        </w:rPr>
        <w:t> </w:t>
      </w:r>
      <w:r>
        <w:rPr>
          <w:color w:val="231F20"/>
          <w:w w:val="105"/>
        </w:rPr>
        <w:t>Seguridad</w:t>
      </w:r>
      <w:r>
        <w:rPr>
          <w:color w:val="231F20"/>
          <w:spacing w:val="-14"/>
          <w:w w:val="105"/>
        </w:rPr>
        <w:t> </w:t>
      </w:r>
      <w:r>
        <w:rPr>
          <w:color w:val="231F20"/>
          <w:w w:val="105"/>
        </w:rPr>
        <w:t>Pública</w:t>
      </w:r>
      <w:r>
        <w:rPr>
          <w:color w:val="231F20"/>
          <w:spacing w:val="-14"/>
          <w:w w:val="105"/>
        </w:rPr>
        <w:t> </w:t>
      </w:r>
      <w:r>
        <w:rPr>
          <w:color w:val="231F20"/>
          <w:w w:val="105"/>
        </w:rPr>
        <w:t>y</w:t>
      </w:r>
      <w:r>
        <w:rPr>
          <w:color w:val="231F20"/>
          <w:spacing w:val="-14"/>
          <w:w w:val="105"/>
        </w:rPr>
        <w:t> </w:t>
      </w:r>
      <w:r>
        <w:rPr>
          <w:color w:val="231F20"/>
          <w:w w:val="105"/>
        </w:rPr>
        <w:t>Tránsito,</w:t>
      </w:r>
      <w:r>
        <w:rPr>
          <w:color w:val="231F20"/>
          <w:spacing w:val="-14"/>
          <w:w w:val="105"/>
        </w:rPr>
        <w:t> </w:t>
      </w:r>
      <w:r>
        <w:rPr>
          <w:color w:val="231F20"/>
          <w:w w:val="105"/>
        </w:rPr>
        <w:t>dos en Protección Civil y dos en Servicios Públicos, hasta que finalmente quedó</w:t>
      </w:r>
      <w:r>
        <w:rPr>
          <w:color w:val="231F20"/>
          <w:spacing w:val="-38"/>
          <w:w w:val="105"/>
        </w:rPr>
        <w:t> </w:t>
      </w:r>
      <w:r>
        <w:rPr>
          <w:color w:val="231F20"/>
          <w:w w:val="105"/>
        </w:rPr>
        <w:t>integrada como se muestra en el</w:t>
      </w:r>
      <w:r>
        <w:rPr>
          <w:color w:val="231F20"/>
          <w:spacing w:val="-35"/>
          <w:w w:val="105"/>
        </w:rPr>
        <w:t> </w:t>
      </w:r>
      <w:r>
        <w:rPr>
          <w:color w:val="231F20"/>
          <w:w w:val="105"/>
        </w:rPr>
        <w:t>Organigrama.</w:t>
      </w:r>
    </w:p>
    <w:p>
      <w:pPr>
        <w:pStyle w:val="BodyText"/>
        <w:spacing w:before="9"/>
      </w:pPr>
    </w:p>
    <w:p>
      <w:pPr>
        <w:pStyle w:val="Heading3"/>
      </w:pPr>
      <w:r>
        <w:rPr>
          <w:color w:val="231F20"/>
          <w:w w:val="105"/>
        </w:rPr>
        <w:t>Partidos en el Ayuntamiento</w:t>
      </w:r>
    </w:p>
    <w:p>
      <w:pPr>
        <w:pStyle w:val="BodyText"/>
        <w:spacing w:line="285" w:lineRule="auto" w:before="38"/>
        <w:ind w:left="110" w:right="108"/>
        <w:jc w:val="both"/>
      </w:pPr>
      <w:r>
        <w:rPr>
          <w:color w:val="231F20"/>
          <w:w w:val="105"/>
        </w:rPr>
        <w:t>En el Municipio de Chalco hasta la actualidad han tenido la responsabilidad de Go- bierno</w:t>
      </w:r>
      <w:r>
        <w:rPr>
          <w:color w:val="231F20"/>
          <w:spacing w:val="-5"/>
          <w:w w:val="105"/>
        </w:rPr>
        <w:t> </w:t>
      </w:r>
      <w:r>
        <w:rPr>
          <w:color w:val="231F20"/>
          <w:w w:val="105"/>
        </w:rPr>
        <w:t>dos</w:t>
      </w:r>
      <w:r>
        <w:rPr>
          <w:color w:val="231F20"/>
          <w:spacing w:val="-5"/>
          <w:w w:val="105"/>
        </w:rPr>
        <w:t> </w:t>
      </w:r>
      <w:r>
        <w:rPr>
          <w:color w:val="231F20"/>
          <w:w w:val="105"/>
        </w:rPr>
        <w:t>partidos</w:t>
      </w:r>
      <w:r>
        <w:rPr>
          <w:color w:val="231F20"/>
          <w:spacing w:val="-5"/>
          <w:w w:val="105"/>
        </w:rPr>
        <w:t> </w:t>
      </w:r>
      <w:r>
        <w:rPr>
          <w:color w:val="231F20"/>
          <w:w w:val="105"/>
        </w:rPr>
        <w:t>políticos,</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w w:val="105"/>
        </w:rPr>
        <w:t>Revolucionario</w:t>
      </w:r>
      <w:r>
        <w:rPr>
          <w:color w:val="231F20"/>
          <w:spacing w:val="-5"/>
          <w:w w:val="105"/>
        </w:rPr>
        <w:t> </w:t>
      </w:r>
      <w:r>
        <w:rPr>
          <w:color w:val="231F20"/>
          <w:w w:val="105"/>
        </w:rPr>
        <w:t>Institucional</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w w:val="105"/>
        </w:rPr>
        <w:t>de</w:t>
      </w:r>
      <w:r>
        <w:rPr>
          <w:color w:val="231F20"/>
          <w:spacing w:val="-5"/>
          <w:w w:val="105"/>
        </w:rPr>
        <w:t> </w:t>
      </w:r>
      <w:r>
        <w:rPr>
          <w:color w:val="231F20"/>
          <w:w w:val="105"/>
        </w:rPr>
        <w:t>la </w:t>
      </w:r>
      <w:r>
        <w:rPr>
          <w:color w:val="231F20"/>
          <w:spacing w:val="-3"/>
          <w:w w:val="105"/>
        </w:rPr>
        <w:t>Revolución </w:t>
      </w:r>
      <w:r>
        <w:rPr>
          <w:color w:val="231F20"/>
          <w:w w:val="105"/>
        </w:rPr>
        <w:t>Democrática. El primero gobernó desde </w:t>
      </w:r>
      <w:r>
        <w:rPr>
          <w:color w:val="231F20"/>
          <w:spacing w:val="-3"/>
          <w:w w:val="105"/>
        </w:rPr>
        <w:t>1929 </w:t>
      </w:r>
      <w:r>
        <w:rPr>
          <w:color w:val="231F20"/>
          <w:spacing w:val="-4"/>
          <w:w w:val="105"/>
        </w:rPr>
        <w:t>(como </w:t>
      </w:r>
      <w:r>
        <w:rPr>
          <w:color w:val="231F20"/>
          <w:w w:val="105"/>
        </w:rPr>
        <w:t>Partido Nacional </w:t>
      </w:r>
      <w:r>
        <w:rPr>
          <w:color w:val="231F20"/>
          <w:spacing w:val="-3"/>
          <w:w w:val="105"/>
        </w:rPr>
        <w:t>Re- </w:t>
      </w:r>
      <w:r>
        <w:rPr>
          <w:color w:val="231F20"/>
          <w:w w:val="105"/>
        </w:rPr>
        <w:t>volucionario, según datos encontrados en Archivo de Cronología de mandatarios del </w:t>
      </w:r>
      <w:r>
        <w:rPr>
          <w:color w:val="231F20"/>
          <w:spacing w:val="-3"/>
          <w:w w:val="105"/>
        </w:rPr>
        <w:t>Municipio)</w:t>
      </w:r>
      <w:r>
        <w:rPr>
          <w:color w:val="231F20"/>
          <w:spacing w:val="-9"/>
          <w:w w:val="105"/>
        </w:rPr>
        <w:t> </w:t>
      </w:r>
      <w:r>
        <w:rPr>
          <w:color w:val="231F20"/>
          <w:w w:val="105"/>
        </w:rPr>
        <w:t>y</w:t>
      </w:r>
      <w:r>
        <w:rPr>
          <w:color w:val="231F20"/>
          <w:spacing w:val="-9"/>
          <w:w w:val="105"/>
        </w:rPr>
        <w:t> </w:t>
      </w:r>
      <w:r>
        <w:rPr>
          <w:color w:val="231F20"/>
          <w:w w:val="105"/>
        </w:rPr>
        <w:t>que</w:t>
      </w:r>
      <w:r>
        <w:rPr>
          <w:color w:val="231F20"/>
          <w:spacing w:val="-9"/>
          <w:w w:val="105"/>
        </w:rPr>
        <w:t> </w:t>
      </w:r>
      <w:r>
        <w:rPr>
          <w:color w:val="231F20"/>
          <w:w w:val="105"/>
        </w:rPr>
        <w:t>culminó</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2000-2003.</w:t>
      </w:r>
    </w:p>
    <w:p>
      <w:pPr>
        <w:pStyle w:val="BodyText"/>
        <w:spacing w:before="1"/>
        <w:rPr>
          <w:sz w:val="26"/>
        </w:rPr>
      </w:pPr>
    </w:p>
    <w:p>
      <w:pPr>
        <w:pStyle w:val="BodyText"/>
        <w:spacing w:line="285" w:lineRule="auto"/>
        <w:ind w:left="110" w:right="106"/>
        <w:jc w:val="both"/>
      </w:pPr>
      <w:r>
        <w:rPr>
          <w:color w:val="231F20"/>
          <w:w w:val="105"/>
        </w:rPr>
        <w:t>Cabe</w:t>
      </w:r>
      <w:r>
        <w:rPr>
          <w:color w:val="231F20"/>
          <w:spacing w:val="-11"/>
          <w:w w:val="105"/>
        </w:rPr>
        <w:t> </w:t>
      </w:r>
      <w:r>
        <w:rPr>
          <w:color w:val="231F20"/>
          <w:w w:val="105"/>
        </w:rPr>
        <w:t>destacar</w:t>
      </w:r>
      <w:r>
        <w:rPr>
          <w:color w:val="231F20"/>
          <w:spacing w:val="-11"/>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período</w:t>
      </w:r>
      <w:r>
        <w:rPr>
          <w:color w:val="231F20"/>
          <w:spacing w:val="-11"/>
          <w:w w:val="105"/>
        </w:rPr>
        <w:t> </w:t>
      </w:r>
      <w:r>
        <w:rPr>
          <w:color w:val="231F20"/>
          <w:w w:val="105"/>
        </w:rPr>
        <w:t>se</w:t>
      </w:r>
      <w:r>
        <w:rPr>
          <w:color w:val="231F20"/>
          <w:spacing w:val="-11"/>
          <w:w w:val="105"/>
        </w:rPr>
        <w:t> </w:t>
      </w:r>
      <w:r>
        <w:rPr>
          <w:color w:val="231F20"/>
          <w:w w:val="105"/>
        </w:rPr>
        <w:t>desataron</w:t>
      </w:r>
      <w:r>
        <w:rPr>
          <w:color w:val="231F20"/>
          <w:spacing w:val="-11"/>
          <w:w w:val="105"/>
        </w:rPr>
        <w:t> </w:t>
      </w:r>
      <w:r>
        <w:rPr>
          <w:color w:val="231F20"/>
          <w:w w:val="105"/>
        </w:rPr>
        <w:t>una</w:t>
      </w:r>
      <w:r>
        <w:rPr>
          <w:color w:val="231F20"/>
          <w:spacing w:val="-11"/>
          <w:w w:val="105"/>
        </w:rPr>
        <w:t> </w:t>
      </w:r>
      <w:r>
        <w:rPr>
          <w:color w:val="231F20"/>
          <w:w w:val="105"/>
        </w:rPr>
        <w:t>serie</w:t>
      </w:r>
      <w:r>
        <w:rPr>
          <w:color w:val="231F20"/>
          <w:spacing w:val="-11"/>
          <w:w w:val="105"/>
        </w:rPr>
        <w:t> </w:t>
      </w:r>
      <w:r>
        <w:rPr>
          <w:color w:val="231F20"/>
          <w:w w:val="105"/>
        </w:rPr>
        <w:t>de</w:t>
      </w:r>
      <w:r>
        <w:rPr>
          <w:color w:val="231F20"/>
          <w:spacing w:val="-11"/>
          <w:w w:val="105"/>
        </w:rPr>
        <w:t> </w:t>
      </w:r>
      <w:r>
        <w:rPr>
          <w:color w:val="231F20"/>
          <w:w w:val="105"/>
        </w:rPr>
        <w:t>acontecimientos</w:t>
      </w:r>
      <w:r>
        <w:rPr>
          <w:color w:val="231F20"/>
          <w:spacing w:val="-11"/>
          <w:w w:val="105"/>
        </w:rPr>
        <w:t> </w:t>
      </w:r>
      <w:r>
        <w:rPr>
          <w:color w:val="231F20"/>
          <w:w w:val="105"/>
        </w:rPr>
        <w:t>que</w:t>
      </w:r>
      <w:r>
        <w:rPr>
          <w:color w:val="231F20"/>
          <w:spacing w:val="-11"/>
          <w:w w:val="105"/>
        </w:rPr>
        <w:t> </w:t>
      </w:r>
      <w:r>
        <w:rPr>
          <w:color w:val="231F20"/>
          <w:w w:val="105"/>
        </w:rPr>
        <w:t>mere- cen</w:t>
      </w:r>
      <w:r>
        <w:rPr>
          <w:color w:val="231F20"/>
          <w:spacing w:val="-15"/>
          <w:w w:val="105"/>
        </w:rPr>
        <w:t> </w:t>
      </w:r>
      <w:r>
        <w:rPr>
          <w:color w:val="231F20"/>
          <w:w w:val="105"/>
        </w:rPr>
        <w:t>nuestra</w:t>
      </w:r>
      <w:r>
        <w:rPr>
          <w:color w:val="231F20"/>
          <w:spacing w:val="-15"/>
          <w:w w:val="105"/>
        </w:rPr>
        <w:t> </w:t>
      </w:r>
      <w:r>
        <w:rPr>
          <w:color w:val="231F20"/>
          <w:w w:val="105"/>
        </w:rPr>
        <w:t>atención.</w:t>
      </w:r>
      <w:r>
        <w:rPr>
          <w:color w:val="231F20"/>
          <w:spacing w:val="-15"/>
          <w:w w:val="105"/>
        </w:rPr>
        <w:t> </w:t>
      </w:r>
      <w:r>
        <w:rPr>
          <w:color w:val="231F20"/>
          <w:w w:val="105"/>
        </w:rPr>
        <w:t>Primero,</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w:t>
      </w:r>
      <w:r>
        <w:rPr>
          <w:color w:val="231F20"/>
          <w:spacing w:val="-15"/>
          <w:w w:val="105"/>
        </w:rPr>
        <w:t> </w:t>
      </w:r>
      <w:r>
        <w:rPr>
          <w:color w:val="231F20"/>
          <w:w w:val="105"/>
        </w:rPr>
        <w:t>en</w:t>
      </w:r>
      <w:r>
        <w:rPr>
          <w:color w:val="231F20"/>
          <w:spacing w:val="-15"/>
          <w:w w:val="105"/>
        </w:rPr>
        <w:t> </w:t>
      </w:r>
      <w:r>
        <w:rPr>
          <w:color w:val="231F20"/>
          <w:w w:val="105"/>
        </w:rPr>
        <w:t>ese</w:t>
      </w:r>
      <w:r>
        <w:rPr>
          <w:color w:val="231F20"/>
          <w:spacing w:val="-15"/>
          <w:w w:val="105"/>
        </w:rPr>
        <w:t> </w:t>
      </w:r>
      <w:r>
        <w:rPr>
          <w:color w:val="231F20"/>
          <w:w w:val="105"/>
        </w:rPr>
        <w:t>entonces</w:t>
      </w:r>
      <w:r>
        <w:rPr>
          <w:color w:val="231F20"/>
          <w:spacing w:val="-15"/>
          <w:w w:val="105"/>
        </w:rPr>
        <w:t> </w:t>
      </w:r>
      <w:r>
        <w:rPr>
          <w:color w:val="231F20"/>
          <w:w w:val="105"/>
        </w:rPr>
        <w:t>Eulalio</w:t>
      </w:r>
      <w:r>
        <w:rPr>
          <w:color w:val="231F20"/>
          <w:spacing w:val="-15"/>
          <w:w w:val="105"/>
        </w:rPr>
        <w:t> </w:t>
      </w:r>
      <w:r>
        <w:rPr>
          <w:color w:val="231F20"/>
          <w:w w:val="105"/>
        </w:rPr>
        <w:t>Esparza Nieto,</w:t>
      </w:r>
      <w:r>
        <w:rPr>
          <w:color w:val="231F20"/>
          <w:spacing w:val="-7"/>
          <w:w w:val="105"/>
        </w:rPr>
        <w:t> </w:t>
      </w:r>
      <w:r>
        <w:rPr>
          <w:color w:val="231F20"/>
          <w:w w:val="105"/>
        </w:rPr>
        <w:t>que</w:t>
      </w:r>
      <w:r>
        <w:rPr>
          <w:color w:val="231F20"/>
          <w:spacing w:val="-7"/>
          <w:w w:val="105"/>
        </w:rPr>
        <w:t> </w:t>
      </w:r>
      <w:r>
        <w:rPr>
          <w:color w:val="231F20"/>
          <w:w w:val="105"/>
        </w:rPr>
        <w:t>por</w:t>
      </w:r>
      <w:r>
        <w:rPr>
          <w:color w:val="231F20"/>
          <w:spacing w:val="-7"/>
          <w:w w:val="105"/>
        </w:rPr>
        <w:t> </w:t>
      </w:r>
      <w:r>
        <w:rPr>
          <w:color w:val="231F20"/>
          <w:w w:val="105"/>
        </w:rPr>
        <w:t>varios</w:t>
      </w:r>
      <w:r>
        <w:rPr>
          <w:color w:val="231F20"/>
          <w:spacing w:val="-7"/>
          <w:w w:val="105"/>
        </w:rPr>
        <w:t> </w:t>
      </w:r>
      <w:r>
        <w:rPr>
          <w:color w:val="231F20"/>
          <w:w w:val="105"/>
        </w:rPr>
        <w:t>trienios</w:t>
      </w:r>
      <w:r>
        <w:rPr>
          <w:color w:val="231F20"/>
          <w:spacing w:val="-7"/>
          <w:w w:val="105"/>
        </w:rPr>
        <w:t> </w:t>
      </w:r>
      <w:r>
        <w:rPr>
          <w:color w:val="231F20"/>
          <w:w w:val="105"/>
        </w:rPr>
        <w:t>intentó</w:t>
      </w:r>
      <w:r>
        <w:rPr>
          <w:color w:val="231F20"/>
          <w:spacing w:val="-7"/>
          <w:w w:val="105"/>
        </w:rPr>
        <w:t> </w:t>
      </w:r>
      <w:r>
        <w:rPr>
          <w:color w:val="231F20"/>
          <w:w w:val="105"/>
        </w:rPr>
        <w:t>llegar</w:t>
      </w:r>
      <w:r>
        <w:rPr>
          <w:color w:val="231F20"/>
          <w:spacing w:val="-7"/>
          <w:w w:val="105"/>
        </w:rPr>
        <w:t> </w:t>
      </w:r>
      <w:r>
        <w:rPr>
          <w:color w:val="231F20"/>
          <w:spacing w:val="2"/>
          <w:w w:val="105"/>
        </w:rPr>
        <w:t>al</w:t>
      </w:r>
      <w:r>
        <w:rPr>
          <w:color w:val="231F20"/>
          <w:spacing w:val="-7"/>
          <w:w w:val="105"/>
        </w:rPr>
        <w:t> </w:t>
      </w:r>
      <w:r>
        <w:rPr>
          <w:color w:val="231F20"/>
          <w:spacing w:val="-3"/>
          <w:w w:val="105"/>
        </w:rPr>
        <w:t>poder,</w:t>
      </w:r>
      <w:r>
        <w:rPr>
          <w:color w:val="231F20"/>
          <w:spacing w:val="-7"/>
          <w:w w:val="105"/>
        </w:rPr>
        <w:t> </w:t>
      </w:r>
      <w:r>
        <w:rPr>
          <w:color w:val="231F20"/>
          <w:w w:val="105"/>
        </w:rPr>
        <w:t>se</w:t>
      </w:r>
      <w:r>
        <w:rPr>
          <w:color w:val="231F20"/>
          <w:spacing w:val="-7"/>
          <w:w w:val="105"/>
        </w:rPr>
        <w:t> </w:t>
      </w:r>
      <w:r>
        <w:rPr>
          <w:color w:val="231F20"/>
          <w:w w:val="105"/>
        </w:rPr>
        <w:t>ve</w:t>
      </w:r>
      <w:r>
        <w:rPr>
          <w:color w:val="231F20"/>
          <w:spacing w:val="-7"/>
          <w:w w:val="105"/>
        </w:rPr>
        <w:t> </w:t>
      </w:r>
      <w:r>
        <w:rPr>
          <w:color w:val="231F20"/>
          <w:w w:val="105"/>
        </w:rPr>
        <w:t>involucrado</w:t>
      </w:r>
      <w:r>
        <w:rPr>
          <w:color w:val="231F20"/>
          <w:spacing w:val="-7"/>
          <w:w w:val="105"/>
        </w:rPr>
        <w:t> </w:t>
      </w: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aconteci- miento que lo llevó a la fuga por malos manejos dentro de la Administración Pública, y es que sucede que dio permiso a una constructora a cambio de dinero </w:t>
      </w:r>
      <w:r>
        <w:rPr>
          <w:color w:val="231F20"/>
          <w:spacing w:val="-6"/>
          <w:w w:val="105"/>
        </w:rPr>
        <w:t>(a </w:t>
      </w:r>
      <w:r>
        <w:rPr>
          <w:color w:val="231F20"/>
          <w:w w:val="105"/>
        </w:rPr>
        <w:t>través de</w:t>
      </w:r>
      <w:r>
        <w:rPr>
          <w:color w:val="231F20"/>
          <w:spacing w:val="-23"/>
          <w:w w:val="105"/>
        </w:rPr>
        <w:t> </w:t>
      </w:r>
      <w:r>
        <w:rPr>
          <w:color w:val="231F20"/>
          <w:w w:val="105"/>
        </w:rPr>
        <w:t>su</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Director de Obras públicas). Tiempo después pidió otra suma de dinero, pero la cons- tructora difundió el hecho y el entonces presidente municipal fue denunciado ante la Contraloría Estatal; el director de Obras fue a la cárcel. </w:t>
      </w:r>
      <w:r>
        <w:rPr>
          <w:color w:val="231F20"/>
          <w:spacing w:val="-3"/>
          <w:w w:val="105"/>
        </w:rPr>
        <w:t>(Como </w:t>
      </w:r>
      <w:r>
        <w:rPr>
          <w:color w:val="231F20"/>
          <w:w w:val="105"/>
        </w:rPr>
        <w:t>dato adicional se supo que Eulalio Esparza Nieto apareció muerto en un departamento de la ciudad de Méxi- </w:t>
      </w:r>
      <w:r>
        <w:rPr>
          <w:color w:val="231F20"/>
          <w:spacing w:val="-5"/>
          <w:w w:val="105"/>
        </w:rPr>
        <w:t>co).</w:t>
      </w:r>
      <w:r>
        <w:rPr>
          <w:color w:val="231F20"/>
          <w:spacing w:val="-22"/>
          <w:w w:val="105"/>
        </w:rPr>
        <w:t> </w:t>
      </w:r>
      <w:r>
        <w:rPr>
          <w:color w:val="231F20"/>
          <w:w w:val="105"/>
        </w:rPr>
        <w:t>De</w:t>
      </w:r>
      <w:r>
        <w:rPr>
          <w:color w:val="231F20"/>
          <w:spacing w:val="-22"/>
          <w:w w:val="105"/>
        </w:rPr>
        <w:t> </w:t>
      </w:r>
      <w:r>
        <w:rPr>
          <w:color w:val="231F20"/>
          <w:spacing w:val="2"/>
          <w:w w:val="105"/>
        </w:rPr>
        <w:t>ahí</w:t>
      </w:r>
      <w:r>
        <w:rPr>
          <w:color w:val="231F20"/>
          <w:spacing w:val="-22"/>
          <w:w w:val="105"/>
        </w:rPr>
        <w:t> </w:t>
      </w:r>
      <w:r>
        <w:rPr>
          <w:color w:val="231F20"/>
          <w:w w:val="105"/>
        </w:rPr>
        <w:t>se</w:t>
      </w:r>
      <w:r>
        <w:rPr>
          <w:color w:val="231F20"/>
          <w:spacing w:val="-22"/>
          <w:w w:val="105"/>
        </w:rPr>
        <w:t> </w:t>
      </w:r>
      <w:r>
        <w:rPr>
          <w:color w:val="231F20"/>
          <w:w w:val="105"/>
        </w:rPr>
        <w:t>derivó</w:t>
      </w:r>
      <w:r>
        <w:rPr>
          <w:color w:val="231F20"/>
          <w:spacing w:val="-22"/>
          <w:w w:val="105"/>
        </w:rPr>
        <w:t> </w:t>
      </w:r>
      <w:r>
        <w:rPr>
          <w:color w:val="231F20"/>
          <w:w w:val="105"/>
        </w:rPr>
        <w:t>que</w:t>
      </w:r>
      <w:r>
        <w:rPr>
          <w:color w:val="231F20"/>
          <w:spacing w:val="-22"/>
          <w:w w:val="105"/>
        </w:rPr>
        <w:t> </w:t>
      </w:r>
      <w:r>
        <w:rPr>
          <w:color w:val="231F20"/>
          <w:w w:val="105"/>
        </w:rPr>
        <w:t>la</w:t>
      </w:r>
      <w:r>
        <w:rPr>
          <w:color w:val="231F20"/>
          <w:spacing w:val="-22"/>
          <w:w w:val="105"/>
        </w:rPr>
        <w:t> </w:t>
      </w:r>
      <w:r>
        <w:rPr>
          <w:color w:val="231F20"/>
          <w:w w:val="105"/>
        </w:rPr>
        <w:t>ciudadanía</w:t>
      </w:r>
      <w:r>
        <w:rPr>
          <w:color w:val="231F20"/>
          <w:spacing w:val="-22"/>
          <w:w w:val="105"/>
        </w:rPr>
        <w:t> </w:t>
      </w:r>
      <w:r>
        <w:rPr>
          <w:color w:val="231F20"/>
          <w:w w:val="105"/>
        </w:rPr>
        <w:t>no</w:t>
      </w:r>
      <w:r>
        <w:rPr>
          <w:color w:val="231F20"/>
          <w:spacing w:val="-22"/>
          <w:w w:val="105"/>
        </w:rPr>
        <w:t> </w:t>
      </w:r>
      <w:r>
        <w:rPr>
          <w:color w:val="231F20"/>
          <w:w w:val="105"/>
        </w:rPr>
        <w:t>dejara</w:t>
      </w:r>
      <w:r>
        <w:rPr>
          <w:color w:val="231F20"/>
          <w:spacing w:val="-22"/>
          <w:w w:val="105"/>
        </w:rPr>
        <w:t> </w:t>
      </w:r>
      <w:r>
        <w:rPr>
          <w:color w:val="231F20"/>
          <w:w w:val="105"/>
        </w:rPr>
        <w:t>tomar</w:t>
      </w:r>
      <w:r>
        <w:rPr>
          <w:color w:val="231F20"/>
          <w:spacing w:val="-22"/>
          <w:w w:val="105"/>
        </w:rPr>
        <w:t> </w:t>
      </w:r>
      <w:r>
        <w:rPr>
          <w:color w:val="231F20"/>
          <w:w w:val="105"/>
        </w:rPr>
        <w:t>posesión</w:t>
      </w:r>
      <w:r>
        <w:rPr>
          <w:color w:val="231F20"/>
          <w:spacing w:val="-22"/>
          <w:w w:val="105"/>
        </w:rPr>
        <w:t> </w:t>
      </w:r>
      <w:r>
        <w:rPr>
          <w:color w:val="231F20"/>
          <w:spacing w:val="2"/>
          <w:w w:val="105"/>
        </w:rPr>
        <w:t>al</w:t>
      </w:r>
      <w:r>
        <w:rPr>
          <w:color w:val="231F20"/>
          <w:spacing w:val="-22"/>
          <w:w w:val="105"/>
        </w:rPr>
        <w:t> </w:t>
      </w:r>
      <w:r>
        <w:rPr>
          <w:color w:val="231F20"/>
          <w:w w:val="105"/>
        </w:rPr>
        <w:t>Presidente</w:t>
      </w:r>
      <w:r>
        <w:rPr>
          <w:color w:val="231F20"/>
          <w:spacing w:val="-22"/>
          <w:w w:val="105"/>
        </w:rPr>
        <w:t> </w:t>
      </w:r>
      <w:r>
        <w:rPr>
          <w:color w:val="231F20"/>
          <w:w w:val="105"/>
        </w:rPr>
        <w:t>Municipal suplente y se nombrara como Presidente sustituto </w:t>
      </w:r>
      <w:r>
        <w:rPr>
          <w:color w:val="231F20"/>
          <w:spacing w:val="2"/>
          <w:w w:val="105"/>
        </w:rPr>
        <w:t>al </w:t>
      </w:r>
      <w:r>
        <w:rPr>
          <w:color w:val="231F20"/>
          <w:w w:val="105"/>
        </w:rPr>
        <w:t>primer </w:t>
      </w:r>
      <w:r>
        <w:rPr>
          <w:color w:val="231F20"/>
          <w:spacing w:val="-3"/>
          <w:w w:val="105"/>
        </w:rPr>
        <w:t>regidor, </w:t>
      </w:r>
      <w:r>
        <w:rPr>
          <w:color w:val="231F20"/>
          <w:w w:val="105"/>
        </w:rPr>
        <w:t>posteriormente viene</w:t>
      </w:r>
      <w:r>
        <w:rPr>
          <w:color w:val="231F20"/>
          <w:spacing w:val="-10"/>
          <w:w w:val="105"/>
        </w:rPr>
        <w:t> </w:t>
      </w:r>
      <w:r>
        <w:rPr>
          <w:color w:val="231F20"/>
          <w:w w:val="105"/>
        </w:rPr>
        <w:t>a</w:t>
      </w:r>
      <w:r>
        <w:rPr>
          <w:color w:val="231F20"/>
          <w:spacing w:val="-10"/>
          <w:w w:val="105"/>
        </w:rPr>
        <w:t> </w:t>
      </w:r>
      <w:r>
        <w:rPr>
          <w:color w:val="231F20"/>
          <w:w w:val="105"/>
        </w:rPr>
        <w:t>concluir</w:t>
      </w:r>
      <w:r>
        <w:rPr>
          <w:color w:val="231F20"/>
          <w:spacing w:val="-10"/>
          <w:w w:val="105"/>
        </w:rPr>
        <w:t> </w:t>
      </w:r>
      <w:r>
        <w:rPr>
          <w:color w:val="231F20"/>
          <w:spacing w:val="2"/>
          <w:w w:val="105"/>
        </w:rPr>
        <w:t>al</w:t>
      </w:r>
      <w:r>
        <w:rPr>
          <w:color w:val="231F20"/>
          <w:spacing w:val="-10"/>
          <w:w w:val="105"/>
        </w:rPr>
        <w:t> </w:t>
      </w:r>
      <w:r>
        <w:rPr>
          <w:color w:val="231F20"/>
          <w:w w:val="105"/>
        </w:rPr>
        <w:t>periodo</w:t>
      </w:r>
      <w:r>
        <w:rPr>
          <w:color w:val="231F20"/>
          <w:spacing w:val="-10"/>
          <w:w w:val="105"/>
        </w:rPr>
        <w:t> </w:t>
      </w:r>
      <w:r>
        <w:rPr>
          <w:color w:val="231F20"/>
          <w:w w:val="105"/>
        </w:rPr>
        <w:t>un</w:t>
      </w:r>
      <w:r>
        <w:rPr>
          <w:color w:val="231F20"/>
          <w:spacing w:val="-10"/>
          <w:w w:val="105"/>
        </w:rPr>
        <w:t> </w:t>
      </w:r>
      <w:r>
        <w:rPr>
          <w:color w:val="231F20"/>
          <w:w w:val="105"/>
        </w:rPr>
        <w:t>Presidente</w:t>
      </w:r>
      <w:r>
        <w:rPr>
          <w:color w:val="231F20"/>
          <w:spacing w:val="-10"/>
          <w:w w:val="105"/>
        </w:rPr>
        <w:t> </w:t>
      </w:r>
      <w:r>
        <w:rPr>
          <w:color w:val="231F20"/>
          <w:w w:val="105"/>
        </w:rPr>
        <w:t>nombrado</w:t>
      </w:r>
      <w:r>
        <w:rPr>
          <w:color w:val="231F20"/>
          <w:spacing w:val="-10"/>
          <w:w w:val="105"/>
        </w:rPr>
        <w:t> </w:t>
      </w:r>
      <w:r>
        <w:rPr>
          <w:color w:val="231F20"/>
          <w:w w:val="105"/>
        </w:rPr>
        <w:t>por</w:t>
      </w:r>
      <w:r>
        <w:rPr>
          <w:color w:val="231F20"/>
          <w:spacing w:val="-10"/>
          <w:w w:val="105"/>
        </w:rPr>
        <w:t> </w:t>
      </w:r>
      <w:r>
        <w:rPr>
          <w:color w:val="231F20"/>
          <w:w w:val="105"/>
        </w:rPr>
        <w:t>ministerio</w:t>
      </w:r>
      <w:r>
        <w:rPr>
          <w:color w:val="231F20"/>
          <w:spacing w:val="-10"/>
          <w:w w:val="105"/>
        </w:rPr>
        <w:t> </w:t>
      </w:r>
      <w:r>
        <w:rPr>
          <w:color w:val="231F20"/>
          <w:w w:val="105"/>
        </w:rPr>
        <w:t>de</w:t>
      </w:r>
      <w:r>
        <w:rPr>
          <w:color w:val="231F20"/>
          <w:spacing w:val="-10"/>
          <w:w w:val="105"/>
        </w:rPr>
        <w:t> </w:t>
      </w:r>
      <w:r>
        <w:rPr>
          <w:color w:val="231F20"/>
          <w:spacing w:val="-4"/>
          <w:w w:val="105"/>
        </w:rPr>
        <w:t>ley.</w:t>
      </w:r>
    </w:p>
    <w:p>
      <w:pPr>
        <w:pStyle w:val="BodyText"/>
        <w:spacing w:before="1"/>
        <w:rPr>
          <w:sz w:val="26"/>
        </w:rPr>
      </w:pPr>
    </w:p>
    <w:p>
      <w:pPr>
        <w:pStyle w:val="BodyText"/>
        <w:spacing w:line="285" w:lineRule="auto"/>
        <w:ind w:left="110" w:right="106"/>
        <w:jc w:val="both"/>
      </w:pPr>
      <w:r>
        <w:rPr>
          <w:color w:val="231F20"/>
          <w:w w:val="105"/>
        </w:rPr>
        <w:t>En el </w:t>
      </w:r>
      <w:r>
        <w:rPr>
          <w:color w:val="231F20"/>
          <w:spacing w:val="2"/>
          <w:w w:val="105"/>
        </w:rPr>
        <w:t>2003 </w:t>
      </w:r>
      <w:r>
        <w:rPr>
          <w:color w:val="231F20"/>
          <w:w w:val="105"/>
        </w:rPr>
        <w:t>se realizan elecciones para elegir a las autoridades para la administración municipal 2003-2006 y resulta triunfador el Partido de la </w:t>
      </w:r>
      <w:r>
        <w:rPr>
          <w:color w:val="231F20"/>
          <w:spacing w:val="-3"/>
          <w:w w:val="105"/>
        </w:rPr>
        <w:t>Revolución </w:t>
      </w:r>
      <w:r>
        <w:rPr>
          <w:color w:val="231F20"/>
          <w:w w:val="105"/>
        </w:rPr>
        <w:t>Democrática. Se llevan a acabo impugnaciones por parte de la </w:t>
      </w:r>
      <w:r>
        <w:rPr>
          <w:color w:val="231F20"/>
          <w:spacing w:val="2"/>
          <w:w w:val="105"/>
        </w:rPr>
        <w:t>Alianza </w:t>
      </w:r>
      <w:r>
        <w:rPr>
          <w:color w:val="231F20"/>
          <w:w w:val="105"/>
        </w:rPr>
        <w:t>por México (PRI-PVEM) y con ello</w:t>
      </w:r>
      <w:r>
        <w:rPr>
          <w:color w:val="231F20"/>
          <w:spacing w:val="-15"/>
          <w:w w:val="105"/>
        </w:rPr>
        <w:t> </w:t>
      </w:r>
      <w:r>
        <w:rPr>
          <w:color w:val="231F20"/>
          <w:w w:val="105"/>
        </w:rPr>
        <w:t>se</w:t>
      </w:r>
      <w:r>
        <w:rPr>
          <w:color w:val="231F20"/>
          <w:spacing w:val="-15"/>
          <w:w w:val="105"/>
        </w:rPr>
        <w:t> </w:t>
      </w:r>
      <w:r>
        <w:rPr>
          <w:color w:val="231F20"/>
          <w:w w:val="105"/>
        </w:rPr>
        <w:t>logra</w:t>
      </w:r>
      <w:r>
        <w:rPr>
          <w:color w:val="231F20"/>
          <w:spacing w:val="-15"/>
          <w:w w:val="105"/>
        </w:rPr>
        <w:t> </w:t>
      </w:r>
      <w:r>
        <w:rPr>
          <w:color w:val="231F20"/>
          <w:w w:val="105"/>
        </w:rPr>
        <w:t>revertir</w:t>
      </w:r>
      <w:r>
        <w:rPr>
          <w:color w:val="231F20"/>
          <w:spacing w:val="-15"/>
          <w:w w:val="105"/>
        </w:rPr>
        <w:t> </w:t>
      </w:r>
      <w:r>
        <w:rPr>
          <w:color w:val="231F20"/>
          <w:w w:val="105"/>
        </w:rPr>
        <w:t>el</w:t>
      </w:r>
      <w:r>
        <w:rPr>
          <w:color w:val="231F20"/>
          <w:spacing w:val="-15"/>
          <w:w w:val="105"/>
        </w:rPr>
        <w:t> </w:t>
      </w:r>
      <w:r>
        <w:rPr>
          <w:color w:val="231F20"/>
          <w:w w:val="105"/>
        </w:rPr>
        <w:t>triunfo</w:t>
      </w:r>
      <w:r>
        <w:rPr>
          <w:color w:val="231F20"/>
          <w:spacing w:val="-15"/>
          <w:w w:val="105"/>
        </w:rPr>
        <w:t> </w:t>
      </w:r>
      <w:r>
        <w:rPr>
          <w:color w:val="231F20"/>
          <w:w w:val="105"/>
        </w:rPr>
        <w:t>temporalmente</w:t>
      </w:r>
      <w:r>
        <w:rPr>
          <w:color w:val="231F20"/>
          <w:spacing w:val="-15"/>
          <w:w w:val="105"/>
        </w:rPr>
        <w:t> </w:t>
      </w:r>
      <w:r>
        <w:rPr>
          <w:color w:val="231F20"/>
          <w:w w:val="105"/>
        </w:rPr>
        <w:t>hacia</w:t>
      </w:r>
      <w:r>
        <w:rPr>
          <w:color w:val="231F20"/>
          <w:spacing w:val="-15"/>
          <w:w w:val="105"/>
        </w:rPr>
        <w:t> </w:t>
      </w:r>
      <w:r>
        <w:rPr>
          <w:color w:val="231F20"/>
          <w:w w:val="105"/>
        </w:rPr>
        <w:t>este</w:t>
      </w:r>
      <w:r>
        <w:rPr>
          <w:color w:val="231F20"/>
          <w:spacing w:val="-15"/>
          <w:w w:val="105"/>
        </w:rPr>
        <w:t> </w:t>
      </w:r>
      <w:r>
        <w:rPr>
          <w:color w:val="231F20"/>
          <w:w w:val="105"/>
        </w:rPr>
        <w:t>partido.</w:t>
      </w:r>
      <w:r>
        <w:rPr>
          <w:color w:val="231F20"/>
          <w:spacing w:val="-15"/>
          <w:w w:val="105"/>
        </w:rPr>
        <w:t> </w:t>
      </w:r>
      <w:r>
        <w:rPr>
          <w:color w:val="231F20"/>
          <w:w w:val="105"/>
        </w:rPr>
        <w:t>El</w:t>
      </w:r>
      <w:r>
        <w:rPr>
          <w:color w:val="231F20"/>
          <w:spacing w:val="-15"/>
          <w:w w:val="105"/>
        </w:rPr>
        <w:t> </w:t>
      </w:r>
      <w:r>
        <w:rPr>
          <w:color w:val="231F20"/>
          <w:w w:val="105"/>
        </w:rPr>
        <w:t>PRD</w:t>
      </w:r>
      <w:r>
        <w:rPr>
          <w:color w:val="231F20"/>
          <w:spacing w:val="-15"/>
          <w:w w:val="105"/>
        </w:rPr>
        <w:t> </w:t>
      </w:r>
      <w:r>
        <w:rPr>
          <w:color w:val="231F20"/>
          <w:w w:val="105"/>
        </w:rPr>
        <w:t>se</w:t>
      </w:r>
      <w:r>
        <w:rPr>
          <w:color w:val="231F20"/>
          <w:spacing w:val="-15"/>
          <w:w w:val="105"/>
        </w:rPr>
        <w:t> </w:t>
      </w:r>
      <w:r>
        <w:rPr>
          <w:color w:val="231F20"/>
          <w:w w:val="105"/>
        </w:rPr>
        <w:t>inconforma y</w:t>
      </w:r>
      <w:r>
        <w:rPr>
          <w:color w:val="231F20"/>
          <w:spacing w:val="-9"/>
          <w:w w:val="105"/>
        </w:rPr>
        <w:t> </w:t>
      </w:r>
      <w:r>
        <w:rPr>
          <w:color w:val="231F20"/>
          <w:w w:val="105"/>
        </w:rPr>
        <w:t>el</w:t>
      </w:r>
      <w:r>
        <w:rPr>
          <w:color w:val="231F20"/>
          <w:spacing w:val="-9"/>
          <w:w w:val="105"/>
        </w:rPr>
        <w:t> </w:t>
      </w:r>
      <w:r>
        <w:rPr>
          <w:color w:val="231F20"/>
          <w:w w:val="105"/>
        </w:rPr>
        <w:t>Instituto</w:t>
      </w:r>
      <w:r>
        <w:rPr>
          <w:color w:val="231F20"/>
          <w:spacing w:val="-9"/>
          <w:w w:val="105"/>
        </w:rPr>
        <w:t> </w:t>
      </w:r>
      <w:r>
        <w:rPr>
          <w:color w:val="231F20"/>
          <w:w w:val="105"/>
        </w:rPr>
        <w:t>Electoral</w:t>
      </w:r>
      <w:r>
        <w:rPr>
          <w:color w:val="231F20"/>
          <w:spacing w:val="-9"/>
          <w:w w:val="105"/>
        </w:rPr>
        <w:t> </w:t>
      </w:r>
      <w:r>
        <w:rPr>
          <w:color w:val="231F20"/>
          <w:w w:val="105"/>
        </w:rPr>
        <w:t>del</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9"/>
          <w:w w:val="105"/>
        </w:rPr>
        <w:t> </w:t>
      </w:r>
      <w:r>
        <w:rPr>
          <w:color w:val="231F20"/>
          <w:w w:val="105"/>
        </w:rPr>
        <w:t>dictamina</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realicen</w:t>
      </w:r>
      <w:r>
        <w:rPr>
          <w:color w:val="231F20"/>
          <w:spacing w:val="-9"/>
          <w:w w:val="105"/>
        </w:rPr>
        <w:t> </w:t>
      </w:r>
      <w:r>
        <w:rPr>
          <w:color w:val="231F20"/>
          <w:w w:val="105"/>
        </w:rPr>
        <w:t>nuevamente</w:t>
      </w:r>
      <w:r>
        <w:rPr>
          <w:color w:val="231F20"/>
          <w:spacing w:val="-9"/>
          <w:w w:val="105"/>
        </w:rPr>
        <w:t> </w:t>
      </w:r>
      <w:r>
        <w:rPr>
          <w:color w:val="231F20"/>
          <w:w w:val="105"/>
        </w:rPr>
        <w:t>las elecciones,</w:t>
      </w:r>
      <w:r>
        <w:rPr>
          <w:color w:val="231F20"/>
          <w:spacing w:val="-12"/>
          <w:w w:val="105"/>
        </w:rPr>
        <w:t> </w:t>
      </w:r>
      <w:r>
        <w:rPr>
          <w:color w:val="231F20"/>
          <w:w w:val="105"/>
        </w:rPr>
        <w:t>es</w:t>
      </w:r>
      <w:r>
        <w:rPr>
          <w:color w:val="231F20"/>
          <w:spacing w:val="-12"/>
          <w:w w:val="105"/>
        </w:rPr>
        <w:t> </w:t>
      </w:r>
      <w:r>
        <w:rPr>
          <w:color w:val="231F20"/>
          <w:w w:val="105"/>
        </w:rPr>
        <w:t>decir</w:t>
      </w:r>
      <w:r>
        <w:rPr>
          <w:color w:val="231F20"/>
          <w:spacing w:val="-12"/>
          <w:w w:val="105"/>
        </w:rPr>
        <w:t> </w:t>
      </w:r>
      <w:r>
        <w:rPr>
          <w:color w:val="231F20"/>
          <w:w w:val="105"/>
        </w:rPr>
        <w:t>por</w:t>
      </w:r>
      <w:r>
        <w:rPr>
          <w:color w:val="231F20"/>
          <w:spacing w:val="-12"/>
          <w:w w:val="105"/>
        </w:rPr>
        <w:t> </w:t>
      </w:r>
      <w:r>
        <w:rPr>
          <w:color w:val="231F20"/>
          <w:w w:val="105"/>
        </w:rPr>
        <w:t>primera</w:t>
      </w:r>
      <w:r>
        <w:rPr>
          <w:color w:val="231F20"/>
          <w:spacing w:val="-12"/>
          <w:w w:val="105"/>
        </w:rPr>
        <w:t> </w:t>
      </w:r>
      <w:r>
        <w:rPr>
          <w:color w:val="231F20"/>
          <w:w w:val="105"/>
        </w:rPr>
        <w:t>vez</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historia</w:t>
      </w:r>
      <w:r>
        <w:rPr>
          <w:color w:val="231F20"/>
          <w:spacing w:val="-12"/>
          <w:w w:val="105"/>
        </w:rPr>
        <w:t> </w:t>
      </w:r>
      <w:r>
        <w:rPr>
          <w:color w:val="231F20"/>
          <w:w w:val="105"/>
        </w:rPr>
        <w:t>electoral</w:t>
      </w:r>
      <w:r>
        <w:rPr>
          <w:color w:val="231F20"/>
          <w:spacing w:val="-12"/>
          <w:w w:val="105"/>
        </w:rPr>
        <w:t> </w:t>
      </w:r>
      <w:r>
        <w:rPr>
          <w:color w:val="231F20"/>
          <w:w w:val="105"/>
        </w:rPr>
        <w:t>del</w:t>
      </w:r>
      <w:r>
        <w:rPr>
          <w:color w:val="231F20"/>
          <w:spacing w:val="-12"/>
          <w:w w:val="105"/>
        </w:rPr>
        <w:t> </w:t>
      </w:r>
      <w:r>
        <w:rPr>
          <w:color w:val="231F20"/>
          <w:w w:val="105"/>
        </w:rPr>
        <w:t>municipio</w:t>
      </w:r>
      <w:r>
        <w:rPr>
          <w:color w:val="231F20"/>
          <w:spacing w:val="-12"/>
          <w:w w:val="105"/>
        </w:rPr>
        <w:t> </w:t>
      </w:r>
      <w:r>
        <w:rPr>
          <w:color w:val="231F20"/>
          <w:w w:val="105"/>
        </w:rPr>
        <w:t>se</w:t>
      </w:r>
      <w:r>
        <w:rPr>
          <w:color w:val="231F20"/>
          <w:spacing w:val="-12"/>
          <w:w w:val="105"/>
        </w:rPr>
        <w:t> </w:t>
      </w:r>
      <w:r>
        <w:rPr>
          <w:color w:val="231F20"/>
          <w:w w:val="105"/>
        </w:rPr>
        <w:t>realiza</w:t>
      </w:r>
      <w:r>
        <w:rPr>
          <w:color w:val="231F20"/>
          <w:spacing w:val="-12"/>
          <w:w w:val="105"/>
        </w:rPr>
        <w:t> </w:t>
      </w:r>
      <w:r>
        <w:rPr>
          <w:color w:val="231F20"/>
          <w:w w:val="105"/>
        </w:rPr>
        <w:t>una segunda</w:t>
      </w:r>
      <w:r>
        <w:rPr>
          <w:color w:val="231F20"/>
          <w:spacing w:val="-12"/>
          <w:w w:val="105"/>
        </w:rPr>
        <w:t> </w:t>
      </w:r>
      <w:r>
        <w:rPr>
          <w:color w:val="231F20"/>
          <w:w w:val="105"/>
        </w:rPr>
        <w:t>vuelta.</w:t>
      </w:r>
      <w:r>
        <w:rPr>
          <w:color w:val="231F20"/>
          <w:spacing w:val="-12"/>
          <w:w w:val="105"/>
        </w:rPr>
        <w:t> </w:t>
      </w:r>
      <w:r>
        <w:rPr>
          <w:color w:val="231F20"/>
          <w:w w:val="105"/>
        </w:rPr>
        <w:t>En</w:t>
      </w:r>
      <w:r>
        <w:rPr>
          <w:color w:val="231F20"/>
          <w:spacing w:val="-12"/>
          <w:w w:val="105"/>
        </w:rPr>
        <w:t> </w:t>
      </w:r>
      <w:r>
        <w:rPr>
          <w:color w:val="231F20"/>
          <w:w w:val="105"/>
        </w:rPr>
        <w:t>ella</w:t>
      </w:r>
      <w:r>
        <w:rPr>
          <w:color w:val="231F20"/>
          <w:spacing w:val="-12"/>
          <w:w w:val="105"/>
        </w:rPr>
        <w:t> </w:t>
      </w:r>
      <w:r>
        <w:rPr>
          <w:color w:val="231F20"/>
          <w:w w:val="105"/>
        </w:rPr>
        <w:t>el</w:t>
      </w:r>
      <w:r>
        <w:rPr>
          <w:color w:val="231F20"/>
          <w:spacing w:val="-12"/>
          <w:w w:val="105"/>
        </w:rPr>
        <w:t> </w:t>
      </w:r>
      <w:r>
        <w:rPr>
          <w:color w:val="231F20"/>
          <w:w w:val="105"/>
        </w:rPr>
        <w:t>PRD</w:t>
      </w:r>
      <w:r>
        <w:rPr>
          <w:color w:val="231F20"/>
          <w:spacing w:val="-12"/>
          <w:w w:val="105"/>
        </w:rPr>
        <w:t> </w:t>
      </w:r>
      <w:r>
        <w:rPr>
          <w:color w:val="231F20"/>
          <w:w w:val="105"/>
        </w:rPr>
        <w:t>obtiene</w:t>
      </w:r>
      <w:r>
        <w:rPr>
          <w:color w:val="231F20"/>
          <w:spacing w:val="-12"/>
          <w:w w:val="105"/>
        </w:rPr>
        <w:t> </w:t>
      </w:r>
      <w:r>
        <w:rPr>
          <w:color w:val="231F20"/>
          <w:w w:val="105"/>
        </w:rPr>
        <w:t>un</w:t>
      </w:r>
      <w:r>
        <w:rPr>
          <w:color w:val="231F20"/>
          <w:spacing w:val="-12"/>
          <w:w w:val="105"/>
        </w:rPr>
        <w:t> </w:t>
      </w:r>
      <w:r>
        <w:rPr>
          <w:color w:val="231F20"/>
          <w:w w:val="105"/>
        </w:rPr>
        <w:t>triunfo</w:t>
      </w:r>
      <w:r>
        <w:rPr>
          <w:color w:val="231F20"/>
          <w:spacing w:val="-12"/>
          <w:w w:val="105"/>
        </w:rPr>
        <w:t> </w:t>
      </w:r>
      <w:r>
        <w:rPr>
          <w:color w:val="231F20"/>
          <w:w w:val="105"/>
        </w:rPr>
        <w:t>contundente.</w:t>
      </w:r>
    </w:p>
    <w:p>
      <w:pPr>
        <w:pStyle w:val="BodyText"/>
        <w:spacing w:before="1"/>
        <w:rPr>
          <w:sz w:val="26"/>
        </w:rPr>
      </w:pPr>
    </w:p>
    <w:p>
      <w:pPr>
        <w:pStyle w:val="BodyText"/>
        <w:spacing w:line="285" w:lineRule="auto"/>
        <w:ind w:left="110" w:right="108"/>
        <w:jc w:val="both"/>
      </w:pPr>
      <w:r>
        <w:rPr>
          <w:color w:val="231F20"/>
          <w:spacing w:val="-3"/>
          <w:w w:val="105"/>
        </w:rPr>
        <w:t>Por</w:t>
      </w:r>
      <w:r>
        <w:rPr>
          <w:color w:val="231F20"/>
          <w:spacing w:val="-12"/>
          <w:w w:val="105"/>
        </w:rPr>
        <w:t> </w:t>
      </w:r>
      <w:r>
        <w:rPr>
          <w:color w:val="231F20"/>
          <w:w w:val="105"/>
        </w:rPr>
        <w:t>lo</w:t>
      </w:r>
      <w:r>
        <w:rPr>
          <w:color w:val="231F20"/>
          <w:spacing w:val="-12"/>
          <w:w w:val="105"/>
        </w:rPr>
        <w:t> </w:t>
      </w:r>
      <w:r>
        <w:rPr>
          <w:color w:val="231F20"/>
          <w:w w:val="105"/>
        </w:rPr>
        <w:t>tanto</w:t>
      </w:r>
      <w:r>
        <w:rPr>
          <w:color w:val="231F20"/>
          <w:spacing w:val="-12"/>
          <w:w w:val="105"/>
        </w:rPr>
        <w:t> </w:t>
      </w:r>
      <w:r>
        <w:rPr>
          <w:color w:val="231F20"/>
          <w:w w:val="105"/>
        </w:rPr>
        <w:t>del</w:t>
      </w:r>
      <w:r>
        <w:rPr>
          <w:color w:val="231F20"/>
          <w:spacing w:val="-12"/>
          <w:w w:val="105"/>
        </w:rPr>
        <w:t> </w:t>
      </w:r>
      <w:r>
        <w:rPr>
          <w:color w:val="231F20"/>
          <w:spacing w:val="2"/>
          <w:w w:val="105"/>
        </w:rPr>
        <w:t>2003</w:t>
      </w:r>
      <w:r>
        <w:rPr>
          <w:color w:val="231F20"/>
          <w:spacing w:val="-12"/>
          <w:w w:val="105"/>
        </w:rPr>
        <w:t> </w:t>
      </w:r>
      <w:r>
        <w:rPr>
          <w:color w:val="231F20"/>
          <w:spacing w:val="2"/>
          <w:w w:val="105"/>
        </w:rPr>
        <w:t>al</w:t>
      </w:r>
      <w:r>
        <w:rPr>
          <w:color w:val="231F20"/>
          <w:spacing w:val="-12"/>
          <w:w w:val="105"/>
        </w:rPr>
        <w:t> </w:t>
      </w:r>
      <w:r>
        <w:rPr>
          <w:color w:val="231F20"/>
          <w:spacing w:val="3"/>
          <w:w w:val="105"/>
        </w:rPr>
        <w:t>2006</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de</w:t>
      </w:r>
      <w:r>
        <w:rPr>
          <w:color w:val="231F20"/>
          <w:spacing w:val="-12"/>
          <w:w w:val="105"/>
        </w:rPr>
        <w:t> </w:t>
      </w:r>
      <w:r>
        <w:rPr>
          <w:color w:val="231F20"/>
          <w:w w:val="105"/>
        </w:rPr>
        <w:t>Chalco</w:t>
      </w:r>
      <w:r>
        <w:rPr>
          <w:color w:val="231F20"/>
          <w:spacing w:val="-12"/>
          <w:w w:val="105"/>
        </w:rPr>
        <w:t> </w:t>
      </w:r>
      <w:r>
        <w:rPr>
          <w:color w:val="231F20"/>
          <w:w w:val="105"/>
        </w:rPr>
        <w:t>es</w:t>
      </w:r>
      <w:r>
        <w:rPr>
          <w:color w:val="231F20"/>
          <w:spacing w:val="-12"/>
          <w:w w:val="105"/>
        </w:rPr>
        <w:t> </w:t>
      </w:r>
      <w:r>
        <w:rPr>
          <w:color w:val="231F20"/>
          <w:w w:val="105"/>
        </w:rPr>
        <w:t>gobernado</w:t>
      </w:r>
      <w:r>
        <w:rPr>
          <w:color w:val="231F20"/>
          <w:spacing w:val="-12"/>
          <w:w w:val="105"/>
        </w:rPr>
        <w:t> </w:t>
      </w:r>
      <w:r>
        <w:rPr>
          <w:color w:val="231F20"/>
          <w:w w:val="105"/>
        </w:rPr>
        <w:t>por</w:t>
      </w:r>
      <w:r>
        <w:rPr>
          <w:color w:val="231F20"/>
          <w:spacing w:val="-12"/>
          <w:w w:val="105"/>
        </w:rPr>
        <w:t> </w:t>
      </w:r>
      <w:r>
        <w:rPr>
          <w:color w:val="231F20"/>
          <w:w w:val="105"/>
        </w:rPr>
        <w:t>primera</w:t>
      </w:r>
      <w:r>
        <w:rPr>
          <w:color w:val="231F20"/>
          <w:spacing w:val="-12"/>
          <w:w w:val="105"/>
        </w:rPr>
        <w:t> </w:t>
      </w:r>
      <w:r>
        <w:rPr>
          <w:color w:val="231F20"/>
          <w:w w:val="105"/>
        </w:rPr>
        <w:t>vez</w:t>
      </w:r>
      <w:r>
        <w:rPr>
          <w:color w:val="231F20"/>
          <w:spacing w:val="-12"/>
          <w:w w:val="105"/>
        </w:rPr>
        <w:t> </w:t>
      </w:r>
      <w:r>
        <w:rPr>
          <w:color w:val="231F20"/>
          <w:w w:val="105"/>
        </w:rPr>
        <w:t>por un</w:t>
      </w:r>
      <w:r>
        <w:rPr>
          <w:color w:val="231F20"/>
          <w:spacing w:val="-20"/>
          <w:w w:val="105"/>
        </w:rPr>
        <w:t> </w:t>
      </w:r>
      <w:r>
        <w:rPr>
          <w:color w:val="231F20"/>
          <w:w w:val="105"/>
        </w:rPr>
        <w:t>gobierno</w:t>
      </w:r>
      <w:r>
        <w:rPr>
          <w:color w:val="231F20"/>
          <w:spacing w:val="-20"/>
          <w:w w:val="105"/>
        </w:rPr>
        <w:t> </w:t>
      </w:r>
      <w:r>
        <w:rPr>
          <w:color w:val="231F20"/>
          <w:w w:val="105"/>
        </w:rPr>
        <w:t>no</w:t>
      </w:r>
      <w:r>
        <w:rPr>
          <w:color w:val="231F20"/>
          <w:spacing w:val="-20"/>
          <w:w w:val="105"/>
        </w:rPr>
        <w:t> </w:t>
      </w:r>
      <w:r>
        <w:rPr>
          <w:color w:val="231F20"/>
          <w:w w:val="105"/>
        </w:rPr>
        <w:t>priísta,</w:t>
      </w:r>
      <w:r>
        <w:rPr>
          <w:color w:val="231F20"/>
          <w:spacing w:val="-20"/>
          <w:w w:val="105"/>
        </w:rPr>
        <w:t> </w:t>
      </w:r>
      <w:r>
        <w:rPr>
          <w:color w:val="231F20"/>
          <w:w w:val="105"/>
        </w:rPr>
        <w:t>encabezado</w:t>
      </w:r>
      <w:r>
        <w:rPr>
          <w:color w:val="231F20"/>
          <w:spacing w:val="-20"/>
          <w:w w:val="105"/>
        </w:rPr>
        <w:t> </w:t>
      </w:r>
      <w:r>
        <w:rPr>
          <w:color w:val="231F20"/>
          <w:w w:val="105"/>
        </w:rPr>
        <w:t>por</w:t>
      </w:r>
      <w:r>
        <w:rPr>
          <w:color w:val="231F20"/>
          <w:spacing w:val="-20"/>
          <w:w w:val="105"/>
        </w:rPr>
        <w:t> </w:t>
      </w:r>
      <w:r>
        <w:rPr>
          <w:color w:val="231F20"/>
          <w:w w:val="105"/>
        </w:rPr>
        <w:t>Jaime</w:t>
      </w:r>
      <w:r>
        <w:rPr>
          <w:color w:val="231F20"/>
          <w:spacing w:val="-20"/>
          <w:w w:val="105"/>
        </w:rPr>
        <w:t> </w:t>
      </w:r>
      <w:r>
        <w:rPr>
          <w:color w:val="231F20"/>
          <w:w w:val="105"/>
        </w:rPr>
        <w:t>Espejel</w:t>
      </w:r>
      <w:r>
        <w:rPr>
          <w:color w:val="231F20"/>
          <w:spacing w:val="-20"/>
          <w:w w:val="105"/>
        </w:rPr>
        <w:t> </w:t>
      </w:r>
      <w:r>
        <w:rPr>
          <w:color w:val="231F20"/>
          <w:w w:val="105"/>
        </w:rPr>
        <w:t>Lazcano.</w:t>
      </w:r>
    </w:p>
    <w:p>
      <w:pPr>
        <w:pStyle w:val="BodyText"/>
        <w:spacing w:before="1"/>
        <w:rPr>
          <w:sz w:val="26"/>
        </w:rPr>
      </w:pPr>
    </w:p>
    <w:p>
      <w:pPr>
        <w:pStyle w:val="BodyText"/>
        <w:spacing w:line="285" w:lineRule="auto"/>
        <w:ind w:left="110" w:right="107"/>
        <w:jc w:val="both"/>
      </w:pPr>
      <w:r>
        <w:rPr>
          <w:color w:val="231F20"/>
          <w:w w:val="105"/>
        </w:rPr>
        <w:t>Y nuevamente en el proceso electoral del </w:t>
      </w:r>
      <w:r>
        <w:rPr>
          <w:color w:val="231F20"/>
          <w:spacing w:val="3"/>
          <w:w w:val="105"/>
        </w:rPr>
        <w:t>2006 </w:t>
      </w:r>
      <w:r>
        <w:rPr>
          <w:color w:val="231F20"/>
          <w:w w:val="105"/>
        </w:rPr>
        <w:t>gana el </w:t>
      </w:r>
      <w:r>
        <w:rPr>
          <w:color w:val="231F20"/>
          <w:spacing w:val="-3"/>
          <w:w w:val="105"/>
        </w:rPr>
        <w:t>PRD. </w:t>
      </w:r>
      <w:r>
        <w:rPr>
          <w:color w:val="231F20"/>
          <w:w w:val="105"/>
        </w:rPr>
        <w:t>Cuando Vicente Alberto Onofre</w:t>
      </w:r>
      <w:r>
        <w:rPr>
          <w:color w:val="231F20"/>
          <w:spacing w:val="-20"/>
          <w:w w:val="105"/>
        </w:rPr>
        <w:t> </w:t>
      </w:r>
      <w:r>
        <w:rPr>
          <w:color w:val="231F20"/>
          <w:w w:val="105"/>
        </w:rPr>
        <w:t>Vázquez</w:t>
      </w:r>
      <w:r>
        <w:rPr>
          <w:color w:val="231F20"/>
          <w:spacing w:val="-20"/>
          <w:w w:val="105"/>
        </w:rPr>
        <w:t> </w:t>
      </w:r>
      <w:r>
        <w:rPr>
          <w:color w:val="231F20"/>
          <w:w w:val="105"/>
        </w:rPr>
        <w:t>inicia</w:t>
      </w:r>
      <w:r>
        <w:rPr>
          <w:color w:val="231F20"/>
          <w:spacing w:val="-20"/>
          <w:w w:val="105"/>
        </w:rPr>
        <w:t> </w:t>
      </w:r>
      <w:r>
        <w:rPr>
          <w:color w:val="231F20"/>
          <w:w w:val="105"/>
        </w:rPr>
        <w:t>su</w:t>
      </w:r>
      <w:r>
        <w:rPr>
          <w:color w:val="231F20"/>
          <w:spacing w:val="-20"/>
          <w:w w:val="105"/>
        </w:rPr>
        <w:t> </w:t>
      </w:r>
      <w:r>
        <w:rPr>
          <w:color w:val="231F20"/>
          <w:w w:val="105"/>
        </w:rPr>
        <w:t>gestión</w:t>
      </w:r>
      <w:r>
        <w:rPr>
          <w:color w:val="231F20"/>
          <w:spacing w:val="-20"/>
          <w:w w:val="105"/>
        </w:rPr>
        <w:t> </w:t>
      </w:r>
      <w:r>
        <w:rPr>
          <w:color w:val="231F20"/>
          <w:w w:val="105"/>
        </w:rPr>
        <w:t>busca</w:t>
      </w:r>
      <w:r>
        <w:rPr>
          <w:color w:val="231F20"/>
          <w:spacing w:val="-20"/>
          <w:w w:val="105"/>
        </w:rPr>
        <w:t> </w:t>
      </w:r>
      <w:r>
        <w:rPr>
          <w:color w:val="231F20"/>
          <w:w w:val="105"/>
        </w:rPr>
        <w:t>la</w:t>
      </w:r>
      <w:r>
        <w:rPr>
          <w:color w:val="231F20"/>
          <w:spacing w:val="-20"/>
          <w:w w:val="105"/>
        </w:rPr>
        <w:t> </w:t>
      </w:r>
      <w:r>
        <w:rPr>
          <w:color w:val="231F20"/>
          <w:w w:val="105"/>
        </w:rPr>
        <w:t>unidad</w:t>
      </w:r>
      <w:r>
        <w:rPr>
          <w:color w:val="231F20"/>
          <w:spacing w:val="-20"/>
          <w:w w:val="105"/>
        </w:rPr>
        <w:t> </w:t>
      </w:r>
      <w:r>
        <w:rPr>
          <w:color w:val="231F20"/>
          <w:w w:val="105"/>
        </w:rPr>
        <w:t>con</w:t>
      </w:r>
      <w:r>
        <w:rPr>
          <w:color w:val="231F20"/>
          <w:spacing w:val="-20"/>
          <w:w w:val="105"/>
        </w:rPr>
        <w:t> </w:t>
      </w:r>
      <w:r>
        <w:rPr>
          <w:color w:val="231F20"/>
          <w:w w:val="105"/>
        </w:rPr>
        <w:t>los</w:t>
      </w:r>
      <w:r>
        <w:rPr>
          <w:color w:val="231F20"/>
          <w:spacing w:val="-20"/>
          <w:w w:val="105"/>
        </w:rPr>
        <w:t> </w:t>
      </w:r>
      <w:r>
        <w:rPr>
          <w:color w:val="231F20"/>
          <w:w w:val="105"/>
        </w:rPr>
        <w:t>integrantes</w:t>
      </w:r>
      <w:r>
        <w:rPr>
          <w:color w:val="231F20"/>
          <w:spacing w:val="-20"/>
          <w:w w:val="105"/>
        </w:rPr>
        <w:t> </w:t>
      </w:r>
      <w:r>
        <w:rPr>
          <w:color w:val="231F20"/>
          <w:w w:val="105"/>
        </w:rPr>
        <w:t>del</w:t>
      </w:r>
      <w:r>
        <w:rPr>
          <w:color w:val="231F20"/>
          <w:spacing w:val="-20"/>
          <w:w w:val="105"/>
        </w:rPr>
        <w:t> </w:t>
      </w:r>
      <w:r>
        <w:rPr>
          <w:color w:val="231F20"/>
          <w:w w:val="105"/>
        </w:rPr>
        <w:t>Ayuntamiento. No</w:t>
      </w:r>
      <w:r>
        <w:rPr>
          <w:color w:val="231F20"/>
          <w:spacing w:val="-10"/>
          <w:w w:val="105"/>
        </w:rPr>
        <w:t> </w:t>
      </w:r>
      <w:r>
        <w:rPr>
          <w:color w:val="231F20"/>
          <w:w w:val="105"/>
        </w:rPr>
        <w:t>olvidemos</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w w:val="105"/>
        </w:rPr>
        <w:t>indispensable</w:t>
      </w:r>
      <w:r>
        <w:rPr>
          <w:color w:val="231F20"/>
          <w:spacing w:val="-10"/>
          <w:w w:val="105"/>
        </w:rPr>
        <w:t> </w:t>
      </w:r>
      <w:r>
        <w:rPr>
          <w:color w:val="231F20"/>
          <w:w w:val="105"/>
        </w:rPr>
        <w:t>crear</w:t>
      </w:r>
      <w:r>
        <w:rPr>
          <w:color w:val="231F20"/>
          <w:spacing w:val="-10"/>
          <w:w w:val="105"/>
        </w:rPr>
        <w:t> </w:t>
      </w:r>
      <w:r>
        <w:rPr>
          <w:color w:val="231F20"/>
          <w:w w:val="105"/>
        </w:rPr>
        <w:t>consenso</w:t>
      </w:r>
      <w:r>
        <w:rPr>
          <w:color w:val="231F20"/>
          <w:spacing w:val="-10"/>
          <w:w w:val="105"/>
        </w:rPr>
        <w:t> </w:t>
      </w:r>
      <w:r>
        <w:rPr>
          <w:color w:val="231F20"/>
          <w:w w:val="105"/>
        </w:rPr>
        <w:t>u</w:t>
      </w:r>
      <w:r>
        <w:rPr>
          <w:color w:val="231F20"/>
          <w:spacing w:val="-10"/>
          <w:w w:val="105"/>
        </w:rPr>
        <w:t> </w:t>
      </w:r>
      <w:r>
        <w:rPr>
          <w:color w:val="231F20"/>
          <w:w w:val="105"/>
        </w:rPr>
        <w:t>obtener</w:t>
      </w:r>
      <w:r>
        <w:rPr>
          <w:color w:val="231F20"/>
          <w:spacing w:val="-10"/>
          <w:w w:val="105"/>
        </w:rPr>
        <w:t> </w:t>
      </w:r>
      <w:r>
        <w:rPr>
          <w:color w:val="231F20"/>
          <w:w w:val="105"/>
        </w:rPr>
        <w:t>consentimiento</w:t>
      </w:r>
      <w:r>
        <w:rPr>
          <w:color w:val="231F20"/>
          <w:spacing w:val="-10"/>
          <w:w w:val="105"/>
        </w:rPr>
        <w:t> </w:t>
      </w:r>
      <w:r>
        <w:rPr>
          <w:color w:val="231F20"/>
          <w:w w:val="105"/>
        </w:rPr>
        <w:t>necesario entre los miembros, para poder aterrizar proyectos y conseguir la aprobación de dife- rentes</w:t>
      </w:r>
      <w:r>
        <w:rPr>
          <w:color w:val="231F20"/>
          <w:spacing w:val="-23"/>
          <w:w w:val="105"/>
        </w:rPr>
        <w:t> </w:t>
      </w:r>
      <w:r>
        <w:rPr>
          <w:color w:val="231F20"/>
          <w:w w:val="105"/>
        </w:rPr>
        <w:t>acciones</w:t>
      </w:r>
      <w:r>
        <w:rPr>
          <w:color w:val="231F20"/>
          <w:spacing w:val="-23"/>
          <w:w w:val="105"/>
        </w:rPr>
        <w:t> </w:t>
      </w:r>
      <w:r>
        <w:rPr>
          <w:color w:val="231F20"/>
          <w:w w:val="105"/>
        </w:rPr>
        <w:t>gubernamentales</w:t>
      </w:r>
      <w:r>
        <w:rPr>
          <w:color w:val="231F20"/>
          <w:spacing w:val="-23"/>
          <w:w w:val="105"/>
        </w:rPr>
        <w:t> </w:t>
      </w:r>
      <w:r>
        <w:rPr>
          <w:color w:val="231F20"/>
          <w:w w:val="105"/>
        </w:rPr>
        <w:t>(Sánchez,</w:t>
      </w:r>
      <w:r>
        <w:rPr>
          <w:color w:val="231F20"/>
          <w:spacing w:val="-23"/>
          <w:w w:val="105"/>
        </w:rPr>
        <w:t> </w:t>
      </w:r>
      <w:r>
        <w:rPr>
          <w:color w:val="231F20"/>
          <w:w w:val="105"/>
        </w:rPr>
        <w:t>2002:340);</w:t>
      </w:r>
      <w:r>
        <w:rPr>
          <w:color w:val="231F20"/>
          <w:spacing w:val="-23"/>
          <w:w w:val="105"/>
        </w:rPr>
        <w:t> </w:t>
      </w:r>
      <w:r>
        <w:rPr>
          <w:color w:val="231F20"/>
          <w:w w:val="105"/>
        </w:rPr>
        <w:t>así</w:t>
      </w:r>
      <w:r>
        <w:rPr>
          <w:color w:val="231F20"/>
          <w:spacing w:val="-23"/>
          <w:w w:val="105"/>
        </w:rPr>
        <w:t> </w:t>
      </w:r>
      <w:r>
        <w:rPr>
          <w:color w:val="231F20"/>
          <w:w w:val="105"/>
        </w:rPr>
        <w:t>que</w:t>
      </w:r>
      <w:r>
        <w:rPr>
          <w:color w:val="231F20"/>
          <w:spacing w:val="-23"/>
          <w:w w:val="105"/>
        </w:rPr>
        <w:t> </w:t>
      </w:r>
      <w:r>
        <w:rPr>
          <w:color w:val="231F20"/>
          <w:w w:val="105"/>
        </w:rPr>
        <w:t>empezó</w:t>
      </w:r>
      <w:r>
        <w:rPr>
          <w:color w:val="231F20"/>
          <w:spacing w:val="-23"/>
          <w:w w:val="105"/>
        </w:rPr>
        <w:t> </w:t>
      </w:r>
      <w:r>
        <w:rPr>
          <w:color w:val="231F20"/>
          <w:w w:val="105"/>
        </w:rPr>
        <w:t>con</w:t>
      </w:r>
      <w:r>
        <w:rPr>
          <w:color w:val="231F20"/>
          <w:spacing w:val="-23"/>
          <w:w w:val="105"/>
        </w:rPr>
        <w:t> </w:t>
      </w:r>
      <w:r>
        <w:rPr>
          <w:color w:val="231F20"/>
          <w:w w:val="105"/>
        </w:rPr>
        <w:t>los</w:t>
      </w:r>
      <w:r>
        <w:rPr>
          <w:color w:val="231F20"/>
          <w:spacing w:val="-23"/>
          <w:w w:val="105"/>
        </w:rPr>
        <w:t> </w:t>
      </w:r>
      <w:r>
        <w:rPr>
          <w:color w:val="231F20"/>
          <w:w w:val="105"/>
        </w:rPr>
        <w:t>de</w:t>
      </w:r>
      <w:r>
        <w:rPr>
          <w:color w:val="231F20"/>
          <w:spacing w:val="-23"/>
          <w:w w:val="105"/>
        </w:rPr>
        <w:t> </w:t>
      </w:r>
      <w:r>
        <w:rPr>
          <w:color w:val="231F20"/>
          <w:w w:val="105"/>
        </w:rPr>
        <w:t>su</w:t>
      </w:r>
      <w:r>
        <w:rPr>
          <w:color w:val="231F20"/>
          <w:spacing w:val="-23"/>
          <w:w w:val="105"/>
        </w:rPr>
        <w:t> </w:t>
      </w:r>
      <w:r>
        <w:rPr>
          <w:color w:val="231F20"/>
          <w:w w:val="105"/>
        </w:rPr>
        <w:t>afi- liación política y después con los demás partidos que forman parte del Ayuntamiento. Obtuvo</w:t>
      </w:r>
      <w:r>
        <w:rPr>
          <w:color w:val="231F20"/>
          <w:spacing w:val="-21"/>
          <w:w w:val="105"/>
        </w:rPr>
        <w:t> </w:t>
      </w:r>
      <w:r>
        <w:rPr>
          <w:color w:val="231F20"/>
          <w:w w:val="105"/>
        </w:rPr>
        <w:t>el</w:t>
      </w:r>
      <w:r>
        <w:rPr>
          <w:color w:val="231F20"/>
          <w:spacing w:val="-21"/>
          <w:w w:val="105"/>
        </w:rPr>
        <w:t> </w:t>
      </w:r>
      <w:r>
        <w:rPr>
          <w:color w:val="231F20"/>
          <w:w w:val="105"/>
        </w:rPr>
        <w:t>apoyo</w:t>
      </w:r>
      <w:r>
        <w:rPr>
          <w:color w:val="231F20"/>
          <w:spacing w:val="-21"/>
          <w:w w:val="105"/>
        </w:rPr>
        <w:t> </w:t>
      </w:r>
      <w:r>
        <w:rPr>
          <w:color w:val="231F20"/>
          <w:w w:val="105"/>
        </w:rPr>
        <w:t>del</w:t>
      </w:r>
      <w:r>
        <w:rPr>
          <w:color w:val="231F20"/>
          <w:spacing w:val="-21"/>
          <w:w w:val="105"/>
        </w:rPr>
        <w:t> </w:t>
      </w:r>
      <w:r>
        <w:rPr>
          <w:color w:val="231F20"/>
          <w:w w:val="105"/>
        </w:rPr>
        <w:t>Síndico</w:t>
      </w:r>
      <w:r>
        <w:rPr>
          <w:color w:val="231F20"/>
          <w:spacing w:val="-21"/>
          <w:w w:val="105"/>
        </w:rPr>
        <w:t> </w:t>
      </w:r>
      <w:r>
        <w:rPr>
          <w:color w:val="231F20"/>
          <w:w w:val="105"/>
        </w:rPr>
        <w:t>municipal,</w:t>
      </w:r>
      <w:r>
        <w:rPr>
          <w:color w:val="231F20"/>
          <w:spacing w:val="-21"/>
          <w:w w:val="105"/>
        </w:rPr>
        <w:t> </w:t>
      </w:r>
      <w:r>
        <w:rPr>
          <w:color w:val="231F20"/>
          <w:w w:val="105"/>
        </w:rPr>
        <w:t>4</w:t>
      </w:r>
      <w:r>
        <w:rPr>
          <w:color w:val="231F20"/>
          <w:spacing w:val="-21"/>
          <w:w w:val="105"/>
        </w:rPr>
        <w:t> </w:t>
      </w:r>
      <w:r>
        <w:rPr>
          <w:color w:val="231F20"/>
          <w:w w:val="105"/>
        </w:rPr>
        <w:t>regidores</w:t>
      </w:r>
      <w:r>
        <w:rPr>
          <w:color w:val="231F20"/>
          <w:spacing w:val="-21"/>
          <w:w w:val="105"/>
        </w:rPr>
        <w:t> </w:t>
      </w:r>
      <w:r>
        <w:rPr>
          <w:color w:val="231F20"/>
          <w:w w:val="105"/>
        </w:rPr>
        <w:t>del</w:t>
      </w:r>
      <w:r>
        <w:rPr>
          <w:color w:val="231F20"/>
          <w:spacing w:val="-21"/>
          <w:w w:val="105"/>
        </w:rPr>
        <w:t> </w:t>
      </w:r>
      <w:r>
        <w:rPr>
          <w:color w:val="231F20"/>
          <w:spacing w:val="-3"/>
          <w:w w:val="105"/>
        </w:rPr>
        <w:t>PRD,</w:t>
      </w:r>
      <w:r>
        <w:rPr>
          <w:color w:val="231F20"/>
          <w:spacing w:val="-21"/>
          <w:w w:val="105"/>
        </w:rPr>
        <w:t> </w:t>
      </w:r>
      <w:r>
        <w:rPr>
          <w:color w:val="231F20"/>
          <w:w w:val="105"/>
        </w:rPr>
        <w:t>3</w:t>
      </w:r>
      <w:r>
        <w:rPr>
          <w:color w:val="231F20"/>
          <w:spacing w:val="-21"/>
          <w:w w:val="105"/>
        </w:rPr>
        <w:t> </w:t>
      </w:r>
      <w:r>
        <w:rPr>
          <w:color w:val="231F20"/>
          <w:w w:val="105"/>
        </w:rPr>
        <w:t>de</w:t>
      </w:r>
      <w:r>
        <w:rPr>
          <w:color w:val="231F20"/>
          <w:spacing w:val="-21"/>
          <w:w w:val="105"/>
        </w:rPr>
        <w:t> </w:t>
      </w:r>
      <w:r>
        <w:rPr>
          <w:color w:val="231F20"/>
          <w:spacing w:val="2"/>
          <w:w w:val="105"/>
        </w:rPr>
        <w:t>Alianza</w:t>
      </w:r>
      <w:r>
        <w:rPr>
          <w:color w:val="231F20"/>
          <w:spacing w:val="-21"/>
          <w:w w:val="105"/>
        </w:rPr>
        <w:t> </w:t>
      </w:r>
      <w:r>
        <w:rPr>
          <w:color w:val="231F20"/>
          <w:w w:val="105"/>
        </w:rPr>
        <w:t>por</w:t>
      </w:r>
      <w:r>
        <w:rPr>
          <w:color w:val="231F20"/>
          <w:spacing w:val="-21"/>
          <w:w w:val="105"/>
        </w:rPr>
        <w:t> </w:t>
      </w:r>
      <w:r>
        <w:rPr>
          <w:color w:val="231F20"/>
          <w:w w:val="105"/>
        </w:rPr>
        <w:t>México</w:t>
      </w:r>
      <w:r>
        <w:rPr>
          <w:color w:val="231F20"/>
          <w:spacing w:val="-21"/>
          <w:w w:val="105"/>
        </w:rPr>
        <w:t> </w:t>
      </w:r>
      <w:r>
        <w:rPr>
          <w:color w:val="231F20"/>
          <w:w w:val="105"/>
        </w:rPr>
        <w:t>y 2</w:t>
      </w:r>
      <w:r>
        <w:rPr>
          <w:color w:val="231F20"/>
          <w:spacing w:val="-4"/>
          <w:w w:val="105"/>
        </w:rPr>
        <w:t> </w:t>
      </w:r>
      <w:r>
        <w:rPr>
          <w:color w:val="231F20"/>
          <w:w w:val="105"/>
        </w:rPr>
        <w:t>del</w:t>
      </w:r>
      <w:r>
        <w:rPr>
          <w:color w:val="231F20"/>
          <w:spacing w:val="-4"/>
          <w:w w:val="105"/>
        </w:rPr>
        <w:t> PAN, </w:t>
      </w:r>
      <w:r>
        <w:rPr>
          <w:color w:val="231F20"/>
          <w:w w:val="105"/>
        </w:rPr>
        <w:t>pero</w:t>
      </w:r>
      <w:r>
        <w:rPr>
          <w:color w:val="231F20"/>
          <w:spacing w:val="-4"/>
          <w:w w:val="105"/>
        </w:rPr>
        <w:t> </w:t>
      </w:r>
      <w:r>
        <w:rPr>
          <w:color w:val="231F20"/>
          <w:w w:val="105"/>
        </w:rPr>
        <w:t>sólo</w:t>
      </w:r>
      <w:r>
        <w:rPr>
          <w:color w:val="231F20"/>
          <w:spacing w:val="-4"/>
          <w:w w:val="105"/>
        </w:rPr>
        <w:t> </w:t>
      </w:r>
      <w:r>
        <w:rPr>
          <w:color w:val="231F20"/>
          <w:w w:val="105"/>
        </w:rPr>
        <w:t>por</w:t>
      </w:r>
      <w:r>
        <w:rPr>
          <w:color w:val="231F20"/>
          <w:spacing w:val="-4"/>
          <w:w w:val="105"/>
        </w:rPr>
        <w:t> </w:t>
      </w:r>
      <w:r>
        <w:rPr>
          <w:color w:val="231F20"/>
          <w:w w:val="105"/>
        </w:rPr>
        <w:t>algunos</w:t>
      </w:r>
      <w:r>
        <w:rPr>
          <w:color w:val="231F20"/>
          <w:spacing w:val="-4"/>
          <w:w w:val="105"/>
        </w:rPr>
        <w:t> </w:t>
      </w:r>
      <w:r>
        <w:rPr>
          <w:color w:val="231F20"/>
          <w:w w:val="105"/>
        </w:rPr>
        <w:t>meses.</w:t>
      </w:r>
      <w:r>
        <w:rPr>
          <w:color w:val="231F20"/>
          <w:spacing w:val="-4"/>
          <w:w w:val="105"/>
        </w:rPr>
        <w:t> </w:t>
      </w:r>
      <w:r>
        <w:rPr>
          <w:color w:val="231F20"/>
          <w:w w:val="105"/>
        </w:rPr>
        <w:t>Tiempo</w:t>
      </w:r>
      <w:r>
        <w:rPr>
          <w:color w:val="231F20"/>
          <w:spacing w:val="-4"/>
          <w:w w:val="105"/>
        </w:rPr>
        <w:t> </w:t>
      </w:r>
      <w:r>
        <w:rPr>
          <w:color w:val="231F20"/>
          <w:w w:val="105"/>
        </w:rPr>
        <w:t>después</w:t>
      </w:r>
      <w:r>
        <w:rPr>
          <w:color w:val="231F20"/>
          <w:spacing w:val="-4"/>
          <w:w w:val="105"/>
        </w:rPr>
        <w:t> </w:t>
      </w:r>
      <w:r>
        <w:rPr>
          <w:color w:val="231F20"/>
          <w:w w:val="105"/>
        </w:rPr>
        <w:t>se</w:t>
      </w:r>
      <w:r>
        <w:rPr>
          <w:color w:val="231F20"/>
          <w:spacing w:val="-4"/>
          <w:w w:val="105"/>
        </w:rPr>
        <w:t> </w:t>
      </w:r>
      <w:r>
        <w:rPr>
          <w:color w:val="231F20"/>
          <w:w w:val="105"/>
        </w:rPr>
        <w:t>quebrantan</w:t>
      </w:r>
      <w:r>
        <w:rPr>
          <w:color w:val="231F20"/>
          <w:spacing w:val="-4"/>
          <w:w w:val="105"/>
        </w:rPr>
        <w:t> </w:t>
      </w:r>
      <w:r>
        <w:rPr>
          <w:color w:val="231F20"/>
          <w:w w:val="105"/>
        </w:rPr>
        <w:t>las</w:t>
      </w:r>
      <w:r>
        <w:rPr>
          <w:color w:val="231F20"/>
          <w:spacing w:val="-4"/>
          <w:w w:val="105"/>
        </w:rPr>
        <w:t> </w:t>
      </w:r>
      <w:r>
        <w:rPr>
          <w:color w:val="231F20"/>
          <w:w w:val="105"/>
        </w:rPr>
        <w:t>relaciones con</w:t>
      </w:r>
      <w:r>
        <w:rPr>
          <w:color w:val="231F20"/>
          <w:spacing w:val="-24"/>
          <w:w w:val="105"/>
        </w:rPr>
        <w:t> </w:t>
      </w:r>
      <w:r>
        <w:rPr>
          <w:color w:val="231F20"/>
          <w:w w:val="105"/>
        </w:rPr>
        <w:t>el</w:t>
      </w:r>
      <w:r>
        <w:rPr>
          <w:color w:val="231F20"/>
          <w:spacing w:val="-24"/>
          <w:w w:val="105"/>
        </w:rPr>
        <w:t> </w:t>
      </w:r>
      <w:r>
        <w:rPr>
          <w:color w:val="231F20"/>
          <w:w w:val="105"/>
        </w:rPr>
        <w:t>Síndico</w:t>
      </w:r>
      <w:r>
        <w:rPr>
          <w:color w:val="231F20"/>
          <w:spacing w:val="-24"/>
          <w:w w:val="105"/>
        </w:rPr>
        <w:t> </w:t>
      </w:r>
      <w:r>
        <w:rPr>
          <w:color w:val="231F20"/>
          <w:w w:val="105"/>
        </w:rPr>
        <w:t>y</w:t>
      </w:r>
      <w:r>
        <w:rPr>
          <w:color w:val="231F20"/>
          <w:spacing w:val="-24"/>
          <w:w w:val="105"/>
        </w:rPr>
        <w:t> </w:t>
      </w:r>
      <w:r>
        <w:rPr>
          <w:color w:val="231F20"/>
          <w:w w:val="105"/>
        </w:rPr>
        <w:t>2</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regidores</w:t>
      </w:r>
      <w:r>
        <w:rPr>
          <w:color w:val="231F20"/>
          <w:spacing w:val="-24"/>
          <w:w w:val="105"/>
        </w:rPr>
        <w:t> </w:t>
      </w:r>
      <w:r>
        <w:rPr>
          <w:color w:val="231F20"/>
          <w:w w:val="105"/>
        </w:rPr>
        <w:t>del</w:t>
      </w:r>
      <w:r>
        <w:rPr>
          <w:color w:val="231F20"/>
          <w:spacing w:val="-24"/>
          <w:w w:val="105"/>
        </w:rPr>
        <w:t> </w:t>
      </w:r>
      <w:r>
        <w:rPr>
          <w:color w:val="231F20"/>
          <w:spacing w:val="-3"/>
          <w:w w:val="105"/>
        </w:rPr>
        <w:t>PRD,</w:t>
      </w:r>
      <w:r>
        <w:rPr>
          <w:color w:val="231F20"/>
          <w:spacing w:val="-24"/>
          <w:w w:val="105"/>
        </w:rPr>
        <w:t> </w:t>
      </w:r>
      <w:r>
        <w:rPr>
          <w:color w:val="231F20"/>
          <w:w w:val="105"/>
        </w:rPr>
        <w:t>quedando</w:t>
      </w:r>
      <w:r>
        <w:rPr>
          <w:color w:val="231F20"/>
          <w:spacing w:val="-24"/>
          <w:w w:val="105"/>
        </w:rPr>
        <w:t> </w:t>
      </w:r>
      <w:r>
        <w:rPr>
          <w:color w:val="231F20"/>
          <w:w w:val="105"/>
        </w:rPr>
        <w:t>así</w:t>
      </w:r>
      <w:r>
        <w:rPr>
          <w:color w:val="231F20"/>
          <w:spacing w:val="-24"/>
          <w:w w:val="105"/>
        </w:rPr>
        <w:t> </w:t>
      </w:r>
      <w:r>
        <w:rPr>
          <w:color w:val="231F20"/>
          <w:w w:val="105"/>
        </w:rPr>
        <w:t>fracturada</w:t>
      </w:r>
      <w:r>
        <w:rPr>
          <w:color w:val="231F20"/>
          <w:spacing w:val="-24"/>
          <w:w w:val="105"/>
        </w:rPr>
        <w:t> </w:t>
      </w:r>
      <w:r>
        <w:rPr>
          <w:color w:val="231F20"/>
          <w:w w:val="105"/>
        </w:rPr>
        <w:t>la</w:t>
      </w:r>
      <w:r>
        <w:rPr>
          <w:color w:val="231F20"/>
          <w:spacing w:val="-24"/>
          <w:w w:val="105"/>
        </w:rPr>
        <w:t> </w:t>
      </w:r>
      <w:r>
        <w:rPr>
          <w:color w:val="231F20"/>
          <w:w w:val="105"/>
        </w:rPr>
        <w:t>relación</w:t>
      </w:r>
      <w:r>
        <w:rPr>
          <w:color w:val="231F20"/>
          <w:spacing w:val="-24"/>
          <w:w w:val="105"/>
        </w:rPr>
        <w:t> </w:t>
      </w:r>
      <w:r>
        <w:rPr>
          <w:color w:val="231F20"/>
          <w:w w:val="105"/>
        </w:rPr>
        <w:t>con</w:t>
      </w:r>
      <w:r>
        <w:rPr>
          <w:color w:val="231F20"/>
          <w:spacing w:val="-24"/>
          <w:w w:val="105"/>
        </w:rPr>
        <w:t> </w:t>
      </w:r>
      <w:r>
        <w:rPr>
          <w:color w:val="231F20"/>
          <w:w w:val="105"/>
        </w:rPr>
        <w:t>parte de</w:t>
      </w:r>
      <w:r>
        <w:rPr>
          <w:color w:val="231F20"/>
          <w:spacing w:val="-10"/>
          <w:w w:val="105"/>
        </w:rPr>
        <w:t> </w:t>
      </w:r>
      <w:r>
        <w:rPr>
          <w:color w:val="231F20"/>
          <w:w w:val="105"/>
        </w:rPr>
        <w:t>los</w:t>
      </w:r>
      <w:r>
        <w:rPr>
          <w:color w:val="231F20"/>
          <w:spacing w:val="-10"/>
          <w:w w:val="105"/>
        </w:rPr>
        <w:t> </w:t>
      </w:r>
      <w:r>
        <w:rPr>
          <w:color w:val="231F20"/>
          <w:w w:val="105"/>
        </w:rPr>
        <w:t>integrantes</w:t>
      </w:r>
      <w:r>
        <w:rPr>
          <w:color w:val="231F20"/>
          <w:spacing w:val="-10"/>
          <w:w w:val="105"/>
        </w:rPr>
        <w:t> </w:t>
      </w:r>
      <w:r>
        <w:rPr>
          <w:color w:val="231F20"/>
          <w:w w:val="105"/>
        </w:rPr>
        <w:t>del</w:t>
      </w:r>
      <w:r>
        <w:rPr>
          <w:color w:val="231F20"/>
          <w:spacing w:val="-10"/>
          <w:w w:val="105"/>
        </w:rPr>
        <w:t> </w:t>
      </w:r>
      <w:r>
        <w:rPr>
          <w:color w:val="231F20"/>
          <w:w w:val="105"/>
        </w:rPr>
        <w:t>partido</w:t>
      </w:r>
      <w:r>
        <w:rPr>
          <w:color w:val="231F20"/>
          <w:spacing w:val="-10"/>
          <w:w w:val="105"/>
        </w:rPr>
        <w:t> </w:t>
      </w:r>
      <w:r>
        <w:rPr>
          <w:color w:val="231F20"/>
          <w:w w:val="105"/>
        </w:rPr>
        <w:t>que</w:t>
      </w:r>
      <w:r>
        <w:rPr>
          <w:color w:val="231F20"/>
          <w:spacing w:val="-10"/>
          <w:w w:val="105"/>
        </w:rPr>
        <w:t> </w:t>
      </w:r>
      <w:r>
        <w:rPr>
          <w:color w:val="231F20"/>
          <w:w w:val="105"/>
        </w:rPr>
        <w:t>lo</w:t>
      </w:r>
      <w:r>
        <w:rPr>
          <w:color w:val="231F20"/>
          <w:spacing w:val="-10"/>
          <w:w w:val="105"/>
        </w:rPr>
        <w:t> </w:t>
      </w:r>
      <w:r>
        <w:rPr>
          <w:color w:val="231F20"/>
          <w:w w:val="105"/>
        </w:rPr>
        <w:t>llevó</w:t>
      </w:r>
      <w:r>
        <w:rPr>
          <w:color w:val="231F20"/>
          <w:spacing w:val="-10"/>
          <w:w w:val="105"/>
        </w:rPr>
        <w:t> </w:t>
      </w:r>
      <w:r>
        <w:rPr>
          <w:color w:val="231F20"/>
          <w:spacing w:val="2"/>
          <w:w w:val="105"/>
        </w:rPr>
        <w:t>al</w:t>
      </w:r>
      <w:r>
        <w:rPr>
          <w:color w:val="231F20"/>
          <w:spacing w:val="-10"/>
          <w:w w:val="105"/>
        </w:rPr>
        <w:t> </w:t>
      </w:r>
      <w:r>
        <w:rPr>
          <w:color w:val="231F20"/>
          <w:spacing w:val="-3"/>
          <w:w w:val="105"/>
        </w:rPr>
        <w:t>gobierno.</w:t>
      </w:r>
      <w:r>
        <w:rPr>
          <w:color w:val="231F20"/>
          <w:spacing w:val="-10"/>
          <w:w w:val="105"/>
        </w:rPr>
        <w:t> </w:t>
      </w: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conserva</w:t>
      </w:r>
      <w:r>
        <w:rPr>
          <w:color w:val="231F20"/>
          <w:spacing w:val="-10"/>
          <w:w w:val="105"/>
        </w:rPr>
        <w:t> </w:t>
      </w:r>
      <w:r>
        <w:rPr>
          <w:color w:val="231F20"/>
          <w:w w:val="105"/>
        </w:rPr>
        <w:t>la</w:t>
      </w:r>
      <w:r>
        <w:rPr>
          <w:color w:val="231F20"/>
          <w:spacing w:val="-10"/>
          <w:w w:val="105"/>
        </w:rPr>
        <w:t> </w:t>
      </w:r>
      <w:r>
        <w:rPr>
          <w:color w:val="231F20"/>
          <w:w w:val="105"/>
        </w:rPr>
        <w:t>unidad con</w:t>
      </w:r>
      <w:r>
        <w:rPr>
          <w:color w:val="231F20"/>
          <w:spacing w:val="-16"/>
          <w:w w:val="105"/>
        </w:rPr>
        <w:t> </w:t>
      </w:r>
      <w:r>
        <w:rPr>
          <w:color w:val="231F20"/>
          <w:w w:val="105"/>
        </w:rPr>
        <w:t>los</w:t>
      </w:r>
      <w:r>
        <w:rPr>
          <w:color w:val="231F20"/>
          <w:spacing w:val="-16"/>
          <w:w w:val="105"/>
        </w:rPr>
        <w:t> </w:t>
      </w:r>
      <w:r>
        <w:rPr>
          <w:color w:val="231F20"/>
          <w:w w:val="105"/>
        </w:rPr>
        <w:t>integrantes</w:t>
      </w:r>
      <w:r>
        <w:rPr>
          <w:color w:val="231F20"/>
          <w:spacing w:val="-16"/>
          <w:w w:val="105"/>
        </w:rPr>
        <w:t> </w:t>
      </w:r>
      <w:r>
        <w:rPr>
          <w:color w:val="231F20"/>
          <w:w w:val="105"/>
        </w:rPr>
        <w:t>de</w:t>
      </w:r>
      <w:r>
        <w:rPr>
          <w:color w:val="231F20"/>
          <w:spacing w:val="-16"/>
          <w:w w:val="105"/>
        </w:rPr>
        <w:t> </w:t>
      </w:r>
      <w:r>
        <w:rPr>
          <w:color w:val="231F20"/>
          <w:spacing w:val="2"/>
          <w:w w:val="105"/>
        </w:rPr>
        <w:t>Alianza</w:t>
      </w:r>
      <w:r>
        <w:rPr>
          <w:color w:val="231F20"/>
          <w:spacing w:val="-16"/>
          <w:w w:val="105"/>
        </w:rPr>
        <w:t> </w:t>
      </w:r>
      <w:r>
        <w:rPr>
          <w:color w:val="231F20"/>
          <w:w w:val="105"/>
        </w:rPr>
        <w:t>por</w:t>
      </w:r>
      <w:r>
        <w:rPr>
          <w:color w:val="231F20"/>
          <w:spacing w:val="-16"/>
          <w:w w:val="105"/>
        </w:rPr>
        <w:t> </w:t>
      </w:r>
      <w:r>
        <w:rPr>
          <w:color w:val="231F20"/>
          <w:w w:val="105"/>
        </w:rPr>
        <w:t>México</w:t>
      </w:r>
      <w:r>
        <w:rPr>
          <w:color w:val="231F20"/>
          <w:spacing w:val="-16"/>
          <w:w w:val="105"/>
        </w:rPr>
        <w:t> </w:t>
      </w:r>
      <w:r>
        <w:rPr>
          <w:color w:val="231F20"/>
          <w:w w:val="105"/>
        </w:rPr>
        <w:t>y</w:t>
      </w:r>
      <w:r>
        <w:rPr>
          <w:color w:val="231F20"/>
          <w:spacing w:val="-16"/>
          <w:w w:val="105"/>
        </w:rPr>
        <w:t> </w:t>
      </w:r>
      <w:r>
        <w:rPr>
          <w:color w:val="231F20"/>
          <w:spacing w:val="-4"/>
          <w:w w:val="105"/>
        </w:rPr>
        <w:t>PAN.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Es</w:t>
      </w:r>
      <w:r>
        <w:rPr>
          <w:color w:val="231F20"/>
          <w:spacing w:val="-26"/>
          <w:w w:val="105"/>
        </w:rPr>
        <w:t> </w:t>
      </w:r>
      <w:r>
        <w:rPr>
          <w:color w:val="231F20"/>
          <w:w w:val="105"/>
        </w:rPr>
        <w:t>en</w:t>
      </w:r>
      <w:r>
        <w:rPr>
          <w:color w:val="231F20"/>
          <w:spacing w:val="-26"/>
          <w:w w:val="105"/>
        </w:rPr>
        <w:t> </w:t>
      </w:r>
      <w:r>
        <w:rPr>
          <w:color w:val="231F20"/>
          <w:spacing w:val="-4"/>
          <w:w w:val="105"/>
        </w:rPr>
        <w:t>Diciembre</w:t>
      </w:r>
      <w:r>
        <w:rPr>
          <w:color w:val="231F20"/>
          <w:spacing w:val="-26"/>
          <w:w w:val="105"/>
        </w:rPr>
        <w:t> </w:t>
      </w:r>
      <w:r>
        <w:rPr>
          <w:color w:val="231F20"/>
          <w:spacing w:val="-3"/>
          <w:w w:val="105"/>
        </w:rPr>
        <w:t>del</w:t>
      </w:r>
      <w:r>
        <w:rPr>
          <w:color w:val="231F20"/>
          <w:spacing w:val="-26"/>
          <w:w w:val="105"/>
        </w:rPr>
        <w:t> </w:t>
      </w:r>
      <w:r>
        <w:rPr>
          <w:color w:val="231F20"/>
          <w:w w:val="105"/>
        </w:rPr>
        <w:t>2008</w:t>
      </w:r>
      <w:r>
        <w:rPr>
          <w:color w:val="231F20"/>
          <w:spacing w:val="-26"/>
          <w:w w:val="105"/>
        </w:rPr>
        <w:t> </w:t>
      </w:r>
      <w:r>
        <w:rPr>
          <w:color w:val="231F20"/>
          <w:w w:val="105"/>
        </w:rPr>
        <w:t>cuando</w:t>
      </w:r>
      <w:r>
        <w:rPr>
          <w:color w:val="231F20"/>
          <w:spacing w:val="-26"/>
          <w:w w:val="105"/>
        </w:rPr>
        <w:t> </w:t>
      </w:r>
      <w:r>
        <w:rPr>
          <w:color w:val="231F20"/>
          <w:w w:val="105"/>
        </w:rPr>
        <w:t>el</w:t>
      </w:r>
      <w:r>
        <w:rPr>
          <w:color w:val="231F20"/>
          <w:spacing w:val="-26"/>
          <w:w w:val="105"/>
        </w:rPr>
        <w:t> </w:t>
      </w:r>
      <w:r>
        <w:rPr>
          <w:color w:val="231F20"/>
          <w:spacing w:val="-4"/>
          <w:w w:val="105"/>
        </w:rPr>
        <w:t>Presidente</w:t>
      </w:r>
      <w:r>
        <w:rPr>
          <w:color w:val="231F20"/>
          <w:spacing w:val="-26"/>
          <w:w w:val="105"/>
        </w:rPr>
        <w:t> </w:t>
      </w:r>
      <w:r>
        <w:rPr>
          <w:color w:val="231F20"/>
          <w:w w:val="105"/>
        </w:rPr>
        <w:t>municipal</w:t>
      </w:r>
      <w:r>
        <w:rPr>
          <w:color w:val="231F20"/>
          <w:spacing w:val="-26"/>
          <w:w w:val="105"/>
        </w:rPr>
        <w:t> </w:t>
      </w:r>
      <w:r>
        <w:rPr>
          <w:color w:val="231F20"/>
          <w:spacing w:val="-3"/>
          <w:w w:val="105"/>
        </w:rPr>
        <w:t>decide</w:t>
      </w:r>
      <w:r>
        <w:rPr>
          <w:color w:val="231F20"/>
          <w:spacing w:val="-26"/>
          <w:w w:val="105"/>
        </w:rPr>
        <w:t> </w:t>
      </w:r>
      <w:r>
        <w:rPr>
          <w:color w:val="231F20"/>
          <w:spacing w:val="-2"/>
          <w:w w:val="105"/>
        </w:rPr>
        <w:t>dejar</w:t>
      </w:r>
      <w:r>
        <w:rPr>
          <w:color w:val="231F20"/>
          <w:spacing w:val="-26"/>
          <w:w w:val="105"/>
        </w:rPr>
        <w:t> </w:t>
      </w:r>
      <w:r>
        <w:rPr>
          <w:color w:val="231F20"/>
          <w:w w:val="105"/>
        </w:rPr>
        <w:t>las</w:t>
      </w:r>
      <w:r>
        <w:rPr>
          <w:color w:val="231F20"/>
          <w:spacing w:val="-26"/>
          <w:w w:val="105"/>
        </w:rPr>
        <w:t> </w:t>
      </w:r>
      <w:r>
        <w:rPr>
          <w:color w:val="231F20"/>
          <w:w w:val="105"/>
        </w:rPr>
        <w:t>filas</w:t>
      </w:r>
      <w:r>
        <w:rPr>
          <w:color w:val="231F20"/>
          <w:spacing w:val="-26"/>
          <w:w w:val="105"/>
        </w:rPr>
        <w:t> </w:t>
      </w:r>
      <w:r>
        <w:rPr>
          <w:color w:val="231F20"/>
          <w:w w:val="105"/>
        </w:rPr>
        <w:t>perredistas y</w:t>
      </w:r>
      <w:r>
        <w:rPr>
          <w:color w:val="231F20"/>
          <w:spacing w:val="-17"/>
          <w:w w:val="105"/>
        </w:rPr>
        <w:t> </w:t>
      </w:r>
      <w:r>
        <w:rPr>
          <w:color w:val="231F20"/>
          <w:w w:val="105"/>
        </w:rPr>
        <w:t>se</w:t>
      </w:r>
      <w:r>
        <w:rPr>
          <w:color w:val="231F20"/>
          <w:spacing w:val="-17"/>
          <w:w w:val="105"/>
        </w:rPr>
        <w:t> </w:t>
      </w:r>
      <w:r>
        <w:rPr>
          <w:color w:val="231F20"/>
          <w:w w:val="105"/>
        </w:rPr>
        <w:t>anexa</w:t>
      </w:r>
      <w:r>
        <w:rPr>
          <w:color w:val="231F20"/>
          <w:spacing w:val="-17"/>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filas</w:t>
      </w:r>
      <w:r>
        <w:rPr>
          <w:color w:val="231F20"/>
          <w:spacing w:val="-17"/>
          <w:w w:val="105"/>
        </w:rPr>
        <w:t> </w:t>
      </w:r>
      <w:r>
        <w:rPr>
          <w:color w:val="231F20"/>
          <w:spacing w:val="-3"/>
          <w:w w:val="105"/>
        </w:rPr>
        <w:t>del</w:t>
      </w:r>
      <w:r>
        <w:rPr>
          <w:color w:val="231F20"/>
          <w:spacing w:val="-17"/>
          <w:w w:val="105"/>
        </w:rPr>
        <w:t> </w:t>
      </w:r>
      <w:r>
        <w:rPr>
          <w:color w:val="231F20"/>
          <w:w w:val="105"/>
        </w:rPr>
        <w:t>partido</w:t>
      </w:r>
      <w:r>
        <w:rPr>
          <w:color w:val="231F20"/>
          <w:spacing w:val="-17"/>
          <w:w w:val="105"/>
        </w:rPr>
        <w:t> </w:t>
      </w:r>
      <w:r>
        <w:rPr>
          <w:color w:val="231F20"/>
          <w:spacing w:val="-4"/>
          <w:w w:val="105"/>
        </w:rPr>
        <w:t>Convergencia-</w:t>
      </w:r>
      <w:r>
        <w:rPr>
          <w:color w:val="231F20"/>
          <w:spacing w:val="-17"/>
          <w:w w:val="105"/>
        </w:rPr>
        <w:t> </w:t>
      </w:r>
      <w:r>
        <w:rPr>
          <w:color w:val="231F20"/>
          <w:w w:val="105"/>
        </w:rPr>
        <w:t>resaltamos</w:t>
      </w:r>
      <w:r>
        <w:rPr>
          <w:color w:val="231F20"/>
          <w:spacing w:val="-17"/>
          <w:w w:val="105"/>
        </w:rPr>
        <w:t> </w:t>
      </w:r>
      <w:r>
        <w:rPr>
          <w:color w:val="231F20"/>
          <w:spacing w:val="-3"/>
          <w:w w:val="105"/>
        </w:rPr>
        <w:t>que</w:t>
      </w:r>
      <w:r>
        <w:rPr>
          <w:color w:val="231F20"/>
          <w:spacing w:val="-17"/>
          <w:w w:val="105"/>
        </w:rPr>
        <w:t> </w:t>
      </w:r>
      <w:r>
        <w:rPr>
          <w:color w:val="231F20"/>
          <w:w w:val="105"/>
        </w:rPr>
        <w:t>es</w:t>
      </w:r>
      <w:r>
        <w:rPr>
          <w:color w:val="231F20"/>
          <w:spacing w:val="-17"/>
          <w:w w:val="105"/>
        </w:rPr>
        <w:t> </w:t>
      </w:r>
      <w:r>
        <w:rPr>
          <w:color w:val="231F20"/>
          <w:w w:val="105"/>
        </w:rPr>
        <w:t>la</w:t>
      </w:r>
      <w:r>
        <w:rPr>
          <w:color w:val="231F20"/>
          <w:spacing w:val="-17"/>
          <w:w w:val="105"/>
        </w:rPr>
        <w:t> </w:t>
      </w:r>
      <w:r>
        <w:rPr>
          <w:color w:val="231F20"/>
          <w:w w:val="105"/>
        </w:rPr>
        <w:t>primera</w:t>
      </w:r>
      <w:r>
        <w:rPr>
          <w:color w:val="231F20"/>
          <w:spacing w:val="-17"/>
          <w:w w:val="105"/>
        </w:rPr>
        <w:t> </w:t>
      </w:r>
      <w:r>
        <w:rPr>
          <w:color w:val="231F20"/>
          <w:spacing w:val="-3"/>
          <w:w w:val="105"/>
        </w:rPr>
        <w:t>vez</w:t>
      </w:r>
      <w:r>
        <w:rPr>
          <w:color w:val="231F20"/>
          <w:spacing w:val="-17"/>
          <w:w w:val="105"/>
        </w:rPr>
        <w:t> </w:t>
      </w:r>
      <w:r>
        <w:rPr>
          <w:color w:val="231F20"/>
          <w:spacing w:val="-3"/>
          <w:w w:val="105"/>
        </w:rPr>
        <w:t>que</w:t>
      </w:r>
      <w:r>
        <w:rPr>
          <w:color w:val="231F20"/>
          <w:spacing w:val="-17"/>
          <w:w w:val="105"/>
        </w:rPr>
        <w:t> </w:t>
      </w:r>
      <w:r>
        <w:rPr>
          <w:color w:val="231F20"/>
          <w:spacing w:val="-3"/>
          <w:w w:val="105"/>
        </w:rPr>
        <w:t>ocu- </w:t>
      </w:r>
      <w:r>
        <w:rPr>
          <w:color w:val="231F20"/>
          <w:w w:val="105"/>
        </w:rPr>
        <w:t>rre</w:t>
      </w:r>
      <w:r>
        <w:rPr>
          <w:color w:val="231F20"/>
          <w:spacing w:val="-12"/>
          <w:w w:val="105"/>
        </w:rPr>
        <w:t> </w:t>
      </w:r>
      <w:r>
        <w:rPr>
          <w:color w:val="231F20"/>
          <w:w w:val="105"/>
        </w:rPr>
        <w:t>este</w:t>
      </w:r>
      <w:r>
        <w:rPr>
          <w:color w:val="231F20"/>
          <w:spacing w:val="-11"/>
          <w:w w:val="105"/>
        </w:rPr>
        <w:t> </w:t>
      </w:r>
      <w:r>
        <w:rPr>
          <w:color w:val="231F20"/>
          <w:spacing w:val="-3"/>
          <w:w w:val="105"/>
        </w:rPr>
        <w:t>acontecimiento</w:t>
      </w:r>
      <w:r>
        <w:rPr>
          <w:color w:val="231F20"/>
          <w:spacing w:val="-12"/>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spacing w:val="-3"/>
          <w:w w:val="105"/>
        </w:rPr>
        <w:t>Municipio</w:t>
      </w:r>
      <w:r>
        <w:rPr>
          <w:color w:val="231F20"/>
          <w:spacing w:val="-12"/>
          <w:w w:val="105"/>
        </w:rPr>
        <w:t> </w:t>
      </w:r>
      <w:r>
        <w:rPr>
          <w:color w:val="231F20"/>
          <w:w w:val="105"/>
        </w:rPr>
        <w:t>de</w:t>
      </w:r>
      <w:r>
        <w:rPr>
          <w:color w:val="231F20"/>
          <w:spacing w:val="-12"/>
          <w:w w:val="105"/>
        </w:rPr>
        <w:t> </w:t>
      </w:r>
      <w:r>
        <w:rPr>
          <w:color w:val="231F20"/>
          <w:w w:val="105"/>
        </w:rPr>
        <w:t>Chalco-</w:t>
      </w:r>
      <w:r>
        <w:rPr>
          <w:color w:val="231F20"/>
          <w:spacing w:val="-12"/>
          <w:w w:val="105"/>
        </w:rPr>
        <w:t> </w:t>
      </w:r>
      <w:r>
        <w:rPr>
          <w:color w:val="231F20"/>
          <w:spacing w:val="-4"/>
          <w:w w:val="105"/>
        </w:rPr>
        <w:t>debido</w:t>
      </w:r>
      <w:r>
        <w:rPr>
          <w:color w:val="231F20"/>
          <w:spacing w:val="-12"/>
          <w:w w:val="105"/>
        </w:rPr>
        <w:t> </w:t>
      </w:r>
      <w:r>
        <w:rPr>
          <w:color w:val="231F20"/>
          <w:w w:val="105"/>
        </w:rPr>
        <w:t>a</w:t>
      </w:r>
      <w:r>
        <w:rPr>
          <w:color w:val="231F20"/>
          <w:spacing w:val="-12"/>
          <w:w w:val="105"/>
        </w:rPr>
        <w:t> </w:t>
      </w:r>
      <w:r>
        <w:rPr>
          <w:color w:val="231F20"/>
          <w:spacing w:val="-3"/>
          <w:w w:val="105"/>
        </w:rPr>
        <w:t>que</w:t>
      </w:r>
      <w:r>
        <w:rPr>
          <w:color w:val="231F20"/>
          <w:spacing w:val="-12"/>
          <w:w w:val="105"/>
        </w:rPr>
        <w:t> </w:t>
      </w:r>
      <w:r>
        <w:rPr>
          <w:color w:val="231F20"/>
          <w:spacing w:val="-3"/>
          <w:w w:val="105"/>
        </w:rPr>
        <w:t>desde</w:t>
      </w:r>
      <w:r>
        <w:rPr>
          <w:color w:val="231F20"/>
          <w:spacing w:val="-12"/>
          <w:w w:val="105"/>
        </w:rPr>
        <w:t> </w:t>
      </w:r>
      <w:r>
        <w:rPr>
          <w:color w:val="231F20"/>
          <w:w w:val="105"/>
        </w:rPr>
        <w:t>el</w:t>
      </w:r>
      <w:r>
        <w:rPr>
          <w:color w:val="231F20"/>
          <w:spacing w:val="-12"/>
          <w:w w:val="105"/>
        </w:rPr>
        <w:t> </w:t>
      </w:r>
      <w:r>
        <w:rPr>
          <w:color w:val="231F20"/>
          <w:w w:val="105"/>
        </w:rPr>
        <w:t>inicio</w:t>
      </w:r>
      <w:r>
        <w:rPr>
          <w:color w:val="231F20"/>
          <w:spacing w:val="-11"/>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4"/>
          <w:w w:val="105"/>
        </w:rPr>
        <w:t>ad- </w:t>
      </w:r>
      <w:r>
        <w:rPr>
          <w:color w:val="231F20"/>
          <w:w w:val="105"/>
        </w:rPr>
        <w:t>ministración</w:t>
      </w:r>
      <w:r>
        <w:rPr>
          <w:color w:val="231F20"/>
          <w:spacing w:val="-12"/>
          <w:w w:val="105"/>
        </w:rPr>
        <w:t> </w:t>
      </w:r>
      <w:r>
        <w:rPr>
          <w:color w:val="231F20"/>
          <w:w w:val="105"/>
        </w:rPr>
        <w:t>se</w:t>
      </w:r>
      <w:r>
        <w:rPr>
          <w:color w:val="231F20"/>
          <w:spacing w:val="-12"/>
          <w:w w:val="105"/>
        </w:rPr>
        <w:t> </w:t>
      </w:r>
      <w:r>
        <w:rPr>
          <w:color w:val="231F20"/>
          <w:spacing w:val="-3"/>
          <w:w w:val="105"/>
        </w:rPr>
        <w:t>empiezan</w:t>
      </w:r>
      <w:r>
        <w:rPr>
          <w:color w:val="231F20"/>
          <w:spacing w:val="-12"/>
          <w:w w:val="105"/>
        </w:rPr>
        <w:t> </w:t>
      </w:r>
      <w:r>
        <w:rPr>
          <w:color w:val="231F20"/>
          <w:w w:val="105"/>
        </w:rPr>
        <w:t>a</w:t>
      </w:r>
      <w:r>
        <w:rPr>
          <w:color w:val="231F20"/>
          <w:spacing w:val="-12"/>
          <w:w w:val="105"/>
        </w:rPr>
        <w:t> </w:t>
      </w:r>
      <w:r>
        <w:rPr>
          <w:color w:val="231F20"/>
          <w:w w:val="105"/>
        </w:rPr>
        <w:t>quebrantar</w:t>
      </w:r>
      <w:r>
        <w:rPr>
          <w:color w:val="231F20"/>
          <w:spacing w:val="-12"/>
          <w:w w:val="105"/>
        </w:rPr>
        <w:t> </w:t>
      </w:r>
      <w:r>
        <w:rPr>
          <w:color w:val="231F20"/>
          <w:w w:val="105"/>
        </w:rPr>
        <w:t>las</w:t>
      </w:r>
      <w:r>
        <w:rPr>
          <w:color w:val="231F20"/>
          <w:spacing w:val="-12"/>
          <w:w w:val="105"/>
        </w:rPr>
        <w:t> </w:t>
      </w:r>
      <w:r>
        <w:rPr>
          <w:color w:val="231F20"/>
          <w:spacing w:val="-4"/>
          <w:w w:val="105"/>
        </w:rPr>
        <w:t>relaciones</w:t>
      </w:r>
      <w:r>
        <w:rPr>
          <w:color w:val="231F20"/>
          <w:spacing w:val="-12"/>
          <w:w w:val="105"/>
        </w:rPr>
        <w:t> </w:t>
      </w:r>
      <w:r>
        <w:rPr>
          <w:color w:val="231F20"/>
          <w:spacing w:val="-3"/>
          <w:w w:val="105"/>
        </w:rPr>
        <w:t>con</w:t>
      </w:r>
      <w:r>
        <w:rPr>
          <w:color w:val="231F20"/>
          <w:spacing w:val="-12"/>
          <w:w w:val="105"/>
        </w:rPr>
        <w:t> </w:t>
      </w:r>
      <w:r>
        <w:rPr>
          <w:color w:val="231F20"/>
          <w:spacing w:val="-3"/>
          <w:w w:val="105"/>
        </w:rPr>
        <w:t>los</w:t>
      </w:r>
      <w:r>
        <w:rPr>
          <w:color w:val="231F20"/>
          <w:spacing w:val="-12"/>
          <w:w w:val="105"/>
        </w:rPr>
        <w:t> </w:t>
      </w:r>
      <w:r>
        <w:rPr>
          <w:color w:val="231F20"/>
          <w:w w:val="105"/>
        </w:rPr>
        <w:t>demás</w:t>
      </w:r>
      <w:r>
        <w:rPr>
          <w:color w:val="231F20"/>
          <w:spacing w:val="-12"/>
          <w:w w:val="105"/>
        </w:rPr>
        <w:t> </w:t>
      </w:r>
      <w:r>
        <w:rPr>
          <w:color w:val="231F20"/>
          <w:w w:val="105"/>
        </w:rPr>
        <w:t>grupos</w:t>
      </w:r>
      <w:r>
        <w:rPr>
          <w:color w:val="231F20"/>
          <w:spacing w:val="-12"/>
          <w:w w:val="105"/>
        </w:rPr>
        <w:t> </w:t>
      </w:r>
      <w:r>
        <w:rPr>
          <w:color w:val="231F20"/>
          <w:spacing w:val="-3"/>
          <w:w w:val="105"/>
        </w:rPr>
        <w:t>políticos</w:t>
      </w:r>
      <w:r>
        <w:rPr>
          <w:color w:val="231F20"/>
          <w:spacing w:val="-12"/>
          <w:w w:val="105"/>
        </w:rPr>
        <w:t> </w:t>
      </w:r>
      <w:r>
        <w:rPr>
          <w:color w:val="231F20"/>
          <w:spacing w:val="-3"/>
          <w:w w:val="105"/>
        </w:rPr>
        <w:t>que </w:t>
      </w:r>
      <w:r>
        <w:rPr>
          <w:color w:val="231F20"/>
          <w:w w:val="105"/>
        </w:rPr>
        <w:t>se</w:t>
      </w:r>
      <w:r>
        <w:rPr>
          <w:color w:val="231F20"/>
          <w:spacing w:val="-12"/>
          <w:w w:val="105"/>
        </w:rPr>
        <w:t> </w:t>
      </w:r>
      <w:r>
        <w:rPr>
          <w:color w:val="231F20"/>
          <w:spacing w:val="-3"/>
          <w:w w:val="105"/>
        </w:rPr>
        <w:t>encontraban</w:t>
      </w:r>
      <w:r>
        <w:rPr>
          <w:color w:val="231F20"/>
          <w:spacing w:val="-12"/>
          <w:w w:val="105"/>
        </w:rPr>
        <w:t> </w:t>
      </w:r>
      <w:r>
        <w:rPr>
          <w:color w:val="231F20"/>
          <w:spacing w:val="-3"/>
          <w:w w:val="105"/>
        </w:rPr>
        <w:t>dentro</w:t>
      </w:r>
      <w:r>
        <w:rPr>
          <w:color w:val="231F20"/>
          <w:spacing w:val="-12"/>
          <w:w w:val="105"/>
        </w:rPr>
        <w:t> </w:t>
      </w:r>
      <w:r>
        <w:rPr>
          <w:color w:val="231F20"/>
          <w:spacing w:val="-3"/>
          <w:w w:val="105"/>
        </w:rPr>
        <w:t>del</w:t>
      </w:r>
      <w:r>
        <w:rPr>
          <w:color w:val="231F20"/>
          <w:spacing w:val="-12"/>
          <w:w w:val="105"/>
        </w:rPr>
        <w:t> </w:t>
      </w:r>
      <w:r>
        <w:rPr>
          <w:color w:val="231F20"/>
          <w:w w:val="105"/>
        </w:rPr>
        <w:t>PRD</w:t>
      </w:r>
      <w:r>
        <w:rPr>
          <w:color w:val="231F20"/>
          <w:spacing w:val="-12"/>
          <w:w w:val="105"/>
        </w:rPr>
        <w:t> </w:t>
      </w:r>
      <w:r>
        <w:rPr>
          <w:color w:val="231F20"/>
          <w:w w:val="105"/>
        </w:rPr>
        <w:t>y</w:t>
      </w:r>
      <w:r>
        <w:rPr>
          <w:color w:val="231F20"/>
          <w:spacing w:val="-12"/>
          <w:w w:val="105"/>
        </w:rPr>
        <w:t> </w:t>
      </w:r>
      <w:r>
        <w:rPr>
          <w:color w:val="231F20"/>
          <w:spacing w:val="-3"/>
          <w:w w:val="105"/>
        </w:rPr>
        <w:t>que</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spacing w:val="-4"/>
          <w:w w:val="105"/>
        </w:rPr>
        <w:t>momento</w:t>
      </w:r>
      <w:r>
        <w:rPr>
          <w:color w:val="231F20"/>
          <w:spacing w:val="-12"/>
          <w:w w:val="105"/>
        </w:rPr>
        <w:t> </w:t>
      </w:r>
      <w:r>
        <w:rPr>
          <w:color w:val="231F20"/>
          <w:spacing w:val="-3"/>
          <w:w w:val="105"/>
        </w:rPr>
        <w:t>apoyaron</w:t>
      </w:r>
      <w:r>
        <w:rPr>
          <w:color w:val="231F20"/>
          <w:spacing w:val="-12"/>
          <w:w w:val="105"/>
        </w:rPr>
        <w:t> </w:t>
      </w:r>
      <w:r>
        <w:rPr>
          <w:color w:val="231F20"/>
          <w:w w:val="105"/>
        </w:rPr>
        <w:t>a</w:t>
      </w:r>
      <w:r>
        <w:rPr>
          <w:color w:val="231F20"/>
          <w:spacing w:val="-12"/>
          <w:w w:val="105"/>
        </w:rPr>
        <w:t> </w:t>
      </w:r>
      <w:r>
        <w:rPr>
          <w:color w:val="231F20"/>
          <w:spacing w:val="-4"/>
          <w:w w:val="105"/>
        </w:rPr>
        <w:t>Vicente</w:t>
      </w:r>
      <w:r>
        <w:rPr>
          <w:color w:val="231F20"/>
          <w:spacing w:val="-12"/>
          <w:w w:val="105"/>
        </w:rPr>
        <w:t> </w:t>
      </w:r>
      <w:r>
        <w:rPr>
          <w:color w:val="231F20"/>
          <w:w w:val="105"/>
        </w:rPr>
        <w:t>Alberto</w:t>
      </w:r>
      <w:r>
        <w:rPr>
          <w:color w:val="231F20"/>
          <w:spacing w:val="-12"/>
          <w:w w:val="105"/>
        </w:rPr>
        <w:t> </w:t>
      </w:r>
      <w:r>
        <w:rPr>
          <w:color w:val="231F20"/>
          <w:spacing w:val="-3"/>
          <w:w w:val="105"/>
        </w:rPr>
        <w:t>Onofre </w:t>
      </w:r>
      <w:r>
        <w:rPr>
          <w:color w:val="231F20"/>
          <w:w w:val="105"/>
        </w:rPr>
        <w:t>para</w:t>
      </w:r>
      <w:r>
        <w:rPr>
          <w:color w:val="231F20"/>
          <w:spacing w:val="-19"/>
          <w:w w:val="105"/>
        </w:rPr>
        <w:t> </w:t>
      </w:r>
      <w:r>
        <w:rPr>
          <w:color w:val="231F20"/>
          <w:w w:val="105"/>
        </w:rPr>
        <w:t>llegar</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spacing w:val="-4"/>
          <w:w w:val="105"/>
        </w:rPr>
        <w:t>Presidencia.</w:t>
      </w:r>
      <w:r>
        <w:rPr>
          <w:color w:val="231F20"/>
          <w:spacing w:val="-19"/>
          <w:w w:val="105"/>
        </w:rPr>
        <w:t> </w:t>
      </w:r>
      <w:r>
        <w:rPr>
          <w:color w:val="231F20"/>
          <w:spacing w:val="-3"/>
          <w:w w:val="105"/>
        </w:rPr>
        <w:t>Principalmente</w:t>
      </w:r>
      <w:r>
        <w:rPr>
          <w:color w:val="231F20"/>
          <w:spacing w:val="-19"/>
          <w:w w:val="105"/>
        </w:rPr>
        <w:t> </w:t>
      </w:r>
      <w:r>
        <w:rPr>
          <w:color w:val="231F20"/>
          <w:w w:val="105"/>
        </w:rPr>
        <w:t>se</w:t>
      </w:r>
      <w:r>
        <w:rPr>
          <w:color w:val="231F20"/>
          <w:spacing w:val="-19"/>
          <w:w w:val="105"/>
        </w:rPr>
        <w:t> </w:t>
      </w:r>
      <w:r>
        <w:rPr>
          <w:color w:val="231F20"/>
          <w:spacing w:val="-3"/>
          <w:w w:val="105"/>
        </w:rPr>
        <w:t>habla</w:t>
      </w:r>
      <w:r>
        <w:rPr>
          <w:color w:val="231F20"/>
          <w:spacing w:val="-19"/>
          <w:w w:val="105"/>
        </w:rPr>
        <w:t> </w:t>
      </w:r>
      <w:r>
        <w:rPr>
          <w:color w:val="231F20"/>
          <w:w w:val="105"/>
        </w:rPr>
        <w:t>de</w:t>
      </w:r>
      <w:r>
        <w:rPr>
          <w:color w:val="231F20"/>
          <w:spacing w:val="-19"/>
          <w:w w:val="105"/>
        </w:rPr>
        <w:t> </w:t>
      </w:r>
      <w:r>
        <w:rPr>
          <w:color w:val="231F20"/>
          <w:spacing w:val="-2"/>
          <w:w w:val="105"/>
        </w:rPr>
        <w:t>cuatro</w:t>
      </w:r>
      <w:r>
        <w:rPr>
          <w:color w:val="231F20"/>
          <w:spacing w:val="-19"/>
          <w:w w:val="105"/>
        </w:rPr>
        <w:t> </w:t>
      </w:r>
      <w:r>
        <w:rPr>
          <w:color w:val="231F20"/>
          <w:w w:val="105"/>
        </w:rPr>
        <w:t>grupos</w:t>
      </w:r>
      <w:r>
        <w:rPr>
          <w:color w:val="231F20"/>
          <w:spacing w:val="-19"/>
          <w:w w:val="105"/>
        </w:rPr>
        <w:t> </w:t>
      </w:r>
      <w:r>
        <w:rPr>
          <w:color w:val="231F20"/>
          <w:spacing w:val="-3"/>
          <w:w w:val="105"/>
        </w:rPr>
        <w:t>políticos</w:t>
      </w:r>
      <w:r>
        <w:rPr>
          <w:color w:val="231F20"/>
          <w:spacing w:val="-19"/>
          <w:w w:val="105"/>
        </w:rPr>
        <w:t> </w:t>
      </w:r>
      <w:r>
        <w:rPr>
          <w:color w:val="231F20"/>
          <w:spacing w:val="-3"/>
          <w:w w:val="105"/>
        </w:rPr>
        <w:t>que</w:t>
      </w:r>
      <w:r>
        <w:rPr>
          <w:color w:val="231F20"/>
          <w:spacing w:val="-19"/>
          <w:w w:val="105"/>
        </w:rPr>
        <w:t> </w:t>
      </w:r>
      <w:r>
        <w:rPr>
          <w:color w:val="231F20"/>
          <w:w w:val="105"/>
        </w:rPr>
        <w:t>son:</w:t>
      </w:r>
      <w:r>
        <w:rPr>
          <w:color w:val="231F20"/>
          <w:spacing w:val="-19"/>
          <w:w w:val="105"/>
        </w:rPr>
        <w:t> </w:t>
      </w:r>
      <w:r>
        <w:rPr>
          <w:color w:val="231F20"/>
          <w:w w:val="105"/>
        </w:rPr>
        <w:t>el Grupo</w:t>
      </w:r>
      <w:r>
        <w:rPr>
          <w:color w:val="231F20"/>
          <w:spacing w:val="-17"/>
          <w:w w:val="105"/>
        </w:rPr>
        <w:t> </w:t>
      </w:r>
      <w:r>
        <w:rPr>
          <w:color w:val="231F20"/>
          <w:w w:val="105"/>
        </w:rPr>
        <w:t>de</w:t>
      </w:r>
      <w:r>
        <w:rPr>
          <w:color w:val="231F20"/>
          <w:spacing w:val="-17"/>
          <w:w w:val="105"/>
        </w:rPr>
        <w:t> </w:t>
      </w:r>
      <w:r>
        <w:rPr>
          <w:color w:val="231F20"/>
          <w:spacing w:val="-4"/>
          <w:w w:val="105"/>
        </w:rPr>
        <w:t>Acción</w:t>
      </w:r>
      <w:r>
        <w:rPr>
          <w:color w:val="231F20"/>
          <w:spacing w:val="-17"/>
          <w:w w:val="105"/>
        </w:rPr>
        <w:t> </w:t>
      </w:r>
      <w:r>
        <w:rPr>
          <w:color w:val="231F20"/>
          <w:spacing w:val="-3"/>
          <w:w w:val="105"/>
        </w:rPr>
        <w:t>Política,</w:t>
      </w:r>
      <w:r>
        <w:rPr>
          <w:color w:val="231F20"/>
          <w:spacing w:val="-17"/>
          <w:w w:val="105"/>
        </w:rPr>
        <w:t> </w:t>
      </w:r>
      <w:r>
        <w:rPr>
          <w:color w:val="231F20"/>
          <w:spacing w:val="-8"/>
          <w:w w:val="105"/>
        </w:rPr>
        <w:t>(GAP,</w:t>
      </w:r>
      <w:r>
        <w:rPr>
          <w:color w:val="231F20"/>
          <w:spacing w:val="-17"/>
          <w:w w:val="105"/>
        </w:rPr>
        <w:t> </w:t>
      </w:r>
      <w:r>
        <w:rPr>
          <w:color w:val="231F20"/>
          <w:w w:val="105"/>
        </w:rPr>
        <w:t>el</w:t>
      </w:r>
      <w:r>
        <w:rPr>
          <w:color w:val="231F20"/>
          <w:spacing w:val="-17"/>
          <w:w w:val="105"/>
        </w:rPr>
        <w:t> </w:t>
      </w:r>
      <w:r>
        <w:rPr>
          <w:color w:val="231F20"/>
          <w:w w:val="105"/>
        </w:rPr>
        <w:t>grupo</w:t>
      </w:r>
      <w:r>
        <w:rPr>
          <w:color w:val="231F20"/>
          <w:spacing w:val="-17"/>
          <w:w w:val="105"/>
        </w:rPr>
        <w:t> </w:t>
      </w:r>
      <w:r>
        <w:rPr>
          <w:color w:val="231F20"/>
          <w:w w:val="105"/>
        </w:rPr>
        <w:t>al</w:t>
      </w:r>
      <w:r>
        <w:rPr>
          <w:color w:val="231F20"/>
          <w:spacing w:val="-17"/>
          <w:w w:val="105"/>
        </w:rPr>
        <w:t> </w:t>
      </w:r>
      <w:r>
        <w:rPr>
          <w:color w:val="231F20"/>
          <w:spacing w:val="-3"/>
          <w:w w:val="105"/>
        </w:rPr>
        <w:t>que</w:t>
      </w:r>
      <w:r>
        <w:rPr>
          <w:color w:val="231F20"/>
          <w:spacing w:val="-17"/>
          <w:w w:val="105"/>
        </w:rPr>
        <w:t> </w:t>
      </w:r>
      <w:r>
        <w:rPr>
          <w:color w:val="231F20"/>
          <w:w w:val="105"/>
        </w:rPr>
        <w:t>pertenecía</w:t>
      </w:r>
      <w:r>
        <w:rPr>
          <w:color w:val="231F20"/>
          <w:spacing w:val="-17"/>
          <w:w w:val="105"/>
        </w:rPr>
        <w:t> </w:t>
      </w:r>
      <w:r>
        <w:rPr>
          <w:color w:val="231F20"/>
          <w:w w:val="105"/>
        </w:rPr>
        <w:t>el</w:t>
      </w:r>
      <w:r>
        <w:rPr>
          <w:color w:val="231F20"/>
          <w:spacing w:val="-17"/>
          <w:w w:val="105"/>
        </w:rPr>
        <w:t> </w:t>
      </w:r>
      <w:r>
        <w:rPr>
          <w:color w:val="231F20"/>
          <w:spacing w:val="-5"/>
          <w:w w:val="105"/>
        </w:rPr>
        <w:t>Presidente),</w:t>
      </w:r>
      <w:r>
        <w:rPr>
          <w:color w:val="231F20"/>
          <w:spacing w:val="-17"/>
          <w:w w:val="105"/>
        </w:rPr>
        <w:t> </w:t>
      </w:r>
      <w:r>
        <w:rPr>
          <w:color w:val="231F20"/>
          <w:w w:val="105"/>
        </w:rPr>
        <w:t>el</w:t>
      </w:r>
      <w:r>
        <w:rPr>
          <w:color w:val="231F20"/>
          <w:spacing w:val="-17"/>
          <w:w w:val="105"/>
        </w:rPr>
        <w:t> </w:t>
      </w:r>
      <w:r>
        <w:rPr>
          <w:color w:val="231F20"/>
          <w:spacing w:val="-3"/>
          <w:w w:val="105"/>
        </w:rPr>
        <w:t>Movimiento por</w:t>
      </w:r>
      <w:r>
        <w:rPr>
          <w:color w:val="231F20"/>
          <w:spacing w:val="-23"/>
          <w:w w:val="105"/>
        </w:rPr>
        <w:t> </w:t>
      </w:r>
      <w:r>
        <w:rPr>
          <w:color w:val="231F20"/>
          <w:w w:val="105"/>
        </w:rPr>
        <w:t>una</w:t>
      </w:r>
      <w:r>
        <w:rPr>
          <w:color w:val="231F20"/>
          <w:spacing w:val="-23"/>
          <w:w w:val="105"/>
        </w:rPr>
        <w:t> </w:t>
      </w:r>
      <w:r>
        <w:rPr>
          <w:color w:val="231F20"/>
          <w:spacing w:val="-3"/>
          <w:w w:val="105"/>
        </w:rPr>
        <w:t>Vida</w:t>
      </w:r>
      <w:r>
        <w:rPr>
          <w:color w:val="231F20"/>
          <w:spacing w:val="-23"/>
          <w:w w:val="105"/>
        </w:rPr>
        <w:t> </w:t>
      </w:r>
      <w:r>
        <w:rPr>
          <w:color w:val="231F20"/>
          <w:w w:val="105"/>
        </w:rPr>
        <w:t>Digna</w:t>
      </w:r>
      <w:r>
        <w:rPr>
          <w:color w:val="231F20"/>
          <w:spacing w:val="-23"/>
          <w:w w:val="105"/>
        </w:rPr>
        <w:t> </w:t>
      </w:r>
      <w:r>
        <w:rPr>
          <w:color w:val="231F20"/>
          <w:spacing w:val="-6"/>
          <w:w w:val="105"/>
        </w:rPr>
        <w:t>(MOVIDIG),</w:t>
      </w:r>
      <w:r>
        <w:rPr>
          <w:color w:val="231F20"/>
          <w:spacing w:val="-23"/>
          <w:w w:val="105"/>
        </w:rPr>
        <w:t> </w:t>
      </w:r>
      <w:r>
        <w:rPr>
          <w:color w:val="231F20"/>
          <w:w w:val="105"/>
        </w:rPr>
        <w:t>la</w:t>
      </w:r>
      <w:r>
        <w:rPr>
          <w:color w:val="231F20"/>
          <w:spacing w:val="-23"/>
          <w:w w:val="105"/>
        </w:rPr>
        <w:t> </w:t>
      </w:r>
      <w:r>
        <w:rPr>
          <w:color w:val="231F20"/>
          <w:w w:val="105"/>
        </w:rPr>
        <w:t>UDO</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FDI.</w:t>
      </w:r>
      <w:r>
        <w:rPr>
          <w:color w:val="231F20"/>
          <w:spacing w:val="-23"/>
          <w:w w:val="105"/>
        </w:rPr>
        <w:t> </w:t>
      </w:r>
      <w:r>
        <w:rPr>
          <w:color w:val="231F20"/>
          <w:w w:val="105"/>
        </w:rPr>
        <w:t>Este</w:t>
      </w:r>
      <w:r>
        <w:rPr>
          <w:color w:val="231F20"/>
          <w:spacing w:val="-23"/>
          <w:w w:val="105"/>
        </w:rPr>
        <w:t> </w:t>
      </w:r>
      <w:r>
        <w:rPr>
          <w:color w:val="231F20"/>
          <w:spacing w:val="-3"/>
          <w:w w:val="105"/>
        </w:rPr>
        <w:t>quebranto</w:t>
      </w:r>
      <w:r>
        <w:rPr>
          <w:color w:val="231F20"/>
          <w:spacing w:val="-23"/>
          <w:w w:val="105"/>
        </w:rPr>
        <w:t> </w:t>
      </w:r>
      <w:r>
        <w:rPr>
          <w:color w:val="231F20"/>
          <w:w w:val="105"/>
        </w:rPr>
        <w:t>se</w:t>
      </w:r>
      <w:r>
        <w:rPr>
          <w:color w:val="231F20"/>
          <w:spacing w:val="-23"/>
          <w:w w:val="105"/>
        </w:rPr>
        <w:t> </w:t>
      </w:r>
      <w:r>
        <w:rPr>
          <w:color w:val="231F20"/>
          <w:spacing w:val="-3"/>
          <w:w w:val="105"/>
        </w:rPr>
        <w:t>debe</w:t>
      </w:r>
      <w:r>
        <w:rPr>
          <w:color w:val="231F20"/>
          <w:spacing w:val="-23"/>
          <w:w w:val="105"/>
        </w:rPr>
        <w:t> </w:t>
      </w:r>
      <w:r>
        <w:rPr>
          <w:color w:val="231F20"/>
          <w:w w:val="105"/>
        </w:rPr>
        <w:t>a</w:t>
      </w:r>
      <w:r>
        <w:rPr>
          <w:color w:val="231F20"/>
          <w:spacing w:val="-23"/>
          <w:w w:val="105"/>
        </w:rPr>
        <w:t> </w:t>
      </w:r>
      <w:r>
        <w:rPr>
          <w:color w:val="231F20"/>
          <w:spacing w:val="-3"/>
          <w:w w:val="105"/>
        </w:rPr>
        <w:t>los</w:t>
      </w:r>
      <w:r>
        <w:rPr>
          <w:color w:val="231F20"/>
          <w:spacing w:val="-23"/>
          <w:w w:val="105"/>
        </w:rPr>
        <w:t> </w:t>
      </w:r>
      <w:r>
        <w:rPr>
          <w:color w:val="231F20"/>
          <w:spacing w:val="-3"/>
          <w:w w:val="105"/>
        </w:rPr>
        <w:t>diferentes intereses</w:t>
      </w:r>
      <w:r>
        <w:rPr>
          <w:color w:val="231F20"/>
          <w:spacing w:val="-22"/>
          <w:w w:val="105"/>
        </w:rPr>
        <w:t> </w:t>
      </w:r>
      <w:r>
        <w:rPr>
          <w:color w:val="231F20"/>
          <w:spacing w:val="-3"/>
          <w:w w:val="105"/>
        </w:rPr>
        <w:t>políticos</w:t>
      </w:r>
      <w:r>
        <w:rPr>
          <w:color w:val="231F20"/>
          <w:spacing w:val="-22"/>
          <w:w w:val="105"/>
        </w:rPr>
        <w:t> </w:t>
      </w:r>
      <w:r>
        <w:rPr>
          <w:color w:val="231F20"/>
          <w:w w:val="105"/>
        </w:rPr>
        <w:t>y</w:t>
      </w:r>
      <w:r>
        <w:rPr>
          <w:color w:val="231F20"/>
          <w:spacing w:val="-22"/>
          <w:w w:val="105"/>
        </w:rPr>
        <w:t> </w:t>
      </w:r>
      <w:r>
        <w:rPr>
          <w:color w:val="231F20"/>
          <w:spacing w:val="-3"/>
          <w:w w:val="105"/>
        </w:rPr>
        <w:t>personales</w:t>
      </w:r>
      <w:r>
        <w:rPr>
          <w:color w:val="231F20"/>
          <w:spacing w:val="-22"/>
          <w:w w:val="105"/>
        </w:rPr>
        <w:t> </w:t>
      </w:r>
      <w:r>
        <w:rPr>
          <w:color w:val="231F20"/>
          <w:spacing w:val="-3"/>
          <w:w w:val="105"/>
        </w:rPr>
        <w:t>que</w:t>
      </w:r>
      <w:r>
        <w:rPr>
          <w:color w:val="231F20"/>
          <w:spacing w:val="-22"/>
          <w:w w:val="105"/>
        </w:rPr>
        <w:t> </w:t>
      </w:r>
      <w:r>
        <w:rPr>
          <w:color w:val="231F20"/>
          <w:spacing w:val="-3"/>
          <w:w w:val="105"/>
        </w:rPr>
        <w:t>persiguen</w:t>
      </w:r>
      <w:r>
        <w:rPr>
          <w:color w:val="231F20"/>
          <w:spacing w:val="-22"/>
          <w:w w:val="105"/>
        </w:rPr>
        <w:t> </w:t>
      </w:r>
      <w:r>
        <w:rPr>
          <w:color w:val="231F20"/>
          <w:w w:val="105"/>
        </w:rPr>
        <w:t>estos</w:t>
      </w:r>
      <w:r>
        <w:rPr>
          <w:color w:val="231F20"/>
          <w:spacing w:val="-22"/>
          <w:w w:val="105"/>
        </w:rPr>
        <w:t> </w:t>
      </w:r>
      <w:r>
        <w:rPr>
          <w:color w:val="231F20"/>
          <w:w w:val="105"/>
        </w:rPr>
        <w:t>grupos,</w:t>
      </w:r>
      <w:r>
        <w:rPr>
          <w:color w:val="231F20"/>
          <w:spacing w:val="-22"/>
          <w:w w:val="105"/>
        </w:rPr>
        <w:t> </w:t>
      </w:r>
      <w:r>
        <w:rPr>
          <w:color w:val="231F20"/>
          <w:w w:val="105"/>
        </w:rPr>
        <w:t>según</w:t>
      </w:r>
      <w:r>
        <w:rPr>
          <w:color w:val="231F20"/>
          <w:spacing w:val="-22"/>
          <w:w w:val="105"/>
        </w:rPr>
        <w:t> </w:t>
      </w:r>
      <w:r>
        <w:rPr>
          <w:color w:val="231F20"/>
          <w:w w:val="105"/>
        </w:rPr>
        <w:t>el</w:t>
      </w:r>
      <w:r>
        <w:rPr>
          <w:color w:val="231F20"/>
          <w:spacing w:val="-22"/>
          <w:w w:val="105"/>
        </w:rPr>
        <w:t> </w:t>
      </w:r>
      <w:r>
        <w:rPr>
          <w:color w:val="231F20"/>
          <w:w w:val="105"/>
        </w:rPr>
        <w:t>alcalde.</w:t>
      </w:r>
    </w:p>
    <w:p>
      <w:pPr>
        <w:pStyle w:val="BodyText"/>
        <w:spacing w:before="1"/>
        <w:rPr>
          <w:sz w:val="26"/>
        </w:rPr>
      </w:pPr>
    </w:p>
    <w:p>
      <w:pPr>
        <w:pStyle w:val="BodyText"/>
        <w:spacing w:line="285" w:lineRule="auto"/>
        <w:ind w:left="110" w:right="108"/>
        <w:jc w:val="both"/>
      </w:pPr>
      <w:r>
        <w:rPr>
          <w:color w:val="231F20"/>
        </w:rPr>
        <w:t>El Presidente municipal, Vicente Alberto Onofre, argumenta que el partido de la Revo- </w:t>
      </w:r>
      <w:r>
        <w:rPr>
          <w:color w:val="231F20"/>
          <w:spacing w:val="-3"/>
        </w:rPr>
        <w:t>lución </w:t>
      </w:r>
      <w:r>
        <w:rPr>
          <w:color w:val="231F20"/>
        </w:rPr>
        <w:t>Democrática, de ser un partido socialista, se convirtió en un partido clientelista       y burocratizado, interesado más en la venta de espacios para unos cuantos. No contó     con el apoyo de los diputados de su partido en el Congreso local para la asignación de obras y mayores recursos en el Municipio de Chalco, y como </w:t>
      </w:r>
      <w:r>
        <w:rPr>
          <w:color w:val="231F20"/>
          <w:spacing w:val="-3"/>
        </w:rPr>
        <w:t>ejemplo  </w:t>
      </w:r>
      <w:r>
        <w:rPr>
          <w:color w:val="231F20"/>
        </w:rPr>
        <w:t>menciona que   para el ejercicio </w:t>
      </w:r>
      <w:r>
        <w:rPr>
          <w:color w:val="231F20"/>
          <w:spacing w:val="2"/>
        </w:rPr>
        <w:t>fiscal 2009 </w:t>
      </w:r>
      <w:r>
        <w:rPr>
          <w:color w:val="231F20"/>
        </w:rPr>
        <w:t>obtuvo el apoyo de otros partidos como el PRI, PVEM, </w:t>
      </w:r>
      <w:r>
        <w:rPr>
          <w:color w:val="231F20"/>
          <w:spacing w:val="-6"/>
        </w:rPr>
        <w:t>PT, </w:t>
      </w:r>
      <w:r>
        <w:rPr>
          <w:color w:val="231F20"/>
        </w:rPr>
        <w:t>CONVERGENCIA y los de su partido no asistieron a esa sesión (entrevista, Diciembre, 2008). Como podemos observar la fractura con el PRD es  </w:t>
      </w:r>
      <w:r>
        <w:rPr>
          <w:color w:val="231F20"/>
          <w:spacing w:val="27"/>
        </w:rPr>
        <w:t> </w:t>
      </w:r>
      <w:r>
        <w:rPr>
          <w:color w:val="231F20"/>
        </w:rPr>
        <w:t>evidente.</w:t>
      </w:r>
    </w:p>
    <w:p>
      <w:pPr>
        <w:pStyle w:val="BodyText"/>
        <w:spacing w:before="9"/>
      </w:pPr>
    </w:p>
    <w:p>
      <w:pPr>
        <w:pStyle w:val="Heading3"/>
      </w:pPr>
      <w:r>
        <w:rPr>
          <w:color w:val="231F20"/>
          <w:w w:val="105"/>
        </w:rPr>
        <w:t>Reglamentación</w:t>
      </w:r>
    </w:p>
    <w:p>
      <w:pPr>
        <w:pStyle w:val="BodyText"/>
        <w:spacing w:line="285" w:lineRule="auto" w:before="38"/>
        <w:ind w:left="110" w:right="108"/>
        <w:jc w:val="both"/>
      </w:pPr>
      <w:r>
        <w:rPr>
          <w:color w:val="231F20"/>
        </w:rPr>
        <w:t>El reglamento de la Ley de Planeación del Estado de México y Municipios establece que es el Plan de Desarrollo Municipal el instrumento rector de la planeación municipal.</w:t>
      </w:r>
    </w:p>
    <w:p>
      <w:pPr>
        <w:pStyle w:val="BodyText"/>
        <w:spacing w:before="1"/>
        <w:rPr>
          <w:sz w:val="26"/>
        </w:rPr>
      </w:pPr>
    </w:p>
    <w:p>
      <w:pPr>
        <w:pStyle w:val="BodyText"/>
        <w:spacing w:line="285" w:lineRule="auto"/>
        <w:ind w:left="110" w:right="108"/>
        <w:jc w:val="both"/>
      </w:pPr>
      <w:r>
        <w:rPr>
          <w:color w:val="231F20"/>
          <w:w w:val="105"/>
        </w:rPr>
        <w:t>Resulta</w:t>
      </w:r>
      <w:r>
        <w:rPr>
          <w:color w:val="231F20"/>
          <w:spacing w:val="-18"/>
          <w:w w:val="105"/>
        </w:rPr>
        <w:t> </w:t>
      </w:r>
      <w:r>
        <w:rPr>
          <w:color w:val="231F20"/>
          <w:w w:val="105"/>
        </w:rPr>
        <w:t>óptimo</w:t>
      </w:r>
      <w:r>
        <w:rPr>
          <w:color w:val="231F20"/>
          <w:spacing w:val="-18"/>
          <w:w w:val="105"/>
        </w:rPr>
        <w:t> </w:t>
      </w:r>
      <w:r>
        <w:rPr>
          <w:color w:val="231F20"/>
          <w:w w:val="105"/>
        </w:rPr>
        <w:t>que</w:t>
      </w:r>
      <w:r>
        <w:rPr>
          <w:color w:val="231F20"/>
          <w:spacing w:val="-18"/>
          <w:w w:val="105"/>
        </w:rPr>
        <w:t> </w:t>
      </w:r>
      <w:r>
        <w:rPr>
          <w:color w:val="231F20"/>
          <w:w w:val="105"/>
        </w:rPr>
        <w:t>los</w:t>
      </w:r>
      <w:r>
        <w:rPr>
          <w:color w:val="231F20"/>
          <w:spacing w:val="-18"/>
          <w:w w:val="105"/>
        </w:rPr>
        <w:t> </w:t>
      </w:r>
      <w:r>
        <w:rPr>
          <w:color w:val="231F20"/>
          <w:w w:val="105"/>
        </w:rPr>
        <w:t>gobiernos</w:t>
      </w:r>
      <w:r>
        <w:rPr>
          <w:color w:val="231F20"/>
          <w:spacing w:val="-18"/>
          <w:w w:val="105"/>
        </w:rPr>
        <w:t> </w:t>
      </w:r>
      <w:r>
        <w:rPr>
          <w:color w:val="231F20"/>
          <w:w w:val="105"/>
        </w:rPr>
        <w:t>locales</w:t>
      </w:r>
      <w:r>
        <w:rPr>
          <w:color w:val="231F20"/>
          <w:spacing w:val="-18"/>
          <w:w w:val="105"/>
        </w:rPr>
        <w:t> </w:t>
      </w:r>
      <w:r>
        <w:rPr>
          <w:color w:val="231F20"/>
          <w:w w:val="105"/>
        </w:rPr>
        <w:t>promuevan</w:t>
      </w:r>
      <w:r>
        <w:rPr>
          <w:color w:val="231F20"/>
          <w:spacing w:val="-18"/>
          <w:w w:val="105"/>
        </w:rPr>
        <w:t> </w:t>
      </w:r>
      <w:r>
        <w:rPr>
          <w:color w:val="231F20"/>
          <w:w w:val="105"/>
        </w:rPr>
        <w:t>la</w:t>
      </w:r>
      <w:r>
        <w:rPr>
          <w:color w:val="231F20"/>
          <w:spacing w:val="-18"/>
          <w:w w:val="105"/>
        </w:rPr>
        <w:t> </w:t>
      </w:r>
      <w:r>
        <w:rPr>
          <w:color w:val="231F20"/>
          <w:w w:val="105"/>
        </w:rPr>
        <w:t>participación</w:t>
      </w:r>
      <w:r>
        <w:rPr>
          <w:color w:val="231F20"/>
          <w:spacing w:val="-18"/>
          <w:w w:val="105"/>
        </w:rPr>
        <w:t> </w:t>
      </w:r>
      <w:r>
        <w:rPr>
          <w:color w:val="231F20"/>
          <w:w w:val="105"/>
        </w:rPr>
        <w:t>incluyente</w:t>
      </w:r>
      <w:r>
        <w:rPr>
          <w:color w:val="231F20"/>
          <w:spacing w:val="-18"/>
          <w:w w:val="105"/>
        </w:rPr>
        <w:t> </w:t>
      </w:r>
      <w:r>
        <w:rPr>
          <w:color w:val="231F20"/>
          <w:w w:val="105"/>
        </w:rPr>
        <w:t>o</w:t>
      </w:r>
      <w:r>
        <w:rPr>
          <w:color w:val="231F20"/>
          <w:spacing w:val="-18"/>
          <w:w w:val="105"/>
        </w:rPr>
        <w:t> </w:t>
      </w:r>
      <w:r>
        <w:rPr>
          <w:color w:val="231F20"/>
          <w:w w:val="105"/>
        </w:rPr>
        <w:t>equi- tativa de toda la ciudadanía independientemente de la pertenencia partidaria, religiosa o</w:t>
      </w:r>
      <w:r>
        <w:rPr>
          <w:color w:val="231F20"/>
          <w:spacing w:val="-26"/>
          <w:w w:val="105"/>
        </w:rPr>
        <w:t> </w:t>
      </w:r>
      <w:r>
        <w:rPr>
          <w:color w:val="231F20"/>
          <w:w w:val="105"/>
        </w:rPr>
        <w:t>de</w:t>
      </w:r>
      <w:r>
        <w:rPr>
          <w:color w:val="231F20"/>
          <w:spacing w:val="-26"/>
          <w:w w:val="105"/>
        </w:rPr>
        <w:t> </w:t>
      </w:r>
      <w:r>
        <w:rPr>
          <w:color w:val="231F20"/>
          <w:w w:val="105"/>
        </w:rPr>
        <w:t>clase</w:t>
      </w:r>
      <w:r>
        <w:rPr>
          <w:color w:val="231F20"/>
          <w:spacing w:val="-26"/>
          <w:w w:val="105"/>
        </w:rPr>
        <w:t> </w:t>
      </w:r>
      <w:r>
        <w:rPr>
          <w:color w:val="231F20"/>
          <w:w w:val="105"/>
        </w:rPr>
        <w:t>social</w:t>
      </w:r>
      <w:r>
        <w:rPr>
          <w:color w:val="231F20"/>
          <w:spacing w:val="-26"/>
          <w:w w:val="105"/>
        </w:rPr>
        <w:t> </w:t>
      </w:r>
      <w:r>
        <w:rPr>
          <w:color w:val="231F20"/>
          <w:w w:val="105"/>
        </w:rPr>
        <w:t>(Ziccardi,</w:t>
      </w:r>
      <w:r>
        <w:rPr>
          <w:color w:val="231F20"/>
          <w:spacing w:val="-26"/>
          <w:w w:val="105"/>
        </w:rPr>
        <w:t> </w:t>
      </w:r>
      <w:r>
        <w:rPr>
          <w:color w:val="231F20"/>
          <w:spacing w:val="-3"/>
          <w:w w:val="105"/>
        </w:rPr>
        <w:t>1997).</w:t>
      </w:r>
    </w:p>
    <w:p>
      <w:pPr>
        <w:pStyle w:val="BodyText"/>
        <w:spacing w:before="1"/>
        <w:rPr>
          <w:sz w:val="26"/>
        </w:rPr>
      </w:pPr>
    </w:p>
    <w:p>
      <w:pPr>
        <w:pStyle w:val="BodyText"/>
        <w:spacing w:line="285" w:lineRule="auto"/>
        <w:ind w:left="110" w:right="108"/>
        <w:jc w:val="both"/>
      </w:pP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Plan</w:t>
      </w:r>
      <w:r>
        <w:rPr>
          <w:color w:val="231F20"/>
          <w:spacing w:val="-24"/>
          <w:w w:val="105"/>
        </w:rPr>
        <w:t> </w:t>
      </w:r>
      <w:r>
        <w:rPr>
          <w:color w:val="231F20"/>
          <w:w w:val="105"/>
        </w:rPr>
        <w:t>de</w:t>
      </w:r>
      <w:r>
        <w:rPr>
          <w:color w:val="231F20"/>
          <w:spacing w:val="-24"/>
          <w:w w:val="105"/>
        </w:rPr>
        <w:t> </w:t>
      </w:r>
      <w:r>
        <w:rPr>
          <w:color w:val="231F20"/>
          <w:w w:val="105"/>
        </w:rPr>
        <w:t>Desarrollo</w:t>
      </w:r>
      <w:r>
        <w:rPr>
          <w:color w:val="231F20"/>
          <w:spacing w:val="-24"/>
          <w:w w:val="105"/>
        </w:rPr>
        <w:t> </w:t>
      </w:r>
      <w:r>
        <w:rPr>
          <w:color w:val="231F20"/>
          <w:w w:val="105"/>
        </w:rPr>
        <w:t>Municipal</w:t>
      </w:r>
      <w:r>
        <w:rPr>
          <w:color w:val="231F20"/>
          <w:spacing w:val="-24"/>
          <w:w w:val="105"/>
        </w:rPr>
        <w:t> </w:t>
      </w:r>
      <w:r>
        <w:rPr>
          <w:color w:val="231F20"/>
          <w:w w:val="105"/>
        </w:rPr>
        <w:t>de</w:t>
      </w:r>
      <w:r>
        <w:rPr>
          <w:color w:val="231F20"/>
          <w:spacing w:val="-24"/>
          <w:w w:val="105"/>
        </w:rPr>
        <w:t> </w:t>
      </w:r>
      <w:r>
        <w:rPr>
          <w:color w:val="231F20"/>
          <w:w w:val="105"/>
        </w:rPr>
        <w:t>Chalco</w:t>
      </w:r>
      <w:r>
        <w:rPr>
          <w:color w:val="231F20"/>
          <w:spacing w:val="-24"/>
          <w:w w:val="105"/>
        </w:rPr>
        <w:t> </w:t>
      </w:r>
      <w:r>
        <w:rPr>
          <w:color w:val="231F20"/>
          <w:spacing w:val="2"/>
          <w:w w:val="105"/>
        </w:rPr>
        <w:t>2006-2009</w:t>
      </w:r>
      <w:r>
        <w:rPr>
          <w:color w:val="231F20"/>
          <w:spacing w:val="-24"/>
          <w:w w:val="105"/>
        </w:rPr>
        <w:t> </w:t>
      </w:r>
      <w:r>
        <w:rPr>
          <w:color w:val="231F20"/>
          <w:w w:val="105"/>
        </w:rPr>
        <w:t>se</w:t>
      </w:r>
      <w:r>
        <w:rPr>
          <w:color w:val="231F20"/>
          <w:spacing w:val="-24"/>
          <w:w w:val="105"/>
        </w:rPr>
        <w:t> </w:t>
      </w:r>
      <w:r>
        <w:rPr>
          <w:color w:val="231F20"/>
          <w:w w:val="105"/>
        </w:rPr>
        <w:t>menciona</w:t>
      </w:r>
      <w:r>
        <w:rPr>
          <w:color w:val="231F20"/>
          <w:spacing w:val="-24"/>
          <w:w w:val="105"/>
        </w:rPr>
        <w:t> </w:t>
      </w:r>
      <w:r>
        <w:rPr>
          <w:color w:val="231F20"/>
          <w:w w:val="105"/>
        </w:rPr>
        <w:t>que</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elabo- ración</w:t>
      </w:r>
      <w:r>
        <w:rPr>
          <w:color w:val="231F20"/>
          <w:spacing w:val="-11"/>
          <w:w w:val="105"/>
        </w:rPr>
        <w:t> </w:t>
      </w:r>
      <w:r>
        <w:rPr>
          <w:color w:val="231F20"/>
          <w:w w:val="105"/>
        </w:rPr>
        <w:t>del</w:t>
      </w:r>
      <w:r>
        <w:rPr>
          <w:color w:val="231F20"/>
          <w:spacing w:val="-11"/>
          <w:w w:val="105"/>
        </w:rPr>
        <w:t> </w:t>
      </w:r>
      <w:r>
        <w:rPr>
          <w:color w:val="231F20"/>
          <w:w w:val="105"/>
        </w:rPr>
        <w:t>mismo,</w:t>
      </w:r>
      <w:r>
        <w:rPr>
          <w:color w:val="231F20"/>
          <w:spacing w:val="-11"/>
          <w:w w:val="105"/>
        </w:rPr>
        <w:t> </w:t>
      </w:r>
      <w:r>
        <w:rPr>
          <w:color w:val="231F20"/>
          <w:w w:val="105"/>
        </w:rPr>
        <w:t>se</w:t>
      </w:r>
      <w:r>
        <w:rPr>
          <w:color w:val="231F20"/>
          <w:spacing w:val="-11"/>
          <w:w w:val="105"/>
        </w:rPr>
        <w:t> </w:t>
      </w:r>
      <w:r>
        <w:rPr>
          <w:color w:val="231F20"/>
          <w:w w:val="105"/>
        </w:rPr>
        <w:t>hicieron</w:t>
      </w:r>
      <w:r>
        <w:rPr>
          <w:color w:val="231F20"/>
          <w:spacing w:val="-11"/>
          <w:w w:val="105"/>
        </w:rPr>
        <w:t> </w:t>
      </w:r>
      <w:r>
        <w:rPr>
          <w:color w:val="231F20"/>
          <w:w w:val="105"/>
        </w:rPr>
        <w:t>diversas</w:t>
      </w:r>
      <w:r>
        <w:rPr>
          <w:color w:val="231F20"/>
          <w:spacing w:val="-11"/>
          <w:w w:val="105"/>
        </w:rPr>
        <w:t> </w:t>
      </w:r>
      <w:r>
        <w:rPr>
          <w:color w:val="231F20"/>
          <w:w w:val="105"/>
        </w:rPr>
        <w:t>invitaciones</w:t>
      </w:r>
      <w:r>
        <w:rPr>
          <w:color w:val="231F20"/>
          <w:spacing w:val="-11"/>
          <w:w w:val="105"/>
        </w:rPr>
        <w:t> </w:t>
      </w:r>
      <w:r>
        <w:rPr>
          <w:color w:val="231F20"/>
          <w:w w:val="105"/>
        </w:rPr>
        <w:t>a</w:t>
      </w:r>
      <w:r>
        <w:rPr>
          <w:color w:val="231F20"/>
          <w:spacing w:val="-11"/>
          <w:w w:val="105"/>
        </w:rPr>
        <w:t> </w:t>
      </w:r>
      <w:r>
        <w:rPr>
          <w:color w:val="231F20"/>
          <w:w w:val="105"/>
        </w:rPr>
        <w:t>diferentes</w:t>
      </w:r>
      <w:r>
        <w:rPr>
          <w:color w:val="231F20"/>
          <w:spacing w:val="-11"/>
          <w:w w:val="105"/>
        </w:rPr>
        <w:t> </w:t>
      </w:r>
      <w:r>
        <w:rPr>
          <w:color w:val="231F20"/>
          <w:w w:val="105"/>
        </w:rPr>
        <w:t>representantes</w:t>
      </w:r>
      <w:r>
        <w:rPr>
          <w:color w:val="231F20"/>
          <w:spacing w:val="-11"/>
          <w:w w:val="105"/>
        </w:rPr>
        <w:t> </w:t>
      </w:r>
      <w:r>
        <w:rPr>
          <w:color w:val="231F20"/>
          <w:w w:val="105"/>
        </w:rPr>
        <w:t>sociales para</w:t>
      </w:r>
      <w:r>
        <w:rPr>
          <w:color w:val="231F20"/>
          <w:spacing w:val="-6"/>
          <w:w w:val="105"/>
        </w:rPr>
        <w:t> </w:t>
      </w:r>
      <w:r>
        <w:rPr>
          <w:color w:val="231F20"/>
          <w:w w:val="105"/>
        </w:rPr>
        <w:t>conocer</w:t>
      </w:r>
      <w:r>
        <w:rPr>
          <w:color w:val="231F20"/>
          <w:spacing w:val="-6"/>
          <w:w w:val="105"/>
        </w:rPr>
        <w:t> </w:t>
      </w:r>
      <w:r>
        <w:rPr>
          <w:color w:val="231F20"/>
          <w:w w:val="105"/>
        </w:rPr>
        <w:t>las</w:t>
      </w:r>
      <w:r>
        <w:rPr>
          <w:color w:val="231F20"/>
          <w:spacing w:val="-6"/>
          <w:w w:val="105"/>
        </w:rPr>
        <w:t> </w:t>
      </w:r>
      <w:r>
        <w:rPr>
          <w:color w:val="231F20"/>
          <w:w w:val="105"/>
        </w:rPr>
        <w:t>demandas</w:t>
      </w:r>
      <w:r>
        <w:rPr>
          <w:color w:val="231F20"/>
          <w:spacing w:val="-6"/>
          <w:w w:val="105"/>
        </w:rPr>
        <w:t> </w:t>
      </w:r>
      <w:r>
        <w:rPr>
          <w:color w:val="231F20"/>
          <w:w w:val="105"/>
        </w:rPr>
        <w:t>ciudadanas,</w:t>
      </w:r>
      <w:r>
        <w:rPr>
          <w:color w:val="231F20"/>
          <w:spacing w:val="-6"/>
          <w:w w:val="105"/>
        </w:rPr>
        <w:t> </w:t>
      </w:r>
      <w:r>
        <w:rPr>
          <w:color w:val="231F20"/>
          <w:w w:val="105"/>
        </w:rPr>
        <w:t>además</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conocidas</w:t>
      </w:r>
      <w:r>
        <w:rPr>
          <w:color w:val="231F20"/>
          <w:spacing w:val="-6"/>
          <w:w w:val="105"/>
        </w:rPr>
        <w:t> </w:t>
      </w:r>
      <w:r>
        <w:rPr>
          <w:color w:val="231F20"/>
          <w:w w:val="105"/>
        </w:rPr>
        <w:t>en</w:t>
      </w:r>
      <w:r>
        <w:rPr>
          <w:color w:val="231F20"/>
          <w:spacing w:val="-6"/>
          <w:w w:val="105"/>
        </w:rPr>
        <w:t> </w:t>
      </w:r>
      <w:r>
        <w:rPr>
          <w:color w:val="231F20"/>
          <w:w w:val="105"/>
        </w:rPr>
        <w:t>campaña</w:t>
      </w:r>
      <w:r>
        <w:rPr>
          <w:color w:val="231F20"/>
          <w:spacing w:val="-6"/>
          <w:w w:val="105"/>
        </w:rPr>
        <w:t> </w:t>
      </w:r>
      <w:r>
        <w:rPr>
          <w:color w:val="231F20"/>
          <w:w w:val="105"/>
        </w:rPr>
        <w:t>y</w:t>
      </w:r>
      <w:r>
        <w:rPr>
          <w:color w:val="231F20"/>
          <w:spacing w:val="-6"/>
          <w:w w:val="105"/>
        </w:rPr>
        <w:t> </w:t>
      </w:r>
      <w:r>
        <w:rPr>
          <w:color w:val="231F20"/>
          <w:w w:val="105"/>
        </w:rPr>
        <w:t>las</w:t>
      </w:r>
      <w:r>
        <w:rPr>
          <w:color w:val="231F20"/>
          <w:spacing w:val="-6"/>
          <w:w w:val="105"/>
        </w:rPr>
        <w:t> </w:t>
      </w:r>
      <w:r>
        <w:rPr>
          <w:color w:val="231F20"/>
          <w:w w:val="105"/>
        </w:rPr>
        <w:t>que llegaron directamente </w:t>
      </w:r>
      <w:r>
        <w:rPr>
          <w:color w:val="231F20"/>
          <w:spacing w:val="2"/>
          <w:w w:val="105"/>
        </w:rPr>
        <w:t>al</w:t>
      </w:r>
      <w:r>
        <w:rPr>
          <w:color w:val="231F20"/>
          <w:spacing w:val="-19"/>
          <w:w w:val="105"/>
        </w:rPr>
        <w:t> </w:t>
      </w:r>
      <w:r>
        <w:rPr>
          <w:color w:val="231F20"/>
          <w:spacing w:val="-3"/>
          <w:w w:val="105"/>
        </w:rPr>
        <w:t>gobierno.</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Esta</w:t>
      </w:r>
      <w:r>
        <w:rPr>
          <w:color w:val="231F20"/>
          <w:spacing w:val="-9"/>
          <w:w w:val="105"/>
        </w:rPr>
        <w:t> </w:t>
      </w:r>
      <w:r>
        <w:rPr>
          <w:color w:val="231F20"/>
          <w:w w:val="105"/>
        </w:rPr>
        <w:t>invitación</w:t>
      </w:r>
      <w:r>
        <w:rPr>
          <w:color w:val="231F20"/>
          <w:spacing w:val="-9"/>
          <w:w w:val="105"/>
        </w:rPr>
        <w:t> </w:t>
      </w:r>
      <w:r>
        <w:rPr>
          <w:color w:val="231F20"/>
          <w:w w:val="105"/>
        </w:rPr>
        <w:t>fue</w:t>
      </w:r>
      <w:r>
        <w:rPr>
          <w:color w:val="231F20"/>
          <w:spacing w:val="-9"/>
          <w:w w:val="105"/>
        </w:rPr>
        <w:t> </w:t>
      </w:r>
      <w:r>
        <w:rPr>
          <w:color w:val="231F20"/>
          <w:w w:val="105"/>
        </w:rPr>
        <w:t>para</w:t>
      </w:r>
      <w:r>
        <w:rPr>
          <w:color w:val="231F20"/>
          <w:spacing w:val="-9"/>
          <w:w w:val="105"/>
        </w:rPr>
        <w:t> </w:t>
      </w:r>
      <w:r>
        <w:rPr>
          <w:color w:val="231F20"/>
          <w:w w:val="105"/>
        </w:rPr>
        <w:t>todos</w:t>
      </w:r>
      <w:r>
        <w:rPr>
          <w:color w:val="231F20"/>
          <w:spacing w:val="-9"/>
          <w:w w:val="105"/>
        </w:rPr>
        <w:t> </w:t>
      </w:r>
      <w:r>
        <w:rPr>
          <w:color w:val="231F20"/>
          <w:w w:val="105"/>
        </w:rPr>
        <w:t>los</w:t>
      </w:r>
      <w:r>
        <w:rPr>
          <w:color w:val="231F20"/>
          <w:spacing w:val="-9"/>
          <w:w w:val="105"/>
        </w:rPr>
        <w:t> </w:t>
      </w:r>
      <w:r>
        <w:rPr>
          <w:color w:val="231F20"/>
          <w:w w:val="105"/>
        </w:rPr>
        <w:t>integrantes</w:t>
      </w:r>
      <w:r>
        <w:rPr>
          <w:color w:val="231F20"/>
          <w:spacing w:val="-9"/>
          <w:w w:val="105"/>
        </w:rPr>
        <w:t> </w:t>
      </w:r>
      <w:r>
        <w:rPr>
          <w:color w:val="231F20"/>
          <w:w w:val="105"/>
        </w:rPr>
        <w:t>del</w:t>
      </w:r>
      <w:r>
        <w:rPr>
          <w:color w:val="231F20"/>
          <w:spacing w:val="-9"/>
          <w:w w:val="105"/>
        </w:rPr>
        <w:t> </w:t>
      </w:r>
      <w:r>
        <w:rPr>
          <w:color w:val="231F20"/>
          <w:w w:val="105"/>
        </w:rPr>
        <w:t>cuerpo</w:t>
      </w:r>
      <w:r>
        <w:rPr>
          <w:color w:val="231F20"/>
          <w:spacing w:val="-9"/>
          <w:w w:val="105"/>
        </w:rPr>
        <w:t> </w:t>
      </w:r>
      <w:r>
        <w:rPr>
          <w:color w:val="231F20"/>
          <w:w w:val="105"/>
        </w:rPr>
        <w:t>edilicio</w:t>
      </w:r>
      <w:r>
        <w:rPr>
          <w:color w:val="231F20"/>
          <w:spacing w:val="-9"/>
          <w:w w:val="105"/>
        </w:rPr>
        <w:t> </w:t>
      </w:r>
      <w:r>
        <w:rPr>
          <w:color w:val="231F20"/>
          <w:w w:val="105"/>
        </w:rPr>
        <w:t>en</w:t>
      </w:r>
      <w:r>
        <w:rPr>
          <w:color w:val="231F20"/>
          <w:spacing w:val="-9"/>
          <w:w w:val="105"/>
        </w:rPr>
        <w:t> </w:t>
      </w:r>
      <w:r>
        <w:rPr>
          <w:color w:val="231F20"/>
          <w:w w:val="105"/>
        </w:rPr>
        <w:t>relación</w:t>
      </w:r>
      <w:r>
        <w:rPr>
          <w:color w:val="231F20"/>
          <w:spacing w:val="-9"/>
          <w:w w:val="105"/>
        </w:rPr>
        <w:t> </w:t>
      </w:r>
      <w:r>
        <w:rPr>
          <w:color w:val="231F20"/>
          <w:w w:val="105"/>
        </w:rPr>
        <w:t>a</w:t>
      </w:r>
      <w:r>
        <w:rPr>
          <w:color w:val="231F20"/>
          <w:spacing w:val="-9"/>
          <w:w w:val="105"/>
        </w:rPr>
        <w:t> </w:t>
      </w:r>
      <w:r>
        <w:rPr>
          <w:color w:val="231F20"/>
          <w:w w:val="105"/>
        </w:rPr>
        <w:t>su</w:t>
      </w:r>
      <w:r>
        <w:rPr>
          <w:color w:val="231F20"/>
          <w:spacing w:val="-9"/>
          <w:w w:val="105"/>
        </w:rPr>
        <w:t> </w:t>
      </w:r>
      <w:r>
        <w:rPr>
          <w:color w:val="231F20"/>
          <w:w w:val="105"/>
        </w:rPr>
        <w:t>comi- sión,</w:t>
      </w:r>
      <w:r>
        <w:rPr>
          <w:color w:val="231F20"/>
          <w:spacing w:val="-12"/>
          <w:w w:val="105"/>
        </w:rPr>
        <w:t> </w:t>
      </w:r>
      <w:r>
        <w:rPr>
          <w:color w:val="231F20"/>
          <w:w w:val="105"/>
        </w:rPr>
        <w:t>consulta</w:t>
      </w:r>
      <w:r>
        <w:rPr>
          <w:color w:val="231F20"/>
          <w:spacing w:val="-12"/>
          <w:w w:val="105"/>
        </w:rPr>
        <w:t> </w:t>
      </w:r>
      <w:r>
        <w:rPr>
          <w:color w:val="231F20"/>
          <w:w w:val="105"/>
        </w:rPr>
        <w:t>popular</w:t>
      </w:r>
      <w:r>
        <w:rPr>
          <w:color w:val="231F20"/>
          <w:spacing w:val="-12"/>
          <w:w w:val="105"/>
        </w:rPr>
        <w:t> </w:t>
      </w:r>
      <w:r>
        <w:rPr>
          <w:color w:val="231F20"/>
          <w:w w:val="105"/>
        </w:rPr>
        <w:t>mediante</w:t>
      </w:r>
      <w:r>
        <w:rPr>
          <w:color w:val="231F20"/>
          <w:spacing w:val="-12"/>
          <w:w w:val="105"/>
        </w:rPr>
        <w:t> </w:t>
      </w:r>
      <w:r>
        <w:rPr>
          <w:color w:val="231F20"/>
          <w:w w:val="105"/>
        </w:rPr>
        <w:t>los</w:t>
      </w:r>
      <w:r>
        <w:rPr>
          <w:color w:val="231F20"/>
          <w:spacing w:val="-12"/>
          <w:w w:val="105"/>
        </w:rPr>
        <w:t> </w:t>
      </w:r>
      <w:r>
        <w:rPr>
          <w:color w:val="231F20"/>
          <w:w w:val="105"/>
        </w:rPr>
        <w:t>Delegados</w:t>
      </w:r>
      <w:r>
        <w:rPr>
          <w:color w:val="231F20"/>
          <w:spacing w:val="-12"/>
          <w:w w:val="105"/>
        </w:rPr>
        <w:t> </w:t>
      </w:r>
      <w:r>
        <w:rPr>
          <w:color w:val="231F20"/>
          <w:w w:val="105"/>
        </w:rPr>
        <w:t>e</w:t>
      </w:r>
      <w:r>
        <w:rPr>
          <w:color w:val="231F20"/>
          <w:spacing w:val="-12"/>
          <w:w w:val="105"/>
        </w:rPr>
        <w:t> </w:t>
      </w:r>
      <w:r>
        <w:rPr>
          <w:color w:val="231F20"/>
          <w:w w:val="105"/>
        </w:rPr>
        <w:t>integrantes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Consejos</w:t>
      </w:r>
      <w:r>
        <w:rPr>
          <w:color w:val="231F20"/>
          <w:spacing w:val="-12"/>
          <w:w w:val="105"/>
        </w:rPr>
        <w:t> </w:t>
      </w:r>
      <w:r>
        <w:rPr>
          <w:color w:val="231F20"/>
          <w:w w:val="105"/>
        </w:rPr>
        <w:t>de</w:t>
      </w:r>
      <w:r>
        <w:rPr>
          <w:color w:val="231F20"/>
          <w:spacing w:val="-12"/>
          <w:w w:val="105"/>
        </w:rPr>
        <w:t> </w:t>
      </w:r>
      <w:r>
        <w:rPr>
          <w:color w:val="231F20"/>
          <w:w w:val="105"/>
        </w:rPr>
        <w:t>partici- pación</w:t>
      </w:r>
      <w:r>
        <w:rPr>
          <w:color w:val="231F20"/>
          <w:spacing w:val="-14"/>
          <w:w w:val="105"/>
        </w:rPr>
        <w:t> </w:t>
      </w:r>
      <w:r>
        <w:rPr>
          <w:color w:val="231F20"/>
          <w:w w:val="105"/>
        </w:rPr>
        <w:t>ciudadana</w:t>
      </w:r>
      <w:r>
        <w:rPr>
          <w:color w:val="231F20"/>
          <w:spacing w:val="-14"/>
          <w:w w:val="105"/>
        </w:rPr>
        <w:t> </w:t>
      </w:r>
      <w:r>
        <w:rPr>
          <w:color w:val="231F20"/>
          <w:w w:val="105"/>
        </w:rPr>
        <w:t>electos</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w w:val="105"/>
        </w:rPr>
        <w:t>2006-2009,</w:t>
      </w:r>
      <w:r>
        <w:rPr>
          <w:color w:val="231F20"/>
          <w:spacing w:val="-14"/>
          <w:w w:val="105"/>
        </w:rPr>
        <w:t> </w:t>
      </w:r>
      <w:r>
        <w:rPr>
          <w:color w:val="231F20"/>
          <w:w w:val="105"/>
        </w:rPr>
        <w:t>Organizaciones</w:t>
      </w:r>
      <w:r>
        <w:rPr>
          <w:color w:val="231F20"/>
          <w:spacing w:val="-14"/>
          <w:w w:val="105"/>
        </w:rPr>
        <w:t> </w:t>
      </w:r>
      <w:r>
        <w:rPr>
          <w:color w:val="231F20"/>
          <w:w w:val="105"/>
        </w:rPr>
        <w:t>Sociales</w:t>
      </w:r>
      <w:r>
        <w:rPr>
          <w:color w:val="231F20"/>
          <w:spacing w:val="-14"/>
          <w:w w:val="105"/>
        </w:rPr>
        <w:t> </w:t>
      </w:r>
      <w:r>
        <w:rPr>
          <w:color w:val="231F20"/>
          <w:w w:val="105"/>
        </w:rPr>
        <w:t>y</w:t>
      </w:r>
      <w:r>
        <w:rPr>
          <w:color w:val="231F20"/>
          <w:spacing w:val="-14"/>
          <w:w w:val="105"/>
        </w:rPr>
        <w:t> </w:t>
      </w:r>
      <w:r>
        <w:rPr>
          <w:color w:val="231F20"/>
          <w:w w:val="105"/>
        </w:rPr>
        <w:t>Escue- las.</w:t>
      </w:r>
      <w:r>
        <w:rPr>
          <w:color w:val="231F20"/>
          <w:spacing w:val="-17"/>
          <w:w w:val="105"/>
        </w:rPr>
        <w:t> </w:t>
      </w:r>
      <w:r>
        <w:rPr>
          <w:color w:val="231F20"/>
          <w:w w:val="105"/>
        </w:rPr>
        <w:t>Aunque</w:t>
      </w:r>
      <w:r>
        <w:rPr>
          <w:color w:val="231F20"/>
          <w:spacing w:val="-17"/>
          <w:w w:val="105"/>
        </w:rPr>
        <w:t> </w:t>
      </w:r>
      <w:r>
        <w:rPr>
          <w:color w:val="231F20"/>
          <w:w w:val="105"/>
        </w:rPr>
        <w:t>se</w:t>
      </w:r>
      <w:r>
        <w:rPr>
          <w:color w:val="231F20"/>
          <w:spacing w:val="-17"/>
          <w:w w:val="105"/>
        </w:rPr>
        <w:t> </w:t>
      </w:r>
      <w:r>
        <w:rPr>
          <w:color w:val="231F20"/>
          <w:w w:val="105"/>
        </w:rPr>
        <w:t>aclara</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hay</w:t>
      </w:r>
      <w:r>
        <w:rPr>
          <w:color w:val="231F20"/>
          <w:spacing w:val="-17"/>
          <w:w w:val="105"/>
        </w:rPr>
        <w:t> </w:t>
      </w:r>
      <w:r>
        <w:rPr>
          <w:color w:val="231F20"/>
          <w:w w:val="105"/>
        </w:rPr>
        <w:t>información</w:t>
      </w:r>
      <w:r>
        <w:rPr>
          <w:color w:val="231F20"/>
          <w:spacing w:val="-17"/>
          <w:w w:val="105"/>
        </w:rPr>
        <w:t> </w:t>
      </w:r>
      <w:r>
        <w:rPr>
          <w:color w:val="231F20"/>
          <w:w w:val="105"/>
        </w:rPr>
        <w:t>más</w:t>
      </w:r>
      <w:r>
        <w:rPr>
          <w:color w:val="231F20"/>
          <w:spacing w:val="-17"/>
          <w:w w:val="105"/>
        </w:rPr>
        <w:t> </w:t>
      </w:r>
      <w:r>
        <w:rPr>
          <w:color w:val="231F20"/>
          <w:w w:val="105"/>
        </w:rPr>
        <w:t>detallada</w:t>
      </w:r>
      <w:r>
        <w:rPr>
          <w:color w:val="231F20"/>
          <w:spacing w:val="-17"/>
          <w:w w:val="105"/>
        </w:rPr>
        <w:t> </w:t>
      </w:r>
      <w:r>
        <w:rPr>
          <w:color w:val="231F20"/>
          <w:w w:val="105"/>
        </w:rPr>
        <w:t>del</w:t>
      </w:r>
      <w:r>
        <w:rPr>
          <w:color w:val="231F20"/>
          <w:spacing w:val="-17"/>
          <w:w w:val="105"/>
        </w:rPr>
        <w:t> </w:t>
      </w:r>
      <w:r>
        <w:rPr>
          <w:color w:val="231F20"/>
          <w:w w:val="105"/>
        </w:rPr>
        <w:t>porcentaje</w:t>
      </w:r>
      <w:r>
        <w:rPr>
          <w:color w:val="231F20"/>
          <w:spacing w:val="-17"/>
          <w:w w:val="105"/>
        </w:rPr>
        <w:t> </w:t>
      </w:r>
      <w:r>
        <w:rPr>
          <w:color w:val="231F20"/>
          <w:w w:val="105"/>
        </w:rPr>
        <w:t>de</w:t>
      </w:r>
      <w:r>
        <w:rPr>
          <w:color w:val="231F20"/>
          <w:spacing w:val="-17"/>
          <w:w w:val="105"/>
        </w:rPr>
        <w:t> </w:t>
      </w:r>
      <w:r>
        <w:rPr>
          <w:color w:val="231F20"/>
          <w:w w:val="105"/>
        </w:rPr>
        <w:t>participa- ción</w:t>
      </w:r>
      <w:r>
        <w:rPr>
          <w:color w:val="231F20"/>
          <w:spacing w:val="-9"/>
          <w:w w:val="105"/>
        </w:rPr>
        <w:t> </w:t>
      </w:r>
      <w:r>
        <w:rPr>
          <w:color w:val="231F20"/>
          <w:w w:val="105"/>
        </w:rPr>
        <w:t>de</w:t>
      </w:r>
      <w:r>
        <w:rPr>
          <w:color w:val="231F20"/>
          <w:spacing w:val="-9"/>
          <w:w w:val="105"/>
        </w:rPr>
        <w:t> </w:t>
      </w:r>
      <w:r>
        <w:rPr>
          <w:color w:val="231F20"/>
          <w:w w:val="105"/>
        </w:rPr>
        <w:t>cada</w:t>
      </w:r>
      <w:r>
        <w:rPr>
          <w:color w:val="231F20"/>
          <w:spacing w:val="-9"/>
          <w:w w:val="105"/>
        </w:rPr>
        <w:t> </w:t>
      </w:r>
      <w:r>
        <w:rPr>
          <w:color w:val="231F20"/>
          <w:w w:val="105"/>
        </w:rPr>
        <w:t>una</w:t>
      </w:r>
      <w:r>
        <w:rPr>
          <w:color w:val="231F20"/>
          <w:spacing w:val="-9"/>
          <w:w w:val="105"/>
        </w:rPr>
        <w:t> </w:t>
      </w:r>
      <w:r>
        <w:rPr>
          <w:color w:val="231F20"/>
          <w:w w:val="105"/>
        </w:rPr>
        <w:t>de</w:t>
      </w:r>
      <w:r>
        <w:rPr>
          <w:color w:val="231F20"/>
          <w:spacing w:val="-9"/>
          <w:w w:val="105"/>
        </w:rPr>
        <w:t> </w:t>
      </w:r>
      <w:r>
        <w:rPr>
          <w:color w:val="231F20"/>
          <w:w w:val="105"/>
        </w:rPr>
        <w:t>estas.</w:t>
      </w:r>
    </w:p>
    <w:p>
      <w:pPr>
        <w:pStyle w:val="BodyText"/>
        <w:spacing w:before="10"/>
      </w:pPr>
    </w:p>
    <w:p>
      <w:pPr>
        <w:pStyle w:val="Heading3"/>
      </w:pPr>
      <w:r>
        <w:rPr>
          <w:color w:val="231F20"/>
          <w:w w:val="105"/>
        </w:rPr>
        <w:t>Objetivos y Contenido del Plan Municipal de Desarrollo de Chalco</w:t>
      </w:r>
    </w:p>
    <w:p>
      <w:pPr>
        <w:pStyle w:val="BodyText"/>
        <w:spacing w:line="285" w:lineRule="auto" w:before="38"/>
        <w:ind w:left="110" w:right="107"/>
        <w:jc w:val="both"/>
      </w:pPr>
      <w:r>
        <w:rPr>
          <w:color w:val="231F20"/>
          <w:spacing w:val="3"/>
          <w:w w:val="105"/>
        </w:rPr>
        <w:t>Al </w:t>
      </w:r>
      <w:r>
        <w:rPr>
          <w:color w:val="231F20"/>
          <w:w w:val="105"/>
        </w:rPr>
        <w:t>realizar la revisión de lo que se </w:t>
      </w:r>
      <w:r>
        <w:rPr>
          <w:color w:val="231F20"/>
          <w:spacing w:val="-3"/>
          <w:w w:val="105"/>
        </w:rPr>
        <w:t>propone </w:t>
      </w:r>
      <w:r>
        <w:rPr>
          <w:color w:val="231F20"/>
          <w:w w:val="105"/>
        </w:rPr>
        <w:t>en el Plan de Desarrollo Municipal </w:t>
      </w:r>
      <w:r>
        <w:rPr>
          <w:color w:val="231F20"/>
          <w:spacing w:val="-3"/>
          <w:w w:val="105"/>
        </w:rPr>
        <w:t>encon- </w:t>
      </w:r>
      <w:r>
        <w:rPr>
          <w:color w:val="231F20"/>
          <w:w w:val="105"/>
        </w:rPr>
        <w:t>tramos</w:t>
      </w:r>
      <w:r>
        <w:rPr>
          <w:color w:val="231F20"/>
          <w:spacing w:val="-21"/>
          <w:w w:val="105"/>
        </w:rPr>
        <w:t> </w:t>
      </w:r>
      <w:r>
        <w:rPr>
          <w:color w:val="231F20"/>
          <w:w w:val="105"/>
        </w:rPr>
        <w:t>30</w:t>
      </w:r>
      <w:r>
        <w:rPr>
          <w:color w:val="231F20"/>
          <w:spacing w:val="-21"/>
          <w:w w:val="105"/>
        </w:rPr>
        <w:t> </w:t>
      </w:r>
      <w:r>
        <w:rPr>
          <w:color w:val="231F20"/>
          <w:w w:val="105"/>
        </w:rPr>
        <w:t>objetivos,</w:t>
      </w:r>
      <w:r>
        <w:rPr>
          <w:color w:val="231F20"/>
          <w:spacing w:val="-21"/>
          <w:w w:val="105"/>
        </w:rPr>
        <w:t> </w:t>
      </w:r>
      <w:r>
        <w:rPr>
          <w:color w:val="231F20"/>
          <w:w w:val="105"/>
        </w:rPr>
        <w:t>los</w:t>
      </w:r>
      <w:r>
        <w:rPr>
          <w:color w:val="231F20"/>
          <w:spacing w:val="-21"/>
          <w:w w:val="105"/>
        </w:rPr>
        <w:t> </w:t>
      </w:r>
      <w:r>
        <w:rPr>
          <w:color w:val="231F20"/>
          <w:w w:val="105"/>
        </w:rPr>
        <w:t>cuales</w:t>
      </w:r>
      <w:r>
        <w:rPr>
          <w:color w:val="231F20"/>
          <w:spacing w:val="-21"/>
          <w:w w:val="105"/>
        </w:rPr>
        <w:t> </w:t>
      </w:r>
      <w:r>
        <w:rPr>
          <w:color w:val="231F20"/>
          <w:w w:val="105"/>
        </w:rPr>
        <w:t>se</w:t>
      </w:r>
      <w:r>
        <w:rPr>
          <w:color w:val="231F20"/>
          <w:spacing w:val="-21"/>
          <w:w w:val="105"/>
        </w:rPr>
        <w:t> </w:t>
      </w:r>
      <w:r>
        <w:rPr>
          <w:color w:val="231F20"/>
          <w:w w:val="105"/>
        </w:rPr>
        <w:t>retoman</w:t>
      </w:r>
      <w:r>
        <w:rPr>
          <w:color w:val="231F20"/>
          <w:spacing w:val="-21"/>
          <w:w w:val="105"/>
        </w:rPr>
        <w:t> </w:t>
      </w:r>
      <w:r>
        <w:rPr>
          <w:color w:val="231F20"/>
          <w:w w:val="105"/>
        </w:rPr>
        <w:t>a</w:t>
      </w:r>
      <w:r>
        <w:rPr>
          <w:color w:val="231F20"/>
          <w:spacing w:val="-21"/>
          <w:w w:val="105"/>
        </w:rPr>
        <w:t> </w:t>
      </w:r>
      <w:r>
        <w:rPr>
          <w:color w:val="231F20"/>
          <w:w w:val="105"/>
        </w:rPr>
        <w:t>continuación;</w:t>
      </w:r>
      <w:r>
        <w:rPr>
          <w:color w:val="231F20"/>
          <w:spacing w:val="-21"/>
          <w:w w:val="105"/>
        </w:rPr>
        <w:t> </w:t>
      </w:r>
      <w:r>
        <w:rPr>
          <w:color w:val="231F20"/>
          <w:w w:val="105"/>
        </w:rPr>
        <w:t>para</w:t>
      </w:r>
      <w:r>
        <w:rPr>
          <w:color w:val="231F20"/>
          <w:spacing w:val="-21"/>
          <w:w w:val="105"/>
        </w:rPr>
        <w:t> </w:t>
      </w:r>
      <w:r>
        <w:rPr>
          <w:color w:val="231F20"/>
          <w:spacing w:val="-2"/>
          <w:w w:val="105"/>
        </w:rPr>
        <w:t>ver</w:t>
      </w:r>
      <w:r>
        <w:rPr>
          <w:color w:val="231F20"/>
          <w:spacing w:val="-21"/>
          <w:w w:val="105"/>
        </w:rPr>
        <w:t> </w:t>
      </w:r>
      <w:r>
        <w:rPr>
          <w:color w:val="231F20"/>
          <w:w w:val="105"/>
        </w:rPr>
        <w:t>cuales</w:t>
      </w:r>
      <w:r>
        <w:rPr>
          <w:color w:val="231F20"/>
          <w:spacing w:val="-21"/>
          <w:w w:val="105"/>
        </w:rPr>
        <w:t> </w:t>
      </w:r>
      <w:r>
        <w:rPr>
          <w:color w:val="231F20"/>
          <w:w w:val="105"/>
        </w:rPr>
        <w:t>coinciden</w:t>
      </w:r>
      <w:r>
        <w:rPr>
          <w:color w:val="231F20"/>
          <w:spacing w:val="-21"/>
          <w:w w:val="105"/>
        </w:rPr>
        <w:t> </w:t>
      </w:r>
      <w:r>
        <w:rPr>
          <w:color w:val="231F20"/>
          <w:w w:val="105"/>
        </w:rPr>
        <w:t>con el primer y segundo informe de gobierno para que, a su vez, demos a conocer la Obra Pública</w:t>
      </w:r>
      <w:r>
        <w:rPr>
          <w:color w:val="231F20"/>
          <w:spacing w:val="-13"/>
          <w:w w:val="105"/>
        </w:rPr>
        <w:t> </w:t>
      </w:r>
      <w:r>
        <w:rPr>
          <w:color w:val="231F20"/>
          <w:w w:val="105"/>
        </w:rPr>
        <w:t>realizada</w:t>
      </w:r>
      <w:r>
        <w:rPr>
          <w:color w:val="231F20"/>
          <w:spacing w:val="-13"/>
          <w:w w:val="105"/>
        </w:rPr>
        <w:t> </w:t>
      </w:r>
      <w:r>
        <w:rPr>
          <w:color w:val="231F20"/>
          <w:w w:val="105"/>
        </w:rPr>
        <w:t>por</w:t>
      </w:r>
      <w:r>
        <w:rPr>
          <w:color w:val="231F20"/>
          <w:spacing w:val="-13"/>
          <w:w w:val="105"/>
        </w:rPr>
        <w:t> </w:t>
      </w:r>
      <w:r>
        <w:rPr>
          <w:color w:val="231F20"/>
          <w:w w:val="105"/>
        </w:rPr>
        <w:t>esta</w:t>
      </w:r>
      <w:r>
        <w:rPr>
          <w:color w:val="231F20"/>
          <w:spacing w:val="-13"/>
          <w:w w:val="105"/>
        </w:rPr>
        <w:t> </w:t>
      </w:r>
      <w:r>
        <w:rPr>
          <w:color w:val="231F20"/>
          <w:w w:val="105"/>
        </w:rPr>
        <w:t>Administración</w:t>
      </w:r>
      <w:r>
        <w:rPr>
          <w:color w:val="231F20"/>
          <w:spacing w:val="-13"/>
          <w:w w:val="105"/>
        </w:rPr>
        <w:t> </w:t>
      </w:r>
      <w:r>
        <w:rPr>
          <w:color w:val="231F20"/>
          <w:w w:val="105"/>
        </w:rPr>
        <w:t>en</w:t>
      </w:r>
      <w:r>
        <w:rPr>
          <w:color w:val="231F20"/>
          <w:spacing w:val="-13"/>
          <w:w w:val="105"/>
        </w:rPr>
        <w:t> </w:t>
      </w:r>
      <w:r>
        <w:rPr>
          <w:color w:val="231F20"/>
          <w:w w:val="105"/>
        </w:rPr>
        <w:t>cada</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objetivos.</w:t>
      </w:r>
    </w:p>
    <w:p>
      <w:pPr>
        <w:pStyle w:val="ListParagraph"/>
        <w:numPr>
          <w:ilvl w:val="2"/>
          <w:numId w:val="20"/>
        </w:numPr>
        <w:tabs>
          <w:tab w:pos="892"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w w:val="105"/>
          <w:sz w:val="22"/>
        </w:rPr>
        <w:t>Ordenar y regular el crecimiento urbano del municipio vinculado estratégica- mente</w:t>
      </w:r>
      <w:r>
        <w:rPr>
          <w:rFonts w:ascii="Times New Roman" w:hAnsi="Times New Roman"/>
          <w:color w:val="231F20"/>
          <w:spacing w:val="-13"/>
          <w:w w:val="105"/>
          <w:sz w:val="22"/>
        </w:rPr>
        <w:t> </w:t>
      </w:r>
      <w:r>
        <w:rPr>
          <w:rFonts w:ascii="Times New Roman" w:hAnsi="Times New Roman"/>
          <w:color w:val="231F20"/>
          <w:w w:val="105"/>
          <w:sz w:val="22"/>
        </w:rPr>
        <w:t>a</w:t>
      </w:r>
      <w:r>
        <w:rPr>
          <w:rFonts w:ascii="Times New Roman" w:hAnsi="Times New Roman"/>
          <w:color w:val="231F20"/>
          <w:spacing w:val="-13"/>
          <w:w w:val="105"/>
          <w:sz w:val="22"/>
        </w:rPr>
        <w:t> </w:t>
      </w:r>
      <w:r>
        <w:rPr>
          <w:rFonts w:ascii="Times New Roman" w:hAnsi="Times New Roman"/>
          <w:color w:val="231F20"/>
          <w:w w:val="105"/>
          <w:sz w:val="22"/>
        </w:rPr>
        <w:t>un</w:t>
      </w:r>
      <w:r>
        <w:rPr>
          <w:rFonts w:ascii="Times New Roman" w:hAnsi="Times New Roman"/>
          <w:color w:val="231F20"/>
          <w:spacing w:val="-13"/>
          <w:w w:val="105"/>
          <w:sz w:val="22"/>
        </w:rPr>
        <w:t> </w:t>
      </w:r>
      <w:r>
        <w:rPr>
          <w:rFonts w:ascii="Times New Roman" w:hAnsi="Times New Roman"/>
          <w:color w:val="231F20"/>
          <w:w w:val="105"/>
          <w:sz w:val="22"/>
        </w:rPr>
        <w:t>desarrollo</w:t>
      </w:r>
      <w:r>
        <w:rPr>
          <w:rFonts w:ascii="Times New Roman" w:hAnsi="Times New Roman"/>
          <w:color w:val="231F20"/>
          <w:spacing w:val="-13"/>
          <w:w w:val="105"/>
          <w:sz w:val="22"/>
        </w:rPr>
        <w:t> </w:t>
      </w:r>
      <w:r>
        <w:rPr>
          <w:rFonts w:ascii="Times New Roman" w:hAnsi="Times New Roman"/>
          <w:color w:val="231F20"/>
          <w:w w:val="105"/>
          <w:sz w:val="22"/>
        </w:rPr>
        <w:t>social</w:t>
      </w:r>
      <w:r>
        <w:rPr>
          <w:rFonts w:ascii="Times New Roman" w:hAnsi="Times New Roman"/>
          <w:color w:val="231F20"/>
          <w:spacing w:val="-13"/>
          <w:w w:val="105"/>
          <w:sz w:val="22"/>
        </w:rPr>
        <w:t> </w:t>
      </w:r>
      <w:r>
        <w:rPr>
          <w:rFonts w:ascii="Times New Roman" w:hAnsi="Times New Roman"/>
          <w:color w:val="231F20"/>
          <w:w w:val="105"/>
          <w:sz w:val="22"/>
        </w:rPr>
        <w:t>regional</w:t>
      </w:r>
      <w:r>
        <w:rPr>
          <w:rFonts w:ascii="Times New Roman" w:hAnsi="Times New Roman"/>
          <w:color w:val="231F20"/>
          <w:spacing w:val="-13"/>
          <w:w w:val="105"/>
          <w:sz w:val="22"/>
        </w:rPr>
        <w:t> </w:t>
      </w:r>
      <w:r>
        <w:rPr>
          <w:rFonts w:ascii="Times New Roman" w:hAnsi="Times New Roman"/>
          <w:color w:val="231F20"/>
          <w:w w:val="105"/>
          <w:sz w:val="22"/>
        </w:rPr>
        <w:t>sustentables,</w:t>
      </w:r>
      <w:r>
        <w:rPr>
          <w:rFonts w:ascii="Times New Roman" w:hAnsi="Times New Roman"/>
          <w:color w:val="231F20"/>
          <w:spacing w:val="-13"/>
          <w:w w:val="105"/>
          <w:sz w:val="22"/>
        </w:rPr>
        <w:t> </w:t>
      </w:r>
      <w:r>
        <w:rPr>
          <w:rFonts w:ascii="Times New Roman" w:hAnsi="Times New Roman"/>
          <w:color w:val="231F20"/>
          <w:w w:val="105"/>
          <w:sz w:val="22"/>
        </w:rPr>
        <w:t>y</w:t>
      </w:r>
      <w:r>
        <w:rPr>
          <w:rFonts w:ascii="Times New Roman" w:hAnsi="Times New Roman"/>
          <w:color w:val="231F20"/>
          <w:spacing w:val="-13"/>
          <w:w w:val="105"/>
          <w:sz w:val="22"/>
        </w:rPr>
        <w:t> </w:t>
      </w:r>
      <w:r>
        <w:rPr>
          <w:rFonts w:ascii="Times New Roman" w:hAnsi="Times New Roman"/>
          <w:color w:val="231F20"/>
          <w:w w:val="105"/>
          <w:sz w:val="22"/>
        </w:rPr>
        <w:t>fortalecer</w:t>
      </w:r>
      <w:r>
        <w:rPr>
          <w:rFonts w:ascii="Times New Roman" w:hAnsi="Times New Roman"/>
          <w:color w:val="231F20"/>
          <w:spacing w:val="-13"/>
          <w:w w:val="105"/>
          <w:sz w:val="22"/>
        </w:rPr>
        <w:t> </w:t>
      </w:r>
      <w:r>
        <w:rPr>
          <w:rFonts w:ascii="Times New Roman" w:hAnsi="Times New Roman"/>
          <w:color w:val="231F20"/>
          <w:w w:val="105"/>
          <w:sz w:val="22"/>
        </w:rPr>
        <w:t>el</w:t>
      </w:r>
      <w:r>
        <w:rPr>
          <w:rFonts w:ascii="Times New Roman" w:hAnsi="Times New Roman"/>
          <w:color w:val="231F20"/>
          <w:spacing w:val="-13"/>
          <w:w w:val="105"/>
          <w:sz w:val="22"/>
        </w:rPr>
        <w:t> </w:t>
      </w:r>
      <w:r>
        <w:rPr>
          <w:rFonts w:ascii="Times New Roman" w:hAnsi="Times New Roman"/>
          <w:color w:val="231F20"/>
          <w:w w:val="105"/>
          <w:sz w:val="22"/>
        </w:rPr>
        <w:t>papel</w:t>
      </w:r>
      <w:r>
        <w:rPr>
          <w:rFonts w:ascii="Times New Roman" w:hAnsi="Times New Roman"/>
          <w:color w:val="231F20"/>
          <w:spacing w:val="-13"/>
          <w:w w:val="105"/>
          <w:sz w:val="22"/>
        </w:rPr>
        <w:t> </w:t>
      </w:r>
      <w:r>
        <w:rPr>
          <w:rFonts w:ascii="Times New Roman" w:hAnsi="Times New Roman"/>
          <w:color w:val="231F20"/>
          <w:w w:val="105"/>
          <w:sz w:val="22"/>
        </w:rPr>
        <w:t>del</w:t>
      </w:r>
      <w:r>
        <w:rPr>
          <w:rFonts w:ascii="Times New Roman" w:hAnsi="Times New Roman"/>
          <w:color w:val="231F20"/>
          <w:spacing w:val="-13"/>
          <w:w w:val="105"/>
          <w:sz w:val="22"/>
        </w:rPr>
        <w:t> </w:t>
      </w:r>
      <w:r>
        <w:rPr>
          <w:rFonts w:ascii="Times New Roman" w:hAnsi="Times New Roman"/>
          <w:color w:val="231F20"/>
          <w:w w:val="105"/>
          <w:sz w:val="22"/>
        </w:rPr>
        <w:t>muni- cipio</w:t>
      </w:r>
      <w:r>
        <w:rPr>
          <w:rFonts w:ascii="Times New Roman" w:hAnsi="Times New Roman"/>
          <w:color w:val="231F20"/>
          <w:spacing w:val="-17"/>
          <w:w w:val="105"/>
          <w:sz w:val="22"/>
        </w:rPr>
        <w:t> </w:t>
      </w:r>
      <w:r>
        <w:rPr>
          <w:rFonts w:ascii="Times New Roman" w:hAnsi="Times New Roman"/>
          <w:color w:val="231F20"/>
          <w:w w:val="105"/>
          <w:sz w:val="22"/>
        </w:rPr>
        <w:t>en</w:t>
      </w:r>
      <w:r>
        <w:rPr>
          <w:rFonts w:ascii="Times New Roman" w:hAnsi="Times New Roman"/>
          <w:color w:val="231F20"/>
          <w:spacing w:val="-17"/>
          <w:w w:val="105"/>
          <w:sz w:val="22"/>
        </w:rPr>
        <w:t> </w:t>
      </w:r>
      <w:r>
        <w:rPr>
          <w:rFonts w:ascii="Times New Roman" w:hAnsi="Times New Roman"/>
          <w:color w:val="231F20"/>
          <w:w w:val="105"/>
          <w:sz w:val="22"/>
        </w:rPr>
        <w:t>la</w:t>
      </w:r>
      <w:r>
        <w:rPr>
          <w:rFonts w:ascii="Times New Roman" w:hAnsi="Times New Roman"/>
          <w:color w:val="231F20"/>
          <w:spacing w:val="-17"/>
          <w:w w:val="105"/>
          <w:sz w:val="22"/>
        </w:rPr>
        <w:t> </w:t>
      </w:r>
      <w:r>
        <w:rPr>
          <w:rFonts w:ascii="Times New Roman" w:hAnsi="Times New Roman"/>
          <w:color w:val="231F20"/>
          <w:w w:val="105"/>
          <w:sz w:val="22"/>
        </w:rPr>
        <w:t>materia</w:t>
      </w:r>
      <w:r>
        <w:rPr>
          <w:rFonts w:ascii="Times New Roman" w:hAnsi="Times New Roman"/>
          <w:color w:val="231F20"/>
          <w:spacing w:val="-17"/>
          <w:w w:val="105"/>
          <w:sz w:val="22"/>
        </w:rPr>
        <w:t> </w:t>
      </w:r>
      <w:r>
        <w:rPr>
          <w:rFonts w:ascii="Times New Roman" w:hAnsi="Times New Roman"/>
          <w:color w:val="231F20"/>
          <w:w w:val="105"/>
          <w:sz w:val="22"/>
        </w:rPr>
        <w:t>como</w:t>
      </w:r>
      <w:r>
        <w:rPr>
          <w:rFonts w:ascii="Times New Roman" w:hAnsi="Times New Roman"/>
          <w:color w:val="231F20"/>
          <w:spacing w:val="-17"/>
          <w:w w:val="105"/>
          <w:sz w:val="22"/>
        </w:rPr>
        <w:t> </w:t>
      </w:r>
      <w:r>
        <w:rPr>
          <w:rFonts w:ascii="Times New Roman" w:hAnsi="Times New Roman"/>
          <w:color w:val="231F20"/>
          <w:w w:val="105"/>
          <w:sz w:val="22"/>
        </w:rPr>
        <w:t>responsable</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su</w:t>
      </w:r>
      <w:r>
        <w:rPr>
          <w:rFonts w:ascii="Times New Roman" w:hAnsi="Times New Roman"/>
          <w:color w:val="231F20"/>
          <w:spacing w:val="-17"/>
          <w:w w:val="105"/>
          <w:sz w:val="22"/>
        </w:rPr>
        <w:t> </w:t>
      </w:r>
      <w:r>
        <w:rPr>
          <w:rFonts w:ascii="Times New Roman" w:hAnsi="Times New Roman"/>
          <w:color w:val="231F20"/>
          <w:w w:val="105"/>
          <w:sz w:val="22"/>
        </w:rPr>
        <w:t>planeación</w:t>
      </w:r>
      <w:r>
        <w:rPr>
          <w:rFonts w:ascii="Times New Roman" w:hAnsi="Times New Roman"/>
          <w:color w:val="231F20"/>
          <w:spacing w:val="-17"/>
          <w:w w:val="105"/>
          <w:sz w:val="22"/>
        </w:rPr>
        <w:t> </w:t>
      </w:r>
      <w:r>
        <w:rPr>
          <w:rFonts w:ascii="Times New Roman" w:hAnsi="Times New Roman"/>
          <w:color w:val="231F20"/>
          <w:w w:val="105"/>
          <w:sz w:val="22"/>
        </w:rPr>
        <w:t>y</w:t>
      </w:r>
      <w:r>
        <w:rPr>
          <w:rFonts w:ascii="Times New Roman" w:hAnsi="Times New Roman"/>
          <w:color w:val="231F20"/>
          <w:spacing w:val="-17"/>
          <w:w w:val="105"/>
          <w:sz w:val="22"/>
        </w:rPr>
        <w:t> </w:t>
      </w:r>
      <w:r>
        <w:rPr>
          <w:rFonts w:ascii="Times New Roman" w:hAnsi="Times New Roman"/>
          <w:color w:val="231F20"/>
          <w:w w:val="105"/>
          <w:sz w:val="22"/>
        </w:rPr>
        <w:t>operación</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acciones.</w:t>
      </w:r>
    </w:p>
    <w:p>
      <w:pPr>
        <w:pStyle w:val="ListParagraph"/>
        <w:numPr>
          <w:ilvl w:val="2"/>
          <w:numId w:val="20"/>
        </w:numPr>
        <w:tabs>
          <w:tab w:pos="897"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w w:val="105"/>
          <w:sz w:val="22"/>
        </w:rPr>
        <w:t>Contar</w:t>
      </w:r>
      <w:r>
        <w:rPr>
          <w:rFonts w:ascii="Times New Roman" w:hAnsi="Times New Roman"/>
          <w:color w:val="231F20"/>
          <w:spacing w:val="-10"/>
          <w:w w:val="105"/>
          <w:sz w:val="22"/>
        </w:rPr>
        <w:t> </w:t>
      </w:r>
      <w:r>
        <w:rPr>
          <w:rFonts w:ascii="Times New Roman" w:hAnsi="Times New Roman"/>
          <w:color w:val="231F20"/>
          <w:w w:val="105"/>
          <w:sz w:val="22"/>
        </w:rPr>
        <w:t>con</w:t>
      </w:r>
      <w:r>
        <w:rPr>
          <w:rFonts w:ascii="Times New Roman" w:hAnsi="Times New Roman"/>
          <w:color w:val="231F20"/>
          <w:spacing w:val="-10"/>
          <w:w w:val="105"/>
          <w:sz w:val="22"/>
        </w:rPr>
        <w:t> </w:t>
      </w:r>
      <w:r>
        <w:rPr>
          <w:rFonts w:ascii="Times New Roman" w:hAnsi="Times New Roman"/>
          <w:color w:val="231F20"/>
          <w:w w:val="105"/>
          <w:sz w:val="22"/>
        </w:rPr>
        <w:t>suficiente</w:t>
      </w:r>
      <w:r>
        <w:rPr>
          <w:rFonts w:ascii="Times New Roman" w:hAnsi="Times New Roman"/>
          <w:color w:val="231F20"/>
          <w:spacing w:val="-10"/>
          <w:w w:val="105"/>
          <w:sz w:val="22"/>
        </w:rPr>
        <w:t> </w:t>
      </w:r>
      <w:r>
        <w:rPr>
          <w:rFonts w:ascii="Times New Roman" w:hAnsi="Times New Roman"/>
          <w:color w:val="231F20"/>
          <w:w w:val="105"/>
          <w:sz w:val="22"/>
        </w:rPr>
        <w:t>oferta</w:t>
      </w:r>
      <w:r>
        <w:rPr>
          <w:rFonts w:ascii="Times New Roman" w:hAnsi="Times New Roman"/>
          <w:color w:val="231F20"/>
          <w:spacing w:val="-10"/>
          <w:w w:val="105"/>
          <w:sz w:val="22"/>
        </w:rPr>
        <w:t> </w:t>
      </w:r>
      <w:r>
        <w:rPr>
          <w:rFonts w:ascii="Times New Roman" w:hAnsi="Times New Roman"/>
          <w:color w:val="231F20"/>
          <w:w w:val="105"/>
          <w:sz w:val="22"/>
        </w:rPr>
        <w:t>de</w:t>
      </w:r>
      <w:r>
        <w:rPr>
          <w:rFonts w:ascii="Times New Roman" w:hAnsi="Times New Roman"/>
          <w:color w:val="231F20"/>
          <w:spacing w:val="-10"/>
          <w:w w:val="105"/>
          <w:sz w:val="22"/>
        </w:rPr>
        <w:t> </w:t>
      </w:r>
      <w:r>
        <w:rPr>
          <w:rFonts w:ascii="Times New Roman" w:hAnsi="Times New Roman"/>
          <w:color w:val="231F20"/>
          <w:w w:val="105"/>
          <w:sz w:val="22"/>
        </w:rPr>
        <w:t>suelo</w:t>
      </w:r>
      <w:r>
        <w:rPr>
          <w:rFonts w:ascii="Times New Roman" w:hAnsi="Times New Roman"/>
          <w:color w:val="231F20"/>
          <w:spacing w:val="-10"/>
          <w:w w:val="105"/>
          <w:sz w:val="22"/>
        </w:rPr>
        <w:t> </w:t>
      </w:r>
      <w:r>
        <w:rPr>
          <w:rFonts w:ascii="Times New Roman" w:hAnsi="Times New Roman"/>
          <w:color w:val="231F20"/>
          <w:w w:val="105"/>
          <w:sz w:val="22"/>
        </w:rPr>
        <w:t>apto</w:t>
      </w:r>
      <w:r>
        <w:rPr>
          <w:rFonts w:ascii="Times New Roman" w:hAnsi="Times New Roman"/>
          <w:color w:val="231F20"/>
          <w:spacing w:val="-10"/>
          <w:w w:val="105"/>
          <w:sz w:val="22"/>
        </w:rPr>
        <w:t> </w:t>
      </w:r>
      <w:r>
        <w:rPr>
          <w:rFonts w:ascii="Times New Roman" w:hAnsi="Times New Roman"/>
          <w:color w:val="231F20"/>
          <w:w w:val="105"/>
          <w:sz w:val="22"/>
        </w:rPr>
        <w:t>y</w:t>
      </w:r>
      <w:r>
        <w:rPr>
          <w:rFonts w:ascii="Times New Roman" w:hAnsi="Times New Roman"/>
          <w:color w:val="231F20"/>
          <w:spacing w:val="-10"/>
          <w:w w:val="105"/>
          <w:sz w:val="22"/>
        </w:rPr>
        <w:t> </w:t>
      </w:r>
      <w:r>
        <w:rPr>
          <w:rFonts w:ascii="Times New Roman" w:hAnsi="Times New Roman"/>
          <w:color w:val="231F20"/>
          <w:w w:val="105"/>
          <w:sz w:val="22"/>
        </w:rPr>
        <w:t>legal</w:t>
      </w:r>
      <w:r>
        <w:rPr>
          <w:rFonts w:ascii="Times New Roman" w:hAnsi="Times New Roman"/>
          <w:color w:val="231F20"/>
          <w:spacing w:val="-10"/>
          <w:w w:val="105"/>
          <w:sz w:val="22"/>
        </w:rPr>
        <w:t> </w:t>
      </w:r>
      <w:r>
        <w:rPr>
          <w:rFonts w:ascii="Times New Roman" w:hAnsi="Times New Roman"/>
          <w:color w:val="231F20"/>
          <w:w w:val="105"/>
          <w:sz w:val="22"/>
        </w:rPr>
        <w:t>para</w:t>
      </w:r>
      <w:r>
        <w:rPr>
          <w:rFonts w:ascii="Times New Roman" w:hAnsi="Times New Roman"/>
          <w:color w:val="231F20"/>
          <w:spacing w:val="-10"/>
          <w:w w:val="105"/>
          <w:sz w:val="22"/>
        </w:rPr>
        <w:t> </w:t>
      </w:r>
      <w:r>
        <w:rPr>
          <w:rFonts w:ascii="Times New Roman" w:hAnsi="Times New Roman"/>
          <w:color w:val="231F20"/>
          <w:w w:val="105"/>
          <w:sz w:val="22"/>
        </w:rPr>
        <w:t>satisfacer</w:t>
      </w:r>
      <w:r>
        <w:rPr>
          <w:rFonts w:ascii="Times New Roman" w:hAnsi="Times New Roman"/>
          <w:color w:val="231F20"/>
          <w:spacing w:val="-10"/>
          <w:w w:val="105"/>
          <w:sz w:val="22"/>
        </w:rPr>
        <w:t> </w:t>
      </w:r>
      <w:r>
        <w:rPr>
          <w:rFonts w:ascii="Times New Roman" w:hAnsi="Times New Roman"/>
          <w:color w:val="231F20"/>
          <w:w w:val="105"/>
          <w:sz w:val="22"/>
        </w:rPr>
        <w:t>a</w:t>
      </w:r>
      <w:r>
        <w:rPr>
          <w:rFonts w:ascii="Times New Roman" w:hAnsi="Times New Roman"/>
          <w:color w:val="231F20"/>
          <w:spacing w:val="-10"/>
          <w:w w:val="105"/>
          <w:sz w:val="22"/>
        </w:rPr>
        <w:t> </w:t>
      </w:r>
      <w:r>
        <w:rPr>
          <w:rFonts w:ascii="Times New Roman" w:hAnsi="Times New Roman"/>
          <w:color w:val="231F20"/>
          <w:w w:val="105"/>
          <w:sz w:val="22"/>
        </w:rPr>
        <w:t>costos</w:t>
      </w:r>
      <w:r>
        <w:rPr>
          <w:rFonts w:ascii="Times New Roman" w:hAnsi="Times New Roman"/>
          <w:color w:val="231F20"/>
          <w:spacing w:val="-10"/>
          <w:w w:val="105"/>
          <w:sz w:val="22"/>
        </w:rPr>
        <w:t> </w:t>
      </w:r>
      <w:r>
        <w:rPr>
          <w:rFonts w:ascii="Times New Roman" w:hAnsi="Times New Roman"/>
          <w:color w:val="231F20"/>
          <w:w w:val="105"/>
          <w:sz w:val="22"/>
        </w:rPr>
        <w:t>razo- nables,</w:t>
      </w:r>
      <w:r>
        <w:rPr>
          <w:rFonts w:ascii="Times New Roman" w:hAnsi="Times New Roman"/>
          <w:color w:val="231F20"/>
          <w:spacing w:val="-12"/>
          <w:w w:val="105"/>
          <w:sz w:val="22"/>
        </w:rPr>
        <w:t> </w:t>
      </w:r>
      <w:r>
        <w:rPr>
          <w:rFonts w:ascii="Times New Roman" w:hAnsi="Times New Roman"/>
          <w:color w:val="231F20"/>
          <w:w w:val="105"/>
          <w:sz w:val="22"/>
        </w:rPr>
        <w:t>ordenada</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anticipadamente</w:t>
      </w:r>
      <w:r>
        <w:rPr>
          <w:rFonts w:ascii="Times New Roman" w:hAnsi="Times New Roman"/>
          <w:color w:val="231F20"/>
          <w:spacing w:val="-12"/>
          <w:w w:val="105"/>
          <w:sz w:val="22"/>
        </w:rPr>
        <w:t> </w:t>
      </w:r>
      <w:r>
        <w:rPr>
          <w:rFonts w:ascii="Times New Roman" w:hAnsi="Times New Roman"/>
          <w:color w:val="231F20"/>
          <w:w w:val="105"/>
          <w:sz w:val="22"/>
        </w:rPr>
        <w:t>las</w:t>
      </w:r>
      <w:r>
        <w:rPr>
          <w:rFonts w:ascii="Times New Roman" w:hAnsi="Times New Roman"/>
          <w:color w:val="231F20"/>
          <w:spacing w:val="-12"/>
          <w:w w:val="105"/>
          <w:sz w:val="22"/>
        </w:rPr>
        <w:t> </w:t>
      </w:r>
      <w:r>
        <w:rPr>
          <w:rFonts w:ascii="Times New Roman" w:hAnsi="Times New Roman"/>
          <w:color w:val="231F20"/>
          <w:w w:val="105"/>
          <w:sz w:val="22"/>
        </w:rPr>
        <w:t>necesidades</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vivienda</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equipamiento, con énfasis especial en la población de menos recursos para abatir la incorpora- ción de asentamientos humanos</w:t>
      </w:r>
      <w:r>
        <w:rPr>
          <w:rFonts w:ascii="Times New Roman" w:hAnsi="Times New Roman"/>
          <w:color w:val="231F20"/>
          <w:spacing w:val="-15"/>
          <w:w w:val="105"/>
          <w:sz w:val="22"/>
        </w:rPr>
        <w:t> </w:t>
      </w:r>
      <w:r>
        <w:rPr>
          <w:rFonts w:ascii="Times New Roman" w:hAnsi="Times New Roman"/>
          <w:color w:val="231F20"/>
          <w:w w:val="105"/>
          <w:sz w:val="22"/>
        </w:rPr>
        <w:t>irregulares.</w:t>
      </w:r>
    </w:p>
    <w:p>
      <w:pPr>
        <w:pStyle w:val="ListParagraph"/>
        <w:numPr>
          <w:ilvl w:val="2"/>
          <w:numId w:val="20"/>
        </w:numPr>
        <w:tabs>
          <w:tab w:pos="918" w:val="left" w:leader="none"/>
        </w:tabs>
        <w:spacing w:line="285" w:lineRule="auto" w:before="1" w:after="0"/>
        <w:ind w:left="677" w:right="109" w:firstLine="0"/>
        <w:jc w:val="both"/>
        <w:rPr>
          <w:rFonts w:ascii="Times New Roman" w:hAnsi="Times New Roman"/>
          <w:sz w:val="22"/>
        </w:rPr>
      </w:pPr>
      <w:r>
        <w:rPr>
          <w:rFonts w:ascii="Times New Roman" w:hAnsi="Times New Roman"/>
          <w:color w:val="231F20"/>
          <w:w w:val="105"/>
          <w:sz w:val="22"/>
        </w:rPr>
        <w:t>Avanzar en la producción y mejoramiento de vivienda para abatir el rezago existente.</w:t>
      </w:r>
    </w:p>
    <w:p>
      <w:pPr>
        <w:pStyle w:val="ListParagraph"/>
        <w:numPr>
          <w:ilvl w:val="2"/>
          <w:numId w:val="20"/>
        </w:numPr>
        <w:tabs>
          <w:tab w:pos="909"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w w:val="105"/>
          <w:sz w:val="22"/>
        </w:rPr>
        <w:t>Satisfacer la demanda de los servicios públicos creando y manteniendo la in- fraestructura,</w:t>
      </w:r>
      <w:r>
        <w:rPr>
          <w:rFonts w:ascii="Times New Roman" w:hAnsi="Times New Roman"/>
          <w:color w:val="231F20"/>
          <w:spacing w:val="-11"/>
          <w:w w:val="105"/>
          <w:sz w:val="22"/>
        </w:rPr>
        <w:t> </w:t>
      </w:r>
      <w:r>
        <w:rPr>
          <w:rFonts w:ascii="Times New Roman" w:hAnsi="Times New Roman"/>
          <w:color w:val="231F20"/>
          <w:w w:val="105"/>
          <w:sz w:val="22"/>
        </w:rPr>
        <w:t>ampliar</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cobertura</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mejorando</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calidad</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eficiencia,</w:t>
      </w:r>
      <w:r>
        <w:rPr>
          <w:rFonts w:ascii="Times New Roman" w:hAnsi="Times New Roman"/>
          <w:color w:val="231F20"/>
          <w:spacing w:val="-11"/>
          <w:w w:val="105"/>
          <w:sz w:val="22"/>
        </w:rPr>
        <w:t> </w:t>
      </w:r>
      <w:r>
        <w:rPr>
          <w:rFonts w:ascii="Times New Roman" w:hAnsi="Times New Roman"/>
          <w:color w:val="231F20"/>
          <w:w w:val="105"/>
          <w:sz w:val="22"/>
        </w:rPr>
        <w:t>asimismo procurar</w:t>
      </w:r>
      <w:r>
        <w:rPr>
          <w:rFonts w:ascii="Times New Roman" w:hAnsi="Times New Roman"/>
          <w:color w:val="231F20"/>
          <w:spacing w:val="-15"/>
          <w:w w:val="105"/>
          <w:sz w:val="22"/>
        </w:rPr>
        <w:t> </w:t>
      </w:r>
      <w:r>
        <w:rPr>
          <w:rFonts w:ascii="Times New Roman" w:hAnsi="Times New Roman"/>
          <w:color w:val="231F20"/>
          <w:w w:val="105"/>
          <w:sz w:val="22"/>
        </w:rPr>
        <w:t>la</w:t>
      </w:r>
      <w:r>
        <w:rPr>
          <w:rFonts w:ascii="Times New Roman" w:hAnsi="Times New Roman"/>
          <w:color w:val="231F20"/>
          <w:spacing w:val="-15"/>
          <w:w w:val="105"/>
          <w:sz w:val="22"/>
        </w:rPr>
        <w:t> </w:t>
      </w:r>
      <w:r>
        <w:rPr>
          <w:rFonts w:ascii="Times New Roman" w:hAnsi="Times New Roman"/>
          <w:color w:val="231F20"/>
          <w:w w:val="105"/>
          <w:sz w:val="22"/>
        </w:rPr>
        <w:t>autosuficiencia</w:t>
      </w:r>
      <w:r>
        <w:rPr>
          <w:rFonts w:ascii="Times New Roman" w:hAnsi="Times New Roman"/>
          <w:color w:val="231F20"/>
          <w:spacing w:val="-15"/>
          <w:w w:val="105"/>
          <w:sz w:val="22"/>
        </w:rPr>
        <w:t> </w:t>
      </w:r>
      <w:r>
        <w:rPr>
          <w:rFonts w:ascii="Times New Roman" w:hAnsi="Times New Roman"/>
          <w:color w:val="231F20"/>
          <w:w w:val="105"/>
          <w:sz w:val="22"/>
        </w:rPr>
        <w:t>financiera.</w:t>
      </w:r>
    </w:p>
    <w:p>
      <w:pPr>
        <w:pStyle w:val="ListParagraph"/>
        <w:numPr>
          <w:ilvl w:val="2"/>
          <w:numId w:val="20"/>
        </w:numPr>
        <w:tabs>
          <w:tab w:pos="894" w:val="left" w:leader="none"/>
        </w:tabs>
        <w:spacing w:line="285" w:lineRule="auto" w:before="1" w:after="0"/>
        <w:ind w:left="677" w:right="107" w:firstLine="0"/>
        <w:jc w:val="both"/>
        <w:rPr>
          <w:rFonts w:ascii="Times New Roman" w:hAnsi="Times New Roman"/>
          <w:sz w:val="22"/>
        </w:rPr>
      </w:pPr>
      <w:r>
        <w:rPr>
          <w:rFonts w:ascii="Times New Roman" w:hAnsi="Times New Roman"/>
          <w:color w:val="231F20"/>
          <w:w w:val="105"/>
          <w:sz w:val="22"/>
        </w:rPr>
        <w:t>Revertir</w:t>
      </w:r>
      <w:r>
        <w:rPr>
          <w:rFonts w:ascii="Times New Roman" w:hAnsi="Times New Roman"/>
          <w:color w:val="231F20"/>
          <w:spacing w:val="-11"/>
          <w:w w:val="105"/>
          <w:sz w:val="22"/>
        </w:rPr>
        <w:t> </w:t>
      </w:r>
      <w:r>
        <w:rPr>
          <w:rFonts w:ascii="Times New Roman" w:hAnsi="Times New Roman"/>
          <w:color w:val="231F20"/>
          <w:w w:val="105"/>
          <w:sz w:val="22"/>
        </w:rPr>
        <w:t>los</w:t>
      </w:r>
      <w:r>
        <w:rPr>
          <w:rFonts w:ascii="Times New Roman" w:hAnsi="Times New Roman"/>
          <w:color w:val="231F20"/>
          <w:spacing w:val="-11"/>
          <w:w w:val="105"/>
          <w:sz w:val="22"/>
        </w:rPr>
        <w:t> </w:t>
      </w:r>
      <w:r>
        <w:rPr>
          <w:rFonts w:ascii="Times New Roman" w:hAnsi="Times New Roman"/>
          <w:color w:val="231F20"/>
          <w:w w:val="105"/>
          <w:sz w:val="22"/>
        </w:rPr>
        <w:t>procesos</w:t>
      </w:r>
      <w:r>
        <w:rPr>
          <w:rFonts w:ascii="Times New Roman" w:hAnsi="Times New Roman"/>
          <w:color w:val="231F20"/>
          <w:spacing w:val="-11"/>
          <w:w w:val="105"/>
          <w:sz w:val="22"/>
        </w:rPr>
        <w:t> </w:t>
      </w:r>
      <w:r>
        <w:rPr>
          <w:rFonts w:ascii="Times New Roman" w:hAnsi="Times New Roman"/>
          <w:color w:val="231F20"/>
          <w:w w:val="105"/>
          <w:sz w:val="22"/>
        </w:rPr>
        <w:t>que</w:t>
      </w:r>
      <w:r>
        <w:rPr>
          <w:rFonts w:ascii="Times New Roman" w:hAnsi="Times New Roman"/>
          <w:color w:val="231F20"/>
          <w:spacing w:val="-11"/>
          <w:w w:val="105"/>
          <w:sz w:val="22"/>
        </w:rPr>
        <w:t> </w:t>
      </w:r>
      <w:r>
        <w:rPr>
          <w:rFonts w:ascii="Times New Roman" w:hAnsi="Times New Roman"/>
          <w:color w:val="231F20"/>
          <w:w w:val="105"/>
          <w:sz w:val="22"/>
        </w:rPr>
        <w:t>propician</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contaminación</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pérdida</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biodiver- sidad,</w:t>
      </w:r>
      <w:r>
        <w:rPr>
          <w:rFonts w:ascii="Times New Roman" w:hAnsi="Times New Roman"/>
          <w:color w:val="231F20"/>
          <w:spacing w:val="-15"/>
          <w:w w:val="105"/>
          <w:sz w:val="22"/>
        </w:rPr>
        <w:t> </w:t>
      </w:r>
      <w:r>
        <w:rPr>
          <w:rFonts w:ascii="Times New Roman" w:hAnsi="Times New Roman"/>
          <w:color w:val="231F20"/>
          <w:w w:val="105"/>
          <w:sz w:val="22"/>
        </w:rPr>
        <w:t>así</w:t>
      </w:r>
      <w:r>
        <w:rPr>
          <w:rFonts w:ascii="Times New Roman" w:hAnsi="Times New Roman"/>
          <w:color w:val="231F20"/>
          <w:spacing w:val="-15"/>
          <w:w w:val="105"/>
          <w:sz w:val="22"/>
        </w:rPr>
        <w:t> </w:t>
      </w:r>
      <w:r>
        <w:rPr>
          <w:rFonts w:ascii="Times New Roman" w:hAnsi="Times New Roman"/>
          <w:color w:val="231F20"/>
          <w:w w:val="105"/>
          <w:sz w:val="22"/>
        </w:rPr>
        <w:t>como</w:t>
      </w:r>
      <w:r>
        <w:rPr>
          <w:rFonts w:ascii="Times New Roman" w:hAnsi="Times New Roman"/>
          <w:color w:val="231F20"/>
          <w:spacing w:val="-15"/>
          <w:w w:val="105"/>
          <w:sz w:val="22"/>
        </w:rPr>
        <w:t> </w:t>
      </w:r>
      <w:r>
        <w:rPr>
          <w:rFonts w:ascii="Times New Roman" w:hAnsi="Times New Roman"/>
          <w:color w:val="231F20"/>
          <w:w w:val="105"/>
          <w:sz w:val="22"/>
        </w:rPr>
        <w:t>los</w:t>
      </w:r>
      <w:r>
        <w:rPr>
          <w:rFonts w:ascii="Times New Roman" w:hAnsi="Times New Roman"/>
          <w:color w:val="231F20"/>
          <w:spacing w:val="-15"/>
          <w:w w:val="105"/>
          <w:sz w:val="22"/>
        </w:rPr>
        <w:t> </w:t>
      </w:r>
      <w:r>
        <w:rPr>
          <w:rFonts w:ascii="Times New Roman" w:hAnsi="Times New Roman"/>
          <w:color w:val="231F20"/>
          <w:w w:val="105"/>
          <w:sz w:val="22"/>
        </w:rPr>
        <w:t>recursos</w:t>
      </w:r>
      <w:r>
        <w:rPr>
          <w:rFonts w:ascii="Times New Roman" w:hAnsi="Times New Roman"/>
          <w:color w:val="231F20"/>
          <w:spacing w:val="-15"/>
          <w:w w:val="105"/>
          <w:sz w:val="22"/>
        </w:rPr>
        <w:t> </w:t>
      </w:r>
      <w:r>
        <w:rPr>
          <w:rFonts w:ascii="Times New Roman" w:hAnsi="Times New Roman"/>
          <w:color w:val="231F20"/>
          <w:w w:val="105"/>
          <w:sz w:val="22"/>
        </w:rPr>
        <w:t>naturales,</w:t>
      </w:r>
      <w:r>
        <w:rPr>
          <w:rFonts w:ascii="Times New Roman" w:hAnsi="Times New Roman"/>
          <w:color w:val="231F20"/>
          <w:spacing w:val="-15"/>
          <w:w w:val="105"/>
          <w:sz w:val="22"/>
        </w:rPr>
        <w:t> </w:t>
      </w:r>
      <w:r>
        <w:rPr>
          <w:rFonts w:ascii="Times New Roman" w:hAnsi="Times New Roman"/>
          <w:color w:val="231F20"/>
          <w:w w:val="105"/>
          <w:sz w:val="22"/>
        </w:rPr>
        <w:t>impulsados</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manera</w:t>
      </w:r>
      <w:r>
        <w:rPr>
          <w:rFonts w:ascii="Times New Roman" w:hAnsi="Times New Roman"/>
          <w:color w:val="231F20"/>
          <w:spacing w:val="-15"/>
          <w:w w:val="105"/>
          <w:sz w:val="22"/>
        </w:rPr>
        <w:t> </w:t>
      </w:r>
      <w:r>
        <w:rPr>
          <w:rFonts w:ascii="Times New Roman" w:hAnsi="Times New Roman"/>
          <w:color w:val="231F20"/>
          <w:w w:val="105"/>
          <w:sz w:val="22"/>
        </w:rPr>
        <w:t>corresponsable</w:t>
      </w:r>
      <w:r>
        <w:rPr>
          <w:rFonts w:ascii="Times New Roman" w:hAnsi="Times New Roman"/>
          <w:color w:val="231F20"/>
          <w:spacing w:val="-15"/>
          <w:w w:val="105"/>
          <w:sz w:val="22"/>
        </w:rPr>
        <w:t> </w:t>
      </w:r>
      <w:r>
        <w:rPr>
          <w:rFonts w:ascii="Times New Roman" w:hAnsi="Times New Roman"/>
          <w:color w:val="231F20"/>
          <w:w w:val="105"/>
          <w:sz w:val="22"/>
        </w:rPr>
        <w:t>con los</w:t>
      </w:r>
      <w:r>
        <w:rPr>
          <w:rFonts w:ascii="Times New Roman" w:hAnsi="Times New Roman"/>
          <w:color w:val="231F20"/>
          <w:spacing w:val="-12"/>
          <w:w w:val="105"/>
          <w:sz w:val="22"/>
        </w:rPr>
        <w:t> </w:t>
      </w:r>
      <w:r>
        <w:rPr>
          <w:rFonts w:ascii="Times New Roman" w:hAnsi="Times New Roman"/>
          <w:color w:val="231F20"/>
          <w:w w:val="105"/>
          <w:sz w:val="22"/>
        </w:rPr>
        <w:t>diferentes</w:t>
      </w:r>
      <w:r>
        <w:rPr>
          <w:rFonts w:ascii="Times New Roman" w:hAnsi="Times New Roman"/>
          <w:color w:val="231F20"/>
          <w:spacing w:val="-12"/>
          <w:w w:val="105"/>
          <w:sz w:val="22"/>
        </w:rPr>
        <w:t> </w:t>
      </w:r>
      <w:r>
        <w:rPr>
          <w:rFonts w:ascii="Times New Roman" w:hAnsi="Times New Roman"/>
          <w:color w:val="231F20"/>
          <w:w w:val="105"/>
          <w:sz w:val="22"/>
        </w:rPr>
        <w:t>sectores</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la</w:t>
      </w:r>
      <w:r>
        <w:rPr>
          <w:rFonts w:ascii="Times New Roman" w:hAnsi="Times New Roman"/>
          <w:color w:val="231F20"/>
          <w:spacing w:val="-12"/>
          <w:w w:val="105"/>
          <w:sz w:val="22"/>
        </w:rPr>
        <w:t> </w:t>
      </w:r>
      <w:r>
        <w:rPr>
          <w:rFonts w:ascii="Times New Roman" w:hAnsi="Times New Roman"/>
          <w:color w:val="231F20"/>
          <w:w w:val="105"/>
          <w:sz w:val="22"/>
        </w:rPr>
        <w:t>población</w:t>
      </w:r>
      <w:r>
        <w:rPr>
          <w:rFonts w:ascii="Times New Roman" w:hAnsi="Times New Roman"/>
          <w:color w:val="231F20"/>
          <w:spacing w:val="-12"/>
          <w:w w:val="105"/>
          <w:sz w:val="22"/>
        </w:rPr>
        <w:t> </w:t>
      </w:r>
      <w:r>
        <w:rPr>
          <w:rFonts w:ascii="Times New Roman" w:hAnsi="Times New Roman"/>
          <w:color w:val="231F20"/>
          <w:w w:val="105"/>
          <w:sz w:val="22"/>
        </w:rPr>
        <w:t>una</w:t>
      </w:r>
      <w:r>
        <w:rPr>
          <w:rFonts w:ascii="Times New Roman" w:hAnsi="Times New Roman"/>
          <w:color w:val="231F20"/>
          <w:spacing w:val="-12"/>
          <w:w w:val="105"/>
          <w:sz w:val="22"/>
        </w:rPr>
        <w:t> </w:t>
      </w:r>
      <w:r>
        <w:rPr>
          <w:rFonts w:ascii="Times New Roman" w:hAnsi="Times New Roman"/>
          <w:color w:val="231F20"/>
          <w:w w:val="105"/>
          <w:sz w:val="22"/>
        </w:rPr>
        <w:t>nueva</w:t>
      </w:r>
      <w:r>
        <w:rPr>
          <w:rFonts w:ascii="Times New Roman" w:hAnsi="Times New Roman"/>
          <w:color w:val="231F20"/>
          <w:spacing w:val="-12"/>
          <w:w w:val="105"/>
          <w:sz w:val="22"/>
        </w:rPr>
        <w:t> </w:t>
      </w:r>
      <w:r>
        <w:rPr>
          <w:rFonts w:ascii="Times New Roman" w:hAnsi="Times New Roman"/>
          <w:color w:val="231F20"/>
          <w:w w:val="105"/>
          <w:sz w:val="22"/>
        </w:rPr>
        <w:t>cultura</w:t>
      </w:r>
      <w:r>
        <w:rPr>
          <w:rFonts w:ascii="Times New Roman" w:hAnsi="Times New Roman"/>
          <w:color w:val="231F20"/>
          <w:spacing w:val="-12"/>
          <w:w w:val="105"/>
          <w:sz w:val="22"/>
        </w:rPr>
        <w:t> </w:t>
      </w:r>
      <w:r>
        <w:rPr>
          <w:rFonts w:ascii="Times New Roman" w:hAnsi="Times New Roman"/>
          <w:color w:val="231F20"/>
          <w:w w:val="105"/>
          <w:sz w:val="22"/>
        </w:rPr>
        <w:t>ambiental</w:t>
      </w:r>
      <w:r>
        <w:rPr>
          <w:rFonts w:ascii="Times New Roman" w:hAnsi="Times New Roman"/>
          <w:color w:val="231F20"/>
          <w:spacing w:val="-12"/>
          <w:w w:val="105"/>
          <w:sz w:val="22"/>
        </w:rPr>
        <w:t> </w:t>
      </w:r>
      <w:r>
        <w:rPr>
          <w:rFonts w:ascii="Times New Roman" w:hAnsi="Times New Roman"/>
          <w:color w:val="231F20"/>
          <w:w w:val="105"/>
          <w:sz w:val="22"/>
        </w:rPr>
        <w:t>que</w:t>
      </w:r>
      <w:r>
        <w:rPr>
          <w:rFonts w:ascii="Times New Roman" w:hAnsi="Times New Roman"/>
          <w:color w:val="231F20"/>
          <w:spacing w:val="-12"/>
          <w:w w:val="105"/>
          <w:sz w:val="22"/>
        </w:rPr>
        <w:t> </w:t>
      </w:r>
      <w:r>
        <w:rPr>
          <w:rFonts w:ascii="Times New Roman" w:hAnsi="Times New Roman"/>
          <w:color w:val="231F20"/>
          <w:spacing w:val="-2"/>
          <w:w w:val="105"/>
          <w:sz w:val="22"/>
        </w:rPr>
        <w:t>mejore</w:t>
      </w:r>
      <w:r>
        <w:rPr>
          <w:rFonts w:ascii="Times New Roman" w:hAnsi="Times New Roman"/>
          <w:color w:val="231F20"/>
          <w:spacing w:val="-12"/>
          <w:w w:val="105"/>
          <w:sz w:val="22"/>
        </w:rPr>
        <w:t> </w:t>
      </w:r>
      <w:r>
        <w:rPr>
          <w:rFonts w:ascii="Times New Roman" w:hAnsi="Times New Roman"/>
          <w:color w:val="231F20"/>
          <w:w w:val="105"/>
          <w:sz w:val="22"/>
        </w:rPr>
        <w:t>la calidad</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vida</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procure</w:t>
      </w:r>
      <w:r>
        <w:rPr>
          <w:rFonts w:ascii="Times New Roman" w:hAnsi="Times New Roman"/>
          <w:color w:val="231F20"/>
          <w:spacing w:val="-11"/>
          <w:w w:val="105"/>
          <w:sz w:val="22"/>
        </w:rPr>
        <w:t> </w:t>
      </w:r>
      <w:r>
        <w:rPr>
          <w:rFonts w:ascii="Times New Roman" w:hAnsi="Times New Roman"/>
          <w:color w:val="231F20"/>
          <w:w w:val="105"/>
          <w:sz w:val="22"/>
        </w:rPr>
        <w:t>un</w:t>
      </w:r>
      <w:r>
        <w:rPr>
          <w:rFonts w:ascii="Times New Roman" w:hAnsi="Times New Roman"/>
          <w:color w:val="231F20"/>
          <w:spacing w:val="-11"/>
          <w:w w:val="105"/>
          <w:sz w:val="22"/>
        </w:rPr>
        <w:t> </w:t>
      </w:r>
      <w:r>
        <w:rPr>
          <w:rFonts w:ascii="Times New Roman" w:hAnsi="Times New Roman"/>
          <w:color w:val="231F20"/>
          <w:w w:val="105"/>
          <w:sz w:val="22"/>
        </w:rPr>
        <w:t>ambiente</w:t>
      </w:r>
      <w:r>
        <w:rPr>
          <w:rFonts w:ascii="Times New Roman" w:hAnsi="Times New Roman"/>
          <w:color w:val="231F20"/>
          <w:spacing w:val="-11"/>
          <w:w w:val="105"/>
          <w:sz w:val="22"/>
        </w:rPr>
        <w:t> </w:t>
      </w:r>
      <w:r>
        <w:rPr>
          <w:rFonts w:ascii="Times New Roman" w:hAnsi="Times New Roman"/>
          <w:color w:val="231F20"/>
          <w:w w:val="105"/>
          <w:sz w:val="22"/>
        </w:rPr>
        <w:t>sano.</w:t>
      </w:r>
    </w:p>
    <w:p>
      <w:pPr>
        <w:pStyle w:val="ListParagraph"/>
        <w:numPr>
          <w:ilvl w:val="2"/>
          <w:numId w:val="20"/>
        </w:numPr>
        <w:tabs>
          <w:tab w:pos="896" w:val="left" w:leader="none"/>
        </w:tabs>
        <w:spacing w:line="285" w:lineRule="auto" w:before="1" w:after="0"/>
        <w:ind w:left="677" w:right="107" w:firstLine="0"/>
        <w:jc w:val="both"/>
        <w:rPr>
          <w:rFonts w:ascii="Times New Roman" w:hAnsi="Times New Roman"/>
          <w:sz w:val="22"/>
        </w:rPr>
      </w:pPr>
      <w:r>
        <w:rPr>
          <w:rFonts w:ascii="Times New Roman" w:hAnsi="Times New Roman"/>
          <w:color w:val="231F20"/>
          <w:w w:val="105"/>
          <w:sz w:val="22"/>
        </w:rPr>
        <w:t>Modernizar</w:t>
      </w:r>
      <w:r>
        <w:rPr>
          <w:rFonts w:ascii="Times New Roman" w:hAnsi="Times New Roman"/>
          <w:color w:val="231F20"/>
          <w:spacing w:val="-8"/>
          <w:w w:val="105"/>
          <w:sz w:val="22"/>
        </w:rPr>
        <w:t> </w:t>
      </w:r>
      <w:r>
        <w:rPr>
          <w:rFonts w:ascii="Times New Roman" w:hAnsi="Times New Roman"/>
          <w:color w:val="231F20"/>
          <w:w w:val="105"/>
          <w:sz w:val="22"/>
        </w:rPr>
        <w:t>las</w:t>
      </w:r>
      <w:r>
        <w:rPr>
          <w:rFonts w:ascii="Times New Roman" w:hAnsi="Times New Roman"/>
          <w:color w:val="231F20"/>
          <w:spacing w:val="-8"/>
          <w:w w:val="105"/>
          <w:sz w:val="22"/>
        </w:rPr>
        <w:t> </w:t>
      </w:r>
      <w:r>
        <w:rPr>
          <w:rFonts w:ascii="Times New Roman" w:hAnsi="Times New Roman"/>
          <w:color w:val="231F20"/>
          <w:w w:val="105"/>
          <w:sz w:val="22"/>
        </w:rPr>
        <w:t>comunicaciones</w:t>
      </w:r>
      <w:r>
        <w:rPr>
          <w:rFonts w:ascii="Times New Roman" w:hAnsi="Times New Roman"/>
          <w:color w:val="231F20"/>
          <w:spacing w:val="-8"/>
          <w:w w:val="105"/>
          <w:sz w:val="22"/>
        </w:rPr>
        <w:t> </w:t>
      </w:r>
      <w:r>
        <w:rPr>
          <w:rFonts w:ascii="Times New Roman" w:hAnsi="Times New Roman"/>
          <w:color w:val="231F20"/>
          <w:w w:val="105"/>
          <w:sz w:val="22"/>
        </w:rPr>
        <w:t>del</w:t>
      </w:r>
      <w:r>
        <w:rPr>
          <w:rFonts w:ascii="Times New Roman" w:hAnsi="Times New Roman"/>
          <w:color w:val="231F20"/>
          <w:spacing w:val="-8"/>
          <w:w w:val="105"/>
          <w:sz w:val="22"/>
        </w:rPr>
        <w:t> </w:t>
      </w:r>
      <w:r>
        <w:rPr>
          <w:rFonts w:ascii="Times New Roman" w:hAnsi="Times New Roman"/>
          <w:color w:val="231F20"/>
          <w:w w:val="105"/>
          <w:sz w:val="22"/>
        </w:rPr>
        <w:t>municipio</w:t>
      </w:r>
      <w:r>
        <w:rPr>
          <w:rFonts w:ascii="Times New Roman" w:hAnsi="Times New Roman"/>
          <w:color w:val="231F20"/>
          <w:spacing w:val="-8"/>
          <w:w w:val="105"/>
          <w:sz w:val="22"/>
        </w:rPr>
        <w:t> </w:t>
      </w:r>
      <w:r>
        <w:rPr>
          <w:rFonts w:ascii="Times New Roman" w:hAnsi="Times New Roman"/>
          <w:color w:val="231F20"/>
          <w:w w:val="105"/>
          <w:sz w:val="22"/>
        </w:rPr>
        <w:t>mediante</w:t>
      </w:r>
      <w:r>
        <w:rPr>
          <w:rFonts w:ascii="Times New Roman" w:hAnsi="Times New Roman"/>
          <w:color w:val="231F20"/>
          <w:spacing w:val="-8"/>
          <w:w w:val="105"/>
          <w:sz w:val="22"/>
        </w:rPr>
        <w:t> </w:t>
      </w:r>
      <w:r>
        <w:rPr>
          <w:rFonts w:ascii="Times New Roman" w:hAnsi="Times New Roman"/>
          <w:color w:val="231F20"/>
          <w:w w:val="105"/>
          <w:sz w:val="22"/>
        </w:rPr>
        <w:t>la</w:t>
      </w:r>
      <w:r>
        <w:rPr>
          <w:rFonts w:ascii="Times New Roman" w:hAnsi="Times New Roman"/>
          <w:color w:val="231F20"/>
          <w:spacing w:val="-8"/>
          <w:w w:val="105"/>
          <w:sz w:val="22"/>
        </w:rPr>
        <w:t> </w:t>
      </w:r>
      <w:r>
        <w:rPr>
          <w:rFonts w:ascii="Times New Roman" w:hAnsi="Times New Roman"/>
          <w:color w:val="231F20"/>
          <w:w w:val="105"/>
          <w:sz w:val="22"/>
        </w:rPr>
        <w:t>ampliación</w:t>
      </w:r>
      <w:r>
        <w:rPr>
          <w:rFonts w:ascii="Times New Roman" w:hAnsi="Times New Roman"/>
          <w:color w:val="231F20"/>
          <w:spacing w:val="-8"/>
          <w:w w:val="105"/>
          <w:sz w:val="22"/>
        </w:rPr>
        <w:t> </w:t>
      </w:r>
      <w:r>
        <w:rPr>
          <w:rFonts w:ascii="Times New Roman" w:hAnsi="Times New Roman"/>
          <w:color w:val="231F20"/>
          <w:w w:val="105"/>
          <w:sz w:val="22"/>
        </w:rPr>
        <w:t>y</w:t>
      </w:r>
      <w:r>
        <w:rPr>
          <w:rFonts w:ascii="Times New Roman" w:hAnsi="Times New Roman"/>
          <w:color w:val="231F20"/>
          <w:spacing w:val="-8"/>
          <w:w w:val="105"/>
          <w:sz w:val="22"/>
        </w:rPr>
        <w:t> </w:t>
      </w:r>
      <w:r>
        <w:rPr>
          <w:rFonts w:ascii="Times New Roman" w:hAnsi="Times New Roman"/>
          <w:color w:val="231F20"/>
          <w:w w:val="105"/>
          <w:sz w:val="22"/>
        </w:rPr>
        <w:t>man- tenimiento de las vialidades para contribuir </w:t>
      </w:r>
      <w:r>
        <w:rPr>
          <w:rFonts w:ascii="Times New Roman" w:hAnsi="Times New Roman"/>
          <w:color w:val="231F20"/>
          <w:spacing w:val="2"/>
          <w:w w:val="105"/>
          <w:sz w:val="22"/>
        </w:rPr>
        <w:t>al </w:t>
      </w:r>
      <w:r>
        <w:rPr>
          <w:rFonts w:ascii="Times New Roman" w:hAnsi="Times New Roman"/>
          <w:color w:val="231F20"/>
          <w:w w:val="105"/>
          <w:sz w:val="22"/>
        </w:rPr>
        <w:t>desarrollo socioeconómico, me- jorar el servicio de transporte público que le compete </w:t>
      </w:r>
      <w:r>
        <w:rPr>
          <w:rFonts w:ascii="Times New Roman" w:hAnsi="Times New Roman"/>
          <w:color w:val="231F20"/>
          <w:spacing w:val="2"/>
          <w:w w:val="105"/>
          <w:sz w:val="22"/>
        </w:rPr>
        <w:t>al </w:t>
      </w:r>
      <w:r>
        <w:rPr>
          <w:rFonts w:ascii="Times New Roman" w:hAnsi="Times New Roman"/>
          <w:color w:val="231F20"/>
          <w:w w:val="105"/>
          <w:sz w:val="22"/>
        </w:rPr>
        <w:t>municipio mediante el reordenamiento</w:t>
      </w:r>
      <w:r>
        <w:rPr>
          <w:rFonts w:ascii="Times New Roman" w:hAnsi="Times New Roman"/>
          <w:color w:val="231F20"/>
          <w:spacing w:val="-8"/>
          <w:w w:val="105"/>
          <w:sz w:val="22"/>
        </w:rPr>
        <w:t> </w:t>
      </w:r>
      <w:r>
        <w:rPr>
          <w:rFonts w:ascii="Times New Roman" w:hAnsi="Times New Roman"/>
          <w:color w:val="231F20"/>
          <w:w w:val="105"/>
          <w:sz w:val="22"/>
        </w:rPr>
        <w:t>de</w:t>
      </w:r>
      <w:r>
        <w:rPr>
          <w:rFonts w:ascii="Times New Roman" w:hAnsi="Times New Roman"/>
          <w:color w:val="231F20"/>
          <w:spacing w:val="-8"/>
          <w:w w:val="105"/>
          <w:sz w:val="22"/>
        </w:rPr>
        <w:t> </w:t>
      </w:r>
      <w:r>
        <w:rPr>
          <w:rFonts w:ascii="Times New Roman" w:hAnsi="Times New Roman"/>
          <w:color w:val="231F20"/>
          <w:w w:val="105"/>
          <w:sz w:val="22"/>
        </w:rPr>
        <w:t>rutas</w:t>
      </w:r>
      <w:r>
        <w:rPr>
          <w:rFonts w:ascii="Times New Roman" w:hAnsi="Times New Roman"/>
          <w:color w:val="231F20"/>
          <w:spacing w:val="-8"/>
          <w:w w:val="105"/>
          <w:sz w:val="22"/>
        </w:rPr>
        <w:t> </w:t>
      </w:r>
      <w:r>
        <w:rPr>
          <w:rFonts w:ascii="Times New Roman" w:hAnsi="Times New Roman"/>
          <w:color w:val="231F20"/>
          <w:w w:val="105"/>
          <w:sz w:val="22"/>
        </w:rPr>
        <w:t>derroteros,</w:t>
      </w:r>
      <w:r>
        <w:rPr>
          <w:rFonts w:ascii="Times New Roman" w:hAnsi="Times New Roman"/>
          <w:color w:val="231F20"/>
          <w:spacing w:val="-8"/>
          <w:w w:val="105"/>
          <w:sz w:val="22"/>
        </w:rPr>
        <w:t> </w:t>
      </w:r>
      <w:r>
        <w:rPr>
          <w:rFonts w:ascii="Times New Roman" w:hAnsi="Times New Roman"/>
          <w:color w:val="231F20"/>
          <w:w w:val="105"/>
          <w:sz w:val="22"/>
        </w:rPr>
        <w:t>paraderos</w:t>
      </w:r>
      <w:r>
        <w:rPr>
          <w:rFonts w:ascii="Times New Roman" w:hAnsi="Times New Roman"/>
          <w:color w:val="231F20"/>
          <w:spacing w:val="-8"/>
          <w:w w:val="105"/>
          <w:sz w:val="22"/>
        </w:rPr>
        <w:t> </w:t>
      </w:r>
      <w:r>
        <w:rPr>
          <w:rFonts w:ascii="Times New Roman" w:hAnsi="Times New Roman"/>
          <w:color w:val="231F20"/>
          <w:w w:val="105"/>
          <w:sz w:val="22"/>
        </w:rPr>
        <w:t>y</w:t>
      </w:r>
      <w:r>
        <w:rPr>
          <w:rFonts w:ascii="Times New Roman" w:hAnsi="Times New Roman"/>
          <w:color w:val="231F20"/>
          <w:spacing w:val="-8"/>
          <w:w w:val="105"/>
          <w:sz w:val="22"/>
        </w:rPr>
        <w:t> </w:t>
      </w:r>
      <w:r>
        <w:rPr>
          <w:rFonts w:ascii="Times New Roman" w:hAnsi="Times New Roman"/>
          <w:color w:val="231F20"/>
          <w:w w:val="105"/>
          <w:sz w:val="22"/>
        </w:rPr>
        <w:t>alargamientos</w:t>
      </w:r>
      <w:r>
        <w:rPr>
          <w:rFonts w:ascii="Times New Roman" w:hAnsi="Times New Roman"/>
          <w:color w:val="231F20"/>
          <w:spacing w:val="-8"/>
          <w:w w:val="105"/>
          <w:sz w:val="22"/>
        </w:rPr>
        <w:t> </w:t>
      </w:r>
      <w:r>
        <w:rPr>
          <w:rFonts w:ascii="Times New Roman" w:hAnsi="Times New Roman"/>
          <w:color w:val="231F20"/>
          <w:w w:val="105"/>
          <w:sz w:val="22"/>
        </w:rPr>
        <w:t>correspondientes</w:t>
      </w:r>
    </w:p>
    <w:p>
      <w:pPr>
        <w:spacing w:after="0" w:line="285" w:lineRule="auto"/>
        <w:jc w:val="both"/>
        <w:rPr>
          <w:rFonts w:ascii="Times New Roman" w:hAnsi="Times New Roman"/>
          <w:sz w:val="22"/>
        </w:rPr>
        <w:sectPr>
          <w:pgSz w:w="9640" w:h="12190"/>
          <w:pgMar w:header="0" w:footer="743" w:top="1120" w:bottom="940" w:left="740" w:right="740"/>
        </w:sectPr>
      </w:pPr>
    </w:p>
    <w:p>
      <w:pPr>
        <w:pStyle w:val="BodyText"/>
        <w:spacing w:before="3"/>
        <w:rPr>
          <w:sz w:val="11"/>
        </w:rPr>
      </w:pPr>
    </w:p>
    <w:p>
      <w:pPr>
        <w:pStyle w:val="BodyText"/>
        <w:spacing w:before="36"/>
        <w:ind w:left="117"/>
        <w:jc w:val="both"/>
      </w:pPr>
      <w:r>
        <w:rPr>
          <w:color w:val="231F20"/>
        </w:rPr>
        <w:t>al mismo.</w:t>
      </w:r>
    </w:p>
    <w:p>
      <w:pPr>
        <w:pStyle w:val="ListParagraph"/>
        <w:numPr>
          <w:ilvl w:val="2"/>
          <w:numId w:val="20"/>
        </w:numPr>
        <w:tabs>
          <w:tab w:pos="320" w:val="left" w:leader="none"/>
        </w:tabs>
        <w:spacing w:line="285" w:lineRule="auto" w:before="47" w:after="0"/>
        <w:ind w:left="117" w:right="108" w:firstLine="0"/>
        <w:jc w:val="both"/>
        <w:rPr>
          <w:rFonts w:ascii="Times New Roman" w:hAnsi="Times New Roman"/>
          <w:sz w:val="22"/>
        </w:rPr>
      </w:pPr>
      <w:r>
        <w:rPr>
          <w:rFonts w:ascii="Times New Roman" w:hAnsi="Times New Roman"/>
          <w:color w:val="231F20"/>
          <w:spacing w:val="2"/>
          <w:sz w:val="22"/>
        </w:rPr>
        <w:t>Dinamizar </w:t>
      </w:r>
      <w:r>
        <w:rPr>
          <w:rFonts w:ascii="Times New Roman" w:hAnsi="Times New Roman"/>
          <w:color w:val="231F20"/>
          <w:sz w:val="22"/>
        </w:rPr>
        <w:t>la economía municipal, fomentando el desarrollo de la planta pro- ductiva y la generación de</w:t>
      </w:r>
      <w:r>
        <w:rPr>
          <w:rFonts w:ascii="Times New Roman" w:hAnsi="Times New Roman"/>
          <w:color w:val="231F20"/>
          <w:spacing w:val="42"/>
          <w:sz w:val="22"/>
        </w:rPr>
        <w:t> </w:t>
      </w:r>
      <w:r>
        <w:rPr>
          <w:rFonts w:ascii="Times New Roman" w:hAnsi="Times New Roman"/>
          <w:color w:val="231F20"/>
          <w:sz w:val="22"/>
        </w:rPr>
        <w:t>empleos.</w:t>
      </w:r>
    </w:p>
    <w:p>
      <w:pPr>
        <w:pStyle w:val="ListParagraph"/>
        <w:numPr>
          <w:ilvl w:val="2"/>
          <w:numId w:val="20"/>
        </w:numPr>
        <w:tabs>
          <w:tab w:pos="337"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w w:val="105"/>
          <w:sz w:val="22"/>
        </w:rPr>
        <w:t>Incrementar</w:t>
      </w:r>
      <w:r>
        <w:rPr>
          <w:rFonts w:ascii="Times New Roman" w:hAnsi="Times New Roman"/>
          <w:color w:val="231F20"/>
          <w:spacing w:val="-8"/>
          <w:w w:val="105"/>
          <w:sz w:val="22"/>
        </w:rPr>
        <w:t> </w:t>
      </w:r>
      <w:r>
        <w:rPr>
          <w:rFonts w:ascii="Times New Roman" w:hAnsi="Times New Roman"/>
          <w:color w:val="231F20"/>
          <w:w w:val="105"/>
          <w:sz w:val="22"/>
        </w:rPr>
        <w:t>la</w:t>
      </w:r>
      <w:r>
        <w:rPr>
          <w:rFonts w:ascii="Times New Roman" w:hAnsi="Times New Roman"/>
          <w:color w:val="231F20"/>
          <w:spacing w:val="-8"/>
          <w:w w:val="105"/>
          <w:sz w:val="22"/>
        </w:rPr>
        <w:t> </w:t>
      </w:r>
      <w:r>
        <w:rPr>
          <w:rFonts w:ascii="Times New Roman" w:hAnsi="Times New Roman"/>
          <w:color w:val="231F20"/>
          <w:w w:val="105"/>
          <w:sz w:val="22"/>
        </w:rPr>
        <w:t>producción</w:t>
      </w:r>
      <w:r>
        <w:rPr>
          <w:rFonts w:ascii="Times New Roman" w:hAnsi="Times New Roman"/>
          <w:color w:val="231F20"/>
          <w:spacing w:val="-8"/>
          <w:w w:val="105"/>
          <w:sz w:val="22"/>
        </w:rPr>
        <w:t> </w:t>
      </w:r>
      <w:r>
        <w:rPr>
          <w:rFonts w:ascii="Times New Roman" w:hAnsi="Times New Roman"/>
          <w:color w:val="231F20"/>
          <w:w w:val="105"/>
          <w:sz w:val="22"/>
        </w:rPr>
        <w:t>agropecuaria</w:t>
      </w:r>
      <w:r>
        <w:rPr>
          <w:rFonts w:ascii="Times New Roman" w:hAnsi="Times New Roman"/>
          <w:color w:val="231F20"/>
          <w:spacing w:val="-8"/>
          <w:w w:val="105"/>
          <w:sz w:val="22"/>
        </w:rPr>
        <w:t> </w:t>
      </w:r>
      <w:r>
        <w:rPr>
          <w:rFonts w:ascii="Times New Roman" w:hAnsi="Times New Roman"/>
          <w:color w:val="231F20"/>
          <w:w w:val="105"/>
          <w:sz w:val="22"/>
        </w:rPr>
        <w:t>mediante</w:t>
      </w:r>
      <w:r>
        <w:rPr>
          <w:rFonts w:ascii="Times New Roman" w:hAnsi="Times New Roman"/>
          <w:color w:val="231F20"/>
          <w:spacing w:val="-8"/>
          <w:w w:val="105"/>
          <w:sz w:val="22"/>
        </w:rPr>
        <w:t> </w:t>
      </w:r>
      <w:r>
        <w:rPr>
          <w:rFonts w:ascii="Times New Roman" w:hAnsi="Times New Roman"/>
          <w:color w:val="231F20"/>
          <w:w w:val="105"/>
          <w:sz w:val="22"/>
        </w:rPr>
        <w:t>la</w:t>
      </w:r>
      <w:r>
        <w:rPr>
          <w:rFonts w:ascii="Times New Roman" w:hAnsi="Times New Roman"/>
          <w:color w:val="231F20"/>
          <w:spacing w:val="-8"/>
          <w:w w:val="105"/>
          <w:sz w:val="22"/>
        </w:rPr>
        <w:t> </w:t>
      </w:r>
      <w:r>
        <w:rPr>
          <w:rFonts w:ascii="Times New Roman" w:hAnsi="Times New Roman"/>
          <w:color w:val="231F20"/>
          <w:w w:val="105"/>
          <w:sz w:val="22"/>
        </w:rPr>
        <w:t>creación</w:t>
      </w:r>
      <w:r>
        <w:rPr>
          <w:rFonts w:ascii="Times New Roman" w:hAnsi="Times New Roman"/>
          <w:color w:val="231F20"/>
          <w:spacing w:val="-8"/>
          <w:w w:val="105"/>
          <w:sz w:val="22"/>
        </w:rPr>
        <w:t> </w:t>
      </w:r>
      <w:r>
        <w:rPr>
          <w:rFonts w:ascii="Times New Roman" w:hAnsi="Times New Roman"/>
          <w:color w:val="231F20"/>
          <w:w w:val="105"/>
          <w:sz w:val="22"/>
        </w:rPr>
        <w:t>y</w:t>
      </w:r>
      <w:r>
        <w:rPr>
          <w:rFonts w:ascii="Times New Roman" w:hAnsi="Times New Roman"/>
          <w:color w:val="231F20"/>
          <w:spacing w:val="-8"/>
          <w:w w:val="105"/>
          <w:sz w:val="22"/>
        </w:rPr>
        <w:t> </w:t>
      </w:r>
      <w:r>
        <w:rPr>
          <w:rFonts w:ascii="Times New Roman" w:hAnsi="Times New Roman"/>
          <w:color w:val="231F20"/>
          <w:w w:val="105"/>
          <w:sz w:val="22"/>
        </w:rPr>
        <w:t>consolidación de</w:t>
      </w:r>
      <w:r>
        <w:rPr>
          <w:rFonts w:ascii="Times New Roman" w:hAnsi="Times New Roman"/>
          <w:color w:val="231F20"/>
          <w:spacing w:val="-6"/>
          <w:w w:val="105"/>
          <w:sz w:val="22"/>
        </w:rPr>
        <w:t> </w:t>
      </w:r>
      <w:r>
        <w:rPr>
          <w:rFonts w:ascii="Times New Roman" w:hAnsi="Times New Roman"/>
          <w:color w:val="231F20"/>
          <w:w w:val="105"/>
          <w:sz w:val="22"/>
        </w:rPr>
        <w:t>agro</w:t>
      </w:r>
      <w:r>
        <w:rPr>
          <w:rFonts w:ascii="Times New Roman" w:hAnsi="Times New Roman"/>
          <w:color w:val="231F20"/>
          <w:spacing w:val="-6"/>
          <w:w w:val="105"/>
          <w:sz w:val="22"/>
        </w:rPr>
        <w:t> </w:t>
      </w:r>
      <w:r>
        <w:rPr>
          <w:rFonts w:ascii="Times New Roman" w:hAnsi="Times New Roman"/>
          <w:color w:val="231F20"/>
          <w:w w:val="105"/>
          <w:sz w:val="22"/>
        </w:rPr>
        <w:t>empresas</w:t>
      </w:r>
      <w:r>
        <w:rPr>
          <w:rFonts w:ascii="Times New Roman" w:hAnsi="Times New Roman"/>
          <w:color w:val="231F20"/>
          <w:spacing w:val="-6"/>
          <w:w w:val="105"/>
          <w:sz w:val="22"/>
        </w:rPr>
        <w:t> </w:t>
      </w:r>
      <w:r>
        <w:rPr>
          <w:rFonts w:ascii="Times New Roman" w:hAnsi="Times New Roman"/>
          <w:color w:val="231F20"/>
          <w:w w:val="105"/>
          <w:sz w:val="22"/>
        </w:rPr>
        <w:t>y</w:t>
      </w:r>
      <w:r>
        <w:rPr>
          <w:rFonts w:ascii="Times New Roman" w:hAnsi="Times New Roman"/>
          <w:color w:val="231F20"/>
          <w:spacing w:val="-6"/>
          <w:w w:val="105"/>
          <w:sz w:val="22"/>
        </w:rPr>
        <w:t> </w:t>
      </w:r>
      <w:r>
        <w:rPr>
          <w:rFonts w:ascii="Times New Roman" w:hAnsi="Times New Roman"/>
          <w:color w:val="231F20"/>
          <w:w w:val="105"/>
          <w:sz w:val="22"/>
        </w:rPr>
        <w:t>organizaciones</w:t>
      </w:r>
      <w:r>
        <w:rPr>
          <w:rFonts w:ascii="Times New Roman" w:hAnsi="Times New Roman"/>
          <w:color w:val="231F20"/>
          <w:spacing w:val="-6"/>
          <w:w w:val="105"/>
          <w:sz w:val="22"/>
        </w:rPr>
        <w:t> </w:t>
      </w:r>
      <w:r>
        <w:rPr>
          <w:rFonts w:ascii="Times New Roman" w:hAnsi="Times New Roman"/>
          <w:color w:val="231F20"/>
          <w:w w:val="105"/>
          <w:sz w:val="22"/>
        </w:rPr>
        <w:t>productivas</w:t>
      </w:r>
      <w:r>
        <w:rPr>
          <w:rFonts w:ascii="Times New Roman" w:hAnsi="Times New Roman"/>
          <w:color w:val="231F20"/>
          <w:spacing w:val="-6"/>
          <w:w w:val="105"/>
          <w:sz w:val="22"/>
        </w:rPr>
        <w:t> </w:t>
      </w:r>
      <w:r>
        <w:rPr>
          <w:rFonts w:ascii="Times New Roman" w:hAnsi="Times New Roman"/>
          <w:color w:val="231F20"/>
          <w:w w:val="105"/>
          <w:sz w:val="22"/>
        </w:rPr>
        <w:t>rentables,</w:t>
      </w:r>
      <w:r>
        <w:rPr>
          <w:rFonts w:ascii="Times New Roman" w:hAnsi="Times New Roman"/>
          <w:color w:val="231F20"/>
          <w:spacing w:val="-6"/>
          <w:w w:val="105"/>
          <w:sz w:val="22"/>
        </w:rPr>
        <w:t> </w:t>
      </w:r>
      <w:r>
        <w:rPr>
          <w:rFonts w:ascii="Times New Roman" w:hAnsi="Times New Roman"/>
          <w:color w:val="231F20"/>
          <w:w w:val="105"/>
          <w:sz w:val="22"/>
        </w:rPr>
        <w:t>buscando</w:t>
      </w:r>
      <w:r>
        <w:rPr>
          <w:rFonts w:ascii="Times New Roman" w:hAnsi="Times New Roman"/>
          <w:color w:val="231F20"/>
          <w:spacing w:val="-6"/>
          <w:w w:val="105"/>
          <w:sz w:val="22"/>
        </w:rPr>
        <w:t> </w:t>
      </w:r>
      <w:r>
        <w:rPr>
          <w:rFonts w:ascii="Times New Roman" w:hAnsi="Times New Roman"/>
          <w:color w:val="231F20"/>
          <w:w w:val="105"/>
          <w:sz w:val="22"/>
        </w:rPr>
        <w:t>satisfacer</w:t>
      </w:r>
      <w:r>
        <w:rPr>
          <w:rFonts w:ascii="Times New Roman" w:hAnsi="Times New Roman"/>
          <w:color w:val="231F20"/>
          <w:spacing w:val="-6"/>
          <w:w w:val="105"/>
          <w:sz w:val="22"/>
        </w:rPr>
        <w:t> </w:t>
      </w:r>
      <w:r>
        <w:rPr>
          <w:rFonts w:ascii="Times New Roman" w:hAnsi="Times New Roman"/>
          <w:color w:val="231F20"/>
          <w:w w:val="105"/>
          <w:sz w:val="22"/>
        </w:rPr>
        <w:t>la demanda interna, </w:t>
      </w:r>
      <w:r>
        <w:rPr>
          <w:rFonts w:ascii="Times New Roman" w:hAnsi="Times New Roman"/>
          <w:color w:val="231F20"/>
          <w:spacing w:val="-3"/>
          <w:w w:val="105"/>
          <w:sz w:val="22"/>
        </w:rPr>
        <w:t>promover </w:t>
      </w:r>
      <w:r>
        <w:rPr>
          <w:rFonts w:ascii="Times New Roman" w:hAnsi="Times New Roman"/>
          <w:color w:val="231F20"/>
          <w:w w:val="105"/>
          <w:sz w:val="22"/>
        </w:rPr>
        <w:t>la generación del valor agregado a la producción y </w:t>
      </w:r>
      <w:r>
        <w:rPr>
          <w:rFonts w:ascii="Times New Roman" w:hAnsi="Times New Roman"/>
          <w:color w:val="231F20"/>
          <w:spacing w:val="2"/>
          <w:w w:val="105"/>
          <w:sz w:val="22"/>
        </w:rPr>
        <w:t>minimizar </w:t>
      </w:r>
      <w:r>
        <w:rPr>
          <w:rFonts w:ascii="Times New Roman" w:hAnsi="Times New Roman"/>
          <w:color w:val="231F20"/>
          <w:w w:val="105"/>
          <w:sz w:val="22"/>
        </w:rPr>
        <w:t>los impactos ambientales que derivan del desarrollo de las diferentes actividades.</w:t>
      </w:r>
    </w:p>
    <w:p>
      <w:pPr>
        <w:pStyle w:val="ListParagraph"/>
        <w:numPr>
          <w:ilvl w:val="2"/>
          <w:numId w:val="20"/>
        </w:numPr>
        <w:tabs>
          <w:tab w:pos="331" w:val="left" w:leader="none"/>
        </w:tabs>
        <w:spacing w:line="285" w:lineRule="auto" w:before="1" w:after="0"/>
        <w:ind w:left="117" w:right="106" w:firstLine="0"/>
        <w:jc w:val="both"/>
        <w:rPr>
          <w:rFonts w:ascii="Times New Roman" w:hAnsi="Times New Roman"/>
          <w:sz w:val="22"/>
        </w:rPr>
      </w:pPr>
      <w:r>
        <w:rPr>
          <w:rFonts w:ascii="Times New Roman" w:hAnsi="Times New Roman"/>
          <w:color w:val="231F20"/>
          <w:w w:val="105"/>
          <w:sz w:val="22"/>
        </w:rPr>
        <w:t>Fomentar la cultura empresarial que asegure la modernización industrial con el </w:t>
      </w:r>
      <w:r>
        <w:rPr>
          <w:rFonts w:ascii="Times New Roman" w:hAnsi="Times New Roman"/>
          <w:color w:val="231F20"/>
          <w:spacing w:val="2"/>
          <w:w w:val="105"/>
          <w:sz w:val="22"/>
        </w:rPr>
        <w:t>fin </w:t>
      </w:r>
      <w:r>
        <w:rPr>
          <w:rFonts w:ascii="Times New Roman" w:hAnsi="Times New Roman"/>
          <w:color w:val="231F20"/>
          <w:w w:val="105"/>
          <w:sz w:val="22"/>
        </w:rPr>
        <w:t>de atraer inversión productiva nacional y extranjera, con fuerte impulso a las</w:t>
      </w:r>
      <w:r>
        <w:rPr>
          <w:rFonts w:ascii="Times New Roman" w:hAnsi="Times New Roman"/>
          <w:color w:val="231F20"/>
          <w:spacing w:val="-21"/>
          <w:w w:val="105"/>
          <w:sz w:val="22"/>
        </w:rPr>
        <w:t> </w:t>
      </w:r>
      <w:r>
        <w:rPr>
          <w:rFonts w:ascii="Times New Roman" w:hAnsi="Times New Roman"/>
          <w:color w:val="231F20"/>
          <w:w w:val="105"/>
          <w:sz w:val="22"/>
        </w:rPr>
        <w:t>exportaciones,</w:t>
      </w:r>
      <w:r>
        <w:rPr>
          <w:rFonts w:ascii="Times New Roman" w:hAnsi="Times New Roman"/>
          <w:color w:val="231F20"/>
          <w:spacing w:val="-21"/>
          <w:w w:val="105"/>
          <w:sz w:val="22"/>
        </w:rPr>
        <w:t> </w:t>
      </w:r>
      <w:r>
        <w:rPr>
          <w:rFonts w:ascii="Times New Roman" w:hAnsi="Times New Roman"/>
          <w:color w:val="231F20"/>
          <w:spacing w:val="-3"/>
          <w:w w:val="105"/>
          <w:sz w:val="22"/>
        </w:rPr>
        <w:t>donde</w:t>
      </w:r>
      <w:r>
        <w:rPr>
          <w:rFonts w:ascii="Times New Roman" w:hAnsi="Times New Roman"/>
          <w:color w:val="231F20"/>
          <w:spacing w:val="-21"/>
          <w:w w:val="105"/>
          <w:sz w:val="22"/>
        </w:rPr>
        <w:t> </w:t>
      </w:r>
      <w:r>
        <w:rPr>
          <w:rFonts w:ascii="Times New Roman" w:hAnsi="Times New Roman"/>
          <w:color w:val="231F20"/>
          <w:w w:val="105"/>
          <w:sz w:val="22"/>
        </w:rPr>
        <w:t>las</w:t>
      </w:r>
      <w:r>
        <w:rPr>
          <w:rFonts w:ascii="Times New Roman" w:hAnsi="Times New Roman"/>
          <w:color w:val="231F20"/>
          <w:spacing w:val="-21"/>
          <w:w w:val="105"/>
          <w:sz w:val="22"/>
        </w:rPr>
        <w:t> </w:t>
      </w:r>
      <w:r>
        <w:rPr>
          <w:rFonts w:ascii="Times New Roman" w:hAnsi="Times New Roman"/>
          <w:color w:val="231F20"/>
          <w:w w:val="105"/>
          <w:sz w:val="22"/>
        </w:rPr>
        <w:t>cadenas</w:t>
      </w:r>
      <w:r>
        <w:rPr>
          <w:rFonts w:ascii="Times New Roman" w:hAnsi="Times New Roman"/>
          <w:color w:val="231F20"/>
          <w:spacing w:val="-21"/>
          <w:w w:val="105"/>
          <w:sz w:val="22"/>
        </w:rPr>
        <w:t> </w:t>
      </w:r>
      <w:r>
        <w:rPr>
          <w:rFonts w:ascii="Times New Roman" w:hAnsi="Times New Roman"/>
          <w:color w:val="231F20"/>
          <w:w w:val="105"/>
          <w:sz w:val="22"/>
        </w:rPr>
        <w:t>productivas</w:t>
      </w:r>
      <w:r>
        <w:rPr>
          <w:rFonts w:ascii="Times New Roman" w:hAnsi="Times New Roman"/>
          <w:color w:val="231F20"/>
          <w:spacing w:val="-21"/>
          <w:w w:val="105"/>
          <w:sz w:val="22"/>
        </w:rPr>
        <w:t> </w:t>
      </w:r>
      <w:r>
        <w:rPr>
          <w:rFonts w:ascii="Times New Roman" w:hAnsi="Times New Roman"/>
          <w:color w:val="231F20"/>
          <w:w w:val="105"/>
          <w:sz w:val="22"/>
        </w:rPr>
        <w:t>concreten</w:t>
      </w:r>
      <w:r>
        <w:rPr>
          <w:rFonts w:ascii="Times New Roman" w:hAnsi="Times New Roman"/>
          <w:color w:val="231F20"/>
          <w:spacing w:val="-21"/>
          <w:w w:val="105"/>
          <w:sz w:val="22"/>
        </w:rPr>
        <w:t> </w:t>
      </w:r>
      <w:r>
        <w:rPr>
          <w:rFonts w:ascii="Times New Roman" w:hAnsi="Times New Roman"/>
          <w:color w:val="231F20"/>
          <w:w w:val="105"/>
          <w:sz w:val="22"/>
        </w:rPr>
        <w:t>el</w:t>
      </w:r>
      <w:r>
        <w:rPr>
          <w:rFonts w:ascii="Times New Roman" w:hAnsi="Times New Roman"/>
          <w:color w:val="231F20"/>
          <w:spacing w:val="-21"/>
          <w:w w:val="105"/>
          <w:sz w:val="22"/>
        </w:rPr>
        <w:t> </w:t>
      </w:r>
      <w:r>
        <w:rPr>
          <w:rFonts w:ascii="Times New Roman" w:hAnsi="Times New Roman"/>
          <w:color w:val="231F20"/>
          <w:w w:val="105"/>
          <w:sz w:val="22"/>
        </w:rPr>
        <w:t>fortalecimiento</w:t>
      </w:r>
      <w:r>
        <w:rPr>
          <w:rFonts w:ascii="Times New Roman" w:hAnsi="Times New Roman"/>
          <w:color w:val="231F20"/>
          <w:spacing w:val="-21"/>
          <w:w w:val="105"/>
          <w:sz w:val="22"/>
        </w:rPr>
        <w:t> </w:t>
      </w:r>
      <w:r>
        <w:rPr>
          <w:rFonts w:ascii="Times New Roman" w:hAnsi="Times New Roman"/>
          <w:color w:val="231F20"/>
          <w:w w:val="105"/>
          <w:sz w:val="22"/>
        </w:rPr>
        <w:t>a</w:t>
      </w:r>
      <w:r>
        <w:rPr>
          <w:rFonts w:ascii="Times New Roman" w:hAnsi="Times New Roman"/>
          <w:color w:val="231F20"/>
          <w:spacing w:val="-21"/>
          <w:w w:val="105"/>
          <w:sz w:val="22"/>
        </w:rPr>
        <w:t> </w:t>
      </w:r>
      <w:r>
        <w:rPr>
          <w:rFonts w:ascii="Times New Roman" w:hAnsi="Times New Roman"/>
          <w:color w:val="231F20"/>
          <w:w w:val="105"/>
          <w:sz w:val="22"/>
        </w:rPr>
        <w:t>la micro</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pequeña</w:t>
      </w:r>
      <w:r>
        <w:rPr>
          <w:rFonts w:ascii="Times New Roman" w:hAnsi="Times New Roman"/>
          <w:color w:val="231F20"/>
          <w:spacing w:val="-11"/>
          <w:w w:val="105"/>
          <w:sz w:val="22"/>
        </w:rPr>
        <w:t> </w:t>
      </w:r>
      <w:r>
        <w:rPr>
          <w:rFonts w:ascii="Times New Roman" w:hAnsi="Times New Roman"/>
          <w:color w:val="231F20"/>
          <w:w w:val="105"/>
          <w:sz w:val="22"/>
        </w:rPr>
        <w:t>empresa</w:t>
      </w:r>
      <w:r>
        <w:rPr>
          <w:rFonts w:ascii="Times New Roman" w:hAnsi="Times New Roman"/>
          <w:color w:val="231F20"/>
          <w:spacing w:val="-11"/>
          <w:w w:val="105"/>
          <w:sz w:val="22"/>
        </w:rPr>
        <w:t> </w:t>
      </w:r>
      <w:r>
        <w:rPr>
          <w:rFonts w:ascii="Times New Roman" w:hAnsi="Times New Roman"/>
          <w:color w:val="231F20"/>
          <w:w w:val="105"/>
          <w:sz w:val="22"/>
        </w:rPr>
        <w:t>con</w:t>
      </w:r>
      <w:r>
        <w:rPr>
          <w:rFonts w:ascii="Times New Roman" w:hAnsi="Times New Roman"/>
          <w:color w:val="231F20"/>
          <w:spacing w:val="-11"/>
          <w:w w:val="105"/>
          <w:sz w:val="22"/>
        </w:rPr>
        <w:t> </w:t>
      </w:r>
      <w:r>
        <w:rPr>
          <w:rFonts w:ascii="Times New Roman" w:hAnsi="Times New Roman"/>
          <w:color w:val="231F20"/>
          <w:w w:val="105"/>
          <w:sz w:val="22"/>
        </w:rPr>
        <w:t>absoluto</w:t>
      </w:r>
      <w:r>
        <w:rPr>
          <w:rFonts w:ascii="Times New Roman" w:hAnsi="Times New Roman"/>
          <w:color w:val="231F20"/>
          <w:spacing w:val="-11"/>
          <w:w w:val="105"/>
          <w:sz w:val="22"/>
        </w:rPr>
        <w:t> </w:t>
      </w:r>
      <w:r>
        <w:rPr>
          <w:rFonts w:ascii="Times New Roman" w:hAnsi="Times New Roman"/>
          <w:color w:val="231F20"/>
          <w:w w:val="105"/>
          <w:sz w:val="22"/>
        </w:rPr>
        <w:t>respeto</w:t>
      </w:r>
      <w:r>
        <w:rPr>
          <w:rFonts w:ascii="Times New Roman" w:hAnsi="Times New Roman"/>
          <w:color w:val="231F20"/>
          <w:spacing w:val="-11"/>
          <w:w w:val="105"/>
          <w:sz w:val="22"/>
        </w:rPr>
        <w:t> </w:t>
      </w:r>
      <w:r>
        <w:rPr>
          <w:rFonts w:ascii="Times New Roman" w:hAnsi="Times New Roman"/>
          <w:color w:val="231F20"/>
          <w:spacing w:val="2"/>
          <w:w w:val="105"/>
          <w:sz w:val="22"/>
        </w:rPr>
        <w:t>al</w:t>
      </w:r>
      <w:r>
        <w:rPr>
          <w:rFonts w:ascii="Times New Roman" w:hAnsi="Times New Roman"/>
          <w:color w:val="231F20"/>
          <w:spacing w:val="-11"/>
          <w:w w:val="105"/>
          <w:sz w:val="22"/>
        </w:rPr>
        <w:t> </w:t>
      </w:r>
      <w:r>
        <w:rPr>
          <w:rFonts w:ascii="Times New Roman" w:hAnsi="Times New Roman"/>
          <w:color w:val="231F20"/>
          <w:w w:val="105"/>
          <w:sz w:val="22"/>
        </w:rPr>
        <w:t>medio</w:t>
      </w:r>
      <w:r>
        <w:rPr>
          <w:rFonts w:ascii="Times New Roman" w:hAnsi="Times New Roman"/>
          <w:color w:val="231F20"/>
          <w:spacing w:val="-11"/>
          <w:w w:val="105"/>
          <w:sz w:val="22"/>
        </w:rPr>
        <w:t> </w:t>
      </w:r>
      <w:r>
        <w:rPr>
          <w:rFonts w:ascii="Times New Roman" w:hAnsi="Times New Roman"/>
          <w:color w:val="231F20"/>
          <w:w w:val="105"/>
          <w:sz w:val="22"/>
        </w:rPr>
        <w:t>ambiente.</w:t>
      </w:r>
    </w:p>
    <w:p>
      <w:pPr>
        <w:pStyle w:val="ListParagraph"/>
        <w:numPr>
          <w:ilvl w:val="2"/>
          <w:numId w:val="20"/>
        </w:numPr>
        <w:tabs>
          <w:tab w:pos="382"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spacing w:val="-3"/>
          <w:w w:val="105"/>
          <w:sz w:val="22"/>
        </w:rPr>
        <w:t>Promover </w:t>
      </w:r>
      <w:r>
        <w:rPr>
          <w:rFonts w:ascii="Times New Roman" w:hAnsi="Times New Roman"/>
          <w:color w:val="231F20"/>
          <w:w w:val="105"/>
          <w:sz w:val="22"/>
        </w:rPr>
        <w:t>y fomentar el aprovechamiento sustentable de los bosques con la participación directa de sus dueños, poseedores y prestadores de servicios téc- nicos</w:t>
      </w:r>
      <w:r>
        <w:rPr>
          <w:rFonts w:ascii="Times New Roman" w:hAnsi="Times New Roman"/>
          <w:color w:val="231F20"/>
          <w:spacing w:val="-7"/>
          <w:w w:val="105"/>
          <w:sz w:val="22"/>
        </w:rPr>
        <w:t> </w:t>
      </w:r>
      <w:r>
        <w:rPr>
          <w:rFonts w:ascii="Times New Roman" w:hAnsi="Times New Roman"/>
          <w:color w:val="231F20"/>
          <w:w w:val="105"/>
          <w:sz w:val="22"/>
        </w:rPr>
        <w:t>evitando</w:t>
      </w:r>
      <w:r>
        <w:rPr>
          <w:rFonts w:ascii="Times New Roman" w:hAnsi="Times New Roman"/>
          <w:color w:val="231F20"/>
          <w:spacing w:val="-7"/>
          <w:w w:val="105"/>
          <w:sz w:val="22"/>
        </w:rPr>
        <w:t> </w:t>
      </w:r>
      <w:r>
        <w:rPr>
          <w:rFonts w:ascii="Times New Roman" w:hAnsi="Times New Roman"/>
          <w:color w:val="231F20"/>
          <w:w w:val="105"/>
          <w:sz w:val="22"/>
        </w:rPr>
        <w:t>la</w:t>
      </w:r>
      <w:r>
        <w:rPr>
          <w:rFonts w:ascii="Times New Roman" w:hAnsi="Times New Roman"/>
          <w:color w:val="231F20"/>
          <w:spacing w:val="-7"/>
          <w:w w:val="105"/>
          <w:sz w:val="22"/>
        </w:rPr>
        <w:t> </w:t>
      </w:r>
      <w:r>
        <w:rPr>
          <w:rFonts w:ascii="Times New Roman" w:hAnsi="Times New Roman"/>
          <w:color w:val="231F20"/>
          <w:w w:val="105"/>
          <w:sz w:val="22"/>
        </w:rPr>
        <w:t>degradación</w:t>
      </w:r>
      <w:r>
        <w:rPr>
          <w:rFonts w:ascii="Times New Roman" w:hAnsi="Times New Roman"/>
          <w:color w:val="231F20"/>
          <w:spacing w:val="-7"/>
          <w:w w:val="105"/>
          <w:sz w:val="22"/>
        </w:rPr>
        <w:t> </w:t>
      </w:r>
      <w:r>
        <w:rPr>
          <w:rFonts w:ascii="Times New Roman" w:hAnsi="Times New Roman"/>
          <w:color w:val="231F20"/>
          <w:w w:val="105"/>
          <w:sz w:val="22"/>
        </w:rPr>
        <w:t>del</w:t>
      </w:r>
      <w:r>
        <w:rPr>
          <w:rFonts w:ascii="Times New Roman" w:hAnsi="Times New Roman"/>
          <w:color w:val="231F20"/>
          <w:spacing w:val="-7"/>
          <w:w w:val="105"/>
          <w:sz w:val="22"/>
        </w:rPr>
        <w:t> </w:t>
      </w:r>
      <w:r>
        <w:rPr>
          <w:rFonts w:ascii="Times New Roman" w:hAnsi="Times New Roman"/>
          <w:color w:val="231F20"/>
          <w:w w:val="105"/>
          <w:sz w:val="22"/>
        </w:rPr>
        <w:t>recurso</w:t>
      </w:r>
      <w:r>
        <w:rPr>
          <w:rFonts w:ascii="Times New Roman" w:hAnsi="Times New Roman"/>
          <w:color w:val="231F20"/>
          <w:spacing w:val="-7"/>
          <w:w w:val="105"/>
          <w:sz w:val="22"/>
        </w:rPr>
        <w:t> </w:t>
      </w:r>
      <w:r>
        <w:rPr>
          <w:rFonts w:ascii="Times New Roman" w:hAnsi="Times New Roman"/>
          <w:color w:val="231F20"/>
          <w:w w:val="105"/>
          <w:sz w:val="22"/>
        </w:rPr>
        <w:t>silvícola</w:t>
      </w:r>
      <w:r>
        <w:rPr>
          <w:rFonts w:ascii="Times New Roman" w:hAnsi="Times New Roman"/>
          <w:color w:val="231F20"/>
          <w:spacing w:val="-7"/>
          <w:w w:val="105"/>
          <w:sz w:val="22"/>
        </w:rPr>
        <w:t> </w:t>
      </w:r>
      <w:r>
        <w:rPr>
          <w:rFonts w:ascii="Times New Roman" w:hAnsi="Times New Roman"/>
          <w:color w:val="231F20"/>
          <w:w w:val="105"/>
          <w:sz w:val="22"/>
        </w:rPr>
        <w:t>mediante</w:t>
      </w:r>
      <w:r>
        <w:rPr>
          <w:rFonts w:ascii="Times New Roman" w:hAnsi="Times New Roman"/>
          <w:color w:val="231F20"/>
          <w:spacing w:val="-7"/>
          <w:w w:val="105"/>
          <w:sz w:val="22"/>
        </w:rPr>
        <w:t> </w:t>
      </w:r>
      <w:r>
        <w:rPr>
          <w:rFonts w:ascii="Times New Roman" w:hAnsi="Times New Roman"/>
          <w:color w:val="231F20"/>
          <w:w w:val="105"/>
          <w:sz w:val="22"/>
        </w:rPr>
        <w:t>la</w:t>
      </w:r>
      <w:r>
        <w:rPr>
          <w:rFonts w:ascii="Times New Roman" w:hAnsi="Times New Roman"/>
          <w:color w:val="231F20"/>
          <w:spacing w:val="-7"/>
          <w:w w:val="105"/>
          <w:sz w:val="22"/>
        </w:rPr>
        <w:t> </w:t>
      </w:r>
      <w:r>
        <w:rPr>
          <w:rFonts w:ascii="Times New Roman" w:hAnsi="Times New Roman"/>
          <w:color w:val="231F20"/>
          <w:w w:val="105"/>
          <w:sz w:val="22"/>
        </w:rPr>
        <w:t>protección</w:t>
      </w:r>
      <w:r>
        <w:rPr>
          <w:rFonts w:ascii="Times New Roman" w:hAnsi="Times New Roman"/>
          <w:color w:val="231F20"/>
          <w:spacing w:val="-7"/>
          <w:w w:val="105"/>
          <w:sz w:val="22"/>
        </w:rPr>
        <w:t> </w:t>
      </w:r>
      <w:r>
        <w:rPr>
          <w:rFonts w:ascii="Times New Roman" w:hAnsi="Times New Roman"/>
          <w:color w:val="231F20"/>
          <w:w w:val="105"/>
          <w:sz w:val="22"/>
        </w:rPr>
        <w:t>de</w:t>
      </w:r>
      <w:r>
        <w:rPr>
          <w:rFonts w:ascii="Times New Roman" w:hAnsi="Times New Roman"/>
          <w:color w:val="231F20"/>
          <w:spacing w:val="-7"/>
          <w:w w:val="105"/>
          <w:sz w:val="22"/>
        </w:rPr>
        <w:t> </w:t>
      </w:r>
      <w:r>
        <w:rPr>
          <w:rFonts w:ascii="Times New Roman" w:hAnsi="Times New Roman"/>
          <w:color w:val="231F20"/>
          <w:w w:val="105"/>
          <w:sz w:val="22"/>
        </w:rPr>
        <w:t>las áreas forestales contra los </w:t>
      </w:r>
      <w:r>
        <w:rPr>
          <w:rFonts w:ascii="Times New Roman" w:hAnsi="Times New Roman"/>
          <w:color w:val="231F20"/>
          <w:spacing w:val="-3"/>
          <w:w w:val="105"/>
          <w:sz w:val="22"/>
        </w:rPr>
        <w:t>promoventes </w:t>
      </w:r>
      <w:r>
        <w:rPr>
          <w:rFonts w:ascii="Times New Roman" w:hAnsi="Times New Roman"/>
          <w:color w:val="231F20"/>
          <w:w w:val="105"/>
          <w:sz w:val="22"/>
        </w:rPr>
        <w:t>de incendios, tala ilegal y desmontes no autorizados,</w:t>
      </w:r>
      <w:r>
        <w:rPr>
          <w:rFonts w:ascii="Times New Roman" w:hAnsi="Times New Roman"/>
          <w:color w:val="231F20"/>
          <w:spacing w:val="-10"/>
          <w:w w:val="105"/>
          <w:sz w:val="22"/>
        </w:rPr>
        <w:t> </w:t>
      </w:r>
      <w:r>
        <w:rPr>
          <w:rFonts w:ascii="Times New Roman" w:hAnsi="Times New Roman"/>
          <w:color w:val="231F20"/>
          <w:w w:val="105"/>
          <w:sz w:val="22"/>
        </w:rPr>
        <w:t>así</w:t>
      </w:r>
      <w:r>
        <w:rPr>
          <w:rFonts w:ascii="Times New Roman" w:hAnsi="Times New Roman"/>
          <w:color w:val="231F20"/>
          <w:spacing w:val="-10"/>
          <w:w w:val="105"/>
          <w:sz w:val="22"/>
        </w:rPr>
        <w:t> </w:t>
      </w:r>
      <w:r>
        <w:rPr>
          <w:rFonts w:ascii="Times New Roman" w:hAnsi="Times New Roman"/>
          <w:color w:val="231F20"/>
          <w:w w:val="105"/>
          <w:sz w:val="22"/>
        </w:rPr>
        <w:t>como</w:t>
      </w:r>
      <w:r>
        <w:rPr>
          <w:rFonts w:ascii="Times New Roman" w:hAnsi="Times New Roman"/>
          <w:color w:val="231F20"/>
          <w:spacing w:val="-10"/>
          <w:w w:val="105"/>
          <w:sz w:val="22"/>
        </w:rPr>
        <w:t> </w:t>
      </w:r>
      <w:r>
        <w:rPr>
          <w:rFonts w:ascii="Times New Roman" w:hAnsi="Times New Roman"/>
          <w:color w:val="231F20"/>
          <w:spacing w:val="-4"/>
          <w:w w:val="105"/>
          <w:sz w:val="22"/>
        </w:rPr>
        <w:t>proteger,</w:t>
      </w:r>
      <w:r>
        <w:rPr>
          <w:rFonts w:ascii="Times New Roman" w:hAnsi="Times New Roman"/>
          <w:color w:val="231F20"/>
          <w:spacing w:val="-10"/>
          <w:w w:val="105"/>
          <w:sz w:val="22"/>
        </w:rPr>
        <w:t> </w:t>
      </w:r>
      <w:r>
        <w:rPr>
          <w:rFonts w:ascii="Times New Roman" w:hAnsi="Times New Roman"/>
          <w:color w:val="231F20"/>
          <w:w w:val="105"/>
          <w:sz w:val="22"/>
        </w:rPr>
        <w:t>restaurar</w:t>
      </w:r>
      <w:r>
        <w:rPr>
          <w:rFonts w:ascii="Times New Roman" w:hAnsi="Times New Roman"/>
          <w:color w:val="231F20"/>
          <w:spacing w:val="-10"/>
          <w:w w:val="105"/>
          <w:sz w:val="22"/>
        </w:rPr>
        <w:t> </w:t>
      </w:r>
      <w:r>
        <w:rPr>
          <w:rFonts w:ascii="Times New Roman" w:hAnsi="Times New Roman"/>
          <w:color w:val="231F20"/>
          <w:w w:val="105"/>
          <w:sz w:val="22"/>
        </w:rPr>
        <w:t>y</w:t>
      </w:r>
      <w:r>
        <w:rPr>
          <w:rFonts w:ascii="Times New Roman" w:hAnsi="Times New Roman"/>
          <w:color w:val="231F20"/>
          <w:spacing w:val="-10"/>
          <w:w w:val="105"/>
          <w:sz w:val="22"/>
        </w:rPr>
        <w:t> </w:t>
      </w:r>
      <w:r>
        <w:rPr>
          <w:rFonts w:ascii="Times New Roman" w:hAnsi="Times New Roman"/>
          <w:color w:val="231F20"/>
          <w:w w:val="105"/>
          <w:sz w:val="22"/>
        </w:rPr>
        <w:t>ampliar</w:t>
      </w:r>
      <w:r>
        <w:rPr>
          <w:rFonts w:ascii="Times New Roman" w:hAnsi="Times New Roman"/>
          <w:color w:val="231F20"/>
          <w:spacing w:val="-10"/>
          <w:w w:val="105"/>
          <w:sz w:val="22"/>
        </w:rPr>
        <w:t> </w:t>
      </w:r>
      <w:r>
        <w:rPr>
          <w:rFonts w:ascii="Times New Roman" w:hAnsi="Times New Roman"/>
          <w:color w:val="231F20"/>
          <w:w w:val="105"/>
          <w:sz w:val="22"/>
        </w:rPr>
        <w:t>la</w:t>
      </w:r>
      <w:r>
        <w:rPr>
          <w:rFonts w:ascii="Times New Roman" w:hAnsi="Times New Roman"/>
          <w:color w:val="231F20"/>
          <w:spacing w:val="-10"/>
          <w:w w:val="105"/>
          <w:sz w:val="22"/>
        </w:rPr>
        <w:t> </w:t>
      </w:r>
      <w:r>
        <w:rPr>
          <w:rFonts w:ascii="Times New Roman" w:hAnsi="Times New Roman"/>
          <w:color w:val="231F20"/>
          <w:w w:val="105"/>
          <w:sz w:val="22"/>
        </w:rPr>
        <w:t>cubierto</w:t>
      </w:r>
      <w:r>
        <w:rPr>
          <w:rFonts w:ascii="Times New Roman" w:hAnsi="Times New Roman"/>
          <w:color w:val="231F20"/>
          <w:spacing w:val="-10"/>
          <w:w w:val="105"/>
          <w:sz w:val="22"/>
        </w:rPr>
        <w:t> </w:t>
      </w:r>
      <w:r>
        <w:rPr>
          <w:rFonts w:ascii="Times New Roman" w:hAnsi="Times New Roman"/>
          <w:color w:val="231F20"/>
          <w:w w:val="105"/>
          <w:sz w:val="22"/>
        </w:rPr>
        <w:t>forestal.</w:t>
      </w:r>
    </w:p>
    <w:p>
      <w:pPr>
        <w:pStyle w:val="ListParagraph"/>
        <w:numPr>
          <w:ilvl w:val="2"/>
          <w:numId w:val="20"/>
        </w:numPr>
        <w:tabs>
          <w:tab w:pos="437"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w w:val="105"/>
          <w:sz w:val="22"/>
        </w:rPr>
        <w:t>Modernizar la actividad comercial para garantizar productos en condiciones óptimas de calidad y suficiencia asegurando el suministro de productos básicos a</w:t>
      </w:r>
      <w:r>
        <w:rPr>
          <w:rFonts w:ascii="Times New Roman" w:hAnsi="Times New Roman"/>
          <w:color w:val="231F20"/>
          <w:spacing w:val="-11"/>
          <w:w w:val="105"/>
          <w:sz w:val="22"/>
        </w:rPr>
        <w:t> </w:t>
      </w:r>
      <w:r>
        <w:rPr>
          <w:rFonts w:ascii="Times New Roman" w:hAnsi="Times New Roman"/>
          <w:color w:val="231F20"/>
          <w:w w:val="105"/>
          <w:sz w:val="22"/>
        </w:rPr>
        <w:t>precios</w:t>
      </w:r>
      <w:r>
        <w:rPr>
          <w:rFonts w:ascii="Times New Roman" w:hAnsi="Times New Roman"/>
          <w:color w:val="231F20"/>
          <w:spacing w:val="-11"/>
          <w:w w:val="105"/>
          <w:sz w:val="22"/>
        </w:rPr>
        <w:t> </w:t>
      </w:r>
      <w:r>
        <w:rPr>
          <w:rFonts w:ascii="Times New Roman" w:hAnsi="Times New Roman"/>
          <w:color w:val="231F20"/>
          <w:w w:val="105"/>
          <w:sz w:val="22"/>
        </w:rPr>
        <w:t>accesibles</w:t>
      </w:r>
      <w:r>
        <w:rPr>
          <w:rFonts w:ascii="Times New Roman" w:hAnsi="Times New Roman"/>
          <w:color w:val="231F20"/>
          <w:spacing w:val="-11"/>
          <w:w w:val="105"/>
          <w:sz w:val="22"/>
        </w:rPr>
        <w:t> </w:t>
      </w:r>
      <w:r>
        <w:rPr>
          <w:rFonts w:ascii="Times New Roman" w:hAnsi="Times New Roman"/>
          <w:color w:val="231F20"/>
          <w:w w:val="105"/>
          <w:sz w:val="22"/>
        </w:rPr>
        <w:t>en</w:t>
      </w:r>
      <w:r>
        <w:rPr>
          <w:rFonts w:ascii="Times New Roman" w:hAnsi="Times New Roman"/>
          <w:color w:val="231F20"/>
          <w:spacing w:val="-11"/>
          <w:w w:val="105"/>
          <w:sz w:val="22"/>
        </w:rPr>
        <w:t> </w:t>
      </w:r>
      <w:r>
        <w:rPr>
          <w:rFonts w:ascii="Times New Roman" w:hAnsi="Times New Roman"/>
          <w:color w:val="231F20"/>
          <w:w w:val="105"/>
          <w:sz w:val="22"/>
        </w:rPr>
        <w:t>apoyo</w:t>
      </w:r>
      <w:r>
        <w:rPr>
          <w:rFonts w:ascii="Times New Roman" w:hAnsi="Times New Roman"/>
          <w:color w:val="231F20"/>
          <w:spacing w:val="-11"/>
          <w:w w:val="105"/>
          <w:sz w:val="22"/>
        </w:rPr>
        <w:t> </w:t>
      </w:r>
      <w:r>
        <w:rPr>
          <w:rFonts w:ascii="Times New Roman" w:hAnsi="Times New Roman"/>
          <w:color w:val="231F20"/>
          <w:w w:val="105"/>
          <w:sz w:val="22"/>
        </w:rPr>
        <w:t>a</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economía</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las</w:t>
      </w:r>
      <w:r>
        <w:rPr>
          <w:rFonts w:ascii="Times New Roman" w:hAnsi="Times New Roman"/>
          <w:color w:val="231F20"/>
          <w:spacing w:val="-11"/>
          <w:w w:val="105"/>
          <w:sz w:val="22"/>
        </w:rPr>
        <w:t> </w:t>
      </w:r>
      <w:r>
        <w:rPr>
          <w:rFonts w:ascii="Times New Roman" w:hAnsi="Times New Roman"/>
          <w:color w:val="231F20"/>
          <w:spacing w:val="2"/>
          <w:w w:val="105"/>
          <w:sz w:val="22"/>
        </w:rPr>
        <w:t>familias</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escasos</w:t>
      </w:r>
      <w:r>
        <w:rPr>
          <w:rFonts w:ascii="Times New Roman" w:hAnsi="Times New Roman"/>
          <w:color w:val="231F20"/>
          <w:spacing w:val="-11"/>
          <w:w w:val="105"/>
          <w:sz w:val="22"/>
        </w:rPr>
        <w:t> </w:t>
      </w:r>
      <w:r>
        <w:rPr>
          <w:rFonts w:ascii="Times New Roman" w:hAnsi="Times New Roman"/>
          <w:color w:val="231F20"/>
          <w:w w:val="105"/>
          <w:sz w:val="22"/>
        </w:rPr>
        <w:t>recursos</w:t>
      </w:r>
      <w:r>
        <w:rPr>
          <w:rFonts w:ascii="Times New Roman" w:hAnsi="Times New Roman"/>
          <w:color w:val="231F20"/>
          <w:spacing w:val="-11"/>
          <w:w w:val="105"/>
          <w:sz w:val="22"/>
        </w:rPr>
        <w:t> </w:t>
      </w:r>
      <w:r>
        <w:rPr>
          <w:rFonts w:ascii="Times New Roman" w:hAnsi="Times New Roman"/>
          <w:color w:val="231F20"/>
          <w:w w:val="105"/>
          <w:sz w:val="22"/>
        </w:rPr>
        <w:t>e impulsar</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modernización</w:t>
      </w:r>
      <w:r>
        <w:rPr>
          <w:rFonts w:ascii="Times New Roman" w:hAnsi="Times New Roman"/>
          <w:color w:val="231F20"/>
          <w:spacing w:val="-9"/>
          <w:w w:val="105"/>
          <w:sz w:val="22"/>
        </w:rPr>
        <w:t> </w:t>
      </w:r>
      <w:r>
        <w:rPr>
          <w:rFonts w:ascii="Times New Roman" w:hAnsi="Times New Roman"/>
          <w:color w:val="231F20"/>
          <w:w w:val="105"/>
          <w:sz w:val="22"/>
        </w:rPr>
        <w:t>de</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infraestructura</w:t>
      </w:r>
      <w:r>
        <w:rPr>
          <w:rFonts w:ascii="Times New Roman" w:hAnsi="Times New Roman"/>
          <w:color w:val="231F20"/>
          <w:spacing w:val="-9"/>
          <w:w w:val="105"/>
          <w:sz w:val="22"/>
        </w:rPr>
        <w:t> </w:t>
      </w:r>
      <w:r>
        <w:rPr>
          <w:rFonts w:ascii="Times New Roman" w:hAnsi="Times New Roman"/>
          <w:color w:val="231F20"/>
          <w:w w:val="105"/>
          <w:sz w:val="22"/>
        </w:rPr>
        <w:t>de</w:t>
      </w:r>
      <w:r>
        <w:rPr>
          <w:rFonts w:ascii="Times New Roman" w:hAnsi="Times New Roman"/>
          <w:color w:val="231F20"/>
          <w:spacing w:val="-9"/>
          <w:w w:val="105"/>
          <w:sz w:val="22"/>
        </w:rPr>
        <w:t> </w:t>
      </w:r>
      <w:r>
        <w:rPr>
          <w:rFonts w:ascii="Times New Roman" w:hAnsi="Times New Roman"/>
          <w:color w:val="231F20"/>
          <w:w w:val="105"/>
          <w:sz w:val="22"/>
        </w:rPr>
        <w:t>abasto</w:t>
      </w:r>
      <w:r>
        <w:rPr>
          <w:rFonts w:ascii="Times New Roman" w:hAnsi="Times New Roman"/>
          <w:color w:val="231F20"/>
          <w:spacing w:val="-9"/>
          <w:w w:val="105"/>
          <w:sz w:val="22"/>
        </w:rPr>
        <w:t> </w:t>
      </w:r>
      <w:r>
        <w:rPr>
          <w:rFonts w:ascii="Times New Roman" w:hAnsi="Times New Roman"/>
          <w:color w:val="231F20"/>
          <w:w w:val="105"/>
          <w:sz w:val="22"/>
        </w:rPr>
        <w:t>y</w:t>
      </w:r>
      <w:r>
        <w:rPr>
          <w:rFonts w:ascii="Times New Roman" w:hAnsi="Times New Roman"/>
          <w:color w:val="231F20"/>
          <w:spacing w:val="-9"/>
          <w:w w:val="105"/>
          <w:sz w:val="22"/>
        </w:rPr>
        <w:t> </w:t>
      </w:r>
      <w:r>
        <w:rPr>
          <w:rFonts w:ascii="Times New Roman" w:hAnsi="Times New Roman"/>
          <w:color w:val="231F20"/>
          <w:w w:val="105"/>
          <w:sz w:val="22"/>
        </w:rPr>
        <w:t>comercio</w:t>
      </w:r>
      <w:r>
        <w:rPr>
          <w:rFonts w:ascii="Times New Roman" w:hAnsi="Times New Roman"/>
          <w:color w:val="231F20"/>
          <w:spacing w:val="-9"/>
          <w:w w:val="105"/>
          <w:sz w:val="22"/>
        </w:rPr>
        <w:t> </w:t>
      </w:r>
      <w:r>
        <w:rPr>
          <w:rFonts w:ascii="Times New Roman" w:hAnsi="Times New Roman"/>
          <w:color w:val="231F20"/>
          <w:w w:val="105"/>
          <w:sz w:val="22"/>
        </w:rPr>
        <w:t>y</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vincu- lación</w:t>
      </w:r>
      <w:r>
        <w:rPr>
          <w:rFonts w:ascii="Times New Roman" w:hAnsi="Times New Roman"/>
          <w:color w:val="231F20"/>
          <w:spacing w:val="-6"/>
          <w:w w:val="105"/>
          <w:sz w:val="22"/>
        </w:rPr>
        <w:t> </w:t>
      </w:r>
      <w:r>
        <w:rPr>
          <w:rFonts w:ascii="Times New Roman" w:hAnsi="Times New Roman"/>
          <w:color w:val="231F20"/>
          <w:w w:val="105"/>
          <w:sz w:val="22"/>
        </w:rPr>
        <w:t>entre</w:t>
      </w:r>
      <w:r>
        <w:rPr>
          <w:rFonts w:ascii="Times New Roman" w:hAnsi="Times New Roman"/>
          <w:color w:val="231F20"/>
          <w:spacing w:val="-6"/>
          <w:w w:val="105"/>
          <w:sz w:val="22"/>
        </w:rPr>
        <w:t> </w:t>
      </w:r>
      <w:r>
        <w:rPr>
          <w:rFonts w:ascii="Times New Roman" w:hAnsi="Times New Roman"/>
          <w:color w:val="231F20"/>
          <w:w w:val="105"/>
          <w:sz w:val="22"/>
        </w:rPr>
        <w:t>productores</w:t>
      </w:r>
      <w:r>
        <w:rPr>
          <w:rFonts w:ascii="Times New Roman" w:hAnsi="Times New Roman"/>
          <w:color w:val="231F20"/>
          <w:spacing w:val="-6"/>
          <w:w w:val="105"/>
          <w:sz w:val="22"/>
        </w:rPr>
        <w:t> </w:t>
      </w:r>
      <w:r>
        <w:rPr>
          <w:rFonts w:ascii="Times New Roman" w:hAnsi="Times New Roman"/>
          <w:color w:val="231F20"/>
          <w:w w:val="105"/>
          <w:sz w:val="22"/>
        </w:rPr>
        <w:t>y</w:t>
      </w:r>
      <w:r>
        <w:rPr>
          <w:rFonts w:ascii="Times New Roman" w:hAnsi="Times New Roman"/>
          <w:color w:val="231F20"/>
          <w:spacing w:val="-6"/>
          <w:w w:val="105"/>
          <w:sz w:val="22"/>
        </w:rPr>
        <w:t> </w:t>
      </w:r>
      <w:r>
        <w:rPr>
          <w:rFonts w:ascii="Times New Roman" w:hAnsi="Times New Roman"/>
          <w:color w:val="231F20"/>
          <w:w w:val="105"/>
          <w:sz w:val="22"/>
        </w:rPr>
        <w:t>comerciantes</w:t>
      </w:r>
      <w:r>
        <w:rPr>
          <w:rFonts w:ascii="Times New Roman" w:hAnsi="Times New Roman"/>
          <w:color w:val="231F20"/>
          <w:spacing w:val="-6"/>
          <w:w w:val="105"/>
          <w:sz w:val="22"/>
        </w:rPr>
        <w:t> </w:t>
      </w:r>
      <w:r>
        <w:rPr>
          <w:rFonts w:ascii="Times New Roman" w:hAnsi="Times New Roman"/>
          <w:color w:val="231F20"/>
          <w:w w:val="105"/>
          <w:sz w:val="22"/>
        </w:rPr>
        <w:t>para</w:t>
      </w:r>
      <w:r>
        <w:rPr>
          <w:rFonts w:ascii="Times New Roman" w:hAnsi="Times New Roman"/>
          <w:color w:val="231F20"/>
          <w:spacing w:val="-6"/>
          <w:w w:val="105"/>
          <w:sz w:val="22"/>
        </w:rPr>
        <w:t> </w:t>
      </w:r>
      <w:r>
        <w:rPr>
          <w:rFonts w:ascii="Times New Roman" w:hAnsi="Times New Roman"/>
          <w:color w:val="231F20"/>
          <w:w w:val="105"/>
          <w:sz w:val="22"/>
        </w:rPr>
        <w:t>abatir</w:t>
      </w:r>
      <w:r>
        <w:rPr>
          <w:rFonts w:ascii="Times New Roman" w:hAnsi="Times New Roman"/>
          <w:color w:val="231F20"/>
          <w:spacing w:val="-6"/>
          <w:w w:val="105"/>
          <w:sz w:val="22"/>
        </w:rPr>
        <w:t> </w:t>
      </w:r>
      <w:r>
        <w:rPr>
          <w:rFonts w:ascii="Times New Roman" w:hAnsi="Times New Roman"/>
          <w:color w:val="231F20"/>
          <w:w w:val="105"/>
          <w:sz w:val="22"/>
        </w:rPr>
        <w:t>costos,</w:t>
      </w:r>
      <w:r>
        <w:rPr>
          <w:rFonts w:ascii="Times New Roman" w:hAnsi="Times New Roman"/>
          <w:color w:val="231F20"/>
          <w:spacing w:val="-6"/>
          <w:w w:val="105"/>
          <w:sz w:val="22"/>
        </w:rPr>
        <w:t> </w:t>
      </w:r>
      <w:r>
        <w:rPr>
          <w:rFonts w:ascii="Times New Roman" w:hAnsi="Times New Roman"/>
          <w:color w:val="231F20"/>
          <w:w w:val="105"/>
          <w:sz w:val="22"/>
        </w:rPr>
        <w:t>vía</w:t>
      </w:r>
      <w:r>
        <w:rPr>
          <w:rFonts w:ascii="Times New Roman" w:hAnsi="Times New Roman"/>
          <w:color w:val="231F20"/>
          <w:spacing w:val="-6"/>
          <w:w w:val="105"/>
          <w:sz w:val="22"/>
        </w:rPr>
        <w:t> </w:t>
      </w:r>
      <w:r>
        <w:rPr>
          <w:rFonts w:ascii="Times New Roman" w:hAnsi="Times New Roman"/>
          <w:color w:val="231F20"/>
          <w:w w:val="105"/>
          <w:sz w:val="22"/>
        </w:rPr>
        <w:t>compras</w:t>
      </w:r>
      <w:r>
        <w:rPr>
          <w:rFonts w:ascii="Times New Roman" w:hAnsi="Times New Roman"/>
          <w:color w:val="231F20"/>
          <w:spacing w:val="-6"/>
          <w:w w:val="105"/>
          <w:sz w:val="22"/>
        </w:rPr>
        <w:t> </w:t>
      </w:r>
      <w:r>
        <w:rPr>
          <w:rFonts w:ascii="Times New Roman" w:hAnsi="Times New Roman"/>
          <w:color w:val="231F20"/>
          <w:w w:val="105"/>
          <w:sz w:val="22"/>
        </w:rPr>
        <w:t>consoli- dadas</w:t>
      </w:r>
      <w:r>
        <w:rPr>
          <w:rFonts w:ascii="Times New Roman" w:hAnsi="Times New Roman"/>
          <w:color w:val="231F20"/>
          <w:spacing w:val="-13"/>
          <w:w w:val="105"/>
          <w:sz w:val="22"/>
        </w:rPr>
        <w:t> </w:t>
      </w:r>
      <w:r>
        <w:rPr>
          <w:rFonts w:ascii="Times New Roman" w:hAnsi="Times New Roman"/>
          <w:color w:val="231F20"/>
          <w:w w:val="105"/>
          <w:sz w:val="22"/>
        </w:rPr>
        <w:t>y</w:t>
      </w:r>
      <w:r>
        <w:rPr>
          <w:rFonts w:ascii="Times New Roman" w:hAnsi="Times New Roman"/>
          <w:color w:val="231F20"/>
          <w:spacing w:val="-13"/>
          <w:w w:val="105"/>
          <w:sz w:val="22"/>
        </w:rPr>
        <w:t> </w:t>
      </w:r>
      <w:r>
        <w:rPr>
          <w:rFonts w:ascii="Times New Roman" w:hAnsi="Times New Roman"/>
          <w:color w:val="231F20"/>
          <w:w w:val="105"/>
          <w:sz w:val="22"/>
        </w:rPr>
        <w:t>mejorar</w:t>
      </w:r>
      <w:r>
        <w:rPr>
          <w:rFonts w:ascii="Times New Roman" w:hAnsi="Times New Roman"/>
          <w:color w:val="231F20"/>
          <w:spacing w:val="-13"/>
          <w:w w:val="105"/>
          <w:sz w:val="22"/>
        </w:rPr>
        <w:t> </w:t>
      </w:r>
      <w:r>
        <w:rPr>
          <w:rFonts w:ascii="Times New Roman" w:hAnsi="Times New Roman"/>
          <w:color w:val="231F20"/>
          <w:w w:val="105"/>
          <w:sz w:val="22"/>
        </w:rPr>
        <w:t>los</w:t>
      </w:r>
      <w:r>
        <w:rPr>
          <w:rFonts w:ascii="Times New Roman" w:hAnsi="Times New Roman"/>
          <w:color w:val="231F20"/>
          <w:spacing w:val="-13"/>
          <w:w w:val="105"/>
          <w:sz w:val="22"/>
        </w:rPr>
        <w:t> </w:t>
      </w:r>
      <w:r>
        <w:rPr>
          <w:rFonts w:ascii="Times New Roman" w:hAnsi="Times New Roman"/>
          <w:color w:val="231F20"/>
          <w:w w:val="105"/>
          <w:sz w:val="22"/>
        </w:rPr>
        <w:t>canales</w:t>
      </w:r>
      <w:r>
        <w:rPr>
          <w:rFonts w:ascii="Times New Roman" w:hAnsi="Times New Roman"/>
          <w:color w:val="231F20"/>
          <w:spacing w:val="-13"/>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distribución.</w:t>
      </w:r>
    </w:p>
    <w:p>
      <w:pPr>
        <w:pStyle w:val="ListParagraph"/>
        <w:numPr>
          <w:ilvl w:val="2"/>
          <w:numId w:val="20"/>
        </w:numPr>
        <w:tabs>
          <w:tab w:pos="463"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Elevar el nivel de alimentación y apoyar la economía de las </w:t>
      </w:r>
      <w:r>
        <w:rPr>
          <w:rFonts w:ascii="Times New Roman" w:hAnsi="Times New Roman"/>
          <w:color w:val="231F20"/>
          <w:spacing w:val="2"/>
          <w:w w:val="105"/>
          <w:sz w:val="22"/>
        </w:rPr>
        <w:t>familias </w:t>
      </w:r>
      <w:r>
        <w:rPr>
          <w:rFonts w:ascii="Times New Roman" w:hAnsi="Times New Roman"/>
          <w:color w:val="231F20"/>
          <w:w w:val="105"/>
          <w:sz w:val="22"/>
        </w:rPr>
        <w:t>princi- palmente las de mayor índice de marginación, a través de la ayuda alimentaria directa</w:t>
      </w:r>
      <w:r>
        <w:rPr>
          <w:rFonts w:ascii="Times New Roman" w:hAnsi="Times New Roman"/>
          <w:color w:val="231F20"/>
          <w:spacing w:val="-9"/>
          <w:w w:val="105"/>
          <w:sz w:val="22"/>
        </w:rPr>
        <w:t> </w:t>
      </w:r>
      <w:r>
        <w:rPr>
          <w:rFonts w:ascii="Times New Roman" w:hAnsi="Times New Roman"/>
          <w:color w:val="231F20"/>
          <w:w w:val="105"/>
          <w:sz w:val="22"/>
        </w:rPr>
        <w:t>con</w:t>
      </w:r>
      <w:r>
        <w:rPr>
          <w:rFonts w:ascii="Times New Roman" w:hAnsi="Times New Roman"/>
          <w:color w:val="231F20"/>
          <w:spacing w:val="-9"/>
          <w:w w:val="105"/>
          <w:sz w:val="22"/>
        </w:rPr>
        <w:t> </w:t>
      </w:r>
      <w:r>
        <w:rPr>
          <w:rFonts w:ascii="Times New Roman" w:hAnsi="Times New Roman"/>
          <w:color w:val="231F20"/>
          <w:w w:val="105"/>
          <w:sz w:val="22"/>
        </w:rPr>
        <w:t>énfasis</w:t>
      </w:r>
      <w:r>
        <w:rPr>
          <w:rFonts w:ascii="Times New Roman" w:hAnsi="Times New Roman"/>
          <w:color w:val="231F20"/>
          <w:spacing w:val="-9"/>
          <w:w w:val="105"/>
          <w:sz w:val="22"/>
        </w:rPr>
        <w:t> </w:t>
      </w:r>
      <w:r>
        <w:rPr>
          <w:rFonts w:ascii="Times New Roman" w:hAnsi="Times New Roman"/>
          <w:color w:val="231F20"/>
          <w:w w:val="105"/>
          <w:sz w:val="22"/>
        </w:rPr>
        <w:t>en</w:t>
      </w:r>
      <w:r>
        <w:rPr>
          <w:rFonts w:ascii="Times New Roman" w:hAnsi="Times New Roman"/>
          <w:color w:val="231F20"/>
          <w:spacing w:val="-9"/>
          <w:w w:val="105"/>
          <w:sz w:val="22"/>
        </w:rPr>
        <w:t> </w:t>
      </w:r>
      <w:r>
        <w:rPr>
          <w:rFonts w:ascii="Times New Roman" w:hAnsi="Times New Roman"/>
          <w:color w:val="231F20"/>
          <w:w w:val="105"/>
          <w:sz w:val="22"/>
        </w:rPr>
        <w:t>los</w:t>
      </w:r>
      <w:r>
        <w:rPr>
          <w:rFonts w:ascii="Times New Roman" w:hAnsi="Times New Roman"/>
          <w:color w:val="231F20"/>
          <w:spacing w:val="-9"/>
          <w:w w:val="105"/>
          <w:sz w:val="22"/>
        </w:rPr>
        <w:t> </w:t>
      </w:r>
      <w:r>
        <w:rPr>
          <w:rFonts w:ascii="Times New Roman" w:hAnsi="Times New Roman"/>
          <w:color w:val="231F20"/>
          <w:w w:val="105"/>
          <w:sz w:val="22"/>
        </w:rPr>
        <w:t>grupos</w:t>
      </w:r>
      <w:r>
        <w:rPr>
          <w:rFonts w:ascii="Times New Roman" w:hAnsi="Times New Roman"/>
          <w:color w:val="231F20"/>
          <w:spacing w:val="-9"/>
          <w:w w:val="105"/>
          <w:sz w:val="22"/>
        </w:rPr>
        <w:t> </w:t>
      </w:r>
      <w:r>
        <w:rPr>
          <w:rFonts w:ascii="Times New Roman" w:hAnsi="Times New Roman"/>
          <w:color w:val="231F20"/>
          <w:w w:val="105"/>
          <w:sz w:val="22"/>
        </w:rPr>
        <w:t>de</w:t>
      </w:r>
      <w:r>
        <w:rPr>
          <w:rFonts w:ascii="Times New Roman" w:hAnsi="Times New Roman"/>
          <w:color w:val="231F20"/>
          <w:spacing w:val="-9"/>
          <w:w w:val="105"/>
          <w:sz w:val="22"/>
        </w:rPr>
        <w:t> </w:t>
      </w:r>
      <w:r>
        <w:rPr>
          <w:rFonts w:ascii="Times New Roman" w:hAnsi="Times New Roman"/>
          <w:color w:val="231F20"/>
          <w:w w:val="105"/>
          <w:sz w:val="22"/>
        </w:rPr>
        <w:t>alto</w:t>
      </w:r>
      <w:r>
        <w:rPr>
          <w:rFonts w:ascii="Times New Roman" w:hAnsi="Times New Roman"/>
          <w:color w:val="231F20"/>
          <w:spacing w:val="-9"/>
          <w:w w:val="105"/>
          <w:sz w:val="22"/>
        </w:rPr>
        <w:t> </w:t>
      </w:r>
      <w:r>
        <w:rPr>
          <w:rFonts w:ascii="Times New Roman" w:hAnsi="Times New Roman"/>
          <w:color w:val="231F20"/>
          <w:w w:val="105"/>
          <w:sz w:val="22"/>
        </w:rPr>
        <w:t>riesgo</w:t>
      </w:r>
      <w:r>
        <w:rPr>
          <w:rFonts w:ascii="Times New Roman" w:hAnsi="Times New Roman"/>
          <w:color w:val="231F20"/>
          <w:spacing w:val="-9"/>
          <w:w w:val="105"/>
          <w:sz w:val="22"/>
        </w:rPr>
        <w:t> </w:t>
      </w:r>
      <w:r>
        <w:rPr>
          <w:rFonts w:ascii="Times New Roman" w:hAnsi="Times New Roman"/>
          <w:color w:val="231F20"/>
          <w:w w:val="105"/>
          <w:sz w:val="22"/>
        </w:rPr>
        <w:t>y</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orientación</w:t>
      </w:r>
      <w:r>
        <w:rPr>
          <w:rFonts w:ascii="Times New Roman" w:hAnsi="Times New Roman"/>
          <w:color w:val="231F20"/>
          <w:spacing w:val="-9"/>
          <w:w w:val="105"/>
          <w:sz w:val="22"/>
        </w:rPr>
        <w:t> </w:t>
      </w:r>
      <w:r>
        <w:rPr>
          <w:rFonts w:ascii="Times New Roman" w:hAnsi="Times New Roman"/>
          <w:color w:val="231F20"/>
          <w:w w:val="105"/>
          <w:sz w:val="22"/>
        </w:rPr>
        <w:t>a</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autosuficien- cia alimentaria. Fomentar el hábito de consumo de una alimentación nutritiva, balanceada</w:t>
      </w:r>
      <w:r>
        <w:rPr>
          <w:rFonts w:ascii="Times New Roman" w:hAnsi="Times New Roman"/>
          <w:color w:val="231F20"/>
          <w:spacing w:val="-20"/>
          <w:w w:val="105"/>
          <w:sz w:val="22"/>
        </w:rPr>
        <w:t> </w:t>
      </w:r>
      <w:r>
        <w:rPr>
          <w:rFonts w:ascii="Times New Roman" w:hAnsi="Times New Roman"/>
          <w:color w:val="231F20"/>
          <w:w w:val="105"/>
          <w:sz w:val="22"/>
        </w:rPr>
        <w:t>y</w:t>
      </w:r>
      <w:r>
        <w:rPr>
          <w:rFonts w:ascii="Times New Roman" w:hAnsi="Times New Roman"/>
          <w:color w:val="231F20"/>
          <w:spacing w:val="-20"/>
          <w:w w:val="105"/>
          <w:sz w:val="22"/>
        </w:rPr>
        <w:t> </w:t>
      </w:r>
      <w:r>
        <w:rPr>
          <w:rFonts w:ascii="Times New Roman" w:hAnsi="Times New Roman"/>
          <w:color w:val="231F20"/>
          <w:w w:val="105"/>
          <w:sz w:val="22"/>
        </w:rPr>
        <w:t>económica</w:t>
      </w:r>
      <w:r>
        <w:rPr>
          <w:rFonts w:ascii="Times New Roman" w:hAnsi="Times New Roman"/>
          <w:color w:val="231F20"/>
          <w:spacing w:val="-20"/>
          <w:w w:val="105"/>
          <w:sz w:val="22"/>
        </w:rPr>
        <w:t> </w:t>
      </w:r>
      <w:r>
        <w:rPr>
          <w:rFonts w:ascii="Times New Roman" w:hAnsi="Times New Roman"/>
          <w:color w:val="231F20"/>
          <w:w w:val="105"/>
          <w:sz w:val="22"/>
        </w:rPr>
        <w:t>a</w:t>
      </w:r>
      <w:r>
        <w:rPr>
          <w:rFonts w:ascii="Times New Roman" w:hAnsi="Times New Roman"/>
          <w:color w:val="231F20"/>
          <w:spacing w:val="-20"/>
          <w:w w:val="105"/>
          <w:sz w:val="22"/>
        </w:rPr>
        <w:t> </w:t>
      </w:r>
      <w:r>
        <w:rPr>
          <w:rFonts w:ascii="Times New Roman" w:hAnsi="Times New Roman"/>
          <w:color w:val="231F20"/>
          <w:w w:val="105"/>
          <w:sz w:val="22"/>
        </w:rPr>
        <w:t>las</w:t>
      </w:r>
      <w:r>
        <w:rPr>
          <w:rFonts w:ascii="Times New Roman" w:hAnsi="Times New Roman"/>
          <w:color w:val="231F20"/>
          <w:spacing w:val="-20"/>
          <w:w w:val="105"/>
          <w:sz w:val="22"/>
        </w:rPr>
        <w:t> </w:t>
      </w:r>
      <w:r>
        <w:rPr>
          <w:rFonts w:ascii="Times New Roman" w:hAnsi="Times New Roman"/>
          <w:color w:val="231F20"/>
          <w:spacing w:val="2"/>
          <w:w w:val="105"/>
          <w:sz w:val="22"/>
        </w:rPr>
        <w:t>familias</w:t>
      </w:r>
      <w:r>
        <w:rPr>
          <w:rFonts w:ascii="Times New Roman" w:hAnsi="Times New Roman"/>
          <w:color w:val="231F20"/>
          <w:spacing w:val="-20"/>
          <w:w w:val="105"/>
          <w:sz w:val="22"/>
        </w:rPr>
        <w:t> </w:t>
      </w:r>
      <w:r>
        <w:rPr>
          <w:rFonts w:ascii="Times New Roman" w:hAnsi="Times New Roman"/>
          <w:color w:val="231F20"/>
          <w:w w:val="105"/>
          <w:sz w:val="22"/>
        </w:rPr>
        <w:t>del</w:t>
      </w:r>
      <w:r>
        <w:rPr>
          <w:rFonts w:ascii="Times New Roman" w:hAnsi="Times New Roman"/>
          <w:color w:val="231F20"/>
          <w:spacing w:val="-20"/>
          <w:w w:val="105"/>
          <w:sz w:val="22"/>
        </w:rPr>
        <w:t> </w:t>
      </w:r>
      <w:r>
        <w:rPr>
          <w:rFonts w:ascii="Times New Roman" w:hAnsi="Times New Roman"/>
          <w:color w:val="231F20"/>
          <w:w w:val="105"/>
          <w:sz w:val="22"/>
        </w:rPr>
        <w:t>municipio,</w:t>
      </w:r>
      <w:r>
        <w:rPr>
          <w:rFonts w:ascii="Times New Roman" w:hAnsi="Times New Roman"/>
          <w:color w:val="231F20"/>
          <w:spacing w:val="-20"/>
          <w:w w:val="105"/>
          <w:sz w:val="22"/>
        </w:rPr>
        <w:t> </w:t>
      </w:r>
      <w:r>
        <w:rPr>
          <w:rFonts w:ascii="Times New Roman" w:hAnsi="Times New Roman"/>
          <w:color w:val="231F20"/>
          <w:w w:val="105"/>
          <w:sz w:val="22"/>
        </w:rPr>
        <w:t>a</w:t>
      </w:r>
      <w:r>
        <w:rPr>
          <w:rFonts w:ascii="Times New Roman" w:hAnsi="Times New Roman"/>
          <w:color w:val="231F20"/>
          <w:spacing w:val="-20"/>
          <w:w w:val="105"/>
          <w:sz w:val="22"/>
        </w:rPr>
        <w:t> </w:t>
      </w:r>
      <w:r>
        <w:rPr>
          <w:rFonts w:ascii="Times New Roman" w:hAnsi="Times New Roman"/>
          <w:color w:val="231F20"/>
          <w:w w:val="105"/>
          <w:sz w:val="22"/>
        </w:rPr>
        <w:t>través</w:t>
      </w:r>
      <w:r>
        <w:rPr>
          <w:rFonts w:ascii="Times New Roman" w:hAnsi="Times New Roman"/>
          <w:color w:val="231F20"/>
          <w:spacing w:val="-20"/>
          <w:w w:val="105"/>
          <w:sz w:val="22"/>
        </w:rPr>
        <w:t> </w:t>
      </w:r>
      <w:r>
        <w:rPr>
          <w:rFonts w:ascii="Times New Roman" w:hAnsi="Times New Roman"/>
          <w:color w:val="231F20"/>
          <w:w w:val="105"/>
          <w:sz w:val="22"/>
        </w:rPr>
        <w:t>de</w:t>
      </w:r>
      <w:r>
        <w:rPr>
          <w:rFonts w:ascii="Times New Roman" w:hAnsi="Times New Roman"/>
          <w:color w:val="231F20"/>
          <w:spacing w:val="-20"/>
          <w:w w:val="105"/>
          <w:sz w:val="22"/>
        </w:rPr>
        <w:t> </w:t>
      </w:r>
      <w:r>
        <w:rPr>
          <w:rFonts w:ascii="Times New Roman" w:hAnsi="Times New Roman"/>
          <w:color w:val="231F20"/>
          <w:w w:val="105"/>
          <w:sz w:val="22"/>
        </w:rPr>
        <w:t>mecanismos</w:t>
      </w:r>
      <w:r>
        <w:rPr>
          <w:rFonts w:ascii="Times New Roman" w:hAnsi="Times New Roman"/>
          <w:color w:val="231F20"/>
          <w:spacing w:val="-20"/>
          <w:w w:val="105"/>
          <w:sz w:val="22"/>
        </w:rPr>
        <w:t> </w:t>
      </w:r>
      <w:r>
        <w:rPr>
          <w:rFonts w:ascii="Times New Roman" w:hAnsi="Times New Roman"/>
          <w:color w:val="231F20"/>
          <w:w w:val="105"/>
          <w:sz w:val="22"/>
        </w:rPr>
        <w:t>que permitan proporcionar información suficiente para orientarlas y mejorar sus há- bitos</w:t>
      </w:r>
      <w:r>
        <w:rPr>
          <w:rFonts w:ascii="Times New Roman" w:hAnsi="Times New Roman"/>
          <w:color w:val="231F20"/>
          <w:spacing w:val="-35"/>
          <w:w w:val="105"/>
          <w:sz w:val="22"/>
        </w:rPr>
        <w:t> </w:t>
      </w:r>
      <w:r>
        <w:rPr>
          <w:rFonts w:ascii="Times New Roman" w:hAnsi="Times New Roman"/>
          <w:color w:val="231F20"/>
          <w:w w:val="105"/>
          <w:sz w:val="22"/>
        </w:rPr>
        <w:t>alimenticios.</w:t>
      </w:r>
    </w:p>
    <w:p>
      <w:pPr>
        <w:pStyle w:val="ListParagraph"/>
        <w:numPr>
          <w:ilvl w:val="2"/>
          <w:numId w:val="20"/>
        </w:numPr>
        <w:tabs>
          <w:tab w:pos="446" w:val="left" w:leader="none"/>
        </w:tabs>
        <w:spacing w:line="240" w:lineRule="auto" w:before="1" w:after="0"/>
        <w:ind w:left="445" w:right="0" w:hanging="328"/>
        <w:jc w:val="both"/>
        <w:rPr>
          <w:rFonts w:ascii="Times New Roman"/>
          <w:sz w:val="22"/>
        </w:rPr>
      </w:pPr>
      <w:r>
        <w:rPr>
          <w:rFonts w:ascii="Times New Roman"/>
          <w:color w:val="231F20"/>
          <w:w w:val="105"/>
          <w:sz w:val="22"/>
        </w:rPr>
        <w:t>Garantizar el respeto a los derechos de todos los infantes, principalmente</w:t>
      </w:r>
      <w:r>
        <w:rPr>
          <w:rFonts w:ascii="Times New Roman"/>
          <w:color w:val="231F20"/>
          <w:spacing w:val="-8"/>
          <w:w w:val="105"/>
          <w:sz w:val="22"/>
        </w:rPr>
        <w:t> </w:t>
      </w:r>
      <w:r>
        <w:rPr>
          <w:rFonts w:ascii="Times New Roman"/>
          <w:color w:val="231F20"/>
          <w:w w:val="105"/>
          <w:sz w:val="22"/>
        </w:rPr>
        <w:t>de</w:t>
      </w:r>
    </w:p>
    <w:p>
      <w:pPr>
        <w:spacing w:after="0" w:line="240" w:lineRule="auto"/>
        <w:jc w:val="both"/>
        <w:rPr>
          <w:rFonts w:ascii="Times New Roman"/>
          <w:sz w:val="22"/>
        </w:rPr>
        <w:sectPr>
          <w:pgSz w:w="9640" w:h="12190"/>
          <w:pgMar w:header="0" w:footer="743" w:top="1120" w:bottom="940" w:left="1300" w:right="740"/>
        </w:sectPr>
      </w:pPr>
    </w:p>
    <w:p>
      <w:pPr>
        <w:pStyle w:val="BodyText"/>
        <w:spacing w:before="3"/>
        <w:rPr>
          <w:sz w:val="11"/>
        </w:rPr>
      </w:pPr>
    </w:p>
    <w:p>
      <w:pPr>
        <w:pStyle w:val="BodyText"/>
        <w:spacing w:line="285" w:lineRule="auto" w:before="36"/>
        <w:ind w:left="117" w:right="108"/>
        <w:jc w:val="both"/>
      </w:pPr>
      <w:r>
        <w:rPr>
          <w:color w:val="231F20"/>
          <w:w w:val="105"/>
        </w:rPr>
        <w:t>aquellos que se encuentran en condiciones de marginación, instrumentando </w:t>
      </w:r>
      <w:r>
        <w:rPr>
          <w:color w:val="231F20"/>
          <w:spacing w:val="-3"/>
          <w:w w:val="105"/>
        </w:rPr>
        <w:t>ac- </w:t>
      </w:r>
      <w:r>
        <w:rPr>
          <w:color w:val="231F20"/>
          <w:w w:val="105"/>
        </w:rPr>
        <w:t>ciones</w:t>
      </w:r>
      <w:r>
        <w:rPr>
          <w:color w:val="231F20"/>
          <w:spacing w:val="-19"/>
          <w:w w:val="105"/>
        </w:rPr>
        <w:t> </w:t>
      </w:r>
      <w:r>
        <w:rPr>
          <w:color w:val="231F20"/>
          <w:w w:val="105"/>
        </w:rPr>
        <w:t>que</w:t>
      </w:r>
      <w:r>
        <w:rPr>
          <w:color w:val="231F20"/>
          <w:spacing w:val="-19"/>
          <w:w w:val="105"/>
        </w:rPr>
        <w:t> </w:t>
      </w:r>
      <w:r>
        <w:rPr>
          <w:color w:val="231F20"/>
          <w:w w:val="105"/>
        </w:rPr>
        <w:t>mejoren</w:t>
      </w:r>
      <w:r>
        <w:rPr>
          <w:color w:val="231F20"/>
          <w:spacing w:val="-19"/>
          <w:w w:val="105"/>
        </w:rPr>
        <w:t> </w:t>
      </w:r>
      <w:r>
        <w:rPr>
          <w:color w:val="231F20"/>
          <w:w w:val="105"/>
        </w:rPr>
        <w:t>su</w:t>
      </w:r>
      <w:r>
        <w:rPr>
          <w:color w:val="231F20"/>
          <w:spacing w:val="-19"/>
          <w:w w:val="105"/>
        </w:rPr>
        <w:t> </w:t>
      </w:r>
      <w:r>
        <w:rPr>
          <w:color w:val="231F20"/>
          <w:w w:val="105"/>
        </w:rPr>
        <w:t>bienestar</w:t>
      </w:r>
      <w:r>
        <w:rPr>
          <w:color w:val="231F20"/>
          <w:spacing w:val="-19"/>
          <w:w w:val="105"/>
        </w:rPr>
        <w:t> </w:t>
      </w:r>
      <w:r>
        <w:rPr>
          <w:color w:val="231F20"/>
          <w:w w:val="105"/>
        </w:rPr>
        <w:t>y</w:t>
      </w:r>
      <w:r>
        <w:rPr>
          <w:color w:val="231F20"/>
          <w:spacing w:val="-19"/>
          <w:w w:val="105"/>
        </w:rPr>
        <w:t> </w:t>
      </w:r>
      <w:r>
        <w:rPr>
          <w:color w:val="231F20"/>
          <w:w w:val="105"/>
        </w:rPr>
        <w:t>desarrollo</w:t>
      </w:r>
      <w:r>
        <w:rPr>
          <w:color w:val="231F20"/>
          <w:spacing w:val="-19"/>
          <w:w w:val="105"/>
        </w:rPr>
        <w:t> </w:t>
      </w:r>
      <w:r>
        <w:rPr>
          <w:color w:val="231F20"/>
          <w:w w:val="105"/>
        </w:rPr>
        <w:t>como</w:t>
      </w:r>
      <w:r>
        <w:rPr>
          <w:color w:val="231F20"/>
          <w:spacing w:val="-19"/>
          <w:w w:val="105"/>
        </w:rPr>
        <w:t> </w:t>
      </w:r>
      <w:r>
        <w:rPr>
          <w:color w:val="231F20"/>
          <w:w w:val="105"/>
        </w:rPr>
        <w:t>personas</w:t>
      </w:r>
      <w:r>
        <w:rPr>
          <w:color w:val="231F20"/>
          <w:spacing w:val="-19"/>
          <w:w w:val="105"/>
        </w:rPr>
        <w:t> </w:t>
      </w:r>
      <w:r>
        <w:rPr>
          <w:color w:val="231F20"/>
          <w:w w:val="105"/>
        </w:rPr>
        <w:t>y</w:t>
      </w:r>
      <w:r>
        <w:rPr>
          <w:color w:val="231F20"/>
          <w:spacing w:val="-19"/>
          <w:w w:val="105"/>
        </w:rPr>
        <w:t> </w:t>
      </w:r>
      <w:r>
        <w:rPr>
          <w:color w:val="231F20"/>
          <w:w w:val="105"/>
        </w:rPr>
        <w:t>futuros</w:t>
      </w:r>
      <w:r>
        <w:rPr>
          <w:color w:val="231F20"/>
          <w:spacing w:val="-19"/>
          <w:w w:val="105"/>
        </w:rPr>
        <w:t> </w:t>
      </w:r>
      <w:r>
        <w:rPr>
          <w:color w:val="231F20"/>
          <w:w w:val="105"/>
        </w:rPr>
        <w:t>protagonis- tas</w:t>
      </w:r>
      <w:r>
        <w:rPr>
          <w:color w:val="231F20"/>
          <w:spacing w:val="-12"/>
          <w:w w:val="105"/>
        </w:rPr>
        <w:t> </w:t>
      </w:r>
      <w:r>
        <w:rPr>
          <w:color w:val="231F20"/>
          <w:w w:val="105"/>
        </w:rPr>
        <w:t>del</w:t>
      </w:r>
      <w:r>
        <w:rPr>
          <w:color w:val="231F20"/>
          <w:spacing w:val="-12"/>
          <w:w w:val="105"/>
        </w:rPr>
        <w:t> </w:t>
      </w:r>
      <w:r>
        <w:rPr>
          <w:color w:val="231F20"/>
          <w:w w:val="105"/>
        </w:rPr>
        <w:t>progreso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entidad.</w:t>
      </w:r>
    </w:p>
    <w:p>
      <w:pPr>
        <w:pStyle w:val="ListParagraph"/>
        <w:numPr>
          <w:ilvl w:val="2"/>
          <w:numId w:val="20"/>
        </w:numPr>
        <w:tabs>
          <w:tab w:pos="455" w:val="left" w:leader="none"/>
        </w:tabs>
        <w:spacing w:line="285" w:lineRule="auto" w:before="1" w:after="0"/>
        <w:ind w:left="117" w:right="108" w:firstLine="0"/>
        <w:jc w:val="both"/>
        <w:rPr>
          <w:rFonts w:ascii="Times New Roman"/>
          <w:sz w:val="22"/>
        </w:rPr>
      </w:pPr>
      <w:r>
        <w:rPr>
          <w:rFonts w:ascii="Times New Roman"/>
          <w:color w:val="231F20"/>
          <w:sz w:val="22"/>
        </w:rPr>
        <w:t>Garantizar la equidad y efectividad de los servicios de salud y asistenciales  para los habitantes del municipio, elevar su calidad de los mismos en las locali- dades.</w:t>
      </w:r>
    </w:p>
    <w:p>
      <w:pPr>
        <w:pStyle w:val="ListParagraph"/>
        <w:numPr>
          <w:ilvl w:val="2"/>
          <w:numId w:val="20"/>
        </w:numPr>
        <w:tabs>
          <w:tab w:pos="435"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w w:val="105"/>
          <w:sz w:val="22"/>
        </w:rPr>
        <w:t>Impulsar</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cultura</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respeto</w:t>
      </w:r>
      <w:r>
        <w:rPr>
          <w:rFonts w:ascii="Times New Roman" w:hAnsi="Times New Roman"/>
          <w:color w:val="231F20"/>
          <w:spacing w:val="-11"/>
          <w:w w:val="105"/>
          <w:sz w:val="22"/>
        </w:rPr>
        <w:t> </w:t>
      </w:r>
      <w:r>
        <w:rPr>
          <w:rFonts w:ascii="Times New Roman" w:hAnsi="Times New Roman"/>
          <w:color w:val="231F20"/>
          <w:w w:val="105"/>
          <w:sz w:val="22"/>
        </w:rPr>
        <w:t>a</w:t>
      </w:r>
      <w:r>
        <w:rPr>
          <w:rFonts w:ascii="Times New Roman" w:hAnsi="Times New Roman"/>
          <w:color w:val="231F20"/>
          <w:spacing w:val="-11"/>
          <w:w w:val="105"/>
          <w:sz w:val="22"/>
        </w:rPr>
        <w:t> </w:t>
      </w:r>
      <w:r>
        <w:rPr>
          <w:rFonts w:ascii="Times New Roman" w:hAnsi="Times New Roman"/>
          <w:color w:val="231F20"/>
          <w:w w:val="105"/>
          <w:sz w:val="22"/>
        </w:rPr>
        <w:t>los</w:t>
      </w:r>
      <w:r>
        <w:rPr>
          <w:rFonts w:ascii="Times New Roman" w:hAnsi="Times New Roman"/>
          <w:color w:val="231F20"/>
          <w:spacing w:val="-11"/>
          <w:w w:val="105"/>
          <w:sz w:val="22"/>
        </w:rPr>
        <w:t> </w:t>
      </w:r>
      <w:r>
        <w:rPr>
          <w:rFonts w:ascii="Times New Roman" w:hAnsi="Times New Roman"/>
          <w:color w:val="231F20"/>
          <w:w w:val="105"/>
          <w:sz w:val="22"/>
        </w:rPr>
        <w:t>derechos</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los</w:t>
      </w:r>
      <w:r>
        <w:rPr>
          <w:rFonts w:ascii="Times New Roman" w:hAnsi="Times New Roman"/>
          <w:color w:val="231F20"/>
          <w:spacing w:val="-11"/>
          <w:w w:val="105"/>
          <w:sz w:val="22"/>
        </w:rPr>
        <w:t> </w:t>
      </w:r>
      <w:r>
        <w:rPr>
          <w:rFonts w:ascii="Times New Roman" w:hAnsi="Times New Roman"/>
          <w:color w:val="231F20"/>
          <w:w w:val="105"/>
          <w:sz w:val="22"/>
        </w:rPr>
        <w:t>adultos</w:t>
      </w:r>
      <w:r>
        <w:rPr>
          <w:rFonts w:ascii="Times New Roman" w:hAnsi="Times New Roman"/>
          <w:color w:val="231F20"/>
          <w:spacing w:val="-11"/>
          <w:w w:val="105"/>
          <w:sz w:val="22"/>
        </w:rPr>
        <w:t> </w:t>
      </w:r>
      <w:r>
        <w:rPr>
          <w:rFonts w:ascii="Times New Roman" w:hAnsi="Times New Roman"/>
          <w:color w:val="231F20"/>
          <w:w w:val="105"/>
          <w:sz w:val="22"/>
        </w:rPr>
        <w:t>mayores,</w:t>
      </w:r>
      <w:r>
        <w:rPr>
          <w:rFonts w:ascii="Times New Roman" w:hAnsi="Times New Roman"/>
          <w:color w:val="231F20"/>
          <w:spacing w:val="-11"/>
          <w:w w:val="105"/>
          <w:sz w:val="22"/>
        </w:rPr>
        <w:t> </w:t>
      </w:r>
      <w:r>
        <w:rPr>
          <w:rFonts w:ascii="Times New Roman" w:hAnsi="Times New Roman"/>
          <w:color w:val="231F20"/>
          <w:w w:val="105"/>
          <w:sz w:val="22"/>
        </w:rPr>
        <w:t>que</w:t>
      </w:r>
      <w:r>
        <w:rPr>
          <w:rFonts w:ascii="Times New Roman" w:hAnsi="Times New Roman"/>
          <w:color w:val="231F20"/>
          <w:spacing w:val="-11"/>
          <w:w w:val="105"/>
          <w:sz w:val="22"/>
        </w:rPr>
        <w:t> </w:t>
      </w:r>
      <w:r>
        <w:rPr>
          <w:rFonts w:ascii="Times New Roman" w:hAnsi="Times New Roman"/>
          <w:color w:val="231F20"/>
          <w:w w:val="105"/>
          <w:sz w:val="22"/>
        </w:rPr>
        <w:t>pro- mueva</w:t>
      </w:r>
      <w:r>
        <w:rPr>
          <w:rFonts w:ascii="Times New Roman" w:hAnsi="Times New Roman"/>
          <w:color w:val="231F20"/>
          <w:spacing w:val="-12"/>
          <w:w w:val="105"/>
          <w:sz w:val="22"/>
        </w:rPr>
        <w:t> </w:t>
      </w:r>
      <w:r>
        <w:rPr>
          <w:rFonts w:ascii="Times New Roman" w:hAnsi="Times New Roman"/>
          <w:color w:val="231F20"/>
          <w:w w:val="105"/>
          <w:sz w:val="22"/>
        </w:rPr>
        <w:t>una</w:t>
      </w:r>
      <w:r>
        <w:rPr>
          <w:rFonts w:ascii="Times New Roman" w:hAnsi="Times New Roman"/>
          <w:color w:val="231F20"/>
          <w:spacing w:val="-12"/>
          <w:w w:val="105"/>
          <w:sz w:val="22"/>
        </w:rPr>
        <w:t> </w:t>
      </w:r>
      <w:r>
        <w:rPr>
          <w:rFonts w:ascii="Times New Roman" w:hAnsi="Times New Roman"/>
          <w:color w:val="231F20"/>
          <w:w w:val="105"/>
          <w:sz w:val="22"/>
        </w:rPr>
        <w:t>actitud</w:t>
      </w:r>
      <w:r>
        <w:rPr>
          <w:rFonts w:ascii="Times New Roman" w:hAnsi="Times New Roman"/>
          <w:color w:val="231F20"/>
          <w:spacing w:val="-12"/>
          <w:w w:val="105"/>
          <w:sz w:val="22"/>
        </w:rPr>
        <w:t> </w:t>
      </w:r>
      <w:r>
        <w:rPr>
          <w:rFonts w:ascii="Times New Roman" w:hAnsi="Times New Roman"/>
          <w:color w:val="231F20"/>
          <w:w w:val="105"/>
          <w:sz w:val="22"/>
        </w:rPr>
        <w:t>solidaria</w:t>
      </w:r>
      <w:r>
        <w:rPr>
          <w:rFonts w:ascii="Times New Roman" w:hAnsi="Times New Roman"/>
          <w:color w:val="231F20"/>
          <w:spacing w:val="-12"/>
          <w:w w:val="105"/>
          <w:sz w:val="22"/>
        </w:rPr>
        <w:t> </w:t>
      </w:r>
      <w:r>
        <w:rPr>
          <w:rFonts w:ascii="Times New Roman" w:hAnsi="Times New Roman"/>
          <w:color w:val="231F20"/>
          <w:w w:val="105"/>
          <w:sz w:val="22"/>
        </w:rPr>
        <w:t>hacia</w:t>
      </w:r>
      <w:r>
        <w:rPr>
          <w:rFonts w:ascii="Times New Roman" w:hAnsi="Times New Roman"/>
          <w:color w:val="231F20"/>
          <w:spacing w:val="-12"/>
          <w:w w:val="105"/>
          <w:sz w:val="22"/>
        </w:rPr>
        <w:t> </w:t>
      </w:r>
      <w:r>
        <w:rPr>
          <w:rFonts w:ascii="Times New Roman" w:hAnsi="Times New Roman"/>
          <w:color w:val="231F20"/>
          <w:w w:val="105"/>
          <w:sz w:val="22"/>
        </w:rPr>
        <w:t>ellos</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evite</w:t>
      </w:r>
      <w:r>
        <w:rPr>
          <w:rFonts w:ascii="Times New Roman" w:hAnsi="Times New Roman"/>
          <w:color w:val="231F20"/>
          <w:spacing w:val="-12"/>
          <w:w w:val="105"/>
          <w:sz w:val="22"/>
        </w:rPr>
        <w:t> </w:t>
      </w:r>
      <w:r>
        <w:rPr>
          <w:rFonts w:ascii="Times New Roman" w:hAnsi="Times New Roman"/>
          <w:color w:val="231F20"/>
          <w:w w:val="105"/>
          <w:sz w:val="22"/>
        </w:rPr>
        <w:t>que</w:t>
      </w:r>
      <w:r>
        <w:rPr>
          <w:rFonts w:ascii="Times New Roman" w:hAnsi="Times New Roman"/>
          <w:color w:val="231F20"/>
          <w:spacing w:val="-12"/>
          <w:w w:val="105"/>
          <w:sz w:val="22"/>
        </w:rPr>
        <w:t> </w:t>
      </w:r>
      <w:r>
        <w:rPr>
          <w:rFonts w:ascii="Times New Roman" w:hAnsi="Times New Roman"/>
          <w:color w:val="231F20"/>
          <w:w w:val="105"/>
          <w:sz w:val="22"/>
        </w:rPr>
        <w:t>sean</w:t>
      </w:r>
      <w:r>
        <w:rPr>
          <w:rFonts w:ascii="Times New Roman" w:hAnsi="Times New Roman"/>
          <w:color w:val="231F20"/>
          <w:spacing w:val="-12"/>
          <w:w w:val="105"/>
          <w:sz w:val="22"/>
        </w:rPr>
        <w:t> </w:t>
      </w:r>
      <w:r>
        <w:rPr>
          <w:rFonts w:ascii="Times New Roman" w:hAnsi="Times New Roman"/>
          <w:color w:val="231F20"/>
          <w:w w:val="105"/>
          <w:sz w:val="22"/>
        </w:rPr>
        <w:t>objeto</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maltrato,</w:t>
      </w:r>
      <w:r>
        <w:rPr>
          <w:rFonts w:ascii="Times New Roman" w:hAnsi="Times New Roman"/>
          <w:color w:val="231F20"/>
          <w:spacing w:val="-12"/>
          <w:w w:val="105"/>
          <w:sz w:val="22"/>
        </w:rPr>
        <w:t> </w:t>
      </w:r>
      <w:r>
        <w:rPr>
          <w:rFonts w:ascii="Times New Roman" w:hAnsi="Times New Roman"/>
          <w:color w:val="231F20"/>
          <w:w w:val="105"/>
          <w:sz w:val="22"/>
        </w:rPr>
        <w:t>aban- </w:t>
      </w:r>
      <w:r>
        <w:rPr>
          <w:rFonts w:ascii="Times New Roman" w:hAnsi="Times New Roman"/>
          <w:color w:val="231F20"/>
          <w:spacing w:val="-3"/>
          <w:w w:val="105"/>
          <w:sz w:val="22"/>
        </w:rPr>
        <w:t>dono</w:t>
      </w:r>
      <w:r>
        <w:rPr>
          <w:rFonts w:ascii="Times New Roman" w:hAnsi="Times New Roman"/>
          <w:color w:val="231F20"/>
          <w:spacing w:val="-21"/>
          <w:w w:val="105"/>
          <w:sz w:val="22"/>
        </w:rPr>
        <w:t> </w:t>
      </w:r>
      <w:r>
        <w:rPr>
          <w:rFonts w:ascii="Times New Roman" w:hAnsi="Times New Roman"/>
          <w:color w:val="231F20"/>
          <w:w w:val="105"/>
          <w:sz w:val="22"/>
        </w:rPr>
        <w:t>y</w:t>
      </w:r>
      <w:r>
        <w:rPr>
          <w:rFonts w:ascii="Times New Roman" w:hAnsi="Times New Roman"/>
          <w:color w:val="231F20"/>
          <w:spacing w:val="-21"/>
          <w:w w:val="105"/>
          <w:sz w:val="22"/>
        </w:rPr>
        <w:t> </w:t>
      </w:r>
      <w:r>
        <w:rPr>
          <w:rFonts w:ascii="Times New Roman" w:hAnsi="Times New Roman"/>
          <w:color w:val="231F20"/>
          <w:w w:val="105"/>
          <w:sz w:val="22"/>
        </w:rPr>
        <w:t>marginación.</w:t>
      </w:r>
      <w:r>
        <w:rPr>
          <w:rFonts w:ascii="Times New Roman" w:hAnsi="Times New Roman"/>
          <w:color w:val="231F20"/>
          <w:spacing w:val="-21"/>
          <w:w w:val="105"/>
          <w:sz w:val="22"/>
        </w:rPr>
        <w:t> </w:t>
      </w:r>
      <w:r>
        <w:rPr>
          <w:rFonts w:ascii="Times New Roman" w:hAnsi="Times New Roman"/>
          <w:color w:val="231F20"/>
          <w:w w:val="105"/>
          <w:sz w:val="22"/>
        </w:rPr>
        <w:t>Ofrecer</w:t>
      </w:r>
      <w:r>
        <w:rPr>
          <w:rFonts w:ascii="Times New Roman" w:hAnsi="Times New Roman"/>
          <w:color w:val="231F20"/>
          <w:spacing w:val="-21"/>
          <w:w w:val="105"/>
          <w:sz w:val="22"/>
        </w:rPr>
        <w:t> </w:t>
      </w:r>
      <w:r>
        <w:rPr>
          <w:rFonts w:ascii="Times New Roman" w:hAnsi="Times New Roman"/>
          <w:color w:val="231F20"/>
          <w:w w:val="105"/>
          <w:sz w:val="22"/>
        </w:rPr>
        <w:t>servicios</w:t>
      </w:r>
      <w:r>
        <w:rPr>
          <w:rFonts w:ascii="Times New Roman" w:hAnsi="Times New Roman"/>
          <w:color w:val="231F20"/>
          <w:spacing w:val="-21"/>
          <w:w w:val="105"/>
          <w:sz w:val="22"/>
        </w:rPr>
        <w:t> </w:t>
      </w:r>
      <w:r>
        <w:rPr>
          <w:rFonts w:ascii="Times New Roman" w:hAnsi="Times New Roman"/>
          <w:color w:val="231F20"/>
          <w:w w:val="105"/>
          <w:sz w:val="22"/>
        </w:rPr>
        <w:t>integrales</w:t>
      </w:r>
      <w:r>
        <w:rPr>
          <w:rFonts w:ascii="Times New Roman" w:hAnsi="Times New Roman"/>
          <w:color w:val="231F20"/>
          <w:spacing w:val="-21"/>
          <w:w w:val="105"/>
          <w:sz w:val="22"/>
        </w:rPr>
        <w:t> </w:t>
      </w:r>
      <w:r>
        <w:rPr>
          <w:rFonts w:ascii="Times New Roman" w:hAnsi="Times New Roman"/>
          <w:color w:val="231F20"/>
          <w:w w:val="105"/>
          <w:sz w:val="22"/>
        </w:rPr>
        <w:t>a</w:t>
      </w:r>
      <w:r>
        <w:rPr>
          <w:rFonts w:ascii="Times New Roman" w:hAnsi="Times New Roman"/>
          <w:color w:val="231F20"/>
          <w:spacing w:val="-21"/>
          <w:w w:val="105"/>
          <w:sz w:val="22"/>
        </w:rPr>
        <w:t> </w:t>
      </w:r>
      <w:r>
        <w:rPr>
          <w:rFonts w:ascii="Times New Roman" w:hAnsi="Times New Roman"/>
          <w:color w:val="231F20"/>
          <w:w w:val="105"/>
          <w:sz w:val="22"/>
        </w:rPr>
        <w:t>los</w:t>
      </w:r>
      <w:r>
        <w:rPr>
          <w:rFonts w:ascii="Times New Roman" w:hAnsi="Times New Roman"/>
          <w:color w:val="231F20"/>
          <w:spacing w:val="-21"/>
          <w:w w:val="105"/>
          <w:sz w:val="22"/>
        </w:rPr>
        <w:t> </w:t>
      </w:r>
      <w:r>
        <w:rPr>
          <w:rFonts w:ascii="Times New Roman" w:hAnsi="Times New Roman"/>
          <w:color w:val="231F20"/>
          <w:w w:val="105"/>
          <w:sz w:val="22"/>
        </w:rPr>
        <w:t>adultos</w:t>
      </w:r>
      <w:r>
        <w:rPr>
          <w:rFonts w:ascii="Times New Roman" w:hAnsi="Times New Roman"/>
          <w:color w:val="231F20"/>
          <w:spacing w:val="-21"/>
          <w:w w:val="105"/>
          <w:sz w:val="22"/>
        </w:rPr>
        <w:t> </w:t>
      </w:r>
      <w:r>
        <w:rPr>
          <w:rFonts w:ascii="Times New Roman" w:hAnsi="Times New Roman"/>
          <w:color w:val="231F20"/>
          <w:w w:val="105"/>
          <w:sz w:val="22"/>
        </w:rPr>
        <w:t>mayores</w:t>
      </w:r>
      <w:r>
        <w:rPr>
          <w:rFonts w:ascii="Times New Roman" w:hAnsi="Times New Roman"/>
          <w:color w:val="231F20"/>
          <w:spacing w:val="-21"/>
          <w:w w:val="105"/>
          <w:sz w:val="22"/>
        </w:rPr>
        <w:t> </w:t>
      </w:r>
      <w:r>
        <w:rPr>
          <w:rFonts w:ascii="Times New Roman" w:hAnsi="Times New Roman"/>
          <w:color w:val="231F20"/>
          <w:w w:val="105"/>
          <w:sz w:val="22"/>
        </w:rPr>
        <w:t>a</w:t>
      </w:r>
      <w:r>
        <w:rPr>
          <w:rFonts w:ascii="Times New Roman" w:hAnsi="Times New Roman"/>
          <w:color w:val="231F20"/>
          <w:spacing w:val="-21"/>
          <w:w w:val="105"/>
          <w:sz w:val="22"/>
        </w:rPr>
        <w:t> </w:t>
      </w:r>
      <w:r>
        <w:rPr>
          <w:rFonts w:ascii="Times New Roman" w:hAnsi="Times New Roman"/>
          <w:color w:val="231F20"/>
          <w:w w:val="105"/>
          <w:sz w:val="22"/>
        </w:rPr>
        <w:t>través</w:t>
      </w:r>
      <w:r>
        <w:rPr>
          <w:rFonts w:ascii="Times New Roman" w:hAnsi="Times New Roman"/>
          <w:color w:val="231F20"/>
          <w:spacing w:val="-21"/>
          <w:w w:val="105"/>
          <w:sz w:val="22"/>
        </w:rPr>
        <w:t> </w:t>
      </w:r>
      <w:r>
        <w:rPr>
          <w:rFonts w:ascii="Times New Roman" w:hAnsi="Times New Roman"/>
          <w:color w:val="231F20"/>
          <w:w w:val="105"/>
          <w:sz w:val="22"/>
        </w:rPr>
        <w:t>de su</w:t>
      </w:r>
      <w:r>
        <w:rPr>
          <w:rFonts w:ascii="Times New Roman" w:hAnsi="Times New Roman"/>
          <w:color w:val="231F20"/>
          <w:spacing w:val="-13"/>
          <w:w w:val="105"/>
          <w:sz w:val="22"/>
        </w:rPr>
        <w:t> </w:t>
      </w:r>
      <w:r>
        <w:rPr>
          <w:rFonts w:ascii="Times New Roman" w:hAnsi="Times New Roman"/>
          <w:color w:val="231F20"/>
          <w:w w:val="105"/>
          <w:sz w:val="22"/>
        </w:rPr>
        <w:t>afiliación</w:t>
      </w:r>
      <w:r>
        <w:rPr>
          <w:rFonts w:ascii="Times New Roman" w:hAnsi="Times New Roman"/>
          <w:color w:val="231F20"/>
          <w:spacing w:val="-13"/>
          <w:w w:val="105"/>
          <w:sz w:val="22"/>
        </w:rPr>
        <w:t> </w:t>
      </w:r>
      <w:r>
        <w:rPr>
          <w:rFonts w:ascii="Times New Roman" w:hAnsi="Times New Roman"/>
          <w:color w:val="231F20"/>
          <w:w w:val="105"/>
          <w:sz w:val="22"/>
        </w:rPr>
        <w:t>a</w:t>
      </w:r>
      <w:r>
        <w:rPr>
          <w:rFonts w:ascii="Times New Roman" w:hAnsi="Times New Roman"/>
          <w:color w:val="231F20"/>
          <w:spacing w:val="-13"/>
          <w:w w:val="105"/>
          <w:sz w:val="22"/>
        </w:rPr>
        <w:t> </w:t>
      </w:r>
      <w:r>
        <w:rPr>
          <w:rFonts w:ascii="Times New Roman" w:hAnsi="Times New Roman"/>
          <w:color w:val="231F20"/>
          <w:w w:val="105"/>
          <w:sz w:val="22"/>
        </w:rPr>
        <w:t>los</w:t>
      </w:r>
      <w:r>
        <w:rPr>
          <w:rFonts w:ascii="Times New Roman" w:hAnsi="Times New Roman"/>
          <w:color w:val="231F20"/>
          <w:spacing w:val="-13"/>
          <w:w w:val="105"/>
          <w:sz w:val="22"/>
        </w:rPr>
        <w:t> </w:t>
      </w:r>
      <w:r>
        <w:rPr>
          <w:rFonts w:ascii="Times New Roman" w:hAnsi="Times New Roman"/>
          <w:color w:val="231F20"/>
          <w:w w:val="105"/>
          <w:sz w:val="22"/>
        </w:rPr>
        <w:t>clubes</w:t>
      </w:r>
      <w:r>
        <w:rPr>
          <w:rFonts w:ascii="Times New Roman" w:hAnsi="Times New Roman"/>
          <w:color w:val="231F20"/>
          <w:spacing w:val="-13"/>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la</w:t>
      </w:r>
      <w:r>
        <w:rPr>
          <w:rFonts w:ascii="Times New Roman" w:hAnsi="Times New Roman"/>
          <w:color w:val="231F20"/>
          <w:spacing w:val="-13"/>
          <w:w w:val="105"/>
          <w:sz w:val="22"/>
        </w:rPr>
        <w:t> </w:t>
      </w:r>
      <w:r>
        <w:rPr>
          <w:rFonts w:ascii="Times New Roman" w:hAnsi="Times New Roman"/>
          <w:color w:val="231F20"/>
          <w:w w:val="105"/>
          <w:sz w:val="22"/>
        </w:rPr>
        <w:t>tercera</w:t>
      </w:r>
      <w:r>
        <w:rPr>
          <w:rFonts w:ascii="Times New Roman" w:hAnsi="Times New Roman"/>
          <w:color w:val="231F20"/>
          <w:spacing w:val="-13"/>
          <w:w w:val="105"/>
          <w:sz w:val="22"/>
        </w:rPr>
        <w:t> </w:t>
      </w:r>
      <w:r>
        <w:rPr>
          <w:rFonts w:ascii="Times New Roman" w:hAnsi="Times New Roman"/>
          <w:color w:val="231F20"/>
          <w:w w:val="105"/>
          <w:sz w:val="22"/>
        </w:rPr>
        <w:t>edad,</w:t>
      </w:r>
      <w:r>
        <w:rPr>
          <w:rFonts w:ascii="Times New Roman" w:hAnsi="Times New Roman"/>
          <w:color w:val="231F20"/>
          <w:spacing w:val="-13"/>
          <w:w w:val="105"/>
          <w:sz w:val="22"/>
        </w:rPr>
        <w:t> </w:t>
      </w:r>
      <w:r>
        <w:rPr>
          <w:rFonts w:ascii="Times New Roman" w:hAnsi="Times New Roman"/>
          <w:color w:val="231F20"/>
          <w:w w:val="105"/>
          <w:sz w:val="22"/>
        </w:rPr>
        <w:t>fomentando</w:t>
      </w:r>
      <w:r>
        <w:rPr>
          <w:rFonts w:ascii="Times New Roman" w:hAnsi="Times New Roman"/>
          <w:color w:val="231F20"/>
          <w:spacing w:val="-13"/>
          <w:w w:val="105"/>
          <w:sz w:val="22"/>
        </w:rPr>
        <w:t> </w:t>
      </w:r>
      <w:r>
        <w:rPr>
          <w:rFonts w:ascii="Times New Roman" w:hAnsi="Times New Roman"/>
          <w:color w:val="231F20"/>
          <w:w w:val="105"/>
          <w:sz w:val="22"/>
        </w:rPr>
        <w:t>su</w:t>
      </w:r>
      <w:r>
        <w:rPr>
          <w:rFonts w:ascii="Times New Roman" w:hAnsi="Times New Roman"/>
          <w:color w:val="231F20"/>
          <w:spacing w:val="-13"/>
          <w:w w:val="105"/>
          <w:sz w:val="22"/>
        </w:rPr>
        <w:t> </w:t>
      </w:r>
      <w:r>
        <w:rPr>
          <w:rFonts w:ascii="Times New Roman" w:hAnsi="Times New Roman"/>
          <w:color w:val="231F20"/>
          <w:w w:val="105"/>
          <w:sz w:val="22"/>
        </w:rPr>
        <w:t>integración</w:t>
      </w:r>
      <w:r>
        <w:rPr>
          <w:rFonts w:ascii="Times New Roman" w:hAnsi="Times New Roman"/>
          <w:color w:val="231F20"/>
          <w:spacing w:val="-13"/>
          <w:w w:val="105"/>
          <w:sz w:val="22"/>
        </w:rPr>
        <w:t> </w:t>
      </w:r>
      <w:r>
        <w:rPr>
          <w:rFonts w:ascii="Times New Roman" w:hAnsi="Times New Roman"/>
          <w:color w:val="231F20"/>
          <w:spacing w:val="2"/>
          <w:w w:val="105"/>
          <w:sz w:val="22"/>
        </w:rPr>
        <w:t>familiar</w:t>
      </w:r>
      <w:r>
        <w:rPr>
          <w:rFonts w:ascii="Times New Roman" w:hAnsi="Times New Roman"/>
          <w:color w:val="231F20"/>
          <w:spacing w:val="-13"/>
          <w:w w:val="105"/>
          <w:sz w:val="22"/>
        </w:rPr>
        <w:t> </w:t>
      </w:r>
      <w:r>
        <w:rPr>
          <w:rFonts w:ascii="Times New Roman" w:hAnsi="Times New Roman"/>
          <w:color w:val="231F20"/>
          <w:w w:val="105"/>
          <w:sz w:val="22"/>
        </w:rPr>
        <w:t>y social.</w:t>
      </w:r>
    </w:p>
    <w:p>
      <w:pPr>
        <w:pStyle w:val="ListParagraph"/>
        <w:numPr>
          <w:ilvl w:val="2"/>
          <w:numId w:val="20"/>
        </w:numPr>
        <w:tabs>
          <w:tab w:pos="437"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w w:val="105"/>
          <w:sz w:val="22"/>
        </w:rPr>
        <w:t>Mejorar la infraestructura de la educación ampliando su cobertura en los ni- veles medio superior y </w:t>
      </w:r>
      <w:r>
        <w:rPr>
          <w:rFonts w:ascii="Times New Roman" w:hAnsi="Times New Roman"/>
          <w:color w:val="231F20"/>
          <w:spacing w:val="-3"/>
          <w:w w:val="105"/>
          <w:sz w:val="22"/>
        </w:rPr>
        <w:t>superior, </w:t>
      </w:r>
      <w:r>
        <w:rPr>
          <w:rFonts w:ascii="Times New Roman" w:hAnsi="Times New Roman"/>
          <w:color w:val="231F20"/>
          <w:w w:val="105"/>
          <w:sz w:val="22"/>
        </w:rPr>
        <w:t>fortaleciendo la vinculación entre estos niveles educativos</w:t>
      </w:r>
      <w:r>
        <w:rPr>
          <w:rFonts w:ascii="Times New Roman" w:hAnsi="Times New Roman"/>
          <w:color w:val="231F20"/>
          <w:spacing w:val="-18"/>
          <w:w w:val="105"/>
          <w:sz w:val="22"/>
        </w:rPr>
        <w:t> </w:t>
      </w:r>
      <w:r>
        <w:rPr>
          <w:rFonts w:ascii="Times New Roman" w:hAnsi="Times New Roman"/>
          <w:color w:val="231F20"/>
          <w:w w:val="105"/>
          <w:sz w:val="22"/>
        </w:rPr>
        <w:t>con</w:t>
      </w:r>
      <w:r>
        <w:rPr>
          <w:rFonts w:ascii="Times New Roman" w:hAnsi="Times New Roman"/>
          <w:color w:val="231F20"/>
          <w:spacing w:val="-18"/>
          <w:w w:val="105"/>
          <w:sz w:val="22"/>
        </w:rPr>
        <w:t> </w:t>
      </w:r>
      <w:r>
        <w:rPr>
          <w:rFonts w:ascii="Times New Roman" w:hAnsi="Times New Roman"/>
          <w:color w:val="231F20"/>
          <w:w w:val="105"/>
          <w:sz w:val="22"/>
        </w:rPr>
        <w:t>las</w:t>
      </w:r>
      <w:r>
        <w:rPr>
          <w:rFonts w:ascii="Times New Roman" w:hAnsi="Times New Roman"/>
          <w:color w:val="231F20"/>
          <w:spacing w:val="-18"/>
          <w:w w:val="105"/>
          <w:sz w:val="22"/>
        </w:rPr>
        <w:t> </w:t>
      </w:r>
      <w:r>
        <w:rPr>
          <w:rFonts w:ascii="Times New Roman" w:hAnsi="Times New Roman"/>
          <w:color w:val="231F20"/>
          <w:w w:val="105"/>
          <w:sz w:val="22"/>
        </w:rPr>
        <w:t>necesidades</w:t>
      </w:r>
      <w:r>
        <w:rPr>
          <w:rFonts w:ascii="Times New Roman" w:hAnsi="Times New Roman"/>
          <w:color w:val="231F20"/>
          <w:spacing w:val="-18"/>
          <w:w w:val="105"/>
          <w:sz w:val="22"/>
        </w:rPr>
        <w:t> </w:t>
      </w:r>
      <w:r>
        <w:rPr>
          <w:rFonts w:ascii="Times New Roman" w:hAnsi="Times New Roman"/>
          <w:color w:val="231F20"/>
          <w:w w:val="105"/>
          <w:sz w:val="22"/>
        </w:rPr>
        <w:t>sociales</w:t>
      </w:r>
      <w:r>
        <w:rPr>
          <w:rFonts w:ascii="Times New Roman" w:hAnsi="Times New Roman"/>
          <w:color w:val="231F20"/>
          <w:spacing w:val="-18"/>
          <w:w w:val="105"/>
          <w:sz w:val="22"/>
        </w:rPr>
        <w:t> </w:t>
      </w:r>
      <w:r>
        <w:rPr>
          <w:rFonts w:ascii="Times New Roman" w:hAnsi="Times New Roman"/>
          <w:color w:val="231F20"/>
          <w:w w:val="105"/>
          <w:sz w:val="22"/>
        </w:rPr>
        <w:t>y</w:t>
      </w:r>
      <w:r>
        <w:rPr>
          <w:rFonts w:ascii="Times New Roman" w:hAnsi="Times New Roman"/>
          <w:color w:val="231F20"/>
          <w:spacing w:val="-18"/>
          <w:w w:val="105"/>
          <w:sz w:val="22"/>
        </w:rPr>
        <w:t> </w:t>
      </w:r>
      <w:r>
        <w:rPr>
          <w:rFonts w:ascii="Times New Roman" w:hAnsi="Times New Roman"/>
          <w:color w:val="231F20"/>
          <w:w w:val="105"/>
          <w:sz w:val="22"/>
        </w:rPr>
        <w:t>del</w:t>
      </w:r>
      <w:r>
        <w:rPr>
          <w:rFonts w:ascii="Times New Roman" w:hAnsi="Times New Roman"/>
          <w:color w:val="231F20"/>
          <w:spacing w:val="-18"/>
          <w:w w:val="105"/>
          <w:sz w:val="22"/>
        </w:rPr>
        <w:t> </w:t>
      </w:r>
      <w:r>
        <w:rPr>
          <w:rFonts w:ascii="Times New Roman" w:hAnsi="Times New Roman"/>
          <w:color w:val="231F20"/>
          <w:w w:val="105"/>
          <w:sz w:val="22"/>
        </w:rPr>
        <w:t>aparato</w:t>
      </w:r>
      <w:r>
        <w:rPr>
          <w:rFonts w:ascii="Times New Roman" w:hAnsi="Times New Roman"/>
          <w:color w:val="231F20"/>
          <w:spacing w:val="-18"/>
          <w:w w:val="105"/>
          <w:sz w:val="22"/>
        </w:rPr>
        <w:t> </w:t>
      </w:r>
      <w:r>
        <w:rPr>
          <w:rFonts w:ascii="Times New Roman" w:hAnsi="Times New Roman"/>
          <w:color w:val="231F20"/>
          <w:w w:val="105"/>
          <w:sz w:val="22"/>
        </w:rPr>
        <w:t>productivo</w:t>
      </w:r>
      <w:r>
        <w:rPr>
          <w:rFonts w:ascii="Times New Roman" w:hAnsi="Times New Roman"/>
          <w:color w:val="231F20"/>
          <w:spacing w:val="-18"/>
          <w:w w:val="105"/>
          <w:sz w:val="22"/>
        </w:rPr>
        <w:t> </w:t>
      </w:r>
      <w:r>
        <w:rPr>
          <w:rFonts w:ascii="Times New Roman" w:hAnsi="Times New Roman"/>
          <w:color w:val="231F20"/>
          <w:w w:val="105"/>
          <w:sz w:val="22"/>
        </w:rPr>
        <w:t>y</w:t>
      </w:r>
      <w:r>
        <w:rPr>
          <w:rFonts w:ascii="Times New Roman" w:hAnsi="Times New Roman"/>
          <w:color w:val="231F20"/>
          <w:spacing w:val="-18"/>
          <w:w w:val="105"/>
          <w:sz w:val="22"/>
        </w:rPr>
        <w:t> </w:t>
      </w:r>
      <w:r>
        <w:rPr>
          <w:rFonts w:ascii="Times New Roman" w:hAnsi="Times New Roman"/>
          <w:color w:val="231F20"/>
          <w:w w:val="105"/>
          <w:sz w:val="22"/>
        </w:rPr>
        <w:t>abatir</w:t>
      </w:r>
      <w:r>
        <w:rPr>
          <w:rFonts w:ascii="Times New Roman" w:hAnsi="Times New Roman"/>
          <w:color w:val="231F20"/>
          <w:spacing w:val="-18"/>
          <w:w w:val="105"/>
          <w:sz w:val="22"/>
        </w:rPr>
        <w:t> </w:t>
      </w:r>
      <w:r>
        <w:rPr>
          <w:rFonts w:ascii="Times New Roman" w:hAnsi="Times New Roman"/>
          <w:color w:val="231F20"/>
          <w:w w:val="105"/>
          <w:sz w:val="22"/>
        </w:rPr>
        <w:t>el</w:t>
      </w:r>
      <w:r>
        <w:rPr>
          <w:rFonts w:ascii="Times New Roman" w:hAnsi="Times New Roman"/>
          <w:color w:val="231F20"/>
          <w:spacing w:val="-18"/>
          <w:w w:val="105"/>
          <w:sz w:val="22"/>
        </w:rPr>
        <w:t> </w:t>
      </w:r>
      <w:r>
        <w:rPr>
          <w:rFonts w:ascii="Times New Roman" w:hAnsi="Times New Roman"/>
          <w:color w:val="231F20"/>
          <w:w w:val="105"/>
          <w:sz w:val="22"/>
        </w:rPr>
        <w:t>índice de</w:t>
      </w:r>
      <w:r>
        <w:rPr>
          <w:rFonts w:ascii="Times New Roman" w:hAnsi="Times New Roman"/>
          <w:color w:val="231F20"/>
          <w:spacing w:val="-11"/>
          <w:w w:val="105"/>
          <w:sz w:val="22"/>
        </w:rPr>
        <w:t> </w:t>
      </w:r>
      <w:r>
        <w:rPr>
          <w:rFonts w:ascii="Times New Roman" w:hAnsi="Times New Roman"/>
          <w:color w:val="231F20"/>
          <w:w w:val="105"/>
          <w:sz w:val="22"/>
        </w:rPr>
        <w:t>analfabetismo</w:t>
      </w:r>
      <w:r>
        <w:rPr>
          <w:rFonts w:ascii="Times New Roman" w:hAnsi="Times New Roman"/>
          <w:color w:val="231F20"/>
          <w:spacing w:val="-11"/>
          <w:w w:val="105"/>
          <w:sz w:val="22"/>
        </w:rPr>
        <w:t> </w:t>
      </w:r>
      <w:r>
        <w:rPr>
          <w:rFonts w:ascii="Times New Roman" w:hAnsi="Times New Roman"/>
          <w:color w:val="231F20"/>
          <w:w w:val="105"/>
          <w:sz w:val="22"/>
        </w:rPr>
        <w:t>así</w:t>
      </w:r>
      <w:r>
        <w:rPr>
          <w:rFonts w:ascii="Times New Roman" w:hAnsi="Times New Roman"/>
          <w:color w:val="231F20"/>
          <w:spacing w:val="-11"/>
          <w:w w:val="105"/>
          <w:sz w:val="22"/>
        </w:rPr>
        <w:t> </w:t>
      </w:r>
      <w:r>
        <w:rPr>
          <w:rFonts w:ascii="Times New Roman" w:hAnsi="Times New Roman"/>
          <w:color w:val="231F20"/>
          <w:w w:val="105"/>
          <w:sz w:val="22"/>
        </w:rPr>
        <w:t>como</w:t>
      </w:r>
      <w:r>
        <w:rPr>
          <w:rFonts w:ascii="Times New Roman" w:hAnsi="Times New Roman"/>
          <w:color w:val="231F20"/>
          <w:spacing w:val="-11"/>
          <w:w w:val="105"/>
          <w:sz w:val="22"/>
        </w:rPr>
        <w:t> </w:t>
      </w:r>
      <w:r>
        <w:rPr>
          <w:rFonts w:ascii="Times New Roman" w:hAnsi="Times New Roman"/>
          <w:color w:val="231F20"/>
          <w:w w:val="105"/>
          <w:sz w:val="22"/>
        </w:rPr>
        <w:t>regularizar</w:t>
      </w:r>
      <w:r>
        <w:rPr>
          <w:rFonts w:ascii="Times New Roman" w:hAnsi="Times New Roman"/>
          <w:color w:val="231F20"/>
          <w:spacing w:val="-11"/>
          <w:w w:val="105"/>
          <w:sz w:val="22"/>
        </w:rPr>
        <w:t> </w:t>
      </w:r>
      <w:r>
        <w:rPr>
          <w:rFonts w:ascii="Times New Roman" w:hAnsi="Times New Roman"/>
          <w:color w:val="231F20"/>
          <w:w w:val="105"/>
          <w:sz w:val="22"/>
        </w:rPr>
        <w:t>a</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población</w:t>
      </w:r>
      <w:r>
        <w:rPr>
          <w:rFonts w:ascii="Times New Roman" w:hAnsi="Times New Roman"/>
          <w:color w:val="231F20"/>
          <w:spacing w:val="-11"/>
          <w:w w:val="105"/>
          <w:sz w:val="22"/>
        </w:rPr>
        <w:t> </w:t>
      </w:r>
      <w:r>
        <w:rPr>
          <w:rFonts w:ascii="Times New Roman" w:hAnsi="Times New Roman"/>
          <w:color w:val="231F20"/>
          <w:w w:val="105"/>
          <w:sz w:val="22"/>
        </w:rPr>
        <w:t>que</w:t>
      </w:r>
      <w:r>
        <w:rPr>
          <w:rFonts w:ascii="Times New Roman" w:hAnsi="Times New Roman"/>
          <w:color w:val="231F20"/>
          <w:spacing w:val="-11"/>
          <w:w w:val="105"/>
          <w:sz w:val="22"/>
        </w:rPr>
        <w:t> </w:t>
      </w:r>
      <w:r>
        <w:rPr>
          <w:rFonts w:ascii="Times New Roman" w:hAnsi="Times New Roman"/>
          <w:color w:val="231F20"/>
          <w:w w:val="105"/>
          <w:sz w:val="22"/>
        </w:rPr>
        <w:t>no</w:t>
      </w:r>
      <w:r>
        <w:rPr>
          <w:rFonts w:ascii="Times New Roman" w:hAnsi="Times New Roman"/>
          <w:color w:val="231F20"/>
          <w:spacing w:val="-11"/>
          <w:w w:val="105"/>
          <w:sz w:val="22"/>
        </w:rPr>
        <w:t> </w:t>
      </w:r>
      <w:r>
        <w:rPr>
          <w:rFonts w:ascii="Times New Roman" w:hAnsi="Times New Roman"/>
          <w:color w:val="231F20"/>
          <w:w w:val="105"/>
          <w:sz w:val="22"/>
        </w:rPr>
        <w:t>ha</w:t>
      </w:r>
      <w:r>
        <w:rPr>
          <w:rFonts w:ascii="Times New Roman" w:hAnsi="Times New Roman"/>
          <w:color w:val="231F20"/>
          <w:spacing w:val="-11"/>
          <w:w w:val="105"/>
          <w:sz w:val="22"/>
        </w:rPr>
        <w:t> </w:t>
      </w:r>
      <w:r>
        <w:rPr>
          <w:rFonts w:ascii="Times New Roman" w:hAnsi="Times New Roman"/>
          <w:color w:val="231F20"/>
          <w:w w:val="105"/>
          <w:sz w:val="22"/>
        </w:rPr>
        <w:t>concluido</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edu- </w:t>
      </w:r>
      <w:r>
        <w:rPr>
          <w:rFonts w:ascii="Times New Roman" w:hAnsi="Times New Roman"/>
          <w:color w:val="231F20"/>
          <w:sz w:val="22"/>
        </w:rPr>
        <w:t>cación</w:t>
      </w:r>
      <w:r>
        <w:rPr>
          <w:rFonts w:ascii="Times New Roman" w:hAnsi="Times New Roman"/>
          <w:color w:val="231F20"/>
          <w:spacing w:val="17"/>
          <w:sz w:val="22"/>
        </w:rPr>
        <w:t> </w:t>
      </w:r>
      <w:r>
        <w:rPr>
          <w:rFonts w:ascii="Times New Roman" w:hAnsi="Times New Roman"/>
          <w:color w:val="231F20"/>
          <w:sz w:val="22"/>
        </w:rPr>
        <w:t>básica.</w:t>
      </w:r>
    </w:p>
    <w:p>
      <w:pPr>
        <w:pStyle w:val="ListParagraph"/>
        <w:numPr>
          <w:ilvl w:val="2"/>
          <w:numId w:val="20"/>
        </w:numPr>
        <w:tabs>
          <w:tab w:pos="421"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Fortalecer la pluralidad </w:t>
      </w:r>
      <w:r>
        <w:rPr>
          <w:rFonts w:ascii="Times New Roman" w:hAnsi="Times New Roman"/>
          <w:color w:val="231F20"/>
          <w:spacing w:val="2"/>
          <w:w w:val="105"/>
          <w:sz w:val="22"/>
        </w:rPr>
        <w:t>cultural </w:t>
      </w:r>
      <w:r>
        <w:rPr>
          <w:rFonts w:ascii="Times New Roman" w:hAnsi="Times New Roman"/>
          <w:color w:val="231F20"/>
          <w:w w:val="105"/>
          <w:sz w:val="22"/>
        </w:rPr>
        <w:t>municipal fomentando la cultura, las expre- siones</w:t>
      </w:r>
      <w:r>
        <w:rPr>
          <w:rFonts w:ascii="Times New Roman" w:hAnsi="Times New Roman"/>
          <w:color w:val="231F20"/>
          <w:spacing w:val="-22"/>
          <w:w w:val="105"/>
          <w:sz w:val="22"/>
        </w:rPr>
        <w:t> </w:t>
      </w:r>
      <w:r>
        <w:rPr>
          <w:rFonts w:ascii="Times New Roman" w:hAnsi="Times New Roman"/>
          <w:color w:val="231F20"/>
          <w:w w:val="105"/>
          <w:sz w:val="22"/>
        </w:rPr>
        <w:t>artísticas</w:t>
      </w:r>
      <w:r>
        <w:rPr>
          <w:rFonts w:ascii="Times New Roman" w:hAnsi="Times New Roman"/>
          <w:color w:val="231F20"/>
          <w:spacing w:val="-22"/>
          <w:w w:val="105"/>
          <w:sz w:val="22"/>
        </w:rPr>
        <w:t> </w:t>
      </w:r>
      <w:r>
        <w:rPr>
          <w:rFonts w:ascii="Times New Roman" w:hAnsi="Times New Roman"/>
          <w:color w:val="231F20"/>
          <w:w w:val="105"/>
          <w:sz w:val="22"/>
        </w:rPr>
        <w:t>y</w:t>
      </w:r>
      <w:r>
        <w:rPr>
          <w:rFonts w:ascii="Times New Roman" w:hAnsi="Times New Roman"/>
          <w:color w:val="231F20"/>
          <w:spacing w:val="-22"/>
          <w:w w:val="105"/>
          <w:sz w:val="22"/>
        </w:rPr>
        <w:t> </w:t>
      </w:r>
      <w:r>
        <w:rPr>
          <w:rFonts w:ascii="Times New Roman" w:hAnsi="Times New Roman"/>
          <w:color w:val="231F20"/>
          <w:w w:val="105"/>
          <w:sz w:val="22"/>
        </w:rPr>
        <w:t>las</w:t>
      </w:r>
      <w:r>
        <w:rPr>
          <w:rFonts w:ascii="Times New Roman" w:hAnsi="Times New Roman"/>
          <w:color w:val="231F20"/>
          <w:spacing w:val="-22"/>
          <w:w w:val="105"/>
          <w:sz w:val="22"/>
        </w:rPr>
        <w:t> </w:t>
      </w:r>
      <w:r>
        <w:rPr>
          <w:rFonts w:ascii="Times New Roman" w:hAnsi="Times New Roman"/>
          <w:color w:val="231F20"/>
          <w:w w:val="105"/>
          <w:sz w:val="22"/>
        </w:rPr>
        <w:t>bellas</w:t>
      </w:r>
      <w:r>
        <w:rPr>
          <w:rFonts w:ascii="Times New Roman" w:hAnsi="Times New Roman"/>
          <w:color w:val="231F20"/>
          <w:spacing w:val="-22"/>
          <w:w w:val="105"/>
          <w:sz w:val="22"/>
        </w:rPr>
        <w:t> </w:t>
      </w:r>
      <w:r>
        <w:rPr>
          <w:rFonts w:ascii="Times New Roman" w:hAnsi="Times New Roman"/>
          <w:color w:val="231F20"/>
          <w:w w:val="105"/>
          <w:sz w:val="22"/>
        </w:rPr>
        <w:t>artes,</w:t>
      </w:r>
      <w:r>
        <w:rPr>
          <w:rFonts w:ascii="Times New Roman" w:hAnsi="Times New Roman"/>
          <w:color w:val="231F20"/>
          <w:spacing w:val="-22"/>
          <w:w w:val="105"/>
          <w:sz w:val="22"/>
        </w:rPr>
        <w:t> </w:t>
      </w:r>
      <w:r>
        <w:rPr>
          <w:rFonts w:ascii="Times New Roman" w:hAnsi="Times New Roman"/>
          <w:color w:val="231F20"/>
          <w:w w:val="105"/>
          <w:sz w:val="22"/>
        </w:rPr>
        <w:t>así</w:t>
      </w:r>
      <w:r>
        <w:rPr>
          <w:rFonts w:ascii="Times New Roman" w:hAnsi="Times New Roman"/>
          <w:color w:val="231F20"/>
          <w:spacing w:val="-22"/>
          <w:w w:val="105"/>
          <w:sz w:val="22"/>
        </w:rPr>
        <w:t> </w:t>
      </w:r>
      <w:r>
        <w:rPr>
          <w:rFonts w:ascii="Times New Roman" w:hAnsi="Times New Roman"/>
          <w:color w:val="231F20"/>
          <w:w w:val="105"/>
          <w:sz w:val="22"/>
        </w:rPr>
        <w:t>como</w:t>
      </w:r>
      <w:r>
        <w:rPr>
          <w:rFonts w:ascii="Times New Roman" w:hAnsi="Times New Roman"/>
          <w:color w:val="231F20"/>
          <w:spacing w:val="-22"/>
          <w:w w:val="105"/>
          <w:sz w:val="22"/>
        </w:rPr>
        <w:t> </w:t>
      </w:r>
      <w:r>
        <w:rPr>
          <w:rFonts w:ascii="Times New Roman" w:hAnsi="Times New Roman"/>
          <w:color w:val="231F20"/>
          <w:w w:val="105"/>
          <w:sz w:val="22"/>
        </w:rPr>
        <w:t>la</w:t>
      </w:r>
      <w:r>
        <w:rPr>
          <w:rFonts w:ascii="Times New Roman" w:hAnsi="Times New Roman"/>
          <w:color w:val="231F20"/>
          <w:spacing w:val="-22"/>
          <w:w w:val="105"/>
          <w:sz w:val="22"/>
        </w:rPr>
        <w:t> </w:t>
      </w:r>
      <w:r>
        <w:rPr>
          <w:rFonts w:ascii="Times New Roman" w:hAnsi="Times New Roman"/>
          <w:color w:val="231F20"/>
          <w:w w:val="105"/>
          <w:sz w:val="22"/>
        </w:rPr>
        <w:t>preservación</w:t>
      </w:r>
      <w:r>
        <w:rPr>
          <w:rFonts w:ascii="Times New Roman" w:hAnsi="Times New Roman"/>
          <w:color w:val="231F20"/>
          <w:spacing w:val="-22"/>
          <w:w w:val="105"/>
          <w:sz w:val="22"/>
        </w:rPr>
        <w:t> </w:t>
      </w:r>
      <w:r>
        <w:rPr>
          <w:rFonts w:ascii="Times New Roman" w:hAnsi="Times New Roman"/>
          <w:color w:val="231F20"/>
          <w:w w:val="105"/>
          <w:sz w:val="22"/>
        </w:rPr>
        <w:t>y</w:t>
      </w:r>
      <w:r>
        <w:rPr>
          <w:rFonts w:ascii="Times New Roman" w:hAnsi="Times New Roman"/>
          <w:color w:val="231F20"/>
          <w:spacing w:val="-22"/>
          <w:w w:val="105"/>
          <w:sz w:val="22"/>
        </w:rPr>
        <w:t> </w:t>
      </w:r>
      <w:r>
        <w:rPr>
          <w:rFonts w:ascii="Times New Roman" w:hAnsi="Times New Roman"/>
          <w:color w:val="231F20"/>
          <w:w w:val="105"/>
          <w:sz w:val="22"/>
        </w:rPr>
        <w:t>difusión</w:t>
      </w:r>
      <w:r>
        <w:rPr>
          <w:rFonts w:ascii="Times New Roman" w:hAnsi="Times New Roman"/>
          <w:color w:val="231F20"/>
          <w:spacing w:val="-22"/>
          <w:w w:val="105"/>
          <w:sz w:val="22"/>
        </w:rPr>
        <w:t> </w:t>
      </w:r>
      <w:r>
        <w:rPr>
          <w:rFonts w:ascii="Times New Roman" w:hAnsi="Times New Roman"/>
          <w:color w:val="231F20"/>
          <w:w w:val="105"/>
          <w:sz w:val="22"/>
        </w:rPr>
        <w:t>del</w:t>
      </w:r>
      <w:r>
        <w:rPr>
          <w:rFonts w:ascii="Times New Roman" w:hAnsi="Times New Roman"/>
          <w:color w:val="231F20"/>
          <w:spacing w:val="-22"/>
          <w:w w:val="105"/>
          <w:sz w:val="22"/>
        </w:rPr>
        <w:t> </w:t>
      </w:r>
      <w:r>
        <w:rPr>
          <w:rFonts w:ascii="Times New Roman" w:hAnsi="Times New Roman"/>
          <w:color w:val="231F20"/>
          <w:w w:val="105"/>
          <w:sz w:val="22"/>
        </w:rPr>
        <w:t>patrimo- nio histórico, artístico y</w:t>
      </w:r>
      <w:r>
        <w:rPr>
          <w:rFonts w:ascii="Times New Roman" w:hAnsi="Times New Roman"/>
          <w:color w:val="231F20"/>
          <w:spacing w:val="-27"/>
          <w:w w:val="105"/>
          <w:sz w:val="22"/>
        </w:rPr>
        <w:t> </w:t>
      </w:r>
      <w:r>
        <w:rPr>
          <w:rFonts w:ascii="Times New Roman" w:hAnsi="Times New Roman"/>
          <w:color w:val="231F20"/>
          <w:spacing w:val="2"/>
          <w:w w:val="105"/>
          <w:sz w:val="22"/>
        </w:rPr>
        <w:t>cultural.</w:t>
      </w:r>
    </w:p>
    <w:p>
      <w:pPr>
        <w:pStyle w:val="ListParagraph"/>
        <w:numPr>
          <w:ilvl w:val="2"/>
          <w:numId w:val="20"/>
        </w:numPr>
        <w:tabs>
          <w:tab w:pos="384"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Brindar</w:t>
      </w:r>
      <w:r>
        <w:rPr>
          <w:rFonts w:ascii="Times New Roman" w:hAnsi="Times New Roman"/>
          <w:color w:val="231F20"/>
          <w:spacing w:val="-11"/>
          <w:w w:val="105"/>
          <w:sz w:val="22"/>
        </w:rPr>
        <w:t> </w:t>
      </w:r>
      <w:r>
        <w:rPr>
          <w:rFonts w:ascii="Times New Roman" w:hAnsi="Times New Roman"/>
          <w:color w:val="231F20"/>
          <w:w w:val="105"/>
          <w:sz w:val="22"/>
        </w:rPr>
        <w:t>atención</w:t>
      </w:r>
      <w:r>
        <w:rPr>
          <w:rFonts w:ascii="Times New Roman" w:hAnsi="Times New Roman"/>
          <w:color w:val="231F20"/>
          <w:spacing w:val="-11"/>
          <w:w w:val="105"/>
          <w:sz w:val="22"/>
        </w:rPr>
        <w:t> </w:t>
      </w:r>
      <w:r>
        <w:rPr>
          <w:rFonts w:ascii="Times New Roman" w:hAnsi="Times New Roman"/>
          <w:color w:val="231F20"/>
          <w:w w:val="105"/>
          <w:sz w:val="22"/>
        </w:rPr>
        <w:t>integral</w:t>
      </w:r>
      <w:r>
        <w:rPr>
          <w:rFonts w:ascii="Times New Roman" w:hAnsi="Times New Roman"/>
          <w:color w:val="231F20"/>
          <w:spacing w:val="-11"/>
          <w:w w:val="105"/>
          <w:sz w:val="22"/>
        </w:rPr>
        <w:t> </w:t>
      </w:r>
      <w:r>
        <w:rPr>
          <w:rFonts w:ascii="Times New Roman" w:hAnsi="Times New Roman"/>
          <w:color w:val="231F20"/>
          <w:w w:val="105"/>
          <w:sz w:val="22"/>
        </w:rPr>
        <w:t>a</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spacing w:val="2"/>
          <w:w w:val="105"/>
          <w:sz w:val="22"/>
        </w:rPr>
        <w:t>familia</w:t>
      </w:r>
      <w:r>
        <w:rPr>
          <w:rFonts w:ascii="Times New Roman" w:hAnsi="Times New Roman"/>
          <w:color w:val="231F20"/>
          <w:spacing w:val="-11"/>
          <w:w w:val="105"/>
          <w:sz w:val="22"/>
        </w:rPr>
        <w:t> </w:t>
      </w:r>
      <w:r>
        <w:rPr>
          <w:rFonts w:ascii="Times New Roman" w:hAnsi="Times New Roman"/>
          <w:color w:val="231F20"/>
          <w:w w:val="105"/>
          <w:sz w:val="22"/>
        </w:rPr>
        <w:t>por</w:t>
      </w:r>
      <w:r>
        <w:rPr>
          <w:rFonts w:ascii="Times New Roman" w:hAnsi="Times New Roman"/>
          <w:color w:val="231F20"/>
          <w:spacing w:val="-11"/>
          <w:w w:val="105"/>
          <w:sz w:val="22"/>
        </w:rPr>
        <w:t> </w:t>
      </w:r>
      <w:r>
        <w:rPr>
          <w:rFonts w:ascii="Times New Roman" w:hAnsi="Times New Roman"/>
          <w:color w:val="231F20"/>
          <w:w w:val="105"/>
          <w:sz w:val="22"/>
        </w:rPr>
        <w:t>medio</w:t>
      </w:r>
      <w:r>
        <w:rPr>
          <w:rFonts w:ascii="Times New Roman" w:hAnsi="Times New Roman"/>
          <w:color w:val="231F20"/>
          <w:spacing w:val="-11"/>
          <w:w w:val="105"/>
          <w:sz w:val="22"/>
        </w:rPr>
        <w:t> </w:t>
      </w:r>
      <w:r>
        <w:rPr>
          <w:rFonts w:ascii="Times New Roman" w:hAnsi="Times New Roman"/>
          <w:color w:val="231F20"/>
          <w:w w:val="105"/>
          <w:sz w:val="22"/>
        </w:rPr>
        <w:t>del</w:t>
      </w:r>
      <w:r>
        <w:rPr>
          <w:rFonts w:ascii="Times New Roman" w:hAnsi="Times New Roman"/>
          <w:color w:val="231F20"/>
          <w:spacing w:val="-11"/>
          <w:w w:val="105"/>
          <w:sz w:val="22"/>
        </w:rPr>
        <w:t> </w:t>
      </w:r>
      <w:r>
        <w:rPr>
          <w:rFonts w:ascii="Times New Roman" w:hAnsi="Times New Roman"/>
          <w:color w:val="231F20"/>
          <w:w w:val="105"/>
          <w:sz w:val="22"/>
        </w:rPr>
        <w:t>respeto,</w:t>
      </w:r>
      <w:r>
        <w:rPr>
          <w:rFonts w:ascii="Times New Roman" w:hAnsi="Times New Roman"/>
          <w:color w:val="231F20"/>
          <w:spacing w:val="-11"/>
          <w:w w:val="105"/>
          <w:sz w:val="22"/>
        </w:rPr>
        <w:t> </w:t>
      </w:r>
      <w:r>
        <w:rPr>
          <w:rFonts w:ascii="Times New Roman" w:hAnsi="Times New Roman"/>
          <w:color w:val="231F20"/>
          <w:w w:val="105"/>
          <w:sz w:val="22"/>
        </w:rPr>
        <w:t>a</w:t>
      </w:r>
      <w:r>
        <w:rPr>
          <w:rFonts w:ascii="Times New Roman" w:hAnsi="Times New Roman"/>
          <w:color w:val="231F20"/>
          <w:spacing w:val="-11"/>
          <w:w w:val="105"/>
          <w:sz w:val="22"/>
        </w:rPr>
        <w:t> </w:t>
      </w:r>
      <w:r>
        <w:rPr>
          <w:rFonts w:ascii="Times New Roman" w:hAnsi="Times New Roman"/>
          <w:color w:val="231F20"/>
          <w:w w:val="105"/>
          <w:sz w:val="22"/>
        </w:rPr>
        <w:t>través</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accio- nes</w:t>
      </w:r>
      <w:r>
        <w:rPr>
          <w:rFonts w:ascii="Times New Roman" w:hAnsi="Times New Roman"/>
          <w:color w:val="231F20"/>
          <w:spacing w:val="-21"/>
          <w:w w:val="105"/>
          <w:sz w:val="22"/>
        </w:rPr>
        <w:t> </w:t>
      </w:r>
      <w:r>
        <w:rPr>
          <w:rFonts w:ascii="Times New Roman" w:hAnsi="Times New Roman"/>
          <w:color w:val="231F20"/>
          <w:w w:val="105"/>
          <w:sz w:val="22"/>
        </w:rPr>
        <w:t>tendientes</w:t>
      </w:r>
      <w:r>
        <w:rPr>
          <w:rFonts w:ascii="Times New Roman" w:hAnsi="Times New Roman"/>
          <w:color w:val="231F20"/>
          <w:spacing w:val="-21"/>
          <w:w w:val="105"/>
          <w:sz w:val="22"/>
        </w:rPr>
        <w:t> </w:t>
      </w:r>
      <w:r>
        <w:rPr>
          <w:rFonts w:ascii="Times New Roman" w:hAnsi="Times New Roman"/>
          <w:color w:val="231F20"/>
          <w:w w:val="105"/>
          <w:sz w:val="22"/>
        </w:rPr>
        <w:t>a</w:t>
      </w:r>
      <w:r>
        <w:rPr>
          <w:rFonts w:ascii="Times New Roman" w:hAnsi="Times New Roman"/>
          <w:color w:val="231F20"/>
          <w:spacing w:val="-21"/>
          <w:w w:val="105"/>
          <w:sz w:val="22"/>
        </w:rPr>
        <w:t> </w:t>
      </w:r>
      <w:r>
        <w:rPr>
          <w:rFonts w:ascii="Times New Roman" w:hAnsi="Times New Roman"/>
          <w:color w:val="231F20"/>
          <w:w w:val="105"/>
          <w:sz w:val="22"/>
        </w:rPr>
        <w:t>mejorar</w:t>
      </w:r>
      <w:r>
        <w:rPr>
          <w:rFonts w:ascii="Times New Roman" w:hAnsi="Times New Roman"/>
          <w:color w:val="231F20"/>
          <w:spacing w:val="-21"/>
          <w:w w:val="105"/>
          <w:sz w:val="22"/>
        </w:rPr>
        <w:t> </w:t>
      </w:r>
      <w:r>
        <w:rPr>
          <w:rFonts w:ascii="Times New Roman" w:hAnsi="Times New Roman"/>
          <w:color w:val="231F20"/>
          <w:w w:val="105"/>
          <w:sz w:val="22"/>
        </w:rPr>
        <w:t>la</w:t>
      </w:r>
      <w:r>
        <w:rPr>
          <w:rFonts w:ascii="Times New Roman" w:hAnsi="Times New Roman"/>
          <w:color w:val="231F20"/>
          <w:spacing w:val="-21"/>
          <w:w w:val="105"/>
          <w:sz w:val="22"/>
        </w:rPr>
        <w:t> </w:t>
      </w:r>
      <w:r>
        <w:rPr>
          <w:rFonts w:ascii="Times New Roman" w:hAnsi="Times New Roman"/>
          <w:color w:val="231F20"/>
          <w:w w:val="105"/>
          <w:sz w:val="22"/>
        </w:rPr>
        <w:t>calidad</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vida</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sus</w:t>
      </w:r>
      <w:r>
        <w:rPr>
          <w:rFonts w:ascii="Times New Roman" w:hAnsi="Times New Roman"/>
          <w:color w:val="231F20"/>
          <w:spacing w:val="-21"/>
          <w:w w:val="105"/>
          <w:sz w:val="22"/>
        </w:rPr>
        <w:t> </w:t>
      </w:r>
      <w:r>
        <w:rPr>
          <w:rFonts w:ascii="Times New Roman" w:hAnsi="Times New Roman"/>
          <w:color w:val="231F20"/>
          <w:w w:val="105"/>
          <w:sz w:val="22"/>
        </w:rPr>
        <w:t>integrantes</w:t>
      </w:r>
      <w:r>
        <w:rPr>
          <w:rFonts w:ascii="Times New Roman" w:hAnsi="Times New Roman"/>
          <w:color w:val="231F20"/>
          <w:spacing w:val="-21"/>
          <w:w w:val="105"/>
          <w:sz w:val="22"/>
        </w:rPr>
        <w:t> </w:t>
      </w:r>
      <w:r>
        <w:rPr>
          <w:rFonts w:ascii="Times New Roman" w:hAnsi="Times New Roman"/>
          <w:color w:val="231F20"/>
          <w:w w:val="105"/>
          <w:sz w:val="22"/>
        </w:rPr>
        <w:t>en</w:t>
      </w:r>
      <w:r>
        <w:rPr>
          <w:rFonts w:ascii="Times New Roman" w:hAnsi="Times New Roman"/>
          <w:color w:val="231F20"/>
          <w:spacing w:val="-21"/>
          <w:w w:val="105"/>
          <w:sz w:val="22"/>
        </w:rPr>
        <w:t> </w:t>
      </w:r>
      <w:r>
        <w:rPr>
          <w:rFonts w:ascii="Times New Roman" w:hAnsi="Times New Roman"/>
          <w:color w:val="231F20"/>
          <w:w w:val="105"/>
          <w:sz w:val="22"/>
        </w:rPr>
        <w:t>la</w:t>
      </w:r>
      <w:r>
        <w:rPr>
          <w:rFonts w:ascii="Times New Roman" w:hAnsi="Times New Roman"/>
          <w:color w:val="231F20"/>
          <w:spacing w:val="-21"/>
          <w:w w:val="105"/>
          <w:sz w:val="22"/>
        </w:rPr>
        <w:t> </w:t>
      </w:r>
      <w:r>
        <w:rPr>
          <w:rFonts w:ascii="Times New Roman" w:hAnsi="Times New Roman"/>
          <w:color w:val="231F20"/>
          <w:w w:val="105"/>
          <w:sz w:val="22"/>
        </w:rPr>
        <w:t>esfera</w:t>
      </w:r>
      <w:r>
        <w:rPr>
          <w:rFonts w:ascii="Times New Roman" w:hAnsi="Times New Roman"/>
          <w:color w:val="231F20"/>
          <w:spacing w:val="-21"/>
          <w:w w:val="105"/>
          <w:sz w:val="22"/>
        </w:rPr>
        <w:t> </w:t>
      </w:r>
      <w:r>
        <w:rPr>
          <w:rFonts w:ascii="Times New Roman" w:hAnsi="Times New Roman"/>
          <w:color w:val="231F20"/>
          <w:w w:val="105"/>
          <w:sz w:val="22"/>
        </w:rPr>
        <w:t>personal, de pareja y del grupo </w:t>
      </w:r>
      <w:r>
        <w:rPr>
          <w:rFonts w:ascii="Times New Roman" w:hAnsi="Times New Roman"/>
          <w:color w:val="231F20"/>
          <w:spacing w:val="2"/>
          <w:w w:val="105"/>
          <w:sz w:val="22"/>
        </w:rPr>
        <w:t>familiar </w:t>
      </w:r>
      <w:r>
        <w:rPr>
          <w:rFonts w:ascii="Times New Roman" w:hAnsi="Times New Roman"/>
          <w:color w:val="231F20"/>
          <w:w w:val="105"/>
          <w:sz w:val="22"/>
        </w:rPr>
        <w:t>por medio de acciones preventivo-educativas</w:t>
      </w:r>
      <w:r>
        <w:rPr>
          <w:rFonts w:ascii="Times New Roman" w:hAnsi="Times New Roman"/>
          <w:color w:val="231F20"/>
          <w:spacing w:val="-33"/>
          <w:w w:val="105"/>
          <w:sz w:val="22"/>
        </w:rPr>
        <w:t> </w:t>
      </w:r>
      <w:r>
        <w:rPr>
          <w:rFonts w:ascii="Times New Roman" w:hAnsi="Times New Roman"/>
          <w:color w:val="231F20"/>
          <w:w w:val="105"/>
          <w:sz w:val="22"/>
        </w:rPr>
        <w:t>que les</w:t>
      </w:r>
      <w:r>
        <w:rPr>
          <w:rFonts w:ascii="Times New Roman" w:hAnsi="Times New Roman"/>
          <w:color w:val="231F20"/>
          <w:spacing w:val="-17"/>
          <w:w w:val="105"/>
          <w:sz w:val="22"/>
        </w:rPr>
        <w:t> </w:t>
      </w:r>
      <w:r>
        <w:rPr>
          <w:rFonts w:ascii="Times New Roman" w:hAnsi="Times New Roman"/>
          <w:color w:val="231F20"/>
          <w:w w:val="105"/>
          <w:sz w:val="22"/>
        </w:rPr>
        <w:t>permita</w:t>
      </w:r>
      <w:r>
        <w:rPr>
          <w:rFonts w:ascii="Times New Roman" w:hAnsi="Times New Roman"/>
          <w:color w:val="231F20"/>
          <w:spacing w:val="-17"/>
          <w:w w:val="105"/>
          <w:sz w:val="22"/>
        </w:rPr>
        <w:t> </w:t>
      </w:r>
      <w:r>
        <w:rPr>
          <w:rFonts w:ascii="Times New Roman" w:hAnsi="Times New Roman"/>
          <w:color w:val="231F20"/>
          <w:w w:val="105"/>
          <w:sz w:val="22"/>
        </w:rPr>
        <w:t>el</w:t>
      </w:r>
      <w:r>
        <w:rPr>
          <w:rFonts w:ascii="Times New Roman" w:hAnsi="Times New Roman"/>
          <w:color w:val="231F20"/>
          <w:spacing w:val="-17"/>
          <w:w w:val="105"/>
          <w:sz w:val="22"/>
        </w:rPr>
        <w:t> </w:t>
      </w:r>
      <w:r>
        <w:rPr>
          <w:rFonts w:ascii="Times New Roman" w:hAnsi="Times New Roman"/>
          <w:color w:val="231F20"/>
          <w:w w:val="105"/>
          <w:sz w:val="22"/>
        </w:rPr>
        <w:t>establecimiento</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proyectos</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vida</w:t>
      </w:r>
      <w:r>
        <w:rPr>
          <w:rFonts w:ascii="Times New Roman" w:hAnsi="Times New Roman"/>
          <w:color w:val="231F20"/>
          <w:spacing w:val="-17"/>
          <w:w w:val="105"/>
          <w:sz w:val="22"/>
        </w:rPr>
        <w:t> </w:t>
      </w:r>
      <w:r>
        <w:rPr>
          <w:rFonts w:ascii="Times New Roman" w:hAnsi="Times New Roman"/>
          <w:color w:val="231F20"/>
          <w:w w:val="105"/>
          <w:sz w:val="22"/>
        </w:rPr>
        <w:t>más</w:t>
      </w:r>
      <w:r>
        <w:rPr>
          <w:rFonts w:ascii="Times New Roman" w:hAnsi="Times New Roman"/>
          <w:color w:val="231F20"/>
          <w:spacing w:val="-17"/>
          <w:w w:val="105"/>
          <w:sz w:val="22"/>
        </w:rPr>
        <w:t> </w:t>
      </w:r>
      <w:r>
        <w:rPr>
          <w:rFonts w:ascii="Times New Roman" w:hAnsi="Times New Roman"/>
          <w:color w:val="231F20"/>
          <w:w w:val="105"/>
          <w:sz w:val="22"/>
        </w:rPr>
        <w:t>eficaces.</w:t>
      </w:r>
    </w:p>
    <w:p>
      <w:pPr>
        <w:pStyle w:val="ListParagraph"/>
        <w:numPr>
          <w:ilvl w:val="2"/>
          <w:numId w:val="20"/>
        </w:numPr>
        <w:tabs>
          <w:tab w:pos="421"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spacing w:val="-3"/>
          <w:sz w:val="22"/>
        </w:rPr>
        <w:t>Promover </w:t>
      </w:r>
      <w:r>
        <w:rPr>
          <w:rFonts w:ascii="Times New Roman" w:hAnsi="Times New Roman"/>
          <w:color w:val="231F20"/>
          <w:sz w:val="22"/>
        </w:rPr>
        <w:t>la prevención de la discapacidad, la rehabilitación física y la integra- ción social de las personas con discapacidad, a </w:t>
      </w:r>
      <w:r>
        <w:rPr>
          <w:rFonts w:ascii="Times New Roman" w:hAnsi="Times New Roman"/>
          <w:color w:val="231F20"/>
          <w:spacing w:val="2"/>
          <w:sz w:val="22"/>
        </w:rPr>
        <w:t>fin </w:t>
      </w:r>
      <w:r>
        <w:rPr>
          <w:rFonts w:ascii="Times New Roman" w:hAnsi="Times New Roman"/>
          <w:color w:val="231F20"/>
          <w:sz w:val="22"/>
        </w:rPr>
        <w:t>de garantizar el pleno respeto   de sus derechos humanos, políticos y </w:t>
      </w:r>
      <w:r>
        <w:rPr>
          <w:rFonts w:ascii="Times New Roman" w:hAnsi="Times New Roman"/>
          <w:color w:val="231F20"/>
          <w:spacing w:val="40"/>
          <w:sz w:val="22"/>
        </w:rPr>
        <w:t> </w:t>
      </w:r>
      <w:r>
        <w:rPr>
          <w:rFonts w:ascii="Times New Roman" w:hAnsi="Times New Roman"/>
          <w:color w:val="231F20"/>
          <w:sz w:val="22"/>
        </w:rPr>
        <w:t>sociales.</w:t>
      </w:r>
    </w:p>
    <w:p>
      <w:pPr>
        <w:pStyle w:val="ListParagraph"/>
        <w:numPr>
          <w:ilvl w:val="2"/>
          <w:numId w:val="20"/>
        </w:numPr>
        <w:tabs>
          <w:tab w:pos="465"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spacing w:val="-3"/>
          <w:w w:val="105"/>
          <w:sz w:val="22"/>
        </w:rPr>
        <w:t>Promover </w:t>
      </w:r>
      <w:r>
        <w:rPr>
          <w:rFonts w:ascii="Times New Roman" w:hAnsi="Times New Roman"/>
          <w:color w:val="231F20"/>
          <w:w w:val="105"/>
          <w:sz w:val="22"/>
        </w:rPr>
        <w:t>en todos los ámbitos sociales la perspectiva de </w:t>
      </w:r>
      <w:r>
        <w:rPr>
          <w:rFonts w:ascii="Times New Roman" w:hAnsi="Times New Roman"/>
          <w:color w:val="231F20"/>
          <w:spacing w:val="-3"/>
          <w:w w:val="105"/>
          <w:sz w:val="22"/>
        </w:rPr>
        <w:t>género </w:t>
      </w:r>
      <w:r>
        <w:rPr>
          <w:rFonts w:ascii="Times New Roman" w:hAnsi="Times New Roman"/>
          <w:color w:val="231F20"/>
          <w:w w:val="105"/>
          <w:sz w:val="22"/>
        </w:rPr>
        <w:t>como una condición</w:t>
      </w:r>
      <w:r>
        <w:rPr>
          <w:rFonts w:ascii="Times New Roman" w:hAnsi="Times New Roman"/>
          <w:color w:val="231F20"/>
          <w:spacing w:val="-18"/>
          <w:w w:val="105"/>
          <w:sz w:val="22"/>
        </w:rPr>
        <w:t> </w:t>
      </w:r>
      <w:r>
        <w:rPr>
          <w:rFonts w:ascii="Times New Roman" w:hAnsi="Times New Roman"/>
          <w:color w:val="231F20"/>
          <w:w w:val="105"/>
          <w:sz w:val="22"/>
        </w:rPr>
        <w:t>necesaria</w:t>
      </w:r>
      <w:r>
        <w:rPr>
          <w:rFonts w:ascii="Times New Roman" w:hAnsi="Times New Roman"/>
          <w:color w:val="231F20"/>
          <w:spacing w:val="-18"/>
          <w:w w:val="105"/>
          <w:sz w:val="22"/>
        </w:rPr>
        <w:t> </w:t>
      </w:r>
      <w:r>
        <w:rPr>
          <w:rFonts w:ascii="Times New Roman" w:hAnsi="Times New Roman"/>
          <w:color w:val="231F20"/>
          <w:w w:val="105"/>
          <w:sz w:val="22"/>
        </w:rPr>
        <w:t>para</w:t>
      </w:r>
      <w:r>
        <w:rPr>
          <w:rFonts w:ascii="Times New Roman" w:hAnsi="Times New Roman"/>
          <w:color w:val="231F20"/>
          <w:spacing w:val="-18"/>
          <w:w w:val="105"/>
          <w:sz w:val="22"/>
        </w:rPr>
        <w:t> </w:t>
      </w:r>
      <w:r>
        <w:rPr>
          <w:rFonts w:ascii="Times New Roman" w:hAnsi="Times New Roman"/>
          <w:color w:val="231F20"/>
          <w:w w:val="105"/>
          <w:sz w:val="22"/>
        </w:rPr>
        <w:t>el</w:t>
      </w:r>
      <w:r>
        <w:rPr>
          <w:rFonts w:ascii="Times New Roman" w:hAnsi="Times New Roman"/>
          <w:color w:val="231F20"/>
          <w:spacing w:val="-18"/>
          <w:w w:val="105"/>
          <w:sz w:val="22"/>
        </w:rPr>
        <w:t> </w:t>
      </w:r>
      <w:r>
        <w:rPr>
          <w:rFonts w:ascii="Times New Roman" w:hAnsi="Times New Roman"/>
          <w:color w:val="231F20"/>
          <w:w w:val="105"/>
          <w:sz w:val="22"/>
        </w:rPr>
        <w:t>desarrollo</w:t>
      </w:r>
      <w:r>
        <w:rPr>
          <w:rFonts w:ascii="Times New Roman" w:hAnsi="Times New Roman"/>
          <w:color w:val="231F20"/>
          <w:spacing w:val="-18"/>
          <w:w w:val="105"/>
          <w:sz w:val="22"/>
        </w:rPr>
        <w:t> </w:t>
      </w:r>
      <w:r>
        <w:rPr>
          <w:rFonts w:ascii="Times New Roman" w:hAnsi="Times New Roman"/>
          <w:color w:val="231F20"/>
          <w:w w:val="105"/>
          <w:sz w:val="22"/>
        </w:rPr>
        <w:t>integral</w:t>
      </w:r>
      <w:r>
        <w:rPr>
          <w:rFonts w:ascii="Times New Roman" w:hAnsi="Times New Roman"/>
          <w:color w:val="231F20"/>
          <w:spacing w:val="-18"/>
          <w:w w:val="105"/>
          <w:sz w:val="22"/>
        </w:rPr>
        <w:t> </w:t>
      </w:r>
      <w:r>
        <w:rPr>
          <w:rFonts w:ascii="Times New Roman" w:hAnsi="Times New Roman"/>
          <w:color w:val="231F20"/>
          <w:w w:val="105"/>
          <w:sz w:val="22"/>
        </w:rPr>
        <w:t>de</w:t>
      </w:r>
      <w:r>
        <w:rPr>
          <w:rFonts w:ascii="Times New Roman" w:hAnsi="Times New Roman"/>
          <w:color w:val="231F20"/>
          <w:spacing w:val="-18"/>
          <w:w w:val="105"/>
          <w:sz w:val="22"/>
        </w:rPr>
        <w:t> </w:t>
      </w:r>
      <w:r>
        <w:rPr>
          <w:rFonts w:ascii="Times New Roman" w:hAnsi="Times New Roman"/>
          <w:color w:val="231F20"/>
          <w:w w:val="105"/>
          <w:sz w:val="22"/>
        </w:rPr>
        <w:t>la</w:t>
      </w:r>
      <w:r>
        <w:rPr>
          <w:rFonts w:ascii="Times New Roman" w:hAnsi="Times New Roman"/>
          <w:color w:val="231F20"/>
          <w:spacing w:val="-18"/>
          <w:w w:val="105"/>
          <w:sz w:val="22"/>
        </w:rPr>
        <w:t> </w:t>
      </w:r>
      <w:r>
        <w:rPr>
          <w:rFonts w:ascii="Times New Roman" w:hAnsi="Times New Roman"/>
          <w:color w:val="231F20"/>
          <w:w w:val="105"/>
          <w:sz w:val="22"/>
        </w:rPr>
        <w:t>sociedad,</w:t>
      </w:r>
      <w:r>
        <w:rPr>
          <w:rFonts w:ascii="Times New Roman" w:hAnsi="Times New Roman"/>
          <w:color w:val="231F20"/>
          <w:spacing w:val="-18"/>
          <w:w w:val="105"/>
          <w:sz w:val="22"/>
        </w:rPr>
        <w:t> </w:t>
      </w:r>
      <w:r>
        <w:rPr>
          <w:rFonts w:ascii="Times New Roman" w:hAnsi="Times New Roman"/>
          <w:color w:val="231F20"/>
          <w:w w:val="105"/>
          <w:sz w:val="22"/>
        </w:rPr>
        <w:t>en</w:t>
      </w:r>
      <w:r>
        <w:rPr>
          <w:rFonts w:ascii="Times New Roman" w:hAnsi="Times New Roman"/>
          <w:color w:val="231F20"/>
          <w:spacing w:val="-18"/>
          <w:w w:val="105"/>
          <w:sz w:val="22"/>
        </w:rPr>
        <w:t> </w:t>
      </w:r>
      <w:r>
        <w:rPr>
          <w:rFonts w:ascii="Times New Roman" w:hAnsi="Times New Roman"/>
          <w:color w:val="231F20"/>
          <w:w w:val="105"/>
          <w:sz w:val="22"/>
        </w:rPr>
        <w:t>igualdad</w:t>
      </w:r>
      <w:r>
        <w:rPr>
          <w:rFonts w:ascii="Times New Roman" w:hAnsi="Times New Roman"/>
          <w:color w:val="231F20"/>
          <w:spacing w:val="-18"/>
          <w:w w:val="105"/>
          <w:sz w:val="22"/>
        </w:rPr>
        <w:t> </w:t>
      </w:r>
      <w:r>
        <w:rPr>
          <w:rFonts w:ascii="Times New Roman" w:hAnsi="Times New Roman"/>
          <w:color w:val="231F20"/>
          <w:w w:val="105"/>
          <w:sz w:val="22"/>
        </w:rPr>
        <w:t>de</w:t>
      </w:r>
      <w:r>
        <w:rPr>
          <w:rFonts w:ascii="Times New Roman" w:hAnsi="Times New Roman"/>
          <w:color w:val="231F20"/>
          <w:spacing w:val="-18"/>
          <w:w w:val="105"/>
          <w:sz w:val="22"/>
        </w:rPr>
        <w:t> </w:t>
      </w:r>
      <w:r>
        <w:rPr>
          <w:rFonts w:ascii="Times New Roman" w:hAnsi="Times New Roman"/>
          <w:color w:val="231F20"/>
          <w:w w:val="105"/>
          <w:sz w:val="22"/>
        </w:rPr>
        <w:t>con- diciones,</w:t>
      </w:r>
      <w:r>
        <w:rPr>
          <w:rFonts w:ascii="Times New Roman" w:hAnsi="Times New Roman"/>
          <w:color w:val="231F20"/>
          <w:spacing w:val="-28"/>
          <w:w w:val="105"/>
          <w:sz w:val="22"/>
        </w:rPr>
        <w:t> </w:t>
      </w:r>
      <w:r>
        <w:rPr>
          <w:rFonts w:ascii="Times New Roman" w:hAnsi="Times New Roman"/>
          <w:color w:val="231F20"/>
          <w:w w:val="105"/>
          <w:sz w:val="22"/>
        </w:rPr>
        <w:t>oportunidades,</w:t>
      </w:r>
      <w:r>
        <w:rPr>
          <w:rFonts w:ascii="Times New Roman" w:hAnsi="Times New Roman"/>
          <w:color w:val="231F20"/>
          <w:spacing w:val="-28"/>
          <w:w w:val="105"/>
          <w:sz w:val="22"/>
        </w:rPr>
        <w:t> </w:t>
      </w:r>
      <w:r>
        <w:rPr>
          <w:rFonts w:ascii="Times New Roman" w:hAnsi="Times New Roman"/>
          <w:color w:val="231F20"/>
          <w:w w:val="105"/>
          <w:sz w:val="22"/>
        </w:rPr>
        <w:t>derechos</w:t>
      </w:r>
      <w:r>
        <w:rPr>
          <w:rFonts w:ascii="Times New Roman" w:hAnsi="Times New Roman"/>
          <w:color w:val="231F20"/>
          <w:spacing w:val="-28"/>
          <w:w w:val="105"/>
          <w:sz w:val="22"/>
        </w:rPr>
        <w:t> </w:t>
      </w:r>
      <w:r>
        <w:rPr>
          <w:rFonts w:ascii="Times New Roman" w:hAnsi="Times New Roman"/>
          <w:color w:val="231F20"/>
          <w:w w:val="105"/>
          <w:sz w:val="22"/>
        </w:rPr>
        <w:t>y</w:t>
      </w:r>
      <w:r>
        <w:rPr>
          <w:rFonts w:ascii="Times New Roman" w:hAnsi="Times New Roman"/>
          <w:color w:val="231F20"/>
          <w:spacing w:val="-28"/>
          <w:w w:val="105"/>
          <w:sz w:val="22"/>
        </w:rPr>
        <w:t> </w:t>
      </w:r>
      <w:r>
        <w:rPr>
          <w:rFonts w:ascii="Times New Roman" w:hAnsi="Times New Roman"/>
          <w:color w:val="231F20"/>
          <w:w w:val="105"/>
          <w:sz w:val="22"/>
        </w:rPr>
        <w:t>obligaciones.</w:t>
      </w:r>
    </w:p>
    <w:p>
      <w:pPr>
        <w:pStyle w:val="ListParagraph"/>
        <w:numPr>
          <w:ilvl w:val="2"/>
          <w:numId w:val="20"/>
        </w:numPr>
        <w:tabs>
          <w:tab w:pos="451"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Impulsar el derecho integral de las comunidades indígenas en el municipio con la participación de toda la sociedad y garantizar y fomentar el respeto a</w:t>
      </w:r>
      <w:r>
        <w:rPr>
          <w:rFonts w:ascii="Times New Roman" w:hAnsi="Times New Roman"/>
          <w:color w:val="231F20"/>
          <w:spacing w:val="11"/>
          <w:w w:val="105"/>
          <w:sz w:val="22"/>
        </w:rPr>
        <w:t> </w:t>
      </w:r>
      <w:r>
        <w:rPr>
          <w:rFonts w:ascii="Times New Roman" w:hAnsi="Times New Roman"/>
          <w:color w:val="231F20"/>
          <w:w w:val="105"/>
          <w:sz w:val="22"/>
        </w:rPr>
        <w:t>sus</w:t>
      </w:r>
    </w:p>
    <w:p>
      <w:pPr>
        <w:spacing w:after="0" w:line="285" w:lineRule="auto"/>
        <w:jc w:val="both"/>
        <w:rPr>
          <w:rFonts w:ascii="Times New Roman" w:hAnsi="Times New Roman"/>
          <w:sz w:val="22"/>
        </w:rPr>
        <w:sectPr>
          <w:pgSz w:w="9640" w:h="12190"/>
          <w:pgMar w:header="0" w:footer="743" w:top="1120" w:bottom="940" w:left="1300" w:right="740"/>
        </w:sectPr>
      </w:pPr>
    </w:p>
    <w:p>
      <w:pPr>
        <w:pStyle w:val="BodyText"/>
        <w:spacing w:before="3"/>
        <w:rPr>
          <w:sz w:val="11"/>
        </w:rPr>
      </w:pPr>
    </w:p>
    <w:p>
      <w:pPr>
        <w:pStyle w:val="BodyText"/>
        <w:spacing w:before="36"/>
        <w:ind w:left="117"/>
        <w:jc w:val="both"/>
      </w:pPr>
      <w:r>
        <w:rPr>
          <w:color w:val="231F20"/>
          <w:w w:val="105"/>
        </w:rPr>
        <w:t>costumbres y tradiciones.</w:t>
      </w:r>
    </w:p>
    <w:p>
      <w:pPr>
        <w:pStyle w:val="ListParagraph"/>
        <w:numPr>
          <w:ilvl w:val="2"/>
          <w:numId w:val="20"/>
        </w:numPr>
        <w:tabs>
          <w:tab w:pos="456" w:val="left" w:leader="none"/>
        </w:tabs>
        <w:spacing w:line="285" w:lineRule="auto" w:before="47" w:after="0"/>
        <w:ind w:left="117" w:right="107" w:firstLine="0"/>
        <w:jc w:val="both"/>
        <w:rPr>
          <w:rFonts w:ascii="Times New Roman" w:hAnsi="Times New Roman"/>
          <w:sz w:val="22"/>
        </w:rPr>
      </w:pPr>
      <w:r>
        <w:rPr>
          <w:rFonts w:ascii="Times New Roman" w:hAnsi="Times New Roman"/>
          <w:color w:val="231F20"/>
          <w:w w:val="105"/>
          <w:sz w:val="22"/>
        </w:rPr>
        <w:t>Fortalecer</w:t>
      </w:r>
      <w:r>
        <w:rPr>
          <w:rFonts w:ascii="Times New Roman" w:hAnsi="Times New Roman"/>
          <w:color w:val="231F20"/>
          <w:spacing w:val="-6"/>
          <w:w w:val="105"/>
          <w:sz w:val="22"/>
        </w:rPr>
        <w:t> </w:t>
      </w:r>
      <w:r>
        <w:rPr>
          <w:rFonts w:ascii="Times New Roman" w:hAnsi="Times New Roman"/>
          <w:color w:val="231F20"/>
          <w:w w:val="105"/>
          <w:sz w:val="22"/>
        </w:rPr>
        <w:t>la</w:t>
      </w:r>
      <w:r>
        <w:rPr>
          <w:rFonts w:ascii="Times New Roman" w:hAnsi="Times New Roman"/>
          <w:color w:val="231F20"/>
          <w:spacing w:val="-6"/>
          <w:w w:val="105"/>
          <w:sz w:val="22"/>
        </w:rPr>
        <w:t> </w:t>
      </w:r>
      <w:r>
        <w:rPr>
          <w:rFonts w:ascii="Times New Roman" w:hAnsi="Times New Roman"/>
          <w:color w:val="231F20"/>
          <w:w w:val="105"/>
          <w:sz w:val="22"/>
        </w:rPr>
        <w:t>identidad</w:t>
      </w:r>
      <w:r>
        <w:rPr>
          <w:rFonts w:ascii="Times New Roman" w:hAnsi="Times New Roman"/>
          <w:color w:val="231F20"/>
          <w:spacing w:val="-6"/>
          <w:w w:val="105"/>
          <w:sz w:val="22"/>
        </w:rPr>
        <w:t> </w:t>
      </w:r>
      <w:r>
        <w:rPr>
          <w:rFonts w:ascii="Times New Roman" w:hAnsi="Times New Roman"/>
          <w:color w:val="231F20"/>
          <w:w w:val="105"/>
          <w:sz w:val="22"/>
        </w:rPr>
        <w:t>de</w:t>
      </w:r>
      <w:r>
        <w:rPr>
          <w:rFonts w:ascii="Times New Roman" w:hAnsi="Times New Roman"/>
          <w:color w:val="231F20"/>
          <w:spacing w:val="-6"/>
          <w:w w:val="105"/>
          <w:sz w:val="22"/>
        </w:rPr>
        <w:t> </w:t>
      </w:r>
      <w:r>
        <w:rPr>
          <w:rFonts w:ascii="Times New Roman" w:hAnsi="Times New Roman"/>
          <w:color w:val="231F20"/>
          <w:w w:val="105"/>
          <w:sz w:val="22"/>
        </w:rPr>
        <w:t>los</w:t>
      </w:r>
      <w:r>
        <w:rPr>
          <w:rFonts w:ascii="Times New Roman" w:hAnsi="Times New Roman"/>
          <w:color w:val="231F20"/>
          <w:spacing w:val="-6"/>
          <w:w w:val="105"/>
          <w:sz w:val="22"/>
        </w:rPr>
        <w:t> </w:t>
      </w:r>
      <w:r>
        <w:rPr>
          <w:rFonts w:ascii="Times New Roman" w:hAnsi="Times New Roman"/>
          <w:color w:val="231F20"/>
          <w:w w:val="105"/>
          <w:sz w:val="22"/>
        </w:rPr>
        <w:t>Chalquenses</w:t>
      </w:r>
      <w:r>
        <w:rPr>
          <w:rFonts w:ascii="Times New Roman" w:hAnsi="Times New Roman"/>
          <w:color w:val="231F20"/>
          <w:spacing w:val="-6"/>
          <w:w w:val="105"/>
          <w:sz w:val="22"/>
        </w:rPr>
        <w:t> </w:t>
      </w:r>
      <w:r>
        <w:rPr>
          <w:rFonts w:ascii="Times New Roman" w:hAnsi="Times New Roman"/>
          <w:color w:val="231F20"/>
          <w:w w:val="105"/>
          <w:sz w:val="22"/>
        </w:rPr>
        <w:t>y</w:t>
      </w:r>
      <w:r>
        <w:rPr>
          <w:rFonts w:ascii="Times New Roman" w:hAnsi="Times New Roman"/>
          <w:color w:val="231F20"/>
          <w:spacing w:val="-6"/>
          <w:w w:val="105"/>
          <w:sz w:val="22"/>
        </w:rPr>
        <w:t> </w:t>
      </w:r>
      <w:r>
        <w:rPr>
          <w:rFonts w:ascii="Times New Roman" w:hAnsi="Times New Roman"/>
          <w:color w:val="231F20"/>
          <w:w w:val="105"/>
          <w:sz w:val="22"/>
        </w:rPr>
        <w:t>la</w:t>
      </w:r>
      <w:r>
        <w:rPr>
          <w:rFonts w:ascii="Times New Roman" w:hAnsi="Times New Roman"/>
          <w:color w:val="231F20"/>
          <w:spacing w:val="-6"/>
          <w:w w:val="105"/>
          <w:sz w:val="22"/>
        </w:rPr>
        <w:t> </w:t>
      </w:r>
      <w:r>
        <w:rPr>
          <w:rFonts w:ascii="Times New Roman" w:hAnsi="Times New Roman"/>
          <w:color w:val="231F20"/>
          <w:w w:val="105"/>
          <w:sz w:val="22"/>
        </w:rPr>
        <w:t>convivencia</w:t>
      </w:r>
      <w:r>
        <w:rPr>
          <w:rFonts w:ascii="Times New Roman" w:hAnsi="Times New Roman"/>
          <w:color w:val="231F20"/>
          <w:spacing w:val="-6"/>
          <w:w w:val="105"/>
          <w:sz w:val="22"/>
        </w:rPr>
        <w:t> </w:t>
      </w:r>
      <w:r>
        <w:rPr>
          <w:rFonts w:ascii="Times New Roman" w:hAnsi="Times New Roman"/>
          <w:color w:val="231F20"/>
          <w:w w:val="105"/>
          <w:sz w:val="22"/>
        </w:rPr>
        <w:t>armónica,</w:t>
      </w:r>
      <w:r>
        <w:rPr>
          <w:rFonts w:ascii="Times New Roman" w:hAnsi="Times New Roman"/>
          <w:color w:val="231F20"/>
          <w:spacing w:val="-6"/>
          <w:w w:val="105"/>
          <w:sz w:val="22"/>
        </w:rPr>
        <w:t> </w:t>
      </w:r>
      <w:r>
        <w:rPr>
          <w:rFonts w:ascii="Times New Roman" w:hAnsi="Times New Roman"/>
          <w:color w:val="231F20"/>
          <w:w w:val="105"/>
          <w:sz w:val="22"/>
        </w:rPr>
        <w:t>con</w:t>
      </w:r>
      <w:r>
        <w:rPr>
          <w:rFonts w:ascii="Times New Roman" w:hAnsi="Times New Roman"/>
          <w:color w:val="231F20"/>
          <w:spacing w:val="-6"/>
          <w:w w:val="105"/>
          <w:sz w:val="22"/>
        </w:rPr>
        <w:t> </w:t>
      </w:r>
      <w:r>
        <w:rPr>
          <w:rFonts w:ascii="Times New Roman" w:hAnsi="Times New Roman"/>
          <w:color w:val="231F20"/>
          <w:w w:val="105"/>
          <w:sz w:val="22"/>
        </w:rPr>
        <w:t>la promoción de valores de respeto, participación y tolerancia, ofreciendo a la po- blación,</w:t>
      </w:r>
      <w:r>
        <w:rPr>
          <w:rFonts w:ascii="Times New Roman" w:hAnsi="Times New Roman"/>
          <w:color w:val="231F20"/>
          <w:spacing w:val="-6"/>
          <w:w w:val="105"/>
          <w:sz w:val="22"/>
        </w:rPr>
        <w:t> </w:t>
      </w:r>
      <w:r>
        <w:rPr>
          <w:rFonts w:ascii="Times New Roman" w:hAnsi="Times New Roman"/>
          <w:color w:val="231F20"/>
          <w:w w:val="105"/>
          <w:sz w:val="22"/>
        </w:rPr>
        <w:t>educación,</w:t>
      </w:r>
      <w:r>
        <w:rPr>
          <w:rFonts w:ascii="Times New Roman" w:hAnsi="Times New Roman"/>
          <w:color w:val="231F20"/>
          <w:spacing w:val="-6"/>
          <w:w w:val="105"/>
          <w:sz w:val="22"/>
        </w:rPr>
        <w:t> </w:t>
      </w:r>
      <w:r>
        <w:rPr>
          <w:rFonts w:ascii="Times New Roman" w:hAnsi="Times New Roman"/>
          <w:color w:val="231F20"/>
          <w:w w:val="105"/>
          <w:sz w:val="22"/>
        </w:rPr>
        <w:t>cultura,</w:t>
      </w:r>
      <w:r>
        <w:rPr>
          <w:rFonts w:ascii="Times New Roman" w:hAnsi="Times New Roman"/>
          <w:color w:val="231F20"/>
          <w:spacing w:val="-6"/>
          <w:w w:val="105"/>
          <w:sz w:val="22"/>
        </w:rPr>
        <w:t> </w:t>
      </w:r>
      <w:r>
        <w:rPr>
          <w:rFonts w:ascii="Times New Roman" w:hAnsi="Times New Roman"/>
          <w:color w:val="231F20"/>
          <w:w w:val="105"/>
          <w:sz w:val="22"/>
        </w:rPr>
        <w:t>desarrollo</w:t>
      </w:r>
      <w:r>
        <w:rPr>
          <w:rFonts w:ascii="Times New Roman" w:hAnsi="Times New Roman"/>
          <w:color w:val="231F20"/>
          <w:spacing w:val="-6"/>
          <w:w w:val="105"/>
          <w:sz w:val="22"/>
        </w:rPr>
        <w:t> </w:t>
      </w:r>
      <w:r>
        <w:rPr>
          <w:rFonts w:ascii="Times New Roman" w:hAnsi="Times New Roman"/>
          <w:color w:val="231F20"/>
          <w:w w:val="105"/>
          <w:sz w:val="22"/>
        </w:rPr>
        <w:t>político</w:t>
      </w:r>
      <w:r>
        <w:rPr>
          <w:rFonts w:ascii="Times New Roman" w:hAnsi="Times New Roman"/>
          <w:color w:val="231F20"/>
          <w:spacing w:val="-6"/>
          <w:w w:val="105"/>
          <w:sz w:val="22"/>
        </w:rPr>
        <w:t> </w:t>
      </w:r>
      <w:r>
        <w:rPr>
          <w:rFonts w:ascii="Times New Roman" w:hAnsi="Times New Roman"/>
          <w:color w:val="231F20"/>
          <w:w w:val="105"/>
          <w:sz w:val="22"/>
        </w:rPr>
        <w:t>y</w:t>
      </w:r>
      <w:r>
        <w:rPr>
          <w:rFonts w:ascii="Times New Roman" w:hAnsi="Times New Roman"/>
          <w:color w:val="231F20"/>
          <w:spacing w:val="-6"/>
          <w:w w:val="105"/>
          <w:sz w:val="22"/>
        </w:rPr>
        <w:t> </w:t>
      </w:r>
      <w:r>
        <w:rPr>
          <w:rFonts w:ascii="Times New Roman" w:hAnsi="Times New Roman"/>
          <w:color w:val="231F20"/>
          <w:w w:val="105"/>
          <w:sz w:val="22"/>
        </w:rPr>
        <w:t>comunicación</w:t>
      </w:r>
      <w:r>
        <w:rPr>
          <w:rFonts w:ascii="Times New Roman" w:hAnsi="Times New Roman"/>
          <w:color w:val="231F20"/>
          <w:spacing w:val="-6"/>
          <w:w w:val="105"/>
          <w:sz w:val="22"/>
        </w:rPr>
        <w:t> </w:t>
      </w:r>
      <w:r>
        <w:rPr>
          <w:rFonts w:ascii="Times New Roman" w:hAnsi="Times New Roman"/>
          <w:color w:val="231F20"/>
          <w:w w:val="105"/>
          <w:sz w:val="22"/>
        </w:rPr>
        <w:t>como</w:t>
      </w:r>
      <w:r>
        <w:rPr>
          <w:rFonts w:ascii="Times New Roman" w:hAnsi="Times New Roman"/>
          <w:color w:val="231F20"/>
          <w:spacing w:val="-6"/>
          <w:w w:val="105"/>
          <w:sz w:val="22"/>
        </w:rPr>
        <w:t> </w:t>
      </w:r>
      <w:r>
        <w:rPr>
          <w:rFonts w:ascii="Times New Roman" w:hAnsi="Times New Roman"/>
          <w:color w:val="231F20"/>
          <w:w w:val="105"/>
          <w:sz w:val="22"/>
        </w:rPr>
        <w:t>elementos que</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identifiquen</w:t>
      </w:r>
      <w:r>
        <w:rPr>
          <w:rFonts w:ascii="Times New Roman" w:hAnsi="Times New Roman"/>
          <w:color w:val="231F20"/>
          <w:spacing w:val="-9"/>
          <w:w w:val="105"/>
          <w:sz w:val="22"/>
        </w:rPr>
        <w:t> </w:t>
      </w:r>
      <w:r>
        <w:rPr>
          <w:rFonts w:ascii="Times New Roman" w:hAnsi="Times New Roman"/>
          <w:color w:val="231F20"/>
          <w:w w:val="105"/>
          <w:sz w:val="22"/>
        </w:rPr>
        <w:t>y</w:t>
      </w:r>
      <w:r>
        <w:rPr>
          <w:rFonts w:ascii="Times New Roman" w:hAnsi="Times New Roman"/>
          <w:color w:val="231F20"/>
          <w:spacing w:val="-9"/>
          <w:w w:val="105"/>
          <w:sz w:val="22"/>
        </w:rPr>
        <w:t> </w:t>
      </w:r>
      <w:r>
        <w:rPr>
          <w:rFonts w:ascii="Times New Roman" w:hAnsi="Times New Roman"/>
          <w:color w:val="231F20"/>
          <w:w w:val="105"/>
          <w:sz w:val="22"/>
        </w:rPr>
        <w:t>arraiguen,</w:t>
      </w:r>
      <w:r>
        <w:rPr>
          <w:rFonts w:ascii="Times New Roman" w:hAnsi="Times New Roman"/>
          <w:color w:val="231F20"/>
          <w:spacing w:val="-9"/>
          <w:w w:val="105"/>
          <w:sz w:val="22"/>
        </w:rPr>
        <w:t> </w:t>
      </w:r>
      <w:r>
        <w:rPr>
          <w:rFonts w:ascii="Times New Roman" w:hAnsi="Times New Roman"/>
          <w:color w:val="231F20"/>
          <w:w w:val="105"/>
          <w:sz w:val="22"/>
        </w:rPr>
        <w:t>a</w:t>
      </w:r>
      <w:r>
        <w:rPr>
          <w:rFonts w:ascii="Times New Roman" w:hAnsi="Times New Roman"/>
          <w:color w:val="231F20"/>
          <w:spacing w:val="-9"/>
          <w:w w:val="105"/>
          <w:sz w:val="22"/>
        </w:rPr>
        <w:t> </w:t>
      </w:r>
      <w:r>
        <w:rPr>
          <w:rFonts w:ascii="Times New Roman" w:hAnsi="Times New Roman"/>
          <w:color w:val="231F20"/>
          <w:w w:val="105"/>
          <w:sz w:val="22"/>
        </w:rPr>
        <w:t>través</w:t>
      </w:r>
      <w:r>
        <w:rPr>
          <w:rFonts w:ascii="Times New Roman" w:hAnsi="Times New Roman"/>
          <w:color w:val="231F20"/>
          <w:spacing w:val="-9"/>
          <w:w w:val="105"/>
          <w:sz w:val="22"/>
        </w:rPr>
        <w:t> </w:t>
      </w:r>
      <w:r>
        <w:rPr>
          <w:rFonts w:ascii="Times New Roman" w:hAnsi="Times New Roman"/>
          <w:color w:val="231F20"/>
          <w:w w:val="105"/>
          <w:sz w:val="22"/>
        </w:rPr>
        <w:t>de</w:t>
      </w:r>
      <w:r>
        <w:rPr>
          <w:rFonts w:ascii="Times New Roman" w:hAnsi="Times New Roman"/>
          <w:color w:val="231F20"/>
          <w:spacing w:val="-9"/>
          <w:w w:val="105"/>
          <w:sz w:val="22"/>
        </w:rPr>
        <w:t> </w:t>
      </w:r>
      <w:r>
        <w:rPr>
          <w:rFonts w:ascii="Times New Roman" w:hAnsi="Times New Roman"/>
          <w:color w:val="231F20"/>
          <w:w w:val="105"/>
          <w:sz w:val="22"/>
        </w:rPr>
        <w:t>programas</w:t>
      </w:r>
      <w:r>
        <w:rPr>
          <w:rFonts w:ascii="Times New Roman" w:hAnsi="Times New Roman"/>
          <w:color w:val="231F20"/>
          <w:spacing w:val="-9"/>
          <w:w w:val="105"/>
          <w:sz w:val="22"/>
        </w:rPr>
        <w:t> </w:t>
      </w:r>
      <w:r>
        <w:rPr>
          <w:rFonts w:ascii="Times New Roman" w:hAnsi="Times New Roman"/>
          <w:color w:val="231F20"/>
          <w:w w:val="105"/>
          <w:sz w:val="22"/>
        </w:rPr>
        <w:t>y</w:t>
      </w:r>
      <w:r>
        <w:rPr>
          <w:rFonts w:ascii="Times New Roman" w:hAnsi="Times New Roman"/>
          <w:color w:val="231F20"/>
          <w:spacing w:val="-9"/>
          <w:w w:val="105"/>
          <w:sz w:val="22"/>
        </w:rPr>
        <w:t> </w:t>
      </w:r>
      <w:r>
        <w:rPr>
          <w:rFonts w:ascii="Times New Roman" w:hAnsi="Times New Roman"/>
          <w:color w:val="231F20"/>
          <w:w w:val="105"/>
          <w:sz w:val="22"/>
        </w:rPr>
        <w:t>proyectos</w:t>
      </w:r>
      <w:r>
        <w:rPr>
          <w:rFonts w:ascii="Times New Roman" w:hAnsi="Times New Roman"/>
          <w:color w:val="231F20"/>
          <w:spacing w:val="-9"/>
          <w:w w:val="105"/>
          <w:sz w:val="22"/>
        </w:rPr>
        <w:t> </w:t>
      </w:r>
      <w:r>
        <w:rPr>
          <w:rFonts w:ascii="Times New Roman" w:hAnsi="Times New Roman"/>
          <w:color w:val="231F20"/>
          <w:w w:val="105"/>
          <w:sz w:val="22"/>
        </w:rPr>
        <w:t>culturales</w:t>
      </w:r>
      <w:r>
        <w:rPr>
          <w:rFonts w:ascii="Times New Roman" w:hAnsi="Times New Roman"/>
          <w:color w:val="231F20"/>
          <w:spacing w:val="-9"/>
          <w:w w:val="105"/>
          <w:sz w:val="22"/>
        </w:rPr>
        <w:t> </w:t>
      </w:r>
      <w:r>
        <w:rPr>
          <w:rFonts w:ascii="Times New Roman" w:hAnsi="Times New Roman"/>
          <w:color w:val="231F20"/>
          <w:w w:val="105"/>
          <w:sz w:val="22"/>
        </w:rPr>
        <w:t>que correspondan</w:t>
      </w:r>
      <w:r>
        <w:rPr>
          <w:rFonts w:ascii="Times New Roman" w:hAnsi="Times New Roman"/>
          <w:color w:val="231F20"/>
          <w:spacing w:val="-9"/>
          <w:w w:val="105"/>
          <w:sz w:val="22"/>
        </w:rPr>
        <w:t> </w:t>
      </w:r>
      <w:r>
        <w:rPr>
          <w:rFonts w:ascii="Times New Roman" w:hAnsi="Times New Roman"/>
          <w:color w:val="231F20"/>
          <w:w w:val="105"/>
          <w:sz w:val="22"/>
        </w:rPr>
        <w:t>a</w:t>
      </w:r>
      <w:r>
        <w:rPr>
          <w:rFonts w:ascii="Times New Roman" w:hAnsi="Times New Roman"/>
          <w:color w:val="231F20"/>
          <w:spacing w:val="-9"/>
          <w:w w:val="105"/>
          <w:sz w:val="22"/>
        </w:rPr>
        <w:t> </w:t>
      </w:r>
      <w:r>
        <w:rPr>
          <w:rFonts w:ascii="Times New Roman" w:hAnsi="Times New Roman"/>
          <w:color w:val="231F20"/>
          <w:w w:val="105"/>
          <w:sz w:val="22"/>
        </w:rPr>
        <w:t>las</w:t>
      </w:r>
      <w:r>
        <w:rPr>
          <w:rFonts w:ascii="Times New Roman" w:hAnsi="Times New Roman"/>
          <w:color w:val="231F20"/>
          <w:spacing w:val="-9"/>
          <w:w w:val="105"/>
          <w:sz w:val="22"/>
        </w:rPr>
        <w:t> </w:t>
      </w:r>
      <w:r>
        <w:rPr>
          <w:rFonts w:ascii="Times New Roman" w:hAnsi="Times New Roman"/>
          <w:color w:val="231F20"/>
          <w:w w:val="105"/>
          <w:sz w:val="22"/>
        </w:rPr>
        <w:t>características</w:t>
      </w:r>
      <w:r>
        <w:rPr>
          <w:rFonts w:ascii="Times New Roman" w:hAnsi="Times New Roman"/>
          <w:color w:val="231F20"/>
          <w:spacing w:val="-9"/>
          <w:w w:val="105"/>
          <w:sz w:val="22"/>
        </w:rPr>
        <w:t> </w:t>
      </w:r>
      <w:r>
        <w:rPr>
          <w:rFonts w:ascii="Times New Roman" w:hAnsi="Times New Roman"/>
          <w:color w:val="231F20"/>
          <w:w w:val="105"/>
          <w:sz w:val="22"/>
        </w:rPr>
        <w:t>propias</w:t>
      </w:r>
      <w:r>
        <w:rPr>
          <w:rFonts w:ascii="Times New Roman" w:hAnsi="Times New Roman"/>
          <w:color w:val="231F20"/>
          <w:spacing w:val="-9"/>
          <w:w w:val="105"/>
          <w:sz w:val="22"/>
        </w:rPr>
        <w:t> </w:t>
      </w:r>
      <w:r>
        <w:rPr>
          <w:rFonts w:ascii="Times New Roman" w:hAnsi="Times New Roman"/>
          <w:color w:val="231F20"/>
          <w:w w:val="105"/>
          <w:sz w:val="22"/>
        </w:rPr>
        <w:t>de</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entidad.</w:t>
      </w:r>
    </w:p>
    <w:p>
      <w:pPr>
        <w:pStyle w:val="ListParagraph"/>
        <w:numPr>
          <w:ilvl w:val="2"/>
          <w:numId w:val="20"/>
        </w:numPr>
        <w:tabs>
          <w:tab w:pos="435"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Mejorar</w:t>
      </w:r>
      <w:r>
        <w:rPr>
          <w:rFonts w:ascii="Times New Roman" w:hAnsi="Times New Roman"/>
          <w:color w:val="231F20"/>
          <w:spacing w:val="-23"/>
          <w:w w:val="105"/>
          <w:sz w:val="22"/>
        </w:rPr>
        <w:t> </w:t>
      </w:r>
      <w:r>
        <w:rPr>
          <w:rFonts w:ascii="Times New Roman" w:hAnsi="Times New Roman"/>
          <w:color w:val="231F20"/>
          <w:w w:val="105"/>
          <w:sz w:val="22"/>
        </w:rPr>
        <w:t>y</w:t>
      </w:r>
      <w:r>
        <w:rPr>
          <w:rFonts w:ascii="Times New Roman" w:hAnsi="Times New Roman"/>
          <w:color w:val="231F20"/>
          <w:spacing w:val="-23"/>
          <w:w w:val="105"/>
          <w:sz w:val="22"/>
        </w:rPr>
        <w:t> </w:t>
      </w:r>
      <w:r>
        <w:rPr>
          <w:rFonts w:ascii="Times New Roman" w:hAnsi="Times New Roman"/>
          <w:color w:val="231F20"/>
          <w:w w:val="105"/>
          <w:sz w:val="22"/>
        </w:rPr>
        <w:t>elevar</w:t>
      </w:r>
      <w:r>
        <w:rPr>
          <w:rFonts w:ascii="Times New Roman" w:hAnsi="Times New Roman"/>
          <w:color w:val="231F20"/>
          <w:spacing w:val="-23"/>
          <w:w w:val="105"/>
          <w:sz w:val="22"/>
        </w:rPr>
        <w:t> </w:t>
      </w:r>
      <w:r>
        <w:rPr>
          <w:rFonts w:ascii="Times New Roman" w:hAnsi="Times New Roman"/>
          <w:color w:val="231F20"/>
          <w:w w:val="105"/>
          <w:sz w:val="22"/>
        </w:rPr>
        <w:t>la</w:t>
      </w:r>
      <w:r>
        <w:rPr>
          <w:rFonts w:ascii="Times New Roman" w:hAnsi="Times New Roman"/>
          <w:color w:val="231F20"/>
          <w:spacing w:val="-23"/>
          <w:w w:val="105"/>
          <w:sz w:val="22"/>
        </w:rPr>
        <w:t> </w:t>
      </w:r>
      <w:r>
        <w:rPr>
          <w:rFonts w:ascii="Times New Roman" w:hAnsi="Times New Roman"/>
          <w:color w:val="231F20"/>
          <w:w w:val="105"/>
          <w:sz w:val="22"/>
        </w:rPr>
        <w:t>calidad</w:t>
      </w:r>
      <w:r>
        <w:rPr>
          <w:rFonts w:ascii="Times New Roman" w:hAnsi="Times New Roman"/>
          <w:color w:val="231F20"/>
          <w:spacing w:val="-23"/>
          <w:w w:val="105"/>
          <w:sz w:val="22"/>
        </w:rPr>
        <w:t> </w:t>
      </w:r>
      <w:r>
        <w:rPr>
          <w:rFonts w:ascii="Times New Roman" w:hAnsi="Times New Roman"/>
          <w:color w:val="231F20"/>
          <w:w w:val="105"/>
          <w:sz w:val="22"/>
        </w:rPr>
        <w:t>de</w:t>
      </w:r>
      <w:r>
        <w:rPr>
          <w:rFonts w:ascii="Times New Roman" w:hAnsi="Times New Roman"/>
          <w:color w:val="231F20"/>
          <w:spacing w:val="-23"/>
          <w:w w:val="105"/>
          <w:sz w:val="22"/>
        </w:rPr>
        <w:t> </w:t>
      </w:r>
      <w:r>
        <w:rPr>
          <w:rFonts w:ascii="Times New Roman" w:hAnsi="Times New Roman"/>
          <w:color w:val="231F20"/>
          <w:w w:val="105"/>
          <w:sz w:val="22"/>
        </w:rPr>
        <w:t>los</w:t>
      </w:r>
      <w:r>
        <w:rPr>
          <w:rFonts w:ascii="Times New Roman" w:hAnsi="Times New Roman"/>
          <w:color w:val="231F20"/>
          <w:spacing w:val="-23"/>
          <w:w w:val="105"/>
          <w:sz w:val="22"/>
        </w:rPr>
        <w:t> </w:t>
      </w:r>
      <w:r>
        <w:rPr>
          <w:rFonts w:ascii="Times New Roman" w:hAnsi="Times New Roman"/>
          <w:color w:val="231F20"/>
          <w:w w:val="105"/>
          <w:sz w:val="22"/>
        </w:rPr>
        <w:t>servicios</w:t>
      </w:r>
      <w:r>
        <w:rPr>
          <w:rFonts w:ascii="Times New Roman" w:hAnsi="Times New Roman"/>
          <w:color w:val="231F20"/>
          <w:spacing w:val="-23"/>
          <w:w w:val="105"/>
          <w:sz w:val="22"/>
        </w:rPr>
        <w:t> </w:t>
      </w:r>
      <w:r>
        <w:rPr>
          <w:rFonts w:ascii="Times New Roman" w:hAnsi="Times New Roman"/>
          <w:color w:val="231F20"/>
          <w:w w:val="105"/>
          <w:sz w:val="22"/>
        </w:rPr>
        <w:t>promotores</w:t>
      </w:r>
      <w:r>
        <w:rPr>
          <w:rFonts w:ascii="Times New Roman" w:hAnsi="Times New Roman"/>
          <w:color w:val="231F20"/>
          <w:spacing w:val="-23"/>
          <w:w w:val="105"/>
          <w:sz w:val="22"/>
        </w:rPr>
        <w:t> </w:t>
      </w:r>
      <w:r>
        <w:rPr>
          <w:rFonts w:ascii="Times New Roman" w:hAnsi="Times New Roman"/>
          <w:color w:val="231F20"/>
          <w:w w:val="105"/>
          <w:sz w:val="22"/>
        </w:rPr>
        <w:t>de</w:t>
      </w:r>
      <w:r>
        <w:rPr>
          <w:rFonts w:ascii="Times New Roman" w:hAnsi="Times New Roman"/>
          <w:color w:val="231F20"/>
          <w:spacing w:val="-23"/>
          <w:w w:val="105"/>
          <w:sz w:val="22"/>
        </w:rPr>
        <w:t> </w:t>
      </w:r>
      <w:r>
        <w:rPr>
          <w:rFonts w:ascii="Times New Roman" w:hAnsi="Times New Roman"/>
          <w:color w:val="231F20"/>
          <w:w w:val="105"/>
          <w:sz w:val="22"/>
        </w:rPr>
        <w:t>actividades</w:t>
      </w:r>
      <w:r>
        <w:rPr>
          <w:rFonts w:ascii="Times New Roman" w:hAnsi="Times New Roman"/>
          <w:color w:val="231F20"/>
          <w:spacing w:val="-23"/>
          <w:w w:val="105"/>
          <w:sz w:val="22"/>
        </w:rPr>
        <w:t> </w:t>
      </w:r>
      <w:r>
        <w:rPr>
          <w:rFonts w:ascii="Times New Roman" w:hAnsi="Times New Roman"/>
          <w:color w:val="231F20"/>
          <w:w w:val="105"/>
          <w:sz w:val="22"/>
        </w:rPr>
        <w:t>recreati- vas</w:t>
      </w:r>
      <w:r>
        <w:rPr>
          <w:rFonts w:ascii="Times New Roman" w:hAnsi="Times New Roman"/>
          <w:color w:val="231F20"/>
          <w:spacing w:val="-14"/>
          <w:w w:val="105"/>
          <w:sz w:val="22"/>
        </w:rPr>
        <w:t> </w:t>
      </w:r>
      <w:r>
        <w:rPr>
          <w:rFonts w:ascii="Times New Roman" w:hAnsi="Times New Roman"/>
          <w:color w:val="231F20"/>
          <w:w w:val="105"/>
          <w:sz w:val="22"/>
        </w:rPr>
        <w:t>y</w:t>
      </w:r>
      <w:r>
        <w:rPr>
          <w:rFonts w:ascii="Times New Roman" w:hAnsi="Times New Roman"/>
          <w:color w:val="231F20"/>
          <w:spacing w:val="-14"/>
          <w:w w:val="105"/>
          <w:sz w:val="22"/>
        </w:rPr>
        <w:t> </w:t>
      </w:r>
      <w:r>
        <w:rPr>
          <w:rFonts w:ascii="Times New Roman" w:hAnsi="Times New Roman"/>
          <w:color w:val="231F20"/>
          <w:w w:val="105"/>
          <w:sz w:val="22"/>
        </w:rPr>
        <w:t>deportivas</w:t>
      </w:r>
      <w:r>
        <w:rPr>
          <w:rFonts w:ascii="Times New Roman" w:hAnsi="Times New Roman"/>
          <w:color w:val="231F20"/>
          <w:spacing w:val="-14"/>
          <w:w w:val="105"/>
          <w:sz w:val="22"/>
        </w:rPr>
        <w:t> </w:t>
      </w:r>
      <w:r>
        <w:rPr>
          <w:rFonts w:ascii="Times New Roman" w:hAnsi="Times New Roman"/>
          <w:color w:val="231F20"/>
          <w:w w:val="105"/>
          <w:sz w:val="22"/>
        </w:rPr>
        <w:t>para</w:t>
      </w:r>
      <w:r>
        <w:rPr>
          <w:rFonts w:ascii="Times New Roman" w:hAnsi="Times New Roman"/>
          <w:color w:val="231F20"/>
          <w:spacing w:val="-14"/>
          <w:w w:val="105"/>
          <w:sz w:val="22"/>
        </w:rPr>
        <w:t> </w:t>
      </w:r>
      <w:r>
        <w:rPr>
          <w:rFonts w:ascii="Times New Roman" w:hAnsi="Times New Roman"/>
          <w:color w:val="231F20"/>
          <w:w w:val="105"/>
          <w:sz w:val="22"/>
        </w:rPr>
        <w:t>fomentar</w:t>
      </w:r>
      <w:r>
        <w:rPr>
          <w:rFonts w:ascii="Times New Roman" w:hAnsi="Times New Roman"/>
          <w:color w:val="231F20"/>
          <w:spacing w:val="-14"/>
          <w:w w:val="105"/>
          <w:sz w:val="22"/>
        </w:rPr>
        <w:t> </w:t>
      </w:r>
      <w:r>
        <w:rPr>
          <w:rFonts w:ascii="Times New Roman" w:hAnsi="Times New Roman"/>
          <w:color w:val="231F20"/>
          <w:w w:val="105"/>
          <w:sz w:val="22"/>
        </w:rPr>
        <w:t>la</w:t>
      </w:r>
      <w:r>
        <w:rPr>
          <w:rFonts w:ascii="Times New Roman" w:hAnsi="Times New Roman"/>
          <w:color w:val="231F20"/>
          <w:spacing w:val="-14"/>
          <w:w w:val="105"/>
          <w:sz w:val="22"/>
        </w:rPr>
        <w:t> </w:t>
      </w:r>
      <w:r>
        <w:rPr>
          <w:rFonts w:ascii="Times New Roman" w:hAnsi="Times New Roman"/>
          <w:color w:val="231F20"/>
          <w:w w:val="105"/>
          <w:sz w:val="22"/>
        </w:rPr>
        <w:t>salud</w:t>
      </w:r>
      <w:r>
        <w:rPr>
          <w:rFonts w:ascii="Times New Roman" w:hAnsi="Times New Roman"/>
          <w:color w:val="231F20"/>
          <w:spacing w:val="-14"/>
          <w:w w:val="105"/>
          <w:sz w:val="22"/>
        </w:rPr>
        <w:t> </w:t>
      </w:r>
      <w:r>
        <w:rPr>
          <w:rFonts w:ascii="Times New Roman" w:hAnsi="Times New Roman"/>
          <w:color w:val="231F20"/>
          <w:w w:val="105"/>
          <w:sz w:val="22"/>
        </w:rPr>
        <w:t>física</w:t>
      </w:r>
      <w:r>
        <w:rPr>
          <w:rFonts w:ascii="Times New Roman" w:hAnsi="Times New Roman"/>
          <w:color w:val="231F20"/>
          <w:spacing w:val="-14"/>
          <w:w w:val="105"/>
          <w:sz w:val="22"/>
        </w:rPr>
        <w:t> </w:t>
      </w:r>
      <w:r>
        <w:rPr>
          <w:rFonts w:ascii="Times New Roman" w:hAnsi="Times New Roman"/>
          <w:color w:val="231F20"/>
          <w:w w:val="105"/>
          <w:sz w:val="22"/>
        </w:rPr>
        <w:t>y</w:t>
      </w:r>
      <w:r>
        <w:rPr>
          <w:rFonts w:ascii="Times New Roman" w:hAnsi="Times New Roman"/>
          <w:color w:val="231F20"/>
          <w:spacing w:val="-14"/>
          <w:w w:val="105"/>
          <w:sz w:val="22"/>
        </w:rPr>
        <w:t> </w:t>
      </w:r>
      <w:r>
        <w:rPr>
          <w:rFonts w:ascii="Times New Roman" w:hAnsi="Times New Roman"/>
          <w:color w:val="231F20"/>
          <w:w w:val="105"/>
          <w:sz w:val="22"/>
        </w:rPr>
        <w:t>mental</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la</w:t>
      </w:r>
      <w:r>
        <w:rPr>
          <w:rFonts w:ascii="Times New Roman" w:hAnsi="Times New Roman"/>
          <w:color w:val="231F20"/>
          <w:spacing w:val="-14"/>
          <w:w w:val="105"/>
          <w:sz w:val="22"/>
        </w:rPr>
        <w:t> </w:t>
      </w:r>
      <w:r>
        <w:rPr>
          <w:rFonts w:ascii="Times New Roman" w:hAnsi="Times New Roman"/>
          <w:color w:val="231F20"/>
          <w:w w:val="105"/>
          <w:sz w:val="22"/>
        </w:rPr>
        <w:t>población</w:t>
      </w:r>
      <w:r>
        <w:rPr>
          <w:rFonts w:ascii="Times New Roman" w:hAnsi="Times New Roman"/>
          <w:color w:val="231F20"/>
          <w:spacing w:val="-14"/>
          <w:w w:val="105"/>
          <w:sz w:val="22"/>
        </w:rPr>
        <w:t> </w:t>
      </w:r>
      <w:r>
        <w:rPr>
          <w:rFonts w:ascii="Times New Roman" w:hAnsi="Times New Roman"/>
          <w:color w:val="231F20"/>
          <w:w w:val="105"/>
          <w:sz w:val="22"/>
        </w:rPr>
        <w:t>a</w:t>
      </w:r>
      <w:r>
        <w:rPr>
          <w:rFonts w:ascii="Times New Roman" w:hAnsi="Times New Roman"/>
          <w:color w:val="231F20"/>
          <w:spacing w:val="-14"/>
          <w:w w:val="105"/>
          <w:sz w:val="22"/>
        </w:rPr>
        <w:t> </w:t>
      </w:r>
      <w:r>
        <w:rPr>
          <w:rFonts w:ascii="Times New Roman" w:hAnsi="Times New Roman"/>
          <w:color w:val="231F20"/>
          <w:w w:val="105"/>
          <w:sz w:val="22"/>
        </w:rPr>
        <w:t>través</w:t>
      </w:r>
      <w:r>
        <w:rPr>
          <w:rFonts w:ascii="Times New Roman" w:hAnsi="Times New Roman"/>
          <w:color w:val="231F20"/>
          <w:spacing w:val="-14"/>
          <w:w w:val="105"/>
          <w:sz w:val="22"/>
        </w:rPr>
        <w:t> </w:t>
      </w:r>
      <w:r>
        <w:rPr>
          <w:rFonts w:ascii="Times New Roman" w:hAnsi="Times New Roman"/>
          <w:color w:val="231F20"/>
          <w:w w:val="105"/>
          <w:sz w:val="22"/>
        </w:rPr>
        <w:t>de una práctica</w:t>
      </w:r>
      <w:r>
        <w:rPr>
          <w:rFonts w:ascii="Times New Roman" w:hAnsi="Times New Roman"/>
          <w:color w:val="231F20"/>
          <w:spacing w:val="-13"/>
          <w:w w:val="105"/>
          <w:sz w:val="22"/>
        </w:rPr>
        <w:t> </w:t>
      </w:r>
      <w:r>
        <w:rPr>
          <w:rFonts w:ascii="Times New Roman" w:hAnsi="Times New Roman"/>
          <w:color w:val="231F20"/>
          <w:w w:val="105"/>
          <w:sz w:val="22"/>
        </w:rPr>
        <w:t>sistemática.</w:t>
      </w:r>
    </w:p>
    <w:p>
      <w:pPr>
        <w:pStyle w:val="ListParagraph"/>
        <w:numPr>
          <w:ilvl w:val="2"/>
          <w:numId w:val="20"/>
        </w:numPr>
        <w:tabs>
          <w:tab w:pos="444" w:val="left" w:leader="none"/>
        </w:tabs>
        <w:spacing w:line="285" w:lineRule="auto" w:before="1" w:after="0"/>
        <w:ind w:left="117" w:right="109" w:firstLine="0"/>
        <w:jc w:val="both"/>
        <w:rPr>
          <w:rFonts w:ascii="Times New Roman" w:hAnsi="Times New Roman"/>
          <w:sz w:val="22"/>
        </w:rPr>
      </w:pPr>
      <w:r>
        <w:rPr>
          <w:rFonts w:ascii="Times New Roman" w:hAnsi="Times New Roman"/>
          <w:color w:val="231F20"/>
          <w:w w:val="105"/>
          <w:sz w:val="22"/>
        </w:rPr>
        <w:t>Brindar</w:t>
      </w:r>
      <w:r>
        <w:rPr>
          <w:rFonts w:ascii="Times New Roman" w:hAnsi="Times New Roman"/>
          <w:color w:val="231F20"/>
          <w:spacing w:val="-12"/>
          <w:w w:val="105"/>
          <w:sz w:val="22"/>
        </w:rPr>
        <w:t> </w:t>
      </w:r>
      <w:r>
        <w:rPr>
          <w:rFonts w:ascii="Times New Roman" w:hAnsi="Times New Roman"/>
          <w:color w:val="231F20"/>
          <w:w w:val="105"/>
          <w:sz w:val="22"/>
        </w:rPr>
        <w:t>más</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mejores</w:t>
      </w:r>
      <w:r>
        <w:rPr>
          <w:rFonts w:ascii="Times New Roman" w:hAnsi="Times New Roman"/>
          <w:color w:val="231F20"/>
          <w:spacing w:val="-12"/>
          <w:w w:val="105"/>
          <w:sz w:val="22"/>
        </w:rPr>
        <w:t> </w:t>
      </w:r>
      <w:r>
        <w:rPr>
          <w:rFonts w:ascii="Times New Roman" w:hAnsi="Times New Roman"/>
          <w:color w:val="231F20"/>
          <w:w w:val="105"/>
          <w:sz w:val="22"/>
        </w:rPr>
        <w:t>oportunidades</w:t>
      </w:r>
      <w:r>
        <w:rPr>
          <w:rFonts w:ascii="Times New Roman" w:hAnsi="Times New Roman"/>
          <w:color w:val="231F20"/>
          <w:spacing w:val="-12"/>
          <w:w w:val="105"/>
          <w:sz w:val="22"/>
        </w:rPr>
        <w:t> </w:t>
      </w:r>
      <w:r>
        <w:rPr>
          <w:rFonts w:ascii="Times New Roman" w:hAnsi="Times New Roman"/>
          <w:color w:val="231F20"/>
          <w:w w:val="105"/>
          <w:sz w:val="22"/>
        </w:rPr>
        <w:t>a</w:t>
      </w:r>
      <w:r>
        <w:rPr>
          <w:rFonts w:ascii="Times New Roman" w:hAnsi="Times New Roman"/>
          <w:color w:val="231F20"/>
          <w:spacing w:val="-12"/>
          <w:w w:val="105"/>
          <w:sz w:val="22"/>
        </w:rPr>
        <w:t> </w:t>
      </w:r>
      <w:r>
        <w:rPr>
          <w:rFonts w:ascii="Times New Roman" w:hAnsi="Times New Roman"/>
          <w:color w:val="231F20"/>
          <w:w w:val="105"/>
          <w:sz w:val="22"/>
        </w:rPr>
        <w:t>los</w:t>
      </w:r>
      <w:r>
        <w:rPr>
          <w:rFonts w:ascii="Times New Roman" w:hAnsi="Times New Roman"/>
          <w:color w:val="231F20"/>
          <w:spacing w:val="-12"/>
          <w:w w:val="105"/>
          <w:sz w:val="22"/>
        </w:rPr>
        <w:t> </w:t>
      </w:r>
      <w:r>
        <w:rPr>
          <w:rFonts w:ascii="Times New Roman" w:hAnsi="Times New Roman"/>
          <w:color w:val="231F20"/>
          <w:w w:val="105"/>
          <w:sz w:val="22"/>
        </w:rPr>
        <w:t>jóvenes</w:t>
      </w:r>
      <w:r>
        <w:rPr>
          <w:rFonts w:ascii="Times New Roman" w:hAnsi="Times New Roman"/>
          <w:color w:val="231F20"/>
          <w:spacing w:val="-12"/>
          <w:w w:val="105"/>
          <w:sz w:val="22"/>
        </w:rPr>
        <w:t> </w:t>
      </w:r>
      <w:r>
        <w:rPr>
          <w:rFonts w:ascii="Times New Roman" w:hAnsi="Times New Roman"/>
          <w:color w:val="231F20"/>
          <w:w w:val="105"/>
          <w:sz w:val="22"/>
        </w:rPr>
        <w:t>que</w:t>
      </w:r>
      <w:r>
        <w:rPr>
          <w:rFonts w:ascii="Times New Roman" w:hAnsi="Times New Roman"/>
          <w:color w:val="231F20"/>
          <w:spacing w:val="-12"/>
          <w:w w:val="105"/>
          <w:sz w:val="22"/>
        </w:rPr>
        <w:t> </w:t>
      </w:r>
      <w:r>
        <w:rPr>
          <w:rFonts w:ascii="Times New Roman" w:hAnsi="Times New Roman"/>
          <w:color w:val="231F20"/>
          <w:w w:val="105"/>
          <w:sz w:val="22"/>
        </w:rPr>
        <w:t>les</w:t>
      </w:r>
      <w:r>
        <w:rPr>
          <w:rFonts w:ascii="Times New Roman" w:hAnsi="Times New Roman"/>
          <w:color w:val="231F20"/>
          <w:spacing w:val="-12"/>
          <w:w w:val="105"/>
          <w:sz w:val="22"/>
        </w:rPr>
        <w:t> </w:t>
      </w:r>
      <w:r>
        <w:rPr>
          <w:rFonts w:ascii="Times New Roman" w:hAnsi="Times New Roman"/>
          <w:color w:val="231F20"/>
          <w:w w:val="105"/>
          <w:sz w:val="22"/>
        </w:rPr>
        <w:t>permitan</w:t>
      </w:r>
      <w:r>
        <w:rPr>
          <w:rFonts w:ascii="Times New Roman" w:hAnsi="Times New Roman"/>
          <w:color w:val="231F20"/>
          <w:spacing w:val="-12"/>
          <w:w w:val="105"/>
          <w:sz w:val="22"/>
        </w:rPr>
        <w:t> </w:t>
      </w:r>
      <w:r>
        <w:rPr>
          <w:rFonts w:ascii="Times New Roman" w:hAnsi="Times New Roman"/>
          <w:color w:val="231F20"/>
          <w:spacing w:val="2"/>
          <w:w w:val="105"/>
          <w:sz w:val="22"/>
        </w:rPr>
        <w:t>alcanzar </w:t>
      </w:r>
      <w:r>
        <w:rPr>
          <w:rFonts w:ascii="Times New Roman" w:hAnsi="Times New Roman"/>
          <w:color w:val="231F20"/>
          <w:w w:val="105"/>
          <w:sz w:val="22"/>
        </w:rPr>
        <w:t>su</w:t>
      </w:r>
      <w:r>
        <w:rPr>
          <w:rFonts w:ascii="Times New Roman" w:hAnsi="Times New Roman"/>
          <w:color w:val="231F20"/>
          <w:spacing w:val="-12"/>
          <w:w w:val="105"/>
          <w:sz w:val="22"/>
        </w:rPr>
        <w:t> </w:t>
      </w:r>
      <w:r>
        <w:rPr>
          <w:rFonts w:ascii="Times New Roman" w:hAnsi="Times New Roman"/>
          <w:color w:val="231F20"/>
          <w:w w:val="105"/>
          <w:sz w:val="22"/>
        </w:rPr>
        <w:t>desarrollo</w:t>
      </w:r>
      <w:r>
        <w:rPr>
          <w:rFonts w:ascii="Times New Roman" w:hAnsi="Times New Roman"/>
          <w:color w:val="231F20"/>
          <w:spacing w:val="-12"/>
          <w:w w:val="105"/>
          <w:sz w:val="22"/>
        </w:rPr>
        <w:t> </w:t>
      </w:r>
      <w:r>
        <w:rPr>
          <w:rFonts w:ascii="Times New Roman" w:hAnsi="Times New Roman"/>
          <w:color w:val="231F20"/>
          <w:w w:val="105"/>
          <w:sz w:val="22"/>
        </w:rPr>
        <w:t>físico</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mental</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se</w:t>
      </w:r>
      <w:r>
        <w:rPr>
          <w:rFonts w:ascii="Times New Roman" w:hAnsi="Times New Roman"/>
          <w:color w:val="231F20"/>
          <w:spacing w:val="-12"/>
          <w:w w:val="105"/>
          <w:sz w:val="22"/>
        </w:rPr>
        <w:t> </w:t>
      </w:r>
      <w:r>
        <w:rPr>
          <w:rFonts w:ascii="Times New Roman" w:hAnsi="Times New Roman"/>
          <w:color w:val="231F20"/>
          <w:w w:val="105"/>
          <w:sz w:val="22"/>
        </w:rPr>
        <w:t>incorporen</w:t>
      </w:r>
      <w:r>
        <w:rPr>
          <w:rFonts w:ascii="Times New Roman" w:hAnsi="Times New Roman"/>
          <w:color w:val="231F20"/>
          <w:spacing w:val="-12"/>
          <w:w w:val="105"/>
          <w:sz w:val="22"/>
        </w:rPr>
        <w:t> </w:t>
      </w:r>
      <w:r>
        <w:rPr>
          <w:rFonts w:ascii="Times New Roman" w:hAnsi="Times New Roman"/>
          <w:color w:val="231F20"/>
          <w:w w:val="105"/>
          <w:sz w:val="22"/>
        </w:rPr>
        <w:t>a</w:t>
      </w:r>
      <w:r>
        <w:rPr>
          <w:rFonts w:ascii="Times New Roman" w:hAnsi="Times New Roman"/>
          <w:color w:val="231F20"/>
          <w:spacing w:val="-12"/>
          <w:w w:val="105"/>
          <w:sz w:val="22"/>
        </w:rPr>
        <w:t> </w:t>
      </w:r>
      <w:r>
        <w:rPr>
          <w:rFonts w:ascii="Times New Roman" w:hAnsi="Times New Roman"/>
          <w:color w:val="231F20"/>
          <w:w w:val="105"/>
          <w:sz w:val="22"/>
        </w:rPr>
        <w:t>la</w:t>
      </w:r>
      <w:r>
        <w:rPr>
          <w:rFonts w:ascii="Times New Roman" w:hAnsi="Times New Roman"/>
          <w:color w:val="231F20"/>
          <w:spacing w:val="-12"/>
          <w:w w:val="105"/>
          <w:sz w:val="22"/>
        </w:rPr>
        <w:t> </w:t>
      </w:r>
      <w:r>
        <w:rPr>
          <w:rFonts w:ascii="Times New Roman" w:hAnsi="Times New Roman"/>
          <w:color w:val="231F20"/>
          <w:w w:val="105"/>
          <w:sz w:val="22"/>
        </w:rPr>
        <w:t>sociedad</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maneta</w:t>
      </w:r>
      <w:r>
        <w:rPr>
          <w:rFonts w:ascii="Times New Roman" w:hAnsi="Times New Roman"/>
          <w:color w:val="231F20"/>
          <w:spacing w:val="-12"/>
          <w:w w:val="105"/>
          <w:sz w:val="22"/>
        </w:rPr>
        <w:t> </w:t>
      </w:r>
      <w:r>
        <w:rPr>
          <w:rFonts w:ascii="Times New Roman" w:hAnsi="Times New Roman"/>
          <w:color w:val="231F20"/>
          <w:w w:val="105"/>
          <w:sz w:val="22"/>
        </w:rPr>
        <w:t>productiva.</w:t>
      </w:r>
    </w:p>
    <w:p>
      <w:pPr>
        <w:pStyle w:val="ListParagraph"/>
        <w:numPr>
          <w:ilvl w:val="2"/>
          <w:numId w:val="20"/>
        </w:numPr>
        <w:tabs>
          <w:tab w:pos="441"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Impulsar</w:t>
      </w:r>
      <w:r>
        <w:rPr>
          <w:rFonts w:ascii="Times New Roman" w:hAnsi="Times New Roman"/>
          <w:color w:val="231F20"/>
          <w:spacing w:val="-6"/>
          <w:w w:val="105"/>
          <w:sz w:val="22"/>
        </w:rPr>
        <w:t> </w:t>
      </w:r>
      <w:r>
        <w:rPr>
          <w:rFonts w:ascii="Times New Roman" w:hAnsi="Times New Roman"/>
          <w:color w:val="231F20"/>
          <w:w w:val="105"/>
          <w:sz w:val="22"/>
        </w:rPr>
        <w:t>un</w:t>
      </w:r>
      <w:r>
        <w:rPr>
          <w:rFonts w:ascii="Times New Roman" w:hAnsi="Times New Roman"/>
          <w:color w:val="231F20"/>
          <w:spacing w:val="-6"/>
          <w:w w:val="105"/>
          <w:sz w:val="22"/>
        </w:rPr>
        <w:t> </w:t>
      </w:r>
      <w:r>
        <w:rPr>
          <w:rFonts w:ascii="Times New Roman" w:hAnsi="Times New Roman"/>
          <w:color w:val="231F20"/>
          <w:w w:val="105"/>
          <w:sz w:val="22"/>
        </w:rPr>
        <w:t>federalismo</w:t>
      </w:r>
      <w:r>
        <w:rPr>
          <w:rFonts w:ascii="Times New Roman" w:hAnsi="Times New Roman"/>
          <w:color w:val="231F20"/>
          <w:spacing w:val="-6"/>
          <w:w w:val="105"/>
          <w:sz w:val="22"/>
        </w:rPr>
        <w:t> </w:t>
      </w:r>
      <w:r>
        <w:rPr>
          <w:rFonts w:ascii="Times New Roman" w:hAnsi="Times New Roman"/>
          <w:color w:val="231F20"/>
          <w:w w:val="105"/>
          <w:sz w:val="22"/>
        </w:rPr>
        <w:t>que</w:t>
      </w:r>
      <w:r>
        <w:rPr>
          <w:rFonts w:ascii="Times New Roman" w:hAnsi="Times New Roman"/>
          <w:color w:val="231F20"/>
          <w:spacing w:val="-6"/>
          <w:w w:val="105"/>
          <w:sz w:val="22"/>
        </w:rPr>
        <w:t> </w:t>
      </w:r>
      <w:r>
        <w:rPr>
          <w:rFonts w:ascii="Times New Roman" w:hAnsi="Times New Roman"/>
          <w:color w:val="231F20"/>
          <w:w w:val="105"/>
          <w:sz w:val="22"/>
        </w:rPr>
        <w:t>detone</w:t>
      </w:r>
      <w:r>
        <w:rPr>
          <w:rFonts w:ascii="Times New Roman" w:hAnsi="Times New Roman"/>
          <w:color w:val="231F20"/>
          <w:spacing w:val="-6"/>
          <w:w w:val="105"/>
          <w:sz w:val="22"/>
        </w:rPr>
        <w:t> </w:t>
      </w:r>
      <w:r>
        <w:rPr>
          <w:rFonts w:ascii="Times New Roman" w:hAnsi="Times New Roman"/>
          <w:color w:val="231F20"/>
          <w:w w:val="105"/>
          <w:sz w:val="22"/>
        </w:rPr>
        <w:t>el</w:t>
      </w:r>
      <w:r>
        <w:rPr>
          <w:rFonts w:ascii="Times New Roman" w:hAnsi="Times New Roman"/>
          <w:color w:val="231F20"/>
          <w:spacing w:val="-6"/>
          <w:w w:val="105"/>
          <w:sz w:val="22"/>
        </w:rPr>
        <w:t> </w:t>
      </w:r>
      <w:r>
        <w:rPr>
          <w:rFonts w:ascii="Times New Roman" w:hAnsi="Times New Roman"/>
          <w:color w:val="231F20"/>
          <w:w w:val="105"/>
          <w:sz w:val="22"/>
        </w:rPr>
        <w:t>desarrollo</w:t>
      </w:r>
      <w:r>
        <w:rPr>
          <w:rFonts w:ascii="Times New Roman" w:hAnsi="Times New Roman"/>
          <w:color w:val="231F20"/>
          <w:spacing w:val="-6"/>
          <w:w w:val="105"/>
          <w:sz w:val="22"/>
        </w:rPr>
        <w:t> </w:t>
      </w:r>
      <w:r>
        <w:rPr>
          <w:rFonts w:ascii="Times New Roman" w:hAnsi="Times New Roman"/>
          <w:color w:val="231F20"/>
          <w:w w:val="105"/>
          <w:sz w:val="22"/>
        </w:rPr>
        <w:t>a</w:t>
      </w:r>
      <w:r>
        <w:rPr>
          <w:rFonts w:ascii="Times New Roman" w:hAnsi="Times New Roman"/>
          <w:color w:val="231F20"/>
          <w:spacing w:val="-6"/>
          <w:w w:val="105"/>
          <w:sz w:val="22"/>
        </w:rPr>
        <w:t> </w:t>
      </w:r>
      <w:r>
        <w:rPr>
          <w:rFonts w:ascii="Times New Roman" w:hAnsi="Times New Roman"/>
          <w:color w:val="231F20"/>
          <w:spacing w:val="2"/>
          <w:w w:val="105"/>
          <w:sz w:val="22"/>
        </w:rPr>
        <w:t>partir</w:t>
      </w:r>
      <w:r>
        <w:rPr>
          <w:rFonts w:ascii="Times New Roman" w:hAnsi="Times New Roman"/>
          <w:color w:val="231F20"/>
          <w:spacing w:val="-6"/>
          <w:w w:val="105"/>
          <w:sz w:val="22"/>
        </w:rPr>
        <w:t> </w:t>
      </w:r>
      <w:r>
        <w:rPr>
          <w:rFonts w:ascii="Times New Roman" w:hAnsi="Times New Roman"/>
          <w:color w:val="231F20"/>
          <w:w w:val="105"/>
          <w:sz w:val="22"/>
        </w:rPr>
        <w:t>del</w:t>
      </w:r>
      <w:r>
        <w:rPr>
          <w:rFonts w:ascii="Times New Roman" w:hAnsi="Times New Roman"/>
          <w:color w:val="231F20"/>
          <w:spacing w:val="-6"/>
          <w:w w:val="105"/>
          <w:sz w:val="22"/>
        </w:rPr>
        <w:t> </w:t>
      </w:r>
      <w:r>
        <w:rPr>
          <w:rFonts w:ascii="Times New Roman" w:hAnsi="Times New Roman"/>
          <w:color w:val="231F20"/>
          <w:w w:val="105"/>
          <w:sz w:val="22"/>
        </w:rPr>
        <w:t>fortalecimiento económico, social e institucional del municipio a través del ejercicio óptimo de las facultades, funciones y recursos municipales y federales, particularmente en lo</w:t>
      </w:r>
      <w:r>
        <w:rPr>
          <w:rFonts w:ascii="Times New Roman" w:hAnsi="Times New Roman"/>
          <w:color w:val="231F20"/>
          <w:spacing w:val="-19"/>
          <w:w w:val="105"/>
          <w:sz w:val="22"/>
        </w:rPr>
        <w:t> </w:t>
      </w:r>
      <w:r>
        <w:rPr>
          <w:rFonts w:ascii="Times New Roman" w:hAnsi="Times New Roman"/>
          <w:color w:val="231F20"/>
          <w:w w:val="105"/>
          <w:sz w:val="22"/>
        </w:rPr>
        <w:t>que</w:t>
      </w:r>
      <w:r>
        <w:rPr>
          <w:rFonts w:ascii="Times New Roman" w:hAnsi="Times New Roman"/>
          <w:color w:val="231F20"/>
          <w:spacing w:val="-19"/>
          <w:w w:val="105"/>
          <w:sz w:val="22"/>
        </w:rPr>
        <w:t> </w:t>
      </w:r>
      <w:r>
        <w:rPr>
          <w:rFonts w:ascii="Times New Roman" w:hAnsi="Times New Roman"/>
          <w:color w:val="231F20"/>
          <w:w w:val="105"/>
          <w:sz w:val="22"/>
        </w:rPr>
        <w:t>se</w:t>
      </w:r>
      <w:r>
        <w:rPr>
          <w:rFonts w:ascii="Times New Roman" w:hAnsi="Times New Roman"/>
          <w:color w:val="231F20"/>
          <w:spacing w:val="-19"/>
          <w:w w:val="105"/>
          <w:sz w:val="22"/>
        </w:rPr>
        <w:t> </w:t>
      </w:r>
      <w:r>
        <w:rPr>
          <w:rFonts w:ascii="Times New Roman" w:hAnsi="Times New Roman"/>
          <w:color w:val="231F20"/>
          <w:w w:val="105"/>
          <w:sz w:val="22"/>
        </w:rPr>
        <w:t>refiere</w:t>
      </w:r>
      <w:r>
        <w:rPr>
          <w:rFonts w:ascii="Times New Roman" w:hAnsi="Times New Roman"/>
          <w:color w:val="231F20"/>
          <w:spacing w:val="-19"/>
          <w:w w:val="105"/>
          <w:sz w:val="22"/>
        </w:rPr>
        <w:t> </w:t>
      </w:r>
      <w:r>
        <w:rPr>
          <w:rFonts w:ascii="Times New Roman" w:hAnsi="Times New Roman"/>
          <w:color w:val="231F20"/>
          <w:w w:val="105"/>
          <w:sz w:val="22"/>
        </w:rPr>
        <w:t>a</w:t>
      </w:r>
      <w:r>
        <w:rPr>
          <w:rFonts w:ascii="Times New Roman" w:hAnsi="Times New Roman"/>
          <w:color w:val="231F20"/>
          <w:spacing w:val="-19"/>
          <w:w w:val="105"/>
          <w:sz w:val="22"/>
        </w:rPr>
        <w:t> </w:t>
      </w:r>
      <w:r>
        <w:rPr>
          <w:rFonts w:ascii="Times New Roman" w:hAnsi="Times New Roman"/>
          <w:color w:val="231F20"/>
          <w:w w:val="105"/>
          <w:sz w:val="22"/>
        </w:rPr>
        <w:t>la</w:t>
      </w:r>
      <w:r>
        <w:rPr>
          <w:rFonts w:ascii="Times New Roman" w:hAnsi="Times New Roman"/>
          <w:color w:val="231F20"/>
          <w:spacing w:val="-19"/>
          <w:w w:val="105"/>
          <w:sz w:val="22"/>
        </w:rPr>
        <w:t> </w:t>
      </w:r>
      <w:r>
        <w:rPr>
          <w:rFonts w:ascii="Times New Roman" w:hAnsi="Times New Roman"/>
          <w:color w:val="231F20"/>
          <w:w w:val="105"/>
          <w:sz w:val="22"/>
        </w:rPr>
        <w:t>materia</w:t>
      </w:r>
      <w:r>
        <w:rPr>
          <w:rFonts w:ascii="Times New Roman" w:hAnsi="Times New Roman"/>
          <w:color w:val="231F20"/>
          <w:spacing w:val="-19"/>
          <w:w w:val="105"/>
          <w:sz w:val="22"/>
        </w:rPr>
        <w:t> </w:t>
      </w:r>
      <w:r>
        <w:rPr>
          <w:rFonts w:ascii="Times New Roman" w:hAnsi="Times New Roman"/>
          <w:color w:val="231F20"/>
          <w:w w:val="105"/>
          <w:sz w:val="22"/>
        </w:rPr>
        <w:t>tributaria,</w:t>
      </w:r>
      <w:r>
        <w:rPr>
          <w:rFonts w:ascii="Times New Roman" w:hAnsi="Times New Roman"/>
          <w:color w:val="231F20"/>
          <w:spacing w:val="-19"/>
          <w:w w:val="105"/>
          <w:sz w:val="22"/>
        </w:rPr>
        <w:t> </w:t>
      </w:r>
      <w:r>
        <w:rPr>
          <w:rFonts w:ascii="Times New Roman" w:hAnsi="Times New Roman"/>
          <w:color w:val="231F20"/>
          <w:w w:val="105"/>
          <w:sz w:val="22"/>
        </w:rPr>
        <w:t>mediante</w:t>
      </w:r>
      <w:r>
        <w:rPr>
          <w:rFonts w:ascii="Times New Roman" w:hAnsi="Times New Roman"/>
          <w:color w:val="231F20"/>
          <w:spacing w:val="-19"/>
          <w:w w:val="105"/>
          <w:sz w:val="22"/>
        </w:rPr>
        <w:t> </w:t>
      </w:r>
      <w:r>
        <w:rPr>
          <w:rFonts w:ascii="Times New Roman" w:hAnsi="Times New Roman"/>
          <w:color w:val="231F20"/>
          <w:w w:val="105"/>
          <w:sz w:val="22"/>
        </w:rPr>
        <w:t>acuerdos</w:t>
      </w:r>
      <w:r>
        <w:rPr>
          <w:rFonts w:ascii="Times New Roman" w:hAnsi="Times New Roman"/>
          <w:color w:val="231F20"/>
          <w:spacing w:val="-19"/>
          <w:w w:val="105"/>
          <w:sz w:val="22"/>
        </w:rPr>
        <w:t> </w:t>
      </w:r>
      <w:r>
        <w:rPr>
          <w:rFonts w:ascii="Times New Roman" w:hAnsi="Times New Roman"/>
          <w:color w:val="231F20"/>
          <w:w w:val="105"/>
          <w:sz w:val="22"/>
        </w:rPr>
        <w:t>y</w:t>
      </w:r>
      <w:r>
        <w:rPr>
          <w:rFonts w:ascii="Times New Roman" w:hAnsi="Times New Roman"/>
          <w:color w:val="231F20"/>
          <w:spacing w:val="-19"/>
          <w:w w:val="105"/>
          <w:sz w:val="22"/>
        </w:rPr>
        <w:t> </w:t>
      </w:r>
      <w:r>
        <w:rPr>
          <w:rFonts w:ascii="Times New Roman" w:hAnsi="Times New Roman"/>
          <w:color w:val="231F20"/>
          <w:w w:val="105"/>
          <w:sz w:val="22"/>
        </w:rPr>
        <w:t>acciones</w:t>
      </w:r>
      <w:r>
        <w:rPr>
          <w:rFonts w:ascii="Times New Roman" w:hAnsi="Times New Roman"/>
          <w:color w:val="231F20"/>
          <w:spacing w:val="-19"/>
          <w:w w:val="105"/>
          <w:sz w:val="22"/>
        </w:rPr>
        <w:t> </w:t>
      </w:r>
      <w:r>
        <w:rPr>
          <w:rFonts w:ascii="Times New Roman" w:hAnsi="Times New Roman"/>
          <w:color w:val="231F20"/>
          <w:w w:val="105"/>
          <w:sz w:val="22"/>
        </w:rPr>
        <w:t>coordinadas para lograr la armonía del sistema y la eficiencia, eficacia y transparencia en la aplicación</w:t>
      </w:r>
      <w:r>
        <w:rPr>
          <w:rFonts w:ascii="Times New Roman" w:hAnsi="Times New Roman"/>
          <w:color w:val="231F20"/>
          <w:spacing w:val="-24"/>
          <w:w w:val="105"/>
          <w:sz w:val="22"/>
        </w:rPr>
        <w:t> </w:t>
      </w:r>
      <w:r>
        <w:rPr>
          <w:rFonts w:ascii="Times New Roman" w:hAnsi="Times New Roman"/>
          <w:color w:val="231F20"/>
          <w:w w:val="105"/>
          <w:sz w:val="22"/>
        </w:rPr>
        <w:t>de</w:t>
      </w:r>
      <w:r>
        <w:rPr>
          <w:rFonts w:ascii="Times New Roman" w:hAnsi="Times New Roman"/>
          <w:color w:val="231F20"/>
          <w:spacing w:val="-24"/>
          <w:w w:val="105"/>
          <w:sz w:val="22"/>
        </w:rPr>
        <w:t> </w:t>
      </w:r>
      <w:r>
        <w:rPr>
          <w:rFonts w:ascii="Times New Roman" w:hAnsi="Times New Roman"/>
          <w:color w:val="231F20"/>
          <w:w w:val="105"/>
          <w:sz w:val="22"/>
        </w:rPr>
        <w:t>las</w:t>
      </w:r>
      <w:r>
        <w:rPr>
          <w:rFonts w:ascii="Times New Roman" w:hAnsi="Times New Roman"/>
          <w:color w:val="231F20"/>
          <w:spacing w:val="-24"/>
          <w:w w:val="105"/>
          <w:sz w:val="22"/>
        </w:rPr>
        <w:t> </w:t>
      </w:r>
      <w:r>
        <w:rPr>
          <w:rFonts w:ascii="Times New Roman" w:hAnsi="Times New Roman"/>
          <w:color w:val="231F20"/>
          <w:w w:val="105"/>
          <w:sz w:val="22"/>
        </w:rPr>
        <w:t>acciones</w:t>
      </w:r>
      <w:r>
        <w:rPr>
          <w:rFonts w:ascii="Times New Roman" w:hAnsi="Times New Roman"/>
          <w:color w:val="231F20"/>
          <w:spacing w:val="-24"/>
          <w:w w:val="105"/>
          <w:sz w:val="22"/>
        </w:rPr>
        <w:t> </w:t>
      </w:r>
      <w:r>
        <w:rPr>
          <w:rFonts w:ascii="Times New Roman" w:hAnsi="Times New Roman"/>
          <w:color w:val="231F20"/>
          <w:w w:val="105"/>
          <w:sz w:val="22"/>
        </w:rPr>
        <w:t>y</w:t>
      </w:r>
      <w:r>
        <w:rPr>
          <w:rFonts w:ascii="Times New Roman" w:hAnsi="Times New Roman"/>
          <w:color w:val="231F20"/>
          <w:spacing w:val="-24"/>
          <w:w w:val="105"/>
          <w:sz w:val="22"/>
        </w:rPr>
        <w:t> </w:t>
      </w:r>
      <w:r>
        <w:rPr>
          <w:rFonts w:ascii="Times New Roman" w:hAnsi="Times New Roman"/>
          <w:color w:val="231F20"/>
          <w:w w:val="105"/>
          <w:sz w:val="22"/>
        </w:rPr>
        <w:t>recursos</w:t>
      </w:r>
      <w:r>
        <w:rPr>
          <w:rFonts w:ascii="Times New Roman" w:hAnsi="Times New Roman"/>
          <w:color w:val="231F20"/>
          <w:spacing w:val="-24"/>
          <w:w w:val="105"/>
          <w:sz w:val="22"/>
        </w:rPr>
        <w:t> </w:t>
      </w:r>
      <w:r>
        <w:rPr>
          <w:rFonts w:ascii="Times New Roman" w:hAnsi="Times New Roman"/>
          <w:color w:val="231F20"/>
          <w:w w:val="105"/>
          <w:sz w:val="22"/>
        </w:rPr>
        <w:t>públicos.</w:t>
      </w:r>
    </w:p>
    <w:p>
      <w:pPr>
        <w:pStyle w:val="ListParagraph"/>
        <w:numPr>
          <w:ilvl w:val="2"/>
          <w:numId w:val="20"/>
        </w:numPr>
        <w:tabs>
          <w:tab w:pos="477"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w w:val="105"/>
          <w:sz w:val="22"/>
        </w:rPr>
        <w:t>Elaborar los programas referentes a inversión pública física, vigilando que los</w:t>
      </w:r>
      <w:r>
        <w:rPr>
          <w:rFonts w:ascii="Times New Roman" w:hAnsi="Times New Roman"/>
          <w:color w:val="231F20"/>
          <w:spacing w:val="-9"/>
          <w:w w:val="105"/>
          <w:sz w:val="22"/>
        </w:rPr>
        <w:t> </w:t>
      </w:r>
      <w:r>
        <w:rPr>
          <w:rFonts w:ascii="Times New Roman" w:hAnsi="Times New Roman"/>
          <w:color w:val="231F20"/>
          <w:w w:val="105"/>
          <w:sz w:val="22"/>
        </w:rPr>
        <w:t>recursos</w:t>
      </w:r>
      <w:r>
        <w:rPr>
          <w:rFonts w:ascii="Times New Roman" w:hAnsi="Times New Roman"/>
          <w:color w:val="231F20"/>
          <w:spacing w:val="-9"/>
          <w:w w:val="105"/>
          <w:sz w:val="22"/>
        </w:rPr>
        <w:t> </w:t>
      </w:r>
      <w:r>
        <w:rPr>
          <w:rFonts w:ascii="Times New Roman" w:hAnsi="Times New Roman"/>
          <w:color w:val="231F20"/>
          <w:w w:val="105"/>
          <w:sz w:val="22"/>
        </w:rPr>
        <w:t>que</w:t>
      </w:r>
      <w:r>
        <w:rPr>
          <w:rFonts w:ascii="Times New Roman" w:hAnsi="Times New Roman"/>
          <w:color w:val="231F20"/>
          <w:spacing w:val="-9"/>
          <w:w w:val="105"/>
          <w:sz w:val="22"/>
        </w:rPr>
        <w:t> </w:t>
      </w:r>
      <w:r>
        <w:rPr>
          <w:rFonts w:ascii="Times New Roman" w:hAnsi="Times New Roman"/>
          <w:color w:val="231F20"/>
          <w:w w:val="105"/>
          <w:sz w:val="22"/>
        </w:rPr>
        <w:t>se</w:t>
      </w:r>
      <w:r>
        <w:rPr>
          <w:rFonts w:ascii="Times New Roman" w:hAnsi="Times New Roman"/>
          <w:color w:val="231F20"/>
          <w:spacing w:val="-9"/>
          <w:w w:val="105"/>
          <w:sz w:val="22"/>
        </w:rPr>
        <w:t> </w:t>
      </w:r>
      <w:r>
        <w:rPr>
          <w:rFonts w:ascii="Times New Roman" w:hAnsi="Times New Roman"/>
          <w:color w:val="231F20"/>
          <w:w w:val="105"/>
          <w:sz w:val="22"/>
        </w:rPr>
        <w:t>asignen</w:t>
      </w:r>
      <w:r>
        <w:rPr>
          <w:rFonts w:ascii="Times New Roman" w:hAnsi="Times New Roman"/>
          <w:color w:val="231F20"/>
          <w:spacing w:val="-9"/>
          <w:w w:val="105"/>
          <w:sz w:val="22"/>
        </w:rPr>
        <w:t> </w:t>
      </w:r>
      <w:r>
        <w:rPr>
          <w:rFonts w:ascii="Times New Roman" w:hAnsi="Times New Roman"/>
          <w:color w:val="231F20"/>
          <w:w w:val="105"/>
          <w:sz w:val="22"/>
        </w:rPr>
        <w:t>se</w:t>
      </w:r>
      <w:r>
        <w:rPr>
          <w:rFonts w:ascii="Times New Roman" w:hAnsi="Times New Roman"/>
          <w:color w:val="231F20"/>
          <w:spacing w:val="-9"/>
          <w:w w:val="105"/>
          <w:sz w:val="22"/>
        </w:rPr>
        <w:t> </w:t>
      </w:r>
      <w:r>
        <w:rPr>
          <w:rFonts w:ascii="Times New Roman" w:hAnsi="Times New Roman"/>
          <w:color w:val="231F20"/>
          <w:w w:val="105"/>
          <w:sz w:val="22"/>
        </w:rPr>
        <w:t>apliquen</w:t>
      </w:r>
      <w:r>
        <w:rPr>
          <w:rFonts w:ascii="Times New Roman" w:hAnsi="Times New Roman"/>
          <w:color w:val="231F20"/>
          <w:spacing w:val="-9"/>
          <w:w w:val="105"/>
          <w:sz w:val="22"/>
        </w:rPr>
        <w:t> </w:t>
      </w:r>
      <w:r>
        <w:rPr>
          <w:rFonts w:ascii="Times New Roman" w:hAnsi="Times New Roman"/>
          <w:color w:val="231F20"/>
          <w:w w:val="105"/>
          <w:sz w:val="22"/>
        </w:rPr>
        <w:t>de</w:t>
      </w:r>
      <w:r>
        <w:rPr>
          <w:rFonts w:ascii="Times New Roman" w:hAnsi="Times New Roman"/>
          <w:color w:val="231F20"/>
          <w:spacing w:val="-9"/>
          <w:w w:val="105"/>
          <w:sz w:val="22"/>
        </w:rPr>
        <w:t> </w:t>
      </w:r>
      <w:r>
        <w:rPr>
          <w:rFonts w:ascii="Times New Roman" w:hAnsi="Times New Roman"/>
          <w:color w:val="231F20"/>
          <w:w w:val="105"/>
          <w:sz w:val="22"/>
        </w:rPr>
        <w:t>acuerdo</w:t>
      </w:r>
      <w:r>
        <w:rPr>
          <w:rFonts w:ascii="Times New Roman" w:hAnsi="Times New Roman"/>
          <w:color w:val="231F20"/>
          <w:spacing w:val="-9"/>
          <w:w w:val="105"/>
          <w:sz w:val="22"/>
        </w:rPr>
        <w:t> </w:t>
      </w:r>
      <w:r>
        <w:rPr>
          <w:rFonts w:ascii="Times New Roman" w:hAnsi="Times New Roman"/>
          <w:color w:val="231F20"/>
          <w:w w:val="105"/>
          <w:sz w:val="22"/>
        </w:rPr>
        <w:t>a</w:t>
      </w:r>
      <w:r>
        <w:rPr>
          <w:rFonts w:ascii="Times New Roman" w:hAnsi="Times New Roman"/>
          <w:color w:val="231F20"/>
          <w:spacing w:val="-9"/>
          <w:w w:val="105"/>
          <w:sz w:val="22"/>
        </w:rPr>
        <w:t> </w:t>
      </w:r>
      <w:r>
        <w:rPr>
          <w:rFonts w:ascii="Times New Roman" w:hAnsi="Times New Roman"/>
          <w:color w:val="231F20"/>
          <w:w w:val="105"/>
          <w:sz w:val="22"/>
        </w:rPr>
        <w:t>la</w:t>
      </w:r>
      <w:r>
        <w:rPr>
          <w:rFonts w:ascii="Times New Roman" w:hAnsi="Times New Roman"/>
          <w:color w:val="231F20"/>
          <w:spacing w:val="-9"/>
          <w:w w:val="105"/>
          <w:sz w:val="22"/>
        </w:rPr>
        <w:t> </w:t>
      </w:r>
      <w:r>
        <w:rPr>
          <w:rFonts w:ascii="Times New Roman" w:hAnsi="Times New Roman"/>
          <w:color w:val="231F20"/>
          <w:w w:val="105"/>
          <w:sz w:val="22"/>
        </w:rPr>
        <w:t>normatividad</w:t>
      </w:r>
      <w:r>
        <w:rPr>
          <w:rFonts w:ascii="Times New Roman" w:hAnsi="Times New Roman"/>
          <w:color w:val="231F20"/>
          <w:spacing w:val="-9"/>
          <w:w w:val="105"/>
          <w:sz w:val="22"/>
        </w:rPr>
        <w:t> </w:t>
      </w:r>
      <w:r>
        <w:rPr>
          <w:rFonts w:ascii="Times New Roman" w:hAnsi="Times New Roman"/>
          <w:color w:val="231F20"/>
          <w:w w:val="105"/>
          <w:sz w:val="22"/>
        </w:rPr>
        <w:t>vigente,</w:t>
      </w:r>
      <w:r>
        <w:rPr>
          <w:rFonts w:ascii="Times New Roman" w:hAnsi="Times New Roman"/>
          <w:color w:val="231F20"/>
          <w:spacing w:val="-9"/>
          <w:w w:val="105"/>
          <w:sz w:val="22"/>
        </w:rPr>
        <w:t> </w:t>
      </w:r>
      <w:r>
        <w:rPr>
          <w:rFonts w:ascii="Times New Roman" w:hAnsi="Times New Roman"/>
          <w:color w:val="231F20"/>
          <w:w w:val="105"/>
          <w:sz w:val="22"/>
        </w:rPr>
        <w:t>así como fortalecer la relación entre el estado y el municipio, reconociendo sus</w:t>
      </w:r>
      <w:r>
        <w:rPr>
          <w:rFonts w:ascii="Times New Roman" w:hAnsi="Times New Roman"/>
          <w:color w:val="231F20"/>
          <w:spacing w:val="-39"/>
          <w:w w:val="105"/>
          <w:sz w:val="22"/>
        </w:rPr>
        <w:t> </w:t>
      </w:r>
      <w:r>
        <w:rPr>
          <w:rFonts w:ascii="Times New Roman" w:hAnsi="Times New Roman"/>
          <w:color w:val="231F20"/>
          <w:w w:val="105"/>
          <w:sz w:val="22"/>
        </w:rPr>
        <w:t>res- ponsabilidades</w:t>
      </w:r>
      <w:r>
        <w:rPr>
          <w:rFonts w:ascii="Times New Roman" w:hAnsi="Times New Roman"/>
          <w:color w:val="231F20"/>
          <w:spacing w:val="-19"/>
          <w:w w:val="105"/>
          <w:sz w:val="22"/>
        </w:rPr>
        <w:t> </w:t>
      </w:r>
      <w:r>
        <w:rPr>
          <w:rFonts w:ascii="Times New Roman" w:hAnsi="Times New Roman"/>
          <w:color w:val="231F20"/>
          <w:w w:val="105"/>
          <w:sz w:val="22"/>
        </w:rPr>
        <w:t>en</w:t>
      </w:r>
      <w:r>
        <w:rPr>
          <w:rFonts w:ascii="Times New Roman" w:hAnsi="Times New Roman"/>
          <w:color w:val="231F20"/>
          <w:spacing w:val="-19"/>
          <w:w w:val="105"/>
          <w:sz w:val="22"/>
        </w:rPr>
        <w:t> </w:t>
      </w:r>
      <w:r>
        <w:rPr>
          <w:rFonts w:ascii="Times New Roman" w:hAnsi="Times New Roman"/>
          <w:color w:val="231F20"/>
          <w:w w:val="105"/>
          <w:sz w:val="22"/>
        </w:rPr>
        <w:t>la</w:t>
      </w:r>
      <w:r>
        <w:rPr>
          <w:rFonts w:ascii="Times New Roman" w:hAnsi="Times New Roman"/>
          <w:color w:val="231F20"/>
          <w:spacing w:val="-19"/>
          <w:w w:val="105"/>
          <w:sz w:val="22"/>
        </w:rPr>
        <w:t> </w:t>
      </w:r>
      <w:r>
        <w:rPr>
          <w:rFonts w:ascii="Times New Roman" w:hAnsi="Times New Roman"/>
          <w:color w:val="231F20"/>
          <w:w w:val="105"/>
          <w:sz w:val="22"/>
        </w:rPr>
        <w:t>ejecución</w:t>
      </w:r>
      <w:r>
        <w:rPr>
          <w:rFonts w:ascii="Times New Roman" w:hAnsi="Times New Roman"/>
          <w:color w:val="231F20"/>
          <w:spacing w:val="-19"/>
          <w:w w:val="105"/>
          <w:sz w:val="22"/>
        </w:rPr>
        <w:t> </w:t>
      </w:r>
      <w:r>
        <w:rPr>
          <w:rFonts w:ascii="Times New Roman" w:hAnsi="Times New Roman"/>
          <w:color w:val="231F20"/>
          <w:w w:val="105"/>
          <w:sz w:val="22"/>
        </w:rPr>
        <w:t>de</w:t>
      </w:r>
      <w:r>
        <w:rPr>
          <w:rFonts w:ascii="Times New Roman" w:hAnsi="Times New Roman"/>
          <w:color w:val="231F20"/>
          <w:spacing w:val="-19"/>
          <w:w w:val="105"/>
          <w:sz w:val="22"/>
        </w:rPr>
        <w:t> </w:t>
      </w:r>
      <w:r>
        <w:rPr>
          <w:rFonts w:ascii="Times New Roman" w:hAnsi="Times New Roman"/>
          <w:color w:val="231F20"/>
          <w:w w:val="105"/>
          <w:sz w:val="22"/>
        </w:rPr>
        <w:t>la</w:t>
      </w:r>
      <w:r>
        <w:rPr>
          <w:rFonts w:ascii="Times New Roman" w:hAnsi="Times New Roman"/>
          <w:color w:val="231F20"/>
          <w:spacing w:val="-19"/>
          <w:w w:val="105"/>
          <w:sz w:val="22"/>
        </w:rPr>
        <w:t> </w:t>
      </w:r>
      <w:r>
        <w:rPr>
          <w:rFonts w:ascii="Times New Roman" w:hAnsi="Times New Roman"/>
          <w:color w:val="231F20"/>
          <w:w w:val="105"/>
          <w:sz w:val="22"/>
        </w:rPr>
        <w:t>obra</w:t>
      </w:r>
      <w:r>
        <w:rPr>
          <w:rFonts w:ascii="Times New Roman" w:hAnsi="Times New Roman"/>
          <w:color w:val="231F20"/>
          <w:spacing w:val="-19"/>
          <w:w w:val="105"/>
          <w:sz w:val="22"/>
        </w:rPr>
        <w:t> </w:t>
      </w:r>
      <w:r>
        <w:rPr>
          <w:rFonts w:ascii="Times New Roman" w:hAnsi="Times New Roman"/>
          <w:color w:val="231F20"/>
          <w:w w:val="105"/>
          <w:sz w:val="22"/>
        </w:rPr>
        <w:t>pública.</w:t>
      </w:r>
    </w:p>
    <w:p>
      <w:pPr>
        <w:pStyle w:val="ListParagraph"/>
        <w:numPr>
          <w:ilvl w:val="2"/>
          <w:numId w:val="20"/>
        </w:numPr>
        <w:tabs>
          <w:tab w:pos="420" w:val="left" w:leader="none"/>
        </w:tabs>
        <w:spacing w:line="285" w:lineRule="auto" w:before="1" w:after="0"/>
        <w:ind w:left="117" w:right="108" w:firstLine="0"/>
        <w:jc w:val="both"/>
        <w:rPr>
          <w:rFonts w:ascii="Times New Roman" w:hAnsi="Times New Roman"/>
          <w:sz w:val="22"/>
        </w:rPr>
      </w:pPr>
      <w:r>
        <w:rPr>
          <w:rFonts w:ascii="Times New Roman" w:hAnsi="Times New Roman"/>
          <w:color w:val="231F20"/>
          <w:w w:val="105"/>
          <w:sz w:val="22"/>
        </w:rPr>
        <w:t>Mejorar</w:t>
      </w:r>
      <w:r>
        <w:rPr>
          <w:rFonts w:ascii="Times New Roman" w:hAnsi="Times New Roman"/>
          <w:color w:val="231F20"/>
          <w:spacing w:val="-10"/>
          <w:w w:val="105"/>
          <w:sz w:val="22"/>
        </w:rPr>
        <w:t> </w:t>
      </w:r>
      <w:r>
        <w:rPr>
          <w:rFonts w:ascii="Times New Roman" w:hAnsi="Times New Roman"/>
          <w:color w:val="231F20"/>
          <w:w w:val="105"/>
          <w:sz w:val="22"/>
        </w:rPr>
        <w:t>las</w:t>
      </w:r>
      <w:r>
        <w:rPr>
          <w:rFonts w:ascii="Times New Roman" w:hAnsi="Times New Roman"/>
          <w:color w:val="231F20"/>
          <w:spacing w:val="-10"/>
          <w:w w:val="105"/>
          <w:sz w:val="22"/>
        </w:rPr>
        <w:t> </w:t>
      </w:r>
      <w:r>
        <w:rPr>
          <w:rFonts w:ascii="Times New Roman" w:hAnsi="Times New Roman"/>
          <w:color w:val="231F20"/>
          <w:w w:val="105"/>
          <w:sz w:val="22"/>
        </w:rPr>
        <w:t>condiciones</w:t>
      </w:r>
      <w:r>
        <w:rPr>
          <w:rFonts w:ascii="Times New Roman" w:hAnsi="Times New Roman"/>
          <w:color w:val="231F20"/>
          <w:spacing w:val="-10"/>
          <w:w w:val="105"/>
          <w:sz w:val="22"/>
        </w:rPr>
        <w:t> </w:t>
      </w:r>
      <w:r>
        <w:rPr>
          <w:rFonts w:ascii="Times New Roman" w:hAnsi="Times New Roman"/>
          <w:color w:val="231F20"/>
          <w:w w:val="105"/>
          <w:sz w:val="22"/>
        </w:rPr>
        <w:t>de</w:t>
      </w:r>
      <w:r>
        <w:rPr>
          <w:rFonts w:ascii="Times New Roman" w:hAnsi="Times New Roman"/>
          <w:color w:val="231F20"/>
          <w:spacing w:val="-10"/>
          <w:w w:val="105"/>
          <w:sz w:val="22"/>
        </w:rPr>
        <w:t> </w:t>
      </w:r>
      <w:r>
        <w:rPr>
          <w:rFonts w:ascii="Times New Roman" w:hAnsi="Times New Roman"/>
          <w:color w:val="231F20"/>
          <w:w w:val="105"/>
          <w:sz w:val="22"/>
        </w:rPr>
        <w:t>financiamiento</w:t>
      </w:r>
      <w:r>
        <w:rPr>
          <w:rFonts w:ascii="Times New Roman" w:hAnsi="Times New Roman"/>
          <w:color w:val="231F20"/>
          <w:spacing w:val="-10"/>
          <w:w w:val="105"/>
          <w:sz w:val="22"/>
        </w:rPr>
        <w:t> </w:t>
      </w:r>
      <w:r>
        <w:rPr>
          <w:rFonts w:ascii="Times New Roman" w:hAnsi="Times New Roman"/>
          <w:color w:val="231F20"/>
          <w:w w:val="105"/>
          <w:sz w:val="22"/>
        </w:rPr>
        <w:t>de</w:t>
      </w:r>
      <w:r>
        <w:rPr>
          <w:rFonts w:ascii="Times New Roman" w:hAnsi="Times New Roman"/>
          <w:color w:val="231F20"/>
          <w:spacing w:val="-10"/>
          <w:w w:val="105"/>
          <w:sz w:val="22"/>
        </w:rPr>
        <w:t> </w:t>
      </w:r>
      <w:r>
        <w:rPr>
          <w:rFonts w:ascii="Times New Roman" w:hAnsi="Times New Roman"/>
          <w:color w:val="231F20"/>
          <w:w w:val="105"/>
          <w:sz w:val="22"/>
        </w:rPr>
        <w:t>la</w:t>
      </w:r>
      <w:r>
        <w:rPr>
          <w:rFonts w:ascii="Times New Roman" w:hAnsi="Times New Roman"/>
          <w:color w:val="231F20"/>
          <w:spacing w:val="-10"/>
          <w:w w:val="105"/>
          <w:sz w:val="22"/>
        </w:rPr>
        <w:t> </w:t>
      </w:r>
      <w:r>
        <w:rPr>
          <w:rFonts w:ascii="Times New Roman" w:hAnsi="Times New Roman"/>
          <w:color w:val="231F20"/>
          <w:w w:val="105"/>
          <w:sz w:val="22"/>
        </w:rPr>
        <w:t>deuda</w:t>
      </w:r>
      <w:r>
        <w:rPr>
          <w:rFonts w:ascii="Times New Roman" w:hAnsi="Times New Roman"/>
          <w:color w:val="231F20"/>
          <w:spacing w:val="-10"/>
          <w:w w:val="105"/>
          <w:sz w:val="22"/>
        </w:rPr>
        <w:t> </w:t>
      </w:r>
      <w:r>
        <w:rPr>
          <w:rFonts w:ascii="Times New Roman" w:hAnsi="Times New Roman"/>
          <w:color w:val="231F20"/>
          <w:w w:val="105"/>
          <w:sz w:val="22"/>
        </w:rPr>
        <w:t>pública</w:t>
      </w:r>
      <w:r>
        <w:rPr>
          <w:rFonts w:ascii="Times New Roman" w:hAnsi="Times New Roman"/>
          <w:color w:val="231F20"/>
          <w:spacing w:val="-10"/>
          <w:w w:val="105"/>
          <w:sz w:val="22"/>
        </w:rPr>
        <w:t> </w:t>
      </w:r>
      <w:r>
        <w:rPr>
          <w:rFonts w:ascii="Times New Roman" w:hAnsi="Times New Roman"/>
          <w:color w:val="231F20"/>
          <w:w w:val="105"/>
          <w:sz w:val="22"/>
        </w:rPr>
        <w:t>municipal,</w:t>
      </w:r>
      <w:r>
        <w:rPr>
          <w:rFonts w:ascii="Times New Roman" w:hAnsi="Times New Roman"/>
          <w:color w:val="231F20"/>
          <w:spacing w:val="-10"/>
          <w:w w:val="105"/>
          <w:sz w:val="22"/>
        </w:rPr>
        <w:t> </w:t>
      </w:r>
      <w:r>
        <w:rPr>
          <w:rFonts w:ascii="Times New Roman" w:hAnsi="Times New Roman"/>
          <w:color w:val="231F20"/>
          <w:w w:val="105"/>
          <w:sz w:val="22"/>
        </w:rPr>
        <w:t>re- </w:t>
      </w:r>
      <w:r>
        <w:rPr>
          <w:rFonts w:ascii="Times New Roman" w:hAnsi="Times New Roman"/>
          <w:color w:val="231F20"/>
          <w:spacing w:val="-3"/>
          <w:w w:val="105"/>
          <w:sz w:val="22"/>
        </w:rPr>
        <w:t>duciendo</w:t>
      </w:r>
      <w:r>
        <w:rPr>
          <w:rFonts w:ascii="Times New Roman" w:hAnsi="Times New Roman"/>
          <w:color w:val="231F20"/>
          <w:spacing w:val="-15"/>
          <w:w w:val="105"/>
          <w:sz w:val="22"/>
        </w:rPr>
        <w:t> </w:t>
      </w:r>
      <w:r>
        <w:rPr>
          <w:rFonts w:ascii="Times New Roman" w:hAnsi="Times New Roman"/>
          <w:color w:val="231F20"/>
          <w:w w:val="105"/>
          <w:sz w:val="22"/>
        </w:rPr>
        <w:t>gradualmente</w:t>
      </w:r>
      <w:r>
        <w:rPr>
          <w:rFonts w:ascii="Times New Roman" w:hAnsi="Times New Roman"/>
          <w:color w:val="231F20"/>
          <w:spacing w:val="-15"/>
          <w:w w:val="105"/>
          <w:sz w:val="22"/>
        </w:rPr>
        <w:t> </w:t>
      </w:r>
      <w:r>
        <w:rPr>
          <w:rFonts w:ascii="Times New Roman" w:hAnsi="Times New Roman"/>
          <w:color w:val="231F20"/>
          <w:w w:val="105"/>
          <w:sz w:val="22"/>
        </w:rPr>
        <w:t>el</w:t>
      </w:r>
      <w:r>
        <w:rPr>
          <w:rFonts w:ascii="Times New Roman" w:hAnsi="Times New Roman"/>
          <w:color w:val="231F20"/>
          <w:spacing w:val="-15"/>
          <w:w w:val="105"/>
          <w:sz w:val="22"/>
        </w:rPr>
        <w:t> </w:t>
      </w:r>
      <w:r>
        <w:rPr>
          <w:rFonts w:ascii="Times New Roman" w:hAnsi="Times New Roman"/>
          <w:color w:val="231F20"/>
          <w:w w:val="105"/>
          <w:sz w:val="22"/>
        </w:rPr>
        <w:t>pago</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su</w:t>
      </w:r>
      <w:r>
        <w:rPr>
          <w:rFonts w:ascii="Times New Roman" w:hAnsi="Times New Roman"/>
          <w:color w:val="231F20"/>
          <w:spacing w:val="-15"/>
          <w:w w:val="105"/>
          <w:sz w:val="22"/>
        </w:rPr>
        <w:t> </w:t>
      </w:r>
      <w:r>
        <w:rPr>
          <w:rFonts w:ascii="Times New Roman" w:hAnsi="Times New Roman"/>
          <w:color w:val="231F20"/>
          <w:w w:val="105"/>
          <w:sz w:val="22"/>
        </w:rPr>
        <w:t>servicio</w:t>
      </w:r>
      <w:r>
        <w:rPr>
          <w:rFonts w:ascii="Times New Roman" w:hAnsi="Times New Roman"/>
          <w:color w:val="231F20"/>
          <w:spacing w:val="-15"/>
          <w:w w:val="105"/>
          <w:sz w:val="22"/>
        </w:rPr>
        <w:t> </w:t>
      </w:r>
      <w:r>
        <w:rPr>
          <w:rFonts w:ascii="Times New Roman" w:hAnsi="Times New Roman"/>
          <w:color w:val="231F20"/>
          <w:w w:val="105"/>
          <w:sz w:val="22"/>
        </w:rPr>
        <w:t>para</w:t>
      </w:r>
      <w:r>
        <w:rPr>
          <w:rFonts w:ascii="Times New Roman" w:hAnsi="Times New Roman"/>
          <w:color w:val="231F20"/>
          <w:spacing w:val="-15"/>
          <w:w w:val="105"/>
          <w:sz w:val="22"/>
        </w:rPr>
        <w:t> </w:t>
      </w:r>
      <w:r>
        <w:rPr>
          <w:rFonts w:ascii="Times New Roman" w:hAnsi="Times New Roman"/>
          <w:color w:val="231F20"/>
          <w:w w:val="105"/>
          <w:sz w:val="22"/>
        </w:rPr>
        <w:t>contar</w:t>
      </w:r>
      <w:r>
        <w:rPr>
          <w:rFonts w:ascii="Times New Roman" w:hAnsi="Times New Roman"/>
          <w:color w:val="231F20"/>
          <w:spacing w:val="-15"/>
          <w:w w:val="105"/>
          <w:sz w:val="22"/>
        </w:rPr>
        <w:t> </w:t>
      </w:r>
      <w:r>
        <w:rPr>
          <w:rFonts w:ascii="Times New Roman" w:hAnsi="Times New Roman"/>
          <w:color w:val="231F20"/>
          <w:w w:val="105"/>
          <w:sz w:val="22"/>
        </w:rPr>
        <w:t>con</w:t>
      </w:r>
      <w:r>
        <w:rPr>
          <w:rFonts w:ascii="Times New Roman" w:hAnsi="Times New Roman"/>
          <w:color w:val="231F20"/>
          <w:spacing w:val="-15"/>
          <w:w w:val="105"/>
          <w:sz w:val="22"/>
        </w:rPr>
        <w:t> </w:t>
      </w:r>
      <w:r>
        <w:rPr>
          <w:rFonts w:ascii="Times New Roman" w:hAnsi="Times New Roman"/>
          <w:color w:val="231F20"/>
          <w:w w:val="105"/>
          <w:sz w:val="22"/>
        </w:rPr>
        <w:t>mayores</w:t>
      </w:r>
      <w:r>
        <w:rPr>
          <w:rFonts w:ascii="Times New Roman" w:hAnsi="Times New Roman"/>
          <w:color w:val="231F20"/>
          <w:spacing w:val="-15"/>
          <w:w w:val="105"/>
          <w:sz w:val="22"/>
        </w:rPr>
        <w:t> </w:t>
      </w:r>
      <w:r>
        <w:rPr>
          <w:rFonts w:ascii="Times New Roman" w:hAnsi="Times New Roman"/>
          <w:color w:val="231F20"/>
          <w:w w:val="105"/>
          <w:sz w:val="22"/>
        </w:rPr>
        <w:t>recursos</w:t>
      </w:r>
      <w:r>
        <w:rPr>
          <w:rFonts w:ascii="Times New Roman" w:hAnsi="Times New Roman"/>
          <w:color w:val="231F20"/>
          <w:spacing w:val="-15"/>
          <w:w w:val="105"/>
          <w:sz w:val="22"/>
        </w:rPr>
        <w:t> </w:t>
      </w:r>
      <w:r>
        <w:rPr>
          <w:rFonts w:ascii="Times New Roman" w:hAnsi="Times New Roman"/>
          <w:color w:val="231F20"/>
          <w:w w:val="105"/>
          <w:sz w:val="22"/>
        </w:rPr>
        <w:t>y destinarlos</w:t>
      </w:r>
      <w:r>
        <w:rPr>
          <w:rFonts w:ascii="Times New Roman" w:hAnsi="Times New Roman"/>
          <w:color w:val="231F20"/>
          <w:spacing w:val="-18"/>
          <w:w w:val="105"/>
          <w:sz w:val="22"/>
        </w:rPr>
        <w:t> </w:t>
      </w:r>
      <w:r>
        <w:rPr>
          <w:rFonts w:ascii="Times New Roman" w:hAnsi="Times New Roman"/>
          <w:color w:val="231F20"/>
          <w:w w:val="105"/>
          <w:sz w:val="22"/>
        </w:rPr>
        <w:t>a</w:t>
      </w:r>
      <w:r>
        <w:rPr>
          <w:rFonts w:ascii="Times New Roman" w:hAnsi="Times New Roman"/>
          <w:color w:val="231F20"/>
          <w:spacing w:val="-18"/>
          <w:w w:val="105"/>
          <w:sz w:val="22"/>
        </w:rPr>
        <w:t> </w:t>
      </w:r>
      <w:r>
        <w:rPr>
          <w:rFonts w:ascii="Times New Roman" w:hAnsi="Times New Roman"/>
          <w:color w:val="231F20"/>
          <w:w w:val="105"/>
          <w:sz w:val="22"/>
        </w:rPr>
        <w:t>la</w:t>
      </w:r>
      <w:r>
        <w:rPr>
          <w:rFonts w:ascii="Times New Roman" w:hAnsi="Times New Roman"/>
          <w:color w:val="231F20"/>
          <w:spacing w:val="-18"/>
          <w:w w:val="105"/>
          <w:sz w:val="22"/>
        </w:rPr>
        <w:t> </w:t>
      </w:r>
      <w:r>
        <w:rPr>
          <w:rFonts w:ascii="Times New Roman" w:hAnsi="Times New Roman"/>
          <w:color w:val="231F20"/>
          <w:w w:val="105"/>
          <w:sz w:val="22"/>
        </w:rPr>
        <w:t>inversión</w:t>
      </w:r>
      <w:r>
        <w:rPr>
          <w:rFonts w:ascii="Times New Roman" w:hAnsi="Times New Roman"/>
          <w:color w:val="231F20"/>
          <w:spacing w:val="-18"/>
          <w:w w:val="105"/>
          <w:sz w:val="22"/>
        </w:rPr>
        <w:t> </w:t>
      </w:r>
      <w:r>
        <w:rPr>
          <w:rFonts w:ascii="Times New Roman" w:hAnsi="Times New Roman"/>
          <w:color w:val="231F20"/>
          <w:w w:val="105"/>
          <w:sz w:val="22"/>
        </w:rPr>
        <w:t>pública</w:t>
      </w:r>
      <w:r>
        <w:rPr>
          <w:rFonts w:ascii="Times New Roman" w:hAnsi="Times New Roman"/>
          <w:color w:val="231F20"/>
          <w:spacing w:val="-18"/>
          <w:w w:val="105"/>
          <w:sz w:val="22"/>
        </w:rPr>
        <w:t> </w:t>
      </w:r>
      <w:r>
        <w:rPr>
          <w:rFonts w:ascii="Times New Roman" w:hAnsi="Times New Roman"/>
          <w:color w:val="231F20"/>
          <w:w w:val="105"/>
          <w:sz w:val="22"/>
        </w:rPr>
        <w:t>productiva.</w:t>
      </w:r>
    </w:p>
    <w:p>
      <w:pPr>
        <w:pStyle w:val="ListParagraph"/>
        <w:numPr>
          <w:ilvl w:val="2"/>
          <w:numId w:val="20"/>
        </w:numPr>
        <w:tabs>
          <w:tab w:pos="492" w:val="left" w:leader="none"/>
        </w:tabs>
        <w:spacing w:line="285" w:lineRule="auto" w:before="1" w:after="0"/>
        <w:ind w:left="117" w:right="107" w:firstLine="0"/>
        <w:jc w:val="both"/>
        <w:rPr>
          <w:rFonts w:ascii="Times New Roman" w:hAnsi="Times New Roman"/>
          <w:sz w:val="22"/>
        </w:rPr>
      </w:pPr>
      <w:r>
        <w:rPr>
          <w:rFonts w:ascii="Times New Roman" w:hAnsi="Times New Roman"/>
          <w:color w:val="231F20"/>
          <w:sz w:val="22"/>
        </w:rPr>
        <w:t>Elevar la calidad, capacidad y equidad tributaria, con seguridad jurídica, transparencia y simplificación  de  trámites  para  el  contribuyente,  desarrollando un régimen </w:t>
      </w:r>
      <w:r>
        <w:rPr>
          <w:rFonts w:ascii="Times New Roman" w:hAnsi="Times New Roman"/>
          <w:color w:val="231F20"/>
          <w:spacing w:val="2"/>
          <w:sz w:val="22"/>
        </w:rPr>
        <w:t>fiscal </w:t>
      </w:r>
      <w:r>
        <w:rPr>
          <w:rFonts w:ascii="Times New Roman" w:hAnsi="Times New Roman"/>
          <w:color w:val="231F20"/>
          <w:sz w:val="22"/>
        </w:rPr>
        <w:t>que amplíe la base de los contribuyentes e intensifique las ac- ciones de control para el cumplimiento de las obligaciones tributarias que eviten    la elusión y evasión</w:t>
      </w:r>
      <w:r>
        <w:rPr>
          <w:rFonts w:ascii="Times New Roman" w:hAnsi="Times New Roman"/>
          <w:color w:val="231F20"/>
          <w:spacing w:val="-13"/>
          <w:sz w:val="22"/>
        </w:rPr>
        <w:t> </w:t>
      </w:r>
      <w:r>
        <w:rPr>
          <w:rFonts w:ascii="Times New Roman" w:hAnsi="Times New Roman"/>
          <w:color w:val="231F20"/>
          <w:spacing w:val="2"/>
          <w:sz w:val="22"/>
        </w:rPr>
        <w:t>fiscal.</w:t>
      </w:r>
    </w:p>
    <w:p>
      <w:pPr>
        <w:pStyle w:val="ListParagraph"/>
        <w:numPr>
          <w:ilvl w:val="2"/>
          <w:numId w:val="20"/>
        </w:numPr>
        <w:tabs>
          <w:tab w:pos="433" w:val="left" w:leader="none"/>
        </w:tabs>
        <w:spacing w:line="285" w:lineRule="auto" w:before="1" w:after="0"/>
        <w:ind w:left="117" w:right="108" w:firstLine="0"/>
        <w:jc w:val="both"/>
        <w:rPr>
          <w:rFonts w:ascii="Times New Roman"/>
          <w:sz w:val="22"/>
        </w:rPr>
      </w:pPr>
      <w:r>
        <w:rPr>
          <w:rFonts w:ascii="Times New Roman"/>
          <w:color w:val="231F20"/>
          <w:spacing w:val="-3"/>
          <w:w w:val="105"/>
          <w:sz w:val="22"/>
        </w:rPr>
        <w:t>Proteger,</w:t>
      </w:r>
      <w:r>
        <w:rPr>
          <w:rFonts w:ascii="Times New Roman"/>
          <w:color w:val="231F20"/>
          <w:spacing w:val="-6"/>
          <w:w w:val="105"/>
          <w:sz w:val="22"/>
        </w:rPr>
        <w:t> </w:t>
      </w:r>
      <w:r>
        <w:rPr>
          <w:rFonts w:ascii="Times New Roman"/>
          <w:color w:val="231F20"/>
          <w:spacing w:val="-3"/>
          <w:w w:val="105"/>
          <w:sz w:val="22"/>
        </w:rPr>
        <w:t>defender</w:t>
      </w:r>
      <w:r>
        <w:rPr>
          <w:rFonts w:ascii="Times New Roman"/>
          <w:color w:val="231F20"/>
          <w:spacing w:val="-6"/>
          <w:w w:val="105"/>
          <w:sz w:val="22"/>
        </w:rPr>
        <w:t> </w:t>
      </w:r>
      <w:r>
        <w:rPr>
          <w:rFonts w:ascii="Times New Roman"/>
          <w:color w:val="231F20"/>
          <w:w w:val="105"/>
          <w:sz w:val="22"/>
        </w:rPr>
        <w:t>y</w:t>
      </w:r>
      <w:r>
        <w:rPr>
          <w:rFonts w:ascii="Times New Roman"/>
          <w:color w:val="231F20"/>
          <w:spacing w:val="-6"/>
          <w:w w:val="105"/>
          <w:sz w:val="22"/>
        </w:rPr>
        <w:t> </w:t>
      </w:r>
      <w:r>
        <w:rPr>
          <w:rFonts w:ascii="Times New Roman"/>
          <w:color w:val="231F20"/>
          <w:w w:val="105"/>
          <w:sz w:val="22"/>
        </w:rPr>
        <w:t>garantizar</w:t>
      </w:r>
      <w:r>
        <w:rPr>
          <w:rFonts w:ascii="Times New Roman"/>
          <w:color w:val="231F20"/>
          <w:spacing w:val="-6"/>
          <w:w w:val="105"/>
          <w:sz w:val="22"/>
        </w:rPr>
        <w:t> </w:t>
      </w:r>
      <w:r>
        <w:rPr>
          <w:rFonts w:ascii="Times New Roman"/>
          <w:color w:val="231F20"/>
          <w:w w:val="105"/>
          <w:sz w:val="22"/>
        </w:rPr>
        <w:t>los</w:t>
      </w:r>
      <w:r>
        <w:rPr>
          <w:rFonts w:ascii="Times New Roman"/>
          <w:color w:val="231F20"/>
          <w:spacing w:val="-6"/>
          <w:w w:val="105"/>
          <w:sz w:val="22"/>
        </w:rPr>
        <w:t> </w:t>
      </w:r>
      <w:r>
        <w:rPr>
          <w:rFonts w:ascii="Times New Roman"/>
          <w:color w:val="231F20"/>
          <w:w w:val="105"/>
          <w:sz w:val="22"/>
        </w:rPr>
        <w:t>derechos</w:t>
      </w:r>
      <w:r>
        <w:rPr>
          <w:rFonts w:ascii="Times New Roman"/>
          <w:color w:val="231F20"/>
          <w:spacing w:val="-6"/>
          <w:w w:val="105"/>
          <w:sz w:val="22"/>
        </w:rPr>
        <w:t> </w:t>
      </w:r>
      <w:r>
        <w:rPr>
          <w:rFonts w:ascii="Times New Roman"/>
          <w:color w:val="231F20"/>
          <w:w w:val="105"/>
          <w:sz w:val="22"/>
        </w:rPr>
        <w:t>humanos</w:t>
      </w:r>
      <w:r>
        <w:rPr>
          <w:rFonts w:ascii="Times New Roman"/>
          <w:color w:val="231F20"/>
          <w:spacing w:val="-6"/>
          <w:w w:val="105"/>
          <w:sz w:val="22"/>
        </w:rPr>
        <w:t> </w:t>
      </w:r>
      <w:r>
        <w:rPr>
          <w:rFonts w:ascii="Times New Roman"/>
          <w:color w:val="231F20"/>
          <w:w w:val="105"/>
          <w:sz w:val="22"/>
        </w:rPr>
        <w:t>de</w:t>
      </w:r>
      <w:r>
        <w:rPr>
          <w:rFonts w:ascii="Times New Roman"/>
          <w:color w:val="231F20"/>
          <w:spacing w:val="-6"/>
          <w:w w:val="105"/>
          <w:sz w:val="22"/>
        </w:rPr>
        <w:t> </w:t>
      </w:r>
      <w:r>
        <w:rPr>
          <w:rFonts w:ascii="Times New Roman"/>
          <w:color w:val="231F20"/>
          <w:w w:val="105"/>
          <w:sz w:val="22"/>
        </w:rPr>
        <w:t>las</w:t>
      </w:r>
      <w:r>
        <w:rPr>
          <w:rFonts w:ascii="Times New Roman"/>
          <w:color w:val="231F20"/>
          <w:spacing w:val="-6"/>
          <w:w w:val="105"/>
          <w:sz w:val="22"/>
        </w:rPr>
        <w:t> </w:t>
      </w:r>
      <w:r>
        <w:rPr>
          <w:rFonts w:ascii="Times New Roman"/>
          <w:color w:val="231F20"/>
          <w:w w:val="105"/>
          <w:sz w:val="22"/>
        </w:rPr>
        <w:t>personas,</w:t>
      </w:r>
      <w:r>
        <w:rPr>
          <w:rFonts w:ascii="Times New Roman"/>
          <w:color w:val="231F20"/>
          <w:spacing w:val="-6"/>
          <w:w w:val="105"/>
          <w:sz w:val="22"/>
        </w:rPr>
        <w:t> </w:t>
      </w:r>
      <w:r>
        <w:rPr>
          <w:rFonts w:ascii="Times New Roman"/>
          <w:color w:val="231F20"/>
          <w:w w:val="105"/>
          <w:sz w:val="22"/>
        </w:rPr>
        <w:t>asegu- rando</w:t>
      </w:r>
      <w:r>
        <w:rPr>
          <w:rFonts w:ascii="Times New Roman"/>
          <w:color w:val="231F20"/>
          <w:spacing w:val="-11"/>
          <w:w w:val="105"/>
          <w:sz w:val="22"/>
        </w:rPr>
        <w:t> </w:t>
      </w:r>
      <w:r>
        <w:rPr>
          <w:rFonts w:ascii="Times New Roman"/>
          <w:color w:val="231F20"/>
          <w:w w:val="105"/>
          <w:sz w:val="22"/>
        </w:rPr>
        <w:t>y</w:t>
      </w:r>
      <w:r>
        <w:rPr>
          <w:rFonts w:ascii="Times New Roman"/>
          <w:color w:val="231F20"/>
          <w:spacing w:val="-11"/>
          <w:w w:val="105"/>
          <w:sz w:val="22"/>
        </w:rPr>
        <w:t> </w:t>
      </w:r>
      <w:r>
        <w:rPr>
          <w:rFonts w:ascii="Times New Roman"/>
          <w:color w:val="231F20"/>
          <w:w w:val="105"/>
          <w:sz w:val="22"/>
        </w:rPr>
        <w:t>fomentando</w:t>
      </w:r>
      <w:r>
        <w:rPr>
          <w:rFonts w:ascii="Times New Roman"/>
          <w:color w:val="231F20"/>
          <w:spacing w:val="-11"/>
          <w:w w:val="105"/>
          <w:sz w:val="22"/>
        </w:rPr>
        <w:t> </w:t>
      </w:r>
      <w:r>
        <w:rPr>
          <w:rFonts w:ascii="Times New Roman"/>
          <w:color w:val="231F20"/>
          <w:w w:val="105"/>
          <w:sz w:val="22"/>
        </w:rPr>
        <w:t>la</w:t>
      </w:r>
      <w:r>
        <w:rPr>
          <w:rFonts w:ascii="Times New Roman"/>
          <w:color w:val="231F20"/>
          <w:spacing w:val="-11"/>
          <w:w w:val="105"/>
          <w:sz w:val="22"/>
        </w:rPr>
        <w:t> </w:t>
      </w:r>
      <w:r>
        <w:rPr>
          <w:rFonts w:ascii="Times New Roman"/>
          <w:color w:val="231F20"/>
          <w:w w:val="105"/>
          <w:sz w:val="22"/>
        </w:rPr>
        <w:t>vida</w:t>
      </w:r>
      <w:r>
        <w:rPr>
          <w:rFonts w:ascii="Times New Roman"/>
          <w:color w:val="231F20"/>
          <w:spacing w:val="-11"/>
          <w:w w:val="105"/>
          <w:sz w:val="22"/>
        </w:rPr>
        <w:t> </w:t>
      </w:r>
      <w:r>
        <w:rPr>
          <w:rFonts w:ascii="Times New Roman"/>
          <w:color w:val="231F20"/>
          <w:w w:val="105"/>
          <w:sz w:val="22"/>
        </w:rPr>
        <w:t>digna,</w:t>
      </w:r>
      <w:r>
        <w:rPr>
          <w:rFonts w:ascii="Times New Roman"/>
          <w:color w:val="231F20"/>
          <w:spacing w:val="-11"/>
          <w:w w:val="105"/>
          <w:sz w:val="22"/>
        </w:rPr>
        <w:t> </w:t>
      </w:r>
      <w:r>
        <w:rPr>
          <w:rFonts w:ascii="Times New Roman"/>
          <w:color w:val="231F20"/>
          <w:w w:val="105"/>
          <w:sz w:val="22"/>
        </w:rPr>
        <w:t>la</w:t>
      </w:r>
      <w:r>
        <w:rPr>
          <w:rFonts w:ascii="Times New Roman"/>
          <w:color w:val="231F20"/>
          <w:spacing w:val="-11"/>
          <w:w w:val="105"/>
          <w:sz w:val="22"/>
        </w:rPr>
        <w:t> </w:t>
      </w:r>
      <w:r>
        <w:rPr>
          <w:rFonts w:ascii="Times New Roman"/>
          <w:color w:val="231F20"/>
          <w:w w:val="105"/>
          <w:sz w:val="22"/>
        </w:rPr>
        <w:t>cultura</w:t>
      </w:r>
      <w:r>
        <w:rPr>
          <w:rFonts w:ascii="Times New Roman"/>
          <w:color w:val="231F20"/>
          <w:spacing w:val="-11"/>
          <w:w w:val="105"/>
          <w:sz w:val="22"/>
        </w:rPr>
        <w:t> </w:t>
      </w:r>
      <w:r>
        <w:rPr>
          <w:rFonts w:ascii="Times New Roman"/>
          <w:color w:val="231F20"/>
          <w:w w:val="105"/>
          <w:sz w:val="22"/>
        </w:rPr>
        <w:t>de</w:t>
      </w:r>
      <w:r>
        <w:rPr>
          <w:rFonts w:ascii="Times New Roman"/>
          <w:color w:val="231F20"/>
          <w:spacing w:val="-11"/>
          <w:w w:val="105"/>
          <w:sz w:val="22"/>
        </w:rPr>
        <w:t> </w:t>
      </w:r>
      <w:r>
        <w:rPr>
          <w:rFonts w:ascii="Times New Roman"/>
          <w:color w:val="231F20"/>
          <w:w w:val="105"/>
          <w:sz w:val="22"/>
        </w:rPr>
        <w:t>los</w:t>
      </w:r>
      <w:r>
        <w:rPr>
          <w:rFonts w:ascii="Times New Roman"/>
          <w:color w:val="231F20"/>
          <w:spacing w:val="-11"/>
          <w:w w:val="105"/>
          <w:sz w:val="22"/>
        </w:rPr>
        <w:t> </w:t>
      </w:r>
      <w:r>
        <w:rPr>
          <w:rFonts w:ascii="Times New Roman"/>
          <w:color w:val="231F20"/>
          <w:w w:val="105"/>
          <w:sz w:val="22"/>
        </w:rPr>
        <w:t>derechos</w:t>
      </w:r>
      <w:r>
        <w:rPr>
          <w:rFonts w:ascii="Times New Roman"/>
          <w:color w:val="231F20"/>
          <w:spacing w:val="-11"/>
          <w:w w:val="105"/>
          <w:sz w:val="22"/>
        </w:rPr>
        <w:t> </w:t>
      </w:r>
      <w:r>
        <w:rPr>
          <w:rFonts w:ascii="Times New Roman"/>
          <w:color w:val="231F20"/>
          <w:w w:val="105"/>
          <w:sz w:val="22"/>
        </w:rPr>
        <w:t>humanos,</w:t>
      </w:r>
      <w:r>
        <w:rPr>
          <w:rFonts w:ascii="Times New Roman"/>
          <w:color w:val="231F20"/>
          <w:spacing w:val="-11"/>
          <w:w w:val="105"/>
          <w:sz w:val="22"/>
        </w:rPr>
        <w:t> </w:t>
      </w:r>
      <w:r>
        <w:rPr>
          <w:rFonts w:ascii="Times New Roman"/>
          <w:color w:val="231F20"/>
          <w:w w:val="105"/>
          <w:sz w:val="22"/>
        </w:rPr>
        <w:t>el</w:t>
      </w:r>
      <w:r>
        <w:rPr>
          <w:rFonts w:ascii="Times New Roman"/>
          <w:color w:val="231F20"/>
          <w:spacing w:val="-11"/>
          <w:w w:val="105"/>
          <w:sz w:val="22"/>
        </w:rPr>
        <w:t> </w:t>
      </w:r>
      <w:r>
        <w:rPr>
          <w:rFonts w:ascii="Times New Roman"/>
          <w:color w:val="231F20"/>
          <w:w w:val="105"/>
          <w:sz w:val="22"/>
        </w:rPr>
        <w:t>respeto</w:t>
      </w:r>
    </w:p>
    <w:p>
      <w:pPr>
        <w:spacing w:after="0" w:line="285" w:lineRule="auto"/>
        <w:jc w:val="both"/>
        <w:rPr>
          <w:rFonts w:ascii="Times New Roman"/>
          <w:sz w:val="22"/>
        </w:rPr>
        <w:sectPr>
          <w:footerReference w:type="default" r:id="rId1131"/>
          <w:pgSz w:w="9640" w:h="12190"/>
          <w:pgMar w:footer="743" w:header="0" w:top="1120" w:bottom="940" w:left="1300" w:right="740"/>
          <w:pgNumType w:start="440"/>
        </w:sectPr>
      </w:pPr>
    </w:p>
    <w:p>
      <w:pPr>
        <w:pStyle w:val="BodyText"/>
        <w:spacing w:before="3"/>
        <w:rPr>
          <w:sz w:val="11"/>
        </w:rPr>
      </w:pPr>
    </w:p>
    <w:p>
      <w:pPr>
        <w:pStyle w:val="BodyText"/>
        <w:spacing w:line="285" w:lineRule="auto" w:before="36"/>
        <w:ind w:left="677" w:right="-2"/>
      </w:pP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tolerancia</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individuos,</w:t>
      </w:r>
      <w:r>
        <w:rPr>
          <w:color w:val="231F20"/>
          <w:spacing w:val="-12"/>
          <w:w w:val="105"/>
        </w:rPr>
        <w:t> </w:t>
      </w:r>
      <w:r>
        <w:rPr>
          <w:color w:val="231F20"/>
          <w:w w:val="105"/>
        </w:rPr>
        <w:t>y</w:t>
      </w:r>
      <w:r>
        <w:rPr>
          <w:color w:val="231F20"/>
          <w:spacing w:val="-12"/>
          <w:w w:val="105"/>
        </w:rPr>
        <w:t> </w:t>
      </w:r>
      <w:r>
        <w:rPr>
          <w:color w:val="231F20"/>
          <w:w w:val="105"/>
        </w:rPr>
        <w:t>apoyando</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organizaciones</w:t>
      </w:r>
      <w:r>
        <w:rPr>
          <w:color w:val="231F20"/>
          <w:spacing w:val="-12"/>
          <w:w w:val="105"/>
        </w:rPr>
        <w:t> </w:t>
      </w:r>
      <w:r>
        <w:rPr>
          <w:color w:val="231F20"/>
          <w:w w:val="105"/>
        </w:rPr>
        <w:t>sociales</w:t>
      </w:r>
      <w:r>
        <w:rPr>
          <w:color w:val="231F20"/>
          <w:spacing w:val="-12"/>
          <w:w w:val="105"/>
        </w:rPr>
        <w:t> </w:t>
      </w:r>
      <w:r>
        <w:rPr>
          <w:color w:val="231F20"/>
          <w:w w:val="105"/>
        </w:rPr>
        <w:t>que impulsan</w:t>
      </w:r>
      <w:r>
        <w:rPr>
          <w:color w:val="231F20"/>
          <w:spacing w:val="-11"/>
          <w:w w:val="105"/>
        </w:rPr>
        <w:t> </w:t>
      </w:r>
      <w:r>
        <w:rPr>
          <w:color w:val="231F20"/>
          <w:w w:val="105"/>
        </w:rPr>
        <w:t>la</w:t>
      </w:r>
      <w:r>
        <w:rPr>
          <w:color w:val="231F20"/>
          <w:spacing w:val="-11"/>
          <w:w w:val="105"/>
        </w:rPr>
        <w:t> </w:t>
      </w:r>
      <w:r>
        <w:rPr>
          <w:color w:val="231F20"/>
          <w:w w:val="105"/>
        </w:rPr>
        <w:t>defensa,</w:t>
      </w:r>
      <w:r>
        <w:rPr>
          <w:color w:val="231F20"/>
          <w:spacing w:val="-11"/>
          <w:w w:val="105"/>
        </w:rPr>
        <w:t> </w:t>
      </w:r>
      <w:r>
        <w:rPr>
          <w:color w:val="231F20"/>
          <w:w w:val="105"/>
        </w:rPr>
        <w:t>protección</w:t>
      </w:r>
      <w:r>
        <w:rPr>
          <w:color w:val="231F20"/>
          <w:spacing w:val="-11"/>
          <w:w w:val="105"/>
        </w:rPr>
        <w:t> </w:t>
      </w:r>
      <w:r>
        <w:rPr>
          <w:color w:val="231F20"/>
          <w:w w:val="105"/>
        </w:rPr>
        <w:t>y</w:t>
      </w:r>
      <w:r>
        <w:rPr>
          <w:color w:val="231F20"/>
          <w:spacing w:val="-11"/>
          <w:w w:val="105"/>
        </w:rPr>
        <w:t> </w:t>
      </w:r>
      <w:r>
        <w:rPr>
          <w:color w:val="231F20"/>
          <w:w w:val="105"/>
        </w:rPr>
        <w:t>cultura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derechos</w:t>
      </w:r>
      <w:r>
        <w:rPr>
          <w:color w:val="231F20"/>
          <w:spacing w:val="-11"/>
          <w:w w:val="105"/>
        </w:rPr>
        <w:t> </w:t>
      </w:r>
      <w:r>
        <w:rPr>
          <w:color w:val="231F20"/>
          <w:w w:val="105"/>
        </w:rPr>
        <w:t>humanos.</w:t>
      </w:r>
    </w:p>
    <w:p>
      <w:pPr>
        <w:pStyle w:val="ListParagraph"/>
        <w:numPr>
          <w:ilvl w:val="2"/>
          <w:numId w:val="20"/>
        </w:numPr>
        <w:tabs>
          <w:tab w:pos="998"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sz w:val="22"/>
        </w:rPr>
        <w:t>combatir la seguridad pública con estricto apego a la </w:t>
      </w:r>
      <w:r>
        <w:rPr>
          <w:rFonts w:ascii="Times New Roman" w:hAnsi="Times New Roman"/>
          <w:color w:val="231F20"/>
          <w:spacing w:val="-4"/>
          <w:sz w:val="22"/>
        </w:rPr>
        <w:t>ley, </w:t>
      </w:r>
      <w:r>
        <w:rPr>
          <w:rFonts w:ascii="Times New Roman" w:hAnsi="Times New Roman"/>
          <w:color w:val="231F20"/>
          <w:sz w:val="22"/>
        </w:rPr>
        <w:t>erradicando la impu- nidad y la corrupción mediante la profesionalización de los cuerpos de seguridad; creando las condiciones y aplicando los métodos y programas de estudio para hacerlos más humanos, dignos y eficientes, promoviendo la participación   </w:t>
      </w:r>
      <w:r>
        <w:rPr>
          <w:rFonts w:ascii="Times New Roman" w:hAnsi="Times New Roman"/>
          <w:color w:val="231F20"/>
          <w:spacing w:val="11"/>
          <w:sz w:val="22"/>
        </w:rPr>
        <w:t> </w:t>
      </w:r>
      <w:r>
        <w:rPr>
          <w:rFonts w:ascii="Times New Roman" w:hAnsi="Times New Roman"/>
          <w:color w:val="231F20"/>
          <w:sz w:val="22"/>
        </w:rPr>
        <w:t>social.</w:t>
      </w:r>
    </w:p>
    <w:p>
      <w:pPr>
        <w:pStyle w:val="BodyText"/>
        <w:spacing w:before="1"/>
        <w:rPr>
          <w:sz w:val="26"/>
        </w:rPr>
      </w:pPr>
    </w:p>
    <w:p>
      <w:pPr>
        <w:pStyle w:val="BodyText"/>
        <w:spacing w:line="285" w:lineRule="auto"/>
        <w:ind w:left="110" w:right="108"/>
        <w:jc w:val="both"/>
      </w:pPr>
      <w:r>
        <w:rPr>
          <w:color w:val="231F20"/>
          <w:spacing w:val="-5"/>
          <w:w w:val="105"/>
        </w:rPr>
        <w:t>Todos</w:t>
      </w:r>
      <w:r>
        <w:rPr>
          <w:color w:val="231F20"/>
          <w:spacing w:val="-10"/>
          <w:w w:val="105"/>
        </w:rPr>
        <w:t> </w:t>
      </w:r>
      <w:r>
        <w:rPr>
          <w:color w:val="231F20"/>
          <w:w w:val="105"/>
        </w:rPr>
        <w:t>estas</w:t>
      </w:r>
      <w:r>
        <w:rPr>
          <w:color w:val="231F20"/>
          <w:spacing w:val="-10"/>
          <w:w w:val="105"/>
        </w:rPr>
        <w:t> </w:t>
      </w:r>
      <w:r>
        <w:rPr>
          <w:color w:val="231F20"/>
          <w:w w:val="105"/>
        </w:rPr>
        <w:t>acciones</w:t>
      </w:r>
      <w:r>
        <w:rPr>
          <w:color w:val="231F20"/>
          <w:spacing w:val="-10"/>
          <w:w w:val="105"/>
        </w:rPr>
        <w:t> </w:t>
      </w:r>
      <w:r>
        <w:rPr>
          <w:color w:val="231F20"/>
          <w:w w:val="105"/>
        </w:rPr>
        <w:t>fueron</w:t>
      </w:r>
      <w:r>
        <w:rPr>
          <w:color w:val="231F20"/>
          <w:spacing w:val="-10"/>
          <w:w w:val="105"/>
        </w:rPr>
        <w:t> </w:t>
      </w:r>
      <w:r>
        <w:rPr>
          <w:color w:val="231F20"/>
          <w:w w:val="105"/>
        </w:rPr>
        <w:t>atendidas</w:t>
      </w:r>
      <w:r>
        <w:rPr>
          <w:color w:val="231F20"/>
          <w:spacing w:val="-10"/>
          <w:w w:val="105"/>
        </w:rPr>
        <w:t> </w:t>
      </w:r>
      <w:r>
        <w:rPr>
          <w:color w:val="231F20"/>
          <w:spacing w:val="-3"/>
          <w:w w:val="105"/>
        </w:rPr>
        <w:t>(aunque</w:t>
      </w:r>
      <w:r>
        <w:rPr>
          <w:color w:val="231F20"/>
          <w:spacing w:val="-10"/>
          <w:w w:val="105"/>
        </w:rPr>
        <w:t> </w:t>
      </w:r>
      <w:r>
        <w:rPr>
          <w:color w:val="231F20"/>
          <w:w w:val="105"/>
        </w:rPr>
        <w:t>no</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totalidad)</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Gobierno</w:t>
      </w:r>
      <w:r>
        <w:rPr>
          <w:color w:val="231F20"/>
          <w:spacing w:val="-10"/>
          <w:w w:val="105"/>
        </w:rPr>
        <w:t> </w:t>
      </w:r>
      <w:r>
        <w:rPr>
          <w:color w:val="231F20"/>
          <w:spacing w:val="-3"/>
          <w:w w:val="105"/>
        </w:rPr>
        <w:t>Mu- </w:t>
      </w:r>
      <w:r>
        <w:rPr>
          <w:color w:val="231F20"/>
          <w:w w:val="105"/>
        </w:rPr>
        <w:t>nicipal de Chalco </w:t>
      </w:r>
      <w:r>
        <w:rPr>
          <w:color w:val="231F20"/>
          <w:spacing w:val="2"/>
          <w:w w:val="105"/>
        </w:rPr>
        <w:t>2006-2009 </w:t>
      </w:r>
      <w:r>
        <w:rPr>
          <w:color w:val="231F20"/>
          <w:w w:val="105"/>
        </w:rPr>
        <w:t>hasta agosto del </w:t>
      </w:r>
      <w:r>
        <w:rPr>
          <w:color w:val="231F20"/>
          <w:spacing w:val="3"/>
          <w:w w:val="105"/>
        </w:rPr>
        <w:t>2008, </w:t>
      </w:r>
      <w:r>
        <w:rPr>
          <w:color w:val="231F20"/>
          <w:w w:val="105"/>
        </w:rPr>
        <w:t>de acuerdo con sus primeros dos informes de</w:t>
      </w:r>
      <w:r>
        <w:rPr>
          <w:color w:val="231F20"/>
          <w:spacing w:val="-25"/>
          <w:w w:val="105"/>
        </w:rPr>
        <w:t> </w:t>
      </w:r>
      <w:r>
        <w:rPr>
          <w:color w:val="231F20"/>
          <w:spacing w:val="-3"/>
          <w:w w:val="105"/>
        </w:rPr>
        <w:t>gobierno.</w:t>
      </w:r>
    </w:p>
    <w:p>
      <w:pPr>
        <w:pStyle w:val="BodyText"/>
        <w:spacing w:before="1"/>
        <w:rPr>
          <w:sz w:val="26"/>
        </w:rPr>
      </w:pPr>
    </w:p>
    <w:p>
      <w:pPr>
        <w:pStyle w:val="BodyText"/>
        <w:spacing w:line="285" w:lineRule="auto"/>
        <w:ind w:left="110" w:right="107"/>
        <w:jc w:val="both"/>
      </w:pPr>
      <w:r>
        <w:rPr>
          <w:color w:val="231F20"/>
        </w:rPr>
        <w:t>Ahora bien, el artículo 115, fracción II de la Constitución Política de los Estados Unidos Mexicanos y el artículo 160 de la Ley Orgánica Municipal regulan la expedición del Bando Municipal. En el caso de Chalco existe también un Bando Municipal que tiene superioridad jerárquica frente a los demás reglamentos    municipales.</w:t>
      </w:r>
    </w:p>
    <w:p>
      <w:pPr>
        <w:pStyle w:val="BodyText"/>
        <w:spacing w:before="1"/>
        <w:rPr>
          <w:sz w:val="26"/>
        </w:rPr>
      </w:pPr>
    </w:p>
    <w:p>
      <w:pPr>
        <w:pStyle w:val="BodyText"/>
        <w:spacing w:line="285" w:lineRule="auto"/>
        <w:ind w:left="110" w:right="109"/>
        <w:jc w:val="both"/>
      </w:pPr>
      <w:r>
        <w:rPr>
          <w:color w:val="231F20"/>
          <w:w w:val="105"/>
        </w:rPr>
        <w:t>Así</w:t>
      </w:r>
      <w:r>
        <w:rPr>
          <w:color w:val="231F20"/>
          <w:spacing w:val="-28"/>
          <w:w w:val="105"/>
        </w:rPr>
        <w:t> </w:t>
      </w:r>
      <w:r>
        <w:rPr>
          <w:color w:val="231F20"/>
          <w:w w:val="105"/>
        </w:rPr>
        <w:t>para</w:t>
      </w:r>
      <w:r>
        <w:rPr>
          <w:color w:val="231F20"/>
          <w:spacing w:val="-28"/>
          <w:w w:val="105"/>
        </w:rPr>
        <w:t> </w:t>
      </w:r>
      <w:r>
        <w:rPr>
          <w:color w:val="231F20"/>
          <w:w w:val="105"/>
        </w:rPr>
        <w:t>la</w:t>
      </w:r>
      <w:r>
        <w:rPr>
          <w:color w:val="231F20"/>
          <w:spacing w:val="-28"/>
          <w:w w:val="105"/>
        </w:rPr>
        <w:t> </w:t>
      </w:r>
      <w:r>
        <w:rPr>
          <w:color w:val="231F20"/>
          <w:w w:val="105"/>
        </w:rPr>
        <w:t>prestación</w:t>
      </w:r>
      <w:r>
        <w:rPr>
          <w:color w:val="231F20"/>
          <w:spacing w:val="-28"/>
          <w:w w:val="105"/>
        </w:rPr>
        <w:t> </w:t>
      </w:r>
      <w:r>
        <w:rPr>
          <w:color w:val="231F20"/>
          <w:w w:val="105"/>
        </w:rPr>
        <w:t>y</w:t>
      </w:r>
      <w:r>
        <w:rPr>
          <w:color w:val="231F20"/>
          <w:spacing w:val="-28"/>
          <w:w w:val="105"/>
        </w:rPr>
        <w:t> </w:t>
      </w:r>
      <w:r>
        <w:rPr>
          <w:color w:val="231F20"/>
          <w:w w:val="105"/>
        </w:rPr>
        <w:t>regulación</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diferentes</w:t>
      </w:r>
      <w:r>
        <w:rPr>
          <w:color w:val="231F20"/>
          <w:spacing w:val="-28"/>
          <w:w w:val="105"/>
        </w:rPr>
        <w:t> </w:t>
      </w:r>
      <w:r>
        <w:rPr>
          <w:color w:val="231F20"/>
          <w:w w:val="105"/>
        </w:rPr>
        <w:t>servicios</w:t>
      </w:r>
      <w:r>
        <w:rPr>
          <w:color w:val="231F20"/>
          <w:spacing w:val="-28"/>
          <w:w w:val="105"/>
        </w:rPr>
        <w:t> </w:t>
      </w:r>
      <w:r>
        <w:rPr>
          <w:color w:val="231F20"/>
          <w:w w:val="105"/>
        </w:rPr>
        <w:t>públicos</w:t>
      </w:r>
      <w:r>
        <w:rPr>
          <w:color w:val="231F20"/>
          <w:spacing w:val="-28"/>
          <w:w w:val="105"/>
        </w:rPr>
        <w:t> </w:t>
      </w:r>
      <w:r>
        <w:rPr>
          <w:color w:val="231F20"/>
          <w:w w:val="105"/>
        </w:rPr>
        <w:t>el</w:t>
      </w:r>
      <w:r>
        <w:rPr>
          <w:color w:val="231F20"/>
          <w:spacing w:val="-28"/>
          <w:w w:val="105"/>
        </w:rPr>
        <w:t> </w:t>
      </w:r>
      <w:r>
        <w:rPr>
          <w:color w:val="231F20"/>
          <w:w w:val="105"/>
        </w:rPr>
        <w:t>Municipio</w:t>
      </w:r>
      <w:r>
        <w:rPr>
          <w:color w:val="231F20"/>
          <w:spacing w:val="-28"/>
          <w:w w:val="105"/>
        </w:rPr>
        <w:t> </w:t>
      </w:r>
      <w:r>
        <w:rPr>
          <w:color w:val="231F20"/>
          <w:w w:val="105"/>
        </w:rPr>
        <w:t>tiene los</w:t>
      </w:r>
      <w:r>
        <w:rPr>
          <w:color w:val="231F20"/>
          <w:spacing w:val="-25"/>
          <w:w w:val="105"/>
        </w:rPr>
        <w:t> </w:t>
      </w:r>
      <w:r>
        <w:rPr>
          <w:color w:val="231F20"/>
          <w:w w:val="105"/>
        </w:rPr>
        <w:t>reglamentos</w:t>
      </w:r>
      <w:r>
        <w:rPr>
          <w:color w:val="231F20"/>
          <w:spacing w:val="-25"/>
          <w:w w:val="105"/>
        </w:rPr>
        <w:t> </w:t>
      </w:r>
      <w:r>
        <w:rPr>
          <w:color w:val="231F20"/>
          <w:w w:val="105"/>
        </w:rPr>
        <w:t>de:</w:t>
      </w:r>
    </w:p>
    <w:p>
      <w:pPr>
        <w:pStyle w:val="BodyText"/>
        <w:spacing w:line="285" w:lineRule="auto" w:before="1"/>
        <w:ind w:left="677" w:right="3205"/>
      </w:pPr>
      <w:r>
        <w:rPr>
          <w:color w:val="231F20"/>
        </w:rPr>
        <w:t>Alcantarillado, Agua Potable y Saneamiento Administración  Pública  Municipal</w:t>
      </w:r>
    </w:p>
    <w:p>
      <w:pPr>
        <w:pStyle w:val="BodyText"/>
        <w:spacing w:before="1"/>
        <w:ind w:left="677"/>
        <w:jc w:val="both"/>
      </w:pPr>
      <w:r>
        <w:rPr>
          <w:color w:val="231F20"/>
          <w:w w:val="105"/>
        </w:rPr>
        <w:t>Servicio de Alumbrado Público Municipal</w:t>
      </w:r>
    </w:p>
    <w:p>
      <w:pPr>
        <w:pStyle w:val="BodyText"/>
        <w:spacing w:line="285" w:lineRule="auto" w:before="47"/>
        <w:ind w:left="677" w:right="-2"/>
      </w:pPr>
      <w:r>
        <w:rPr>
          <w:color w:val="231F20"/>
          <w:w w:val="105"/>
        </w:rPr>
        <w:t>Comercio,</w:t>
      </w:r>
      <w:r>
        <w:rPr>
          <w:color w:val="231F20"/>
          <w:spacing w:val="-19"/>
          <w:w w:val="105"/>
        </w:rPr>
        <w:t> </w:t>
      </w:r>
      <w:r>
        <w:rPr>
          <w:color w:val="231F20"/>
          <w:w w:val="105"/>
        </w:rPr>
        <w:t>Industria</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w w:val="105"/>
        </w:rPr>
        <w:t>Prestación</w:t>
      </w:r>
      <w:r>
        <w:rPr>
          <w:color w:val="231F20"/>
          <w:spacing w:val="-19"/>
          <w:w w:val="105"/>
        </w:rPr>
        <w:t> </w:t>
      </w:r>
      <w:r>
        <w:rPr>
          <w:color w:val="231F20"/>
          <w:w w:val="105"/>
        </w:rPr>
        <w:t>de</w:t>
      </w:r>
      <w:r>
        <w:rPr>
          <w:color w:val="231F20"/>
          <w:spacing w:val="-19"/>
          <w:w w:val="105"/>
        </w:rPr>
        <w:t> </w:t>
      </w:r>
      <w:r>
        <w:rPr>
          <w:color w:val="231F20"/>
          <w:w w:val="105"/>
        </w:rPr>
        <w:t>Servicios</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de</w:t>
      </w:r>
      <w:r>
        <w:rPr>
          <w:color w:val="231F20"/>
          <w:spacing w:val="-19"/>
          <w:w w:val="105"/>
        </w:rPr>
        <w:t> </w:t>
      </w:r>
      <w:r>
        <w:rPr>
          <w:color w:val="231F20"/>
          <w:w w:val="105"/>
        </w:rPr>
        <w:t>Chalco</w:t>
      </w:r>
      <w:r>
        <w:rPr>
          <w:color w:val="231F20"/>
          <w:spacing w:val="-19"/>
          <w:w w:val="105"/>
        </w:rPr>
        <w:t> </w:t>
      </w:r>
      <w:r>
        <w:rPr>
          <w:color w:val="231F20"/>
          <w:w w:val="105"/>
        </w:rPr>
        <w:t>Estado </w:t>
      </w:r>
      <w:r>
        <w:rPr>
          <w:color w:val="231F20"/>
        </w:rPr>
        <w:t>de</w:t>
      </w:r>
      <w:r>
        <w:rPr>
          <w:color w:val="231F20"/>
          <w:spacing w:val="8"/>
        </w:rPr>
        <w:t> </w:t>
      </w:r>
      <w:r>
        <w:rPr>
          <w:color w:val="231F20"/>
        </w:rPr>
        <w:t>México.</w:t>
      </w:r>
    </w:p>
    <w:p>
      <w:pPr>
        <w:pStyle w:val="BodyText"/>
        <w:spacing w:line="285" w:lineRule="auto" w:before="1"/>
        <w:ind w:left="677" w:right="1712"/>
      </w:pPr>
      <w:r>
        <w:rPr>
          <w:color w:val="231F20"/>
          <w:w w:val="105"/>
        </w:rPr>
        <w:t>Protección</w:t>
      </w:r>
      <w:r>
        <w:rPr>
          <w:color w:val="231F20"/>
          <w:spacing w:val="-25"/>
          <w:w w:val="105"/>
        </w:rPr>
        <w:t> </w:t>
      </w:r>
      <w:r>
        <w:rPr>
          <w:color w:val="231F20"/>
          <w:spacing w:val="2"/>
          <w:w w:val="105"/>
        </w:rPr>
        <w:t>al</w:t>
      </w:r>
      <w:r>
        <w:rPr>
          <w:color w:val="231F20"/>
          <w:spacing w:val="-25"/>
          <w:w w:val="105"/>
        </w:rPr>
        <w:t> </w:t>
      </w:r>
      <w:r>
        <w:rPr>
          <w:color w:val="231F20"/>
          <w:w w:val="105"/>
        </w:rPr>
        <w:t>Ambiente</w:t>
      </w:r>
      <w:r>
        <w:rPr>
          <w:color w:val="231F20"/>
          <w:spacing w:val="-25"/>
          <w:w w:val="105"/>
        </w:rPr>
        <w:t> </w:t>
      </w:r>
      <w:r>
        <w:rPr>
          <w:color w:val="231F20"/>
          <w:w w:val="105"/>
        </w:rPr>
        <w:t>Público</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w w:val="105"/>
        </w:rPr>
        <w:t>Prevención</w:t>
      </w:r>
      <w:r>
        <w:rPr>
          <w:color w:val="231F20"/>
          <w:spacing w:val="-25"/>
          <w:w w:val="105"/>
        </w:rPr>
        <w:t> </w:t>
      </w:r>
      <w:r>
        <w:rPr>
          <w:color w:val="231F20"/>
          <w:w w:val="105"/>
        </w:rPr>
        <w:t>Ecológica Mercados</w:t>
      </w:r>
      <w:r>
        <w:rPr>
          <w:color w:val="231F20"/>
          <w:spacing w:val="-18"/>
          <w:w w:val="105"/>
        </w:rPr>
        <w:t> </w:t>
      </w:r>
      <w:r>
        <w:rPr>
          <w:color w:val="231F20"/>
          <w:w w:val="105"/>
        </w:rPr>
        <w:t>y</w:t>
      </w:r>
      <w:r>
        <w:rPr>
          <w:color w:val="231F20"/>
          <w:spacing w:val="-18"/>
          <w:w w:val="105"/>
        </w:rPr>
        <w:t> </w:t>
      </w:r>
      <w:r>
        <w:rPr>
          <w:color w:val="231F20"/>
          <w:w w:val="105"/>
        </w:rPr>
        <w:t>Comercio</w:t>
      </w:r>
      <w:r>
        <w:rPr>
          <w:color w:val="231F20"/>
          <w:spacing w:val="-18"/>
          <w:w w:val="105"/>
        </w:rPr>
        <w:t> </w:t>
      </w:r>
      <w:r>
        <w:rPr>
          <w:color w:val="231F20"/>
          <w:w w:val="105"/>
        </w:rPr>
        <w:t>Ambulante</w:t>
      </w:r>
    </w:p>
    <w:p>
      <w:pPr>
        <w:pStyle w:val="BodyText"/>
        <w:spacing w:line="285" w:lineRule="auto" w:before="1"/>
        <w:ind w:left="677" w:right="4672"/>
      </w:pPr>
      <w:r>
        <w:rPr>
          <w:color w:val="231F20"/>
          <w:w w:val="105"/>
        </w:rPr>
        <w:t>Municipal de Protección Civil Servicios Público de Limpia</w:t>
      </w:r>
    </w:p>
    <w:p>
      <w:pPr>
        <w:pStyle w:val="BodyText"/>
        <w:spacing w:line="285" w:lineRule="auto" w:before="1"/>
        <w:ind w:left="677" w:right="1387"/>
      </w:pPr>
      <w:r>
        <w:rPr>
          <w:color w:val="231F20"/>
          <w:w w:val="105"/>
        </w:rPr>
        <w:t>Tránsito y Transporte del Municipio de Chalco Estado de México Interior del Ayuntamiento</w:t>
      </w:r>
    </w:p>
    <w:p>
      <w:pPr>
        <w:pStyle w:val="BodyText"/>
        <w:spacing w:before="1"/>
        <w:ind w:left="677"/>
        <w:jc w:val="both"/>
      </w:pPr>
      <w:r>
        <w:rPr>
          <w:color w:val="231F20"/>
          <w:w w:val="105"/>
        </w:rPr>
        <w:t>Servicio Público de Panteones</w:t>
      </w:r>
    </w:p>
    <w:p>
      <w:pPr>
        <w:pStyle w:val="BodyText"/>
        <w:spacing w:before="47"/>
        <w:ind w:left="677"/>
        <w:jc w:val="both"/>
      </w:pPr>
      <w:r>
        <w:rPr>
          <w:color w:val="231F20"/>
          <w:w w:val="105"/>
        </w:rPr>
        <w:t>Municipal de Seguridad Pública de Chalco Estado de México.</w:t>
      </w:r>
    </w:p>
    <w:p>
      <w:pPr>
        <w:spacing w:after="0"/>
        <w:jc w:val="both"/>
        <w:sectPr>
          <w:pgSz w:w="9640" w:h="12190"/>
          <w:pgMar w:header="0" w:footer="743" w:top="1120" w:bottom="940" w:left="740" w:right="740"/>
        </w:sectPr>
      </w:pPr>
    </w:p>
    <w:p>
      <w:pPr>
        <w:pStyle w:val="BodyText"/>
        <w:spacing w:before="3"/>
        <w:rPr>
          <w:sz w:val="11"/>
        </w:rPr>
      </w:pPr>
    </w:p>
    <w:p>
      <w:pPr>
        <w:pStyle w:val="BodyText"/>
        <w:spacing w:before="36"/>
        <w:ind w:left="677" w:right="574"/>
      </w:pPr>
      <w:r>
        <w:rPr>
          <w:color w:val="231F20"/>
        </w:rPr>
        <w:t>Secretaría de Planeación y Evaluación.</w:t>
      </w:r>
    </w:p>
    <w:p>
      <w:pPr>
        <w:pStyle w:val="BodyText"/>
        <w:spacing w:before="2"/>
        <w:rPr>
          <w:sz w:val="30"/>
        </w:rPr>
      </w:pPr>
    </w:p>
    <w:p>
      <w:pPr>
        <w:pStyle w:val="BodyText"/>
        <w:spacing w:line="285" w:lineRule="auto"/>
        <w:ind w:left="110" w:right="108"/>
        <w:jc w:val="both"/>
      </w:pPr>
      <w:r>
        <w:rPr>
          <w:color w:val="231F20"/>
          <w:spacing w:val="-5"/>
          <w:w w:val="105"/>
        </w:rPr>
        <w:t>Todos</w:t>
      </w:r>
      <w:r>
        <w:rPr>
          <w:color w:val="231F20"/>
          <w:spacing w:val="-7"/>
          <w:w w:val="105"/>
        </w:rPr>
        <w:t> </w:t>
      </w:r>
      <w:r>
        <w:rPr>
          <w:color w:val="231F20"/>
          <w:w w:val="105"/>
        </w:rPr>
        <w:t>los</w:t>
      </w:r>
      <w:r>
        <w:rPr>
          <w:color w:val="231F20"/>
          <w:spacing w:val="-7"/>
          <w:w w:val="105"/>
        </w:rPr>
        <w:t> </w:t>
      </w:r>
      <w:r>
        <w:rPr>
          <w:color w:val="231F20"/>
          <w:w w:val="105"/>
        </w:rPr>
        <w:t>reglamentos</w:t>
      </w:r>
      <w:r>
        <w:rPr>
          <w:color w:val="231F20"/>
          <w:spacing w:val="-7"/>
          <w:w w:val="105"/>
        </w:rPr>
        <w:t> </w:t>
      </w:r>
      <w:r>
        <w:rPr>
          <w:color w:val="231F20"/>
          <w:w w:val="105"/>
        </w:rPr>
        <w:t>anteriores</w:t>
      </w:r>
      <w:r>
        <w:rPr>
          <w:color w:val="231F20"/>
          <w:spacing w:val="-7"/>
          <w:w w:val="105"/>
        </w:rPr>
        <w:t> </w:t>
      </w:r>
      <w:r>
        <w:rPr>
          <w:color w:val="231F20"/>
          <w:w w:val="105"/>
        </w:rPr>
        <w:t>ya</w:t>
      </w:r>
      <w:r>
        <w:rPr>
          <w:color w:val="231F20"/>
          <w:spacing w:val="-7"/>
          <w:w w:val="105"/>
        </w:rPr>
        <w:t> </w:t>
      </w:r>
      <w:r>
        <w:rPr>
          <w:color w:val="231F20"/>
          <w:w w:val="105"/>
        </w:rPr>
        <w:t>existían</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de</w:t>
      </w:r>
      <w:r>
        <w:rPr>
          <w:color w:val="231F20"/>
          <w:spacing w:val="-7"/>
          <w:w w:val="105"/>
        </w:rPr>
        <w:t> </w:t>
      </w:r>
      <w:r>
        <w:rPr>
          <w:color w:val="231F20"/>
          <w:w w:val="105"/>
        </w:rPr>
        <w:t>Chalco</w:t>
      </w:r>
      <w:r>
        <w:rPr>
          <w:color w:val="231F20"/>
          <w:spacing w:val="-7"/>
          <w:w w:val="105"/>
        </w:rPr>
        <w:t> </w:t>
      </w:r>
      <w:r>
        <w:rPr>
          <w:color w:val="231F20"/>
          <w:w w:val="105"/>
        </w:rPr>
        <w:t>con</w:t>
      </w:r>
      <w:r>
        <w:rPr>
          <w:color w:val="231F20"/>
          <w:spacing w:val="-7"/>
          <w:w w:val="105"/>
        </w:rPr>
        <w:t> </w:t>
      </w:r>
      <w:r>
        <w:rPr>
          <w:color w:val="231F20"/>
          <w:w w:val="105"/>
        </w:rPr>
        <w:t>excepción del</w:t>
      </w:r>
      <w:r>
        <w:rPr>
          <w:color w:val="231F20"/>
          <w:spacing w:val="-19"/>
          <w:w w:val="105"/>
        </w:rPr>
        <w:t> </w:t>
      </w:r>
      <w:r>
        <w:rPr>
          <w:color w:val="231F20"/>
          <w:w w:val="105"/>
        </w:rPr>
        <w:t>reglamento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Secretaría</w:t>
      </w:r>
      <w:r>
        <w:rPr>
          <w:color w:val="231F20"/>
          <w:spacing w:val="-19"/>
          <w:w w:val="105"/>
        </w:rPr>
        <w:t> </w:t>
      </w:r>
      <w:r>
        <w:rPr>
          <w:color w:val="231F20"/>
          <w:w w:val="105"/>
        </w:rPr>
        <w:t>de</w:t>
      </w:r>
      <w:r>
        <w:rPr>
          <w:color w:val="231F20"/>
          <w:spacing w:val="-19"/>
          <w:w w:val="105"/>
        </w:rPr>
        <w:t> </w:t>
      </w:r>
      <w:r>
        <w:rPr>
          <w:color w:val="231F20"/>
          <w:w w:val="105"/>
        </w:rPr>
        <w:t>Planeación</w:t>
      </w:r>
      <w:r>
        <w:rPr>
          <w:color w:val="231F20"/>
          <w:spacing w:val="-19"/>
          <w:w w:val="105"/>
        </w:rPr>
        <w:t> </w:t>
      </w:r>
      <w:r>
        <w:rPr>
          <w:color w:val="231F20"/>
          <w:w w:val="105"/>
        </w:rPr>
        <w:t>y</w:t>
      </w:r>
      <w:r>
        <w:rPr>
          <w:color w:val="231F20"/>
          <w:spacing w:val="-19"/>
          <w:w w:val="105"/>
        </w:rPr>
        <w:t> </w:t>
      </w:r>
      <w:r>
        <w:rPr>
          <w:color w:val="231F20"/>
          <w:w w:val="105"/>
        </w:rPr>
        <w:t>Evaluación</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expidió</w:t>
      </w:r>
      <w:r>
        <w:rPr>
          <w:color w:val="231F20"/>
          <w:spacing w:val="-19"/>
          <w:w w:val="105"/>
        </w:rPr>
        <w:t> </w:t>
      </w: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admi- nistración.</w:t>
      </w:r>
    </w:p>
    <w:p>
      <w:pPr>
        <w:pStyle w:val="BodyText"/>
        <w:spacing w:before="10"/>
      </w:pPr>
    </w:p>
    <w:p>
      <w:pPr>
        <w:pStyle w:val="Heading3"/>
      </w:pPr>
      <w:r>
        <w:rPr>
          <w:color w:val="231F20"/>
          <w:w w:val="105"/>
        </w:rPr>
        <w:t>Principales Acciones</w:t>
      </w:r>
    </w:p>
    <w:p>
      <w:pPr>
        <w:pStyle w:val="BodyText"/>
        <w:spacing w:line="285" w:lineRule="auto" w:before="38"/>
        <w:ind w:left="110" w:right="108"/>
        <w:jc w:val="both"/>
      </w:pPr>
      <w:r>
        <w:rPr>
          <w:color w:val="231F20"/>
          <w:w w:val="105"/>
        </w:rPr>
        <w:t>A continuación se presenta un cuadro </w:t>
      </w:r>
      <w:r>
        <w:rPr>
          <w:color w:val="231F20"/>
          <w:spacing w:val="-3"/>
          <w:w w:val="105"/>
        </w:rPr>
        <w:t>donde </w:t>
      </w:r>
      <w:r>
        <w:rPr>
          <w:color w:val="231F20"/>
          <w:w w:val="105"/>
        </w:rPr>
        <w:t>se resumen las principales acciones de la administración de Onofre encontradas en su primer y segundo informe de Gobierno y </w:t>
      </w:r>
      <w:r>
        <w:rPr>
          <w:color w:val="231F20"/>
          <w:spacing w:val="2"/>
          <w:w w:val="105"/>
        </w:rPr>
        <w:t>al</w:t>
      </w:r>
      <w:r>
        <w:rPr>
          <w:color w:val="231F20"/>
          <w:spacing w:val="-18"/>
          <w:w w:val="105"/>
        </w:rPr>
        <w:t> </w:t>
      </w:r>
      <w:r>
        <w:rPr>
          <w:color w:val="231F20"/>
          <w:w w:val="105"/>
        </w:rPr>
        <w:t>mismo</w:t>
      </w:r>
      <w:r>
        <w:rPr>
          <w:color w:val="231F20"/>
          <w:spacing w:val="-18"/>
          <w:w w:val="105"/>
        </w:rPr>
        <w:t> </w:t>
      </w:r>
      <w:r>
        <w:rPr>
          <w:color w:val="231F20"/>
          <w:w w:val="105"/>
        </w:rPr>
        <w:t>tiempo</w:t>
      </w:r>
      <w:r>
        <w:rPr>
          <w:color w:val="231F20"/>
          <w:spacing w:val="-18"/>
          <w:w w:val="105"/>
        </w:rPr>
        <w:t> </w:t>
      </w:r>
      <w:r>
        <w:rPr>
          <w:color w:val="231F20"/>
          <w:w w:val="105"/>
        </w:rPr>
        <w:t>definimos</w:t>
      </w:r>
      <w:r>
        <w:rPr>
          <w:color w:val="231F20"/>
          <w:spacing w:val="-18"/>
          <w:w w:val="105"/>
        </w:rPr>
        <w:t> </w:t>
      </w:r>
      <w:r>
        <w:rPr>
          <w:color w:val="231F20"/>
          <w:w w:val="105"/>
        </w:rPr>
        <w:t>si</w:t>
      </w:r>
      <w:r>
        <w:rPr>
          <w:color w:val="231F20"/>
          <w:spacing w:val="-18"/>
          <w:w w:val="105"/>
        </w:rPr>
        <w:t> </w:t>
      </w:r>
      <w:r>
        <w:rPr>
          <w:color w:val="231F20"/>
          <w:w w:val="105"/>
        </w:rPr>
        <w:t>estaban</w:t>
      </w:r>
      <w:r>
        <w:rPr>
          <w:color w:val="231F20"/>
          <w:spacing w:val="-18"/>
          <w:w w:val="105"/>
        </w:rPr>
        <w:t> </w:t>
      </w:r>
      <w:r>
        <w:rPr>
          <w:color w:val="231F20"/>
          <w:w w:val="105"/>
        </w:rPr>
        <w:t>contempladas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Plan</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Municipal y</w:t>
      </w:r>
      <w:r>
        <w:rPr>
          <w:color w:val="231F20"/>
          <w:spacing w:val="-14"/>
          <w:w w:val="105"/>
        </w:rPr>
        <w:t> </w:t>
      </w:r>
      <w:r>
        <w:rPr>
          <w:color w:val="231F20"/>
          <w:w w:val="105"/>
        </w:rPr>
        <w:t>si</w:t>
      </w:r>
      <w:r>
        <w:rPr>
          <w:color w:val="231F20"/>
          <w:spacing w:val="-14"/>
          <w:w w:val="105"/>
        </w:rPr>
        <w:t> </w:t>
      </w:r>
      <w:r>
        <w:rPr>
          <w:color w:val="231F20"/>
          <w:w w:val="105"/>
        </w:rPr>
        <w:t>el</w:t>
      </w:r>
      <w:r>
        <w:rPr>
          <w:color w:val="231F20"/>
          <w:spacing w:val="-14"/>
          <w:w w:val="105"/>
        </w:rPr>
        <w:t> </w:t>
      </w:r>
      <w:r>
        <w:rPr>
          <w:color w:val="231F20"/>
          <w:w w:val="105"/>
        </w:rPr>
        <w:t>rubro</w:t>
      </w:r>
      <w:r>
        <w:rPr>
          <w:color w:val="231F20"/>
          <w:spacing w:val="-14"/>
          <w:w w:val="105"/>
        </w:rPr>
        <w:t> </w:t>
      </w:r>
      <w:r>
        <w:rPr>
          <w:color w:val="231F20"/>
          <w:w w:val="105"/>
        </w:rPr>
        <w:t>se</w:t>
      </w:r>
      <w:r>
        <w:rPr>
          <w:color w:val="231F20"/>
          <w:spacing w:val="-14"/>
          <w:w w:val="105"/>
        </w:rPr>
        <w:t> </w:t>
      </w:r>
      <w:r>
        <w:rPr>
          <w:color w:val="231F20"/>
          <w:w w:val="105"/>
        </w:rPr>
        <w:t>regula</w:t>
      </w:r>
      <w:r>
        <w:rPr>
          <w:color w:val="231F20"/>
          <w:spacing w:val="-14"/>
          <w:w w:val="105"/>
        </w:rPr>
        <w:t> </w:t>
      </w:r>
      <w:r>
        <w:rPr>
          <w:color w:val="231F20"/>
          <w:w w:val="105"/>
        </w:rPr>
        <w:t>dentro</w:t>
      </w:r>
      <w:r>
        <w:rPr>
          <w:color w:val="231F20"/>
          <w:spacing w:val="-14"/>
          <w:w w:val="105"/>
        </w:rPr>
        <w:t> </w:t>
      </w:r>
      <w:r>
        <w:rPr>
          <w:color w:val="231F20"/>
          <w:w w:val="105"/>
        </w:rPr>
        <w:t>del</w:t>
      </w:r>
      <w:r>
        <w:rPr>
          <w:color w:val="231F20"/>
          <w:spacing w:val="-14"/>
          <w:w w:val="105"/>
        </w:rPr>
        <w:t> </w:t>
      </w:r>
      <w:r>
        <w:rPr>
          <w:color w:val="231F20"/>
          <w:w w:val="105"/>
        </w:rPr>
        <w:t>Bando</w:t>
      </w:r>
      <w:r>
        <w:rPr>
          <w:color w:val="231F20"/>
          <w:spacing w:val="-14"/>
          <w:w w:val="105"/>
        </w:rPr>
        <w:t> </w:t>
      </w:r>
      <w:r>
        <w:rPr>
          <w:color w:val="231F20"/>
          <w:w w:val="105"/>
        </w:rPr>
        <w:t>Municipal.</w:t>
      </w:r>
    </w:p>
    <w:p>
      <w:pPr>
        <w:pStyle w:val="BodyText"/>
        <w:spacing w:before="1"/>
        <w:rPr>
          <w:sz w:val="26"/>
        </w:rPr>
      </w:pPr>
    </w:p>
    <w:p>
      <w:pPr>
        <w:pStyle w:val="Heading5"/>
        <w:ind w:left="986"/>
      </w:pPr>
      <w:r>
        <w:rPr>
          <w:color w:val="231F20"/>
          <w:w w:val="105"/>
        </w:rPr>
        <w:t>Cuadro 5. Principales acciones en la Administración 2006-2009</w:t>
      </w:r>
    </w:p>
    <w:p>
      <w:pPr>
        <w:pStyle w:val="BodyText"/>
        <w:spacing w:before="10"/>
        <w:rPr>
          <w:b/>
          <w:sz w:val="28"/>
        </w:rPr>
      </w:pPr>
    </w:p>
    <w:tbl>
      <w:tblPr>
        <w:tblW w:w="0" w:type="auto"/>
        <w:jc w:val="left"/>
        <w:tblInd w:w="86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93"/>
        <w:gridCol w:w="801"/>
        <w:gridCol w:w="1106"/>
        <w:gridCol w:w="770"/>
        <w:gridCol w:w="912"/>
        <w:gridCol w:w="742"/>
      </w:tblGrid>
      <w:tr>
        <w:trPr>
          <w:trHeight w:val="514" w:hRule="exact"/>
        </w:trPr>
        <w:tc>
          <w:tcPr>
            <w:tcW w:w="2093" w:type="dxa"/>
          </w:tcPr>
          <w:p>
            <w:pPr>
              <w:pStyle w:val="TableParagraph"/>
              <w:spacing w:line="163" w:lineRule="exact"/>
              <w:rPr>
                <w:sz w:val="16"/>
              </w:rPr>
            </w:pPr>
            <w:r>
              <w:rPr>
                <w:color w:val="231F20"/>
                <w:w w:val="75"/>
                <w:sz w:val="16"/>
              </w:rPr>
              <w:t>RUBRO DE ACCIÓN</w:t>
            </w:r>
          </w:p>
        </w:tc>
        <w:tc>
          <w:tcPr>
            <w:tcW w:w="801" w:type="dxa"/>
          </w:tcPr>
          <w:p>
            <w:pPr>
              <w:pStyle w:val="TableParagraph"/>
              <w:spacing w:line="163" w:lineRule="exact"/>
              <w:ind w:left="102"/>
              <w:rPr>
                <w:sz w:val="16"/>
              </w:rPr>
            </w:pPr>
            <w:r>
              <w:rPr>
                <w:color w:val="231F20"/>
                <w:w w:val="75"/>
                <w:sz w:val="16"/>
              </w:rPr>
              <w:t>1 INFORME</w:t>
            </w:r>
          </w:p>
        </w:tc>
        <w:tc>
          <w:tcPr>
            <w:tcW w:w="1106" w:type="dxa"/>
          </w:tcPr>
          <w:p>
            <w:pPr>
              <w:pStyle w:val="TableParagraph"/>
              <w:spacing w:line="163" w:lineRule="exact"/>
              <w:ind w:left="102"/>
              <w:rPr>
                <w:sz w:val="16"/>
              </w:rPr>
            </w:pPr>
            <w:r>
              <w:rPr>
                <w:color w:val="231F20"/>
                <w:w w:val="80"/>
                <w:sz w:val="16"/>
              </w:rPr>
              <w:t>EGRESO</w:t>
            </w:r>
          </w:p>
        </w:tc>
        <w:tc>
          <w:tcPr>
            <w:tcW w:w="770" w:type="dxa"/>
          </w:tcPr>
          <w:p>
            <w:pPr>
              <w:pStyle w:val="TableParagraph"/>
              <w:spacing w:line="163" w:lineRule="exact"/>
              <w:ind w:left="102"/>
              <w:rPr>
                <w:sz w:val="16"/>
              </w:rPr>
            </w:pPr>
            <w:r>
              <w:rPr>
                <w:color w:val="231F20"/>
                <w:w w:val="75"/>
                <w:sz w:val="16"/>
              </w:rPr>
              <w:t>2 INFORME</w:t>
            </w:r>
          </w:p>
        </w:tc>
        <w:tc>
          <w:tcPr>
            <w:tcW w:w="912" w:type="dxa"/>
          </w:tcPr>
          <w:p>
            <w:pPr>
              <w:pStyle w:val="TableParagraph"/>
              <w:spacing w:line="163" w:lineRule="exact"/>
              <w:rPr>
                <w:sz w:val="16"/>
              </w:rPr>
            </w:pPr>
            <w:r>
              <w:rPr>
                <w:color w:val="231F20"/>
                <w:w w:val="85"/>
                <w:sz w:val="16"/>
              </w:rPr>
              <w:t>EGRESOS</w:t>
            </w:r>
          </w:p>
        </w:tc>
        <w:tc>
          <w:tcPr>
            <w:tcW w:w="742" w:type="dxa"/>
          </w:tcPr>
          <w:p>
            <w:pPr>
              <w:pStyle w:val="TableParagraph"/>
              <w:spacing w:line="161" w:lineRule="exact"/>
              <w:ind w:left="102"/>
              <w:rPr>
                <w:sz w:val="16"/>
              </w:rPr>
            </w:pPr>
            <w:r>
              <w:rPr>
                <w:color w:val="231F20"/>
                <w:w w:val="85"/>
                <w:sz w:val="16"/>
              </w:rPr>
              <w:t>BANDO</w:t>
            </w:r>
          </w:p>
          <w:p>
            <w:pPr>
              <w:pStyle w:val="TableParagraph"/>
              <w:spacing w:line="235" w:lineRule="auto" w:before="1"/>
              <w:ind w:left="102" w:right="192"/>
              <w:rPr>
                <w:sz w:val="16"/>
              </w:rPr>
            </w:pPr>
            <w:r>
              <w:rPr>
                <w:color w:val="231F20"/>
                <w:w w:val="75"/>
                <w:sz w:val="16"/>
              </w:rPr>
              <w:t>MUNICI- </w:t>
            </w:r>
            <w:r>
              <w:rPr>
                <w:color w:val="231F20"/>
                <w:w w:val="85"/>
                <w:sz w:val="16"/>
              </w:rPr>
              <w:t>PAL</w:t>
            </w:r>
          </w:p>
        </w:tc>
      </w:tr>
      <w:tr>
        <w:trPr>
          <w:trHeight w:val="322" w:hRule="exact"/>
        </w:trPr>
        <w:tc>
          <w:tcPr>
            <w:tcW w:w="2093" w:type="dxa"/>
          </w:tcPr>
          <w:p>
            <w:pPr>
              <w:pStyle w:val="TableParagraph"/>
              <w:spacing w:line="163" w:lineRule="exact"/>
              <w:rPr>
                <w:sz w:val="16"/>
              </w:rPr>
            </w:pPr>
            <w:r>
              <w:rPr>
                <w:color w:val="231F20"/>
                <w:w w:val="75"/>
                <w:sz w:val="16"/>
              </w:rPr>
              <w:t>Seguridad  Pública</w:t>
            </w:r>
          </w:p>
        </w:tc>
        <w:tc>
          <w:tcPr>
            <w:tcW w:w="801" w:type="dxa"/>
          </w:tcPr>
          <w:p>
            <w:pPr>
              <w:pStyle w:val="TableParagraph"/>
              <w:spacing w:line="163" w:lineRule="exact"/>
              <w:ind w:left="102"/>
              <w:rPr>
                <w:sz w:val="16"/>
              </w:rPr>
            </w:pPr>
            <w:r>
              <w:rPr>
                <w:color w:val="231F20"/>
                <w:w w:val="90"/>
                <w:sz w:val="16"/>
              </w:rPr>
              <w:t>SI</w:t>
            </w:r>
          </w:p>
        </w:tc>
        <w:tc>
          <w:tcPr>
            <w:tcW w:w="1106" w:type="dxa"/>
          </w:tcPr>
          <w:p>
            <w:pPr>
              <w:pStyle w:val="TableParagraph"/>
              <w:spacing w:line="163" w:lineRule="exact"/>
              <w:ind w:left="102"/>
              <w:rPr>
                <w:sz w:val="16"/>
              </w:rPr>
            </w:pPr>
            <w:r>
              <w:rPr>
                <w:color w:val="231F20"/>
                <w:w w:val="85"/>
                <w:sz w:val="16"/>
              </w:rPr>
              <w:t>$38,640,000</w:t>
            </w:r>
          </w:p>
        </w:tc>
        <w:tc>
          <w:tcPr>
            <w:tcW w:w="770" w:type="dxa"/>
          </w:tcPr>
          <w:p>
            <w:pPr>
              <w:pStyle w:val="TableParagraph"/>
              <w:spacing w:line="163" w:lineRule="exact"/>
              <w:ind w:left="102"/>
              <w:rPr>
                <w:sz w:val="16"/>
              </w:rPr>
            </w:pPr>
            <w:r>
              <w:rPr>
                <w:color w:val="231F20"/>
                <w:w w:val="90"/>
                <w:sz w:val="16"/>
              </w:rPr>
              <w:t>SI,</w:t>
            </w:r>
          </w:p>
        </w:tc>
        <w:tc>
          <w:tcPr>
            <w:tcW w:w="912" w:type="dxa"/>
          </w:tcPr>
          <w:p>
            <w:pPr>
              <w:pStyle w:val="TableParagraph"/>
              <w:spacing w:line="163" w:lineRule="exact"/>
              <w:rPr>
                <w:sz w:val="16"/>
              </w:rPr>
            </w:pPr>
            <w:r>
              <w:rPr>
                <w:color w:val="231F20"/>
                <w:w w:val="85"/>
                <w:sz w:val="16"/>
              </w:rPr>
              <w:t>$12,000,000</w:t>
            </w:r>
          </w:p>
        </w:tc>
        <w:tc>
          <w:tcPr>
            <w:tcW w:w="742" w:type="dxa"/>
          </w:tcPr>
          <w:p>
            <w:pPr>
              <w:pStyle w:val="TableParagraph"/>
              <w:spacing w:line="163"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75"/>
                <w:sz w:val="16"/>
              </w:rPr>
              <w:t>Asistencia Social (Adultos Mayores)</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$15,000,000</w:t>
            </w:r>
          </w:p>
        </w:tc>
        <w:tc>
          <w:tcPr>
            <w:tcW w:w="770" w:type="dxa"/>
          </w:tcPr>
          <w:p>
            <w:pPr>
              <w:pStyle w:val="TableParagraph"/>
              <w:spacing w:line="160" w:lineRule="exact"/>
              <w:ind w:left="102"/>
              <w:rPr>
                <w:sz w:val="16"/>
              </w:rPr>
            </w:pPr>
            <w:r>
              <w:rPr>
                <w:color w:val="231F20"/>
                <w:w w:val="90"/>
                <w:sz w:val="16"/>
              </w:rPr>
              <w:t>SI</w:t>
            </w:r>
          </w:p>
        </w:tc>
        <w:tc>
          <w:tcPr>
            <w:tcW w:w="912" w:type="dxa"/>
          </w:tcPr>
          <w:p>
            <w:pPr>
              <w:pStyle w:val="TableParagraph"/>
              <w:spacing w:line="160" w:lineRule="exact"/>
              <w:rPr>
                <w:sz w:val="16"/>
              </w:rPr>
            </w:pPr>
            <w:r>
              <w:rPr>
                <w:color w:val="231F20"/>
                <w:w w:val="85"/>
                <w:sz w:val="16"/>
              </w:rPr>
              <w:t>$15,000,000</w:t>
            </w:r>
          </w:p>
        </w:tc>
        <w:tc>
          <w:tcPr>
            <w:tcW w:w="742" w:type="dxa"/>
          </w:tcPr>
          <w:p>
            <w:pPr>
              <w:pStyle w:val="TableParagraph"/>
              <w:spacing w:line="160"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75"/>
                <w:sz w:val="16"/>
              </w:rPr>
              <w:t>Educación y Cultura</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$6,120,000</w:t>
            </w:r>
          </w:p>
        </w:tc>
        <w:tc>
          <w:tcPr>
            <w:tcW w:w="770" w:type="dxa"/>
          </w:tcPr>
          <w:p>
            <w:pPr>
              <w:pStyle w:val="TableParagraph"/>
              <w:spacing w:line="160" w:lineRule="exact"/>
              <w:ind w:left="102"/>
              <w:rPr>
                <w:sz w:val="16"/>
              </w:rPr>
            </w:pPr>
            <w:r>
              <w:rPr>
                <w:color w:val="231F20"/>
                <w:w w:val="90"/>
                <w:sz w:val="16"/>
              </w:rPr>
              <w:t>SI</w:t>
            </w:r>
          </w:p>
        </w:tc>
        <w:tc>
          <w:tcPr>
            <w:tcW w:w="912" w:type="dxa"/>
          </w:tcPr>
          <w:p>
            <w:pPr>
              <w:pStyle w:val="TableParagraph"/>
              <w:spacing w:line="160" w:lineRule="exact"/>
              <w:rPr>
                <w:sz w:val="16"/>
              </w:rPr>
            </w:pPr>
            <w:r>
              <w:rPr>
                <w:color w:val="231F20"/>
                <w:w w:val="80"/>
                <w:sz w:val="16"/>
              </w:rPr>
              <w:t>$ 4,000,000</w:t>
            </w:r>
          </w:p>
        </w:tc>
        <w:tc>
          <w:tcPr>
            <w:tcW w:w="742" w:type="dxa"/>
          </w:tcPr>
          <w:p>
            <w:pPr>
              <w:pStyle w:val="TableParagraph"/>
              <w:spacing w:line="160"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75"/>
                <w:sz w:val="16"/>
              </w:rPr>
              <w:t>Desarrollo urbano</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$160,177,392</w:t>
            </w:r>
          </w:p>
        </w:tc>
        <w:tc>
          <w:tcPr>
            <w:tcW w:w="770" w:type="dxa"/>
          </w:tcPr>
          <w:p>
            <w:pPr>
              <w:pStyle w:val="TableParagraph"/>
              <w:spacing w:line="160" w:lineRule="exact"/>
              <w:ind w:left="102"/>
              <w:rPr>
                <w:sz w:val="16"/>
              </w:rPr>
            </w:pPr>
            <w:r>
              <w:rPr>
                <w:color w:val="231F20"/>
                <w:w w:val="90"/>
                <w:sz w:val="16"/>
              </w:rPr>
              <w:t>SI</w:t>
            </w:r>
          </w:p>
        </w:tc>
        <w:tc>
          <w:tcPr>
            <w:tcW w:w="912" w:type="dxa"/>
          </w:tcPr>
          <w:p>
            <w:pPr>
              <w:pStyle w:val="TableParagraph"/>
              <w:spacing w:line="160" w:lineRule="exact"/>
              <w:rPr>
                <w:sz w:val="16"/>
              </w:rPr>
            </w:pPr>
            <w:r>
              <w:rPr>
                <w:color w:val="231F20"/>
                <w:w w:val="75"/>
                <w:sz w:val="16"/>
              </w:rPr>
              <w:t>$ 11,000,000</w:t>
            </w:r>
          </w:p>
        </w:tc>
        <w:tc>
          <w:tcPr>
            <w:tcW w:w="742" w:type="dxa"/>
          </w:tcPr>
          <w:p>
            <w:pPr>
              <w:pStyle w:val="TableParagraph"/>
              <w:spacing w:line="160"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85"/>
                <w:sz w:val="16"/>
              </w:rPr>
              <w:t>Vivienda</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$5,400,000</w:t>
            </w:r>
          </w:p>
        </w:tc>
        <w:tc>
          <w:tcPr>
            <w:tcW w:w="770" w:type="dxa"/>
          </w:tcPr>
          <w:p>
            <w:pPr>
              <w:pStyle w:val="TableParagraph"/>
              <w:spacing w:line="160" w:lineRule="exact"/>
              <w:ind w:left="102"/>
              <w:rPr>
                <w:sz w:val="16"/>
              </w:rPr>
            </w:pPr>
            <w:r>
              <w:rPr>
                <w:color w:val="231F20"/>
                <w:w w:val="90"/>
                <w:sz w:val="16"/>
              </w:rPr>
              <w:t>SI</w:t>
            </w:r>
          </w:p>
        </w:tc>
        <w:tc>
          <w:tcPr>
            <w:tcW w:w="912" w:type="dxa"/>
          </w:tcPr>
          <w:p>
            <w:pPr>
              <w:pStyle w:val="TableParagraph"/>
              <w:spacing w:line="160" w:lineRule="exact"/>
              <w:rPr>
                <w:sz w:val="16"/>
              </w:rPr>
            </w:pPr>
            <w:r>
              <w:rPr>
                <w:color w:val="231F20"/>
                <w:w w:val="85"/>
                <w:sz w:val="16"/>
              </w:rPr>
              <w:t>Cualitativo</w:t>
            </w:r>
          </w:p>
        </w:tc>
        <w:tc>
          <w:tcPr>
            <w:tcW w:w="742" w:type="dxa"/>
          </w:tcPr>
          <w:p>
            <w:pPr>
              <w:pStyle w:val="TableParagraph"/>
              <w:spacing w:line="160"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85"/>
                <w:sz w:val="16"/>
              </w:rPr>
              <w:t>Suelo</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$4,000,000</w:t>
            </w:r>
          </w:p>
        </w:tc>
        <w:tc>
          <w:tcPr>
            <w:tcW w:w="770" w:type="dxa"/>
          </w:tcPr>
          <w:p>
            <w:pPr/>
          </w:p>
        </w:tc>
        <w:tc>
          <w:tcPr>
            <w:tcW w:w="912" w:type="dxa"/>
          </w:tcPr>
          <w:p>
            <w:pPr/>
          </w:p>
        </w:tc>
        <w:tc>
          <w:tcPr>
            <w:tcW w:w="742" w:type="dxa"/>
          </w:tcPr>
          <w:p>
            <w:pPr>
              <w:pStyle w:val="TableParagraph"/>
              <w:spacing w:line="160"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75"/>
                <w:sz w:val="16"/>
              </w:rPr>
              <w:t>Agua y saneamiento</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$3,000,000</w:t>
            </w:r>
          </w:p>
        </w:tc>
        <w:tc>
          <w:tcPr>
            <w:tcW w:w="770" w:type="dxa"/>
          </w:tcPr>
          <w:p>
            <w:pPr>
              <w:pStyle w:val="TableParagraph"/>
              <w:spacing w:line="160" w:lineRule="exact"/>
              <w:ind w:left="102"/>
              <w:rPr>
                <w:sz w:val="16"/>
              </w:rPr>
            </w:pPr>
            <w:r>
              <w:rPr>
                <w:color w:val="231F20"/>
                <w:w w:val="90"/>
                <w:sz w:val="16"/>
              </w:rPr>
              <w:t>SI</w:t>
            </w:r>
          </w:p>
        </w:tc>
        <w:tc>
          <w:tcPr>
            <w:tcW w:w="912" w:type="dxa"/>
          </w:tcPr>
          <w:p>
            <w:pPr>
              <w:pStyle w:val="TableParagraph"/>
              <w:spacing w:line="160" w:lineRule="exact"/>
              <w:rPr>
                <w:sz w:val="16"/>
              </w:rPr>
            </w:pPr>
            <w:r>
              <w:rPr>
                <w:color w:val="231F20"/>
                <w:w w:val="85"/>
                <w:sz w:val="16"/>
              </w:rPr>
              <w:t>5,794,296</w:t>
            </w:r>
          </w:p>
        </w:tc>
        <w:tc>
          <w:tcPr>
            <w:tcW w:w="742" w:type="dxa"/>
          </w:tcPr>
          <w:p>
            <w:pPr>
              <w:pStyle w:val="TableParagraph"/>
              <w:spacing w:line="160" w:lineRule="exact"/>
              <w:ind w:left="102"/>
              <w:rPr>
                <w:sz w:val="16"/>
              </w:rPr>
            </w:pPr>
            <w:r>
              <w:rPr>
                <w:color w:val="231F20"/>
                <w:w w:val="90"/>
                <w:sz w:val="16"/>
              </w:rPr>
              <w:t>SI</w:t>
            </w:r>
          </w:p>
        </w:tc>
      </w:tr>
      <w:tr>
        <w:trPr>
          <w:trHeight w:val="130" w:hRule="exact"/>
        </w:trPr>
        <w:tc>
          <w:tcPr>
            <w:tcW w:w="2093" w:type="dxa"/>
          </w:tcPr>
          <w:p>
            <w:pPr>
              <w:pStyle w:val="TableParagraph"/>
              <w:spacing w:line="160" w:lineRule="exact"/>
              <w:rPr>
                <w:sz w:val="16"/>
              </w:rPr>
            </w:pPr>
            <w:r>
              <w:rPr>
                <w:color w:val="231F20"/>
                <w:w w:val="75"/>
                <w:sz w:val="16"/>
              </w:rPr>
              <w:t>Electrificación y alumbrado  Público</w:t>
            </w:r>
          </w:p>
        </w:tc>
        <w:tc>
          <w:tcPr>
            <w:tcW w:w="801" w:type="dxa"/>
          </w:tcPr>
          <w:p>
            <w:pPr>
              <w:pStyle w:val="TableParagraph"/>
              <w:spacing w:line="160" w:lineRule="exact"/>
              <w:ind w:left="102"/>
              <w:rPr>
                <w:sz w:val="16"/>
              </w:rPr>
            </w:pPr>
            <w:r>
              <w:rPr>
                <w:color w:val="231F20"/>
                <w:w w:val="90"/>
                <w:sz w:val="16"/>
              </w:rPr>
              <w:t>SI</w:t>
            </w:r>
          </w:p>
        </w:tc>
        <w:tc>
          <w:tcPr>
            <w:tcW w:w="1106" w:type="dxa"/>
          </w:tcPr>
          <w:p>
            <w:pPr>
              <w:pStyle w:val="TableParagraph"/>
              <w:spacing w:line="160" w:lineRule="exact"/>
              <w:ind w:left="102"/>
              <w:rPr>
                <w:sz w:val="16"/>
              </w:rPr>
            </w:pPr>
            <w:r>
              <w:rPr>
                <w:color w:val="231F20"/>
                <w:w w:val="85"/>
                <w:sz w:val="16"/>
              </w:rPr>
              <w:t>$6,000,000</w:t>
            </w:r>
          </w:p>
        </w:tc>
        <w:tc>
          <w:tcPr>
            <w:tcW w:w="770" w:type="dxa"/>
          </w:tcPr>
          <w:p>
            <w:pPr>
              <w:pStyle w:val="TableParagraph"/>
              <w:spacing w:line="160" w:lineRule="exact"/>
              <w:ind w:left="102"/>
              <w:rPr>
                <w:sz w:val="16"/>
              </w:rPr>
            </w:pPr>
            <w:r>
              <w:rPr>
                <w:color w:val="231F20"/>
                <w:w w:val="90"/>
                <w:sz w:val="16"/>
              </w:rPr>
              <w:t>SI</w:t>
            </w:r>
          </w:p>
        </w:tc>
        <w:tc>
          <w:tcPr>
            <w:tcW w:w="912" w:type="dxa"/>
          </w:tcPr>
          <w:p>
            <w:pPr>
              <w:pStyle w:val="TableParagraph"/>
              <w:spacing w:line="160" w:lineRule="exact"/>
              <w:rPr>
                <w:sz w:val="16"/>
              </w:rPr>
            </w:pPr>
            <w:r>
              <w:rPr>
                <w:color w:val="231F20"/>
                <w:w w:val="85"/>
                <w:sz w:val="16"/>
              </w:rPr>
              <w:t>cualitativo</w:t>
            </w:r>
          </w:p>
        </w:tc>
        <w:tc>
          <w:tcPr>
            <w:tcW w:w="742" w:type="dxa"/>
          </w:tcPr>
          <w:p>
            <w:pPr>
              <w:pStyle w:val="TableParagraph"/>
              <w:spacing w:line="160" w:lineRule="exact"/>
              <w:ind w:left="102"/>
              <w:rPr>
                <w:sz w:val="16"/>
              </w:rPr>
            </w:pPr>
            <w:r>
              <w:rPr>
                <w:color w:val="231F20"/>
                <w:w w:val="90"/>
                <w:sz w:val="16"/>
              </w:rPr>
              <w:t>SI</w:t>
            </w:r>
          </w:p>
        </w:tc>
      </w:tr>
      <w:tr>
        <w:trPr>
          <w:trHeight w:val="322" w:hRule="exact"/>
        </w:trPr>
        <w:tc>
          <w:tcPr>
            <w:tcW w:w="2093" w:type="dxa"/>
          </w:tcPr>
          <w:p>
            <w:pPr>
              <w:pStyle w:val="TableParagraph"/>
              <w:spacing w:line="161" w:lineRule="exact"/>
              <w:rPr>
                <w:sz w:val="16"/>
              </w:rPr>
            </w:pPr>
            <w:r>
              <w:rPr>
                <w:color w:val="231F20"/>
                <w:w w:val="75"/>
                <w:sz w:val="16"/>
              </w:rPr>
              <w:t>Modernización de las  comunicacio-</w:t>
            </w:r>
          </w:p>
          <w:p>
            <w:pPr>
              <w:pStyle w:val="TableParagraph"/>
              <w:spacing w:line="191" w:lineRule="exact"/>
              <w:rPr>
                <w:sz w:val="16"/>
              </w:rPr>
            </w:pPr>
            <w:r>
              <w:rPr>
                <w:color w:val="231F20"/>
                <w:w w:val="75"/>
                <w:sz w:val="16"/>
              </w:rPr>
              <w:t>nes y transporte</w:t>
            </w:r>
          </w:p>
        </w:tc>
        <w:tc>
          <w:tcPr>
            <w:tcW w:w="801" w:type="dxa"/>
          </w:tcPr>
          <w:p>
            <w:pPr>
              <w:pStyle w:val="TableParagraph"/>
              <w:spacing w:line="162" w:lineRule="exact"/>
              <w:ind w:left="102"/>
              <w:rPr>
                <w:sz w:val="16"/>
              </w:rPr>
            </w:pPr>
            <w:r>
              <w:rPr>
                <w:color w:val="231F20"/>
                <w:w w:val="90"/>
                <w:sz w:val="16"/>
              </w:rPr>
              <w:t>SI</w:t>
            </w:r>
          </w:p>
        </w:tc>
        <w:tc>
          <w:tcPr>
            <w:tcW w:w="1106" w:type="dxa"/>
          </w:tcPr>
          <w:p>
            <w:pPr>
              <w:pStyle w:val="TableParagraph"/>
              <w:spacing w:line="162" w:lineRule="exact"/>
              <w:ind w:left="102"/>
              <w:rPr>
                <w:sz w:val="16"/>
              </w:rPr>
            </w:pPr>
            <w:r>
              <w:rPr>
                <w:color w:val="231F20"/>
                <w:w w:val="85"/>
                <w:sz w:val="16"/>
              </w:rPr>
              <w:t>$442,000</w:t>
            </w:r>
          </w:p>
        </w:tc>
        <w:tc>
          <w:tcPr>
            <w:tcW w:w="770" w:type="dxa"/>
          </w:tcPr>
          <w:p>
            <w:pPr>
              <w:pStyle w:val="TableParagraph"/>
              <w:spacing w:line="162" w:lineRule="exact"/>
              <w:ind w:left="102"/>
              <w:rPr>
                <w:sz w:val="16"/>
              </w:rPr>
            </w:pPr>
            <w:r>
              <w:rPr>
                <w:color w:val="231F20"/>
                <w:w w:val="90"/>
                <w:sz w:val="16"/>
              </w:rPr>
              <w:t>SI</w:t>
            </w:r>
          </w:p>
        </w:tc>
        <w:tc>
          <w:tcPr>
            <w:tcW w:w="912" w:type="dxa"/>
          </w:tcPr>
          <w:p>
            <w:pPr>
              <w:pStyle w:val="TableParagraph"/>
              <w:spacing w:line="162" w:lineRule="exact"/>
              <w:rPr>
                <w:sz w:val="16"/>
              </w:rPr>
            </w:pPr>
            <w:r>
              <w:rPr>
                <w:color w:val="231F20"/>
                <w:w w:val="85"/>
                <w:sz w:val="16"/>
              </w:rPr>
              <w:t>cualitativo</w:t>
            </w:r>
          </w:p>
        </w:tc>
        <w:tc>
          <w:tcPr>
            <w:tcW w:w="742" w:type="dxa"/>
          </w:tcPr>
          <w:p>
            <w:pPr>
              <w:pStyle w:val="TableParagraph"/>
              <w:spacing w:line="162" w:lineRule="exact"/>
              <w:ind w:left="102"/>
              <w:rPr>
                <w:sz w:val="16"/>
              </w:rPr>
            </w:pPr>
            <w:r>
              <w:rPr>
                <w:color w:val="231F20"/>
                <w:w w:val="90"/>
                <w:sz w:val="16"/>
              </w:rPr>
              <w:t>SI</w:t>
            </w:r>
          </w:p>
        </w:tc>
      </w:tr>
      <w:tr>
        <w:trPr>
          <w:trHeight w:val="706" w:hRule="exact"/>
        </w:trPr>
        <w:tc>
          <w:tcPr>
            <w:tcW w:w="2093" w:type="dxa"/>
          </w:tcPr>
          <w:p>
            <w:pPr>
              <w:pStyle w:val="TableParagraph"/>
              <w:spacing w:line="161" w:lineRule="exact"/>
              <w:rPr>
                <w:sz w:val="16"/>
              </w:rPr>
            </w:pPr>
            <w:r>
              <w:rPr>
                <w:color w:val="231F20"/>
                <w:w w:val="75"/>
                <w:sz w:val="16"/>
              </w:rPr>
              <w:t>Programa Federal</w:t>
            </w:r>
          </w:p>
          <w:p>
            <w:pPr>
              <w:pStyle w:val="TableParagraph"/>
              <w:spacing w:line="235" w:lineRule="auto" w:before="1"/>
              <w:ind w:right="331"/>
              <w:rPr>
                <w:sz w:val="16"/>
              </w:rPr>
            </w:pPr>
            <w:r>
              <w:rPr>
                <w:color w:val="231F20"/>
                <w:w w:val="75"/>
                <w:sz w:val="16"/>
              </w:rPr>
              <w:t>HABITAT(inauguración de Centro </w:t>
            </w:r>
            <w:r>
              <w:rPr>
                <w:color w:val="231F20"/>
                <w:w w:val="85"/>
                <w:sz w:val="16"/>
              </w:rPr>
              <w:t>de Desarrollo Comunitario de </w:t>
            </w:r>
            <w:r>
              <w:rPr>
                <w:color w:val="231F20"/>
                <w:w w:val="75"/>
                <w:sz w:val="16"/>
              </w:rPr>
              <w:t>jacalones II</w:t>
            </w:r>
          </w:p>
        </w:tc>
        <w:tc>
          <w:tcPr>
            <w:tcW w:w="801" w:type="dxa"/>
          </w:tcPr>
          <w:p>
            <w:pPr>
              <w:pStyle w:val="TableParagraph"/>
              <w:spacing w:line="162" w:lineRule="exact"/>
              <w:ind w:left="178"/>
              <w:rPr>
                <w:sz w:val="16"/>
              </w:rPr>
            </w:pPr>
            <w:r>
              <w:rPr>
                <w:color w:val="231F20"/>
                <w:w w:val="80"/>
                <w:sz w:val="16"/>
              </w:rPr>
              <w:t>NO</w:t>
            </w:r>
          </w:p>
        </w:tc>
        <w:tc>
          <w:tcPr>
            <w:tcW w:w="1106" w:type="dxa"/>
          </w:tcPr>
          <w:p>
            <w:pPr>
              <w:pStyle w:val="TableParagraph"/>
              <w:spacing w:line="162" w:lineRule="exact"/>
              <w:ind w:left="102"/>
              <w:rPr>
                <w:sz w:val="16"/>
              </w:rPr>
            </w:pPr>
            <w:r>
              <w:rPr>
                <w:color w:val="231F20"/>
                <w:sz w:val="16"/>
              </w:rPr>
              <w:t>------------------</w:t>
            </w:r>
          </w:p>
        </w:tc>
        <w:tc>
          <w:tcPr>
            <w:tcW w:w="770" w:type="dxa"/>
          </w:tcPr>
          <w:p>
            <w:pPr>
              <w:pStyle w:val="TableParagraph"/>
              <w:spacing w:line="162" w:lineRule="exact"/>
              <w:ind w:left="102"/>
              <w:rPr>
                <w:sz w:val="16"/>
              </w:rPr>
            </w:pPr>
            <w:r>
              <w:rPr>
                <w:color w:val="231F20"/>
                <w:w w:val="90"/>
                <w:sz w:val="16"/>
              </w:rPr>
              <w:t>SI</w:t>
            </w:r>
          </w:p>
        </w:tc>
        <w:tc>
          <w:tcPr>
            <w:tcW w:w="912" w:type="dxa"/>
          </w:tcPr>
          <w:p>
            <w:pPr>
              <w:pStyle w:val="TableParagraph"/>
              <w:spacing w:line="162" w:lineRule="exact"/>
              <w:rPr>
                <w:sz w:val="16"/>
              </w:rPr>
            </w:pPr>
            <w:r>
              <w:rPr>
                <w:color w:val="231F20"/>
                <w:w w:val="85"/>
                <w:sz w:val="16"/>
              </w:rPr>
              <w:t>$2,400,000</w:t>
            </w:r>
          </w:p>
        </w:tc>
        <w:tc>
          <w:tcPr>
            <w:tcW w:w="742" w:type="dxa"/>
          </w:tcPr>
          <w:p>
            <w:pPr>
              <w:pStyle w:val="TableParagraph"/>
              <w:spacing w:line="162" w:lineRule="exact"/>
              <w:ind w:left="102"/>
              <w:rPr>
                <w:sz w:val="16"/>
              </w:rPr>
            </w:pPr>
            <w:r>
              <w:rPr>
                <w:color w:val="231F20"/>
                <w:w w:val="90"/>
                <w:sz w:val="16"/>
              </w:rPr>
              <w:t>SI</w:t>
            </w:r>
          </w:p>
        </w:tc>
      </w:tr>
    </w:tbl>
    <w:p>
      <w:pPr>
        <w:pStyle w:val="BodyText"/>
        <w:spacing w:before="2"/>
        <w:rPr>
          <w:b/>
          <w:sz w:val="18"/>
        </w:rPr>
      </w:pPr>
    </w:p>
    <w:p>
      <w:pPr>
        <w:spacing w:before="74"/>
        <w:ind w:left="0" w:right="108" w:firstLine="0"/>
        <w:jc w:val="right"/>
        <w:rPr>
          <w:rFonts w:ascii="Calibri" w:hAnsi="Calibri"/>
          <w:sz w:val="16"/>
        </w:rPr>
      </w:pPr>
      <w:r>
        <w:rPr>
          <w:rFonts w:ascii="Calibri" w:hAnsi="Calibri"/>
          <w:color w:val="231F20"/>
          <w:sz w:val="16"/>
        </w:rPr>
        <w:t>Fuente: Elaboración propia en base a la revisión del Plan de Desarrollo Municipal 2006-2009,</w:t>
      </w:r>
    </w:p>
    <w:p>
      <w:pPr>
        <w:spacing w:before="104"/>
        <w:ind w:left="0" w:right="109" w:firstLine="0"/>
        <w:jc w:val="right"/>
        <w:rPr>
          <w:rFonts w:ascii="Calibri"/>
          <w:sz w:val="16"/>
        </w:rPr>
      </w:pPr>
      <w:r>
        <w:rPr>
          <w:rFonts w:ascii="Calibri"/>
          <w:color w:val="231F20"/>
          <w:sz w:val="16"/>
        </w:rPr>
        <w:t>primer y segundo informe de Gobierno.</w:t>
      </w:r>
    </w:p>
    <w:p>
      <w:pPr>
        <w:pStyle w:val="BodyText"/>
        <w:rPr>
          <w:rFonts w:ascii="Calibri"/>
          <w:sz w:val="16"/>
        </w:rPr>
      </w:pPr>
    </w:p>
    <w:p>
      <w:pPr>
        <w:pStyle w:val="BodyText"/>
        <w:spacing w:before="10"/>
        <w:rPr>
          <w:rFonts w:ascii="Calibri"/>
          <w:sz w:val="12"/>
        </w:rPr>
      </w:pPr>
    </w:p>
    <w:p>
      <w:pPr>
        <w:pStyle w:val="BodyText"/>
        <w:spacing w:line="285" w:lineRule="auto"/>
        <w:ind w:left="110" w:right="108"/>
        <w:jc w:val="both"/>
      </w:pPr>
      <w:r>
        <w:rPr>
          <w:color w:val="231F20"/>
          <w:w w:val="105"/>
        </w:rPr>
        <w:t>Podemos comentar que existe congruencia con lo establecido en el Plan de Desarrollo Municipal y el Bando Municipal, y es que los fines del Ayuntamiento de Chalco esta- blecidos en su artículo 9 incluyen prácticamente la atención a los rubros descritos  en</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10"/>
        <w:jc w:val="both"/>
      </w:pPr>
      <w:r>
        <w:rPr>
          <w:color w:val="231F20"/>
          <w:w w:val="105"/>
        </w:rPr>
        <w:t>el cuadro anterior y específicamente en los artículos 52, 75, 76, 105 del mismo Bando Municipal se establece la prestación de Servicios Públicos.</w:t>
      </w:r>
    </w:p>
    <w:p>
      <w:pPr>
        <w:pStyle w:val="BodyText"/>
        <w:spacing w:before="1"/>
        <w:rPr>
          <w:sz w:val="26"/>
        </w:rPr>
      </w:pPr>
    </w:p>
    <w:p>
      <w:pPr>
        <w:pStyle w:val="BodyText"/>
        <w:spacing w:line="285" w:lineRule="auto"/>
        <w:ind w:left="110" w:right="107"/>
        <w:jc w:val="both"/>
      </w:pPr>
      <w:r>
        <w:rPr>
          <w:color w:val="231F20"/>
          <w:spacing w:val="-3"/>
        </w:rPr>
        <w:t>Aunque </w:t>
      </w:r>
      <w:r>
        <w:rPr>
          <w:color w:val="231F20"/>
        </w:rPr>
        <w:t>cabe aclarar </w:t>
      </w:r>
      <w:r>
        <w:rPr>
          <w:color w:val="231F20"/>
          <w:spacing w:val="-3"/>
        </w:rPr>
        <w:t>que no todos los objetivos que </w:t>
      </w:r>
      <w:r>
        <w:rPr>
          <w:color w:val="231F20"/>
        </w:rPr>
        <w:t>se </w:t>
      </w:r>
      <w:r>
        <w:rPr>
          <w:color w:val="231F20"/>
          <w:spacing w:val="-3"/>
        </w:rPr>
        <w:t>plantearon </w:t>
      </w:r>
      <w:r>
        <w:rPr>
          <w:color w:val="231F20"/>
        </w:rPr>
        <w:t>en el Plan de Desarrollo se han </w:t>
      </w:r>
      <w:r>
        <w:rPr>
          <w:color w:val="231F20"/>
          <w:spacing w:val="-3"/>
        </w:rPr>
        <w:t>cubierto, por </w:t>
      </w:r>
      <w:r>
        <w:rPr>
          <w:color w:val="231F20"/>
          <w:spacing w:val="-4"/>
        </w:rPr>
        <w:t>ejemplo </w:t>
      </w:r>
      <w:r>
        <w:rPr>
          <w:color w:val="231F20"/>
          <w:spacing w:val="-3"/>
        </w:rPr>
        <w:t>los que coinciden con </w:t>
      </w:r>
      <w:r>
        <w:rPr>
          <w:color w:val="231F20"/>
        </w:rPr>
        <w:t>el </w:t>
      </w:r>
      <w:r>
        <w:rPr>
          <w:color w:val="231F20"/>
          <w:spacing w:val="-2"/>
        </w:rPr>
        <w:t>primer </w:t>
      </w:r>
      <w:r>
        <w:rPr>
          <w:color w:val="231F20"/>
        </w:rPr>
        <w:t>y segundo informe </w:t>
      </w:r>
      <w:r>
        <w:rPr>
          <w:color w:val="231F20"/>
          <w:spacing w:val="-3"/>
        </w:rPr>
        <w:t>son </w:t>
      </w:r>
      <w:r>
        <w:rPr>
          <w:color w:val="231F20"/>
        </w:rPr>
        <w:t>el </w:t>
      </w:r>
      <w:r>
        <w:rPr>
          <w:color w:val="231F20"/>
          <w:spacing w:val="-3"/>
        </w:rPr>
        <w:t>objetivo</w:t>
      </w:r>
      <w:r>
        <w:rPr>
          <w:color w:val="231F20"/>
          <w:spacing w:val="-9"/>
        </w:rPr>
        <w:t> </w:t>
      </w:r>
      <w:r>
        <w:rPr>
          <w:color w:val="231F20"/>
          <w:spacing w:val="-3"/>
        </w:rPr>
        <w:t>número</w:t>
      </w:r>
      <w:r>
        <w:rPr>
          <w:color w:val="231F20"/>
          <w:spacing w:val="-9"/>
        </w:rPr>
        <w:t> </w:t>
      </w:r>
      <w:r>
        <w:rPr>
          <w:color w:val="231F20"/>
        </w:rPr>
        <w:t>4,</w:t>
      </w:r>
      <w:r>
        <w:rPr>
          <w:color w:val="231F20"/>
          <w:spacing w:val="-9"/>
        </w:rPr>
        <w:t> </w:t>
      </w:r>
      <w:r>
        <w:rPr>
          <w:color w:val="231F20"/>
        </w:rPr>
        <w:t>6,</w:t>
      </w:r>
      <w:r>
        <w:rPr>
          <w:color w:val="231F20"/>
          <w:spacing w:val="-9"/>
        </w:rPr>
        <w:t> </w:t>
      </w:r>
      <w:r>
        <w:rPr>
          <w:color w:val="231F20"/>
        </w:rPr>
        <w:t>12,</w:t>
      </w:r>
      <w:r>
        <w:rPr>
          <w:color w:val="231F20"/>
          <w:spacing w:val="-9"/>
        </w:rPr>
        <w:t> </w:t>
      </w:r>
      <w:r>
        <w:rPr>
          <w:color w:val="231F20"/>
          <w:spacing w:val="-3"/>
        </w:rPr>
        <w:t>13,</w:t>
      </w:r>
      <w:r>
        <w:rPr>
          <w:color w:val="231F20"/>
          <w:spacing w:val="-9"/>
        </w:rPr>
        <w:t> </w:t>
      </w:r>
      <w:r>
        <w:rPr>
          <w:color w:val="231F20"/>
          <w:spacing w:val="-5"/>
        </w:rPr>
        <w:t>14,</w:t>
      </w:r>
      <w:r>
        <w:rPr>
          <w:color w:val="231F20"/>
          <w:spacing w:val="-9"/>
        </w:rPr>
        <w:t> </w:t>
      </w:r>
      <w:r>
        <w:rPr>
          <w:color w:val="231F20"/>
          <w:spacing w:val="-3"/>
        </w:rPr>
        <w:t>15,</w:t>
      </w:r>
      <w:r>
        <w:rPr>
          <w:color w:val="231F20"/>
          <w:spacing w:val="-9"/>
        </w:rPr>
        <w:t> </w:t>
      </w:r>
      <w:r>
        <w:rPr>
          <w:color w:val="231F20"/>
          <w:spacing w:val="-5"/>
        </w:rPr>
        <w:t>16,</w:t>
      </w:r>
      <w:r>
        <w:rPr>
          <w:color w:val="231F20"/>
          <w:spacing w:val="-9"/>
        </w:rPr>
        <w:t> </w:t>
      </w:r>
      <w:r>
        <w:rPr>
          <w:color w:val="231F20"/>
          <w:spacing w:val="-12"/>
        </w:rPr>
        <w:t>17,</w:t>
      </w:r>
      <w:r>
        <w:rPr>
          <w:color w:val="231F20"/>
          <w:spacing w:val="-9"/>
        </w:rPr>
        <w:t> </w:t>
      </w:r>
      <w:r>
        <w:rPr>
          <w:color w:val="231F20"/>
          <w:spacing w:val="-4"/>
        </w:rPr>
        <w:t>18,</w:t>
      </w:r>
      <w:r>
        <w:rPr>
          <w:color w:val="231F20"/>
          <w:spacing w:val="-9"/>
        </w:rPr>
        <w:t> </w:t>
      </w:r>
      <w:r>
        <w:rPr>
          <w:color w:val="231F20"/>
          <w:spacing w:val="-4"/>
        </w:rPr>
        <w:t>19</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spacing w:val="-3"/>
        </w:rPr>
        <w:t>objetivo</w:t>
      </w:r>
      <w:r>
        <w:rPr>
          <w:color w:val="231F20"/>
          <w:spacing w:val="-9"/>
        </w:rPr>
        <w:t> </w:t>
      </w:r>
      <w:r>
        <w:rPr>
          <w:color w:val="231F20"/>
        </w:rPr>
        <w:t>el</w:t>
      </w:r>
      <w:r>
        <w:rPr>
          <w:color w:val="231F20"/>
          <w:spacing w:val="-9"/>
        </w:rPr>
        <w:t> </w:t>
      </w:r>
      <w:r>
        <w:rPr>
          <w:color w:val="231F20"/>
          <w:spacing w:val="-4"/>
        </w:rPr>
        <w:t>Municipio,</w:t>
      </w:r>
      <w:r>
        <w:rPr>
          <w:color w:val="231F20"/>
          <w:spacing w:val="-9"/>
        </w:rPr>
        <w:t> </w:t>
      </w:r>
      <w:r>
        <w:rPr>
          <w:color w:val="231F20"/>
        </w:rPr>
        <w:t>incluso</w:t>
      </w:r>
      <w:r>
        <w:rPr>
          <w:color w:val="231F20"/>
          <w:spacing w:val="-9"/>
        </w:rPr>
        <w:t> </w:t>
      </w:r>
      <w:r>
        <w:rPr>
          <w:color w:val="231F20"/>
        </w:rPr>
        <w:t>ha</w:t>
      </w:r>
    </w:p>
    <w:p>
      <w:pPr>
        <w:pStyle w:val="BodyText"/>
        <w:spacing w:before="1"/>
        <w:ind w:left="110"/>
        <w:jc w:val="both"/>
      </w:pPr>
      <w:r>
        <w:rPr>
          <w:color w:val="231F20"/>
        </w:rPr>
        <w:t>sido sede de Olimpiadas dirigidas a personas con discapacidad; 22, 23, 25, 28 y 30.</w:t>
      </w:r>
    </w:p>
    <w:p>
      <w:pPr>
        <w:pStyle w:val="BodyText"/>
        <w:spacing w:before="2"/>
        <w:rPr>
          <w:sz w:val="30"/>
        </w:rPr>
      </w:pPr>
    </w:p>
    <w:p>
      <w:pPr>
        <w:pStyle w:val="BodyText"/>
        <w:spacing w:line="285" w:lineRule="auto"/>
        <w:ind w:left="110" w:right="109"/>
        <w:jc w:val="both"/>
      </w:pPr>
      <w:r>
        <w:rPr>
          <w:color w:val="231F20"/>
          <w:w w:val="105"/>
        </w:rPr>
        <w:t>En el segundo informe respecto al rubro de Seguridad Pública se puso en marcha el Programa SUBSEMUN (Subsidio para la Seguridad Pública Municipal.</w:t>
      </w:r>
    </w:p>
    <w:p>
      <w:pPr>
        <w:pStyle w:val="BodyText"/>
        <w:spacing w:before="1"/>
        <w:rPr>
          <w:sz w:val="26"/>
        </w:rPr>
      </w:pPr>
    </w:p>
    <w:p>
      <w:pPr>
        <w:pStyle w:val="BodyText"/>
        <w:spacing w:line="285" w:lineRule="auto"/>
        <w:ind w:left="110" w:right="109"/>
        <w:jc w:val="both"/>
      </w:pPr>
      <w:r>
        <w:rPr>
          <w:color w:val="231F20"/>
          <w:w w:val="105"/>
        </w:rPr>
        <w:t>Podemos mencionar que el primer informe estuvo enfocado a datos cuantitativos, ya que</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mayoría</w:t>
      </w:r>
      <w:r>
        <w:rPr>
          <w:color w:val="231F20"/>
          <w:spacing w:val="-10"/>
          <w:w w:val="105"/>
        </w:rPr>
        <w:t> </w:t>
      </w:r>
      <w:r>
        <w:rPr>
          <w:color w:val="231F20"/>
          <w:w w:val="105"/>
        </w:rPr>
        <w:t>se</w:t>
      </w:r>
      <w:r>
        <w:rPr>
          <w:color w:val="231F20"/>
          <w:spacing w:val="-10"/>
          <w:w w:val="105"/>
        </w:rPr>
        <w:t> </w:t>
      </w:r>
      <w:r>
        <w:rPr>
          <w:color w:val="231F20"/>
          <w:w w:val="105"/>
        </w:rPr>
        <w:t>reportó</w:t>
      </w:r>
      <w:r>
        <w:rPr>
          <w:color w:val="231F20"/>
          <w:spacing w:val="-10"/>
          <w:w w:val="105"/>
        </w:rPr>
        <w:t> </w:t>
      </w:r>
      <w:r>
        <w:rPr>
          <w:color w:val="231F20"/>
          <w:w w:val="105"/>
        </w:rPr>
        <w:t>la</w:t>
      </w:r>
      <w:r>
        <w:rPr>
          <w:color w:val="231F20"/>
          <w:spacing w:val="-10"/>
          <w:w w:val="105"/>
        </w:rPr>
        <w:t> </w:t>
      </w:r>
      <w:r>
        <w:rPr>
          <w:color w:val="231F20"/>
          <w:w w:val="105"/>
        </w:rPr>
        <w:t>cantidad</w:t>
      </w:r>
      <w:r>
        <w:rPr>
          <w:color w:val="231F20"/>
          <w:spacing w:val="-10"/>
          <w:w w:val="105"/>
        </w:rPr>
        <w:t> </w:t>
      </w:r>
      <w:r>
        <w:rPr>
          <w:color w:val="231F20"/>
          <w:w w:val="105"/>
        </w:rPr>
        <w:t>de</w:t>
      </w:r>
      <w:r>
        <w:rPr>
          <w:color w:val="231F20"/>
          <w:spacing w:val="-10"/>
          <w:w w:val="105"/>
        </w:rPr>
        <w:t> </w:t>
      </w:r>
      <w:r>
        <w:rPr>
          <w:color w:val="231F20"/>
          <w:w w:val="105"/>
        </w:rPr>
        <w:t>dinero</w:t>
      </w:r>
      <w:r>
        <w:rPr>
          <w:color w:val="231F20"/>
          <w:spacing w:val="-10"/>
          <w:w w:val="105"/>
        </w:rPr>
        <w:t> </w:t>
      </w:r>
      <w:r>
        <w:rPr>
          <w:color w:val="231F20"/>
          <w:w w:val="105"/>
        </w:rPr>
        <w:t>que</w:t>
      </w:r>
      <w:r>
        <w:rPr>
          <w:color w:val="231F20"/>
          <w:spacing w:val="-10"/>
          <w:w w:val="105"/>
        </w:rPr>
        <w:t> </w:t>
      </w:r>
      <w:r>
        <w:rPr>
          <w:color w:val="231F20"/>
          <w:w w:val="105"/>
        </w:rPr>
        <w:t>implicó</w:t>
      </w:r>
      <w:r>
        <w:rPr>
          <w:color w:val="231F20"/>
          <w:spacing w:val="-10"/>
          <w:w w:val="105"/>
        </w:rPr>
        <w:t> </w:t>
      </w:r>
      <w:r>
        <w:rPr>
          <w:color w:val="231F20"/>
          <w:w w:val="105"/>
        </w:rPr>
        <w:t>cada</w:t>
      </w:r>
      <w:r>
        <w:rPr>
          <w:color w:val="231F20"/>
          <w:spacing w:val="-10"/>
          <w:w w:val="105"/>
        </w:rPr>
        <w:t> </w:t>
      </w:r>
      <w:r>
        <w:rPr>
          <w:color w:val="231F20"/>
          <w:w w:val="105"/>
        </w:rPr>
        <w:t>obra,</w:t>
      </w:r>
      <w:r>
        <w:rPr>
          <w:color w:val="231F20"/>
          <w:spacing w:val="-10"/>
          <w:w w:val="105"/>
        </w:rPr>
        <w:t> </w:t>
      </w:r>
      <w:r>
        <w:rPr>
          <w:color w:val="231F20"/>
          <w:w w:val="105"/>
        </w:rPr>
        <w:t>en</w:t>
      </w:r>
      <w:r>
        <w:rPr>
          <w:color w:val="231F20"/>
          <w:spacing w:val="-10"/>
          <w:w w:val="105"/>
        </w:rPr>
        <w:t> </w:t>
      </w:r>
      <w:r>
        <w:rPr>
          <w:color w:val="231F20"/>
          <w:w w:val="105"/>
        </w:rPr>
        <w:t>cambio</w:t>
      </w:r>
      <w:r>
        <w:rPr>
          <w:color w:val="231F20"/>
          <w:spacing w:val="-10"/>
          <w:w w:val="105"/>
        </w:rPr>
        <w:t> </w:t>
      </w:r>
      <w:r>
        <w:rPr>
          <w:color w:val="231F20"/>
          <w:w w:val="105"/>
        </w:rPr>
        <w:t>el segundo</w:t>
      </w:r>
      <w:r>
        <w:rPr>
          <w:color w:val="231F20"/>
          <w:spacing w:val="-12"/>
          <w:w w:val="105"/>
        </w:rPr>
        <w:t> </w:t>
      </w:r>
      <w:r>
        <w:rPr>
          <w:color w:val="231F20"/>
          <w:w w:val="105"/>
        </w:rPr>
        <w:t>tuvo</w:t>
      </w:r>
      <w:r>
        <w:rPr>
          <w:color w:val="231F20"/>
          <w:spacing w:val="-12"/>
          <w:w w:val="105"/>
        </w:rPr>
        <w:t> </w:t>
      </w:r>
      <w:r>
        <w:rPr>
          <w:color w:val="231F20"/>
          <w:w w:val="105"/>
        </w:rPr>
        <w:t>un</w:t>
      </w:r>
      <w:r>
        <w:rPr>
          <w:color w:val="231F20"/>
          <w:spacing w:val="-12"/>
          <w:w w:val="105"/>
        </w:rPr>
        <w:t> </w:t>
      </w:r>
      <w:r>
        <w:rPr>
          <w:color w:val="231F20"/>
          <w:w w:val="105"/>
        </w:rPr>
        <w:t>formato</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w w:val="105"/>
        </w:rPr>
        <w:t>mayoría</w:t>
      </w:r>
      <w:r>
        <w:rPr>
          <w:color w:val="231F20"/>
          <w:spacing w:val="-12"/>
          <w:w w:val="105"/>
        </w:rPr>
        <w:t> </w:t>
      </w:r>
      <w:r>
        <w:rPr>
          <w:color w:val="231F20"/>
          <w:w w:val="105"/>
        </w:rPr>
        <w:t>cualitativo.</w:t>
      </w:r>
    </w:p>
    <w:p>
      <w:pPr>
        <w:pStyle w:val="BodyText"/>
        <w:spacing w:before="1"/>
        <w:rPr>
          <w:sz w:val="26"/>
        </w:rPr>
      </w:pPr>
    </w:p>
    <w:p>
      <w:pPr>
        <w:pStyle w:val="BodyText"/>
        <w:spacing w:line="285" w:lineRule="auto"/>
        <w:ind w:left="110" w:right="107"/>
        <w:jc w:val="both"/>
      </w:pPr>
      <w:r>
        <w:rPr>
          <w:color w:val="231F20"/>
          <w:w w:val="105"/>
        </w:rPr>
        <w:t>Hay acciones que no pueden dejar de mencionarse en este artículo, ya que es hasta la administración</w:t>
      </w:r>
      <w:r>
        <w:rPr>
          <w:color w:val="231F20"/>
          <w:spacing w:val="-15"/>
          <w:w w:val="105"/>
        </w:rPr>
        <w:t> </w:t>
      </w:r>
      <w:r>
        <w:rPr>
          <w:color w:val="231F20"/>
          <w:spacing w:val="2"/>
          <w:w w:val="105"/>
        </w:rPr>
        <w:t>2006-2009</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reubican</w:t>
      </w:r>
      <w:r>
        <w:rPr>
          <w:color w:val="231F20"/>
          <w:spacing w:val="-15"/>
          <w:w w:val="105"/>
        </w:rPr>
        <w:t> </w:t>
      </w:r>
      <w:r>
        <w:rPr>
          <w:color w:val="231F20"/>
          <w:spacing w:val="3"/>
          <w:w w:val="105"/>
        </w:rPr>
        <w:t>12,000</w:t>
      </w:r>
      <w:r>
        <w:rPr>
          <w:color w:val="231F20"/>
          <w:spacing w:val="-15"/>
          <w:w w:val="105"/>
        </w:rPr>
        <w:t> </w:t>
      </w:r>
      <w:r>
        <w:rPr>
          <w:color w:val="231F20"/>
          <w:w w:val="105"/>
        </w:rPr>
        <w:t>comerciantes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instalaban</w:t>
      </w:r>
      <w:r>
        <w:rPr>
          <w:color w:val="231F20"/>
          <w:spacing w:val="-15"/>
          <w:w w:val="105"/>
        </w:rPr>
        <w:t> </w:t>
      </w:r>
      <w:r>
        <w:rPr>
          <w:color w:val="231F20"/>
          <w:w w:val="105"/>
        </w:rPr>
        <w:t>en</w:t>
      </w:r>
      <w:r>
        <w:rPr>
          <w:color w:val="231F20"/>
          <w:spacing w:val="-15"/>
          <w:w w:val="105"/>
        </w:rPr>
        <w:t> </w:t>
      </w:r>
      <w:r>
        <w:rPr>
          <w:color w:val="231F20"/>
          <w:w w:val="105"/>
        </w:rPr>
        <w:t>la vía</w:t>
      </w:r>
      <w:r>
        <w:rPr>
          <w:color w:val="231F20"/>
          <w:spacing w:val="-18"/>
          <w:w w:val="105"/>
        </w:rPr>
        <w:t> </w:t>
      </w:r>
      <w:r>
        <w:rPr>
          <w:color w:val="231F20"/>
          <w:w w:val="105"/>
        </w:rPr>
        <w:t>Pública</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calles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zona</w:t>
      </w:r>
      <w:r>
        <w:rPr>
          <w:color w:val="231F20"/>
          <w:spacing w:val="-18"/>
          <w:w w:val="105"/>
        </w:rPr>
        <w:t> </w:t>
      </w:r>
      <w:r>
        <w:rPr>
          <w:color w:val="231F20"/>
          <w:w w:val="105"/>
        </w:rPr>
        <w:t>del</w:t>
      </w:r>
      <w:r>
        <w:rPr>
          <w:color w:val="231F20"/>
          <w:spacing w:val="-18"/>
          <w:w w:val="105"/>
        </w:rPr>
        <w:t> </w:t>
      </w:r>
      <w:r>
        <w:rPr>
          <w:color w:val="231F20"/>
          <w:w w:val="105"/>
        </w:rPr>
        <w:t>centro</w:t>
      </w:r>
      <w:r>
        <w:rPr>
          <w:color w:val="231F20"/>
          <w:spacing w:val="-18"/>
          <w:w w:val="105"/>
        </w:rPr>
        <w:t> </w:t>
      </w:r>
      <w:r>
        <w:rPr>
          <w:color w:val="231F20"/>
          <w:w w:val="105"/>
        </w:rPr>
        <w:t>de</w:t>
      </w:r>
      <w:r>
        <w:rPr>
          <w:color w:val="231F20"/>
          <w:spacing w:val="-18"/>
          <w:w w:val="105"/>
        </w:rPr>
        <w:t> </w:t>
      </w:r>
      <w:r>
        <w:rPr>
          <w:color w:val="231F20"/>
          <w:w w:val="105"/>
        </w:rPr>
        <w:t>Chalco;</w:t>
      </w:r>
      <w:r>
        <w:rPr>
          <w:color w:val="231F20"/>
          <w:spacing w:val="-18"/>
          <w:w w:val="105"/>
        </w:rPr>
        <w:t> </w:t>
      </w:r>
      <w:r>
        <w:rPr>
          <w:color w:val="231F20"/>
          <w:w w:val="105"/>
        </w:rPr>
        <w:t>por</w:t>
      </w:r>
      <w:r>
        <w:rPr>
          <w:color w:val="231F20"/>
          <w:spacing w:val="-18"/>
          <w:w w:val="105"/>
        </w:rPr>
        <w:t> </w:t>
      </w:r>
      <w:r>
        <w:rPr>
          <w:color w:val="231F20"/>
          <w:w w:val="105"/>
        </w:rPr>
        <w:t>otro</w:t>
      </w:r>
      <w:r>
        <w:rPr>
          <w:color w:val="231F20"/>
          <w:spacing w:val="-18"/>
          <w:w w:val="105"/>
        </w:rPr>
        <w:t> </w:t>
      </w:r>
      <w:r>
        <w:rPr>
          <w:color w:val="231F20"/>
          <w:w w:val="105"/>
        </w:rPr>
        <w:t>lado,</w:t>
      </w:r>
      <w:r>
        <w:rPr>
          <w:color w:val="231F20"/>
          <w:spacing w:val="-18"/>
          <w:w w:val="105"/>
        </w:rPr>
        <w:t> </w:t>
      </w:r>
      <w:r>
        <w:rPr>
          <w:color w:val="231F20"/>
          <w:w w:val="105"/>
        </w:rPr>
        <w:t>se</w:t>
      </w:r>
      <w:r>
        <w:rPr>
          <w:color w:val="231F20"/>
          <w:spacing w:val="-18"/>
          <w:w w:val="105"/>
        </w:rPr>
        <w:t> </w:t>
      </w:r>
      <w:r>
        <w:rPr>
          <w:color w:val="231F20"/>
          <w:w w:val="105"/>
        </w:rPr>
        <w:t>puso</w:t>
      </w:r>
      <w:r>
        <w:rPr>
          <w:color w:val="231F20"/>
          <w:spacing w:val="-18"/>
          <w:w w:val="105"/>
        </w:rPr>
        <w:t> </w:t>
      </w:r>
      <w:r>
        <w:rPr>
          <w:color w:val="231F20"/>
          <w:w w:val="105"/>
        </w:rPr>
        <w:t>en</w:t>
      </w:r>
      <w:r>
        <w:rPr>
          <w:color w:val="231F20"/>
          <w:spacing w:val="-18"/>
          <w:w w:val="105"/>
        </w:rPr>
        <w:t> </w:t>
      </w:r>
      <w:r>
        <w:rPr>
          <w:color w:val="231F20"/>
          <w:w w:val="105"/>
        </w:rPr>
        <w:t>prácti- ca</w:t>
      </w:r>
      <w:r>
        <w:rPr>
          <w:color w:val="231F20"/>
          <w:spacing w:val="-13"/>
          <w:w w:val="105"/>
        </w:rPr>
        <w:t> </w:t>
      </w:r>
      <w:r>
        <w:rPr>
          <w:color w:val="231F20"/>
          <w:w w:val="105"/>
        </w:rPr>
        <w:t>un</w:t>
      </w:r>
      <w:r>
        <w:rPr>
          <w:color w:val="231F20"/>
          <w:spacing w:val="-13"/>
          <w:w w:val="105"/>
        </w:rPr>
        <w:t> </w:t>
      </w:r>
      <w:r>
        <w:rPr>
          <w:color w:val="231F20"/>
          <w:w w:val="105"/>
        </w:rPr>
        <w:t>plan</w:t>
      </w:r>
      <w:r>
        <w:rPr>
          <w:color w:val="231F20"/>
          <w:spacing w:val="-13"/>
          <w:w w:val="105"/>
        </w:rPr>
        <w:t> </w:t>
      </w:r>
      <w:r>
        <w:rPr>
          <w:color w:val="231F20"/>
          <w:w w:val="105"/>
        </w:rPr>
        <w:t>estratégico</w:t>
      </w:r>
      <w:r>
        <w:rPr>
          <w:color w:val="231F20"/>
          <w:spacing w:val="-13"/>
          <w:w w:val="105"/>
        </w:rPr>
        <w:t> </w:t>
      </w:r>
      <w:r>
        <w:rPr>
          <w:color w:val="231F20"/>
          <w:w w:val="105"/>
        </w:rPr>
        <w:t>de</w:t>
      </w:r>
      <w:r>
        <w:rPr>
          <w:color w:val="231F20"/>
          <w:spacing w:val="-13"/>
          <w:w w:val="105"/>
        </w:rPr>
        <w:t> </w:t>
      </w:r>
      <w:r>
        <w:rPr>
          <w:color w:val="231F20"/>
          <w:w w:val="105"/>
        </w:rPr>
        <w:t>vialidad</w:t>
      </w:r>
      <w:r>
        <w:rPr>
          <w:color w:val="231F20"/>
          <w:spacing w:val="-13"/>
          <w:w w:val="105"/>
        </w:rPr>
        <w:t> </w:t>
      </w:r>
      <w:r>
        <w:rPr>
          <w:color w:val="231F20"/>
          <w:w w:val="105"/>
        </w:rPr>
        <w:t>y</w:t>
      </w:r>
      <w:r>
        <w:rPr>
          <w:color w:val="231F20"/>
          <w:spacing w:val="-13"/>
          <w:w w:val="105"/>
        </w:rPr>
        <w:t> </w:t>
      </w:r>
      <w:r>
        <w:rPr>
          <w:color w:val="231F20"/>
          <w:w w:val="105"/>
        </w:rPr>
        <w:t>ordenamiento</w:t>
      </w:r>
      <w:r>
        <w:rPr>
          <w:color w:val="231F20"/>
          <w:spacing w:val="-13"/>
          <w:w w:val="105"/>
        </w:rPr>
        <w:t> </w:t>
      </w:r>
      <w:r>
        <w:rPr>
          <w:color w:val="231F20"/>
          <w:w w:val="105"/>
        </w:rPr>
        <w:t>de</w:t>
      </w:r>
      <w:r>
        <w:rPr>
          <w:color w:val="231F20"/>
          <w:spacing w:val="-13"/>
          <w:w w:val="105"/>
        </w:rPr>
        <w:t> </w:t>
      </w:r>
      <w:r>
        <w:rPr>
          <w:color w:val="231F20"/>
          <w:w w:val="105"/>
        </w:rPr>
        <w:t>transporte</w:t>
      </w:r>
      <w:r>
        <w:rPr>
          <w:color w:val="231F20"/>
          <w:spacing w:val="-13"/>
          <w:w w:val="105"/>
        </w:rPr>
        <w:t> </w:t>
      </w:r>
      <w:r>
        <w:rPr>
          <w:color w:val="231F20"/>
          <w:w w:val="105"/>
        </w:rPr>
        <w:t>público</w:t>
      </w:r>
      <w:r>
        <w:rPr>
          <w:color w:val="231F20"/>
          <w:spacing w:val="-13"/>
          <w:w w:val="105"/>
        </w:rPr>
        <w:t> </w:t>
      </w:r>
      <w:r>
        <w:rPr>
          <w:color w:val="231F20"/>
          <w:w w:val="105"/>
        </w:rPr>
        <w:t>de</w:t>
      </w:r>
      <w:r>
        <w:rPr>
          <w:color w:val="231F20"/>
          <w:spacing w:val="-13"/>
          <w:w w:val="105"/>
        </w:rPr>
        <w:t> </w:t>
      </w:r>
      <w:r>
        <w:rPr>
          <w:color w:val="231F20"/>
          <w:w w:val="105"/>
        </w:rPr>
        <w:t>pasajeros</w:t>
      </w:r>
      <w:r>
        <w:rPr>
          <w:color w:val="231F20"/>
          <w:spacing w:val="-13"/>
          <w:w w:val="105"/>
        </w:rPr>
        <w:t> </w:t>
      </w:r>
      <w:r>
        <w:rPr>
          <w:color w:val="231F20"/>
          <w:w w:val="105"/>
        </w:rPr>
        <w:t>de la</w:t>
      </w:r>
      <w:r>
        <w:rPr>
          <w:color w:val="231F20"/>
          <w:spacing w:val="-17"/>
          <w:w w:val="105"/>
        </w:rPr>
        <w:t> </w:t>
      </w:r>
      <w:r>
        <w:rPr>
          <w:color w:val="231F20"/>
          <w:w w:val="105"/>
        </w:rPr>
        <w:t>cabecera</w:t>
      </w:r>
      <w:r>
        <w:rPr>
          <w:color w:val="231F20"/>
          <w:spacing w:val="-17"/>
          <w:w w:val="105"/>
        </w:rPr>
        <w:t> </w:t>
      </w:r>
      <w:r>
        <w:rPr>
          <w:color w:val="231F20"/>
          <w:w w:val="105"/>
        </w:rPr>
        <w:t>municipal</w:t>
      </w:r>
      <w:r>
        <w:rPr>
          <w:color w:val="231F20"/>
          <w:spacing w:val="-17"/>
          <w:w w:val="105"/>
        </w:rPr>
        <w:t> </w:t>
      </w:r>
      <w:r>
        <w:rPr>
          <w:color w:val="231F20"/>
          <w:spacing w:val="-3"/>
          <w:w w:val="105"/>
        </w:rPr>
        <w:t>aprobado</w:t>
      </w:r>
      <w:r>
        <w:rPr>
          <w:color w:val="231F20"/>
          <w:spacing w:val="-17"/>
          <w:w w:val="105"/>
        </w:rPr>
        <w:t> </w:t>
      </w:r>
      <w:r>
        <w:rPr>
          <w:color w:val="231F20"/>
          <w:w w:val="105"/>
        </w:rPr>
        <w:t>en</w:t>
      </w:r>
      <w:r>
        <w:rPr>
          <w:color w:val="231F20"/>
          <w:spacing w:val="-17"/>
          <w:w w:val="105"/>
        </w:rPr>
        <w:t> </w:t>
      </w:r>
      <w:r>
        <w:rPr>
          <w:color w:val="231F20"/>
          <w:w w:val="105"/>
        </w:rPr>
        <w:t>sesión</w:t>
      </w:r>
      <w:r>
        <w:rPr>
          <w:color w:val="231F20"/>
          <w:spacing w:val="-17"/>
          <w:w w:val="105"/>
        </w:rPr>
        <w:t> </w:t>
      </w:r>
      <w:r>
        <w:rPr>
          <w:color w:val="231F20"/>
          <w:w w:val="105"/>
        </w:rPr>
        <w:t>de</w:t>
      </w:r>
      <w:r>
        <w:rPr>
          <w:color w:val="231F20"/>
          <w:spacing w:val="-17"/>
          <w:w w:val="105"/>
        </w:rPr>
        <w:t> </w:t>
      </w:r>
      <w:r>
        <w:rPr>
          <w:color w:val="231F20"/>
          <w:w w:val="105"/>
        </w:rPr>
        <w:t>cabildo</w:t>
      </w:r>
      <w:r>
        <w:rPr>
          <w:color w:val="231F20"/>
          <w:spacing w:val="-17"/>
          <w:w w:val="105"/>
        </w:rPr>
        <w:t> </w:t>
      </w:r>
      <w:r>
        <w:rPr>
          <w:color w:val="231F20"/>
          <w:w w:val="105"/>
        </w:rPr>
        <w:t>del</w:t>
      </w:r>
      <w:r>
        <w:rPr>
          <w:color w:val="231F20"/>
          <w:spacing w:val="-17"/>
          <w:w w:val="105"/>
        </w:rPr>
        <w:t> </w:t>
      </w:r>
      <w:r>
        <w:rPr>
          <w:color w:val="231F20"/>
          <w:w w:val="105"/>
        </w:rPr>
        <w:t>día</w:t>
      </w:r>
      <w:r>
        <w:rPr>
          <w:color w:val="231F20"/>
          <w:spacing w:val="-17"/>
          <w:w w:val="105"/>
        </w:rPr>
        <w:t> </w:t>
      </w:r>
      <w:r>
        <w:rPr>
          <w:color w:val="231F20"/>
          <w:spacing w:val="-6"/>
          <w:w w:val="105"/>
        </w:rPr>
        <w:t>17</w:t>
      </w:r>
      <w:r>
        <w:rPr>
          <w:color w:val="231F20"/>
          <w:spacing w:val="-17"/>
          <w:w w:val="105"/>
        </w:rPr>
        <w:t> </w:t>
      </w:r>
      <w:r>
        <w:rPr>
          <w:color w:val="231F20"/>
          <w:w w:val="105"/>
        </w:rPr>
        <w:t>de</w:t>
      </w:r>
      <w:r>
        <w:rPr>
          <w:color w:val="231F20"/>
          <w:spacing w:val="-17"/>
          <w:w w:val="105"/>
        </w:rPr>
        <w:t> </w:t>
      </w:r>
      <w:r>
        <w:rPr>
          <w:color w:val="231F20"/>
          <w:w w:val="105"/>
        </w:rPr>
        <w:t>julio</w:t>
      </w:r>
      <w:r>
        <w:rPr>
          <w:color w:val="231F20"/>
          <w:spacing w:val="-17"/>
          <w:w w:val="105"/>
        </w:rPr>
        <w:t> </w:t>
      </w:r>
      <w:r>
        <w:rPr>
          <w:color w:val="231F20"/>
          <w:w w:val="105"/>
        </w:rPr>
        <w:t>de</w:t>
      </w:r>
      <w:r>
        <w:rPr>
          <w:color w:val="231F20"/>
          <w:spacing w:val="-17"/>
          <w:w w:val="105"/>
        </w:rPr>
        <w:t> </w:t>
      </w:r>
      <w:r>
        <w:rPr>
          <w:color w:val="231F20"/>
          <w:spacing w:val="-3"/>
          <w:w w:val="105"/>
        </w:rPr>
        <w:t>2007,</w:t>
      </w:r>
      <w:r>
        <w:rPr>
          <w:color w:val="231F20"/>
          <w:spacing w:val="-17"/>
          <w:w w:val="105"/>
        </w:rPr>
        <w:t> </w:t>
      </w:r>
      <w:r>
        <w:rPr>
          <w:color w:val="231F20"/>
          <w:w w:val="105"/>
        </w:rPr>
        <w:t>a</w:t>
      </w:r>
      <w:r>
        <w:rPr>
          <w:color w:val="231F20"/>
          <w:spacing w:val="-17"/>
          <w:w w:val="105"/>
        </w:rPr>
        <w:t> </w:t>
      </w:r>
      <w:r>
        <w:rPr>
          <w:color w:val="231F20"/>
          <w:w w:val="105"/>
        </w:rPr>
        <w:t>efecto de</w:t>
      </w:r>
      <w:r>
        <w:rPr>
          <w:color w:val="231F20"/>
          <w:spacing w:val="-8"/>
          <w:w w:val="105"/>
        </w:rPr>
        <w:t> </w:t>
      </w:r>
      <w:r>
        <w:rPr>
          <w:color w:val="231F20"/>
          <w:w w:val="105"/>
        </w:rPr>
        <w:t>reubicar</w:t>
      </w:r>
      <w:r>
        <w:rPr>
          <w:color w:val="231F20"/>
          <w:spacing w:val="-8"/>
          <w:w w:val="105"/>
        </w:rPr>
        <w:t> </w:t>
      </w:r>
      <w:r>
        <w:rPr>
          <w:color w:val="231F20"/>
          <w:w w:val="105"/>
        </w:rPr>
        <w:t>fuera</w:t>
      </w:r>
      <w:r>
        <w:rPr>
          <w:color w:val="231F20"/>
          <w:spacing w:val="-8"/>
          <w:w w:val="105"/>
        </w:rPr>
        <w:t> </w:t>
      </w:r>
      <w:r>
        <w:rPr>
          <w:color w:val="231F20"/>
          <w:w w:val="105"/>
        </w:rPr>
        <w:t>del</w:t>
      </w:r>
      <w:r>
        <w:rPr>
          <w:color w:val="231F20"/>
          <w:spacing w:val="-8"/>
          <w:w w:val="105"/>
        </w:rPr>
        <w:t> </w:t>
      </w:r>
      <w:r>
        <w:rPr>
          <w:color w:val="231F20"/>
          <w:w w:val="105"/>
        </w:rPr>
        <w:t>Centro</w:t>
      </w:r>
      <w:r>
        <w:rPr>
          <w:color w:val="231F20"/>
          <w:spacing w:val="-8"/>
          <w:w w:val="105"/>
        </w:rPr>
        <w:t> </w:t>
      </w:r>
      <w:r>
        <w:rPr>
          <w:color w:val="231F20"/>
          <w:w w:val="105"/>
        </w:rPr>
        <w:t>Histórico</w:t>
      </w:r>
      <w:r>
        <w:rPr>
          <w:color w:val="231F20"/>
          <w:spacing w:val="-8"/>
          <w:w w:val="105"/>
        </w:rPr>
        <w:t> </w:t>
      </w:r>
      <w:r>
        <w:rPr>
          <w:color w:val="231F20"/>
          <w:w w:val="105"/>
        </w:rPr>
        <w:t>las</w:t>
      </w:r>
      <w:r>
        <w:rPr>
          <w:color w:val="231F20"/>
          <w:spacing w:val="-8"/>
          <w:w w:val="105"/>
        </w:rPr>
        <w:t> </w:t>
      </w:r>
      <w:r>
        <w:rPr>
          <w:color w:val="231F20"/>
          <w:w w:val="105"/>
        </w:rPr>
        <w:t>bases</w:t>
      </w:r>
      <w:r>
        <w:rPr>
          <w:color w:val="231F20"/>
          <w:spacing w:val="-8"/>
          <w:w w:val="105"/>
        </w:rPr>
        <w:t> </w:t>
      </w:r>
      <w:r>
        <w:rPr>
          <w:color w:val="231F20"/>
          <w:w w:val="105"/>
        </w:rPr>
        <w:t>de</w:t>
      </w:r>
      <w:r>
        <w:rPr>
          <w:color w:val="231F20"/>
          <w:spacing w:val="-8"/>
          <w:w w:val="105"/>
        </w:rPr>
        <w:t> </w:t>
      </w:r>
      <w:r>
        <w:rPr>
          <w:color w:val="231F20"/>
          <w:w w:val="105"/>
        </w:rPr>
        <w:t>transporte</w:t>
      </w:r>
      <w:r>
        <w:rPr>
          <w:color w:val="231F20"/>
          <w:spacing w:val="-8"/>
          <w:w w:val="105"/>
        </w:rPr>
        <w:t> </w:t>
      </w:r>
      <w:r>
        <w:rPr>
          <w:color w:val="231F20"/>
          <w:w w:val="105"/>
        </w:rPr>
        <w:t>público.</w:t>
      </w:r>
    </w:p>
    <w:p>
      <w:pPr>
        <w:pStyle w:val="BodyText"/>
        <w:spacing w:before="1"/>
        <w:rPr>
          <w:sz w:val="26"/>
        </w:rPr>
      </w:pPr>
    </w:p>
    <w:p>
      <w:pPr>
        <w:pStyle w:val="BodyText"/>
        <w:spacing w:line="285" w:lineRule="auto"/>
        <w:ind w:left="110" w:right="108"/>
        <w:jc w:val="both"/>
      </w:pPr>
      <w:r>
        <w:rPr>
          <w:color w:val="231F20"/>
          <w:w w:val="105"/>
        </w:rPr>
        <w:t>Se logró aumentar el padrón de contribuyentes de impuesto predial y catastro munici- pal, de </w:t>
      </w:r>
      <w:r>
        <w:rPr>
          <w:color w:val="231F20"/>
          <w:spacing w:val="3"/>
          <w:w w:val="105"/>
        </w:rPr>
        <w:t>60,000 </w:t>
      </w:r>
      <w:r>
        <w:rPr>
          <w:color w:val="231F20"/>
          <w:w w:val="105"/>
        </w:rPr>
        <w:t>a </w:t>
      </w:r>
      <w:r>
        <w:rPr>
          <w:color w:val="231F20"/>
          <w:spacing w:val="3"/>
          <w:w w:val="105"/>
        </w:rPr>
        <w:t>66,000 </w:t>
      </w:r>
      <w:r>
        <w:rPr>
          <w:color w:val="231F20"/>
          <w:w w:val="105"/>
        </w:rPr>
        <w:t>contribuyentes activos. Durante los meses de </w:t>
      </w:r>
      <w:r>
        <w:rPr>
          <w:color w:val="231F20"/>
          <w:spacing w:val="-3"/>
          <w:w w:val="105"/>
        </w:rPr>
        <w:t>enero, febrero </w:t>
      </w:r>
      <w:r>
        <w:rPr>
          <w:color w:val="231F20"/>
          <w:w w:val="105"/>
        </w:rPr>
        <w:t>y marzo se beneficiaron a 16,500 contribuyentes con una disminución en sus pagos por un </w:t>
      </w:r>
      <w:r>
        <w:rPr>
          <w:color w:val="231F20"/>
          <w:spacing w:val="-3"/>
          <w:w w:val="105"/>
        </w:rPr>
        <w:t>monto </w:t>
      </w:r>
      <w:r>
        <w:rPr>
          <w:color w:val="231F20"/>
          <w:w w:val="105"/>
        </w:rPr>
        <w:t>total de </w:t>
      </w:r>
      <w:r>
        <w:rPr>
          <w:color w:val="231F20"/>
          <w:spacing w:val="3"/>
          <w:w w:val="105"/>
        </w:rPr>
        <w:t>$900,000 </w:t>
      </w:r>
      <w:r>
        <w:rPr>
          <w:color w:val="231F20"/>
          <w:w w:val="105"/>
        </w:rPr>
        <w:t>y se subsidió a jubilados, adultos mayores, personas con capacidades</w:t>
      </w:r>
      <w:r>
        <w:rPr>
          <w:color w:val="231F20"/>
          <w:spacing w:val="-8"/>
          <w:w w:val="105"/>
        </w:rPr>
        <w:t> </w:t>
      </w:r>
      <w:r>
        <w:rPr>
          <w:color w:val="231F20"/>
          <w:w w:val="105"/>
        </w:rPr>
        <w:t>diferentes</w:t>
      </w:r>
      <w:r>
        <w:rPr>
          <w:color w:val="231F20"/>
          <w:spacing w:val="-8"/>
          <w:w w:val="105"/>
        </w:rPr>
        <w:t> </w:t>
      </w:r>
      <w:r>
        <w:rPr>
          <w:color w:val="231F20"/>
          <w:w w:val="105"/>
        </w:rPr>
        <w:t>por</w:t>
      </w:r>
      <w:r>
        <w:rPr>
          <w:color w:val="231F20"/>
          <w:spacing w:val="-8"/>
          <w:w w:val="105"/>
        </w:rPr>
        <w:t> </w:t>
      </w:r>
      <w:r>
        <w:rPr>
          <w:color w:val="231F20"/>
          <w:w w:val="105"/>
        </w:rPr>
        <w:t>un</w:t>
      </w:r>
      <w:r>
        <w:rPr>
          <w:color w:val="231F20"/>
          <w:spacing w:val="-8"/>
          <w:w w:val="105"/>
        </w:rPr>
        <w:t> </w:t>
      </w:r>
      <w:r>
        <w:rPr>
          <w:color w:val="231F20"/>
          <w:w w:val="105"/>
        </w:rPr>
        <w:t>total</w:t>
      </w:r>
      <w:r>
        <w:rPr>
          <w:color w:val="231F20"/>
          <w:spacing w:val="-8"/>
          <w:w w:val="105"/>
        </w:rPr>
        <w:t> </w:t>
      </w:r>
      <w:r>
        <w:rPr>
          <w:color w:val="231F20"/>
          <w:w w:val="105"/>
        </w:rPr>
        <w:t>de</w:t>
      </w:r>
      <w:r>
        <w:rPr>
          <w:color w:val="231F20"/>
          <w:spacing w:val="-8"/>
          <w:w w:val="105"/>
        </w:rPr>
        <w:t> </w:t>
      </w:r>
      <w:r>
        <w:rPr>
          <w:color w:val="231F20"/>
          <w:w w:val="105"/>
        </w:rPr>
        <w:t>$</w:t>
      </w:r>
      <w:r>
        <w:rPr>
          <w:color w:val="231F20"/>
          <w:spacing w:val="-8"/>
          <w:w w:val="105"/>
        </w:rPr>
        <w:t> </w:t>
      </w:r>
      <w:r>
        <w:rPr>
          <w:color w:val="231F20"/>
          <w:spacing w:val="2"/>
          <w:w w:val="105"/>
        </w:rPr>
        <w:t>830,000,</w:t>
      </w:r>
      <w:r>
        <w:rPr>
          <w:color w:val="231F20"/>
          <w:spacing w:val="-8"/>
          <w:w w:val="105"/>
        </w:rPr>
        <w:t> </w:t>
      </w:r>
      <w:r>
        <w:rPr>
          <w:color w:val="231F20"/>
          <w:w w:val="105"/>
        </w:rPr>
        <w:t>logrando</w:t>
      </w:r>
      <w:r>
        <w:rPr>
          <w:color w:val="231F20"/>
          <w:spacing w:val="-8"/>
          <w:w w:val="105"/>
        </w:rPr>
        <w:t> </w:t>
      </w:r>
      <w:r>
        <w:rPr>
          <w:color w:val="231F20"/>
          <w:w w:val="105"/>
        </w:rPr>
        <w:t>incrementar</w:t>
      </w:r>
      <w:r>
        <w:rPr>
          <w:color w:val="231F20"/>
          <w:spacing w:val="-8"/>
          <w:w w:val="105"/>
        </w:rPr>
        <w:t> </w:t>
      </w:r>
      <w:r>
        <w:rPr>
          <w:color w:val="231F20"/>
          <w:w w:val="105"/>
        </w:rPr>
        <w:t>ingresos</w:t>
      </w:r>
      <w:r>
        <w:rPr>
          <w:color w:val="231F20"/>
          <w:spacing w:val="-8"/>
          <w:w w:val="105"/>
        </w:rPr>
        <w:t> </w:t>
      </w:r>
      <w:r>
        <w:rPr>
          <w:color w:val="231F20"/>
          <w:w w:val="105"/>
        </w:rPr>
        <w:t>por</w:t>
      </w:r>
      <w:r>
        <w:rPr>
          <w:color w:val="231F20"/>
          <w:spacing w:val="-8"/>
          <w:w w:val="105"/>
        </w:rPr>
        <w:t> </w:t>
      </w:r>
      <w:r>
        <w:rPr>
          <w:color w:val="231F20"/>
          <w:w w:val="105"/>
        </w:rPr>
        <w:t>la vía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regularización.</w:t>
      </w:r>
    </w:p>
    <w:p>
      <w:pPr>
        <w:pStyle w:val="BodyText"/>
        <w:spacing w:before="1"/>
        <w:rPr>
          <w:sz w:val="26"/>
        </w:rPr>
      </w:pPr>
    </w:p>
    <w:p>
      <w:pPr>
        <w:pStyle w:val="BodyText"/>
        <w:spacing w:line="285" w:lineRule="auto"/>
        <w:ind w:left="110" w:right="108"/>
        <w:jc w:val="both"/>
      </w:pPr>
      <w:r>
        <w:rPr>
          <w:color w:val="231F20"/>
          <w:w w:val="105"/>
        </w:rPr>
        <w:t>Pensar en estrategias que ayuden y motiven al ciudadano a realizar el pago de sus im- puestos es un aspecto que puso en práctica esta Administración ya que su programa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“Borrón</w:t>
      </w:r>
      <w:r>
        <w:rPr>
          <w:color w:val="231F20"/>
          <w:spacing w:val="-5"/>
          <w:w w:val="105"/>
        </w:rPr>
        <w:t> </w:t>
      </w:r>
      <w:r>
        <w:rPr>
          <w:color w:val="231F20"/>
          <w:w w:val="105"/>
        </w:rPr>
        <w:t>y</w:t>
      </w:r>
      <w:r>
        <w:rPr>
          <w:color w:val="231F20"/>
          <w:spacing w:val="-5"/>
          <w:w w:val="105"/>
        </w:rPr>
        <w:t> </w:t>
      </w:r>
      <w:r>
        <w:rPr>
          <w:color w:val="231F20"/>
          <w:w w:val="105"/>
        </w:rPr>
        <w:t>cuenta</w:t>
      </w:r>
      <w:r>
        <w:rPr>
          <w:color w:val="231F20"/>
          <w:spacing w:val="-5"/>
          <w:w w:val="105"/>
        </w:rPr>
        <w:t> </w:t>
      </w:r>
      <w:r>
        <w:rPr>
          <w:color w:val="231F20"/>
          <w:w w:val="105"/>
        </w:rPr>
        <w:t>nueva”</w:t>
      </w:r>
      <w:r>
        <w:rPr>
          <w:color w:val="231F20"/>
          <w:spacing w:val="-5"/>
          <w:w w:val="105"/>
        </w:rPr>
        <w:t> </w:t>
      </w:r>
      <w:r>
        <w:rPr>
          <w:color w:val="231F20"/>
          <w:w w:val="105"/>
        </w:rPr>
        <w:t>obtuvo</w:t>
      </w:r>
      <w:r>
        <w:rPr>
          <w:color w:val="231F20"/>
          <w:spacing w:val="-5"/>
          <w:w w:val="105"/>
        </w:rPr>
        <w:t> </w:t>
      </w:r>
      <w:r>
        <w:rPr>
          <w:color w:val="231F20"/>
          <w:w w:val="105"/>
        </w:rPr>
        <w:t>un</w:t>
      </w:r>
      <w:r>
        <w:rPr>
          <w:color w:val="231F20"/>
          <w:spacing w:val="-5"/>
          <w:w w:val="105"/>
        </w:rPr>
        <w:t> </w:t>
      </w:r>
      <w:r>
        <w:rPr>
          <w:color w:val="231F20"/>
          <w:w w:val="105"/>
        </w:rPr>
        <w:t>éxito</w:t>
      </w:r>
      <w:r>
        <w:rPr>
          <w:color w:val="231F20"/>
          <w:spacing w:val="-5"/>
          <w:w w:val="105"/>
        </w:rPr>
        <w:t> </w:t>
      </w:r>
      <w:r>
        <w:rPr>
          <w:color w:val="231F20"/>
          <w:w w:val="105"/>
        </w:rPr>
        <w:t>inesperado</w:t>
      </w:r>
      <w:r>
        <w:rPr>
          <w:color w:val="231F20"/>
          <w:spacing w:val="-5"/>
          <w:w w:val="105"/>
        </w:rPr>
        <w:t> </w:t>
      </w:r>
      <w:r>
        <w:rPr>
          <w:color w:val="231F20"/>
          <w:w w:val="105"/>
        </w:rPr>
        <w:t>pues</w:t>
      </w:r>
      <w:r>
        <w:rPr>
          <w:color w:val="231F20"/>
          <w:spacing w:val="-5"/>
          <w:w w:val="105"/>
        </w:rPr>
        <w:t> </w:t>
      </w:r>
      <w:r>
        <w:rPr>
          <w:color w:val="231F20"/>
          <w:w w:val="105"/>
        </w:rPr>
        <w:t>consistió</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condonación de</w:t>
      </w:r>
      <w:r>
        <w:rPr>
          <w:color w:val="231F20"/>
          <w:spacing w:val="-20"/>
          <w:w w:val="105"/>
        </w:rPr>
        <w:t> </w:t>
      </w:r>
      <w:r>
        <w:rPr>
          <w:color w:val="231F20"/>
          <w:w w:val="105"/>
        </w:rPr>
        <w:t>los</w:t>
      </w:r>
      <w:r>
        <w:rPr>
          <w:color w:val="231F20"/>
          <w:spacing w:val="-20"/>
          <w:w w:val="105"/>
        </w:rPr>
        <w:t> </w:t>
      </w:r>
      <w:r>
        <w:rPr>
          <w:color w:val="231F20"/>
          <w:w w:val="105"/>
        </w:rPr>
        <w:t>ejercicios</w:t>
      </w:r>
      <w:r>
        <w:rPr>
          <w:color w:val="231F20"/>
          <w:spacing w:val="-20"/>
          <w:w w:val="105"/>
        </w:rPr>
        <w:t> </w:t>
      </w:r>
      <w:r>
        <w:rPr>
          <w:color w:val="231F20"/>
          <w:w w:val="105"/>
        </w:rPr>
        <w:t>fiscales</w:t>
      </w:r>
      <w:r>
        <w:rPr>
          <w:color w:val="231F20"/>
          <w:spacing w:val="-20"/>
          <w:w w:val="105"/>
        </w:rPr>
        <w:t> </w:t>
      </w:r>
      <w:r>
        <w:rPr>
          <w:color w:val="231F20"/>
          <w:w w:val="105"/>
        </w:rPr>
        <w:t>de</w:t>
      </w:r>
      <w:r>
        <w:rPr>
          <w:color w:val="231F20"/>
          <w:spacing w:val="-20"/>
          <w:w w:val="105"/>
        </w:rPr>
        <w:t> </w:t>
      </w:r>
      <w:r>
        <w:rPr>
          <w:color w:val="231F20"/>
          <w:spacing w:val="2"/>
          <w:w w:val="105"/>
        </w:rPr>
        <w:t>2003</w:t>
      </w:r>
      <w:r>
        <w:rPr>
          <w:color w:val="231F20"/>
          <w:spacing w:val="-20"/>
          <w:w w:val="105"/>
        </w:rPr>
        <w:t> </w:t>
      </w:r>
      <w:r>
        <w:rPr>
          <w:color w:val="231F20"/>
          <w:w w:val="105"/>
        </w:rPr>
        <w:t>a</w:t>
      </w:r>
      <w:r>
        <w:rPr>
          <w:color w:val="231F20"/>
          <w:spacing w:val="-20"/>
          <w:w w:val="105"/>
        </w:rPr>
        <w:t> </w:t>
      </w:r>
      <w:r>
        <w:rPr>
          <w:color w:val="231F20"/>
          <w:spacing w:val="-3"/>
          <w:w w:val="105"/>
        </w:rPr>
        <w:t>2007,</w:t>
      </w:r>
      <w:r>
        <w:rPr>
          <w:color w:val="231F20"/>
          <w:spacing w:val="-20"/>
          <w:w w:val="105"/>
        </w:rPr>
        <w:t> </w:t>
      </w:r>
      <w:r>
        <w:rPr>
          <w:color w:val="231F20"/>
          <w:w w:val="105"/>
        </w:rPr>
        <w:t>pagando</w:t>
      </w:r>
      <w:r>
        <w:rPr>
          <w:color w:val="231F20"/>
          <w:spacing w:val="-20"/>
          <w:w w:val="105"/>
        </w:rPr>
        <w:t> </w:t>
      </w:r>
      <w:r>
        <w:rPr>
          <w:color w:val="231F20"/>
          <w:w w:val="105"/>
        </w:rPr>
        <w:t>únicamente</w:t>
      </w:r>
      <w:r>
        <w:rPr>
          <w:color w:val="231F20"/>
          <w:spacing w:val="-20"/>
          <w:w w:val="105"/>
        </w:rPr>
        <w:t> </w:t>
      </w:r>
      <w:r>
        <w:rPr>
          <w:color w:val="231F20"/>
          <w:w w:val="105"/>
        </w:rPr>
        <w:t>el</w:t>
      </w:r>
      <w:r>
        <w:rPr>
          <w:color w:val="231F20"/>
          <w:spacing w:val="-20"/>
          <w:w w:val="105"/>
        </w:rPr>
        <w:t> </w:t>
      </w:r>
      <w:r>
        <w:rPr>
          <w:color w:val="231F20"/>
          <w:spacing w:val="3"/>
          <w:w w:val="105"/>
        </w:rPr>
        <w:t>2008</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cantidad</w:t>
      </w:r>
      <w:r>
        <w:rPr>
          <w:color w:val="231F20"/>
          <w:spacing w:val="-20"/>
          <w:w w:val="105"/>
        </w:rPr>
        <w:t> </w:t>
      </w:r>
      <w:r>
        <w:rPr>
          <w:color w:val="231F20"/>
          <w:w w:val="105"/>
        </w:rPr>
        <w:t>de</w:t>
      </w:r>
    </w:p>
    <w:p>
      <w:pPr>
        <w:pStyle w:val="BodyText"/>
        <w:spacing w:line="285" w:lineRule="auto" w:before="1"/>
        <w:ind w:left="110" w:right="108"/>
        <w:jc w:val="both"/>
      </w:pPr>
      <w:r>
        <w:rPr>
          <w:color w:val="231F20"/>
          <w:w w:val="105"/>
        </w:rPr>
        <w:t>$</w:t>
      </w:r>
      <w:r>
        <w:rPr>
          <w:color w:val="231F20"/>
          <w:spacing w:val="-9"/>
          <w:w w:val="105"/>
        </w:rPr>
        <w:t> </w:t>
      </w:r>
      <w:r>
        <w:rPr>
          <w:color w:val="231F20"/>
          <w:w w:val="105"/>
        </w:rPr>
        <w:t>740.00</w:t>
      </w:r>
      <w:r>
        <w:rPr>
          <w:color w:val="231F20"/>
          <w:spacing w:val="-9"/>
          <w:w w:val="105"/>
        </w:rPr>
        <w:t> </w:t>
      </w:r>
      <w:r>
        <w:rPr>
          <w:color w:val="231F20"/>
          <w:w w:val="105"/>
        </w:rPr>
        <w:t>regularizando</w:t>
      </w:r>
      <w:r>
        <w:rPr>
          <w:color w:val="231F20"/>
          <w:spacing w:val="-9"/>
          <w:w w:val="105"/>
        </w:rPr>
        <w:t> </w:t>
      </w:r>
      <w:r>
        <w:rPr>
          <w:color w:val="231F20"/>
          <w:w w:val="105"/>
        </w:rPr>
        <w:t>así</w:t>
      </w:r>
      <w:r>
        <w:rPr>
          <w:color w:val="231F20"/>
          <w:spacing w:val="-9"/>
          <w:w w:val="105"/>
        </w:rPr>
        <w:t> </w:t>
      </w:r>
      <w:r>
        <w:rPr>
          <w:color w:val="231F20"/>
          <w:w w:val="105"/>
        </w:rPr>
        <w:t>su</w:t>
      </w:r>
      <w:r>
        <w:rPr>
          <w:color w:val="231F20"/>
          <w:spacing w:val="-9"/>
          <w:w w:val="105"/>
        </w:rPr>
        <w:t> </w:t>
      </w:r>
      <w:r>
        <w:rPr>
          <w:color w:val="231F20"/>
          <w:w w:val="105"/>
        </w:rPr>
        <w:t>situación.</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permitió</w:t>
      </w:r>
      <w:r>
        <w:rPr>
          <w:color w:val="231F20"/>
          <w:spacing w:val="-9"/>
          <w:w w:val="105"/>
        </w:rPr>
        <w:t> </w:t>
      </w:r>
      <w:r>
        <w:rPr>
          <w:color w:val="231F20"/>
          <w:w w:val="105"/>
        </w:rPr>
        <w:t>una</w:t>
      </w:r>
      <w:r>
        <w:rPr>
          <w:color w:val="231F20"/>
          <w:spacing w:val="-9"/>
          <w:w w:val="105"/>
        </w:rPr>
        <w:t> </w:t>
      </w:r>
      <w:r>
        <w:rPr>
          <w:color w:val="231F20"/>
          <w:w w:val="105"/>
        </w:rPr>
        <w:t>recaudación</w:t>
      </w:r>
      <w:r>
        <w:rPr>
          <w:color w:val="231F20"/>
          <w:spacing w:val="-9"/>
          <w:w w:val="105"/>
        </w:rPr>
        <w:t> </w:t>
      </w:r>
      <w:r>
        <w:rPr>
          <w:color w:val="231F20"/>
          <w:spacing w:val="2"/>
          <w:w w:val="105"/>
        </w:rPr>
        <w:t>al</w:t>
      </w:r>
      <w:r>
        <w:rPr>
          <w:color w:val="231F20"/>
          <w:spacing w:val="-9"/>
          <w:w w:val="105"/>
        </w:rPr>
        <w:t> </w:t>
      </w:r>
      <w:r>
        <w:rPr>
          <w:color w:val="231F20"/>
          <w:w w:val="105"/>
        </w:rPr>
        <w:t>municipio de</w:t>
      </w:r>
      <w:r>
        <w:rPr>
          <w:color w:val="231F20"/>
          <w:spacing w:val="-28"/>
          <w:w w:val="105"/>
        </w:rPr>
        <w:t> </w:t>
      </w:r>
      <w:r>
        <w:rPr>
          <w:color w:val="231F20"/>
          <w:spacing w:val="-5"/>
          <w:w w:val="105"/>
        </w:rPr>
        <w:t>11,</w:t>
      </w:r>
      <w:r>
        <w:rPr>
          <w:color w:val="231F20"/>
          <w:spacing w:val="-28"/>
          <w:w w:val="105"/>
        </w:rPr>
        <w:t> </w:t>
      </w:r>
      <w:r>
        <w:rPr>
          <w:color w:val="231F20"/>
          <w:w w:val="105"/>
        </w:rPr>
        <w:t>055,600</w:t>
      </w:r>
      <w:r>
        <w:rPr>
          <w:color w:val="231F20"/>
          <w:spacing w:val="-28"/>
          <w:w w:val="105"/>
        </w:rPr>
        <w:t> </w:t>
      </w:r>
      <w:r>
        <w:rPr>
          <w:color w:val="231F20"/>
          <w:w w:val="105"/>
        </w:rPr>
        <w:t>pesos.</w:t>
      </w:r>
    </w:p>
    <w:p>
      <w:pPr>
        <w:pStyle w:val="BodyText"/>
        <w:spacing w:before="1"/>
        <w:rPr>
          <w:sz w:val="26"/>
        </w:rPr>
      </w:pPr>
    </w:p>
    <w:p>
      <w:pPr>
        <w:pStyle w:val="BodyText"/>
        <w:spacing w:line="285" w:lineRule="auto"/>
        <w:ind w:left="110" w:right="108"/>
        <w:jc w:val="both"/>
      </w:pPr>
      <w:r>
        <w:rPr>
          <w:color w:val="231F20"/>
          <w:w w:val="105"/>
        </w:rPr>
        <w:t>A finales del año </w:t>
      </w:r>
      <w:r>
        <w:rPr>
          <w:color w:val="231F20"/>
          <w:spacing w:val="2"/>
          <w:w w:val="105"/>
        </w:rPr>
        <w:t>2007 </w:t>
      </w:r>
      <w:r>
        <w:rPr>
          <w:color w:val="231F20"/>
          <w:w w:val="105"/>
        </w:rPr>
        <w:t>el municipio se benefició con dos camiones de bomberos, una aplanadora,</w:t>
      </w:r>
      <w:r>
        <w:rPr>
          <w:color w:val="231F20"/>
          <w:spacing w:val="-6"/>
          <w:w w:val="105"/>
        </w:rPr>
        <w:t> </w:t>
      </w:r>
      <w:r>
        <w:rPr>
          <w:color w:val="231F20"/>
          <w:w w:val="105"/>
        </w:rPr>
        <w:t>una</w:t>
      </w:r>
      <w:r>
        <w:rPr>
          <w:color w:val="231F20"/>
          <w:spacing w:val="-6"/>
          <w:w w:val="105"/>
        </w:rPr>
        <w:t> </w:t>
      </w:r>
      <w:r>
        <w:rPr>
          <w:color w:val="231F20"/>
          <w:w w:val="105"/>
        </w:rPr>
        <w:t>moto</w:t>
      </w:r>
      <w:r>
        <w:rPr>
          <w:color w:val="231F20"/>
          <w:spacing w:val="-6"/>
          <w:w w:val="105"/>
        </w:rPr>
        <w:t> </w:t>
      </w:r>
      <w:r>
        <w:rPr>
          <w:color w:val="231F20"/>
          <w:w w:val="105"/>
        </w:rPr>
        <w:t>conformadora,</w:t>
      </w:r>
      <w:r>
        <w:rPr>
          <w:color w:val="231F20"/>
          <w:spacing w:val="-6"/>
          <w:w w:val="105"/>
        </w:rPr>
        <w:t> </w:t>
      </w:r>
      <w:r>
        <w:rPr>
          <w:color w:val="231F20"/>
          <w:w w:val="105"/>
        </w:rPr>
        <w:t>un</w:t>
      </w:r>
      <w:r>
        <w:rPr>
          <w:color w:val="231F20"/>
          <w:spacing w:val="-6"/>
          <w:w w:val="105"/>
        </w:rPr>
        <w:t> </w:t>
      </w:r>
      <w:r>
        <w:rPr>
          <w:color w:val="231F20"/>
          <w:w w:val="105"/>
        </w:rPr>
        <w:t>camión</w:t>
      </w:r>
      <w:r>
        <w:rPr>
          <w:color w:val="231F20"/>
          <w:spacing w:val="-6"/>
          <w:w w:val="105"/>
        </w:rPr>
        <w:t> </w:t>
      </w:r>
      <w:r>
        <w:rPr>
          <w:color w:val="231F20"/>
          <w:w w:val="105"/>
        </w:rPr>
        <w:t>tipo</w:t>
      </w:r>
      <w:r>
        <w:rPr>
          <w:color w:val="231F20"/>
          <w:spacing w:val="-6"/>
          <w:w w:val="105"/>
        </w:rPr>
        <w:t> </w:t>
      </w:r>
      <w:r>
        <w:rPr>
          <w:color w:val="231F20"/>
          <w:spacing w:val="-5"/>
          <w:w w:val="105"/>
        </w:rPr>
        <w:t>Váctor,</w:t>
      </w:r>
      <w:r>
        <w:rPr>
          <w:color w:val="231F20"/>
          <w:spacing w:val="-6"/>
          <w:w w:val="105"/>
        </w:rPr>
        <w:t> </w:t>
      </w:r>
      <w:r>
        <w:rPr>
          <w:color w:val="231F20"/>
          <w:w w:val="105"/>
        </w:rPr>
        <w:t>equipo</w:t>
      </w:r>
      <w:r>
        <w:rPr>
          <w:color w:val="231F20"/>
          <w:spacing w:val="-6"/>
          <w:w w:val="105"/>
        </w:rPr>
        <w:t> </w:t>
      </w:r>
      <w:r>
        <w:rPr>
          <w:color w:val="231F20"/>
          <w:w w:val="105"/>
        </w:rPr>
        <w:t>médico</w:t>
      </w:r>
      <w:r>
        <w:rPr>
          <w:color w:val="231F20"/>
          <w:spacing w:val="-6"/>
          <w:w w:val="105"/>
        </w:rPr>
        <w:t> </w:t>
      </w:r>
      <w:r>
        <w:rPr>
          <w:color w:val="231F20"/>
          <w:w w:val="105"/>
        </w:rPr>
        <w:t>y</w:t>
      </w:r>
      <w:r>
        <w:rPr>
          <w:color w:val="231F20"/>
          <w:spacing w:val="-6"/>
          <w:w w:val="105"/>
        </w:rPr>
        <w:t> </w:t>
      </w:r>
      <w:r>
        <w:rPr>
          <w:color w:val="231F20"/>
          <w:w w:val="105"/>
        </w:rPr>
        <w:t>medica- mentos para el fortalecimiento de la prestación de Servicios Públicos municipales y</w:t>
      </w:r>
      <w:r>
        <w:rPr>
          <w:color w:val="231F20"/>
          <w:spacing w:val="-38"/>
          <w:w w:val="105"/>
        </w:rPr>
        <w:t> </w:t>
      </w:r>
      <w:r>
        <w:rPr>
          <w:color w:val="231F20"/>
          <w:w w:val="105"/>
        </w:rPr>
        <w:t>la </w:t>
      </w:r>
      <w:r>
        <w:rPr>
          <w:color w:val="231F20"/>
        </w:rPr>
        <w:t>asistencia</w:t>
      </w:r>
      <w:r>
        <w:rPr>
          <w:color w:val="231F20"/>
          <w:spacing w:val="29"/>
        </w:rPr>
        <w:t> </w:t>
      </w:r>
      <w:r>
        <w:rPr>
          <w:color w:val="231F20"/>
        </w:rPr>
        <w:t>social.</w:t>
      </w:r>
    </w:p>
    <w:p>
      <w:pPr>
        <w:pStyle w:val="BodyText"/>
        <w:spacing w:before="1"/>
        <w:rPr>
          <w:sz w:val="26"/>
        </w:rPr>
      </w:pPr>
    </w:p>
    <w:p>
      <w:pPr>
        <w:pStyle w:val="BodyText"/>
        <w:spacing w:line="285" w:lineRule="auto"/>
        <w:ind w:left="110" w:right="108"/>
        <w:jc w:val="both"/>
      </w:pPr>
      <w:r>
        <w:rPr>
          <w:color w:val="231F20"/>
          <w:w w:val="105"/>
        </w:rPr>
        <w:t>Es</w:t>
      </w:r>
      <w:r>
        <w:rPr>
          <w:color w:val="231F20"/>
          <w:spacing w:val="-7"/>
          <w:w w:val="105"/>
        </w:rPr>
        <w:t> </w:t>
      </w:r>
      <w:r>
        <w:rPr>
          <w:color w:val="231F20"/>
          <w:w w:val="105"/>
        </w:rPr>
        <w:t>indispensable</w:t>
      </w:r>
      <w:r>
        <w:rPr>
          <w:color w:val="231F20"/>
          <w:spacing w:val="-7"/>
          <w:w w:val="105"/>
        </w:rPr>
        <w:t> </w:t>
      </w:r>
      <w:r>
        <w:rPr>
          <w:color w:val="231F20"/>
          <w:w w:val="105"/>
        </w:rPr>
        <w:t>en</w:t>
      </w:r>
      <w:r>
        <w:rPr>
          <w:color w:val="231F20"/>
          <w:spacing w:val="-7"/>
          <w:w w:val="105"/>
        </w:rPr>
        <w:t> </w:t>
      </w:r>
      <w:r>
        <w:rPr>
          <w:color w:val="231F20"/>
          <w:w w:val="105"/>
        </w:rPr>
        <w:t>toda</w:t>
      </w:r>
      <w:r>
        <w:rPr>
          <w:color w:val="231F20"/>
          <w:spacing w:val="-7"/>
          <w:w w:val="105"/>
        </w:rPr>
        <w:t> </w:t>
      </w:r>
      <w:r>
        <w:rPr>
          <w:color w:val="231F20"/>
          <w:w w:val="105"/>
        </w:rPr>
        <w:t>Institución</w:t>
      </w:r>
      <w:r>
        <w:rPr>
          <w:color w:val="231F20"/>
          <w:spacing w:val="-7"/>
          <w:w w:val="105"/>
        </w:rPr>
        <w:t> </w:t>
      </w:r>
      <w:r>
        <w:rPr>
          <w:color w:val="231F20"/>
          <w:w w:val="105"/>
        </w:rPr>
        <w:t>gubernamental</w:t>
      </w:r>
      <w:r>
        <w:rPr>
          <w:color w:val="231F20"/>
          <w:spacing w:val="-7"/>
          <w:w w:val="105"/>
        </w:rPr>
        <w:t> </w:t>
      </w:r>
      <w:r>
        <w:rPr>
          <w:color w:val="231F20"/>
          <w:w w:val="105"/>
        </w:rPr>
        <w:t>gestionar</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caso</w:t>
      </w:r>
      <w:r>
        <w:rPr>
          <w:color w:val="231F20"/>
          <w:spacing w:val="-7"/>
          <w:w w:val="105"/>
        </w:rPr>
        <w:t> </w:t>
      </w:r>
      <w:r>
        <w:rPr>
          <w:color w:val="231F20"/>
          <w:w w:val="105"/>
        </w:rPr>
        <w:t>el</w:t>
      </w:r>
      <w:r>
        <w:rPr>
          <w:color w:val="231F20"/>
          <w:spacing w:val="-7"/>
          <w:w w:val="105"/>
        </w:rPr>
        <w:t> </w:t>
      </w:r>
      <w:r>
        <w:rPr>
          <w:color w:val="231F20"/>
          <w:spacing w:val="-3"/>
          <w:w w:val="105"/>
        </w:rPr>
        <w:t>Gobier- </w:t>
      </w:r>
      <w:r>
        <w:rPr>
          <w:color w:val="231F20"/>
          <w:w w:val="105"/>
        </w:rPr>
        <w:t>no</w:t>
      </w:r>
      <w:r>
        <w:rPr>
          <w:color w:val="231F20"/>
          <w:spacing w:val="-10"/>
          <w:w w:val="105"/>
        </w:rPr>
        <w:t> </w:t>
      </w:r>
      <w:r>
        <w:rPr>
          <w:color w:val="231F20"/>
          <w:w w:val="105"/>
        </w:rPr>
        <w:t>ha</w:t>
      </w:r>
      <w:r>
        <w:rPr>
          <w:color w:val="231F20"/>
          <w:spacing w:val="-10"/>
          <w:w w:val="105"/>
        </w:rPr>
        <w:t> </w:t>
      </w:r>
      <w:r>
        <w:rPr>
          <w:color w:val="231F20"/>
          <w:w w:val="105"/>
        </w:rPr>
        <w:t>logrado</w:t>
      </w:r>
      <w:r>
        <w:rPr>
          <w:color w:val="231F20"/>
          <w:spacing w:val="-10"/>
          <w:w w:val="105"/>
        </w:rPr>
        <w:t> </w:t>
      </w:r>
      <w:r>
        <w:rPr>
          <w:color w:val="231F20"/>
          <w:w w:val="105"/>
        </w:rPr>
        <w:t>acuerdos</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Institución</w:t>
      </w:r>
      <w:r>
        <w:rPr>
          <w:color w:val="231F20"/>
          <w:spacing w:val="-10"/>
          <w:w w:val="105"/>
        </w:rPr>
        <w:t> </w:t>
      </w:r>
      <w:r>
        <w:rPr>
          <w:color w:val="231F20"/>
          <w:w w:val="105"/>
        </w:rPr>
        <w:t>de</w:t>
      </w:r>
      <w:r>
        <w:rPr>
          <w:color w:val="231F20"/>
          <w:spacing w:val="-10"/>
          <w:w w:val="105"/>
        </w:rPr>
        <w:t> </w:t>
      </w:r>
      <w:r>
        <w:rPr>
          <w:color w:val="231F20"/>
          <w:w w:val="105"/>
        </w:rPr>
        <w:t>“Fundación</w:t>
      </w:r>
      <w:r>
        <w:rPr>
          <w:color w:val="231F20"/>
          <w:spacing w:val="-10"/>
          <w:w w:val="105"/>
        </w:rPr>
        <w:t> </w:t>
      </w:r>
      <w:r>
        <w:rPr>
          <w:color w:val="231F20"/>
          <w:spacing w:val="-3"/>
          <w:w w:val="105"/>
        </w:rPr>
        <w:t>Azteca”,</w:t>
      </w:r>
      <w:r>
        <w:rPr>
          <w:color w:val="231F20"/>
          <w:spacing w:val="-10"/>
          <w:w w:val="105"/>
        </w:rPr>
        <w:t> </w:t>
      </w:r>
      <w:r>
        <w:rPr>
          <w:color w:val="231F20"/>
          <w:spacing w:val="-4"/>
          <w:w w:val="105"/>
        </w:rPr>
        <w:t>“Children`s</w:t>
      </w:r>
      <w:r>
        <w:rPr>
          <w:color w:val="231F20"/>
          <w:spacing w:val="-10"/>
          <w:w w:val="105"/>
        </w:rPr>
        <w:t> </w:t>
      </w:r>
      <w:r>
        <w:rPr>
          <w:color w:val="231F20"/>
          <w:w w:val="105"/>
        </w:rPr>
        <w:t>Network International”</w:t>
      </w:r>
      <w:r>
        <w:rPr>
          <w:color w:val="231F20"/>
          <w:spacing w:val="-28"/>
          <w:w w:val="105"/>
        </w:rPr>
        <w:t> </w:t>
      </w:r>
      <w:r>
        <w:rPr>
          <w:color w:val="231F20"/>
          <w:w w:val="105"/>
        </w:rPr>
        <w:t>y</w:t>
      </w:r>
      <w:r>
        <w:rPr>
          <w:color w:val="231F20"/>
          <w:spacing w:val="-28"/>
          <w:w w:val="105"/>
        </w:rPr>
        <w:t> </w:t>
      </w:r>
      <w:r>
        <w:rPr>
          <w:color w:val="231F20"/>
          <w:w w:val="105"/>
        </w:rPr>
        <w:t>la</w:t>
      </w:r>
      <w:r>
        <w:rPr>
          <w:color w:val="231F20"/>
          <w:spacing w:val="-28"/>
          <w:w w:val="105"/>
        </w:rPr>
        <w:t> </w:t>
      </w:r>
      <w:r>
        <w:rPr>
          <w:color w:val="231F20"/>
          <w:w w:val="105"/>
        </w:rPr>
        <w:t>Asociación</w:t>
      </w:r>
      <w:r>
        <w:rPr>
          <w:color w:val="231F20"/>
          <w:spacing w:val="-28"/>
          <w:w w:val="105"/>
        </w:rPr>
        <w:t> </w:t>
      </w:r>
      <w:r>
        <w:rPr>
          <w:color w:val="231F20"/>
          <w:w w:val="105"/>
        </w:rPr>
        <w:t>“Esfuerzos</w:t>
      </w:r>
      <w:r>
        <w:rPr>
          <w:color w:val="231F20"/>
          <w:spacing w:val="-28"/>
          <w:w w:val="105"/>
        </w:rPr>
        <w:t> </w:t>
      </w:r>
      <w:r>
        <w:rPr>
          <w:color w:val="231F20"/>
          <w:w w:val="105"/>
        </w:rPr>
        <w:t>Conjuntos</w:t>
      </w:r>
      <w:r>
        <w:rPr>
          <w:color w:val="231F20"/>
          <w:spacing w:val="-28"/>
          <w:w w:val="105"/>
        </w:rPr>
        <w:t> </w:t>
      </w:r>
      <w:r>
        <w:rPr>
          <w:color w:val="231F20"/>
          <w:w w:val="105"/>
        </w:rPr>
        <w:t>por</w:t>
      </w:r>
      <w:r>
        <w:rPr>
          <w:color w:val="231F20"/>
          <w:spacing w:val="-28"/>
          <w:w w:val="105"/>
        </w:rPr>
        <w:t> </w:t>
      </w:r>
      <w:r>
        <w:rPr>
          <w:color w:val="231F20"/>
          <w:w w:val="105"/>
        </w:rPr>
        <w:t>México,</w:t>
      </w:r>
      <w:r>
        <w:rPr>
          <w:color w:val="231F20"/>
          <w:spacing w:val="-28"/>
          <w:w w:val="105"/>
        </w:rPr>
        <w:t> </w:t>
      </w:r>
      <w:r>
        <w:rPr>
          <w:color w:val="231F20"/>
          <w:spacing w:val="-3"/>
          <w:w w:val="105"/>
        </w:rPr>
        <w:t>A.C”.</w:t>
      </w:r>
    </w:p>
    <w:p>
      <w:pPr>
        <w:pStyle w:val="BodyText"/>
        <w:spacing w:before="1"/>
        <w:rPr>
          <w:sz w:val="26"/>
        </w:rPr>
      </w:pPr>
    </w:p>
    <w:p>
      <w:pPr>
        <w:pStyle w:val="BodyText"/>
        <w:spacing w:line="285" w:lineRule="auto"/>
        <w:ind w:left="110" w:right="107"/>
        <w:jc w:val="both"/>
      </w:pPr>
      <w:r>
        <w:rPr>
          <w:color w:val="231F20"/>
          <w:w w:val="105"/>
        </w:rPr>
        <w:t>Otra acción relevante es en el área de salud ya que se implementó en esta Administra- ción</w:t>
      </w:r>
      <w:r>
        <w:rPr>
          <w:color w:val="231F20"/>
          <w:spacing w:val="-10"/>
          <w:w w:val="105"/>
        </w:rPr>
        <w:t> </w:t>
      </w:r>
      <w:r>
        <w:rPr>
          <w:color w:val="231F20"/>
          <w:w w:val="105"/>
        </w:rPr>
        <w:t>el</w:t>
      </w:r>
      <w:r>
        <w:rPr>
          <w:color w:val="231F20"/>
          <w:spacing w:val="-10"/>
          <w:w w:val="105"/>
        </w:rPr>
        <w:t> </w:t>
      </w:r>
      <w:r>
        <w:rPr>
          <w:color w:val="231F20"/>
          <w:w w:val="105"/>
        </w:rPr>
        <w:t>programa</w:t>
      </w:r>
      <w:r>
        <w:rPr>
          <w:color w:val="231F20"/>
          <w:spacing w:val="-10"/>
          <w:w w:val="105"/>
        </w:rPr>
        <w:t> </w:t>
      </w:r>
      <w:r>
        <w:rPr>
          <w:color w:val="231F20"/>
          <w:w w:val="105"/>
        </w:rPr>
        <w:t>“salud</w:t>
      </w:r>
      <w:r>
        <w:rPr>
          <w:color w:val="231F20"/>
          <w:spacing w:val="-10"/>
          <w:w w:val="105"/>
        </w:rPr>
        <w:t> </w:t>
      </w:r>
      <w:r>
        <w:rPr>
          <w:color w:val="231F20"/>
          <w:w w:val="105"/>
        </w:rPr>
        <w:t>hasta</w:t>
      </w:r>
      <w:r>
        <w:rPr>
          <w:color w:val="231F20"/>
          <w:spacing w:val="-10"/>
          <w:w w:val="105"/>
        </w:rPr>
        <w:t> </w:t>
      </w:r>
      <w:r>
        <w:rPr>
          <w:color w:val="231F20"/>
          <w:w w:val="105"/>
        </w:rPr>
        <w:t>tu</w:t>
      </w:r>
      <w:r>
        <w:rPr>
          <w:color w:val="231F20"/>
          <w:spacing w:val="-10"/>
          <w:w w:val="105"/>
        </w:rPr>
        <w:t> </w:t>
      </w:r>
      <w:r>
        <w:rPr>
          <w:color w:val="231F20"/>
          <w:spacing w:val="-4"/>
          <w:w w:val="105"/>
        </w:rPr>
        <w:t>casa”,</w:t>
      </w:r>
      <w:r>
        <w:rPr>
          <w:color w:val="231F20"/>
          <w:spacing w:val="-10"/>
          <w:w w:val="105"/>
        </w:rPr>
        <w:t> </w:t>
      </w:r>
      <w:r>
        <w:rPr>
          <w:color w:val="231F20"/>
          <w:w w:val="105"/>
        </w:rPr>
        <w:t>que</w:t>
      </w:r>
      <w:r>
        <w:rPr>
          <w:color w:val="231F20"/>
          <w:spacing w:val="-10"/>
          <w:w w:val="105"/>
        </w:rPr>
        <w:t> </w:t>
      </w:r>
      <w:r>
        <w:rPr>
          <w:color w:val="231F20"/>
          <w:w w:val="105"/>
        </w:rPr>
        <w:t>implicó</w:t>
      </w:r>
      <w:r>
        <w:rPr>
          <w:color w:val="231F20"/>
          <w:spacing w:val="-10"/>
          <w:w w:val="105"/>
        </w:rPr>
        <w:t> </w:t>
      </w:r>
      <w:r>
        <w:rPr>
          <w:color w:val="231F20"/>
          <w:w w:val="105"/>
        </w:rPr>
        <w:t>la</w:t>
      </w:r>
      <w:r>
        <w:rPr>
          <w:color w:val="231F20"/>
          <w:spacing w:val="-10"/>
          <w:w w:val="105"/>
        </w:rPr>
        <w:t> </w:t>
      </w:r>
      <w:r>
        <w:rPr>
          <w:color w:val="231F20"/>
          <w:w w:val="105"/>
        </w:rPr>
        <w:t>adquisición</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unidad</w:t>
      </w:r>
      <w:r>
        <w:rPr>
          <w:color w:val="231F20"/>
          <w:spacing w:val="-10"/>
          <w:w w:val="105"/>
        </w:rPr>
        <w:t> </w:t>
      </w:r>
      <w:r>
        <w:rPr>
          <w:color w:val="231F20"/>
          <w:w w:val="105"/>
        </w:rPr>
        <w:t>móvil con</w:t>
      </w:r>
      <w:r>
        <w:rPr>
          <w:color w:val="231F20"/>
          <w:spacing w:val="-15"/>
          <w:w w:val="105"/>
        </w:rPr>
        <w:t> </w:t>
      </w:r>
      <w:r>
        <w:rPr>
          <w:color w:val="231F20"/>
          <w:w w:val="105"/>
        </w:rPr>
        <w:t>un</w:t>
      </w:r>
      <w:r>
        <w:rPr>
          <w:color w:val="231F20"/>
          <w:spacing w:val="-15"/>
          <w:w w:val="105"/>
        </w:rPr>
        <w:t> </w:t>
      </w:r>
      <w:r>
        <w:rPr>
          <w:color w:val="231F20"/>
          <w:w w:val="105"/>
        </w:rPr>
        <w:t>costo</w:t>
      </w:r>
      <w:r>
        <w:rPr>
          <w:color w:val="231F20"/>
          <w:spacing w:val="-15"/>
          <w:w w:val="105"/>
        </w:rPr>
        <w:t> </w:t>
      </w:r>
      <w:r>
        <w:rPr>
          <w:color w:val="231F20"/>
          <w:w w:val="105"/>
        </w:rPr>
        <w:t>de</w:t>
      </w:r>
      <w:r>
        <w:rPr>
          <w:color w:val="231F20"/>
          <w:spacing w:val="-15"/>
          <w:w w:val="105"/>
        </w:rPr>
        <w:t> </w:t>
      </w:r>
      <w:r>
        <w:rPr>
          <w:color w:val="231F20"/>
          <w:spacing w:val="-5"/>
          <w:w w:val="105"/>
        </w:rPr>
        <w:t>$1,</w:t>
      </w:r>
      <w:r>
        <w:rPr>
          <w:color w:val="231F20"/>
          <w:spacing w:val="-15"/>
          <w:w w:val="105"/>
        </w:rPr>
        <w:t> </w:t>
      </w:r>
      <w:r>
        <w:rPr>
          <w:color w:val="231F20"/>
          <w:spacing w:val="3"/>
          <w:w w:val="105"/>
        </w:rPr>
        <w:t>400,000,</w:t>
      </w:r>
      <w:r>
        <w:rPr>
          <w:color w:val="231F20"/>
          <w:spacing w:val="-15"/>
          <w:w w:val="105"/>
        </w:rPr>
        <w:t> </w:t>
      </w:r>
      <w:r>
        <w:rPr>
          <w:color w:val="231F20"/>
          <w:w w:val="105"/>
        </w:rPr>
        <w:t>con</w:t>
      </w:r>
      <w:r>
        <w:rPr>
          <w:color w:val="231F20"/>
          <w:spacing w:val="-15"/>
          <w:w w:val="105"/>
        </w:rPr>
        <w:t> </w:t>
      </w:r>
      <w:r>
        <w:rPr>
          <w:color w:val="231F20"/>
          <w:w w:val="105"/>
        </w:rPr>
        <w:t>ayuda</w:t>
      </w:r>
      <w:r>
        <w:rPr>
          <w:color w:val="231F20"/>
          <w:spacing w:val="-15"/>
          <w:w w:val="105"/>
        </w:rPr>
        <w:t> </w:t>
      </w:r>
      <w:r>
        <w:rPr>
          <w:color w:val="231F20"/>
          <w:w w:val="105"/>
        </w:rPr>
        <w:t>de</w:t>
      </w:r>
      <w:r>
        <w:rPr>
          <w:color w:val="231F20"/>
          <w:spacing w:val="-15"/>
          <w:w w:val="105"/>
        </w:rPr>
        <w:t> </w:t>
      </w:r>
      <w:r>
        <w:rPr>
          <w:color w:val="231F20"/>
          <w:w w:val="105"/>
        </w:rPr>
        <w:t>personal</w:t>
      </w:r>
      <w:r>
        <w:rPr>
          <w:color w:val="231F20"/>
          <w:spacing w:val="-15"/>
          <w:w w:val="105"/>
        </w:rPr>
        <w:t> </w:t>
      </w:r>
      <w:r>
        <w:rPr>
          <w:color w:val="231F20"/>
          <w:w w:val="105"/>
        </w:rPr>
        <w:t>capacitado</w:t>
      </w:r>
      <w:r>
        <w:rPr>
          <w:color w:val="231F20"/>
          <w:spacing w:val="-15"/>
          <w:w w:val="105"/>
        </w:rPr>
        <w:t> </w:t>
      </w:r>
      <w:r>
        <w:rPr>
          <w:color w:val="231F20"/>
          <w:w w:val="105"/>
        </w:rPr>
        <w:t>del</w:t>
      </w:r>
      <w:r>
        <w:rPr>
          <w:color w:val="231F20"/>
          <w:spacing w:val="-15"/>
          <w:w w:val="105"/>
        </w:rPr>
        <w:t> </w:t>
      </w:r>
      <w:r>
        <w:rPr>
          <w:color w:val="231F20"/>
          <w:w w:val="105"/>
        </w:rPr>
        <w:t>Instituto</w:t>
      </w:r>
      <w:r>
        <w:rPr>
          <w:color w:val="231F20"/>
          <w:spacing w:val="-15"/>
          <w:w w:val="105"/>
        </w:rPr>
        <w:t> </w:t>
      </w:r>
      <w:r>
        <w:rPr>
          <w:color w:val="231F20"/>
          <w:w w:val="105"/>
        </w:rPr>
        <w:t>Politécnico Nacional.</w:t>
      </w:r>
    </w:p>
    <w:p>
      <w:pPr>
        <w:pStyle w:val="BodyText"/>
        <w:spacing w:before="1"/>
        <w:rPr>
          <w:sz w:val="26"/>
        </w:rPr>
      </w:pPr>
    </w:p>
    <w:p>
      <w:pPr>
        <w:pStyle w:val="BodyText"/>
        <w:spacing w:line="285" w:lineRule="auto"/>
        <w:ind w:left="110" w:right="107"/>
        <w:jc w:val="both"/>
      </w:pPr>
      <w:r>
        <w:rPr>
          <w:color w:val="231F20"/>
          <w:w w:val="105"/>
        </w:rPr>
        <w:t>En el Plan de Desarrollo Municipal se contempla realizar obras con el apoyo de las Aportaciones, y en el </w:t>
      </w:r>
      <w:r>
        <w:rPr>
          <w:color w:val="231F20"/>
          <w:spacing w:val="2"/>
          <w:w w:val="105"/>
        </w:rPr>
        <w:t>análisis </w:t>
      </w:r>
      <w:r>
        <w:rPr>
          <w:color w:val="231F20"/>
          <w:w w:val="105"/>
        </w:rPr>
        <w:t>se encontró que con el </w:t>
      </w:r>
      <w:r>
        <w:rPr>
          <w:color w:val="231F20"/>
          <w:spacing w:val="-3"/>
          <w:w w:val="105"/>
        </w:rPr>
        <w:t>Fondo </w:t>
      </w:r>
      <w:r>
        <w:rPr>
          <w:color w:val="231F20"/>
          <w:w w:val="105"/>
        </w:rPr>
        <w:t>de Infraestructura Social Municipal durante el año </w:t>
      </w:r>
      <w:r>
        <w:rPr>
          <w:color w:val="231F20"/>
          <w:spacing w:val="2"/>
          <w:w w:val="105"/>
        </w:rPr>
        <w:t>2007 </w:t>
      </w:r>
      <w:r>
        <w:rPr>
          <w:color w:val="231F20"/>
          <w:w w:val="105"/>
        </w:rPr>
        <w:t>se realizaron pavimentaciones asfálticas, reencarpeta- dos,</w:t>
      </w:r>
      <w:r>
        <w:rPr>
          <w:color w:val="231F20"/>
          <w:spacing w:val="-8"/>
          <w:w w:val="105"/>
        </w:rPr>
        <w:t> </w:t>
      </w:r>
      <w:r>
        <w:rPr>
          <w:color w:val="231F20"/>
          <w:w w:val="105"/>
        </w:rPr>
        <w:t>pavimentaciones</w:t>
      </w:r>
      <w:r>
        <w:rPr>
          <w:color w:val="231F20"/>
          <w:spacing w:val="-8"/>
          <w:w w:val="105"/>
        </w:rPr>
        <w:t> </w:t>
      </w:r>
      <w:r>
        <w:rPr>
          <w:color w:val="231F20"/>
          <w:w w:val="105"/>
        </w:rPr>
        <w:t>de</w:t>
      </w:r>
      <w:r>
        <w:rPr>
          <w:color w:val="231F20"/>
          <w:spacing w:val="-8"/>
          <w:w w:val="105"/>
        </w:rPr>
        <w:t> </w:t>
      </w:r>
      <w:r>
        <w:rPr>
          <w:color w:val="231F20"/>
          <w:w w:val="105"/>
        </w:rPr>
        <w:t>concreto</w:t>
      </w:r>
      <w:r>
        <w:rPr>
          <w:color w:val="231F20"/>
          <w:spacing w:val="-8"/>
          <w:w w:val="105"/>
        </w:rPr>
        <w:t> </w:t>
      </w:r>
      <w:r>
        <w:rPr>
          <w:color w:val="231F20"/>
          <w:w w:val="105"/>
        </w:rPr>
        <w:t>hidráulico,</w:t>
      </w:r>
      <w:r>
        <w:rPr>
          <w:color w:val="231F20"/>
          <w:spacing w:val="-8"/>
          <w:w w:val="105"/>
        </w:rPr>
        <w:t> </w:t>
      </w:r>
      <w:r>
        <w:rPr>
          <w:color w:val="231F20"/>
          <w:w w:val="105"/>
        </w:rPr>
        <w:t>puentes</w:t>
      </w:r>
      <w:r>
        <w:rPr>
          <w:color w:val="231F20"/>
          <w:spacing w:val="-8"/>
          <w:w w:val="105"/>
        </w:rPr>
        <w:t> </w:t>
      </w:r>
      <w:r>
        <w:rPr>
          <w:color w:val="231F20"/>
          <w:w w:val="105"/>
        </w:rPr>
        <w:t>vehiculares</w:t>
      </w:r>
      <w:r>
        <w:rPr>
          <w:color w:val="231F20"/>
          <w:spacing w:val="-8"/>
          <w:w w:val="105"/>
        </w:rPr>
        <w:t> </w:t>
      </w:r>
      <w:r>
        <w:rPr>
          <w:color w:val="231F20"/>
          <w:w w:val="105"/>
        </w:rPr>
        <w:t>y</w:t>
      </w:r>
      <w:r>
        <w:rPr>
          <w:color w:val="231F20"/>
          <w:spacing w:val="-8"/>
          <w:w w:val="105"/>
        </w:rPr>
        <w:t> </w:t>
      </w:r>
      <w:r>
        <w:rPr>
          <w:color w:val="231F20"/>
          <w:w w:val="105"/>
        </w:rPr>
        <w:t>peatonales;</w:t>
      </w:r>
      <w:r>
        <w:rPr>
          <w:color w:val="231F20"/>
          <w:spacing w:val="-8"/>
          <w:w w:val="105"/>
        </w:rPr>
        <w:t> </w:t>
      </w:r>
      <w:r>
        <w:rPr>
          <w:color w:val="231F20"/>
          <w:w w:val="105"/>
        </w:rPr>
        <w:t>bardas perimetrales, equipamiento, así como la perforación de pozo de agua potable, esto en barrios</w:t>
      </w:r>
      <w:r>
        <w:rPr>
          <w:color w:val="231F20"/>
          <w:spacing w:val="-22"/>
          <w:w w:val="105"/>
        </w:rPr>
        <w:t> </w:t>
      </w:r>
      <w:r>
        <w:rPr>
          <w:color w:val="231F20"/>
          <w:w w:val="105"/>
        </w:rPr>
        <w:t>y</w:t>
      </w:r>
      <w:r>
        <w:rPr>
          <w:color w:val="231F20"/>
          <w:spacing w:val="-22"/>
          <w:w w:val="105"/>
        </w:rPr>
        <w:t> </w:t>
      </w:r>
      <w:r>
        <w:rPr>
          <w:color w:val="231F20"/>
          <w:w w:val="105"/>
        </w:rPr>
        <w:t>colonias</w:t>
      </w:r>
      <w:r>
        <w:rPr>
          <w:color w:val="231F20"/>
          <w:spacing w:val="-22"/>
          <w:w w:val="105"/>
        </w:rPr>
        <w:t> </w:t>
      </w:r>
      <w:r>
        <w:rPr>
          <w:color w:val="231F20"/>
          <w:w w:val="105"/>
        </w:rPr>
        <w:t>del</w:t>
      </w:r>
      <w:r>
        <w:rPr>
          <w:color w:val="231F20"/>
          <w:spacing w:val="-22"/>
          <w:w w:val="105"/>
        </w:rPr>
        <w:t> </w:t>
      </w:r>
      <w:r>
        <w:rPr>
          <w:color w:val="231F20"/>
          <w:w w:val="105"/>
        </w:rPr>
        <w:t>municipio.</w:t>
      </w:r>
      <w:r>
        <w:rPr>
          <w:color w:val="231F20"/>
          <w:spacing w:val="-22"/>
          <w:w w:val="105"/>
        </w:rPr>
        <w:t> </w:t>
      </w:r>
      <w:r>
        <w:rPr>
          <w:color w:val="231F20"/>
          <w:w w:val="105"/>
        </w:rPr>
        <w:t>Cumpliendo</w:t>
      </w:r>
      <w:r>
        <w:rPr>
          <w:color w:val="231F20"/>
          <w:spacing w:val="-22"/>
          <w:w w:val="105"/>
        </w:rPr>
        <w:t> </w:t>
      </w:r>
      <w:r>
        <w:rPr>
          <w:color w:val="231F20"/>
          <w:w w:val="105"/>
        </w:rPr>
        <w:t>así</w:t>
      </w:r>
      <w:r>
        <w:rPr>
          <w:color w:val="231F20"/>
          <w:spacing w:val="-22"/>
          <w:w w:val="105"/>
        </w:rPr>
        <w:t> </w:t>
      </w:r>
      <w:r>
        <w:rPr>
          <w:color w:val="231F20"/>
          <w:w w:val="105"/>
        </w:rPr>
        <w:t>con</w:t>
      </w:r>
      <w:r>
        <w:rPr>
          <w:color w:val="231F20"/>
          <w:spacing w:val="-22"/>
          <w:w w:val="105"/>
        </w:rPr>
        <w:t> </w:t>
      </w:r>
      <w:r>
        <w:rPr>
          <w:color w:val="231F20"/>
          <w:w w:val="105"/>
        </w:rPr>
        <w:t>el</w:t>
      </w:r>
      <w:r>
        <w:rPr>
          <w:color w:val="231F20"/>
          <w:spacing w:val="-22"/>
          <w:w w:val="105"/>
        </w:rPr>
        <w:t> </w:t>
      </w:r>
      <w:r>
        <w:rPr>
          <w:color w:val="231F20"/>
          <w:w w:val="105"/>
        </w:rPr>
        <w:t>financiamiento</w:t>
      </w:r>
      <w:r>
        <w:rPr>
          <w:color w:val="231F20"/>
          <w:spacing w:val="-22"/>
          <w:w w:val="105"/>
        </w:rPr>
        <w:t> </w:t>
      </w:r>
      <w:r>
        <w:rPr>
          <w:color w:val="231F20"/>
          <w:w w:val="105"/>
        </w:rPr>
        <w:t>de</w:t>
      </w:r>
      <w:r>
        <w:rPr>
          <w:color w:val="231F20"/>
          <w:spacing w:val="-22"/>
          <w:w w:val="105"/>
        </w:rPr>
        <w:t> </w:t>
      </w:r>
      <w:r>
        <w:rPr>
          <w:color w:val="231F20"/>
          <w:w w:val="105"/>
        </w:rPr>
        <w:t>obras</w:t>
      </w:r>
      <w:r>
        <w:rPr>
          <w:color w:val="231F20"/>
          <w:spacing w:val="-22"/>
          <w:w w:val="105"/>
        </w:rPr>
        <w:t> </w:t>
      </w:r>
      <w:r>
        <w:rPr>
          <w:color w:val="231F20"/>
          <w:w w:val="105"/>
        </w:rPr>
        <w:t>básicas que</w:t>
      </w:r>
      <w:r>
        <w:rPr>
          <w:color w:val="231F20"/>
          <w:spacing w:val="-13"/>
          <w:w w:val="105"/>
        </w:rPr>
        <w:t> </w:t>
      </w:r>
      <w:r>
        <w:rPr>
          <w:color w:val="231F20"/>
          <w:w w:val="105"/>
        </w:rPr>
        <w:t>benefician</w:t>
      </w:r>
      <w:r>
        <w:rPr>
          <w:color w:val="231F20"/>
          <w:spacing w:val="-13"/>
          <w:w w:val="105"/>
        </w:rPr>
        <w:t> </w:t>
      </w:r>
      <w:r>
        <w:rPr>
          <w:color w:val="231F20"/>
          <w:w w:val="105"/>
        </w:rPr>
        <w:t>directamente</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población.</w:t>
      </w:r>
    </w:p>
    <w:p>
      <w:pPr>
        <w:spacing w:after="0" w:line="285" w:lineRule="auto"/>
        <w:jc w:val="both"/>
        <w:sectPr>
          <w:pgSz w:w="9640" w:h="12190"/>
          <w:pgMar w:header="0" w:footer="743" w:top="1120" w:bottom="940" w:left="740" w:right="740"/>
        </w:sectPr>
      </w:pPr>
    </w:p>
    <w:p>
      <w:pPr>
        <w:pStyle w:val="Heading5"/>
        <w:spacing w:before="27"/>
        <w:ind w:left="2154"/>
      </w:pPr>
      <w:r>
        <w:rPr/>
        <w:pict>
          <v:group style="position:absolute;margin-left:163.380096pt;margin-top:18.534252pt;width:100.25pt;height:15.5pt;mso-position-horizontal-relative:page;mso-position-vertical-relative:paragraph;z-index:13576;mso-wrap-distance-left:0;mso-wrap-distance-right:0" coordorigin="3268,371" coordsize="2005,310">
            <v:shape style="position:absolute;left:3268;top:372;width:565;height:308" type="#_x0000_t75" stroked="false">
              <v:imagedata r:id="rId1132" o:title=""/>
            </v:shape>
            <v:shape style="position:absolute;left:3892;top:380;width:239;height:293" type="#_x0000_t75" stroked="false">
              <v:imagedata r:id="rId1133" o:title=""/>
            </v:shape>
            <v:shape style="position:absolute;left:4149;top:371;width:535;height:309" type="#_x0000_t75" stroked="false">
              <v:imagedata r:id="rId1134" o:title=""/>
            </v:shape>
            <v:shape style="position:absolute;left:4716;top:371;width:281;height:310" type="#_x0000_t75" stroked="false">
              <v:imagedata r:id="rId1135" o:title=""/>
            </v:shape>
            <v:shape style="position:absolute;left:5030;top:371;width:243;height:309" type="#_x0000_t75" stroked="false">
              <v:imagedata r:id="rId1136" o:title=""/>
            </v:shape>
            <w10:wrap type="topAndBottom"/>
          </v:group>
        </w:pict>
      </w:r>
      <w:r>
        <w:rPr>
          <w:color w:val="231F20"/>
        </w:rPr>
        <w:t>Gráfica 8. Egresos FISM Y PAGIM 2007</w:t>
      </w:r>
    </w:p>
    <w:p>
      <w:pPr>
        <w:pStyle w:val="BodyText"/>
        <w:rPr>
          <w:b/>
          <w:sz w:val="20"/>
        </w:rPr>
      </w:pPr>
    </w:p>
    <w:p>
      <w:pPr>
        <w:pStyle w:val="BodyText"/>
        <w:rPr>
          <w:b/>
          <w:sz w:val="20"/>
        </w:rPr>
      </w:pPr>
    </w:p>
    <w:p>
      <w:pPr>
        <w:pStyle w:val="BodyText"/>
        <w:spacing w:before="10"/>
        <w:rPr>
          <w:b/>
          <w:sz w:val="13"/>
        </w:rPr>
      </w:pPr>
      <w:r>
        <w:rPr/>
        <w:pict>
          <v:group style="position:absolute;margin-left:63.519997pt;margin-top:9.957346pt;width:227.5pt;height:100.1pt;mso-position-horizontal-relative:page;mso-position-vertical-relative:paragraph;z-index:13600;mso-wrap-distance-left:0;mso-wrap-distance-right:0" coordorigin="1270,199" coordsize="4550,2002">
            <v:shape style="position:absolute;left:2616;top:281;width:773;height:847" coordorigin="2616,281" coordsize="773,847" path="m3389,281l3315,285,3242,295,3172,312,3105,335,3040,364,2979,399,2921,439,2868,484,2818,533,2774,587,2734,644,2699,705,2670,770,2647,837,2630,907,2620,980,2616,1054,2616,1073,2617,1092,2618,1110,2620,1128,3389,1047,3389,281xe" filled="true" fillcolor="#ef4136" stroked="false">
              <v:path arrowok="t"/>
              <v:fill type="solid"/>
            </v:shape>
            <v:shape style="position:absolute;left:2889;top:536;width:1543;height:1546" coordorigin="2889,536" coordsize="1543,1546" path="m3658,536l3660,1309,2889,1383,2899,1455,2916,1525,2939,1593,2968,1657,3003,1719,3042,1776,3087,1830,3137,1879,3190,1924,3248,1964,3309,1999,3374,2028,3441,2051,3511,2068,3584,2078,3658,2082,3732,2078,3805,2068,3875,2051,3943,2028,4007,1999,4068,1964,4126,1924,4179,1879,4229,1830,4274,1776,4313,1719,4348,1658,4377,1593,4400,1526,4417,1456,4427,1383,4431,1309,4427,1234,4417,1162,4400,1092,4377,1024,4348,960,4313,899,4273,841,4229,787,4179,738,4126,693,4068,653,4007,619,3942,590,3875,567,3805,550,3732,539,3658,536xe" filled="true" fillcolor="#1b75bc" stroked="false">
              <v:path arrowok="t"/>
              <v:fill type="solid"/>
            </v:shape>
            <v:shape style="position:absolute;left:1270;top:199;width:135;height:247" type="#_x0000_t75" stroked="false">
              <v:imagedata r:id="rId1137" o:title=""/>
            </v:shape>
            <v:shape style="position:absolute;left:1443;top:221;width:72;height:194" coordorigin="1443,221" coordsize="72,194" path="m1514,221l1495,221,1492,236,1486,246,1472,254,1460,257,1443,258,1443,277,1488,277,1488,414,1514,414,1514,221xe" filled="true" fillcolor="#231f20" stroked="false">
              <v:path arrowok="t"/>
              <v:fill type="solid"/>
            </v:shape>
            <v:shape style="position:absolute;left:1579;top:220;width:134;height:195" type="#_x0000_t75" stroked="false">
              <v:imagedata r:id="rId1138" o:title=""/>
            </v:shape>
            <v:shape style="position:absolute;left:1748;top:385;width:29;height:71" coordorigin="1748,385" coordsize="29,71" path="m1777,385l1748,385,1748,414,1762,414,1763,415,1748,443,1748,455,1758,454,1766,449,1774,432,1777,423,1777,385xe" filled="true" fillcolor="#231f20" stroked="false">
              <v:path arrowok="t"/>
              <v:fill type="solid"/>
            </v:shape>
            <v:shape style="position:absolute;left:1810;top:220;width:442;height:199" type="#_x0000_t75" stroked="false">
              <v:imagedata r:id="rId1139" o:title=""/>
            </v:shape>
            <v:shape style="position:absolute;left:2288;top:385;width:29;height:71" coordorigin="2288,385" coordsize="29,71" path="m2317,385l2288,385,2288,414,2302,414,2303,415,2288,443,2288,455,2298,454,2306,449,2315,432,2317,423,2317,385xe" filled="true" fillcolor="#231f20" stroked="false">
              <v:path arrowok="t"/>
              <v:fill type="solid"/>
            </v:shape>
            <v:shape style="position:absolute;left:2350;top:220;width:442;height:199" type="#_x0000_t75" stroked="false">
              <v:imagedata r:id="rId1140" o:title=""/>
            </v:shape>
            <v:shape style="position:absolute;left:4297;top:1945;width:442;height:247" type="#_x0000_t75" stroked="false">
              <v:imagedata r:id="rId1141" o:title=""/>
            </v:shape>
            <v:shape style="position:absolute;left:4775;top:2130;width:29;height:71" coordorigin="4775,2130" coordsize="29,71" path="m4804,2130l4775,2130,4775,2160,4789,2160,4790,2161,4775,2188,4775,2201,4785,2199,4793,2194,4801,2178,4804,2168,4804,2130xe" filled="true" fillcolor="#231f20" stroked="false">
              <v:path arrowok="t"/>
              <v:fill type="solid"/>
            </v:shape>
            <v:shape style="position:absolute;left:4836;top:1965;width:444;height:200" type="#_x0000_t75" stroked="false">
              <v:imagedata r:id="rId1142" o:title=""/>
            </v:shape>
            <v:shape style="position:absolute;left:5315;top:2130;width:30;height:71" coordorigin="5315,2130" coordsize="30,71" path="m5344,2130l5315,2130,5315,2160,5329,2160,5330,2161,5315,2188,5315,2201,5325,2199,5333,2194,5341,2178,5344,2168,5344,2130xe" filled="true" fillcolor="#231f20" stroked="false">
              <v:path arrowok="t"/>
              <v:fill type="solid"/>
            </v:shape>
            <v:shape style="position:absolute;left:5377;top:1966;width:442;height:199" type="#_x0000_t75" stroked="false">
              <v:imagedata r:id="rId1143" o:title=""/>
            </v:shape>
            <w10:wrap type="topAndBottom"/>
          </v:group>
        </w:pict>
      </w:r>
      <w:r>
        <w:rPr/>
        <w:pict>
          <v:rect style="position:absolute;margin-left:366.36499pt;margin-top:40.897247pt;width:8.967pt;height:8.967pt;mso-position-horizontal-relative:page;mso-position-vertical-relative:paragraph;z-index:13624;mso-wrap-distance-left:0;mso-wrap-distance-right:0" filled="true" fillcolor="#1b75bc" stroked="false">
            <v:fill type="solid"/>
            <w10:wrap type="topAndBottom"/>
          </v:rect>
        </w:pict>
      </w:r>
      <w:r>
        <w:rPr/>
        <w:pict>
          <v:group style="position:absolute;margin-left:379.48822pt;margin-top:40.231747pt;width:28.1pt;height:10.25pt;mso-position-horizontal-relative:page;mso-position-vertical-relative:paragraph;z-index:13648;mso-wrap-distance-left:0;mso-wrap-distance-right:0" coordorigin="7590,805" coordsize="562,205">
            <v:shape style="position:absolute;left:7590;top:817;width:125;height:180" type="#_x0000_t75" stroked="false">
              <v:imagedata r:id="rId1144" o:title=""/>
            </v:shape>
            <v:shape style="position:absolute;left:7747;top:805;width:197;height:205" type="#_x0000_t75" stroked="false">
              <v:imagedata r:id="rId1145" o:title=""/>
            </v:shape>
            <v:shape style="position:absolute;left:7978;top:817;width:173;height:180" type="#_x0000_t75" stroked="false">
              <v:imagedata r:id="rId1146" o:title=""/>
            </v:shape>
            <w10:wrap type="topAndBottom"/>
          </v:group>
        </w:pict>
      </w:r>
    </w:p>
    <w:p>
      <w:pPr>
        <w:spacing w:before="118"/>
        <w:ind w:left="3575" w:right="-2" w:firstLine="0"/>
        <w:jc w:val="left"/>
        <w:rPr>
          <w:rFonts w:ascii="Calibri" w:hAnsi="Calibri"/>
          <w:sz w:val="16"/>
        </w:rPr>
      </w:pPr>
      <w:r>
        <w:rPr>
          <w:rFonts w:ascii="Calibri" w:hAnsi="Calibri"/>
          <w:color w:val="231F20"/>
          <w:sz w:val="16"/>
        </w:rPr>
        <w:t>Fuente: Elaboración propia con datos del Primer Informe de Gobierno</w:t>
      </w:r>
    </w:p>
    <w:p>
      <w:pPr>
        <w:pStyle w:val="BodyText"/>
        <w:rPr>
          <w:rFonts w:ascii="Calibri"/>
          <w:sz w:val="16"/>
        </w:rPr>
      </w:pPr>
    </w:p>
    <w:p>
      <w:pPr>
        <w:pStyle w:val="BodyText"/>
        <w:spacing w:before="9"/>
        <w:rPr>
          <w:rFonts w:ascii="Calibri"/>
          <w:sz w:val="12"/>
        </w:rPr>
      </w:pPr>
    </w:p>
    <w:p>
      <w:pPr>
        <w:pStyle w:val="BodyText"/>
        <w:spacing w:line="285" w:lineRule="auto"/>
        <w:ind w:left="110" w:right="107"/>
        <w:jc w:val="both"/>
      </w:pPr>
      <w:r>
        <w:rPr/>
        <w:pict>
          <v:group style="position:absolute;margin-left:379.48822pt;margin-top:-78.689156pt;width:37.65pt;height:10.25pt;mso-position-horizontal-relative:page;mso-position-vertical-relative:paragraph;z-index:13672" coordorigin="7590,-1574" coordsize="753,205">
            <v:shape style="position:absolute;left:7590;top:-1566;width:470;height:190" type="#_x0000_t75" stroked="false">
              <v:imagedata r:id="rId1147" o:title=""/>
            </v:shape>
            <v:shape style="position:absolute;left:8105;top:-1574;width:237;height:205" type="#_x0000_t75" stroked="false">
              <v:imagedata r:id="rId1148" o:title=""/>
            </v:shape>
            <w10:wrap type="none"/>
          </v:group>
        </w:pict>
      </w:r>
      <w:r>
        <w:rPr/>
        <w:pict>
          <v:rect style="position:absolute;margin-left:366.36499pt;margin-top:-77.510658pt;width:8.967pt;height:8.967pt;mso-position-horizontal-relative:page;mso-position-vertical-relative:paragraph;z-index:13696" filled="true" fillcolor="#ef4136" stroked="false">
            <v:fill type="solid"/>
            <w10:wrap type="none"/>
          </v:rect>
        </w:pict>
      </w:r>
      <w:r>
        <w:rPr>
          <w:color w:val="231F20"/>
          <w:w w:val="105"/>
        </w:rPr>
        <w:t>Como se puede apreciar en la gráfica </w:t>
      </w:r>
      <w:r>
        <w:rPr>
          <w:color w:val="231F20"/>
          <w:spacing w:val="-3"/>
          <w:w w:val="105"/>
        </w:rPr>
        <w:t>anterior, </w:t>
      </w:r>
      <w:r>
        <w:rPr>
          <w:color w:val="231F20"/>
          <w:w w:val="105"/>
        </w:rPr>
        <w:t>se destinaron $ 33’400,000 pesos del FISM;</w:t>
      </w:r>
      <w:r>
        <w:rPr>
          <w:color w:val="231F20"/>
          <w:spacing w:val="-10"/>
          <w:w w:val="105"/>
        </w:rPr>
        <w:t> </w:t>
      </w:r>
      <w:r>
        <w:rPr>
          <w:color w:val="231F20"/>
          <w:w w:val="105"/>
        </w:rPr>
        <w:t>Respecto</w:t>
      </w:r>
      <w:r>
        <w:rPr>
          <w:color w:val="231F20"/>
          <w:spacing w:val="-10"/>
          <w:w w:val="105"/>
        </w:rPr>
        <w:t> </w:t>
      </w:r>
      <w:r>
        <w:rPr>
          <w:color w:val="231F20"/>
          <w:spacing w:val="2"/>
          <w:w w:val="105"/>
        </w:rPr>
        <w:t>al</w:t>
      </w:r>
      <w:r>
        <w:rPr>
          <w:color w:val="231F20"/>
          <w:spacing w:val="-10"/>
          <w:w w:val="105"/>
        </w:rPr>
        <w:t> </w:t>
      </w:r>
      <w:r>
        <w:rPr>
          <w:color w:val="231F20"/>
          <w:spacing w:val="-6"/>
          <w:w w:val="105"/>
        </w:rPr>
        <w:t>PAGIM</w:t>
      </w:r>
      <w:r>
        <w:rPr>
          <w:color w:val="231F20"/>
          <w:spacing w:val="-10"/>
          <w:w w:val="105"/>
        </w:rPr>
        <w:t> </w:t>
      </w:r>
      <w:r>
        <w:rPr>
          <w:color w:val="231F20"/>
          <w:w w:val="105"/>
        </w:rPr>
        <w:t>se</w:t>
      </w:r>
      <w:r>
        <w:rPr>
          <w:color w:val="231F20"/>
          <w:spacing w:val="-10"/>
          <w:w w:val="105"/>
        </w:rPr>
        <w:t> </w:t>
      </w:r>
      <w:r>
        <w:rPr>
          <w:color w:val="231F20"/>
          <w:w w:val="105"/>
        </w:rPr>
        <w:t>destinaron</w:t>
      </w:r>
      <w:r>
        <w:rPr>
          <w:color w:val="231F20"/>
          <w:spacing w:val="-10"/>
          <w:w w:val="105"/>
        </w:rPr>
        <w:t> </w:t>
      </w:r>
      <w:r>
        <w:rPr>
          <w:color w:val="231F20"/>
          <w:w w:val="105"/>
        </w:rPr>
        <w:t>$</w:t>
      </w:r>
      <w:r>
        <w:rPr>
          <w:color w:val="231F20"/>
          <w:spacing w:val="-10"/>
          <w:w w:val="105"/>
        </w:rPr>
        <w:t> </w:t>
      </w:r>
      <w:r>
        <w:rPr>
          <w:color w:val="231F20"/>
          <w:spacing w:val="2"/>
          <w:w w:val="105"/>
        </w:rPr>
        <w:t>12’000,000</w:t>
      </w:r>
      <w:r>
        <w:rPr>
          <w:color w:val="231F20"/>
          <w:spacing w:val="-10"/>
          <w:w w:val="105"/>
        </w:rPr>
        <w:t> </w:t>
      </w:r>
      <w:r>
        <w:rPr>
          <w:color w:val="231F20"/>
          <w:w w:val="105"/>
        </w:rPr>
        <w:t>pesos</w:t>
      </w:r>
      <w:r>
        <w:rPr>
          <w:color w:val="231F20"/>
          <w:spacing w:val="-10"/>
          <w:w w:val="105"/>
        </w:rPr>
        <w:t> </w:t>
      </w:r>
      <w:r>
        <w:rPr>
          <w:color w:val="231F20"/>
          <w:w w:val="105"/>
        </w:rPr>
        <w:t>para</w:t>
      </w:r>
      <w:r>
        <w:rPr>
          <w:color w:val="231F20"/>
          <w:spacing w:val="-10"/>
          <w:w w:val="105"/>
        </w:rPr>
        <w:t> </w:t>
      </w:r>
      <w:r>
        <w:rPr>
          <w:color w:val="231F20"/>
          <w:w w:val="105"/>
        </w:rPr>
        <w:t>red</w:t>
      </w:r>
      <w:r>
        <w:rPr>
          <w:color w:val="231F20"/>
          <w:spacing w:val="-10"/>
          <w:w w:val="105"/>
        </w:rPr>
        <w:t> </w:t>
      </w:r>
      <w:r>
        <w:rPr>
          <w:color w:val="231F20"/>
          <w:w w:val="105"/>
        </w:rPr>
        <w:t>de</w:t>
      </w:r>
      <w:r>
        <w:rPr>
          <w:color w:val="231F20"/>
          <w:spacing w:val="-10"/>
          <w:w w:val="105"/>
        </w:rPr>
        <w:t> </w:t>
      </w:r>
      <w:r>
        <w:rPr>
          <w:color w:val="231F20"/>
          <w:w w:val="105"/>
        </w:rPr>
        <w:t>agua</w:t>
      </w:r>
      <w:r>
        <w:rPr>
          <w:color w:val="231F20"/>
          <w:spacing w:val="-10"/>
          <w:w w:val="105"/>
        </w:rPr>
        <w:t> </w:t>
      </w:r>
      <w:r>
        <w:rPr>
          <w:color w:val="231F20"/>
          <w:w w:val="105"/>
        </w:rPr>
        <w:t>potable, pavimentación</w:t>
      </w:r>
      <w:r>
        <w:rPr>
          <w:color w:val="231F20"/>
          <w:spacing w:val="-18"/>
          <w:w w:val="105"/>
        </w:rPr>
        <w:t> </w:t>
      </w:r>
      <w:r>
        <w:rPr>
          <w:color w:val="231F20"/>
          <w:w w:val="105"/>
        </w:rPr>
        <w:t>asfáltica,</w:t>
      </w:r>
      <w:r>
        <w:rPr>
          <w:color w:val="231F20"/>
          <w:spacing w:val="-18"/>
          <w:w w:val="105"/>
        </w:rPr>
        <w:t> </w:t>
      </w:r>
      <w:r>
        <w:rPr>
          <w:color w:val="231F20"/>
          <w:w w:val="105"/>
        </w:rPr>
        <w:t>explanadas</w:t>
      </w:r>
      <w:r>
        <w:rPr>
          <w:color w:val="231F20"/>
          <w:spacing w:val="-18"/>
          <w:w w:val="105"/>
        </w:rPr>
        <w:t> </w:t>
      </w:r>
      <w:r>
        <w:rPr>
          <w:color w:val="231F20"/>
          <w:w w:val="105"/>
        </w:rPr>
        <w:t>cívicas,</w:t>
      </w:r>
      <w:r>
        <w:rPr>
          <w:color w:val="231F20"/>
          <w:spacing w:val="-18"/>
          <w:w w:val="105"/>
        </w:rPr>
        <w:t> </w:t>
      </w:r>
      <w:r>
        <w:rPr>
          <w:color w:val="231F20"/>
          <w:w w:val="105"/>
        </w:rPr>
        <w:t>construcción</w:t>
      </w:r>
      <w:r>
        <w:rPr>
          <w:color w:val="231F20"/>
          <w:spacing w:val="-18"/>
          <w:w w:val="105"/>
        </w:rPr>
        <w:t> </w:t>
      </w:r>
      <w:r>
        <w:rPr>
          <w:color w:val="231F20"/>
          <w:w w:val="105"/>
        </w:rPr>
        <w:t>de</w:t>
      </w:r>
      <w:r>
        <w:rPr>
          <w:color w:val="231F20"/>
          <w:spacing w:val="-18"/>
          <w:w w:val="105"/>
        </w:rPr>
        <w:t> </w:t>
      </w:r>
      <w:r>
        <w:rPr>
          <w:color w:val="231F20"/>
          <w:w w:val="105"/>
        </w:rPr>
        <w:t>bardas</w:t>
      </w:r>
      <w:r>
        <w:rPr>
          <w:color w:val="231F20"/>
          <w:spacing w:val="-18"/>
          <w:w w:val="105"/>
        </w:rPr>
        <w:t> </w:t>
      </w:r>
      <w:r>
        <w:rPr>
          <w:color w:val="231F20"/>
          <w:w w:val="105"/>
        </w:rPr>
        <w:t>perimetrales.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periodo</w:t>
      </w:r>
      <w:r>
        <w:rPr>
          <w:color w:val="231F20"/>
          <w:spacing w:val="-15"/>
          <w:w w:val="105"/>
        </w:rPr>
        <w:t> </w:t>
      </w:r>
      <w:r>
        <w:rPr>
          <w:color w:val="231F20"/>
          <w:w w:val="105"/>
        </w:rPr>
        <w:t>de</w:t>
      </w:r>
      <w:r>
        <w:rPr>
          <w:color w:val="231F20"/>
          <w:spacing w:val="-15"/>
          <w:w w:val="105"/>
        </w:rPr>
        <w:t> </w:t>
      </w:r>
      <w:r>
        <w:rPr>
          <w:color w:val="231F20"/>
          <w:spacing w:val="3"/>
          <w:w w:val="105"/>
        </w:rPr>
        <w:t>2008</w:t>
      </w:r>
      <w:r>
        <w:rPr>
          <w:color w:val="231F20"/>
          <w:spacing w:val="-15"/>
          <w:w w:val="105"/>
        </w:rPr>
        <w:t> </w:t>
      </w:r>
      <w:r>
        <w:rPr>
          <w:color w:val="231F20"/>
          <w:w w:val="105"/>
        </w:rPr>
        <w:t>de</w:t>
      </w:r>
      <w:r>
        <w:rPr>
          <w:color w:val="231F20"/>
          <w:spacing w:val="-15"/>
          <w:w w:val="105"/>
        </w:rPr>
        <w:t> </w:t>
      </w:r>
      <w:r>
        <w:rPr>
          <w:color w:val="231F20"/>
          <w:w w:val="105"/>
        </w:rPr>
        <w:t>FIMS,</w:t>
      </w:r>
      <w:r>
        <w:rPr>
          <w:color w:val="231F20"/>
          <w:spacing w:val="-15"/>
          <w:w w:val="105"/>
        </w:rPr>
        <w:t> </w:t>
      </w:r>
      <w:r>
        <w:rPr>
          <w:color w:val="231F20"/>
          <w:w w:val="105"/>
        </w:rPr>
        <w:t>GIS</w:t>
      </w:r>
      <w:r>
        <w:rPr>
          <w:color w:val="231F20"/>
          <w:spacing w:val="-15"/>
          <w:w w:val="105"/>
        </w:rPr>
        <w:t> </w:t>
      </w:r>
      <w:r>
        <w:rPr>
          <w:color w:val="231F20"/>
          <w:w w:val="105"/>
        </w:rPr>
        <w:t>Y</w:t>
      </w:r>
      <w:r>
        <w:rPr>
          <w:color w:val="231F20"/>
          <w:spacing w:val="-15"/>
          <w:w w:val="105"/>
        </w:rPr>
        <w:t> </w:t>
      </w:r>
      <w:r>
        <w:rPr>
          <w:color w:val="231F20"/>
          <w:spacing w:val="-6"/>
          <w:w w:val="105"/>
        </w:rPr>
        <w:t>PAGIM</w:t>
      </w:r>
      <w:r>
        <w:rPr>
          <w:color w:val="231F20"/>
          <w:spacing w:val="-15"/>
          <w:w w:val="105"/>
        </w:rPr>
        <w:t> </w:t>
      </w:r>
      <w:r>
        <w:rPr>
          <w:color w:val="231F20"/>
          <w:w w:val="105"/>
        </w:rPr>
        <w:t>se</w:t>
      </w:r>
      <w:r>
        <w:rPr>
          <w:color w:val="231F20"/>
          <w:spacing w:val="-15"/>
          <w:w w:val="105"/>
        </w:rPr>
        <w:t> </w:t>
      </w:r>
      <w:r>
        <w:rPr>
          <w:color w:val="231F20"/>
          <w:w w:val="105"/>
        </w:rPr>
        <w:t>destinaron</w:t>
      </w:r>
      <w:r>
        <w:rPr>
          <w:color w:val="231F20"/>
          <w:spacing w:val="-15"/>
          <w:w w:val="105"/>
        </w:rPr>
        <w:t> </w:t>
      </w:r>
      <w:r>
        <w:rPr>
          <w:color w:val="231F20"/>
          <w:w w:val="105"/>
        </w:rPr>
        <w:t>$</w:t>
      </w:r>
      <w:r>
        <w:rPr>
          <w:color w:val="231F20"/>
          <w:spacing w:val="-15"/>
          <w:w w:val="105"/>
        </w:rPr>
        <w:t> </w:t>
      </w:r>
      <w:r>
        <w:rPr>
          <w:color w:val="231F20"/>
          <w:spacing w:val="3"/>
          <w:w w:val="105"/>
        </w:rPr>
        <w:t>39’000,000</w:t>
      </w:r>
      <w:r>
        <w:rPr>
          <w:color w:val="231F20"/>
          <w:spacing w:val="-15"/>
          <w:w w:val="105"/>
        </w:rPr>
        <w:t> </w:t>
      </w:r>
      <w:r>
        <w:rPr>
          <w:color w:val="231F20"/>
          <w:w w:val="105"/>
        </w:rPr>
        <w:t>millones</w:t>
      </w:r>
      <w:r>
        <w:rPr>
          <w:color w:val="231F20"/>
          <w:spacing w:val="-15"/>
          <w:w w:val="105"/>
        </w:rPr>
        <w:t> </w:t>
      </w:r>
      <w:r>
        <w:rPr>
          <w:color w:val="231F20"/>
          <w:w w:val="105"/>
        </w:rPr>
        <w:t>de pesos</w:t>
      </w:r>
      <w:r>
        <w:rPr>
          <w:color w:val="231F20"/>
          <w:spacing w:val="-11"/>
          <w:w w:val="105"/>
        </w:rPr>
        <w:t> </w:t>
      </w:r>
      <w:r>
        <w:rPr>
          <w:color w:val="231F20"/>
          <w:w w:val="105"/>
        </w:rPr>
        <w:t>para</w:t>
      </w:r>
      <w:r>
        <w:rPr>
          <w:color w:val="231F20"/>
          <w:spacing w:val="-11"/>
          <w:w w:val="105"/>
        </w:rPr>
        <w:t> </w:t>
      </w:r>
      <w:r>
        <w:rPr>
          <w:color w:val="231F20"/>
          <w:w w:val="105"/>
        </w:rPr>
        <w:t>construcción</w:t>
      </w:r>
      <w:r>
        <w:rPr>
          <w:color w:val="231F20"/>
          <w:spacing w:val="-11"/>
          <w:w w:val="105"/>
        </w:rPr>
        <w:t> </w:t>
      </w:r>
      <w:r>
        <w:rPr>
          <w:color w:val="231F20"/>
          <w:w w:val="105"/>
        </w:rPr>
        <w:t>asfáltica</w:t>
      </w:r>
      <w:r>
        <w:rPr>
          <w:color w:val="231F20"/>
          <w:spacing w:val="-11"/>
          <w:w w:val="105"/>
        </w:rPr>
        <w:t> </w:t>
      </w:r>
      <w:r>
        <w:rPr>
          <w:color w:val="231F20"/>
          <w:w w:val="105"/>
        </w:rPr>
        <w:t>y</w:t>
      </w:r>
      <w:r>
        <w:rPr>
          <w:color w:val="231F20"/>
          <w:spacing w:val="-11"/>
          <w:w w:val="105"/>
        </w:rPr>
        <w:t> </w:t>
      </w:r>
      <w:r>
        <w:rPr>
          <w:color w:val="231F20"/>
          <w:w w:val="105"/>
        </w:rPr>
        <w:t>más</w:t>
      </w:r>
      <w:r>
        <w:rPr>
          <w:color w:val="231F20"/>
          <w:spacing w:val="-11"/>
          <w:w w:val="105"/>
        </w:rPr>
        <w:t> </w:t>
      </w:r>
      <w:r>
        <w:rPr>
          <w:color w:val="231F20"/>
          <w:w w:val="105"/>
        </w:rPr>
        <w:t>de</w:t>
      </w:r>
      <w:r>
        <w:rPr>
          <w:color w:val="231F20"/>
          <w:spacing w:val="-11"/>
          <w:w w:val="105"/>
        </w:rPr>
        <w:t> </w:t>
      </w:r>
      <w:r>
        <w:rPr>
          <w:color w:val="231F20"/>
          <w:w w:val="105"/>
        </w:rPr>
        <w:t>3</w:t>
      </w:r>
      <w:r>
        <w:rPr>
          <w:color w:val="231F20"/>
          <w:spacing w:val="-11"/>
          <w:w w:val="105"/>
        </w:rPr>
        <w:t> </w:t>
      </w:r>
      <w:r>
        <w:rPr>
          <w:color w:val="231F20"/>
          <w:spacing w:val="2"/>
          <w:w w:val="105"/>
        </w:rPr>
        <w:t>km</w:t>
      </w:r>
      <w:r>
        <w:rPr>
          <w:color w:val="231F20"/>
          <w:spacing w:val="-11"/>
          <w:w w:val="105"/>
        </w:rPr>
        <w:t> </w:t>
      </w:r>
      <w:r>
        <w:rPr>
          <w:color w:val="231F20"/>
          <w:w w:val="105"/>
        </w:rPr>
        <w:t>de</w:t>
      </w:r>
      <w:r>
        <w:rPr>
          <w:color w:val="231F20"/>
          <w:spacing w:val="-11"/>
          <w:w w:val="105"/>
        </w:rPr>
        <w:t> </w:t>
      </w:r>
      <w:r>
        <w:rPr>
          <w:color w:val="231F20"/>
          <w:w w:val="105"/>
        </w:rPr>
        <w:t>guarniciones</w:t>
      </w:r>
      <w:r>
        <w:rPr>
          <w:color w:val="231F20"/>
          <w:spacing w:val="-11"/>
          <w:w w:val="105"/>
        </w:rPr>
        <w:t> </w:t>
      </w:r>
      <w:r>
        <w:rPr>
          <w:color w:val="231F20"/>
          <w:w w:val="105"/>
        </w:rPr>
        <w:t>y</w:t>
      </w:r>
      <w:r>
        <w:rPr>
          <w:color w:val="231F20"/>
          <w:spacing w:val="-11"/>
          <w:w w:val="105"/>
        </w:rPr>
        <w:t> </w:t>
      </w:r>
      <w:r>
        <w:rPr>
          <w:color w:val="231F20"/>
          <w:w w:val="105"/>
        </w:rPr>
        <w:t>banquetas.</w:t>
      </w:r>
    </w:p>
    <w:p>
      <w:pPr>
        <w:pStyle w:val="BodyText"/>
        <w:spacing w:before="10"/>
      </w:pPr>
    </w:p>
    <w:p>
      <w:pPr>
        <w:pStyle w:val="Heading3"/>
      </w:pPr>
      <w:r>
        <w:rPr>
          <w:color w:val="231F20"/>
          <w:w w:val="105"/>
        </w:rPr>
        <w:t>Conclusiones</w:t>
      </w:r>
    </w:p>
    <w:p>
      <w:pPr>
        <w:pStyle w:val="BodyText"/>
        <w:spacing w:line="285" w:lineRule="auto" w:before="38"/>
        <w:ind w:left="110" w:right="107"/>
        <w:jc w:val="both"/>
      </w:pPr>
      <w:r>
        <w:rPr>
          <w:color w:val="231F20"/>
          <w:w w:val="105"/>
        </w:rPr>
        <w:t>Después</w:t>
      </w:r>
      <w:r>
        <w:rPr>
          <w:color w:val="231F20"/>
          <w:spacing w:val="-8"/>
          <w:w w:val="105"/>
        </w:rPr>
        <w:t> </w:t>
      </w:r>
      <w:r>
        <w:rPr>
          <w:color w:val="231F20"/>
          <w:w w:val="105"/>
        </w:rPr>
        <w:t>de</w:t>
      </w:r>
      <w:r>
        <w:rPr>
          <w:color w:val="231F20"/>
          <w:spacing w:val="-8"/>
          <w:w w:val="105"/>
        </w:rPr>
        <w:t> </w:t>
      </w:r>
      <w:r>
        <w:rPr>
          <w:color w:val="231F20"/>
          <w:w w:val="105"/>
        </w:rPr>
        <w:t>haber</w:t>
      </w:r>
      <w:r>
        <w:rPr>
          <w:color w:val="231F20"/>
          <w:spacing w:val="-8"/>
          <w:w w:val="105"/>
        </w:rPr>
        <w:t> </w:t>
      </w:r>
      <w:r>
        <w:rPr>
          <w:color w:val="231F20"/>
          <w:w w:val="105"/>
        </w:rPr>
        <w:t>trabajado</w:t>
      </w:r>
      <w:r>
        <w:rPr>
          <w:color w:val="231F20"/>
          <w:spacing w:val="-8"/>
          <w:w w:val="105"/>
        </w:rPr>
        <w:t> </w:t>
      </w:r>
      <w:r>
        <w:rPr>
          <w:color w:val="231F20"/>
          <w:w w:val="105"/>
        </w:rPr>
        <w:t>la</w:t>
      </w:r>
      <w:r>
        <w:rPr>
          <w:color w:val="231F20"/>
          <w:spacing w:val="-8"/>
          <w:w w:val="105"/>
        </w:rPr>
        <w:t> </w:t>
      </w:r>
      <w:r>
        <w:rPr>
          <w:color w:val="231F20"/>
          <w:w w:val="105"/>
        </w:rPr>
        <w:t>dualidad</w:t>
      </w:r>
      <w:r>
        <w:rPr>
          <w:color w:val="231F20"/>
          <w:spacing w:val="-8"/>
          <w:w w:val="105"/>
        </w:rPr>
        <w:t> </w:t>
      </w:r>
      <w:r>
        <w:rPr>
          <w:color w:val="231F20"/>
          <w:w w:val="105"/>
        </w:rPr>
        <w:t>partidos</w:t>
      </w:r>
      <w:r>
        <w:rPr>
          <w:color w:val="231F20"/>
          <w:spacing w:val="-8"/>
          <w:w w:val="105"/>
        </w:rPr>
        <w:t> </w:t>
      </w:r>
      <w:r>
        <w:rPr>
          <w:color w:val="231F20"/>
          <w:w w:val="105"/>
        </w:rPr>
        <w:t>políticos–gobierno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municipio</w:t>
      </w:r>
      <w:r>
        <w:rPr>
          <w:color w:val="231F20"/>
          <w:spacing w:val="-8"/>
          <w:w w:val="105"/>
        </w:rPr>
        <w:t> </w:t>
      </w:r>
      <w:r>
        <w:rPr>
          <w:color w:val="231F20"/>
          <w:w w:val="105"/>
        </w:rPr>
        <w:t>de Chalco nos surge una cuestión ¿fue realmente un detonante lo ocurrido en el periodo </w:t>
      </w:r>
      <w:r>
        <w:rPr>
          <w:color w:val="231F20"/>
          <w:spacing w:val="2"/>
          <w:w w:val="105"/>
        </w:rPr>
        <w:t>2000-2003</w:t>
      </w:r>
      <w:r>
        <w:rPr>
          <w:color w:val="231F20"/>
          <w:spacing w:val="-22"/>
          <w:w w:val="105"/>
        </w:rPr>
        <w:t> </w:t>
      </w:r>
      <w:r>
        <w:rPr>
          <w:color w:val="231F20"/>
          <w:w w:val="105"/>
        </w:rPr>
        <w:t>para</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PRI</w:t>
      </w:r>
      <w:r>
        <w:rPr>
          <w:color w:val="231F20"/>
          <w:spacing w:val="-22"/>
          <w:w w:val="105"/>
        </w:rPr>
        <w:t> </w:t>
      </w:r>
      <w:r>
        <w:rPr>
          <w:color w:val="231F20"/>
          <w:w w:val="105"/>
        </w:rPr>
        <w:t>diera</w:t>
      </w:r>
      <w:r>
        <w:rPr>
          <w:color w:val="231F20"/>
          <w:spacing w:val="-22"/>
          <w:w w:val="105"/>
        </w:rPr>
        <w:t> </w:t>
      </w:r>
      <w:r>
        <w:rPr>
          <w:color w:val="231F20"/>
          <w:w w:val="105"/>
        </w:rPr>
        <w:t>signos</w:t>
      </w:r>
      <w:r>
        <w:rPr>
          <w:color w:val="231F20"/>
          <w:spacing w:val="-22"/>
          <w:w w:val="105"/>
        </w:rPr>
        <w:t> </w:t>
      </w:r>
      <w:r>
        <w:rPr>
          <w:color w:val="231F20"/>
          <w:w w:val="105"/>
        </w:rPr>
        <w:t>de</w:t>
      </w:r>
      <w:r>
        <w:rPr>
          <w:color w:val="231F20"/>
          <w:spacing w:val="-22"/>
          <w:w w:val="105"/>
        </w:rPr>
        <w:t> </w:t>
      </w:r>
      <w:r>
        <w:rPr>
          <w:color w:val="231F20"/>
          <w:w w:val="105"/>
        </w:rPr>
        <w:t>debilidad?</w:t>
      </w:r>
      <w:r>
        <w:rPr>
          <w:color w:val="231F20"/>
          <w:spacing w:val="-22"/>
          <w:w w:val="105"/>
        </w:rPr>
        <w:t> </w:t>
      </w:r>
      <w:r>
        <w:rPr>
          <w:color w:val="231F20"/>
          <w:w w:val="105"/>
        </w:rPr>
        <w:t>La</w:t>
      </w:r>
      <w:r>
        <w:rPr>
          <w:color w:val="231F20"/>
          <w:spacing w:val="-22"/>
          <w:w w:val="105"/>
        </w:rPr>
        <w:t> </w:t>
      </w:r>
      <w:r>
        <w:rPr>
          <w:color w:val="231F20"/>
          <w:w w:val="105"/>
        </w:rPr>
        <w:t>respuesta</w:t>
      </w:r>
      <w:r>
        <w:rPr>
          <w:color w:val="231F20"/>
          <w:spacing w:val="-22"/>
          <w:w w:val="105"/>
        </w:rPr>
        <w:t> </w:t>
      </w:r>
      <w:r>
        <w:rPr>
          <w:color w:val="231F20"/>
          <w:w w:val="105"/>
        </w:rPr>
        <w:t>es</w:t>
      </w:r>
      <w:r>
        <w:rPr>
          <w:color w:val="231F20"/>
          <w:spacing w:val="-22"/>
          <w:w w:val="105"/>
        </w:rPr>
        <w:t> </w:t>
      </w:r>
      <w:r>
        <w:rPr>
          <w:color w:val="231F20"/>
          <w:w w:val="105"/>
        </w:rPr>
        <w:t>sí,</w:t>
      </w:r>
      <w:r>
        <w:rPr>
          <w:color w:val="231F20"/>
          <w:spacing w:val="-22"/>
          <w:w w:val="105"/>
        </w:rPr>
        <w:t> </w:t>
      </w:r>
      <w:r>
        <w:rPr>
          <w:color w:val="231F20"/>
          <w:w w:val="105"/>
        </w:rPr>
        <w:t>porque</w:t>
      </w:r>
      <w:r>
        <w:rPr>
          <w:color w:val="231F20"/>
          <w:spacing w:val="-22"/>
          <w:w w:val="105"/>
        </w:rPr>
        <w:t> </w:t>
      </w:r>
      <w:r>
        <w:rPr>
          <w:color w:val="231F20"/>
          <w:w w:val="105"/>
        </w:rPr>
        <w:t>en</w:t>
      </w:r>
      <w:r>
        <w:rPr>
          <w:color w:val="231F20"/>
          <w:spacing w:val="-22"/>
          <w:w w:val="105"/>
        </w:rPr>
        <w:t> </w:t>
      </w:r>
      <w:r>
        <w:rPr>
          <w:color w:val="231F20"/>
          <w:w w:val="105"/>
        </w:rPr>
        <w:t>nues- tros</w:t>
      </w:r>
      <w:r>
        <w:rPr>
          <w:color w:val="231F20"/>
          <w:spacing w:val="-9"/>
          <w:w w:val="105"/>
        </w:rPr>
        <w:t> </w:t>
      </w:r>
      <w:r>
        <w:rPr>
          <w:color w:val="231F20"/>
          <w:w w:val="105"/>
        </w:rPr>
        <w:t>días</w:t>
      </w:r>
      <w:r>
        <w:rPr>
          <w:color w:val="231F20"/>
          <w:spacing w:val="-9"/>
          <w:w w:val="105"/>
        </w:rPr>
        <w:t> </w:t>
      </w:r>
      <w:r>
        <w:rPr>
          <w:color w:val="231F20"/>
          <w:w w:val="105"/>
        </w:rPr>
        <w:t>la</w:t>
      </w:r>
      <w:r>
        <w:rPr>
          <w:color w:val="231F20"/>
          <w:spacing w:val="-9"/>
          <w:w w:val="105"/>
        </w:rPr>
        <w:t> </w:t>
      </w:r>
      <w:r>
        <w:rPr>
          <w:color w:val="231F20"/>
          <w:w w:val="105"/>
        </w:rPr>
        <w:t>sociedad</w:t>
      </w:r>
      <w:r>
        <w:rPr>
          <w:color w:val="231F20"/>
          <w:spacing w:val="-9"/>
          <w:w w:val="105"/>
        </w:rPr>
        <w:t> </w:t>
      </w:r>
      <w:r>
        <w:rPr>
          <w:color w:val="231F20"/>
          <w:w w:val="105"/>
        </w:rPr>
        <w:t>exige</w:t>
      </w:r>
      <w:r>
        <w:rPr>
          <w:color w:val="231F20"/>
          <w:spacing w:val="-9"/>
          <w:w w:val="105"/>
        </w:rPr>
        <w:t> </w:t>
      </w:r>
      <w:r>
        <w:rPr>
          <w:color w:val="231F20"/>
          <w:w w:val="105"/>
        </w:rPr>
        <w:t>más</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gobierno</w:t>
      </w:r>
      <w:r>
        <w:rPr>
          <w:color w:val="231F20"/>
          <w:spacing w:val="-9"/>
          <w:w w:val="105"/>
        </w:rPr>
        <w:t> </w:t>
      </w:r>
      <w:r>
        <w:rPr>
          <w:color w:val="231F20"/>
          <w:w w:val="105"/>
        </w:rPr>
        <w:t>incluso</w:t>
      </w:r>
      <w:r>
        <w:rPr>
          <w:color w:val="231F20"/>
          <w:spacing w:val="-9"/>
          <w:w w:val="105"/>
        </w:rPr>
        <w:t> </w:t>
      </w:r>
      <w:r>
        <w:rPr>
          <w:color w:val="231F20"/>
          <w:w w:val="105"/>
        </w:rPr>
        <w:t>se</w:t>
      </w:r>
      <w:r>
        <w:rPr>
          <w:color w:val="231F20"/>
          <w:spacing w:val="-9"/>
          <w:w w:val="105"/>
        </w:rPr>
        <w:t> </w:t>
      </w:r>
      <w:r>
        <w:rPr>
          <w:color w:val="231F20"/>
          <w:w w:val="105"/>
        </w:rPr>
        <w:t>cuestiona</w:t>
      </w:r>
      <w:r>
        <w:rPr>
          <w:color w:val="231F20"/>
          <w:spacing w:val="-9"/>
          <w:w w:val="105"/>
        </w:rPr>
        <w:t> </w:t>
      </w:r>
      <w:r>
        <w:rPr>
          <w:color w:val="231F20"/>
          <w:w w:val="105"/>
        </w:rPr>
        <w:t>la</w:t>
      </w:r>
      <w:r>
        <w:rPr>
          <w:color w:val="231F20"/>
          <w:spacing w:val="-9"/>
          <w:w w:val="105"/>
        </w:rPr>
        <w:t> </w:t>
      </w:r>
      <w:r>
        <w:rPr>
          <w:color w:val="231F20"/>
          <w:w w:val="105"/>
        </w:rPr>
        <w:t>honorabilidad</w:t>
      </w:r>
      <w:r>
        <w:rPr>
          <w:color w:val="231F20"/>
          <w:spacing w:val="-9"/>
          <w:w w:val="105"/>
        </w:rPr>
        <w:t> </w:t>
      </w:r>
      <w:r>
        <w:rPr>
          <w:color w:val="231F20"/>
          <w:w w:val="105"/>
        </w:rPr>
        <w:t>de los</w:t>
      </w:r>
      <w:r>
        <w:rPr>
          <w:color w:val="231F20"/>
          <w:spacing w:val="-17"/>
          <w:w w:val="105"/>
        </w:rPr>
        <w:t> </w:t>
      </w:r>
      <w:r>
        <w:rPr>
          <w:color w:val="231F20"/>
          <w:w w:val="105"/>
        </w:rPr>
        <w:t>ciudadanos</w:t>
      </w:r>
      <w:r>
        <w:rPr>
          <w:color w:val="231F20"/>
          <w:spacing w:val="-17"/>
          <w:w w:val="105"/>
        </w:rPr>
        <w:t> </w:t>
      </w:r>
      <w:r>
        <w:rPr>
          <w:color w:val="231F20"/>
          <w:w w:val="105"/>
        </w:rPr>
        <w:t>que</w:t>
      </w:r>
      <w:r>
        <w:rPr>
          <w:color w:val="231F20"/>
          <w:spacing w:val="-17"/>
          <w:w w:val="105"/>
        </w:rPr>
        <w:t> </w:t>
      </w:r>
      <w:r>
        <w:rPr>
          <w:color w:val="231F20"/>
          <w:w w:val="105"/>
        </w:rPr>
        <w:t>aspiran</w:t>
      </w:r>
      <w:r>
        <w:rPr>
          <w:color w:val="231F20"/>
          <w:spacing w:val="-17"/>
          <w:w w:val="105"/>
        </w:rPr>
        <w:t> </w:t>
      </w:r>
      <w:r>
        <w:rPr>
          <w:color w:val="231F20"/>
          <w:w w:val="105"/>
        </w:rPr>
        <w:t>a</w:t>
      </w:r>
      <w:r>
        <w:rPr>
          <w:color w:val="231F20"/>
          <w:spacing w:val="-17"/>
          <w:w w:val="105"/>
        </w:rPr>
        <w:t> </w:t>
      </w:r>
      <w:r>
        <w:rPr>
          <w:color w:val="231F20"/>
          <w:w w:val="105"/>
        </w:rPr>
        <w:t>cargos</w:t>
      </w:r>
      <w:r>
        <w:rPr>
          <w:color w:val="231F20"/>
          <w:spacing w:val="-17"/>
          <w:w w:val="105"/>
        </w:rPr>
        <w:t> </w:t>
      </w:r>
      <w:r>
        <w:rPr>
          <w:color w:val="231F20"/>
          <w:w w:val="105"/>
        </w:rPr>
        <w:t>públicos.</w:t>
      </w:r>
    </w:p>
    <w:p>
      <w:pPr>
        <w:pStyle w:val="BodyText"/>
        <w:spacing w:before="1"/>
        <w:rPr>
          <w:sz w:val="26"/>
        </w:rPr>
      </w:pPr>
    </w:p>
    <w:p>
      <w:pPr>
        <w:pStyle w:val="BodyText"/>
        <w:spacing w:line="285" w:lineRule="auto"/>
        <w:ind w:left="110" w:right="107"/>
        <w:jc w:val="both"/>
      </w:pPr>
      <w:r>
        <w:rPr>
          <w:color w:val="231F20"/>
          <w:w w:val="105"/>
        </w:rPr>
        <w:t>El</w:t>
      </w:r>
      <w:r>
        <w:rPr>
          <w:color w:val="231F20"/>
          <w:spacing w:val="-8"/>
          <w:w w:val="105"/>
        </w:rPr>
        <w:t> </w:t>
      </w:r>
      <w:r>
        <w:rPr>
          <w:color w:val="231F20"/>
          <w:w w:val="105"/>
        </w:rPr>
        <w:t>panorama</w:t>
      </w:r>
      <w:r>
        <w:rPr>
          <w:color w:val="231F20"/>
          <w:spacing w:val="-8"/>
          <w:w w:val="105"/>
        </w:rPr>
        <w:t> </w:t>
      </w:r>
      <w:r>
        <w:rPr>
          <w:color w:val="231F20"/>
          <w:w w:val="105"/>
        </w:rPr>
        <w:t>político</w:t>
      </w:r>
      <w:r>
        <w:rPr>
          <w:color w:val="231F20"/>
          <w:spacing w:val="-8"/>
          <w:w w:val="105"/>
        </w:rPr>
        <w:t> </w:t>
      </w:r>
      <w:r>
        <w:rPr>
          <w:color w:val="231F20"/>
          <w:w w:val="105"/>
        </w:rPr>
        <w:t>electoral</w:t>
      </w:r>
      <w:r>
        <w:rPr>
          <w:color w:val="231F20"/>
          <w:spacing w:val="-8"/>
          <w:w w:val="105"/>
        </w:rPr>
        <w:t> </w:t>
      </w:r>
      <w:r>
        <w:rPr>
          <w:color w:val="231F20"/>
          <w:w w:val="105"/>
        </w:rPr>
        <w:t>está</w:t>
      </w:r>
      <w:r>
        <w:rPr>
          <w:color w:val="231F20"/>
          <w:spacing w:val="-8"/>
          <w:w w:val="105"/>
        </w:rPr>
        <w:t> </w:t>
      </w:r>
      <w:r>
        <w:rPr>
          <w:color w:val="231F20"/>
          <w:w w:val="105"/>
        </w:rPr>
        <w:t>enmarcado</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pérdida</w:t>
      </w:r>
      <w:r>
        <w:rPr>
          <w:color w:val="231F20"/>
          <w:spacing w:val="-8"/>
          <w:w w:val="105"/>
        </w:rPr>
        <w:t> </w:t>
      </w:r>
      <w:r>
        <w:rPr>
          <w:color w:val="231F20"/>
          <w:w w:val="105"/>
        </w:rPr>
        <w:t>de</w:t>
      </w:r>
      <w:r>
        <w:rPr>
          <w:color w:val="231F20"/>
          <w:spacing w:val="-8"/>
          <w:w w:val="105"/>
        </w:rPr>
        <w:t> </w:t>
      </w:r>
      <w:r>
        <w:rPr>
          <w:color w:val="231F20"/>
          <w:w w:val="105"/>
        </w:rPr>
        <w:t>hegemonía</w:t>
      </w:r>
      <w:r>
        <w:rPr>
          <w:color w:val="231F20"/>
          <w:spacing w:val="-8"/>
          <w:w w:val="105"/>
        </w:rPr>
        <w:t> </w:t>
      </w:r>
      <w:r>
        <w:rPr>
          <w:color w:val="231F20"/>
          <w:w w:val="105"/>
        </w:rPr>
        <w:t>del</w:t>
      </w:r>
      <w:r>
        <w:rPr>
          <w:color w:val="231F20"/>
          <w:spacing w:val="-8"/>
          <w:w w:val="105"/>
        </w:rPr>
        <w:t> </w:t>
      </w:r>
      <w:r>
        <w:rPr>
          <w:color w:val="231F20"/>
          <w:w w:val="105"/>
        </w:rPr>
        <w:t>PRI,</w:t>
      </w:r>
      <w:r>
        <w:rPr>
          <w:color w:val="231F20"/>
          <w:spacing w:val="-8"/>
          <w:w w:val="105"/>
        </w:rPr>
        <w:t> </w:t>
      </w:r>
      <w:r>
        <w:rPr>
          <w:color w:val="231F20"/>
          <w:w w:val="105"/>
        </w:rPr>
        <w:t>la alternancia</w:t>
      </w:r>
      <w:r>
        <w:rPr>
          <w:color w:val="231F20"/>
          <w:spacing w:val="-10"/>
          <w:w w:val="105"/>
        </w:rPr>
        <w:t> </w:t>
      </w:r>
      <w:r>
        <w:rPr>
          <w:color w:val="231F20"/>
          <w:spacing w:val="2"/>
          <w:w w:val="105"/>
        </w:rPr>
        <w:t>al</w:t>
      </w:r>
      <w:r>
        <w:rPr>
          <w:color w:val="231F20"/>
          <w:spacing w:val="-10"/>
          <w:w w:val="105"/>
        </w:rPr>
        <w:t> </w:t>
      </w:r>
      <w:r>
        <w:rPr>
          <w:color w:val="231F20"/>
          <w:w w:val="105"/>
        </w:rPr>
        <w:t>poder</w:t>
      </w:r>
      <w:r>
        <w:rPr>
          <w:color w:val="231F20"/>
          <w:spacing w:val="-10"/>
          <w:w w:val="105"/>
        </w:rPr>
        <w:t> </w:t>
      </w:r>
      <w:r>
        <w:rPr>
          <w:color w:val="231F20"/>
          <w:w w:val="105"/>
        </w:rPr>
        <w:t>del</w:t>
      </w:r>
      <w:r>
        <w:rPr>
          <w:color w:val="231F20"/>
          <w:spacing w:val="-10"/>
          <w:w w:val="105"/>
        </w:rPr>
        <w:t> </w:t>
      </w:r>
      <w:r>
        <w:rPr>
          <w:color w:val="231F20"/>
          <w:w w:val="105"/>
        </w:rPr>
        <w:t>PRD</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dos</w:t>
      </w:r>
      <w:r>
        <w:rPr>
          <w:color w:val="231F20"/>
          <w:spacing w:val="-10"/>
          <w:w w:val="105"/>
        </w:rPr>
        <w:t> </w:t>
      </w:r>
      <w:r>
        <w:rPr>
          <w:color w:val="231F20"/>
          <w:w w:val="105"/>
        </w:rPr>
        <w:t>últimas</w:t>
      </w:r>
      <w:r>
        <w:rPr>
          <w:color w:val="231F20"/>
          <w:spacing w:val="-10"/>
          <w:w w:val="105"/>
        </w:rPr>
        <w:t> </w:t>
      </w:r>
      <w:r>
        <w:rPr>
          <w:color w:val="231F20"/>
          <w:w w:val="105"/>
        </w:rPr>
        <w:t>elecciones.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historia</w:t>
      </w:r>
      <w:r>
        <w:rPr>
          <w:color w:val="231F20"/>
          <w:spacing w:val="-10"/>
          <w:w w:val="105"/>
        </w:rPr>
        <w:t> </w:t>
      </w:r>
      <w:r>
        <w:rPr>
          <w:color w:val="231F20"/>
          <w:w w:val="105"/>
        </w:rPr>
        <w:t>de</w:t>
      </w:r>
      <w:r>
        <w:rPr>
          <w:color w:val="231F20"/>
          <w:spacing w:val="-10"/>
          <w:w w:val="105"/>
        </w:rPr>
        <w:t> </w:t>
      </w:r>
      <w:r>
        <w:rPr>
          <w:color w:val="231F20"/>
          <w:w w:val="105"/>
        </w:rPr>
        <w:t>este</w:t>
      </w:r>
      <w:r>
        <w:rPr>
          <w:color w:val="231F20"/>
          <w:spacing w:val="-10"/>
          <w:w w:val="105"/>
        </w:rPr>
        <w:t> </w:t>
      </w:r>
      <w:r>
        <w:rPr>
          <w:color w:val="231F20"/>
          <w:w w:val="105"/>
        </w:rPr>
        <w:t>muni- cipio</w:t>
      </w:r>
      <w:r>
        <w:rPr>
          <w:color w:val="231F20"/>
          <w:spacing w:val="-12"/>
          <w:w w:val="105"/>
        </w:rPr>
        <w:t> </w:t>
      </w:r>
      <w:r>
        <w:rPr>
          <w:color w:val="231F20"/>
          <w:w w:val="105"/>
        </w:rPr>
        <w:t>sólo</w:t>
      </w:r>
      <w:r>
        <w:rPr>
          <w:color w:val="231F20"/>
          <w:spacing w:val="-12"/>
          <w:w w:val="105"/>
        </w:rPr>
        <w:t> </w:t>
      </w:r>
      <w:r>
        <w:rPr>
          <w:color w:val="231F20"/>
          <w:w w:val="105"/>
        </w:rPr>
        <w:t>ha</w:t>
      </w:r>
      <w:r>
        <w:rPr>
          <w:color w:val="231F20"/>
          <w:spacing w:val="-12"/>
          <w:w w:val="105"/>
        </w:rPr>
        <w:t> </w:t>
      </w:r>
      <w:r>
        <w:rPr>
          <w:color w:val="231F20"/>
          <w:w w:val="105"/>
        </w:rPr>
        <w:t>existido</w:t>
      </w:r>
      <w:r>
        <w:rPr>
          <w:color w:val="231F20"/>
          <w:spacing w:val="-12"/>
          <w:w w:val="105"/>
        </w:rPr>
        <w:t> </w:t>
      </w:r>
      <w:r>
        <w:rPr>
          <w:color w:val="231F20"/>
          <w:w w:val="105"/>
        </w:rPr>
        <w:t>una</w:t>
      </w:r>
      <w:r>
        <w:rPr>
          <w:color w:val="231F20"/>
          <w:spacing w:val="-12"/>
          <w:w w:val="105"/>
        </w:rPr>
        <w:t> </w:t>
      </w:r>
      <w:r>
        <w:rPr>
          <w:color w:val="231F20"/>
          <w:spacing w:val="-3"/>
          <w:w w:val="105"/>
        </w:rPr>
        <w:t>mujer</w:t>
      </w:r>
      <w:r>
        <w:rPr>
          <w:color w:val="231F20"/>
          <w:spacing w:val="-12"/>
          <w:w w:val="105"/>
        </w:rPr>
        <w:t> </w:t>
      </w:r>
      <w:r>
        <w:rPr>
          <w:color w:val="231F20"/>
          <w:w w:val="105"/>
        </w:rPr>
        <w:t>como</w:t>
      </w:r>
      <w:r>
        <w:rPr>
          <w:color w:val="231F20"/>
          <w:spacing w:val="-12"/>
          <w:w w:val="105"/>
        </w:rPr>
        <w:t> </w:t>
      </w:r>
      <w:r>
        <w:rPr>
          <w:color w:val="231F20"/>
          <w:w w:val="105"/>
        </w:rPr>
        <w:t>Presidenta</w:t>
      </w:r>
      <w:r>
        <w:rPr>
          <w:color w:val="231F20"/>
          <w:spacing w:val="-12"/>
          <w:w w:val="105"/>
        </w:rPr>
        <w:t> </w:t>
      </w:r>
      <w:r>
        <w:rPr>
          <w:color w:val="231F20"/>
          <w:w w:val="105"/>
        </w:rPr>
        <w:t>y</w:t>
      </w:r>
      <w:r>
        <w:rPr>
          <w:color w:val="231F20"/>
          <w:spacing w:val="-12"/>
          <w:w w:val="105"/>
        </w:rPr>
        <w:t> </w:t>
      </w:r>
      <w:r>
        <w:rPr>
          <w:color w:val="231F20"/>
          <w:w w:val="105"/>
        </w:rPr>
        <w:t>fue</w:t>
      </w:r>
      <w:r>
        <w:rPr>
          <w:color w:val="231F20"/>
          <w:spacing w:val="-12"/>
          <w:w w:val="105"/>
        </w:rPr>
        <w:t> </w:t>
      </w:r>
      <w:r>
        <w:rPr>
          <w:color w:val="231F20"/>
          <w:spacing w:val="2"/>
          <w:w w:val="105"/>
        </w:rPr>
        <w:t>Martha</w:t>
      </w:r>
      <w:r>
        <w:rPr>
          <w:color w:val="231F20"/>
          <w:spacing w:val="-12"/>
          <w:w w:val="105"/>
        </w:rPr>
        <w:t> </w:t>
      </w:r>
      <w:r>
        <w:rPr>
          <w:color w:val="231F20"/>
          <w:w w:val="105"/>
        </w:rPr>
        <w:t>Patricia</w:t>
      </w:r>
      <w:r>
        <w:rPr>
          <w:color w:val="231F20"/>
          <w:spacing w:val="-12"/>
          <w:w w:val="105"/>
        </w:rPr>
        <w:t> </w:t>
      </w:r>
      <w:r>
        <w:rPr>
          <w:color w:val="231F20"/>
          <w:w w:val="105"/>
        </w:rPr>
        <w:t>Rivera</w:t>
      </w:r>
      <w:r>
        <w:rPr>
          <w:color w:val="231F20"/>
          <w:spacing w:val="-12"/>
          <w:w w:val="105"/>
        </w:rPr>
        <w:t> </w:t>
      </w:r>
      <w:r>
        <w:rPr>
          <w:color w:val="231F20"/>
          <w:spacing w:val="-3"/>
          <w:w w:val="105"/>
        </w:rPr>
        <w:t>Pérez</w:t>
      </w:r>
      <w:r>
        <w:rPr>
          <w:color w:val="231F20"/>
          <w:spacing w:val="-12"/>
          <w:w w:val="105"/>
        </w:rPr>
        <w:t> </w:t>
      </w:r>
      <w:r>
        <w:rPr>
          <w:color w:val="231F20"/>
          <w:w w:val="105"/>
        </w:rPr>
        <w:t>en </w:t>
      </w:r>
      <w:r>
        <w:rPr>
          <w:color w:val="231F20"/>
        </w:rPr>
        <w:t>el período</w:t>
      </w:r>
      <w:r>
        <w:rPr>
          <w:color w:val="231F20"/>
          <w:spacing w:val="12"/>
        </w:rPr>
        <w:t> </w:t>
      </w:r>
      <w:r>
        <w:rPr>
          <w:color w:val="231F20"/>
        </w:rPr>
        <w:t>1997-2000.</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período</w:t>
      </w:r>
      <w:r>
        <w:rPr>
          <w:color w:val="231F20"/>
          <w:spacing w:val="-11"/>
          <w:w w:val="105"/>
        </w:rPr>
        <w:t> </w:t>
      </w:r>
      <w:r>
        <w:rPr>
          <w:color w:val="231F20"/>
          <w:w w:val="105"/>
        </w:rPr>
        <w:t>de</w:t>
      </w:r>
      <w:r>
        <w:rPr>
          <w:color w:val="231F20"/>
          <w:spacing w:val="-11"/>
          <w:w w:val="105"/>
        </w:rPr>
        <w:t> </w:t>
      </w:r>
      <w:r>
        <w:rPr>
          <w:color w:val="231F20"/>
          <w:w w:val="105"/>
        </w:rPr>
        <w:t>Onofre</w:t>
      </w:r>
      <w:r>
        <w:rPr>
          <w:color w:val="231F20"/>
          <w:spacing w:val="-11"/>
          <w:w w:val="105"/>
        </w:rPr>
        <w:t> </w:t>
      </w:r>
      <w:r>
        <w:rPr>
          <w:color w:val="231F20"/>
          <w:w w:val="105"/>
        </w:rPr>
        <w:t>Vázquez</w:t>
      </w:r>
      <w:r>
        <w:rPr>
          <w:color w:val="231F20"/>
          <w:spacing w:val="-11"/>
          <w:w w:val="105"/>
        </w:rPr>
        <w:t> </w:t>
      </w:r>
      <w:r>
        <w:rPr>
          <w:color w:val="231F20"/>
          <w:w w:val="105"/>
        </w:rPr>
        <w:t>queda</w:t>
      </w:r>
      <w:r>
        <w:rPr>
          <w:color w:val="231F20"/>
          <w:spacing w:val="-11"/>
          <w:w w:val="105"/>
        </w:rPr>
        <w:t> </w:t>
      </w:r>
      <w:r>
        <w:rPr>
          <w:color w:val="231F20"/>
          <w:w w:val="105"/>
        </w:rPr>
        <w:t>claro</w:t>
      </w:r>
      <w:r>
        <w:rPr>
          <w:color w:val="231F20"/>
          <w:spacing w:val="-11"/>
          <w:w w:val="105"/>
        </w:rPr>
        <w:t> </w:t>
      </w:r>
      <w:r>
        <w:rPr>
          <w:color w:val="231F20"/>
          <w:w w:val="105"/>
        </w:rPr>
        <w:t>que</w:t>
      </w:r>
      <w:r>
        <w:rPr>
          <w:color w:val="231F20"/>
          <w:spacing w:val="-11"/>
          <w:w w:val="105"/>
        </w:rPr>
        <w:t> </w:t>
      </w:r>
      <w:r>
        <w:rPr>
          <w:color w:val="231F20"/>
          <w:w w:val="105"/>
        </w:rPr>
        <w:t>hay</w:t>
      </w:r>
      <w:r>
        <w:rPr>
          <w:color w:val="231F20"/>
          <w:spacing w:val="-11"/>
          <w:w w:val="105"/>
        </w:rPr>
        <w:t> </w:t>
      </w:r>
      <w:r>
        <w:rPr>
          <w:color w:val="231F20"/>
          <w:w w:val="105"/>
        </w:rPr>
        <w:t>una</w:t>
      </w:r>
      <w:r>
        <w:rPr>
          <w:color w:val="231F20"/>
          <w:spacing w:val="-11"/>
          <w:w w:val="105"/>
        </w:rPr>
        <w:t> </w:t>
      </w:r>
      <w:r>
        <w:rPr>
          <w:color w:val="231F20"/>
          <w:w w:val="105"/>
        </w:rPr>
        <w:t>ruptura</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partido</w:t>
      </w:r>
      <w:r>
        <w:rPr>
          <w:color w:val="231F20"/>
          <w:spacing w:val="-11"/>
          <w:w w:val="105"/>
        </w:rPr>
        <w:t> </w:t>
      </w:r>
      <w:r>
        <w:rPr>
          <w:color w:val="231F20"/>
          <w:w w:val="105"/>
        </w:rPr>
        <w:t>que</w:t>
      </w:r>
      <w:r>
        <w:rPr>
          <w:color w:val="231F20"/>
          <w:spacing w:val="-11"/>
          <w:w w:val="105"/>
        </w:rPr>
        <w:t> </w:t>
      </w:r>
      <w:r>
        <w:rPr>
          <w:color w:val="231F20"/>
          <w:w w:val="105"/>
        </w:rPr>
        <w:t>lo llevó</w:t>
      </w:r>
      <w:r>
        <w:rPr>
          <w:color w:val="231F20"/>
          <w:spacing w:val="-11"/>
          <w:w w:val="105"/>
        </w:rPr>
        <w:t> </w:t>
      </w:r>
      <w:r>
        <w:rPr>
          <w:color w:val="231F20"/>
          <w:spacing w:val="2"/>
          <w:w w:val="105"/>
        </w:rPr>
        <w:t>al</w:t>
      </w:r>
      <w:r>
        <w:rPr>
          <w:color w:val="231F20"/>
          <w:spacing w:val="-11"/>
          <w:w w:val="105"/>
        </w:rPr>
        <w:t> </w:t>
      </w:r>
      <w:r>
        <w:rPr>
          <w:color w:val="231F20"/>
          <w:w w:val="105"/>
        </w:rPr>
        <w:t>triunfo,</w:t>
      </w:r>
      <w:r>
        <w:rPr>
          <w:color w:val="231F20"/>
          <w:spacing w:val="-11"/>
          <w:w w:val="105"/>
        </w:rPr>
        <w:t> </w:t>
      </w:r>
      <w:r>
        <w:rPr>
          <w:color w:val="231F20"/>
          <w:w w:val="105"/>
        </w:rPr>
        <w:t>pues</w:t>
      </w:r>
      <w:r>
        <w:rPr>
          <w:color w:val="231F20"/>
          <w:spacing w:val="-11"/>
          <w:w w:val="105"/>
        </w:rPr>
        <w:t> </w:t>
      </w:r>
      <w:r>
        <w:rPr>
          <w:color w:val="231F20"/>
          <w:w w:val="105"/>
        </w:rPr>
        <w:t>las</w:t>
      </w:r>
      <w:r>
        <w:rPr>
          <w:color w:val="231F20"/>
          <w:spacing w:val="-11"/>
          <w:w w:val="105"/>
        </w:rPr>
        <w:t> </w:t>
      </w:r>
      <w:r>
        <w:rPr>
          <w:color w:val="231F20"/>
          <w:w w:val="105"/>
        </w:rPr>
        <w:t>pugnas</w:t>
      </w:r>
      <w:r>
        <w:rPr>
          <w:color w:val="231F20"/>
          <w:spacing w:val="-11"/>
          <w:w w:val="105"/>
        </w:rPr>
        <w:t> </w:t>
      </w:r>
      <w:r>
        <w:rPr>
          <w:color w:val="231F20"/>
          <w:w w:val="105"/>
        </w:rPr>
        <w:t>lo</w:t>
      </w:r>
      <w:r>
        <w:rPr>
          <w:color w:val="231F20"/>
          <w:spacing w:val="-11"/>
          <w:w w:val="105"/>
        </w:rPr>
        <w:t> </w:t>
      </w:r>
      <w:r>
        <w:rPr>
          <w:color w:val="231F20"/>
          <w:w w:val="105"/>
        </w:rPr>
        <w:t>llevaron</w:t>
      </w:r>
      <w:r>
        <w:rPr>
          <w:color w:val="231F20"/>
          <w:spacing w:val="-11"/>
          <w:w w:val="105"/>
        </w:rPr>
        <w:t> </w:t>
      </w:r>
      <w:r>
        <w:rPr>
          <w:color w:val="231F20"/>
          <w:w w:val="105"/>
        </w:rPr>
        <w:t>a</w:t>
      </w:r>
      <w:r>
        <w:rPr>
          <w:color w:val="231F20"/>
          <w:spacing w:val="-11"/>
          <w:w w:val="105"/>
        </w:rPr>
        <w:t> </w:t>
      </w:r>
      <w:r>
        <w:rPr>
          <w:color w:val="231F20"/>
          <w:w w:val="105"/>
        </w:rPr>
        <w:t>abandonar</w:t>
      </w:r>
      <w:r>
        <w:rPr>
          <w:color w:val="231F20"/>
          <w:spacing w:val="-11"/>
          <w:w w:val="105"/>
        </w:rPr>
        <w:t> </w:t>
      </w:r>
      <w:r>
        <w:rPr>
          <w:color w:val="231F20"/>
          <w:w w:val="105"/>
        </w:rPr>
        <w:t>las</w:t>
      </w:r>
      <w:r>
        <w:rPr>
          <w:color w:val="231F20"/>
          <w:spacing w:val="-11"/>
          <w:w w:val="105"/>
        </w:rPr>
        <w:t> </w:t>
      </w:r>
      <w:r>
        <w:rPr>
          <w:color w:val="231F20"/>
          <w:spacing w:val="2"/>
          <w:w w:val="105"/>
        </w:rPr>
        <w:t>filas</w:t>
      </w:r>
      <w:r>
        <w:rPr>
          <w:color w:val="231F20"/>
          <w:spacing w:val="-11"/>
          <w:w w:val="105"/>
        </w:rPr>
        <w:t> </w:t>
      </w:r>
      <w:r>
        <w:rPr>
          <w:color w:val="231F20"/>
          <w:w w:val="105"/>
        </w:rPr>
        <w:t>del</w:t>
      </w:r>
      <w:r>
        <w:rPr>
          <w:color w:val="231F20"/>
          <w:spacing w:val="-11"/>
          <w:w w:val="105"/>
        </w:rPr>
        <w:t> </w:t>
      </w:r>
      <w:r>
        <w:rPr>
          <w:color w:val="231F20"/>
          <w:w w:val="105"/>
        </w:rPr>
        <w:t>PRI</w:t>
      </w:r>
      <w:r>
        <w:rPr>
          <w:color w:val="231F20"/>
          <w:spacing w:val="-11"/>
          <w:w w:val="105"/>
        </w:rPr>
        <w:t> </w:t>
      </w:r>
      <w:r>
        <w:rPr>
          <w:color w:val="231F20"/>
          <w:w w:val="105"/>
        </w:rPr>
        <w:t>e</w:t>
      </w:r>
      <w:r>
        <w:rPr>
          <w:color w:val="231F20"/>
          <w:spacing w:val="-11"/>
          <w:w w:val="105"/>
        </w:rPr>
        <w:t> </w:t>
      </w:r>
      <w:r>
        <w:rPr>
          <w:color w:val="231F20"/>
          <w:w w:val="105"/>
        </w:rPr>
        <w:t>integrarse</w:t>
      </w:r>
      <w:r>
        <w:rPr>
          <w:color w:val="231F20"/>
          <w:spacing w:val="-11"/>
          <w:w w:val="105"/>
        </w:rPr>
        <w:t> </w:t>
      </w:r>
      <w:r>
        <w:rPr>
          <w:color w:val="231F20"/>
          <w:spacing w:val="2"/>
          <w:w w:val="105"/>
        </w:rPr>
        <w:t>al </w:t>
      </w:r>
      <w:r>
        <w:rPr>
          <w:color w:val="231F20"/>
          <w:w w:val="105"/>
        </w:rPr>
        <w:t>partido</w:t>
      </w:r>
      <w:r>
        <w:rPr>
          <w:color w:val="231F20"/>
          <w:spacing w:val="-36"/>
          <w:w w:val="105"/>
        </w:rPr>
        <w:t> </w:t>
      </w:r>
      <w:r>
        <w:rPr>
          <w:color w:val="231F20"/>
          <w:w w:val="105"/>
        </w:rPr>
        <w:t>Convergencia.</w:t>
      </w:r>
    </w:p>
    <w:p>
      <w:pPr>
        <w:pStyle w:val="BodyText"/>
        <w:spacing w:before="1"/>
        <w:rPr>
          <w:sz w:val="26"/>
        </w:rPr>
      </w:pPr>
    </w:p>
    <w:p>
      <w:pPr>
        <w:pStyle w:val="BodyText"/>
        <w:spacing w:line="285" w:lineRule="auto"/>
        <w:ind w:left="110" w:right="107"/>
        <w:jc w:val="both"/>
      </w:pPr>
      <w:r>
        <w:rPr>
          <w:color w:val="231F20"/>
          <w:w w:val="105"/>
        </w:rPr>
        <w:t>Respecto a la conformación del Ayuntamiento </w:t>
      </w:r>
      <w:r>
        <w:rPr>
          <w:color w:val="231F20"/>
          <w:spacing w:val="2"/>
          <w:w w:val="105"/>
        </w:rPr>
        <w:t>al </w:t>
      </w:r>
      <w:r>
        <w:rPr>
          <w:color w:val="231F20"/>
          <w:w w:val="105"/>
        </w:rPr>
        <w:t>inicio de su Administración Onofre contó con el apoyo de 9 regidores </w:t>
      </w:r>
      <w:r>
        <w:rPr>
          <w:color w:val="231F20"/>
          <w:spacing w:val="-6"/>
          <w:w w:val="105"/>
        </w:rPr>
        <w:t>(4 </w:t>
      </w:r>
      <w:r>
        <w:rPr>
          <w:color w:val="231F20"/>
          <w:w w:val="105"/>
        </w:rPr>
        <w:t>del </w:t>
      </w:r>
      <w:r>
        <w:rPr>
          <w:color w:val="231F20"/>
          <w:spacing w:val="-4"/>
          <w:w w:val="105"/>
        </w:rPr>
        <w:t>PRD), </w:t>
      </w:r>
      <w:r>
        <w:rPr>
          <w:color w:val="231F20"/>
          <w:w w:val="105"/>
        </w:rPr>
        <w:t>sumado a esto el Síndico y el voto del Presidente.</w:t>
      </w:r>
      <w:r>
        <w:rPr>
          <w:color w:val="231F20"/>
          <w:spacing w:val="-8"/>
          <w:w w:val="105"/>
        </w:rPr>
        <w:t> </w:t>
      </w:r>
      <w:r>
        <w:rPr>
          <w:color w:val="231F20"/>
          <w:w w:val="105"/>
        </w:rPr>
        <w:t>Después</w:t>
      </w:r>
      <w:r>
        <w:rPr>
          <w:color w:val="231F20"/>
          <w:spacing w:val="-8"/>
          <w:w w:val="105"/>
        </w:rPr>
        <w:t> </w:t>
      </w:r>
      <w:r>
        <w:rPr>
          <w:color w:val="231F20"/>
          <w:w w:val="105"/>
        </w:rPr>
        <w:t>únicamente</w:t>
      </w:r>
      <w:r>
        <w:rPr>
          <w:color w:val="231F20"/>
          <w:spacing w:val="-8"/>
          <w:w w:val="105"/>
        </w:rPr>
        <w:t> </w:t>
      </w:r>
      <w:r>
        <w:rPr>
          <w:color w:val="231F20"/>
          <w:w w:val="105"/>
        </w:rPr>
        <w:t>contó</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apoyo</w:t>
      </w:r>
      <w:r>
        <w:rPr>
          <w:color w:val="231F20"/>
          <w:spacing w:val="-8"/>
          <w:w w:val="105"/>
        </w:rPr>
        <w:t> </w:t>
      </w:r>
      <w:r>
        <w:rPr>
          <w:color w:val="231F20"/>
          <w:w w:val="105"/>
        </w:rPr>
        <w:t>de</w:t>
      </w:r>
      <w:r>
        <w:rPr>
          <w:color w:val="231F20"/>
          <w:spacing w:val="-8"/>
          <w:w w:val="105"/>
        </w:rPr>
        <w:t> </w:t>
      </w:r>
      <w:r>
        <w:rPr>
          <w:color w:val="231F20"/>
          <w:w w:val="105"/>
        </w:rPr>
        <w:t>7</w:t>
      </w:r>
      <w:r>
        <w:rPr>
          <w:color w:val="231F20"/>
          <w:spacing w:val="-8"/>
          <w:w w:val="105"/>
        </w:rPr>
        <w:t> </w:t>
      </w:r>
      <w:r>
        <w:rPr>
          <w:color w:val="231F20"/>
          <w:w w:val="105"/>
        </w:rPr>
        <w:t>regidores</w:t>
      </w:r>
      <w:r>
        <w:rPr>
          <w:color w:val="231F20"/>
          <w:spacing w:val="-8"/>
          <w:w w:val="105"/>
        </w:rPr>
        <w:t> </w:t>
      </w:r>
      <w:r>
        <w:rPr>
          <w:color w:val="231F20"/>
          <w:w w:val="105"/>
        </w:rPr>
        <w:t>y</w:t>
      </w:r>
      <w:r>
        <w:rPr>
          <w:color w:val="231F20"/>
          <w:spacing w:val="-8"/>
          <w:w w:val="105"/>
        </w:rPr>
        <w:t> </w:t>
      </w:r>
      <w:r>
        <w:rPr>
          <w:color w:val="231F20"/>
          <w:w w:val="105"/>
        </w:rPr>
        <w:t>también</w:t>
      </w:r>
      <w:r>
        <w:rPr>
          <w:color w:val="231F20"/>
          <w:spacing w:val="-8"/>
          <w:w w:val="105"/>
        </w:rPr>
        <w:t> </w:t>
      </w:r>
      <w:r>
        <w:rPr>
          <w:color w:val="231F20"/>
          <w:w w:val="105"/>
        </w:rPr>
        <w:t>perdió</w:t>
      </w:r>
      <w:r>
        <w:rPr>
          <w:color w:val="231F20"/>
          <w:spacing w:val="-8"/>
          <w:w w:val="105"/>
        </w:rPr>
        <w:t> </w:t>
      </w:r>
      <w:r>
        <w:rPr>
          <w:color w:val="231F20"/>
          <w:w w:val="105"/>
        </w:rPr>
        <w:t>el apoyo</w:t>
      </w:r>
      <w:r>
        <w:rPr>
          <w:color w:val="231F20"/>
          <w:spacing w:val="-24"/>
          <w:w w:val="105"/>
        </w:rPr>
        <w:t> </w:t>
      </w:r>
      <w:r>
        <w:rPr>
          <w:color w:val="231F20"/>
          <w:w w:val="105"/>
        </w:rPr>
        <w:t>del</w:t>
      </w:r>
      <w:r>
        <w:rPr>
          <w:color w:val="231F20"/>
          <w:spacing w:val="-24"/>
          <w:w w:val="105"/>
        </w:rPr>
        <w:t> </w:t>
      </w:r>
      <w:r>
        <w:rPr>
          <w:color w:val="231F20"/>
          <w:w w:val="105"/>
        </w:rPr>
        <w:t>Síndico.</w:t>
      </w:r>
      <w:r>
        <w:rPr>
          <w:color w:val="231F20"/>
          <w:spacing w:val="-24"/>
          <w:w w:val="105"/>
        </w:rPr>
        <w:t> </w:t>
      </w:r>
      <w:r>
        <w:rPr>
          <w:color w:val="231F20"/>
          <w:w w:val="105"/>
        </w:rPr>
        <w:t>Pese</w:t>
      </w:r>
      <w:r>
        <w:rPr>
          <w:color w:val="231F20"/>
          <w:spacing w:val="-24"/>
          <w:w w:val="105"/>
        </w:rPr>
        <w:t> </w:t>
      </w:r>
      <w:r>
        <w:rPr>
          <w:color w:val="231F20"/>
          <w:w w:val="105"/>
        </w:rPr>
        <w:t>a</w:t>
      </w:r>
      <w:r>
        <w:rPr>
          <w:color w:val="231F20"/>
          <w:spacing w:val="-24"/>
          <w:w w:val="105"/>
        </w:rPr>
        <w:t> </w:t>
      </w:r>
      <w:r>
        <w:rPr>
          <w:color w:val="231F20"/>
          <w:w w:val="105"/>
        </w:rPr>
        <w:t>ello,</w:t>
      </w:r>
      <w:r>
        <w:rPr>
          <w:color w:val="231F20"/>
          <w:spacing w:val="-24"/>
          <w:w w:val="105"/>
        </w:rPr>
        <w:t> </w:t>
      </w:r>
      <w:r>
        <w:rPr>
          <w:color w:val="231F20"/>
          <w:w w:val="105"/>
        </w:rPr>
        <w:t>conservó</w:t>
      </w:r>
      <w:r>
        <w:rPr>
          <w:color w:val="231F20"/>
          <w:spacing w:val="-24"/>
          <w:w w:val="105"/>
        </w:rPr>
        <w:t> </w:t>
      </w:r>
      <w:r>
        <w:rPr>
          <w:color w:val="231F20"/>
          <w:w w:val="105"/>
        </w:rPr>
        <w:t>la</w:t>
      </w:r>
      <w:r>
        <w:rPr>
          <w:color w:val="231F20"/>
          <w:spacing w:val="-24"/>
          <w:w w:val="105"/>
        </w:rPr>
        <w:t> </w:t>
      </w:r>
      <w:r>
        <w:rPr>
          <w:color w:val="231F20"/>
          <w:w w:val="105"/>
        </w:rPr>
        <w:t>mayoría</w:t>
      </w:r>
      <w:r>
        <w:rPr>
          <w:color w:val="231F20"/>
          <w:spacing w:val="-24"/>
          <w:w w:val="105"/>
        </w:rPr>
        <w:t> </w:t>
      </w:r>
      <w:r>
        <w:rPr>
          <w:color w:val="231F20"/>
          <w:w w:val="105"/>
        </w:rPr>
        <w:t>a</w:t>
      </w:r>
      <w:r>
        <w:rPr>
          <w:color w:val="231F20"/>
          <w:spacing w:val="-24"/>
          <w:w w:val="105"/>
        </w:rPr>
        <w:t> </w:t>
      </w:r>
      <w:r>
        <w:rPr>
          <w:color w:val="231F20"/>
          <w:w w:val="105"/>
        </w:rPr>
        <w:t>su</w:t>
      </w:r>
      <w:r>
        <w:rPr>
          <w:color w:val="231F20"/>
          <w:spacing w:val="-24"/>
          <w:w w:val="105"/>
        </w:rPr>
        <w:t> </w:t>
      </w:r>
      <w:r>
        <w:rPr>
          <w:color w:val="231F20"/>
          <w:spacing w:val="-3"/>
          <w:w w:val="105"/>
        </w:rPr>
        <w:t>favor.</w:t>
      </w:r>
    </w:p>
    <w:p>
      <w:pPr>
        <w:pStyle w:val="BodyText"/>
        <w:spacing w:before="1"/>
        <w:rPr>
          <w:sz w:val="26"/>
        </w:rPr>
      </w:pPr>
    </w:p>
    <w:p>
      <w:pPr>
        <w:pStyle w:val="BodyText"/>
        <w:spacing w:line="285" w:lineRule="auto"/>
        <w:ind w:left="110" w:right="109"/>
        <w:jc w:val="both"/>
      </w:pPr>
      <w:r>
        <w:rPr>
          <w:color w:val="231F20"/>
          <w:spacing w:val="-3"/>
          <w:w w:val="105"/>
        </w:rPr>
        <w:t>Por </w:t>
      </w:r>
      <w:r>
        <w:rPr>
          <w:color w:val="231F20"/>
          <w:w w:val="105"/>
        </w:rPr>
        <w:t>otro lado respecto a su desempeño, se encontró congruencia entre la normatividad de</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w w:val="105"/>
        </w:rPr>
        <w:t>y</w:t>
      </w:r>
      <w:r>
        <w:rPr>
          <w:color w:val="231F20"/>
          <w:spacing w:val="-11"/>
          <w:w w:val="105"/>
        </w:rPr>
        <w:t> </w:t>
      </w:r>
      <w:r>
        <w:rPr>
          <w:color w:val="231F20"/>
          <w:w w:val="105"/>
        </w:rPr>
        <w:t>en</w:t>
      </w:r>
      <w:r>
        <w:rPr>
          <w:color w:val="231F20"/>
          <w:spacing w:val="-11"/>
          <w:w w:val="105"/>
        </w:rPr>
        <w:t> </w:t>
      </w:r>
      <w:r>
        <w:rPr>
          <w:color w:val="231F20"/>
          <w:w w:val="105"/>
        </w:rPr>
        <w:t>sus</w:t>
      </w:r>
      <w:r>
        <w:rPr>
          <w:color w:val="231F20"/>
          <w:spacing w:val="-11"/>
          <w:w w:val="105"/>
        </w:rPr>
        <w:t> </w:t>
      </w:r>
      <w:r>
        <w:rPr>
          <w:color w:val="231F20"/>
          <w:w w:val="105"/>
        </w:rPr>
        <w:t>acciones,</w:t>
      </w:r>
      <w:r>
        <w:rPr>
          <w:color w:val="231F20"/>
          <w:spacing w:val="-11"/>
          <w:w w:val="105"/>
        </w:rPr>
        <w:t> </w:t>
      </w:r>
      <w:r>
        <w:rPr>
          <w:color w:val="231F20"/>
          <w:w w:val="105"/>
        </w:rPr>
        <w:t>y</w:t>
      </w:r>
      <w:r>
        <w:rPr>
          <w:color w:val="231F20"/>
          <w:spacing w:val="-11"/>
          <w:w w:val="105"/>
        </w:rPr>
        <w:t> </w:t>
      </w:r>
      <w:r>
        <w:rPr>
          <w:color w:val="231F20"/>
          <w:w w:val="105"/>
        </w:rPr>
        <w:t>hay</w:t>
      </w:r>
      <w:r>
        <w:rPr>
          <w:color w:val="231F20"/>
          <w:spacing w:val="-11"/>
          <w:w w:val="105"/>
        </w:rPr>
        <w:t> </w:t>
      </w:r>
      <w:r>
        <w:rPr>
          <w:color w:val="231F20"/>
          <w:w w:val="105"/>
        </w:rPr>
        <w:t>evidencias</w:t>
      </w:r>
      <w:r>
        <w:rPr>
          <w:color w:val="231F20"/>
          <w:spacing w:val="-11"/>
          <w:w w:val="105"/>
        </w:rPr>
        <w:t> </w:t>
      </w:r>
      <w:r>
        <w:rPr>
          <w:color w:val="231F20"/>
          <w:w w:val="105"/>
        </w:rPr>
        <w:t>de</w:t>
      </w:r>
      <w:r>
        <w:rPr>
          <w:color w:val="231F20"/>
          <w:spacing w:val="-11"/>
          <w:w w:val="105"/>
        </w:rPr>
        <w:t> </w:t>
      </w:r>
      <w:r>
        <w:rPr>
          <w:color w:val="231F20"/>
          <w:w w:val="105"/>
        </w:rPr>
        <w:t>acciones</w:t>
      </w:r>
      <w:r>
        <w:rPr>
          <w:color w:val="231F20"/>
          <w:spacing w:val="-11"/>
          <w:w w:val="105"/>
        </w:rPr>
        <w:t> </w:t>
      </w:r>
      <w:r>
        <w:rPr>
          <w:color w:val="231F20"/>
          <w:w w:val="105"/>
        </w:rPr>
        <w:t>en</w:t>
      </w:r>
      <w:r>
        <w:rPr>
          <w:color w:val="231F20"/>
          <w:spacing w:val="-11"/>
          <w:w w:val="105"/>
        </w:rPr>
        <w:t> </w:t>
      </w:r>
      <w:r>
        <w:rPr>
          <w:color w:val="231F20"/>
          <w:w w:val="105"/>
        </w:rPr>
        <w:t>beneficio</w:t>
      </w:r>
      <w:r>
        <w:rPr>
          <w:color w:val="231F20"/>
          <w:spacing w:val="-11"/>
          <w:w w:val="105"/>
        </w:rPr>
        <w:t> </w:t>
      </w:r>
      <w:r>
        <w:rPr>
          <w:color w:val="231F20"/>
          <w:w w:val="105"/>
        </w:rPr>
        <w:t>de</w:t>
      </w:r>
      <w:r>
        <w:rPr>
          <w:color w:val="231F20"/>
          <w:spacing w:val="-11"/>
          <w:w w:val="105"/>
        </w:rPr>
        <w:t> </w:t>
      </w:r>
      <w:r>
        <w:rPr>
          <w:color w:val="231F20"/>
          <w:w w:val="105"/>
        </w:rPr>
        <w:t>la población.</w:t>
      </w:r>
      <w:r>
        <w:rPr>
          <w:color w:val="231F20"/>
          <w:spacing w:val="-11"/>
          <w:w w:val="105"/>
        </w:rPr>
        <w:t> </w:t>
      </w:r>
      <w:r>
        <w:rPr>
          <w:color w:val="231F20"/>
          <w:w w:val="105"/>
        </w:rPr>
        <w:t>Ahora</w:t>
      </w:r>
      <w:r>
        <w:rPr>
          <w:color w:val="231F20"/>
          <w:spacing w:val="-11"/>
          <w:w w:val="105"/>
        </w:rPr>
        <w:t> </w:t>
      </w:r>
      <w:r>
        <w:rPr>
          <w:color w:val="231F20"/>
          <w:w w:val="105"/>
        </w:rPr>
        <w:t>solo</w:t>
      </w:r>
      <w:r>
        <w:rPr>
          <w:color w:val="231F20"/>
          <w:spacing w:val="-11"/>
          <w:w w:val="105"/>
        </w:rPr>
        <w:t> </w:t>
      </w:r>
      <w:r>
        <w:rPr>
          <w:color w:val="231F20"/>
          <w:w w:val="105"/>
        </w:rPr>
        <w:t>queda</w:t>
      </w:r>
      <w:r>
        <w:rPr>
          <w:color w:val="231F20"/>
          <w:spacing w:val="-11"/>
          <w:w w:val="105"/>
        </w:rPr>
        <w:t> </w:t>
      </w:r>
      <w:r>
        <w:rPr>
          <w:color w:val="231F20"/>
          <w:spacing w:val="-2"/>
          <w:w w:val="105"/>
        </w:rPr>
        <w:t>ver</w:t>
      </w:r>
      <w:r>
        <w:rPr>
          <w:color w:val="231F20"/>
          <w:spacing w:val="-11"/>
          <w:w w:val="105"/>
        </w:rPr>
        <w:t> </w:t>
      </w:r>
      <w:r>
        <w:rPr>
          <w:color w:val="231F20"/>
          <w:w w:val="105"/>
        </w:rPr>
        <w:t>qué</w:t>
      </w:r>
      <w:r>
        <w:rPr>
          <w:color w:val="231F20"/>
          <w:spacing w:val="-11"/>
          <w:w w:val="105"/>
        </w:rPr>
        <w:t> </w:t>
      </w:r>
      <w:r>
        <w:rPr>
          <w:color w:val="231F20"/>
          <w:w w:val="105"/>
        </w:rPr>
        <w:t>rumbo</w:t>
      </w:r>
      <w:r>
        <w:rPr>
          <w:color w:val="231F20"/>
          <w:spacing w:val="-11"/>
          <w:w w:val="105"/>
        </w:rPr>
        <w:t> </w:t>
      </w:r>
      <w:r>
        <w:rPr>
          <w:color w:val="231F20"/>
          <w:w w:val="105"/>
        </w:rPr>
        <w:t>electoral</w:t>
      </w:r>
      <w:r>
        <w:rPr>
          <w:color w:val="231F20"/>
          <w:spacing w:val="-11"/>
          <w:w w:val="105"/>
        </w:rPr>
        <w:t> </w:t>
      </w:r>
      <w:r>
        <w:rPr>
          <w:color w:val="231F20"/>
          <w:w w:val="105"/>
        </w:rPr>
        <w:t>tomará</w:t>
      </w:r>
      <w:r>
        <w:rPr>
          <w:color w:val="231F20"/>
          <w:spacing w:val="-11"/>
          <w:w w:val="105"/>
        </w:rPr>
        <w:t> </w:t>
      </w:r>
      <w:r>
        <w:rPr>
          <w:color w:val="231F20"/>
          <w:w w:val="105"/>
        </w:rPr>
        <w:t>este</w:t>
      </w:r>
      <w:r>
        <w:rPr>
          <w:color w:val="231F20"/>
          <w:spacing w:val="-11"/>
          <w:w w:val="105"/>
        </w:rPr>
        <w:t> </w:t>
      </w:r>
      <w:r>
        <w:rPr>
          <w:color w:val="231F20"/>
          <w:w w:val="105"/>
        </w:rPr>
        <w:t>municipio.</w:t>
      </w:r>
    </w:p>
    <w:p>
      <w:pPr>
        <w:pStyle w:val="BodyText"/>
        <w:spacing w:before="9"/>
      </w:pPr>
    </w:p>
    <w:p>
      <w:pPr>
        <w:pStyle w:val="Heading3"/>
        <w:spacing w:before="1"/>
      </w:pPr>
      <w:r>
        <w:rPr>
          <w:color w:val="231F20"/>
          <w:w w:val="105"/>
        </w:rPr>
        <w:t>Fuentes de consulta</w:t>
      </w:r>
    </w:p>
    <w:p>
      <w:pPr>
        <w:spacing w:before="75"/>
        <w:ind w:left="110" w:right="0" w:firstLine="0"/>
        <w:jc w:val="both"/>
        <w:rPr>
          <w:sz w:val="18"/>
        </w:rPr>
      </w:pPr>
      <w:r>
        <w:rPr>
          <w:color w:val="231F20"/>
          <w:w w:val="105"/>
          <w:sz w:val="18"/>
        </w:rPr>
        <w:t>Constitución Política de los Estados Unidos Mexicanos.</w:t>
      </w:r>
    </w:p>
    <w:p>
      <w:pPr>
        <w:spacing w:line="348" w:lineRule="auto" w:before="93"/>
        <w:ind w:left="110" w:right="2536" w:firstLine="0"/>
        <w:jc w:val="left"/>
        <w:rPr>
          <w:sz w:val="18"/>
        </w:rPr>
      </w:pPr>
      <w:r>
        <w:rPr>
          <w:color w:val="231F20"/>
          <w:w w:val="105"/>
          <w:sz w:val="18"/>
        </w:rPr>
        <w:t>IFE</w:t>
      </w:r>
      <w:r>
        <w:rPr>
          <w:color w:val="231F20"/>
          <w:spacing w:val="-18"/>
          <w:w w:val="105"/>
          <w:sz w:val="18"/>
        </w:rPr>
        <w:t> </w:t>
      </w:r>
      <w:r>
        <w:rPr>
          <w:color w:val="231F20"/>
          <w:spacing w:val="-3"/>
          <w:w w:val="105"/>
          <w:sz w:val="18"/>
        </w:rPr>
        <w:t>(2001).”</w:t>
      </w:r>
      <w:r>
        <w:rPr>
          <w:color w:val="231F20"/>
          <w:spacing w:val="-18"/>
          <w:w w:val="105"/>
          <w:sz w:val="18"/>
        </w:rPr>
        <w:t> </w:t>
      </w:r>
      <w:r>
        <w:rPr>
          <w:color w:val="231F20"/>
          <w:w w:val="105"/>
          <w:sz w:val="18"/>
        </w:rPr>
        <w:t>Eslabones</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Democracia”</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Cuaderno</w:t>
      </w:r>
      <w:r>
        <w:rPr>
          <w:color w:val="231F20"/>
          <w:spacing w:val="-18"/>
          <w:w w:val="105"/>
          <w:sz w:val="18"/>
        </w:rPr>
        <w:t> </w:t>
      </w:r>
      <w:r>
        <w:rPr>
          <w:color w:val="231F20"/>
          <w:w w:val="105"/>
          <w:sz w:val="18"/>
        </w:rPr>
        <w:t>del</w:t>
      </w:r>
      <w:r>
        <w:rPr>
          <w:color w:val="231F20"/>
          <w:spacing w:val="-18"/>
          <w:w w:val="105"/>
          <w:sz w:val="18"/>
        </w:rPr>
        <w:t> </w:t>
      </w:r>
      <w:r>
        <w:rPr>
          <w:color w:val="231F20"/>
          <w:spacing w:val="2"/>
          <w:w w:val="105"/>
          <w:sz w:val="18"/>
        </w:rPr>
        <w:t>IFE,</w:t>
      </w:r>
      <w:r>
        <w:rPr>
          <w:color w:val="231F20"/>
          <w:spacing w:val="-18"/>
          <w:w w:val="105"/>
          <w:sz w:val="18"/>
        </w:rPr>
        <w:t> </w:t>
      </w:r>
      <w:r>
        <w:rPr>
          <w:color w:val="231F20"/>
          <w:w w:val="105"/>
          <w:sz w:val="18"/>
        </w:rPr>
        <w:t>México. Plan</w:t>
      </w:r>
      <w:r>
        <w:rPr>
          <w:color w:val="231F20"/>
          <w:spacing w:val="-8"/>
          <w:w w:val="105"/>
          <w:sz w:val="18"/>
        </w:rPr>
        <w:t> </w:t>
      </w:r>
      <w:r>
        <w:rPr>
          <w:color w:val="231F20"/>
          <w:w w:val="105"/>
          <w:sz w:val="18"/>
        </w:rPr>
        <w:t>de</w:t>
      </w:r>
      <w:r>
        <w:rPr>
          <w:color w:val="231F20"/>
          <w:spacing w:val="-8"/>
          <w:w w:val="105"/>
          <w:sz w:val="18"/>
        </w:rPr>
        <w:t> </w:t>
      </w:r>
      <w:r>
        <w:rPr>
          <w:color w:val="231F20"/>
          <w:w w:val="105"/>
          <w:sz w:val="18"/>
        </w:rPr>
        <w:t>Desarrollo</w:t>
      </w:r>
      <w:r>
        <w:rPr>
          <w:color w:val="231F20"/>
          <w:spacing w:val="-8"/>
          <w:w w:val="105"/>
          <w:sz w:val="18"/>
        </w:rPr>
        <w:t> </w:t>
      </w:r>
      <w:r>
        <w:rPr>
          <w:color w:val="231F20"/>
          <w:w w:val="105"/>
          <w:sz w:val="18"/>
        </w:rPr>
        <w:t>Municipal</w:t>
      </w:r>
      <w:r>
        <w:rPr>
          <w:color w:val="231F20"/>
          <w:spacing w:val="-8"/>
          <w:w w:val="105"/>
          <w:sz w:val="18"/>
        </w:rPr>
        <w:t> </w:t>
      </w:r>
      <w:r>
        <w:rPr>
          <w:color w:val="231F20"/>
          <w:w w:val="105"/>
          <w:sz w:val="18"/>
        </w:rPr>
        <w:t>(2006-2009),</w:t>
      </w:r>
      <w:r>
        <w:rPr>
          <w:color w:val="231F20"/>
          <w:spacing w:val="-8"/>
          <w:w w:val="105"/>
          <w:sz w:val="18"/>
        </w:rPr>
        <w:t> </w:t>
      </w:r>
      <w:r>
        <w:rPr>
          <w:color w:val="231F20"/>
          <w:w w:val="105"/>
          <w:sz w:val="18"/>
        </w:rPr>
        <w:t>H.</w:t>
      </w:r>
      <w:r>
        <w:rPr>
          <w:color w:val="231F20"/>
          <w:spacing w:val="-8"/>
          <w:w w:val="105"/>
          <w:sz w:val="18"/>
        </w:rPr>
        <w:t> </w:t>
      </w:r>
      <w:r>
        <w:rPr>
          <w:color w:val="231F20"/>
          <w:w w:val="105"/>
          <w:sz w:val="18"/>
        </w:rPr>
        <w:t>Ayuntamiento</w:t>
      </w:r>
      <w:r>
        <w:rPr>
          <w:color w:val="231F20"/>
          <w:spacing w:val="-8"/>
          <w:w w:val="105"/>
          <w:sz w:val="18"/>
        </w:rPr>
        <w:t> </w:t>
      </w:r>
      <w:r>
        <w:rPr>
          <w:color w:val="231F20"/>
          <w:w w:val="105"/>
          <w:sz w:val="18"/>
        </w:rPr>
        <w:t>de</w:t>
      </w:r>
      <w:r>
        <w:rPr>
          <w:color w:val="231F20"/>
          <w:spacing w:val="-8"/>
          <w:w w:val="105"/>
          <w:sz w:val="18"/>
        </w:rPr>
        <w:t> </w:t>
      </w:r>
      <w:r>
        <w:rPr>
          <w:color w:val="231F20"/>
          <w:w w:val="105"/>
          <w:sz w:val="18"/>
        </w:rPr>
        <w:t>Chalco. </w:t>
      </w:r>
      <w:r>
        <w:rPr>
          <w:color w:val="231F20"/>
          <w:spacing w:val="3"/>
          <w:w w:val="105"/>
          <w:sz w:val="18"/>
        </w:rPr>
        <w:t>REYES, </w:t>
      </w:r>
      <w:r>
        <w:rPr>
          <w:color w:val="231F20"/>
          <w:spacing w:val="2"/>
          <w:w w:val="105"/>
          <w:sz w:val="18"/>
        </w:rPr>
        <w:t>Agustín </w:t>
      </w:r>
      <w:r>
        <w:rPr>
          <w:color w:val="231F20"/>
          <w:w w:val="105"/>
          <w:sz w:val="18"/>
        </w:rPr>
        <w:t>(2000). Administración Moderna, México, LIMUSA. </w:t>
      </w:r>
      <w:r>
        <w:rPr>
          <w:color w:val="231F20"/>
          <w:spacing w:val="2"/>
          <w:w w:val="105"/>
          <w:sz w:val="18"/>
        </w:rPr>
        <w:t>SANCHEZ,</w:t>
      </w:r>
      <w:r>
        <w:rPr>
          <w:color w:val="231F20"/>
          <w:spacing w:val="-21"/>
          <w:w w:val="105"/>
          <w:sz w:val="18"/>
        </w:rPr>
        <w:t> </w:t>
      </w:r>
      <w:r>
        <w:rPr>
          <w:color w:val="231F20"/>
          <w:w w:val="105"/>
          <w:sz w:val="18"/>
        </w:rPr>
        <w:t>José</w:t>
      </w:r>
      <w:r>
        <w:rPr>
          <w:color w:val="231F20"/>
          <w:spacing w:val="-21"/>
          <w:w w:val="105"/>
          <w:sz w:val="18"/>
        </w:rPr>
        <w:t> </w:t>
      </w:r>
      <w:r>
        <w:rPr>
          <w:color w:val="231F20"/>
          <w:w w:val="105"/>
          <w:sz w:val="18"/>
        </w:rPr>
        <w:t>Juan</w:t>
      </w:r>
      <w:r>
        <w:rPr>
          <w:color w:val="231F20"/>
          <w:spacing w:val="-21"/>
          <w:w w:val="105"/>
          <w:sz w:val="18"/>
        </w:rPr>
        <w:t> </w:t>
      </w:r>
      <w:r>
        <w:rPr>
          <w:color w:val="231F20"/>
          <w:w w:val="105"/>
          <w:sz w:val="18"/>
        </w:rPr>
        <w:t>(2002).</w:t>
      </w:r>
      <w:r>
        <w:rPr>
          <w:color w:val="231F20"/>
          <w:spacing w:val="-21"/>
          <w:w w:val="105"/>
          <w:sz w:val="18"/>
        </w:rPr>
        <w:t> </w:t>
      </w:r>
      <w:r>
        <w:rPr>
          <w:color w:val="231F20"/>
          <w:w w:val="105"/>
          <w:sz w:val="18"/>
        </w:rPr>
        <w:t>Gestión</w:t>
      </w:r>
      <w:r>
        <w:rPr>
          <w:color w:val="231F20"/>
          <w:spacing w:val="-21"/>
          <w:w w:val="105"/>
          <w:sz w:val="18"/>
        </w:rPr>
        <w:t> </w:t>
      </w:r>
      <w:r>
        <w:rPr>
          <w:color w:val="231F20"/>
          <w:w w:val="105"/>
          <w:sz w:val="18"/>
        </w:rPr>
        <w:t>Pública</w:t>
      </w:r>
      <w:r>
        <w:rPr>
          <w:color w:val="231F20"/>
          <w:spacing w:val="-21"/>
          <w:w w:val="105"/>
          <w:sz w:val="18"/>
        </w:rPr>
        <w:t> </w:t>
      </w:r>
      <w:r>
        <w:rPr>
          <w:color w:val="231F20"/>
          <w:w w:val="105"/>
          <w:sz w:val="18"/>
        </w:rPr>
        <w:t>y</w:t>
      </w:r>
      <w:r>
        <w:rPr>
          <w:color w:val="231F20"/>
          <w:spacing w:val="-21"/>
          <w:w w:val="105"/>
          <w:sz w:val="18"/>
        </w:rPr>
        <w:t> </w:t>
      </w:r>
      <w:r>
        <w:rPr>
          <w:color w:val="231F20"/>
          <w:w w:val="105"/>
          <w:sz w:val="18"/>
        </w:rPr>
        <w:t>Governance,</w:t>
      </w:r>
    </w:p>
    <w:p>
      <w:pPr>
        <w:spacing w:before="3"/>
        <w:ind w:left="393" w:right="574" w:firstLine="0"/>
        <w:jc w:val="left"/>
        <w:rPr>
          <w:sz w:val="18"/>
        </w:rPr>
      </w:pPr>
      <w:r>
        <w:rPr>
          <w:color w:val="231F20"/>
          <w:w w:val="105"/>
          <w:sz w:val="18"/>
        </w:rPr>
        <w:t>México, Instituto de Administración Pública del Estado de México.</w:t>
      </w:r>
    </w:p>
    <w:p>
      <w:pPr>
        <w:spacing w:line="348" w:lineRule="auto" w:before="93"/>
        <w:ind w:left="393" w:right="1235" w:hanging="284"/>
        <w:jc w:val="left"/>
        <w:rPr>
          <w:sz w:val="18"/>
        </w:rPr>
      </w:pPr>
      <w:r>
        <w:rPr>
          <w:color w:val="231F20"/>
          <w:sz w:val="18"/>
        </w:rPr>
        <w:t>ZICCARDI, Alicia y SALTAMALACCHIA, Homero (1997). Metodología en la evaluación del desempeño de los gobiernos locales en ciudades mexicanas, Distrito Federal, Universidad  Nacional  Autónoma  de México</w:t>
      </w:r>
    </w:p>
    <w:p>
      <w:pPr>
        <w:pStyle w:val="BodyText"/>
        <w:spacing w:before="2"/>
        <w:rPr>
          <w:sz w:val="17"/>
        </w:rPr>
      </w:pPr>
    </w:p>
    <w:p>
      <w:pPr>
        <w:pStyle w:val="Heading4"/>
        <w:spacing w:before="1"/>
        <w:rPr>
          <w:i/>
        </w:rPr>
      </w:pPr>
      <w:r>
        <w:rPr>
          <w:i/>
          <w:color w:val="231F20"/>
        </w:rPr>
        <w:t>Documentos en Internet</w:t>
      </w:r>
    </w:p>
    <w:p>
      <w:pPr>
        <w:spacing w:line="348" w:lineRule="auto" w:before="54"/>
        <w:ind w:left="110" w:right="4568" w:firstLine="0"/>
        <w:jc w:val="left"/>
        <w:rPr>
          <w:sz w:val="18"/>
        </w:rPr>
      </w:pPr>
      <w:hyperlink r:id="rId312">
        <w:r>
          <w:rPr>
            <w:color w:val="231F20"/>
            <w:w w:val="105"/>
            <w:sz w:val="18"/>
          </w:rPr>
          <w:t>http://www.inegi.org.mx</w:t>
        </w:r>
      </w:hyperlink>
      <w:r>
        <w:rPr>
          <w:color w:val="231F20"/>
          <w:w w:val="105"/>
          <w:sz w:val="18"/>
        </w:rPr>
        <w:t> </w:t>
      </w:r>
      <w:hyperlink r:id="rId1149">
        <w:r>
          <w:rPr>
            <w:color w:val="231F20"/>
            <w:sz w:val="18"/>
          </w:rPr>
          <w:t>http://www.fitchméxico.com.mx</w:t>
        </w:r>
      </w:hyperlink>
    </w:p>
    <w:p>
      <w:pPr>
        <w:pStyle w:val="BodyText"/>
        <w:spacing w:before="2"/>
        <w:rPr>
          <w:sz w:val="17"/>
        </w:rPr>
      </w:pPr>
    </w:p>
    <w:p>
      <w:pPr>
        <w:pStyle w:val="Heading4"/>
        <w:spacing w:before="1"/>
        <w:rPr>
          <w:i/>
        </w:rPr>
      </w:pPr>
      <w:r>
        <w:rPr>
          <w:i/>
          <w:color w:val="231F20"/>
        </w:rPr>
        <w:t>Entrevistas</w:t>
      </w:r>
    </w:p>
    <w:p>
      <w:pPr>
        <w:spacing w:line="348" w:lineRule="auto" w:before="54"/>
        <w:ind w:left="393" w:right="1712" w:hanging="284"/>
        <w:jc w:val="left"/>
        <w:rPr>
          <w:sz w:val="18"/>
        </w:rPr>
      </w:pPr>
      <w:r>
        <w:rPr>
          <w:color w:val="231F20"/>
          <w:w w:val="105"/>
          <w:sz w:val="18"/>
        </w:rPr>
        <w:t>Vicente Alberto Onofre Vázquez, presidente municipal de Chalco, 2006-2009, diciembre de 2008</w:t>
      </w:r>
    </w:p>
    <w:p>
      <w:pPr>
        <w:spacing w:after="0" w:line="348" w:lineRule="auto"/>
        <w:jc w:val="left"/>
        <w:rPr>
          <w:sz w:val="18"/>
        </w:rPr>
        <w:sectPr>
          <w:pgSz w:w="9640" w:h="12190"/>
          <w:pgMar w:header="0" w:footer="743" w:top="1120" w:bottom="94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911"/>
      </w:pPr>
      <w:r>
        <w:rPr>
          <w:color w:val="231F20"/>
          <w:w w:val="105"/>
        </w:rPr>
        <w:t>Partido</w:t>
      </w:r>
      <w:r>
        <w:rPr>
          <w:color w:val="231F20"/>
          <w:spacing w:val="-51"/>
          <w:w w:val="105"/>
        </w:rPr>
        <w:t> </w:t>
      </w:r>
      <w:r>
        <w:rPr>
          <w:color w:val="231F20"/>
          <w:spacing w:val="-2"/>
          <w:w w:val="105"/>
        </w:rPr>
        <w:t>Del </w:t>
      </w:r>
      <w:r>
        <w:rPr>
          <w:color w:val="231F20"/>
          <w:spacing w:val="-6"/>
          <w:w w:val="105"/>
        </w:rPr>
        <w:t>Trabajo</w:t>
      </w:r>
    </w:p>
    <w:p>
      <w:pPr>
        <w:spacing w:after="0"/>
        <w:sectPr>
          <w:footerReference w:type="default" r:id="rId1150"/>
          <w:pgSz w:w="9640" w:h="12190"/>
          <w:pgMar w:footer="0" w:header="0" w:top="1120" w:bottom="280" w:left="1340" w:right="13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pStyle w:val="Heading2"/>
        <w:spacing w:line="367" w:lineRule="auto"/>
        <w:ind w:left="2034" w:right="1562" w:hanging="468"/>
        <w:jc w:val="left"/>
      </w:pPr>
      <w:r>
        <w:rPr>
          <w:color w:val="231F20"/>
          <w:w w:val="105"/>
        </w:rPr>
        <w:t>La</w:t>
      </w:r>
      <w:r>
        <w:rPr>
          <w:color w:val="231F20"/>
          <w:spacing w:val="-31"/>
          <w:w w:val="105"/>
        </w:rPr>
        <w:t> </w:t>
      </w:r>
      <w:r>
        <w:rPr>
          <w:color w:val="231F20"/>
          <w:spacing w:val="-3"/>
          <w:w w:val="105"/>
        </w:rPr>
        <w:t>gestión</w:t>
      </w:r>
      <w:r>
        <w:rPr>
          <w:color w:val="231F20"/>
          <w:spacing w:val="-31"/>
          <w:w w:val="105"/>
        </w:rPr>
        <w:t> </w:t>
      </w:r>
      <w:r>
        <w:rPr>
          <w:color w:val="231F20"/>
          <w:spacing w:val="-4"/>
          <w:w w:val="105"/>
        </w:rPr>
        <w:t>del</w:t>
      </w:r>
      <w:r>
        <w:rPr>
          <w:color w:val="231F20"/>
          <w:spacing w:val="-31"/>
          <w:w w:val="105"/>
        </w:rPr>
        <w:t> </w:t>
      </w:r>
      <w:r>
        <w:rPr>
          <w:color w:val="231F20"/>
          <w:w w:val="105"/>
        </w:rPr>
        <w:t>Partido</w:t>
      </w:r>
      <w:r>
        <w:rPr>
          <w:color w:val="231F20"/>
          <w:spacing w:val="-31"/>
          <w:w w:val="105"/>
        </w:rPr>
        <w:t> </w:t>
      </w:r>
      <w:r>
        <w:rPr>
          <w:color w:val="231F20"/>
          <w:spacing w:val="-4"/>
          <w:w w:val="105"/>
        </w:rPr>
        <w:t>del</w:t>
      </w:r>
      <w:r>
        <w:rPr>
          <w:color w:val="231F20"/>
          <w:spacing w:val="-31"/>
          <w:w w:val="105"/>
        </w:rPr>
        <w:t> </w:t>
      </w:r>
      <w:r>
        <w:rPr>
          <w:color w:val="231F20"/>
          <w:spacing w:val="-5"/>
          <w:w w:val="105"/>
        </w:rPr>
        <w:t>Trabajo </w:t>
      </w:r>
      <w:r>
        <w:rPr>
          <w:color w:val="231F20"/>
          <w:w w:val="105"/>
        </w:rPr>
        <w:t>en el </w:t>
      </w:r>
      <w:r>
        <w:rPr>
          <w:color w:val="231F20"/>
          <w:spacing w:val="-3"/>
          <w:w w:val="105"/>
        </w:rPr>
        <w:t>municipio de</w:t>
      </w:r>
      <w:r>
        <w:rPr>
          <w:color w:val="231F20"/>
          <w:spacing w:val="-47"/>
          <w:w w:val="105"/>
        </w:rPr>
        <w:t> </w:t>
      </w:r>
      <w:r>
        <w:rPr>
          <w:color w:val="231F20"/>
          <w:w w:val="105"/>
        </w:rPr>
        <w:t>Ozumba</w:t>
      </w:r>
    </w:p>
    <w:p>
      <w:pPr>
        <w:pStyle w:val="BodyText"/>
        <w:spacing w:before="121"/>
        <w:ind w:left="5179" w:right="-2"/>
      </w:pPr>
      <w:r>
        <w:rPr>
          <w:color w:val="231F20"/>
          <w:w w:val="105"/>
        </w:rPr>
        <w:t>Orlando Justino Jaimes Estrada</w:t>
      </w:r>
    </w:p>
    <w:p>
      <w:pPr>
        <w:pStyle w:val="BodyText"/>
        <w:spacing w:before="10"/>
        <w:rPr>
          <w:sz w:val="26"/>
        </w:rPr>
      </w:pPr>
    </w:p>
    <w:p>
      <w:pPr>
        <w:pStyle w:val="Heading3"/>
      </w:pPr>
      <w:r>
        <w:rPr>
          <w:color w:val="231F20"/>
          <w:w w:val="105"/>
        </w:rPr>
        <w:t>Introducción</w:t>
      </w:r>
    </w:p>
    <w:p>
      <w:pPr>
        <w:pStyle w:val="BodyText"/>
        <w:spacing w:line="285" w:lineRule="auto" w:before="38"/>
        <w:ind w:left="110" w:right="106"/>
        <w:jc w:val="both"/>
      </w:pPr>
      <w:r>
        <w:rPr>
          <w:color w:val="231F20"/>
          <w:spacing w:val="2"/>
          <w:w w:val="105"/>
        </w:rPr>
        <w:t>Analizar</w:t>
      </w:r>
      <w:r>
        <w:rPr>
          <w:color w:val="231F20"/>
          <w:spacing w:val="-10"/>
          <w:w w:val="105"/>
        </w:rPr>
        <w:t> </w:t>
      </w:r>
      <w:r>
        <w:rPr>
          <w:color w:val="231F20"/>
          <w:w w:val="105"/>
        </w:rPr>
        <w:t>la</w:t>
      </w:r>
      <w:r>
        <w:rPr>
          <w:color w:val="231F20"/>
          <w:spacing w:val="-10"/>
          <w:w w:val="105"/>
        </w:rPr>
        <w:t> </w:t>
      </w:r>
      <w:r>
        <w:rPr>
          <w:color w:val="231F20"/>
          <w:w w:val="105"/>
        </w:rPr>
        <w:t>gestión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partidos</w:t>
      </w:r>
      <w:r>
        <w:rPr>
          <w:color w:val="231F20"/>
          <w:spacing w:val="-10"/>
          <w:w w:val="105"/>
        </w:rPr>
        <w:t> </w:t>
      </w:r>
      <w:r>
        <w:rPr>
          <w:color w:val="231F20"/>
          <w:w w:val="105"/>
        </w:rPr>
        <w:t>políticos</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ejercicio</w:t>
      </w:r>
      <w:r>
        <w:rPr>
          <w:color w:val="231F20"/>
          <w:spacing w:val="-10"/>
          <w:w w:val="105"/>
        </w:rPr>
        <w:t> </w:t>
      </w:r>
      <w:r>
        <w:rPr>
          <w:color w:val="231F20"/>
          <w:w w:val="105"/>
        </w:rPr>
        <w:t>de</w:t>
      </w:r>
      <w:r>
        <w:rPr>
          <w:color w:val="231F20"/>
          <w:spacing w:val="-10"/>
          <w:w w:val="105"/>
        </w:rPr>
        <w:t> </w:t>
      </w:r>
      <w:r>
        <w:rPr>
          <w:color w:val="231F20"/>
          <w:w w:val="105"/>
        </w:rPr>
        <w:t>gobierno</w:t>
      </w:r>
      <w:r>
        <w:rPr>
          <w:color w:val="231F20"/>
          <w:spacing w:val="-10"/>
          <w:w w:val="105"/>
        </w:rPr>
        <w:t> </w:t>
      </w:r>
      <w:r>
        <w:rPr>
          <w:color w:val="231F20"/>
          <w:w w:val="105"/>
        </w:rPr>
        <w:t>es</w:t>
      </w:r>
      <w:r>
        <w:rPr>
          <w:color w:val="231F20"/>
          <w:spacing w:val="-10"/>
          <w:w w:val="105"/>
        </w:rPr>
        <w:t> </w:t>
      </w:r>
      <w:r>
        <w:rPr>
          <w:color w:val="231F20"/>
          <w:w w:val="105"/>
        </w:rPr>
        <w:t>fundamental para</w:t>
      </w:r>
      <w:r>
        <w:rPr>
          <w:color w:val="231F20"/>
          <w:spacing w:val="-16"/>
          <w:w w:val="105"/>
        </w:rPr>
        <w:t> </w:t>
      </w:r>
      <w:r>
        <w:rPr>
          <w:color w:val="231F20"/>
          <w:w w:val="105"/>
        </w:rPr>
        <w:t>identificar</w:t>
      </w:r>
      <w:r>
        <w:rPr>
          <w:color w:val="231F20"/>
          <w:spacing w:val="-16"/>
          <w:w w:val="105"/>
        </w:rPr>
        <w:t> </w:t>
      </w:r>
      <w:r>
        <w:rPr>
          <w:color w:val="231F20"/>
          <w:w w:val="105"/>
        </w:rPr>
        <w:t>si</w:t>
      </w:r>
      <w:r>
        <w:rPr>
          <w:color w:val="231F20"/>
          <w:spacing w:val="-16"/>
          <w:w w:val="105"/>
        </w:rPr>
        <w:t> </w:t>
      </w:r>
      <w:r>
        <w:rPr>
          <w:color w:val="231F20"/>
          <w:w w:val="105"/>
        </w:rPr>
        <w:t>lo</w:t>
      </w:r>
      <w:r>
        <w:rPr>
          <w:color w:val="231F20"/>
          <w:spacing w:val="-16"/>
          <w:w w:val="105"/>
        </w:rPr>
        <w:t> </w:t>
      </w:r>
      <w:r>
        <w:rPr>
          <w:color w:val="231F20"/>
          <w:w w:val="105"/>
        </w:rPr>
        <w:t>hacen</w:t>
      </w:r>
      <w:r>
        <w:rPr>
          <w:color w:val="231F20"/>
          <w:spacing w:val="-16"/>
          <w:w w:val="105"/>
        </w:rPr>
        <w:t> </w:t>
      </w: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w w:val="105"/>
        </w:rPr>
        <w:t>sus</w:t>
      </w:r>
      <w:r>
        <w:rPr>
          <w:color w:val="231F20"/>
          <w:spacing w:val="-16"/>
          <w:w w:val="105"/>
        </w:rPr>
        <w:t> </w:t>
      </w:r>
      <w:r>
        <w:rPr>
          <w:color w:val="231F20"/>
          <w:w w:val="105"/>
        </w:rPr>
        <w:t>principios</w:t>
      </w:r>
      <w:r>
        <w:rPr>
          <w:color w:val="231F20"/>
          <w:spacing w:val="-16"/>
          <w:w w:val="105"/>
        </w:rPr>
        <w:t> </w:t>
      </w:r>
      <w:r>
        <w:rPr>
          <w:color w:val="231F20"/>
          <w:w w:val="105"/>
        </w:rPr>
        <w:t>e</w:t>
      </w:r>
      <w:r>
        <w:rPr>
          <w:color w:val="231F20"/>
          <w:spacing w:val="-16"/>
          <w:w w:val="105"/>
        </w:rPr>
        <w:t> </w:t>
      </w:r>
      <w:r>
        <w:rPr>
          <w:color w:val="231F20"/>
          <w:w w:val="105"/>
        </w:rPr>
        <w:t>ideología</w:t>
      </w:r>
      <w:r>
        <w:rPr>
          <w:color w:val="231F20"/>
          <w:spacing w:val="-16"/>
          <w:w w:val="105"/>
        </w:rPr>
        <w:t> </w:t>
      </w:r>
      <w:r>
        <w:rPr>
          <w:color w:val="231F20"/>
          <w:w w:val="105"/>
        </w:rPr>
        <w:t>o</w:t>
      </w:r>
      <w:r>
        <w:rPr>
          <w:color w:val="231F20"/>
          <w:spacing w:val="-16"/>
          <w:w w:val="105"/>
        </w:rPr>
        <w:t> </w:t>
      </w:r>
      <w:r>
        <w:rPr>
          <w:color w:val="231F20"/>
          <w:w w:val="105"/>
        </w:rPr>
        <w:t>bien</w:t>
      </w:r>
      <w:r>
        <w:rPr>
          <w:color w:val="231F20"/>
          <w:spacing w:val="-16"/>
          <w:w w:val="105"/>
        </w:rPr>
        <w:t> </w:t>
      </w:r>
      <w:r>
        <w:rPr>
          <w:color w:val="231F20"/>
          <w:w w:val="105"/>
        </w:rPr>
        <w:t>si</w:t>
      </w:r>
      <w:r>
        <w:rPr>
          <w:color w:val="231F20"/>
          <w:spacing w:val="-16"/>
          <w:w w:val="105"/>
        </w:rPr>
        <w:t> </w:t>
      </w:r>
      <w:r>
        <w:rPr>
          <w:color w:val="231F20"/>
          <w:w w:val="105"/>
        </w:rPr>
        <w:t>gobiernan de manera pragmática de acuerdo con los recursos de que disponen y con el nivel de participación</w:t>
      </w:r>
      <w:r>
        <w:rPr>
          <w:color w:val="231F20"/>
          <w:spacing w:val="-33"/>
          <w:w w:val="105"/>
        </w:rPr>
        <w:t> </w:t>
      </w:r>
      <w:r>
        <w:rPr>
          <w:color w:val="231F20"/>
          <w:w w:val="105"/>
        </w:rPr>
        <w:t>y</w:t>
      </w:r>
      <w:r>
        <w:rPr>
          <w:color w:val="231F20"/>
          <w:spacing w:val="-33"/>
          <w:w w:val="105"/>
        </w:rPr>
        <w:t> </w:t>
      </w:r>
      <w:r>
        <w:rPr>
          <w:color w:val="231F20"/>
          <w:w w:val="105"/>
        </w:rPr>
        <w:t>exigencia</w:t>
      </w:r>
      <w:r>
        <w:rPr>
          <w:color w:val="231F20"/>
          <w:spacing w:val="-33"/>
          <w:w w:val="105"/>
        </w:rPr>
        <w:t> </w:t>
      </w:r>
      <w:r>
        <w:rPr>
          <w:color w:val="231F20"/>
          <w:w w:val="105"/>
        </w:rPr>
        <w:t>social</w:t>
      </w:r>
      <w:r>
        <w:rPr>
          <w:color w:val="231F20"/>
          <w:spacing w:val="-33"/>
          <w:w w:val="105"/>
        </w:rPr>
        <w:t> </w:t>
      </w:r>
      <w:r>
        <w:rPr>
          <w:color w:val="231F20"/>
          <w:w w:val="105"/>
        </w:rPr>
        <w:t>prevalecientes.</w:t>
      </w:r>
    </w:p>
    <w:p>
      <w:pPr>
        <w:pStyle w:val="BodyText"/>
        <w:spacing w:before="1"/>
        <w:rPr>
          <w:sz w:val="26"/>
        </w:rPr>
      </w:pPr>
    </w:p>
    <w:p>
      <w:pPr>
        <w:pStyle w:val="BodyText"/>
        <w:spacing w:line="285" w:lineRule="auto"/>
        <w:ind w:left="110" w:right="108"/>
        <w:jc w:val="both"/>
      </w:pP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de</w:t>
      </w:r>
      <w:r>
        <w:rPr>
          <w:color w:val="231F20"/>
          <w:spacing w:val="-14"/>
          <w:w w:val="105"/>
        </w:rPr>
        <w:t> </w:t>
      </w:r>
      <w:r>
        <w:rPr>
          <w:color w:val="231F20"/>
          <w:w w:val="105"/>
        </w:rPr>
        <w:t>Ozumba</w:t>
      </w:r>
      <w:r>
        <w:rPr>
          <w:color w:val="231F20"/>
          <w:spacing w:val="-14"/>
          <w:w w:val="105"/>
        </w:rPr>
        <w:t> </w:t>
      </w:r>
      <w:r>
        <w:rPr>
          <w:color w:val="231F20"/>
          <w:w w:val="105"/>
        </w:rPr>
        <w:t>de</w:t>
      </w:r>
      <w:r>
        <w:rPr>
          <w:color w:val="231F20"/>
          <w:spacing w:val="-14"/>
          <w:w w:val="105"/>
        </w:rPr>
        <w:t> </w:t>
      </w:r>
      <w:r>
        <w:rPr>
          <w:color w:val="231F20"/>
          <w:w w:val="105"/>
        </w:rPr>
        <w:t>Alzate,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w w:val="105"/>
        </w:rPr>
        <w:t>2006-2009,</w:t>
      </w:r>
      <w:r>
        <w:rPr>
          <w:color w:val="231F20"/>
          <w:spacing w:val="-14"/>
          <w:w w:val="105"/>
        </w:rPr>
        <w:t> </w:t>
      </w:r>
      <w:r>
        <w:rPr>
          <w:color w:val="231F20"/>
          <w:w w:val="105"/>
        </w:rPr>
        <w:t>fue</w:t>
      </w:r>
      <w:r>
        <w:rPr>
          <w:color w:val="231F20"/>
          <w:spacing w:val="-14"/>
          <w:w w:val="105"/>
        </w:rPr>
        <w:t> </w:t>
      </w:r>
      <w:r>
        <w:rPr>
          <w:color w:val="231F20"/>
          <w:w w:val="105"/>
        </w:rPr>
        <w:t>gobernado</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Par- tido</w:t>
      </w:r>
      <w:r>
        <w:rPr>
          <w:color w:val="231F20"/>
          <w:spacing w:val="-8"/>
          <w:w w:val="105"/>
        </w:rPr>
        <w:t> </w:t>
      </w:r>
      <w:r>
        <w:rPr>
          <w:color w:val="231F20"/>
          <w:w w:val="105"/>
        </w:rPr>
        <w:t>del</w:t>
      </w:r>
      <w:r>
        <w:rPr>
          <w:color w:val="231F20"/>
          <w:spacing w:val="-8"/>
          <w:w w:val="105"/>
        </w:rPr>
        <w:t> </w:t>
      </w:r>
      <w:r>
        <w:rPr>
          <w:color w:val="231F20"/>
          <w:spacing w:val="-3"/>
          <w:w w:val="105"/>
        </w:rPr>
        <w:t>Trabajo</w:t>
      </w:r>
      <w:r>
        <w:rPr>
          <w:color w:val="231F20"/>
          <w:spacing w:val="-8"/>
          <w:w w:val="105"/>
        </w:rPr>
        <w:t> </w:t>
      </w:r>
      <w:r>
        <w:rPr>
          <w:color w:val="231F20"/>
          <w:w w:val="105"/>
        </w:rPr>
        <w:t>quien</w:t>
      </w:r>
      <w:r>
        <w:rPr>
          <w:color w:val="231F20"/>
          <w:spacing w:val="-8"/>
          <w:w w:val="105"/>
        </w:rPr>
        <w:t> </w:t>
      </w:r>
      <w:r>
        <w:rPr>
          <w:color w:val="231F20"/>
          <w:w w:val="105"/>
        </w:rPr>
        <w:t>postuló</w:t>
      </w:r>
      <w:r>
        <w:rPr>
          <w:color w:val="231F20"/>
          <w:spacing w:val="-8"/>
          <w:w w:val="105"/>
        </w:rPr>
        <w:t> </w:t>
      </w:r>
      <w:r>
        <w:rPr>
          <w:color w:val="231F20"/>
          <w:w w:val="105"/>
        </w:rPr>
        <w:t>a</w:t>
      </w:r>
      <w:r>
        <w:rPr>
          <w:color w:val="231F20"/>
          <w:spacing w:val="-8"/>
          <w:w w:val="105"/>
        </w:rPr>
        <w:t> </w:t>
      </w:r>
      <w:r>
        <w:rPr>
          <w:color w:val="231F20"/>
          <w:w w:val="105"/>
        </w:rPr>
        <w:t>Samuel</w:t>
      </w:r>
      <w:r>
        <w:rPr>
          <w:color w:val="231F20"/>
          <w:spacing w:val="-8"/>
          <w:w w:val="105"/>
        </w:rPr>
        <w:t> </w:t>
      </w:r>
      <w:r>
        <w:rPr>
          <w:color w:val="231F20"/>
          <w:w w:val="105"/>
        </w:rPr>
        <w:t>Martínez</w:t>
      </w:r>
      <w:r>
        <w:rPr>
          <w:color w:val="231F20"/>
          <w:spacing w:val="-8"/>
          <w:w w:val="105"/>
        </w:rPr>
        <w:t> </w:t>
      </w:r>
      <w:r>
        <w:rPr>
          <w:color w:val="231F20"/>
          <w:w w:val="105"/>
        </w:rPr>
        <w:t>Andrade,</w:t>
      </w:r>
      <w:r>
        <w:rPr>
          <w:color w:val="231F20"/>
          <w:spacing w:val="-8"/>
          <w:w w:val="105"/>
        </w:rPr>
        <w:t> </w:t>
      </w:r>
      <w:r>
        <w:rPr>
          <w:color w:val="231F20"/>
          <w:w w:val="105"/>
        </w:rPr>
        <w:t>quien</w:t>
      </w:r>
      <w:r>
        <w:rPr>
          <w:color w:val="231F20"/>
          <w:spacing w:val="-8"/>
          <w:w w:val="105"/>
        </w:rPr>
        <w:t> </w:t>
      </w:r>
      <w:r>
        <w:rPr>
          <w:color w:val="231F20"/>
          <w:w w:val="105"/>
        </w:rPr>
        <w:t>ganó</w:t>
      </w:r>
      <w:r>
        <w:rPr>
          <w:color w:val="231F20"/>
          <w:spacing w:val="-8"/>
          <w:w w:val="105"/>
        </w:rPr>
        <w:t> </w:t>
      </w:r>
      <w:r>
        <w:rPr>
          <w:color w:val="231F20"/>
          <w:w w:val="105"/>
        </w:rPr>
        <w:t>la</w:t>
      </w:r>
      <w:r>
        <w:rPr>
          <w:color w:val="231F20"/>
          <w:spacing w:val="-8"/>
          <w:w w:val="105"/>
        </w:rPr>
        <w:t> </w:t>
      </w:r>
      <w:r>
        <w:rPr>
          <w:color w:val="231F20"/>
          <w:w w:val="105"/>
        </w:rPr>
        <w:t>elección</w:t>
      </w:r>
      <w:r>
        <w:rPr>
          <w:color w:val="231F20"/>
          <w:spacing w:val="-8"/>
          <w:w w:val="105"/>
        </w:rPr>
        <w:t> </w:t>
      </w:r>
      <w:r>
        <w:rPr>
          <w:color w:val="231F20"/>
          <w:w w:val="105"/>
        </w:rPr>
        <w:t>con un</w:t>
      </w:r>
      <w:r>
        <w:rPr>
          <w:color w:val="231F20"/>
          <w:spacing w:val="-21"/>
          <w:w w:val="105"/>
        </w:rPr>
        <w:t> </w:t>
      </w:r>
      <w:r>
        <w:rPr>
          <w:color w:val="231F20"/>
          <w:w w:val="105"/>
        </w:rPr>
        <w:t>34.5%</w:t>
      </w:r>
      <w:r>
        <w:rPr>
          <w:color w:val="231F20"/>
          <w:spacing w:val="-21"/>
          <w:w w:val="105"/>
        </w:rPr>
        <w:t> </w:t>
      </w:r>
      <w:r>
        <w:rPr>
          <w:color w:val="231F20"/>
          <w:w w:val="105"/>
        </w:rPr>
        <w:t>del</w:t>
      </w:r>
      <w:r>
        <w:rPr>
          <w:color w:val="231F20"/>
          <w:spacing w:val="-21"/>
          <w:w w:val="105"/>
        </w:rPr>
        <w:t> </w:t>
      </w:r>
      <w:r>
        <w:rPr>
          <w:color w:val="231F20"/>
          <w:w w:val="105"/>
        </w:rPr>
        <w:t>total</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sufragios.</w:t>
      </w:r>
    </w:p>
    <w:p>
      <w:pPr>
        <w:pStyle w:val="BodyText"/>
        <w:spacing w:before="1"/>
        <w:rPr>
          <w:sz w:val="26"/>
        </w:rPr>
      </w:pPr>
    </w:p>
    <w:p>
      <w:pPr>
        <w:pStyle w:val="BodyText"/>
        <w:spacing w:line="285" w:lineRule="auto"/>
        <w:ind w:left="110" w:right="107"/>
        <w:jc w:val="both"/>
      </w:pPr>
      <w:r>
        <w:rPr>
          <w:color w:val="231F20"/>
          <w:w w:val="105"/>
        </w:rPr>
        <w:t>El Partido del </w:t>
      </w:r>
      <w:r>
        <w:rPr>
          <w:color w:val="231F20"/>
          <w:spacing w:val="-3"/>
          <w:w w:val="105"/>
        </w:rPr>
        <w:t>Trabajo </w:t>
      </w:r>
      <w:r>
        <w:rPr>
          <w:color w:val="231F20"/>
          <w:w w:val="105"/>
        </w:rPr>
        <w:t>(PT) es identificado con una ideología de izquierda. Para</w:t>
      </w:r>
      <w:r>
        <w:rPr>
          <w:color w:val="231F20"/>
          <w:spacing w:val="-36"/>
          <w:w w:val="105"/>
        </w:rPr>
        <w:t> </w:t>
      </w:r>
      <w:r>
        <w:rPr>
          <w:color w:val="231F20"/>
          <w:w w:val="105"/>
        </w:rPr>
        <w:t>Reve- les</w:t>
      </w:r>
      <w:r>
        <w:rPr>
          <w:color w:val="231F20"/>
          <w:spacing w:val="-13"/>
          <w:w w:val="105"/>
        </w:rPr>
        <w:t> </w:t>
      </w:r>
      <w:r>
        <w:rPr>
          <w:color w:val="231F20"/>
          <w:w w:val="105"/>
        </w:rPr>
        <w:t>(2008:</w:t>
      </w:r>
      <w:r>
        <w:rPr>
          <w:color w:val="231F20"/>
          <w:spacing w:val="-13"/>
          <w:w w:val="105"/>
        </w:rPr>
        <w:t> </w:t>
      </w:r>
      <w:r>
        <w:rPr>
          <w:color w:val="231F20"/>
          <w:spacing w:val="-4"/>
          <w:w w:val="105"/>
        </w:rPr>
        <w:t>107),</w:t>
      </w:r>
      <w:r>
        <w:rPr>
          <w:color w:val="231F20"/>
          <w:spacing w:val="-13"/>
          <w:w w:val="105"/>
        </w:rPr>
        <w:t> </w:t>
      </w:r>
      <w:r>
        <w:rPr>
          <w:color w:val="231F20"/>
          <w:w w:val="105"/>
        </w:rPr>
        <w:t>“Una</w:t>
      </w:r>
      <w:r>
        <w:rPr>
          <w:color w:val="231F20"/>
          <w:spacing w:val="-13"/>
          <w:w w:val="105"/>
        </w:rPr>
        <w:t> </w:t>
      </w:r>
      <w:r>
        <w:rPr>
          <w:color w:val="231F20"/>
          <w:w w:val="105"/>
        </w:rPr>
        <w:t>ideología</w:t>
      </w:r>
      <w:r>
        <w:rPr>
          <w:color w:val="231F20"/>
          <w:spacing w:val="-13"/>
          <w:w w:val="105"/>
        </w:rPr>
        <w:t> </w:t>
      </w:r>
      <w:r>
        <w:rPr>
          <w:color w:val="231F20"/>
          <w:w w:val="105"/>
        </w:rPr>
        <w:t>política</w:t>
      </w:r>
      <w:r>
        <w:rPr>
          <w:color w:val="231F20"/>
          <w:spacing w:val="-13"/>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conjunto</w:t>
      </w:r>
      <w:r>
        <w:rPr>
          <w:color w:val="231F20"/>
          <w:spacing w:val="-13"/>
          <w:w w:val="105"/>
        </w:rPr>
        <w:t> </w:t>
      </w:r>
      <w:r>
        <w:rPr>
          <w:color w:val="231F20"/>
          <w:w w:val="105"/>
        </w:rPr>
        <w:t>de</w:t>
      </w:r>
      <w:r>
        <w:rPr>
          <w:color w:val="231F20"/>
          <w:spacing w:val="-13"/>
          <w:w w:val="105"/>
        </w:rPr>
        <w:t> </w:t>
      </w:r>
      <w:r>
        <w:rPr>
          <w:color w:val="231F20"/>
          <w:w w:val="105"/>
        </w:rPr>
        <w:t>valores,</w:t>
      </w:r>
      <w:r>
        <w:rPr>
          <w:color w:val="231F20"/>
          <w:spacing w:val="-13"/>
          <w:w w:val="105"/>
        </w:rPr>
        <w:t> </w:t>
      </w:r>
      <w:r>
        <w:rPr>
          <w:color w:val="231F20"/>
          <w:w w:val="105"/>
        </w:rPr>
        <w:t>creencias</w:t>
      </w:r>
      <w:r>
        <w:rPr>
          <w:color w:val="231F20"/>
          <w:spacing w:val="-13"/>
          <w:w w:val="105"/>
        </w:rPr>
        <w:t> </w:t>
      </w:r>
      <w:r>
        <w:rPr>
          <w:color w:val="231F20"/>
          <w:w w:val="105"/>
        </w:rPr>
        <w:t>y</w:t>
      </w:r>
      <w:r>
        <w:rPr>
          <w:color w:val="231F20"/>
          <w:spacing w:val="-13"/>
          <w:w w:val="105"/>
        </w:rPr>
        <w:t> </w:t>
      </w:r>
      <w:r>
        <w:rPr>
          <w:color w:val="231F20"/>
          <w:w w:val="105"/>
        </w:rPr>
        <w:t>actitudes sobre</w:t>
      </w:r>
      <w:r>
        <w:rPr>
          <w:color w:val="231F20"/>
          <w:spacing w:val="-16"/>
          <w:w w:val="105"/>
        </w:rPr>
        <w:t> </w:t>
      </w:r>
      <w:r>
        <w:rPr>
          <w:color w:val="231F20"/>
          <w:w w:val="105"/>
        </w:rPr>
        <w:t>los</w:t>
      </w:r>
      <w:r>
        <w:rPr>
          <w:color w:val="231F20"/>
          <w:spacing w:val="-16"/>
          <w:w w:val="105"/>
        </w:rPr>
        <w:t> </w:t>
      </w:r>
      <w:r>
        <w:rPr>
          <w:color w:val="231F20"/>
          <w:w w:val="105"/>
        </w:rPr>
        <w:t>componentes</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que</w:t>
      </w:r>
      <w:r>
        <w:rPr>
          <w:color w:val="231F20"/>
          <w:spacing w:val="-16"/>
          <w:w w:val="105"/>
        </w:rPr>
        <w:t> </w:t>
      </w:r>
      <w:r>
        <w:rPr>
          <w:color w:val="231F20"/>
          <w:w w:val="105"/>
        </w:rPr>
        <w:t>lleva</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sujetos</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acción</w:t>
      </w:r>
      <w:r>
        <w:rPr>
          <w:color w:val="231F20"/>
          <w:spacing w:val="-16"/>
          <w:w w:val="105"/>
        </w:rPr>
        <w:t> </w:t>
      </w:r>
      <w:r>
        <w:rPr>
          <w:color w:val="231F20"/>
          <w:spacing w:val="-3"/>
          <w:w w:val="105"/>
        </w:rPr>
        <w:t>política”.</w:t>
      </w:r>
      <w:r>
        <w:rPr>
          <w:color w:val="231F20"/>
          <w:spacing w:val="-16"/>
          <w:w w:val="105"/>
        </w:rPr>
        <w:t> </w:t>
      </w:r>
      <w:r>
        <w:rPr>
          <w:color w:val="231F20"/>
          <w:w w:val="105"/>
        </w:rPr>
        <w:t>Entonces, la</w:t>
      </w:r>
      <w:r>
        <w:rPr>
          <w:color w:val="231F20"/>
          <w:spacing w:val="-8"/>
          <w:w w:val="105"/>
        </w:rPr>
        <w:t> </w:t>
      </w:r>
      <w:r>
        <w:rPr>
          <w:color w:val="231F20"/>
          <w:w w:val="105"/>
        </w:rPr>
        <w:t>ideología</w:t>
      </w:r>
      <w:r>
        <w:rPr>
          <w:color w:val="231F20"/>
          <w:spacing w:val="-8"/>
          <w:w w:val="105"/>
        </w:rPr>
        <w:t> </w:t>
      </w:r>
      <w:r>
        <w:rPr>
          <w:color w:val="231F20"/>
          <w:w w:val="105"/>
        </w:rPr>
        <w:t>representa</w:t>
      </w:r>
      <w:r>
        <w:rPr>
          <w:color w:val="231F20"/>
          <w:spacing w:val="-8"/>
          <w:w w:val="105"/>
        </w:rPr>
        <w:t> </w:t>
      </w:r>
      <w:r>
        <w:rPr>
          <w:color w:val="231F20"/>
          <w:w w:val="105"/>
        </w:rPr>
        <w:t>una</w:t>
      </w:r>
      <w:r>
        <w:rPr>
          <w:color w:val="231F20"/>
          <w:spacing w:val="-8"/>
          <w:w w:val="105"/>
        </w:rPr>
        <w:t> </w:t>
      </w:r>
      <w:r>
        <w:rPr>
          <w:color w:val="231F20"/>
          <w:w w:val="105"/>
        </w:rPr>
        <w:t>visión</w:t>
      </w:r>
      <w:r>
        <w:rPr>
          <w:color w:val="231F20"/>
          <w:spacing w:val="-8"/>
          <w:w w:val="105"/>
        </w:rPr>
        <w:t> </w:t>
      </w:r>
      <w:r>
        <w:rPr>
          <w:color w:val="231F20"/>
          <w:w w:val="105"/>
        </w:rPr>
        <w:t>de</w:t>
      </w:r>
      <w:r>
        <w:rPr>
          <w:color w:val="231F20"/>
          <w:spacing w:val="-8"/>
          <w:w w:val="105"/>
        </w:rPr>
        <w:t> </w:t>
      </w:r>
      <w:r>
        <w:rPr>
          <w:color w:val="231F20"/>
          <w:w w:val="105"/>
        </w:rPr>
        <w:t>mundo</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lleva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práctica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marco</w:t>
      </w:r>
      <w:r>
        <w:rPr>
          <w:color w:val="231F20"/>
          <w:spacing w:val="-8"/>
          <w:w w:val="105"/>
        </w:rPr>
        <w:t> </w:t>
      </w:r>
      <w:r>
        <w:rPr>
          <w:color w:val="231F20"/>
          <w:w w:val="105"/>
        </w:rPr>
        <w:t>de</w:t>
      </w:r>
      <w:r>
        <w:rPr>
          <w:color w:val="231F20"/>
          <w:spacing w:val="-8"/>
          <w:w w:val="105"/>
        </w:rPr>
        <w:t> </w:t>
      </w:r>
      <w:r>
        <w:rPr>
          <w:color w:val="231F20"/>
          <w:w w:val="105"/>
        </w:rPr>
        <w:t>la disputa</w:t>
      </w:r>
      <w:r>
        <w:rPr>
          <w:color w:val="231F20"/>
          <w:spacing w:val="-19"/>
          <w:w w:val="105"/>
        </w:rPr>
        <w:t> </w:t>
      </w:r>
      <w:r>
        <w:rPr>
          <w:color w:val="231F20"/>
          <w:w w:val="105"/>
        </w:rPr>
        <w:t>y</w:t>
      </w:r>
      <w:r>
        <w:rPr>
          <w:color w:val="231F20"/>
          <w:spacing w:val="-19"/>
          <w:w w:val="105"/>
        </w:rPr>
        <w:t> </w:t>
      </w:r>
      <w:r>
        <w:rPr>
          <w:color w:val="231F20"/>
          <w:w w:val="105"/>
        </w:rPr>
        <w:t>ejercicio</w:t>
      </w:r>
      <w:r>
        <w:rPr>
          <w:color w:val="231F20"/>
          <w:spacing w:val="-19"/>
          <w:w w:val="105"/>
        </w:rPr>
        <w:t> </w:t>
      </w:r>
      <w:r>
        <w:rPr>
          <w:color w:val="231F20"/>
          <w:w w:val="105"/>
        </w:rPr>
        <w:t>del</w:t>
      </w:r>
      <w:r>
        <w:rPr>
          <w:color w:val="231F20"/>
          <w:spacing w:val="-19"/>
          <w:w w:val="105"/>
        </w:rPr>
        <w:t> </w:t>
      </w:r>
      <w:r>
        <w:rPr>
          <w:color w:val="231F20"/>
          <w:spacing w:val="-2"/>
          <w:w w:val="105"/>
        </w:rPr>
        <w:t>poder.</w:t>
      </w:r>
    </w:p>
    <w:p>
      <w:pPr>
        <w:pStyle w:val="BodyText"/>
        <w:spacing w:before="1"/>
        <w:rPr>
          <w:sz w:val="26"/>
        </w:rPr>
      </w:pPr>
    </w:p>
    <w:p>
      <w:pPr>
        <w:pStyle w:val="BodyText"/>
        <w:spacing w:line="285" w:lineRule="auto"/>
        <w:ind w:left="110" w:right="108"/>
        <w:jc w:val="both"/>
      </w:pPr>
      <w:r>
        <w:rPr>
          <w:color w:val="231F20"/>
          <w:w w:val="105"/>
        </w:rPr>
        <w:t>Las</w:t>
      </w:r>
      <w:r>
        <w:rPr>
          <w:color w:val="231F20"/>
          <w:spacing w:val="-14"/>
          <w:w w:val="105"/>
        </w:rPr>
        <w:t> </w:t>
      </w:r>
      <w:r>
        <w:rPr>
          <w:color w:val="231F20"/>
          <w:spacing w:val="-3"/>
          <w:w w:val="105"/>
        </w:rPr>
        <w:t>corrientes</w:t>
      </w:r>
      <w:r>
        <w:rPr>
          <w:color w:val="231F20"/>
          <w:spacing w:val="-14"/>
          <w:w w:val="105"/>
        </w:rPr>
        <w:t> </w:t>
      </w:r>
      <w:r>
        <w:rPr>
          <w:color w:val="231F20"/>
          <w:w w:val="105"/>
        </w:rPr>
        <w:t>de</w:t>
      </w:r>
      <w:r>
        <w:rPr>
          <w:color w:val="231F20"/>
          <w:spacing w:val="-14"/>
          <w:w w:val="105"/>
        </w:rPr>
        <w:t> </w:t>
      </w:r>
      <w:r>
        <w:rPr>
          <w:color w:val="231F20"/>
          <w:w w:val="105"/>
        </w:rPr>
        <w:t>izquierda</w:t>
      </w:r>
      <w:r>
        <w:rPr>
          <w:color w:val="231F20"/>
          <w:spacing w:val="-14"/>
          <w:w w:val="105"/>
        </w:rPr>
        <w:t> </w:t>
      </w:r>
      <w:r>
        <w:rPr>
          <w:color w:val="231F20"/>
          <w:w w:val="105"/>
        </w:rPr>
        <w:t>en</w:t>
      </w:r>
      <w:r>
        <w:rPr>
          <w:color w:val="231F20"/>
          <w:spacing w:val="-14"/>
          <w:w w:val="105"/>
        </w:rPr>
        <w:t> </w:t>
      </w:r>
      <w:r>
        <w:rPr>
          <w:color w:val="231F20"/>
          <w:w w:val="105"/>
        </w:rPr>
        <w:t>América</w:t>
      </w:r>
      <w:r>
        <w:rPr>
          <w:color w:val="231F20"/>
          <w:spacing w:val="-14"/>
          <w:w w:val="105"/>
        </w:rPr>
        <w:t> </w:t>
      </w:r>
      <w:r>
        <w:rPr>
          <w:color w:val="231F20"/>
          <w:w w:val="105"/>
        </w:rPr>
        <w:t>Latina</w:t>
      </w:r>
      <w:r>
        <w:rPr>
          <w:color w:val="231F20"/>
          <w:spacing w:val="-14"/>
          <w:w w:val="105"/>
        </w:rPr>
        <w:t> </w:t>
      </w:r>
      <w:r>
        <w:rPr>
          <w:color w:val="231F20"/>
          <w:w w:val="105"/>
        </w:rPr>
        <w:t>están</w:t>
      </w:r>
      <w:r>
        <w:rPr>
          <w:color w:val="231F20"/>
          <w:spacing w:val="-14"/>
          <w:w w:val="105"/>
        </w:rPr>
        <w:t> </w:t>
      </w:r>
      <w:r>
        <w:rPr>
          <w:color w:val="231F20"/>
          <w:spacing w:val="-4"/>
          <w:w w:val="105"/>
        </w:rPr>
        <w:t>accediendo</w:t>
      </w:r>
      <w:r>
        <w:rPr>
          <w:color w:val="231F20"/>
          <w:spacing w:val="-14"/>
          <w:w w:val="105"/>
        </w:rPr>
        <w:t> </w:t>
      </w:r>
      <w:r>
        <w:rPr>
          <w:color w:val="231F20"/>
          <w:w w:val="105"/>
        </w:rPr>
        <w:t>al</w:t>
      </w:r>
      <w:r>
        <w:rPr>
          <w:color w:val="231F20"/>
          <w:spacing w:val="-14"/>
          <w:w w:val="105"/>
        </w:rPr>
        <w:t> </w:t>
      </w:r>
      <w:r>
        <w:rPr>
          <w:color w:val="231F20"/>
          <w:spacing w:val="-3"/>
          <w:w w:val="105"/>
        </w:rPr>
        <w:t>poder</w:t>
      </w:r>
      <w:r>
        <w:rPr>
          <w:color w:val="231F20"/>
          <w:spacing w:val="-14"/>
          <w:w w:val="105"/>
        </w:rPr>
        <w:t> </w:t>
      </w:r>
      <w:r>
        <w:rPr>
          <w:color w:val="231F20"/>
          <w:spacing w:val="-3"/>
          <w:w w:val="105"/>
        </w:rPr>
        <w:t>desde</w:t>
      </w:r>
      <w:r>
        <w:rPr>
          <w:color w:val="231F20"/>
          <w:spacing w:val="-14"/>
          <w:w w:val="105"/>
        </w:rPr>
        <w:t> </w:t>
      </w:r>
      <w:r>
        <w:rPr>
          <w:color w:val="231F20"/>
          <w:w w:val="105"/>
        </w:rPr>
        <w:t>la</w:t>
      </w:r>
      <w:r>
        <w:rPr>
          <w:color w:val="231F20"/>
          <w:spacing w:val="-14"/>
          <w:w w:val="105"/>
        </w:rPr>
        <w:t> </w:t>
      </w:r>
      <w:r>
        <w:rPr>
          <w:color w:val="231F20"/>
          <w:w w:val="105"/>
        </w:rPr>
        <w:t>vía</w:t>
      </w:r>
      <w:r>
        <w:rPr>
          <w:color w:val="231F20"/>
          <w:spacing w:val="-14"/>
          <w:w w:val="105"/>
        </w:rPr>
        <w:t> </w:t>
      </w:r>
      <w:r>
        <w:rPr>
          <w:color w:val="231F20"/>
          <w:spacing w:val="-3"/>
          <w:w w:val="105"/>
        </w:rPr>
        <w:t>de- mocrática;</w:t>
      </w:r>
      <w:r>
        <w:rPr>
          <w:color w:val="231F20"/>
          <w:spacing w:val="-23"/>
          <w:w w:val="105"/>
        </w:rPr>
        <w:t> </w:t>
      </w:r>
      <w:r>
        <w:rPr>
          <w:color w:val="231F20"/>
          <w:w w:val="105"/>
        </w:rPr>
        <w:t>para</w:t>
      </w:r>
      <w:r>
        <w:rPr>
          <w:color w:val="231F20"/>
          <w:spacing w:val="-23"/>
          <w:w w:val="105"/>
        </w:rPr>
        <w:t> </w:t>
      </w:r>
      <w:r>
        <w:rPr>
          <w:color w:val="231F20"/>
          <w:spacing w:val="-4"/>
          <w:w w:val="105"/>
        </w:rPr>
        <w:t>Reveles</w:t>
      </w:r>
      <w:r>
        <w:rPr>
          <w:color w:val="231F20"/>
          <w:spacing w:val="-23"/>
          <w:w w:val="105"/>
        </w:rPr>
        <w:t> </w:t>
      </w:r>
      <w:r>
        <w:rPr>
          <w:color w:val="231F20"/>
          <w:w w:val="105"/>
        </w:rPr>
        <w:t>(2008:</w:t>
      </w:r>
      <w:r>
        <w:rPr>
          <w:color w:val="231F20"/>
          <w:spacing w:val="-23"/>
          <w:w w:val="105"/>
        </w:rPr>
        <w:t> </w:t>
      </w:r>
      <w:r>
        <w:rPr>
          <w:color w:val="231F20"/>
          <w:spacing w:val="-5"/>
          <w:w w:val="105"/>
        </w:rPr>
        <w:t>124),</w:t>
      </w:r>
      <w:r>
        <w:rPr>
          <w:color w:val="231F20"/>
          <w:spacing w:val="-23"/>
          <w:w w:val="105"/>
        </w:rPr>
        <w:t> </w:t>
      </w:r>
      <w:r>
        <w:rPr>
          <w:color w:val="231F20"/>
          <w:w w:val="105"/>
        </w:rPr>
        <w:t>“las</w:t>
      </w:r>
      <w:r>
        <w:rPr>
          <w:color w:val="231F20"/>
          <w:spacing w:val="-23"/>
          <w:w w:val="105"/>
        </w:rPr>
        <w:t> </w:t>
      </w:r>
      <w:r>
        <w:rPr>
          <w:color w:val="231F20"/>
          <w:spacing w:val="-3"/>
          <w:w w:val="105"/>
        </w:rPr>
        <w:t>corrientes</w:t>
      </w:r>
      <w:r>
        <w:rPr>
          <w:color w:val="231F20"/>
          <w:spacing w:val="-23"/>
          <w:w w:val="105"/>
        </w:rPr>
        <w:t> </w:t>
      </w:r>
      <w:r>
        <w:rPr>
          <w:color w:val="231F20"/>
          <w:w w:val="105"/>
        </w:rPr>
        <w:t>de</w:t>
      </w:r>
      <w:r>
        <w:rPr>
          <w:color w:val="231F20"/>
          <w:spacing w:val="-23"/>
          <w:w w:val="105"/>
        </w:rPr>
        <w:t> </w:t>
      </w:r>
      <w:r>
        <w:rPr>
          <w:color w:val="231F20"/>
          <w:w w:val="105"/>
        </w:rPr>
        <w:t>izquierda</w:t>
      </w:r>
      <w:r>
        <w:rPr>
          <w:color w:val="231F20"/>
          <w:spacing w:val="-23"/>
          <w:w w:val="105"/>
        </w:rPr>
        <w:t> </w:t>
      </w:r>
      <w:r>
        <w:rPr>
          <w:color w:val="231F20"/>
          <w:w w:val="105"/>
        </w:rPr>
        <w:t>se</w:t>
      </w:r>
      <w:r>
        <w:rPr>
          <w:color w:val="231F20"/>
          <w:spacing w:val="-23"/>
          <w:w w:val="105"/>
        </w:rPr>
        <w:t> </w:t>
      </w:r>
      <w:r>
        <w:rPr>
          <w:color w:val="231F20"/>
          <w:w w:val="105"/>
        </w:rPr>
        <w:t>destacan</w:t>
      </w:r>
      <w:r>
        <w:rPr>
          <w:color w:val="231F20"/>
          <w:spacing w:val="-23"/>
          <w:w w:val="105"/>
        </w:rPr>
        <w:t> </w:t>
      </w:r>
      <w:r>
        <w:rPr>
          <w:color w:val="231F20"/>
          <w:spacing w:val="-3"/>
          <w:w w:val="105"/>
        </w:rPr>
        <w:t>por</w:t>
      </w:r>
      <w:r>
        <w:rPr>
          <w:color w:val="231F20"/>
          <w:spacing w:val="-23"/>
          <w:w w:val="105"/>
        </w:rPr>
        <w:t> </w:t>
      </w:r>
      <w:r>
        <w:rPr>
          <w:color w:val="231F20"/>
          <w:w w:val="105"/>
        </w:rPr>
        <w:t>su</w:t>
      </w:r>
      <w:r>
        <w:rPr>
          <w:color w:val="231F20"/>
          <w:spacing w:val="-23"/>
          <w:w w:val="105"/>
        </w:rPr>
        <w:t> </w:t>
      </w:r>
      <w:r>
        <w:rPr>
          <w:color w:val="231F20"/>
          <w:w w:val="105"/>
        </w:rPr>
        <w:t>extre- ma</w:t>
      </w:r>
      <w:r>
        <w:rPr>
          <w:color w:val="231F20"/>
          <w:spacing w:val="-24"/>
          <w:w w:val="105"/>
        </w:rPr>
        <w:t> </w:t>
      </w:r>
      <w:r>
        <w:rPr>
          <w:color w:val="231F20"/>
          <w:spacing w:val="-4"/>
          <w:w w:val="105"/>
        </w:rPr>
        <w:t>debilidad”,</w:t>
      </w:r>
      <w:r>
        <w:rPr>
          <w:color w:val="231F20"/>
          <w:spacing w:val="-24"/>
          <w:w w:val="105"/>
        </w:rPr>
        <w:t> </w:t>
      </w:r>
      <w:r>
        <w:rPr>
          <w:color w:val="231F20"/>
          <w:spacing w:val="-3"/>
          <w:w w:val="105"/>
        </w:rPr>
        <w:t>pero</w:t>
      </w:r>
      <w:r>
        <w:rPr>
          <w:color w:val="231F20"/>
          <w:spacing w:val="-24"/>
          <w:w w:val="105"/>
        </w:rPr>
        <w:t> </w:t>
      </w:r>
      <w:r>
        <w:rPr>
          <w:color w:val="231F20"/>
          <w:spacing w:val="-3"/>
          <w:w w:val="105"/>
        </w:rPr>
        <w:t>tienen</w:t>
      </w:r>
      <w:r>
        <w:rPr>
          <w:color w:val="231F20"/>
          <w:spacing w:val="-24"/>
          <w:w w:val="105"/>
        </w:rPr>
        <w:t> </w:t>
      </w:r>
      <w:r>
        <w:rPr>
          <w:color w:val="231F20"/>
          <w:spacing w:val="-4"/>
          <w:w w:val="105"/>
        </w:rPr>
        <w:t>como</w:t>
      </w:r>
      <w:r>
        <w:rPr>
          <w:color w:val="231F20"/>
          <w:spacing w:val="-24"/>
          <w:w w:val="105"/>
        </w:rPr>
        <w:t> </w:t>
      </w:r>
      <w:r>
        <w:rPr>
          <w:color w:val="231F20"/>
          <w:w w:val="105"/>
        </w:rPr>
        <w:t>característica</w:t>
      </w:r>
      <w:r>
        <w:rPr>
          <w:color w:val="231F20"/>
          <w:spacing w:val="-24"/>
          <w:w w:val="105"/>
        </w:rPr>
        <w:t> </w:t>
      </w:r>
      <w:r>
        <w:rPr>
          <w:color w:val="231F20"/>
          <w:w w:val="105"/>
        </w:rPr>
        <w:t>la</w:t>
      </w:r>
      <w:r>
        <w:rPr>
          <w:color w:val="231F20"/>
          <w:spacing w:val="-24"/>
          <w:w w:val="105"/>
        </w:rPr>
        <w:t> </w:t>
      </w:r>
      <w:r>
        <w:rPr>
          <w:color w:val="231F20"/>
          <w:w w:val="105"/>
        </w:rPr>
        <w:t>postulación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igualdad</w:t>
      </w:r>
      <w:r>
        <w:rPr>
          <w:color w:val="231F20"/>
          <w:spacing w:val="-24"/>
          <w:w w:val="105"/>
        </w:rPr>
        <w:t> </w:t>
      </w:r>
      <w:r>
        <w:rPr>
          <w:color w:val="231F20"/>
          <w:w w:val="105"/>
        </w:rPr>
        <w:t>más</w:t>
      </w:r>
      <w:r>
        <w:rPr>
          <w:color w:val="231F20"/>
          <w:spacing w:val="-24"/>
          <w:w w:val="105"/>
        </w:rPr>
        <w:t> </w:t>
      </w:r>
      <w:r>
        <w:rPr>
          <w:color w:val="231F20"/>
          <w:w w:val="105"/>
        </w:rPr>
        <w:t>allá</w:t>
      </w:r>
      <w:r>
        <w:rPr>
          <w:color w:val="231F20"/>
          <w:spacing w:val="-24"/>
          <w:w w:val="105"/>
        </w:rPr>
        <w:t> </w:t>
      </w:r>
      <w:r>
        <w:rPr>
          <w:color w:val="231F20"/>
          <w:w w:val="105"/>
        </w:rPr>
        <w:t>de</w:t>
      </w:r>
      <w:r>
        <w:rPr>
          <w:color w:val="231F20"/>
          <w:spacing w:val="-24"/>
          <w:w w:val="105"/>
        </w:rPr>
        <w:t> </w:t>
      </w:r>
      <w:r>
        <w:rPr>
          <w:color w:val="231F20"/>
          <w:spacing w:val="-3"/>
          <w:w w:val="105"/>
        </w:rPr>
        <w:t>lo</w:t>
      </w:r>
    </w:p>
    <w:p>
      <w:pPr>
        <w:spacing w:after="0" w:line="285" w:lineRule="auto"/>
        <w:jc w:val="both"/>
        <w:sectPr>
          <w:footerReference w:type="default" r:id="rId1151"/>
          <w:pgSz w:w="9640" w:h="12190"/>
          <w:pgMar w:footer="743" w:header="0" w:top="1120" w:bottom="940" w:left="740" w:right="740"/>
          <w:pgNumType w:start="448"/>
        </w:sectPr>
      </w:pPr>
    </w:p>
    <w:p>
      <w:pPr>
        <w:pStyle w:val="BodyText"/>
        <w:spacing w:before="3"/>
        <w:rPr>
          <w:sz w:val="11"/>
        </w:rPr>
      </w:pPr>
    </w:p>
    <w:p>
      <w:pPr>
        <w:pStyle w:val="BodyText"/>
        <w:spacing w:line="285" w:lineRule="auto" w:before="36"/>
        <w:ind w:left="110" w:right="108"/>
        <w:jc w:val="both"/>
      </w:pPr>
      <w:r>
        <w:rPr>
          <w:color w:val="231F20"/>
          <w:spacing w:val="-3"/>
        </w:rPr>
        <w:t>legal, generalmente </w:t>
      </w:r>
      <w:r>
        <w:rPr>
          <w:color w:val="231F20"/>
        </w:rPr>
        <w:t>están </w:t>
      </w:r>
      <w:r>
        <w:rPr>
          <w:color w:val="231F20"/>
          <w:spacing w:val="-3"/>
        </w:rPr>
        <w:t>contra </w:t>
      </w:r>
      <w:r>
        <w:rPr>
          <w:color w:val="231F20"/>
        </w:rPr>
        <w:t>la </w:t>
      </w:r>
      <w:r>
        <w:rPr>
          <w:color w:val="231F20"/>
          <w:spacing w:val="-3"/>
        </w:rPr>
        <w:t>tradición </w:t>
      </w:r>
      <w:r>
        <w:rPr>
          <w:color w:val="231F20"/>
        </w:rPr>
        <w:t>y a </w:t>
      </w:r>
      <w:r>
        <w:rPr>
          <w:color w:val="231F20"/>
          <w:spacing w:val="-4"/>
        </w:rPr>
        <w:t>favor </w:t>
      </w:r>
      <w:r>
        <w:rPr>
          <w:color w:val="231F20"/>
          <w:spacing w:val="-3"/>
        </w:rPr>
        <w:t>del progreso; </w:t>
      </w:r>
      <w:r>
        <w:rPr>
          <w:color w:val="231F20"/>
        </w:rPr>
        <w:t>buscan una </w:t>
      </w:r>
      <w:r>
        <w:rPr>
          <w:color w:val="231F20"/>
          <w:spacing w:val="-3"/>
        </w:rPr>
        <w:t>sociedad progresista </w:t>
      </w:r>
      <w:r>
        <w:rPr>
          <w:color w:val="231F20"/>
        </w:rPr>
        <w:t>basada en la planificación; </w:t>
      </w:r>
      <w:r>
        <w:rPr>
          <w:color w:val="231F20"/>
          <w:spacing w:val="-3"/>
        </w:rPr>
        <w:t>aceptan </w:t>
      </w:r>
      <w:r>
        <w:rPr>
          <w:color w:val="231F20"/>
        </w:rPr>
        <w:t>el </w:t>
      </w:r>
      <w:r>
        <w:rPr>
          <w:color w:val="231F20"/>
          <w:spacing w:val="-3"/>
        </w:rPr>
        <w:t>Estado </w:t>
      </w:r>
      <w:r>
        <w:rPr>
          <w:color w:val="231F20"/>
        </w:rPr>
        <w:t>de </w:t>
      </w:r>
      <w:r>
        <w:rPr>
          <w:color w:val="231F20"/>
          <w:spacing w:val="-4"/>
        </w:rPr>
        <w:t>bienestar, </w:t>
      </w:r>
      <w:r>
        <w:rPr>
          <w:color w:val="231F20"/>
          <w:spacing w:val="-3"/>
        </w:rPr>
        <w:t>los </w:t>
      </w:r>
      <w:r>
        <w:rPr>
          <w:color w:val="231F20"/>
          <w:spacing w:val="-4"/>
        </w:rPr>
        <w:t>derechos </w:t>
      </w:r>
      <w:r>
        <w:rPr>
          <w:color w:val="231F20"/>
        </w:rPr>
        <w:t>sociales y el </w:t>
      </w:r>
      <w:r>
        <w:rPr>
          <w:color w:val="231F20"/>
          <w:spacing w:val="-3"/>
        </w:rPr>
        <w:t>bienestar </w:t>
      </w:r>
      <w:r>
        <w:rPr>
          <w:color w:val="231F20"/>
        </w:rPr>
        <w:t>social, </w:t>
      </w:r>
      <w:r>
        <w:rPr>
          <w:color w:val="231F20"/>
          <w:spacing w:val="-3"/>
        </w:rPr>
        <w:t>con </w:t>
      </w:r>
      <w:r>
        <w:rPr>
          <w:color w:val="231F20"/>
        </w:rPr>
        <w:t>una fuerte </w:t>
      </w:r>
      <w:r>
        <w:rPr>
          <w:color w:val="231F20"/>
          <w:spacing w:val="-3"/>
        </w:rPr>
        <w:t>intervención del Estado </w:t>
      </w:r>
      <w:r>
        <w:rPr>
          <w:color w:val="231F20"/>
        </w:rPr>
        <w:t>en la  </w:t>
      </w:r>
      <w:r>
        <w:rPr>
          <w:color w:val="231F20"/>
          <w:spacing w:val="52"/>
        </w:rPr>
        <w:t> </w:t>
      </w:r>
      <w:r>
        <w:rPr>
          <w:color w:val="231F20"/>
          <w:spacing w:val="-3"/>
        </w:rPr>
        <w:t>economía.</w:t>
      </w:r>
    </w:p>
    <w:p>
      <w:pPr>
        <w:pStyle w:val="BodyText"/>
        <w:spacing w:before="1"/>
        <w:rPr>
          <w:sz w:val="26"/>
        </w:rPr>
      </w:pPr>
    </w:p>
    <w:p>
      <w:pPr>
        <w:pStyle w:val="BodyText"/>
        <w:spacing w:line="285" w:lineRule="auto"/>
        <w:ind w:left="110" w:right="108"/>
        <w:jc w:val="both"/>
      </w:pPr>
      <w:r>
        <w:rPr>
          <w:color w:val="231F20"/>
          <w:w w:val="105"/>
        </w:rPr>
        <w:t>Sin embargo, en nuestro país a </w:t>
      </w:r>
      <w:r>
        <w:rPr>
          <w:color w:val="231F20"/>
          <w:spacing w:val="2"/>
          <w:w w:val="105"/>
        </w:rPr>
        <w:t>partir </w:t>
      </w:r>
      <w:r>
        <w:rPr>
          <w:color w:val="231F20"/>
          <w:w w:val="105"/>
        </w:rPr>
        <w:t>de la década de los ochenta se ha impuesto un modelo</w:t>
      </w:r>
      <w:r>
        <w:rPr>
          <w:color w:val="231F20"/>
          <w:spacing w:val="-18"/>
          <w:w w:val="105"/>
        </w:rPr>
        <w:t> </w:t>
      </w:r>
      <w:r>
        <w:rPr>
          <w:color w:val="231F20"/>
          <w:w w:val="105"/>
        </w:rPr>
        <w:t>de</w:t>
      </w:r>
      <w:r>
        <w:rPr>
          <w:color w:val="231F20"/>
          <w:spacing w:val="-18"/>
          <w:w w:val="105"/>
        </w:rPr>
        <w:t> </w:t>
      </w:r>
      <w:r>
        <w:rPr>
          <w:color w:val="231F20"/>
          <w:w w:val="105"/>
        </w:rPr>
        <w:t>gobierno</w:t>
      </w:r>
      <w:r>
        <w:rPr>
          <w:color w:val="231F20"/>
          <w:spacing w:val="-18"/>
          <w:w w:val="105"/>
        </w:rPr>
        <w:t> </w:t>
      </w:r>
      <w:r>
        <w:rPr>
          <w:color w:val="231F20"/>
          <w:w w:val="105"/>
        </w:rPr>
        <w:t>de</w:t>
      </w:r>
      <w:r>
        <w:rPr>
          <w:color w:val="231F20"/>
          <w:spacing w:val="-18"/>
          <w:w w:val="105"/>
        </w:rPr>
        <w:t> </w:t>
      </w:r>
      <w:r>
        <w:rPr>
          <w:color w:val="231F20"/>
          <w:w w:val="105"/>
        </w:rPr>
        <w:t>corte</w:t>
      </w:r>
      <w:r>
        <w:rPr>
          <w:color w:val="231F20"/>
          <w:spacing w:val="-18"/>
          <w:w w:val="105"/>
        </w:rPr>
        <w:t> </w:t>
      </w:r>
      <w:r>
        <w:rPr>
          <w:color w:val="231F20"/>
          <w:w w:val="105"/>
        </w:rPr>
        <w:t>neoliberal</w:t>
      </w:r>
      <w:r>
        <w:rPr>
          <w:color w:val="231F20"/>
          <w:spacing w:val="-18"/>
          <w:w w:val="105"/>
        </w:rPr>
        <w:t> </w:t>
      </w:r>
      <w:r>
        <w:rPr>
          <w:color w:val="231F20"/>
          <w:spacing w:val="-3"/>
          <w:w w:val="105"/>
        </w:rPr>
        <w:t>donde</w:t>
      </w:r>
      <w:r>
        <w:rPr>
          <w:color w:val="231F20"/>
          <w:spacing w:val="-18"/>
          <w:w w:val="105"/>
        </w:rPr>
        <w:t> </w:t>
      </w:r>
      <w:r>
        <w:rPr>
          <w:color w:val="231F20"/>
          <w:w w:val="105"/>
        </w:rPr>
        <w:t>lo</w:t>
      </w:r>
      <w:r>
        <w:rPr>
          <w:color w:val="231F20"/>
          <w:spacing w:val="-18"/>
          <w:w w:val="105"/>
        </w:rPr>
        <w:t> </w:t>
      </w:r>
      <w:r>
        <w:rPr>
          <w:color w:val="231F20"/>
          <w:w w:val="105"/>
        </w:rPr>
        <w:t>más</w:t>
      </w:r>
      <w:r>
        <w:rPr>
          <w:color w:val="231F20"/>
          <w:spacing w:val="-18"/>
          <w:w w:val="105"/>
        </w:rPr>
        <w:t> </w:t>
      </w:r>
      <w:r>
        <w:rPr>
          <w:color w:val="231F20"/>
          <w:w w:val="105"/>
        </w:rPr>
        <w:t>importante</w:t>
      </w:r>
      <w:r>
        <w:rPr>
          <w:color w:val="231F20"/>
          <w:spacing w:val="-18"/>
          <w:w w:val="105"/>
        </w:rPr>
        <w:t> </w:t>
      </w:r>
      <w:r>
        <w:rPr>
          <w:color w:val="231F20"/>
          <w:w w:val="105"/>
        </w:rPr>
        <w:t>es</w:t>
      </w:r>
      <w:r>
        <w:rPr>
          <w:color w:val="231F20"/>
          <w:spacing w:val="-18"/>
          <w:w w:val="105"/>
        </w:rPr>
        <w:t> </w:t>
      </w:r>
      <w:r>
        <w:rPr>
          <w:color w:val="231F20"/>
          <w:w w:val="105"/>
        </w:rPr>
        <w:t>el</w:t>
      </w:r>
      <w:r>
        <w:rPr>
          <w:color w:val="231F20"/>
          <w:spacing w:val="-18"/>
          <w:w w:val="105"/>
        </w:rPr>
        <w:t> </w:t>
      </w:r>
      <w:r>
        <w:rPr>
          <w:color w:val="231F20"/>
          <w:w w:val="105"/>
        </w:rPr>
        <w:t>mercado</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indi- viduo,</w:t>
      </w:r>
      <w:r>
        <w:rPr>
          <w:color w:val="231F20"/>
          <w:spacing w:val="-7"/>
          <w:w w:val="105"/>
        </w:rPr>
        <w:t> </w:t>
      </w:r>
      <w:r>
        <w:rPr>
          <w:color w:val="231F20"/>
          <w:spacing w:val="-3"/>
          <w:w w:val="105"/>
        </w:rPr>
        <w:t>donde</w:t>
      </w:r>
      <w:r>
        <w:rPr>
          <w:color w:val="231F20"/>
          <w:spacing w:val="-7"/>
          <w:w w:val="105"/>
        </w:rPr>
        <w:t> </w:t>
      </w:r>
      <w:r>
        <w:rPr>
          <w:color w:val="231F20"/>
          <w:w w:val="105"/>
        </w:rPr>
        <w:t>lo</w:t>
      </w:r>
      <w:r>
        <w:rPr>
          <w:color w:val="231F20"/>
          <w:spacing w:val="-7"/>
          <w:w w:val="105"/>
        </w:rPr>
        <w:t> </w:t>
      </w:r>
      <w:r>
        <w:rPr>
          <w:color w:val="231F20"/>
          <w:w w:val="105"/>
        </w:rPr>
        <w:t>social</w:t>
      </w:r>
      <w:r>
        <w:rPr>
          <w:color w:val="231F20"/>
          <w:spacing w:val="-7"/>
          <w:w w:val="105"/>
        </w:rPr>
        <w:t> </w:t>
      </w:r>
      <w:r>
        <w:rPr>
          <w:color w:val="231F20"/>
          <w:w w:val="105"/>
        </w:rPr>
        <w:t>es</w:t>
      </w:r>
      <w:r>
        <w:rPr>
          <w:color w:val="231F20"/>
          <w:spacing w:val="-7"/>
          <w:w w:val="105"/>
        </w:rPr>
        <w:t> </w:t>
      </w:r>
      <w:r>
        <w:rPr>
          <w:color w:val="231F20"/>
          <w:w w:val="105"/>
        </w:rPr>
        <w:t>atendido</w:t>
      </w:r>
      <w:r>
        <w:rPr>
          <w:color w:val="231F20"/>
          <w:spacing w:val="-7"/>
          <w:w w:val="105"/>
        </w:rPr>
        <w:t> </w:t>
      </w:r>
      <w:r>
        <w:rPr>
          <w:color w:val="231F20"/>
          <w:w w:val="105"/>
        </w:rPr>
        <w:t>sólo</w:t>
      </w:r>
      <w:r>
        <w:rPr>
          <w:color w:val="231F20"/>
          <w:spacing w:val="-7"/>
          <w:w w:val="105"/>
        </w:rPr>
        <w:t> </w:t>
      </w:r>
      <w:r>
        <w:rPr>
          <w:color w:val="231F20"/>
          <w:w w:val="105"/>
        </w:rPr>
        <w:t>con</w:t>
      </w:r>
      <w:r>
        <w:rPr>
          <w:color w:val="231F20"/>
          <w:spacing w:val="-7"/>
          <w:w w:val="105"/>
        </w:rPr>
        <w:t> </w:t>
      </w:r>
      <w:r>
        <w:rPr>
          <w:color w:val="231F20"/>
          <w:w w:val="105"/>
        </w:rPr>
        <w:t>programas</w:t>
      </w:r>
      <w:r>
        <w:rPr>
          <w:color w:val="231F20"/>
          <w:spacing w:val="-7"/>
          <w:w w:val="105"/>
        </w:rPr>
        <w:t> </w:t>
      </w:r>
      <w:r>
        <w:rPr>
          <w:color w:val="231F20"/>
          <w:w w:val="105"/>
        </w:rPr>
        <w:t>que</w:t>
      </w:r>
      <w:r>
        <w:rPr>
          <w:color w:val="231F20"/>
          <w:spacing w:val="-7"/>
          <w:w w:val="105"/>
        </w:rPr>
        <w:t> </w:t>
      </w:r>
      <w:r>
        <w:rPr>
          <w:color w:val="231F20"/>
          <w:w w:val="105"/>
        </w:rPr>
        <w:t>intentan</w:t>
      </w:r>
      <w:r>
        <w:rPr>
          <w:color w:val="231F20"/>
          <w:spacing w:val="-7"/>
          <w:w w:val="105"/>
        </w:rPr>
        <w:t> </w:t>
      </w:r>
      <w:r>
        <w:rPr>
          <w:color w:val="231F20"/>
          <w:w w:val="105"/>
        </w:rPr>
        <w:t>paliar</w:t>
      </w:r>
      <w:r>
        <w:rPr>
          <w:color w:val="231F20"/>
          <w:spacing w:val="-7"/>
          <w:w w:val="105"/>
        </w:rPr>
        <w:t> </w:t>
      </w:r>
      <w:r>
        <w:rPr>
          <w:color w:val="231F20"/>
          <w:w w:val="105"/>
        </w:rPr>
        <w:t>las</w:t>
      </w:r>
      <w:r>
        <w:rPr>
          <w:color w:val="231F20"/>
          <w:spacing w:val="-7"/>
          <w:w w:val="105"/>
        </w:rPr>
        <w:t> </w:t>
      </w:r>
      <w:r>
        <w:rPr>
          <w:color w:val="231F20"/>
          <w:w w:val="105"/>
        </w:rPr>
        <w:t>desigual- dades</w:t>
      </w:r>
      <w:r>
        <w:rPr>
          <w:color w:val="231F20"/>
          <w:spacing w:val="-21"/>
          <w:w w:val="105"/>
        </w:rPr>
        <w:t> </w:t>
      </w:r>
      <w:r>
        <w:rPr>
          <w:color w:val="231F20"/>
          <w:w w:val="105"/>
        </w:rPr>
        <w:t>sociales</w:t>
      </w:r>
      <w:r>
        <w:rPr>
          <w:color w:val="231F20"/>
          <w:spacing w:val="-21"/>
          <w:w w:val="105"/>
        </w:rPr>
        <w:t> </w:t>
      </w:r>
      <w:r>
        <w:rPr>
          <w:color w:val="231F20"/>
          <w:w w:val="105"/>
        </w:rPr>
        <w:t>pero</w:t>
      </w:r>
      <w:r>
        <w:rPr>
          <w:color w:val="231F20"/>
          <w:spacing w:val="-21"/>
          <w:w w:val="105"/>
        </w:rPr>
        <w:t> </w:t>
      </w:r>
      <w:r>
        <w:rPr>
          <w:color w:val="231F20"/>
          <w:w w:val="105"/>
        </w:rPr>
        <w:t>con</w:t>
      </w:r>
      <w:r>
        <w:rPr>
          <w:color w:val="231F20"/>
          <w:spacing w:val="-21"/>
          <w:w w:val="105"/>
        </w:rPr>
        <w:t> </w:t>
      </w:r>
      <w:r>
        <w:rPr>
          <w:color w:val="231F20"/>
          <w:w w:val="105"/>
        </w:rPr>
        <w:t>un</w:t>
      </w:r>
      <w:r>
        <w:rPr>
          <w:color w:val="231F20"/>
          <w:spacing w:val="-21"/>
          <w:w w:val="105"/>
        </w:rPr>
        <w:t> </w:t>
      </w:r>
      <w:r>
        <w:rPr>
          <w:color w:val="231F20"/>
          <w:w w:val="105"/>
        </w:rPr>
        <w:t>perfil</w:t>
      </w:r>
      <w:r>
        <w:rPr>
          <w:color w:val="231F20"/>
          <w:spacing w:val="-21"/>
          <w:w w:val="105"/>
        </w:rPr>
        <w:t> </w:t>
      </w:r>
      <w:r>
        <w:rPr>
          <w:color w:val="231F20"/>
          <w:w w:val="105"/>
        </w:rPr>
        <w:t>empresarial</w:t>
      </w:r>
      <w:r>
        <w:rPr>
          <w:color w:val="231F20"/>
          <w:spacing w:val="-21"/>
          <w:w w:val="105"/>
        </w:rPr>
        <w:t> </w:t>
      </w:r>
      <w:r>
        <w:rPr>
          <w:color w:val="231F20"/>
          <w:w w:val="105"/>
        </w:rPr>
        <w:t>definido,</w:t>
      </w:r>
      <w:r>
        <w:rPr>
          <w:color w:val="231F20"/>
          <w:spacing w:val="-21"/>
          <w:w w:val="105"/>
        </w:rPr>
        <w:t> </w:t>
      </w:r>
      <w:r>
        <w:rPr>
          <w:color w:val="231F20"/>
          <w:w w:val="105"/>
        </w:rPr>
        <w:t>en</w:t>
      </w:r>
      <w:r>
        <w:rPr>
          <w:color w:val="231F20"/>
          <w:spacing w:val="-21"/>
          <w:w w:val="105"/>
        </w:rPr>
        <w:t> </w:t>
      </w:r>
      <w:r>
        <w:rPr>
          <w:color w:val="231F20"/>
          <w:w w:val="105"/>
        </w:rPr>
        <w:t>especial</w:t>
      </w:r>
      <w:r>
        <w:rPr>
          <w:color w:val="231F20"/>
          <w:spacing w:val="-21"/>
          <w:w w:val="105"/>
        </w:rPr>
        <w:t> </w:t>
      </w:r>
      <w:r>
        <w:rPr>
          <w:color w:val="231F20"/>
          <w:w w:val="105"/>
        </w:rPr>
        <w:t>durante</w:t>
      </w:r>
      <w:r>
        <w:rPr>
          <w:color w:val="231F20"/>
          <w:spacing w:val="-21"/>
          <w:w w:val="105"/>
        </w:rPr>
        <w:t> </w:t>
      </w:r>
      <w:r>
        <w:rPr>
          <w:color w:val="231F20"/>
          <w:w w:val="105"/>
        </w:rPr>
        <w:t>la</w:t>
      </w:r>
      <w:r>
        <w:rPr>
          <w:color w:val="231F20"/>
          <w:spacing w:val="-21"/>
          <w:w w:val="105"/>
        </w:rPr>
        <w:t> </w:t>
      </w:r>
      <w:r>
        <w:rPr>
          <w:color w:val="231F20"/>
          <w:w w:val="105"/>
        </w:rPr>
        <w:t>gestión</w:t>
      </w:r>
      <w:r>
        <w:rPr>
          <w:color w:val="231F20"/>
          <w:spacing w:val="-21"/>
          <w:w w:val="105"/>
        </w:rPr>
        <w:t> </w:t>
      </w:r>
      <w:r>
        <w:rPr>
          <w:color w:val="231F20"/>
          <w:w w:val="105"/>
        </w:rPr>
        <w:t>del presidente</w:t>
      </w:r>
      <w:r>
        <w:rPr>
          <w:color w:val="231F20"/>
          <w:spacing w:val="-38"/>
          <w:w w:val="105"/>
        </w:rPr>
        <w:t> </w:t>
      </w:r>
      <w:r>
        <w:rPr>
          <w:color w:val="231F20"/>
          <w:w w:val="105"/>
        </w:rPr>
        <w:t>Vicente</w:t>
      </w:r>
      <w:r>
        <w:rPr>
          <w:color w:val="231F20"/>
          <w:spacing w:val="-38"/>
          <w:w w:val="105"/>
        </w:rPr>
        <w:t> </w:t>
      </w:r>
      <w:r>
        <w:rPr>
          <w:color w:val="231F20"/>
          <w:w w:val="105"/>
        </w:rPr>
        <w:t>Fox.</w:t>
      </w:r>
    </w:p>
    <w:p>
      <w:pPr>
        <w:pStyle w:val="BodyText"/>
        <w:spacing w:before="1"/>
        <w:rPr>
          <w:sz w:val="26"/>
        </w:rPr>
      </w:pPr>
    </w:p>
    <w:p>
      <w:pPr>
        <w:pStyle w:val="BodyText"/>
        <w:spacing w:line="285" w:lineRule="auto"/>
        <w:ind w:left="110" w:right="108"/>
        <w:jc w:val="both"/>
      </w:pPr>
      <w:r>
        <w:rPr>
          <w:color w:val="231F20"/>
          <w:spacing w:val="-3"/>
          <w:w w:val="105"/>
        </w:rPr>
        <w:t>Por</w:t>
      </w:r>
      <w:r>
        <w:rPr>
          <w:color w:val="231F20"/>
          <w:spacing w:val="-10"/>
          <w:w w:val="105"/>
        </w:rPr>
        <w:t> </w:t>
      </w:r>
      <w:r>
        <w:rPr>
          <w:color w:val="231F20"/>
          <w:w w:val="105"/>
        </w:rPr>
        <w:t>ello</w:t>
      </w:r>
      <w:r>
        <w:rPr>
          <w:color w:val="231F20"/>
          <w:spacing w:val="-10"/>
          <w:w w:val="105"/>
        </w:rPr>
        <w:t> </w:t>
      </w:r>
      <w:r>
        <w:rPr>
          <w:color w:val="231F20"/>
          <w:w w:val="105"/>
        </w:rPr>
        <w:t>es</w:t>
      </w:r>
      <w:r>
        <w:rPr>
          <w:color w:val="231F20"/>
          <w:spacing w:val="-10"/>
          <w:w w:val="105"/>
        </w:rPr>
        <w:t> </w:t>
      </w:r>
      <w:r>
        <w:rPr>
          <w:color w:val="231F20"/>
          <w:w w:val="105"/>
        </w:rPr>
        <w:t>importante</w:t>
      </w:r>
      <w:r>
        <w:rPr>
          <w:color w:val="231F20"/>
          <w:spacing w:val="-10"/>
          <w:w w:val="105"/>
        </w:rPr>
        <w:t> </w:t>
      </w:r>
      <w:r>
        <w:rPr>
          <w:color w:val="231F20"/>
          <w:spacing w:val="2"/>
          <w:w w:val="105"/>
        </w:rPr>
        <w:t>analizar</w:t>
      </w:r>
      <w:r>
        <w:rPr>
          <w:color w:val="231F20"/>
          <w:spacing w:val="-10"/>
          <w:w w:val="105"/>
        </w:rPr>
        <w:t> </w:t>
      </w:r>
      <w:r>
        <w:rPr>
          <w:color w:val="231F20"/>
          <w:w w:val="105"/>
        </w:rPr>
        <w:t>cuál</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papel</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partidos</w:t>
      </w:r>
      <w:r>
        <w:rPr>
          <w:color w:val="231F20"/>
          <w:spacing w:val="-10"/>
          <w:w w:val="105"/>
        </w:rPr>
        <w:t> </w:t>
      </w:r>
      <w:r>
        <w:rPr>
          <w:color w:val="231F20"/>
          <w:w w:val="105"/>
        </w:rPr>
        <w:t>de</w:t>
      </w:r>
      <w:r>
        <w:rPr>
          <w:color w:val="231F20"/>
          <w:spacing w:val="-10"/>
          <w:w w:val="105"/>
        </w:rPr>
        <w:t> </w:t>
      </w:r>
      <w:r>
        <w:rPr>
          <w:color w:val="231F20"/>
          <w:w w:val="105"/>
        </w:rPr>
        <w:t>izquierda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ejerci- cio</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gobierno,</w:t>
      </w:r>
      <w:r>
        <w:rPr>
          <w:color w:val="231F20"/>
          <w:spacing w:val="-11"/>
          <w:w w:val="105"/>
        </w:rPr>
        <w:t> </w:t>
      </w:r>
      <w:r>
        <w:rPr>
          <w:color w:val="231F20"/>
          <w:w w:val="105"/>
        </w:rPr>
        <w:t>cuáles</w:t>
      </w:r>
      <w:r>
        <w:rPr>
          <w:color w:val="231F20"/>
          <w:spacing w:val="-11"/>
          <w:w w:val="105"/>
        </w:rPr>
        <w:t> </w:t>
      </w:r>
      <w:r>
        <w:rPr>
          <w:color w:val="231F20"/>
          <w:w w:val="105"/>
        </w:rPr>
        <w:t>son</w:t>
      </w:r>
      <w:r>
        <w:rPr>
          <w:color w:val="231F20"/>
          <w:spacing w:val="-11"/>
          <w:w w:val="105"/>
        </w:rPr>
        <w:t> </w:t>
      </w:r>
      <w:r>
        <w:rPr>
          <w:color w:val="231F20"/>
          <w:w w:val="105"/>
        </w:rPr>
        <w:t>las</w:t>
      </w:r>
      <w:r>
        <w:rPr>
          <w:color w:val="231F20"/>
          <w:spacing w:val="-11"/>
          <w:w w:val="105"/>
        </w:rPr>
        <w:t> </w:t>
      </w:r>
      <w:r>
        <w:rPr>
          <w:color w:val="231F20"/>
          <w:w w:val="105"/>
        </w:rPr>
        <w:t>acciones</w:t>
      </w:r>
      <w:r>
        <w:rPr>
          <w:color w:val="231F20"/>
          <w:spacing w:val="-11"/>
          <w:w w:val="105"/>
        </w:rPr>
        <w:t> </w:t>
      </w:r>
      <w:r>
        <w:rPr>
          <w:color w:val="231F20"/>
          <w:w w:val="105"/>
        </w:rPr>
        <w:t>que</w:t>
      </w:r>
      <w:r>
        <w:rPr>
          <w:color w:val="231F20"/>
          <w:spacing w:val="-11"/>
          <w:w w:val="105"/>
        </w:rPr>
        <w:t> </w:t>
      </w:r>
      <w:r>
        <w:rPr>
          <w:color w:val="231F20"/>
          <w:w w:val="105"/>
        </w:rPr>
        <w:t>definen</w:t>
      </w:r>
      <w:r>
        <w:rPr>
          <w:color w:val="231F20"/>
          <w:spacing w:val="-11"/>
          <w:w w:val="105"/>
        </w:rPr>
        <w:t> </w:t>
      </w:r>
      <w:r>
        <w:rPr>
          <w:color w:val="231F20"/>
          <w:w w:val="105"/>
        </w:rPr>
        <w:t>su</w:t>
      </w:r>
      <w:r>
        <w:rPr>
          <w:color w:val="231F20"/>
          <w:spacing w:val="-11"/>
          <w:w w:val="105"/>
        </w:rPr>
        <w:t> </w:t>
      </w:r>
      <w:r>
        <w:rPr>
          <w:color w:val="231F20"/>
          <w:w w:val="105"/>
        </w:rPr>
        <w:t>accionar</w:t>
      </w:r>
      <w:r>
        <w:rPr>
          <w:color w:val="231F20"/>
          <w:spacing w:val="-11"/>
          <w:w w:val="105"/>
        </w:rPr>
        <w:t> </w:t>
      </w:r>
      <w:r>
        <w:rPr>
          <w:color w:val="231F20"/>
          <w:w w:val="105"/>
        </w:rPr>
        <w:t>y</w:t>
      </w:r>
      <w:r>
        <w:rPr>
          <w:color w:val="231F20"/>
          <w:spacing w:val="-11"/>
          <w:w w:val="105"/>
        </w:rPr>
        <w:t> </w:t>
      </w:r>
      <w:r>
        <w:rPr>
          <w:color w:val="231F20"/>
          <w:w w:val="105"/>
        </w:rPr>
        <w:t>si</w:t>
      </w:r>
      <w:r>
        <w:rPr>
          <w:color w:val="231F20"/>
          <w:spacing w:val="-11"/>
          <w:w w:val="105"/>
        </w:rPr>
        <w:t> </w:t>
      </w:r>
      <w:r>
        <w:rPr>
          <w:color w:val="231F20"/>
          <w:w w:val="105"/>
        </w:rPr>
        <w:t>su</w:t>
      </w:r>
      <w:r>
        <w:rPr>
          <w:color w:val="231F20"/>
          <w:spacing w:val="-11"/>
          <w:w w:val="105"/>
        </w:rPr>
        <w:t> </w:t>
      </w:r>
      <w:r>
        <w:rPr>
          <w:color w:val="231F20"/>
          <w:w w:val="105"/>
        </w:rPr>
        <w:t>gestión</w:t>
      </w:r>
      <w:r>
        <w:rPr>
          <w:color w:val="231F20"/>
          <w:spacing w:val="-11"/>
          <w:w w:val="105"/>
        </w:rPr>
        <w:t> </w:t>
      </w:r>
      <w:r>
        <w:rPr>
          <w:color w:val="231F20"/>
          <w:w w:val="105"/>
        </w:rPr>
        <w:t>tiene como guía las necesidades sociales, la atención a los desprotegidos y la intervención constante</w:t>
      </w:r>
      <w:r>
        <w:rPr>
          <w:color w:val="231F20"/>
          <w:spacing w:val="-19"/>
          <w:w w:val="105"/>
        </w:rPr>
        <w:t> </w:t>
      </w:r>
      <w:r>
        <w:rPr>
          <w:color w:val="231F20"/>
          <w:w w:val="105"/>
        </w:rPr>
        <w:t>del</w:t>
      </w:r>
      <w:r>
        <w:rPr>
          <w:color w:val="231F20"/>
          <w:spacing w:val="-19"/>
          <w:w w:val="105"/>
        </w:rPr>
        <w:t> </w:t>
      </w:r>
      <w:r>
        <w:rPr>
          <w:color w:val="231F20"/>
          <w:w w:val="105"/>
        </w:rPr>
        <w:t>gobierno</w:t>
      </w:r>
      <w:r>
        <w:rPr>
          <w:color w:val="231F20"/>
          <w:spacing w:val="-19"/>
          <w:w w:val="105"/>
        </w:rPr>
        <w:t> </w:t>
      </w:r>
      <w:r>
        <w:rPr>
          <w:color w:val="231F20"/>
          <w:w w:val="105"/>
        </w:rPr>
        <w:t>para</w:t>
      </w:r>
      <w:r>
        <w:rPr>
          <w:color w:val="231F20"/>
          <w:spacing w:val="-19"/>
          <w:w w:val="105"/>
        </w:rPr>
        <w:t> </w:t>
      </w:r>
      <w:r>
        <w:rPr>
          <w:color w:val="231F20"/>
          <w:w w:val="105"/>
        </w:rPr>
        <w:t>reducir</w:t>
      </w:r>
      <w:r>
        <w:rPr>
          <w:color w:val="231F20"/>
          <w:spacing w:val="-19"/>
          <w:w w:val="105"/>
        </w:rPr>
        <w:t> </w:t>
      </w:r>
      <w:r>
        <w:rPr>
          <w:color w:val="231F20"/>
          <w:w w:val="105"/>
        </w:rPr>
        <w:t>las</w:t>
      </w:r>
      <w:r>
        <w:rPr>
          <w:color w:val="231F20"/>
          <w:spacing w:val="-19"/>
          <w:w w:val="105"/>
        </w:rPr>
        <w:t> </w:t>
      </w:r>
      <w:r>
        <w:rPr>
          <w:color w:val="231F20"/>
          <w:w w:val="105"/>
        </w:rPr>
        <w:t>diferencias</w:t>
      </w:r>
      <w:r>
        <w:rPr>
          <w:color w:val="231F20"/>
          <w:spacing w:val="-19"/>
          <w:w w:val="105"/>
        </w:rPr>
        <w:t> </w:t>
      </w:r>
      <w:r>
        <w:rPr>
          <w:color w:val="231F20"/>
          <w:w w:val="105"/>
        </w:rPr>
        <w:t>sociales,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marco</w:t>
      </w:r>
      <w:r>
        <w:rPr>
          <w:color w:val="231F20"/>
          <w:spacing w:val="-19"/>
          <w:w w:val="105"/>
        </w:rPr>
        <w:t> </w:t>
      </w:r>
      <w:r>
        <w:rPr>
          <w:color w:val="231F20"/>
          <w:w w:val="105"/>
        </w:rPr>
        <w:t>del</w:t>
      </w:r>
      <w:r>
        <w:rPr>
          <w:color w:val="231F20"/>
          <w:spacing w:val="-19"/>
          <w:w w:val="105"/>
        </w:rPr>
        <w:t> </w:t>
      </w:r>
      <w:r>
        <w:rPr>
          <w:color w:val="231F20"/>
          <w:w w:val="105"/>
        </w:rPr>
        <w:t>impulso</w:t>
      </w:r>
      <w:r>
        <w:rPr>
          <w:color w:val="231F20"/>
          <w:spacing w:val="-19"/>
          <w:w w:val="105"/>
        </w:rPr>
        <w:t> </w:t>
      </w:r>
      <w:r>
        <w:rPr>
          <w:color w:val="231F20"/>
          <w:w w:val="105"/>
        </w:rPr>
        <w:t>a</w:t>
      </w:r>
      <w:r>
        <w:rPr>
          <w:color w:val="231F20"/>
          <w:spacing w:val="-19"/>
          <w:w w:val="105"/>
        </w:rPr>
        <w:t> </w:t>
      </w:r>
      <w:r>
        <w:rPr>
          <w:color w:val="231F20"/>
          <w:w w:val="105"/>
        </w:rPr>
        <w:t>la participación ciudadana como detonador del funcionamiento</w:t>
      </w:r>
      <w:r>
        <w:rPr>
          <w:color w:val="231F20"/>
          <w:spacing w:val="-30"/>
          <w:w w:val="105"/>
        </w:rPr>
        <w:t> </w:t>
      </w:r>
      <w:r>
        <w:rPr>
          <w:color w:val="231F20"/>
          <w:w w:val="105"/>
        </w:rPr>
        <w:t>gubernamental.</w:t>
      </w:r>
    </w:p>
    <w:p>
      <w:pPr>
        <w:pStyle w:val="BodyText"/>
        <w:spacing w:before="1"/>
        <w:rPr>
          <w:sz w:val="26"/>
        </w:rPr>
      </w:pPr>
    </w:p>
    <w:p>
      <w:pPr>
        <w:pStyle w:val="BodyText"/>
        <w:spacing w:line="285" w:lineRule="auto"/>
        <w:ind w:left="110" w:right="108"/>
        <w:jc w:val="both"/>
      </w:pPr>
      <w:r>
        <w:rPr>
          <w:color w:val="231F20"/>
          <w:w w:val="105"/>
        </w:rPr>
        <w:t>Para conocer entonces cuál es el tipo de gestión que se lleva a la práctica desde el go- bierno</w:t>
      </w:r>
      <w:r>
        <w:rPr>
          <w:color w:val="231F20"/>
          <w:spacing w:val="-7"/>
          <w:w w:val="105"/>
        </w:rPr>
        <w:t> </w:t>
      </w:r>
      <w:r>
        <w:rPr>
          <w:color w:val="231F20"/>
          <w:w w:val="105"/>
        </w:rPr>
        <w:t>del</w:t>
      </w:r>
      <w:r>
        <w:rPr>
          <w:color w:val="231F20"/>
          <w:spacing w:val="-7"/>
          <w:w w:val="105"/>
        </w:rPr>
        <w:t> </w:t>
      </w:r>
      <w:r>
        <w:rPr>
          <w:color w:val="231F20"/>
          <w:w w:val="105"/>
        </w:rPr>
        <w:t>PT</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de</w:t>
      </w:r>
      <w:r>
        <w:rPr>
          <w:color w:val="231F20"/>
          <w:spacing w:val="-7"/>
          <w:w w:val="105"/>
        </w:rPr>
        <w:t> </w:t>
      </w:r>
      <w:r>
        <w:rPr>
          <w:color w:val="231F20"/>
          <w:w w:val="105"/>
        </w:rPr>
        <w:t>Ozumba,</w:t>
      </w:r>
      <w:r>
        <w:rPr>
          <w:color w:val="231F20"/>
          <w:spacing w:val="-7"/>
          <w:w w:val="105"/>
        </w:rPr>
        <w:t> </w:t>
      </w:r>
      <w:r>
        <w:rPr>
          <w:color w:val="231F20"/>
          <w:w w:val="105"/>
        </w:rPr>
        <w:t>el</w:t>
      </w:r>
      <w:r>
        <w:rPr>
          <w:color w:val="231F20"/>
          <w:spacing w:val="-7"/>
          <w:w w:val="105"/>
        </w:rPr>
        <w:t> </w:t>
      </w:r>
      <w:r>
        <w:rPr>
          <w:color w:val="231F20"/>
          <w:w w:val="105"/>
        </w:rPr>
        <w:t>presente</w:t>
      </w:r>
      <w:r>
        <w:rPr>
          <w:color w:val="231F20"/>
          <w:spacing w:val="-7"/>
          <w:w w:val="105"/>
        </w:rPr>
        <w:t> </w:t>
      </w:r>
      <w:r>
        <w:rPr>
          <w:color w:val="231F20"/>
          <w:w w:val="105"/>
        </w:rPr>
        <w:t>capitulo</w:t>
      </w:r>
      <w:r>
        <w:rPr>
          <w:color w:val="231F20"/>
          <w:spacing w:val="-7"/>
          <w:w w:val="105"/>
        </w:rPr>
        <w:t> </w:t>
      </w:r>
      <w:r>
        <w:rPr>
          <w:color w:val="231F20"/>
          <w:w w:val="105"/>
        </w:rPr>
        <w:t>se</w:t>
      </w:r>
      <w:r>
        <w:rPr>
          <w:color w:val="231F20"/>
          <w:spacing w:val="-7"/>
          <w:w w:val="105"/>
        </w:rPr>
        <w:t> </w:t>
      </w:r>
      <w:r>
        <w:rPr>
          <w:color w:val="231F20"/>
          <w:w w:val="105"/>
        </w:rPr>
        <w:t>divide</w:t>
      </w:r>
      <w:r>
        <w:rPr>
          <w:color w:val="231F20"/>
          <w:spacing w:val="-7"/>
          <w:w w:val="105"/>
        </w:rPr>
        <w:t> </w:t>
      </w:r>
      <w:r>
        <w:rPr>
          <w:color w:val="231F20"/>
          <w:w w:val="105"/>
        </w:rPr>
        <w:t>en</w:t>
      </w:r>
      <w:r>
        <w:rPr>
          <w:color w:val="231F20"/>
          <w:spacing w:val="-7"/>
          <w:w w:val="105"/>
        </w:rPr>
        <w:t> </w:t>
      </w:r>
      <w:r>
        <w:rPr>
          <w:color w:val="231F20"/>
          <w:w w:val="105"/>
        </w:rPr>
        <w:t>tres</w:t>
      </w:r>
      <w:r>
        <w:rPr>
          <w:color w:val="231F20"/>
          <w:spacing w:val="-7"/>
          <w:w w:val="105"/>
        </w:rPr>
        <w:t> </w:t>
      </w:r>
      <w:r>
        <w:rPr>
          <w:color w:val="231F20"/>
          <w:w w:val="105"/>
        </w:rPr>
        <w:t>partes. La primera tiene como </w:t>
      </w:r>
      <w:r>
        <w:rPr>
          <w:color w:val="231F20"/>
          <w:spacing w:val="2"/>
          <w:w w:val="105"/>
        </w:rPr>
        <w:t>fin analizar </w:t>
      </w:r>
      <w:r>
        <w:rPr>
          <w:color w:val="231F20"/>
          <w:w w:val="105"/>
        </w:rPr>
        <w:t>cuáles son las características principales de este partido,</w:t>
      </w:r>
      <w:r>
        <w:rPr>
          <w:color w:val="231F20"/>
          <w:spacing w:val="-14"/>
          <w:w w:val="105"/>
        </w:rPr>
        <w:t> </w:t>
      </w:r>
      <w:r>
        <w:rPr>
          <w:color w:val="231F20"/>
          <w:w w:val="105"/>
        </w:rPr>
        <w:t>su</w:t>
      </w:r>
      <w:r>
        <w:rPr>
          <w:color w:val="231F20"/>
          <w:spacing w:val="-14"/>
          <w:w w:val="105"/>
        </w:rPr>
        <w:t> </w:t>
      </w:r>
      <w:r>
        <w:rPr>
          <w:color w:val="231F20"/>
          <w:w w:val="105"/>
        </w:rPr>
        <w:t>historia</w:t>
      </w:r>
      <w:r>
        <w:rPr>
          <w:color w:val="231F20"/>
          <w:spacing w:val="-14"/>
          <w:w w:val="105"/>
        </w:rPr>
        <w:t> </w:t>
      </w:r>
      <w:r>
        <w:rPr>
          <w:color w:val="231F20"/>
          <w:w w:val="105"/>
        </w:rPr>
        <w:t>e</w:t>
      </w:r>
      <w:r>
        <w:rPr>
          <w:color w:val="231F20"/>
          <w:spacing w:val="-14"/>
          <w:w w:val="105"/>
        </w:rPr>
        <w:t> </w:t>
      </w:r>
      <w:r>
        <w:rPr>
          <w:color w:val="231F20"/>
          <w:w w:val="105"/>
        </w:rPr>
        <w:t>ideología.</w:t>
      </w:r>
    </w:p>
    <w:p>
      <w:pPr>
        <w:pStyle w:val="BodyText"/>
        <w:spacing w:before="1"/>
        <w:rPr>
          <w:sz w:val="26"/>
        </w:rPr>
      </w:pPr>
    </w:p>
    <w:p>
      <w:pPr>
        <w:pStyle w:val="BodyText"/>
        <w:spacing w:line="285" w:lineRule="auto"/>
        <w:ind w:left="110" w:right="108"/>
        <w:jc w:val="both"/>
      </w:pPr>
      <w:r>
        <w:rPr>
          <w:color w:val="231F20"/>
          <w:w w:val="105"/>
        </w:rPr>
        <w:t>El segundo apartado define las características </w:t>
      </w:r>
      <w:r>
        <w:rPr>
          <w:color w:val="231F20"/>
          <w:spacing w:val="-3"/>
          <w:w w:val="105"/>
        </w:rPr>
        <w:t>del municipio </w:t>
      </w:r>
      <w:r>
        <w:rPr>
          <w:color w:val="231F20"/>
          <w:w w:val="105"/>
        </w:rPr>
        <w:t>de Ozumba, </w:t>
      </w:r>
      <w:r>
        <w:rPr>
          <w:color w:val="231F20"/>
          <w:spacing w:val="-3"/>
          <w:w w:val="105"/>
        </w:rPr>
        <w:t>desde </w:t>
      </w:r>
      <w:r>
        <w:rPr>
          <w:color w:val="231F20"/>
          <w:w w:val="105"/>
        </w:rPr>
        <w:t>sus </w:t>
      </w:r>
      <w:r>
        <w:rPr>
          <w:color w:val="231F20"/>
          <w:spacing w:val="-3"/>
          <w:w w:val="105"/>
        </w:rPr>
        <w:t>ca- </w:t>
      </w:r>
      <w:r>
        <w:rPr>
          <w:color w:val="231F20"/>
          <w:w w:val="105"/>
        </w:rPr>
        <w:t>racterísticas</w:t>
      </w:r>
      <w:r>
        <w:rPr>
          <w:color w:val="231F20"/>
          <w:spacing w:val="-9"/>
          <w:w w:val="105"/>
        </w:rPr>
        <w:t> </w:t>
      </w:r>
      <w:r>
        <w:rPr>
          <w:color w:val="231F20"/>
          <w:w w:val="105"/>
        </w:rPr>
        <w:t>demográficas</w:t>
      </w:r>
      <w:r>
        <w:rPr>
          <w:color w:val="231F20"/>
          <w:spacing w:val="-9"/>
          <w:w w:val="105"/>
        </w:rPr>
        <w:t> </w:t>
      </w:r>
      <w:r>
        <w:rPr>
          <w:color w:val="231F20"/>
          <w:w w:val="105"/>
        </w:rPr>
        <w:t>hasta</w:t>
      </w:r>
      <w:r>
        <w:rPr>
          <w:color w:val="231F20"/>
          <w:spacing w:val="-9"/>
          <w:w w:val="105"/>
        </w:rPr>
        <w:t> </w:t>
      </w:r>
      <w:r>
        <w:rPr>
          <w:color w:val="231F20"/>
          <w:w w:val="105"/>
        </w:rPr>
        <w:t>su</w:t>
      </w:r>
      <w:r>
        <w:rPr>
          <w:color w:val="231F20"/>
          <w:spacing w:val="-9"/>
          <w:w w:val="105"/>
        </w:rPr>
        <w:t> </w:t>
      </w:r>
      <w:r>
        <w:rPr>
          <w:color w:val="231F20"/>
          <w:w w:val="105"/>
        </w:rPr>
        <w:t>estructura</w:t>
      </w:r>
      <w:r>
        <w:rPr>
          <w:color w:val="231F20"/>
          <w:spacing w:val="-9"/>
          <w:w w:val="105"/>
        </w:rPr>
        <w:t> </w:t>
      </w:r>
      <w:r>
        <w:rPr>
          <w:color w:val="231F20"/>
          <w:w w:val="105"/>
        </w:rPr>
        <w:t>de</w:t>
      </w:r>
      <w:r>
        <w:rPr>
          <w:color w:val="231F20"/>
          <w:spacing w:val="-9"/>
          <w:w w:val="105"/>
        </w:rPr>
        <w:t> </w:t>
      </w:r>
      <w:r>
        <w:rPr>
          <w:color w:val="231F20"/>
          <w:spacing w:val="-4"/>
          <w:w w:val="105"/>
        </w:rPr>
        <w:t>gobierno,</w:t>
      </w:r>
      <w:r>
        <w:rPr>
          <w:color w:val="231F20"/>
          <w:spacing w:val="-9"/>
          <w:w w:val="105"/>
        </w:rPr>
        <w:t> </w:t>
      </w:r>
      <w:r>
        <w:rPr>
          <w:color w:val="231F20"/>
          <w:spacing w:val="-3"/>
          <w:w w:val="105"/>
        </w:rPr>
        <w:t>con</w:t>
      </w:r>
      <w:r>
        <w:rPr>
          <w:color w:val="231F20"/>
          <w:spacing w:val="-9"/>
          <w:w w:val="105"/>
        </w:rPr>
        <w:t> </w:t>
      </w:r>
      <w:r>
        <w:rPr>
          <w:color w:val="231F20"/>
          <w:w w:val="105"/>
        </w:rPr>
        <w:t>la</w:t>
      </w:r>
      <w:r>
        <w:rPr>
          <w:color w:val="231F20"/>
          <w:spacing w:val="-9"/>
          <w:w w:val="105"/>
        </w:rPr>
        <w:t> </w:t>
      </w:r>
      <w:r>
        <w:rPr>
          <w:color w:val="231F20"/>
          <w:w w:val="105"/>
        </w:rPr>
        <w:t>finalidad</w:t>
      </w:r>
      <w:r>
        <w:rPr>
          <w:color w:val="231F20"/>
          <w:spacing w:val="-9"/>
          <w:w w:val="105"/>
        </w:rPr>
        <w:t> </w:t>
      </w:r>
      <w:r>
        <w:rPr>
          <w:color w:val="231F20"/>
          <w:w w:val="105"/>
        </w:rPr>
        <w:t>de</w:t>
      </w:r>
      <w:r>
        <w:rPr>
          <w:color w:val="231F20"/>
          <w:spacing w:val="-9"/>
          <w:w w:val="105"/>
        </w:rPr>
        <w:t> </w:t>
      </w:r>
      <w:r>
        <w:rPr>
          <w:color w:val="231F20"/>
          <w:spacing w:val="-3"/>
          <w:w w:val="105"/>
        </w:rPr>
        <w:t>tener</w:t>
      </w:r>
      <w:r>
        <w:rPr>
          <w:color w:val="231F20"/>
          <w:spacing w:val="-9"/>
          <w:w w:val="105"/>
        </w:rPr>
        <w:t> </w:t>
      </w:r>
      <w:r>
        <w:rPr>
          <w:color w:val="231F20"/>
          <w:w w:val="105"/>
        </w:rPr>
        <w:t>una visión</w:t>
      </w:r>
      <w:r>
        <w:rPr>
          <w:color w:val="231F20"/>
          <w:spacing w:val="-20"/>
          <w:w w:val="105"/>
        </w:rPr>
        <w:t> </w:t>
      </w:r>
      <w:r>
        <w:rPr>
          <w:color w:val="231F20"/>
          <w:w w:val="105"/>
        </w:rPr>
        <w:t>amplia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spacing w:val="-4"/>
          <w:w w:val="105"/>
        </w:rPr>
        <w:t>condiciones</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spacing w:val="-3"/>
          <w:w w:val="105"/>
        </w:rPr>
        <w:t>que</w:t>
      </w:r>
      <w:r>
        <w:rPr>
          <w:color w:val="231F20"/>
          <w:spacing w:val="-20"/>
          <w:w w:val="105"/>
        </w:rPr>
        <w:t> </w:t>
      </w:r>
      <w:r>
        <w:rPr>
          <w:color w:val="231F20"/>
          <w:w w:val="105"/>
        </w:rPr>
        <w:t>se</w:t>
      </w:r>
      <w:r>
        <w:rPr>
          <w:color w:val="231F20"/>
          <w:spacing w:val="-20"/>
          <w:w w:val="105"/>
        </w:rPr>
        <w:t> </w:t>
      </w:r>
      <w:r>
        <w:rPr>
          <w:color w:val="231F20"/>
          <w:w w:val="105"/>
        </w:rPr>
        <w:t>enfrenta</w:t>
      </w:r>
      <w:r>
        <w:rPr>
          <w:color w:val="231F20"/>
          <w:spacing w:val="-20"/>
          <w:w w:val="105"/>
        </w:rPr>
        <w:t> </w:t>
      </w:r>
      <w:r>
        <w:rPr>
          <w:color w:val="231F20"/>
          <w:w w:val="105"/>
        </w:rPr>
        <w:t>el</w:t>
      </w:r>
      <w:r>
        <w:rPr>
          <w:color w:val="231F20"/>
          <w:spacing w:val="-20"/>
          <w:w w:val="105"/>
        </w:rPr>
        <w:t> </w:t>
      </w:r>
      <w:r>
        <w:rPr>
          <w:color w:val="231F20"/>
          <w:w w:val="105"/>
        </w:rPr>
        <w:t>PT</w:t>
      </w:r>
      <w:r>
        <w:rPr>
          <w:color w:val="231F20"/>
          <w:spacing w:val="-20"/>
          <w:w w:val="105"/>
        </w:rPr>
        <w:t> </w:t>
      </w:r>
      <w:r>
        <w:rPr>
          <w:color w:val="231F20"/>
          <w:w w:val="105"/>
        </w:rPr>
        <w:t>en</w:t>
      </w:r>
      <w:r>
        <w:rPr>
          <w:color w:val="231F20"/>
          <w:spacing w:val="-20"/>
          <w:w w:val="105"/>
        </w:rPr>
        <w:t> </w:t>
      </w:r>
      <w:r>
        <w:rPr>
          <w:color w:val="231F20"/>
          <w:w w:val="105"/>
        </w:rPr>
        <w:t>su</w:t>
      </w:r>
      <w:r>
        <w:rPr>
          <w:color w:val="231F20"/>
          <w:spacing w:val="-20"/>
          <w:w w:val="105"/>
        </w:rPr>
        <w:t> </w:t>
      </w:r>
      <w:r>
        <w:rPr>
          <w:color w:val="231F20"/>
          <w:spacing w:val="-3"/>
          <w:w w:val="105"/>
        </w:rPr>
        <w:t>gestión</w:t>
      </w:r>
      <w:r>
        <w:rPr>
          <w:color w:val="231F20"/>
          <w:spacing w:val="-20"/>
          <w:w w:val="105"/>
        </w:rPr>
        <w:t> </w:t>
      </w:r>
      <w:r>
        <w:rPr>
          <w:color w:val="231F20"/>
          <w:w w:val="105"/>
        </w:rPr>
        <w:t>gubernamental.</w:t>
      </w:r>
    </w:p>
    <w:p>
      <w:pPr>
        <w:pStyle w:val="BodyText"/>
        <w:spacing w:before="1"/>
        <w:rPr>
          <w:sz w:val="26"/>
        </w:rPr>
      </w:pPr>
    </w:p>
    <w:p>
      <w:pPr>
        <w:pStyle w:val="BodyText"/>
        <w:spacing w:line="285" w:lineRule="auto"/>
        <w:ind w:left="110" w:right="108"/>
        <w:jc w:val="both"/>
      </w:pP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tercer</w:t>
      </w:r>
      <w:r>
        <w:rPr>
          <w:color w:val="231F20"/>
          <w:spacing w:val="-8"/>
          <w:w w:val="105"/>
        </w:rPr>
        <w:t> </w:t>
      </w:r>
      <w:r>
        <w:rPr>
          <w:color w:val="231F20"/>
          <w:w w:val="105"/>
        </w:rPr>
        <w:t>apartado</w:t>
      </w:r>
      <w:r>
        <w:rPr>
          <w:color w:val="231F20"/>
          <w:spacing w:val="-8"/>
          <w:w w:val="105"/>
        </w:rPr>
        <w:t> </w:t>
      </w:r>
      <w:r>
        <w:rPr>
          <w:color w:val="231F20"/>
          <w:w w:val="105"/>
        </w:rPr>
        <w:t>se</w:t>
      </w:r>
      <w:r>
        <w:rPr>
          <w:color w:val="231F20"/>
          <w:spacing w:val="-8"/>
          <w:w w:val="105"/>
        </w:rPr>
        <w:t> </w:t>
      </w:r>
      <w:r>
        <w:rPr>
          <w:color w:val="231F20"/>
          <w:w w:val="105"/>
        </w:rPr>
        <w:t>presentan</w:t>
      </w:r>
      <w:r>
        <w:rPr>
          <w:color w:val="231F20"/>
          <w:spacing w:val="-8"/>
          <w:w w:val="105"/>
        </w:rPr>
        <w:t> </w:t>
      </w:r>
      <w:r>
        <w:rPr>
          <w:color w:val="231F20"/>
          <w:w w:val="105"/>
        </w:rPr>
        <w:t>los</w:t>
      </w:r>
      <w:r>
        <w:rPr>
          <w:color w:val="231F20"/>
          <w:spacing w:val="-8"/>
          <w:w w:val="105"/>
        </w:rPr>
        <w:t> </w:t>
      </w:r>
      <w:r>
        <w:rPr>
          <w:color w:val="231F20"/>
          <w:w w:val="105"/>
        </w:rPr>
        <w:t>resultados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gestión</w:t>
      </w:r>
      <w:r>
        <w:rPr>
          <w:color w:val="231F20"/>
          <w:spacing w:val="-8"/>
          <w:w w:val="105"/>
        </w:rPr>
        <w:t> </w:t>
      </w:r>
      <w:r>
        <w:rPr>
          <w:color w:val="231F20"/>
          <w:w w:val="105"/>
        </w:rPr>
        <w:t>gubernamental</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spacing w:val="-3"/>
          <w:w w:val="105"/>
        </w:rPr>
        <w:t>mu- </w:t>
      </w:r>
      <w:r>
        <w:rPr>
          <w:color w:val="231F20"/>
          <w:w w:val="105"/>
        </w:rPr>
        <w:t>nicipio, se exponen las principales acciones desarrolladas hasta el año </w:t>
      </w:r>
      <w:r>
        <w:rPr>
          <w:color w:val="231F20"/>
          <w:spacing w:val="2"/>
          <w:w w:val="105"/>
        </w:rPr>
        <w:t>2008. </w:t>
      </w:r>
      <w:r>
        <w:rPr>
          <w:color w:val="231F20"/>
          <w:w w:val="105"/>
        </w:rPr>
        <w:t>Se toma como fuente principal el Segundo Informe de Gobierno y se hace un balance de los ingresos</w:t>
      </w:r>
      <w:r>
        <w:rPr>
          <w:color w:val="231F20"/>
          <w:spacing w:val="-25"/>
          <w:w w:val="105"/>
        </w:rPr>
        <w:t> </w:t>
      </w:r>
      <w:r>
        <w:rPr>
          <w:color w:val="231F20"/>
          <w:w w:val="105"/>
        </w:rPr>
        <w:t>y</w:t>
      </w:r>
      <w:r>
        <w:rPr>
          <w:color w:val="231F20"/>
          <w:spacing w:val="-25"/>
          <w:w w:val="105"/>
        </w:rPr>
        <w:t> </w:t>
      </w:r>
      <w:r>
        <w:rPr>
          <w:color w:val="231F20"/>
          <w:w w:val="105"/>
        </w:rPr>
        <w:t>egresos</w:t>
      </w:r>
      <w:r>
        <w:rPr>
          <w:color w:val="231F20"/>
          <w:spacing w:val="-25"/>
          <w:w w:val="105"/>
        </w:rPr>
        <w:t> </w:t>
      </w:r>
      <w:r>
        <w:rPr>
          <w:color w:val="231F20"/>
          <w:w w:val="105"/>
        </w:rPr>
        <w:t>del</w:t>
      </w:r>
      <w:r>
        <w:rPr>
          <w:color w:val="231F20"/>
          <w:spacing w:val="-25"/>
          <w:w w:val="105"/>
        </w:rPr>
        <w:t> </w:t>
      </w:r>
      <w:r>
        <w:rPr>
          <w:color w:val="231F20"/>
          <w:w w:val="105"/>
        </w:rPr>
        <w:t>municipio.</w:t>
      </w:r>
    </w:p>
    <w:p>
      <w:pPr>
        <w:pStyle w:val="BodyText"/>
        <w:spacing w:before="1"/>
        <w:rPr>
          <w:sz w:val="26"/>
        </w:rPr>
      </w:pPr>
    </w:p>
    <w:p>
      <w:pPr>
        <w:pStyle w:val="BodyText"/>
        <w:ind w:left="110"/>
        <w:jc w:val="both"/>
      </w:pPr>
      <w:r>
        <w:rPr>
          <w:color w:val="231F20"/>
          <w:w w:val="105"/>
        </w:rPr>
        <w:t>La finalidad del trabajo es entonces, presentar una visión de la gestión de un   partido</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9"/>
        <w:jc w:val="both"/>
      </w:pPr>
      <w:r>
        <w:rPr>
          <w:color w:val="231F20"/>
          <w:w w:val="105"/>
        </w:rPr>
        <w:t>de</w:t>
      </w:r>
      <w:r>
        <w:rPr>
          <w:color w:val="231F20"/>
          <w:spacing w:val="-8"/>
          <w:w w:val="105"/>
        </w:rPr>
        <w:t> </w:t>
      </w:r>
      <w:r>
        <w:rPr>
          <w:color w:val="231F20"/>
          <w:w w:val="105"/>
        </w:rPr>
        <w:t>izquierda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ámbito</w:t>
      </w:r>
      <w:r>
        <w:rPr>
          <w:color w:val="231F20"/>
          <w:spacing w:val="-8"/>
          <w:w w:val="105"/>
        </w:rPr>
        <w:t> </w:t>
      </w:r>
      <w:r>
        <w:rPr>
          <w:color w:val="231F20"/>
          <w:w w:val="105"/>
        </w:rPr>
        <w:t>municipal</w:t>
      </w:r>
      <w:r>
        <w:rPr>
          <w:color w:val="231F20"/>
          <w:spacing w:val="-8"/>
          <w:w w:val="105"/>
        </w:rPr>
        <w:t> </w:t>
      </w:r>
      <w:r>
        <w:rPr>
          <w:color w:val="231F20"/>
          <w:w w:val="105"/>
        </w:rPr>
        <w:t>y</w:t>
      </w:r>
      <w:r>
        <w:rPr>
          <w:color w:val="231F20"/>
          <w:spacing w:val="-8"/>
          <w:w w:val="105"/>
        </w:rPr>
        <w:t> </w:t>
      </w:r>
      <w:r>
        <w:rPr>
          <w:color w:val="231F20"/>
          <w:w w:val="105"/>
        </w:rPr>
        <w:t>con</w:t>
      </w:r>
      <w:r>
        <w:rPr>
          <w:color w:val="231F20"/>
          <w:spacing w:val="-8"/>
          <w:w w:val="105"/>
        </w:rPr>
        <w:t> </w:t>
      </w:r>
      <w:r>
        <w:rPr>
          <w:color w:val="231F20"/>
          <w:w w:val="105"/>
        </w:rPr>
        <w:t>ello</w:t>
      </w:r>
      <w:r>
        <w:rPr>
          <w:color w:val="231F20"/>
          <w:spacing w:val="-8"/>
          <w:w w:val="105"/>
        </w:rPr>
        <w:t> </w:t>
      </w:r>
      <w:r>
        <w:rPr>
          <w:color w:val="231F20"/>
          <w:w w:val="105"/>
        </w:rPr>
        <w:t>contribuir</w:t>
      </w:r>
      <w:r>
        <w:rPr>
          <w:color w:val="231F20"/>
          <w:spacing w:val="-8"/>
          <w:w w:val="105"/>
        </w:rPr>
        <w:t> </w:t>
      </w:r>
      <w:r>
        <w:rPr>
          <w:color w:val="231F20"/>
          <w:spacing w:val="2"/>
          <w:w w:val="105"/>
        </w:rPr>
        <w:t>al</w:t>
      </w:r>
      <w:r>
        <w:rPr>
          <w:color w:val="231F20"/>
          <w:spacing w:val="-8"/>
          <w:w w:val="105"/>
        </w:rPr>
        <w:t> </w:t>
      </w:r>
      <w:r>
        <w:rPr>
          <w:color w:val="231F20"/>
          <w:spacing w:val="2"/>
          <w:w w:val="105"/>
        </w:rPr>
        <w:t>análisis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forma</w:t>
      </w:r>
      <w:r>
        <w:rPr>
          <w:color w:val="231F20"/>
          <w:spacing w:val="-8"/>
          <w:w w:val="105"/>
        </w:rPr>
        <w:t> </w:t>
      </w:r>
      <w:r>
        <w:rPr>
          <w:color w:val="231F20"/>
          <w:w w:val="105"/>
        </w:rPr>
        <w:t>en</w:t>
      </w:r>
      <w:r>
        <w:rPr>
          <w:color w:val="231F20"/>
          <w:spacing w:val="-8"/>
          <w:w w:val="105"/>
        </w:rPr>
        <w:t> </w:t>
      </w:r>
      <w:r>
        <w:rPr>
          <w:color w:val="231F20"/>
          <w:w w:val="105"/>
        </w:rPr>
        <w:t>que gobiernan</w:t>
      </w:r>
      <w:r>
        <w:rPr>
          <w:color w:val="231F20"/>
          <w:spacing w:val="-13"/>
          <w:w w:val="105"/>
        </w:rPr>
        <w:t> </w:t>
      </w:r>
      <w:r>
        <w:rPr>
          <w:color w:val="231F20"/>
          <w:w w:val="105"/>
        </w:rPr>
        <w:t>los</w:t>
      </w:r>
      <w:r>
        <w:rPr>
          <w:color w:val="231F20"/>
          <w:spacing w:val="-13"/>
          <w:w w:val="105"/>
        </w:rPr>
        <w:t> </w:t>
      </w:r>
      <w:r>
        <w:rPr>
          <w:color w:val="231F20"/>
          <w:w w:val="105"/>
        </w:rPr>
        <w:t>distintos</w:t>
      </w:r>
      <w:r>
        <w:rPr>
          <w:color w:val="231F20"/>
          <w:spacing w:val="-13"/>
          <w:w w:val="105"/>
        </w:rPr>
        <w:t> </w:t>
      </w:r>
      <w:r>
        <w:rPr>
          <w:color w:val="231F20"/>
          <w:w w:val="105"/>
        </w:rPr>
        <w:t>partidos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p>
    <w:p>
      <w:pPr>
        <w:pStyle w:val="BodyText"/>
        <w:spacing w:before="10"/>
      </w:pPr>
    </w:p>
    <w:p>
      <w:pPr>
        <w:pStyle w:val="Heading3"/>
      </w:pPr>
      <w:r>
        <w:rPr>
          <w:color w:val="231F20"/>
          <w:w w:val="105"/>
        </w:rPr>
        <w:t>Partido del Trabajo</w:t>
      </w:r>
    </w:p>
    <w:p>
      <w:pPr>
        <w:pStyle w:val="BodyText"/>
        <w:spacing w:line="285" w:lineRule="auto" w:before="38"/>
        <w:ind w:left="110" w:right="107"/>
        <w:jc w:val="both"/>
      </w:pPr>
      <w:r>
        <w:rPr>
          <w:color w:val="231F20"/>
          <w:w w:val="105"/>
        </w:rPr>
        <w:t>Prevalecen muchos cuestionamientos sobre el nacimiento del </w:t>
      </w:r>
      <w:r>
        <w:rPr>
          <w:color w:val="231F20"/>
          <w:spacing w:val="-6"/>
          <w:w w:val="105"/>
        </w:rPr>
        <w:t>PT, </w:t>
      </w:r>
      <w:r>
        <w:rPr>
          <w:color w:val="231F20"/>
          <w:w w:val="105"/>
        </w:rPr>
        <w:t>hay quienes piensan que surge de una necesidad de la sociedad mexicana por tener una opción política na- cional</w:t>
      </w:r>
      <w:r>
        <w:rPr>
          <w:color w:val="231F20"/>
          <w:spacing w:val="-21"/>
          <w:w w:val="105"/>
        </w:rPr>
        <w:t> </w:t>
      </w:r>
      <w:r>
        <w:rPr>
          <w:color w:val="231F20"/>
          <w:w w:val="105"/>
        </w:rPr>
        <w:t>que</w:t>
      </w:r>
      <w:r>
        <w:rPr>
          <w:color w:val="231F20"/>
          <w:spacing w:val="-21"/>
          <w:w w:val="105"/>
        </w:rPr>
        <w:t> </w:t>
      </w:r>
      <w:r>
        <w:rPr>
          <w:color w:val="231F20"/>
          <w:w w:val="105"/>
        </w:rPr>
        <w:t>representara</w:t>
      </w:r>
      <w:r>
        <w:rPr>
          <w:color w:val="231F20"/>
          <w:spacing w:val="-21"/>
          <w:w w:val="105"/>
        </w:rPr>
        <w:t> </w:t>
      </w:r>
      <w:r>
        <w:rPr>
          <w:color w:val="231F20"/>
          <w:w w:val="105"/>
        </w:rPr>
        <w:t>sus</w:t>
      </w:r>
      <w:r>
        <w:rPr>
          <w:color w:val="231F20"/>
          <w:spacing w:val="-21"/>
          <w:w w:val="105"/>
        </w:rPr>
        <w:t> </w:t>
      </w:r>
      <w:r>
        <w:rPr>
          <w:color w:val="231F20"/>
          <w:w w:val="105"/>
        </w:rPr>
        <w:t>intereses</w:t>
      </w:r>
      <w:r>
        <w:rPr>
          <w:color w:val="231F20"/>
          <w:spacing w:val="-21"/>
          <w:w w:val="105"/>
        </w:rPr>
        <w:t> </w:t>
      </w:r>
      <w:r>
        <w:rPr>
          <w:color w:val="231F20"/>
          <w:w w:val="105"/>
        </w:rPr>
        <w:t>de</w:t>
      </w:r>
      <w:r>
        <w:rPr>
          <w:color w:val="231F20"/>
          <w:spacing w:val="-21"/>
          <w:w w:val="105"/>
        </w:rPr>
        <w:t> </w:t>
      </w:r>
      <w:r>
        <w:rPr>
          <w:color w:val="231F20"/>
          <w:w w:val="105"/>
        </w:rPr>
        <w:t>organización</w:t>
      </w:r>
      <w:r>
        <w:rPr>
          <w:color w:val="231F20"/>
          <w:spacing w:val="-21"/>
          <w:w w:val="105"/>
        </w:rPr>
        <w:t> </w:t>
      </w:r>
      <w:r>
        <w:rPr>
          <w:color w:val="231F20"/>
          <w:w w:val="105"/>
        </w:rPr>
        <w:t>y</w:t>
      </w:r>
      <w:r>
        <w:rPr>
          <w:color w:val="231F20"/>
          <w:spacing w:val="-21"/>
          <w:w w:val="105"/>
        </w:rPr>
        <w:t> </w:t>
      </w:r>
      <w:r>
        <w:rPr>
          <w:color w:val="231F20"/>
          <w:w w:val="105"/>
        </w:rPr>
        <w:t>lucha,</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finalidad</w:t>
      </w:r>
      <w:r>
        <w:rPr>
          <w:color w:val="231F20"/>
          <w:spacing w:val="-21"/>
          <w:w w:val="105"/>
        </w:rPr>
        <w:t> </w:t>
      </w:r>
      <w:r>
        <w:rPr>
          <w:color w:val="231F20"/>
          <w:w w:val="105"/>
        </w:rPr>
        <w:t>de</w:t>
      </w:r>
      <w:r>
        <w:rPr>
          <w:color w:val="231F20"/>
          <w:spacing w:val="-21"/>
          <w:w w:val="105"/>
        </w:rPr>
        <w:t> </w:t>
      </w:r>
      <w:r>
        <w:rPr>
          <w:color w:val="231F20"/>
          <w:w w:val="105"/>
        </w:rPr>
        <w:t>enfren- </w:t>
      </w:r>
      <w:r>
        <w:rPr>
          <w:color w:val="231F20"/>
          <w:spacing w:val="2"/>
          <w:w w:val="105"/>
        </w:rPr>
        <w:t>tar</w:t>
      </w:r>
      <w:r>
        <w:rPr>
          <w:color w:val="231F20"/>
          <w:spacing w:val="-5"/>
          <w:w w:val="105"/>
        </w:rPr>
        <w:t> </w:t>
      </w:r>
      <w:r>
        <w:rPr>
          <w:color w:val="231F20"/>
          <w:w w:val="105"/>
        </w:rPr>
        <w:t>las</w:t>
      </w:r>
      <w:r>
        <w:rPr>
          <w:color w:val="231F20"/>
          <w:spacing w:val="-5"/>
          <w:w w:val="105"/>
        </w:rPr>
        <w:t> </w:t>
      </w:r>
      <w:r>
        <w:rPr>
          <w:color w:val="231F20"/>
          <w:w w:val="105"/>
        </w:rPr>
        <w:t>consecuencias</w:t>
      </w:r>
      <w:r>
        <w:rPr>
          <w:color w:val="231F20"/>
          <w:spacing w:val="-5"/>
          <w:w w:val="105"/>
        </w:rPr>
        <w:t> </w:t>
      </w:r>
      <w:r>
        <w:rPr>
          <w:color w:val="231F20"/>
          <w:w w:val="105"/>
        </w:rPr>
        <w:t>del</w:t>
      </w:r>
      <w:r>
        <w:rPr>
          <w:color w:val="231F20"/>
          <w:spacing w:val="-5"/>
          <w:w w:val="105"/>
        </w:rPr>
        <w:t> </w:t>
      </w:r>
      <w:r>
        <w:rPr>
          <w:color w:val="231F20"/>
          <w:w w:val="105"/>
        </w:rPr>
        <w:t>modelo</w:t>
      </w:r>
      <w:r>
        <w:rPr>
          <w:color w:val="231F20"/>
          <w:spacing w:val="-5"/>
          <w:w w:val="105"/>
        </w:rPr>
        <w:t> </w:t>
      </w:r>
      <w:r>
        <w:rPr>
          <w:color w:val="231F20"/>
          <w:w w:val="105"/>
        </w:rPr>
        <w:t>neoliberal</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impulsado</w:t>
      </w:r>
      <w:r>
        <w:rPr>
          <w:color w:val="231F20"/>
          <w:spacing w:val="-5"/>
          <w:w w:val="105"/>
        </w:rPr>
        <w:t> </w:t>
      </w:r>
      <w:r>
        <w:rPr>
          <w:color w:val="231F20"/>
          <w:w w:val="105"/>
        </w:rPr>
        <w:t>por</w:t>
      </w:r>
      <w:r>
        <w:rPr>
          <w:color w:val="231F20"/>
          <w:spacing w:val="-5"/>
          <w:w w:val="105"/>
        </w:rPr>
        <w:t> </w:t>
      </w:r>
      <w:r>
        <w:rPr>
          <w:color w:val="231F20"/>
          <w:w w:val="105"/>
        </w:rPr>
        <w:t>los</w:t>
      </w:r>
      <w:r>
        <w:rPr>
          <w:color w:val="231F20"/>
          <w:spacing w:val="-5"/>
          <w:w w:val="105"/>
        </w:rPr>
        <w:t> </w:t>
      </w:r>
      <w:r>
        <w:rPr>
          <w:color w:val="231F20"/>
          <w:w w:val="105"/>
        </w:rPr>
        <w:t>gobiernos priístas desde la época de Miguel de la Madrid, continuado por el gobierno tecnócrata de Carlos </w:t>
      </w:r>
      <w:r>
        <w:rPr>
          <w:color w:val="231F20"/>
          <w:spacing w:val="2"/>
          <w:w w:val="105"/>
        </w:rPr>
        <w:t>Salinas </w:t>
      </w:r>
      <w:r>
        <w:rPr>
          <w:color w:val="231F20"/>
          <w:w w:val="105"/>
        </w:rPr>
        <w:t>de Gortari y fortalecido por el de Ernesto Zedillo; sin embargo, hay quienes opinan</w:t>
      </w:r>
      <w:r>
        <w:rPr>
          <w:color w:val="231F20"/>
          <w:spacing w:val="-28"/>
          <w:w w:val="105"/>
        </w:rPr>
        <w:t> </w:t>
      </w:r>
      <w:r>
        <w:rPr>
          <w:color w:val="231F20"/>
          <w:w w:val="105"/>
        </w:rPr>
        <w:t>diferente:</w:t>
      </w:r>
    </w:p>
    <w:p>
      <w:pPr>
        <w:pStyle w:val="BodyText"/>
        <w:spacing w:before="1"/>
        <w:rPr>
          <w:sz w:val="26"/>
        </w:rPr>
      </w:pPr>
    </w:p>
    <w:p>
      <w:pPr>
        <w:pStyle w:val="BodyText"/>
        <w:spacing w:line="285" w:lineRule="auto"/>
        <w:ind w:left="110" w:right="107"/>
        <w:jc w:val="both"/>
      </w:pPr>
      <w:r>
        <w:rPr>
          <w:color w:val="231F20"/>
          <w:w w:val="105"/>
        </w:rPr>
        <w:t>El</w:t>
      </w:r>
      <w:r>
        <w:rPr>
          <w:color w:val="231F20"/>
          <w:spacing w:val="-19"/>
          <w:w w:val="105"/>
        </w:rPr>
        <w:t> </w:t>
      </w:r>
      <w:r>
        <w:rPr>
          <w:color w:val="231F20"/>
          <w:w w:val="105"/>
        </w:rPr>
        <w:t>gobierno</w:t>
      </w:r>
      <w:r>
        <w:rPr>
          <w:color w:val="231F20"/>
          <w:spacing w:val="-19"/>
          <w:w w:val="105"/>
        </w:rPr>
        <w:t> </w:t>
      </w:r>
      <w:r>
        <w:rPr>
          <w:color w:val="231F20"/>
          <w:w w:val="105"/>
        </w:rPr>
        <w:t>de</w:t>
      </w:r>
      <w:r>
        <w:rPr>
          <w:color w:val="231F20"/>
          <w:spacing w:val="-19"/>
          <w:w w:val="105"/>
        </w:rPr>
        <w:t> </w:t>
      </w:r>
      <w:r>
        <w:rPr>
          <w:color w:val="231F20"/>
          <w:spacing w:val="2"/>
          <w:w w:val="105"/>
        </w:rPr>
        <w:t>Salinas</w:t>
      </w:r>
      <w:r>
        <w:rPr>
          <w:color w:val="231F20"/>
          <w:spacing w:val="-19"/>
          <w:w w:val="105"/>
        </w:rPr>
        <w:t> </w:t>
      </w:r>
      <w:r>
        <w:rPr>
          <w:color w:val="231F20"/>
          <w:w w:val="105"/>
        </w:rPr>
        <w:t>apoyó</w:t>
      </w:r>
      <w:r>
        <w:rPr>
          <w:color w:val="231F20"/>
          <w:spacing w:val="-19"/>
          <w:w w:val="105"/>
        </w:rPr>
        <w:t> </w:t>
      </w:r>
      <w:r>
        <w:rPr>
          <w:color w:val="231F20"/>
          <w:w w:val="105"/>
        </w:rPr>
        <w:t>de</w:t>
      </w:r>
      <w:r>
        <w:rPr>
          <w:color w:val="231F20"/>
          <w:spacing w:val="-19"/>
          <w:w w:val="105"/>
        </w:rPr>
        <w:t> </w:t>
      </w:r>
      <w:r>
        <w:rPr>
          <w:color w:val="231F20"/>
          <w:w w:val="105"/>
        </w:rPr>
        <w:t>diversas</w:t>
      </w:r>
      <w:r>
        <w:rPr>
          <w:color w:val="231F20"/>
          <w:spacing w:val="-19"/>
          <w:w w:val="105"/>
        </w:rPr>
        <w:t> </w:t>
      </w:r>
      <w:r>
        <w:rPr>
          <w:color w:val="231F20"/>
          <w:w w:val="105"/>
        </w:rPr>
        <w:t>maneras</w:t>
      </w:r>
      <w:r>
        <w:rPr>
          <w:color w:val="231F20"/>
          <w:spacing w:val="-19"/>
          <w:w w:val="105"/>
        </w:rPr>
        <w:t> </w:t>
      </w:r>
      <w:r>
        <w:rPr>
          <w:color w:val="231F20"/>
          <w:w w:val="105"/>
        </w:rPr>
        <w:t>la</w:t>
      </w:r>
      <w:r>
        <w:rPr>
          <w:color w:val="231F20"/>
          <w:spacing w:val="-19"/>
          <w:w w:val="105"/>
        </w:rPr>
        <w:t> </w:t>
      </w:r>
      <w:r>
        <w:rPr>
          <w:color w:val="231F20"/>
          <w:w w:val="105"/>
        </w:rPr>
        <w:t>formación</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nuevo</w:t>
      </w:r>
      <w:r>
        <w:rPr>
          <w:color w:val="231F20"/>
          <w:spacing w:val="-19"/>
          <w:w w:val="105"/>
        </w:rPr>
        <w:t> </w:t>
      </w:r>
      <w:r>
        <w:rPr>
          <w:color w:val="231F20"/>
          <w:w w:val="105"/>
        </w:rPr>
        <w:t>partido</w:t>
      </w:r>
      <w:r>
        <w:rPr>
          <w:color w:val="231F20"/>
          <w:spacing w:val="-19"/>
          <w:w w:val="105"/>
        </w:rPr>
        <w:t> </w:t>
      </w:r>
      <w:r>
        <w:rPr>
          <w:color w:val="231F20"/>
          <w:w w:val="105"/>
        </w:rPr>
        <w:t>con tintes</w:t>
      </w:r>
      <w:r>
        <w:rPr>
          <w:color w:val="231F20"/>
          <w:spacing w:val="-23"/>
          <w:w w:val="105"/>
        </w:rPr>
        <w:t> </w:t>
      </w:r>
      <w:r>
        <w:rPr>
          <w:color w:val="231F20"/>
          <w:w w:val="105"/>
        </w:rPr>
        <w:t>izquierdistas</w:t>
      </w:r>
      <w:r>
        <w:rPr>
          <w:color w:val="231F20"/>
          <w:spacing w:val="-23"/>
          <w:w w:val="105"/>
        </w:rPr>
        <w:t> </w:t>
      </w:r>
      <w:r>
        <w:rPr>
          <w:color w:val="231F20"/>
          <w:w w:val="105"/>
        </w:rPr>
        <w:t>y</w:t>
      </w:r>
      <w:r>
        <w:rPr>
          <w:color w:val="231F20"/>
          <w:spacing w:val="-23"/>
          <w:w w:val="105"/>
        </w:rPr>
        <w:t> </w:t>
      </w:r>
      <w:r>
        <w:rPr>
          <w:color w:val="231F20"/>
          <w:w w:val="105"/>
        </w:rPr>
        <w:t>que,</w:t>
      </w:r>
      <w:r>
        <w:rPr>
          <w:color w:val="231F20"/>
          <w:spacing w:val="-23"/>
          <w:w w:val="105"/>
        </w:rPr>
        <w:t> </w:t>
      </w:r>
      <w:r>
        <w:rPr>
          <w:color w:val="231F20"/>
          <w:w w:val="105"/>
        </w:rPr>
        <w:t>presumiblemente,</w:t>
      </w:r>
      <w:r>
        <w:rPr>
          <w:color w:val="231F20"/>
          <w:spacing w:val="-23"/>
          <w:w w:val="105"/>
        </w:rPr>
        <w:t> </w:t>
      </w:r>
      <w:r>
        <w:rPr>
          <w:color w:val="231F20"/>
          <w:w w:val="105"/>
        </w:rPr>
        <w:t>le</w:t>
      </w:r>
      <w:r>
        <w:rPr>
          <w:color w:val="231F20"/>
          <w:spacing w:val="-23"/>
          <w:w w:val="105"/>
        </w:rPr>
        <w:t> </w:t>
      </w:r>
      <w:r>
        <w:rPr>
          <w:color w:val="231F20"/>
          <w:w w:val="105"/>
        </w:rPr>
        <w:t>quitaría</w:t>
      </w:r>
      <w:r>
        <w:rPr>
          <w:color w:val="231F20"/>
          <w:spacing w:val="-23"/>
          <w:w w:val="105"/>
        </w:rPr>
        <w:t> </w:t>
      </w:r>
      <w:r>
        <w:rPr>
          <w:color w:val="231F20"/>
          <w:w w:val="105"/>
        </w:rPr>
        <w:t>votos</w:t>
      </w:r>
      <w:r>
        <w:rPr>
          <w:color w:val="231F20"/>
          <w:spacing w:val="-23"/>
          <w:w w:val="105"/>
        </w:rPr>
        <w:t> </w:t>
      </w:r>
      <w:r>
        <w:rPr>
          <w:color w:val="231F20"/>
          <w:spacing w:val="2"/>
          <w:w w:val="105"/>
        </w:rPr>
        <w:t>al</w:t>
      </w:r>
      <w:r>
        <w:rPr>
          <w:color w:val="231F20"/>
          <w:spacing w:val="-23"/>
          <w:w w:val="105"/>
        </w:rPr>
        <w:t> </w:t>
      </w:r>
      <w:r>
        <w:rPr>
          <w:color w:val="231F20"/>
          <w:spacing w:val="-3"/>
          <w:w w:val="105"/>
        </w:rPr>
        <w:t>PRD.</w:t>
      </w:r>
      <w:r>
        <w:rPr>
          <w:color w:val="231F20"/>
          <w:spacing w:val="-23"/>
          <w:w w:val="105"/>
        </w:rPr>
        <w:t> </w:t>
      </w:r>
      <w:r>
        <w:rPr>
          <w:color w:val="231F20"/>
          <w:w w:val="105"/>
        </w:rPr>
        <w:t>Este</w:t>
      </w:r>
      <w:r>
        <w:rPr>
          <w:color w:val="231F20"/>
          <w:spacing w:val="-23"/>
          <w:w w:val="105"/>
        </w:rPr>
        <w:t> </w:t>
      </w:r>
      <w:r>
        <w:rPr>
          <w:color w:val="231F20"/>
          <w:w w:val="105"/>
        </w:rPr>
        <w:t>nuevo</w:t>
      </w:r>
      <w:r>
        <w:rPr>
          <w:color w:val="231F20"/>
          <w:spacing w:val="-23"/>
          <w:w w:val="105"/>
        </w:rPr>
        <w:t> </w:t>
      </w:r>
      <w:r>
        <w:rPr>
          <w:color w:val="231F20"/>
          <w:w w:val="105"/>
        </w:rPr>
        <w:t>partido fue</w:t>
      </w:r>
      <w:r>
        <w:rPr>
          <w:color w:val="231F20"/>
          <w:spacing w:val="-5"/>
          <w:w w:val="105"/>
        </w:rPr>
        <w:t> </w:t>
      </w:r>
      <w:r>
        <w:rPr>
          <w:color w:val="231F20"/>
          <w:w w:val="105"/>
        </w:rPr>
        <w:t>el</w:t>
      </w:r>
      <w:r>
        <w:rPr>
          <w:color w:val="231F20"/>
          <w:spacing w:val="-5"/>
          <w:w w:val="105"/>
        </w:rPr>
        <w:t> </w:t>
      </w:r>
      <w:r>
        <w:rPr>
          <w:color w:val="231F20"/>
          <w:w w:val="105"/>
        </w:rPr>
        <w:t>Partido</w:t>
      </w:r>
      <w:r>
        <w:rPr>
          <w:color w:val="231F20"/>
          <w:spacing w:val="-5"/>
          <w:w w:val="105"/>
        </w:rPr>
        <w:t> </w:t>
      </w:r>
      <w:r>
        <w:rPr>
          <w:color w:val="231F20"/>
          <w:w w:val="105"/>
        </w:rPr>
        <w:t>del</w:t>
      </w:r>
      <w:r>
        <w:rPr>
          <w:color w:val="231F20"/>
          <w:spacing w:val="-5"/>
          <w:w w:val="105"/>
        </w:rPr>
        <w:t> </w:t>
      </w:r>
      <w:r>
        <w:rPr>
          <w:color w:val="231F20"/>
          <w:spacing w:val="-3"/>
          <w:w w:val="105"/>
        </w:rPr>
        <w:t>Trabajo</w:t>
      </w:r>
      <w:r>
        <w:rPr>
          <w:color w:val="231F20"/>
          <w:spacing w:val="-5"/>
          <w:w w:val="105"/>
        </w:rPr>
        <w:t> </w:t>
      </w:r>
      <w:r>
        <w:rPr>
          <w:color w:val="231F20"/>
          <w:spacing w:val="-3"/>
          <w:w w:val="105"/>
        </w:rPr>
        <w:t>(PT),</w:t>
      </w:r>
      <w:r>
        <w:rPr>
          <w:color w:val="231F20"/>
          <w:spacing w:val="-5"/>
          <w:w w:val="105"/>
        </w:rPr>
        <w:t> </w:t>
      </w:r>
      <w:r>
        <w:rPr>
          <w:color w:val="231F20"/>
          <w:w w:val="105"/>
        </w:rPr>
        <w:t>formado</w:t>
      </w:r>
      <w:r>
        <w:rPr>
          <w:color w:val="231F20"/>
          <w:spacing w:val="-5"/>
          <w:w w:val="105"/>
        </w:rPr>
        <w:t> </w:t>
      </w:r>
      <w:r>
        <w:rPr>
          <w:color w:val="231F20"/>
          <w:w w:val="105"/>
        </w:rPr>
        <w:t>por</w:t>
      </w:r>
      <w:r>
        <w:rPr>
          <w:color w:val="231F20"/>
          <w:spacing w:val="-5"/>
          <w:w w:val="105"/>
        </w:rPr>
        <w:t> </w:t>
      </w:r>
      <w:r>
        <w:rPr>
          <w:color w:val="231F20"/>
          <w:w w:val="105"/>
        </w:rPr>
        <w:t>antiguos</w:t>
      </w:r>
      <w:r>
        <w:rPr>
          <w:color w:val="231F20"/>
          <w:spacing w:val="-5"/>
          <w:w w:val="105"/>
        </w:rPr>
        <w:t> </w:t>
      </w:r>
      <w:r>
        <w:rPr>
          <w:color w:val="231F20"/>
          <w:w w:val="105"/>
        </w:rPr>
        <w:t>amigos</w:t>
      </w:r>
      <w:r>
        <w:rPr>
          <w:color w:val="231F20"/>
          <w:spacing w:val="-5"/>
          <w:w w:val="105"/>
        </w:rPr>
        <w:t> </w:t>
      </w:r>
      <w:r>
        <w:rPr>
          <w:color w:val="231F20"/>
          <w:w w:val="105"/>
        </w:rPr>
        <w:t>de</w:t>
      </w:r>
      <w:r>
        <w:rPr>
          <w:color w:val="231F20"/>
          <w:spacing w:val="-5"/>
          <w:w w:val="105"/>
        </w:rPr>
        <w:t> </w:t>
      </w:r>
      <w:r>
        <w:rPr>
          <w:color w:val="231F20"/>
          <w:w w:val="105"/>
        </w:rPr>
        <w:t>Carlos</w:t>
      </w:r>
      <w:r>
        <w:rPr>
          <w:color w:val="231F20"/>
          <w:spacing w:val="-5"/>
          <w:w w:val="105"/>
        </w:rPr>
        <w:t> </w:t>
      </w:r>
      <w:r>
        <w:rPr>
          <w:color w:val="231F20"/>
          <w:w w:val="105"/>
        </w:rPr>
        <w:t>y</w:t>
      </w:r>
      <w:r>
        <w:rPr>
          <w:color w:val="231F20"/>
          <w:spacing w:val="-5"/>
          <w:w w:val="105"/>
        </w:rPr>
        <w:t> </w:t>
      </w:r>
      <w:r>
        <w:rPr>
          <w:color w:val="231F20"/>
          <w:w w:val="105"/>
        </w:rPr>
        <w:t>Raúl</w:t>
      </w:r>
      <w:r>
        <w:rPr>
          <w:color w:val="231F20"/>
          <w:spacing w:val="-5"/>
          <w:w w:val="105"/>
        </w:rPr>
        <w:t> </w:t>
      </w:r>
      <w:r>
        <w:rPr>
          <w:color w:val="231F20"/>
          <w:spacing w:val="2"/>
          <w:w w:val="105"/>
        </w:rPr>
        <w:t>Salinas </w:t>
      </w:r>
      <w:r>
        <w:rPr>
          <w:color w:val="231F20"/>
          <w:w w:val="105"/>
        </w:rPr>
        <w:t>de Gortari… y militantes de otras organizaciones de izquierda con influencia maoísta </w:t>
      </w:r>
      <w:r>
        <w:rPr>
          <w:color w:val="231F20"/>
        </w:rPr>
        <w:t>(Rodríguez Araujo, 2002:</w:t>
      </w:r>
      <w:r>
        <w:rPr>
          <w:color w:val="231F20"/>
          <w:spacing w:val="14"/>
        </w:rPr>
        <w:t> </w:t>
      </w:r>
      <w:r>
        <w:rPr>
          <w:color w:val="231F20"/>
          <w:spacing w:val="-4"/>
        </w:rPr>
        <w:t>52-53).</w:t>
      </w:r>
    </w:p>
    <w:p>
      <w:pPr>
        <w:pStyle w:val="BodyText"/>
        <w:spacing w:before="1"/>
        <w:rPr>
          <w:sz w:val="26"/>
        </w:rPr>
      </w:pPr>
    </w:p>
    <w:p>
      <w:pPr>
        <w:pStyle w:val="BodyText"/>
        <w:spacing w:line="285" w:lineRule="auto"/>
        <w:ind w:left="110" w:right="107"/>
        <w:jc w:val="both"/>
      </w:pPr>
      <w:r>
        <w:rPr>
          <w:color w:val="231F20"/>
        </w:rPr>
        <w:t>El PT nace el 8 de diciembre de 1990 y de inmediato participa en las elecciones de </w:t>
      </w:r>
      <w:r>
        <w:rPr>
          <w:color w:val="231F20"/>
          <w:spacing w:val="-4"/>
        </w:rPr>
        <w:t>1991 </w:t>
      </w:r>
      <w:r>
        <w:rPr>
          <w:color w:val="231F20"/>
          <w:spacing w:val="-3"/>
        </w:rPr>
        <w:t>donde </w:t>
      </w:r>
      <w:r>
        <w:rPr>
          <w:color w:val="231F20"/>
        </w:rPr>
        <w:t>no obtuvo el 1.5% de la votación total, ello representó la no obtención del registro como partido político nacional; sin embargo, según el  </w:t>
      </w:r>
      <w:r>
        <w:rPr>
          <w:color w:val="231F20"/>
          <w:spacing w:val="51"/>
        </w:rPr>
        <w:t> </w:t>
      </w:r>
      <w:r>
        <w:rPr>
          <w:color w:val="231F20"/>
          <w:spacing w:val="-3"/>
        </w:rPr>
        <w:t>propio  </w:t>
      </w:r>
      <w:r>
        <w:rPr>
          <w:color w:val="231F20"/>
        </w:rPr>
        <w:t>partido,</w:t>
      </w:r>
    </w:p>
    <w:p>
      <w:pPr>
        <w:pStyle w:val="BodyText"/>
        <w:spacing w:line="285" w:lineRule="auto" w:before="1"/>
        <w:ind w:left="677" w:right="107"/>
        <w:jc w:val="both"/>
      </w:pPr>
      <w:r>
        <w:rPr>
          <w:color w:val="231F20"/>
          <w:w w:val="105"/>
        </w:rPr>
        <w:t>“de</w:t>
      </w:r>
      <w:r>
        <w:rPr>
          <w:color w:val="231F20"/>
          <w:spacing w:val="-7"/>
          <w:w w:val="105"/>
        </w:rPr>
        <w:t> </w:t>
      </w:r>
      <w:r>
        <w:rPr>
          <w:color w:val="231F20"/>
          <w:w w:val="105"/>
        </w:rPr>
        <w:t>inmediato</w:t>
      </w:r>
      <w:r>
        <w:rPr>
          <w:color w:val="231F20"/>
          <w:spacing w:val="-7"/>
          <w:w w:val="105"/>
        </w:rPr>
        <w:t> </w:t>
      </w:r>
      <w:r>
        <w:rPr>
          <w:color w:val="231F20"/>
          <w:w w:val="105"/>
        </w:rPr>
        <w:t>se</w:t>
      </w:r>
      <w:r>
        <w:rPr>
          <w:color w:val="231F20"/>
          <w:spacing w:val="-7"/>
          <w:w w:val="105"/>
        </w:rPr>
        <w:t> </w:t>
      </w:r>
      <w:r>
        <w:rPr>
          <w:color w:val="231F20"/>
          <w:w w:val="105"/>
        </w:rPr>
        <w:t>inició</w:t>
      </w:r>
      <w:r>
        <w:rPr>
          <w:color w:val="231F20"/>
          <w:spacing w:val="-7"/>
          <w:w w:val="105"/>
        </w:rPr>
        <w:t> </w:t>
      </w:r>
      <w:r>
        <w:rPr>
          <w:color w:val="231F20"/>
          <w:w w:val="105"/>
        </w:rPr>
        <w:t>una</w:t>
      </w:r>
      <w:r>
        <w:rPr>
          <w:color w:val="231F20"/>
          <w:spacing w:val="-7"/>
          <w:w w:val="105"/>
        </w:rPr>
        <w:t> </w:t>
      </w:r>
      <w:r>
        <w:rPr>
          <w:color w:val="231F20"/>
          <w:w w:val="105"/>
        </w:rPr>
        <w:t>campaña</w:t>
      </w:r>
      <w:r>
        <w:rPr>
          <w:color w:val="231F20"/>
          <w:spacing w:val="-7"/>
          <w:w w:val="105"/>
        </w:rPr>
        <w:t> </w:t>
      </w:r>
      <w:r>
        <w:rPr>
          <w:color w:val="231F20"/>
          <w:w w:val="105"/>
        </w:rPr>
        <w:t>para</w:t>
      </w:r>
      <w:r>
        <w:rPr>
          <w:color w:val="231F20"/>
          <w:spacing w:val="-8"/>
          <w:w w:val="105"/>
        </w:rPr>
        <w:t> </w:t>
      </w:r>
      <w:r>
        <w:rPr>
          <w:color w:val="231F20"/>
          <w:w w:val="105"/>
        </w:rPr>
        <w:t>realizar</w:t>
      </w:r>
      <w:r>
        <w:rPr>
          <w:color w:val="231F20"/>
          <w:spacing w:val="-7"/>
          <w:w w:val="105"/>
        </w:rPr>
        <w:t> </w:t>
      </w:r>
      <w:r>
        <w:rPr>
          <w:color w:val="231F20"/>
          <w:w w:val="105"/>
        </w:rPr>
        <w:t>una</w:t>
      </w:r>
      <w:r>
        <w:rPr>
          <w:color w:val="231F20"/>
          <w:spacing w:val="-8"/>
          <w:w w:val="105"/>
        </w:rPr>
        <w:t> </w:t>
      </w:r>
      <w:r>
        <w:rPr>
          <w:color w:val="231F20"/>
          <w:w w:val="105"/>
        </w:rPr>
        <w:t>serie</w:t>
      </w:r>
      <w:r>
        <w:rPr>
          <w:color w:val="231F20"/>
          <w:spacing w:val="-7"/>
          <w:w w:val="105"/>
        </w:rPr>
        <w:t> </w:t>
      </w:r>
      <w:r>
        <w:rPr>
          <w:color w:val="231F20"/>
          <w:w w:val="105"/>
        </w:rPr>
        <w:t>de</w:t>
      </w:r>
      <w:r>
        <w:rPr>
          <w:color w:val="231F20"/>
          <w:spacing w:val="-7"/>
          <w:w w:val="105"/>
        </w:rPr>
        <w:t> </w:t>
      </w:r>
      <w:r>
        <w:rPr>
          <w:color w:val="231F20"/>
          <w:w w:val="105"/>
        </w:rPr>
        <w:t>asambleas</w:t>
      </w:r>
      <w:r>
        <w:rPr>
          <w:color w:val="231F20"/>
          <w:spacing w:val="-7"/>
          <w:w w:val="105"/>
        </w:rPr>
        <w:t> </w:t>
      </w:r>
      <w:r>
        <w:rPr>
          <w:color w:val="231F20"/>
          <w:w w:val="105"/>
        </w:rPr>
        <w:t>en</w:t>
      </w:r>
      <w:r>
        <w:rPr>
          <w:color w:val="231F20"/>
          <w:spacing w:val="-8"/>
          <w:w w:val="105"/>
        </w:rPr>
        <w:t> </w:t>
      </w:r>
      <w:r>
        <w:rPr>
          <w:color w:val="231F20"/>
          <w:w w:val="105"/>
        </w:rPr>
        <w:t>por lo</w:t>
      </w:r>
      <w:r>
        <w:rPr>
          <w:color w:val="231F20"/>
          <w:spacing w:val="-14"/>
          <w:w w:val="105"/>
        </w:rPr>
        <w:t> </w:t>
      </w:r>
      <w:r>
        <w:rPr>
          <w:color w:val="231F20"/>
          <w:w w:val="105"/>
        </w:rPr>
        <w:t>menos</w:t>
      </w:r>
      <w:r>
        <w:rPr>
          <w:color w:val="231F20"/>
          <w:spacing w:val="-14"/>
          <w:w w:val="105"/>
        </w:rPr>
        <w:t> </w:t>
      </w:r>
      <w:r>
        <w:rPr>
          <w:color w:val="231F20"/>
          <w:w w:val="105"/>
        </w:rPr>
        <w:t>20</w:t>
      </w:r>
      <w:r>
        <w:rPr>
          <w:color w:val="231F20"/>
          <w:spacing w:val="-14"/>
          <w:w w:val="105"/>
        </w:rPr>
        <w:t> </w:t>
      </w:r>
      <w:r>
        <w:rPr>
          <w:color w:val="231F20"/>
          <w:w w:val="105"/>
        </w:rPr>
        <w:t>Estados,</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objetivo</w:t>
      </w:r>
      <w:r>
        <w:rPr>
          <w:color w:val="231F20"/>
          <w:spacing w:val="-14"/>
          <w:w w:val="105"/>
        </w:rPr>
        <w:t> </w:t>
      </w:r>
      <w:r>
        <w:rPr>
          <w:color w:val="231F20"/>
          <w:w w:val="105"/>
        </w:rPr>
        <w:t>de</w:t>
      </w:r>
      <w:r>
        <w:rPr>
          <w:color w:val="231F20"/>
          <w:spacing w:val="-14"/>
          <w:w w:val="105"/>
        </w:rPr>
        <w:t> </w:t>
      </w:r>
      <w:r>
        <w:rPr>
          <w:color w:val="231F20"/>
          <w:w w:val="105"/>
        </w:rPr>
        <w:t>recuperar</w:t>
      </w:r>
      <w:r>
        <w:rPr>
          <w:color w:val="231F20"/>
          <w:spacing w:val="-14"/>
          <w:w w:val="105"/>
        </w:rPr>
        <w:t> </w:t>
      </w:r>
      <w:r>
        <w:rPr>
          <w:color w:val="231F20"/>
          <w:w w:val="105"/>
        </w:rPr>
        <w:t>el</w:t>
      </w:r>
      <w:r>
        <w:rPr>
          <w:color w:val="231F20"/>
          <w:spacing w:val="-14"/>
          <w:w w:val="105"/>
        </w:rPr>
        <w:t> </w:t>
      </w:r>
      <w:r>
        <w:rPr>
          <w:color w:val="231F20"/>
          <w:w w:val="105"/>
        </w:rPr>
        <w:t>registro,</w:t>
      </w:r>
      <w:r>
        <w:rPr>
          <w:color w:val="231F20"/>
          <w:spacing w:val="-14"/>
          <w:w w:val="105"/>
        </w:rPr>
        <w:t> </w:t>
      </w:r>
      <w:r>
        <w:rPr>
          <w:color w:val="231F20"/>
          <w:w w:val="105"/>
        </w:rPr>
        <w:t>y</w:t>
      </w:r>
      <w:r>
        <w:rPr>
          <w:color w:val="231F20"/>
          <w:spacing w:val="-14"/>
          <w:w w:val="105"/>
        </w:rPr>
        <w:t> </w:t>
      </w:r>
      <w:r>
        <w:rPr>
          <w:color w:val="231F20"/>
          <w:w w:val="105"/>
        </w:rPr>
        <w:t>esto</w:t>
      </w:r>
      <w:r>
        <w:rPr>
          <w:color w:val="231F20"/>
          <w:spacing w:val="-14"/>
          <w:w w:val="105"/>
        </w:rPr>
        <w:t> </w:t>
      </w:r>
      <w:r>
        <w:rPr>
          <w:color w:val="231F20"/>
          <w:w w:val="105"/>
        </w:rPr>
        <w:t>se</w:t>
      </w:r>
      <w:r>
        <w:rPr>
          <w:color w:val="231F20"/>
          <w:spacing w:val="-14"/>
          <w:w w:val="105"/>
        </w:rPr>
        <w:t> </w:t>
      </w:r>
      <w:r>
        <w:rPr>
          <w:color w:val="231F20"/>
          <w:w w:val="105"/>
        </w:rPr>
        <w:t>logró</w:t>
      </w:r>
      <w:r>
        <w:rPr>
          <w:color w:val="231F20"/>
          <w:spacing w:val="-14"/>
          <w:w w:val="105"/>
        </w:rPr>
        <w:t> </w:t>
      </w:r>
      <w:r>
        <w:rPr>
          <w:color w:val="231F20"/>
          <w:w w:val="105"/>
        </w:rPr>
        <w:t>el</w:t>
      </w:r>
      <w:r>
        <w:rPr>
          <w:color w:val="231F20"/>
          <w:spacing w:val="-14"/>
          <w:w w:val="105"/>
        </w:rPr>
        <w:t> </w:t>
      </w:r>
      <w:r>
        <w:rPr>
          <w:color w:val="231F20"/>
          <w:w w:val="105"/>
        </w:rPr>
        <w:t>13 de</w:t>
      </w:r>
      <w:r>
        <w:rPr>
          <w:color w:val="231F20"/>
          <w:spacing w:val="-9"/>
          <w:w w:val="105"/>
        </w:rPr>
        <w:t> </w:t>
      </w:r>
      <w:r>
        <w:rPr>
          <w:color w:val="231F20"/>
          <w:w w:val="105"/>
        </w:rPr>
        <w:t>enero</w:t>
      </w:r>
      <w:r>
        <w:rPr>
          <w:color w:val="231F20"/>
          <w:spacing w:val="-9"/>
          <w:w w:val="105"/>
        </w:rPr>
        <w:t> </w:t>
      </w:r>
      <w:r>
        <w:rPr>
          <w:color w:val="231F20"/>
          <w:w w:val="105"/>
        </w:rPr>
        <w:t>de</w:t>
      </w:r>
      <w:r>
        <w:rPr>
          <w:color w:val="231F20"/>
          <w:spacing w:val="-9"/>
          <w:w w:val="105"/>
        </w:rPr>
        <w:t> </w:t>
      </w:r>
      <w:r>
        <w:rPr>
          <w:color w:val="231F20"/>
          <w:w w:val="105"/>
        </w:rPr>
        <w:t>1992,</w:t>
      </w:r>
      <w:r>
        <w:rPr>
          <w:color w:val="231F20"/>
          <w:spacing w:val="-9"/>
          <w:w w:val="105"/>
        </w:rPr>
        <w:t> </w:t>
      </w:r>
      <w:r>
        <w:rPr>
          <w:color w:val="231F20"/>
          <w:w w:val="105"/>
        </w:rPr>
        <w:t>cuando</w:t>
      </w:r>
      <w:r>
        <w:rPr>
          <w:color w:val="231F20"/>
          <w:spacing w:val="-9"/>
          <w:w w:val="105"/>
        </w:rPr>
        <w:t> </w:t>
      </w:r>
      <w:r>
        <w:rPr>
          <w:color w:val="231F20"/>
          <w:w w:val="105"/>
        </w:rPr>
        <w:t>por</w:t>
      </w:r>
      <w:r>
        <w:rPr>
          <w:color w:val="231F20"/>
          <w:spacing w:val="-9"/>
          <w:w w:val="105"/>
        </w:rPr>
        <w:t> </w:t>
      </w:r>
      <w:r>
        <w:rPr>
          <w:color w:val="231F20"/>
          <w:w w:val="105"/>
        </w:rPr>
        <w:t>resolución</w:t>
      </w:r>
      <w:r>
        <w:rPr>
          <w:color w:val="231F20"/>
          <w:spacing w:val="-9"/>
          <w:w w:val="105"/>
        </w:rPr>
        <w:t> </w:t>
      </w:r>
      <w:r>
        <w:rPr>
          <w:color w:val="231F20"/>
          <w:w w:val="105"/>
        </w:rPr>
        <w:t>del</w:t>
      </w:r>
      <w:r>
        <w:rPr>
          <w:color w:val="231F20"/>
          <w:spacing w:val="-9"/>
          <w:w w:val="105"/>
        </w:rPr>
        <w:t> </w:t>
      </w:r>
      <w:r>
        <w:rPr>
          <w:color w:val="231F20"/>
          <w:w w:val="105"/>
        </w:rPr>
        <w:t>Instituto</w:t>
      </w:r>
      <w:r>
        <w:rPr>
          <w:color w:val="231F20"/>
          <w:spacing w:val="-9"/>
          <w:w w:val="105"/>
        </w:rPr>
        <w:t> </w:t>
      </w:r>
      <w:r>
        <w:rPr>
          <w:color w:val="231F20"/>
          <w:w w:val="105"/>
        </w:rPr>
        <w:t>Federal</w:t>
      </w:r>
      <w:r>
        <w:rPr>
          <w:color w:val="231F20"/>
          <w:spacing w:val="-9"/>
          <w:w w:val="105"/>
        </w:rPr>
        <w:t> </w:t>
      </w:r>
      <w:r>
        <w:rPr>
          <w:color w:val="231F20"/>
          <w:w w:val="105"/>
        </w:rPr>
        <w:t>Electoral</w:t>
      </w:r>
      <w:r>
        <w:rPr>
          <w:color w:val="231F20"/>
          <w:spacing w:val="-9"/>
          <w:w w:val="105"/>
        </w:rPr>
        <w:t> </w:t>
      </w:r>
      <w:r>
        <w:rPr>
          <w:color w:val="231F20"/>
          <w:spacing w:val="-2"/>
          <w:w w:val="105"/>
        </w:rPr>
        <w:t>otorgó</w:t>
      </w:r>
      <w:r>
        <w:rPr>
          <w:color w:val="231F20"/>
          <w:spacing w:val="-9"/>
          <w:w w:val="105"/>
        </w:rPr>
        <w:t> </w:t>
      </w:r>
      <w:r>
        <w:rPr>
          <w:color w:val="231F20"/>
          <w:w w:val="105"/>
        </w:rPr>
        <w:t>el registro</w:t>
      </w:r>
      <w:r>
        <w:rPr>
          <w:color w:val="231F20"/>
          <w:spacing w:val="-24"/>
          <w:w w:val="105"/>
        </w:rPr>
        <w:t> </w:t>
      </w:r>
      <w:r>
        <w:rPr>
          <w:color w:val="231F20"/>
          <w:w w:val="105"/>
        </w:rPr>
        <w:t>definitivo”</w:t>
      </w:r>
      <w:r>
        <w:rPr>
          <w:color w:val="231F20"/>
          <w:spacing w:val="-24"/>
          <w:w w:val="105"/>
        </w:rPr>
        <w:t> </w:t>
      </w:r>
      <w:r>
        <w:rPr>
          <w:color w:val="231F20"/>
          <w:spacing w:val="-6"/>
          <w:w w:val="105"/>
        </w:rPr>
        <w:t>(PT,</w:t>
      </w:r>
      <w:r>
        <w:rPr>
          <w:color w:val="231F20"/>
          <w:spacing w:val="-24"/>
          <w:w w:val="105"/>
        </w:rPr>
        <w:t> </w:t>
      </w:r>
      <w:r>
        <w:rPr>
          <w:color w:val="231F20"/>
          <w:spacing w:val="3"/>
          <w:w w:val="105"/>
        </w:rPr>
        <w:t>2000a:</w:t>
      </w:r>
      <w:r>
        <w:rPr>
          <w:color w:val="231F20"/>
          <w:spacing w:val="-24"/>
          <w:w w:val="105"/>
        </w:rPr>
        <w:t> </w:t>
      </w:r>
      <w:r>
        <w:rPr>
          <w:color w:val="231F20"/>
          <w:w w:val="105"/>
        </w:rPr>
        <w:t>Documento</w:t>
      </w:r>
      <w:r>
        <w:rPr>
          <w:color w:val="231F20"/>
          <w:spacing w:val="-24"/>
          <w:w w:val="105"/>
        </w:rPr>
        <w:t> </w:t>
      </w:r>
      <w:r>
        <w:rPr>
          <w:color w:val="231F20"/>
          <w:w w:val="105"/>
        </w:rPr>
        <w:t>en</w:t>
      </w:r>
      <w:r>
        <w:rPr>
          <w:color w:val="231F20"/>
          <w:spacing w:val="-24"/>
          <w:w w:val="105"/>
        </w:rPr>
        <w:t> </w:t>
      </w:r>
      <w:r>
        <w:rPr>
          <w:color w:val="231F20"/>
          <w:w w:val="105"/>
        </w:rPr>
        <w:t>línea).</w:t>
      </w:r>
    </w:p>
    <w:p>
      <w:pPr>
        <w:pStyle w:val="BodyText"/>
        <w:spacing w:before="1"/>
        <w:rPr>
          <w:sz w:val="26"/>
        </w:rPr>
      </w:pPr>
    </w:p>
    <w:p>
      <w:pPr>
        <w:pStyle w:val="BodyText"/>
        <w:ind w:left="110"/>
        <w:jc w:val="both"/>
      </w:pPr>
      <w:r>
        <w:rPr>
          <w:color w:val="231F20"/>
        </w:rPr>
        <w:t>En las elecciones de 1994 el PT obtuvo sus primeros  escaños:</w:t>
      </w:r>
    </w:p>
    <w:p>
      <w:pPr>
        <w:pStyle w:val="BodyText"/>
        <w:spacing w:line="285" w:lineRule="auto" w:before="47"/>
        <w:ind w:left="677" w:right="108"/>
        <w:jc w:val="both"/>
      </w:pPr>
      <w:r>
        <w:rPr>
          <w:color w:val="231F20"/>
          <w:w w:val="105"/>
        </w:rPr>
        <w:t>…</w:t>
      </w:r>
      <w:r>
        <w:rPr>
          <w:color w:val="231F20"/>
          <w:spacing w:val="-14"/>
          <w:w w:val="105"/>
        </w:rPr>
        <w:t> </w:t>
      </w:r>
      <w:r>
        <w:rPr>
          <w:color w:val="231F20"/>
          <w:w w:val="105"/>
        </w:rPr>
        <w:t>mientras</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1994</w:t>
      </w:r>
      <w:r>
        <w:rPr>
          <w:color w:val="231F20"/>
          <w:spacing w:val="-14"/>
          <w:w w:val="105"/>
        </w:rPr>
        <w:t> </w:t>
      </w:r>
      <w:r>
        <w:rPr>
          <w:color w:val="231F20"/>
          <w:w w:val="105"/>
        </w:rPr>
        <w:t>se</w:t>
      </w:r>
      <w:r>
        <w:rPr>
          <w:color w:val="231F20"/>
          <w:spacing w:val="-14"/>
          <w:w w:val="105"/>
        </w:rPr>
        <w:t> </w:t>
      </w:r>
      <w:r>
        <w:rPr>
          <w:color w:val="231F20"/>
          <w:w w:val="105"/>
        </w:rPr>
        <w:t>logró</w:t>
      </w:r>
      <w:r>
        <w:rPr>
          <w:color w:val="231F20"/>
          <w:spacing w:val="-14"/>
          <w:w w:val="105"/>
        </w:rPr>
        <w:t> </w:t>
      </w:r>
      <w:r>
        <w:rPr>
          <w:color w:val="231F20"/>
          <w:w w:val="105"/>
        </w:rPr>
        <w:t>un</w:t>
      </w:r>
      <w:r>
        <w:rPr>
          <w:color w:val="231F20"/>
          <w:spacing w:val="-14"/>
          <w:w w:val="105"/>
        </w:rPr>
        <w:t> </w:t>
      </w:r>
      <w:r>
        <w:rPr>
          <w:color w:val="231F20"/>
          <w:w w:val="105"/>
        </w:rPr>
        <w:t>espacio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Cámara</w:t>
      </w:r>
      <w:r>
        <w:rPr>
          <w:color w:val="231F20"/>
          <w:spacing w:val="-14"/>
          <w:w w:val="105"/>
        </w:rPr>
        <w:t> </w:t>
      </w:r>
      <w:r>
        <w:rPr>
          <w:color w:val="231F20"/>
          <w:w w:val="105"/>
        </w:rPr>
        <w:t>de</w:t>
      </w:r>
      <w:r>
        <w:rPr>
          <w:color w:val="231F20"/>
          <w:spacing w:val="-14"/>
          <w:w w:val="105"/>
        </w:rPr>
        <w:t> </w:t>
      </w:r>
      <w:r>
        <w:rPr>
          <w:color w:val="231F20"/>
          <w:w w:val="105"/>
        </w:rPr>
        <w:t>Diputados,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ac- tualidad</w:t>
      </w:r>
      <w:r>
        <w:rPr>
          <w:color w:val="231F20"/>
          <w:spacing w:val="-18"/>
          <w:w w:val="105"/>
        </w:rPr>
        <w:t> </w:t>
      </w:r>
      <w:r>
        <w:rPr>
          <w:color w:val="231F20"/>
          <w:w w:val="105"/>
        </w:rPr>
        <w:t>la</w:t>
      </w:r>
      <w:r>
        <w:rPr>
          <w:color w:val="231F20"/>
          <w:spacing w:val="-18"/>
          <w:w w:val="105"/>
        </w:rPr>
        <w:t> </w:t>
      </w:r>
      <w:r>
        <w:rPr>
          <w:color w:val="231F20"/>
          <w:w w:val="105"/>
        </w:rPr>
        <w:t>fracción</w:t>
      </w:r>
      <w:r>
        <w:rPr>
          <w:color w:val="231F20"/>
          <w:spacing w:val="-18"/>
          <w:w w:val="105"/>
        </w:rPr>
        <w:t> </w:t>
      </w:r>
      <w:r>
        <w:rPr>
          <w:color w:val="231F20"/>
          <w:w w:val="105"/>
        </w:rPr>
        <w:t>Parlamentaria</w:t>
      </w:r>
      <w:r>
        <w:rPr>
          <w:color w:val="231F20"/>
          <w:spacing w:val="-18"/>
          <w:w w:val="105"/>
        </w:rPr>
        <w:t> </w:t>
      </w:r>
      <w:r>
        <w:rPr>
          <w:color w:val="231F20"/>
          <w:w w:val="105"/>
        </w:rPr>
        <w:t>del</w:t>
      </w:r>
      <w:r>
        <w:rPr>
          <w:color w:val="231F20"/>
          <w:spacing w:val="-18"/>
          <w:w w:val="105"/>
        </w:rPr>
        <w:t> </w:t>
      </w:r>
      <w:r>
        <w:rPr>
          <w:color w:val="231F20"/>
          <w:w w:val="105"/>
        </w:rPr>
        <w:t>PT</w:t>
      </w:r>
      <w:r>
        <w:rPr>
          <w:color w:val="231F20"/>
          <w:spacing w:val="-18"/>
          <w:w w:val="105"/>
        </w:rPr>
        <w:t> </w:t>
      </w:r>
      <w:r>
        <w:rPr>
          <w:color w:val="231F20"/>
          <w:w w:val="105"/>
        </w:rPr>
        <w:t>la</w:t>
      </w:r>
      <w:r>
        <w:rPr>
          <w:color w:val="231F20"/>
          <w:spacing w:val="-18"/>
          <w:w w:val="105"/>
        </w:rPr>
        <w:t> </w:t>
      </w:r>
      <w:r>
        <w:rPr>
          <w:color w:val="231F20"/>
          <w:w w:val="105"/>
        </w:rPr>
        <w:t>conforman</w:t>
      </w:r>
      <w:r>
        <w:rPr>
          <w:color w:val="231F20"/>
          <w:spacing w:val="-18"/>
          <w:w w:val="105"/>
        </w:rPr>
        <w:t> </w:t>
      </w:r>
      <w:r>
        <w:rPr>
          <w:color w:val="231F20"/>
          <w:w w:val="105"/>
        </w:rPr>
        <w:t>12</w:t>
      </w:r>
      <w:r>
        <w:rPr>
          <w:color w:val="231F20"/>
          <w:spacing w:val="-18"/>
          <w:w w:val="105"/>
        </w:rPr>
        <w:t> </w:t>
      </w:r>
      <w:r>
        <w:rPr>
          <w:color w:val="231F20"/>
          <w:w w:val="105"/>
        </w:rPr>
        <w:t>legisladores,</w:t>
      </w:r>
      <w:r>
        <w:rPr>
          <w:color w:val="231F20"/>
          <w:spacing w:val="-18"/>
          <w:w w:val="105"/>
        </w:rPr>
        <w:t> </w:t>
      </w:r>
      <w:r>
        <w:rPr>
          <w:color w:val="231F20"/>
          <w:w w:val="105"/>
        </w:rPr>
        <w:t>asimismo cuenta</w:t>
      </w:r>
      <w:r>
        <w:rPr>
          <w:color w:val="231F20"/>
          <w:spacing w:val="-14"/>
          <w:w w:val="105"/>
        </w:rPr>
        <w:t> </w:t>
      </w:r>
      <w:r>
        <w:rPr>
          <w:color w:val="231F20"/>
          <w:w w:val="105"/>
        </w:rPr>
        <w:t>con</w:t>
      </w:r>
      <w:r>
        <w:rPr>
          <w:color w:val="231F20"/>
          <w:spacing w:val="-14"/>
          <w:w w:val="105"/>
        </w:rPr>
        <w:t> </w:t>
      </w:r>
      <w:r>
        <w:rPr>
          <w:color w:val="231F20"/>
          <w:w w:val="105"/>
        </w:rPr>
        <w:t>Fracción</w:t>
      </w:r>
      <w:r>
        <w:rPr>
          <w:color w:val="231F20"/>
          <w:spacing w:val="-14"/>
          <w:w w:val="105"/>
        </w:rPr>
        <w:t> </w:t>
      </w:r>
      <w:r>
        <w:rPr>
          <w:color w:val="231F20"/>
          <w:w w:val="105"/>
        </w:rPr>
        <w:t>Parlamentaria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Senado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República,</w:t>
      </w:r>
      <w:r>
        <w:rPr>
          <w:color w:val="231F20"/>
          <w:spacing w:val="-14"/>
          <w:w w:val="105"/>
        </w:rPr>
        <w:t> </w:t>
      </w:r>
      <w:r>
        <w:rPr>
          <w:color w:val="231F20"/>
          <w:w w:val="105"/>
        </w:rPr>
        <w:t>Diputados</w:t>
      </w:r>
      <w:r>
        <w:rPr>
          <w:color w:val="231F20"/>
          <w:spacing w:val="-14"/>
          <w:w w:val="105"/>
        </w:rPr>
        <w:t> </w:t>
      </w:r>
      <w:r>
        <w:rPr>
          <w:color w:val="231F20"/>
          <w:w w:val="105"/>
        </w:rPr>
        <w:t>en</w:t>
      </w:r>
      <w:r>
        <w:rPr>
          <w:color w:val="231F20"/>
          <w:spacing w:val="-14"/>
          <w:w w:val="105"/>
        </w:rPr>
        <w:t> </w:t>
      </w:r>
      <w:r>
        <w:rPr>
          <w:color w:val="231F20"/>
          <w:w w:val="105"/>
        </w:rPr>
        <w:t>la mayor</w:t>
      </w:r>
      <w:r>
        <w:rPr>
          <w:color w:val="231F20"/>
          <w:spacing w:val="-21"/>
          <w:w w:val="105"/>
        </w:rPr>
        <w:t> </w:t>
      </w:r>
      <w:r>
        <w:rPr>
          <w:color w:val="231F20"/>
          <w:w w:val="105"/>
        </w:rPr>
        <w:t>parte</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Congresos</w:t>
      </w:r>
      <w:r>
        <w:rPr>
          <w:color w:val="231F20"/>
          <w:spacing w:val="-21"/>
          <w:w w:val="105"/>
        </w:rPr>
        <w:t> </w:t>
      </w:r>
      <w:r>
        <w:rPr>
          <w:color w:val="231F20"/>
          <w:w w:val="105"/>
        </w:rPr>
        <w:t>Estatales,</w:t>
      </w:r>
      <w:r>
        <w:rPr>
          <w:color w:val="231F20"/>
          <w:spacing w:val="-21"/>
          <w:w w:val="105"/>
        </w:rPr>
        <w:t> </w:t>
      </w:r>
      <w:r>
        <w:rPr>
          <w:color w:val="231F20"/>
          <w:w w:val="105"/>
        </w:rPr>
        <w:t>y</w:t>
      </w:r>
      <w:r>
        <w:rPr>
          <w:color w:val="231F20"/>
          <w:spacing w:val="-21"/>
          <w:w w:val="105"/>
        </w:rPr>
        <w:t> </w:t>
      </w:r>
      <w:r>
        <w:rPr>
          <w:color w:val="231F20"/>
          <w:w w:val="105"/>
        </w:rPr>
        <w:t>gobierna</w:t>
      </w:r>
      <w:r>
        <w:rPr>
          <w:color w:val="231F20"/>
          <w:spacing w:val="-21"/>
          <w:w w:val="105"/>
        </w:rPr>
        <w:t> </w:t>
      </w:r>
      <w:r>
        <w:rPr>
          <w:color w:val="231F20"/>
          <w:w w:val="105"/>
        </w:rPr>
        <w:t>en</w:t>
      </w:r>
      <w:r>
        <w:rPr>
          <w:color w:val="231F20"/>
          <w:spacing w:val="-21"/>
          <w:w w:val="105"/>
        </w:rPr>
        <w:t> </w:t>
      </w:r>
      <w:r>
        <w:rPr>
          <w:color w:val="231F20"/>
          <w:w w:val="105"/>
        </w:rPr>
        <w:t>varios</w:t>
      </w:r>
      <w:r>
        <w:rPr>
          <w:color w:val="231F20"/>
          <w:spacing w:val="-21"/>
          <w:w w:val="105"/>
        </w:rPr>
        <w:t> </w:t>
      </w:r>
      <w:r>
        <w:rPr>
          <w:color w:val="231F20"/>
          <w:w w:val="105"/>
        </w:rPr>
        <w:t>municipios,</w:t>
      </w:r>
      <w:r>
        <w:rPr>
          <w:color w:val="231F20"/>
          <w:spacing w:val="-21"/>
          <w:w w:val="105"/>
        </w:rPr>
        <w:t> </w:t>
      </w:r>
      <w:r>
        <w:rPr>
          <w:color w:val="231F20"/>
          <w:w w:val="105"/>
        </w:rPr>
        <w:t>también</w:t>
      </w:r>
    </w:p>
    <w:p>
      <w:pPr>
        <w:spacing w:after="0" w:line="285" w:lineRule="auto"/>
        <w:jc w:val="both"/>
        <w:sectPr>
          <w:footerReference w:type="default" r:id="rId1152"/>
          <w:pgSz w:w="9640" w:h="12190"/>
          <w:pgMar w:footer="743" w:header="0" w:top="1120" w:bottom="940" w:left="740" w:right="740"/>
          <w:pgNumType w:start="450"/>
        </w:sectPr>
      </w:pPr>
    </w:p>
    <w:p>
      <w:pPr>
        <w:pStyle w:val="BodyText"/>
        <w:spacing w:before="3"/>
        <w:rPr>
          <w:sz w:val="11"/>
        </w:rPr>
      </w:pPr>
    </w:p>
    <w:p>
      <w:pPr>
        <w:pStyle w:val="BodyText"/>
        <w:spacing w:line="285" w:lineRule="auto" w:before="36"/>
        <w:ind w:left="677" w:right="108"/>
        <w:jc w:val="both"/>
      </w:pPr>
      <w:r>
        <w:rPr>
          <w:color w:val="231F20"/>
          <w:w w:val="105"/>
        </w:rPr>
        <w:t>está</w:t>
      </w:r>
      <w:r>
        <w:rPr>
          <w:color w:val="231F20"/>
          <w:spacing w:val="-19"/>
          <w:w w:val="105"/>
        </w:rPr>
        <w:t> </w:t>
      </w:r>
      <w:r>
        <w:rPr>
          <w:color w:val="231F20"/>
          <w:w w:val="105"/>
        </w:rPr>
        <w:t>presente</w:t>
      </w:r>
      <w:r>
        <w:rPr>
          <w:color w:val="231F20"/>
          <w:spacing w:val="-19"/>
          <w:w w:val="105"/>
        </w:rPr>
        <w:t> </w:t>
      </w:r>
      <w:r>
        <w:rPr>
          <w:color w:val="231F20"/>
          <w:w w:val="105"/>
        </w:rPr>
        <w:t>en</w:t>
      </w:r>
      <w:r>
        <w:rPr>
          <w:color w:val="231F20"/>
          <w:spacing w:val="-19"/>
          <w:w w:val="105"/>
        </w:rPr>
        <w:t> </w:t>
      </w:r>
      <w:r>
        <w:rPr>
          <w:color w:val="231F20"/>
          <w:w w:val="105"/>
        </w:rPr>
        <w:t>casi</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Ayuntamientos</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19"/>
          <w:w w:val="105"/>
        </w:rPr>
        <w:t> </w:t>
      </w:r>
      <w:r>
        <w:rPr>
          <w:color w:val="231F20"/>
          <w:spacing w:val="-6"/>
          <w:w w:val="105"/>
        </w:rPr>
        <w:t>(PT,</w:t>
      </w:r>
      <w:r>
        <w:rPr>
          <w:color w:val="231F20"/>
          <w:spacing w:val="-19"/>
          <w:w w:val="105"/>
        </w:rPr>
        <w:t> </w:t>
      </w:r>
      <w:r>
        <w:rPr>
          <w:color w:val="231F20"/>
          <w:spacing w:val="3"/>
          <w:w w:val="105"/>
        </w:rPr>
        <w:t>2000a:</w:t>
      </w:r>
      <w:r>
        <w:rPr>
          <w:color w:val="231F20"/>
          <w:spacing w:val="-19"/>
          <w:w w:val="105"/>
        </w:rPr>
        <w:t> </w:t>
      </w:r>
      <w:r>
        <w:rPr>
          <w:color w:val="231F20"/>
          <w:w w:val="105"/>
        </w:rPr>
        <w:t>Documento en</w:t>
      </w:r>
      <w:r>
        <w:rPr>
          <w:color w:val="231F20"/>
          <w:spacing w:val="-38"/>
          <w:w w:val="105"/>
        </w:rPr>
        <w:t> </w:t>
      </w:r>
      <w:r>
        <w:rPr>
          <w:color w:val="231F20"/>
          <w:w w:val="105"/>
        </w:rPr>
        <w:t>línea).</w:t>
      </w:r>
    </w:p>
    <w:p>
      <w:pPr>
        <w:pStyle w:val="BodyText"/>
        <w:spacing w:before="1"/>
        <w:rPr>
          <w:sz w:val="26"/>
        </w:rPr>
      </w:pPr>
    </w:p>
    <w:p>
      <w:pPr>
        <w:pStyle w:val="BodyText"/>
        <w:spacing w:line="285" w:lineRule="auto"/>
        <w:ind w:left="110" w:right="108"/>
        <w:jc w:val="both"/>
      </w:pPr>
      <w:r>
        <w:rPr>
          <w:color w:val="231F20"/>
        </w:rPr>
        <w:t>En su declaración de principios, el PT postula la idea de la necesidad del desarrollo so- cial a través del esfuerzo laboral, y al mismo tiempo ver a la sociedad como el elemento primordial para llevar a cabo sus   actividades:</w:t>
      </w:r>
    </w:p>
    <w:p>
      <w:pPr>
        <w:pStyle w:val="BodyText"/>
        <w:spacing w:line="285" w:lineRule="auto" w:before="1"/>
        <w:ind w:left="677" w:right="107"/>
        <w:jc w:val="both"/>
      </w:pPr>
      <w:r>
        <w:rPr>
          <w:color w:val="231F20"/>
        </w:rPr>
        <w:t>“El objetivo es lograr una sociedad justa, equitativa y democrática basada en el trabajo emancipado, o sea que el trabajo beneficie a quienes lo realizan. El prin- cipio central del Partido del </w:t>
      </w:r>
      <w:r>
        <w:rPr>
          <w:color w:val="231F20"/>
          <w:spacing w:val="-3"/>
        </w:rPr>
        <w:t>Trabajo, </w:t>
      </w:r>
      <w:r>
        <w:rPr>
          <w:color w:val="231F20"/>
        </w:rPr>
        <w:t>es </w:t>
      </w:r>
      <w:r>
        <w:rPr>
          <w:color w:val="231F20"/>
          <w:spacing w:val="2"/>
        </w:rPr>
        <w:t>servir al </w:t>
      </w:r>
      <w:r>
        <w:rPr>
          <w:color w:val="231F20"/>
        </w:rPr>
        <w:t>pueblo, y para ello tiene como  base de sus principios la Línea de Masas, que obliga a desarrollar la capacidad del pueblo a </w:t>
      </w:r>
      <w:r>
        <w:rPr>
          <w:color w:val="231F20"/>
          <w:spacing w:val="-3"/>
        </w:rPr>
        <w:t>decidir”(PT, </w:t>
      </w:r>
      <w:r>
        <w:rPr>
          <w:color w:val="231F20"/>
          <w:spacing w:val="2"/>
        </w:rPr>
        <w:t>2000b: </w:t>
      </w:r>
      <w:r>
        <w:rPr>
          <w:color w:val="231F20"/>
        </w:rPr>
        <w:t>Documento en </w:t>
      </w:r>
      <w:r>
        <w:rPr>
          <w:color w:val="231F20"/>
          <w:spacing w:val="43"/>
        </w:rPr>
        <w:t> </w:t>
      </w:r>
      <w:r>
        <w:rPr>
          <w:color w:val="231F20"/>
        </w:rPr>
        <w:t>línea).</w:t>
      </w:r>
    </w:p>
    <w:p>
      <w:pPr>
        <w:pStyle w:val="BodyText"/>
        <w:spacing w:before="1"/>
        <w:rPr>
          <w:sz w:val="26"/>
        </w:rPr>
      </w:pPr>
    </w:p>
    <w:p>
      <w:pPr>
        <w:pStyle w:val="BodyText"/>
        <w:spacing w:line="285" w:lineRule="auto"/>
        <w:ind w:left="110" w:right="108"/>
        <w:jc w:val="both"/>
      </w:pPr>
      <w:r>
        <w:rPr>
          <w:color w:val="231F20"/>
          <w:w w:val="105"/>
        </w:rPr>
        <w:t>Ello</w:t>
      </w:r>
      <w:r>
        <w:rPr>
          <w:color w:val="231F20"/>
          <w:spacing w:val="-14"/>
          <w:w w:val="105"/>
        </w:rPr>
        <w:t> </w:t>
      </w:r>
      <w:r>
        <w:rPr>
          <w:color w:val="231F20"/>
          <w:spacing w:val="-3"/>
          <w:w w:val="105"/>
        </w:rPr>
        <w:t>nos</w:t>
      </w:r>
      <w:r>
        <w:rPr>
          <w:color w:val="231F20"/>
          <w:spacing w:val="-14"/>
          <w:w w:val="105"/>
        </w:rPr>
        <w:t> </w:t>
      </w:r>
      <w:r>
        <w:rPr>
          <w:color w:val="231F20"/>
          <w:w w:val="105"/>
        </w:rPr>
        <w:t>da</w:t>
      </w:r>
      <w:r>
        <w:rPr>
          <w:color w:val="231F20"/>
          <w:spacing w:val="-14"/>
          <w:w w:val="105"/>
        </w:rPr>
        <w:t> </w:t>
      </w:r>
      <w:r>
        <w:rPr>
          <w:color w:val="231F20"/>
          <w:w w:val="105"/>
        </w:rPr>
        <w:t>la</w:t>
      </w:r>
      <w:r>
        <w:rPr>
          <w:color w:val="231F20"/>
          <w:spacing w:val="-14"/>
          <w:w w:val="105"/>
        </w:rPr>
        <w:t> </w:t>
      </w:r>
      <w:r>
        <w:rPr>
          <w:color w:val="231F20"/>
          <w:spacing w:val="-3"/>
          <w:w w:val="105"/>
        </w:rPr>
        <w:t>idea</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Partido</w:t>
      </w:r>
      <w:r>
        <w:rPr>
          <w:color w:val="231F20"/>
          <w:spacing w:val="-14"/>
          <w:w w:val="105"/>
        </w:rPr>
        <w:t> </w:t>
      </w:r>
      <w:r>
        <w:rPr>
          <w:color w:val="231F20"/>
          <w:w w:val="105"/>
        </w:rPr>
        <w:t>de</w:t>
      </w:r>
      <w:r>
        <w:rPr>
          <w:color w:val="231F20"/>
          <w:spacing w:val="-14"/>
          <w:w w:val="105"/>
        </w:rPr>
        <w:t> </w:t>
      </w:r>
      <w:r>
        <w:rPr>
          <w:color w:val="231F20"/>
          <w:w w:val="105"/>
        </w:rPr>
        <w:t>izquierda,</w:t>
      </w:r>
      <w:r>
        <w:rPr>
          <w:color w:val="231F20"/>
          <w:spacing w:val="-14"/>
          <w:w w:val="105"/>
        </w:rPr>
        <w:t> </w:t>
      </w:r>
      <w:r>
        <w:rPr>
          <w:color w:val="231F20"/>
          <w:spacing w:val="-4"/>
          <w:w w:val="105"/>
        </w:rPr>
        <w:t>comprometido</w:t>
      </w:r>
      <w:r>
        <w:rPr>
          <w:color w:val="231F20"/>
          <w:spacing w:val="-14"/>
          <w:w w:val="105"/>
        </w:rPr>
        <w:t> </w:t>
      </w:r>
      <w:r>
        <w:rPr>
          <w:color w:val="231F20"/>
          <w:spacing w:val="-3"/>
          <w:w w:val="105"/>
        </w:rPr>
        <w:t>con</w:t>
      </w:r>
      <w:r>
        <w:rPr>
          <w:color w:val="231F20"/>
          <w:spacing w:val="-14"/>
          <w:w w:val="105"/>
        </w:rPr>
        <w:t> </w:t>
      </w:r>
      <w:r>
        <w:rPr>
          <w:color w:val="231F20"/>
          <w:w w:val="105"/>
        </w:rPr>
        <w:t>las</w:t>
      </w:r>
      <w:r>
        <w:rPr>
          <w:color w:val="231F20"/>
          <w:spacing w:val="-14"/>
          <w:w w:val="105"/>
        </w:rPr>
        <w:t> </w:t>
      </w:r>
      <w:r>
        <w:rPr>
          <w:color w:val="231F20"/>
          <w:w w:val="105"/>
        </w:rPr>
        <w:t>causas</w:t>
      </w:r>
      <w:r>
        <w:rPr>
          <w:color w:val="231F20"/>
          <w:spacing w:val="-14"/>
          <w:w w:val="105"/>
        </w:rPr>
        <w:t> </w:t>
      </w:r>
      <w:r>
        <w:rPr>
          <w:color w:val="231F20"/>
          <w:w w:val="105"/>
        </w:rPr>
        <w:t>sociales</w:t>
      </w:r>
      <w:r>
        <w:rPr>
          <w:color w:val="231F20"/>
          <w:spacing w:val="-14"/>
          <w:w w:val="105"/>
        </w:rPr>
        <w:t> </w:t>
      </w:r>
      <w:r>
        <w:rPr>
          <w:color w:val="231F20"/>
          <w:w w:val="105"/>
        </w:rPr>
        <w:t>y</w:t>
      </w:r>
      <w:r>
        <w:rPr>
          <w:color w:val="231F20"/>
          <w:spacing w:val="-14"/>
          <w:w w:val="105"/>
        </w:rPr>
        <w:t> </w:t>
      </w:r>
      <w:r>
        <w:rPr>
          <w:color w:val="231F20"/>
          <w:w w:val="105"/>
        </w:rPr>
        <w:t>la </w:t>
      </w:r>
      <w:r>
        <w:rPr>
          <w:color w:val="231F20"/>
          <w:spacing w:val="-4"/>
          <w:w w:val="105"/>
        </w:rPr>
        <w:t>mayor </w:t>
      </w:r>
      <w:r>
        <w:rPr>
          <w:color w:val="231F20"/>
          <w:spacing w:val="-3"/>
          <w:w w:val="105"/>
        </w:rPr>
        <w:t>participación </w:t>
      </w:r>
      <w:r>
        <w:rPr>
          <w:color w:val="231F20"/>
          <w:w w:val="105"/>
        </w:rPr>
        <w:t>de </w:t>
      </w:r>
      <w:r>
        <w:rPr>
          <w:color w:val="231F20"/>
          <w:spacing w:val="-3"/>
          <w:w w:val="105"/>
        </w:rPr>
        <w:t>los ciudadanos </w:t>
      </w:r>
      <w:r>
        <w:rPr>
          <w:color w:val="231F20"/>
          <w:w w:val="105"/>
        </w:rPr>
        <w:t>en la </w:t>
      </w:r>
      <w:r>
        <w:rPr>
          <w:color w:val="231F20"/>
          <w:spacing w:val="-3"/>
          <w:w w:val="105"/>
        </w:rPr>
        <w:t>toma </w:t>
      </w:r>
      <w:r>
        <w:rPr>
          <w:color w:val="231F20"/>
          <w:w w:val="105"/>
        </w:rPr>
        <w:t>de </w:t>
      </w:r>
      <w:r>
        <w:rPr>
          <w:color w:val="231F20"/>
          <w:spacing w:val="-3"/>
          <w:w w:val="105"/>
        </w:rPr>
        <w:t>decisiones. </w:t>
      </w:r>
      <w:r>
        <w:rPr>
          <w:color w:val="231F20"/>
          <w:w w:val="105"/>
        </w:rPr>
        <w:t>La </w:t>
      </w:r>
      <w:r>
        <w:rPr>
          <w:color w:val="231F20"/>
          <w:spacing w:val="-3"/>
          <w:w w:val="105"/>
        </w:rPr>
        <w:t>participación </w:t>
      </w:r>
      <w:r>
        <w:rPr>
          <w:color w:val="231F20"/>
          <w:w w:val="105"/>
        </w:rPr>
        <w:t>social </w:t>
      </w:r>
      <w:r>
        <w:rPr>
          <w:color w:val="231F20"/>
          <w:spacing w:val="-3"/>
          <w:w w:val="105"/>
        </w:rPr>
        <w:t>debe</w:t>
      </w:r>
      <w:r>
        <w:rPr>
          <w:color w:val="231F20"/>
          <w:spacing w:val="-11"/>
          <w:w w:val="105"/>
        </w:rPr>
        <w:t> </w:t>
      </w:r>
      <w:r>
        <w:rPr>
          <w:color w:val="231F20"/>
          <w:spacing w:val="-6"/>
          <w:w w:val="105"/>
        </w:rPr>
        <w:t>ser,</w:t>
      </w:r>
      <w:r>
        <w:rPr>
          <w:color w:val="231F20"/>
          <w:spacing w:val="-11"/>
          <w:w w:val="105"/>
        </w:rPr>
        <w:t> </w:t>
      </w:r>
      <w:r>
        <w:rPr>
          <w:color w:val="231F20"/>
          <w:spacing w:val="-3"/>
          <w:w w:val="105"/>
        </w:rPr>
        <w:t>desde</w:t>
      </w:r>
      <w:r>
        <w:rPr>
          <w:color w:val="231F20"/>
          <w:spacing w:val="-11"/>
          <w:w w:val="105"/>
        </w:rPr>
        <w:t> </w:t>
      </w:r>
      <w:r>
        <w:rPr>
          <w:color w:val="231F20"/>
          <w:w w:val="105"/>
        </w:rPr>
        <w:t>la</w:t>
      </w:r>
      <w:r>
        <w:rPr>
          <w:color w:val="231F20"/>
          <w:spacing w:val="-11"/>
          <w:w w:val="105"/>
        </w:rPr>
        <w:t> </w:t>
      </w:r>
      <w:r>
        <w:rPr>
          <w:color w:val="231F20"/>
          <w:w w:val="105"/>
        </w:rPr>
        <w:t>perspectiva</w:t>
      </w:r>
      <w:r>
        <w:rPr>
          <w:color w:val="231F20"/>
          <w:spacing w:val="-11"/>
          <w:w w:val="105"/>
        </w:rPr>
        <w:t> </w:t>
      </w:r>
      <w:r>
        <w:rPr>
          <w:color w:val="231F20"/>
          <w:spacing w:val="-3"/>
          <w:w w:val="105"/>
        </w:rPr>
        <w:t>del</w:t>
      </w:r>
      <w:r>
        <w:rPr>
          <w:color w:val="231F20"/>
          <w:spacing w:val="-11"/>
          <w:w w:val="105"/>
        </w:rPr>
        <w:t> </w:t>
      </w:r>
      <w:r>
        <w:rPr>
          <w:color w:val="231F20"/>
          <w:spacing w:val="-7"/>
          <w:w w:val="105"/>
        </w:rPr>
        <w:t>PT,</w:t>
      </w:r>
      <w:r>
        <w:rPr>
          <w:color w:val="231F20"/>
          <w:spacing w:val="-11"/>
          <w:w w:val="105"/>
        </w:rPr>
        <w:t> </w:t>
      </w:r>
      <w:r>
        <w:rPr>
          <w:color w:val="231F20"/>
          <w:w w:val="105"/>
        </w:rPr>
        <w:t>mediante</w:t>
      </w:r>
      <w:r>
        <w:rPr>
          <w:color w:val="231F20"/>
          <w:spacing w:val="-11"/>
          <w:w w:val="105"/>
        </w:rPr>
        <w:t> </w:t>
      </w:r>
      <w:r>
        <w:rPr>
          <w:color w:val="231F20"/>
          <w:w w:val="105"/>
        </w:rPr>
        <w:t>la</w:t>
      </w:r>
      <w:r>
        <w:rPr>
          <w:color w:val="231F20"/>
          <w:spacing w:val="-11"/>
          <w:w w:val="105"/>
        </w:rPr>
        <w:t> </w:t>
      </w:r>
      <w:r>
        <w:rPr>
          <w:color w:val="231F20"/>
          <w:spacing w:val="-3"/>
          <w:w w:val="105"/>
        </w:rPr>
        <w:t>denominada</w:t>
      </w:r>
      <w:r>
        <w:rPr>
          <w:color w:val="231F20"/>
          <w:spacing w:val="-11"/>
          <w:w w:val="105"/>
        </w:rPr>
        <w:t> </w:t>
      </w:r>
      <w:r>
        <w:rPr>
          <w:color w:val="231F20"/>
          <w:w w:val="105"/>
        </w:rPr>
        <w:t>“Línea</w:t>
      </w:r>
      <w:r>
        <w:rPr>
          <w:color w:val="231F20"/>
          <w:spacing w:val="-11"/>
          <w:w w:val="105"/>
        </w:rPr>
        <w:t> </w:t>
      </w:r>
      <w:r>
        <w:rPr>
          <w:color w:val="231F20"/>
          <w:w w:val="105"/>
        </w:rPr>
        <w:t>de</w:t>
      </w:r>
      <w:r>
        <w:rPr>
          <w:color w:val="231F20"/>
          <w:spacing w:val="-11"/>
          <w:w w:val="105"/>
        </w:rPr>
        <w:t> </w:t>
      </w:r>
      <w:r>
        <w:rPr>
          <w:color w:val="231F20"/>
          <w:w w:val="105"/>
        </w:rPr>
        <w:t>Masas”</w:t>
      </w:r>
      <w:r>
        <w:rPr>
          <w:color w:val="231F20"/>
          <w:spacing w:val="-11"/>
          <w:w w:val="105"/>
        </w:rPr>
        <w:t> </w:t>
      </w:r>
      <w:r>
        <w:rPr>
          <w:color w:val="231F20"/>
          <w:spacing w:val="-3"/>
          <w:w w:val="105"/>
        </w:rPr>
        <w:t>que</w:t>
      </w:r>
      <w:r>
        <w:rPr>
          <w:color w:val="231F20"/>
          <w:spacing w:val="-11"/>
          <w:w w:val="105"/>
        </w:rPr>
        <w:t> </w:t>
      </w:r>
      <w:r>
        <w:rPr>
          <w:color w:val="231F20"/>
          <w:spacing w:val="-3"/>
          <w:w w:val="105"/>
        </w:rPr>
        <w:t>re- presenta</w:t>
      </w:r>
      <w:r>
        <w:rPr>
          <w:color w:val="231F20"/>
          <w:spacing w:val="-24"/>
          <w:w w:val="105"/>
        </w:rPr>
        <w:t> </w:t>
      </w:r>
      <w:r>
        <w:rPr>
          <w:color w:val="231F20"/>
          <w:w w:val="105"/>
        </w:rPr>
        <w:t>la</w:t>
      </w:r>
      <w:r>
        <w:rPr>
          <w:color w:val="231F20"/>
          <w:spacing w:val="-24"/>
          <w:w w:val="105"/>
        </w:rPr>
        <w:t> </w:t>
      </w:r>
      <w:r>
        <w:rPr>
          <w:color w:val="231F20"/>
          <w:spacing w:val="-3"/>
          <w:w w:val="105"/>
        </w:rPr>
        <w:t>posibilidad</w:t>
      </w:r>
      <w:r>
        <w:rPr>
          <w:color w:val="231F20"/>
          <w:spacing w:val="-24"/>
          <w:w w:val="105"/>
        </w:rPr>
        <w:t> </w:t>
      </w:r>
      <w:r>
        <w:rPr>
          <w:color w:val="231F20"/>
          <w:w w:val="105"/>
        </w:rPr>
        <w:t>de</w:t>
      </w:r>
      <w:r>
        <w:rPr>
          <w:color w:val="231F20"/>
          <w:spacing w:val="-24"/>
          <w:w w:val="105"/>
        </w:rPr>
        <w:t> </w:t>
      </w:r>
      <w:r>
        <w:rPr>
          <w:color w:val="231F20"/>
          <w:w w:val="105"/>
        </w:rPr>
        <w:t>vincular</w:t>
      </w:r>
      <w:r>
        <w:rPr>
          <w:color w:val="231F20"/>
          <w:spacing w:val="-24"/>
          <w:w w:val="105"/>
        </w:rPr>
        <w:t> </w:t>
      </w:r>
      <w:r>
        <w:rPr>
          <w:color w:val="231F20"/>
          <w:w w:val="105"/>
        </w:rPr>
        <w:t>activamente</w:t>
      </w:r>
      <w:r>
        <w:rPr>
          <w:color w:val="231F20"/>
          <w:spacing w:val="-24"/>
          <w:w w:val="105"/>
        </w:rPr>
        <w:t> </w:t>
      </w:r>
      <w:r>
        <w:rPr>
          <w:color w:val="231F20"/>
          <w:w w:val="105"/>
        </w:rPr>
        <w:t>al</w:t>
      </w:r>
      <w:r>
        <w:rPr>
          <w:color w:val="231F20"/>
          <w:spacing w:val="-24"/>
          <w:w w:val="105"/>
        </w:rPr>
        <w:t> </w:t>
      </w:r>
      <w:r>
        <w:rPr>
          <w:color w:val="231F20"/>
          <w:w w:val="105"/>
        </w:rPr>
        <w:t>partido</w:t>
      </w:r>
      <w:r>
        <w:rPr>
          <w:color w:val="231F20"/>
          <w:spacing w:val="-24"/>
          <w:w w:val="105"/>
        </w:rPr>
        <w:t> </w:t>
      </w:r>
      <w:r>
        <w:rPr>
          <w:color w:val="231F20"/>
          <w:spacing w:val="-3"/>
          <w:w w:val="105"/>
        </w:rPr>
        <w:t>con</w:t>
      </w:r>
      <w:r>
        <w:rPr>
          <w:color w:val="231F20"/>
          <w:spacing w:val="-24"/>
          <w:w w:val="105"/>
        </w:rPr>
        <w:t> </w:t>
      </w:r>
      <w:r>
        <w:rPr>
          <w:color w:val="231F20"/>
          <w:w w:val="105"/>
        </w:rPr>
        <w:t>la</w:t>
      </w:r>
      <w:r>
        <w:rPr>
          <w:color w:val="231F20"/>
          <w:spacing w:val="-24"/>
          <w:w w:val="105"/>
        </w:rPr>
        <w:t> </w:t>
      </w:r>
      <w:r>
        <w:rPr>
          <w:color w:val="231F20"/>
          <w:spacing w:val="-3"/>
          <w:w w:val="105"/>
        </w:rPr>
        <w:t>sociedad</w:t>
      </w:r>
      <w:r>
        <w:rPr>
          <w:color w:val="231F20"/>
          <w:spacing w:val="-24"/>
          <w:w w:val="105"/>
        </w:rPr>
        <w:t> </w:t>
      </w:r>
      <w:r>
        <w:rPr>
          <w:color w:val="231F20"/>
          <w:w w:val="105"/>
        </w:rPr>
        <w:t>y</w:t>
      </w:r>
      <w:r>
        <w:rPr>
          <w:color w:val="231F20"/>
          <w:spacing w:val="-24"/>
          <w:w w:val="105"/>
        </w:rPr>
        <w:t> </w:t>
      </w:r>
      <w:r>
        <w:rPr>
          <w:color w:val="231F20"/>
          <w:w w:val="105"/>
        </w:rPr>
        <w:t>lograr</w:t>
      </w:r>
      <w:r>
        <w:rPr>
          <w:color w:val="231F20"/>
          <w:spacing w:val="-24"/>
          <w:w w:val="105"/>
        </w:rPr>
        <w:t> </w:t>
      </w:r>
      <w:r>
        <w:rPr>
          <w:color w:val="231F20"/>
          <w:spacing w:val="-3"/>
          <w:w w:val="105"/>
        </w:rPr>
        <w:t>con</w:t>
      </w:r>
      <w:r>
        <w:rPr>
          <w:color w:val="231F20"/>
          <w:spacing w:val="-24"/>
          <w:w w:val="105"/>
        </w:rPr>
        <w:t> </w:t>
      </w:r>
      <w:r>
        <w:rPr>
          <w:color w:val="231F20"/>
          <w:w w:val="105"/>
        </w:rPr>
        <w:t>ello </w:t>
      </w:r>
      <w:r>
        <w:rPr>
          <w:color w:val="231F20"/>
          <w:spacing w:val="-3"/>
          <w:w w:val="105"/>
        </w:rPr>
        <w:t>los</w:t>
      </w:r>
      <w:r>
        <w:rPr>
          <w:color w:val="231F20"/>
          <w:spacing w:val="-15"/>
          <w:w w:val="105"/>
        </w:rPr>
        <w:t> </w:t>
      </w:r>
      <w:r>
        <w:rPr>
          <w:color w:val="231F20"/>
          <w:spacing w:val="-3"/>
          <w:w w:val="105"/>
        </w:rPr>
        <w:t>objetivos</w:t>
      </w:r>
      <w:r>
        <w:rPr>
          <w:color w:val="231F20"/>
          <w:spacing w:val="-15"/>
          <w:w w:val="105"/>
        </w:rPr>
        <w:t> </w:t>
      </w:r>
      <w:r>
        <w:rPr>
          <w:color w:val="231F20"/>
          <w:spacing w:val="-3"/>
          <w:w w:val="105"/>
        </w:rPr>
        <w:t>comunes</w:t>
      </w:r>
      <w:r>
        <w:rPr>
          <w:color w:val="231F20"/>
          <w:spacing w:val="-15"/>
          <w:w w:val="105"/>
        </w:rPr>
        <w:t> </w:t>
      </w:r>
      <w:r>
        <w:rPr>
          <w:color w:val="231F20"/>
          <w:spacing w:val="-3"/>
          <w:w w:val="105"/>
        </w:rPr>
        <w:t>que</w:t>
      </w:r>
      <w:r>
        <w:rPr>
          <w:color w:val="231F20"/>
          <w:spacing w:val="-15"/>
          <w:w w:val="105"/>
        </w:rPr>
        <w:t> </w:t>
      </w:r>
      <w:r>
        <w:rPr>
          <w:color w:val="231F20"/>
          <w:w w:val="105"/>
        </w:rPr>
        <w:t>contribuyan</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spacing w:val="-3"/>
          <w:w w:val="105"/>
        </w:rPr>
        <w:t>construcción</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spacing w:val="-3"/>
          <w:w w:val="105"/>
        </w:rPr>
        <w:t>sociedad</w:t>
      </w:r>
      <w:r>
        <w:rPr>
          <w:color w:val="231F20"/>
          <w:spacing w:val="-15"/>
          <w:w w:val="105"/>
        </w:rPr>
        <w:t> </w:t>
      </w:r>
      <w:r>
        <w:rPr>
          <w:color w:val="231F20"/>
          <w:w w:val="105"/>
        </w:rPr>
        <w:t>más</w:t>
      </w:r>
      <w:r>
        <w:rPr>
          <w:color w:val="231F20"/>
          <w:spacing w:val="-15"/>
          <w:w w:val="105"/>
        </w:rPr>
        <w:t> </w:t>
      </w:r>
      <w:r>
        <w:rPr>
          <w:color w:val="231F20"/>
          <w:w w:val="105"/>
        </w:rPr>
        <w:t>justa.</w:t>
      </w:r>
    </w:p>
    <w:p>
      <w:pPr>
        <w:pStyle w:val="BodyText"/>
        <w:spacing w:before="1"/>
        <w:rPr>
          <w:sz w:val="26"/>
        </w:rPr>
      </w:pPr>
    </w:p>
    <w:p>
      <w:pPr>
        <w:pStyle w:val="BodyText"/>
        <w:spacing w:line="285" w:lineRule="auto"/>
        <w:ind w:left="677" w:right="108"/>
        <w:jc w:val="both"/>
      </w:pPr>
      <w:r>
        <w:rPr>
          <w:color w:val="231F20"/>
          <w:w w:val="105"/>
        </w:rPr>
        <w:t>“La Línea de </w:t>
      </w:r>
      <w:r>
        <w:rPr>
          <w:color w:val="231F20"/>
          <w:spacing w:val="3"/>
          <w:w w:val="105"/>
        </w:rPr>
        <w:t>Masas </w:t>
      </w:r>
      <w:r>
        <w:rPr>
          <w:color w:val="231F20"/>
          <w:w w:val="105"/>
        </w:rPr>
        <w:t>hace hincapié en la necesidad de </w:t>
      </w:r>
      <w:r>
        <w:rPr>
          <w:color w:val="231F20"/>
          <w:spacing w:val="2"/>
          <w:w w:val="105"/>
        </w:rPr>
        <w:t>desarrollar </w:t>
      </w:r>
      <w:r>
        <w:rPr>
          <w:color w:val="231F20"/>
          <w:w w:val="105"/>
        </w:rPr>
        <w:t>la capacidad de </w:t>
      </w:r>
      <w:r>
        <w:rPr>
          <w:color w:val="231F20"/>
          <w:spacing w:val="2"/>
          <w:w w:val="105"/>
        </w:rPr>
        <w:t>las </w:t>
      </w:r>
      <w:r>
        <w:rPr>
          <w:color w:val="231F20"/>
          <w:spacing w:val="3"/>
          <w:w w:val="105"/>
        </w:rPr>
        <w:t>masas </w:t>
      </w:r>
      <w:r>
        <w:rPr>
          <w:color w:val="231F20"/>
          <w:spacing w:val="2"/>
          <w:w w:val="105"/>
        </w:rPr>
        <w:t>para decidir organizada </w:t>
      </w:r>
      <w:r>
        <w:rPr>
          <w:color w:val="231F20"/>
          <w:w w:val="105"/>
        </w:rPr>
        <w:t>y democráticamente la solución de sus problemas</w:t>
      </w:r>
      <w:r>
        <w:rPr>
          <w:color w:val="231F20"/>
          <w:spacing w:val="-7"/>
          <w:w w:val="105"/>
        </w:rPr>
        <w:t> </w:t>
      </w:r>
      <w:r>
        <w:rPr>
          <w:color w:val="231F20"/>
          <w:w w:val="105"/>
        </w:rPr>
        <w:t>concretos</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conducción</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luchas</w:t>
      </w:r>
      <w:r>
        <w:rPr>
          <w:color w:val="231F20"/>
          <w:spacing w:val="-7"/>
          <w:w w:val="105"/>
        </w:rPr>
        <w:t> </w:t>
      </w:r>
      <w:r>
        <w:rPr>
          <w:color w:val="231F20"/>
          <w:spacing w:val="2"/>
          <w:w w:val="105"/>
        </w:rPr>
        <w:t>sociales”</w:t>
      </w:r>
      <w:r>
        <w:rPr>
          <w:color w:val="231F20"/>
          <w:spacing w:val="-7"/>
          <w:w w:val="105"/>
        </w:rPr>
        <w:t> </w:t>
      </w:r>
      <w:r>
        <w:rPr>
          <w:color w:val="231F20"/>
          <w:spacing w:val="-4"/>
          <w:w w:val="105"/>
        </w:rPr>
        <w:t>(PT,</w:t>
      </w:r>
      <w:r>
        <w:rPr>
          <w:color w:val="231F20"/>
          <w:spacing w:val="-7"/>
          <w:w w:val="105"/>
        </w:rPr>
        <w:t> </w:t>
      </w:r>
      <w:r>
        <w:rPr>
          <w:color w:val="231F20"/>
          <w:spacing w:val="4"/>
          <w:w w:val="105"/>
        </w:rPr>
        <w:t>2000b:</w:t>
      </w:r>
      <w:r>
        <w:rPr>
          <w:color w:val="231F20"/>
          <w:spacing w:val="-7"/>
          <w:w w:val="105"/>
        </w:rPr>
        <w:t> </w:t>
      </w:r>
      <w:r>
        <w:rPr>
          <w:color w:val="231F20"/>
          <w:w w:val="105"/>
        </w:rPr>
        <w:t>Docu- mento en</w:t>
      </w:r>
      <w:r>
        <w:rPr>
          <w:color w:val="231F20"/>
          <w:spacing w:val="-1"/>
          <w:w w:val="105"/>
        </w:rPr>
        <w:t> </w:t>
      </w:r>
      <w:r>
        <w:rPr>
          <w:color w:val="231F20"/>
          <w:w w:val="105"/>
        </w:rPr>
        <w:t>línea).</w:t>
      </w:r>
    </w:p>
    <w:p>
      <w:pPr>
        <w:pStyle w:val="BodyText"/>
        <w:spacing w:before="1"/>
        <w:rPr>
          <w:sz w:val="26"/>
        </w:rPr>
      </w:pPr>
    </w:p>
    <w:p>
      <w:pPr>
        <w:pStyle w:val="BodyText"/>
        <w:spacing w:line="285" w:lineRule="auto"/>
        <w:ind w:left="110" w:right="108"/>
        <w:jc w:val="both"/>
      </w:pPr>
      <w:r>
        <w:rPr>
          <w:color w:val="231F20"/>
          <w:w w:val="105"/>
        </w:rPr>
        <w:t>Con ello, se puede apreciar la importancia que el PT otorga a la organización y mo- vilización social. Lo relevante es sin duda, la posibilidad de que la sociedad participe activamente</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solución</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problemas</w:t>
      </w:r>
      <w:r>
        <w:rPr>
          <w:color w:val="231F20"/>
          <w:spacing w:val="-17"/>
          <w:w w:val="105"/>
        </w:rPr>
        <w:t> </w:t>
      </w:r>
      <w:r>
        <w:rPr>
          <w:color w:val="231F20"/>
          <w:w w:val="105"/>
        </w:rPr>
        <w:t>junto</w:t>
      </w:r>
      <w:r>
        <w:rPr>
          <w:color w:val="231F20"/>
          <w:spacing w:val="-17"/>
          <w:w w:val="105"/>
        </w:rPr>
        <w:t> </w:t>
      </w:r>
      <w:r>
        <w:rPr>
          <w:color w:val="231F20"/>
          <w:spacing w:val="2"/>
          <w:w w:val="105"/>
        </w:rPr>
        <w:t>al</w:t>
      </w:r>
      <w:r>
        <w:rPr>
          <w:color w:val="231F20"/>
          <w:spacing w:val="-17"/>
          <w:w w:val="105"/>
        </w:rPr>
        <w:t> </w:t>
      </w:r>
      <w:r>
        <w:rPr>
          <w:color w:val="231F20"/>
          <w:w w:val="105"/>
        </w:rPr>
        <w:t>gobierno;</w:t>
      </w:r>
      <w:r>
        <w:rPr>
          <w:color w:val="231F20"/>
          <w:spacing w:val="-17"/>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tanto,</w:t>
      </w:r>
      <w:r>
        <w:rPr>
          <w:color w:val="231F20"/>
          <w:spacing w:val="-17"/>
          <w:w w:val="105"/>
        </w:rPr>
        <w:t> </w:t>
      </w:r>
      <w:r>
        <w:rPr>
          <w:color w:val="231F20"/>
          <w:w w:val="105"/>
        </w:rPr>
        <w:t>la</w:t>
      </w:r>
      <w:r>
        <w:rPr>
          <w:color w:val="231F20"/>
          <w:spacing w:val="-17"/>
          <w:w w:val="105"/>
        </w:rPr>
        <w:t> </w:t>
      </w:r>
      <w:r>
        <w:rPr>
          <w:color w:val="231F20"/>
          <w:w w:val="105"/>
        </w:rPr>
        <w:t>iniciativa popular</w:t>
      </w:r>
      <w:r>
        <w:rPr>
          <w:color w:val="231F20"/>
          <w:spacing w:val="-11"/>
          <w:w w:val="105"/>
        </w:rPr>
        <w:t> </w:t>
      </w:r>
      <w:r>
        <w:rPr>
          <w:color w:val="231F20"/>
          <w:w w:val="105"/>
        </w:rPr>
        <w:t>debería</w:t>
      </w:r>
      <w:r>
        <w:rPr>
          <w:color w:val="231F20"/>
          <w:spacing w:val="-11"/>
          <w:w w:val="105"/>
        </w:rPr>
        <w:t> </w:t>
      </w:r>
      <w:r>
        <w:rPr>
          <w:color w:val="231F20"/>
          <w:w w:val="105"/>
        </w:rPr>
        <w:t>ser</w:t>
      </w:r>
      <w:r>
        <w:rPr>
          <w:color w:val="231F20"/>
          <w:spacing w:val="-11"/>
          <w:w w:val="105"/>
        </w:rPr>
        <w:t> </w:t>
      </w:r>
      <w:r>
        <w:rPr>
          <w:color w:val="231F20"/>
          <w:w w:val="105"/>
        </w:rPr>
        <w:t>un</w:t>
      </w:r>
      <w:r>
        <w:rPr>
          <w:color w:val="231F20"/>
          <w:spacing w:val="-11"/>
          <w:w w:val="105"/>
        </w:rPr>
        <w:t> </w:t>
      </w:r>
      <w:r>
        <w:rPr>
          <w:color w:val="231F20"/>
          <w:w w:val="105"/>
        </w:rPr>
        <w:t>instrumento</w:t>
      </w:r>
      <w:r>
        <w:rPr>
          <w:color w:val="231F20"/>
          <w:spacing w:val="-11"/>
          <w:w w:val="105"/>
        </w:rPr>
        <w:t> </w:t>
      </w:r>
      <w:r>
        <w:rPr>
          <w:color w:val="231F20"/>
          <w:w w:val="105"/>
        </w:rPr>
        <w:t>fundamental</w:t>
      </w:r>
      <w:r>
        <w:rPr>
          <w:color w:val="231F20"/>
          <w:spacing w:val="-11"/>
          <w:w w:val="105"/>
        </w:rPr>
        <w:t> </w:t>
      </w:r>
      <w:r>
        <w:rPr>
          <w:color w:val="231F20"/>
          <w:w w:val="105"/>
        </w:rPr>
        <w:t>en</w:t>
      </w:r>
      <w:r>
        <w:rPr>
          <w:color w:val="231F20"/>
          <w:spacing w:val="-11"/>
          <w:w w:val="105"/>
        </w:rPr>
        <w:t> </w:t>
      </w:r>
      <w:r>
        <w:rPr>
          <w:color w:val="231F20"/>
          <w:w w:val="105"/>
        </w:rPr>
        <w:t>cualquier</w:t>
      </w:r>
      <w:r>
        <w:rPr>
          <w:color w:val="231F20"/>
          <w:spacing w:val="-11"/>
          <w:w w:val="105"/>
        </w:rPr>
        <w:t> </w:t>
      </w:r>
      <w:r>
        <w:rPr>
          <w:color w:val="231F20"/>
          <w:w w:val="105"/>
        </w:rPr>
        <w:t>gobierno</w:t>
      </w:r>
      <w:r>
        <w:rPr>
          <w:color w:val="231F20"/>
          <w:spacing w:val="-11"/>
          <w:w w:val="105"/>
        </w:rPr>
        <w:t> </w:t>
      </w:r>
      <w:r>
        <w:rPr>
          <w:color w:val="231F20"/>
          <w:w w:val="105"/>
        </w:rPr>
        <w:t>encabezado</w:t>
      </w:r>
      <w:r>
        <w:rPr>
          <w:color w:val="231F20"/>
          <w:spacing w:val="-11"/>
          <w:w w:val="105"/>
        </w:rPr>
        <w:t> </w:t>
      </w:r>
      <w:r>
        <w:rPr>
          <w:color w:val="231F20"/>
          <w:w w:val="105"/>
        </w:rPr>
        <w:t>por el</w:t>
      </w:r>
      <w:r>
        <w:rPr>
          <w:color w:val="231F20"/>
          <w:spacing w:val="-18"/>
          <w:w w:val="105"/>
        </w:rPr>
        <w:t> </w:t>
      </w:r>
      <w:r>
        <w:rPr>
          <w:color w:val="231F20"/>
          <w:spacing w:val="-5"/>
          <w:w w:val="105"/>
        </w:rPr>
        <w:t>PT.</w:t>
      </w:r>
      <w:r>
        <w:rPr>
          <w:color w:val="231F20"/>
          <w:spacing w:val="-18"/>
          <w:w w:val="105"/>
        </w:rPr>
        <w:t> </w:t>
      </w:r>
      <w:r>
        <w:rPr>
          <w:color w:val="231F20"/>
          <w:w w:val="105"/>
        </w:rPr>
        <w:t>Con</w:t>
      </w:r>
      <w:r>
        <w:rPr>
          <w:color w:val="231F20"/>
          <w:spacing w:val="-18"/>
          <w:w w:val="105"/>
        </w:rPr>
        <w:t> </w:t>
      </w:r>
      <w:r>
        <w:rPr>
          <w:color w:val="231F20"/>
          <w:w w:val="105"/>
        </w:rPr>
        <w:t>ello</w:t>
      </w:r>
      <w:r>
        <w:rPr>
          <w:color w:val="231F20"/>
          <w:spacing w:val="-18"/>
          <w:w w:val="105"/>
        </w:rPr>
        <w:t> </w:t>
      </w:r>
      <w:r>
        <w:rPr>
          <w:color w:val="231F20"/>
          <w:w w:val="105"/>
        </w:rPr>
        <w:t>la</w:t>
      </w:r>
      <w:r>
        <w:rPr>
          <w:color w:val="231F20"/>
          <w:spacing w:val="-18"/>
          <w:w w:val="105"/>
        </w:rPr>
        <w:t> </w:t>
      </w:r>
      <w:r>
        <w:rPr>
          <w:color w:val="231F20"/>
          <w:w w:val="105"/>
        </w:rPr>
        <w:t>democracia</w:t>
      </w:r>
      <w:r>
        <w:rPr>
          <w:color w:val="231F20"/>
          <w:spacing w:val="-18"/>
          <w:w w:val="105"/>
        </w:rPr>
        <w:t> </w:t>
      </w:r>
      <w:r>
        <w:rPr>
          <w:color w:val="231F20"/>
          <w:w w:val="105"/>
        </w:rPr>
        <w:t>debería</w:t>
      </w:r>
      <w:r>
        <w:rPr>
          <w:color w:val="231F20"/>
          <w:spacing w:val="-18"/>
          <w:w w:val="105"/>
        </w:rPr>
        <w:t> </w:t>
      </w:r>
      <w:r>
        <w:rPr>
          <w:color w:val="231F20"/>
          <w:w w:val="105"/>
        </w:rPr>
        <w:t>de</w:t>
      </w:r>
      <w:r>
        <w:rPr>
          <w:color w:val="231F20"/>
          <w:spacing w:val="-18"/>
          <w:w w:val="105"/>
        </w:rPr>
        <w:t> </w:t>
      </w:r>
      <w:r>
        <w:rPr>
          <w:color w:val="231F20"/>
          <w:w w:val="105"/>
        </w:rPr>
        <w:t>fortalecerse:</w:t>
      </w:r>
    </w:p>
    <w:p>
      <w:pPr>
        <w:pStyle w:val="BodyText"/>
        <w:spacing w:line="285" w:lineRule="auto" w:before="1"/>
        <w:ind w:left="677" w:right="108"/>
        <w:jc w:val="both"/>
      </w:pPr>
      <w:r>
        <w:rPr>
          <w:color w:val="231F20"/>
          <w:w w:val="105"/>
        </w:rPr>
        <w:t>“La democracia directa y centralizada es la base de la autonomía popular cuyas organizaciones</w:t>
      </w:r>
      <w:r>
        <w:rPr>
          <w:color w:val="231F20"/>
          <w:spacing w:val="-7"/>
          <w:w w:val="105"/>
        </w:rPr>
        <w:t> </w:t>
      </w:r>
      <w:r>
        <w:rPr>
          <w:color w:val="231F20"/>
          <w:w w:val="105"/>
        </w:rPr>
        <w:t>se</w:t>
      </w:r>
      <w:r>
        <w:rPr>
          <w:color w:val="231F20"/>
          <w:spacing w:val="-7"/>
          <w:w w:val="105"/>
        </w:rPr>
        <w:t> </w:t>
      </w:r>
      <w:r>
        <w:rPr>
          <w:color w:val="231F20"/>
          <w:w w:val="105"/>
        </w:rPr>
        <w:t>mantendrán</w:t>
      </w:r>
      <w:r>
        <w:rPr>
          <w:color w:val="231F20"/>
          <w:spacing w:val="-7"/>
          <w:w w:val="105"/>
        </w:rPr>
        <w:t> </w:t>
      </w:r>
      <w:r>
        <w:rPr>
          <w:color w:val="231F20"/>
          <w:w w:val="105"/>
        </w:rPr>
        <w:t>autónomas</w:t>
      </w:r>
      <w:r>
        <w:rPr>
          <w:color w:val="231F20"/>
          <w:spacing w:val="-7"/>
          <w:w w:val="105"/>
        </w:rPr>
        <w:t> </w:t>
      </w:r>
      <w:r>
        <w:rPr>
          <w:color w:val="231F20"/>
          <w:w w:val="105"/>
        </w:rPr>
        <w:t>respecto</w:t>
      </w:r>
      <w:r>
        <w:rPr>
          <w:color w:val="231F20"/>
          <w:spacing w:val="-7"/>
          <w:w w:val="105"/>
        </w:rPr>
        <w:t> </w:t>
      </w:r>
      <w:r>
        <w:rPr>
          <w:color w:val="231F20"/>
          <w:w w:val="105"/>
        </w:rPr>
        <w:t>a</w:t>
      </w:r>
      <w:r>
        <w:rPr>
          <w:color w:val="231F20"/>
          <w:spacing w:val="-7"/>
          <w:w w:val="105"/>
        </w:rPr>
        <w:t> </w:t>
      </w:r>
      <w:r>
        <w:rPr>
          <w:color w:val="231F20"/>
          <w:w w:val="105"/>
        </w:rPr>
        <w:t>cualquier</w:t>
      </w:r>
      <w:r>
        <w:rPr>
          <w:color w:val="231F20"/>
          <w:spacing w:val="-7"/>
          <w:w w:val="105"/>
        </w:rPr>
        <w:t> </w:t>
      </w:r>
      <w:r>
        <w:rPr>
          <w:color w:val="231F20"/>
          <w:w w:val="105"/>
        </w:rPr>
        <w:t>partido</w:t>
      </w:r>
      <w:r>
        <w:rPr>
          <w:color w:val="231F20"/>
          <w:spacing w:val="-7"/>
          <w:w w:val="105"/>
        </w:rPr>
        <w:t> </w:t>
      </w:r>
      <w:r>
        <w:rPr>
          <w:color w:val="231F20"/>
          <w:w w:val="105"/>
        </w:rPr>
        <w:t>o</w:t>
      </w:r>
      <w:r>
        <w:rPr>
          <w:color w:val="231F20"/>
          <w:spacing w:val="-7"/>
          <w:w w:val="105"/>
        </w:rPr>
        <w:t> </w:t>
      </w:r>
      <w:r>
        <w:rPr>
          <w:color w:val="231F20"/>
          <w:spacing w:val="2"/>
          <w:w w:val="105"/>
        </w:rPr>
        <w:t>al</w:t>
      </w:r>
      <w:r>
        <w:rPr>
          <w:color w:val="231F20"/>
          <w:spacing w:val="-7"/>
          <w:w w:val="105"/>
        </w:rPr>
        <w:t> </w:t>
      </w:r>
      <w:r>
        <w:rPr>
          <w:color w:val="231F20"/>
          <w:w w:val="105"/>
        </w:rPr>
        <w:t>Esta- do,</w:t>
      </w:r>
      <w:r>
        <w:rPr>
          <w:color w:val="231F20"/>
          <w:spacing w:val="-6"/>
          <w:w w:val="105"/>
        </w:rPr>
        <w:t> </w:t>
      </w:r>
      <w:r>
        <w:rPr>
          <w:color w:val="231F20"/>
          <w:w w:val="105"/>
        </w:rPr>
        <w:t>aún</w:t>
      </w:r>
      <w:r>
        <w:rPr>
          <w:color w:val="231F20"/>
          <w:spacing w:val="-6"/>
          <w:w w:val="105"/>
        </w:rPr>
        <w:t> </w:t>
      </w:r>
      <w:r>
        <w:rPr>
          <w:color w:val="231F20"/>
          <w:w w:val="105"/>
        </w:rPr>
        <w:t>después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conquista</w:t>
      </w:r>
      <w:r>
        <w:rPr>
          <w:color w:val="231F20"/>
          <w:spacing w:val="-6"/>
          <w:w w:val="105"/>
        </w:rPr>
        <w:t> </w:t>
      </w:r>
      <w:r>
        <w:rPr>
          <w:color w:val="231F20"/>
          <w:w w:val="105"/>
        </w:rPr>
        <w:t>del</w:t>
      </w:r>
      <w:r>
        <w:rPr>
          <w:color w:val="231F20"/>
          <w:spacing w:val="-6"/>
          <w:w w:val="105"/>
        </w:rPr>
        <w:t> </w:t>
      </w:r>
      <w:r>
        <w:rPr>
          <w:color w:val="231F20"/>
          <w:w w:val="105"/>
        </w:rPr>
        <w:t>poder</w:t>
      </w:r>
      <w:r>
        <w:rPr>
          <w:color w:val="231F20"/>
          <w:spacing w:val="-6"/>
          <w:w w:val="105"/>
        </w:rPr>
        <w:t> </w:t>
      </w:r>
      <w:r>
        <w:rPr>
          <w:color w:val="231F20"/>
          <w:w w:val="105"/>
        </w:rPr>
        <w:t>político</w:t>
      </w:r>
      <w:r>
        <w:rPr>
          <w:color w:val="231F20"/>
          <w:spacing w:val="-6"/>
          <w:w w:val="105"/>
        </w:rPr>
        <w:t> </w:t>
      </w:r>
      <w:r>
        <w:rPr>
          <w:color w:val="231F20"/>
          <w:w w:val="105"/>
        </w:rPr>
        <w:t>nacional</w:t>
      </w:r>
      <w:r>
        <w:rPr>
          <w:color w:val="231F20"/>
          <w:spacing w:val="-6"/>
          <w:w w:val="105"/>
        </w:rPr>
        <w:t> </w:t>
      </w:r>
      <w:r>
        <w:rPr>
          <w:color w:val="231F20"/>
          <w:w w:val="105"/>
        </w:rPr>
        <w:t>y</w:t>
      </w:r>
      <w:r>
        <w:rPr>
          <w:color w:val="231F20"/>
          <w:spacing w:val="-6"/>
          <w:w w:val="105"/>
        </w:rPr>
        <w:t> </w:t>
      </w:r>
      <w:r>
        <w:rPr>
          <w:color w:val="231F20"/>
          <w:w w:val="105"/>
        </w:rPr>
        <w:t>así,</w:t>
      </w:r>
      <w:r>
        <w:rPr>
          <w:color w:val="231F20"/>
          <w:spacing w:val="-6"/>
          <w:w w:val="105"/>
        </w:rPr>
        <w:t> </w:t>
      </w:r>
      <w:r>
        <w:rPr>
          <w:color w:val="231F20"/>
          <w:w w:val="105"/>
        </w:rPr>
        <w:t>no</w:t>
      </w:r>
      <w:r>
        <w:rPr>
          <w:color w:val="231F20"/>
          <w:spacing w:val="-6"/>
          <w:w w:val="105"/>
        </w:rPr>
        <w:t> </w:t>
      </w:r>
      <w:r>
        <w:rPr>
          <w:color w:val="231F20"/>
          <w:w w:val="105"/>
        </w:rPr>
        <w:t>arrancarle</w:t>
      </w:r>
      <w:r>
        <w:rPr>
          <w:color w:val="231F20"/>
          <w:spacing w:val="-6"/>
          <w:w w:val="105"/>
        </w:rPr>
        <w:t> </w:t>
      </w:r>
      <w:r>
        <w:rPr>
          <w:color w:val="231F20"/>
          <w:w w:val="105"/>
        </w:rPr>
        <w:t>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w w:val="105"/>
        </w:rPr>
        <w:t>las masas su papel histórico de transformación revolucionaria” (PT, 2000b: Do- cumento en línea).</w:t>
      </w:r>
    </w:p>
    <w:p>
      <w:pPr>
        <w:pStyle w:val="BodyText"/>
        <w:spacing w:before="1"/>
        <w:rPr>
          <w:sz w:val="26"/>
        </w:rPr>
      </w:pPr>
    </w:p>
    <w:p>
      <w:pPr>
        <w:pStyle w:val="BodyText"/>
        <w:spacing w:line="285" w:lineRule="auto"/>
        <w:ind w:left="110" w:right="108"/>
        <w:jc w:val="both"/>
      </w:pPr>
      <w:r>
        <w:rPr>
          <w:color w:val="231F20"/>
          <w:w w:val="105"/>
        </w:rPr>
        <w:t>El</w:t>
      </w:r>
      <w:r>
        <w:rPr>
          <w:color w:val="231F20"/>
          <w:spacing w:val="-7"/>
          <w:w w:val="105"/>
        </w:rPr>
        <w:t> </w:t>
      </w:r>
      <w:r>
        <w:rPr>
          <w:color w:val="231F20"/>
          <w:w w:val="105"/>
        </w:rPr>
        <w:t>PT</w:t>
      </w:r>
      <w:r>
        <w:rPr>
          <w:color w:val="231F20"/>
          <w:spacing w:val="-6"/>
          <w:w w:val="105"/>
        </w:rPr>
        <w:t> </w:t>
      </w:r>
      <w:r>
        <w:rPr>
          <w:color w:val="231F20"/>
          <w:w w:val="105"/>
        </w:rPr>
        <w:t>busca</w:t>
      </w:r>
      <w:r>
        <w:rPr>
          <w:color w:val="231F20"/>
          <w:spacing w:val="-6"/>
          <w:w w:val="105"/>
        </w:rPr>
        <w:t> </w:t>
      </w:r>
      <w:r>
        <w:rPr>
          <w:color w:val="231F20"/>
          <w:w w:val="105"/>
        </w:rPr>
        <w:t>entonces,</w:t>
      </w:r>
      <w:r>
        <w:rPr>
          <w:color w:val="231F20"/>
          <w:spacing w:val="-6"/>
          <w:w w:val="105"/>
        </w:rPr>
        <w:t> </w:t>
      </w:r>
      <w:r>
        <w:rPr>
          <w:color w:val="231F20"/>
          <w:w w:val="105"/>
        </w:rPr>
        <w:t>de</w:t>
      </w:r>
      <w:r>
        <w:rPr>
          <w:color w:val="231F20"/>
          <w:spacing w:val="-7"/>
          <w:w w:val="105"/>
        </w:rPr>
        <w:t> </w:t>
      </w:r>
      <w:r>
        <w:rPr>
          <w:color w:val="231F20"/>
          <w:w w:val="105"/>
        </w:rPr>
        <w:t>acuerdo</w:t>
      </w:r>
      <w:r>
        <w:rPr>
          <w:color w:val="231F20"/>
          <w:spacing w:val="-7"/>
          <w:w w:val="105"/>
        </w:rPr>
        <w:t> </w:t>
      </w:r>
      <w:r>
        <w:rPr>
          <w:color w:val="231F20"/>
          <w:w w:val="105"/>
        </w:rPr>
        <w:t>con</w:t>
      </w:r>
      <w:r>
        <w:rPr>
          <w:color w:val="231F20"/>
          <w:spacing w:val="-7"/>
          <w:w w:val="105"/>
        </w:rPr>
        <w:t> </w:t>
      </w:r>
      <w:r>
        <w:rPr>
          <w:color w:val="231F20"/>
          <w:w w:val="105"/>
        </w:rPr>
        <w:t>lo</w:t>
      </w:r>
      <w:r>
        <w:rPr>
          <w:color w:val="231F20"/>
          <w:spacing w:val="-6"/>
          <w:w w:val="105"/>
        </w:rPr>
        <w:t> </w:t>
      </w:r>
      <w:r>
        <w:rPr>
          <w:color w:val="231F20"/>
          <w:spacing w:val="-3"/>
          <w:w w:val="105"/>
        </w:rPr>
        <w:t>anterior,</w:t>
      </w:r>
      <w:r>
        <w:rPr>
          <w:color w:val="231F20"/>
          <w:spacing w:val="-6"/>
          <w:w w:val="105"/>
        </w:rPr>
        <w:t> </w:t>
      </w:r>
      <w:r>
        <w:rPr>
          <w:color w:val="231F20"/>
          <w:w w:val="105"/>
        </w:rPr>
        <w:t>una</w:t>
      </w:r>
      <w:r>
        <w:rPr>
          <w:color w:val="231F20"/>
          <w:spacing w:val="-7"/>
          <w:w w:val="105"/>
        </w:rPr>
        <w:t> </w:t>
      </w:r>
      <w:r>
        <w:rPr>
          <w:color w:val="231F20"/>
          <w:w w:val="105"/>
        </w:rPr>
        <w:t>transformación</w:t>
      </w:r>
      <w:r>
        <w:rPr>
          <w:color w:val="231F20"/>
          <w:spacing w:val="-7"/>
          <w:w w:val="105"/>
        </w:rPr>
        <w:t> </w:t>
      </w:r>
      <w:r>
        <w:rPr>
          <w:color w:val="231F20"/>
          <w:w w:val="105"/>
        </w:rPr>
        <w:t>del</w:t>
      </w:r>
      <w:r>
        <w:rPr>
          <w:color w:val="231F20"/>
          <w:spacing w:val="-6"/>
          <w:w w:val="105"/>
        </w:rPr>
        <w:t> </w:t>
      </w:r>
      <w:r>
        <w:rPr>
          <w:color w:val="231F20"/>
          <w:w w:val="105"/>
        </w:rPr>
        <w:t>país</w:t>
      </w:r>
      <w:r>
        <w:rPr>
          <w:color w:val="231F20"/>
          <w:spacing w:val="-6"/>
          <w:w w:val="105"/>
        </w:rPr>
        <w:t> </w:t>
      </w:r>
      <w:r>
        <w:rPr>
          <w:color w:val="231F20"/>
          <w:spacing w:val="-3"/>
          <w:w w:val="105"/>
        </w:rPr>
        <w:t>donde</w:t>
      </w:r>
      <w:r>
        <w:rPr>
          <w:color w:val="231F20"/>
          <w:spacing w:val="-6"/>
          <w:w w:val="105"/>
        </w:rPr>
        <w:t> </w:t>
      </w:r>
      <w:r>
        <w:rPr>
          <w:color w:val="231F20"/>
          <w:w w:val="105"/>
        </w:rPr>
        <w:t>la sociedad sea el principal </w:t>
      </w:r>
      <w:r>
        <w:rPr>
          <w:color w:val="231F20"/>
          <w:spacing w:val="-2"/>
          <w:w w:val="105"/>
        </w:rPr>
        <w:t>actor. </w:t>
      </w:r>
      <w:r>
        <w:rPr>
          <w:color w:val="231F20"/>
          <w:spacing w:val="-3"/>
          <w:w w:val="105"/>
        </w:rPr>
        <w:t>Por </w:t>
      </w:r>
      <w:r>
        <w:rPr>
          <w:color w:val="231F20"/>
          <w:w w:val="105"/>
        </w:rPr>
        <w:t>ello, la consecuencia lógica en el accionar de cual- quier</w:t>
      </w:r>
      <w:r>
        <w:rPr>
          <w:color w:val="231F20"/>
          <w:spacing w:val="-20"/>
          <w:w w:val="105"/>
        </w:rPr>
        <w:t> </w:t>
      </w:r>
      <w:r>
        <w:rPr>
          <w:color w:val="231F20"/>
          <w:w w:val="105"/>
        </w:rPr>
        <w:t>servidor</w:t>
      </w:r>
      <w:r>
        <w:rPr>
          <w:color w:val="231F20"/>
          <w:spacing w:val="-20"/>
          <w:w w:val="105"/>
        </w:rPr>
        <w:t> </w:t>
      </w:r>
      <w:r>
        <w:rPr>
          <w:color w:val="231F20"/>
          <w:w w:val="105"/>
        </w:rPr>
        <w:t>público</w:t>
      </w:r>
      <w:r>
        <w:rPr>
          <w:color w:val="231F20"/>
          <w:spacing w:val="-20"/>
          <w:w w:val="105"/>
        </w:rPr>
        <w:t> </w:t>
      </w:r>
      <w:r>
        <w:rPr>
          <w:color w:val="231F20"/>
          <w:w w:val="105"/>
        </w:rPr>
        <w:t>proveniente</w:t>
      </w:r>
      <w:r>
        <w:rPr>
          <w:color w:val="231F20"/>
          <w:spacing w:val="-20"/>
          <w:w w:val="105"/>
        </w:rPr>
        <w:t> </w:t>
      </w:r>
      <w:r>
        <w:rPr>
          <w:color w:val="231F20"/>
          <w:w w:val="105"/>
        </w:rPr>
        <w:t>del</w:t>
      </w:r>
      <w:r>
        <w:rPr>
          <w:color w:val="231F20"/>
          <w:spacing w:val="-20"/>
          <w:w w:val="105"/>
        </w:rPr>
        <w:t> </w:t>
      </w:r>
      <w:r>
        <w:rPr>
          <w:color w:val="231F20"/>
          <w:spacing w:val="-6"/>
          <w:w w:val="105"/>
        </w:rPr>
        <w:t>PT,</w:t>
      </w:r>
      <w:r>
        <w:rPr>
          <w:color w:val="231F20"/>
          <w:spacing w:val="-20"/>
          <w:w w:val="105"/>
        </w:rPr>
        <w:t> </w:t>
      </w:r>
      <w:r>
        <w:rPr>
          <w:color w:val="231F20"/>
          <w:w w:val="105"/>
        </w:rPr>
        <w:t>sería</w:t>
      </w:r>
      <w:r>
        <w:rPr>
          <w:color w:val="231F20"/>
          <w:spacing w:val="-20"/>
          <w:w w:val="105"/>
        </w:rPr>
        <w:t> </w:t>
      </w:r>
      <w:r>
        <w:rPr>
          <w:color w:val="231F20"/>
          <w:w w:val="105"/>
        </w:rPr>
        <w:t>la</w:t>
      </w:r>
      <w:r>
        <w:rPr>
          <w:color w:val="231F20"/>
          <w:spacing w:val="-20"/>
          <w:w w:val="105"/>
        </w:rPr>
        <w:t> </w:t>
      </w:r>
      <w:r>
        <w:rPr>
          <w:color w:val="231F20"/>
          <w:w w:val="105"/>
        </w:rPr>
        <w:t>de</w:t>
      </w:r>
      <w:r>
        <w:rPr>
          <w:color w:val="231F20"/>
          <w:spacing w:val="-20"/>
          <w:w w:val="105"/>
        </w:rPr>
        <w:t> </w:t>
      </w:r>
      <w:r>
        <w:rPr>
          <w:color w:val="231F20"/>
          <w:spacing w:val="2"/>
          <w:w w:val="105"/>
        </w:rPr>
        <w:t>servir</w:t>
      </w:r>
      <w:r>
        <w:rPr>
          <w:color w:val="231F20"/>
          <w:spacing w:val="-20"/>
          <w:w w:val="105"/>
        </w:rPr>
        <w:t> </w:t>
      </w:r>
      <w:r>
        <w:rPr>
          <w:color w:val="231F20"/>
          <w:spacing w:val="2"/>
          <w:w w:val="105"/>
        </w:rPr>
        <w:t>al</w:t>
      </w:r>
      <w:r>
        <w:rPr>
          <w:color w:val="231F20"/>
          <w:spacing w:val="-20"/>
          <w:w w:val="105"/>
        </w:rPr>
        <w:t> </w:t>
      </w:r>
      <w:r>
        <w:rPr>
          <w:color w:val="231F20"/>
          <w:w w:val="105"/>
        </w:rPr>
        <w:t>pueblo,</w:t>
      </w:r>
      <w:r>
        <w:rPr>
          <w:color w:val="231F20"/>
          <w:spacing w:val="-20"/>
          <w:w w:val="105"/>
        </w:rPr>
        <w:t> </w:t>
      </w:r>
      <w:r>
        <w:rPr>
          <w:color w:val="231F20"/>
          <w:w w:val="105"/>
        </w:rPr>
        <w:t>antes</w:t>
      </w:r>
      <w:r>
        <w:rPr>
          <w:color w:val="231F20"/>
          <w:spacing w:val="-20"/>
          <w:w w:val="105"/>
        </w:rPr>
        <w:t> </w:t>
      </w:r>
      <w:r>
        <w:rPr>
          <w:color w:val="231F20"/>
          <w:w w:val="105"/>
        </w:rPr>
        <w:t>de</w:t>
      </w:r>
      <w:r>
        <w:rPr>
          <w:color w:val="231F20"/>
          <w:spacing w:val="-20"/>
          <w:w w:val="105"/>
        </w:rPr>
        <w:t> </w:t>
      </w:r>
      <w:r>
        <w:rPr>
          <w:color w:val="231F20"/>
          <w:w w:val="105"/>
        </w:rPr>
        <w:t>servirse</w:t>
      </w:r>
      <w:r>
        <w:rPr>
          <w:color w:val="231F20"/>
          <w:spacing w:val="-20"/>
          <w:w w:val="105"/>
        </w:rPr>
        <w:t> </w:t>
      </w:r>
      <w:r>
        <w:rPr>
          <w:color w:val="231F20"/>
          <w:w w:val="105"/>
        </w:rPr>
        <w:t>a sí</w:t>
      </w:r>
      <w:r>
        <w:rPr>
          <w:color w:val="231F20"/>
          <w:spacing w:val="-5"/>
          <w:w w:val="105"/>
        </w:rPr>
        <w:t> </w:t>
      </w:r>
      <w:r>
        <w:rPr>
          <w:color w:val="231F20"/>
          <w:w w:val="105"/>
        </w:rPr>
        <w:t>mismo.</w:t>
      </w:r>
      <w:r>
        <w:rPr>
          <w:color w:val="231F20"/>
          <w:spacing w:val="-5"/>
          <w:w w:val="105"/>
        </w:rPr>
        <w:t> </w:t>
      </w:r>
      <w:r>
        <w:rPr>
          <w:color w:val="231F20"/>
          <w:spacing w:val="-3"/>
          <w:w w:val="105"/>
        </w:rPr>
        <w:t>También</w:t>
      </w:r>
      <w:r>
        <w:rPr>
          <w:color w:val="231F20"/>
          <w:spacing w:val="-5"/>
          <w:w w:val="105"/>
        </w:rPr>
        <w:t> </w:t>
      </w:r>
      <w:r>
        <w:rPr>
          <w:color w:val="231F20"/>
          <w:w w:val="105"/>
        </w:rPr>
        <w:t>los</w:t>
      </w:r>
      <w:r>
        <w:rPr>
          <w:color w:val="231F20"/>
          <w:spacing w:val="-5"/>
          <w:w w:val="105"/>
        </w:rPr>
        <w:t> </w:t>
      </w:r>
      <w:r>
        <w:rPr>
          <w:color w:val="231F20"/>
          <w:w w:val="105"/>
        </w:rPr>
        <w:t>instrumentos</w:t>
      </w:r>
      <w:r>
        <w:rPr>
          <w:color w:val="231F20"/>
          <w:spacing w:val="-5"/>
          <w:w w:val="105"/>
        </w:rPr>
        <w:t> </w:t>
      </w:r>
      <w:r>
        <w:rPr>
          <w:color w:val="231F20"/>
          <w:w w:val="105"/>
        </w:rPr>
        <w:t>de</w:t>
      </w:r>
      <w:r>
        <w:rPr>
          <w:color w:val="231F20"/>
          <w:spacing w:val="-5"/>
          <w:w w:val="105"/>
        </w:rPr>
        <w:t> </w:t>
      </w:r>
      <w:r>
        <w:rPr>
          <w:color w:val="231F20"/>
          <w:w w:val="105"/>
        </w:rPr>
        <w:t>participación</w:t>
      </w:r>
      <w:r>
        <w:rPr>
          <w:color w:val="231F20"/>
          <w:spacing w:val="-5"/>
          <w:w w:val="105"/>
        </w:rPr>
        <w:t> </w:t>
      </w:r>
      <w:r>
        <w:rPr>
          <w:color w:val="231F20"/>
          <w:w w:val="105"/>
        </w:rPr>
        <w:t>social</w:t>
      </w:r>
      <w:r>
        <w:rPr>
          <w:color w:val="231F20"/>
          <w:spacing w:val="-5"/>
          <w:w w:val="105"/>
        </w:rPr>
        <w:t> </w:t>
      </w:r>
      <w:r>
        <w:rPr>
          <w:color w:val="231F20"/>
          <w:w w:val="105"/>
        </w:rPr>
        <w:t>deberían</w:t>
      </w:r>
      <w:r>
        <w:rPr>
          <w:color w:val="231F20"/>
          <w:spacing w:val="-5"/>
          <w:w w:val="105"/>
        </w:rPr>
        <w:t> </w:t>
      </w:r>
      <w:r>
        <w:rPr>
          <w:color w:val="231F20"/>
          <w:w w:val="105"/>
        </w:rPr>
        <w:t>establecerse</w:t>
      </w:r>
      <w:r>
        <w:rPr>
          <w:color w:val="231F20"/>
          <w:spacing w:val="-5"/>
          <w:w w:val="105"/>
        </w:rPr>
        <w:t> </w:t>
      </w:r>
      <w:r>
        <w:rPr>
          <w:color w:val="231F20"/>
          <w:w w:val="105"/>
        </w:rPr>
        <w:t>para llevar</w:t>
      </w:r>
      <w:r>
        <w:rPr>
          <w:color w:val="231F20"/>
          <w:spacing w:val="-17"/>
          <w:w w:val="105"/>
        </w:rPr>
        <w:t> </w:t>
      </w:r>
      <w:r>
        <w:rPr>
          <w:color w:val="231F20"/>
          <w:w w:val="105"/>
        </w:rPr>
        <w:t>a</w:t>
      </w:r>
      <w:r>
        <w:rPr>
          <w:color w:val="231F20"/>
          <w:spacing w:val="-17"/>
          <w:w w:val="105"/>
        </w:rPr>
        <w:t> </w:t>
      </w:r>
      <w:r>
        <w:rPr>
          <w:color w:val="231F20"/>
          <w:w w:val="105"/>
        </w:rPr>
        <w:t>cabo</w:t>
      </w:r>
      <w:r>
        <w:rPr>
          <w:color w:val="231F20"/>
          <w:spacing w:val="-17"/>
          <w:w w:val="105"/>
        </w:rPr>
        <w:t> </w:t>
      </w:r>
      <w:r>
        <w:rPr>
          <w:color w:val="231F20"/>
          <w:w w:val="105"/>
        </w:rPr>
        <w:t>las</w:t>
      </w:r>
      <w:r>
        <w:rPr>
          <w:color w:val="231F20"/>
          <w:spacing w:val="-17"/>
          <w:w w:val="105"/>
        </w:rPr>
        <w:t> </w:t>
      </w:r>
      <w:r>
        <w:rPr>
          <w:color w:val="231F20"/>
          <w:w w:val="105"/>
        </w:rPr>
        <w:t>decisiones</w:t>
      </w:r>
      <w:r>
        <w:rPr>
          <w:color w:val="231F20"/>
          <w:spacing w:val="-17"/>
          <w:w w:val="105"/>
        </w:rPr>
        <w:t> </w:t>
      </w:r>
      <w:r>
        <w:rPr>
          <w:color w:val="231F20"/>
          <w:w w:val="105"/>
        </w:rPr>
        <w:t>importantes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gobiernos</w:t>
      </w:r>
      <w:r>
        <w:rPr>
          <w:color w:val="231F20"/>
          <w:spacing w:val="-17"/>
          <w:w w:val="105"/>
        </w:rPr>
        <w:t> </w:t>
      </w:r>
      <w:r>
        <w:rPr>
          <w:color w:val="231F20"/>
          <w:w w:val="105"/>
        </w:rPr>
        <w:t>del</w:t>
      </w:r>
      <w:r>
        <w:rPr>
          <w:color w:val="231F20"/>
          <w:spacing w:val="-17"/>
          <w:w w:val="105"/>
        </w:rPr>
        <w:t> </w:t>
      </w:r>
      <w:r>
        <w:rPr>
          <w:color w:val="231F20"/>
          <w:spacing w:val="-7"/>
          <w:w w:val="105"/>
        </w:rPr>
        <w:t>PT;</w:t>
      </w:r>
      <w:r>
        <w:rPr>
          <w:color w:val="231F20"/>
          <w:spacing w:val="-17"/>
          <w:w w:val="105"/>
        </w:rPr>
        <w:t> </w:t>
      </w:r>
      <w:r>
        <w:rPr>
          <w:color w:val="231F20"/>
          <w:w w:val="105"/>
        </w:rPr>
        <w:t>de</w:t>
      </w:r>
      <w:r>
        <w:rPr>
          <w:color w:val="231F20"/>
          <w:spacing w:val="-17"/>
          <w:w w:val="105"/>
        </w:rPr>
        <w:t> </w:t>
      </w:r>
      <w:r>
        <w:rPr>
          <w:color w:val="231F20"/>
          <w:w w:val="105"/>
        </w:rPr>
        <w:t>hecho,</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progra- ma</w:t>
      </w:r>
      <w:r>
        <w:rPr>
          <w:color w:val="231F20"/>
          <w:spacing w:val="-17"/>
          <w:w w:val="105"/>
        </w:rPr>
        <w:t> </w:t>
      </w:r>
      <w:r>
        <w:rPr>
          <w:color w:val="231F20"/>
          <w:w w:val="105"/>
        </w:rPr>
        <w:t>de</w:t>
      </w:r>
      <w:r>
        <w:rPr>
          <w:color w:val="231F20"/>
          <w:spacing w:val="-17"/>
          <w:w w:val="105"/>
        </w:rPr>
        <w:t> </w:t>
      </w:r>
      <w:r>
        <w:rPr>
          <w:color w:val="231F20"/>
          <w:w w:val="105"/>
        </w:rPr>
        <w:t>acción</w:t>
      </w:r>
      <w:r>
        <w:rPr>
          <w:color w:val="231F20"/>
          <w:spacing w:val="-17"/>
          <w:w w:val="105"/>
        </w:rPr>
        <w:t> </w:t>
      </w:r>
      <w:r>
        <w:rPr>
          <w:color w:val="231F20"/>
          <w:w w:val="105"/>
        </w:rPr>
        <w:t>se</w:t>
      </w:r>
      <w:r>
        <w:rPr>
          <w:color w:val="231F20"/>
          <w:spacing w:val="-17"/>
          <w:w w:val="105"/>
        </w:rPr>
        <w:t> </w:t>
      </w:r>
      <w:r>
        <w:rPr>
          <w:color w:val="231F20"/>
          <w:w w:val="105"/>
        </w:rPr>
        <w:t>menciona:</w:t>
      </w:r>
    </w:p>
    <w:p>
      <w:pPr>
        <w:pStyle w:val="BodyText"/>
        <w:spacing w:line="285" w:lineRule="auto" w:before="1"/>
        <w:ind w:left="677" w:right="108"/>
        <w:jc w:val="both"/>
      </w:pPr>
      <w:r>
        <w:rPr>
          <w:color w:val="231F20"/>
          <w:w w:val="105"/>
        </w:rPr>
        <w:t>“Instrumentaremos</w:t>
      </w:r>
      <w:r>
        <w:rPr>
          <w:color w:val="231F20"/>
          <w:spacing w:val="-7"/>
          <w:w w:val="105"/>
        </w:rPr>
        <w:t> </w:t>
      </w:r>
      <w:r>
        <w:rPr>
          <w:color w:val="231F20"/>
          <w:w w:val="105"/>
        </w:rPr>
        <w:t>el</w:t>
      </w:r>
      <w:r>
        <w:rPr>
          <w:color w:val="231F20"/>
          <w:spacing w:val="-7"/>
          <w:w w:val="105"/>
        </w:rPr>
        <w:t> </w:t>
      </w:r>
      <w:r>
        <w:rPr>
          <w:color w:val="231F20"/>
          <w:spacing w:val="-2"/>
          <w:w w:val="105"/>
        </w:rPr>
        <w:t>referéndum</w:t>
      </w:r>
      <w:r>
        <w:rPr>
          <w:color w:val="231F20"/>
          <w:spacing w:val="-7"/>
          <w:w w:val="105"/>
        </w:rPr>
        <w:t> </w:t>
      </w:r>
      <w:r>
        <w:rPr>
          <w:color w:val="231F20"/>
          <w:w w:val="105"/>
        </w:rPr>
        <w:t>en</w:t>
      </w:r>
      <w:r>
        <w:rPr>
          <w:color w:val="231F20"/>
          <w:spacing w:val="-7"/>
          <w:w w:val="105"/>
        </w:rPr>
        <w:t> </w:t>
      </w:r>
      <w:r>
        <w:rPr>
          <w:color w:val="231F20"/>
          <w:w w:val="105"/>
        </w:rPr>
        <w:t>todas</w:t>
      </w:r>
      <w:r>
        <w:rPr>
          <w:color w:val="231F20"/>
          <w:spacing w:val="-7"/>
          <w:w w:val="105"/>
        </w:rPr>
        <w:t> </w:t>
      </w:r>
      <w:r>
        <w:rPr>
          <w:color w:val="231F20"/>
          <w:w w:val="105"/>
        </w:rPr>
        <w:t>sus</w:t>
      </w:r>
      <w:r>
        <w:rPr>
          <w:color w:val="231F20"/>
          <w:spacing w:val="-7"/>
          <w:w w:val="105"/>
        </w:rPr>
        <w:t> </w:t>
      </w:r>
      <w:r>
        <w:rPr>
          <w:color w:val="231F20"/>
          <w:w w:val="105"/>
        </w:rPr>
        <w:t>modalidades,</w:t>
      </w:r>
      <w:r>
        <w:rPr>
          <w:color w:val="231F20"/>
          <w:spacing w:val="-7"/>
          <w:w w:val="105"/>
        </w:rPr>
        <w:t> </w:t>
      </w:r>
      <w:r>
        <w:rPr>
          <w:color w:val="231F20"/>
          <w:w w:val="105"/>
        </w:rPr>
        <w:t>el</w:t>
      </w:r>
      <w:r>
        <w:rPr>
          <w:color w:val="231F20"/>
          <w:spacing w:val="-7"/>
          <w:w w:val="105"/>
        </w:rPr>
        <w:t> </w:t>
      </w:r>
      <w:r>
        <w:rPr>
          <w:color w:val="231F20"/>
          <w:w w:val="105"/>
        </w:rPr>
        <w:t>plebiscito,</w:t>
      </w:r>
      <w:r>
        <w:rPr>
          <w:color w:val="231F20"/>
          <w:spacing w:val="-7"/>
          <w:w w:val="105"/>
        </w:rPr>
        <w:t> </w:t>
      </w:r>
      <w:r>
        <w:rPr>
          <w:color w:val="231F20"/>
          <w:w w:val="105"/>
        </w:rPr>
        <w:t>la</w:t>
      </w:r>
      <w:r>
        <w:rPr>
          <w:color w:val="231F20"/>
          <w:spacing w:val="-7"/>
          <w:w w:val="105"/>
        </w:rPr>
        <w:t> </w:t>
      </w:r>
      <w:r>
        <w:rPr>
          <w:color w:val="231F20"/>
          <w:w w:val="105"/>
        </w:rPr>
        <w:t>ini- ciativa</w:t>
      </w:r>
      <w:r>
        <w:rPr>
          <w:color w:val="231F20"/>
          <w:spacing w:val="-17"/>
          <w:w w:val="105"/>
        </w:rPr>
        <w:t> </w:t>
      </w:r>
      <w:r>
        <w:rPr>
          <w:color w:val="231F20"/>
          <w:w w:val="105"/>
        </w:rPr>
        <w:t>popular,</w:t>
      </w:r>
      <w:r>
        <w:rPr>
          <w:color w:val="231F20"/>
          <w:spacing w:val="-17"/>
          <w:w w:val="105"/>
        </w:rPr>
        <w:t> </w:t>
      </w:r>
      <w:r>
        <w:rPr>
          <w:color w:val="231F20"/>
          <w:w w:val="105"/>
        </w:rPr>
        <w:t>la</w:t>
      </w:r>
      <w:r>
        <w:rPr>
          <w:color w:val="231F20"/>
          <w:spacing w:val="-17"/>
          <w:w w:val="105"/>
        </w:rPr>
        <w:t> </w:t>
      </w:r>
      <w:r>
        <w:rPr>
          <w:color w:val="231F20"/>
          <w:w w:val="105"/>
        </w:rPr>
        <w:t>revocación</w:t>
      </w:r>
      <w:r>
        <w:rPr>
          <w:color w:val="231F20"/>
          <w:spacing w:val="-17"/>
          <w:w w:val="105"/>
        </w:rPr>
        <w:t> </w:t>
      </w:r>
      <w:r>
        <w:rPr>
          <w:color w:val="231F20"/>
          <w:w w:val="105"/>
        </w:rPr>
        <w:t>de</w:t>
      </w:r>
      <w:r>
        <w:rPr>
          <w:color w:val="231F20"/>
          <w:spacing w:val="-17"/>
          <w:w w:val="105"/>
        </w:rPr>
        <w:t> </w:t>
      </w:r>
      <w:r>
        <w:rPr>
          <w:color w:val="231F20"/>
          <w:w w:val="105"/>
        </w:rPr>
        <w:t>mandato,</w:t>
      </w:r>
      <w:r>
        <w:rPr>
          <w:color w:val="231F20"/>
          <w:spacing w:val="-17"/>
          <w:w w:val="105"/>
        </w:rPr>
        <w:t> </w:t>
      </w:r>
      <w:r>
        <w:rPr>
          <w:color w:val="231F20"/>
          <w:w w:val="105"/>
        </w:rPr>
        <w:t>la</w:t>
      </w:r>
      <w:r>
        <w:rPr>
          <w:color w:val="231F20"/>
          <w:spacing w:val="-17"/>
          <w:w w:val="105"/>
        </w:rPr>
        <w:t> </w:t>
      </w:r>
      <w:r>
        <w:rPr>
          <w:color w:val="231F20"/>
          <w:w w:val="105"/>
        </w:rPr>
        <w:t>afirmativa</w:t>
      </w:r>
      <w:r>
        <w:rPr>
          <w:color w:val="231F20"/>
          <w:spacing w:val="-17"/>
          <w:w w:val="105"/>
        </w:rPr>
        <w:t> </w:t>
      </w:r>
      <w:r>
        <w:rPr>
          <w:color w:val="231F20"/>
          <w:w w:val="105"/>
        </w:rPr>
        <w:t>ficta</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derecho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spacing w:val="-3"/>
          <w:w w:val="105"/>
        </w:rPr>
        <w:t>voz </w:t>
      </w:r>
      <w:r>
        <w:rPr>
          <w:color w:val="231F20"/>
          <w:w w:val="105"/>
        </w:rPr>
        <w:t>ciudadana”</w:t>
      </w:r>
      <w:r>
        <w:rPr>
          <w:color w:val="231F20"/>
          <w:spacing w:val="-26"/>
          <w:w w:val="105"/>
        </w:rPr>
        <w:t> </w:t>
      </w:r>
      <w:r>
        <w:rPr>
          <w:color w:val="231F20"/>
          <w:spacing w:val="-6"/>
          <w:w w:val="105"/>
        </w:rPr>
        <w:t>(PT,</w:t>
      </w:r>
      <w:r>
        <w:rPr>
          <w:color w:val="231F20"/>
          <w:spacing w:val="-26"/>
          <w:w w:val="105"/>
        </w:rPr>
        <w:t> </w:t>
      </w:r>
      <w:r>
        <w:rPr>
          <w:color w:val="231F20"/>
          <w:spacing w:val="3"/>
          <w:w w:val="105"/>
        </w:rPr>
        <w:t>2000c:</w:t>
      </w:r>
      <w:r>
        <w:rPr>
          <w:color w:val="231F20"/>
          <w:spacing w:val="-26"/>
          <w:w w:val="105"/>
        </w:rPr>
        <w:t> </w:t>
      </w:r>
      <w:r>
        <w:rPr>
          <w:color w:val="231F20"/>
          <w:w w:val="105"/>
        </w:rPr>
        <w:t>Documento</w:t>
      </w:r>
      <w:r>
        <w:rPr>
          <w:color w:val="231F20"/>
          <w:spacing w:val="-26"/>
          <w:w w:val="105"/>
        </w:rPr>
        <w:t> </w:t>
      </w:r>
      <w:r>
        <w:rPr>
          <w:color w:val="231F20"/>
          <w:w w:val="105"/>
        </w:rPr>
        <w:t>en</w:t>
      </w:r>
      <w:r>
        <w:rPr>
          <w:color w:val="231F20"/>
          <w:spacing w:val="-26"/>
          <w:w w:val="105"/>
        </w:rPr>
        <w:t> </w:t>
      </w:r>
      <w:r>
        <w:rPr>
          <w:color w:val="231F20"/>
          <w:w w:val="105"/>
        </w:rPr>
        <w:t>línea).</w:t>
      </w:r>
    </w:p>
    <w:p>
      <w:pPr>
        <w:pStyle w:val="BodyText"/>
        <w:spacing w:before="1"/>
        <w:rPr>
          <w:sz w:val="26"/>
        </w:rPr>
      </w:pPr>
    </w:p>
    <w:p>
      <w:pPr>
        <w:pStyle w:val="BodyText"/>
        <w:spacing w:line="285" w:lineRule="auto"/>
        <w:ind w:left="677" w:right="242" w:hanging="567"/>
      </w:pPr>
      <w:r>
        <w:rPr>
          <w:color w:val="231F20"/>
        </w:rPr>
        <w:t>En el uso de los recursos públicos el </w:t>
      </w:r>
      <w:r>
        <w:rPr>
          <w:color w:val="231F20"/>
          <w:spacing w:val="-6"/>
        </w:rPr>
        <w:t>PT, </w:t>
      </w:r>
      <w:r>
        <w:rPr>
          <w:color w:val="231F20"/>
        </w:rPr>
        <w:t>de acuerdo a su Programa de acción, lucha, </w:t>
      </w:r>
      <w:r>
        <w:rPr>
          <w:color w:val="231F20"/>
          <w:spacing w:val="-3"/>
        </w:rPr>
        <w:t>“porque </w:t>
      </w:r>
      <w:r>
        <w:rPr>
          <w:color w:val="231F20"/>
        </w:rPr>
        <w:t>el gasto público se utilice para reactivar la economía y corregir los des- equilibrios que ha generado el neoliberalismo” </w:t>
      </w:r>
      <w:r>
        <w:rPr>
          <w:color w:val="231F20"/>
          <w:spacing w:val="-6"/>
        </w:rPr>
        <w:t>(PT, </w:t>
      </w:r>
      <w:r>
        <w:rPr>
          <w:color w:val="231F20"/>
          <w:spacing w:val="3"/>
        </w:rPr>
        <w:t>2000c: </w:t>
      </w:r>
      <w:r>
        <w:rPr>
          <w:color w:val="231F20"/>
        </w:rPr>
        <w:t>Documento en línea). Se espera entonces que en el ejercicio del poder de un gobierno emanado del PT   se dé prioridad </w:t>
      </w:r>
      <w:r>
        <w:rPr>
          <w:color w:val="231F20"/>
          <w:spacing w:val="2"/>
        </w:rPr>
        <w:t>al </w:t>
      </w:r>
      <w:r>
        <w:rPr>
          <w:color w:val="231F20"/>
        </w:rPr>
        <w:t>gasto social y </w:t>
      </w:r>
      <w:r>
        <w:rPr>
          <w:color w:val="231F20"/>
          <w:spacing w:val="2"/>
        </w:rPr>
        <w:t>al </w:t>
      </w:r>
      <w:r>
        <w:rPr>
          <w:color w:val="231F20"/>
        </w:rPr>
        <w:t>gasto en infraestructura, de </w:t>
      </w:r>
      <w:r>
        <w:rPr>
          <w:color w:val="231F20"/>
          <w:spacing w:val="2"/>
        </w:rPr>
        <w:t>tal </w:t>
      </w:r>
      <w:r>
        <w:rPr>
          <w:color w:val="231F20"/>
        </w:rPr>
        <w:t>manera que se fortalezca la posibilidad de desarrollo de la comunidad en su   </w:t>
      </w:r>
      <w:r>
        <w:rPr>
          <w:color w:val="231F20"/>
          <w:spacing w:val="14"/>
        </w:rPr>
        <w:t> </w:t>
      </w:r>
      <w:r>
        <w:rPr>
          <w:color w:val="231F20"/>
        </w:rPr>
        <w:t>conjunto.</w:t>
      </w:r>
    </w:p>
    <w:p>
      <w:pPr>
        <w:pStyle w:val="BodyText"/>
        <w:spacing w:before="1"/>
        <w:rPr>
          <w:sz w:val="26"/>
        </w:rPr>
      </w:pPr>
    </w:p>
    <w:p>
      <w:pPr>
        <w:pStyle w:val="BodyText"/>
        <w:spacing w:line="285" w:lineRule="auto"/>
        <w:ind w:left="110" w:right="106"/>
        <w:jc w:val="both"/>
      </w:pPr>
      <w:r>
        <w:rPr>
          <w:color w:val="231F20"/>
          <w:w w:val="105"/>
        </w:rPr>
        <w:t>El</w:t>
      </w:r>
      <w:r>
        <w:rPr>
          <w:color w:val="231F20"/>
          <w:spacing w:val="-24"/>
          <w:w w:val="105"/>
        </w:rPr>
        <w:t> </w:t>
      </w:r>
      <w:r>
        <w:rPr>
          <w:color w:val="231F20"/>
          <w:w w:val="105"/>
        </w:rPr>
        <w:t>PT</w:t>
      </w:r>
      <w:r>
        <w:rPr>
          <w:color w:val="231F20"/>
          <w:spacing w:val="-24"/>
          <w:w w:val="105"/>
        </w:rPr>
        <w:t> </w:t>
      </w:r>
      <w:r>
        <w:rPr>
          <w:color w:val="231F20"/>
          <w:w w:val="105"/>
        </w:rPr>
        <w:t>se</w:t>
      </w:r>
      <w:r>
        <w:rPr>
          <w:color w:val="231F20"/>
          <w:spacing w:val="-24"/>
          <w:w w:val="105"/>
        </w:rPr>
        <w:t> </w:t>
      </w:r>
      <w:r>
        <w:rPr>
          <w:color w:val="231F20"/>
          <w:w w:val="105"/>
        </w:rPr>
        <w:t>ha</w:t>
      </w:r>
      <w:r>
        <w:rPr>
          <w:color w:val="231F20"/>
          <w:spacing w:val="-24"/>
          <w:w w:val="105"/>
        </w:rPr>
        <w:t> </w:t>
      </w:r>
      <w:r>
        <w:rPr>
          <w:color w:val="231F20"/>
          <w:w w:val="105"/>
        </w:rPr>
        <w:t>transformado</w:t>
      </w:r>
      <w:r>
        <w:rPr>
          <w:color w:val="231F20"/>
          <w:spacing w:val="-24"/>
          <w:w w:val="105"/>
        </w:rPr>
        <w:t> </w:t>
      </w:r>
      <w:r>
        <w:rPr>
          <w:color w:val="231F20"/>
          <w:w w:val="105"/>
        </w:rPr>
        <w:t>y</w:t>
      </w:r>
      <w:r>
        <w:rPr>
          <w:color w:val="231F20"/>
          <w:spacing w:val="-24"/>
          <w:w w:val="105"/>
        </w:rPr>
        <w:t> </w:t>
      </w:r>
      <w:r>
        <w:rPr>
          <w:color w:val="231F20"/>
          <w:w w:val="105"/>
        </w:rPr>
        <w:t>consolidado</w:t>
      </w:r>
      <w:r>
        <w:rPr>
          <w:color w:val="231F20"/>
          <w:spacing w:val="-24"/>
          <w:w w:val="105"/>
        </w:rPr>
        <w:t> </w:t>
      </w:r>
      <w:r>
        <w:rPr>
          <w:color w:val="231F20"/>
          <w:w w:val="105"/>
        </w:rPr>
        <w:t>desde</w:t>
      </w:r>
      <w:r>
        <w:rPr>
          <w:color w:val="231F20"/>
          <w:spacing w:val="-24"/>
          <w:w w:val="105"/>
        </w:rPr>
        <w:t> </w:t>
      </w:r>
      <w:r>
        <w:rPr>
          <w:color w:val="231F20"/>
          <w:w w:val="105"/>
        </w:rPr>
        <w:t>su</w:t>
      </w:r>
      <w:r>
        <w:rPr>
          <w:color w:val="231F20"/>
          <w:spacing w:val="-24"/>
          <w:w w:val="105"/>
        </w:rPr>
        <w:t> </w:t>
      </w:r>
      <w:r>
        <w:rPr>
          <w:color w:val="231F20"/>
          <w:w w:val="105"/>
        </w:rPr>
        <w:t>nacimiento;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elecciones</w:t>
      </w:r>
      <w:r>
        <w:rPr>
          <w:color w:val="231F20"/>
          <w:spacing w:val="-24"/>
          <w:w w:val="105"/>
        </w:rPr>
        <w:t> </w:t>
      </w:r>
      <w:r>
        <w:rPr>
          <w:color w:val="231F20"/>
          <w:w w:val="105"/>
        </w:rPr>
        <w:t>de</w:t>
      </w:r>
      <w:r>
        <w:rPr>
          <w:color w:val="231F20"/>
          <w:spacing w:val="-24"/>
          <w:w w:val="105"/>
        </w:rPr>
        <w:t> </w:t>
      </w:r>
      <w:r>
        <w:rPr>
          <w:color w:val="231F20"/>
          <w:spacing w:val="3"/>
          <w:w w:val="105"/>
        </w:rPr>
        <w:t>2006</w:t>
      </w:r>
      <w:r>
        <w:rPr>
          <w:color w:val="231F20"/>
          <w:spacing w:val="-24"/>
          <w:w w:val="105"/>
        </w:rPr>
        <w:t> </w:t>
      </w:r>
      <w:r>
        <w:rPr>
          <w:color w:val="231F20"/>
          <w:w w:val="105"/>
        </w:rPr>
        <w:t>se integró</w:t>
      </w:r>
      <w:r>
        <w:rPr>
          <w:color w:val="231F20"/>
          <w:spacing w:val="-14"/>
          <w:w w:val="105"/>
        </w:rPr>
        <w:t> </w:t>
      </w:r>
      <w:r>
        <w:rPr>
          <w:color w:val="231F20"/>
          <w:spacing w:val="2"/>
          <w:w w:val="105"/>
        </w:rPr>
        <w:t>al</w:t>
      </w:r>
      <w:r>
        <w:rPr>
          <w:color w:val="231F20"/>
          <w:spacing w:val="-14"/>
          <w:w w:val="105"/>
        </w:rPr>
        <w:t> </w:t>
      </w:r>
      <w:r>
        <w:rPr>
          <w:color w:val="231F20"/>
          <w:spacing w:val="-3"/>
          <w:w w:val="105"/>
        </w:rPr>
        <w:t>Frente</w:t>
      </w:r>
      <w:r>
        <w:rPr>
          <w:color w:val="231F20"/>
          <w:spacing w:val="-14"/>
          <w:w w:val="105"/>
        </w:rPr>
        <w:t> </w:t>
      </w:r>
      <w:r>
        <w:rPr>
          <w:color w:val="231F20"/>
          <w:w w:val="105"/>
        </w:rPr>
        <w:t>Amplio</w:t>
      </w:r>
      <w:r>
        <w:rPr>
          <w:color w:val="231F20"/>
          <w:spacing w:val="-14"/>
          <w:w w:val="105"/>
        </w:rPr>
        <w:t> </w:t>
      </w:r>
      <w:r>
        <w:rPr>
          <w:color w:val="231F20"/>
          <w:w w:val="105"/>
        </w:rPr>
        <w:t>Progresista</w:t>
      </w:r>
      <w:r>
        <w:rPr>
          <w:color w:val="231F20"/>
          <w:spacing w:val="-14"/>
          <w:w w:val="105"/>
        </w:rPr>
        <w:t> </w:t>
      </w:r>
      <w:r>
        <w:rPr>
          <w:color w:val="231F20"/>
          <w:w w:val="105"/>
        </w:rPr>
        <w:t>junto</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Partido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Revolución</w:t>
      </w:r>
      <w:r>
        <w:rPr>
          <w:color w:val="231F20"/>
          <w:spacing w:val="-14"/>
          <w:w w:val="105"/>
        </w:rPr>
        <w:t> </w:t>
      </w:r>
      <w:r>
        <w:rPr>
          <w:color w:val="231F20"/>
          <w:w w:val="105"/>
        </w:rPr>
        <w:t>Democrática y</w:t>
      </w:r>
      <w:r>
        <w:rPr>
          <w:color w:val="231F20"/>
          <w:spacing w:val="-22"/>
          <w:w w:val="105"/>
        </w:rPr>
        <w:t> </w:t>
      </w:r>
      <w:r>
        <w:rPr>
          <w:color w:val="231F20"/>
          <w:w w:val="105"/>
        </w:rPr>
        <w:t>el</w:t>
      </w:r>
      <w:r>
        <w:rPr>
          <w:color w:val="231F20"/>
          <w:spacing w:val="-22"/>
          <w:w w:val="105"/>
        </w:rPr>
        <w:t> </w:t>
      </w:r>
      <w:r>
        <w:rPr>
          <w:color w:val="231F20"/>
          <w:w w:val="105"/>
        </w:rPr>
        <w:t>partido</w:t>
      </w:r>
      <w:r>
        <w:rPr>
          <w:color w:val="231F20"/>
          <w:spacing w:val="-22"/>
          <w:w w:val="105"/>
        </w:rPr>
        <w:t> </w:t>
      </w:r>
      <w:r>
        <w:rPr>
          <w:color w:val="231F20"/>
          <w:w w:val="105"/>
        </w:rPr>
        <w:t>Convergencia.</w:t>
      </w:r>
      <w:r>
        <w:rPr>
          <w:color w:val="231F20"/>
          <w:spacing w:val="-22"/>
          <w:w w:val="105"/>
        </w:rPr>
        <w:t> </w:t>
      </w:r>
      <w:r>
        <w:rPr>
          <w:color w:val="231F20"/>
          <w:w w:val="105"/>
        </w:rPr>
        <w:t>Ello</w:t>
      </w:r>
      <w:r>
        <w:rPr>
          <w:color w:val="231F20"/>
          <w:spacing w:val="-22"/>
          <w:w w:val="105"/>
        </w:rPr>
        <w:t> </w:t>
      </w:r>
      <w:r>
        <w:rPr>
          <w:color w:val="231F20"/>
          <w:w w:val="105"/>
        </w:rPr>
        <w:t>contribuyó</w:t>
      </w:r>
      <w:r>
        <w:rPr>
          <w:color w:val="231F20"/>
          <w:spacing w:val="-22"/>
          <w:w w:val="105"/>
        </w:rPr>
        <w:t> </w:t>
      </w:r>
      <w:r>
        <w:rPr>
          <w:color w:val="231F20"/>
          <w:w w:val="105"/>
        </w:rPr>
        <w:t>a</w:t>
      </w:r>
      <w:r>
        <w:rPr>
          <w:color w:val="231F20"/>
          <w:spacing w:val="-22"/>
          <w:w w:val="105"/>
        </w:rPr>
        <w:t> </w:t>
      </w:r>
      <w:r>
        <w:rPr>
          <w:color w:val="231F20"/>
          <w:w w:val="105"/>
        </w:rPr>
        <w:t>fortalecer</w:t>
      </w:r>
      <w:r>
        <w:rPr>
          <w:color w:val="231F20"/>
          <w:spacing w:val="-22"/>
          <w:w w:val="105"/>
        </w:rPr>
        <w:t> </w:t>
      </w:r>
      <w:r>
        <w:rPr>
          <w:color w:val="231F20"/>
          <w:w w:val="105"/>
        </w:rPr>
        <w:t>su</w:t>
      </w:r>
      <w:r>
        <w:rPr>
          <w:color w:val="231F20"/>
          <w:spacing w:val="-22"/>
          <w:w w:val="105"/>
        </w:rPr>
        <w:t> </w:t>
      </w:r>
      <w:r>
        <w:rPr>
          <w:color w:val="231F20"/>
          <w:w w:val="105"/>
        </w:rPr>
        <w:t>presencia</w:t>
      </w:r>
      <w:r>
        <w:rPr>
          <w:color w:val="231F20"/>
          <w:spacing w:val="-22"/>
          <w:w w:val="105"/>
        </w:rPr>
        <w:t> </w:t>
      </w:r>
      <w:r>
        <w:rPr>
          <w:color w:val="231F20"/>
          <w:w w:val="105"/>
        </w:rPr>
        <w:t>nacional.</w:t>
      </w:r>
      <w:r>
        <w:rPr>
          <w:color w:val="231F20"/>
          <w:spacing w:val="-22"/>
          <w:w w:val="105"/>
        </w:rPr>
        <w:t> </w:t>
      </w:r>
      <w:r>
        <w:rPr>
          <w:color w:val="231F20"/>
          <w:w w:val="105"/>
        </w:rPr>
        <w:t>Son</w:t>
      </w:r>
      <w:r>
        <w:rPr>
          <w:color w:val="231F20"/>
          <w:spacing w:val="-22"/>
          <w:w w:val="105"/>
        </w:rPr>
        <w:t> </w:t>
      </w:r>
      <w:r>
        <w:rPr>
          <w:color w:val="231F20"/>
          <w:w w:val="105"/>
        </w:rPr>
        <w:t>38</w:t>
      </w:r>
      <w:r>
        <w:rPr>
          <w:color w:val="231F20"/>
          <w:spacing w:val="-22"/>
          <w:w w:val="105"/>
        </w:rPr>
        <w:t> </w:t>
      </w:r>
      <w:r>
        <w:rPr>
          <w:color w:val="231F20"/>
          <w:w w:val="105"/>
        </w:rPr>
        <w:t>los municipios</w:t>
      </w:r>
      <w:r>
        <w:rPr>
          <w:color w:val="231F20"/>
          <w:spacing w:val="-15"/>
          <w:w w:val="105"/>
        </w:rPr>
        <w:t> </w:t>
      </w:r>
      <w:r>
        <w:rPr>
          <w:color w:val="231F20"/>
          <w:w w:val="105"/>
        </w:rPr>
        <w:t>de</w:t>
      </w:r>
      <w:r>
        <w:rPr>
          <w:color w:val="231F20"/>
          <w:spacing w:val="-15"/>
          <w:w w:val="105"/>
        </w:rPr>
        <w:t> </w:t>
      </w:r>
      <w:r>
        <w:rPr>
          <w:color w:val="231F20"/>
          <w:w w:val="105"/>
        </w:rPr>
        <w:t>13</w:t>
      </w:r>
      <w:r>
        <w:rPr>
          <w:color w:val="231F20"/>
          <w:spacing w:val="-15"/>
          <w:w w:val="105"/>
        </w:rPr>
        <w:t> </w:t>
      </w:r>
      <w:r>
        <w:rPr>
          <w:color w:val="231F20"/>
          <w:w w:val="105"/>
        </w:rPr>
        <w:t>estados</w:t>
      </w:r>
      <w:r>
        <w:rPr>
          <w:color w:val="231F20"/>
          <w:spacing w:val="-15"/>
          <w:w w:val="105"/>
        </w:rPr>
        <w:t> </w:t>
      </w:r>
      <w:r>
        <w:rPr>
          <w:color w:val="231F20"/>
          <w:spacing w:val="-3"/>
          <w:w w:val="105"/>
        </w:rPr>
        <w:t>donde</w:t>
      </w:r>
      <w:r>
        <w:rPr>
          <w:color w:val="231F20"/>
          <w:spacing w:val="-15"/>
          <w:w w:val="105"/>
        </w:rPr>
        <w:t> </w:t>
      </w:r>
      <w:r>
        <w:rPr>
          <w:color w:val="231F20"/>
          <w:w w:val="105"/>
        </w:rPr>
        <w:t>el</w:t>
      </w:r>
      <w:r>
        <w:rPr>
          <w:color w:val="231F20"/>
          <w:spacing w:val="-15"/>
          <w:w w:val="105"/>
        </w:rPr>
        <w:t> </w:t>
      </w:r>
      <w:r>
        <w:rPr>
          <w:color w:val="231F20"/>
          <w:w w:val="105"/>
        </w:rPr>
        <w:t>PT</w:t>
      </w:r>
      <w:r>
        <w:rPr>
          <w:color w:val="231F20"/>
          <w:spacing w:val="-15"/>
          <w:w w:val="105"/>
        </w:rPr>
        <w:t> </w:t>
      </w:r>
      <w:r>
        <w:rPr>
          <w:color w:val="231F20"/>
          <w:w w:val="105"/>
        </w:rPr>
        <w:t>ha</w:t>
      </w:r>
      <w:r>
        <w:rPr>
          <w:color w:val="231F20"/>
          <w:spacing w:val="-15"/>
          <w:w w:val="105"/>
        </w:rPr>
        <w:t> </w:t>
      </w:r>
      <w:r>
        <w:rPr>
          <w:color w:val="231F20"/>
          <w:w w:val="105"/>
        </w:rPr>
        <w:t>sido</w:t>
      </w:r>
      <w:r>
        <w:rPr>
          <w:color w:val="231F20"/>
          <w:spacing w:val="-15"/>
          <w:w w:val="105"/>
        </w:rPr>
        <w:t> </w:t>
      </w:r>
      <w:r>
        <w:rPr>
          <w:color w:val="231F20"/>
          <w:w w:val="105"/>
        </w:rPr>
        <w:t>capaz</w:t>
      </w:r>
      <w:r>
        <w:rPr>
          <w:color w:val="231F20"/>
          <w:spacing w:val="-15"/>
          <w:w w:val="105"/>
        </w:rPr>
        <w:t> </w:t>
      </w:r>
      <w:r>
        <w:rPr>
          <w:color w:val="231F20"/>
          <w:w w:val="105"/>
        </w:rPr>
        <w:t>de</w:t>
      </w:r>
      <w:r>
        <w:rPr>
          <w:color w:val="231F20"/>
          <w:spacing w:val="-15"/>
          <w:w w:val="105"/>
        </w:rPr>
        <w:t> </w:t>
      </w:r>
      <w:r>
        <w:rPr>
          <w:color w:val="231F20"/>
          <w:w w:val="105"/>
        </w:rPr>
        <w:t>llevar</w:t>
      </w:r>
      <w:r>
        <w:rPr>
          <w:color w:val="231F20"/>
          <w:spacing w:val="-15"/>
          <w:w w:val="105"/>
        </w:rPr>
        <w:t> </w:t>
      </w:r>
      <w:r>
        <w:rPr>
          <w:color w:val="231F20"/>
          <w:w w:val="105"/>
        </w:rPr>
        <w:t>a</w:t>
      </w:r>
      <w:r>
        <w:rPr>
          <w:color w:val="231F20"/>
          <w:spacing w:val="-15"/>
          <w:w w:val="105"/>
        </w:rPr>
        <w:t> </w:t>
      </w:r>
      <w:r>
        <w:rPr>
          <w:color w:val="231F20"/>
          <w:w w:val="105"/>
        </w:rPr>
        <w:t>sus</w:t>
      </w:r>
      <w:r>
        <w:rPr>
          <w:color w:val="231F20"/>
          <w:spacing w:val="-15"/>
          <w:w w:val="105"/>
        </w:rPr>
        <w:t> </w:t>
      </w:r>
      <w:r>
        <w:rPr>
          <w:color w:val="231F20"/>
          <w:w w:val="105"/>
        </w:rPr>
        <w:t>candidatos</w:t>
      </w:r>
      <w:r>
        <w:rPr>
          <w:color w:val="231F20"/>
          <w:spacing w:val="-15"/>
          <w:w w:val="105"/>
        </w:rPr>
        <w:t> </w:t>
      </w:r>
      <w:r>
        <w:rPr>
          <w:color w:val="231F20"/>
          <w:spacing w:val="2"/>
          <w:w w:val="105"/>
        </w:rPr>
        <w:t>al</w:t>
      </w:r>
      <w:r>
        <w:rPr>
          <w:color w:val="231F20"/>
          <w:spacing w:val="-15"/>
          <w:w w:val="105"/>
        </w:rPr>
        <w:t> </w:t>
      </w:r>
      <w:r>
        <w:rPr>
          <w:color w:val="231F20"/>
          <w:spacing w:val="-3"/>
          <w:w w:val="105"/>
        </w:rPr>
        <w:t>gobier- </w:t>
      </w:r>
      <w:r>
        <w:rPr>
          <w:color w:val="231F20"/>
          <w:w w:val="105"/>
        </w:rPr>
        <w:t>no; con ello se presenta como una fuerza política muy importante en la competencia electoral</w:t>
      </w:r>
      <w:r>
        <w:rPr>
          <w:color w:val="231F20"/>
          <w:spacing w:val="-27"/>
          <w:w w:val="105"/>
        </w:rPr>
        <w:t> </w:t>
      </w:r>
      <w:r>
        <w:rPr>
          <w:color w:val="231F20"/>
          <w:w w:val="105"/>
        </w:rPr>
        <w:t>nacional.</w:t>
      </w:r>
    </w:p>
    <w:p>
      <w:pPr>
        <w:pStyle w:val="BodyText"/>
        <w:spacing w:before="9"/>
      </w:pPr>
    </w:p>
    <w:p>
      <w:pPr>
        <w:pStyle w:val="Heading3"/>
        <w:numPr>
          <w:ilvl w:val="0"/>
          <w:numId w:val="23"/>
        </w:numPr>
        <w:tabs>
          <w:tab w:pos="382" w:val="left" w:leader="none"/>
        </w:tabs>
        <w:spacing w:line="240" w:lineRule="auto" w:before="0" w:after="0"/>
        <w:ind w:left="381" w:right="0" w:hanging="271"/>
        <w:jc w:val="both"/>
      </w:pPr>
      <w:r>
        <w:rPr>
          <w:color w:val="231F20"/>
          <w:w w:val="105"/>
        </w:rPr>
        <w:t>Ozumba</w:t>
      </w:r>
    </w:p>
    <w:p>
      <w:pPr>
        <w:pStyle w:val="BodyText"/>
        <w:spacing w:line="285" w:lineRule="auto" w:before="38"/>
        <w:ind w:left="110" w:right="108"/>
        <w:jc w:val="both"/>
      </w:pP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apartado</w:t>
      </w:r>
      <w:r>
        <w:rPr>
          <w:color w:val="231F20"/>
          <w:spacing w:val="-7"/>
          <w:w w:val="105"/>
        </w:rPr>
        <w:t> </w:t>
      </w:r>
      <w:r>
        <w:rPr>
          <w:color w:val="231F20"/>
          <w:w w:val="105"/>
        </w:rPr>
        <w:t>se</w:t>
      </w:r>
      <w:r>
        <w:rPr>
          <w:color w:val="231F20"/>
          <w:spacing w:val="-7"/>
          <w:w w:val="105"/>
        </w:rPr>
        <w:t> </w:t>
      </w:r>
      <w:r>
        <w:rPr>
          <w:color w:val="231F20"/>
          <w:w w:val="105"/>
        </w:rPr>
        <w:t>presentan</w:t>
      </w:r>
      <w:r>
        <w:rPr>
          <w:color w:val="231F20"/>
          <w:spacing w:val="-7"/>
          <w:w w:val="105"/>
        </w:rPr>
        <w:t> </w:t>
      </w:r>
      <w:r>
        <w:rPr>
          <w:color w:val="231F20"/>
          <w:w w:val="105"/>
        </w:rPr>
        <w:t>los</w:t>
      </w:r>
      <w:r>
        <w:rPr>
          <w:color w:val="231F20"/>
          <w:spacing w:val="-7"/>
          <w:w w:val="105"/>
        </w:rPr>
        <w:t> </w:t>
      </w:r>
      <w:r>
        <w:rPr>
          <w:color w:val="231F20"/>
          <w:w w:val="105"/>
        </w:rPr>
        <w:t>datos</w:t>
      </w:r>
      <w:r>
        <w:rPr>
          <w:color w:val="231F20"/>
          <w:spacing w:val="-7"/>
          <w:w w:val="105"/>
        </w:rPr>
        <w:t> </w:t>
      </w:r>
      <w:r>
        <w:rPr>
          <w:color w:val="231F20"/>
          <w:w w:val="105"/>
        </w:rPr>
        <w:t>e</w:t>
      </w:r>
      <w:r>
        <w:rPr>
          <w:color w:val="231F20"/>
          <w:spacing w:val="-7"/>
          <w:w w:val="105"/>
        </w:rPr>
        <w:t> </w:t>
      </w:r>
      <w:r>
        <w:rPr>
          <w:color w:val="231F20"/>
          <w:w w:val="105"/>
        </w:rPr>
        <w:t>información</w:t>
      </w:r>
      <w:r>
        <w:rPr>
          <w:color w:val="231F20"/>
          <w:spacing w:val="-7"/>
          <w:w w:val="105"/>
        </w:rPr>
        <w:t> </w:t>
      </w:r>
      <w:r>
        <w:rPr>
          <w:color w:val="231F20"/>
          <w:w w:val="105"/>
        </w:rPr>
        <w:t>general</w:t>
      </w:r>
      <w:r>
        <w:rPr>
          <w:color w:val="231F20"/>
          <w:spacing w:val="-7"/>
          <w:w w:val="105"/>
        </w:rPr>
        <w:t> </w:t>
      </w:r>
      <w:r>
        <w:rPr>
          <w:color w:val="231F20"/>
          <w:w w:val="105"/>
        </w:rPr>
        <w:t>del</w:t>
      </w:r>
      <w:r>
        <w:rPr>
          <w:color w:val="231F20"/>
          <w:spacing w:val="-7"/>
          <w:w w:val="105"/>
        </w:rPr>
        <w:t> </w:t>
      </w:r>
      <w:r>
        <w:rPr>
          <w:color w:val="231F20"/>
          <w:w w:val="105"/>
        </w:rPr>
        <w:t>municipio</w:t>
      </w:r>
      <w:r>
        <w:rPr>
          <w:color w:val="231F20"/>
          <w:spacing w:val="-7"/>
          <w:w w:val="105"/>
        </w:rPr>
        <w:t> </w:t>
      </w:r>
      <w:r>
        <w:rPr>
          <w:color w:val="231F20"/>
          <w:w w:val="105"/>
        </w:rPr>
        <w:t>de</w:t>
      </w:r>
      <w:r>
        <w:rPr>
          <w:color w:val="231F20"/>
          <w:spacing w:val="-7"/>
          <w:w w:val="105"/>
        </w:rPr>
        <w:t> </w:t>
      </w:r>
      <w:r>
        <w:rPr>
          <w:color w:val="231F20"/>
          <w:w w:val="105"/>
        </w:rPr>
        <w:t>Ozum- ba, Estado de México, gobernado por el C. Samuel Martínez Andrade, quien llegó </w:t>
      </w:r>
      <w:r>
        <w:rPr>
          <w:color w:val="231F20"/>
          <w:spacing w:val="2"/>
          <w:w w:val="105"/>
        </w:rPr>
        <w:t>al </w:t>
      </w:r>
      <w:r>
        <w:rPr>
          <w:color w:val="231F20"/>
          <w:w w:val="105"/>
        </w:rPr>
        <w:t>cargo</w:t>
      </w:r>
      <w:r>
        <w:rPr>
          <w:color w:val="231F20"/>
          <w:spacing w:val="-10"/>
          <w:w w:val="105"/>
        </w:rPr>
        <w:t> </w:t>
      </w:r>
      <w:r>
        <w:rPr>
          <w:color w:val="231F20"/>
          <w:w w:val="105"/>
        </w:rPr>
        <w:t>de</w:t>
      </w:r>
      <w:r>
        <w:rPr>
          <w:color w:val="231F20"/>
          <w:spacing w:val="-10"/>
          <w:w w:val="105"/>
        </w:rPr>
        <w:t> </w:t>
      </w:r>
      <w:r>
        <w:rPr>
          <w:color w:val="231F20"/>
          <w:w w:val="105"/>
        </w:rPr>
        <w:t>presidente</w:t>
      </w:r>
      <w:r>
        <w:rPr>
          <w:color w:val="231F20"/>
          <w:spacing w:val="-10"/>
          <w:w w:val="105"/>
        </w:rPr>
        <w:t> </w:t>
      </w:r>
      <w:r>
        <w:rPr>
          <w:color w:val="231F20"/>
          <w:w w:val="105"/>
        </w:rPr>
        <w:t>municipal</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abanderamiento</w:t>
      </w:r>
      <w:r>
        <w:rPr>
          <w:color w:val="231F20"/>
          <w:spacing w:val="-10"/>
          <w:w w:val="105"/>
        </w:rPr>
        <w:t> </w:t>
      </w:r>
      <w:r>
        <w:rPr>
          <w:color w:val="231F20"/>
          <w:w w:val="105"/>
        </w:rPr>
        <w:t>del</w:t>
      </w:r>
      <w:r>
        <w:rPr>
          <w:color w:val="231F20"/>
          <w:spacing w:val="-10"/>
          <w:w w:val="105"/>
        </w:rPr>
        <w:t> </w:t>
      </w:r>
      <w:r>
        <w:rPr>
          <w:color w:val="231F20"/>
          <w:w w:val="105"/>
        </w:rPr>
        <w:t>Partido</w:t>
      </w:r>
      <w:r>
        <w:rPr>
          <w:color w:val="231F20"/>
          <w:spacing w:val="-10"/>
          <w:w w:val="105"/>
        </w:rPr>
        <w:t> </w:t>
      </w:r>
      <w:r>
        <w:rPr>
          <w:color w:val="231F20"/>
          <w:w w:val="105"/>
        </w:rPr>
        <w:t>del</w:t>
      </w:r>
      <w:r>
        <w:rPr>
          <w:color w:val="231F20"/>
          <w:spacing w:val="-10"/>
          <w:w w:val="105"/>
        </w:rPr>
        <w:t> </w:t>
      </w:r>
      <w:r>
        <w:rPr>
          <w:color w:val="231F20"/>
          <w:spacing w:val="-3"/>
          <w:w w:val="105"/>
        </w:rPr>
        <w:t>Trabajo.</w:t>
      </w:r>
    </w:p>
    <w:p>
      <w:pPr>
        <w:spacing w:after="0" w:line="285" w:lineRule="auto"/>
        <w:jc w:val="both"/>
        <w:sectPr>
          <w:pgSz w:w="9640" w:h="12190"/>
          <w:pgMar w:header="0" w:footer="743" w:top="1120" w:bottom="940" w:left="740" w:right="740"/>
        </w:sectPr>
      </w:pPr>
    </w:p>
    <w:p>
      <w:pPr>
        <w:pStyle w:val="BodyText"/>
        <w:spacing w:before="3"/>
        <w:rPr>
          <w:sz w:val="9"/>
        </w:rPr>
      </w:pPr>
    </w:p>
    <w:p>
      <w:pPr>
        <w:pStyle w:val="Heading3"/>
        <w:numPr>
          <w:ilvl w:val="1"/>
          <w:numId w:val="23"/>
        </w:numPr>
        <w:tabs>
          <w:tab w:pos="512" w:val="left" w:leader="none"/>
        </w:tabs>
        <w:spacing w:line="240" w:lineRule="auto" w:before="21" w:after="0"/>
        <w:ind w:left="511" w:right="0" w:hanging="401"/>
        <w:jc w:val="both"/>
        <w:rPr>
          <w:color w:val="231F20"/>
        </w:rPr>
      </w:pPr>
      <w:r>
        <w:rPr>
          <w:color w:val="231F20"/>
          <w:spacing w:val="-3"/>
          <w:w w:val="105"/>
        </w:rPr>
        <w:t>Toponimia </w:t>
      </w:r>
      <w:r>
        <w:rPr>
          <w:color w:val="231F20"/>
          <w:w w:val="105"/>
        </w:rPr>
        <w:t>y</w:t>
      </w:r>
      <w:r>
        <w:rPr>
          <w:color w:val="231F20"/>
          <w:spacing w:val="-19"/>
          <w:w w:val="105"/>
        </w:rPr>
        <w:t> </w:t>
      </w:r>
      <w:r>
        <w:rPr>
          <w:color w:val="231F20"/>
          <w:spacing w:val="-3"/>
          <w:w w:val="105"/>
        </w:rPr>
        <w:t>ubicación</w:t>
      </w:r>
    </w:p>
    <w:p>
      <w:pPr>
        <w:pStyle w:val="BodyText"/>
        <w:spacing w:line="285" w:lineRule="auto" w:before="38"/>
        <w:ind w:left="110" w:right="108"/>
        <w:jc w:val="both"/>
      </w:pPr>
      <w:r>
        <w:rPr>
          <w:color w:val="231F20"/>
        </w:rPr>
        <w:t>Ozumba viene del náhuatl, atzompan, que se compone de atl, </w:t>
      </w:r>
      <w:r>
        <w:rPr>
          <w:color w:val="231F20"/>
          <w:spacing w:val="-5"/>
        </w:rPr>
        <w:t>“agua”; </w:t>
      </w:r>
      <w:r>
        <w:rPr>
          <w:color w:val="231F20"/>
        </w:rPr>
        <w:t>tzontli, </w:t>
      </w:r>
      <w:r>
        <w:rPr>
          <w:color w:val="231F20"/>
          <w:spacing w:val="-4"/>
        </w:rPr>
        <w:t>“cabello”; </w:t>
      </w:r>
      <w:r>
        <w:rPr>
          <w:color w:val="231F20"/>
        </w:rPr>
        <w:t>pan, </w:t>
      </w:r>
      <w:r>
        <w:rPr>
          <w:color w:val="231F20"/>
          <w:spacing w:val="-6"/>
        </w:rPr>
        <w:t>“en” </w:t>
      </w:r>
      <w:r>
        <w:rPr>
          <w:color w:val="231F20"/>
        </w:rPr>
        <w:t>o </w:t>
      </w:r>
      <w:r>
        <w:rPr>
          <w:color w:val="231F20"/>
          <w:spacing w:val="-5"/>
        </w:rPr>
        <w:t>“sobre”, </w:t>
      </w:r>
      <w:r>
        <w:rPr>
          <w:color w:val="231F20"/>
        </w:rPr>
        <w:t>y significa </w:t>
      </w:r>
      <w:r>
        <w:rPr>
          <w:color w:val="231F20"/>
          <w:spacing w:val="-3"/>
        </w:rPr>
        <w:t>“sobre </w:t>
      </w:r>
      <w:r>
        <w:rPr>
          <w:color w:val="231F20"/>
        </w:rPr>
        <w:t>los cabellos del </w:t>
      </w:r>
      <w:r>
        <w:rPr>
          <w:color w:val="231F20"/>
          <w:spacing w:val="-4"/>
        </w:rPr>
        <w:t>agua”. </w:t>
      </w:r>
      <w:r>
        <w:rPr>
          <w:color w:val="231F20"/>
        </w:rPr>
        <w:t>Ozumba de Alzate, el </w:t>
      </w:r>
      <w:r>
        <w:rPr>
          <w:color w:val="231F20"/>
          <w:spacing w:val="-3"/>
        </w:rPr>
        <w:t>nom- </w:t>
      </w:r>
      <w:r>
        <w:rPr>
          <w:color w:val="231F20"/>
        </w:rPr>
        <w:t>bre de la cabecera es en </w:t>
      </w:r>
      <w:r>
        <w:rPr>
          <w:color w:val="231F20"/>
          <w:spacing w:val="-3"/>
        </w:rPr>
        <w:t>honor </w:t>
      </w:r>
      <w:r>
        <w:rPr>
          <w:color w:val="231F20"/>
        </w:rPr>
        <w:t>del ilustre científico Don José Antonio Alzate y Ramírez Santillana, que nació en </w:t>
      </w:r>
      <w:r>
        <w:rPr>
          <w:color w:val="231F20"/>
          <w:spacing w:val="53"/>
        </w:rPr>
        <w:t> </w:t>
      </w:r>
      <w:r>
        <w:rPr>
          <w:color w:val="231F20"/>
        </w:rPr>
        <w:t>Ozumba.</w:t>
      </w:r>
    </w:p>
    <w:p>
      <w:pPr>
        <w:pStyle w:val="BodyText"/>
        <w:spacing w:before="1"/>
        <w:rPr>
          <w:sz w:val="26"/>
        </w:rPr>
      </w:pPr>
    </w:p>
    <w:p>
      <w:pPr>
        <w:pStyle w:val="BodyText"/>
        <w:spacing w:line="285" w:lineRule="auto"/>
        <w:ind w:left="110" w:right="108"/>
        <w:jc w:val="both"/>
      </w:pPr>
      <w:r>
        <w:rPr>
          <w:color w:val="231F20"/>
          <w:w w:val="105"/>
        </w:rPr>
        <w:t>De acuerdo con la información del Instituto Nacional para el Federalismo y el Desa- rrollo Municipal (INAFED), Ozumba de Alzatese localiza en la porción sureste de la cuenca</w:t>
      </w:r>
      <w:r>
        <w:rPr>
          <w:color w:val="231F20"/>
          <w:spacing w:val="-11"/>
          <w:w w:val="105"/>
        </w:rPr>
        <w:t> </w:t>
      </w:r>
      <w:r>
        <w:rPr>
          <w:color w:val="231F20"/>
          <w:w w:val="105"/>
        </w:rPr>
        <w:t>hidrológica</w:t>
      </w:r>
      <w:r>
        <w:rPr>
          <w:color w:val="231F20"/>
          <w:spacing w:val="-11"/>
          <w:w w:val="105"/>
        </w:rPr>
        <w:t> </w:t>
      </w:r>
      <w:r>
        <w:rPr>
          <w:color w:val="231F20"/>
          <w:w w:val="105"/>
        </w:rPr>
        <w:t>del</w:t>
      </w:r>
      <w:r>
        <w:rPr>
          <w:color w:val="231F20"/>
          <w:spacing w:val="-11"/>
          <w:w w:val="105"/>
        </w:rPr>
        <w:t> </w:t>
      </w:r>
      <w:r>
        <w:rPr>
          <w:color w:val="231F20"/>
          <w:w w:val="105"/>
        </w:rPr>
        <w:t>Valle</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Las</w:t>
      </w:r>
      <w:r>
        <w:rPr>
          <w:color w:val="231F20"/>
          <w:spacing w:val="-11"/>
          <w:w w:val="105"/>
        </w:rPr>
        <w:t> </w:t>
      </w:r>
      <w:r>
        <w:rPr>
          <w:color w:val="231F20"/>
          <w:w w:val="105"/>
        </w:rPr>
        <w:t>coordenadas</w:t>
      </w:r>
      <w:r>
        <w:rPr>
          <w:color w:val="231F20"/>
          <w:spacing w:val="-11"/>
          <w:w w:val="105"/>
        </w:rPr>
        <w:t> </w:t>
      </w:r>
      <w:r>
        <w:rPr>
          <w:color w:val="231F20"/>
          <w:w w:val="105"/>
        </w:rPr>
        <w:t>extremas</w:t>
      </w:r>
      <w:r>
        <w:rPr>
          <w:color w:val="231F20"/>
          <w:spacing w:val="-11"/>
          <w:w w:val="105"/>
        </w:rPr>
        <w:t> </w:t>
      </w:r>
      <w:r>
        <w:rPr>
          <w:color w:val="231F20"/>
          <w:w w:val="105"/>
        </w:rPr>
        <w:t>del</w:t>
      </w:r>
      <w:r>
        <w:rPr>
          <w:color w:val="231F20"/>
          <w:spacing w:val="-11"/>
          <w:w w:val="105"/>
        </w:rPr>
        <w:t> </w:t>
      </w:r>
      <w:r>
        <w:rPr>
          <w:color w:val="231F20"/>
          <w:w w:val="105"/>
        </w:rPr>
        <w:t>municipio</w:t>
      </w:r>
      <w:r>
        <w:rPr>
          <w:color w:val="231F20"/>
          <w:spacing w:val="-11"/>
          <w:w w:val="105"/>
        </w:rPr>
        <w:t> </w:t>
      </w:r>
      <w:r>
        <w:rPr>
          <w:color w:val="231F20"/>
          <w:w w:val="105"/>
        </w:rPr>
        <w:t>son: 19º 02’ de latitud norte y 98° </w:t>
      </w:r>
      <w:r>
        <w:rPr>
          <w:color w:val="231F20"/>
          <w:spacing w:val="-8"/>
          <w:w w:val="105"/>
        </w:rPr>
        <w:t>48´14´’ </w:t>
      </w:r>
      <w:r>
        <w:rPr>
          <w:color w:val="231F20"/>
          <w:w w:val="105"/>
        </w:rPr>
        <w:t>de longitud oeste del meridiano de Greenwich y una</w:t>
      </w:r>
      <w:r>
        <w:rPr>
          <w:color w:val="231F20"/>
          <w:spacing w:val="-12"/>
          <w:w w:val="105"/>
        </w:rPr>
        <w:t> </w:t>
      </w:r>
      <w:r>
        <w:rPr>
          <w:color w:val="231F20"/>
          <w:w w:val="105"/>
        </w:rPr>
        <w:t>altura</w:t>
      </w:r>
      <w:r>
        <w:rPr>
          <w:color w:val="231F20"/>
          <w:spacing w:val="-12"/>
          <w:w w:val="105"/>
        </w:rPr>
        <w:t> </w:t>
      </w:r>
      <w:r>
        <w:rPr>
          <w:color w:val="231F20"/>
          <w:w w:val="105"/>
        </w:rPr>
        <w:t>de</w:t>
      </w:r>
      <w:r>
        <w:rPr>
          <w:color w:val="231F20"/>
          <w:spacing w:val="-12"/>
          <w:w w:val="105"/>
        </w:rPr>
        <w:t> </w:t>
      </w:r>
      <w:r>
        <w:rPr>
          <w:color w:val="231F20"/>
          <w:spacing w:val="3"/>
          <w:w w:val="105"/>
        </w:rPr>
        <w:t>2,340</w:t>
      </w:r>
      <w:r>
        <w:rPr>
          <w:color w:val="231F20"/>
          <w:spacing w:val="-12"/>
          <w:w w:val="105"/>
        </w:rPr>
        <w:t> </w:t>
      </w:r>
      <w:r>
        <w:rPr>
          <w:color w:val="231F20"/>
          <w:w w:val="105"/>
        </w:rPr>
        <w:t>metros</w:t>
      </w:r>
      <w:r>
        <w:rPr>
          <w:color w:val="231F20"/>
          <w:spacing w:val="-12"/>
          <w:w w:val="105"/>
        </w:rPr>
        <w:t> </w:t>
      </w:r>
      <w:r>
        <w:rPr>
          <w:color w:val="231F20"/>
          <w:w w:val="105"/>
        </w:rPr>
        <w:t>sobre</w:t>
      </w:r>
      <w:r>
        <w:rPr>
          <w:color w:val="231F20"/>
          <w:spacing w:val="-12"/>
          <w:w w:val="105"/>
        </w:rPr>
        <w:t> </w:t>
      </w:r>
      <w:r>
        <w:rPr>
          <w:color w:val="231F20"/>
          <w:w w:val="105"/>
        </w:rPr>
        <w:t>el</w:t>
      </w:r>
      <w:r>
        <w:rPr>
          <w:color w:val="231F20"/>
          <w:spacing w:val="-12"/>
          <w:w w:val="105"/>
        </w:rPr>
        <w:t> </w:t>
      </w:r>
      <w:r>
        <w:rPr>
          <w:color w:val="231F20"/>
          <w:w w:val="105"/>
        </w:rPr>
        <w:t>nivel</w:t>
      </w:r>
      <w:r>
        <w:rPr>
          <w:color w:val="231F20"/>
          <w:spacing w:val="-12"/>
          <w:w w:val="105"/>
        </w:rPr>
        <w:t> </w:t>
      </w:r>
      <w:r>
        <w:rPr>
          <w:color w:val="231F20"/>
          <w:w w:val="105"/>
        </w:rPr>
        <w:t>del</w:t>
      </w:r>
      <w:r>
        <w:rPr>
          <w:color w:val="231F20"/>
          <w:spacing w:val="-12"/>
          <w:w w:val="105"/>
        </w:rPr>
        <w:t> </w:t>
      </w:r>
      <w:r>
        <w:rPr>
          <w:color w:val="231F20"/>
          <w:w w:val="105"/>
        </w:rPr>
        <w:t>mar.</w:t>
      </w:r>
      <w:r>
        <w:rPr>
          <w:color w:val="231F20"/>
          <w:spacing w:val="-12"/>
          <w:w w:val="105"/>
        </w:rPr>
        <w:t> </w:t>
      </w:r>
      <w:r>
        <w:rPr>
          <w:color w:val="231F20"/>
          <w:w w:val="105"/>
        </w:rPr>
        <w:t>Limita</w:t>
      </w:r>
      <w:r>
        <w:rPr>
          <w:color w:val="231F20"/>
          <w:spacing w:val="-12"/>
          <w:w w:val="105"/>
        </w:rPr>
        <w:t> </w:t>
      </w:r>
      <w:r>
        <w:rPr>
          <w:color w:val="231F20"/>
          <w:w w:val="105"/>
        </w:rPr>
        <w:t>el</w:t>
      </w:r>
      <w:r>
        <w:rPr>
          <w:color w:val="231F20"/>
          <w:spacing w:val="-12"/>
          <w:w w:val="105"/>
        </w:rPr>
        <w:t> </w:t>
      </w:r>
      <w:r>
        <w:rPr>
          <w:color w:val="231F20"/>
          <w:w w:val="105"/>
        </w:rPr>
        <w:t>noreste</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de Ayapango</w:t>
      </w:r>
      <w:r>
        <w:rPr>
          <w:color w:val="231F20"/>
          <w:spacing w:val="-18"/>
          <w:w w:val="105"/>
        </w:rPr>
        <w:t> </w:t>
      </w:r>
      <w:r>
        <w:rPr>
          <w:color w:val="231F20"/>
          <w:w w:val="105"/>
        </w:rPr>
        <w:t>de</w:t>
      </w:r>
      <w:r>
        <w:rPr>
          <w:color w:val="231F20"/>
          <w:spacing w:val="-18"/>
          <w:w w:val="105"/>
        </w:rPr>
        <w:t> </w:t>
      </w:r>
      <w:r>
        <w:rPr>
          <w:color w:val="231F20"/>
          <w:w w:val="105"/>
        </w:rPr>
        <w:t>Ramos</w:t>
      </w:r>
      <w:r>
        <w:rPr>
          <w:color w:val="231F20"/>
          <w:spacing w:val="-18"/>
          <w:w w:val="105"/>
        </w:rPr>
        <w:t> </w:t>
      </w:r>
      <w:r>
        <w:rPr>
          <w:color w:val="231F20"/>
          <w:w w:val="105"/>
        </w:rPr>
        <w:t>Millán,</w:t>
      </w:r>
      <w:r>
        <w:rPr>
          <w:color w:val="231F20"/>
          <w:spacing w:val="-18"/>
          <w:w w:val="105"/>
        </w:rPr>
        <w:t> </w:t>
      </w:r>
      <w:r>
        <w:rPr>
          <w:color w:val="231F20"/>
          <w:spacing w:val="2"/>
          <w:w w:val="105"/>
        </w:rPr>
        <w:t>al</w:t>
      </w:r>
      <w:r>
        <w:rPr>
          <w:color w:val="231F20"/>
          <w:spacing w:val="-18"/>
          <w:w w:val="105"/>
        </w:rPr>
        <w:t> </w:t>
      </w:r>
      <w:r>
        <w:rPr>
          <w:color w:val="231F20"/>
          <w:w w:val="105"/>
        </w:rPr>
        <w:t>noroeste</w:t>
      </w:r>
      <w:r>
        <w:rPr>
          <w:color w:val="231F20"/>
          <w:spacing w:val="-18"/>
          <w:w w:val="105"/>
        </w:rPr>
        <w:t> </w:t>
      </w:r>
      <w:r>
        <w:rPr>
          <w:color w:val="231F20"/>
          <w:w w:val="105"/>
        </w:rPr>
        <w:t>con</w:t>
      </w:r>
      <w:r>
        <w:rPr>
          <w:color w:val="231F20"/>
          <w:spacing w:val="-18"/>
          <w:w w:val="105"/>
        </w:rPr>
        <w:t> </w:t>
      </w:r>
      <w:r>
        <w:rPr>
          <w:color w:val="231F20"/>
          <w:w w:val="105"/>
        </w:rPr>
        <w:t>Amecameca</w:t>
      </w:r>
      <w:r>
        <w:rPr>
          <w:color w:val="231F20"/>
          <w:spacing w:val="-18"/>
          <w:w w:val="105"/>
        </w:rPr>
        <w:t> </w:t>
      </w:r>
      <w:r>
        <w:rPr>
          <w:color w:val="231F20"/>
          <w:w w:val="105"/>
        </w:rPr>
        <w:t>de</w:t>
      </w:r>
      <w:r>
        <w:rPr>
          <w:color w:val="231F20"/>
          <w:spacing w:val="-18"/>
          <w:w w:val="105"/>
        </w:rPr>
        <w:t> </w:t>
      </w:r>
      <w:r>
        <w:rPr>
          <w:color w:val="231F20"/>
          <w:w w:val="105"/>
        </w:rPr>
        <w:t>Juárez,</w:t>
      </w:r>
      <w:r>
        <w:rPr>
          <w:color w:val="231F20"/>
          <w:spacing w:val="-18"/>
          <w:w w:val="105"/>
        </w:rPr>
        <w:t> </w:t>
      </w:r>
      <w:r>
        <w:rPr>
          <w:color w:val="231F20"/>
          <w:spacing w:val="2"/>
          <w:w w:val="105"/>
        </w:rPr>
        <w:t>al</w:t>
      </w:r>
      <w:r>
        <w:rPr>
          <w:color w:val="231F20"/>
          <w:spacing w:val="-18"/>
          <w:w w:val="105"/>
        </w:rPr>
        <w:t> </w:t>
      </w:r>
      <w:r>
        <w:rPr>
          <w:color w:val="231F20"/>
          <w:w w:val="105"/>
        </w:rPr>
        <w:t>este</w:t>
      </w:r>
      <w:r>
        <w:rPr>
          <w:color w:val="231F20"/>
          <w:spacing w:val="-18"/>
          <w:w w:val="105"/>
        </w:rPr>
        <w:t> </w:t>
      </w:r>
      <w:r>
        <w:rPr>
          <w:color w:val="231F20"/>
          <w:w w:val="105"/>
        </w:rPr>
        <w:t>con</w:t>
      </w:r>
      <w:r>
        <w:rPr>
          <w:color w:val="231F20"/>
          <w:spacing w:val="-18"/>
          <w:w w:val="105"/>
        </w:rPr>
        <w:t> </w:t>
      </w:r>
      <w:r>
        <w:rPr>
          <w:color w:val="231F20"/>
          <w:w w:val="105"/>
        </w:rPr>
        <w:t>Atlautla de</w:t>
      </w:r>
      <w:r>
        <w:rPr>
          <w:color w:val="231F20"/>
          <w:spacing w:val="-25"/>
          <w:w w:val="105"/>
        </w:rPr>
        <w:t> </w:t>
      </w:r>
      <w:r>
        <w:rPr>
          <w:color w:val="231F20"/>
          <w:w w:val="105"/>
        </w:rPr>
        <w:t>Victoria,</w:t>
      </w:r>
      <w:r>
        <w:rPr>
          <w:color w:val="231F20"/>
          <w:spacing w:val="-25"/>
          <w:w w:val="105"/>
        </w:rPr>
        <w:t> </w:t>
      </w:r>
      <w:r>
        <w:rPr>
          <w:color w:val="231F20"/>
          <w:spacing w:val="2"/>
          <w:w w:val="105"/>
        </w:rPr>
        <w:t>al</w:t>
      </w:r>
      <w:r>
        <w:rPr>
          <w:color w:val="231F20"/>
          <w:spacing w:val="-25"/>
          <w:w w:val="105"/>
        </w:rPr>
        <w:t> </w:t>
      </w:r>
      <w:r>
        <w:rPr>
          <w:color w:val="231F20"/>
          <w:w w:val="105"/>
        </w:rPr>
        <w:t>oeste</w:t>
      </w:r>
      <w:r>
        <w:rPr>
          <w:color w:val="231F20"/>
          <w:spacing w:val="-25"/>
          <w:w w:val="105"/>
        </w:rPr>
        <w:t> </w:t>
      </w:r>
      <w:r>
        <w:rPr>
          <w:color w:val="231F20"/>
          <w:w w:val="105"/>
        </w:rPr>
        <w:t>con</w:t>
      </w:r>
      <w:r>
        <w:rPr>
          <w:color w:val="231F20"/>
          <w:spacing w:val="-25"/>
          <w:w w:val="105"/>
        </w:rPr>
        <w:t> </w:t>
      </w:r>
      <w:r>
        <w:rPr>
          <w:color w:val="231F20"/>
          <w:w w:val="105"/>
        </w:rPr>
        <w:t>San</w:t>
      </w:r>
      <w:r>
        <w:rPr>
          <w:color w:val="231F20"/>
          <w:spacing w:val="-25"/>
          <w:w w:val="105"/>
        </w:rPr>
        <w:t> </w:t>
      </w:r>
      <w:r>
        <w:rPr>
          <w:color w:val="231F20"/>
          <w:w w:val="105"/>
        </w:rPr>
        <w:t>Esteban</w:t>
      </w:r>
      <w:r>
        <w:rPr>
          <w:color w:val="231F20"/>
          <w:spacing w:val="-25"/>
          <w:w w:val="105"/>
        </w:rPr>
        <w:t> </w:t>
      </w:r>
      <w:r>
        <w:rPr>
          <w:color w:val="231F20"/>
          <w:w w:val="105"/>
        </w:rPr>
        <w:t>Tepetlixpa</w:t>
      </w:r>
      <w:r>
        <w:rPr>
          <w:color w:val="231F20"/>
          <w:spacing w:val="-25"/>
          <w:w w:val="105"/>
        </w:rPr>
        <w:t> </w:t>
      </w:r>
      <w:r>
        <w:rPr>
          <w:color w:val="231F20"/>
          <w:w w:val="105"/>
        </w:rPr>
        <w:t>y</w:t>
      </w:r>
      <w:r>
        <w:rPr>
          <w:color w:val="231F20"/>
          <w:spacing w:val="-25"/>
          <w:w w:val="105"/>
        </w:rPr>
        <w:t> </w:t>
      </w:r>
      <w:r>
        <w:rPr>
          <w:color w:val="231F20"/>
          <w:w w:val="105"/>
        </w:rPr>
        <w:t>Juchitepec</w:t>
      </w:r>
      <w:r>
        <w:rPr>
          <w:color w:val="231F20"/>
          <w:spacing w:val="-25"/>
          <w:w w:val="105"/>
        </w:rPr>
        <w:t> </w:t>
      </w:r>
      <w:r>
        <w:rPr>
          <w:color w:val="231F20"/>
          <w:w w:val="105"/>
        </w:rPr>
        <w:t>de</w:t>
      </w:r>
      <w:r>
        <w:rPr>
          <w:color w:val="231F20"/>
          <w:spacing w:val="-25"/>
          <w:w w:val="105"/>
        </w:rPr>
        <w:t> </w:t>
      </w:r>
      <w:r>
        <w:rPr>
          <w:color w:val="231F20"/>
          <w:w w:val="105"/>
        </w:rPr>
        <w:t>Riva-Palacio</w:t>
      </w:r>
      <w:r>
        <w:rPr>
          <w:color w:val="231F20"/>
          <w:spacing w:val="-25"/>
          <w:w w:val="105"/>
        </w:rPr>
        <w:t> </w:t>
      </w:r>
      <w:r>
        <w:rPr>
          <w:color w:val="231F20"/>
          <w:w w:val="105"/>
        </w:rPr>
        <w:t>y</w:t>
      </w:r>
      <w:r>
        <w:rPr>
          <w:color w:val="231F20"/>
          <w:spacing w:val="-25"/>
          <w:w w:val="105"/>
        </w:rPr>
        <w:t> </w:t>
      </w:r>
      <w:r>
        <w:rPr>
          <w:color w:val="231F20"/>
          <w:spacing w:val="2"/>
          <w:w w:val="105"/>
        </w:rPr>
        <w:t>al</w:t>
      </w:r>
      <w:r>
        <w:rPr>
          <w:color w:val="231F20"/>
          <w:spacing w:val="-25"/>
          <w:w w:val="105"/>
        </w:rPr>
        <w:t> </w:t>
      </w:r>
      <w:r>
        <w:rPr>
          <w:color w:val="231F20"/>
          <w:spacing w:val="-3"/>
          <w:w w:val="105"/>
        </w:rPr>
        <w:t>sur,</w:t>
      </w:r>
      <w:r>
        <w:rPr>
          <w:color w:val="231F20"/>
          <w:spacing w:val="-25"/>
          <w:w w:val="105"/>
        </w:rPr>
        <w:t> </w:t>
      </w:r>
      <w:r>
        <w:rPr>
          <w:color w:val="231F20"/>
          <w:w w:val="105"/>
        </w:rPr>
        <w:t>en una</w:t>
      </w:r>
      <w:r>
        <w:rPr>
          <w:color w:val="231F20"/>
          <w:spacing w:val="-11"/>
          <w:w w:val="105"/>
        </w:rPr>
        <w:t> </w:t>
      </w:r>
      <w:r>
        <w:rPr>
          <w:color w:val="231F20"/>
          <w:w w:val="105"/>
        </w:rPr>
        <w:t>angosta</w:t>
      </w:r>
      <w:r>
        <w:rPr>
          <w:color w:val="231F20"/>
          <w:spacing w:val="-11"/>
          <w:w w:val="105"/>
        </w:rPr>
        <w:t> </w:t>
      </w:r>
      <w:r>
        <w:rPr>
          <w:color w:val="231F20"/>
          <w:w w:val="105"/>
        </w:rPr>
        <w:t>franja</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Morelos.</w:t>
      </w:r>
      <w:r>
        <w:rPr>
          <w:color w:val="231F20"/>
          <w:spacing w:val="-11"/>
          <w:w w:val="105"/>
        </w:rPr>
        <w:t> </w:t>
      </w:r>
      <w:r>
        <w:rPr>
          <w:color w:val="231F20"/>
          <w:w w:val="105"/>
        </w:rPr>
        <w:t>Se</w:t>
      </w:r>
      <w:r>
        <w:rPr>
          <w:color w:val="231F20"/>
          <w:spacing w:val="-11"/>
          <w:w w:val="105"/>
        </w:rPr>
        <w:t> </w:t>
      </w:r>
      <w:r>
        <w:rPr>
          <w:color w:val="231F20"/>
          <w:w w:val="105"/>
        </w:rPr>
        <w:t>encuentra</w:t>
      </w:r>
      <w:r>
        <w:rPr>
          <w:color w:val="231F20"/>
          <w:spacing w:val="-11"/>
          <w:w w:val="105"/>
        </w:rPr>
        <w:t> </w:t>
      </w:r>
      <w:r>
        <w:rPr>
          <w:color w:val="231F20"/>
          <w:w w:val="105"/>
        </w:rPr>
        <w:t>a</w:t>
      </w:r>
      <w:r>
        <w:rPr>
          <w:color w:val="231F20"/>
          <w:spacing w:val="-11"/>
          <w:w w:val="105"/>
        </w:rPr>
        <w:t> </w:t>
      </w:r>
      <w:r>
        <w:rPr>
          <w:color w:val="231F20"/>
          <w:spacing w:val="-3"/>
          <w:w w:val="105"/>
        </w:rPr>
        <w:t>70</w:t>
      </w:r>
      <w:r>
        <w:rPr>
          <w:color w:val="231F20"/>
          <w:spacing w:val="-11"/>
          <w:w w:val="105"/>
        </w:rPr>
        <w:t> </w:t>
      </w:r>
      <w:r>
        <w:rPr>
          <w:color w:val="231F20"/>
          <w:w w:val="105"/>
        </w:rPr>
        <w:t>kilómetros</w:t>
      </w:r>
      <w:r>
        <w:rPr>
          <w:color w:val="231F20"/>
          <w:spacing w:val="-11"/>
          <w:w w:val="105"/>
        </w:rPr>
        <w:t> </w:t>
      </w:r>
      <w:r>
        <w:rPr>
          <w:color w:val="231F20"/>
          <w:spacing w:val="2"/>
          <w:w w:val="105"/>
        </w:rPr>
        <w:t>al</w:t>
      </w:r>
      <w:r>
        <w:rPr>
          <w:color w:val="231F20"/>
          <w:spacing w:val="-11"/>
          <w:w w:val="105"/>
        </w:rPr>
        <w:t> </w:t>
      </w:r>
      <w:r>
        <w:rPr>
          <w:color w:val="231F20"/>
          <w:w w:val="105"/>
        </w:rPr>
        <w:t>sureste</w:t>
      </w:r>
      <w:r>
        <w:rPr>
          <w:color w:val="231F20"/>
          <w:spacing w:val="-11"/>
          <w:w w:val="105"/>
        </w:rPr>
        <w:t> </w:t>
      </w:r>
      <w:r>
        <w:rPr>
          <w:color w:val="231F20"/>
          <w:w w:val="105"/>
        </w:rPr>
        <w:t>de la</w:t>
      </w:r>
      <w:r>
        <w:rPr>
          <w:color w:val="231F20"/>
          <w:spacing w:val="-10"/>
          <w:w w:val="105"/>
        </w:rPr>
        <w:t> </w:t>
      </w:r>
      <w:r>
        <w:rPr>
          <w:color w:val="231F20"/>
          <w:w w:val="105"/>
        </w:rPr>
        <w:t>ciudad</w:t>
      </w:r>
      <w:r>
        <w:rPr>
          <w:color w:val="231F20"/>
          <w:spacing w:val="-10"/>
          <w:w w:val="105"/>
        </w:rPr>
        <w:t> </w:t>
      </w:r>
      <w:r>
        <w:rPr>
          <w:color w:val="231F20"/>
          <w:w w:val="105"/>
        </w:rPr>
        <w:t>de</w:t>
      </w:r>
      <w:r>
        <w:rPr>
          <w:color w:val="231F20"/>
          <w:spacing w:val="-10"/>
          <w:w w:val="105"/>
        </w:rPr>
        <w:t> </w:t>
      </w:r>
      <w:r>
        <w:rPr>
          <w:color w:val="231F20"/>
          <w:w w:val="105"/>
        </w:rPr>
        <w:t>México,</w:t>
      </w:r>
      <w:r>
        <w:rPr>
          <w:color w:val="231F20"/>
          <w:spacing w:val="-10"/>
          <w:w w:val="105"/>
        </w:rPr>
        <w:t> </w:t>
      </w:r>
      <w:r>
        <w:rPr>
          <w:color w:val="231F20"/>
          <w:w w:val="105"/>
        </w:rPr>
        <w:t>dos</w:t>
      </w:r>
      <w:r>
        <w:rPr>
          <w:color w:val="231F20"/>
          <w:spacing w:val="-10"/>
          <w:w w:val="105"/>
        </w:rPr>
        <w:t> </w:t>
      </w:r>
      <w:r>
        <w:rPr>
          <w:color w:val="231F20"/>
          <w:w w:val="105"/>
        </w:rPr>
        <w:t>kilómetros</w:t>
      </w:r>
      <w:r>
        <w:rPr>
          <w:color w:val="231F20"/>
          <w:spacing w:val="-10"/>
          <w:w w:val="105"/>
        </w:rPr>
        <w:t> </w:t>
      </w:r>
      <w:r>
        <w:rPr>
          <w:color w:val="231F20"/>
          <w:spacing w:val="2"/>
          <w:w w:val="105"/>
        </w:rPr>
        <w:t>al</w:t>
      </w:r>
      <w:r>
        <w:rPr>
          <w:color w:val="231F20"/>
          <w:spacing w:val="-10"/>
          <w:w w:val="105"/>
        </w:rPr>
        <w:t> </w:t>
      </w:r>
      <w:r>
        <w:rPr>
          <w:color w:val="231F20"/>
          <w:w w:val="105"/>
        </w:rPr>
        <w:t>este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desviación</w:t>
      </w:r>
      <w:r>
        <w:rPr>
          <w:color w:val="231F20"/>
          <w:spacing w:val="-10"/>
          <w:w w:val="105"/>
        </w:rPr>
        <w:t> </w:t>
      </w:r>
      <w:r>
        <w:rPr>
          <w:color w:val="231F20"/>
          <w:w w:val="105"/>
        </w:rPr>
        <w:t>que</w:t>
      </w:r>
      <w:r>
        <w:rPr>
          <w:color w:val="231F20"/>
          <w:spacing w:val="-10"/>
          <w:w w:val="105"/>
        </w:rPr>
        <w:t> </w:t>
      </w:r>
      <w:r>
        <w:rPr>
          <w:color w:val="231F20"/>
          <w:w w:val="105"/>
        </w:rPr>
        <w:t>parte</w:t>
      </w:r>
      <w:r>
        <w:rPr>
          <w:color w:val="231F20"/>
          <w:spacing w:val="-10"/>
          <w:w w:val="105"/>
        </w:rPr>
        <w:t> </w:t>
      </w:r>
      <w:r>
        <w:rPr>
          <w:color w:val="231F20"/>
          <w:w w:val="105"/>
        </w:rPr>
        <w:t>del</w:t>
      </w:r>
      <w:r>
        <w:rPr>
          <w:color w:val="231F20"/>
          <w:spacing w:val="-10"/>
          <w:w w:val="105"/>
        </w:rPr>
        <w:t> </w:t>
      </w:r>
      <w:r>
        <w:rPr>
          <w:color w:val="231F20"/>
          <w:w w:val="105"/>
        </w:rPr>
        <w:t>kilómetro</w:t>
      </w:r>
      <w:r>
        <w:rPr>
          <w:color w:val="231F20"/>
          <w:spacing w:val="-10"/>
          <w:w w:val="105"/>
        </w:rPr>
        <w:t> </w:t>
      </w:r>
      <w:r>
        <w:rPr>
          <w:color w:val="231F20"/>
          <w:w w:val="105"/>
        </w:rPr>
        <w:t>68 de la carretera</w:t>
      </w:r>
      <w:r>
        <w:rPr>
          <w:color w:val="231F20"/>
          <w:spacing w:val="-36"/>
          <w:w w:val="105"/>
        </w:rPr>
        <w:t> </w:t>
      </w:r>
      <w:r>
        <w:rPr>
          <w:color w:val="231F20"/>
          <w:w w:val="105"/>
        </w:rPr>
        <w:t>México-Cuautla.</w:t>
      </w:r>
    </w:p>
    <w:p>
      <w:pPr>
        <w:pStyle w:val="BodyText"/>
        <w:spacing w:before="1"/>
        <w:rPr>
          <w:sz w:val="26"/>
        </w:rPr>
      </w:pPr>
    </w:p>
    <w:p>
      <w:pPr>
        <w:pStyle w:val="Heading5"/>
        <w:ind w:left="2061"/>
      </w:pPr>
      <w:r>
        <w:rPr/>
        <w:drawing>
          <wp:anchor distT="0" distB="0" distL="0" distR="0" allowOverlap="1" layoutInCell="1" locked="0" behindDoc="0" simplePos="0" relativeHeight="13720">
            <wp:simplePos x="0" y="0"/>
            <wp:positionH relativeFrom="page">
              <wp:posOffset>539733</wp:posOffset>
            </wp:positionH>
            <wp:positionV relativeFrom="paragraph">
              <wp:posOffset>321519</wp:posOffset>
            </wp:positionV>
            <wp:extent cx="1354988" cy="1143000"/>
            <wp:effectExtent l="0" t="0" r="0" b="0"/>
            <wp:wrapTopAndBottom/>
            <wp:docPr id="439" name="image1048.png" descr=""/>
            <wp:cNvGraphicFramePr>
              <a:graphicFrameLocks noChangeAspect="1"/>
            </wp:cNvGraphicFramePr>
            <a:graphic>
              <a:graphicData uri="http://schemas.openxmlformats.org/drawingml/2006/picture">
                <pic:pic>
                  <pic:nvPicPr>
                    <pic:cNvPr id="440" name="image1048.png"/>
                    <pic:cNvPicPr/>
                  </pic:nvPicPr>
                  <pic:blipFill>
                    <a:blip r:embed="rId1153" cstate="print"/>
                    <a:stretch>
                      <a:fillRect/>
                    </a:stretch>
                  </pic:blipFill>
                  <pic:spPr>
                    <a:xfrm>
                      <a:off x="0" y="0"/>
                      <a:ext cx="1354988" cy="1143000"/>
                    </a:xfrm>
                    <a:prstGeom prst="rect">
                      <a:avLst/>
                    </a:prstGeom>
                  </pic:spPr>
                </pic:pic>
              </a:graphicData>
            </a:graphic>
          </wp:anchor>
        </w:drawing>
      </w:r>
      <w:r>
        <w:rPr/>
        <w:pict>
          <v:group style="position:absolute;margin-left:161.195999pt;margin-top:18.861427pt;width:249.2pt;height:186.1pt;mso-position-horizontal-relative:page;mso-position-vertical-relative:paragraph;z-index:13744;mso-wrap-distance-left:0;mso-wrap-distance-right:0" coordorigin="3224,377" coordsize="4984,3722">
            <v:shape style="position:absolute;left:3224;top:377;width:4984;height:3722" type="#_x0000_t75" stroked="false">
              <v:imagedata r:id="rId1154" o:title=""/>
            </v:shape>
            <v:shape style="position:absolute;left:3964;top:1707;width:347;height:102" type="#_x0000_t75" stroked="false">
              <v:imagedata r:id="rId1155" o:title=""/>
            </v:shape>
            <v:shape style="position:absolute;left:4335;top:1704;width:467;height:110" type="#_x0000_t75" stroked="false">
              <v:imagedata r:id="rId1156" o:title=""/>
            </v:shape>
            <v:shape style="position:absolute;left:4782;top:2842;width:79;height:97" coordorigin="4782,2842" coordsize="79,97" path="m4828,2853l4815,2853,4815,2939,4828,2939,4828,2853xm4861,2842l4782,2842,4782,2853,4861,2853,4861,2842xe" filled="true" fillcolor="#231f20" stroked="false">
              <v:path arrowok="t"/>
              <v:fill type="solid"/>
            </v:shape>
            <v:shape style="position:absolute;left:4874;top:2842;width:72;height:97" coordorigin="4874,2842" coordsize="72,97" path="m4944,2842l4874,2842,4874,2939,4945,2939,4945,2927,4887,2927,4887,2894,4940,2894,4940,2883,4887,2883,4887,2854,4944,2854,4944,2842xe" filled="true" fillcolor="#231f20" stroked="false">
              <v:path arrowok="t"/>
              <v:fill type="solid"/>
            </v:shape>
            <v:shape style="position:absolute;left:4964;top:2842;width:72;height:97" coordorigin="4964,2842" coordsize="72,97" path="m5016,2842l4964,2842,4964,2939,4977,2939,4977,2898,5017,2898,5024,2895,5031,2887,4977,2887,4977,2853,5032,2853,5023,2844,5016,2842xm5032,2853l5008,2853,5012,2854,5015,2855,5020,2858,5023,2863,5023,2876,5021,2880,5014,2885,5009,2887,5031,2887,5034,2884,5036,2877,5036,2861,5033,2854,5032,2853xe" filled="true" fillcolor="#231f20" stroked="false">
              <v:path arrowok="t"/>
              <v:fill type="solid"/>
            </v:shape>
            <v:shape style="position:absolute;left:5054;top:2842;width:72;height:97" coordorigin="5054,2842" coordsize="72,97" path="m5124,2842l5054,2842,5054,2939,5125,2939,5125,2927,5067,2927,5067,2894,5120,2894,5120,2883,5067,2883,5067,2854,5124,2854,5124,2842xe" filled="true" fillcolor="#231f20" stroked="false">
              <v:path arrowok="t"/>
              <v:fill type="solid"/>
            </v:shape>
            <v:shape style="position:absolute;left:5144;top:2842;width:77;height:100" coordorigin="5144,2842" coordsize="77,100" path="m5157,2842l5144,2842,5144,2909,5145,2917,5154,2935,5165,2941,5198,2941,5209,2935,5212,2930,5171,2930,5165,2926,5161,2919,5158,2915,5157,2909,5157,2842xm5220,2842l5207,2842,5207,2909,5206,2914,5200,2926,5192,2930,5212,2930,5219,2917,5220,2909,5220,2842xe" filled="true" fillcolor="#231f20" stroked="false">
              <v:path arrowok="t"/>
              <v:fill type="solid"/>
            </v:shape>
            <v:shape style="position:absolute;left:5233;top:2842;width:85;height:97" coordorigin="5233,2842" coordsize="85,97" path="m5251,2842l5235,2842,5267,2889,5233,2939,5248,2939,5275,2899,5290,2899,5283,2889,5290,2879,5276,2879,5251,2842xm5290,2899l5275,2899,5301,2939,5317,2939,5290,2899xm5315,2842l5300,2842,5276,2879,5290,2879,5315,2842xe" filled="true" fillcolor="#231f20" stroked="false">
              <v:path arrowok="t"/>
              <v:fill type="solid"/>
            </v:shape>
            <v:shape style="position:absolute;left:5331;top:2842;width:72;height:97" coordorigin="5331,2842" coordsize="72,97" path="m5383,2842l5331,2842,5331,2939,5345,2939,5345,2898,5384,2898,5392,2895,5399,2887,5345,2887,5345,2853,5400,2853,5390,2844,5383,2842xm5400,2853l5375,2853,5379,2854,5382,2855,5388,2858,5390,2863,5390,2876,5388,2880,5381,2885,5376,2887,5399,2887,5401,2884,5403,2877,5403,2861,5401,2854,5400,2853xe" filled="true" fillcolor="#231f20" stroked="false">
              <v:path arrowok="t"/>
              <v:fill type="solid"/>
            </v:shape>
            <v:shape style="position:absolute;left:5402;top:2842;width:87;height:97" coordorigin="5402,2842" coordsize="87,97" path="m5453,2842l5438,2842,5402,2939,5415,2939,5426,2910,5478,2910,5474,2899,5430,2899,5445,2856,5458,2856,5453,2842xm5478,2910l5464,2910,5474,2939,5488,2939,5478,2910xm5458,2856l5445,2856,5460,2899,5474,2899,5458,2856xe" filled="true" fillcolor="#231f20" stroked="false">
              <v:path arrowok="t"/>
              <v:fill type="solid"/>
            </v:shape>
            <v:shape style="position:absolute;left:6659;top:2524;width:87;height:97" coordorigin="6659,2524" coordsize="87,97" path="m6710,2524l6695,2524,6659,2621,6672,2621,6683,2592,6735,2592,6731,2581,6687,2581,6702,2539,6716,2539,6710,2524xm6735,2592l6721,2592,6731,2621,6745,2621,6735,2592xm6716,2539l6702,2539,6717,2581,6731,2581,6716,2539xe" filled="true" fillcolor="#231f20" stroked="false">
              <v:path arrowok="t"/>
              <v:fill type="solid"/>
            </v:shape>
            <v:shape style="position:absolute;left:6739;top:2524;width:79;height:97" coordorigin="6739,2524" coordsize="79,97" path="m6785,2536l6772,2536,6772,2621,6785,2621,6785,2536xm6818,2524l6739,2524,6739,2536,6818,2536,6818,2524xe" filled="true" fillcolor="#231f20" stroked="false">
              <v:path arrowok="t"/>
              <v:fill type="solid"/>
            </v:shape>
            <v:shape style="position:absolute;left:6830;top:2524;width:62;height:97" coordorigin="6830,2524" coordsize="62,97" path="m6843,2524l6830,2524,6830,2621,6891,2621,6891,2610,6843,2610,6843,2524xe" filled="true" fillcolor="#231f20" stroked="false">
              <v:path arrowok="t"/>
              <v:fill type="solid"/>
            </v:shape>
            <v:shape style="position:absolute;left:6897;top:2524;width:87;height:97" coordorigin="6897,2524" coordsize="87,97" path="m6948,2524l6933,2524,6897,2621,6910,2621,6921,2592,6972,2592,6969,2581,6924,2581,6940,2539,6953,2539,6948,2524xm6972,2592l6958,2592,6969,2621,6983,2621,6972,2592xm6953,2539l6940,2539,6955,2581,6969,2581,6953,2539xe" filled="true" fillcolor="#231f20" stroked="false">
              <v:path arrowok="t"/>
              <v:fill type="solid"/>
            </v:shape>
            <v:shape style="position:absolute;left:6996;top:2524;width:77;height:100" coordorigin="6996,2524" coordsize="77,100" path="m7009,2524l6996,2524,6996,2591,6997,2600,7006,2618,7017,2624,7050,2624,7061,2618,7064,2612,7023,2612,7017,2609,7013,2602,7010,2597,7009,2591,7009,2524xm7072,2524l7059,2524,7059,2591,7058,2597,7052,2608,7044,2612,7064,2612,7071,2600,7072,2591,7072,2524xe" filled="true" fillcolor="#231f20" stroked="false">
              <v:path arrowok="t"/>
              <v:fill type="solid"/>
            </v:shape>
            <v:shape style="position:absolute;left:7084;top:2524;width:79;height:97" coordorigin="7084,2524" coordsize="79,97" path="m7130,2536l7117,2536,7117,2621,7130,2621,7130,2536xm7163,2524l7084,2524,7084,2536,7163,2536,7163,2524xe" filled="true" fillcolor="#231f20" stroked="false">
              <v:path arrowok="t"/>
              <v:fill type="solid"/>
            </v:shape>
            <v:shape style="position:absolute;left:7175;top:2524;width:62;height:97" coordorigin="7175,2524" coordsize="62,97" path="m7188,2524l7175,2524,7175,2621,7236,2621,7236,2610,7188,2610,7188,2524xe" filled="true" fillcolor="#231f20" stroked="false">
              <v:path arrowok="t"/>
              <v:fill type="solid"/>
            </v:shape>
            <v:shape style="position:absolute;left:7241;top:2524;width:87;height:97" coordorigin="7241,2524" coordsize="87,97" path="m7293,2524l7278,2524,7241,2621,7255,2621,7265,2592,7317,2592,7313,2581,7269,2581,7285,2539,7298,2539,7293,2524xm7317,2592l7303,2592,7313,2621,7328,2621,7317,2592xm7298,2539l7285,2539,7300,2581,7313,2581,7298,2539xe" filled="true" fillcolor="#231f20" stroked="false">
              <v:path arrowok="t"/>
              <v:fill type="solid"/>
            </v:shape>
            <v:shape style="position:absolute;left:5228;top:2158;width:570;height:102" type="#_x0000_t75" stroked="false">
              <v:imagedata r:id="rId1157" o:title=""/>
            </v:shape>
            <v:shape style="position:absolute;left:6568;top:1148;width:87;height:97" coordorigin="6568,1148" coordsize="87,97" path="m6619,1148l6604,1148,6568,1245,6581,1245,6592,1216,6643,1216,6640,1205,6595,1205,6611,1162,6624,1162,6619,1148xm6643,1216l6630,1216,6640,1245,6654,1245,6643,1216xm6624,1162l6611,1162,6626,1205,6640,1205,6624,1162xe" filled="true" fillcolor="#231f20" stroked="false">
              <v:path arrowok="t"/>
              <v:fill type="solid"/>
            </v:shape>
            <v:shape style="position:absolute;left:6665;top:1148;width:93;height:97" coordorigin="6665,1148" coordsize="93,97" path="m6684,1148l6665,1148,6665,1245,6678,1245,6678,1185,6678,1177,6678,1163,6689,1163,6684,1148xm6689,1163l6678,1163,6706,1245,6719,1245,6724,1230,6712,1230,6689,1163xm6758,1163l6746,1163,6746,1245,6758,1245,6758,1163xm6758,1148l6740,1148,6712,1230,6724,1230,6746,1163,6758,1163,6758,1148xe" filled="true" fillcolor="#231f20" stroked="false">
              <v:path arrowok="t"/>
              <v:fill type="solid"/>
            </v:shape>
            <v:shape style="position:absolute;left:6779;top:1148;width:72;height:97" coordorigin="6779,1148" coordsize="72,97" path="m6850,1148l6779,1148,6779,1245,6851,1245,6851,1233,6792,1233,6792,1200,6845,1200,6845,1189,6792,1189,6792,1160,6850,1160,6850,1148xe" filled="true" fillcolor="#231f20" stroked="false">
              <v:path arrowok="t"/>
              <v:fill type="solid"/>
            </v:shape>
            <v:shape style="position:absolute;left:6864;top:1145;width:85;height:102" coordorigin="6864,1145" coordsize="85,102" path="m6921,1145l6894,1145,6883,1150,6868,1169,6864,1181,6864,1195,6865,1208,6868,1220,6872,1229,6879,1237,6886,1244,6896,1247,6920,1247,6930,1243,6937,1236,6898,1236,6890,1232,6880,1218,6877,1209,6877,1184,6880,1173,6892,1160,6899,1157,6938,1157,6930,1148,6921,1145xm6949,1209l6936,1209,6935,1216,6933,1221,6925,1232,6918,1236,6937,1236,6944,1228,6948,1219,6949,1209xm6938,1157l6916,1157,6922,1158,6931,1166,6934,1171,6935,1177,6948,1177,6947,1169,6943,1161,6938,1157xe" filled="true" fillcolor="#231f20" stroked="false">
              <v:path arrowok="t"/>
              <v:fill type="solid"/>
            </v:shape>
            <v:shape style="position:absolute;left:6957;top:1148;width:87;height:97" coordorigin="6957,1148" coordsize="87,97" path="m7009,1148l6994,1148,6957,1245,6971,1245,6981,1216,7033,1216,7029,1205,6985,1205,7001,1162,7014,1162,7009,1148xm7033,1216l7019,1216,7029,1245,7044,1245,7033,1216xm7014,1162l7001,1162,7016,1205,7029,1205,7014,1162xe" filled="true" fillcolor="#231f20" stroked="false">
              <v:path arrowok="t"/>
              <v:fill type="solid"/>
            </v:shape>
            <v:shape style="position:absolute;left:7055;top:1148;width:93;height:97" coordorigin="7055,1148" coordsize="93,97" path="m7074,1148l7055,1148,7055,1245,7068,1245,7068,1185,7068,1177,7067,1163,7079,1163,7074,1148xm7079,1163l7067,1163,7095,1245,7108,1245,7113,1230,7102,1230,7079,1163xm7148,1163l7136,1163,7136,1245,7148,1245,7148,1163xm7148,1148l7130,1148,7102,1230,7113,1230,7136,1163,7148,1163,7148,1148xe" filled="true" fillcolor="#231f20" stroked="false">
              <v:path arrowok="t"/>
              <v:fill type="solid"/>
            </v:shape>
            <v:shape style="position:absolute;left:7169;top:1148;width:72;height:97" coordorigin="7169,1148" coordsize="72,97" path="m7240,1148l7169,1148,7169,1245,7241,1245,7241,1233,7182,1233,7182,1200,7235,1200,7235,1189,7182,1189,7182,1160,7240,1160,7240,1148xe" filled="true" fillcolor="#231f20" stroked="false">
              <v:path arrowok="t"/>
              <v:fill type="solid"/>
            </v:shape>
            <v:shape style="position:absolute;left:7254;top:1145;width:85;height:102" coordorigin="7254,1145" coordsize="85,102" path="m7310,1145l7284,1145,7273,1150,7265,1160,7257,1169,7254,1181,7254,1195,7255,1208,7257,1220,7262,1229,7269,1237,7276,1244,7285,1247,7309,1247,7320,1243,7326,1236,7288,1236,7280,1232,7270,1218,7267,1209,7267,1184,7270,1173,7282,1160,7289,1157,7328,1157,7320,1148,7310,1145xm7339,1209l7326,1209,7324,1216,7322,1221,7315,1232,7308,1236,7326,1236,7334,1228,7337,1219,7339,1209xm7328,1157l7306,1157,7312,1158,7321,1166,7323,1171,7325,1177,7338,1177,7337,1169,7333,1161,7328,1157xe" filled="true" fillcolor="#231f20" stroked="false">
              <v:path arrowok="t"/>
              <v:fill type="solid"/>
            </v:shape>
            <v:shape style="position:absolute;left:7347;top:1148;width:87;height:97" coordorigin="7347,1148" coordsize="87,97" path="m7399,1148l7384,1148,7347,1245,7361,1245,7371,1216,7423,1216,7419,1205,7375,1205,7391,1162,7404,1162,7399,1148xm7423,1216l7409,1216,7419,1245,7434,1245,7423,1216xm7404,1162l7391,1162,7405,1205,7419,1205,7404,1162xe" filled="true" fillcolor="#231f20" stroked="false">
              <v:path arrowok="t"/>
              <v:fill type="solid"/>
            </v:shape>
            <w10:wrap type="topAndBottom"/>
          </v:group>
        </w:pict>
      </w:r>
      <w:r>
        <w:rPr>
          <w:color w:val="231F20"/>
          <w:w w:val="105"/>
        </w:rPr>
        <w:t>Mapa 1. Ubicación geográfica de Ozumba</w:t>
      </w:r>
    </w:p>
    <w:p>
      <w:pPr>
        <w:spacing w:after="0"/>
        <w:sectPr>
          <w:pgSz w:w="9640" w:h="12190"/>
          <w:pgMar w:header="0" w:footer="743" w:top="1120" w:bottom="940" w:left="740" w:right="740"/>
        </w:sectPr>
      </w:pPr>
    </w:p>
    <w:p>
      <w:pPr>
        <w:pStyle w:val="BodyText"/>
        <w:spacing w:before="3"/>
        <w:rPr>
          <w:b/>
          <w:sz w:val="11"/>
        </w:rPr>
      </w:pPr>
    </w:p>
    <w:p>
      <w:pPr>
        <w:pStyle w:val="BodyText"/>
        <w:spacing w:line="285" w:lineRule="auto" w:before="36"/>
        <w:ind w:left="110" w:right="109"/>
        <w:jc w:val="both"/>
      </w:pPr>
      <w:r>
        <w:rPr>
          <w:color w:val="231F20"/>
          <w:spacing w:val="-3"/>
          <w:w w:val="105"/>
        </w:rPr>
        <w:t>Tiene</w:t>
      </w:r>
      <w:r>
        <w:rPr>
          <w:color w:val="231F20"/>
          <w:spacing w:val="-9"/>
          <w:w w:val="105"/>
        </w:rPr>
        <w:t> </w:t>
      </w:r>
      <w:r>
        <w:rPr>
          <w:color w:val="231F20"/>
          <w:w w:val="105"/>
        </w:rPr>
        <w:t>una</w:t>
      </w:r>
      <w:r>
        <w:rPr>
          <w:color w:val="231F20"/>
          <w:spacing w:val="-9"/>
          <w:w w:val="105"/>
        </w:rPr>
        <w:t> </w:t>
      </w:r>
      <w:r>
        <w:rPr>
          <w:color w:val="231F20"/>
          <w:w w:val="105"/>
        </w:rPr>
        <w:t>extensión</w:t>
      </w:r>
      <w:r>
        <w:rPr>
          <w:color w:val="231F20"/>
          <w:spacing w:val="-9"/>
          <w:w w:val="105"/>
        </w:rPr>
        <w:t> </w:t>
      </w:r>
      <w:r>
        <w:rPr>
          <w:color w:val="231F20"/>
          <w:w w:val="105"/>
        </w:rPr>
        <w:t>de</w:t>
      </w:r>
      <w:r>
        <w:rPr>
          <w:color w:val="231F20"/>
          <w:spacing w:val="-9"/>
          <w:w w:val="105"/>
        </w:rPr>
        <w:t> </w:t>
      </w:r>
      <w:r>
        <w:rPr>
          <w:color w:val="231F20"/>
          <w:w w:val="105"/>
        </w:rPr>
        <w:t>48.02</w:t>
      </w:r>
      <w:r>
        <w:rPr>
          <w:color w:val="231F20"/>
          <w:spacing w:val="-9"/>
          <w:w w:val="105"/>
        </w:rPr>
        <w:t> </w:t>
      </w:r>
      <w:r>
        <w:rPr>
          <w:color w:val="231F20"/>
          <w:w w:val="105"/>
        </w:rPr>
        <w:t>kilómetros</w:t>
      </w:r>
      <w:r>
        <w:rPr>
          <w:color w:val="231F20"/>
          <w:spacing w:val="-9"/>
          <w:w w:val="105"/>
        </w:rPr>
        <w:t> </w:t>
      </w:r>
      <w:r>
        <w:rPr>
          <w:color w:val="231F20"/>
          <w:w w:val="105"/>
        </w:rPr>
        <w:t>cuadrados</w:t>
      </w:r>
      <w:r>
        <w:rPr>
          <w:color w:val="231F20"/>
          <w:spacing w:val="-9"/>
          <w:w w:val="105"/>
        </w:rPr>
        <w:t> </w:t>
      </w:r>
      <w:r>
        <w:rPr>
          <w:color w:val="231F20"/>
          <w:w w:val="105"/>
        </w:rPr>
        <w:t>y</w:t>
      </w:r>
      <w:r>
        <w:rPr>
          <w:color w:val="231F20"/>
          <w:spacing w:val="-9"/>
          <w:w w:val="105"/>
        </w:rPr>
        <w:t> </w:t>
      </w:r>
      <w:r>
        <w:rPr>
          <w:color w:val="231F20"/>
          <w:w w:val="105"/>
        </w:rPr>
        <w:t>presenta</w:t>
      </w:r>
      <w:r>
        <w:rPr>
          <w:color w:val="231F20"/>
          <w:spacing w:val="-9"/>
          <w:w w:val="105"/>
        </w:rPr>
        <w:t> </w:t>
      </w:r>
      <w:r>
        <w:rPr>
          <w:color w:val="231F20"/>
          <w:w w:val="105"/>
        </w:rPr>
        <w:t>la</w:t>
      </w:r>
      <w:r>
        <w:rPr>
          <w:color w:val="231F20"/>
          <w:spacing w:val="-9"/>
          <w:w w:val="105"/>
        </w:rPr>
        <w:t> </w:t>
      </w:r>
      <w:r>
        <w:rPr>
          <w:color w:val="231F20"/>
          <w:w w:val="105"/>
        </w:rPr>
        <w:t>forma</w:t>
      </w:r>
      <w:r>
        <w:rPr>
          <w:color w:val="231F20"/>
          <w:spacing w:val="-9"/>
          <w:w w:val="105"/>
        </w:rPr>
        <w:t> </w:t>
      </w:r>
      <w:r>
        <w:rPr>
          <w:color w:val="231F20"/>
          <w:w w:val="105"/>
        </w:rPr>
        <w:t>de</w:t>
      </w:r>
      <w:r>
        <w:rPr>
          <w:color w:val="231F20"/>
          <w:spacing w:val="-9"/>
          <w:w w:val="105"/>
        </w:rPr>
        <w:t> </w:t>
      </w:r>
      <w:r>
        <w:rPr>
          <w:color w:val="231F20"/>
          <w:w w:val="105"/>
        </w:rPr>
        <w:t>un</w:t>
      </w:r>
      <w:r>
        <w:rPr>
          <w:color w:val="231F20"/>
          <w:spacing w:val="-9"/>
          <w:w w:val="105"/>
        </w:rPr>
        <w:t> </w:t>
      </w:r>
      <w:r>
        <w:rPr>
          <w:color w:val="231F20"/>
          <w:w w:val="105"/>
        </w:rPr>
        <w:t>polígono irregular</w:t>
      </w:r>
      <w:r>
        <w:rPr>
          <w:color w:val="231F20"/>
          <w:spacing w:val="-4"/>
          <w:w w:val="105"/>
        </w:rPr>
        <w:t> </w:t>
      </w:r>
      <w:r>
        <w:rPr>
          <w:color w:val="231F20"/>
          <w:w w:val="105"/>
        </w:rPr>
        <w:t>alargado</w:t>
      </w:r>
      <w:r>
        <w:rPr>
          <w:color w:val="231F20"/>
          <w:spacing w:val="-4"/>
          <w:w w:val="105"/>
        </w:rPr>
        <w:t> </w:t>
      </w:r>
      <w:r>
        <w:rPr>
          <w:color w:val="231F20"/>
          <w:w w:val="105"/>
        </w:rPr>
        <w:t>de</w:t>
      </w:r>
      <w:r>
        <w:rPr>
          <w:color w:val="231F20"/>
          <w:spacing w:val="-4"/>
          <w:w w:val="105"/>
        </w:rPr>
        <w:t> </w:t>
      </w:r>
      <w:r>
        <w:rPr>
          <w:color w:val="231F20"/>
          <w:w w:val="105"/>
        </w:rPr>
        <w:t>norte</w:t>
      </w:r>
      <w:r>
        <w:rPr>
          <w:color w:val="231F20"/>
          <w:spacing w:val="-4"/>
          <w:w w:val="105"/>
        </w:rPr>
        <w:t> </w:t>
      </w:r>
      <w:r>
        <w:rPr>
          <w:color w:val="231F20"/>
          <w:w w:val="105"/>
        </w:rPr>
        <w:t>a</w:t>
      </w:r>
      <w:r>
        <w:rPr>
          <w:color w:val="231F20"/>
          <w:spacing w:val="-4"/>
          <w:w w:val="105"/>
        </w:rPr>
        <w:t> </w:t>
      </w:r>
      <w:r>
        <w:rPr>
          <w:color w:val="231F20"/>
          <w:spacing w:val="-3"/>
          <w:w w:val="105"/>
        </w:rPr>
        <w:t>sur,</w:t>
      </w:r>
      <w:r>
        <w:rPr>
          <w:color w:val="231F20"/>
          <w:spacing w:val="-4"/>
          <w:w w:val="105"/>
        </w:rPr>
        <w:t> </w:t>
      </w:r>
      <w:r>
        <w:rPr>
          <w:color w:val="231F20"/>
          <w:w w:val="105"/>
        </w:rPr>
        <w:t>representando</w:t>
      </w:r>
      <w:r>
        <w:rPr>
          <w:color w:val="231F20"/>
          <w:spacing w:val="-4"/>
          <w:w w:val="105"/>
        </w:rPr>
        <w:t> </w:t>
      </w:r>
      <w:r>
        <w:rPr>
          <w:color w:val="231F20"/>
          <w:w w:val="105"/>
        </w:rPr>
        <w:t>el</w:t>
      </w:r>
      <w:r>
        <w:rPr>
          <w:color w:val="231F20"/>
          <w:spacing w:val="-4"/>
          <w:w w:val="105"/>
        </w:rPr>
        <w:t> </w:t>
      </w:r>
      <w:r>
        <w:rPr>
          <w:color w:val="231F20"/>
          <w:w w:val="105"/>
        </w:rPr>
        <w:t>0.22%</w:t>
      </w:r>
      <w:r>
        <w:rPr>
          <w:color w:val="231F20"/>
          <w:spacing w:val="-4"/>
          <w:w w:val="105"/>
        </w:rPr>
        <w:t> </w:t>
      </w:r>
      <w:r>
        <w:rPr>
          <w:color w:val="231F20"/>
          <w:w w:val="105"/>
        </w:rPr>
        <w:t>del</w:t>
      </w:r>
      <w:r>
        <w:rPr>
          <w:color w:val="231F20"/>
          <w:spacing w:val="-4"/>
          <w:w w:val="105"/>
        </w:rPr>
        <w:t> </w:t>
      </w:r>
      <w:r>
        <w:rPr>
          <w:color w:val="231F20"/>
          <w:w w:val="105"/>
        </w:rPr>
        <w:t>territorio</w:t>
      </w:r>
      <w:r>
        <w:rPr>
          <w:color w:val="231F20"/>
          <w:spacing w:val="-4"/>
          <w:w w:val="105"/>
        </w:rPr>
        <w:t> </w:t>
      </w:r>
      <w:r>
        <w:rPr>
          <w:color w:val="231F20"/>
          <w:w w:val="105"/>
        </w:rPr>
        <w:t>total</w:t>
      </w:r>
      <w:r>
        <w:rPr>
          <w:color w:val="231F20"/>
          <w:spacing w:val="-4"/>
          <w:w w:val="105"/>
        </w:rPr>
        <w:t> </w:t>
      </w:r>
      <w:r>
        <w:rPr>
          <w:color w:val="231F20"/>
          <w:w w:val="105"/>
        </w:rPr>
        <w:t>del</w:t>
      </w:r>
      <w:r>
        <w:rPr>
          <w:color w:val="231F20"/>
          <w:spacing w:val="-4"/>
          <w:w w:val="105"/>
        </w:rPr>
        <w:t> </w:t>
      </w:r>
      <w:r>
        <w:rPr>
          <w:color w:val="231F20"/>
          <w:w w:val="105"/>
        </w:rPr>
        <w:t>Estado de</w:t>
      </w:r>
      <w:r>
        <w:rPr>
          <w:color w:val="231F20"/>
          <w:spacing w:val="-20"/>
          <w:w w:val="105"/>
        </w:rPr>
        <w:t> </w:t>
      </w:r>
      <w:r>
        <w:rPr>
          <w:color w:val="231F20"/>
          <w:w w:val="105"/>
        </w:rPr>
        <w:t>México,</w:t>
      </w:r>
      <w:r>
        <w:rPr>
          <w:color w:val="231F20"/>
          <w:spacing w:val="-20"/>
          <w:w w:val="105"/>
        </w:rPr>
        <w:t> </w:t>
      </w:r>
      <w:r>
        <w:rPr>
          <w:color w:val="231F20"/>
          <w:w w:val="105"/>
        </w:rPr>
        <w:t>asimismo</w:t>
      </w:r>
      <w:r>
        <w:rPr>
          <w:color w:val="231F20"/>
          <w:spacing w:val="-20"/>
          <w:w w:val="105"/>
        </w:rPr>
        <w:t> </w:t>
      </w:r>
      <w:r>
        <w:rPr>
          <w:color w:val="231F20"/>
          <w:w w:val="105"/>
        </w:rPr>
        <w:t>cuenta</w:t>
      </w:r>
      <w:r>
        <w:rPr>
          <w:color w:val="231F20"/>
          <w:spacing w:val="-20"/>
          <w:w w:val="105"/>
        </w:rPr>
        <w:t> </w:t>
      </w:r>
      <w:r>
        <w:rPr>
          <w:color w:val="231F20"/>
          <w:w w:val="105"/>
        </w:rPr>
        <w:t>con</w:t>
      </w:r>
      <w:r>
        <w:rPr>
          <w:color w:val="231F20"/>
          <w:spacing w:val="-20"/>
          <w:w w:val="105"/>
        </w:rPr>
        <w:t> </w:t>
      </w:r>
      <w:r>
        <w:rPr>
          <w:color w:val="231F20"/>
          <w:spacing w:val="-7"/>
          <w:w w:val="105"/>
        </w:rPr>
        <w:t>14</w:t>
      </w:r>
      <w:r>
        <w:rPr>
          <w:color w:val="231F20"/>
          <w:spacing w:val="-20"/>
          <w:w w:val="105"/>
        </w:rPr>
        <w:t> </w:t>
      </w:r>
      <w:r>
        <w:rPr>
          <w:color w:val="231F20"/>
          <w:w w:val="105"/>
        </w:rPr>
        <w:t>localidades.</w:t>
      </w:r>
    </w:p>
    <w:p>
      <w:pPr>
        <w:pStyle w:val="BodyText"/>
        <w:spacing w:before="10"/>
      </w:pPr>
    </w:p>
    <w:p>
      <w:pPr>
        <w:pStyle w:val="Heading3"/>
        <w:numPr>
          <w:ilvl w:val="1"/>
          <w:numId w:val="23"/>
        </w:numPr>
        <w:tabs>
          <w:tab w:pos="524" w:val="left" w:leader="none"/>
        </w:tabs>
        <w:spacing w:line="240" w:lineRule="auto" w:before="0" w:after="0"/>
        <w:ind w:left="523" w:right="0" w:hanging="413"/>
        <w:jc w:val="both"/>
        <w:rPr>
          <w:color w:val="231F20"/>
        </w:rPr>
      </w:pPr>
      <w:r>
        <w:rPr>
          <w:color w:val="231F20"/>
          <w:w w:val="105"/>
        </w:rPr>
        <w:t>Demografía,</w:t>
      </w:r>
      <w:r>
        <w:rPr>
          <w:color w:val="231F20"/>
          <w:spacing w:val="-29"/>
          <w:w w:val="105"/>
        </w:rPr>
        <w:t> </w:t>
      </w:r>
      <w:r>
        <w:rPr>
          <w:color w:val="231F20"/>
          <w:w w:val="105"/>
        </w:rPr>
        <w:t>servicios</w:t>
      </w:r>
      <w:r>
        <w:rPr>
          <w:color w:val="231F20"/>
          <w:spacing w:val="-29"/>
          <w:w w:val="105"/>
        </w:rPr>
        <w:t> </w:t>
      </w:r>
      <w:r>
        <w:rPr>
          <w:color w:val="231F20"/>
          <w:w w:val="105"/>
        </w:rPr>
        <w:t>y</w:t>
      </w:r>
      <w:r>
        <w:rPr>
          <w:color w:val="231F20"/>
          <w:spacing w:val="-29"/>
          <w:w w:val="105"/>
        </w:rPr>
        <w:t> </w:t>
      </w:r>
      <w:r>
        <w:rPr>
          <w:color w:val="231F20"/>
          <w:w w:val="105"/>
        </w:rPr>
        <w:t>actividad</w:t>
      </w:r>
      <w:r>
        <w:rPr>
          <w:color w:val="231F20"/>
          <w:spacing w:val="-29"/>
          <w:w w:val="105"/>
        </w:rPr>
        <w:t> </w:t>
      </w:r>
      <w:r>
        <w:rPr>
          <w:color w:val="231F20"/>
          <w:w w:val="105"/>
        </w:rPr>
        <w:t>económica</w:t>
      </w:r>
    </w:p>
    <w:p>
      <w:pPr>
        <w:pStyle w:val="BodyText"/>
        <w:spacing w:line="285" w:lineRule="auto" w:before="38"/>
        <w:ind w:left="110" w:right="108"/>
        <w:jc w:val="both"/>
      </w:pPr>
      <w:r>
        <w:rPr>
          <w:color w:val="231F20"/>
        </w:rPr>
        <w:t>Respecto a su evolución demográfica, en 1995, según los datos del Conteo de </w:t>
      </w:r>
      <w:r>
        <w:rPr>
          <w:color w:val="231F20"/>
          <w:spacing w:val="-3"/>
        </w:rPr>
        <w:t>Población   </w:t>
      </w:r>
      <w:r>
        <w:rPr>
          <w:color w:val="231F20"/>
        </w:rPr>
        <w:t>y Vivienda 1995, había un total de </w:t>
      </w:r>
      <w:r>
        <w:rPr>
          <w:color w:val="231F20"/>
          <w:spacing w:val="-3"/>
        </w:rPr>
        <w:t>21,424 </w:t>
      </w:r>
      <w:r>
        <w:rPr>
          <w:color w:val="231F20"/>
        </w:rPr>
        <w:t>habitantes. Según la Enciclopedia de los </w:t>
      </w:r>
      <w:r>
        <w:rPr>
          <w:color w:val="231F20"/>
          <w:spacing w:val="-3"/>
        </w:rPr>
        <w:t>Mu- </w:t>
      </w:r>
      <w:r>
        <w:rPr>
          <w:color w:val="231F20"/>
        </w:rPr>
        <w:t>nicipios de México, en el periodo 1990-1995, se observó una tasa de crecimiento media anual de 3.08%, en 1996 se registraron 698 nacimientos y 98 defunciones, observando    un índice de natalidad de</w:t>
      </w:r>
      <w:r>
        <w:rPr>
          <w:color w:val="231F20"/>
          <w:spacing w:val="54"/>
        </w:rPr>
        <w:t> </w:t>
      </w:r>
      <w:r>
        <w:rPr>
          <w:color w:val="231F20"/>
          <w:spacing w:val="-4"/>
        </w:rPr>
        <w:t>3.16%.</w:t>
      </w:r>
    </w:p>
    <w:p>
      <w:pPr>
        <w:pStyle w:val="BodyText"/>
        <w:spacing w:before="1"/>
        <w:rPr>
          <w:sz w:val="26"/>
        </w:rPr>
      </w:pPr>
    </w:p>
    <w:p>
      <w:pPr>
        <w:pStyle w:val="BodyText"/>
        <w:spacing w:line="285" w:lineRule="auto"/>
        <w:ind w:left="110" w:right="108"/>
        <w:jc w:val="both"/>
      </w:pPr>
      <w:r>
        <w:rPr>
          <w:color w:val="231F20"/>
          <w:w w:val="105"/>
        </w:rPr>
        <w:t>El índice de marginación del municipio es bajo y es de tipo semiurbano. Para el año </w:t>
      </w:r>
      <w:r>
        <w:rPr>
          <w:color w:val="231F20"/>
          <w:spacing w:val="3"/>
          <w:w w:val="105"/>
        </w:rPr>
        <w:t>2000, </w:t>
      </w:r>
      <w:r>
        <w:rPr>
          <w:color w:val="231F20"/>
          <w:w w:val="105"/>
        </w:rPr>
        <w:t>de acuerdo con los resultados del Censo General de </w:t>
      </w:r>
      <w:r>
        <w:rPr>
          <w:color w:val="231F20"/>
          <w:spacing w:val="-3"/>
          <w:w w:val="105"/>
        </w:rPr>
        <w:t>Población </w:t>
      </w:r>
      <w:r>
        <w:rPr>
          <w:color w:val="231F20"/>
          <w:w w:val="105"/>
        </w:rPr>
        <w:t>y Vivienda reali- zado</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INEGI,</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existen</w:t>
      </w:r>
      <w:r>
        <w:rPr>
          <w:color w:val="231F20"/>
          <w:spacing w:val="-7"/>
          <w:w w:val="105"/>
        </w:rPr>
        <w:t> </w:t>
      </w:r>
      <w:r>
        <w:rPr>
          <w:color w:val="231F20"/>
          <w:w w:val="105"/>
        </w:rPr>
        <w:t>un</w:t>
      </w:r>
      <w:r>
        <w:rPr>
          <w:color w:val="231F20"/>
          <w:spacing w:val="-7"/>
          <w:w w:val="105"/>
        </w:rPr>
        <w:t> </w:t>
      </w:r>
      <w:r>
        <w:rPr>
          <w:color w:val="231F20"/>
          <w:w w:val="105"/>
        </w:rPr>
        <w:t>total</w:t>
      </w:r>
      <w:r>
        <w:rPr>
          <w:color w:val="231F20"/>
          <w:spacing w:val="-7"/>
          <w:w w:val="105"/>
        </w:rPr>
        <w:t> </w:t>
      </w:r>
      <w:r>
        <w:rPr>
          <w:color w:val="231F20"/>
          <w:w w:val="105"/>
        </w:rPr>
        <w:t>de</w:t>
      </w:r>
      <w:r>
        <w:rPr>
          <w:color w:val="231F20"/>
          <w:spacing w:val="-7"/>
          <w:w w:val="105"/>
        </w:rPr>
        <w:t> </w:t>
      </w:r>
      <w:r>
        <w:rPr>
          <w:color w:val="231F20"/>
          <w:w w:val="105"/>
        </w:rPr>
        <w:t>23,556</w:t>
      </w:r>
      <w:r>
        <w:rPr>
          <w:color w:val="231F20"/>
          <w:spacing w:val="-7"/>
          <w:w w:val="105"/>
        </w:rPr>
        <w:t> </w:t>
      </w:r>
      <w:r>
        <w:rPr>
          <w:color w:val="231F20"/>
          <w:w w:val="105"/>
        </w:rPr>
        <w:t>habitantes,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cuales 11,243</w:t>
      </w:r>
      <w:r>
        <w:rPr>
          <w:color w:val="231F20"/>
          <w:spacing w:val="-36"/>
          <w:w w:val="105"/>
        </w:rPr>
        <w:t> </w:t>
      </w:r>
      <w:r>
        <w:rPr>
          <w:color w:val="231F20"/>
          <w:w w:val="105"/>
        </w:rPr>
        <w:t>son</w:t>
      </w:r>
      <w:r>
        <w:rPr>
          <w:color w:val="231F20"/>
          <w:spacing w:val="-36"/>
          <w:w w:val="105"/>
        </w:rPr>
        <w:t> </w:t>
      </w:r>
      <w:r>
        <w:rPr>
          <w:color w:val="231F20"/>
          <w:w w:val="105"/>
        </w:rPr>
        <w:t>hombres</w:t>
      </w:r>
      <w:r>
        <w:rPr>
          <w:color w:val="231F20"/>
          <w:spacing w:val="-36"/>
          <w:w w:val="105"/>
        </w:rPr>
        <w:t> </w:t>
      </w:r>
      <w:r>
        <w:rPr>
          <w:color w:val="231F20"/>
          <w:spacing w:val="-5"/>
          <w:w w:val="105"/>
        </w:rPr>
        <w:t>(48%)</w:t>
      </w:r>
      <w:r>
        <w:rPr>
          <w:color w:val="231F20"/>
          <w:spacing w:val="-36"/>
          <w:w w:val="105"/>
        </w:rPr>
        <w:t> </w:t>
      </w:r>
      <w:r>
        <w:rPr>
          <w:color w:val="231F20"/>
          <w:w w:val="105"/>
        </w:rPr>
        <w:t>y</w:t>
      </w:r>
      <w:r>
        <w:rPr>
          <w:color w:val="231F20"/>
          <w:spacing w:val="-36"/>
          <w:w w:val="105"/>
        </w:rPr>
        <w:t> </w:t>
      </w:r>
      <w:r>
        <w:rPr>
          <w:color w:val="231F20"/>
          <w:w w:val="105"/>
        </w:rPr>
        <w:t>12,313</w:t>
      </w:r>
      <w:r>
        <w:rPr>
          <w:color w:val="231F20"/>
          <w:spacing w:val="-36"/>
          <w:w w:val="105"/>
        </w:rPr>
        <w:t> </w:t>
      </w:r>
      <w:r>
        <w:rPr>
          <w:color w:val="231F20"/>
          <w:w w:val="105"/>
        </w:rPr>
        <w:t>son</w:t>
      </w:r>
      <w:r>
        <w:rPr>
          <w:color w:val="231F20"/>
          <w:spacing w:val="-36"/>
          <w:w w:val="105"/>
        </w:rPr>
        <w:t> </w:t>
      </w:r>
      <w:r>
        <w:rPr>
          <w:color w:val="231F20"/>
          <w:w w:val="105"/>
        </w:rPr>
        <w:t>mujeres</w:t>
      </w:r>
      <w:r>
        <w:rPr>
          <w:color w:val="231F20"/>
          <w:spacing w:val="-36"/>
          <w:w w:val="105"/>
        </w:rPr>
        <w:t> </w:t>
      </w:r>
      <w:r>
        <w:rPr>
          <w:color w:val="231F20"/>
          <w:spacing w:val="-6"/>
          <w:w w:val="105"/>
        </w:rPr>
        <w:t>(52%).</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4"/>
          <w:w w:val="105"/>
        </w:rPr>
        <w:t> </w:t>
      </w:r>
      <w:r>
        <w:rPr>
          <w:color w:val="231F20"/>
          <w:w w:val="105"/>
        </w:rPr>
        <w:t>acuerdo</w:t>
      </w:r>
      <w:r>
        <w:rPr>
          <w:color w:val="231F20"/>
          <w:spacing w:val="-14"/>
          <w:w w:val="105"/>
        </w:rPr>
        <w:t> </w:t>
      </w:r>
      <w:r>
        <w:rPr>
          <w:color w:val="231F20"/>
          <w:spacing w:val="2"/>
          <w:w w:val="105"/>
        </w:rPr>
        <w:t>al</w:t>
      </w:r>
      <w:r>
        <w:rPr>
          <w:color w:val="231F20"/>
          <w:spacing w:val="-14"/>
          <w:w w:val="105"/>
        </w:rPr>
        <w:t> </w:t>
      </w:r>
      <w:r>
        <w:rPr>
          <w:color w:val="231F20"/>
          <w:w w:val="105"/>
        </w:rPr>
        <w:t>artículo</w:t>
      </w:r>
      <w:r>
        <w:rPr>
          <w:color w:val="231F20"/>
          <w:spacing w:val="-14"/>
          <w:w w:val="105"/>
        </w:rPr>
        <w:t> </w:t>
      </w:r>
      <w:r>
        <w:rPr>
          <w:color w:val="231F20"/>
          <w:spacing w:val="-7"/>
          <w:w w:val="105"/>
        </w:rPr>
        <w:t>14</w:t>
      </w:r>
      <w:r>
        <w:rPr>
          <w:color w:val="231F20"/>
          <w:spacing w:val="-14"/>
          <w:w w:val="105"/>
        </w:rPr>
        <w:t> </w:t>
      </w:r>
      <w:r>
        <w:rPr>
          <w:color w:val="231F20"/>
          <w:w w:val="105"/>
        </w:rPr>
        <w:t>del</w:t>
      </w:r>
      <w:r>
        <w:rPr>
          <w:color w:val="231F20"/>
          <w:spacing w:val="-14"/>
          <w:w w:val="105"/>
        </w:rPr>
        <w:t> </w:t>
      </w:r>
      <w:r>
        <w:rPr>
          <w:color w:val="231F20"/>
          <w:w w:val="105"/>
        </w:rPr>
        <w:t>Bando</w:t>
      </w:r>
      <w:r>
        <w:rPr>
          <w:color w:val="231F20"/>
          <w:spacing w:val="-14"/>
          <w:w w:val="105"/>
        </w:rPr>
        <w:t> </w:t>
      </w:r>
      <w:r>
        <w:rPr>
          <w:color w:val="231F20"/>
          <w:w w:val="105"/>
        </w:rPr>
        <w:t>Municipal</w:t>
      </w:r>
      <w:r>
        <w:rPr>
          <w:color w:val="231F20"/>
          <w:spacing w:val="-14"/>
          <w:w w:val="105"/>
        </w:rPr>
        <w:t> </w:t>
      </w:r>
      <w:r>
        <w:rPr>
          <w:color w:val="231F20"/>
          <w:w w:val="105"/>
        </w:rPr>
        <w:t>2006-2009,</w:t>
      </w:r>
      <w:r>
        <w:rPr>
          <w:color w:val="231F20"/>
          <w:spacing w:val="-14"/>
          <w:w w:val="105"/>
        </w:rPr>
        <w:t> </w:t>
      </w:r>
      <w:r>
        <w:rPr>
          <w:color w:val="231F20"/>
          <w:w w:val="105"/>
        </w:rPr>
        <w:t>su</w:t>
      </w:r>
      <w:r>
        <w:rPr>
          <w:color w:val="231F20"/>
          <w:spacing w:val="-14"/>
          <w:w w:val="105"/>
        </w:rPr>
        <w:t> </w:t>
      </w:r>
      <w:r>
        <w:rPr>
          <w:color w:val="231F20"/>
          <w:w w:val="105"/>
        </w:rPr>
        <w:t>organización</w:t>
      </w:r>
      <w:r>
        <w:rPr>
          <w:color w:val="231F20"/>
          <w:spacing w:val="-14"/>
          <w:w w:val="105"/>
        </w:rPr>
        <w:t> </w:t>
      </w:r>
      <w:r>
        <w:rPr>
          <w:color w:val="231F20"/>
          <w:w w:val="105"/>
        </w:rPr>
        <w:t>territorial</w:t>
      </w:r>
      <w:r>
        <w:rPr>
          <w:color w:val="231F20"/>
          <w:spacing w:val="-14"/>
          <w:w w:val="105"/>
        </w:rPr>
        <w:t> </w:t>
      </w:r>
      <w:r>
        <w:rPr>
          <w:color w:val="231F20"/>
          <w:w w:val="105"/>
        </w:rPr>
        <w:t>y administrativa</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siguiente:</w:t>
      </w:r>
    </w:p>
    <w:p>
      <w:pPr>
        <w:pStyle w:val="BodyText"/>
        <w:spacing w:before="1"/>
        <w:ind w:left="110"/>
        <w:jc w:val="both"/>
      </w:pPr>
      <w:r>
        <w:rPr>
          <w:color w:val="231F20"/>
        </w:rPr>
        <w:t>I.- CABECERA MUNICIPAL:</w:t>
      </w:r>
    </w:p>
    <w:p>
      <w:pPr>
        <w:pStyle w:val="BodyText"/>
        <w:spacing w:line="285" w:lineRule="auto" w:before="47"/>
        <w:ind w:left="110" w:right="4568" w:firstLine="566"/>
      </w:pPr>
      <w:r>
        <w:rPr>
          <w:color w:val="231F20"/>
        </w:rPr>
        <w:t>Villa de Ozumba de Alzate BARRIOS:</w:t>
      </w:r>
    </w:p>
    <w:p>
      <w:pPr>
        <w:pStyle w:val="BodyText"/>
        <w:spacing w:line="285" w:lineRule="auto" w:before="1"/>
        <w:ind w:left="677" w:right="108"/>
        <w:jc w:val="both"/>
      </w:pPr>
      <w:r>
        <w:rPr>
          <w:color w:val="231F20"/>
        </w:rPr>
        <w:t>Agua Escondida, El Coyote, Chamizal, Fabrica Vieja, Huamantla (”Tizapa”), Los Limones, El Cocol (San Bartolomé), San Francisco, San Juan, San Pedro, San Mar- tín, Santa Cruz, El Chintlahuil, (“de Santiago”), El Arenal y Santa  Rosa.</w:t>
      </w:r>
    </w:p>
    <w:p>
      <w:pPr>
        <w:pStyle w:val="BodyText"/>
        <w:spacing w:before="1"/>
        <w:ind w:left="110"/>
        <w:jc w:val="both"/>
      </w:pPr>
      <w:r>
        <w:rPr>
          <w:color w:val="231F20"/>
        </w:rPr>
        <w:t>COLONIAS:</w:t>
      </w:r>
    </w:p>
    <w:p>
      <w:pPr>
        <w:pStyle w:val="BodyText"/>
        <w:spacing w:before="47"/>
        <w:ind w:left="677"/>
        <w:jc w:val="both"/>
      </w:pPr>
      <w:r>
        <w:rPr>
          <w:color w:val="231F20"/>
        </w:rPr>
        <w:t>Industrial Mexicana, José Antonio </w:t>
      </w:r>
      <w:r>
        <w:rPr>
          <w:color w:val="231F20"/>
          <w:spacing w:val="52"/>
        </w:rPr>
        <w:t> </w:t>
      </w:r>
      <w:r>
        <w:rPr>
          <w:color w:val="231F20"/>
        </w:rPr>
        <w:t>Alzate.</w:t>
      </w:r>
    </w:p>
    <w:p>
      <w:pPr>
        <w:pStyle w:val="BodyText"/>
        <w:spacing w:before="47"/>
        <w:ind w:left="110"/>
        <w:jc w:val="both"/>
      </w:pPr>
      <w:r>
        <w:rPr>
          <w:color w:val="231F20"/>
        </w:rPr>
        <w:t>RANCHOS:</w:t>
      </w:r>
    </w:p>
    <w:p>
      <w:pPr>
        <w:pStyle w:val="BodyText"/>
        <w:spacing w:line="285" w:lineRule="auto" w:before="47"/>
        <w:ind w:left="677" w:right="108"/>
        <w:jc w:val="both"/>
      </w:pPr>
      <w:r>
        <w:rPr>
          <w:color w:val="231F20"/>
        </w:rPr>
        <w:t>El Huejote, San José Chichintitla, Totoltepec, Los Cedros, El Paraíso, Santa Ceci- lia, La Joya.</w:t>
      </w:r>
    </w:p>
    <w:p>
      <w:pPr>
        <w:pStyle w:val="BodyText"/>
        <w:spacing w:before="1"/>
        <w:ind w:left="110"/>
        <w:jc w:val="both"/>
      </w:pPr>
      <w:r>
        <w:rPr>
          <w:color w:val="231F20"/>
        </w:rPr>
        <w:t>EX HACIENDAS:</w:t>
      </w:r>
    </w:p>
    <w:p>
      <w:pPr>
        <w:pStyle w:val="BodyText"/>
        <w:spacing w:before="47"/>
        <w:ind w:left="677"/>
        <w:jc w:val="both"/>
      </w:pPr>
      <w:r>
        <w:rPr>
          <w:color w:val="231F20"/>
          <w:w w:val="105"/>
        </w:rPr>
        <w:t>Actopan, Atempa, El Fuerte.</w:t>
      </w:r>
    </w:p>
    <w:p>
      <w:pPr>
        <w:spacing w:after="0"/>
        <w:jc w:val="both"/>
        <w:sectPr>
          <w:pgSz w:w="9640" w:h="12190"/>
          <w:pgMar w:header="0" w:footer="743" w:top="1120" w:bottom="940" w:left="740" w:right="740"/>
        </w:sectPr>
      </w:pPr>
    </w:p>
    <w:p>
      <w:pPr>
        <w:pStyle w:val="BodyText"/>
        <w:spacing w:before="3"/>
        <w:rPr>
          <w:sz w:val="11"/>
        </w:rPr>
      </w:pPr>
    </w:p>
    <w:p>
      <w:pPr>
        <w:pStyle w:val="BodyText"/>
        <w:spacing w:before="36"/>
        <w:ind w:left="110" w:right="340"/>
      </w:pPr>
      <w:r>
        <w:rPr>
          <w:color w:val="231F20"/>
          <w:w w:val="95"/>
        </w:rPr>
        <w:t>II.-</w:t>
      </w:r>
      <w:r>
        <w:rPr>
          <w:color w:val="231F20"/>
          <w:spacing w:val="51"/>
          <w:w w:val="95"/>
        </w:rPr>
        <w:t> </w:t>
      </w:r>
      <w:r>
        <w:rPr>
          <w:color w:val="231F20"/>
          <w:w w:val="95"/>
        </w:rPr>
        <w:t>DELEGACIONES:</w:t>
      </w:r>
    </w:p>
    <w:p>
      <w:pPr>
        <w:pStyle w:val="BodyText"/>
        <w:spacing w:line="285" w:lineRule="auto" w:before="47"/>
        <w:ind w:left="677" w:right="128"/>
        <w:jc w:val="both"/>
      </w:pPr>
      <w:r>
        <w:rPr>
          <w:color w:val="231F20"/>
          <w:w w:val="105"/>
        </w:rPr>
        <w:t>San</w:t>
      </w:r>
      <w:r>
        <w:rPr>
          <w:color w:val="231F20"/>
          <w:spacing w:val="-19"/>
          <w:w w:val="105"/>
        </w:rPr>
        <w:t> </w:t>
      </w:r>
      <w:r>
        <w:rPr>
          <w:color w:val="231F20"/>
          <w:w w:val="105"/>
        </w:rPr>
        <w:t>Mateo</w:t>
      </w:r>
      <w:r>
        <w:rPr>
          <w:color w:val="231F20"/>
          <w:spacing w:val="-19"/>
          <w:w w:val="105"/>
        </w:rPr>
        <w:t> </w:t>
      </w:r>
      <w:r>
        <w:rPr>
          <w:color w:val="231F20"/>
          <w:spacing w:val="-3"/>
          <w:w w:val="105"/>
        </w:rPr>
        <w:t>Tecalco,</w:t>
      </w:r>
      <w:r>
        <w:rPr>
          <w:color w:val="231F20"/>
          <w:spacing w:val="-19"/>
          <w:w w:val="105"/>
        </w:rPr>
        <w:t> </w:t>
      </w:r>
      <w:r>
        <w:rPr>
          <w:color w:val="231F20"/>
          <w:w w:val="105"/>
        </w:rPr>
        <w:t>San</w:t>
      </w:r>
      <w:r>
        <w:rPr>
          <w:color w:val="231F20"/>
          <w:spacing w:val="-19"/>
          <w:w w:val="105"/>
        </w:rPr>
        <w:t> </w:t>
      </w:r>
      <w:r>
        <w:rPr>
          <w:color w:val="231F20"/>
          <w:w w:val="105"/>
        </w:rPr>
        <w:t>Lorenzo</w:t>
      </w:r>
      <w:r>
        <w:rPr>
          <w:color w:val="231F20"/>
          <w:spacing w:val="-19"/>
          <w:w w:val="105"/>
        </w:rPr>
        <w:t> </w:t>
      </w:r>
      <w:r>
        <w:rPr>
          <w:color w:val="231F20"/>
          <w:w w:val="105"/>
        </w:rPr>
        <w:t>Tlaltecoyac,</w:t>
      </w:r>
      <w:r>
        <w:rPr>
          <w:color w:val="231F20"/>
          <w:spacing w:val="-19"/>
          <w:w w:val="105"/>
        </w:rPr>
        <w:t> </w:t>
      </w:r>
      <w:r>
        <w:rPr>
          <w:color w:val="231F20"/>
          <w:w w:val="105"/>
        </w:rPr>
        <w:t>San</w:t>
      </w:r>
      <w:r>
        <w:rPr>
          <w:color w:val="231F20"/>
          <w:spacing w:val="-19"/>
          <w:w w:val="105"/>
        </w:rPr>
        <w:t> </w:t>
      </w:r>
      <w:r>
        <w:rPr>
          <w:color w:val="231F20"/>
          <w:w w:val="105"/>
        </w:rPr>
        <w:t>José</w:t>
      </w:r>
      <w:r>
        <w:rPr>
          <w:color w:val="231F20"/>
          <w:spacing w:val="-19"/>
          <w:w w:val="105"/>
        </w:rPr>
        <w:t> </w:t>
      </w:r>
      <w:r>
        <w:rPr>
          <w:color w:val="231F20"/>
          <w:w w:val="105"/>
        </w:rPr>
        <w:t>Tlacotitlán,</w:t>
      </w:r>
      <w:r>
        <w:rPr>
          <w:color w:val="231F20"/>
          <w:spacing w:val="-19"/>
          <w:w w:val="105"/>
        </w:rPr>
        <w:t> </w:t>
      </w:r>
      <w:r>
        <w:rPr>
          <w:color w:val="231F20"/>
          <w:w w:val="105"/>
        </w:rPr>
        <w:t>Santiago</w:t>
      </w:r>
      <w:r>
        <w:rPr>
          <w:color w:val="231F20"/>
          <w:spacing w:val="-19"/>
          <w:w w:val="105"/>
        </w:rPr>
        <w:t> </w:t>
      </w:r>
      <w:r>
        <w:rPr>
          <w:color w:val="231F20"/>
          <w:w w:val="105"/>
        </w:rPr>
        <w:t>Ma- malhuazuca, San Vicente Chimalhuacán, Colonia Industrial y Colonia José An- tonio</w:t>
      </w:r>
      <w:r>
        <w:rPr>
          <w:color w:val="231F20"/>
          <w:spacing w:val="-21"/>
          <w:w w:val="105"/>
        </w:rPr>
        <w:t> </w:t>
      </w:r>
      <w:r>
        <w:rPr>
          <w:color w:val="231F20"/>
          <w:w w:val="105"/>
        </w:rPr>
        <w:t>Alzate.</w:t>
      </w:r>
    </w:p>
    <w:p>
      <w:pPr>
        <w:pStyle w:val="BodyText"/>
        <w:spacing w:before="1"/>
        <w:rPr>
          <w:sz w:val="26"/>
        </w:rPr>
      </w:pPr>
    </w:p>
    <w:p>
      <w:pPr>
        <w:pStyle w:val="BodyText"/>
        <w:spacing w:line="285" w:lineRule="auto"/>
        <w:ind w:left="110" w:right="57"/>
      </w:pP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siguiente</w:t>
      </w:r>
      <w:r>
        <w:rPr>
          <w:color w:val="231F20"/>
          <w:spacing w:val="-21"/>
          <w:w w:val="105"/>
        </w:rPr>
        <w:t> </w:t>
      </w:r>
      <w:r>
        <w:rPr>
          <w:color w:val="231F20"/>
          <w:w w:val="105"/>
        </w:rPr>
        <w:t>cuadro</w:t>
      </w:r>
      <w:r>
        <w:rPr>
          <w:color w:val="231F20"/>
          <w:spacing w:val="-21"/>
          <w:w w:val="105"/>
        </w:rPr>
        <w:t> </w:t>
      </w:r>
      <w:r>
        <w:rPr>
          <w:color w:val="231F20"/>
          <w:w w:val="105"/>
        </w:rPr>
        <w:t>se</w:t>
      </w:r>
      <w:r>
        <w:rPr>
          <w:color w:val="231F20"/>
          <w:spacing w:val="-21"/>
          <w:w w:val="105"/>
        </w:rPr>
        <w:t> </w:t>
      </w:r>
      <w:r>
        <w:rPr>
          <w:color w:val="231F20"/>
          <w:w w:val="105"/>
        </w:rPr>
        <w:t>resume</w:t>
      </w:r>
      <w:r>
        <w:rPr>
          <w:color w:val="231F20"/>
          <w:spacing w:val="-21"/>
          <w:w w:val="105"/>
        </w:rPr>
        <w:t> </w:t>
      </w:r>
      <w:r>
        <w:rPr>
          <w:color w:val="231F20"/>
          <w:w w:val="105"/>
        </w:rPr>
        <w:t>la</w:t>
      </w:r>
      <w:r>
        <w:rPr>
          <w:color w:val="231F20"/>
          <w:spacing w:val="-21"/>
          <w:w w:val="105"/>
        </w:rPr>
        <w:t> </w:t>
      </w:r>
      <w:r>
        <w:rPr>
          <w:color w:val="231F20"/>
          <w:w w:val="105"/>
        </w:rPr>
        <w:t>información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población</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año</w:t>
      </w:r>
      <w:r>
        <w:rPr>
          <w:color w:val="231F20"/>
          <w:spacing w:val="-21"/>
          <w:w w:val="105"/>
        </w:rPr>
        <w:t> </w:t>
      </w:r>
      <w:r>
        <w:rPr>
          <w:color w:val="231F20"/>
          <w:spacing w:val="3"/>
          <w:w w:val="105"/>
        </w:rPr>
        <w:t>2005</w:t>
      </w:r>
      <w:r>
        <w:rPr>
          <w:color w:val="231F20"/>
          <w:spacing w:val="-21"/>
          <w:w w:val="105"/>
        </w:rPr>
        <w:t> </w:t>
      </w:r>
      <w:r>
        <w:rPr>
          <w:color w:val="231F20"/>
          <w:w w:val="105"/>
        </w:rPr>
        <w:t>de</w:t>
      </w:r>
      <w:r>
        <w:rPr>
          <w:color w:val="231F20"/>
          <w:spacing w:val="-21"/>
          <w:w w:val="105"/>
        </w:rPr>
        <w:t> </w:t>
      </w:r>
      <w:r>
        <w:rPr>
          <w:color w:val="231F20"/>
          <w:spacing w:val="-3"/>
          <w:w w:val="105"/>
        </w:rPr>
        <w:t>acuer- </w:t>
      </w:r>
      <w:r>
        <w:rPr>
          <w:color w:val="231F20"/>
          <w:w w:val="105"/>
        </w:rPr>
        <w:t>do</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II</w:t>
      </w:r>
      <w:r>
        <w:rPr>
          <w:color w:val="231F20"/>
          <w:spacing w:val="-17"/>
          <w:w w:val="105"/>
        </w:rPr>
        <w:t> </w:t>
      </w:r>
      <w:r>
        <w:rPr>
          <w:color w:val="231F20"/>
          <w:w w:val="105"/>
        </w:rPr>
        <w:t>Conteo</w:t>
      </w:r>
      <w:r>
        <w:rPr>
          <w:color w:val="231F20"/>
          <w:spacing w:val="-17"/>
          <w:w w:val="105"/>
        </w:rPr>
        <w:t> </w:t>
      </w:r>
      <w:r>
        <w:rPr>
          <w:color w:val="231F20"/>
          <w:w w:val="105"/>
        </w:rPr>
        <w:t>de</w:t>
      </w:r>
      <w:r>
        <w:rPr>
          <w:color w:val="231F20"/>
          <w:spacing w:val="-17"/>
          <w:w w:val="105"/>
        </w:rPr>
        <w:t> </w:t>
      </w:r>
      <w:r>
        <w:rPr>
          <w:color w:val="231F20"/>
          <w:spacing w:val="-3"/>
          <w:w w:val="105"/>
        </w:rPr>
        <w:t>Población</w:t>
      </w:r>
      <w:r>
        <w:rPr>
          <w:color w:val="231F20"/>
          <w:spacing w:val="-17"/>
          <w:w w:val="105"/>
        </w:rPr>
        <w:t> </w:t>
      </w:r>
      <w:r>
        <w:rPr>
          <w:color w:val="231F20"/>
          <w:w w:val="105"/>
        </w:rPr>
        <w:t>y</w:t>
      </w:r>
      <w:r>
        <w:rPr>
          <w:color w:val="231F20"/>
          <w:spacing w:val="-17"/>
          <w:w w:val="105"/>
        </w:rPr>
        <w:t> </w:t>
      </w:r>
      <w:r>
        <w:rPr>
          <w:color w:val="231F20"/>
          <w:w w:val="105"/>
        </w:rPr>
        <w:t>Vivienda.</w:t>
      </w:r>
    </w:p>
    <w:p>
      <w:pPr>
        <w:pStyle w:val="BodyText"/>
        <w:spacing w:before="1"/>
        <w:rPr>
          <w:sz w:val="26"/>
        </w:rPr>
      </w:pPr>
    </w:p>
    <w:p>
      <w:pPr>
        <w:pStyle w:val="Heading5"/>
        <w:ind w:left="1700" w:right="340"/>
      </w:pPr>
      <w:r>
        <w:rPr>
          <w:color w:val="231F20"/>
          <w:w w:val="105"/>
        </w:rPr>
        <w:t>Cuadro 1: Ozumba, localidades y población total.</w:t>
      </w:r>
    </w:p>
    <w:p>
      <w:pPr>
        <w:pStyle w:val="BodyText"/>
        <w:spacing w:before="10"/>
        <w:rPr>
          <w:b/>
          <w:sz w:val="28"/>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977"/>
        <w:gridCol w:w="1430"/>
        <w:gridCol w:w="1270"/>
        <w:gridCol w:w="1260"/>
      </w:tblGrid>
      <w:tr>
        <w:trPr>
          <w:trHeight w:val="130" w:hRule="exact"/>
        </w:trPr>
        <w:tc>
          <w:tcPr>
            <w:tcW w:w="3977" w:type="dxa"/>
          </w:tcPr>
          <w:p>
            <w:pPr>
              <w:pStyle w:val="TableParagraph"/>
              <w:spacing w:line="160" w:lineRule="exact"/>
              <w:ind w:left="0"/>
              <w:rPr>
                <w:sz w:val="16"/>
              </w:rPr>
            </w:pPr>
            <w:r>
              <w:rPr>
                <w:color w:val="231F20"/>
                <w:w w:val="85"/>
                <w:sz w:val="16"/>
              </w:rPr>
              <w:t>LOCALIDAD</w:t>
            </w:r>
          </w:p>
        </w:tc>
        <w:tc>
          <w:tcPr>
            <w:tcW w:w="1430" w:type="dxa"/>
          </w:tcPr>
          <w:p>
            <w:pPr>
              <w:pStyle w:val="TableParagraph"/>
              <w:spacing w:line="160" w:lineRule="exact"/>
              <w:ind w:left="0"/>
              <w:rPr>
                <w:sz w:val="16"/>
              </w:rPr>
            </w:pPr>
            <w:r>
              <w:rPr>
                <w:color w:val="231F20"/>
                <w:w w:val="75"/>
                <w:sz w:val="16"/>
              </w:rPr>
              <w:t>POBLACIÓN TOTAL</w:t>
            </w:r>
          </w:p>
        </w:tc>
        <w:tc>
          <w:tcPr>
            <w:tcW w:w="1270" w:type="dxa"/>
          </w:tcPr>
          <w:p>
            <w:pPr>
              <w:pStyle w:val="TableParagraph"/>
              <w:spacing w:line="160" w:lineRule="exact"/>
              <w:ind w:left="0"/>
              <w:rPr>
                <w:sz w:val="16"/>
              </w:rPr>
            </w:pPr>
            <w:r>
              <w:rPr>
                <w:color w:val="231F20"/>
                <w:w w:val="85"/>
                <w:sz w:val="16"/>
              </w:rPr>
              <w:t>HOMBRES</w:t>
            </w:r>
          </w:p>
        </w:tc>
        <w:tc>
          <w:tcPr>
            <w:tcW w:w="1260" w:type="dxa"/>
          </w:tcPr>
          <w:p>
            <w:pPr>
              <w:pStyle w:val="TableParagraph"/>
              <w:spacing w:line="160" w:lineRule="exact"/>
              <w:ind w:left="0"/>
              <w:rPr>
                <w:sz w:val="16"/>
              </w:rPr>
            </w:pPr>
            <w:r>
              <w:rPr>
                <w:color w:val="231F20"/>
                <w:w w:val="85"/>
                <w:sz w:val="16"/>
              </w:rPr>
              <w:t>MUJERES</w:t>
            </w:r>
          </w:p>
        </w:tc>
      </w:tr>
      <w:tr>
        <w:trPr>
          <w:trHeight w:val="130" w:hRule="exact"/>
        </w:trPr>
        <w:tc>
          <w:tcPr>
            <w:tcW w:w="3977" w:type="dxa"/>
          </w:tcPr>
          <w:p>
            <w:pPr>
              <w:pStyle w:val="TableParagraph"/>
              <w:spacing w:line="160" w:lineRule="exact"/>
              <w:ind w:left="0"/>
              <w:rPr>
                <w:sz w:val="16"/>
              </w:rPr>
            </w:pPr>
            <w:r>
              <w:rPr>
                <w:color w:val="231F20"/>
                <w:w w:val="75"/>
                <w:sz w:val="16"/>
              </w:rPr>
              <w:t>Barrio Actopan</w:t>
            </w:r>
          </w:p>
        </w:tc>
        <w:tc>
          <w:tcPr>
            <w:tcW w:w="1430" w:type="dxa"/>
          </w:tcPr>
          <w:p>
            <w:pPr>
              <w:pStyle w:val="TableParagraph"/>
              <w:spacing w:line="160" w:lineRule="exact"/>
              <w:ind w:left="0"/>
              <w:rPr>
                <w:sz w:val="16"/>
              </w:rPr>
            </w:pPr>
            <w:r>
              <w:rPr>
                <w:color w:val="231F20"/>
                <w:w w:val="85"/>
                <w:sz w:val="16"/>
              </w:rPr>
              <w:t>25</w:t>
            </w:r>
          </w:p>
        </w:tc>
        <w:tc>
          <w:tcPr>
            <w:tcW w:w="1270" w:type="dxa"/>
          </w:tcPr>
          <w:p>
            <w:pPr>
              <w:pStyle w:val="TableParagraph"/>
              <w:spacing w:line="160" w:lineRule="exact"/>
              <w:ind w:left="0"/>
              <w:rPr>
                <w:sz w:val="16"/>
              </w:rPr>
            </w:pPr>
            <w:r>
              <w:rPr>
                <w:color w:val="231F20"/>
                <w:w w:val="85"/>
                <w:sz w:val="16"/>
              </w:rPr>
              <w:t>11</w:t>
            </w:r>
          </w:p>
        </w:tc>
        <w:tc>
          <w:tcPr>
            <w:tcW w:w="1260" w:type="dxa"/>
          </w:tcPr>
          <w:p>
            <w:pPr>
              <w:pStyle w:val="TableParagraph"/>
              <w:spacing w:line="160" w:lineRule="exact"/>
              <w:ind w:left="0"/>
              <w:rPr>
                <w:sz w:val="16"/>
              </w:rPr>
            </w:pPr>
            <w:r>
              <w:rPr>
                <w:color w:val="231F20"/>
                <w:w w:val="85"/>
                <w:sz w:val="16"/>
              </w:rPr>
              <w:t>14</w:t>
            </w:r>
          </w:p>
        </w:tc>
      </w:tr>
      <w:tr>
        <w:trPr>
          <w:trHeight w:val="130" w:hRule="exact"/>
        </w:trPr>
        <w:tc>
          <w:tcPr>
            <w:tcW w:w="3977" w:type="dxa"/>
          </w:tcPr>
          <w:p>
            <w:pPr>
              <w:pStyle w:val="TableParagraph"/>
              <w:spacing w:line="160" w:lineRule="exact"/>
              <w:ind w:left="0"/>
              <w:rPr>
                <w:sz w:val="16"/>
              </w:rPr>
            </w:pPr>
            <w:r>
              <w:rPr>
                <w:color w:val="231F20"/>
                <w:w w:val="75"/>
                <w:sz w:val="16"/>
              </w:rPr>
              <w:t>Huejote (Rancho Huejote)</w:t>
            </w:r>
          </w:p>
        </w:tc>
        <w:tc>
          <w:tcPr>
            <w:tcW w:w="1430" w:type="dxa"/>
          </w:tcPr>
          <w:p>
            <w:pPr>
              <w:pStyle w:val="TableParagraph"/>
              <w:spacing w:line="160" w:lineRule="exact"/>
              <w:ind w:left="0"/>
              <w:rPr>
                <w:sz w:val="16"/>
              </w:rPr>
            </w:pPr>
            <w:r>
              <w:rPr>
                <w:color w:val="231F20"/>
                <w:w w:val="85"/>
                <w:sz w:val="16"/>
              </w:rPr>
              <w:t>31</w:t>
            </w:r>
          </w:p>
        </w:tc>
        <w:tc>
          <w:tcPr>
            <w:tcW w:w="1270" w:type="dxa"/>
          </w:tcPr>
          <w:p>
            <w:pPr>
              <w:pStyle w:val="TableParagraph"/>
              <w:spacing w:line="160" w:lineRule="exact"/>
              <w:ind w:left="0"/>
              <w:rPr>
                <w:sz w:val="16"/>
              </w:rPr>
            </w:pPr>
            <w:r>
              <w:rPr>
                <w:color w:val="231F20"/>
                <w:w w:val="85"/>
                <w:sz w:val="16"/>
              </w:rPr>
              <w:t>16</w:t>
            </w:r>
          </w:p>
        </w:tc>
        <w:tc>
          <w:tcPr>
            <w:tcW w:w="1260" w:type="dxa"/>
          </w:tcPr>
          <w:p>
            <w:pPr>
              <w:pStyle w:val="TableParagraph"/>
              <w:spacing w:line="160" w:lineRule="exact"/>
              <w:ind w:left="0"/>
              <w:rPr>
                <w:sz w:val="16"/>
              </w:rPr>
            </w:pPr>
            <w:r>
              <w:rPr>
                <w:color w:val="231F20"/>
                <w:w w:val="85"/>
                <w:sz w:val="16"/>
              </w:rPr>
              <w:t>15</w:t>
            </w:r>
          </w:p>
        </w:tc>
      </w:tr>
      <w:tr>
        <w:trPr>
          <w:trHeight w:val="130" w:hRule="exact"/>
        </w:trPr>
        <w:tc>
          <w:tcPr>
            <w:tcW w:w="3977" w:type="dxa"/>
          </w:tcPr>
          <w:p>
            <w:pPr>
              <w:pStyle w:val="TableParagraph"/>
              <w:spacing w:line="160" w:lineRule="exact"/>
              <w:ind w:left="0"/>
              <w:rPr>
                <w:sz w:val="16"/>
              </w:rPr>
            </w:pPr>
            <w:r>
              <w:rPr>
                <w:color w:val="231F20"/>
                <w:w w:val="80"/>
                <w:sz w:val="16"/>
              </w:rPr>
              <w:t>La Cantarilla</w:t>
            </w:r>
          </w:p>
        </w:tc>
        <w:tc>
          <w:tcPr>
            <w:tcW w:w="1430" w:type="dxa"/>
          </w:tcPr>
          <w:p>
            <w:pPr>
              <w:pStyle w:val="TableParagraph"/>
              <w:spacing w:line="160" w:lineRule="exact"/>
              <w:ind w:left="0"/>
              <w:rPr>
                <w:sz w:val="16"/>
              </w:rPr>
            </w:pPr>
            <w:r>
              <w:rPr>
                <w:color w:val="231F20"/>
                <w:w w:val="85"/>
                <w:sz w:val="16"/>
              </w:rPr>
              <w:t>16</w:t>
            </w:r>
          </w:p>
        </w:tc>
        <w:tc>
          <w:tcPr>
            <w:tcW w:w="1270" w:type="dxa"/>
          </w:tcPr>
          <w:p>
            <w:pPr>
              <w:pStyle w:val="TableParagraph"/>
              <w:spacing w:line="160" w:lineRule="exact"/>
              <w:ind w:left="0"/>
              <w:rPr>
                <w:sz w:val="16"/>
              </w:rPr>
            </w:pPr>
            <w:r>
              <w:rPr>
                <w:color w:val="231F20"/>
                <w:w w:val="75"/>
                <w:sz w:val="16"/>
              </w:rPr>
              <w:t>9</w:t>
            </w:r>
          </w:p>
        </w:tc>
        <w:tc>
          <w:tcPr>
            <w:tcW w:w="1260" w:type="dxa"/>
          </w:tcPr>
          <w:p>
            <w:pPr>
              <w:pStyle w:val="TableParagraph"/>
              <w:spacing w:line="160" w:lineRule="exact"/>
              <w:ind w:left="0"/>
              <w:rPr>
                <w:sz w:val="16"/>
              </w:rPr>
            </w:pPr>
            <w:r>
              <w:rPr>
                <w:color w:val="231F20"/>
                <w:w w:val="75"/>
                <w:sz w:val="16"/>
              </w:rPr>
              <w:t>7</w:t>
            </w:r>
          </w:p>
        </w:tc>
      </w:tr>
      <w:tr>
        <w:trPr>
          <w:trHeight w:val="130" w:hRule="exact"/>
        </w:trPr>
        <w:tc>
          <w:tcPr>
            <w:tcW w:w="3977" w:type="dxa"/>
          </w:tcPr>
          <w:p>
            <w:pPr>
              <w:pStyle w:val="TableParagraph"/>
              <w:spacing w:line="160" w:lineRule="exact"/>
              <w:ind w:left="0"/>
              <w:rPr>
                <w:sz w:val="16"/>
              </w:rPr>
            </w:pPr>
            <w:r>
              <w:rPr>
                <w:color w:val="231F20"/>
                <w:w w:val="75"/>
                <w:sz w:val="16"/>
              </w:rPr>
              <w:t>Loma Bonita</w:t>
            </w:r>
          </w:p>
        </w:tc>
        <w:tc>
          <w:tcPr>
            <w:tcW w:w="1430" w:type="dxa"/>
          </w:tcPr>
          <w:p>
            <w:pPr>
              <w:pStyle w:val="TableParagraph"/>
              <w:spacing w:line="160" w:lineRule="exact"/>
              <w:ind w:left="0"/>
              <w:rPr>
                <w:sz w:val="16"/>
              </w:rPr>
            </w:pPr>
            <w:r>
              <w:rPr>
                <w:color w:val="231F20"/>
                <w:w w:val="85"/>
                <w:sz w:val="16"/>
              </w:rPr>
              <w:t>33</w:t>
            </w:r>
          </w:p>
        </w:tc>
        <w:tc>
          <w:tcPr>
            <w:tcW w:w="1270" w:type="dxa"/>
          </w:tcPr>
          <w:p>
            <w:pPr>
              <w:pStyle w:val="TableParagraph"/>
              <w:spacing w:line="160" w:lineRule="exact"/>
              <w:ind w:left="0"/>
              <w:rPr>
                <w:sz w:val="16"/>
              </w:rPr>
            </w:pPr>
            <w:r>
              <w:rPr>
                <w:color w:val="231F20"/>
                <w:w w:val="85"/>
                <w:sz w:val="16"/>
              </w:rPr>
              <w:t>15</w:t>
            </w:r>
          </w:p>
        </w:tc>
        <w:tc>
          <w:tcPr>
            <w:tcW w:w="1260" w:type="dxa"/>
          </w:tcPr>
          <w:p>
            <w:pPr>
              <w:pStyle w:val="TableParagraph"/>
              <w:spacing w:line="160" w:lineRule="exact"/>
              <w:ind w:left="0"/>
              <w:rPr>
                <w:sz w:val="16"/>
              </w:rPr>
            </w:pPr>
            <w:r>
              <w:rPr>
                <w:color w:val="231F20"/>
                <w:w w:val="85"/>
                <w:sz w:val="16"/>
              </w:rPr>
              <w:t>18</w:t>
            </w:r>
          </w:p>
        </w:tc>
      </w:tr>
      <w:tr>
        <w:trPr>
          <w:trHeight w:val="130" w:hRule="exact"/>
        </w:trPr>
        <w:tc>
          <w:tcPr>
            <w:tcW w:w="3977" w:type="dxa"/>
          </w:tcPr>
          <w:p>
            <w:pPr>
              <w:pStyle w:val="TableParagraph"/>
              <w:spacing w:line="160" w:lineRule="exact"/>
              <w:ind w:left="0"/>
              <w:rPr>
                <w:sz w:val="16"/>
              </w:rPr>
            </w:pPr>
            <w:r>
              <w:rPr>
                <w:color w:val="231F20"/>
                <w:w w:val="75"/>
                <w:sz w:val="16"/>
              </w:rPr>
              <w:t>Ozumba de Alzate</w:t>
            </w:r>
          </w:p>
        </w:tc>
        <w:tc>
          <w:tcPr>
            <w:tcW w:w="1430" w:type="dxa"/>
          </w:tcPr>
          <w:p>
            <w:pPr>
              <w:pStyle w:val="TableParagraph"/>
              <w:spacing w:line="160" w:lineRule="exact"/>
              <w:ind w:left="0"/>
              <w:rPr>
                <w:sz w:val="16"/>
              </w:rPr>
            </w:pPr>
            <w:r>
              <w:rPr>
                <w:color w:val="231F20"/>
                <w:w w:val="85"/>
                <w:sz w:val="16"/>
              </w:rPr>
              <w:t>15,717</w:t>
            </w:r>
          </w:p>
        </w:tc>
        <w:tc>
          <w:tcPr>
            <w:tcW w:w="1270" w:type="dxa"/>
          </w:tcPr>
          <w:p>
            <w:pPr>
              <w:pStyle w:val="TableParagraph"/>
              <w:spacing w:line="160" w:lineRule="exact"/>
              <w:ind w:left="0"/>
              <w:rPr>
                <w:sz w:val="16"/>
              </w:rPr>
            </w:pPr>
            <w:r>
              <w:rPr>
                <w:color w:val="231F20"/>
                <w:w w:val="85"/>
                <w:sz w:val="16"/>
              </w:rPr>
              <w:t>7,477</w:t>
            </w:r>
          </w:p>
        </w:tc>
        <w:tc>
          <w:tcPr>
            <w:tcW w:w="1260" w:type="dxa"/>
          </w:tcPr>
          <w:p>
            <w:pPr>
              <w:pStyle w:val="TableParagraph"/>
              <w:spacing w:line="160" w:lineRule="exact"/>
              <w:ind w:left="0"/>
              <w:rPr>
                <w:sz w:val="16"/>
              </w:rPr>
            </w:pPr>
            <w:r>
              <w:rPr>
                <w:color w:val="231F20"/>
                <w:w w:val="85"/>
                <w:sz w:val="16"/>
              </w:rPr>
              <w:t>8,240</w:t>
            </w:r>
          </w:p>
        </w:tc>
      </w:tr>
      <w:tr>
        <w:trPr>
          <w:trHeight w:val="130" w:hRule="exact"/>
        </w:trPr>
        <w:tc>
          <w:tcPr>
            <w:tcW w:w="3977" w:type="dxa"/>
          </w:tcPr>
          <w:p>
            <w:pPr>
              <w:pStyle w:val="TableParagraph"/>
              <w:spacing w:line="160" w:lineRule="exact"/>
              <w:ind w:left="0"/>
              <w:rPr>
                <w:sz w:val="16"/>
              </w:rPr>
            </w:pPr>
            <w:r>
              <w:rPr>
                <w:color w:val="231F20"/>
                <w:w w:val="80"/>
                <w:sz w:val="16"/>
              </w:rPr>
              <w:t>San José (Rancho San José Tlacotitlán)</w:t>
            </w:r>
          </w:p>
        </w:tc>
        <w:tc>
          <w:tcPr>
            <w:tcW w:w="1430" w:type="dxa"/>
          </w:tcPr>
          <w:p>
            <w:pPr>
              <w:pStyle w:val="TableParagraph"/>
              <w:spacing w:line="160" w:lineRule="exact"/>
              <w:ind w:left="0"/>
              <w:rPr>
                <w:sz w:val="16"/>
              </w:rPr>
            </w:pPr>
            <w:r>
              <w:rPr>
                <w:color w:val="231F20"/>
                <w:w w:val="85"/>
                <w:sz w:val="16"/>
              </w:rPr>
              <w:t>40</w:t>
            </w:r>
          </w:p>
        </w:tc>
        <w:tc>
          <w:tcPr>
            <w:tcW w:w="1270" w:type="dxa"/>
          </w:tcPr>
          <w:p>
            <w:pPr>
              <w:pStyle w:val="TableParagraph"/>
              <w:spacing w:line="160" w:lineRule="exact"/>
              <w:ind w:left="0"/>
              <w:rPr>
                <w:sz w:val="16"/>
              </w:rPr>
            </w:pPr>
            <w:r>
              <w:rPr>
                <w:color w:val="231F20"/>
                <w:w w:val="85"/>
                <w:sz w:val="16"/>
              </w:rPr>
              <w:t>20</w:t>
            </w:r>
          </w:p>
        </w:tc>
        <w:tc>
          <w:tcPr>
            <w:tcW w:w="1260" w:type="dxa"/>
          </w:tcPr>
          <w:p>
            <w:pPr>
              <w:pStyle w:val="TableParagraph"/>
              <w:spacing w:line="160" w:lineRule="exact"/>
              <w:ind w:left="0"/>
              <w:rPr>
                <w:sz w:val="16"/>
              </w:rPr>
            </w:pPr>
            <w:r>
              <w:rPr>
                <w:color w:val="231F20"/>
                <w:w w:val="85"/>
                <w:sz w:val="16"/>
              </w:rPr>
              <w:t>20</w:t>
            </w:r>
          </w:p>
        </w:tc>
      </w:tr>
      <w:tr>
        <w:trPr>
          <w:trHeight w:val="130" w:hRule="exact"/>
        </w:trPr>
        <w:tc>
          <w:tcPr>
            <w:tcW w:w="3977" w:type="dxa"/>
          </w:tcPr>
          <w:p>
            <w:pPr>
              <w:pStyle w:val="TableParagraph"/>
              <w:spacing w:line="160" w:lineRule="exact"/>
              <w:ind w:left="0"/>
              <w:rPr>
                <w:sz w:val="16"/>
              </w:rPr>
            </w:pPr>
            <w:r>
              <w:rPr>
                <w:color w:val="231F20"/>
                <w:w w:val="80"/>
                <w:sz w:val="16"/>
              </w:rPr>
              <w:t>San José Tlacotitlán</w:t>
            </w:r>
          </w:p>
        </w:tc>
        <w:tc>
          <w:tcPr>
            <w:tcW w:w="1430" w:type="dxa"/>
          </w:tcPr>
          <w:p>
            <w:pPr>
              <w:pStyle w:val="TableParagraph"/>
              <w:spacing w:line="160" w:lineRule="exact"/>
              <w:ind w:left="0"/>
              <w:rPr>
                <w:sz w:val="16"/>
              </w:rPr>
            </w:pPr>
            <w:r>
              <w:rPr>
                <w:color w:val="231F20"/>
                <w:w w:val="85"/>
                <w:sz w:val="16"/>
              </w:rPr>
              <w:t>1,068</w:t>
            </w:r>
          </w:p>
        </w:tc>
        <w:tc>
          <w:tcPr>
            <w:tcW w:w="1270" w:type="dxa"/>
          </w:tcPr>
          <w:p>
            <w:pPr>
              <w:pStyle w:val="TableParagraph"/>
              <w:spacing w:line="160" w:lineRule="exact"/>
              <w:ind w:left="0"/>
              <w:rPr>
                <w:sz w:val="16"/>
              </w:rPr>
            </w:pPr>
            <w:r>
              <w:rPr>
                <w:color w:val="231F20"/>
                <w:w w:val="85"/>
                <w:sz w:val="16"/>
              </w:rPr>
              <w:t>504</w:t>
            </w:r>
          </w:p>
        </w:tc>
        <w:tc>
          <w:tcPr>
            <w:tcW w:w="1260" w:type="dxa"/>
          </w:tcPr>
          <w:p>
            <w:pPr>
              <w:pStyle w:val="TableParagraph"/>
              <w:spacing w:line="160" w:lineRule="exact"/>
              <w:ind w:left="0"/>
              <w:rPr>
                <w:sz w:val="16"/>
              </w:rPr>
            </w:pPr>
            <w:r>
              <w:rPr>
                <w:color w:val="231F20"/>
                <w:w w:val="85"/>
                <w:sz w:val="16"/>
              </w:rPr>
              <w:t>564</w:t>
            </w:r>
          </w:p>
        </w:tc>
      </w:tr>
      <w:tr>
        <w:trPr>
          <w:trHeight w:val="130" w:hRule="exact"/>
        </w:trPr>
        <w:tc>
          <w:tcPr>
            <w:tcW w:w="3977" w:type="dxa"/>
          </w:tcPr>
          <w:p>
            <w:pPr>
              <w:pStyle w:val="TableParagraph"/>
              <w:spacing w:line="160" w:lineRule="exact"/>
              <w:ind w:left="0"/>
              <w:rPr>
                <w:sz w:val="16"/>
              </w:rPr>
            </w:pPr>
            <w:r>
              <w:rPr>
                <w:color w:val="231F20"/>
                <w:w w:val="75"/>
                <w:sz w:val="16"/>
              </w:rPr>
              <w:t>San Lorenzo Tlaltecoyan (Tlaltecoyac)</w:t>
            </w:r>
          </w:p>
        </w:tc>
        <w:tc>
          <w:tcPr>
            <w:tcW w:w="1430" w:type="dxa"/>
          </w:tcPr>
          <w:p>
            <w:pPr>
              <w:pStyle w:val="TableParagraph"/>
              <w:spacing w:line="160" w:lineRule="exact"/>
              <w:ind w:left="0"/>
              <w:rPr>
                <w:sz w:val="16"/>
              </w:rPr>
            </w:pPr>
            <w:r>
              <w:rPr>
                <w:color w:val="231F20"/>
                <w:w w:val="85"/>
                <w:sz w:val="16"/>
              </w:rPr>
              <w:t>342</w:t>
            </w:r>
          </w:p>
        </w:tc>
        <w:tc>
          <w:tcPr>
            <w:tcW w:w="1270" w:type="dxa"/>
          </w:tcPr>
          <w:p>
            <w:pPr>
              <w:pStyle w:val="TableParagraph"/>
              <w:spacing w:line="160" w:lineRule="exact"/>
              <w:ind w:left="0"/>
              <w:rPr>
                <w:sz w:val="16"/>
              </w:rPr>
            </w:pPr>
            <w:r>
              <w:rPr>
                <w:color w:val="231F20"/>
                <w:w w:val="85"/>
                <w:sz w:val="16"/>
              </w:rPr>
              <w:t>179</w:t>
            </w:r>
          </w:p>
        </w:tc>
        <w:tc>
          <w:tcPr>
            <w:tcW w:w="1260" w:type="dxa"/>
          </w:tcPr>
          <w:p>
            <w:pPr>
              <w:pStyle w:val="TableParagraph"/>
              <w:spacing w:line="160" w:lineRule="exact"/>
              <w:ind w:left="0"/>
              <w:rPr>
                <w:sz w:val="16"/>
              </w:rPr>
            </w:pPr>
            <w:r>
              <w:rPr>
                <w:color w:val="231F20"/>
                <w:w w:val="85"/>
                <w:sz w:val="16"/>
              </w:rPr>
              <w:t>163</w:t>
            </w:r>
          </w:p>
        </w:tc>
      </w:tr>
      <w:tr>
        <w:trPr>
          <w:trHeight w:val="130" w:hRule="exact"/>
        </w:trPr>
        <w:tc>
          <w:tcPr>
            <w:tcW w:w="3977" w:type="dxa"/>
          </w:tcPr>
          <w:p>
            <w:pPr>
              <w:pStyle w:val="TableParagraph"/>
              <w:spacing w:line="160" w:lineRule="exact"/>
              <w:ind w:left="0"/>
              <w:rPr>
                <w:sz w:val="16"/>
              </w:rPr>
            </w:pPr>
            <w:r>
              <w:rPr>
                <w:color w:val="231F20"/>
                <w:w w:val="75"/>
                <w:sz w:val="16"/>
              </w:rPr>
              <w:t>San Mateo Cuatepulco (Zona Cuatepulco)</w:t>
            </w:r>
          </w:p>
        </w:tc>
        <w:tc>
          <w:tcPr>
            <w:tcW w:w="1430" w:type="dxa"/>
          </w:tcPr>
          <w:p>
            <w:pPr>
              <w:pStyle w:val="TableParagraph"/>
              <w:spacing w:line="160" w:lineRule="exact"/>
              <w:ind w:left="0"/>
              <w:rPr>
                <w:sz w:val="16"/>
              </w:rPr>
            </w:pPr>
            <w:r>
              <w:rPr>
                <w:color w:val="231F20"/>
                <w:w w:val="85"/>
                <w:sz w:val="16"/>
              </w:rPr>
              <w:t>15</w:t>
            </w:r>
          </w:p>
        </w:tc>
        <w:tc>
          <w:tcPr>
            <w:tcW w:w="1270" w:type="dxa"/>
          </w:tcPr>
          <w:p>
            <w:pPr>
              <w:pStyle w:val="TableParagraph"/>
              <w:spacing w:line="160" w:lineRule="exact"/>
              <w:ind w:left="0"/>
              <w:rPr>
                <w:sz w:val="16"/>
              </w:rPr>
            </w:pPr>
            <w:r>
              <w:rPr>
                <w:color w:val="231F20"/>
                <w:w w:val="75"/>
                <w:sz w:val="16"/>
              </w:rPr>
              <w:t>8</w:t>
            </w:r>
          </w:p>
        </w:tc>
        <w:tc>
          <w:tcPr>
            <w:tcW w:w="1260" w:type="dxa"/>
          </w:tcPr>
          <w:p>
            <w:pPr>
              <w:pStyle w:val="TableParagraph"/>
              <w:spacing w:line="160" w:lineRule="exact"/>
              <w:ind w:left="0"/>
              <w:rPr>
                <w:sz w:val="16"/>
              </w:rPr>
            </w:pPr>
            <w:r>
              <w:rPr>
                <w:color w:val="231F20"/>
                <w:w w:val="75"/>
                <w:sz w:val="16"/>
              </w:rPr>
              <w:t>7</w:t>
            </w:r>
          </w:p>
        </w:tc>
      </w:tr>
      <w:tr>
        <w:trPr>
          <w:trHeight w:val="130" w:hRule="exact"/>
        </w:trPr>
        <w:tc>
          <w:tcPr>
            <w:tcW w:w="3977" w:type="dxa"/>
          </w:tcPr>
          <w:p>
            <w:pPr>
              <w:pStyle w:val="TableParagraph"/>
              <w:spacing w:line="160" w:lineRule="exact"/>
              <w:ind w:left="0"/>
              <w:rPr>
                <w:sz w:val="16"/>
              </w:rPr>
            </w:pPr>
            <w:r>
              <w:rPr>
                <w:color w:val="231F20"/>
                <w:w w:val="75"/>
                <w:sz w:val="16"/>
              </w:rPr>
              <w:t>San Mateo Tecalco</w:t>
            </w:r>
          </w:p>
        </w:tc>
        <w:tc>
          <w:tcPr>
            <w:tcW w:w="1430" w:type="dxa"/>
          </w:tcPr>
          <w:p>
            <w:pPr>
              <w:pStyle w:val="TableParagraph"/>
              <w:spacing w:line="160" w:lineRule="exact"/>
              <w:ind w:left="0"/>
              <w:rPr>
                <w:sz w:val="16"/>
              </w:rPr>
            </w:pPr>
            <w:r>
              <w:rPr>
                <w:color w:val="231F20"/>
                <w:w w:val="85"/>
                <w:sz w:val="16"/>
              </w:rPr>
              <w:t>2,621</w:t>
            </w:r>
          </w:p>
        </w:tc>
        <w:tc>
          <w:tcPr>
            <w:tcW w:w="1270" w:type="dxa"/>
          </w:tcPr>
          <w:p>
            <w:pPr>
              <w:pStyle w:val="TableParagraph"/>
              <w:spacing w:line="160" w:lineRule="exact"/>
              <w:ind w:left="0"/>
              <w:rPr>
                <w:sz w:val="16"/>
              </w:rPr>
            </w:pPr>
            <w:r>
              <w:rPr>
                <w:color w:val="231F20"/>
                <w:w w:val="85"/>
                <w:sz w:val="16"/>
              </w:rPr>
              <w:t>1,208</w:t>
            </w:r>
          </w:p>
        </w:tc>
        <w:tc>
          <w:tcPr>
            <w:tcW w:w="1260" w:type="dxa"/>
          </w:tcPr>
          <w:p>
            <w:pPr>
              <w:pStyle w:val="TableParagraph"/>
              <w:spacing w:line="160" w:lineRule="exact"/>
              <w:ind w:left="0"/>
              <w:rPr>
                <w:sz w:val="16"/>
              </w:rPr>
            </w:pPr>
            <w:r>
              <w:rPr>
                <w:color w:val="231F20"/>
                <w:w w:val="85"/>
                <w:sz w:val="16"/>
              </w:rPr>
              <w:t>1,413</w:t>
            </w:r>
          </w:p>
        </w:tc>
      </w:tr>
      <w:tr>
        <w:trPr>
          <w:trHeight w:val="130" w:hRule="exact"/>
        </w:trPr>
        <w:tc>
          <w:tcPr>
            <w:tcW w:w="3977" w:type="dxa"/>
          </w:tcPr>
          <w:p>
            <w:pPr>
              <w:pStyle w:val="TableParagraph"/>
              <w:spacing w:line="160" w:lineRule="exact"/>
              <w:ind w:left="0"/>
              <w:rPr>
                <w:sz w:val="16"/>
              </w:rPr>
            </w:pPr>
            <w:r>
              <w:rPr>
                <w:color w:val="231F20"/>
                <w:w w:val="80"/>
                <w:sz w:val="16"/>
              </w:rPr>
              <w:t>San Sebastián</w:t>
            </w:r>
          </w:p>
        </w:tc>
        <w:tc>
          <w:tcPr>
            <w:tcW w:w="1430" w:type="dxa"/>
          </w:tcPr>
          <w:p>
            <w:pPr>
              <w:pStyle w:val="TableParagraph"/>
              <w:spacing w:line="160" w:lineRule="exact"/>
              <w:ind w:left="0"/>
              <w:rPr>
                <w:sz w:val="16"/>
              </w:rPr>
            </w:pPr>
            <w:r>
              <w:rPr>
                <w:color w:val="231F20"/>
                <w:w w:val="85"/>
                <w:sz w:val="16"/>
              </w:rPr>
              <w:t>26</w:t>
            </w:r>
          </w:p>
        </w:tc>
        <w:tc>
          <w:tcPr>
            <w:tcW w:w="1270" w:type="dxa"/>
          </w:tcPr>
          <w:p>
            <w:pPr>
              <w:pStyle w:val="TableParagraph"/>
              <w:spacing w:line="160" w:lineRule="exact"/>
              <w:ind w:left="0"/>
              <w:rPr>
                <w:sz w:val="16"/>
              </w:rPr>
            </w:pPr>
            <w:r>
              <w:rPr>
                <w:color w:val="231F20"/>
                <w:w w:val="85"/>
                <w:sz w:val="16"/>
              </w:rPr>
              <w:t>13</w:t>
            </w:r>
          </w:p>
        </w:tc>
        <w:tc>
          <w:tcPr>
            <w:tcW w:w="1260" w:type="dxa"/>
          </w:tcPr>
          <w:p>
            <w:pPr>
              <w:pStyle w:val="TableParagraph"/>
              <w:spacing w:line="160" w:lineRule="exact"/>
              <w:ind w:left="0"/>
              <w:rPr>
                <w:sz w:val="16"/>
              </w:rPr>
            </w:pPr>
            <w:r>
              <w:rPr>
                <w:color w:val="231F20"/>
                <w:w w:val="85"/>
                <w:sz w:val="16"/>
              </w:rPr>
              <w:t>13</w:t>
            </w:r>
          </w:p>
        </w:tc>
      </w:tr>
      <w:tr>
        <w:trPr>
          <w:trHeight w:val="130" w:hRule="exact"/>
        </w:trPr>
        <w:tc>
          <w:tcPr>
            <w:tcW w:w="3977" w:type="dxa"/>
          </w:tcPr>
          <w:p>
            <w:pPr>
              <w:pStyle w:val="TableParagraph"/>
              <w:spacing w:line="160" w:lineRule="exact"/>
              <w:ind w:left="0"/>
              <w:rPr>
                <w:sz w:val="16"/>
              </w:rPr>
            </w:pPr>
            <w:r>
              <w:rPr>
                <w:color w:val="231F20"/>
                <w:w w:val="75"/>
                <w:sz w:val="16"/>
              </w:rPr>
              <w:t>San Vicente Chimalhuacán</w:t>
            </w:r>
          </w:p>
        </w:tc>
        <w:tc>
          <w:tcPr>
            <w:tcW w:w="1430" w:type="dxa"/>
          </w:tcPr>
          <w:p>
            <w:pPr>
              <w:pStyle w:val="TableParagraph"/>
              <w:spacing w:line="160" w:lineRule="exact"/>
              <w:ind w:left="0"/>
              <w:rPr>
                <w:sz w:val="16"/>
              </w:rPr>
            </w:pPr>
            <w:r>
              <w:rPr>
                <w:color w:val="231F20"/>
                <w:w w:val="85"/>
                <w:sz w:val="16"/>
              </w:rPr>
              <w:t>2,445</w:t>
            </w:r>
          </w:p>
        </w:tc>
        <w:tc>
          <w:tcPr>
            <w:tcW w:w="1270" w:type="dxa"/>
          </w:tcPr>
          <w:p>
            <w:pPr>
              <w:pStyle w:val="TableParagraph"/>
              <w:spacing w:line="160" w:lineRule="exact"/>
              <w:ind w:left="0"/>
              <w:rPr>
                <w:sz w:val="16"/>
              </w:rPr>
            </w:pPr>
            <w:r>
              <w:rPr>
                <w:color w:val="231F20"/>
                <w:w w:val="85"/>
                <w:sz w:val="16"/>
              </w:rPr>
              <w:t>1,163</w:t>
            </w:r>
          </w:p>
        </w:tc>
        <w:tc>
          <w:tcPr>
            <w:tcW w:w="1260" w:type="dxa"/>
          </w:tcPr>
          <w:p>
            <w:pPr>
              <w:pStyle w:val="TableParagraph"/>
              <w:spacing w:line="160" w:lineRule="exact"/>
              <w:ind w:left="0"/>
              <w:rPr>
                <w:sz w:val="16"/>
              </w:rPr>
            </w:pPr>
            <w:r>
              <w:rPr>
                <w:color w:val="231F20"/>
                <w:w w:val="85"/>
                <w:sz w:val="16"/>
              </w:rPr>
              <w:t>1,282</w:t>
            </w:r>
          </w:p>
        </w:tc>
      </w:tr>
      <w:tr>
        <w:trPr>
          <w:trHeight w:val="130" w:hRule="exact"/>
        </w:trPr>
        <w:tc>
          <w:tcPr>
            <w:tcW w:w="3977" w:type="dxa"/>
          </w:tcPr>
          <w:p>
            <w:pPr>
              <w:pStyle w:val="TableParagraph"/>
              <w:spacing w:line="160" w:lineRule="exact"/>
              <w:ind w:left="0"/>
              <w:rPr>
                <w:sz w:val="16"/>
              </w:rPr>
            </w:pPr>
            <w:r>
              <w:rPr>
                <w:color w:val="231F20"/>
                <w:w w:val="75"/>
                <w:sz w:val="16"/>
              </w:rPr>
              <w:t>Santiago  Mamalhuazuca</w:t>
            </w:r>
          </w:p>
        </w:tc>
        <w:tc>
          <w:tcPr>
            <w:tcW w:w="1430" w:type="dxa"/>
          </w:tcPr>
          <w:p>
            <w:pPr>
              <w:pStyle w:val="TableParagraph"/>
              <w:spacing w:line="160" w:lineRule="exact"/>
              <w:ind w:left="0"/>
              <w:rPr>
                <w:sz w:val="16"/>
              </w:rPr>
            </w:pPr>
            <w:r>
              <w:rPr>
                <w:color w:val="231F20"/>
                <w:w w:val="85"/>
                <w:sz w:val="16"/>
              </w:rPr>
              <w:t>1,670</w:t>
            </w:r>
          </w:p>
        </w:tc>
        <w:tc>
          <w:tcPr>
            <w:tcW w:w="1270" w:type="dxa"/>
          </w:tcPr>
          <w:p>
            <w:pPr>
              <w:pStyle w:val="TableParagraph"/>
              <w:spacing w:line="160" w:lineRule="exact"/>
              <w:ind w:left="0"/>
              <w:rPr>
                <w:sz w:val="16"/>
              </w:rPr>
            </w:pPr>
            <w:r>
              <w:rPr>
                <w:color w:val="231F20"/>
                <w:w w:val="85"/>
                <w:sz w:val="16"/>
              </w:rPr>
              <w:t>800</w:t>
            </w:r>
          </w:p>
        </w:tc>
        <w:tc>
          <w:tcPr>
            <w:tcW w:w="1260" w:type="dxa"/>
          </w:tcPr>
          <w:p>
            <w:pPr>
              <w:pStyle w:val="TableParagraph"/>
              <w:spacing w:line="160" w:lineRule="exact"/>
              <w:ind w:left="0"/>
              <w:rPr>
                <w:sz w:val="16"/>
              </w:rPr>
            </w:pPr>
            <w:r>
              <w:rPr>
                <w:color w:val="231F20"/>
                <w:w w:val="85"/>
                <w:sz w:val="16"/>
              </w:rPr>
              <w:t>870</w:t>
            </w:r>
          </w:p>
        </w:tc>
      </w:tr>
      <w:tr>
        <w:trPr>
          <w:trHeight w:val="130" w:hRule="exact"/>
        </w:trPr>
        <w:tc>
          <w:tcPr>
            <w:tcW w:w="3977" w:type="dxa"/>
          </w:tcPr>
          <w:p>
            <w:pPr>
              <w:pStyle w:val="TableParagraph"/>
              <w:spacing w:line="160" w:lineRule="exact"/>
              <w:ind w:left="0"/>
              <w:rPr>
                <w:sz w:val="16"/>
              </w:rPr>
            </w:pPr>
            <w:r>
              <w:rPr>
                <w:color w:val="231F20"/>
                <w:w w:val="80"/>
                <w:sz w:val="16"/>
              </w:rPr>
              <w:t>Localidades con menos de 3 viviendas</w:t>
            </w:r>
          </w:p>
        </w:tc>
        <w:tc>
          <w:tcPr>
            <w:tcW w:w="1430" w:type="dxa"/>
          </w:tcPr>
          <w:p>
            <w:pPr>
              <w:pStyle w:val="TableParagraph"/>
              <w:spacing w:line="160" w:lineRule="exact"/>
              <w:ind w:left="0"/>
              <w:rPr>
                <w:sz w:val="16"/>
              </w:rPr>
            </w:pPr>
            <w:r>
              <w:rPr>
                <w:color w:val="231F20"/>
                <w:w w:val="75"/>
                <w:sz w:val="16"/>
              </w:rPr>
              <w:t>6</w:t>
            </w:r>
          </w:p>
        </w:tc>
        <w:tc>
          <w:tcPr>
            <w:tcW w:w="1270" w:type="dxa"/>
          </w:tcPr>
          <w:p>
            <w:pPr>
              <w:pStyle w:val="TableParagraph"/>
              <w:spacing w:line="160" w:lineRule="exact"/>
              <w:ind w:left="0"/>
              <w:rPr>
                <w:sz w:val="16"/>
              </w:rPr>
            </w:pPr>
            <w:r>
              <w:rPr>
                <w:color w:val="231F20"/>
                <w:w w:val="75"/>
                <w:sz w:val="16"/>
              </w:rPr>
              <w:t>3</w:t>
            </w:r>
          </w:p>
        </w:tc>
        <w:tc>
          <w:tcPr>
            <w:tcW w:w="1260" w:type="dxa"/>
          </w:tcPr>
          <w:p>
            <w:pPr>
              <w:pStyle w:val="TableParagraph"/>
              <w:spacing w:line="160" w:lineRule="exact"/>
              <w:ind w:left="0"/>
              <w:rPr>
                <w:sz w:val="16"/>
              </w:rPr>
            </w:pPr>
            <w:r>
              <w:rPr>
                <w:color w:val="231F20"/>
                <w:w w:val="75"/>
                <w:sz w:val="16"/>
              </w:rPr>
              <w:t>3</w:t>
            </w:r>
          </w:p>
        </w:tc>
      </w:tr>
      <w:tr>
        <w:trPr>
          <w:trHeight w:val="322" w:hRule="exact"/>
        </w:trPr>
        <w:tc>
          <w:tcPr>
            <w:tcW w:w="3977" w:type="dxa"/>
          </w:tcPr>
          <w:p>
            <w:pPr>
              <w:pStyle w:val="TableParagraph"/>
              <w:spacing w:line="162" w:lineRule="exact"/>
              <w:ind w:left="0"/>
              <w:rPr>
                <w:sz w:val="16"/>
              </w:rPr>
            </w:pPr>
            <w:r>
              <w:rPr>
                <w:color w:val="231F20"/>
                <w:w w:val="85"/>
                <w:sz w:val="16"/>
              </w:rPr>
              <w:t>TOTAL</w:t>
            </w:r>
          </w:p>
        </w:tc>
        <w:tc>
          <w:tcPr>
            <w:tcW w:w="1430" w:type="dxa"/>
          </w:tcPr>
          <w:p>
            <w:pPr>
              <w:pStyle w:val="TableParagraph"/>
              <w:spacing w:line="162" w:lineRule="exact"/>
              <w:ind w:left="0"/>
              <w:rPr>
                <w:sz w:val="16"/>
              </w:rPr>
            </w:pPr>
            <w:r>
              <w:rPr>
                <w:color w:val="231F20"/>
                <w:w w:val="85"/>
                <w:sz w:val="16"/>
              </w:rPr>
              <w:t>24,055</w:t>
            </w:r>
          </w:p>
        </w:tc>
        <w:tc>
          <w:tcPr>
            <w:tcW w:w="1270" w:type="dxa"/>
          </w:tcPr>
          <w:p>
            <w:pPr>
              <w:pStyle w:val="TableParagraph"/>
              <w:spacing w:line="162" w:lineRule="exact"/>
              <w:ind w:left="0"/>
              <w:rPr>
                <w:sz w:val="16"/>
              </w:rPr>
            </w:pPr>
            <w:r>
              <w:rPr>
                <w:color w:val="231F20"/>
                <w:w w:val="85"/>
                <w:sz w:val="16"/>
              </w:rPr>
              <w:t>11,426</w:t>
            </w:r>
          </w:p>
        </w:tc>
        <w:tc>
          <w:tcPr>
            <w:tcW w:w="1260" w:type="dxa"/>
          </w:tcPr>
          <w:p>
            <w:pPr>
              <w:pStyle w:val="TableParagraph"/>
              <w:spacing w:line="162" w:lineRule="exact"/>
              <w:ind w:left="0"/>
              <w:rPr>
                <w:sz w:val="16"/>
              </w:rPr>
            </w:pPr>
            <w:r>
              <w:rPr>
                <w:color w:val="231F20"/>
                <w:w w:val="85"/>
                <w:sz w:val="16"/>
              </w:rPr>
              <w:t>12,629</w:t>
            </w:r>
          </w:p>
        </w:tc>
      </w:tr>
    </w:tbl>
    <w:p>
      <w:pPr>
        <w:pStyle w:val="BodyText"/>
        <w:spacing w:before="7"/>
        <w:rPr>
          <w:b/>
          <w:sz w:val="9"/>
        </w:rPr>
      </w:pPr>
    </w:p>
    <w:p>
      <w:pPr>
        <w:spacing w:before="74"/>
        <w:ind w:left="5322" w:right="-3" w:firstLine="0"/>
        <w:jc w:val="left"/>
        <w:rPr>
          <w:rFonts w:ascii="Calibri" w:hAnsi="Calibri"/>
          <w:sz w:val="16"/>
        </w:rPr>
      </w:pPr>
      <w:r>
        <w:rPr>
          <w:rFonts w:ascii="Calibri" w:hAnsi="Calibri"/>
          <w:color w:val="231F20"/>
          <w:sz w:val="16"/>
        </w:rPr>
        <w:t>Fuente: (INEGI, 2009: Documento en línea).</w:t>
      </w:r>
    </w:p>
    <w:p>
      <w:pPr>
        <w:pStyle w:val="BodyText"/>
        <w:rPr>
          <w:rFonts w:ascii="Calibri"/>
          <w:sz w:val="16"/>
        </w:rPr>
      </w:pPr>
    </w:p>
    <w:p>
      <w:pPr>
        <w:pStyle w:val="BodyText"/>
        <w:spacing w:before="11"/>
        <w:rPr>
          <w:rFonts w:ascii="Calibri"/>
          <w:sz w:val="12"/>
        </w:rPr>
      </w:pPr>
    </w:p>
    <w:p>
      <w:pPr>
        <w:pStyle w:val="BodyText"/>
        <w:spacing w:line="285" w:lineRule="auto"/>
        <w:ind w:left="110" w:right="127"/>
        <w:jc w:val="both"/>
      </w:pPr>
      <w:r>
        <w:rPr>
          <w:color w:val="231F20"/>
          <w:w w:val="105"/>
        </w:rPr>
        <w:t>Como</w:t>
      </w:r>
      <w:r>
        <w:rPr>
          <w:color w:val="231F20"/>
          <w:spacing w:val="-8"/>
          <w:w w:val="105"/>
        </w:rPr>
        <w:t> </w:t>
      </w:r>
      <w:r>
        <w:rPr>
          <w:color w:val="231F20"/>
          <w:w w:val="105"/>
        </w:rPr>
        <w:t>se</w:t>
      </w:r>
      <w:r>
        <w:rPr>
          <w:color w:val="231F20"/>
          <w:spacing w:val="-8"/>
          <w:w w:val="105"/>
        </w:rPr>
        <w:t> </w:t>
      </w:r>
      <w:r>
        <w:rPr>
          <w:color w:val="231F20"/>
          <w:w w:val="105"/>
        </w:rPr>
        <w:t>puede</w:t>
      </w:r>
      <w:r>
        <w:rPr>
          <w:color w:val="231F20"/>
          <w:spacing w:val="-8"/>
          <w:w w:val="105"/>
        </w:rPr>
        <w:t> </w:t>
      </w:r>
      <w:r>
        <w:rPr>
          <w:color w:val="231F20"/>
          <w:w w:val="105"/>
        </w:rPr>
        <w:t>observar,</w:t>
      </w:r>
      <w:r>
        <w:rPr>
          <w:color w:val="231F20"/>
          <w:spacing w:val="-8"/>
          <w:w w:val="105"/>
        </w:rPr>
        <w:t> </w:t>
      </w:r>
      <w:r>
        <w:rPr>
          <w:color w:val="231F20"/>
          <w:w w:val="105"/>
        </w:rPr>
        <w:t>la</w:t>
      </w:r>
      <w:r>
        <w:rPr>
          <w:color w:val="231F20"/>
          <w:spacing w:val="-8"/>
          <w:w w:val="105"/>
        </w:rPr>
        <w:t> </w:t>
      </w:r>
      <w:r>
        <w:rPr>
          <w:color w:val="231F20"/>
          <w:w w:val="105"/>
        </w:rPr>
        <w:t>mayor</w:t>
      </w:r>
      <w:r>
        <w:rPr>
          <w:color w:val="231F20"/>
          <w:spacing w:val="-8"/>
          <w:w w:val="105"/>
        </w:rPr>
        <w:t> </w:t>
      </w:r>
      <w:r>
        <w:rPr>
          <w:color w:val="231F20"/>
          <w:w w:val="105"/>
        </w:rPr>
        <w:t>parte</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del</w:t>
      </w:r>
      <w:r>
        <w:rPr>
          <w:color w:val="231F20"/>
          <w:spacing w:val="-8"/>
          <w:w w:val="105"/>
        </w:rPr>
        <w:t> </w:t>
      </w:r>
      <w:r>
        <w:rPr>
          <w:color w:val="231F20"/>
          <w:w w:val="105"/>
        </w:rPr>
        <w:t>municipio</w:t>
      </w:r>
      <w:r>
        <w:rPr>
          <w:color w:val="231F20"/>
          <w:spacing w:val="-8"/>
          <w:w w:val="105"/>
        </w:rPr>
        <w:t> </w:t>
      </w:r>
      <w:r>
        <w:rPr>
          <w:color w:val="231F20"/>
          <w:w w:val="105"/>
        </w:rPr>
        <w:t>se</w:t>
      </w:r>
      <w:r>
        <w:rPr>
          <w:color w:val="231F20"/>
          <w:spacing w:val="-8"/>
          <w:w w:val="105"/>
        </w:rPr>
        <w:t> </w:t>
      </w:r>
      <w:r>
        <w:rPr>
          <w:color w:val="231F20"/>
          <w:w w:val="105"/>
        </w:rPr>
        <w:t>concentra</w:t>
      </w:r>
      <w:r>
        <w:rPr>
          <w:color w:val="231F20"/>
          <w:spacing w:val="-8"/>
          <w:w w:val="105"/>
        </w:rPr>
        <w:t> </w:t>
      </w:r>
      <w:r>
        <w:rPr>
          <w:color w:val="231F20"/>
          <w:w w:val="105"/>
        </w:rPr>
        <w:t>en la</w:t>
      </w:r>
      <w:r>
        <w:rPr>
          <w:color w:val="231F20"/>
          <w:spacing w:val="-16"/>
          <w:w w:val="105"/>
        </w:rPr>
        <w:t> </w:t>
      </w:r>
      <w:r>
        <w:rPr>
          <w:color w:val="231F20"/>
          <w:w w:val="105"/>
        </w:rPr>
        <w:t>cabecera</w:t>
      </w:r>
      <w:r>
        <w:rPr>
          <w:color w:val="231F20"/>
          <w:spacing w:val="-16"/>
          <w:w w:val="105"/>
        </w:rPr>
        <w:t> </w:t>
      </w:r>
      <w:r>
        <w:rPr>
          <w:color w:val="231F20"/>
          <w:w w:val="105"/>
        </w:rPr>
        <w:t>municipal,</w:t>
      </w:r>
      <w:r>
        <w:rPr>
          <w:color w:val="231F20"/>
          <w:spacing w:val="-16"/>
          <w:w w:val="105"/>
        </w:rPr>
        <w:t> </w:t>
      </w:r>
      <w:r>
        <w:rPr>
          <w:color w:val="231F20"/>
          <w:w w:val="105"/>
        </w:rPr>
        <w:t>por</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puede</w:t>
      </w:r>
      <w:r>
        <w:rPr>
          <w:color w:val="231F20"/>
          <w:spacing w:val="-16"/>
          <w:w w:val="105"/>
        </w:rPr>
        <w:t> </w:t>
      </w:r>
      <w:r>
        <w:rPr>
          <w:color w:val="231F20"/>
          <w:w w:val="105"/>
        </w:rPr>
        <w:t>esperar</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mayor</w:t>
      </w:r>
      <w:r>
        <w:rPr>
          <w:color w:val="231F20"/>
          <w:spacing w:val="-16"/>
          <w:w w:val="105"/>
        </w:rPr>
        <w:t> </w:t>
      </w:r>
      <w:r>
        <w:rPr>
          <w:color w:val="231F20"/>
          <w:w w:val="105"/>
        </w:rPr>
        <w:t>parte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obra</w:t>
      </w:r>
      <w:r>
        <w:rPr>
          <w:color w:val="231F20"/>
          <w:spacing w:val="-16"/>
          <w:w w:val="105"/>
        </w:rPr>
        <w:t> </w:t>
      </w:r>
      <w:r>
        <w:rPr>
          <w:color w:val="231F20"/>
          <w:w w:val="105"/>
        </w:rPr>
        <w:t>pública y</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acciones</w:t>
      </w:r>
      <w:r>
        <w:rPr>
          <w:color w:val="231F20"/>
          <w:spacing w:val="-16"/>
          <w:w w:val="105"/>
        </w:rPr>
        <w:t> </w:t>
      </w:r>
      <w:r>
        <w:rPr>
          <w:color w:val="231F20"/>
          <w:w w:val="105"/>
        </w:rPr>
        <w:t>relevantes</w:t>
      </w:r>
      <w:r>
        <w:rPr>
          <w:color w:val="231F20"/>
          <w:spacing w:val="-16"/>
          <w:w w:val="105"/>
        </w:rPr>
        <w:t> </w:t>
      </w:r>
      <w:r>
        <w:rPr>
          <w:color w:val="231F20"/>
          <w:w w:val="105"/>
        </w:rPr>
        <w:t>del</w:t>
      </w:r>
      <w:r>
        <w:rPr>
          <w:color w:val="231F20"/>
          <w:spacing w:val="-16"/>
          <w:w w:val="105"/>
        </w:rPr>
        <w:t> </w:t>
      </w:r>
      <w:r>
        <w:rPr>
          <w:color w:val="231F20"/>
          <w:w w:val="105"/>
        </w:rPr>
        <w:t>gobierno</w:t>
      </w:r>
      <w:r>
        <w:rPr>
          <w:color w:val="231F20"/>
          <w:spacing w:val="-16"/>
          <w:w w:val="105"/>
        </w:rPr>
        <w:t> </w:t>
      </w:r>
      <w:r>
        <w:rPr>
          <w:color w:val="231F20"/>
          <w:w w:val="105"/>
        </w:rPr>
        <w:t>municipal</w:t>
      </w:r>
      <w:r>
        <w:rPr>
          <w:color w:val="231F20"/>
          <w:spacing w:val="-16"/>
          <w:w w:val="105"/>
        </w:rPr>
        <w:t> </w:t>
      </w:r>
      <w:r>
        <w:rPr>
          <w:color w:val="231F20"/>
          <w:w w:val="105"/>
        </w:rPr>
        <w:t>también</w:t>
      </w:r>
      <w:r>
        <w:rPr>
          <w:color w:val="231F20"/>
          <w:spacing w:val="-16"/>
          <w:w w:val="105"/>
        </w:rPr>
        <w:t> </w:t>
      </w:r>
      <w:r>
        <w:rPr>
          <w:color w:val="231F20"/>
          <w:w w:val="105"/>
        </w:rPr>
        <w:t>se</w:t>
      </w:r>
      <w:r>
        <w:rPr>
          <w:color w:val="231F20"/>
          <w:spacing w:val="-16"/>
          <w:w w:val="105"/>
        </w:rPr>
        <w:t> </w:t>
      </w:r>
      <w:r>
        <w:rPr>
          <w:color w:val="231F20"/>
          <w:w w:val="105"/>
        </w:rPr>
        <w:t>concentren</w:t>
      </w:r>
      <w:r>
        <w:rPr>
          <w:color w:val="231F20"/>
          <w:spacing w:val="-16"/>
          <w:w w:val="105"/>
        </w:rPr>
        <w:t> </w:t>
      </w:r>
      <w:r>
        <w:rPr>
          <w:color w:val="231F20"/>
          <w:w w:val="105"/>
        </w:rPr>
        <w:t>en</w:t>
      </w:r>
      <w:r>
        <w:rPr>
          <w:color w:val="231F20"/>
          <w:spacing w:val="-16"/>
          <w:w w:val="105"/>
        </w:rPr>
        <w:t> </w:t>
      </w:r>
      <w:r>
        <w:rPr>
          <w:color w:val="231F20"/>
          <w:w w:val="105"/>
        </w:rPr>
        <w:t>ella.</w:t>
      </w:r>
    </w:p>
    <w:p>
      <w:pPr>
        <w:pStyle w:val="BodyText"/>
        <w:spacing w:before="1"/>
        <w:rPr>
          <w:sz w:val="26"/>
        </w:rPr>
      </w:pPr>
    </w:p>
    <w:p>
      <w:pPr>
        <w:pStyle w:val="BodyText"/>
        <w:ind w:left="110"/>
        <w:jc w:val="both"/>
      </w:pPr>
      <w:r>
        <w:rPr>
          <w:color w:val="231F20"/>
        </w:rPr>
        <w:t>La cobertura de los servicios públicos es la  siguiente:</w:t>
      </w:r>
    </w:p>
    <w:p>
      <w:pPr>
        <w:spacing w:after="0"/>
        <w:jc w:val="both"/>
        <w:sectPr>
          <w:pgSz w:w="9640" w:h="12190"/>
          <w:pgMar w:header="0" w:footer="743" w:top="1120" w:bottom="940" w:left="740" w:right="720"/>
        </w:sectPr>
      </w:pPr>
    </w:p>
    <w:p>
      <w:pPr>
        <w:pStyle w:val="BodyText"/>
        <w:spacing w:before="5"/>
        <w:rPr>
          <w:sz w:val="11"/>
        </w:rPr>
      </w:pPr>
    </w:p>
    <w:p>
      <w:pPr>
        <w:pStyle w:val="Heading5"/>
        <w:spacing w:before="34"/>
        <w:ind w:left="110"/>
      </w:pPr>
      <w:r>
        <w:rPr>
          <w:color w:val="231F20"/>
          <w:w w:val="105"/>
        </w:rPr>
        <w:t>Cuadro 2: Servicios Públicos Ozumba</w:t>
      </w:r>
    </w:p>
    <w:p>
      <w:pPr>
        <w:pStyle w:val="BodyText"/>
        <w:spacing w:before="10"/>
        <w:rPr>
          <w:b/>
          <w:sz w:val="28"/>
        </w:rPr>
      </w:pPr>
    </w:p>
    <w:tbl>
      <w:tblPr>
        <w:tblW w:w="0" w:type="auto"/>
        <w:jc w:val="left"/>
        <w:tblInd w:w="1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322"/>
        <w:gridCol w:w="1605"/>
      </w:tblGrid>
      <w:tr>
        <w:trPr>
          <w:trHeight w:val="130" w:hRule="exact"/>
        </w:trPr>
        <w:tc>
          <w:tcPr>
            <w:tcW w:w="4322" w:type="dxa"/>
          </w:tcPr>
          <w:p>
            <w:pPr>
              <w:pStyle w:val="TableParagraph"/>
              <w:spacing w:line="160" w:lineRule="exact"/>
              <w:rPr>
                <w:sz w:val="16"/>
              </w:rPr>
            </w:pPr>
            <w:r>
              <w:rPr>
                <w:color w:val="231F20"/>
                <w:w w:val="85"/>
                <w:sz w:val="16"/>
              </w:rPr>
              <w:t>SERVICIO</w:t>
            </w:r>
          </w:p>
        </w:tc>
        <w:tc>
          <w:tcPr>
            <w:tcW w:w="1605" w:type="dxa"/>
          </w:tcPr>
          <w:p>
            <w:pPr>
              <w:pStyle w:val="TableParagraph"/>
              <w:spacing w:line="160" w:lineRule="exact"/>
              <w:ind w:left="102"/>
              <w:rPr>
                <w:sz w:val="16"/>
              </w:rPr>
            </w:pPr>
            <w:r>
              <w:rPr>
                <w:color w:val="231F20"/>
                <w:w w:val="70"/>
                <w:sz w:val="16"/>
              </w:rPr>
              <w:t>COBERTURA   PORCENTUAL</w:t>
            </w:r>
          </w:p>
        </w:tc>
      </w:tr>
      <w:tr>
        <w:trPr>
          <w:trHeight w:val="130" w:hRule="exact"/>
        </w:trPr>
        <w:tc>
          <w:tcPr>
            <w:tcW w:w="4322" w:type="dxa"/>
          </w:tcPr>
          <w:p>
            <w:pPr>
              <w:pStyle w:val="TableParagraph"/>
              <w:spacing w:line="160" w:lineRule="exact"/>
              <w:rPr>
                <w:sz w:val="16"/>
              </w:rPr>
            </w:pPr>
            <w:r>
              <w:rPr>
                <w:color w:val="231F20"/>
                <w:w w:val="75"/>
                <w:sz w:val="16"/>
              </w:rPr>
              <w:t>Agua Potable</w:t>
            </w:r>
          </w:p>
        </w:tc>
        <w:tc>
          <w:tcPr>
            <w:tcW w:w="1605" w:type="dxa"/>
          </w:tcPr>
          <w:p>
            <w:pPr>
              <w:pStyle w:val="TableParagraph"/>
              <w:spacing w:line="160" w:lineRule="exact"/>
              <w:ind w:left="102"/>
              <w:rPr>
                <w:sz w:val="16"/>
              </w:rPr>
            </w:pPr>
            <w:r>
              <w:rPr>
                <w:color w:val="231F20"/>
                <w:w w:val="85"/>
                <w:sz w:val="16"/>
              </w:rPr>
              <w:t>89.28</w:t>
            </w:r>
          </w:p>
        </w:tc>
      </w:tr>
      <w:tr>
        <w:trPr>
          <w:trHeight w:val="130" w:hRule="exact"/>
        </w:trPr>
        <w:tc>
          <w:tcPr>
            <w:tcW w:w="4322" w:type="dxa"/>
          </w:tcPr>
          <w:p>
            <w:pPr>
              <w:pStyle w:val="TableParagraph"/>
              <w:spacing w:line="160" w:lineRule="exact"/>
              <w:rPr>
                <w:sz w:val="16"/>
              </w:rPr>
            </w:pPr>
            <w:r>
              <w:rPr>
                <w:color w:val="231F20"/>
                <w:w w:val="75"/>
                <w:sz w:val="16"/>
              </w:rPr>
              <w:t>Alumbrado Público</w:t>
            </w:r>
          </w:p>
        </w:tc>
        <w:tc>
          <w:tcPr>
            <w:tcW w:w="1605" w:type="dxa"/>
          </w:tcPr>
          <w:p>
            <w:pPr>
              <w:pStyle w:val="TableParagraph"/>
              <w:spacing w:line="160" w:lineRule="exact"/>
              <w:ind w:left="102"/>
              <w:rPr>
                <w:sz w:val="16"/>
              </w:rPr>
            </w:pPr>
            <w:r>
              <w:rPr>
                <w:color w:val="231F20"/>
                <w:w w:val="85"/>
                <w:sz w:val="16"/>
              </w:rPr>
              <w:t>98.5</w:t>
            </w:r>
          </w:p>
        </w:tc>
      </w:tr>
      <w:tr>
        <w:trPr>
          <w:trHeight w:val="130" w:hRule="exact"/>
        </w:trPr>
        <w:tc>
          <w:tcPr>
            <w:tcW w:w="4322" w:type="dxa"/>
          </w:tcPr>
          <w:p>
            <w:pPr>
              <w:pStyle w:val="TableParagraph"/>
              <w:spacing w:line="160" w:lineRule="exact"/>
              <w:rPr>
                <w:sz w:val="16"/>
              </w:rPr>
            </w:pPr>
            <w:r>
              <w:rPr>
                <w:color w:val="231F20"/>
                <w:w w:val="80"/>
                <w:sz w:val="16"/>
              </w:rPr>
              <w:t>Recolección de Basura y Limpieza</w:t>
            </w:r>
          </w:p>
        </w:tc>
        <w:tc>
          <w:tcPr>
            <w:tcW w:w="1605" w:type="dxa"/>
          </w:tcPr>
          <w:p>
            <w:pPr>
              <w:pStyle w:val="TableParagraph"/>
              <w:spacing w:line="160" w:lineRule="exact"/>
              <w:ind w:left="102"/>
              <w:rPr>
                <w:sz w:val="16"/>
              </w:rPr>
            </w:pPr>
            <w:r>
              <w:rPr>
                <w:color w:val="231F20"/>
                <w:w w:val="85"/>
                <w:sz w:val="16"/>
              </w:rPr>
              <w:t>90</w:t>
            </w:r>
          </w:p>
        </w:tc>
      </w:tr>
      <w:tr>
        <w:trPr>
          <w:trHeight w:val="130" w:hRule="exact"/>
        </w:trPr>
        <w:tc>
          <w:tcPr>
            <w:tcW w:w="4322" w:type="dxa"/>
          </w:tcPr>
          <w:p>
            <w:pPr>
              <w:pStyle w:val="TableParagraph"/>
              <w:spacing w:line="160" w:lineRule="exact"/>
              <w:rPr>
                <w:sz w:val="16"/>
              </w:rPr>
            </w:pPr>
            <w:r>
              <w:rPr>
                <w:color w:val="231F20"/>
                <w:w w:val="75"/>
                <w:sz w:val="16"/>
              </w:rPr>
              <w:t>Seguridad  Pública</w:t>
            </w:r>
          </w:p>
        </w:tc>
        <w:tc>
          <w:tcPr>
            <w:tcW w:w="1605" w:type="dxa"/>
          </w:tcPr>
          <w:p>
            <w:pPr>
              <w:pStyle w:val="TableParagraph"/>
              <w:spacing w:line="160" w:lineRule="exact"/>
              <w:ind w:left="102"/>
              <w:rPr>
                <w:sz w:val="16"/>
              </w:rPr>
            </w:pPr>
            <w:r>
              <w:rPr>
                <w:color w:val="231F20"/>
                <w:w w:val="85"/>
                <w:sz w:val="16"/>
              </w:rPr>
              <w:t>80</w:t>
            </w:r>
          </w:p>
        </w:tc>
      </w:tr>
      <w:tr>
        <w:trPr>
          <w:trHeight w:val="130" w:hRule="exact"/>
        </w:trPr>
        <w:tc>
          <w:tcPr>
            <w:tcW w:w="4322" w:type="dxa"/>
          </w:tcPr>
          <w:p>
            <w:pPr>
              <w:pStyle w:val="TableParagraph"/>
              <w:spacing w:line="160" w:lineRule="exact"/>
              <w:rPr>
                <w:sz w:val="16"/>
              </w:rPr>
            </w:pPr>
            <w:r>
              <w:rPr>
                <w:color w:val="231F20"/>
                <w:w w:val="85"/>
                <w:sz w:val="16"/>
              </w:rPr>
              <w:t>Pavimentación</w:t>
            </w:r>
          </w:p>
        </w:tc>
        <w:tc>
          <w:tcPr>
            <w:tcW w:w="1605" w:type="dxa"/>
          </w:tcPr>
          <w:p>
            <w:pPr>
              <w:pStyle w:val="TableParagraph"/>
              <w:spacing w:line="160" w:lineRule="exact"/>
              <w:ind w:left="102"/>
              <w:rPr>
                <w:sz w:val="16"/>
              </w:rPr>
            </w:pPr>
            <w:r>
              <w:rPr>
                <w:color w:val="231F20"/>
                <w:w w:val="85"/>
                <w:sz w:val="16"/>
              </w:rPr>
              <w:t>70</w:t>
            </w:r>
          </w:p>
        </w:tc>
      </w:tr>
      <w:tr>
        <w:trPr>
          <w:trHeight w:val="130" w:hRule="exact"/>
        </w:trPr>
        <w:tc>
          <w:tcPr>
            <w:tcW w:w="4322" w:type="dxa"/>
          </w:tcPr>
          <w:p>
            <w:pPr>
              <w:pStyle w:val="TableParagraph"/>
              <w:spacing w:line="160" w:lineRule="exact"/>
              <w:rPr>
                <w:sz w:val="16"/>
              </w:rPr>
            </w:pPr>
            <w:r>
              <w:rPr>
                <w:color w:val="231F20"/>
                <w:w w:val="75"/>
                <w:sz w:val="16"/>
              </w:rPr>
              <w:t>Mercado y Tianguis</w:t>
            </w:r>
          </w:p>
        </w:tc>
        <w:tc>
          <w:tcPr>
            <w:tcW w:w="1605" w:type="dxa"/>
          </w:tcPr>
          <w:p>
            <w:pPr>
              <w:pStyle w:val="TableParagraph"/>
              <w:spacing w:line="160" w:lineRule="exact"/>
              <w:ind w:left="102"/>
              <w:rPr>
                <w:sz w:val="16"/>
              </w:rPr>
            </w:pPr>
            <w:r>
              <w:rPr>
                <w:color w:val="231F20"/>
                <w:w w:val="85"/>
                <w:sz w:val="16"/>
              </w:rPr>
              <w:t>80</w:t>
            </w:r>
          </w:p>
        </w:tc>
      </w:tr>
      <w:tr>
        <w:trPr>
          <w:trHeight w:val="130" w:hRule="exact"/>
        </w:trPr>
        <w:tc>
          <w:tcPr>
            <w:tcW w:w="4322" w:type="dxa"/>
          </w:tcPr>
          <w:p>
            <w:pPr>
              <w:pStyle w:val="TableParagraph"/>
              <w:spacing w:line="160" w:lineRule="exact"/>
              <w:rPr>
                <w:sz w:val="16"/>
              </w:rPr>
            </w:pPr>
            <w:r>
              <w:rPr>
                <w:color w:val="231F20"/>
                <w:w w:val="80"/>
                <w:sz w:val="16"/>
              </w:rPr>
              <w:t>Rastro existe sólo uno en el municipio</w:t>
            </w:r>
          </w:p>
        </w:tc>
        <w:tc>
          <w:tcPr>
            <w:tcW w:w="1605" w:type="dxa"/>
          </w:tcPr>
          <w:p>
            <w:pPr>
              <w:pStyle w:val="TableParagraph"/>
              <w:spacing w:line="160" w:lineRule="exact"/>
              <w:ind w:left="102"/>
              <w:rPr>
                <w:sz w:val="16"/>
              </w:rPr>
            </w:pPr>
            <w:r>
              <w:rPr>
                <w:color w:val="231F20"/>
                <w:w w:val="85"/>
                <w:sz w:val="16"/>
              </w:rPr>
              <w:t>90</w:t>
            </w:r>
          </w:p>
        </w:tc>
      </w:tr>
      <w:tr>
        <w:trPr>
          <w:trHeight w:val="130" w:hRule="exact"/>
        </w:trPr>
        <w:tc>
          <w:tcPr>
            <w:tcW w:w="4322" w:type="dxa"/>
          </w:tcPr>
          <w:p>
            <w:pPr>
              <w:pStyle w:val="TableParagraph"/>
              <w:spacing w:line="160" w:lineRule="exact"/>
              <w:rPr>
                <w:sz w:val="16"/>
              </w:rPr>
            </w:pPr>
            <w:r>
              <w:rPr>
                <w:color w:val="231F20"/>
                <w:w w:val="85"/>
                <w:sz w:val="16"/>
              </w:rPr>
              <w:t>Drenaje</w:t>
            </w:r>
          </w:p>
        </w:tc>
        <w:tc>
          <w:tcPr>
            <w:tcW w:w="1605" w:type="dxa"/>
          </w:tcPr>
          <w:p>
            <w:pPr>
              <w:pStyle w:val="TableParagraph"/>
              <w:spacing w:line="160" w:lineRule="exact"/>
              <w:ind w:left="102"/>
              <w:rPr>
                <w:sz w:val="16"/>
              </w:rPr>
            </w:pPr>
            <w:r>
              <w:rPr>
                <w:color w:val="231F20"/>
                <w:w w:val="85"/>
                <w:sz w:val="16"/>
              </w:rPr>
              <w:t>65.29</w:t>
            </w:r>
          </w:p>
        </w:tc>
      </w:tr>
      <w:tr>
        <w:trPr>
          <w:trHeight w:val="130" w:hRule="exact"/>
        </w:trPr>
        <w:tc>
          <w:tcPr>
            <w:tcW w:w="4322" w:type="dxa"/>
          </w:tcPr>
          <w:p>
            <w:pPr>
              <w:pStyle w:val="TableParagraph"/>
              <w:spacing w:line="160" w:lineRule="exact"/>
              <w:rPr>
                <w:sz w:val="16"/>
              </w:rPr>
            </w:pPr>
            <w:r>
              <w:rPr>
                <w:color w:val="231F20"/>
                <w:w w:val="75"/>
                <w:sz w:val="16"/>
              </w:rPr>
              <w:t>Energía Eléctrica</w:t>
            </w:r>
          </w:p>
        </w:tc>
        <w:tc>
          <w:tcPr>
            <w:tcW w:w="1605" w:type="dxa"/>
          </w:tcPr>
          <w:p>
            <w:pPr>
              <w:pStyle w:val="TableParagraph"/>
              <w:spacing w:line="160" w:lineRule="exact"/>
              <w:ind w:left="102"/>
              <w:rPr>
                <w:sz w:val="16"/>
              </w:rPr>
            </w:pPr>
            <w:r>
              <w:rPr>
                <w:color w:val="231F20"/>
                <w:w w:val="85"/>
                <w:sz w:val="16"/>
              </w:rPr>
              <w:t>97.7</w:t>
            </w:r>
          </w:p>
        </w:tc>
      </w:tr>
    </w:tbl>
    <w:p>
      <w:pPr>
        <w:pStyle w:val="BodyText"/>
        <w:spacing w:before="10"/>
        <w:rPr>
          <w:b/>
          <w:sz w:val="15"/>
        </w:rPr>
      </w:pPr>
    </w:p>
    <w:p>
      <w:pPr>
        <w:spacing w:before="74"/>
        <w:ind w:left="2978" w:right="-2" w:firstLine="0"/>
        <w:jc w:val="left"/>
        <w:rPr>
          <w:rFonts w:ascii="Calibri" w:hAnsi="Calibri"/>
          <w:sz w:val="16"/>
        </w:rPr>
      </w:pPr>
      <w:r>
        <w:rPr>
          <w:rFonts w:ascii="Calibri" w:hAnsi="Calibri"/>
          <w:color w:val="231F20"/>
          <w:sz w:val="16"/>
        </w:rPr>
        <w:t>Fuente: (Enciclopedia de los municipios en México, 2000: Documento en línea).</w:t>
      </w:r>
    </w:p>
    <w:p>
      <w:pPr>
        <w:pStyle w:val="BodyText"/>
        <w:rPr>
          <w:rFonts w:ascii="Calibri"/>
          <w:sz w:val="16"/>
        </w:rPr>
      </w:pPr>
    </w:p>
    <w:p>
      <w:pPr>
        <w:pStyle w:val="BodyText"/>
        <w:spacing w:before="10"/>
        <w:rPr>
          <w:rFonts w:ascii="Calibri"/>
          <w:sz w:val="12"/>
        </w:rPr>
      </w:pPr>
    </w:p>
    <w:p>
      <w:pPr>
        <w:pStyle w:val="BodyText"/>
        <w:spacing w:line="285" w:lineRule="auto"/>
        <w:ind w:left="110" w:right="108"/>
        <w:jc w:val="both"/>
      </w:pPr>
      <w:r>
        <w:rPr>
          <w:color w:val="231F20"/>
          <w:w w:val="105"/>
        </w:rPr>
        <w:t>De</w:t>
      </w:r>
      <w:r>
        <w:rPr>
          <w:color w:val="231F20"/>
          <w:spacing w:val="-12"/>
          <w:w w:val="105"/>
        </w:rPr>
        <w:t> </w:t>
      </w:r>
      <w:r>
        <w:rPr>
          <w:color w:val="231F20"/>
          <w:spacing w:val="-4"/>
          <w:w w:val="105"/>
        </w:rPr>
        <w:t>acuerdo</w:t>
      </w:r>
      <w:r>
        <w:rPr>
          <w:color w:val="231F20"/>
          <w:spacing w:val="-12"/>
          <w:w w:val="105"/>
        </w:rPr>
        <w:t> </w:t>
      </w:r>
      <w:r>
        <w:rPr>
          <w:color w:val="231F20"/>
          <w:spacing w:val="-3"/>
          <w:w w:val="105"/>
        </w:rPr>
        <w:t>con</w:t>
      </w:r>
      <w:r>
        <w:rPr>
          <w:color w:val="231F20"/>
          <w:spacing w:val="-12"/>
          <w:w w:val="105"/>
        </w:rPr>
        <w:t> </w:t>
      </w:r>
      <w:r>
        <w:rPr>
          <w:color w:val="231F20"/>
          <w:w w:val="105"/>
        </w:rPr>
        <w:t>el</w:t>
      </w:r>
      <w:r>
        <w:rPr>
          <w:color w:val="231F20"/>
          <w:spacing w:val="-12"/>
          <w:w w:val="105"/>
        </w:rPr>
        <w:t> </w:t>
      </w:r>
      <w:r>
        <w:rPr>
          <w:color w:val="231F20"/>
          <w:spacing w:val="-2"/>
          <w:w w:val="105"/>
        </w:rPr>
        <w:t>cuadro</w:t>
      </w:r>
      <w:r>
        <w:rPr>
          <w:color w:val="231F20"/>
          <w:spacing w:val="-12"/>
          <w:w w:val="105"/>
        </w:rPr>
        <w:t> </w:t>
      </w:r>
      <w:r>
        <w:rPr>
          <w:color w:val="231F20"/>
          <w:spacing w:val="-4"/>
          <w:w w:val="105"/>
        </w:rPr>
        <w:t>anterior,</w:t>
      </w:r>
      <w:r>
        <w:rPr>
          <w:color w:val="231F20"/>
          <w:spacing w:val="-12"/>
          <w:w w:val="105"/>
        </w:rPr>
        <w:t> </w:t>
      </w:r>
      <w:r>
        <w:rPr>
          <w:color w:val="231F20"/>
          <w:w w:val="105"/>
        </w:rPr>
        <w:t>existe</w:t>
      </w:r>
      <w:r>
        <w:rPr>
          <w:color w:val="231F20"/>
          <w:spacing w:val="-12"/>
          <w:w w:val="105"/>
        </w:rPr>
        <w:t> </w:t>
      </w:r>
      <w:r>
        <w:rPr>
          <w:color w:val="231F20"/>
          <w:w w:val="105"/>
        </w:rPr>
        <w:t>una</w:t>
      </w:r>
      <w:r>
        <w:rPr>
          <w:color w:val="231F20"/>
          <w:spacing w:val="-12"/>
          <w:w w:val="105"/>
        </w:rPr>
        <w:t> </w:t>
      </w:r>
      <w:r>
        <w:rPr>
          <w:color w:val="231F20"/>
          <w:w w:val="105"/>
        </w:rPr>
        <w:t>amplia</w:t>
      </w:r>
      <w:r>
        <w:rPr>
          <w:color w:val="231F20"/>
          <w:spacing w:val="-12"/>
          <w:w w:val="105"/>
        </w:rPr>
        <w:t> </w:t>
      </w:r>
      <w:r>
        <w:rPr>
          <w:color w:val="231F20"/>
          <w:w w:val="105"/>
        </w:rPr>
        <w:t>cobertura</w:t>
      </w:r>
      <w:r>
        <w:rPr>
          <w:color w:val="231F20"/>
          <w:spacing w:val="-12"/>
          <w:w w:val="105"/>
        </w:rPr>
        <w:t> </w:t>
      </w:r>
      <w:r>
        <w:rPr>
          <w:color w:val="231F20"/>
          <w:w w:val="105"/>
        </w:rPr>
        <w:t>de</w:t>
      </w:r>
      <w:r>
        <w:rPr>
          <w:color w:val="231F20"/>
          <w:spacing w:val="-12"/>
          <w:w w:val="105"/>
        </w:rPr>
        <w:t> </w:t>
      </w:r>
      <w:r>
        <w:rPr>
          <w:color w:val="231F20"/>
          <w:spacing w:val="-3"/>
          <w:w w:val="105"/>
        </w:rPr>
        <w:t>los</w:t>
      </w:r>
      <w:r>
        <w:rPr>
          <w:color w:val="231F20"/>
          <w:spacing w:val="-12"/>
          <w:w w:val="105"/>
        </w:rPr>
        <w:t> </w:t>
      </w:r>
      <w:r>
        <w:rPr>
          <w:color w:val="231F20"/>
          <w:w w:val="105"/>
        </w:rPr>
        <w:t>servicios</w:t>
      </w:r>
      <w:r>
        <w:rPr>
          <w:color w:val="231F20"/>
          <w:spacing w:val="-12"/>
          <w:w w:val="105"/>
        </w:rPr>
        <w:t> </w:t>
      </w:r>
      <w:r>
        <w:rPr>
          <w:color w:val="231F20"/>
          <w:spacing w:val="-3"/>
          <w:w w:val="105"/>
        </w:rPr>
        <w:t>públicos, </w:t>
      </w:r>
      <w:r>
        <w:rPr>
          <w:color w:val="231F20"/>
          <w:spacing w:val="-4"/>
          <w:w w:val="105"/>
        </w:rPr>
        <w:t>donde</w:t>
      </w:r>
      <w:r>
        <w:rPr>
          <w:color w:val="231F20"/>
          <w:spacing w:val="-23"/>
          <w:w w:val="105"/>
        </w:rPr>
        <w:t> </w:t>
      </w:r>
      <w:r>
        <w:rPr>
          <w:color w:val="231F20"/>
          <w:w w:val="105"/>
        </w:rPr>
        <w:t>destaca</w:t>
      </w:r>
      <w:r>
        <w:rPr>
          <w:color w:val="231F20"/>
          <w:spacing w:val="-23"/>
          <w:w w:val="105"/>
        </w:rPr>
        <w:t> </w:t>
      </w:r>
      <w:r>
        <w:rPr>
          <w:color w:val="231F20"/>
          <w:w w:val="105"/>
        </w:rPr>
        <w:t>el</w:t>
      </w:r>
      <w:r>
        <w:rPr>
          <w:color w:val="231F20"/>
          <w:spacing w:val="-23"/>
          <w:w w:val="105"/>
        </w:rPr>
        <w:t> </w:t>
      </w:r>
      <w:r>
        <w:rPr>
          <w:color w:val="231F20"/>
          <w:w w:val="105"/>
        </w:rPr>
        <w:t>casi</w:t>
      </w:r>
      <w:r>
        <w:rPr>
          <w:color w:val="231F20"/>
          <w:spacing w:val="-23"/>
          <w:w w:val="105"/>
        </w:rPr>
        <w:t> </w:t>
      </w:r>
      <w:r>
        <w:rPr>
          <w:color w:val="231F20"/>
          <w:w w:val="105"/>
        </w:rPr>
        <w:t>100%</w:t>
      </w:r>
      <w:r>
        <w:rPr>
          <w:color w:val="231F20"/>
          <w:spacing w:val="-23"/>
          <w:w w:val="105"/>
        </w:rPr>
        <w:t> </w:t>
      </w:r>
      <w:r>
        <w:rPr>
          <w:color w:val="231F20"/>
          <w:w w:val="105"/>
        </w:rPr>
        <w:t>de</w:t>
      </w:r>
      <w:r>
        <w:rPr>
          <w:color w:val="231F20"/>
          <w:spacing w:val="-23"/>
          <w:w w:val="105"/>
        </w:rPr>
        <w:t> </w:t>
      </w:r>
      <w:r>
        <w:rPr>
          <w:color w:val="231F20"/>
          <w:spacing w:val="-3"/>
          <w:w w:val="105"/>
        </w:rPr>
        <w:t>alumbrado</w:t>
      </w:r>
      <w:r>
        <w:rPr>
          <w:color w:val="231F20"/>
          <w:spacing w:val="-23"/>
          <w:w w:val="105"/>
        </w:rPr>
        <w:t> </w:t>
      </w:r>
      <w:r>
        <w:rPr>
          <w:color w:val="231F20"/>
          <w:spacing w:val="-3"/>
          <w:w w:val="105"/>
        </w:rPr>
        <w:t>público</w:t>
      </w:r>
      <w:r>
        <w:rPr>
          <w:color w:val="231F20"/>
          <w:spacing w:val="-23"/>
          <w:w w:val="105"/>
        </w:rPr>
        <w:t> </w:t>
      </w:r>
      <w:r>
        <w:rPr>
          <w:color w:val="231F20"/>
          <w:w w:val="105"/>
        </w:rPr>
        <w:t>y</w:t>
      </w:r>
      <w:r>
        <w:rPr>
          <w:color w:val="231F20"/>
          <w:spacing w:val="-23"/>
          <w:w w:val="105"/>
        </w:rPr>
        <w:t> </w:t>
      </w:r>
      <w:r>
        <w:rPr>
          <w:color w:val="231F20"/>
          <w:spacing w:val="-3"/>
          <w:w w:val="105"/>
        </w:rPr>
        <w:t>energía</w:t>
      </w:r>
      <w:r>
        <w:rPr>
          <w:color w:val="231F20"/>
          <w:spacing w:val="-23"/>
          <w:w w:val="105"/>
        </w:rPr>
        <w:t> </w:t>
      </w:r>
      <w:r>
        <w:rPr>
          <w:color w:val="231F20"/>
          <w:w w:val="105"/>
        </w:rPr>
        <w:t>eléctrica;</w:t>
      </w:r>
      <w:r>
        <w:rPr>
          <w:color w:val="231F20"/>
          <w:spacing w:val="-23"/>
          <w:w w:val="105"/>
        </w:rPr>
        <w:t> </w:t>
      </w:r>
      <w:r>
        <w:rPr>
          <w:color w:val="231F20"/>
          <w:w w:val="105"/>
        </w:rPr>
        <w:t>sin</w:t>
      </w:r>
      <w:r>
        <w:rPr>
          <w:color w:val="231F20"/>
          <w:spacing w:val="-23"/>
          <w:w w:val="105"/>
        </w:rPr>
        <w:t> </w:t>
      </w:r>
      <w:r>
        <w:rPr>
          <w:color w:val="231F20"/>
          <w:spacing w:val="-3"/>
          <w:w w:val="105"/>
        </w:rPr>
        <w:t>embargo,</w:t>
      </w:r>
      <w:r>
        <w:rPr>
          <w:color w:val="231F20"/>
          <w:spacing w:val="-23"/>
          <w:w w:val="105"/>
        </w:rPr>
        <w:t> </w:t>
      </w:r>
      <w:r>
        <w:rPr>
          <w:color w:val="231F20"/>
          <w:spacing w:val="-5"/>
          <w:w w:val="105"/>
        </w:rPr>
        <w:t>vemos </w:t>
      </w:r>
      <w:r>
        <w:rPr>
          <w:color w:val="231F20"/>
          <w:w w:val="105"/>
        </w:rPr>
        <w:t>algunas</w:t>
      </w:r>
      <w:r>
        <w:rPr>
          <w:color w:val="231F20"/>
          <w:spacing w:val="-20"/>
          <w:w w:val="105"/>
        </w:rPr>
        <w:t> </w:t>
      </w:r>
      <w:r>
        <w:rPr>
          <w:color w:val="231F20"/>
          <w:spacing w:val="-3"/>
          <w:w w:val="105"/>
        </w:rPr>
        <w:t>deficiencias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spacing w:val="-3"/>
          <w:w w:val="105"/>
        </w:rPr>
        <w:t>drenaje</w:t>
      </w:r>
      <w:r>
        <w:rPr>
          <w:color w:val="231F20"/>
          <w:spacing w:val="-20"/>
          <w:w w:val="105"/>
        </w:rPr>
        <w:t> </w:t>
      </w:r>
      <w:r>
        <w:rPr>
          <w:color w:val="231F20"/>
          <w:w w:val="105"/>
        </w:rPr>
        <w:t>y</w:t>
      </w:r>
      <w:r>
        <w:rPr>
          <w:color w:val="231F20"/>
          <w:spacing w:val="-20"/>
          <w:w w:val="105"/>
        </w:rPr>
        <w:t> </w:t>
      </w:r>
      <w:r>
        <w:rPr>
          <w:color w:val="231F20"/>
          <w:spacing w:val="-3"/>
          <w:w w:val="105"/>
        </w:rPr>
        <w:t>pavimentación</w:t>
      </w:r>
      <w:r>
        <w:rPr>
          <w:color w:val="231F20"/>
          <w:spacing w:val="-20"/>
          <w:w w:val="105"/>
        </w:rPr>
        <w:t> </w:t>
      </w:r>
      <w:r>
        <w:rPr>
          <w:color w:val="231F20"/>
          <w:spacing w:val="-3"/>
          <w:w w:val="105"/>
        </w:rPr>
        <w:t>con</w:t>
      </w:r>
      <w:r>
        <w:rPr>
          <w:color w:val="231F20"/>
          <w:spacing w:val="-20"/>
          <w:w w:val="105"/>
        </w:rPr>
        <w:t> </w:t>
      </w:r>
      <w:r>
        <w:rPr>
          <w:color w:val="231F20"/>
          <w:w w:val="105"/>
        </w:rPr>
        <w:t>el</w:t>
      </w:r>
      <w:r>
        <w:rPr>
          <w:color w:val="231F20"/>
          <w:spacing w:val="-20"/>
          <w:w w:val="105"/>
        </w:rPr>
        <w:t> </w:t>
      </w:r>
      <w:r>
        <w:rPr>
          <w:color w:val="231F20"/>
          <w:spacing w:val="-4"/>
          <w:w w:val="105"/>
        </w:rPr>
        <w:t>70%</w:t>
      </w:r>
      <w:r>
        <w:rPr>
          <w:color w:val="231F20"/>
          <w:spacing w:val="-20"/>
          <w:w w:val="105"/>
        </w:rPr>
        <w:t> </w:t>
      </w:r>
      <w:r>
        <w:rPr>
          <w:color w:val="231F20"/>
          <w:w w:val="105"/>
        </w:rPr>
        <w:t>de</w:t>
      </w:r>
      <w:r>
        <w:rPr>
          <w:color w:val="231F20"/>
          <w:spacing w:val="-20"/>
          <w:w w:val="105"/>
        </w:rPr>
        <w:t> </w:t>
      </w:r>
      <w:r>
        <w:rPr>
          <w:color w:val="231F20"/>
          <w:w w:val="105"/>
        </w:rPr>
        <w:t>cobertura</w:t>
      </w:r>
      <w:r>
        <w:rPr>
          <w:color w:val="231F20"/>
          <w:spacing w:val="-20"/>
          <w:w w:val="105"/>
        </w:rPr>
        <w:t> </w:t>
      </w:r>
      <w:r>
        <w:rPr>
          <w:color w:val="231F20"/>
          <w:w w:val="105"/>
        </w:rPr>
        <w:t>o</w:t>
      </w:r>
      <w:r>
        <w:rPr>
          <w:color w:val="231F20"/>
          <w:spacing w:val="-20"/>
          <w:w w:val="105"/>
        </w:rPr>
        <w:t> </w:t>
      </w:r>
      <w:r>
        <w:rPr>
          <w:color w:val="231F20"/>
          <w:spacing w:val="-3"/>
          <w:w w:val="105"/>
        </w:rPr>
        <w:t>menos.</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2"/>
          <w:w w:val="105"/>
        </w:rPr>
        <w:t> </w:t>
      </w:r>
      <w:r>
        <w:rPr>
          <w:color w:val="231F20"/>
          <w:w w:val="105"/>
        </w:rPr>
        <w:t>cuanto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actividad</w:t>
      </w:r>
      <w:r>
        <w:rPr>
          <w:color w:val="231F20"/>
          <w:spacing w:val="-12"/>
          <w:w w:val="105"/>
        </w:rPr>
        <w:t> </w:t>
      </w:r>
      <w:r>
        <w:rPr>
          <w:color w:val="231F20"/>
          <w:w w:val="105"/>
        </w:rPr>
        <w:t>económica,</w:t>
      </w:r>
      <w:r>
        <w:rPr>
          <w:color w:val="231F20"/>
          <w:spacing w:val="-12"/>
          <w:w w:val="105"/>
        </w:rPr>
        <w:t> </w:t>
      </w:r>
      <w:r>
        <w:rPr>
          <w:color w:val="231F20"/>
          <w:w w:val="105"/>
        </w:rPr>
        <w:t>la</w:t>
      </w:r>
      <w:r>
        <w:rPr>
          <w:color w:val="231F20"/>
          <w:spacing w:val="-12"/>
          <w:w w:val="105"/>
        </w:rPr>
        <w:t> </w:t>
      </w:r>
      <w:r>
        <w:rPr>
          <w:color w:val="231F20"/>
          <w:w w:val="105"/>
        </w:rPr>
        <w:t>agricultura</w:t>
      </w:r>
      <w:r>
        <w:rPr>
          <w:color w:val="231F20"/>
          <w:spacing w:val="-12"/>
          <w:w w:val="105"/>
        </w:rPr>
        <w:t> </w:t>
      </w:r>
      <w:r>
        <w:rPr>
          <w:color w:val="231F20"/>
          <w:w w:val="105"/>
        </w:rPr>
        <w:t>es</w:t>
      </w:r>
      <w:r>
        <w:rPr>
          <w:color w:val="231F20"/>
          <w:spacing w:val="-12"/>
          <w:w w:val="105"/>
        </w:rPr>
        <w:t> </w:t>
      </w:r>
      <w:r>
        <w:rPr>
          <w:color w:val="231F20"/>
          <w:w w:val="105"/>
        </w:rPr>
        <w:t>la</w:t>
      </w:r>
      <w:r>
        <w:rPr>
          <w:color w:val="231F20"/>
          <w:spacing w:val="-12"/>
          <w:w w:val="105"/>
        </w:rPr>
        <w:t> </w:t>
      </w:r>
      <w:r>
        <w:rPr>
          <w:color w:val="231F20"/>
          <w:w w:val="105"/>
        </w:rPr>
        <w:t>principal</w:t>
      </w:r>
      <w:r>
        <w:rPr>
          <w:color w:val="231F20"/>
          <w:spacing w:val="-12"/>
          <w:w w:val="105"/>
        </w:rPr>
        <w:t> </w:t>
      </w:r>
      <w:r>
        <w:rPr>
          <w:color w:val="231F20"/>
          <w:w w:val="105"/>
        </w:rPr>
        <w:t>actividad</w:t>
      </w:r>
      <w:r>
        <w:rPr>
          <w:color w:val="231F20"/>
          <w:spacing w:val="-12"/>
          <w:w w:val="105"/>
        </w:rPr>
        <w:t> </w:t>
      </w:r>
      <w:r>
        <w:rPr>
          <w:color w:val="231F20"/>
          <w:w w:val="105"/>
        </w:rPr>
        <w:t>en</w:t>
      </w:r>
      <w:r>
        <w:rPr>
          <w:color w:val="231F20"/>
          <w:spacing w:val="-12"/>
          <w:w w:val="105"/>
        </w:rPr>
        <w:t> </w:t>
      </w:r>
      <w:r>
        <w:rPr>
          <w:color w:val="231F20"/>
          <w:w w:val="105"/>
        </w:rPr>
        <w:t>Ozumba, respecto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ganadería,</w:t>
      </w:r>
      <w:r>
        <w:rPr>
          <w:color w:val="231F20"/>
          <w:spacing w:val="-16"/>
          <w:w w:val="105"/>
        </w:rPr>
        <w:t> </w:t>
      </w:r>
      <w:r>
        <w:rPr>
          <w:color w:val="231F20"/>
          <w:w w:val="105"/>
        </w:rPr>
        <w:t>se</w:t>
      </w:r>
      <w:r>
        <w:rPr>
          <w:color w:val="231F20"/>
          <w:spacing w:val="-16"/>
          <w:w w:val="105"/>
        </w:rPr>
        <w:t> </w:t>
      </w:r>
      <w:r>
        <w:rPr>
          <w:color w:val="231F20"/>
          <w:w w:val="105"/>
        </w:rPr>
        <w:t>encuentran</w:t>
      </w:r>
      <w:r>
        <w:rPr>
          <w:color w:val="231F20"/>
          <w:spacing w:val="-16"/>
          <w:w w:val="105"/>
        </w:rPr>
        <w:t> </w:t>
      </w:r>
      <w:r>
        <w:rPr>
          <w:color w:val="231F20"/>
          <w:w w:val="105"/>
        </w:rPr>
        <w:t>algunos</w:t>
      </w:r>
      <w:r>
        <w:rPr>
          <w:color w:val="231F20"/>
          <w:spacing w:val="-16"/>
          <w:w w:val="105"/>
        </w:rPr>
        <w:t> </w:t>
      </w:r>
      <w:r>
        <w:rPr>
          <w:color w:val="231F20"/>
          <w:w w:val="105"/>
        </w:rPr>
        <w:t>pequeños</w:t>
      </w:r>
      <w:r>
        <w:rPr>
          <w:color w:val="231F20"/>
          <w:spacing w:val="-16"/>
          <w:w w:val="105"/>
        </w:rPr>
        <w:t> </w:t>
      </w:r>
      <w:r>
        <w:rPr>
          <w:color w:val="231F20"/>
          <w:w w:val="105"/>
        </w:rPr>
        <w:t>establos</w:t>
      </w:r>
      <w:r>
        <w:rPr>
          <w:color w:val="231F20"/>
          <w:spacing w:val="-16"/>
          <w:w w:val="105"/>
        </w:rPr>
        <w:t> </w:t>
      </w:r>
      <w:r>
        <w:rPr>
          <w:color w:val="231F20"/>
          <w:w w:val="105"/>
        </w:rPr>
        <w:t>lecheros,</w:t>
      </w:r>
      <w:r>
        <w:rPr>
          <w:color w:val="231F20"/>
          <w:spacing w:val="-16"/>
          <w:w w:val="105"/>
        </w:rPr>
        <w:t> </w:t>
      </w:r>
      <w:r>
        <w:rPr>
          <w:color w:val="231F20"/>
          <w:w w:val="105"/>
        </w:rPr>
        <w:t>una</w:t>
      </w:r>
      <w:r>
        <w:rPr>
          <w:color w:val="231F20"/>
          <w:spacing w:val="-16"/>
          <w:w w:val="105"/>
        </w:rPr>
        <w:t> </w:t>
      </w:r>
      <w:r>
        <w:rPr>
          <w:color w:val="231F20"/>
          <w:w w:val="105"/>
        </w:rPr>
        <w:t>que</w:t>
      </w:r>
      <w:r>
        <w:rPr>
          <w:color w:val="231F20"/>
          <w:spacing w:val="-16"/>
          <w:w w:val="105"/>
        </w:rPr>
        <w:t> </w:t>
      </w:r>
      <w:r>
        <w:rPr>
          <w:color w:val="231F20"/>
          <w:w w:val="105"/>
        </w:rPr>
        <w:t>otra granja</w:t>
      </w:r>
      <w:r>
        <w:rPr>
          <w:color w:val="231F20"/>
          <w:spacing w:val="-16"/>
          <w:w w:val="105"/>
        </w:rPr>
        <w:t> </w:t>
      </w:r>
      <w:r>
        <w:rPr>
          <w:color w:val="231F20"/>
          <w:w w:val="105"/>
        </w:rPr>
        <w:t>porcícola</w:t>
      </w:r>
      <w:r>
        <w:rPr>
          <w:color w:val="231F20"/>
          <w:spacing w:val="-16"/>
          <w:w w:val="105"/>
        </w:rPr>
        <w:t> </w:t>
      </w:r>
      <w:r>
        <w:rPr>
          <w:color w:val="231F20"/>
          <w:w w:val="105"/>
        </w:rPr>
        <w:t>y</w:t>
      </w:r>
      <w:r>
        <w:rPr>
          <w:color w:val="231F20"/>
          <w:spacing w:val="-16"/>
          <w:w w:val="105"/>
        </w:rPr>
        <w:t> </w:t>
      </w:r>
      <w:r>
        <w:rPr>
          <w:color w:val="231F20"/>
          <w:w w:val="105"/>
        </w:rPr>
        <w:t>pocas</w:t>
      </w:r>
      <w:r>
        <w:rPr>
          <w:color w:val="231F20"/>
          <w:spacing w:val="-16"/>
          <w:w w:val="105"/>
        </w:rPr>
        <w:t> </w:t>
      </w:r>
      <w:r>
        <w:rPr>
          <w:color w:val="231F20"/>
          <w:w w:val="105"/>
        </w:rPr>
        <w:t>granjas</w:t>
      </w:r>
      <w:r>
        <w:rPr>
          <w:color w:val="231F20"/>
          <w:spacing w:val="-16"/>
          <w:w w:val="105"/>
        </w:rPr>
        <w:t> </w:t>
      </w:r>
      <w:r>
        <w:rPr>
          <w:color w:val="231F20"/>
          <w:w w:val="105"/>
        </w:rPr>
        <w:t>avícolas.</w:t>
      </w:r>
      <w:r>
        <w:rPr>
          <w:color w:val="231F20"/>
          <w:spacing w:val="-16"/>
          <w:w w:val="105"/>
        </w:rPr>
        <w:t> </w:t>
      </w:r>
      <w:r>
        <w:rPr>
          <w:color w:val="231F20"/>
          <w:w w:val="105"/>
        </w:rPr>
        <w:t>Entre</w:t>
      </w:r>
      <w:r>
        <w:rPr>
          <w:color w:val="231F20"/>
          <w:spacing w:val="-16"/>
          <w:w w:val="105"/>
        </w:rPr>
        <w:t> </w:t>
      </w:r>
      <w:r>
        <w:rPr>
          <w:color w:val="231F20"/>
          <w:w w:val="105"/>
        </w:rPr>
        <w:t>las</w:t>
      </w:r>
      <w:r>
        <w:rPr>
          <w:color w:val="231F20"/>
          <w:spacing w:val="-16"/>
          <w:w w:val="105"/>
        </w:rPr>
        <w:t> </w:t>
      </w:r>
      <w:r>
        <w:rPr>
          <w:color w:val="231F20"/>
          <w:w w:val="105"/>
        </w:rPr>
        <w:t>industrias</w:t>
      </w:r>
      <w:r>
        <w:rPr>
          <w:color w:val="231F20"/>
          <w:spacing w:val="-16"/>
          <w:w w:val="105"/>
        </w:rPr>
        <w:t> </w:t>
      </w:r>
      <w:r>
        <w:rPr>
          <w:color w:val="231F20"/>
          <w:w w:val="105"/>
        </w:rPr>
        <w:t>establecidas</w:t>
      </w:r>
      <w:r>
        <w:rPr>
          <w:color w:val="231F20"/>
          <w:spacing w:val="-16"/>
          <w:w w:val="105"/>
        </w:rPr>
        <w:t> </w:t>
      </w:r>
      <w:r>
        <w:rPr>
          <w:color w:val="231F20"/>
          <w:w w:val="105"/>
        </w:rPr>
        <w:t>destacan</w:t>
      </w:r>
      <w:r>
        <w:rPr>
          <w:color w:val="231F20"/>
          <w:spacing w:val="-16"/>
          <w:w w:val="105"/>
        </w:rPr>
        <w:t> </w:t>
      </w:r>
      <w:r>
        <w:rPr>
          <w:color w:val="231F20"/>
          <w:w w:val="105"/>
        </w:rPr>
        <w:t>por su</w:t>
      </w:r>
      <w:r>
        <w:rPr>
          <w:color w:val="231F20"/>
          <w:spacing w:val="-17"/>
          <w:w w:val="105"/>
        </w:rPr>
        <w:t> </w:t>
      </w:r>
      <w:r>
        <w:rPr>
          <w:color w:val="231F20"/>
          <w:w w:val="105"/>
        </w:rPr>
        <w:t>importancia</w:t>
      </w:r>
      <w:r>
        <w:rPr>
          <w:color w:val="231F20"/>
          <w:spacing w:val="-17"/>
          <w:w w:val="105"/>
        </w:rPr>
        <w:t> </w:t>
      </w:r>
      <w:r>
        <w:rPr>
          <w:color w:val="231F20"/>
          <w:w w:val="105"/>
        </w:rPr>
        <w:t>las</w:t>
      </w:r>
      <w:r>
        <w:rPr>
          <w:color w:val="231F20"/>
          <w:spacing w:val="-17"/>
          <w:w w:val="105"/>
        </w:rPr>
        <w:t> </w:t>
      </w:r>
      <w:r>
        <w:rPr>
          <w:color w:val="231F20"/>
          <w:w w:val="105"/>
        </w:rPr>
        <w:t>fundiciones</w:t>
      </w:r>
      <w:r>
        <w:rPr>
          <w:color w:val="231F20"/>
          <w:spacing w:val="-17"/>
          <w:w w:val="105"/>
        </w:rPr>
        <w:t> </w:t>
      </w:r>
      <w:r>
        <w:rPr>
          <w:color w:val="231F20"/>
          <w:w w:val="105"/>
        </w:rPr>
        <w:t>que</w:t>
      </w:r>
      <w:r>
        <w:rPr>
          <w:color w:val="231F20"/>
          <w:spacing w:val="-17"/>
          <w:w w:val="105"/>
        </w:rPr>
        <w:t> </w:t>
      </w:r>
      <w:r>
        <w:rPr>
          <w:color w:val="231F20"/>
          <w:w w:val="105"/>
        </w:rPr>
        <w:t>elaboran</w:t>
      </w:r>
      <w:r>
        <w:rPr>
          <w:color w:val="231F20"/>
          <w:spacing w:val="-17"/>
          <w:w w:val="105"/>
        </w:rPr>
        <w:t> </w:t>
      </w:r>
      <w:r>
        <w:rPr>
          <w:color w:val="231F20"/>
          <w:w w:val="105"/>
        </w:rPr>
        <w:t>utensilios</w:t>
      </w:r>
      <w:r>
        <w:rPr>
          <w:color w:val="231F20"/>
          <w:spacing w:val="-17"/>
          <w:w w:val="105"/>
        </w:rPr>
        <w:t> </w:t>
      </w:r>
      <w:r>
        <w:rPr>
          <w:color w:val="231F20"/>
          <w:w w:val="105"/>
        </w:rPr>
        <w:t>agrícolas,</w:t>
      </w:r>
      <w:r>
        <w:rPr>
          <w:color w:val="231F20"/>
          <w:spacing w:val="-17"/>
          <w:w w:val="105"/>
        </w:rPr>
        <w:t> </w:t>
      </w:r>
      <w:r>
        <w:rPr>
          <w:color w:val="231F20"/>
          <w:w w:val="105"/>
        </w:rPr>
        <w:t>tabiqueras,</w:t>
      </w:r>
      <w:r>
        <w:rPr>
          <w:color w:val="231F20"/>
          <w:spacing w:val="-17"/>
          <w:w w:val="105"/>
        </w:rPr>
        <w:t> </w:t>
      </w:r>
      <w:r>
        <w:rPr>
          <w:color w:val="231F20"/>
          <w:w w:val="105"/>
        </w:rPr>
        <w:t>cohete</w:t>
      </w:r>
      <w:r>
        <w:rPr>
          <w:color w:val="231F20"/>
          <w:spacing w:val="-17"/>
          <w:w w:val="105"/>
        </w:rPr>
        <w:t> </w:t>
      </w:r>
      <w:r>
        <w:rPr>
          <w:color w:val="231F20"/>
          <w:w w:val="105"/>
        </w:rPr>
        <w:t>rías y</w:t>
      </w:r>
      <w:r>
        <w:rPr>
          <w:color w:val="231F20"/>
          <w:spacing w:val="-14"/>
          <w:w w:val="105"/>
        </w:rPr>
        <w:t> </w:t>
      </w:r>
      <w:r>
        <w:rPr>
          <w:color w:val="231F20"/>
          <w:w w:val="105"/>
        </w:rPr>
        <w:t>fábrica</w:t>
      </w:r>
      <w:r>
        <w:rPr>
          <w:color w:val="231F20"/>
          <w:spacing w:val="-14"/>
          <w:w w:val="105"/>
        </w:rPr>
        <w:t> </w:t>
      </w:r>
      <w:r>
        <w:rPr>
          <w:color w:val="231F20"/>
          <w:w w:val="105"/>
        </w:rPr>
        <w:t>de</w:t>
      </w:r>
      <w:r>
        <w:rPr>
          <w:color w:val="231F20"/>
          <w:spacing w:val="-14"/>
          <w:w w:val="105"/>
        </w:rPr>
        <w:t> </w:t>
      </w:r>
      <w:r>
        <w:rPr>
          <w:color w:val="231F20"/>
          <w:w w:val="105"/>
        </w:rPr>
        <w:t>botes.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ámbito</w:t>
      </w:r>
      <w:r>
        <w:rPr>
          <w:color w:val="231F20"/>
          <w:spacing w:val="-14"/>
          <w:w w:val="105"/>
        </w:rPr>
        <w:t> </w:t>
      </w:r>
      <w:r>
        <w:rPr>
          <w:color w:val="231F20"/>
          <w:w w:val="105"/>
        </w:rPr>
        <w:t>comercial,</w:t>
      </w:r>
      <w:r>
        <w:rPr>
          <w:color w:val="231F20"/>
          <w:spacing w:val="-14"/>
          <w:w w:val="105"/>
        </w:rPr>
        <w:t> </w:t>
      </w:r>
      <w:r>
        <w:rPr>
          <w:color w:val="231F20"/>
          <w:w w:val="105"/>
        </w:rPr>
        <w:t>cuenta</w:t>
      </w:r>
      <w:r>
        <w:rPr>
          <w:color w:val="231F20"/>
          <w:spacing w:val="-14"/>
          <w:w w:val="105"/>
        </w:rPr>
        <w:t> </w:t>
      </w:r>
      <w:r>
        <w:rPr>
          <w:color w:val="231F20"/>
          <w:w w:val="105"/>
        </w:rPr>
        <w:t>con</w:t>
      </w:r>
      <w:r>
        <w:rPr>
          <w:color w:val="231F20"/>
          <w:spacing w:val="-14"/>
          <w:w w:val="105"/>
        </w:rPr>
        <w:t> </w:t>
      </w:r>
      <w:r>
        <w:rPr>
          <w:color w:val="231F20"/>
          <w:w w:val="105"/>
        </w:rPr>
        <w:t>tiendas</w:t>
      </w:r>
      <w:r>
        <w:rPr>
          <w:color w:val="231F20"/>
          <w:spacing w:val="-14"/>
          <w:w w:val="105"/>
        </w:rPr>
        <w:t> </w:t>
      </w:r>
      <w:r>
        <w:rPr>
          <w:color w:val="231F20"/>
          <w:spacing w:val="2"/>
          <w:w w:val="105"/>
        </w:rPr>
        <w:t>al</w:t>
      </w:r>
      <w:r>
        <w:rPr>
          <w:color w:val="231F20"/>
          <w:spacing w:val="-14"/>
          <w:w w:val="105"/>
        </w:rPr>
        <w:t> </w:t>
      </w:r>
      <w:r>
        <w:rPr>
          <w:color w:val="231F20"/>
          <w:w w:val="105"/>
        </w:rPr>
        <w:t>menudeo</w:t>
      </w:r>
      <w:r>
        <w:rPr>
          <w:color w:val="231F20"/>
          <w:spacing w:val="-14"/>
          <w:w w:val="105"/>
        </w:rPr>
        <w:t> </w:t>
      </w:r>
      <w:r>
        <w:rPr>
          <w:color w:val="231F20"/>
          <w:w w:val="105"/>
        </w:rPr>
        <w:t>como</w:t>
      </w:r>
      <w:r>
        <w:rPr>
          <w:color w:val="231F20"/>
          <w:spacing w:val="-14"/>
          <w:w w:val="105"/>
        </w:rPr>
        <w:t> </w:t>
      </w:r>
      <w:r>
        <w:rPr>
          <w:color w:val="231F20"/>
          <w:w w:val="105"/>
        </w:rPr>
        <w:t>misce- láneas,</w:t>
      </w:r>
      <w:r>
        <w:rPr>
          <w:color w:val="231F20"/>
          <w:spacing w:val="-14"/>
          <w:w w:val="105"/>
        </w:rPr>
        <w:t> </w:t>
      </w:r>
      <w:r>
        <w:rPr>
          <w:color w:val="231F20"/>
          <w:w w:val="105"/>
        </w:rPr>
        <w:t>ferreterías,</w:t>
      </w:r>
      <w:r>
        <w:rPr>
          <w:color w:val="231F20"/>
          <w:spacing w:val="-14"/>
          <w:w w:val="105"/>
        </w:rPr>
        <w:t> </w:t>
      </w:r>
      <w:r>
        <w:rPr>
          <w:color w:val="231F20"/>
          <w:w w:val="105"/>
        </w:rPr>
        <w:t>materiales</w:t>
      </w:r>
      <w:r>
        <w:rPr>
          <w:color w:val="231F20"/>
          <w:spacing w:val="-14"/>
          <w:w w:val="105"/>
        </w:rPr>
        <w:t> </w:t>
      </w:r>
      <w:r>
        <w:rPr>
          <w:color w:val="231F20"/>
          <w:w w:val="105"/>
        </w:rPr>
        <w:t>para</w:t>
      </w:r>
      <w:r>
        <w:rPr>
          <w:color w:val="231F20"/>
          <w:spacing w:val="-14"/>
          <w:w w:val="105"/>
        </w:rPr>
        <w:t> </w:t>
      </w:r>
      <w:r>
        <w:rPr>
          <w:color w:val="231F20"/>
          <w:w w:val="105"/>
        </w:rPr>
        <w:t>construcción,</w:t>
      </w:r>
      <w:r>
        <w:rPr>
          <w:color w:val="231F20"/>
          <w:spacing w:val="-14"/>
          <w:w w:val="105"/>
        </w:rPr>
        <w:t> </w:t>
      </w:r>
      <w:r>
        <w:rPr>
          <w:color w:val="231F20"/>
          <w:w w:val="105"/>
        </w:rPr>
        <w:t>papelerías,</w:t>
      </w:r>
      <w:r>
        <w:rPr>
          <w:color w:val="231F20"/>
          <w:spacing w:val="-14"/>
          <w:w w:val="105"/>
        </w:rPr>
        <w:t> </w:t>
      </w:r>
      <w:r>
        <w:rPr>
          <w:color w:val="231F20"/>
          <w:w w:val="105"/>
        </w:rPr>
        <w:t>etcétera.</w:t>
      </w:r>
    </w:p>
    <w:p>
      <w:pPr>
        <w:pStyle w:val="BodyText"/>
        <w:spacing w:before="1"/>
        <w:rPr>
          <w:sz w:val="26"/>
        </w:rPr>
      </w:pPr>
    </w:p>
    <w:p>
      <w:pPr>
        <w:pStyle w:val="BodyText"/>
        <w:spacing w:line="285" w:lineRule="auto" w:after="25"/>
        <w:ind w:left="110" w:right="108"/>
        <w:jc w:val="both"/>
      </w:pPr>
      <w:r>
        <w:rPr>
          <w:color w:val="231F20"/>
        </w:rPr>
        <w:t>Las actividades económicas del municipio, de acuerdo al INEGI, del año 2000, se distri- buyen de la siguiente forma:</w:t>
      </w:r>
    </w:p>
    <w:tbl>
      <w:tblPr>
        <w:tblW w:w="0" w:type="auto"/>
        <w:jc w:val="left"/>
        <w:tblInd w:w="6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19"/>
        <w:gridCol w:w="898"/>
      </w:tblGrid>
      <w:tr>
        <w:trPr>
          <w:trHeight w:val="299" w:hRule="exact"/>
        </w:trPr>
        <w:tc>
          <w:tcPr>
            <w:tcW w:w="2019" w:type="dxa"/>
          </w:tcPr>
          <w:p>
            <w:pPr>
              <w:pStyle w:val="TableParagraph"/>
              <w:spacing w:line="228" w:lineRule="exact"/>
              <w:ind w:left="35"/>
              <w:rPr>
                <w:rFonts w:ascii="Times New Roman"/>
                <w:sz w:val="22"/>
              </w:rPr>
            </w:pPr>
            <w:r>
              <w:rPr>
                <w:rFonts w:ascii="Times New Roman"/>
                <w:color w:val="231F20"/>
                <w:w w:val="105"/>
                <w:sz w:val="22"/>
              </w:rPr>
              <w:t>Sector primario</w:t>
            </w:r>
          </w:p>
        </w:tc>
        <w:tc>
          <w:tcPr>
            <w:tcW w:w="898" w:type="dxa"/>
          </w:tcPr>
          <w:p>
            <w:pPr>
              <w:pStyle w:val="TableParagraph"/>
              <w:spacing w:line="228" w:lineRule="exact"/>
              <w:ind w:left="0" w:right="42"/>
              <w:jc w:val="right"/>
              <w:rPr>
                <w:rFonts w:ascii="Times New Roman"/>
                <w:sz w:val="22"/>
              </w:rPr>
            </w:pPr>
            <w:r>
              <w:rPr>
                <w:rFonts w:ascii="Times New Roman"/>
                <w:color w:val="231F20"/>
                <w:w w:val="95"/>
                <w:sz w:val="22"/>
              </w:rPr>
              <w:t>21.2%</w:t>
            </w:r>
          </w:p>
        </w:tc>
      </w:tr>
      <w:tr>
        <w:trPr>
          <w:trHeight w:val="300" w:hRule="exact"/>
        </w:trPr>
        <w:tc>
          <w:tcPr>
            <w:tcW w:w="2019" w:type="dxa"/>
          </w:tcPr>
          <w:p>
            <w:pPr>
              <w:pStyle w:val="TableParagraph"/>
              <w:spacing w:line="229" w:lineRule="exact"/>
              <w:ind w:left="35"/>
              <w:rPr>
                <w:rFonts w:ascii="Times New Roman"/>
                <w:sz w:val="22"/>
              </w:rPr>
            </w:pPr>
            <w:r>
              <w:rPr>
                <w:rFonts w:ascii="Times New Roman"/>
                <w:color w:val="231F20"/>
                <w:w w:val="105"/>
                <w:sz w:val="22"/>
              </w:rPr>
              <w:t>Sector secundario</w:t>
            </w:r>
          </w:p>
        </w:tc>
        <w:tc>
          <w:tcPr>
            <w:tcW w:w="898" w:type="dxa"/>
          </w:tcPr>
          <w:p>
            <w:pPr>
              <w:pStyle w:val="TableParagraph"/>
              <w:spacing w:line="229" w:lineRule="exact"/>
              <w:ind w:left="0" w:right="33"/>
              <w:jc w:val="right"/>
              <w:rPr>
                <w:rFonts w:ascii="Times New Roman"/>
                <w:sz w:val="22"/>
              </w:rPr>
            </w:pPr>
            <w:r>
              <w:rPr>
                <w:rFonts w:ascii="Times New Roman"/>
                <w:color w:val="231F20"/>
                <w:w w:val="95"/>
                <w:sz w:val="22"/>
              </w:rPr>
              <w:t>20.9%</w:t>
            </w:r>
          </w:p>
        </w:tc>
      </w:tr>
      <w:tr>
        <w:trPr>
          <w:trHeight w:val="360" w:hRule="exact"/>
        </w:trPr>
        <w:tc>
          <w:tcPr>
            <w:tcW w:w="2019" w:type="dxa"/>
          </w:tcPr>
          <w:p>
            <w:pPr>
              <w:pStyle w:val="TableParagraph"/>
              <w:spacing w:line="229" w:lineRule="exact"/>
              <w:ind w:left="35"/>
              <w:rPr>
                <w:rFonts w:ascii="Times New Roman"/>
                <w:sz w:val="22"/>
              </w:rPr>
            </w:pPr>
            <w:r>
              <w:rPr>
                <w:rFonts w:ascii="Times New Roman"/>
                <w:color w:val="231F20"/>
                <w:w w:val="105"/>
                <w:sz w:val="22"/>
              </w:rPr>
              <w:t>Sector terciario</w:t>
            </w:r>
          </w:p>
        </w:tc>
        <w:tc>
          <w:tcPr>
            <w:tcW w:w="898" w:type="dxa"/>
          </w:tcPr>
          <w:p>
            <w:pPr>
              <w:pStyle w:val="TableParagraph"/>
              <w:spacing w:line="229" w:lineRule="exact"/>
              <w:ind w:left="0" w:right="56"/>
              <w:jc w:val="right"/>
              <w:rPr>
                <w:rFonts w:ascii="Times New Roman"/>
                <w:sz w:val="22"/>
              </w:rPr>
            </w:pPr>
            <w:r>
              <w:rPr>
                <w:rFonts w:ascii="Times New Roman"/>
                <w:color w:val="231F20"/>
                <w:w w:val="95"/>
                <w:sz w:val="22"/>
              </w:rPr>
              <w:t>57.9%</w:t>
            </w:r>
          </w:p>
        </w:tc>
      </w:tr>
    </w:tbl>
    <w:p>
      <w:pPr>
        <w:pStyle w:val="BodyText"/>
        <w:spacing w:before="7"/>
        <w:rPr>
          <w:sz w:val="13"/>
        </w:rPr>
      </w:pPr>
    </w:p>
    <w:p>
      <w:pPr>
        <w:pStyle w:val="Heading3"/>
        <w:numPr>
          <w:ilvl w:val="1"/>
          <w:numId w:val="23"/>
        </w:numPr>
        <w:tabs>
          <w:tab w:pos="527" w:val="left" w:leader="none"/>
        </w:tabs>
        <w:spacing w:line="240" w:lineRule="auto" w:before="21" w:after="0"/>
        <w:ind w:left="526" w:right="0" w:hanging="416"/>
        <w:jc w:val="both"/>
        <w:rPr>
          <w:color w:val="231F20"/>
        </w:rPr>
      </w:pPr>
      <w:r>
        <w:rPr>
          <w:color w:val="231F20"/>
          <w:spacing w:val="-3"/>
        </w:rPr>
        <w:t>Gobierno  </w:t>
      </w:r>
      <w:r>
        <w:rPr>
          <w:color w:val="231F20"/>
        </w:rPr>
        <w:t>y administración</w:t>
      </w:r>
      <w:r>
        <w:rPr>
          <w:color w:val="231F20"/>
          <w:spacing w:val="27"/>
        </w:rPr>
        <w:t> </w:t>
      </w:r>
      <w:r>
        <w:rPr>
          <w:color w:val="231F20"/>
        </w:rPr>
        <w:t>pública:</w:t>
      </w:r>
    </w:p>
    <w:p>
      <w:pPr>
        <w:pStyle w:val="BodyText"/>
        <w:spacing w:line="285" w:lineRule="auto" w:before="38"/>
        <w:ind w:left="110" w:right="108"/>
        <w:jc w:val="both"/>
      </w:pPr>
      <w:r>
        <w:rPr>
          <w:color w:val="231F20"/>
          <w:w w:val="105"/>
        </w:rPr>
        <w:t>El</w:t>
      </w:r>
      <w:r>
        <w:rPr>
          <w:color w:val="231F20"/>
          <w:spacing w:val="-12"/>
          <w:w w:val="105"/>
        </w:rPr>
        <w:t> </w:t>
      </w:r>
      <w:r>
        <w:rPr>
          <w:color w:val="231F20"/>
          <w:w w:val="105"/>
        </w:rPr>
        <w:t>Ayuntamiento</w:t>
      </w:r>
      <w:r>
        <w:rPr>
          <w:color w:val="231F20"/>
          <w:spacing w:val="-12"/>
          <w:w w:val="105"/>
        </w:rPr>
        <w:t> </w:t>
      </w:r>
      <w:r>
        <w:rPr>
          <w:color w:val="231F20"/>
          <w:w w:val="105"/>
        </w:rPr>
        <w:t>cuenta</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Presidente</w:t>
      </w:r>
      <w:r>
        <w:rPr>
          <w:color w:val="231F20"/>
          <w:spacing w:val="-12"/>
          <w:w w:val="105"/>
        </w:rPr>
        <w:t> </w:t>
      </w:r>
      <w:r>
        <w:rPr>
          <w:color w:val="231F20"/>
          <w:w w:val="105"/>
        </w:rPr>
        <w:t>municipal,</w:t>
      </w:r>
      <w:r>
        <w:rPr>
          <w:color w:val="231F20"/>
          <w:spacing w:val="-12"/>
          <w:w w:val="105"/>
        </w:rPr>
        <w:t> </w:t>
      </w:r>
      <w:r>
        <w:rPr>
          <w:color w:val="231F20"/>
          <w:w w:val="105"/>
        </w:rPr>
        <w:t>1</w:t>
      </w:r>
      <w:r>
        <w:rPr>
          <w:color w:val="231F20"/>
          <w:spacing w:val="-12"/>
          <w:w w:val="105"/>
        </w:rPr>
        <w:t> </w:t>
      </w:r>
      <w:r>
        <w:rPr>
          <w:color w:val="231F20"/>
          <w:w w:val="105"/>
        </w:rPr>
        <w:t>síndico,</w:t>
      </w:r>
      <w:r>
        <w:rPr>
          <w:color w:val="231F20"/>
          <w:spacing w:val="-12"/>
          <w:w w:val="105"/>
        </w:rPr>
        <w:t> </w:t>
      </w:r>
      <w:r>
        <w:rPr>
          <w:color w:val="231F20"/>
          <w:w w:val="105"/>
        </w:rPr>
        <w:t>6</w:t>
      </w:r>
      <w:r>
        <w:rPr>
          <w:color w:val="231F20"/>
          <w:spacing w:val="-12"/>
          <w:w w:val="105"/>
        </w:rPr>
        <w:t> </w:t>
      </w:r>
      <w:r>
        <w:rPr>
          <w:color w:val="231F20"/>
          <w:w w:val="105"/>
        </w:rPr>
        <w:t>regidores</w:t>
      </w:r>
      <w:r>
        <w:rPr>
          <w:color w:val="231F20"/>
          <w:spacing w:val="-12"/>
          <w:w w:val="105"/>
        </w:rPr>
        <w:t> </w:t>
      </w:r>
      <w:r>
        <w:rPr>
          <w:color w:val="231F20"/>
          <w:w w:val="105"/>
        </w:rPr>
        <w:t>de</w:t>
      </w:r>
      <w:r>
        <w:rPr>
          <w:color w:val="231F20"/>
          <w:spacing w:val="-12"/>
          <w:w w:val="105"/>
        </w:rPr>
        <w:t> </w:t>
      </w:r>
      <w:r>
        <w:rPr>
          <w:color w:val="231F20"/>
          <w:w w:val="105"/>
        </w:rPr>
        <w:t>mayoría relativa y 4 regidores de representación proporcional. A continuación se presentan las </w:t>
      </w:r>
      <w:r>
        <w:rPr>
          <w:color w:val="231F20"/>
        </w:rPr>
        <w:t>principales </w:t>
      </w:r>
      <w:r>
        <w:rPr>
          <w:color w:val="231F20"/>
          <w:spacing w:val="8"/>
        </w:rPr>
        <w:t> </w:t>
      </w:r>
      <w:r>
        <w:rPr>
          <w:color w:val="231F20"/>
        </w:rPr>
        <w:t>Comisiones.</w:t>
      </w:r>
    </w:p>
    <w:p>
      <w:pPr>
        <w:spacing w:after="0" w:line="285" w:lineRule="auto"/>
        <w:jc w:val="both"/>
        <w:sectPr>
          <w:pgSz w:w="9640" w:h="12190"/>
          <w:pgMar w:header="0" w:footer="743" w:top="1120" w:bottom="940" w:left="740" w:right="740"/>
        </w:sectPr>
      </w:pPr>
    </w:p>
    <w:p>
      <w:pPr>
        <w:pStyle w:val="Heading5"/>
        <w:spacing w:line="285" w:lineRule="auto" w:before="27"/>
        <w:ind w:left="2487" w:right="128" w:hanging="2210"/>
      </w:pPr>
      <w:r>
        <w:rPr>
          <w:color w:val="231F20"/>
          <w:w w:val="105"/>
        </w:rPr>
        <w:t>Cuadro</w:t>
      </w:r>
      <w:r>
        <w:rPr>
          <w:color w:val="231F20"/>
          <w:spacing w:val="-15"/>
          <w:w w:val="105"/>
        </w:rPr>
        <w:t> </w:t>
      </w:r>
      <w:r>
        <w:rPr>
          <w:color w:val="231F20"/>
          <w:w w:val="105"/>
        </w:rPr>
        <w:t>3:</w:t>
      </w:r>
      <w:r>
        <w:rPr>
          <w:color w:val="231F20"/>
          <w:spacing w:val="-15"/>
          <w:w w:val="105"/>
        </w:rPr>
        <w:t> </w:t>
      </w:r>
      <w:r>
        <w:rPr>
          <w:color w:val="231F20"/>
          <w:w w:val="105"/>
        </w:rPr>
        <w:t>Principales</w:t>
      </w:r>
      <w:r>
        <w:rPr>
          <w:color w:val="231F20"/>
          <w:spacing w:val="-15"/>
          <w:w w:val="105"/>
        </w:rPr>
        <w:t> </w:t>
      </w:r>
      <w:r>
        <w:rPr>
          <w:color w:val="231F20"/>
          <w:w w:val="105"/>
        </w:rPr>
        <w:t>comisiones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administración</w:t>
      </w:r>
      <w:r>
        <w:rPr>
          <w:color w:val="231F20"/>
          <w:spacing w:val="-15"/>
          <w:w w:val="105"/>
        </w:rPr>
        <w:t> </w:t>
      </w:r>
      <w:r>
        <w:rPr>
          <w:color w:val="231F20"/>
          <w:w w:val="105"/>
        </w:rPr>
        <w:t>pública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 de Ozumba de Alzate</w:t>
      </w:r>
      <w:r>
        <w:rPr>
          <w:color w:val="231F20"/>
          <w:spacing w:val="-1"/>
          <w:w w:val="105"/>
        </w:rPr>
        <w:t> </w:t>
      </w:r>
      <w:r>
        <w:rPr>
          <w:color w:val="231F20"/>
          <w:w w:val="105"/>
        </w:rPr>
        <w:t>2006-2009</w:t>
      </w:r>
    </w:p>
    <w:p>
      <w:pPr>
        <w:pStyle w:val="BodyText"/>
        <w:rPr>
          <w:b/>
          <w:sz w:val="20"/>
        </w:rPr>
      </w:pPr>
    </w:p>
    <w:p>
      <w:pPr>
        <w:pStyle w:val="BodyText"/>
        <w:spacing w:before="10"/>
        <w:rPr>
          <w:b/>
          <w:sz w:val="16"/>
        </w:rPr>
      </w:pPr>
    </w:p>
    <w:tbl>
      <w:tblPr>
        <w:tblW w:w="0" w:type="auto"/>
        <w:jc w:val="left"/>
        <w:tblInd w:w="110" w:type="dxa"/>
        <w:tblBorders>
          <w:top w:val="thickThinMediumGap" w:sz="3" w:space="0" w:color="C0C0BF"/>
          <w:left w:val="thickThinMediumGap" w:sz="3" w:space="0" w:color="C0C0BF"/>
          <w:bottom w:val="thickThinMediumGap" w:sz="3" w:space="0" w:color="C0C0BF"/>
          <w:right w:val="thickThinMediumGap" w:sz="3" w:space="0" w:color="C0C0BF"/>
          <w:insideH w:val="thickThinMediumGap" w:sz="3" w:space="0" w:color="C0C0BF"/>
          <w:insideV w:val="thickThinMediumGap" w:sz="3" w:space="0" w:color="C0C0BF"/>
        </w:tblBorders>
        <w:tblLayout w:type="fixed"/>
        <w:tblCellMar>
          <w:top w:w="0" w:type="dxa"/>
          <w:left w:w="0" w:type="dxa"/>
          <w:bottom w:w="0" w:type="dxa"/>
          <w:right w:w="0" w:type="dxa"/>
        </w:tblCellMar>
        <w:tblLook w:val="01E0"/>
      </w:tblPr>
      <w:tblGrid>
        <w:gridCol w:w="3632"/>
        <w:gridCol w:w="1982"/>
        <w:gridCol w:w="2308"/>
      </w:tblGrid>
      <w:tr>
        <w:trPr>
          <w:trHeight w:val="534" w:hRule="exact"/>
        </w:trPr>
        <w:tc>
          <w:tcPr>
            <w:tcW w:w="3632" w:type="dxa"/>
            <w:tcBorders>
              <w:top w:val="thinThickMediumGap" w:sz="3" w:space="0" w:color="C0C0BF"/>
              <w:left w:val="thinThickMediumGap" w:sz="3" w:space="0" w:color="C0C0BF"/>
            </w:tcBorders>
          </w:tcPr>
          <w:p>
            <w:pPr>
              <w:pStyle w:val="TableParagraph"/>
              <w:spacing w:before="6"/>
              <w:ind w:left="0"/>
              <w:rPr>
                <w:rFonts w:ascii="Times New Roman"/>
                <w:b/>
                <w:sz w:val="14"/>
              </w:rPr>
            </w:pPr>
          </w:p>
          <w:p>
            <w:pPr>
              <w:pStyle w:val="TableParagraph"/>
              <w:ind w:left="32"/>
              <w:rPr>
                <w:b/>
                <w:sz w:val="16"/>
              </w:rPr>
            </w:pPr>
            <w:r>
              <w:rPr>
                <w:b/>
                <w:color w:val="231F20"/>
                <w:w w:val="105"/>
                <w:sz w:val="16"/>
              </w:rPr>
              <w:t>COMISIÓN</w:t>
            </w:r>
          </w:p>
        </w:tc>
        <w:tc>
          <w:tcPr>
            <w:tcW w:w="1982" w:type="dxa"/>
            <w:tcBorders>
              <w:top w:val="thinThickMediumGap" w:sz="3" w:space="0" w:color="C0C0BF"/>
              <w:left w:val="thinThickMediumGap" w:sz="3" w:space="0" w:color="C0C0BF"/>
            </w:tcBorders>
          </w:tcPr>
          <w:p>
            <w:pPr>
              <w:pStyle w:val="TableParagraph"/>
              <w:spacing w:before="6"/>
              <w:ind w:left="0"/>
              <w:rPr>
                <w:rFonts w:ascii="Times New Roman"/>
                <w:b/>
                <w:sz w:val="14"/>
              </w:rPr>
            </w:pPr>
          </w:p>
          <w:p>
            <w:pPr>
              <w:pStyle w:val="TableParagraph"/>
              <w:ind w:left="7"/>
              <w:rPr>
                <w:b/>
                <w:sz w:val="16"/>
              </w:rPr>
            </w:pPr>
            <w:r>
              <w:rPr>
                <w:b/>
                <w:color w:val="231F20"/>
                <w:w w:val="110"/>
                <w:sz w:val="16"/>
              </w:rPr>
              <w:t>RESPONSABLE</w:t>
            </w:r>
          </w:p>
        </w:tc>
        <w:tc>
          <w:tcPr>
            <w:tcW w:w="2308" w:type="dxa"/>
            <w:tcBorders>
              <w:top w:val="thinThickMediumGap" w:sz="3" w:space="0" w:color="C0C0BF"/>
              <w:left w:val="thinThickMediumGap" w:sz="3" w:space="0" w:color="C0C0BF"/>
            </w:tcBorders>
          </w:tcPr>
          <w:p>
            <w:pPr>
              <w:pStyle w:val="TableParagraph"/>
              <w:spacing w:line="169" w:lineRule="exact"/>
              <w:ind w:left="7"/>
              <w:rPr>
                <w:sz w:val="16"/>
              </w:rPr>
            </w:pPr>
            <w:r>
              <w:rPr>
                <w:color w:val="231F20"/>
                <w:w w:val="85"/>
                <w:sz w:val="16"/>
              </w:rPr>
              <w:t>FILIACION</w:t>
            </w:r>
          </w:p>
          <w:p>
            <w:pPr>
              <w:pStyle w:val="TableParagraph"/>
              <w:spacing w:line="235" w:lineRule="auto" w:before="1"/>
              <w:ind w:left="7" w:right="1707"/>
              <w:rPr>
                <w:sz w:val="16"/>
              </w:rPr>
            </w:pPr>
            <w:r>
              <w:rPr>
                <w:color w:val="231F20"/>
                <w:w w:val="75"/>
                <w:sz w:val="16"/>
              </w:rPr>
              <w:t>PARTIDISTA </w:t>
            </w:r>
            <w:r>
              <w:rPr>
                <w:color w:val="231F20"/>
                <w:w w:val="80"/>
                <w:sz w:val="16"/>
              </w:rPr>
              <w:t>2006-2009</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Mercados, Rastro, Central de Abasto</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1er.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PT</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Obras Públicas</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2º.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PT</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Parques, Jardines y Panteones</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3º.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PT</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Fomento Agropecuario y Reforestación</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4º.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PT</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Alumbrado Público y Empleo</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5º.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PT</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0"/>
                <w:sz w:val="16"/>
              </w:rPr>
              <w:t>Salud Pública</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6º.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PT</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0"/>
                <w:sz w:val="16"/>
              </w:rPr>
              <w:t>Agua Potable y Alcantarillado</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7º.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Alianza por México</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0"/>
                <w:sz w:val="16"/>
              </w:rPr>
              <w:t>Ecología y Limpia Municipal</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8º.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Alianza por México</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Turismo</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9º.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PAN</w:t>
            </w:r>
          </w:p>
        </w:tc>
      </w:tr>
      <w:tr>
        <w:trPr>
          <w:trHeight w:val="150" w:hRule="exact"/>
        </w:trPr>
        <w:tc>
          <w:tcPr>
            <w:tcW w:w="363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Educación, Cultura y Deportes</w:t>
            </w:r>
          </w:p>
        </w:tc>
        <w:tc>
          <w:tcPr>
            <w:tcW w:w="1982"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75"/>
                <w:sz w:val="16"/>
              </w:rPr>
              <w:t>10º. Regidor</w:t>
            </w:r>
          </w:p>
        </w:tc>
        <w:tc>
          <w:tcPr>
            <w:tcW w:w="2308" w:type="dxa"/>
            <w:tcBorders>
              <w:top w:val="thinThickMediumGap" w:sz="3" w:space="0" w:color="C0C0BF"/>
              <w:left w:val="thinThickMediumGap" w:sz="3" w:space="0" w:color="C0C0BF"/>
            </w:tcBorders>
          </w:tcPr>
          <w:p>
            <w:pPr>
              <w:pStyle w:val="TableParagraph"/>
              <w:spacing w:line="170" w:lineRule="exact"/>
              <w:ind w:left="7"/>
              <w:rPr>
                <w:sz w:val="16"/>
              </w:rPr>
            </w:pPr>
            <w:r>
              <w:rPr>
                <w:color w:val="231F20"/>
                <w:w w:val="85"/>
                <w:sz w:val="16"/>
              </w:rPr>
              <w:t>PRD</w:t>
            </w:r>
          </w:p>
        </w:tc>
      </w:tr>
    </w:tbl>
    <w:p>
      <w:pPr>
        <w:spacing w:before="117"/>
        <w:ind w:left="971" w:right="-3" w:firstLine="0"/>
        <w:jc w:val="left"/>
        <w:rPr>
          <w:rFonts w:ascii="Calibri" w:hAnsi="Calibri"/>
          <w:sz w:val="16"/>
        </w:rPr>
      </w:pPr>
      <w:r>
        <w:rPr>
          <w:rFonts w:ascii="Calibri" w:hAnsi="Calibri"/>
          <w:color w:val="231F20"/>
          <w:sz w:val="16"/>
        </w:rPr>
        <w:t>Fuente: Elaboración propia en base a la Enciclopedia de los municipios en México (2000: Documento en línea).</w:t>
      </w:r>
    </w:p>
    <w:p>
      <w:pPr>
        <w:pStyle w:val="BodyText"/>
        <w:rPr>
          <w:rFonts w:ascii="Calibri"/>
          <w:sz w:val="16"/>
        </w:rPr>
      </w:pPr>
    </w:p>
    <w:p>
      <w:pPr>
        <w:pStyle w:val="BodyText"/>
        <w:spacing w:before="10"/>
        <w:rPr>
          <w:rFonts w:ascii="Calibri"/>
          <w:sz w:val="12"/>
        </w:rPr>
      </w:pPr>
    </w:p>
    <w:p>
      <w:pPr>
        <w:pStyle w:val="BodyText"/>
        <w:spacing w:line="285" w:lineRule="auto"/>
        <w:ind w:left="110" w:right="128"/>
        <w:jc w:val="both"/>
      </w:pPr>
      <w:r>
        <w:rPr>
          <w:color w:val="231F20"/>
        </w:rPr>
        <w:t>El municipio pertenece al XXXIII distrito electoral federal con sede en Chalco y al XX- VIII distrito electoral local con sede en Amecameca. De acuerdo con Instituto Electoral del Estado de México (IEEM), en el siguiente cuadro se resume el resultado del proceso electoral 2005-2006 en el municipio de   Ozumba,</w:t>
      </w:r>
    </w:p>
    <w:p>
      <w:pPr>
        <w:pStyle w:val="BodyText"/>
        <w:spacing w:before="1"/>
        <w:rPr>
          <w:sz w:val="26"/>
        </w:rPr>
      </w:pPr>
    </w:p>
    <w:p>
      <w:pPr>
        <w:pStyle w:val="BodyText"/>
        <w:ind w:left="917" w:right="340"/>
      </w:pPr>
      <w:r>
        <w:rPr>
          <w:color w:val="231F20"/>
          <w:w w:val="105"/>
        </w:rPr>
        <w:t>Cuadro 4: Planillas Ganadoras de Ayuntamientos: Ozumba de Alzate</w:t>
      </w:r>
    </w:p>
    <w:p>
      <w:pPr>
        <w:pStyle w:val="BodyText"/>
        <w:spacing w:before="2"/>
        <w:rPr>
          <w:sz w:val="30"/>
        </w:rPr>
      </w:pPr>
    </w:p>
    <w:p>
      <w:pPr>
        <w:pStyle w:val="Heading5"/>
        <w:spacing w:after="32"/>
        <w:ind w:left="110" w:right="0"/>
        <w:jc w:val="both"/>
      </w:pPr>
      <w:r>
        <w:rPr>
          <w:color w:val="231F20"/>
        </w:rPr>
        <w:t>Partido: PT - PARTIDO DEL TRABAJO</w:t>
      </w:r>
    </w:p>
    <w:tbl>
      <w:tblPr>
        <w:tblW w:w="0" w:type="auto"/>
        <w:jc w:val="left"/>
        <w:tblInd w:w="110" w:type="dxa"/>
        <w:tblBorders>
          <w:top w:val="thickThinMediumGap" w:sz="3" w:space="0" w:color="C4B8A5"/>
          <w:left w:val="thickThinMediumGap" w:sz="3" w:space="0" w:color="C4B8A5"/>
          <w:bottom w:val="thickThinMediumGap" w:sz="3" w:space="0" w:color="C4B8A5"/>
          <w:right w:val="thickThinMediumGap" w:sz="3" w:space="0" w:color="C4B8A5"/>
          <w:insideH w:val="thickThinMediumGap" w:sz="3" w:space="0" w:color="C4B8A5"/>
          <w:insideV w:val="thickThinMediumGap" w:sz="3" w:space="0" w:color="C4B8A5"/>
        </w:tblBorders>
        <w:tblLayout w:type="fixed"/>
        <w:tblCellMar>
          <w:top w:w="0" w:type="dxa"/>
          <w:left w:w="0" w:type="dxa"/>
          <w:bottom w:w="0" w:type="dxa"/>
          <w:right w:w="0" w:type="dxa"/>
        </w:tblCellMar>
        <w:tblLook w:val="01E0"/>
      </w:tblPr>
      <w:tblGrid>
        <w:gridCol w:w="1232"/>
        <w:gridCol w:w="2242"/>
        <w:gridCol w:w="4462"/>
      </w:tblGrid>
      <w:tr>
        <w:trPr>
          <w:trHeight w:val="158" w:hRule="exact"/>
        </w:trPr>
        <w:tc>
          <w:tcPr>
            <w:tcW w:w="1232" w:type="dxa"/>
            <w:tcBorders>
              <w:top w:val="single" w:sz="6" w:space="0" w:color="FFFFFF"/>
              <w:left w:val="single" w:sz="6" w:space="0" w:color="FFFFFF"/>
              <w:bottom w:val="single" w:sz="6" w:space="0" w:color="FFFFFF"/>
              <w:right w:val="single" w:sz="6" w:space="0" w:color="FFFFFF"/>
            </w:tcBorders>
            <w:shd w:val="clear" w:color="auto" w:fill="EBE5DA"/>
          </w:tcPr>
          <w:p>
            <w:pPr>
              <w:pStyle w:val="TableParagraph"/>
              <w:spacing w:line="181" w:lineRule="exact"/>
              <w:ind w:left="7"/>
              <w:rPr>
                <w:sz w:val="17"/>
              </w:rPr>
            </w:pPr>
            <w:r>
              <w:rPr>
                <w:color w:val="231F20"/>
                <w:w w:val="85"/>
                <w:sz w:val="17"/>
              </w:rPr>
              <w:t>Cargo</w:t>
            </w:r>
          </w:p>
        </w:tc>
        <w:tc>
          <w:tcPr>
            <w:tcW w:w="2242" w:type="dxa"/>
            <w:tcBorders>
              <w:top w:val="single" w:sz="6" w:space="0" w:color="FFFFFF"/>
              <w:left w:val="single" w:sz="6" w:space="0" w:color="FFFFFF"/>
              <w:bottom w:val="single" w:sz="6" w:space="0" w:color="FFFFFF"/>
              <w:right w:val="single" w:sz="6" w:space="0" w:color="FFFFFF"/>
            </w:tcBorders>
            <w:shd w:val="clear" w:color="auto" w:fill="EBE5DA"/>
          </w:tcPr>
          <w:p>
            <w:pPr>
              <w:pStyle w:val="TableParagraph"/>
              <w:spacing w:line="181" w:lineRule="exact"/>
              <w:ind w:left="7"/>
              <w:rPr>
                <w:sz w:val="17"/>
              </w:rPr>
            </w:pPr>
            <w:r>
              <w:rPr>
                <w:color w:val="231F20"/>
                <w:w w:val="85"/>
                <w:sz w:val="17"/>
              </w:rPr>
              <w:t>Propietario</w:t>
            </w:r>
          </w:p>
        </w:tc>
        <w:tc>
          <w:tcPr>
            <w:tcW w:w="4462" w:type="dxa"/>
            <w:tcBorders>
              <w:top w:val="single" w:sz="6" w:space="0" w:color="FFFFFF"/>
              <w:left w:val="single" w:sz="6" w:space="0" w:color="FFFFFF"/>
              <w:bottom w:val="single" w:sz="6" w:space="0" w:color="FFFFFF"/>
              <w:right w:val="single" w:sz="6" w:space="0" w:color="FFFFFF"/>
            </w:tcBorders>
            <w:shd w:val="clear" w:color="auto" w:fill="EBE5DA"/>
          </w:tcPr>
          <w:p>
            <w:pPr>
              <w:pStyle w:val="TableParagraph"/>
              <w:spacing w:line="181" w:lineRule="exact"/>
              <w:ind w:left="7"/>
              <w:rPr>
                <w:sz w:val="17"/>
              </w:rPr>
            </w:pPr>
            <w:r>
              <w:rPr>
                <w:color w:val="231F20"/>
                <w:w w:val="85"/>
                <w:sz w:val="17"/>
              </w:rPr>
              <w:t>Suplente</w:t>
            </w:r>
          </w:p>
        </w:tc>
      </w:tr>
      <w:tr>
        <w:trPr>
          <w:trHeight w:val="165" w:hRule="exact"/>
        </w:trPr>
        <w:tc>
          <w:tcPr>
            <w:tcW w:w="1232" w:type="dxa"/>
            <w:tcBorders>
              <w:top w:val="single" w:sz="6" w:space="0" w:color="FFFFFF"/>
              <w:left w:val="thinThickMediumGap" w:sz="3" w:space="0" w:color="C4B8A5"/>
            </w:tcBorders>
          </w:tcPr>
          <w:p>
            <w:pPr>
              <w:pStyle w:val="TableParagraph"/>
              <w:spacing w:line="190" w:lineRule="exact"/>
              <w:ind w:left="7"/>
              <w:rPr>
                <w:sz w:val="18"/>
              </w:rPr>
            </w:pPr>
            <w:r>
              <w:rPr>
                <w:color w:val="231F20"/>
                <w:w w:val="85"/>
                <w:sz w:val="18"/>
              </w:rPr>
              <w:t>PRESIDENTE</w:t>
            </w:r>
          </w:p>
        </w:tc>
        <w:tc>
          <w:tcPr>
            <w:tcW w:w="2242" w:type="dxa"/>
            <w:tcBorders>
              <w:top w:val="single" w:sz="6" w:space="0" w:color="FFFFFF"/>
              <w:left w:val="thinThickMediumGap" w:sz="3" w:space="0" w:color="C4B8A5"/>
            </w:tcBorders>
          </w:tcPr>
          <w:p>
            <w:pPr>
              <w:pStyle w:val="TableParagraph"/>
              <w:spacing w:line="190" w:lineRule="exact"/>
              <w:ind w:left="7"/>
              <w:rPr>
                <w:sz w:val="18"/>
              </w:rPr>
            </w:pPr>
            <w:r>
              <w:rPr>
                <w:color w:val="231F20"/>
                <w:w w:val="75"/>
                <w:sz w:val="18"/>
              </w:rPr>
              <w:t>SAMUEL MARTINEZ ANDRADE</w:t>
            </w:r>
          </w:p>
        </w:tc>
        <w:tc>
          <w:tcPr>
            <w:tcW w:w="4462" w:type="dxa"/>
            <w:tcBorders>
              <w:top w:val="single" w:sz="6" w:space="0" w:color="FFFFFF"/>
              <w:left w:val="thinThickMediumGap" w:sz="3" w:space="0" w:color="C4B8A5"/>
            </w:tcBorders>
          </w:tcPr>
          <w:p>
            <w:pPr>
              <w:pStyle w:val="TableParagraph"/>
              <w:spacing w:line="190" w:lineRule="exact"/>
              <w:ind w:left="7"/>
              <w:rPr>
                <w:sz w:val="18"/>
              </w:rPr>
            </w:pPr>
            <w:r>
              <w:rPr>
                <w:color w:val="231F20"/>
                <w:w w:val="75"/>
                <w:sz w:val="18"/>
              </w:rPr>
              <w:t>GUILLERMO FEBRONIO TORRES ANZURES</w:t>
            </w:r>
          </w:p>
        </w:tc>
      </w:tr>
      <w:tr>
        <w:trPr>
          <w:trHeight w:val="165" w:hRule="exact"/>
        </w:trPr>
        <w:tc>
          <w:tcPr>
            <w:tcW w:w="123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SINDICO 1</w:t>
            </w:r>
          </w:p>
        </w:tc>
        <w:tc>
          <w:tcPr>
            <w:tcW w:w="224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OSCAR VALENCIA CORTES</w:t>
            </w:r>
          </w:p>
        </w:tc>
        <w:tc>
          <w:tcPr>
            <w:tcW w:w="446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GABINO GALICIA ALVARADO</w:t>
            </w:r>
          </w:p>
        </w:tc>
      </w:tr>
      <w:tr>
        <w:trPr>
          <w:trHeight w:val="165" w:hRule="exact"/>
        </w:trPr>
        <w:tc>
          <w:tcPr>
            <w:tcW w:w="123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REGIDOR 1</w:t>
            </w:r>
          </w:p>
        </w:tc>
        <w:tc>
          <w:tcPr>
            <w:tcW w:w="224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CARLOS VERA PEDRAZA</w:t>
            </w:r>
          </w:p>
        </w:tc>
        <w:tc>
          <w:tcPr>
            <w:tcW w:w="446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CESAR VERA PEDRAZA</w:t>
            </w:r>
          </w:p>
        </w:tc>
      </w:tr>
      <w:tr>
        <w:trPr>
          <w:trHeight w:val="381" w:hRule="exact"/>
        </w:trPr>
        <w:tc>
          <w:tcPr>
            <w:tcW w:w="1232" w:type="dxa"/>
            <w:tcBorders>
              <w:top w:val="thinThickMediumGap" w:sz="3" w:space="0" w:color="C4B8A5"/>
              <w:left w:val="thinThickMediumGap" w:sz="3" w:space="0" w:color="C4B8A5"/>
            </w:tcBorders>
          </w:tcPr>
          <w:p>
            <w:pPr>
              <w:pStyle w:val="TableParagraph"/>
              <w:spacing w:before="3"/>
              <w:ind w:left="0"/>
              <w:rPr>
                <w:rFonts w:ascii="Times New Roman"/>
                <w:b/>
                <w:sz w:val="16"/>
              </w:rPr>
            </w:pPr>
          </w:p>
          <w:p>
            <w:pPr>
              <w:pStyle w:val="TableParagraph"/>
              <w:spacing w:line="219" w:lineRule="exact"/>
              <w:ind w:left="7"/>
              <w:rPr>
                <w:sz w:val="18"/>
              </w:rPr>
            </w:pPr>
            <w:r>
              <w:rPr>
                <w:color w:val="231F20"/>
                <w:w w:val="75"/>
                <w:sz w:val="18"/>
              </w:rPr>
              <w:t>REGIDOR 2</w:t>
            </w:r>
          </w:p>
        </w:tc>
        <w:tc>
          <w:tcPr>
            <w:tcW w:w="2242" w:type="dxa"/>
            <w:tcBorders>
              <w:top w:val="thinThickMediumGap" w:sz="3" w:space="0" w:color="C4B8A5"/>
              <w:left w:val="thinThickMediumGap" w:sz="3" w:space="0" w:color="C4B8A5"/>
            </w:tcBorders>
          </w:tcPr>
          <w:p>
            <w:pPr>
              <w:pStyle w:val="TableParagraph"/>
              <w:spacing w:before="79"/>
              <w:ind w:left="7"/>
              <w:rPr>
                <w:sz w:val="18"/>
              </w:rPr>
            </w:pPr>
            <w:r>
              <w:rPr>
                <w:color w:val="231F20"/>
                <w:w w:val="75"/>
                <w:sz w:val="18"/>
              </w:rPr>
              <w:t>ABRAHAM FLORES GALICIA</w:t>
            </w:r>
          </w:p>
        </w:tc>
        <w:tc>
          <w:tcPr>
            <w:tcW w:w="4462" w:type="dxa"/>
            <w:tcBorders>
              <w:top w:val="thinThickMediumGap" w:sz="3" w:space="0" w:color="C4B8A5"/>
              <w:left w:val="thinThickMediumGap" w:sz="3" w:space="0" w:color="C4B8A5"/>
            </w:tcBorders>
          </w:tcPr>
          <w:p>
            <w:pPr>
              <w:pStyle w:val="TableParagraph"/>
              <w:spacing w:before="79"/>
              <w:ind w:left="7"/>
              <w:rPr>
                <w:sz w:val="18"/>
              </w:rPr>
            </w:pPr>
            <w:r>
              <w:rPr>
                <w:color w:val="231F20"/>
                <w:w w:val="75"/>
                <w:sz w:val="18"/>
              </w:rPr>
              <w:t>JUAN BECERRA VALENCIA</w:t>
            </w:r>
          </w:p>
        </w:tc>
      </w:tr>
      <w:tr>
        <w:trPr>
          <w:trHeight w:val="165" w:hRule="exact"/>
        </w:trPr>
        <w:tc>
          <w:tcPr>
            <w:tcW w:w="123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REGIDOR 3</w:t>
            </w:r>
          </w:p>
        </w:tc>
        <w:tc>
          <w:tcPr>
            <w:tcW w:w="224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0"/>
                <w:sz w:val="18"/>
              </w:rPr>
              <w:t>JUAN GUZMAN ENRIQUEZ</w:t>
            </w:r>
          </w:p>
        </w:tc>
        <w:tc>
          <w:tcPr>
            <w:tcW w:w="446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ADRIANA EDITH RIVERA RIVERA</w:t>
            </w:r>
          </w:p>
        </w:tc>
      </w:tr>
      <w:tr>
        <w:trPr>
          <w:trHeight w:val="165" w:hRule="exact"/>
        </w:trPr>
        <w:tc>
          <w:tcPr>
            <w:tcW w:w="123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REGIDOR 4</w:t>
            </w:r>
          </w:p>
        </w:tc>
        <w:tc>
          <w:tcPr>
            <w:tcW w:w="224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JOSE LUIS RORIGUEZ CASTILLO</w:t>
            </w:r>
          </w:p>
        </w:tc>
        <w:tc>
          <w:tcPr>
            <w:tcW w:w="446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ALBERTA GREGORIO NICOLAS</w:t>
            </w:r>
          </w:p>
        </w:tc>
      </w:tr>
      <w:tr>
        <w:trPr>
          <w:trHeight w:val="165" w:hRule="exact"/>
        </w:trPr>
        <w:tc>
          <w:tcPr>
            <w:tcW w:w="123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REGIDOR 5</w:t>
            </w:r>
          </w:p>
        </w:tc>
        <w:tc>
          <w:tcPr>
            <w:tcW w:w="224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AURELIO RAMIREZ MARTINEZ</w:t>
            </w:r>
          </w:p>
        </w:tc>
        <w:tc>
          <w:tcPr>
            <w:tcW w:w="446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CARLOS ALBERTO PICHARDO UMEGIDO</w:t>
            </w:r>
          </w:p>
        </w:tc>
      </w:tr>
      <w:tr>
        <w:trPr>
          <w:trHeight w:val="165" w:hRule="exact"/>
        </w:trPr>
        <w:tc>
          <w:tcPr>
            <w:tcW w:w="123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REGIDOR 6</w:t>
            </w:r>
          </w:p>
        </w:tc>
        <w:tc>
          <w:tcPr>
            <w:tcW w:w="224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RUPERTO ARENAS GARCIA</w:t>
            </w:r>
          </w:p>
        </w:tc>
        <w:tc>
          <w:tcPr>
            <w:tcW w:w="4462" w:type="dxa"/>
            <w:tcBorders>
              <w:top w:val="thinThickMediumGap" w:sz="3" w:space="0" w:color="C4B8A5"/>
              <w:left w:val="thinThickMediumGap" w:sz="3" w:space="0" w:color="C4B8A5"/>
            </w:tcBorders>
          </w:tcPr>
          <w:p>
            <w:pPr>
              <w:pStyle w:val="TableParagraph"/>
              <w:spacing w:line="190" w:lineRule="exact"/>
              <w:ind w:left="7"/>
              <w:rPr>
                <w:sz w:val="18"/>
              </w:rPr>
            </w:pPr>
            <w:r>
              <w:rPr>
                <w:color w:val="231F20"/>
                <w:w w:val="75"/>
                <w:sz w:val="18"/>
              </w:rPr>
              <w:t>JOSE ALBERTO VALENCIA MARTINEZ</w:t>
            </w:r>
          </w:p>
        </w:tc>
      </w:tr>
    </w:tbl>
    <w:p>
      <w:pPr>
        <w:spacing w:after="0" w:line="190" w:lineRule="exact"/>
        <w:rPr>
          <w:sz w:val="18"/>
        </w:rPr>
        <w:sectPr>
          <w:pgSz w:w="9640" w:h="12190"/>
          <w:pgMar w:header="0" w:footer="743" w:top="1120" w:bottom="940" w:left="740" w:right="720"/>
        </w:sectPr>
      </w:pPr>
    </w:p>
    <w:p>
      <w:pPr>
        <w:spacing w:before="27" w:after="32"/>
        <w:ind w:left="110" w:right="574" w:firstLine="0"/>
        <w:jc w:val="left"/>
        <w:rPr>
          <w:b/>
          <w:sz w:val="22"/>
        </w:rPr>
      </w:pPr>
      <w:r>
        <w:rPr>
          <w:b/>
          <w:color w:val="231F20"/>
          <w:w w:val="105"/>
          <w:sz w:val="22"/>
        </w:rPr>
        <w:t>Asignación de Síndicos y Regidores de Representación Proporcional</w:t>
      </w:r>
    </w:p>
    <w:tbl>
      <w:tblPr>
        <w:tblW w:w="0" w:type="auto"/>
        <w:jc w:val="left"/>
        <w:tblInd w:w="110"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Layout w:type="fixed"/>
        <w:tblCellMar>
          <w:top w:w="0" w:type="dxa"/>
          <w:left w:w="0" w:type="dxa"/>
          <w:bottom w:w="0" w:type="dxa"/>
          <w:right w:w="0" w:type="dxa"/>
        </w:tblCellMar>
        <w:tblLook w:val="01E0"/>
      </w:tblPr>
      <w:tblGrid>
        <w:gridCol w:w="1852"/>
        <w:gridCol w:w="1021"/>
        <w:gridCol w:w="2066"/>
        <w:gridCol w:w="2980"/>
      </w:tblGrid>
      <w:tr>
        <w:trPr>
          <w:trHeight w:val="158" w:hRule="exact"/>
        </w:trPr>
        <w:tc>
          <w:tcPr>
            <w:tcW w:w="1852" w:type="dxa"/>
            <w:shd w:val="clear" w:color="auto" w:fill="EBE5DA"/>
          </w:tcPr>
          <w:p>
            <w:pPr>
              <w:pStyle w:val="TableParagraph"/>
              <w:spacing w:line="181" w:lineRule="exact"/>
              <w:ind w:left="7"/>
              <w:rPr>
                <w:sz w:val="17"/>
              </w:rPr>
            </w:pPr>
            <w:r>
              <w:rPr>
                <w:color w:val="231F20"/>
                <w:w w:val="85"/>
                <w:sz w:val="17"/>
              </w:rPr>
              <w:t>Partido</w:t>
            </w:r>
          </w:p>
        </w:tc>
        <w:tc>
          <w:tcPr>
            <w:tcW w:w="1021" w:type="dxa"/>
            <w:shd w:val="clear" w:color="auto" w:fill="EBE5DA"/>
          </w:tcPr>
          <w:p>
            <w:pPr>
              <w:pStyle w:val="TableParagraph"/>
              <w:spacing w:line="181" w:lineRule="exact"/>
              <w:ind w:left="7"/>
              <w:rPr>
                <w:sz w:val="17"/>
              </w:rPr>
            </w:pPr>
            <w:r>
              <w:rPr>
                <w:color w:val="231F20"/>
                <w:w w:val="85"/>
                <w:sz w:val="17"/>
              </w:rPr>
              <w:t>Cargo</w:t>
            </w:r>
          </w:p>
        </w:tc>
        <w:tc>
          <w:tcPr>
            <w:tcW w:w="2066" w:type="dxa"/>
            <w:shd w:val="clear" w:color="auto" w:fill="EBE5DA"/>
          </w:tcPr>
          <w:p>
            <w:pPr>
              <w:pStyle w:val="TableParagraph"/>
              <w:spacing w:line="181" w:lineRule="exact"/>
              <w:ind w:left="7"/>
              <w:rPr>
                <w:sz w:val="17"/>
              </w:rPr>
            </w:pPr>
            <w:r>
              <w:rPr>
                <w:color w:val="231F20"/>
                <w:w w:val="85"/>
                <w:sz w:val="17"/>
              </w:rPr>
              <w:t>Propietario</w:t>
            </w:r>
          </w:p>
        </w:tc>
        <w:tc>
          <w:tcPr>
            <w:tcW w:w="2980" w:type="dxa"/>
            <w:shd w:val="clear" w:color="auto" w:fill="EBE5DA"/>
          </w:tcPr>
          <w:p>
            <w:pPr>
              <w:pStyle w:val="TableParagraph"/>
              <w:spacing w:line="181" w:lineRule="exact"/>
              <w:ind w:left="7"/>
              <w:rPr>
                <w:sz w:val="17"/>
              </w:rPr>
            </w:pPr>
            <w:r>
              <w:rPr>
                <w:color w:val="231F20"/>
                <w:w w:val="85"/>
                <w:sz w:val="17"/>
              </w:rPr>
              <w:t>Suplente</w:t>
            </w:r>
          </w:p>
        </w:tc>
      </w:tr>
      <w:tr>
        <w:trPr>
          <w:trHeight w:val="165" w:hRule="exact"/>
        </w:trPr>
        <w:tc>
          <w:tcPr>
            <w:tcW w:w="1852" w:type="dxa"/>
            <w:tcBorders>
              <w:left w:val="thinThickMediumGap" w:sz="3" w:space="0" w:color="C4B8A5"/>
              <w:bottom w:val="thickThinMediumGap" w:sz="3" w:space="0" w:color="C4B8A5"/>
              <w:right w:val="thickThinMediumGap" w:sz="3" w:space="0" w:color="C4B8A5"/>
            </w:tcBorders>
          </w:tcPr>
          <w:p>
            <w:pPr>
              <w:pStyle w:val="TableParagraph"/>
              <w:spacing w:line="178" w:lineRule="exact"/>
              <w:ind w:left="7"/>
              <w:rPr>
                <w:sz w:val="16"/>
              </w:rPr>
            </w:pPr>
            <w:r>
              <w:rPr>
                <w:color w:val="231F20"/>
                <w:w w:val="80"/>
                <w:sz w:val="16"/>
              </w:rPr>
              <w:t>C. “Alianza por México “</w:t>
            </w:r>
          </w:p>
        </w:tc>
        <w:tc>
          <w:tcPr>
            <w:tcW w:w="1021" w:type="dxa"/>
            <w:tcBorders>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7° REGIDOR</w:t>
            </w:r>
          </w:p>
        </w:tc>
        <w:tc>
          <w:tcPr>
            <w:tcW w:w="2066" w:type="dxa"/>
            <w:tcBorders>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MARIBEL GALICIA ZAMORA</w:t>
            </w:r>
          </w:p>
        </w:tc>
        <w:tc>
          <w:tcPr>
            <w:tcW w:w="2980" w:type="dxa"/>
            <w:tcBorders>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JOSAFAT CASTILLO LOPEZ</w:t>
            </w:r>
          </w:p>
        </w:tc>
      </w:tr>
      <w:tr>
        <w:trPr>
          <w:trHeight w:val="165" w:hRule="exact"/>
        </w:trPr>
        <w:tc>
          <w:tcPr>
            <w:tcW w:w="1852"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C. “Alianza por México “</w:t>
            </w:r>
          </w:p>
        </w:tc>
        <w:tc>
          <w:tcPr>
            <w:tcW w:w="1021"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8° REGIDOR</w:t>
            </w:r>
          </w:p>
        </w:tc>
        <w:tc>
          <w:tcPr>
            <w:tcW w:w="2066"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0"/>
                <w:sz w:val="18"/>
              </w:rPr>
              <w:t>ALFONSO OVIEDO  BAUTISTA</w:t>
            </w:r>
          </w:p>
        </w:tc>
        <w:tc>
          <w:tcPr>
            <w:tcW w:w="2980"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RENE JAVIER OCAÑA ZAVALA</w:t>
            </w:r>
          </w:p>
        </w:tc>
      </w:tr>
      <w:tr>
        <w:trPr>
          <w:trHeight w:val="165" w:hRule="exact"/>
        </w:trPr>
        <w:tc>
          <w:tcPr>
            <w:tcW w:w="1852"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85"/>
                <w:sz w:val="18"/>
              </w:rPr>
              <w:t>PAN</w:t>
            </w:r>
          </w:p>
        </w:tc>
        <w:tc>
          <w:tcPr>
            <w:tcW w:w="1021"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9° REGIDOR</w:t>
            </w:r>
          </w:p>
        </w:tc>
        <w:tc>
          <w:tcPr>
            <w:tcW w:w="2066"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80"/>
                <w:sz w:val="18"/>
              </w:rPr>
              <w:t>MA DE LA LUZ ADAYA PEREZ</w:t>
            </w:r>
          </w:p>
        </w:tc>
        <w:tc>
          <w:tcPr>
            <w:tcW w:w="2980"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PAULA MARTINEZ ANDRADE</w:t>
            </w:r>
          </w:p>
        </w:tc>
      </w:tr>
      <w:tr>
        <w:trPr>
          <w:trHeight w:val="165" w:hRule="exact"/>
        </w:trPr>
        <w:tc>
          <w:tcPr>
            <w:tcW w:w="1852"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85"/>
                <w:sz w:val="18"/>
              </w:rPr>
              <w:t>PRD</w:t>
            </w:r>
          </w:p>
        </w:tc>
        <w:tc>
          <w:tcPr>
            <w:tcW w:w="1021"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10° REGIDOR</w:t>
            </w:r>
          </w:p>
        </w:tc>
        <w:tc>
          <w:tcPr>
            <w:tcW w:w="2066"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EVELIA ORTIZ GARCIA</w:t>
            </w:r>
          </w:p>
        </w:tc>
        <w:tc>
          <w:tcPr>
            <w:tcW w:w="2980" w:type="dxa"/>
            <w:tcBorders>
              <w:top w:val="thinThickMediumGap" w:sz="3" w:space="0" w:color="C4B8A5"/>
              <w:left w:val="thinThickMediumGap" w:sz="3" w:space="0" w:color="C4B8A5"/>
              <w:bottom w:val="thickThinMediumGap" w:sz="3" w:space="0" w:color="C4B8A5"/>
              <w:right w:val="thickThinMediumGap" w:sz="3" w:space="0" w:color="C4B8A5"/>
            </w:tcBorders>
          </w:tcPr>
          <w:p>
            <w:pPr>
              <w:pStyle w:val="TableParagraph"/>
              <w:spacing w:line="190" w:lineRule="exact"/>
              <w:ind w:left="7"/>
              <w:rPr>
                <w:sz w:val="18"/>
              </w:rPr>
            </w:pPr>
            <w:r>
              <w:rPr>
                <w:color w:val="231F20"/>
                <w:w w:val="75"/>
                <w:sz w:val="18"/>
              </w:rPr>
              <w:t>ALMA DELIA CASTRO PEÑA</w:t>
            </w:r>
          </w:p>
        </w:tc>
      </w:tr>
    </w:tbl>
    <w:p>
      <w:pPr>
        <w:pStyle w:val="BodyText"/>
        <w:spacing w:before="4"/>
        <w:rPr>
          <w:b/>
          <w:sz w:val="17"/>
        </w:rPr>
      </w:pPr>
    </w:p>
    <w:p>
      <w:pPr>
        <w:spacing w:before="74"/>
        <w:ind w:left="5383" w:right="-1" w:firstLine="0"/>
        <w:jc w:val="left"/>
        <w:rPr>
          <w:rFonts w:ascii="Calibri" w:hAnsi="Calibri"/>
          <w:sz w:val="16"/>
        </w:rPr>
      </w:pPr>
      <w:r>
        <w:rPr>
          <w:rFonts w:ascii="Calibri" w:hAnsi="Calibri"/>
          <w:color w:val="231F20"/>
          <w:sz w:val="16"/>
        </w:rPr>
        <w:t>Fuente: (IEEM, 2009: Documento en línea)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8"/>
        <w:jc w:val="both"/>
      </w:pPr>
      <w:r>
        <w:rPr>
          <w:color w:val="231F20"/>
          <w:w w:val="105"/>
        </w:rPr>
        <w:t>El</w:t>
      </w:r>
      <w:r>
        <w:rPr>
          <w:color w:val="231F20"/>
          <w:spacing w:val="-19"/>
          <w:w w:val="105"/>
        </w:rPr>
        <w:t> </w:t>
      </w:r>
      <w:r>
        <w:rPr>
          <w:color w:val="231F20"/>
          <w:w w:val="105"/>
        </w:rPr>
        <w:t>PT</w:t>
      </w:r>
      <w:r>
        <w:rPr>
          <w:color w:val="231F20"/>
          <w:spacing w:val="-19"/>
          <w:w w:val="105"/>
        </w:rPr>
        <w:t> </w:t>
      </w:r>
      <w:r>
        <w:rPr>
          <w:color w:val="231F20"/>
          <w:w w:val="105"/>
        </w:rPr>
        <w:t>obtuvo</w:t>
      </w:r>
      <w:r>
        <w:rPr>
          <w:color w:val="231F20"/>
          <w:spacing w:val="-19"/>
          <w:w w:val="105"/>
        </w:rPr>
        <w:t> </w:t>
      </w:r>
      <w:r>
        <w:rPr>
          <w:color w:val="231F20"/>
          <w:w w:val="105"/>
        </w:rPr>
        <w:t>el</w:t>
      </w:r>
      <w:r>
        <w:rPr>
          <w:color w:val="231F20"/>
          <w:spacing w:val="-19"/>
          <w:w w:val="105"/>
        </w:rPr>
        <w:t> </w:t>
      </w:r>
      <w:r>
        <w:rPr>
          <w:color w:val="231F20"/>
          <w:w w:val="105"/>
        </w:rPr>
        <w:t>triunfo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proceso</w:t>
      </w:r>
      <w:r>
        <w:rPr>
          <w:color w:val="231F20"/>
          <w:spacing w:val="-19"/>
          <w:w w:val="105"/>
        </w:rPr>
        <w:t> </w:t>
      </w:r>
      <w:r>
        <w:rPr>
          <w:color w:val="231F20"/>
          <w:w w:val="105"/>
        </w:rPr>
        <w:t>electoral</w:t>
      </w:r>
      <w:r>
        <w:rPr>
          <w:color w:val="231F20"/>
          <w:spacing w:val="-19"/>
          <w:w w:val="105"/>
        </w:rPr>
        <w:t> </w:t>
      </w:r>
      <w:r>
        <w:rPr>
          <w:color w:val="231F20"/>
          <w:w w:val="105"/>
        </w:rPr>
        <w:t>y</w:t>
      </w:r>
      <w:r>
        <w:rPr>
          <w:color w:val="231F20"/>
          <w:spacing w:val="-19"/>
          <w:w w:val="105"/>
        </w:rPr>
        <w:t> </w:t>
      </w:r>
      <w:r>
        <w:rPr>
          <w:color w:val="231F20"/>
          <w:w w:val="105"/>
        </w:rPr>
        <w:t>como</w:t>
      </w:r>
      <w:r>
        <w:rPr>
          <w:color w:val="231F20"/>
          <w:spacing w:val="-19"/>
          <w:w w:val="105"/>
        </w:rPr>
        <w:t> </w:t>
      </w:r>
      <w:r>
        <w:rPr>
          <w:color w:val="231F20"/>
          <w:w w:val="105"/>
        </w:rPr>
        <w:t>se</w:t>
      </w:r>
      <w:r>
        <w:rPr>
          <w:color w:val="231F20"/>
          <w:spacing w:val="-19"/>
          <w:w w:val="105"/>
        </w:rPr>
        <w:t> </w:t>
      </w:r>
      <w:r>
        <w:rPr>
          <w:color w:val="231F20"/>
          <w:w w:val="105"/>
        </w:rPr>
        <w:t>puede</w:t>
      </w:r>
      <w:r>
        <w:rPr>
          <w:color w:val="231F20"/>
          <w:spacing w:val="-19"/>
          <w:w w:val="105"/>
        </w:rPr>
        <w:t> </w:t>
      </w:r>
      <w:r>
        <w:rPr>
          <w:color w:val="231F20"/>
          <w:w w:val="105"/>
        </w:rPr>
        <w:t>observar,</w:t>
      </w:r>
      <w:r>
        <w:rPr>
          <w:color w:val="231F20"/>
          <w:spacing w:val="-19"/>
          <w:w w:val="105"/>
        </w:rPr>
        <w:t> </w:t>
      </w:r>
      <w:r>
        <w:rPr>
          <w:color w:val="231F20"/>
          <w:w w:val="105"/>
        </w:rPr>
        <w:t>sus</w:t>
      </w:r>
      <w:r>
        <w:rPr>
          <w:color w:val="231F20"/>
          <w:spacing w:val="-19"/>
          <w:w w:val="105"/>
        </w:rPr>
        <w:t> </w:t>
      </w:r>
      <w:r>
        <w:rPr>
          <w:color w:val="231F20"/>
          <w:w w:val="105"/>
        </w:rPr>
        <w:t>candidatos ocuparon</w:t>
      </w:r>
      <w:r>
        <w:rPr>
          <w:color w:val="231F20"/>
          <w:spacing w:val="-17"/>
          <w:w w:val="105"/>
        </w:rPr>
        <w:t> </w:t>
      </w:r>
      <w:r>
        <w:rPr>
          <w:color w:val="231F20"/>
          <w:w w:val="105"/>
        </w:rPr>
        <w:t>además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presidencia</w:t>
      </w:r>
      <w:r>
        <w:rPr>
          <w:color w:val="231F20"/>
          <w:spacing w:val="-17"/>
          <w:w w:val="105"/>
        </w:rPr>
        <w:t> </w:t>
      </w:r>
      <w:r>
        <w:rPr>
          <w:color w:val="231F20"/>
          <w:w w:val="105"/>
        </w:rPr>
        <w:t>municipal,</w:t>
      </w:r>
      <w:r>
        <w:rPr>
          <w:color w:val="231F20"/>
          <w:spacing w:val="-17"/>
          <w:w w:val="105"/>
        </w:rPr>
        <w:t> </w:t>
      </w:r>
      <w:r>
        <w:rPr>
          <w:color w:val="231F20"/>
          <w:w w:val="105"/>
        </w:rPr>
        <w:t>la</w:t>
      </w:r>
      <w:r>
        <w:rPr>
          <w:color w:val="231F20"/>
          <w:spacing w:val="-17"/>
          <w:w w:val="105"/>
        </w:rPr>
        <w:t> </w:t>
      </w:r>
      <w:r>
        <w:rPr>
          <w:color w:val="231F20"/>
          <w:w w:val="105"/>
        </w:rPr>
        <w:t>sindicatura</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w w:val="105"/>
        </w:rPr>
        <w:t>6</w:t>
      </w:r>
      <w:r>
        <w:rPr>
          <w:color w:val="231F20"/>
          <w:spacing w:val="-17"/>
          <w:w w:val="105"/>
        </w:rPr>
        <w:t> </w:t>
      </w:r>
      <w:r>
        <w:rPr>
          <w:color w:val="231F20"/>
          <w:w w:val="105"/>
        </w:rPr>
        <w:t>regidurías</w:t>
      </w:r>
      <w:r>
        <w:rPr>
          <w:color w:val="231F20"/>
          <w:spacing w:val="-17"/>
          <w:w w:val="105"/>
        </w:rPr>
        <w:t> </w:t>
      </w:r>
      <w:r>
        <w:rPr>
          <w:color w:val="231F20"/>
          <w:w w:val="105"/>
        </w:rPr>
        <w:t>de</w:t>
      </w:r>
      <w:r>
        <w:rPr>
          <w:color w:val="231F20"/>
          <w:spacing w:val="-17"/>
          <w:w w:val="105"/>
        </w:rPr>
        <w:t> </w:t>
      </w:r>
      <w:r>
        <w:rPr>
          <w:color w:val="231F20"/>
          <w:w w:val="105"/>
        </w:rPr>
        <w:t>mayo- ría</w:t>
      </w:r>
      <w:r>
        <w:rPr>
          <w:color w:val="231F20"/>
          <w:spacing w:val="-8"/>
          <w:w w:val="105"/>
        </w:rPr>
        <w:t> </w:t>
      </w:r>
      <w:r>
        <w:rPr>
          <w:color w:val="231F20"/>
          <w:w w:val="105"/>
        </w:rPr>
        <w:t>relativa.</w:t>
      </w:r>
      <w:r>
        <w:rPr>
          <w:color w:val="231F20"/>
          <w:spacing w:val="-8"/>
          <w:w w:val="105"/>
        </w:rPr>
        <w:t> </w:t>
      </w:r>
      <w:r>
        <w:rPr>
          <w:color w:val="231F20"/>
          <w:w w:val="105"/>
        </w:rPr>
        <w:t>Otros</w:t>
      </w:r>
      <w:r>
        <w:rPr>
          <w:color w:val="231F20"/>
          <w:spacing w:val="-8"/>
          <w:w w:val="105"/>
        </w:rPr>
        <w:t> </w:t>
      </w:r>
      <w:r>
        <w:rPr>
          <w:color w:val="231F20"/>
          <w:w w:val="105"/>
        </w:rPr>
        <w:t>partidos</w:t>
      </w:r>
      <w:r>
        <w:rPr>
          <w:color w:val="231F20"/>
          <w:spacing w:val="-8"/>
          <w:w w:val="105"/>
        </w:rPr>
        <w:t> </w:t>
      </w:r>
      <w:r>
        <w:rPr>
          <w:color w:val="231F20"/>
          <w:w w:val="105"/>
        </w:rPr>
        <w:t>sólo</w:t>
      </w:r>
      <w:r>
        <w:rPr>
          <w:color w:val="231F20"/>
          <w:spacing w:val="-8"/>
          <w:w w:val="105"/>
        </w:rPr>
        <w:t> </w:t>
      </w:r>
      <w:r>
        <w:rPr>
          <w:color w:val="231F20"/>
          <w:w w:val="105"/>
        </w:rPr>
        <w:t>obtuvieron</w:t>
      </w:r>
      <w:r>
        <w:rPr>
          <w:color w:val="231F20"/>
          <w:spacing w:val="-8"/>
          <w:w w:val="105"/>
        </w:rPr>
        <w:t> </w:t>
      </w:r>
      <w:r>
        <w:rPr>
          <w:color w:val="231F20"/>
          <w:w w:val="105"/>
        </w:rPr>
        <w:t>presencia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gobierno</w:t>
      </w:r>
      <w:r>
        <w:rPr>
          <w:color w:val="231F20"/>
          <w:spacing w:val="-8"/>
          <w:w w:val="105"/>
        </w:rPr>
        <w:t> </w:t>
      </w:r>
      <w:r>
        <w:rPr>
          <w:color w:val="231F20"/>
          <w:w w:val="105"/>
        </w:rPr>
        <w:t>municipal</w:t>
      </w:r>
      <w:r>
        <w:rPr>
          <w:color w:val="231F20"/>
          <w:spacing w:val="-8"/>
          <w:w w:val="105"/>
        </w:rPr>
        <w:t> </w:t>
      </w:r>
      <w:r>
        <w:rPr>
          <w:color w:val="231F20"/>
          <w:w w:val="105"/>
        </w:rPr>
        <w:t>a</w:t>
      </w:r>
      <w:r>
        <w:rPr>
          <w:color w:val="231F20"/>
          <w:spacing w:val="-8"/>
          <w:w w:val="105"/>
        </w:rPr>
        <w:t> </w:t>
      </w:r>
      <w:r>
        <w:rPr>
          <w:color w:val="231F20"/>
          <w:w w:val="105"/>
        </w:rPr>
        <w:t>través de</w:t>
      </w:r>
      <w:r>
        <w:rPr>
          <w:color w:val="231F20"/>
          <w:spacing w:val="-24"/>
          <w:w w:val="105"/>
        </w:rPr>
        <w:t> </w:t>
      </w:r>
      <w:r>
        <w:rPr>
          <w:color w:val="231F20"/>
          <w:w w:val="105"/>
        </w:rPr>
        <w:t>los</w:t>
      </w:r>
      <w:r>
        <w:rPr>
          <w:color w:val="231F20"/>
          <w:spacing w:val="-24"/>
          <w:w w:val="105"/>
        </w:rPr>
        <w:t> </w:t>
      </w:r>
      <w:r>
        <w:rPr>
          <w:color w:val="231F20"/>
          <w:w w:val="105"/>
        </w:rPr>
        <w:t>regidores</w:t>
      </w:r>
      <w:r>
        <w:rPr>
          <w:color w:val="231F20"/>
          <w:spacing w:val="-23"/>
          <w:w w:val="105"/>
        </w:rPr>
        <w:t> </w:t>
      </w:r>
      <w:r>
        <w:rPr>
          <w:color w:val="231F20"/>
          <w:w w:val="105"/>
        </w:rPr>
        <w:t>de</w:t>
      </w:r>
      <w:r>
        <w:rPr>
          <w:color w:val="231F20"/>
          <w:spacing w:val="-23"/>
          <w:w w:val="105"/>
        </w:rPr>
        <w:t> </w:t>
      </w:r>
      <w:r>
        <w:rPr>
          <w:color w:val="231F20"/>
          <w:w w:val="105"/>
        </w:rPr>
        <w:t>representación</w:t>
      </w:r>
      <w:r>
        <w:rPr>
          <w:color w:val="231F20"/>
          <w:spacing w:val="-23"/>
          <w:w w:val="105"/>
        </w:rPr>
        <w:t> </w:t>
      </w:r>
      <w:r>
        <w:rPr>
          <w:color w:val="231F20"/>
          <w:w w:val="105"/>
        </w:rPr>
        <w:t>proporcional.</w:t>
      </w:r>
      <w:r>
        <w:rPr>
          <w:color w:val="231F20"/>
          <w:spacing w:val="-24"/>
          <w:w w:val="105"/>
        </w:rPr>
        <w:t> </w:t>
      </w:r>
      <w:r>
        <w:rPr>
          <w:color w:val="231F20"/>
          <w:w w:val="105"/>
        </w:rPr>
        <w:t>Ello</w:t>
      </w:r>
      <w:r>
        <w:rPr>
          <w:color w:val="231F20"/>
          <w:spacing w:val="-24"/>
          <w:w w:val="105"/>
        </w:rPr>
        <w:t> </w:t>
      </w:r>
      <w:r>
        <w:rPr>
          <w:color w:val="231F20"/>
          <w:w w:val="105"/>
        </w:rPr>
        <w:t>contribuyó</w:t>
      </w:r>
      <w:r>
        <w:rPr>
          <w:color w:val="231F20"/>
          <w:spacing w:val="-24"/>
          <w:w w:val="105"/>
        </w:rPr>
        <w:t> </w:t>
      </w:r>
      <w:r>
        <w:rPr>
          <w:color w:val="231F20"/>
          <w:w w:val="105"/>
        </w:rPr>
        <w:t>a</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4"/>
          <w:w w:val="105"/>
        </w:rPr>
        <w:t> </w:t>
      </w:r>
      <w:r>
        <w:rPr>
          <w:color w:val="231F20"/>
          <w:w w:val="105"/>
        </w:rPr>
        <w:t>gestión</w:t>
      </w:r>
      <w:r>
        <w:rPr>
          <w:color w:val="231F20"/>
          <w:spacing w:val="-23"/>
          <w:w w:val="105"/>
        </w:rPr>
        <w:t> </w:t>
      </w:r>
      <w:r>
        <w:rPr>
          <w:color w:val="231F20"/>
          <w:w w:val="105"/>
        </w:rPr>
        <w:t>pública tuviese</w:t>
      </w:r>
      <w:r>
        <w:rPr>
          <w:color w:val="231F20"/>
          <w:spacing w:val="-14"/>
          <w:w w:val="105"/>
        </w:rPr>
        <w:t> </w:t>
      </w:r>
      <w:r>
        <w:rPr>
          <w:color w:val="231F20"/>
          <w:w w:val="105"/>
        </w:rPr>
        <w:t>una</w:t>
      </w:r>
      <w:r>
        <w:rPr>
          <w:color w:val="231F20"/>
          <w:spacing w:val="-14"/>
          <w:w w:val="105"/>
        </w:rPr>
        <w:t> </w:t>
      </w:r>
      <w:r>
        <w:rPr>
          <w:color w:val="231F20"/>
          <w:w w:val="105"/>
        </w:rPr>
        <w:t>dirección</w:t>
      </w:r>
      <w:r>
        <w:rPr>
          <w:color w:val="231F20"/>
          <w:spacing w:val="-14"/>
          <w:w w:val="105"/>
        </w:rPr>
        <w:t> </w:t>
      </w:r>
      <w:r>
        <w:rPr>
          <w:color w:val="231F20"/>
          <w:w w:val="105"/>
        </w:rPr>
        <w:t>clara</w:t>
      </w:r>
      <w:r>
        <w:rPr>
          <w:color w:val="231F20"/>
          <w:spacing w:val="-14"/>
          <w:w w:val="105"/>
        </w:rPr>
        <w:t> </w:t>
      </w:r>
      <w:r>
        <w:rPr>
          <w:color w:val="231F20"/>
          <w:w w:val="105"/>
        </w:rPr>
        <w:t>a</w:t>
      </w:r>
      <w:r>
        <w:rPr>
          <w:color w:val="231F20"/>
          <w:spacing w:val="-14"/>
          <w:w w:val="105"/>
        </w:rPr>
        <w:t> </w:t>
      </w:r>
      <w:r>
        <w:rPr>
          <w:color w:val="231F20"/>
          <w:w w:val="105"/>
        </w:rPr>
        <w:t>favor</w:t>
      </w:r>
      <w:r>
        <w:rPr>
          <w:color w:val="231F20"/>
          <w:spacing w:val="-14"/>
          <w:w w:val="105"/>
        </w:rPr>
        <w:t> </w:t>
      </w:r>
      <w:r>
        <w:rPr>
          <w:color w:val="231F20"/>
          <w:w w:val="105"/>
        </w:rPr>
        <w:t>del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w w:val="105"/>
        </w:rPr>
        <w:t>y</w:t>
      </w:r>
      <w:r>
        <w:rPr>
          <w:color w:val="231F20"/>
          <w:spacing w:val="-14"/>
          <w:w w:val="105"/>
        </w:rPr>
        <w:t> </w:t>
      </w:r>
      <w:r>
        <w:rPr>
          <w:color w:val="231F20"/>
          <w:w w:val="105"/>
        </w:rPr>
        <w:t>sus</w:t>
      </w:r>
      <w:r>
        <w:rPr>
          <w:color w:val="231F20"/>
          <w:spacing w:val="-14"/>
          <w:w w:val="105"/>
        </w:rPr>
        <w:t> </w:t>
      </w:r>
      <w:r>
        <w:rPr>
          <w:color w:val="231F20"/>
          <w:w w:val="105"/>
        </w:rPr>
        <w:t>propuestas.</w:t>
      </w:r>
    </w:p>
    <w:p>
      <w:pPr>
        <w:pStyle w:val="BodyText"/>
        <w:spacing w:before="1"/>
        <w:rPr>
          <w:sz w:val="26"/>
        </w:rPr>
      </w:pPr>
    </w:p>
    <w:p>
      <w:pPr>
        <w:pStyle w:val="BodyText"/>
        <w:spacing w:line="285" w:lineRule="auto"/>
        <w:ind w:left="110" w:right="107"/>
        <w:jc w:val="both"/>
      </w:pPr>
      <w:r>
        <w:rPr>
          <w:color w:val="231F20"/>
          <w:w w:val="105"/>
        </w:rPr>
        <w:t>A</w:t>
      </w:r>
      <w:r>
        <w:rPr>
          <w:color w:val="231F20"/>
          <w:spacing w:val="-5"/>
          <w:w w:val="105"/>
        </w:rPr>
        <w:t> </w:t>
      </w:r>
      <w:r>
        <w:rPr>
          <w:color w:val="231F20"/>
          <w:w w:val="105"/>
        </w:rPr>
        <w:t>continuación,</w:t>
      </w:r>
      <w:r>
        <w:rPr>
          <w:color w:val="231F20"/>
          <w:spacing w:val="-5"/>
          <w:w w:val="105"/>
        </w:rPr>
        <w:t> </w:t>
      </w:r>
      <w:r>
        <w:rPr>
          <w:color w:val="231F20"/>
          <w:w w:val="105"/>
        </w:rPr>
        <w:t>se</w:t>
      </w:r>
      <w:r>
        <w:rPr>
          <w:color w:val="231F20"/>
          <w:spacing w:val="-5"/>
          <w:w w:val="105"/>
        </w:rPr>
        <w:t> </w:t>
      </w:r>
      <w:r>
        <w:rPr>
          <w:color w:val="231F20"/>
          <w:w w:val="105"/>
        </w:rPr>
        <w:t>presenta</w:t>
      </w:r>
      <w:r>
        <w:rPr>
          <w:color w:val="231F20"/>
          <w:spacing w:val="-5"/>
          <w:w w:val="105"/>
        </w:rPr>
        <w:t> </w:t>
      </w:r>
      <w:r>
        <w:rPr>
          <w:color w:val="231F20"/>
          <w:w w:val="105"/>
        </w:rPr>
        <w:t>la</w:t>
      </w:r>
      <w:r>
        <w:rPr>
          <w:color w:val="231F20"/>
          <w:spacing w:val="-5"/>
          <w:w w:val="105"/>
        </w:rPr>
        <w:t> </w:t>
      </w:r>
      <w:r>
        <w:rPr>
          <w:color w:val="231F20"/>
          <w:w w:val="105"/>
        </w:rPr>
        <w:t>composición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administración</w:t>
      </w:r>
      <w:r>
        <w:rPr>
          <w:color w:val="231F20"/>
          <w:spacing w:val="-5"/>
          <w:w w:val="105"/>
        </w:rPr>
        <w:t> </w:t>
      </w:r>
      <w:r>
        <w:rPr>
          <w:color w:val="231F20"/>
          <w:w w:val="105"/>
        </w:rPr>
        <w:t>pública</w:t>
      </w:r>
      <w:r>
        <w:rPr>
          <w:color w:val="231F20"/>
          <w:spacing w:val="-5"/>
          <w:w w:val="105"/>
        </w:rPr>
        <w:t> </w:t>
      </w:r>
      <w:r>
        <w:rPr>
          <w:color w:val="231F20"/>
          <w:w w:val="105"/>
        </w:rPr>
        <w:t>del</w:t>
      </w:r>
      <w:r>
        <w:rPr>
          <w:color w:val="231F20"/>
          <w:spacing w:val="-5"/>
          <w:w w:val="105"/>
        </w:rPr>
        <w:t> </w:t>
      </w:r>
      <w:r>
        <w:rPr>
          <w:color w:val="231F20"/>
          <w:w w:val="105"/>
        </w:rPr>
        <w:t>H.</w:t>
      </w:r>
      <w:r>
        <w:rPr>
          <w:color w:val="231F20"/>
          <w:spacing w:val="-5"/>
          <w:w w:val="105"/>
        </w:rPr>
        <w:t> </w:t>
      </w:r>
      <w:r>
        <w:rPr>
          <w:color w:val="231F20"/>
          <w:w w:val="105"/>
        </w:rPr>
        <w:t>Ayun- tamiento de Ozumba para tener una perspectiva amplia sobre la estructura disponible para</w:t>
      </w:r>
      <w:r>
        <w:rPr>
          <w:color w:val="231F20"/>
          <w:spacing w:val="-9"/>
          <w:w w:val="105"/>
        </w:rPr>
        <w:t> </w:t>
      </w:r>
      <w:r>
        <w:rPr>
          <w:color w:val="231F20"/>
          <w:w w:val="105"/>
        </w:rPr>
        <w:t>enfrentar</w:t>
      </w:r>
      <w:r>
        <w:rPr>
          <w:color w:val="231F20"/>
          <w:spacing w:val="-9"/>
          <w:w w:val="105"/>
        </w:rPr>
        <w:t> </w:t>
      </w:r>
      <w:r>
        <w:rPr>
          <w:color w:val="231F20"/>
          <w:w w:val="105"/>
        </w:rPr>
        <w:t>los</w:t>
      </w:r>
      <w:r>
        <w:rPr>
          <w:color w:val="231F20"/>
          <w:spacing w:val="-9"/>
          <w:w w:val="105"/>
        </w:rPr>
        <w:t> </w:t>
      </w:r>
      <w:r>
        <w:rPr>
          <w:color w:val="231F20"/>
          <w:w w:val="105"/>
        </w:rPr>
        <w:t>retos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gestión</w:t>
      </w:r>
      <w:r>
        <w:rPr>
          <w:color w:val="231F20"/>
          <w:spacing w:val="-9"/>
          <w:w w:val="105"/>
        </w:rPr>
        <w:t> </w:t>
      </w:r>
      <w:r>
        <w:rPr>
          <w:color w:val="231F20"/>
          <w:w w:val="105"/>
        </w:rPr>
        <w:t>municipal:</w:t>
      </w:r>
    </w:p>
    <w:p>
      <w:pPr>
        <w:pStyle w:val="ListParagraph"/>
        <w:numPr>
          <w:ilvl w:val="0"/>
          <w:numId w:val="24"/>
        </w:numPr>
        <w:tabs>
          <w:tab w:pos="855" w:val="left" w:leader="none"/>
        </w:tabs>
        <w:spacing w:line="240" w:lineRule="auto" w:before="1" w:after="0"/>
        <w:ind w:left="854" w:right="0" w:hanging="177"/>
        <w:jc w:val="left"/>
        <w:rPr>
          <w:rFonts w:ascii="Times New Roman"/>
          <w:sz w:val="22"/>
        </w:rPr>
      </w:pPr>
      <w:r>
        <w:rPr>
          <w:rFonts w:ascii="Times New Roman"/>
          <w:color w:val="231F20"/>
          <w:sz w:val="22"/>
        </w:rPr>
        <w:t>Presidencia</w:t>
      </w:r>
      <w:r>
        <w:rPr>
          <w:rFonts w:ascii="Times New Roman"/>
          <w:color w:val="231F20"/>
          <w:spacing w:val="54"/>
          <w:sz w:val="22"/>
        </w:rPr>
        <w:t> </w:t>
      </w:r>
      <w:r>
        <w:rPr>
          <w:rFonts w:ascii="Times New Roman"/>
          <w:color w:val="231F20"/>
          <w:sz w:val="22"/>
        </w:rPr>
        <w:t>Municipal.</w:t>
      </w:r>
    </w:p>
    <w:p>
      <w:pPr>
        <w:pStyle w:val="ListParagraph"/>
        <w:numPr>
          <w:ilvl w:val="0"/>
          <w:numId w:val="24"/>
        </w:numPr>
        <w:tabs>
          <w:tab w:pos="932" w:val="left" w:leader="none"/>
        </w:tabs>
        <w:spacing w:line="240" w:lineRule="auto" w:before="47" w:after="0"/>
        <w:ind w:left="931" w:right="0" w:hanging="254"/>
        <w:jc w:val="left"/>
        <w:rPr>
          <w:rFonts w:ascii="Times New Roman"/>
          <w:sz w:val="22"/>
        </w:rPr>
      </w:pPr>
      <w:r>
        <w:rPr>
          <w:rFonts w:ascii="Times New Roman"/>
          <w:color w:val="231F20"/>
          <w:w w:val="105"/>
          <w:sz w:val="22"/>
        </w:rPr>
        <w:t>Sindicatura</w:t>
      </w:r>
      <w:r>
        <w:rPr>
          <w:rFonts w:ascii="Times New Roman"/>
          <w:color w:val="231F20"/>
          <w:spacing w:val="-19"/>
          <w:w w:val="105"/>
          <w:sz w:val="22"/>
        </w:rPr>
        <w:t> </w:t>
      </w:r>
      <w:r>
        <w:rPr>
          <w:rFonts w:ascii="Times New Roman"/>
          <w:color w:val="231F20"/>
          <w:w w:val="105"/>
          <w:sz w:val="22"/>
        </w:rPr>
        <w:t>Municipal.</w:t>
      </w:r>
    </w:p>
    <w:p>
      <w:pPr>
        <w:pStyle w:val="ListParagraph"/>
        <w:numPr>
          <w:ilvl w:val="0"/>
          <w:numId w:val="24"/>
        </w:numPr>
        <w:tabs>
          <w:tab w:pos="1009" w:val="left" w:leader="none"/>
        </w:tabs>
        <w:spacing w:line="240" w:lineRule="auto" w:before="47" w:after="0"/>
        <w:ind w:left="1008" w:right="0" w:hanging="331"/>
        <w:jc w:val="left"/>
        <w:rPr>
          <w:rFonts w:ascii="Times New Roman" w:hAnsi="Times New Roman"/>
          <w:sz w:val="22"/>
        </w:rPr>
      </w:pPr>
      <w:r>
        <w:rPr>
          <w:rFonts w:ascii="Times New Roman" w:hAnsi="Times New Roman"/>
          <w:color w:val="231F20"/>
          <w:w w:val="105"/>
          <w:sz w:val="22"/>
        </w:rPr>
        <w:t>Secretaría del</w:t>
      </w:r>
      <w:r>
        <w:rPr>
          <w:rFonts w:ascii="Times New Roman" w:hAnsi="Times New Roman"/>
          <w:color w:val="231F20"/>
          <w:spacing w:val="-39"/>
          <w:w w:val="105"/>
          <w:sz w:val="22"/>
        </w:rPr>
        <w:t> </w:t>
      </w:r>
      <w:r>
        <w:rPr>
          <w:rFonts w:ascii="Times New Roman" w:hAnsi="Times New Roman"/>
          <w:color w:val="231F20"/>
          <w:w w:val="105"/>
          <w:sz w:val="22"/>
        </w:rPr>
        <w:t>Ayuntamiento.</w:t>
      </w:r>
    </w:p>
    <w:p>
      <w:pPr>
        <w:pStyle w:val="ListParagraph"/>
        <w:numPr>
          <w:ilvl w:val="0"/>
          <w:numId w:val="24"/>
        </w:numPr>
        <w:tabs>
          <w:tab w:pos="989" w:val="left" w:leader="none"/>
        </w:tabs>
        <w:spacing w:line="240" w:lineRule="auto" w:before="47" w:after="0"/>
        <w:ind w:left="988" w:right="0" w:hanging="311"/>
        <w:jc w:val="left"/>
        <w:rPr>
          <w:rFonts w:ascii="Times New Roman" w:hAnsi="Times New Roman"/>
          <w:sz w:val="22"/>
        </w:rPr>
      </w:pPr>
      <w:r>
        <w:rPr>
          <w:rFonts w:ascii="Times New Roman" w:hAnsi="Times New Roman"/>
          <w:color w:val="231F20"/>
          <w:spacing w:val="-3"/>
          <w:w w:val="105"/>
          <w:sz w:val="22"/>
        </w:rPr>
        <w:t>Tesorería</w:t>
      </w:r>
      <w:r>
        <w:rPr>
          <w:rFonts w:ascii="Times New Roman" w:hAnsi="Times New Roman"/>
          <w:color w:val="231F20"/>
          <w:spacing w:val="-17"/>
          <w:w w:val="105"/>
          <w:sz w:val="22"/>
        </w:rPr>
        <w:t> </w:t>
      </w:r>
      <w:r>
        <w:rPr>
          <w:rFonts w:ascii="Times New Roman" w:hAnsi="Times New Roman"/>
          <w:color w:val="231F20"/>
          <w:w w:val="105"/>
          <w:sz w:val="22"/>
        </w:rPr>
        <w:t>Municipal.</w:t>
      </w:r>
    </w:p>
    <w:p>
      <w:pPr>
        <w:pStyle w:val="ListParagraph"/>
        <w:numPr>
          <w:ilvl w:val="0"/>
          <w:numId w:val="24"/>
        </w:numPr>
        <w:tabs>
          <w:tab w:pos="911" w:val="left" w:leader="none"/>
        </w:tabs>
        <w:spacing w:line="240" w:lineRule="auto" w:before="47" w:after="0"/>
        <w:ind w:left="910" w:right="0" w:hanging="233"/>
        <w:jc w:val="left"/>
        <w:rPr>
          <w:rFonts w:ascii="Times New Roman" w:hAnsi="Times New Roman"/>
          <w:sz w:val="22"/>
        </w:rPr>
      </w:pPr>
      <w:r>
        <w:rPr>
          <w:rFonts w:ascii="Times New Roman" w:hAnsi="Times New Roman"/>
          <w:color w:val="231F20"/>
          <w:w w:val="105"/>
          <w:sz w:val="22"/>
        </w:rPr>
        <w:t>Contraloría</w:t>
      </w:r>
      <w:r>
        <w:rPr>
          <w:rFonts w:ascii="Times New Roman" w:hAnsi="Times New Roman"/>
          <w:color w:val="231F20"/>
          <w:spacing w:val="16"/>
          <w:w w:val="105"/>
          <w:sz w:val="22"/>
        </w:rPr>
        <w:t> </w:t>
      </w:r>
      <w:r>
        <w:rPr>
          <w:rFonts w:ascii="Times New Roman" w:hAnsi="Times New Roman"/>
          <w:color w:val="231F20"/>
          <w:w w:val="105"/>
          <w:sz w:val="22"/>
        </w:rPr>
        <w:t>Interna.</w:t>
      </w:r>
    </w:p>
    <w:p>
      <w:pPr>
        <w:pStyle w:val="ListParagraph"/>
        <w:numPr>
          <w:ilvl w:val="0"/>
          <w:numId w:val="24"/>
        </w:numPr>
        <w:tabs>
          <w:tab w:pos="1014" w:val="left" w:leader="none"/>
        </w:tabs>
        <w:spacing w:line="240" w:lineRule="auto" w:before="47" w:after="0"/>
        <w:ind w:left="1013" w:right="0" w:hanging="336"/>
        <w:jc w:val="left"/>
        <w:rPr>
          <w:rFonts w:ascii="Times New Roman" w:hAnsi="Times New Roman"/>
          <w:sz w:val="22"/>
        </w:rPr>
      </w:pPr>
      <w:r>
        <w:rPr>
          <w:rFonts w:ascii="Times New Roman" w:hAnsi="Times New Roman"/>
          <w:color w:val="231F20"/>
          <w:w w:val="105"/>
          <w:sz w:val="22"/>
        </w:rPr>
        <w:t>Dirección de</w:t>
      </w:r>
      <w:r>
        <w:rPr>
          <w:rFonts w:ascii="Times New Roman" w:hAnsi="Times New Roman"/>
          <w:color w:val="231F20"/>
          <w:spacing w:val="-43"/>
          <w:w w:val="105"/>
          <w:sz w:val="22"/>
        </w:rPr>
        <w:t> </w:t>
      </w:r>
      <w:r>
        <w:rPr>
          <w:rFonts w:ascii="Times New Roman" w:hAnsi="Times New Roman"/>
          <w:color w:val="231F20"/>
          <w:w w:val="105"/>
          <w:sz w:val="22"/>
        </w:rPr>
        <w:t>Personal</w:t>
      </w:r>
    </w:p>
    <w:p>
      <w:pPr>
        <w:pStyle w:val="ListParagraph"/>
        <w:numPr>
          <w:ilvl w:val="0"/>
          <w:numId w:val="24"/>
        </w:numPr>
        <w:tabs>
          <w:tab w:pos="1091" w:val="left" w:leader="none"/>
        </w:tabs>
        <w:spacing w:line="240" w:lineRule="auto" w:before="47" w:after="0"/>
        <w:ind w:left="1090" w:right="0" w:hanging="413"/>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18"/>
          <w:w w:val="105"/>
          <w:sz w:val="22"/>
        </w:rPr>
        <w:t> </w:t>
      </w:r>
      <w:r>
        <w:rPr>
          <w:rFonts w:ascii="Times New Roman" w:hAnsi="Times New Roman"/>
          <w:color w:val="231F20"/>
          <w:w w:val="105"/>
          <w:sz w:val="22"/>
        </w:rPr>
        <w:t>de</w:t>
      </w:r>
      <w:r>
        <w:rPr>
          <w:rFonts w:ascii="Times New Roman" w:hAnsi="Times New Roman"/>
          <w:color w:val="231F20"/>
          <w:spacing w:val="-18"/>
          <w:w w:val="105"/>
          <w:sz w:val="22"/>
        </w:rPr>
        <w:t> </w:t>
      </w:r>
      <w:r>
        <w:rPr>
          <w:rFonts w:ascii="Times New Roman" w:hAnsi="Times New Roman"/>
          <w:color w:val="231F20"/>
          <w:w w:val="105"/>
          <w:sz w:val="22"/>
        </w:rPr>
        <w:t>Obras</w:t>
      </w:r>
      <w:r>
        <w:rPr>
          <w:rFonts w:ascii="Times New Roman" w:hAnsi="Times New Roman"/>
          <w:color w:val="231F20"/>
          <w:spacing w:val="-18"/>
          <w:w w:val="105"/>
          <w:sz w:val="22"/>
        </w:rPr>
        <w:t> </w:t>
      </w:r>
      <w:r>
        <w:rPr>
          <w:rFonts w:ascii="Times New Roman" w:hAnsi="Times New Roman"/>
          <w:color w:val="231F20"/>
          <w:w w:val="105"/>
          <w:sz w:val="22"/>
        </w:rPr>
        <w:t>Públicas</w:t>
      </w:r>
      <w:r>
        <w:rPr>
          <w:rFonts w:ascii="Times New Roman" w:hAnsi="Times New Roman"/>
          <w:color w:val="231F20"/>
          <w:spacing w:val="-18"/>
          <w:w w:val="105"/>
          <w:sz w:val="22"/>
        </w:rPr>
        <w:t> </w:t>
      </w:r>
      <w:r>
        <w:rPr>
          <w:rFonts w:ascii="Times New Roman" w:hAnsi="Times New Roman"/>
          <w:color w:val="231F20"/>
          <w:w w:val="105"/>
          <w:sz w:val="22"/>
        </w:rPr>
        <w:t>y</w:t>
      </w:r>
      <w:r>
        <w:rPr>
          <w:rFonts w:ascii="Times New Roman" w:hAnsi="Times New Roman"/>
          <w:color w:val="231F20"/>
          <w:spacing w:val="-18"/>
          <w:w w:val="105"/>
          <w:sz w:val="22"/>
        </w:rPr>
        <w:t> </w:t>
      </w:r>
      <w:r>
        <w:rPr>
          <w:rFonts w:ascii="Times New Roman" w:hAnsi="Times New Roman"/>
          <w:color w:val="231F20"/>
          <w:w w:val="105"/>
          <w:sz w:val="22"/>
        </w:rPr>
        <w:t>Desarrollo</w:t>
      </w:r>
      <w:r>
        <w:rPr>
          <w:rFonts w:ascii="Times New Roman" w:hAnsi="Times New Roman"/>
          <w:color w:val="231F20"/>
          <w:spacing w:val="-18"/>
          <w:w w:val="105"/>
          <w:sz w:val="22"/>
        </w:rPr>
        <w:t> </w:t>
      </w:r>
      <w:r>
        <w:rPr>
          <w:rFonts w:ascii="Times New Roman" w:hAnsi="Times New Roman"/>
          <w:color w:val="231F20"/>
          <w:w w:val="105"/>
          <w:sz w:val="22"/>
        </w:rPr>
        <w:t>Urbano.</w:t>
      </w:r>
    </w:p>
    <w:p>
      <w:pPr>
        <w:pStyle w:val="ListParagraph"/>
        <w:numPr>
          <w:ilvl w:val="0"/>
          <w:numId w:val="24"/>
        </w:numPr>
        <w:tabs>
          <w:tab w:pos="1168" w:val="left" w:leader="none"/>
        </w:tabs>
        <w:spacing w:line="240" w:lineRule="auto" w:before="47" w:after="0"/>
        <w:ind w:left="1167" w:right="0" w:hanging="490"/>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26"/>
          <w:w w:val="105"/>
          <w:sz w:val="22"/>
        </w:rPr>
        <w:t> </w:t>
      </w:r>
      <w:r>
        <w:rPr>
          <w:rFonts w:ascii="Times New Roman" w:hAnsi="Times New Roman"/>
          <w:color w:val="231F20"/>
          <w:w w:val="105"/>
          <w:sz w:val="22"/>
        </w:rPr>
        <w:t>de</w:t>
      </w:r>
      <w:r>
        <w:rPr>
          <w:rFonts w:ascii="Times New Roman" w:hAnsi="Times New Roman"/>
          <w:color w:val="231F20"/>
          <w:spacing w:val="-26"/>
          <w:w w:val="105"/>
          <w:sz w:val="22"/>
        </w:rPr>
        <w:t> </w:t>
      </w:r>
      <w:r>
        <w:rPr>
          <w:rFonts w:ascii="Times New Roman" w:hAnsi="Times New Roman"/>
          <w:color w:val="231F20"/>
          <w:w w:val="105"/>
          <w:sz w:val="22"/>
        </w:rPr>
        <w:t>Seguridad</w:t>
      </w:r>
      <w:r>
        <w:rPr>
          <w:rFonts w:ascii="Times New Roman" w:hAnsi="Times New Roman"/>
          <w:color w:val="231F20"/>
          <w:spacing w:val="-26"/>
          <w:w w:val="105"/>
          <w:sz w:val="22"/>
        </w:rPr>
        <w:t> </w:t>
      </w:r>
      <w:r>
        <w:rPr>
          <w:rFonts w:ascii="Times New Roman" w:hAnsi="Times New Roman"/>
          <w:color w:val="231F20"/>
          <w:w w:val="105"/>
          <w:sz w:val="22"/>
        </w:rPr>
        <w:t>Pública.</w:t>
      </w:r>
    </w:p>
    <w:p>
      <w:pPr>
        <w:pStyle w:val="ListParagraph"/>
        <w:numPr>
          <w:ilvl w:val="0"/>
          <w:numId w:val="24"/>
        </w:numPr>
        <w:tabs>
          <w:tab w:pos="1013" w:val="left" w:leader="none"/>
        </w:tabs>
        <w:spacing w:line="240" w:lineRule="auto" w:before="47" w:after="0"/>
        <w:ind w:left="1012" w:right="0" w:hanging="335"/>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23"/>
          <w:w w:val="105"/>
          <w:sz w:val="22"/>
        </w:rPr>
        <w:t> </w:t>
      </w:r>
      <w:r>
        <w:rPr>
          <w:rFonts w:ascii="Times New Roman" w:hAnsi="Times New Roman"/>
          <w:color w:val="231F20"/>
          <w:w w:val="105"/>
          <w:sz w:val="22"/>
        </w:rPr>
        <w:t>de</w:t>
      </w:r>
      <w:r>
        <w:rPr>
          <w:rFonts w:ascii="Times New Roman" w:hAnsi="Times New Roman"/>
          <w:color w:val="231F20"/>
          <w:spacing w:val="-23"/>
          <w:w w:val="105"/>
          <w:sz w:val="22"/>
        </w:rPr>
        <w:t> </w:t>
      </w:r>
      <w:r>
        <w:rPr>
          <w:rFonts w:ascii="Times New Roman" w:hAnsi="Times New Roman"/>
          <w:color w:val="231F20"/>
          <w:w w:val="105"/>
          <w:sz w:val="22"/>
        </w:rPr>
        <w:t>Agua</w:t>
      </w:r>
      <w:r>
        <w:rPr>
          <w:rFonts w:ascii="Times New Roman" w:hAnsi="Times New Roman"/>
          <w:color w:val="231F20"/>
          <w:spacing w:val="-23"/>
          <w:w w:val="105"/>
          <w:sz w:val="22"/>
        </w:rPr>
        <w:t> </w:t>
      </w:r>
      <w:r>
        <w:rPr>
          <w:rFonts w:ascii="Times New Roman" w:hAnsi="Times New Roman"/>
          <w:color w:val="231F20"/>
          <w:w w:val="105"/>
          <w:sz w:val="22"/>
        </w:rPr>
        <w:t>Potable</w:t>
      </w:r>
      <w:r>
        <w:rPr>
          <w:rFonts w:ascii="Times New Roman" w:hAnsi="Times New Roman"/>
          <w:color w:val="231F20"/>
          <w:spacing w:val="-23"/>
          <w:w w:val="105"/>
          <w:sz w:val="22"/>
        </w:rPr>
        <w:t> </w:t>
      </w:r>
      <w:r>
        <w:rPr>
          <w:rFonts w:ascii="Times New Roman" w:hAnsi="Times New Roman"/>
          <w:color w:val="231F20"/>
          <w:w w:val="105"/>
          <w:sz w:val="22"/>
        </w:rPr>
        <w:t>y</w:t>
      </w:r>
      <w:r>
        <w:rPr>
          <w:rFonts w:ascii="Times New Roman" w:hAnsi="Times New Roman"/>
          <w:color w:val="231F20"/>
          <w:spacing w:val="-23"/>
          <w:w w:val="105"/>
          <w:sz w:val="22"/>
        </w:rPr>
        <w:t> </w:t>
      </w:r>
      <w:r>
        <w:rPr>
          <w:rFonts w:ascii="Times New Roman" w:hAnsi="Times New Roman"/>
          <w:color w:val="231F20"/>
          <w:w w:val="105"/>
          <w:sz w:val="22"/>
        </w:rPr>
        <w:t>Saneamiento.</w:t>
      </w:r>
    </w:p>
    <w:p>
      <w:pPr>
        <w:pStyle w:val="ListParagraph"/>
        <w:numPr>
          <w:ilvl w:val="0"/>
          <w:numId w:val="24"/>
        </w:numPr>
        <w:tabs>
          <w:tab w:pos="935" w:val="left" w:leader="none"/>
        </w:tabs>
        <w:spacing w:line="240" w:lineRule="auto" w:before="47" w:after="0"/>
        <w:ind w:left="934" w:right="0" w:hanging="257"/>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24"/>
          <w:w w:val="105"/>
          <w:sz w:val="22"/>
        </w:rPr>
        <w:t> </w:t>
      </w:r>
      <w:r>
        <w:rPr>
          <w:rFonts w:ascii="Times New Roman" w:hAnsi="Times New Roman"/>
          <w:color w:val="231F20"/>
          <w:w w:val="105"/>
          <w:sz w:val="22"/>
        </w:rPr>
        <w:t>de</w:t>
      </w:r>
      <w:r>
        <w:rPr>
          <w:rFonts w:ascii="Times New Roman" w:hAnsi="Times New Roman"/>
          <w:color w:val="231F20"/>
          <w:spacing w:val="-24"/>
          <w:w w:val="105"/>
          <w:sz w:val="22"/>
        </w:rPr>
        <w:t> </w:t>
      </w:r>
      <w:r>
        <w:rPr>
          <w:rFonts w:ascii="Times New Roman" w:hAnsi="Times New Roman"/>
          <w:color w:val="231F20"/>
          <w:w w:val="105"/>
          <w:sz w:val="22"/>
        </w:rPr>
        <w:t>Salud</w:t>
      </w:r>
      <w:r>
        <w:rPr>
          <w:rFonts w:ascii="Times New Roman" w:hAnsi="Times New Roman"/>
          <w:color w:val="231F20"/>
          <w:spacing w:val="-24"/>
          <w:w w:val="105"/>
          <w:sz w:val="22"/>
        </w:rPr>
        <w:t> </w:t>
      </w:r>
      <w:r>
        <w:rPr>
          <w:rFonts w:ascii="Times New Roman" w:hAnsi="Times New Roman"/>
          <w:color w:val="231F20"/>
          <w:w w:val="105"/>
          <w:sz w:val="22"/>
        </w:rPr>
        <w:t>Pública</w:t>
      </w:r>
      <w:r>
        <w:rPr>
          <w:rFonts w:ascii="Times New Roman" w:hAnsi="Times New Roman"/>
          <w:color w:val="231F20"/>
          <w:spacing w:val="-24"/>
          <w:w w:val="105"/>
          <w:sz w:val="22"/>
        </w:rPr>
        <w:t> </w:t>
      </w:r>
      <w:r>
        <w:rPr>
          <w:rFonts w:ascii="Times New Roman" w:hAnsi="Times New Roman"/>
          <w:color w:val="231F20"/>
          <w:w w:val="105"/>
          <w:sz w:val="22"/>
        </w:rPr>
        <w:t>Municipal.</w:t>
      </w:r>
    </w:p>
    <w:p>
      <w:pPr>
        <w:pStyle w:val="ListParagraph"/>
        <w:numPr>
          <w:ilvl w:val="0"/>
          <w:numId w:val="24"/>
        </w:numPr>
        <w:tabs>
          <w:tab w:pos="1014" w:val="left" w:leader="none"/>
        </w:tabs>
        <w:spacing w:line="240" w:lineRule="auto" w:before="47" w:after="0"/>
        <w:ind w:left="1013" w:right="0" w:hanging="336"/>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18"/>
          <w:w w:val="105"/>
          <w:sz w:val="22"/>
        </w:rPr>
        <w:t> </w:t>
      </w:r>
      <w:r>
        <w:rPr>
          <w:rFonts w:ascii="Times New Roman" w:hAnsi="Times New Roman"/>
          <w:color w:val="231F20"/>
          <w:w w:val="105"/>
          <w:sz w:val="22"/>
        </w:rPr>
        <w:t>de</w:t>
      </w:r>
      <w:r>
        <w:rPr>
          <w:rFonts w:ascii="Times New Roman" w:hAnsi="Times New Roman"/>
          <w:color w:val="231F20"/>
          <w:spacing w:val="-18"/>
          <w:w w:val="105"/>
          <w:sz w:val="22"/>
        </w:rPr>
        <w:t> </w:t>
      </w:r>
      <w:r>
        <w:rPr>
          <w:rFonts w:ascii="Times New Roman" w:hAnsi="Times New Roman"/>
          <w:color w:val="231F20"/>
          <w:w w:val="105"/>
          <w:sz w:val="22"/>
        </w:rPr>
        <w:t>Educación</w:t>
      </w:r>
      <w:r>
        <w:rPr>
          <w:rFonts w:ascii="Times New Roman" w:hAnsi="Times New Roman"/>
          <w:color w:val="231F20"/>
          <w:spacing w:val="-18"/>
          <w:w w:val="105"/>
          <w:sz w:val="22"/>
        </w:rPr>
        <w:t> </w:t>
      </w:r>
      <w:r>
        <w:rPr>
          <w:rFonts w:ascii="Times New Roman" w:hAnsi="Times New Roman"/>
          <w:color w:val="231F20"/>
          <w:w w:val="105"/>
          <w:sz w:val="22"/>
        </w:rPr>
        <w:t>y</w:t>
      </w:r>
      <w:r>
        <w:rPr>
          <w:rFonts w:ascii="Times New Roman" w:hAnsi="Times New Roman"/>
          <w:color w:val="231F20"/>
          <w:spacing w:val="-18"/>
          <w:w w:val="105"/>
          <w:sz w:val="22"/>
        </w:rPr>
        <w:t> </w:t>
      </w:r>
      <w:r>
        <w:rPr>
          <w:rFonts w:ascii="Times New Roman" w:hAnsi="Times New Roman"/>
          <w:color w:val="231F20"/>
          <w:w w:val="105"/>
          <w:sz w:val="22"/>
        </w:rPr>
        <w:t>Cultura</w:t>
      </w:r>
    </w:p>
    <w:p>
      <w:pPr>
        <w:pStyle w:val="ListParagraph"/>
        <w:numPr>
          <w:ilvl w:val="0"/>
          <w:numId w:val="24"/>
        </w:numPr>
        <w:tabs>
          <w:tab w:pos="1091" w:val="left" w:leader="none"/>
        </w:tabs>
        <w:spacing w:line="240" w:lineRule="auto" w:before="47" w:after="0"/>
        <w:ind w:left="1090" w:right="0" w:hanging="413"/>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Cultura</w:t>
      </w:r>
      <w:r>
        <w:rPr>
          <w:rFonts w:ascii="Times New Roman" w:hAnsi="Times New Roman"/>
          <w:color w:val="231F20"/>
          <w:spacing w:val="-15"/>
          <w:w w:val="105"/>
          <w:sz w:val="22"/>
        </w:rPr>
        <w:t> </w:t>
      </w:r>
      <w:r>
        <w:rPr>
          <w:rFonts w:ascii="Times New Roman" w:hAnsi="Times New Roman"/>
          <w:color w:val="231F20"/>
          <w:w w:val="105"/>
          <w:sz w:val="22"/>
        </w:rPr>
        <w:t>Física</w:t>
      </w:r>
      <w:r>
        <w:rPr>
          <w:rFonts w:ascii="Times New Roman" w:hAnsi="Times New Roman"/>
          <w:color w:val="231F20"/>
          <w:spacing w:val="-15"/>
          <w:w w:val="105"/>
          <w:sz w:val="22"/>
        </w:rPr>
        <w:t> </w:t>
      </w:r>
      <w:r>
        <w:rPr>
          <w:rFonts w:ascii="Times New Roman" w:hAnsi="Times New Roman"/>
          <w:color w:val="231F20"/>
          <w:w w:val="105"/>
          <w:sz w:val="22"/>
        </w:rPr>
        <w:t>y</w:t>
      </w:r>
      <w:r>
        <w:rPr>
          <w:rFonts w:ascii="Times New Roman" w:hAnsi="Times New Roman"/>
          <w:color w:val="231F20"/>
          <w:spacing w:val="-15"/>
          <w:w w:val="105"/>
          <w:sz w:val="22"/>
        </w:rPr>
        <w:t> </w:t>
      </w:r>
      <w:r>
        <w:rPr>
          <w:rFonts w:ascii="Times New Roman" w:hAnsi="Times New Roman"/>
          <w:color w:val="231F20"/>
          <w:w w:val="105"/>
          <w:sz w:val="22"/>
        </w:rPr>
        <w:t>Deporte</w:t>
      </w:r>
    </w:p>
    <w:p>
      <w:pPr>
        <w:pStyle w:val="ListParagraph"/>
        <w:numPr>
          <w:ilvl w:val="0"/>
          <w:numId w:val="24"/>
        </w:numPr>
        <w:tabs>
          <w:tab w:pos="1168" w:val="left" w:leader="none"/>
        </w:tabs>
        <w:spacing w:line="240" w:lineRule="auto" w:before="47" w:after="0"/>
        <w:ind w:left="1167" w:right="0" w:hanging="490"/>
        <w:jc w:val="left"/>
        <w:rPr>
          <w:rFonts w:ascii="Times New Roman" w:hAnsi="Times New Roman"/>
          <w:sz w:val="22"/>
        </w:rPr>
      </w:pPr>
      <w:r>
        <w:rPr>
          <w:rFonts w:ascii="Times New Roman" w:hAnsi="Times New Roman"/>
          <w:color w:val="231F20"/>
          <w:sz w:val="22"/>
        </w:rPr>
        <w:t>Dirección de Electrificación y Alumbrado </w:t>
      </w:r>
      <w:r>
        <w:rPr>
          <w:rFonts w:ascii="Times New Roman" w:hAnsi="Times New Roman"/>
          <w:color w:val="231F20"/>
          <w:spacing w:val="44"/>
          <w:sz w:val="22"/>
        </w:rPr>
        <w:t> </w:t>
      </w:r>
      <w:r>
        <w:rPr>
          <w:rFonts w:ascii="Times New Roman" w:hAnsi="Times New Roman"/>
          <w:color w:val="231F20"/>
          <w:sz w:val="22"/>
        </w:rPr>
        <w:t>Público</w:t>
      </w:r>
    </w:p>
    <w:p>
      <w:pPr>
        <w:pStyle w:val="ListParagraph"/>
        <w:numPr>
          <w:ilvl w:val="0"/>
          <w:numId w:val="24"/>
        </w:numPr>
        <w:tabs>
          <w:tab w:pos="1147" w:val="left" w:leader="none"/>
        </w:tabs>
        <w:spacing w:line="240" w:lineRule="auto" w:before="47" w:after="0"/>
        <w:ind w:left="1146" w:right="0" w:hanging="469"/>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19"/>
          <w:w w:val="105"/>
          <w:sz w:val="22"/>
        </w:rPr>
        <w:t> </w:t>
      </w:r>
      <w:r>
        <w:rPr>
          <w:rFonts w:ascii="Times New Roman" w:hAnsi="Times New Roman"/>
          <w:color w:val="231F20"/>
          <w:w w:val="105"/>
          <w:sz w:val="22"/>
        </w:rPr>
        <w:t>de</w:t>
      </w:r>
      <w:r>
        <w:rPr>
          <w:rFonts w:ascii="Times New Roman" w:hAnsi="Times New Roman"/>
          <w:color w:val="231F20"/>
          <w:spacing w:val="-19"/>
          <w:w w:val="105"/>
          <w:sz w:val="22"/>
        </w:rPr>
        <w:t> </w:t>
      </w:r>
      <w:r>
        <w:rPr>
          <w:rFonts w:ascii="Times New Roman" w:hAnsi="Times New Roman"/>
          <w:color w:val="231F20"/>
          <w:w w:val="105"/>
          <w:sz w:val="22"/>
        </w:rPr>
        <w:t>Tianguis</w:t>
      </w:r>
      <w:r>
        <w:rPr>
          <w:rFonts w:ascii="Times New Roman" w:hAnsi="Times New Roman"/>
          <w:color w:val="231F20"/>
          <w:spacing w:val="-19"/>
          <w:w w:val="105"/>
          <w:sz w:val="22"/>
        </w:rPr>
        <w:t> </w:t>
      </w:r>
      <w:r>
        <w:rPr>
          <w:rFonts w:ascii="Times New Roman" w:hAnsi="Times New Roman"/>
          <w:color w:val="231F20"/>
          <w:w w:val="105"/>
          <w:sz w:val="22"/>
        </w:rPr>
        <w:t>y</w:t>
      </w:r>
      <w:r>
        <w:rPr>
          <w:rFonts w:ascii="Times New Roman" w:hAnsi="Times New Roman"/>
          <w:color w:val="231F20"/>
          <w:spacing w:val="-19"/>
          <w:w w:val="105"/>
          <w:sz w:val="22"/>
        </w:rPr>
        <w:t> </w:t>
      </w:r>
      <w:r>
        <w:rPr>
          <w:rFonts w:ascii="Times New Roman" w:hAnsi="Times New Roman"/>
          <w:color w:val="231F20"/>
          <w:w w:val="105"/>
          <w:sz w:val="22"/>
        </w:rPr>
        <w:t>Mercados</w:t>
      </w:r>
    </w:p>
    <w:p>
      <w:pPr>
        <w:pStyle w:val="ListParagraph"/>
        <w:numPr>
          <w:ilvl w:val="0"/>
          <w:numId w:val="24"/>
        </w:numPr>
        <w:tabs>
          <w:tab w:pos="1068" w:val="left" w:leader="none"/>
        </w:tabs>
        <w:spacing w:line="240" w:lineRule="auto" w:before="47" w:after="0"/>
        <w:ind w:left="1067" w:right="0" w:hanging="390"/>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27"/>
          <w:w w:val="105"/>
          <w:sz w:val="22"/>
        </w:rPr>
        <w:t> </w:t>
      </w:r>
      <w:r>
        <w:rPr>
          <w:rFonts w:ascii="Times New Roman" w:hAnsi="Times New Roman"/>
          <w:color w:val="231F20"/>
          <w:w w:val="105"/>
          <w:sz w:val="22"/>
        </w:rPr>
        <w:t>de</w:t>
      </w:r>
      <w:r>
        <w:rPr>
          <w:rFonts w:ascii="Times New Roman" w:hAnsi="Times New Roman"/>
          <w:color w:val="231F20"/>
          <w:spacing w:val="-27"/>
          <w:w w:val="105"/>
          <w:sz w:val="22"/>
        </w:rPr>
        <w:t> </w:t>
      </w:r>
      <w:r>
        <w:rPr>
          <w:rFonts w:ascii="Times New Roman" w:hAnsi="Times New Roman"/>
          <w:color w:val="231F20"/>
          <w:w w:val="105"/>
          <w:sz w:val="22"/>
        </w:rPr>
        <w:t>Protección</w:t>
      </w:r>
      <w:r>
        <w:rPr>
          <w:rFonts w:ascii="Times New Roman" w:hAnsi="Times New Roman"/>
          <w:color w:val="231F20"/>
          <w:spacing w:val="-27"/>
          <w:w w:val="105"/>
          <w:sz w:val="22"/>
        </w:rPr>
        <w:t> </w:t>
      </w:r>
      <w:r>
        <w:rPr>
          <w:rFonts w:ascii="Times New Roman" w:hAnsi="Times New Roman"/>
          <w:color w:val="231F20"/>
          <w:w w:val="105"/>
          <w:sz w:val="22"/>
        </w:rPr>
        <w:t>Civil.</w:t>
      </w:r>
    </w:p>
    <w:p>
      <w:pPr>
        <w:pStyle w:val="ListParagraph"/>
        <w:numPr>
          <w:ilvl w:val="0"/>
          <w:numId w:val="24"/>
        </w:numPr>
        <w:tabs>
          <w:tab w:pos="1170" w:val="left" w:leader="none"/>
        </w:tabs>
        <w:spacing w:line="240" w:lineRule="auto" w:before="47" w:after="0"/>
        <w:ind w:left="1169" w:right="0" w:hanging="492"/>
        <w:jc w:val="left"/>
        <w:rPr>
          <w:rFonts w:ascii="Times New Roman" w:hAnsi="Times New Roman"/>
          <w:sz w:val="22"/>
        </w:rPr>
      </w:pPr>
      <w:r>
        <w:rPr>
          <w:rFonts w:ascii="Times New Roman" w:hAnsi="Times New Roman"/>
          <w:color w:val="231F20"/>
          <w:sz w:val="22"/>
        </w:rPr>
        <w:t>Dirección de</w:t>
      </w:r>
      <w:r>
        <w:rPr>
          <w:rFonts w:ascii="Times New Roman" w:hAnsi="Times New Roman"/>
          <w:color w:val="231F20"/>
          <w:spacing w:val="15"/>
          <w:sz w:val="22"/>
        </w:rPr>
        <w:t> </w:t>
      </w:r>
      <w:r>
        <w:rPr>
          <w:rFonts w:ascii="Times New Roman" w:hAnsi="Times New Roman"/>
          <w:color w:val="231F20"/>
          <w:sz w:val="22"/>
        </w:rPr>
        <w:t>Ecología.</w:t>
      </w:r>
    </w:p>
    <w:p>
      <w:pPr>
        <w:spacing w:after="0" w:line="240" w:lineRule="auto"/>
        <w:jc w:val="left"/>
        <w:rPr>
          <w:rFonts w:ascii="Times New Roman" w:hAnsi="Times New Roman"/>
          <w:sz w:val="22"/>
        </w:rPr>
        <w:sectPr>
          <w:pgSz w:w="9640" w:h="12190"/>
          <w:pgMar w:header="0" w:footer="743" w:top="1120" w:bottom="940" w:left="740" w:right="740"/>
        </w:sectPr>
      </w:pPr>
    </w:p>
    <w:p>
      <w:pPr>
        <w:pStyle w:val="BodyText"/>
        <w:spacing w:before="3"/>
        <w:rPr>
          <w:sz w:val="11"/>
        </w:rPr>
      </w:pPr>
    </w:p>
    <w:p>
      <w:pPr>
        <w:pStyle w:val="ListParagraph"/>
        <w:numPr>
          <w:ilvl w:val="0"/>
          <w:numId w:val="24"/>
        </w:numPr>
        <w:tabs>
          <w:tab w:pos="1247" w:val="left" w:leader="none"/>
        </w:tabs>
        <w:spacing w:line="240" w:lineRule="auto" w:before="36" w:after="0"/>
        <w:ind w:left="1246" w:right="0" w:hanging="569"/>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spacing w:val="-3"/>
          <w:w w:val="105"/>
          <w:sz w:val="22"/>
        </w:rPr>
        <w:t>Turismo,</w:t>
      </w:r>
      <w:r>
        <w:rPr>
          <w:rFonts w:ascii="Times New Roman" w:hAnsi="Times New Roman"/>
          <w:color w:val="231F20"/>
          <w:spacing w:val="-21"/>
          <w:w w:val="105"/>
          <w:sz w:val="22"/>
        </w:rPr>
        <w:t> </w:t>
      </w:r>
      <w:r>
        <w:rPr>
          <w:rFonts w:ascii="Times New Roman" w:hAnsi="Times New Roman"/>
          <w:color w:val="231F20"/>
          <w:w w:val="105"/>
          <w:sz w:val="22"/>
        </w:rPr>
        <w:t>Empleo,</w:t>
      </w:r>
      <w:r>
        <w:rPr>
          <w:rFonts w:ascii="Times New Roman" w:hAnsi="Times New Roman"/>
          <w:color w:val="231F20"/>
          <w:spacing w:val="-21"/>
          <w:w w:val="105"/>
          <w:sz w:val="22"/>
        </w:rPr>
        <w:t> </w:t>
      </w:r>
      <w:r>
        <w:rPr>
          <w:rFonts w:ascii="Times New Roman" w:hAnsi="Times New Roman"/>
          <w:color w:val="231F20"/>
          <w:w w:val="105"/>
          <w:sz w:val="22"/>
        </w:rPr>
        <w:t>y</w:t>
      </w:r>
      <w:r>
        <w:rPr>
          <w:rFonts w:ascii="Times New Roman" w:hAnsi="Times New Roman"/>
          <w:color w:val="231F20"/>
          <w:spacing w:val="-21"/>
          <w:w w:val="105"/>
          <w:sz w:val="22"/>
        </w:rPr>
        <w:t> </w:t>
      </w:r>
      <w:r>
        <w:rPr>
          <w:rFonts w:ascii="Times New Roman" w:hAnsi="Times New Roman"/>
          <w:color w:val="231F20"/>
          <w:w w:val="105"/>
          <w:sz w:val="22"/>
        </w:rPr>
        <w:t>Desarrollo</w:t>
      </w:r>
      <w:r>
        <w:rPr>
          <w:rFonts w:ascii="Times New Roman" w:hAnsi="Times New Roman"/>
          <w:color w:val="231F20"/>
          <w:spacing w:val="-21"/>
          <w:w w:val="105"/>
          <w:sz w:val="22"/>
        </w:rPr>
        <w:t> </w:t>
      </w:r>
      <w:r>
        <w:rPr>
          <w:rFonts w:ascii="Times New Roman" w:hAnsi="Times New Roman"/>
          <w:color w:val="231F20"/>
          <w:spacing w:val="2"/>
          <w:w w:val="105"/>
          <w:sz w:val="22"/>
        </w:rPr>
        <w:t>Artesanal.</w:t>
      </w:r>
    </w:p>
    <w:p>
      <w:pPr>
        <w:pStyle w:val="ListParagraph"/>
        <w:numPr>
          <w:ilvl w:val="0"/>
          <w:numId w:val="24"/>
        </w:numPr>
        <w:tabs>
          <w:tab w:pos="1324" w:val="left" w:leader="none"/>
        </w:tabs>
        <w:spacing w:line="240" w:lineRule="auto" w:before="47" w:after="0"/>
        <w:ind w:left="1323" w:right="0" w:hanging="646"/>
        <w:jc w:val="left"/>
        <w:rPr>
          <w:rFonts w:ascii="Times New Roman" w:hAnsi="Times New Roman"/>
          <w:sz w:val="22"/>
        </w:rPr>
      </w:pPr>
      <w:r>
        <w:rPr>
          <w:rFonts w:ascii="Times New Roman" w:hAnsi="Times New Roman"/>
          <w:color w:val="231F20"/>
          <w:w w:val="105"/>
          <w:sz w:val="22"/>
        </w:rPr>
        <w:t>Dirección</w:t>
      </w:r>
      <w:r>
        <w:rPr>
          <w:rFonts w:ascii="Times New Roman" w:hAnsi="Times New Roman"/>
          <w:color w:val="231F20"/>
          <w:spacing w:val="-20"/>
          <w:w w:val="105"/>
          <w:sz w:val="22"/>
        </w:rPr>
        <w:t> </w:t>
      </w:r>
      <w:r>
        <w:rPr>
          <w:rFonts w:ascii="Times New Roman" w:hAnsi="Times New Roman"/>
          <w:color w:val="231F20"/>
          <w:w w:val="105"/>
          <w:sz w:val="22"/>
        </w:rPr>
        <w:t>de</w:t>
      </w:r>
      <w:r>
        <w:rPr>
          <w:rFonts w:ascii="Times New Roman" w:hAnsi="Times New Roman"/>
          <w:color w:val="231F20"/>
          <w:spacing w:val="-20"/>
          <w:w w:val="105"/>
          <w:sz w:val="22"/>
        </w:rPr>
        <w:t> </w:t>
      </w:r>
      <w:r>
        <w:rPr>
          <w:rFonts w:ascii="Times New Roman" w:hAnsi="Times New Roman"/>
          <w:color w:val="231F20"/>
          <w:w w:val="105"/>
          <w:sz w:val="22"/>
        </w:rPr>
        <w:t>Desarrollo</w:t>
      </w:r>
      <w:r>
        <w:rPr>
          <w:rFonts w:ascii="Times New Roman" w:hAnsi="Times New Roman"/>
          <w:color w:val="231F20"/>
          <w:spacing w:val="-20"/>
          <w:w w:val="105"/>
          <w:sz w:val="22"/>
        </w:rPr>
        <w:t> </w:t>
      </w:r>
      <w:r>
        <w:rPr>
          <w:rFonts w:ascii="Times New Roman" w:hAnsi="Times New Roman"/>
          <w:color w:val="231F20"/>
          <w:w w:val="105"/>
          <w:sz w:val="22"/>
        </w:rPr>
        <w:t>Agropecuario</w:t>
      </w:r>
      <w:r>
        <w:rPr>
          <w:rFonts w:ascii="Times New Roman" w:hAnsi="Times New Roman"/>
          <w:color w:val="231F20"/>
          <w:spacing w:val="-20"/>
          <w:w w:val="105"/>
          <w:sz w:val="22"/>
        </w:rPr>
        <w:t> </w:t>
      </w:r>
      <w:r>
        <w:rPr>
          <w:rFonts w:ascii="Times New Roman" w:hAnsi="Times New Roman"/>
          <w:color w:val="231F20"/>
          <w:w w:val="105"/>
          <w:sz w:val="22"/>
        </w:rPr>
        <w:t>y</w:t>
      </w:r>
      <w:r>
        <w:rPr>
          <w:rFonts w:ascii="Times New Roman" w:hAnsi="Times New Roman"/>
          <w:color w:val="231F20"/>
          <w:spacing w:val="-20"/>
          <w:w w:val="105"/>
          <w:sz w:val="22"/>
        </w:rPr>
        <w:t> </w:t>
      </w:r>
      <w:r>
        <w:rPr>
          <w:rFonts w:ascii="Times New Roman" w:hAnsi="Times New Roman"/>
          <w:color w:val="231F20"/>
          <w:w w:val="105"/>
          <w:sz w:val="22"/>
        </w:rPr>
        <w:t>Forestal</w:t>
      </w:r>
    </w:p>
    <w:p>
      <w:pPr>
        <w:pStyle w:val="ListParagraph"/>
        <w:numPr>
          <w:ilvl w:val="0"/>
          <w:numId w:val="24"/>
        </w:numPr>
        <w:tabs>
          <w:tab w:pos="1171" w:val="left" w:leader="none"/>
        </w:tabs>
        <w:spacing w:line="240" w:lineRule="auto" w:before="47" w:after="0"/>
        <w:ind w:left="1171" w:right="0" w:hanging="494"/>
        <w:jc w:val="left"/>
        <w:rPr>
          <w:rFonts w:ascii="Times New Roman" w:hAnsi="Times New Roman"/>
          <w:sz w:val="22"/>
        </w:rPr>
      </w:pPr>
      <w:r>
        <w:rPr>
          <w:rFonts w:ascii="Times New Roman" w:hAnsi="Times New Roman"/>
          <w:color w:val="231F20"/>
          <w:sz w:val="22"/>
        </w:rPr>
        <w:t>Oficialía</w:t>
      </w:r>
      <w:r>
        <w:rPr>
          <w:rFonts w:ascii="Times New Roman" w:hAnsi="Times New Roman"/>
          <w:color w:val="231F20"/>
          <w:spacing w:val="29"/>
          <w:sz w:val="22"/>
        </w:rPr>
        <w:t> </w:t>
      </w:r>
      <w:r>
        <w:rPr>
          <w:rFonts w:ascii="Times New Roman" w:hAnsi="Times New Roman"/>
          <w:color w:val="231F20"/>
          <w:spacing w:val="-4"/>
          <w:sz w:val="22"/>
        </w:rPr>
        <w:t>Mayor.</w:t>
      </w:r>
    </w:p>
    <w:p>
      <w:pPr>
        <w:pStyle w:val="ListParagraph"/>
        <w:numPr>
          <w:ilvl w:val="0"/>
          <w:numId w:val="24"/>
        </w:numPr>
        <w:tabs>
          <w:tab w:pos="1094" w:val="left" w:leader="none"/>
        </w:tabs>
        <w:spacing w:line="240" w:lineRule="auto" w:before="47" w:after="0"/>
        <w:ind w:left="1094" w:right="0" w:hanging="417"/>
        <w:jc w:val="left"/>
        <w:rPr>
          <w:rFonts w:ascii="Times New Roman" w:hAnsi="Times New Roman"/>
          <w:sz w:val="22"/>
        </w:rPr>
      </w:pPr>
      <w:r>
        <w:rPr>
          <w:rFonts w:ascii="Times New Roman" w:hAnsi="Times New Roman"/>
          <w:color w:val="231F20"/>
          <w:sz w:val="22"/>
        </w:rPr>
        <w:t>Oficialía del Registro</w:t>
      </w:r>
      <w:r>
        <w:rPr>
          <w:rFonts w:ascii="Times New Roman" w:hAnsi="Times New Roman"/>
          <w:color w:val="231F20"/>
          <w:spacing w:val="9"/>
          <w:sz w:val="22"/>
        </w:rPr>
        <w:t> </w:t>
      </w:r>
      <w:r>
        <w:rPr>
          <w:rFonts w:ascii="Times New Roman" w:hAnsi="Times New Roman"/>
          <w:color w:val="231F20"/>
          <w:sz w:val="22"/>
        </w:rPr>
        <w:t>Civil.</w:t>
      </w:r>
    </w:p>
    <w:p>
      <w:pPr>
        <w:pStyle w:val="ListParagraph"/>
        <w:numPr>
          <w:ilvl w:val="0"/>
          <w:numId w:val="24"/>
        </w:numPr>
        <w:tabs>
          <w:tab w:pos="1173" w:val="left" w:leader="none"/>
        </w:tabs>
        <w:spacing w:line="240" w:lineRule="auto" w:before="47" w:after="0"/>
        <w:ind w:left="1172" w:right="0" w:hanging="495"/>
        <w:jc w:val="left"/>
        <w:rPr>
          <w:rFonts w:ascii="Times New Roman" w:hAnsi="Times New Roman"/>
          <w:sz w:val="22"/>
        </w:rPr>
      </w:pPr>
      <w:r>
        <w:rPr>
          <w:rFonts w:ascii="Times New Roman" w:hAnsi="Times New Roman"/>
          <w:color w:val="231F20"/>
          <w:sz w:val="22"/>
        </w:rPr>
        <w:t>Oficialía Conciliadora y </w:t>
      </w:r>
      <w:r>
        <w:rPr>
          <w:rFonts w:ascii="Times New Roman" w:hAnsi="Times New Roman"/>
          <w:color w:val="231F20"/>
          <w:spacing w:val="7"/>
          <w:sz w:val="22"/>
        </w:rPr>
        <w:t> </w:t>
      </w:r>
      <w:r>
        <w:rPr>
          <w:rFonts w:ascii="Times New Roman" w:hAnsi="Times New Roman"/>
          <w:color w:val="231F20"/>
          <w:sz w:val="22"/>
        </w:rPr>
        <w:t>Calificadora.</w:t>
      </w:r>
    </w:p>
    <w:p>
      <w:pPr>
        <w:pStyle w:val="ListParagraph"/>
        <w:numPr>
          <w:ilvl w:val="0"/>
          <w:numId w:val="24"/>
        </w:numPr>
        <w:tabs>
          <w:tab w:pos="1250" w:val="left" w:leader="none"/>
        </w:tabs>
        <w:spacing w:line="240" w:lineRule="auto" w:before="47" w:after="0"/>
        <w:ind w:left="1249" w:right="0" w:hanging="572"/>
        <w:jc w:val="left"/>
        <w:rPr>
          <w:rFonts w:ascii="Times New Roman"/>
          <w:sz w:val="22"/>
        </w:rPr>
      </w:pPr>
      <w:r>
        <w:rPr>
          <w:rFonts w:ascii="Times New Roman"/>
          <w:color w:val="231F20"/>
          <w:w w:val="105"/>
          <w:sz w:val="22"/>
        </w:rPr>
        <w:t>Sistema</w:t>
      </w:r>
      <w:r>
        <w:rPr>
          <w:rFonts w:ascii="Times New Roman"/>
          <w:color w:val="231F20"/>
          <w:spacing w:val="-15"/>
          <w:w w:val="105"/>
          <w:sz w:val="22"/>
        </w:rPr>
        <w:t> </w:t>
      </w:r>
      <w:r>
        <w:rPr>
          <w:rFonts w:ascii="Times New Roman"/>
          <w:color w:val="231F20"/>
          <w:w w:val="105"/>
          <w:sz w:val="22"/>
        </w:rPr>
        <w:t>Municipal</w:t>
      </w:r>
      <w:r>
        <w:rPr>
          <w:rFonts w:ascii="Times New Roman"/>
          <w:color w:val="231F20"/>
          <w:spacing w:val="-15"/>
          <w:w w:val="105"/>
          <w:sz w:val="22"/>
        </w:rPr>
        <w:t> </w:t>
      </w:r>
      <w:r>
        <w:rPr>
          <w:rFonts w:ascii="Times New Roman"/>
          <w:color w:val="231F20"/>
          <w:w w:val="105"/>
          <w:sz w:val="22"/>
        </w:rPr>
        <w:t>para</w:t>
      </w:r>
      <w:r>
        <w:rPr>
          <w:rFonts w:ascii="Times New Roman"/>
          <w:color w:val="231F20"/>
          <w:spacing w:val="-15"/>
          <w:w w:val="105"/>
          <w:sz w:val="22"/>
        </w:rPr>
        <w:t> </w:t>
      </w:r>
      <w:r>
        <w:rPr>
          <w:rFonts w:ascii="Times New Roman"/>
          <w:color w:val="231F20"/>
          <w:w w:val="105"/>
          <w:sz w:val="22"/>
        </w:rPr>
        <w:t>el</w:t>
      </w:r>
      <w:r>
        <w:rPr>
          <w:rFonts w:ascii="Times New Roman"/>
          <w:color w:val="231F20"/>
          <w:spacing w:val="-15"/>
          <w:w w:val="105"/>
          <w:sz w:val="22"/>
        </w:rPr>
        <w:t> </w:t>
      </w:r>
      <w:r>
        <w:rPr>
          <w:rFonts w:ascii="Times New Roman"/>
          <w:color w:val="231F20"/>
          <w:w w:val="105"/>
          <w:sz w:val="22"/>
        </w:rPr>
        <w:t>Desarrollo</w:t>
      </w:r>
      <w:r>
        <w:rPr>
          <w:rFonts w:ascii="Times New Roman"/>
          <w:color w:val="231F20"/>
          <w:spacing w:val="-15"/>
          <w:w w:val="105"/>
          <w:sz w:val="22"/>
        </w:rPr>
        <w:t> </w:t>
      </w:r>
      <w:r>
        <w:rPr>
          <w:rFonts w:ascii="Times New Roman"/>
          <w:color w:val="231F20"/>
          <w:w w:val="105"/>
          <w:sz w:val="22"/>
        </w:rPr>
        <w:t>Integral</w:t>
      </w:r>
      <w:r>
        <w:rPr>
          <w:rFonts w:ascii="Times New Roman"/>
          <w:color w:val="231F20"/>
          <w:spacing w:val="-15"/>
          <w:w w:val="105"/>
          <w:sz w:val="22"/>
        </w:rPr>
        <w:t> </w:t>
      </w:r>
      <w:r>
        <w:rPr>
          <w:rFonts w:ascii="Times New Roman"/>
          <w:color w:val="231F20"/>
          <w:w w:val="105"/>
          <w:sz w:val="22"/>
        </w:rPr>
        <w:t>de</w:t>
      </w:r>
      <w:r>
        <w:rPr>
          <w:rFonts w:ascii="Times New Roman"/>
          <w:color w:val="231F20"/>
          <w:spacing w:val="-15"/>
          <w:w w:val="105"/>
          <w:sz w:val="22"/>
        </w:rPr>
        <w:t> </w:t>
      </w:r>
      <w:r>
        <w:rPr>
          <w:rFonts w:ascii="Times New Roman"/>
          <w:color w:val="231F20"/>
          <w:w w:val="105"/>
          <w:sz w:val="22"/>
        </w:rPr>
        <w:t>la</w:t>
      </w:r>
      <w:r>
        <w:rPr>
          <w:rFonts w:ascii="Times New Roman"/>
          <w:color w:val="231F20"/>
          <w:spacing w:val="-15"/>
          <w:w w:val="105"/>
          <w:sz w:val="22"/>
        </w:rPr>
        <w:t> </w:t>
      </w:r>
      <w:r>
        <w:rPr>
          <w:rFonts w:ascii="Times New Roman"/>
          <w:color w:val="231F20"/>
          <w:w w:val="105"/>
          <w:sz w:val="22"/>
        </w:rPr>
        <w:t>Familia.</w:t>
      </w:r>
    </w:p>
    <w:p>
      <w:pPr>
        <w:pStyle w:val="ListParagraph"/>
        <w:numPr>
          <w:ilvl w:val="0"/>
          <w:numId w:val="24"/>
        </w:numPr>
        <w:tabs>
          <w:tab w:pos="1327" w:val="left" w:leader="none"/>
        </w:tabs>
        <w:spacing w:line="240" w:lineRule="auto" w:before="47" w:after="0"/>
        <w:ind w:left="1326" w:right="0" w:hanging="649"/>
        <w:jc w:val="left"/>
        <w:rPr>
          <w:rFonts w:ascii="Times New Roman" w:hAnsi="Times New Roman"/>
          <w:sz w:val="22"/>
        </w:rPr>
      </w:pPr>
      <w:r>
        <w:rPr>
          <w:rFonts w:ascii="Times New Roman" w:hAnsi="Times New Roman"/>
          <w:color w:val="231F20"/>
          <w:sz w:val="22"/>
        </w:rPr>
        <w:t>Dirección de Transporte y </w:t>
      </w:r>
      <w:r>
        <w:rPr>
          <w:rFonts w:ascii="Times New Roman" w:hAnsi="Times New Roman"/>
          <w:color w:val="231F20"/>
          <w:spacing w:val="35"/>
          <w:sz w:val="22"/>
        </w:rPr>
        <w:t> </w:t>
      </w:r>
      <w:r>
        <w:rPr>
          <w:rFonts w:ascii="Times New Roman" w:hAnsi="Times New Roman"/>
          <w:color w:val="231F20"/>
          <w:sz w:val="22"/>
        </w:rPr>
        <w:t>Vialidad.</w:t>
      </w:r>
    </w:p>
    <w:p>
      <w:pPr>
        <w:pStyle w:val="ListParagraph"/>
        <w:numPr>
          <w:ilvl w:val="0"/>
          <w:numId w:val="24"/>
        </w:numPr>
        <w:tabs>
          <w:tab w:pos="1306" w:val="left" w:leader="none"/>
        </w:tabs>
        <w:spacing w:line="240" w:lineRule="auto" w:before="47" w:after="0"/>
        <w:ind w:left="1305" w:right="0" w:hanging="628"/>
        <w:jc w:val="left"/>
        <w:rPr>
          <w:rFonts w:ascii="Times New Roman"/>
          <w:sz w:val="22"/>
        </w:rPr>
      </w:pPr>
      <w:r>
        <w:rPr>
          <w:rFonts w:ascii="Times New Roman"/>
          <w:color w:val="231F20"/>
          <w:sz w:val="22"/>
        </w:rPr>
        <w:t>Delegados</w:t>
      </w:r>
      <w:r>
        <w:rPr>
          <w:rFonts w:ascii="Times New Roman"/>
          <w:color w:val="231F20"/>
          <w:spacing w:val="37"/>
          <w:sz w:val="22"/>
        </w:rPr>
        <w:t> </w:t>
      </w:r>
      <w:r>
        <w:rPr>
          <w:rFonts w:ascii="Times New Roman"/>
          <w:color w:val="231F20"/>
          <w:sz w:val="22"/>
        </w:rPr>
        <w:t>Municipales</w:t>
      </w:r>
    </w:p>
    <w:p>
      <w:pPr>
        <w:pStyle w:val="BodyText"/>
        <w:spacing w:before="2"/>
        <w:rPr>
          <w:sz w:val="30"/>
        </w:rPr>
      </w:pPr>
    </w:p>
    <w:p>
      <w:pPr>
        <w:pStyle w:val="BodyText"/>
        <w:spacing w:line="285" w:lineRule="auto"/>
        <w:ind w:left="110" w:right="108"/>
        <w:jc w:val="both"/>
      </w:pPr>
      <w:r>
        <w:rPr>
          <w:color w:val="231F20"/>
        </w:rPr>
        <w:t>Es una estructura amplia que permitiría una especialización para cada una de las activi- dades necesaria y con ello brindar un buen servicio a los ciudadanos del municipio.</w:t>
      </w:r>
    </w:p>
    <w:p>
      <w:pPr>
        <w:pStyle w:val="BodyText"/>
        <w:spacing w:before="9"/>
      </w:pPr>
    </w:p>
    <w:p>
      <w:pPr>
        <w:pStyle w:val="Heading3"/>
        <w:numPr>
          <w:ilvl w:val="1"/>
          <w:numId w:val="23"/>
        </w:numPr>
        <w:tabs>
          <w:tab w:pos="518" w:val="left" w:leader="none"/>
        </w:tabs>
        <w:spacing w:line="240" w:lineRule="auto" w:before="1" w:after="0"/>
        <w:ind w:left="517" w:right="0" w:hanging="407"/>
        <w:jc w:val="both"/>
        <w:rPr>
          <w:color w:val="231F20"/>
        </w:rPr>
      </w:pPr>
      <w:r>
        <w:rPr>
          <w:color w:val="231F20"/>
        </w:rPr>
        <w:t>Planeación </w:t>
      </w:r>
      <w:r>
        <w:rPr>
          <w:color w:val="231F20"/>
          <w:spacing w:val="3"/>
        </w:rPr>
        <w:t> </w:t>
      </w:r>
      <w:r>
        <w:rPr>
          <w:color w:val="231F20"/>
        </w:rPr>
        <w:t>Municipal</w:t>
      </w:r>
    </w:p>
    <w:p>
      <w:pPr>
        <w:pStyle w:val="BodyText"/>
        <w:spacing w:line="285" w:lineRule="auto" w:before="38"/>
        <w:ind w:left="110" w:right="108"/>
        <w:jc w:val="both"/>
      </w:pPr>
      <w:r>
        <w:rPr>
          <w:color w:val="231F20"/>
          <w:w w:val="105"/>
        </w:rPr>
        <w:t>La</w:t>
      </w:r>
      <w:r>
        <w:rPr>
          <w:color w:val="231F20"/>
          <w:spacing w:val="-23"/>
          <w:w w:val="105"/>
        </w:rPr>
        <w:t> </w:t>
      </w:r>
      <w:r>
        <w:rPr>
          <w:color w:val="231F20"/>
          <w:w w:val="105"/>
        </w:rPr>
        <w:t>Constitución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Mexicanos</w:t>
      </w:r>
      <w:r>
        <w:rPr>
          <w:color w:val="231F20"/>
          <w:spacing w:val="-23"/>
          <w:w w:val="105"/>
        </w:rPr>
        <w:t> </w:t>
      </w:r>
      <w:r>
        <w:rPr>
          <w:color w:val="231F20"/>
          <w:w w:val="105"/>
        </w:rPr>
        <w:t>manifiesta</w:t>
      </w:r>
      <w:r>
        <w:rPr>
          <w:color w:val="231F20"/>
          <w:spacing w:val="-23"/>
          <w:w w:val="105"/>
        </w:rPr>
        <w:t> </w:t>
      </w:r>
      <w:r>
        <w:rPr>
          <w:color w:val="231F20"/>
          <w:w w:val="105"/>
        </w:rPr>
        <w:t>en</w:t>
      </w:r>
      <w:r>
        <w:rPr>
          <w:color w:val="231F20"/>
          <w:spacing w:val="-23"/>
          <w:w w:val="105"/>
        </w:rPr>
        <w:t> </w:t>
      </w:r>
      <w:r>
        <w:rPr>
          <w:color w:val="231F20"/>
          <w:w w:val="105"/>
        </w:rPr>
        <w:t>su</w:t>
      </w:r>
      <w:r>
        <w:rPr>
          <w:color w:val="231F20"/>
          <w:spacing w:val="-23"/>
          <w:w w:val="105"/>
        </w:rPr>
        <w:t> </w:t>
      </w:r>
      <w:r>
        <w:rPr>
          <w:color w:val="231F20"/>
          <w:w w:val="105"/>
        </w:rPr>
        <w:t>artículo</w:t>
      </w:r>
      <w:r>
        <w:rPr>
          <w:color w:val="231F20"/>
          <w:spacing w:val="-23"/>
          <w:w w:val="105"/>
        </w:rPr>
        <w:t> </w:t>
      </w:r>
      <w:r>
        <w:rPr>
          <w:color w:val="231F20"/>
          <w:w w:val="105"/>
        </w:rPr>
        <w:t>26</w:t>
      </w:r>
      <w:r>
        <w:rPr>
          <w:color w:val="231F20"/>
          <w:spacing w:val="-23"/>
          <w:w w:val="105"/>
        </w:rPr>
        <w:t> </w:t>
      </w:r>
      <w:r>
        <w:rPr>
          <w:color w:val="231F20"/>
          <w:w w:val="105"/>
        </w:rPr>
        <w:t>la</w:t>
      </w:r>
      <w:r>
        <w:rPr>
          <w:color w:val="231F20"/>
          <w:spacing w:val="-23"/>
          <w:w w:val="105"/>
        </w:rPr>
        <w:t> </w:t>
      </w:r>
      <w:r>
        <w:rPr>
          <w:color w:val="231F20"/>
          <w:w w:val="105"/>
        </w:rPr>
        <w:t>obliga- ción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participación</w:t>
      </w:r>
      <w:r>
        <w:rPr>
          <w:color w:val="231F20"/>
          <w:spacing w:val="-11"/>
          <w:w w:val="105"/>
        </w:rPr>
        <w:t> </w:t>
      </w:r>
      <w:r>
        <w:rPr>
          <w:color w:val="231F20"/>
          <w:w w:val="105"/>
        </w:rPr>
        <w:t>ciudadana</w:t>
      </w:r>
      <w:r>
        <w:rPr>
          <w:color w:val="231F20"/>
          <w:spacing w:val="-11"/>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w:t>
      </w:r>
      <w:r>
        <w:rPr>
          <w:color w:val="231F20"/>
          <w:spacing w:val="-11"/>
          <w:w w:val="105"/>
        </w:rPr>
        <w:t> </w:t>
      </w:r>
      <w:r>
        <w:rPr>
          <w:color w:val="231F20"/>
          <w:w w:val="105"/>
        </w:rPr>
        <w:t>sus</w:t>
      </w:r>
      <w:r>
        <w:rPr>
          <w:color w:val="231F20"/>
          <w:spacing w:val="-11"/>
          <w:w w:val="105"/>
        </w:rPr>
        <w:t> </w:t>
      </w:r>
      <w:r>
        <w:rPr>
          <w:color w:val="231F20"/>
          <w:w w:val="105"/>
        </w:rPr>
        <w:t>propuestas</w:t>
      </w:r>
      <w:r>
        <w:rPr>
          <w:color w:val="231F20"/>
          <w:spacing w:val="-11"/>
          <w:w w:val="105"/>
        </w:rPr>
        <w:t> </w:t>
      </w:r>
      <w:r>
        <w:rPr>
          <w:color w:val="231F20"/>
          <w:w w:val="105"/>
        </w:rPr>
        <w:t>para</w:t>
      </w:r>
      <w:r>
        <w:rPr>
          <w:color w:val="231F20"/>
          <w:spacing w:val="-11"/>
          <w:w w:val="105"/>
        </w:rPr>
        <w:t> </w:t>
      </w:r>
      <w:r>
        <w:rPr>
          <w:color w:val="231F20"/>
          <w:w w:val="105"/>
        </w:rPr>
        <w:t>orientar</w:t>
      </w:r>
      <w:r>
        <w:rPr>
          <w:color w:val="231F20"/>
          <w:spacing w:val="-11"/>
          <w:w w:val="105"/>
        </w:rPr>
        <w:t> </w:t>
      </w:r>
      <w:r>
        <w:rPr>
          <w:color w:val="231F20"/>
          <w:w w:val="105"/>
        </w:rPr>
        <w:t>el</w:t>
      </w:r>
      <w:r>
        <w:rPr>
          <w:color w:val="231F20"/>
          <w:spacing w:val="-11"/>
          <w:w w:val="105"/>
        </w:rPr>
        <w:t> </w:t>
      </w:r>
      <w:r>
        <w:rPr>
          <w:color w:val="231F20"/>
          <w:w w:val="105"/>
        </w:rPr>
        <w:t>desarrollo nacional mediante la planeación democrática. El Bando Municipal de Ozumba en su artículo</w:t>
      </w:r>
      <w:r>
        <w:rPr>
          <w:color w:val="231F20"/>
          <w:spacing w:val="-17"/>
          <w:w w:val="105"/>
        </w:rPr>
        <w:t> </w:t>
      </w:r>
      <w:r>
        <w:rPr>
          <w:color w:val="231F20"/>
          <w:w w:val="105"/>
        </w:rPr>
        <w:t>124</w:t>
      </w:r>
      <w:r>
        <w:rPr>
          <w:color w:val="231F20"/>
          <w:spacing w:val="-17"/>
          <w:w w:val="105"/>
        </w:rPr>
        <w:t> </w:t>
      </w:r>
      <w:r>
        <w:rPr>
          <w:color w:val="231F20"/>
          <w:w w:val="105"/>
        </w:rPr>
        <w:t>especifica</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Dirección</w:t>
      </w:r>
      <w:r>
        <w:rPr>
          <w:color w:val="231F20"/>
          <w:spacing w:val="-17"/>
          <w:w w:val="105"/>
        </w:rPr>
        <w:t> </w:t>
      </w:r>
      <w:r>
        <w:rPr>
          <w:color w:val="231F20"/>
          <w:w w:val="105"/>
        </w:rPr>
        <w:t>de</w:t>
      </w:r>
      <w:r>
        <w:rPr>
          <w:color w:val="231F20"/>
          <w:spacing w:val="-17"/>
          <w:w w:val="105"/>
        </w:rPr>
        <w:t> </w:t>
      </w:r>
      <w:r>
        <w:rPr>
          <w:color w:val="231F20"/>
          <w:w w:val="105"/>
        </w:rPr>
        <w:t>Obras</w:t>
      </w:r>
      <w:r>
        <w:rPr>
          <w:color w:val="231F20"/>
          <w:spacing w:val="-17"/>
          <w:w w:val="105"/>
        </w:rPr>
        <w:t> </w:t>
      </w:r>
      <w:r>
        <w:rPr>
          <w:color w:val="231F20"/>
          <w:w w:val="105"/>
        </w:rPr>
        <w:t>Públicas</w:t>
      </w:r>
      <w:r>
        <w:rPr>
          <w:color w:val="231F20"/>
          <w:spacing w:val="-17"/>
          <w:w w:val="105"/>
        </w:rPr>
        <w:t> </w:t>
      </w:r>
      <w:r>
        <w:rPr>
          <w:color w:val="231F20"/>
          <w:w w:val="105"/>
        </w:rPr>
        <w:t>y</w:t>
      </w:r>
      <w:r>
        <w:rPr>
          <w:color w:val="231F20"/>
          <w:spacing w:val="-17"/>
          <w:w w:val="105"/>
        </w:rPr>
        <w:t> </w:t>
      </w:r>
      <w:r>
        <w:rPr>
          <w:color w:val="231F20"/>
          <w:w w:val="105"/>
        </w:rPr>
        <w:t>Desarrollo</w:t>
      </w:r>
      <w:r>
        <w:rPr>
          <w:color w:val="231F20"/>
          <w:spacing w:val="-17"/>
          <w:w w:val="105"/>
        </w:rPr>
        <w:t> </w:t>
      </w:r>
      <w:r>
        <w:rPr>
          <w:color w:val="231F20"/>
          <w:w w:val="105"/>
        </w:rPr>
        <w:t>Urbano</w:t>
      </w:r>
      <w:r>
        <w:rPr>
          <w:color w:val="231F20"/>
          <w:spacing w:val="-17"/>
          <w:w w:val="105"/>
        </w:rPr>
        <w:t> </w:t>
      </w:r>
      <w:r>
        <w:rPr>
          <w:color w:val="231F20"/>
          <w:w w:val="105"/>
        </w:rPr>
        <w:t>cuenta con</w:t>
      </w:r>
      <w:r>
        <w:rPr>
          <w:color w:val="231F20"/>
          <w:spacing w:val="-25"/>
          <w:w w:val="105"/>
        </w:rPr>
        <w:t> </w:t>
      </w:r>
      <w:r>
        <w:rPr>
          <w:color w:val="231F20"/>
          <w:w w:val="105"/>
        </w:rPr>
        <w:t>las</w:t>
      </w:r>
      <w:r>
        <w:rPr>
          <w:color w:val="231F20"/>
          <w:spacing w:val="-25"/>
          <w:w w:val="105"/>
        </w:rPr>
        <w:t> </w:t>
      </w:r>
      <w:r>
        <w:rPr>
          <w:color w:val="231F20"/>
          <w:w w:val="105"/>
        </w:rPr>
        <w:t>siguientes</w:t>
      </w:r>
      <w:r>
        <w:rPr>
          <w:color w:val="231F20"/>
          <w:spacing w:val="-25"/>
          <w:w w:val="105"/>
        </w:rPr>
        <w:t> </w:t>
      </w:r>
      <w:r>
        <w:rPr>
          <w:color w:val="231F20"/>
          <w:w w:val="105"/>
        </w:rPr>
        <w:t>atribuciones:</w:t>
      </w:r>
    </w:p>
    <w:p>
      <w:pPr>
        <w:pStyle w:val="ListParagraph"/>
        <w:numPr>
          <w:ilvl w:val="0"/>
          <w:numId w:val="25"/>
        </w:numPr>
        <w:tabs>
          <w:tab w:pos="863" w:val="left" w:leader="none"/>
        </w:tabs>
        <w:spacing w:line="285" w:lineRule="auto" w:before="1" w:after="0"/>
        <w:ind w:left="677" w:right="108" w:firstLine="0"/>
        <w:jc w:val="left"/>
        <w:rPr>
          <w:rFonts w:ascii="Times New Roman" w:hAnsi="Times New Roman"/>
          <w:sz w:val="22"/>
        </w:rPr>
      </w:pPr>
      <w:r>
        <w:rPr>
          <w:rFonts w:ascii="Times New Roman" w:hAnsi="Times New Roman"/>
          <w:color w:val="231F20"/>
          <w:sz w:val="22"/>
        </w:rPr>
        <w:t>Elaborar, publicar y ejecutar los planes de desarrollo urbano, los de centros de población, sus reglamentos y proceder a la evaluación y modificación de los mis- mos, en congruencia con los planes Municipal y Estatal de Desarrollo Urbano.    “II. Fomentar la participación de la ciudadanía en la elaboración, ejecución y eva- luación del Plan Municipal de Desarrollo Urbano, el de Centro de </w:t>
      </w:r>
      <w:r>
        <w:rPr>
          <w:rFonts w:ascii="Times New Roman" w:hAnsi="Times New Roman"/>
          <w:color w:val="231F20"/>
          <w:spacing w:val="-3"/>
          <w:sz w:val="22"/>
        </w:rPr>
        <w:t>Población </w:t>
      </w:r>
      <w:r>
        <w:rPr>
          <w:rFonts w:ascii="Times New Roman" w:hAnsi="Times New Roman"/>
          <w:color w:val="231F20"/>
          <w:sz w:val="22"/>
        </w:rPr>
        <w:t>y los planes parciales de desarrollo  </w:t>
      </w:r>
      <w:r>
        <w:rPr>
          <w:rFonts w:ascii="Times New Roman" w:hAnsi="Times New Roman"/>
          <w:color w:val="231F20"/>
          <w:spacing w:val="8"/>
          <w:sz w:val="22"/>
        </w:rPr>
        <w:t> </w:t>
      </w:r>
      <w:r>
        <w:rPr>
          <w:rFonts w:ascii="Times New Roman" w:hAnsi="Times New Roman"/>
          <w:color w:val="231F20"/>
          <w:sz w:val="22"/>
        </w:rPr>
        <w:t>urbano.</w:t>
      </w:r>
    </w:p>
    <w:p>
      <w:pPr>
        <w:pStyle w:val="BodyText"/>
        <w:spacing w:before="1"/>
        <w:rPr>
          <w:sz w:val="26"/>
        </w:rPr>
      </w:pPr>
    </w:p>
    <w:p>
      <w:pPr>
        <w:pStyle w:val="BodyText"/>
        <w:spacing w:line="285" w:lineRule="auto"/>
        <w:ind w:left="110" w:right="107"/>
        <w:jc w:val="both"/>
      </w:pPr>
      <w:r>
        <w:rPr>
          <w:color w:val="231F20"/>
          <w:w w:val="105"/>
        </w:rPr>
        <w:t>Sin embargo, en el Segundo Informe de Gobierno Municipal, se explica que debido a la insuficiencia de recursos presupuestales y la escasez de personal, con capacidad de desarrollar</w:t>
      </w:r>
      <w:r>
        <w:rPr>
          <w:color w:val="231F20"/>
          <w:spacing w:val="-10"/>
          <w:w w:val="105"/>
        </w:rPr>
        <w:t> </w:t>
      </w:r>
      <w:r>
        <w:rPr>
          <w:color w:val="231F20"/>
          <w:w w:val="105"/>
        </w:rPr>
        <w:t>las</w:t>
      </w:r>
      <w:r>
        <w:rPr>
          <w:color w:val="231F20"/>
          <w:spacing w:val="-10"/>
          <w:w w:val="105"/>
        </w:rPr>
        <w:t> </w:t>
      </w:r>
      <w:r>
        <w:rPr>
          <w:color w:val="231F20"/>
          <w:w w:val="105"/>
        </w:rPr>
        <w:t>funciones</w:t>
      </w:r>
      <w:r>
        <w:rPr>
          <w:color w:val="231F20"/>
          <w:spacing w:val="-10"/>
          <w:w w:val="105"/>
        </w:rPr>
        <w:t> </w:t>
      </w:r>
      <w:r>
        <w:rPr>
          <w:color w:val="231F20"/>
          <w:w w:val="105"/>
        </w:rPr>
        <w:t>de</w:t>
      </w:r>
      <w:r>
        <w:rPr>
          <w:color w:val="231F20"/>
          <w:spacing w:val="-10"/>
          <w:w w:val="105"/>
        </w:rPr>
        <w:t> </w:t>
      </w:r>
      <w:r>
        <w:rPr>
          <w:color w:val="231F20"/>
          <w:w w:val="105"/>
        </w:rPr>
        <w:t>planeación,</w:t>
      </w:r>
      <w:r>
        <w:rPr>
          <w:color w:val="231F20"/>
          <w:spacing w:val="-10"/>
          <w:w w:val="105"/>
        </w:rPr>
        <w:t> </w:t>
      </w:r>
      <w:r>
        <w:rPr>
          <w:color w:val="231F20"/>
          <w:w w:val="105"/>
        </w:rPr>
        <w:t>programación</w:t>
      </w:r>
      <w:r>
        <w:rPr>
          <w:color w:val="231F20"/>
          <w:spacing w:val="-10"/>
          <w:w w:val="105"/>
        </w:rPr>
        <w:t> </w:t>
      </w:r>
      <w:r>
        <w:rPr>
          <w:color w:val="231F20"/>
          <w:w w:val="105"/>
        </w:rPr>
        <w:t>seguimiento</w:t>
      </w:r>
      <w:r>
        <w:rPr>
          <w:color w:val="231F20"/>
          <w:spacing w:val="-10"/>
          <w:w w:val="105"/>
        </w:rPr>
        <w:t> </w:t>
      </w:r>
      <w:r>
        <w:rPr>
          <w:color w:val="231F20"/>
          <w:w w:val="105"/>
        </w:rPr>
        <w:t>y</w:t>
      </w:r>
      <w:r>
        <w:rPr>
          <w:color w:val="231F20"/>
          <w:spacing w:val="-10"/>
          <w:w w:val="105"/>
        </w:rPr>
        <w:t> </w:t>
      </w:r>
      <w:r>
        <w:rPr>
          <w:color w:val="231F20"/>
          <w:w w:val="105"/>
        </w:rPr>
        <w:t>evaluación,</w:t>
      </w:r>
      <w:r>
        <w:rPr>
          <w:color w:val="231F20"/>
          <w:spacing w:val="-10"/>
          <w:w w:val="105"/>
        </w:rPr>
        <w:t> </w:t>
      </w:r>
      <w:r>
        <w:rPr>
          <w:color w:val="231F20"/>
          <w:w w:val="105"/>
        </w:rPr>
        <w:t>no</w:t>
      </w:r>
      <w:r>
        <w:rPr>
          <w:color w:val="231F20"/>
          <w:spacing w:val="-10"/>
          <w:w w:val="105"/>
        </w:rPr>
        <w:t> </w:t>
      </w:r>
      <w:r>
        <w:rPr>
          <w:color w:val="231F20"/>
          <w:w w:val="105"/>
        </w:rPr>
        <w:t>se ha creado la Unidad de Planeación. </w:t>
      </w:r>
      <w:r>
        <w:rPr>
          <w:color w:val="231F20"/>
          <w:spacing w:val="-3"/>
          <w:w w:val="105"/>
        </w:rPr>
        <w:t>Pero </w:t>
      </w:r>
      <w:r>
        <w:rPr>
          <w:color w:val="231F20"/>
          <w:w w:val="105"/>
        </w:rPr>
        <w:t>las funciones sustantivas de planeación, pro- gramación</w:t>
      </w:r>
      <w:r>
        <w:rPr>
          <w:color w:val="231F20"/>
          <w:spacing w:val="-7"/>
          <w:w w:val="105"/>
        </w:rPr>
        <w:t> </w:t>
      </w:r>
      <w:r>
        <w:rPr>
          <w:color w:val="231F20"/>
          <w:w w:val="105"/>
        </w:rPr>
        <w:t>y</w:t>
      </w:r>
      <w:r>
        <w:rPr>
          <w:color w:val="231F20"/>
          <w:spacing w:val="-7"/>
          <w:w w:val="105"/>
        </w:rPr>
        <w:t> </w:t>
      </w:r>
      <w:r>
        <w:rPr>
          <w:color w:val="231F20"/>
          <w:w w:val="105"/>
        </w:rPr>
        <w:t>evaluación</w:t>
      </w:r>
      <w:r>
        <w:rPr>
          <w:color w:val="231F20"/>
          <w:spacing w:val="-7"/>
          <w:w w:val="105"/>
        </w:rPr>
        <w:t> </w:t>
      </w:r>
      <w:r>
        <w:rPr>
          <w:color w:val="231F20"/>
          <w:w w:val="105"/>
        </w:rPr>
        <w:t>se</w:t>
      </w:r>
      <w:r>
        <w:rPr>
          <w:color w:val="231F20"/>
          <w:spacing w:val="-7"/>
          <w:w w:val="105"/>
        </w:rPr>
        <w:t> </w:t>
      </w:r>
      <w:r>
        <w:rPr>
          <w:color w:val="231F20"/>
          <w:w w:val="105"/>
        </w:rPr>
        <w:t>han</w:t>
      </w:r>
      <w:r>
        <w:rPr>
          <w:color w:val="231F20"/>
          <w:spacing w:val="-7"/>
          <w:w w:val="105"/>
        </w:rPr>
        <w:t> </w:t>
      </w:r>
      <w:r>
        <w:rPr>
          <w:color w:val="231F20"/>
          <w:w w:val="105"/>
        </w:rPr>
        <w:t>venido</w:t>
      </w:r>
      <w:r>
        <w:rPr>
          <w:color w:val="231F20"/>
          <w:spacing w:val="-7"/>
          <w:w w:val="105"/>
        </w:rPr>
        <w:t> </w:t>
      </w:r>
      <w:r>
        <w:rPr>
          <w:color w:val="231F20"/>
          <w:w w:val="105"/>
        </w:rPr>
        <w:t>realizando</w:t>
      </w:r>
      <w:r>
        <w:rPr>
          <w:color w:val="231F20"/>
          <w:spacing w:val="-7"/>
          <w:w w:val="105"/>
        </w:rPr>
        <w:t> </w:t>
      </w:r>
      <w:r>
        <w:rPr>
          <w:color w:val="231F20"/>
          <w:w w:val="105"/>
        </w:rPr>
        <w:t>vía</w:t>
      </w:r>
      <w:r>
        <w:rPr>
          <w:color w:val="231F20"/>
          <w:spacing w:val="-7"/>
          <w:w w:val="105"/>
        </w:rPr>
        <w:t> </w:t>
      </w:r>
      <w:r>
        <w:rPr>
          <w:color w:val="231F20"/>
          <w:w w:val="105"/>
        </w:rPr>
        <w:t>una</w:t>
      </w:r>
      <w:r>
        <w:rPr>
          <w:color w:val="231F20"/>
          <w:spacing w:val="-7"/>
          <w:w w:val="105"/>
        </w:rPr>
        <w:t> </w:t>
      </w:r>
      <w:r>
        <w:rPr>
          <w:color w:val="231F20"/>
          <w:w w:val="105"/>
        </w:rPr>
        <w:t>asesoría</w:t>
      </w:r>
      <w:r>
        <w:rPr>
          <w:color w:val="231F20"/>
          <w:spacing w:val="-7"/>
          <w:w w:val="105"/>
        </w:rPr>
        <w:t> </w:t>
      </w:r>
      <w:r>
        <w:rPr>
          <w:color w:val="231F20"/>
          <w:w w:val="105"/>
        </w:rPr>
        <w:t>que</w:t>
      </w:r>
      <w:r>
        <w:rPr>
          <w:color w:val="231F20"/>
          <w:spacing w:val="-7"/>
          <w:w w:val="105"/>
        </w:rPr>
        <w:t> </w:t>
      </w:r>
      <w:r>
        <w:rPr>
          <w:color w:val="231F20"/>
          <w:w w:val="105"/>
        </w:rPr>
        <w:t>funcionalmente tiene</w:t>
      </w:r>
      <w:r>
        <w:rPr>
          <w:color w:val="231F20"/>
          <w:spacing w:val="-13"/>
          <w:w w:val="105"/>
        </w:rPr>
        <w:t> </w:t>
      </w:r>
      <w:r>
        <w:rPr>
          <w:color w:val="231F20"/>
          <w:w w:val="105"/>
        </w:rPr>
        <w:t>dependencia</w:t>
      </w:r>
      <w:r>
        <w:rPr>
          <w:color w:val="231F20"/>
          <w:spacing w:val="-13"/>
          <w:w w:val="105"/>
        </w:rPr>
        <w:t> </w:t>
      </w:r>
      <w:r>
        <w:rPr>
          <w:color w:val="231F20"/>
          <w:w w:val="105"/>
        </w:rPr>
        <w:t>directa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presidencia</w:t>
      </w:r>
      <w:r>
        <w:rPr>
          <w:color w:val="231F20"/>
          <w:spacing w:val="-13"/>
          <w:w w:val="105"/>
        </w:rPr>
        <w:t> </w:t>
      </w:r>
      <w:r>
        <w:rPr>
          <w:color w:val="231F20"/>
          <w:w w:val="105"/>
        </w:rPr>
        <w:t>municipal.</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presentación</w:t>
      </w:r>
      <w:r>
        <w:rPr>
          <w:color w:val="231F20"/>
          <w:spacing w:val="-14"/>
          <w:w w:val="105"/>
        </w:rPr>
        <w:t> </w:t>
      </w:r>
      <w:r>
        <w:rPr>
          <w:color w:val="231F20"/>
          <w:w w:val="105"/>
        </w:rPr>
        <w:t>del</w:t>
      </w:r>
      <w:r>
        <w:rPr>
          <w:color w:val="231F20"/>
          <w:spacing w:val="-14"/>
          <w:w w:val="105"/>
        </w:rPr>
        <w:t> </w:t>
      </w:r>
      <w:r>
        <w:rPr>
          <w:color w:val="231F20"/>
          <w:w w:val="105"/>
        </w:rPr>
        <w:t>Presidente</w:t>
      </w:r>
      <w:r>
        <w:rPr>
          <w:color w:val="231F20"/>
          <w:spacing w:val="-14"/>
          <w:w w:val="105"/>
        </w:rPr>
        <w:t> </w:t>
      </w:r>
      <w:r>
        <w:rPr>
          <w:color w:val="231F20"/>
          <w:w w:val="105"/>
        </w:rPr>
        <w:t>municipal</w:t>
      </w:r>
      <w:r>
        <w:rPr>
          <w:color w:val="231F20"/>
          <w:spacing w:val="-14"/>
          <w:w w:val="105"/>
        </w:rPr>
        <w:t> </w:t>
      </w:r>
      <w:r>
        <w:rPr>
          <w:color w:val="231F20"/>
          <w:w w:val="105"/>
        </w:rPr>
        <w:t>de</w:t>
      </w:r>
      <w:r>
        <w:rPr>
          <w:color w:val="231F20"/>
          <w:spacing w:val="-14"/>
          <w:w w:val="105"/>
        </w:rPr>
        <w:t> </w:t>
      </w:r>
      <w:r>
        <w:rPr>
          <w:color w:val="231F20"/>
          <w:w w:val="105"/>
        </w:rPr>
        <w:t>Ozumba,</w:t>
      </w:r>
      <w:r>
        <w:rPr>
          <w:color w:val="231F20"/>
          <w:spacing w:val="-14"/>
          <w:w w:val="105"/>
        </w:rPr>
        <w:t> </w:t>
      </w:r>
      <w:r>
        <w:rPr>
          <w:color w:val="231F20"/>
          <w:w w:val="105"/>
        </w:rPr>
        <w:t>Samuel</w:t>
      </w:r>
      <w:r>
        <w:rPr>
          <w:color w:val="231F20"/>
          <w:spacing w:val="-14"/>
          <w:w w:val="105"/>
        </w:rPr>
        <w:t> </w:t>
      </w:r>
      <w:r>
        <w:rPr>
          <w:color w:val="231F20"/>
          <w:w w:val="105"/>
        </w:rPr>
        <w:t>Martínez Andrade,</w:t>
      </w:r>
      <w:r>
        <w:rPr>
          <w:color w:val="231F20"/>
          <w:spacing w:val="-14"/>
          <w:w w:val="105"/>
        </w:rPr>
        <w:t> </w:t>
      </w:r>
      <w:r>
        <w:rPr>
          <w:color w:val="231F20"/>
          <w:w w:val="105"/>
        </w:rPr>
        <w:t>el</w:t>
      </w:r>
      <w:r>
        <w:rPr>
          <w:color w:val="231F20"/>
          <w:spacing w:val="-14"/>
          <w:w w:val="105"/>
        </w:rPr>
        <w:t> </w:t>
      </w:r>
      <w:r>
        <w:rPr>
          <w:color w:val="231F20"/>
          <w:w w:val="105"/>
        </w:rPr>
        <w:t>Plan</w:t>
      </w:r>
      <w:r>
        <w:rPr>
          <w:color w:val="231F20"/>
          <w:spacing w:val="-14"/>
          <w:w w:val="105"/>
        </w:rPr>
        <w:t> </w:t>
      </w:r>
      <w:r>
        <w:rPr>
          <w:color w:val="231F20"/>
          <w:w w:val="105"/>
        </w:rPr>
        <w:t>Municipal</w:t>
      </w:r>
      <w:r>
        <w:rPr>
          <w:color w:val="231F20"/>
          <w:spacing w:val="-14"/>
          <w:w w:val="105"/>
        </w:rPr>
        <w:t> </w:t>
      </w:r>
      <w:r>
        <w:rPr>
          <w:color w:val="231F20"/>
          <w:spacing w:val="2"/>
          <w:w w:val="105"/>
        </w:rPr>
        <w:t>2006-2009</w:t>
      </w:r>
      <w:r>
        <w:rPr>
          <w:color w:val="231F20"/>
          <w:spacing w:val="-14"/>
          <w:w w:val="105"/>
        </w:rPr>
        <w:t> </w:t>
      </w:r>
      <w:r>
        <w:rPr>
          <w:color w:val="231F20"/>
          <w:w w:val="105"/>
        </w:rPr>
        <w:t>tomó</w:t>
      </w:r>
      <w:r>
        <w:rPr>
          <w:color w:val="231F20"/>
          <w:spacing w:val="-14"/>
          <w:w w:val="105"/>
        </w:rPr>
        <w:t> </w:t>
      </w:r>
      <w:r>
        <w:rPr>
          <w:color w:val="231F20"/>
          <w:w w:val="105"/>
        </w:rPr>
        <w:t>en</w:t>
      </w:r>
      <w:r>
        <w:rPr>
          <w:color w:val="231F20"/>
          <w:spacing w:val="-14"/>
          <w:w w:val="105"/>
        </w:rPr>
        <w:t> </w:t>
      </w:r>
      <w:r>
        <w:rPr>
          <w:color w:val="231F20"/>
          <w:w w:val="105"/>
        </w:rPr>
        <w:t>cuenta</w:t>
      </w:r>
      <w:r>
        <w:rPr>
          <w:color w:val="231F20"/>
          <w:spacing w:val="-14"/>
          <w:w w:val="105"/>
        </w:rPr>
        <w:t> </w:t>
      </w:r>
      <w:r>
        <w:rPr>
          <w:color w:val="231F20"/>
          <w:w w:val="105"/>
        </w:rPr>
        <w:t>las</w:t>
      </w:r>
      <w:r>
        <w:rPr>
          <w:color w:val="231F20"/>
          <w:spacing w:val="-14"/>
          <w:w w:val="105"/>
        </w:rPr>
        <w:t> </w:t>
      </w:r>
      <w:r>
        <w:rPr>
          <w:color w:val="231F20"/>
          <w:w w:val="105"/>
        </w:rPr>
        <w:t>opiniones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ciudadanos para</w:t>
      </w:r>
      <w:r>
        <w:rPr>
          <w:color w:val="231F20"/>
          <w:spacing w:val="-10"/>
          <w:w w:val="105"/>
        </w:rPr>
        <w:t> </w:t>
      </w:r>
      <w:r>
        <w:rPr>
          <w:color w:val="231F20"/>
          <w:w w:val="105"/>
        </w:rPr>
        <w:t>priorizar</w:t>
      </w:r>
      <w:r>
        <w:rPr>
          <w:color w:val="231F20"/>
          <w:spacing w:val="-10"/>
          <w:w w:val="105"/>
        </w:rPr>
        <w:t> </w:t>
      </w:r>
      <w:r>
        <w:rPr>
          <w:color w:val="231F20"/>
          <w:w w:val="105"/>
        </w:rPr>
        <w:t>los</w:t>
      </w:r>
      <w:r>
        <w:rPr>
          <w:color w:val="231F20"/>
          <w:spacing w:val="-10"/>
          <w:w w:val="105"/>
        </w:rPr>
        <w:t> </w:t>
      </w:r>
      <w:r>
        <w:rPr>
          <w:color w:val="231F20"/>
          <w:w w:val="105"/>
        </w:rPr>
        <w:t>programas</w:t>
      </w:r>
      <w:r>
        <w:rPr>
          <w:color w:val="231F20"/>
          <w:spacing w:val="-10"/>
          <w:w w:val="105"/>
        </w:rPr>
        <w:t> </w:t>
      </w:r>
      <w:r>
        <w:rPr>
          <w:color w:val="231F20"/>
          <w:w w:val="105"/>
        </w:rPr>
        <w:t>y</w:t>
      </w:r>
      <w:r>
        <w:rPr>
          <w:color w:val="231F20"/>
          <w:spacing w:val="-10"/>
          <w:w w:val="105"/>
        </w:rPr>
        <w:t> </w:t>
      </w:r>
      <w:r>
        <w:rPr>
          <w:color w:val="231F20"/>
          <w:w w:val="105"/>
        </w:rPr>
        <w:t>acciones</w:t>
      </w:r>
      <w:r>
        <w:rPr>
          <w:color w:val="231F20"/>
          <w:spacing w:val="-10"/>
          <w:w w:val="105"/>
        </w:rPr>
        <w:t> </w:t>
      </w:r>
      <w:r>
        <w:rPr>
          <w:color w:val="231F20"/>
          <w:w w:val="105"/>
        </w:rPr>
        <w:t>a</w:t>
      </w:r>
      <w:r>
        <w:rPr>
          <w:color w:val="231F20"/>
          <w:spacing w:val="-10"/>
          <w:w w:val="105"/>
        </w:rPr>
        <w:t> </w:t>
      </w:r>
      <w:r>
        <w:rPr>
          <w:color w:val="231F20"/>
          <w:w w:val="105"/>
        </w:rPr>
        <w:t>realizar</w:t>
      </w:r>
      <w:r>
        <w:rPr>
          <w:color w:val="231F20"/>
          <w:spacing w:val="-10"/>
          <w:w w:val="105"/>
        </w:rPr>
        <w:t> </w:t>
      </w:r>
      <w:r>
        <w:rPr>
          <w:color w:val="231F20"/>
          <w:w w:val="105"/>
        </w:rPr>
        <w:t>durante</w:t>
      </w:r>
      <w:r>
        <w:rPr>
          <w:color w:val="231F20"/>
          <w:spacing w:val="-10"/>
          <w:w w:val="105"/>
        </w:rPr>
        <w:t> </w:t>
      </w:r>
      <w:r>
        <w:rPr>
          <w:color w:val="231F20"/>
          <w:w w:val="105"/>
        </w:rPr>
        <w:t>ese</w:t>
      </w:r>
      <w:r>
        <w:rPr>
          <w:color w:val="231F20"/>
          <w:spacing w:val="-10"/>
          <w:w w:val="105"/>
        </w:rPr>
        <w:t> </w:t>
      </w:r>
      <w:r>
        <w:rPr>
          <w:color w:val="231F20"/>
          <w:w w:val="105"/>
        </w:rPr>
        <w:t>periodo:</w:t>
      </w:r>
    </w:p>
    <w:p>
      <w:pPr>
        <w:pStyle w:val="BodyText"/>
        <w:spacing w:before="1"/>
        <w:rPr>
          <w:sz w:val="26"/>
        </w:rPr>
      </w:pPr>
    </w:p>
    <w:p>
      <w:pPr>
        <w:pStyle w:val="BodyText"/>
        <w:spacing w:line="285" w:lineRule="auto"/>
        <w:ind w:left="110" w:right="107"/>
        <w:jc w:val="both"/>
      </w:pPr>
      <w:r>
        <w:rPr>
          <w:color w:val="231F20"/>
          <w:w w:val="105"/>
        </w:rPr>
        <w:t>El Plan considera como punto de partida todas las propuestas y compromisos que se captaron durante la campaña, en los recorridos y en las reuniones que el Presidente Municipal</w:t>
      </w:r>
      <w:r>
        <w:rPr>
          <w:color w:val="231F20"/>
          <w:spacing w:val="-23"/>
          <w:w w:val="105"/>
        </w:rPr>
        <w:t> </w:t>
      </w:r>
      <w:r>
        <w:rPr>
          <w:color w:val="231F20"/>
          <w:w w:val="105"/>
        </w:rPr>
        <w:t>ha</w:t>
      </w:r>
      <w:r>
        <w:rPr>
          <w:color w:val="231F20"/>
          <w:spacing w:val="-23"/>
          <w:w w:val="105"/>
        </w:rPr>
        <w:t> </w:t>
      </w:r>
      <w:r>
        <w:rPr>
          <w:color w:val="231F20"/>
          <w:w w:val="105"/>
        </w:rPr>
        <w:t>hecho</w:t>
      </w:r>
      <w:r>
        <w:rPr>
          <w:color w:val="231F20"/>
          <w:spacing w:val="-23"/>
          <w:w w:val="105"/>
        </w:rPr>
        <w:t> </w:t>
      </w:r>
      <w:r>
        <w:rPr>
          <w:color w:val="231F20"/>
          <w:w w:val="105"/>
        </w:rPr>
        <w:t>por</w:t>
      </w:r>
      <w:r>
        <w:rPr>
          <w:color w:val="231F20"/>
          <w:spacing w:val="-23"/>
          <w:w w:val="105"/>
        </w:rPr>
        <w:t> </w:t>
      </w:r>
      <w:r>
        <w:rPr>
          <w:color w:val="231F20"/>
          <w:w w:val="105"/>
        </w:rPr>
        <w:t>las</w:t>
      </w:r>
      <w:r>
        <w:rPr>
          <w:color w:val="231F20"/>
          <w:spacing w:val="-23"/>
          <w:w w:val="105"/>
        </w:rPr>
        <w:t> </w:t>
      </w:r>
      <w:r>
        <w:rPr>
          <w:color w:val="231F20"/>
          <w:w w:val="105"/>
        </w:rPr>
        <w:t>Delegaciones</w:t>
      </w:r>
      <w:r>
        <w:rPr>
          <w:color w:val="231F20"/>
          <w:spacing w:val="-23"/>
          <w:w w:val="105"/>
        </w:rPr>
        <w:t> </w:t>
      </w:r>
      <w:r>
        <w:rPr>
          <w:color w:val="231F20"/>
          <w:w w:val="105"/>
        </w:rPr>
        <w:t>del</w:t>
      </w:r>
      <w:r>
        <w:rPr>
          <w:color w:val="231F20"/>
          <w:spacing w:val="-23"/>
          <w:w w:val="105"/>
        </w:rPr>
        <w:t> </w:t>
      </w:r>
      <w:r>
        <w:rPr>
          <w:color w:val="231F20"/>
          <w:w w:val="105"/>
        </w:rPr>
        <w:t>Municipio,</w:t>
      </w:r>
      <w:r>
        <w:rPr>
          <w:color w:val="231F20"/>
          <w:spacing w:val="-23"/>
          <w:w w:val="105"/>
        </w:rPr>
        <w:t> </w:t>
      </w:r>
      <w:r>
        <w:rPr>
          <w:color w:val="231F20"/>
          <w:w w:val="105"/>
        </w:rPr>
        <w:t>asimismo</w:t>
      </w:r>
      <w:r>
        <w:rPr>
          <w:color w:val="231F20"/>
          <w:spacing w:val="-23"/>
          <w:w w:val="105"/>
        </w:rPr>
        <w:t> </w:t>
      </w:r>
      <w:r>
        <w:rPr>
          <w:color w:val="231F20"/>
          <w:w w:val="105"/>
        </w:rPr>
        <w:t>los</w:t>
      </w:r>
      <w:r>
        <w:rPr>
          <w:color w:val="231F20"/>
          <w:spacing w:val="-23"/>
          <w:w w:val="105"/>
        </w:rPr>
        <w:t> </w:t>
      </w:r>
      <w:r>
        <w:rPr>
          <w:color w:val="231F20"/>
          <w:w w:val="105"/>
        </w:rPr>
        <w:t>Delegados</w:t>
      </w:r>
      <w:r>
        <w:rPr>
          <w:color w:val="231F20"/>
          <w:spacing w:val="-23"/>
          <w:w w:val="105"/>
        </w:rPr>
        <w:t> </w:t>
      </w:r>
      <w:r>
        <w:rPr>
          <w:color w:val="231F20"/>
          <w:w w:val="105"/>
        </w:rPr>
        <w:t>recién electos</w:t>
      </w:r>
      <w:r>
        <w:rPr>
          <w:color w:val="231F20"/>
          <w:spacing w:val="-11"/>
          <w:w w:val="105"/>
        </w:rPr>
        <w:t> </w:t>
      </w:r>
      <w:r>
        <w:rPr>
          <w:color w:val="231F20"/>
          <w:w w:val="105"/>
        </w:rPr>
        <w:t>han</w:t>
      </w:r>
      <w:r>
        <w:rPr>
          <w:color w:val="231F20"/>
          <w:spacing w:val="-11"/>
          <w:w w:val="105"/>
        </w:rPr>
        <w:t> </w:t>
      </w:r>
      <w:r>
        <w:rPr>
          <w:color w:val="231F20"/>
          <w:w w:val="105"/>
        </w:rPr>
        <w:t>realizado</w:t>
      </w:r>
      <w:r>
        <w:rPr>
          <w:color w:val="231F20"/>
          <w:spacing w:val="-11"/>
          <w:w w:val="105"/>
        </w:rPr>
        <w:t> </w:t>
      </w:r>
      <w:r>
        <w:rPr>
          <w:color w:val="231F20"/>
          <w:w w:val="105"/>
        </w:rPr>
        <w:t>reuniones</w:t>
      </w:r>
      <w:r>
        <w:rPr>
          <w:color w:val="231F20"/>
          <w:spacing w:val="-11"/>
          <w:w w:val="105"/>
        </w:rPr>
        <w:t> </w:t>
      </w:r>
      <w:r>
        <w:rPr>
          <w:color w:val="231F20"/>
          <w:w w:val="105"/>
        </w:rPr>
        <w:t>y</w:t>
      </w:r>
      <w:r>
        <w:rPr>
          <w:color w:val="231F20"/>
          <w:spacing w:val="-11"/>
          <w:w w:val="105"/>
        </w:rPr>
        <w:t> </w:t>
      </w:r>
      <w:r>
        <w:rPr>
          <w:color w:val="231F20"/>
          <w:w w:val="105"/>
        </w:rPr>
        <w:t>recorridos</w:t>
      </w:r>
      <w:r>
        <w:rPr>
          <w:color w:val="231F20"/>
          <w:spacing w:val="-11"/>
          <w:w w:val="105"/>
        </w:rPr>
        <w:t> </w:t>
      </w:r>
      <w:r>
        <w:rPr>
          <w:color w:val="231F20"/>
          <w:w w:val="105"/>
        </w:rPr>
        <w:t>de</w:t>
      </w:r>
      <w:r>
        <w:rPr>
          <w:color w:val="231F20"/>
          <w:spacing w:val="-11"/>
          <w:w w:val="105"/>
        </w:rPr>
        <w:t> </w:t>
      </w:r>
      <w:r>
        <w:rPr>
          <w:color w:val="231F20"/>
          <w:w w:val="105"/>
        </w:rPr>
        <w:t>consulta,</w:t>
      </w:r>
      <w:r>
        <w:rPr>
          <w:color w:val="231F20"/>
          <w:spacing w:val="-11"/>
          <w:w w:val="105"/>
        </w:rPr>
        <w:t> </w:t>
      </w:r>
      <w:r>
        <w:rPr>
          <w:color w:val="231F20"/>
          <w:w w:val="105"/>
        </w:rPr>
        <w:t>a</w:t>
      </w:r>
      <w:r>
        <w:rPr>
          <w:color w:val="231F20"/>
          <w:spacing w:val="-11"/>
          <w:w w:val="105"/>
        </w:rPr>
        <w:t> </w:t>
      </w:r>
      <w:r>
        <w:rPr>
          <w:color w:val="231F20"/>
          <w:spacing w:val="2"/>
          <w:w w:val="105"/>
        </w:rPr>
        <w:t>fin</w:t>
      </w:r>
      <w:r>
        <w:rPr>
          <w:color w:val="231F20"/>
          <w:spacing w:val="-11"/>
          <w:w w:val="105"/>
        </w:rPr>
        <w:t> </w:t>
      </w:r>
      <w:r>
        <w:rPr>
          <w:color w:val="231F20"/>
          <w:w w:val="105"/>
        </w:rPr>
        <w:t>de</w:t>
      </w:r>
      <w:r>
        <w:rPr>
          <w:color w:val="231F20"/>
          <w:spacing w:val="-11"/>
          <w:w w:val="105"/>
        </w:rPr>
        <w:t> </w:t>
      </w:r>
      <w:r>
        <w:rPr>
          <w:color w:val="231F20"/>
          <w:w w:val="105"/>
        </w:rPr>
        <w:t>conocer</w:t>
      </w:r>
      <w:r>
        <w:rPr>
          <w:color w:val="231F20"/>
          <w:spacing w:val="-11"/>
          <w:w w:val="105"/>
        </w:rPr>
        <w:t> </w:t>
      </w:r>
      <w:r>
        <w:rPr>
          <w:color w:val="231F20"/>
          <w:w w:val="105"/>
        </w:rPr>
        <w:t>las</w:t>
      </w:r>
      <w:r>
        <w:rPr>
          <w:color w:val="231F20"/>
          <w:spacing w:val="-11"/>
          <w:w w:val="105"/>
        </w:rPr>
        <w:t> </w:t>
      </w:r>
      <w:r>
        <w:rPr>
          <w:color w:val="231F20"/>
          <w:w w:val="105"/>
        </w:rPr>
        <w:t>opiniones y propuestas de la población para superar sus necesidades y demandas. En apego a lo que señala la Ley de Planeación del Estado de México y sus Municipios, el Gobierno Municipal</w:t>
      </w:r>
      <w:r>
        <w:rPr>
          <w:color w:val="231F20"/>
          <w:spacing w:val="-15"/>
          <w:w w:val="105"/>
        </w:rPr>
        <w:t> </w:t>
      </w:r>
      <w:r>
        <w:rPr>
          <w:color w:val="231F20"/>
          <w:w w:val="105"/>
        </w:rPr>
        <w:t>ha</w:t>
      </w:r>
      <w:r>
        <w:rPr>
          <w:color w:val="231F20"/>
          <w:spacing w:val="-15"/>
          <w:w w:val="105"/>
        </w:rPr>
        <w:t> </w:t>
      </w:r>
      <w:r>
        <w:rPr>
          <w:color w:val="231F20"/>
          <w:w w:val="105"/>
        </w:rPr>
        <w:t>realizado</w:t>
      </w:r>
      <w:r>
        <w:rPr>
          <w:color w:val="231F20"/>
          <w:spacing w:val="-15"/>
          <w:w w:val="105"/>
        </w:rPr>
        <w:t> </w:t>
      </w:r>
      <w:r>
        <w:rPr>
          <w:color w:val="231F20"/>
          <w:w w:val="105"/>
        </w:rPr>
        <w:t>foros</w:t>
      </w:r>
      <w:r>
        <w:rPr>
          <w:color w:val="231F20"/>
          <w:spacing w:val="-15"/>
          <w:w w:val="105"/>
        </w:rPr>
        <w:t> </w:t>
      </w:r>
      <w:r>
        <w:rPr>
          <w:color w:val="231F20"/>
          <w:w w:val="105"/>
        </w:rPr>
        <w:t>de</w:t>
      </w:r>
      <w:r>
        <w:rPr>
          <w:color w:val="231F20"/>
          <w:spacing w:val="-15"/>
          <w:w w:val="105"/>
        </w:rPr>
        <w:t> </w:t>
      </w:r>
      <w:r>
        <w:rPr>
          <w:color w:val="231F20"/>
          <w:w w:val="105"/>
        </w:rPr>
        <w:t>consulta</w:t>
      </w:r>
      <w:r>
        <w:rPr>
          <w:color w:val="231F20"/>
          <w:spacing w:val="-15"/>
          <w:w w:val="105"/>
        </w:rPr>
        <w:t> </w:t>
      </w:r>
      <w:r>
        <w:rPr>
          <w:color w:val="231F20"/>
          <w:w w:val="105"/>
        </w:rPr>
        <w:t>con</w:t>
      </w:r>
      <w:r>
        <w:rPr>
          <w:color w:val="231F20"/>
          <w:spacing w:val="-15"/>
          <w:w w:val="105"/>
        </w:rPr>
        <w:t> </w:t>
      </w:r>
      <w:r>
        <w:rPr>
          <w:color w:val="231F20"/>
          <w:w w:val="105"/>
        </w:rPr>
        <w:t>grupos</w:t>
      </w:r>
      <w:r>
        <w:rPr>
          <w:color w:val="231F20"/>
          <w:spacing w:val="-15"/>
          <w:w w:val="105"/>
        </w:rPr>
        <w:t> </w:t>
      </w:r>
      <w:r>
        <w:rPr>
          <w:color w:val="231F20"/>
          <w:w w:val="105"/>
        </w:rPr>
        <w:t>determinados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población</w:t>
      </w:r>
      <w:r>
        <w:rPr>
          <w:color w:val="231F20"/>
          <w:spacing w:val="-15"/>
          <w:w w:val="105"/>
        </w:rPr>
        <w:t> </w:t>
      </w:r>
      <w:r>
        <w:rPr>
          <w:color w:val="231F20"/>
          <w:w w:val="105"/>
        </w:rPr>
        <w:t>para recoger sus opiniones y aportaciones. En la elaboración del Plan han participado </w:t>
      </w:r>
      <w:r>
        <w:rPr>
          <w:color w:val="231F20"/>
          <w:spacing w:val="-3"/>
          <w:w w:val="105"/>
        </w:rPr>
        <w:t>con </w:t>
      </w:r>
      <w:r>
        <w:rPr>
          <w:color w:val="231F20"/>
          <w:w w:val="105"/>
        </w:rPr>
        <w:t>entusiasmo</w:t>
      </w:r>
      <w:r>
        <w:rPr>
          <w:color w:val="231F20"/>
          <w:spacing w:val="-23"/>
          <w:w w:val="105"/>
        </w:rPr>
        <w:t> </w:t>
      </w:r>
      <w:r>
        <w:rPr>
          <w:color w:val="231F20"/>
          <w:w w:val="105"/>
        </w:rPr>
        <w:t>y</w:t>
      </w:r>
      <w:r>
        <w:rPr>
          <w:color w:val="231F20"/>
          <w:spacing w:val="-23"/>
          <w:w w:val="105"/>
        </w:rPr>
        <w:t> </w:t>
      </w:r>
      <w:r>
        <w:rPr>
          <w:color w:val="231F20"/>
          <w:w w:val="105"/>
        </w:rPr>
        <w:t>responsabilidad</w:t>
      </w:r>
      <w:r>
        <w:rPr>
          <w:color w:val="231F20"/>
          <w:spacing w:val="-23"/>
          <w:w w:val="105"/>
        </w:rPr>
        <w:t> </w:t>
      </w:r>
      <w:r>
        <w:rPr>
          <w:color w:val="231F20"/>
          <w:w w:val="105"/>
        </w:rPr>
        <w:t>todos</w:t>
      </w:r>
      <w:r>
        <w:rPr>
          <w:color w:val="231F20"/>
          <w:spacing w:val="-23"/>
          <w:w w:val="105"/>
        </w:rPr>
        <w:t> </w:t>
      </w:r>
      <w:r>
        <w:rPr>
          <w:color w:val="231F20"/>
          <w:w w:val="105"/>
        </w:rPr>
        <w:t>los</w:t>
      </w:r>
      <w:r>
        <w:rPr>
          <w:color w:val="231F20"/>
          <w:spacing w:val="-23"/>
          <w:w w:val="105"/>
        </w:rPr>
        <w:t> </w:t>
      </w:r>
      <w:r>
        <w:rPr>
          <w:color w:val="231F20"/>
          <w:w w:val="105"/>
        </w:rPr>
        <w:t>Regidores</w:t>
      </w:r>
      <w:r>
        <w:rPr>
          <w:color w:val="231F20"/>
          <w:spacing w:val="-23"/>
          <w:w w:val="105"/>
        </w:rPr>
        <w:t> </w:t>
      </w:r>
      <w:r>
        <w:rPr>
          <w:color w:val="231F20"/>
          <w:w w:val="105"/>
        </w:rPr>
        <w:t>y</w:t>
      </w:r>
      <w:r>
        <w:rPr>
          <w:color w:val="231F20"/>
          <w:spacing w:val="-23"/>
          <w:w w:val="105"/>
        </w:rPr>
        <w:t> </w:t>
      </w:r>
      <w:r>
        <w:rPr>
          <w:color w:val="231F20"/>
          <w:w w:val="105"/>
        </w:rPr>
        <w:t>en</w:t>
      </w:r>
      <w:r>
        <w:rPr>
          <w:color w:val="231F20"/>
          <w:spacing w:val="-23"/>
          <w:w w:val="105"/>
        </w:rPr>
        <w:t> </w:t>
      </w:r>
      <w:r>
        <w:rPr>
          <w:color w:val="231F20"/>
          <w:w w:val="105"/>
        </w:rPr>
        <w:t>general</w:t>
      </w:r>
      <w:r>
        <w:rPr>
          <w:color w:val="231F20"/>
          <w:spacing w:val="-23"/>
          <w:w w:val="105"/>
        </w:rPr>
        <w:t> </w:t>
      </w:r>
      <w:r>
        <w:rPr>
          <w:color w:val="231F20"/>
          <w:w w:val="105"/>
        </w:rPr>
        <w:t>los</w:t>
      </w:r>
      <w:r>
        <w:rPr>
          <w:color w:val="231F20"/>
          <w:spacing w:val="-23"/>
          <w:w w:val="105"/>
        </w:rPr>
        <w:t> </w:t>
      </w:r>
      <w:r>
        <w:rPr>
          <w:color w:val="231F20"/>
          <w:w w:val="105"/>
        </w:rPr>
        <w:t>integrantes</w:t>
      </w:r>
      <w:r>
        <w:rPr>
          <w:color w:val="231F20"/>
          <w:spacing w:val="-23"/>
          <w:w w:val="105"/>
        </w:rPr>
        <w:t> </w:t>
      </w:r>
      <w:r>
        <w:rPr>
          <w:color w:val="231F20"/>
          <w:w w:val="105"/>
        </w:rPr>
        <w:t>del</w:t>
      </w:r>
      <w:r>
        <w:rPr>
          <w:color w:val="231F20"/>
          <w:spacing w:val="-23"/>
          <w:w w:val="105"/>
        </w:rPr>
        <w:t> </w:t>
      </w:r>
      <w:r>
        <w:rPr>
          <w:color w:val="231F20"/>
          <w:w w:val="105"/>
        </w:rPr>
        <w:t>Hono- rable</w:t>
      </w:r>
      <w:r>
        <w:rPr>
          <w:color w:val="231F20"/>
          <w:spacing w:val="-13"/>
          <w:w w:val="105"/>
        </w:rPr>
        <w:t> </w:t>
      </w:r>
      <w:r>
        <w:rPr>
          <w:color w:val="231F20"/>
          <w:w w:val="105"/>
        </w:rPr>
        <w:t>Cabildo,</w:t>
      </w:r>
      <w:r>
        <w:rPr>
          <w:color w:val="231F20"/>
          <w:spacing w:val="-13"/>
          <w:w w:val="105"/>
        </w:rPr>
        <w:t> </w:t>
      </w:r>
      <w:r>
        <w:rPr>
          <w:color w:val="231F20"/>
          <w:w w:val="105"/>
        </w:rPr>
        <w:t>quienes</w:t>
      </w:r>
      <w:r>
        <w:rPr>
          <w:color w:val="231F20"/>
          <w:spacing w:val="-13"/>
          <w:w w:val="105"/>
        </w:rPr>
        <w:t> </w:t>
      </w:r>
      <w:r>
        <w:rPr>
          <w:color w:val="231F20"/>
          <w:w w:val="105"/>
        </w:rPr>
        <w:t>lo</w:t>
      </w:r>
      <w:r>
        <w:rPr>
          <w:color w:val="231F20"/>
          <w:spacing w:val="-13"/>
          <w:w w:val="105"/>
        </w:rPr>
        <w:t> </w:t>
      </w:r>
      <w:r>
        <w:rPr>
          <w:color w:val="231F20"/>
          <w:w w:val="105"/>
        </w:rPr>
        <w:t>han</w:t>
      </w:r>
      <w:r>
        <w:rPr>
          <w:color w:val="231F20"/>
          <w:spacing w:val="-13"/>
          <w:w w:val="105"/>
        </w:rPr>
        <w:t> </w:t>
      </w:r>
      <w:r>
        <w:rPr>
          <w:color w:val="231F20"/>
          <w:w w:val="105"/>
        </w:rPr>
        <w:t>enriquecido</w:t>
      </w:r>
      <w:r>
        <w:rPr>
          <w:color w:val="231F20"/>
          <w:spacing w:val="-13"/>
          <w:w w:val="105"/>
        </w:rPr>
        <w:t> </w:t>
      </w:r>
      <w:r>
        <w:rPr>
          <w:color w:val="231F20"/>
          <w:w w:val="105"/>
        </w:rPr>
        <w:t>con</w:t>
      </w:r>
      <w:r>
        <w:rPr>
          <w:color w:val="231F20"/>
          <w:spacing w:val="-13"/>
          <w:w w:val="105"/>
        </w:rPr>
        <w:t> </w:t>
      </w:r>
      <w:r>
        <w:rPr>
          <w:color w:val="231F20"/>
          <w:w w:val="105"/>
        </w:rPr>
        <w:t>sus</w:t>
      </w:r>
      <w:r>
        <w:rPr>
          <w:color w:val="231F20"/>
          <w:spacing w:val="-13"/>
          <w:w w:val="105"/>
        </w:rPr>
        <w:t> </w:t>
      </w:r>
      <w:r>
        <w:rPr>
          <w:color w:val="231F20"/>
          <w:w w:val="105"/>
        </w:rPr>
        <w:t>propuestas.</w:t>
      </w:r>
    </w:p>
    <w:p>
      <w:pPr>
        <w:pStyle w:val="BodyText"/>
        <w:spacing w:before="1"/>
        <w:rPr>
          <w:sz w:val="26"/>
        </w:rPr>
      </w:pPr>
    </w:p>
    <w:p>
      <w:pPr>
        <w:pStyle w:val="BodyText"/>
        <w:spacing w:line="285" w:lineRule="auto"/>
        <w:ind w:left="110" w:right="108"/>
        <w:jc w:val="both"/>
      </w:pPr>
      <w:r>
        <w:rPr>
          <w:color w:val="231F20"/>
          <w:w w:val="105"/>
        </w:rPr>
        <w:t>El objetivo general del documento es: Cumplir los objetivos que establece el Artículo </w:t>
      </w:r>
      <w:r>
        <w:rPr>
          <w:color w:val="231F20"/>
          <w:spacing w:val="-7"/>
          <w:w w:val="105"/>
        </w:rPr>
        <w:t>117</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Ley</w:t>
      </w:r>
      <w:r>
        <w:rPr>
          <w:color w:val="231F20"/>
          <w:spacing w:val="-19"/>
          <w:w w:val="105"/>
        </w:rPr>
        <w:t> </w:t>
      </w:r>
      <w:r>
        <w:rPr>
          <w:color w:val="231F20"/>
          <w:w w:val="105"/>
        </w:rPr>
        <w:t>Orgánica</w:t>
      </w:r>
      <w:r>
        <w:rPr>
          <w:color w:val="231F20"/>
          <w:spacing w:val="-19"/>
          <w:w w:val="105"/>
        </w:rPr>
        <w:t> </w:t>
      </w:r>
      <w:r>
        <w:rPr>
          <w:color w:val="231F20"/>
          <w:w w:val="105"/>
        </w:rPr>
        <w:t>Municipal</w:t>
      </w:r>
      <w:r>
        <w:rPr>
          <w:color w:val="231F20"/>
          <w:spacing w:val="-19"/>
          <w:w w:val="105"/>
        </w:rPr>
        <w:t> </w:t>
      </w:r>
      <w:r>
        <w:rPr>
          <w:color w:val="231F20"/>
          <w:w w:val="105"/>
        </w:rPr>
        <w:t>del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Plan</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spacing w:val="-3"/>
          <w:w w:val="105"/>
        </w:rPr>
        <w:t>Mu- </w:t>
      </w:r>
      <w:r>
        <w:rPr>
          <w:color w:val="231F20"/>
          <w:w w:val="105"/>
        </w:rPr>
        <w:t>nicipal,</w:t>
      </w:r>
      <w:r>
        <w:rPr>
          <w:color w:val="231F20"/>
          <w:spacing w:val="-28"/>
          <w:w w:val="105"/>
        </w:rPr>
        <w:t> </w:t>
      </w:r>
      <w:r>
        <w:rPr>
          <w:color w:val="231F20"/>
          <w:w w:val="105"/>
        </w:rPr>
        <w:t>a</w:t>
      </w:r>
      <w:r>
        <w:rPr>
          <w:color w:val="231F20"/>
          <w:spacing w:val="-28"/>
          <w:w w:val="105"/>
        </w:rPr>
        <w:t> </w:t>
      </w:r>
      <w:r>
        <w:rPr>
          <w:color w:val="231F20"/>
          <w:w w:val="105"/>
        </w:rPr>
        <w:t>saber:</w:t>
      </w:r>
    </w:p>
    <w:p>
      <w:pPr>
        <w:pStyle w:val="BodyText"/>
        <w:spacing w:before="1"/>
        <w:ind w:left="677" w:right="574"/>
      </w:pPr>
      <w:r>
        <w:rPr>
          <w:color w:val="231F20"/>
          <w:w w:val="105"/>
        </w:rPr>
        <w:t>Atender las demandas prioritarias de la población;</w:t>
      </w:r>
    </w:p>
    <w:p>
      <w:pPr>
        <w:pStyle w:val="ListParagraph"/>
        <w:numPr>
          <w:ilvl w:val="0"/>
          <w:numId w:val="25"/>
        </w:numPr>
        <w:tabs>
          <w:tab w:pos="932" w:val="left" w:leader="none"/>
        </w:tabs>
        <w:spacing w:line="240" w:lineRule="auto" w:before="47" w:after="0"/>
        <w:ind w:left="931" w:right="0" w:hanging="254"/>
        <w:jc w:val="left"/>
        <w:rPr>
          <w:rFonts w:ascii="Times New Roman" w:hAnsi="Times New Roman"/>
          <w:sz w:val="22"/>
        </w:rPr>
      </w:pPr>
      <w:r>
        <w:rPr>
          <w:rFonts w:ascii="Times New Roman" w:hAnsi="Times New Roman"/>
          <w:color w:val="231F20"/>
          <w:w w:val="105"/>
          <w:sz w:val="22"/>
        </w:rPr>
        <w:t>Propiciar</w:t>
      </w:r>
      <w:r>
        <w:rPr>
          <w:rFonts w:ascii="Times New Roman" w:hAnsi="Times New Roman"/>
          <w:color w:val="231F20"/>
          <w:spacing w:val="-18"/>
          <w:w w:val="105"/>
          <w:sz w:val="22"/>
        </w:rPr>
        <w:t> </w:t>
      </w:r>
      <w:r>
        <w:rPr>
          <w:rFonts w:ascii="Times New Roman" w:hAnsi="Times New Roman"/>
          <w:color w:val="231F20"/>
          <w:w w:val="105"/>
          <w:sz w:val="22"/>
        </w:rPr>
        <w:t>el</w:t>
      </w:r>
      <w:r>
        <w:rPr>
          <w:rFonts w:ascii="Times New Roman" w:hAnsi="Times New Roman"/>
          <w:color w:val="231F20"/>
          <w:spacing w:val="-18"/>
          <w:w w:val="105"/>
          <w:sz w:val="22"/>
        </w:rPr>
        <w:t> </w:t>
      </w:r>
      <w:r>
        <w:rPr>
          <w:rFonts w:ascii="Times New Roman" w:hAnsi="Times New Roman"/>
          <w:color w:val="231F20"/>
          <w:w w:val="105"/>
          <w:sz w:val="22"/>
        </w:rPr>
        <w:t>desarrollo</w:t>
      </w:r>
      <w:r>
        <w:rPr>
          <w:rFonts w:ascii="Times New Roman" w:hAnsi="Times New Roman"/>
          <w:color w:val="231F20"/>
          <w:spacing w:val="-18"/>
          <w:w w:val="105"/>
          <w:sz w:val="22"/>
        </w:rPr>
        <w:t> </w:t>
      </w:r>
      <w:r>
        <w:rPr>
          <w:rFonts w:ascii="Times New Roman" w:hAnsi="Times New Roman"/>
          <w:color w:val="231F20"/>
          <w:w w:val="105"/>
          <w:sz w:val="22"/>
        </w:rPr>
        <w:t>armónico</w:t>
      </w:r>
      <w:r>
        <w:rPr>
          <w:rFonts w:ascii="Times New Roman" w:hAnsi="Times New Roman"/>
          <w:color w:val="231F20"/>
          <w:spacing w:val="-18"/>
          <w:w w:val="105"/>
          <w:sz w:val="22"/>
        </w:rPr>
        <w:t> </w:t>
      </w:r>
      <w:r>
        <w:rPr>
          <w:rFonts w:ascii="Times New Roman" w:hAnsi="Times New Roman"/>
          <w:color w:val="231F20"/>
          <w:w w:val="105"/>
          <w:sz w:val="22"/>
        </w:rPr>
        <w:t>del</w:t>
      </w:r>
      <w:r>
        <w:rPr>
          <w:rFonts w:ascii="Times New Roman" w:hAnsi="Times New Roman"/>
          <w:color w:val="231F20"/>
          <w:spacing w:val="-18"/>
          <w:w w:val="105"/>
          <w:sz w:val="22"/>
        </w:rPr>
        <w:t> </w:t>
      </w:r>
      <w:r>
        <w:rPr>
          <w:rFonts w:ascii="Times New Roman" w:hAnsi="Times New Roman"/>
          <w:color w:val="231F20"/>
          <w:w w:val="105"/>
          <w:sz w:val="22"/>
        </w:rPr>
        <w:t>municipio;</w:t>
      </w:r>
    </w:p>
    <w:p>
      <w:pPr>
        <w:pStyle w:val="ListParagraph"/>
        <w:numPr>
          <w:ilvl w:val="0"/>
          <w:numId w:val="25"/>
        </w:numPr>
        <w:tabs>
          <w:tab w:pos="1009" w:val="left" w:leader="none"/>
        </w:tabs>
        <w:spacing w:line="240" w:lineRule="auto" w:before="47" w:after="0"/>
        <w:ind w:left="1008" w:right="0" w:hanging="331"/>
        <w:jc w:val="left"/>
        <w:rPr>
          <w:rFonts w:ascii="Times New Roman" w:hAnsi="Times New Roman"/>
          <w:sz w:val="22"/>
        </w:rPr>
      </w:pPr>
      <w:r>
        <w:rPr>
          <w:rFonts w:ascii="Times New Roman" w:hAnsi="Times New Roman"/>
          <w:color w:val="231F20"/>
          <w:sz w:val="22"/>
        </w:rPr>
        <w:t>Asegurar la participación de la </w:t>
      </w:r>
      <w:r>
        <w:rPr>
          <w:rFonts w:ascii="Times New Roman" w:hAnsi="Times New Roman"/>
          <w:color w:val="231F20"/>
          <w:spacing w:val="38"/>
          <w:sz w:val="22"/>
        </w:rPr>
        <w:t> </w:t>
      </w:r>
      <w:r>
        <w:rPr>
          <w:rFonts w:ascii="Times New Roman" w:hAnsi="Times New Roman"/>
          <w:color w:val="231F20"/>
          <w:sz w:val="22"/>
        </w:rPr>
        <w:t>sociedad;</w:t>
      </w:r>
    </w:p>
    <w:p>
      <w:pPr>
        <w:pStyle w:val="ListParagraph"/>
        <w:numPr>
          <w:ilvl w:val="0"/>
          <w:numId w:val="25"/>
        </w:numPr>
        <w:tabs>
          <w:tab w:pos="988" w:val="left" w:leader="none"/>
        </w:tabs>
        <w:spacing w:line="285" w:lineRule="auto" w:before="47" w:after="0"/>
        <w:ind w:left="677" w:right="110" w:firstLine="0"/>
        <w:jc w:val="left"/>
        <w:rPr>
          <w:rFonts w:ascii="Times New Roman"/>
          <w:sz w:val="22"/>
        </w:rPr>
      </w:pPr>
      <w:r>
        <w:rPr>
          <w:rFonts w:ascii="Times New Roman"/>
          <w:color w:val="231F20"/>
          <w:w w:val="105"/>
          <w:sz w:val="22"/>
        </w:rPr>
        <w:t>Vincular</w:t>
      </w:r>
      <w:r>
        <w:rPr>
          <w:rFonts w:ascii="Times New Roman"/>
          <w:color w:val="231F20"/>
          <w:spacing w:val="-15"/>
          <w:w w:val="105"/>
          <w:sz w:val="22"/>
        </w:rPr>
        <w:t> </w:t>
      </w:r>
      <w:r>
        <w:rPr>
          <w:rFonts w:ascii="Times New Roman"/>
          <w:color w:val="231F20"/>
          <w:w w:val="105"/>
          <w:sz w:val="22"/>
        </w:rPr>
        <w:t>el</w:t>
      </w:r>
      <w:r>
        <w:rPr>
          <w:rFonts w:ascii="Times New Roman"/>
          <w:color w:val="231F20"/>
          <w:spacing w:val="-15"/>
          <w:w w:val="105"/>
          <w:sz w:val="22"/>
        </w:rPr>
        <w:t> </w:t>
      </w:r>
      <w:r>
        <w:rPr>
          <w:rFonts w:ascii="Times New Roman"/>
          <w:color w:val="231F20"/>
          <w:w w:val="105"/>
          <w:sz w:val="22"/>
        </w:rPr>
        <w:t>Plan</w:t>
      </w:r>
      <w:r>
        <w:rPr>
          <w:rFonts w:ascii="Times New Roman"/>
          <w:color w:val="231F20"/>
          <w:spacing w:val="-15"/>
          <w:w w:val="105"/>
          <w:sz w:val="22"/>
        </w:rPr>
        <w:t> </w:t>
      </w:r>
      <w:r>
        <w:rPr>
          <w:rFonts w:ascii="Times New Roman"/>
          <w:color w:val="231F20"/>
          <w:w w:val="105"/>
          <w:sz w:val="22"/>
        </w:rPr>
        <w:t>de</w:t>
      </w:r>
      <w:r>
        <w:rPr>
          <w:rFonts w:ascii="Times New Roman"/>
          <w:color w:val="231F20"/>
          <w:spacing w:val="-15"/>
          <w:w w:val="105"/>
          <w:sz w:val="22"/>
        </w:rPr>
        <w:t> </w:t>
      </w:r>
      <w:r>
        <w:rPr>
          <w:rFonts w:ascii="Times New Roman"/>
          <w:color w:val="231F20"/>
          <w:w w:val="105"/>
          <w:sz w:val="22"/>
        </w:rPr>
        <w:t>Desarrollo</w:t>
      </w:r>
      <w:r>
        <w:rPr>
          <w:rFonts w:ascii="Times New Roman"/>
          <w:color w:val="231F20"/>
          <w:spacing w:val="-15"/>
          <w:w w:val="105"/>
          <w:sz w:val="22"/>
        </w:rPr>
        <w:t> </w:t>
      </w:r>
      <w:r>
        <w:rPr>
          <w:rFonts w:ascii="Times New Roman"/>
          <w:color w:val="231F20"/>
          <w:w w:val="105"/>
          <w:sz w:val="22"/>
        </w:rPr>
        <w:t>Municipal</w:t>
      </w:r>
      <w:r>
        <w:rPr>
          <w:rFonts w:ascii="Times New Roman"/>
          <w:color w:val="231F20"/>
          <w:spacing w:val="-15"/>
          <w:w w:val="105"/>
          <w:sz w:val="22"/>
        </w:rPr>
        <w:t> </w:t>
      </w:r>
      <w:r>
        <w:rPr>
          <w:rFonts w:ascii="Times New Roman"/>
          <w:color w:val="231F20"/>
          <w:w w:val="105"/>
          <w:sz w:val="22"/>
        </w:rPr>
        <w:t>con</w:t>
      </w:r>
      <w:r>
        <w:rPr>
          <w:rFonts w:ascii="Times New Roman"/>
          <w:color w:val="231F20"/>
          <w:spacing w:val="-15"/>
          <w:w w:val="105"/>
          <w:sz w:val="22"/>
        </w:rPr>
        <w:t> </w:t>
      </w:r>
      <w:r>
        <w:rPr>
          <w:rFonts w:ascii="Times New Roman"/>
          <w:color w:val="231F20"/>
          <w:w w:val="105"/>
          <w:sz w:val="22"/>
        </w:rPr>
        <w:t>los</w:t>
      </w:r>
      <w:r>
        <w:rPr>
          <w:rFonts w:ascii="Times New Roman"/>
          <w:color w:val="231F20"/>
          <w:spacing w:val="-15"/>
          <w:w w:val="105"/>
          <w:sz w:val="22"/>
        </w:rPr>
        <w:t> </w:t>
      </w:r>
      <w:r>
        <w:rPr>
          <w:rFonts w:ascii="Times New Roman"/>
          <w:color w:val="231F20"/>
          <w:w w:val="105"/>
          <w:sz w:val="22"/>
        </w:rPr>
        <w:t>planes</w:t>
      </w:r>
      <w:r>
        <w:rPr>
          <w:rFonts w:ascii="Times New Roman"/>
          <w:color w:val="231F20"/>
          <w:spacing w:val="-15"/>
          <w:w w:val="105"/>
          <w:sz w:val="22"/>
        </w:rPr>
        <w:t> </w:t>
      </w:r>
      <w:r>
        <w:rPr>
          <w:rFonts w:ascii="Times New Roman"/>
          <w:color w:val="231F20"/>
          <w:w w:val="105"/>
          <w:sz w:val="22"/>
        </w:rPr>
        <w:t>de</w:t>
      </w:r>
      <w:r>
        <w:rPr>
          <w:rFonts w:ascii="Times New Roman"/>
          <w:color w:val="231F20"/>
          <w:spacing w:val="-15"/>
          <w:w w:val="105"/>
          <w:sz w:val="22"/>
        </w:rPr>
        <w:t> </w:t>
      </w:r>
      <w:r>
        <w:rPr>
          <w:rFonts w:ascii="Times New Roman"/>
          <w:color w:val="231F20"/>
          <w:w w:val="105"/>
          <w:sz w:val="22"/>
        </w:rPr>
        <w:t>desarrollo</w:t>
      </w:r>
      <w:r>
        <w:rPr>
          <w:rFonts w:ascii="Times New Roman"/>
          <w:color w:val="231F20"/>
          <w:spacing w:val="-15"/>
          <w:w w:val="105"/>
          <w:sz w:val="22"/>
        </w:rPr>
        <w:t> </w:t>
      </w:r>
      <w:r>
        <w:rPr>
          <w:rFonts w:ascii="Times New Roman"/>
          <w:color w:val="231F20"/>
          <w:w w:val="105"/>
          <w:sz w:val="22"/>
        </w:rPr>
        <w:t>Federal </w:t>
      </w:r>
      <w:r>
        <w:rPr>
          <w:rFonts w:ascii="Times New Roman"/>
          <w:color w:val="231F20"/>
          <w:sz w:val="22"/>
        </w:rPr>
        <w:t>y</w:t>
      </w:r>
      <w:r>
        <w:rPr>
          <w:rFonts w:ascii="Times New Roman"/>
          <w:color w:val="231F20"/>
          <w:spacing w:val="-4"/>
          <w:sz w:val="22"/>
        </w:rPr>
        <w:t> </w:t>
      </w:r>
      <w:r>
        <w:rPr>
          <w:rFonts w:ascii="Times New Roman"/>
          <w:color w:val="231F20"/>
          <w:sz w:val="22"/>
        </w:rPr>
        <w:t>Estatal;</w:t>
      </w:r>
    </w:p>
    <w:p>
      <w:pPr>
        <w:pStyle w:val="ListParagraph"/>
        <w:numPr>
          <w:ilvl w:val="0"/>
          <w:numId w:val="25"/>
        </w:numPr>
        <w:tabs>
          <w:tab w:pos="920" w:val="left" w:leader="none"/>
        </w:tabs>
        <w:spacing w:line="285" w:lineRule="auto" w:before="1" w:after="0"/>
        <w:ind w:left="677" w:right="108" w:firstLine="0"/>
        <w:jc w:val="left"/>
        <w:rPr>
          <w:rFonts w:ascii="Times New Roman"/>
          <w:sz w:val="22"/>
        </w:rPr>
      </w:pPr>
      <w:r>
        <w:rPr>
          <w:rFonts w:ascii="Times New Roman"/>
          <w:color w:val="231F20"/>
          <w:w w:val="105"/>
          <w:sz w:val="22"/>
        </w:rPr>
        <w:t>Aplicar de manera racional los recursos financieros para el cumplimiento del Plan</w:t>
      </w:r>
      <w:r>
        <w:rPr>
          <w:rFonts w:ascii="Times New Roman"/>
          <w:color w:val="231F20"/>
          <w:spacing w:val="-17"/>
          <w:w w:val="105"/>
          <w:sz w:val="22"/>
        </w:rPr>
        <w:t> </w:t>
      </w:r>
      <w:r>
        <w:rPr>
          <w:rFonts w:ascii="Times New Roman"/>
          <w:color w:val="231F20"/>
          <w:w w:val="105"/>
          <w:sz w:val="22"/>
        </w:rPr>
        <w:t>y</w:t>
      </w:r>
      <w:r>
        <w:rPr>
          <w:rFonts w:ascii="Times New Roman"/>
          <w:color w:val="231F20"/>
          <w:spacing w:val="-17"/>
          <w:w w:val="105"/>
          <w:sz w:val="22"/>
        </w:rPr>
        <w:t> </w:t>
      </w:r>
      <w:r>
        <w:rPr>
          <w:rFonts w:ascii="Times New Roman"/>
          <w:color w:val="231F20"/>
          <w:w w:val="105"/>
          <w:sz w:val="22"/>
        </w:rPr>
        <w:t>los</w:t>
      </w:r>
      <w:r>
        <w:rPr>
          <w:rFonts w:ascii="Times New Roman"/>
          <w:color w:val="231F20"/>
          <w:spacing w:val="-17"/>
          <w:w w:val="105"/>
          <w:sz w:val="22"/>
        </w:rPr>
        <w:t> </w:t>
      </w:r>
      <w:r>
        <w:rPr>
          <w:rFonts w:ascii="Times New Roman"/>
          <w:color w:val="231F20"/>
          <w:w w:val="105"/>
          <w:sz w:val="22"/>
        </w:rPr>
        <w:t>programas</w:t>
      </w:r>
      <w:r>
        <w:rPr>
          <w:rFonts w:ascii="Times New Roman"/>
          <w:color w:val="231F20"/>
          <w:spacing w:val="-17"/>
          <w:w w:val="105"/>
          <w:sz w:val="22"/>
        </w:rPr>
        <w:t> </w:t>
      </w:r>
      <w:r>
        <w:rPr>
          <w:rFonts w:ascii="Times New Roman"/>
          <w:color w:val="231F20"/>
          <w:w w:val="105"/>
          <w:sz w:val="22"/>
        </w:rPr>
        <w:t>de</w:t>
      </w:r>
      <w:r>
        <w:rPr>
          <w:rFonts w:ascii="Times New Roman"/>
          <w:color w:val="231F20"/>
          <w:spacing w:val="-17"/>
          <w:w w:val="105"/>
          <w:sz w:val="22"/>
        </w:rPr>
        <w:t> </w:t>
      </w:r>
      <w:r>
        <w:rPr>
          <w:rFonts w:ascii="Times New Roman"/>
          <w:color w:val="231F20"/>
          <w:w w:val="105"/>
          <w:sz w:val="22"/>
        </w:rPr>
        <w:t>desarrollo.</w:t>
      </w:r>
    </w:p>
    <w:p>
      <w:pPr>
        <w:pStyle w:val="BodyText"/>
        <w:spacing w:before="1"/>
        <w:rPr>
          <w:sz w:val="26"/>
        </w:rPr>
      </w:pPr>
    </w:p>
    <w:p>
      <w:pPr>
        <w:pStyle w:val="BodyText"/>
        <w:spacing w:line="285" w:lineRule="auto"/>
        <w:ind w:left="110" w:right="108"/>
        <w:jc w:val="both"/>
      </w:pPr>
      <w:r>
        <w:rPr>
          <w:color w:val="231F20"/>
          <w:spacing w:val="-3"/>
          <w:w w:val="105"/>
        </w:rPr>
        <w:t>También </w:t>
      </w:r>
      <w:r>
        <w:rPr>
          <w:color w:val="231F20"/>
          <w:w w:val="105"/>
        </w:rPr>
        <w:t>se tiene un compromiso político </w:t>
      </w:r>
      <w:r>
        <w:rPr>
          <w:color w:val="231F20"/>
          <w:spacing w:val="-3"/>
          <w:w w:val="105"/>
        </w:rPr>
        <w:t>donde </w:t>
      </w:r>
      <w:r>
        <w:rPr>
          <w:color w:val="231F20"/>
          <w:w w:val="105"/>
        </w:rPr>
        <w:t>se expresa la necesidad de ser un go- bierno</w:t>
      </w:r>
      <w:r>
        <w:rPr>
          <w:color w:val="231F20"/>
          <w:spacing w:val="-23"/>
          <w:w w:val="105"/>
        </w:rPr>
        <w:t> </w:t>
      </w:r>
      <w:r>
        <w:rPr>
          <w:color w:val="231F20"/>
          <w:w w:val="105"/>
        </w:rPr>
        <w:t>diferente,</w:t>
      </w:r>
      <w:r>
        <w:rPr>
          <w:color w:val="231F20"/>
          <w:spacing w:val="-23"/>
          <w:w w:val="105"/>
        </w:rPr>
        <w:t> </w:t>
      </w:r>
      <w:r>
        <w:rPr>
          <w:color w:val="231F20"/>
          <w:w w:val="105"/>
        </w:rPr>
        <w:t>que</w:t>
      </w:r>
      <w:r>
        <w:rPr>
          <w:color w:val="231F20"/>
          <w:spacing w:val="-23"/>
          <w:w w:val="105"/>
        </w:rPr>
        <w:t> </w:t>
      </w:r>
      <w:r>
        <w:rPr>
          <w:color w:val="231F20"/>
          <w:w w:val="105"/>
        </w:rPr>
        <w:t>trabaje</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gente;</w:t>
      </w:r>
      <w:r>
        <w:rPr>
          <w:color w:val="231F20"/>
          <w:spacing w:val="-23"/>
          <w:w w:val="105"/>
        </w:rPr>
        <w:t> </w:t>
      </w:r>
      <w:r>
        <w:rPr>
          <w:color w:val="231F20"/>
          <w:w w:val="105"/>
        </w:rPr>
        <w:t>que</w:t>
      </w:r>
      <w:r>
        <w:rPr>
          <w:color w:val="231F20"/>
          <w:spacing w:val="-23"/>
          <w:w w:val="105"/>
        </w:rPr>
        <w:t> </w:t>
      </w:r>
      <w:r>
        <w:rPr>
          <w:color w:val="231F20"/>
          <w:spacing w:val="-3"/>
          <w:w w:val="105"/>
        </w:rPr>
        <w:t>genere</w:t>
      </w:r>
      <w:r>
        <w:rPr>
          <w:color w:val="231F20"/>
          <w:spacing w:val="-23"/>
          <w:w w:val="105"/>
        </w:rPr>
        <w:t> </w:t>
      </w:r>
      <w:r>
        <w:rPr>
          <w:color w:val="231F20"/>
          <w:w w:val="105"/>
        </w:rPr>
        <w:t>las</w:t>
      </w:r>
      <w:r>
        <w:rPr>
          <w:color w:val="231F20"/>
          <w:spacing w:val="-23"/>
          <w:w w:val="105"/>
        </w:rPr>
        <w:t> </w:t>
      </w:r>
      <w:r>
        <w:rPr>
          <w:color w:val="231F20"/>
          <w:w w:val="105"/>
        </w:rPr>
        <w:t>condiciones</w:t>
      </w:r>
      <w:r>
        <w:rPr>
          <w:color w:val="231F20"/>
          <w:spacing w:val="-23"/>
          <w:w w:val="105"/>
        </w:rPr>
        <w:t> </w:t>
      </w:r>
      <w:r>
        <w:rPr>
          <w:color w:val="231F20"/>
          <w:w w:val="105"/>
        </w:rPr>
        <w:t>económicas,</w:t>
      </w:r>
      <w:r>
        <w:rPr>
          <w:color w:val="231F20"/>
          <w:spacing w:val="-23"/>
          <w:w w:val="105"/>
        </w:rPr>
        <w:t> </w:t>
      </w:r>
      <w:r>
        <w:rPr>
          <w:color w:val="231F20"/>
          <w:w w:val="105"/>
        </w:rPr>
        <w:t>socia- les</w:t>
      </w:r>
      <w:r>
        <w:rPr>
          <w:color w:val="231F20"/>
          <w:spacing w:val="-4"/>
          <w:w w:val="105"/>
        </w:rPr>
        <w:t> </w:t>
      </w:r>
      <w:r>
        <w:rPr>
          <w:color w:val="231F20"/>
          <w:w w:val="105"/>
        </w:rPr>
        <w:t>y</w:t>
      </w:r>
      <w:r>
        <w:rPr>
          <w:color w:val="231F20"/>
          <w:spacing w:val="-4"/>
          <w:w w:val="105"/>
        </w:rPr>
        <w:t> </w:t>
      </w:r>
      <w:r>
        <w:rPr>
          <w:color w:val="231F20"/>
          <w:w w:val="105"/>
        </w:rPr>
        <w:t>políticas</w:t>
      </w:r>
      <w:r>
        <w:rPr>
          <w:color w:val="231F20"/>
          <w:spacing w:val="-4"/>
          <w:w w:val="105"/>
        </w:rPr>
        <w:t> </w:t>
      </w:r>
      <w:r>
        <w:rPr>
          <w:color w:val="231F20"/>
          <w:w w:val="105"/>
        </w:rPr>
        <w:t>para</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Municipio</w:t>
      </w:r>
      <w:r>
        <w:rPr>
          <w:color w:val="231F20"/>
          <w:spacing w:val="-4"/>
          <w:w w:val="105"/>
        </w:rPr>
        <w:t> </w:t>
      </w:r>
      <w:r>
        <w:rPr>
          <w:color w:val="231F20"/>
          <w:w w:val="105"/>
        </w:rPr>
        <w:t>de</w:t>
      </w:r>
      <w:r>
        <w:rPr>
          <w:color w:val="231F20"/>
          <w:spacing w:val="-4"/>
          <w:w w:val="105"/>
        </w:rPr>
        <w:t> </w:t>
      </w:r>
      <w:r>
        <w:rPr>
          <w:color w:val="231F20"/>
          <w:w w:val="105"/>
        </w:rPr>
        <w:t>Ozumba</w:t>
      </w:r>
      <w:r>
        <w:rPr>
          <w:color w:val="231F20"/>
          <w:spacing w:val="-4"/>
          <w:w w:val="105"/>
        </w:rPr>
        <w:t> </w:t>
      </w:r>
      <w:r>
        <w:rPr>
          <w:color w:val="231F20"/>
          <w:w w:val="105"/>
        </w:rPr>
        <w:t>avance</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crecimiento</w:t>
      </w:r>
      <w:r>
        <w:rPr>
          <w:color w:val="231F20"/>
          <w:spacing w:val="-4"/>
          <w:w w:val="105"/>
        </w:rPr>
        <w:t> </w:t>
      </w:r>
      <w:r>
        <w:rPr>
          <w:color w:val="231F20"/>
          <w:w w:val="105"/>
        </w:rPr>
        <w:t>económico, no</w:t>
      </w:r>
      <w:r>
        <w:rPr>
          <w:color w:val="231F20"/>
          <w:spacing w:val="-17"/>
          <w:w w:val="105"/>
        </w:rPr>
        <w:t> </w:t>
      </w:r>
      <w:r>
        <w:rPr>
          <w:color w:val="231F20"/>
          <w:w w:val="105"/>
        </w:rPr>
        <w:t>en</w:t>
      </w:r>
      <w:r>
        <w:rPr>
          <w:color w:val="231F20"/>
          <w:spacing w:val="-17"/>
          <w:w w:val="105"/>
        </w:rPr>
        <w:t> </w:t>
      </w:r>
      <w:r>
        <w:rPr>
          <w:color w:val="231F20"/>
          <w:w w:val="105"/>
        </w:rPr>
        <w:t>lo</w:t>
      </w:r>
      <w:r>
        <w:rPr>
          <w:color w:val="231F20"/>
          <w:spacing w:val="-17"/>
          <w:w w:val="105"/>
        </w:rPr>
        <w:t> </w:t>
      </w:r>
      <w:r>
        <w:rPr>
          <w:color w:val="231F20"/>
          <w:w w:val="105"/>
        </w:rPr>
        <w:t>individual,</w:t>
      </w:r>
      <w:r>
        <w:rPr>
          <w:color w:val="231F20"/>
          <w:spacing w:val="-17"/>
          <w:w w:val="105"/>
        </w:rPr>
        <w:t> </w:t>
      </w:r>
      <w:r>
        <w:rPr>
          <w:color w:val="231F20"/>
          <w:w w:val="105"/>
        </w:rPr>
        <w:t>sino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ámbito</w:t>
      </w:r>
      <w:r>
        <w:rPr>
          <w:color w:val="231F20"/>
          <w:spacing w:val="-17"/>
          <w:w w:val="105"/>
        </w:rPr>
        <w:t> </w:t>
      </w:r>
      <w:r>
        <w:rPr>
          <w:color w:val="231F20"/>
          <w:w w:val="105"/>
        </w:rPr>
        <w:t>regional.</w:t>
      </w:r>
      <w:r>
        <w:rPr>
          <w:color w:val="231F20"/>
          <w:spacing w:val="-17"/>
          <w:w w:val="105"/>
        </w:rPr>
        <w:t> </w:t>
      </w:r>
      <w:r>
        <w:rPr>
          <w:color w:val="231F20"/>
          <w:w w:val="105"/>
        </w:rPr>
        <w:t>Además:</w:t>
      </w:r>
    </w:p>
    <w:p>
      <w:pPr>
        <w:pStyle w:val="BodyText"/>
        <w:spacing w:before="1"/>
        <w:ind w:left="677" w:right="-10"/>
      </w:pPr>
      <w:r>
        <w:rPr>
          <w:color w:val="231F20"/>
          <w:w w:val="105"/>
        </w:rPr>
        <w:t>En el tema de bienestar y asistencia social, se habrá de apoyar la alimentación de</w:t>
      </w:r>
    </w:p>
    <w:p>
      <w:pPr>
        <w:spacing w:after="0"/>
        <w:sectPr>
          <w:footerReference w:type="default" r:id="rId1158"/>
          <w:pgSz w:w="9640" w:h="12190"/>
          <w:pgMar w:footer="743" w:header="0" w:top="1120" w:bottom="940" w:left="740" w:right="740"/>
          <w:pgNumType w:start="460"/>
        </w:sectPr>
      </w:pPr>
    </w:p>
    <w:p>
      <w:pPr>
        <w:pStyle w:val="BodyText"/>
        <w:spacing w:before="3"/>
        <w:rPr>
          <w:sz w:val="11"/>
        </w:rPr>
      </w:pPr>
    </w:p>
    <w:p>
      <w:pPr>
        <w:pStyle w:val="BodyText"/>
        <w:spacing w:line="285" w:lineRule="auto" w:before="36"/>
        <w:ind w:left="677" w:right="106"/>
        <w:jc w:val="both"/>
      </w:pPr>
      <w:r>
        <w:rPr>
          <w:color w:val="231F20"/>
          <w:w w:val="105"/>
        </w:rPr>
        <w:t>los</w:t>
      </w:r>
      <w:r>
        <w:rPr>
          <w:color w:val="231F20"/>
          <w:spacing w:val="-15"/>
          <w:w w:val="105"/>
        </w:rPr>
        <w:t> </w:t>
      </w:r>
      <w:r>
        <w:rPr>
          <w:color w:val="231F20"/>
          <w:w w:val="105"/>
        </w:rPr>
        <w:t>más</w:t>
      </w:r>
      <w:r>
        <w:rPr>
          <w:color w:val="231F20"/>
          <w:spacing w:val="-15"/>
          <w:w w:val="105"/>
        </w:rPr>
        <w:t> </w:t>
      </w:r>
      <w:r>
        <w:rPr>
          <w:color w:val="231F20"/>
          <w:w w:val="105"/>
        </w:rPr>
        <w:t>necesitados,</w:t>
      </w:r>
      <w:r>
        <w:rPr>
          <w:color w:val="231F20"/>
          <w:spacing w:val="-15"/>
          <w:w w:val="105"/>
        </w:rPr>
        <w:t> </w:t>
      </w:r>
      <w:r>
        <w:rPr>
          <w:color w:val="231F20"/>
          <w:w w:val="105"/>
        </w:rPr>
        <w:t>mejorar</w:t>
      </w:r>
      <w:r>
        <w:rPr>
          <w:color w:val="231F20"/>
          <w:spacing w:val="-15"/>
          <w:w w:val="105"/>
        </w:rPr>
        <w:t> </w:t>
      </w:r>
      <w:r>
        <w:rPr>
          <w:color w:val="231F20"/>
          <w:w w:val="105"/>
        </w:rPr>
        <w:t>los</w:t>
      </w:r>
      <w:r>
        <w:rPr>
          <w:color w:val="231F20"/>
          <w:spacing w:val="-15"/>
          <w:w w:val="105"/>
        </w:rPr>
        <w:t> </w:t>
      </w:r>
      <w:r>
        <w:rPr>
          <w:color w:val="231F20"/>
          <w:w w:val="105"/>
        </w:rPr>
        <w:t>sistemas</w:t>
      </w:r>
      <w:r>
        <w:rPr>
          <w:color w:val="231F20"/>
          <w:spacing w:val="-15"/>
          <w:w w:val="105"/>
        </w:rPr>
        <w:t> </w:t>
      </w:r>
      <w:r>
        <w:rPr>
          <w:color w:val="231F20"/>
          <w:w w:val="105"/>
        </w:rPr>
        <w:t>de</w:t>
      </w:r>
      <w:r>
        <w:rPr>
          <w:color w:val="231F20"/>
          <w:spacing w:val="-15"/>
          <w:w w:val="105"/>
        </w:rPr>
        <w:t> </w:t>
      </w:r>
      <w:r>
        <w:rPr>
          <w:color w:val="231F20"/>
          <w:w w:val="105"/>
        </w:rPr>
        <w:t>atención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salud,</w:t>
      </w:r>
      <w:r>
        <w:rPr>
          <w:color w:val="231F20"/>
          <w:spacing w:val="-15"/>
          <w:w w:val="105"/>
        </w:rPr>
        <w:t> </w:t>
      </w:r>
      <w:r>
        <w:rPr>
          <w:color w:val="231F20"/>
          <w:w w:val="105"/>
        </w:rPr>
        <w:t>los</w:t>
      </w:r>
      <w:r>
        <w:rPr>
          <w:color w:val="231F20"/>
          <w:spacing w:val="-15"/>
          <w:w w:val="105"/>
        </w:rPr>
        <w:t> </w:t>
      </w:r>
      <w:r>
        <w:rPr>
          <w:color w:val="231F20"/>
          <w:w w:val="105"/>
        </w:rPr>
        <w:t>servicios</w:t>
      </w:r>
      <w:r>
        <w:rPr>
          <w:color w:val="231F20"/>
          <w:spacing w:val="-15"/>
          <w:w w:val="105"/>
        </w:rPr>
        <w:t> </w:t>
      </w:r>
      <w:r>
        <w:rPr>
          <w:color w:val="231F20"/>
          <w:w w:val="105"/>
        </w:rPr>
        <w:t>de educación,</w:t>
      </w:r>
      <w:r>
        <w:rPr>
          <w:color w:val="231F20"/>
          <w:spacing w:val="-14"/>
          <w:w w:val="105"/>
        </w:rPr>
        <w:t> </w:t>
      </w:r>
      <w:r>
        <w:rPr>
          <w:color w:val="231F20"/>
          <w:w w:val="105"/>
        </w:rPr>
        <w:t>de</w:t>
      </w:r>
      <w:r>
        <w:rPr>
          <w:color w:val="231F20"/>
          <w:spacing w:val="-14"/>
          <w:w w:val="105"/>
        </w:rPr>
        <w:t> </w:t>
      </w:r>
      <w:r>
        <w:rPr>
          <w:color w:val="231F20"/>
          <w:w w:val="105"/>
        </w:rPr>
        <w:t>cultura,</w:t>
      </w:r>
      <w:r>
        <w:rPr>
          <w:color w:val="231F20"/>
          <w:spacing w:val="-14"/>
          <w:w w:val="105"/>
        </w:rPr>
        <w:t> </w:t>
      </w:r>
      <w:r>
        <w:rPr>
          <w:color w:val="231F20"/>
          <w:w w:val="105"/>
        </w:rPr>
        <w:t>deporte</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recreación;</w:t>
      </w:r>
      <w:r>
        <w:rPr>
          <w:color w:val="231F20"/>
          <w:spacing w:val="-14"/>
          <w:w w:val="105"/>
        </w:rPr>
        <w:t> </w:t>
      </w:r>
      <w:r>
        <w:rPr>
          <w:color w:val="231F20"/>
          <w:w w:val="105"/>
        </w:rPr>
        <w:t>en</w:t>
      </w:r>
      <w:r>
        <w:rPr>
          <w:color w:val="231F20"/>
          <w:spacing w:val="-14"/>
          <w:w w:val="105"/>
        </w:rPr>
        <w:t> </w:t>
      </w:r>
      <w:r>
        <w:rPr>
          <w:color w:val="231F20"/>
          <w:w w:val="105"/>
        </w:rPr>
        <w:t>apoyo</w:t>
      </w:r>
      <w:r>
        <w:rPr>
          <w:color w:val="231F20"/>
          <w:spacing w:val="-14"/>
          <w:w w:val="105"/>
        </w:rPr>
        <w:t> </w:t>
      </w:r>
      <w:r>
        <w:rPr>
          <w:color w:val="231F20"/>
          <w:spacing w:val="2"/>
          <w:w w:val="105"/>
        </w:rPr>
        <w:t>al</w:t>
      </w:r>
      <w:r>
        <w:rPr>
          <w:color w:val="231F20"/>
          <w:spacing w:val="-14"/>
          <w:w w:val="105"/>
        </w:rPr>
        <w:t> </w:t>
      </w:r>
      <w:r>
        <w:rPr>
          <w:color w:val="231F20"/>
          <w:w w:val="105"/>
        </w:rPr>
        <w:t>desarrollo</w:t>
      </w:r>
      <w:r>
        <w:rPr>
          <w:color w:val="231F20"/>
          <w:spacing w:val="-14"/>
          <w:w w:val="105"/>
        </w:rPr>
        <w:t> </w:t>
      </w:r>
      <w:r>
        <w:rPr>
          <w:color w:val="231F20"/>
          <w:w w:val="105"/>
        </w:rPr>
        <w:t>económico y social del municipio se habrá de reordenar el crecimiento urbano; </w:t>
      </w:r>
      <w:r>
        <w:rPr>
          <w:color w:val="231F20"/>
          <w:spacing w:val="2"/>
          <w:w w:val="105"/>
        </w:rPr>
        <w:t>al </w:t>
      </w:r>
      <w:r>
        <w:rPr>
          <w:color w:val="231F20"/>
          <w:w w:val="105"/>
        </w:rPr>
        <w:t>no tener obras inconclusas de las anteriores administraciones municipales, se habrán de realizar</w:t>
      </w:r>
      <w:r>
        <w:rPr>
          <w:color w:val="231F20"/>
          <w:spacing w:val="-6"/>
          <w:w w:val="105"/>
        </w:rPr>
        <w:t> </w:t>
      </w:r>
      <w:r>
        <w:rPr>
          <w:color w:val="231F20"/>
          <w:w w:val="105"/>
        </w:rPr>
        <w:t>las</w:t>
      </w:r>
      <w:r>
        <w:rPr>
          <w:color w:val="231F20"/>
          <w:spacing w:val="-6"/>
          <w:w w:val="105"/>
        </w:rPr>
        <w:t> </w:t>
      </w:r>
      <w:r>
        <w:rPr>
          <w:color w:val="231F20"/>
          <w:w w:val="105"/>
        </w:rPr>
        <w:t>obras</w:t>
      </w:r>
      <w:r>
        <w:rPr>
          <w:color w:val="231F20"/>
          <w:spacing w:val="-6"/>
          <w:w w:val="105"/>
        </w:rPr>
        <w:t> </w:t>
      </w:r>
      <w:r>
        <w:rPr>
          <w:color w:val="231F20"/>
          <w:w w:val="105"/>
        </w:rPr>
        <w:t>públicas</w:t>
      </w:r>
      <w:r>
        <w:rPr>
          <w:color w:val="231F20"/>
          <w:spacing w:val="-6"/>
          <w:w w:val="105"/>
        </w:rPr>
        <w:t> </w:t>
      </w:r>
      <w:r>
        <w:rPr>
          <w:color w:val="231F20"/>
          <w:w w:val="105"/>
        </w:rPr>
        <w:t>que</w:t>
      </w:r>
      <w:r>
        <w:rPr>
          <w:color w:val="231F20"/>
          <w:spacing w:val="-6"/>
          <w:w w:val="105"/>
        </w:rPr>
        <w:t> </w:t>
      </w:r>
      <w:r>
        <w:rPr>
          <w:color w:val="231F20"/>
          <w:w w:val="105"/>
        </w:rPr>
        <w:t>proponga</w:t>
      </w:r>
      <w:r>
        <w:rPr>
          <w:color w:val="231F20"/>
          <w:spacing w:val="-6"/>
          <w:w w:val="105"/>
        </w:rPr>
        <w:t> </w:t>
      </w:r>
      <w:r>
        <w:rPr>
          <w:color w:val="231F20"/>
          <w:w w:val="105"/>
        </w:rPr>
        <w:t>la</w:t>
      </w:r>
      <w:r>
        <w:rPr>
          <w:color w:val="231F20"/>
          <w:spacing w:val="-6"/>
          <w:w w:val="105"/>
        </w:rPr>
        <w:t> </w:t>
      </w:r>
      <w:r>
        <w:rPr>
          <w:color w:val="231F20"/>
          <w:w w:val="105"/>
        </w:rPr>
        <w:t>población</w:t>
      </w:r>
      <w:r>
        <w:rPr>
          <w:color w:val="231F20"/>
          <w:spacing w:val="-6"/>
          <w:w w:val="105"/>
        </w:rPr>
        <w:t> </w:t>
      </w:r>
      <w:r>
        <w:rPr>
          <w:color w:val="231F20"/>
          <w:w w:val="105"/>
        </w:rPr>
        <w:t>y</w:t>
      </w:r>
      <w:r>
        <w:rPr>
          <w:color w:val="231F20"/>
          <w:spacing w:val="-6"/>
          <w:w w:val="105"/>
        </w:rPr>
        <w:t> </w:t>
      </w:r>
      <w:r>
        <w:rPr>
          <w:color w:val="231F20"/>
          <w:w w:val="105"/>
        </w:rPr>
        <w:t>que</w:t>
      </w:r>
      <w:r>
        <w:rPr>
          <w:color w:val="231F20"/>
          <w:spacing w:val="-6"/>
          <w:w w:val="105"/>
        </w:rPr>
        <w:t> </w:t>
      </w:r>
      <w:r>
        <w:rPr>
          <w:color w:val="231F20"/>
          <w:w w:val="105"/>
        </w:rPr>
        <w:t>sean</w:t>
      </w:r>
      <w:r>
        <w:rPr>
          <w:color w:val="231F20"/>
          <w:spacing w:val="-6"/>
          <w:w w:val="105"/>
        </w:rPr>
        <w:t> </w:t>
      </w:r>
      <w:r>
        <w:rPr>
          <w:color w:val="231F20"/>
          <w:w w:val="105"/>
        </w:rPr>
        <w:t>necesarias</w:t>
      </w:r>
      <w:r>
        <w:rPr>
          <w:color w:val="231F20"/>
          <w:spacing w:val="-6"/>
          <w:w w:val="105"/>
        </w:rPr>
        <w:t> </w:t>
      </w:r>
      <w:r>
        <w:rPr>
          <w:color w:val="231F20"/>
          <w:w w:val="105"/>
        </w:rPr>
        <w:t>para mejorarlos actuales niveles de bienestar social de las </w:t>
      </w:r>
      <w:r>
        <w:rPr>
          <w:color w:val="231F20"/>
          <w:spacing w:val="2"/>
          <w:w w:val="105"/>
        </w:rPr>
        <w:t>familias </w:t>
      </w:r>
      <w:r>
        <w:rPr>
          <w:color w:val="231F20"/>
          <w:w w:val="105"/>
        </w:rPr>
        <w:t>que habitan en el Municipio.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Plan</w:t>
      </w:r>
      <w:r>
        <w:rPr>
          <w:color w:val="231F20"/>
          <w:spacing w:val="-21"/>
          <w:w w:val="105"/>
        </w:rPr>
        <w:t> </w:t>
      </w:r>
      <w:r>
        <w:rPr>
          <w:color w:val="231F20"/>
          <w:w w:val="105"/>
        </w:rPr>
        <w:t>de</w:t>
      </w:r>
      <w:r>
        <w:rPr>
          <w:color w:val="231F20"/>
          <w:spacing w:val="-21"/>
          <w:w w:val="105"/>
        </w:rPr>
        <w:t> </w:t>
      </w:r>
      <w:r>
        <w:rPr>
          <w:color w:val="231F20"/>
          <w:w w:val="105"/>
        </w:rPr>
        <w:t>Desarrollo</w:t>
      </w:r>
      <w:r>
        <w:rPr>
          <w:color w:val="231F20"/>
          <w:spacing w:val="-21"/>
          <w:w w:val="105"/>
        </w:rPr>
        <w:t> </w:t>
      </w:r>
      <w:r>
        <w:rPr>
          <w:color w:val="231F20"/>
          <w:spacing w:val="2"/>
          <w:w w:val="105"/>
        </w:rPr>
        <w:t>2006-2009</w:t>
      </w:r>
      <w:r>
        <w:rPr>
          <w:color w:val="231F20"/>
          <w:spacing w:val="-21"/>
          <w:w w:val="105"/>
        </w:rPr>
        <w:t> </w:t>
      </w:r>
      <w:r>
        <w:rPr>
          <w:color w:val="231F20"/>
          <w:w w:val="105"/>
        </w:rPr>
        <w:t>se</w:t>
      </w:r>
      <w:r>
        <w:rPr>
          <w:color w:val="231F20"/>
          <w:spacing w:val="-21"/>
          <w:w w:val="105"/>
        </w:rPr>
        <w:t> </w:t>
      </w:r>
      <w:r>
        <w:rPr>
          <w:color w:val="231F20"/>
          <w:w w:val="105"/>
        </w:rPr>
        <w:t>estipulan</w:t>
      </w:r>
      <w:r>
        <w:rPr>
          <w:color w:val="231F20"/>
          <w:spacing w:val="-21"/>
          <w:w w:val="105"/>
        </w:rPr>
        <w:t> </w:t>
      </w:r>
      <w:r>
        <w:rPr>
          <w:color w:val="231F20"/>
          <w:w w:val="105"/>
        </w:rPr>
        <w:t>tres</w:t>
      </w:r>
      <w:r>
        <w:rPr>
          <w:color w:val="231F20"/>
          <w:spacing w:val="-21"/>
          <w:w w:val="105"/>
        </w:rPr>
        <w:t> </w:t>
      </w:r>
      <w:r>
        <w:rPr>
          <w:color w:val="231F20"/>
          <w:w w:val="105"/>
        </w:rPr>
        <w:t>pilares</w:t>
      </w:r>
      <w:r>
        <w:rPr>
          <w:color w:val="231F20"/>
          <w:spacing w:val="-21"/>
          <w:w w:val="105"/>
        </w:rPr>
        <w:t> </w:t>
      </w:r>
      <w:r>
        <w:rPr>
          <w:color w:val="231F20"/>
          <w:w w:val="105"/>
        </w:rPr>
        <w:t>en</w:t>
      </w:r>
      <w:r>
        <w:rPr>
          <w:color w:val="231F20"/>
          <w:spacing w:val="-21"/>
          <w:w w:val="105"/>
        </w:rPr>
        <w:t> </w:t>
      </w:r>
      <w:r>
        <w:rPr>
          <w:color w:val="231F20"/>
          <w:w w:val="105"/>
        </w:rPr>
        <w:t>concordancia</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w w:val="105"/>
        </w:rPr>
        <w:t>Plan estatal;</w:t>
      </w:r>
      <w:r>
        <w:rPr>
          <w:color w:val="231F20"/>
          <w:spacing w:val="-31"/>
          <w:w w:val="105"/>
        </w:rPr>
        <w:t> </w:t>
      </w:r>
      <w:r>
        <w:rPr>
          <w:color w:val="231F20"/>
          <w:spacing w:val="-7"/>
          <w:w w:val="105"/>
        </w:rPr>
        <w:t>1)</w:t>
      </w:r>
      <w:r>
        <w:rPr>
          <w:color w:val="231F20"/>
          <w:spacing w:val="-31"/>
          <w:w w:val="105"/>
        </w:rPr>
        <w:t> </w:t>
      </w:r>
      <w:r>
        <w:rPr>
          <w:color w:val="231F20"/>
          <w:w w:val="105"/>
        </w:rPr>
        <w:t>Seguridad</w:t>
      </w:r>
      <w:r>
        <w:rPr>
          <w:color w:val="231F20"/>
          <w:spacing w:val="-31"/>
          <w:w w:val="105"/>
        </w:rPr>
        <w:t> </w:t>
      </w:r>
      <w:r>
        <w:rPr>
          <w:color w:val="231F20"/>
          <w:w w:val="105"/>
        </w:rPr>
        <w:t>Social</w:t>
      </w:r>
      <w:r>
        <w:rPr>
          <w:color w:val="231F20"/>
          <w:spacing w:val="-31"/>
          <w:w w:val="105"/>
        </w:rPr>
        <w:t> </w:t>
      </w:r>
      <w:r>
        <w:rPr>
          <w:color w:val="231F20"/>
          <w:w w:val="105"/>
        </w:rPr>
        <w:t>Municipal,</w:t>
      </w:r>
      <w:r>
        <w:rPr>
          <w:color w:val="231F20"/>
          <w:spacing w:val="-31"/>
          <w:w w:val="105"/>
        </w:rPr>
        <w:t> </w:t>
      </w:r>
      <w:r>
        <w:rPr>
          <w:color w:val="231F20"/>
          <w:spacing w:val="-4"/>
          <w:w w:val="105"/>
        </w:rPr>
        <w:t>2)</w:t>
      </w:r>
      <w:r>
        <w:rPr>
          <w:color w:val="231F20"/>
          <w:spacing w:val="-31"/>
          <w:w w:val="105"/>
        </w:rPr>
        <w:t> </w:t>
      </w:r>
      <w:r>
        <w:rPr>
          <w:color w:val="231F20"/>
          <w:w w:val="105"/>
        </w:rPr>
        <w:t>Seguridad</w:t>
      </w:r>
      <w:r>
        <w:rPr>
          <w:color w:val="231F20"/>
          <w:spacing w:val="-31"/>
          <w:w w:val="105"/>
        </w:rPr>
        <w:t> </w:t>
      </w:r>
      <w:r>
        <w:rPr>
          <w:color w:val="231F20"/>
          <w:w w:val="105"/>
        </w:rPr>
        <w:t>Económica</w:t>
      </w:r>
      <w:r>
        <w:rPr>
          <w:color w:val="231F20"/>
          <w:spacing w:val="-31"/>
          <w:w w:val="105"/>
        </w:rPr>
        <w:t> </w:t>
      </w:r>
      <w:r>
        <w:rPr>
          <w:color w:val="231F20"/>
          <w:w w:val="105"/>
        </w:rPr>
        <w:t>Municipal,</w:t>
      </w:r>
      <w:r>
        <w:rPr>
          <w:color w:val="231F20"/>
          <w:spacing w:val="-31"/>
          <w:w w:val="105"/>
        </w:rPr>
        <w:t> </w:t>
      </w:r>
      <w:r>
        <w:rPr>
          <w:color w:val="231F20"/>
          <w:spacing w:val="-4"/>
          <w:w w:val="105"/>
        </w:rPr>
        <w:t>3)</w:t>
      </w:r>
      <w:r>
        <w:rPr>
          <w:color w:val="231F20"/>
          <w:spacing w:val="-31"/>
          <w:w w:val="105"/>
        </w:rPr>
        <w:t> </w:t>
      </w:r>
      <w:r>
        <w:rPr>
          <w:color w:val="231F20"/>
          <w:w w:val="105"/>
        </w:rPr>
        <w:t>Seguridad Pública</w:t>
      </w:r>
      <w:r>
        <w:rPr>
          <w:color w:val="231F20"/>
          <w:spacing w:val="-39"/>
          <w:w w:val="105"/>
        </w:rPr>
        <w:t> </w:t>
      </w:r>
      <w:r>
        <w:rPr>
          <w:color w:val="231F20"/>
          <w:w w:val="105"/>
        </w:rPr>
        <w:t>Municipal.</w:t>
      </w:r>
    </w:p>
    <w:p>
      <w:pPr>
        <w:pStyle w:val="BodyText"/>
        <w:spacing w:before="1"/>
        <w:rPr>
          <w:sz w:val="26"/>
        </w:rPr>
      </w:pPr>
    </w:p>
    <w:p>
      <w:pPr>
        <w:pStyle w:val="BodyText"/>
        <w:spacing w:line="285" w:lineRule="auto"/>
        <w:ind w:left="110" w:right="108"/>
        <w:jc w:val="both"/>
      </w:pPr>
      <w:r>
        <w:rPr>
          <w:color w:val="231F20"/>
          <w:w w:val="105"/>
        </w:rPr>
        <w:t>Los criterios fundamentales que determinan la asignación de las prioridades del Plan son las siguientes:</w:t>
      </w:r>
    </w:p>
    <w:p>
      <w:pPr>
        <w:pStyle w:val="ListParagraph"/>
        <w:numPr>
          <w:ilvl w:val="1"/>
          <w:numId w:val="25"/>
        </w:numPr>
        <w:tabs>
          <w:tab w:pos="886" w:val="left" w:leader="none"/>
        </w:tabs>
        <w:spacing w:line="240" w:lineRule="auto" w:before="1" w:after="0"/>
        <w:ind w:left="677" w:right="0" w:firstLine="0"/>
        <w:jc w:val="both"/>
        <w:rPr>
          <w:rFonts w:ascii="Times New Roman" w:hAnsi="Times New Roman"/>
          <w:sz w:val="22"/>
        </w:rPr>
      </w:pPr>
      <w:r>
        <w:rPr>
          <w:rFonts w:ascii="Times New Roman" w:hAnsi="Times New Roman"/>
          <w:color w:val="231F20"/>
          <w:w w:val="105"/>
          <w:sz w:val="22"/>
        </w:rPr>
        <w:t>Cumplir</w:t>
      </w:r>
      <w:r>
        <w:rPr>
          <w:rFonts w:ascii="Times New Roman" w:hAnsi="Times New Roman"/>
          <w:color w:val="231F20"/>
          <w:spacing w:val="-17"/>
          <w:w w:val="105"/>
          <w:sz w:val="22"/>
        </w:rPr>
        <w:t> </w:t>
      </w:r>
      <w:r>
        <w:rPr>
          <w:rFonts w:ascii="Times New Roman" w:hAnsi="Times New Roman"/>
          <w:color w:val="231F20"/>
          <w:w w:val="105"/>
          <w:sz w:val="22"/>
        </w:rPr>
        <w:t>todo</w:t>
      </w:r>
      <w:r>
        <w:rPr>
          <w:rFonts w:ascii="Times New Roman" w:hAnsi="Times New Roman"/>
          <w:color w:val="231F20"/>
          <w:spacing w:val="-17"/>
          <w:w w:val="105"/>
          <w:sz w:val="22"/>
        </w:rPr>
        <w:t> </w:t>
      </w:r>
      <w:r>
        <w:rPr>
          <w:rFonts w:ascii="Times New Roman" w:hAnsi="Times New Roman"/>
          <w:color w:val="231F20"/>
          <w:w w:val="105"/>
          <w:sz w:val="22"/>
        </w:rPr>
        <w:t>aquello</w:t>
      </w:r>
      <w:r>
        <w:rPr>
          <w:rFonts w:ascii="Times New Roman" w:hAnsi="Times New Roman"/>
          <w:color w:val="231F20"/>
          <w:spacing w:val="-17"/>
          <w:w w:val="105"/>
          <w:sz w:val="22"/>
        </w:rPr>
        <w:t> </w:t>
      </w:r>
      <w:r>
        <w:rPr>
          <w:rFonts w:ascii="Times New Roman" w:hAnsi="Times New Roman"/>
          <w:color w:val="231F20"/>
          <w:w w:val="105"/>
          <w:sz w:val="22"/>
        </w:rPr>
        <w:t>que</w:t>
      </w:r>
      <w:r>
        <w:rPr>
          <w:rFonts w:ascii="Times New Roman" w:hAnsi="Times New Roman"/>
          <w:color w:val="231F20"/>
          <w:spacing w:val="-17"/>
          <w:w w:val="105"/>
          <w:sz w:val="22"/>
        </w:rPr>
        <w:t> </w:t>
      </w:r>
      <w:r>
        <w:rPr>
          <w:rFonts w:ascii="Times New Roman" w:hAnsi="Times New Roman"/>
          <w:color w:val="231F20"/>
          <w:w w:val="105"/>
          <w:sz w:val="22"/>
        </w:rPr>
        <w:t>obliga</w:t>
      </w:r>
      <w:r>
        <w:rPr>
          <w:rFonts w:ascii="Times New Roman" w:hAnsi="Times New Roman"/>
          <w:color w:val="231F20"/>
          <w:spacing w:val="-17"/>
          <w:w w:val="105"/>
          <w:sz w:val="22"/>
        </w:rPr>
        <w:t> </w:t>
      </w:r>
      <w:r>
        <w:rPr>
          <w:rFonts w:ascii="Times New Roman" w:hAnsi="Times New Roman"/>
          <w:color w:val="231F20"/>
          <w:w w:val="105"/>
          <w:sz w:val="22"/>
        </w:rPr>
        <w:t>el</w:t>
      </w:r>
      <w:r>
        <w:rPr>
          <w:rFonts w:ascii="Times New Roman" w:hAnsi="Times New Roman"/>
          <w:color w:val="231F20"/>
          <w:spacing w:val="-17"/>
          <w:w w:val="105"/>
          <w:sz w:val="22"/>
        </w:rPr>
        <w:t> </w:t>
      </w:r>
      <w:r>
        <w:rPr>
          <w:rFonts w:ascii="Times New Roman" w:hAnsi="Times New Roman"/>
          <w:color w:val="231F20"/>
          <w:w w:val="105"/>
          <w:sz w:val="22"/>
        </w:rPr>
        <w:t>marco</w:t>
      </w:r>
      <w:r>
        <w:rPr>
          <w:rFonts w:ascii="Times New Roman" w:hAnsi="Times New Roman"/>
          <w:color w:val="231F20"/>
          <w:spacing w:val="-17"/>
          <w:w w:val="105"/>
          <w:sz w:val="22"/>
        </w:rPr>
        <w:t> </w:t>
      </w:r>
      <w:r>
        <w:rPr>
          <w:rFonts w:ascii="Times New Roman" w:hAnsi="Times New Roman"/>
          <w:color w:val="231F20"/>
          <w:w w:val="105"/>
          <w:sz w:val="22"/>
        </w:rPr>
        <w:t>jurídico</w:t>
      </w:r>
      <w:r>
        <w:rPr>
          <w:rFonts w:ascii="Times New Roman" w:hAnsi="Times New Roman"/>
          <w:color w:val="231F20"/>
          <w:spacing w:val="-17"/>
          <w:w w:val="105"/>
          <w:sz w:val="22"/>
        </w:rPr>
        <w:t> </w:t>
      </w:r>
      <w:r>
        <w:rPr>
          <w:rFonts w:ascii="Times New Roman" w:hAnsi="Times New Roman"/>
          <w:color w:val="231F20"/>
          <w:w w:val="105"/>
          <w:sz w:val="22"/>
        </w:rPr>
        <w:t>vigente.</w:t>
      </w:r>
    </w:p>
    <w:p>
      <w:pPr>
        <w:pStyle w:val="ListParagraph"/>
        <w:numPr>
          <w:ilvl w:val="1"/>
          <w:numId w:val="25"/>
        </w:numPr>
        <w:tabs>
          <w:tab w:pos="895" w:val="left" w:leader="none"/>
        </w:tabs>
        <w:spacing w:line="240" w:lineRule="auto" w:before="47" w:after="0"/>
        <w:ind w:left="894" w:right="0" w:hanging="217"/>
        <w:jc w:val="both"/>
        <w:rPr>
          <w:rFonts w:ascii="Times New Roman" w:hAnsi="Times New Roman"/>
          <w:sz w:val="22"/>
        </w:rPr>
      </w:pPr>
      <w:r>
        <w:rPr>
          <w:rFonts w:ascii="Times New Roman" w:hAnsi="Times New Roman"/>
          <w:color w:val="231F20"/>
          <w:w w:val="105"/>
          <w:sz w:val="22"/>
        </w:rPr>
        <w:t>Dar</w:t>
      </w:r>
      <w:r>
        <w:rPr>
          <w:rFonts w:ascii="Times New Roman" w:hAnsi="Times New Roman"/>
          <w:color w:val="231F20"/>
          <w:spacing w:val="-14"/>
          <w:w w:val="105"/>
          <w:sz w:val="22"/>
        </w:rPr>
        <w:t> </w:t>
      </w:r>
      <w:r>
        <w:rPr>
          <w:rFonts w:ascii="Times New Roman" w:hAnsi="Times New Roman"/>
          <w:color w:val="231F20"/>
          <w:w w:val="105"/>
          <w:sz w:val="22"/>
        </w:rPr>
        <w:t>atención</w:t>
      </w:r>
      <w:r>
        <w:rPr>
          <w:rFonts w:ascii="Times New Roman" w:hAnsi="Times New Roman"/>
          <w:color w:val="231F20"/>
          <w:spacing w:val="-14"/>
          <w:w w:val="105"/>
          <w:sz w:val="22"/>
        </w:rPr>
        <w:t> </w:t>
      </w:r>
      <w:r>
        <w:rPr>
          <w:rFonts w:ascii="Times New Roman" w:hAnsi="Times New Roman"/>
          <w:color w:val="231F20"/>
          <w:w w:val="105"/>
          <w:sz w:val="22"/>
        </w:rPr>
        <w:t>a</w:t>
      </w:r>
      <w:r>
        <w:rPr>
          <w:rFonts w:ascii="Times New Roman" w:hAnsi="Times New Roman"/>
          <w:color w:val="231F20"/>
          <w:spacing w:val="-14"/>
          <w:w w:val="105"/>
          <w:sz w:val="22"/>
        </w:rPr>
        <w:t> </w:t>
      </w:r>
      <w:r>
        <w:rPr>
          <w:rFonts w:ascii="Times New Roman" w:hAnsi="Times New Roman"/>
          <w:color w:val="231F20"/>
          <w:w w:val="105"/>
          <w:sz w:val="22"/>
        </w:rPr>
        <w:t>las</w:t>
      </w:r>
      <w:r>
        <w:rPr>
          <w:rFonts w:ascii="Times New Roman" w:hAnsi="Times New Roman"/>
          <w:color w:val="231F20"/>
          <w:spacing w:val="-14"/>
          <w:w w:val="105"/>
          <w:sz w:val="22"/>
        </w:rPr>
        <w:t> </w:t>
      </w:r>
      <w:r>
        <w:rPr>
          <w:rFonts w:ascii="Times New Roman" w:hAnsi="Times New Roman"/>
          <w:color w:val="231F20"/>
          <w:w w:val="105"/>
          <w:sz w:val="22"/>
        </w:rPr>
        <w:t>obras</w:t>
      </w:r>
      <w:r>
        <w:rPr>
          <w:rFonts w:ascii="Times New Roman" w:hAnsi="Times New Roman"/>
          <w:color w:val="231F20"/>
          <w:spacing w:val="-14"/>
          <w:w w:val="105"/>
          <w:sz w:val="22"/>
        </w:rPr>
        <w:t> </w:t>
      </w:r>
      <w:r>
        <w:rPr>
          <w:rFonts w:ascii="Times New Roman" w:hAnsi="Times New Roman"/>
          <w:color w:val="231F20"/>
          <w:w w:val="105"/>
          <w:sz w:val="22"/>
        </w:rPr>
        <w:t>y</w:t>
      </w:r>
      <w:r>
        <w:rPr>
          <w:rFonts w:ascii="Times New Roman" w:hAnsi="Times New Roman"/>
          <w:color w:val="231F20"/>
          <w:spacing w:val="-14"/>
          <w:w w:val="105"/>
          <w:sz w:val="22"/>
        </w:rPr>
        <w:t> </w:t>
      </w:r>
      <w:r>
        <w:rPr>
          <w:rFonts w:ascii="Times New Roman" w:hAnsi="Times New Roman"/>
          <w:color w:val="231F20"/>
          <w:w w:val="105"/>
          <w:sz w:val="22"/>
        </w:rPr>
        <w:t>acciones</w:t>
      </w:r>
      <w:r>
        <w:rPr>
          <w:rFonts w:ascii="Times New Roman" w:hAnsi="Times New Roman"/>
          <w:color w:val="231F20"/>
          <w:spacing w:val="-14"/>
          <w:w w:val="105"/>
          <w:sz w:val="22"/>
        </w:rPr>
        <w:t> </w:t>
      </w:r>
      <w:r>
        <w:rPr>
          <w:rFonts w:ascii="Times New Roman" w:hAnsi="Times New Roman"/>
          <w:color w:val="231F20"/>
          <w:w w:val="105"/>
          <w:sz w:val="22"/>
        </w:rPr>
        <w:t>que</w:t>
      </w:r>
      <w:r>
        <w:rPr>
          <w:rFonts w:ascii="Times New Roman" w:hAnsi="Times New Roman"/>
          <w:color w:val="231F20"/>
          <w:spacing w:val="-14"/>
          <w:w w:val="105"/>
          <w:sz w:val="22"/>
        </w:rPr>
        <w:t> </w:t>
      </w:r>
      <w:r>
        <w:rPr>
          <w:rFonts w:ascii="Times New Roman" w:hAnsi="Times New Roman"/>
          <w:color w:val="231F20"/>
          <w:w w:val="105"/>
          <w:sz w:val="22"/>
        </w:rPr>
        <w:t>tienen</w:t>
      </w:r>
      <w:r>
        <w:rPr>
          <w:rFonts w:ascii="Times New Roman" w:hAnsi="Times New Roman"/>
          <w:color w:val="231F20"/>
          <w:spacing w:val="-14"/>
          <w:w w:val="105"/>
          <w:sz w:val="22"/>
        </w:rPr>
        <w:t> </w:t>
      </w:r>
      <w:r>
        <w:rPr>
          <w:rFonts w:ascii="Times New Roman" w:hAnsi="Times New Roman"/>
          <w:color w:val="231F20"/>
          <w:w w:val="105"/>
          <w:sz w:val="22"/>
        </w:rPr>
        <w:t>el</w:t>
      </w:r>
      <w:r>
        <w:rPr>
          <w:rFonts w:ascii="Times New Roman" w:hAnsi="Times New Roman"/>
          <w:color w:val="231F20"/>
          <w:spacing w:val="-14"/>
          <w:w w:val="105"/>
          <w:sz w:val="22"/>
        </w:rPr>
        <w:t> </w:t>
      </w:r>
      <w:r>
        <w:rPr>
          <w:rFonts w:ascii="Times New Roman" w:hAnsi="Times New Roman"/>
          <w:color w:val="231F20"/>
          <w:w w:val="105"/>
          <w:sz w:val="22"/>
        </w:rPr>
        <w:t>consenso</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la</w:t>
      </w:r>
      <w:r>
        <w:rPr>
          <w:rFonts w:ascii="Times New Roman" w:hAnsi="Times New Roman"/>
          <w:color w:val="231F20"/>
          <w:spacing w:val="-14"/>
          <w:w w:val="105"/>
          <w:sz w:val="22"/>
        </w:rPr>
        <w:t> </w:t>
      </w:r>
      <w:r>
        <w:rPr>
          <w:rFonts w:ascii="Times New Roman" w:hAnsi="Times New Roman"/>
          <w:color w:val="231F20"/>
          <w:w w:val="105"/>
          <w:sz w:val="22"/>
        </w:rPr>
        <w:t>gente.</w:t>
      </w:r>
    </w:p>
    <w:p>
      <w:pPr>
        <w:pStyle w:val="ListParagraph"/>
        <w:numPr>
          <w:ilvl w:val="1"/>
          <w:numId w:val="25"/>
        </w:numPr>
        <w:tabs>
          <w:tab w:pos="891" w:val="left" w:leader="none"/>
        </w:tabs>
        <w:spacing w:line="240" w:lineRule="auto" w:before="47" w:after="0"/>
        <w:ind w:left="890" w:right="0" w:hanging="213"/>
        <w:jc w:val="both"/>
        <w:rPr>
          <w:rFonts w:ascii="Times New Roman" w:hAnsi="Times New Roman"/>
          <w:sz w:val="22"/>
        </w:rPr>
      </w:pPr>
      <w:r>
        <w:rPr>
          <w:rFonts w:ascii="Times New Roman" w:hAnsi="Times New Roman"/>
          <w:color w:val="231F20"/>
          <w:w w:val="105"/>
          <w:sz w:val="22"/>
        </w:rPr>
        <w:t>Aquello</w:t>
      </w:r>
      <w:r>
        <w:rPr>
          <w:rFonts w:ascii="Times New Roman" w:hAnsi="Times New Roman"/>
          <w:color w:val="231F20"/>
          <w:spacing w:val="-14"/>
          <w:w w:val="105"/>
          <w:sz w:val="22"/>
        </w:rPr>
        <w:t> </w:t>
      </w:r>
      <w:r>
        <w:rPr>
          <w:rFonts w:ascii="Times New Roman" w:hAnsi="Times New Roman"/>
          <w:color w:val="231F20"/>
          <w:w w:val="105"/>
          <w:sz w:val="22"/>
        </w:rPr>
        <w:t>que</w:t>
      </w:r>
      <w:r>
        <w:rPr>
          <w:rFonts w:ascii="Times New Roman" w:hAnsi="Times New Roman"/>
          <w:color w:val="231F20"/>
          <w:spacing w:val="-14"/>
          <w:w w:val="105"/>
          <w:sz w:val="22"/>
        </w:rPr>
        <w:t> </w:t>
      </w:r>
      <w:r>
        <w:rPr>
          <w:rFonts w:ascii="Times New Roman" w:hAnsi="Times New Roman"/>
          <w:color w:val="231F20"/>
          <w:w w:val="105"/>
          <w:sz w:val="22"/>
        </w:rPr>
        <w:t>tiene</w:t>
      </w:r>
      <w:r>
        <w:rPr>
          <w:rFonts w:ascii="Times New Roman" w:hAnsi="Times New Roman"/>
          <w:color w:val="231F20"/>
          <w:spacing w:val="-14"/>
          <w:w w:val="105"/>
          <w:sz w:val="22"/>
        </w:rPr>
        <w:t> </w:t>
      </w:r>
      <w:r>
        <w:rPr>
          <w:rFonts w:ascii="Times New Roman" w:hAnsi="Times New Roman"/>
          <w:color w:val="231F20"/>
          <w:w w:val="105"/>
          <w:sz w:val="22"/>
        </w:rPr>
        <w:t>un</w:t>
      </w:r>
      <w:r>
        <w:rPr>
          <w:rFonts w:ascii="Times New Roman" w:hAnsi="Times New Roman"/>
          <w:color w:val="231F20"/>
          <w:spacing w:val="-14"/>
          <w:w w:val="105"/>
          <w:sz w:val="22"/>
        </w:rPr>
        <w:t> </w:t>
      </w:r>
      <w:r>
        <w:rPr>
          <w:rFonts w:ascii="Times New Roman" w:hAnsi="Times New Roman"/>
          <w:color w:val="231F20"/>
          <w:w w:val="105"/>
          <w:sz w:val="22"/>
        </w:rPr>
        <w:t>menor</w:t>
      </w:r>
      <w:r>
        <w:rPr>
          <w:rFonts w:ascii="Times New Roman" w:hAnsi="Times New Roman"/>
          <w:color w:val="231F20"/>
          <w:spacing w:val="-14"/>
          <w:w w:val="105"/>
          <w:sz w:val="22"/>
        </w:rPr>
        <w:t> </w:t>
      </w:r>
      <w:r>
        <w:rPr>
          <w:rFonts w:ascii="Times New Roman" w:hAnsi="Times New Roman"/>
          <w:color w:val="231F20"/>
          <w:w w:val="105"/>
          <w:sz w:val="22"/>
        </w:rPr>
        <w:t>costo</w:t>
      </w:r>
      <w:r>
        <w:rPr>
          <w:rFonts w:ascii="Times New Roman" w:hAnsi="Times New Roman"/>
          <w:color w:val="231F20"/>
          <w:spacing w:val="-14"/>
          <w:w w:val="105"/>
          <w:sz w:val="22"/>
        </w:rPr>
        <w:t> </w:t>
      </w:r>
      <w:r>
        <w:rPr>
          <w:rFonts w:ascii="Times New Roman" w:hAnsi="Times New Roman"/>
          <w:color w:val="231F20"/>
          <w:w w:val="105"/>
          <w:sz w:val="22"/>
        </w:rPr>
        <w:t>y</w:t>
      </w:r>
      <w:r>
        <w:rPr>
          <w:rFonts w:ascii="Times New Roman" w:hAnsi="Times New Roman"/>
          <w:color w:val="231F20"/>
          <w:spacing w:val="-14"/>
          <w:w w:val="105"/>
          <w:sz w:val="22"/>
        </w:rPr>
        <w:t> </w:t>
      </w:r>
      <w:r>
        <w:rPr>
          <w:rFonts w:ascii="Times New Roman" w:hAnsi="Times New Roman"/>
          <w:color w:val="231F20"/>
          <w:w w:val="105"/>
          <w:sz w:val="22"/>
        </w:rPr>
        <w:t>beneficia</w:t>
      </w:r>
      <w:r>
        <w:rPr>
          <w:rFonts w:ascii="Times New Roman" w:hAnsi="Times New Roman"/>
          <w:color w:val="231F20"/>
          <w:spacing w:val="-14"/>
          <w:w w:val="105"/>
          <w:sz w:val="22"/>
        </w:rPr>
        <w:t> </w:t>
      </w:r>
      <w:r>
        <w:rPr>
          <w:rFonts w:ascii="Times New Roman" w:hAnsi="Times New Roman"/>
          <w:color w:val="231F20"/>
          <w:spacing w:val="2"/>
          <w:w w:val="105"/>
          <w:sz w:val="22"/>
        </w:rPr>
        <w:t>al</w:t>
      </w:r>
      <w:r>
        <w:rPr>
          <w:rFonts w:ascii="Times New Roman" w:hAnsi="Times New Roman"/>
          <w:color w:val="231F20"/>
          <w:spacing w:val="-14"/>
          <w:w w:val="105"/>
          <w:sz w:val="22"/>
        </w:rPr>
        <w:t> </w:t>
      </w:r>
      <w:r>
        <w:rPr>
          <w:rFonts w:ascii="Times New Roman" w:hAnsi="Times New Roman"/>
          <w:color w:val="231F20"/>
          <w:w w:val="105"/>
          <w:sz w:val="22"/>
        </w:rPr>
        <w:t>mayor</w:t>
      </w:r>
      <w:r>
        <w:rPr>
          <w:rFonts w:ascii="Times New Roman" w:hAnsi="Times New Roman"/>
          <w:color w:val="231F20"/>
          <w:spacing w:val="-14"/>
          <w:w w:val="105"/>
          <w:sz w:val="22"/>
        </w:rPr>
        <w:t> </w:t>
      </w:r>
      <w:r>
        <w:rPr>
          <w:rFonts w:ascii="Times New Roman" w:hAnsi="Times New Roman"/>
          <w:color w:val="231F20"/>
          <w:w w:val="105"/>
          <w:sz w:val="22"/>
        </w:rPr>
        <w:t>número</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ciudadanos.</w:t>
      </w:r>
    </w:p>
    <w:p>
      <w:pPr>
        <w:pStyle w:val="ListParagraph"/>
        <w:numPr>
          <w:ilvl w:val="1"/>
          <w:numId w:val="25"/>
        </w:numPr>
        <w:tabs>
          <w:tab w:pos="903" w:val="left" w:leader="none"/>
        </w:tabs>
        <w:spacing w:line="285" w:lineRule="auto" w:before="47" w:after="0"/>
        <w:ind w:left="677" w:right="107" w:firstLine="0"/>
        <w:jc w:val="both"/>
        <w:rPr>
          <w:rFonts w:ascii="Times New Roman" w:hAnsi="Times New Roman"/>
          <w:sz w:val="22"/>
        </w:rPr>
      </w:pPr>
      <w:r>
        <w:rPr>
          <w:rFonts w:ascii="Times New Roman" w:hAnsi="Times New Roman"/>
          <w:color w:val="231F20"/>
          <w:w w:val="105"/>
          <w:sz w:val="22"/>
        </w:rPr>
        <w:t>Aquellas</w:t>
      </w:r>
      <w:r>
        <w:rPr>
          <w:rFonts w:ascii="Times New Roman" w:hAnsi="Times New Roman"/>
          <w:color w:val="231F20"/>
          <w:spacing w:val="-7"/>
          <w:w w:val="105"/>
          <w:sz w:val="22"/>
        </w:rPr>
        <w:t> </w:t>
      </w:r>
      <w:r>
        <w:rPr>
          <w:rFonts w:ascii="Times New Roman" w:hAnsi="Times New Roman"/>
          <w:color w:val="231F20"/>
          <w:w w:val="105"/>
          <w:sz w:val="22"/>
        </w:rPr>
        <w:t>obras</w:t>
      </w:r>
      <w:r>
        <w:rPr>
          <w:rFonts w:ascii="Times New Roman" w:hAnsi="Times New Roman"/>
          <w:color w:val="231F20"/>
          <w:spacing w:val="-7"/>
          <w:w w:val="105"/>
          <w:sz w:val="22"/>
        </w:rPr>
        <w:t> </w:t>
      </w:r>
      <w:r>
        <w:rPr>
          <w:rFonts w:ascii="Times New Roman" w:hAnsi="Times New Roman"/>
          <w:color w:val="231F20"/>
          <w:w w:val="105"/>
          <w:sz w:val="22"/>
        </w:rPr>
        <w:t>o</w:t>
      </w:r>
      <w:r>
        <w:rPr>
          <w:rFonts w:ascii="Times New Roman" w:hAnsi="Times New Roman"/>
          <w:color w:val="231F20"/>
          <w:spacing w:val="-7"/>
          <w:w w:val="105"/>
          <w:sz w:val="22"/>
        </w:rPr>
        <w:t> </w:t>
      </w:r>
      <w:r>
        <w:rPr>
          <w:rFonts w:ascii="Times New Roman" w:hAnsi="Times New Roman"/>
          <w:color w:val="231F20"/>
          <w:w w:val="105"/>
          <w:sz w:val="22"/>
        </w:rPr>
        <w:t>acciones</w:t>
      </w:r>
      <w:r>
        <w:rPr>
          <w:rFonts w:ascii="Times New Roman" w:hAnsi="Times New Roman"/>
          <w:color w:val="231F20"/>
          <w:spacing w:val="-7"/>
          <w:w w:val="105"/>
          <w:sz w:val="22"/>
        </w:rPr>
        <w:t> </w:t>
      </w:r>
      <w:r>
        <w:rPr>
          <w:rFonts w:ascii="Times New Roman" w:hAnsi="Times New Roman"/>
          <w:color w:val="231F20"/>
          <w:w w:val="105"/>
          <w:sz w:val="22"/>
        </w:rPr>
        <w:t>cuya</w:t>
      </w:r>
      <w:r>
        <w:rPr>
          <w:rFonts w:ascii="Times New Roman" w:hAnsi="Times New Roman"/>
          <w:color w:val="231F20"/>
          <w:spacing w:val="-7"/>
          <w:w w:val="105"/>
          <w:sz w:val="22"/>
        </w:rPr>
        <w:t> </w:t>
      </w:r>
      <w:r>
        <w:rPr>
          <w:rFonts w:ascii="Times New Roman" w:hAnsi="Times New Roman"/>
          <w:color w:val="231F20"/>
          <w:w w:val="105"/>
          <w:sz w:val="22"/>
        </w:rPr>
        <w:t>solución</w:t>
      </w:r>
      <w:r>
        <w:rPr>
          <w:rFonts w:ascii="Times New Roman" w:hAnsi="Times New Roman"/>
          <w:color w:val="231F20"/>
          <w:spacing w:val="-7"/>
          <w:w w:val="105"/>
          <w:sz w:val="22"/>
        </w:rPr>
        <w:t> </w:t>
      </w:r>
      <w:r>
        <w:rPr>
          <w:rFonts w:ascii="Times New Roman" w:hAnsi="Times New Roman"/>
          <w:color w:val="231F20"/>
          <w:w w:val="105"/>
          <w:sz w:val="22"/>
        </w:rPr>
        <w:t>está</w:t>
      </w:r>
      <w:r>
        <w:rPr>
          <w:rFonts w:ascii="Times New Roman" w:hAnsi="Times New Roman"/>
          <w:color w:val="231F20"/>
          <w:spacing w:val="-7"/>
          <w:w w:val="105"/>
          <w:sz w:val="22"/>
        </w:rPr>
        <w:t> </w:t>
      </w:r>
      <w:r>
        <w:rPr>
          <w:rFonts w:ascii="Times New Roman" w:hAnsi="Times New Roman"/>
          <w:color w:val="231F20"/>
          <w:w w:val="105"/>
          <w:sz w:val="22"/>
        </w:rPr>
        <w:t>en</w:t>
      </w:r>
      <w:r>
        <w:rPr>
          <w:rFonts w:ascii="Times New Roman" w:hAnsi="Times New Roman"/>
          <w:color w:val="231F20"/>
          <w:spacing w:val="-7"/>
          <w:w w:val="105"/>
          <w:sz w:val="22"/>
        </w:rPr>
        <w:t> </w:t>
      </w:r>
      <w:r>
        <w:rPr>
          <w:rFonts w:ascii="Times New Roman" w:hAnsi="Times New Roman"/>
          <w:color w:val="231F20"/>
          <w:w w:val="105"/>
          <w:sz w:val="22"/>
        </w:rPr>
        <w:t>el</w:t>
      </w:r>
      <w:r>
        <w:rPr>
          <w:rFonts w:ascii="Times New Roman" w:hAnsi="Times New Roman"/>
          <w:color w:val="231F20"/>
          <w:spacing w:val="-7"/>
          <w:w w:val="105"/>
          <w:sz w:val="22"/>
        </w:rPr>
        <w:t> </w:t>
      </w:r>
      <w:r>
        <w:rPr>
          <w:rFonts w:ascii="Times New Roman" w:hAnsi="Times New Roman"/>
          <w:color w:val="231F20"/>
          <w:w w:val="105"/>
          <w:sz w:val="22"/>
        </w:rPr>
        <w:t>ámbito</w:t>
      </w:r>
      <w:r>
        <w:rPr>
          <w:rFonts w:ascii="Times New Roman" w:hAnsi="Times New Roman"/>
          <w:color w:val="231F20"/>
          <w:spacing w:val="-7"/>
          <w:w w:val="105"/>
          <w:sz w:val="22"/>
        </w:rPr>
        <w:t> </w:t>
      </w:r>
      <w:r>
        <w:rPr>
          <w:rFonts w:ascii="Times New Roman" w:hAnsi="Times New Roman"/>
          <w:color w:val="231F20"/>
          <w:w w:val="105"/>
          <w:sz w:val="22"/>
        </w:rPr>
        <w:t>de</w:t>
      </w:r>
      <w:r>
        <w:rPr>
          <w:rFonts w:ascii="Times New Roman" w:hAnsi="Times New Roman"/>
          <w:color w:val="231F20"/>
          <w:spacing w:val="-7"/>
          <w:w w:val="105"/>
          <w:sz w:val="22"/>
        </w:rPr>
        <w:t> </w:t>
      </w:r>
      <w:r>
        <w:rPr>
          <w:rFonts w:ascii="Times New Roman" w:hAnsi="Times New Roman"/>
          <w:color w:val="231F20"/>
          <w:w w:val="105"/>
          <w:sz w:val="22"/>
        </w:rPr>
        <w:t>competencia</w:t>
      </w:r>
      <w:r>
        <w:rPr>
          <w:rFonts w:ascii="Times New Roman" w:hAnsi="Times New Roman"/>
          <w:color w:val="231F20"/>
          <w:spacing w:val="-7"/>
          <w:w w:val="105"/>
          <w:sz w:val="22"/>
        </w:rPr>
        <w:t> </w:t>
      </w:r>
      <w:r>
        <w:rPr>
          <w:rFonts w:ascii="Times New Roman" w:hAnsi="Times New Roman"/>
          <w:color w:val="231F20"/>
          <w:w w:val="105"/>
          <w:sz w:val="22"/>
        </w:rPr>
        <w:t>del Gobierno</w:t>
      </w:r>
      <w:r>
        <w:rPr>
          <w:rFonts w:ascii="Times New Roman" w:hAnsi="Times New Roman"/>
          <w:color w:val="231F20"/>
          <w:spacing w:val="-21"/>
          <w:w w:val="105"/>
          <w:sz w:val="22"/>
        </w:rPr>
        <w:t> </w:t>
      </w:r>
      <w:r>
        <w:rPr>
          <w:rFonts w:ascii="Times New Roman" w:hAnsi="Times New Roman"/>
          <w:color w:val="231F20"/>
          <w:w w:val="105"/>
          <w:sz w:val="22"/>
        </w:rPr>
        <w:t>Municipal</w:t>
      </w:r>
      <w:r>
        <w:rPr>
          <w:rFonts w:ascii="Times New Roman" w:hAnsi="Times New Roman"/>
          <w:color w:val="231F20"/>
          <w:spacing w:val="-21"/>
          <w:w w:val="105"/>
          <w:sz w:val="22"/>
        </w:rPr>
        <w:t> </w:t>
      </w:r>
      <w:r>
        <w:rPr>
          <w:rFonts w:ascii="Times New Roman" w:hAnsi="Times New Roman"/>
          <w:color w:val="231F20"/>
          <w:w w:val="105"/>
          <w:sz w:val="22"/>
        </w:rPr>
        <w:t>y</w:t>
      </w:r>
      <w:r>
        <w:rPr>
          <w:rFonts w:ascii="Times New Roman" w:hAnsi="Times New Roman"/>
          <w:color w:val="231F20"/>
          <w:spacing w:val="-21"/>
          <w:w w:val="105"/>
          <w:sz w:val="22"/>
        </w:rPr>
        <w:t> </w:t>
      </w:r>
      <w:r>
        <w:rPr>
          <w:rFonts w:ascii="Times New Roman" w:hAnsi="Times New Roman"/>
          <w:color w:val="231F20"/>
          <w:w w:val="105"/>
          <w:sz w:val="22"/>
        </w:rPr>
        <w:t>se</w:t>
      </w:r>
      <w:r>
        <w:rPr>
          <w:rFonts w:ascii="Times New Roman" w:hAnsi="Times New Roman"/>
          <w:color w:val="231F20"/>
          <w:spacing w:val="-21"/>
          <w:w w:val="105"/>
          <w:sz w:val="22"/>
        </w:rPr>
        <w:t> </w:t>
      </w:r>
      <w:r>
        <w:rPr>
          <w:rFonts w:ascii="Times New Roman" w:hAnsi="Times New Roman"/>
          <w:color w:val="231F20"/>
          <w:w w:val="105"/>
          <w:sz w:val="22"/>
        </w:rPr>
        <w:t>tiene</w:t>
      </w:r>
      <w:r>
        <w:rPr>
          <w:rFonts w:ascii="Times New Roman" w:hAnsi="Times New Roman"/>
          <w:color w:val="231F20"/>
          <w:spacing w:val="-21"/>
          <w:w w:val="105"/>
          <w:sz w:val="22"/>
        </w:rPr>
        <w:t> </w:t>
      </w:r>
      <w:r>
        <w:rPr>
          <w:rFonts w:ascii="Times New Roman" w:hAnsi="Times New Roman"/>
          <w:color w:val="231F20"/>
          <w:w w:val="105"/>
          <w:sz w:val="22"/>
        </w:rPr>
        <w:t>control</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los</w:t>
      </w:r>
      <w:r>
        <w:rPr>
          <w:rFonts w:ascii="Times New Roman" w:hAnsi="Times New Roman"/>
          <w:color w:val="231F20"/>
          <w:spacing w:val="-21"/>
          <w:w w:val="105"/>
          <w:sz w:val="22"/>
        </w:rPr>
        <w:t> </w:t>
      </w:r>
      <w:r>
        <w:rPr>
          <w:rFonts w:ascii="Times New Roman" w:hAnsi="Times New Roman"/>
          <w:color w:val="231F20"/>
          <w:w w:val="105"/>
          <w:sz w:val="22"/>
        </w:rPr>
        <w:t>recursos</w:t>
      </w:r>
      <w:r>
        <w:rPr>
          <w:rFonts w:ascii="Times New Roman" w:hAnsi="Times New Roman"/>
          <w:color w:val="231F20"/>
          <w:spacing w:val="-21"/>
          <w:w w:val="105"/>
          <w:sz w:val="22"/>
        </w:rPr>
        <w:t> </w:t>
      </w:r>
      <w:r>
        <w:rPr>
          <w:rFonts w:ascii="Times New Roman" w:hAnsi="Times New Roman"/>
          <w:color w:val="231F20"/>
          <w:w w:val="105"/>
          <w:sz w:val="22"/>
        </w:rPr>
        <w:t>principales</w:t>
      </w:r>
      <w:r>
        <w:rPr>
          <w:rFonts w:ascii="Times New Roman" w:hAnsi="Times New Roman"/>
          <w:color w:val="231F20"/>
          <w:spacing w:val="-21"/>
          <w:w w:val="105"/>
          <w:sz w:val="22"/>
        </w:rPr>
        <w:t> </w:t>
      </w:r>
      <w:r>
        <w:rPr>
          <w:rFonts w:ascii="Times New Roman" w:hAnsi="Times New Roman"/>
          <w:color w:val="231F20"/>
          <w:w w:val="105"/>
          <w:sz w:val="22"/>
        </w:rPr>
        <w:t>que</w:t>
      </w:r>
      <w:r>
        <w:rPr>
          <w:rFonts w:ascii="Times New Roman" w:hAnsi="Times New Roman"/>
          <w:color w:val="231F20"/>
          <w:spacing w:val="-21"/>
          <w:w w:val="105"/>
          <w:sz w:val="22"/>
        </w:rPr>
        <w:t> </w:t>
      </w:r>
      <w:r>
        <w:rPr>
          <w:rFonts w:ascii="Times New Roman" w:hAnsi="Times New Roman"/>
          <w:color w:val="231F20"/>
          <w:w w:val="105"/>
          <w:sz w:val="22"/>
        </w:rPr>
        <w:t>se</w:t>
      </w:r>
      <w:r>
        <w:rPr>
          <w:rFonts w:ascii="Times New Roman" w:hAnsi="Times New Roman"/>
          <w:color w:val="231F20"/>
          <w:spacing w:val="-21"/>
          <w:w w:val="105"/>
          <w:sz w:val="22"/>
        </w:rPr>
        <w:t> </w:t>
      </w:r>
      <w:r>
        <w:rPr>
          <w:rFonts w:ascii="Times New Roman" w:hAnsi="Times New Roman"/>
          <w:color w:val="231F20"/>
          <w:w w:val="105"/>
          <w:sz w:val="22"/>
        </w:rPr>
        <w:t>necesitan (Humanos,</w:t>
      </w:r>
      <w:r>
        <w:rPr>
          <w:rFonts w:ascii="Times New Roman" w:hAnsi="Times New Roman"/>
          <w:color w:val="231F20"/>
          <w:spacing w:val="-28"/>
          <w:w w:val="105"/>
          <w:sz w:val="22"/>
        </w:rPr>
        <w:t> </w:t>
      </w:r>
      <w:r>
        <w:rPr>
          <w:rFonts w:ascii="Times New Roman" w:hAnsi="Times New Roman"/>
          <w:color w:val="231F20"/>
          <w:w w:val="105"/>
          <w:sz w:val="22"/>
        </w:rPr>
        <w:t>financieros</w:t>
      </w:r>
      <w:r>
        <w:rPr>
          <w:rFonts w:ascii="Times New Roman" w:hAnsi="Times New Roman"/>
          <w:color w:val="231F20"/>
          <w:spacing w:val="-28"/>
          <w:w w:val="105"/>
          <w:sz w:val="22"/>
        </w:rPr>
        <w:t> </w:t>
      </w:r>
      <w:r>
        <w:rPr>
          <w:rFonts w:ascii="Times New Roman" w:hAnsi="Times New Roman"/>
          <w:color w:val="231F20"/>
          <w:w w:val="105"/>
          <w:sz w:val="22"/>
        </w:rPr>
        <w:t>y</w:t>
      </w:r>
      <w:r>
        <w:rPr>
          <w:rFonts w:ascii="Times New Roman" w:hAnsi="Times New Roman"/>
          <w:color w:val="231F20"/>
          <w:spacing w:val="-28"/>
          <w:w w:val="105"/>
          <w:sz w:val="22"/>
        </w:rPr>
        <w:t> </w:t>
      </w:r>
      <w:r>
        <w:rPr>
          <w:rFonts w:ascii="Times New Roman" w:hAnsi="Times New Roman"/>
          <w:color w:val="231F20"/>
          <w:w w:val="105"/>
          <w:sz w:val="22"/>
        </w:rPr>
        <w:t>materiales).</w:t>
      </w:r>
    </w:p>
    <w:p>
      <w:pPr>
        <w:pStyle w:val="ListParagraph"/>
        <w:numPr>
          <w:ilvl w:val="1"/>
          <w:numId w:val="25"/>
        </w:numPr>
        <w:tabs>
          <w:tab w:pos="890" w:val="left" w:leader="none"/>
        </w:tabs>
        <w:spacing w:line="240" w:lineRule="auto" w:before="1" w:after="0"/>
        <w:ind w:left="889" w:right="0" w:hanging="212"/>
        <w:jc w:val="both"/>
        <w:rPr>
          <w:rFonts w:ascii="Times New Roman" w:hAnsi="Times New Roman"/>
          <w:sz w:val="22"/>
        </w:rPr>
      </w:pPr>
      <w:r>
        <w:rPr>
          <w:rFonts w:ascii="Times New Roman" w:hAnsi="Times New Roman"/>
          <w:color w:val="231F20"/>
          <w:w w:val="105"/>
          <w:sz w:val="22"/>
        </w:rPr>
        <w:t>Aquello</w:t>
      </w:r>
      <w:r>
        <w:rPr>
          <w:rFonts w:ascii="Times New Roman" w:hAnsi="Times New Roman"/>
          <w:color w:val="231F20"/>
          <w:spacing w:val="-15"/>
          <w:w w:val="105"/>
          <w:sz w:val="22"/>
        </w:rPr>
        <w:t> </w:t>
      </w:r>
      <w:r>
        <w:rPr>
          <w:rFonts w:ascii="Times New Roman" w:hAnsi="Times New Roman"/>
          <w:color w:val="231F20"/>
          <w:w w:val="105"/>
          <w:sz w:val="22"/>
        </w:rPr>
        <w:t>que</w:t>
      </w:r>
      <w:r>
        <w:rPr>
          <w:rFonts w:ascii="Times New Roman" w:hAnsi="Times New Roman"/>
          <w:color w:val="231F20"/>
          <w:spacing w:val="-15"/>
          <w:w w:val="105"/>
          <w:sz w:val="22"/>
        </w:rPr>
        <w:t> </w:t>
      </w:r>
      <w:r>
        <w:rPr>
          <w:rFonts w:ascii="Times New Roman" w:hAnsi="Times New Roman"/>
          <w:color w:val="231F20"/>
          <w:w w:val="105"/>
          <w:sz w:val="22"/>
        </w:rPr>
        <w:t>tiene</w:t>
      </w:r>
      <w:r>
        <w:rPr>
          <w:rFonts w:ascii="Times New Roman" w:hAnsi="Times New Roman"/>
          <w:color w:val="231F20"/>
          <w:spacing w:val="-15"/>
          <w:w w:val="105"/>
          <w:sz w:val="22"/>
        </w:rPr>
        <w:t> </w:t>
      </w:r>
      <w:r>
        <w:rPr>
          <w:rFonts w:ascii="Times New Roman" w:hAnsi="Times New Roman"/>
          <w:color w:val="231F20"/>
          <w:w w:val="105"/>
          <w:sz w:val="22"/>
        </w:rPr>
        <w:t>implicaciones</w:t>
      </w:r>
      <w:r>
        <w:rPr>
          <w:rFonts w:ascii="Times New Roman" w:hAnsi="Times New Roman"/>
          <w:color w:val="231F20"/>
          <w:spacing w:val="-15"/>
          <w:w w:val="105"/>
          <w:sz w:val="22"/>
        </w:rPr>
        <w:t> </w:t>
      </w:r>
      <w:r>
        <w:rPr>
          <w:rFonts w:ascii="Times New Roman" w:hAnsi="Times New Roman"/>
          <w:color w:val="231F20"/>
          <w:w w:val="105"/>
          <w:sz w:val="22"/>
        </w:rPr>
        <w:t>en</w:t>
      </w:r>
      <w:r>
        <w:rPr>
          <w:rFonts w:ascii="Times New Roman" w:hAnsi="Times New Roman"/>
          <w:color w:val="231F20"/>
          <w:spacing w:val="-15"/>
          <w:w w:val="105"/>
          <w:sz w:val="22"/>
        </w:rPr>
        <w:t> </w:t>
      </w:r>
      <w:r>
        <w:rPr>
          <w:rFonts w:ascii="Times New Roman" w:hAnsi="Times New Roman"/>
          <w:color w:val="231F20"/>
          <w:w w:val="105"/>
          <w:sz w:val="22"/>
        </w:rPr>
        <w:t>distintos</w:t>
      </w:r>
      <w:r>
        <w:rPr>
          <w:rFonts w:ascii="Times New Roman" w:hAnsi="Times New Roman"/>
          <w:color w:val="231F20"/>
          <w:spacing w:val="-15"/>
          <w:w w:val="105"/>
          <w:sz w:val="22"/>
        </w:rPr>
        <w:t> </w:t>
      </w:r>
      <w:r>
        <w:rPr>
          <w:rFonts w:ascii="Times New Roman" w:hAnsi="Times New Roman"/>
          <w:color w:val="231F20"/>
          <w:w w:val="105"/>
          <w:sz w:val="22"/>
        </w:rPr>
        <w:t>ámbitos</w:t>
      </w:r>
      <w:r>
        <w:rPr>
          <w:rFonts w:ascii="Times New Roman" w:hAnsi="Times New Roman"/>
          <w:color w:val="231F20"/>
          <w:spacing w:val="-15"/>
          <w:w w:val="105"/>
          <w:sz w:val="22"/>
        </w:rPr>
        <w:t> </w:t>
      </w:r>
      <w:r>
        <w:rPr>
          <w:rFonts w:ascii="Times New Roman" w:hAnsi="Times New Roman"/>
          <w:color w:val="231F20"/>
          <w:w w:val="105"/>
          <w:sz w:val="22"/>
        </w:rPr>
        <w:t>del</w:t>
      </w:r>
      <w:r>
        <w:rPr>
          <w:rFonts w:ascii="Times New Roman" w:hAnsi="Times New Roman"/>
          <w:color w:val="231F20"/>
          <w:spacing w:val="-15"/>
          <w:w w:val="105"/>
          <w:sz w:val="22"/>
        </w:rPr>
        <w:t> </w:t>
      </w:r>
      <w:r>
        <w:rPr>
          <w:rFonts w:ascii="Times New Roman" w:hAnsi="Times New Roman"/>
          <w:color w:val="231F20"/>
          <w:w w:val="105"/>
          <w:sz w:val="22"/>
        </w:rPr>
        <w:t>desarrollo</w:t>
      </w:r>
      <w:r>
        <w:rPr>
          <w:rFonts w:ascii="Times New Roman" w:hAnsi="Times New Roman"/>
          <w:color w:val="231F20"/>
          <w:spacing w:val="-15"/>
          <w:w w:val="105"/>
          <w:sz w:val="22"/>
        </w:rPr>
        <w:t> </w:t>
      </w:r>
      <w:r>
        <w:rPr>
          <w:rFonts w:ascii="Times New Roman" w:hAnsi="Times New Roman"/>
          <w:color w:val="231F20"/>
          <w:w w:val="105"/>
          <w:sz w:val="22"/>
        </w:rPr>
        <w:t>municipal.</w:t>
      </w:r>
    </w:p>
    <w:p>
      <w:pPr>
        <w:pStyle w:val="ListParagraph"/>
        <w:numPr>
          <w:ilvl w:val="1"/>
          <w:numId w:val="25"/>
        </w:numPr>
        <w:tabs>
          <w:tab w:pos="889" w:val="left" w:leader="none"/>
        </w:tabs>
        <w:spacing w:line="285" w:lineRule="auto" w:before="47" w:after="0"/>
        <w:ind w:left="677" w:right="108" w:firstLine="0"/>
        <w:jc w:val="both"/>
        <w:rPr>
          <w:rFonts w:ascii="Times New Roman"/>
          <w:sz w:val="22"/>
        </w:rPr>
      </w:pPr>
      <w:r>
        <w:rPr>
          <w:rFonts w:ascii="Times New Roman"/>
          <w:color w:val="231F20"/>
          <w:sz w:val="22"/>
        </w:rPr>
        <w:t>Llevar a cabo las obras y acciones que pueden ser replicadas con facilidad y que son aceptadas ampliamente en las delegaciones del  </w:t>
      </w:r>
      <w:r>
        <w:rPr>
          <w:rFonts w:ascii="Times New Roman"/>
          <w:color w:val="231F20"/>
          <w:spacing w:val="20"/>
          <w:sz w:val="22"/>
        </w:rPr>
        <w:t> </w:t>
      </w:r>
      <w:r>
        <w:rPr>
          <w:rFonts w:ascii="Times New Roman"/>
          <w:color w:val="231F20"/>
          <w:sz w:val="22"/>
        </w:rPr>
        <w:t>Municipio.</w:t>
      </w:r>
    </w:p>
    <w:p>
      <w:pPr>
        <w:pStyle w:val="BodyText"/>
        <w:spacing w:before="1"/>
        <w:rPr>
          <w:sz w:val="26"/>
        </w:rPr>
      </w:pPr>
    </w:p>
    <w:p>
      <w:pPr>
        <w:pStyle w:val="BodyText"/>
        <w:spacing w:line="285" w:lineRule="auto"/>
        <w:ind w:left="110" w:right="109"/>
        <w:jc w:val="both"/>
      </w:pPr>
      <w:r>
        <w:rPr>
          <w:color w:val="231F20"/>
          <w:w w:val="105"/>
        </w:rPr>
        <w:t>Además, existe en el Plan una Cartera de proyectos de alto impacto que se presentan ordenados por pilar:</w:t>
      </w:r>
    </w:p>
    <w:p>
      <w:pPr>
        <w:spacing w:line="272" w:lineRule="exact" w:before="0"/>
        <w:ind w:left="110" w:right="0" w:firstLine="0"/>
        <w:jc w:val="both"/>
        <w:rPr>
          <w:rFonts w:ascii="Palatino Linotype"/>
          <w:i/>
          <w:sz w:val="22"/>
        </w:rPr>
      </w:pPr>
      <w:r>
        <w:rPr>
          <w:rFonts w:ascii="Palatino Linotype"/>
          <w:i/>
          <w:color w:val="231F20"/>
          <w:sz w:val="22"/>
        </w:rPr>
        <w:t>Pilar I Seguridad Social</w:t>
      </w:r>
    </w:p>
    <w:p>
      <w:pPr>
        <w:pStyle w:val="ListParagraph"/>
        <w:numPr>
          <w:ilvl w:val="0"/>
          <w:numId w:val="26"/>
        </w:numPr>
        <w:tabs>
          <w:tab w:pos="918" w:val="left" w:leader="none"/>
        </w:tabs>
        <w:spacing w:line="285" w:lineRule="auto" w:before="29" w:after="0"/>
        <w:ind w:left="677" w:right="108" w:firstLine="0"/>
        <w:jc w:val="both"/>
        <w:rPr>
          <w:rFonts w:ascii="Times New Roman" w:hAnsi="Times New Roman"/>
          <w:sz w:val="22"/>
        </w:rPr>
      </w:pPr>
      <w:r>
        <w:rPr>
          <w:rFonts w:ascii="Times New Roman" w:hAnsi="Times New Roman"/>
          <w:color w:val="231F20"/>
          <w:w w:val="105"/>
          <w:sz w:val="22"/>
        </w:rPr>
        <w:t>Promover </w:t>
      </w:r>
      <w:r>
        <w:rPr>
          <w:rFonts w:ascii="Times New Roman" w:hAnsi="Times New Roman"/>
          <w:color w:val="231F20"/>
          <w:spacing w:val="2"/>
          <w:w w:val="105"/>
          <w:sz w:val="22"/>
        </w:rPr>
        <w:t>la </w:t>
      </w:r>
      <w:r>
        <w:rPr>
          <w:rFonts w:ascii="Times New Roman" w:hAnsi="Times New Roman"/>
          <w:color w:val="231F20"/>
          <w:spacing w:val="3"/>
          <w:w w:val="105"/>
          <w:sz w:val="22"/>
        </w:rPr>
        <w:t>rehabilitación </w:t>
      </w:r>
      <w:r>
        <w:rPr>
          <w:rFonts w:ascii="Times New Roman" w:hAnsi="Times New Roman"/>
          <w:color w:val="231F20"/>
          <w:w w:val="105"/>
          <w:sz w:val="22"/>
        </w:rPr>
        <w:t>y </w:t>
      </w:r>
      <w:r>
        <w:rPr>
          <w:rFonts w:ascii="Times New Roman" w:hAnsi="Times New Roman"/>
          <w:color w:val="231F20"/>
          <w:spacing w:val="3"/>
          <w:w w:val="105"/>
          <w:sz w:val="22"/>
        </w:rPr>
        <w:t>equipamiento </w:t>
      </w:r>
      <w:r>
        <w:rPr>
          <w:rFonts w:ascii="Times New Roman" w:hAnsi="Times New Roman"/>
          <w:color w:val="231F20"/>
          <w:w w:val="105"/>
          <w:sz w:val="22"/>
        </w:rPr>
        <w:t>de </w:t>
      </w:r>
      <w:r>
        <w:rPr>
          <w:rFonts w:ascii="Times New Roman" w:hAnsi="Times New Roman"/>
          <w:color w:val="231F20"/>
          <w:spacing w:val="4"/>
          <w:w w:val="105"/>
          <w:sz w:val="22"/>
        </w:rPr>
        <w:t>las </w:t>
      </w:r>
      <w:r>
        <w:rPr>
          <w:rFonts w:ascii="Times New Roman" w:hAnsi="Times New Roman"/>
          <w:color w:val="231F20"/>
          <w:spacing w:val="3"/>
          <w:w w:val="105"/>
          <w:sz w:val="22"/>
        </w:rPr>
        <w:t>unidades </w:t>
      </w:r>
      <w:r>
        <w:rPr>
          <w:rFonts w:ascii="Times New Roman" w:hAnsi="Times New Roman"/>
          <w:color w:val="231F20"/>
          <w:spacing w:val="4"/>
          <w:w w:val="105"/>
          <w:sz w:val="22"/>
        </w:rPr>
        <w:t>médicas </w:t>
      </w:r>
      <w:r>
        <w:rPr>
          <w:rFonts w:ascii="Times New Roman" w:hAnsi="Times New Roman"/>
          <w:color w:val="231F20"/>
          <w:w w:val="105"/>
          <w:sz w:val="22"/>
        </w:rPr>
        <w:t>en el </w:t>
      </w:r>
      <w:r>
        <w:rPr>
          <w:rFonts w:ascii="Times New Roman" w:hAnsi="Times New Roman"/>
          <w:color w:val="231F20"/>
          <w:spacing w:val="2"/>
          <w:w w:val="105"/>
          <w:sz w:val="22"/>
        </w:rPr>
        <w:t>Municipio.</w:t>
      </w:r>
    </w:p>
    <w:p>
      <w:pPr>
        <w:pStyle w:val="ListParagraph"/>
        <w:numPr>
          <w:ilvl w:val="0"/>
          <w:numId w:val="26"/>
        </w:numPr>
        <w:tabs>
          <w:tab w:pos="895" w:val="left" w:leader="none"/>
        </w:tabs>
        <w:spacing w:line="285" w:lineRule="auto" w:before="1" w:after="0"/>
        <w:ind w:left="677" w:right="108" w:firstLine="0"/>
        <w:jc w:val="both"/>
        <w:rPr>
          <w:rFonts w:ascii="Times New Roman" w:hAnsi="Times New Roman"/>
          <w:sz w:val="22"/>
        </w:rPr>
      </w:pPr>
      <w:r>
        <w:rPr>
          <w:rFonts w:ascii="Times New Roman" w:hAnsi="Times New Roman"/>
          <w:color w:val="231F20"/>
          <w:sz w:val="22"/>
        </w:rPr>
        <w:t>Gestionar que se otorguen en el nivel Estatal y Federal servicios médicos espe- cializados para la atención de niños y </w:t>
      </w:r>
      <w:r>
        <w:rPr>
          <w:rFonts w:ascii="Times New Roman" w:hAnsi="Times New Roman"/>
          <w:color w:val="231F20"/>
          <w:spacing w:val="42"/>
          <w:sz w:val="22"/>
        </w:rPr>
        <w:t> </w:t>
      </w:r>
      <w:r>
        <w:rPr>
          <w:rFonts w:ascii="Times New Roman" w:hAnsi="Times New Roman"/>
          <w:color w:val="231F20"/>
          <w:sz w:val="22"/>
        </w:rPr>
        <w:t>mujeres.</w:t>
      </w:r>
    </w:p>
    <w:p>
      <w:pPr>
        <w:spacing w:after="0" w:line="285" w:lineRule="auto"/>
        <w:jc w:val="both"/>
        <w:rPr>
          <w:rFonts w:ascii="Times New Roman" w:hAnsi="Times New Roman"/>
          <w:sz w:val="22"/>
        </w:rPr>
        <w:sectPr>
          <w:pgSz w:w="9640" w:h="12190"/>
          <w:pgMar w:header="0" w:footer="743" w:top="1120" w:bottom="940" w:left="740" w:right="740"/>
        </w:sectPr>
      </w:pPr>
    </w:p>
    <w:p>
      <w:pPr>
        <w:pStyle w:val="BodyText"/>
        <w:spacing w:before="3"/>
        <w:rPr>
          <w:sz w:val="11"/>
        </w:rPr>
      </w:pPr>
    </w:p>
    <w:p>
      <w:pPr>
        <w:pStyle w:val="ListParagraph"/>
        <w:numPr>
          <w:ilvl w:val="0"/>
          <w:numId w:val="26"/>
        </w:numPr>
        <w:tabs>
          <w:tab w:pos="894" w:val="left" w:leader="none"/>
        </w:tabs>
        <w:spacing w:line="285" w:lineRule="auto" w:before="36" w:after="0"/>
        <w:ind w:left="677" w:right="109" w:firstLine="0"/>
        <w:jc w:val="left"/>
        <w:rPr>
          <w:rFonts w:ascii="Times New Roman" w:hAnsi="Times New Roman"/>
          <w:sz w:val="22"/>
        </w:rPr>
      </w:pPr>
      <w:r>
        <w:rPr>
          <w:rFonts w:ascii="Times New Roman" w:hAnsi="Times New Roman"/>
          <w:color w:val="231F20"/>
          <w:spacing w:val="-3"/>
          <w:w w:val="105"/>
          <w:sz w:val="22"/>
        </w:rPr>
        <w:t>Promover</w:t>
      </w:r>
      <w:r>
        <w:rPr>
          <w:rFonts w:ascii="Times New Roman" w:hAnsi="Times New Roman"/>
          <w:color w:val="231F20"/>
          <w:spacing w:val="-7"/>
          <w:w w:val="105"/>
          <w:sz w:val="22"/>
        </w:rPr>
        <w:t> </w:t>
      </w:r>
      <w:r>
        <w:rPr>
          <w:rFonts w:ascii="Times New Roman" w:hAnsi="Times New Roman"/>
          <w:color w:val="231F20"/>
          <w:w w:val="105"/>
          <w:sz w:val="22"/>
        </w:rPr>
        <w:t>la</w:t>
      </w:r>
      <w:r>
        <w:rPr>
          <w:rFonts w:ascii="Times New Roman" w:hAnsi="Times New Roman"/>
          <w:color w:val="231F20"/>
          <w:spacing w:val="-7"/>
          <w:w w:val="105"/>
          <w:sz w:val="22"/>
        </w:rPr>
        <w:t> </w:t>
      </w:r>
      <w:r>
        <w:rPr>
          <w:rFonts w:ascii="Times New Roman" w:hAnsi="Times New Roman"/>
          <w:color w:val="231F20"/>
          <w:w w:val="105"/>
          <w:sz w:val="22"/>
        </w:rPr>
        <w:t>creación</w:t>
      </w:r>
      <w:r>
        <w:rPr>
          <w:rFonts w:ascii="Times New Roman" w:hAnsi="Times New Roman"/>
          <w:color w:val="231F20"/>
          <w:spacing w:val="-7"/>
          <w:w w:val="105"/>
          <w:sz w:val="22"/>
        </w:rPr>
        <w:t> </w:t>
      </w:r>
      <w:r>
        <w:rPr>
          <w:rFonts w:ascii="Times New Roman" w:hAnsi="Times New Roman"/>
          <w:color w:val="231F20"/>
          <w:w w:val="105"/>
          <w:sz w:val="22"/>
        </w:rPr>
        <w:t>de</w:t>
      </w:r>
      <w:r>
        <w:rPr>
          <w:rFonts w:ascii="Times New Roman" w:hAnsi="Times New Roman"/>
          <w:color w:val="231F20"/>
          <w:spacing w:val="-7"/>
          <w:w w:val="105"/>
          <w:sz w:val="22"/>
        </w:rPr>
        <w:t> </w:t>
      </w:r>
      <w:r>
        <w:rPr>
          <w:rFonts w:ascii="Times New Roman" w:hAnsi="Times New Roman"/>
          <w:color w:val="231F20"/>
          <w:w w:val="105"/>
          <w:sz w:val="22"/>
        </w:rPr>
        <w:t>estancias</w:t>
      </w:r>
      <w:r>
        <w:rPr>
          <w:rFonts w:ascii="Times New Roman" w:hAnsi="Times New Roman"/>
          <w:color w:val="231F20"/>
          <w:spacing w:val="-7"/>
          <w:w w:val="105"/>
          <w:sz w:val="22"/>
        </w:rPr>
        <w:t> </w:t>
      </w:r>
      <w:r>
        <w:rPr>
          <w:rFonts w:ascii="Times New Roman" w:hAnsi="Times New Roman"/>
          <w:color w:val="231F20"/>
          <w:w w:val="105"/>
          <w:sz w:val="22"/>
        </w:rPr>
        <w:t>infantiles</w:t>
      </w:r>
      <w:r>
        <w:rPr>
          <w:rFonts w:ascii="Times New Roman" w:hAnsi="Times New Roman"/>
          <w:color w:val="231F20"/>
          <w:spacing w:val="-7"/>
          <w:w w:val="105"/>
          <w:sz w:val="22"/>
        </w:rPr>
        <w:t> </w:t>
      </w:r>
      <w:r>
        <w:rPr>
          <w:rFonts w:ascii="Times New Roman" w:hAnsi="Times New Roman"/>
          <w:color w:val="231F20"/>
          <w:w w:val="105"/>
          <w:sz w:val="22"/>
        </w:rPr>
        <w:t>y</w:t>
      </w:r>
      <w:r>
        <w:rPr>
          <w:rFonts w:ascii="Times New Roman" w:hAnsi="Times New Roman"/>
          <w:color w:val="231F20"/>
          <w:spacing w:val="-7"/>
          <w:w w:val="105"/>
          <w:sz w:val="22"/>
        </w:rPr>
        <w:t> </w:t>
      </w:r>
      <w:r>
        <w:rPr>
          <w:rFonts w:ascii="Times New Roman" w:hAnsi="Times New Roman"/>
          <w:color w:val="231F20"/>
          <w:w w:val="105"/>
          <w:sz w:val="22"/>
        </w:rPr>
        <w:t>guarderías</w:t>
      </w:r>
      <w:r>
        <w:rPr>
          <w:rFonts w:ascii="Times New Roman" w:hAnsi="Times New Roman"/>
          <w:color w:val="231F20"/>
          <w:spacing w:val="-7"/>
          <w:w w:val="105"/>
          <w:sz w:val="22"/>
        </w:rPr>
        <w:t> </w:t>
      </w:r>
      <w:r>
        <w:rPr>
          <w:rFonts w:ascii="Times New Roman" w:hAnsi="Times New Roman"/>
          <w:color w:val="231F20"/>
          <w:w w:val="105"/>
          <w:sz w:val="22"/>
        </w:rPr>
        <w:t>para</w:t>
      </w:r>
      <w:r>
        <w:rPr>
          <w:rFonts w:ascii="Times New Roman" w:hAnsi="Times New Roman"/>
          <w:color w:val="231F20"/>
          <w:spacing w:val="-7"/>
          <w:w w:val="105"/>
          <w:sz w:val="22"/>
        </w:rPr>
        <w:t> </w:t>
      </w:r>
      <w:r>
        <w:rPr>
          <w:rFonts w:ascii="Times New Roman" w:hAnsi="Times New Roman"/>
          <w:color w:val="231F20"/>
          <w:w w:val="105"/>
          <w:sz w:val="22"/>
        </w:rPr>
        <w:t>hijos</w:t>
      </w:r>
      <w:r>
        <w:rPr>
          <w:rFonts w:ascii="Times New Roman" w:hAnsi="Times New Roman"/>
          <w:color w:val="231F20"/>
          <w:spacing w:val="-7"/>
          <w:w w:val="105"/>
          <w:sz w:val="22"/>
        </w:rPr>
        <w:t> </w:t>
      </w:r>
      <w:r>
        <w:rPr>
          <w:rFonts w:ascii="Times New Roman" w:hAnsi="Times New Roman"/>
          <w:color w:val="231F20"/>
          <w:w w:val="105"/>
          <w:sz w:val="22"/>
        </w:rPr>
        <w:t>de</w:t>
      </w:r>
      <w:r>
        <w:rPr>
          <w:rFonts w:ascii="Times New Roman" w:hAnsi="Times New Roman"/>
          <w:color w:val="231F20"/>
          <w:spacing w:val="-7"/>
          <w:w w:val="105"/>
          <w:sz w:val="22"/>
        </w:rPr>
        <w:t> </w:t>
      </w:r>
      <w:r>
        <w:rPr>
          <w:rFonts w:ascii="Times New Roman" w:hAnsi="Times New Roman"/>
          <w:color w:val="231F20"/>
          <w:w w:val="105"/>
          <w:sz w:val="22"/>
        </w:rPr>
        <w:t>madres trabajadoras.</w:t>
      </w:r>
    </w:p>
    <w:p>
      <w:pPr>
        <w:pStyle w:val="ListParagraph"/>
        <w:numPr>
          <w:ilvl w:val="0"/>
          <w:numId w:val="26"/>
        </w:numPr>
        <w:tabs>
          <w:tab w:pos="900" w:val="left" w:leader="none"/>
        </w:tabs>
        <w:spacing w:line="285" w:lineRule="auto" w:before="1" w:after="0"/>
        <w:ind w:left="677" w:right="108" w:firstLine="0"/>
        <w:jc w:val="left"/>
        <w:rPr>
          <w:rFonts w:ascii="Times New Roman" w:hAnsi="Times New Roman"/>
          <w:sz w:val="22"/>
        </w:rPr>
      </w:pPr>
      <w:r>
        <w:rPr>
          <w:rFonts w:ascii="Times New Roman" w:hAnsi="Times New Roman"/>
          <w:color w:val="231F20"/>
          <w:spacing w:val="-3"/>
          <w:w w:val="105"/>
          <w:sz w:val="22"/>
        </w:rPr>
        <w:t>Promover </w:t>
      </w:r>
      <w:r>
        <w:rPr>
          <w:rFonts w:ascii="Times New Roman" w:hAnsi="Times New Roman"/>
          <w:color w:val="231F20"/>
          <w:w w:val="105"/>
          <w:sz w:val="22"/>
        </w:rPr>
        <w:t>que se implemente el seguro de accidentes para todos los niños</w:t>
      </w:r>
      <w:r>
        <w:rPr>
          <w:rFonts w:ascii="Times New Roman" w:hAnsi="Times New Roman"/>
          <w:color w:val="231F20"/>
          <w:spacing w:val="-37"/>
          <w:w w:val="105"/>
          <w:sz w:val="22"/>
        </w:rPr>
        <w:t> </w:t>
      </w:r>
      <w:r>
        <w:rPr>
          <w:rFonts w:ascii="Times New Roman" w:hAnsi="Times New Roman"/>
          <w:color w:val="231F20"/>
          <w:w w:val="105"/>
          <w:sz w:val="22"/>
        </w:rPr>
        <w:t>que cursen</w:t>
      </w:r>
      <w:r>
        <w:rPr>
          <w:rFonts w:ascii="Times New Roman" w:hAnsi="Times New Roman"/>
          <w:color w:val="231F20"/>
          <w:spacing w:val="-13"/>
          <w:w w:val="105"/>
          <w:sz w:val="22"/>
        </w:rPr>
        <w:t> </w:t>
      </w:r>
      <w:r>
        <w:rPr>
          <w:rFonts w:ascii="Times New Roman" w:hAnsi="Times New Roman"/>
          <w:color w:val="231F20"/>
          <w:w w:val="105"/>
          <w:sz w:val="22"/>
        </w:rPr>
        <w:t>la</w:t>
      </w:r>
      <w:r>
        <w:rPr>
          <w:rFonts w:ascii="Times New Roman" w:hAnsi="Times New Roman"/>
          <w:color w:val="231F20"/>
          <w:spacing w:val="-13"/>
          <w:w w:val="105"/>
          <w:sz w:val="22"/>
        </w:rPr>
        <w:t> </w:t>
      </w:r>
      <w:r>
        <w:rPr>
          <w:rFonts w:ascii="Times New Roman" w:hAnsi="Times New Roman"/>
          <w:color w:val="231F20"/>
          <w:w w:val="105"/>
          <w:sz w:val="22"/>
        </w:rPr>
        <w:t>primaria</w:t>
      </w:r>
      <w:r>
        <w:rPr>
          <w:rFonts w:ascii="Times New Roman" w:hAnsi="Times New Roman"/>
          <w:color w:val="231F20"/>
          <w:spacing w:val="-13"/>
          <w:w w:val="105"/>
          <w:sz w:val="22"/>
        </w:rPr>
        <w:t> </w:t>
      </w:r>
      <w:r>
        <w:rPr>
          <w:rFonts w:ascii="Times New Roman" w:hAnsi="Times New Roman"/>
          <w:color w:val="231F20"/>
          <w:w w:val="105"/>
          <w:sz w:val="22"/>
        </w:rPr>
        <w:t>en</w:t>
      </w:r>
      <w:r>
        <w:rPr>
          <w:rFonts w:ascii="Times New Roman" w:hAnsi="Times New Roman"/>
          <w:color w:val="231F20"/>
          <w:spacing w:val="-13"/>
          <w:w w:val="105"/>
          <w:sz w:val="22"/>
        </w:rPr>
        <w:t> </w:t>
      </w:r>
      <w:r>
        <w:rPr>
          <w:rFonts w:ascii="Times New Roman" w:hAnsi="Times New Roman"/>
          <w:color w:val="231F20"/>
          <w:w w:val="105"/>
          <w:sz w:val="22"/>
        </w:rPr>
        <w:t>escuelas</w:t>
      </w:r>
      <w:r>
        <w:rPr>
          <w:rFonts w:ascii="Times New Roman" w:hAnsi="Times New Roman"/>
          <w:color w:val="231F20"/>
          <w:spacing w:val="-13"/>
          <w:w w:val="105"/>
          <w:sz w:val="22"/>
        </w:rPr>
        <w:t> </w:t>
      </w:r>
      <w:r>
        <w:rPr>
          <w:rFonts w:ascii="Times New Roman" w:hAnsi="Times New Roman"/>
          <w:color w:val="231F20"/>
          <w:w w:val="105"/>
          <w:sz w:val="22"/>
        </w:rPr>
        <w:t>públicas</w:t>
      </w:r>
      <w:r>
        <w:rPr>
          <w:rFonts w:ascii="Times New Roman" w:hAnsi="Times New Roman"/>
          <w:color w:val="231F20"/>
          <w:spacing w:val="-13"/>
          <w:w w:val="105"/>
          <w:sz w:val="22"/>
        </w:rPr>
        <w:t> </w:t>
      </w:r>
      <w:r>
        <w:rPr>
          <w:rFonts w:ascii="Times New Roman" w:hAnsi="Times New Roman"/>
          <w:color w:val="231F20"/>
          <w:w w:val="105"/>
          <w:sz w:val="22"/>
        </w:rPr>
        <w:t>en</w:t>
      </w:r>
      <w:r>
        <w:rPr>
          <w:rFonts w:ascii="Times New Roman" w:hAnsi="Times New Roman"/>
          <w:color w:val="231F20"/>
          <w:spacing w:val="-13"/>
          <w:w w:val="105"/>
          <w:sz w:val="22"/>
        </w:rPr>
        <w:t> </w:t>
      </w:r>
      <w:r>
        <w:rPr>
          <w:rFonts w:ascii="Times New Roman" w:hAnsi="Times New Roman"/>
          <w:color w:val="231F20"/>
          <w:w w:val="105"/>
          <w:sz w:val="22"/>
        </w:rPr>
        <w:t>el</w:t>
      </w:r>
      <w:r>
        <w:rPr>
          <w:rFonts w:ascii="Times New Roman" w:hAnsi="Times New Roman"/>
          <w:color w:val="231F20"/>
          <w:spacing w:val="-13"/>
          <w:w w:val="105"/>
          <w:sz w:val="22"/>
        </w:rPr>
        <w:t> </w:t>
      </w:r>
      <w:r>
        <w:rPr>
          <w:rFonts w:ascii="Times New Roman" w:hAnsi="Times New Roman"/>
          <w:color w:val="231F20"/>
          <w:w w:val="105"/>
          <w:sz w:val="22"/>
        </w:rPr>
        <w:t>municipio.</w:t>
      </w:r>
    </w:p>
    <w:p>
      <w:pPr>
        <w:pStyle w:val="ListParagraph"/>
        <w:numPr>
          <w:ilvl w:val="0"/>
          <w:numId w:val="26"/>
        </w:numPr>
        <w:tabs>
          <w:tab w:pos="893" w:val="left" w:leader="none"/>
        </w:tabs>
        <w:spacing w:line="285" w:lineRule="auto" w:before="1" w:after="0"/>
        <w:ind w:left="677" w:right="108" w:firstLine="0"/>
        <w:jc w:val="left"/>
        <w:rPr>
          <w:rFonts w:ascii="Times New Roman"/>
          <w:sz w:val="22"/>
        </w:rPr>
      </w:pPr>
      <w:r>
        <w:rPr>
          <w:rFonts w:ascii="Times New Roman"/>
          <w:color w:val="231F20"/>
          <w:w w:val="105"/>
          <w:sz w:val="22"/>
        </w:rPr>
        <w:t>Gestionar</w:t>
      </w:r>
      <w:r>
        <w:rPr>
          <w:rFonts w:ascii="Times New Roman"/>
          <w:color w:val="231F20"/>
          <w:spacing w:val="-8"/>
          <w:w w:val="105"/>
          <w:sz w:val="22"/>
        </w:rPr>
        <w:t> </w:t>
      </w:r>
      <w:r>
        <w:rPr>
          <w:rFonts w:ascii="Times New Roman"/>
          <w:color w:val="231F20"/>
          <w:w w:val="105"/>
          <w:sz w:val="22"/>
        </w:rPr>
        <w:t>que</w:t>
      </w:r>
      <w:r>
        <w:rPr>
          <w:rFonts w:ascii="Times New Roman"/>
          <w:color w:val="231F20"/>
          <w:spacing w:val="-8"/>
          <w:w w:val="105"/>
          <w:sz w:val="22"/>
        </w:rPr>
        <w:t> </w:t>
      </w:r>
      <w:r>
        <w:rPr>
          <w:rFonts w:ascii="Times New Roman"/>
          <w:color w:val="231F20"/>
          <w:w w:val="105"/>
          <w:sz w:val="22"/>
        </w:rPr>
        <w:t>se</w:t>
      </w:r>
      <w:r>
        <w:rPr>
          <w:rFonts w:ascii="Times New Roman"/>
          <w:color w:val="231F20"/>
          <w:spacing w:val="-8"/>
          <w:w w:val="105"/>
          <w:sz w:val="22"/>
        </w:rPr>
        <w:t> </w:t>
      </w:r>
      <w:r>
        <w:rPr>
          <w:rFonts w:ascii="Times New Roman"/>
          <w:color w:val="231F20"/>
          <w:w w:val="105"/>
          <w:sz w:val="22"/>
        </w:rPr>
        <w:t>rehabilite</w:t>
      </w:r>
      <w:r>
        <w:rPr>
          <w:rFonts w:ascii="Times New Roman"/>
          <w:color w:val="231F20"/>
          <w:spacing w:val="-8"/>
          <w:w w:val="105"/>
          <w:sz w:val="22"/>
        </w:rPr>
        <w:t> </w:t>
      </w:r>
      <w:r>
        <w:rPr>
          <w:rFonts w:ascii="Times New Roman"/>
          <w:color w:val="231F20"/>
          <w:w w:val="105"/>
          <w:sz w:val="22"/>
        </w:rPr>
        <w:t>la</w:t>
      </w:r>
      <w:r>
        <w:rPr>
          <w:rFonts w:ascii="Times New Roman"/>
          <w:color w:val="231F20"/>
          <w:spacing w:val="-8"/>
          <w:w w:val="105"/>
          <w:sz w:val="22"/>
        </w:rPr>
        <w:t> </w:t>
      </w:r>
      <w:r>
        <w:rPr>
          <w:rFonts w:ascii="Times New Roman"/>
          <w:color w:val="231F20"/>
          <w:w w:val="105"/>
          <w:sz w:val="22"/>
        </w:rPr>
        <w:t>Unidad</w:t>
      </w:r>
      <w:r>
        <w:rPr>
          <w:rFonts w:ascii="Times New Roman"/>
          <w:color w:val="231F20"/>
          <w:spacing w:val="-8"/>
          <w:w w:val="105"/>
          <w:sz w:val="22"/>
        </w:rPr>
        <w:t> </w:t>
      </w:r>
      <w:r>
        <w:rPr>
          <w:rFonts w:ascii="Times New Roman"/>
          <w:color w:val="231F20"/>
          <w:w w:val="105"/>
          <w:sz w:val="22"/>
        </w:rPr>
        <w:t>Deportiva</w:t>
      </w:r>
      <w:r>
        <w:rPr>
          <w:rFonts w:ascii="Times New Roman"/>
          <w:color w:val="231F20"/>
          <w:spacing w:val="-8"/>
          <w:w w:val="105"/>
          <w:sz w:val="22"/>
        </w:rPr>
        <w:t> </w:t>
      </w:r>
      <w:r>
        <w:rPr>
          <w:rFonts w:ascii="Times New Roman"/>
          <w:color w:val="231F20"/>
          <w:w w:val="105"/>
          <w:sz w:val="22"/>
        </w:rPr>
        <w:t>del</w:t>
      </w:r>
      <w:r>
        <w:rPr>
          <w:rFonts w:ascii="Times New Roman"/>
          <w:color w:val="231F20"/>
          <w:spacing w:val="-8"/>
          <w:w w:val="105"/>
          <w:sz w:val="22"/>
        </w:rPr>
        <w:t> </w:t>
      </w:r>
      <w:r>
        <w:rPr>
          <w:rFonts w:ascii="Times New Roman"/>
          <w:color w:val="231F20"/>
          <w:w w:val="105"/>
          <w:sz w:val="22"/>
        </w:rPr>
        <w:t>Municipio</w:t>
      </w:r>
      <w:r>
        <w:rPr>
          <w:rFonts w:ascii="Times New Roman"/>
          <w:color w:val="231F20"/>
          <w:spacing w:val="-8"/>
          <w:w w:val="105"/>
          <w:sz w:val="22"/>
        </w:rPr>
        <w:t> </w:t>
      </w:r>
      <w:r>
        <w:rPr>
          <w:rFonts w:ascii="Times New Roman"/>
          <w:color w:val="231F20"/>
          <w:w w:val="105"/>
          <w:sz w:val="22"/>
        </w:rPr>
        <w:t>y</w:t>
      </w:r>
      <w:r>
        <w:rPr>
          <w:rFonts w:ascii="Times New Roman"/>
          <w:color w:val="231F20"/>
          <w:spacing w:val="-8"/>
          <w:w w:val="105"/>
          <w:sz w:val="22"/>
        </w:rPr>
        <w:t> </w:t>
      </w:r>
      <w:r>
        <w:rPr>
          <w:rFonts w:ascii="Times New Roman"/>
          <w:color w:val="231F20"/>
          <w:w w:val="105"/>
          <w:sz w:val="22"/>
        </w:rPr>
        <w:t>se</w:t>
      </w:r>
      <w:r>
        <w:rPr>
          <w:rFonts w:ascii="Times New Roman"/>
          <w:color w:val="231F20"/>
          <w:spacing w:val="-8"/>
          <w:w w:val="105"/>
          <w:sz w:val="22"/>
        </w:rPr>
        <w:t> </w:t>
      </w:r>
      <w:r>
        <w:rPr>
          <w:rFonts w:ascii="Times New Roman"/>
          <w:color w:val="231F20"/>
          <w:w w:val="105"/>
          <w:sz w:val="22"/>
        </w:rPr>
        <w:t>creen</w:t>
      </w:r>
      <w:r>
        <w:rPr>
          <w:rFonts w:ascii="Times New Roman"/>
          <w:color w:val="231F20"/>
          <w:spacing w:val="-8"/>
          <w:w w:val="105"/>
          <w:sz w:val="22"/>
        </w:rPr>
        <w:t> </w:t>
      </w:r>
      <w:r>
        <w:rPr>
          <w:rFonts w:ascii="Times New Roman"/>
          <w:color w:val="231F20"/>
          <w:w w:val="105"/>
          <w:sz w:val="22"/>
        </w:rPr>
        <w:t>nue- vos</w:t>
      </w:r>
      <w:r>
        <w:rPr>
          <w:rFonts w:ascii="Times New Roman"/>
          <w:color w:val="231F20"/>
          <w:spacing w:val="-39"/>
          <w:w w:val="105"/>
          <w:sz w:val="22"/>
        </w:rPr>
        <w:t> </w:t>
      </w:r>
      <w:r>
        <w:rPr>
          <w:rFonts w:ascii="Times New Roman"/>
          <w:color w:val="231F20"/>
          <w:w w:val="105"/>
          <w:sz w:val="22"/>
        </w:rPr>
        <w:t>espacios</w:t>
      </w:r>
      <w:r>
        <w:rPr>
          <w:rFonts w:ascii="Times New Roman"/>
          <w:color w:val="231F20"/>
          <w:spacing w:val="-39"/>
          <w:w w:val="105"/>
          <w:sz w:val="22"/>
        </w:rPr>
        <w:t> </w:t>
      </w:r>
      <w:r>
        <w:rPr>
          <w:rFonts w:ascii="Times New Roman"/>
          <w:color w:val="231F20"/>
          <w:w w:val="105"/>
          <w:sz w:val="22"/>
        </w:rPr>
        <w:t>deportivos.</w:t>
      </w:r>
    </w:p>
    <w:p>
      <w:pPr>
        <w:pStyle w:val="ListParagraph"/>
        <w:numPr>
          <w:ilvl w:val="0"/>
          <w:numId w:val="26"/>
        </w:numPr>
        <w:tabs>
          <w:tab w:pos="885" w:val="left" w:leader="none"/>
        </w:tabs>
        <w:spacing w:line="285" w:lineRule="auto" w:before="1" w:after="0"/>
        <w:ind w:left="677" w:right="108" w:firstLine="0"/>
        <w:jc w:val="left"/>
        <w:rPr>
          <w:rFonts w:ascii="Times New Roman" w:hAnsi="Times New Roman"/>
          <w:sz w:val="22"/>
        </w:rPr>
      </w:pPr>
      <w:r>
        <w:rPr>
          <w:rFonts w:ascii="Times New Roman" w:hAnsi="Times New Roman"/>
          <w:color w:val="231F20"/>
          <w:w w:val="105"/>
          <w:sz w:val="22"/>
        </w:rPr>
        <w:t>Gestionar</w:t>
      </w:r>
      <w:r>
        <w:rPr>
          <w:rFonts w:ascii="Times New Roman" w:hAnsi="Times New Roman"/>
          <w:color w:val="231F20"/>
          <w:spacing w:val="-18"/>
          <w:w w:val="105"/>
          <w:sz w:val="22"/>
        </w:rPr>
        <w:t> </w:t>
      </w:r>
      <w:r>
        <w:rPr>
          <w:rFonts w:ascii="Times New Roman" w:hAnsi="Times New Roman"/>
          <w:color w:val="231F20"/>
          <w:w w:val="105"/>
          <w:sz w:val="22"/>
        </w:rPr>
        <w:t>se</w:t>
      </w:r>
      <w:r>
        <w:rPr>
          <w:rFonts w:ascii="Times New Roman" w:hAnsi="Times New Roman"/>
          <w:color w:val="231F20"/>
          <w:spacing w:val="-18"/>
          <w:w w:val="105"/>
          <w:sz w:val="22"/>
        </w:rPr>
        <w:t> </w:t>
      </w:r>
      <w:r>
        <w:rPr>
          <w:rFonts w:ascii="Times New Roman" w:hAnsi="Times New Roman"/>
          <w:color w:val="231F20"/>
          <w:w w:val="105"/>
          <w:sz w:val="22"/>
        </w:rPr>
        <w:t>otorgue</w:t>
      </w:r>
      <w:r>
        <w:rPr>
          <w:rFonts w:ascii="Times New Roman" w:hAnsi="Times New Roman"/>
          <w:color w:val="231F20"/>
          <w:spacing w:val="-18"/>
          <w:w w:val="105"/>
          <w:sz w:val="22"/>
        </w:rPr>
        <w:t> </w:t>
      </w:r>
      <w:r>
        <w:rPr>
          <w:rFonts w:ascii="Times New Roman" w:hAnsi="Times New Roman"/>
          <w:color w:val="231F20"/>
          <w:w w:val="105"/>
          <w:sz w:val="22"/>
        </w:rPr>
        <w:t>pensión</w:t>
      </w:r>
      <w:r>
        <w:rPr>
          <w:rFonts w:ascii="Times New Roman" w:hAnsi="Times New Roman"/>
          <w:color w:val="231F20"/>
          <w:spacing w:val="-18"/>
          <w:w w:val="105"/>
          <w:sz w:val="22"/>
        </w:rPr>
        <w:t> </w:t>
      </w:r>
      <w:r>
        <w:rPr>
          <w:rFonts w:ascii="Times New Roman" w:hAnsi="Times New Roman"/>
          <w:color w:val="231F20"/>
          <w:w w:val="105"/>
          <w:sz w:val="22"/>
        </w:rPr>
        <w:t>alimenticia</w:t>
      </w:r>
      <w:r>
        <w:rPr>
          <w:rFonts w:ascii="Times New Roman" w:hAnsi="Times New Roman"/>
          <w:color w:val="231F20"/>
          <w:spacing w:val="-18"/>
          <w:w w:val="105"/>
          <w:sz w:val="22"/>
        </w:rPr>
        <w:t> </w:t>
      </w:r>
      <w:r>
        <w:rPr>
          <w:rFonts w:ascii="Times New Roman" w:hAnsi="Times New Roman"/>
          <w:color w:val="231F20"/>
          <w:w w:val="105"/>
          <w:sz w:val="22"/>
        </w:rPr>
        <w:t>mensual</w:t>
      </w:r>
      <w:r>
        <w:rPr>
          <w:rFonts w:ascii="Times New Roman" w:hAnsi="Times New Roman"/>
          <w:color w:val="231F20"/>
          <w:spacing w:val="-18"/>
          <w:w w:val="105"/>
          <w:sz w:val="22"/>
        </w:rPr>
        <w:t> </w:t>
      </w:r>
      <w:r>
        <w:rPr>
          <w:rFonts w:ascii="Times New Roman" w:hAnsi="Times New Roman"/>
          <w:color w:val="231F20"/>
          <w:w w:val="105"/>
          <w:sz w:val="22"/>
        </w:rPr>
        <w:t>a</w:t>
      </w:r>
      <w:r>
        <w:rPr>
          <w:rFonts w:ascii="Times New Roman" w:hAnsi="Times New Roman"/>
          <w:color w:val="231F20"/>
          <w:spacing w:val="-18"/>
          <w:w w:val="105"/>
          <w:sz w:val="22"/>
        </w:rPr>
        <w:t> </w:t>
      </w:r>
      <w:r>
        <w:rPr>
          <w:rFonts w:ascii="Times New Roman" w:hAnsi="Times New Roman"/>
          <w:color w:val="231F20"/>
          <w:w w:val="105"/>
          <w:sz w:val="22"/>
        </w:rPr>
        <w:t>los</w:t>
      </w:r>
      <w:r>
        <w:rPr>
          <w:rFonts w:ascii="Times New Roman" w:hAnsi="Times New Roman"/>
          <w:color w:val="231F20"/>
          <w:spacing w:val="-18"/>
          <w:w w:val="105"/>
          <w:sz w:val="22"/>
        </w:rPr>
        <w:t> </w:t>
      </w:r>
      <w:r>
        <w:rPr>
          <w:rFonts w:ascii="Times New Roman" w:hAnsi="Times New Roman"/>
          <w:color w:val="231F20"/>
          <w:w w:val="105"/>
          <w:sz w:val="22"/>
        </w:rPr>
        <w:t>adultos</w:t>
      </w:r>
      <w:r>
        <w:rPr>
          <w:rFonts w:ascii="Times New Roman" w:hAnsi="Times New Roman"/>
          <w:color w:val="231F20"/>
          <w:spacing w:val="-18"/>
          <w:w w:val="105"/>
          <w:sz w:val="22"/>
        </w:rPr>
        <w:t> </w:t>
      </w:r>
      <w:r>
        <w:rPr>
          <w:rFonts w:ascii="Times New Roman" w:hAnsi="Times New Roman"/>
          <w:color w:val="231F20"/>
          <w:w w:val="105"/>
          <w:sz w:val="22"/>
        </w:rPr>
        <w:t>mayores</w:t>
      </w:r>
      <w:r>
        <w:rPr>
          <w:rFonts w:ascii="Times New Roman" w:hAnsi="Times New Roman"/>
          <w:color w:val="231F20"/>
          <w:spacing w:val="-18"/>
          <w:w w:val="105"/>
          <w:sz w:val="22"/>
        </w:rPr>
        <w:t> </w:t>
      </w:r>
      <w:r>
        <w:rPr>
          <w:rFonts w:ascii="Times New Roman" w:hAnsi="Times New Roman"/>
          <w:color w:val="231F20"/>
          <w:w w:val="105"/>
          <w:sz w:val="22"/>
        </w:rPr>
        <w:t>que</w:t>
      </w:r>
      <w:r>
        <w:rPr>
          <w:rFonts w:ascii="Times New Roman" w:hAnsi="Times New Roman"/>
          <w:color w:val="231F20"/>
          <w:spacing w:val="-18"/>
          <w:w w:val="105"/>
          <w:sz w:val="22"/>
        </w:rPr>
        <w:t> </w:t>
      </w:r>
      <w:r>
        <w:rPr>
          <w:rFonts w:ascii="Times New Roman" w:hAnsi="Times New Roman"/>
          <w:color w:val="231F20"/>
          <w:w w:val="105"/>
          <w:sz w:val="22"/>
        </w:rPr>
        <w:t>no cuenten con seguridad</w:t>
      </w:r>
      <w:r>
        <w:rPr>
          <w:rFonts w:ascii="Times New Roman" w:hAnsi="Times New Roman"/>
          <w:color w:val="231F20"/>
          <w:spacing w:val="-38"/>
          <w:w w:val="105"/>
          <w:sz w:val="22"/>
        </w:rPr>
        <w:t> </w:t>
      </w:r>
      <w:r>
        <w:rPr>
          <w:rFonts w:ascii="Times New Roman" w:hAnsi="Times New Roman"/>
          <w:color w:val="231F20"/>
          <w:w w:val="105"/>
          <w:sz w:val="22"/>
        </w:rPr>
        <w:t>social.</w:t>
      </w:r>
    </w:p>
    <w:p>
      <w:pPr>
        <w:pStyle w:val="ListParagraph"/>
        <w:numPr>
          <w:ilvl w:val="0"/>
          <w:numId w:val="26"/>
        </w:numPr>
        <w:tabs>
          <w:tab w:pos="870" w:val="left" w:leader="none"/>
        </w:tabs>
        <w:spacing w:line="240" w:lineRule="auto" w:before="1" w:after="0"/>
        <w:ind w:left="869" w:right="0" w:hanging="192"/>
        <w:jc w:val="left"/>
        <w:rPr>
          <w:rFonts w:ascii="Times New Roman" w:hAnsi="Times New Roman"/>
          <w:sz w:val="22"/>
        </w:rPr>
      </w:pPr>
      <w:r>
        <w:rPr>
          <w:rFonts w:ascii="Times New Roman" w:hAnsi="Times New Roman"/>
          <w:color w:val="231F20"/>
          <w:w w:val="105"/>
          <w:sz w:val="22"/>
        </w:rPr>
        <w:t>Instrumentar programas de restauración y conservación del medio</w:t>
      </w:r>
      <w:r>
        <w:rPr>
          <w:rFonts w:ascii="Times New Roman" w:hAnsi="Times New Roman"/>
          <w:color w:val="231F20"/>
          <w:spacing w:val="-35"/>
          <w:w w:val="105"/>
          <w:sz w:val="22"/>
        </w:rPr>
        <w:t> </w:t>
      </w:r>
      <w:r>
        <w:rPr>
          <w:rFonts w:ascii="Times New Roman" w:hAnsi="Times New Roman"/>
          <w:color w:val="231F20"/>
          <w:w w:val="105"/>
          <w:sz w:val="22"/>
        </w:rPr>
        <w:t>ambiente.</w:t>
      </w:r>
    </w:p>
    <w:p>
      <w:pPr>
        <w:spacing w:before="21"/>
        <w:ind w:left="110" w:right="574" w:firstLine="0"/>
        <w:jc w:val="left"/>
        <w:rPr>
          <w:rFonts w:ascii="Palatino Linotype" w:hAnsi="Palatino Linotype"/>
          <w:i/>
          <w:sz w:val="22"/>
        </w:rPr>
      </w:pPr>
      <w:r>
        <w:rPr>
          <w:rFonts w:ascii="Palatino Linotype" w:hAnsi="Palatino Linotype"/>
          <w:i/>
          <w:color w:val="231F20"/>
          <w:w w:val="105"/>
          <w:sz w:val="22"/>
        </w:rPr>
        <w:t>Pilar II. Seguridad Económica</w:t>
      </w:r>
    </w:p>
    <w:p>
      <w:pPr>
        <w:pStyle w:val="ListParagraph"/>
        <w:numPr>
          <w:ilvl w:val="0"/>
          <w:numId w:val="27"/>
        </w:numPr>
        <w:tabs>
          <w:tab w:pos="886" w:val="left" w:leader="none"/>
        </w:tabs>
        <w:spacing w:line="240" w:lineRule="auto" w:before="29" w:after="0"/>
        <w:ind w:left="677" w:right="0" w:firstLine="0"/>
        <w:jc w:val="left"/>
        <w:rPr>
          <w:rFonts w:ascii="Times New Roman" w:hAnsi="Times New Roman"/>
          <w:sz w:val="22"/>
        </w:rPr>
      </w:pPr>
      <w:r>
        <w:rPr>
          <w:rFonts w:ascii="Times New Roman" w:hAnsi="Times New Roman"/>
          <w:color w:val="231F20"/>
          <w:w w:val="105"/>
          <w:sz w:val="22"/>
        </w:rPr>
        <w:t>Impulsar</w:t>
      </w:r>
      <w:r>
        <w:rPr>
          <w:rFonts w:ascii="Times New Roman" w:hAnsi="Times New Roman"/>
          <w:color w:val="231F20"/>
          <w:spacing w:val="-15"/>
          <w:w w:val="105"/>
          <w:sz w:val="22"/>
        </w:rPr>
        <w:t> </w:t>
      </w:r>
      <w:r>
        <w:rPr>
          <w:rFonts w:ascii="Times New Roman" w:hAnsi="Times New Roman"/>
          <w:color w:val="231F20"/>
          <w:w w:val="105"/>
          <w:sz w:val="22"/>
        </w:rPr>
        <w:t>el</w:t>
      </w:r>
      <w:r>
        <w:rPr>
          <w:rFonts w:ascii="Times New Roman" w:hAnsi="Times New Roman"/>
          <w:color w:val="231F20"/>
          <w:spacing w:val="-15"/>
          <w:w w:val="105"/>
          <w:sz w:val="22"/>
        </w:rPr>
        <w:t> </w:t>
      </w:r>
      <w:r>
        <w:rPr>
          <w:rFonts w:ascii="Times New Roman" w:hAnsi="Times New Roman"/>
          <w:color w:val="231F20"/>
          <w:w w:val="105"/>
          <w:sz w:val="22"/>
        </w:rPr>
        <w:t>desarrollo</w:t>
      </w:r>
      <w:r>
        <w:rPr>
          <w:rFonts w:ascii="Times New Roman" w:hAnsi="Times New Roman"/>
          <w:color w:val="231F20"/>
          <w:spacing w:val="-15"/>
          <w:w w:val="105"/>
          <w:sz w:val="22"/>
        </w:rPr>
        <w:t> </w:t>
      </w:r>
      <w:r>
        <w:rPr>
          <w:rFonts w:ascii="Times New Roman" w:hAnsi="Times New Roman"/>
          <w:color w:val="231F20"/>
          <w:w w:val="105"/>
          <w:sz w:val="22"/>
        </w:rPr>
        <w:t>económico</w:t>
      </w:r>
      <w:r>
        <w:rPr>
          <w:rFonts w:ascii="Times New Roman" w:hAnsi="Times New Roman"/>
          <w:color w:val="231F20"/>
          <w:spacing w:val="-15"/>
          <w:w w:val="105"/>
          <w:sz w:val="22"/>
        </w:rPr>
        <w:t> </w:t>
      </w:r>
      <w:r>
        <w:rPr>
          <w:rFonts w:ascii="Times New Roman" w:hAnsi="Times New Roman"/>
          <w:color w:val="231F20"/>
          <w:w w:val="105"/>
          <w:sz w:val="22"/>
        </w:rPr>
        <w:t>para</w:t>
      </w:r>
      <w:r>
        <w:rPr>
          <w:rFonts w:ascii="Times New Roman" w:hAnsi="Times New Roman"/>
          <w:color w:val="231F20"/>
          <w:spacing w:val="-15"/>
          <w:w w:val="105"/>
          <w:sz w:val="22"/>
        </w:rPr>
        <w:t> </w:t>
      </w:r>
      <w:r>
        <w:rPr>
          <w:rFonts w:ascii="Times New Roman" w:hAnsi="Times New Roman"/>
          <w:color w:val="231F20"/>
          <w:w w:val="105"/>
          <w:sz w:val="22"/>
        </w:rPr>
        <w:t>la</w:t>
      </w:r>
      <w:r>
        <w:rPr>
          <w:rFonts w:ascii="Times New Roman" w:hAnsi="Times New Roman"/>
          <w:color w:val="231F20"/>
          <w:spacing w:val="-15"/>
          <w:w w:val="105"/>
          <w:sz w:val="22"/>
        </w:rPr>
        <w:t> </w:t>
      </w:r>
      <w:r>
        <w:rPr>
          <w:rFonts w:ascii="Times New Roman" w:hAnsi="Times New Roman"/>
          <w:color w:val="231F20"/>
          <w:w w:val="105"/>
          <w:sz w:val="22"/>
        </w:rPr>
        <w:t>generación</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empleos.</w:t>
      </w:r>
    </w:p>
    <w:p>
      <w:pPr>
        <w:pStyle w:val="ListParagraph"/>
        <w:numPr>
          <w:ilvl w:val="0"/>
          <w:numId w:val="27"/>
        </w:numPr>
        <w:tabs>
          <w:tab w:pos="898" w:val="left" w:leader="none"/>
        </w:tabs>
        <w:spacing w:line="285" w:lineRule="auto" w:before="47" w:after="0"/>
        <w:ind w:left="677" w:right="108" w:firstLine="0"/>
        <w:jc w:val="left"/>
        <w:rPr>
          <w:rFonts w:ascii="Times New Roman" w:hAnsi="Times New Roman"/>
          <w:sz w:val="22"/>
        </w:rPr>
      </w:pPr>
      <w:r>
        <w:rPr>
          <w:rFonts w:ascii="Times New Roman" w:hAnsi="Times New Roman"/>
          <w:color w:val="231F20"/>
          <w:w w:val="105"/>
          <w:sz w:val="22"/>
        </w:rPr>
        <w:t>Gestionar el desarrollo de la infraestructura carretera y de vialidades para po- tenciar</w:t>
      </w:r>
      <w:r>
        <w:rPr>
          <w:rFonts w:ascii="Times New Roman" w:hAnsi="Times New Roman"/>
          <w:color w:val="231F20"/>
          <w:spacing w:val="-18"/>
          <w:w w:val="105"/>
          <w:sz w:val="22"/>
        </w:rPr>
        <w:t> </w:t>
      </w:r>
      <w:r>
        <w:rPr>
          <w:rFonts w:ascii="Times New Roman" w:hAnsi="Times New Roman"/>
          <w:color w:val="231F20"/>
          <w:w w:val="105"/>
          <w:sz w:val="22"/>
        </w:rPr>
        <w:t>el</w:t>
      </w:r>
      <w:r>
        <w:rPr>
          <w:rFonts w:ascii="Times New Roman" w:hAnsi="Times New Roman"/>
          <w:color w:val="231F20"/>
          <w:spacing w:val="-18"/>
          <w:w w:val="105"/>
          <w:sz w:val="22"/>
        </w:rPr>
        <w:t> </w:t>
      </w:r>
      <w:r>
        <w:rPr>
          <w:rFonts w:ascii="Times New Roman" w:hAnsi="Times New Roman"/>
          <w:color w:val="231F20"/>
          <w:w w:val="105"/>
          <w:sz w:val="22"/>
        </w:rPr>
        <w:t>desarrollo</w:t>
      </w:r>
      <w:r>
        <w:rPr>
          <w:rFonts w:ascii="Times New Roman" w:hAnsi="Times New Roman"/>
          <w:color w:val="231F20"/>
          <w:spacing w:val="-18"/>
          <w:w w:val="105"/>
          <w:sz w:val="22"/>
        </w:rPr>
        <w:t> </w:t>
      </w:r>
      <w:r>
        <w:rPr>
          <w:rFonts w:ascii="Times New Roman" w:hAnsi="Times New Roman"/>
          <w:color w:val="231F20"/>
          <w:w w:val="105"/>
          <w:sz w:val="22"/>
        </w:rPr>
        <w:t>económico</w:t>
      </w:r>
      <w:r>
        <w:rPr>
          <w:rFonts w:ascii="Times New Roman" w:hAnsi="Times New Roman"/>
          <w:color w:val="231F20"/>
          <w:spacing w:val="-18"/>
          <w:w w:val="105"/>
          <w:sz w:val="22"/>
        </w:rPr>
        <w:t> </w:t>
      </w:r>
      <w:r>
        <w:rPr>
          <w:rFonts w:ascii="Times New Roman" w:hAnsi="Times New Roman"/>
          <w:color w:val="231F20"/>
          <w:w w:val="105"/>
          <w:sz w:val="22"/>
        </w:rPr>
        <w:t>del</w:t>
      </w:r>
      <w:r>
        <w:rPr>
          <w:rFonts w:ascii="Times New Roman" w:hAnsi="Times New Roman"/>
          <w:color w:val="231F20"/>
          <w:spacing w:val="-18"/>
          <w:w w:val="105"/>
          <w:sz w:val="22"/>
        </w:rPr>
        <w:t> </w:t>
      </w:r>
      <w:r>
        <w:rPr>
          <w:rFonts w:ascii="Times New Roman" w:hAnsi="Times New Roman"/>
          <w:color w:val="231F20"/>
          <w:w w:val="105"/>
          <w:sz w:val="22"/>
        </w:rPr>
        <w:t>Municipio.</w:t>
      </w:r>
    </w:p>
    <w:p>
      <w:pPr>
        <w:pStyle w:val="ListParagraph"/>
        <w:numPr>
          <w:ilvl w:val="0"/>
          <w:numId w:val="27"/>
        </w:numPr>
        <w:tabs>
          <w:tab w:pos="902" w:val="left" w:leader="none"/>
        </w:tabs>
        <w:spacing w:line="285" w:lineRule="auto" w:before="1" w:after="0"/>
        <w:ind w:left="677" w:right="108" w:firstLine="0"/>
        <w:jc w:val="left"/>
        <w:rPr>
          <w:rFonts w:ascii="Times New Roman" w:hAnsi="Times New Roman"/>
          <w:sz w:val="22"/>
        </w:rPr>
      </w:pPr>
      <w:r>
        <w:rPr>
          <w:rFonts w:ascii="Times New Roman" w:hAnsi="Times New Roman"/>
          <w:color w:val="231F20"/>
          <w:w w:val="105"/>
          <w:sz w:val="22"/>
        </w:rPr>
        <w:t>Gestionar la creación de una oficina del Instituto Mexiquense del Emprende- dor</w:t>
      </w:r>
      <w:r>
        <w:rPr>
          <w:rFonts w:ascii="Times New Roman" w:hAnsi="Times New Roman"/>
          <w:color w:val="231F20"/>
          <w:spacing w:val="-14"/>
          <w:w w:val="105"/>
          <w:sz w:val="22"/>
        </w:rPr>
        <w:t> </w:t>
      </w:r>
      <w:r>
        <w:rPr>
          <w:rFonts w:ascii="Times New Roman" w:hAnsi="Times New Roman"/>
          <w:color w:val="231F20"/>
          <w:w w:val="105"/>
          <w:sz w:val="22"/>
        </w:rPr>
        <w:t>para</w:t>
      </w:r>
      <w:r>
        <w:rPr>
          <w:rFonts w:ascii="Times New Roman" w:hAnsi="Times New Roman"/>
          <w:color w:val="231F20"/>
          <w:spacing w:val="-14"/>
          <w:w w:val="105"/>
          <w:sz w:val="22"/>
        </w:rPr>
        <w:t> </w:t>
      </w:r>
      <w:r>
        <w:rPr>
          <w:rFonts w:ascii="Times New Roman" w:hAnsi="Times New Roman"/>
          <w:color w:val="231F20"/>
          <w:w w:val="105"/>
          <w:sz w:val="22"/>
        </w:rPr>
        <w:t>apoyar</w:t>
      </w:r>
      <w:r>
        <w:rPr>
          <w:rFonts w:ascii="Times New Roman" w:hAnsi="Times New Roman"/>
          <w:color w:val="231F20"/>
          <w:spacing w:val="-14"/>
          <w:w w:val="105"/>
          <w:sz w:val="22"/>
        </w:rPr>
        <w:t> </w:t>
      </w:r>
      <w:r>
        <w:rPr>
          <w:rFonts w:ascii="Times New Roman" w:hAnsi="Times New Roman"/>
          <w:color w:val="231F20"/>
          <w:w w:val="105"/>
          <w:sz w:val="22"/>
        </w:rPr>
        <w:t>proyectos</w:t>
      </w:r>
      <w:r>
        <w:rPr>
          <w:rFonts w:ascii="Times New Roman" w:hAnsi="Times New Roman"/>
          <w:color w:val="231F20"/>
          <w:spacing w:val="-14"/>
          <w:w w:val="105"/>
          <w:sz w:val="22"/>
        </w:rPr>
        <w:t> </w:t>
      </w:r>
      <w:r>
        <w:rPr>
          <w:rFonts w:ascii="Times New Roman" w:hAnsi="Times New Roman"/>
          <w:color w:val="231F20"/>
          <w:w w:val="105"/>
          <w:sz w:val="22"/>
        </w:rPr>
        <w:t>productivos.</w:t>
      </w:r>
    </w:p>
    <w:p>
      <w:pPr>
        <w:pStyle w:val="ListParagraph"/>
        <w:numPr>
          <w:ilvl w:val="0"/>
          <w:numId w:val="27"/>
        </w:numPr>
        <w:tabs>
          <w:tab w:pos="894" w:val="left" w:leader="none"/>
        </w:tabs>
        <w:spacing w:line="240" w:lineRule="auto" w:before="1" w:after="0"/>
        <w:ind w:left="893" w:right="0" w:hanging="216"/>
        <w:jc w:val="left"/>
        <w:rPr>
          <w:rFonts w:ascii="Times New Roman"/>
          <w:sz w:val="22"/>
        </w:rPr>
      </w:pPr>
      <w:r>
        <w:rPr>
          <w:rFonts w:ascii="Times New Roman"/>
          <w:color w:val="231F20"/>
          <w:w w:val="105"/>
          <w:sz w:val="22"/>
        </w:rPr>
        <w:t>Gestionar</w:t>
      </w:r>
      <w:r>
        <w:rPr>
          <w:rFonts w:ascii="Times New Roman"/>
          <w:color w:val="231F20"/>
          <w:spacing w:val="-9"/>
          <w:w w:val="105"/>
          <w:sz w:val="22"/>
        </w:rPr>
        <w:t> </w:t>
      </w:r>
      <w:r>
        <w:rPr>
          <w:rFonts w:ascii="Times New Roman"/>
          <w:color w:val="231F20"/>
          <w:w w:val="105"/>
          <w:sz w:val="22"/>
        </w:rPr>
        <w:t>se</w:t>
      </w:r>
      <w:r>
        <w:rPr>
          <w:rFonts w:ascii="Times New Roman"/>
          <w:color w:val="231F20"/>
          <w:spacing w:val="-9"/>
          <w:w w:val="105"/>
          <w:sz w:val="22"/>
        </w:rPr>
        <w:t> </w:t>
      </w:r>
      <w:r>
        <w:rPr>
          <w:rFonts w:ascii="Times New Roman"/>
          <w:color w:val="231F20"/>
          <w:w w:val="105"/>
          <w:sz w:val="22"/>
        </w:rPr>
        <w:t>dote</w:t>
      </w:r>
      <w:r>
        <w:rPr>
          <w:rFonts w:ascii="Times New Roman"/>
          <w:color w:val="231F20"/>
          <w:spacing w:val="-9"/>
          <w:w w:val="105"/>
          <w:sz w:val="22"/>
        </w:rPr>
        <w:t> </w:t>
      </w:r>
      <w:r>
        <w:rPr>
          <w:rFonts w:ascii="Times New Roman"/>
          <w:color w:val="231F20"/>
          <w:w w:val="105"/>
          <w:sz w:val="22"/>
        </w:rPr>
        <w:t>de</w:t>
      </w:r>
      <w:r>
        <w:rPr>
          <w:rFonts w:ascii="Times New Roman"/>
          <w:color w:val="231F20"/>
          <w:spacing w:val="-9"/>
          <w:w w:val="105"/>
          <w:sz w:val="22"/>
        </w:rPr>
        <w:t> </w:t>
      </w:r>
      <w:r>
        <w:rPr>
          <w:rFonts w:ascii="Times New Roman"/>
          <w:color w:val="231F20"/>
          <w:w w:val="105"/>
          <w:sz w:val="22"/>
        </w:rPr>
        <w:t>computadoras</w:t>
      </w:r>
      <w:r>
        <w:rPr>
          <w:rFonts w:ascii="Times New Roman"/>
          <w:color w:val="231F20"/>
          <w:spacing w:val="-9"/>
          <w:w w:val="105"/>
          <w:sz w:val="22"/>
        </w:rPr>
        <w:t> </w:t>
      </w:r>
      <w:r>
        <w:rPr>
          <w:rFonts w:ascii="Times New Roman"/>
          <w:color w:val="231F20"/>
          <w:w w:val="105"/>
          <w:sz w:val="22"/>
        </w:rPr>
        <w:t>a</w:t>
      </w:r>
      <w:r>
        <w:rPr>
          <w:rFonts w:ascii="Times New Roman"/>
          <w:color w:val="231F20"/>
          <w:spacing w:val="-9"/>
          <w:w w:val="105"/>
          <w:sz w:val="22"/>
        </w:rPr>
        <w:t> </w:t>
      </w:r>
      <w:r>
        <w:rPr>
          <w:rFonts w:ascii="Times New Roman"/>
          <w:color w:val="231F20"/>
          <w:w w:val="105"/>
          <w:sz w:val="22"/>
        </w:rPr>
        <w:t>las</w:t>
      </w:r>
      <w:r>
        <w:rPr>
          <w:rFonts w:ascii="Times New Roman"/>
          <w:color w:val="231F20"/>
          <w:spacing w:val="-9"/>
          <w:w w:val="105"/>
          <w:sz w:val="22"/>
        </w:rPr>
        <w:t> </w:t>
      </w:r>
      <w:r>
        <w:rPr>
          <w:rFonts w:ascii="Times New Roman"/>
          <w:color w:val="231F20"/>
          <w:w w:val="105"/>
          <w:sz w:val="22"/>
        </w:rPr>
        <w:t>escuelas</w:t>
      </w:r>
      <w:r>
        <w:rPr>
          <w:rFonts w:ascii="Times New Roman"/>
          <w:color w:val="231F20"/>
          <w:spacing w:val="-9"/>
          <w:w w:val="105"/>
          <w:sz w:val="22"/>
        </w:rPr>
        <w:t> </w:t>
      </w:r>
      <w:r>
        <w:rPr>
          <w:rFonts w:ascii="Times New Roman"/>
          <w:color w:val="231F20"/>
          <w:w w:val="105"/>
          <w:sz w:val="22"/>
        </w:rPr>
        <w:t>primarias.</w:t>
      </w:r>
    </w:p>
    <w:p>
      <w:pPr>
        <w:pStyle w:val="ListParagraph"/>
        <w:numPr>
          <w:ilvl w:val="0"/>
          <w:numId w:val="27"/>
        </w:numPr>
        <w:tabs>
          <w:tab w:pos="890" w:val="left" w:leader="none"/>
        </w:tabs>
        <w:spacing w:line="240" w:lineRule="auto" w:before="47" w:after="0"/>
        <w:ind w:left="889" w:right="0" w:hanging="212"/>
        <w:jc w:val="left"/>
        <w:rPr>
          <w:rFonts w:ascii="Times New Roman"/>
          <w:sz w:val="22"/>
        </w:rPr>
      </w:pPr>
      <w:r>
        <w:rPr>
          <w:rFonts w:ascii="Times New Roman"/>
          <w:color w:val="231F20"/>
          <w:spacing w:val="-3"/>
          <w:w w:val="105"/>
          <w:sz w:val="22"/>
        </w:rPr>
        <w:t>Promover </w:t>
      </w:r>
      <w:r>
        <w:rPr>
          <w:rFonts w:ascii="Times New Roman"/>
          <w:color w:val="231F20"/>
          <w:w w:val="105"/>
          <w:sz w:val="22"/>
        </w:rPr>
        <w:t>el ordenamiento del transporte</w:t>
      </w:r>
      <w:r>
        <w:rPr>
          <w:rFonts w:ascii="Times New Roman"/>
          <w:color w:val="231F20"/>
          <w:spacing w:val="-29"/>
          <w:w w:val="105"/>
          <w:sz w:val="22"/>
        </w:rPr>
        <w:t> </w:t>
      </w:r>
      <w:r>
        <w:rPr>
          <w:rFonts w:ascii="Times New Roman"/>
          <w:color w:val="231F20"/>
          <w:w w:val="105"/>
          <w:sz w:val="22"/>
        </w:rPr>
        <w:t>colectivo.</w:t>
      </w:r>
    </w:p>
    <w:p>
      <w:pPr>
        <w:pStyle w:val="ListParagraph"/>
        <w:numPr>
          <w:ilvl w:val="0"/>
          <w:numId w:val="27"/>
        </w:numPr>
        <w:tabs>
          <w:tab w:pos="909" w:val="left" w:leader="none"/>
        </w:tabs>
        <w:spacing w:line="285" w:lineRule="auto" w:before="47" w:after="0"/>
        <w:ind w:left="677" w:right="108" w:firstLine="0"/>
        <w:jc w:val="left"/>
        <w:rPr>
          <w:rFonts w:ascii="Times New Roman" w:hAnsi="Times New Roman"/>
          <w:sz w:val="22"/>
        </w:rPr>
      </w:pPr>
      <w:r>
        <w:rPr>
          <w:rFonts w:ascii="Times New Roman" w:hAnsi="Times New Roman"/>
          <w:color w:val="231F20"/>
          <w:w w:val="105"/>
          <w:sz w:val="22"/>
        </w:rPr>
        <w:t>Gestionar la reparación y rehabilitación de la infraestructura hidráulica para llevar</w:t>
      </w:r>
      <w:r>
        <w:rPr>
          <w:rFonts w:ascii="Times New Roman" w:hAnsi="Times New Roman"/>
          <w:color w:val="231F20"/>
          <w:spacing w:val="-18"/>
          <w:w w:val="105"/>
          <w:sz w:val="22"/>
        </w:rPr>
        <w:t> </w:t>
      </w:r>
      <w:r>
        <w:rPr>
          <w:rFonts w:ascii="Times New Roman" w:hAnsi="Times New Roman"/>
          <w:color w:val="231F20"/>
          <w:w w:val="105"/>
          <w:sz w:val="22"/>
        </w:rPr>
        <w:t>más</w:t>
      </w:r>
      <w:r>
        <w:rPr>
          <w:rFonts w:ascii="Times New Roman" w:hAnsi="Times New Roman"/>
          <w:color w:val="231F20"/>
          <w:spacing w:val="-18"/>
          <w:w w:val="105"/>
          <w:sz w:val="22"/>
        </w:rPr>
        <w:t> </w:t>
      </w:r>
      <w:r>
        <w:rPr>
          <w:rFonts w:ascii="Times New Roman" w:hAnsi="Times New Roman"/>
          <w:color w:val="231F20"/>
          <w:w w:val="105"/>
          <w:sz w:val="22"/>
        </w:rPr>
        <w:t>agua</w:t>
      </w:r>
      <w:r>
        <w:rPr>
          <w:rFonts w:ascii="Times New Roman" w:hAnsi="Times New Roman"/>
          <w:color w:val="231F20"/>
          <w:spacing w:val="-18"/>
          <w:w w:val="105"/>
          <w:sz w:val="22"/>
        </w:rPr>
        <w:t> </w:t>
      </w:r>
      <w:r>
        <w:rPr>
          <w:rFonts w:ascii="Times New Roman" w:hAnsi="Times New Roman"/>
          <w:color w:val="231F20"/>
          <w:w w:val="105"/>
          <w:sz w:val="22"/>
        </w:rPr>
        <w:t>a</w:t>
      </w:r>
      <w:r>
        <w:rPr>
          <w:rFonts w:ascii="Times New Roman" w:hAnsi="Times New Roman"/>
          <w:color w:val="231F20"/>
          <w:spacing w:val="-18"/>
          <w:w w:val="105"/>
          <w:sz w:val="22"/>
        </w:rPr>
        <w:t> </w:t>
      </w:r>
      <w:r>
        <w:rPr>
          <w:rFonts w:ascii="Times New Roman" w:hAnsi="Times New Roman"/>
          <w:color w:val="231F20"/>
          <w:w w:val="105"/>
          <w:sz w:val="22"/>
        </w:rPr>
        <w:t>las</w:t>
      </w:r>
      <w:r>
        <w:rPr>
          <w:rFonts w:ascii="Times New Roman" w:hAnsi="Times New Roman"/>
          <w:color w:val="231F20"/>
          <w:spacing w:val="-18"/>
          <w:w w:val="105"/>
          <w:sz w:val="22"/>
        </w:rPr>
        <w:t> </w:t>
      </w:r>
      <w:r>
        <w:rPr>
          <w:rFonts w:ascii="Times New Roman" w:hAnsi="Times New Roman"/>
          <w:color w:val="231F20"/>
          <w:spacing w:val="2"/>
          <w:w w:val="105"/>
          <w:sz w:val="22"/>
        </w:rPr>
        <w:t>familias</w:t>
      </w:r>
      <w:r>
        <w:rPr>
          <w:rFonts w:ascii="Times New Roman" w:hAnsi="Times New Roman"/>
          <w:color w:val="231F20"/>
          <w:spacing w:val="-18"/>
          <w:w w:val="105"/>
          <w:sz w:val="22"/>
        </w:rPr>
        <w:t> </w:t>
      </w:r>
      <w:r>
        <w:rPr>
          <w:rFonts w:ascii="Times New Roman" w:hAnsi="Times New Roman"/>
          <w:color w:val="231F20"/>
          <w:w w:val="105"/>
          <w:sz w:val="22"/>
        </w:rPr>
        <w:t>Ozumbenses.</w:t>
      </w:r>
    </w:p>
    <w:p>
      <w:pPr>
        <w:pStyle w:val="ListParagraph"/>
        <w:numPr>
          <w:ilvl w:val="0"/>
          <w:numId w:val="27"/>
        </w:numPr>
        <w:tabs>
          <w:tab w:pos="875" w:val="left" w:leader="none"/>
        </w:tabs>
        <w:spacing w:line="285" w:lineRule="auto" w:before="1" w:after="0"/>
        <w:ind w:left="677" w:right="108" w:firstLine="0"/>
        <w:jc w:val="left"/>
        <w:rPr>
          <w:rFonts w:ascii="Times New Roman" w:hAnsi="Times New Roman"/>
          <w:sz w:val="22"/>
        </w:rPr>
      </w:pPr>
      <w:r>
        <w:rPr>
          <w:rFonts w:ascii="Times New Roman" w:hAnsi="Times New Roman"/>
          <w:color w:val="231F20"/>
          <w:w w:val="105"/>
          <w:sz w:val="22"/>
        </w:rPr>
        <w:t>Fomentar</w:t>
      </w:r>
      <w:r>
        <w:rPr>
          <w:rFonts w:ascii="Times New Roman" w:hAnsi="Times New Roman"/>
          <w:color w:val="231F20"/>
          <w:spacing w:val="-7"/>
          <w:w w:val="105"/>
          <w:sz w:val="22"/>
        </w:rPr>
        <w:t> </w:t>
      </w:r>
      <w:r>
        <w:rPr>
          <w:rFonts w:ascii="Times New Roman" w:hAnsi="Times New Roman"/>
          <w:color w:val="231F20"/>
          <w:w w:val="105"/>
          <w:sz w:val="22"/>
        </w:rPr>
        <w:t>se</w:t>
      </w:r>
      <w:r>
        <w:rPr>
          <w:rFonts w:ascii="Times New Roman" w:hAnsi="Times New Roman"/>
          <w:color w:val="231F20"/>
          <w:spacing w:val="-7"/>
          <w:w w:val="105"/>
          <w:sz w:val="22"/>
        </w:rPr>
        <w:t> </w:t>
      </w:r>
      <w:r>
        <w:rPr>
          <w:rFonts w:ascii="Times New Roman" w:hAnsi="Times New Roman"/>
          <w:color w:val="231F20"/>
          <w:w w:val="105"/>
          <w:sz w:val="22"/>
        </w:rPr>
        <w:t>brinde</w:t>
      </w:r>
      <w:r>
        <w:rPr>
          <w:rFonts w:ascii="Times New Roman" w:hAnsi="Times New Roman"/>
          <w:color w:val="231F20"/>
          <w:spacing w:val="-7"/>
          <w:w w:val="105"/>
          <w:sz w:val="22"/>
        </w:rPr>
        <w:t> </w:t>
      </w:r>
      <w:r>
        <w:rPr>
          <w:rFonts w:ascii="Times New Roman" w:hAnsi="Times New Roman"/>
          <w:color w:val="231F20"/>
          <w:w w:val="105"/>
          <w:sz w:val="22"/>
        </w:rPr>
        <w:t>asistencia</w:t>
      </w:r>
      <w:r>
        <w:rPr>
          <w:rFonts w:ascii="Times New Roman" w:hAnsi="Times New Roman"/>
          <w:color w:val="231F20"/>
          <w:spacing w:val="-7"/>
          <w:w w:val="105"/>
          <w:sz w:val="22"/>
        </w:rPr>
        <w:t> </w:t>
      </w:r>
      <w:r>
        <w:rPr>
          <w:rFonts w:ascii="Times New Roman" w:hAnsi="Times New Roman"/>
          <w:color w:val="231F20"/>
          <w:w w:val="105"/>
          <w:sz w:val="22"/>
        </w:rPr>
        <w:t>técnica,</w:t>
      </w:r>
      <w:r>
        <w:rPr>
          <w:rFonts w:ascii="Times New Roman" w:hAnsi="Times New Roman"/>
          <w:color w:val="231F20"/>
          <w:spacing w:val="-7"/>
          <w:w w:val="105"/>
          <w:sz w:val="22"/>
        </w:rPr>
        <w:t> </w:t>
      </w:r>
      <w:r>
        <w:rPr>
          <w:rFonts w:ascii="Times New Roman" w:hAnsi="Times New Roman"/>
          <w:color w:val="231F20"/>
          <w:w w:val="105"/>
          <w:sz w:val="22"/>
        </w:rPr>
        <w:t>apoyos</w:t>
      </w:r>
      <w:r>
        <w:rPr>
          <w:rFonts w:ascii="Times New Roman" w:hAnsi="Times New Roman"/>
          <w:color w:val="231F20"/>
          <w:spacing w:val="-7"/>
          <w:w w:val="105"/>
          <w:sz w:val="22"/>
        </w:rPr>
        <w:t> </w:t>
      </w:r>
      <w:r>
        <w:rPr>
          <w:rFonts w:ascii="Times New Roman" w:hAnsi="Times New Roman"/>
          <w:color w:val="231F20"/>
          <w:w w:val="105"/>
          <w:sz w:val="22"/>
        </w:rPr>
        <w:t>en</w:t>
      </w:r>
      <w:r>
        <w:rPr>
          <w:rFonts w:ascii="Times New Roman" w:hAnsi="Times New Roman"/>
          <w:color w:val="231F20"/>
          <w:spacing w:val="-7"/>
          <w:w w:val="105"/>
          <w:sz w:val="22"/>
        </w:rPr>
        <w:t> </w:t>
      </w:r>
      <w:r>
        <w:rPr>
          <w:rFonts w:ascii="Times New Roman" w:hAnsi="Times New Roman"/>
          <w:color w:val="231F20"/>
          <w:w w:val="105"/>
          <w:sz w:val="22"/>
        </w:rPr>
        <w:t>insumos,</w:t>
      </w:r>
      <w:r>
        <w:rPr>
          <w:rFonts w:ascii="Times New Roman" w:hAnsi="Times New Roman"/>
          <w:color w:val="231F20"/>
          <w:spacing w:val="-7"/>
          <w:w w:val="105"/>
          <w:sz w:val="22"/>
        </w:rPr>
        <w:t> </w:t>
      </w:r>
      <w:r>
        <w:rPr>
          <w:rFonts w:ascii="Times New Roman" w:hAnsi="Times New Roman"/>
          <w:color w:val="231F20"/>
          <w:w w:val="105"/>
          <w:sz w:val="22"/>
        </w:rPr>
        <w:t>así</w:t>
      </w:r>
      <w:r>
        <w:rPr>
          <w:rFonts w:ascii="Times New Roman" w:hAnsi="Times New Roman"/>
          <w:color w:val="231F20"/>
          <w:spacing w:val="-7"/>
          <w:w w:val="105"/>
          <w:sz w:val="22"/>
        </w:rPr>
        <w:t> </w:t>
      </w:r>
      <w:r>
        <w:rPr>
          <w:rFonts w:ascii="Times New Roman" w:hAnsi="Times New Roman"/>
          <w:color w:val="231F20"/>
          <w:w w:val="105"/>
          <w:sz w:val="22"/>
        </w:rPr>
        <w:t>como</w:t>
      </w:r>
      <w:r>
        <w:rPr>
          <w:rFonts w:ascii="Times New Roman" w:hAnsi="Times New Roman"/>
          <w:color w:val="231F20"/>
          <w:spacing w:val="-7"/>
          <w:w w:val="105"/>
          <w:sz w:val="22"/>
        </w:rPr>
        <w:t> </w:t>
      </w:r>
      <w:r>
        <w:rPr>
          <w:rFonts w:ascii="Times New Roman" w:hAnsi="Times New Roman"/>
          <w:color w:val="231F20"/>
          <w:w w:val="105"/>
          <w:sz w:val="22"/>
        </w:rPr>
        <w:t>que</w:t>
      </w:r>
      <w:r>
        <w:rPr>
          <w:rFonts w:ascii="Times New Roman" w:hAnsi="Times New Roman"/>
          <w:color w:val="231F20"/>
          <w:spacing w:val="-7"/>
          <w:w w:val="105"/>
          <w:sz w:val="22"/>
        </w:rPr>
        <w:t> </w:t>
      </w:r>
      <w:r>
        <w:rPr>
          <w:rFonts w:ascii="Times New Roman" w:hAnsi="Times New Roman"/>
          <w:color w:val="231F20"/>
          <w:w w:val="105"/>
          <w:sz w:val="22"/>
        </w:rPr>
        <w:t>se</w:t>
      </w:r>
      <w:r>
        <w:rPr>
          <w:rFonts w:ascii="Times New Roman" w:hAnsi="Times New Roman"/>
          <w:color w:val="231F20"/>
          <w:spacing w:val="-7"/>
          <w:w w:val="105"/>
          <w:sz w:val="22"/>
        </w:rPr>
        <w:t> </w:t>
      </w:r>
      <w:r>
        <w:rPr>
          <w:rFonts w:ascii="Times New Roman" w:hAnsi="Times New Roman"/>
          <w:color w:val="231F20"/>
          <w:w w:val="105"/>
          <w:sz w:val="22"/>
        </w:rPr>
        <w:t>in- duzca</w:t>
      </w:r>
      <w:r>
        <w:rPr>
          <w:rFonts w:ascii="Times New Roman" w:hAnsi="Times New Roman"/>
          <w:color w:val="231F20"/>
          <w:spacing w:val="-14"/>
          <w:w w:val="105"/>
          <w:sz w:val="22"/>
        </w:rPr>
        <w:t> </w:t>
      </w:r>
      <w:r>
        <w:rPr>
          <w:rFonts w:ascii="Times New Roman" w:hAnsi="Times New Roman"/>
          <w:color w:val="231F20"/>
          <w:w w:val="105"/>
          <w:sz w:val="22"/>
        </w:rPr>
        <w:t>nueva</w:t>
      </w:r>
      <w:r>
        <w:rPr>
          <w:rFonts w:ascii="Times New Roman" w:hAnsi="Times New Roman"/>
          <w:color w:val="231F20"/>
          <w:spacing w:val="-14"/>
          <w:w w:val="105"/>
          <w:sz w:val="22"/>
        </w:rPr>
        <w:t> </w:t>
      </w:r>
      <w:r>
        <w:rPr>
          <w:rFonts w:ascii="Times New Roman" w:hAnsi="Times New Roman"/>
          <w:color w:val="231F20"/>
          <w:w w:val="105"/>
          <w:sz w:val="22"/>
        </w:rPr>
        <w:t>tecnología</w:t>
      </w:r>
      <w:r>
        <w:rPr>
          <w:rFonts w:ascii="Times New Roman" w:hAnsi="Times New Roman"/>
          <w:color w:val="231F20"/>
          <w:spacing w:val="-14"/>
          <w:w w:val="105"/>
          <w:sz w:val="22"/>
        </w:rPr>
        <w:t> </w:t>
      </w:r>
      <w:r>
        <w:rPr>
          <w:rFonts w:ascii="Times New Roman" w:hAnsi="Times New Roman"/>
          <w:color w:val="231F20"/>
          <w:w w:val="105"/>
          <w:sz w:val="22"/>
        </w:rPr>
        <w:t>para</w:t>
      </w:r>
      <w:r>
        <w:rPr>
          <w:rFonts w:ascii="Times New Roman" w:hAnsi="Times New Roman"/>
          <w:color w:val="231F20"/>
          <w:spacing w:val="-14"/>
          <w:w w:val="105"/>
          <w:sz w:val="22"/>
        </w:rPr>
        <w:t> </w:t>
      </w:r>
      <w:r>
        <w:rPr>
          <w:rFonts w:ascii="Times New Roman" w:hAnsi="Times New Roman"/>
          <w:color w:val="231F20"/>
          <w:w w:val="105"/>
          <w:sz w:val="22"/>
        </w:rPr>
        <w:t>el</w:t>
      </w:r>
      <w:r>
        <w:rPr>
          <w:rFonts w:ascii="Times New Roman" w:hAnsi="Times New Roman"/>
          <w:color w:val="231F20"/>
          <w:spacing w:val="-14"/>
          <w:w w:val="105"/>
          <w:sz w:val="22"/>
        </w:rPr>
        <w:t> </w:t>
      </w:r>
      <w:r>
        <w:rPr>
          <w:rFonts w:ascii="Times New Roman" w:hAnsi="Times New Roman"/>
          <w:color w:val="231F20"/>
          <w:w w:val="105"/>
          <w:sz w:val="22"/>
        </w:rPr>
        <w:t>desarrollo</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la</w:t>
      </w:r>
      <w:r>
        <w:rPr>
          <w:rFonts w:ascii="Times New Roman" w:hAnsi="Times New Roman"/>
          <w:color w:val="231F20"/>
          <w:spacing w:val="-14"/>
          <w:w w:val="105"/>
          <w:sz w:val="22"/>
        </w:rPr>
        <w:t> </w:t>
      </w:r>
      <w:r>
        <w:rPr>
          <w:rFonts w:ascii="Times New Roman" w:hAnsi="Times New Roman"/>
          <w:color w:val="231F20"/>
          <w:w w:val="105"/>
          <w:sz w:val="22"/>
        </w:rPr>
        <w:t>producción</w:t>
      </w:r>
      <w:r>
        <w:rPr>
          <w:rFonts w:ascii="Times New Roman" w:hAnsi="Times New Roman"/>
          <w:color w:val="231F20"/>
          <w:spacing w:val="-14"/>
          <w:w w:val="105"/>
          <w:sz w:val="22"/>
        </w:rPr>
        <w:t> </w:t>
      </w:r>
      <w:r>
        <w:rPr>
          <w:rFonts w:ascii="Times New Roman" w:hAnsi="Times New Roman"/>
          <w:color w:val="231F20"/>
          <w:w w:val="105"/>
          <w:sz w:val="22"/>
        </w:rPr>
        <w:t>agropecuaria.</w:t>
      </w:r>
    </w:p>
    <w:p>
      <w:pPr>
        <w:spacing w:line="272" w:lineRule="exact" w:before="0"/>
        <w:ind w:left="110" w:right="574" w:firstLine="0"/>
        <w:jc w:val="left"/>
        <w:rPr>
          <w:rFonts w:ascii="Palatino Linotype" w:hAnsi="Palatino Linotype"/>
          <w:i/>
          <w:sz w:val="22"/>
        </w:rPr>
      </w:pPr>
      <w:r>
        <w:rPr>
          <w:rFonts w:ascii="Palatino Linotype" w:hAnsi="Palatino Linotype"/>
          <w:i/>
          <w:color w:val="231F20"/>
          <w:sz w:val="22"/>
        </w:rPr>
        <w:t>Pilar III. Seguridad  Pública</w:t>
      </w:r>
    </w:p>
    <w:p>
      <w:pPr>
        <w:pStyle w:val="BodyText"/>
        <w:spacing w:line="285" w:lineRule="auto" w:before="29"/>
        <w:ind w:left="677" w:right="-2"/>
      </w:pPr>
      <w:r>
        <w:rPr>
          <w:color w:val="231F20"/>
          <w:w w:val="105"/>
        </w:rPr>
        <w:t>1.</w:t>
      </w:r>
      <w:r>
        <w:rPr>
          <w:color w:val="231F20"/>
          <w:spacing w:val="-12"/>
          <w:w w:val="105"/>
        </w:rPr>
        <w:t> </w:t>
      </w:r>
      <w:r>
        <w:rPr>
          <w:color w:val="231F20"/>
          <w:w w:val="105"/>
        </w:rPr>
        <w:t>Participar</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instrumentación</w:t>
      </w:r>
      <w:r>
        <w:rPr>
          <w:color w:val="231F20"/>
          <w:spacing w:val="-12"/>
          <w:w w:val="105"/>
        </w:rPr>
        <w:t> </w:t>
      </w:r>
      <w:r>
        <w:rPr>
          <w:color w:val="231F20"/>
          <w:w w:val="105"/>
        </w:rPr>
        <w:t>de</w:t>
      </w:r>
      <w:r>
        <w:rPr>
          <w:color w:val="231F20"/>
          <w:spacing w:val="-12"/>
          <w:w w:val="105"/>
        </w:rPr>
        <w:t> </w:t>
      </w:r>
      <w:r>
        <w:rPr>
          <w:color w:val="231F20"/>
          <w:w w:val="105"/>
        </w:rPr>
        <w:t>un</w:t>
      </w:r>
      <w:r>
        <w:rPr>
          <w:color w:val="231F20"/>
          <w:spacing w:val="-12"/>
          <w:w w:val="105"/>
        </w:rPr>
        <w:t> </w:t>
      </w:r>
      <w:r>
        <w:rPr>
          <w:color w:val="231F20"/>
          <w:w w:val="105"/>
        </w:rPr>
        <w:t>nuevo</w:t>
      </w:r>
      <w:r>
        <w:rPr>
          <w:color w:val="231F20"/>
          <w:spacing w:val="-12"/>
          <w:w w:val="105"/>
        </w:rPr>
        <w:t> </w:t>
      </w:r>
      <w:r>
        <w:rPr>
          <w:color w:val="231F20"/>
          <w:w w:val="105"/>
        </w:rPr>
        <w:t>modelo</w:t>
      </w:r>
      <w:r>
        <w:rPr>
          <w:color w:val="231F20"/>
          <w:spacing w:val="-12"/>
          <w:w w:val="105"/>
        </w:rPr>
        <w:t> </w:t>
      </w:r>
      <w:r>
        <w:rPr>
          <w:color w:val="231F20"/>
          <w:w w:val="105"/>
        </w:rPr>
        <w:t>de</w:t>
      </w:r>
      <w:r>
        <w:rPr>
          <w:color w:val="231F20"/>
          <w:spacing w:val="-12"/>
          <w:w w:val="105"/>
        </w:rPr>
        <w:t> </w:t>
      </w:r>
      <w:r>
        <w:rPr>
          <w:color w:val="231F20"/>
          <w:w w:val="105"/>
        </w:rPr>
        <w:t>seguridad</w:t>
      </w:r>
      <w:r>
        <w:rPr>
          <w:color w:val="231F20"/>
          <w:spacing w:val="-12"/>
          <w:w w:val="105"/>
        </w:rPr>
        <w:t> </w:t>
      </w:r>
      <w:r>
        <w:rPr>
          <w:color w:val="231F20"/>
          <w:w w:val="105"/>
        </w:rPr>
        <w:t>pública</w:t>
      </w:r>
      <w:r>
        <w:rPr>
          <w:color w:val="231F20"/>
          <w:spacing w:val="-12"/>
          <w:w w:val="105"/>
        </w:rPr>
        <w:t> </w:t>
      </w:r>
      <w:r>
        <w:rPr>
          <w:color w:val="231F20"/>
          <w:w w:val="105"/>
        </w:rPr>
        <w:t>que permita</w:t>
      </w:r>
      <w:r>
        <w:rPr>
          <w:color w:val="231F20"/>
          <w:spacing w:val="-11"/>
          <w:w w:val="105"/>
        </w:rPr>
        <w:t> </w:t>
      </w:r>
      <w:r>
        <w:rPr>
          <w:color w:val="231F20"/>
          <w:w w:val="105"/>
        </w:rPr>
        <w:t>tener</w:t>
      </w:r>
      <w:r>
        <w:rPr>
          <w:color w:val="231F20"/>
          <w:spacing w:val="-11"/>
          <w:w w:val="105"/>
        </w:rPr>
        <w:t> </w:t>
      </w:r>
      <w:r>
        <w:rPr>
          <w:color w:val="231F20"/>
          <w:w w:val="105"/>
        </w:rPr>
        <w:t>una</w:t>
      </w:r>
      <w:r>
        <w:rPr>
          <w:color w:val="231F20"/>
          <w:spacing w:val="-11"/>
          <w:w w:val="105"/>
        </w:rPr>
        <w:t> </w:t>
      </w:r>
      <w:r>
        <w:rPr>
          <w:color w:val="231F20"/>
          <w:w w:val="105"/>
        </w:rPr>
        <w:t>policía</w:t>
      </w:r>
      <w:r>
        <w:rPr>
          <w:color w:val="231F20"/>
          <w:spacing w:val="-11"/>
          <w:w w:val="105"/>
        </w:rPr>
        <w:t> </w:t>
      </w:r>
      <w:r>
        <w:rPr>
          <w:color w:val="231F20"/>
          <w:w w:val="105"/>
        </w:rPr>
        <w:t>confiable.</w:t>
      </w:r>
    </w:p>
    <w:p>
      <w:pPr>
        <w:pStyle w:val="BodyText"/>
        <w:spacing w:line="285" w:lineRule="auto" w:before="1"/>
        <w:ind w:left="677" w:right="-2"/>
      </w:pPr>
      <w:r>
        <w:rPr>
          <w:color w:val="231F20"/>
          <w:w w:val="105"/>
        </w:rPr>
        <w:t>También se estipulan los compromisos municipales en coordinación con el go- bierno del Estado de México:</w:t>
      </w:r>
    </w:p>
    <w:p>
      <w:pPr>
        <w:pStyle w:val="BodyText"/>
        <w:spacing w:before="1"/>
        <w:ind w:left="677" w:right="574"/>
      </w:pPr>
      <w:r>
        <w:rPr>
          <w:color w:val="231F20"/>
        </w:rPr>
        <w:t>Pilar I. Seguridad Social</w:t>
      </w:r>
    </w:p>
    <w:p>
      <w:pPr>
        <w:pStyle w:val="ListParagraph"/>
        <w:numPr>
          <w:ilvl w:val="0"/>
          <w:numId w:val="28"/>
        </w:numPr>
        <w:tabs>
          <w:tab w:pos="886" w:val="left" w:leader="none"/>
        </w:tabs>
        <w:spacing w:line="240" w:lineRule="auto" w:before="47" w:after="0"/>
        <w:ind w:left="885" w:right="0" w:hanging="208"/>
        <w:jc w:val="left"/>
        <w:rPr>
          <w:rFonts w:ascii="Times New Roman" w:hAnsi="Times New Roman"/>
          <w:sz w:val="22"/>
        </w:rPr>
      </w:pPr>
      <w:r>
        <w:rPr>
          <w:rFonts w:ascii="Times New Roman" w:hAnsi="Times New Roman"/>
          <w:color w:val="231F20"/>
          <w:w w:val="105"/>
          <w:sz w:val="22"/>
        </w:rPr>
        <w:t>Ampliación</w:t>
      </w:r>
      <w:r>
        <w:rPr>
          <w:rFonts w:ascii="Times New Roman" w:hAnsi="Times New Roman"/>
          <w:color w:val="231F20"/>
          <w:spacing w:val="-17"/>
          <w:w w:val="105"/>
          <w:sz w:val="22"/>
        </w:rPr>
        <w:t> </w:t>
      </w:r>
      <w:r>
        <w:rPr>
          <w:rFonts w:ascii="Times New Roman" w:hAnsi="Times New Roman"/>
          <w:color w:val="231F20"/>
          <w:w w:val="105"/>
          <w:sz w:val="22"/>
        </w:rPr>
        <w:t>y</w:t>
      </w:r>
      <w:r>
        <w:rPr>
          <w:rFonts w:ascii="Times New Roman" w:hAnsi="Times New Roman"/>
          <w:color w:val="231F20"/>
          <w:spacing w:val="-17"/>
          <w:w w:val="105"/>
          <w:sz w:val="22"/>
        </w:rPr>
        <w:t> </w:t>
      </w:r>
      <w:r>
        <w:rPr>
          <w:rFonts w:ascii="Times New Roman" w:hAnsi="Times New Roman"/>
          <w:color w:val="231F20"/>
          <w:w w:val="105"/>
          <w:sz w:val="22"/>
        </w:rPr>
        <w:t>equipamiento</w:t>
      </w:r>
      <w:r>
        <w:rPr>
          <w:rFonts w:ascii="Times New Roman" w:hAnsi="Times New Roman"/>
          <w:color w:val="231F20"/>
          <w:spacing w:val="-17"/>
          <w:w w:val="105"/>
          <w:sz w:val="22"/>
        </w:rPr>
        <w:t> </w:t>
      </w:r>
      <w:r>
        <w:rPr>
          <w:rFonts w:ascii="Times New Roman" w:hAnsi="Times New Roman"/>
          <w:color w:val="231F20"/>
          <w:w w:val="105"/>
          <w:sz w:val="22"/>
        </w:rPr>
        <w:t>del</w:t>
      </w:r>
      <w:r>
        <w:rPr>
          <w:rFonts w:ascii="Times New Roman" w:hAnsi="Times New Roman"/>
          <w:color w:val="231F20"/>
          <w:spacing w:val="-17"/>
          <w:w w:val="105"/>
          <w:sz w:val="22"/>
        </w:rPr>
        <w:t> </w:t>
      </w:r>
      <w:r>
        <w:rPr>
          <w:rFonts w:ascii="Times New Roman" w:hAnsi="Times New Roman"/>
          <w:color w:val="231F20"/>
          <w:w w:val="105"/>
          <w:sz w:val="22"/>
        </w:rPr>
        <w:t>Centro</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Salud.</w:t>
      </w:r>
    </w:p>
    <w:p>
      <w:pPr>
        <w:pStyle w:val="ListParagraph"/>
        <w:numPr>
          <w:ilvl w:val="0"/>
          <w:numId w:val="28"/>
        </w:numPr>
        <w:tabs>
          <w:tab w:pos="895" w:val="left" w:leader="none"/>
        </w:tabs>
        <w:spacing w:line="240" w:lineRule="auto" w:before="47" w:after="0"/>
        <w:ind w:left="894" w:right="0" w:hanging="217"/>
        <w:jc w:val="left"/>
        <w:rPr>
          <w:rFonts w:ascii="Times New Roman" w:hAnsi="Times New Roman"/>
          <w:sz w:val="22"/>
        </w:rPr>
      </w:pPr>
      <w:r>
        <w:rPr>
          <w:rFonts w:ascii="Times New Roman" w:hAnsi="Times New Roman"/>
          <w:color w:val="231F20"/>
          <w:w w:val="105"/>
          <w:sz w:val="22"/>
        </w:rPr>
        <w:t>Construcción de Escuela</w:t>
      </w:r>
      <w:r>
        <w:rPr>
          <w:rFonts w:ascii="Times New Roman" w:hAnsi="Times New Roman"/>
          <w:color w:val="231F20"/>
          <w:spacing w:val="-41"/>
          <w:w w:val="105"/>
          <w:sz w:val="22"/>
        </w:rPr>
        <w:t> </w:t>
      </w:r>
      <w:r>
        <w:rPr>
          <w:rFonts w:ascii="Times New Roman" w:hAnsi="Times New Roman"/>
          <w:color w:val="231F20"/>
          <w:w w:val="105"/>
          <w:sz w:val="22"/>
        </w:rPr>
        <w:t>Preparatoria.</w:t>
      </w:r>
    </w:p>
    <w:p>
      <w:pPr>
        <w:pStyle w:val="ListParagraph"/>
        <w:numPr>
          <w:ilvl w:val="0"/>
          <w:numId w:val="28"/>
        </w:numPr>
        <w:tabs>
          <w:tab w:pos="891" w:val="left" w:leader="none"/>
        </w:tabs>
        <w:spacing w:line="240" w:lineRule="auto" w:before="47" w:after="0"/>
        <w:ind w:left="890" w:right="0" w:hanging="213"/>
        <w:jc w:val="left"/>
        <w:rPr>
          <w:rFonts w:ascii="Times New Roman" w:hAnsi="Times New Roman"/>
          <w:sz w:val="22"/>
        </w:rPr>
      </w:pPr>
      <w:r>
        <w:rPr>
          <w:rFonts w:ascii="Times New Roman" w:hAnsi="Times New Roman"/>
          <w:color w:val="231F20"/>
          <w:sz w:val="22"/>
        </w:rPr>
        <w:t>Ampliación de la cobertura de los servicios del </w:t>
      </w:r>
      <w:r>
        <w:rPr>
          <w:rFonts w:ascii="Times New Roman" w:hAnsi="Times New Roman"/>
          <w:color w:val="231F20"/>
          <w:spacing w:val="12"/>
          <w:sz w:val="22"/>
        </w:rPr>
        <w:t> </w:t>
      </w:r>
      <w:r>
        <w:rPr>
          <w:rFonts w:ascii="Times New Roman" w:hAnsi="Times New Roman"/>
          <w:color w:val="231F20"/>
          <w:sz w:val="22"/>
        </w:rPr>
        <w:t>ISSEMYM.</w:t>
      </w:r>
    </w:p>
    <w:p>
      <w:pPr>
        <w:spacing w:after="0" w:line="240" w:lineRule="auto"/>
        <w:jc w:val="left"/>
        <w:rPr>
          <w:rFonts w:ascii="Times New Roman" w:hAnsi="Times New Roman"/>
          <w:sz w:val="22"/>
        </w:rPr>
        <w:sectPr>
          <w:pgSz w:w="9640" w:h="12190"/>
          <w:pgMar w:header="0" w:footer="743" w:top="1120" w:bottom="940" w:left="740" w:right="740"/>
        </w:sectPr>
      </w:pPr>
    </w:p>
    <w:p>
      <w:pPr>
        <w:pStyle w:val="BodyText"/>
        <w:spacing w:before="3"/>
        <w:rPr>
          <w:sz w:val="11"/>
        </w:rPr>
      </w:pPr>
    </w:p>
    <w:p>
      <w:pPr>
        <w:spacing w:before="10"/>
        <w:ind w:left="110" w:right="574" w:firstLine="0"/>
        <w:jc w:val="left"/>
        <w:rPr>
          <w:rFonts w:ascii="Palatino Linotype" w:hAnsi="Palatino Linotype"/>
          <w:i/>
          <w:sz w:val="22"/>
        </w:rPr>
      </w:pPr>
      <w:r>
        <w:rPr>
          <w:rFonts w:ascii="Palatino Linotype" w:hAnsi="Palatino Linotype"/>
          <w:i/>
          <w:color w:val="231F20"/>
          <w:w w:val="105"/>
          <w:sz w:val="22"/>
        </w:rPr>
        <w:t>Pilar II. Seguridad Económica</w:t>
      </w:r>
    </w:p>
    <w:p>
      <w:pPr>
        <w:pStyle w:val="ListParagraph"/>
        <w:numPr>
          <w:ilvl w:val="0"/>
          <w:numId w:val="29"/>
        </w:numPr>
        <w:tabs>
          <w:tab w:pos="886" w:val="left" w:leader="none"/>
        </w:tabs>
        <w:spacing w:line="240" w:lineRule="auto" w:before="29" w:after="0"/>
        <w:ind w:left="677" w:right="0" w:firstLine="0"/>
        <w:jc w:val="left"/>
        <w:rPr>
          <w:rFonts w:ascii="Times New Roman" w:hAnsi="Times New Roman"/>
          <w:sz w:val="22"/>
        </w:rPr>
      </w:pPr>
      <w:r>
        <w:rPr>
          <w:rFonts w:ascii="Times New Roman" w:hAnsi="Times New Roman"/>
          <w:color w:val="231F20"/>
          <w:w w:val="105"/>
          <w:sz w:val="22"/>
        </w:rPr>
        <w:t>Perforación</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pozo</w:t>
      </w:r>
      <w:r>
        <w:rPr>
          <w:rFonts w:ascii="Times New Roman" w:hAnsi="Times New Roman"/>
          <w:color w:val="231F20"/>
          <w:spacing w:val="-17"/>
          <w:w w:val="105"/>
          <w:sz w:val="22"/>
        </w:rPr>
        <w:t> </w:t>
      </w:r>
      <w:r>
        <w:rPr>
          <w:rFonts w:ascii="Times New Roman" w:hAnsi="Times New Roman"/>
          <w:color w:val="231F20"/>
          <w:w w:val="105"/>
          <w:sz w:val="22"/>
        </w:rPr>
        <w:t>y</w:t>
      </w:r>
      <w:r>
        <w:rPr>
          <w:rFonts w:ascii="Times New Roman" w:hAnsi="Times New Roman"/>
          <w:color w:val="231F20"/>
          <w:spacing w:val="-17"/>
          <w:w w:val="105"/>
          <w:sz w:val="22"/>
        </w:rPr>
        <w:t> </w:t>
      </w:r>
      <w:r>
        <w:rPr>
          <w:rFonts w:ascii="Times New Roman" w:hAnsi="Times New Roman"/>
          <w:color w:val="231F20"/>
          <w:w w:val="105"/>
          <w:sz w:val="22"/>
        </w:rPr>
        <w:t>ampliación</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la</w:t>
      </w:r>
      <w:r>
        <w:rPr>
          <w:rFonts w:ascii="Times New Roman" w:hAnsi="Times New Roman"/>
          <w:color w:val="231F20"/>
          <w:spacing w:val="-17"/>
          <w:w w:val="105"/>
          <w:sz w:val="22"/>
        </w:rPr>
        <w:t> </w:t>
      </w:r>
      <w:r>
        <w:rPr>
          <w:rFonts w:ascii="Times New Roman" w:hAnsi="Times New Roman"/>
          <w:color w:val="231F20"/>
          <w:w w:val="105"/>
          <w:sz w:val="22"/>
        </w:rPr>
        <w:t>red</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agua</w:t>
      </w:r>
      <w:r>
        <w:rPr>
          <w:rFonts w:ascii="Times New Roman" w:hAnsi="Times New Roman"/>
          <w:color w:val="231F20"/>
          <w:spacing w:val="-17"/>
          <w:w w:val="105"/>
          <w:sz w:val="22"/>
        </w:rPr>
        <w:t> </w:t>
      </w:r>
      <w:r>
        <w:rPr>
          <w:rFonts w:ascii="Times New Roman" w:hAnsi="Times New Roman"/>
          <w:color w:val="231F20"/>
          <w:w w:val="105"/>
          <w:sz w:val="22"/>
        </w:rPr>
        <w:t>potable.</w:t>
      </w:r>
    </w:p>
    <w:p>
      <w:pPr>
        <w:pStyle w:val="ListParagraph"/>
        <w:numPr>
          <w:ilvl w:val="0"/>
          <w:numId w:val="29"/>
        </w:numPr>
        <w:tabs>
          <w:tab w:pos="892" w:val="left" w:leader="none"/>
        </w:tabs>
        <w:spacing w:line="285" w:lineRule="auto" w:before="47" w:after="0"/>
        <w:ind w:left="677" w:right="108" w:firstLine="0"/>
        <w:jc w:val="left"/>
        <w:rPr>
          <w:rFonts w:ascii="Times New Roman" w:hAnsi="Times New Roman"/>
          <w:sz w:val="22"/>
        </w:rPr>
      </w:pPr>
      <w:r>
        <w:rPr>
          <w:rFonts w:ascii="Times New Roman" w:hAnsi="Times New Roman"/>
          <w:color w:val="231F20"/>
          <w:w w:val="105"/>
          <w:sz w:val="22"/>
        </w:rPr>
        <w:t>Ampliación</w:t>
      </w:r>
      <w:r>
        <w:rPr>
          <w:rFonts w:ascii="Times New Roman" w:hAnsi="Times New Roman"/>
          <w:color w:val="231F20"/>
          <w:spacing w:val="-16"/>
          <w:w w:val="105"/>
          <w:sz w:val="22"/>
        </w:rPr>
        <w:t> </w:t>
      </w:r>
      <w:r>
        <w:rPr>
          <w:rFonts w:ascii="Times New Roman" w:hAnsi="Times New Roman"/>
          <w:color w:val="231F20"/>
          <w:w w:val="105"/>
          <w:sz w:val="22"/>
        </w:rPr>
        <w:t>de</w:t>
      </w:r>
      <w:r>
        <w:rPr>
          <w:rFonts w:ascii="Times New Roman" w:hAnsi="Times New Roman"/>
          <w:color w:val="231F20"/>
          <w:spacing w:val="-16"/>
          <w:w w:val="105"/>
          <w:sz w:val="22"/>
        </w:rPr>
        <w:t> </w:t>
      </w:r>
      <w:r>
        <w:rPr>
          <w:rFonts w:ascii="Times New Roman" w:hAnsi="Times New Roman"/>
          <w:color w:val="231F20"/>
          <w:w w:val="105"/>
          <w:sz w:val="22"/>
        </w:rPr>
        <w:t>los</w:t>
      </w:r>
      <w:r>
        <w:rPr>
          <w:rFonts w:ascii="Times New Roman" w:hAnsi="Times New Roman"/>
          <w:color w:val="231F20"/>
          <w:spacing w:val="-16"/>
          <w:w w:val="105"/>
          <w:sz w:val="22"/>
        </w:rPr>
        <w:t> </w:t>
      </w:r>
      <w:r>
        <w:rPr>
          <w:rFonts w:ascii="Times New Roman" w:hAnsi="Times New Roman"/>
          <w:color w:val="231F20"/>
          <w:w w:val="105"/>
          <w:sz w:val="22"/>
        </w:rPr>
        <w:t>sistemas</w:t>
      </w:r>
      <w:r>
        <w:rPr>
          <w:rFonts w:ascii="Times New Roman" w:hAnsi="Times New Roman"/>
          <w:color w:val="231F20"/>
          <w:spacing w:val="-16"/>
          <w:w w:val="105"/>
          <w:sz w:val="22"/>
        </w:rPr>
        <w:t> </w:t>
      </w:r>
      <w:r>
        <w:rPr>
          <w:rFonts w:ascii="Times New Roman" w:hAnsi="Times New Roman"/>
          <w:color w:val="231F20"/>
          <w:w w:val="105"/>
          <w:sz w:val="22"/>
        </w:rPr>
        <w:t>de</w:t>
      </w:r>
      <w:r>
        <w:rPr>
          <w:rFonts w:ascii="Times New Roman" w:hAnsi="Times New Roman"/>
          <w:color w:val="231F20"/>
          <w:spacing w:val="-16"/>
          <w:w w:val="105"/>
          <w:sz w:val="22"/>
        </w:rPr>
        <w:t> </w:t>
      </w:r>
      <w:r>
        <w:rPr>
          <w:rFonts w:ascii="Times New Roman" w:hAnsi="Times New Roman"/>
          <w:color w:val="231F20"/>
          <w:w w:val="105"/>
          <w:sz w:val="22"/>
        </w:rPr>
        <w:t>agua</w:t>
      </w:r>
      <w:r>
        <w:rPr>
          <w:rFonts w:ascii="Times New Roman" w:hAnsi="Times New Roman"/>
          <w:color w:val="231F20"/>
          <w:spacing w:val="-16"/>
          <w:w w:val="105"/>
          <w:sz w:val="22"/>
        </w:rPr>
        <w:t> </w:t>
      </w:r>
      <w:r>
        <w:rPr>
          <w:rFonts w:ascii="Times New Roman" w:hAnsi="Times New Roman"/>
          <w:color w:val="231F20"/>
          <w:w w:val="105"/>
          <w:sz w:val="22"/>
        </w:rPr>
        <w:t>potable</w:t>
      </w:r>
      <w:r>
        <w:rPr>
          <w:rFonts w:ascii="Times New Roman" w:hAnsi="Times New Roman"/>
          <w:color w:val="231F20"/>
          <w:spacing w:val="-16"/>
          <w:w w:val="105"/>
          <w:sz w:val="22"/>
        </w:rPr>
        <w:t> </w:t>
      </w:r>
      <w:r>
        <w:rPr>
          <w:rFonts w:ascii="Times New Roman" w:hAnsi="Times New Roman"/>
          <w:color w:val="231F20"/>
          <w:w w:val="105"/>
          <w:sz w:val="22"/>
        </w:rPr>
        <w:t>y</w:t>
      </w:r>
      <w:r>
        <w:rPr>
          <w:rFonts w:ascii="Times New Roman" w:hAnsi="Times New Roman"/>
          <w:color w:val="231F20"/>
          <w:spacing w:val="-16"/>
          <w:w w:val="105"/>
          <w:sz w:val="22"/>
        </w:rPr>
        <w:t> </w:t>
      </w:r>
      <w:r>
        <w:rPr>
          <w:rFonts w:ascii="Times New Roman" w:hAnsi="Times New Roman"/>
          <w:color w:val="231F20"/>
          <w:w w:val="105"/>
          <w:sz w:val="22"/>
        </w:rPr>
        <w:t>alcantarillado</w:t>
      </w:r>
      <w:r>
        <w:rPr>
          <w:rFonts w:ascii="Times New Roman" w:hAnsi="Times New Roman"/>
          <w:color w:val="231F20"/>
          <w:spacing w:val="-16"/>
          <w:w w:val="105"/>
          <w:sz w:val="22"/>
        </w:rPr>
        <w:t> </w:t>
      </w:r>
      <w:r>
        <w:rPr>
          <w:rFonts w:ascii="Times New Roman" w:hAnsi="Times New Roman"/>
          <w:color w:val="231F20"/>
          <w:w w:val="105"/>
          <w:sz w:val="22"/>
        </w:rPr>
        <w:t>en</w:t>
      </w:r>
      <w:r>
        <w:rPr>
          <w:rFonts w:ascii="Times New Roman" w:hAnsi="Times New Roman"/>
          <w:color w:val="231F20"/>
          <w:spacing w:val="-16"/>
          <w:w w:val="105"/>
          <w:sz w:val="22"/>
        </w:rPr>
        <w:t> </w:t>
      </w:r>
      <w:r>
        <w:rPr>
          <w:rFonts w:ascii="Times New Roman" w:hAnsi="Times New Roman"/>
          <w:color w:val="231F20"/>
          <w:w w:val="105"/>
          <w:sz w:val="22"/>
        </w:rPr>
        <w:t>la</w:t>
      </w:r>
      <w:r>
        <w:rPr>
          <w:rFonts w:ascii="Times New Roman" w:hAnsi="Times New Roman"/>
          <w:color w:val="231F20"/>
          <w:spacing w:val="-16"/>
          <w:w w:val="105"/>
          <w:sz w:val="22"/>
        </w:rPr>
        <w:t> </w:t>
      </w:r>
      <w:r>
        <w:rPr>
          <w:rFonts w:ascii="Times New Roman" w:hAnsi="Times New Roman"/>
          <w:color w:val="231F20"/>
          <w:w w:val="105"/>
          <w:sz w:val="22"/>
        </w:rPr>
        <w:t>cabecera</w:t>
      </w:r>
      <w:r>
        <w:rPr>
          <w:rFonts w:ascii="Times New Roman" w:hAnsi="Times New Roman"/>
          <w:color w:val="231F20"/>
          <w:spacing w:val="-16"/>
          <w:w w:val="105"/>
          <w:sz w:val="22"/>
        </w:rPr>
        <w:t> </w:t>
      </w:r>
      <w:r>
        <w:rPr>
          <w:rFonts w:ascii="Times New Roman" w:hAnsi="Times New Roman"/>
          <w:color w:val="231F20"/>
          <w:spacing w:val="-3"/>
          <w:w w:val="105"/>
          <w:sz w:val="22"/>
        </w:rPr>
        <w:t>mu- </w:t>
      </w:r>
      <w:r>
        <w:rPr>
          <w:rFonts w:ascii="Times New Roman" w:hAnsi="Times New Roman"/>
          <w:color w:val="231F20"/>
          <w:w w:val="105"/>
          <w:sz w:val="22"/>
        </w:rPr>
        <w:t>nicipal.</w:t>
      </w:r>
    </w:p>
    <w:p>
      <w:pPr>
        <w:pStyle w:val="ListParagraph"/>
        <w:numPr>
          <w:ilvl w:val="0"/>
          <w:numId w:val="29"/>
        </w:numPr>
        <w:tabs>
          <w:tab w:pos="905" w:val="left" w:leader="none"/>
        </w:tabs>
        <w:spacing w:line="285" w:lineRule="auto" w:before="1" w:after="0"/>
        <w:ind w:left="677" w:right="108" w:firstLine="0"/>
        <w:jc w:val="left"/>
        <w:rPr>
          <w:rFonts w:ascii="Times New Roman" w:hAnsi="Times New Roman"/>
          <w:sz w:val="22"/>
        </w:rPr>
      </w:pPr>
      <w:r>
        <w:rPr>
          <w:rFonts w:ascii="Times New Roman" w:hAnsi="Times New Roman"/>
          <w:color w:val="231F20"/>
          <w:w w:val="105"/>
          <w:sz w:val="22"/>
        </w:rPr>
        <w:t>Pavimentación</w:t>
      </w:r>
      <w:r>
        <w:rPr>
          <w:rFonts w:ascii="Times New Roman" w:hAnsi="Times New Roman"/>
          <w:color w:val="231F20"/>
          <w:spacing w:val="-7"/>
          <w:w w:val="105"/>
          <w:sz w:val="22"/>
        </w:rPr>
        <w:t> </w:t>
      </w:r>
      <w:r>
        <w:rPr>
          <w:rFonts w:ascii="Times New Roman" w:hAnsi="Times New Roman"/>
          <w:color w:val="231F20"/>
          <w:w w:val="105"/>
          <w:sz w:val="22"/>
        </w:rPr>
        <w:t>de</w:t>
      </w:r>
      <w:r>
        <w:rPr>
          <w:rFonts w:ascii="Times New Roman" w:hAnsi="Times New Roman"/>
          <w:color w:val="231F20"/>
          <w:spacing w:val="-7"/>
          <w:w w:val="105"/>
          <w:sz w:val="22"/>
        </w:rPr>
        <w:t> </w:t>
      </w:r>
      <w:r>
        <w:rPr>
          <w:rFonts w:ascii="Times New Roman" w:hAnsi="Times New Roman"/>
          <w:color w:val="231F20"/>
          <w:w w:val="105"/>
          <w:sz w:val="22"/>
        </w:rPr>
        <w:t>la</w:t>
      </w:r>
      <w:r>
        <w:rPr>
          <w:rFonts w:ascii="Times New Roman" w:hAnsi="Times New Roman"/>
          <w:color w:val="231F20"/>
          <w:spacing w:val="-7"/>
          <w:w w:val="105"/>
          <w:sz w:val="22"/>
        </w:rPr>
        <w:t> </w:t>
      </w:r>
      <w:r>
        <w:rPr>
          <w:rFonts w:ascii="Times New Roman" w:hAnsi="Times New Roman"/>
          <w:color w:val="231F20"/>
          <w:spacing w:val="-3"/>
          <w:w w:val="105"/>
          <w:sz w:val="22"/>
        </w:rPr>
        <w:t>Avenida</w:t>
      </w:r>
      <w:r>
        <w:rPr>
          <w:rFonts w:ascii="Times New Roman" w:hAnsi="Times New Roman"/>
          <w:color w:val="231F20"/>
          <w:spacing w:val="-7"/>
          <w:w w:val="105"/>
          <w:sz w:val="22"/>
        </w:rPr>
        <w:t> </w:t>
      </w:r>
      <w:r>
        <w:rPr>
          <w:rFonts w:ascii="Times New Roman" w:hAnsi="Times New Roman"/>
          <w:color w:val="231F20"/>
          <w:w w:val="105"/>
          <w:sz w:val="22"/>
        </w:rPr>
        <w:t>Nacional</w:t>
      </w:r>
      <w:r>
        <w:rPr>
          <w:rFonts w:ascii="Times New Roman" w:hAnsi="Times New Roman"/>
          <w:color w:val="231F20"/>
          <w:spacing w:val="-7"/>
          <w:w w:val="105"/>
          <w:sz w:val="22"/>
        </w:rPr>
        <w:t> </w:t>
      </w:r>
      <w:r>
        <w:rPr>
          <w:rFonts w:ascii="Times New Roman" w:hAnsi="Times New Roman"/>
          <w:color w:val="231F20"/>
          <w:w w:val="105"/>
          <w:sz w:val="22"/>
        </w:rPr>
        <w:t>de</w:t>
      </w:r>
      <w:r>
        <w:rPr>
          <w:rFonts w:ascii="Times New Roman" w:hAnsi="Times New Roman"/>
          <w:color w:val="231F20"/>
          <w:spacing w:val="-7"/>
          <w:w w:val="105"/>
          <w:sz w:val="22"/>
        </w:rPr>
        <w:t> </w:t>
      </w:r>
      <w:r>
        <w:rPr>
          <w:rFonts w:ascii="Times New Roman" w:hAnsi="Times New Roman"/>
          <w:color w:val="231F20"/>
          <w:w w:val="105"/>
          <w:sz w:val="22"/>
        </w:rPr>
        <w:t>la</w:t>
      </w:r>
      <w:r>
        <w:rPr>
          <w:rFonts w:ascii="Times New Roman" w:hAnsi="Times New Roman"/>
          <w:color w:val="231F20"/>
          <w:spacing w:val="-7"/>
          <w:w w:val="105"/>
          <w:sz w:val="22"/>
        </w:rPr>
        <w:t> </w:t>
      </w:r>
      <w:r>
        <w:rPr>
          <w:rFonts w:ascii="Times New Roman" w:hAnsi="Times New Roman"/>
          <w:color w:val="231F20"/>
          <w:w w:val="105"/>
          <w:sz w:val="22"/>
        </w:rPr>
        <w:t>Delegación</w:t>
      </w:r>
      <w:r>
        <w:rPr>
          <w:rFonts w:ascii="Times New Roman" w:hAnsi="Times New Roman"/>
          <w:color w:val="231F20"/>
          <w:spacing w:val="-7"/>
          <w:w w:val="105"/>
          <w:sz w:val="22"/>
        </w:rPr>
        <w:t> </w:t>
      </w:r>
      <w:r>
        <w:rPr>
          <w:rFonts w:ascii="Times New Roman" w:hAnsi="Times New Roman"/>
          <w:color w:val="231F20"/>
          <w:w w:val="105"/>
          <w:sz w:val="22"/>
        </w:rPr>
        <w:t>Santiago</w:t>
      </w:r>
      <w:r>
        <w:rPr>
          <w:rFonts w:ascii="Times New Roman" w:hAnsi="Times New Roman"/>
          <w:color w:val="231F20"/>
          <w:spacing w:val="-7"/>
          <w:w w:val="105"/>
          <w:sz w:val="22"/>
        </w:rPr>
        <w:t> </w:t>
      </w:r>
      <w:r>
        <w:rPr>
          <w:rFonts w:ascii="Times New Roman" w:hAnsi="Times New Roman"/>
          <w:color w:val="231F20"/>
          <w:w w:val="105"/>
          <w:sz w:val="22"/>
        </w:rPr>
        <w:t>Mamalhua- zuca.</w:t>
      </w:r>
    </w:p>
    <w:p>
      <w:pPr>
        <w:pStyle w:val="BodyText"/>
        <w:spacing w:before="1"/>
        <w:rPr>
          <w:sz w:val="26"/>
        </w:rPr>
      </w:pPr>
    </w:p>
    <w:p>
      <w:pPr>
        <w:pStyle w:val="BodyText"/>
        <w:ind w:left="110" w:right="574"/>
      </w:pPr>
      <w:r>
        <w:rPr>
          <w:color w:val="231F20"/>
          <w:w w:val="105"/>
        </w:rPr>
        <w:t>Por su parte, el Gobierno Municipal de Ozumba se compromete a:</w:t>
      </w:r>
    </w:p>
    <w:p>
      <w:pPr>
        <w:pStyle w:val="ListParagraph"/>
        <w:numPr>
          <w:ilvl w:val="0"/>
          <w:numId w:val="30"/>
        </w:numPr>
        <w:tabs>
          <w:tab w:pos="886" w:val="left" w:leader="none"/>
        </w:tabs>
        <w:spacing w:line="240" w:lineRule="auto" w:before="47" w:after="0"/>
        <w:ind w:left="677" w:right="0" w:firstLine="0"/>
        <w:jc w:val="left"/>
        <w:rPr>
          <w:rFonts w:ascii="Times New Roman" w:hAnsi="Times New Roman"/>
          <w:sz w:val="22"/>
        </w:rPr>
      </w:pPr>
      <w:r>
        <w:rPr>
          <w:rFonts w:ascii="Times New Roman" w:hAnsi="Times New Roman"/>
          <w:color w:val="231F20"/>
          <w:w w:val="105"/>
          <w:sz w:val="22"/>
        </w:rPr>
        <w:t>Gestionar la construcción del corredor eco</w:t>
      </w:r>
      <w:r>
        <w:rPr>
          <w:rFonts w:ascii="Times New Roman" w:hAnsi="Times New Roman"/>
          <w:color w:val="231F20"/>
          <w:spacing w:val="-25"/>
          <w:w w:val="105"/>
          <w:sz w:val="22"/>
        </w:rPr>
        <w:t> </w:t>
      </w:r>
      <w:r>
        <w:rPr>
          <w:rFonts w:ascii="Times New Roman" w:hAnsi="Times New Roman"/>
          <w:color w:val="231F20"/>
          <w:w w:val="105"/>
          <w:sz w:val="22"/>
        </w:rPr>
        <w:t>turístico.</w:t>
      </w:r>
    </w:p>
    <w:p>
      <w:pPr>
        <w:pStyle w:val="ListParagraph"/>
        <w:numPr>
          <w:ilvl w:val="0"/>
          <w:numId w:val="30"/>
        </w:numPr>
        <w:tabs>
          <w:tab w:pos="895" w:val="left" w:leader="none"/>
        </w:tabs>
        <w:spacing w:line="240" w:lineRule="auto" w:before="47" w:after="0"/>
        <w:ind w:left="894" w:right="0" w:hanging="217"/>
        <w:jc w:val="left"/>
        <w:rPr>
          <w:rFonts w:ascii="Times New Roman" w:hAnsi="Times New Roman"/>
          <w:sz w:val="22"/>
        </w:rPr>
      </w:pPr>
      <w:r>
        <w:rPr>
          <w:rFonts w:ascii="Times New Roman" w:hAnsi="Times New Roman"/>
          <w:color w:val="231F20"/>
          <w:w w:val="105"/>
          <w:sz w:val="22"/>
        </w:rPr>
        <w:t>Gestionar</w:t>
      </w:r>
      <w:r>
        <w:rPr>
          <w:rFonts w:ascii="Times New Roman" w:hAnsi="Times New Roman"/>
          <w:color w:val="231F20"/>
          <w:spacing w:val="-12"/>
          <w:w w:val="105"/>
          <w:sz w:val="22"/>
        </w:rPr>
        <w:t> </w:t>
      </w:r>
      <w:r>
        <w:rPr>
          <w:rFonts w:ascii="Times New Roman" w:hAnsi="Times New Roman"/>
          <w:color w:val="231F20"/>
          <w:w w:val="105"/>
          <w:sz w:val="22"/>
        </w:rPr>
        <w:t>el</w:t>
      </w:r>
      <w:r>
        <w:rPr>
          <w:rFonts w:ascii="Times New Roman" w:hAnsi="Times New Roman"/>
          <w:color w:val="231F20"/>
          <w:spacing w:val="-12"/>
          <w:w w:val="105"/>
          <w:sz w:val="22"/>
        </w:rPr>
        <w:t> </w:t>
      </w:r>
      <w:r>
        <w:rPr>
          <w:rFonts w:ascii="Times New Roman" w:hAnsi="Times New Roman"/>
          <w:color w:val="231F20"/>
          <w:w w:val="105"/>
          <w:sz w:val="22"/>
        </w:rPr>
        <w:t>equipamiento</w:t>
      </w:r>
      <w:r>
        <w:rPr>
          <w:rFonts w:ascii="Times New Roman" w:hAnsi="Times New Roman"/>
          <w:color w:val="231F20"/>
          <w:spacing w:val="-12"/>
          <w:w w:val="105"/>
          <w:sz w:val="22"/>
        </w:rPr>
        <w:t> </w:t>
      </w:r>
      <w:r>
        <w:rPr>
          <w:rFonts w:ascii="Times New Roman" w:hAnsi="Times New Roman"/>
          <w:color w:val="231F20"/>
          <w:w w:val="105"/>
          <w:sz w:val="22"/>
        </w:rPr>
        <w:t>del</w:t>
      </w:r>
      <w:r>
        <w:rPr>
          <w:rFonts w:ascii="Times New Roman" w:hAnsi="Times New Roman"/>
          <w:color w:val="231F20"/>
          <w:spacing w:val="-12"/>
          <w:w w:val="105"/>
          <w:sz w:val="22"/>
        </w:rPr>
        <w:t> </w:t>
      </w:r>
      <w:r>
        <w:rPr>
          <w:rFonts w:ascii="Times New Roman" w:hAnsi="Times New Roman"/>
          <w:color w:val="231F20"/>
          <w:w w:val="105"/>
          <w:sz w:val="22"/>
        </w:rPr>
        <w:t>pozo</w:t>
      </w:r>
      <w:r>
        <w:rPr>
          <w:rFonts w:ascii="Times New Roman" w:hAnsi="Times New Roman"/>
          <w:color w:val="231F20"/>
          <w:spacing w:val="-12"/>
          <w:w w:val="105"/>
          <w:sz w:val="22"/>
        </w:rPr>
        <w:t> </w:t>
      </w:r>
      <w:r>
        <w:rPr>
          <w:rFonts w:ascii="Times New Roman" w:hAnsi="Times New Roman"/>
          <w:color w:val="231F20"/>
          <w:w w:val="105"/>
          <w:sz w:val="22"/>
        </w:rPr>
        <w:t>y</w:t>
      </w:r>
      <w:r>
        <w:rPr>
          <w:rFonts w:ascii="Times New Roman" w:hAnsi="Times New Roman"/>
          <w:color w:val="231F20"/>
          <w:spacing w:val="-12"/>
          <w:w w:val="105"/>
          <w:sz w:val="22"/>
        </w:rPr>
        <w:t> </w:t>
      </w:r>
      <w:r>
        <w:rPr>
          <w:rFonts w:ascii="Times New Roman" w:hAnsi="Times New Roman"/>
          <w:color w:val="231F20"/>
          <w:w w:val="105"/>
          <w:sz w:val="22"/>
        </w:rPr>
        <w:t>la</w:t>
      </w:r>
      <w:r>
        <w:rPr>
          <w:rFonts w:ascii="Times New Roman" w:hAnsi="Times New Roman"/>
          <w:color w:val="231F20"/>
          <w:spacing w:val="-12"/>
          <w:w w:val="105"/>
          <w:sz w:val="22"/>
        </w:rPr>
        <w:t> </w:t>
      </w:r>
      <w:r>
        <w:rPr>
          <w:rFonts w:ascii="Times New Roman" w:hAnsi="Times New Roman"/>
          <w:color w:val="231F20"/>
          <w:w w:val="105"/>
          <w:sz w:val="22"/>
        </w:rPr>
        <w:t>construcción</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línea</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conducción.</w:t>
      </w:r>
    </w:p>
    <w:p>
      <w:pPr>
        <w:pStyle w:val="ListParagraph"/>
        <w:numPr>
          <w:ilvl w:val="0"/>
          <w:numId w:val="30"/>
        </w:numPr>
        <w:tabs>
          <w:tab w:pos="898" w:val="left" w:leader="none"/>
        </w:tabs>
        <w:spacing w:line="285" w:lineRule="auto" w:before="47" w:after="0"/>
        <w:ind w:left="677" w:right="107" w:firstLine="0"/>
        <w:jc w:val="left"/>
        <w:rPr>
          <w:rFonts w:ascii="Times New Roman" w:hAnsi="Times New Roman"/>
          <w:sz w:val="22"/>
        </w:rPr>
      </w:pPr>
      <w:r>
        <w:rPr>
          <w:rFonts w:ascii="Times New Roman" w:hAnsi="Times New Roman"/>
          <w:color w:val="231F20"/>
          <w:w w:val="105"/>
          <w:sz w:val="22"/>
        </w:rPr>
        <w:t>Gestionar</w:t>
      </w:r>
      <w:r>
        <w:rPr>
          <w:rFonts w:ascii="Times New Roman" w:hAnsi="Times New Roman"/>
          <w:color w:val="231F20"/>
          <w:spacing w:val="-6"/>
          <w:w w:val="105"/>
          <w:sz w:val="22"/>
        </w:rPr>
        <w:t> </w:t>
      </w:r>
      <w:r>
        <w:rPr>
          <w:rFonts w:ascii="Times New Roman" w:hAnsi="Times New Roman"/>
          <w:color w:val="231F20"/>
          <w:w w:val="105"/>
          <w:sz w:val="22"/>
        </w:rPr>
        <w:t>la</w:t>
      </w:r>
      <w:r>
        <w:rPr>
          <w:rFonts w:ascii="Times New Roman" w:hAnsi="Times New Roman"/>
          <w:color w:val="231F20"/>
          <w:spacing w:val="-6"/>
          <w:w w:val="105"/>
          <w:sz w:val="22"/>
        </w:rPr>
        <w:t> </w:t>
      </w:r>
      <w:r>
        <w:rPr>
          <w:rFonts w:ascii="Times New Roman" w:hAnsi="Times New Roman"/>
          <w:color w:val="231F20"/>
          <w:w w:val="105"/>
          <w:sz w:val="22"/>
        </w:rPr>
        <w:t>construcción</w:t>
      </w:r>
      <w:r>
        <w:rPr>
          <w:rFonts w:ascii="Times New Roman" w:hAnsi="Times New Roman"/>
          <w:color w:val="231F20"/>
          <w:spacing w:val="-6"/>
          <w:w w:val="105"/>
          <w:sz w:val="22"/>
        </w:rPr>
        <w:t> </w:t>
      </w:r>
      <w:r>
        <w:rPr>
          <w:rFonts w:ascii="Times New Roman" w:hAnsi="Times New Roman"/>
          <w:color w:val="231F20"/>
          <w:w w:val="105"/>
          <w:sz w:val="22"/>
        </w:rPr>
        <w:t>de</w:t>
      </w:r>
      <w:r>
        <w:rPr>
          <w:rFonts w:ascii="Times New Roman" w:hAnsi="Times New Roman"/>
          <w:color w:val="231F20"/>
          <w:spacing w:val="-6"/>
          <w:w w:val="105"/>
          <w:sz w:val="22"/>
        </w:rPr>
        <w:t> </w:t>
      </w:r>
      <w:r>
        <w:rPr>
          <w:rFonts w:ascii="Times New Roman" w:hAnsi="Times New Roman"/>
          <w:color w:val="231F20"/>
          <w:w w:val="105"/>
          <w:sz w:val="22"/>
        </w:rPr>
        <w:t>Salón</w:t>
      </w:r>
      <w:r>
        <w:rPr>
          <w:rFonts w:ascii="Times New Roman" w:hAnsi="Times New Roman"/>
          <w:color w:val="231F20"/>
          <w:spacing w:val="-6"/>
          <w:w w:val="105"/>
          <w:sz w:val="22"/>
        </w:rPr>
        <w:t> </w:t>
      </w:r>
      <w:r>
        <w:rPr>
          <w:rFonts w:ascii="Times New Roman" w:hAnsi="Times New Roman"/>
          <w:color w:val="231F20"/>
          <w:w w:val="105"/>
          <w:sz w:val="22"/>
        </w:rPr>
        <w:t>de</w:t>
      </w:r>
      <w:r>
        <w:rPr>
          <w:rFonts w:ascii="Times New Roman" w:hAnsi="Times New Roman"/>
          <w:color w:val="231F20"/>
          <w:spacing w:val="-6"/>
          <w:w w:val="105"/>
          <w:sz w:val="22"/>
        </w:rPr>
        <w:t> </w:t>
      </w:r>
      <w:r>
        <w:rPr>
          <w:rFonts w:ascii="Times New Roman" w:hAnsi="Times New Roman"/>
          <w:color w:val="231F20"/>
          <w:w w:val="105"/>
          <w:sz w:val="22"/>
        </w:rPr>
        <w:t>Usos</w:t>
      </w:r>
      <w:r>
        <w:rPr>
          <w:rFonts w:ascii="Times New Roman" w:hAnsi="Times New Roman"/>
          <w:color w:val="231F20"/>
          <w:spacing w:val="-6"/>
          <w:w w:val="105"/>
          <w:sz w:val="22"/>
        </w:rPr>
        <w:t> </w:t>
      </w:r>
      <w:r>
        <w:rPr>
          <w:rFonts w:ascii="Times New Roman" w:hAnsi="Times New Roman"/>
          <w:color w:val="231F20"/>
          <w:w w:val="105"/>
          <w:sz w:val="22"/>
        </w:rPr>
        <w:t>Múltiples</w:t>
      </w:r>
      <w:r>
        <w:rPr>
          <w:rFonts w:ascii="Times New Roman" w:hAnsi="Times New Roman"/>
          <w:color w:val="231F20"/>
          <w:spacing w:val="-6"/>
          <w:w w:val="105"/>
          <w:sz w:val="22"/>
        </w:rPr>
        <w:t> </w:t>
      </w:r>
      <w:r>
        <w:rPr>
          <w:rFonts w:ascii="Times New Roman" w:hAnsi="Times New Roman"/>
          <w:color w:val="231F20"/>
          <w:w w:val="105"/>
          <w:sz w:val="22"/>
        </w:rPr>
        <w:t>en</w:t>
      </w:r>
      <w:r>
        <w:rPr>
          <w:rFonts w:ascii="Times New Roman" w:hAnsi="Times New Roman"/>
          <w:color w:val="231F20"/>
          <w:spacing w:val="-6"/>
          <w:w w:val="105"/>
          <w:sz w:val="22"/>
        </w:rPr>
        <w:t> </w:t>
      </w:r>
      <w:r>
        <w:rPr>
          <w:rFonts w:ascii="Times New Roman" w:hAnsi="Times New Roman"/>
          <w:color w:val="231F20"/>
          <w:w w:val="105"/>
          <w:sz w:val="22"/>
        </w:rPr>
        <w:t>la</w:t>
      </w:r>
      <w:r>
        <w:rPr>
          <w:rFonts w:ascii="Times New Roman" w:hAnsi="Times New Roman"/>
          <w:color w:val="231F20"/>
          <w:spacing w:val="-6"/>
          <w:w w:val="105"/>
          <w:sz w:val="22"/>
        </w:rPr>
        <w:t> </w:t>
      </w:r>
      <w:r>
        <w:rPr>
          <w:rFonts w:ascii="Times New Roman" w:hAnsi="Times New Roman"/>
          <w:color w:val="231F20"/>
          <w:w w:val="105"/>
          <w:sz w:val="22"/>
        </w:rPr>
        <w:t>Unidad</w:t>
      </w:r>
      <w:r>
        <w:rPr>
          <w:rFonts w:ascii="Times New Roman" w:hAnsi="Times New Roman"/>
          <w:color w:val="231F20"/>
          <w:spacing w:val="-6"/>
          <w:w w:val="105"/>
          <w:sz w:val="22"/>
        </w:rPr>
        <w:t> </w:t>
      </w:r>
      <w:r>
        <w:rPr>
          <w:rFonts w:ascii="Times New Roman" w:hAnsi="Times New Roman"/>
          <w:color w:val="231F20"/>
          <w:w w:val="105"/>
          <w:sz w:val="22"/>
        </w:rPr>
        <w:t>Deportiva </w:t>
      </w:r>
      <w:r>
        <w:rPr>
          <w:rFonts w:ascii="Times New Roman" w:hAnsi="Times New Roman"/>
          <w:color w:val="231F20"/>
          <w:sz w:val="22"/>
        </w:rPr>
        <w:t>Raúl</w:t>
      </w:r>
      <w:r>
        <w:rPr>
          <w:rFonts w:ascii="Times New Roman" w:hAnsi="Times New Roman"/>
          <w:color w:val="231F20"/>
          <w:spacing w:val="19"/>
          <w:sz w:val="22"/>
        </w:rPr>
        <w:t> </w:t>
      </w:r>
      <w:r>
        <w:rPr>
          <w:rFonts w:ascii="Times New Roman" w:hAnsi="Times New Roman"/>
          <w:color w:val="231F20"/>
          <w:sz w:val="22"/>
        </w:rPr>
        <w:t>González.</w:t>
      </w:r>
    </w:p>
    <w:p>
      <w:pPr>
        <w:pStyle w:val="ListParagraph"/>
        <w:numPr>
          <w:ilvl w:val="0"/>
          <w:numId w:val="30"/>
        </w:numPr>
        <w:tabs>
          <w:tab w:pos="894" w:val="left" w:leader="none"/>
        </w:tabs>
        <w:spacing w:line="240" w:lineRule="auto" w:before="1" w:after="0"/>
        <w:ind w:left="893" w:right="0" w:hanging="216"/>
        <w:jc w:val="left"/>
        <w:rPr>
          <w:rFonts w:ascii="Times New Roman" w:hAnsi="Times New Roman"/>
          <w:sz w:val="22"/>
        </w:rPr>
      </w:pPr>
      <w:r>
        <w:rPr>
          <w:rFonts w:ascii="Times New Roman" w:hAnsi="Times New Roman"/>
          <w:color w:val="231F20"/>
          <w:w w:val="105"/>
          <w:sz w:val="22"/>
        </w:rPr>
        <w:t>Gestionar</w:t>
      </w:r>
      <w:r>
        <w:rPr>
          <w:rFonts w:ascii="Times New Roman" w:hAnsi="Times New Roman"/>
          <w:color w:val="231F20"/>
          <w:spacing w:val="-5"/>
          <w:w w:val="105"/>
          <w:sz w:val="22"/>
        </w:rPr>
        <w:t> </w:t>
      </w:r>
      <w:r>
        <w:rPr>
          <w:rFonts w:ascii="Times New Roman" w:hAnsi="Times New Roman"/>
          <w:color w:val="231F20"/>
          <w:w w:val="105"/>
          <w:sz w:val="22"/>
        </w:rPr>
        <w:t>la</w:t>
      </w:r>
      <w:r>
        <w:rPr>
          <w:rFonts w:ascii="Times New Roman" w:hAnsi="Times New Roman"/>
          <w:color w:val="231F20"/>
          <w:spacing w:val="-5"/>
          <w:w w:val="105"/>
          <w:sz w:val="22"/>
        </w:rPr>
        <w:t> </w:t>
      </w:r>
      <w:r>
        <w:rPr>
          <w:rFonts w:ascii="Times New Roman" w:hAnsi="Times New Roman"/>
          <w:color w:val="231F20"/>
          <w:w w:val="105"/>
          <w:sz w:val="22"/>
        </w:rPr>
        <w:t>construcción</w:t>
      </w:r>
      <w:r>
        <w:rPr>
          <w:rFonts w:ascii="Times New Roman" w:hAnsi="Times New Roman"/>
          <w:color w:val="231F20"/>
          <w:spacing w:val="-5"/>
          <w:w w:val="105"/>
          <w:sz w:val="22"/>
        </w:rPr>
        <w:t> </w:t>
      </w:r>
      <w:r>
        <w:rPr>
          <w:rFonts w:ascii="Times New Roman" w:hAnsi="Times New Roman"/>
          <w:color w:val="231F20"/>
          <w:w w:val="105"/>
          <w:sz w:val="22"/>
        </w:rPr>
        <w:t>del</w:t>
      </w:r>
      <w:r>
        <w:rPr>
          <w:rFonts w:ascii="Times New Roman" w:hAnsi="Times New Roman"/>
          <w:color w:val="231F20"/>
          <w:spacing w:val="-5"/>
          <w:w w:val="105"/>
          <w:sz w:val="22"/>
        </w:rPr>
        <w:t> </w:t>
      </w:r>
      <w:r>
        <w:rPr>
          <w:rFonts w:ascii="Times New Roman" w:hAnsi="Times New Roman"/>
          <w:color w:val="231F20"/>
          <w:w w:val="105"/>
          <w:sz w:val="22"/>
        </w:rPr>
        <w:t>boulevard</w:t>
      </w:r>
      <w:r>
        <w:rPr>
          <w:rFonts w:ascii="Times New Roman" w:hAnsi="Times New Roman"/>
          <w:color w:val="231F20"/>
          <w:spacing w:val="-5"/>
          <w:w w:val="105"/>
          <w:sz w:val="22"/>
        </w:rPr>
        <w:t> </w:t>
      </w:r>
      <w:r>
        <w:rPr>
          <w:rFonts w:ascii="Times New Roman" w:hAnsi="Times New Roman"/>
          <w:color w:val="231F20"/>
          <w:w w:val="105"/>
          <w:sz w:val="22"/>
        </w:rPr>
        <w:t>en</w:t>
      </w:r>
      <w:r>
        <w:rPr>
          <w:rFonts w:ascii="Times New Roman" w:hAnsi="Times New Roman"/>
          <w:color w:val="231F20"/>
          <w:spacing w:val="-5"/>
          <w:w w:val="105"/>
          <w:sz w:val="22"/>
        </w:rPr>
        <w:t> </w:t>
      </w:r>
      <w:r>
        <w:rPr>
          <w:rFonts w:ascii="Times New Roman" w:hAnsi="Times New Roman"/>
          <w:color w:val="231F20"/>
          <w:w w:val="105"/>
          <w:sz w:val="22"/>
        </w:rPr>
        <w:t>la</w:t>
      </w:r>
      <w:r>
        <w:rPr>
          <w:rFonts w:ascii="Times New Roman" w:hAnsi="Times New Roman"/>
          <w:color w:val="231F20"/>
          <w:spacing w:val="-5"/>
          <w:w w:val="105"/>
          <w:sz w:val="22"/>
        </w:rPr>
        <w:t> </w:t>
      </w:r>
      <w:r>
        <w:rPr>
          <w:rFonts w:ascii="Times New Roman" w:hAnsi="Times New Roman"/>
          <w:color w:val="231F20"/>
          <w:w w:val="105"/>
          <w:sz w:val="22"/>
        </w:rPr>
        <w:t>entrada</w:t>
      </w:r>
      <w:r>
        <w:rPr>
          <w:rFonts w:ascii="Times New Roman" w:hAnsi="Times New Roman"/>
          <w:color w:val="231F20"/>
          <w:spacing w:val="-5"/>
          <w:w w:val="105"/>
          <w:sz w:val="22"/>
        </w:rPr>
        <w:t> </w:t>
      </w:r>
      <w:r>
        <w:rPr>
          <w:rFonts w:ascii="Times New Roman" w:hAnsi="Times New Roman"/>
          <w:color w:val="231F20"/>
          <w:w w:val="105"/>
          <w:sz w:val="22"/>
        </w:rPr>
        <w:t>norte</w:t>
      </w:r>
      <w:r>
        <w:rPr>
          <w:rFonts w:ascii="Times New Roman" w:hAnsi="Times New Roman"/>
          <w:color w:val="231F20"/>
          <w:spacing w:val="-5"/>
          <w:w w:val="105"/>
          <w:sz w:val="22"/>
        </w:rPr>
        <w:t> </w:t>
      </w:r>
      <w:r>
        <w:rPr>
          <w:rFonts w:ascii="Times New Roman" w:hAnsi="Times New Roman"/>
          <w:color w:val="231F20"/>
          <w:w w:val="105"/>
          <w:sz w:val="22"/>
        </w:rPr>
        <w:t>de</w:t>
      </w:r>
      <w:r>
        <w:rPr>
          <w:rFonts w:ascii="Times New Roman" w:hAnsi="Times New Roman"/>
          <w:color w:val="231F20"/>
          <w:spacing w:val="-5"/>
          <w:w w:val="105"/>
          <w:sz w:val="22"/>
        </w:rPr>
        <w:t> </w:t>
      </w:r>
      <w:r>
        <w:rPr>
          <w:rFonts w:ascii="Times New Roman" w:hAnsi="Times New Roman"/>
          <w:color w:val="231F20"/>
          <w:w w:val="105"/>
          <w:sz w:val="22"/>
        </w:rPr>
        <w:t>Ozumba.</w:t>
      </w:r>
    </w:p>
    <w:p>
      <w:pPr>
        <w:pStyle w:val="ListParagraph"/>
        <w:numPr>
          <w:ilvl w:val="0"/>
          <w:numId w:val="30"/>
        </w:numPr>
        <w:tabs>
          <w:tab w:pos="890" w:val="left" w:leader="none"/>
        </w:tabs>
        <w:spacing w:line="240" w:lineRule="auto" w:before="47" w:after="0"/>
        <w:ind w:left="889" w:right="0" w:hanging="212"/>
        <w:jc w:val="left"/>
        <w:rPr>
          <w:rFonts w:ascii="Times New Roman" w:hAnsi="Times New Roman"/>
          <w:sz w:val="22"/>
        </w:rPr>
      </w:pPr>
      <w:r>
        <w:rPr>
          <w:rFonts w:ascii="Times New Roman" w:hAnsi="Times New Roman"/>
          <w:color w:val="231F20"/>
          <w:w w:val="105"/>
          <w:sz w:val="22"/>
        </w:rPr>
        <w:t>Gestionar</w:t>
      </w:r>
      <w:r>
        <w:rPr>
          <w:rFonts w:ascii="Times New Roman" w:hAnsi="Times New Roman"/>
          <w:color w:val="231F20"/>
          <w:spacing w:val="-11"/>
          <w:w w:val="105"/>
          <w:sz w:val="22"/>
        </w:rPr>
        <w:t> </w:t>
      </w:r>
      <w:r>
        <w:rPr>
          <w:rFonts w:ascii="Times New Roman" w:hAnsi="Times New Roman"/>
          <w:color w:val="231F20"/>
          <w:w w:val="105"/>
          <w:sz w:val="22"/>
        </w:rPr>
        <w:t>la</w:t>
      </w:r>
      <w:r>
        <w:rPr>
          <w:rFonts w:ascii="Times New Roman" w:hAnsi="Times New Roman"/>
          <w:color w:val="231F20"/>
          <w:spacing w:val="-11"/>
          <w:w w:val="105"/>
          <w:sz w:val="22"/>
        </w:rPr>
        <w:t> </w:t>
      </w:r>
      <w:r>
        <w:rPr>
          <w:rFonts w:ascii="Times New Roman" w:hAnsi="Times New Roman"/>
          <w:color w:val="231F20"/>
          <w:w w:val="105"/>
          <w:sz w:val="22"/>
        </w:rPr>
        <w:t>construcción</w:t>
      </w:r>
      <w:r>
        <w:rPr>
          <w:rFonts w:ascii="Times New Roman" w:hAnsi="Times New Roman"/>
          <w:color w:val="231F20"/>
          <w:spacing w:val="-11"/>
          <w:w w:val="105"/>
          <w:sz w:val="22"/>
        </w:rPr>
        <w:t> </w:t>
      </w:r>
      <w:r>
        <w:rPr>
          <w:rFonts w:ascii="Times New Roman" w:hAnsi="Times New Roman"/>
          <w:color w:val="231F20"/>
          <w:w w:val="105"/>
          <w:sz w:val="22"/>
        </w:rPr>
        <w:t>del</w:t>
      </w:r>
      <w:r>
        <w:rPr>
          <w:rFonts w:ascii="Times New Roman" w:hAnsi="Times New Roman"/>
          <w:color w:val="231F20"/>
          <w:spacing w:val="-11"/>
          <w:w w:val="105"/>
          <w:sz w:val="22"/>
        </w:rPr>
        <w:t> </w:t>
      </w:r>
      <w:r>
        <w:rPr>
          <w:rFonts w:ascii="Times New Roman" w:hAnsi="Times New Roman"/>
          <w:color w:val="231F20"/>
          <w:w w:val="105"/>
          <w:sz w:val="22"/>
        </w:rPr>
        <w:t>Museo</w:t>
      </w:r>
      <w:r>
        <w:rPr>
          <w:rFonts w:ascii="Times New Roman" w:hAnsi="Times New Roman"/>
          <w:color w:val="231F20"/>
          <w:spacing w:val="-11"/>
          <w:w w:val="105"/>
          <w:sz w:val="22"/>
        </w:rPr>
        <w:t> </w:t>
      </w:r>
      <w:r>
        <w:rPr>
          <w:rFonts w:ascii="Times New Roman" w:hAnsi="Times New Roman"/>
          <w:color w:val="231F20"/>
          <w:w w:val="105"/>
          <w:sz w:val="22"/>
        </w:rPr>
        <w:t>Municipal.</w:t>
      </w:r>
    </w:p>
    <w:p>
      <w:pPr>
        <w:pStyle w:val="ListParagraph"/>
        <w:numPr>
          <w:ilvl w:val="0"/>
          <w:numId w:val="30"/>
        </w:numPr>
        <w:tabs>
          <w:tab w:pos="894" w:val="left" w:leader="none"/>
        </w:tabs>
        <w:spacing w:line="285" w:lineRule="auto" w:before="47" w:after="0"/>
        <w:ind w:left="677" w:right="108" w:firstLine="0"/>
        <w:jc w:val="left"/>
        <w:rPr>
          <w:rFonts w:ascii="Times New Roman"/>
          <w:sz w:val="22"/>
        </w:rPr>
      </w:pPr>
      <w:r>
        <w:rPr>
          <w:rFonts w:ascii="Times New Roman"/>
          <w:color w:val="231F20"/>
          <w:w w:val="105"/>
          <w:sz w:val="22"/>
        </w:rPr>
        <w:t>Rehabilitar</w:t>
      </w:r>
      <w:r>
        <w:rPr>
          <w:rFonts w:ascii="Times New Roman"/>
          <w:color w:val="231F20"/>
          <w:spacing w:val="-6"/>
          <w:w w:val="105"/>
          <w:sz w:val="22"/>
        </w:rPr>
        <w:t> </w:t>
      </w:r>
      <w:r>
        <w:rPr>
          <w:rFonts w:ascii="Times New Roman"/>
          <w:color w:val="231F20"/>
          <w:w w:val="105"/>
          <w:sz w:val="22"/>
        </w:rPr>
        <w:t>y</w:t>
      </w:r>
      <w:r>
        <w:rPr>
          <w:rFonts w:ascii="Times New Roman"/>
          <w:color w:val="231F20"/>
          <w:spacing w:val="-6"/>
          <w:w w:val="105"/>
          <w:sz w:val="22"/>
        </w:rPr>
        <w:t> </w:t>
      </w:r>
      <w:r>
        <w:rPr>
          <w:rFonts w:ascii="Times New Roman"/>
          <w:color w:val="231F20"/>
          <w:w w:val="105"/>
          <w:sz w:val="22"/>
        </w:rPr>
        <w:t>construir</w:t>
      </w:r>
      <w:r>
        <w:rPr>
          <w:rFonts w:ascii="Times New Roman"/>
          <w:color w:val="231F20"/>
          <w:spacing w:val="-6"/>
          <w:w w:val="105"/>
          <w:sz w:val="22"/>
        </w:rPr>
        <w:t> </w:t>
      </w:r>
      <w:r>
        <w:rPr>
          <w:rFonts w:ascii="Times New Roman"/>
          <w:color w:val="231F20"/>
          <w:w w:val="105"/>
          <w:sz w:val="22"/>
        </w:rPr>
        <w:t>las</w:t>
      </w:r>
      <w:r>
        <w:rPr>
          <w:rFonts w:ascii="Times New Roman"/>
          <w:color w:val="231F20"/>
          <w:spacing w:val="-6"/>
          <w:w w:val="105"/>
          <w:sz w:val="22"/>
        </w:rPr>
        <w:t> </w:t>
      </w:r>
      <w:r>
        <w:rPr>
          <w:rFonts w:ascii="Times New Roman"/>
          <w:color w:val="231F20"/>
          <w:w w:val="105"/>
          <w:sz w:val="22"/>
        </w:rPr>
        <w:t>bardas</w:t>
      </w:r>
      <w:r>
        <w:rPr>
          <w:rFonts w:ascii="Times New Roman"/>
          <w:color w:val="231F20"/>
          <w:spacing w:val="-6"/>
          <w:w w:val="105"/>
          <w:sz w:val="22"/>
        </w:rPr>
        <w:t> </w:t>
      </w:r>
      <w:r>
        <w:rPr>
          <w:rFonts w:ascii="Times New Roman"/>
          <w:color w:val="231F20"/>
          <w:w w:val="105"/>
          <w:sz w:val="22"/>
        </w:rPr>
        <w:t>perimetrales</w:t>
      </w:r>
      <w:r>
        <w:rPr>
          <w:rFonts w:ascii="Times New Roman"/>
          <w:color w:val="231F20"/>
          <w:spacing w:val="-6"/>
          <w:w w:val="105"/>
          <w:sz w:val="22"/>
        </w:rPr>
        <w:t> </w:t>
      </w:r>
      <w:r>
        <w:rPr>
          <w:rFonts w:ascii="Times New Roman"/>
          <w:color w:val="231F20"/>
          <w:w w:val="105"/>
          <w:sz w:val="22"/>
        </w:rPr>
        <w:t>y</w:t>
      </w:r>
      <w:r>
        <w:rPr>
          <w:rFonts w:ascii="Times New Roman"/>
          <w:color w:val="231F20"/>
          <w:spacing w:val="-6"/>
          <w:w w:val="105"/>
          <w:sz w:val="22"/>
        </w:rPr>
        <w:t> </w:t>
      </w:r>
      <w:r>
        <w:rPr>
          <w:rFonts w:ascii="Times New Roman"/>
          <w:color w:val="231F20"/>
          <w:w w:val="105"/>
          <w:sz w:val="22"/>
        </w:rPr>
        <w:t>las</w:t>
      </w:r>
      <w:r>
        <w:rPr>
          <w:rFonts w:ascii="Times New Roman"/>
          <w:color w:val="231F20"/>
          <w:spacing w:val="-6"/>
          <w:w w:val="105"/>
          <w:sz w:val="22"/>
        </w:rPr>
        <w:t> </w:t>
      </w:r>
      <w:r>
        <w:rPr>
          <w:rFonts w:ascii="Times New Roman"/>
          <w:color w:val="231F20"/>
          <w:w w:val="105"/>
          <w:sz w:val="22"/>
        </w:rPr>
        <w:t>cisternas</w:t>
      </w:r>
      <w:r>
        <w:rPr>
          <w:rFonts w:ascii="Times New Roman"/>
          <w:color w:val="231F20"/>
          <w:spacing w:val="-6"/>
          <w:w w:val="105"/>
          <w:sz w:val="22"/>
        </w:rPr>
        <w:t> </w:t>
      </w:r>
      <w:r>
        <w:rPr>
          <w:rFonts w:ascii="Times New Roman"/>
          <w:color w:val="231F20"/>
          <w:w w:val="105"/>
          <w:sz w:val="22"/>
        </w:rPr>
        <w:t>en</w:t>
      </w:r>
      <w:r>
        <w:rPr>
          <w:rFonts w:ascii="Times New Roman"/>
          <w:color w:val="231F20"/>
          <w:spacing w:val="-6"/>
          <w:w w:val="105"/>
          <w:sz w:val="22"/>
        </w:rPr>
        <w:t> </w:t>
      </w:r>
      <w:r>
        <w:rPr>
          <w:rFonts w:ascii="Times New Roman"/>
          <w:color w:val="231F20"/>
          <w:w w:val="105"/>
          <w:sz w:val="22"/>
        </w:rPr>
        <w:t>los</w:t>
      </w:r>
      <w:r>
        <w:rPr>
          <w:rFonts w:ascii="Times New Roman"/>
          <w:color w:val="231F20"/>
          <w:spacing w:val="-6"/>
          <w:w w:val="105"/>
          <w:sz w:val="22"/>
        </w:rPr>
        <w:t> </w:t>
      </w:r>
      <w:r>
        <w:rPr>
          <w:rFonts w:ascii="Times New Roman"/>
          <w:color w:val="231F20"/>
          <w:w w:val="105"/>
          <w:sz w:val="22"/>
        </w:rPr>
        <w:t>panteones del</w:t>
      </w:r>
      <w:r>
        <w:rPr>
          <w:rFonts w:ascii="Times New Roman"/>
          <w:color w:val="231F20"/>
          <w:spacing w:val="-38"/>
          <w:w w:val="105"/>
          <w:sz w:val="22"/>
        </w:rPr>
        <w:t> </w:t>
      </w:r>
      <w:r>
        <w:rPr>
          <w:rFonts w:ascii="Times New Roman"/>
          <w:color w:val="231F20"/>
          <w:w w:val="105"/>
          <w:sz w:val="22"/>
        </w:rPr>
        <w:t>municipio.</w:t>
      </w:r>
    </w:p>
    <w:p>
      <w:pPr>
        <w:pStyle w:val="BodyText"/>
        <w:spacing w:before="1"/>
        <w:rPr>
          <w:sz w:val="26"/>
        </w:rPr>
      </w:pPr>
    </w:p>
    <w:p>
      <w:pPr>
        <w:pStyle w:val="BodyText"/>
        <w:spacing w:line="285" w:lineRule="auto"/>
        <w:ind w:left="110" w:right="-2"/>
      </w:pPr>
      <w:r>
        <w:rPr>
          <w:color w:val="231F20"/>
          <w:w w:val="105"/>
        </w:rPr>
        <w:t>Los compromisos anteriores se intentan agrupar en los siguientes programas conteni- dos en el Plan Municipal ordenados también por pilares:</w:t>
      </w:r>
    </w:p>
    <w:p>
      <w:pPr>
        <w:spacing w:line="272" w:lineRule="exact" w:before="0"/>
        <w:ind w:left="110" w:right="574" w:firstLine="0"/>
        <w:jc w:val="left"/>
        <w:rPr>
          <w:rFonts w:ascii="Palatino Linotype"/>
          <w:i/>
          <w:sz w:val="22"/>
        </w:rPr>
      </w:pPr>
      <w:r>
        <w:rPr>
          <w:rFonts w:ascii="Palatino Linotype"/>
          <w:i/>
          <w:color w:val="231F20"/>
          <w:w w:val="105"/>
          <w:sz w:val="22"/>
        </w:rPr>
        <w:t>Cimientos de la Seguridad Integral Municipal</w:t>
      </w:r>
    </w:p>
    <w:p>
      <w:pPr>
        <w:pStyle w:val="ListParagraph"/>
        <w:numPr>
          <w:ilvl w:val="1"/>
          <w:numId w:val="31"/>
        </w:numPr>
        <w:tabs>
          <w:tab w:pos="1040" w:val="left" w:leader="none"/>
        </w:tabs>
        <w:spacing w:line="240" w:lineRule="auto" w:before="29" w:after="0"/>
        <w:ind w:left="1039" w:right="0" w:hanging="362"/>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Apoyo</w:t>
      </w:r>
      <w:r>
        <w:rPr>
          <w:rFonts w:ascii="Times New Roman" w:hAnsi="Times New Roman"/>
          <w:color w:val="231F20"/>
          <w:spacing w:val="-17"/>
          <w:w w:val="105"/>
          <w:sz w:val="22"/>
        </w:rPr>
        <w:t> </w:t>
      </w:r>
      <w:r>
        <w:rPr>
          <w:rFonts w:ascii="Times New Roman" w:hAnsi="Times New Roman"/>
          <w:color w:val="231F20"/>
          <w:w w:val="105"/>
          <w:sz w:val="22"/>
        </w:rPr>
        <w:t>a</w:t>
      </w:r>
      <w:r>
        <w:rPr>
          <w:rFonts w:ascii="Times New Roman" w:hAnsi="Times New Roman"/>
          <w:color w:val="231F20"/>
          <w:spacing w:val="-17"/>
          <w:w w:val="105"/>
          <w:sz w:val="22"/>
        </w:rPr>
        <w:t> </w:t>
      </w:r>
      <w:r>
        <w:rPr>
          <w:rFonts w:ascii="Times New Roman" w:hAnsi="Times New Roman"/>
          <w:color w:val="231F20"/>
          <w:w w:val="105"/>
          <w:sz w:val="22"/>
        </w:rPr>
        <w:t>las</w:t>
      </w:r>
      <w:r>
        <w:rPr>
          <w:rFonts w:ascii="Times New Roman" w:hAnsi="Times New Roman"/>
          <w:color w:val="231F20"/>
          <w:spacing w:val="-17"/>
          <w:w w:val="105"/>
          <w:sz w:val="22"/>
        </w:rPr>
        <w:t> </w:t>
      </w:r>
      <w:r>
        <w:rPr>
          <w:rFonts w:ascii="Times New Roman" w:hAnsi="Times New Roman"/>
          <w:color w:val="231F20"/>
          <w:w w:val="105"/>
          <w:sz w:val="22"/>
        </w:rPr>
        <w:t>Políticas</w:t>
      </w:r>
      <w:r>
        <w:rPr>
          <w:rFonts w:ascii="Times New Roman" w:hAnsi="Times New Roman"/>
          <w:color w:val="231F20"/>
          <w:spacing w:val="-17"/>
          <w:w w:val="105"/>
          <w:sz w:val="22"/>
        </w:rPr>
        <w:t> </w:t>
      </w:r>
      <w:r>
        <w:rPr>
          <w:rFonts w:ascii="Times New Roman" w:hAnsi="Times New Roman"/>
          <w:color w:val="231F20"/>
          <w:w w:val="105"/>
          <w:sz w:val="22"/>
        </w:rPr>
        <w:t>Gubernamentales</w:t>
      </w:r>
    </w:p>
    <w:p>
      <w:pPr>
        <w:pStyle w:val="ListParagraph"/>
        <w:numPr>
          <w:ilvl w:val="1"/>
          <w:numId w:val="31"/>
        </w:numPr>
        <w:tabs>
          <w:tab w:pos="1058" w:val="left" w:leader="none"/>
        </w:tabs>
        <w:spacing w:line="240" w:lineRule="auto" w:before="47" w:after="0"/>
        <w:ind w:left="1057" w:right="0" w:hanging="380"/>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Reglamentación</w:t>
      </w:r>
      <w:r>
        <w:rPr>
          <w:rFonts w:ascii="Times New Roman" w:hAnsi="Times New Roman"/>
          <w:color w:val="231F20"/>
          <w:spacing w:val="-21"/>
          <w:w w:val="105"/>
          <w:sz w:val="22"/>
        </w:rPr>
        <w:t> </w:t>
      </w:r>
      <w:r>
        <w:rPr>
          <w:rFonts w:ascii="Times New Roman" w:hAnsi="Times New Roman"/>
          <w:color w:val="231F20"/>
          <w:w w:val="105"/>
          <w:sz w:val="22"/>
        </w:rPr>
        <w:t>Municipal</w:t>
      </w:r>
    </w:p>
    <w:p>
      <w:pPr>
        <w:pStyle w:val="ListParagraph"/>
        <w:numPr>
          <w:ilvl w:val="1"/>
          <w:numId w:val="31"/>
        </w:numPr>
        <w:tabs>
          <w:tab w:pos="1056" w:val="left" w:leader="none"/>
        </w:tabs>
        <w:spacing w:line="240" w:lineRule="auto" w:before="47" w:after="0"/>
        <w:ind w:left="1055" w:right="0" w:hanging="378"/>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Impartición</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Justicia</w:t>
      </w:r>
      <w:r>
        <w:rPr>
          <w:rFonts w:ascii="Times New Roman" w:hAnsi="Times New Roman"/>
          <w:color w:val="231F20"/>
          <w:spacing w:val="-11"/>
          <w:w w:val="105"/>
          <w:sz w:val="22"/>
        </w:rPr>
        <w:t> </w:t>
      </w:r>
      <w:r>
        <w:rPr>
          <w:rFonts w:ascii="Times New Roman" w:hAnsi="Times New Roman"/>
          <w:color w:val="231F20"/>
          <w:w w:val="105"/>
          <w:sz w:val="22"/>
        </w:rPr>
        <w:t>Municipal</w:t>
      </w:r>
    </w:p>
    <w:p>
      <w:pPr>
        <w:pStyle w:val="ListParagraph"/>
        <w:numPr>
          <w:ilvl w:val="1"/>
          <w:numId w:val="31"/>
        </w:numPr>
        <w:tabs>
          <w:tab w:pos="1051" w:val="left" w:leader="none"/>
        </w:tabs>
        <w:spacing w:line="240" w:lineRule="auto" w:before="47" w:after="0"/>
        <w:ind w:left="1050" w:right="0" w:hanging="373"/>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3"/>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Procuración</w:t>
      </w:r>
      <w:r>
        <w:rPr>
          <w:rFonts w:ascii="Times New Roman" w:hAnsi="Times New Roman"/>
          <w:color w:val="231F20"/>
          <w:spacing w:val="-13"/>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Justicia</w:t>
      </w:r>
      <w:r>
        <w:rPr>
          <w:rFonts w:ascii="Times New Roman" w:hAnsi="Times New Roman"/>
          <w:color w:val="231F20"/>
          <w:spacing w:val="-13"/>
          <w:w w:val="105"/>
          <w:sz w:val="22"/>
        </w:rPr>
        <w:t> </w:t>
      </w:r>
      <w:r>
        <w:rPr>
          <w:rFonts w:ascii="Times New Roman" w:hAnsi="Times New Roman"/>
          <w:color w:val="231F20"/>
          <w:w w:val="105"/>
          <w:sz w:val="22"/>
        </w:rPr>
        <w:t>Municipal</w:t>
      </w:r>
    </w:p>
    <w:p>
      <w:pPr>
        <w:pStyle w:val="ListParagraph"/>
        <w:numPr>
          <w:ilvl w:val="1"/>
          <w:numId w:val="31"/>
        </w:numPr>
        <w:tabs>
          <w:tab w:pos="1054" w:val="left" w:leader="none"/>
        </w:tabs>
        <w:spacing w:line="240" w:lineRule="auto" w:before="47" w:after="0"/>
        <w:ind w:left="1053" w:right="0" w:hanging="376"/>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8"/>
          <w:w w:val="105"/>
          <w:sz w:val="22"/>
        </w:rPr>
        <w:t> </w:t>
      </w:r>
      <w:r>
        <w:rPr>
          <w:rFonts w:ascii="Times New Roman" w:hAnsi="Times New Roman"/>
          <w:color w:val="231F20"/>
          <w:w w:val="105"/>
          <w:sz w:val="22"/>
        </w:rPr>
        <w:t>de</w:t>
      </w:r>
      <w:r>
        <w:rPr>
          <w:rFonts w:ascii="Times New Roman" w:hAnsi="Times New Roman"/>
          <w:color w:val="231F20"/>
          <w:spacing w:val="-18"/>
          <w:w w:val="105"/>
          <w:sz w:val="22"/>
        </w:rPr>
        <w:t> </w:t>
      </w:r>
      <w:r>
        <w:rPr>
          <w:rFonts w:ascii="Times New Roman" w:hAnsi="Times New Roman"/>
          <w:color w:val="231F20"/>
          <w:w w:val="105"/>
          <w:sz w:val="22"/>
        </w:rPr>
        <w:t>Planeación</w:t>
      </w:r>
      <w:r>
        <w:rPr>
          <w:rFonts w:ascii="Times New Roman" w:hAnsi="Times New Roman"/>
          <w:color w:val="231F20"/>
          <w:spacing w:val="-18"/>
          <w:w w:val="105"/>
          <w:sz w:val="22"/>
        </w:rPr>
        <w:t> </w:t>
      </w:r>
      <w:r>
        <w:rPr>
          <w:rFonts w:ascii="Times New Roman" w:hAnsi="Times New Roman"/>
          <w:color w:val="231F20"/>
          <w:w w:val="105"/>
          <w:sz w:val="22"/>
        </w:rPr>
        <w:t>y</w:t>
      </w:r>
      <w:r>
        <w:rPr>
          <w:rFonts w:ascii="Times New Roman" w:hAnsi="Times New Roman"/>
          <w:color w:val="231F20"/>
          <w:spacing w:val="-18"/>
          <w:w w:val="105"/>
          <w:sz w:val="22"/>
        </w:rPr>
        <w:t> </w:t>
      </w:r>
      <w:r>
        <w:rPr>
          <w:rFonts w:ascii="Times New Roman" w:hAnsi="Times New Roman"/>
          <w:color w:val="231F20"/>
          <w:w w:val="105"/>
          <w:sz w:val="22"/>
        </w:rPr>
        <w:t>Conducción</w:t>
      </w:r>
      <w:r>
        <w:rPr>
          <w:rFonts w:ascii="Times New Roman" w:hAnsi="Times New Roman"/>
          <w:color w:val="231F20"/>
          <w:spacing w:val="-18"/>
          <w:w w:val="105"/>
          <w:sz w:val="22"/>
        </w:rPr>
        <w:t> </w:t>
      </w:r>
      <w:r>
        <w:rPr>
          <w:rFonts w:ascii="Times New Roman" w:hAnsi="Times New Roman"/>
          <w:color w:val="231F20"/>
          <w:w w:val="105"/>
          <w:sz w:val="22"/>
        </w:rPr>
        <w:t>del</w:t>
      </w:r>
      <w:r>
        <w:rPr>
          <w:rFonts w:ascii="Times New Roman" w:hAnsi="Times New Roman"/>
          <w:color w:val="231F20"/>
          <w:spacing w:val="-18"/>
          <w:w w:val="105"/>
          <w:sz w:val="22"/>
        </w:rPr>
        <w:t> </w:t>
      </w:r>
      <w:r>
        <w:rPr>
          <w:rFonts w:ascii="Times New Roman" w:hAnsi="Times New Roman"/>
          <w:color w:val="231F20"/>
          <w:w w:val="105"/>
          <w:sz w:val="22"/>
        </w:rPr>
        <w:t>Desarrollo</w:t>
      </w:r>
      <w:r>
        <w:rPr>
          <w:rFonts w:ascii="Times New Roman" w:hAnsi="Times New Roman"/>
          <w:color w:val="231F20"/>
          <w:spacing w:val="-18"/>
          <w:w w:val="105"/>
          <w:sz w:val="22"/>
        </w:rPr>
        <w:t> </w:t>
      </w:r>
      <w:r>
        <w:rPr>
          <w:rFonts w:ascii="Times New Roman" w:hAnsi="Times New Roman"/>
          <w:color w:val="231F20"/>
          <w:w w:val="105"/>
          <w:sz w:val="22"/>
        </w:rPr>
        <w:t>Municipal</w:t>
      </w:r>
    </w:p>
    <w:p>
      <w:pPr>
        <w:pStyle w:val="ListParagraph"/>
        <w:numPr>
          <w:ilvl w:val="1"/>
          <w:numId w:val="31"/>
        </w:numPr>
        <w:tabs>
          <w:tab w:pos="1054" w:val="left" w:leader="none"/>
        </w:tabs>
        <w:spacing w:line="240" w:lineRule="auto" w:before="47" w:after="0"/>
        <w:ind w:left="1053" w:right="0" w:hanging="376"/>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Desarrollo</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la</w:t>
      </w:r>
      <w:r>
        <w:rPr>
          <w:rFonts w:ascii="Times New Roman" w:hAnsi="Times New Roman"/>
          <w:color w:val="231F20"/>
          <w:spacing w:val="-15"/>
          <w:w w:val="105"/>
          <w:sz w:val="22"/>
        </w:rPr>
        <w:t> </w:t>
      </w:r>
      <w:r>
        <w:rPr>
          <w:rFonts w:ascii="Times New Roman" w:hAnsi="Times New Roman"/>
          <w:color w:val="231F20"/>
          <w:w w:val="105"/>
          <w:sz w:val="22"/>
        </w:rPr>
        <w:t>Función</w:t>
      </w:r>
      <w:r>
        <w:rPr>
          <w:rFonts w:ascii="Times New Roman" w:hAnsi="Times New Roman"/>
          <w:color w:val="231F20"/>
          <w:spacing w:val="-15"/>
          <w:w w:val="105"/>
          <w:sz w:val="22"/>
        </w:rPr>
        <w:t> </w:t>
      </w:r>
      <w:r>
        <w:rPr>
          <w:rFonts w:ascii="Times New Roman" w:hAnsi="Times New Roman"/>
          <w:color w:val="231F20"/>
          <w:w w:val="105"/>
          <w:sz w:val="22"/>
        </w:rPr>
        <w:t>Pública</w:t>
      </w:r>
      <w:r>
        <w:rPr>
          <w:rFonts w:ascii="Times New Roman" w:hAnsi="Times New Roman"/>
          <w:color w:val="231F20"/>
          <w:spacing w:val="-15"/>
          <w:w w:val="105"/>
          <w:sz w:val="22"/>
        </w:rPr>
        <w:t> </w:t>
      </w:r>
      <w:r>
        <w:rPr>
          <w:rFonts w:ascii="Times New Roman" w:hAnsi="Times New Roman"/>
          <w:color w:val="231F20"/>
          <w:w w:val="105"/>
          <w:sz w:val="22"/>
        </w:rPr>
        <w:t>Municipal</w:t>
      </w:r>
    </w:p>
    <w:p>
      <w:pPr>
        <w:pStyle w:val="ListParagraph"/>
        <w:numPr>
          <w:ilvl w:val="1"/>
          <w:numId w:val="31"/>
        </w:numPr>
        <w:tabs>
          <w:tab w:pos="1026" w:val="left" w:leader="none"/>
        </w:tabs>
        <w:spacing w:line="240" w:lineRule="auto" w:before="47" w:after="0"/>
        <w:ind w:left="1025" w:right="0" w:hanging="348"/>
        <w:jc w:val="left"/>
        <w:rPr>
          <w:rFonts w:ascii="Times New Roman" w:hAnsi="Times New Roman"/>
          <w:sz w:val="22"/>
        </w:rPr>
      </w:pPr>
      <w:r>
        <w:rPr>
          <w:rFonts w:ascii="Times New Roman" w:hAnsi="Times New Roman"/>
          <w:color w:val="231F20"/>
          <w:sz w:val="22"/>
        </w:rPr>
        <w:t>Programa de Fiscalización, Control y Evaluación de la Gestión  </w:t>
      </w:r>
      <w:r>
        <w:rPr>
          <w:rFonts w:ascii="Times New Roman" w:hAnsi="Times New Roman"/>
          <w:color w:val="231F20"/>
          <w:spacing w:val="26"/>
          <w:sz w:val="22"/>
        </w:rPr>
        <w:t> </w:t>
      </w:r>
      <w:r>
        <w:rPr>
          <w:rFonts w:ascii="Times New Roman" w:hAnsi="Times New Roman"/>
          <w:color w:val="231F20"/>
          <w:sz w:val="22"/>
        </w:rPr>
        <w:t>Municipal</w:t>
      </w:r>
    </w:p>
    <w:p>
      <w:pPr>
        <w:pStyle w:val="ListParagraph"/>
        <w:numPr>
          <w:ilvl w:val="1"/>
          <w:numId w:val="31"/>
        </w:numPr>
        <w:tabs>
          <w:tab w:pos="1055" w:val="left" w:leader="none"/>
        </w:tabs>
        <w:spacing w:line="240" w:lineRule="auto" w:before="47" w:after="0"/>
        <w:ind w:left="1054" w:right="0" w:hanging="377"/>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Fortalecimiento</w:t>
      </w:r>
      <w:r>
        <w:rPr>
          <w:rFonts w:ascii="Times New Roman" w:hAnsi="Times New Roman"/>
          <w:color w:val="231F20"/>
          <w:spacing w:val="-14"/>
          <w:w w:val="105"/>
          <w:sz w:val="22"/>
        </w:rPr>
        <w:t> </w:t>
      </w:r>
      <w:r>
        <w:rPr>
          <w:rFonts w:ascii="Times New Roman" w:hAnsi="Times New Roman"/>
          <w:color w:val="231F20"/>
          <w:w w:val="105"/>
          <w:sz w:val="22"/>
        </w:rPr>
        <w:t>de</w:t>
      </w:r>
      <w:r>
        <w:rPr>
          <w:rFonts w:ascii="Times New Roman" w:hAnsi="Times New Roman"/>
          <w:color w:val="231F20"/>
          <w:spacing w:val="-14"/>
          <w:w w:val="105"/>
          <w:sz w:val="22"/>
        </w:rPr>
        <w:t> </w:t>
      </w:r>
      <w:r>
        <w:rPr>
          <w:rFonts w:ascii="Times New Roman" w:hAnsi="Times New Roman"/>
          <w:color w:val="231F20"/>
          <w:w w:val="105"/>
          <w:sz w:val="22"/>
        </w:rPr>
        <w:t>la</w:t>
      </w:r>
      <w:r>
        <w:rPr>
          <w:rFonts w:ascii="Times New Roman" w:hAnsi="Times New Roman"/>
          <w:color w:val="231F20"/>
          <w:spacing w:val="-14"/>
          <w:w w:val="105"/>
          <w:sz w:val="22"/>
        </w:rPr>
        <w:t> </w:t>
      </w:r>
      <w:r>
        <w:rPr>
          <w:rFonts w:ascii="Times New Roman" w:hAnsi="Times New Roman"/>
          <w:color w:val="231F20"/>
          <w:w w:val="105"/>
          <w:sz w:val="22"/>
        </w:rPr>
        <w:t>Hacienda</w:t>
      </w:r>
      <w:r>
        <w:rPr>
          <w:rFonts w:ascii="Times New Roman" w:hAnsi="Times New Roman"/>
          <w:color w:val="231F20"/>
          <w:spacing w:val="-14"/>
          <w:w w:val="105"/>
          <w:sz w:val="22"/>
        </w:rPr>
        <w:t> </w:t>
      </w:r>
      <w:r>
        <w:rPr>
          <w:rFonts w:ascii="Times New Roman" w:hAnsi="Times New Roman"/>
          <w:color w:val="231F20"/>
          <w:w w:val="105"/>
          <w:sz w:val="22"/>
        </w:rPr>
        <w:t>Pública</w:t>
      </w:r>
      <w:r>
        <w:rPr>
          <w:rFonts w:ascii="Times New Roman" w:hAnsi="Times New Roman"/>
          <w:color w:val="231F20"/>
          <w:spacing w:val="-14"/>
          <w:w w:val="105"/>
          <w:sz w:val="22"/>
        </w:rPr>
        <w:t> </w:t>
      </w:r>
      <w:r>
        <w:rPr>
          <w:rFonts w:ascii="Times New Roman" w:hAnsi="Times New Roman"/>
          <w:color w:val="231F20"/>
          <w:w w:val="105"/>
          <w:sz w:val="22"/>
        </w:rPr>
        <w:t>Municipal</w:t>
      </w:r>
    </w:p>
    <w:p>
      <w:pPr>
        <w:spacing w:after="0" w:line="240" w:lineRule="auto"/>
        <w:jc w:val="left"/>
        <w:rPr>
          <w:rFonts w:ascii="Times New Roman" w:hAnsi="Times New Roman"/>
          <w:sz w:val="22"/>
        </w:rPr>
        <w:sectPr>
          <w:pgSz w:w="9640" w:h="12190"/>
          <w:pgMar w:header="0" w:footer="743" w:top="1120" w:bottom="940" w:left="740" w:right="740"/>
        </w:sectPr>
      </w:pPr>
    </w:p>
    <w:p>
      <w:pPr>
        <w:pStyle w:val="BodyText"/>
        <w:spacing w:before="3"/>
        <w:rPr>
          <w:sz w:val="11"/>
        </w:rPr>
      </w:pPr>
    </w:p>
    <w:p>
      <w:pPr>
        <w:spacing w:before="10"/>
        <w:ind w:left="110" w:right="0" w:firstLine="0"/>
        <w:jc w:val="both"/>
        <w:rPr>
          <w:rFonts w:ascii="Palatino Linotype"/>
          <w:i/>
          <w:sz w:val="22"/>
        </w:rPr>
      </w:pPr>
      <w:r>
        <w:rPr>
          <w:rFonts w:ascii="Palatino Linotype"/>
          <w:i/>
          <w:color w:val="231F20"/>
          <w:w w:val="105"/>
          <w:sz w:val="22"/>
        </w:rPr>
        <w:t>Pilar I. Seguridad Social Municipal</w:t>
      </w:r>
    </w:p>
    <w:p>
      <w:pPr>
        <w:pStyle w:val="ListParagraph"/>
        <w:numPr>
          <w:ilvl w:val="1"/>
          <w:numId w:val="31"/>
        </w:numPr>
        <w:tabs>
          <w:tab w:pos="1036" w:val="left" w:leader="none"/>
        </w:tabs>
        <w:spacing w:line="240" w:lineRule="auto" w:before="29" w:after="0"/>
        <w:ind w:left="1035" w:right="0" w:hanging="358"/>
        <w:jc w:val="left"/>
        <w:rPr>
          <w:rFonts w:ascii="Times New Roman"/>
          <w:sz w:val="22"/>
        </w:rPr>
      </w:pPr>
      <w:r>
        <w:rPr>
          <w:rFonts w:ascii="Times New Roman"/>
          <w:color w:val="231F20"/>
          <w:w w:val="105"/>
          <w:sz w:val="22"/>
        </w:rPr>
        <w:t>Programa</w:t>
      </w:r>
      <w:r>
        <w:rPr>
          <w:rFonts w:ascii="Times New Roman"/>
          <w:color w:val="231F20"/>
          <w:spacing w:val="-18"/>
          <w:w w:val="105"/>
          <w:sz w:val="22"/>
        </w:rPr>
        <w:t> </w:t>
      </w:r>
      <w:r>
        <w:rPr>
          <w:rFonts w:ascii="Times New Roman"/>
          <w:color w:val="231F20"/>
          <w:w w:val="105"/>
          <w:sz w:val="22"/>
        </w:rPr>
        <w:t>de</w:t>
      </w:r>
      <w:r>
        <w:rPr>
          <w:rFonts w:ascii="Times New Roman"/>
          <w:color w:val="231F20"/>
          <w:spacing w:val="-18"/>
          <w:w w:val="105"/>
          <w:sz w:val="22"/>
        </w:rPr>
        <w:t> </w:t>
      </w:r>
      <w:r>
        <w:rPr>
          <w:rFonts w:ascii="Times New Roman"/>
          <w:color w:val="231F20"/>
          <w:w w:val="105"/>
          <w:sz w:val="22"/>
        </w:rPr>
        <w:t>Desarrollo</w:t>
      </w:r>
      <w:r>
        <w:rPr>
          <w:rFonts w:ascii="Times New Roman"/>
          <w:color w:val="231F20"/>
          <w:spacing w:val="-18"/>
          <w:w w:val="105"/>
          <w:sz w:val="22"/>
        </w:rPr>
        <w:t> </w:t>
      </w:r>
      <w:r>
        <w:rPr>
          <w:rFonts w:ascii="Times New Roman"/>
          <w:color w:val="231F20"/>
          <w:w w:val="105"/>
          <w:sz w:val="22"/>
        </w:rPr>
        <w:t>Integral</w:t>
      </w:r>
      <w:r>
        <w:rPr>
          <w:rFonts w:ascii="Times New Roman"/>
          <w:color w:val="231F20"/>
          <w:spacing w:val="-18"/>
          <w:w w:val="105"/>
          <w:sz w:val="22"/>
        </w:rPr>
        <w:t> </w:t>
      </w:r>
      <w:r>
        <w:rPr>
          <w:rFonts w:ascii="Times New Roman"/>
          <w:color w:val="231F20"/>
          <w:w w:val="105"/>
          <w:sz w:val="22"/>
        </w:rPr>
        <w:t>de</w:t>
      </w:r>
      <w:r>
        <w:rPr>
          <w:rFonts w:ascii="Times New Roman"/>
          <w:color w:val="231F20"/>
          <w:spacing w:val="-18"/>
          <w:w w:val="105"/>
          <w:sz w:val="22"/>
        </w:rPr>
        <w:t> </w:t>
      </w:r>
      <w:r>
        <w:rPr>
          <w:rFonts w:ascii="Times New Roman"/>
          <w:color w:val="231F20"/>
          <w:w w:val="105"/>
          <w:sz w:val="22"/>
        </w:rPr>
        <w:t>la</w:t>
      </w:r>
      <w:r>
        <w:rPr>
          <w:rFonts w:ascii="Times New Roman"/>
          <w:color w:val="231F20"/>
          <w:spacing w:val="-18"/>
          <w:w w:val="105"/>
          <w:sz w:val="22"/>
        </w:rPr>
        <w:t> </w:t>
      </w:r>
      <w:r>
        <w:rPr>
          <w:rFonts w:ascii="Times New Roman"/>
          <w:color w:val="231F20"/>
          <w:w w:val="105"/>
          <w:sz w:val="22"/>
        </w:rPr>
        <w:t>Familia</w:t>
      </w:r>
      <w:r>
        <w:rPr>
          <w:rFonts w:ascii="Times New Roman"/>
          <w:color w:val="231F20"/>
          <w:spacing w:val="-18"/>
          <w:w w:val="105"/>
          <w:sz w:val="22"/>
        </w:rPr>
        <w:t> </w:t>
      </w:r>
      <w:r>
        <w:rPr>
          <w:rFonts w:ascii="Times New Roman"/>
          <w:color w:val="231F20"/>
          <w:w w:val="105"/>
          <w:sz w:val="22"/>
        </w:rPr>
        <w:t>y</w:t>
      </w:r>
      <w:r>
        <w:rPr>
          <w:rFonts w:ascii="Times New Roman"/>
          <w:color w:val="231F20"/>
          <w:spacing w:val="-18"/>
          <w:w w:val="105"/>
          <w:sz w:val="22"/>
        </w:rPr>
        <w:t> </w:t>
      </w:r>
      <w:r>
        <w:rPr>
          <w:rFonts w:ascii="Times New Roman"/>
          <w:color w:val="231F20"/>
          <w:w w:val="105"/>
          <w:sz w:val="22"/>
        </w:rPr>
        <w:t>Asistencia</w:t>
      </w:r>
      <w:r>
        <w:rPr>
          <w:rFonts w:ascii="Times New Roman"/>
          <w:color w:val="231F20"/>
          <w:spacing w:val="-18"/>
          <w:w w:val="105"/>
          <w:sz w:val="22"/>
        </w:rPr>
        <w:t> </w:t>
      </w:r>
      <w:r>
        <w:rPr>
          <w:rFonts w:ascii="Times New Roman"/>
          <w:color w:val="231F20"/>
          <w:w w:val="105"/>
          <w:sz w:val="22"/>
        </w:rPr>
        <w:t>Social</w:t>
      </w:r>
    </w:p>
    <w:p>
      <w:pPr>
        <w:pStyle w:val="ListParagraph"/>
        <w:numPr>
          <w:ilvl w:val="1"/>
          <w:numId w:val="31"/>
        </w:numPr>
        <w:tabs>
          <w:tab w:pos="1146" w:val="left" w:leader="none"/>
        </w:tabs>
        <w:spacing w:line="240" w:lineRule="auto" w:before="47" w:after="0"/>
        <w:ind w:left="1145" w:right="0" w:hanging="468"/>
        <w:jc w:val="left"/>
        <w:rPr>
          <w:rFonts w:ascii="Times New Roman"/>
          <w:sz w:val="22"/>
        </w:rPr>
      </w:pPr>
      <w:r>
        <w:rPr>
          <w:rFonts w:ascii="Times New Roman"/>
          <w:color w:val="231F20"/>
          <w:w w:val="105"/>
          <w:sz w:val="22"/>
        </w:rPr>
        <w:t>Programa de</w:t>
      </w:r>
      <w:r>
        <w:rPr>
          <w:rFonts w:ascii="Times New Roman"/>
          <w:color w:val="231F20"/>
          <w:spacing w:val="-30"/>
          <w:w w:val="105"/>
          <w:sz w:val="22"/>
        </w:rPr>
        <w:t> </w:t>
      </w:r>
      <w:r>
        <w:rPr>
          <w:rFonts w:ascii="Times New Roman"/>
          <w:color w:val="231F20"/>
          <w:w w:val="105"/>
          <w:sz w:val="22"/>
        </w:rPr>
        <w:t>Salud</w:t>
      </w:r>
    </w:p>
    <w:p>
      <w:pPr>
        <w:pStyle w:val="ListParagraph"/>
        <w:numPr>
          <w:ilvl w:val="1"/>
          <w:numId w:val="31"/>
        </w:numPr>
        <w:tabs>
          <w:tab w:pos="1143" w:val="left" w:leader="none"/>
        </w:tabs>
        <w:spacing w:line="240" w:lineRule="auto" w:before="47" w:after="0"/>
        <w:ind w:left="1142" w:right="0" w:hanging="465"/>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3"/>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Educación</w:t>
      </w:r>
      <w:r>
        <w:rPr>
          <w:rFonts w:ascii="Times New Roman" w:hAnsi="Times New Roman"/>
          <w:color w:val="231F20"/>
          <w:spacing w:val="-13"/>
          <w:w w:val="105"/>
          <w:sz w:val="22"/>
        </w:rPr>
        <w:t> </w:t>
      </w:r>
      <w:r>
        <w:rPr>
          <w:rFonts w:ascii="Times New Roman" w:hAnsi="Times New Roman"/>
          <w:color w:val="231F20"/>
          <w:w w:val="105"/>
          <w:sz w:val="22"/>
        </w:rPr>
        <w:t>y</w:t>
      </w:r>
      <w:r>
        <w:rPr>
          <w:rFonts w:ascii="Times New Roman" w:hAnsi="Times New Roman"/>
          <w:color w:val="231F20"/>
          <w:spacing w:val="-13"/>
          <w:w w:val="105"/>
          <w:sz w:val="22"/>
        </w:rPr>
        <w:t> </w:t>
      </w:r>
      <w:r>
        <w:rPr>
          <w:rFonts w:ascii="Times New Roman" w:hAnsi="Times New Roman"/>
          <w:color w:val="231F20"/>
          <w:w w:val="105"/>
          <w:sz w:val="22"/>
        </w:rPr>
        <w:t>Cultura</w:t>
      </w:r>
    </w:p>
    <w:p>
      <w:pPr>
        <w:pStyle w:val="ListParagraph"/>
        <w:numPr>
          <w:ilvl w:val="1"/>
          <w:numId w:val="31"/>
        </w:numPr>
        <w:tabs>
          <w:tab w:pos="1158" w:val="left" w:leader="none"/>
        </w:tabs>
        <w:spacing w:line="240" w:lineRule="auto" w:before="47" w:after="0"/>
        <w:ind w:left="1157" w:right="0" w:hanging="480"/>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Cultura</w:t>
      </w:r>
      <w:r>
        <w:rPr>
          <w:rFonts w:ascii="Times New Roman" w:hAnsi="Times New Roman"/>
          <w:color w:val="231F20"/>
          <w:spacing w:val="-11"/>
          <w:w w:val="105"/>
          <w:sz w:val="22"/>
        </w:rPr>
        <w:t> </w:t>
      </w:r>
      <w:r>
        <w:rPr>
          <w:rFonts w:ascii="Times New Roman" w:hAnsi="Times New Roman"/>
          <w:color w:val="231F20"/>
          <w:w w:val="105"/>
          <w:sz w:val="22"/>
        </w:rPr>
        <w:t>Física</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Deporte</w:t>
      </w:r>
    </w:p>
    <w:p>
      <w:pPr>
        <w:pStyle w:val="ListParagraph"/>
        <w:numPr>
          <w:ilvl w:val="1"/>
          <w:numId w:val="31"/>
        </w:numPr>
        <w:tabs>
          <w:tab w:pos="1152" w:val="left" w:leader="none"/>
        </w:tabs>
        <w:spacing w:line="240" w:lineRule="auto" w:before="47" w:after="0"/>
        <w:ind w:left="1151" w:right="0" w:hanging="474"/>
        <w:jc w:val="left"/>
        <w:rPr>
          <w:rFonts w:ascii="Times New Roman" w:hAnsi="Times New Roman"/>
          <w:sz w:val="22"/>
        </w:rPr>
      </w:pPr>
      <w:r>
        <w:rPr>
          <w:rFonts w:ascii="Times New Roman" w:hAnsi="Times New Roman"/>
          <w:color w:val="231F20"/>
          <w:sz w:val="22"/>
        </w:rPr>
        <w:t>Programa de Electrificación y Alumbrado  </w:t>
      </w:r>
      <w:r>
        <w:rPr>
          <w:rFonts w:ascii="Times New Roman" w:hAnsi="Times New Roman"/>
          <w:color w:val="231F20"/>
          <w:spacing w:val="9"/>
          <w:sz w:val="22"/>
        </w:rPr>
        <w:t> </w:t>
      </w:r>
      <w:r>
        <w:rPr>
          <w:rFonts w:ascii="Times New Roman" w:hAnsi="Times New Roman"/>
          <w:color w:val="231F20"/>
          <w:sz w:val="22"/>
        </w:rPr>
        <w:t>Público</w:t>
      </w:r>
    </w:p>
    <w:p>
      <w:pPr>
        <w:pStyle w:val="ListParagraph"/>
        <w:numPr>
          <w:ilvl w:val="1"/>
          <w:numId w:val="31"/>
        </w:numPr>
        <w:tabs>
          <w:tab w:pos="1145" w:val="left" w:leader="none"/>
        </w:tabs>
        <w:spacing w:line="240" w:lineRule="auto" w:before="47" w:after="0"/>
        <w:ind w:left="1144" w:right="0" w:hanging="467"/>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2"/>
          <w:w w:val="105"/>
          <w:sz w:val="22"/>
        </w:rPr>
        <w:t> </w:t>
      </w:r>
      <w:r>
        <w:rPr>
          <w:rFonts w:ascii="Times New Roman" w:hAnsi="Times New Roman"/>
          <w:color w:val="231F20"/>
          <w:w w:val="105"/>
          <w:sz w:val="22"/>
        </w:rPr>
        <w:t>Protección</w:t>
      </w:r>
      <w:r>
        <w:rPr>
          <w:rFonts w:ascii="Times New Roman" w:hAnsi="Times New Roman"/>
          <w:color w:val="231F20"/>
          <w:spacing w:val="-12"/>
          <w:w w:val="105"/>
          <w:sz w:val="22"/>
        </w:rPr>
        <w:t> </w:t>
      </w:r>
      <w:r>
        <w:rPr>
          <w:rFonts w:ascii="Times New Roman" w:hAnsi="Times New Roman"/>
          <w:color w:val="231F20"/>
          <w:spacing w:val="2"/>
          <w:w w:val="105"/>
          <w:sz w:val="22"/>
        </w:rPr>
        <w:t>al</w:t>
      </w:r>
      <w:r>
        <w:rPr>
          <w:rFonts w:ascii="Times New Roman" w:hAnsi="Times New Roman"/>
          <w:color w:val="231F20"/>
          <w:spacing w:val="-12"/>
          <w:w w:val="105"/>
          <w:sz w:val="22"/>
        </w:rPr>
        <w:t> </w:t>
      </w:r>
      <w:r>
        <w:rPr>
          <w:rFonts w:ascii="Times New Roman" w:hAnsi="Times New Roman"/>
          <w:color w:val="231F20"/>
          <w:w w:val="105"/>
          <w:sz w:val="22"/>
        </w:rPr>
        <w:t>Ambiente</w:t>
      </w:r>
    </w:p>
    <w:p>
      <w:pPr>
        <w:pStyle w:val="ListParagraph"/>
        <w:numPr>
          <w:ilvl w:val="1"/>
          <w:numId w:val="31"/>
        </w:numPr>
        <w:tabs>
          <w:tab w:pos="1151" w:val="left" w:leader="none"/>
        </w:tabs>
        <w:spacing w:line="240" w:lineRule="auto" w:before="47" w:after="0"/>
        <w:ind w:left="1150" w:right="0" w:hanging="473"/>
        <w:jc w:val="left"/>
        <w:rPr>
          <w:rFonts w:ascii="Times New Roman"/>
          <w:sz w:val="22"/>
        </w:rPr>
      </w:pPr>
      <w:r>
        <w:rPr>
          <w:rFonts w:ascii="Times New Roman"/>
          <w:color w:val="231F20"/>
          <w:w w:val="105"/>
          <w:sz w:val="22"/>
        </w:rPr>
        <w:t>Programa de Desarrollo</w:t>
      </w:r>
      <w:r>
        <w:rPr>
          <w:rFonts w:ascii="Times New Roman"/>
          <w:color w:val="231F20"/>
          <w:spacing w:val="-29"/>
          <w:w w:val="105"/>
          <w:sz w:val="22"/>
        </w:rPr>
        <w:t> </w:t>
      </w:r>
      <w:r>
        <w:rPr>
          <w:rFonts w:ascii="Times New Roman"/>
          <w:color w:val="231F20"/>
          <w:w w:val="105"/>
          <w:sz w:val="22"/>
        </w:rPr>
        <w:t>Urbano</w:t>
      </w:r>
    </w:p>
    <w:p>
      <w:pPr>
        <w:pStyle w:val="ListParagraph"/>
        <w:numPr>
          <w:ilvl w:val="1"/>
          <w:numId w:val="31"/>
        </w:numPr>
        <w:tabs>
          <w:tab w:pos="1147" w:val="left" w:leader="none"/>
        </w:tabs>
        <w:spacing w:line="240" w:lineRule="auto" w:before="47" w:after="0"/>
        <w:ind w:left="1146" w:right="0" w:hanging="469"/>
        <w:jc w:val="left"/>
        <w:rPr>
          <w:rFonts w:ascii="Times New Roman"/>
          <w:sz w:val="22"/>
        </w:rPr>
      </w:pPr>
      <w:r>
        <w:rPr>
          <w:rFonts w:ascii="Times New Roman"/>
          <w:color w:val="231F20"/>
          <w:w w:val="105"/>
          <w:sz w:val="22"/>
        </w:rPr>
        <w:t>Programa</w:t>
      </w:r>
      <w:r>
        <w:rPr>
          <w:rFonts w:ascii="Times New Roman"/>
          <w:color w:val="231F20"/>
          <w:spacing w:val="-15"/>
          <w:w w:val="105"/>
          <w:sz w:val="22"/>
        </w:rPr>
        <w:t> </w:t>
      </w:r>
      <w:r>
        <w:rPr>
          <w:rFonts w:ascii="Times New Roman"/>
          <w:color w:val="231F20"/>
          <w:w w:val="105"/>
          <w:sz w:val="22"/>
        </w:rPr>
        <w:t>de</w:t>
      </w:r>
      <w:r>
        <w:rPr>
          <w:rFonts w:ascii="Times New Roman"/>
          <w:color w:val="231F20"/>
          <w:spacing w:val="-15"/>
          <w:w w:val="105"/>
          <w:sz w:val="22"/>
        </w:rPr>
        <w:t> </w:t>
      </w:r>
      <w:r>
        <w:rPr>
          <w:rFonts w:ascii="Times New Roman"/>
          <w:color w:val="231F20"/>
          <w:w w:val="105"/>
          <w:sz w:val="22"/>
        </w:rPr>
        <w:t>Agua</w:t>
      </w:r>
      <w:r>
        <w:rPr>
          <w:rFonts w:ascii="Times New Roman"/>
          <w:color w:val="231F20"/>
          <w:spacing w:val="-15"/>
          <w:w w:val="105"/>
          <w:sz w:val="22"/>
        </w:rPr>
        <w:t> </w:t>
      </w:r>
      <w:r>
        <w:rPr>
          <w:rFonts w:ascii="Times New Roman"/>
          <w:color w:val="231F20"/>
          <w:w w:val="105"/>
          <w:sz w:val="22"/>
        </w:rPr>
        <w:t>y</w:t>
      </w:r>
      <w:r>
        <w:rPr>
          <w:rFonts w:ascii="Times New Roman"/>
          <w:color w:val="231F20"/>
          <w:spacing w:val="-15"/>
          <w:w w:val="105"/>
          <w:sz w:val="22"/>
        </w:rPr>
        <w:t> </w:t>
      </w:r>
      <w:r>
        <w:rPr>
          <w:rFonts w:ascii="Times New Roman"/>
          <w:color w:val="231F20"/>
          <w:w w:val="105"/>
          <w:sz w:val="22"/>
        </w:rPr>
        <w:t>Saneamiento</w:t>
      </w:r>
    </w:p>
    <w:p>
      <w:pPr>
        <w:pStyle w:val="BodyText"/>
        <w:spacing w:before="10"/>
        <w:rPr>
          <w:sz w:val="27"/>
        </w:rPr>
      </w:pPr>
    </w:p>
    <w:p>
      <w:pPr>
        <w:spacing w:before="1"/>
        <w:ind w:left="110" w:right="0" w:firstLine="0"/>
        <w:jc w:val="both"/>
        <w:rPr>
          <w:rFonts w:ascii="Palatino Linotype" w:hAnsi="Palatino Linotype"/>
          <w:i/>
          <w:sz w:val="22"/>
        </w:rPr>
      </w:pPr>
      <w:r>
        <w:rPr>
          <w:rFonts w:ascii="Palatino Linotype" w:hAnsi="Palatino Linotype"/>
          <w:i/>
          <w:color w:val="231F20"/>
          <w:w w:val="105"/>
          <w:sz w:val="22"/>
        </w:rPr>
        <w:t>Pilar II. Seguridad Económica Municipal</w:t>
      </w:r>
    </w:p>
    <w:p>
      <w:pPr>
        <w:pStyle w:val="ListParagraph"/>
        <w:numPr>
          <w:ilvl w:val="1"/>
          <w:numId w:val="31"/>
        </w:numPr>
        <w:tabs>
          <w:tab w:pos="1124" w:val="left" w:leader="none"/>
        </w:tabs>
        <w:spacing w:line="240" w:lineRule="auto" w:before="29" w:after="0"/>
        <w:ind w:left="1123" w:right="0" w:hanging="446"/>
        <w:jc w:val="left"/>
        <w:rPr>
          <w:rFonts w:ascii="Times New Roman"/>
          <w:sz w:val="22"/>
        </w:rPr>
      </w:pPr>
      <w:r>
        <w:rPr>
          <w:rFonts w:ascii="Times New Roman"/>
          <w:color w:val="231F20"/>
          <w:w w:val="105"/>
          <w:sz w:val="22"/>
        </w:rPr>
        <w:t>Programa de</w:t>
      </w:r>
      <w:r>
        <w:rPr>
          <w:rFonts w:ascii="Times New Roman"/>
          <w:color w:val="231F20"/>
          <w:spacing w:val="-37"/>
          <w:w w:val="105"/>
          <w:sz w:val="22"/>
        </w:rPr>
        <w:t> </w:t>
      </w:r>
      <w:r>
        <w:rPr>
          <w:rFonts w:ascii="Times New Roman"/>
          <w:color w:val="231F20"/>
          <w:w w:val="105"/>
          <w:sz w:val="22"/>
        </w:rPr>
        <w:t>Empleo</w:t>
      </w:r>
    </w:p>
    <w:p>
      <w:pPr>
        <w:pStyle w:val="ListParagraph"/>
        <w:numPr>
          <w:ilvl w:val="1"/>
          <w:numId w:val="31"/>
        </w:numPr>
        <w:tabs>
          <w:tab w:pos="1148" w:val="left" w:leader="none"/>
        </w:tabs>
        <w:spacing w:line="240" w:lineRule="auto" w:before="47" w:after="0"/>
        <w:ind w:left="1147" w:right="0" w:hanging="470"/>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Desarrollo</w:t>
      </w:r>
      <w:r>
        <w:rPr>
          <w:rFonts w:ascii="Times New Roman" w:hAnsi="Times New Roman"/>
          <w:color w:val="231F20"/>
          <w:spacing w:val="-21"/>
          <w:w w:val="105"/>
          <w:sz w:val="22"/>
        </w:rPr>
        <w:t> </w:t>
      </w:r>
      <w:r>
        <w:rPr>
          <w:rFonts w:ascii="Times New Roman" w:hAnsi="Times New Roman"/>
          <w:color w:val="231F20"/>
          <w:w w:val="105"/>
          <w:sz w:val="22"/>
        </w:rPr>
        <w:t>Agrícola</w:t>
      </w:r>
    </w:p>
    <w:p>
      <w:pPr>
        <w:pStyle w:val="ListParagraph"/>
        <w:numPr>
          <w:ilvl w:val="1"/>
          <w:numId w:val="31"/>
        </w:numPr>
        <w:tabs>
          <w:tab w:pos="1140" w:val="left" w:leader="none"/>
        </w:tabs>
        <w:spacing w:line="240" w:lineRule="auto" w:before="47" w:after="0"/>
        <w:ind w:left="1139" w:right="0" w:hanging="462"/>
        <w:jc w:val="left"/>
        <w:rPr>
          <w:rFonts w:ascii="Times New Roman"/>
          <w:sz w:val="22"/>
        </w:rPr>
      </w:pPr>
      <w:r>
        <w:rPr>
          <w:rFonts w:ascii="Times New Roman"/>
          <w:color w:val="231F20"/>
          <w:w w:val="105"/>
          <w:sz w:val="22"/>
        </w:rPr>
        <w:t>Programa de </w:t>
      </w:r>
      <w:r>
        <w:rPr>
          <w:rFonts w:ascii="Times New Roman"/>
          <w:color w:val="231F20"/>
          <w:spacing w:val="-3"/>
          <w:w w:val="105"/>
          <w:sz w:val="22"/>
        </w:rPr>
        <w:t>Fomento</w:t>
      </w:r>
      <w:r>
        <w:rPr>
          <w:rFonts w:ascii="Times New Roman"/>
          <w:color w:val="231F20"/>
          <w:spacing w:val="-11"/>
          <w:w w:val="105"/>
          <w:sz w:val="22"/>
        </w:rPr>
        <w:t> </w:t>
      </w:r>
      <w:r>
        <w:rPr>
          <w:rFonts w:ascii="Times New Roman"/>
          <w:color w:val="231F20"/>
          <w:w w:val="105"/>
          <w:sz w:val="22"/>
        </w:rPr>
        <w:t>Pecuario</w:t>
      </w:r>
    </w:p>
    <w:p>
      <w:pPr>
        <w:pStyle w:val="ListParagraph"/>
        <w:numPr>
          <w:ilvl w:val="1"/>
          <w:numId w:val="31"/>
        </w:numPr>
        <w:tabs>
          <w:tab w:pos="1166" w:val="left" w:leader="none"/>
        </w:tabs>
        <w:spacing w:line="240" w:lineRule="auto" w:before="47" w:after="0"/>
        <w:ind w:left="1165" w:right="0" w:hanging="488"/>
        <w:jc w:val="left"/>
        <w:rPr>
          <w:rFonts w:ascii="Times New Roman"/>
          <w:sz w:val="22"/>
        </w:rPr>
      </w:pPr>
      <w:r>
        <w:rPr>
          <w:rFonts w:ascii="Times New Roman"/>
          <w:color w:val="231F20"/>
          <w:w w:val="105"/>
          <w:sz w:val="22"/>
        </w:rPr>
        <w:t>Programa de Desarrollo</w:t>
      </w:r>
      <w:r>
        <w:rPr>
          <w:rFonts w:ascii="Times New Roman"/>
          <w:color w:val="231F20"/>
          <w:spacing w:val="-41"/>
          <w:w w:val="105"/>
          <w:sz w:val="22"/>
        </w:rPr>
        <w:t> </w:t>
      </w:r>
      <w:r>
        <w:rPr>
          <w:rFonts w:ascii="Times New Roman"/>
          <w:color w:val="231F20"/>
          <w:w w:val="105"/>
          <w:sz w:val="22"/>
        </w:rPr>
        <w:t>Forestal</w:t>
      </w:r>
    </w:p>
    <w:p>
      <w:pPr>
        <w:pStyle w:val="ListParagraph"/>
        <w:numPr>
          <w:ilvl w:val="1"/>
          <w:numId w:val="31"/>
        </w:numPr>
        <w:tabs>
          <w:tab w:pos="1153" w:val="left" w:leader="none"/>
        </w:tabs>
        <w:spacing w:line="240" w:lineRule="auto" w:before="47" w:after="0"/>
        <w:ind w:left="1152" w:right="0" w:hanging="475"/>
        <w:jc w:val="left"/>
        <w:rPr>
          <w:rFonts w:ascii="Times New Roman" w:hAnsi="Times New Roman"/>
          <w:sz w:val="22"/>
        </w:rPr>
      </w:pPr>
      <w:r>
        <w:rPr>
          <w:rFonts w:ascii="Times New Roman" w:hAnsi="Times New Roman"/>
          <w:color w:val="231F20"/>
          <w:w w:val="105"/>
          <w:sz w:val="22"/>
        </w:rPr>
        <w:t>Programa de Promoción</w:t>
      </w:r>
      <w:r>
        <w:rPr>
          <w:rFonts w:ascii="Times New Roman" w:hAnsi="Times New Roman"/>
          <w:color w:val="231F20"/>
          <w:spacing w:val="-8"/>
          <w:w w:val="105"/>
          <w:sz w:val="22"/>
        </w:rPr>
        <w:t> </w:t>
      </w:r>
      <w:r>
        <w:rPr>
          <w:rFonts w:ascii="Times New Roman" w:hAnsi="Times New Roman"/>
          <w:color w:val="231F20"/>
          <w:w w:val="105"/>
          <w:sz w:val="22"/>
        </w:rPr>
        <w:t>Industrial</w:t>
      </w:r>
    </w:p>
    <w:p>
      <w:pPr>
        <w:pStyle w:val="ListParagraph"/>
        <w:numPr>
          <w:ilvl w:val="1"/>
          <w:numId w:val="31"/>
        </w:numPr>
        <w:tabs>
          <w:tab w:pos="1167" w:val="left" w:leader="none"/>
        </w:tabs>
        <w:spacing w:line="240" w:lineRule="auto" w:before="47" w:after="0"/>
        <w:ind w:left="1166" w:right="0" w:hanging="489"/>
        <w:jc w:val="left"/>
        <w:rPr>
          <w:rFonts w:ascii="Times New Roman" w:hAnsi="Times New Roman"/>
          <w:sz w:val="22"/>
        </w:rPr>
      </w:pPr>
      <w:r>
        <w:rPr>
          <w:rFonts w:ascii="Times New Roman" w:hAnsi="Times New Roman"/>
          <w:color w:val="231F20"/>
          <w:w w:val="105"/>
          <w:sz w:val="22"/>
        </w:rPr>
        <w:t>Programa de Promoción</w:t>
      </w:r>
      <w:r>
        <w:rPr>
          <w:rFonts w:ascii="Times New Roman" w:hAnsi="Times New Roman"/>
          <w:color w:val="231F20"/>
          <w:spacing w:val="-27"/>
          <w:w w:val="105"/>
          <w:sz w:val="22"/>
        </w:rPr>
        <w:t> </w:t>
      </w:r>
      <w:r>
        <w:rPr>
          <w:rFonts w:ascii="Times New Roman" w:hAnsi="Times New Roman"/>
          <w:color w:val="231F20"/>
          <w:spacing w:val="2"/>
          <w:w w:val="105"/>
          <w:sz w:val="22"/>
        </w:rPr>
        <w:t>Artesanal</w:t>
      </w:r>
    </w:p>
    <w:p>
      <w:pPr>
        <w:pStyle w:val="ListParagraph"/>
        <w:numPr>
          <w:ilvl w:val="1"/>
          <w:numId w:val="31"/>
        </w:numPr>
        <w:tabs>
          <w:tab w:pos="1164" w:val="left" w:leader="none"/>
        </w:tabs>
        <w:spacing w:line="240" w:lineRule="auto" w:before="47" w:after="0"/>
        <w:ind w:left="1163" w:right="0" w:hanging="486"/>
        <w:jc w:val="left"/>
        <w:rPr>
          <w:rFonts w:ascii="Times New Roman" w:hAnsi="Times New Roman"/>
          <w:sz w:val="22"/>
        </w:rPr>
      </w:pPr>
      <w:r>
        <w:rPr>
          <w:rFonts w:ascii="Times New Roman" w:hAnsi="Times New Roman"/>
          <w:color w:val="231F20"/>
          <w:w w:val="105"/>
          <w:sz w:val="22"/>
        </w:rPr>
        <w:t>Programa de Modernización</w:t>
      </w:r>
      <w:r>
        <w:rPr>
          <w:rFonts w:ascii="Times New Roman" w:hAnsi="Times New Roman"/>
          <w:color w:val="231F20"/>
          <w:spacing w:val="-37"/>
          <w:w w:val="105"/>
          <w:sz w:val="22"/>
        </w:rPr>
        <w:t> </w:t>
      </w:r>
      <w:r>
        <w:rPr>
          <w:rFonts w:ascii="Times New Roman" w:hAnsi="Times New Roman"/>
          <w:color w:val="231F20"/>
          <w:w w:val="105"/>
          <w:sz w:val="22"/>
        </w:rPr>
        <w:t>Comercial</w:t>
      </w:r>
    </w:p>
    <w:p>
      <w:pPr>
        <w:pStyle w:val="ListParagraph"/>
        <w:numPr>
          <w:ilvl w:val="1"/>
          <w:numId w:val="31"/>
        </w:numPr>
        <w:tabs>
          <w:tab w:pos="1167" w:val="left" w:leader="none"/>
        </w:tabs>
        <w:spacing w:line="240" w:lineRule="auto" w:before="47" w:after="0"/>
        <w:ind w:left="1166" w:right="0" w:hanging="489"/>
        <w:jc w:val="left"/>
        <w:rPr>
          <w:rFonts w:ascii="Times New Roman" w:hAnsi="Times New Roman"/>
          <w:sz w:val="22"/>
        </w:rPr>
      </w:pPr>
      <w:r>
        <w:rPr>
          <w:rFonts w:ascii="Times New Roman" w:hAnsi="Times New Roman"/>
          <w:color w:val="231F20"/>
          <w:w w:val="105"/>
          <w:sz w:val="22"/>
        </w:rPr>
        <w:t>Programa de </w:t>
      </w:r>
      <w:r>
        <w:rPr>
          <w:rFonts w:ascii="Times New Roman" w:hAnsi="Times New Roman"/>
          <w:color w:val="231F20"/>
          <w:spacing w:val="-3"/>
          <w:w w:val="105"/>
          <w:sz w:val="22"/>
        </w:rPr>
        <w:t>Fomento</w:t>
      </w:r>
      <w:r>
        <w:rPr>
          <w:rFonts w:ascii="Times New Roman" w:hAnsi="Times New Roman"/>
          <w:color w:val="231F20"/>
          <w:spacing w:val="-9"/>
          <w:w w:val="105"/>
          <w:sz w:val="22"/>
        </w:rPr>
        <w:t> </w:t>
      </w:r>
      <w:r>
        <w:rPr>
          <w:rFonts w:ascii="Times New Roman" w:hAnsi="Times New Roman"/>
          <w:color w:val="231F20"/>
          <w:w w:val="105"/>
          <w:sz w:val="22"/>
        </w:rPr>
        <w:t>Turístico</w:t>
      </w:r>
    </w:p>
    <w:p>
      <w:pPr>
        <w:pStyle w:val="BodyText"/>
        <w:spacing w:before="10"/>
        <w:rPr>
          <w:sz w:val="27"/>
        </w:rPr>
      </w:pPr>
    </w:p>
    <w:p>
      <w:pPr>
        <w:spacing w:before="1"/>
        <w:ind w:left="110" w:right="0" w:firstLine="0"/>
        <w:jc w:val="both"/>
        <w:rPr>
          <w:rFonts w:ascii="Palatino Linotype" w:hAnsi="Palatino Linotype"/>
          <w:i/>
          <w:sz w:val="22"/>
        </w:rPr>
      </w:pPr>
      <w:r>
        <w:rPr>
          <w:rFonts w:ascii="Palatino Linotype" w:hAnsi="Palatino Linotype"/>
          <w:i/>
          <w:color w:val="231F20"/>
          <w:w w:val="105"/>
          <w:sz w:val="22"/>
        </w:rPr>
        <w:t>Pilar III. Seguridad Pública Municipal</w:t>
      </w:r>
    </w:p>
    <w:p>
      <w:pPr>
        <w:pStyle w:val="ListParagraph"/>
        <w:numPr>
          <w:ilvl w:val="1"/>
          <w:numId w:val="31"/>
        </w:numPr>
        <w:tabs>
          <w:tab w:pos="1163" w:val="left" w:leader="none"/>
        </w:tabs>
        <w:spacing w:line="240" w:lineRule="auto" w:before="29" w:after="0"/>
        <w:ind w:left="1162" w:right="0" w:hanging="485"/>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5"/>
          <w:w w:val="105"/>
          <w:sz w:val="22"/>
        </w:rPr>
        <w:t> </w:t>
      </w:r>
      <w:r>
        <w:rPr>
          <w:rFonts w:ascii="Times New Roman" w:hAnsi="Times New Roman"/>
          <w:color w:val="231F20"/>
          <w:w w:val="105"/>
          <w:sz w:val="22"/>
        </w:rPr>
        <w:t>de</w:t>
      </w:r>
      <w:r>
        <w:rPr>
          <w:rFonts w:ascii="Times New Roman" w:hAnsi="Times New Roman"/>
          <w:color w:val="231F20"/>
          <w:spacing w:val="-15"/>
          <w:w w:val="105"/>
          <w:sz w:val="22"/>
        </w:rPr>
        <w:t> </w:t>
      </w:r>
      <w:r>
        <w:rPr>
          <w:rFonts w:ascii="Times New Roman" w:hAnsi="Times New Roman"/>
          <w:color w:val="231F20"/>
          <w:w w:val="105"/>
          <w:sz w:val="22"/>
        </w:rPr>
        <w:t>Seguridad</w:t>
      </w:r>
      <w:r>
        <w:rPr>
          <w:rFonts w:ascii="Times New Roman" w:hAnsi="Times New Roman"/>
          <w:color w:val="231F20"/>
          <w:spacing w:val="-15"/>
          <w:w w:val="105"/>
          <w:sz w:val="22"/>
        </w:rPr>
        <w:t> </w:t>
      </w:r>
      <w:r>
        <w:rPr>
          <w:rFonts w:ascii="Times New Roman" w:hAnsi="Times New Roman"/>
          <w:color w:val="231F20"/>
          <w:w w:val="105"/>
          <w:sz w:val="22"/>
        </w:rPr>
        <w:t>Pública</w:t>
      </w:r>
      <w:r>
        <w:rPr>
          <w:rFonts w:ascii="Times New Roman" w:hAnsi="Times New Roman"/>
          <w:color w:val="231F20"/>
          <w:spacing w:val="-15"/>
          <w:w w:val="105"/>
          <w:sz w:val="22"/>
        </w:rPr>
        <w:t> </w:t>
      </w:r>
      <w:r>
        <w:rPr>
          <w:rFonts w:ascii="Times New Roman" w:hAnsi="Times New Roman"/>
          <w:color w:val="231F20"/>
          <w:w w:val="105"/>
          <w:sz w:val="22"/>
        </w:rPr>
        <w:t>y</w:t>
      </w:r>
      <w:r>
        <w:rPr>
          <w:rFonts w:ascii="Times New Roman" w:hAnsi="Times New Roman"/>
          <w:color w:val="231F20"/>
          <w:spacing w:val="-15"/>
          <w:w w:val="105"/>
          <w:sz w:val="22"/>
        </w:rPr>
        <w:t> </w:t>
      </w:r>
      <w:r>
        <w:rPr>
          <w:rFonts w:ascii="Times New Roman" w:hAnsi="Times New Roman"/>
          <w:color w:val="231F20"/>
          <w:w w:val="105"/>
          <w:sz w:val="22"/>
        </w:rPr>
        <w:t>Tránsito</w:t>
      </w:r>
    </w:p>
    <w:p>
      <w:pPr>
        <w:pStyle w:val="ListParagraph"/>
        <w:numPr>
          <w:ilvl w:val="1"/>
          <w:numId w:val="31"/>
        </w:numPr>
        <w:tabs>
          <w:tab w:pos="1167" w:val="left" w:leader="none"/>
        </w:tabs>
        <w:spacing w:line="240" w:lineRule="auto" w:before="47" w:after="0"/>
        <w:ind w:left="1166" w:right="0" w:hanging="489"/>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Modernización</w:t>
      </w:r>
      <w:r>
        <w:rPr>
          <w:rFonts w:ascii="Times New Roman" w:hAnsi="Times New Roman"/>
          <w:color w:val="231F20"/>
          <w:spacing w:val="-11"/>
          <w:w w:val="105"/>
          <w:sz w:val="22"/>
        </w:rPr>
        <w:t> </w:t>
      </w:r>
      <w:r>
        <w:rPr>
          <w:rFonts w:ascii="Times New Roman" w:hAnsi="Times New Roman"/>
          <w:color w:val="231F20"/>
          <w:w w:val="105"/>
          <w:sz w:val="22"/>
        </w:rPr>
        <w:t>de</w:t>
      </w:r>
      <w:r>
        <w:rPr>
          <w:rFonts w:ascii="Times New Roman" w:hAnsi="Times New Roman"/>
          <w:color w:val="231F20"/>
          <w:spacing w:val="-11"/>
          <w:w w:val="105"/>
          <w:sz w:val="22"/>
        </w:rPr>
        <w:t> </w:t>
      </w:r>
      <w:r>
        <w:rPr>
          <w:rFonts w:ascii="Times New Roman" w:hAnsi="Times New Roman"/>
          <w:color w:val="231F20"/>
          <w:w w:val="105"/>
          <w:sz w:val="22"/>
        </w:rPr>
        <w:t>las</w:t>
      </w:r>
      <w:r>
        <w:rPr>
          <w:rFonts w:ascii="Times New Roman" w:hAnsi="Times New Roman"/>
          <w:color w:val="231F20"/>
          <w:spacing w:val="-11"/>
          <w:w w:val="105"/>
          <w:sz w:val="22"/>
        </w:rPr>
        <w:t> </w:t>
      </w:r>
      <w:r>
        <w:rPr>
          <w:rFonts w:ascii="Times New Roman" w:hAnsi="Times New Roman"/>
          <w:color w:val="231F20"/>
          <w:w w:val="105"/>
          <w:sz w:val="22"/>
        </w:rPr>
        <w:t>Comunicaciones</w:t>
      </w:r>
      <w:r>
        <w:rPr>
          <w:rFonts w:ascii="Times New Roman" w:hAnsi="Times New Roman"/>
          <w:color w:val="231F20"/>
          <w:spacing w:val="-11"/>
          <w:w w:val="105"/>
          <w:sz w:val="22"/>
        </w:rPr>
        <w:t> </w:t>
      </w:r>
      <w:r>
        <w:rPr>
          <w:rFonts w:ascii="Times New Roman" w:hAnsi="Times New Roman"/>
          <w:color w:val="231F20"/>
          <w:w w:val="105"/>
          <w:sz w:val="22"/>
        </w:rPr>
        <w:t>y</w:t>
      </w:r>
      <w:r>
        <w:rPr>
          <w:rFonts w:ascii="Times New Roman" w:hAnsi="Times New Roman"/>
          <w:color w:val="231F20"/>
          <w:spacing w:val="-11"/>
          <w:w w:val="105"/>
          <w:sz w:val="22"/>
        </w:rPr>
        <w:t> </w:t>
      </w:r>
      <w:r>
        <w:rPr>
          <w:rFonts w:ascii="Times New Roman" w:hAnsi="Times New Roman"/>
          <w:color w:val="231F20"/>
          <w:w w:val="105"/>
          <w:sz w:val="22"/>
        </w:rPr>
        <w:t>el</w:t>
      </w:r>
      <w:r>
        <w:rPr>
          <w:rFonts w:ascii="Times New Roman" w:hAnsi="Times New Roman"/>
          <w:color w:val="231F20"/>
          <w:spacing w:val="-11"/>
          <w:w w:val="105"/>
          <w:sz w:val="22"/>
        </w:rPr>
        <w:t> </w:t>
      </w:r>
      <w:r>
        <w:rPr>
          <w:rFonts w:ascii="Times New Roman" w:hAnsi="Times New Roman"/>
          <w:color w:val="231F20"/>
          <w:w w:val="105"/>
          <w:sz w:val="22"/>
        </w:rPr>
        <w:t>Transporte</w:t>
      </w:r>
    </w:p>
    <w:p>
      <w:pPr>
        <w:pStyle w:val="ListParagraph"/>
        <w:numPr>
          <w:ilvl w:val="1"/>
          <w:numId w:val="31"/>
        </w:numPr>
        <w:tabs>
          <w:tab w:pos="1140" w:val="left" w:leader="none"/>
        </w:tabs>
        <w:spacing w:line="240" w:lineRule="auto" w:before="47" w:after="0"/>
        <w:ind w:left="1139" w:right="0" w:hanging="462"/>
        <w:jc w:val="left"/>
        <w:rPr>
          <w:rFonts w:ascii="Times New Roman" w:hAnsi="Times New Roman"/>
          <w:sz w:val="22"/>
        </w:rPr>
      </w:pPr>
      <w:r>
        <w:rPr>
          <w:rFonts w:ascii="Times New Roman" w:hAnsi="Times New Roman"/>
          <w:color w:val="231F20"/>
          <w:w w:val="105"/>
          <w:sz w:val="22"/>
        </w:rPr>
        <w:t>Programa</w:t>
      </w:r>
      <w:r>
        <w:rPr>
          <w:rFonts w:ascii="Times New Roman" w:hAnsi="Times New Roman"/>
          <w:color w:val="231F20"/>
          <w:spacing w:val="-17"/>
          <w:w w:val="105"/>
          <w:sz w:val="22"/>
        </w:rPr>
        <w:t> </w:t>
      </w:r>
      <w:r>
        <w:rPr>
          <w:rFonts w:ascii="Times New Roman" w:hAnsi="Times New Roman"/>
          <w:color w:val="231F20"/>
          <w:w w:val="105"/>
          <w:sz w:val="22"/>
        </w:rPr>
        <w:t>de</w:t>
      </w:r>
      <w:r>
        <w:rPr>
          <w:rFonts w:ascii="Times New Roman" w:hAnsi="Times New Roman"/>
          <w:color w:val="231F20"/>
          <w:spacing w:val="-17"/>
          <w:w w:val="105"/>
          <w:sz w:val="22"/>
        </w:rPr>
        <w:t> </w:t>
      </w:r>
      <w:r>
        <w:rPr>
          <w:rFonts w:ascii="Times New Roman" w:hAnsi="Times New Roman"/>
          <w:color w:val="231F20"/>
          <w:w w:val="105"/>
          <w:sz w:val="22"/>
        </w:rPr>
        <w:t>Protección</w:t>
      </w:r>
      <w:r>
        <w:rPr>
          <w:rFonts w:ascii="Times New Roman" w:hAnsi="Times New Roman"/>
          <w:color w:val="231F20"/>
          <w:spacing w:val="-17"/>
          <w:w w:val="105"/>
          <w:sz w:val="22"/>
        </w:rPr>
        <w:t> </w:t>
      </w:r>
      <w:r>
        <w:rPr>
          <w:rFonts w:ascii="Times New Roman" w:hAnsi="Times New Roman"/>
          <w:color w:val="231F20"/>
          <w:w w:val="105"/>
          <w:sz w:val="22"/>
        </w:rPr>
        <w:t>Civil</w:t>
      </w:r>
    </w:p>
    <w:p>
      <w:pPr>
        <w:pStyle w:val="BodyText"/>
        <w:spacing w:before="2"/>
        <w:rPr>
          <w:sz w:val="30"/>
        </w:rPr>
      </w:pPr>
    </w:p>
    <w:p>
      <w:pPr>
        <w:pStyle w:val="BodyText"/>
        <w:spacing w:line="285" w:lineRule="auto"/>
        <w:ind w:left="110" w:right="108"/>
        <w:jc w:val="both"/>
      </w:pPr>
      <w:r>
        <w:rPr>
          <w:color w:val="231F20"/>
          <w:w w:val="105"/>
        </w:rPr>
        <w:t>Así pues, son 27 los programas que se plantean como ejes de trabajo del gobierno pe- tista en Ozumba, los cuales representan una oportunidad para fomentar el desarrollo municipal</w:t>
      </w:r>
    </w:p>
    <w:p>
      <w:pPr>
        <w:pStyle w:val="ListParagraph"/>
        <w:numPr>
          <w:ilvl w:val="1"/>
          <w:numId w:val="23"/>
        </w:numPr>
        <w:tabs>
          <w:tab w:pos="1010" w:val="left" w:leader="none"/>
        </w:tabs>
        <w:spacing w:line="240" w:lineRule="auto" w:before="1" w:after="0"/>
        <w:ind w:left="1009" w:right="0" w:hanging="332"/>
        <w:jc w:val="left"/>
        <w:rPr>
          <w:rFonts w:ascii="Times New Roman" w:hAnsi="Times New Roman"/>
          <w:color w:val="231F20"/>
          <w:sz w:val="22"/>
        </w:rPr>
      </w:pPr>
      <w:r>
        <w:rPr>
          <w:rFonts w:ascii="Times New Roman" w:hAnsi="Times New Roman"/>
          <w:color w:val="231F20"/>
          <w:sz w:val="22"/>
        </w:rPr>
        <w:t>Reglamentación </w:t>
      </w:r>
      <w:r>
        <w:rPr>
          <w:rFonts w:ascii="Times New Roman" w:hAnsi="Times New Roman"/>
          <w:color w:val="231F20"/>
          <w:spacing w:val="14"/>
          <w:sz w:val="22"/>
        </w:rPr>
        <w:t> </w:t>
      </w:r>
      <w:r>
        <w:rPr>
          <w:rFonts w:ascii="Times New Roman" w:hAnsi="Times New Roman"/>
          <w:color w:val="231F20"/>
          <w:sz w:val="22"/>
        </w:rPr>
        <w:t>Municipal</w:t>
      </w:r>
    </w:p>
    <w:p>
      <w:pPr>
        <w:spacing w:after="0" w:line="240" w:lineRule="auto"/>
        <w:jc w:val="left"/>
        <w:rPr>
          <w:rFonts w:ascii="Times New Roman" w:hAnsi="Times New Roman"/>
          <w:sz w:val="22"/>
        </w:rPr>
        <w:sectPr>
          <w:pgSz w:w="9640" w:h="12190"/>
          <w:pgMar w:header="0" w:footer="743" w:top="1120" w:bottom="940" w:left="740" w:right="740"/>
        </w:sectPr>
      </w:pPr>
    </w:p>
    <w:p>
      <w:pPr>
        <w:pStyle w:val="BodyText"/>
        <w:spacing w:before="3"/>
        <w:rPr>
          <w:sz w:val="11"/>
        </w:rPr>
      </w:pPr>
    </w:p>
    <w:p>
      <w:pPr>
        <w:pStyle w:val="BodyText"/>
        <w:spacing w:line="285" w:lineRule="auto" w:before="36"/>
        <w:ind w:left="677" w:right="3793" w:hanging="567"/>
      </w:pPr>
      <w:r>
        <w:rPr>
          <w:color w:val="231F20"/>
          <w:w w:val="105"/>
        </w:rPr>
        <w:t>La reglamentación municipal es la siguiente: Bando de Policía y Buen Gobierno Reglamento de Obra Pública Municipal Reglamento de Planeación</w:t>
      </w:r>
    </w:p>
    <w:p>
      <w:pPr>
        <w:pStyle w:val="BodyText"/>
        <w:spacing w:line="285" w:lineRule="auto" w:before="1"/>
        <w:ind w:left="677" w:right="3730"/>
      </w:pPr>
      <w:r>
        <w:rPr>
          <w:color w:val="231F20"/>
          <w:w w:val="105"/>
        </w:rPr>
        <w:t>Reglamento de Protección Civil Reglamento de Agua Potable Reglamento de Drenaje y Alcantarillado Reglamento de Seguridad Pública Reglamento de Tránsito y Vialidad Reglamento de Mercados</w:t>
      </w:r>
    </w:p>
    <w:p>
      <w:pPr>
        <w:pStyle w:val="BodyText"/>
        <w:spacing w:line="285" w:lineRule="auto" w:before="1"/>
        <w:ind w:left="677" w:right="3678"/>
      </w:pPr>
      <w:r>
        <w:rPr>
          <w:color w:val="231F20"/>
          <w:w w:val="105"/>
        </w:rPr>
        <w:t>Reglamento de Panteones y Cementerios Reglamento de Rastros</w:t>
      </w:r>
    </w:p>
    <w:p>
      <w:pPr>
        <w:pStyle w:val="BodyText"/>
        <w:spacing w:line="285" w:lineRule="auto" w:before="1"/>
        <w:ind w:left="677" w:right="5256"/>
      </w:pPr>
      <w:r>
        <w:rPr>
          <w:color w:val="231F20"/>
          <w:w w:val="105"/>
        </w:rPr>
        <w:t>Reglamento de Parques Reglamento de Jardines</w:t>
      </w:r>
    </w:p>
    <w:p>
      <w:pPr>
        <w:pStyle w:val="BodyText"/>
        <w:spacing w:before="1"/>
        <w:rPr>
          <w:sz w:val="26"/>
        </w:rPr>
      </w:pPr>
    </w:p>
    <w:p>
      <w:pPr>
        <w:pStyle w:val="BodyText"/>
        <w:spacing w:line="285" w:lineRule="auto"/>
        <w:ind w:left="110" w:right="108"/>
        <w:jc w:val="both"/>
      </w:pPr>
      <w:r>
        <w:rPr>
          <w:color w:val="231F20"/>
          <w:w w:val="105"/>
        </w:rPr>
        <w:t>Como</w:t>
      </w:r>
      <w:r>
        <w:rPr>
          <w:color w:val="231F20"/>
          <w:spacing w:val="-15"/>
          <w:w w:val="105"/>
        </w:rPr>
        <w:t> </w:t>
      </w:r>
      <w:r>
        <w:rPr>
          <w:color w:val="231F20"/>
          <w:w w:val="105"/>
        </w:rPr>
        <w:t>se</w:t>
      </w:r>
      <w:r>
        <w:rPr>
          <w:color w:val="231F20"/>
          <w:spacing w:val="-15"/>
          <w:w w:val="105"/>
        </w:rPr>
        <w:t> </w:t>
      </w:r>
      <w:r>
        <w:rPr>
          <w:color w:val="231F20"/>
          <w:w w:val="105"/>
        </w:rPr>
        <w:t>puede</w:t>
      </w:r>
      <w:r>
        <w:rPr>
          <w:color w:val="231F20"/>
          <w:spacing w:val="-15"/>
          <w:w w:val="105"/>
        </w:rPr>
        <w:t> </w:t>
      </w:r>
      <w:r>
        <w:rPr>
          <w:color w:val="231F20"/>
          <w:w w:val="105"/>
        </w:rPr>
        <w:t>observar,</w:t>
      </w:r>
      <w:r>
        <w:rPr>
          <w:color w:val="231F20"/>
          <w:spacing w:val="-15"/>
          <w:w w:val="105"/>
        </w:rPr>
        <w:t> </w:t>
      </w:r>
      <w:r>
        <w:rPr>
          <w:color w:val="231F20"/>
          <w:w w:val="105"/>
        </w:rPr>
        <w:t>la</w:t>
      </w:r>
      <w:r>
        <w:rPr>
          <w:color w:val="231F20"/>
          <w:spacing w:val="-15"/>
          <w:w w:val="105"/>
        </w:rPr>
        <w:t> </w:t>
      </w:r>
      <w:r>
        <w:rPr>
          <w:color w:val="231F20"/>
          <w:w w:val="105"/>
        </w:rPr>
        <w:t>reglamentación</w:t>
      </w:r>
      <w:r>
        <w:rPr>
          <w:color w:val="231F20"/>
          <w:spacing w:val="-15"/>
          <w:w w:val="105"/>
        </w:rPr>
        <w:t> </w:t>
      </w:r>
      <w:r>
        <w:rPr>
          <w:color w:val="231F20"/>
          <w:w w:val="105"/>
        </w:rPr>
        <w:t>municipal</w:t>
      </w:r>
      <w:r>
        <w:rPr>
          <w:color w:val="231F20"/>
          <w:spacing w:val="-15"/>
          <w:w w:val="105"/>
        </w:rPr>
        <w:t> </w:t>
      </w:r>
      <w:r>
        <w:rPr>
          <w:color w:val="231F20"/>
          <w:w w:val="105"/>
        </w:rPr>
        <w:t>es</w:t>
      </w:r>
      <w:r>
        <w:rPr>
          <w:color w:val="231F20"/>
          <w:spacing w:val="-15"/>
          <w:w w:val="105"/>
        </w:rPr>
        <w:t> </w:t>
      </w:r>
      <w:r>
        <w:rPr>
          <w:color w:val="231F20"/>
          <w:w w:val="105"/>
        </w:rPr>
        <w:t>importante</w:t>
      </w:r>
      <w:r>
        <w:rPr>
          <w:color w:val="231F20"/>
          <w:spacing w:val="-15"/>
          <w:w w:val="105"/>
        </w:rPr>
        <w:t> </w:t>
      </w:r>
      <w:r>
        <w:rPr>
          <w:color w:val="231F20"/>
          <w:w w:val="105"/>
        </w:rPr>
        <w:t>y</w:t>
      </w:r>
      <w:r>
        <w:rPr>
          <w:color w:val="231F20"/>
          <w:spacing w:val="-15"/>
          <w:w w:val="105"/>
        </w:rPr>
        <w:t> </w:t>
      </w:r>
      <w:r>
        <w:rPr>
          <w:color w:val="231F20"/>
          <w:w w:val="105"/>
        </w:rPr>
        <w:t>con</w:t>
      </w:r>
      <w:r>
        <w:rPr>
          <w:color w:val="231F20"/>
          <w:spacing w:val="-15"/>
          <w:w w:val="105"/>
        </w:rPr>
        <w:t> </w:t>
      </w:r>
      <w:r>
        <w:rPr>
          <w:color w:val="231F20"/>
          <w:w w:val="105"/>
        </w:rPr>
        <w:t>su</w:t>
      </w:r>
      <w:r>
        <w:rPr>
          <w:color w:val="231F20"/>
          <w:spacing w:val="-15"/>
          <w:w w:val="105"/>
        </w:rPr>
        <w:t> </w:t>
      </w:r>
      <w:r>
        <w:rPr>
          <w:color w:val="231F20"/>
          <w:w w:val="105"/>
        </w:rPr>
        <w:t>adecuada aplicación puede contribuir a lograr una convivencia pacífica entre los habitantes del municipio.</w:t>
      </w:r>
    </w:p>
    <w:p>
      <w:pPr>
        <w:pStyle w:val="BodyText"/>
        <w:spacing w:before="9"/>
      </w:pPr>
    </w:p>
    <w:p>
      <w:pPr>
        <w:pStyle w:val="Heading3"/>
        <w:numPr>
          <w:ilvl w:val="1"/>
          <w:numId w:val="23"/>
        </w:numPr>
        <w:tabs>
          <w:tab w:pos="523" w:val="left" w:leader="none"/>
        </w:tabs>
        <w:spacing w:line="240" w:lineRule="auto" w:before="0" w:after="0"/>
        <w:ind w:left="522" w:right="0" w:hanging="412"/>
        <w:jc w:val="both"/>
        <w:rPr>
          <w:color w:val="231F20"/>
        </w:rPr>
      </w:pPr>
      <w:r>
        <w:rPr>
          <w:color w:val="231F20"/>
        </w:rPr>
        <w:t>Bando</w:t>
      </w:r>
      <w:r>
        <w:rPr>
          <w:color w:val="231F20"/>
          <w:spacing w:val="45"/>
        </w:rPr>
        <w:t> </w:t>
      </w:r>
      <w:r>
        <w:rPr>
          <w:color w:val="231F20"/>
        </w:rPr>
        <w:t>Municipal.</w:t>
      </w:r>
    </w:p>
    <w:p>
      <w:pPr>
        <w:pStyle w:val="BodyText"/>
        <w:spacing w:line="285" w:lineRule="auto" w:before="38"/>
        <w:ind w:left="110" w:right="107"/>
        <w:jc w:val="both"/>
      </w:pPr>
      <w:r>
        <w:rPr>
          <w:color w:val="231F20"/>
          <w:w w:val="105"/>
        </w:rPr>
        <w:t>La reglamentación en el Bando Municipal es integral y toma en cuenta los aspectos relevantes</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actividades</w:t>
      </w:r>
      <w:r>
        <w:rPr>
          <w:color w:val="231F20"/>
          <w:spacing w:val="-12"/>
          <w:w w:val="105"/>
        </w:rPr>
        <w:t> </w:t>
      </w:r>
      <w:r>
        <w:rPr>
          <w:color w:val="231F20"/>
          <w:w w:val="105"/>
        </w:rPr>
        <w:t>importantes</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gobierno</w:t>
      </w:r>
      <w:r>
        <w:rPr>
          <w:color w:val="231F20"/>
          <w:spacing w:val="-12"/>
          <w:w w:val="105"/>
        </w:rPr>
        <w:t> </w:t>
      </w:r>
      <w:r>
        <w:rPr>
          <w:color w:val="231F20"/>
          <w:w w:val="105"/>
        </w:rPr>
        <w:t>municipal</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w w:val="105"/>
        </w:rPr>
        <w:t>relación</w:t>
      </w:r>
      <w:r>
        <w:rPr>
          <w:color w:val="231F20"/>
          <w:spacing w:val="-12"/>
          <w:w w:val="105"/>
        </w:rPr>
        <w:t> </w:t>
      </w:r>
      <w:r>
        <w:rPr>
          <w:color w:val="231F20"/>
          <w:w w:val="105"/>
        </w:rPr>
        <w:t>con la</w:t>
      </w:r>
      <w:r>
        <w:rPr>
          <w:color w:val="231F20"/>
          <w:spacing w:val="-15"/>
          <w:w w:val="105"/>
        </w:rPr>
        <w:t> </w:t>
      </w:r>
      <w:r>
        <w:rPr>
          <w:color w:val="231F20"/>
          <w:w w:val="105"/>
        </w:rPr>
        <w:t>sociedad,</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una</w:t>
      </w:r>
      <w:r>
        <w:rPr>
          <w:color w:val="231F20"/>
          <w:spacing w:val="-15"/>
          <w:w w:val="105"/>
        </w:rPr>
        <w:t> </w:t>
      </w:r>
      <w:r>
        <w:rPr>
          <w:color w:val="231F20"/>
          <w:w w:val="105"/>
        </w:rPr>
        <w:t>regulación</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comportamiento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funcionarios</w:t>
      </w:r>
      <w:r>
        <w:rPr>
          <w:color w:val="231F20"/>
          <w:spacing w:val="-15"/>
          <w:w w:val="105"/>
        </w:rPr>
        <w:t> </w:t>
      </w:r>
      <w:r>
        <w:rPr>
          <w:color w:val="231F20"/>
          <w:w w:val="105"/>
        </w:rPr>
        <w:t>públi- cos.</w:t>
      </w:r>
      <w:r>
        <w:rPr>
          <w:color w:val="231F20"/>
          <w:spacing w:val="-17"/>
          <w:w w:val="105"/>
        </w:rPr>
        <w:t> </w:t>
      </w:r>
      <w:r>
        <w:rPr>
          <w:color w:val="231F20"/>
          <w:w w:val="105"/>
        </w:rPr>
        <w:t>A</w:t>
      </w:r>
      <w:r>
        <w:rPr>
          <w:color w:val="231F20"/>
          <w:spacing w:val="-17"/>
          <w:w w:val="105"/>
        </w:rPr>
        <w:t> </w:t>
      </w:r>
      <w:r>
        <w:rPr>
          <w:color w:val="231F20"/>
          <w:w w:val="105"/>
        </w:rPr>
        <w:t>continuación</w:t>
      </w:r>
      <w:r>
        <w:rPr>
          <w:color w:val="231F20"/>
          <w:spacing w:val="-17"/>
          <w:w w:val="105"/>
        </w:rPr>
        <w:t> </w:t>
      </w:r>
      <w:r>
        <w:rPr>
          <w:color w:val="231F20"/>
          <w:w w:val="105"/>
        </w:rPr>
        <w:t>se</w:t>
      </w:r>
      <w:r>
        <w:rPr>
          <w:color w:val="231F20"/>
          <w:spacing w:val="-17"/>
          <w:w w:val="105"/>
        </w:rPr>
        <w:t> </w:t>
      </w:r>
      <w:r>
        <w:rPr>
          <w:color w:val="231F20"/>
          <w:w w:val="105"/>
        </w:rPr>
        <w:t>presentan</w:t>
      </w:r>
      <w:r>
        <w:rPr>
          <w:color w:val="231F20"/>
          <w:spacing w:val="-17"/>
          <w:w w:val="105"/>
        </w:rPr>
        <w:t> </w:t>
      </w:r>
      <w:r>
        <w:rPr>
          <w:color w:val="231F20"/>
          <w:w w:val="105"/>
        </w:rPr>
        <w:t>los</w:t>
      </w:r>
      <w:r>
        <w:rPr>
          <w:color w:val="231F20"/>
          <w:spacing w:val="-17"/>
          <w:w w:val="105"/>
        </w:rPr>
        <w:t> </w:t>
      </w:r>
      <w:r>
        <w:rPr>
          <w:color w:val="231F20"/>
          <w:w w:val="105"/>
        </w:rPr>
        <w:t>aspectos</w:t>
      </w:r>
      <w:r>
        <w:rPr>
          <w:color w:val="231F20"/>
          <w:spacing w:val="-17"/>
          <w:w w:val="105"/>
        </w:rPr>
        <w:t> </w:t>
      </w:r>
      <w:r>
        <w:rPr>
          <w:color w:val="231F20"/>
          <w:w w:val="105"/>
        </w:rPr>
        <w:t>regulados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Bando</w:t>
      </w:r>
      <w:r>
        <w:rPr>
          <w:color w:val="231F20"/>
          <w:spacing w:val="-17"/>
          <w:w w:val="105"/>
        </w:rPr>
        <w:t> </w:t>
      </w:r>
      <w:r>
        <w:rPr>
          <w:color w:val="231F20"/>
          <w:w w:val="105"/>
        </w:rPr>
        <w:t>resaltando</w:t>
      </w:r>
      <w:r>
        <w:rPr>
          <w:color w:val="231F20"/>
          <w:spacing w:val="-17"/>
          <w:w w:val="105"/>
        </w:rPr>
        <w:t> </w:t>
      </w:r>
      <w:r>
        <w:rPr>
          <w:color w:val="231F20"/>
          <w:w w:val="105"/>
        </w:rPr>
        <w:t>algunos aspectos</w:t>
      </w:r>
      <w:r>
        <w:rPr>
          <w:color w:val="231F20"/>
          <w:spacing w:val="-15"/>
          <w:w w:val="105"/>
        </w:rPr>
        <w:t> </w:t>
      </w:r>
      <w:r>
        <w:rPr>
          <w:color w:val="231F20"/>
          <w:w w:val="105"/>
        </w:rPr>
        <w:t>fundamentales</w:t>
      </w:r>
      <w:r>
        <w:rPr>
          <w:color w:val="231F20"/>
          <w:spacing w:val="-15"/>
          <w:w w:val="105"/>
        </w:rPr>
        <w:t> </w:t>
      </w:r>
      <w:r>
        <w:rPr>
          <w:color w:val="231F20"/>
          <w:w w:val="105"/>
        </w:rPr>
        <w:t>de</w:t>
      </w:r>
      <w:r>
        <w:rPr>
          <w:color w:val="231F20"/>
          <w:spacing w:val="-15"/>
          <w:w w:val="105"/>
        </w:rPr>
        <w:t> </w:t>
      </w:r>
      <w:r>
        <w:rPr>
          <w:color w:val="231F20"/>
          <w:w w:val="105"/>
        </w:rPr>
        <w:t>gestión</w:t>
      </w:r>
      <w:r>
        <w:rPr>
          <w:color w:val="231F20"/>
          <w:spacing w:val="-15"/>
          <w:w w:val="105"/>
        </w:rPr>
        <w:t> </w:t>
      </w:r>
      <w:r>
        <w:rPr>
          <w:color w:val="231F20"/>
          <w:w w:val="105"/>
        </w:rPr>
        <w:t>pública:</w:t>
      </w:r>
    </w:p>
    <w:p>
      <w:pPr>
        <w:pStyle w:val="ListParagraph"/>
        <w:numPr>
          <w:ilvl w:val="0"/>
          <w:numId w:val="32"/>
        </w:numPr>
        <w:tabs>
          <w:tab w:pos="886" w:val="left" w:leader="none"/>
        </w:tabs>
        <w:spacing w:line="240" w:lineRule="auto" w:before="1" w:after="0"/>
        <w:ind w:left="677" w:right="0" w:firstLine="0"/>
        <w:jc w:val="left"/>
        <w:rPr>
          <w:rFonts w:ascii="Times New Roman"/>
          <w:sz w:val="22"/>
        </w:rPr>
      </w:pPr>
      <w:r>
        <w:rPr>
          <w:rFonts w:ascii="Times New Roman"/>
          <w:color w:val="231F20"/>
          <w:sz w:val="22"/>
        </w:rPr>
        <w:t>GENERALIDADES</w:t>
      </w:r>
      <w:r>
        <w:rPr>
          <w:rFonts w:ascii="Times New Roman"/>
          <w:color w:val="231F20"/>
          <w:spacing w:val="-11"/>
          <w:sz w:val="22"/>
        </w:rPr>
        <w:t> </w:t>
      </w:r>
      <w:r>
        <w:rPr>
          <w:rFonts w:ascii="Times New Roman"/>
          <w:color w:val="231F20"/>
          <w:sz w:val="22"/>
        </w:rPr>
        <w:t>MUNICIPIO.</w:t>
      </w:r>
    </w:p>
    <w:p>
      <w:pPr>
        <w:pStyle w:val="ListParagraph"/>
        <w:numPr>
          <w:ilvl w:val="0"/>
          <w:numId w:val="32"/>
        </w:numPr>
        <w:tabs>
          <w:tab w:pos="895" w:val="left" w:leader="none"/>
        </w:tabs>
        <w:spacing w:line="240" w:lineRule="auto" w:before="47" w:after="0"/>
        <w:ind w:left="894" w:right="0" w:hanging="217"/>
        <w:jc w:val="left"/>
        <w:rPr>
          <w:rFonts w:ascii="Times New Roman" w:hAnsi="Times New Roman"/>
          <w:sz w:val="22"/>
        </w:rPr>
      </w:pPr>
      <w:r>
        <w:rPr>
          <w:rFonts w:ascii="Times New Roman" w:hAnsi="Times New Roman"/>
          <w:color w:val="231F20"/>
          <w:sz w:val="22"/>
        </w:rPr>
        <w:t>LA ORGANIZACIÓN</w:t>
      </w:r>
      <w:r>
        <w:rPr>
          <w:rFonts w:ascii="Times New Roman" w:hAnsi="Times New Roman"/>
          <w:color w:val="231F20"/>
          <w:spacing w:val="26"/>
          <w:sz w:val="22"/>
        </w:rPr>
        <w:t> </w:t>
      </w:r>
      <w:r>
        <w:rPr>
          <w:rFonts w:ascii="Times New Roman" w:hAnsi="Times New Roman"/>
          <w:color w:val="231F20"/>
          <w:sz w:val="22"/>
        </w:rPr>
        <w:t>MUNICIPAL</w:t>
      </w:r>
    </w:p>
    <w:p>
      <w:pPr>
        <w:pStyle w:val="ListParagraph"/>
        <w:numPr>
          <w:ilvl w:val="0"/>
          <w:numId w:val="32"/>
        </w:numPr>
        <w:tabs>
          <w:tab w:pos="891" w:val="left" w:leader="none"/>
        </w:tabs>
        <w:spacing w:line="240" w:lineRule="auto" w:before="47" w:after="0"/>
        <w:ind w:left="890" w:right="0" w:hanging="213"/>
        <w:jc w:val="left"/>
        <w:rPr>
          <w:rFonts w:ascii="Times New Roman"/>
          <w:sz w:val="22"/>
        </w:rPr>
      </w:pPr>
      <w:r>
        <w:rPr>
          <w:rFonts w:ascii="Times New Roman"/>
          <w:color w:val="231F20"/>
          <w:sz w:val="22"/>
        </w:rPr>
        <w:t>LA</w:t>
      </w:r>
      <w:r>
        <w:rPr>
          <w:rFonts w:ascii="Times New Roman"/>
          <w:color w:val="231F20"/>
          <w:spacing w:val="-14"/>
          <w:sz w:val="22"/>
        </w:rPr>
        <w:t> </w:t>
      </w:r>
      <w:r>
        <w:rPr>
          <w:rFonts w:ascii="Times New Roman"/>
          <w:color w:val="231F20"/>
          <w:sz w:val="22"/>
        </w:rPr>
        <w:t>CASA</w:t>
      </w:r>
      <w:r>
        <w:rPr>
          <w:rFonts w:ascii="Times New Roman"/>
          <w:color w:val="231F20"/>
          <w:spacing w:val="-14"/>
          <w:sz w:val="22"/>
        </w:rPr>
        <w:t> </w:t>
      </w:r>
      <w:r>
        <w:rPr>
          <w:rFonts w:ascii="Times New Roman"/>
          <w:color w:val="231F20"/>
          <w:sz w:val="22"/>
        </w:rPr>
        <w:t>DE</w:t>
      </w:r>
      <w:r>
        <w:rPr>
          <w:rFonts w:ascii="Times New Roman"/>
          <w:color w:val="231F20"/>
          <w:spacing w:val="-14"/>
          <w:sz w:val="22"/>
        </w:rPr>
        <w:t> </w:t>
      </w:r>
      <w:r>
        <w:rPr>
          <w:rFonts w:ascii="Times New Roman"/>
          <w:color w:val="231F20"/>
          <w:sz w:val="22"/>
        </w:rPr>
        <w:t>LA</w:t>
      </w:r>
      <w:r>
        <w:rPr>
          <w:rFonts w:ascii="Times New Roman"/>
          <w:color w:val="231F20"/>
          <w:spacing w:val="-14"/>
          <w:sz w:val="22"/>
        </w:rPr>
        <w:t> </w:t>
      </w:r>
      <w:r>
        <w:rPr>
          <w:rFonts w:ascii="Times New Roman"/>
          <w:color w:val="231F20"/>
          <w:sz w:val="22"/>
        </w:rPr>
        <w:t>CULTURA.</w:t>
      </w:r>
    </w:p>
    <w:p>
      <w:pPr>
        <w:pStyle w:val="ListParagraph"/>
        <w:numPr>
          <w:ilvl w:val="0"/>
          <w:numId w:val="32"/>
        </w:numPr>
        <w:tabs>
          <w:tab w:pos="894" w:val="left" w:leader="none"/>
        </w:tabs>
        <w:spacing w:line="240" w:lineRule="auto" w:before="47" w:after="0"/>
        <w:ind w:left="893" w:right="0" w:hanging="216"/>
        <w:jc w:val="left"/>
        <w:rPr>
          <w:rFonts w:ascii="Times New Roman"/>
          <w:sz w:val="22"/>
        </w:rPr>
      </w:pPr>
      <w:r>
        <w:rPr>
          <w:rFonts w:ascii="Times New Roman"/>
          <w:color w:val="231F20"/>
          <w:sz w:val="22"/>
        </w:rPr>
        <w:t>LAS</w:t>
      </w:r>
      <w:r>
        <w:rPr>
          <w:rFonts w:ascii="Times New Roman"/>
          <w:color w:val="231F20"/>
          <w:spacing w:val="-26"/>
          <w:sz w:val="22"/>
        </w:rPr>
        <w:t> </w:t>
      </w:r>
      <w:r>
        <w:rPr>
          <w:rFonts w:ascii="Times New Roman"/>
          <w:color w:val="231F20"/>
          <w:sz w:val="22"/>
        </w:rPr>
        <w:t>AUTORIDADES</w:t>
      </w:r>
      <w:r>
        <w:rPr>
          <w:rFonts w:ascii="Times New Roman"/>
          <w:color w:val="231F20"/>
          <w:spacing w:val="-26"/>
          <w:sz w:val="22"/>
        </w:rPr>
        <w:t> </w:t>
      </w:r>
      <w:r>
        <w:rPr>
          <w:rFonts w:ascii="Times New Roman"/>
          <w:color w:val="231F20"/>
          <w:sz w:val="22"/>
        </w:rPr>
        <w:t>Y</w:t>
      </w:r>
      <w:r>
        <w:rPr>
          <w:rFonts w:ascii="Times New Roman"/>
          <w:color w:val="231F20"/>
          <w:spacing w:val="-26"/>
          <w:sz w:val="22"/>
        </w:rPr>
        <w:t> </w:t>
      </w:r>
      <w:r>
        <w:rPr>
          <w:rFonts w:ascii="Times New Roman"/>
          <w:color w:val="231F20"/>
          <w:sz w:val="22"/>
        </w:rPr>
        <w:t>ORGANISMOS</w:t>
      </w:r>
      <w:r>
        <w:rPr>
          <w:rFonts w:ascii="Times New Roman"/>
          <w:color w:val="231F20"/>
          <w:spacing w:val="-26"/>
          <w:sz w:val="22"/>
        </w:rPr>
        <w:t> </w:t>
      </w:r>
      <w:r>
        <w:rPr>
          <w:rFonts w:ascii="Times New Roman"/>
          <w:color w:val="231F20"/>
          <w:sz w:val="22"/>
        </w:rPr>
        <w:t>AUXILIARES</w:t>
      </w:r>
    </w:p>
    <w:p>
      <w:pPr>
        <w:pStyle w:val="ListParagraph"/>
        <w:numPr>
          <w:ilvl w:val="2"/>
          <w:numId w:val="23"/>
        </w:numPr>
        <w:tabs>
          <w:tab w:pos="810" w:val="left" w:leader="none"/>
        </w:tabs>
        <w:spacing w:line="240" w:lineRule="auto" w:before="47" w:after="0"/>
        <w:ind w:left="677" w:right="0" w:firstLine="0"/>
        <w:jc w:val="left"/>
        <w:rPr>
          <w:rFonts w:ascii="Times New Roman"/>
          <w:sz w:val="22"/>
        </w:rPr>
      </w:pPr>
      <w:r>
        <w:rPr>
          <w:rFonts w:ascii="Times New Roman"/>
          <w:color w:val="231F20"/>
          <w:w w:val="95"/>
          <w:sz w:val="22"/>
        </w:rPr>
        <w:t>DISPOSICIONES </w:t>
      </w:r>
      <w:r>
        <w:rPr>
          <w:rFonts w:ascii="Times New Roman"/>
          <w:color w:val="231F20"/>
          <w:spacing w:val="49"/>
          <w:w w:val="95"/>
          <w:sz w:val="22"/>
        </w:rPr>
        <w:t> </w:t>
      </w:r>
      <w:r>
        <w:rPr>
          <w:rFonts w:ascii="Times New Roman"/>
          <w:color w:val="231F20"/>
          <w:w w:val="95"/>
          <w:sz w:val="22"/>
        </w:rPr>
        <w:t>GENERALES</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PLANEACIÓN</w:t>
      </w:r>
      <w:r>
        <w:rPr>
          <w:rFonts w:ascii="Times New Roman" w:hAnsi="Times New Roman"/>
          <w:color w:val="231F20"/>
          <w:spacing w:val="-19"/>
          <w:sz w:val="22"/>
        </w:rPr>
        <w:t> </w:t>
      </w:r>
      <w:r>
        <w:rPr>
          <w:rFonts w:ascii="Times New Roman" w:hAnsi="Times New Roman"/>
          <w:color w:val="231F20"/>
          <w:sz w:val="22"/>
        </w:rPr>
        <w:t>PARA</w:t>
      </w:r>
      <w:r>
        <w:rPr>
          <w:rFonts w:ascii="Times New Roman" w:hAnsi="Times New Roman"/>
          <w:color w:val="231F20"/>
          <w:spacing w:val="-19"/>
          <w:sz w:val="22"/>
        </w:rPr>
        <w:t> </w:t>
      </w:r>
      <w:r>
        <w:rPr>
          <w:rFonts w:ascii="Times New Roman" w:hAnsi="Times New Roman"/>
          <w:color w:val="231F20"/>
          <w:sz w:val="22"/>
        </w:rPr>
        <w:t>EL</w:t>
      </w:r>
      <w:r>
        <w:rPr>
          <w:rFonts w:ascii="Times New Roman" w:hAnsi="Times New Roman"/>
          <w:color w:val="231F20"/>
          <w:spacing w:val="-19"/>
          <w:sz w:val="22"/>
        </w:rPr>
        <w:t> </w:t>
      </w:r>
      <w:r>
        <w:rPr>
          <w:rFonts w:ascii="Times New Roman" w:hAnsi="Times New Roman"/>
          <w:color w:val="231F20"/>
          <w:sz w:val="22"/>
        </w:rPr>
        <w:t>DESARROLLO</w:t>
      </w:r>
      <w:r>
        <w:rPr>
          <w:rFonts w:ascii="Times New Roman" w:hAnsi="Times New Roman"/>
          <w:color w:val="231F20"/>
          <w:spacing w:val="-19"/>
          <w:sz w:val="22"/>
        </w:rPr>
        <w:t> </w:t>
      </w:r>
      <w:r>
        <w:rPr>
          <w:rFonts w:ascii="Times New Roman" w:hAnsi="Times New Roman"/>
          <w:color w:val="231F20"/>
          <w:sz w:val="22"/>
        </w:rPr>
        <w:t>MUNICIPAL</w:t>
      </w:r>
    </w:p>
    <w:p>
      <w:pPr>
        <w:spacing w:after="0" w:line="240" w:lineRule="auto"/>
        <w:jc w:val="left"/>
        <w:rPr>
          <w:rFonts w:ascii="Times New Roman" w:hAnsi="Times New Roman"/>
          <w:sz w:val="22"/>
        </w:rPr>
        <w:sectPr>
          <w:pgSz w:w="9640" w:h="12190"/>
          <w:pgMar w:header="0" w:footer="743" w:top="1120" w:bottom="940" w:left="740" w:right="740"/>
        </w:sectPr>
      </w:pPr>
    </w:p>
    <w:p>
      <w:pPr>
        <w:pStyle w:val="BodyText"/>
        <w:spacing w:before="3"/>
        <w:rPr>
          <w:sz w:val="11"/>
        </w:rPr>
      </w:pPr>
    </w:p>
    <w:p>
      <w:pPr>
        <w:pStyle w:val="ListParagraph"/>
        <w:numPr>
          <w:ilvl w:val="2"/>
          <w:numId w:val="23"/>
        </w:numPr>
        <w:tabs>
          <w:tab w:pos="810" w:val="left" w:leader="none"/>
        </w:tabs>
        <w:spacing w:line="240" w:lineRule="auto" w:before="36" w:after="0"/>
        <w:ind w:left="809" w:right="0" w:hanging="132"/>
        <w:jc w:val="left"/>
        <w:rPr>
          <w:rFonts w:ascii="Times New Roman"/>
          <w:sz w:val="22"/>
        </w:rPr>
      </w:pPr>
      <w:r>
        <w:rPr>
          <w:rFonts w:ascii="Times New Roman"/>
          <w:color w:val="231F20"/>
          <w:sz w:val="22"/>
        </w:rPr>
        <w:t>LA </w:t>
      </w:r>
      <w:r>
        <w:rPr>
          <w:rFonts w:ascii="Times New Roman"/>
          <w:color w:val="231F20"/>
          <w:spacing w:val="-4"/>
          <w:sz w:val="22"/>
        </w:rPr>
        <w:t>CONSULTA</w:t>
      </w:r>
      <w:r>
        <w:rPr>
          <w:rFonts w:ascii="Times New Roman"/>
          <w:color w:val="231F20"/>
          <w:spacing w:val="6"/>
          <w:sz w:val="22"/>
        </w:rPr>
        <w:t> </w:t>
      </w:r>
      <w:r>
        <w:rPr>
          <w:rFonts w:ascii="Times New Roman"/>
          <w:color w:val="231F20"/>
          <w:sz w:val="22"/>
        </w:rPr>
        <w:t>POPULAR</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COMISIÓN</w:t>
      </w:r>
      <w:r>
        <w:rPr>
          <w:rFonts w:ascii="Times New Roman" w:hAnsi="Times New Roman"/>
          <w:color w:val="231F20"/>
          <w:spacing w:val="-11"/>
          <w:sz w:val="22"/>
        </w:rPr>
        <w:t> </w:t>
      </w:r>
      <w:r>
        <w:rPr>
          <w:rFonts w:ascii="Times New Roman" w:hAnsi="Times New Roman"/>
          <w:color w:val="231F20"/>
          <w:sz w:val="22"/>
        </w:rPr>
        <w:t>DE</w:t>
      </w:r>
      <w:r>
        <w:rPr>
          <w:rFonts w:ascii="Times New Roman" w:hAnsi="Times New Roman"/>
          <w:color w:val="231F20"/>
          <w:spacing w:val="-11"/>
          <w:sz w:val="22"/>
        </w:rPr>
        <w:t> </w:t>
      </w:r>
      <w:r>
        <w:rPr>
          <w:rFonts w:ascii="Times New Roman" w:hAnsi="Times New Roman"/>
          <w:color w:val="231F20"/>
          <w:sz w:val="22"/>
        </w:rPr>
        <w:t>PLANEACION</w:t>
      </w:r>
      <w:r>
        <w:rPr>
          <w:rFonts w:ascii="Times New Roman" w:hAnsi="Times New Roman"/>
          <w:color w:val="231F20"/>
          <w:spacing w:val="-11"/>
          <w:sz w:val="22"/>
        </w:rPr>
        <w:t> </w:t>
      </w:r>
      <w:r>
        <w:rPr>
          <w:rFonts w:ascii="Times New Roman" w:hAnsi="Times New Roman"/>
          <w:color w:val="231F20"/>
          <w:sz w:val="22"/>
        </w:rPr>
        <w:t>PARA</w:t>
      </w:r>
      <w:r>
        <w:rPr>
          <w:rFonts w:ascii="Times New Roman" w:hAnsi="Times New Roman"/>
          <w:color w:val="231F20"/>
          <w:spacing w:val="-11"/>
          <w:sz w:val="22"/>
        </w:rPr>
        <w:t> </w:t>
      </w:r>
      <w:r>
        <w:rPr>
          <w:rFonts w:ascii="Times New Roman" w:hAnsi="Times New Roman"/>
          <w:color w:val="231F20"/>
          <w:sz w:val="22"/>
        </w:rPr>
        <w:t>EL</w:t>
      </w:r>
      <w:r>
        <w:rPr>
          <w:rFonts w:ascii="Times New Roman" w:hAnsi="Times New Roman"/>
          <w:color w:val="231F20"/>
          <w:spacing w:val="-11"/>
          <w:sz w:val="22"/>
        </w:rPr>
        <w:t> </w:t>
      </w:r>
      <w:r>
        <w:rPr>
          <w:rFonts w:ascii="Times New Roman" w:hAnsi="Times New Roman"/>
          <w:color w:val="231F20"/>
          <w:sz w:val="22"/>
        </w:rPr>
        <w:t>DESARROLLO</w:t>
      </w:r>
      <w:r>
        <w:rPr>
          <w:rFonts w:ascii="Times New Roman" w:hAnsi="Times New Roman"/>
          <w:color w:val="231F20"/>
          <w:spacing w:val="-11"/>
          <w:sz w:val="22"/>
        </w:rPr>
        <w:t> </w:t>
      </w:r>
      <w:r>
        <w:rPr>
          <w:rFonts w:ascii="Times New Roman" w:hAnsi="Times New Roman"/>
          <w:color w:val="231F20"/>
          <w:sz w:val="22"/>
        </w:rPr>
        <w:t>MUNICIPAL</w:t>
      </w:r>
    </w:p>
    <w:p>
      <w:pPr>
        <w:pStyle w:val="ListParagraph"/>
        <w:numPr>
          <w:ilvl w:val="0"/>
          <w:numId w:val="32"/>
        </w:numPr>
        <w:tabs>
          <w:tab w:pos="890" w:val="left" w:leader="none"/>
        </w:tabs>
        <w:spacing w:line="240" w:lineRule="auto" w:before="47" w:after="0"/>
        <w:ind w:left="889" w:right="0" w:hanging="212"/>
        <w:jc w:val="left"/>
        <w:rPr>
          <w:rFonts w:ascii="Times New Roman"/>
          <w:sz w:val="22"/>
        </w:rPr>
      </w:pPr>
      <w:r>
        <w:rPr>
          <w:rFonts w:ascii="Times New Roman"/>
          <w:color w:val="231F20"/>
          <w:sz w:val="22"/>
        </w:rPr>
        <w:t>LA </w:t>
      </w:r>
      <w:r>
        <w:rPr>
          <w:rFonts w:ascii="Times New Roman"/>
          <w:color w:val="231F20"/>
          <w:spacing w:val="-3"/>
          <w:sz w:val="22"/>
        </w:rPr>
        <w:t>PROTECCION</w:t>
      </w:r>
      <w:r>
        <w:rPr>
          <w:rFonts w:ascii="Times New Roman"/>
          <w:color w:val="231F20"/>
          <w:spacing w:val="14"/>
          <w:sz w:val="22"/>
        </w:rPr>
        <w:t> </w:t>
      </w:r>
      <w:r>
        <w:rPr>
          <w:rFonts w:ascii="Times New Roman"/>
          <w:color w:val="231F20"/>
          <w:spacing w:val="3"/>
          <w:sz w:val="22"/>
        </w:rPr>
        <w:t>CIVIL.</w:t>
      </w:r>
    </w:p>
    <w:p>
      <w:pPr>
        <w:pStyle w:val="ListParagraph"/>
        <w:numPr>
          <w:ilvl w:val="0"/>
          <w:numId w:val="32"/>
        </w:numPr>
        <w:tabs>
          <w:tab w:pos="893" w:val="left" w:leader="none"/>
        </w:tabs>
        <w:spacing w:line="240" w:lineRule="auto" w:before="47" w:after="0"/>
        <w:ind w:left="892" w:right="0" w:hanging="215"/>
        <w:jc w:val="left"/>
        <w:rPr>
          <w:rFonts w:ascii="Times New Roman" w:hAnsi="Times New Roman"/>
          <w:sz w:val="22"/>
        </w:rPr>
      </w:pPr>
      <w:r>
        <w:rPr>
          <w:rFonts w:ascii="Times New Roman" w:hAnsi="Times New Roman"/>
          <w:color w:val="231F20"/>
          <w:sz w:val="22"/>
        </w:rPr>
        <w:t>DESARROLLO</w:t>
      </w:r>
      <w:r>
        <w:rPr>
          <w:rFonts w:ascii="Times New Roman" w:hAnsi="Times New Roman"/>
          <w:color w:val="231F20"/>
          <w:spacing w:val="-30"/>
          <w:sz w:val="22"/>
        </w:rPr>
        <w:t> </w:t>
      </w:r>
      <w:r>
        <w:rPr>
          <w:rFonts w:ascii="Times New Roman" w:hAnsi="Times New Roman"/>
          <w:color w:val="231F20"/>
          <w:sz w:val="22"/>
        </w:rPr>
        <w:t>URBANO</w:t>
      </w:r>
      <w:r>
        <w:rPr>
          <w:rFonts w:ascii="Times New Roman" w:hAnsi="Times New Roman"/>
          <w:color w:val="231F20"/>
          <w:spacing w:val="-30"/>
          <w:sz w:val="22"/>
        </w:rPr>
        <w:t> </w:t>
      </w:r>
      <w:r>
        <w:rPr>
          <w:rFonts w:ascii="Times New Roman" w:hAnsi="Times New Roman"/>
          <w:color w:val="231F20"/>
          <w:sz w:val="22"/>
        </w:rPr>
        <w:t>Y</w:t>
      </w:r>
      <w:r>
        <w:rPr>
          <w:rFonts w:ascii="Times New Roman" w:hAnsi="Times New Roman"/>
          <w:color w:val="231F20"/>
          <w:spacing w:val="-30"/>
          <w:sz w:val="22"/>
        </w:rPr>
        <w:t> </w:t>
      </w:r>
      <w:r>
        <w:rPr>
          <w:rFonts w:ascii="Times New Roman" w:hAnsi="Times New Roman"/>
          <w:color w:val="231F20"/>
          <w:sz w:val="22"/>
        </w:rPr>
        <w:t>LAS</w:t>
      </w:r>
      <w:r>
        <w:rPr>
          <w:rFonts w:ascii="Times New Roman" w:hAnsi="Times New Roman"/>
          <w:color w:val="231F20"/>
          <w:spacing w:val="-30"/>
          <w:sz w:val="22"/>
        </w:rPr>
        <w:t> </w:t>
      </w:r>
      <w:r>
        <w:rPr>
          <w:rFonts w:ascii="Times New Roman" w:hAnsi="Times New Roman"/>
          <w:color w:val="231F20"/>
          <w:sz w:val="22"/>
        </w:rPr>
        <w:t>OBRAS</w:t>
      </w:r>
      <w:r>
        <w:rPr>
          <w:rFonts w:ascii="Times New Roman" w:hAnsi="Times New Roman"/>
          <w:color w:val="231F20"/>
          <w:spacing w:val="-30"/>
          <w:sz w:val="22"/>
        </w:rPr>
        <w:t> </w:t>
      </w:r>
      <w:r>
        <w:rPr>
          <w:rFonts w:ascii="Times New Roman" w:hAnsi="Times New Roman"/>
          <w:color w:val="231F20"/>
          <w:sz w:val="22"/>
        </w:rPr>
        <w:t>PÚBLICAS.</w:t>
      </w:r>
    </w:p>
    <w:p>
      <w:pPr>
        <w:pStyle w:val="ListParagraph"/>
        <w:numPr>
          <w:ilvl w:val="0"/>
          <w:numId w:val="32"/>
        </w:numPr>
        <w:tabs>
          <w:tab w:pos="870" w:val="left" w:leader="none"/>
        </w:tabs>
        <w:spacing w:line="240" w:lineRule="auto" w:before="47" w:after="0"/>
        <w:ind w:left="869" w:right="0" w:hanging="192"/>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3"/>
          <w:sz w:val="22"/>
        </w:rPr>
        <w:t>PROTECCIÓN </w:t>
      </w:r>
      <w:r>
        <w:rPr>
          <w:rFonts w:ascii="Times New Roman" w:hAnsi="Times New Roman"/>
          <w:color w:val="231F20"/>
          <w:sz w:val="22"/>
        </w:rPr>
        <w:t>ECOLÓGICA Y MEJORAMIENTO DEL</w:t>
      </w:r>
      <w:r>
        <w:rPr>
          <w:rFonts w:ascii="Times New Roman" w:hAnsi="Times New Roman"/>
          <w:color w:val="231F20"/>
          <w:spacing w:val="3"/>
          <w:sz w:val="22"/>
        </w:rPr>
        <w:t> </w:t>
      </w:r>
      <w:r>
        <w:rPr>
          <w:rFonts w:ascii="Times New Roman" w:hAnsi="Times New Roman"/>
          <w:color w:val="231F20"/>
          <w:spacing w:val="2"/>
          <w:sz w:val="22"/>
        </w:rPr>
        <w:t>AMBIENTE.</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LA PREVENCIÓN DEL EQUILIBRIO</w:t>
      </w:r>
      <w:r>
        <w:rPr>
          <w:rFonts w:ascii="Times New Roman" w:hAnsi="Times New Roman"/>
          <w:color w:val="231F20"/>
          <w:spacing w:val="-21"/>
          <w:sz w:val="22"/>
        </w:rPr>
        <w:t> </w:t>
      </w:r>
      <w:r>
        <w:rPr>
          <w:rFonts w:ascii="Times New Roman" w:hAnsi="Times New Roman"/>
          <w:color w:val="231F20"/>
          <w:spacing w:val="-3"/>
          <w:sz w:val="22"/>
        </w:rPr>
        <w:t>ECOLÓGICO.</w:t>
      </w:r>
    </w:p>
    <w:p>
      <w:pPr>
        <w:pStyle w:val="ListParagraph"/>
        <w:numPr>
          <w:ilvl w:val="2"/>
          <w:numId w:val="23"/>
        </w:numPr>
        <w:tabs>
          <w:tab w:pos="810" w:val="left" w:leader="none"/>
        </w:tabs>
        <w:spacing w:line="240" w:lineRule="auto" w:before="47" w:after="0"/>
        <w:ind w:left="809" w:right="0" w:hanging="132"/>
        <w:jc w:val="left"/>
        <w:rPr>
          <w:rFonts w:ascii="Times New Roman"/>
          <w:sz w:val="22"/>
        </w:rPr>
      </w:pPr>
      <w:r>
        <w:rPr>
          <w:rFonts w:ascii="Times New Roman"/>
          <w:color w:val="231F20"/>
          <w:sz w:val="22"/>
        </w:rPr>
        <w:t>LOS</w:t>
      </w:r>
      <w:r>
        <w:rPr>
          <w:rFonts w:ascii="Times New Roman"/>
          <w:color w:val="231F20"/>
          <w:spacing w:val="-24"/>
          <w:sz w:val="22"/>
        </w:rPr>
        <w:t> </w:t>
      </w:r>
      <w:r>
        <w:rPr>
          <w:rFonts w:ascii="Times New Roman"/>
          <w:color w:val="231F20"/>
          <w:sz w:val="22"/>
        </w:rPr>
        <w:t>TALLERES</w:t>
      </w:r>
      <w:r>
        <w:rPr>
          <w:rFonts w:ascii="Times New Roman"/>
          <w:color w:val="231F20"/>
          <w:spacing w:val="-24"/>
          <w:sz w:val="22"/>
        </w:rPr>
        <w:t> </w:t>
      </w:r>
      <w:r>
        <w:rPr>
          <w:rFonts w:ascii="Times New Roman"/>
          <w:color w:val="231F20"/>
          <w:sz w:val="22"/>
        </w:rPr>
        <w:t>DE</w:t>
      </w:r>
      <w:r>
        <w:rPr>
          <w:rFonts w:ascii="Times New Roman"/>
          <w:color w:val="231F20"/>
          <w:spacing w:val="-24"/>
          <w:sz w:val="22"/>
        </w:rPr>
        <w:t> </w:t>
      </w:r>
      <w:r>
        <w:rPr>
          <w:rFonts w:ascii="Times New Roman"/>
          <w:color w:val="231F20"/>
          <w:sz w:val="22"/>
        </w:rPr>
        <w:t>TABIQUE,</w:t>
      </w:r>
      <w:r>
        <w:rPr>
          <w:rFonts w:ascii="Times New Roman"/>
          <w:color w:val="231F20"/>
          <w:spacing w:val="-24"/>
          <w:sz w:val="22"/>
        </w:rPr>
        <w:t> </w:t>
      </w:r>
      <w:r>
        <w:rPr>
          <w:rFonts w:ascii="Times New Roman"/>
          <w:color w:val="231F20"/>
          <w:sz w:val="22"/>
        </w:rPr>
        <w:t>TEJAS</w:t>
      </w:r>
      <w:r>
        <w:rPr>
          <w:rFonts w:ascii="Times New Roman"/>
          <w:color w:val="231F20"/>
          <w:spacing w:val="-24"/>
          <w:sz w:val="22"/>
        </w:rPr>
        <w:t> </w:t>
      </w:r>
      <w:r>
        <w:rPr>
          <w:rFonts w:ascii="Times New Roman"/>
          <w:color w:val="231F20"/>
          <w:sz w:val="22"/>
        </w:rPr>
        <w:t>Y</w:t>
      </w:r>
      <w:r>
        <w:rPr>
          <w:rFonts w:ascii="Times New Roman"/>
          <w:color w:val="231F20"/>
          <w:spacing w:val="-24"/>
          <w:sz w:val="22"/>
        </w:rPr>
        <w:t> </w:t>
      </w:r>
      <w:r>
        <w:rPr>
          <w:rFonts w:ascii="Times New Roman"/>
          <w:color w:val="231F20"/>
          <w:sz w:val="22"/>
        </w:rPr>
        <w:t>OTROS</w:t>
      </w:r>
    </w:p>
    <w:p>
      <w:pPr>
        <w:pStyle w:val="ListParagraph"/>
        <w:numPr>
          <w:ilvl w:val="0"/>
          <w:numId w:val="32"/>
        </w:numPr>
        <w:tabs>
          <w:tab w:pos="892" w:val="left" w:leader="none"/>
        </w:tabs>
        <w:spacing w:line="240" w:lineRule="auto" w:before="47" w:after="0"/>
        <w:ind w:left="891" w:right="0" w:hanging="214"/>
        <w:jc w:val="left"/>
        <w:rPr>
          <w:rFonts w:ascii="Times New Roman"/>
          <w:sz w:val="22"/>
        </w:rPr>
      </w:pPr>
      <w:r>
        <w:rPr>
          <w:rFonts w:ascii="Times New Roman"/>
          <w:color w:val="231F20"/>
          <w:w w:val="95"/>
          <w:sz w:val="22"/>
        </w:rPr>
        <w:t>DESARROLLO </w:t>
      </w:r>
      <w:r>
        <w:rPr>
          <w:rFonts w:ascii="Times New Roman"/>
          <w:color w:val="231F20"/>
          <w:spacing w:val="14"/>
          <w:w w:val="95"/>
          <w:sz w:val="22"/>
        </w:rPr>
        <w:t> </w:t>
      </w:r>
      <w:r>
        <w:rPr>
          <w:rFonts w:ascii="Times New Roman"/>
          <w:color w:val="231F20"/>
          <w:spacing w:val="2"/>
          <w:w w:val="95"/>
          <w:sz w:val="22"/>
        </w:rPr>
        <w:t>SOCIAL.</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3"/>
          <w:sz w:val="22"/>
        </w:rPr>
        <w:t>EDUCACIÓN </w:t>
      </w:r>
      <w:r>
        <w:rPr>
          <w:rFonts w:ascii="Times New Roman" w:hAnsi="Times New Roman"/>
          <w:color w:val="231F20"/>
          <w:sz w:val="22"/>
        </w:rPr>
        <w:t>Y</w:t>
      </w:r>
      <w:r>
        <w:rPr>
          <w:rFonts w:ascii="Times New Roman" w:hAnsi="Times New Roman"/>
          <w:color w:val="231F20"/>
          <w:spacing w:val="-4"/>
          <w:sz w:val="22"/>
        </w:rPr>
        <w:t> </w:t>
      </w:r>
      <w:r>
        <w:rPr>
          <w:rFonts w:ascii="Times New Roman" w:hAnsi="Times New Roman"/>
          <w:color w:val="231F20"/>
          <w:sz w:val="22"/>
        </w:rPr>
        <w:t>CULTURA</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pacing w:val="-3"/>
          <w:sz w:val="22"/>
        </w:rPr>
        <w:t>DEPORTE</w:t>
      </w:r>
      <w:r>
        <w:rPr>
          <w:rFonts w:ascii="Times New Roman" w:hAnsi="Times New Roman"/>
          <w:color w:val="231F20"/>
          <w:spacing w:val="-17"/>
          <w:sz w:val="22"/>
        </w:rPr>
        <w:t> </w:t>
      </w:r>
      <w:r>
        <w:rPr>
          <w:rFonts w:ascii="Times New Roman" w:hAnsi="Times New Roman"/>
          <w:color w:val="231F20"/>
          <w:sz w:val="22"/>
        </w:rPr>
        <w:t>Y</w:t>
      </w:r>
      <w:r>
        <w:rPr>
          <w:rFonts w:ascii="Times New Roman" w:hAnsi="Times New Roman"/>
          <w:color w:val="231F20"/>
          <w:spacing w:val="-17"/>
          <w:sz w:val="22"/>
        </w:rPr>
        <w:t> </w:t>
      </w:r>
      <w:r>
        <w:rPr>
          <w:rFonts w:ascii="Times New Roman" w:hAnsi="Times New Roman"/>
          <w:color w:val="231F20"/>
          <w:sz w:val="22"/>
        </w:rPr>
        <w:t>LA</w:t>
      </w:r>
      <w:r>
        <w:rPr>
          <w:rFonts w:ascii="Times New Roman" w:hAnsi="Times New Roman"/>
          <w:color w:val="231F20"/>
          <w:spacing w:val="-17"/>
          <w:sz w:val="22"/>
        </w:rPr>
        <w:t> </w:t>
      </w:r>
      <w:r>
        <w:rPr>
          <w:rFonts w:ascii="Times New Roman" w:hAnsi="Times New Roman"/>
          <w:color w:val="231F20"/>
          <w:sz w:val="22"/>
        </w:rPr>
        <w:t>RECREACIÓN</w:t>
      </w:r>
    </w:p>
    <w:p>
      <w:pPr>
        <w:pStyle w:val="ListParagraph"/>
        <w:numPr>
          <w:ilvl w:val="2"/>
          <w:numId w:val="23"/>
        </w:numPr>
        <w:tabs>
          <w:tab w:pos="810" w:val="left" w:leader="none"/>
        </w:tabs>
        <w:spacing w:line="240" w:lineRule="auto" w:before="47" w:after="0"/>
        <w:ind w:left="809" w:right="0" w:hanging="132"/>
        <w:jc w:val="left"/>
        <w:rPr>
          <w:rFonts w:ascii="Times New Roman"/>
          <w:sz w:val="22"/>
        </w:rPr>
      </w:pPr>
      <w:r>
        <w:rPr>
          <w:rFonts w:ascii="Times New Roman"/>
          <w:color w:val="231F20"/>
          <w:sz w:val="22"/>
        </w:rPr>
        <w:t>LA SALUD</w:t>
      </w:r>
      <w:r>
        <w:rPr>
          <w:rFonts w:ascii="Times New Roman"/>
          <w:color w:val="231F20"/>
          <w:spacing w:val="-20"/>
          <w:sz w:val="22"/>
        </w:rPr>
        <w:t> </w:t>
      </w:r>
      <w:r>
        <w:rPr>
          <w:rFonts w:ascii="Times New Roman"/>
          <w:color w:val="231F20"/>
          <w:sz w:val="22"/>
        </w:rPr>
        <w:t>MUNICIPAL.</w:t>
      </w:r>
    </w:p>
    <w:p>
      <w:pPr>
        <w:pStyle w:val="ListParagraph"/>
        <w:numPr>
          <w:ilvl w:val="0"/>
          <w:numId w:val="32"/>
        </w:numPr>
        <w:tabs>
          <w:tab w:pos="881" w:val="left" w:leader="none"/>
        </w:tabs>
        <w:spacing w:line="240" w:lineRule="auto" w:before="47" w:after="0"/>
        <w:ind w:left="880" w:right="0" w:hanging="203"/>
        <w:jc w:val="left"/>
        <w:rPr>
          <w:rFonts w:ascii="Times New Roman" w:hAnsi="Times New Roman"/>
          <w:sz w:val="22"/>
        </w:rPr>
      </w:pPr>
      <w:r>
        <w:rPr>
          <w:rFonts w:ascii="Times New Roman" w:hAnsi="Times New Roman"/>
          <w:color w:val="231F20"/>
          <w:sz w:val="22"/>
        </w:rPr>
        <w:t>LOS</w:t>
      </w:r>
      <w:r>
        <w:rPr>
          <w:rFonts w:ascii="Times New Roman" w:hAnsi="Times New Roman"/>
          <w:color w:val="231F20"/>
          <w:spacing w:val="-31"/>
          <w:sz w:val="22"/>
        </w:rPr>
        <w:t> </w:t>
      </w:r>
      <w:r>
        <w:rPr>
          <w:rFonts w:ascii="Times New Roman" w:hAnsi="Times New Roman"/>
          <w:color w:val="231F20"/>
          <w:sz w:val="22"/>
        </w:rPr>
        <w:t>SERVICIOS</w:t>
      </w:r>
      <w:r>
        <w:rPr>
          <w:rFonts w:ascii="Times New Roman" w:hAnsi="Times New Roman"/>
          <w:color w:val="231F20"/>
          <w:spacing w:val="-31"/>
          <w:sz w:val="22"/>
        </w:rPr>
        <w:t> </w:t>
      </w:r>
      <w:r>
        <w:rPr>
          <w:rFonts w:ascii="Times New Roman" w:hAnsi="Times New Roman"/>
          <w:color w:val="231F20"/>
          <w:sz w:val="22"/>
        </w:rPr>
        <w:t>PÚBLICOS</w:t>
      </w:r>
      <w:r>
        <w:rPr>
          <w:rFonts w:ascii="Times New Roman" w:hAnsi="Times New Roman"/>
          <w:color w:val="231F20"/>
          <w:spacing w:val="-31"/>
          <w:sz w:val="22"/>
        </w:rPr>
        <w:t> </w:t>
      </w:r>
      <w:r>
        <w:rPr>
          <w:rFonts w:ascii="Times New Roman" w:hAnsi="Times New Roman"/>
          <w:color w:val="231F20"/>
          <w:sz w:val="22"/>
        </w:rPr>
        <w:t>MUNICIPALES.</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LA ORGANIZACIÓN Y </w:t>
      </w:r>
      <w:r>
        <w:rPr>
          <w:rFonts w:ascii="Times New Roman" w:hAnsi="Times New Roman"/>
          <w:color w:val="231F20"/>
          <w:spacing w:val="9"/>
          <w:sz w:val="22"/>
        </w:rPr>
        <w:t> </w:t>
      </w:r>
      <w:r>
        <w:rPr>
          <w:rFonts w:ascii="Times New Roman" w:hAnsi="Times New Roman"/>
          <w:color w:val="231F20"/>
          <w:sz w:val="22"/>
        </w:rPr>
        <w:t>FUNCIONAMIENTO</w:t>
      </w:r>
    </w:p>
    <w:p>
      <w:pPr>
        <w:pStyle w:val="ListParagraph"/>
        <w:numPr>
          <w:ilvl w:val="2"/>
          <w:numId w:val="23"/>
        </w:numPr>
        <w:tabs>
          <w:tab w:pos="844" w:val="left" w:leader="none"/>
        </w:tabs>
        <w:spacing w:line="285" w:lineRule="auto" w:before="47" w:after="0"/>
        <w:ind w:left="677" w:right="108" w:firstLine="0"/>
        <w:jc w:val="left"/>
        <w:rPr>
          <w:rFonts w:ascii="Times New Roman"/>
          <w:sz w:val="22"/>
        </w:rPr>
      </w:pPr>
      <w:r>
        <w:rPr>
          <w:rFonts w:ascii="Times New Roman"/>
          <w:color w:val="231F20"/>
          <w:sz w:val="22"/>
        </w:rPr>
        <w:t>LOS SERVICIOS DE </w:t>
      </w:r>
      <w:r>
        <w:rPr>
          <w:rFonts w:ascii="Times New Roman"/>
          <w:color w:val="231F20"/>
          <w:spacing w:val="-6"/>
          <w:sz w:val="22"/>
        </w:rPr>
        <w:t>AGUA </w:t>
      </w:r>
      <w:r>
        <w:rPr>
          <w:rFonts w:ascii="Times New Roman"/>
          <w:color w:val="231F20"/>
          <w:sz w:val="22"/>
        </w:rPr>
        <w:t>POTABLE, DRENAJE, ALCANTARILLADO Y SANEAMIENTO</w:t>
      </w:r>
    </w:p>
    <w:p>
      <w:pPr>
        <w:pStyle w:val="ListParagraph"/>
        <w:numPr>
          <w:ilvl w:val="2"/>
          <w:numId w:val="23"/>
        </w:numPr>
        <w:tabs>
          <w:tab w:pos="810" w:val="left" w:leader="none"/>
        </w:tabs>
        <w:spacing w:line="240" w:lineRule="auto" w:before="1" w:after="0"/>
        <w:ind w:left="809" w:right="0" w:hanging="132"/>
        <w:jc w:val="left"/>
        <w:rPr>
          <w:rFonts w:ascii="Times New Roman"/>
          <w:sz w:val="22"/>
        </w:rPr>
      </w:pPr>
      <w:r>
        <w:rPr>
          <w:rFonts w:ascii="Times New Roman"/>
          <w:color w:val="231F20"/>
          <w:sz w:val="22"/>
        </w:rPr>
        <w:t>LAS</w:t>
      </w:r>
      <w:r>
        <w:rPr>
          <w:rFonts w:ascii="Times New Roman"/>
          <w:color w:val="231F20"/>
          <w:spacing w:val="-15"/>
          <w:sz w:val="22"/>
        </w:rPr>
        <w:t> </w:t>
      </w:r>
      <w:r>
        <w:rPr>
          <w:rFonts w:ascii="Times New Roman"/>
          <w:color w:val="231F20"/>
          <w:sz w:val="22"/>
        </w:rPr>
        <w:t>SANCIONES</w:t>
      </w:r>
      <w:r>
        <w:rPr>
          <w:rFonts w:ascii="Times New Roman"/>
          <w:color w:val="231F20"/>
          <w:spacing w:val="-15"/>
          <w:sz w:val="22"/>
        </w:rPr>
        <w:t> </w:t>
      </w:r>
      <w:r>
        <w:rPr>
          <w:rFonts w:ascii="Times New Roman"/>
          <w:color w:val="231F20"/>
          <w:sz w:val="22"/>
        </w:rPr>
        <w:t>DE</w:t>
      </w:r>
      <w:r>
        <w:rPr>
          <w:rFonts w:ascii="Times New Roman"/>
          <w:color w:val="231F20"/>
          <w:spacing w:val="-15"/>
          <w:sz w:val="22"/>
        </w:rPr>
        <w:t> </w:t>
      </w:r>
      <w:r>
        <w:rPr>
          <w:rFonts w:ascii="Times New Roman"/>
          <w:color w:val="231F20"/>
          <w:spacing w:val="-6"/>
          <w:sz w:val="22"/>
        </w:rPr>
        <w:t>AGUA</w:t>
      </w:r>
      <w:r>
        <w:rPr>
          <w:rFonts w:ascii="Times New Roman"/>
          <w:color w:val="231F20"/>
          <w:spacing w:val="-15"/>
          <w:sz w:val="22"/>
        </w:rPr>
        <w:t> </w:t>
      </w:r>
      <w:r>
        <w:rPr>
          <w:rFonts w:ascii="Times New Roman"/>
          <w:color w:val="231F20"/>
          <w:sz w:val="22"/>
        </w:rPr>
        <w:t>POTABLE</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LAS</w:t>
      </w:r>
      <w:r>
        <w:rPr>
          <w:rFonts w:ascii="Times New Roman" w:hAnsi="Times New Roman"/>
          <w:color w:val="231F20"/>
          <w:spacing w:val="-12"/>
          <w:sz w:val="22"/>
        </w:rPr>
        <w:t> </w:t>
      </w:r>
      <w:r>
        <w:rPr>
          <w:rFonts w:ascii="Times New Roman" w:hAnsi="Times New Roman"/>
          <w:color w:val="231F20"/>
          <w:sz w:val="22"/>
        </w:rPr>
        <w:t>SANCIONES</w:t>
      </w:r>
      <w:r>
        <w:rPr>
          <w:rFonts w:ascii="Times New Roman" w:hAnsi="Times New Roman"/>
          <w:color w:val="231F20"/>
          <w:spacing w:val="-12"/>
          <w:sz w:val="22"/>
        </w:rPr>
        <w:t> </w:t>
      </w:r>
      <w:r>
        <w:rPr>
          <w:rFonts w:ascii="Times New Roman" w:hAnsi="Times New Roman"/>
          <w:color w:val="231F20"/>
          <w:sz w:val="22"/>
        </w:rPr>
        <w:t>DE</w:t>
      </w:r>
      <w:r>
        <w:rPr>
          <w:rFonts w:ascii="Times New Roman" w:hAnsi="Times New Roman"/>
          <w:color w:val="231F20"/>
          <w:spacing w:val="-12"/>
          <w:sz w:val="22"/>
        </w:rPr>
        <w:t> </w:t>
      </w:r>
      <w:r>
        <w:rPr>
          <w:rFonts w:ascii="Times New Roman" w:hAnsi="Times New Roman"/>
          <w:color w:val="231F20"/>
          <w:sz w:val="22"/>
        </w:rPr>
        <w:t>ALUMBRADO</w:t>
      </w:r>
      <w:r>
        <w:rPr>
          <w:rFonts w:ascii="Times New Roman" w:hAnsi="Times New Roman"/>
          <w:color w:val="231F20"/>
          <w:spacing w:val="-12"/>
          <w:sz w:val="22"/>
        </w:rPr>
        <w:t> </w:t>
      </w:r>
      <w:r>
        <w:rPr>
          <w:rFonts w:ascii="Times New Roman" w:hAnsi="Times New Roman"/>
          <w:color w:val="231F20"/>
          <w:sz w:val="22"/>
        </w:rPr>
        <w:t>PÚBLICO</w:t>
      </w:r>
    </w:p>
    <w:p>
      <w:pPr>
        <w:pStyle w:val="ListParagraph"/>
        <w:numPr>
          <w:ilvl w:val="2"/>
          <w:numId w:val="23"/>
        </w:numPr>
        <w:tabs>
          <w:tab w:pos="810" w:val="left" w:leader="none"/>
        </w:tabs>
        <w:spacing w:line="240" w:lineRule="auto" w:before="47" w:after="0"/>
        <w:ind w:left="809" w:right="0" w:hanging="132"/>
        <w:jc w:val="left"/>
        <w:rPr>
          <w:rFonts w:ascii="Times New Roman" w:hAnsi="Times New Roman"/>
          <w:sz w:val="22"/>
        </w:rPr>
      </w:pPr>
      <w:r>
        <w:rPr>
          <w:rFonts w:ascii="Times New Roman" w:hAnsi="Times New Roman"/>
          <w:color w:val="231F20"/>
          <w:sz w:val="22"/>
        </w:rPr>
        <w:t>LAS</w:t>
      </w:r>
      <w:r>
        <w:rPr>
          <w:rFonts w:ascii="Times New Roman" w:hAnsi="Times New Roman"/>
          <w:color w:val="231F20"/>
          <w:spacing w:val="-20"/>
          <w:sz w:val="22"/>
        </w:rPr>
        <w:t> </w:t>
      </w:r>
      <w:r>
        <w:rPr>
          <w:rFonts w:ascii="Times New Roman" w:hAnsi="Times New Roman"/>
          <w:color w:val="231F20"/>
          <w:sz w:val="22"/>
        </w:rPr>
        <w:t>MODALIDADES</w:t>
      </w:r>
      <w:r>
        <w:rPr>
          <w:rFonts w:ascii="Times New Roman" w:hAnsi="Times New Roman"/>
          <w:color w:val="231F20"/>
          <w:spacing w:val="-20"/>
          <w:sz w:val="22"/>
        </w:rPr>
        <w:t> </w:t>
      </w:r>
      <w:r>
        <w:rPr>
          <w:rFonts w:ascii="Times New Roman" w:hAnsi="Times New Roman"/>
          <w:color w:val="231F20"/>
          <w:sz w:val="22"/>
        </w:rPr>
        <w:t>PARA</w:t>
      </w:r>
      <w:r>
        <w:rPr>
          <w:rFonts w:ascii="Times New Roman" w:hAnsi="Times New Roman"/>
          <w:color w:val="231F20"/>
          <w:spacing w:val="-20"/>
          <w:sz w:val="22"/>
        </w:rPr>
        <w:t> </w:t>
      </w:r>
      <w:r>
        <w:rPr>
          <w:rFonts w:ascii="Times New Roman" w:hAnsi="Times New Roman"/>
          <w:color w:val="231F20"/>
          <w:sz w:val="22"/>
        </w:rPr>
        <w:t>LA</w:t>
      </w:r>
      <w:r>
        <w:rPr>
          <w:rFonts w:ascii="Times New Roman" w:hAnsi="Times New Roman"/>
          <w:color w:val="231F20"/>
          <w:spacing w:val="-20"/>
          <w:sz w:val="22"/>
        </w:rPr>
        <w:t> </w:t>
      </w:r>
      <w:r>
        <w:rPr>
          <w:rFonts w:ascii="Times New Roman" w:hAnsi="Times New Roman"/>
          <w:color w:val="231F20"/>
          <w:spacing w:val="-4"/>
          <w:sz w:val="22"/>
        </w:rPr>
        <w:t>PRESTACIÓN</w:t>
      </w:r>
      <w:r>
        <w:rPr>
          <w:rFonts w:ascii="Times New Roman" w:hAnsi="Times New Roman"/>
          <w:color w:val="231F20"/>
          <w:spacing w:val="-20"/>
          <w:sz w:val="22"/>
        </w:rPr>
        <w:t> </w:t>
      </w:r>
      <w:r>
        <w:rPr>
          <w:rFonts w:ascii="Times New Roman" w:hAnsi="Times New Roman"/>
          <w:color w:val="231F20"/>
          <w:sz w:val="22"/>
        </w:rPr>
        <w:t>DEL</w:t>
      </w:r>
      <w:r>
        <w:rPr>
          <w:rFonts w:ascii="Times New Roman" w:hAnsi="Times New Roman"/>
          <w:color w:val="231F20"/>
          <w:spacing w:val="-20"/>
          <w:sz w:val="22"/>
        </w:rPr>
        <w:t> </w:t>
      </w:r>
      <w:r>
        <w:rPr>
          <w:rFonts w:ascii="Times New Roman" w:hAnsi="Times New Roman"/>
          <w:color w:val="231F20"/>
          <w:sz w:val="22"/>
        </w:rPr>
        <w:t>SERVICIO</w:t>
      </w:r>
      <w:r>
        <w:rPr>
          <w:rFonts w:ascii="Times New Roman" w:hAnsi="Times New Roman"/>
          <w:color w:val="231F20"/>
          <w:spacing w:val="-20"/>
          <w:sz w:val="22"/>
        </w:rPr>
        <w:t> </w:t>
      </w:r>
      <w:r>
        <w:rPr>
          <w:rFonts w:ascii="Times New Roman" w:hAnsi="Times New Roman"/>
          <w:color w:val="231F20"/>
          <w:sz w:val="22"/>
        </w:rPr>
        <w:t>PÚBLICO</w:t>
      </w:r>
    </w:p>
    <w:p>
      <w:pPr>
        <w:pStyle w:val="ListParagraph"/>
        <w:numPr>
          <w:ilvl w:val="0"/>
          <w:numId w:val="32"/>
        </w:numPr>
        <w:tabs>
          <w:tab w:pos="992" w:val="left" w:leader="none"/>
        </w:tabs>
        <w:spacing w:line="240" w:lineRule="auto" w:before="47" w:after="0"/>
        <w:ind w:left="991" w:right="0" w:hanging="314"/>
        <w:jc w:val="left"/>
        <w:rPr>
          <w:rFonts w:ascii="Times New Roman" w:hAnsi="Times New Roman"/>
          <w:sz w:val="22"/>
        </w:rPr>
      </w:pPr>
      <w:r>
        <w:rPr>
          <w:rFonts w:ascii="Times New Roman" w:hAnsi="Times New Roman"/>
          <w:color w:val="231F20"/>
          <w:sz w:val="22"/>
        </w:rPr>
        <w:t>DESARROLLO ECONÓMICO</w:t>
      </w:r>
      <w:r>
        <w:rPr>
          <w:rFonts w:ascii="Times New Roman" w:hAnsi="Times New Roman"/>
          <w:color w:val="231F20"/>
          <w:spacing w:val="10"/>
          <w:sz w:val="22"/>
        </w:rPr>
        <w:t> </w:t>
      </w:r>
      <w:r>
        <w:rPr>
          <w:rFonts w:ascii="Times New Roman" w:hAnsi="Times New Roman"/>
          <w:color w:val="231F20"/>
          <w:sz w:val="22"/>
        </w:rPr>
        <w:t>MUNICIPAL.</w:t>
      </w:r>
    </w:p>
    <w:p>
      <w:pPr>
        <w:pStyle w:val="ListParagraph"/>
        <w:numPr>
          <w:ilvl w:val="0"/>
          <w:numId w:val="32"/>
        </w:numPr>
        <w:tabs>
          <w:tab w:pos="990" w:val="left" w:leader="none"/>
        </w:tabs>
        <w:spacing w:line="240" w:lineRule="auto" w:before="47" w:after="0"/>
        <w:ind w:left="989" w:right="0" w:hanging="312"/>
        <w:jc w:val="left"/>
        <w:rPr>
          <w:rFonts w:ascii="Times New Roman"/>
          <w:sz w:val="22"/>
        </w:rPr>
      </w:pPr>
      <w:r>
        <w:rPr>
          <w:rFonts w:ascii="Times New Roman"/>
          <w:color w:val="231F20"/>
          <w:sz w:val="22"/>
        </w:rPr>
        <w:t>LA</w:t>
      </w:r>
      <w:r>
        <w:rPr>
          <w:rFonts w:ascii="Times New Roman"/>
          <w:color w:val="231F20"/>
          <w:spacing w:val="-17"/>
          <w:sz w:val="22"/>
        </w:rPr>
        <w:t> </w:t>
      </w:r>
      <w:r>
        <w:rPr>
          <w:rFonts w:ascii="Times New Roman"/>
          <w:color w:val="231F20"/>
          <w:sz w:val="22"/>
        </w:rPr>
        <w:t>SOLICITUD</w:t>
      </w:r>
      <w:r>
        <w:rPr>
          <w:rFonts w:ascii="Times New Roman"/>
          <w:color w:val="231F20"/>
          <w:spacing w:val="-17"/>
          <w:sz w:val="22"/>
        </w:rPr>
        <w:t> </w:t>
      </w:r>
      <w:r>
        <w:rPr>
          <w:rFonts w:ascii="Times New Roman"/>
          <w:color w:val="231F20"/>
          <w:sz w:val="22"/>
        </w:rPr>
        <w:t>DE</w:t>
      </w:r>
      <w:r>
        <w:rPr>
          <w:rFonts w:ascii="Times New Roman"/>
          <w:color w:val="231F20"/>
          <w:spacing w:val="-17"/>
          <w:sz w:val="22"/>
        </w:rPr>
        <w:t> </w:t>
      </w:r>
      <w:r>
        <w:rPr>
          <w:rFonts w:ascii="Times New Roman"/>
          <w:color w:val="231F20"/>
          <w:sz w:val="22"/>
        </w:rPr>
        <w:t>LOS</w:t>
      </w:r>
      <w:r>
        <w:rPr>
          <w:rFonts w:ascii="Times New Roman"/>
          <w:color w:val="231F20"/>
          <w:spacing w:val="-17"/>
          <w:sz w:val="22"/>
        </w:rPr>
        <w:t> </w:t>
      </w:r>
      <w:r>
        <w:rPr>
          <w:rFonts w:ascii="Times New Roman"/>
          <w:color w:val="231F20"/>
          <w:sz w:val="22"/>
        </w:rPr>
        <w:t>PARTICULARES.</w:t>
      </w:r>
    </w:p>
    <w:p>
      <w:pPr>
        <w:pStyle w:val="ListParagraph"/>
        <w:numPr>
          <w:ilvl w:val="0"/>
          <w:numId w:val="32"/>
        </w:numPr>
        <w:tabs>
          <w:tab w:pos="1004" w:val="left" w:leader="none"/>
        </w:tabs>
        <w:spacing w:line="240" w:lineRule="auto" w:before="47" w:after="0"/>
        <w:ind w:left="1003" w:right="0" w:hanging="326"/>
        <w:jc w:val="left"/>
        <w:rPr>
          <w:rFonts w:ascii="Times New Roman"/>
          <w:sz w:val="22"/>
        </w:rPr>
      </w:pPr>
      <w:r>
        <w:rPr>
          <w:rFonts w:ascii="Times New Roman"/>
          <w:color w:val="231F20"/>
          <w:sz w:val="22"/>
        </w:rPr>
        <w:t>LA</w:t>
      </w:r>
      <w:r>
        <w:rPr>
          <w:rFonts w:ascii="Times New Roman"/>
          <w:color w:val="231F20"/>
          <w:spacing w:val="-11"/>
          <w:sz w:val="22"/>
        </w:rPr>
        <w:t> </w:t>
      </w:r>
      <w:r>
        <w:rPr>
          <w:rFonts w:ascii="Times New Roman"/>
          <w:color w:val="231F20"/>
          <w:sz w:val="22"/>
        </w:rPr>
        <w:t>TENENCIA</w:t>
      </w:r>
      <w:r>
        <w:rPr>
          <w:rFonts w:ascii="Times New Roman"/>
          <w:color w:val="231F20"/>
          <w:spacing w:val="-11"/>
          <w:sz w:val="22"/>
        </w:rPr>
        <w:t> </w:t>
      </w:r>
      <w:r>
        <w:rPr>
          <w:rFonts w:ascii="Times New Roman"/>
          <w:color w:val="231F20"/>
          <w:sz w:val="22"/>
        </w:rPr>
        <w:t>DE</w:t>
      </w:r>
      <w:r>
        <w:rPr>
          <w:rFonts w:ascii="Times New Roman"/>
          <w:color w:val="231F20"/>
          <w:spacing w:val="-11"/>
          <w:sz w:val="22"/>
        </w:rPr>
        <w:t> </w:t>
      </w:r>
      <w:r>
        <w:rPr>
          <w:rFonts w:ascii="Times New Roman"/>
          <w:color w:val="231F20"/>
          <w:sz w:val="22"/>
        </w:rPr>
        <w:t>LA</w:t>
      </w:r>
      <w:r>
        <w:rPr>
          <w:rFonts w:ascii="Times New Roman"/>
          <w:color w:val="231F20"/>
          <w:spacing w:val="-11"/>
          <w:sz w:val="22"/>
        </w:rPr>
        <w:t> </w:t>
      </w:r>
      <w:r>
        <w:rPr>
          <w:rFonts w:ascii="Times New Roman"/>
          <w:color w:val="231F20"/>
          <w:spacing w:val="2"/>
          <w:sz w:val="22"/>
        </w:rPr>
        <w:t>TIERRA.</w:t>
      </w:r>
    </w:p>
    <w:p>
      <w:pPr>
        <w:pStyle w:val="ListParagraph"/>
        <w:numPr>
          <w:ilvl w:val="0"/>
          <w:numId w:val="32"/>
        </w:numPr>
        <w:tabs>
          <w:tab w:pos="1007" w:val="left" w:leader="none"/>
        </w:tabs>
        <w:spacing w:line="285" w:lineRule="auto" w:before="47" w:after="0"/>
        <w:ind w:left="677" w:right="108" w:firstLine="0"/>
        <w:jc w:val="left"/>
        <w:rPr>
          <w:rFonts w:ascii="Times New Roman"/>
          <w:sz w:val="22"/>
        </w:rPr>
      </w:pPr>
      <w:r>
        <w:rPr>
          <w:rFonts w:ascii="Times New Roman"/>
          <w:color w:val="231F20"/>
          <w:sz w:val="22"/>
        </w:rPr>
        <w:t>LAS AUTORIDADES COMPETENTES EN MATERIA </w:t>
      </w:r>
      <w:r>
        <w:rPr>
          <w:rFonts w:ascii="Times New Roman"/>
          <w:color w:val="231F20"/>
          <w:spacing w:val="-3"/>
          <w:sz w:val="22"/>
        </w:rPr>
        <w:t>AGROPECUARIA </w:t>
      </w:r>
      <w:r>
        <w:rPr>
          <w:rFonts w:ascii="Times New Roman"/>
          <w:color w:val="231F20"/>
          <w:sz w:val="22"/>
        </w:rPr>
        <w:t>Y FORESTAL.</w:t>
      </w:r>
    </w:p>
    <w:p>
      <w:pPr>
        <w:pStyle w:val="ListParagraph"/>
        <w:numPr>
          <w:ilvl w:val="0"/>
          <w:numId w:val="32"/>
        </w:numPr>
        <w:tabs>
          <w:tab w:pos="991" w:val="left" w:leader="none"/>
        </w:tabs>
        <w:spacing w:line="240" w:lineRule="auto" w:before="1" w:after="0"/>
        <w:ind w:left="990" w:right="0" w:hanging="313"/>
        <w:jc w:val="left"/>
        <w:rPr>
          <w:rFonts w:ascii="Times New Roman"/>
          <w:sz w:val="22"/>
        </w:rPr>
      </w:pPr>
      <w:r>
        <w:rPr>
          <w:rFonts w:ascii="Times New Roman"/>
          <w:color w:val="231F20"/>
          <w:sz w:val="22"/>
        </w:rPr>
        <w:t>LOS DERECHOS</w:t>
      </w:r>
      <w:r>
        <w:rPr>
          <w:rFonts w:ascii="Times New Roman"/>
          <w:color w:val="231F20"/>
          <w:spacing w:val="10"/>
          <w:sz w:val="22"/>
        </w:rPr>
        <w:t> </w:t>
      </w:r>
      <w:r>
        <w:rPr>
          <w:rFonts w:ascii="Times New Roman"/>
          <w:color w:val="231F20"/>
          <w:sz w:val="22"/>
        </w:rPr>
        <w:t>HUMANOS.</w:t>
      </w:r>
    </w:p>
    <w:p>
      <w:pPr>
        <w:pStyle w:val="ListParagraph"/>
        <w:numPr>
          <w:ilvl w:val="0"/>
          <w:numId w:val="32"/>
        </w:numPr>
        <w:tabs>
          <w:tab w:pos="997" w:val="left" w:leader="none"/>
        </w:tabs>
        <w:spacing w:line="240" w:lineRule="auto" w:before="47" w:after="0"/>
        <w:ind w:left="996" w:right="0" w:hanging="319"/>
        <w:jc w:val="left"/>
        <w:rPr>
          <w:rFonts w:ascii="Times New Roman" w:hAnsi="Times New Roman"/>
          <w:sz w:val="22"/>
        </w:rPr>
      </w:pPr>
      <w:r>
        <w:rPr>
          <w:rFonts w:ascii="Times New Roman" w:hAnsi="Times New Roman"/>
          <w:color w:val="231F20"/>
          <w:sz w:val="22"/>
        </w:rPr>
        <w:t>LOS</w:t>
      </w:r>
      <w:r>
        <w:rPr>
          <w:rFonts w:ascii="Times New Roman" w:hAnsi="Times New Roman"/>
          <w:color w:val="231F20"/>
          <w:spacing w:val="-14"/>
          <w:sz w:val="22"/>
        </w:rPr>
        <w:t> </w:t>
      </w:r>
      <w:r>
        <w:rPr>
          <w:rFonts w:ascii="Times New Roman" w:hAnsi="Times New Roman"/>
          <w:color w:val="231F20"/>
          <w:sz w:val="22"/>
        </w:rPr>
        <w:t>DERECHOS</w:t>
      </w:r>
      <w:r>
        <w:rPr>
          <w:rFonts w:ascii="Times New Roman" w:hAnsi="Times New Roman"/>
          <w:color w:val="231F20"/>
          <w:spacing w:val="-14"/>
          <w:sz w:val="22"/>
        </w:rPr>
        <w:t> </w:t>
      </w:r>
      <w:r>
        <w:rPr>
          <w:rFonts w:ascii="Times New Roman" w:hAnsi="Times New Roman"/>
          <w:color w:val="231F20"/>
          <w:sz w:val="22"/>
        </w:rPr>
        <w:t>DE</w:t>
      </w:r>
      <w:r>
        <w:rPr>
          <w:rFonts w:ascii="Times New Roman" w:hAnsi="Times New Roman"/>
          <w:color w:val="231F20"/>
          <w:spacing w:val="-14"/>
          <w:sz w:val="22"/>
        </w:rPr>
        <w:t> </w:t>
      </w:r>
      <w:r>
        <w:rPr>
          <w:rFonts w:ascii="Times New Roman" w:hAnsi="Times New Roman"/>
          <w:color w:val="231F20"/>
          <w:sz w:val="22"/>
        </w:rPr>
        <w:t>LAS</w:t>
      </w:r>
      <w:r>
        <w:rPr>
          <w:rFonts w:ascii="Times New Roman" w:hAnsi="Times New Roman"/>
          <w:color w:val="231F20"/>
          <w:spacing w:val="-14"/>
          <w:sz w:val="22"/>
        </w:rPr>
        <w:t> </w:t>
      </w:r>
      <w:r>
        <w:rPr>
          <w:rFonts w:ascii="Times New Roman" w:hAnsi="Times New Roman"/>
          <w:color w:val="231F20"/>
          <w:sz w:val="22"/>
        </w:rPr>
        <w:t>NIÑAS,</w:t>
      </w:r>
      <w:r>
        <w:rPr>
          <w:rFonts w:ascii="Times New Roman" w:hAnsi="Times New Roman"/>
          <w:color w:val="231F20"/>
          <w:spacing w:val="-14"/>
          <w:sz w:val="22"/>
        </w:rPr>
        <w:t> </w:t>
      </w:r>
      <w:r>
        <w:rPr>
          <w:rFonts w:ascii="Times New Roman" w:hAnsi="Times New Roman"/>
          <w:color w:val="231F20"/>
          <w:sz w:val="22"/>
        </w:rPr>
        <w:t>NIÑOS</w:t>
      </w:r>
      <w:r>
        <w:rPr>
          <w:rFonts w:ascii="Times New Roman" w:hAnsi="Times New Roman"/>
          <w:color w:val="231F20"/>
          <w:spacing w:val="-14"/>
          <w:sz w:val="22"/>
        </w:rPr>
        <w:t> </w:t>
      </w:r>
      <w:r>
        <w:rPr>
          <w:rFonts w:ascii="Times New Roman" w:hAnsi="Times New Roman"/>
          <w:color w:val="231F20"/>
          <w:sz w:val="22"/>
        </w:rPr>
        <w:t>Y</w:t>
      </w:r>
      <w:r>
        <w:rPr>
          <w:rFonts w:ascii="Times New Roman" w:hAnsi="Times New Roman"/>
          <w:color w:val="231F20"/>
          <w:spacing w:val="-14"/>
          <w:sz w:val="22"/>
        </w:rPr>
        <w:t> </w:t>
      </w:r>
      <w:r>
        <w:rPr>
          <w:rFonts w:ascii="Times New Roman" w:hAnsi="Times New Roman"/>
          <w:color w:val="231F20"/>
          <w:sz w:val="22"/>
        </w:rPr>
        <w:t>JÓVENES</w:t>
      </w:r>
      <w:r>
        <w:rPr>
          <w:rFonts w:ascii="Times New Roman" w:hAnsi="Times New Roman"/>
          <w:color w:val="231F20"/>
          <w:spacing w:val="-14"/>
          <w:sz w:val="22"/>
        </w:rPr>
        <w:t> </w:t>
      </w:r>
      <w:r>
        <w:rPr>
          <w:rFonts w:ascii="Times New Roman" w:hAnsi="Times New Roman"/>
          <w:color w:val="231F20"/>
          <w:sz w:val="22"/>
        </w:rPr>
        <w:t>ADOLESCENTES.</w:t>
      </w:r>
    </w:p>
    <w:p>
      <w:pPr>
        <w:pStyle w:val="ListParagraph"/>
        <w:numPr>
          <w:ilvl w:val="0"/>
          <w:numId w:val="32"/>
        </w:numPr>
        <w:tabs>
          <w:tab w:pos="993" w:val="left" w:leader="none"/>
        </w:tabs>
        <w:spacing w:line="240" w:lineRule="auto" w:before="47" w:after="0"/>
        <w:ind w:left="992" w:right="0" w:hanging="315"/>
        <w:jc w:val="left"/>
        <w:rPr>
          <w:rFonts w:ascii="Times New Roman"/>
          <w:sz w:val="22"/>
        </w:rPr>
      </w:pPr>
      <w:r>
        <w:rPr>
          <w:rFonts w:ascii="Times New Roman"/>
          <w:color w:val="231F20"/>
          <w:sz w:val="22"/>
        </w:rPr>
        <w:t>LA JUSTICIA ADMINISTRATIVA</w:t>
      </w:r>
      <w:r>
        <w:rPr>
          <w:rFonts w:ascii="Times New Roman"/>
          <w:color w:val="231F20"/>
          <w:spacing w:val="-12"/>
          <w:sz w:val="22"/>
        </w:rPr>
        <w:t> </w:t>
      </w:r>
      <w:r>
        <w:rPr>
          <w:rFonts w:ascii="Times New Roman"/>
          <w:color w:val="231F20"/>
          <w:sz w:val="22"/>
        </w:rPr>
        <w:t>MUNICIPAL.</w:t>
      </w:r>
    </w:p>
    <w:p>
      <w:pPr>
        <w:pStyle w:val="ListParagraph"/>
        <w:numPr>
          <w:ilvl w:val="0"/>
          <w:numId w:val="32"/>
        </w:numPr>
        <w:tabs>
          <w:tab w:pos="970" w:val="left" w:leader="none"/>
        </w:tabs>
        <w:spacing w:line="240" w:lineRule="auto" w:before="47" w:after="0"/>
        <w:ind w:left="969" w:right="0" w:hanging="292"/>
        <w:jc w:val="left"/>
        <w:rPr>
          <w:rFonts w:ascii="Times New Roman"/>
          <w:sz w:val="22"/>
        </w:rPr>
      </w:pPr>
      <w:r>
        <w:rPr>
          <w:rFonts w:ascii="Times New Roman"/>
          <w:color w:val="231F20"/>
          <w:sz w:val="22"/>
        </w:rPr>
        <w:t>PROCEDIMIENTO  ADMINISTRATIVO</w:t>
      </w:r>
      <w:r>
        <w:rPr>
          <w:rFonts w:ascii="Times New Roman"/>
          <w:color w:val="231F20"/>
          <w:spacing w:val="16"/>
          <w:sz w:val="22"/>
        </w:rPr>
        <w:t> </w:t>
      </w:r>
      <w:r>
        <w:rPr>
          <w:rFonts w:ascii="Times New Roman"/>
          <w:color w:val="231F20"/>
          <w:sz w:val="22"/>
        </w:rPr>
        <w:t>MUNICIPAL.</w:t>
      </w:r>
    </w:p>
    <w:p>
      <w:pPr>
        <w:pStyle w:val="BodyText"/>
        <w:spacing w:before="2"/>
        <w:rPr>
          <w:sz w:val="30"/>
        </w:rPr>
      </w:pPr>
    </w:p>
    <w:p>
      <w:pPr>
        <w:pStyle w:val="BodyText"/>
        <w:spacing w:line="285" w:lineRule="auto"/>
        <w:ind w:left="110" w:right="108"/>
        <w:jc w:val="both"/>
      </w:pPr>
      <w:r>
        <w:rPr>
          <w:color w:val="231F20"/>
          <w:w w:val="105"/>
        </w:rPr>
        <w:t>De</w:t>
      </w:r>
      <w:r>
        <w:rPr>
          <w:color w:val="231F20"/>
          <w:spacing w:val="-16"/>
          <w:w w:val="105"/>
        </w:rPr>
        <w:t> </w:t>
      </w:r>
      <w:r>
        <w:rPr>
          <w:color w:val="231F20"/>
          <w:w w:val="105"/>
        </w:rPr>
        <w:t>todo</w:t>
      </w:r>
      <w:r>
        <w:rPr>
          <w:color w:val="231F20"/>
          <w:spacing w:val="-16"/>
          <w:w w:val="105"/>
        </w:rPr>
        <w:t> </w:t>
      </w:r>
      <w:r>
        <w:rPr>
          <w:color w:val="231F20"/>
          <w:w w:val="105"/>
        </w:rPr>
        <w:t>lo</w:t>
      </w:r>
      <w:r>
        <w:rPr>
          <w:color w:val="231F20"/>
          <w:spacing w:val="-16"/>
          <w:w w:val="105"/>
        </w:rPr>
        <w:t> </w:t>
      </w:r>
      <w:r>
        <w:rPr>
          <w:color w:val="231F20"/>
          <w:w w:val="105"/>
        </w:rPr>
        <w:t>anterior</w:t>
      </w:r>
      <w:r>
        <w:rPr>
          <w:color w:val="231F20"/>
          <w:spacing w:val="-16"/>
          <w:w w:val="105"/>
        </w:rPr>
        <w:t> </w:t>
      </w:r>
      <w:r>
        <w:rPr>
          <w:color w:val="231F20"/>
          <w:w w:val="105"/>
        </w:rPr>
        <w:t>podemos</w:t>
      </w:r>
      <w:r>
        <w:rPr>
          <w:color w:val="231F20"/>
          <w:spacing w:val="-16"/>
          <w:w w:val="105"/>
        </w:rPr>
        <w:t> </w:t>
      </w:r>
      <w:r>
        <w:rPr>
          <w:color w:val="231F20"/>
          <w:w w:val="105"/>
        </w:rPr>
        <w:t>observar</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gobierno</w:t>
      </w:r>
      <w:r>
        <w:rPr>
          <w:color w:val="231F20"/>
          <w:spacing w:val="-16"/>
          <w:w w:val="105"/>
        </w:rPr>
        <w:t> </w:t>
      </w:r>
      <w:r>
        <w:rPr>
          <w:color w:val="231F20"/>
          <w:w w:val="105"/>
        </w:rPr>
        <w:t>petista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municipio</w:t>
      </w:r>
      <w:r>
        <w:rPr>
          <w:color w:val="231F20"/>
          <w:spacing w:val="-16"/>
          <w:w w:val="105"/>
        </w:rPr>
        <w:t> </w:t>
      </w:r>
      <w:r>
        <w:rPr>
          <w:color w:val="231F20"/>
          <w:w w:val="105"/>
        </w:rPr>
        <w:t>de</w:t>
      </w:r>
      <w:r>
        <w:rPr>
          <w:color w:val="231F20"/>
          <w:spacing w:val="-16"/>
          <w:w w:val="105"/>
        </w:rPr>
        <w:t> </w:t>
      </w:r>
      <w:r>
        <w:rPr>
          <w:color w:val="231F20"/>
          <w:w w:val="105"/>
        </w:rPr>
        <w:t>Ozum- ba,</w:t>
      </w:r>
      <w:r>
        <w:rPr>
          <w:color w:val="231F20"/>
          <w:spacing w:val="-9"/>
          <w:w w:val="105"/>
        </w:rPr>
        <w:t> </w:t>
      </w:r>
      <w:r>
        <w:rPr>
          <w:color w:val="231F20"/>
          <w:w w:val="105"/>
        </w:rPr>
        <w:t>encabezado</w:t>
      </w:r>
      <w:r>
        <w:rPr>
          <w:color w:val="231F20"/>
          <w:spacing w:val="-9"/>
          <w:w w:val="105"/>
        </w:rPr>
        <w:t> </w:t>
      </w:r>
      <w:r>
        <w:rPr>
          <w:color w:val="231F20"/>
          <w:w w:val="105"/>
        </w:rPr>
        <w:t>por</w:t>
      </w:r>
      <w:r>
        <w:rPr>
          <w:color w:val="231F20"/>
          <w:spacing w:val="-9"/>
          <w:w w:val="105"/>
        </w:rPr>
        <w:t> </w:t>
      </w:r>
      <w:r>
        <w:rPr>
          <w:color w:val="231F20"/>
          <w:w w:val="105"/>
        </w:rPr>
        <w:t>Samuel</w:t>
      </w:r>
      <w:r>
        <w:rPr>
          <w:color w:val="231F20"/>
          <w:spacing w:val="-9"/>
          <w:w w:val="105"/>
        </w:rPr>
        <w:t> </w:t>
      </w:r>
      <w:r>
        <w:rPr>
          <w:color w:val="231F20"/>
          <w:w w:val="105"/>
        </w:rPr>
        <w:t>Martínez</w:t>
      </w:r>
      <w:r>
        <w:rPr>
          <w:color w:val="231F20"/>
          <w:spacing w:val="-9"/>
          <w:w w:val="105"/>
        </w:rPr>
        <w:t> </w:t>
      </w:r>
      <w:r>
        <w:rPr>
          <w:color w:val="231F20"/>
          <w:w w:val="105"/>
        </w:rPr>
        <w:t>Andrade,</w:t>
      </w:r>
      <w:r>
        <w:rPr>
          <w:color w:val="231F20"/>
          <w:spacing w:val="-9"/>
          <w:w w:val="105"/>
        </w:rPr>
        <w:t> </w:t>
      </w:r>
      <w:r>
        <w:rPr>
          <w:color w:val="231F20"/>
          <w:w w:val="105"/>
        </w:rPr>
        <w:t>formalmente</w:t>
      </w:r>
      <w:r>
        <w:rPr>
          <w:color w:val="231F20"/>
          <w:spacing w:val="-9"/>
          <w:w w:val="105"/>
        </w:rPr>
        <w:t> </w:t>
      </w:r>
      <w:r>
        <w:rPr>
          <w:color w:val="231F20"/>
          <w:w w:val="105"/>
        </w:rPr>
        <w:t>conto</w:t>
      </w:r>
      <w:r>
        <w:rPr>
          <w:color w:val="231F20"/>
          <w:spacing w:val="-9"/>
          <w:w w:val="105"/>
        </w:rPr>
        <w:t> </w:t>
      </w:r>
      <w:r>
        <w:rPr>
          <w:color w:val="231F20"/>
          <w:w w:val="105"/>
        </w:rPr>
        <w:t>con</w:t>
      </w:r>
      <w:r>
        <w:rPr>
          <w:color w:val="231F20"/>
          <w:spacing w:val="-9"/>
          <w:w w:val="105"/>
        </w:rPr>
        <w:t> </w:t>
      </w:r>
      <w:r>
        <w:rPr>
          <w:color w:val="231F20"/>
          <w:w w:val="105"/>
        </w:rPr>
        <w:t>todas</w:t>
      </w:r>
      <w:r>
        <w:rPr>
          <w:color w:val="231F20"/>
          <w:spacing w:val="-9"/>
          <w:w w:val="105"/>
        </w:rPr>
        <w:t> </w:t>
      </w:r>
      <w:r>
        <w:rPr>
          <w:color w:val="231F20"/>
          <w:w w:val="105"/>
        </w:rPr>
        <w:t>las</w:t>
      </w:r>
      <w:r>
        <w:rPr>
          <w:color w:val="231F20"/>
          <w:spacing w:val="-9"/>
          <w:w w:val="105"/>
        </w:rPr>
        <w:t> </w:t>
      </w:r>
      <w:r>
        <w:rPr>
          <w:color w:val="231F20"/>
          <w:w w:val="105"/>
        </w:rPr>
        <w:t>herra- mientas</w:t>
      </w:r>
      <w:r>
        <w:rPr>
          <w:color w:val="231F20"/>
          <w:spacing w:val="-5"/>
          <w:w w:val="105"/>
        </w:rPr>
        <w:t> </w:t>
      </w:r>
      <w:r>
        <w:rPr>
          <w:color w:val="231F20"/>
          <w:w w:val="105"/>
        </w:rPr>
        <w:t>formales</w:t>
      </w:r>
      <w:r>
        <w:rPr>
          <w:color w:val="231F20"/>
          <w:spacing w:val="-5"/>
          <w:w w:val="105"/>
        </w:rPr>
        <w:t> </w:t>
      </w:r>
      <w:r>
        <w:rPr>
          <w:color w:val="231F20"/>
          <w:w w:val="105"/>
        </w:rPr>
        <w:t>y</w:t>
      </w:r>
      <w:r>
        <w:rPr>
          <w:color w:val="231F20"/>
          <w:spacing w:val="-5"/>
          <w:w w:val="105"/>
        </w:rPr>
        <w:t> </w:t>
      </w:r>
      <w:r>
        <w:rPr>
          <w:color w:val="231F20"/>
          <w:w w:val="105"/>
        </w:rPr>
        <w:t>legales</w:t>
      </w:r>
      <w:r>
        <w:rPr>
          <w:color w:val="231F20"/>
          <w:spacing w:val="-5"/>
          <w:w w:val="105"/>
        </w:rPr>
        <w:t> </w:t>
      </w:r>
      <w:r>
        <w:rPr>
          <w:color w:val="231F20"/>
          <w:w w:val="105"/>
        </w:rPr>
        <w:t>para</w:t>
      </w:r>
      <w:r>
        <w:rPr>
          <w:color w:val="231F20"/>
          <w:spacing w:val="-5"/>
          <w:w w:val="105"/>
        </w:rPr>
        <w:t> </w:t>
      </w:r>
      <w:r>
        <w:rPr>
          <w:color w:val="231F20"/>
          <w:w w:val="105"/>
        </w:rPr>
        <w:t>que</w:t>
      </w:r>
      <w:r>
        <w:rPr>
          <w:color w:val="231F20"/>
          <w:spacing w:val="-5"/>
          <w:w w:val="105"/>
        </w:rPr>
        <w:t> </w:t>
      </w:r>
      <w:r>
        <w:rPr>
          <w:color w:val="231F20"/>
          <w:w w:val="105"/>
        </w:rPr>
        <w:t>su</w:t>
      </w:r>
      <w:r>
        <w:rPr>
          <w:color w:val="231F20"/>
          <w:spacing w:val="-5"/>
          <w:w w:val="105"/>
        </w:rPr>
        <w:t> </w:t>
      </w:r>
      <w:r>
        <w:rPr>
          <w:color w:val="231F20"/>
          <w:w w:val="105"/>
        </w:rPr>
        <w:t>gestión</w:t>
      </w:r>
      <w:r>
        <w:rPr>
          <w:color w:val="231F20"/>
          <w:spacing w:val="-5"/>
          <w:w w:val="105"/>
        </w:rPr>
        <w:t> </w:t>
      </w:r>
      <w:r>
        <w:rPr>
          <w:color w:val="231F20"/>
          <w:w w:val="105"/>
        </w:rPr>
        <w:t>pública</w:t>
      </w:r>
      <w:r>
        <w:rPr>
          <w:color w:val="231F20"/>
          <w:spacing w:val="-5"/>
          <w:w w:val="105"/>
        </w:rPr>
        <w:t> </w:t>
      </w:r>
      <w:r>
        <w:rPr>
          <w:color w:val="231F20"/>
          <w:w w:val="105"/>
        </w:rPr>
        <w:t>funcionara</w:t>
      </w:r>
      <w:r>
        <w:rPr>
          <w:color w:val="231F20"/>
          <w:spacing w:val="-5"/>
          <w:w w:val="105"/>
        </w:rPr>
        <w:t> </w:t>
      </w:r>
      <w:r>
        <w:rPr>
          <w:color w:val="231F20"/>
          <w:w w:val="105"/>
        </w:rPr>
        <w:t>funcione</w:t>
      </w:r>
      <w:r>
        <w:rPr>
          <w:color w:val="231F20"/>
          <w:spacing w:val="-5"/>
          <w:w w:val="105"/>
        </w:rPr>
        <w:t> </w:t>
      </w:r>
      <w:r>
        <w:rPr>
          <w:color w:val="231F20"/>
          <w:w w:val="105"/>
        </w:rPr>
        <w:t>de</w:t>
      </w:r>
      <w:r>
        <w:rPr>
          <w:color w:val="231F20"/>
          <w:spacing w:val="-5"/>
          <w:w w:val="105"/>
        </w:rPr>
        <w:t> </w:t>
      </w:r>
      <w:r>
        <w:rPr>
          <w:color w:val="231F20"/>
          <w:w w:val="105"/>
        </w:rPr>
        <w:t>manera</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ordenada, con eficacia y eficiencia de frente a las demandas ciudadanas.</w:t>
      </w:r>
    </w:p>
    <w:p>
      <w:pPr>
        <w:pStyle w:val="BodyText"/>
        <w:spacing w:before="2"/>
        <w:rPr>
          <w:sz w:val="30"/>
        </w:rPr>
      </w:pPr>
    </w:p>
    <w:p>
      <w:pPr>
        <w:pStyle w:val="BodyText"/>
        <w:spacing w:line="285" w:lineRule="auto"/>
        <w:ind w:left="110" w:right="108"/>
        <w:jc w:val="both"/>
      </w:pPr>
      <w:r>
        <w:rPr>
          <w:color w:val="231F20"/>
          <w:w w:val="105"/>
        </w:rPr>
        <w:t>Sin embargo, es importante analizar si los anteriores instrumentos se llevan o no a la práctica; por ello a continuación se presenta un balance de la gestión municipal.</w:t>
      </w:r>
    </w:p>
    <w:p>
      <w:pPr>
        <w:pStyle w:val="BodyText"/>
        <w:spacing w:before="10"/>
      </w:pPr>
    </w:p>
    <w:p>
      <w:pPr>
        <w:pStyle w:val="Heading3"/>
        <w:numPr>
          <w:ilvl w:val="0"/>
          <w:numId w:val="33"/>
        </w:numPr>
        <w:tabs>
          <w:tab w:pos="378" w:val="left" w:leader="none"/>
        </w:tabs>
        <w:spacing w:line="240" w:lineRule="auto" w:before="0" w:after="0"/>
        <w:ind w:left="377" w:right="0" w:hanging="267"/>
        <w:jc w:val="both"/>
      </w:pPr>
      <w:r>
        <w:rPr>
          <w:color w:val="231F20"/>
          <w:w w:val="105"/>
        </w:rPr>
        <w:t>Resultados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Gestión</w:t>
      </w:r>
      <w:r>
        <w:rPr>
          <w:color w:val="231F20"/>
          <w:spacing w:val="-29"/>
          <w:w w:val="105"/>
        </w:rPr>
        <w:t> </w:t>
      </w:r>
      <w:r>
        <w:rPr>
          <w:color w:val="231F20"/>
          <w:w w:val="105"/>
        </w:rPr>
        <w:t>Municipal</w:t>
      </w:r>
    </w:p>
    <w:p>
      <w:pPr>
        <w:pStyle w:val="BodyText"/>
        <w:spacing w:line="285" w:lineRule="auto" w:before="38"/>
        <w:ind w:left="110" w:right="107"/>
        <w:jc w:val="both"/>
      </w:pPr>
      <w:r>
        <w:rPr>
          <w:color w:val="231F20"/>
        </w:rPr>
        <w:t>En la actualidad, se ha modificado la relación entre la sociedad y el Estado, el gobierno  ya no cuenta con recursos ilimitados para resolver los problemas que le plantea la so- ciedad; es necesario un Estado racional, que maneje sus recursos de manera focalizada     y que ponga énfasis en las principales dificultades que se presentan en la vida pública.   La Nueva Gestión Pública nace con la necesidad de los gobiernos de brindar resultados, de elevar la eficiencia y eficacia y </w:t>
      </w:r>
      <w:r>
        <w:rPr>
          <w:color w:val="231F20"/>
          <w:spacing w:val="3"/>
        </w:rPr>
        <w:t>maximizar </w:t>
      </w:r>
      <w:r>
        <w:rPr>
          <w:color w:val="231F20"/>
        </w:rPr>
        <w:t>los recursos a su disposición. </w:t>
      </w:r>
      <w:r>
        <w:rPr>
          <w:color w:val="231F20"/>
          <w:spacing w:val="3"/>
        </w:rPr>
        <w:t>Al </w:t>
      </w:r>
      <w:r>
        <w:rPr>
          <w:color w:val="231F20"/>
        </w:rPr>
        <w:t>respecto, Ricardo Uvalle nos menciona </w:t>
      </w:r>
      <w:r>
        <w:rPr>
          <w:color w:val="231F20"/>
          <w:spacing w:val="3"/>
        </w:rPr>
        <w:t> </w:t>
      </w:r>
      <w:r>
        <w:rPr>
          <w:color w:val="231F20"/>
        </w:rPr>
        <w:t>que:</w:t>
      </w:r>
    </w:p>
    <w:p>
      <w:pPr>
        <w:pStyle w:val="BodyText"/>
        <w:spacing w:line="285" w:lineRule="auto" w:before="1"/>
        <w:ind w:left="677" w:right="108"/>
        <w:jc w:val="both"/>
      </w:pPr>
      <w:r>
        <w:rPr>
          <w:color w:val="231F20"/>
        </w:rPr>
        <w:t>…la nueva gestión Pública </w:t>
      </w:r>
      <w:r>
        <w:rPr>
          <w:color w:val="231F20"/>
          <w:spacing w:val="-4"/>
        </w:rPr>
        <w:t>(NGP) </w:t>
      </w:r>
      <w:r>
        <w:rPr>
          <w:color w:val="231F20"/>
        </w:rPr>
        <w:t>se erige en respuesta a las </w:t>
      </w:r>
      <w:r>
        <w:rPr>
          <w:color w:val="231F20"/>
          <w:spacing w:val="2"/>
        </w:rPr>
        <w:t>fallas </w:t>
      </w:r>
      <w:r>
        <w:rPr>
          <w:color w:val="231F20"/>
        </w:rPr>
        <w:t>operativas y funcionales del bienestar estatizado, apunta por la senda de acelerar los procesos   de innovación tecnológica en la organización administrativa del Estado para re- ducir costos improductivos…” (Uvalle, </w:t>
      </w:r>
      <w:r>
        <w:rPr>
          <w:color w:val="231F20"/>
          <w:spacing w:val="2"/>
        </w:rPr>
        <w:t>2005:</w:t>
      </w:r>
      <w:r>
        <w:rPr>
          <w:color w:val="231F20"/>
          <w:spacing w:val="-4"/>
        </w:rPr>
        <w:t> </w:t>
      </w:r>
      <w:r>
        <w:rPr>
          <w:color w:val="231F20"/>
          <w:spacing w:val="-6"/>
        </w:rPr>
        <w:t>121).</w:t>
      </w:r>
    </w:p>
    <w:p>
      <w:pPr>
        <w:pStyle w:val="BodyText"/>
        <w:spacing w:before="9"/>
      </w:pPr>
    </w:p>
    <w:p>
      <w:pPr>
        <w:pStyle w:val="Heading3"/>
        <w:numPr>
          <w:ilvl w:val="1"/>
          <w:numId w:val="33"/>
        </w:numPr>
        <w:tabs>
          <w:tab w:pos="508" w:val="left" w:leader="none"/>
        </w:tabs>
        <w:spacing w:line="240" w:lineRule="auto" w:before="0" w:after="0"/>
        <w:ind w:left="110" w:right="0" w:firstLine="0"/>
        <w:jc w:val="both"/>
      </w:pPr>
      <w:r>
        <w:rPr>
          <w:color w:val="231F20"/>
        </w:rPr>
        <w:t>Participación</w:t>
      </w:r>
      <w:r>
        <w:rPr>
          <w:color w:val="231F20"/>
          <w:spacing w:val="54"/>
        </w:rPr>
        <w:t> </w:t>
      </w:r>
      <w:r>
        <w:rPr>
          <w:color w:val="231F20"/>
        </w:rPr>
        <w:t>ciudadana</w:t>
      </w:r>
    </w:p>
    <w:p>
      <w:pPr>
        <w:pStyle w:val="BodyText"/>
        <w:spacing w:line="285" w:lineRule="auto" w:before="38"/>
        <w:ind w:left="110" w:right="108"/>
        <w:jc w:val="both"/>
      </w:pPr>
      <w:r>
        <w:rPr>
          <w:color w:val="231F20"/>
          <w:w w:val="105"/>
        </w:rPr>
        <w:t>La</w:t>
      </w:r>
      <w:r>
        <w:rPr>
          <w:color w:val="231F20"/>
          <w:spacing w:val="-15"/>
          <w:w w:val="105"/>
        </w:rPr>
        <w:t> </w:t>
      </w:r>
      <w:r>
        <w:rPr>
          <w:color w:val="231F20"/>
          <w:w w:val="105"/>
        </w:rPr>
        <w:t>gestión</w:t>
      </w:r>
      <w:r>
        <w:rPr>
          <w:color w:val="231F20"/>
          <w:spacing w:val="-15"/>
          <w:w w:val="105"/>
        </w:rPr>
        <w:t> </w:t>
      </w:r>
      <w:r>
        <w:rPr>
          <w:color w:val="231F20"/>
          <w:w w:val="105"/>
        </w:rPr>
        <w:t>gubernamental</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actualidad,</w:t>
      </w:r>
      <w:r>
        <w:rPr>
          <w:color w:val="231F20"/>
          <w:spacing w:val="-15"/>
          <w:w w:val="105"/>
        </w:rPr>
        <w:t> </w:t>
      </w:r>
      <w:r>
        <w:rPr>
          <w:color w:val="231F20"/>
          <w:w w:val="105"/>
        </w:rPr>
        <w:t>cuenta</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participación</w:t>
      </w:r>
      <w:r>
        <w:rPr>
          <w:color w:val="231F20"/>
          <w:spacing w:val="-15"/>
          <w:w w:val="105"/>
        </w:rPr>
        <w:t> </w:t>
      </w:r>
      <w:r>
        <w:rPr>
          <w:color w:val="231F20"/>
          <w:w w:val="105"/>
        </w:rPr>
        <w:t>ciudadana</w:t>
      </w:r>
      <w:r>
        <w:rPr>
          <w:color w:val="231F20"/>
          <w:spacing w:val="-15"/>
          <w:w w:val="105"/>
        </w:rPr>
        <w:t> </w:t>
      </w:r>
      <w:r>
        <w:rPr>
          <w:color w:val="231F20"/>
          <w:w w:val="105"/>
        </w:rPr>
        <w:t>como un</w:t>
      </w:r>
      <w:r>
        <w:rPr>
          <w:color w:val="231F20"/>
          <w:spacing w:val="-20"/>
          <w:w w:val="105"/>
        </w:rPr>
        <w:t> </w:t>
      </w:r>
      <w:r>
        <w:rPr>
          <w:color w:val="231F20"/>
          <w:w w:val="105"/>
        </w:rPr>
        <w:t>factor</w:t>
      </w:r>
      <w:r>
        <w:rPr>
          <w:color w:val="231F20"/>
          <w:spacing w:val="-20"/>
          <w:w w:val="105"/>
        </w:rPr>
        <w:t> </w:t>
      </w:r>
      <w:r>
        <w:rPr>
          <w:color w:val="231F20"/>
          <w:w w:val="105"/>
        </w:rPr>
        <w:t>indispensable</w:t>
      </w:r>
      <w:r>
        <w:rPr>
          <w:color w:val="231F20"/>
          <w:spacing w:val="-20"/>
          <w:w w:val="105"/>
        </w:rPr>
        <w:t> </w:t>
      </w:r>
      <w:r>
        <w:rPr>
          <w:color w:val="231F20"/>
          <w:w w:val="105"/>
        </w:rPr>
        <w:t>en</w:t>
      </w:r>
      <w:r>
        <w:rPr>
          <w:color w:val="231F20"/>
          <w:spacing w:val="-20"/>
          <w:w w:val="105"/>
        </w:rPr>
        <w:t> </w:t>
      </w:r>
      <w:r>
        <w:rPr>
          <w:color w:val="231F20"/>
          <w:w w:val="105"/>
        </w:rPr>
        <w:t>su</w:t>
      </w:r>
      <w:r>
        <w:rPr>
          <w:color w:val="231F20"/>
          <w:spacing w:val="-20"/>
          <w:w w:val="105"/>
        </w:rPr>
        <w:t> </w:t>
      </w:r>
      <w:r>
        <w:rPr>
          <w:color w:val="231F20"/>
          <w:w w:val="105"/>
        </w:rPr>
        <w:t>accionar;</w:t>
      </w:r>
      <w:r>
        <w:rPr>
          <w:color w:val="231F20"/>
          <w:spacing w:val="-20"/>
          <w:w w:val="105"/>
        </w:rPr>
        <w:t> </w:t>
      </w:r>
      <w:r>
        <w:rPr>
          <w:color w:val="231F20"/>
          <w:w w:val="105"/>
        </w:rPr>
        <w:t>los</w:t>
      </w:r>
      <w:r>
        <w:rPr>
          <w:color w:val="231F20"/>
          <w:spacing w:val="-20"/>
          <w:w w:val="105"/>
        </w:rPr>
        <w:t> </w:t>
      </w:r>
      <w:r>
        <w:rPr>
          <w:color w:val="231F20"/>
          <w:w w:val="105"/>
        </w:rPr>
        <w:t>ciudadanos</w:t>
      </w:r>
      <w:r>
        <w:rPr>
          <w:color w:val="231F20"/>
          <w:spacing w:val="-20"/>
          <w:w w:val="105"/>
        </w:rPr>
        <w:t> </w:t>
      </w:r>
      <w:r>
        <w:rPr>
          <w:color w:val="231F20"/>
          <w:w w:val="105"/>
        </w:rPr>
        <w:t>exigen</w:t>
      </w:r>
      <w:r>
        <w:rPr>
          <w:color w:val="231F20"/>
          <w:spacing w:val="-20"/>
          <w:w w:val="105"/>
        </w:rPr>
        <w:t> </w:t>
      </w:r>
      <w:r>
        <w:rPr>
          <w:color w:val="231F20"/>
          <w:w w:val="105"/>
        </w:rPr>
        <w:t>servicios</w:t>
      </w:r>
      <w:r>
        <w:rPr>
          <w:color w:val="231F20"/>
          <w:spacing w:val="-20"/>
          <w:w w:val="105"/>
        </w:rPr>
        <w:t> </w:t>
      </w:r>
      <w:r>
        <w:rPr>
          <w:color w:val="231F20"/>
          <w:w w:val="105"/>
        </w:rPr>
        <w:t>de</w:t>
      </w:r>
      <w:r>
        <w:rPr>
          <w:color w:val="231F20"/>
          <w:spacing w:val="-20"/>
          <w:w w:val="105"/>
        </w:rPr>
        <w:t> </w:t>
      </w:r>
      <w:r>
        <w:rPr>
          <w:color w:val="231F20"/>
          <w:w w:val="105"/>
        </w:rPr>
        <w:t>calidad</w:t>
      </w:r>
      <w:r>
        <w:rPr>
          <w:color w:val="231F20"/>
          <w:spacing w:val="-20"/>
          <w:w w:val="105"/>
        </w:rPr>
        <w:t> </w:t>
      </w:r>
      <w:r>
        <w:rPr>
          <w:color w:val="231F20"/>
          <w:w w:val="105"/>
        </w:rPr>
        <w:t>y</w:t>
      </w:r>
      <w:r>
        <w:rPr>
          <w:color w:val="231F20"/>
          <w:spacing w:val="-20"/>
          <w:w w:val="105"/>
        </w:rPr>
        <w:t> </w:t>
      </w:r>
      <w:r>
        <w:rPr>
          <w:color w:val="231F20"/>
          <w:w w:val="105"/>
        </w:rPr>
        <w:t>ma- </w:t>
      </w:r>
      <w:r>
        <w:rPr>
          <w:color w:val="231F20"/>
          <w:spacing w:val="-3"/>
          <w:w w:val="105"/>
        </w:rPr>
        <w:t>yor </w:t>
      </w:r>
      <w:r>
        <w:rPr>
          <w:color w:val="231F20"/>
          <w:w w:val="105"/>
        </w:rPr>
        <w:t>protagonismo en las decisiones que les afectan directamente, exigen transparencia y</w:t>
      </w:r>
      <w:r>
        <w:rPr>
          <w:color w:val="231F20"/>
          <w:spacing w:val="-19"/>
          <w:w w:val="105"/>
        </w:rPr>
        <w:t> </w:t>
      </w:r>
      <w:r>
        <w:rPr>
          <w:color w:val="231F20"/>
          <w:w w:val="105"/>
        </w:rPr>
        <w:t>rendición</w:t>
      </w:r>
      <w:r>
        <w:rPr>
          <w:color w:val="231F20"/>
          <w:spacing w:val="-19"/>
          <w:w w:val="105"/>
        </w:rPr>
        <w:t> </w:t>
      </w:r>
      <w:r>
        <w:rPr>
          <w:color w:val="231F20"/>
          <w:w w:val="105"/>
        </w:rPr>
        <w:t>de</w:t>
      </w:r>
      <w:r>
        <w:rPr>
          <w:color w:val="231F20"/>
          <w:spacing w:val="-19"/>
          <w:w w:val="105"/>
        </w:rPr>
        <w:t> </w:t>
      </w:r>
      <w:r>
        <w:rPr>
          <w:color w:val="231F20"/>
          <w:w w:val="105"/>
        </w:rPr>
        <w:t>cuentas</w:t>
      </w:r>
      <w:r>
        <w:rPr>
          <w:color w:val="231F20"/>
          <w:spacing w:val="-19"/>
          <w:w w:val="105"/>
        </w:rPr>
        <w:t> </w:t>
      </w:r>
      <w:r>
        <w:rPr>
          <w:color w:val="231F20"/>
          <w:w w:val="105"/>
        </w:rPr>
        <w:t>de</w:t>
      </w:r>
      <w:r>
        <w:rPr>
          <w:color w:val="231F20"/>
          <w:spacing w:val="-19"/>
          <w:w w:val="105"/>
        </w:rPr>
        <w:t> </w:t>
      </w:r>
      <w:r>
        <w:rPr>
          <w:color w:val="231F20"/>
          <w:w w:val="105"/>
        </w:rPr>
        <w:t>sus</w:t>
      </w:r>
      <w:r>
        <w:rPr>
          <w:color w:val="231F20"/>
          <w:spacing w:val="-19"/>
          <w:w w:val="105"/>
        </w:rPr>
        <w:t> </w:t>
      </w:r>
      <w:r>
        <w:rPr>
          <w:color w:val="231F20"/>
          <w:w w:val="105"/>
        </w:rPr>
        <w:t>gobernantes:</w:t>
      </w:r>
      <w:r>
        <w:rPr>
          <w:color w:val="231F20"/>
          <w:spacing w:val="-19"/>
          <w:w w:val="105"/>
        </w:rPr>
        <w:t> </w:t>
      </w:r>
      <w:r>
        <w:rPr>
          <w:color w:val="231F20"/>
          <w:spacing w:val="2"/>
          <w:w w:val="105"/>
        </w:rPr>
        <w:t>“la</w:t>
      </w:r>
      <w:r>
        <w:rPr>
          <w:color w:val="231F20"/>
          <w:spacing w:val="-19"/>
          <w:w w:val="105"/>
        </w:rPr>
        <w:t> </w:t>
      </w:r>
      <w:r>
        <w:rPr>
          <w:color w:val="231F20"/>
          <w:w w:val="105"/>
        </w:rPr>
        <w:t>participación</w:t>
      </w:r>
      <w:r>
        <w:rPr>
          <w:color w:val="231F20"/>
          <w:spacing w:val="-19"/>
          <w:w w:val="105"/>
        </w:rPr>
        <w:t> </w:t>
      </w:r>
      <w:r>
        <w:rPr>
          <w:color w:val="231F20"/>
          <w:w w:val="105"/>
        </w:rPr>
        <w:t>ciudadana</w:t>
      </w:r>
      <w:r>
        <w:rPr>
          <w:color w:val="231F20"/>
          <w:spacing w:val="-19"/>
          <w:w w:val="105"/>
        </w:rPr>
        <w:t> </w:t>
      </w:r>
      <w:r>
        <w:rPr>
          <w:color w:val="231F20"/>
          <w:w w:val="105"/>
        </w:rPr>
        <w:t>no</w:t>
      </w:r>
      <w:r>
        <w:rPr>
          <w:color w:val="231F20"/>
          <w:spacing w:val="-19"/>
          <w:w w:val="105"/>
        </w:rPr>
        <w:t> </w:t>
      </w:r>
      <w:r>
        <w:rPr>
          <w:color w:val="231F20"/>
          <w:w w:val="105"/>
        </w:rPr>
        <w:t>se</w:t>
      </w:r>
      <w:r>
        <w:rPr>
          <w:color w:val="231F20"/>
          <w:spacing w:val="-19"/>
          <w:w w:val="105"/>
        </w:rPr>
        <w:t> </w:t>
      </w:r>
      <w:r>
        <w:rPr>
          <w:color w:val="231F20"/>
          <w:w w:val="105"/>
        </w:rPr>
        <w:t>ciñe</w:t>
      </w:r>
      <w:r>
        <w:rPr>
          <w:color w:val="231F20"/>
          <w:spacing w:val="-19"/>
          <w:w w:val="105"/>
        </w:rPr>
        <w:t> </w:t>
      </w:r>
      <w:r>
        <w:rPr>
          <w:color w:val="231F20"/>
          <w:w w:val="105"/>
        </w:rPr>
        <w:t>única- mente</w:t>
      </w:r>
      <w:r>
        <w:rPr>
          <w:color w:val="231F20"/>
          <w:spacing w:val="-11"/>
          <w:w w:val="105"/>
        </w:rPr>
        <w:t> </w:t>
      </w:r>
      <w:r>
        <w:rPr>
          <w:color w:val="231F20"/>
          <w:spacing w:val="2"/>
          <w:w w:val="105"/>
        </w:rPr>
        <w:t>al</w:t>
      </w:r>
      <w:r>
        <w:rPr>
          <w:color w:val="231F20"/>
          <w:spacing w:val="-11"/>
          <w:w w:val="105"/>
        </w:rPr>
        <w:t> </w:t>
      </w:r>
      <w:r>
        <w:rPr>
          <w:color w:val="231F20"/>
          <w:w w:val="105"/>
        </w:rPr>
        <w:t>ejercicio</w:t>
      </w:r>
      <w:r>
        <w:rPr>
          <w:color w:val="231F20"/>
          <w:spacing w:val="-11"/>
          <w:w w:val="105"/>
        </w:rPr>
        <w:t> </w:t>
      </w:r>
      <w:r>
        <w:rPr>
          <w:color w:val="231F20"/>
          <w:w w:val="105"/>
        </w:rPr>
        <w:t>del</w:t>
      </w:r>
      <w:r>
        <w:rPr>
          <w:color w:val="231F20"/>
          <w:spacing w:val="-11"/>
          <w:w w:val="105"/>
        </w:rPr>
        <w:t> </w:t>
      </w:r>
      <w:r>
        <w:rPr>
          <w:color w:val="231F20"/>
          <w:w w:val="105"/>
        </w:rPr>
        <w:t>sufragio</w:t>
      </w:r>
      <w:r>
        <w:rPr>
          <w:color w:val="231F20"/>
          <w:spacing w:val="-11"/>
          <w:w w:val="105"/>
        </w:rPr>
        <w:t> </w:t>
      </w:r>
      <w:r>
        <w:rPr>
          <w:color w:val="231F20"/>
          <w:w w:val="105"/>
        </w:rPr>
        <w:t>universal</w:t>
      </w:r>
      <w:r>
        <w:rPr>
          <w:color w:val="231F20"/>
          <w:spacing w:val="-11"/>
          <w:w w:val="105"/>
        </w:rPr>
        <w:t> </w:t>
      </w:r>
      <w:r>
        <w:rPr>
          <w:color w:val="231F20"/>
          <w:w w:val="105"/>
        </w:rPr>
        <w:t>,</w:t>
      </w:r>
      <w:r>
        <w:rPr>
          <w:color w:val="231F20"/>
          <w:spacing w:val="-11"/>
          <w:w w:val="105"/>
        </w:rPr>
        <w:t> </w:t>
      </w:r>
      <w:r>
        <w:rPr>
          <w:color w:val="231F20"/>
          <w:w w:val="105"/>
        </w:rPr>
        <w:t>sino</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proyecta</w:t>
      </w:r>
      <w:r>
        <w:rPr>
          <w:color w:val="231F20"/>
          <w:spacing w:val="-11"/>
          <w:w w:val="105"/>
        </w:rPr>
        <w:t> </w:t>
      </w:r>
      <w:r>
        <w:rPr>
          <w:color w:val="231F20"/>
          <w:w w:val="105"/>
        </w:rPr>
        <w:t>hacia</w:t>
      </w:r>
      <w:r>
        <w:rPr>
          <w:color w:val="231F20"/>
          <w:spacing w:val="-11"/>
          <w:w w:val="105"/>
        </w:rPr>
        <w:t> </w:t>
      </w:r>
      <w:r>
        <w:rPr>
          <w:color w:val="231F20"/>
          <w:w w:val="105"/>
        </w:rPr>
        <w:t>la</w:t>
      </w:r>
      <w:r>
        <w:rPr>
          <w:color w:val="231F20"/>
          <w:spacing w:val="-11"/>
          <w:w w:val="105"/>
        </w:rPr>
        <w:t> </w:t>
      </w:r>
      <w:r>
        <w:rPr>
          <w:color w:val="231F20"/>
          <w:w w:val="105"/>
        </w:rPr>
        <w:t>discusión</w:t>
      </w:r>
      <w:r>
        <w:rPr>
          <w:color w:val="231F20"/>
          <w:spacing w:val="-11"/>
          <w:w w:val="105"/>
        </w:rPr>
        <w:t> </w:t>
      </w:r>
      <w:r>
        <w:rPr>
          <w:color w:val="231F20"/>
          <w:w w:val="105"/>
        </w:rPr>
        <w:t>de</w:t>
      </w:r>
      <w:r>
        <w:rPr>
          <w:color w:val="231F20"/>
          <w:spacing w:val="-11"/>
          <w:w w:val="105"/>
        </w:rPr>
        <w:t> </w:t>
      </w:r>
      <w:r>
        <w:rPr>
          <w:color w:val="231F20"/>
          <w:w w:val="105"/>
        </w:rPr>
        <w:t>los problemas</w:t>
      </w:r>
      <w:r>
        <w:rPr>
          <w:color w:val="231F20"/>
          <w:spacing w:val="-29"/>
          <w:w w:val="105"/>
        </w:rPr>
        <w:t> </w:t>
      </w:r>
      <w:r>
        <w:rPr>
          <w:color w:val="231F20"/>
          <w:w w:val="105"/>
        </w:rPr>
        <w:t>comunes,</w:t>
      </w:r>
      <w:r>
        <w:rPr>
          <w:color w:val="231F20"/>
          <w:spacing w:val="-29"/>
          <w:w w:val="105"/>
        </w:rPr>
        <w:t> </w:t>
      </w:r>
      <w:r>
        <w:rPr>
          <w:color w:val="231F20"/>
          <w:w w:val="105"/>
        </w:rPr>
        <w:t>y</w:t>
      </w:r>
      <w:r>
        <w:rPr>
          <w:color w:val="231F20"/>
          <w:spacing w:val="-29"/>
          <w:w w:val="105"/>
        </w:rPr>
        <w:t> </w:t>
      </w:r>
      <w:r>
        <w:rPr>
          <w:color w:val="231F20"/>
          <w:w w:val="105"/>
        </w:rPr>
        <w:t>cómo</w:t>
      </w:r>
      <w:r>
        <w:rPr>
          <w:color w:val="231F20"/>
          <w:spacing w:val="-29"/>
          <w:w w:val="105"/>
        </w:rPr>
        <w:t> </w:t>
      </w:r>
      <w:r>
        <w:rPr>
          <w:color w:val="231F20"/>
          <w:w w:val="105"/>
        </w:rPr>
        <w:t>es</w:t>
      </w:r>
      <w:r>
        <w:rPr>
          <w:color w:val="231F20"/>
          <w:spacing w:val="-29"/>
          <w:w w:val="105"/>
        </w:rPr>
        <w:t> </w:t>
      </w:r>
      <w:r>
        <w:rPr>
          <w:color w:val="231F20"/>
          <w:w w:val="105"/>
        </w:rPr>
        <w:t>factible</w:t>
      </w:r>
      <w:r>
        <w:rPr>
          <w:color w:val="231F20"/>
          <w:spacing w:val="-29"/>
          <w:w w:val="105"/>
        </w:rPr>
        <w:t> </w:t>
      </w:r>
      <w:r>
        <w:rPr>
          <w:color w:val="231F20"/>
          <w:w w:val="105"/>
        </w:rPr>
        <w:t>incorporarse</w:t>
      </w:r>
      <w:r>
        <w:rPr>
          <w:color w:val="231F20"/>
          <w:spacing w:val="-29"/>
          <w:w w:val="105"/>
        </w:rPr>
        <w:t> </w:t>
      </w:r>
      <w:r>
        <w:rPr>
          <w:color w:val="231F20"/>
          <w:spacing w:val="2"/>
          <w:w w:val="105"/>
        </w:rPr>
        <w:t>al</w:t>
      </w:r>
      <w:r>
        <w:rPr>
          <w:color w:val="231F20"/>
          <w:spacing w:val="-29"/>
          <w:w w:val="105"/>
        </w:rPr>
        <w:t> </w:t>
      </w:r>
      <w:r>
        <w:rPr>
          <w:color w:val="231F20"/>
          <w:w w:val="105"/>
        </w:rPr>
        <w:t>nivel</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discusiones</w:t>
      </w:r>
      <w:r>
        <w:rPr>
          <w:color w:val="231F20"/>
          <w:spacing w:val="-29"/>
          <w:w w:val="105"/>
        </w:rPr>
        <w:t> </w:t>
      </w:r>
      <w:r>
        <w:rPr>
          <w:color w:val="231F20"/>
          <w:w w:val="105"/>
        </w:rPr>
        <w:t>públicas” </w:t>
      </w:r>
      <w:r>
        <w:rPr>
          <w:color w:val="231F20"/>
        </w:rPr>
        <w:t>(Uvalle, </w:t>
      </w:r>
      <w:r>
        <w:rPr>
          <w:color w:val="231F20"/>
          <w:spacing w:val="2"/>
        </w:rPr>
        <w:t>2005:</w:t>
      </w:r>
      <w:r>
        <w:rPr>
          <w:color w:val="231F20"/>
          <w:spacing w:val="-28"/>
        </w:rPr>
        <w:t> </w:t>
      </w:r>
      <w:r>
        <w:rPr>
          <w:color w:val="231F20"/>
          <w:spacing w:val="-5"/>
        </w:rPr>
        <w:t>112).</w:t>
      </w:r>
    </w:p>
    <w:p>
      <w:pPr>
        <w:pStyle w:val="BodyText"/>
        <w:spacing w:before="1"/>
        <w:rPr>
          <w:sz w:val="26"/>
        </w:rPr>
      </w:pPr>
    </w:p>
    <w:p>
      <w:pPr>
        <w:pStyle w:val="BodyText"/>
        <w:spacing w:line="285" w:lineRule="auto"/>
        <w:ind w:left="110" w:right="107"/>
        <w:jc w:val="both"/>
      </w:pP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Ayuntamiento</w:t>
      </w:r>
      <w:r>
        <w:rPr>
          <w:color w:val="231F20"/>
          <w:spacing w:val="-7"/>
          <w:w w:val="105"/>
        </w:rPr>
        <w:t> </w:t>
      </w:r>
      <w:r>
        <w:rPr>
          <w:color w:val="231F20"/>
          <w:w w:val="105"/>
        </w:rPr>
        <w:t>de</w:t>
      </w:r>
      <w:r>
        <w:rPr>
          <w:color w:val="231F20"/>
          <w:spacing w:val="-7"/>
          <w:w w:val="105"/>
        </w:rPr>
        <w:t> </w:t>
      </w:r>
      <w:r>
        <w:rPr>
          <w:color w:val="231F20"/>
          <w:w w:val="105"/>
        </w:rPr>
        <w:t>Ozumba</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gobierno</w:t>
      </w:r>
      <w:r>
        <w:rPr>
          <w:color w:val="231F20"/>
          <w:spacing w:val="-7"/>
          <w:w w:val="105"/>
        </w:rPr>
        <w:t> </w:t>
      </w:r>
      <w:r>
        <w:rPr>
          <w:color w:val="231F20"/>
          <w:w w:val="105"/>
        </w:rPr>
        <w:t>emanado</w:t>
      </w:r>
      <w:r>
        <w:rPr>
          <w:color w:val="231F20"/>
          <w:spacing w:val="-7"/>
          <w:w w:val="105"/>
        </w:rPr>
        <w:t> </w:t>
      </w:r>
      <w:r>
        <w:rPr>
          <w:color w:val="231F20"/>
          <w:w w:val="105"/>
        </w:rPr>
        <w:t>del</w:t>
      </w:r>
      <w:r>
        <w:rPr>
          <w:color w:val="231F20"/>
          <w:spacing w:val="-7"/>
          <w:w w:val="105"/>
        </w:rPr>
        <w:t> </w:t>
      </w:r>
      <w:r>
        <w:rPr>
          <w:color w:val="231F20"/>
          <w:spacing w:val="-6"/>
          <w:w w:val="105"/>
        </w:rPr>
        <w:t>PT,</w:t>
      </w:r>
      <w:r>
        <w:rPr>
          <w:color w:val="231F20"/>
          <w:spacing w:val="-7"/>
          <w:w w:val="105"/>
        </w:rPr>
        <w:t> </w:t>
      </w:r>
      <w:r>
        <w:rPr>
          <w:color w:val="231F20"/>
          <w:w w:val="105"/>
        </w:rPr>
        <w:t>se</w:t>
      </w:r>
      <w:r>
        <w:rPr>
          <w:color w:val="231F20"/>
          <w:spacing w:val="-7"/>
          <w:w w:val="105"/>
        </w:rPr>
        <w:t> </w:t>
      </w:r>
      <w:r>
        <w:rPr>
          <w:color w:val="231F20"/>
          <w:w w:val="105"/>
        </w:rPr>
        <w:t>le</w:t>
      </w:r>
      <w:r>
        <w:rPr>
          <w:color w:val="231F20"/>
          <w:spacing w:val="-7"/>
          <w:w w:val="105"/>
        </w:rPr>
        <w:t> </w:t>
      </w:r>
      <w:r>
        <w:rPr>
          <w:color w:val="231F20"/>
          <w:w w:val="105"/>
        </w:rPr>
        <w:t>presta</w:t>
      </w:r>
      <w:r>
        <w:rPr>
          <w:color w:val="231F20"/>
          <w:spacing w:val="-7"/>
          <w:w w:val="105"/>
        </w:rPr>
        <w:t> </w:t>
      </w:r>
      <w:r>
        <w:rPr>
          <w:color w:val="231F20"/>
          <w:w w:val="105"/>
        </w:rPr>
        <w:t>atención a</w:t>
      </w:r>
      <w:r>
        <w:rPr>
          <w:color w:val="231F20"/>
          <w:spacing w:val="-10"/>
          <w:w w:val="105"/>
        </w:rPr>
        <w:t> </w:t>
      </w:r>
      <w:r>
        <w:rPr>
          <w:color w:val="231F20"/>
          <w:w w:val="105"/>
        </w:rPr>
        <w:t>la</w:t>
      </w:r>
      <w:r>
        <w:rPr>
          <w:color w:val="231F20"/>
          <w:spacing w:val="-10"/>
          <w:w w:val="105"/>
        </w:rPr>
        <w:t> </w:t>
      </w:r>
      <w:r>
        <w:rPr>
          <w:color w:val="231F20"/>
          <w:w w:val="105"/>
        </w:rPr>
        <w:t>participación</w:t>
      </w:r>
      <w:r>
        <w:rPr>
          <w:color w:val="231F20"/>
          <w:spacing w:val="-10"/>
          <w:w w:val="105"/>
        </w:rPr>
        <w:t> </w:t>
      </w:r>
      <w:r>
        <w:rPr>
          <w:color w:val="231F20"/>
          <w:w w:val="105"/>
        </w:rPr>
        <w:t>ciudadana,</w:t>
      </w:r>
      <w:r>
        <w:rPr>
          <w:color w:val="231F20"/>
          <w:spacing w:val="-10"/>
          <w:w w:val="105"/>
        </w:rPr>
        <w:t> </w:t>
      </w:r>
      <w:r>
        <w:rPr>
          <w:color w:val="231F20"/>
          <w:w w:val="105"/>
        </w:rPr>
        <w:t>así</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Bando</w:t>
      </w:r>
      <w:r>
        <w:rPr>
          <w:color w:val="231F20"/>
          <w:spacing w:val="-10"/>
          <w:w w:val="105"/>
        </w:rPr>
        <w:t> </w:t>
      </w:r>
      <w:r>
        <w:rPr>
          <w:color w:val="231F20"/>
          <w:w w:val="105"/>
        </w:rPr>
        <w:t>Municipal</w:t>
      </w:r>
      <w:r>
        <w:rPr>
          <w:color w:val="231F20"/>
          <w:spacing w:val="-10"/>
          <w:w w:val="105"/>
        </w:rPr>
        <w:t> </w:t>
      </w:r>
      <w:r>
        <w:rPr>
          <w:color w:val="231F20"/>
          <w:spacing w:val="2"/>
          <w:w w:val="105"/>
        </w:rPr>
        <w:t>2006-2009</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artículo</w:t>
      </w:r>
      <w:r>
        <w:rPr>
          <w:color w:val="231F20"/>
          <w:spacing w:val="-10"/>
          <w:w w:val="105"/>
        </w:rPr>
        <w:t> </w:t>
      </w:r>
      <w:r>
        <w:rPr>
          <w:color w:val="231F20"/>
          <w:w w:val="105"/>
        </w:rPr>
        <w:t>89</w:t>
      </w:r>
      <w:r>
        <w:rPr>
          <w:color w:val="231F20"/>
          <w:spacing w:val="-10"/>
          <w:w w:val="105"/>
        </w:rPr>
        <w:t> </w:t>
      </w:r>
      <w:r>
        <w:rPr>
          <w:color w:val="231F20"/>
          <w:w w:val="105"/>
        </w:rPr>
        <w:t>se destaca</w:t>
      </w:r>
      <w:r>
        <w:rPr>
          <w:color w:val="231F20"/>
          <w:spacing w:val="-24"/>
          <w:w w:val="105"/>
        </w:rPr>
        <w:t> </w:t>
      </w:r>
      <w:r>
        <w:rPr>
          <w:color w:val="231F20"/>
          <w:w w:val="105"/>
        </w:rPr>
        <w:t>que:</w:t>
      </w:r>
    </w:p>
    <w:p>
      <w:pPr>
        <w:pStyle w:val="BodyText"/>
        <w:spacing w:before="1"/>
        <w:ind w:left="677"/>
        <w:jc w:val="both"/>
      </w:pPr>
      <w:r>
        <w:rPr>
          <w:color w:val="231F20"/>
          <w:w w:val="105"/>
        </w:rPr>
        <w:t>La</w:t>
      </w:r>
      <w:r>
        <w:rPr>
          <w:color w:val="231F20"/>
          <w:spacing w:val="-12"/>
          <w:w w:val="105"/>
        </w:rPr>
        <w:t> </w:t>
      </w:r>
      <w:r>
        <w:rPr>
          <w:color w:val="231F20"/>
          <w:w w:val="105"/>
        </w:rPr>
        <w:t>consulta</w:t>
      </w:r>
      <w:r>
        <w:rPr>
          <w:color w:val="231F20"/>
          <w:spacing w:val="-12"/>
          <w:w w:val="105"/>
        </w:rPr>
        <w:t> </w:t>
      </w:r>
      <w:r>
        <w:rPr>
          <w:color w:val="231F20"/>
          <w:w w:val="105"/>
        </w:rPr>
        <w:t>popular</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medio</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del</w:t>
      </w:r>
      <w:r>
        <w:rPr>
          <w:color w:val="231F20"/>
          <w:spacing w:val="-12"/>
          <w:w w:val="105"/>
        </w:rPr>
        <w:t> </w:t>
      </w:r>
      <w:r>
        <w:rPr>
          <w:color w:val="231F20"/>
          <w:w w:val="105"/>
        </w:rPr>
        <w:t>cual</w:t>
      </w:r>
      <w:r>
        <w:rPr>
          <w:color w:val="231F20"/>
          <w:spacing w:val="-12"/>
          <w:w w:val="105"/>
        </w:rPr>
        <w:t> </w:t>
      </w:r>
      <w:r>
        <w:rPr>
          <w:color w:val="231F20"/>
          <w:w w:val="105"/>
        </w:rPr>
        <w:t>los</w:t>
      </w:r>
      <w:r>
        <w:rPr>
          <w:color w:val="231F20"/>
          <w:spacing w:val="-12"/>
          <w:w w:val="105"/>
        </w:rPr>
        <w:t> </w:t>
      </w:r>
      <w:r>
        <w:rPr>
          <w:color w:val="231F20"/>
          <w:w w:val="105"/>
        </w:rPr>
        <w:t>habitantes</w:t>
      </w:r>
      <w:r>
        <w:rPr>
          <w:color w:val="231F20"/>
          <w:spacing w:val="-12"/>
          <w:w w:val="105"/>
        </w:rPr>
        <w:t> </w:t>
      </w:r>
      <w:r>
        <w:rPr>
          <w:color w:val="231F20"/>
          <w:w w:val="105"/>
        </w:rPr>
        <w:t>y</w:t>
      </w:r>
      <w:r>
        <w:rPr>
          <w:color w:val="231F20"/>
          <w:spacing w:val="-12"/>
          <w:w w:val="105"/>
        </w:rPr>
        <w:t> </w:t>
      </w:r>
      <w:r>
        <w:rPr>
          <w:color w:val="231F20"/>
          <w:w w:val="105"/>
        </w:rPr>
        <w:t>vecinos</w:t>
      </w:r>
      <w:r>
        <w:rPr>
          <w:color w:val="231F20"/>
          <w:spacing w:val="-12"/>
          <w:w w:val="105"/>
        </w:rPr>
        <w:t> </w:t>
      </w:r>
      <w:r>
        <w:rPr>
          <w:color w:val="231F20"/>
          <w:w w:val="105"/>
        </w:rPr>
        <w:t>del</w:t>
      </w:r>
      <w:r>
        <w:rPr>
          <w:color w:val="231F20"/>
          <w:spacing w:val="-12"/>
          <w:w w:val="105"/>
        </w:rPr>
        <w:t> </w:t>
      </w:r>
      <w:r>
        <w:rPr>
          <w:color w:val="231F20"/>
          <w:spacing w:val="-3"/>
          <w:w w:val="105"/>
        </w:rPr>
        <w:t>mu-</w:t>
      </w:r>
    </w:p>
    <w:p>
      <w:pPr>
        <w:spacing w:after="0"/>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677" w:right="108"/>
        <w:jc w:val="both"/>
      </w:pPr>
      <w:r>
        <w:rPr>
          <w:color w:val="231F20"/>
        </w:rPr>
        <w:t>nicipio pueden emitir opiniones y formular propuestas de solución respecto a los problemas y a la prestación de servicios y obras públicas en el territorio munici- pal, ya sea referidos a un sector, delegación o localidad, que afecten </w:t>
      </w:r>
      <w:r>
        <w:rPr>
          <w:color w:val="231F20"/>
          <w:spacing w:val="2"/>
        </w:rPr>
        <w:t>al </w:t>
      </w:r>
      <w:r>
        <w:rPr>
          <w:color w:val="231F20"/>
        </w:rPr>
        <w:t>desarrollo integral del municipio en </w:t>
      </w:r>
      <w:r>
        <w:rPr>
          <w:color w:val="231F20"/>
          <w:spacing w:val="31"/>
        </w:rPr>
        <w:t> </w:t>
      </w:r>
      <w:r>
        <w:rPr>
          <w:color w:val="231F20"/>
        </w:rPr>
        <w:t>general.</w:t>
      </w:r>
    </w:p>
    <w:p>
      <w:pPr>
        <w:pStyle w:val="BodyText"/>
        <w:spacing w:before="1"/>
        <w:rPr>
          <w:sz w:val="26"/>
        </w:rPr>
      </w:pPr>
    </w:p>
    <w:p>
      <w:pPr>
        <w:pStyle w:val="BodyText"/>
        <w:spacing w:line="285" w:lineRule="auto"/>
        <w:ind w:left="110" w:right="108"/>
        <w:jc w:val="both"/>
      </w:pPr>
      <w:r>
        <w:rPr>
          <w:color w:val="231F20"/>
          <w:w w:val="105"/>
        </w:rPr>
        <w:t>Con ello se puede interpretar que se adapta a las circunstancias que exige una gestión pública</w:t>
      </w:r>
      <w:r>
        <w:rPr>
          <w:color w:val="231F20"/>
          <w:spacing w:val="-8"/>
          <w:w w:val="105"/>
        </w:rPr>
        <w:t> </w:t>
      </w:r>
      <w:r>
        <w:rPr>
          <w:color w:val="231F20"/>
          <w:w w:val="105"/>
        </w:rPr>
        <w:t>moderna</w:t>
      </w:r>
      <w:r>
        <w:rPr>
          <w:color w:val="231F20"/>
          <w:spacing w:val="-8"/>
          <w:w w:val="105"/>
        </w:rPr>
        <w:t> </w:t>
      </w:r>
      <w:r>
        <w:rPr>
          <w:color w:val="231F20"/>
          <w:w w:val="105"/>
        </w:rPr>
        <w:t>y</w:t>
      </w:r>
      <w:r>
        <w:rPr>
          <w:color w:val="231F20"/>
          <w:spacing w:val="-8"/>
          <w:w w:val="105"/>
        </w:rPr>
        <w:t> </w:t>
      </w:r>
      <w:r>
        <w:rPr>
          <w:color w:val="231F20"/>
          <w:w w:val="105"/>
        </w:rPr>
        <w:t>comprometida</w:t>
      </w:r>
      <w:r>
        <w:rPr>
          <w:color w:val="231F20"/>
          <w:spacing w:val="-8"/>
          <w:w w:val="105"/>
        </w:rPr>
        <w:t> </w:t>
      </w:r>
      <w:r>
        <w:rPr>
          <w:color w:val="231F20"/>
          <w:w w:val="105"/>
        </w:rPr>
        <w:t>con</w:t>
      </w:r>
      <w:r>
        <w:rPr>
          <w:color w:val="231F20"/>
          <w:spacing w:val="-8"/>
          <w:w w:val="105"/>
        </w:rPr>
        <w:t> </w:t>
      </w:r>
      <w:r>
        <w:rPr>
          <w:color w:val="231F20"/>
          <w:w w:val="105"/>
        </w:rPr>
        <w:t>sus</w:t>
      </w:r>
      <w:r>
        <w:rPr>
          <w:color w:val="231F20"/>
          <w:spacing w:val="-8"/>
          <w:w w:val="105"/>
        </w:rPr>
        <w:t> </w:t>
      </w:r>
      <w:r>
        <w:rPr>
          <w:color w:val="231F20"/>
          <w:w w:val="105"/>
        </w:rPr>
        <w:t>ciudadanos;</w:t>
      </w:r>
      <w:r>
        <w:rPr>
          <w:color w:val="231F20"/>
          <w:spacing w:val="-8"/>
          <w:w w:val="105"/>
        </w:rPr>
        <w:t> </w:t>
      </w:r>
      <w:r>
        <w:rPr>
          <w:color w:val="231F20"/>
          <w:w w:val="105"/>
        </w:rPr>
        <w:t>sin</w:t>
      </w:r>
      <w:r>
        <w:rPr>
          <w:color w:val="231F20"/>
          <w:spacing w:val="-8"/>
          <w:w w:val="105"/>
        </w:rPr>
        <w:t> </w:t>
      </w:r>
      <w:r>
        <w:rPr>
          <w:color w:val="231F20"/>
          <w:w w:val="105"/>
        </w:rPr>
        <w:t>embargo,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presentación del</w:t>
      </w:r>
      <w:r>
        <w:rPr>
          <w:color w:val="231F20"/>
          <w:spacing w:val="-19"/>
          <w:w w:val="105"/>
        </w:rPr>
        <w:t> </w:t>
      </w:r>
      <w:r>
        <w:rPr>
          <w:color w:val="231F20"/>
          <w:w w:val="105"/>
        </w:rPr>
        <w:t>Segundo</w:t>
      </w:r>
      <w:r>
        <w:rPr>
          <w:color w:val="231F20"/>
          <w:spacing w:val="-19"/>
          <w:w w:val="105"/>
        </w:rPr>
        <w:t> </w:t>
      </w:r>
      <w:r>
        <w:rPr>
          <w:color w:val="231F20"/>
          <w:w w:val="105"/>
        </w:rPr>
        <w:t>Informe</w:t>
      </w:r>
      <w:r>
        <w:rPr>
          <w:color w:val="231F20"/>
          <w:spacing w:val="-19"/>
          <w:w w:val="105"/>
        </w:rPr>
        <w:t> </w:t>
      </w:r>
      <w:r>
        <w:rPr>
          <w:color w:val="231F20"/>
          <w:w w:val="105"/>
        </w:rPr>
        <w:t>de</w:t>
      </w:r>
      <w:r>
        <w:rPr>
          <w:color w:val="231F20"/>
          <w:spacing w:val="-19"/>
          <w:w w:val="105"/>
        </w:rPr>
        <w:t> </w:t>
      </w:r>
      <w:r>
        <w:rPr>
          <w:color w:val="231F20"/>
          <w:w w:val="105"/>
        </w:rPr>
        <w:t>Gobierno</w:t>
      </w:r>
      <w:r>
        <w:rPr>
          <w:color w:val="231F20"/>
          <w:spacing w:val="-19"/>
          <w:w w:val="105"/>
        </w:rPr>
        <w:t> </w:t>
      </w:r>
      <w:r>
        <w:rPr>
          <w:color w:val="231F20"/>
          <w:w w:val="105"/>
        </w:rPr>
        <w:t>municipal</w:t>
      </w:r>
      <w:r>
        <w:rPr>
          <w:color w:val="231F20"/>
          <w:spacing w:val="-19"/>
          <w:w w:val="105"/>
        </w:rPr>
        <w:t> </w:t>
      </w:r>
      <w:r>
        <w:rPr>
          <w:color w:val="231F20"/>
          <w:w w:val="105"/>
        </w:rPr>
        <w:t>de</w:t>
      </w:r>
      <w:r>
        <w:rPr>
          <w:color w:val="231F20"/>
          <w:spacing w:val="-19"/>
          <w:w w:val="105"/>
        </w:rPr>
        <w:t> </w:t>
      </w:r>
      <w:r>
        <w:rPr>
          <w:color w:val="231F20"/>
          <w:spacing w:val="3"/>
          <w:w w:val="105"/>
        </w:rPr>
        <w:t>2008,</w:t>
      </w:r>
      <w:r>
        <w:rPr>
          <w:color w:val="231F20"/>
          <w:spacing w:val="-19"/>
          <w:w w:val="105"/>
        </w:rPr>
        <w:t> </w:t>
      </w:r>
      <w:r>
        <w:rPr>
          <w:color w:val="231F20"/>
          <w:w w:val="105"/>
        </w:rPr>
        <w:t>sólo</w:t>
      </w:r>
      <w:r>
        <w:rPr>
          <w:color w:val="231F20"/>
          <w:spacing w:val="-19"/>
          <w:w w:val="105"/>
        </w:rPr>
        <w:t> </w:t>
      </w:r>
      <w:r>
        <w:rPr>
          <w:color w:val="231F20"/>
          <w:w w:val="105"/>
        </w:rPr>
        <w:t>se</w:t>
      </w:r>
      <w:r>
        <w:rPr>
          <w:color w:val="231F20"/>
          <w:spacing w:val="-19"/>
          <w:w w:val="105"/>
        </w:rPr>
        <w:t> </w:t>
      </w:r>
      <w:r>
        <w:rPr>
          <w:color w:val="231F20"/>
          <w:w w:val="105"/>
        </w:rPr>
        <w:t>habla</w:t>
      </w:r>
      <w:r>
        <w:rPr>
          <w:color w:val="231F20"/>
          <w:spacing w:val="-19"/>
          <w:w w:val="105"/>
        </w:rPr>
        <w:t> </w:t>
      </w:r>
      <w:r>
        <w:rPr>
          <w:color w:val="231F20"/>
          <w:w w:val="105"/>
        </w:rPr>
        <w:t>de</w:t>
      </w:r>
      <w:r>
        <w:rPr>
          <w:color w:val="231F20"/>
          <w:spacing w:val="-19"/>
          <w:w w:val="105"/>
        </w:rPr>
        <w:t> </w:t>
      </w:r>
      <w:r>
        <w:rPr>
          <w:color w:val="231F20"/>
          <w:w w:val="105"/>
        </w:rPr>
        <w:t>esa</w:t>
      </w:r>
      <w:r>
        <w:rPr>
          <w:color w:val="231F20"/>
          <w:spacing w:val="-19"/>
          <w:w w:val="105"/>
        </w:rPr>
        <w:t> </w:t>
      </w:r>
      <w:r>
        <w:rPr>
          <w:color w:val="231F20"/>
          <w:w w:val="105"/>
        </w:rPr>
        <w:t>participación en la</w:t>
      </w:r>
      <w:r>
        <w:rPr>
          <w:color w:val="231F20"/>
          <w:spacing w:val="-43"/>
          <w:w w:val="105"/>
        </w:rPr>
        <w:t> </w:t>
      </w:r>
      <w:r>
        <w:rPr>
          <w:color w:val="231F20"/>
          <w:w w:val="105"/>
        </w:rPr>
        <w:t>Presentación:</w:t>
      </w:r>
    </w:p>
    <w:p>
      <w:pPr>
        <w:pStyle w:val="BodyText"/>
        <w:spacing w:line="285" w:lineRule="auto" w:before="1"/>
        <w:ind w:left="677" w:right="106"/>
        <w:jc w:val="both"/>
      </w:pPr>
      <w:r>
        <w:rPr>
          <w:color w:val="231F20"/>
          <w:w w:val="105"/>
        </w:rPr>
        <w:t>En el estado que guarda la Administración Municipal de Ozumba, volvió a ser importante la participación de la gente en las obras y acciones de Gobierno, de aquella gente que pagó con oportunidad sus impuestos, de la que trabajó y dio su aportación para realizar las obras que ya le benefician, de la que adquirió los apoyos</w:t>
      </w:r>
      <w:r>
        <w:rPr>
          <w:color w:val="231F20"/>
          <w:spacing w:val="-14"/>
          <w:w w:val="105"/>
        </w:rPr>
        <w:t> </w:t>
      </w:r>
      <w:r>
        <w:rPr>
          <w:color w:val="231F20"/>
          <w:w w:val="105"/>
        </w:rPr>
        <w:t>productivos</w:t>
      </w:r>
      <w:r>
        <w:rPr>
          <w:color w:val="231F20"/>
          <w:spacing w:val="-14"/>
          <w:w w:val="105"/>
        </w:rPr>
        <w:t> </w:t>
      </w:r>
      <w:r>
        <w:rPr>
          <w:color w:val="231F20"/>
          <w:w w:val="105"/>
        </w:rPr>
        <w:t>que</w:t>
      </w:r>
      <w:r>
        <w:rPr>
          <w:color w:val="231F20"/>
          <w:spacing w:val="-14"/>
          <w:w w:val="105"/>
        </w:rPr>
        <w:t> </w:t>
      </w:r>
      <w:r>
        <w:rPr>
          <w:color w:val="231F20"/>
          <w:w w:val="105"/>
        </w:rPr>
        <w:t>necesitaban</w:t>
      </w:r>
      <w:r>
        <w:rPr>
          <w:color w:val="231F20"/>
          <w:spacing w:val="-14"/>
          <w:w w:val="105"/>
        </w:rPr>
        <w:t> </w:t>
      </w:r>
      <w:r>
        <w:rPr>
          <w:color w:val="231F20"/>
          <w:w w:val="105"/>
        </w:rPr>
        <w:t>para</w:t>
      </w:r>
      <w:r>
        <w:rPr>
          <w:color w:val="231F20"/>
          <w:spacing w:val="-14"/>
          <w:w w:val="105"/>
        </w:rPr>
        <w:t> </w:t>
      </w:r>
      <w:r>
        <w:rPr>
          <w:color w:val="231F20"/>
          <w:w w:val="105"/>
        </w:rPr>
        <w:t>producir</w:t>
      </w:r>
      <w:r>
        <w:rPr>
          <w:color w:val="231F20"/>
          <w:spacing w:val="-14"/>
          <w:w w:val="105"/>
        </w:rPr>
        <w:t> </w:t>
      </w:r>
      <w:r>
        <w:rPr>
          <w:color w:val="231F20"/>
          <w:w w:val="105"/>
        </w:rPr>
        <w:t>más,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sumó</w:t>
      </w:r>
      <w:r>
        <w:rPr>
          <w:color w:val="231F20"/>
          <w:spacing w:val="-14"/>
          <w:w w:val="105"/>
        </w:rPr>
        <w:t> </w:t>
      </w:r>
      <w:r>
        <w:rPr>
          <w:color w:val="231F20"/>
          <w:w w:val="105"/>
        </w:rPr>
        <w:t>a</w:t>
      </w:r>
      <w:r>
        <w:rPr>
          <w:color w:val="231F20"/>
          <w:spacing w:val="-14"/>
          <w:w w:val="105"/>
        </w:rPr>
        <w:t> </w:t>
      </w:r>
      <w:r>
        <w:rPr>
          <w:color w:val="231F20"/>
          <w:w w:val="105"/>
        </w:rPr>
        <w:t>todas las</w:t>
      </w:r>
      <w:r>
        <w:rPr>
          <w:color w:val="231F20"/>
          <w:spacing w:val="-6"/>
          <w:w w:val="105"/>
        </w:rPr>
        <w:t> </w:t>
      </w:r>
      <w:r>
        <w:rPr>
          <w:color w:val="231F20"/>
          <w:w w:val="105"/>
        </w:rPr>
        <w:t>acciones</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Gobierno</w:t>
      </w:r>
      <w:r>
        <w:rPr>
          <w:color w:val="231F20"/>
          <w:spacing w:val="-6"/>
          <w:w w:val="105"/>
        </w:rPr>
        <w:t> </w:t>
      </w:r>
      <w:r>
        <w:rPr>
          <w:color w:val="231F20"/>
          <w:w w:val="105"/>
        </w:rPr>
        <w:t>Municipal</w:t>
      </w:r>
      <w:r>
        <w:rPr>
          <w:color w:val="231F20"/>
          <w:spacing w:val="-6"/>
          <w:w w:val="105"/>
        </w:rPr>
        <w:t> </w:t>
      </w:r>
      <w:r>
        <w:rPr>
          <w:color w:val="231F20"/>
          <w:w w:val="105"/>
        </w:rPr>
        <w:t>realizó</w:t>
      </w:r>
      <w:r>
        <w:rPr>
          <w:color w:val="231F20"/>
          <w:spacing w:val="-6"/>
          <w:w w:val="105"/>
        </w:rPr>
        <w:t> </w:t>
      </w:r>
      <w:r>
        <w:rPr>
          <w:color w:val="231F20"/>
          <w:w w:val="105"/>
        </w:rPr>
        <w:t>para</w:t>
      </w:r>
      <w:r>
        <w:rPr>
          <w:color w:val="231F20"/>
          <w:spacing w:val="-6"/>
          <w:w w:val="105"/>
        </w:rPr>
        <w:t> </w:t>
      </w:r>
      <w:r>
        <w:rPr>
          <w:color w:val="231F20"/>
          <w:w w:val="105"/>
        </w:rPr>
        <w:t>poder</w:t>
      </w:r>
      <w:r>
        <w:rPr>
          <w:color w:val="231F20"/>
          <w:spacing w:val="-6"/>
          <w:w w:val="105"/>
        </w:rPr>
        <w:t> </w:t>
      </w:r>
      <w:r>
        <w:rPr>
          <w:color w:val="231F20"/>
          <w:w w:val="105"/>
        </w:rPr>
        <w:t>proporcionarles</w:t>
      </w:r>
      <w:r>
        <w:rPr>
          <w:color w:val="231F20"/>
          <w:spacing w:val="-6"/>
          <w:w w:val="105"/>
        </w:rPr>
        <w:t> </w:t>
      </w:r>
      <w:r>
        <w:rPr>
          <w:color w:val="231F20"/>
          <w:w w:val="105"/>
        </w:rPr>
        <w:t>agua potable,</w:t>
      </w:r>
      <w:r>
        <w:rPr>
          <w:color w:val="231F20"/>
          <w:spacing w:val="-20"/>
          <w:w w:val="105"/>
        </w:rPr>
        <w:t> </w:t>
      </w:r>
      <w:r>
        <w:rPr>
          <w:color w:val="231F20"/>
          <w:w w:val="105"/>
        </w:rPr>
        <w:t>tener</w:t>
      </w:r>
      <w:r>
        <w:rPr>
          <w:color w:val="231F20"/>
          <w:spacing w:val="-20"/>
          <w:w w:val="105"/>
        </w:rPr>
        <w:t> </w:t>
      </w:r>
      <w:r>
        <w:rPr>
          <w:color w:val="231F20"/>
          <w:w w:val="105"/>
        </w:rPr>
        <w:t>el</w:t>
      </w:r>
      <w:r>
        <w:rPr>
          <w:color w:val="231F20"/>
          <w:spacing w:val="-20"/>
          <w:w w:val="105"/>
        </w:rPr>
        <w:t> </w:t>
      </w:r>
      <w:r>
        <w:rPr>
          <w:color w:val="231F20"/>
          <w:w w:val="105"/>
        </w:rPr>
        <w:t>servicio</w:t>
      </w:r>
      <w:r>
        <w:rPr>
          <w:color w:val="231F20"/>
          <w:spacing w:val="-20"/>
          <w:w w:val="105"/>
        </w:rPr>
        <w:t> </w:t>
      </w:r>
      <w:r>
        <w:rPr>
          <w:color w:val="231F20"/>
          <w:w w:val="105"/>
        </w:rPr>
        <w:t>de</w:t>
      </w:r>
      <w:r>
        <w:rPr>
          <w:color w:val="231F20"/>
          <w:spacing w:val="-20"/>
          <w:w w:val="105"/>
        </w:rPr>
        <w:t> </w:t>
      </w:r>
      <w:r>
        <w:rPr>
          <w:color w:val="231F20"/>
          <w:w w:val="105"/>
        </w:rPr>
        <w:t>alumbrado</w:t>
      </w:r>
      <w:r>
        <w:rPr>
          <w:color w:val="231F20"/>
          <w:spacing w:val="-20"/>
          <w:w w:val="105"/>
        </w:rPr>
        <w:t> </w:t>
      </w:r>
      <w:r>
        <w:rPr>
          <w:color w:val="231F20"/>
          <w:w w:val="105"/>
        </w:rPr>
        <w:t>público,</w:t>
      </w:r>
      <w:r>
        <w:rPr>
          <w:color w:val="231F20"/>
          <w:spacing w:val="-20"/>
          <w:w w:val="105"/>
        </w:rPr>
        <w:t> </w:t>
      </w:r>
      <w:r>
        <w:rPr>
          <w:color w:val="231F20"/>
          <w:w w:val="105"/>
        </w:rPr>
        <w:t>mejorar</w:t>
      </w:r>
      <w:r>
        <w:rPr>
          <w:color w:val="231F20"/>
          <w:spacing w:val="-20"/>
          <w:w w:val="105"/>
        </w:rPr>
        <w:t> </w:t>
      </w:r>
      <w:r>
        <w:rPr>
          <w:color w:val="231F20"/>
          <w:w w:val="105"/>
        </w:rPr>
        <w:t>escuelas,</w:t>
      </w:r>
      <w:r>
        <w:rPr>
          <w:color w:val="231F20"/>
          <w:spacing w:val="-20"/>
          <w:w w:val="105"/>
        </w:rPr>
        <w:t> </w:t>
      </w:r>
      <w:r>
        <w:rPr>
          <w:color w:val="231F20"/>
          <w:w w:val="105"/>
        </w:rPr>
        <w:t>la</w:t>
      </w:r>
      <w:r>
        <w:rPr>
          <w:color w:val="231F20"/>
          <w:spacing w:val="-20"/>
          <w:w w:val="105"/>
        </w:rPr>
        <w:t> </w:t>
      </w:r>
      <w:r>
        <w:rPr>
          <w:color w:val="231F20"/>
          <w:w w:val="105"/>
        </w:rPr>
        <w:t>que</w:t>
      </w:r>
      <w:r>
        <w:rPr>
          <w:color w:val="231F20"/>
          <w:spacing w:val="-20"/>
          <w:w w:val="105"/>
        </w:rPr>
        <w:t> </w:t>
      </w:r>
      <w:r>
        <w:rPr>
          <w:color w:val="231F20"/>
          <w:w w:val="105"/>
        </w:rPr>
        <w:t>participó en</w:t>
      </w:r>
      <w:r>
        <w:rPr>
          <w:color w:val="231F20"/>
          <w:spacing w:val="-7"/>
          <w:w w:val="105"/>
        </w:rPr>
        <w:t> </w:t>
      </w:r>
      <w:r>
        <w:rPr>
          <w:color w:val="231F20"/>
          <w:w w:val="105"/>
        </w:rPr>
        <w:t>las</w:t>
      </w:r>
      <w:r>
        <w:rPr>
          <w:color w:val="231F20"/>
          <w:spacing w:val="-7"/>
          <w:w w:val="105"/>
        </w:rPr>
        <w:t> </w:t>
      </w:r>
      <w:r>
        <w:rPr>
          <w:color w:val="231F20"/>
          <w:w w:val="105"/>
        </w:rPr>
        <w:t>campañas</w:t>
      </w:r>
      <w:r>
        <w:rPr>
          <w:color w:val="231F20"/>
          <w:spacing w:val="-7"/>
          <w:w w:val="105"/>
        </w:rPr>
        <w:t> </w:t>
      </w:r>
      <w:r>
        <w:rPr>
          <w:color w:val="231F20"/>
          <w:w w:val="105"/>
        </w:rPr>
        <w:t>de</w:t>
      </w:r>
      <w:r>
        <w:rPr>
          <w:color w:val="231F20"/>
          <w:spacing w:val="-7"/>
          <w:w w:val="105"/>
        </w:rPr>
        <w:t> </w:t>
      </w:r>
      <w:r>
        <w:rPr>
          <w:color w:val="231F20"/>
          <w:w w:val="105"/>
        </w:rPr>
        <w:t>salud,</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mejoramiento</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vivienda,</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organización del</w:t>
      </w:r>
      <w:r>
        <w:rPr>
          <w:color w:val="231F20"/>
          <w:spacing w:val="-14"/>
          <w:w w:val="105"/>
        </w:rPr>
        <w:t> </w:t>
      </w:r>
      <w:r>
        <w:rPr>
          <w:color w:val="231F20"/>
          <w:w w:val="105"/>
        </w:rPr>
        <w:t>comercio,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ordenamiento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vialidad</w:t>
      </w:r>
      <w:r>
        <w:rPr>
          <w:color w:val="231F20"/>
          <w:spacing w:val="-14"/>
          <w:w w:val="105"/>
        </w:rPr>
        <w:t> </w:t>
      </w:r>
      <w:r>
        <w:rPr>
          <w:color w:val="231F20"/>
          <w:w w:val="105"/>
        </w:rPr>
        <w:t>y</w:t>
      </w:r>
      <w:r>
        <w:rPr>
          <w:color w:val="231F20"/>
          <w:spacing w:val="-14"/>
          <w:w w:val="105"/>
        </w:rPr>
        <w:t> </w:t>
      </w:r>
      <w:r>
        <w:rPr>
          <w:color w:val="231F20"/>
          <w:w w:val="105"/>
        </w:rPr>
        <w:t>del</w:t>
      </w:r>
      <w:r>
        <w:rPr>
          <w:color w:val="231F20"/>
          <w:spacing w:val="-14"/>
          <w:w w:val="105"/>
        </w:rPr>
        <w:t> </w:t>
      </w:r>
      <w:r>
        <w:rPr>
          <w:color w:val="231F20"/>
          <w:w w:val="105"/>
        </w:rPr>
        <w:t>transporte,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que</w:t>
      </w:r>
      <w:r>
        <w:rPr>
          <w:color w:val="231F20"/>
          <w:spacing w:val="-14"/>
          <w:w w:val="105"/>
        </w:rPr>
        <w:t> </w:t>
      </w:r>
      <w:r>
        <w:rPr>
          <w:color w:val="231F20"/>
          <w:w w:val="105"/>
        </w:rPr>
        <w:t>hizo</w:t>
      </w:r>
      <w:r>
        <w:rPr>
          <w:color w:val="231F20"/>
          <w:spacing w:val="-14"/>
          <w:w w:val="105"/>
        </w:rPr>
        <w:t> </w:t>
      </w:r>
      <w:r>
        <w:rPr>
          <w:color w:val="231F20"/>
          <w:w w:val="105"/>
        </w:rPr>
        <w:t>su denuncia</w:t>
      </w:r>
      <w:r>
        <w:rPr>
          <w:color w:val="231F20"/>
          <w:spacing w:val="-19"/>
          <w:w w:val="105"/>
        </w:rPr>
        <w:t> </w:t>
      </w:r>
      <w:r>
        <w:rPr>
          <w:color w:val="231F20"/>
          <w:w w:val="105"/>
        </w:rPr>
        <w:t>y</w:t>
      </w:r>
      <w:r>
        <w:rPr>
          <w:color w:val="231F20"/>
          <w:spacing w:val="-19"/>
          <w:w w:val="105"/>
        </w:rPr>
        <w:t> </w:t>
      </w:r>
      <w:r>
        <w:rPr>
          <w:color w:val="231F20"/>
          <w:w w:val="105"/>
        </w:rPr>
        <w:t>participó</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combate</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delincuencia,</w:t>
      </w:r>
      <w:r>
        <w:rPr>
          <w:color w:val="231F20"/>
          <w:spacing w:val="-19"/>
          <w:w w:val="105"/>
        </w:rPr>
        <w:t> </w:t>
      </w:r>
      <w:r>
        <w:rPr>
          <w:color w:val="231F20"/>
          <w:w w:val="105"/>
        </w:rPr>
        <w:t>la</w:t>
      </w:r>
      <w:r>
        <w:rPr>
          <w:color w:val="231F20"/>
          <w:spacing w:val="-19"/>
          <w:w w:val="105"/>
        </w:rPr>
        <w:t> </w:t>
      </w:r>
      <w:r>
        <w:rPr>
          <w:color w:val="231F20"/>
          <w:w w:val="105"/>
        </w:rPr>
        <w:t>que</w:t>
      </w:r>
      <w:r>
        <w:rPr>
          <w:color w:val="231F20"/>
          <w:spacing w:val="-19"/>
          <w:w w:val="105"/>
        </w:rPr>
        <w:t> </w:t>
      </w:r>
      <w:r>
        <w:rPr>
          <w:color w:val="231F20"/>
          <w:w w:val="105"/>
        </w:rPr>
        <w:t>decidió</w:t>
      </w:r>
      <w:r>
        <w:rPr>
          <w:color w:val="231F20"/>
          <w:spacing w:val="-19"/>
          <w:w w:val="105"/>
        </w:rPr>
        <w:t> </w:t>
      </w:r>
      <w:r>
        <w:rPr>
          <w:color w:val="231F20"/>
          <w:w w:val="105"/>
        </w:rPr>
        <w:t>prevenir</w:t>
      </w:r>
      <w:r>
        <w:rPr>
          <w:color w:val="231F20"/>
          <w:spacing w:val="-19"/>
          <w:w w:val="105"/>
        </w:rPr>
        <w:t> </w:t>
      </w:r>
      <w:r>
        <w:rPr>
          <w:color w:val="231F20"/>
          <w:w w:val="105"/>
        </w:rPr>
        <w:t>acci- dentes</w:t>
      </w:r>
      <w:r>
        <w:rPr>
          <w:color w:val="231F20"/>
          <w:spacing w:val="-13"/>
          <w:w w:val="105"/>
        </w:rPr>
        <w:t> </w:t>
      </w:r>
      <w:r>
        <w:rPr>
          <w:color w:val="231F20"/>
          <w:w w:val="105"/>
        </w:rPr>
        <w:t>y</w:t>
      </w:r>
      <w:r>
        <w:rPr>
          <w:color w:val="231F20"/>
          <w:spacing w:val="-13"/>
          <w:w w:val="105"/>
        </w:rPr>
        <w:t> </w:t>
      </w:r>
      <w:r>
        <w:rPr>
          <w:color w:val="231F20"/>
          <w:w w:val="105"/>
        </w:rPr>
        <w:t>participar</w:t>
      </w:r>
      <w:r>
        <w:rPr>
          <w:color w:val="231F20"/>
          <w:spacing w:val="-13"/>
          <w:w w:val="105"/>
        </w:rPr>
        <w:t> </w:t>
      </w:r>
      <w:r>
        <w:rPr>
          <w:color w:val="231F20"/>
          <w:w w:val="105"/>
        </w:rPr>
        <w:t>en</w:t>
      </w:r>
      <w:r>
        <w:rPr>
          <w:color w:val="231F20"/>
          <w:spacing w:val="-13"/>
          <w:w w:val="105"/>
        </w:rPr>
        <w:t> </w:t>
      </w:r>
      <w:r>
        <w:rPr>
          <w:color w:val="231F20"/>
          <w:w w:val="105"/>
        </w:rPr>
        <w:t>acciones</w:t>
      </w:r>
      <w:r>
        <w:rPr>
          <w:color w:val="231F20"/>
          <w:spacing w:val="-13"/>
          <w:w w:val="105"/>
        </w:rPr>
        <w:t> </w:t>
      </w:r>
      <w:r>
        <w:rPr>
          <w:color w:val="231F20"/>
          <w:w w:val="105"/>
        </w:rPr>
        <w:t>de</w:t>
      </w:r>
      <w:r>
        <w:rPr>
          <w:color w:val="231F20"/>
          <w:spacing w:val="-13"/>
          <w:w w:val="105"/>
        </w:rPr>
        <w:t> </w:t>
      </w:r>
      <w:r>
        <w:rPr>
          <w:color w:val="231F20"/>
          <w:w w:val="105"/>
        </w:rPr>
        <w:t>protección</w:t>
      </w:r>
      <w:r>
        <w:rPr>
          <w:color w:val="231F20"/>
          <w:spacing w:val="-13"/>
          <w:w w:val="105"/>
        </w:rPr>
        <w:t> </w:t>
      </w:r>
      <w:r>
        <w:rPr>
          <w:color w:val="231F20"/>
          <w:w w:val="105"/>
        </w:rPr>
        <w:t>civil,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w w:val="105"/>
        </w:rPr>
        <w:t>practicó</w:t>
      </w:r>
      <w:r>
        <w:rPr>
          <w:color w:val="231F20"/>
          <w:spacing w:val="-13"/>
          <w:w w:val="105"/>
        </w:rPr>
        <w:t> </w:t>
      </w:r>
      <w:r>
        <w:rPr>
          <w:color w:val="231F20"/>
          <w:w w:val="105"/>
        </w:rPr>
        <w:t>el</w:t>
      </w:r>
      <w:r>
        <w:rPr>
          <w:color w:val="231F20"/>
          <w:spacing w:val="-13"/>
          <w:w w:val="105"/>
        </w:rPr>
        <w:t> </w:t>
      </w:r>
      <w:r>
        <w:rPr>
          <w:color w:val="231F20"/>
          <w:w w:val="105"/>
        </w:rPr>
        <w:t>deporte</w:t>
      </w:r>
      <w:r>
        <w:rPr>
          <w:color w:val="231F20"/>
          <w:spacing w:val="-13"/>
          <w:w w:val="105"/>
        </w:rPr>
        <w:t> </w:t>
      </w:r>
      <w:r>
        <w:rPr>
          <w:color w:val="231F20"/>
          <w:w w:val="105"/>
        </w:rPr>
        <w:t>y la</w:t>
      </w:r>
      <w:r>
        <w:rPr>
          <w:color w:val="231F20"/>
          <w:spacing w:val="-13"/>
          <w:w w:val="105"/>
        </w:rPr>
        <w:t> </w:t>
      </w:r>
      <w:r>
        <w:rPr>
          <w:color w:val="231F20"/>
          <w:w w:val="105"/>
        </w:rPr>
        <w:t>activación</w:t>
      </w:r>
      <w:r>
        <w:rPr>
          <w:color w:val="231F20"/>
          <w:spacing w:val="-13"/>
          <w:w w:val="105"/>
        </w:rPr>
        <w:t> </w:t>
      </w:r>
      <w:r>
        <w:rPr>
          <w:color w:val="231F20"/>
          <w:w w:val="105"/>
        </w:rPr>
        <w:t>física,</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w w:val="105"/>
        </w:rPr>
        <w:t>participó</w:t>
      </w:r>
      <w:r>
        <w:rPr>
          <w:color w:val="231F20"/>
          <w:spacing w:val="-13"/>
          <w:w w:val="105"/>
        </w:rPr>
        <w:t> </w:t>
      </w:r>
      <w:r>
        <w:rPr>
          <w:color w:val="231F20"/>
          <w:w w:val="105"/>
        </w:rPr>
        <w:t>en</w:t>
      </w:r>
      <w:r>
        <w:rPr>
          <w:color w:val="231F20"/>
          <w:spacing w:val="-13"/>
          <w:w w:val="105"/>
        </w:rPr>
        <w:t> </w:t>
      </w:r>
      <w:r>
        <w:rPr>
          <w:color w:val="231F20"/>
          <w:w w:val="105"/>
        </w:rPr>
        <w:t>actividades</w:t>
      </w:r>
      <w:r>
        <w:rPr>
          <w:color w:val="231F20"/>
          <w:spacing w:val="-13"/>
          <w:w w:val="105"/>
        </w:rPr>
        <w:t> </w:t>
      </w:r>
      <w:r>
        <w:rPr>
          <w:color w:val="231F20"/>
          <w:w w:val="105"/>
        </w:rPr>
        <w:t>de</w:t>
      </w:r>
      <w:r>
        <w:rPr>
          <w:color w:val="231F20"/>
          <w:spacing w:val="-13"/>
          <w:w w:val="105"/>
        </w:rPr>
        <w:t> </w:t>
      </w:r>
      <w:r>
        <w:rPr>
          <w:color w:val="231F20"/>
          <w:w w:val="105"/>
        </w:rPr>
        <w:t>cultura,</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w w:val="105"/>
        </w:rPr>
        <w:t>dio</w:t>
      </w:r>
      <w:r>
        <w:rPr>
          <w:color w:val="231F20"/>
          <w:spacing w:val="-13"/>
          <w:w w:val="105"/>
        </w:rPr>
        <w:t> </w:t>
      </w:r>
      <w:r>
        <w:rPr>
          <w:color w:val="231F20"/>
          <w:w w:val="105"/>
        </w:rPr>
        <w:t>orden</w:t>
      </w:r>
      <w:r>
        <w:rPr>
          <w:color w:val="231F20"/>
          <w:spacing w:val="-13"/>
          <w:w w:val="105"/>
        </w:rPr>
        <w:t> </w:t>
      </w:r>
      <w:r>
        <w:rPr>
          <w:color w:val="231F20"/>
          <w:w w:val="105"/>
        </w:rPr>
        <w:t>en los</w:t>
      </w:r>
      <w:r>
        <w:rPr>
          <w:color w:val="231F20"/>
          <w:spacing w:val="-23"/>
          <w:w w:val="105"/>
        </w:rPr>
        <w:t> </w:t>
      </w:r>
      <w:r>
        <w:rPr>
          <w:color w:val="231F20"/>
          <w:spacing w:val="2"/>
          <w:w w:val="105"/>
        </w:rPr>
        <w:t>tianguis</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comercio;</w:t>
      </w:r>
      <w:r>
        <w:rPr>
          <w:color w:val="231F20"/>
          <w:spacing w:val="-23"/>
          <w:w w:val="105"/>
        </w:rPr>
        <w:t> </w:t>
      </w:r>
      <w:r>
        <w:rPr>
          <w:color w:val="231F20"/>
          <w:w w:val="105"/>
        </w:rPr>
        <w:t>en</w:t>
      </w:r>
      <w:r>
        <w:rPr>
          <w:color w:val="231F20"/>
          <w:spacing w:val="-23"/>
          <w:w w:val="105"/>
        </w:rPr>
        <w:t> </w:t>
      </w:r>
      <w:r>
        <w:rPr>
          <w:color w:val="231F20"/>
          <w:w w:val="105"/>
        </w:rPr>
        <w:t>fin,</w:t>
      </w:r>
      <w:r>
        <w:rPr>
          <w:color w:val="231F20"/>
          <w:spacing w:val="-23"/>
          <w:w w:val="105"/>
        </w:rPr>
        <w:t> </w:t>
      </w:r>
      <w:r>
        <w:rPr>
          <w:color w:val="231F20"/>
          <w:w w:val="105"/>
        </w:rPr>
        <w:t>a</w:t>
      </w:r>
      <w:r>
        <w:rPr>
          <w:color w:val="231F20"/>
          <w:spacing w:val="-23"/>
          <w:w w:val="105"/>
        </w:rPr>
        <w:t> </w:t>
      </w:r>
      <w:r>
        <w:rPr>
          <w:color w:val="231F20"/>
          <w:w w:val="105"/>
        </w:rPr>
        <w:t>toda</w:t>
      </w:r>
      <w:r>
        <w:rPr>
          <w:color w:val="231F20"/>
          <w:spacing w:val="-23"/>
          <w:w w:val="105"/>
        </w:rPr>
        <w:t> </w:t>
      </w:r>
      <w:r>
        <w:rPr>
          <w:color w:val="231F20"/>
          <w:w w:val="105"/>
        </w:rPr>
        <w:t>esa</w:t>
      </w:r>
      <w:r>
        <w:rPr>
          <w:color w:val="231F20"/>
          <w:spacing w:val="-23"/>
          <w:w w:val="105"/>
        </w:rPr>
        <w:t> </w:t>
      </w:r>
      <w:r>
        <w:rPr>
          <w:color w:val="231F20"/>
          <w:w w:val="105"/>
        </w:rPr>
        <w:t>gente,</w:t>
      </w:r>
      <w:r>
        <w:rPr>
          <w:color w:val="231F20"/>
          <w:spacing w:val="-23"/>
          <w:w w:val="105"/>
        </w:rPr>
        <w:t> </w:t>
      </w:r>
      <w:r>
        <w:rPr>
          <w:color w:val="231F20"/>
          <w:w w:val="105"/>
        </w:rPr>
        <w:t>la</w:t>
      </w:r>
      <w:r>
        <w:rPr>
          <w:color w:val="231F20"/>
          <w:spacing w:val="-23"/>
          <w:w w:val="105"/>
        </w:rPr>
        <w:t> </w:t>
      </w:r>
      <w:r>
        <w:rPr>
          <w:color w:val="231F20"/>
          <w:w w:val="105"/>
        </w:rPr>
        <w:t>gente</w:t>
      </w:r>
      <w:r>
        <w:rPr>
          <w:color w:val="231F20"/>
          <w:spacing w:val="-23"/>
          <w:w w:val="105"/>
        </w:rPr>
        <w:t> </w:t>
      </w:r>
      <w:r>
        <w:rPr>
          <w:color w:val="231F20"/>
          <w:w w:val="105"/>
        </w:rPr>
        <w:t>de</w:t>
      </w:r>
      <w:r>
        <w:rPr>
          <w:color w:val="231F20"/>
          <w:spacing w:val="-23"/>
          <w:w w:val="105"/>
        </w:rPr>
        <w:t> </w:t>
      </w:r>
      <w:r>
        <w:rPr>
          <w:color w:val="231F20"/>
          <w:w w:val="105"/>
        </w:rPr>
        <w:t>mi</w:t>
      </w:r>
      <w:r>
        <w:rPr>
          <w:color w:val="231F20"/>
          <w:spacing w:val="-23"/>
          <w:w w:val="105"/>
        </w:rPr>
        <w:t> </w:t>
      </w:r>
      <w:r>
        <w:rPr>
          <w:color w:val="231F20"/>
          <w:w w:val="105"/>
        </w:rPr>
        <w:t>pueblo,</w:t>
      </w:r>
      <w:r>
        <w:rPr>
          <w:color w:val="231F20"/>
          <w:spacing w:val="-23"/>
          <w:w w:val="105"/>
        </w:rPr>
        <w:t> </w:t>
      </w:r>
      <w:r>
        <w:rPr>
          <w:color w:val="231F20"/>
          <w:w w:val="105"/>
        </w:rPr>
        <w:t>a</w:t>
      </w:r>
      <w:r>
        <w:rPr>
          <w:color w:val="231F20"/>
          <w:spacing w:val="-23"/>
          <w:w w:val="105"/>
        </w:rPr>
        <w:t> </w:t>
      </w:r>
      <w:r>
        <w:rPr>
          <w:color w:val="231F20"/>
          <w:w w:val="105"/>
        </w:rPr>
        <w:t>ellos</w:t>
      </w:r>
      <w:r>
        <w:rPr>
          <w:color w:val="231F20"/>
          <w:spacing w:val="-23"/>
          <w:w w:val="105"/>
        </w:rPr>
        <w:t> </w:t>
      </w:r>
      <w:r>
        <w:rPr>
          <w:color w:val="231F20"/>
          <w:w w:val="105"/>
        </w:rPr>
        <w:t>mi reconocimiento</w:t>
      </w:r>
      <w:r>
        <w:rPr>
          <w:color w:val="231F20"/>
          <w:spacing w:val="-21"/>
          <w:w w:val="105"/>
        </w:rPr>
        <w:t> </w:t>
      </w:r>
      <w:r>
        <w:rPr>
          <w:color w:val="231F20"/>
          <w:w w:val="105"/>
        </w:rPr>
        <w:t>y</w:t>
      </w:r>
      <w:r>
        <w:rPr>
          <w:color w:val="231F20"/>
          <w:spacing w:val="-21"/>
          <w:w w:val="105"/>
        </w:rPr>
        <w:t> </w:t>
      </w:r>
      <w:r>
        <w:rPr>
          <w:color w:val="231F20"/>
          <w:w w:val="105"/>
        </w:rPr>
        <w:t>como</w:t>
      </w:r>
      <w:r>
        <w:rPr>
          <w:color w:val="231F20"/>
          <w:spacing w:val="-21"/>
          <w:w w:val="105"/>
        </w:rPr>
        <w:t> </w:t>
      </w:r>
      <w:r>
        <w:rPr>
          <w:color w:val="231F20"/>
          <w:w w:val="105"/>
        </w:rPr>
        <w:t>siempre:</w:t>
      </w:r>
      <w:r>
        <w:rPr>
          <w:color w:val="231F20"/>
          <w:spacing w:val="-21"/>
          <w:w w:val="105"/>
        </w:rPr>
        <w:t> </w:t>
      </w:r>
      <w:r>
        <w:rPr>
          <w:color w:val="231F20"/>
          <w:w w:val="105"/>
        </w:rPr>
        <w:t>mi</w:t>
      </w:r>
      <w:r>
        <w:rPr>
          <w:color w:val="231F20"/>
          <w:spacing w:val="-21"/>
          <w:w w:val="105"/>
        </w:rPr>
        <w:t> </w:t>
      </w:r>
      <w:r>
        <w:rPr>
          <w:color w:val="231F20"/>
          <w:w w:val="105"/>
        </w:rPr>
        <w:t>aprecio.</w:t>
      </w:r>
    </w:p>
    <w:p>
      <w:pPr>
        <w:pStyle w:val="BodyText"/>
        <w:spacing w:before="1"/>
        <w:rPr>
          <w:sz w:val="26"/>
        </w:rPr>
      </w:pPr>
    </w:p>
    <w:p>
      <w:pPr>
        <w:pStyle w:val="BodyText"/>
        <w:spacing w:line="285" w:lineRule="auto"/>
        <w:ind w:left="110" w:right="108"/>
        <w:jc w:val="both"/>
      </w:pPr>
      <w:r>
        <w:rPr>
          <w:color w:val="231F20"/>
          <w:spacing w:val="-3"/>
          <w:w w:val="105"/>
        </w:rPr>
        <w:t>Pero</w:t>
      </w:r>
      <w:r>
        <w:rPr>
          <w:color w:val="231F20"/>
          <w:spacing w:val="-17"/>
          <w:w w:val="105"/>
        </w:rPr>
        <w:t> </w:t>
      </w:r>
      <w:r>
        <w:rPr>
          <w:color w:val="231F20"/>
          <w:w w:val="105"/>
        </w:rPr>
        <w:t>nunca</w:t>
      </w:r>
      <w:r>
        <w:rPr>
          <w:color w:val="231F20"/>
          <w:spacing w:val="-17"/>
          <w:w w:val="105"/>
        </w:rPr>
        <w:t> </w:t>
      </w:r>
      <w:r>
        <w:rPr>
          <w:color w:val="231F20"/>
          <w:w w:val="105"/>
        </w:rPr>
        <w:t>se</w:t>
      </w:r>
      <w:r>
        <w:rPr>
          <w:color w:val="231F20"/>
          <w:spacing w:val="-17"/>
          <w:w w:val="105"/>
        </w:rPr>
        <w:t> </w:t>
      </w:r>
      <w:r>
        <w:rPr>
          <w:color w:val="231F20"/>
          <w:w w:val="105"/>
        </w:rPr>
        <w:t>menciona</w:t>
      </w:r>
      <w:r>
        <w:rPr>
          <w:color w:val="231F20"/>
          <w:spacing w:val="-17"/>
          <w:w w:val="105"/>
        </w:rPr>
        <w:t> </w:t>
      </w:r>
      <w:r>
        <w:rPr>
          <w:color w:val="231F20"/>
          <w:w w:val="105"/>
        </w:rPr>
        <w:t>sobre</w:t>
      </w:r>
      <w:r>
        <w:rPr>
          <w:color w:val="231F20"/>
          <w:spacing w:val="-17"/>
          <w:w w:val="105"/>
        </w:rPr>
        <w:t> </w:t>
      </w:r>
      <w:r>
        <w:rPr>
          <w:color w:val="231F20"/>
          <w:w w:val="105"/>
        </w:rPr>
        <w:t>las</w:t>
      </w:r>
      <w:r>
        <w:rPr>
          <w:color w:val="231F20"/>
          <w:spacing w:val="-17"/>
          <w:w w:val="105"/>
        </w:rPr>
        <w:t> </w:t>
      </w:r>
      <w:r>
        <w:rPr>
          <w:color w:val="231F20"/>
          <w:w w:val="105"/>
        </w:rPr>
        <w:t>consultas</w:t>
      </w:r>
      <w:r>
        <w:rPr>
          <w:color w:val="231F20"/>
          <w:spacing w:val="-17"/>
          <w:w w:val="105"/>
        </w:rPr>
        <w:t> </w:t>
      </w:r>
      <w:r>
        <w:rPr>
          <w:color w:val="231F20"/>
          <w:w w:val="105"/>
        </w:rPr>
        <w:t>ciudadanas</w:t>
      </w:r>
      <w:r>
        <w:rPr>
          <w:color w:val="231F20"/>
          <w:spacing w:val="-17"/>
          <w:w w:val="105"/>
        </w:rPr>
        <w:t> </w:t>
      </w:r>
      <w:r>
        <w:rPr>
          <w:color w:val="231F20"/>
          <w:w w:val="105"/>
        </w:rPr>
        <w:t>ni</w:t>
      </w:r>
      <w:r>
        <w:rPr>
          <w:color w:val="231F20"/>
          <w:spacing w:val="-17"/>
          <w:w w:val="105"/>
        </w:rPr>
        <w:t> </w:t>
      </w:r>
      <w:r>
        <w:rPr>
          <w:color w:val="231F20"/>
          <w:w w:val="105"/>
        </w:rPr>
        <w:t>el</w:t>
      </w:r>
      <w:r>
        <w:rPr>
          <w:color w:val="231F20"/>
          <w:spacing w:val="-17"/>
          <w:w w:val="105"/>
        </w:rPr>
        <w:t> </w:t>
      </w:r>
      <w:r>
        <w:rPr>
          <w:color w:val="231F20"/>
          <w:w w:val="105"/>
        </w:rPr>
        <w:t>procedimiento</w:t>
      </w:r>
      <w:r>
        <w:rPr>
          <w:color w:val="231F20"/>
          <w:spacing w:val="-17"/>
          <w:w w:val="105"/>
        </w:rPr>
        <w:t> </w:t>
      </w:r>
      <w:r>
        <w:rPr>
          <w:color w:val="231F20"/>
          <w:w w:val="105"/>
        </w:rPr>
        <w:t>para</w:t>
      </w:r>
      <w:r>
        <w:rPr>
          <w:color w:val="231F20"/>
          <w:spacing w:val="-17"/>
          <w:w w:val="105"/>
        </w:rPr>
        <w:t> </w:t>
      </w:r>
      <w:r>
        <w:rPr>
          <w:color w:val="231F20"/>
          <w:w w:val="105"/>
        </w:rPr>
        <w:t>que</w:t>
      </w:r>
      <w:r>
        <w:rPr>
          <w:color w:val="231F20"/>
          <w:spacing w:val="-17"/>
          <w:w w:val="105"/>
        </w:rPr>
        <w:t> </w:t>
      </w:r>
      <w:r>
        <w:rPr>
          <w:color w:val="231F20"/>
          <w:w w:val="105"/>
        </w:rPr>
        <w:t>los ciudadanos</w:t>
      </w:r>
      <w:r>
        <w:rPr>
          <w:color w:val="231F20"/>
          <w:spacing w:val="-12"/>
          <w:w w:val="105"/>
        </w:rPr>
        <w:t> </w:t>
      </w:r>
      <w:r>
        <w:rPr>
          <w:color w:val="231F20"/>
          <w:w w:val="105"/>
        </w:rPr>
        <w:t>participen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toma</w:t>
      </w:r>
      <w:r>
        <w:rPr>
          <w:color w:val="231F20"/>
          <w:spacing w:val="-12"/>
          <w:w w:val="105"/>
        </w:rPr>
        <w:t> </w:t>
      </w:r>
      <w:r>
        <w:rPr>
          <w:color w:val="231F20"/>
          <w:w w:val="105"/>
        </w:rPr>
        <w:t>de</w:t>
      </w:r>
      <w:r>
        <w:rPr>
          <w:color w:val="231F20"/>
          <w:spacing w:val="-12"/>
          <w:w w:val="105"/>
        </w:rPr>
        <w:t> </w:t>
      </w:r>
      <w:r>
        <w:rPr>
          <w:color w:val="231F20"/>
          <w:w w:val="105"/>
        </w:rPr>
        <w:t>decisiones.</w:t>
      </w:r>
    </w:p>
    <w:p>
      <w:pPr>
        <w:pStyle w:val="BodyText"/>
        <w:spacing w:before="8"/>
      </w:pPr>
    </w:p>
    <w:p>
      <w:pPr>
        <w:pStyle w:val="Heading3"/>
        <w:numPr>
          <w:ilvl w:val="1"/>
          <w:numId w:val="33"/>
        </w:numPr>
        <w:tabs>
          <w:tab w:pos="520" w:val="left" w:leader="none"/>
        </w:tabs>
        <w:spacing w:line="240" w:lineRule="auto" w:before="1" w:after="0"/>
        <w:ind w:left="519" w:right="0" w:hanging="409"/>
        <w:jc w:val="both"/>
      </w:pPr>
      <w:r>
        <w:rPr>
          <w:color w:val="231F20"/>
          <w:w w:val="105"/>
        </w:rPr>
        <w:t>Ingresos</w:t>
      </w:r>
      <w:r>
        <w:rPr>
          <w:color w:val="231F20"/>
          <w:spacing w:val="-44"/>
          <w:w w:val="105"/>
        </w:rPr>
        <w:t> </w:t>
      </w:r>
      <w:r>
        <w:rPr>
          <w:color w:val="231F20"/>
          <w:w w:val="105"/>
        </w:rPr>
        <w:t>Municipales</w:t>
      </w:r>
    </w:p>
    <w:p>
      <w:pPr>
        <w:pStyle w:val="BodyText"/>
        <w:spacing w:line="285" w:lineRule="auto" w:before="38"/>
        <w:ind w:left="110" w:right="108"/>
        <w:jc w:val="both"/>
      </w:pPr>
      <w:r>
        <w:rPr>
          <w:color w:val="231F20"/>
          <w:w w:val="105"/>
        </w:rPr>
        <w:t>De</w:t>
      </w:r>
      <w:r>
        <w:rPr>
          <w:color w:val="231F20"/>
          <w:spacing w:val="-10"/>
          <w:w w:val="105"/>
        </w:rPr>
        <w:t> </w:t>
      </w:r>
      <w:r>
        <w:rPr>
          <w:color w:val="231F20"/>
          <w:w w:val="105"/>
        </w:rPr>
        <w:t>acuerdo</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Segundo</w:t>
      </w:r>
      <w:r>
        <w:rPr>
          <w:color w:val="231F20"/>
          <w:spacing w:val="-10"/>
          <w:w w:val="105"/>
        </w:rPr>
        <w:t> </w:t>
      </w:r>
      <w:r>
        <w:rPr>
          <w:color w:val="231F20"/>
          <w:w w:val="105"/>
        </w:rPr>
        <w:t>Informe</w:t>
      </w:r>
      <w:r>
        <w:rPr>
          <w:color w:val="231F20"/>
          <w:spacing w:val="-10"/>
          <w:w w:val="105"/>
        </w:rPr>
        <w:t> </w:t>
      </w:r>
      <w:r>
        <w:rPr>
          <w:color w:val="231F20"/>
          <w:w w:val="105"/>
        </w:rPr>
        <w:t>de</w:t>
      </w:r>
      <w:r>
        <w:rPr>
          <w:color w:val="231F20"/>
          <w:spacing w:val="-10"/>
          <w:w w:val="105"/>
        </w:rPr>
        <w:t> </w:t>
      </w:r>
      <w:r>
        <w:rPr>
          <w:color w:val="231F20"/>
          <w:w w:val="105"/>
        </w:rPr>
        <w:t>gobierno,</w:t>
      </w:r>
      <w:r>
        <w:rPr>
          <w:color w:val="231F20"/>
          <w:spacing w:val="-10"/>
          <w:w w:val="105"/>
        </w:rPr>
        <w:t> </w:t>
      </w:r>
      <w:r>
        <w:rPr>
          <w:color w:val="231F20"/>
          <w:w w:val="105"/>
        </w:rPr>
        <w:t>en</w:t>
      </w:r>
      <w:r>
        <w:rPr>
          <w:color w:val="231F20"/>
          <w:spacing w:val="-10"/>
          <w:w w:val="105"/>
        </w:rPr>
        <w:t> </w:t>
      </w:r>
      <w:r>
        <w:rPr>
          <w:color w:val="231F20"/>
          <w:spacing w:val="2"/>
          <w:w w:val="105"/>
        </w:rPr>
        <w:t>2007</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financieros</w:t>
      </w:r>
      <w:r>
        <w:rPr>
          <w:color w:val="231F20"/>
          <w:spacing w:val="-10"/>
          <w:w w:val="105"/>
        </w:rPr>
        <w:t> </w:t>
      </w:r>
      <w:r>
        <w:rPr>
          <w:color w:val="231F20"/>
          <w:w w:val="105"/>
        </w:rPr>
        <w:t>fue- ron</w:t>
      </w:r>
      <w:r>
        <w:rPr>
          <w:color w:val="231F20"/>
          <w:spacing w:val="-11"/>
          <w:w w:val="105"/>
        </w:rPr>
        <w:t> </w:t>
      </w:r>
      <w:r>
        <w:rPr>
          <w:color w:val="231F20"/>
          <w:w w:val="105"/>
        </w:rPr>
        <w:t>insuficientes</w:t>
      </w:r>
      <w:r>
        <w:rPr>
          <w:color w:val="231F20"/>
          <w:spacing w:val="-11"/>
          <w:w w:val="105"/>
        </w:rPr>
        <w:t> </w:t>
      </w:r>
      <w:r>
        <w:rPr>
          <w:color w:val="231F20"/>
          <w:w w:val="105"/>
        </w:rPr>
        <w:t>para</w:t>
      </w:r>
      <w:r>
        <w:rPr>
          <w:color w:val="231F20"/>
          <w:spacing w:val="-11"/>
          <w:w w:val="105"/>
        </w:rPr>
        <w:t> </w:t>
      </w:r>
      <w:r>
        <w:rPr>
          <w:color w:val="231F20"/>
          <w:w w:val="105"/>
        </w:rPr>
        <w:t>atender</w:t>
      </w:r>
      <w:r>
        <w:rPr>
          <w:color w:val="231F20"/>
          <w:spacing w:val="-11"/>
          <w:w w:val="105"/>
        </w:rPr>
        <w:t> </w:t>
      </w:r>
      <w:r>
        <w:rPr>
          <w:color w:val="231F20"/>
          <w:w w:val="105"/>
        </w:rPr>
        <w:t>todas</w:t>
      </w:r>
      <w:r>
        <w:rPr>
          <w:color w:val="231F20"/>
          <w:spacing w:val="-11"/>
          <w:w w:val="105"/>
        </w:rPr>
        <w:t> </w:t>
      </w:r>
      <w:r>
        <w:rPr>
          <w:color w:val="231F20"/>
          <w:w w:val="105"/>
        </w:rPr>
        <w:t>las</w:t>
      </w:r>
      <w:r>
        <w:rPr>
          <w:color w:val="231F20"/>
          <w:spacing w:val="-11"/>
          <w:w w:val="105"/>
        </w:rPr>
        <w:t> </w:t>
      </w:r>
      <w:r>
        <w:rPr>
          <w:color w:val="231F20"/>
          <w:w w:val="105"/>
        </w:rPr>
        <w:t>necesidades</w:t>
      </w:r>
      <w:r>
        <w:rPr>
          <w:color w:val="231F20"/>
          <w:spacing w:val="-11"/>
          <w:w w:val="105"/>
        </w:rPr>
        <w:t> </w:t>
      </w:r>
      <w:r>
        <w:rPr>
          <w:color w:val="231F20"/>
          <w:w w:val="105"/>
        </w:rPr>
        <w:t>que</w:t>
      </w:r>
      <w:r>
        <w:rPr>
          <w:color w:val="231F20"/>
          <w:spacing w:val="-11"/>
          <w:w w:val="105"/>
        </w:rPr>
        <w:t> </w:t>
      </w:r>
      <w:r>
        <w:rPr>
          <w:color w:val="231F20"/>
          <w:w w:val="105"/>
        </w:rPr>
        <w:t>demandó</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por</w:t>
      </w:r>
      <w:r>
        <w:rPr>
          <w:color w:val="231F20"/>
          <w:spacing w:val="-11"/>
          <w:w w:val="105"/>
        </w:rPr>
        <w:t> </w:t>
      </w:r>
      <w:r>
        <w:rPr>
          <w:color w:val="231F20"/>
          <w:w w:val="105"/>
        </w:rPr>
        <w:t>eso se</w:t>
      </w:r>
      <w:r>
        <w:rPr>
          <w:color w:val="231F20"/>
          <w:spacing w:val="-12"/>
          <w:w w:val="105"/>
        </w:rPr>
        <w:t> </w:t>
      </w:r>
      <w:r>
        <w:rPr>
          <w:color w:val="231F20"/>
          <w:w w:val="105"/>
        </w:rPr>
        <w:t>tuvo</w:t>
      </w:r>
      <w:r>
        <w:rPr>
          <w:color w:val="231F20"/>
          <w:spacing w:val="-12"/>
          <w:w w:val="105"/>
        </w:rPr>
        <w:t> </w:t>
      </w:r>
      <w:r>
        <w:rPr>
          <w:color w:val="231F20"/>
          <w:w w:val="105"/>
        </w:rPr>
        <w:t>que</w:t>
      </w:r>
      <w:r>
        <w:rPr>
          <w:color w:val="231F20"/>
          <w:spacing w:val="-12"/>
          <w:w w:val="105"/>
        </w:rPr>
        <w:t> </w:t>
      </w:r>
      <w:r>
        <w:rPr>
          <w:color w:val="231F20"/>
          <w:w w:val="105"/>
        </w:rPr>
        <w:t>dialogar</w:t>
      </w:r>
      <w:r>
        <w:rPr>
          <w:color w:val="231F20"/>
          <w:spacing w:val="-12"/>
          <w:w w:val="105"/>
        </w:rPr>
        <w:t> </w:t>
      </w:r>
      <w:r>
        <w:rPr>
          <w:color w:val="231F20"/>
          <w:w w:val="105"/>
        </w:rPr>
        <w:t>con</w:t>
      </w:r>
      <w:r>
        <w:rPr>
          <w:color w:val="231F20"/>
          <w:spacing w:val="-12"/>
          <w:w w:val="105"/>
        </w:rPr>
        <w:t> </w:t>
      </w:r>
      <w:r>
        <w:rPr>
          <w:color w:val="231F20"/>
          <w:w w:val="105"/>
        </w:rPr>
        <w:t>todos;</w:t>
      </w:r>
      <w:r>
        <w:rPr>
          <w:color w:val="231F20"/>
          <w:spacing w:val="-12"/>
          <w:w w:val="105"/>
        </w:rPr>
        <w:t> </w:t>
      </w:r>
      <w:r>
        <w:rPr>
          <w:color w:val="231F20"/>
          <w:w w:val="105"/>
        </w:rPr>
        <w:t>se</w:t>
      </w:r>
      <w:r>
        <w:rPr>
          <w:color w:val="231F20"/>
          <w:spacing w:val="-12"/>
          <w:w w:val="105"/>
        </w:rPr>
        <w:t> </w:t>
      </w:r>
      <w:r>
        <w:rPr>
          <w:color w:val="231F20"/>
          <w:w w:val="105"/>
        </w:rPr>
        <w:t>dio</w:t>
      </w:r>
      <w:r>
        <w:rPr>
          <w:color w:val="231F20"/>
          <w:spacing w:val="-12"/>
          <w:w w:val="105"/>
        </w:rPr>
        <w:t> </w:t>
      </w:r>
      <w:r>
        <w:rPr>
          <w:color w:val="231F20"/>
          <w:w w:val="105"/>
        </w:rPr>
        <w:t>prioridad</w:t>
      </w:r>
      <w:r>
        <w:rPr>
          <w:color w:val="231F20"/>
          <w:spacing w:val="-12"/>
          <w:w w:val="105"/>
        </w:rPr>
        <w:t> </w:t>
      </w:r>
      <w:r>
        <w:rPr>
          <w:color w:val="231F20"/>
          <w:w w:val="105"/>
        </w:rPr>
        <w:t>a</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junto</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gente</w:t>
      </w:r>
      <w:r>
        <w:rPr>
          <w:color w:val="231F20"/>
          <w:spacing w:val="-12"/>
          <w:w w:val="105"/>
        </w:rPr>
        <w:t> </w:t>
      </w:r>
      <w:r>
        <w:rPr>
          <w:color w:val="231F20"/>
          <w:w w:val="105"/>
        </w:rPr>
        <w:t>se</w:t>
      </w:r>
      <w:r>
        <w:rPr>
          <w:color w:val="231F20"/>
          <w:spacing w:val="-12"/>
          <w:w w:val="105"/>
        </w:rPr>
        <w:t> </w:t>
      </w:r>
      <w:r>
        <w:rPr>
          <w:color w:val="231F20"/>
          <w:w w:val="105"/>
        </w:rPr>
        <w:t>consideró</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más urgente. Se brindó atención a la dotación de agua potable con pipas, se hicieron reparaciones en la red primaria y secundarias del agua potable, se revisó el tandeo; se gestionó</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avanzara</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tendido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red</w:t>
      </w:r>
      <w:r>
        <w:rPr>
          <w:color w:val="231F20"/>
          <w:spacing w:val="-4"/>
          <w:w w:val="105"/>
        </w:rPr>
        <w:t> </w:t>
      </w:r>
      <w:r>
        <w:rPr>
          <w:color w:val="231F20"/>
          <w:w w:val="105"/>
        </w:rPr>
        <w:t>de</w:t>
      </w:r>
      <w:r>
        <w:rPr>
          <w:color w:val="231F20"/>
          <w:spacing w:val="-4"/>
          <w:w w:val="105"/>
        </w:rPr>
        <w:t> </w:t>
      </w:r>
      <w:r>
        <w:rPr>
          <w:color w:val="231F20"/>
          <w:w w:val="105"/>
        </w:rPr>
        <w:t>agua</w:t>
      </w:r>
      <w:r>
        <w:rPr>
          <w:color w:val="231F20"/>
          <w:spacing w:val="-4"/>
          <w:w w:val="105"/>
        </w:rPr>
        <w:t> </w:t>
      </w:r>
      <w:r>
        <w:rPr>
          <w:color w:val="231F20"/>
          <w:w w:val="105"/>
        </w:rPr>
        <w:t>potable</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Cabecera</w:t>
      </w:r>
      <w:r>
        <w:rPr>
          <w:color w:val="231F20"/>
          <w:spacing w:val="-4"/>
          <w:w w:val="105"/>
        </w:rPr>
        <w:t> </w:t>
      </w:r>
      <w:r>
        <w:rPr>
          <w:color w:val="231F20"/>
          <w:w w:val="105"/>
        </w:rPr>
        <w:t>Muni- cipal.</w:t>
      </w:r>
    </w:p>
    <w:p>
      <w:pPr>
        <w:pStyle w:val="BodyText"/>
        <w:spacing w:before="1"/>
        <w:rPr>
          <w:sz w:val="26"/>
        </w:rPr>
      </w:pPr>
    </w:p>
    <w:p>
      <w:pPr>
        <w:pStyle w:val="BodyText"/>
        <w:spacing w:line="285" w:lineRule="auto"/>
        <w:ind w:left="110" w:right="107"/>
        <w:jc w:val="both"/>
      </w:pPr>
      <w:r>
        <w:rPr>
          <w:color w:val="231F20"/>
          <w:w w:val="105"/>
        </w:rPr>
        <w:t>Se</w:t>
      </w:r>
      <w:r>
        <w:rPr>
          <w:color w:val="231F20"/>
          <w:spacing w:val="-15"/>
          <w:w w:val="105"/>
        </w:rPr>
        <w:t> </w:t>
      </w:r>
      <w:r>
        <w:rPr>
          <w:color w:val="231F20"/>
          <w:w w:val="105"/>
        </w:rPr>
        <w:t>menciona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mismo</w:t>
      </w:r>
      <w:r>
        <w:rPr>
          <w:color w:val="231F20"/>
          <w:spacing w:val="-15"/>
          <w:w w:val="105"/>
        </w:rPr>
        <w:t> </w:t>
      </w:r>
      <w:r>
        <w:rPr>
          <w:color w:val="231F20"/>
          <w:w w:val="105"/>
        </w:rPr>
        <w:t>documento</w:t>
      </w:r>
      <w:r>
        <w:rPr>
          <w:color w:val="231F20"/>
          <w:spacing w:val="-15"/>
          <w:w w:val="105"/>
        </w:rPr>
        <w:t> </w:t>
      </w:r>
      <w:r>
        <w:rPr>
          <w:color w:val="231F20"/>
          <w:w w:val="105"/>
        </w:rPr>
        <w:t>que</w:t>
      </w:r>
      <w:r>
        <w:rPr>
          <w:color w:val="231F20"/>
          <w:spacing w:val="-15"/>
          <w:w w:val="105"/>
        </w:rPr>
        <w:t> </w:t>
      </w:r>
      <w:r>
        <w:rPr>
          <w:color w:val="231F20"/>
          <w:spacing w:val="-3"/>
          <w:w w:val="105"/>
        </w:rPr>
        <w:t>mucho</w:t>
      </w:r>
      <w:r>
        <w:rPr>
          <w:color w:val="231F20"/>
          <w:spacing w:val="-15"/>
          <w:w w:val="105"/>
        </w:rPr>
        <w:t> </w:t>
      </w:r>
      <w:r>
        <w:rPr>
          <w:color w:val="231F20"/>
          <w:w w:val="105"/>
        </w:rPr>
        <w:t>influyó</w:t>
      </w:r>
      <w:r>
        <w:rPr>
          <w:color w:val="231F20"/>
          <w:spacing w:val="-15"/>
          <w:w w:val="105"/>
        </w:rPr>
        <w:t> </w:t>
      </w:r>
      <w:r>
        <w:rPr>
          <w:color w:val="231F20"/>
          <w:w w:val="105"/>
        </w:rPr>
        <w:t>la</w:t>
      </w:r>
      <w:r>
        <w:rPr>
          <w:color w:val="231F20"/>
          <w:spacing w:val="-15"/>
          <w:w w:val="105"/>
        </w:rPr>
        <w:t> </w:t>
      </w:r>
      <w:r>
        <w:rPr>
          <w:color w:val="231F20"/>
          <w:w w:val="105"/>
        </w:rPr>
        <w:t>disposición</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administra- ción</w:t>
      </w:r>
      <w:r>
        <w:rPr>
          <w:color w:val="231F20"/>
          <w:spacing w:val="-18"/>
          <w:w w:val="105"/>
        </w:rPr>
        <w:t> </w:t>
      </w:r>
      <w:r>
        <w:rPr>
          <w:color w:val="231F20"/>
          <w:w w:val="105"/>
        </w:rPr>
        <w:t>del</w:t>
      </w:r>
      <w:r>
        <w:rPr>
          <w:color w:val="231F20"/>
          <w:spacing w:val="-18"/>
          <w:w w:val="105"/>
        </w:rPr>
        <w:t> </w:t>
      </w:r>
      <w:r>
        <w:rPr>
          <w:color w:val="231F20"/>
          <w:w w:val="105"/>
        </w:rPr>
        <w:t>presupuesto,</w:t>
      </w:r>
      <w:r>
        <w:rPr>
          <w:color w:val="231F20"/>
          <w:spacing w:val="-18"/>
          <w:w w:val="105"/>
        </w:rPr>
        <w:t> </w:t>
      </w:r>
      <w:r>
        <w:rPr>
          <w:color w:val="231F20"/>
          <w:w w:val="105"/>
        </w:rPr>
        <w:t>tanto</w:t>
      </w:r>
      <w:r>
        <w:rPr>
          <w:color w:val="231F20"/>
          <w:spacing w:val="-18"/>
          <w:w w:val="105"/>
        </w:rPr>
        <w:t> </w:t>
      </w:r>
      <w:r>
        <w:rPr>
          <w:color w:val="231F20"/>
          <w:w w:val="105"/>
        </w:rPr>
        <w:t>de</w:t>
      </w:r>
      <w:r>
        <w:rPr>
          <w:color w:val="231F20"/>
          <w:spacing w:val="-18"/>
          <w:w w:val="105"/>
        </w:rPr>
        <w:t> </w:t>
      </w:r>
      <w:r>
        <w:rPr>
          <w:color w:val="231F20"/>
          <w:w w:val="105"/>
        </w:rPr>
        <w:t>ingresos</w:t>
      </w:r>
      <w:r>
        <w:rPr>
          <w:color w:val="231F20"/>
          <w:spacing w:val="-18"/>
          <w:w w:val="105"/>
        </w:rPr>
        <w:t> </w:t>
      </w:r>
      <w:r>
        <w:rPr>
          <w:color w:val="231F20"/>
          <w:w w:val="105"/>
        </w:rPr>
        <w:t>como</w:t>
      </w:r>
      <w:r>
        <w:rPr>
          <w:color w:val="231F20"/>
          <w:spacing w:val="-18"/>
          <w:w w:val="105"/>
        </w:rPr>
        <w:t> </w:t>
      </w:r>
      <w:r>
        <w:rPr>
          <w:color w:val="231F20"/>
          <w:w w:val="105"/>
        </w:rPr>
        <w:t>de</w:t>
      </w:r>
      <w:r>
        <w:rPr>
          <w:color w:val="231F20"/>
          <w:spacing w:val="-18"/>
          <w:w w:val="105"/>
        </w:rPr>
        <w:t> </w:t>
      </w:r>
      <w:r>
        <w:rPr>
          <w:color w:val="231F20"/>
          <w:w w:val="105"/>
        </w:rPr>
        <w:t>egresos;</w:t>
      </w:r>
      <w:r>
        <w:rPr>
          <w:color w:val="231F20"/>
          <w:spacing w:val="-18"/>
          <w:w w:val="105"/>
        </w:rPr>
        <w:t> </w:t>
      </w:r>
      <w:r>
        <w:rPr>
          <w:color w:val="231F20"/>
          <w:w w:val="105"/>
        </w:rPr>
        <w:t>el</w:t>
      </w:r>
      <w:r>
        <w:rPr>
          <w:color w:val="231F20"/>
          <w:spacing w:val="-18"/>
          <w:w w:val="105"/>
        </w:rPr>
        <w:t> </w:t>
      </w:r>
      <w:r>
        <w:rPr>
          <w:color w:val="231F20"/>
          <w:w w:val="105"/>
        </w:rPr>
        <w:t>presupuesto</w:t>
      </w:r>
      <w:r>
        <w:rPr>
          <w:color w:val="231F20"/>
          <w:spacing w:val="-18"/>
          <w:w w:val="105"/>
        </w:rPr>
        <w:t> </w:t>
      </w:r>
      <w:r>
        <w:rPr>
          <w:color w:val="231F20"/>
          <w:w w:val="105"/>
        </w:rPr>
        <w:t>real</w:t>
      </w:r>
      <w:r>
        <w:rPr>
          <w:color w:val="231F20"/>
          <w:spacing w:val="-18"/>
          <w:w w:val="105"/>
        </w:rPr>
        <w:t> </w:t>
      </w:r>
      <w:r>
        <w:rPr>
          <w:color w:val="231F20"/>
          <w:w w:val="105"/>
        </w:rPr>
        <w:t>de</w:t>
      </w:r>
      <w:r>
        <w:rPr>
          <w:color w:val="231F20"/>
          <w:spacing w:val="-18"/>
          <w:w w:val="105"/>
        </w:rPr>
        <w:t> </w:t>
      </w:r>
      <w:r>
        <w:rPr>
          <w:color w:val="231F20"/>
          <w:w w:val="105"/>
        </w:rPr>
        <w:t>ingresos en</w:t>
      </w:r>
      <w:r>
        <w:rPr>
          <w:color w:val="231F20"/>
          <w:spacing w:val="-5"/>
          <w:w w:val="105"/>
        </w:rPr>
        <w:t> </w:t>
      </w:r>
      <w:r>
        <w:rPr>
          <w:color w:val="231F20"/>
          <w:w w:val="105"/>
        </w:rPr>
        <w:t>el</w:t>
      </w:r>
      <w:r>
        <w:rPr>
          <w:color w:val="231F20"/>
          <w:spacing w:val="-5"/>
          <w:w w:val="105"/>
        </w:rPr>
        <w:t> </w:t>
      </w:r>
      <w:r>
        <w:rPr>
          <w:color w:val="231F20"/>
          <w:w w:val="105"/>
        </w:rPr>
        <w:t>año</w:t>
      </w:r>
      <w:r>
        <w:rPr>
          <w:color w:val="231F20"/>
          <w:spacing w:val="-5"/>
          <w:w w:val="105"/>
        </w:rPr>
        <w:t> </w:t>
      </w:r>
      <w:r>
        <w:rPr>
          <w:color w:val="231F20"/>
          <w:spacing w:val="2"/>
          <w:w w:val="105"/>
        </w:rPr>
        <w:t>2007</w:t>
      </w:r>
      <w:r>
        <w:rPr>
          <w:color w:val="231F20"/>
          <w:spacing w:val="-5"/>
          <w:w w:val="105"/>
        </w:rPr>
        <w:t> </w:t>
      </w:r>
      <w:r>
        <w:rPr>
          <w:color w:val="231F20"/>
          <w:w w:val="105"/>
        </w:rPr>
        <w:t>fue</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poco</w:t>
      </w:r>
      <w:r>
        <w:rPr>
          <w:color w:val="231F20"/>
          <w:spacing w:val="-5"/>
          <w:w w:val="105"/>
        </w:rPr>
        <w:t> </w:t>
      </w:r>
      <w:r>
        <w:rPr>
          <w:color w:val="231F20"/>
          <w:w w:val="105"/>
        </w:rPr>
        <w:t>más</w:t>
      </w:r>
      <w:r>
        <w:rPr>
          <w:color w:val="231F20"/>
          <w:spacing w:val="-5"/>
          <w:w w:val="105"/>
        </w:rPr>
        <w:t> </w:t>
      </w:r>
      <w:r>
        <w:rPr>
          <w:color w:val="231F20"/>
          <w:w w:val="105"/>
        </w:rPr>
        <w:t>de</w:t>
      </w:r>
      <w:r>
        <w:rPr>
          <w:color w:val="231F20"/>
          <w:spacing w:val="-5"/>
          <w:w w:val="105"/>
        </w:rPr>
        <w:t> </w:t>
      </w:r>
      <w:r>
        <w:rPr>
          <w:color w:val="231F20"/>
          <w:w w:val="105"/>
        </w:rPr>
        <w:t>57</w:t>
      </w:r>
      <w:r>
        <w:rPr>
          <w:color w:val="231F20"/>
          <w:spacing w:val="-5"/>
          <w:w w:val="105"/>
        </w:rPr>
        <w:t> </w:t>
      </w:r>
      <w:r>
        <w:rPr>
          <w:color w:val="231F20"/>
          <w:w w:val="105"/>
        </w:rPr>
        <w:t>millones</w:t>
      </w:r>
      <w:r>
        <w:rPr>
          <w:color w:val="231F20"/>
          <w:spacing w:val="-5"/>
          <w:w w:val="105"/>
        </w:rPr>
        <w:t> </w:t>
      </w:r>
      <w:r>
        <w:rPr>
          <w:color w:val="231F20"/>
          <w:w w:val="105"/>
        </w:rPr>
        <w:t>488</w:t>
      </w:r>
      <w:r>
        <w:rPr>
          <w:color w:val="231F20"/>
          <w:spacing w:val="-5"/>
          <w:w w:val="105"/>
        </w:rPr>
        <w:t> </w:t>
      </w:r>
      <w:r>
        <w:rPr>
          <w:color w:val="231F20"/>
          <w:spacing w:val="2"/>
          <w:w w:val="105"/>
        </w:rPr>
        <w:t>mil</w:t>
      </w:r>
      <w:r>
        <w:rPr>
          <w:color w:val="231F20"/>
          <w:spacing w:val="-5"/>
          <w:w w:val="105"/>
        </w:rPr>
        <w:t> </w:t>
      </w:r>
      <w:r>
        <w:rPr>
          <w:color w:val="231F20"/>
          <w:w w:val="105"/>
        </w:rPr>
        <w:t>pesos,</w:t>
      </w:r>
      <w:r>
        <w:rPr>
          <w:color w:val="231F20"/>
          <w:spacing w:val="-5"/>
          <w:w w:val="105"/>
        </w:rPr>
        <w:t> </w:t>
      </w:r>
      <w:r>
        <w:rPr>
          <w:color w:val="231F20"/>
          <w:w w:val="105"/>
        </w:rPr>
        <w:t>que</w:t>
      </w:r>
      <w:r>
        <w:rPr>
          <w:color w:val="231F20"/>
          <w:spacing w:val="-5"/>
          <w:w w:val="105"/>
        </w:rPr>
        <w:t> </w:t>
      </w:r>
      <w:r>
        <w:rPr>
          <w:color w:val="231F20"/>
          <w:w w:val="105"/>
        </w:rPr>
        <w:t>representó</w:t>
      </w:r>
      <w:r>
        <w:rPr>
          <w:color w:val="231F20"/>
          <w:spacing w:val="-5"/>
          <w:w w:val="105"/>
        </w:rPr>
        <w:t> </w:t>
      </w:r>
      <w:r>
        <w:rPr>
          <w:color w:val="231F20"/>
          <w:w w:val="105"/>
        </w:rPr>
        <w:t>cerca del</w:t>
      </w:r>
      <w:r>
        <w:rPr>
          <w:color w:val="231F20"/>
          <w:spacing w:val="-6"/>
          <w:w w:val="105"/>
        </w:rPr>
        <w:t> </w:t>
      </w:r>
      <w:r>
        <w:rPr>
          <w:color w:val="231F20"/>
          <w:w w:val="105"/>
        </w:rPr>
        <w:t>4</w:t>
      </w:r>
      <w:r>
        <w:rPr>
          <w:color w:val="231F20"/>
          <w:spacing w:val="-6"/>
          <w:w w:val="105"/>
        </w:rPr>
        <w:t> </w:t>
      </w:r>
      <w:r>
        <w:rPr>
          <w:color w:val="231F20"/>
          <w:w w:val="105"/>
        </w:rPr>
        <w:t>por</w:t>
      </w:r>
      <w:r>
        <w:rPr>
          <w:color w:val="231F20"/>
          <w:spacing w:val="-6"/>
          <w:w w:val="105"/>
        </w:rPr>
        <w:t> </w:t>
      </w:r>
      <w:r>
        <w:rPr>
          <w:color w:val="231F20"/>
          <w:w w:val="105"/>
        </w:rPr>
        <w:t>ciento</w:t>
      </w:r>
      <w:r>
        <w:rPr>
          <w:color w:val="231F20"/>
          <w:spacing w:val="-6"/>
          <w:w w:val="105"/>
        </w:rPr>
        <w:t> </w:t>
      </w:r>
      <w:r>
        <w:rPr>
          <w:color w:val="231F20"/>
          <w:w w:val="105"/>
        </w:rPr>
        <w:t>más</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año</w:t>
      </w:r>
      <w:r>
        <w:rPr>
          <w:color w:val="231F20"/>
          <w:spacing w:val="-6"/>
          <w:w w:val="105"/>
        </w:rPr>
        <w:t> </w:t>
      </w:r>
      <w:r>
        <w:rPr>
          <w:color w:val="231F20"/>
          <w:spacing w:val="3"/>
          <w:w w:val="105"/>
        </w:rPr>
        <w:t>2006;</w:t>
      </w:r>
      <w:r>
        <w:rPr>
          <w:color w:val="231F20"/>
          <w:spacing w:val="-6"/>
          <w:w w:val="105"/>
        </w:rPr>
        <w:t> </w:t>
      </w:r>
      <w:r>
        <w:rPr>
          <w:color w:val="231F20"/>
          <w:w w:val="105"/>
        </w:rPr>
        <w:t>por</w:t>
      </w:r>
      <w:r>
        <w:rPr>
          <w:color w:val="231F20"/>
          <w:spacing w:val="-6"/>
          <w:w w:val="105"/>
        </w:rPr>
        <w:t> </w:t>
      </w:r>
      <w:r>
        <w:rPr>
          <w:color w:val="231F20"/>
          <w:w w:val="105"/>
        </w:rPr>
        <w:t>su</w:t>
      </w:r>
      <w:r>
        <w:rPr>
          <w:color w:val="231F20"/>
          <w:spacing w:val="-6"/>
          <w:w w:val="105"/>
        </w:rPr>
        <w:t> </w:t>
      </w:r>
      <w:r>
        <w:rPr>
          <w:color w:val="231F20"/>
          <w:w w:val="105"/>
        </w:rPr>
        <w:t>parte</w:t>
      </w:r>
      <w:r>
        <w:rPr>
          <w:color w:val="231F20"/>
          <w:spacing w:val="-6"/>
          <w:w w:val="105"/>
        </w:rPr>
        <w:t> </w:t>
      </w:r>
      <w:r>
        <w:rPr>
          <w:color w:val="231F20"/>
          <w:w w:val="105"/>
        </w:rPr>
        <w:t>el</w:t>
      </w:r>
      <w:r>
        <w:rPr>
          <w:color w:val="231F20"/>
          <w:spacing w:val="-6"/>
          <w:w w:val="105"/>
        </w:rPr>
        <w:t> </w:t>
      </w:r>
      <w:r>
        <w:rPr>
          <w:color w:val="231F20"/>
          <w:w w:val="105"/>
        </w:rPr>
        <w:t>presupuesto</w:t>
      </w:r>
      <w:r>
        <w:rPr>
          <w:color w:val="231F20"/>
          <w:spacing w:val="-6"/>
          <w:w w:val="105"/>
        </w:rPr>
        <w:t> </w:t>
      </w:r>
      <w:r>
        <w:rPr>
          <w:color w:val="231F20"/>
          <w:w w:val="105"/>
        </w:rPr>
        <w:t>de</w:t>
      </w:r>
      <w:r>
        <w:rPr>
          <w:color w:val="231F20"/>
          <w:spacing w:val="-6"/>
          <w:w w:val="105"/>
        </w:rPr>
        <w:t> </w:t>
      </w:r>
      <w:r>
        <w:rPr>
          <w:color w:val="231F20"/>
          <w:w w:val="105"/>
        </w:rPr>
        <w:t>egresos</w:t>
      </w:r>
      <w:r>
        <w:rPr>
          <w:color w:val="231F20"/>
          <w:spacing w:val="-6"/>
          <w:w w:val="105"/>
        </w:rPr>
        <w:t> </w:t>
      </w:r>
      <w:r>
        <w:rPr>
          <w:color w:val="231F20"/>
          <w:w w:val="105"/>
        </w:rPr>
        <w:t>definitivo en</w:t>
      </w:r>
      <w:r>
        <w:rPr>
          <w:color w:val="231F20"/>
          <w:spacing w:val="-22"/>
          <w:w w:val="105"/>
        </w:rPr>
        <w:t> </w:t>
      </w:r>
      <w:r>
        <w:rPr>
          <w:color w:val="231F20"/>
          <w:w w:val="105"/>
        </w:rPr>
        <w:t>el</w:t>
      </w:r>
      <w:r>
        <w:rPr>
          <w:color w:val="231F20"/>
          <w:spacing w:val="-22"/>
          <w:w w:val="105"/>
        </w:rPr>
        <w:t> </w:t>
      </w:r>
      <w:r>
        <w:rPr>
          <w:color w:val="231F20"/>
          <w:w w:val="105"/>
        </w:rPr>
        <w:t>año</w:t>
      </w:r>
      <w:r>
        <w:rPr>
          <w:color w:val="231F20"/>
          <w:spacing w:val="-22"/>
          <w:w w:val="105"/>
        </w:rPr>
        <w:t> </w:t>
      </w:r>
      <w:r>
        <w:rPr>
          <w:color w:val="231F20"/>
          <w:spacing w:val="2"/>
          <w:w w:val="105"/>
        </w:rPr>
        <w:t>2007</w:t>
      </w:r>
      <w:r>
        <w:rPr>
          <w:color w:val="231F20"/>
          <w:spacing w:val="-22"/>
          <w:w w:val="105"/>
        </w:rPr>
        <w:t> </w:t>
      </w:r>
      <w:r>
        <w:rPr>
          <w:color w:val="231F20"/>
          <w:w w:val="105"/>
        </w:rPr>
        <w:t>fue</w:t>
      </w:r>
      <w:r>
        <w:rPr>
          <w:color w:val="231F20"/>
          <w:spacing w:val="-22"/>
          <w:w w:val="105"/>
        </w:rPr>
        <w:t> </w:t>
      </w:r>
      <w:r>
        <w:rPr>
          <w:color w:val="231F20"/>
          <w:w w:val="105"/>
        </w:rPr>
        <w:t>de</w:t>
      </w:r>
      <w:r>
        <w:rPr>
          <w:color w:val="231F20"/>
          <w:spacing w:val="-22"/>
          <w:w w:val="105"/>
        </w:rPr>
        <w:t> </w:t>
      </w:r>
      <w:r>
        <w:rPr>
          <w:color w:val="231F20"/>
          <w:w w:val="105"/>
        </w:rPr>
        <w:t>54</w:t>
      </w:r>
      <w:r>
        <w:rPr>
          <w:color w:val="231F20"/>
          <w:spacing w:val="-22"/>
          <w:w w:val="105"/>
        </w:rPr>
        <w:t> </w:t>
      </w:r>
      <w:r>
        <w:rPr>
          <w:color w:val="231F20"/>
          <w:w w:val="105"/>
        </w:rPr>
        <w:t>millones</w:t>
      </w:r>
      <w:r>
        <w:rPr>
          <w:color w:val="231F20"/>
          <w:spacing w:val="-22"/>
          <w:w w:val="105"/>
        </w:rPr>
        <w:t> </w:t>
      </w:r>
      <w:r>
        <w:rPr>
          <w:color w:val="231F20"/>
          <w:w w:val="105"/>
        </w:rPr>
        <w:t>28</w:t>
      </w:r>
      <w:r>
        <w:rPr>
          <w:color w:val="231F20"/>
          <w:spacing w:val="-22"/>
          <w:w w:val="105"/>
        </w:rPr>
        <w:t> </w:t>
      </w:r>
      <w:r>
        <w:rPr>
          <w:color w:val="231F20"/>
          <w:spacing w:val="2"/>
          <w:w w:val="105"/>
        </w:rPr>
        <w:t>mil</w:t>
      </w:r>
      <w:r>
        <w:rPr>
          <w:color w:val="231F20"/>
          <w:spacing w:val="-22"/>
          <w:w w:val="105"/>
        </w:rPr>
        <w:t> </w:t>
      </w:r>
      <w:r>
        <w:rPr>
          <w:color w:val="231F20"/>
          <w:w w:val="105"/>
        </w:rPr>
        <w:t>pesos,</w:t>
      </w:r>
      <w:r>
        <w:rPr>
          <w:color w:val="231F20"/>
          <w:spacing w:val="-22"/>
          <w:w w:val="105"/>
        </w:rPr>
        <w:t> </w:t>
      </w:r>
      <w:r>
        <w:rPr>
          <w:color w:val="231F20"/>
          <w:w w:val="105"/>
        </w:rPr>
        <w:t>cantidad</w:t>
      </w:r>
      <w:r>
        <w:rPr>
          <w:color w:val="231F20"/>
          <w:spacing w:val="-22"/>
          <w:w w:val="105"/>
        </w:rPr>
        <w:t> </w:t>
      </w:r>
      <w:r>
        <w:rPr>
          <w:color w:val="231F20"/>
          <w:w w:val="105"/>
        </w:rPr>
        <w:t>que</w:t>
      </w:r>
      <w:r>
        <w:rPr>
          <w:color w:val="231F20"/>
          <w:spacing w:val="-22"/>
          <w:w w:val="105"/>
        </w:rPr>
        <w:t> </w:t>
      </w:r>
      <w:r>
        <w:rPr>
          <w:color w:val="231F20"/>
          <w:w w:val="105"/>
        </w:rPr>
        <w:t>fue</w:t>
      </w:r>
      <w:r>
        <w:rPr>
          <w:color w:val="231F20"/>
          <w:spacing w:val="-22"/>
          <w:w w:val="105"/>
        </w:rPr>
        <w:t> </w:t>
      </w:r>
      <w:r>
        <w:rPr>
          <w:color w:val="231F20"/>
          <w:w w:val="105"/>
        </w:rPr>
        <w:t>mayor</w:t>
      </w:r>
      <w:r>
        <w:rPr>
          <w:color w:val="231F20"/>
          <w:spacing w:val="-22"/>
          <w:w w:val="105"/>
        </w:rPr>
        <w:t> </w:t>
      </w:r>
      <w:r>
        <w:rPr>
          <w:color w:val="231F20"/>
          <w:w w:val="105"/>
        </w:rPr>
        <w:t>en</w:t>
      </w:r>
      <w:r>
        <w:rPr>
          <w:color w:val="231F20"/>
          <w:spacing w:val="-22"/>
          <w:w w:val="105"/>
        </w:rPr>
        <w:t> </w:t>
      </w:r>
      <w:r>
        <w:rPr>
          <w:color w:val="231F20"/>
          <w:w w:val="105"/>
        </w:rPr>
        <w:t>5</w:t>
      </w:r>
      <w:r>
        <w:rPr>
          <w:color w:val="231F20"/>
          <w:spacing w:val="-22"/>
          <w:w w:val="105"/>
        </w:rPr>
        <w:t> </w:t>
      </w:r>
      <w:r>
        <w:rPr>
          <w:color w:val="231F20"/>
          <w:w w:val="105"/>
        </w:rPr>
        <w:t>por</w:t>
      </w:r>
      <w:r>
        <w:rPr>
          <w:color w:val="231F20"/>
          <w:spacing w:val="-22"/>
          <w:w w:val="105"/>
        </w:rPr>
        <w:t> </w:t>
      </w:r>
      <w:r>
        <w:rPr>
          <w:color w:val="231F20"/>
          <w:w w:val="105"/>
        </w:rPr>
        <w:t>ciento</w:t>
      </w:r>
      <w:r>
        <w:rPr>
          <w:color w:val="231F20"/>
          <w:spacing w:val="-22"/>
          <w:w w:val="105"/>
        </w:rPr>
        <w:t> </w:t>
      </w:r>
      <w:r>
        <w:rPr>
          <w:color w:val="231F20"/>
          <w:spacing w:val="2"/>
          <w:w w:val="105"/>
        </w:rPr>
        <w:t>al </w:t>
      </w:r>
      <w:r>
        <w:rPr>
          <w:color w:val="231F20"/>
          <w:spacing w:val="-3"/>
          <w:w w:val="105"/>
        </w:rPr>
        <w:t>monto</w:t>
      </w:r>
      <w:r>
        <w:rPr>
          <w:color w:val="231F20"/>
          <w:spacing w:val="-18"/>
          <w:w w:val="105"/>
        </w:rPr>
        <w:t> </w:t>
      </w:r>
      <w:r>
        <w:rPr>
          <w:color w:val="231F20"/>
          <w:w w:val="105"/>
        </w:rPr>
        <w:t>real</w:t>
      </w:r>
      <w:r>
        <w:rPr>
          <w:color w:val="231F20"/>
          <w:spacing w:val="-18"/>
          <w:w w:val="105"/>
        </w:rPr>
        <w:t> </w:t>
      </w:r>
      <w:r>
        <w:rPr>
          <w:color w:val="231F20"/>
          <w:w w:val="105"/>
        </w:rPr>
        <w:t>ejercido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año</w:t>
      </w:r>
      <w:r>
        <w:rPr>
          <w:color w:val="231F20"/>
          <w:spacing w:val="-18"/>
          <w:w w:val="105"/>
        </w:rPr>
        <w:t> </w:t>
      </w:r>
      <w:r>
        <w:rPr>
          <w:color w:val="231F20"/>
          <w:spacing w:val="3"/>
          <w:w w:val="105"/>
        </w:rPr>
        <w:t>2006;</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año</w:t>
      </w:r>
      <w:r>
        <w:rPr>
          <w:color w:val="231F20"/>
          <w:spacing w:val="-18"/>
          <w:w w:val="105"/>
        </w:rPr>
        <w:t> </w:t>
      </w:r>
      <w:r>
        <w:rPr>
          <w:color w:val="231F20"/>
          <w:spacing w:val="3"/>
          <w:w w:val="105"/>
        </w:rPr>
        <w:t>2008</w:t>
      </w:r>
      <w:r>
        <w:rPr>
          <w:color w:val="231F20"/>
          <w:spacing w:val="-18"/>
          <w:w w:val="105"/>
        </w:rPr>
        <w:t> </w:t>
      </w:r>
      <w:r>
        <w:rPr>
          <w:color w:val="231F20"/>
          <w:w w:val="105"/>
        </w:rPr>
        <w:t>el</w:t>
      </w:r>
      <w:r>
        <w:rPr>
          <w:color w:val="231F20"/>
          <w:spacing w:val="-18"/>
          <w:w w:val="105"/>
        </w:rPr>
        <w:t> </w:t>
      </w:r>
      <w:r>
        <w:rPr>
          <w:color w:val="231F20"/>
          <w:w w:val="105"/>
        </w:rPr>
        <w:t>Cabildo</w:t>
      </w:r>
      <w:r>
        <w:rPr>
          <w:color w:val="231F20"/>
          <w:spacing w:val="-18"/>
          <w:w w:val="105"/>
        </w:rPr>
        <w:t> </w:t>
      </w:r>
      <w:r>
        <w:rPr>
          <w:color w:val="231F20"/>
          <w:w w:val="105"/>
        </w:rPr>
        <w:t>autorizó</w:t>
      </w:r>
      <w:r>
        <w:rPr>
          <w:color w:val="231F20"/>
          <w:spacing w:val="-18"/>
          <w:w w:val="105"/>
        </w:rPr>
        <w:t> </w:t>
      </w:r>
      <w:r>
        <w:rPr>
          <w:color w:val="231F20"/>
          <w:w w:val="105"/>
        </w:rPr>
        <w:t>un</w:t>
      </w:r>
      <w:r>
        <w:rPr>
          <w:color w:val="231F20"/>
          <w:spacing w:val="-18"/>
          <w:w w:val="105"/>
        </w:rPr>
        <w:t> </w:t>
      </w:r>
      <w:r>
        <w:rPr>
          <w:color w:val="231F20"/>
          <w:w w:val="105"/>
        </w:rPr>
        <w:t>Presupuesto de</w:t>
      </w:r>
      <w:r>
        <w:rPr>
          <w:color w:val="231F20"/>
          <w:spacing w:val="-15"/>
          <w:w w:val="105"/>
        </w:rPr>
        <w:t> </w:t>
      </w:r>
      <w:r>
        <w:rPr>
          <w:color w:val="231F20"/>
          <w:w w:val="105"/>
        </w:rPr>
        <w:t>Ingresos</w:t>
      </w:r>
      <w:r>
        <w:rPr>
          <w:color w:val="231F20"/>
          <w:spacing w:val="-15"/>
          <w:w w:val="105"/>
        </w:rPr>
        <w:t> </w:t>
      </w:r>
      <w:r>
        <w:rPr>
          <w:color w:val="231F20"/>
          <w:w w:val="105"/>
        </w:rPr>
        <w:t>y</w:t>
      </w:r>
      <w:r>
        <w:rPr>
          <w:color w:val="231F20"/>
          <w:spacing w:val="-15"/>
          <w:w w:val="105"/>
        </w:rPr>
        <w:t> </w:t>
      </w:r>
      <w:r>
        <w:rPr>
          <w:color w:val="231F20"/>
          <w:w w:val="105"/>
        </w:rPr>
        <w:t>de</w:t>
      </w:r>
      <w:r>
        <w:rPr>
          <w:color w:val="231F20"/>
          <w:spacing w:val="-15"/>
          <w:w w:val="105"/>
        </w:rPr>
        <w:t> </w:t>
      </w:r>
      <w:r>
        <w:rPr>
          <w:color w:val="231F20"/>
          <w:w w:val="105"/>
        </w:rPr>
        <w:t>Egresos</w:t>
      </w:r>
      <w:r>
        <w:rPr>
          <w:color w:val="231F20"/>
          <w:spacing w:val="-15"/>
          <w:w w:val="105"/>
        </w:rPr>
        <w:t> </w:t>
      </w:r>
      <w:r>
        <w:rPr>
          <w:color w:val="231F20"/>
          <w:w w:val="105"/>
        </w:rPr>
        <w:t>de</w:t>
      </w:r>
      <w:r>
        <w:rPr>
          <w:color w:val="231F20"/>
          <w:spacing w:val="-15"/>
          <w:w w:val="105"/>
        </w:rPr>
        <w:t> </w:t>
      </w:r>
      <w:r>
        <w:rPr>
          <w:color w:val="231F20"/>
          <w:w w:val="105"/>
        </w:rPr>
        <w:t>72</w:t>
      </w:r>
      <w:r>
        <w:rPr>
          <w:color w:val="231F20"/>
          <w:spacing w:val="-15"/>
          <w:w w:val="105"/>
        </w:rPr>
        <w:t> </w:t>
      </w:r>
      <w:r>
        <w:rPr>
          <w:color w:val="231F20"/>
          <w:w w:val="105"/>
        </w:rPr>
        <w:t>millones</w:t>
      </w:r>
      <w:r>
        <w:rPr>
          <w:color w:val="231F20"/>
          <w:spacing w:val="-15"/>
          <w:w w:val="105"/>
        </w:rPr>
        <w:t> </w:t>
      </w:r>
      <w:r>
        <w:rPr>
          <w:color w:val="231F20"/>
          <w:w w:val="105"/>
        </w:rPr>
        <w:t>898</w:t>
      </w:r>
      <w:r>
        <w:rPr>
          <w:color w:val="231F20"/>
          <w:spacing w:val="-15"/>
          <w:w w:val="105"/>
        </w:rPr>
        <w:t> </w:t>
      </w:r>
      <w:r>
        <w:rPr>
          <w:color w:val="231F20"/>
          <w:spacing w:val="2"/>
          <w:w w:val="105"/>
        </w:rPr>
        <w:t>mil</w:t>
      </w:r>
      <w:r>
        <w:rPr>
          <w:color w:val="231F20"/>
          <w:spacing w:val="-15"/>
          <w:w w:val="105"/>
        </w:rPr>
        <w:t> </w:t>
      </w:r>
      <w:r>
        <w:rPr>
          <w:color w:val="231F20"/>
          <w:w w:val="105"/>
        </w:rPr>
        <w:t>pesos.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siguiente</w:t>
      </w:r>
      <w:r>
        <w:rPr>
          <w:color w:val="231F20"/>
          <w:spacing w:val="-15"/>
          <w:w w:val="105"/>
        </w:rPr>
        <w:t> </w:t>
      </w:r>
      <w:r>
        <w:rPr>
          <w:color w:val="231F20"/>
          <w:w w:val="105"/>
        </w:rPr>
        <w:t>cuadro</w:t>
      </w:r>
      <w:r>
        <w:rPr>
          <w:color w:val="231F20"/>
          <w:spacing w:val="-15"/>
          <w:w w:val="105"/>
        </w:rPr>
        <w:t> </w:t>
      </w:r>
      <w:r>
        <w:rPr>
          <w:color w:val="231F20"/>
          <w:w w:val="105"/>
        </w:rPr>
        <w:t>podemos observar</w:t>
      </w:r>
      <w:r>
        <w:rPr>
          <w:color w:val="231F20"/>
          <w:spacing w:val="-16"/>
          <w:w w:val="105"/>
        </w:rPr>
        <w:t> </w:t>
      </w:r>
      <w:r>
        <w:rPr>
          <w:color w:val="231F20"/>
          <w:w w:val="105"/>
        </w:rPr>
        <w:t>la</w:t>
      </w:r>
      <w:r>
        <w:rPr>
          <w:color w:val="231F20"/>
          <w:spacing w:val="-16"/>
          <w:w w:val="105"/>
        </w:rPr>
        <w:t> </w:t>
      </w:r>
      <w:r>
        <w:rPr>
          <w:color w:val="231F20"/>
          <w:w w:val="105"/>
        </w:rPr>
        <w:t>evolución</w:t>
      </w:r>
      <w:r>
        <w:rPr>
          <w:color w:val="231F20"/>
          <w:spacing w:val="-16"/>
          <w:w w:val="105"/>
        </w:rPr>
        <w:t> </w:t>
      </w:r>
      <w:r>
        <w:rPr>
          <w:color w:val="231F20"/>
          <w:w w:val="105"/>
        </w:rPr>
        <w:t>anual</w:t>
      </w:r>
      <w:r>
        <w:rPr>
          <w:color w:val="231F20"/>
          <w:spacing w:val="-16"/>
          <w:w w:val="105"/>
        </w:rPr>
        <w:t> </w:t>
      </w:r>
      <w:r>
        <w:rPr>
          <w:color w:val="231F20"/>
          <w:w w:val="105"/>
        </w:rPr>
        <w:t>del</w:t>
      </w:r>
      <w:r>
        <w:rPr>
          <w:color w:val="231F20"/>
          <w:spacing w:val="-16"/>
          <w:w w:val="105"/>
        </w:rPr>
        <w:t> </w:t>
      </w:r>
      <w:r>
        <w:rPr>
          <w:color w:val="231F20"/>
          <w:w w:val="105"/>
        </w:rPr>
        <w:t>presupuesto</w:t>
      </w:r>
      <w:r>
        <w:rPr>
          <w:color w:val="231F20"/>
          <w:spacing w:val="-16"/>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municipio.</w:t>
      </w:r>
    </w:p>
    <w:p>
      <w:pPr>
        <w:pStyle w:val="BodyText"/>
      </w:pPr>
    </w:p>
    <w:p>
      <w:pPr>
        <w:pStyle w:val="BodyText"/>
        <w:spacing w:before="2"/>
        <w:rPr>
          <w:sz w:val="30"/>
        </w:rPr>
      </w:pPr>
    </w:p>
    <w:p>
      <w:pPr>
        <w:pStyle w:val="Heading5"/>
        <w:spacing w:before="1"/>
        <w:ind w:left="642" w:right="-2"/>
      </w:pPr>
      <w:r>
        <w:rPr>
          <w:color w:val="231F20"/>
          <w:w w:val="105"/>
        </w:rPr>
        <w:t>Cuadro 5: Presupuesto de Ingresos por Programas Ejercicio fiscal 2008</w:t>
      </w:r>
    </w:p>
    <w:p>
      <w:pPr>
        <w:pStyle w:val="BodyText"/>
        <w:spacing w:before="9"/>
        <w:rPr>
          <w:b/>
          <w:sz w:val="28"/>
        </w:rPr>
      </w:pPr>
    </w:p>
    <w:tbl>
      <w:tblPr>
        <w:tblW w:w="0" w:type="auto"/>
        <w:jc w:val="left"/>
        <w:tblInd w:w="57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43"/>
        <w:gridCol w:w="2744"/>
        <w:gridCol w:w="993"/>
        <w:gridCol w:w="1073"/>
        <w:gridCol w:w="1348"/>
      </w:tblGrid>
      <w:tr>
        <w:trPr>
          <w:trHeight w:val="130" w:hRule="exact"/>
        </w:trPr>
        <w:tc>
          <w:tcPr>
            <w:tcW w:w="843" w:type="dxa"/>
          </w:tcPr>
          <w:p>
            <w:pPr>
              <w:pStyle w:val="TableParagraph"/>
              <w:spacing w:line="160" w:lineRule="exact"/>
              <w:rPr>
                <w:sz w:val="16"/>
              </w:rPr>
            </w:pPr>
            <w:r>
              <w:rPr>
                <w:color w:val="231F20"/>
                <w:w w:val="85"/>
                <w:sz w:val="16"/>
              </w:rPr>
              <w:t>CAPÍITULO</w:t>
            </w:r>
          </w:p>
        </w:tc>
        <w:tc>
          <w:tcPr>
            <w:tcW w:w="2744" w:type="dxa"/>
          </w:tcPr>
          <w:p>
            <w:pPr>
              <w:pStyle w:val="TableParagraph"/>
              <w:spacing w:line="160" w:lineRule="exact"/>
              <w:ind w:left="102"/>
              <w:rPr>
                <w:sz w:val="16"/>
              </w:rPr>
            </w:pPr>
            <w:r>
              <w:rPr>
                <w:color w:val="231F20"/>
                <w:w w:val="80"/>
                <w:sz w:val="16"/>
              </w:rPr>
              <w:t>CONCEPTO</w:t>
            </w:r>
          </w:p>
        </w:tc>
        <w:tc>
          <w:tcPr>
            <w:tcW w:w="993" w:type="dxa"/>
          </w:tcPr>
          <w:p>
            <w:pPr>
              <w:pStyle w:val="TableParagraph"/>
              <w:spacing w:line="160" w:lineRule="exact"/>
              <w:ind w:left="102"/>
              <w:rPr>
                <w:sz w:val="16"/>
              </w:rPr>
            </w:pPr>
            <w:r>
              <w:rPr>
                <w:color w:val="231F20"/>
                <w:w w:val="75"/>
                <w:sz w:val="16"/>
              </w:rPr>
              <w:t>REAL 2006</w:t>
            </w:r>
          </w:p>
        </w:tc>
        <w:tc>
          <w:tcPr>
            <w:tcW w:w="1073" w:type="dxa"/>
          </w:tcPr>
          <w:p>
            <w:pPr>
              <w:pStyle w:val="TableParagraph"/>
              <w:spacing w:line="160" w:lineRule="exact"/>
              <w:ind w:left="102"/>
              <w:rPr>
                <w:sz w:val="16"/>
              </w:rPr>
            </w:pPr>
            <w:r>
              <w:rPr>
                <w:color w:val="231F20"/>
                <w:w w:val="75"/>
                <w:sz w:val="16"/>
              </w:rPr>
              <w:t>REAL 2007</w:t>
            </w:r>
          </w:p>
        </w:tc>
        <w:tc>
          <w:tcPr>
            <w:tcW w:w="1348" w:type="dxa"/>
          </w:tcPr>
          <w:p>
            <w:pPr>
              <w:pStyle w:val="TableParagraph"/>
              <w:spacing w:line="160" w:lineRule="exact"/>
              <w:ind w:left="102"/>
              <w:rPr>
                <w:sz w:val="16"/>
              </w:rPr>
            </w:pPr>
            <w:r>
              <w:rPr>
                <w:color w:val="231F20"/>
                <w:w w:val="75"/>
                <w:sz w:val="16"/>
              </w:rPr>
              <w:t>PRESUPUESTADO 2008</w:t>
            </w:r>
          </w:p>
        </w:tc>
      </w:tr>
      <w:tr>
        <w:trPr>
          <w:trHeight w:val="130" w:hRule="exact"/>
        </w:trPr>
        <w:tc>
          <w:tcPr>
            <w:tcW w:w="843" w:type="dxa"/>
          </w:tcPr>
          <w:p>
            <w:pPr>
              <w:pStyle w:val="TableParagraph"/>
              <w:spacing w:line="160" w:lineRule="exact"/>
              <w:rPr>
                <w:sz w:val="16"/>
              </w:rPr>
            </w:pPr>
            <w:r>
              <w:rPr>
                <w:color w:val="231F20"/>
                <w:w w:val="85"/>
                <w:sz w:val="16"/>
              </w:rPr>
              <w:t>6001</w:t>
            </w:r>
          </w:p>
        </w:tc>
        <w:tc>
          <w:tcPr>
            <w:tcW w:w="2744" w:type="dxa"/>
          </w:tcPr>
          <w:p>
            <w:pPr>
              <w:pStyle w:val="TableParagraph"/>
              <w:spacing w:line="160" w:lineRule="exact"/>
              <w:ind w:left="102"/>
              <w:rPr>
                <w:sz w:val="16"/>
              </w:rPr>
            </w:pPr>
            <w:r>
              <w:rPr>
                <w:color w:val="231F20"/>
                <w:w w:val="75"/>
                <w:sz w:val="16"/>
              </w:rPr>
              <w:t>PRESUPUESTO AUTORIZADO DE INGRESOS</w:t>
            </w:r>
          </w:p>
        </w:tc>
        <w:tc>
          <w:tcPr>
            <w:tcW w:w="993" w:type="dxa"/>
          </w:tcPr>
          <w:p>
            <w:pPr>
              <w:pStyle w:val="TableParagraph"/>
              <w:spacing w:line="160" w:lineRule="exact"/>
              <w:ind w:left="102"/>
              <w:rPr>
                <w:sz w:val="16"/>
              </w:rPr>
            </w:pPr>
            <w:r>
              <w:rPr>
                <w:color w:val="231F20"/>
                <w:w w:val="85"/>
                <w:sz w:val="16"/>
              </w:rPr>
              <w:t>55,353,326.58</w:t>
            </w:r>
          </w:p>
        </w:tc>
        <w:tc>
          <w:tcPr>
            <w:tcW w:w="1073" w:type="dxa"/>
          </w:tcPr>
          <w:p>
            <w:pPr>
              <w:pStyle w:val="TableParagraph"/>
              <w:spacing w:line="160" w:lineRule="exact"/>
              <w:ind w:left="102"/>
              <w:rPr>
                <w:sz w:val="16"/>
              </w:rPr>
            </w:pPr>
            <w:r>
              <w:rPr>
                <w:color w:val="231F20"/>
                <w:w w:val="85"/>
                <w:sz w:val="16"/>
              </w:rPr>
              <w:t>57,466,574.00</w:t>
            </w:r>
          </w:p>
        </w:tc>
        <w:tc>
          <w:tcPr>
            <w:tcW w:w="1348" w:type="dxa"/>
          </w:tcPr>
          <w:p>
            <w:pPr>
              <w:pStyle w:val="TableParagraph"/>
              <w:spacing w:line="160" w:lineRule="exact"/>
              <w:ind w:left="102"/>
              <w:rPr>
                <w:sz w:val="16"/>
              </w:rPr>
            </w:pPr>
            <w:r>
              <w:rPr>
                <w:color w:val="231F20"/>
                <w:w w:val="85"/>
                <w:sz w:val="16"/>
              </w:rPr>
              <w:t>72,898,066.00</w:t>
            </w:r>
          </w:p>
        </w:tc>
      </w:tr>
      <w:tr>
        <w:trPr>
          <w:trHeight w:val="130" w:hRule="exact"/>
        </w:trPr>
        <w:tc>
          <w:tcPr>
            <w:tcW w:w="843" w:type="dxa"/>
          </w:tcPr>
          <w:p>
            <w:pPr>
              <w:pStyle w:val="TableParagraph"/>
              <w:spacing w:line="160" w:lineRule="exact"/>
              <w:rPr>
                <w:sz w:val="16"/>
              </w:rPr>
            </w:pPr>
            <w:r>
              <w:rPr>
                <w:color w:val="231F20"/>
                <w:w w:val="85"/>
                <w:sz w:val="16"/>
              </w:rPr>
              <w:t>01</w:t>
            </w:r>
          </w:p>
        </w:tc>
        <w:tc>
          <w:tcPr>
            <w:tcW w:w="2744" w:type="dxa"/>
          </w:tcPr>
          <w:p>
            <w:pPr>
              <w:pStyle w:val="TableParagraph"/>
              <w:spacing w:line="160" w:lineRule="exact"/>
              <w:ind w:left="102"/>
              <w:rPr>
                <w:sz w:val="16"/>
              </w:rPr>
            </w:pPr>
            <w:r>
              <w:rPr>
                <w:color w:val="231F20"/>
                <w:w w:val="85"/>
                <w:sz w:val="16"/>
              </w:rPr>
              <w:t>IMPUESTOS</w:t>
            </w:r>
          </w:p>
        </w:tc>
        <w:tc>
          <w:tcPr>
            <w:tcW w:w="993" w:type="dxa"/>
          </w:tcPr>
          <w:p>
            <w:pPr>
              <w:pStyle w:val="TableParagraph"/>
              <w:spacing w:line="160" w:lineRule="exact"/>
              <w:ind w:left="102"/>
              <w:rPr>
                <w:sz w:val="16"/>
              </w:rPr>
            </w:pPr>
            <w:r>
              <w:rPr>
                <w:color w:val="231F20"/>
                <w:w w:val="85"/>
                <w:sz w:val="16"/>
              </w:rPr>
              <w:t>1,810,313.00</w:t>
            </w:r>
          </w:p>
        </w:tc>
        <w:tc>
          <w:tcPr>
            <w:tcW w:w="1073" w:type="dxa"/>
          </w:tcPr>
          <w:p>
            <w:pPr>
              <w:pStyle w:val="TableParagraph"/>
              <w:spacing w:line="160" w:lineRule="exact"/>
              <w:ind w:left="102"/>
              <w:rPr>
                <w:sz w:val="16"/>
              </w:rPr>
            </w:pPr>
            <w:r>
              <w:rPr>
                <w:color w:val="231F20"/>
                <w:w w:val="85"/>
                <w:sz w:val="16"/>
              </w:rPr>
              <w:t>2,015,513.00</w:t>
            </w:r>
          </w:p>
        </w:tc>
        <w:tc>
          <w:tcPr>
            <w:tcW w:w="1348" w:type="dxa"/>
          </w:tcPr>
          <w:p>
            <w:pPr>
              <w:pStyle w:val="TableParagraph"/>
              <w:spacing w:line="160" w:lineRule="exact"/>
              <w:ind w:left="102"/>
              <w:rPr>
                <w:sz w:val="16"/>
              </w:rPr>
            </w:pPr>
            <w:r>
              <w:rPr>
                <w:color w:val="231F20"/>
                <w:w w:val="85"/>
                <w:sz w:val="16"/>
              </w:rPr>
              <w:t>2,300,315.00</w:t>
            </w:r>
          </w:p>
        </w:tc>
      </w:tr>
      <w:tr>
        <w:trPr>
          <w:trHeight w:val="130" w:hRule="exact"/>
        </w:trPr>
        <w:tc>
          <w:tcPr>
            <w:tcW w:w="843" w:type="dxa"/>
          </w:tcPr>
          <w:p>
            <w:pPr>
              <w:pStyle w:val="TableParagraph"/>
              <w:spacing w:line="160" w:lineRule="exact"/>
              <w:rPr>
                <w:sz w:val="16"/>
              </w:rPr>
            </w:pPr>
            <w:r>
              <w:rPr>
                <w:color w:val="231F20"/>
                <w:w w:val="85"/>
                <w:sz w:val="16"/>
              </w:rPr>
              <w:t>02</w:t>
            </w:r>
          </w:p>
        </w:tc>
        <w:tc>
          <w:tcPr>
            <w:tcW w:w="2744" w:type="dxa"/>
          </w:tcPr>
          <w:p>
            <w:pPr>
              <w:pStyle w:val="TableParagraph"/>
              <w:spacing w:line="160" w:lineRule="exact"/>
              <w:ind w:left="102"/>
              <w:rPr>
                <w:sz w:val="16"/>
              </w:rPr>
            </w:pPr>
            <w:r>
              <w:rPr>
                <w:color w:val="231F20"/>
                <w:w w:val="85"/>
                <w:sz w:val="16"/>
              </w:rPr>
              <w:t>DERECHOS</w:t>
            </w:r>
          </w:p>
        </w:tc>
        <w:tc>
          <w:tcPr>
            <w:tcW w:w="993" w:type="dxa"/>
          </w:tcPr>
          <w:p>
            <w:pPr>
              <w:pStyle w:val="TableParagraph"/>
              <w:spacing w:line="160" w:lineRule="exact"/>
              <w:ind w:left="102"/>
              <w:rPr>
                <w:sz w:val="16"/>
              </w:rPr>
            </w:pPr>
            <w:r>
              <w:rPr>
                <w:color w:val="231F20"/>
                <w:w w:val="85"/>
                <w:sz w:val="16"/>
              </w:rPr>
              <w:t>2,305,112.00</w:t>
            </w:r>
          </w:p>
        </w:tc>
        <w:tc>
          <w:tcPr>
            <w:tcW w:w="1073" w:type="dxa"/>
          </w:tcPr>
          <w:p>
            <w:pPr>
              <w:pStyle w:val="TableParagraph"/>
              <w:spacing w:line="160" w:lineRule="exact"/>
              <w:ind w:left="102"/>
              <w:rPr>
                <w:sz w:val="16"/>
              </w:rPr>
            </w:pPr>
            <w:r>
              <w:rPr>
                <w:color w:val="231F20"/>
                <w:w w:val="85"/>
                <w:sz w:val="16"/>
              </w:rPr>
              <w:t>2,968,094.00</w:t>
            </w:r>
          </w:p>
        </w:tc>
        <w:tc>
          <w:tcPr>
            <w:tcW w:w="1348" w:type="dxa"/>
          </w:tcPr>
          <w:p>
            <w:pPr>
              <w:pStyle w:val="TableParagraph"/>
              <w:spacing w:line="160" w:lineRule="exact"/>
              <w:ind w:left="102"/>
              <w:rPr>
                <w:sz w:val="16"/>
              </w:rPr>
            </w:pPr>
            <w:r>
              <w:rPr>
                <w:color w:val="231F20"/>
                <w:w w:val="85"/>
                <w:sz w:val="16"/>
              </w:rPr>
              <w:t>2,141,512.00</w:t>
            </w:r>
          </w:p>
        </w:tc>
      </w:tr>
      <w:tr>
        <w:trPr>
          <w:trHeight w:val="130" w:hRule="exact"/>
        </w:trPr>
        <w:tc>
          <w:tcPr>
            <w:tcW w:w="843" w:type="dxa"/>
          </w:tcPr>
          <w:p>
            <w:pPr>
              <w:pStyle w:val="TableParagraph"/>
              <w:spacing w:line="160" w:lineRule="exact"/>
              <w:rPr>
                <w:sz w:val="16"/>
              </w:rPr>
            </w:pPr>
            <w:r>
              <w:rPr>
                <w:color w:val="231F20"/>
                <w:w w:val="85"/>
                <w:sz w:val="16"/>
              </w:rPr>
              <w:t>03</w:t>
            </w:r>
          </w:p>
        </w:tc>
        <w:tc>
          <w:tcPr>
            <w:tcW w:w="2744" w:type="dxa"/>
          </w:tcPr>
          <w:p>
            <w:pPr>
              <w:pStyle w:val="TableParagraph"/>
              <w:spacing w:line="160" w:lineRule="exact"/>
              <w:ind w:left="102"/>
              <w:rPr>
                <w:sz w:val="16"/>
              </w:rPr>
            </w:pPr>
            <w:r>
              <w:rPr>
                <w:color w:val="231F20"/>
                <w:w w:val="75"/>
                <w:sz w:val="16"/>
              </w:rPr>
              <w:t>APORTACIÓN DE MEJORAS</w:t>
            </w:r>
          </w:p>
        </w:tc>
        <w:tc>
          <w:tcPr>
            <w:tcW w:w="993" w:type="dxa"/>
          </w:tcPr>
          <w:p>
            <w:pPr>
              <w:pStyle w:val="TableParagraph"/>
              <w:spacing w:line="160" w:lineRule="exact"/>
              <w:ind w:left="102"/>
              <w:rPr>
                <w:sz w:val="16"/>
              </w:rPr>
            </w:pPr>
            <w:r>
              <w:rPr>
                <w:color w:val="231F20"/>
                <w:w w:val="85"/>
                <w:sz w:val="16"/>
              </w:rPr>
              <w:t>38,797.18</w:t>
            </w:r>
          </w:p>
        </w:tc>
        <w:tc>
          <w:tcPr>
            <w:tcW w:w="1073" w:type="dxa"/>
          </w:tcPr>
          <w:p>
            <w:pPr>
              <w:pStyle w:val="TableParagraph"/>
              <w:spacing w:line="160" w:lineRule="exact"/>
              <w:ind w:left="102"/>
              <w:rPr>
                <w:sz w:val="16"/>
              </w:rPr>
            </w:pPr>
            <w:r>
              <w:rPr>
                <w:color w:val="231F20"/>
                <w:w w:val="85"/>
                <w:sz w:val="16"/>
              </w:rPr>
              <w:t>191,399.00</w:t>
            </w:r>
          </w:p>
        </w:tc>
        <w:tc>
          <w:tcPr>
            <w:tcW w:w="1348" w:type="dxa"/>
          </w:tcPr>
          <w:p>
            <w:pPr>
              <w:pStyle w:val="TableParagraph"/>
              <w:spacing w:line="160" w:lineRule="exact"/>
              <w:ind w:left="102"/>
              <w:rPr>
                <w:sz w:val="16"/>
              </w:rPr>
            </w:pPr>
            <w:r>
              <w:rPr>
                <w:color w:val="231F20"/>
                <w:w w:val="85"/>
                <w:sz w:val="16"/>
              </w:rPr>
              <w:t>214,800.00</w:t>
            </w:r>
          </w:p>
        </w:tc>
      </w:tr>
      <w:tr>
        <w:trPr>
          <w:trHeight w:val="130" w:hRule="exact"/>
        </w:trPr>
        <w:tc>
          <w:tcPr>
            <w:tcW w:w="843" w:type="dxa"/>
          </w:tcPr>
          <w:p>
            <w:pPr>
              <w:pStyle w:val="TableParagraph"/>
              <w:spacing w:line="160" w:lineRule="exact"/>
              <w:rPr>
                <w:sz w:val="16"/>
              </w:rPr>
            </w:pPr>
            <w:r>
              <w:rPr>
                <w:color w:val="231F20"/>
                <w:w w:val="85"/>
                <w:sz w:val="16"/>
              </w:rPr>
              <w:t>04</w:t>
            </w:r>
          </w:p>
        </w:tc>
        <w:tc>
          <w:tcPr>
            <w:tcW w:w="2744" w:type="dxa"/>
          </w:tcPr>
          <w:p>
            <w:pPr>
              <w:pStyle w:val="TableParagraph"/>
              <w:spacing w:line="160" w:lineRule="exact"/>
              <w:ind w:left="102"/>
              <w:rPr>
                <w:sz w:val="16"/>
              </w:rPr>
            </w:pPr>
            <w:r>
              <w:rPr>
                <w:color w:val="231F20"/>
                <w:w w:val="80"/>
                <w:sz w:val="16"/>
              </w:rPr>
              <w:t>PRODUCTOS</w:t>
            </w:r>
          </w:p>
        </w:tc>
        <w:tc>
          <w:tcPr>
            <w:tcW w:w="993" w:type="dxa"/>
          </w:tcPr>
          <w:p>
            <w:pPr>
              <w:pStyle w:val="TableParagraph"/>
              <w:spacing w:line="160" w:lineRule="exact"/>
              <w:ind w:left="102"/>
              <w:rPr>
                <w:sz w:val="16"/>
              </w:rPr>
            </w:pPr>
            <w:r>
              <w:rPr>
                <w:color w:val="231F20"/>
                <w:w w:val="85"/>
                <w:sz w:val="16"/>
              </w:rPr>
              <w:t>237,657,.30</w:t>
            </w:r>
          </w:p>
        </w:tc>
        <w:tc>
          <w:tcPr>
            <w:tcW w:w="1073" w:type="dxa"/>
          </w:tcPr>
          <w:p>
            <w:pPr>
              <w:pStyle w:val="TableParagraph"/>
              <w:spacing w:line="160" w:lineRule="exact"/>
              <w:ind w:left="102"/>
              <w:rPr>
                <w:sz w:val="16"/>
              </w:rPr>
            </w:pPr>
            <w:r>
              <w:rPr>
                <w:color w:val="231F20"/>
                <w:w w:val="85"/>
                <w:sz w:val="16"/>
              </w:rPr>
              <w:t>331,619.00</w:t>
            </w:r>
          </w:p>
        </w:tc>
        <w:tc>
          <w:tcPr>
            <w:tcW w:w="1348" w:type="dxa"/>
          </w:tcPr>
          <w:p>
            <w:pPr>
              <w:pStyle w:val="TableParagraph"/>
              <w:spacing w:line="160" w:lineRule="exact"/>
              <w:ind w:left="102"/>
              <w:rPr>
                <w:sz w:val="16"/>
              </w:rPr>
            </w:pPr>
            <w:r>
              <w:rPr>
                <w:color w:val="231F20"/>
                <w:w w:val="85"/>
                <w:sz w:val="16"/>
              </w:rPr>
              <w:t>392,160.00</w:t>
            </w:r>
          </w:p>
        </w:tc>
      </w:tr>
      <w:tr>
        <w:trPr>
          <w:trHeight w:val="130" w:hRule="exact"/>
        </w:trPr>
        <w:tc>
          <w:tcPr>
            <w:tcW w:w="843" w:type="dxa"/>
          </w:tcPr>
          <w:p>
            <w:pPr>
              <w:pStyle w:val="TableParagraph"/>
              <w:spacing w:line="160" w:lineRule="exact"/>
              <w:rPr>
                <w:sz w:val="16"/>
              </w:rPr>
            </w:pPr>
            <w:r>
              <w:rPr>
                <w:color w:val="231F20"/>
                <w:w w:val="85"/>
                <w:sz w:val="16"/>
              </w:rPr>
              <w:t>05</w:t>
            </w:r>
          </w:p>
        </w:tc>
        <w:tc>
          <w:tcPr>
            <w:tcW w:w="2744" w:type="dxa"/>
          </w:tcPr>
          <w:p>
            <w:pPr>
              <w:pStyle w:val="TableParagraph"/>
              <w:spacing w:line="160" w:lineRule="exact"/>
              <w:ind w:left="102"/>
              <w:rPr>
                <w:sz w:val="16"/>
              </w:rPr>
            </w:pPr>
            <w:r>
              <w:rPr>
                <w:color w:val="231F20"/>
                <w:w w:val="85"/>
                <w:sz w:val="16"/>
              </w:rPr>
              <w:t>APROVECHAMIENTOS</w:t>
            </w:r>
          </w:p>
        </w:tc>
        <w:tc>
          <w:tcPr>
            <w:tcW w:w="993" w:type="dxa"/>
          </w:tcPr>
          <w:p>
            <w:pPr>
              <w:pStyle w:val="TableParagraph"/>
              <w:spacing w:line="160" w:lineRule="exact"/>
              <w:ind w:left="102"/>
              <w:rPr>
                <w:sz w:val="16"/>
              </w:rPr>
            </w:pPr>
            <w:r>
              <w:rPr>
                <w:color w:val="231F20"/>
                <w:w w:val="90"/>
                <w:sz w:val="16"/>
              </w:rPr>
              <w:t>-3,468.04</w:t>
            </w:r>
          </w:p>
        </w:tc>
        <w:tc>
          <w:tcPr>
            <w:tcW w:w="1073" w:type="dxa"/>
          </w:tcPr>
          <w:p>
            <w:pPr>
              <w:pStyle w:val="TableParagraph"/>
              <w:spacing w:line="160" w:lineRule="exact"/>
              <w:ind w:left="102"/>
              <w:rPr>
                <w:sz w:val="16"/>
              </w:rPr>
            </w:pPr>
            <w:r>
              <w:rPr>
                <w:color w:val="231F20"/>
                <w:w w:val="85"/>
                <w:sz w:val="16"/>
              </w:rPr>
              <w:t>38,827.00</w:t>
            </w:r>
          </w:p>
        </w:tc>
        <w:tc>
          <w:tcPr>
            <w:tcW w:w="1348" w:type="dxa"/>
          </w:tcPr>
          <w:p>
            <w:pPr>
              <w:pStyle w:val="TableParagraph"/>
              <w:spacing w:line="160" w:lineRule="exact"/>
              <w:ind w:left="102"/>
              <w:rPr>
                <w:sz w:val="16"/>
              </w:rPr>
            </w:pPr>
            <w:r>
              <w:rPr>
                <w:color w:val="231F20"/>
                <w:w w:val="85"/>
                <w:sz w:val="16"/>
              </w:rPr>
              <w:t>457,600.00</w:t>
            </w:r>
          </w:p>
        </w:tc>
      </w:tr>
      <w:tr>
        <w:trPr>
          <w:trHeight w:val="130" w:hRule="exact"/>
        </w:trPr>
        <w:tc>
          <w:tcPr>
            <w:tcW w:w="843" w:type="dxa"/>
          </w:tcPr>
          <w:p>
            <w:pPr>
              <w:pStyle w:val="TableParagraph"/>
              <w:spacing w:line="160" w:lineRule="exact"/>
              <w:rPr>
                <w:sz w:val="16"/>
              </w:rPr>
            </w:pPr>
            <w:r>
              <w:rPr>
                <w:color w:val="231F20"/>
                <w:w w:val="85"/>
                <w:sz w:val="16"/>
              </w:rPr>
              <w:t>07</w:t>
            </w:r>
          </w:p>
        </w:tc>
        <w:tc>
          <w:tcPr>
            <w:tcW w:w="2744" w:type="dxa"/>
          </w:tcPr>
          <w:p>
            <w:pPr>
              <w:pStyle w:val="TableParagraph"/>
              <w:spacing w:line="160" w:lineRule="exact"/>
              <w:ind w:left="102"/>
              <w:rPr>
                <w:sz w:val="16"/>
              </w:rPr>
            </w:pPr>
            <w:r>
              <w:rPr>
                <w:color w:val="231F20"/>
                <w:w w:val="75"/>
                <w:sz w:val="16"/>
              </w:rPr>
              <w:t>OTROS INGRESOS</w:t>
            </w:r>
          </w:p>
        </w:tc>
        <w:tc>
          <w:tcPr>
            <w:tcW w:w="993" w:type="dxa"/>
          </w:tcPr>
          <w:p>
            <w:pPr>
              <w:pStyle w:val="TableParagraph"/>
              <w:spacing w:line="160" w:lineRule="exact"/>
              <w:ind w:left="102"/>
              <w:rPr>
                <w:sz w:val="16"/>
              </w:rPr>
            </w:pPr>
            <w:r>
              <w:rPr>
                <w:color w:val="231F20"/>
                <w:w w:val="85"/>
                <w:sz w:val="16"/>
              </w:rPr>
              <w:t>3,129,637.34</w:t>
            </w:r>
          </w:p>
        </w:tc>
        <w:tc>
          <w:tcPr>
            <w:tcW w:w="1073" w:type="dxa"/>
          </w:tcPr>
          <w:p>
            <w:pPr>
              <w:pStyle w:val="TableParagraph"/>
              <w:spacing w:line="160" w:lineRule="exact"/>
              <w:ind w:left="102"/>
              <w:rPr>
                <w:sz w:val="16"/>
              </w:rPr>
            </w:pPr>
            <w:r>
              <w:rPr>
                <w:color w:val="231F20"/>
                <w:w w:val="85"/>
                <w:sz w:val="16"/>
              </w:rPr>
              <w:t>4,806,042.00</w:t>
            </w:r>
          </w:p>
        </w:tc>
        <w:tc>
          <w:tcPr>
            <w:tcW w:w="1348" w:type="dxa"/>
          </w:tcPr>
          <w:p>
            <w:pPr>
              <w:pStyle w:val="TableParagraph"/>
              <w:spacing w:line="160" w:lineRule="exact"/>
              <w:ind w:left="102"/>
              <w:rPr>
                <w:sz w:val="16"/>
              </w:rPr>
            </w:pPr>
            <w:r>
              <w:rPr>
                <w:color w:val="231F20"/>
                <w:w w:val="85"/>
                <w:sz w:val="16"/>
              </w:rPr>
              <w:t>5,184,000.00</w:t>
            </w:r>
          </w:p>
        </w:tc>
      </w:tr>
      <w:tr>
        <w:trPr>
          <w:trHeight w:val="130" w:hRule="exact"/>
        </w:trPr>
        <w:tc>
          <w:tcPr>
            <w:tcW w:w="843" w:type="dxa"/>
          </w:tcPr>
          <w:p>
            <w:pPr>
              <w:pStyle w:val="TableParagraph"/>
              <w:spacing w:line="160" w:lineRule="exact"/>
              <w:rPr>
                <w:sz w:val="16"/>
              </w:rPr>
            </w:pPr>
            <w:r>
              <w:rPr>
                <w:color w:val="231F20"/>
                <w:w w:val="85"/>
                <w:sz w:val="16"/>
              </w:rPr>
              <w:t>08</w:t>
            </w:r>
          </w:p>
        </w:tc>
        <w:tc>
          <w:tcPr>
            <w:tcW w:w="2744" w:type="dxa"/>
          </w:tcPr>
          <w:p>
            <w:pPr>
              <w:pStyle w:val="TableParagraph"/>
              <w:spacing w:line="160" w:lineRule="exact"/>
              <w:ind w:left="102"/>
              <w:rPr>
                <w:sz w:val="16"/>
              </w:rPr>
            </w:pPr>
            <w:r>
              <w:rPr>
                <w:color w:val="231F20"/>
                <w:w w:val="75"/>
                <w:sz w:val="16"/>
              </w:rPr>
              <w:t>INGRESOS POR FINANCIAMIENTO</w:t>
            </w:r>
          </w:p>
        </w:tc>
        <w:tc>
          <w:tcPr>
            <w:tcW w:w="993" w:type="dxa"/>
          </w:tcPr>
          <w:p>
            <w:pPr>
              <w:pStyle w:val="TableParagraph"/>
              <w:spacing w:line="160" w:lineRule="exact"/>
              <w:ind w:left="102"/>
              <w:rPr>
                <w:sz w:val="16"/>
              </w:rPr>
            </w:pPr>
            <w:r>
              <w:rPr>
                <w:color w:val="231F20"/>
                <w:w w:val="85"/>
                <w:sz w:val="16"/>
              </w:rPr>
              <w:t>0.00</w:t>
            </w:r>
          </w:p>
        </w:tc>
        <w:tc>
          <w:tcPr>
            <w:tcW w:w="1073" w:type="dxa"/>
          </w:tcPr>
          <w:p>
            <w:pPr>
              <w:pStyle w:val="TableParagraph"/>
              <w:spacing w:line="160" w:lineRule="exact"/>
              <w:ind w:left="102"/>
              <w:rPr>
                <w:sz w:val="16"/>
              </w:rPr>
            </w:pPr>
            <w:r>
              <w:rPr>
                <w:color w:val="231F20"/>
                <w:w w:val="85"/>
                <w:sz w:val="16"/>
              </w:rPr>
              <w:t>1,500,000.00</w:t>
            </w:r>
          </w:p>
        </w:tc>
        <w:tc>
          <w:tcPr>
            <w:tcW w:w="1348" w:type="dxa"/>
          </w:tcPr>
          <w:p>
            <w:pPr>
              <w:pStyle w:val="TableParagraph"/>
              <w:spacing w:line="160" w:lineRule="exact"/>
              <w:ind w:left="102"/>
              <w:rPr>
                <w:sz w:val="16"/>
              </w:rPr>
            </w:pPr>
            <w:r>
              <w:rPr>
                <w:color w:val="231F20"/>
                <w:w w:val="85"/>
                <w:sz w:val="16"/>
              </w:rPr>
              <w:t>4,290,000.00</w:t>
            </w:r>
          </w:p>
        </w:tc>
      </w:tr>
      <w:tr>
        <w:trPr>
          <w:trHeight w:val="130" w:hRule="exact"/>
        </w:trPr>
        <w:tc>
          <w:tcPr>
            <w:tcW w:w="843" w:type="dxa"/>
          </w:tcPr>
          <w:p>
            <w:pPr>
              <w:pStyle w:val="TableParagraph"/>
              <w:spacing w:line="160" w:lineRule="exact"/>
              <w:rPr>
                <w:sz w:val="16"/>
              </w:rPr>
            </w:pPr>
            <w:r>
              <w:rPr>
                <w:color w:val="231F20"/>
                <w:w w:val="85"/>
                <w:sz w:val="16"/>
              </w:rPr>
              <w:t>09</w:t>
            </w:r>
          </w:p>
        </w:tc>
        <w:tc>
          <w:tcPr>
            <w:tcW w:w="2744" w:type="dxa"/>
          </w:tcPr>
          <w:p>
            <w:pPr>
              <w:pStyle w:val="TableParagraph"/>
              <w:spacing w:line="160" w:lineRule="exact"/>
              <w:ind w:left="102"/>
              <w:rPr>
                <w:sz w:val="16"/>
              </w:rPr>
            </w:pPr>
            <w:r>
              <w:rPr>
                <w:color w:val="231F20"/>
                <w:w w:val="85"/>
                <w:sz w:val="16"/>
              </w:rPr>
              <w:t>ACCESORIOS</w:t>
            </w:r>
          </w:p>
        </w:tc>
        <w:tc>
          <w:tcPr>
            <w:tcW w:w="993" w:type="dxa"/>
          </w:tcPr>
          <w:p>
            <w:pPr>
              <w:pStyle w:val="TableParagraph"/>
              <w:spacing w:line="160" w:lineRule="exact"/>
              <w:ind w:left="102"/>
              <w:rPr>
                <w:sz w:val="16"/>
              </w:rPr>
            </w:pPr>
            <w:r>
              <w:rPr>
                <w:color w:val="231F20"/>
                <w:w w:val="85"/>
                <w:sz w:val="16"/>
              </w:rPr>
              <w:t>0.00</w:t>
            </w:r>
          </w:p>
        </w:tc>
        <w:tc>
          <w:tcPr>
            <w:tcW w:w="1073" w:type="dxa"/>
          </w:tcPr>
          <w:p>
            <w:pPr>
              <w:pStyle w:val="TableParagraph"/>
              <w:spacing w:line="160" w:lineRule="exact"/>
              <w:ind w:left="102"/>
              <w:rPr>
                <w:sz w:val="16"/>
              </w:rPr>
            </w:pPr>
            <w:r>
              <w:rPr>
                <w:color w:val="231F20"/>
                <w:w w:val="85"/>
                <w:sz w:val="16"/>
              </w:rPr>
              <w:t>1,412,214.00</w:t>
            </w:r>
          </w:p>
        </w:tc>
        <w:tc>
          <w:tcPr>
            <w:tcW w:w="1348" w:type="dxa"/>
          </w:tcPr>
          <w:p>
            <w:pPr>
              <w:pStyle w:val="TableParagraph"/>
              <w:spacing w:line="160" w:lineRule="exact"/>
              <w:ind w:left="102"/>
              <w:rPr>
                <w:sz w:val="16"/>
              </w:rPr>
            </w:pPr>
            <w:r>
              <w:rPr>
                <w:color w:val="231F20"/>
                <w:w w:val="85"/>
                <w:sz w:val="16"/>
              </w:rPr>
              <w:t>104,400.00</w:t>
            </w:r>
          </w:p>
        </w:tc>
      </w:tr>
      <w:tr>
        <w:trPr>
          <w:trHeight w:val="130" w:hRule="exact"/>
        </w:trPr>
        <w:tc>
          <w:tcPr>
            <w:tcW w:w="843" w:type="dxa"/>
          </w:tcPr>
          <w:p>
            <w:pPr>
              <w:pStyle w:val="TableParagraph"/>
              <w:spacing w:line="160" w:lineRule="exact"/>
              <w:rPr>
                <w:sz w:val="16"/>
              </w:rPr>
            </w:pPr>
            <w:r>
              <w:rPr>
                <w:color w:val="231F20"/>
                <w:w w:val="85"/>
                <w:sz w:val="16"/>
              </w:rPr>
              <w:t>10</w:t>
            </w:r>
          </w:p>
        </w:tc>
        <w:tc>
          <w:tcPr>
            <w:tcW w:w="2744" w:type="dxa"/>
          </w:tcPr>
          <w:p>
            <w:pPr>
              <w:pStyle w:val="TableParagraph"/>
              <w:spacing w:line="160" w:lineRule="exact"/>
              <w:ind w:left="102"/>
              <w:rPr>
                <w:sz w:val="16"/>
              </w:rPr>
            </w:pPr>
            <w:r>
              <w:rPr>
                <w:color w:val="231F20"/>
                <w:w w:val="75"/>
                <w:sz w:val="16"/>
              </w:rPr>
              <w:t>INGRESOS DERIVADOS DEL SECTOR AUXILIAR</w:t>
            </w:r>
          </w:p>
        </w:tc>
        <w:tc>
          <w:tcPr>
            <w:tcW w:w="993" w:type="dxa"/>
          </w:tcPr>
          <w:p>
            <w:pPr>
              <w:pStyle w:val="TableParagraph"/>
              <w:spacing w:line="160" w:lineRule="exact"/>
              <w:ind w:left="102"/>
              <w:rPr>
                <w:sz w:val="16"/>
              </w:rPr>
            </w:pPr>
            <w:r>
              <w:rPr>
                <w:color w:val="231F20"/>
                <w:w w:val="85"/>
                <w:sz w:val="16"/>
              </w:rPr>
              <w:t>0.00</w:t>
            </w:r>
          </w:p>
        </w:tc>
        <w:tc>
          <w:tcPr>
            <w:tcW w:w="1073" w:type="dxa"/>
          </w:tcPr>
          <w:p>
            <w:pPr>
              <w:pStyle w:val="TableParagraph"/>
              <w:spacing w:line="160" w:lineRule="exact"/>
              <w:ind w:left="102"/>
              <w:rPr>
                <w:sz w:val="16"/>
              </w:rPr>
            </w:pPr>
            <w:r>
              <w:rPr>
                <w:color w:val="231F20"/>
                <w:w w:val="85"/>
                <w:sz w:val="16"/>
              </w:rPr>
              <w:t>0.00</w:t>
            </w:r>
          </w:p>
        </w:tc>
        <w:tc>
          <w:tcPr>
            <w:tcW w:w="1348" w:type="dxa"/>
          </w:tcPr>
          <w:p>
            <w:pPr>
              <w:pStyle w:val="TableParagraph"/>
              <w:spacing w:line="160" w:lineRule="exact"/>
              <w:ind w:left="102"/>
              <w:rPr>
                <w:sz w:val="16"/>
              </w:rPr>
            </w:pPr>
            <w:r>
              <w:rPr>
                <w:color w:val="231F20"/>
                <w:w w:val="85"/>
                <w:sz w:val="16"/>
              </w:rPr>
              <w:t>0.00</w:t>
            </w:r>
          </w:p>
        </w:tc>
      </w:tr>
      <w:tr>
        <w:trPr>
          <w:trHeight w:val="322" w:hRule="exact"/>
        </w:trPr>
        <w:tc>
          <w:tcPr>
            <w:tcW w:w="843" w:type="dxa"/>
          </w:tcPr>
          <w:p>
            <w:pPr>
              <w:pStyle w:val="TableParagraph"/>
              <w:spacing w:line="162" w:lineRule="exact"/>
              <w:rPr>
                <w:sz w:val="16"/>
              </w:rPr>
            </w:pPr>
            <w:r>
              <w:rPr>
                <w:color w:val="231F20"/>
                <w:w w:val="85"/>
                <w:sz w:val="16"/>
              </w:rPr>
              <w:t>11</w:t>
            </w:r>
          </w:p>
        </w:tc>
        <w:tc>
          <w:tcPr>
            <w:tcW w:w="2744" w:type="dxa"/>
          </w:tcPr>
          <w:p>
            <w:pPr>
              <w:pStyle w:val="TableParagraph"/>
              <w:spacing w:line="160" w:lineRule="exact"/>
              <w:ind w:left="102"/>
              <w:rPr>
                <w:sz w:val="16"/>
              </w:rPr>
            </w:pPr>
            <w:r>
              <w:rPr>
                <w:color w:val="231F20"/>
                <w:w w:val="75"/>
                <w:sz w:val="16"/>
              </w:rPr>
              <w:t>INGRSOS MUNICIPALES DERIVADOS DE LS SIST.</w:t>
            </w:r>
          </w:p>
          <w:p>
            <w:pPr>
              <w:pStyle w:val="TableParagraph"/>
              <w:spacing w:line="192" w:lineRule="exact"/>
              <w:ind w:left="102"/>
              <w:rPr>
                <w:sz w:val="16"/>
              </w:rPr>
            </w:pPr>
            <w:r>
              <w:rPr>
                <w:color w:val="231F20"/>
                <w:w w:val="75"/>
                <w:sz w:val="16"/>
              </w:rPr>
              <w:t>NAC. DE COORD. FISC. Y EST. DE COOR. HACENDARIA</w:t>
            </w:r>
          </w:p>
        </w:tc>
        <w:tc>
          <w:tcPr>
            <w:tcW w:w="993" w:type="dxa"/>
          </w:tcPr>
          <w:p>
            <w:pPr>
              <w:pStyle w:val="TableParagraph"/>
              <w:spacing w:line="183" w:lineRule="exact"/>
              <w:ind w:left="102"/>
              <w:rPr>
                <w:sz w:val="18"/>
              </w:rPr>
            </w:pPr>
            <w:r>
              <w:rPr>
                <w:color w:val="231F20"/>
                <w:w w:val="80"/>
                <w:sz w:val="18"/>
              </w:rPr>
              <w:t>47,835,277.80</w:t>
            </w:r>
          </w:p>
        </w:tc>
        <w:tc>
          <w:tcPr>
            <w:tcW w:w="1073" w:type="dxa"/>
          </w:tcPr>
          <w:p>
            <w:pPr>
              <w:pStyle w:val="TableParagraph"/>
              <w:spacing w:line="183" w:lineRule="exact"/>
              <w:rPr>
                <w:sz w:val="18"/>
              </w:rPr>
            </w:pPr>
            <w:r>
              <w:rPr>
                <w:color w:val="231F20"/>
                <w:w w:val="85"/>
                <w:sz w:val="18"/>
              </w:rPr>
              <w:t>44,202,866.00</w:t>
            </w:r>
          </w:p>
        </w:tc>
        <w:tc>
          <w:tcPr>
            <w:tcW w:w="1348" w:type="dxa"/>
          </w:tcPr>
          <w:p>
            <w:pPr>
              <w:pStyle w:val="TableParagraph"/>
              <w:spacing w:line="183" w:lineRule="exact"/>
              <w:rPr>
                <w:sz w:val="18"/>
              </w:rPr>
            </w:pPr>
            <w:r>
              <w:rPr>
                <w:color w:val="231F20"/>
                <w:w w:val="85"/>
                <w:sz w:val="18"/>
              </w:rPr>
              <w:t>57,813,279.00</w:t>
            </w:r>
          </w:p>
        </w:tc>
      </w:tr>
    </w:tbl>
    <w:p>
      <w:pPr>
        <w:pStyle w:val="BodyText"/>
        <w:spacing w:before="4"/>
        <w:rPr>
          <w:b/>
          <w:sz w:val="27"/>
        </w:rPr>
      </w:pPr>
    </w:p>
    <w:p>
      <w:pPr>
        <w:spacing w:before="72"/>
        <w:ind w:left="1503" w:right="-2" w:firstLine="0"/>
        <w:jc w:val="left"/>
        <w:rPr>
          <w:rFonts w:ascii="Calibri" w:hAnsi="Calibri"/>
          <w:i/>
          <w:sz w:val="18"/>
        </w:rPr>
      </w:pPr>
      <w:r>
        <w:rPr>
          <w:rFonts w:ascii="Calibri" w:hAnsi="Calibri"/>
          <w:i/>
          <w:color w:val="231F20"/>
          <w:sz w:val="18"/>
        </w:rPr>
        <w:t>Fuente:</w:t>
      </w:r>
      <w:r>
        <w:rPr>
          <w:rFonts w:ascii="Calibri" w:hAnsi="Calibri"/>
          <w:i/>
          <w:color w:val="231F20"/>
          <w:spacing w:val="-16"/>
          <w:sz w:val="18"/>
        </w:rPr>
        <w:t> </w:t>
      </w:r>
      <w:r>
        <w:rPr>
          <w:rFonts w:ascii="Calibri" w:hAnsi="Calibri"/>
          <w:i/>
          <w:color w:val="231F20"/>
          <w:sz w:val="18"/>
        </w:rPr>
        <w:t>Órgano</w:t>
      </w:r>
      <w:r>
        <w:rPr>
          <w:rFonts w:ascii="Calibri" w:hAnsi="Calibri"/>
          <w:i/>
          <w:color w:val="231F20"/>
          <w:spacing w:val="-16"/>
          <w:sz w:val="18"/>
        </w:rPr>
        <w:t> </w:t>
      </w:r>
      <w:r>
        <w:rPr>
          <w:rFonts w:ascii="Calibri" w:hAnsi="Calibri"/>
          <w:i/>
          <w:color w:val="231F20"/>
          <w:sz w:val="18"/>
        </w:rPr>
        <w:t>Superior</w:t>
      </w:r>
      <w:r>
        <w:rPr>
          <w:rFonts w:ascii="Calibri" w:hAnsi="Calibri"/>
          <w:i/>
          <w:color w:val="231F20"/>
          <w:spacing w:val="-16"/>
          <w:sz w:val="18"/>
        </w:rPr>
        <w:t> </w:t>
      </w:r>
      <w:r>
        <w:rPr>
          <w:rFonts w:ascii="Calibri" w:hAnsi="Calibri"/>
          <w:i/>
          <w:color w:val="231F20"/>
          <w:sz w:val="18"/>
        </w:rPr>
        <w:t>de</w:t>
      </w:r>
      <w:r>
        <w:rPr>
          <w:rFonts w:ascii="Calibri" w:hAnsi="Calibri"/>
          <w:i/>
          <w:color w:val="231F20"/>
          <w:spacing w:val="-16"/>
          <w:sz w:val="18"/>
        </w:rPr>
        <w:t> </w:t>
      </w:r>
      <w:r>
        <w:rPr>
          <w:rFonts w:ascii="Calibri" w:hAnsi="Calibri"/>
          <w:i/>
          <w:color w:val="231F20"/>
          <w:sz w:val="18"/>
        </w:rPr>
        <w:t>Fiscalización</w:t>
      </w:r>
      <w:r>
        <w:rPr>
          <w:rFonts w:ascii="Calibri" w:hAnsi="Calibri"/>
          <w:i/>
          <w:color w:val="231F20"/>
          <w:spacing w:val="-16"/>
          <w:sz w:val="18"/>
        </w:rPr>
        <w:t> </w:t>
      </w:r>
      <w:r>
        <w:rPr>
          <w:rFonts w:ascii="Calibri" w:hAnsi="Calibri"/>
          <w:i/>
          <w:color w:val="231F20"/>
          <w:sz w:val="18"/>
        </w:rPr>
        <w:t>del</w:t>
      </w:r>
      <w:r>
        <w:rPr>
          <w:rFonts w:ascii="Calibri" w:hAnsi="Calibri"/>
          <w:i/>
          <w:color w:val="231F20"/>
          <w:spacing w:val="-16"/>
          <w:sz w:val="18"/>
        </w:rPr>
        <w:t> </w:t>
      </w:r>
      <w:r>
        <w:rPr>
          <w:rFonts w:ascii="Calibri" w:hAnsi="Calibri"/>
          <w:i/>
          <w:color w:val="231F20"/>
          <w:sz w:val="18"/>
        </w:rPr>
        <w:t>Estado</w:t>
      </w:r>
      <w:r>
        <w:rPr>
          <w:rFonts w:ascii="Calibri" w:hAnsi="Calibri"/>
          <w:i/>
          <w:color w:val="231F20"/>
          <w:spacing w:val="-16"/>
          <w:sz w:val="18"/>
        </w:rPr>
        <w:t> </w:t>
      </w:r>
      <w:r>
        <w:rPr>
          <w:rFonts w:ascii="Calibri" w:hAnsi="Calibri"/>
          <w:i/>
          <w:color w:val="231F20"/>
          <w:sz w:val="18"/>
        </w:rPr>
        <w:t>de</w:t>
      </w:r>
      <w:r>
        <w:rPr>
          <w:rFonts w:ascii="Calibri" w:hAnsi="Calibri"/>
          <w:i/>
          <w:color w:val="231F20"/>
          <w:spacing w:val="-16"/>
          <w:sz w:val="18"/>
        </w:rPr>
        <w:t> </w:t>
      </w:r>
      <w:r>
        <w:rPr>
          <w:rFonts w:ascii="Calibri" w:hAnsi="Calibri"/>
          <w:i/>
          <w:color w:val="231F20"/>
          <w:sz w:val="18"/>
        </w:rPr>
        <w:t>México</w:t>
      </w:r>
      <w:r>
        <w:rPr>
          <w:rFonts w:ascii="Calibri" w:hAnsi="Calibri"/>
          <w:i/>
          <w:color w:val="231F20"/>
          <w:spacing w:val="-16"/>
          <w:sz w:val="18"/>
        </w:rPr>
        <w:t> </w:t>
      </w:r>
      <w:r>
        <w:rPr>
          <w:rFonts w:ascii="Calibri" w:hAnsi="Calibri"/>
          <w:i/>
          <w:color w:val="231F20"/>
          <w:sz w:val="18"/>
        </w:rPr>
        <w:t>,2008:</w:t>
      </w:r>
      <w:r>
        <w:rPr>
          <w:rFonts w:ascii="Calibri" w:hAnsi="Calibri"/>
          <w:i/>
          <w:color w:val="231F20"/>
          <w:spacing w:val="-16"/>
          <w:sz w:val="18"/>
        </w:rPr>
        <w:t> </w:t>
      </w:r>
      <w:r>
        <w:rPr>
          <w:rFonts w:ascii="Calibri" w:hAnsi="Calibri"/>
          <w:i/>
          <w:color w:val="231F20"/>
          <w:sz w:val="18"/>
        </w:rPr>
        <w:t>(Documento</w:t>
      </w:r>
      <w:r>
        <w:rPr>
          <w:rFonts w:ascii="Calibri" w:hAnsi="Calibri"/>
          <w:i/>
          <w:color w:val="231F20"/>
          <w:spacing w:val="-16"/>
          <w:sz w:val="18"/>
        </w:rPr>
        <w:t> </w:t>
      </w:r>
      <w:r>
        <w:rPr>
          <w:rFonts w:ascii="Calibri" w:hAnsi="Calibri"/>
          <w:i/>
          <w:color w:val="231F20"/>
          <w:sz w:val="18"/>
        </w:rPr>
        <w:t>en</w:t>
      </w:r>
      <w:r>
        <w:rPr>
          <w:rFonts w:ascii="Calibri" w:hAnsi="Calibri"/>
          <w:i/>
          <w:color w:val="231F20"/>
          <w:spacing w:val="-16"/>
          <w:sz w:val="18"/>
        </w:rPr>
        <w:t> </w:t>
      </w:r>
      <w:r>
        <w:rPr>
          <w:rFonts w:ascii="Calibri" w:hAnsi="Calibri"/>
          <w:i/>
          <w:color w:val="231F20"/>
          <w:sz w:val="18"/>
        </w:rPr>
        <w:t>línea).</w:t>
      </w:r>
    </w:p>
    <w:p>
      <w:pPr>
        <w:spacing w:after="0"/>
        <w:jc w:val="left"/>
        <w:rPr>
          <w:rFonts w:ascii="Calibri" w:hAnsi="Calibri"/>
          <w:sz w:val="18"/>
        </w:rPr>
        <w:sectPr>
          <w:pgSz w:w="9640" w:h="12190"/>
          <w:pgMar w:header="0" w:footer="743" w:top="1120" w:bottom="940" w:left="740" w:right="740"/>
        </w:sectPr>
      </w:pPr>
    </w:p>
    <w:p>
      <w:pPr>
        <w:pStyle w:val="Heading5"/>
        <w:spacing w:before="27"/>
        <w:ind w:left="875"/>
      </w:pPr>
      <w:r>
        <w:rPr/>
        <w:pict>
          <v:group style="position:absolute;margin-left:55.277pt;margin-top:100.304443pt;width:324pt;height:159pt;mso-position-horizontal-relative:page;mso-position-vertical-relative:paragraph;z-index:13864" coordorigin="1106,2006" coordsize="6480,3180">
            <v:rect style="position:absolute;left:2428;top:2086;width:5148;height:2877" filled="true" fillcolor="#bcbec0" stroked="false">
              <v:fill type="solid"/>
            </v:rect>
            <v:shape style="position:absolute;left:0;top:11060;width:5190;height:2233" coordorigin="0,11060" coordsize="5190,2233" path="m2386,2087l7575,2087m6151,2404l7575,2404m2386,2404l6010,2404m6151,2728l7575,2728m2386,2728l6010,2728m6151,3045l7575,3045m4436,3045l6010,3045m2724,3045l4296,3045m2386,3045l2583,3045m6151,3362l7575,3362m4436,3362l6010,3362m2724,3362l4296,3362m2386,3362l2583,3362m6151,3679l7575,3679m4436,3679l6010,3679m2724,3679l4296,3679m2386,3679l2583,3679m6151,3996l7575,3996m4436,3996l6010,3996m2724,3996l4296,3996m2386,3996l2583,3996m6151,4320l7575,4320m4436,4320l6010,4320m2724,4320l4296,4320m2386,4320l2583,4320e" filled="false" stroked="true" strokeweight=".5pt" strokecolor="#231f20">
              <v:path arrowok="t"/>
            </v:shape>
            <v:shape style="position:absolute;left:0;top:8182;width:5186;height:2926" coordorigin="0,8182" coordsize="5186,2926" path="m2386,4963l7572,4963m2428,2086l2428,5011m7572,2086l7572,5011m4145,4646l4145,4724m4145,4934l4145,5011m5848,4646l5848,4724m5848,4934l5848,5011e" filled="false" stroked="true" strokeweight="1pt" strokecolor="#231f20">
              <v:path arrowok="t"/>
            </v:shape>
            <v:rect style="position:absolute;left:2583;top:2843;width:141;height:1803" filled="true" fillcolor="#bc8cbf" stroked="false">
              <v:fill type="solid"/>
            </v:rect>
            <v:rect style="position:absolute;left:2724;top:4534;width:141;height:111" filled="true" fillcolor="#8b0d19" stroked="false">
              <v:fill type="solid"/>
            </v:rect>
            <v:rect style="position:absolute;left:2864;top:4523;width:141;height:123" filled="true" fillcolor="#dce9ae" stroked="false">
              <v:fill type="solid"/>
            </v:rect>
            <v:line style="position:absolute" from="3005,4615" to="3145,4615" stroked="true" strokeweight="3.063pt" strokecolor="#98cbcc"/>
            <v:line style="position:absolute" from="3145,4630" to="3286,4630" stroked="true" strokeweight="1.532pt" strokecolor="#9e1f63"/>
            <v:line style="position:absolute" from="3286,4630" to="3426,4630" stroked="true" strokeweight="1.532pt" strokecolor="#231f20"/>
            <v:line style="position:absolute" from="3567,4630" to="3708,4630" stroked="true" strokeweight="1.532pt" strokecolor="#c7c4e2"/>
            <v:line style="position:absolute" from="3708,4630" to="3848,4630" stroked="true" strokeweight="1.532pt" strokecolor="#2b3890"/>
            <v:line style="position:absolute" from="3848,4630" to="3989,4630" stroked="true" strokeweight="1.532pt" strokecolor="#ee2a7b"/>
            <v:rect style="position:absolute;left:3426;top:4505;width:141;height:141" filled="true" fillcolor="#1b75bc" stroked="false">
              <v:fill type="solid"/>
            </v:rect>
            <v:rect style="position:absolute;left:4296;top:2768;width:141;height:1877" filled="true" fillcolor="#bc8cbf" stroked="false">
              <v:fill type="solid"/>
            </v:rect>
            <v:rect style="position:absolute;left:4436;top:4534;width:141;height:111" filled="true" fillcolor="#8b0d19" stroked="false">
              <v:fill type="solid"/>
            </v:rect>
            <v:rect style="position:absolute;left:4577;top:4505;width:141;height:141" filled="true" fillcolor="#dce9ae" stroked="false">
              <v:fill type="solid"/>
            </v:rect>
            <v:line style="position:absolute" from="4717,4615" to="4858,4615" stroked="true" strokeweight="3.063pt" strokecolor="#98cbcc"/>
            <v:line style="position:absolute" from="4858,4630" to="4998,4630" stroked="true" strokeweight="1.532pt" strokecolor="#9e1f63"/>
            <v:line style="position:absolute" from="4998,4630" to="5139,4630" stroked="true" strokeweight="1.532pt" strokecolor="#231f20"/>
            <v:line style="position:absolute" from="6572,4630" to="6713,4630" stroked="true" strokeweight="1.532pt" strokecolor="#9e1f63"/>
            <v:line style="position:absolute" from="6713,4630" to="6853,4630" stroked="true" strokeweight="1.532pt" strokecolor="#231f20"/>
            <v:line style="position:absolute" from="5279,4620" to="5420,4620" stroked="true" strokeweight="2.193pt" strokecolor="#c7c4e2"/>
            <v:line style="position:absolute" from="5420,4620" to="5560,4620" stroked="true" strokeweight="2.193pt" strokecolor="#2b3890"/>
            <v:line style="position:absolute" from="5560,4619" to="5701,4619" stroked="true" strokeweight="2.553pt" strokecolor="#ee2a7b"/>
            <v:rect style="position:absolute;left:5139;top:4452;width:141;height:194" filled="true" fillcolor="#1b75bc" stroked="false">
              <v:fill type="solid"/>
            </v:rect>
            <v:rect style="position:absolute;left:6010;top:2290;width:141;height:2355" filled="true" fillcolor="#bc8cbf" stroked="false">
              <v:fill type="solid"/>
            </v:rect>
            <v:rect style="position:absolute;left:6151;top:4534;width:141;height:111" filled="true" fillcolor="#8b0d19" stroked="false">
              <v:fill type="solid"/>
            </v:rect>
            <v:rect style="position:absolute;left:6291;top:4534;width:141;height:111" filled="true" fillcolor="#dce9ae" stroked="false">
              <v:fill type="solid"/>
            </v:rect>
            <v:line style="position:absolute" from="6432,4615" to="6572,4615" stroked="true" strokeweight="3.063pt" strokecolor="#98cbcc"/>
            <v:rect style="position:absolute;left:6994;top:4472;width:141;height:170" filled="true" fillcolor="#c7c4e2" stroked="false">
              <v:fill type="solid"/>
            </v:rect>
            <v:line style="position:absolute" from="7134,4620" to="7275,4620" stroked="true" strokeweight="2.193pt" strokecolor="#2b3890"/>
            <v:line style="position:absolute" from="7275,4619" to="7416,4619" stroked="true" strokeweight="2.553pt" strokecolor="#ee2a7b"/>
            <v:rect style="position:absolute;left:6853;top:4452;width:141;height:194" filled="true" fillcolor="#1b75bc" stroked="false">
              <v:fill type="solid"/>
            </v:rect>
            <v:shape style="position:absolute;left:1173;top:2006;width:1148;height:154" type="#_x0000_t75" stroked="false">
              <v:imagedata r:id="rId1160" o:title=""/>
            </v:shape>
            <v:shape style="position:absolute;left:1173;top:2324;width:1147;height:154" type="#_x0000_t75" stroked="false">
              <v:imagedata r:id="rId1161" o:title=""/>
            </v:shape>
            <v:shape style="position:absolute;left:1174;top:2642;width:1147;height:154" type="#_x0000_t75" stroked="false">
              <v:imagedata r:id="rId1162" o:title=""/>
            </v:shape>
            <v:shape style="position:absolute;left:1173;top:2960;width:1148;height:154" type="#_x0000_t75" stroked="false">
              <v:imagedata r:id="rId1163" o:title=""/>
            </v:shape>
            <v:shape style="position:absolute;left:1171;top:3277;width:1149;height:154" type="#_x0000_t75" stroked="false">
              <v:imagedata r:id="rId1164" o:title=""/>
            </v:shape>
            <v:shape style="position:absolute;left:1171;top:3595;width:1149;height:154" type="#_x0000_t75" stroked="false">
              <v:imagedata r:id="rId1165" o:title=""/>
            </v:shape>
            <v:shape style="position:absolute;left:1172;top:3913;width:1148;height:154" type="#_x0000_t75" stroked="false">
              <v:imagedata r:id="rId1166" o:title=""/>
            </v:shape>
            <v:shape style="position:absolute;left:1184;top:4231;width:1136;height:154" type="#_x0000_t75" stroked="false">
              <v:imagedata r:id="rId1167" o:title=""/>
            </v:shape>
            <v:shape style="position:absolute;left:1980;top:4549;width:340;height:130" type="#_x0000_t75" stroked="false">
              <v:imagedata r:id="rId1168" o:title=""/>
            </v:shape>
            <v:shape style="position:absolute;left:1106;top:4867;width:125;height:126" type="#_x0000_t75" stroked="false">
              <v:imagedata r:id="rId1169" o:title=""/>
            </v:shape>
            <v:shape style="position:absolute;left:1273;top:4867;width:1047;height:154" type="#_x0000_t75" stroked="false">
              <v:imagedata r:id="rId1170" o:title=""/>
            </v:shape>
            <v:shape style="position:absolute;left:2874;top:5066;width:408;height:117" type="#_x0000_t75" stroked="false">
              <v:imagedata r:id="rId1171" o:title=""/>
            </v:shape>
            <v:shape style="position:absolute;left:3330;top:5068;width:351;height:118" type="#_x0000_t75" stroked="false">
              <v:imagedata r:id="rId1172" o:title=""/>
            </v:shape>
            <v:shape style="position:absolute;left:4586;top:5066;width:408;height:117" type="#_x0000_t75" stroked="false">
              <v:imagedata r:id="rId1173" o:title=""/>
            </v:shape>
            <v:shape style="position:absolute;left:5042;top:5068;width:352;height:117" type="#_x0000_t75" stroked="false">
              <v:imagedata r:id="rId1174" o:title=""/>
            </v:shape>
            <v:shape style="position:absolute;left:6004;top:5062;width:1426;height:124" coordorigin="6004,5062" coordsize="1426,124" path="m6091,5088l6088,5080,6086,5079,6075,5068,6075,5068,6075,5090,6075,5107,6073,5112,6064,5118,6058,5120,6020,5120,6020,5079,6057,5079,6062,5080,6065,5082,6072,5085,6075,5090,6075,5068,6066,5065,6004,5065,6004,5182,6020,5182,6020,5133,6068,5133,6077,5130,6085,5120,6088,5116,6091,5108,6091,5088m6208,5180l6206,5179,6204,5176,6203,5170,6202,5167,6201,5140,6200,5135,6198,5132,6195,5129,6192,5127,6187,5125,6193,5122,6196,5119,6197,5119,6202,5110,6204,5104,6204,5084,6201,5079,6198,5074,6188,5069,6188,5090,6188,5106,6186,5112,6177,5118,6172,5119,6129,5119,6129,5079,6172,5079,6176,5080,6185,5085,6188,5090,6188,5069,6182,5067,6175,5065,6113,5065,6113,5182,6129,5182,6129,5132,6170,5132,6175,5133,6178,5134,6183,5137,6186,5142,6187,5174,6187,5177,6188,5180,6188,5181,6189,5182,6208,5182,6208,5180m6316,5168l6246,5168,6246,5129,6310,5129,6310,5115,6246,5115,6246,5080,6315,5080,6315,5065,6230,5065,6230,5182,6316,5182,6316,5168m6424,5139l6420,5131,6413,5126,6409,5123,6403,5120,6369,5112,6362,5110,6359,5108,6354,5106,6352,5102,6352,5091,6354,5086,6362,5078,6368,5076,6388,5076,6396,5079,6403,5089,6405,5094,6405,5100,6420,5100,6420,5087,6416,5077,6415,5076,6399,5066,6389,5063,6364,5063,6354,5066,6340,5079,6337,5088,6337,5108,6340,5116,6352,5123,6359,5126,6392,5134,6399,5136,6403,5139,6406,5141,6408,5146,6408,5161,6404,5167,6390,5172,6385,5172,6366,5172,6357,5169,6352,5161,6350,5157,6348,5151,6348,5145,6333,5145,6333,5157,6337,5167,6353,5182,6364,5186,6390,5186,6401,5183,6418,5172,6419,5172,6424,5163,6424,5139m6540,5065l6524,5065,6524,5146,6522,5153,6520,5158,6515,5167,6506,5172,6481,5172,6473,5167,6468,5159,6465,5153,6463,5146,6463,5065,6447,5065,6447,5146,6449,5157,6453,5164,6460,5174,6468,5180,6480,5184,6493,5185,6507,5184,6518,5180,6527,5174,6529,5172,6534,5164,6538,5157,6539,5146,6540,5065m6652,5088l6649,5080,6648,5079,6636,5068,6636,5068,6636,5090,6636,5107,6634,5112,6625,5118,6619,5120,6581,5120,6581,5079,6618,5079,6623,5080,6627,5082,6633,5085,6636,5090,6636,5068,6628,5065,6565,5065,6565,5182,6581,5182,6581,5133,6629,5133,6638,5130,6646,5120,6649,5116,6652,5108,6652,5088m6766,5065l6750,5065,6750,5146,6749,5153,6741,5167,6732,5172,6707,5172,6699,5167,6694,5159,6691,5153,6690,5146,6690,5065,6674,5065,6674,5146,6676,5157,6679,5164,6686,5174,6695,5180,6706,5184,6720,5185,6733,5184,6745,5180,6754,5174,6755,5172,6760,5164,6764,5157,6766,5146,6766,5065m6878,5168l6807,5168,6807,5129,6871,5129,6871,5115,6807,5115,6807,5080,6876,5080,6876,5065,6792,5065,6792,5182,6878,5182,6878,5168m6985,5139l6982,5131,6974,5126,6970,5123,6964,5120,6930,5112,6923,5110,6920,5108,6916,5106,6913,5102,6913,5091,6915,5086,6923,5078,6929,5076,6950,5076,6957,5079,6965,5089,6966,5094,6967,5100,6982,5100,6982,5087,6978,5077,6976,5076,6961,5066,6951,5063,6926,5063,6916,5066,6902,5079,6898,5088,6898,5108,6902,5116,6913,5123,6920,5126,6954,5134,6960,5136,6964,5139,6968,5141,6970,5146,6970,5161,6965,5167,6951,5172,6946,5172,6928,5172,6919,5169,6914,5161,6911,5157,6910,5151,6909,5145,6894,5145,6894,5157,6898,5167,6914,5182,6925,5186,6952,5186,6962,5183,6980,5172,6981,5172,6985,5163,6985,5139m7093,5065l6998,5065,6998,5079,7037,5079,7037,5182,7053,5182,7053,5079,7093,5079,7093,5065m7189,5182l7177,5147,7172,5134,7155,5089,7155,5134,7119,5134,7137,5083,7155,5134,7155,5089,7153,5083,7147,5065,7129,5065,7085,5182,7101,5182,7114,5147,7160,5147,7172,5182,7189,5182m7300,5122l7299,5111,7297,5100,7293,5091,7288,5083,7285,5079,7284,5078,7284,5110,7284,5129,7283,5133,7282,5137,7281,5144,7279,5151,7272,5161,7267,5165,7261,5167,7258,5168,7253,5169,7220,5169,7220,5079,7260,5079,7270,5083,7281,5099,7284,5110,7284,5078,7281,5075,7272,5070,7262,5067,7251,5065,7204,5065,7204,5182,7251,5182,7265,5181,7276,5176,7284,5169,7286,5167,7293,5156,7298,5146,7300,5135,7300,5122m7429,5122l7429,5110,7426,5100,7423,5091,7418,5082,7413,5077,7413,5108,7413,5135,7410,5147,7398,5167,7387,5172,7359,5172,7348,5167,7335,5150,7332,5139,7332,5109,7336,5097,7351,5081,7361,5076,7385,5076,7395,5081,7410,5097,7413,5108,7413,5077,7412,5076,7409,5074,7399,5067,7386,5064,7372,5062,7358,5064,7346,5068,7336,5075,7327,5084,7322,5093,7318,5103,7316,5113,7315,5125,7316,5137,7319,5149,7323,5159,7329,5168,7338,5176,7348,5181,7359,5185,7372,5186,7385,5185,7397,5181,7407,5174,7410,5172,7416,5165,7422,5156,7426,5146,7429,5134,7429,5122e" filled="true" fillcolor="#231f20" stroked="false">
              <v:path arrowok="t"/>
              <v:fill type="solid"/>
            </v:shape>
            <v:line style="position:absolute" from="2386,4644" to="7575,4644" stroked="true" strokeweight="1pt" strokecolor="#231f20"/>
            <w10:wrap type="none"/>
          </v:group>
        </w:pict>
      </w:r>
      <w:r>
        <w:rPr/>
        <w:pict>
          <v:group style="position:absolute;margin-left:397.966003pt;margin-top:114.350548pt;width:41.45pt;height:159.2pt;mso-position-horizontal-relative:page;mso-position-vertical-relative:paragraph;z-index:13888" coordorigin="7959,2287" coordsize="829,3184">
            <v:shape style="position:absolute;left:8256;top:2372;width:406;height:148" type="#_x0000_t75" stroked="false">
              <v:imagedata r:id="rId1175" o:title=""/>
            </v:shape>
            <v:shape style="position:absolute;left:8254;top:2696;width:180;height:147" type="#_x0000_t75" stroked="false">
              <v:imagedata r:id="rId1176" o:title=""/>
            </v:shape>
            <v:shape style="position:absolute;left:8254;top:3007;width:213;height:148" type="#_x0000_t75" stroked="false">
              <v:imagedata r:id="rId1177" o:title=""/>
            </v:shape>
            <v:shape style="position:absolute;left:8254;top:3332;width:212;height:147" type="#_x0000_t75" stroked="false">
              <v:imagedata r:id="rId1178" o:title=""/>
            </v:shape>
            <v:shape style="position:absolute;left:8254;top:3656;width:215;height:147" type="#_x0000_t75" stroked="false">
              <v:imagedata r:id="rId1179" o:title=""/>
            </v:shape>
            <v:shape style="position:absolute;left:8254;top:3968;width:213;height:147" type="#_x0000_t75" stroked="false">
              <v:imagedata r:id="rId1180" o:title=""/>
            </v:shape>
            <v:shape style="position:absolute;left:8254;top:4292;width:215;height:147" type="#_x0000_t75" stroked="false">
              <v:imagedata r:id="rId1181" o:title=""/>
            </v:shape>
            <v:shape style="position:absolute;left:8254;top:4616;width:212;height:148" type="#_x0000_t75" stroked="false">
              <v:imagedata r:id="rId1182" o:title=""/>
            </v:shape>
            <v:shape style="position:absolute;left:8254;top:4941;width:212;height:147" type="#_x0000_t75" stroked="false">
              <v:imagedata r:id="rId1183" o:title=""/>
            </v:shape>
            <v:shape style="position:absolute;left:8268;top:5253;width:152;height:143" coordorigin="8268,5253" coordsize="152,143" path="m8320,5253l8306,5253,8304,5264,8300,5271,8290,5277,8281,5279,8268,5280,8268,5294,8301,5294,8301,5395,8320,5395,8320,5253m8419,5253l8405,5253,8402,5264,8399,5271,8388,5277,8379,5279,8366,5280,8366,5294,8400,5294,8400,5395,8419,5395,8419,5253e" filled="true" fillcolor="#231f20" stroked="false">
              <v:path arrowok="t"/>
              <v:fill type="solid"/>
            </v:shape>
            <v:rect style="position:absolute;left:7964;top:2292;width:818;height:3174" filled="false" stroked="true" strokeweight=".5pt" strokecolor="#231f20"/>
            <v:rect style="position:absolute;left:8049;top:2393;width:122;height:122" filled="true" fillcolor="#bc8cbf" stroked="false">
              <v:fill type="solid"/>
            </v:rect>
            <v:rect style="position:absolute;left:8049;top:2726;width:122;height:122" filled="true" fillcolor="#8b0d19" stroked="false">
              <v:fill type="solid"/>
            </v:rect>
            <v:rect style="position:absolute;left:8049;top:3042;width:122;height:122" filled="true" fillcolor="#dce9ae" stroked="false">
              <v:fill type="solid"/>
            </v:rect>
            <v:rect style="position:absolute;left:8049;top:3375;width:122;height:122" filled="true" fillcolor="#98cbcc" stroked="false">
              <v:fill type="solid"/>
            </v:rect>
            <v:rect style="position:absolute;left:8049;top:3677;width:122;height:122" filled="true" fillcolor="#9e1f63" stroked="false">
              <v:fill type="solid"/>
            </v:rect>
            <v:rect style="position:absolute;left:8049;top:4010;width:122;height:122" filled="true" fillcolor="#231f20" stroked="false">
              <v:fill type="solid"/>
            </v:rect>
            <v:rect style="position:absolute;left:8049;top:4329;width:122;height:122" filled="true" fillcolor="#1b75bc" stroked="false">
              <v:fill type="solid"/>
            </v:rect>
            <v:rect style="position:absolute;left:8049;top:4642;width:122;height:122" filled="true" fillcolor="#c7c4e2" stroked="false">
              <v:fill type="solid"/>
            </v:rect>
            <v:rect style="position:absolute;left:8049;top:4965;width:122;height:122" filled="true" fillcolor="#2b3890" stroked="false">
              <v:fill type="solid"/>
            </v:rect>
            <v:rect style="position:absolute;left:8049;top:5278;width:122;height:122" filled="true" fillcolor="#ee2a7b" stroked="false">
              <v:fill type="solid"/>
            </v:rect>
            <w10:wrap type="none"/>
          </v:group>
        </w:pict>
      </w:r>
      <w:r>
        <w:rPr>
          <w:color w:val="231F20"/>
          <w:w w:val="105"/>
        </w:rPr>
        <w:t>Gráfica 1: Ingresos por Programa 2006, 2007, presupuestado 2008</w:t>
      </w:r>
    </w:p>
    <w:p>
      <w:pPr>
        <w:pStyle w:val="BodyText"/>
        <w:rPr>
          <w:b/>
          <w:sz w:val="20"/>
        </w:rPr>
      </w:pPr>
    </w:p>
    <w:p>
      <w:pPr>
        <w:pStyle w:val="BodyText"/>
        <w:rPr>
          <w:b/>
          <w:sz w:val="20"/>
        </w:rPr>
      </w:pPr>
    </w:p>
    <w:p>
      <w:pPr>
        <w:pStyle w:val="BodyText"/>
        <w:rPr>
          <w:b/>
          <w:sz w:val="20"/>
        </w:rPr>
      </w:pPr>
    </w:p>
    <w:p>
      <w:pPr>
        <w:pStyle w:val="BodyText"/>
        <w:spacing w:before="5"/>
        <w:rPr>
          <w:b/>
          <w:sz w:val="26"/>
        </w:rPr>
      </w:pPr>
      <w:r>
        <w:rPr/>
        <w:pict>
          <v:group style="position:absolute;margin-left:42.519306pt;margin-top:27.290049pt;width:73.650pt;height:7.1pt;mso-position-horizontal-relative:page;mso-position-vertical-relative:paragraph;z-index:13768;mso-wrap-distance-left:0;mso-wrap-distance-right:0" coordorigin="850,546" coordsize="1473,142">
            <v:shape style="position:absolute;left:850;top:546;width:594;height:142" type="#_x0000_t75" stroked="false">
              <v:imagedata r:id="rId1184" o:title=""/>
            </v:shape>
            <v:shape style="position:absolute;left:1508;top:558;width:203;height:117" type="#_x0000_t75" stroked="false">
              <v:imagedata r:id="rId1185" o:title=""/>
            </v:shape>
            <v:shape style="position:absolute;left:1780;top:554;width:544;height:124" type="#_x0000_t75" stroked="false">
              <v:imagedata r:id="rId1186" o:title=""/>
            </v:shape>
            <w10:wrap type="topAndBottom"/>
          </v:group>
        </w:pict>
      </w:r>
      <w:r>
        <w:rPr/>
        <w:pict>
          <v:group style="position:absolute;margin-left:141.483994pt;margin-top:17.190048pt;width:72.350pt;height:12.35pt;mso-position-horizontal-relative:page;mso-position-vertical-relative:paragraph;z-index:13792;mso-wrap-distance-left:0;mso-wrap-distance-right:0" coordorigin="2830,344" coordsize="1447,247">
            <v:shape style="position:absolute;left:2830;top:344;width:459;height:246" type="#_x0000_t75" stroked="false">
              <v:imagedata r:id="rId1187" o:title=""/>
            </v:shape>
            <v:shape style="position:absolute;left:3330;top:365;width:164;height:204" type="#_x0000_t75" stroked="false">
              <v:imagedata r:id="rId1188" o:title=""/>
            </v:shape>
            <v:shape style="position:absolute;left:3505;top:358;width:772;height:216" type="#_x0000_t75" stroked="false">
              <v:imagedata r:id="rId1189" o:title=""/>
            </v:shape>
            <w10:wrap type="topAndBottom"/>
          </v:group>
        </w:pict>
      </w:r>
      <w:r>
        <w:rPr/>
        <w:pict>
          <v:group style="position:absolute;margin-left:219.227798pt;margin-top:17.91995pt;width:28.35pt;height:10.85pt;mso-position-horizontal-relative:page;mso-position-vertical-relative:paragraph;z-index:13816;mso-wrap-distance-left:0;mso-wrap-distance-right:0" coordorigin="4385,358" coordsize="567,217">
            <v:shape style="position:absolute;left:4385;top:358;width:370;height:216" type="#_x0000_t75" stroked="false">
              <v:imagedata r:id="rId1190" o:title=""/>
            </v:shape>
            <v:shape style="position:absolute;left:4788;top:365;width:164;height:204" type="#_x0000_t75" stroked="false">
              <v:imagedata r:id="rId1191" o:title=""/>
            </v:shape>
            <w10:wrap type="topAndBottom"/>
          </v:group>
        </w:pict>
      </w:r>
      <w:r>
        <w:rPr/>
        <w:pict>
          <v:group style="position:absolute;margin-left:253.337814pt;margin-top:17.91995pt;width:81.650pt;height:10.85pt;mso-position-horizontal-relative:page;mso-position-vertical-relative:paragraph;z-index:13840;mso-wrap-distance-left:0;mso-wrap-distance-right:0" coordorigin="5067,358" coordsize="1633,217">
            <v:shape style="position:absolute;left:5067;top:365;width:152;height:204" type="#_x0000_t75" stroked="false">
              <v:imagedata r:id="rId1192" o:title=""/>
            </v:shape>
            <v:shape style="position:absolute;left:5253;top:358;width:595;height:216" type="#_x0000_t75" stroked="false">
              <v:imagedata r:id="rId1193" o:title=""/>
            </v:shape>
            <v:shape style="position:absolute;left:5888;top:365;width:164;height:205" coordorigin="5888,365" coordsize="164,205" path="m5984,365l5888,365,5888,569,5929,569,5929,489,6038,489,6034,481,6027,475,6018,471,6029,468,6037,461,6040,455,5929,455,5929,400,6045,400,6043,395,6039,389,6030,378,6024,373,6009,367,5998,365,5984,365xm6038,489l5982,489,5990,491,5999,500,6001,508,6001,522,6001,547,6002,552,6004,561,6004,565,6006,569,6052,569,6052,564,6048,561,6045,558,6044,552,6044,549,6043,543,6043,505,6041,495,6038,489xm6045,400l5984,400,5991,401,6003,408,6007,416,6007,440,6003,448,5990,454,5984,455,6040,455,6046,442,6049,433,6049,415,6048,408,6045,400xe" filled="true" fillcolor="#231f20" stroked="false">
              <v:path arrowok="t"/>
              <v:fill type="solid"/>
            </v:shape>
            <v:shape style="position:absolute;left:6075;top:365;width:191;height:205" coordorigin="6075,365" coordsize="191,205" path="m6194,365l6146,365,6075,569,6119,569,6132,527,6250,527,6238,492,6144,492,6170,411,6210,411,6194,365xm6250,527l6206,527,6219,569,6265,569,6250,527xm6210,411l6170,411,6195,492,6238,492,6210,411xe" filled="true" fillcolor="#231f20" stroked="false">
              <v:path arrowok="t"/>
              <v:fill type="solid"/>
            </v:shape>
            <v:shape style="position:absolute;left:6290;top:365;width:195;height:205" coordorigin="6290,365" coordsize="195,205" path="m6351,365l6290,365,6290,569,6329,569,6329,407,6329,398,6358,398,6351,365xm6358,398l6329,398,6366,569,6407,569,6417,525,6387,525,6358,398xm6484,398l6445,398,6445,407,6445,569,6484,569,6484,398xm6484,365l6424,365,6387,525,6417,525,6445,398,6484,398,6484,365xe" filled="true" fillcolor="#231f20" stroked="false">
              <v:path arrowok="t"/>
              <v:fill type="solid"/>
            </v:shape>
            <v:shape style="position:absolute;left:6509;top:365;width:191;height:205" coordorigin="6509,365" coordsize="191,205" path="m6628,365l6580,365,6509,569,6553,569,6566,527,6684,527,6672,492,6578,492,6604,411,6644,411,6628,365xm6684,527l6640,527,6653,569,6699,569,6684,527xm6644,411l6604,411,6629,492,6672,492,6644,411xe" filled="true" fillcolor="#231f20" stroked="false">
              <v:path arrowok="t"/>
              <v:fill type="solid"/>
            </v:shape>
            <w10:wrap type="topAndBottom"/>
          </v:group>
        </w:pic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37"/>
        <w:ind w:left="0" w:right="108" w:firstLine="0"/>
        <w:jc w:val="right"/>
        <w:rPr>
          <w:rFonts w:ascii="Calibri" w:hAnsi="Calibri"/>
          <w:sz w:val="16"/>
        </w:rPr>
      </w:pPr>
      <w:r>
        <w:rPr/>
        <w:drawing>
          <wp:anchor distT="0" distB="0" distL="0" distR="0" allowOverlap="1" layoutInCell="1" locked="0" behindDoc="0" simplePos="0" relativeHeight="13912">
            <wp:simplePos x="0" y="0"/>
            <wp:positionH relativeFrom="page">
              <wp:posOffset>4150790</wp:posOffset>
            </wp:positionH>
            <wp:positionV relativeFrom="paragraph">
              <wp:posOffset>-130659</wp:posOffset>
            </wp:positionV>
            <wp:extent cx="221305" cy="74295"/>
            <wp:effectExtent l="0" t="0" r="0" b="0"/>
            <wp:wrapNone/>
            <wp:docPr id="441" name="image1087.png" descr=""/>
            <wp:cNvGraphicFramePr>
              <a:graphicFrameLocks noChangeAspect="1"/>
            </wp:cNvGraphicFramePr>
            <a:graphic>
              <a:graphicData uri="http://schemas.openxmlformats.org/drawingml/2006/picture">
                <pic:pic>
                  <pic:nvPicPr>
                    <pic:cNvPr id="442" name="image1087.png"/>
                    <pic:cNvPicPr/>
                  </pic:nvPicPr>
                  <pic:blipFill>
                    <a:blip r:embed="rId1194" cstate="print"/>
                    <a:stretch>
                      <a:fillRect/>
                    </a:stretch>
                  </pic:blipFill>
                  <pic:spPr>
                    <a:xfrm>
                      <a:off x="0" y="0"/>
                      <a:ext cx="221305" cy="74295"/>
                    </a:xfrm>
                    <a:prstGeom prst="rect">
                      <a:avLst/>
                    </a:prstGeom>
                  </pic:spPr>
                </pic:pic>
              </a:graphicData>
            </a:graphic>
          </wp:anchor>
        </w:drawing>
      </w:r>
      <w:r>
        <w:rPr>
          <w:rFonts w:ascii="Calibri" w:hAnsi="Calibri"/>
          <w:color w:val="231F20"/>
          <w:sz w:val="16"/>
        </w:rPr>
        <w:t>Fuente: Elaboración propia con datos del Órgano Superior de Fiscalización del Estado de México</w:t>
      </w:r>
    </w:p>
    <w:p>
      <w:pPr>
        <w:spacing w:before="104"/>
        <w:ind w:left="0" w:right="108" w:firstLine="0"/>
        <w:jc w:val="right"/>
        <w:rPr>
          <w:rFonts w:ascii="Calibri" w:hAnsi="Calibri"/>
          <w:sz w:val="16"/>
        </w:rPr>
      </w:pPr>
      <w:r>
        <w:rPr>
          <w:rFonts w:ascii="Calibri" w:hAnsi="Calibri"/>
          <w:color w:val="231F20"/>
          <w:sz w:val="16"/>
        </w:rPr>
        <w:t>(2008: Documento en línea).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Los</w:t>
      </w:r>
      <w:r>
        <w:rPr>
          <w:color w:val="231F20"/>
          <w:spacing w:val="-22"/>
          <w:w w:val="105"/>
        </w:rPr>
        <w:t> </w:t>
      </w:r>
      <w:r>
        <w:rPr>
          <w:color w:val="231F20"/>
          <w:w w:val="105"/>
        </w:rPr>
        <w:t>ingresos</w:t>
      </w:r>
      <w:r>
        <w:rPr>
          <w:color w:val="231F20"/>
          <w:spacing w:val="-22"/>
          <w:w w:val="105"/>
        </w:rPr>
        <w:t> </w:t>
      </w:r>
      <w:r>
        <w:rPr>
          <w:color w:val="231F20"/>
          <w:w w:val="105"/>
        </w:rPr>
        <w:t>municipales</w:t>
      </w:r>
      <w:r>
        <w:rPr>
          <w:color w:val="231F20"/>
          <w:spacing w:val="-22"/>
          <w:w w:val="105"/>
        </w:rPr>
        <w:t> </w:t>
      </w:r>
      <w:r>
        <w:rPr>
          <w:color w:val="231F20"/>
          <w:w w:val="105"/>
        </w:rPr>
        <w:t>derivados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Sistemas</w:t>
      </w:r>
      <w:r>
        <w:rPr>
          <w:color w:val="231F20"/>
          <w:spacing w:val="-22"/>
          <w:w w:val="105"/>
        </w:rPr>
        <w:t> </w:t>
      </w:r>
      <w:r>
        <w:rPr>
          <w:color w:val="231F20"/>
          <w:w w:val="105"/>
        </w:rPr>
        <w:t>Nacionales,</w:t>
      </w:r>
      <w:r>
        <w:rPr>
          <w:color w:val="231F20"/>
          <w:spacing w:val="-22"/>
          <w:w w:val="105"/>
        </w:rPr>
        <w:t> </w:t>
      </w:r>
      <w:r>
        <w:rPr>
          <w:color w:val="231F20"/>
          <w:w w:val="105"/>
        </w:rPr>
        <w:t>de</w:t>
      </w:r>
      <w:r>
        <w:rPr>
          <w:color w:val="231F20"/>
          <w:spacing w:val="-22"/>
          <w:w w:val="105"/>
        </w:rPr>
        <w:t> </w:t>
      </w:r>
      <w:r>
        <w:rPr>
          <w:color w:val="231F20"/>
          <w:w w:val="105"/>
        </w:rPr>
        <w:t>Coordinación</w:t>
      </w:r>
      <w:r>
        <w:rPr>
          <w:color w:val="231F20"/>
          <w:spacing w:val="-22"/>
          <w:w w:val="105"/>
        </w:rPr>
        <w:t> </w:t>
      </w:r>
      <w:r>
        <w:rPr>
          <w:color w:val="231F20"/>
          <w:w w:val="105"/>
        </w:rPr>
        <w:t>Fiscal y de Coordinación Hacendaria conforman el 79% de los recursos disponibles para el municipio de Ozumba, ello demuestra poca autonomía en la generación de recursos </w:t>
      </w:r>
      <w:r>
        <w:rPr>
          <w:color w:val="231F20"/>
          <w:spacing w:val="-3"/>
          <w:w w:val="105"/>
        </w:rPr>
        <w:t>propios </w:t>
      </w:r>
      <w:r>
        <w:rPr>
          <w:color w:val="231F20"/>
          <w:w w:val="105"/>
        </w:rPr>
        <w:t>que hace endeble su independencia financiera, dichos Esos ingresos munici- pales deben aprovecharse </w:t>
      </w:r>
      <w:r>
        <w:rPr>
          <w:color w:val="231F20"/>
          <w:spacing w:val="2"/>
          <w:w w:val="105"/>
        </w:rPr>
        <w:t>al </w:t>
      </w:r>
      <w:r>
        <w:rPr>
          <w:color w:val="231F20"/>
          <w:w w:val="105"/>
        </w:rPr>
        <w:t>máximo para enfrentar las demandas ciudadanas y dar cumplimiento </w:t>
      </w:r>
      <w:r>
        <w:rPr>
          <w:color w:val="231F20"/>
          <w:spacing w:val="2"/>
          <w:w w:val="105"/>
        </w:rPr>
        <w:t>al </w:t>
      </w:r>
      <w:r>
        <w:rPr>
          <w:color w:val="231F20"/>
          <w:w w:val="105"/>
        </w:rPr>
        <w:t>Plan de Desarrollo Municipal. A continuación se presenta un cuadro comparativo</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contenido</w:t>
      </w:r>
      <w:r>
        <w:rPr>
          <w:color w:val="231F20"/>
          <w:spacing w:val="-10"/>
          <w:w w:val="105"/>
        </w:rPr>
        <w:t> </w:t>
      </w:r>
      <w:r>
        <w:rPr>
          <w:color w:val="231F20"/>
          <w:w w:val="105"/>
        </w:rPr>
        <w:t>de</w:t>
      </w:r>
      <w:r>
        <w:rPr>
          <w:color w:val="231F20"/>
          <w:spacing w:val="-10"/>
          <w:w w:val="105"/>
        </w:rPr>
        <w:t> </w:t>
      </w:r>
      <w:r>
        <w:rPr>
          <w:color w:val="231F20"/>
          <w:w w:val="105"/>
        </w:rPr>
        <w:t>ambos</w:t>
      </w:r>
      <w:r>
        <w:rPr>
          <w:color w:val="231F20"/>
          <w:spacing w:val="-10"/>
          <w:w w:val="105"/>
        </w:rPr>
        <w:t> </w:t>
      </w:r>
      <w:r>
        <w:rPr>
          <w:color w:val="231F20"/>
          <w:w w:val="105"/>
        </w:rPr>
        <w:t>documentos.</w:t>
      </w:r>
    </w:p>
    <w:p>
      <w:pPr>
        <w:spacing w:after="0" w:line="285" w:lineRule="auto"/>
        <w:jc w:val="both"/>
        <w:sectPr>
          <w:footerReference w:type="default" r:id="rId1159"/>
          <w:pgSz w:w="9640" w:h="12190"/>
          <w:pgMar w:footer="743" w:header="0" w:top="1120" w:bottom="940" w:left="740" w:right="740"/>
          <w:pgNumType w:start="470"/>
        </w:sectPr>
      </w:pPr>
    </w:p>
    <w:p>
      <w:pPr>
        <w:pStyle w:val="Heading5"/>
        <w:spacing w:line="285" w:lineRule="auto" w:before="27"/>
        <w:ind w:left="2026" w:right="57" w:hanging="1793"/>
      </w:pPr>
      <w:r>
        <w:rPr>
          <w:color w:val="231F20"/>
          <w:w w:val="105"/>
        </w:rPr>
        <w:t>Cuadro</w:t>
      </w:r>
      <w:r>
        <w:rPr>
          <w:color w:val="231F20"/>
          <w:spacing w:val="-18"/>
          <w:w w:val="105"/>
        </w:rPr>
        <w:t> </w:t>
      </w:r>
      <w:r>
        <w:rPr>
          <w:color w:val="231F20"/>
          <w:w w:val="105"/>
        </w:rPr>
        <w:t>6:</w:t>
      </w:r>
      <w:r>
        <w:rPr>
          <w:color w:val="231F20"/>
          <w:spacing w:val="-18"/>
          <w:w w:val="105"/>
        </w:rPr>
        <w:t> </w:t>
      </w:r>
      <w:r>
        <w:rPr>
          <w:color w:val="231F20"/>
          <w:w w:val="105"/>
        </w:rPr>
        <w:t>Comparación</w:t>
      </w:r>
      <w:r>
        <w:rPr>
          <w:color w:val="231F20"/>
          <w:spacing w:val="-18"/>
          <w:w w:val="105"/>
        </w:rPr>
        <w:t> </w:t>
      </w:r>
      <w:r>
        <w:rPr>
          <w:color w:val="231F20"/>
          <w:w w:val="105"/>
        </w:rPr>
        <w:t>de</w:t>
      </w:r>
      <w:r>
        <w:rPr>
          <w:color w:val="231F20"/>
          <w:spacing w:val="-18"/>
          <w:w w:val="105"/>
        </w:rPr>
        <w:t> </w:t>
      </w:r>
      <w:r>
        <w:rPr>
          <w:color w:val="231F20"/>
          <w:w w:val="105"/>
        </w:rPr>
        <w:t>contenido</w:t>
      </w:r>
      <w:r>
        <w:rPr>
          <w:color w:val="231F20"/>
          <w:spacing w:val="-18"/>
          <w:w w:val="105"/>
        </w:rPr>
        <w:t> </w:t>
      </w:r>
      <w:r>
        <w:rPr>
          <w:color w:val="231F20"/>
          <w:w w:val="105"/>
        </w:rPr>
        <w:t>de</w:t>
      </w:r>
      <w:r>
        <w:rPr>
          <w:color w:val="231F20"/>
          <w:spacing w:val="-18"/>
          <w:w w:val="105"/>
        </w:rPr>
        <w:t> </w:t>
      </w:r>
      <w:r>
        <w:rPr>
          <w:color w:val="231F20"/>
          <w:w w:val="105"/>
        </w:rPr>
        <w:t>programas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Plan</w:t>
      </w:r>
      <w:r>
        <w:rPr>
          <w:color w:val="231F20"/>
          <w:spacing w:val="-18"/>
          <w:w w:val="105"/>
        </w:rPr>
        <w:t> </w:t>
      </w:r>
      <w:r>
        <w:rPr>
          <w:color w:val="231F20"/>
          <w:w w:val="105"/>
        </w:rPr>
        <w:t>Municipal</w:t>
      </w:r>
      <w:r>
        <w:rPr>
          <w:color w:val="231F20"/>
          <w:spacing w:val="-18"/>
          <w:w w:val="105"/>
        </w:rPr>
        <w:t> </w:t>
      </w:r>
      <w:r>
        <w:rPr>
          <w:color w:val="231F20"/>
          <w:spacing w:val="3"/>
          <w:w w:val="105"/>
        </w:rPr>
        <w:t>2006- </w:t>
      </w:r>
      <w:r>
        <w:rPr>
          <w:color w:val="231F20"/>
          <w:spacing w:val="2"/>
          <w:w w:val="105"/>
        </w:rPr>
        <w:t>2009</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Segundo</w:t>
      </w:r>
      <w:r>
        <w:rPr>
          <w:color w:val="231F20"/>
          <w:spacing w:val="-10"/>
          <w:w w:val="105"/>
        </w:rPr>
        <w:t> </w:t>
      </w:r>
      <w:r>
        <w:rPr>
          <w:color w:val="231F20"/>
          <w:w w:val="105"/>
        </w:rPr>
        <w:t>Informe</w:t>
      </w:r>
      <w:r>
        <w:rPr>
          <w:color w:val="231F20"/>
          <w:spacing w:val="-10"/>
          <w:w w:val="105"/>
        </w:rPr>
        <w:t> </w:t>
      </w:r>
      <w:r>
        <w:rPr>
          <w:color w:val="231F20"/>
          <w:w w:val="105"/>
        </w:rPr>
        <w:t>de</w:t>
      </w:r>
      <w:r>
        <w:rPr>
          <w:color w:val="231F20"/>
          <w:spacing w:val="-10"/>
          <w:w w:val="105"/>
        </w:rPr>
        <w:t> </w:t>
      </w:r>
      <w:r>
        <w:rPr>
          <w:color w:val="231F20"/>
          <w:w w:val="105"/>
        </w:rPr>
        <w:t>gobierno.</w:t>
      </w: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038"/>
        <w:gridCol w:w="3902"/>
      </w:tblGrid>
      <w:tr>
        <w:trPr>
          <w:trHeight w:val="130" w:hRule="exact"/>
        </w:trPr>
        <w:tc>
          <w:tcPr>
            <w:tcW w:w="4038" w:type="dxa"/>
          </w:tcPr>
          <w:p>
            <w:pPr>
              <w:pStyle w:val="TableParagraph"/>
              <w:spacing w:line="146" w:lineRule="exact"/>
              <w:rPr>
                <w:sz w:val="16"/>
              </w:rPr>
            </w:pPr>
            <w:r>
              <w:rPr>
                <w:color w:val="231F20"/>
                <w:w w:val="105"/>
                <w:sz w:val="16"/>
              </w:rPr>
              <w:t>Plan de Desarrollo</w:t>
            </w:r>
          </w:p>
        </w:tc>
        <w:tc>
          <w:tcPr>
            <w:tcW w:w="3902" w:type="dxa"/>
          </w:tcPr>
          <w:p>
            <w:pPr>
              <w:pStyle w:val="TableParagraph"/>
              <w:spacing w:line="146" w:lineRule="exact"/>
              <w:rPr>
                <w:sz w:val="16"/>
              </w:rPr>
            </w:pPr>
            <w:r>
              <w:rPr>
                <w:color w:val="231F20"/>
                <w:w w:val="105"/>
                <w:sz w:val="16"/>
              </w:rPr>
              <w:t>Segundo Informe de Gobierno</w:t>
            </w:r>
          </w:p>
        </w:tc>
      </w:tr>
      <w:tr>
        <w:trPr>
          <w:trHeight w:val="8002" w:hRule="exact"/>
        </w:trPr>
        <w:tc>
          <w:tcPr>
            <w:tcW w:w="4038" w:type="dxa"/>
          </w:tcPr>
          <w:p>
            <w:pPr>
              <w:pStyle w:val="TableParagraph"/>
              <w:spacing w:line="147" w:lineRule="exact"/>
              <w:rPr>
                <w:sz w:val="16"/>
              </w:rPr>
            </w:pPr>
            <w:r>
              <w:rPr>
                <w:color w:val="231F20"/>
                <w:w w:val="105"/>
                <w:sz w:val="16"/>
              </w:rPr>
              <w:t>Cimientos de la Seguridad Integral Municipal</w:t>
            </w:r>
          </w:p>
          <w:p>
            <w:pPr>
              <w:pStyle w:val="TableParagraph"/>
              <w:numPr>
                <w:ilvl w:val="1"/>
                <w:numId w:val="34"/>
              </w:numPr>
              <w:tabs>
                <w:tab w:pos="347" w:val="left" w:leader="none"/>
              </w:tabs>
              <w:spacing w:line="192" w:lineRule="exact" w:before="0" w:after="0"/>
              <w:ind w:left="103" w:right="0" w:firstLine="0"/>
              <w:jc w:val="left"/>
              <w:rPr>
                <w:sz w:val="16"/>
              </w:rPr>
            </w:pPr>
            <w:r>
              <w:rPr>
                <w:color w:val="231F20"/>
                <w:w w:val="105"/>
                <w:sz w:val="16"/>
              </w:rPr>
              <w:t>Programa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Apoyo</w:t>
            </w:r>
            <w:r>
              <w:rPr>
                <w:color w:val="231F20"/>
                <w:spacing w:val="-12"/>
                <w:w w:val="105"/>
                <w:sz w:val="16"/>
              </w:rPr>
              <w:t> </w:t>
            </w:r>
            <w:r>
              <w:rPr>
                <w:color w:val="231F20"/>
                <w:w w:val="105"/>
                <w:sz w:val="16"/>
              </w:rPr>
              <w:t>a</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Políticas</w:t>
            </w:r>
            <w:r>
              <w:rPr>
                <w:color w:val="231F20"/>
                <w:spacing w:val="-12"/>
                <w:w w:val="105"/>
                <w:sz w:val="16"/>
              </w:rPr>
              <w:t> </w:t>
            </w:r>
            <w:r>
              <w:rPr>
                <w:color w:val="231F20"/>
                <w:w w:val="105"/>
                <w:sz w:val="16"/>
              </w:rPr>
              <w:t>Gubernamentales</w:t>
            </w:r>
          </w:p>
          <w:p>
            <w:pPr>
              <w:pStyle w:val="TableParagraph"/>
              <w:numPr>
                <w:ilvl w:val="1"/>
                <w:numId w:val="34"/>
              </w:numPr>
              <w:tabs>
                <w:tab w:pos="369" w:val="left" w:leader="none"/>
              </w:tabs>
              <w:spacing w:line="192" w:lineRule="exact" w:before="0" w:after="0"/>
              <w:ind w:left="368" w:right="0" w:hanging="265"/>
              <w:jc w:val="left"/>
              <w:rPr>
                <w:sz w:val="16"/>
              </w:rPr>
            </w:pPr>
            <w:r>
              <w:rPr>
                <w:color w:val="231F20"/>
                <w:w w:val="105"/>
                <w:sz w:val="16"/>
              </w:rPr>
              <w:t>Programa</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Reglamentación</w:t>
            </w:r>
            <w:r>
              <w:rPr>
                <w:color w:val="231F20"/>
                <w:spacing w:val="-13"/>
                <w:w w:val="105"/>
                <w:sz w:val="16"/>
              </w:rPr>
              <w:t> </w:t>
            </w:r>
            <w:r>
              <w:rPr>
                <w:color w:val="231F20"/>
                <w:w w:val="105"/>
                <w:sz w:val="16"/>
              </w:rPr>
              <w:t>Municipal</w:t>
            </w:r>
          </w:p>
          <w:p>
            <w:pPr>
              <w:pStyle w:val="TableParagraph"/>
              <w:numPr>
                <w:ilvl w:val="1"/>
                <w:numId w:val="34"/>
              </w:numPr>
              <w:tabs>
                <w:tab w:pos="367" w:val="left" w:leader="none"/>
              </w:tabs>
              <w:spacing w:line="192" w:lineRule="exact" w:before="0" w:after="0"/>
              <w:ind w:left="367" w:right="0" w:hanging="264"/>
              <w:jc w:val="left"/>
              <w:rPr>
                <w:sz w:val="16"/>
              </w:rPr>
            </w:pPr>
            <w:r>
              <w:rPr>
                <w:color w:val="231F20"/>
                <w:w w:val="105"/>
                <w:sz w:val="16"/>
              </w:rPr>
              <w:t>Programa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Impartición</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Justicia</w:t>
            </w:r>
            <w:r>
              <w:rPr>
                <w:color w:val="231F20"/>
                <w:spacing w:val="-11"/>
                <w:w w:val="105"/>
                <w:sz w:val="16"/>
              </w:rPr>
              <w:t> </w:t>
            </w:r>
            <w:r>
              <w:rPr>
                <w:color w:val="231F20"/>
                <w:w w:val="105"/>
                <w:sz w:val="16"/>
              </w:rPr>
              <w:t>Municipal</w:t>
            </w:r>
          </w:p>
          <w:p>
            <w:pPr>
              <w:pStyle w:val="TableParagraph"/>
              <w:numPr>
                <w:ilvl w:val="1"/>
                <w:numId w:val="34"/>
              </w:numPr>
              <w:tabs>
                <w:tab w:pos="364" w:val="left" w:leader="none"/>
              </w:tabs>
              <w:spacing w:line="192" w:lineRule="exact" w:before="0" w:after="0"/>
              <w:ind w:left="363" w:right="0" w:hanging="260"/>
              <w:jc w:val="left"/>
              <w:rPr>
                <w:sz w:val="16"/>
              </w:rPr>
            </w:pPr>
            <w:r>
              <w:rPr>
                <w:color w:val="231F20"/>
                <w:w w:val="105"/>
                <w:sz w:val="16"/>
              </w:rPr>
              <w:t>Programa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Procuración</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Justicia</w:t>
            </w:r>
            <w:r>
              <w:rPr>
                <w:color w:val="231F20"/>
                <w:spacing w:val="-12"/>
                <w:w w:val="105"/>
                <w:sz w:val="16"/>
              </w:rPr>
              <w:t> </w:t>
            </w:r>
            <w:r>
              <w:rPr>
                <w:color w:val="231F20"/>
                <w:w w:val="105"/>
                <w:sz w:val="16"/>
              </w:rPr>
              <w:t>Municipal</w:t>
            </w:r>
          </w:p>
          <w:p>
            <w:pPr>
              <w:pStyle w:val="TableParagraph"/>
              <w:numPr>
                <w:ilvl w:val="1"/>
                <w:numId w:val="34"/>
              </w:numPr>
              <w:tabs>
                <w:tab w:pos="366" w:val="left" w:leader="none"/>
              </w:tabs>
              <w:spacing w:line="235" w:lineRule="auto" w:before="1" w:after="0"/>
              <w:ind w:left="103" w:right="193" w:firstLine="0"/>
              <w:jc w:val="left"/>
              <w:rPr>
                <w:sz w:val="16"/>
              </w:rPr>
            </w:pPr>
            <w:r>
              <w:rPr>
                <w:color w:val="231F20"/>
                <w:w w:val="105"/>
                <w:sz w:val="16"/>
              </w:rPr>
              <w:t>Programa</w:t>
            </w:r>
            <w:r>
              <w:rPr>
                <w:color w:val="231F20"/>
                <w:spacing w:val="-8"/>
                <w:w w:val="105"/>
                <w:sz w:val="16"/>
              </w:rPr>
              <w:t> </w:t>
            </w:r>
            <w:r>
              <w:rPr>
                <w:color w:val="231F20"/>
                <w:w w:val="105"/>
                <w:sz w:val="16"/>
              </w:rPr>
              <w:t>de</w:t>
            </w:r>
            <w:r>
              <w:rPr>
                <w:color w:val="231F20"/>
                <w:spacing w:val="-8"/>
                <w:w w:val="105"/>
                <w:sz w:val="16"/>
              </w:rPr>
              <w:t> </w:t>
            </w:r>
            <w:r>
              <w:rPr>
                <w:color w:val="231F20"/>
                <w:w w:val="105"/>
                <w:sz w:val="16"/>
              </w:rPr>
              <w:t>Planeación</w:t>
            </w:r>
            <w:r>
              <w:rPr>
                <w:color w:val="231F20"/>
                <w:spacing w:val="-8"/>
                <w:w w:val="105"/>
                <w:sz w:val="16"/>
              </w:rPr>
              <w:t> </w:t>
            </w:r>
            <w:r>
              <w:rPr>
                <w:color w:val="231F20"/>
                <w:w w:val="105"/>
                <w:sz w:val="16"/>
              </w:rPr>
              <w:t>y</w:t>
            </w:r>
            <w:r>
              <w:rPr>
                <w:color w:val="231F20"/>
                <w:spacing w:val="-8"/>
                <w:w w:val="105"/>
                <w:sz w:val="16"/>
              </w:rPr>
              <w:t> </w:t>
            </w:r>
            <w:r>
              <w:rPr>
                <w:color w:val="231F20"/>
                <w:w w:val="105"/>
                <w:sz w:val="16"/>
              </w:rPr>
              <w:t>Conducción</w:t>
            </w:r>
            <w:r>
              <w:rPr>
                <w:color w:val="231F20"/>
                <w:spacing w:val="-8"/>
                <w:w w:val="105"/>
                <w:sz w:val="16"/>
              </w:rPr>
              <w:t> </w:t>
            </w:r>
            <w:r>
              <w:rPr>
                <w:color w:val="231F20"/>
                <w:w w:val="105"/>
                <w:sz w:val="16"/>
              </w:rPr>
              <w:t>del</w:t>
            </w:r>
            <w:r>
              <w:rPr>
                <w:color w:val="231F20"/>
                <w:spacing w:val="-8"/>
                <w:w w:val="105"/>
                <w:sz w:val="16"/>
              </w:rPr>
              <w:t> </w:t>
            </w:r>
            <w:r>
              <w:rPr>
                <w:color w:val="231F20"/>
                <w:w w:val="105"/>
                <w:sz w:val="16"/>
              </w:rPr>
              <w:t>Desarro- llo</w:t>
            </w:r>
            <w:r>
              <w:rPr>
                <w:color w:val="231F20"/>
                <w:spacing w:val="-18"/>
                <w:w w:val="105"/>
                <w:sz w:val="16"/>
              </w:rPr>
              <w:t> </w:t>
            </w:r>
            <w:r>
              <w:rPr>
                <w:color w:val="231F20"/>
                <w:w w:val="105"/>
                <w:sz w:val="16"/>
              </w:rPr>
              <w:t>Municipal</w:t>
            </w:r>
          </w:p>
          <w:p>
            <w:pPr>
              <w:pStyle w:val="TableParagraph"/>
              <w:numPr>
                <w:ilvl w:val="1"/>
                <w:numId w:val="34"/>
              </w:numPr>
              <w:tabs>
                <w:tab w:pos="366" w:val="left" w:leader="none"/>
              </w:tabs>
              <w:spacing w:line="235" w:lineRule="auto" w:before="0" w:after="0"/>
              <w:ind w:left="103" w:right="595" w:firstLine="0"/>
              <w:jc w:val="left"/>
              <w:rPr>
                <w:sz w:val="16"/>
              </w:rPr>
            </w:pPr>
            <w:r>
              <w:rPr>
                <w:color w:val="231F20"/>
                <w:w w:val="105"/>
                <w:sz w:val="16"/>
              </w:rPr>
              <w:t>Programa</w:t>
            </w:r>
            <w:r>
              <w:rPr>
                <w:color w:val="231F20"/>
                <w:spacing w:val="-9"/>
                <w:w w:val="105"/>
                <w:sz w:val="16"/>
              </w:rPr>
              <w:t> </w:t>
            </w:r>
            <w:r>
              <w:rPr>
                <w:color w:val="231F20"/>
                <w:w w:val="105"/>
                <w:sz w:val="16"/>
              </w:rPr>
              <w:t>de</w:t>
            </w:r>
            <w:r>
              <w:rPr>
                <w:color w:val="231F20"/>
                <w:spacing w:val="-9"/>
                <w:w w:val="105"/>
                <w:sz w:val="16"/>
              </w:rPr>
              <w:t> </w:t>
            </w:r>
            <w:r>
              <w:rPr>
                <w:color w:val="231F20"/>
                <w:w w:val="105"/>
                <w:sz w:val="16"/>
              </w:rPr>
              <w:t>Desarrollo</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Función</w:t>
            </w:r>
            <w:r>
              <w:rPr>
                <w:color w:val="231F20"/>
                <w:spacing w:val="-9"/>
                <w:w w:val="105"/>
                <w:sz w:val="16"/>
              </w:rPr>
              <w:t> </w:t>
            </w:r>
            <w:r>
              <w:rPr>
                <w:color w:val="231F20"/>
                <w:w w:val="105"/>
                <w:sz w:val="16"/>
              </w:rPr>
              <w:t>Pública Municipal</w:t>
            </w:r>
          </w:p>
          <w:p>
            <w:pPr>
              <w:pStyle w:val="TableParagraph"/>
              <w:numPr>
                <w:ilvl w:val="1"/>
                <w:numId w:val="34"/>
              </w:numPr>
              <w:tabs>
                <w:tab w:pos="348" w:val="left" w:leader="none"/>
              </w:tabs>
              <w:spacing w:line="235" w:lineRule="auto" w:before="0" w:after="0"/>
              <w:ind w:left="103" w:right="119" w:firstLine="0"/>
              <w:jc w:val="left"/>
              <w:rPr>
                <w:sz w:val="16"/>
              </w:rPr>
            </w:pPr>
            <w:r>
              <w:rPr>
                <w:color w:val="231F20"/>
                <w:w w:val="105"/>
                <w:sz w:val="16"/>
              </w:rPr>
              <w:t>Programa</w:t>
            </w:r>
            <w:r>
              <w:rPr>
                <w:color w:val="231F20"/>
                <w:spacing w:val="-9"/>
                <w:w w:val="105"/>
                <w:sz w:val="16"/>
              </w:rPr>
              <w:t> </w:t>
            </w:r>
            <w:r>
              <w:rPr>
                <w:color w:val="231F20"/>
                <w:w w:val="105"/>
                <w:sz w:val="16"/>
              </w:rPr>
              <w:t>de</w:t>
            </w:r>
            <w:r>
              <w:rPr>
                <w:color w:val="231F20"/>
                <w:spacing w:val="-9"/>
                <w:w w:val="105"/>
                <w:sz w:val="16"/>
              </w:rPr>
              <w:t> </w:t>
            </w:r>
            <w:r>
              <w:rPr>
                <w:color w:val="231F20"/>
                <w:w w:val="105"/>
                <w:sz w:val="16"/>
              </w:rPr>
              <w:t>Fiscalización,</w:t>
            </w:r>
            <w:r>
              <w:rPr>
                <w:color w:val="231F20"/>
                <w:spacing w:val="-9"/>
                <w:w w:val="105"/>
                <w:sz w:val="16"/>
              </w:rPr>
              <w:t> </w:t>
            </w:r>
            <w:r>
              <w:rPr>
                <w:color w:val="231F20"/>
                <w:w w:val="105"/>
                <w:sz w:val="16"/>
              </w:rPr>
              <w:t>Control</w:t>
            </w:r>
            <w:r>
              <w:rPr>
                <w:color w:val="231F20"/>
                <w:spacing w:val="-9"/>
                <w:w w:val="105"/>
                <w:sz w:val="16"/>
              </w:rPr>
              <w:t> </w:t>
            </w:r>
            <w:r>
              <w:rPr>
                <w:color w:val="231F20"/>
                <w:w w:val="105"/>
                <w:sz w:val="16"/>
              </w:rPr>
              <w:t>y</w:t>
            </w:r>
            <w:r>
              <w:rPr>
                <w:color w:val="231F20"/>
                <w:spacing w:val="-9"/>
                <w:w w:val="105"/>
                <w:sz w:val="16"/>
              </w:rPr>
              <w:t> </w:t>
            </w:r>
            <w:r>
              <w:rPr>
                <w:color w:val="231F20"/>
                <w:w w:val="105"/>
                <w:sz w:val="16"/>
              </w:rPr>
              <w:t>Evaluación</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 Gestión</w:t>
            </w:r>
            <w:r>
              <w:rPr>
                <w:color w:val="231F20"/>
                <w:spacing w:val="-21"/>
                <w:w w:val="105"/>
                <w:sz w:val="16"/>
              </w:rPr>
              <w:t> </w:t>
            </w:r>
            <w:r>
              <w:rPr>
                <w:color w:val="231F20"/>
                <w:w w:val="105"/>
                <w:sz w:val="16"/>
              </w:rPr>
              <w:t>Municipal</w:t>
            </w:r>
          </w:p>
          <w:p>
            <w:pPr>
              <w:pStyle w:val="TableParagraph"/>
              <w:numPr>
                <w:ilvl w:val="1"/>
                <w:numId w:val="34"/>
              </w:numPr>
              <w:tabs>
                <w:tab w:pos="368" w:val="left" w:leader="none"/>
              </w:tabs>
              <w:spacing w:line="235" w:lineRule="auto" w:before="0" w:after="0"/>
              <w:ind w:left="103" w:right="121" w:firstLine="0"/>
              <w:jc w:val="left"/>
              <w:rPr>
                <w:sz w:val="16"/>
              </w:rPr>
            </w:pPr>
            <w:r>
              <w:rPr>
                <w:color w:val="231F20"/>
                <w:w w:val="105"/>
                <w:sz w:val="16"/>
              </w:rPr>
              <w:t>Programa</w:t>
            </w:r>
            <w:r>
              <w:rPr>
                <w:color w:val="231F20"/>
                <w:spacing w:val="-9"/>
                <w:w w:val="105"/>
                <w:sz w:val="16"/>
              </w:rPr>
              <w:t> </w:t>
            </w:r>
            <w:r>
              <w:rPr>
                <w:color w:val="231F20"/>
                <w:w w:val="105"/>
                <w:sz w:val="16"/>
              </w:rPr>
              <w:t>de</w:t>
            </w:r>
            <w:r>
              <w:rPr>
                <w:color w:val="231F20"/>
                <w:spacing w:val="-9"/>
                <w:w w:val="105"/>
                <w:sz w:val="16"/>
              </w:rPr>
              <w:t> </w:t>
            </w:r>
            <w:r>
              <w:rPr>
                <w:color w:val="231F20"/>
                <w:w w:val="105"/>
                <w:sz w:val="16"/>
              </w:rPr>
              <w:t>Fortalecimiento</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Hacienda</w:t>
            </w:r>
            <w:r>
              <w:rPr>
                <w:color w:val="231F20"/>
                <w:spacing w:val="-9"/>
                <w:w w:val="105"/>
                <w:sz w:val="16"/>
              </w:rPr>
              <w:t> </w:t>
            </w:r>
            <w:r>
              <w:rPr>
                <w:color w:val="231F20"/>
                <w:w w:val="105"/>
                <w:sz w:val="16"/>
              </w:rPr>
              <w:t>Pública Municipal</w:t>
            </w:r>
          </w:p>
          <w:p>
            <w:pPr>
              <w:pStyle w:val="TableParagraph"/>
              <w:spacing w:before="5"/>
              <w:ind w:left="0"/>
              <w:rPr>
                <w:rFonts w:ascii="Times New Roman"/>
                <w:b/>
                <w:sz w:val="16"/>
              </w:rPr>
            </w:pPr>
          </w:p>
          <w:p>
            <w:pPr>
              <w:pStyle w:val="TableParagraph"/>
              <w:spacing w:line="194" w:lineRule="exact"/>
              <w:rPr>
                <w:sz w:val="16"/>
              </w:rPr>
            </w:pPr>
            <w:r>
              <w:rPr>
                <w:color w:val="231F20"/>
                <w:w w:val="105"/>
                <w:sz w:val="16"/>
              </w:rPr>
              <w:t>Pilar I. Seguridad Social Municipal</w:t>
            </w:r>
          </w:p>
          <w:p>
            <w:pPr>
              <w:pStyle w:val="TableParagraph"/>
              <w:numPr>
                <w:ilvl w:val="1"/>
                <w:numId w:val="35"/>
              </w:numPr>
              <w:tabs>
                <w:tab w:pos="365" w:val="left" w:leader="none"/>
              </w:tabs>
              <w:spacing w:line="235" w:lineRule="auto" w:before="1" w:after="0"/>
              <w:ind w:left="103" w:right="524" w:firstLine="0"/>
              <w:jc w:val="left"/>
              <w:rPr>
                <w:sz w:val="16"/>
              </w:rPr>
            </w:pPr>
            <w:r>
              <w:rPr>
                <w:color w:val="231F20"/>
                <w:w w:val="105"/>
                <w:sz w:val="16"/>
              </w:rPr>
              <w:t>Programa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Desarrollo</w:t>
            </w:r>
            <w:r>
              <w:rPr>
                <w:color w:val="231F20"/>
                <w:spacing w:val="-11"/>
                <w:w w:val="105"/>
                <w:sz w:val="16"/>
              </w:rPr>
              <w:t> </w:t>
            </w:r>
            <w:r>
              <w:rPr>
                <w:color w:val="231F20"/>
                <w:w w:val="105"/>
                <w:sz w:val="16"/>
              </w:rPr>
              <w:t>Integral</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Familia</w:t>
            </w:r>
            <w:r>
              <w:rPr>
                <w:color w:val="231F20"/>
                <w:spacing w:val="-11"/>
                <w:w w:val="105"/>
                <w:sz w:val="16"/>
              </w:rPr>
              <w:t> </w:t>
            </w:r>
            <w:r>
              <w:rPr>
                <w:color w:val="231F20"/>
                <w:w w:val="105"/>
                <w:sz w:val="16"/>
              </w:rPr>
              <w:t>y Asistencia</w:t>
            </w:r>
            <w:r>
              <w:rPr>
                <w:color w:val="231F20"/>
                <w:spacing w:val="-13"/>
                <w:w w:val="105"/>
                <w:sz w:val="16"/>
              </w:rPr>
              <w:t> </w:t>
            </w:r>
            <w:r>
              <w:rPr>
                <w:color w:val="231F20"/>
                <w:w w:val="105"/>
                <w:sz w:val="16"/>
              </w:rPr>
              <w:t>Social</w:t>
            </w:r>
          </w:p>
          <w:p>
            <w:pPr>
              <w:pStyle w:val="TableParagraph"/>
              <w:numPr>
                <w:ilvl w:val="1"/>
                <w:numId w:val="35"/>
              </w:numPr>
              <w:tabs>
                <w:tab w:pos="438" w:val="left" w:leader="none"/>
              </w:tabs>
              <w:spacing w:line="191" w:lineRule="exact" w:before="0" w:after="0"/>
              <w:ind w:left="437" w:right="0" w:hanging="334"/>
              <w:jc w:val="left"/>
              <w:rPr>
                <w:sz w:val="16"/>
              </w:rPr>
            </w:pPr>
            <w:r>
              <w:rPr>
                <w:color w:val="231F20"/>
                <w:w w:val="105"/>
                <w:sz w:val="16"/>
              </w:rPr>
              <w:t>Programa de</w:t>
            </w:r>
            <w:r>
              <w:rPr>
                <w:color w:val="231F20"/>
                <w:spacing w:val="-15"/>
                <w:w w:val="105"/>
                <w:sz w:val="16"/>
              </w:rPr>
              <w:t> </w:t>
            </w:r>
            <w:r>
              <w:rPr>
                <w:color w:val="231F20"/>
                <w:w w:val="105"/>
                <w:sz w:val="16"/>
              </w:rPr>
              <w:t>Salud</w:t>
            </w:r>
          </w:p>
          <w:p>
            <w:pPr>
              <w:pStyle w:val="TableParagraph"/>
              <w:numPr>
                <w:ilvl w:val="1"/>
                <w:numId w:val="35"/>
              </w:numPr>
              <w:tabs>
                <w:tab w:pos="423" w:val="left" w:leader="none"/>
              </w:tabs>
              <w:spacing w:line="192" w:lineRule="exact" w:before="0" w:after="0"/>
              <w:ind w:left="422" w:right="0" w:hanging="319"/>
              <w:jc w:val="left"/>
              <w:rPr>
                <w:sz w:val="16"/>
              </w:rPr>
            </w:pPr>
            <w:r>
              <w:rPr>
                <w:color w:val="231F20"/>
                <w:w w:val="105"/>
                <w:sz w:val="16"/>
              </w:rPr>
              <w:t>Programa</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Educación</w:t>
            </w:r>
            <w:r>
              <w:rPr>
                <w:color w:val="231F20"/>
                <w:spacing w:val="-10"/>
                <w:w w:val="105"/>
                <w:sz w:val="16"/>
              </w:rPr>
              <w:t> </w:t>
            </w:r>
            <w:r>
              <w:rPr>
                <w:color w:val="231F20"/>
                <w:w w:val="105"/>
                <w:sz w:val="16"/>
              </w:rPr>
              <w:t>y</w:t>
            </w:r>
            <w:r>
              <w:rPr>
                <w:color w:val="231F20"/>
                <w:spacing w:val="-10"/>
                <w:w w:val="105"/>
                <w:sz w:val="16"/>
              </w:rPr>
              <w:t> </w:t>
            </w:r>
            <w:r>
              <w:rPr>
                <w:color w:val="231F20"/>
                <w:w w:val="105"/>
                <w:sz w:val="16"/>
              </w:rPr>
              <w:t>Cultura</w:t>
            </w:r>
          </w:p>
          <w:p>
            <w:pPr>
              <w:pStyle w:val="TableParagraph"/>
              <w:numPr>
                <w:ilvl w:val="1"/>
                <w:numId w:val="35"/>
              </w:numPr>
              <w:tabs>
                <w:tab w:pos="436" w:val="left" w:leader="none"/>
              </w:tabs>
              <w:spacing w:line="192" w:lineRule="exact" w:before="0" w:after="0"/>
              <w:ind w:left="435" w:right="0" w:hanging="332"/>
              <w:jc w:val="left"/>
              <w:rPr>
                <w:sz w:val="16"/>
              </w:rPr>
            </w:pPr>
            <w:r>
              <w:rPr>
                <w:color w:val="231F20"/>
                <w:w w:val="105"/>
                <w:sz w:val="16"/>
              </w:rPr>
              <w:t>Programa</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Cultura</w:t>
            </w:r>
            <w:r>
              <w:rPr>
                <w:color w:val="231F20"/>
                <w:spacing w:val="-10"/>
                <w:w w:val="105"/>
                <w:sz w:val="16"/>
              </w:rPr>
              <w:t> </w:t>
            </w:r>
            <w:r>
              <w:rPr>
                <w:color w:val="231F20"/>
                <w:w w:val="105"/>
                <w:sz w:val="16"/>
              </w:rPr>
              <w:t>Física</w:t>
            </w:r>
            <w:r>
              <w:rPr>
                <w:color w:val="231F20"/>
                <w:spacing w:val="-10"/>
                <w:w w:val="105"/>
                <w:sz w:val="16"/>
              </w:rPr>
              <w:t> </w:t>
            </w:r>
            <w:r>
              <w:rPr>
                <w:color w:val="231F20"/>
                <w:w w:val="105"/>
                <w:sz w:val="16"/>
              </w:rPr>
              <w:t>y</w:t>
            </w:r>
            <w:r>
              <w:rPr>
                <w:color w:val="231F20"/>
                <w:spacing w:val="-10"/>
                <w:w w:val="105"/>
                <w:sz w:val="16"/>
              </w:rPr>
              <w:t> </w:t>
            </w:r>
            <w:r>
              <w:rPr>
                <w:color w:val="231F20"/>
                <w:w w:val="105"/>
                <w:sz w:val="16"/>
              </w:rPr>
              <w:t>Deporte</w:t>
            </w:r>
          </w:p>
          <w:p>
            <w:pPr>
              <w:pStyle w:val="TableParagraph"/>
              <w:numPr>
                <w:ilvl w:val="1"/>
                <w:numId w:val="35"/>
              </w:numPr>
              <w:tabs>
                <w:tab w:pos="435" w:val="left" w:leader="none"/>
              </w:tabs>
              <w:spacing w:line="192" w:lineRule="exact" w:before="0" w:after="0"/>
              <w:ind w:left="434" w:right="0" w:hanging="331"/>
              <w:jc w:val="left"/>
              <w:rPr>
                <w:sz w:val="16"/>
              </w:rPr>
            </w:pPr>
            <w:r>
              <w:rPr>
                <w:color w:val="231F20"/>
                <w:w w:val="105"/>
                <w:sz w:val="16"/>
              </w:rPr>
              <w:t>Programa</w:t>
            </w:r>
            <w:r>
              <w:rPr>
                <w:color w:val="231F20"/>
                <w:spacing w:val="-9"/>
                <w:w w:val="105"/>
                <w:sz w:val="16"/>
              </w:rPr>
              <w:t> </w:t>
            </w:r>
            <w:r>
              <w:rPr>
                <w:color w:val="231F20"/>
                <w:w w:val="105"/>
                <w:sz w:val="16"/>
              </w:rPr>
              <w:t>de</w:t>
            </w:r>
            <w:r>
              <w:rPr>
                <w:color w:val="231F20"/>
                <w:spacing w:val="-9"/>
                <w:w w:val="105"/>
                <w:sz w:val="16"/>
              </w:rPr>
              <w:t> </w:t>
            </w:r>
            <w:r>
              <w:rPr>
                <w:color w:val="231F20"/>
                <w:w w:val="105"/>
                <w:sz w:val="16"/>
              </w:rPr>
              <w:t>Electrificación</w:t>
            </w:r>
            <w:r>
              <w:rPr>
                <w:color w:val="231F20"/>
                <w:spacing w:val="-9"/>
                <w:w w:val="105"/>
                <w:sz w:val="16"/>
              </w:rPr>
              <w:t> </w:t>
            </w:r>
            <w:r>
              <w:rPr>
                <w:color w:val="231F20"/>
                <w:w w:val="105"/>
                <w:sz w:val="16"/>
              </w:rPr>
              <w:t>y</w:t>
            </w:r>
            <w:r>
              <w:rPr>
                <w:color w:val="231F20"/>
                <w:spacing w:val="-9"/>
                <w:w w:val="105"/>
                <w:sz w:val="16"/>
              </w:rPr>
              <w:t> </w:t>
            </w:r>
            <w:r>
              <w:rPr>
                <w:color w:val="231F20"/>
                <w:w w:val="105"/>
                <w:sz w:val="16"/>
              </w:rPr>
              <w:t>Alumbrado</w:t>
            </w:r>
            <w:r>
              <w:rPr>
                <w:color w:val="231F20"/>
                <w:spacing w:val="-9"/>
                <w:w w:val="105"/>
                <w:sz w:val="16"/>
              </w:rPr>
              <w:t> </w:t>
            </w:r>
            <w:r>
              <w:rPr>
                <w:color w:val="231F20"/>
                <w:w w:val="105"/>
                <w:sz w:val="16"/>
              </w:rPr>
              <w:t>Público</w:t>
            </w:r>
          </w:p>
          <w:p>
            <w:pPr>
              <w:pStyle w:val="TableParagraph"/>
              <w:numPr>
                <w:ilvl w:val="1"/>
                <w:numId w:val="35"/>
              </w:numPr>
              <w:tabs>
                <w:tab w:pos="437" w:val="left" w:leader="none"/>
              </w:tabs>
              <w:spacing w:line="192" w:lineRule="exact" w:before="0" w:after="0"/>
              <w:ind w:left="436" w:right="0" w:hanging="333"/>
              <w:jc w:val="left"/>
              <w:rPr>
                <w:sz w:val="16"/>
              </w:rPr>
            </w:pPr>
            <w:r>
              <w:rPr>
                <w:color w:val="231F20"/>
                <w:w w:val="105"/>
                <w:sz w:val="16"/>
              </w:rPr>
              <w:t>Programa</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Protección</w:t>
            </w:r>
            <w:r>
              <w:rPr>
                <w:color w:val="231F20"/>
                <w:spacing w:val="-13"/>
                <w:w w:val="105"/>
                <w:sz w:val="16"/>
              </w:rPr>
              <w:t> </w:t>
            </w:r>
            <w:r>
              <w:rPr>
                <w:color w:val="231F20"/>
                <w:w w:val="105"/>
                <w:sz w:val="16"/>
              </w:rPr>
              <w:t>al</w:t>
            </w:r>
            <w:r>
              <w:rPr>
                <w:color w:val="231F20"/>
                <w:spacing w:val="-13"/>
                <w:w w:val="105"/>
                <w:sz w:val="16"/>
              </w:rPr>
              <w:t> </w:t>
            </w:r>
            <w:r>
              <w:rPr>
                <w:color w:val="231F20"/>
                <w:w w:val="105"/>
                <w:sz w:val="16"/>
              </w:rPr>
              <w:t>Ambiente</w:t>
            </w:r>
          </w:p>
          <w:p>
            <w:pPr>
              <w:pStyle w:val="TableParagraph"/>
              <w:numPr>
                <w:ilvl w:val="1"/>
                <w:numId w:val="35"/>
              </w:numPr>
              <w:tabs>
                <w:tab w:pos="434" w:val="left" w:leader="none"/>
              </w:tabs>
              <w:spacing w:line="192" w:lineRule="exact" w:before="0" w:after="0"/>
              <w:ind w:left="433" w:right="0" w:hanging="330"/>
              <w:jc w:val="left"/>
              <w:rPr>
                <w:sz w:val="16"/>
              </w:rPr>
            </w:pPr>
            <w:r>
              <w:rPr>
                <w:color w:val="231F20"/>
                <w:sz w:val="16"/>
              </w:rPr>
              <w:t>Programa  de  Desarrollo</w:t>
            </w:r>
            <w:r>
              <w:rPr>
                <w:color w:val="231F20"/>
                <w:spacing w:val="-12"/>
                <w:sz w:val="16"/>
              </w:rPr>
              <w:t> </w:t>
            </w:r>
            <w:r>
              <w:rPr>
                <w:color w:val="231F20"/>
                <w:sz w:val="16"/>
              </w:rPr>
              <w:t>Urbano</w:t>
            </w:r>
          </w:p>
          <w:p>
            <w:pPr>
              <w:pStyle w:val="TableParagraph"/>
              <w:numPr>
                <w:ilvl w:val="1"/>
                <w:numId w:val="35"/>
              </w:numPr>
              <w:tabs>
                <w:tab w:pos="439" w:val="left" w:leader="none"/>
              </w:tabs>
              <w:spacing w:line="194" w:lineRule="exact" w:before="0" w:after="0"/>
              <w:ind w:left="438" w:right="0" w:hanging="335"/>
              <w:jc w:val="left"/>
              <w:rPr>
                <w:sz w:val="16"/>
              </w:rPr>
            </w:pPr>
            <w:r>
              <w:rPr>
                <w:color w:val="231F20"/>
                <w:w w:val="105"/>
                <w:sz w:val="16"/>
              </w:rPr>
              <w:t>Programa</w:t>
            </w:r>
            <w:r>
              <w:rPr>
                <w:color w:val="231F20"/>
                <w:spacing w:val="-8"/>
                <w:w w:val="105"/>
                <w:sz w:val="16"/>
              </w:rPr>
              <w:t> </w:t>
            </w:r>
            <w:r>
              <w:rPr>
                <w:color w:val="231F20"/>
                <w:w w:val="105"/>
                <w:sz w:val="16"/>
              </w:rPr>
              <w:t>de</w:t>
            </w:r>
            <w:r>
              <w:rPr>
                <w:color w:val="231F20"/>
                <w:spacing w:val="-8"/>
                <w:w w:val="105"/>
                <w:sz w:val="16"/>
              </w:rPr>
              <w:t> </w:t>
            </w:r>
            <w:r>
              <w:rPr>
                <w:color w:val="231F20"/>
                <w:w w:val="105"/>
                <w:sz w:val="16"/>
              </w:rPr>
              <w:t>Agua</w:t>
            </w:r>
            <w:r>
              <w:rPr>
                <w:color w:val="231F20"/>
                <w:spacing w:val="-8"/>
                <w:w w:val="105"/>
                <w:sz w:val="16"/>
              </w:rPr>
              <w:t> </w:t>
            </w:r>
            <w:r>
              <w:rPr>
                <w:color w:val="231F20"/>
                <w:w w:val="105"/>
                <w:sz w:val="16"/>
              </w:rPr>
              <w:t>y</w:t>
            </w:r>
            <w:r>
              <w:rPr>
                <w:color w:val="231F20"/>
                <w:spacing w:val="-8"/>
                <w:w w:val="105"/>
                <w:sz w:val="16"/>
              </w:rPr>
              <w:t> </w:t>
            </w:r>
            <w:r>
              <w:rPr>
                <w:color w:val="231F20"/>
                <w:w w:val="105"/>
                <w:sz w:val="16"/>
              </w:rPr>
              <w:t>Saneamiento</w:t>
            </w:r>
          </w:p>
          <w:p>
            <w:pPr>
              <w:pStyle w:val="TableParagraph"/>
              <w:spacing w:before="4"/>
              <w:ind w:left="0"/>
              <w:rPr>
                <w:rFonts w:ascii="Times New Roman"/>
                <w:b/>
                <w:sz w:val="16"/>
              </w:rPr>
            </w:pPr>
          </w:p>
          <w:p>
            <w:pPr>
              <w:pStyle w:val="TableParagraph"/>
              <w:spacing w:line="194" w:lineRule="exact"/>
              <w:rPr>
                <w:sz w:val="16"/>
              </w:rPr>
            </w:pPr>
            <w:r>
              <w:rPr>
                <w:color w:val="231F20"/>
                <w:w w:val="105"/>
                <w:sz w:val="16"/>
              </w:rPr>
              <w:t>Pilar II. Seguridad Económica Municipal</w:t>
            </w:r>
          </w:p>
          <w:p>
            <w:pPr>
              <w:pStyle w:val="TableParagraph"/>
              <w:numPr>
                <w:ilvl w:val="1"/>
                <w:numId w:val="36"/>
              </w:numPr>
              <w:tabs>
                <w:tab w:pos="417" w:val="left" w:leader="none"/>
              </w:tabs>
              <w:spacing w:line="192" w:lineRule="exact" w:before="0" w:after="0"/>
              <w:ind w:left="416" w:right="0" w:hanging="313"/>
              <w:jc w:val="left"/>
              <w:rPr>
                <w:sz w:val="16"/>
              </w:rPr>
            </w:pPr>
            <w:r>
              <w:rPr>
                <w:color w:val="231F20"/>
                <w:w w:val="105"/>
                <w:sz w:val="16"/>
              </w:rPr>
              <w:t>Programa de</w:t>
            </w:r>
            <w:r>
              <w:rPr>
                <w:color w:val="231F20"/>
                <w:spacing w:val="-20"/>
                <w:w w:val="105"/>
                <w:sz w:val="16"/>
              </w:rPr>
              <w:t> </w:t>
            </w:r>
            <w:r>
              <w:rPr>
                <w:color w:val="231F20"/>
                <w:w w:val="105"/>
                <w:sz w:val="16"/>
              </w:rPr>
              <w:t>Empleo</w:t>
            </w:r>
          </w:p>
          <w:p>
            <w:pPr>
              <w:pStyle w:val="TableParagraph"/>
              <w:numPr>
                <w:ilvl w:val="1"/>
                <w:numId w:val="36"/>
              </w:numPr>
              <w:tabs>
                <w:tab w:pos="438" w:val="left" w:leader="none"/>
              </w:tabs>
              <w:spacing w:line="192" w:lineRule="exact" w:before="0" w:after="0"/>
              <w:ind w:left="437" w:right="0" w:hanging="334"/>
              <w:jc w:val="left"/>
              <w:rPr>
                <w:sz w:val="16"/>
              </w:rPr>
            </w:pPr>
            <w:r>
              <w:rPr>
                <w:color w:val="231F20"/>
                <w:w w:val="105"/>
                <w:sz w:val="16"/>
              </w:rPr>
              <w:t>Programa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Desarrollo</w:t>
            </w:r>
            <w:r>
              <w:rPr>
                <w:color w:val="231F20"/>
                <w:spacing w:val="-11"/>
                <w:w w:val="105"/>
                <w:sz w:val="16"/>
              </w:rPr>
              <w:t> </w:t>
            </w:r>
            <w:r>
              <w:rPr>
                <w:color w:val="231F20"/>
                <w:w w:val="105"/>
                <w:sz w:val="16"/>
              </w:rPr>
              <w:t>Agrícola</w:t>
            </w:r>
          </w:p>
          <w:p>
            <w:pPr>
              <w:pStyle w:val="TableParagraph"/>
              <w:numPr>
                <w:ilvl w:val="1"/>
                <w:numId w:val="36"/>
              </w:numPr>
              <w:tabs>
                <w:tab w:pos="430" w:val="left" w:leader="none"/>
              </w:tabs>
              <w:spacing w:line="192" w:lineRule="exact" w:before="0" w:after="0"/>
              <w:ind w:left="429" w:right="0" w:hanging="326"/>
              <w:jc w:val="left"/>
              <w:rPr>
                <w:sz w:val="16"/>
              </w:rPr>
            </w:pPr>
            <w:r>
              <w:rPr>
                <w:color w:val="231F20"/>
                <w:w w:val="105"/>
                <w:sz w:val="16"/>
              </w:rPr>
              <w:t>Programa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Fomento</w:t>
            </w:r>
            <w:r>
              <w:rPr>
                <w:color w:val="231F20"/>
                <w:spacing w:val="-14"/>
                <w:w w:val="105"/>
                <w:sz w:val="16"/>
              </w:rPr>
              <w:t> </w:t>
            </w:r>
            <w:r>
              <w:rPr>
                <w:color w:val="231F20"/>
                <w:w w:val="105"/>
                <w:sz w:val="16"/>
              </w:rPr>
              <w:t>Pecuario</w:t>
            </w:r>
          </w:p>
          <w:p>
            <w:pPr>
              <w:pStyle w:val="TableParagraph"/>
              <w:numPr>
                <w:ilvl w:val="1"/>
                <w:numId w:val="36"/>
              </w:numPr>
              <w:tabs>
                <w:tab w:pos="455" w:val="left" w:leader="none"/>
              </w:tabs>
              <w:spacing w:line="192" w:lineRule="exact" w:before="0" w:after="0"/>
              <w:ind w:left="454" w:right="0" w:hanging="351"/>
              <w:jc w:val="left"/>
              <w:rPr>
                <w:sz w:val="16"/>
              </w:rPr>
            </w:pPr>
            <w:r>
              <w:rPr>
                <w:color w:val="231F20"/>
                <w:sz w:val="16"/>
              </w:rPr>
              <w:t>Programa  de  Desarrollo</w:t>
            </w:r>
            <w:r>
              <w:rPr>
                <w:color w:val="231F20"/>
                <w:spacing w:val="-16"/>
                <w:sz w:val="16"/>
              </w:rPr>
              <w:t> </w:t>
            </w:r>
            <w:r>
              <w:rPr>
                <w:color w:val="231F20"/>
                <w:sz w:val="16"/>
              </w:rPr>
              <w:t>Forestal</w:t>
            </w:r>
          </w:p>
          <w:p>
            <w:pPr>
              <w:pStyle w:val="TableParagraph"/>
              <w:numPr>
                <w:ilvl w:val="1"/>
                <w:numId w:val="36"/>
              </w:numPr>
              <w:tabs>
                <w:tab w:pos="443" w:val="left" w:leader="none"/>
              </w:tabs>
              <w:spacing w:line="192" w:lineRule="exact" w:before="0" w:after="0"/>
              <w:ind w:left="442" w:right="0" w:hanging="339"/>
              <w:jc w:val="left"/>
              <w:rPr>
                <w:sz w:val="16"/>
              </w:rPr>
            </w:pPr>
            <w:r>
              <w:rPr>
                <w:color w:val="231F20"/>
                <w:w w:val="105"/>
                <w:sz w:val="16"/>
              </w:rPr>
              <w:t>Programa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Promoción</w:t>
            </w:r>
            <w:r>
              <w:rPr>
                <w:color w:val="231F20"/>
                <w:spacing w:val="-14"/>
                <w:w w:val="105"/>
                <w:sz w:val="16"/>
              </w:rPr>
              <w:t> </w:t>
            </w:r>
            <w:r>
              <w:rPr>
                <w:color w:val="231F20"/>
                <w:w w:val="105"/>
                <w:sz w:val="16"/>
              </w:rPr>
              <w:t>Industrial</w:t>
            </w:r>
          </w:p>
          <w:p>
            <w:pPr>
              <w:pStyle w:val="TableParagraph"/>
              <w:numPr>
                <w:ilvl w:val="1"/>
                <w:numId w:val="36"/>
              </w:numPr>
              <w:tabs>
                <w:tab w:pos="458" w:val="left" w:leader="none"/>
              </w:tabs>
              <w:spacing w:line="192" w:lineRule="exact" w:before="0" w:after="0"/>
              <w:ind w:left="457" w:right="0" w:hanging="354"/>
              <w:jc w:val="left"/>
              <w:rPr>
                <w:sz w:val="16"/>
              </w:rPr>
            </w:pPr>
            <w:r>
              <w:rPr>
                <w:color w:val="231F20"/>
                <w:w w:val="105"/>
                <w:sz w:val="16"/>
              </w:rPr>
              <w:t>Programa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Promoción</w:t>
            </w:r>
            <w:r>
              <w:rPr>
                <w:color w:val="231F20"/>
                <w:spacing w:val="-14"/>
                <w:w w:val="105"/>
                <w:sz w:val="16"/>
              </w:rPr>
              <w:t> </w:t>
            </w:r>
            <w:r>
              <w:rPr>
                <w:color w:val="231F20"/>
                <w:w w:val="105"/>
                <w:sz w:val="16"/>
              </w:rPr>
              <w:t>Artesanal</w:t>
            </w:r>
          </w:p>
          <w:p>
            <w:pPr>
              <w:pStyle w:val="TableParagraph"/>
              <w:numPr>
                <w:ilvl w:val="1"/>
                <w:numId w:val="36"/>
              </w:numPr>
              <w:tabs>
                <w:tab w:pos="456" w:val="left" w:leader="none"/>
              </w:tabs>
              <w:spacing w:line="192" w:lineRule="exact" w:before="0" w:after="0"/>
              <w:ind w:left="455" w:right="0" w:hanging="352"/>
              <w:jc w:val="left"/>
              <w:rPr>
                <w:sz w:val="16"/>
              </w:rPr>
            </w:pPr>
            <w:r>
              <w:rPr>
                <w:color w:val="231F20"/>
                <w:w w:val="105"/>
                <w:sz w:val="16"/>
              </w:rPr>
              <w:t>Programa</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Modernización</w:t>
            </w:r>
            <w:r>
              <w:rPr>
                <w:color w:val="231F20"/>
                <w:spacing w:val="-15"/>
                <w:w w:val="105"/>
                <w:sz w:val="16"/>
              </w:rPr>
              <w:t> </w:t>
            </w:r>
            <w:r>
              <w:rPr>
                <w:color w:val="231F20"/>
                <w:w w:val="105"/>
                <w:sz w:val="16"/>
              </w:rPr>
              <w:t>Comercial</w:t>
            </w:r>
          </w:p>
          <w:p>
            <w:pPr>
              <w:pStyle w:val="TableParagraph"/>
              <w:numPr>
                <w:ilvl w:val="1"/>
                <w:numId w:val="36"/>
              </w:numPr>
              <w:tabs>
                <w:tab w:pos="453" w:val="left" w:leader="none"/>
              </w:tabs>
              <w:spacing w:line="194" w:lineRule="exact" w:before="0" w:after="0"/>
              <w:ind w:left="452" w:right="0" w:hanging="349"/>
              <w:jc w:val="left"/>
              <w:rPr>
                <w:sz w:val="16"/>
              </w:rPr>
            </w:pPr>
            <w:r>
              <w:rPr>
                <w:color w:val="231F20"/>
                <w:w w:val="105"/>
                <w:sz w:val="16"/>
              </w:rPr>
              <w:t>Programa</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Fomento</w:t>
            </w:r>
            <w:r>
              <w:rPr>
                <w:color w:val="231F20"/>
                <w:spacing w:val="-17"/>
                <w:w w:val="105"/>
                <w:sz w:val="16"/>
              </w:rPr>
              <w:t> </w:t>
            </w:r>
            <w:r>
              <w:rPr>
                <w:color w:val="231F20"/>
                <w:w w:val="105"/>
                <w:sz w:val="16"/>
              </w:rPr>
              <w:t>Turístico</w:t>
            </w:r>
          </w:p>
          <w:p>
            <w:pPr>
              <w:pStyle w:val="TableParagraph"/>
              <w:spacing w:before="4"/>
              <w:ind w:left="0"/>
              <w:rPr>
                <w:rFonts w:ascii="Times New Roman"/>
                <w:b/>
                <w:sz w:val="16"/>
              </w:rPr>
            </w:pPr>
          </w:p>
          <w:p>
            <w:pPr>
              <w:pStyle w:val="TableParagraph"/>
              <w:spacing w:line="194" w:lineRule="exact"/>
              <w:rPr>
                <w:sz w:val="16"/>
              </w:rPr>
            </w:pPr>
            <w:r>
              <w:rPr>
                <w:color w:val="231F20"/>
                <w:w w:val="105"/>
                <w:sz w:val="16"/>
              </w:rPr>
              <w:t>Pilar III. Seguridad Pública Municipal</w:t>
            </w:r>
          </w:p>
          <w:p>
            <w:pPr>
              <w:pStyle w:val="TableParagraph"/>
              <w:numPr>
                <w:ilvl w:val="1"/>
                <w:numId w:val="37"/>
              </w:numPr>
              <w:tabs>
                <w:tab w:pos="456" w:val="left" w:leader="none"/>
              </w:tabs>
              <w:spacing w:line="192" w:lineRule="exact" w:before="0" w:after="0"/>
              <w:ind w:left="103" w:right="0" w:firstLine="0"/>
              <w:jc w:val="left"/>
              <w:rPr>
                <w:sz w:val="16"/>
              </w:rPr>
            </w:pPr>
            <w:r>
              <w:rPr>
                <w:color w:val="231F20"/>
                <w:w w:val="105"/>
                <w:sz w:val="16"/>
              </w:rPr>
              <w:t>Programa</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Seguridad</w:t>
            </w:r>
            <w:r>
              <w:rPr>
                <w:color w:val="231F20"/>
                <w:spacing w:val="-10"/>
                <w:w w:val="105"/>
                <w:sz w:val="16"/>
              </w:rPr>
              <w:t> </w:t>
            </w:r>
            <w:r>
              <w:rPr>
                <w:color w:val="231F20"/>
                <w:w w:val="105"/>
                <w:sz w:val="16"/>
              </w:rPr>
              <w:t>Pública</w:t>
            </w:r>
            <w:r>
              <w:rPr>
                <w:color w:val="231F20"/>
                <w:spacing w:val="-10"/>
                <w:w w:val="105"/>
                <w:sz w:val="16"/>
              </w:rPr>
              <w:t> </w:t>
            </w:r>
            <w:r>
              <w:rPr>
                <w:color w:val="231F20"/>
                <w:w w:val="105"/>
                <w:sz w:val="16"/>
              </w:rPr>
              <w:t>y</w:t>
            </w:r>
            <w:r>
              <w:rPr>
                <w:color w:val="231F20"/>
                <w:spacing w:val="-10"/>
                <w:w w:val="105"/>
                <w:sz w:val="16"/>
              </w:rPr>
              <w:t> </w:t>
            </w:r>
            <w:r>
              <w:rPr>
                <w:color w:val="231F20"/>
                <w:w w:val="105"/>
                <w:sz w:val="16"/>
              </w:rPr>
              <w:t>Tránsito</w:t>
            </w:r>
          </w:p>
          <w:p>
            <w:pPr>
              <w:pStyle w:val="TableParagraph"/>
              <w:numPr>
                <w:ilvl w:val="1"/>
                <w:numId w:val="37"/>
              </w:numPr>
              <w:tabs>
                <w:tab w:pos="456" w:val="left" w:leader="none"/>
              </w:tabs>
              <w:spacing w:line="235" w:lineRule="auto" w:before="1" w:after="0"/>
              <w:ind w:left="103" w:right="254" w:firstLine="0"/>
              <w:jc w:val="left"/>
              <w:rPr>
                <w:sz w:val="16"/>
              </w:rPr>
            </w:pPr>
            <w:r>
              <w:rPr>
                <w:color w:val="231F20"/>
                <w:w w:val="105"/>
                <w:sz w:val="16"/>
              </w:rPr>
              <w:t>Programa</w:t>
            </w:r>
            <w:r>
              <w:rPr>
                <w:color w:val="231F20"/>
                <w:spacing w:val="-9"/>
                <w:w w:val="105"/>
                <w:sz w:val="16"/>
              </w:rPr>
              <w:t> </w:t>
            </w:r>
            <w:r>
              <w:rPr>
                <w:color w:val="231F20"/>
                <w:w w:val="105"/>
                <w:sz w:val="16"/>
              </w:rPr>
              <w:t>de</w:t>
            </w:r>
            <w:r>
              <w:rPr>
                <w:color w:val="231F20"/>
                <w:spacing w:val="-9"/>
                <w:w w:val="105"/>
                <w:sz w:val="16"/>
              </w:rPr>
              <w:t> </w:t>
            </w:r>
            <w:r>
              <w:rPr>
                <w:color w:val="231F20"/>
                <w:w w:val="105"/>
                <w:sz w:val="16"/>
              </w:rPr>
              <w:t>Modernización</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las</w:t>
            </w:r>
            <w:r>
              <w:rPr>
                <w:color w:val="231F20"/>
                <w:spacing w:val="-9"/>
                <w:w w:val="105"/>
                <w:sz w:val="16"/>
              </w:rPr>
              <w:t> </w:t>
            </w:r>
            <w:r>
              <w:rPr>
                <w:color w:val="231F20"/>
                <w:w w:val="105"/>
                <w:sz w:val="16"/>
              </w:rPr>
              <w:t>Comunicacio- nes</w:t>
            </w:r>
            <w:r>
              <w:rPr>
                <w:color w:val="231F20"/>
                <w:spacing w:val="-16"/>
                <w:w w:val="105"/>
                <w:sz w:val="16"/>
              </w:rPr>
              <w:t> </w:t>
            </w:r>
            <w:r>
              <w:rPr>
                <w:color w:val="231F20"/>
                <w:w w:val="105"/>
                <w:sz w:val="16"/>
              </w:rPr>
              <w:t>y</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Transporte</w:t>
            </w:r>
          </w:p>
          <w:p>
            <w:pPr>
              <w:pStyle w:val="TableParagraph"/>
              <w:numPr>
                <w:ilvl w:val="1"/>
                <w:numId w:val="37"/>
              </w:numPr>
              <w:tabs>
                <w:tab w:pos="439" w:val="left" w:leader="none"/>
              </w:tabs>
              <w:spacing w:line="193" w:lineRule="exact" w:before="0" w:after="0"/>
              <w:ind w:left="438" w:right="0" w:hanging="335"/>
              <w:jc w:val="left"/>
              <w:rPr>
                <w:sz w:val="16"/>
              </w:rPr>
            </w:pPr>
            <w:r>
              <w:rPr>
                <w:color w:val="231F20"/>
                <w:w w:val="105"/>
                <w:sz w:val="16"/>
              </w:rPr>
              <w:t>Programa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Protección</w:t>
            </w:r>
            <w:r>
              <w:rPr>
                <w:color w:val="231F20"/>
                <w:spacing w:val="-11"/>
                <w:w w:val="105"/>
                <w:sz w:val="16"/>
              </w:rPr>
              <w:t> </w:t>
            </w:r>
            <w:r>
              <w:rPr>
                <w:color w:val="231F20"/>
                <w:w w:val="105"/>
                <w:sz w:val="16"/>
              </w:rPr>
              <w:t>Civil</w:t>
            </w:r>
          </w:p>
        </w:tc>
        <w:tc>
          <w:tcPr>
            <w:tcW w:w="3902" w:type="dxa"/>
          </w:tcPr>
          <w:p>
            <w:pPr>
              <w:pStyle w:val="TableParagraph"/>
              <w:numPr>
                <w:ilvl w:val="0"/>
                <w:numId w:val="38"/>
              </w:numPr>
              <w:tabs>
                <w:tab w:pos="247" w:val="left" w:leader="none"/>
              </w:tabs>
              <w:spacing w:line="147" w:lineRule="exact" w:before="0" w:after="0"/>
              <w:ind w:left="246" w:right="0" w:hanging="143"/>
              <w:jc w:val="left"/>
              <w:rPr>
                <w:sz w:val="16"/>
              </w:rPr>
            </w:pPr>
            <w:r>
              <w:rPr>
                <w:color w:val="231F20"/>
                <w:w w:val="105"/>
                <w:sz w:val="16"/>
              </w:rPr>
              <w:t>Cimientos</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w:t>
            </w:r>
            <w:r>
              <w:rPr>
                <w:color w:val="231F20"/>
                <w:spacing w:val="-8"/>
                <w:w w:val="105"/>
                <w:sz w:val="16"/>
              </w:rPr>
              <w:t> </w:t>
            </w:r>
            <w:r>
              <w:rPr>
                <w:color w:val="231F20"/>
                <w:w w:val="105"/>
                <w:sz w:val="16"/>
              </w:rPr>
              <w:t>Seguridad</w:t>
            </w:r>
            <w:r>
              <w:rPr>
                <w:color w:val="231F20"/>
                <w:spacing w:val="-8"/>
                <w:w w:val="105"/>
                <w:sz w:val="16"/>
              </w:rPr>
              <w:t> </w:t>
            </w:r>
            <w:r>
              <w:rPr>
                <w:color w:val="231F20"/>
                <w:w w:val="105"/>
                <w:sz w:val="16"/>
              </w:rPr>
              <w:t>Integral</w:t>
            </w:r>
            <w:r>
              <w:rPr>
                <w:color w:val="231F20"/>
                <w:spacing w:val="-8"/>
                <w:w w:val="105"/>
                <w:sz w:val="16"/>
              </w:rPr>
              <w:t> </w:t>
            </w:r>
            <w:r>
              <w:rPr>
                <w:color w:val="231F20"/>
                <w:w w:val="105"/>
                <w:sz w:val="16"/>
              </w:rPr>
              <w:t>Municipal</w:t>
            </w:r>
          </w:p>
          <w:p>
            <w:pPr>
              <w:pStyle w:val="TableParagraph"/>
              <w:numPr>
                <w:ilvl w:val="1"/>
                <w:numId w:val="38"/>
              </w:numPr>
              <w:tabs>
                <w:tab w:pos="347" w:val="left" w:leader="none"/>
              </w:tabs>
              <w:spacing w:line="192" w:lineRule="exact" w:before="0" w:after="0"/>
              <w:ind w:left="103" w:right="0" w:firstLine="0"/>
              <w:jc w:val="left"/>
              <w:rPr>
                <w:sz w:val="16"/>
              </w:rPr>
            </w:pPr>
            <w:r>
              <w:rPr>
                <w:color w:val="231F20"/>
                <w:w w:val="105"/>
                <w:sz w:val="16"/>
              </w:rPr>
              <w:t>Reglamentación</w:t>
            </w:r>
            <w:r>
              <w:rPr>
                <w:color w:val="231F20"/>
                <w:spacing w:val="-19"/>
                <w:w w:val="105"/>
                <w:sz w:val="16"/>
              </w:rPr>
              <w:t> </w:t>
            </w:r>
            <w:r>
              <w:rPr>
                <w:color w:val="231F20"/>
                <w:w w:val="105"/>
                <w:sz w:val="16"/>
              </w:rPr>
              <w:t>Municipal</w:t>
            </w:r>
          </w:p>
          <w:p>
            <w:pPr>
              <w:pStyle w:val="TableParagraph"/>
              <w:numPr>
                <w:ilvl w:val="1"/>
                <w:numId w:val="38"/>
              </w:numPr>
              <w:tabs>
                <w:tab w:pos="369" w:val="left" w:leader="none"/>
              </w:tabs>
              <w:spacing w:line="192" w:lineRule="exact" w:before="0" w:after="0"/>
              <w:ind w:left="368" w:right="0" w:hanging="265"/>
              <w:jc w:val="left"/>
              <w:rPr>
                <w:sz w:val="16"/>
              </w:rPr>
            </w:pPr>
            <w:r>
              <w:rPr>
                <w:color w:val="231F20"/>
                <w:w w:val="105"/>
                <w:sz w:val="16"/>
              </w:rPr>
              <w:t>Impartición</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Justicia</w:t>
            </w:r>
            <w:r>
              <w:rPr>
                <w:color w:val="231F20"/>
                <w:spacing w:val="-12"/>
                <w:w w:val="105"/>
                <w:sz w:val="16"/>
              </w:rPr>
              <w:t> </w:t>
            </w:r>
            <w:r>
              <w:rPr>
                <w:color w:val="231F20"/>
                <w:w w:val="105"/>
                <w:sz w:val="16"/>
              </w:rPr>
              <w:t>Municipal</w:t>
            </w:r>
          </w:p>
          <w:p>
            <w:pPr>
              <w:pStyle w:val="TableParagraph"/>
              <w:numPr>
                <w:ilvl w:val="1"/>
                <w:numId w:val="38"/>
              </w:numPr>
              <w:tabs>
                <w:tab w:pos="367" w:val="left" w:leader="none"/>
              </w:tabs>
              <w:spacing w:line="192" w:lineRule="exact" w:before="0" w:after="0"/>
              <w:ind w:left="367" w:right="0" w:hanging="264"/>
              <w:jc w:val="left"/>
              <w:rPr>
                <w:sz w:val="16"/>
              </w:rPr>
            </w:pPr>
            <w:r>
              <w:rPr>
                <w:color w:val="231F20"/>
                <w:w w:val="105"/>
                <w:sz w:val="16"/>
              </w:rPr>
              <w:t>Planeación</w:t>
            </w:r>
            <w:r>
              <w:rPr>
                <w:color w:val="231F20"/>
                <w:spacing w:val="-10"/>
                <w:w w:val="105"/>
                <w:sz w:val="16"/>
              </w:rPr>
              <w:t> </w:t>
            </w:r>
            <w:r>
              <w:rPr>
                <w:color w:val="231F20"/>
                <w:w w:val="105"/>
                <w:sz w:val="16"/>
              </w:rPr>
              <w:t>y</w:t>
            </w:r>
            <w:r>
              <w:rPr>
                <w:color w:val="231F20"/>
                <w:spacing w:val="-10"/>
                <w:w w:val="105"/>
                <w:sz w:val="16"/>
              </w:rPr>
              <w:t> </w:t>
            </w:r>
            <w:r>
              <w:rPr>
                <w:color w:val="231F20"/>
                <w:w w:val="105"/>
                <w:sz w:val="16"/>
              </w:rPr>
              <w:t>Conducción</w:t>
            </w:r>
            <w:r>
              <w:rPr>
                <w:color w:val="231F20"/>
                <w:spacing w:val="-10"/>
                <w:w w:val="105"/>
                <w:sz w:val="16"/>
              </w:rPr>
              <w:t> </w:t>
            </w:r>
            <w:r>
              <w:rPr>
                <w:color w:val="231F20"/>
                <w:w w:val="105"/>
                <w:sz w:val="16"/>
              </w:rPr>
              <w:t>del</w:t>
            </w:r>
            <w:r>
              <w:rPr>
                <w:color w:val="231F20"/>
                <w:spacing w:val="-10"/>
                <w:w w:val="105"/>
                <w:sz w:val="16"/>
              </w:rPr>
              <w:t> </w:t>
            </w:r>
            <w:r>
              <w:rPr>
                <w:color w:val="231F20"/>
                <w:w w:val="105"/>
                <w:sz w:val="16"/>
              </w:rPr>
              <w:t>Desarrollo</w:t>
            </w:r>
            <w:r>
              <w:rPr>
                <w:color w:val="231F20"/>
                <w:spacing w:val="-10"/>
                <w:w w:val="105"/>
                <w:sz w:val="16"/>
              </w:rPr>
              <w:t> </w:t>
            </w:r>
            <w:r>
              <w:rPr>
                <w:color w:val="231F20"/>
                <w:w w:val="105"/>
                <w:sz w:val="16"/>
              </w:rPr>
              <w:t>Municipal</w:t>
            </w:r>
          </w:p>
          <w:p>
            <w:pPr>
              <w:pStyle w:val="TableParagraph"/>
              <w:numPr>
                <w:ilvl w:val="1"/>
                <w:numId w:val="38"/>
              </w:numPr>
              <w:tabs>
                <w:tab w:pos="364" w:val="left" w:leader="none"/>
              </w:tabs>
              <w:spacing w:line="192" w:lineRule="exact" w:before="0" w:after="0"/>
              <w:ind w:left="363" w:right="0" w:hanging="260"/>
              <w:jc w:val="left"/>
              <w:rPr>
                <w:sz w:val="16"/>
              </w:rPr>
            </w:pPr>
            <w:r>
              <w:rPr>
                <w:color w:val="231F20"/>
                <w:w w:val="105"/>
                <w:sz w:val="16"/>
              </w:rPr>
              <w:t>Desarrollo</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Función</w:t>
            </w:r>
            <w:r>
              <w:rPr>
                <w:color w:val="231F20"/>
                <w:spacing w:val="-10"/>
                <w:w w:val="105"/>
                <w:sz w:val="16"/>
              </w:rPr>
              <w:t> </w:t>
            </w:r>
            <w:r>
              <w:rPr>
                <w:color w:val="231F20"/>
                <w:w w:val="105"/>
                <w:sz w:val="16"/>
              </w:rPr>
              <w:t>Pública</w:t>
            </w:r>
            <w:r>
              <w:rPr>
                <w:color w:val="231F20"/>
                <w:spacing w:val="-10"/>
                <w:w w:val="105"/>
                <w:sz w:val="16"/>
              </w:rPr>
              <w:t> </w:t>
            </w:r>
            <w:r>
              <w:rPr>
                <w:color w:val="231F20"/>
                <w:w w:val="105"/>
                <w:sz w:val="16"/>
              </w:rPr>
              <w:t>Municipal</w:t>
            </w:r>
          </w:p>
          <w:p>
            <w:pPr>
              <w:pStyle w:val="TableParagraph"/>
              <w:numPr>
                <w:ilvl w:val="1"/>
                <w:numId w:val="38"/>
              </w:numPr>
              <w:tabs>
                <w:tab w:pos="366" w:val="left" w:leader="none"/>
              </w:tabs>
              <w:spacing w:line="235" w:lineRule="auto" w:before="1" w:after="0"/>
              <w:ind w:left="103" w:right="310" w:firstLine="0"/>
              <w:jc w:val="left"/>
              <w:rPr>
                <w:sz w:val="16"/>
              </w:rPr>
            </w:pPr>
            <w:r>
              <w:rPr>
                <w:color w:val="231F20"/>
                <w:w w:val="105"/>
                <w:sz w:val="16"/>
              </w:rPr>
              <w:t>Fiscalización,</w:t>
            </w:r>
            <w:r>
              <w:rPr>
                <w:color w:val="231F20"/>
                <w:spacing w:val="-9"/>
                <w:w w:val="105"/>
                <w:sz w:val="16"/>
              </w:rPr>
              <w:t> </w:t>
            </w:r>
            <w:r>
              <w:rPr>
                <w:color w:val="231F20"/>
                <w:w w:val="105"/>
                <w:sz w:val="16"/>
              </w:rPr>
              <w:t>Control</w:t>
            </w:r>
            <w:r>
              <w:rPr>
                <w:color w:val="231F20"/>
                <w:spacing w:val="-9"/>
                <w:w w:val="105"/>
                <w:sz w:val="16"/>
              </w:rPr>
              <w:t> </w:t>
            </w:r>
            <w:r>
              <w:rPr>
                <w:color w:val="231F20"/>
                <w:w w:val="105"/>
                <w:sz w:val="16"/>
              </w:rPr>
              <w:t>y</w:t>
            </w:r>
            <w:r>
              <w:rPr>
                <w:color w:val="231F20"/>
                <w:spacing w:val="-9"/>
                <w:w w:val="105"/>
                <w:sz w:val="16"/>
              </w:rPr>
              <w:t> </w:t>
            </w:r>
            <w:r>
              <w:rPr>
                <w:color w:val="231F20"/>
                <w:w w:val="105"/>
                <w:sz w:val="16"/>
              </w:rPr>
              <w:t>Evaluación</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Gestión Municipal</w:t>
            </w:r>
          </w:p>
          <w:p>
            <w:pPr>
              <w:pStyle w:val="TableParagraph"/>
              <w:numPr>
                <w:ilvl w:val="1"/>
                <w:numId w:val="38"/>
              </w:numPr>
              <w:tabs>
                <w:tab w:pos="366" w:val="left" w:leader="none"/>
              </w:tabs>
              <w:spacing w:line="193" w:lineRule="exact" w:before="0" w:after="0"/>
              <w:ind w:left="365" w:right="0" w:hanging="262"/>
              <w:jc w:val="left"/>
              <w:rPr>
                <w:sz w:val="16"/>
              </w:rPr>
            </w:pPr>
            <w:r>
              <w:rPr>
                <w:color w:val="231F20"/>
                <w:w w:val="105"/>
                <w:sz w:val="16"/>
              </w:rPr>
              <w:t>Fortalecimiento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Hacienda</w:t>
            </w:r>
            <w:r>
              <w:rPr>
                <w:color w:val="231F20"/>
                <w:spacing w:val="-11"/>
                <w:w w:val="105"/>
                <w:sz w:val="16"/>
              </w:rPr>
              <w:t> </w:t>
            </w:r>
            <w:r>
              <w:rPr>
                <w:color w:val="231F20"/>
                <w:w w:val="105"/>
                <w:sz w:val="16"/>
              </w:rPr>
              <w:t>Pública</w:t>
            </w:r>
            <w:r>
              <w:rPr>
                <w:color w:val="231F20"/>
                <w:spacing w:val="-11"/>
                <w:w w:val="105"/>
                <w:sz w:val="16"/>
              </w:rPr>
              <w:t> </w:t>
            </w:r>
            <w:r>
              <w:rPr>
                <w:color w:val="231F20"/>
                <w:w w:val="105"/>
                <w:sz w:val="16"/>
              </w:rPr>
              <w:t>Municipal</w:t>
            </w: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0"/>
              <w:ind w:left="0"/>
              <w:rPr>
                <w:rFonts w:ascii="Times New Roman"/>
                <w:b/>
                <w:sz w:val="19"/>
              </w:rPr>
            </w:pPr>
          </w:p>
          <w:p>
            <w:pPr>
              <w:pStyle w:val="TableParagraph"/>
              <w:numPr>
                <w:ilvl w:val="0"/>
                <w:numId w:val="39"/>
              </w:numPr>
              <w:tabs>
                <w:tab w:pos="255" w:val="left" w:leader="none"/>
              </w:tabs>
              <w:spacing w:line="194" w:lineRule="exact" w:before="0" w:after="0"/>
              <w:ind w:left="254" w:right="0" w:hanging="151"/>
              <w:jc w:val="left"/>
              <w:rPr>
                <w:sz w:val="16"/>
              </w:rPr>
            </w:pPr>
            <w:r>
              <w:rPr>
                <w:color w:val="231F20"/>
                <w:w w:val="105"/>
                <w:sz w:val="16"/>
              </w:rPr>
              <w:t>Seguridad Social</w:t>
            </w:r>
            <w:r>
              <w:rPr>
                <w:color w:val="231F20"/>
                <w:spacing w:val="-11"/>
                <w:w w:val="105"/>
                <w:sz w:val="16"/>
              </w:rPr>
              <w:t> </w:t>
            </w:r>
            <w:r>
              <w:rPr>
                <w:color w:val="231F20"/>
                <w:w w:val="105"/>
                <w:sz w:val="16"/>
              </w:rPr>
              <w:t>Municipal</w:t>
            </w:r>
          </w:p>
          <w:p>
            <w:pPr>
              <w:pStyle w:val="TableParagraph"/>
              <w:numPr>
                <w:ilvl w:val="1"/>
                <w:numId w:val="39"/>
              </w:numPr>
              <w:tabs>
                <w:tab w:pos="355" w:val="left" w:leader="none"/>
              </w:tabs>
              <w:spacing w:line="192" w:lineRule="exact" w:before="0" w:after="0"/>
              <w:ind w:left="355" w:right="0" w:hanging="252"/>
              <w:jc w:val="left"/>
              <w:rPr>
                <w:sz w:val="16"/>
              </w:rPr>
            </w:pPr>
            <w:r>
              <w:rPr>
                <w:color w:val="231F20"/>
                <w:w w:val="105"/>
                <w:sz w:val="16"/>
              </w:rPr>
              <w:t>Desarrollo</w:t>
            </w:r>
            <w:r>
              <w:rPr>
                <w:color w:val="231F20"/>
                <w:spacing w:val="-12"/>
                <w:w w:val="105"/>
                <w:sz w:val="16"/>
              </w:rPr>
              <w:t> </w:t>
            </w:r>
            <w:r>
              <w:rPr>
                <w:color w:val="231F20"/>
                <w:w w:val="105"/>
                <w:sz w:val="16"/>
              </w:rPr>
              <w:t>Integral</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Familia</w:t>
            </w:r>
            <w:r>
              <w:rPr>
                <w:color w:val="231F20"/>
                <w:spacing w:val="-12"/>
                <w:w w:val="105"/>
                <w:sz w:val="16"/>
              </w:rPr>
              <w:t> </w:t>
            </w:r>
            <w:r>
              <w:rPr>
                <w:color w:val="231F20"/>
                <w:w w:val="105"/>
                <w:sz w:val="16"/>
              </w:rPr>
              <w:t>y</w:t>
            </w:r>
            <w:r>
              <w:rPr>
                <w:color w:val="231F20"/>
                <w:spacing w:val="-12"/>
                <w:w w:val="105"/>
                <w:sz w:val="16"/>
              </w:rPr>
              <w:t> </w:t>
            </w:r>
            <w:r>
              <w:rPr>
                <w:color w:val="231F20"/>
                <w:w w:val="105"/>
                <w:sz w:val="16"/>
              </w:rPr>
              <w:t>Asistencia</w:t>
            </w:r>
            <w:r>
              <w:rPr>
                <w:color w:val="231F20"/>
                <w:spacing w:val="-12"/>
                <w:w w:val="105"/>
                <w:sz w:val="16"/>
              </w:rPr>
              <w:t> </w:t>
            </w:r>
            <w:r>
              <w:rPr>
                <w:color w:val="231F20"/>
                <w:w w:val="105"/>
                <w:sz w:val="16"/>
              </w:rPr>
              <w:t>Social</w:t>
            </w:r>
          </w:p>
          <w:p>
            <w:pPr>
              <w:pStyle w:val="TableParagraph"/>
              <w:numPr>
                <w:ilvl w:val="1"/>
                <w:numId w:val="39"/>
              </w:numPr>
              <w:tabs>
                <w:tab w:pos="377" w:val="left" w:leader="none"/>
              </w:tabs>
              <w:spacing w:line="192" w:lineRule="exact" w:before="0" w:after="0"/>
              <w:ind w:left="376" w:right="0" w:hanging="273"/>
              <w:jc w:val="left"/>
              <w:rPr>
                <w:sz w:val="16"/>
              </w:rPr>
            </w:pPr>
            <w:r>
              <w:rPr>
                <w:color w:val="231F20"/>
                <w:w w:val="105"/>
                <w:sz w:val="16"/>
              </w:rPr>
              <w:t>Salud</w:t>
            </w:r>
          </w:p>
          <w:p>
            <w:pPr>
              <w:pStyle w:val="TableParagraph"/>
              <w:numPr>
                <w:ilvl w:val="1"/>
                <w:numId w:val="39"/>
              </w:numPr>
              <w:tabs>
                <w:tab w:pos="375" w:val="left" w:leader="none"/>
              </w:tabs>
              <w:spacing w:line="192" w:lineRule="exact" w:before="0" w:after="0"/>
              <w:ind w:left="375" w:right="0" w:hanging="272"/>
              <w:jc w:val="left"/>
              <w:rPr>
                <w:sz w:val="16"/>
              </w:rPr>
            </w:pPr>
            <w:r>
              <w:rPr>
                <w:color w:val="231F20"/>
                <w:w w:val="105"/>
                <w:sz w:val="16"/>
              </w:rPr>
              <w:t>Educación y</w:t>
            </w:r>
            <w:r>
              <w:rPr>
                <w:color w:val="231F20"/>
                <w:spacing w:val="-19"/>
                <w:w w:val="105"/>
                <w:sz w:val="16"/>
              </w:rPr>
              <w:t> </w:t>
            </w:r>
            <w:r>
              <w:rPr>
                <w:color w:val="231F20"/>
                <w:w w:val="105"/>
                <w:sz w:val="16"/>
              </w:rPr>
              <w:t>Cultura</w:t>
            </w:r>
          </w:p>
          <w:p>
            <w:pPr>
              <w:pStyle w:val="TableParagraph"/>
              <w:numPr>
                <w:ilvl w:val="1"/>
                <w:numId w:val="39"/>
              </w:numPr>
              <w:tabs>
                <w:tab w:pos="372" w:val="left" w:leader="none"/>
              </w:tabs>
              <w:spacing w:line="192" w:lineRule="exact" w:before="0" w:after="0"/>
              <w:ind w:left="371" w:right="0" w:hanging="268"/>
              <w:jc w:val="left"/>
              <w:rPr>
                <w:sz w:val="16"/>
              </w:rPr>
            </w:pPr>
            <w:r>
              <w:rPr>
                <w:color w:val="231F20"/>
                <w:w w:val="105"/>
                <w:sz w:val="16"/>
              </w:rPr>
              <w:t>Cultura</w:t>
            </w:r>
            <w:r>
              <w:rPr>
                <w:color w:val="231F20"/>
                <w:spacing w:val="-11"/>
                <w:w w:val="105"/>
                <w:sz w:val="16"/>
              </w:rPr>
              <w:t> </w:t>
            </w:r>
            <w:r>
              <w:rPr>
                <w:color w:val="231F20"/>
                <w:w w:val="105"/>
                <w:sz w:val="16"/>
              </w:rPr>
              <w:t>Física</w:t>
            </w:r>
            <w:r>
              <w:rPr>
                <w:color w:val="231F20"/>
                <w:spacing w:val="-11"/>
                <w:w w:val="105"/>
                <w:sz w:val="16"/>
              </w:rPr>
              <w:t> </w:t>
            </w:r>
            <w:r>
              <w:rPr>
                <w:color w:val="231F20"/>
                <w:w w:val="105"/>
                <w:sz w:val="16"/>
              </w:rPr>
              <w:t>y</w:t>
            </w:r>
            <w:r>
              <w:rPr>
                <w:color w:val="231F20"/>
                <w:spacing w:val="-11"/>
                <w:w w:val="105"/>
                <w:sz w:val="16"/>
              </w:rPr>
              <w:t> </w:t>
            </w:r>
            <w:r>
              <w:rPr>
                <w:color w:val="231F20"/>
                <w:w w:val="105"/>
                <w:sz w:val="16"/>
              </w:rPr>
              <w:t>Deporte</w:t>
            </w:r>
          </w:p>
          <w:p>
            <w:pPr>
              <w:pStyle w:val="TableParagraph"/>
              <w:numPr>
                <w:ilvl w:val="1"/>
                <w:numId w:val="39"/>
              </w:numPr>
              <w:tabs>
                <w:tab w:pos="374" w:val="left" w:leader="none"/>
              </w:tabs>
              <w:spacing w:line="192" w:lineRule="exact" w:before="0" w:after="0"/>
              <w:ind w:left="373" w:right="0" w:hanging="270"/>
              <w:jc w:val="left"/>
              <w:rPr>
                <w:sz w:val="16"/>
              </w:rPr>
            </w:pPr>
            <w:r>
              <w:rPr>
                <w:color w:val="231F20"/>
                <w:w w:val="105"/>
                <w:sz w:val="16"/>
              </w:rPr>
              <w:t>Electrificación y Alumbrado</w:t>
            </w:r>
            <w:r>
              <w:rPr>
                <w:color w:val="231F20"/>
                <w:spacing w:val="-27"/>
                <w:w w:val="105"/>
                <w:sz w:val="16"/>
              </w:rPr>
              <w:t> </w:t>
            </w:r>
            <w:r>
              <w:rPr>
                <w:color w:val="231F20"/>
                <w:w w:val="105"/>
                <w:sz w:val="16"/>
              </w:rPr>
              <w:t>Público</w:t>
            </w:r>
          </w:p>
          <w:p>
            <w:pPr>
              <w:pStyle w:val="TableParagraph"/>
              <w:numPr>
                <w:ilvl w:val="1"/>
                <w:numId w:val="39"/>
              </w:numPr>
              <w:tabs>
                <w:tab w:pos="374" w:val="left" w:leader="none"/>
              </w:tabs>
              <w:spacing w:line="192" w:lineRule="exact" w:before="0" w:after="0"/>
              <w:ind w:left="373" w:right="0" w:hanging="270"/>
              <w:jc w:val="left"/>
              <w:rPr>
                <w:sz w:val="16"/>
              </w:rPr>
            </w:pPr>
            <w:r>
              <w:rPr>
                <w:color w:val="231F20"/>
                <w:sz w:val="16"/>
              </w:rPr>
              <w:t>Protección  al</w:t>
            </w:r>
            <w:r>
              <w:rPr>
                <w:color w:val="231F20"/>
                <w:spacing w:val="9"/>
                <w:sz w:val="16"/>
              </w:rPr>
              <w:t> </w:t>
            </w:r>
            <w:r>
              <w:rPr>
                <w:color w:val="231F20"/>
                <w:sz w:val="16"/>
              </w:rPr>
              <w:t>Ambiente</w:t>
            </w:r>
          </w:p>
          <w:p>
            <w:pPr>
              <w:pStyle w:val="TableParagraph"/>
              <w:numPr>
                <w:ilvl w:val="1"/>
                <w:numId w:val="39"/>
              </w:numPr>
              <w:tabs>
                <w:tab w:pos="356" w:val="left" w:leader="none"/>
              </w:tabs>
              <w:spacing w:line="192" w:lineRule="exact" w:before="0" w:after="0"/>
              <w:ind w:left="355" w:right="0" w:hanging="252"/>
              <w:jc w:val="left"/>
              <w:rPr>
                <w:sz w:val="16"/>
              </w:rPr>
            </w:pPr>
            <w:r>
              <w:rPr>
                <w:color w:val="231F20"/>
                <w:w w:val="105"/>
                <w:sz w:val="16"/>
              </w:rPr>
              <w:t>Desarrollo</w:t>
            </w:r>
            <w:r>
              <w:rPr>
                <w:color w:val="231F20"/>
                <w:spacing w:val="-12"/>
                <w:w w:val="105"/>
                <w:sz w:val="16"/>
              </w:rPr>
              <w:t> </w:t>
            </w:r>
            <w:r>
              <w:rPr>
                <w:color w:val="231F20"/>
                <w:w w:val="105"/>
                <w:sz w:val="16"/>
              </w:rPr>
              <w:t>Urbano</w:t>
            </w:r>
            <w:r>
              <w:rPr>
                <w:color w:val="231F20"/>
                <w:spacing w:val="-12"/>
                <w:w w:val="105"/>
                <w:sz w:val="16"/>
              </w:rPr>
              <w:t> </w:t>
            </w:r>
            <w:r>
              <w:rPr>
                <w:color w:val="231F20"/>
                <w:w w:val="105"/>
                <w:sz w:val="16"/>
              </w:rPr>
              <w:t>y</w:t>
            </w:r>
            <w:r>
              <w:rPr>
                <w:color w:val="231F20"/>
                <w:spacing w:val="-12"/>
                <w:w w:val="105"/>
                <w:sz w:val="16"/>
              </w:rPr>
              <w:t> </w:t>
            </w:r>
            <w:r>
              <w:rPr>
                <w:color w:val="231F20"/>
                <w:w w:val="105"/>
                <w:sz w:val="16"/>
              </w:rPr>
              <w:t>Obras</w:t>
            </w:r>
            <w:r>
              <w:rPr>
                <w:color w:val="231F20"/>
                <w:spacing w:val="-12"/>
                <w:w w:val="105"/>
                <w:sz w:val="16"/>
              </w:rPr>
              <w:t> </w:t>
            </w:r>
            <w:r>
              <w:rPr>
                <w:color w:val="231F20"/>
                <w:w w:val="105"/>
                <w:sz w:val="16"/>
              </w:rPr>
              <w:t>Públicas</w:t>
            </w:r>
          </w:p>
          <w:p>
            <w:pPr>
              <w:pStyle w:val="TableParagraph"/>
              <w:numPr>
                <w:ilvl w:val="1"/>
                <w:numId w:val="39"/>
              </w:numPr>
              <w:tabs>
                <w:tab w:pos="376" w:val="left" w:leader="none"/>
              </w:tabs>
              <w:spacing w:line="194" w:lineRule="exact" w:before="0" w:after="0"/>
              <w:ind w:left="375" w:right="0" w:hanging="272"/>
              <w:jc w:val="left"/>
              <w:rPr>
                <w:sz w:val="16"/>
              </w:rPr>
            </w:pPr>
            <w:r>
              <w:rPr>
                <w:color w:val="231F20"/>
                <w:w w:val="105"/>
                <w:sz w:val="16"/>
              </w:rPr>
              <w:t>Agua Potable y</w:t>
            </w:r>
            <w:r>
              <w:rPr>
                <w:color w:val="231F20"/>
                <w:spacing w:val="-26"/>
                <w:w w:val="105"/>
                <w:sz w:val="16"/>
              </w:rPr>
              <w:t> </w:t>
            </w:r>
            <w:r>
              <w:rPr>
                <w:color w:val="231F20"/>
                <w:w w:val="105"/>
                <w:sz w:val="16"/>
              </w:rPr>
              <w:t>Drenaje</w:t>
            </w:r>
          </w:p>
          <w:p>
            <w:pPr>
              <w:pStyle w:val="TableParagraph"/>
              <w:ind w:left="0"/>
              <w:rPr>
                <w:rFonts w:ascii="Times New Roman"/>
                <w:b/>
                <w:sz w:val="16"/>
              </w:rPr>
            </w:pPr>
          </w:p>
          <w:p>
            <w:pPr>
              <w:pStyle w:val="TableParagraph"/>
              <w:spacing w:before="1"/>
              <w:ind w:left="0"/>
              <w:rPr>
                <w:rFonts w:ascii="Times New Roman"/>
                <w:b/>
                <w:sz w:val="17"/>
              </w:rPr>
            </w:pPr>
          </w:p>
          <w:p>
            <w:pPr>
              <w:pStyle w:val="TableParagraph"/>
              <w:numPr>
                <w:ilvl w:val="0"/>
                <w:numId w:val="40"/>
              </w:numPr>
              <w:tabs>
                <w:tab w:pos="253" w:val="left" w:leader="none"/>
              </w:tabs>
              <w:spacing w:line="194" w:lineRule="exact" w:before="0" w:after="0"/>
              <w:ind w:left="252" w:right="0" w:hanging="149"/>
              <w:jc w:val="left"/>
              <w:rPr>
                <w:sz w:val="16"/>
              </w:rPr>
            </w:pPr>
            <w:r>
              <w:rPr>
                <w:color w:val="231F20"/>
                <w:w w:val="105"/>
                <w:sz w:val="16"/>
              </w:rPr>
              <w:t>Seguridad Económica</w:t>
            </w:r>
            <w:r>
              <w:rPr>
                <w:color w:val="231F20"/>
                <w:spacing w:val="-14"/>
                <w:w w:val="105"/>
                <w:sz w:val="16"/>
              </w:rPr>
              <w:t> </w:t>
            </w:r>
            <w:r>
              <w:rPr>
                <w:color w:val="231F20"/>
                <w:w w:val="105"/>
                <w:sz w:val="16"/>
              </w:rPr>
              <w:t>Municipal</w:t>
            </w:r>
          </w:p>
          <w:p>
            <w:pPr>
              <w:pStyle w:val="TableParagraph"/>
              <w:numPr>
                <w:ilvl w:val="1"/>
                <w:numId w:val="40"/>
              </w:numPr>
              <w:tabs>
                <w:tab w:pos="354" w:val="left" w:leader="none"/>
              </w:tabs>
              <w:spacing w:line="192" w:lineRule="exact" w:before="0" w:after="0"/>
              <w:ind w:left="353" w:right="0" w:hanging="250"/>
              <w:jc w:val="left"/>
              <w:rPr>
                <w:sz w:val="16"/>
              </w:rPr>
            </w:pPr>
            <w:r>
              <w:rPr>
                <w:color w:val="231F20"/>
                <w:w w:val="105"/>
                <w:sz w:val="16"/>
              </w:rPr>
              <w:t>Fomento del</w:t>
            </w:r>
            <w:r>
              <w:rPr>
                <w:color w:val="231F20"/>
                <w:spacing w:val="-16"/>
                <w:w w:val="105"/>
                <w:sz w:val="16"/>
              </w:rPr>
              <w:t> </w:t>
            </w:r>
            <w:r>
              <w:rPr>
                <w:color w:val="231F20"/>
                <w:w w:val="105"/>
                <w:sz w:val="16"/>
              </w:rPr>
              <w:t>Empleo</w:t>
            </w:r>
          </w:p>
          <w:p>
            <w:pPr>
              <w:pStyle w:val="TableParagraph"/>
              <w:numPr>
                <w:ilvl w:val="1"/>
                <w:numId w:val="40"/>
              </w:numPr>
              <w:tabs>
                <w:tab w:pos="375" w:val="left" w:leader="none"/>
              </w:tabs>
              <w:spacing w:line="192" w:lineRule="exact" w:before="0" w:after="0"/>
              <w:ind w:left="374" w:right="0" w:hanging="271"/>
              <w:jc w:val="left"/>
              <w:rPr>
                <w:sz w:val="16"/>
              </w:rPr>
            </w:pPr>
            <w:r>
              <w:rPr>
                <w:color w:val="231F20"/>
                <w:w w:val="105"/>
                <w:sz w:val="16"/>
              </w:rPr>
              <w:t>Desarrollo</w:t>
            </w:r>
            <w:r>
              <w:rPr>
                <w:color w:val="231F20"/>
                <w:spacing w:val="-14"/>
                <w:w w:val="105"/>
                <w:sz w:val="16"/>
              </w:rPr>
              <w:t> </w:t>
            </w:r>
            <w:r>
              <w:rPr>
                <w:color w:val="231F20"/>
                <w:w w:val="105"/>
                <w:sz w:val="16"/>
              </w:rPr>
              <w:t>Agropecuario</w:t>
            </w:r>
            <w:r>
              <w:rPr>
                <w:color w:val="231F20"/>
                <w:spacing w:val="-14"/>
                <w:w w:val="105"/>
                <w:sz w:val="16"/>
              </w:rPr>
              <w:t> </w:t>
            </w:r>
            <w:r>
              <w:rPr>
                <w:color w:val="231F20"/>
                <w:w w:val="105"/>
                <w:sz w:val="16"/>
              </w:rPr>
              <w:t>y</w:t>
            </w:r>
            <w:r>
              <w:rPr>
                <w:color w:val="231F20"/>
                <w:spacing w:val="-14"/>
                <w:w w:val="105"/>
                <w:sz w:val="16"/>
              </w:rPr>
              <w:t> </w:t>
            </w:r>
            <w:r>
              <w:rPr>
                <w:color w:val="231F20"/>
                <w:w w:val="105"/>
                <w:sz w:val="16"/>
              </w:rPr>
              <w:t>Forestal</w:t>
            </w:r>
          </w:p>
          <w:p>
            <w:pPr>
              <w:pStyle w:val="TableParagraph"/>
              <w:numPr>
                <w:ilvl w:val="1"/>
                <w:numId w:val="40"/>
              </w:numPr>
              <w:tabs>
                <w:tab w:pos="374" w:val="left" w:leader="none"/>
              </w:tabs>
              <w:spacing w:line="192" w:lineRule="exact" w:before="0" w:after="0"/>
              <w:ind w:left="373" w:right="0" w:hanging="270"/>
              <w:jc w:val="left"/>
              <w:rPr>
                <w:sz w:val="16"/>
              </w:rPr>
            </w:pPr>
            <w:r>
              <w:rPr>
                <w:color w:val="231F20"/>
                <w:sz w:val="16"/>
              </w:rPr>
              <w:t>Promoción Artesanal y de la </w:t>
            </w:r>
            <w:r>
              <w:rPr>
                <w:color w:val="231F20"/>
                <w:spacing w:val="25"/>
                <w:sz w:val="16"/>
              </w:rPr>
              <w:t> </w:t>
            </w:r>
            <w:r>
              <w:rPr>
                <w:color w:val="231F20"/>
                <w:sz w:val="16"/>
              </w:rPr>
              <w:t>Industria</w:t>
            </w:r>
          </w:p>
          <w:p>
            <w:pPr>
              <w:pStyle w:val="TableParagraph"/>
              <w:numPr>
                <w:ilvl w:val="1"/>
                <w:numId w:val="40"/>
              </w:numPr>
              <w:tabs>
                <w:tab w:pos="371" w:val="left" w:leader="none"/>
              </w:tabs>
              <w:spacing w:line="192" w:lineRule="exact" w:before="0" w:after="0"/>
              <w:ind w:left="370" w:right="0" w:hanging="267"/>
              <w:jc w:val="left"/>
              <w:rPr>
                <w:sz w:val="16"/>
              </w:rPr>
            </w:pPr>
            <w:r>
              <w:rPr>
                <w:color w:val="231F20"/>
                <w:w w:val="105"/>
                <w:sz w:val="16"/>
              </w:rPr>
              <w:t>Modernización</w:t>
            </w:r>
            <w:r>
              <w:rPr>
                <w:color w:val="231F20"/>
                <w:spacing w:val="-26"/>
                <w:w w:val="105"/>
                <w:sz w:val="16"/>
              </w:rPr>
              <w:t> </w:t>
            </w:r>
            <w:r>
              <w:rPr>
                <w:color w:val="231F20"/>
                <w:w w:val="105"/>
                <w:sz w:val="16"/>
              </w:rPr>
              <w:t>Comercial</w:t>
            </w:r>
          </w:p>
          <w:p>
            <w:pPr>
              <w:pStyle w:val="TableParagraph"/>
              <w:numPr>
                <w:ilvl w:val="1"/>
                <w:numId w:val="40"/>
              </w:numPr>
              <w:tabs>
                <w:tab w:pos="372" w:val="left" w:leader="none"/>
              </w:tabs>
              <w:spacing w:line="194" w:lineRule="exact" w:before="0" w:after="0"/>
              <w:ind w:left="371" w:right="0" w:hanging="268"/>
              <w:jc w:val="left"/>
              <w:rPr>
                <w:sz w:val="16"/>
              </w:rPr>
            </w:pPr>
            <w:r>
              <w:rPr>
                <w:color w:val="231F20"/>
                <w:sz w:val="16"/>
              </w:rPr>
              <w:t>Fomento</w:t>
            </w:r>
            <w:r>
              <w:rPr>
                <w:color w:val="231F20"/>
                <w:spacing w:val="27"/>
                <w:sz w:val="16"/>
              </w:rPr>
              <w:t> </w:t>
            </w:r>
            <w:r>
              <w:rPr>
                <w:color w:val="231F20"/>
                <w:sz w:val="16"/>
              </w:rPr>
              <w:t>Turístico</w:t>
            </w:r>
          </w:p>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5"/>
              <w:ind w:left="0"/>
              <w:rPr>
                <w:rFonts w:ascii="Times New Roman"/>
                <w:b/>
                <w:sz w:val="18"/>
              </w:rPr>
            </w:pPr>
          </w:p>
          <w:p>
            <w:pPr>
              <w:pStyle w:val="TableParagraph"/>
              <w:numPr>
                <w:ilvl w:val="0"/>
                <w:numId w:val="41"/>
              </w:numPr>
              <w:tabs>
                <w:tab w:pos="254" w:val="left" w:leader="none"/>
              </w:tabs>
              <w:spacing w:line="194" w:lineRule="exact" w:before="0" w:after="0"/>
              <w:ind w:left="253" w:right="0" w:hanging="150"/>
              <w:jc w:val="left"/>
              <w:rPr>
                <w:sz w:val="16"/>
              </w:rPr>
            </w:pPr>
            <w:r>
              <w:rPr>
                <w:color w:val="231F20"/>
                <w:w w:val="105"/>
                <w:sz w:val="16"/>
              </w:rPr>
              <w:t>Seguridad Pública</w:t>
            </w:r>
            <w:r>
              <w:rPr>
                <w:color w:val="231F20"/>
                <w:spacing w:val="-10"/>
                <w:w w:val="105"/>
                <w:sz w:val="16"/>
              </w:rPr>
              <w:t> </w:t>
            </w:r>
            <w:r>
              <w:rPr>
                <w:color w:val="231F20"/>
                <w:w w:val="105"/>
                <w:sz w:val="16"/>
              </w:rPr>
              <w:t>Municipal</w:t>
            </w:r>
          </w:p>
          <w:p>
            <w:pPr>
              <w:pStyle w:val="TableParagraph"/>
              <w:numPr>
                <w:ilvl w:val="1"/>
                <w:numId w:val="41"/>
              </w:numPr>
              <w:tabs>
                <w:tab w:pos="355" w:val="left" w:leader="none"/>
              </w:tabs>
              <w:spacing w:line="192" w:lineRule="exact" w:before="0" w:after="0"/>
              <w:ind w:left="103" w:right="0" w:firstLine="0"/>
              <w:jc w:val="left"/>
              <w:rPr>
                <w:sz w:val="16"/>
              </w:rPr>
            </w:pPr>
            <w:r>
              <w:rPr>
                <w:color w:val="231F20"/>
                <w:w w:val="105"/>
                <w:sz w:val="16"/>
              </w:rPr>
              <w:t>Seguridad</w:t>
            </w:r>
            <w:r>
              <w:rPr>
                <w:color w:val="231F20"/>
                <w:spacing w:val="-10"/>
                <w:w w:val="105"/>
                <w:sz w:val="16"/>
              </w:rPr>
              <w:t> </w:t>
            </w:r>
            <w:r>
              <w:rPr>
                <w:color w:val="231F20"/>
                <w:w w:val="105"/>
                <w:sz w:val="16"/>
              </w:rPr>
              <w:t>Pública</w:t>
            </w:r>
            <w:r>
              <w:rPr>
                <w:color w:val="231F20"/>
                <w:spacing w:val="-10"/>
                <w:w w:val="105"/>
                <w:sz w:val="16"/>
              </w:rPr>
              <w:t> </w:t>
            </w:r>
            <w:r>
              <w:rPr>
                <w:color w:val="231F20"/>
                <w:w w:val="105"/>
                <w:sz w:val="16"/>
              </w:rPr>
              <w:t>y</w:t>
            </w:r>
            <w:r>
              <w:rPr>
                <w:color w:val="231F20"/>
                <w:spacing w:val="-10"/>
                <w:w w:val="105"/>
                <w:sz w:val="16"/>
              </w:rPr>
              <w:t> </w:t>
            </w:r>
            <w:r>
              <w:rPr>
                <w:color w:val="231F20"/>
                <w:w w:val="105"/>
                <w:sz w:val="16"/>
              </w:rPr>
              <w:t>Tránsito</w:t>
            </w:r>
          </w:p>
          <w:p>
            <w:pPr>
              <w:pStyle w:val="TableParagraph"/>
              <w:numPr>
                <w:ilvl w:val="1"/>
                <w:numId w:val="41"/>
              </w:numPr>
              <w:tabs>
                <w:tab w:pos="376" w:val="left" w:leader="none"/>
              </w:tabs>
              <w:spacing w:line="235" w:lineRule="auto" w:before="1" w:after="0"/>
              <w:ind w:left="103" w:right="216" w:firstLine="0"/>
              <w:jc w:val="left"/>
              <w:rPr>
                <w:sz w:val="16"/>
              </w:rPr>
            </w:pPr>
            <w:r>
              <w:rPr>
                <w:color w:val="231F20"/>
                <w:sz w:val="16"/>
              </w:rPr>
              <w:t>Modernización de las Comunicaciones y el Trans- porte</w:t>
            </w:r>
          </w:p>
          <w:p>
            <w:pPr>
              <w:pStyle w:val="TableParagraph"/>
              <w:numPr>
                <w:ilvl w:val="1"/>
                <w:numId w:val="41"/>
              </w:numPr>
              <w:tabs>
                <w:tab w:pos="375" w:val="left" w:leader="none"/>
              </w:tabs>
              <w:spacing w:line="193" w:lineRule="exact" w:before="0" w:after="0"/>
              <w:ind w:left="374" w:right="0" w:hanging="271"/>
              <w:jc w:val="left"/>
              <w:rPr>
                <w:sz w:val="16"/>
              </w:rPr>
            </w:pPr>
            <w:r>
              <w:rPr>
                <w:color w:val="231F20"/>
                <w:w w:val="105"/>
                <w:sz w:val="16"/>
              </w:rPr>
              <w:t>Protección</w:t>
            </w:r>
            <w:r>
              <w:rPr>
                <w:color w:val="231F20"/>
                <w:spacing w:val="-14"/>
                <w:w w:val="105"/>
                <w:sz w:val="16"/>
              </w:rPr>
              <w:t> </w:t>
            </w:r>
            <w:r>
              <w:rPr>
                <w:color w:val="231F20"/>
                <w:w w:val="105"/>
                <w:sz w:val="16"/>
              </w:rPr>
              <w:t>Civil</w:t>
            </w:r>
          </w:p>
        </w:tc>
      </w:tr>
    </w:tbl>
    <w:p>
      <w:pPr>
        <w:pStyle w:val="BodyText"/>
        <w:spacing w:before="6"/>
        <w:rPr>
          <w:b/>
          <w:sz w:val="6"/>
        </w:rPr>
      </w:pPr>
    </w:p>
    <w:p>
      <w:pPr>
        <w:spacing w:before="75"/>
        <w:ind w:left="480" w:right="-3" w:firstLine="0"/>
        <w:jc w:val="left"/>
        <w:rPr>
          <w:rFonts w:ascii="Calibri" w:hAnsi="Calibri"/>
          <w:sz w:val="16"/>
        </w:rPr>
      </w:pPr>
      <w:r>
        <w:rPr>
          <w:rFonts w:ascii="Calibri" w:hAnsi="Calibri"/>
          <w:color w:val="231F20"/>
          <w:sz w:val="16"/>
        </w:rPr>
        <w:t>Fuente: Elaboración propia con base en los índices del Plan Municipal de Desarrollo 2006-2009 y del Segundo Informe</w:t>
      </w:r>
    </w:p>
    <w:p>
      <w:pPr>
        <w:spacing w:before="104"/>
        <w:ind w:left="4477" w:right="-3" w:firstLine="0"/>
        <w:jc w:val="left"/>
        <w:rPr>
          <w:rFonts w:ascii="Calibri" w:hAnsi="Calibri"/>
          <w:sz w:val="16"/>
        </w:rPr>
      </w:pPr>
      <w:r>
        <w:rPr>
          <w:rFonts w:ascii="Calibri" w:hAnsi="Calibri"/>
          <w:color w:val="231F20"/>
          <w:sz w:val="16"/>
        </w:rPr>
        <w:t>de Gobierno del Municipio (2008: Documento en línea).</w:t>
      </w:r>
    </w:p>
    <w:p>
      <w:pPr>
        <w:spacing w:after="0"/>
        <w:jc w:val="left"/>
        <w:rPr>
          <w:rFonts w:ascii="Calibri" w:hAnsi="Calibri"/>
          <w:sz w:val="16"/>
        </w:rPr>
        <w:sectPr>
          <w:pgSz w:w="9640" w:h="12190"/>
          <w:pgMar w:header="0" w:footer="743" w:top="1120" w:bottom="940" w:left="740" w:right="720"/>
        </w:sectPr>
      </w:pPr>
    </w:p>
    <w:p>
      <w:pPr>
        <w:pStyle w:val="BodyText"/>
        <w:spacing w:before="8"/>
        <w:rPr>
          <w:rFonts w:ascii="Calibri"/>
          <w:sz w:val="8"/>
        </w:rPr>
      </w:pPr>
    </w:p>
    <w:p>
      <w:pPr>
        <w:pStyle w:val="ListParagraph"/>
        <w:numPr>
          <w:ilvl w:val="1"/>
          <w:numId w:val="33"/>
        </w:numPr>
        <w:tabs>
          <w:tab w:pos="512" w:val="left" w:leader="none"/>
        </w:tabs>
        <w:spacing w:line="283" w:lineRule="auto" w:before="22" w:after="0"/>
        <w:ind w:left="110" w:right="107" w:firstLine="0"/>
        <w:jc w:val="left"/>
        <w:rPr>
          <w:rFonts w:ascii="Times New Roman" w:hAnsi="Times New Roman"/>
          <w:sz w:val="22"/>
        </w:rPr>
      </w:pPr>
      <w:r>
        <w:rPr>
          <w:rFonts w:ascii="Times New Roman" w:hAnsi="Times New Roman"/>
          <w:b/>
          <w:color w:val="231F20"/>
          <w:spacing w:val="-5"/>
          <w:w w:val="105"/>
          <w:sz w:val="26"/>
        </w:rPr>
        <w:t>Acciones</w:t>
      </w:r>
      <w:r>
        <w:rPr>
          <w:rFonts w:ascii="Times New Roman" w:hAnsi="Times New Roman"/>
          <w:b/>
          <w:color w:val="231F20"/>
          <w:spacing w:val="-17"/>
          <w:w w:val="105"/>
          <w:sz w:val="26"/>
        </w:rPr>
        <w:t> </w:t>
      </w:r>
      <w:r>
        <w:rPr>
          <w:rFonts w:ascii="Times New Roman" w:hAnsi="Times New Roman"/>
          <w:b/>
          <w:color w:val="231F20"/>
          <w:spacing w:val="-3"/>
          <w:w w:val="105"/>
          <w:sz w:val="26"/>
        </w:rPr>
        <w:t>principales</w:t>
      </w:r>
      <w:r>
        <w:rPr>
          <w:rFonts w:ascii="Times New Roman" w:hAnsi="Times New Roman"/>
          <w:b/>
          <w:color w:val="231F20"/>
          <w:spacing w:val="-17"/>
          <w:w w:val="105"/>
          <w:sz w:val="26"/>
        </w:rPr>
        <w:t> </w:t>
      </w:r>
      <w:r>
        <w:rPr>
          <w:rFonts w:ascii="Times New Roman" w:hAnsi="Times New Roman"/>
          <w:b/>
          <w:color w:val="231F20"/>
          <w:spacing w:val="-3"/>
          <w:w w:val="105"/>
          <w:sz w:val="26"/>
        </w:rPr>
        <w:t>indicadas</w:t>
      </w:r>
      <w:r>
        <w:rPr>
          <w:rFonts w:ascii="Times New Roman" w:hAnsi="Times New Roman"/>
          <w:b/>
          <w:color w:val="231F20"/>
          <w:spacing w:val="-17"/>
          <w:w w:val="105"/>
          <w:sz w:val="26"/>
        </w:rPr>
        <w:t> </w:t>
      </w:r>
      <w:r>
        <w:rPr>
          <w:rFonts w:ascii="Times New Roman" w:hAnsi="Times New Roman"/>
          <w:b/>
          <w:color w:val="231F20"/>
          <w:spacing w:val="-3"/>
          <w:w w:val="105"/>
          <w:sz w:val="26"/>
        </w:rPr>
        <w:t>en</w:t>
      </w:r>
      <w:r>
        <w:rPr>
          <w:rFonts w:ascii="Times New Roman" w:hAnsi="Times New Roman"/>
          <w:b/>
          <w:color w:val="231F20"/>
          <w:spacing w:val="-17"/>
          <w:w w:val="105"/>
          <w:sz w:val="26"/>
        </w:rPr>
        <w:t> </w:t>
      </w:r>
      <w:r>
        <w:rPr>
          <w:rFonts w:ascii="Times New Roman" w:hAnsi="Times New Roman"/>
          <w:b/>
          <w:color w:val="231F20"/>
          <w:spacing w:val="-3"/>
          <w:w w:val="105"/>
          <w:sz w:val="26"/>
        </w:rPr>
        <w:t>el</w:t>
      </w:r>
      <w:r>
        <w:rPr>
          <w:rFonts w:ascii="Times New Roman" w:hAnsi="Times New Roman"/>
          <w:b/>
          <w:color w:val="231F20"/>
          <w:spacing w:val="-17"/>
          <w:w w:val="105"/>
          <w:sz w:val="26"/>
        </w:rPr>
        <w:t> </w:t>
      </w:r>
      <w:r>
        <w:rPr>
          <w:rFonts w:ascii="Times New Roman" w:hAnsi="Times New Roman"/>
          <w:b/>
          <w:color w:val="231F20"/>
          <w:spacing w:val="-3"/>
          <w:w w:val="105"/>
          <w:sz w:val="26"/>
        </w:rPr>
        <w:t>Segundo</w:t>
      </w:r>
      <w:r>
        <w:rPr>
          <w:rFonts w:ascii="Times New Roman" w:hAnsi="Times New Roman"/>
          <w:b/>
          <w:color w:val="231F20"/>
          <w:spacing w:val="-17"/>
          <w:w w:val="105"/>
          <w:sz w:val="26"/>
        </w:rPr>
        <w:t> </w:t>
      </w:r>
      <w:r>
        <w:rPr>
          <w:rFonts w:ascii="Times New Roman" w:hAnsi="Times New Roman"/>
          <w:b/>
          <w:color w:val="231F20"/>
          <w:spacing w:val="-4"/>
          <w:w w:val="105"/>
          <w:sz w:val="26"/>
        </w:rPr>
        <w:t>Informe</w:t>
      </w:r>
      <w:r>
        <w:rPr>
          <w:rFonts w:ascii="Times New Roman" w:hAnsi="Times New Roman"/>
          <w:b/>
          <w:color w:val="231F20"/>
          <w:spacing w:val="-17"/>
          <w:w w:val="105"/>
          <w:sz w:val="26"/>
        </w:rPr>
        <w:t> </w:t>
      </w:r>
      <w:r>
        <w:rPr>
          <w:rFonts w:ascii="Times New Roman" w:hAnsi="Times New Roman"/>
          <w:b/>
          <w:color w:val="231F20"/>
          <w:spacing w:val="-4"/>
          <w:w w:val="105"/>
          <w:sz w:val="26"/>
        </w:rPr>
        <w:t>de</w:t>
      </w:r>
      <w:r>
        <w:rPr>
          <w:rFonts w:ascii="Times New Roman" w:hAnsi="Times New Roman"/>
          <w:b/>
          <w:color w:val="231F20"/>
          <w:spacing w:val="-17"/>
          <w:w w:val="105"/>
          <w:sz w:val="26"/>
        </w:rPr>
        <w:t> </w:t>
      </w:r>
      <w:r>
        <w:rPr>
          <w:rFonts w:ascii="Times New Roman" w:hAnsi="Times New Roman"/>
          <w:b/>
          <w:color w:val="231F20"/>
          <w:spacing w:val="-5"/>
          <w:w w:val="105"/>
          <w:sz w:val="26"/>
        </w:rPr>
        <w:t>Gobierno </w:t>
      </w:r>
      <w:r>
        <w:rPr>
          <w:rFonts w:ascii="Times New Roman" w:hAnsi="Times New Roman"/>
          <w:color w:val="231F20"/>
          <w:w w:val="105"/>
          <w:sz w:val="22"/>
        </w:rPr>
        <w:t>En el Segundo Informe de Gobierno, existe una coherencia en su presentación, con el Plan de Desarrollo, sin embargo, algunos puntos como el </w:t>
      </w:r>
      <w:r>
        <w:rPr>
          <w:rFonts w:ascii="Times New Roman" w:hAnsi="Times New Roman"/>
          <w:color w:val="231F20"/>
          <w:spacing w:val="-4"/>
          <w:w w:val="105"/>
          <w:sz w:val="22"/>
        </w:rPr>
        <w:t>5.1, </w:t>
      </w:r>
      <w:r>
        <w:rPr>
          <w:rFonts w:ascii="Times New Roman" w:hAnsi="Times New Roman"/>
          <w:color w:val="231F20"/>
          <w:w w:val="105"/>
          <w:sz w:val="22"/>
        </w:rPr>
        <w:t>5.2 se dejaron de lado y otros fueron relacionados. De esta manera, la mayor parte de los programas expuestos en el Plan fueron tratados en el Informe de </w:t>
      </w:r>
      <w:r>
        <w:rPr>
          <w:rFonts w:ascii="Times New Roman" w:hAnsi="Times New Roman"/>
          <w:color w:val="231F20"/>
          <w:spacing w:val="-3"/>
          <w:w w:val="105"/>
          <w:sz w:val="22"/>
        </w:rPr>
        <w:t>gobierno. </w:t>
      </w:r>
      <w:r>
        <w:rPr>
          <w:rFonts w:ascii="Times New Roman" w:hAnsi="Times New Roman"/>
          <w:color w:val="231F20"/>
          <w:w w:val="105"/>
          <w:sz w:val="22"/>
        </w:rPr>
        <w:t>Así, las acciones que se pueden destacar</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la</w:t>
      </w:r>
      <w:r>
        <w:rPr>
          <w:rFonts w:ascii="Times New Roman" w:hAnsi="Times New Roman"/>
          <w:color w:val="231F20"/>
          <w:spacing w:val="-21"/>
          <w:w w:val="105"/>
          <w:sz w:val="22"/>
        </w:rPr>
        <w:t> </w:t>
      </w:r>
      <w:r>
        <w:rPr>
          <w:rFonts w:ascii="Times New Roman" w:hAnsi="Times New Roman"/>
          <w:color w:val="231F20"/>
          <w:w w:val="105"/>
          <w:sz w:val="22"/>
        </w:rPr>
        <w:t>gestión</w:t>
      </w:r>
      <w:r>
        <w:rPr>
          <w:rFonts w:ascii="Times New Roman" w:hAnsi="Times New Roman"/>
          <w:color w:val="231F20"/>
          <w:spacing w:val="-21"/>
          <w:w w:val="105"/>
          <w:sz w:val="22"/>
        </w:rPr>
        <w:t> </w:t>
      </w:r>
      <w:r>
        <w:rPr>
          <w:rFonts w:ascii="Times New Roman" w:hAnsi="Times New Roman"/>
          <w:color w:val="231F20"/>
          <w:w w:val="105"/>
          <w:sz w:val="22"/>
        </w:rPr>
        <w:t>municipal,</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acuerdo</w:t>
      </w:r>
      <w:r>
        <w:rPr>
          <w:rFonts w:ascii="Times New Roman" w:hAnsi="Times New Roman"/>
          <w:color w:val="231F20"/>
          <w:spacing w:val="-21"/>
          <w:w w:val="105"/>
          <w:sz w:val="22"/>
        </w:rPr>
        <w:t> </w:t>
      </w:r>
      <w:r>
        <w:rPr>
          <w:rFonts w:ascii="Times New Roman" w:hAnsi="Times New Roman"/>
          <w:color w:val="231F20"/>
          <w:w w:val="105"/>
          <w:sz w:val="22"/>
        </w:rPr>
        <w:t>con</w:t>
      </w:r>
      <w:r>
        <w:rPr>
          <w:rFonts w:ascii="Times New Roman" w:hAnsi="Times New Roman"/>
          <w:color w:val="231F20"/>
          <w:spacing w:val="-21"/>
          <w:w w:val="105"/>
          <w:sz w:val="22"/>
        </w:rPr>
        <w:t> </w:t>
      </w:r>
      <w:r>
        <w:rPr>
          <w:rFonts w:ascii="Times New Roman" w:hAnsi="Times New Roman"/>
          <w:color w:val="231F20"/>
          <w:w w:val="105"/>
          <w:sz w:val="22"/>
        </w:rPr>
        <w:t>el</w:t>
      </w:r>
      <w:r>
        <w:rPr>
          <w:rFonts w:ascii="Times New Roman" w:hAnsi="Times New Roman"/>
          <w:color w:val="231F20"/>
          <w:spacing w:val="-21"/>
          <w:w w:val="105"/>
          <w:sz w:val="22"/>
        </w:rPr>
        <w:t> </w:t>
      </w:r>
      <w:r>
        <w:rPr>
          <w:rFonts w:ascii="Times New Roman" w:hAnsi="Times New Roman"/>
          <w:color w:val="231F20"/>
          <w:w w:val="105"/>
          <w:sz w:val="22"/>
        </w:rPr>
        <w:t>Segundo</w:t>
      </w:r>
      <w:r>
        <w:rPr>
          <w:rFonts w:ascii="Times New Roman" w:hAnsi="Times New Roman"/>
          <w:color w:val="231F20"/>
          <w:spacing w:val="-21"/>
          <w:w w:val="105"/>
          <w:sz w:val="22"/>
        </w:rPr>
        <w:t> </w:t>
      </w:r>
      <w:r>
        <w:rPr>
          <w:rFonts w:ascii="Times New Roman" w:hAnsi="Times New Roman"/>
          <w:color w:val="231F20"/>
          <w:w w:val="105"/>
          <w:sz w:val="22"/>
        </w:rPr>
        <w:t>Informe</w:t>
      </w:r>
      <w:r>
        <w:rPr>
          <w:rFonts w:ascii="Times New Roman" w:hAnsi="Times New Roman"/>
          <w:color w:val="231F20"/>
          <w:spacing w:val="-21"/>
          <w:w w:val="105"/>
          <w:sz w:val="22"/>
        </w:rPr>
        <w:t> </w:t>
      </w:r>
      <w:r>
        <w:rPr>
          <w:rFonts w:ascii="Times New Roman" w:hAnsi="Times New Roman"/>
          <w:color w:val="231F20"/>
          <w:w w:val="105"/>
          <w:sz w:val="22"/>
        </w:rPr>
        <w:t>de</w:t>
      </w:r>
      <w:r>
        <w:rPr>
          <w:rFonts w:ascii="Times New Roman" w:hAnsi="Times New Roman"/>
          <w:color w:val="231F20"/>
          <w:spacing w:val="-21"/>
          <w:w w:val="105"/>
          <w:sz w:val="22"/>
        </w:rPr>
        <w:t> </w:t>
      </w:r>
      <w:r>
        <w:rPr>
          <w:rFonts w:ascii="Times New Roman" w:hAnsi="Times New Roman"/>
          <w:color w:val="231F20"/>
          <w:w w:val="105"/>
          <w:sz w:val="22"/>
        </w:rPr>
        <w:t>Gobierno</w:t>
      </w:r>
      <w:r>
        <w:rPr>
          <w:rFonts w:ascii="Times New Roman" w:hAnsi="Times New Roman"/>
          <w:color w:val="231F20"/>
          <w:spacing w:val="-21"/>
          <w:w w:val="105"/>
          <w:sz w:val="22"/>
        </w:rPr>
        <w:t> </w:t>
      </w:r>
      <w:r>
        <w:rPr>
          <w:rFonts w:ascii="Times New Roman" w:hAnsi="Times New Roman"/>
          <w:color w:val="231F20"/>
          <w:spacing w:val="3"/>
          <w:w w:val="105"/>
          <w:sz w:val="22"/>
        </w:rPr>
        <w:t>2008, </w:t>
      </w:r>
      <w:r>
        <w:rPr>
          <w:rFonts w:ascii="Times New Roman" w:hAnsi="Times New Roman"/>
          <w:color w:val="231F20"/>
          <w:w w:val="105"/>
          <w:sz w:val="22"/>
        </w:rPr>
        <w:t>son</w:t>
      </w:r>
      <w:r>
        <w:rPr>
          <w:rFonts w:ascii="Times New Roman" w:hAnsi="Times New Roman"/>
          <w:color w:val="231F20"/>
          <w:spacing w:val="-30"/>
          <w:w w:val="105"/>
          <w:sz w:val="22"/>
        </w:rPr>
        <w:t> </w:t>
      </w:r>
      <w:r>
        <w:rPr>
          <w:rFonts w:ascii="Times New Roman" w:hAnsi="Times New Roman"/>
          <w:color w:val="231F20"/>
          <w:w w:val="105"/>
          <w:sz w:val="22"/>
        </w:rPr>
        <w:t>las</w:t>
      </w:r>
      <w:r>
        <w:rPr>
          <w:rFonts w:ascii="Times New Roman" w:hAnsi="Times New Roman"/>
          <w:color w:val="231F20"/>
          <w:spacing w:val="-30"/>
          <w:w w:val="105"/>
          <w:sz w:val="22"/>
        </w:rPr>
        <w:t> </w:t>
      </w:r>
      <w:r>
        <w:rPr>
          <w:rFonts w:ascii="Times New Roman" w:hAnsi="Times New Roman"/>
          <w:color w:val="231F20"/>
          <w:w w:val="105"/>
          <w:sz w:val="22"/>
        </w:rPr>
        <w:t>siguientes:</w:t>
      </w:r>
    </w:p>
    <w:p>
      <w:pPr>
        <w:pStyle w:val="BodyText"/>
        <w:spacing w:line="285" w:lineRule="auto" w:before="3"/>
        <w:ind w:left="677" w:right="108"/>
        <w:jc w:val="both"/>
      </w:pPr>
      <w:r>
        <w:rPr>
          <w:color w:val="231F20"/>
          <w:w w:val="105"/>
        </w:rPr>
        <w:t>Desarrollo</w:t>
      </w:r>
      <w:r>
        <w:rPr>
          <w:color w:val="231F20"/>
          <w:spacing w:val="-22"/>
          <w:w w:val="105"/>
        </w:rPr>
        <w:t> </w:t>
      </w:r>
      <w:r>
        <w:rPr>
          <w:color w:val="231F20"/>
          <w:w w:val="105"/>
        </w:rPr>
        <w:t>Social.</w:t>
      </w:r>
      <w:r>
        <w:rPr>
          <w:color w:val="231F20"/>
          <w:spacing w:val="-22"/>
          <w:w w:val="105"/>
        </w:rPr>
        <w:t> </w:t>
      </w:r>
      <w:r>
        <w:rPr>
          <w:color w:val="231F20"/>
          <w:w w:val="105"/>
        </w:rPr>
        <w:t>Durante</w:t>
      </w:r>
      <w:r>
        <w:rPr>
          <w:color w:val="231F20"/>
          <w:spacing w:val="-22"/>
          <w:w w:val="105"/>
        </w:rPr>
        <w:t> </w:t>
      </w:r>
      <w:r>
        <w:rPr>
          <w:color w:val="231F20"/>
          <w:w w:val="105"/>
        </w:rPr>
        <w:t>el</w:t>
      </w:r>
      <w:r>
        <w:rPr>
          <w:color w:val="231F20"/>
          <w:spacing w:val="-22"/>
          <w:w w:val="105"/>
        </w:rPr>
        <w:t> </w:t>
      </w:r>
      <w:r>
        <w:rPr>
          <w:color w:val="231F20"/>
          <w:w w:val="105"/>
        </w:rPr>
        <w:t>mes</w:t>
      </w:r>
      <w:r>
        <w:rPr>
          <w:color w:val="231F20"/>
          <w:spacing w:val="-22"/>
          <w:w w:val="105"/>
        </w:rPr>
        <w:t> </w:t>
      </w:r>
      <w:r>
        <w:rPr>
          <w:color w:val="231F20"/>
          <w:w w:val="105"/>
        </w:rPr>
        <w:t>de</w:t>
      </w:r>
      <w:r>
        <w:rPr>
          <w:color w:val="231F20"/>
          <w:spacing w:val="-22"/>
          <w:w w:val="105"/>
        </w:rPr>
        <w:t> </w:t>
      </w:r>
      <w:r>
        <w:rPr>
          <w:color w:val="231F20"/>
          <w:w w:val="105"/>
        </w:rPr>
        <w:t>Agosto</w:t>
      </w:r>
      <w:r>
        <w:rPr>
          <w:color w:val="231F20"/>
          <w:spacing w:val="-22"/>
          <w:w w:val="105"/>
        </w:rPr>
        <w:t> </w:t>
      </w:r>
      <w:r>
        <w:rPr>
          <w:color w:val="231F20"/>
          <w:w w:val="105"/>
        </w:rPr>
        <w:t>de</w:t>
      </w:r>
      <w:r>
        <w:rPr>
          <w:color w:val="231F20"/>
          <w:spacing w:val="-22"/>
          <w:w w:val="105"/>
        </w:rPr>
        <w:t> </w:t>
      </w:r>
      <w:r>
        <w:rPr>
          <w:color w:val="231F20"/>
          <w:spacing w:val="2"/>
          <w:w w:val="105"/>
        </w:rPr>
        <w:t>2007</w:t>
      </w:r>
      <w:r>
        <w:rPr>
          <w:color w:val="231F20"/>
          <w:spacing w:val="-22"/>
          <w:w w:val="105"/>
        </w:rPr>
        <w:t> </w:t>
      </w:r>
      <w:r>
        <w:rPr>
          <w:color w:val="231F20"/>
          <w:w w:val="105"/>
        </w:rPr>
        <w:t>se</w:t>
      </w:r>
      <w:r>
        <w:rPr>
          <w:color w:val="231F20"/>
          <w:spacing w:val="-22"/>
          <w:w w:val="105"/>
        </w:rPr>
        <w:t> </w:t>
      </w:r>
      <w:r>
        <w:rPr>
          <w:color w:val="231F20"/>
          <w:w w:val="105"/>
        </w:rPr>
        <w:t>inició</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construcción del</w:t>
      </w:r>
      <w:r>
        <w:rPr>
          <w:color w:val="231F20"/>
          <w:spacing w:val="-20"/>
          <w:w w:val="105"/>
        </w:rPr>
        <w:t> </w:t>
      </w:r>
      <w:r>
        <w:rPr>
          <w:color w:val="231F20"/>
          <w:w w:val="105"/>
        </w:rPr>
        <w:t>Programa</w:t>
      </w:r>
      <w:r>
        <w:rPr>
          <w:color w:val="231F20"/>
          <w:spacing w:val="-20"/>
          <w:w w:val="105"/>
        </w:rPr>
        <w:t> </w:t>
      </w:r>
      <w:r>
        <w:rPr>
          <w:color w:val="231F20"/>
          <w:spacing w:val="-11"/>
          <w:w w:val="105"/>
        </w:rPr>
        <w:t>Tu</w:t>
      </w:r>
      <w:r>
        <w:rPr>
          <w:color w:val="231F20"/>
          <w:spacing w:val="-20"/>
          <w:w w:val="105"/>
        </w:rPr>
        <w:t> </w:t>
      </w:r>
      <w:r>
        <w:rPr>
          <w:color w:val="231F20"/>
          <w:w w:val="105"/>
        </w:rPr>
        <w:t>Casa,</w:t>
      </w:r>
      <w:r>
        <w:rPr>
          <w:color w:val="231F20"/>
          <w:spacing w:val="-20"/>
          <w:w w:val="105"/>
        </w:rPr>
        <w:t> </w:t>
      </w:r>
      <w:r>
        <w:rPr>
          <w:color w:val="231F20"/>
          <w:w w:val="105"/>
        </w:rPr>
        <w:t>con</w:t>
      </w:r>
      <w:r>
        <w:rPr>
          <w:color w:val="231F20"/>
          <w:spacing w:val="-20"/>
          <w:w w:val="105"/>
        </w:rPr>
        <w:t> </w:t>
      </w:r>
      <w:r>
        <w:rPr>
          <w:color w:val="231F20"/>
          <w:w w:val="105"/>
        </w:rPr>
        <w:t>apoyo</w:t>
      </w:r>
      <w:r>
        <w:rPr>
          <w:color w:val="231F20"/>
          <w:spacing w:val="-20"/>
          <w:w w:val="105"/>
        </w:rPr>
        <w:t> </w:t>
      </w:r>
      <w:r>
        <w:rPr>
          <w:color w:val="231F20"/>
          <w:w w:val="105"/>
        </w:rPr>
        <w:t>del</w:t>
      </w:r>
      <w:r>
        <w:rPr>
          <w:color w:val="231F20"/>
          <w:spacing w:val="-20"/>
          <w:w w:val="105"/>
        </w:rPr>
        <w:t> </w:t>
      </w:r>
      <w:r>
        <w:rPr>
          <w:color w:val="231F20"/>
          <w:w w:val="105"/>
        </w:rPr>
        <w:t>Gobierno</w:t>
      </w:r>
      <w:r>
        <w:rPr>
          <w:color w:val="231F20"/>
          <w:spacing w:val="-20"/>
          <w:w w:val="105"/>
        </w:rPr>
        <w:t> </w:t>
      </w:r>
      <w:r>
        <w:rPr>
          <w:color w:val="231F20"/>
          <w:w w:val="105"/>
        </w:rPr>
        <w:t>Federal</w:t>
      </w:r>
      <w:r>
        <w:rPr>
          <w:color w:val="231F20"/>
          <w:spacing w:val="-20"/>
          <w:w w:val="105"/>
        </w:rPr>
        <w:t> </w:t>
      </w:r>
      <w:r>
        <w:rPr>
          <w:color w:val="231F20"/>
          <w:w w:val="105"/>
        </w:rPr>
        <w:t>y</w:t>
      </w:r>
      <w:r>
        <w:rPr>
          <w:color w:val="231F20"/>
          <w:spacing w:val="-20"/>
          <w:w w:val="105"/>
        </w:rPr>
        <w:t> </w:t>
      </w:r>
      <w:r>
        <w:rPr>
          <w:color w:val="231F20"/>
          <w:w w:val="105"/>
        </w:rPr>
        <w:t>Municipal,</w:t>
      </w:r>
      <w:r>
        <w:rPr>
          <w:color w:val="231F20"/>
          <w:spacing w:val="-20"/>
          <w:w w:val="105"/>
        </w:rPr>
        <w:t> </w:t>
      </w:r>
      <w:r>
        <w:rPr>
          <w:color w:val="231F20"/>
          <w:w w:val="105"/>
        </w:rPr>
        <w:t>el</w:t>
      </w:r>
      <w:r>
        <w:rPr>
          <w:color w:val="231F20"/>
          <w:spacing w:val="-20"/>
          <w:w w:val="105"/>
        </w:rPr>
        <w:t> </w:t>
      </w:r>
      <w:r>
        <w:rPr>
          <w:color w:val="231F20"/>
          <w:w w:val="105"/>
        </w:rPr>
        <w:t>cual</w:t>
      </w:r>
      <w:r>
        <w:rPr>
          <w:color w:val="231F20"/>
          <w:spacing w:val="-20"/>
          <w:w w:val="105"/>
        </w:rPr>
        <w:t> </w:t>
      </w:r>
      <w:r>
        <w:rPr>
          <w:color w:val="231F20"/>
          <w:w w:val="105"/>
        </w:rPr>
        <w:t>bene- ficia</w:t>
      </w:r>
      <w:r>
        <w:rPr>
          <w:color w:val="231F20"/>
          <w:spacing w:val="-26"/>
          <w:w w:val="105"/>
        </w:rPr>
        <w:t> </w:t>
      </w:r>
      <w:r>
        <w:rPr>
          <w:color w:val="231F20"/>
          <w:w w:val="105"/>
        </w:rPr>
        <w:t>a</w:t>
      </w:r>
      <w:r>
        <w:rPr>
          <w:color w:val="231F20"/>
          <w:spacing w:val="-26"/>
          <w:w w:val="105"/>
        </w:rPr>
        <w:t> </w:t>
      </w:r>
      <w:r>
        <w:rPr>
          <w:color w:val="231F20"/>
          <w:w w:val="105"/>
        </w:rPr>
        <w:t>50</w:t>
      </w:r>
      <w:r>
        <w:rPr>
          <w:color w:val="231F20"/>
          <w:spacing w:val="-26"/>
          <w:w w:val="105"/>
        </w:rPr>
        <w:t> </w:t>
      </w:r>
      <w:r>
        <w:rPr>
          <w:color w:val="231F20"/>
          <w:spacing w:val="2"/>
          <w:w w:val="105"/>
        </w:rPr>
        <w:t>familias</w:t>
      </w:r>
      <w:r>
        <w:rPr>
          <w:color w:val="231F20"/>
          <w:spacing w:val="-26"/>
          <w:w w:val="105"/>
        </w:rPr>
        <w:t> </w:t>
      </w:r>
      <w:r>
        <w:rPr>
          <w:color w:val="231F20"/>
          <w:spacing w:val="-5"/>
          <w:w w:val="105"/>
        </w:rPr>
        <w:t>(270</w:t>
      </w:r>
      <w:r>
        <w:rPr>
          <w:color w:val="231F20"/>
          <w:spacing w:val="-26"/>
          <w:w w:val="105"/>
        </w:rPr>
        <w:t> </w:t>
      </w:r>
      <w:r>
        <w:rPr>
          <w:color w:val="231F20"/>
          <w:w w:val="105"/>
        </w:rPr>
        <w:t>personas)</w:t>
      </w:r>
      <w:r>
        <w:rPr>
          <w:color w:val="231F20"/>
          <w:spacing w:val="-26"/>
          <w:w w:val="105"/>
        </w:rPr>
        <w:t> </w:t>
      </w:r>
      <w:r>
        <w:rPr>
          <w:color w:val="231F20"/>
          <w:w w:val="105"/>
        </w:rPr>
        <w:t>de</w:t>
      </w:r>
      <w:r>
        <w:rPr>
          <w:color w:val="231F20"/>
          <w:spacing w:val="-26"/>
          <w:w w:val="105"/>
        </w:rPr>
        <w:t> </w:t>
      </w:r>
      <w:r>
        <w:rPr>
          <w:color w:val="231F20"/>
          <w:w w:val="105"/>
        </w:rPr>
        <w:t>menores</w:t>
      </w:r>
      <w:r>
        <w:rPr>
          <w:color w:val="231F20"/>
          <w:spacing w:val="-26"/>
          <w:w w:val="105"/>
        </w:rPr>
        <w:t> </w:t>
      </w:r>
      <w:r>
        <w:rPr>
          <w:color w:val="231F20"/>
          <w:w w:val="105"/>
        </w:rPr>
        <w:t>ingresos,</w:t>
      </w:r>
      <w:r>
        <w:rPr>
          <w:color w:val="231F20"/>
          <w:spacing w:val="-26"/>
          <w:w w:val="105"/>
        </w:rPr>
        <w:t> </w:t>
      </w:r>
      <w:r>
        <w:rPr>
          <w:color w:val="231F20"/>
          <w:w w:val="105"/>
        </w:rPr>
        <w:t>que</w:t>
      </w:r>
      <w:r>
        <w:rPr>
          <w:color w:val="231F20"/>
          <w:spacing w:val="-26"/>
          <w:w w:val="105"/>
        </w:rPr>
        <w:t> </w:t>
      </w:r>
      <w:r>
        <w:rPr>
          <w:color w:val="231F20"/>
          <w:w w:val="105"/>
        </w:rPr>
        <w:t>a</w:t>
      </w:r>
      <w:r>
        <w:rPr>
          <w:color w:val="231F20"/>
          <w:spacing w:val="-26"/>
          <w:w w:val="105"/>
        </w:rPr>
        <w:t> </w:t>
      </w:r>
      <w:r>
        <w:rPr>
          <w:color w:val="231F20"/>
          <w:w w:val="105"/>
        </w:rPr>
        <w:t>través</w:t>
      </w:r>
      <w:r>
        <w:rPr>
          <w:color w:val="231F20"/>
          <w:spacing w:val="-26"/>
          <w:w w:val="105"/>
        </w:rPr>
        <w:t> </w:t>
      </w:r>
      <w:r>
        <w:rPr>
          <w:color w:val="231F20"/>
          <w:w w:val="105"/>
        </w:rPr>
        <w:t>de</w:t>
      </w:r>
      <w:r>
        <w:rPr>
          <w:color w:val="231F20"/>
          <w:spacing w:val="-26"/>
          <w:w w:val="105"/>
        </w:rPr>
        <w:t> </w:t>
      </w:r>
      <w:r>
        <w:rPr>
          <w:color w:val="231F20"/>
          <w:w w:val="105"/>
        </w:rPr>
        <w:t>un</w:t>
      </w:r>
      <w:r>
        <w:rPr>
          <w:color w:val="231F20"/>
          <w:spacing w:val="-26"/>
          <w:w w:val="105"/>
        </w:rPr>
        <w:t> </w:t>
      </w:r>
      <w:r>
        <w:rPr>
          <w:color w:val="231F20"/>
          <w:w w:val="105"/>
        </w:rPr>
        <w:t>subsidio, adquieren, construyen o mejoran su vivienda, contribuyendo a la consolidación del patrimonio</w:t>
      </w:r>
      <w:r>
        <w:rPr>
          <w:color w:val="231F20"/>
          <w:spacing w:val="-24"/>
          <w:w w:val="105"/>
        </w:rPr>
        <w:t> </w:t>
      </w:r>
      <w:r>
        <w:rPr>
          <w:color w:val="231F20"/>
          <w:w w:val="105"/>
        </w:rPr>
        <w:t>familiar.</w:t>
      </w:r>
    </w:p>
    <w:p>
      <w:pPr>
        <w:pStyle w:val="BodyText"/>
        <w:spacing w:before="10"/>
        <w:rPr>
          <w:sz w:val="23"/>
        </w:rPr>
      </w:pPr>
    </w:p>
    <w:p>
      <w:pPr>
        <w:pStyle w:val="BodyText"/>
        <w:spacing w:line="283" w:lineRule="auto"/>
        <w:ind w:left="110" w:right="107"/>
        <w:jc w:val="both"/>
      </w:pPr>
      <w:r>
        <w:rPr>
          <w:rFonts w:ascii="Palatino Linotype" w:hAnsi="Palatino Linotype"/>
          <w:i/>
          <w:color w:val="231F20"/>
          <w:w w:val="105"/>
        </w:rPr>
        <w:t>Programa</w:t>
      </w:r>
      <w:r>
        <w:rPr>
          <w:rFonts w:ascii="Palatino Linotype" w:hAnsi="Palatino Linotype"/>
          <w:i/>
          <w:color w:val="231F20"/>
          <w:spacing w:val="-5"/>
          <w:w w:val="105"/>
        </w:rPr>
        <w:t> </w:t>
      </w:r>
      <w:r>
        <w:rPr>
          <w:rFonts w:ascii="Palatino Linotype" w:hAnsi="Palatino Linotype"/>
          <w:i/>
          <w:color w:val="231F20"/>
          <w:w w:val="105"/>
        </w:rPr>
        <w:t>de</w:t>
      </w:r>
      <w:r>
        <w:rPr>
          <w:rFonts w:ascii="Palatino Linotype" w:hAnsi="Palatino Linotype"/>
          <w:i/>
          <w:color w:val="231F20"/>
          <w:spacing w:val="-5"/>
          <w:w w:val="105"/>
        </w:rPr>
        <w:t> </w:t>
      </w:r>
      <w:r>
        <w:rPr>
          <w:rFonts w:ascii="Palatino Linotype" w:hAnsi="Palatino Linotype"/>
          <w:i/>
          <w:color w:val="231F20"/>
          <w:w w:val="105"/>
        </w:rPr>
        <w:t>atención</w:t>
      </w:r>
      <w:r>
        <w:rPr>
          <w:rFonts w:ascii="Palatino Linotype" w:hAnsi="Palatino Linotype"/>
          <w:i/>
          <w:color w:val="231F20"/>
          <w:spacing w:val="-5"/>
          <w:w w:val="105"/>
        </w:rPr>
        <w:t> </w:t>
      </w:r>
      <w:r>
        <w:rPr>
          <w:rFonts w:ascii="Palatino Linotype" w:hAnsi="Palatino Linotype"/>
          <w:i/>
          <w:color w:val="231F20"/>
          <w:w w:val="105"/>
        </w:rPr>
        <w:t>a</w:t>
      </w:r>
      <w:r>
        <w:rPr>
          <w:rFonts w:ascii="Palatino Linotype" w:hAnsi="Palatino Linotype"/>
          <w:i/>
          <w:color w:val="231F20"/>
          <w:spacing w:val="-5"/>
          <w:w w:val="105"/>
        </w:rPr>
        <w:t> </w:t>
      </w:r>
      <w:r>
        <w:rPr>
          <w:rFonts w:ascii="Palatino Linotype" w:hAnsi="Palatino Linotype"/>
          <w:i/>
          <w:color w:val="231F20"/>
          <w:w w:val="105"/>
        </w:rPr>
        <w:t>los</w:t>
      </w:r>
      <w:r>
        <w:rPr>
          <w:rFonts w:ascii="Palatino Linotype" w:hAnsi="Palatino Linotype"/>
          <w:i/>
          <w:color w:val="231F20"/>
          <w:spacing w:val="-5"/>
          <w:w w:val="105"/>
        </w:rPr>
        <w:t> </w:t>
      </w:r>
      <w:r>
        <w:rPr>
          <w:rFonts w:ascii="Palatino Linotype" w:hAnsi="Palatino Linotype"/>
          <w:i/>
          <w:color w:val="231F20"/>
          <w:w w:val="105"/>
        </w:rPr>
        <w:t>Adultos</w:t>
      </w:r>
      <w:r>
        <w:rPr>
          <w:rFonts w:ascii="Palatino Linotype" w:hAnsi="Palatino Linotype"/>
          <w:i/>
          <w:color w:val="231F20"/>
          <w:spacing w:val="-5"/>
          <w:w w:val="105"/>
        </w:rPr>
        <w:t> </w:t>
      </w:r>
      <w:r>
        <w:rPr>
          <w:rFonts w:ascii="Palatino Linotype" w:hAnsi="Palatino Linotype"/>
          <w:i/>
          <w:color w:val="231F20"/>
          <w:w w:val="105"/>
        </w:rPr>
        <w:t>Mayores</w:t>
      </w:r>
      <w:r>
        <w:rPr>
          <w:rFonts w:ascii="Palatino Linotype" w:hAnsi="Palatino Linotype"/>
          <w:i/>
          <w:color w:val="231F20"/>
          <w:spacing w:val="-5"/>
          <w:w w:val="105"/>
        </w:rPr>
        <w:t> </w:t>
      </w:r>
      <w:r>
        <w:rPr>
          <w:rFonts w:ascii="Palatino Linotype" w:hAnsi="Palatino Linotype"/>
          <w:i/>
          <w:color w:val="231F20"/>
          <w:w w:val="105"/>
        </w:rPr>
        <w:t>de</w:t>
      </w:r>
      <w:r>
        <w:rPr>
          <w:rFonts w:ascii="Palatino Linotype" w:hAnsi="Palatino Linotype"/>
          <w:i/>
          <w:color w:val="231F20"/>
          <w:spacing w:val="-5"/>
          <w:w w:val="105"/>
        </w:rPr>
        <w:t> </w:t>
      </w:r>
      <w:r>
        <w:rPr>
          <w:rFonts w:ascii="Palatino Linotype" w:hAnsi="Palatino Linotype"/>
          <w:i/>
          <w:color w:val="231F20"/>
          <w:w w:val="105"/>
        </w:rPr>
        <w:t>70</w:t>
      </w:r>
      <w:r>
        <w:rPr>
          <w:rFonts w:ascii="Palatino Linotype" w:hAnsi="Palatino Linotype"/>
          <w:i/>
          <w:color w:val="231F20"/>
          <w:spacing w:val="-5"/>
          <w:w w:val="105"/>
        </w:rPr>
        <w:t> </w:t>
      </w:r>
      <w:r>
        <w:rPr>
          <w:rFonts w:ascii="Palatino Linotype" w:hAnsi="Palatino Linotype"/>
          <w:i/>
          <w:color w:val="231F20"/>
          <w:w w:val="105"/>
        </w:rPr>
        <w:t>años</w:t>
      </w:r>
      <w:r>
        <w:rPr>
          <w:rFonts w:ascii="Palatino Linotype" w:hAnsi="Palatino Linotype"/>
          <w:i/>
          <w:color w:val="231F20"/>
          <w:spacing w:val="-5"/>
          <w:w w:val="105"/>
        </w:rPr>
        <w:t> </w:t>
      </w:r>
      <w:r>
        <w:rPr>
          <w:rFonts w:ascii="Palatino Linotype" w:hAnsi="Palatino Linotype"/>
          <w:i/>
          <w:color w:val="231F20"/>
          <w:w w:val="105"/>
        </w:rPr>
        <w:t>y</w:t>
      </w:r>
      <w:r>
        <w:rPr>
          <w:rFonts w:ascii="Palatino Linotype" w:hAnsi="Palatino Linotype"/>
          <w:i/>
          <w:color w:val="231F20"/>
          <w:spacing w:val="-5"/>
          <w:w w:val="105"/>
        </w:rPr>
        <w:t> </w:t>
      </w:r>
      <w:r>
        <w:rPr>
          <w:rFonts w:ascii="Palatino Linotype" w:hAnsi="Palatino Linotype"/>
          <w:i/>
          <w:color w:val="231F20"/>
          <w:w w:val="105"/>
        </w:rPr>
        <w:t>más</w:t>
      </w:r>
      <w:r>
        <w:rPr>
          <w:rFonts w:ascii="Palatino Linotype" w:hAnsi="Palatino Linotype"/>
          <w:i/>
          <w:color w:val="231F20"/>
          <w:spacing w:val="-5"/>
          <w:w w:val="105"/>
        </w:rPr>
        <w:t> </w:t>
      </w:r>
      <w:r>
        <w:rPr>
          <w:rFonts w:ascii="Palatino Linotype" w:hAnsi="Palatino Linotype"/>
          <w:i/>
          <w:color w:val="231F20"/>
          <w:w w:val="105"/>
        </w:rPr>
        <w:t>en</w:t>
      </w:r>
      <w:r>
        <w:rPr>
          <w:rFonts w:ascii="Palatino Linotype" w:hAnsi="Palatino Linotype"/>
          <w:i/>
          <w:color w:val="231F20"/>
          <w:spacing w:val="-5"/>
          <w:w w:val="105"/>
        </w:rPr>
        <w:t> </w:t>
      </w:r>
      <w:r>
        <w:rPr>
          <w:rFonts w:ascii="Palatino Linotype" w:hAnsi="Palatino Linotype"/>
          <w:i/>
          <w:color w:val="231F20"/>
          <w:w w:val="105"/>
        </w:rPr>
        <w:t>Zonas</w:t>
      </w:r>
      <w:r>
        <w:rPr>
          <w:rFonts w:ascii="Palatino Linotype" w:hAnsi="Palatino Linotype"/>
          <w:i/>
          <w:color w:val="231F20"/>
          <w:spacing w:val="-5"/>
          <w:w w:val="105"/>
        </w:rPr>
        <w:t> </w:t>
      </w:r>
      <w:r>
        <w:rPr>
          <w:rFonts w:ascii="Palatino Linotype" w:hAnsi="Palatino Linotype"/>
          <w:i/>
          <w:color w:val="231F20"/>
          <w:w w:val="105"/>
        </w:rPr>
        <w:t>Rurales.</w:t>
      </w:r>
      <w:r>
        <w:rPr>
          <w:rFonts w:ascii="Palatino Linotype" w:hAnsi="Palatino Linotype"/>
          <w:i/>
          <w:color w:val="231F20"/>
          <w:spacing w:val="-5"/>
          <w:w w:val="105"/>
        </w:rPr>
        <w:t> </w:t>
      </w:r>
      <w:r>
        <w:rPr>
          <w:color w:val="231F20"/>
          <w:w w:val="105"/>
        </w:rPr>
        <w:t>Du- rante</w:t>
      </w:r>
      <w:r>
        <w:rPr>
          <w:color w:val="231F20"/>
          <w:spacing w:val="-10"/>
          <w:w w:val="105"/>
        </w:rPr>
        <w:t> </w:t>
      </w:r>
      <w:r>
        <w:rPr>
          <w:color w:val="231F20"/>
          <w:w w:val="105"/>
        </w:rPr>
        <w:t>los</w:t>
      </w:r>
      <w:r>
        <w:rPr>
          <w:color w:val="231F20"/>
          <w:spacing w:val="-10"/>
          <w:w w:val="105"/>
        </w:rPr>
        <w:t> </w:t>
      </w:r>
      <w:r>
        <w:rPr>
          <w:color w:val="231F20"/>
          <w:w w:val="105"/>
        </w:rPr>
        <w:t>meses</w:t>
      </w:r>
      <w:r>
        <w:rPr>
          <w:color w:val="231F20"/>
          <w:spacing w:val="-10"/>
          <w:w w:val="105"/>
        </w:rPr>
        <w:t> </w:t>
      </w:r>
      <w:r>
        <w:rPr>
          <w:color w:val="231F20"/>
          <w:w w:val="105"/>
        </w:rPr>
        <w:t>de</w:t>
      </w:r>
      <w:r>
        <w:rPr>
          <w:color w:val="231F20"/>
          <w:spacing w:val="-10"/>
          <w:w w:val="105"/>
        </w:rPr>
        <w:t> </w:t>
      </w:r>
      <w:r>
        <w:rPr>
          <w:color w:val="231F20"/>
          <w:w w:val="105"/>
        </w:rPr>
        <w:t>Julio</w:t>
      </w:r>
      <w:r>
        <w:rPr>
          <w:color w:val="231F20"/>
          <w:spacing w:val="-10"/>
          <w:w w:val="105"/>
        </w:rPr>
        <w:t> </w:t>
      </w:r>
      <w:r>
        <w:rPr>
          <w:color w:val="231F20"/>
          <w:w w:val="105"/>
        </w:rPr>
        <w:t>y</w:t>
      </w:r>
      <w:r>
        <w:rPr>
          <w:color w:val="231F20"/>
          <w:spacing w:val="-10"/>
          <w:w w:val="105"/>
        </w:rPr>
        <w:t> </w:t>
      </w:r>
      <w:r>
        <w:rPr>
          <w:color w:val="231F20"/>
          <w:w w:val="105"/>
        </w:rPr>
        <w:t>Agosto</w:t>
      </w:r>
      <w:r>
        <w:rPr>
          <w:color w:val="231F20"/>
          <w:spacing w:val="-10"/>
          <w:w w:val="105"/>
        </w:rPr>
        <w:t> </w:t>
      </w:r>
      <w:r>
        <w:rPr>
          <w:color w:val="231F20"/>
          <w:w w:val="105"/>
        </w:rPr>
        <w:t>de</w:t>
      </w:r>
      <w:r>
        <w:rPr>
          <w:color w:val="231F20"/>
          <w:spacing w:val="-10"/>
          <w:w w:val="105"/>
        </w:rPr>
        <w:t> </w:t>
      </w:r>
      <w:r>
        <w:rPr>
          <w:color w:val="231F20"/>
          <w:spacing w:val="2"/>
          <w:w w:val="105"/>
        </w:rPr>
        <w:t>2007</w:t>
      </w:r>
      <w:r>
        <w:rPr>
          <w:color w:val="231F20"/>
          <w:spacing w:val="-10"/>
          <w:w w:val="105"/>
        </w:rPr>
        <w:t> </w:t>
      </w:r>
      <w:r>
        <w:rPr>
          <w:color w:val="231F20"/>
          <w:w w:val="105"/>
        </w:rPr>
        <w:t>se</w:t>
      </w:r>
      <w:r>
        <w:rPr>
          <w:color w:val="231F20"/>
          <w:spacing w:val="-10"/>
          <w:w w:val="105"/>
        </w:rPr>
        <w:t> </w:t>
      </w:r>
      <w:r>
        <w:rPr>
          <w:color w:val="231F20"/>
          <w:w w:val="105"/>
        </w:rPr>
        <w:t>empezó</w:t>
      </w:r>
      <w:r>
        <w:rPr>
          <w:color w:val="231F20"/>
          <w:spacing w:val="-10"/>
          <w:w w:val="105"/>
        </w:rPr>
        <w:t> </w:t>
      </w:r>
      <w:r>
        <w:rPr>
          <w:color w:val="231F20"/>
          <w:w w:val="105"/>
        </w:rPr>
        <w:t>a</w:t>
      </w:r>
      <w:r>
        <w:rPr>
          <w:color w:val="231F20"/>
          <w:spacing w:val="-10"/>
          <w:w w:val="105"/>
        </w:rPr>
        <w:t> </w:t>
      </w:r>
      <w:r>
        <w:rPr>
          <w:color w:val="231F20"/>
          <w:w w:val="105"/>
        </w:rPr>
        <w:t>mejorar</w:t>
      </w:r>
      <w:r>
        <w:rPr>
          <w:color w:val="231F20"/>
          <w:spacing w:val="-10"/>
          <w:w w:val="105"/>
        </w:rPr>
        <w:t> </w:t>
      </w:r>
      <w:r>
        <w:rPr>
          <w:color w:val="231F20"/>
          <w:w w:val="105"/>
        </w:rPr>
        <w:t>las</w:t>
      </w:r>
      <w:r>
        <w:rPr>
          <w:color w:val="231F20"/>
          <w:spacing w:val="-10"/>
          <w:w w:val="105"/>
        </w:rPr>
        <w:t> </w:t>
      </w:r>
      <w:r>
        <w:rPr>
          <w:color w:val="231F20"/>
          <w:w w:val="105"/>
        </w:rPr>
        <w:t>condiciones</w:t>
      </w:r>
      <w:r>
        <w:rPr>
          <w:color w:val="231F20"/>
          <w:spacing w:val="-10"/>
          <w:w w:val="105"/>
        </w:rPr>
        <w:t> </w:t>
      </w:r>
      <w:r>
        <w:rPr>
          <w:color w:val="231F20"/>
          <w:w w:val="105"/>
        </w:rPr>
        <w:t>de</w:t>
      </w:r>
      <w:r>
        <w:rPr>
          <w:color w:val="231F20"/>
          <w:spacing w:val="-10"/>
          <w:w w:val="105"/>
        </w:rPr>
        <w:t> </w:t>
      </w:r>
      <w:r>
        <w:rPr>
          <w:color w:val="231F20"/>
          <w:w w:val="105"/>
        </w:rPr>
        <w:t>vida de</w:t>
      </w:r>
      <w:r>
        <w:rPr>
          <w:color w:val="231F20"/>
          <w:spacing w:val="-10"/>
          <w:w w:val="105"/>
        </w:rPr>
        <w:t> </w:t>
      </w:r>
      <w:r>
        <w:rPr>
          <w:color w:val="231F20"/>
          <w:w w:val="105"/>
        </w:rPr>
        <w:t>los</w:t>
      </w:r>
      <w:r>
        <w:rPr>
          <w:color w:val="231F20"/>
          <w:spacing w:val="-10"/>
          <w:w w:val="105"/>
        </w:rPr>
        <w:t> </w:t>
      </w:r>
      <w:r>
        <w:rPr>
          <w:color w:val="231F20"/>
          <w:w w:val="105"/>
        </w:rPr>
        <w:t>adultos</w:t>
      </w:r>
      <w:r>
        <w:rPr>
          <w:color w:val="231F20"/>
          <w:spacing w:val="-10"/>
          <w:w w:val="105"/>
        </w:rPr>
        <w:t> </w:t>
      </w:r>
      <w:r>
        <w:rPr>
          <w:color w:val="231F20"/>
          <w:w w:val="105"/>
        </w:rPr>
        <w:t>mayores</w:t>
      </w:r>
      <w:r>
        <w:rPr>
          <w:color w:val="231F20"/>
          <w:spacing w:val="-10"/>
          <w:w w:val="105"/>
        </w:rPr>
        <w:t> </w:t>
      </w:r>
      <w:r>
        <w:rPr>
          <w:color w:val="231F20"/>
          <w:w w:val="105"/>
        </w:rPr>
        <w:t>de</w:t>
      </w:r>
      <w:r>
        <w:rPr>
          <w:color w:val="231F20"/>
          <w:spacing w:val="-10"/>
          <w:w w:val="105"/>
        </w:rPr>
        <w:t> </w:t>
      </w:r>
      <w:r>
        <w:rPr>
          <w:color w:val="231F20"/>
          <w:spacing w:val="-3"/>
          <w:w w:val="105"/>
        </w:rPr>
        <w:t>70</w:t>
      </w:r>
      <w:r>
        <w:rPr>
          <w:color w:val="231F20"/>
          <w:spacing w:val="-10"/>
          <w:w w:val="105"/>
        </w:rPr>
        <w:t> </w:t>
      </w:r>
      <w:r>
        <w:rPr>
          <w:color w:val="231F20"/>
          <w:w w:val="105"/>
        </w:rPr>
        <w:t>años</w:t>
      </w:r>
      <w:r>
        <w:rPr>
          <w:color w:val="231F20"/>
          <w:spacing w:val="-10"/>
          <w:w w:val="105"/>
        </w:rPr>
        <w:t> </w:t>
      </w:r>
      <w:r>
        <w:rPr>
          <w:color w:val="231F20"/>
          <w:w w:val="105"/>
        </w:rPr>
        <w:t>y</w:t>
      </w:r>
      <w:r>
        <w:rPr>
          <w:color w:val="231F20"/>
          <w:spacing w:val="-10"/>
          <w:w w:val="105"/>
        </w:rPr>
        <w:t> </w:t>
      </w:r>
      <w:r>
        <w:rPr>
          <w:color w:val="231F20"/>
          <w:w w:val="105"/>
        </w:rPr>
        <w:t>más,</w:t>
      </w:r>
      <w:r>
        <w:rPr>
          <w:color w:val="231F20"/>
          <w:spacing w:val="-10"/>
          <w:w w:val="105"/>
        </w:rPr>
        <w:t> </w:t>
      </w:r>
      <w:r>
        <w:rPr>
          <w:color w:val="231F20"/>
          <w:w w:val="105"/>
        </w:rPr>
        <w:t>que</w:t>
      </w:r>
      <w:r>
        <w:rPr>
          <w:color w:val="231F20"/>
          <w:spacing w:val="-10"/>
          <w:w w:val="105"/>
        </w:rPr>
        <w:t> </w:t>
      </w:r>
      <w:r>
        <w:rPr>
          <w:color w:val="231F20"/>
          <w:w w:val="105"/>
        </w:rPr>
        <w:t>habitan</w:t>
      </w:r>
      <w:r>
        <w:rPr>
          <w:color w:val="231F20"/>
          <w:spacing w:val="-10"/>
          <w:w w:val="105"/>
        </w:rPr>
        <w:t> </w:t>
      </w:r>
      <w:r>
        <w:rPr>
          <w:color w:val="231F20"/>
          <w:w w:val="105"/>
        </w:rPr>
        <w:t>en</w:t>
      </w:r>
      <w:r>
        <w:rPr>
          <w:color w:val="231F20"/>
          <w:spacing w:val="-10"/>
          <w:w w:val="105"/>
        </w:rPr>
        <w:t> </w:t>
      </w:r>
      <w:r>
        <w:rPr>
          <w:color w:val="231F20"/>
          <w:w w:val="105"/>
        </w:rPr>
        <w:t>localidades</w:t>
      </w:r>
      <w:r>
        <w:rPr>
          <w:color w:val="231F20"/>
          <w:spacing w:val="-10"/>
          <w:w w:val="105"/>
        </w:rPr>
        <w:t> </w:t>
      </w:r>
      <w:r>
        <w:rPr>
          <w:color w:val="231F20"/>
          <w:w w:val="105"/>
        </w:rPr>
        <w:t>de</w:t>
      </w:r>
      <w:r>
        <w:rPr>
          <w:color w:val="231F20"/>
          <w:spacing w:val="-10"/>
          <w:w w:val="105"/>
        </w:rPr>
        <w:t> </w:t>
      </w:r>
      <w:r>
        <w:rPr>
          <w:color w:val="231F20"/>
          <w:w w:val="105"/>
        </w:rPr>
        <w:t>hasta</w:t>
      </w:r>
      <w:r>
        <w:rPr>
          <w:color w:val="231F20"/>
          <w:spacing w:val="-10"/>
          <w:w w:val="105"/>
        </w:rPr>
        <w:t> </w:t>
      </w:r>
      <w:r>
        <w:rPr>
          <w:color w:val="231F20"/>
          <w:w w:val="105"/>
        </w:rPr>
        <w:t>2</w:t>
      </w:r>
      <w:r>
        <w:rPr>
          <w:color w:val="231F20"/>
          <w:spacing w:val="-10"/>
          <w:w w:val="105"/>
        </w:rPr>
        <w:t> </w:t>
      </w:r>
      <w:r>
        <w:rPr>
          <w:color w:val="231F20"/>
          <w:spacing w:val="2"/>
          <w:w w:val="105"/>
        </w:rPr>
        <w:t>mil</w:t>
      </w:r>
      <w:r>
        <w:rPr>
          <w:color w:val="231F20"/>
          <w:spacing w:val="-10"/>
          <w:w w:val="105"/>
        </w:rPr>
        <w:t> </w:t>
      </w:r>
      <w:r>
        <w:rPr>
          <w:color w:val="231F20"/>
          <w:spacing w:val="2"/>
          <w:w w:val="105"/>
        </w:rPr>
        <w:t>500 </w:t>
      </w:r>
      <w:r>
        <w:rPr>
          <w:color w:val="231F20"/>
          <w:w w:val="105"/>
        </w:rPr>
        <w:t>habitantes. El apoyo que recibieron las personas mayores es bimestral; empezó en las Delegaciones</w:t>
      </w:r>
      <w:r>
        <w:rPr>
          <w:color w:val="231F20"/>
          <w:spacing w:val="-26"/>
          <w:w w:val="105"/>
        </w:rPr>
        <w:t> </w:t>
      </w:r>
      <w:r>
        <w:rPr>
          <w:color w:val="231F20"/>
          <w:w w:val="105"/>
        </w:rPr>
        <w:t>de:</w:t>
      </w:r>
      <w:r>
        <w:rPr>
          <w:color w:val="231F20"/>
          <w:spacing w:val="-26"/>
          <w:w w:val="105"/>
        </w:rPr>
        <w:t> </w:t>
      </w:r>
      <w:r>
        <w:rPr>
          <w:color w:val="231F20"/>
          <w:w w:val="105"/>
        </w:rPr>
        <w:t>San</w:t>
      </w:r>
      <w:r>
        <w:rPr>
          <w:color w:val="231F20"/>
          <w:spacing w:val="-26"/>
          <w:w w:val="105"/>
        </w:rPr>
        <w:t> </w:t>
      </w:r>
      <w:r>
        <w:rPr>
          <w:color w:val="231F20"/>
          <w:w w:val="105"/>
        </w:rPr>
        <w:t>José</w:t>
      </w:r>
      <w:r>
        <w:rPr>
          <w:color w:val="231F20"/>
          <w:spacing w:val="-26"/>
          <w:w w:val="105"/>
        </w:rPr>
        <w:t> </w:t>
      </w:r>
      <w:r>
        <w:rPr>
          <w:color w:val="231F20"/>
          <w:w w:val="105"/>
        </w:rPr>
        <w:t>Tlacotitlán,</w:t>
      </w:r>
      <w:r>
        <w:rPr>
          <w:color w:val="231F20"/>
          <w:spacing w:val="-26"/>
          <w:w w:val="105"/>
        </w:rPr>
        <w:t> </w:t>
      </w:r>
      <w:r>
        <w:rPr>
          <w:color w:val="231F20"/>
          <w:w w:val="105"/>
        </w:rPr>
        <w:t>Santiago</w:t>
      </w:r>
      <w:r>
        <w:rPr>
          <w:color w:val="231F20"/>
          <w:spacing w:val="-26"/>
          <w:w w:val="105"/>
        </w:rPr>
        <w:t> </w:t>
      </w:r>
      <w:r>
        <w:rPr>
          <w:color w:val="231F20"/>
          <w:w w:val="105"/>
        </w:rPr>
        <w:t>Mamalhuazuca,</w:t>
      </w:r>
      <w:r>
        <w:rPr>
          <w:color w:val="231F20"/>
          <w:spacing w:val="-26"/>
          <w:w w:val="105"/>
        </w:rPr>
        <w:t> </w:t>
      </w:r>
      <w:r>
        <w:rPr>
          <w:color w:val="231F20"/>
          <w:w w:val="105"/>
        </w:rPr>
        <w:t>Tlaltecoyac</w:t>
      </w:r>
      <w:r>
        <w:rPr>
          <w:color w:val="231F20"/>
          <w:spacing w:val="-26"/>
          <w:w w:val="105"/>
        </w:rPr>
        <w:t> </w:t>
      </w:r>
      <w:r>
        <w:rPr>
          <w:color w:val="231F20"/>
          <w:w w:val="105"/>
        </w:rPr>
        <w:t>y</w:t>
      </w:r>
      <w:r>
        <w:rPr>
          <w:color w:val="231F20"/>
          <w:spacing w:val="-26"/>
          <w:w w:val="105"/>
        </w:rPr>
        <w:t> </w:t>
      </w:r>
      <w:r>
        <w:rPr>
          <w:color w:val="231F20"/>
          <w:w w:val="105"/>
        </w:rPr>
        <w:t>se</w:t>
      </w:r>
      <w:r>
        <w:rPr>
          <w:color w:val="231F20"/>
          <w:spacing w:val="-26"/>
          <w:w w:val="105"/>
        </w:rPr>
        <w:t> </w:t>
      </w:r>
      <w:r>
        <w:rPr>
          <w:color w:val="231F20"/>
          <w:w w:val="105"/>
        </w:rPr>
        <w:t>hizo</w:t>
      </w:r>
      <w:r>
        <w:rPr>
          <w:color w:val="231F20"/>
          <w:spacing w:val="-26"/>
          <w:w w:val="105"/>
        </w:rPr>
        <w:t> </w:t>
      </w:r>
      <w:r>
        <w:rPr>
          <w:color w:val="231F20"/>
          <w:w w:val="105"/>
        </w:rPr>
        <w:t>la Inscripción de San Vicente Chimalhuacán. </w:t>
      </w:r>
      <w:r>
        <w:rPr>
          <w:color w:val="231F20"/>
          <w:spacing w:val="-4"/>
          <w:w w:val="105"/>
        </w:rPr>
        <w:t>Teniendo </w:t>
      </w:r>
      <w:r>
        <w:rPr>
          <w:color w:val="231F20"/>
          <w:w w:val="105"/>
        </w:rPr>
        <w:t>como resultado 366</w:t>
      </w:r>
      <w:r>
        <w:rPr>
          <w:color w:val="231F20"/>
          <w:spacing w:val="-37"/>
          <w:w w:val="105"/>
        </w:rPr>
        <w:t> </w:t>
      </w:r>
      <w:r>
        <w:rPr>
          <w:color w:val="231F20"/>
          <w:w w:val="105"/>
        </w:rPr>
        <w:t>beneficiados hasta</w:t>
      </w:r>
      <w:r>
        <w:rPr>
          <w:color w:val="231F20"/>
          <w:spacing w:val="-9"/>
          <w:w w:val="105"/>
        </w:rPr>
        <w:t> </w:t>
      </w:r>
      <w:r>
        <w:rPr>
          <w:color w:val="231F20"/>
          <w:w w:val="105"/>
        </w:rPr>
        <w:t>el</w:t>
      </w:r>
      <w:r>
        <w:rPr>
          <w:color w:val="231F20"/>
          <w:spacing w:val="-9"/>
          <w:w w:val="105"/>
        </w:rPr>
        <w:t> </w:t>
      </w:r>
      <w:r>
        <w:rPr>
          <w:color w:val="231F20"/>
          <w:w w:val="105"/>
        </w:rPr>
        <w:t>bimestre</w:t>
      </w:r>
      <w:r>
        <w:rPr>
          <w:color w:val="231F20"/>
          <w:spacing w:val="-9"/>
          <w:w w:val="105"/>
        </w:rPr>
        <w:t> </w:t>
      </w:r>
      <w:r>
        <w:rPr>
          <w:color w:val="231F20"/>
          <w:w w:val="105"/>
        </w:rPr>
        <w:t>Noviembre-Diciembre</w:t>
      </w:r>
      <w:r>
        <w:rPr>
          <w:color w:val="231F20"/>
          <w:spacing w:val="-9"/>
          <w:w w:val="105"/>
        </w:rPr>
        <w:t> </w:t>
      </w:r>
      <w:r>
        <w:rPr>
          <w:color w:val="231F20"/>
          <w:w w:val="105"/>
        </w:rPr>
        <w:t>de</w:t>
      </w:r>
      <w:r>
        <w:rPr>
          <w:color w:val="231F20"/>
          <w:spacing w:val="-9"/>
          <w:w w:val="105"/>
        </w:rPr>
        <w:t> </w:t>
      </w:r>
      <w:r>
        <w:rPr>
          <w:color w:val="231F20"/>
          <w:w w:val="105"/>
        </w:rPr>
        <w:t>2007.</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año</w:t>
      </w:r>
      <w:r>
        <w:rPr>
          <w:color w:val="231F20"/>
          <w:spacing w:val="-9"/>
          <w:w w:val="105"/>
        </w:rPr>
        <w:t> </w:t>
      </w:r>
      <w:r>
        <w:rPr>
          <w:color w:val="231F20"/>
          <w:spacing w:val="3"/>
          <w:w w:val="105"/>
        </w:rPr>
        <w:t>2008</w:t>
      </w:r>
      <w:r>
        <w:rPr>
          <w:color w:val="231F20"/>
          <w:spacing w:val="-9"/>
          <w:w w:val="105"/>
        </w:rPr>
        <w:t> </w:t>
      </w:r>
      <w:r>
        <w:rPr>
          <w:color w:val="231F20"/>
          <w:w w:val="105"/>
        </w:rPr>
        <w:t>las</w:t>
      </w:r>
      <w:r>
        <w:rPr>
          <w:color w:val="231F20"/>
          <w:spacing w:val="-9"/>
          <w:w w:val="105"/>
        </w:rPr>
        <w:t> </w:t>
      </w:r>
      <w:r>
        <w:rPr>
          <w:color w:val="231F20"/>
          <w:w w:val="105"/>
        </w:rPr>
        <w:t>reglas</w:t>
      </w:r>
      <w:r>
        <w:rPr>
          <w:color w:val="231F20"/>
          <w:spacing w:val="-9"/>
          <w:w w:val="105"/>
        </w:rPr>
        <w:t> </w:t>
      </w:r>
      <w:r>
        <w:rPr>
          <w:color w:val="231F20"/>
          <w:w w:val="105"/>
        </w:rPr>
        <w:t>de</w:t>
      </w:r>
      <w:r>
        <w:rPr>
          <w:color w:val="231F20"/>
          <w:spacing w:val="-9"/>
          <w:w w:val="105"/>
        </w:rPr>
        <w:t> </w:t>
      </w:r>
      <w:r>
        <w:rPr>
          <w:color w:val="231F20"/>
          <w:w w:val="105"/>
        </w:rPr>
        <w:t>opera- ción</w:t>
      </w:r>
      <w:r>
        <w:rPr>
          <w:color w:val="231F20"/>
          <w:spacing w:val="-20"/>
          <w:w w:val="105"/>
        </w:rPr>
        <w:t> </w:t>
      </w:r>
      <w:r>
        <w:rPr>
          <w:color w:val="231F20"/>
          <w:w w:val="105"/>
        </w:rPr>
        <w:t>cambiaron</w:t>
      </w:r>
      <w:r>
        <w:rPr>
          <w:color w:val="231F20"/>
          <w:spacing w:val="-20"/>
          <w:w w:val="105"/>
        </w:rPr>
        <w:t> </w:t>
      </w:r>
      <w:r>
        <w:rPr>
          <w:color w:val="231F20"/>
          <w:w w:val="105"/>
        </w:rPr>
        <w:t>y</w:t>
      </w:r>
      <w:r>
        <w:rPr>
          <w:color w:val="231F20"/>
          <w:spacing w:val="-20"/>
          <w:w w:val="105"/>
        </w:rPr>
        <w:t> </w:t>
      </w:r>
      <w:r>
        <w:rPr>
          <w:color w:val="231F20"/>
          <w:w w:val="105"/>
        </w:rPr>
        <w:t>entonces</w:t>
      </w:r>
      <w:r>
        <w:rPr>
          <w:color w:val="231F20"/>
          <w:spacing w:val="-20"/>
          <w:w w:val="105"/>
        </w:rPr>
        <w:t> </w:t>
      </w:r>
      <w:r>
        <w:rPr>
          <w:color w:val="231F20"/>
          <w:w w:val="105"/>
        </w:rPr>
        <w:t>se</w:t>
      </w:r>
      <w:r>
        <w:rPr>
          <w:color w:val="231F20"/>
          <w:spacing w:val="-20"/>
          <w:w w:val="105"/>
        </w:rPr>
        <w:t> </w:t>
      </w:r>
      <w:r>
        <w:rPr>
          <w:color w:val="231F20"/>
          <w:w w:val="105"/>
        </w:rPr>
        <w:t>pudieron</w:t>
      </w:r>
      <w:r>
        <w:rPr>
          <w:color w:val="231F20"/>
          <w:spacing w:val="-20"/>
          <w:w w:val="105"/>
        </w:rPr>
        <w:t> </w:t>
      </w:r>
      <w:r>
        <w:rPr>
          <w:color w:val="231F20"/>
          <w:w w:val="105"/>
        </w:rPr>
        <w:t>beneficiar</w:t>
      </w:r>
      <w:r>
        <w:rPr>
          <w:color w:val="231F20"/>
          <w:spacing w:val="-20"/>
          <w:w w:val="105"/>
        </w:rPr>
        <w:t> </w:t>
      </w:r>
      <w:r>
        <w:rPr>
          <w:color w:val="231F20"/>
          <w:w w:val="105"/>
        </w:rPr>
        <w:t>a</w:t>
      </w:r>
      <w:r>
        <w:rPr>
          <w:color w:val="231F20"/>
          <w:spacing w:val="-20"/>
          <w:w w:val="105"/>
        </w:rPr>
        <w:t> </w:t>
      </w:r>
      <w:r>
        <w:rPr>
          <w:color w:val="231F20"/>
          <w:spacing w:val="2"/>
          <w:w w:val="105"/>
        </w:rPr>
        <w:t>familias</w:t>
      </w:r>
      <w:r>
        <w:rPr>
          <w:color w:val="231F20"/>
          <w:spacing w:val="-20"/>
          <w:w w:val="105"/>
        </w:rPr>
        <w:t> </w:t>
      </w:r>
      <w:r>
        <w:rPr>
          <w:color w:val="231F20"/>
          <w:w w:val="105"/>
        </w:rPr>
        <w:t>que</w:t>
      </w:r>
      <w:r>
        <w:rPr>
          <w:color w:val="231F20"/>
          <w:spacing w:val="-20"/>
          <w:w w:val="105"/>
        </w:rPr>
        <w:t> </w:t>
      </w:r>
      <w:r>
        <w:rPr>
          <w:color w:val="231F20"/>
          <w:w w:val="105"/>
        </w:rPr>
        <w:t>viven</w:t>
      </w:r>
      <w:r>
        <w:rPr>
          <w:color w:val="231F20"/>
          <w:spacing w:val="-20"/>
          <w:w w:val="105"/>
        </w:rPr>
        <w:t> </w:t>
      </w:r>
      <w:r>
        <w:rPr>
          <w:color w:val="231F20"/>
          <w:w w:val="105"/>
        </w:rPr>
        <w:t>en</w:t>
      </w:r>
      <w:r>
        <w:rPr>
          <w:color w:val="231F20"/>
          <w:spacing w:val="-20"/>
          <w:w w:val="105"/>
        </w:rPr>
        <w:t> </w:t>
      </w:r>
      <w:r>
        <w:rPr>
          <w:color w:val="231F20"/>
          <w:w w:val="105"/>
        </w:rPr>
        <w:t>localidades</w:t>
      </w:r>
      <w:r>
        <w:rPr>
          <w:color w:val="231F20"/>
          <w:spacing w:val="-20"/>
          <w:w w:val="105"/>
        </w:rPr>
        <w:t> </w:t>
      </w:r>
      <w:r>
        <w:rPr>
          <w:color w:val="231F20"/>
          <w:w w:val="105"/>
        </w:rPr>
        <w:t>de hasta</w:t>
      </w:r>
      <w:r>
        <w:rPr>
          <w:color w:val="231F20"/>
          <w:spacing w:val="-14"/>
          <w:w w:val="105"/>
        </w:rPr>
        <w:t> </w:t>
      </w:r>
      <w:r>
        <w:rPr>
          <w:color w:val="231F20"/>
          <w:spacing w:val="-5"/>
          <w:w w:val="105"/>
        </w:rPr>
        <w:t>10</w:t>
      </w:r>
      <w:r>
        <w:rPr>
          <w:color w:val="231F20"/>
          <w:spacing w:val="-14"/>
          <w:w w:val="105"/>
        </w:rPr>
        <w:t> </w:t>
      </w:r>
      <w:r>
        <w:rPr>
          <w:color w:val="231F20"/>
          <w:spacing w:val="2"/>
          <w:w w:val="105"/>
        </w:rPr>
        <w:t>mil</w:t>
      </w:r>
      <w:r>
        <w:rPr>
          <w:color w:val="231F20"/>
          <w:spacing w:val="-14"/>
          <w:w w:val="105"/>
        </w:rPr>
        <w:t> </w:t>
      </w:r>
      <w:r>
        <w:rPr>
          <w:color w:val="231F20"/>
          <w:w w:val="105"/>
        </w:rPr>
        <w:t>habitantes,</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agregó</w:t>
      </w:r>
      <w:r>
        <w:rPr>
          <w:color w:val="231F20"/>
          <w:spacing w:val="-14"/>
          <w:w w:val="105"/>
        </w:rPr>
        <w:t> </w:t>
      </w:r>
      <w:r>
        <w:rPr>
          <w:color w:val="231F20"/>
          <w:w w:val="105"/>
        </w:rPr>
        <w:t>a</w:t>
      </w:r>
      <w:r>
        <w:rPr>
          <w:color w:val="231F20"/>
          <w:spacing w:val="-14"/>
          <w:w w:val="105"/>
        </w:rPr>
        <w:t> </w:t>
      </w:r>
      <w:r>
        <w:rPr>
          <w:color w:val="231F20"/>
          <w:w w:val="105"/>
        </w:rPr>
        <w:t>San</w:t>
      </w:r>
      <w:r>
        <w:rPr>
          <w:color w:val="231F20"/>
          <w:spacing w:val="-14"/>
          <w:w w:val="105"/>
        </w:rPr>
        <w:t> </w:t>
      </w:r>
      <w:r>
        <w:rPr>
          <w:color w:val="231F20"/>
          <w:w w:val="105"/>
        </w:rPr>
        <w:t>Mateo</w:t>
      </w:r>
      <w:r>
        <w:rPr>
          <w:color w:val="231F20"/>
          <w:spacing w:val="-14"/>
          <w:w w:val="105"/>
        </w:rPr>
        <w:t> </w:t>
      </w:r>
      <w:r>
        <w:rPr>
          <w:color w:val="231F20"/>
          <w:spacing w:val="-3"/>
          <w:w w:val="105"/>
        </w:rPr>
        <w:t>Tecalco.</w:t>
      </w:r>
      <w:r>
        <w:rPr>
          <w:color w:val="231F20"/>
          <w:spacing w:val="-14"/>
          <w:w w:val="105"/>
        </w:rPr>
        <w:t> </w:t>
      </w:r>
      <w:r>
        <w:rPr>
          <w:color w:val="231F20"/>
          <w:w w:val="105"/>
        </w:rPr>
        <w:t>Inició</w:t>
      </w:r>
      <w:r>
        <w:rPr>
          <w:color w:val="231F20"/>
          <w:spacing w:val="-14"/>
          <w:w w:val="105"/>
        </w:rPr>
        <w:t> </w:t>
      </w:r>
      <w:r>
        <w:rPr>
          <w:color w:val="231F20"/>
          <w:w w:val="105"/>
        </w:rPr>
        <w:t>con</w:t>
      </w:r>
      <w:r>
        <w:rPr>
          <w:color w:val="231F20"/>
          <w:spacing w:val="-14"/>
          <w:w w:val="105"/>
        </w:rPr>
        <w:t> </w:t>
      </w:r>
      <w:r>
        <w:rPr>
          <w:color w:val="231F20"/>
          <w:w w:val="105"/>
        </w:rPr>
        <w:t>un</w:t>
      </w:r>
      <w:r>
        <w:rPr>
          <w:color w:val="231F20"/>
          <w:spacing w:val="-14"/>
          <w:w w:val="105"/>
        </w:rPr>
        <w:t> </w:t>
      </w:r>
      <w:r>
        <w:rPr>
          <w:color w:val="231F20"/>
          <w:w w:val="105"/>
        </w:rPr>
        <w:t>padrón de beneficiarios de 34 personas, y actualmente se tiene una inscripción de 8 </w:t>
      </w:r>
      <w:r>
        <w:rPr>
          <w:color w:val="231F20"/>
          <w:spacing w:val="2"/>
          <w:w w:val="105"/>
        </w:rPr>
        <w:t>mil </w:t>
      </w:r>
      <w:r>
        <w:rPr>
          <w:color w:val="231F20"/>
          <w:w w:val="105"/>
        </w:rPr>
        <w:t>338 personas,</w:t>
      </w:r>
      <w:r>
        <w:rPr>
          <w:color w:val="231F20"/>
          <w:spacing w:val="-14"/>
          <w:w w:val="105"/>
        </w:rPr>
        <w:t> </w:t>
      </w:r>
      <w:r>
        <w:rPr>
          <w:color w:val="231F20"/>
          <w:w w:val="105"/>
        </w:rPr>
        <w:t>sin</w:t>
      </w:r>
      <w:r>
        <w:rPr>
          <w:color w:val="231F20"/>
          <w:spacing w:val="-14"/>
          <w:w w:val="105"/>
        </w:rPr>
        <w:t> </w:t>
      </w:r>
      <w:r>
        <w:rPr>
          <w:color w:val="231F20"/>
          <w:w w:val="105"/>
        </w:rPr>
        <w:t>contar</w:t>
      </w:r>
      <w:r>
        <w:rPr>
          <w:color w:val="231F20"/>
          <w:spacing w:val="-14"/>
          <w:w w:val="105"/>
        </w:rPr>
        <w:t> </w:t>
      </w:r>
      <w:r>
        <w:rPr>
          <w:color w:val="231F20"/>
          <w:w w:val="105"/>
        </w:rPr>
        <w:t>la</w:t>
      </w:r>
      <w:r>
        <w:rPr>
          <w:color w:val="231F20"/>
          <w:spacing w:val="-14"/>
          <w:w w:val="105"/>
        </w:rPr>
        <w:t> </w:t>
      </w:r>
      <w:r>
        <w:rPr>
          <w:color w:val="231F20"/>
          <w:w w:val="105"/>
        </w:rPr>
        <w:t>Cabecera</w:t>
      </w:r>
      <w:r>
        <w:rPr>
          <w:color w:val="231F20"/>
          <w:spacing w:val="-14"/>
          <w:w w:val="105"/>
        </w:rPr>
        <w:t> </w:t>
      </w:r>
      <w:r>
        <w:rPr>
          <w:color w:val="231F20"/>
          <w:w w:val="105"/>
        </w:rPr>
        <w:t>Municipal</w:t>
      </w:r>
      <w:r>
        <w:rPr>
          <w:color w:val="231F20"/>
          <w:spacing w:val="-14"/>
          <w:w w:val="105"/>
        </w:rPr>
        <w:t> </w:t>
      </w:r>
      <w:r>
        <w:rPr>
          <w:color w:val="231F20"/>
          <w:w w:val="105"/>
        </w:rPr>
        <w:t>que</w:t>
      </w:r>
      <w:r>
        <w:rPr>
          <w:color w:val="231F20"/>
          <w:spacing w:val="-14"/>
          <w:w w:val="105"/>
        </w:rPr>
        <w:t> </w:t>
      </w:r>
      <w:r>
        <w:rPr>
          <w:color w:val="231F20"/>
          <w:w w:val="105"/>
        </w:rPr>
        <w:t>tiene</w:t>
      </w:r>
      <w:r>
        <w:rPr>
          <w:color w:val="231F20"/>
          <w:spacing w:val="-14"/>
          <w:w w:val="105"/>
        </w:rPr>
        <w:t> </w:t>
      </w:r>
      <w:r>
        <w:rPr>
          <w:color w:val="231F20"/>
          <w:spacing w:val="-3"/>
          <w:w w:val="105"/>
        </w:rPr>
        <w:t>271</w:t>
      </w:r>
      <w:r>
        <w:rPr>
          <w:color w:val="231F20"/>
          <w:spacing w:val="-14"/>
          <w:w w:val="105"/>
        </w:rPr>
        <w:t> </w:t>
      </w:r>
      <w:r>
        <w:rPr>
          <w:color w:val="231F20"/>
          <w:w w:val="105"/>
        </w:rPr>
        <w:t>personas</w:t>
      </w:r>
      <w:r>
        <w:rPr>
          <w:color w:val="231F20"/>
          <w:spacing w:val="-14"/>
          <w:w w:val="105"/>
        </w:rPr>
        <w:t> </w:t>
      </w:r>
      <w:r>
        <w:rPr>
          <w:color w:val="231F20"/>
          <w:w w:val="105"/>
        </w:rPr>
        <w:t>beneficiadas.</w:t>
      </w:r>
    </w:p>
    <w:p>
      <w:pPr>
        <w:pStyle w:val="BodyText"/>
        <w:spacing w:before="1"/>
        <w:rPr>
          <w:sz w:val="24"/>
        </w:rPr>
      </w:pPr>
    </w:p>
    <w:p>
      <w:pPr>
        <w:spacing w:line="264" w:lineRule="auto" w:before="0"/>
        <w:ind w:left="110" w:right="-2" w:firstLine="0"/>
        <w:jc w:val="left"/>
        <w:rPr>
          <w:sz w:val="22"/>
        </w:rPr>
      </w:pPr>
      <w:r>
        <w:rPr>
          <w:rFonts w:ascii="Palatino Linotype" w:hAnsi="Palatino Linotype"/>
          <w:i/>
          <w:color w:val="231F20"/>
          <w:spacing w:val="-3"/>
          <w:w w:val="105"/>
          <w:sz w:val="22"/>
        </w:rPr>
        <w:t>Pensión</w:t>
      </w:r>
      <w:r>
        <w:rPr>
          <w:rFonts w:ascii="Palatino Linotype" w:hAnsi="Palatino Linotype"/>
          <w:i/>
          <w:color w:val="231F20"/>
          <w:spacing w:val="-20"/>
          <w:w w:val="105"/>
          <w:sz w:val="22"/>
        </w:rPr>
        <w:t> </w:t>
      </w:r>
      <w:r>
        <w:rPr>
          <w:rFonts w:ascii="Palatino Linotype" w:hAnsi="Palatino Linotype"/>
          <w:i/>
          <w:color w:val="231F20"/>
          <w:spacing w:val="-3"/>
          <w:w w:val="105"/>
          <w:sz w:val="22"/>
        </w:rPr>
        <w:t>alimenticia</w:t>
      </w:r>
      <w:r>
        <w:rPr>
          <w:rFonts w:ascii="Palatino Linotype" w:hAnsi="Palatino Linotype"/>
          <w:i/>
          <w:color w:val="231F20"/>
          <w:spacing w:val="-20"/>
          <w:w w:val="105"/>
          <w:sz w:val="22"/>
        </w:rPr>
        <w:t> </w:t>
      </w:r>
      <w:r>
        <w:rPr>
          <w:rFonts w:ascii="Palatino Linotype" w:hAnsi="Palatino Linotype"/>
          <w:i/>
          <w:color w:val="231F20"/>
          <w:w w:val="105"/>
          <w:sz w:val="22"/>
        </w:rPr>
        <w:t>de</w:t>
      </w:r>
      <w:r>
        <w:rPr>
          <w:rFonts w:ascii="Palatino Linotype" w:hAnsi="Palatino Linotype"/>
          <w:i/>
          <w:color w:val="231F20"/>
          <w:spacing w:val="-20"/>
          <w:w w:val="105"/>
          <w:sz w:val="22"/>
        </w:rPr>
        <w:t> </w:t>
      </w:r>
      <w:r>
        <w:rPr>
          <w:rFonts w:ascii="Palatino Linotype" w:hAnsi="Palatino Linotype"/>
          <w:i/>
          <w:color w:val="231F20"/>
          <w:w w:val="105"/>
          <w:sz w:val="22"/>
        </w:rPr>
        <w:t>60</w:t>
      </w:r>
      <w:r>
        <w:rPr>
          <w:rFonts w:ascii="Palatino Linotype" w:hAnsi="Palatino Linotype"/>
          <w:i/>
          <w:color w:val="231F20"/>
          <w:spacing w:val="-20"/>
          <w:w w:val="105"/>
          <w:sz w:val="22"/>
        </w:rPr>
        <w:t> </w:t>
      </w:r>
      <w:r>
        <w:rPr>
          <w:rFonts w:ascii="Palatino Linotype" w:hAnsi="Palatino Linotype"/>
          <w:i/>
          <w:color w:val="231F20"/>
          <w:w w:val="105"/>
          <w:sz w:val="22"/>
        </w:rPr>
        <w:t>a</w:t>
      </w:r>
      <w:r>
        <w:rPr>
          <w:rFonts w:ascii="Palatino Linotype" w:hAnsi="Palatino Linotype"/>
          <w:i/>
          <w:color w:val="231F20"/>
          <w:spacing w:val="-20"/>
          <w:w w:val="105"/>
          <w:sz w:val="22"/>
        </w:rPr>
        <w:t> </w:t>
      </w:r>
      <w:r>
        <w:rPr>
          <w:rFonts w:ascii="Palatino Linotype" w:hAnsi="Palatino Linotype"/>
          <w:i/>
          <w:color w:val="231F20"/>
          <w:spacing w:val="-5"/>
          <w:w w:val="105"/>
          <w:sz w:val="22"/>
        </w:rPr>
        <w:t>69</w:t>
      </w:r>
      <w:r>
        <w:rPr>
          <w:rFonts w:ascii="Palatino Linotype" w:hAnsi="Palatino Linotype"/>
          <w:i/>
          <w:color w:val="231F20"/>
          <w:spacing w:val="-20"/>
          <w:w w:val="105"/>
          <w:sz w:val="22"/>
        </w:rPr>
        <w:t> </w:t>
      </w:r>
      <w:r>
        <w:rPr>
          <w:rFonts w:ascii="Palatino Linotype" w:hAnsi="Palatino Linotype"/>
          <w:i/>
          <w:color w:val="231F20"/>
          <w:w w:val="105"/>
          <w:sz w:val="22"/>
        </w:rPr>
        <w:t>años</w:t>
      </w:r>
      <w:r>
        <w:rPr>
          <w:rFonts w:ascii="Palatino Linotype" w:hAnsi="Palatino Linotype"/>
          <w:i/>
          <w:color w:val="231F20"/>
          <w:spacing w:val="-20"/>
          <w:w w:val="105"/>
          <w:sz w:val="22"/>
        </w:rPr>
        <w:t> </w:t>
      </w:r>
      <w:r>
        <w:rPr>
          <w:rFonts w:ascii="Palatino Linotype" w:hAnsi="Palatino Linotype"/>
          <w:i/>
          <w:color w:val="231F20"/>
          <w:w w:val="105"/>
          <w:sz w:val="22"/>
        </w:rPr>
        <w:t>y</w:t>
      </w:r>
      <w:r>
        <w:rPr>
          <w:rFonts w:ascii="Palatino Linotype" w:hAnsi="Palatino Linotype"/>
          <w:i/>
          <w:color w:val="231F20"/>
          <w:spacing w:val="-20"/>
          <w:w w:val="105"/>
          <w:sz w:val="22"/>
        </w:rPr>
        <w:t> </w:t>
      </w:r>
      <w:r>
        <w:rPr>
          <w:rFonts w:ascii="Palatino Linotype" w:hAnsi="Palatino Linotype"/>
          <w:i/>
          <w:color w:val="231F20"/>
          <w:spacing w:val="-3"/>
          <w:w w:val="105"/>
          <w:sz w:val="22"/>
        </w:rPr>
        <w:t>70</w:t>
      </w:r>
      <w:r>
        <w:rPr>
          <w:rFonts w:ascii="Palatino Linotype" w:hAnsi="Palatino Linotype"/>
          <w:i/>
          <w:color w:val="231F20"/>
          <w:spacing w:val="-20"/>
          <w:w w:val="105"/>
          <w:sz w:val="22"/>
        </w:rPr>
        <w:t> </w:t>
      </w:r>
      <w:r>
        <w:rPr>
          <w:rFonts w:ascii="Palatino Linotype" w:hAnsi="Palatino Linotype"/>
          <w:i/>
          <w:color w:val="231F20"/>
          <w:w w:val="105"/>
          <w:sz w:val="22"/>
        </w:rPr>
        <w:t>en</w:t>
      </w:r>
      <w:r>
        <w:rPr>
          <w:rFonts w:ascii="Palatino Linotype" w:hAnsi="Palatino Linotype"/>
          <w:i/>
          <w:color w:val="231F20"/>
          <w:spacing w:val="-20"/>
          <w:w w:val="105"/>
          <w:sz w:val="22"/>
        </w:rPr>
        <w:t> </w:t>
      </w:r>
      <w:r>
        <w:rPr>
          <w:rFonts w:ascii="Palatino Linotype" w:hAnsi="Palatino Linotype"/>
          <w:i/>
          <w:color w:val="231F20"/>
          <w:w w:val="105"/>
          <w:sz w:val="22"/>
        </w:rPr>
        <w:t>adelante.</w:t>
      </w:r>
      <w:r>
        <w:rPr>
          <w:rFonts w:ascii="Palatino Linotype" w:hAnsi="Palatino Linotype"/>
          <w:i/>
          <w:color w:val="231F20"/>
          <w:spacing w:val="-21"/>
          <w:w w:val="105"/>
          <w:sz w:val="22"/>
        </w:rPr>
        <w:t> </w:t>
      </w:r>
      <w:r>
        <w:rPr>
          <w:color w:val="231F20"/>
          <w:w w:val="105"/>
          <w:sz w:val="22"/>
        </w:rPr>
        <w:t>En</w:t>
      </w:r>
      <w:r>
        <w:rPr>
          <w:color w:val="231F20"/>
          <w:spacing w:val="-20"/>
          <w:w w:val="105"/>
          <w:sz w:val="22"/>
        </w:rPr>
        <w:t> </w:t>
      </w:r>
      <w:r>
        <w:rPr>
          <w:color w:val="231F20"/>
          <w:w w:val="105"/>
          <w:sz w:val="22"/>
        </w:rPr>
        <w:t>este</w:t>
      </w:r>
      <w:r>
        <w:rPr>
          <w:color w:val="231F20"/>
          <w:spacing w:val="-20"/>
          <w:w w:val="105"/>
          <w:sz w:val="22"/>
        </w:rPr>
        <w:t> </w:t>
      </w:r>
      <w:r>
        <w:rPr>
          <w:color w:val="231F20"/>
          <w:w w:val="105"/>
          <w:sz w:val="22"/>
        </w:rPr>
        <w:t>programa</w:t>
      </w:r>
      <w:r>
        <w:rPr>
          <w:color w:val="231F20"/>
          <w:spacing w:val="-20"/>
          <w:w w:val="105"/>
          <w:sz w:val="22"/>
        </w:rPr>
        <w:t> </w:t>
      </w:r>
      <w:r>
        <w:rPr>
          <w:color w:val="231F20"/>
          <w:w w:val="105"/>
          <w:sz w:val="22"/>
        </w:rPr>
        <w:t>se</w:t>
      </w:r>
      <w:r>
        <w:rPr>
          <w:color w:val="231F20"/>
          <w:spacing w:val="-20"/>
          <w:w w:val="105"/>
          <w:sz w:val="22"/>
        </w:rPr>
        <w:t> </w:t>
      </w:r>
      <w:r>
        <w:rPr>
          <w:color w:val="231F20"/>
          <w:spacing w:val="-3"/>
          <w:w w:val="105"/>
          <w:sz w:val="22"/>
        </w:rPr>
        <w:t>tienen</w:t>
      </w:r>
      <w:r>
        <w:rPr>
          <w:color w:val="231F20"/>
          <w:spacing w:val="-20"/>
          <w:w w:val="105"/>
          <w:sz w:val="22"/>
        </w:rPr>
        <w:t> </w:t>
      </w:r>
      <w:r>
        <w:rPr>
          <w:color w:val="231F20"/>
          <w:w w:val="105"/>
          <w:sz w:val="22"/>
        </w:rPr>
        <w:t>inscritas </w:t>
      </w:r>
      <w:r>
        <w:rPr>
          <w:color w:val="231F20"/>
          <w:spacing w:val="-4"/>
          <w:w w:val="105"/>
          <w:sz w:val="22"/>
        </w:rPr>
        <w:t>570</w:t>
      </w:r>
      <w:r>
        <w:rPr>
          <w:color w:val="231F20"/>
          <w:spacing w:val="-20"/>
          <w:w w:val="105"/>
          <w:sz w:val="22"/>
        </w:rPr>
        <w:t> </w:t>
      </w:r>
      <w:r>
        <w:rPr>
          <w:color w:val="231F20"/>
          <w:spacing w:val="-3"/>
          <w:w w:val="105"/>
          <w:sz w:val="22"/>
        </w:rPr>
        <w:t>personas</w:t>
      </w:r>
      <w:r>
        <w:rPr>
          <w:color w:val="231F20"/>
          <w:spacing w:val="-20"/>
          <w:w w:val="105"/>
          <w:sz w:val="22"/>
        </w:rPr>
        <w:t> </w:t>
      </w:r>
      <w:r>
        <w:rPr>
          <w:color w:val="231F20"/>
          <w:w w:val="105"/>
          <w:sz w:val="22"/>
        </w:rPr>
        <w:t>de</w:t>
      </w:r>
      <w:r>
        <w:rPr>
          <w:color w:val="231F20"/>
          <w:spacing w:val="-20"/>
          <w:w w:val="105"/>
          <w:sz w:val="22"/>
        </w:rPr>
        <w:t> </w:t>
      </w:r>
      <w:r>
        <w:rPr>
          <w:color w:val="231F20"/>
          <w:w w:val="105"/>
          <w:sz w:val="22"/>
        </w:rPr>
        <w:t>las</w:t>
      </w:r>
      <w:r>
        <w:rPr>
          <w:color w:val="231F20"/>
          <w:spacing w:val="-20"/>
          <w:w w:val="105"/>
          <w:sz w:val="22"/>
        </w:rPr>
        <w:t> </w:t>
      </w:r>
      <w:r>
        <w:rPr>
          <w:color w:val="231F20"/>
          <w:w w:val="105"/>
          <w:sz w:val="22"/>
        </w:rPr>
        <w:t>cuales</w:t>
      </w:r>
      <w:r>
        <w:rPr>
          <w:color w:val="231F20"/>
          <w:spacing w:val="-20"/>
          <w:w w:val="105"/>
          <w:sz w:val="22"/>
        </w:rPr>
        <w:t> </w:t>
      </w:r>
      <w:r>
        <w:rPr>
          <w:color w:val="231F20"/>
          <w:w w:val="105"/>
          <w:sz w:val="22"/>
        </w:rPr>
        <w:t>560</w:t>
      </w:r>
      <w:r>
        <w:rPr>
          <w:color w:val="231F20"/>
          <w:spacing w:val="-20"/>
          <w:w w:val="105"/>
          <w:sz w:val="22"/>
        </w:rPr>
        <w:t> </w:t>
      </w:r>
      <w:r>
        <w:rPr>
          <w:color w:val="231F20"/>
          <w:w w:val="105"/>
          <w:sz w:val="22"/>
        </w:rPr>
        <w:t>ya</w:t>
      </w:r>
      <w:r>
        <w:rPr>
          <w:color w:val="231F20"/>
          <w:spacing w:val="-20"/>
          <w:w w:val="105"/>
          <w:sz w:val="22"/>
        </w:rPr>
        <w:t> </w:t>
      </w:r>
      <w:r>
        <w:rPr>
          <w:color w:val="231F20"/>
          <w:w w:val="105"/>
          <w:sz w:val="22"/>
        </w:rPr>
        <w:t>se</w:t>
      </w:r>
      <w:r>
        <w:rPr>
          <w:color w:val="231F20"/>
          <w:spacing w:val="-20"/>
          <w:w w:val="105"/>
          <w:sz w:val="22"/>
        </w:rPr>
        <w:t> </w:t>
      </w:r>
      <w:r>
        <w:rPr>
          <w:color w:val="231F20"/>
          <w:w w:val="105"/>
          <w:sz w:val="22"/>
        </w:rPr>
        <w:t>están</w:t>
      </w:r>
      <w:r>
        <w:rPr>
          <w:color w:val="231F20"/>
          <w:spacing w:val="-20"/>
          <w:w w:val="105"/>
          <w:sz w:val="22"/>
        </w:rPr>
        <w:t> </w:t>
      </w:r>
      <w:r>
        <w:rPr>
          <w:color w:val="231F20"/>
          <w:spacing w:val="-3"/>
          <w:w w:val="105"/>
          <w:sz w:val="22"/>
        </w:rPr>
        <w:t>beneficiando</w:t>
      </w:r>
      <w:r>
        <w:rPr>
          <w:color w:val="231F20"/>
          <w:spacing w:val="-20"/>
          <w:w w:val="105"/>
          <w:sz w:val="22"/>
        </w:rPr>
        <w:t> </w:t>
      </w:r>
      <w:r>
        <w:rPr>
          <w:color w:val="231F20"/>
          <w:w w:val="105"/>
          <w:sz w:val="22"/>
        </w:rPr>
        <w:t>en</w:t>
      </w:r>
      <w:r>
        <w:rPr>
          <w:color w:val="231F20"/>
          <w:spacing w:val="-20"/>
          <w:w w:val="105"/>
          <w:sz w:val="22"/>
        </w:rPr>
        <w:t> </w:t>
      </w:r>
      <w:r>
        <w:rPr>
          <w:color w:val="231F20"/>
          <w:w w:val="105"/>
          <w:sz w:val="22"/>
        </w:rPr>
        <w:t>el</w:t>
      </w:r>
      <w:r>
        <w:rPr>
          <w:color w:val="231F20"/>
          <w:spacing w:val="-20"/>
          <w:w w:val="105"/>
          <w:sz w:val="22"/>
        </w:rPr>
        <w:t> </w:t>
      </w:r>
      <w:r>
        <w:rPr>
          <w:color w:val="231F20"/>
          <w:w w:val="105"/>
          <w:sz w:val="22"/>
        </w:rPr>
        <w:t>programa</w:t>
      </w:r>
      <w:r>
        <w:rPr>
          <w:color w:val="231F20"/>
          <w:spacing w:val="-20"/>
          <w:w w:val="105"/>
          <w:sz w:val="22"/>
        </w:rPr>
        <w:t> </w:t>
      </w:r>
      <w:r>
        <w:rPr>
          <w:color w:val="231F20"/>
          <w:w w:val="105"/>
          <w:sz w:val="22"/>
        </w:rPr>
        <w:t>de</w:t>
      </w:r>
      <w:r>
        <w:rPr>
          <w:color w:val="231F20"/>
          <w:spacing w:val="-20"/>
          <w:w w:val="105"/>
          <w:sz w:val="22"/>
        </w:rPr>
        <w:t> </w:t>
      </w:r>
      <w:r>
        <w:rPr>
          <w:color w:val="231F20"/>
          <w:w w:val="105"/>
          <w:sz w:val="22"/>
        </w:rPr>
        <w:t>60</w:t>
      </w:r>
      <w:r>
        <w:rPr>
          <w:color w:val="231F20"/>
          <w:spacing w:val="-20"/>
          <w:w w:val="105"/>
          <w:sz w:val="22"/>
        </w:rPr>
        <w:t> </w:t>
      </w:r>
      <w:r>
        <w:rPr>
          <w:color w:val="231F20"/>
          <w:w w:val="105"/>
          <w:sz w:val="22"/>
        </w:rPr>
        <w:t>a</w:t>
      </w:r>
      <w:r>
        <w:rPr>
          <w:color w:val="231F20"/>
          <w:spacing w:val="-20"/>
          <w:w w:val="105"/>
          <w:sz w:val="22"/>
        </w:rPr>
        <w:t> </w:t>
      </w:r>
      <w:r>
        <w:rPr>
          <w:color w:val="231F20"/>
          <w:spacing w:val="-4"/>
          <w:w w:val="105"/>
          <w:sz w:val="22"/>
        </w:rPr>
        <w:t>69</w:t>
      </w:r>
      <w:r>
        <w:rPr>
          <w:color w:val="231F20"/>
          <w:spacing w:val="-20"/>
          <w:w w:val="105"/>
          <w:sz w:val="22"/>
        </w:rPr>
        <w:t> </w:t>
      </w:r>
      <w:r>
        <w:rPr>
          <w:color w:val="231F20"/>
          <w:w w:val="105"/>
          <w:sz w:val="22"/>
        </w:rPr>
        <w:t>años.</w:t>
      </w:r>
    </w:p>
    <w:p>
      <w:pPr>
        <w:pStyle w:val="BodyText"/>
        <w:spacing w:before="9"/>
        <w:rPr>
          <w:sz w:val="25"/>
        </w:rPr>
      </w:pPr>
    </w:p>
    <w:p>
      <w:pPr>
        <w:spacing w:line="264" w:lineRule="auto" w:before="0"/>
        <w:ind w:left="110" w:right="37" w:firstLine="0"/>
        <w:jc w:val="left"/>
        <w:rPr>
          <w:sz w:val="22"/>
        </w:rPr>
      </w:pPr>
      <w:r>
        <w:rPr>
          <w:rFonts w:ascii="Palatino Linotype" w:hAnsi="Palatino Linotype"/>
          <w:i/>
          <w:color w:val="231F20"/>
          <w:w w:val="105"/>
          <w:sz w:val="22"/>
        </w:rPr>
        <w:t>Instituto Mexiquense de la Vivienda Social (IMEVIS)</w:t>
      </w:r>
      <w:r>
        <w:rPr>
          <w:color w:val="231F20"/>
          <w:w w:val="105"/>
          <w:sz w:val="22"/>
        </w:rPr>
        <w:t>. Se instaló el módulo de trámite de escrituración, se han asesorado 220 personas.</w:t>
      </w:r>
    </w:p>
    <w:p>
      <w:pPr>
        <w:spacing w:after="0" w:line="264" w:lineRule="auto"/>
        <w:jc w:val="left"/>
        <w:rPr>
          <w:sz w:val="22"/>
        </w:rPr>
        <w:sectPr>
          <w:pgSz w:w="9640" w:h="12190"/>
          <w:pgMar w:header="0" w:footer="743" w:top="1120" w:bottom="940" w:left="740" w:right="740"/>
        </w:sectPr>
      </w:pPr>
    </w:p>
    <w:p>
      <w:pPr>
        <w:pStyle w:val="BodyText"/>
        <w:spacing w:before="3"/>
        <w:rPr>
          <w:sz w:val="11"/>
        </w:rPr>
      </w:pPr>
    </w:p>
    <w:p>
      <w:pPr>
        <w:pStyle w:val="BodyText"/>
        <w:spacing w:line="283" w:lineRule="auto" w:before="10"/>
        <w:ind w:left="110" w:right="107"/>
        <w:jc w:val="both"/>
      </w:pPr>
      <w:r>
        <w:rPr>
          <w:rFonts w:ascii="Palatino Linotype" w:hAnsi="Palatino Linotype"/>
          <w:i/>
          <w:color w:val="231F20"/>
          <w:w w:val="105"/>
        </w:rPr>
        <w:t>Equidad de Género</w:t>
      </w:r>
      <w:r>
        <w:rPr>
          <w:color w:val="231F20"/>
          <w:w w:val="105"/>
        </w:rPr>
        <w:t>. En coordinación con el Consejo Estatal de la </w:t>
      </w:r>
      <w:r>
        <w:rPr>
          <w:color w:val="231F20"/>
          <w:spacing w:val="-3"/>
          <w:w w:val="105"/>
        </w:rPr>
        <w:t>Mujer </w:t>
      </w:r>
      <w:r>
        <w:rPr>
          <w:color w:val="231F20"/>
          <w:w w:val="105"/>
        </w:rPr>
        <w:t>y Bienestar Social</w:t>
      </w:r>
      <w:r>
        <w:rPr>
          <w:color w:val="231F20"/>
          <w:spacing w:val="-17"/>
          <w:w w:val="105"/>
        </w:rPr>
        <w:t> </w:t>
      </w:r>
      <w:r>
        <w:rPr>
          <w:color w:val="231F20"/>
          <w:w w:val="105"/>
        </w:rPr>
        <w:t>(CEMYBS)</w:t>
      </w:r>
      <w:r>
        <w:rPr>
          <w:color w:val="231F20"/>
          <w:spacing w:val="-17"/>
          <w:w w:val="105"/>
        </w:rPr>
        <w:t> </w:t>
      </w:r>
      <w:r>
        <w:rPr>
          <w:color w:val="231F20"/>
          <w:w w:val="105"/>
        </w:rPr>
        <w:t>se</w:t>
      </w:r>
      <w:r>
        <w:rPr>
          <w:color w:val="231F20"/>
          <w:spacing w:val="-17"/>
          <w:w w:val="105"/>
        </w:rPr>
        <w:t> </w:t>
      </w:r>
      <w:r>
        <w:rPr>
          <w:color w:val="231F20"/>
          <w:w w:val="105"/>
        </w:rPr>
        <w:t>realizaron</w:t>
      </w:r>
      <w:r>
        <w:rPr>
          <w:color w:val="231F20"/>
          <w:spacing w:val="-17"/>
          <w:w w:val="105"/>
        </w:rPr>
        <w:t> </w:t>
      </w:r>
      <w:r>
        <w:rPr>
          <w:color w:val="231F20"/>
          <w:w w:val="105"/>
        </w:rPr>
        <w:t>actividades</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comunidad</w:t>
      </w:r>
      <w:r>
        <w:rPr>
          <w:color w:val="231F20"/>
          <w:spacing w:val="-17"/>
          <w:w w:val="105"/>
        </w:rPr>
        <w:t> </w:t>
      </w:r>
      <w:r>
        <w:rPr>
          <w:color w:val="231F20"/>
          <w:w w:val="105"/>
        </w:rPr>
        <w:t>en</w:t>
      </w:r>
      <w:r>
        <w:rPr>
          <w:color w:val="231F20"/>
          <w:spacing w:val="-17"/>
          <w:w w:val="105"/>
        </w:rPr>
        <w:t> </w:t>
      </w:r>
      <w:r>
        <w:rPr>
          <w:color w:val="231F20"/>
          <w:w w:val="105"/>
        </w:rPr>
        <w:t>sus</w:t>
      </w:r>
      <w:r>
        <w:rPr>
          <w:color w:val="231F20"/>
          <w:spacing w:val="-17"/>
          <w:w w:val="105"/>
        </w:rPr>
        <w:t> </w:t>
      </w:r>
      <w:r>
        <w:rPr>
          <w:color w:val="231F20"/>
          <w:w w:val="105"/>
        </w:rPr>
        <w:t>delegaciones,</w:t>
      </w:r>
      <w:r>
        <w:rPr>
          <w:color w:val="231F20"/>
          <w:spacing w:val="-17"/>
          <w:w w:val="105"/>
        </w:rPr>
        <w:t> </w:t>
      </w:r>
      <w:r>
        <w:rPr>
          <w:color w:val="231F20"/>
          <w:w w:val="105"/>
        </w:rPr>
        <w:t>con el objeto de dar pláticas de concientización y asesoramiento a la </w:t>
      </w:r>
      <w:r>
        <w:rPr>
          <w:color w:val="231F20"/>
          <w:spacing w:val="-4"/>
          <w:w w:val="105"/>
        </w:rPr>
        <w:t>mujer, </w:t>
      </w:r>
      <w:r>
        <w:rPr>
          <w:color w:val="231F20"/>
          <w:w w:val="105"/>
        </w:rPr>
        <w:t>para </w:t>
      </w:r>
      <w:r>
        <w:rPr>
          <w:color w:val="231F20"/>
          <w:spacing w:val="2"/>
          <w:w w:val="105"/>
        </w:rPr>
        <w:t>tal </w:t>
      </w:r>
      <w:r>
        <w:rPr>
          <w:color w:val="231F20"/>
          <w:w w:val="105"/>
        </w:rPr>
        <w:t>efecto se</w:t>
      </w:r>
      <w:r>
        <w:rPr>
          <w:color w:val="231F20"/>
          <w:spacing w:val="-8"/>
          <w:w w:val="105"/>
        </w:rPr>
        <w:t> </w:t>
      </w:r>
      <w:r>
        <w:rPr>
          <w:color w:val="231F20"/>
          <w:w w:val="105"/>
        </w:rPr>
        <w:t>realizaron</w:t>
      </w:r>
      <w:r>
        <w:rPr>
          <w:color w:val="231F20"/>
          <w:spacing w:val="-8"/>
          <w:w w:val="105"/>
        </w:rPr>
        <w:t> </w:t>
      </w:r>
      <w:r>
        <w:rPr>
          <w:color w:val="231F20"/>
          <w:w w:val="105"/>
        </w:rPr>
        <w:t>24</w:t>
      </w:r>
      <w:r>
        <w:rPr>
          <w:color w:val="231F20"/>
          <w:spacing w:val="-8"/>
          <w:w w:val="105"/>
        </w:rPr>
        <w:t> </w:t>
      </w:r>
      <w:r>
        <w:rPr>
          <w:color w:val="231F20"/>
          <w:w w:val="105"/>
        </w:rPr>
        <w:t>actividades</w:t>
      </w:r>
      <w:r>
        <w:rPr>
          <w:color w:val="231F20"/>
          <w:spacing w:val="-8"/>
          <w:w w:val="105"/>
        </w:rPr>
        <w:t> </w:t>
      </w:r>
      <w:r>
        <w:rPr>
          <w:color w:val="231F20"/>
          <w:w w:val="105"/>
        </w:rPr>
        <w:t>entre</w:t>
      </w:r>
      <w:r>
        <w:rPr>
          <w:color w:val="231F20"/>
          <w:spacing w:val="-8"/>
          <w:w w:val="105"/>
        </w:rPr>
        <w:t> </w:t>
      </w:r>
      <w:r>
        <w:rPr>
          <w:color w:val="231F20"/>
          <w:w w:val="105"/>
        </w:rPr>
        <w:t>pláticas</w:t>
      </w:r>
      <w:r>
        <w:rPr>
          <w:color w:val="231F20"/>
          <w:spacing w:val="-8"/>
          <w:w w:val="105"/>
        </w:rPr>
        <w:t> </w:t>
      </w:r>
      <w:r>
        <w:rPr>
          <w:color w:val="231F20"/>
          <w:w w:val="105"/>
        </w:rPr>
        <w:t>y</w:t>
      </w:r>
      <w:r>
        <w:rPr>
          <w:color w:val="231F20"/>
          <w:spacing w:val="-8"/>
          <w:w w:val="105"/>
        </w:rPr>
        <w:t> </w:t>
      </w:r>
      <w:r>
        <w:rPr>
          <w:color w:val="231F20"/>
          <w:w w:val="105"/>
        </w:rPr>
        <w:t>talleres,</w:t>
      </w:r>
      <w:r>
        <w:rPr>
          <w:color w:val="231F20"/>
          <w:spacing w:val="-8"/>
          <w:w w:val="105"/>
        </w:rPr>
        <w:t> </w:t>
      </w:r>
      <w:r>
        <w:rPr>
          <w:color w:val="231F20"/>
          <w:w w:val="105"/>
        </w:rPr>
        <w:t>beneficiando</w:t>
      </w:r>
      <w:r>
        <w:rPr>
          <w:color w:val="231F20"/>
          <w:spacing w:val="-8"/>
          <w:w w:val="105"/>
        </w:rPr>
        <w:t> </w:t>
      </w:r>
      <w:r>
        <w:rPr>
          <w:color w:val="231F20"/>
          <w:w w:val="105"/>
        </w:rPr>
        <w:t>a</w:t>
      </w:r>
      <w:r>
        <w:rPr>
          <w:color w:val="231F20"/>
          <w:spacing w:val="-8"/>
          <w:w w:val="105"/>
        </w:rPr>
        <w:t> </w:t>
      </w:r>
      <w:r>
        <w:rPr>
          <w:color w:val="231F20"/>
          <w:spacing w:val="3"/>
          <w:w w:val="105"/>
        </w:rPr>
        <w:t>600</w:t>
      </w:r>
      <w:r>
        <w:rPr>
          <w:color w:val="231F20"/>
          <w:spacing w:val="-8"/>
          <w:w w:val="105"/>
        </w:rPr>
        <w:t> </w:t>
      </w:r>
      <w:r>
        <w:rPr>
          <w:color w:val="231F20"/>
          <w:w w:val="105"/>
        </w:rPr>
        <w:t>mujeres,</w:t>
      </w:r>
      <w:r>
        <w:rPr>
          <w:color w:val="231F20"/>
          <w:spacing w:val="-8"/>
          <w:w w:val="105"/>
        </w:rPr>
        <w:t> </w:t>
      </w:r>
      <w:r>
        <w:rPr>
          <w:color w:val="231F20"/>
          <w:w w:val="105"/>
        </w:rPr>
        <w:t>tanto amas</w:t>
      </w:r>
      <w:r>
        <w:rPr>
          <w:color w:val="231F20"/>
          <w:spacing w:val="-9"/>
          <w:w w:val="105"/>
        </w:rPr>
        <w:t> </w:t>
      </w:r>
      <w:r>
        <w:rPr>
          <w:color w:val="231F20"/>
          <w:w w:val="105"/>
        </w:rPr>
        <w:t>de</w:t>
      </w:r>
      <w:r>
        <w:rPr>
          <w:color w:val="231F20"/>
          <w:spacing w:val="-9"/>
          <w:w w:val="105"/>
        </w:rPr>
        <w:t> </w:t>
      </w:r>
      <w:r>
        <w:rPr>
          <w:color w:val="231F20"/>
          <w:w w:val="105"/>
        </w:rPr>
        <w:t>casa</w:t>
      </w:r>
      <w:r>
        <w:rPr>
          <w:color w:val="231F20"/>
          <w:spacing w:val="-9"/>
          <w:w w:val="105"/>
        </w:rPr>
        <w:t> </w:t>
      </w:r>
      <w:r>
        <w:rPr>
          <w:color w:val="231F20"/>
          <w:w w:val="105"/>
        </w:rPr>
        <w:t>como</w:t>
      </w:r>
      <w:r>
        <w:rPr>
          <w:color w:val="231F20"/>
          <w:spacing w:val="-9"/>
          <w:w w:val="105"/>
        </w:rPr>
        <w:t> </w:t>
      </w:r>
      <w:r>
        <w:rPr>
          <w:color w:val="231F20"/>
          <w:w w:val="105"/>
        </w:rPr>
        <w:t>estudiantes,</w:t>
      </w:r>
      <w:r>
        <w:rPr>
          <w:color w:val="231F20"/>
          <w:spacing w:val="-9"/>
          <w:w w:val="105"/>
        </w:rPr>
        <w:t> </w:t>
      </w:r>
      <w:r>
        <w:rPr>
          <w:color w:val="231F20"/>
          <w:w w:val="105"/>
        </w:rPr>
        <w:t>se</w:t>
      </w:r>
      <w:r>
        <w:rPr>
          <w:color w:val="231F20"/>
          <w:spacing w:val="-9"/>
          <w:w w:val="105"/>
        </w:rPr>
        <w:t> </w:t>
      </w:r>
      <w:r>
        <w:rPr>
          <w:color w:val="231F20"/>
          <w:w w:val="105"/>
        </w:rPr>
        <w:t>impartieron</w:t>
      </w:r>
      <w:r>
        <w:rPr>
          <w:color w:val="231F20"/>
          <w:spacing w:val="-9"/>
          <w:w w:val="105"/>
        </w:rPr>
        <w:t> </w:t>
      </w:r>
      <w:r>
        <w:rPr>
          <w:color w:val="231F20"/>
          <w:w w:val="105"/>
        </w:rPr>
        <w:t>los</w:t>
      </w:r>
      <w:r>
        <w:rPr>
          <w:color w:val="231F20"/>
          <w:spacing w:val="-9"/>
          <w:w w:val="105"/>
        </w:rPr>
        <w:t> </w:t>
      </w:r>
      <w:r>
        <w:rPr>
          <w:color w:val="231F20"/>
          <w:w w:val="105"/>
        </w:rPr>
        <w:t>cursos</w:t>
      </w:r>
      <w:r>
        <w:rPr>
          <w:color w:val="231F20"/>
          <w:spacing w:val="-9"/>
          <w:w w:val="105"/>
        </w:rPr>
        <w:t> </w:t>
      </w:r>
      <w:r>
        <w:rPr>
          <w:color w:val="231F20"/>
          <w:w w:val="105"/>
        </w:rPr>
        <w:t>de</w:t>
      </w:r>
      <w:r>
        <w:rPr>
          <w:color w:val="231F20"/>
          <w:spacing w:val="-9"/>
          <w:w w:val="105"/>
        </w:rPr>
        <w:t> </w:t>
      </w:r>
      <w:r>
        <w:rPr>
          <w:color w:val="231F20"/>
          <w:w w:val="105"/>
        </w:rPr>
        <w:t>elaboración</w:t>
      </w:r>
      <w:r>
        <w:rPr>
          <w:color w:val="231F20"/>
          <w:spacing w:val="-9"/>
          <w:w w:val="105"/>
        </w:rPr>
        <w:t> </w:t>
      </w:r>
      <w:r>
        <w:rPr>
          <w:color w:val="231F20"/>
          <w:w w:val="105"/>
        </w:rPr>
        <w:t>de</w:t>
      </w:r>
      <w:r>
        <w:rPr>
          <w:color w:val="231F20"/>
          <w:spacing w:val="-9"/>
          <w:w w:val="105"/>
        </w:rPr>
        <w:t> </w:t>
      </w:r>
      <w:r>
        <w:rPr>
          <w:color w:val="231F20"/>
          <w:w w:val="105"/>
        </w:rPr>
        <w:t>pino</w:t>
      </w:r>
      <w:r>
        <w:rPr>
          <w:color w:val="231F20"/>
          <w:spacing w:val="-9"/>
          <w:w w:val="105"/>
        </w:rPr>
        <w:t> </w:t>
      </w:r>
      <w:r>
        <w:rPr>
          <w:color w:val="231F20"/>
          <w:w w:val="105"/>
        </w:rPr>
        <w:t>y</w:t>
      </w:r>
      <w:r>
        <w:rPr>
          <w:color w:val="231F20"/>
          <w:spacing w:val="-9"/>
          <w:w w:val="105"/>
        </w:rPr>
        <w:t> </w:t>
      </w:r>
      <w:r>
        <w:rPr>
          <w:color w:val="231F20"/>
          <w:w w:val="105"/>
        </w:rPr>
        <w:t>clo- ro,</w:t>
      </w:r>
      <w:r>
        <w:rPr>
          <w:color w:val="231F20"/>
          <w:spacing w:val="-19"/>
          <w:w w:val="105"/>
        </w:rPr>
        <w:t> </w:t>
      </w:r>
      <w:r>
        <w:rPr>
          <w:color w:val="231F20"/>
          <w:w w:val="105"/>
        </w:rPr>
        <w:t>de</w:t>
      </w:r>
      <w:r>
        <w:rPr>
          <w:color w:val="231F20"/>
          <w:spacing w:val="-19"/>
          <w:w w:val="105"/>
        </w:rPr>
        <w:t> </w:t>
      </w:r>
      <w:r>
        <w:rPr>
          <w:color w:val="231F20"/>
          <w:w w:val="105"/>
        </w:rPr>
        <w:t>flores</w:t>
      </w:r>
      <w:r>
        <w:rPr>
          <w:color w:val="231F20"/>
          <w:spacing w:val="-19"/>
          <w:w w:val="105"/>
        </w:rPr>
        <w:t> </w:t>
      </w:r>
      <w:r>
        <w:rPr>
          <w:color w:val="231F20"/>
          <w:w w:val="105"/>
        </w:rPr>
        <w:t>de</w:t>
      </w:r>
      <w:r>
        <w:rPr>
          <w:color w:val="231F20"/>
          <w:spacing w:val="-19"/>
          <w:w w:val="105"/>
        </w:rPr>
        <w:t> </w:t>
      </w:r>
      <w:r>
        <w:rPr>
          <w:color w:val="231F20"/>
          <w:spacing w:val="-3"/>
          <w:w w:val="105"/>
        </w:rPr>
        <w:t>fomy</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w w:val="105"/>
        </w:rPr>
        <w:t>leche</w:t>
      </w:r>
      <w:r>
        <w:rPr>
          <w:color w:val="231F20"/>
          <w:spacing w:val="-19"/>
          <w:w w:val="105"/>
        </w:rPr>
        <w:t> </w:t>
      </w:r>
      <w:r>
        <w:rPr>
          <w:color w:val="231F20"/>
          <w:w w:val="105"/>
        </w:rPr>
        <w:t>condensada.</w:t>
      </w:r>
      <w:r>
        <w:rPr>
          <w:color w:val="231F20"/>
          <w:spacing w:val="-19"/>
          <w:w w:val="105"/>
        </w:rPr>
        <w:t> </w:t>
      </w:r>
      <w:r>
        <w:rPr>
          <w:color w:val="231F20"/>
          <w:w w:val="105"/>
        </w:rPr>
        <w:t>Asimismo</w:t>
      </w:r>
      <w:r>
        <w:rPr>
          <w:color w:val="231F20"/>
          <w:spacing w:val="-19"/>
          <w:w w:val="105"/>
        </w:rPr>
        <w:t> </w:t>
      </w:r>
      <w:r>
        <w:rPr>
          <w:color w:val="231F20"/>
          <w:w w:val="105"/>
        </w:rPr>
        <w:t>se</w:t>
      </w:r>
      <w:r>
        <w:rPr>
          <w:color w:val="231F20"/>
          <w:spacing w:val="-19"/>
          <w:w w:val="105"/>
        </w:rPr>
        <w:t> </w:t>
      </w:r>
      <w:r>
        <w:rPr>
          <w:color w:val="231F20"/>
          <w:w w:val="105"/>
        </w:rPr>
        <w:t>dieron</w:t>
      </w:r>
      <w:r>
        <w:rPr>
          <w:color w:val="231F20"/>
          <w:spacing w:val="-19"/>
          <w:w w:val="105"/>
        </w:rPr>
        <w:t> </w:t>
      </w:r>
      <w:r>
        <w:rPr>
          <w:color w:val="231F20"/>
          <w:w w:val="105"/>
        </w:rPr>
        <w:t>pláticas</w:t>
      </w:r>
      <w:r>
        <w:rPr>
          <w:color w:val="231F20"/>
          <w:spacing w:val="-19"/>
          <w:w w:val="105"/>
        </w:rPr>
        <w:t> </w:t>
      </w:r>
      <w:r>
        <w:rPr>
          <w:color w:val="231F20"/>
          <w:w w:val="105"/>
        </w:rPr>
        <w:t>de</w:t>
      </w:r>
      <w:r>
        <w:rPr>
          <w:color w:val="231F20"/>
          <w:spacing w:val="-19"/>
          <w:w w:val="105"/>
        </w:rPr>
        <w:t> </w:t>
      </w:r>
      <w:r>
        <w:rPr>
          <w:color w:val="231F20"/>
          <w:w w:val="105"/>
        </w:rPr>
        <w:t>autoestima, violencia</w:t>
      </w:r>
      <w:r>
        <w:rPr>
          <w:color w:val="231F20"/>
          <w:spacing w:val="-20"/>
          <w:w w:val="105"/>
        </w:rPr>
        <w:t> </w:t>
      </w:r>
      <w:r>
        <w:rPr>
          <w:color w:val="231F20"/>
          <w:spacing w:val="2"/>
          <w:w w:val="105"/>
        </w:rPr>
        <w:t>intrafamiliar</w:t>
      </w:r>
      <w:r>
        <w:rPr>
          <w:color w:val="231F20"/>
          <w:spacing w:val="-20"/>
          <w:w w:val="105"/>
        </w:rPr>
        <w:t> </w:t>
      </w:r>
      <w:r>
        <w:rPr>
          <w:color w:val="231F20"/>
          <w:w w:val="105"/>
        </w:rPr>
        <w:t>y</w:t>
      </w:r>
      <w:r>
        <w:rPr>
          <w:color w:val="231F20"/>
          <w:spacing w:val="-20"/>
          <w:w w:val="105"/>
        </w:rPr>
        <w:t> </w:t>
      </w:r>
      <w:r>
        <w:rPr>
          <w:color w:val="231F20"/>
          <w:w w:val="105"/>
        </w:rPr>
        <w:t>valores.</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instituciones</w:t>
      </w:r>
      <w:r>
        <w:rPr>
          <w:color w:val="231F20"/>
          <w:spacing w:val="-20"/>
          <w:w w:val="105"/>
        </w:rPr>
        <w:t> </w:t>
      </w:r>
      <w:r>
        <w:rPr>
          <w:color w:val="231F20"/>
          <w:w w:val="105"/>
        </w:rPr>
        <w:t>educativas</w:t>
      </w:r>
      <w:r>
        <w:rPr>
          <w:color w:val="231F20"/>
          <w:spacing w:val="-20"/>
          <w:w w:val="105"/>
        </w:rPr>
        <w:t> </w:t>
      </w:r>
      <w:r>
        <w:rPr>
          <w:color w:val="231F20"/>
          <w:w w:val="105"/>
        </w:rPr>
        <w:t>se</w:t>
      </w:r>
      <w:r>
        <w:rPr>
          <w:color w:val="231F20"/>
          <w:spacing w:val="-20"/>
          <w:w w:val="105"/>
        </w:rPr>
        <w:t> </w:t>
      </w:r>
      <w:r>
        <w:rPr>
          <w:color w:val="231F20"/>
          <w:w w:val="105"/>
        </w:rPr>
        <w:t>tuvieron</w:t>
      </w:r>
      <w:r>
        <w:rPr>
          <w:color w:val="231F20"/>
          <w:spacing w:val="-20"/>
          <w:w w:val="105"/>
        </w:rPr>
        <w:t> </w:t>
      </w:r>
      <w:r>
        <w:rPr>
          <w:color w:val="231F20"/>
          <w:w w:val="105"/>
        </w:rPr>
        <w:t>actividades relacionadas</w:t>
      </w:r>
      <w:r>
        <w:rPr>
          <w:color w:val="231F20"/>
          <w:spacing w:val="-25"/>
          <w:w w:val="105"/>
        </w:rPr>
        <w:t> </w:t>
      </w:r>
      <w:r>
        <w:rPr>
          <w:color w:val="231F20"/>
          <w:w w:val="105"/>
        </w:rPr>
        <w:t>con</w:t>
      </w:r>
      <w:r>
        <w:rPr>
          <w:color w:val="231F20"/>
          <w:spacing w:val="-25"/>
          <w:w w:val="105"/>
        </w:rPr>
        <w:t> </w:t>
      </w:r>
      <w:r>
        <w:rPr>
          <w:color w:val="231F20"/>
          <w:w w:val="105"/>
        </w:rPr>
        <w:t>los</w:t>
      </w:r>
      <w:r>
        <w:rPr>
          <w:color w:val="231F20"/>
          <w:spacing w:val="-25"/>
          <w:w w:val="105"/>
        </w:rPr>
        <w:t> </w:t>
      </w:r>
      <w:r>
        <w:rPr>
          <w:color w:val="231F20"/>
          <w:w w:val="105"/>
        </w:rPr>
        <w:t>bebés</w:t>
      </w:r>
      <w:r>
        <w:rPr>
          <w:color w:val="231F20"/>
          <w:spacing w:val="-25"/>
          <w:w w:val="105"/>
        </w:rPr>
        <w:t> </w:t>
      </w:r>
      <w:r>
        <w:rPr>
          <w:color w:val="231F20"/>
          <w:spacing w:val="2"/>
          <w:w w:val="105"/>
        </w:rPr>
        <w:t>virtuales,</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color w:val="231F20"/>
          <w:w w:val="105"/>
        </w:rPr>
        <w:t>objetivo</w:t>
      </w:r>
      <w:r>
        <w:rPr>
          <w:color w:val="231F20"/>
          <w:spacing w:val="-25"/>
          <w:w w:val="105"/>
        </w:rPr>
        <w:t> </w:t>
      </w:r>
      <w:r>
        <w:rPr>
          <w:color w:val="231F20"/>
          <w:w w:val="105"/>
        </w:rPr>
        <w:t>de</w:t>
      </w:r>
      <w:r>
        <w:rPr>
          <w:color w:val="231F20"/>
          <w:spacing w:val="-25"/>
          <w:w w:val="105"/>
        </w:rPr>
        <w:t> </w:t>
      </w:r>
      <w:r>
        <w:rPr>
          <w:color w:val="231F20"/>
          <w:w w:val="105"/>
        </w:rPr>
        <w:t>concientizar</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w w:val="105"/>
        </w:rPr>
        <w:t>jóvenes</w:t>
      </w:r>
      <w:r>
        <w:rPr>
          <w:color w:val="231F20"/>
          <w:spacing w:val="-25"/>
          <w:w w:val="105"/>
        </w:rPr>
        <w:t> </w:t>
      </w:r>
      <w:r>
        <w:rPr>
          <w:color w:val="231F20"/>
          <w:w w:val="105"/>
        </w:rPr>
        <w:t>para</w:t>
      </w:r>
      <w:r>
        <w:rPr>
          <w:color w:val="231F20"/>
          <w:spacing w:val="-25"/>
          <w:w w:val="105"/>
        </w:rPr>
        <w:t> </w:t>
      </w:r>
      <w:r>
        <w:rPr>
          <w:color w:val="231F20"/>
          <w:w w:val="105"/>
        </w:rPr>
        <w:t>un mejor</w:t>
      </w:r>
      <w:r>
        <w:rPr>
          <w:color w:val="231F20"/>
          <w:spacing w:val="-8"/>
          <w:w w:val="105"/>
        </w:rPr>
        <w:t> </w:t>
      </w:r>
      <w:r>
        <w:rPr>
          <w:color w:val="231F20"/>
          <w:w w:val="105"/>
        </w:rPr>
        <w:t>futuro.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mes</w:t>
      </w:r>
      <w:r>
        <w:rPr>
          <w:color w:val="231F20"/>
          <w:spacing w:val="-8"/>
          <w:w w:val="105"/>
        </w:rPr>
        <w:t> </w:t>
      </w:r>
      <w:r>
        <w:rPr>
          <w:color w:val="231F20"/>
          <w:w w:val="105"/>
        </w:rPr>
        <w:t>de</w:t>
      </w:r>
      <w:r>
        <w:rPr>
          <w:color w:val="231F20"/>
          <w:spacing w:val="-8"/>
          <w:w w:val="105"/>
        </w:rPr>
        <w:t> </w:t>
      </w:r>
      <w:r>
        <w:rPr>
          <w:color w:val="231F20"/>
          <w:w w:val="105"/>
        </w:rPr>
        <w:t>Abril</w:t>
      </w:r>
      <w:r>
        <w:rPr>
          <w:color w:val="231F20"/>
          <w:spacing w:val="-8"/>
          <w:w w:val="105"/>
        </w:rPr>
        <w:t> </w:t>
      </w:r>
      <w:r>
        <w:rPr>
          <w:color w:val="231F20"/>
          <w:w w:val="105"/>
        </w:rPr>
        <w:t>de</w:t>
      </w:r>
      <w:r>
        <w:rPr>
          <w:color w:val="231F20"/>
          <w:spacing w:val="-8"/>
          <w:w w:val="105"/>
        </w:rPr>
        <w:t> </w:t>
      </w:r>
      <w:r>
        <w:rPr>
          <w:color w:val="231F20"/>
          <w:spacing w:val="3"/>
          <w:w w:val="105"/>
        </w:rPr>
        <w:t>2008</w:t>
      </w:r>
      <w:r>
        <w:rPr>
          <w:color w:val="231F20"/>
          <w:spacing w:val="-8"/>
          <w:w w:val="105"/>
        </w:rPr>
        <w:t> </w:t>
      </w:r>
      <w:r>
        <w:rPr>
          <w:color w:val="231F20"/>
          <w:w w:val="105"/>
        </w:rPr>
        <w:t>hubo</w:t>
      </w:r>
      <w:r>
        <w:rPr>
          <w:color w:val="231F20"/>
          <w:spacing w:val="-8"/>
          <w:w w:val="105"/>
        </w:rPr>
        <w:t> </w:t>
      </w:r>
      <w:r>
        <w:rPr>
          <w:color w:val="231F20"/>
          <w:w w:val="105"/>
        </w:rPr>
        <w:t>una</w:t>
      </w:r>
      <w:r>
        <w:rPr>
          <w:color w:val="231F20"/>
          <w:spacing w:val="-8"/>
          <w:w w:val="105"/>
        </w:rPr>
        <w:t> </w:t>
      </w:r>
      <w:r>
        <w:rPr>
          <w:color w:val="231F20"/>
          <w:w w:val="105"/>
        </w:rPr>
        <w:t>invitación</w:t>
      </w:r>
      <w:r>
        <w:rPr>
          <w:color w:val="231F20"/>
          <w:spacing w:val="-8"/>
          <w:w w:val="105"/>
        </w:rPr>
        <w:t> </w:t>
      </w:r>
      <w:r>
        <w:rPr>
          <w:color w:val="231F20"/>
          <w:w w:val="105"/>
        </w:rPr>
        <w:t>para</w:t>
      </w:r>
      <w:r>
        <w:rPr>
          <w:color w:val="231F20"/>
          <w:spacing w:val="-8"/>
          <w:w w:val="105"/>
        </w:rPr>
        <w:t> </w:t>
      </w:r>
      <w:r>
        <w:rPr>
          <w:color w:val="231F20"/>
          <w:w w:val="105"/>
        </w:rPr>
        <w:t>inscribir</w:t>
      </w:r>
      <w:r>
        <w:rPr>
          <w:color w:val="231F20"/>
          <w:spacing w:val="-8"/>
          <w:w w:val="105"/>
        </w:rPr>
        <w:t> </w:t>
      </w:r>
      <w:r>
        <w:rPr>
          <w:color w:val="231F20"/>
          <w:w w:val="105"/>
        </w:rPr>
        <w:t>a</w:t>
      </w:r>
      <w:r>
        <w:rPr>
          <w:color w:val="231F20"/>
          <w:spacing w:val="-8"/>
          <w:w w:val="105"/>
        </w:rPr>
        <w:t> </w:t>
      </w:r>
      <w:r>
        <w:rPr>
          <w:color w:val="231F20"/>
          <w:w w:val="105"/>
        </w:rPr>
        <w:t>personas de</w:t>
      </w:r>
      <w:r>
        <w:rPr>
          <w:color w:val="231F20"/>
          <w:spacing w:val="-17"/>
          <w:w w:val="105"/>
        </w:rPr>
        <w:t> </w:t>
      </w:r>
      <w:r>
        <w:rPr>
          <w:color w:val="231F20"/>
          <w:w w:val="105"/>
        </w:rPr>
        <w:t>muy</w:t>
      </w:r>
      <w:r>
        <w:rPr>
          <w:color w:val="231F20"/>
          <w:spacing w:val="-17"/>
          <w:w w:val="105"/>
        </w:rPr>
        <w:t> </w:t>
      </w:r>
      <w:r>
        <w:rPr>
          <w:color w:val="231F20"/>
          <w:w w:val="105"/>
        </w:rPr>
        <w:t>bajos</w:t>
      </w:r>
      <w:r>
        <w:rPr>
          <w:color w:val="231F20"/>
          <w:spacing w:val="-17"/>
          <w:w w:val="105"/>
        </w:rPr>
        <w:t> </w:t>
      </w:r>
      <w:r>
        <w:rPr>
          <w:color w:val="231F20"/>
          <w:w w:val="105"/>
        </w:rPr>
        <w:t>recursos</w:t>
      </w:r>
      <w:r>
        <w:rPr>
          <w:color w:val="231F20"/>
          <w:spacing w:val="-17"/>
          <w:w w:val="105"/>
        </w:rPr>
        <w:t> </w:t>
      </w:r>
      <w:r>
        <w:rPr>
          <w:color w:val="231F20"/>
          <w:w w:val="105"/>
        </w:rPr>
        <w:t>y</w:t>
      </w:r>
      <w:r>
        <w:rPr>
          <w:color w:val="231F20"/>
          <w:spacing w:val="-17"/>
          <w:w w:val="105"/>
        </w:rPr>
        <w:t> </w:t>
      </w:r>
      <w:r>
        <w:rPr>
          <w:color w:val="231F20"/>
          <w:w w:val="105"/>
        </w:rPr>
        <w:t>apoyarlas</w:t>
      </w:r>
      <w:r>
        <w:rPr>
          <w:color w:val="231F20"/>
          <w:spacing w:val="-17"/>
          <w:w w:val="105"/>
        </w:rPr>
        <w:t> </w:t>
      </w:r>
      <w:r>
        <w:rPr>
          <w:color w:val="231F20"/>
          <w:w w:val="105"/>
        </w:rPr>
        <w:t>con</w:t>
      </w:r>
      <w:r>
        <w:rPr>
          <w:color w:val="231F20"/>
          <w:spacing w:val="-17"/>
          <w:w w:val="105"/>
        </w:rPr>
        <w:t> </w:t>
      </w:r>
      <w:r>
        <w:rPr>
          <w:color w:val="231F20"/>
          <w:w w:val="105"/>
        </w:rPr>
        <w:t>despensas,</w:t>
      </w:r>
      <w:r>
        <w:rPr>
          <w:color w:val="231F20"/>
          <w:spacing w:val="-17"/>
          <w:w w:val="105"/>
        </w:rPr>
        <w:t> </w:t>
      </w:r>
      <w:r>
        <w:rPr>
          <w:color w:val="231F20"/>
          <w:w w:val="105"/>
        </w:rPr>
        <w:t>zapatos</w:t>
      </w:r>
      <w:r>
        <w:rPr>
          <w:color w:val="231F20"/>
          <w:spacing w:val="-17"/>
          <w:w w:val="105"/>
        </w:rPr>
        <w:t> </w:t>
      </w:r>
      <w:r>
        <w:rPr>
          <w:color w:val="231F20"/>
          <w:w w:val="105"/>
        </w:rPr>
        <w:t>ortopédicos,</w:t>
      </w:r>
      <w:r>
        <w:rPr>
          <w:color w:val="231F20"/>
          <w:spacing w:val="-17"/>
          <w:w w:val="105"/>
        </w:rPr>
        <w:t> </w:t>
      </w:r>
      <w:r>
        <w:rPr>
          <w:color w:val="231F20"/>
          <w:w w:val="105"/>
        </w:rPr>
        <w:t>lentes</w:t>
      </w:r>
      <w:r>
        <w:rPr>
          <w:color w:val="231F20"/>
          <w:spacing w:val="-17"/>
          <w:w w:val="105"/>
        </w:rPr>
        <w:t> </w:t>
      </w:r>
      <w:r>
        <w:rPr>
          <w:color w:val="231F20"/>
          <w:w w:val="105"/>
        </w:rPr>
        <w:t>y</w:t>
      </w:r>
      <w:r>
        <w:rPr>
          <w:color w:val="231F20"/>
          <w:spacing w:val="-17"/>
          <w:w w:val="105"/>
        </w:rPr>
        <w:t> </w:t>
      </w:r>
      <w:r>
        <w:rPr>
          <w:color w:val="231F20"/>
          <w:w w:val="105"/>
        </w:rPr>
        <w:t>andade- ras</w:t>
      </w:r>
      <w:r>
        <w:rPr>
          <w:color w:val="231F20"/>
          <w:spacing w:val="-21"/>
          <w:w w:val="105"/>
        </w:rPr>
        <w:t> </w:t>
      </w:r>
      <w:r>
        <w:rPr>
          <w:color w:val="231F20"/>
          <w:w w:val="105"/>
        </w:rPr>
        <w:t>para</w:t>
      </w:r>
      <w:r>
        <w:rPr>
          <w:color w:val="231F20"/>
          <w:spacing w:val="-21"/>
          <w:w w:val="105"/>
        </w:rPr>
        <w:t> </w:t>
      </w:r>
      <w:r>
        <w:rPr>
          <w:color w:val="231F20"/>
          <w:w w:val="105"/>
        </w:rPr>
        <w:t>niños</w:t>
      </w:r>
      <w:r>
        <w:rPr>
          <w:color w:val="231F20"/>
          <w:spacing w:val="-21"/>
          <w:w w:val="105"/>
        </w:rPr>
        <w:t> </w:t>
      </w:r>
      <w:r>
        <w:rPr>
          <w:color w:val="231F20"/>
          <w:w w:val="105"/>
        </w:rPr>
        <w:t>discapacitados,</w:t>
      </w:r>
      <w:r>
        <w:rPr>
          <w:color w:val="231F20"/>
          <w:spacing w:val="-21"/>
          <w:w w:val="105"/>
        </w:rPr>
        <w:t> </w:t>
      </w:r>
      <w:r>
        <w:rPr>
          <w:color w:val="231F20"/>
          <w:w w:val="105"/>
        </w:rPr>
        <w:t>esta</w:t>
      </w:r>
      <w:r>
        <w:rPr>
          <w:color w:val="231F20"/>
          <w:spacing w:val="-21"/>
          <w:w w:val="105"/>
        </w:rPr>
        <w:t> </w:t>
      </w:r>
      <w:r>
        <w:rPr>
          <w:color w:val="231F20"/>
          <w:w w:val="105"/>
        </w:rPr>
        <w:t>información</w:t>
      </w:r>
      <w:r>
        <w:rPr>
          <w:color w:val="231F20"/>
          <w:spacing w:val="-21"/>
          <w:w w:val="105"/>
        </w:rPr>
        <w:t> </w:t>
      </w:r>
      <w:r>
        <w:rPr>
          <w:color w:val="231F20"/>
          <w:w w:val="105"/>
        </w:rPr>
        <w:t>fue</w:t>
      </w:r>
      <w:r>
        <w:rPr>
          <w:color w:val="231F20"/>
          <w:spacing w:val="-21"/>
          <w:w w:val="105"/>
        </w:rPr>
        <w:t> </w:t>
      </w:r>
      <w:r>
        <w:rPr>
          <w:color w:val="231F20"/>
          <w:w w:val="105"/>
        </w:rPr>
        <w:t>comunicada</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Delegados;</w:t>
      </w:r>
      <w:r>
        <w:rPr>
          <w:color w:val="231F20"/>
          <w:spacing w:val="-21"/>
          <w:w w:val="105"/>
        </w:rPr>
        <w:t> </w:t>
      </w:r>
      <w:r>
        <w:rPr>
          <w:color w:val="231F20"/>
          <w:w w:val="105"/>
        </w:rPr>
        <w:t>en</w:t>
      </w:r>
      <w:r>
        <w:rPr>
          <w:color w:val="231F20"/>
          <w:spacing w:val="-21"/>
          <w:w w:val="105"/>
        </w:rPr>
        <w:t> </w:t>
      </w:r>
      <w:r>
        <w:rPr>
          <w:color w:val="231F20"/>
          <w:w w:val="105"/>
        </w:rPr>
        <w:t>este caso</w:t>
      </w:r>
      <w:r>
        <w:rPr>
          <w:color w:val="231F20"/>
          <w:spacing w:val="-15"/>
          <w:w w:val="105"/>
        </w:rPr>
        <w:t> </w:t>
      </w:r>
      <w:r>
        <w:rPr>
          <w:color w:val="231F20"/>
          <w:w w:val="105"/>
        </w:rPr>
        <w:t>se</w:t>
      </w:r>
      <w:r>
        <w:rPr>
          <w:color w:val="231F20"/>
          <w:spacing w:val="-15"/>
          <w:w w:val="105"/>
        </w:rPr>
        <w:t> </w:t>
      </w:r>
      <w:r>
        <w:rPr>
          <w:color w:val="231F20"/>
          <w:w w:val="105"/>
        </w:rPr>
        <w:t>beneficiaron</w:t>
      </w:r>
      <w:r>
        <w:rPr>
          <w:color w:val="231F20"/>
          <w:spacing w:val="-15"/>
          <w:w w:val="105"/>
        </w:rPr>
        <w:t> </w:t>
      </w:r>
      <w:r>
        <w:rPr>
          <w:color w:val="231F20"/>
          <w:w w:val="105"/>
        </w:rPr>
        <w:t>4</w:t>
      </w:r>
      <w:r>
        <w:rPr>
          <w:color w:val="231F20"/>
          <w:spacing w:val="-15"/>
          <w:w w:val="105"/>
        </w:rPr>
        <w:t> </w:t>
      </w:r>
      <w:r>
        <w:rPr>
          <w:color w:val="231F20"/>
          <w:w w:val="105"/>
        </w:rPr>
        <w:t>personas</w:t>
      </w:r>
      <w:r>
        <w:rPr>
          <w:color w:val="231F20"/>
          <w:spacing w:val="-15"/>
          <w:w w:val="105"/>
        </w:rPr>
        <w:t> </w:t>
      </w:r>
      <w:r>
        <w:rPr>
          <w:color w:val="231F20"/>
          <w:spacing w:val="-4"/>
          <w:w w:val="105"/>
        </w:rPr>
        <w:t>(2</w:t>
      </w:r>
      <w:r>
        <w:rPr>
          <w:color w:val="231F20"/>
          <w:spacing w:val="-15"/>
          <w:w w:val="105"/>
        </w:rPr>
        <w:t> </w:t>
      </w:r>
      <w:r>
        <w:rPr>
          <w:color w:val="231F20"/>
          <w:w w:val="105"/>
        </w:rPr>
        <w:t>despensas,</w:t>
      </w:r>
      <w:r>
        <w:rPr>
          <w:color w:val="231F20"/>
          <w:spacing w:val="-15"/>
          <w:w w:val="105"/>
        </w:rPr>
        <w:t> </w:t>
      </w:r>
      <w:r>
        <w:rPr>
          <w:color w:val="231F20"/>
          <w:w w:val="105"/>
        </w:rPr>
        <w:t>1</w:t>
      </w:r>
      <w:r>
        <w:rPr>
          <w:color w:val="231F20"/>
          <w:spacing w:val="-15"/>
          <w:w w:val="105"/>
        </w:rPr>
        <w:t> </w:t>
      </w:r>
      <w:r>
        <w:rPr>
          <w:color w:val="231F20"/>
          <w:w w:val="105"/>
        </w:rPr>
        <w:t>andadera</w:t>
      </w:r>
      <w:r>
        <w:rPr>
          <w:color w:val="231F20"/>
          <w:spacing w:val="-15"/>
          <w:w w:val="105"/>
        </w:rPr>
        <w:t> </w:t>
      </w:r>
      <w:r>
        <w:rPr>
          <w:color w:val="231F20"/>
          <w:w w:val="105"/>
        </w:rPr>
        <w:t>y</w:t>
      </w:r>
      <w:r>
        <w:rPr>
          <w:color w:val="231F20"/>
          <w:spacing w:val="-15"/>
          <w:w w:val="105"/>
        </w:rPr>
        <w:t> </w:t>
      </w:r>
      <w:r>
        <w:rPr>
          <w:color w:val="231F20"/>
          <w:w w:val="105"/>
        </w:rPr>
        <w:t>1</w:t>
      </w:r>
      <w:r>
        <w:rPr>
          <w:color w:val="231F20"/>
          <w:spacing w:val="-15"/>
          <w:w w:val="105"/>
        </w:rPr>
        <w:t> </w:t>
      </w:r>
      <w:r>
        <w:rPr>
          <w:color w:val="231F20"/>
          <w:w w:val="105"/>
        </w:rPr>
        <w:t>con</w:t>
      </w:r>
      <w:r>
        <w:rPr>
          <w:color w:val="231F20"/>
          <w:spacing w:val="-15"/>
          <w:w w:val="105"/>
        </w:rPr>
        <w:t> </w:t>
      </w:r>
      <w:r>
        <w:rPr>
          <w:color w:val="231F20"/>
          <w:spacing w:val="-3"/>
          <w:w w:val="105"/>
        </w:rPr>
        <w:t>lentes).</w:t>
      </w:r>
    </w:p>
    <w:p>
      <w:pPr>
        <w:pStyle w:val="BodyText"/>
        <w:spacing w:before="1"/>
        <w:rPr>
          <w:sz w:val="24"/>
        </w:rPr>
      </w:pPr>
    </w:p>
    <w:p>
      <w:pPr>
        <w:pStyle w:val="BodyText"/>
        <w:spacing w:line="280" w:lineRule="auto"/>
        <w:ind w:left="110" w:right="107"/>
        <w:jc w:val="both"/>
      </w:pPr>
      <w:r>
        <w:rPr>
          <w:rFonts w:ascii="Palatino Linotype" w:hAnsi="Palatino Linotype"/>
          <w:i/>
          <w:color w:val="231F20"/>
          <w:w w:val="105"/>
        </w:rPr>
        <w:t>Pensión alimenticia para madres adolescentes embarazadas</w:t>
      </w:r>
      <w:r>
        <w:rPr>
          <w:color w:val="231F20"/>
          <w:w w:val="105"/>
        </w:rPr>
        <w:t>. Consistió en apoyar a las adolescentes embarazadas de hasta </w:t>
      </w:r>
      <w:r>
        <w:rPr>
          <w:color w:val="231F20"/>
          <w:spacing w:val="-3"/>
          <w:w w:val="105"/>
        </w:rPr>
        <w:t>19 </w:t>
      </w:r>
      <w:r>
        <w:rPr>
          <w:color w:val="231F20"/>
          <w:w w:val="105"/>
        </w:rPr>
        <w:t>años de edad, en situación de pobreza alimen- taria, marginación o exclusión social, mediante el otorgamiento de un paquete nutri- cional, que </w:t>
      </w:r>
      <w:r>
        <w:rPr>
          <w:color w:val="231F20"/>
          <w:spacing w:val="-3"/>
          <w:w w:val="105"/>
        </w:rPr>
        <w:t>comprende </w:t>
      </w:r>
      <w:r>
        <w:rPr>
          <w:color w:val="231F20"/>
          <w:w w:val="105"/>
        </w:rPr>
        <w:t>los últimos 6 meses de gestación y los primeros 3 de lactancia, además de dar orientación integral que </w:t>
      </w:r>
      <w:r>
        <w:rPr>
          <w:color w:val="231F20"/>
          <w:spacing w:val="-3"/>
          <w:w w:val="105"/>
        </w:rPr>
        <w:t>fomente </w:t>
      </w:r>
      <w:r>
        <w:rPr>
          <w:color w:val="231F20"/>
          <w:w w:val="105"/>
        </w:rPr>
        <w:t>la autoestima y su futuro desempeño maternal,</w:t>
      </w:r>
      <w:r>
        <w:rPr>
          <w:color w:val="231F20"/>
          <w:spacing w:val="-5"/>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capacitarla</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empleo.</w:t>
      </w:r>
      <w:r>
        <w:rPr>
          <w:color w:val="231F20"/>
          <w:spacing w:val="-5"/>
          <w:w w:val="105"/>
        </w:rPr>
        <w:t> </w:t>
      </w:r>
      <w:r>
        <w:rPr>
          <w:color w:val="231F20"/>
          <w:w w:val="105"/>
        </w:rPr>
        <w:t>Durante</w:t>
      </w:r>
      <w:r>
        <w:rPr>
          <w:color w:val="231F20"/>
          <w:spacing w:val="-5"/>
          <w:w w:val="105"/>
        </w:rPr>
        <w:t> </w:t>
      </w:r>
      <w:r>
        <w:rPr>
          <w:color w:val="231F20"/>
          <w:w w:val="105"/>
        </w:rPr>
        <w:t>estos</w:t>
      </w:r>
      <w:r>
        <w:rPr>
          <w:color w:val="231F20"/>
          <w:spacing w:val="-5"/>
          <w:w w:val="105"/>
        </w:rPr>
        <w:t> 10 </w:t>
      </w:r>
      <w:r>
        <w:rPr>
          <w:color w:val="231F20"/>
          <w:w w:val="105"/>
        </w:rPr>
        <w:t>meses</w:t>
      </w:r>
      <w:r>
        <w:rPr>
          <w:color w:val="231F20"/>
          <w:spacing w:val="-5"/>
          <w:w w:val="105"/>
        </w:rPr>
        <w:t> </w:t>
      </w:r>
      <w:r>
        <w:rPr>
          <w:color w:val="231F20"/>
          <w:w w:val="105"/>
        </w:rPr>
        <w:t>se</w:t>
      </w:r>
      <w:r>
        <w:rPr>
          <w:color w:val="231F20"/>
          <w:spacing w:val="-5"/>
          <w:w w:val="105"/>
        </w:rPr>
        <w:t> </w:t>
      </w:r>
      <w:r>
        <w:rPr>
          <w:color w:val="231F20"/>
          <w:w w:val="105"/>
        </w:rPr>
        <w:t>tuvieron</w:t>
      </w:r>
      <w:r>
        <w:rPr>
          <w:color w:val="231F20"/>
          <w:spacing w:val="-5"/>
          <w:w w:val="105"/>
        </w:rPr>
        <w:t> </w:t>
      </w:r>
      <w:r>
        <w:rPr>
          <w:color w:val="231F20"/>
          <w:w w:val="105"/>
        </w:rPr>
        <w:t>dos etapas</w:t>
      </w:r>
      <w:r>
        <w:rPr>
          <w:color w:val="231F20"/>
          <w:spacing w:val="-15"/>
          <w:w w:val="105"/>
        </w:rPr>
        <w:t> </w:t>
      </w:r>
      <w:r>
        <w:rPr>
          <w:color w:val="231F20"/>
          <w:w w:val="105"/>
        </w:rPr>
        <w:t>de</w:t>
      </w:r>
      <w:r>
        <w:rPr>
          <w:color w:val="231F20"/>
          <w:spacing w:val="-15"/>
          <w:w w:val="105"/>
        </w:rPr>
        <w:t> </w:t>
      </w:r>
      <w:r>
        <w:rPr>
          <w:color w:val="231F20"/>
          <w:w w:val="105"/>
        </w:rPr>
        <w:t>inscripción,</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primera</w:t>
      </w:r>
      <w:r>
        <w:rPr>
          <w:color w:val="231F20"/>
          <w:spacing w:val="-15"/>
          <w:w w:val="105"/>
        </w:rPr>
        <w:t> </w:t>
      </w:r>
      <w:r>
        <w:rPr>
          <w:color w:val="231F20"/>
          <w:w w:val="105"/>
        </w:rPr>
        <w:t>se</w:t>
      </w:r>
      <w:r>
        <w:rPr>
          <w:color w:val="231F20"/>
          <w:spacing w:val="-15"/>
          <w:w w:val="105"/>
        </w:rPr>
        <w:t> </w:t>
      </w:r>
      <w:r>
        <w:rPr>
          <w:color w:val="231F20"/>
          <w:w w:val="105"/>
        </w:rPr>
        <w:t>tuvo</w:t>
      </w:r>
      <w:r>
        <w:rPr>
          <w:color w:val="231F20"/>
          <w:spacing w:val="-15"/>
          <w:w w:val="105"/>
        </w:rPr>
        <w:t> </w:t>
      </w:r>
      <w:r>
        <w:rPr>
          <w:color w:val="231F20"/>
          <w:w w:val="105"/>
        </w:rPr>
        <w:t>la</w:t>
      </w:r>
      <w:r>
        <w:rPr>
          <w:color w:val="231F20"/>
          <w:spacing w:val="-15"/>
          <w:w w:val="105"/>
        </w:rPr>
        <w:t> </w:t>
      </w:r>
      <w:r>
        <w:rPr>
          <w:color w:val="231F20"/>
          <w:w w:val="105"/>
        </w:rPr>
        <w:t>participación</w:t>
      </w:r>
      <w:r>
        <w:rPr>
          <w:color w:val="231F20"/>
          <w:spacing w:val="-15"/>
          <w:w w:val="105"/>
        </w:rPr>
        <w:t> </w:t>
      </w:r>
      <w:r>
        <w:rPr>
          <w:color w:val="231F20"/>
          <w:w w:val="105"/>
        </w:rPr>
        <w:t>de</w:t>
      </w:r>
      <w:r>
        <w:rPr>
          <w:color w:val="231F20"/>
          <w:spacing w:val="-15"/>
          <w:w w:val="105"/>
        </w:rPr>
        <w:t> </w:t>
      </w:r>
      <w:r>
        <w:rPr>
          <w:color w:val="231F20"/>
          <w:w w:val="105"/>
        </w:rPr>
        <w:t>6</w:t>
      </w:r>
      <w:r>
        <w:rPr>
          <w:color w:val="231F20"/>
          <w:spacing w:val="-15"/>
          <w:w w:val="105"/>
        </w:rPr>
        <w:t> </w:t>
      </w:r>
      <w:r>
        <w:rPr>
          <w:color w:val="231F20"/>
          <w:w w:val="105"/>
        </w:rPr>
        <w:t>madres</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segunda de</w:t>
      </w:r>
      <w:r>
        <w:rPr>
          <w:color w:val="231F20"/>
          <w:spacing w:val="-23"/>
          <w:w w:val="105"/>
        </w:rPr>
        <w:t> </w:t>
      </w:r>
      <w:r>
        <w:rPr>
          <w:color w:val="231F20"/>
          <w:spacing w:val="-7"/>
          <w:w w:val="105"/>
        </w:rPr>
        <w:t>14</w:t>
      </w:r>
      <w:r>
        <w:rPr>
          <w:color w:val="231F20"/>
          <w:spacing w:val="-23"/>
          <w:w w:val="105"/>
        </w:rPr>
        <w:t> </w:t>
      </w:r>
      <w:r>
        <w:rPr>
          <w:color w:val="231F20"/>
          <w:w w:val="105"/>
        </w:rPr>
        <w:t>madres</w:t>
      </w:r>
      <w:r>
        <w:rPr>
          <w:color w:val="231F20"/>
          <w:spacing w:val="-23"/>
          <w:w w:val="105"/>
        </w:rPr>
        <w:t> </w:t>
      </w:r>
      <w:r>
        <w:rPr>
          <w:color w:val="231F20"/>
          <w:w w:val="105"/>
        </w:rPr>
        <w:t>beneficiadas.</w:t>
      </w:r>
    </w:p>
    <w:p>
      <w:pPr>
        <w:pStyle w:val="BodyText"/>
        <w:spacing w:before="4"/>
        <w:rPr>
          <w:sz w:val="24"/>
        </w:rPr>
      </w:pPr>
    </w:p>
    <w:p>
      <w:pPr>
        <w:pStyle w:val="BodyText"/>
        <w:spacing w:line="278" w:lineRule="auto"/>
        <w:ind w:left="110" w:right="108"/>
        <w:jc w:val="both"/>
      </w:pPr>
      <w:r>
        <w:rPr>
          <w:rFonts w:ascii="Palatino Linotype" w:hAnsi="Palatino Linotype"/>
          <w:i/>
          <w:color w:val="231F20"/>
          <w:w w:val="105"/>
        </w:rPr>
        <w:t>Desarrollo</w:t>
      </w:r>
      <w:r>
        <w:rPr>
          <w:rFonts w:ascii="Palatino Linotype" w:hAnsi="Palatino Linotype"/>
          <w:i/>
          <w:color w:val="231F20"/>
          <w:spacing w:val="-12"/>
          <w:w w:val="105"/>
        </w:rPr>
        <w:t> </w:t>
      </w:r>
      <w:r>
        <w:rPr>
          <w:rFonts w:ascii="Palatino Linotype" w:hAnsi="Palatino Linotype"/>
          <w:i/>
          <w:color w:val="231F20"/>
          <w:w w:val="105"/>
        </w:rPr>
        <w:t>Integral</w:t>
      </w:r>
      <w:r>
        <w:rPr>
          <w:rFonts w:ascii="Palatino Linotype" w:hAnsi="Palatino Linotype"/>
          <w:i/>
          <w:color w:val="231F20"/>
          <w:spacing w:val="-12"/>
          <w:w w:val="105"/>
        </w:rPr>
        <w:t> </w:t>
      </w:r>
      <w:r>
        <w:rPr>
          <w:rFonts w:ascii="Palatino Linotype" w:hAnsi="Palatino Linotype"/>
          <w:i/>
          <w:color w:val="231F20"/>
          <w:w w:val="105"/>
        </w:rPr>
        <w:t>de</w:t>
      </w:r>
      <w:r>
        <w:rPr>
          <w:rFonts w:ascii="Palatino Linotype" w:hAnsi="Palatino Linotype"/>
          <w:i/>
          <w:color w:val="231F20"/>
          <w:spacing w:val="-12"/>
          <w:w w:val="105"/>
        </w:rPr>
        <w:t> </w:t>
      </w:r>
      <w:r>
        <w:rPr>
          <w:rFonts w:ascii="Palatino Linotype" w:hAnsi="Palatino Linotype"/>
          <w:i/>
          <w:color w:val="231F20"/>
          <w:w w:val="105"/>
        </w:rPr>
        <w:t>la</w:t>
      </w:r>
      <w:r>
        <w:rPr>
          <w:rFonts w:ascii="Palatino Linotype" w:hAnsi="Palatino Linotype"/>
          <w:i/>
          <w:color w:val="231F20"/>
          <w:spacing w:val="-12"/>
          <w:w w:val="105"/>
        </w:rPr>
        <w:t> </w:t>
      </w:r>
      <w:r>
        <w:rPr>
          <w:rFonts w:ascii="Palatino Linotype" w:hAnsi="Palatino Linotype"/>
          <w:i/>
          <w:color w:val="231F20"/>
          <w:w w:val="105"/>
        </w:rPr>
        <w:t>Familia</w:t>
      </w:r>
      <w:r>
        <w:rPr>
          <w:rFonts w:ascii="Palatino Linotype" w:hAnsi="Palatino Linotype"/>
          <w:i/>
          <w:color w:val="231F20"/>
          <w:spacing w:val="-12"/>
          <w:w w:val="105"/>
        </w:rPr>
        <w:t> </w:t>
      </w:r>
      <w:r>
        <w:rPr>
          <w:rFonts w:ascii="Palatino Linotype" w:hAnsi="Palatino Linotype"/>
          <w:i/>
          <w:color w:val="231F20"/>
          <w:w w:val="105"/>
        </w:rPr>
        <w:t>y</w:t>
      </w:r>
      <w:r>
        <w:rPr>
          <w:rFonts w:ascii="Palatino Linotype" w:hAnsi="Palatino Linotype"/>
          <w:i/>
          <w:color w:val="231F20"/>
          <w:spacing w:val="-12"/>
          <w:w w:val="105"/>
        </w:rPr>
        <w:t> </w:t>
      </w:r>
      <w:r>
        <w:rPr>
          <w:rFonts w:ascii="Palatino Linotype" w:hAnsi="Palatino Linotype"/>
          <w:i/>
          <w:color w:val="231F20"/>
          <w:w w:val="105"/>
        </w:rPr>
        <w:t>Asistencia</w:t>
      </w:r>
      <w:r>
        <w:rPr>
          <w:rFonts w:ascii="Palatino Linotype" w:hAnsi="Palatino Linotype"/>
          <w:i/>
          <w:color w:val="231F20"/>
          <w:spacing w:val="-12"/>
          <w:w w:val="105"/>
        </w:rPr>
        <w:t> </w:t>
      </w:r>
      <w:r>
        <w:rPr>
          <w:rFonts w:ascii="Palatino Linotype" w:hAnsi="Palatino Linotype"/>
          <w:i/>
          <w:color w:val="231F20"/>
          <w:w w:val="105"/>
        </w:rPr>
        <w:t>Social</w:t>
      </w:r>
      <w:r>
        <w:rPr>
          <w:color w:val="231F20"/>
          <w:w w:val="105"/>
        </w:rPr>
        <w:t>.</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segundo</w:t>
      </w:r>
      <w:r>
        <w:rPr>
          <w:color w:val="231F20"/>
          <w:spacing w:val="-12"/>
          <w:w w:val="105"/>
        </w:rPr>
        <w:t> </w:t>
      </w:r>
      <w:r>
        <w:rPr>
          <w:color w:val="231F20"/>
          <w:w w:val="105"/>
        </w:rPr>
        <w:t>año</w:t>
      </w:r>
      <w:r>
        <w:rPr>
          <w:color w:val="231F20"/>
          <w:spacing w:val="-12"/>
          <w:w w:val="105"/>
        </w:rPr>
        <w:t> </w:t>
      </w:r>
      <w:r>
        <w:rPr>
          <w:color w:val="231F20"/>
          <w:w w:val="105"/>
        </w:rPr>
        <w:t>de</w:t>
      </w:r>
      <w:r>
        <w:rPr>
          <w:color w:val="231F20"/>
          <w:spacing w:val="-12"/>
          <w:w w:val="105"/>
        </w:rPr>
        <w:t> </w:t>
      </w:r>
      <w:r>
        <w:rPr>
          <w:color w:val="231F20"/>
          <w:w w:val="105"/>
        </w:rPr>
        <w:t>gobierno, el</w:t>
      </w:r>
      <w:r>
        <w:rPr>
          <w:color w:val="231F20"/>
          <w:spacing w:val="-9"/>
          <w:w w:val="105"/>
        </w:rPr>
        <w:t> </w:t>
      </w:r>
      <w:r>
        <w:rPr>
          <w:color w:val="231F20"/>
          <w:w w:val="105"/>
        </w:rPr>
        <w:t>Sistema</w:t>
      </w:r>
      <w:r>
        <w:rPr>
          <w:color w:val="231F20"/>
          <w:spacing w:val="-9"/>
          <w:w w:val="105"/>
        </w:rPr>
        <w:t> </w:t>
      </w:r>
      <w:r>
        <w:rPr>
          <w:color w:val="231F20"/>
          <w:w w:val="105"/>
        </w:rPr>
        <w:t>Municipal</w:t>
      </w:r>
      <w:r>
        <w:rPr>
          <w:color w:val="231F20"/>
          <w:spacing w:val="-9"/>
          <w:w w:val="105"/>
        </w:rPr>
        <w:t> </w:t>
      </w:r>
      <w:r>
        <w:rPr>
          <w:color w:val="231F20"/>
          <w:w w:val="105"/>
        </w:rPr>
        <w:t>de</w:t>
      </w:r>
      <w:r>
        <w:rPr>
          <w:color w:val="231F20"/>
          <w:spacing w:val="-9"/>
          <w:w w:val="105"/>
        </w:rPr>
        <w:t> </w:t>
      </w:r>
      <w:r>
        <w:rPr>
          <w:color w:val="231F20"/>
          <w:w w:val="105"/>
        </w:rPr>
        <w:t>Desarrollo</w:t>
      </w:r>
      <w:r>
        <w:rPr>
          <w:color w:val="231F20"/>
          <w:spacing w:val="-9"/>
          <w:w w:val="105"/>
        </w:rPr>
        <w:t> </w:t>
      </w:r>
      <w:r>
        <w:rPr>
          <w:color w:val="231F20"/>
          <w:w w:val="105"/>
        </w:rPr>
        <w:t>Integral</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Familia,</w:t>
      </w:r>
      <w:r>
        <w:rPr>
          <w:color w:val="231F20"/>
          <w:spacing w:val="-9"/>
          <w:w w:val="105"/>
        </w:rPr>
        <w:t> </w:t>
      </w:r>
      <w:r>
        <w:rPr>
          <w:color w:val="231F20"/>
          <w:w w:val="105"/>
        </w:rPr>
        <w:t>DIF</w:t>
      </w:r>
      <w:r>
        <w:rPr>
          <w:color w:val="231F20"/>
          <w:spacing w:val="-9"/>
          <w:w w:val="105"/>
        </w:rPr>
        <w:t> </w:t>
      </w:r>
      <w:r>
        <w:rPr>
          <w:color w:val="231F20"/>
          <w:w w:val="105"/>
        </w:rPr>
        <w:t>Ozumba,</w:t>
      </w:r>
      <w:r>
        <w:rPr>
          <w:color w:val="231F20"/>
          <w:spacing w:val="-9"/>
          <w:w w:val="105"/>
        </w:rPr>
        <w:t> </w:t>
      </w:r>
      <w:r>
        <w:rPr>
          <w:color w:val="231F20"/>
          <w:w w:val="105"/>
        </w:rPr>
        <w:t>continuó</w:t>
      </w:r>
      <w:r>
        <w:rPr>
          <w:color w:val="231F20"/>
          <w:spacing w:val="-9"/>
          <w:w w:val="105"/>
        </w:rPr>
        <w:t> </w:t>
      </w:r>
      <w:r>
        <w:rPr>
          <w:color w:val="231F20"/>
          <w:w w:val="105"/>
        </w:rPr>
        <w:t>pro- porcionando</w:t>
      </w:r>
      <w:r>
        <w:rPr>
          <w:color w:val="231F20"/>
          <w:spacing w:val="-6"/>
          <w:w w:val="105"/>
        </w:rPr>
        <w:t> </w:t>
      </w:r>
      <w:r>
        <w:rPr>
          <w:color w:val="231F20"/>
          <w:w w:val="105"/>
        </w:rPr>
        <w:t>asistencia</w:t>
      </w:r>
      <w:r>
        <w:rPr>
          <w:color w:val="231F20"/>
          <w:spacing w:val="-6"/>
          <w:w w:val="105"/>
        </w:rPr>
        <w:t> </w:t>
      </w:r>
      <w:r>
        <w:rPr>
          <w:color w:val="231F20"/>
          <w:w w:val="105"/>
        </w:rPr>
        <w:t>social</w:t>
      </w:r>
      <w:r>
        <w:rPr>
          <w:color w:val="231F20"/>
          <w:spacing w:val="-6"/>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5</w:t>
      </w:r>
      <w:r>
        <w:rPr>
          <w:color w:val="231F20"/>
          <w:spacing w:val="-6"/>
          <w:w w:val="105"/>
        </w:rPr>
        <w:t> </w:t>
      </w:r>
      <w:r>
        <w:rPr>
          <w:color w:val="231F20"/>
          <w:spacing w:val="2"/>
          <w:w w:val="105"/>
        </w:rPr>
        <w:t>mil</w:t>
      </w:r>
      <w:r>
        <w:rPr>
          <w:color w:val="231F20"/>
          <w:spacing w:val="-6"/>
          <w:w w:val="105"/>
        </w:rPr>
        <w:t> </w:t>
      </w:r>
      <w:r>
        <w:rPr>
          <w:color w:val="231F20"/>
          <w:w w:val="105"/>
        </w:rPr>
        <w:t>393</w:t>
      </w:r>
      <w:r>
        <w:rPr>
          <w:color w:val="231F20"/>
          <w:spacing w:val="-6"/>
          <w:w w:val="105"/>
        </w:rPr>
        <w:t> </w:t>
      </w:r>
      <w:r>
        <w:rPr>
          <w:color w:val="231F20"/>
          <w:spacing w:val="2"/>
          <w:w w:val="105"/>
        </w:rPr>
        <w:t>familias</w:t>
      </w:r>
      <w:r>
        <w:rPr>
          <w:color w:val="231F20"/>
          <w:spacing w:val="-6"/>
          <w:w w:val="105"/>
        </w:rPr>
        <w:t> </w:t>
      </w:r>
      <w:r>
        <w:rPr>
          <w:color w:val="231F20"/>
          <w:w w:val="105"/>
        </w:rPr>
        <w:t>que</w:t>
      </w:r>
      <w:r>
        <w:rPr>
          <w:color w:val="231F20"/>
          <w:spacing w:val="-6"/>
          <w:w w:val="105"/>
        </w:rPr>
        <w:t> </w:t>
      </w:r>
      <w:r>
        <w:rPr>
          <w:color w:val="231F20"/>
          <w:w w:val="105"/>
        </w:rPr>
        <w:t>viven</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Municipio;</w:t>
      </w:r>
      <w:r>
        <w:rPr>
          <w:color w:val="231F20"/>
          <w:spacing w:val="-6"/>
          <w:w w:val="105"/>
        </w:rPr>
        <w:t> </w:t>
      </w:r>
      <w:r>
        <w:rPr>
          <w:color w:val="231F20"/>
          <w:w w:val="105"/>
        </w:rPr>
        <w:t>en</w:t>
      </w:r>
      <w:r>
        <w:rPr>
          <w:color w:val="231F20"/>
          <w:spacing w:val="-6"/>
          <w:w w:val="105"/>
        </w:rPr>
        <w:t> </w:t>
      </w:r>
      <w:r>
        <w:rPr>
          <w:color w:val="231F20"/>
          <w:w w:val="105"/>
        </w:rPr>
        <w:t>el total</w:t>
      </w:r>
      <w:r>
        <w:rPr>
          <w:color w:val="231F20"/>
          <w:spacing w:val="-6"/>
          <w:w w:val="105"/>
        </w:rPr>
        <w:t> </w:t>
      </w:r>
      <w:r>
        <w:rPr>
          <w:color w:val="231F20"/>
          <w:w w:val="105"/>
        </w:rPr>
        <w:t>de</w:t>
      </w:r>
      <w:r>
        <w:rPr>
          <w:color w:val="231F20"/>
          <w:spacing w:val="-6"/>
          <w:w w:val="105"/>
        </w:rPr>
        <w:t> </w:t>
      </w:r>
      <w:r>
        <w:rPr>
          <w:color w:val="231F20"/>
          <w:w w:val="105"/>
        </w:rPr>
        <w:t>servicios</w:t>
      </w:r>
      <w:r>
        <w:rPr>
          <w:color w:val="231F20"/>
          <w:spacing w:val="-6"/>
          <w:w w:val="105"/>
        </w:rPr>
        <w:t> </w:t>
      </w:r>
      <w:r>
        <w:rPr>
          <w:color w:val="231F20"/>
          <w:w w:val="105"/>
        </w:rPr>
        <w:t>prestados</w:t>
      </w:r>
      <w:r>
        <w:rPr>
          <w:color w:val="231F20"/>
          <w:spacing w:val="-6"/>
          <w:w w:val="105"/>
        </w:rPr>
        <w:t> </w:t>
      </w:r>
      <w:r>
        <w:rPr>
          <w:color w:val="231F20"/>
          <w:w w:val="105"/>
        </w:rPr>
        <w:t>destacaron</w:t>
      </w:r>
      <w:r>
        <w:rPr>
          <w:color w:val="231F20"/>
          <w:spacing w:val="-6"/>
          <w:w w:val="105"/>
        </w:rPr>
        <w:t> </w:t>
      </w:r>
      <w:r>
        <w:rPr>
          <w:color w:val="231F20"/>
          <w:w w:val="105"/>
        </w:rPr>
        <w:t>las</w:t>
      </w:r>
      <w:r>
        <w:rPr>
          <w:color w:val="231F20"/>
          <w:spacing w:val="-6"/>
          <w:w w:val="105"/>
        </w:rPr>
        <w:t> </w:t>
      </w:r>
      <w:r>
        <w:rPr>
          <w:color w:val="231F20"/>
          <w:w w:val="105"/>
        </w:rPr>
        <w:t>consultas</w:t>
      </w:r>
      <w:r>
        <w:rPr>
          <w:color w:val="231F20"/>
          <w:spacing w:val="-6"/>
          <w:w w:val="105"/>
        </w:rPr>
        <w:t> </w:t>
      </w:r>
      <w:r>
        <w:rPr>
          <w:color w:val="231F20"/>
          <w:w w:val="105"/>
        </w:rPr>
        <w:t>médicas</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37</w:t>
      </w:r>
      <w:r>
        <w:rPr>
          <w:color w:val="231F20"/>
          <w:spacing w:val="-6"/>
          <w:w w:val="105"/>
        </w:rPr>
        <w:t> </w:t>
      </w:r>
      <w:r>
        <w:rPr>
          <w:color w:val="231F20"/>
          <w:w w:val="105"/>
        </w:rPr>
        <w:t>por</w:t>
      </w:r>
      <w:r>
        <w:rPr>
          <w:color w:val="231F20"/>
          <w:spacing w:val="-6"/>
          <w:w w:val="105"/>
        </w:rPr>
        <w:t> </w:t>
      </w:r>
      <w:r>
        <w:rPr>
          <w:color w:val="231F20"/>
          <w:w w:val="105"/>
        </w:rPr>
        <w:t>ciento</w:t>
      </w:r>
      <w:r>
        <w:rPr>
          <w:color w:val="231F20"/>
          <w:spacing w:val="-6"/>
          <w:w w:val="105"/>
        </w:rPr>
        <w:t> </w:t>
      </w:r>
      <w:r>
        <w:rPr>
          <w:color w:val="231F20"/>
          <w:w w:val="105"/>
        </w:rPr>
        <w:t>y</w:t>
      </w:r>
      <w:r>
        <w:rPr>
          <w:color w:val="231F20"/>
          <w:spacing w:val="-6"/>
          <w:w w:val="105"/>
        </w:rPr>
        <w:t> </w:t>
      </w:r>
      <w:r>
        <w:rPr>
          <w:color w:val="231F20"/>
          <w:w w:val="105"/>
        </w:rPr>
        <w:t>las terapias</w:t>
      </w:r>
      <w:r>
        <w:rPr>
          <w:color w:val="231F20"/>
          <w:spacing w:val="-13"/>
          <w:w w:val="105"/>
        </w:rPr>
        <w:t> </w:t>
      </w:r>
      <w:r>
        <w:rPr>
          <w:color w:val="231F20"/>
          <w:w w:val="105"/>
        </w:rPr>
        <w:t>por</w:t>
      </w:r>
      <w:r>
        <w:rPr>
          <w:color w:val="231F20"/>
          <w:spacing w:val="-13"/>
          <w:w w:val="105"/>
        </w:rPr>
        <w:t> </w:t>
      </w:r>
      <w:r>
        <w:rPr>
          <w:color w:val="231F20"/>
          <w:w w:val="105"/>
        </w:rPr>
        <w:t>alguna</w:t>
      </w:r>
      <w:r>
        <w:rPr>
          <w:color w:val="231F20"/>
          <w:spacing w:val="-13"/>
          <w:w w:val="105"/>
        </w:rPr>
        <w:t> </w:t>
      </w:r>
      <w:r>
        <w:rPr>
          <w:color w:val="231F20"/>
          <w:w w:val="105"/>
        </w:rPr>
        <w:t>discapacidad</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spacing w:val="-5"/>
          <w:w w:val="105"/>
        </w:rPr>
        <w:t>31</w:t>
      </w:r>
      <w:r>
        <w:rPr>
          <w:color w:val="231F20"/>
          <w:spacing w:val="-13"/>
          <w:w w:val="105"/>
        </w:rPr>
        <w:t> </w:t>
      </w:r>
      <w:r>
        <w:rPr>
          <w:color w:val="231F20"/>
          <w:w w:val="105"/>
        </w:rPr>
        <w:t>por</w:t>
      </w:r>
      <w:r>
        <w:rPr>
          <w:color w:val="231F20"/>
          <w:spacing w:val="-13"/>
          <w:w w:val="105"/>
        </w:rPr>
        <w:t> </w:t>
      </w:r>
      <w:r>
        <w:rPr>
          <w:color w:val="231F20"/>
          <w:w w:val="105"/>
        </w:rPr>
        <w:t>ciento.</w:t>
      </w:r>
    </w:p>
    <w:p>
      <w:pPr>
        <w:pStyle w:val="BodyText"/>
        <w:spacing w:before="6"/>
        <w:rPr>
          <w:sz w:val="24"/>
        </w:rPr>
      </w:pPr>
    </w:p>
    <w:p>
      <w:pPr>
        <w:pStyle w:val="BodyText"/>
        <w:spacing w:line="273" w:lineRule="auto"/>
        <w:ind w:left="110" w:right="107" w:hanging="1"/>
        <w:jc w:val="both"/>
      </w:pPr>
      <w:r>
        <w:rPr>
          <w:rFonts w:ascii="Palatino Linotype" w:hAnsi="Palatino Linotype"/>
          <w:i/>
          <w:color w:val="231F20"/>
          <w:w w:val="105"/>
        </w:rPr>
        <w:t>Medicina General</w:t>
      </w:r>
      <w:r>
        <w:rPr>
          <w:color w:val="231F20"/>
          <w:w w:val="105"/>
        </w:rPr>
        <w:t>. En el área de medicina general se dieron un total de 4 </w:t>
      </w:r>
      <w:r>
        <w:rPr>
          <w:color w:val="231F20"/>
          <w:spacing w:val="2"/>
          <w:w w:val="105"/>
        </w:rPr>
        <w:t>mil </w:t>
      </w:r>
      <w:r>
        <w:rPr>
          <w:color w:val="231F20"/>
          <w:w w:val="105"/>
        </w:rPr>
        <w:t>50 con- sultas</w:t>
      </w:r>
      <w:r>
        <w:rPr>
          <w:color w:val="231F20"/>
          <w:spacing w:val="-6"/>
          <w:w w:val="105"/>
        </w:rPr>
        <w:t> </w:t>
      </w:r>
      <w:r>
        <w:rPr>
          <w:color w:val="231F20"/>
          <w:w w:val="105"/>
        </w:rPr>
        <w:t>médicas,</w:t>
      </w:r>
      <w:r>
        <w:rPr>
          <w:color w:val="231F20"/>
          <w:spacing w:val="-6"/>
          <w:w w:val="105"/>
        </w:rPr>
        <w:t> </w:t>
      </w:r>
      <w:r>
        <w:rPr>
          <w:color w:val="231F20"/>
          <w:w w:val="105"/>
        </w:rPr>
        <w:t>beneficiando</w:t>
      </w:r>
      <w:r>
        <w:rPr>
          <w:color w:val="231F20"/>
          <w:spacing w:val="-6"/>
          <w:w w:val="105"/>
        </w:rPr>
        <w:t> </w:t>
      </w:r>
      <w:r>
        <w:rPr>
          <w:color w:val="231F20"/>
          <w:w w:val="105"/>
        </w:rPr>
        <w:t>a</w:t>
      </w:r>
      <w:r>
        <w:rPr>
          <w:color w:val="231F20"/>
          <w:spacing w:val="-6"/>
          <w:w w:val="105"/>
        </w:rPr>
        <w:t> </w:t>
      </w:r>
      <w:r>
        <w:rPr>
          <w:color w:val="231F20"/>
          <w:w w:val="105"/>
        </w:rPr>
        <w:t>780</w:t>
      </w:r>
      <w:r>
        <w:rPr>
          <w:color w:val="231F20"/>
          <w:spacing w:val="-6"/>
          <w:w w:val="105"/>
        </w:rPr>
        <w:t> </w:t>
      </w:r>
      <w:r>
        <w:rPr>
          <w:color w:val="231F20"/>
          <w:w w:val="105"/>
        </w:rPr>
        <w:t>adultos</w:t>
      </w:r>
      <w:r>
        <w:rPr>
          <w:color w:val="231F20"/>
          <w:spacing w:val="-6"/>
          <w:w w:val="105"/>
        </w:rPr>
        <w:t> </w:t>
      </w:r>
      <w:r>
        <w:rPr>
          <w:color w:val="231F20"/>
          <w:w w:val="105"/>
        </w:rPr>
        <w:t>mayores.</w:t>
      </w:r>
      <w:r>
        <w:rPr>
          <w:color w:val="231F20"/>
          <w:spacing w:val="-6"/>
          <w:w w:val="105"/>
        </w:rPr>
        <w:t> </w:t>
      </w:r>
      <w:r>
        <w:rPr>
          <w:color w:val="231F20"/>
          <w:w w:val="105"/>
        </w:rPr>
        <w:t>Se</w:t>
      </w:r>
      <w:r>
        <w:rPr>
          <w:color w:val="231F20"/>
          <w:spacing w:val="-6"/>
          <w:w w:val="105"/>
        </w:rPr>
        <w:t> </w:t>
      </w:r>
      <w:r>
        <w:rPr>
          <w:color w:val="231F20"/>
          <w:w w:val="105"/>
        </w:rPr>
        <w:t>realizaron</w:t>
      </w:r>
      <w:r>
        <w:rPr>
          <w:color w:val="231F20"/>
          <w:spacing w:val="-6"/>
          <w:w w:val="105"/>
        </w:rPr>
        <w:t> </w:t>
      </w:r>
      <w:r>
        <w:rPr>
          <w:color w:val="231F20"/>
          <w:w w:val="105"/>
        </w:rPr>
        <w:t>240</w:t>
      </w:r>
      <w:r>
        <w:rPr>
          <w:color w:val="231F20"/>
          <w:spacing w:val="-6"/>
          <w:w w:val="105"/>
        </w:rPr>
        <w:t> </w:t>
      </w:r>
      <w:r>
        <w:rPr>
          <w:color w:val="231F20"/>
          <w:w w:val="105"/>
        </w:rPr>
        <w:t>curaciones</w:t>
      </w:r>
      <w:r>
        <w:rPr>
          <w:color w:val="231F20"/>
          <w:spacing w:val="-6"/>
          <w:w w:val="105"/>
        </w:rPr>
        <w:t> </w:t>
      </w:r>
      <w:r>
        <w:rPr>
          <w:color w:val="231F20"/>
          <w:w w:val="105"/>
        </w:rPr>
        <w:t>y</w:t>
      </w:r>
      <w:r>
        <w:rPr>
          <w:color w:val="231F20"/>
          <w:spacing w:val="-6"/>
          <w:w w:val="105"/>
        </w:rPr>
        <w:t> </w:t>
      </w:r>
      <w:r>
        <w:rPr>
          <w:color w:val="231F20"/>
          <w:w w:val="105"/>
        </w:rPr>
        <w:t>se aplicaron 480 inyecciones intramusculares con insumos </w:t>
      </w:r>
      <w:r>
        <w:rPr>
          <w:color w:val="231F20"/>
          <w:spacing w:val="-3"/>
          <w:w w:val="105"/>
        </w:rPr>
        <w:t>propios </w:t>
      </w:r>
      <w:r>
        <w:rPr>
          <w:color w:val="231F20"/>
          <w:w w:val="105"/>
        </w:rPr>
        <w:t>de la institución.  </w:t>
      </w:r>
      <w:r>
        <w:rPr>
          <w:color w:val="231F20"/>
          <w:spacing w:val="26"/>
          <w:w w:val="105"/>
        </w:rPr>
        <w:t> </w:t>
      </w:r>
      <w:r>
        <w:rPr>
          <w:color w:val="231F20"/>
          <w:w w:val="105"/>
        </w:rPr>
        <w:t>Se</w:t>
      </w:r>
    </w:p>
    <w:p>
      <w:pPr>
        <w:spacing w:after="0" w:line="273"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otorgaron 2 </w:t>
      </w:r>
      <w:r>
        <w:rPr>
          <w:color w:val="231F20"/>
          <w:spacing w:val="2"/>
          <w:w w:val="105"/>
        </w:rPr>
        <w:t>mil </w:t>
      </w:r>
      <w:r>
        <w:rPr>
          <w:color w:val="231F20"/>
          <w:w w:val="105"/>
        </w:rPr>
        <w:t>certificados médicos, </w:t>
      </w:r>
      <w:r>
        <w:rPr>
          <w:color w:val="231F20"/>
          <w:spacing w:val="-2"/>
          <w:w w:val="105"/>
        </w:rPr>
        <w:t>siendo </w:t>
      </w:r>
      <w:r>
        <w:rPr>
          <w:color w:val="231F20"/>
          <w:w w:val="105"/>
        </w:rPr>
        <w:t>beneficiada principalmente la población en</w:t>
      </w:r>
      <w:r>
        <w:rPr>
          <w:color w:val="231F20"/>
          <w:spacing w:val="-4"/>
          <w:w w:val="105"/>
        </w:rPr>
        <w:t> </w:t>
      </w:r>
      <w:r>
        <w:rPr>
          <w:color w:val="231F20"/>
          <w:w w:val="105"/>
        </w:rPr>
        <w:t>edad</w:t>
      </w:r>
      <w:r>
        <w:rPr>
          <w:color w:val="231F20"/>
          <w:spacing w:val="-4"/>
          <w:w w:val="105"/>
        </w:rPr>
        <w:t> </w:t>
      </w:r>
      <w:r>
        <w:rPr>
          <w:color w:val="231F20"/>
          <w:w w:val="105"/>
        </w:rPr>
        <w:t>escolar.</w:t>
      </w:r>
      <w:r>
        <w:rPr>
          <w:color w:val="231F20"/>
          <w:spacing w:val="-4"/>
          <w:w w:val="105"/>
        </w:rPr>
        <w:t> </w:t>
      </w:r>
      <w:r>
        <w:rPr>
          <w:color w:val="231F20"/>
          <w:w w:val="105"/>
        </w:rPr>
        <w:t>Dentro</w:t>
      </w:r>
      <w:r>
        <w:rPr>
          <w:color w:val="231F20"/>
          <w:spacing w:val="-4"/>
          <w:w w:val="105"/>
        </w:rPr>
        <w:t> </w:t>
      </w:r>
      <w:r>
        <w:rPr>
          <w:color w:val="231F20"/>
          <w:w w:val="105"/>
        </w:rPr>
        <w:t>del</w:t>
      </w:r>
      <w:r>
        <w:rPr>
          <w:color w:val="231F20"/>
          <w:spacing w:val="-4"/>
          <w:w w:val="105"/>
        </w:rPr>
        <w:t> </w:t>
      </w:r>
      <w:r>
        <w:rPr>
          <w:color w:val="231F20"/>
          <w:w w:val="105"/>
        </w:rPr>
        <w:t>Programa</w:t>
      </w:r>
      <w:r>
        <w:rPr>
          <w:color w:val="231F20"/>
          <w:spacing w:val="-4"/>
          <w:w w:val="105"/>
        </w:rPr>
        <w:t> </w:t>
      </w:r>
      <w:r>
        <w:rPr>
          <w:color w:val="231F20"/>
          <w:w w:val="105"/>
        </w:rPr>
        <w:t>de</w:t>
      </w:r>
      <w:r>
        <w:rPr>
          <w:color w:val="231F20"/>
          <w:spacing w:val="-4"/>
          <w:w w:val="105"/>
        </w:rPr>
        <w:t> </w:t>
      </w:r>
      <w:r>
        <w:rPr>
          <w:color w:val="231F20"/>
          <w:w w:val="105"/>
        </w:rPr>
        <w:t>Planificación</w:t>
      </w:r>
      <w:r>
        <w:rPr>
          <w:color w:val="231F20"/>
          <w:spacing w:val="-4"/>
          <w:w w:val="105"/>
        </w:rPr>
        <w:t> </w:t>
      </w:r>
      <w:r>
        <w:rPr>
          <w:color w:val="231F20"/>
          <w:spacing w:val="2"/>
          <w:w w:val="105"/>
        </w:rPr>
        <w:t>Familiar</w:t>
      </w:r>
      <w:r>
        <w:rPr>
          <w:color w:val="231F20"/>
          <w:spacing w:val="-4"/>
          <w:w w:val="105"/>
        </w:rPr>
        <w:t> </w:t>
      </w:r>
      <w:r>
        <w:rPr>
          <w:color w:val="231F20"/>
          <w:w w:val="105"/>
        </w:rPr>
        <w:t>hasta</w:t>
      </w:r>
      <w:r>
        <w:rPr>
          <w:color w:val="231F20"/>
          <w:spacing w:val="-4"/>
          <w:w w:val="105"/>
        </w:rPr>
        <w:t> </w:t>
      </w:r>
      <w:r>
        <w:rPr>
          <w:color w:val="231F20"/>
          <w:w w:val="105"/>
        </w:rPr>
        <w:t>la</w:t>
      </w:r>
      <w:r>
        <w:rPr>
          <w:color w:val="231F20"/>
          <w:spacing w:val="-4"/>
          <w:w w:val="105"/>
        </w:rPr>
        <w:t> </w:t>
      </w:r>
      <w:r>
        <w:rPr>
          <w:color w:val="231F20"/>
          <w:w w:val="105"/>
        </w:rPr>
        <w:t>fecha</w:t>
      </w:r>
      <w:r>
        <w:rPr>
          <w:color w:val="231F20"/>
          <w:spacing w:val="-4"/>
          <w:w w:val="105"/>
        </w:rPr>
        <w:t> </w:t>
      </w:r>
      <w:r>
        <w:rPr>
          <w:color w:val="231F20"/>
          <w:w w:val="105"/>
        </w:rPr>
        <w:t>se</w:t>
      </w:r>
      <w:r>
        <w:rPr>
          <w:color w:val="231F20"/>
          <w:spacing w:val="-4"/>
          <w:w w:val="105"/>
        </w:rPr>
        <w:t> </w:t>
      </w:r>
      <w:r>
        <w:rPr>
          <w:color w:val="231F20"/>
          <w:w w:val="105"/>
        </w:rPr>
        <w:t>tiene 60</w:t>
      </w:r>
      <w:r>
        <w:rPr>
          <w:color w:val="231F20"/>
          <w:spacing w:val="-5"/>
          <w:w w:val="105"/>
        </w:rPr>
        <w:t> </w:t>
      </w:r>
      <w:r>
        <w:rPr>
          <w:color w:val="231F20"/>
          <w:w w:val="105"/>
        </w:rPr>
        <w:t>pacientes</w:t>
      </w:r>
      <w:r>
        <w:rPr>
          <w:color w:val="231F20"/>
          <w:spacing w:val="-5"/>
          <w:w w:val="105"/>
        </w:rPr>
        <w:t> </w:t>
      </w:r>
      <w:r>
        <w:rPr>
          <w:color w:val="231F20"/>
          <w:w w:val="105"/>
        </w:rPr>
        <w:t>en</w:t>
      </w:r>
      <w:r>
        <w:rPr>
          <w:color w:val="231F20"/>
          <w:spacing w:val="-5"/>
          <w:w w:val="105"/>
        </w:rPr>
        <w:t> </w:t>
      </w:r>
      <w:r>
        <w:rPr>
          <w:color w:val="231F20"/>
          <w:w w:val="105"/>
        </w:rPr>
        <w:t>control,</w:t>
      </w:r>
      <w:r>
        <w:rPr>
          <w:color w:val="231F20"/>
          <w:spacing w:val="-5"/>
          <w:w w:val="105"/>
        </w:rPr>
        <w:t> </w:t>
      </w:r>
      <w:r>
        <w:rPr>
          <w:color w:val="231F20"/>
          <w:w w:val="105"/>
        </w:rPr>
        <w:t>mediante</w:t>
      </w:r>
      <w:r>
        <w:rPr>
          <w:color w:val="231F20"/>
          <w:spacing w:val="-5"/>
          <w:w w:val="105"/>
        </w:rPr>
        <w:t> </w:t>
      </w:r>
      <w:r>
        <w:rPr>
          <w:color w:val="231F20"/>
          <w:w w:val="105"/>
        </w:rPr>
        <w:t>métodos</w:t>
      </w:r>
      <w:r>
        <w:rPr>
          <w:color w:val="231F20"/>
          <w:spacing w:val="-5"/>
          <w:w w:val="105"/>
        </w:rPr>
        <w:t> </w:t>
      </w:r>
      <w:r>
        <w:rPr>
          <w:color w:val="231F20"/>
          <w:w w:val="105"/>
        </w:rPr>
        <w:t>como</w:t>
      </w:r>
      <w:r>
        <w:rPr>
          <w:color w:val="231F20"/>
          <w:spacing w:val="-5"/>
          <w:w w:val="105"/>
        </w:rPr>
        <w:t> </w:t>
      </w:r>
      <w:r>
        <w:rPr>
          <w:color w:val="231F20"/>
          <w:w w:val="105"/>
        </w:rPr>
        <w:t>son:</w:t>
      </w:r>
      <w:r>
        <w:rPr>
          <w:color w:val="231F20"/>
          <w:spacing w:val="-5"/>
          <w:w w:val="105"/>
        </w:rPr>
        <w:t> </w:t>
      </w:r>
      <w:r>
        <w:rPr>
          <w:color w:val="231F20"/>
          <w:spacing w:val="-3"/>
          <w:w w:val="105"/>
        </w:rPr>
        <w:t>DIU,</w:t>
      </w:r>
      <w:r>
        <w:rPr>
          <w:color w:val="231F20"/>
          <w:spacing w:val="-5"/>
          <w:w w:val="105"/>
        </w:rPr>
        <w:t> </w:t>
      </w:r>
      <w:r>
        <w:rPr>
          <w:color w:val="231F20"/>
          <w:w w:val="105"/>
        </w:rPr>
        <w:t>preservativos,</w:t>
      </w:r>
      <w:r>
        <w:rPr>
          <w:color w:val="231F20"/>
          <w:spacing w:val="-5"/>
          <w:w w:val="105"/>
        </w:rPr>
        <w:t> </w:t>
      </w:r>
      <w:r>
        <w:rPr>
          <w:color w:val="231F20"/>
          <w:w w:val="105"/>
        </w:rPr>
        <w:t>hormonales e</w:t>
      </w:r>
      <w:r>
        <w:rPr>
          <w:color w:val="231F20"/>
          <w:spacing w:val="-34"/>
          <w:w w:val="105"/>
        </w:rPr>
        <w:t> </w:t>
      </w:r>
      <w:r>
        <w:rPr>
          <w:color w:val="231F20"/>
          <w:w w:val="105"/>
        </w:rPr>
        <w:t>inyecciones</w:t>
      </w:r>
      <w:r>
        <w:rPr>
          <w:color w:val="231F20"/>
          <w:spacing w:val="-34"/>
          <w:w w:val="105"/>
        </w:rPr>
        <w:t> </w:t>
      </w:r>
      <w:r>
        <w:rPr>
          <w:color w:val="231F20"/>
          <w:w w:val="105"/>
        </w:rPr>
        <w:t>mensuales.</w:t>
      </w:r>
    </w:p>
    <w:p>
      <w:pPr>
        <w:pStyle w:val="BodyText"/>
        <w:spacing w:before="10"/>
        <w:rPr>
          <w:sz w:val="23"/>
        </w:rPr>
      </w:pPr>
    </w:p>
    <w:p>
      <w:pPr>
        <w:pStyle w:val="BodyText"/>
        <w:spacing w:line="280" w:lineRule="auto"/>
        <w:ind w:left="110" w:right="108"/>
        <w:jc w:val="both"/>
      </w:pPr>
      <w:r>
        <w:rPr>
          <w:rFonts w:ascii="Palatino Linotype" w:hAnsi="Palatino Linotype"/>
          <w:i/>
          <w:color w:val="231F20"/>
          <w:w w:val="105"/>
        </w:rPr>
        <w:t>Servicios</w:t>
      </w:r>
      <w:r>
        <w:rPr>
          <w:rFonts w:ascii="Palatino Linotype" w:hAnsi="Palatino Linotype"/>
          <w:i/>
          <w:color w:val="231F20"/>
          <w:spacing w:val="-31"/>
          <w:w w:val="105"/>
        </w:rPr>
        <w:t> </w:t>
      </w:r>
      <w:r>
        <w:rPr>
          <w:rFonts w:ascii="Palatino Linotype" w:hAnsi="Palatino Linotype"/>
          <w:i/>
          <w:color w:val="231F20"/>
          <w:w w:val="105"/>
        </w:rPr>
        <w:t>de</w:t>
      </w:r>
      <w:r>
        <w:rPr>
          <w:rFonts w:ascii="Palatino Linotype" w:hAnsi="Palatino Linotype"/>
          <w:i/>
          <w:color w:val="231F20"/>
          <w:spacing w:val="-31"/>
          <w:w w:val="105"/>
        </w:rPr>
        <w:t> </w:t>
      </w:r>
      <w:r>
        <w:rPr>
          <w:rFonts w:ascii="Palatino Linotype" w:hAnsi="Palatino Linotype"/>
          <w:i/>
          <w:color w:val="231F20"/>
          <w:w w:val="105"/>
        </w:rPr>
        <w:t>Odontología</w:t>
      </w:r>
      <w:r>
        <w:rPr>
          <w:color w:val="231F20"/>
          <w:w w:val="105"/>
        </w:rPr>
        <w:t>.</w:t>
      </w:r>
      <w:r>
        <w:rPr>
          <w:color w:val="231F20"/>
          <w:spacing w:val="-31"/>
          <w:w w:val="105"/>
        </w:rPr>
        <w:t> </w:t>
      </w:r>
      <w:r>
        <w:rPr>
          <w:color w:val="231F20"/>
          <w:w w:val="105"/>
        </w:rPr>
        <w:t>Se</w:t>
      </w:r>
      <w:r>
        <w:rPr>
          <w:color w:val="231F20"/>
          <w:spacing w:val="-31"/>
          <w:w w:val="105"/>
        </w:rPr>
        <w:t> </w:t>
      </w:r>
      <w:r>
        <w:rPr>
          <w:color w:val="231F20"/>
          <w:spacing w:val="-3"/>
          <w:w w:val="105"/>
        </w:rPr>
        <w:t>dieron</w:t>
      </w:r>
      <w:r>
        <w:rPr>
          <w:color w:val="231F20"/>
          <w:spacing w:val="-31"/>
          <w:w w:val="105"/>
        </w:rPr>
        <w:t> </w:t>
      </w:r>
      <w:r>
        <w:rPr>
          <w:color w:val="231F20"/>
          <w:w w:val="105"/>
        </w:rPr>
        <w:t>un</w:t>
      </w:r>
      <w:r>
        <w:rPr>
          <w:color w:val="231F20"/>
          <w:spacing w:val="-31"/>
          <w:w w:val="105"/>
        </w:rPr>
        <w:t> </w:t>
      </w:r>
      <w:r>
        <w:rPr>
          <w:color w:val="231F20"/>
          <w:w w:val="105"/>
        </w:rPr>
        <w:t>mil</w:t>
      </w:r>
      <w:r>
        <w:rPr>
          <w:color w:val="231F20"/>
          <w:spacing w:val="-31"/>
          <w:w w:val="105"/>
        </w:rPr>
        <w:t> </w:t>
      </w:r>
      <w:r>
        <w:rPr>
          <w:color w:val="231F20"/>
          <w:w w:val="105"/>
        </w:rPr>
        <w:t>572</w:t>
      </w:r>
      <w:r>
        <w:rPr>
          <w:color w:val="231F20"/>
          <w:spacing w:val="-31"/>
          <w:w w:val="105"/>
        </w:rPr>
        <w:t> </w:t>
      </w:r>
      <w:r>
        <w:rPr>
          <w:color w:val="231F20"/>
          <w:w w:val="105"/>
        </w:rPr>
        <w:t>consultas</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cuales</w:t>
      </w:r>
      <w:r>
        <w:rPr>
          <w:color w:val="231F20"/>
          <w:spacing w:val="-31"/>
          <w:w w:val="105"/>
        </w:rPr>
        <w:t> </w:t>
      </w:r>
      <w:r>
        <w:rPr>
          <w:color w:val="231F20"/>
          <w:spacing w:val="-4"/>
          <w:w w:val="105"/>
        </w:rPr>
        <w:t>70</w:t>
      </w:r>
      <w:r>
        <w:rPr>
          <w:color w:val="231F20"/>
          <w:spacing w:val="-31"/>
          <w:w w:val="105"/>
        </w:rPr>
        <w:t> </w:t>
      </w:r>
      <w:r>
        <w:rPr>
          <w:color w:val="231F20"/>
          <w:spacing w:val="-3"/>
          <w:w w:val="105"/>
        </w:rPr>
        <w:t>por</w:t>
      </w:r>
      <w:r>
        <w:rPr>
          <w:color w:val="231F20"/>
          <w:spacing w:val="-31"/>
          <w:w w:val="105"/>
        </w:rPr>
        <w:t> </w:t>
      </w:r>
      <w:r>
        <w:rPr>
          <w:color w:val="231F20"/>
          <w:spacing w:val="-4"/>
          <w:w w:val="105"/>
        </w:rPr>
        <w:t>ciento</w:t>
      </w:r>
      <w:r>
        <w:rPr>
          <w:color w:val="231F20"/>
          <w:spacing w:val="-31"/>
          <w:w w:val="105"/>
        </w:rPr>
        <w:t> </w:t>
      </w:r>
      <w:r>
        <w:rPr>
          <w:color w:val="231F20"/>
          <w:spacing w:val="-3"/>
          <w:w w:val="105"/>
        </w:rPr>
        <w:t>fueron subsecuentes</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spacing w:val="-3"/>
          <w:w w:val="105"/>
        </w:rPr>
        <w:t>resto</w:t>
      </w:r>
      <w:r>
        <w:rPr>
          <w:color w:val="231F20"/>
          <w:spacing w:val="-14"/>
          <w:w w:val="105"/>
        </w:rPr>
        <w:t> </w:t>
      </w:r>
      <w:r>
        <w:rPr>
          <w:color w:val="231F20"/>
          <w:w w:val="105"/>
        </w:rPr>
        <w:t>de</w:t>
      </w:r>
      <w:r>
        <w:rPr>
          <w:color w:val="231F20"/>
          <w:spacing w:val="-14"/>
          <w:w w:val="105"/>
        </w:rPr>
        <w:t> </w:t>
      </w:r>
      <w:r>
        <w:rPr>
          <w:color w:val="231F20"/>
          <w:spacing w:val="-4"/>
          <w:w w:val="105"/>
        </w:rPr>
        <w:t>pacientes</w:t>
      </w:r>
      <w:r>
        <w:rPr>
          <w:color w:val="231F20"/>
          <w:spacing w:val="-14"/>
          <w:w w:val="105"/>
        </w:rPr>
        <w:t> </w:t>
      </w:r>
      <w:r>
        <w:rPr>
          <w:color w:val="231F20"/>
          <w:w w:val="105"/>
        </w:rPr>
        <w:t>de</w:t>
      </w:r>
      <w:r>
        <w:rPr>
          <w:color w:val="231F20"/>
          <w:spacing w:val="-14"/>
          <w:w w:val="105"/>
        </w:rPr>
        <w:t> </w:t>
      </w:r>
      <w:r>
        <w:rPr>
          <w:color w:val="231F20"/>
          <w:w w:val="105"/>
        </w:rPr>
        <w:t>primera</w:t>
      </w:r>
      <w:r>
        <w:rPr>
          <w:color w:val="231F20"/>
          <w:spacing w:val="-14"/>
          <w:w w:val="105"/>
        </w:rPr>
        <w:t> </w:t>
      </w:r>
      <w:r>
        <w:rPr>
          <w:color w:val="231F20"/>
          <w:spacing w:val="-3"/>
          <w:w w:val="105"/>
        </w:rPr>
        <w:t>vez;</w:t>
      </w:r>
      <w:r>
        <w:rPr>
          <w:color w:val="231F20"/>
          <w:spacing w:val="-14"/>
          <w:w w:val="105"/>
        </w:rPr>
        <w:t> </w:t>
      </w:r>
      <w:r>
        <w:rPr>
          <w:color w:val="231F20"/>
          <w:spacing w:val="-3"/>
          <w:w w:val="105"/>
        </w:rPr>
        <w:t>además</w:t>
      </w:r>
      <w:r>
        <w:rPr>
          <w:color w:val="231F20"/>
          <w:spacing w:val="-14"/>
          <w:w w:val="105"/>
        </w:rPr>
        <w:t> </w:t>
      </w:r>
      <w:r>
        <w:rPr>
          <w:color w:val="231F20"/>
          <w:w w:val="105"/>
        </w:rPr>
        <w:t>se</w:t>
      </w:r>
      <w:r>
        <w:rPr>
          <w:color w:val="231F20"/>
          <w:spacing w:val="-14"/>
          <w:w w:val="105"/>
        </w:rPr>
        <w:t> </w:t>
      </w:r>
      <w:r>
        <w:rPr>
          <w:color w:val="231F20"/>
          <w:w w:val="105"/>
        </w:rPr>
        <w:t>dio</w:t>
      </w:r>
      <w:r>
        <w:rPr>
          <w:color w:val="231F20"/>
          <w:spacing w:val="-14"/>
          <w:w w:val="105"/>
        </w:rPr>
        <w:t> </w:t>
      </w:r>
      <w:r>
        <w:rPr>
          <w:color w:val="231F20"/>
          <w:spacing w:val="-4"/>
          <w:w w:val="105"/>
        </w:rPr>
        <w:t>orientación</w:t>
      </w:r>
      <w:r>
        <w:rPr>
          <w:color w:val="231F20"/>
          <w:spacing w:val="-14"/>
          <w:w w:val="105"/>
        </w:rPr>
        <w:t> </w:t>
      </w:r>
      <w:r>
        <w:rPr>
          <w:color w:val="231F20"/>
          <w:w w:val="105"/>
        </w:rPr>
        <w:t>individual a</w:t>
      </w:r>
      <w:r>
        <w:rPr>
          <w:color w:val="231F20"/>
          <w:spacing w:val="-11"/>
          <w:w w:val="105"/>
        </w:rPr>
        <w:t> </w:t>
      </w:r>
      <w:r>
        <w:rPr>
          <w:color w:val="231F20"/>
          <w:w w:val="105"/>
        </w:rPr>
        <w:t>un</w:t>
      </w:r>
      <w:r>
        <w:rPr>
          <w:color w:val="231F20"/>
          <w:spacing w:val="-11"/>
          <w:w w:val="105"/>
        </w:rPr>
        <w:t> </w:t>
      </w:r>
      <w:r>
        <w:rPr>
          <w:color w:val="231F20"/>
          <w:w w:val="105"/>
        </w:rPr>
        <w:t>mil</w:t>
      </w:r>
      <w:r>
        <w:rPr>
          <w:color w:val="231F20"/>
          <w:spacing w:val="-11"/>
          <w:w w:val="105"/>
        </w:rPr>
        <w:t> </w:t>
      </w:r>
      <w:r>
        <w:rPr>
          <w:color w:val="231F20"/>
          <w:spacing w:val="-3"/>
          <w:w w:val="105"/>
        </w:rPr>
        <w:t>872</w:t>
      </w:r>
      <w:r>
        <w:rPr>
          <w:color w:val="231F20"/>
          <w:spacing w:val="-11"/>
          <w:w w:val="105"/>
        </w:rPr>
        <w:t> </w:t>
      </w:r>
      <w:r>
        <w:rPr>
          <w:color w:val="231F20"/>
          <w:spacing w:val="-3"/>
          <w:w w:val="105"/>
        </w:rPr>
        <w:t>personas,</w:t>
      </w:r>
      <w:r>
        <w:rPr>
          <w:color w:val="231F20"/>
          <w:spacing w:val="-11"/>
          <w:w w:val="105"/>
        </w:rPr>
        <w:t> </w:t>
      </w:r>
      <w:r>
        <w:rPr>
          <w:color w:val="231F20"/>
          <w:spacing w:val="-4"/>
          <w:w w:val="105"/>
        </w:rPr>
        <w:t>aplicación</w:t>
      </w:r>
      <w:r>
        <w:rPr>
          <w:color w:val="231F20"/>
          <w:spacing w:val="-11"/>
          <w:w w:val="105"/>
        </w:rPr>
        <w:t> </w:t>
      </w:r>
      <w:r>
        <w:rPr>
          <w:color w:val="231F20"/>
          <w:w w:val="105"/>
        </w:rPr>
        <w:t>de</w:t>
      </w:r>
      <w:r>
        <w:rPr>
          <w:color w:val="231F20"/>
          <w:spacing w:val="-11"/>
          <w:w w:val="105"/>
        </w:rPr>
        <w:t> </w:t>
      </w:r>
      <w:r>
        <w:rPr>
          <w:color w:val="231F20"/>
          <w:w w:val="105"/>
        </w:rPr>
        <w:t>flúor</w:t>
      </w:r>
      <w:r>
        <w:rPr>
          <w:color w:val="231F20"/>
          <w:spacing w:val="-11"/>
          <w:w w:val="105"/>
        </w:rPr>
        <w:t> </w:t>
      </w:r>
      <w:r>
        <w:rPr>
          <w:color w:val="231F20"/>
          <w:w w:val="105"/>
        </w:rPr>
        <w:t>a</w:t>
      </w:r>
      <w:r>
        <w:rPr>
          <w:color w:val="231F20"/>
          <w:spacing w:val="-11"/>
          <w:w w:val="105"/>
        </w:rPr>
        <w:t> </w:t>
      </w:r>
      <w:r>
        <w:rPr>
          <w:color w:val="231F20"/>
          <w:w w:val="105"/>
        </w:rPr>
        <w:t>un</w:t>
      </w:r>
      <w:r>
        <w:rPr>
          <w:color w:val="231F20"/>
          <w:spacing w:val="-11"/>
          <w:w w:val="105"/>
        </w:rPr>
        <w:t> </w:t>
      </w:r>
      <w:r>
        <w:rPr>
          <w:color w:val="231F20"/>
          <w:w w:val="105"/>
        </w:rPr>
        <w:t>mil</w:t>
      </w:r>
      <w:r>
        <w:rPr>
          <w:color w:val="231F20"/>
          <w:spacing w:val="-11"/>
          <w:w w:val="105"/>
        </w:rPr>
        <w:t> </w:t>
      </w:r>
      <w:r>
        <w:rPr>
          <w:color w:val="231F20"/>
          <w:spacing w:val="-9"/>
          <w:w w:val="105"/>
        </w:rPr>
        <w:t>616</w:t>
      </w:r>
      <w:r>
        <w:rPr>
          <w:color w:val="231F20"/>
          <w:spacing w:val="-11"/>
          <w:w w:val="105"/>
        </w:rPr>
        <w:t> </w:t>
      </w:r>
      <w:r>
        <w:rPr>
          <w:color w:val="231F20"/>
          <w:spacing w:val="-3"/>
          <w:w w:val="105"/>
        </w:rPr>
        <w:t>personas,</w:t>
      </w:r>
      <w:r>
        <w:rPr>
          <w:color w:val="231F20"/>
          <w:spacing w:val="-11"/>
          <w:w w:val="105"/>
        </w:rPr>
        <w:t> </w:t>
      </w:r>
      <w:r>
        <w:rPr>
          <w:color w:val="231F20"/>
          <w:spacing w:val="-3"/>
          <w:w w:val="105"/>
        </w:rPr>
        <w:t>detección</w:t>
      </w:r>
      <w:r>
        <w:rPr>
          <w:color w:val="231F20"/>
          <w:spacing w:val="-11"/>
          <w:w w:val="105"/>
        </w:rPr>
        <w:t> </w:t>
      </w:r>
      <w:r>
        <w:rPr>
          <w:color w:val="231F20"/>
          <w:w w:val="105"/>
        </w:rPr>
        <w:t>de</w:t>
      </w:r>
      <w:r>
        <w:rPr>
          <w:color w:val="231F20"/>
          <w:spacing w:val="-11"/>
          <w:w w:val="105"/>
        </w:rPr>
        <w:t> </w:t>
      </w:r>
      <w:r>
        <w:rPr>
          <w:color w:val="231F20"/>
          <w:spacing w:val="-3"/>
          <w:w w:val="105"/>
        </w:rPr>
        <w:t>placa</w:t>
      </w:r>
      <w:r>
        <w:rPr>
          <w:color w:val="231F20"/>
          <w:spacing w:val="-11"/>
          <w:w w:val="105"/>
        </w:rPr>
        <w:t> </w:t>
      </w:r>
      <w:r>
        <w:rPr>
          <w:color w:val="231F20"/>
          <w:spacing w:val="-4"/>
          <w:w w:val="105"/>
        </w:rPr>
        <w:t>den- </w:t>
      </w:r>
      <w:r>
        <w:rPr>
          <w:color w:val="231F20"/>
          <w:w w:val="105"/>
        </w:rPr>
        <w:t>tobacteriana a un mil 572 </w:t>
      </w:r>
      <w:r>
        <w:rPr>
          <w:color w:val="231F20"/>
          <w:spacing w:val="-3"/>
          <w:w w:val="105"/>
        </w:rPr>
        <w:t>personas, </w:t>
      </w:r>
      <w:r>
        <w:rPr>
          <w:color w:val="231F20"/>
          <w:w w:val="105"/>
        </w:rPr>
        <w:t>se </w:t>
      </w:r>
      <w:r>
        <w:rPr>
          <w:color w:val="231F20"/>
          <w:spacing w:val="-4"/>
          <w:w w:val="105"/>
        </w:rPr>
        <w:t>hicieron </w:t>
      </w:r>
      <w:r>
        <w:rPr>
          <w:color w:val="231F20"/>
          <w:spacing w:val="-3"/>
          <w:w w:val="105"/>
        </w:rPr>
        <w:t>trabajos </w:t>
      </w:r>
      <w:r>
        <w:rPr>
          <w:color w:val="231F20"/>
          <w:w w:val="105"/>
        </w:rPr>
        <w:t>de profilaxis a </w:t>
      </w:r>
      <w:r>
        <w:rPr>
          <w:color w:val="231F20"/>
          <w:spacing w:val="-6"/>
          <w:w w:val="105"/>
        </w:rPr>
        <w:t>187 </w:t>
      </w:r>
      <w:r>
        <w:rPr>
          <w:color w:val="231F20"/>
          <w:spacing w:val="-3"/>
          <w:w w:val="105"/>
        </w:rPr>
        <w:t>personas, </w:t>
      </w:r>
      <w:r>
        <w:rPr>
          <w:color w:val="231F20"/>
          <w:w w:val="105"/>
        </w:rPr>
        <w:t>se </w:t>
      </w:r>
      <w:r>
        <w:rPr>
          <w:color w:val="231F20"/>
          <w:spacing w:val="-3"/>
          <w:w w:val="105"/>
        </w:rPr>
        <w:t>aplicaron </w:t>
      </w:r>
      <w:r>
        <w:rPr>
          <w:color w:val="231F20"/>
          <w:w w:val="105"/>
        </w:rPr>
        <w:t>200 amalgamas, se </w:t>
      </w:r>
      <w:r>
        <w:rPr>
          <w:color w:val="231F20"/>
          <w:spacing w:val="-4"/>
          <w:w w:val="105"/>
        </w:rPr>
        <w:t>hicieron </w:t>
      </w:r>
      <w:r>
        <w:rPr>
          <w:color w:val="231F20"/>
          <w:spacing w:val="-5"/>
          <w:w w:val="105"/>
        </w:rPr>
        <w:t>271 </w:t>
      </w:r>
      <w:r>
        <w:rPr>
          <w:color w:val="231F20"/>
          <w:spacing w:val="-3"/>
          <w:w w:val="105"/>
        </w:rPr>
        <w:t>endodoncias, </w:t>
      </w:r>
      <w:r>
        <w:rPr>
          <w:color w:val="231F20"/>
          <w:spacing w:val="-5"/>
          <w:w w:val="105"/>
        </w:rPr>
        <w:t>381 </w:t>
      </w:r>
      <w:r>
        <w:rPr>
          <w:color w:val="231F20"/>
          <w:spacing w:val="-3"/>
          <w:w w:val="105"/>
        </w:rPr>
        <w:t>obturaciones provisionales, </w:t>
      </w:r>
      <w:r>
        <w:rPr>
          <w:color w:val="231F20"/>
          <w:w w:val="105"/>
        </w:rPr>
        <w:t>396</w:t>
      </w:r>
      <w:r>
        <w:rPr>
          <w:color w:val="231F20"/>
          <w:spacing w:val="-15"/>
          <w:w w:val="105"/>
        </w:rPr>
        <w:t> </w:t>
      </w:r>
      <w:r>
        <w:rPr>
          <w:color w:val="231F20"/>
          <w:spacing w:val="-3"/>
          <w:w w:val="105"/>
        </w:rPr>
        <w:t>farmacoterapias,</w:t>
      </w:r>
      <w:r>
        <w:rPr>
          <w:color w:val="231F20"/>
          <w:spacing w:val="-15"/>
          <w:w w:val="105"/>
        </w:rPr>
        <w:t> </w:t>
      </w:r>
      <w:r>
        <w:rPr>
          <w:color w:val="231F20"/>
          <w:w w:val="105"/>
        </w:rPr>
        <w:t>341</w:t>
      </w:r>
      <w:r>
        <w:rPr>
          <w:color w:val="231F20"/>
          <w:spacing w:val="-15"/>
          <w:w w:val="105"/>
        </w:rPr>
        <w:t> </w:t>
      </w:r>
      <w:r>
        <w:rPr>
          <w:color w:val="231F20"/>
          <w:spacing w:val="-3"/>
          <w:w w:val="105"/>
        </w:rPr>
        <w:t>recubrimientos</w:t>
      </w:r>
      <w:r>
        <w:rPr>
          <w:color w:val="231F20"/>
          <w:spacing w:val="-15"/>
          <w:w w:val="105"/>
        </w:rPr>
        <w:t> </w:t>
      </w:r>
      <w:r>
        <w:rPr>
          <w:color w:val="231F20"/>
          <w:w w:val="105"/>
        </w:rPr>
        <w:t>de</w:t>
      </w:r>
      <w:r>
        <w:rPr>
          <w:color w:val="231F20"/>
          <w:spacing w:val="-15"/>
          <w:w w:val="105"/>
        </w:rPr>
        <w:t> </w:t>
      </w:r>
      <w:r>
        <w:rPr>
          <w:color w:val="231F20"/>
          <w:w w:val="105"/>
        </w:rPr>
        <w:t>pulpar</w:t>
      </w:r>
      <w:r>
        <w:rPr>
          <w:color w:val="231F20"/>
          <w:spacing w:val="-15"/>
          <w:w w:val="105"/>
        </w:rPr>
        <w:t> </w:t>
      </w:r>
      <w:r>
        <w:rPr>
          <w:color w:val="231F20"/>
          <w:w w:val="105"/>
        </w:rPr>
        <w:t>directo,</w:t>
      </w:r>
      <w:r>
        <w:rPr>
          <w:color w:val="231F20"/>
          <w:spacing w:val="-15"/>
          <w:w w:val="105"/>
        </w:rPr>
        <w:t> </w:t>
      </w:r>
      <w:r>
        <w:rPr>
          <w:color w:val="231F20"/>
          <w:w w:val="105"/>
        </w:rPr>
        <w:t>89</w:t>
      </w:r>
      <w:r>
        <w:rPr>
          <w:color w:val="231F20"/>
          <w:spacing w:val="-15"/>
          <w:w w:val="105"/>
        </w:rPr>
        <w:t> </w:t>
      </w:r>
      <w:r>
        <w:rPr>
          <w:color w:val="231F20"/>
          <w:w w:val="105"/>
        </w:rPr>
        <w:t>pulpotomías</w:t>
      </w:r>
      <w:r>
        <w:rPr>
          <w:color w:val="231F20"/>
          <w:spacing w:val="-15"/>
          <w:w w:val="105"/>
        </w:rPr>
        <w:t> </w:t>
      </w:r>
      <w:r>
        <w:rPr>
          <w:color w:val="231F20"/>
          <w:w w:val="105"/>
        </w:rPr>
        <w:t>y</w:t>
      </w:r>
      <w:r>
        <w:rPr>
          <w:color w:val="231F20"/>
          <w:spacing w:val="-15"/>
          <w:w w:val="105"/>
        </w:rPr>
        <w:t> </w:t>
      </w:r>
      <w:r>
        <w:rPr>
          <w:color w:val="231F20"/>
          <w:w w:val="105"/>
        </w:rPr>
        <w:t>se</w:t>
      </w:r>
      <w:r>
        <w:rPr>
          <w:color w:val="231F20"/>
          <w:spacing w:val="-15"/>
          <w:w w:val="105"/>
        </w:rPr>
        <w:t> </w:t>
      </w:r>
      <w:r>
        <w:rPr>
          <w:color w:val="231F20"/>
          <w:spacing w:val="-4"/>
          <w:w w:val="105"/>
        </w:rPr>
        <w:t>hicieron </w:t>
      </w:r>
      <w:r>
        <w:rPr>
          <w:color w:val="231F20"/>
          <w:spacing w:val="-8"/>
          <w:w w:val="105"/>
        </w:rPr>
        <w:t>14 </w:t>
      </w:r>
      <w:r>
        <w:rPr>
          <w:color w:val="231F20"/>
          <w:spacing w:val="-3"/>
          <w:w w:val="105"/>
        </w:rPr>
        <w:t>cimentaciones </w:t>
      </w:r>
      <w:r>
        <w:rPr>
          <w:color w:val="231F20"/>
          <w:w w:val="105"/>
        </w:rPr>
        <w:t>de </w:t>
      </w:r>
      <w:r>
        <w:rPr>
          <w:color w:val="231F20"/>
          <w:spacing w:val="-3"/>
          <w:w w:val="105"/>
        </w:rPr>
        <w:t>prótesis </w:t>
      </w:r>
      <w:r>
        <w:rPr>
          <w:color w:val="231F20"/>
          <w:w w:val="105"/>
        </w:rPr>
        <w:t>fijas. </w:t>
      </w:r>
      <w:r>
        <w:rPr>
          <w:color w:val="231F20"/>
          <w:spacing w:val="-4"/>
          <w:w w:val="105"/>
        </w:rPr>
        <w:t>Haciendo </w:t>
      </w:r>
      <w:r>
        <w:rPr>
          <w:color w:val="231F20"/>
          <w:w w:val="105"/>
        </w:rPr>
        <w:t>un esfuerzo para </w:t>
      </w:r>
      <w:r>
        <w:rPr>
          <w:color w:val="231F20"/>
          <w:spacing w:val="-3"/>
          <w:w w:val="105"/>
        </w:rPr>
        <w:t>que los </w:t>
      </w:r>
      <w:r>
        <w:rPr>
          <w:color w:val="231F20"/>
          <w:w w:val="105"/>
        </w:rPr>
        <w:t>materiales </w:t>
      </w:r>
      <w:r>
        <w:rPr>
          <w:color w:val="231F20"/>
          <w:spacing w:val="-3"/>
          <w:w w:val="105"/>
        </w:rPr>
        <w:t>que </w:t>
      </w:r>
      <w:r>
        <w:rPr>
          <w:color w:val="231F20"/>
          <w:w w:val="105"/>
        </w:rPr>
        <w:t>se usan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mismo</w:t>
      </w:r>
      <w:r>
        <w:rPr>
          <w:color w:val="231F20"/>
          <w:spacing w:val="-16"/>
          <w:w w:val="105"/>
        </w:rPr>
        <w:t> </w:t>
      </w:r>
      <w:r>
        <w:rPr>
          <w:color w:val="231F20"/>
          <w:w w:val="105"/>
        </w:rPr>
        <w:t>sean</w:t>
      </w:r>
      <w:r>
        <w:rPr>
          <w:color w:val="231F20"/>
          <w:spacing w:val="-16"/>
          <w:w w:val="105"/>
        </w:rPr>
        <w:t> </w:t>
      </w:r>
      <w:r>
        <w:rPr>
          <w:color w:val="231F20"/>
          <w:w w:val="105"/>
        </w:rPr>
        <w:t>de</w:t>
      </w:r>
      <w:r>
        <w:rPr>
          <w:color w:val="231F20"/>
          <w:spacing w:val="-16"/>
          <w:w w:val="105"/>
        </w:rPr>
        <w:t> </w:t>
      </w:r>
      <w:r>
        <w:rPr>
          <w:color w:val="231F20"/>
          <w:spacing w:val="-3"/>
          <w:w w:val="105"/>
        </w:rPr>
        <w:t>buena</w:t>
      </w:r>
      <w:r>
        <w:rPr>
          <w:color w:val="231F20"/>
          <w:spacing w:val="-16"/>
          <w:w w:val="105"/>
        </w:rPr>
        <w:t> </w:t>
      </w:r>
      <w:r>
        <w:rPr>
          <w:color w:val="231F20"/>
          <w:w w:val="105"/>
        </w:rPr>
        <w:t>calidad</w:t>
      </w:r>
      <w:r>
        <w:rPr>
          <w:color w:val="231F20"/>
          <w:spacing w:val="-16"/>
          <w:w w:val="105"/>
        </w:rPr>
        <w:t> </w:t>
      </w:r>
      <w:r>
        <w:rPr>
          <w:color w:val="231F20"/>
          <w:w w:val="105"/>
        </w:rPr>
        <w:t>y</w:t>
      </w:r>
      <w:r>
        <w:rPr>
          <w:color w:val="231F20"/>
          <w:spacing w:val="-16"/>
          <w:w w:val="105"/>
        </w:rPr>
        <w:t> </w:t>
      </w:r>
      <w:r>
        <w:rPr>
          <w:color w:val="231F20"/>
          <w:spacing w:val="-3"/>
          <w:w w:val="105"/>
        </w:rPr>
        <w:t>poder</w:t>
      </w:r>
      <w:r>
        <w:rPr>
          <w:color w:val="231F20"/>
          <w:spacing w:val="-16"/>
          <w:w w:val="105"/>
        </w:rPr>
        <w:t> </w:t>
      </w:r>
      <w:r>
        <w:rPr>
          <w:color w:val="231F20"/>
          <w:w w:val="105"/>
        </w:rPr>
        <w:t>garantizar</w:t>
      </w:r>
      <w:r>
        <w:rPr>
          <w:color w:val="231F20"/>
          <w:spacing w:val="-16"/>
          <w:w w:val="105"/>
        </w:rPr>
        <w:t> </w:t>
      </w:r>
      <w:r>
        <w:rPr>
          <w:color w:val="231F20"/>
          <w:w w:val="105"/>
        </w:rPr>
        <w:t>el</w:t>
      </w:r>
      <w:r>
        <w:rPr>
          <w:color w:val="231F20"/>
          <w:spacing w:val="-16"/>
          <w:w w:val="105"/>
        </w:rPr>
        <w:t> </w:t>
      </w:r>
      <w:r>
        <w:rPr>
          <w:color w:val="231F20"/>
          <w:spacing w:val="-3"/>
          <w:w w:val="105"/>
        </w:rPr>
        <w:t>trabajo.</w:t>
      </w:r>
    </w:p>
    <w:p>
      <w:pPr>
        <w:pStyle w:val="BodyText"/>
        <w:spacing w:before="4"/>
        <w:rPr>
          <w:sz w:val="24"/>
        </w:rPr>
      </w:pPr>
    </w:p>
    <w:p>
      <w:pPr>
        <w:pStyle w:val="BodyText"/>
        <w:spacing w:line="278" w:lineRule="auto"/>
        <w:ind w:left="110" w:right="106"/>
        <w:jc w:val="both"/>
      </w:pPr>
      <w:r>
        <w:rPr>
          <w:rFonts w:ascii="Palatino Linotype" w:hAnsi="Palatino Linotype"/>
          <w:i/>
          <w:color w:val="231F20"/>
          <w:w w:val="105"/>
        </w:rPr>
        <w:t>Servicios de Optometría</w:t>
      </w:r>
      <w:r>
        <w:rPr>
          <w:color w:val="231F20"/>
          <w:w w:val="105"/>
        </w:rPr>
        <w:t>. Se donaron 13 armazones de lentes, se dieron 673 consultas con</w:t>
      </w:r>
      <w:r>
        <w:rPr>
          <w:color w:val="231F20"/>
          <w:spacing w:val="-6"/>
          <w:w w:val="105"/>
        </w:rPr>
        <w:t> </w:t>
      </w:r>
      <w:r>
        <w:rPr>
          <w:color w:val="231F20"/>
          <w:w w:val="105"/>
        </w:rPr>
        <w:t>un</w:t>
      </w:r>
      <w:r>
        <w:rPr>
          <w:color w:val="231F20"/>
          <w:spacing w:val="-6"/>
          <w:w w:val="105"/>
        </w:rPr>
        <w:t> </w:t>
      </w:r>
      <w:r>
        <w:rPr>
          <w:color w:val="231F20"/>
          <w:w w:val="105"/>
        </w:rPr>
        <w:t>costo</w:t>
      </w:r>
      <w:r>
        <w:rPr>
          <w:color w:val="231F20"/>
          <w:spacing w:val="-6"/>
          <w:w w:val="105"/>
        </w:rPr>
        <w:t> </w:t>
      </w:r>
      <w:r>
        <w:rPr>
          <w:color w:val="231F20"/>
          <w:w w:val="105"/>
        </w:rPr>
        <w:t>de</w:t>
      </w:r>
      <w:r>
        <w:rPr>
          <w:color w:val="231F20"/>
          <w:spacing w:val="-6"/>
          <w:w w:val="105"/>
        </w:rPr>
        <w:t> </w:t>
      </w:r>
      <w:r>
        <w:rPr>
          <w:color w:val="231F20"/>
          <w:w w:val="105"/>
        </w:rPr>
        <w:t>20</w:t>
      </w:r>
      <w:r>
        <w:rPr>
          <w:color w:val="231F20"/>
          <w:spacing w:val="-6"/>
          <w:w w:val="105"/>
        </w:rPr>
        <w:t> </w:t>
      </w:r>
      <w:r>
        <w:rPr>
          <w:color w:val="231F20"/>
          <w:w w:val="105"/>
        </w:rPr>
        <w:t>pesos</w:t>
      </w:r>
      <w:r>
        <w:rPr>
          <w:color w:val="231F20"/>
          <w:spacing w:val="-6"/>
          <w:w w:val="105"/>
        </w:rPr>
        <w:t> </w:t>
      </w:r>
      <w:r>
        <w:rPr>
          <w:color w:val="231F20"/>
          <w:w w:val="105"/>
        </w:rPr>
        <w:t>cada</w:t>
      </w:r>
      <w:r>
        <w:rPr>
          <w:color w:val="231F20"/>
          <w:spacing w:val="-6"/>
          <w:w w:val="105"/>
        </w:rPr>
        <w:t> </w:t>
      </w:r>
      <w:r>
        <w:rPr>
          <w:color w:val="231F20"/>
          <w:w w:val="105"/>
        </w:rPr>
        <w:t>una;</w:t>
      </w:r>
      <w:r>
        <w:rPr>
          <w:color w:val="231F20"/>
          <w:spacing w:val="-6"/>
          <w:w w:val="105"/>
        </w:rPr>
        <w:t> </w:t>
      </w:r>
      <w:r>
        <w:rPr>
          <w:color w:val="231F20"/>
          <w:w w:val="105"/>
        </w:rPr>
        <w:t>se</w:t>
      </w:r>
      <w:r>
        <w:rPr>
          <w:color w:val="231F20"/>
          <w:spacing w:val="-6"/>
          <w:w w:val="105"/>
        </w:rPr>
        <w:t> </w:t>
      </w:r>
      <w:r>
        <w:rPr>
          <w:color w:val="231F20"/>
          <w:w w:val="105"/>
        </w:rPr>
        <w:t>canalizaron</w:t>
      </w:r>
      <w:r>
        <w:rPr>
          <w:color w:val="231F20"/>
          <w:spacing w:val="-6"/>
          <w:w w:val="105"/>
        </w:rPr>
        <w:t> </w:t>
      </w:r>
      <w:r>
        <w:rPr>
          <w:color w:val="231F20"/>
          <w:w w:val="105"/>
        </w:rPr>
        <w:t>y</w:t>
      </w:r>
      <w:r>
        <w:rPr>
          <w:color w:val="231F20"/>
          <w:spacing w:val="-6"/>
          <w:w w:val="105"/>
        </w:rPr>
        <w:t> </w:t>
      </w:r>
      <w:r>
        <w:rPr>
          <w:color w:val="231F20"/>
          <w:w w:val="105"/>
        </w:rPr>
        <w:t>se</w:t>
      </w:r>
      <w:r>
        <w:rPr>
          <w:color w:val="231F20"/>
          <w:spacing w:val="-6"/>
          <w:w w:val="105"/>
        </w:rPr>
        <w:t> </w:t>
      </w:r>
      <w:r>
        <w:rPr>
          <w:color w:val="231F20"/>
          <w:w w:val="105"/>
        </w:rPr>
        <w:t>dio</w:t>
      </w:r>
      <w:r>
        <w:rPr>
          <w:color w:val="231F20"/>
          <w:spacing w:val="-6"/>
          <w:w w:val="105"/>
        </w:rPr>
        <w:t> </w:t>
      </w:r>
      <w:r>
        <w:rPr>
          <w:color w:val="231F20"/>
          <w:w w:val="105"/>
        </w:rPr>
        <w:t>seguimiento</w:t>
      </w:r>
      <w:r>
        <w:rPr>
          <w:color w:val="231F20"/>
          <w:spacing w:val="-6"/>
          <w:w w:val="105"/>
        </w:rPr>
        <w:t> </w:t>
      </w:r>
      <w:r>
        <w:rPr>
          <w:color w:val="231F20"/>
          <w:w w:val="105"/>
        </w:rPr>
        <w:t>a</w:t>
      </w:r>
      <w:r>
        <w:rPr>
          <w:color w:val="231F20"/>
          <w:spacing w:val="-6"/>
          <w:w w:val="105"/>
        </w:rPr>
        <w:t> </w:t>
      </w:r>
      <w:r>
        <w:rPr>
          <w:color w:val="231F20"/>
          <w:w w:val="105"/>
        </w:rPr>
        <w:t>personas</w:t>
      </w:r>
      <w:r>
        <w:rPr>
          <w:color w:val="231F20"/>
          <w:spacing w:val="-6"/>
          <w:w w:val="105"/>
        </w:rPr>
        <w:t> </w:t>
      </w:r>
      <w:r>
        <w:rPr>
          <w:color w:val="231F20"/>
          <w:w w:val="105"/>
        </w:rPr>
        <w:t>con problemas de cataratas y estrabismo, haciendo un total de 22 personas, a quienes se brindó el transporte gratuito hacia el hospital y apoyo de medicamentos, con un costo total</w:t>
      </w:r>
      <w:r>
        <w:rPr>
          <w:color w:val="231F20"/>
          <w:spacing w:val="-13"/>
          <w:w w:val="105"/>
        </w:rPr>
        <w:t> </w:t>
      </w:r>
      <w:r>
        <w:rPr>
          <w:color w:val="231F20"/>
          <w:w w:val="105"/>
        </w:rPr>
        <w:t>de</w:t>
      </w:r>
      <w:r>
        <w:rPr>
          <w:color w:val="231F20"/>
          <w:spacing w:val="-13"/>
          <w:w w:val="105"/>
        </w:rPr>
        <w:t> </w:t>
      </w:r>
      <w:r>
        <w:rPr>
          <w:color w:val="231F20"/>
          <w:w w:val="105"/>
        </w:rPr>
        <w:t>25</w:t>
      </w:r>
      <w:r>
        <w:rPr>
          <w:color w:val="231F20"/>
          <w:spacing w:val="-13"/>
          <w:w w:val="105"/>
        </w:rPr>
        <w:t> </w:t>
      </w:r>
      <w:r>
        <w:rPr>
          <w:color w:val="231F20"/>
          <w:spacing w:val="2"/>
          <w:w w:val="105"/>
        </w:rPr>
        <w:t>mil</w:t>
      </w:r>
      <w:r>
        <w:rPr>
          <w:color w:val="231F20"/>
          <w:spacing w:val="-13"/>
          <w:w w:val="105"/>
        </w:rPr>
        <w:t> </w:t>
      </w:r>
      <w:r>
        <w:rPr>
          <w:color w:val="231F20"/>
          <w:w w:val="105"/>
        </w:rPr>
        <w:t>pesos;</w:t>
      </w:r>
      <w:r>
        <w:rPr>
          <w:color w:val="231F20"/>
          <w:spacing w:val="-13"/>
          <w:w w:val="105"/>
        </w:rPr>
        <w:t> </w:t>
      </w:r>
      <w:r>
        <w:rPr>
          <w:color w:val="231F20"/>
          <w:w w:val="105"/>
        </w:rPr>
        <w:t>además</w:t>
      </w:r>
      <w:r>
        <w:rPr>
          <w:color w:val="231F20"/>
          <w:spacing w:val="-13"/>
          <w:w w:val="105"/>
        </w:rPr>
        <w:t> </w:t>
      </w:r>
      <w:r>
        <w:rPr>
          <w:color w:val="231F20"/>
          <w:w w:val="105"/>
        </w:rPr>
        <w:t>se</w:t>
      </w:r>
      <w:r>
        <w:rPr>
          <w:color w:val="231F20"/>
          <w:spacing w:val="-13"/>
          <w:w w:val="105"/>
        </w:rPr>
        <w:t> </w:t>
      </w:r>
      <w:r>
        <w:rPr>
          <w:color w:val="231F20"/>
          <w:w w:val="105"/>
        </w:rPr>
        <w:t>canalizaron</w:t>
      </w:r>
      <w:r>
        <w:rPr>
          <w:color w:val="231F20"/>
          <w:spacing w:val="-13"/>
          <w:w w:val="105"/>
        </w:rPr>
        <w:t> </w:t>
      </w:r>
      <w:r>
        <w:rPr>
          <w:color w:val="231F20"/>
          <w:w w:val="105"/>
        </w:rPr>
        <w:t>30</w:t>
      </w:r>
      <w:r>
        <w:rPr>
          <w:color w:val="231F20"/>
          <w:spacing w:val="-13"/>
          <w:w w:val="105"/>
        </w:rPr>
        <w:t> </w:t>
      </w:r>
      <w:r>
        <w:rPr>
          <w:color w:val="231F20"/>
          <w:w w:val="105"/>
        </w:rPr>
        <w:t>personas</w:t>
      </w:r>
      <w:r>
        <w:rPr>
          <w:color w:val="231F20"/>
          <w:spacing w:val="-13"/>
          <w:w w:val="105"/>
        </w:rPr>
        <w:t> </w:t>
      </w:r>
      <w:r>
        <w:rPr>
          <w:color w:val="231F20"/>
          <w:w w:val="105"/>
        </w:rPr>
        <w:t>a</w:t>
      </w:r>
      <w:r>
        <w:rPr>
          <w:color w:val="231F20"/>
          <w:spacing w:val="-13"/>
          <w:w w:val="105"/>
        </w:rPr>
        <w:t> </w:t>
      </w:r>
      <w:r>
        <w:rPr>
          <w:color w:val="231F20"/>
          <w:w w:val="105"/>
        </w:rPr>
        <w:t>hospitales</w:t>
      </w:r>
      <w:r>
        <w:rPr>
          <w:color w:val="231F20"/>
          <w:spacing w:val="-13"/>
          <w:w w:val="105"/>
        </w:rPr>
        <w:t> </w:t>
      </w:r>
      <w:r>
        <w:rPr>
          <w:color w:val="231F20"/>
          <w:w w:val="105"/>
        </w:rPr>
        <w:t>de</w:t>
      </w:r>
      <w:r>
        <w:rPr>
          <w:color w:val="231F20"/>
          <w:spacing w:val="-13"/>
          <w:w w:val="105"/>
        </w:rPr>
        <w:t> </w:t>
      </w:r>
      <w:r>
        <w:rPr>
          <w:color w:val="231F20"/>
          <w:w w:val="105"/>
        </w:rPr>
        <w:t>oftalmología.</w:t>
      </w:r>
    </w:p>
    <w:p>
      <w:pPr>
        <w:pStyle w:val="BodyText"/>
        <w:spacing w:before="6"/>
        <w:rPr>
          <w:sz w:val="24"/>
        </w:rPr>
      </w:pPr>
    </w:p>
    <w:p>
      <w:pPr>
        <w:pStyle w:val="BodyText"/>
        <w:spacing w:line="273" w:lineRule="auto"/>
        <w:ind w:left="110" w:right="108" w:hanging="1"/>
        <w:jc w:val="both"/>
      </w:pPr>
      <w:r>
        <w:rPr>
          <w:rFonts w:ascii="Palatino Linotype" w:hAnsi="Palatino Linotype"/>
          <w:i/>
          <w:color w:val="231F20"/>
          <w:w w:val="105"/>
        </w:rPr>
        <w:t>Alimentación</w:t>
      </w:r>
      <w:r>
        <w:rPr>
          <w:rFonts w:ascii="Palatino Linotype" w:hAnsi="Palatino Linotype"/>
          <w:i/>
          <w:color w:val="231F20"/>
          <w:spacing w:val="-15"/>
          <w:w w:val="105"/>
        </w:rPr>
        <w:t> </w:t>
      </w:r>
      <w:r>
        <w:rPr>
          <w:rFonts w:ascii="Palatino Linotype" w:hAnsi="Palatino Linotype"/>
          <w:i/>
          <w:color w:val="231F20"/>
          <w:w w:val="105"/>
        </w:rPr>
        <w:t>y</w:t>
      </w:r>
      <w:r>
        <w:rPr>
          <w:rFonts w:ascii="Palatino Linotype" w:hAnsi="Palatino Linotype"/>
          <w:i/>
          <w:color w:val="231F20"/>
          <w:spacing w:val="-15"/>
          <w:w w:val="105"/>
        </w:rPr>
        <w:t> </w:t>
      </w:r>
      <w:r>
        <w:rPr>
          <w:rFonts w:ascii="Palatino Linotype" w:hAnsi="Palatino Linotype"/>
          <w:i/>
          <w:color w:val="231F20"/>
          <w:w w:val="105"/>
        </w:rPr>
        <w:t>Nutrición</w:t>
      </w:r>
      <w:r>
        <w:rPr>
          <w:rFonts w:ascii="Palatino Linotype" w:hAnsi="Palatino Linotype"/>
          <w:i/>
          <w:color w:val="231F20"/>
          <w:spacing w:val="-15"/>
          <w:w w:val="105"/>
        </w:rPr>
        <w:t> </w:t>
      </w:r>
      <w:r>
        <w:rPr>
          <w:rFonts w:ascii="Palatino Linotype" w:hAnsi="Palatino Linotype"/>
          <w:i/>
          <w:color w:val="231F20"/>
          <w:w w:val="105"/>
        </w:rPr>
        <w:t>Familiar</w:t>
      </w:r>
      <w:r>
        <w:rPr>
          <w:rFonts w:ascii="Palatino Linotype" w:hAnsi="Palatino Linotype"/>
          <w:i/>
          <w:color w:val="231F20"/>
          <w:spacing w:val="-15"/>
          <w:w w:val="105"/>
        </w:rPr>
        <w:t> </w:t>
      </w:r>
      <w:r>
        <w:rPr>
          <w:rFonts w:ascii="Palatino Linotype" w:hAnsi="Palatino Linotype"/>
          <w:i/>
          <w:color w:val="231F20"/>
          <w:w w:val="105"/>
        </w:rPr>
        <w:t>DIFEM</w:t>
      </w:r>
      <w:r>
        <w:rPr>
          <w:color w:val="231F20"/>
          <w:w w:val="105"/>
        </w:rPr>
        <w:t>.</w:t>
      </w:r>
      <w:r>
        <w:rPr>
          <w:color w:val="231F20"/>
          <w:spacing w:val="-15"/>
          <w:w w:val="105"/>
        </w:rPr>
        <w:t> </w:t>
      </w:r>
      <w:r>
        <w:rPr>
          <w:color w:val="231F20"/>
          <w:w w:val="105"/>
        </w:rPr>
        <w:t>Durante</w:t>
      </w:r>
      <w:r>
        <w:rPr>
          <w:color w:val="231F20"/>
          <w:spacing w:val="-15"/>
          <w:w w:val="105"/>
        </w:rPr>
        <w:t> </w:t>
      </w:r>
      <w:r>
        <w:rPr>
          <w:color w:val="231F20"/>
          <w:w w:val="105"/>
        </w:rPr>
        <w:t>el</w:t>
      </w:r>
      <w:r>
        <w:rPr>
          <w:color w:val="231F20"/>
          <w:spacing w:val="-15"/>
          <w:w w:val="105"/>
        </w:rPr>
        <w:t> </w:t>
      </w:r>
      <w:r>
        <w:rPr>
          <w:color w:val="231F20"/>
          <w:w w:val="105"/>
        </w:rPr>
        <w:t>periodo</w:t>
      </w:r>
      <w:r>
        <w:rPr>
          <w:color w:val="231F20"/>
          <w:spacing w:val="-15"/>
          <w:w w:val="105"/>
        </w:rPr>
        <w:t> </w:t>
      </w:r>
      <w:r>
        <w:rPr>
          <w:color w:val="231F20"/>
          <w:w w:val="105"/>
        </w:rPr>
        <w:t>de</w:t>
      </w:r>
      <w:r>
        <w:rPr>
          <w:color w:val="231F20"/>
          <w:spacing w:val="-15"/>
          <w:w w:val="105"/>
        </w:rPr>
        <w:t> </w:t>
      </w:r>
      <w:r>
        <w:rPr>
          <w:color w:val="231F20"/>
          <w:w w:val="105"/>
        </w:rPr>
        <w:t>este</w:t>
      </w:r>
      <w:r>
        <w:rPr>
          <w:color w:val="231F20"/>
          <w:spacing w:val="-15"/>
          <w:w w:val="105"/>
        </w:rPr>
        <w:t> </w:t>
      </w:r>
      <w:r>
        <w:rPr>
          <w:color w:val="231F20"/>
          <w:w w:val="105"/>
        </w:rPr>
        <w:t>Segundo</w:t>
      </w:r>
      <w:r>
        <w:rPr>
          <w:color w:val="231F20"/>
          <w:spacing w:val="-15"/>
          <w:w w:val="105"/>
        </w:rPr>
        <w:t> </w:t>
      </w:r>
      <w:r>
        <w:rPr>
          <w:color w:val="231F20"/>
          <w:w w:val="105"/>
        </w:rPr>
        <w:t>Infor- me se distribuyeron 288 </w:t>
      </w:r>
      <w:r>
        <w:rPr>
          <w:color w:val="231F20"/>
          <w:spacing w:val="2"/>
          <w:w w:val="105"/>
        </w:rPr>
        <w:t>mil </w:t>
      </w:r>
      <w:r>
        <w:rPr>
          <w:color w:val="231F20"/>
          <w:spacing w:val="4"/>
          <w:w w:val="105"/>
        </w:rPr>
        <w:t>400 </w:t>
      </w:r>
      <w:r>
        <w:rPr>
          <w:color w:val="231F20"/>
          <w:w w:val="105"/>
        </w:rPr>
        <w:t>dotaciones, atendiendo mediante este programa a un </w:t>
      </w:r>
      <w:r>
        <w:rPr>
          <w:color w:val="231F20"/>
          <w:spacing w:val="2"/>
          <w:w w:val="105"/>
        </w:rPr>
        <w:t>mil</w:t>
      </w:r>
      <w:r>
        <w:rPr>
          <w:color w:val="231F20"/>
          <w:spacing w:val="-12"/>
          <w:w w:val="105"/>
        </w:rPr>
        <w:t> </w:t>
      </w:r>
      <w:r>
        <w:rPr>
          <w:color w:val="231F20"/>
          <w:spacing w:val="2"/>
          <w:w w:val="105"/>
        </w:rPr>
        <w:t>442</w:t>
      </w:r>
      <w:r>
        <w:rPr>
          <w:color w:val="231F20"/>
          <w:spacing w:val="-12"/>
          <w:w w:val="105"/>
        </w:rPr>
        <w:t> </w:t>
      </w:r>
      <w:r>
        <w:rPr>
          <w:color w:val="231F20"/>
          <w:w w:val="105"/>
        </w:rPr>
        <w:t>menores,</w:t>
      </w:r>
      <w:r>
        <w:rPr>
          <w:color w:val="231F20"/>
          <w:spacing w:val="-12"/>
          <w:w w:val="105"/>
        </w:rPr>
        <w:t> </w:t>
      </w:r>
      <w:r>
        <w:rPr>
          <w:color w:val="231F20"/>
          <w:w w:val="105"/>
        </w:rPr>
        <w:t>con</w:t>
      </w:r>
      <w:r>
        <w:rPr>
          <w:color w:val="231F20"/>
          <w:spacing w:val="-12"/>
          <w:w w:val="105"/>
        </w:rPr>
        <w:t> </w:t>
      </w:r>
      <w:r>
        <w:rPr>
          <w:color w:val="231F20"/>
          <w:w w:val="105"/>
        </w:rPr>
        <w:t>una</w:t>
      </w:r>
      <w:r>
        <w:rPr>
          <w:color w:val="231F20"/>
          <w:spacing w:val="-12"/>
          <w:w w:val="105"/>
        </w:rPr>
        <w:t> </w:t>
      </w:r>
      <w:r>
        <w:rPr>
          <w:color w:val="231F20"/>
          <w:w w:val="105"/>
        </w:rPr>
        <w:t>cuota</w:t>
      </w:r>
      <w:r>
        <w:rPr>
          <w:color w:val="231F20"/>
          <w:spacing w:val="-12"/>
          <w:w w:val="105"/>
        </w:rPr>
        <w:t> </w:t>
      </w:r>
      <w:r>
        <w:rPr>
          <w:color w:val="231F20"/>
          <w:w w:val="105"/>
        </w:rPr>
        <w:t>de</w:t>
      </w:r>
      <w:r>
        <w:rPr>
          <w:color w:val="231F20"/>
          <w:spacing w:val="-12"/>
          <w:w w:val="105"/>
        </w:rPr>
        <w:t> </w:t>
      </w:r>
      <w:r>
        <w:rPr>
          <w:color w:val="231F20"/>
          <w:w w:val="105"/>
        </w:rPr>
        <w:t>recuperación</w:t>
      </w:r>
      <w:r>
        <w:rPr>
          <w:color w:val="231F20"/>
          <w:spacing w:val="-12"/>
          <w:w w:val="105"/>
        </w:rPr>
        <w:t> </w:t>
      </w:r>
      <w:r>
        <w:rPr>
          <w:color w:val="231F20"/>
          <w:w w:val="105"/>
        </w:rPr>
        <w:t>de</w:t>
      </w:r>
      <w:r>
        <w:rPr>
          <w:color w:val="231F20"/>
          <w:spacing w:val="-12"/>
          <w:w w:val="105"/>
        </w:rPr>
        <w:t> </w:t>
      </w:r>
      <w:r>
        <w:rPr>
          <w:color w:val="231F20"/>
          <w:w w:val="105"/>
        </w:rPr>
        <w:t>50</w:t>
      </w:r>
      <w:r>
        <w:rPr>
          <w:color w:val="231F20"/>
          <w:spacing w:val="-12"/>
          <w:w w:val="105"/>
        </w:rPr>
        <w:t> </w:t>
      </w:r>
      <w:r>
        <w:rPr>
          <w:color w:val="231F20"/>
          <w:w w:val="105"/>
        </w:rPr>
        <w:t>centavos.</w:t>
      </w:r>
    </w:p>
    <w:p>
      <w:pPr>
        <w:pStyle w:val="BodyText"/>
        <w:spacing w:before="11"/>
        <w:rPr>
          <w:sz w:val="24"/>
        </w:rPr>
      </w:pPr>
    </w:p>
    <w:p>
      <w:pPr>
        <w:pStyle w:val="BodyText"/>
        <w:spacing w:line="280" w:lineRule="auto"/>
        <w:ind w:left="110" w:right="107" w:hanging="1"/>
        <w:jc w:val="both"/>
      </w:pPr>
      <w:r>
        <w:rPr>
          <w:rFonts w:ascii="Palatino Linotype" w:hAnsi="Palatino Linotype"/>
          <w:i/>
          <w:color w:val="231F20"/>
          <w:spacing w:val="4"/>
          <w:w w:val="105"/>
        </w:rPr>
        <w:t>Programa</w:t>
      </w:r>
      <w:r>
        <w:rPr>
          <w:rFonts w:ascii="Palatino Linotype" w:hAnsi="Palatino Linotype"/>
          <w:i/>
          <w:color w:val="231F20"/>
          <w:spacing w:val="-8"/>
          <w:w w:val="105"/>
        </w:rPr>
        <w:t> </w:t>
      </w:r>
      <w:r>
        <w:rPr>
          <w:rFonts w:ascii="Palatino Linotype" w:hAnsi="Palatino Linotype"/>
          <w:i/>
          <w:color w:val="231F20"/>
          <w:spacing w:val="4"/>
          <w:w w:val="105"/>
        </w:rPr>
        <w:t>NUTRIFAM</w:t>
      </w:r>
      <w:r>
        <w:rPr>
          <w:color w:val="231F20"/>
          <w:spacing w:val="4"/>
          <w:w w:val="105"/>
        </w:rPr>
        <w:t>.</w:t>
      </w:r>
      <w:r>
        <w:rPr>
          <w:color w:val="231F20"/>
          <w:spacing w:val="-8"/>
          <w:w w:val="105"/>
        </w:rPr>
        <w:t> </w:t>
      </w:r>
      <w:r>
        <w:rPr>
          <w:color w:val="231F20"/>
          <w:spacing w:val="2"/>
          <w:w w:val="105"/>
        </w:rPr>
        <w:t>Se</w:t>
      </w:r>
      <w:r>
        <w:rPr>
          <w:color w:val="231F20"/>
          <w:spacing w:val="-8"/>
          <w:w w:val="105"/>
        </w:rPr>
        <w:t> </w:t>
      </w:r>
      <w:r>
        <w:rPr>
          <w:color w:val="231F20"/>
          <w:spacing w:val="3"/>
          <w:w w:val="105"/>
        </w:rPr>
        <w:t>distribuyeron</w:t>
      </w:r>
      <w:r>
        <w:rPr>
          <w:color w:val="231F20"/>
          <w:spacing w:val="-8"/>
          <w:w w:val="105"/>
        </w:rPr>
        <w:t> </w:t>
      </w:r>
      <w:r>
        <w:rPr>
          <w:color w:val="231F20"/>
          <w:w w:val="105"/>
        </w:rPr>
        <w:t>3</w:t>
      </w:r>
      <w:r>
        <w:rPr>
          <w:color w:val="231F20"/>
          <w:spacing w:val="-8"/>
          <w:w w:val="105"/>
        </w:rPr>
        <w:t> </w:t>
      </w:r>
      <w:r>
        <w:rPr>
          <w:color w:val="231F20"/>
          <w:spacing w:val="5"/>
          <w:w w:val="105"/>
        </w:rPr>
        <w:t>mil</w:t>
      </w:r>
      <w:r>
        <w:rPr>
          <w:color w:val="231F20"/>
          <w:spacing w:val="-8"/>
          <w:w w:val="105"/>
        </w:rPr>
        <w:t> </w:t>
      </w:r>
      <w:r>
        <w:rPr>
          <w:color w:val="231F20"/>
          <w:w w:val="105"/>
        </w:rPr>
        <w:t>870</w:t>
      </w:r>
      <w:r>
        <w:rPr>
          <w:color w:val="231F20"/>
          <w:spacing w:val="-8"/>
          <w:w w:val="105"/>
        </w:rPr>
        <w:t> </w:t>
      </w:r>
      <w:r>
        <w:rPr>
          <w:color w:val="231F20"/>
          <w:spacing w:val="4"/>
          <w:w w:val="105"/>
        </w:rPr>
        <w:t>despensas,</w:t>
      </w:r>
      <w:r>
        <w:rPr>
          <w:color w:val="231F20"/>
          <w:spacing w:val="-8"/>
          <w:w w:val="105"/>
        </w:rPr>
        <w:t> </w:t>
      </w:r>
      <w:r>
        <w:rPr>
          <w:color w:val="231F20"/>
          <w:spacing w:val="2"/>
          <w:w w:val="105"/>
        </w:rPr>
        <w:t>atendiendo</w:t>
      </w:r>
      <w:r>
        <w:rPr>
          <w:color w:val="231F20"/>
          <w:spacing w:val="-8"/>
          <w:w w:val="105"/>
        </w:rPr>
        <w:t> </w:t>
      </w:r>
      <w:r>
        <w:rPr>
          <w:color w:val="231F20"/>
          <w:w w:val="105"/>
        </w:rPr>
        <w:t>a</w:t>
      </w:r>
      <w:r>
        <w:rPr>
          <w:color w:val="231F20"/>
          <w:spacing w:val="-8"/>
          <w:w w:val="105"/>
        </w:rPr>
        <w:t> </w:t>
      </w:r>
      <w:r>
        <w:rPr>
          <w:color w:val="231F20"/>
          <w:spacing w:val="4"/>
          <w:w w:val="105"/>
        </w:rPr>
        <w:t>430</w:t>
      </w:r>
      <w:r>
        <w:rPr>
          <w:color w:val="231F20"/>
          <w:spacing w:val="-8"/>
          <w:w w:val="105"/>
        </w:rPr>
        <w:t> </w:t>
      </w:r>
      <w:r>
        <w:rPr>
          <w:color w:val="231F20"/>
          <w:spacing w:val="2"/>
          <w:w w:val="105"/>
        </w:rPr>
        <w:t>fa- </w:t>
      </w:r>
      <w:r>
        <w:rPr>
          <w:color w:val="231F20"/>
          <w:spacing w:val="6"/>
          <w:w w:val="105"/>
        </w:rPr>
        <w:t>milias </w:t>
      </w:r>
      <w:r>
        <w:rPr>
          <w:color w:val="231F20"/>
          <w:spacing w:val="4"/>
          <w:w w:val="105"/>
        </w:rPr>
        <w:t>integradas </w:t>
      </w:r>
      <w:r>
        <w:rPr>
          <w:color w:val="231F20"/>
          <w:w w:val="105"/>
        </w:rPr>
        <w:t>con </w:t>
      </w:r>
      <w:r>
        <w:rPr>
          <w:color w:val="231F20"/>
          <w:spacing w:val="4"/>
          <w:w w:val="105"/>
        </w:rPr>
        <w:t>niños </w:t>
      </w:r>
      <w:r>
        <w:rPr>
          <w:color w:val="231F20"/>
          <w:w w:val="105"/>
        </w:rPr>
        <w:t>menores de 5 </w:t>
      </w:r>
      <w:r>
        <w:rPr>
          <w:color w:val="231F20"/>
          <w:spacing w:val="3"/>
          <w:w w:val="105"/>
        </w:rPr>
        <w:t>años </w:t>
      </w:r>
      <w:r>
        <w:rPr>
          <w:color w:val="231F20"/>
          <w:w w:val="105"/>
        </w:rPr>
        <w:t>de </w:t>
      </w:r>
      <w:r>
        <w:rPr>
          <w:color w:val="231F20"/>
          <w:spacing w:val="2"/>
          <w:w w:val="105"/>
        </w:rPr>
        <w:t>edad, </w:t>
      </w:r>
      <w:r>
        <w:rPr>
          <w:color w:val="231F20"/>
          <w:spacing w:val="3"/>
          <w:w w:val="105"/>
        </w:rPr>
        <w:t>personas </w:t>
      </w:r>
      <w:r>
        <w:rPr>
          <w:color w:val="231F20"/>
          <w:w w:val="105"/>
        </w:rPr>
        <w:t>con </w:t>
      </w:r>
      <w:r>
        <w:rPr>
          <w:color w:val="231F20"/>
          <w:spacing w:val="2"/>
          <w:w w:val="105"/>
        </w:rPr>
        <w:t>capacidades </w:t>
      </w:r>
      <w:r>
        <w:rPr>
          <w:color w:val="231F20"/>
          <w:spacing w:val="3"/>
          <w:w w:val="105"/>
        </w:rPr>
        <w:t>diferentes,</w:t>
      </w:r>
      <w:r>
        <w:rPr>
          <w:color w:val="231F20"/>
          <w:spacing w:val="-2"/>
          <w:w w:val="105"/>
        </w:rPr>
        <w:t> </w:t>
      </w:r>
      <w:r>
        <w:rPr>
          <w:color w:val="231F20"/>
          <w:w w:val="105"/>
        </w:rPr>
        <w:t>mujeres</w:t>
      </w:r>
      <w:r>
        <w:rPr>
          <w:color w:val="231F20"/>
          <w:spacing w:val="-2"/>
          <w:w w:val="105"/>
        </w:rPr>
        <w:t> </w:t>
      </w:r>
      <w:r>
        <w:rPr>
          <w:color w:val="231F20"/>
          <w:spacing w:val="4"/>
          <w:w w:val="105"/>
        </w:rPr>
        <w:t>embarazadas</w:t>
      </w:r>
      <w:r>
        <w:rPr>
          <w:color w:val="231F20"/>
          <w:spacing w:val="-2"/>
          <w:w w:val="105"/>
        </w:rPr>
        <w:t> </w:t>
      </w:r>
      <w:r>
        <w:rPr>
          <w:color w:val="231F20"/>
          <w:w w:val="105"/>
        </w:rPr>
        <w:t>o</w:t>
      </w:r>
      <w:r>
        <w:rPr>
          <w:color w:val="231F20"/>
          <w:spacing w:val="-2"/>
          <w:w w:val="105"/>
        </w:rPr>
        <w:t> </w:t>
      </w:r>
      <w:r>
        <w:rPr>
          <w:color w:val="231F20"/>
          <w:w w:val="105"/>
        </w:rPr>
        <w:t>en</w:t>
      </w:r>
      <w:r>
        <w:rPr>
          <w:color w:val="231F20"/>
          <w:spacing w:val="-2"/>
          <w:w w:val="105"/>
        </w:rPr>
        <w:t> </w:t>
      </w:r>
      <w:r>
        <w:rPr>
          <w:color w:val="231F20"/>
          <w:spacing w:val="3"/>
          <w:w w:val="105"/>
        </w:rPr>
        <w:t>periodo</w:t>
      </w:r>
      <w:r>
        <w:rPr>
          <w:color w:val="231F20"/>
          <w:spacing w:val="-2"/>
          <w:w w:val="105"/>
        </w:rPr>
        <w:t> </w:t>
      </w:r>
      <w:r>
        <w:rPr>
          <w:color w:val="231F20"/>
          <w:w w:val="105"/>
        </w:rPr>
        <w:t>de</w:t>
      </w:r>
      <w:r>
        <w:rPr>
          <w:color w:val="231F20"/>
          <w:spacing w:val="-2"/>
          <w:w w:val="105"/>
        </w:rPr>
        <w:t> </w:t>
      </w:r>
      <w:r>
        <w:rPr>
          <w:color w:val="231F20"/>
          <w:spacing w:val="4"/>
          <w:w w:val="105"/>
        </w:rPr>
        <w:t>lactancia,</w:t>
      </w:r>
      <w:r>
        <w:rPr>
          <w:color w:val="231F20"/>
          <w:spacing w:val="-2"/>
          <w:w w:val="105"/>
        </w:rPr>
        <w:t> </w:t>
      </w:r>
      <w:r>
        <w:rPr>
          <w:color w:val="231F20"/>
          <w:spacing w:val="4"/>
          <w:w w:val="105"/>
        </w:rPr>
        <w:t>un</w:t>
      </w:r>
      <w:r>
        <w:rPr>
          <w:color w:val="231F20"/>
          <w:spacing w:val="-2"/>
          <w:w w:val="105"/>
        </w:rPr>
        <w:t> </w:t>
      </w:r>
      <w:r>
        <w:rPr>
          <w:color w:val="231F20"/>
          <w:spacing w:val="5"/>
          <w:w w:val="105"/>
        </w:rPr>
        <w:t>mil</w:t>
      </w:r>
      <w:r>
        <w:rPr>
          <w:color w:val="231F20"/>
          <w:spacing w:val="-2"/>
          <w:w w:val="105"/>
        </w:rPr>
        <w:t> </w:t>
      </w:r>
      <w:r>
        <w:rPr>
          <w:color w:val="231F20"/>
          <w:spacing w:val="3"/>
          <w:w w:val="105"/>
        </w:rPr>
        <w:t>386</w:t>
      </w:r>
      <w:r>
        <w:rPr>
          <w:color w:val="231F20"/>
          <w:spacing w:val="-2"/>
          <w:w w:val="105"/>
        </w:rPr>
        <w:t> </w:t>
      </w:r>
      <w:r>
        <w:rPr>
          <w:color w:val="231F20"/>
          <w:w w:val="105"/>
        </w:rPr>
        <w:t>de</w:t>
      </w:r>
      <w:r>
        <w:rPr>
          <w:color w:val="231F20"/>
          <w:spacing w:val="-2"/>
          <w:w w:val="105"/>
        </w:rPr>
        <w:t> </w:t>
      </w:r>
      <w:r>
        <w:rPr>
          <w:color w:val="231F20"/>
          <w:spacing w:val="4"/>
          <w:w w:val="105"/>
        </w:rPr>
        <w:t>las</w:t>
      </w:r>
      <w:r>
        <w:rPr>
          <w:color w:val="231F20"/>
          <w:spacing w:val="-2"/>
          <w:w w:val="105"/>
        </w:rPr>
        <w:t> </w:t>
      </w:r>
      <w:r>
        <w:rPr>
          <w:color w:val="231F20"/>
          <w:spacing w:val="4"/>
          <w:w w:val="105"/>
        </w:rPr>
        <w:t>cuales </w:t>
      </w:r>
      <w:r>
        <w:rPr>
          <w:color w:val="231F20"/>
          <w:spacing w:val="3"/>
          <w:w w:val="105"/>
        </w:rPr>
        <w:t>viven</w:t>
      </w:r>
      <w:r>
        <w:rPr>
          <w:color w:val="231F20"/>
          <w:spacing w:val="-5"/>
          <w:w w:val="105"/>
        </w:rPr>
        <w:t> </w:t>
      </w:r>
      <w:r>
        <w:rPr>
          <w:color w:val="231F20"/>
          <w:w w:val="105"/>
        </w:rPr>
        <w:t>en</w:t>
      </w:r>
      <w:r>
        <w:rPr>
          <w:color w:val="231F20"/>
          <w:spacing w:val="-5"/>
          <w:w w:val="105"/>
        </w:rPr>
        <w:t> </w:t>
      </w:r>
      <w:r>
        <w:rPr>
          <w:color w:val="231F20"/>
          <w:spacing w:val="2"/>
          <w:w w:val="105"/>
        </w:rPr>
        <w:t>la</w:t>
      </w:r>
      <w:r>
        <w:rPr>
          <w:color w:val="231F20"/>
          <w:spacing w:val="-5"/>
          <w:w w:val="105"/>
        </w:rPr>
        <w:t> </w:t>
      </w:r>
      <w:r>
        <w:rPr>
          <w:color w:val="231F20"/>
          <w:spacing w:val="3"/>
          <w:w w:val="105"/>
        </w:rPr>
        <w:t>Cabecera</w:t>
      </w:r>
      <w:r>
        <w:rPr>
          <w:color w:val="231F20"/>
          <w:spacing w:val="-5"/>
          <w:w w:val="105"/>
        </w:rPr>
        <w:t> </w:t>
      </w:r>
      <w:r>
        <w:rPr>
          <w:color w:val="231F20"/>
          <w:spacing w:val="4"/>
          <w:w w:val="105"/>
        </w:rPr>
        <w:t>Municipal,</w:t>
      </w:r>
      <w:r>
        <w:rPr>
          <w:color w:val="231F20"/>
          <w:spacing w:val="-5"/>
          <w:w w:val="105"/>
        </w:rPr>
        <w:t> </w:t>
      </w:r>
      <w:r>
        <w:rPr>
          <w:color w:val="231F20"/>
          <w:w w:val="105"/>
        </w:rPr>
        <w:t>693</w:t>
      </w:r>
      <w:r>
        <w:rPr>
          <w:color w:val="231F20"/>
          <w:spacing w:val="-5"/>
          <w:w w:val="105"/>
        </w:rPr>
        <w:t> </w:t>
      </w:r>
      <w:r>
        <w:rPr>
          <w:color w:val="231F20"/>
          <w:w w:val="105"/>
        </w:rPr>
        <w:t>en</w:t>
      </w:r>
      <w:r>
        <w:rPr>
          <w:color w:val="231F20"/>
          <w:spacing w:val="-5"/>
          <w:w w:val="105"/>
        </w:rPr>
        <w:t> </w:t>
      </w:r>
      <w:r>
        <w:rPr>
          <w:color w:val="231F20"/>
          <w:spacing w:val="5"/>
          <w:w w:val="105"/>
        </w:rPr>
        <w:t>Chimalhuacán,</w:t>
      </w:r>
      <w:r>
        <w:rPr>
          <w:color w:val="231F20"/>
          <w:spacing w:val="-5"/>
          <w:w w:val="105"/>
        </w:rPr>
        <w:t> </w:t>
      </w:r>
      <w:r>
        <w:rPr>
          <w:color w:val="231F20"/>
          <w:spacing w:val="2"/>
          <w:w w:val="105"/>
        </w:rPr>
        <w:t>495</w:t>
      </w:r>
      <w:r>
        <w:rPr>
          <w:color w:val="231F20"/>
          <w:spacing w:val="-5"/>
          <w:w w:val="105"/>
        </w:rPr>
        <w:t> </w:t>
      </w:r>
      <w:r>
        <w:rPr>
          <w:color w:val="231F20"/>
          <w:w w:val="105"/>
        </w:rPr>
        <w:t>en</w:t>
      </w:r>
      <w:r>
        <w:rPr>
          <w:color w:val="231F20"/>
          <w:spacing w:val="-5"/>
          <w:w w:val="105"/>
        </w:rPr>
        <w:t> </w:t>
      </w:r>
      <w:r>
        <w:rPr>
          <w:color w:val="231F20"/>
          <w:spacing w:val="3"/>
          <w:w w:val="105"/>
        </w:rPr>
        <w:t>Santiago,</w:t>
      </w:r>
      <w:r>
        <w:rPr>
          <w:color w:val="231F20"/>
          <w:spacing w:val="-5"/>
          <w:w w:val="105"/>
        </w:rPr>
        <w:t> </w:t>
      </w:r>
      <w:r>
        <w:rPr>
          <w:color w:val="231F20"/>
          <w:spacing w:val="3"/>
          <w:w w:val="105"/>
        </w:rPr>
        <w:t>423</w:t>
      </w:r>
      <w:r>
        <w:rPr>
          <w:color w:val="231F20"/>
          <w:spacing w:val="-5"/>
          <w:w w:val="105"/>
        </w:rPr>
        <w:t> </w:t>
      </w:r>
      <w:r>
        <w:rPr>
          <w:color w:val="231F20"/>
          <w:w w:val="105"/>
        </w:rPr>
        <w:t>en</w:t>
      </w:r>
      <w:r>
        <w:rPr>
          <w:color w:val="231F20"/>
          <w:spacing w:val="-5"/>
          <w:w w:val="105"/>
        </w:rPr>
        <w:t> Te- </w:t>
      </w:r>
      <w:r>
        <w:rPr>
          <w:color w:val="231F20"/>
          <w:spacing w:val="3"/>
          <w:w w:val="105"/>
        </w:rPr>
        <w:t>calco, </w:t>
      </w:r>
      <w:r>
        <w:rPr>
          <w:color w:val="231F20"/>
          <w:w w:val="105"/>
        </w:rPr>
        <w:t>279 en </w:t>
      </w:r>
      <w:r>
        <w:rPr>
          <w:color w:val="231F20"/>
          <w:spacing w:val="3"/>
          <w:w w:val="105"/>
        </w:rPr>
        <w:t>Tlaltecoyac, </w:t>
      </w:r>
      <w:r>
        <w:rPr>
          <w:color w:val="231F20"/>
          <w:w w:val="105"/>
        </w:rPr>
        <w:t>270 en </w:t>
      </w:r>
      <w:r>
        <w:rPr>
          <w:color w:val="231F20"/>
          <w:spacing w:val="4"/>
          <w:w w:val="105"/>
        </w:rPr>
        <w:t>Tlacotitlán </w:t>
      </w:r>
      <w:r>
        <w:rPr>
          <w:color w:val="231F20"/>
          <w:w w:val="105"/>
        </w:rPr>
        <w:t>y 324 en </w:t>
      </w:r>
      <w:r>
        <w:rPr>
          <w:color w:val="231F20"/>
          <w:spacing w:val="3"/>
          <w:w w:val="105"/>
        </w:rPr>
        <w:t>colonias </w:t>
      </w:r>
      <w:r>
        <w:rPr>
          <w:color w:val="231F20"/>
          <w:spacing w:val="4"/>
          <w:w w:val="105"/>
        </w:rPr>
        <w:t>Alzate </w:t>
      </w:r>
      <w:r>
        <w:rPr>
          <w:color w:val="231F20"/>
          <w:w w:val="105"/>
        </w:rPr>
        <w:t>e </w:t>
      </w:r>
      <w:r>
        <w:rPr>
          <w:color w:val="231F20"/>
          <w:spacing w:val="4"/>
          <w:w w:val="105"/>
        </w:rPr>
        <w:t>Industrial. Asimismo </w:t>
      </w:r>
      <w:r>
        <w:rPr>
          <w:color w:val="231F20"/>
          <w:spacing w:val="2"/>
          <w:w w:val="105"/>
        </w:rPr>
        <w:t>se </w:t>
      </w:r>
      <w:r>
        <w:rPr>
          <w:color w:val="231F20"/>
          <w:spacing w:val="4"/>
          <w:w w:val="105"/>
        </w:rPr>
        <w:t>llevaron </w:t>
      </w:r>
      <w:r>
        <w:rPr>
          <w:color w:val="231F20"/>
          <w:w w:val="105"/>
        </w:rPr>
        <w:t>a </w:t>
      </w:r>
      <w:r>
        <w:rPr>
          <w:color w:val="231F20"/>
          <w:spacing w:val="3"/>
          <w:w w:val="105"/>
        </w:rPr>
        <w:t>cabo </w:t>
      </w:r>
      <w:r>
        <w:rPr>
          <w:color w:val="231F20"/>
          <w:spacing w:val="-4"/>
          <w:w w:val="105"/>
        </w:rPr>
        <w:t>176 </w:t>
      </w:r>
      <w:r>
        <w:rPr>
          <w:color w:val="231F20"/>
          <w:spacing w:val="3"/>
          <w:w w:val="105"/>
        </w:rPr>
        <w:t>pláticas </w:t>
      </w:r>
      <w:r>
        <w:rPr>
          <w:color w:val="231F20"/>
          <w:spacing w:val="2"/>
          <w:w w:val="105"/>
        </w:rPr>
        <w:t>sobre presentación </w:t>
      </w:r>
      <w:r>
        <w:rPr>
          <w:color w:val="231F20"/>
          <w:w w:val="105"/>
        </w:rPr>
        <w:t>del </w:t>
      </w:r>
      <w:r>
        <w:rPr>
          <w:color w:val="231F20"/>
          <w:spacing w:val="4"/>
          <w:w w:val="105"/>
        </w:rPr>
        <w:t>programa, </w:t>
      </w:r>
      <w:r>
        <w:rPr>
          <w:color w:val="231F20"/>
          <w:spacing w:val="2"/>
          <w:w w:val="105"/>
        </w:rPr>
        <w:t>los </w:t>
      </w:r>
      <w:r>
        <w:rPr>
          <w:color w:val="231F20"/>
          <w:w w:val="105"/>
        </w:rPr>
        <w:t>3 </w:t>
      </w:r>
      <w:r>
        <w:rPr>
          <w:color w:val="231F20"/>
          <w:spacing w:val="4"/>
          <w:w w:val="105"/>
        </w:rPr>
        <w:t>grupos </w:t>
      </w:r>
      <w:r>
        <w:rPr>
          <w:color w:val="231F20"/>
          <w:w w:val="105"/>
        </w:rPr>
        <w:t>de </w:t>
      </w:r>
      <w:r>
        <w:rPr>
          <w:color w:val="231F20"/>
          <w:spacing w:val="3"/>
          <w:w w:val="105"/>
        </w:rPr>
        <w:t>alimentación </w:t>
      </w:r>
      <w:r>
        <w:rPr>
          <w:color w:val="231F20"/>
          <w:w w:val="105"/>
        </w:rPr>
        <w:t>en </w:t>
      </w:r>
      <w:r>
        <w:rPr>
          <w:color w:val="231F20"/>
          <w:spacing w:val="4"/>
          <w:w w:val="105"/>
        </w:rPr>
        <w:t>las </w:t>
      </w:r>
      <w:r>
        <w:rPr>
          <w:color w:val="231F20"/>
          <w:spacing w:val="3"/>
          <w:w w:val="105"/>
        </w:rPr>
        <w:t>diferentes </w:t>
      </w:r>
      <w:r>
        <w:rPr>
          <w:color w:val="231F20"/>
          <w:spacing w:val="4"/>
          <w:w w:val="105"/>
        </w:rPr>
        <w:t>etapas </w:t>
      </w:r>
      <w:r>
        <w:rPr>
          <w:color w:val="231F20"/>
          <w:w w:val="105"/>
        </w:rPr>
        <w:t>de </w:t>
      </w:r>
      <w:r>
        <w:rPr>
          <w:color w:val="231F20"/>
          <w:spacing w:val="2"/>
          <w:w w:val="105"/>
        </w:rPr>
        <w:t>la </w:t>
      </w:r>
      <w:r>
        <w:rPr>
          <w:color w:val="231F20"/>
          <w:spacing w:val="3"/>
          <w:w w:val="105"/>
        </w:rPr>
        <w:t>vida, autoestima, </w:t>
      </w:r>
      <w:r>
        <w:rPr>
          <w:color w:val="231F20"/>
          <w:spacing w:val="2"/>
          <w:w w:val="105"/>
        </w:rPr>
        <w:t>la </w:t>
      </w:r>
      <w:r>
        <w:rPr>
          <w:color w:val="231F20"/>
          <w:spacing w:val="6"/>
          <w:w w:val="105"/>
        </w:rPr>
        <w:t>familia</w:t>
      </w:r>
      <w:r>
        <w:rPr>
          <w:color w:val="231F20"/>
          <w:spacing w:val="63"/>
          <w:w w:val="105"/>
        </w:rPr>
        <w:t> </w:t>
      </w:r>
      <w:r>
        <w:rPr>
          <w:color w:val="231F20"/>
          <w:w w:val="105"/>
        </w:rPr>
        <w:t>y</w:t>
      </w:r>
    </w:p>
    <w:p>
      <w:pPr>
        <w:spacing w:after="0" w:line="280" w:lineRule="auto"/>
        <w:jc w:val="both"/>
        <w:sectPr>
          <w:pgSz w:w="9640" w:h="12190"/>
          <w:pgMar w:header="0" w:footer="743" w:top="1120" w:bottom="940" w:left="740" w:right="740"/>
        </w:sectPr>
      </w:pPr>
    </w:p>
    <w:p>
      <w:pPr>
        <w:pStyle w:val="BodyText"/>
        <w:spacing w:before="3"/>
        <w:rPr>
          <w:sz w:val="11"/>
        </w:rPr>
      </w:pPr>
    </w:p>
    <w:p>
      <w:pPr>
        <w:pStyle w:val="BodyText"/>
        <w:spacing w:before="36"/>
        <w:ind w:left="110"/>
        <w:jc w:val="both"/>
      </w:pPr>
      <w:r>
        <w:rPr>
          <w:color w:val="231F20"/>
          <w:w w:val="105"/>
        </w:rPr>
        <w:t>maltrato al menor; beneficiando a 430 madres de familia.</w:t>
      </w:r>
    </w:p>
    <w:p>
      <w:pPr>
        <w:pStyle w:val="BodyText"/>
        <w:spacing w:before="10"/>
        <w:rPr>
          <w:sz w:val="27"/>
        </w:rPr>
      </w:pPr>
    </w:p>
    <w:p>
      <w:pPr>
        <w:pStyle w:val="BodyText"/>
        <w:spacing w:line="278" w:lineRule="auto" w:before="1"/>
        <w:ind w:left="110" w:right="106"/>
        <w:jc w:val="both"/>
      </w:pPr>
      <w:r>
        <w:rPr>
          <w:rFonts w:ascii="Palatino Linotype" w:hAnsi="Palatino Linotype"/>
          <w:i/>
          <w:color w:val="231F20"/>
          <w:spacing w:val="-5"/>
          <w:w w:val="105"/>
        </w:rPr>
        <w:t>HORTA</w:t>
      </w:r>
      <w:r>
        <w:rPr>
          <w:rFonts w:ascii="Palatino Linotype" w:hAnsi="Palatino Linotype"/>
          <w:i/>
          <w:color w:val="231F20"/>
          <w:spacing w:val="-29"/>
          <w:w w:val="105"/>
        </w:rPr>
        <w:t> </w:t>
      </w:r>
      <w:r>
        <w:rPr>
          <w:rFonts w:ascii="Palatino Linotype" w:hAnsi="Palatino Linotype"/>
          <w:i/>
          <w:color w:val="231F20"/>
          <w:spacing w:val="-7"/>
          <w:w w:val="105"/>
        </w:rPr>
        <w:t>DIF</w:t>
      </w:r>
      <w:r>
        <w:rPr>
          <w:color w:val="231F20"/>
          <w:spacing w:val="-7"/>
          <w:w w:val="105"/>
        </w:rPr>
        <w:t>.</w:t>
      </w:r>
      <w:r>
        <w:rPr>
          <w:color w:val="231F20"/>
          <w:spacing w:val="-29"/>
          <w:w w:val="105"/>
        </w:rPr>
        <w:t> </w:t>
      </w:r>
      <w:r>
        <w:rPr>
          <w:color w:val="231F20"/>
          <w:w w:val="105"/>
        </w:rPr>
        <w:t>Se</w:t>
      </w:r>
      <w:r>
        <w:rPr>
          <w:color w:val="231F20"/>
          <w:spacing w:val="-29"/>
          <w:w w:val="105"/>
        </w:rPr>
        <w:t> </w:t>
      </w:r>
      <w:r>
        <w:rPr>
          <w:color w:val="231F20"/>
          <w:spacing w:val="-3"/>
          <w:w w:val="105"/>
        </w:rPr>
        <w:t>trabajó</w:t>
      </w:r>
      <w:r>
        <w:rPr>
          <w:color w:val="231F20"/>
          <w:spacing w:val="-29"/>
          <w:w w:val="105"/>
        </w:rPr>
        <w:t> </w:t>
      </w:r>
      <w:r>
        <w:rPr>
          <w:color w:val="231F20"/>
          <w:w w:val="105"/>
        </w:rPr>
        <w:t>en</w:t>
      </w:r>
      <w:r>
        <w:rPr>
          <w:color w:val="231F20"/>
          <w:spacing w:val="-29"/>
          <w:w w:val="105"/>
        </w:rPr>
        <w:t> </w:t>
      </w:r>
      <w:r>
        <w:rPr>
          <w:color w:val="231F20"/>
          <w:spacing w:val="-6"/>
          <w:w w:val="105"/>
        </w:rPr>
        <w:t>10</w:t>
      </w:r>
      <w:r>
        <w:rPr>
          <w:color w:val="231F20"/>
          <w:spacing w:val="-29"/>
          <w:w w:val="105"/>
        </w:rPr>
        <w:t> </w:t>
      </w:r>
      <w:r>
        <w:rPr>
          <w:color w:val="231F20"/>
          <w:spacing w:val="-3"/>
          <w:w w:val="105"/>
        </w:rPr>
        <w:t>Centros</w:t>
      </w:r>
      <w:r>
        <w:rPr>
          <w:color w:val="231F20"/>
          <w:spacing w:val="-29"/>
          <w:w w:val="105"/>
        </w:rPr>
        <w:t> </w:t>
      </w:r>
      <w:r>
        <w:rPr>
          <w:color w:val="231F20"/>
          <w:w w:val="105"/>
        </w:rPr>
        <w:t>de</w:t>
      </w:r>
      <w:r>
        <w:rPr>
          <w:color w:val="231F20"/>
          <w:spacing w:val="-29"/>
          <w:w w:val="105"/>
        </w:rPr>
        <w:t> </w:t>
      </w:r>
      <w:r>
        <w:rPr>
          <w:color w:val="231F20"/>
          <w:w w:val="105"/>
        </w:rPr>
        <w:t>enseñanza</w:t>
      </w:r>
      <w:r>
        <w:rPr>
          <w:color w:val="231F20"/>
          <w:spacing w:val="-29"/>
          <w:w w:val="105"/>
        </w:rPr>
        <w:t> </w:t>
      </w:r>
      <w:r>
        <w:rPr>
          <w:color w:val="231F20"/>
          <w:spacing w:val="-3"/>
          <w:w w:val="105"/>
        </w:rPr>
        <w:t>huertos</w:t>
      </w:r>
      <w:r>
        <w:rPr>
          <w:color w:val="231F20"/>
          <w:spacing w:val="-29"/>
          <w:w w:val="105"/>
        </w:rPr>
        <w:t> </w:t>
      </w:r>
      <w:r>
        <w:rPr>
          <w:color w:val="231F20"/>
          <w:spacing w:val="-3"/>
          <w:w w:val="105"/>
        </w:rPr>
        <w:t>Horta-Dif,</w:t>
      </w:r>
      <w:r>
        <w:rPr>
          <w:color w:val="231F20"/>
          <w:spacing w:val="-29"/>
          <w:w w:val="105"/>
        </w:rPr>
        <w:t> </w:t>
      </w:r>
      <w:r>
        <w:rPr>
          <w:color w:val="231F20"/>
          <w:w w:val="105"/>
        </w:rPr>
        <w:t>se</w:t>
      </w:r>
      <w:r>
        <w:rPr>
          <w:color w:val="231F20"/>
          <w:spacing w:val="-29"/>
          <w:w w:val="105"/>
        </w:rPr>
        <w:t> </w:t>
      </w:r>
      <w:r>
        <w:rPr>
          <w:color w:val="231F20"/>
          <w:w w:val="105"/>
        </w:rPr>
        <w:t>realizó</w:t>
      </w:r>
      <w:r>
        <w:rPr>
          <w:color w:val="231F20"/>
          <w:spacing w:val="-29"/>
          <w:w w:val="105"/>
        </w:rPr>
        <w:t> </w:t>
      </w:r>
      <w:r>
        <w:rPr>
          <w:color w:val="231F20"/>
          <w:w w:val="105"/>
        </w:rPr>
        <w:t>la</w:t>
      </w:r>
      <w:r>
        <w:rPr>
          <w:color w:val="231F20"/>
          <w:spacing w:val="-29"/>
          <w:w w:val="105"/>
        </w:rPr>
        <w:t> </w:t>
      </w:r>
      <w:r>
        <w:rPr>
          <w:color w:val="231F20"/>
          <w:w w:val="105"/>
        </w:rPr>
        <w:t>distri- </w:t>
      </w:r>
      <w:r>
        <w:rPr>
          <w:color w:val="231F20"/>
          <w:spacing w:val="-4"/>
          <w:w w:val="105"/>
        </w:rPr>
        <w:t>bución</w:t>
      </w:r>
      <w:r>
        <w:rPr>
          <w:color w:val="231F20"/>
          <w:spacing w:val="-27"/>
          <w:w w:val="105"/>
        </w:rPr>
        <w:t> </w:t>
      </w:r>
      <w:r>
        <w:rPr>
          <w:color w:val="231F20"/>
          <w:w w:val="105"/>
        </w:rPr>
        <w:t>de</w:t>
      </w:r>
      <w:r>
        <w:rPr>
          <w:color w:val="231F20"/>
          <w:spacing w:val="-27"/>
          <w:w w:val="105"/>
        </w:rPr>
        <w:t> </w:t>
      </w:r>
      <w:r>
        <w:rPr>
          <w:color w:val="231F20"/>
          <w:spacing w:val="-5"/>
          <w:w w:val="105"/>
        </w:rPr>
        <w:t>231</w:t>
      </w:r>
      <w:r>
        <w:rPr>
          <w:color w:val="231F20"/>
          <w:spacing w:val="-27"/>
          <w:w w:val="105"/>
        </w:rPr>
        <w:t> </w:t>
      </w:r>
      <w:r>
        <w:rPr>
          <w:color w:val="231F20"/>
          <w:spacing w:val="-3"/>
          <w:w w:val="105"/>
        </w:rPr>
        <w:t>paquetes</w:t>
      </w:r>
      <w:r>
        <w:rPr>
          <w:color w:val="231F20"/>
          <w:spacing w:val="-27"/>
          <w:w w:val="105"/>
        </w:rPr>
        <w:t> </w:t>
      </w:r>
      <w:r>
        <w:rPr>
          <w:color w:val="231F20"/>
          <w:w w:val="105"/>
        </w:rPr>
        <w:t>de</w:t>
      </w:r>
      <w:r>
        <w:rPr>
          <w:color w:val="231F20"/>
          <w:spacing w:val="-27"/>
          <w:w w:val="105"/>
        </w:rPr>
        <w:t> </w:t>
      </w:r>
      <w:r>
        <w:rPr>
          <w:color w:val="231F20"/>
          <w:w w:val="105"/>
        </w:rPr>
        <w:t>semilla,</w:t>
      </w:r>
      <w:r>
        <w:rPr>
          <w:color w:val="231F20"/>
          <w:spacing w:val="-27"/>
          <w:w w:val="105"/>
        </w:rPr>
        <w:t> </w:t>
      </w:r>
      <w:r>
        <w:rPr>
          <w:color w:val="231F20"/>
          <w:w w:val="105"/>
        </w:rPr>
        <w:t>se</w:t>
      </w:r>
      <w:r>
        <w:rPr>
          <w:color w:val="231F20"/>
          <w:spacing w:val="-27"/>
          <w:w w:val="105"/>
        </w:rPr>
        <w:t> </w:t>
      </w:r>
      <w:r>
        <w:rPr>
          <w:color w:val="231F20"/>
          <w:w w:val="105"/>
        </w:rPr>
        <w:t>dio</w:t>
      </w:r>
      <w:r>
        <w:rPr>
          <w:color w:val="231F20"/>
          <w:spacing w:val="-27"/>
          <w:w w:val="105"/>
        </w:rPr>
        <w:t> </w:t>
      </w:r>
      <w:r>
        <w:rPr>
          <w:color w:val="231F20"/>
          <w:spacing w:val="-4"/>
          <w:w w:val="105"/>
        </w:rPr>
        <w:t>capacitación</w:t>
      </w:r>
      <w:r>
        <w:rPr>
          <w:color w:val="231F20"/>
          <w:spacing w:val="-27"/>
          <w:w w:val="105"/>
        </w:rPr>
        <w:t> </w:t>
      </w:r>
      <w:r>
        <w:rPr>
          <w:color w:val="231F20"/>
          <w:w w:val="105"/>
        </w:rPr>
        <w:t>a</w:t>
      </w:r>
      <w:r>
        <w:rPr>
          <w:color w:val="231F20"/>
          <w:spacing w:val="-27"/>
          <w:w w:val="105"/>
        </w:rPr>
        <w:t> </w:t>
      </w:r>
      <w:r>
        <w:rPr>
          <w:color w:val="231F20"/>
          <w:w w:val="105"/>
        </w:rPr>
        <w:t>2</w:t>
      </w:r>
      <w:r>
        <w:rPr>
          <w:color w:val="231F20"/>
          <w:spacing w:val="-27"/>
          <w:w w:val="105"/>
        </w:rPr>
        <w:t> </w:t>
      </w:r>
      <w:r>
        <w:rPr>
          <w:color w:val="231F20"/>
          <w:w w:val="105"/>
        </w:rPr>
        <w:t>mil</w:t>
      </w:r>
      <w:r>
        <w:rPr>
          <w:color w:val="231F20"/>
          <w:spacing w:val="-27"/>
          <w:w w:val="105"/>
        </w:rPr>
        <w:t> </w:t>
      </w:r>
      <w:r>
        <w:rPr>
          <w:color w:val="231F20"/>
          <w:spacing w:val="-7"/>
          <w:w w:val="105"/>
        </w:rPr>
        <w:t>16</w:t>
      </w:r>
      <w:r>
        <w:rPr>
          <w:color w:val="231F20"/>
          <w:spacing w:val="-27"/>
          <w:w w:val="105"/>
        </w:rPr>
        <w:t> </w:t>
      </w:r>
      <w:r>
        <w:rPr>
          <w:color w:val="231F20"/>
          <w:w w:val="105"/>
        </w:rPr>
        <w:t>familias,</w:t>
      </w:r>
      <w:r>
        <w:rPr>
          <w:color w:val="231F20"/>
          <w:spacing w:val="-27"/>
          <w:w w:val="105"/>
        </w:rPr>
        <w:t> </w:t>
      </w:r>
      <w:r>
        <w:rPr>
          <w:color w:val="231F20"/>
          <w:w w:val="105"/>
        </w:rPr>
        <w:t>la</w:t>
      </w:r>
      <w:r>
        <w:rPr>
          <w:color w:val="231F20"/>
          <w:spacing w:val="-27"/>
          <w:w w:val="105"/>
        </w:rPr>
        <w:t> </w:t>
      </w:r>
      <w:r>
        <w:rPr>
          <w:color w:val="231F20"/>
          <w:spacing w:val="-4"/>
          <w:w w:val="105"/>
        </w:rPr>
        <w:t>producción</w:t>
      </w:r>
      <w:r>
        <w:rPr>
          <w:color w:val="231F20"/>
          <w:spacing w:val="-27"/>
          <w:w w:val="105"/>
        </w:rPr>
        <w:t> </w:t>
      </w:r>
      <w:r>
        <w:rPr>
          <w:color w:val="231F20"/>
          <w:w w:val="105"/>
        </w:rPr>
        <w:t>de </w:t>
      </w:r>
      <w:r>
        <w:rPr>
          <w:color w:val="231F20"/>
          <w:spacing w:val="-3"/>
          <w:w w:val="105"/>
        </w:rPr>
        <w:t>verdura</w:t>
      </w:r>
      <w:r>
        <w:rPr>
          <w:color w:val="231F20"/>
          <w:spacing w:val="-18"/>
          <w:w w:val="105"/>
        </w:rPr>
        <w:t> </w:t>
      </w:r>
      <w:r>
        <w:rPr>
          <w:color w:val="231F20"/>
          <w:w w:val="105"/>
        </w:rPr>
        <w:t>de</w:t>
      </w:r>
      <w:r>
        <w:rPr>
          <w:color w:val="231F20"/>
          <w:spacing w:val="-18"/>
          <w:w w:val="105"/>
        </w:rPr>
        <w:t> </w:t>
      </w:r>
      <w:r>
        <w:rPr>
          <w:color w:val="231F20"/>
          <w:spacing w:val="-3"/>
          <w:w w:val="105"/>
        </w:rPr>
        <w:t>huertos</w:t>
      </w:r>
      <w:r>
        <w:rPr>
          <w:color w:val="231F20"/>
          <w:spacing w:val="-18"/>
          <w:w w:val="105"/>
        </w:rPr>
        <w:t> </w:t>
      </w:r>
      <w:r>
        <w:rPr>
          <w:color w:val="231F20"/>
          <w:w w:val="105"/>
        </w:rPr>
        <w:t>Horta</w:t>
      </w:r>
      <w:r>
        <w:rPr>
          <w:color w:val="231F20"/>
          <w:spacing w:val="-18"/>
          <w:w w:val="105"/>
        </w:rPr>
        <w:t> </w:t>
      </w:r>
      <w:r>
        <w:rPr>
          <w:color w:val="231F20"/>
          <w:w w:val="105"/>
        </w:rPr>
        <w:t>Dif</w:t>
      </w:r>
      <w:r>
        <w:rPr>
          <w:color w:val="231F20"/>
          <w:spacing w:val="-18"/>
          <w:w w:val="105"/>
        </w:rPr>
        <w:t> </w:t>
      </w:r>
      <w:r>
        <w:rPr>
          <w:color w:val="231F20"/>
          <w:w w:val="105"/>
        </w:rPr>
        <w:t>fue</w:t>
      </w:r>
      <w:r>
        <w:rPr>
          <w:color w:val="231F20"/>
          <w:spacing w:val="-18"/>
          <w:w w:val="105"/>
        </w:rPr>
        <w:t> </w:t>
      </w:r>
      <w:r>
        <w:rPr>
          <w:color w:val="231F20"/>
          <w:w w:val="105"/>
        </w:rPr>
        <w:t>de</w:t>
      </w:r>
      <w:r>
        <w:rPr>
          <w:color w:val="231F20"/>
          <w:spacing w:val="-18"/>
          <w:w w:val="105"/>
        </w:rPr>
        <w:t> </w:t>
      </w:r>
      <w:r>
        <w:rPr>
          <w:color w:val="231F20"/>
          <w:w w:val="105"/>
        </w:rPr>
        <w:t>26</w:t>
      </w:r>
      <w:r>
        <w:rPr>
          <w:color w:val="231F20"/>
          <w:spacing w:val="-18"/>
          <w:w w:val="105"/>
        </w:rPr>
        <w:t> </w:t>
      </w:r>
      <w:r>
        <w:rPr>
          <w:color w:val="231F20"/>
          <w:w w:val="105"/>
        </w:rPr>
        <w:t>mil</w:t>
      </w:r>
      <w:r>
        <w:rPr>
          <w:color w:val="231F20"/>
          <w:spacing w:val="-18"/>
          <w:w w:val="105"/>
        </w:rPr>
        <w:t> </w:t>
      </w:r>
      <w:r>
        <w:rPr>
          <w:color w:val="231F20"/>
          <w:spacing w:val="-6"/>
          <w:w w:val="105"/>
        </w:rPr>
        <w:t>115</w:t>
      </w:r>
      <w:r>
        <w:rPr>
          <w:color w:val="231F20"/>
          <w:spacing w:val="-18"/>
          <w:w w:val="105"/>
        </w:rPr>
        <w:t> </w:t>
      </w:r>
      <w:r>
        <w:rPr>
          <w:color w:val="231F20"/>
          <w:w w:val="105"/>
        </w:rPr>
        <w:t>kilogramos,</w:t>
      </w:r>
      <w:r>
        <w:rPr>
          <w:color w:val="231F20"/>
          <w:spacing w:val="-18"/>
          <w:w w:val="105"/>
        </w:rPr>
        <w:t> </w:t>
      </w:r>
      <w:r>
        <w:rPr>
          <w:color w:val="231F20"/>
          <w:w w:val="105"/>
        </w:rPr>
        <w:t>la</w:t>
      </w:r>
      <w:r>
        <w:rPr>
          <w:color w:val="231F20"/>
          <w:spacing w:val="-18"/>
          <w:w w:val="105"/>
        </w:rPr>
        <w:t> </w:t>
      </w:r>
      <w:r>
        <w:rPr>
          <w:color w:val="231F20"/>
          <w:spacing w:val="-4"/>
          <w:w w:val="105"/>
        </w:rPr>
        <w:t>producción</w:t>
      </w:r>
      <w:r>
        <w:rPr>
          <w:color w:val="231F20"/>
          <w:spacing w:val="-18"/>
          <w:w w:val="105"/>
        </w:rPr>
        <w:t> </w:t>
      </w:r>
      <w:r>
        <w:rPr>
          <w:color w:val="231F20"/>
          <w:w w:val="105"/>
        </w:rPr>
        <w:t>de</w:t>
      </w:r>
      <w:r>
        <w:rPr>
          <w:color w:val="231F20"/>
          <w:spacing w:val="-18"/>
          <w:w w:val="105"/>
        </w:rPr>
        <w:t> </w:t>
      </w:r>
      <w:r>
        <w:rPr>
          <w:color w:val="231F20"/>
          <w:w w:val="105"/>
        </w:rPr>
        <w:t>plántula</w:t>
      </w:r>
      <w:r>
        <w:rPr>
          <w:color w:val="231F20"/>
          <w:spacing w:val="-18"/>
          <w:w w:val="105"/>
        </w:rPr>
        <w:t> </w:t>
      </w:r>
      <w:r>
        <w:rPr>
          <w:color w:val="231F20"/>
          <w:w w:val="105"/>
        </w:rPr>
        <w:t>fue de</w:t>
      </w:r>
      <w:r>
        <w:rPr>
          <w:color w:val="231F20"/>
          <w:spacing w:val="-16"/>
          <w:w w:val="105"/>
        </w:rPr>
        <w:t> </w:t>
      </w:r>
      <w:r>
        <w:rPr>
          <w:color w:val="231F20"/>
          <w:w w:val="105"/>
        </w:rPr>
        <w:t>60</w:t>
      </w:r>
      <w:r>
        <w:rPr>
          <w:color w:val="231F20"/>
          <w:spacing w:val="-16"/>
          <w:w w:val="105"/>
        </w:rPr>
        <w:t> </w:t>
      </w:r>
      <w:r>
        <w:rPr>
          <w:color w:val="231F20"/>
          <w:w w:val="105"/>
        </w:rPr>
        <w:t>mil</w:t>
      </w:r>
      <w:r>
        <w:rPr>
          <w:color w:val="231F20"/>
          <w:spacing w:val="-16"/>
          <w:w w:val="105"/>
        </w:rPr>
        <w:t> </w:t>
      </w:r>
      <w:r>
        <w:rPr>
          <w:color w:val="231F20"/>
          <w:w w:val="105"/>
        </w:rPr>
        <w:t>800</w:t>
      </w:r>
      <w:r>
        <w:rPr>
          <w:color w:val="231F20"/>
          <w:spacing w:val="-16"/>
          <w:w w:val="105"/>
        </w:rPr>
        <w:t> </w:t>
      </w:r>
      <w:r>
        <w:rPr>
          <w:color w:val="231F20"/>
          <w:w w:val="105"/>
        </w:rPr>
        <w:t>kilogramos,</w:t>
      </w:r>
      <w:r>
        <w:rPr>
          <w:color w:val="231F20"/>
          <w:spacing w:val="-16"/>
          <w:w w:val="105"/>
        </w:rPr>
        <w:t> </w:t>
      </w:r>
      <w:r>
        <w:rPr>
          <w:color w:val="231F20"/>
          <w:w w:val="105"/>
        </w:rPr>
        <w:t>se</w:t>
      </w:r>
      <w:r>
        <w:rPr>
          <w:color w:val="231F20"/>
          <w:spacing w:val="-16"/>
          <w:w w:val="105"/>
        </w:rPr>
        <w:t> </w:t>
      </w:r>
      <w:r>
        <w:rPr>
          <w:color w:val="231F20"/>
          <w:spacing w:val="-3"/>
          <w:w w:val="105"/>
        </w:rPr>
        <w:t>distribuyeron</w:t>
      </w:r>
      <w:r>
        <w:rPr>
          <w:color w:val="231F20"/>
          <w:spacing w:val="-16"/>
          <w:w w:val="105"/>
        </w:rPr>
        <w:t> </w:t>
      </w:r>
      <w:r>
        <w:rPr>
          <w:color w:val="231F20"/>
          <w:w w:val="105"/>
        </w:rPr>
        <w:t>360</w:t>
      </w:r>
      <w:r>
        <w:rPr>
          <w:color w:val="231F20"/>
          <w:spacing w:val="-16"/>
          <w:w w:val="105"/>
        </w:rPr>
        <w:t> </w:t>
      </w:r>
      <w:r>
        <w:rPr>
          <w:color w:val="231F20"/>
          <w:spacing w:val="-3"/>
          <w:w w:val="105"/>
        </w:rPr>
        <w:t>paquetes</w:t>
      </w:r>
      <w:r>
        <w:rPr>
          <w:color w:val="231F20"/>
          <w:spacing w:val="-16"/>
          <w:w w:val="105"/>
        </w:rPr>
        <w:t> </w:t>
      </w:r>
      <w:r>
        <w:rPr>
          <w:color w:val="231F20"/>
          <w:w w:val="105"/>
        </w:rPr>
        <w:t>de</w:t>
      </w:r>
      <w:r>
        <w:rPr>
          <w:color w:val="231F20"/>
          <w:spacing w:val="-16"/>
          <w:w w:val="105"/>
        </w:rPr>
        <w:t> </w:t>
      </w:r>
      <w:r>
        <w:rPr>
          <w:color w:val="231F20"/>
          <w:spacing w:val="-4"/>
          <w:w w:val="105"/>
        </w:rPr>
        <w:t>aves</w:t>
      </w:r>
      <w:r>
        <w:rPr>
          <w:color w:val="231F20"/>
          <w:spacing w:val="-16"/>
          <w:w w:val="105"/>
        </w:rPr>
        <w:t> </w:t>
      </w:r>
      <w:r>
        <w:rPr>
          <w:color w:val="231F20"/>
          <w:w w:val="105"/>
        </w:rPr>
        <w:t>de</w:t>
      </w:r>
      <w:r>
        <w:rPr>
          <w:color w:val="231F20"/>
          <w:spacing w:val="-16"/>
          <w:w w:val="105"/>
        </w:rPr>
        <w:t> </w:t>
      </w:r>
      <w:r>
        <w:rPr>
          <w:color w:val="231F20"/>
          <w:w w:val="105"/>
        </w:rPr>
        <w:t>postura</w:t>
      </w:r>
      <w:r>
        <w:rPr>
          <w:color w:val="231F20"/>
          <w:spacing w:val="-16"/>
          <w:w w:val="105"/>
        </w:rPr>
        <w:t> </w:t>
      </w:r>
      <w:r>
        <w:rPr>
          <w:color w:val="231F20"/>
          <w:w w:val="105"/>
        </w:rPr>
        <w:t>y</w:t>
      </w:r>
      <w:r>
        <w:rPr>
          <w:color w:val="231F20"/>
          <w:spacing w:val="-16"/>
          <w:w w:val="105"/>
        </w:rPr>
        <w:t> </w:t>
      </w:r>
      <w:r>
        <w:rPr>
          <w:color w:val="231F20"/>
          <w:w w:val="105"/>
        </w:rPr>
        <w:t>a</w:t>
      </w:r>
      <w:r>
        <w:rPr>
          <w:color w:val="231F20"/>
          <w:spacing w:val="-16"/>
          <w:w w:val="105"/>
        </w:rPr>
        <w:t> </w:t>
      </w:r>
      <w:r>
        <w:rPr>
          <w:color w:val="231F20"/>
          <w:w w:val="105"/>
        </w:rPr>
        <w:t>3</w:t>
      </w:r>
      <w:r>
        <w:rPr>
          <w:color w:val="231F20"/>
          <w:spacing w:val="-16"/>
          <w:w w:val="105"/>
        </w:rPr>
        <w:t> </w:t>
      </w:r>
      <w:r>
        <w:rPr>
          <w:color w:val="231F20"/>
          <w:w w:val="105"/>
        </w:rPr>
        <w:t>granjas de</w:t>
      </w:r>
      <w:r>
        <w:rPr>
          <w:color w:val="231F20"/>
          <w:spacing w:val="-19"/>
          <w:w w:val="105"/>
        </w:rPr>
        <w:t> </w:t>
      </w:r>
      <w:r>
        <w:rPr>
          <w:color w:val="231F20"/>
          <w:spacing w:val="-4"/>
          <w:w w:val="105"/>
        </w:rPr>
        <w:t>aves</w:t>
      </w:r>
      <w:r>
        <w:rPr>
          <w:color w:val="231F20"/>
          <w:spacing w:val="-19"/>
          <w:w w:val="105"/>
        </w:rPr>
        <w:t> </w:t>
      </w:r>
      <w:r>
        <w:rPr>
          <w:color w:val="231F20"/>
          <w:w w:val="105"/>
        </w:rPr>
        <w:t>de</w:t>
      </w:r>
      <w:r>
        <w:rPr>
          <w:color w:val="231F20"/>
          <w:spacing w:val="-19"/>
          <w:w w:val="105"/>
        </w:rPr>
        <w:t> </w:t>
      </w:r>
      <w:r>
        <w:rPr>
          <w:color w:val="231F20"/>
          <w:w w:val="105"/>
        </w:rPr>
        <w:t>postura</w:t>
      </w:r>
      <w:r>
        <w:rPr>
          <w:color w:val="231F20"/>
          <w:spacing w:val="-19"/>
          <w:w w:val="105"/>
        </w:rPr>
        <w:t> </w:t>
      </w:r>
      <w:r>
        <w:rPr>
          <w:color w:val="231F20"/>
          <w:w w:val="105"/>
        </w:rPr>
        <w:t>se</w:t>
      </w:r>
      <w:r>
        <w:rPr>
          <w:color w:val="231F20"/>
          <w:spacing w:val="-19"/>
          <w:w w:val="105"/>
        </w:rPr>
        <w:t> </w:t>
      </w:r>
      <w:r>
        <w:rPr>
          <w:color w:val="231F20"/>
          <w:spacing w:val="-3"/>
          <w:w w:val="105"/>
        </w:rPr>
        <w:t>les</w:t>
      </w:r>
      <w:r>
        <w:rPr>
          <w:color w:val="231F20"/>
          <w:spacing w:val="-19"/>
          <w:w w:val="105"/>
        </w:rPr>
        <w:t> </w:t>
      </w:r>
      <w:r>
        <w:rPr>
          <w:color w:val="231F20"/>
          <w:spacing w:val="-4"/>
          <w:w w:val="105"/>
        </w:rPr>
        <w:t>apoyo</w:t>
      </w:r>
      <w:r>
        <w:rPr>
          <w:color w:val="231F20"/>
          <w:spacing w:val="-19"/>
          <w:w w:val="105"/>
        </w:rPr>
        <w:t> </w:t>
      </w:r>
      <w:r>
        <w:rPr>
          <w:color w:val="231F20"/>
          <w:spacing w:val="-3"/>
          <w:w w:val="105"/>
        </w:rPr>
        <w:t>con</w:t>
      </w:r>
      <w:r>
        <w:rPr>
          <w:color w:val="231F20"/>
          <w:spacing w:val="-19"/>
          <w:w w:val="105"/>
        </w:rPr>
        <w:t> </w:t>
      </w:r>
      <w:r>
        <w:rPr>
          <w:color w:val="231F20"/>
          <w:w w:val="105"/>
        </w:rPr>
        <w:t>2</w:t>
      </w:r>
      <w:r>
        <w:rPr>
          <w:color w:val="231F20"/>
          <w:spacing w:val="-19"/>
          <w:w w:val="105"/>
        </w:rPr>
        <w:t> </w:t>
      </w:r>
      <w:r>
        <w:rPr>
          <w:color w:val="231F20"/>
          <w:spacing w:val="-2"/>
          <w:w w:val="105"/>
        </w:rPr>
        <w:t>bultos</w:t>
      </w:r>
      <w:r>
        <w:rPr>
          <w:color w:val="231F20"/>
          <w:spacing w:val="-19"/>
          <w:w w:val="105"/>
        </w:rPr>
        <w:t> </w:t>
      </w:r>
      <w:r>
        <w:rPr>
          <w:color w:val="231F20"/>
          <w:w w:val="105"/>
        </w:rPr>
        <w:t>de</w:t>
      </w:r>
      <w:r>
        <w:rPr>
          <w:color w:val="231F20"/>
          <w:spacing w:val="-19"/>
          <w:w w:val="105"/>
        </w:rPr>
        <w:t> </w:t>
      </w:r>
      <w:r>
        <w:rPr>
          <w:color w:val="231F20"/>
          <w:w w:val="105"/>
        </w:rPr>
        <w:t>alimento,</w:t>
      </w:r>
      <w:r>
        <w:rPr>
          <w:color w:val="231F20"/>
          <w:spacing w:val="-19"/>
          <w:w w:val="105"/>
        </w:rPr>
        <w:t> </w:t>
      </w:r>
      <w:r>
        <w:rPr>
          <w:color w:val="231F20"/>
          <w:w w:val="105"/>
        </w:rPr>
        <w:t>malla</w:t>
      </w:r>
      <w:r>
        <w:rPr>
          <w:color w:val="231F20"/>
          <w:spacing w:val="-19"/>
          <w:w w:val="105"/>
        </w:rPr>
        <w:t> </w:t>
      </w:r>
      <w:r>
        <w:rPr>
          <w:color w:val="231F20"/>
          <w:spacing w:val="-3"/>
          <w:w w:val="105"/>
        </w:rPr>
        <w:t>ciclónica</w:t>
      </w:r>
      <w:r>
        <w:rPr>
          <w:color w:val="231F20"/>
          <w:spacing w:val="-19"/>
          <w:w w:val="105"/>
        </w:rPr>
        <w:t> </w:t>
      </w:r>
      <w:r>
        <w:rPr>
          <w:color w:val="231F20"/>
          <w:w w:val="105"/>
        </w:rPr>
        <w:t>y</w:t>
      </w:r>
      <w:r>
        <w:rPr>
          <w:color w:val="231F20"/>
          <w:spacing w:val="-19"/>
          <w:w w:val="105"/>
        </w:rPr>
        <w:t> </w:t>
      </w:r>
      <w:r>
        <w:rPr>
          <w:color w:val="231F20"/>
          <w:spacing w:val="-3"/>
          <w:w w:val="105"/>
        </w:rPr>
        <w:t>bebederos.</w:t>
      </w:r>
    </w:p>
    <w:p>
      <w:pPr>
        <w:pStyle w:val="BodyText"/>
        <w:spacing w:before="6"/>
        <w:rPr>
          <w:sz w:val="24"/>
        </w:rPr>
      </w:pPr>
    </w:p>
    <w:p>
      <w:pPr>
        <w:pStyle w:val="BodyText"/>
        <w:spacing w:line="280" w:lineRule="auto"/>
        <w:ind w:left="110" w:right="107"/>
        <w:jc w:val="both"/>
      </w:pPr>
      <w:r>
        <w:rPr>
          <w:rFonts w:ascii="Palatino Linotype" w:hAnsi="Palatino Linotype"/>
          <w:i/>
          <w:color w:val="231F20"/>
          <w:w w:val="105"/>
        </w:rPr>
        <w:t>Servicios de orientación psicológica</w:t>
      </w:r>
      <w:r>
        <w:rPr>
          <w:color w:val="231F20"/>
          <w:w w:val="105"/>
        </w:rPr>
        <w:t>. Se dieron </w:t>
      </w:r>
      <w:r>
        <w:rPr>
          <w:color w:val="231F20"/>
          <w:spacing w:val="-3"/>
          <w:w w:val="105"/>
        </w:rPr>
        <w:t>159 </w:t>
      </w:r>
      <w:r>
        <w:rPr>
          <w:color w:val="231F20"/>
          <w:w w:val="105"/>
        </w:rPr>
        <w:t>consultas en materia de psicología dentro del Programa Atención Psicológica Integral API. En el Programa Atención In- tegral </w:t>
      </w:r>
      <w:r>
        <w:rPr>
          <w:color w:val="231F20"/>
          <w:spacing w:val="2"/>
          <w:w w:val="105"/>
        </w:rPr>
        <w:t>al </w:t>
      </w:r>
      <w:r>
        <w:rPr>
          <w:color w:val="231F20"/>
          <w:w w:val="105"/>
        </w:rPr>
        <w:t>Adolescente (AIA) se llevaron a cabo 48 consultas enfocadas a los padres de </w:t>
      </w:r>
      <w:r>
        <w:rPr>
          <w:color w:val="231F20"/>
          <w:spacing w:val="2"/>
          <w:w w:val="105"/>
        </w:rPr>
        <w:t>familia </w:t>
      </w:r>
      <w:r>
        <w:rPr>
          <w:color w:val="231F20"/>
          <w:w w:val="105"/>
        </w:rPr>
        <w:t>del nivel escolar secundaria, beneficiando a una población de </w:t>
      </w:r>
      <w:r>
        <w:rPr>
          <w:color w:val="231F20"/>
          <w:spacing w:val="4"/>
          <w:w w:val="105"/>
        </w:rPr>
        <w:t>400 </w:t>
      </w:r>
      <w:r>
        <w:rPr>
          <w:color w:val="231F20"/>
          <w:w w:val="105"/>
        </w:rPr>
        <w:t>padres de </w:t>
      </w:r>
      <w:r>
        <w:rPr>
          <w:color w:val="231F20"/>
          <w:spacing w:val="2"/>
          <w:w w:val="105"/>
        </w:rPr>
        <w:t>familia. </w:t>
      </w:r>
      <w:r>
        <w:rPr>
          <w:color w:val="231F20"/>
          <w:w w:val="105"/>
        </w:rPr>
        <w:t>En el Programa Prevención de Alcoholismo y Fármaco Dependencia</w:t>
      </w:r>
      <w:r>
        <w:rPr>
          <w:color w:val="231F20"/>
          <w:spacing w:val="-38"/>
          <w:w w:val="105"/>
        </w:rPr>
        <w:t> </w:t>
      </w:r>
      <w:r>
        <w:rPr>
          <w:color w:val="231F20"/>
          <w:w w:val="105"/>
        </w:rPr>
        <w:t>(PREA- DIC)</w:t>
      </w:r>
      <w:r>
        <w:rPr>
          <w:color w:val="231F20"/>
          <w:spacing w:val="-17"/>
          <w:w w:val="105"/>
        </w:rPr>
        <w:t> </w:t>
      </w:r>
      <w:r>
        <w:rPr>
          <w:color w:val="231F20"/>
          <w:w w:val="105"/>
        </w:rPr>
        <w:t>se</w:t>
      </w:r>
      <w:r>
        <w:rPr>
          <w:color w:val="231F20"/>
          <w:spacing w:val="-17"/>
          <w:w w:val="105"/>
        </w:rPr>
        <w:t> </w:t>
      </w:r>
      <w:r>
        <w:rPr>
          <w:color w:val="231F20"/>
          <w:w w:val="105"/>
        </w:rPr>
        <w:t>organizaron</w:t>
      </w:r>
      <w:r>
        <w:rPr>
          <w:color w:val="231F20"/>
          <w:spacing w:val="-17"/>
          <w:w w:val="105"/>
        </w:rPr>
        <w:t> </w:t>
      </w:r>
      <w:r>
        <w:rPr>
          <w:color w:val="231F20"/>
          <w:w w:val="105"/>
        </w:rPr>
        <w:t>e</w:t>
      </w:r>
      <w:r>
        <w:rPr>
          <w:color w:val="231F20"/>
          <w:spacing w:val="-17"/>
          <w:w w:val="105"/>
        </w:rPr>
        <w:t> </w:t>
      </w:r>
      <w:r>
        <w:rPr>
          <w:color w:val="231F20"/>
          <w:w w:val="105"/>
        </w:rPr>
        <w:t>impartieron</w:t>
      </w:r>
      <w:r>
        <w:rPr>
          <w:color w:val="231F20"/>
          <w:spacing w:val="-17"/>
          <w:w w:val="105"/>
        </w:rPr>
        <w:t> </w:t>
      </w:r>
      <w:r>
        <w:rPr>
          <w:color w:val="231F20"/>
          <w:spacing w:val="-3"/>
          <w:w w:val="105"/>
        </w:rPr>
        <w:t>78</w:t>
      </w:r>
      <w:r>
        <w:rPr>
          <w:color w:val="231F20"/>
          <w:spacing w:val="-17"/>
          <w:w w:val="105"/>
        </w:rPr>
        <w:t> </w:t>
      </w:r>
      <w:r>
        <w:rPr>
          <w:color w:val="231F20"/>
          <w:w w:val="105"/>
        </w:rPr>
        <w:t>pláticas</w:t>
      </w:r>
      <w:r>
        <w:rPr>
          <w:color w:val="231F20"/>
          <w:spacing w:val="-17"/>
          <w:w w:val="105"/>
        </w:rPr>
        <w:t> </w:t>
      </w:r>
      <w:r>
        <w:rPr>
          <w:color w:val="231F20"/>
          <w:w w:val="105"/>
        </w:rPr>
        <w:t>enfocadas</w:t>
      </w:r>
      <w:r>
        <w:rPr>
          <w:color w:val="231F20"/>
          <w:spacing w:val="-17"/>
          <w:w w:val="105"/>
        </w:rPr>
        <w:t> </w:t>
      </w:r>
      <w:r>
        <w:rPr>
          <w:color w:val="231F20"/>
          <w:w w:val="105"/>
        </w:rPr>
        <w:t>a</w:t>
      </w:r>
      <w:r>
        <w:rPr>
          <w:color w:val="231F20"/>
          <w:spacing w:val="-17"/>
          <w:w w:val="105"/>
        </w:rPr>
        <w:t> </w:t>
      </w:r>
      <w:r>
        <w:rPr>
          <w:color w:val="231F20"/>
          <w:w w:val="105"/>
        </w:rPr>
        <w:t>escuelas,</w:t>
      </w:r>
      <w:r>
        <w:rPr>
          <w:color w:val="231F20"/>
          <w:spacing w:val="-17"/>
          <w:w w:val="105"/>
        </w:rPr>
        <w:t> </w:t>
      </w:r>
      <w:r>
        <w:rPr>
          <w:color w:val="231F20"/>
          <w:w w:val="105"/>
        </w:rPr>
        <w:t>en</w:t>
      </w:r>
      <w:r>
        <w:rPr>
          <w:color w:val="231F20"/>
          <w:spacing w:val="-17"/>
          <w:w w:val="105"/>
        </w:rPr>
        <w:t> </w:t>
      </w:r>
      <w:r>
        <w:rPr>
          <w:color w:val="231F20"/>
          <w:w w:val="105"/>
        </w:rPr>
        <w:t>beneficio</w:t>
      </w:r>
      <w:r>
        <w:rPr>
          <w:color w:val="231F20"/>
          <w:spacing w:val="-17"/>
          <w:w w:val="105"/>
        </w:rPr>
        <w:t> </w:t>
      </w:r>
      <w:r>
        <w:rPr>
          <w:color w:val="231F20"/>
          <w:w w:val="105"/>
        </w:rPr>
        <w:t>de</w:t>
      </w:r>
      <w:r>
        <w:rPr>
          <w:color w:val="231F20"/>
          <w:spacing w:val="-17"/>
          <w:w w:val="105"/>
        </w:rPr>
        <w:t> </w:t>
      </w:r>
      <w:r>
        <w:rPr>
          <w:color w:val="231F20"/>
          <w:w w:val="105"/>
        </w:rPr>
        <w:t>una población</w:t>
      </w:r>
      <w:r>
        <w:rPr>
          <w:color w:val="231F20"/>
          <w:spacing w:val="-16"/>
          <w:w w:val="105"/>
        </w:rPr>
        <w:t> </w:t>
      </w:r>
      <w:r>
        <w:rPr>
          <w:color w:val="231F20"/>
          <w:w w:val="105"/>
        </w:rPr>
        <w:t>abierta</w:t>
      </w:r>
      <w:r>
        <w:rPr>
          <w:color w:val="231F20"/>
          <w:spacing w:val="-16"/>
          <w:w w:val="105"/>
        </w:rPr>
        <w:t> </w:t>
      </w:r>
      <w:r>
        <w:rPr>
          <w:color w:val="231F20"/>
          <w:w w:val="105"/>
        </w:rPr>
        <w:t>de</w:t>
      </w:r>
      <w:r>
        <w:rPr>
          <w:color w:val="231F20"/>
          <w:spacing w:val="-16"/>
          <w:w w:val="105"/>
        </w:rPr>
        <w:t> </w:t>
      </w:r>
      <w:r>
        <w:rPr>
          <w:color w:val="231F20"/>
          <w:w w:val="105"/>
        </w:rPr>
        <w:t>2</w:t>
      </w:r>
      <w:r>
        <w:rPr>
          <w:color w:val="231F20"/>
          <w:spacing w:val="-16"/>
          <w:w w:val="105"/>
        </w:rPr>
        <w:t> </w:t>
      </w:r>
      <w:r>
        <w:rPr>
          <w:color w:val="231F20"/>
          <w:spacing w:val="2"/>
          <w:w w:val="105"/>
        </w:rPr>
        <w:t>mil</w:t>
      </w:r>
      <w:r>
        <w:rPr>
          <w:color w:val="231F20"/>
          <w:spacing w:val="-16"/>
          <w:w w:val="105"/>
        </w:rPr>
        <w:t> </w:t>
      </w:r>
      <w:r>
        <w:rPr>
          <w:color w:val="231F20"/>
          <w:w w:val="105"/>
        </w:rPr>
        <w:t>923</w:t>
      </w:r>
      <w:r>
        <w:rPr>
          <w:color w:val="231F20"/>
          <w:spacing w:val="-16"/>
          <w:w w:val="105"/>
        </w:rPr>
        <w:t> </w:t>
      </w:r>
      <w:r>
        <w:rPr>
          <w:color w:val="231F20"/>
          <w:w w:val="105"/>
        </w:rPr>
        <w:t>personas.</w:t>
      </w:r>
    </w:p>
    <w:p>
      <w:pPr>
        <w:pStyle w:val="BodyText"/>
        <w:spacing w:before="4"/>
        <w:rPr>
          <w:sz w:val="24"/>
        </w:rPr>
      </w:pPr>
    </w:p>
    <w:p>
      <w:pPr>
        <w:pStyle w:val="BodyText"/>
        <w:spacing w:line="276" w:lineRule="auto"/>
        <w:ind w:left="110" w:right="108"/>
        <w:jc w:val="both"/>
      </w:pPr>
      <w:r>
        <w:rPr>
          <w:rFonts w:ascii="Palatino Linotype" w:hAnsi="Palatino Linotype"/>
          <w:i/>
          <w:color w:val="231F20"/>
          <w:w w:val="105"/>
        </w:rPr>
        <w:t>Programa de Atención Integral a la Madre Adolescente</w:t>
      </w:r>
      <w:r>
        <w:rPr>
          <w:color w:val="231F20"/>
          <w:w w:val="105"/>
        </w:rPr>
        <w:t>. En el Programa de Atención Integral a la Madre Adolescente (AIMA), se atendió a 60 madres de familia a quienes se canalizó a estudios adicionales en materia de salud, abarcando tres fases, prenatal, posnatal y laboral.</w:t>
      </w:r>
    </w:p>
    <w:p>
      <w:pPr>
        <w:pStyle w:val="BodyText"/>
        <w:spacing w:before="8"/>
        <w:rPr>
          <w:sz w:val="24"/>
        </w:rPr>
      </w:pPr>
    </w:p>
    <w:p>
      <w:pPr>
        <w:pStyle w:val="BodyText"/>
        <w:spacing w:line="280" w:lineRule="auto" w:before="1"/>
        <w:ind w:left="110" w:right="107"/>
        <w:jc w:val="both"/>
      </w:pPr>
      <w:r>
        <w:rPr>
          <w:rFonts w:ascii="Palatino Linotype" w:hAnsi="Palatino Linotype"/>
          <w:i/>
          <w:color w:val="231F20"/>
        </w:rPr>
        <w:t>Servicios de Procuraduría de la Defensa del Menor y la Familia</w:t>
      </w:r>
      <w:r>
        <w:rPr>
          <w:color w:val="231F20"/>
        </w:rPr>
        <w:t>. El trabajo primordial     de la Procuraduría de la Defensa del </w:t>
      </w:r>
      <w:r>
        <w:rPr>
          <w:color w:val="231F20"/>
          <w:spacing w:val="-3"/>
        </w:rPr>
        <w:t>Menor  </w:t>
      </w:r>
      <w:r>
        <w:rPr>
          <w:color w:val="231F20"/>
        </w:rPr>
        <w:t>y la Familia fue la protección y tutela de     los derechos de los menores en estado de abandono u orfandad, así como el asesora- miento y patrocinio de juicios a </w:t>
      </w:r>
      <w:r>
        <w:rPr>
          <w:color w:val="231F20"/>
          <w:spacing w:val="2"/>
        </w:rPr>
        <w:t>familias </w:t>
      </w:r>
      <w:r>
        <w:rPr>
          <w:color w:val="231F20"/>
        </w:rPr>
        <w:t>de escasos recursos, personas con capacidades diferentes y adultos mayores. </w:t>
      </w:r>
      <w:r>
        <w:rPr>
          <w:color w:val="231F20"/>
          <w:spacing w:val="-3"/>
        </w:rPr>
        <w:t>Por  </w:t>
      </w:r>
      <w:r>
        <w:rPr>
          <w:color w:val="231F20"/>
          <w:spacing w:val="2"/>
        </w:rPr>
        <w:t>tal </w:t>
      </w:r>
      <w:r>
        <w:rPr>
          <w:color w:val="231F20"/>
        </w:rPr>
        <w:t>motivo se otorgaron 257 asesorías, levantándose    </w:t>
      </w:r>
      <w:r>
        <w:rPr>
          <w:color w:val="231F20"/>
          <w:spacing w:val="-4"/>
        </w:rPr>
        <w:t>52 </w:t>
      </w:r>
      <w:r>
        <w:rPr>
          <w:color w:val="231F20"/>
        </w:rPr>
        <w:t>documentos entre convenios, notas jurídicas, canalizaciones a Ministerio Público y constancias. Asimismo se realizó el patrocinio de 12 juicios en materia familiar, relacio- nados con pensión alimenticia, rectificación de actas y  </w:t>
      </w:r>
      <w:r>
        <w:rPr>
          <w:color w:val="231F20"/>
          <w:spacing w:val="35"/>
        </w:rPr>
        <w:t> </w:t>
      </w:r>
      <w:r>
        <w:rPr>
          <w:color w:val="231F20"/>
        </w:rPr>
        <w:t>divorcios.</w:t>
      </w:r>
    </w:p>
    <w:p>
      <w:pPr>
        <w:spacing w:after="0" w:line="280" w:lineRule="auto"/>
        <w:jc w:val="both"/>
        <w:sectPr>
          <w:pgSz w:w="9640" w:h="12190"/>
          <w:pgMar w:header="0" w:footer="743" w:top="1120" w:bottom="940" w:left="740" w:right="740"/>
        </w:sectPr>
      </w:pPr>
    </w:p>
    <w:p>
      <w:pPr>
        <w:pStyle w:val="BodyText"/>
        <w:spacing w:before="3"/>
        <w:rPr>
          <w:sz w:val="11"/>
        </w:rPr>
      </w:pPr>
    </w:p>
    <w:p>
      <w:pPr>
        <w:pStyle w:val="BodyText"/>
        <w:spacing w:line="278" w:lineRule="auto" w:before="10"/>
        <w:ind w:left="110" w:right="107"/>
        <w:jc w:val="both"/>
      </w:pPr>
      <w:r>
        <w:rPr>
          <w:rFonts w:ascii="Palatino Linotype" w:hAnsi="Palatino Linotype"/>
          <w:i/>
          <w:color w:val="231F20"/>
          <w:w w:val="105"/>
        </w:rPr>
        <w:t>Adultos Mayores</w:t>
      </w:r>
      <w:r>
        <w:rPr>
          <w:color w:val="231F20"/>
          <w:w w:val="105"/>
        </w:rPr>
        <w:t>. Otra actividad importante del Sistema DIF Ozumba fue la atención a los adultos mayores, a quienes se entregaron 560 credenciales y se impartieron 120 platicas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diferentes</w:t>
      </w:r>
      <w:r>
        <w:rPr>
          <w:color w:val="231F20"/>
          <w:spacing w:val="-16"/>
          <w:w w:val="105"/>
        </w:rPr>
        <w:t> </w:t>
      </w:r>
      <w:r>
        <w:rPr>
          <w:color w:val="231F20"/>
          <w:w w:val="105"/>
        </w:rPr>
        <w:t>clubes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tercera</w:t>
      </w:r>
      <w:r>
        <w:rPr>
          <w:color w:val="231F20"/>
          <w:spacing w:val="-16"/>
          <w:w w:val="105"/>
        </w:rPr>
        <w:t> </w:t>
      </w:r>
      <w:r>
        <w:rPr>
          <w:color w:val="231F20"/>
          <w:w w:val="105"/>
        </w:rPr>
        <w:t>edad.</w:t>
      </w:r>
      <w:r>
        <w:rPr>
          <w:color w:val="231F20"/>
          <w:spacing w:val="-16"/>
          <w:w w:val="105"/>
        </w:rPr>
        <w:t> </w:t>
      </w:r>
      <w:r>
        <w:rPr>
          <w:color w:val="231F20"/>
          <w:w w:val="105"/>
        </w:rPr>
        <w:t>En</w:t>
      </w:r>
      <w:r>
        <w:rPr>
          <w:color w:val="231F20"/>
          <w:spacing w:val="-16"/>
          <w:w w:val="105"/>
        </w:rPr>
        <w:t> </w:t>
      </w:r>
      <w:r>
        <w:rPr>
          <w:color w:val="231F20"/>
          <w:w w:val="105"/>
        </w:rPr>
        <w:t>actividades</w:t>
      </w:r>
      <w:r>
        <w:rPr>
          <w:color w:val="231F20"/>
          <w:spacing w:val="-16"/>
          <w:w w:val="105"/>
        </w:rPr>
        <w:t> </w:t>
      </w:r>
      <w:r>
        <w:rPr>
          <w:color w:val="231F20"/>
          <w:w w:val="105"/>
        </w:rPr>
        <w:t>de</w:t>
      </w:r>
      <w:r>
        <w:rPr>
          <w:color w:val="231F20"/>
          <w:spacing w:val="-16"/>
          <w:w w:val="105"/>
        </w:rPr>
        <w:t> </w:t>
      </w:r>
      <w:r>
        <w:rPr>
          <w:color w:val="231F20"/>
          <w:w w:val="105"/>
        </w:rPr>
        <w:t>entretenimiento</w:t>
      </w:r>
      <w:r>
        <w:rPr>
          <w:color w:val="231F20"/>
          <w:spacing w:val="-16"/>
          <w:w w:val="105"/>
        </w:rPr>
        <w:t> </w:t>
      </w:r>
      <w:r>
        <w:rPr>
          <w:color w:val="231F20"/>
          <w:w w:val="105"/>
        </w:rPr>
        <w:t>se realizaron</w:t>
      </w:r>
      <w:r>
        <w:rPr>
          <w:color w:val="231F20"/>
          <w:spacing w:val="-7"/>
          <w:w w:val="105"/>
        </w:rPr>
        <w:t> </w:t>
      </w:r>
      <w:r>
        <w:rPr>
          <w:color w:val="231F20"/>
          <w:w w:val="105"/>
        </w:rPr>
        <w:t>2</w:t>
      </w:r>
      <w:r>
        <w:rPr>
          <w:color w:val="231F20"/>
          <w:spacing w:val="-7"/>
          <w:w w:val="105"/>
        </w:rPr>
        <w:t> </w:t>
      </w:r>
      <w:r>
        <w:rPr>
          <w:color w:val="231F20"/>
          <w:w w:val="105"/>
        </w:rPr>
        <w:t>campamentos,</w:t>
      </w:r>
      <w:r>
        <w:rPr>
          <w:color w:val="231F20"/>
          <w:spacing w:val="-7"/>
          <w:w w:val="105"/>
        </w:rPr>
        <w:t> </w:t>
      </w:r>
      <w:r>
        <w:rPr>
          <w:color w:val="231F20"/>
          <w:w w:val="105"/>
        </w:rPr>
        <w:t>4</w:t>
      </w:r>
      <w:r>
        <w:rPr>
          <w:color w:val="231F20"/>
          <w:spacing w:val="-7"/>
          <w:w w:val="105"/>
        </w:rPr>
        <w:t> </w:t>
      </w:r>
      <w:r>
        <w:rPr>
          <w:color w:val="231F20"/>
          <w:w w:val="105"/>
        </w:rPr>
        <w:t>salidas</w:t>
      </w:r>
      <w:r>
        <w:rPr>
          <w:color w:val="231F20"/>
          <w:spacing w:val="-7"/>
          <w:w w:val="105"/>
        </w:rPr>
        <w:t> </w:t>
      </w:r>
      <w:r>
        <w:rPr>
          <w:color w:val="231F20"/>
          <w:w w:val="105"/>
        </w:rPr>
        <w:t>de</w:t>
      </w:r>
      <w:r>
        <w:rPr>
          <w:color w:val="231F20"/>
          <w:spacing w:val="-7"/>
          <w:w w:val="105"/>
        </w:rPr>
        <w:t> </w:t>
      </w:r>
      <w:r>
        <w:rPr>
          <w:color w:val="231F20"/>
          <w:w w:val="105"/>
        </w:rPr>
        <w:t>excursión</w:t>
      </w:r>
      <w:r>
        <w:rPr>
          <w:color w:val="231F20"/>
          <w:spacing w:val="-7"/>
          <w:w w:val="105"/>
        </w:rPr>
        <w:t> </w:t>
      </w:r>
      <w:r>
        <w:rPr>
          <w:color w:val="231F20"/>
          <w:w w:val="105"/>
        </w:rPr>
        <w:t>y</w:t>
      </w:r>
      <w:r>
        <w:rPr>
          <w:color w:val="231F20"/>
          <w:spacing w:val="-7"/>
          <w:w w:val="105"/>
        </w:rPr>
        <w:t> </w:t>
      </w:r>
      <w:r>
        <w:rPr>
          <w:color w:val="231F20"/>
          <w:w w:val="105"/>
        </w:rPr>
        <w:t>4</w:t>
      </w:r>
      <w:r>
        <w:rPr>
          <w:color w:val="231F20"/>
          <w:spacing w:val="-7"/>
          <w:w w:val="105"/>
        </w:rPr>
        <w:t> </w:t>
      </w:r>
      <w:r>
        <w:rPr>
          <w:color w:val="231F20"/>
          <w:w w:val="105"/>
        </w:rPr>
        <w:t>eventos</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que</w:t>
      </w:r>
      <w:r>
        <w:rPr>
          <w:color w:val="231F20"/>
          <w:spacing w:val="-7"/>
          <w:w w:val="105"/>
        </w:rPr>
        <w:t> </w:t>
      </w:r>
      <w:r>
        <w:rPr>
          <w:color w:val="231F20"/>
          <w:spacing w:val="-3"/>
          <w:w w:val="105"/>
        </w:rPr>
        <w:t>siempre</w:t>
      </w:r>
      <w:r>
        <w:rPr>
          <w:color w:val="231F20"/>
          <w:spacing w:val="-7"/>
          <w:w w:val="105"/>
        </w:rPr>
        <w:t> </w:t>
      </w:r>
      <w:r>
        <w:rPr>
          <w:color w:val="231F20"/>
          <w:w w:val="105"/>
        </w:rPr>
        <w:t>se</w:t>
      </w:r>
      <w:r>
        <w:rPr>
          <w:color w:val="231F20"/>
          <w:spacing w:val="-7"/>
          <w:w w:val="105"/>
        </w:rPr>
        <w:t> </w:t>
      </w:r>
      <w:r>
        <w:rPr>
          <w:color w:val="231F20"/>
          <w:w w:val="105"/>
        </w:rPr>
        <w:t>les dio un</w:t>
      </w:r>
      <w:r>
        <w:rPr>
          <w:color w:val="231F20"/>
          <w:spacing w:val="-19"/>
          <w:w w:val="105"/>
        </w:rPr>
        <w:t> </w:t>
      </w:r>
      <w:r>
        <w:rPr>
          <w:color w:val="231F20"/>
          <w:w w:val="105"/>
        </w:rPr>
        <w:t>obsequio.</w:t>
      </w:r>
    </w:p>
    <w:p>
      <w:pPr>
        <w:pStyle w:val="BodyText"/>
        <w:spacing w:before="6"/>
        <w:rPr>
          <w:sz w:val="24"/>
        </w:rPr>
      </w:pPr>
    </w:p>
    <w:p>
      <w:pPr>
        <w:pStyle w:val="BodyText"/>
        <w:spacing w:line="273" w:lineRule="auto"/>
        <w:ind w:left="110" w:right="108"/>
        <w:jc w:val="both"/>
      </w:pPr>
      <w:r>
        <w:rPr>
          <w:rFonts w:ascii="Palatino Linotype" w:hAnsi="Palatino Linotype"/>
          <w:i/>
          <w:color w:val="231F20"/>
          <w:w w:val="105"/>
        </w:rPr>
        <w:t>Fomento</w:t>
      </w:r>
      <w:r>
        <w:rPr>
          <w:rFonts w:ascii="Palatino Linotype" w:hAnsi="Palatino Linotype"/>
          <w:i/>
          <w:color w:val="231F20"/>
          <w:spacing w:val="-4"/>
          <w:w w:val="105"/>
        </w:rPr>
        <w:t> </w:t>
      </w:r>
      <w:r>
        <w:rPr>
          <w:rFonts w:ascii="Palatino Linotype" w:hAnsi="Palatino Linotype"/>
          <w:i/>
          <w:color w:val="231F20"/>
          <w:w w:val="105"/>
        </w:rPr>
        <w:t>de</w:t>
      </w:r>
      <w:r>
        <w:rPr>
          <w:rFonts w:ascii="Palatino Linotype" w:hAnsi="Palatino Linotype"/>
          <w:i/>
          <w:color w:val="231F20"/>
          <w:spacing w:val="-4"/>
          <w:w w:val="105"/>
        </w:rPr>
        <w:t> </w:t>
      </w:r>
      <w:r>
        <w:rPr>
          <w:rFonts w:ascii="Palatino Linotype" w:hAnsi="Palatino Linotype"/>
          <w:i/>
          <w:color w:val="231F20"/>
          <w:w w:val="105"/>
        </w:rPr>
        <w:t>la</w:t>
      </w:r>
      <w:r>
        <w:rPr>
          <w:rFonts w:ascii="Palatino Linotype" w:hAnsi="Palatino Linotype"/>
          <w:i/>
          <w:color w:val="231F20"/>
          <w:spacing w:val="-4"/>
          <w:w w:val="105"/>
        </w:rPr>
        <w:t> </w:t>
      </w:r>
      <w:r>
        <w:rPr>
          <w:rFonts w:ascii="Palatino Linotype" w:hAnsi="Palatino Linotype"/>
          <w:i/>
          <w:color w:val="231F20"/>
          <w:w w:val="105"/>
        </w:rPr>
        <w:t>Educación</w:t>
      </w:r>
      <w:r>
        <w:rPr>
          <w:rFonts w:ascii="Palatino Linotype" w:hAnsi="Palatino Linotype"/>
          <w:i/>
          <w:color w:val="231F20"/>
          <w:spacing w:val="-4"/>
          <w:w w:val="105"/>
        </w:rPr>
        <w:t> </w:t>
      </w:r>
      <w:r>
        <w:rPr>
          <w:rFonts w:ascii="Palatino Linotype" w:hAnsi="Palatino Linotype"/>
          <w:i/>
          <w:color w:val="231F20"/>
          <w:w w:val="105"/>
        </w:rPr>
        <w:t>y</w:t>
      </w:r>
      <w:r>
        <w:rPr>
          <w:rFonts w:ascii="Palatino Linotype" w:hAnsi="Palatino Linotype"/>
          <w:i/>
          <w:color w:val="231F20"/>
          <w:spacing w:val="-4"/>
          <w:w w:val="105"/>
        </w:rPr>
        <w:t> </w:t>
      </w:r>
      <w:r>
        <w:rPr>
          <w:rFonts w:ascii="Palatino Linotype" w:hAnsi="Palatino Linotype"/>
          <w:i/>
          <w:color w:val="231F20"/>
          <w:w w:val="105"/>
        </w:rPr>
        <w:t>Cultura</w:t>
      </w:r>
      <w:r>
        <w:rPr>
          <w:color w:val="231F20"/>
          <w:w w:val="105"/>
        </w:rPr>
        <w:t>.</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segundo</w:t>
      </w:r>
      <w:r>
        <w:rPr>
          <w:color w:val="231F20"/>
          <w:spacing w:val="-4"/>
          <w:w w:val="105"/>
        </w:rPr>
        <w:t> </w:t>
      </w:r>
      <w:r>
        <w:rPr>
          <w:color w:val="231F20"/>
          <w:w w:val="105"/>
        </w:rPr>
        <w:t>año</w:t>
      </w:r>
      <w:r>
        <w:rPr>
          <w:color w:val="231F20"/>
          <w:spacing w:val="-4"/>
          <w:w w:val="105"/>
        </w:rPr>
        <w:t> </w:t>
      </w:r>
      <w:r>
        <w:rPr>
          <w:color w:val="231F20"/>
          <w:w w:val="105"/>
        </w:rPr>
        <w:t>de</w:t>
      </w:r>
      <w:r>
        <w:rPr>
          <w:color w:val="231F20"/>
          <w:spacing w:val="-4"/>
          <w:w w:val="105"/>
        </w:rPr>
        <w:t> </w:t>
      </w:r>
      <w:r>
        <w:rPr>
          <w:color w:val="231F20"/>
          <w:w w:val="105"/>
        </w:rPr>
        <w:t>trabajo</w:t>
      </w:r>
      <w:r>
        <w:rPr>
          <w:color w:val="231F20"/>
          <w:spacing w:val="-4"/>
          <w:w w:val="105"/>
        </w:rPr>
        <w:t> </w:t>
      </w:r>
      <w:r>
        <w:rPr>
          <w:color w:val="231F20"/>
          <w:w w:val="105"/>
        </w:rPr>
        <w:t>se</w:t>
      </w:r>
      <w:r>
        <w:rPr>
          <w:color w:val="231F20"/>
          <w:spacing w:val="-4"/>
          <w:w w:val="105"/>
        </w:rPr>
        <w:t> </w:t>
      </w:r>
      <w:r>
        <w:rPr>
          <w:color w:val="231F20"/>
          <w:w w:val="105"/>
        </w:rPr>
        <w:t>hizo</w:t>
      </w:r>
      <w:r>
        <w:rPr>
          <w:color w:val="231F20"/>
          <w:spacing w:val="-4"/>
          <w:w w:val="105"/>
        </w:rPr>
        <w:t> </w:t>
      </w:r>
      <w:r>
        <w:rPr>
          <w:color w:val="231F20"/>
          <w:w w:val="105"/>
        </w:rPr>
        <w:t>la</w:t>
      </w:r>
      <w:r>
        <w:rPr>
          <w:color w:val="231F20"/>
          <w:spacing w:val="-4"/>
          <w:w w:val="105"/>
        </w:rPr>
        <w:t> </w:t>
      </w:r>
      <w:r>
        <w:rPr>
          <w:color w:val="231F20"/>
          <w:w w:val="105"/>
        </w:rPr>
        <w:t>entrega de</w:t>
      </w:r>
      <w:r>
        <w:rPr>
          <w:color w:val="231F20"/>
          <w:spacing w:val="-9"/>
          <w:w w:val="105"/>
        </w:rPr>
        <w:t> </w:t>
      </w:r>
      <w:r>
        <w:rPr>
          <w:color w:val="231F20"/>
          <w:w w:val="105"/>
        </w:rPr>
        <w:t>becas</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diferentes</w:t>
      </w:r>
      <w:r>
        <w:rPr>
          <w:color w:val="231F20"/>
          <w:spacing w:val="-9"/>
          <w:w w:val="105"/>
        </w:rPr>
        <w:t> </w:t>
      </w:r>
      <w:r>
        <w:rPr>
          <w:color w:val="231F20"/>
          <w:w w:val="105"/>
        </w:rPr>
        <w:t>instituciones</w:t>
      </w:r>
      <w:r>
        <w:rPr>
          <w:color w:val="231F20"/>
          <w:spacing w:val="-9"/>
          <w:w w:val="105"/>
        </w:rPr>
        <w:t> </w:t>
      </w:r>
      <w:r>
        <w:rPr>
          <w:color w:val="231F20"/>
          <w:w w:val="105"/>
        </w:rPr>
        <w:t>educativas</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w w:val="105"/>
        </w:rPr>
        <w:t>se</w:t>
      </w:r>
      <w:r>
        <w:rPr>
          <w:color w:val="231F20"/>
          <w:spacing w:val="-9"/>
          <w:w w:val="105"/>
        </w:rPr>
        <w:t> </w:t>
      </w:r>
      <w:r>
        <w:rPr>
          <w:color w:val="231F20"/>
          <w:w w:val="105"/>
        </w:rPr>
        <w:t>inscribieron</w:t>
      </w:r>
      <w:r>
        <w:rPr>
          <w:color w:val="231F20"/>
          <w:spacing w:val="-9"/>
          <w:w w:val="105"/>
        </w:rPr>
        <w:t> </w:t>
      </w:r>
      <w:r>
        <w:rPr>
          <w:color w:val="231F20"/>
          <w:spacing w:val="2"/>
          <w:w w:val="105"/>
        </w:rPr>
        <w:t>al</w:t>
      </w:r>
      <w:r>
        <w:rPr>
          <w:color w:val="231F20"/>
          <w:spacing w:val="-9"/>
          <w:w w:val="105"/>
        </w:rPr>
        <w:t> </w:t>
      </w:r>
      <w:r>
        <w:rPr>
          <w:color w:val="231F20"/>
          <w:w w:val="105"/>
        </w:rPr>
        <w:t>Pro- grama</w:t>
      </w:r>
      <w:r>
        <w:rPr>
          <w:color w:val="231F20"/>
          <w:spacing w:val="-13"/>
          <w:w w:val="105"/>
        </w:rPr>
        <w:t> </w:t>
      </w:r>
      <w:r>
        <w:rPr>
          <w:color w:val="231F20"/>
          <w:w w:val="105"/>
        </w:rPr>
        <w:t>de</w:t>
      </w:r>
      <w:r>
        <w:rPr>
          <w:color w:val="231F20"/>
          <w:spacing w:val="-13"/>
          <w:w w:val="105"/>
        </w:rPr>
        <w:t> </w:t>
      </w:r>
      <w:r>
        <w:rPr>
          <w:color w:val="231F20"/>
          <w:w w:val="105"/>
        </w:rPr>
        <w:t>Becas</w:t>
      </w:r>
      <w:r>
        <w:rPr>
          <w:color w:val="231F20"/>
          <w:spacing w:val="-13"/>
          <w:w w:val="105"/>
        </w:rPr>
        <w:t> </w:t>
      </w:r>
      <w:r>
        <w:rPr>
          <w:color w:val="231F20"/>
          <w:w w:val="105"/>
        </w:rPr>
        <w:t>a</w:t>
      </w:r>
      <w:r>
        <w:rPr>
          <w:color w:val="231F20"/>
          <w:spacing w:val="-13"/>
          <w:w w:val="105"/>
        </w:rPr>
        <w:t> </w:t>
      </w:r>
      <w:r>
        <w:rPr>
          <w:color w:val="231F20"/>
          <w:w w:val="105"/>
        </w:rPr>
        <w:t>más</w:t>
      </w:r>
      <w:r>
        <w:rPr>
          <w:color w:val="231F20"/>
          <w:spacing w:val="-13"/>
          <w:w w:val="105"/>
        </w:rPr>
        <w:t> </w:t>
      </w:r>
      <w:r>
        <w:rPr>
          <w:color w:val="231F20"/>
          <w:w w:val="105"/>
        </w:rPr>
        <w:t>de</w:t>
      </w:r>
      <w:r>
        <w:rPr>
          <w:color w:val="231F20"/>
          <w:spacing w:val="-13"/>
          <w:w w:val="105"/>
        </w:rPr>
        <w:t> </w:t>
      </w:r>
      <w:r>
        <w:rPr>
          <w:color w:val="231F20"/>
          <w:spacing w:val="3"/>
          <w:w w:val="105"/>
        </w:rPr>
        <w:t>300</w:t>
      </w:r>
      <w:r>
        <w:rPr>
          <w:color w:val="231F20"/>
          <w:spacing w:val="-13"/>
          <w:w w:val="105"/>
        </w:rPr>
        <w:t> </w:t>
      </w:r>
      <w:r>
        <w:rPr>
          <w:color w:val="231F20"/>
          <w:w w:val="105"/>
        </w:rPr>
        <w:t>alumnos.</w:t>
      </w:r>
    </w:p>
    <w:p>
      <w:pPr>
        <w:pStyle w:val="BodyText"/>
        <w:spacing w:before="11"/>
        <w:rPr>
          <w:sz w:val="24"/>
        </w:rPr>
      </w:pPr>
    </w:p>
    <w:p>
      <w:pPr>
        <w:pStyle w:val="BodyText"/>
        <w:spacing w:line="280" w:lineRule="auto"/>
        <w:ind w:left="110" w:right="108"/>
        <w:jc w:val="both"/>
      </w:pPr>
      <w:r>
        <w:rPr>
          <w:rFonts w:ascii="Palatino Linotype" w:hAnsi="Palatino Linotype"/>
          <w:i/>
          <w:color w:val="231F20"/>
          <w:w w:val="105"/>
        </w:rPr>
        <w:t>Alumbrado</w:t>
      </w:r>
      <w:r>
        <w:rPr>
          <w:rFonts w:ascii="Palatino Linotype" w:hAnsi="Palatino Linotype"/>
          <w:i/>
          <w:color w:val="231F20"/>
          <w:spacing w:val="-7"/>
          <w:w w:val="105"/>
        </w:rPr>
        <w:t> </w:t>
      </w:r>
      <w:r>
        <w:rPr>
          <w:rFonts w:ascii="Palatino Linotype" w:hAnsi="Palatino Linotype"/>
          <w:i/>
          <w:color w:val="231F20"/>
          <w:w w:val="105"/>
        </w:rPr>
        <w:t>Públic</w:t>
      </w:r>
      <w:r>
        <w:rPr>
          <w:color w:val="231F20"/>
          <w:w w:val="105"/>
        </w:rPr>
        <w:t>o.</w:t>
      </w:r>
      <w:r>
        <w:rPr>
          <w:color w:val="231F20"/>
          <w:spacing w:val="-7"/>
          <w:w w:val="105"/>
        </w:rPr>
        <w:t> </w:t>
      </w:r>
      <w:r>
        <w:rPr>
          <w:color w:val="231F20"/>
          <w:w w:val="105"/>
        </w:rPr>
        <w:t>Del</w:t>
      </w:r>
      <w:r>
        <w:rPr>
          <w:color w:val="231F20"/>
          <w:spacing w:val="-7"/>
          <w:w w:val="105"/>
        </w:rPr>
        <w:t> </w:t>
      </w:r>
      <w:r>
        <w:rPr>
          <w:color w:val="231F20"/>
          <w:w w:val="105"/>
        </w:rPr>
        <w:t>mes</w:t>
      </w:r>
      <w:r>
        <w:rPr>
          <w:color w:val="231F20"/>
          <w:spacing w:val="-7"/>
          <w:w w:val="105"/>
        </w:rPr>
        <w:t> </w:t>
      </w:r>
      <w:r>
        <w:rPr>
          <w:color w:val="231F20"/>
          <w:w w:val="105"/>
        </w:rPr>
        <w:t>de</w:t>
      </w:r>
      <w:r>
        <w:rPr>
          <w:color w:val="231F20"/>
          <w:spacing w:val="-7"/>
          <w:w w:val="105"/>
        </w:rPr>
        <w:t> </w:t>
      </w:r>
      <w:r>
        <w:rPr>
          <w:color w:val="231F20"/>
          <w:w w:val="105"/>
        </w:rPr>
        <w:t>Agosto</w:t>
      </w:r>
      <w:r>
        <w:rPr>
          <w:color w:val="231F20"/>
          <w:spacing w:val="-7"/>
          <w:w w:val="105"/>
        </w:rPr>
        <w:t> </w:t>
      </w:r>
      <w:r>
        <w:rPr>
          <w:color w:val="231F20"/>
          <w:w w:val="105"/>
        </w:rPr>
        <w:t>de</w:t>
      </w:r>
      <w:r>
        <w:rPr>
          <w:color w:val="231F20"/>
          <w:spacing w:val="-7"/>
          <w:w w:val="105"/>
        </w:rPr>
        <w:t> </w:t>
      </w:r>
      <w:r>
        <w:rPr>
          <w:color w:val="231F20"/>
          <w:spacing w:val="2"/>
          <w:w w:val="105"/>
        </w:rPr>
        <w:t>2007</w:t>
      </w:r>
      <w:r>
        <w:rPr>
          <w:color w:val="231F20"/>
          <w:spacing w:val="-7"/>
          <w:w w:val="105"/>
        </w:rPr>
        <w:t> </w:t>
      </w:r>
      <w:r>
        <w:rPr>
          <w:color w:val="231F20"/>
          <w:spacing w:val="2"/>
          <w:w w:val="105"/>
        </w:rPr>
        <w:t>al</w:t>
      </w:r>
      <w:r>
        <w:rPr>
          <w:color w:val="231F20"/>
          <w:spacing w:val="-7"/>
          <w:w w:val="105"/>
        </w:rPr>
        <w:t> </w:t>
      </w:r>
      <w:r>
        <w:rPr>
          <w:color w:val="231F20"/>
          <w:w w:val="105"/>
        </w:rPr>
        <w:t>mes</w:t>
      </w:r>
      <w:r>
        <w:rPr>
          <w:color w:val="231F20"/>
          <w:spacing w:val="-7"/>
          <w:w w:val="105"/>
        </w:rPr>
        <w:t> </w:t>
      </w:r>
      <w:r>
        <w:rPr>
          <w:color w:val="231F20"/>
          <w:w w:val="105"/>
        </w:rPr>
        <w:t>de</w:t>
      </w:r>
      <w:r>
        <w:rPr>
          <w:color w:val="231F20"/>
          <w:spacing w:val="-7"/>
          <w:w w:val="105"/>
        </w:rPr>
        <w:t> </w:t>
      </w:r>
      <w:r>
        <w:rPr>
          <w:color w:val="231F20"/>
          <w:w w:val="105"/>
        </w:rPr>
        <w:t>Julio</w:t>
      </w:r>
      <w:r>
        <w:rPr>
          <w:color w:val="231F20"/>
          <w:spacing w:val="-7"/>
          <w:w w:val="105"/>
        </w:rPr>
        <w:t> </w:t>
      </w:r>
      <w:r>
        <w:rPr>
          <w:color w:val="231F20"/>
          <w:w w:val="105"/>
        </w:rPr>
        <w:t>de</w:t>
      </w:r>
      <w:r>
        <w:rPr>
          <w:color w:val="231F20"/>
          <w:spacing w:val="-7"/>
          <w:w w:val="105"/>
        </w:rPr>
        <w:t> </w:t>
      </w:r>
      <w:r>
        <w:rPr>
          <w:color w:val="231F20"/>
          <w:spacing w:val="3"/>
          <w:w w:val="105"/>
        </w:rPr>
        <w:t>2008,</w:t>
      </w:r>
      <w:r>
        <w:rPr>
          <w:color w:val="231F20"/>
          <w:spacing w:val="-7"/>
          <w:w w:val="105"/>
        </w:rPr>
        <w:t> </w:t>
      </w:r>
      <w:r>
        <w:rPr>
          <w:color w:val="231F20"/>
          <w:w w:val="105"/>
        </w:rPr>
        <w:t>se</w:t>
      </w:r>
      <w:r>
        <w:rPr>
          <w:color w:val="231F20"/>
          <w:spacing w:val="-7"/>
          <w:w w:val="105"/>
        </w:rPr>
        <w:t> </w:t>
      </w:r>
      <w:r>
        <w:rPr>
          <w:color w:val="231F20"/>
          <w:w w:val="105"/>
        </w:rPr>
        <w:t>cubrieron las demandas en materia de alumbrado público. Hubo participación de la gente en los comités</w:t>
      </w:r>
      <w:r>
        <w:rPr>
          <w:color w:val="231F20"/>
          <w:spacing w:val="-8"/>
          <w:w w:val="105"/>
        </w:rPr>
        <w:t> </w:t>
      </w:r>
      <w:r>
        <w:rPr>
          <w:color w:val="231F20"/>
          <w:w w:val="105"/>
        </w:rPr>
        <w:t>que</w:t>
      </w:r>
      <w:r>
        <w:rPr>
          <w:color w:val="231F20"/>
          <w:spacing w:val="-8"/>
          <w:w w:val="105"/>
        </w:rPr>
        <w:t> </w:t>
      </w:r>
      <w:r>
        <w:rPr>
          <w:color w:val="231F20"/>
          <w:w w:val="105"/>
        </w:rPr>
        <w:t>combaten</w:t>
      </w:r>
      <w:r>
        <w:rPr>
          <w:color w:val="231F20"/>
          <w:spacing w:val="-8"/>
          <w:w w:val="105"/>
        </w:rPr>
        <w:t> </w:t>
      </w:r>
      <w:r>
        <w:rPr>
          <w:color w:val="231F20"/>
          <w:w w:val="105"/>
        </w:rPr>
        <w:t>el</w:t>
      </w:r>
      <w:r>
        <w:rPr>
          <w:color w:val="231F20"/>
          <w:spacing w:val="-8"/>
          <w:w w:val="105"/>
        </w:rPr>
        <w:t> </w:t>
      </w:r>
      <w:r>
        <w:rPr>
          <w:color w:val="231F20"/>
          <w:w w:val="105"/>
        </w:rPr>
        <w:t>robo</w:t>
      </w:r>
      <w:r>
        <w:rPr>
          <w:color w:val="231F20"/>
          <w:spacing w:val="-8"/>
          <w:w w:val="105"/>
        </w:rPr>
        <w:t> </w:t>
      </w:r>
      <w:r>
        <w:rPr>
          <w:color w:val="231F20"/>
          <w:w w:val="105"/>
        </w:rPr>
        <w:t>de</w:t>
      </w:r>
      <w:r>
        <w:rPr>
          <w:color w:val="231F20"/>
          <w:spacing w:val="-8"/>
          <w:w w:val="105"/>
        </w:rPr>
        <w:t> </w:t>
      </w:r>
      <w:r>
        <w:rPr>
          <w:color w:val="231F20"/>
          <w:w w:val="105"/>
        </w:rPr>
        <w:t>cables.</w:t>
      </w:r>
      <w:r>
        <w:rPr>
          <w:color w:val="231F20"/>
          <w:spacing w:val="-8"/>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rubro</w:t>
      </w:r>
      <w:r>
        <w:rPr>
          <w:color w:val="231F20"/>
          <w:spacing w:val="-8"/>
          <w:w w:val="105"/>
        </w:rPr>
        <w:t> </w:t>
      </w:r>
      <w:r>
        <w:rPr>
          <w:color w:val="231F20"/>
          <w:w w:val="105"/>
        </w:rPr>
        <w:t>sobre</w:t>
      </w:r>
      <w:r>
        <w:rPr>
          <w:color w:val="231F20"/>
          <w:spacing w:val="-8"/>
          <w:w w:val="105"/>
        </w:rPr>
        <w:t> </w:t>
      </w:r>
      <w:r>
        <w:rPr>
          <w:color w:val="231F20"/>
          <w:w w:val="105"/>
        </w:rPr>
        <w:t>todo</w:t>
      </w:r>
      <w:r>
        <w:rPr>
          <w:color w:val="231F20"/>
          <w:spacing w:val="-8"/>
          <w:w w:val="105"/>
        </w:rPr>
        <w:t> </w:t>
      </w:r>
      <w:r>
        <w:rPr>
          <w:color w:val="231F20"/>
          <w:w w:val="105"/>
        </w:rPr>
        <w:t>se</w:t>
      </w:r>
      <w:r>
        <w:rPr>
          <w:color w:val="231F20"/>
          <w:spacing w:val="-8"/>
          <w:w w:val="105"/>
        </w:rPr>
        <w:t> </w:t>
      </w:r>
      <w:r>
        <w:rPr>
          <w:color w:val="231F20"/>
          <w:w w:val="105"/>
        </w:rPr>
        <w:t>repara</w:t>
      </w:r>
      <w:r>
        <w:rPr>
          <w:color w:val="231F20"/>
          <w:spacing w:val="-8"/>
          <w:w w:val="105"/>
        </w:rPr>
        <w:t> </w:t>
      </w:r>
      <w:r>
        <w:rPr>
          <w:color w:val="231F20"/>
          <w:w w:val="105"/>
        </w:rPr>
        <w:t>y</w:t>
      </w:r>
      <w:r>
        <w:rPr>
          <w:color w:val="231F20"/>
          <w:spacing w:val="-8"/>
          <w:w w:val="105"/>
        </w:rPr>
        <w:t> </w:t>
      </w:r>
      <w:r>
        <w:rPr>
          <w:color w:val="231F20"/>
          <w:w w:val="105"/>
        </w:rPr>
        <w:t>mantiene en</w:t>
      </w:r>
      <w:r>
        <w:rPr>
          <w:color w:val="231F20"/>
          <w:spacing w:val="-19"/>
          <w:w w:val="105"/>
        </w:rPr>
        <w:t> </w:t>
      </w:r>
      <w:r>
        <w:rPr>
          <w:color w:val="231F20"/>
          <w:w w:val="105"/>
        </w:rPr>
        <w:t>condiciones</w:t>
      </w:r>
      <w:r>
        <w:rPr>
          <w:color w:val="231F20"/>
          <w:spacing w:val="-19"/>
          <w:w w:val="105"/>
        </w:rPr>
        <w:t> </w:t>
      </w:r>
      <w:r>
        <w:rPr>
          <w:color w:val="231F20"/>
          <w:w w:val="105"/>
        </w:rPr>
        <w:t>óptimas</w:t>
      </w:r>
      <w:r>
        <w:rPr>
          <w:color w:val="231F20"/>
          <w:spacing w:val="-19"/>
          <w:w w:val="105"/>
        </w:rPr>
        <w:t> </w:t>
      </w:r>
      <w:r>
        <w:rPr>
          <w:color w:val="231F20"/>
          <w:w w:val="105"/>
        </w:rPr>
        <w:t>la</w:t>
      </w:r>
      <w:r>
        <w:rPr>
          <w:color w:val="231F20"/>
          <w:spacing w:val="-19"/>
          <w:w w:val="105"/>
        </w:rPr>
        <w:t> </w:t>
      </w:r>
      <w:r>
        <w:rPr>
          <w:color w:val="231F20"/>
          <w:w w:val="105"/>
        </w:rPr>
        <w:t>red</w:t>
      </w:r>
      <w:r>
        <w:rPr>
          <w:color w:val="231F20"/>
          <w:spacing w:val="-19"/>
          <w:w w:val="105"/>
        </w:rPr>
        <w:t> </w:t>
      </w:r>
      <w:r>
        <w:rPr>
          <w:color w:val="231F20"/>
          <w:w w:val="105"/>
        </w:rPr>
        <w:t>de</w:t>
      </w:r>
      <w:r>
        <w:rPr>
          <w:color w:val="231F20"/>
          <w:spacing w:val="-19"/>
          <w:w w:val="105"/>
        </w:rPr>
        <w:t> </w:t>
      </w:r>
      <w:r>
        <w:rPr>
          <w:color w:val="231F20"/>
          <w:w w:val="105"/>
        </w:rPr>
        <w:t>alumbrado</w:t>
      </w:r>
      <w:r>
        <w:rPr>
          <w:color w:val="231F20"/>
          <w:spacing w:val="-19"/>
          <w:w w:val="105"/>
        </w:rPr>
        <w:t> </w:t>
      </w:r>
      <w:r>
        <w:rPr>
          <w:color w:val="231F20"/>
          <w:w w:val="105"/>
        </w:rPr>
        <w:t>público.</w:t>
      </w:r>
      <w:r>
        <w:rPr>
          <w:color w:val="231F20"/>
          <w:spacing w:val="-19"/>
          <w:w w:val="105"/>
        </w:rPr>
        <w:t> </w:t>
      </w:r>
      <w:r>
        <w:rPr>
          <w:color w:val="231F20"/>
          <w:w w:val="105"/>
        </w:rPr>
        <w:t>El</w:t>
      </w:r>
      <w:r>
        <w:rPr>
          <w:color w:val="231F20"/>
          <w:spacing w:val="-19"/>
          <w:w w:val="105"/>
        </w:rPr>
        <w:t> </w:t>
      </w:r>
      <w:r>
        <w:rPr>
          <w:color w:val="231F20"/>
          <w:w w:val="105"/>
        </w:rPr>
        <w:t>total</w:t>
      </w:r>
      <w:r>
        <w:rPr>
          <w:color w:val="231F20"/>
          <w:spacing w:val="-19"/>
          <w:w w:val="105"/>
        </w:rPr>
        <w:t> </w:t>
      </w:r>
      <w:r>
        <w:rPr>
          <w:color w:val="231F20"/>
          <w:w w:val="105"/>
        </w:rPr>
        <w:t>de</w:t>
      </w:r>
      <w:r>
        <w:rPr>
          <w:color w:val="231F20"/>
          <w:spacing w:val="-19"/>
          <w:w w:val="105"/>
        </w:rPr>
        <w:t> </w:t>
      </w:r>
      <w:r>
        <w:rPr>
          <w:color w:val="231F20"/>
          <w:w w:val="105"/>
        </w:rPr>
        <w:t>lámparas</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les realizó</w:t>
      </w:r>
      <w:r>
        <w:rPr>
          <w:color w:val="231F20"/>
          <w:spacing w:val="-7"/>
          <w:w w:val="105"/>
        </w:rPr>
        <w:t> </w:t>
      </w:r>
      <w:r>
        <w:rPr>
          <w:color w:val="231F20"/>
          <w:w w:val="105"/>
        </w:rPr>
        <w:t>mantenimiento</w:t>
      </w:r>
      <w:r>
        <w:rPr>
          <w:color w:val="231F20"/>
          <w:spacing w:val="-7"/>
          <w:w w:val="105"/>
        </w:rPr>
        <w:t> </w:t>
      </w:r>
      <w:r>
        <w:rPr>
          <w:color w:val="231F20"/>
          <w:w w:val="105"/>
        </w:rPr>
        <w:t>y</w:t>
      </w:r>
      <w:r>
        <w:rPr>
          <w:color w:val="231F20"/>
          <w:spacing w:val="-7"/>
          <w:w w:val="105"/>
        </w:rPr>
        <w:t> </w:t>
      </w:r>
      <w:r>
        <w:rPr>
          <w:color w:val="231F20"/>
          <w:w w:val="105"/>
        </w:rPr>
        <w:t>reparación</w:t>
      </w:r>
      <w:r>
        <w:rPr>
          <w:color w:val="231F20"/>
          <w:spacing w:val="-7"/>
          <w:w w:val="105"/>
        </w:rPr>
        <w:t> </w:t>
      </w:r>
      <w:r>
        <w:rPr>
          <w:color w:val="231F20"/>
          <w:w w:val="105"/>
        </w:rPr>
        <w:t>durante</w:t>
      </w:r>
      <w:r>
        <w:rPr>
          <w:color w:val="231F20"/>
          <w:spacing w:val="-7"/>
          <w:w w:val="105"/>
        </w:rPr>
        <w:t> </w:t>
      </w:r>
      <w:r>
        <w:rPr>
          <w:color w:val="231F20"/>
          <w:w w:val="105"/>
        </w:rPr>
        <w:t>los</w:t>
      </w:r>
      <w:r>
        <w:rPr>
          <w:color w:val="231F20"/>
          <w:spacing w:val="-7"/>
          <w:w w:val="105"/>
        </w:rPr>
        <w:t> </w:t>
      </w:r>
      <w:r>
        <w:rPr>
          <w:color w:val="231F20"/>
          <w:w w:val="105"/>
        </w:rPr>
        <w:t>12</w:t>
      </w:r>
      <w:r>
        <w:rPr>
          <w:color w:val="231F20"/>
          <w:spacing w:val="-7"/>
          <w:w w:val="105"/>
        </w:rPr>
        <w:t> </w:t>
      </w:r>
      <w:r>
        <w:rPr>
          <w:color w:val="231F20"/>
          <w:w w:val="105"/>
        </w:rPr>
        <w:t>meses</w:t>
      </w:r>
      <w:r>
        <w:rPr>
          <w:color w:val="231F20"/>
          <w:spacing w:val="-7"/>
          <w:w w:val="105"/>
        </w:rPr>
        <w:t> </w:t>
      </w:r>
      <w:r>
        <w:rPr>
          <w:color w:val="231F20"/>
          <w:w w:val="105"/>
        </w:rPr>
        <w:t>del</w:t>
      </w:r>
      <w:r>
        <w:rPr>
          <w:color w:val="231F20"/>
          <w:spacing w:val="-7"/>
          <w:w w:val="105"/>
        </w:rPr>
        <w:t> </w:t>
      </w:r>
      <w:r>
        <w:rPr>
          <w:color w:val="231F20"/>
          <w:w w:val="105"/>
        </w:rPr>
        <w:t>segundo</w:t>
      </w:r>
      <w:r>
        <w:rPr>
          <w:color w:val="231F20"/>
          <w:spacing w:val="-7"/>
          <w:w w:val="105"/>
        </w:rPr>
        <w:t> </w:t>
      </w:r>
      <w:r>
        <w:rPr>
          <w:color w:val="231F20"/>
          <w:w w:val="105"/>
        </w:rPr>
        <w:t>año</w:t>
      </w:r>
      <w:r>
        <w:rPr>
          <w:color w:val="231F20"/>
          <w:spacing w:val="-7"/>
          <w:w w:val="105"/>
        </w:rPr>
        <w:t> </w:t>
      </w:r>
      <w:r>
        <w:rPr>
          <w:color w:val="231F20"/>
          <w:w w:val="105"/>
        </w:rPr>
        <w:t>de</w:t>
      </w:r>
      <w:r>
        <w:rPr>
          <w:color w:val="231F20"/>
          <w:spacing w:val="-7"/>
          <w:w w:val="105"/>
        </w:rPr>
        <w:t> </w:t>
      </w:r>
      <w:r>
        <w:rPr>
          <w:color w:val="231F20"/>
          <w:w w:val="105"/>
        </w:rPr>
        <w:t>gobierno fue de 605</w:t>
      </w:r>
      <w:r>
        <w:rPr>
          <w:color w:val="231F20"/>
          <w:spacing w:val="-42"/>
          <w:w w:val="105"/>
        </w:rPr>
        <w:t> </w:t>
      </w:r>
      <w:r>
        <w:rPr>
          <w:color w:val="231F20"/>
          <w:w w:val="105"/>
        </w:rPr>
        <w:t>lámparas.</w:t>
      </w:r>
    </w:p>
    <w:p>
      <w:pPr>
        <w:pStyle w:val="BodyText"/>
        <w:spacing w:before="4"/>
        <w:rPr>
          <w:sz w:val="24"/>
        </w:rPr>
      </w:pPr>
    </w:p>
    <w:p>
      <w:pPr>
        <w:pStyle w:val="BodyText"/>
        <w:spacing w:line="276" w:lineRule="auto"/>
        <w:ind w:left="110" w:right="108"/>
        <w:jc w:val="both"/>
      </w:pPr>
      <w:r>
        <w:rPr>
          <w:rFonts w:ascii="Palatino Linotype" w:hAnsi="Palatino Linotype"/>
          <w:i/>
          <w:color w:val="231F20"/>
          <w:w w:val="105"/>
        </w:rPr>
        <w:t>Desarrollo Urbano y Obras Públicas</w:t>
      </w:r>
      <w:r>
        <w:rPr>
          <w:color w:val="231F20"/>
          <w:w w:val="105"/>
        </w:rPr>
        <w:t>. En el año </w:t>
      </w:r>
      <w:r>
        <w:rPr>
          <w:color w:val="231F20"/>
          <w:spacing w:val="2"/>
          <w:w w:val="105"/>
        </w:rPr>
        <w:t>2007 </w:t>
      </w:r>
      <w:r>
        <w:rPr>
          <w:color w:val="231F20"/>
          <w:w w:val="105"/>
        </w:rPr>
        <w:t>se logró realizar en la Cabecera Municipal</w:t>
      </w:r>
      <w:r>
        <w:rPr>
          <w:color w:val="231F20"/>
          <w:spacing w:val="-9"/>
          <w:w w:val="105"/>
        </w:rPr>
        <w:t> </w:t>
      </w:r>
      <w:r>
        <w:rPr>
          <w:color w:val="231F20"/>
          <w:w w:val="105"/>
        </w:rPr>
        <w:t>7</w:t>
      </w:r>
      <w:r>
        <w:rPr>
          <w:color w:val="231F20"/>
          <w:spacing w:val="-9"/>
          <w:w w:val="105"/>
        </w:rPr>
        <w:t> </w:t>
      </w:r>
      <w:r>
        <w:rPr>
          <w:color w:val="231F20"/>
          <w:w w:val="105"/>
        </w:rPr>
        <w:t>obras,</w:t>
      </w:r>
      <w:r>
        <w:rPr>
          <w:color w:val="231F20"/>
          <w:spacing w:val="-9"/>
          <w:w w:val="105"/>
        </w:rPr>
        <w:t> </w:t>
      </w:r>
      <w:r>
        <w:rPr>
          <w:color w:val="231F20"/>
          <w:w w:val="105"/>
        </w:rPr>
        <w:t>con</w:t>
      </w:r>
      <w:r>
        <w:rPr>
          <w:color w:val="231F20"/>
          <w:spacing w:val="-9"/>
          <w:w w:val="105"/>
        </w:rPr>
        <w:t> </w:t>
      </w:r>
      <w:r>
        <w:rPr>
          <w:color w:val="231F20"/>
          <w:w w:val="105"/>
        </w:rPr>
        <w:t>recursos</w:t>
      </w:r>
      <w:r>
        <w:rPr>
          <w:color w:val="231F20"/>
          <w:spacing w:val="-9"/>
          <w:w w:val="105"/>
        </w:rPr>
        <w:t> </w:t>
      </w:r>
      <w:r>
        <w:rPr>
          <w:color w:val="231F20"/>
          <w:spacing w:val="-3"/>
          <w:w w:val="105"/>
        </w:rPr>
        <w:t>70</w:t>
      </w:r>
      <w:r>
        <w:rPr>
          <w:color w:val="231F20"/>
          <w:spacing w:val="-9"/>
          <w:w w:val="105"/>
        </w:rPr>
        <w:t> </w:t>
      </w:r>
      <w:r>
        <w:rPr>
          <w:color w:val="231F20"/>
          <w:w w:val="105"/>
        </w:rPr>
        <w:t>por</w:t>
      </w:r>
      <w:r>
        <w:rPr>
          <w:color w:val="231F20"/>
          <w:spacing w:val="-9"/>
          <w:w w:val="105"/>
        </w:rPr>
        <w:t> </w:t>
      </w:r>
      <w:r>
        <w:rPr>
          <w:color w:val="231F20"/>
          <w:w w:val="105"/>
        </w:rPr>
        <w:t>ciento</w:t>
      </w:r>
      <w:r>
        <w:rPr>
          <w:color w:val="231F20"/>
          <w:spacing w:val="-9"/>
          <w:w w:val="105"/>
        </w:rPr>
        <w:t> </w:t>
      </w:r>
      <w:r>
        <w:rPr>
          <w:color w:val="231F20"/>
          <w:w w:val="105"/>
        </w:rPr>
        <w:t>provenientes</w:t>
      </w:r>
      <w:r>
        <w:rPr>
          <w:color w:val="231F20"/>
          <w:spacing w:val="-9"/>
          <w:w w:val="105"/>
        </w:rPr>
        <w:t> </w:t>
      </w:r>
      <w:r>
        <w:rPr>
          <w:color w:val="231F20"/>
          <w:w w:val="105"/>
        </w:rPr>
        <w:t>del</w:t>
      </w:r>
      <w:r>
        <w:rPr>
          <w:color w:val="231F20"/>
          <w:spacing w:val="-9"/>
          <w:w w:val="105"/>
        </w:rPr>
        <w:t> </w:t>
      </w:r>
      <w:r>
        <w:rPr>
          <w:color w:val="231F20"/>
          <w:spacing w:val="-6"/>
          <w:w w:val="105"/>
        </w:rPr>
        <w:t>PAGIM</w:t>
      </w:r>
      <w:r>
        <w:rPr>
          <w:color w:val="231F20"/>
          <w:spacing w:val="-9"/>
          <w:w w:val="105"/>
        </w:rPr>
        <w:t> </w:t>
      </w:r>
      <w:r>
        <w:rPr>
          <w:color w:val="231F20"/>
          <w:w w:val="105"/>
        </w:rPr>
        <w:t>y</w:t>
      </w:r>
      <w:r>
        <w:rPr>
          <w:color w:val="231F20"/>
          <w:spacing w:val="-9"/>
          <w:w w:val="105"/>
        </w:rPr>
        <w:t> </w:t>
      </w:r>
      <w:r>
        <w:rPr>
          <w:color w:val="231F20"/>
          <w:w w:val="105"/>
        </w:rPr>
        <w:t>30</w:t>
      </w:r>
      <w:r>
        <w:rPr>
          <w:color w:val="231F20"/>
          <w:spacing w:val="-9"/>
          <w:w w:val="105"/>
        </w:rPr>
        <w:t> </w:t>
      </w:r>
      <w:r>
        <w:rPr>
          <w:color w:val="231F20"/>
          <w:w w:val="105"/>
        </w:rPr>
        <w:t>por</w:t>
      </w:r>
      <w:r>
        <w:rPr>
          <w:color w:val="231F20"/>
          <w:spacing w:val="-9"/>
          <w:w w:val="105"/>
        </w:rPr>
        <w:t> </w:t>
      </w:r>
      <w:r>
        <w:rPr>
          <w:color w:val="231F20"/>
          <w:w w:val="105"/>
        </w:rPr>
        <w:t>ciento del </w:t>
      </w:r>
      <w:r>
        <w:rPr>
          <w:color w:val="231F20"/>
          <w:spacing w:val="-3"/>
          <w:w w:val="105"/>
        </w:rPr>
        <w:t>Fondo </w:t>
      </w:r>
      <w:r>
        <w:rPr>
          <w:color w:val="231F20"/>
          <w:w w:val="105"/>
        </w:rPr>
        <w:t>de Infraestructura Social Municipal, para una inversión total de 6 millones 545</w:t>
      </w:r>
      <w:r>
        <w:rPr>
          <w:color w:val="231F20"/>
          <w:spacing w:val="-23"/>
          <w:w w:val="105"/>
        </w:rPr>
        <w:t> </w:t>
      </w:r>
      <w:r>
        <w:rPr>
          <w:color w:val="231F20"/>
          <w:spacing w:val="2"/>
          <w:w w:val="105"/>
        </w:rPr>
        <w:t>mil</w:t>
      </w:r>
      <w:r>
        <w:rPr>
          <w:color w:val="231F20"/>
          <w:spacing w:val="-23"/>
          <w:w w:val="105"/>
        </w:rPr>
        <w:t> </w:t>
      </w:r>
      <w:r>
        <w:rPr>
          <w:color w:val="231F20"/>
          <w:spacing w:val="-5"/>
          <w:w w:val="105"/>
        </w:rPr>
        <w:t>149</w:t>
      </w:r>
      <w:r>
        <w:rPr>
          <w:color w:val="231F20"/>
          <w:spacing w:val="-23"/>
          <w:w w:val="105"/>
        </w:rPr>
        <w:t> </w:t>
      </w:r>
      <w:r>
        <w:rPr>
          <w:color w:val="231F20"/>
          <w:w w:val="105"/>
        </w:rPr>
        <w:t>pesos.</w:t>
      </w:r>
    </w:p>
    <w:p>
      <w:pPr>
        <w:pStyle w:val="BodyText"/>
        <w:spacing w:before="8"/>
        <w:rPr>
          <w:sz w:val="24"/>
        </w:rPr>
      </w:pPr>
    </w:p>
    <w:p>
      <w:pPr>
        <w:pStyle w:val="BodyText"/>
        <w:spacing w:line="276" w:lineRule="auto" w:before="1"/>
        <w:ind w:left="110" w:right="107"/>
        <w:jc w:val="both"/>
      </w:pPr>
      <w:r>
        <w:rPr>
          <w:rFonts w:ascii="Palatino Linotype" w:hAnsi="Palatino Linotype"/>
          <w:i/>
          <w:color w:val="231F20"/>
          <w:w w:val="105"/>
        </w:rPr>
        <w:t>Agua</w:t>
      </w:r>
      <w:r>
        <w:rPr>
          <w:rFonts w:ascii="Palatino Linotype" w:hAnsi="Palatino Linotype"/>
          <w:i/>
          <w:color w:val="231F20"/>
          <w:spacing w:val="-16"/>
          <w:w w:val="105"/>
        </w:rPr>
        <w:t> </w:t>
      </w:r>
      <w:r>
        <w:rPr>
          <w:rFonts w:ascii="Palatino Linotype" w:hAnsi="Palatino Linotype"/>
          <w:i/>
          <w:color w:val="231F20"/>
          <w:w w:val="105"/>
        </w:rPr>
        <w:t>Potable</w:t>
      </w:r>
      <w:r>
        <w:rPr>
          <w:rFonts w:ascii="Palatino Linotype" w:hAnsi="Palatino Linotype"/>
          <w:i/>
          <w:color w:val="231F20"/>
          <w:spacing w:val="-16"/>
          <w:w w:val="105"/>
        </w:rPr>
        <w:t> </w:t>
      </w:r>
      <w:r>
        <w:rPr>
          <w:rFonts w:ascii="Palatino Linotype" w:hAnsi="Palatino Linotype"/>
          <w:i/>
          <w:color w:val="231F20"/>
          <w:w w:val="105"/>
        </w:rPr>
        <w:t>y</w:t>
      </w:r>
      <w:r>
        <w:rPr>
          <w:rFonts w:ascii="Palatino Linotype" w:hAnsi="Palatino Linotype"/>
          <w:i/>
          <w:color w:val="231F20"/>
          <w:spacing w:val="-16"/>
          <w:w w:val="105"/>
        </w:rPr>
        <w:t> </w:t>
      </w:r>
      <w:r>
        <w:rPr>
          <w:rFonts w:ascii="Palatino Linotype" w:hAnsi="Palatino Linotype"/>
          <w:i/>
          <w:color w:val="231F20"/>
          <w:w w:val="105"/>
        </w:rPr>
        <w:t>Drenaje</w:t>
      </w:r>
      <w:r>
        <w:rPr>
          <w:color w:val="231F20"/>
          <w:w w:val="105"/>
        </w:rPr>
        <w:t>.</w:t>
      </w:r>
      <w:r>
        <w:rPr>
          <w:color w:val="231F20"/>
          <w:spacing w:val="-16"/>
          <w:w w:val="105"/>
        </w:rPr>
        <w:t> </w:t>
      </w:r>
      <w:r>
        <w:rPr>
          <w:color w:val="231F20"/>
          <w:w w:val="105"/>
        </w:rPr>
        <w:t>En</w:t>
      </w:r>
      <w:r>
        <w:rPr>
          <w:color w:val="231F20"/>
          <w:spacing w:val="-16"/>
          <w:w w:val="105"/>
        </w:rPr>
        <w:t> </w:t>
      </w:r>
      <w:r>
        <w:rPr>
          <w:color w:val="231F20"/>
          <w:w w:val="105"/>
        </w:rPr>
        <w:t>obra</w:t>
      </w:r>
      <w:r>
        <w:rPr>
          <w:color w:val="231F20"/>
          <w:spacing w:val="-16"/>
          <w:w w:val="105"/>
        </w:rPr>
        <w:t> </w:t>
      </w:r>
      <w:r>
        <w:rPr>
          <w:color w:val="231F20"/>
          <w:w w:val="105"/>
        </w:rPr>
        <w:t>hidráulica</w:t>
      </w:r>
      <w:r>
        <w:rPr>
          <w:color w:val="231F20"/>
          <w:spacing w:val="-16"/>
          <w:w w:val="105"/>
        </w:rPr>
        <w:t> </w:t>
      </w:r>
      <w:r>
        <w:rPr>
          <w:color w:val="231F20"/>
          <w:w w:val="105"/>
        </w:rPr>
        <w:t>se</w:t>
      </w:r>
      <w:r>
        <w:rPr>
          <w:color w:val="231F20"/>
          <w:spacing w:val="-16"/>
          <w:w w:val="105"/>
        </w:rPr>
        <w:t> </w:t>
      </w:r>
      <w:r>
        <w:rPr>
          <w:color w:val="231F20"/>
          <w:w w:val="105"/>
        </w:rPr>
        <w:t>dio</w:t>
      </w:r>
      <w:r>
        <w:rPr>
          <w:color w:val="231F20"/>
          <w:spacing w:val="-16"/>
          <w:w w:val="105"/>
        </w:rPr>
        <w:t> </w:t>
      </w:r>
      <w:r>
        <w:rPr>
          <w:color w:val="231F20"/>
          <w:w w:val="105"/>
        </w:rPr>
        <w:t>la</w:t>
      </w:r>
      <w:r>
        <w:rPr>
          <w:color w:val="231F20"/>
          <w:spacing w:val="-16"/>
          <w:w w:val="105"/>
        </w:rPr>
        <w:t> </w:t>
      </w:r>
      <w:r>
        <w:rPr>
          <w:color w:val="231F20"/>
          <w:w w:val="105"/>
        </w:rPr>
        <w:t>construcción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línea</w:t>
      </w:r>
      <w:r>
        <w:rPr>
          <w:color w:val="231F20"/>
          <w:spacing w:val="-16"/>
          <w:w w:val="105"/>
        </w:rPr>
        <w:t> </w:t>
      </w:r>
      <w:r>
        <w:rPr>
          <w:color w:val="231F20"/>
          <w:w w:val="105"/>
        </w:rPr>
        <w:t>de</w:t>
      </w:r>
      <w:r>
        <w:rPr>
          <w:color w:val="231F20"/>
          <w:spacing w:val="-16"/>
          <w:w w:val="105"/>
        </w:rPr>
        <w:t> </w:t>
      </w:r>
      <w:r>
        <w:rPr>
          <w:color w:val="231F20"/>
          <w:w w:val="105"/>
        </w:rPr>
        <w:t>drenaje en</w:t>
      </w:r>
      <w:r>
        <w:rPr>
          <w:color w:val="231F20"/>
          <w:spacing w:val="-20"/>
          <w:w w:val="105"/>
        </w:rPr>
        <w:t> </w:t>
      </w:r>
      <w:r>
        <w:rPr>
          <w:color w:val="231F20"/>
          <w:w w:val="105"/>
        </w:rPr>
        <w:t>las</w:t>
      </w:r>
      <w:r>
        <w:rPr>
          <w:color w:val="231F20"/>
          <w:spacing w:val="-20"/>
          <w:w w:val="105"/>
        </w:rPr>
        <w:t> </w:t>
      </w:r>
      <w:r>
        <w:rPr>
          <w:color w:val="231F20"/>
          <w:w w:val="105"/>
        </w:rPr>
        <w:t>calles,</w:t>
      </w:r>
      <w:r>
        <w:rPr>
          <w:color w:val="231F20"/>
          <w:spacing w:val="-20"/>
          <w:w w:val="105"/>
        </w:rPr>
        <w:t> </w:t>
      </w:r>
      <w:r>
        <w:rPr>
          <w:color w:val="231F20"/>
          <w:w w:val="105"/>
        </w:rPr>
        <w:t>Pensador</w:t>
      </w:r>
      <w:r>
        <w:rPr>
          <w:color w:val="231F20"/>
          <w:spacing w:val="-20"/>
          <w:w w:val="105"/>
        </w:rPr>
        <w:t> </w:t>
      </w:r>
      <w:r>
        <w:rPr>
          <w:color w:val="231F20"/>
          <w:w w:val="105"/>
        </w:rPr>
        <w:t>Mexicano,</w:t>
      </w:r>
      <w:r>
        <w:rPr>
          <w:color w:val="231F20"/>
          <w:spacing w:val="-20"/>
          <w:w w:val="105"/>
        </w:rPr>
        <w:t> </w:t>
      </w:r>
      <w:r>
        <w:rPr>
          <w:color w:val="231F20"/>
          <w:w w:val="105"/>
        </w:rPr>
        <w:t>Guerrero</w:t>
      </w:r>
      <w:r>
        <w:rPr>
          <w:color w:val="231F20"/>
          <w:spacing w:val="-20"/>
          <w:w w:val="105"/>
        </w:rPr>
        <w:t> </w:t>
      </w:r>
      <w:r>
        <w:rPr>
          <w:color w:val="231F20"/>
          <w:w w:val="105"/>
        </w:rPr>
        <w:t>y</w:t>
      </w:r>
      <w:r>
        <w:rPr>
          <w:color w:val="231F20"/>
          <w:spacing w:val="-20"/>
          <w:w w:val="105"/>
        </w:rPr>
        <w:t> </w:t>
      </w:r>
      <w:r>
        <w:rPr>
          <w:color w:val="231F20"/>
          <w:w w:val="105"/>
        </w:rPr>
        <w:t>Juárez;</w:t>
      </w:r>
      <w:r>
        <w:rPr>
          <w:color w:val="231F20"/>
          <w:spacing w:val="-20"/>
          <w:w w:val="105"/>
        </w:rPr>
        <w:t> </w:t>
      </w:r>
      <w:r>
        <w:rPr>
          <w:color w:val="231F20"/>
          <w:w w:val="105"/>
        </w:rPr>
        <w:t>la</w:t>
      </w:r>
      <w:r>
        <w:rPr>
          <w:color w:val="231F20"/>
          <w:spacing w:val="-20"/>
          <w:w w:val="105"/>
        </w:rPr>
        <w:t> </w:t>
      </w:r>
      <w:r>
        <w:rPr>
          <w:color w:val="231F20"/>
          <w:w w:val="105"/>
        </w:rPr>
        <w:t>gestión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reestructuración</w:t>
      </w:r>
      <w:r>
        <w:rPr>
          <w:color w:val="231F20"/>
          <w:spacing w:val="-20"/>
          <w:w w:val="105"/>
        </w:rPr>
        <w:t> </w:t>
      </w:r>
      <w:r>
        <w:rPr>
          <w:color w:val="231F20"/>
          <w:w w:val="105"/>
        </w:rPr>
        <w:t>de la</w:t>
      </w:r>
      <w:r>
        <w:rPr>
          <w:color w:val="231F20"/>
          <w:spacing w:val="-16"/>
          <w:w w:val="105"/>
        </w:rPr>
        <w:t> </w:t>
      </w:r>
      <w:r>
        <w:rPr>
          <w:color w:val="231F20"/>
          <w:w w:val="105"/>
        </w:rPr>
        <w:t>red</w:t>
      </w:r>
      <w:r>
        <w:rPr>
          <w:color w:val="231F20"/>
          <w:spacing w:val="-16"/>
          <w:w w:val="105"/>
        </w:rPr>
        <w:t> </w:t>
      </w:r>
      <w:r>
        <w:rPr>
          <w:color w:val="231F20"/>
          <w:w w:val="105"/>
        </w:rPr>
        <w:t>de</w:t>
      </w:r>
      <w:r>
        <w:rPr>
          <w:color w:val="231F20"/>
          <w:spacing w:val="-16"/>
          <w:w w:val="105"/>
        </w:rPr>
        <w:t> </w:t>
      </w:r>
      <w:r>
        <w:rPr>
          <w:color w:val="231F20"/>
          <w:w w:val="105"/>
        </w:rPr>
        <w:t>agua</w:t>
      </w:r>
      <w:r>
        <w:rPr>
          <w:color w:val="231F20"/>
          <w:spacing w:val="-16"/>
          <w:w w:val="105"/>
        </w:rPr>
        <w:t> </w:t>
      </w:r>
      <w:r>
        <w:rPr>
          <w:color w:val="231F20"/>
          <w:w w:val="105"/>
        </w:rPr>
        <w:t>potable</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Cabecera</w:t>
      </w:r>
      <w:r>
        <w:rPr>
          <w:color w:val="231F20"/>
          <w:spacing w:val="-16"/>
          <w:w w:val="105"/>
        </w:rPr>
        <w:t> </w:t>
      </w:r>
      <w:r>
        <w:rPr>
          <w:color w:val="231F20"/>
          <w:w w:val="105"/>
        </w:rPr>
        <w:t>Municipal.</w:t>
      </w:r>
      <w:r>
        <w:rPr>
          <w:color w:val="231F20"/>
          <w:spacing w:val="-16"/>
          <w:w w:val="105"/>
        </w:rPr>
        <w:t> </w:t>
      </w:r>
      <w:r>
        <w:rPr>
          <w:color w:val="231F20"/>
          <w:w w:val="105"/>
        </w:rPr>
        <w:t>Se</w:t>
      </w:r>
      <w:r>
        <w:rPr>
          <w:color w:val="231F20"/>
          <w:spacing w:val="-16"/>
          <w:w w:val="105"/>
        </w:rPr>
        <w:t> </w:t>
      </w:r>
      <w:r>
        <w:rPr>
          <w:color w:val="231F20"/>
          <w:w w:val="105"/>
        </w:rPr>
        <w:t>da</w:t>
      </w:r>
      <w:r>
        <w:rPr>
          <w:color w:val="231F20"/>
          <w:spacing w:val="-16"/>
          <w:w w:val="105"/>
        </w:rPr>
        <w:t> </w:t>
      </w:r>
      <w:r>
        <w:rPr>
          <w:color w:val="231F20"/>
          <w:w w:val="105"/>
        </w:rPr>
        <w:t>atención</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fugas,</w:t>
      </w:r>
      <w:r>
        <w:rPr>
          <w:color w:val="231F20"/>
          <w:spacing w:val="-16"/>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en el</w:t>
      </w:r>
      <w:r>
        <w:rPr>
          <w:color w:val="231F20"/>
          <w:spacing w:val="-15"/>
          <w:w w:val="105"/>
        </w:rPr>
        <w:t> </w:t>
      </w:r>
      <w:r>
        <w:rPr>
          <w:color w:val="231F20"/>
          <w:w w:val="105"/>
        </w:rPr>
        <w:t>desazolve</w:t>
      </w:r>
      <w:r>
        <w:rPr>
          <w:color w:val="231F20"/>
          <w:spacing w:val="-15"/>
          <w:w w:val="105"/>
        </w:rPr>
        <w:t> </w:t>
      </w:r>
      <w:r>
        <w:rPr>
          <w:color w:val="231F20"/>
          <w:w w:val="105"/>
        </w:rPr>
        <w:t>y</w:t>
      </w:r>
      <w:r>
        <w:rPr>
          <w:color w:val="231F20"/>
          <w:spacing w:val="-15"/>
          <w:w w:val="105"/>
        </w:rPr>
        <w:t> </w:t>
      </w:r>
      <w:r>
        <w:rPr>
          <w:color w:val="231F20"/>
          <w:w w:val="105"/>
        </w:rPr>
        <w:t>mantenimiento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líneas</w:t>
      </w:r>
      <w:r>
        <w:rPr>
          <w:color w:val="231F20"/>
          <w:spacing w:val="-15"/>
          <w:w w:val="105"/>
        </w:rPr>
        <w:t> </w:t>
      </w:r>
      <w:r>
        <w:rPr>
          <w:color w:val="231F20"/>
          <w:w w:val="105"/>
        </w:rPr>
        <w:t>de</w:t>
      </w:r>
      <w:r>
        <w:rPr>
          <w:color w:val="231F20"/>
          <w:spacing w:val="-15"/>
          <w:w w:val="105"/>
        </w:rPr>
        <w:t> </w:t>
      </w:r>
      <w:r>
        <w:rPr>
          <w:color w:val="231F20"/>
          <w:w w:val="105"/>
        </w:rPr>
        <w:t>drenaje.</w:t>
      </w:r>
    </w:p>
    <w:p>
      <w:pPr>
        <w:pStyle w:val="BodyText"/>
        <w:spacing w:before="8"/>
        <w:rPr>
          <w:sz w:val="24"/>
        </w:rPr>
      </w:pPr>
    </w:p>
    <w:p>
      <w:pPr>
        <w:pStyle w:val="BodyText"/>
        <w:spacing w:line="276" w:lineRule="auto" w:before="1"/>
        <w:ind w:left="110" w:right="108"/>
        <w:jc w:val="both"/>
      </w:pPr>
      <w:r>
        <w:rPr>
          <w:rFonts w:ascii="Palatino Linotype" w:hAnsi="Palatino Linotype"/>
          <w:i/>
          <w:color w:val="231F20"/>
          <w:w w:val="105"/>
        </w:rPr>
        <w:t>La Ampliación y rehabilitación de la red de agua potable</w:t>
      </w:r>
      <w:r>
        <w:rPr>
          <w:color w:val="231F20"/>
          <w:w w:val="105"/>
        </w:rPr>
        <w:t>. Se realizó el cambio de red primaria</w:t>
      </w:r>
      <w:r>
        <w:rPr>
          <w:color w:val="231F20"/>
          <w:spacing w:val="-12"/>
          <w:w w:val="105"/>
        </w:rPr>
        <w:t> </w:t>
      </w:r>
      <w:r>
        <w:rPr>
          <w:color w:val="231F20"/>
          <w:w w:val="105"/>
        </w:rPr>
        <w:t>de</w:t>
      </w:r>
      <w:r>
        <w:rPr>
          <w:color w:val="231F20"/>
          <w:spacing w:val="-12"/>
          <w:w w:val="105"/>
        </w:rPr>
        <w:t> </w:t>
      </w:r>
      <w:r>
        <w:rPr>
          <w:color w:val="231F20"/>
          <w:w w:val="105"/>
        </w:rPr>
        <w:t>agua</w:t>
      </w:r>
      <w:r>
        <w:rPr>
          <w:color w:val="231F20"/>
          <w:spacing w:val="-12"/>
          <w:w w:val="105"/>
        </w:rPr>
        <w:t> </w:t>
      </w:r>
      <w:r>
        <w:rPr>
          <w:color w:val="231F20"/>
          <w:w w:val="105"/>
        </w:rPr>
        <w:t>potable</w:t>
      </w:r>
      <w:r>
        <w:rPr>
          <w:color w:val="231F20"/>
          <w:spacing w:val="-12"/>
          <w:w w:val="105"/>
        </w:rPr>
        <w:t> </w:t>
      </w:r>
      <w:r>
        <w:rPr>
          <w:color w:val="231F20"/>
          <w:w w:val="105"/>
        </w:rPr>
        <w:t>de</w:t>
      </w:r>
      <w:r>
        <w:rPr>
          <w:color w:val="231F20"/>
          <w:spacing w:val="-12"/>
          <w:w w:val="105"/>
        </w:rPr>
        <w:t> </w:t>
      </w:r>
      <w:r>
        <w:rPr>
          <w:color w:val="231F20"/>
          <w:w w:val="105"/>
        </w:rPr>
        <w:t>diversas</w:t>
      </w:r>
      <w:r>
        <w:rPr>
          <w:color w:val="231F20"/>
          <w:spacing w:val="-12"/>
          <w:w w:val="105"/>
        </w:rPr>
        <w:t> </w:t>
      </w:r>
      <w:r>
        <w:rPr>
          <w:color w:val="231F20"/>
          <w:w w:val="105"/>
        </w:rPr>
        <w:t>calles.</w:t>
      </w:r>
      <w:r>
        <w:rPr>
          <w:color w:val="231F20"/>
          <w:spacing w:val="-12"/>
          <w:w w:val="105"/>
        </w:rPr>
        <w:t> </w:t>
      </w:r>
      <w:r>
        <w:rPr>
          <w:color w:val="231F20"/>
          <w:w w:val="105"/>
        </w:rPr>
        <w:t>Se</w:t>
      </w:r>
      <w:r>
        <w:rPr>
          <w:color w:val="231F20"/>
          <w:spacing w:val="-12"/>
          <w:w w:val="105"/>
        </w:rPr>
        <w:t> </w:t>
      </w:r>
      <w:r>
        <w:rPr>
          <w:color w:val="231F20"/>
          <w:w w:val="105"/>
        </w:rPr>
        <w:t>dio</w:t>
      </w:r>
      <w:r>
        <w:rPr>
          <w:color w:val="231F20"/>
          <w:spacing w:val="-12"/>
          <w:w w:val="105"/>
        </w:rPr>
        <w:t> </w:t>
      </w:r>
      <w:r>
        <w:rPr>
          <w:color w:val="231F20"/>
          <w:w w:val="105"/>
        </w:rPr>
        <w:t>la</w:t>
      </w:r>
      <w:r>
        <w:rPr>
          <w:color w:val="231F20"/>
          <w:spacing w:val="-12"/>
          <w:w w:val="105"/>
        </w:rPr>
        <w:t> </w:t>
      </w:r>
      <w:r>
        <w:rPr>
          <w:color w:val="231F20"/>
          <w:w w:val="105"/>
        </w:rPr>
        <w:t>renovación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red</w:t>
      </w:r>
      <w:r>
        <w:rPr>
          <w:color w:val="231F20"/>
          <w:spacing w:val="-12"/>
          <w:w w:val="105"/>
        </w:rPr>
        <w:t> </w:t>
      </w:r>
      <w:r>
        <w:rPr>
          <w:color w:val="231F20"/>
          <w:w w:val="105"/>
        </w:rPr>
        <w:t>hidráulica</w:t>
      </w:r>
      <w:r>
        <w:rPr>
          <w:color w:val="231F20"/>
          <w:spacing w:val="-12"/>
          <w:w w:val="105"/>
        </w:rPr>
        <w:t> </w:t>
      </w:r>
      <w:r>
        <w:rPr>
          <w:color w:val="231F20"/>
          <w:w w:val="105"/>
        </w:rPr>
        <w:t>en la</w:t>
      </w:r>
      <w:r>
        <w:rPr>
          <w:color w:val="231F20"/>
          <w:spacing w:val="-9"/>
          <w:w w:val="105"/>
        </w:rPr>
        <w:t> </w:t>
      </w:r>
      <w:r>
        <w:rPr>
          <w:color w:val="231F20"/>
          <w:w w:val="105"/>
        </w:rPr>
        <w:t>Cabecera</w:t>
      </w:r>
      <w:r>
        <w:rPr>
          <w:color w:val="231F20"/>
          <w:spacing w:val="-9"/>
          <w:w w:val="105"/>
        </w:rPr>
        <w:t> </w:t>
      </w:r>
      <w:r>
        <w:rPr>
          <w:color w:val="231F20"/>
          <w:w w:val="105"/>
        </w:rPr>
        <w:t>Municipal,</w:t>
      </w:r>
      <w:r>
        <w:rPr>
          <w:color w:val="231F20"/>
          <w:spacing w:val="-9"/>
          <w:w w:val="105"/>
        </w:rPr>
        <w:t> </w:t>
      </w:r>
      <w:r>
        <w:rPr>
          <w:color w:val="231F20"/>
          <w:w w:val="105"/>
        </w:rPr>
        <w:t>teniendo</w:t>
      </w:r>
      <w:r>
        <w:rPr>
          <w:color w:val="231F20"/>
          <w:spacing w:val="-9"/>
          <w:w w:val="105"/>
        </w:rPr>
        <w:t> </w:t>
      </w:r>
      <w:r>
        <w:rPr>
          <w:color w:val="231F20"/>
          <w:w w:val="105"/>
        </w:rPr>
        <w:t>como</w:t>
      </w:r>
      <w:r>
        <w:rPr>
          <w:color w:val="231F20"/>
          <w:spacing w:val="-9"/>
          <w:w w:val="105"/>
        </w:rPr>
        <w:t> </w:t>
      </w:r>
      <w:r>
        <w:rPr>
          <w:color w:val="231F20"/>
          <w:w w:val="105"/>
        </w:rPr>
        <w:t>beneficio</w:t>
      </w:r>
      <w:r>
        <w:rPr>
          <w:color w:val="231F20"/>
          <w:spacing w:val="-9"/>
          <w:w w:val="105"/>
        </w:rPr>
        <w:t> </w:t>
      </w:r>
      <w:r>
        <w:rPr>
          <w:color w:val="231F20"/>
          <w:w w:val="105"/>
        </w:rPr>
        <w:t>el</w:t>
      </w:r>
      <w:r>
        <w:rPr>
          <w:color w:val="231F20"/>
          <w:spacing w:val="-9"/>
          <w:w w:val="105"/>
        </w:rPr>
        <w:t> </w:t>
      </w:r>
      <w:r>
        <w:rPr>
          <w:color w:val="231F20"/>
          <w:w w:val="105"/>
        </w:rPr>
        <w:t>mejoramiento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distribución</w:t>
      </w:r>
      <w:r>
        <w:rPr>
          <w:color w:val="231F20"/>
          <w:spacing w:val="-9"/>
          <w:w w:val="105"/>
        </w:rPr>
        <w:t> </w:t>
      </w:r>
      <w:r>
        <w:rPr>
          <w:color w:val="231F20"/>
          <w:w w:val="105"/>
        </w:rPr>
        <w:t>de agua</w:t>
      </w:r>
      <w:r>
        <w:rPr>
          <w:color w:val="231F20"/>
          <w:spacing w:val="-17"/>
          <w:w w:val="105"/>
        </w:rPr>
        <w:t> </w:t>
      </w:r>
      <w:r>
        <w:rPr>
          <w:color w:val="231F20"/>
          <w:w w:val="105"/>
        </w:rPr>
        <w:t>potable,</w:t>
      </w:r>
      <w:r>
        <w:rPr>
          <w:color w:val="231F20"/>
          <w:spacing w:val="-17"/>
          <w:w w:val="105"/>
        </w:rPr>
        <w:t> </w:t>
      </w:r>
      <w:r>
        <w:rPr>
          <w:color w:val="231F20"/>
          <w:w w:val="105"/>
        </w:rPr>
        <w:t>disminuyendo</w:t>
      </w:r>
      <w:r>
        <w:rPr>
          <w:color w:val="231F20"/>
          <w:spacing w:val="-17"/>
          <w:w w:val="105"/>
        </w:rPr>
        <w:t> </w:t>
      </w:r>
      <w:r>
        <w:rPr>
          <w:color w:val="231F20"/>
          <w:w w:val="105"/>
        </w:rPr>
        <w:t>en</w:t>
      </w:r>
      <w:r>
        <w:rPr>
          <w:color w:val="231F20"/>
          <w:spacing w:val="-17"/>
          <w:w w:val="105"/>
        </w:rPr>
        <w:t> </w:t>
      </w:r>
      <w:r>
        <w:rPr>
          <w:color w:val="231F20"/>
          <w:w w:val="105"/>
        </w:rPr>
        <w:t>gran</w:t>
      </w:r>
      <w:r>
        <w:rPr>
          <w:color w:val="231F20"/>
          <w:spacing w:val="-17"/>
          <w:w w:val="105"/>
        </w:rPr>
        <w:t> </w:t>
      </w:r>
      <w:r>
        <w:rPr>
          <w:color w:val="231F20"/>
          <w:w w:val="105"/>
        </w:rPr>
        <w:t>cantidad</w:t>
      </w:r>
      <w:r>
        <w:rPr>
          <w:color w:val="231F20"/>
          <w:spacing w:val="-17"/>
          <w:w w:val="105"/>
        </w:rPr>
        <w:t> </w:t>
      </w:r>
      <w:r>
        <w:rPr>
          <w:color w:val="231F20"/>
          <w:w w:val="105"/>
        </w:rPr>
        <w:t>las</w:t>
      </w:r>
      <w:r>
        <w:rPr>
          <w:color w:val="231F20"/>
          <w:spacing w:val="-17"/>
          <w:w w:val="105"/>
        </w:rPr>
        <w:t> </w:t>
      </w:r>
      <w:r>
        <w:rPr>
          <w:color w:val="231F20"/>
          <w:w w:val="105"/>
        </w:rPr>
        <w:t>fugas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red</w:t>
      </w:r>
      <w:r>
        <w:rPr>
          <w:color w:val="231F20"/>
          <w:spacing w:val="-17"/>
          <w:w w:val="105"/>
        </w:rPr>
        <w:t> </w:t>
      </w:r>
      <w:r>
        <w:rPr>
          <w:color w:val="231F20"/>
          <w:w w:val="105"/>
        </w:rPr>
        <w:t>de</w:t>
      </w:r>
      <w:r>
        <w:rPr>
          <w:color w:val="231F20"/>
          <w:spacing w:val="-17"/>
          <w:w w:val="105"/>
        </w:rPr>
        <w:t> </w:t>
      </w:r>
      <w:r>
        <w:rPr>
          <w:color w:val="231F20"/>
          <w:w w:val="105"/>
        </w:rPr>
        <w:t>asbesto-cemento,</w:t>
      </w:r>
      <w:r>
        <w:rPr>
          <w:color w:val="231F20"/>
          <w:spacing w:val="-17"/>
          <w:w w:val="105"/>
        </w:rPr>
        <w:t> </w:t>
      </w:r>
      <w:r>
        <w:rPr>
          <w:color w:val="231F20"/>
          <w:w w:val="105"/>
        </w:rPr>
        <w:t>ya</w:t>
      </w:r>
    </w:p>
    <w:p>
      <w:pPr>
        <w:spacing w:after="0" w:line="276"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que esta red cuenta con un promedio de </w:t>
      </w:r>
      <w:r>
        <w:rPr>
          <w:color w:val="231F20"/>
          <w:spacing w:val="-3"/>
          <w:w w:val="105"/>
        </w:rPr>
        <w:t>70 </w:t>
      </w:r>
      <w:r>
        <w:rPr>
          <w:color w:val="231F20"/>
          <w:w w:val="105"/>
        </w:rPr>
        <w:t>años, asegurando el presente y futuro con la</w:t>
      </w:r>
      <w:r>
        <w:rPr>
          <w:color w:val="231F20"/>
          <w:spacing w:val="-10"/>
          <w:w w:val="105"/>
        </w:rPr>
        <w:t> </w:t>
      </w:r>
      <w:r>
        <w:rPr>
          <w:color w:val="231F20"/>
          <w:w w:val="105"/>
        </w:rPr>
        <w:t>aplicación</w:t>
      </w:r>
      <w:r>
        <w:rPr>
          <w:color w:val="231F20"/>
          <w:spacing w:val="-10"/>
          <w:w w:val="105"/>
        </w:rPr>
        <w:t> </w:t>
      </w:r>
      <w:r>
        <w:rPr>
          <w:color w:val="231F20"/>
          <w:w w:val="105"/>
        </w:rPr>
        <w:t>de</w:t>
      </w:r>
      <w:r>
        <w:rPr>
          <w:color w:val="231F20"/>
          <w:spacing w:val="-10"/>
          <w:w w:val="105"/>
        </w:rPr>
        <w:t> </w:t>
      </w:r>
      <w:r>
        <w:rPr>
          <w:color w:val="231F20"/>
          <w:w w:val="105"/>
        </w:rPr>
        <w:t>material</w:t>
      </w:r>
      <w:r>
        <w:rPr>
          <w:color w:val="231F20"/>
          <w:spacing w:val="-10"/>
          <w:w w:val="105"/>
        </w:rPr>
        <w:t> </w:t>
      </w:r>
      <w:r>
        <w:rPr>
          <w:color w:val="231F20"/>
          <w:w w:val="105"/>
        </w:rPr>
        <w:t>de</w:t>
      </w:r>
      <w:r>
        <w:rPr>
          <w:color w:val="231F20"/>
          <w:spacing w:val="-10"/>
          <w:w w:val="105"/>
        </w:rPr>
        <w:t> </w:t>
      </w:r>
      <w:r>
        <w:rPr>
          <w:color w:val="231F20"/>
          <w:w w:val="105"/>
        </w:rPr>
        <w:t>tecnología</w:t>
      </w:r>
      <w:r>
        <w:rPr>
          <w:color w:val="231F20"/>
          <w:spacing w:val="-10"/>
          <w:w w:val="105"/>
        </w:rPr>
        <w:t> </w:t>
      </w:r>
      <w:r>
        <w:rPr>
          <w:color w:val="231F20"/>
          <w:w w:val="105"/>
        </w:rPr>
        <w:t>de</w:t>
      </w:r>
      <w:r>
        <w:rPr>
          <w:color w:val="231F20"/>
          <w:spacing w:val="-10"/>
          <w:w w:val="105"/>
        </w:rPr>
        <w:t> </w:t>
      </w:r>
      <w:r>
        <w:rPr>
          <w:color w:val="231F20"/>
          <w:w w:val="105"/>
        </w:rPr>
        <w:t>punta</w:t>
      </w:r>
      <w:r>
        <w:rPr>
          <w:color w:val="231F20"/>
          <w:spacing w:val="-10"/>
          <w:w w:val="105"/>
        </w:rPr>
        <w:t> </w:t>
      </w:r>
      <w:r>
        <w:rPr>
          <w:color w:val="231F20"/>
          <w:w w:val="105"/>
        </w:rPr>
        <w:t>como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caso</w:t>
      </w:r>
      <w:r>
        <w:rPr>
          <w:color w:val="231F20"/>
          <w:spacing w:val="-10"/>
          <w:w w:val="105"/>
        </w:rPr>
        <w:t> </w:t>
      </w:r>
      <w:r>
        <w:rPr>
          <w:color w:val="231F20"/>
          <w:w w:val="105"/>
        </w:rPr>
        <w:t>del</w:t>
      </w:r>
      <w:r>
        <w:rPr>
          <w:color w:val="231F20"/>
          <w:spacing w:val="-10"/>
          <w:w w:val="105"/>
        </w:rPr>
        <w:t> </w:t>
      </w:r>
      <w:r>
        <w:rPr>
          <w:color w:val="231F20"/>
          <w:w w:val="105"/>
        </w:rPr>
        <w:t>Polietileno</w:t>
      </w:r>
      <w:r>
        <w:rPr>
          <w:color w:val="231F20"/>
          <w:spacing w:val="-10"/>
          <w:w w:val="105"/>
        </w:rPr>
        <w:t> </w:t>
      </w:r>
      <w:r>
        <w:rPr>
          <w:color w:val="231F20"/>
          <w:w w:val="105"/>
        </w:rPr>
        <w:t>de</w:t>
      </w:r>
      <w:r>
        <w:rPr>
          <w:color w:val="231F20"/>
          <w:spacing w:val="-10"/>
          <w:w w:val="105"/>
        </w:rPr>
        <w:t> </w:t>
      </w:r>
      <w:r>
        <w:rPr>
          <w:color w:val="231F20"/>
          <w:w w:val="105"/>
        </w:rPr>
        <w:t>Alta </w:t>
      </w:r>
      <w:r>
        <w:rPr>
          <w:color w:val="231F20"/>
        </w:rPr>
        <w:t>Densidad</w:t>
      </w:r>
      <w:r>
        <w:rPr>
          <w:color w:val="231F20"/>
          <w:spacing w:val="24"/>
        </w:rPr>
        <w:t> </w:t>
      </w:r>
      <w:r>
        <w:rPr>
          <w:color w:val="231F20"/>
          <w:spacing w:val="-6"/>
        </w:rPr>
        <w:t>(PAD).</w:t>
      </w:r>
    </w:p>
    <w:p>
      <w:pPr>
        <w:pStyle w:val="BodyText"/>
        <w:spacing w:before="1"/>
        <w:rPr>
          <w:sz w:val="26"/>
        </w:rPr>
      </w:pPr>
    </w:p>
    <w:p>
      <w:pPr>
        <w:pStyle w:val="BodyText"/>
        <w:spacing w:line="285" w:lineRule="auto"/>
        <w:ind w:left="110" w:right="107"/>
        <w:jc w:val="both"/>
      </w:pPr>
      <w:r>
        <w:rPr>
          <w:color w:val="231F20"/>
          <w:w w:val="105"/>
        </w:rPr>
        <w:t>En el segundo informe se reportaron tareas tradicionalmente desarrolladas por los </w:t>
      </w:r>
      <w:r>
        <w:rPr>
          <w:color w:val="231F20"/>
          <w:spacing w:val="-4"/>
          <w:w w:val="105"/>
        </w:rPr>
        <w:t>ór- </w:t>
      </w:r>
      <w:r>
        <w:rPr>
          <w:color w:val="231F20"/>
          <w:w w:val="105"/>
        </w:rPr>
        <w:t>ganos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presidencia</w:t>
      </w:r>
      <w:r>
        <w:rPr>
          <w:color w:val="231F20"/>
          <w:spacing w:val="-7"/>
          <w:w w:val="105"/>
        </w:rPr>
        <w:t> </w:t>
      </w:r>
      <w:r>
        <w:rPr>
          <w:color w:val="231F20"/>
          <w:w w:val="105"/>
        </w:rPr>
        <w:t>municipal,</w:t>
      </w:r>
      <w:r>
        <w:rPr>
          <w:color w:val="231F20"/>
          <w:spacing w:val="-7"/>
          <w:w w:val="105"/>
        </w:rPr>
        <w:t> </w:t>
      </w:r>
      <w:r>
        <w:rPr>
          <w:color w:val="231F20"/>
          <w:w w:val="105"/>
        </w:rPr>
        <w:t>tales</w:t>
      </w:r>
      <w:r>
        <w:rPr>
          <w:color w:val="231F20"/>
          <w:spacing w:val="-7"/>
          <w:w w:val="105"/>
        </w:rPr>
        <w:t> </w:t>
      </w:r>
      <w:r>
        <w:rPr>
          <w:color w:val="231F20"/>
          <w:spacing w:val="-3"/>
          <w:w w:val="105"/>
        </w:rPr>
        <w:t>como:</w:t>
      </w:r>
      <w:r>
        <w:rPr>
          <w:color w:val="231F20"/>
          <w:spacing w:val="-7"/>
          <w:w w:val="105"/>
        </w:rPr>
        <w:t> </w:t>
      </w:r>
      <w:r>
        <w:rPr>
          <w:color w:val="231F20"/>
          <w:w w:val="105"/>
        </w:rPr>
        <w:t>desazolve</w:t>
      </w:r>
      <w:r>
        <w:rPr>
          <w:color w:val="231F20"/>
          <w:spacing w:val="-7"/>
          <w:w w:val="105"/>
        </w:rPr>
        <w:t> </w:t>
      </w:r>
      <w:r>
        <w:rPr>
          <w:color w:val="231F20"/>
          <w:w w:val="105"/>
        </w:rPr>
        <w:t>de</w:t>
      </w:r>
      <w:r>
        <w:rPr>
          <w:color w:val="231F20"/>
          <w:spacing w:val="-7"/>
          <w:w w:val="105"/>
        </w:rPr>
        <w:t> </w:t>
      </w:r>
      <w:r>
        <w:rPr>
          <w:color w:val="231F20"/>
          <w:w w:val="105"/>
        </w:rPr>
        <w:t>pozos</w:t>
      </w:r>
      <w:r>
        <w:rPr>
          <w:color w:val="231F20"/>
          <w:spacing w:val="-7"/>
          <w:w w:val="105"/>
        </w:rPr>
        <w:t> </w:t>
      </w:r>
      <w:r>
        <w:rPr>
          <w:color w:val="231F20"/>
          <w:w w:val="105"/>
        </w:rPr>
        <w:t>de</w:t>
      </w:r>
      <w:r>
        <w:rPr>
          <w:color w:val="231F20"/>
          <w:spacing w:val="-7"/>
          <w:w w:val="105"/>
        </w:rPr>
        <w:t> </w:t>
      </w:r>
      <w:r>
        <w:rPr>
          <w:color w:val="231F20"/>
          <w:w w:val="105"/>
        </w:rPr>
        <w:t>visita</w:t>
      </w:r>
      <w:r>
        <w:rPr>
          <w:color w:val="231F20"/>
          <w:spacing w:val="-7"/>
          <w:w w:val="105"/>
        </w:rPr>
        <w:t> </w:t>
      </w:r>
      <w:r>
        <w:rPr>
          <w:color w:val="231F20"/>
          <w:w w:val="105"/>
        </w:rPr>
        <w:t>y</w:t>
      </w:r>
      <w:r>
        <w:rPr>
          <w:color w:val="231F20"/>
          <w:spacing w:val="-7"/>
          <w:w w:val="105"/>
        </w:rPr>
        <w:t> </w:t>
      </w:r>
      <w:r>
        <w:rPr>
          <w:color w:val="231F20"/>
          <w:w w:val="105"/>
        </w:rPr>
        <w:t>líneas</w:t>
      </w:r>
      <w:r>
        <w:rPr>
          <w:color w:val="231F20"/>
          <w:spacing w:val="-7"/>
          <w:w w:val="105"/>
        </w:rPr>
        <w:t> </w:t>
      </w:r>
      <w:r>
        <w:rPr>
          <w:color w:val="231F20"/>
          <w:w w:val="105"/>
        </w:rPr>
        <w:t>de drenaje,</w:t>
      </w:r>
      <w:r>
        <w:rPr>
          <w:color w:val="231F20"/>
          <w:spacing w:val="-10"/>
          <w:w w:val="105"/>
        </w:rPr>
        <w:t> </w:t>
      </w:r>
      <w:r>
        <w:rPr>
          <w:color w:val="231F20"/>
          <w:w w:val="105"/>
        </w:rPr>
        <w:t>reparación</w:t>
      </w:r>
      <w:r>
        <w:rPr>
          <w:color w:val="231F20"/>
          <w:spacing w:val="-10"/>
          <w:w w:val="105"/>
        </w:rPr>
        <w:t> </w:t>
      </w:r>
      <w:r>
        <w:rPr>
          <w:color w:val="231F20"/>
          <w:w w:val="105"/>
        </w:rPr>
        <w:t>de</w:t>
      </w:r>
      <w:r>
        <w:rPr>
          <w:color w:val="231F20"/>
          <w:spacing w:val="-10"/>
          <w:w w:val="105"/>
        </w:rPr>
        <w:t> </w:t>
      </w:r>
      <w:r>
        <w:rPr>
          <w:color w:val="231F20"/>
          <w:w w:val="105"/>
        </w:rPr>
        <w:t>fugas</w:t>
      </w:r>
      <w:r>
        <w:rPr>
          <w:color w:val="231F20"/>
          <w:spacing w:val="-10"/>
          <w:w w:val="105"/>
        </w:rPr>
        <w:t> </w:t>
      </w:r>
      <w:r>
        <w:rPr>
          <w:color w:val="231F20"/>
          <w:w w:val="105"/>
        </w:rPr>
        <w:t>de</w:t>
      </w:r>
      <w:r>
        <w:rPr>
          <w:color w:val="231F20"/>
          <w:spacing w:val="-10"/>
          <w:w w:val="105"/>
        </w:rPr>
        <w:t> </w:t>
      </w:r>
      <w:r>
        <w:rPr>
          <w:color w:val="231F20"/>
          <w:w w:val="105"/>
        </w:rPr>
        <w:t>agua</w:t>
      </w:r>
      <w:r>
        <w:rPr>
          <w:color w:val="231F20"/>
          <w:spacing w:val="-10"/>
          <w:w w:val="105"/>
        </w:rPr>
        <w:t> </w:t>
      </w:r>
      <w:r>
        <w:rPr>
          <w:color w:val="231F20"/>
          <w:w w:val="105"/>
        </w:rPr>
        <w:t>potable,</w:t>
      </w:r>
      <w:r>
        <w:rPr>
          <w:color w:val="231F20"/>
          <w:spacing w:val="-10"/>
          <w:w w:val="105"/>
        </w:rPr>
        <w:t> </w:t>
      </w:r>
      <w:r>
        <w:rPr>
          <w:color w:val="231F20"/>
          <w:w w:val="105"/>
        </w:rPr>
        <w:t>reparto</w:t>
      </w:r>
      <w:r>
        <w:rPr>
          <w:color w:val="231F20"/>
          <w:spacing w:val="-10"/>
          <w:w w:val="105"/>
        </w:rPr>
        <w:t> </w:t>
      </w:r>
      <w:r>
        <w:rPr>
          <w:color w:val="231F20"/>
          <w:w w:val="105"/>
        </w:rPr>
        <w:t>de</w:t>
      </w:r>
      <w:r>
        <w:rPr>
          <w:color w:val="231F20"/>
          <w:spacing w:val="-10"/>
          <w:w w:val="105"/>
        </w:rPr>
        <w:t> </w:t>
      </w:r>
      <w:r>
        <w:rPr>
          <w:color w:val="231F20"/>
          <w:w w:val="105"/>
        </w:rPr>
        <w:t>agua</w:t>
      </w:r>
      <w:r>
        <w:rPr>
          <w:color w:val="231F20"/>
          <w:spacing w:val="-10"/>
          <w:w w:val="105"/>
        </w:rPr>
        <w:t> </w:t>
      </w:r>
      <w:r>
        <w:rPr>
          <w:color w:val="231F20"/>
          <w:w w:val="105"/>
        </w:rPr>
        <w:t>en</w:t>
      </w:r>
      <w:r>
        <w:rPr>
          <w:color w:val="231F20"/>
          <w:spacing w:val="-10"/>
          <w:w w:val="105"/>
        </w:rPr>
        <w:t> </w:t>
      </w:r>
      <w:r>
        <w:rPr>
          <w:color w:val="231F20"/>
          <w:w w:val="105"/>
        </w:rPr>
        <w:t>pipas,</w:t>
      </w:r>
      <w:r>
        <w:rPr>
          <w:color w:val="231F20"/>
          <w:spacing w:val="-10"/>
          <w:w w:val="105"/>
        </w:rPr>
        <w:t> </w:t>
      </w:r>
      <w:r>
        <w:rPr>
          <w:color w:val="231F20"/>
          <w:w w:val="105"/>
        </w:rPr>
        <w:t>derechos</w:t>
      </w:r>
      <w:r>
        <w:rPr>
          <w:color w:val="231F20"/>
          <w:spacing w:val="-10"/>
          <w:w w:val="105"/>
        </w:rPr>
        <w:t> </w:t>
      </w:r>
      <w:r>
        <w:rPr>
          <w:color w:val="231F20"/>
          <w:w w:val="105"/>
        </w:rPr>
        <w:t>de</w:t>
      </w:r>
      <w:r>
        <w:rPr>
          <w:color w:val="231F20"/>
          <w:spacing w:val="-10"/>
          <w:w w:val="105"/>
        </w:rPr>
        <w:t> </w:t>
      </w:r>
      <w:r>
        <w:rPr>
          <w:color w:val="231F20"/>
          <w:w w:val="105"/>
        </w:rPr>
        <w:t>co- nexión</w:t>
      </w:r>
      <w:r>
        <w:rPr>
          <w:color w:val="231F20"/>
          <w:spacing w:val="-17"/>
          <w:w w:val="105"/>
        </w:rPr>
        <w:t> </w:t>
      </w:r>
      <w:r>
        <w:rPr>
          <w:color w:val="231F20"/>
          <w:w w:val="105"/>
        </w:rPr>
        <w:t>de</w:t>
      </w:r>
      <w:r>
        <w:rPr>
          <w:color w:val="231F20"/>
          <w:spacing w:val="-17"/>
          <w:w w:val="105"/>
        </w:rPr>
        <w:t> </w:t>
      </w:r>
      <w:r>
        <w:rPr>
          <w:color w:val="231F20"/>
          <w:w w:val="105"/>
        </w:rPr>
        <w:t>agua</w:t>
      </w:r>
      <w:r>
        <w:rPr>
          <w:color w:val="231F20"/>
          <w:spacing w:val="-17"/>
          <w:w w:val="105"/>
        </w:rPr>
        <w:t> </w:t>
      </w:r>
      <w:r>
        <w:rPr>
          <w:color w:val="231F20"/>
          <w:w w:val="105"/>
        </w:rPr>
        <w:t>potable</w:t>
      </w:r>
      <w:r>
        <w:rPr>
          <w:color w:val="231F20"/>
          <w:spacing w:val="-17"/>
          <w:w w:val="105"/>
        </w:rPr>
        <w:t> </w:t>
      </w:r>
      <w:r>
        <w:rPr>
          <w:color w:val="231F20"/>
          <w:w w:val="105"/>
        </w:rPr>
        <w:t>y</w:t>
      </w:r>
      <w:r>
        <w:rPr>
          <w:color w:val="231F20"/>
          <w:spacing w:val="-17"/>
          <w:w w:val="105"/>
        </w:rPr>
        <w:t> </w:t>
      </w:r>
      <w:r>
        <w:rPr>
          <w:color w:val="231F20"/>
          <w:w w:val="105"/>
        </w:rPr>
        <w:t>drenaje,</w:t>
      </w:r>
      <w:r>
        <w:rPr>
          <w:color w:val="231F20"/>
          <w:spacing w:val="-17"/>
          <w:w w:val="105"/>
        </w:rPr>
        <w:t> </w:t>
      </w:r>
      <w:r>
        <w:rPr>
          <w:color w:val="231F20"/>
          <w:w w:val="105"/>
        </w:rPr>
        <w:t>movimiento</w:t>
      </w:r>
      <w:r>
        <w:rPr>
          <w:color w:val="231F20"/>
          <w:spacing w:val="-17"/>
          <w:w w:val="105"/>
        </w:rPr>
        <w:t> </w:t>
      </w:r>
      <w:r>
        <w:rPr>
          <w:color w:val="231F20"/>
          <w:w w:val="105"/>
        </w:rPr>
        <w:t>de</w:t>
      </w:r>
      <w:r>
        <w:rPr>
          <w:color w:val="231F20"/>
          <w:spacing w:val="-17"/>
          <w:w w:val="105"/>
        </w:rPr>
        <w:t> </w:t>
      </w:r>
      <w:r>
        <w:rPr>
          <w:color w:val="231F20"/>
          <w:spacing w:val="2"/>
          <w:w w:val="105"/>
        </w:rPr>
        <w:t>válvulas</w:t>
      </w:r>
      <w:r>
        <w:rPr>
          <w:color w:val="231F20"/>
          <w:spacing w:val="-17"/>
          <w:w w:val="105"/>
        </w:rPr>
        <w:t> </w:t>
      </w:r>
      <w:r>
        <w:rPr>
          <w:color w:val="231F20"/>
          <w:w w:val="105"/>
        </w:rPr>
        <w:t>y</w:t>
      </w:r>
      <w:r>
        <w:rPr>
          <w:color w:val="231F20"/>
          <w:spacing w:val="-17"/>
          <w:w w:val="105"/>
        </w:rPr>
        <w:t> </w:t>
      </w:r>
      <w:r>
        <w:rPr>
          <w:color w:val="231F20"/>
          <w:w w:val="105"/>
        </w:rPr>
        <w:t>limpieza</w:t>
      </w:r>
      <w:r>
        <w:rPr>
          <w:color w:val="231F20"/>
          <w:spacing w:val="-17"/>
          <w:w w:val="105"/>
        </w:rPr>
        <w:t> </w:t>
      </w:r>
      <w:r>
        <w:rPr>
          <w:color w:val="231F20"/>
          <w:w w:val="105"/>
        </w:rPr>
        <w:t>de</w:t>
      </w:r>
      <w:r>
        <w:rPr>
          <w:color w:val="231F20"/>
          <w:spacing w:val="-17"/>
          <w:w w:val="105"/>
        </w:rPr>
        <w:t> </w:t>
      </w:r>
      <w:r>
        <w:rPr>
          <w:color w:val="231F20"/>
          <w:w w:val="105"/>
        </w:rPr>
        <w:t>barrancas.</w:t>
      </w:r>
    </w:p>
    <w:p>
      <w:pPr>
        <w:pStyle w:val="BodyText"/>
        <w:spacing w:before="10"/>
        <w:rPr>
          <w:sz w:val="23"/>
        </w:rPr>
      </w:pPr>
    </w:p>
    <w:p>
      <w:pPr>
        <w:pStyle w:val="BodyText"/>
        <w:spacing w:line="283" w:lineRule="auto"/>
        <w:ind w:left="110" w:right="107"/>
        <w:jc w:val="both"/>
      </w:pPr>
      <w:r>
        <w:rPr>
          <w:rFonts w:ascii="Palatino Linotype" w:hAnsi="Palatino Linotype"/>
          <w:i/>
          <w:color w:val="231F20"/>
          <w:w w:val="105"/>
        </w:rPr>
        <w:t>Ingresos</w:t>
      </w:r>
      <w:r>
        <w:rPr>
          <w:rFonts w:ascii="Palatino Linotype" w:hAnsi="Palatino Linotype"/>
          <w:i/>
          <w:color w:val="231F20"/>
          <w:spacing w:val="-13"/>
          <w:w w:val="105"/>
        </w:rPr>
        <w:t> </w:t>
      </w:r>
      <w:r>
        <w:rPr>
          <w:rFonts w:ascii="Palatino Linotype" w:hAnsi="Palatino Linotype"/>
          <w:i/>
          <w:color w:val="231F20"/>
          <w:w w:val="105"/>
        </w:rPr>
        <w:t>obtenidos</w:t>
      </w:r>
      <w:r>
        <w:rPr>
          <w:rFonts w:ascii="Palatino Linotype" w:hAnsi="Palatino Linotype"/>
          <w:i/>
          <w:color w:val="231F20"/>
          <w:spacing w:val="-13"/>
          <w:w w:val="105"/>
        </w:rPr>
        <w:t> </w:t>
      </w:r>
      <w:r>
        <w:rPr>
          <w:rFonts w:ascii="Palatino Linotype" w:hAnsi="Palatino Linotype"/>
          <w:i/>
          <w:color w:val="231F20"/>
          <w:w w:val="105"/>
        </w:rPr>
        <w:t>por</w:t>
      </w:r>
      <w:r>
        <w:rPr>
          <w:rFonts w:ascii="Palatino Linotype" w:hAnsi="Palatino Linotype"/>
          <w:i/>
          <w:color w:val="231F20"/>
          <w:spacing w:val="-13"/>
          <w:w w:val="105"/>
        </w:rPr>
        <w:t> </w:t>
      </w:r>
      <w:r>
        <w:rPr>
          <w:rFonts w:ascii="Palatino Linotype" w:hAnsi="Palatino Linotype"/>
          <w:i/>
          <w:color w:val="231F20"/>
          <w:w w:val="105"/>
        </w:rPr>
        <w:t>servicio</w:t>
      </w:r>
      <w:r>
        <w:rPr>
          <w:rFonts w:ascii="Palatino Linotype" w:hAnsi="Palatino Linotype"/>
          <w:i/>
          <w:color w:val="231F20"/>
          <w:spacing w:val="-13"/>
          <w:w w:val="105"/>
        </w:rPr>
        <w:t> </w:t>
      </w:r>
      <w:r>
        <w:rPr>
          <w:rFonts w:ascii="Palatino Linotype" w:hAnsi="Palatino Linotype"/>
          <w:i/>
          <w:color w:val="231F20"/>
          <w:w w:val="105"/>
        </w:rPr>
        <w:t>de</w:t>
      </w:r>
      <w:r>
        <w:rPr>
          <w:rFonts w:ascii="Palatino Linotype" w:hAnsi="Palatino Linotype"/>
          <w:i/>
          <w:color w:val="231F20"/>
          <w:spacing w:val="-13"/>
          <w:w w:val="105"/>
        </w:rPr>
        <w:t> </w:t>
      </w:r>
      <w:r>
        <w:rPr>
          <w:rFonts w:ascii="Palatino Linotype" w:hAnsi="Palatino Linotype"/>
          <w:i/>
          <w:color w:val="231F20"/>
          <w:w w:val="105"/>
        </w:rPr>
        <w:t>agua</w:t>
      </w:r>
      <w:r>
        <w:rPr>
          <w:color w:val="231F20"/>
          <w:w w:val="105"/>
        </w:rPr>
        <w:t>.</w:t>
      </w:r>
      <w:r>
        <w:rPr>
          <w:color w:val="231F20"/>
          <w:spacing w:val="-13"/>
          <w:w w:val="105"/>
        </w:rPr>
        <w:t> </w:t>
      </w:r>
      <w:r>
        <w:rPr>
          <w:color w:val="231F20"/>
          <w:w w:val="105"/>
        </w:rPr>
        <w:t>En</w:t>
      </w:r>
      <w:r>
        <w:rPr>
          <w:color w:val="231F20"/>
          <w:spacing w:val="-13"/>
          <w:w w:val="105"/>
        </w:rPr>
        <w:t> </w:t>
      </w:r>
      <w:r>
        <w:rPr>
          <w:color w:val="231F20"/>
          <w:w w:val="105"/>
        </w:rPr>
        <w:t>cuanto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ingresos</w:t>
      </w:r>
      <w:r>
        <w:rPr>
          <w:color w:val="231F20"/>
          <w:spacing w:val="-13"/>
          <w:w w:val="105"/>
        </w:rPr>
        <w:t> </w:t>
      </w:r>
      <w:r>
        <w:rPr>
          <w:color w:val="231F20"/>
          <w:w w:val="105"/>
        </w:rPr>
        <w:t>se</w:t>
      </w:r>
      <w:r>
        <w:rPr>
          <w:color w:val="231F20"/>
          <w:spacing w:val="-13"/>
          <w:w w:val="105"/>
        </w:rPr>
        <w:t> </w:t>
      </w:r>
      <w:r>
        <w:rPr>
          <w:color w:val="231F20"/>
          <w:w w:val="105"/>
        </w:rPr>
        <w:t>logró</w:t>
      </w:r>
      <w:r>
        <w:rPr>
          <w:color w:val="231F20"/>
          <w:spacing w:val="-13"/>
          <w:w w:val="105"/>
        </w:rPr>
        <w:t> </w:t>
      </w:r>
      <w:r>
        <w:rPr>
          <w:color w:val="231F20"/>
          <w:w w:val="105"/>
        </w:rPr>
        <w:t>un</w:t>
      </w:r>
      <w:r>
        <w:rPr>
          <w:color w:val="231F20"/>
          <w:spacing w:val="-13"/>
          <w:w w:val="105"/>
        </w:rPr>
        <w:t> </w:t>
      </w:r>
      <w:r>
        <w:rPr>
          <w:color w:val="231F20"/>
          <w:w w:val="105"/>
        </w:rPr>
        <w:t>total</w:t>
      </w:r>
      <w:r>
        <w:rPr>
          <w:color w:val="231F20"/>
          <w:spacing w:val="-13"/>
          <w:w w:val="105"/>
        </w:rPr>
        <w:t> </w:t>
      </w:r>
      <w:r>
        <w:rPr>
          <w:color w:val="231F20"/>
          <w:w w:val="105"/>
        </w:rPr>
        <w:t>de</w:t>
      </w:r>
      <w:r>
        <w:rPr>
          <w:color w:val="231F20"/>
          <w:spacing w:val="-13"/>
          <w:w w:val="105"/>
        </w:rPr>
        <w:t> </w:t>
      </w:r>
      <w:r>
        <w:rPr>
          <w:color w:val="231F20"/>
          <w:w w:val="105"/>
        </w:rPr>
        <w:t>un millón</w:t>
      </w:r>
      <w:r>
        <w:rPr>
          <w:color w:val="231F20"/>
          <w:spacing w:val="-15"/>
          <w:w w:val="105"/>
        </w:rPr>
        <w:t> </w:t>
      </w:r>
      <w:r>
        <w:rPr>
          <w:color w:val="231F20"/>
          <w:w w:val="105"/>
        </w:rPr>
        <w:t>208</w:t>
      </w:r>
      <w:r>
        <w:rPr>
          <w:color w:val="231F20"/>
          <w:spacing w:val="-15"/>
          <w:w w:val="105"/>
        </w:rPr>
        <w:t> </w:t>
      </w:r>
      <w:r>
        <w:rPr>
          <w:color w:val="231F20"/>
          <w:spacing w:val="2"/>
          <w:w w:val="105"/>
        </w:rPr>
        <w:t>mil</w:t>
      </w:r>
      <w:r>
        <w:rPr>
          <w:color w:val="231F20"/>
          <w:spacing w:val="-15"/>
          <w:w w:val="105"/>
        </w:rPr>
        <w:t> </w:t>
      </w:r>
      <w:r>
        <w:rPr>
          <w:color w:val="231F20"/>
          <w:w w:val="105"/>
        </w:rPr>
        <w:t>850</w:t>
      </w:r>
      <w:r>
        <w:rPr>
          <w:color w:val="231F20"/>
          <w:spacing w:val="-15"/>
          <w:w w:val="105"/>
        </w:rPr>
        <w:t> </w:t>
      </w:r>
      <w:r>
        <w:rPr>
          <w:color w:val="231F20"/>
          <w:w w:val="105"/>
        </w:rPr>
        <w:t>pesos,</w:t>
      </w:r>
      <w:r>
        <w:rPr>
          <w:color w:val="231F20"/>
          <w:spacing w:val="-15"/>
          <w:w w:val="105"/>
        </w:rPr>
        <w:t> </w:t>
      </w:r>
      <w:r>
        <w:rPr>
          <w:color w:val="231F20"/>
          <w:w w:val="105"/>
        </w:rPr>
        <w:t>dando</w:t>
      </w:r>
      <w:r>
        <w:rPr>
          <w:color w:val="231F20"/>
          <w:spacing w:val="-15"/>
          <w:w w:val="105"/>
        </w:rPr>
        <w:t> </w:t>
      </w:r>
      <w:r>
        <w:rPr>
          <w:color w:val="231F20"/>
          <w:w w:val="105"/>
        </w:rPr>
        <w:t>un</w:t>
      </w:r>
      <w:r>
        <w:rPr>
          <w:color w:val="231F20"/>
          <w:spacing w:val="-15"/>
          <w:w w:val="105"/>
        </w:rPr>
        <w:t> </w:t>
      </w:r>
      <w:r>
        <w:rPr>
          <w:color w:val="231F20"/>
          <w:w w:val="105"/>
        </w:rPr>
        <w:t>total</w:t>
      </w:r>
      <w:r>
        <w:rPr>
          <w:color w:val="231F20"/>
          <w:spacing w:val="-15"/>
          <w:w w:val="105"/>
        </w:rPr>
        <w:t> </w:t>
      </w:r>
      <w:r>
        <w:rPr>
          <w:color w:val="231F20"/>
          <w:w w:val="105"/>
        </w:rPr>
        <w:t>con</w:t>
      </w:r>
      <w:r>
        <w:rPr>
          <w:color w:val="231F20"/>
          <w:spacing w:val="-15"/>
          <w:w w:val="105"/>
        </w:rPr>
        <w:t> </w:t>
      </w:r>
      <w:r>
        <w:rPr>
          <w:color w:val="231F20"/>
          <w:w w:val="105"/>
        </w:rPr>
        <w:t>bonificación</w:t>
      </w:r>
      <w:r>
        <w:rPr>
          <w:color w:val="231F20"/>
          <w:spacing w:val="-15"/>
          <w:w w:val="105"/>
        </w:rPr>
        <w:t> </w:t>
      </w:r>
      <w:r>
        <w:rPr>
          <w:color w:val="231F20"/>
          <w:spacing w:val="-3"/>
          <w:w w:val="105"/>
        </w:rPr>
        <w:t>(cobrado</w:t>
      </w:r>
      <w:r>
        <w:rPr>
          <w:color w:val="231F20"/>
          <w:spacing w:val="-15"/>
          <w:w w:val="105"/>
        </w:rPr>
        <w:t> </w:t>
      </w:r>
      <w:r>
        <w:rPr>
          <w:color w:val="231F20"/>
          <w:w w:val="105"/>
        </w:rPr>
        <w:t>en</w:t>
      </w:r>
      <w:r>
        <w:rPr>
          <w:color w:val="231F20"/>
          <w:spacing w:val="-15"/>
          <w:w w:val="105"/>
        </w:rPr>
        <w:t> </w:t>
      </w:r>
      <w:r>
        <w:rPr>
          <w:color w:val="231F20"/>
          <w:spacing w:val="-3"/>
          <w:w w:val="105"/>
        </w:rPr>
        <w:t>caja),</w:t>
      </w:r>
      <w:r>
        <w:rPr>
          <w:color w:val="231F20"/>
          <w:spacing w:val="-15"/>
          <w:w w:val="105"/>
        </w:rPr>
        <w:t> </w:t>
      </w:r>
      <w:r>
        <w:rPr>
          <w:color w:val="231F20"/>
          <w:w w:val="105"/>
        </w:rPr>
        <w:t>de</w:t>
      </w:r>
      <w:r>
        <w:rPr>
          <w:color w:val="231F20"/>
          <w:spacing w:val="-15"/>
          <w:w w:val="105"/>
        </w:rPr>
        <w:t> </w:t>
      </w:r>
      <w:r>
        <w:rPr>
          <w:color w:val="231F20"/>
          <w:w w:val="105"/>
        </w:rPr>
        <w:t>889</w:t>
      </w:r>
      <w:r>
        <w:rPr>
          <w:color w:val="231F20"/>
          <w:spacing w:val="-15"/>
          <w:w w:val="105"/>
        </w:rPr>
        <w:t> </w:t>
      </w:r>
      <w:r>
        <w:rPr>
          <w:color w:val="231F20"/>
          <w:spacing w:val="2"/>
          <w:w w:val="105"/>
        </w:rPr>
        <w:t>mil </w:t>
      </w:r>
      <w:r>
        <w:rPr>
          <w:color w:val="231F20"/>
          <w:w w:val="105"/>
        </w:rPr>
        <w:t>223 pesos, por el periodo que </w:t>
      </w:r>
      <w:r>
        <w:rPr>
          <w:color w:val="231F20"/>
          <w:spacing w:val="-3"/>
          <w:w w:val="105"/>
        </w:rPr>
        <w:t>comprende </w:t>
      </w:r>
      <w:r>
        <w:rPr>
          <w:color w:val="231F20"/>
          <w:w w:val="105"/>
        </w:rPr>
        <w:t>del mes de Agosto de </w:t>
      </w:r>
      <w:r>
        <w:rPr>
          <w:color w:val="231F20"/>
          <w:spacing w:val="2"/>
          <w:w w:val="105"/>
        </w:rPr>
        <w:t>2007 al </w:t>
      </w:r>
      <w:r>
        <w:rPr>
          <w:color w:val="231F20"/>
          <w:w w:val="105"/>
        </w:rPr>
        <w:t>mes de Junio de</w:t>
      </w:r>
      <w:r>
        <w:rPr>
          <w:color w:val="231F20"/>
          <w:spacing w:val="-6"/>
          <w:w w:val="105"/>
        </w:rPr>
        <w:t> </w:t>
      </w:r>
      <w:r>
        <w:rPr>
          <w:color w:val="231F20"/>
          <w:spacing w:val="3"/>
          <w:w w:val="105"/>
        </w:rPr>
        <w:t>2008,</w:t>
      </w:r>
      <w:r>
        <w:rPr>
          <w:color w:val="231F20"/>
          <w:spacing w:val="-6"/>
          <w:w w:val="105"/>
        </w:rPr>
        <w:t> </w:t>
      </w:r>
      <w:r>
        <w:rPr>
          <w:color w:val="231F20"/>
          <w:w w:val="105"/>
        </w:rPr>
        <w:t>esto</w:t>
      </w:r>
      <w:r>
        <w:rPr>
          <w:color w:val="231F20"/>
          <w:spacing w:val="-6"/>
          <w:w w:val="105"/>
        </w:rPr>
        <w:t> </w:t>
      </w:r>
      <w:r>
        <w:rPr>
          <w:color w:val="231F20"/>
          <w:w w:val="105"/>
        </w:rPr>
        <w:t>contempla</w:t>
      </w:r>
      <w:r>
        <w:rPr>
          <w:color w:val="231F20"/>
          <w:spacing w:val="-6"/>
          <w:w w:val="105"/>
        </w:rPr>
        <w:t> </w:t>
      </w:r>
      <w:r>
        <w:rPr>
          <w:color w:val="231F20"/>
          <w:w w:val="105"/>
        </w:rPr>
        <w:t>el</w:t>
      </w:r>
      <w:r>
        <w:rPr>
          <w:color w:val="231F20"/>
          <w:spacing w:val="-6"/>
          <w:w w:val="105"/>
        </w:rPr>
        <w:t> </w:t>
      </w:r>
      <w:r>
        <w:rPr>
          <w:color w:val="231F20"/>
          <w:w w:val="105"/>
        </w:rPr>
        <w:t>cobro</w:t>
      </w:r>
      <w:r>
        <w:rPr>
          <w:color w:val="231F20"/>
          <w:spacing w:val="-6"/>
          <w:w w:val="105"/>
        </w:rPr>
        <w:t> </w:t>
      </w:r>
      <w:r>
        <w:rPr>
          <w:color w:val="231F20"/>
          <w:w w:val="105"/>
        </w:rPr>
        <w:t>por</w:t>
      </w:r>
      <w:r>
        <w:rPr>
          <w:color w:val="231F20"/>
          <w:spacing w:val="-6"/>
          <w:w w:val="105"/>
        </w:rPr>
        <w:t> </w:t>
      </w:r>
      <w:r>
        <w:rPr>
          <w:color w:val="231F20"/>
          <w:w w:val="105"/>
        </w:rPr>
        <w:t>consumo</w:t>
      </w:r>
      <w:r>
        <w:rPr>
          <w:color w:val="231F20"/>
          <w:spacing w:val="-6"/>
          <w:w w:val="105"/>
        </w:rPr>
        <w:t> </w:t>
      </w:r>
      <w:r>
        <w:rPr>
          <w:color w:val="231F20"/>
          <w:w w:val="105"/>
        </w:rPr>
        <w:t>de</w:t>
      </w:r>
      <w:r>
        <w:rPr>
          <w:color w:val="231F20"/>
          <w:spacing w:val="-6"/>
          <w:w w:val="105"/>
        </w:rPr>
        <w:t> </w:t>
      </w:r>
      <w:r>
        <w:rPr>
          <w:color w:val="231F20"/>
          <w:w w:val="105"/>
        </w:rPr>
        <w:t>agua</w:t>
      </w:r>
      <w:r>
        <w:rPr>
          <w:color w:val="231F20"/>
          <w:spacing w:val="-6"/>
          <w:w w:val="105"/>
        </w:rPr>
        <w:t> </w:t>
      </w:r>
      <w:r>
        <w:rPr>
          <w:color w:val="231F20"/>
          <w:w w:val="105"/>
        </w:rPr>
        <w:t>en</w:t>
      </w:r>
      <w:r>
        <w:rPr>
          <w:color w:val="231F20"/>
          <w:spacing w:val="-6"/>
          <w:w w:val="105"/>
        </w:rPr>
        <w:t> </w:t>
      </w:r>
      <w:r>
        <w:rPr>
          <w:color w:val="231F20"/>
          <w:w w:val="105"/>
        </w:rPr>
        <w:t>actualización,</w:t>
      </w:r>
      <w:r>
        <w:rPr>
          <w:color w:val="231F20"/>
          <w:spacing w:val="-6"/>
          <w:w w:val="105"/>
        </w:rPr>
        <w:t> </w:t>
      </w:r>
      <w:r>
        <w:rPr>
          <w:color w:val="231F20"/>
          <w:w w:val="105"/>
        </w:rPr>
        <w:t>en</w:t>
      </w:r>
      <w:r>
        <w:rPr>
          <w:color w:val="231F20"/>
          <w:spacing w:val="-6"/>
          <w:w w:val="105"/>
        </w:rPr>
        <w:t> </w:t>
      </w:r>
      <w:r>
        <w:rPr>
          <w:color w:val="231F20"/>
          <w:w w:val="105"/>
        </w:rPr>
        <w:t>rezago,</w:t>
      </w:r>
      <w:r>
        <w:rPr>
          <w:color w:val="231F20"/>
          <w:spacing w:val="-6"/>
          <w:w w:val="105"/>
        </w:rPr>
        <w:t> </w:t>
      </w:r>
      <w:r>
        <w:rPr>
          <w:color w:val="231F20"/>
          <w:w w:val="105"/>
        </w:rPr>
        <w:t>en derechos de conexión de agua y drenaje, carga en pipa, constancias de no </w:t>
      </w:r>
      <w:r>
        <w:rPr>
          <w:color w:val="231F20"/>
          <w:spacing w:val="-3"/>
          <w:w w:val="105"/>
        </w:rPr>
        <w:t>adeudo </w:t>
      </w:r>
      <w:r>
        <w:rPr>
          <w:color w:val="231F20"/>
          <w:w w:val="105"/>
        </w:rPr>
        <w:t>del contribuyente</w:t>
      </w:r>
      <w:r>
        <w:rPr>
          <w:color w:val="231F20"/>
          <w:spacing w:val="-14"/>
          <w:w w:val="105"/>
        </w:rPr>
        <w:t> </w:t>
      </w:r>
      <w:r>
        <w:rPr>
          <w:color w:val="231F20"/>
          <w:w w:val="105"/>
        </w:rPr>
        <w:t>dentro</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consumo</w:t>
      </w:r>
      <w:r>
        <w:rPr>
          <w:color w:val="231F20"/>
          <w:spacing w:val="-14"/>
          <w:w w:val="105"/>
        </w:rPr>
        <w:t> </w:t>
      </w:r>
      <w:r>
        <w:rPr>
          <w:color w:val="231F20"/>
          <w:w w:val="105"/>
        </w:rPr>
        <w:t>de</w:t>
      </w:r>
      <w:r>
        <w:rPr>
          <w:color w:val="231F20"/>
          <w:spacing w:val="-14"/>
          <w:w w:val="105"/>
        </w:rPr>
        <w:t> </w:t>
      </w:r>
      <w:r>
        <w:rPr>
          <w:color w:val="231F20"/>
          <w:w w:val="105"/>
        </w:rPr>
        <w:t>agua</w:t>
      </w:r>
      <w:r>
        <w:rPr>
          <w:color w:val="231F20"/>
          <w:spacing w:val="-14"/>
          <w:w w:val="105"/>
        </w:rPr>
        <w:t> </w:t>
      </w:r>
      <w:r>
        <w:rPr>
          <w:color w:val="231F20"/>
          <w:w w:val="105"/>
        </w:rPr>
        <w:t>y</w:t>
      </w:r>
      <w:r>
        <w:rPr>
          <w:color w:val="231F20"/>
          <w:spacing w:val="-14"/>
          <w:w w:val="105"/>
        </w:rPr>
        <w:t> </w:t>
      </w:r>
      <w:r>
        <w:rPr>
          <w:color w:val="231F20"/>
          <w:w w:val="105"/>
        </w:rPr>
        <w:t>cambio</w:t>
      </w:r>
      <w:r>
        <w:rPr>
          <w:color w:val="231F20"/>
          <w:spacing w:val="-14"/>
          <w:w w:val="105"/>
        </w:rPr>
        <w:t> </w:t>
      </w:r>
      <w:r>
        <w:rPr>
          <w:color w:val="231F20"/>
          <w:w w:val="105"/>
        </w:rPr>
        <w:t>de</w:t>
      </w:r>
      <w:r>
        <w:rPr>
          <w:color w:val="231F20"/>
          <w:spacing w:val="-14"/>
          <w:w w:val="105"/>
        </w:rPr>
        <w:t> </w:t>
      </w:r>
      <w:r>
        <w:rPr>
          <w:color w:val="231F20"/>
          <w:spacing w:val="-3"/>
          <w:w w:val="105"/>
        </w:rPr>
        <w:t>nombre</w:t>
      </w:r>
      <w:r>
        <w:rPr>
          <w:color w:val="231F20"/>
          <w:spacing w:val="-14"/>
          <w:w w:val="105"/>
        </w:rPr>
        <w:t> </w:t>
      </w:r>
      <w:r>
        <w:rPr>
          <w:color w:val="231F20"/>
          <w:w w:val="105"/>
        </w:rPr>
        <w:t>del</w:t>
      </w:r>
      <w:r>
        <w:rPr>
          <w:color w:val="231F20"/>
          <w:spacing w:val="-14"/>
          <w:w w:val="105"/>
        </w:rPr>
        <w:t> </w:t>
      </w:r>
      <w:r>
        <w:rPr>
          <w:color w:val="231F20"/>
          <w:w w:val="105"/>
        </w:rPr>
        <w:t>usuario.</w:t>
      </w:r>
      <w:r>
        <w:rPr>
          <w:color w:val="231F20"/>
          <w:spacing w:val="-14"/>
          <w:w w:val="105"/>
        </w:rPr>
        <w:t> </w:t>
      </w:r>
      <w:r>
        <w:rPr>
          <w:color w:val="231F20"/>
          <w:w w:val="105"/>
        </w:rPr>
        <w:t>Se</w:t>
      </w:r>
      <w:r>
        <w:rPr>
          <w:color w:val="231F20"/>
          <w:spacing w:val="-14"/>
          <w:w w:val="105"/>
        </w:rPr>
        <w:t> </w:t>
      </w:r>
      <w:r>
        <w:rPr>
          <w:color w:val="231F20"/>
          <w:w w:val="105"/>
        </w:rPr>
        <w:t>aplicó una</w:t>
      </w:r>
      <w:r>
        <w:rPr>
          <w:color w:val="231F20"/>
          <w:spacing w:val="-3"/>
          <w:w w:val="105"/>
        </w:rPr>
        <w:t> </w:t>
      </w:r>
      <w:r>
        <w:rPr>
          <w:color w:val="231F20"/>
          <w:w w:val="105"/>
        </w:rPr>
        <w:t>bonificación</w:t>
      </w:r>
      <w:r>
        <w:rPr>
          <w:color w:val="231F20"/>
          <w:spacing w:val="-3"/>
          <w:w w:val="105"/>
        </w:rPr>
        <w:t> </w:t>
      </w:r>
      <w:r>
        <w:rPr>
          <w:color w:val="231F20"/>
          <w:w w:val="105"/>
        </w:rPr>
        <w:t>de</w:t>
      </w:r>
      <w:r>
        <w:rPr>
          <w:color w:val="231F20"/>
          <w:spacing w:val="-3"/>
          <w:w w:val="105"/>
        </w:rPr>
        <w:t> </w:t>
      </w:r>
      <w:r>
        <w:rPr>
          <w:color w:val="231F20"/>
          <w:w w:val="105"/>
        </w:rPr>
        <w:t>un</w:t>
      </w:r>
      <w:r>
        <w:rPr>
          <w:color w:val="231F20"/>
          <w:spacing w:val="-3"/>
          <w:w w:val="105"/>
        </w:rPr>
        <w:t> </w:t>
      </w:r>
      <w:r>
        <w:rPr>
          <w:color w:val="231F20"/>
          <w:w w:val="105"/>
        </w:rPr>
        <w:t>100</w:t>
      </w:r>
      <w:r>
        <w:rPr>
          <w:color w:val="231F20"/>
          <w:spacing w:val="-3"/>
          <w:w w:val="105"/>
        </w:rPr>
        <w:t> </w:t>
      </w:r>
      <w:r>
        <w:rPr>
          <w:color w:val="231F20"/>
          <w:w w:val="105"/>
        </w:rPr>
        <w:t>por</w:t>
      </w:r>
      <w:r>
        <w:rPr>
          <w:color w:val="231F20"/>
          <w:spacing w:val="-3"/>
          <w:w w:val="105"/>
        </w:rPr>
        <w:t> </w:t>
      </w:r>
      <w:r>
        <w:rPr>
          <w:color w:val="231F20"/>
          <w:w w:val="105"/>
        </w:rPr>
        <w:t>ciento</w:t>
      </w:r>
      <w:r>
        <w:rPr>
          <w:color w:val="231F20"/>
          <w:spacing w:val="-3"/>
          <w:w w:val="105"/>
        </w:rPr>
        <w:t> </w:t>
      </w:r>
      <w:r>
        <w:rPr>
          <w:color w:val="231F20"/>
          <w:w w:val="105"/>
        </w:rPr>
        <w:t>de</w:t>
      </w:r>
      <w:r>
        <w:rPr>
          <w:color w:val="231F20"/>
          <w:spacing w:val="-3"/>
          <w:w w:val="105"/>
        </w:rPr>
        <w:t> </w:t>
      </w:r>
      <w:r>
        <w:rPr>
          <w:color w:val="231F20"/>
          <w:w w:val="105"/>
        </w:rPr>
        <w:t>descuento</w:t>
      </w:r>
      <w:r>
        <w:rPr>
          <w:color w:val="231F20"/>
          <w:spacing w:val="-3"/>
          <w:w w:val="105"/>
        </w:rPr>
        <w:t> </w:t>
      </w:r>
      <w:r>
        <w:rPr>
          <w:color w:val="231F20"/>
          <w:w w:val="105"/>
        </w:rPr>
        <w:t>en</w:t>
      </w:r>
      <w:r>
        <w:rPr>
          <w:color w:val="231F20"/>
          <w:spacing w:val="-3"/>
          <w:w w:val="105"/>
        </w:rPr>
        <w:t> </w:t>
      </w:r>
      <w:r>
        <w:rPr>
          <w:color w:val="231F20"/>
          <w:w w:val="105"/>
        </w:rPr>
        <w:t>recargos</w:t>
      </w:r>
      <w:r>
        <w:rPr>
          <w:color w:val="231F20"/>
          <w:spacing w:val="-3"/>
          <w:w w:val="105"/>
        </w:rPr>
        <w:t> </w:t>
      </w:r>
      <w:r>
        <w:rPr>
          <w:color w:val="231F20"/>
          <w:w w:val="105"/>
        </w:rPr>
        <w:t>y</w:t>
      </w:r>
      <w:r>
        <w:rPr>
          <w:color w:val="231F20"/>
          <w:spacing w:val="-3"/>
          <w:w w:val="105"/>
        </w:rPr>
        <w:t> </w:t>
      </w:r>
      <w:r>
        <w:rPr>
          <w:color w:val="231F20"/>
          <w:w w:val="105"/>
        </w:rPr>
        <w:t>multas,</w:t>
      </w:r>
      <w:r>
        <w:rPr>
          <w:color w:val="231F20"/>
          <w:spacing w:val="-3"/>
          <w:w w:val="105"/>
        </w:rPr>
        <w:t> </w:t>
      </w:r>
      <w:r>
        <w:rPr>
          <w:color w:val="231F20"/>
          <w:w w:val="105"/>
        </w:rPr>
        <w:t>así</w:t>
      </w:r>
      <w:r>
        <w:rPr>
          <w:color w:val="231F20"/>
          <w:spacing w:val="-3"/>
          <w:w w:val="105"/>
        </w:rPr>
        <w:t> </w:t>
      </w:r>
      <w:r>
        <w:rPr>
          <w:color w:val="231F20"/>
          <w:w w:val="105"/>
        </w:rPr>
        <w:t>como</w:t>
      </w:r>
      <w:r>
        <w:rPr>
          <w:color w:val="231F20"/>
          <w:spacing w:val="-3"/>
          <w:w w:val="105"/>
        </w:rPr>
        <w:t> </w:t>
      </w:r>
      <w:r>
        <w:rPr>
          <w:color w:val="231F20"/>
          <w:w w:val="105"/>
        </w:rPr>
        <w:t>un 50</w:t>
      </w:r>
      <w:r>
        <w:rPr>
          <w:color w:val="231F20"/>
          <w:spacing w:val="-20"/>
          <w:w w:val="105"/>
        </w:rPr>
        <w:t> </w:t>
      </w:r>
      <w:r>
        <w:rPr>
          <w:color w:val="231F20"/>
          <w:w w:val="105"/>
        </w:rPr>
        <w:t>por</w:t>
      </w:r>
      <w:r>
        <w:rPr>
          <w:color w:val="231F20"/>
          <w:spacing w:val="-20"/>
          <w:w w:val="105"/>
        </w:rPr>
        <w:t> </w:t>
      </w:r>
      <w:r>
        <w:rPr>
          <w:color w:val="231F20"/>
          <w:w w:val="105"/>
        </w:rPr>
        <w:t>ciento</w:t>
      </w:r>
      <w:r>
        <w:rPr>
          <w:color w:val="231F20"/>
          <w:spacing w:val="-20"/>
          <w:w w:val="105"/>
        </w:rPr>
        <w:t> </w:t>
      </w:r>
      <w:r>
        <w:rPr>
          <w:color w:val="231F20"/>
          <w:w w:val="105"/>
        </w:rPr>
        <w:t>de</w:t>
      </w:r>
      <w:r>
        <w:rPr>
          <w:color w:val="231F20"/>
          <w:spacing w:val="-20"/>
          <w:w w:val="105"/>
        </w:rPr>
        <w:t> </w:t>
      </w:r>
      <w:r>
        <w:rPr>
          <w:color w:val="231F20"/>
          <w:w w:val="105"/>
        </w:rPr>
        <w:t>descuento</w:t>
      </w:r>
      <w:r>
        <w:rPr>
          <w:color w:val="231F20"/>
          <w:spacing w:val="-20"/>
          <w:w w:val="105"/>
        </w:rPr>
        <w:t> </w:t>
      </w:r>
      <w:r>
        <w:rPr>
          <w:color w:val="231F20"/>
          <w:w w:val="105"/>
        </w:rPr>
        <w:t>a</w:t>
      </w:r>
      <w:r>
        <w:rPr>
          <w:color w:val="231F20"/>
          <w:spacing w:val="-20"/>
          <w:w w:val="105"/>
        </w:rPr>
        <w:t> </w:t>
      </w:r>
      <w:r>
        <w:rPr>
          <w:color w:val="231F20"/>
          <w:w w:val="105"/>
        </w:rPr>
        <w:t>personas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tercera</w:t>
      </w:r>
      <w:r>
        <w:rPr>
          <w:color w:val="231F20"/>
          <w:spacing w:val="-20"/>
          <w:w w:val="105"/>
        </w:rPr>
        <w:t> </w:t>
      </w:r>
      <w:r>
        <w:rPr>
          <w:color w:val="231F20"/>
          <w:w w:val="105"/>
        </w:rPr>
        <w:t>edad,</w:t>
      </w:r>
      <w:r>
        <w:rPr>
          <w:color w:val="231F20"/>
          <w:spacing w:val="-20"/>
          <w:w w:val="105"/>
        </w:rPr>
        <w:t> </w:t>
      </w:r>
      <w:r>
        <w:rPr>
          <w:color w:val="231F20"/>
          <w:w w:val="105"/>
        </w:rPr>
        <w:t>pensionadas,</w:t>
      </w:r>
      <w:r>
        <w:rPr>
          <w:color w:val="231F20"/>
          <w:spacing w:val="-20"/>
          <w:w w:val="105"/>
        </w:rPr>
        <w:t> </w:t>
      </w:r>
      <w:r>
        <w:rPr>
          <w:color w:val="231F20"/>
          <w:w w:val="105"/>
        </w:rPr>
        <w:t>jubiladas,</w:t>
      </w:r>
      <w:r>
        <w:rPr>
          <w:color w:val="231F20"/>
          <w:spacing w:val="-20"/>
          <w:w w:val="105"/>
        </w:rPr>
        <w:t> </w:t>
      </w:r>
      <w:r>
        <w:rPr>
          <w:color w:val="231F20"/>
          <w:w w:val="105"/>
        </w:rPr>
        <w:t>viudas, madres</w:t>
      </w:r>
      <w:r>
        <w:rPr>
          <w:color w:val="231F20"/>
          <w:spacing w:val="-22"/>
          <w:w w:val="105"/>
        </w:rPr>
        <w:t> </w:t>
      </w:r>
      <w:r>
        <w:rPr>
          <w:color w:val="231F20"/>
          <w:w w:val="105"/>
        </w:rPr>
        <w:t>solteras</w:t>
      </w:r>
      <w:r>
        <w:rPr>
          <w:color w:val="231F20"/>
          <w:spacing w:val="-22"/>
          <w:w w:val="105"/>
        </w:rPr>
        <w:t> </w:t>
      </w:r>
      <w:r>
        <w:rPr>
          <w:color w:val="231F20"/>
          <w:w w:val="105"/>
        </w:rPr>
        <w:t>y</w:t>
      </w:r>
      <w:r>
        <w:rPr>
          <w:color w:val="231F20"/>
          <w:spacing w:val="-22"/>
          <w:w w:val="105"/>
        </w:rPr>
        <w:t> </w:t>
      </w:r>
      <w:r>
        <w:rPr>
          <w:color w:val="231F20"/>
          <w:w w:val="105"/>
        </w:rPr>
        <w:t>con</w:t>
      </w:r>
      <w:r>
        <w:rPr>
          <w:color w:val="231F20"/>
          <w:spacing w:val="-22"/>
          <w:w w:val="105"/>
        </w:rPr>
        <w:t> </w:t>
      </w:r>
      <w:r>
        <w:rPr>
          <w:color w:val="231F20"/>
          <w:w w:val="105"/>
        </w:rPr>
        <w:t>capacidades</w:t>
      </w:r>
      <w:r>
        <w:rPr>
          <w:color w:val="231F20"/>
          <w:spacing w:val="-22"/>
          <w:w w:val="105"/>
        </w:rPr>
        <w:t> </w:t>
      </w:r>
      <w:r>
        <w:rPr>
          <w:color w:val="231F20"/>
          <w:w w:val="105"/>
        </w:rPr>
        <w:t>diferentes.</w:t>
      </w:r>
      <w:r>
        <w:rPr>
          <w:color w:val="231F20"/>
          <w:spacing w:val="-22"/>
          <w:w w:val="105"/>
        </w:rPr>
        <w:t> </w:t>
      </w:r>
      <w:r>
        <w:rPr>
          <w:color w:val="231F20"/>
          <w:w w:val="105"/>
        </w:rPr>
        <w:t>Se</w:t>
      </w:r>
      <w:r>
        <w:rPr>
          <w:color w:val="231F20"/>
          <w:spacing w:val="-22"/>
          <w:w w:val="105"/>
        </w:rPr>
        <w:t> </w:t>
      </w:r>
      <w:r>
        <w:rPr>
          <w:color w:val="231F20"/>
          <w:w w:val="105"/>
        </w:rPr>
        <w:t>tiene</w:t>
      </w:r>
      <w:r>
        <w:rPr>
          <w:color w:val="231F20"/>
          <w:spacing w:val="-22"/>
          <w:w w:val="105"/>
        </w:rPr>
        <w:t> </w:t>
      </w:r>
      <w:r>
        <w:rPr>
          <w:color w:val="231F20"/>
          <w:w w:val="105"/>
        </w:rPr>
        <w:t>un</w:t>
      </w:r>
      <w:r>
        <w:rPr>
          <w:color w:val="231F20"/>
          <w:spacing w:val="-22"/>
          <w:w w:val="105"/>
        </w:rPr>
        <w:t> </w:t>
      </w:r>
      <w:r>
        <w:rPr>
          <w:color w:val="231F20"/>
          <w:w w:val="105"/>
        </w:rPr>
        <w:t>total</w:t>
      </w:r>
      <w:r>
        <w:rPr>
          <w:color w:val="231F20"/>
          <w:spacing w:val="-22"/>
          <w:w w:val="105"/>
        </w:rPr>
        <w:t> </w:t>
      </w:r>
      <w:r>
        <w:rPr>
          <w:color w:val="231F20"/>
          <w:w w:val="105"/>
        </w:rPr>
        <w:t>de</w:t>
      </w:r>
      <w:r>
        <w:rPr>
          <w:color w:val="231F20"/>
          <w:spacing w:val="-22"/>
          <w:w w:val="105"/>
        </w:rPr>
        <w:t> </w:t>
      </w:r>
      <w:r>
        <w:rPr>
          <w:color w:val="231F20"/>
          <w:w w:val="105"/>
        </w:rPr>
        <w:t>4</w:t>
      </w:r>
      <w:r>
        <w:rPr>
          <w:color w:val="231F20"/>
          <w:spacing w:val="-22"/>
          <w:w w:val="105"/>
        </w:rPr>
        <w:t> </w:t>
      </w:r>
      <w:r>
        <w:rPr>
          <w:color w:val="231F20"/>
          <w:spacing w:val="2"/>
          <w:w w:val="105"/>
        </w:rPr>
        <w:t>mil</w:t>
      </w:r>
      <w:r>
        <w:rPr>
          <w:color w:val="231F20"/>
          <w:spacing w:val="-22"/>
          <w:w w:val="105"/>
        </w:rPr>
        <w:t> </w:t>
      </w:r>
      <w:r>
        <w:rPr>
          <w:color w:val="231F20"/>
          <w:w w:val="105"/>
        </w:rPr>
        <w:t>482</w:t>
      </w:r>
      <w:r>
        <w:rPr>
          <w:color w:val="231F20"/>
          <w:spacing w:val="-22"/>
          <w:w w:val="105"/>
        </w:rPr>
        <w:t> </w:t>
      </w:r>
      <w:r>
        <w:rPr>
          <w:color w:val="231F20"/>
          <w:w w:val="105"/>
        </w:rPr>
        <w:t>contribuyen- tes</w:t>
      </w:r>
      <w:r>
        <w:rPr>
          <w:color w:val="231F20"/>
          <w:spacing w:val="-8"/>
          <w:w w:val="105"/>
        </w:rPr>
        <w:t> </w:t>
      </w:r>
      <w:r>
        <w:rPr>
          <w:color w:val="231F20"/>
          <w:w w:val="105"/>
        </w:rPr>
        <w:t>registrados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padrón</w:t>
      </w:r>
      <w:r>
        <w:rPr>
          <w:color w:val="231F20"/>
          <w:spacing w:val="-8"/>
          <w:w w:val="105"/>
        </w:rPr>
        <w:t> </w:t>
      </w:r>
      <w:r>
        <w:rPr>
          <w:color w:val="231F20"/>
          <w:w w:val="105"/>
        </w:rPr>
        <w:t>de</w:t>
      </w:r>
      <w:r>
        <w:rPr>
          <w:color w:val="231F20"/>
          <w:spacing w:val="-8"/>
          <w:w w:val="105"/>
        </w:rPr>
        <w:t> </w:t>
      </w:r>
      <w:r>
        <w:rPr>
          <w:color w:val="231F20"/>
          <w:w w:val="105"/>
        </w:rPr>
        <w:t>usuarios</w:t>
      </w:r>
      <w:r>
        <w:rPr>
          <w:color w:val="231F20"/>
          <w:spacing w:val="-8"/>
          <w:w w:val="105"/>
        </w:rPr>
        <w:t> </w:t>
      </w:r>
      <w:r>
        <w:rPr>
          <w:color w:val="231F20"/>
          <w:w w:val="105"/>
        </w:rPr>
        <w:t>del</w:t>
      </w:r>
      <w:r>
        <w:rPr>
          <w:color w:val="231F20"/>
          <w:spacing w:val="-8"/>
          <w:w w:val="105"/>
        </w:rPr>
        <w:t> </w:t>
      </w:r>
      <w:r>
        <w:rPr>
          <w:color w:val="231F20"/>
          <w:w w:val="105"/>
        </w:rPr>
        <w:t>servicio</w:t>
      </w:r>
      <w:r>
        <w:rPr>
          <w:color w:val="231F20"/>
          <w:spacing w:val="-8"/>
          <w:w w:val="105"/>
        </w:rPr>
        <w:t> </w:t>
      </w:r>
      <w:r>
        <w:rPr>
          <w:color w:val="231F20"/>
          <w:w w:val="105"/>
        </w:rPr>
        <w:t>de</w:t>
      </w:r>
      <w:r>
        <w:rPr>
          <w:color w:val="231F20"/>
          <w:spacing w:val="-8"/>
          <w:w w:val="105"/>
        </w:rPr>
        <w:t> </w:t>
      </w:r>
      <w:r>
        <w:rPr>
          <w:color w:val="231F20"/>
          <w:w w:val="105"/>
        </w:rPr>
        <w:t>agua</w:t>
      </w:r>
      <w:r>
        <w:rPr>
          <w:color w:val="231F20"/>
          <w:spacing w:val="-8"/>
          <w:w w:val="105"/>
        </w:rPr>
        <w:t> </w:t>
      </w:r>
      <w:r>
        <w:rPr>
          <w:color w:val="231F20"/>
          <w:w w:val="105"/>
        </w:rPr>
        <w:t>potable,</w:t>
      </w:r>
      <w:r>
        <w:rPr>
          <w:color w:val="231F20"/>
          <w:spacing w:val="-8"/>
          <w:w w:val="105"/>
        </w:rPr>
        <w:t> </w:t>
      </w:r>
      <w:r>
        <w:rPr>
          <w:color w:val="231F20"/>
          <w:w w:val="105"/>
        </w:rPr>
        <w:t>lo</w:t>
      </w:r>
      <w:r>
        <w:rPr>
          <w:color w:val="231F20"/>
          <w:spacing w:val="-8"/>
          <w:w w:val="105"/>
        </w:rPr>
        <w:t> </w:t>
      </w:r>
      <w:r>
        <w:rPr>
          <w:color w:val="231F20"/>
          <w:w w:val="105"/>
        </w:rPr>
        <w:t>cual</w:t>
      </w:r>
      <w:r>
        <w:rPr>
          <w:color w:val="231F20"/>
          <w:spacing w:val="-8"/>
          <w:w w:val="105"/>
        </w:rPr>
        <w:t> </w:t>
      </w:r>
      <w:r>
        <w:rPr>
          <w:color w:val="231F20"/>
          <w:w w:val="105"/>
        </w:rPr>
        <w:t>indica</w:t>
      </w:r>
      <w:r>
        <w:rPr>
          <w:color w:val="231F20"/>
          <w:spacing w:val="-8"/>
          <w:w w:val="105"/>
        </w:rPr>
        <w:t> </w:t>
      </w:r>
      <w:r>
        <w:rPr>
          <w:color w:val="231F20"/>
          <w:w w:val="105"/>
        </w:rPr>
        <w:t>que en</w:t>
      </w:r>
      <w:r>
        <w:rPr>
          <w:color w:val="231F20"/>
          <w:spacing w:val="-10"/>
          <w:w w:val="105"/>
        </w:rPr>
        <w:t> </w:t>
      </w:r>
      <w:r>
        <w:rPr>
          <w:color w:val="231F20"/>
          <w:w w:val="105"/>
        </w:rPr>
        <w:t>este</w:t>
      </w:r>
      <w:r>
        <w:rPr>
          <w:color w:val="231F20"/>
          <w:spacing w:val="-10"/>
          <w:w w:val="105"/>
        </w:rPr>
        <w:t> </w:t>
      </w:r>
      <w:r>
        <w:rPr>
          <w:color w:val="231F20"/>
          <w:w w:val="105"/>
        </w:rPr>
        <w:t>período</w:t>
      </w:r>
      <w:r>
        <w:rPr>
          <w:color w:val="231F20"/>
          <w:spacing w:val="-10"/>
          <w:w w:val="105"/>
        </w:rPr>
        <w:t> </w:t>
      </w:r>
      <w:r>
        <w:rPr>
          <w:color w:val="231F20"/>
          <w:w w:val="105"/>
        </w:rPr>
        <w:t>se</w:t>
      </w:r>
      <w:r>
        <w:rPr>
          <w:color w:val="231F20"/>
          <w:spacing w:val="-10"/>
          <w:w w:val="105"/>
        </w:rPr>
        <w:t> </w:t>
      </w:r>
      <w:r>
        <w:rPr>
          <w:color w:val="231F20"/>
          <w:w w:val="105"/>
        </w:rPr>
        <w:t>tuvo</w:t>
      </w:r>
      <w:r>
        <w:rPr>
          <w:color w:val="231F20"/>
          <w:spacing w:val="-10"/>
          <w:w w:val="105"/>
        </w:rPr>
        <w:t> </w:t>
      </w:r>
      <w:r>
        <w:rPr>
          <w:color w:val="231F20"/>
          <w:w w:val="105"/>
        </w:rPr>
        <w:t>un</w:t>
      </w:r>
      <w:r>
        <w:rPr>
          <w:color w:val="231F20"/>
          <w:spacing w:val="-10"/>
          <w:w w:val="105"/>
        </w:rPr>
        <w:t> </w:t>
      </w:r>
      <w:r>
        <w:rPr>
          <w:color w:val="231F20"/>
          <w:w w:val="105"/>
        </w:rPr>
        <w:t>incremento</w:t>
      </w:r>
      <w:r>
        <w:rPr>
          <w:color w:val="231F20"/>
          <w:spacing w:val="-10"/>
          <w:w w:val="105"/>
        </w:rPr>
        <w:t> </w:t>
      </w:r>
      <w:r>
        <w:rPr>
          <w:color w:val="231F20"/>
          <w:w w:val="105"/>
        </w:rPr>
        <w:t>de</w:t>
      </w:r>
      <w:r>
        <w:rPr>
          <w:color w:val="231F20"/>
          <w:spacing w:val="-10"/>
          <w:w w:val="105"/>
        </w:rPr>
        <w:t> </w:t>
      </w:r>
      <w:r>
        <w:rPr>
          <w:color w:val="231F20"/>
          <w:spacing w:val="-8"/>
          <w:w w:val="105"/>
        </w:rPr>
        <w:t>174</w:t>
      </w:r>
      <w:r>
        <w:rPr>
          <w:color w:val="231F20"/>
          <w:spacing w:val="-10"/>
          <w:w w:val="105"/>
        </w:rPr>
        <w:t> </w:t>
      </w:r>
      <w:r>
        <w:rPr>
          <w:color w:val="231F20"/>
          <w:w w:val="105"/>
        </w:rPr>
        <w:t>nuevos</w:t>
      </w:r>
      <w:r>
        <w:rPr>
          <w:color w:val="231F20"/>
          <w:spacing w:val="-10"/>
          <w:w w:val="105"/>
        </w:rPr>
        <w:t> </w:t>
      </w:r>
      <w:r>
        <w:rPr>
          <w:color w:val="231F20"/>
          <w:w w:val="105"/>
        </w:rPr>
        <w:t>usuarios.</w:t>
      </w:r>
    </w:p>
    <w:p>
      <w:pPr>
        <w:pStyle w:val="BodyText"/>
        <w:spacing w:before="1"/>
        <w:rPr>
          <w:sz w:val="24"/>
        </w:rPr>
      </w:pPr>
    </w:p>
    <w:p>
      <w:pPr>
        <w:pStyle w:val="BodyText"/>
        <w:spacing w:line="276" w:lineRule="auto"/>
        <w:ind w:left="110" w:right="108" w:hanging="1"/>
        <w:jc w:val="both"/>
      </w:pPr>
      <w:r>
        <w:rPr>
          <w:rFonts w:ascii="Palatino Linotype" w:hAnsi="Palatino Linotype"/>
          <w:i/>
          <w:color w:val="231F20"/>
        </w:rPr>
        <w:t>Fomento del Empleo (Comisión de Desarrollo Social)</w:t>
      </w:r>
      <w:r>
        <w:rPr>
          <w:color w:val="231F20"/>
        </w:rPr>
        <w:t>. Se capacitó a 60 personas en ela- boración de piñatas, secretariado y corte de cabello; cabe hacer mención que en la ac- tualidad se continúa con pintura en tela, elaboración de flores de migajón y alto peinado. Se realizaron 3 exposiciones de pintura y 1 de   piñatas.</w:t>
      </w:r>
    </w:p>
    <w:p>
      <w:pPr>
        <w:pStyle w:val="BodyText"/>
        <w:spacing w:before="8"/>
        <w:rPr>
          <w:sz w:val="24"/>
        </w:rPr>
      </w:pPr>
    </w:p>
    <w:p>
      <w:pPr>
        <w:pStyle w:val="BodyText"/>
        <w:spacing w:line="273" w:lineRule="auto" w:before="1"/>
        <w:ind w:left="110" w:right="108"/>
        <w:jc w:val="both"/>
      </w:pPr>
      <w:r>
        <w:rPr>
          <w:rFonts w:ascii="Palatino Linotype" w:hAnsi="Palatino Linotype"/>
          <w:i/>
          <w:color w:val="231F20"/>
          <w:w w:val="105"/>
        </w:rPr>
        <w:t>Bolsa de </w:t>
      </w:r>
      <w:r>
        <w:rPr>
          <w:rFonts w:ascii="Palatino Linotype" w:hAnsi="Palatino Linotype"/>
          <w:i/>
          <w:color w:val="231F20"/>
          <w:spacing w:val="-4"/>
          <w:w w:val="105"/>
        </w:rPr>
        <w:t>Trabajo</w:t>
      </w:r>
      <w:r>
        <w:rPr>
          <w:color w:val="231F20"/>
          <w:spacing w:val="-4"/>
          <w:w w:val="105"/>
        </w:rPr>
        <w:t>. </w:t>
      </w:r>
      <w:r>
        <w:rPr>
          <w:color w:val="231F20"/>
          <w:w w:val="105"/>
        </w:rPr>
        <w:t>Se gestionó con diferentes municipios la bolsa de trabajo por lo cual hubo</w:t>
      </w:r>
      <w:r>
        <w:rPr>
          <w:color w:val="231F20"/>
          <w:spacing w:val="-17"/>
          <w:w w:val="105"/>
        </w:rPr>
        <w:t> </w:t>
      </w:r>
      <w:r>
        <w:rPr>
          <w:color w:val="231F20"/>
          <w:w w:val="105"/>
        </w:rPr>
        <w:t>reuniones</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w w:val="105"/>
        </w:rPr>
        <w:t>municipios</w:t>
      </w:r>
      <w:r>
        <w:rPr>
          <w:color w:val="231F20"/>
          <w:spacing w:val="-17"/>
          <w:w w:val="105"/>
        </w:rPr>
        <w:t> </w:t>
      </w:r>
      <w:r>
        <w:rPr>
          <w:color w:val="231F20"/>
          <w:w w:val="105"/>
        </w:rPr>
        <w:t>de</w:t>
      </w:r>
      <w:r>
        <w:rPr>
          <w:color w:val="231F20"/>
          <w:spacing w:val="-17"/>
          <w:w w:val="105"/>
        </w:rPr>
        <w:t> </w:t>
      </w:r>
      <w:r>
        <w:rPr>
          <w:color w:val="231F20"/>
          <w:w w:val="105"/>
        </w:rPr>
        <w:t>Ixtapaluca,</w:t>
      </w:r>
      <w:r>
        <w:rPr>
          <w:color w:val="231F20"/>
          <w:spacing w:val="-17"/>
          <w:w w:val="105"/>
        </w:rPr>
        <w:t> </w:t>
      </w:r>
      <w:r>
        <w:rPr>
          <w:color w:val="231F20"/>
          <w:w w:val="105"/>
        </w:rPr>
        <w:t>Chalco,</w:t>
      </w:r>
      <w:r>
        <w:rPr>
          <w:color w:val="231F20"/>
          <w:spacing w:val="-17"/>
          <w:w w:val="105"/>
        </w:rPr>
        <w:t> </w:t>
      </w:r>
      <w:r>
        <w:rPr>
          <w:color w:val="231F20"/>
          <w:w w:val="105"/>
        </w:rPr>
        <w:t>Amecameca</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Cuautla</w:t>
      </w:r>
      <w:r>
        <w:rPr>
          <w:color w:val="231F20"/>
          <w:spacing w:val="-17"/>
          <w:w w:val="105"/>
        </w:rPr>
        <w:t> </w:t>
      </w:r>
      <w:r>
        <w:rPr>
          <w:color w:val="231F20"/>
          <w:w w:val="105"/>
        </w:rPr>
        <w:t>del Estado</w:t>
      </w:r>
      <w:r>
        <w:rPr>
          <w:color w:val="231F20"/>
          <w:spacing w:val="-20"/>
          <w:w w:val="105"/>
        </w:rPr>
        <w:t> </w:t>
      </w:r>
      <w:r>
        <w:rPr>
          <w:color w:val="231F20"/>
          <w:w w:val="105"/>
        </w:rPr>
        <w:t>de</w:t>
      </w:r>
      <w:r>
        <w:rPr>
          <w:color w:val="231F20"/>
          <w:spacing w:val="-20"/>
          <w:w w:val="105"/>
        </w:rPr>
        <w:t> </w:t>
      </w:r>
      <w:r>
        <w:rPr>
          <w:color w:val="231F20"/>
          <w:w w:val="105"/>
        </w:rPr>
        <w:t>Morelos,</w:t>
      </w:r>
      <w:r>
        <w:rPr>
          <w:color w:val="231F20"/>
          <w:spacing w:val="-20"/>
          <w:w w:val="105"/>
        </w:rPr>
        <w:t> </w:t>
      </w:r>
      <w:r>
        <w:rPr>
          <w:color w:val="231F20"/>
          <w:w w:val="105"/>
        </w:rPr>
        <w:t>120</w:t>
      </w:r>
      <w:r>
        <w:rPr>
          <w:color w:val="231F20"/>
          <w:spacing w:val="-20"/>
          <w:w w:val="105"/>
        </w:rPr>
        <w:t> </w:t>
      </w:r>
      <w:r>
        <w:rPr>
          <w:color w:val="231F20"/>
          <w:w w:val="105"/>
        </w:rPr>
        <w:t>personas</w:t>
      </w:r>
      <w:r>
        <w:rPr>
          <w:color w:val="231F20"/>
          <w:spacing w:val="-20"/>
          <w:w w:val="105"/>
        </w:rPr>
        <w:t> </w:t>
      </w:r>
      <w:r>
        <w:rPr>
          <w:color w:val="231F20"/>
          <w:w w:val="105"/>
        </w:rPr>
        <w:t>fueron</w:t>
      </w:r>
      <w:r>
        <w:rPr>
          <w:color w:val="231F20"/>
          <w:spacing w:val="-20"/>
          <w:w w:val="105"/>
        </w:rPr>
        <w:t> </w:t>
      </w:r>
      <w:r>
        <w:rPr>
          <w:color w:val="231F20"/>
          <w:w w:val="105"/>
        </w:rPr>
        <w:t>apoyadas</w:t>
      </w:r>
      <w:r>
        <w:rPr>
          <w:color w:val="231F20"/>
          <w:spacing w:val="-20"/>
          <w:w w:val="105"/>
        </w:rPr>
        <w:t> </w:t>
      </w:r>
      <w:r>
        <w:rPr>
          <w:color w:val="231F20"/>
          <w:w w:val="105"/>
        </w:rPr>
        <w:t>y</w:t>
      </w:r>
      <w:r>
        <w:rPr>
          <w:color w:val="231F20"/>
          <w:spacing w:val="-20"/>
          <w:w w:val="105"/>
        </w:rPr>
        <w:t> </w:t>
      </w:r>
      <w:r>
        <w:rPr>
          <w:color w:val="231F20"/>
          <w:w w:val="105"/>
        </w:rPr>
        <w:t>atendidas.</w:t>
      </w:r>
    </w:p>
    <w:p>
      <w:pPr>
        <w:pStyle w:val="BodyText"/>
        <w:spacing w:before="11"/>
        <w:rPr>
          <w:sz w:val="24"/>
        </w:rPr>
      </w:pPr>
    </w:p>
    <w:p>
      <w:pPr>
        <w:spacing w:before="0"/>
        <w:ind w:left="110" w:right="0" w:firstLine="0"/>
        <w:jc w:val="both"/>
        <w:rPr>
          <w:sz w:val="22"/>
        </w:rPr>
      </w:pPr>
      <w:r>
        <w:rPr>
          <w:rFonts w:ascii="Palatino Linotype" w:hAnsi="Palatino Linotype"/>
          <w:i/>
          <w:color w:val="231F20"/>
          <w:sz w:val="22"/>
        </w:rPr>
        <w:t>Exposición de ovinos</w:t>
      </w:r>
      <w:r>
        <w:rPr>
          <w:color w:val="231F20"/>
          <w:sz w:val="22"/>
        </w:rPr>
        <w:t>. Se asistió a la Delegación de SEDAGRO Ayapango que organizó</w:t>
      </w:r>
    </w:p>
    <w:p>
      <w:pPr>
        <w:spacing w:after="0"/>
        <w:jc w:val="both"/>
        <w:rPr>
          <w:sz w:val="22"/>
        </w:rPr>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w w:val="105"/>
        </w:rPr>
        <w:t>la exposición y venta de sementales ovinos. Se realizó una reunión con los Ingenieros Agrónomos</w:t>
      </w:r>
      <w:r>
        <w:rPr>
          <w:color w:val="231F20"/>
          <w:spacing w:val="-18"/>
          <w:w w:val="105"/>
        </w:rPr>
        <w:t> </w:t>
      </w:r>
      <w:r>
        <w:rPr>
          <w:color w:val="231F20"/>
          <w:w w:val="105"/>
        </w:rPr>
        <w:t>del</w:t>
      </w:r>
      <w:r>
        <w:rPr>
          <w:color w:val="231F20"/>
          <w:spacing w:val="-18"/>
          <w:w w:val="105"/>
        </w:rPr>
        <w:t> </w:t>
      </w:r>
      <w:r>
        <w:rPr>
          <w:color w:val="231F20"/>
          <w:w w:val="105"/>
        </w:rPr>
        <w:t>“Grupo</w:t>
      </w:r>
      <w:r>
        <w:rPr>
          <w:color w:val="231F20"/>
          <w:spacing w:val="-18"/>
          <w:w w:val="105"/>
        </w:rPr>
        <w:t> </w:t>
      </w:r>
      <w:r>
        <w:rPr>
          <w:color w:val="231F20"/>
          <w:w w:val="105"/>
        </w:rPr>
        <w:t>Ecologista</w:t>
      </w:r>
      <w:r>
        <w:rPr>
          <w:color w:val="231F20"/>
          <w:spacing w:val="-18"/>
          <w:w w:val="105"/>
        </w:rPr>
        <w:t> </w:t>
      </w:r>
      <w:r>
        <w:rPr>
          <w:color w:val="231F20"/>
          <w:w w:val="105"/>
        </w:rPr>
        <w:t>Santa</w:t>
      </w:r>
      <w:r>
        <w:rPr>
          <w:color w:val="231F20"/>
          <w:spacing w:val="-18"/>
          <w:w w:val="105"/>
        </w:rPr>
        <w:t> </w:t>
      </w:r>
      <w:r>
        <w:rPr>
          <w:color w:val="231F20"/>
          <w:w w:val="105"/>
        </w:rPr>
        <w:t>Cruz</w:t>
      </w:r>
      <w:r>
        <w:rPr>
          <w:color w:val="231F20"/>
          <w:spacing w:val="-18"/>
          <w:w w:val="105"/>
        </w:rPr>
        <w:t> </w:t>
      </w:r>
      <w:r>
        <w:rPr>
          <w:color w:val="231F20"/>
          <w:w w:val="105"/>
        </w:rPr>
        <w:t>Acalpixca</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grupo</w:t>
      </w:r>
      <w:r>
        <w:rPr>
          <w:color w:val="231F20"/>
          <w:spacing w:val="-18"/>
          <w:w w:val="105"/>
        </w:rPr>
        <w:t> </w:t>
      </w:r>
      <w:r>
        <w:rPr>
          <w:color w:val="231F20"/>
          <w:w w:val="105"/>
        </w:rPr>
        <w:t>de</w:t>
      </w:r>
      <w:r>
        <w:rPr>
          <w:color w:val="231F20"/>
          <w:spacing w:val="-18"/>
          <w:w w:val="105"/>
        </w:rPr>
        <w:t> </w:t>
      </w:r>
      <w:r>
        <w:rPr>
          <w:color w:val="231F20"/>
          <w:w w:val="105"/>
        </w:rPr>
        <w:t>Ecofruticultores de Manzana Golden </w:t>
      </w:r>
      <w:r>
        <w:rPr>
          <w:color w:val="231F20"/>
          <w:spacing w:val="-3"/>
          <w:w w:val="105"/>
        </w:rPr>
        <w:t>Delicius”, </w:t>
      </w:r>
      <w:r>
        <w:rPr>
          <w:color w:val="231F20"/>
          <w:w w:val="105"/>
        </w:rPr>
        <w:t>para </w:t>
      </w:r>
      <w:r>
        <w:rPr>
          <w:color w:val="231F20"/>
          <w:spacing w:val="2"/>
          <w:w w:val="105"/>
        </w:rPr>
        <w:t>analizar </w:t>
      </w:r>
      <w:r>
        <w:rPr>
          <w:color w:val="231F20"/>
          <w:w w:val="105"/>
        </w:rPr>
        <w:t>el proyecto </w:t>
      </w:r>
      <w:r>
        <w:rPr>
          <w:color w:val="231F20"/>
          <w:spacing w:val="-3"/>
          <w:w w:val="105"/>
        </w:rPr>
        <w:t>referente </w:t>
      </w:r>
      <w:r>
        <w:rPr>
          <w:color w:val="231F20"/>
          <w:w w:val="105"/>
        </w:rPr>
        <w:t>a la construcción de las</w:t>
      </w:r>
      <w:r>
        <w:rPr>
          <w:color w:val="231F20"/>
          <w:spacing w:val="-7"/>
          <w:w w:val="105"/>
        </w:rPr>
        <w:t> </w:t>
      </w:r>
      <w:r>
        <w:rPr>
          <w:color w:val="231F20"/>
          <w:w w:val="105"/>
        </w:rPr>
        <w:t>ollas</w:t>
      </w:r>
      <w:r>
        <w:rPr>
          <w:color w:val="231F20"/>
          <w:spacing w:val="-7"/>
          <w:w w:val="105"/>
        </w:rPr>
        <w:t> </w:t>
      </w:r>
      <w:r>
        <w:rPr>
          <w:color w:val="231F20"/>
          <w:w w:val="105"/>
        </w:rPr>
        <w:t>de</w:t>
      </w:r>
      <w:r>
        <w:rPr>
          <w:color w:val="231F20"/>
          <w:spacing w:val="-7"/>
          <w:w w:val="105"/>
        </w:rPr>
        <w:t> </w:t>
      </w:r>
      <w:r>
        <w:rPr>
          <w:color w:val="231F20"/>
          <w:w w:val="105"/>
        </w:rPr>
        <w:t>captación</w:t>
      </w:r>
      <w:r>
        <w:rPr>
          <w:color w:val="231F20"/>
          <w:spacing w:val="-7"/>
          <w:w w:val="105"/>
        </w:rPr>
        <w:t> </w:t>
      </w:r>
      <w:r>
        <w:rPr>
          <w:color w:val="231F20"/>
          <w:w w:val="105"/>
        </w:rPr>
        <w:t>para</w:t>
      </w:r>
      <w:r>
        <w:rPr>
          <w:color w:val="231F20"/>
          <w:spacing w:val="-7"/>
          <w:w w:val="105"/>
        </w:rPr>
        <w:t> </w:t>
      </w:r>
      <w:r>
        <w:rPr>
          <w:color w:val="231F20"/>
          <w:w w:val="105"/>
        </w:rPr>
        <w:t>agua</w:t>
      </w:r>
      <w:r>
        <w:rPr>
          <w:color w:val="231F20"/>
          <w:spacing w:val="-7"/>
          <w:w w:val="105"/>
        </w:rPr>
        <w:t> </w:t>
      </w:r>
      <w:r>
        <w:rPr>
          <w:color w:val="231F20"/>
          <w:w w:val="105"/>
        </w:rPr>
        <w:t>pluvial</w:t>
      </w:r>
      <w:r>
        <w:rPr>
          <w:color w:val="231F20"/>
          <w:spacing w:val="-7"/>
          <w:w w:val="105"/>
        </w:rPr>
        <w:t> </w:t>
      </w:r>
      <w:r>
        <w:rPr>
          <w:color w:val="231F20"/>
          <w:w w:val="105"/>
        </w:rPr>
        <w:t>para</w:t>
      </w:r>
      <w:r>
        <w:rPr>
          <w:color w:val="231F20"/>
          <w:spacing w:val="-7"/>
          <w:w w:val="105"/>
        </w:rPr>
        <w:t> </w:t>
      </w:r>
      <w:r>
        <w:rPr>
          <w:color w:val="231F20"/>
          <w:w w:val="105"/>
        </w:rPr>
        <w:t>implementar</w:t>
      </w:r>
      <w:r>
        <w:rPr>
          <w:color w:val="231F20"/>
          <w:spacing w:val="-7"/>
          <w:w w:val="105"/>
        </w:rPr>
        <w:t> </w:t>
      </w:r>
      <w:r>
        <w:rPr>
          <w:color w:val="231F20"/>
          <w:w w:val="105"/>
        </w:rPr>
        <w:t>el</w:t>
      </w:r>
      <w:r>
        <w:rPr>
          <w:color w:val="231F20"/>
          <w:spacing w:val="-7"/>
          <w:w w:val="105"/>
        </w:rPr>
        <w:t> </w:t>
      </w:r>
      <w:r>
        <w:rPr>
          <w:color w:val="231F20"/>
          <w:w w:val="105"/>
        </w:rPr>
        <w:t>riego</w:t>
      </w:r>
      <w:r>
        <w:rPr>
          <w:color w:val="231F20"/>
          <w:spacing w:val="-7"/>
          <w:w w:val="105"/>
        </w:rPr>
        <w:t> </w:t>
      </w:r>
      <w:r>
        <w:rPr>
          <w:color w:val="231F20"/>
          <w:w w:val="105"/>
        </w:rPr>
        <w:t>por</w:t>
      </w:r>
      <w:r>
        <w:rPr>
          <w:color w:val="231F20"/>
          <w:spacing w:val="-7"/>
          <w:w w:val="105"/>
        </w:rPr>
        <w:t> </w:t>
      </w:r>
      <w:r>
        <w:rPr>
          <w:color w:val="231F20"/>
          <w:w w:val="105"/>
        </w:rPr>
        <w:t>goteo</w:t>
      </w:r>
      <w:r>
        <w:rPr>
          <w:color w:val="231F20"/>
          <w:spacing w:val="-7"/>
          <w:w w:val="105"/>
        </w:rPr>
        <w:t> </w:t>
      </w:r>
      <w:r>
        <w:rPr>
          <w:color w:val="231F20"/>
          <w:w w:val="105"/>
        </w:rPr>
        <w:t>en</w:t>
      </w:r>
      <w:r>
        <w:rPr>
          <w:color w:val="231F20"/>
          <w:spacing w:val="-7"/>
          <w:w w:val="105"/>
        </w:rPr>
        <w:t> </w:t>
      </w:r>
      <w:r>
        <w:rPr>
          <w:color w:val="231F20"/>
          <w:w w:val="105"/>
        </w:rPr>
        <w:t>huertas en temporada de</w:t>
      </w:r>
      <w:r>
        <w:rPr>
          <w:color w:val="231F20"/>
          <w:spacing w:val="-37"/>
          <w:w w:val="105"/>
        </w:rPr>
        <w:t> </w:t>
      </w:r>
      <w:r>
        <w:rPr>
          <w:color w:val="231F20"/>
          <w:w w:val="105"/>
        </w:rPr>
        <w:t>estiaje.</w:t>
      </w:r>
    </w:p>
    <w:p>
      <w:pPr>
        <w:pStyle w:val="BodyText"/>
        <w:spacing w:before="10"/>
        <w:rPr>
          <w:sz w:val="23"/>
        </w:rPr>
      </w:pPr>
    </w:p>
    <w:p>
      <w:pPr>
        <w:spacing w:line="273" w:lineRule="auto" w:before="0"/>
        <w:ind w:left="110" w:right="108" w:hanging="1"/>
        <w:jc w:val="both"/>
        <w:rPr>
          <w:sz w:val="22"/>
        </w:rPr>
      </w:pPr>
      <w:r>
        <w:rPr>
          <w:rFonts w:ascii="Palatino Linotype" w:hAnsi="Palatino Linotype"/>
          <w:i/>
          <w:color w:val="231F20"/>
          <w:w w:val="105"/>
          <w:sz w:val="22"/>
        </w:rPr>
        <w:t>Entrega</w:t>
      </w:r>
      <w:r>
        <w:rPr>
          <w:rFonts w:ascii="Palatino Linotype" w:hAnsi="Palatino Linotype"/>
          <w:i/>
          <w:color w:val="231F20"/>
          <w:spacing w:val="-27"/>
          <w:w w:val="105"/>
          <w:sz w:val="22"/>
        </w:rPr>
        <w:t> </w:t>
      </w:r>
      <w:r>
        <w:rPr>
          <w:rFonts w:ascii="Palatino Linotype" w:hAnsi="Palatino Linotype"/>
          <w:i/>
          <w:color w:val="231F20"/>
          <w:w w:val="105"/>
          <w:sz w:val="22"/>
        </w:rPr>
        <w:t>de</w:t>
      </w:r>
      <w:r>
        <w:rPr>
          <w:rFonts w:ascii="Palatino Linotype" w:hAnsi="Palatino Linotype"/>
          <w:i/>
          <w:color w:val="231F20"/>
          <w:spacing w:val="-27"/>
          <w:w w:val="105"/>
          <w:sz w:val="22"/>
        </w:rPr>
        <w:t> </w:t>
      </w:r>
      <w:r>
        <w:rPr>
          <w:rFonts w:ascii="Palatino Linotype" w:hAnsi="Palatino Linotype"/>
          <w:i/>
          <w:color w:val="231F20"/>
          <w:w w:val="105"/>
          <w:sz w:val="22"/>
        </w:rPr>
        <w:t>apoyos</w:t>
      </w:r>
      <w:r>
        <w:rPr>
          <w:rFonts w:ascii="Palatino Linotype" w:hAnsi="Palatino Linotype"/>
          <w:i/>
          <w:color w:val="231F20"/>
          <w:spacing w:val="-27"/>
          <w:w w:val="105"/>
          <w:sz w:val="22"/>
        </w:rPr>
        <w:t> </w:t>
      </w:r>
      <w:r>
        <w:rPr>
          <w:rFonts w:ascii="Palatino Linotype" w:hAnsi="Palatino Linotype"/>
          <w:i/>
          <w:color w:val="231F20"/>
          <w:w w:val="105"/>
          <w:sz w:val="22"/>
        </w:rPr>
        <w:t>al</w:t>
      </w:r>
      <w:r>
        <w:rPr>
          <w:rFonts w:ascii="Palatino Linotype" w:hAnsi="Palatino Linotype"/>
          <w:i/>
          <w:color w:val="231F20"/>
          <w:spacing w:val="-27"/>
          <w:w w:val="105"/>
          <w:sz w:val="22"/>
        </w:rPr>
        <w:t> </w:t>
      </w:r>
      <w:r>
        <w:rPr>
          <w:rFonts w:ascii="Palatino Linotype" w:hAnsi="Palatino Linotype"/>
          <w:i/>
          <w:color w:val="231F20"/>
          <w:w w:val="105"/>
          <w:sz w:val="22"/>
        </w:rPr>
        <w:t>Programa</w:t>
      </w:r>
      <w:r>
        <w:rPr>
          <w:rFonts w:ascii="Palatino Linotype" w:hAnsi="Palatino Linotype"/>
          <w:i/>
          <w:color w:val="231F20"/>
          <w:spacing w:val="-27"/>
          <w:w w:val="105"/>
          <w:sz w:val="22"/>
        </w:rPr>
        <w:t> </w:t>
      </w:r>
      <w:r>
        <w:rPr>
          <w:rFonts w:ascii="Palatino Linotype" w:hAnsi="Palatino Linotype"/>
          <w:i/>
          <w:color w:val="231F20"/>
          <w:w w:val="105"/>
          <w:sz w:val="22"/>
        </w:rPr>
        <w:t>de</w:t>
      </w:r>
      <w:r>
        <w:rPr>
          <w:rFonts w:ascii="Palatino Linotype" w:hAnsi="Palatino Linotype"/>
          <w:i/>
          <w:color w:val="231F20"/>
          <w:spacing w:val="-27"/>
          <w:w w:val="105"/>
          <w:sz w:val="22"/>
        </w:rPr>
        <w:t> </w:t>
      </w:r>
      <w:r>
        <w:rPr>
          <w:rFonts w:ascii="Palatino Linotype" w:hAnsi="Palatino Linotype"/>
          <w:i/>
          <w:color w:val="231F20"/>
          <w:w w:val="105"/>
          <w:sz w:val="22"/>
        </w:rPr>
        <w:t>Apoyos</w:t>
      </w:r>
      <w:r>
        <w:rPr>
          <w:rFonts w:ascii="Palatino Linotype" w:hAnsi="Palatino Linotype"/>
          <w:i/>
          <w:color w:val="231F20"/>
          <w:spacing w:val="-27"/>
          <w:w w:val="105"/>
          <w:sz w:val="22"/>
        </w:rPr>
        <w:t> </w:t>
      </w:r>
      <w:r>
        <w:rPr>
          <w:rFonts w:ascii="Palatino Linotype" w:hAnsi="Palatino Linotype"/>
          <w:i/>
          <w:color w:val="231F20"/>
          <w:w w:val="105"/>
          <w:sz w:val="22"/>
        </w:rPr>
        <w:t>al</w:t>
      </w:r>
      <w:r>
        <w:rPr>
          <w:rFonts w:ascii="Palatino Linotype" w:hAnsi="Palatino Linotype"/>
          <w:i/>
          <w:color w:val="231F20"/>
          <w:spacing w:val="-27"/>
          <w:w w:val="105"/>
          <w:sz w:val="22"/>
        </w:rPr>
        <w:t> </w:t>
      </w:r>
      <w:r>
        <w:rPr>
          <w:rFonts w:ascii="Palatino Linotype" w:hAnsi="Palatino Linotype"/>
          <w:i/>
          <w:color w:val="231F20"/>
          <w:w w:val="105"/>
          <w:sz w:val="22"/>
        </w:rPr>
        <w:t>Maíz</w:t>
      </w:r>
      <w:r>
        <w:rPr>
          <w:rFonts w:ascii="Palatino Linotype" w:hAnsi="Palatino Linotype"/>
          <w:i/>
          <w:color w:val="231F20"/>
          <w:spacing w:val="-27"/>
          <w:w w:val="105"/>
          <w:sz w:val="22"/>
        </w:rPr>
        <w:t> </w:t>
      </w:r>
      <w:r>
        <w:rPr>
          <w:rFonts w:ascii="Palatino Linotype" w:hAnsi="Palatino Linotype"/>
          <w:i/>
          <w:color w:val="231F20"/>
          <w:w w:val="105"/>
          <w:sz w:val="22"/>
        </w:rPr>
        <w:t>y</w:t>
      </w:r>
      <w:r>
        <w:rPr>
          <w:rFonts w:ascii="Palatino Linotype" w:hAnsi="Palatino Linotype"/>
          <w:i/>
          <w:color w:val="231F20"/>
          <w:spacing w:val="-27"/>
          <w:w w:val="105"/>
          <w:sz w:val="22"/>
        </w:rPr>
        <w:t> </w:t>
      </w:r>
      <w:r>
        <w:rPr>
          <w:rFonts w:ascii="Palatino Linotype" w:hAnsi="Palatino Linotype"/>
          <w:i/>
          <w:color w:val="231F20"/>
          <w:w w:val="105"/>
          <w:sz w:val="22"/>
        </w:rPr>
        <w:t>Frijol</w:t>
      </w:r>
      <w:r>
        <w:rPr>
          <w:rFonts w:ascii="Palatino Linotype" w:hAnsi="Palatino Linotype"/>
          <w:i/>
          <w:color w:val="231F20"/>
          <w:spacing w:val="-27"/>
          <w:w w:val="105"/>
          <w:sz w:val="22"/>
        </w:rPr>
        <w:t> </w:t>
      </w:r>
      <w:r>
        <w:rPr>
          <w:rFonts w:ascii="Palatino Linotype" w:hAnsi="Palatino Linotype"/>
          <w:i/>
          <w:color w:val="231F20"/>
          <w:w w:val="105"/>
          <w:sz w:val="22"/>
        </w:rPr>
        <w:t>(PROMAF)</w:t>
      </w:r>
      <w:r>
        <w:rPr>
          <w:rFonts w:ascii="Palatino Linotype" w:hAnsi="Palatino Linotype"/>
          <w:i/>
          <w:color w:val="231F20"/>
          <w:spacing w:val="-27"/>
          <w:w w:val="105"/>
          <w:sz w:val="22"/>
        </w:rPr>
        <w:t> </w:t>
      </w:r>
      <w:r>
        <w:rPr>
          <w:rFonts w:ascii="Palatino Linotype" w:hAnsi="Palatino Linotype"/>
          <w:i/>
          <w:color w:val="231F20"/>
          <w:spacing w:val="-4"/>
          <w:w w:val="105"/>
          <w:sz w:val="22"/>
        </w:rPr>
        <w:t>2007</w:t>
      </w:r>
      <w:r>
        <w:rPr>
          <w:color w:val="231F20"/>
          <w:spacing w:val="-4"/>
          <w:w w:val="105"/>
          <w:sz w:val="22"/>
        </w:rPr>
        <w:t>.</w:t>
      </w:r>
      <w:r>
        <w:rPr>
          <w:color w:val="231F20"/>
          <w:spacing w:val="-27"/>
          <w:w w:val="105"/>
          <w:sz w:val="22"/>
        </w:rPr>
        <w:t> </w:t>
      </w:r>
      <w:r>
        <w:rPr>
          <w:color w:val="231F20"/>
          <w:w w:val="105"/>
          <w:sz w:val="22"/>
        </w:rPr>
        <w:t>Se</w:t>
      </w:r>
      <w:r>
        <w:rPr>
          <w:color w:val="231F20"/>
          <w:spacing w:val="-27"/>
          <w:w w:val="105"/>
          <w:sz w:val="22"/>
        </w:rPr>
        <w:t> </w:t>
      </w:r>
      <w:r>
        <w:rPr>
          <w:color w:val="231F20"/>
          <w:w w:val="105"/>
          <w:sz w:val="22"/>
        </w:rPr>
        <w:t>entrega- ron</w:t>
      </w:r>
      <w:r>
        <w:rPr>
          <w:color w:val="231F20"/>
          <w:spacing w:val="-5"/>
          <w:w w:val="105"/>
          <w:sz w:val="22"/>
        </w:rPr>
        <w:t> </w:t>
      </w:r>
      <w:r>
        <w:rPr>
          <w:color w:val="231F20"/>
          <w:w w:val="105"/>
          <w:sz w:val="22"/>
        </w:rPr>
        <w:t>apoyos</w:t>
      </w:r>
      <w:r>
        <w:rPr>
          <w:color w:val="231F20"/>
          <w:spacing w:val="-5"/>
          <w:w w:val="105"/>
          <w:sz w:val="22"/>
        </w:rPr>
        <w:t> </w:t>
      </w:r>
      <w:r>
        <w:rPr>
          <w:color w:val="231F20"/>
          <w:w w:val="105"/>
          <w:sz w:val="22"/>
        </w:rPr>
        <w:t>económicos</w:t>
      </w:r>
      <w:r>
        <w:rPr>
          <w:color w:val="231F20"/>
          <w:spacing w:val="-5"/>
          <w:w w:val="105"/>
          <w:sz w:val="22"/>
        </w:rPr>
        <w:t> </w:t>
      </w:r>
      <w:r>
        <w:rPr>
          <w:color w:val="231F20"/>
          <w:w w:val="105"/>
          <w:sz w:val="22"/>
        </w:rPr>
        <w:t>a</w:t>
      </w:r>
      <w:r>
        <w:rPr>
          <w:color w:val="231F20"/>
          <w:spacing w:val="-5"/>
          <w:w w:val="105"/>
          <w:sz w:val="22"/>
        </w:rPr>
        <w:t> </w:t>
      </w:r>
      <w:r>
        <w:rPr>
          <w:color w:val="231F20"/>
          <w:w w:val="105"/>
          <w:sz w:val="22"/>
        </w:rPr>
        <w:t>productores</w:t>
      </w:r>
      <w:r>
        <w:rPr>
          <w:color w:val="231F20"/>
          <w:spacing w:val="-5"/>
          <w:w w:val="105"/>
          <w:sz w:val="22"/>
        </w:rPr>
        <w:t> </w:t>
      </w:r>
      <w:r>
        <w:rPr>
          <w:color w:val="231F20"/>
          <w:w w:val="105"/>
          <w:sz w:val="22"/>
        </w:rPr>
        <w:t>de</w:t>
      </w:r>
      <w:r>
        <w:rPr>
          <w:color w:val="231F20"/>
          <w:spacing w:val="-5"/>
          <w:w w:val="105"/>
          <w:sz w:val="22"/>
        </w:rPr>
        <w:t> </w:t>
      </w:r>
      <w:r>
        <w:rPr>
          <w:color w:val="231F20"/>
          <w:w w:val="105"/>
          <w:sz w:val="22"/>
        </w:rPr>
        <w:t>Maíz</w:t>
      </w:r>
      <w:r>
        <w:rPr>
          <w:color w:val="231F20"/>
          <w:spacing w:val="-5"/>
          <w:w w:val="105"/>
          <w:sz w:val="22"/>
        </w:rPr>
        <w:t> </w:t>
      </w:r>
      <w:r>
        <w:rPr>
          <w:color w:val="231F20"/>
          <w:w w:val="105"/>
          <w:sz w:val="22"/>
        </w:rPr>
        <w:t>y</w:t>
      </w:r>
      <w:r>
        <w:rPr>
          <w:color w:val="231F20"/>
          <w:spacing w:val="-5"/>
          <w:w w:val="105"/>
          <w:sz w:val="22"/>
        </w:rPr>
        <w:t> </w:t>
      </w:r>
      <w:r>
        <w:rPr>
          <w:color w:val="231F20"/>
          <w:w w:val="105"/>
          <w:sz w:val="22"/>
        </w:rPr>
        <w:t>Fríjol</w:t>
      </w:r>
      <w:r>
        <w:rPr>
          <w:color w:val="231F20"/>
          <w:spacing w:val="-5"/>
          <w:w w:val="105"/>
          <w:sz w:val="22"/>
        </w:rPr>
        <w:t> </w:t>
      </w:r>
      <w:r>
        <w:rPr>
          <w:color w:val="231F20"/>
          <w:w w:val="105"/>
          <w:sz w:val="22"/>
        </w:rPr>
        <w:t>que</w:t>
      </w:r>
      <w:r>
        <w:rPr>
          <w:color w:val="231F20"/>
          <w:spacing w:val="-5"/>
          <w:w w:val="105"/>
          <w:sz w:val="22"/>
        </w:rPr>
        <w:t> </w:t>
      </w:r>
      <w:r>
        <w:rPr>
          <w:color w:val="231F20"/>
          <w:w w:val="105"/>
          <w:sz w:val="22"/>
        </w:rPr>
        <w:t>sembraron</w:t>
      </w:r>
      <w:r>
        <w:rPr>
          <w:color w:val="231F20"/>
          <w:spacing w:val="-5"/>
          <w:w w:val="105"/>
          <w:sz w:val="22"/>
        </w:rPr>
        <w:t> </w:t>
      </w:r>
      <w:r>
        <w:rPr>
          <w:color w:val="231F20"/>
          <w:w w:val="105"/>
          <w:sz w:val="22"/>
        </w:rPr>
        <w:t>un</w:t>
      </w:r>
      <w:r>
        <w:rPr>
          <w:color w:val="231F20"/>
          <w:spacing w:val="-5"/>
          <w:w w:val="105"/>
          <w:sz w:val="22"/>
        </w:rPr>
        <w:t> </w:t>
      </w:r>
      <w:r>
        <w:rPr>
          <w:color w:val="231F20"/>
          <w:w w:val="105"/>
          <w:sz w:val="22"/>
        </w:rPr>
        <w:t>poco</w:t>
      </w:r>
      <w:r>
        <w:rPr>
          <w:color w:val="231F20"/>
          <w:spacing w:val="-5"/>
          <w:w w:val="105"/>
          <w:sz w:val="22"/>
        </w:rPr>
        <w:t> </w:t>
      </w:r>
      <w:r>
        <w:rPr>
          <w:color w:val="231F20"/>
          <w:w w:val="105"/>
          <w:sz w:val="22"/>
        </w:rPr>
        <w:t>más</w:t>
      </w:r>
      <w:r>
        <w:rPr>
          <w:color w:val="231F20"/>
          <w:spacing w:val="-5"/>
          <w:w w:val="105"/>
          <w:sz w:val="22"/>
        </w:rPr>
        <w:t> </w:t>
      </w:r>
      <w:r>
        <w:rPr>
          <w:color w:val="231F20"/>
          <w:w w:val="105"/>
          <w:sz w:val="22"/>
        </w:rPr>
        <w:t>de 98</w:t>
      </w:r>
      <w:r>
        <w:rPr>
          <w:color w:val="231F20"/>
          <w:spacing w:val="-13"/>
          <w:w w:val="105"/>
          <w:sz w:val="22"/>
        </w:rPr>
        <w:t> </w:t>
      </w:r>
      <w:r>
        <w:rPr>
          <w:color w:val="231F20"/>
          <w:w w:val="105"/>
          <w:sz w:val="22"/>
        </w:rPr>
        <w:t>hectáreas.</w:t>
      </w:r>
    </w:p>
    <w:p>
      <w:pPr>
        <w:pStyle w:val="BodyText"/>
        <w:spacing w:before="11"/>
        <w:rPr>
          <w:sz w:val="24"/>
        </w:rPr>
      </w:pPr>
    </w:p>
    <w:p>
      <w:pPr>
        <w:pStyle w:val="BodyText"/>
        <w:spacing w:line="276" w:lineRule="auto"/>
        <w:ind w:left="110" w:right="108"/>
        <w:jc w:val="both"/>
      </w:pPr>
      <w:r>
        <w:rPr>
          <w:rFonts w:ascii="Palatino Linotype" w:hAnsi="Palatino Linotype"/>
          <w:i/>
          <w:color w:val="231F20"/>
        </w:rPr>
        <w:t>Proyecto productivo alternativo piscícola</w:t>
      </w:r>
      <w:r>
        <w:rPr>
          <w:color w:val="231F20"/>
        </w:rPr>
        <w:t>. Se puso en marcha el “Proyecto Productivo Alternativo Piscícola” como una fuente de autoempleo y consumo familiar, teniendo  como objetivo primordial el consumo de pescado para mejorar la dieta de nuestros campesinos, en este caso, se benefició a 8 </w:t>
      </w:r>
      <w:r>
        <w:rPr>
          <w:color w:val="231F20"/>
          <w:spacing w:val="2"/>
        </w:rPr>
        <w:t>familias </w:t>
      </w:r>
      <w:r>
        <w:rPr>
          <w:color w:val="231F20"/>
        </w:rPr>
        <w:t>del </w:t>
      </w:r>
      <w:r>
        <w:rPr>
          <w:color w:val="231F20"/>
          <w:spacing w:val="28"/>
        </w:rPr>
        <w:t> </w:t>
      </w:r>
      <w:r>
        <w:rPr>
          <w:color w:val="231F20"/>
        </w:rPr>
        <w:t>Municipio.</w:t>
      </w:r>
    </w:p>
    <w:p>
      <w:pPr>
        <w:pStyle w:val="BodyText"/>
        <w:spacing w:line="285" w:lineRule="auto" w:before="10"/>
        <w:ind w:left="110" w:right="108"/>
        <w:jc w:val="both"/>
      </w:pPr>
      <w:r>
        <w:rPr>
          <w:color w:val="231F20"/>
          <w:w w:val="105"/>
        </w:rPr>
        <w:t>Mercado Municipal y tianguis. Se reportaron diversas acciones para su mejor funcio- namiento.</w:t>
      </w:r>
    </w:p>
    <w:p>
      <w:pPr>
        <w:pStyle w:val="BodyText"/>
        <w:spacing w:before="10"/>
        <w:rPr>
          <w:sz w:val="23"/>
        </w:rPr>
      </w:pPr>
    </w:p>
    <w:p>
      <w:pPr>
        <w:pStyle w:val="BodyText"/>
        <w:spacing w:line="273" w:lineRule="auto"/>
        <w:ind w:left="110" w:right="108" w:hanging="1"/>
        <w:jc w:val="both"/>
      </w:pPr>
      <w:r>
        <w:rPr>
          <w:rFonts w:ascii="Palatino Linotype" w:hAnsi="Palatino Linotype"/>
          <w:i/>
          <w:color w:val="231F20"/>
          <w:w w:val="105"/>
        </w:rPr>
        <w:t>Fomento</w:t>
      </w:r>
      <w:r>
        <w:rPr>
          <w:rFonts w:ascii="Palatino Linotype" w:hAnsi="Palatino Linotype"/>
          <w:i/>
          <w:color w:val="231F20"/>
          <w:spacing w:val="-11"/>
          <w:w w:val="105"/>
        </w:rPr>
        <w:t> </w:t>
      </w:r>
      <w:r>
        <w:rPr>
          <w:rFonts w:ascii="Palatino Linotype" w:hAnsi="Palatino Linotype"/>
          <w:i/>
          <w:color w:val="231F20"/>
          <w:w w:val="105"/>
        </w:rPr>
        <w:t>Turístico</w:t>
      </w:r>
      <w:r>
        <w:rPr>
          <w:color w:val="231F20"/>
          <w:w w:val="105"/>
        </w:rPr>
        <w:t>.</w:t>
      </w:r>
      <w:r>
        <w:rPr>
          <w:color w:val="231F20"/>
          <w:spacing w:val="-11"/>
          <w:w w:val="105"/>
        </w:rPr>
        <w:t> </w:t>
      </w:r>
      <w:r>
        <w:rPr>
          <w:color w:val="231F20"/>
          <w:w w:val="105"/>
        </w:rPr>
        <w:t>Se</w:t>
      </w:r>
      <w:r>
        <w:rPr>
          <w:color w:val="231F20"/>
          <w:spacing w:val="-11"/>
          <w:w w:val="105"/>
        </w:rPr>
        <w:t> </w:t>
      </w:r>
      <w:r>
        <w:rPr>
          <w:color w:val="231F20"/>
          <w:w w:val="105"/>
        </w:rPr>
        <w:t>ha</w:t>
      </w:r>
      <w:r>
        <w:rPr>
          <w:color w:val="231F20"/>
          <w:spacing w:val="-11"/>
          <w:w w:val="105"/>
        </w:rPr>
        <w:t> </w:t>
      </w:r>
      <w:r>
        <w:rPr>
          <w:color w:val="231F20"/>
          <w:w w:val="105"/>
        </w:rPr>
        <w:t>asistió</w:t>
      </w:r>
      <w:r>
        <w:rPr>
          <w:color w:val="231F20"/>
          <w:spacing w:val="-11"/>
          <w:w w:val="105"/>
        </w:rPr>
        <w:t> </w:t>
      </w:r>
      <w:r>
        <w:rPr>
          <w:color w:val="231F20"/>
          <w:w w:val="105"/>
        </w:rPr>
        <w:t>a</w:t>
      </w:r>
      <w:r>
        <w:rPr>
          <w:color w:val="231F20"/>
          <w:spacing w:val="-11"/>
          <w:w w:val="105"/>
        </w:rPr>
        <w:t> </w:t>
      </w:r>
      <w:r>
        <w:rPr>
          <w:color w:val="231F20"/>
          <w:w w:val="105"/>
        </w:rPr>
        <w:t>33</w:t>
      </w:r>
      <w:r>
        <w:rPr>
          <w:color w:val="231F20"/>
          <w:spacing w:val="-11"/>
          <w:w w:val="105"/>
        </w:rPr>
        <w:t> </w:t>
      </w:r>
      <w:r>
        <w:rPr>
          <w:color w:val="231F20"/>
          <w:w w:val="105"/>
        </w:rPr>
        <w:t>reuniones</w:t>
      </w:r>
      <w:r>
        <w:rPr>
          <w:color w:val="231F20"/>
          <w:spacing w:val="-11"/>
          <w:w w:val="105"/>
        </w:rPr>
        <w:t> </w:t>
      </w:r>
      <w:r>
        <w:rPr>
          <w:color w:val="231F20"/>
          <w:w w:val="105"/>
        </w:rPr>
        <w:t>para</w:t>
      </w:r>
      <w:r>
        <w:rPr>
          <w:color w:val="231F20"/>
          <w:spacing w:val="-11"/>
          <w:w w:val="105"/>
        </w:rPr>
        <w:t> </w:t>
      </w:r>
      <w:r>
        <w:rPr>
          <w:color w:val="231F20"/>
          <w:w w:val="105"/>
        </w:rPr>
        <w:t>trabajar</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proyecto</w:t>
      </w:r>
      <w:r>
        <w:rPr>
          <w:color w:val="231F20"/>
          <w:spacing w:val="-11"/>
          <w:w w:val="105"/>
        </w:rPr>
        <w:t> </w:t>
      </w:r>
      <w:r>
        <w:rPr>
          <w:color w:val="231F20"/>
          <w:w w:val="105"/>
        </w:rPr>
        <w:t>de</w:t>
      </w:r>
      <w:r>
        <w:rPr>
          <w:color w:val="231F20"/>
          <w:spacing w:val="-11"/>
          <w:w w:val="105"/>
        </w:rPr>
        <w:t> </w:t>
      </w:r>
      <w:r>
        <w:rPr>
          <w:color w:val="231F20"/>
          <w:w w:val="105"/>
        </w:rPr>
        <w:t>señali- zación</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convenio</w:t>
      </w:r>
      <w:r>
        <w:rPr>
          <w:color w:val="231F20"/>
          <w:spacing w:val="-5"/>
          <w:w w:val="105"/>
        </w:rPr>
        <w:t> </w:t>
      </w:r>
      <w:r>
        <w:rPr>
          <w:color w:val="231F20"/>
          <w:w w:val="105"/>
        </w:rPr>
        <w:t>intermunicipal,</w:t>
      </w:r>
      <w:r>
        <w:rPr>
          <w:color w:val="231F20"/>
          <w:spacing w:val="-5"/>
          <w:w w:val="105"/>
        </w:rPr>
        <w:t> </w:t>
      </w:r>
      <w:r>
        <w:rPr>
          <w:color w:val="231F20"/>
          <w:w w:val="105"/>
        </w:rPr>
        <w:t>esperando</w:t>
      </w:r>
      <w:r>
        <w:rPr>
          <w:color w:val="231F20"/>
          <w:spacing w:val="-5"/>
          <w:w w:val="105"/>
        </w:rPr>
        <w:t> </w:t>
      </w:r>
      <w:r>
        <w:rPr>
          <w:color w:val="231F20"/>
          <w:w w:val="105"/>
        </w:rPr>
        <w:t>un</w:t>
      </w:r>
      <w:r>
        <w:rPr>
          <w:color w:val="231F20"/>
          <w:spacing w:val="-5"/>
          <w:w w:val="105"/>
        </w:rPr>
        <w:t> </w:t>
      </w:r>
      <w:r>
        <w:rPr>
          <w:color w:val="231F20"/>
          <w:w w:val="105"/>
        </w:rPr>
        <w:t>resultado</w:t>
      </w:r>
      <w:r>
        <w:rPr>
          <w:color w:val="231F20"/>
          <w:spacing w:val="-5"/>
          <w:w w:val="105"/>
        </w:rPr>
        <w:t> </w:t>
      </w:r>
      <w:r>
        <w:rPr>
          <w:color w:val="231F20"/>
          <w:w w:val="105"/>
        </w:rPr>
        <w:t>positivo</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beneficio de</w:t>
      </w:r>
      <w:r>
        <w:rPr>
          <w:color w:val="231F20"/>
          <w:spacing w:val="-24"/>
          <w:w w:val="105"/>
        </w:rPr>
        <w:t> </w:t>
      </w:r>
      <w:r>
        <w:rPr>
          <w:color w:val="231F20"/>
          <w:w w:val="105"/>
        </w:rPr>
        <w:t>la</w:t>
      </w:r>
      <w:r>
        <w:rPr>
          <w:color w:val="231F20"/>
          <w:spacing w:val="-24"/>
          <w:w w:val="105"/>
        </w:rPr>
        <w:t> </w:t>
      </w:r>
      <w:r>
        <w:rPr>
          <w:color w:val="231F20"/>
          <w:w w:val="105"/>
        </w:rPr>
        <w:t>población</w:t>
      </w:r>
      <w:r>
        <w:rPr>
          <w:color w:val="231F20"/>
          <w:spacing w:val="-24"/>
          <w:w w:val="105"/>
        </w:rPr>
        <w:t> </w:t>
      </w:r>
      <w:r>
        <w:rPr>
          <w:color w:val="231F20"/>
          <w:w w:val="105"/>
        </w:rPr>
        <w:t>del</w:t>
      </w:r>
      <w:r>
        <w:rPr>
          <w:color w:val="231F20"/>
          <w:spacing w:val="-24"/>
          <w:w w:val="105"/>
        </w:rPr>
        <w:t> </w:t>
      </w:r>
      <w:r>
        <w:rPr>
          <w:color w:val="231F20"/>
          <w:w w:val="105"/>
        </w:rPr>
        <w:t>Municipio.</w:t>
      </w:r>
    </w:p>
    <w:p>
      <w:pPr>
        <w:pStyle w:val="BodyText"/>
        <w:spacing w:before="11"/>
        <w:rPr>
          <w:sz w:val="24"/>
        </w:rPr>
      </w:pPr>
    </w:p>
    <w:p>
      <w:pPr>
        <w:spacing w:before="0"/>
        <w:ind w:left="110" w:right="0" w:firstLine="0"/>
        <w:jc w:val="both"/>
        <w:rPr>
          <w:sz w:val="22"/>
        </w:rPr>
      </w:pPr>
      <w:r>
        <w:rPr>
          <w:rFonts w:ascii="Palatino Linotype" w:hAnsi="Palatino Linotype"/>
          <w:i/>
          <w:color w:val="231F20"/>
          <w:sz w:val="22"/>
        </w:rPr>
        <w:t>Seguridad Pública</w:t>
      </w:r>
      <w:r>
        <w:rPr>
          <w:color w:val="231F20"/>
          <w:sz w:val="22"/>
        </w:rPr>
        <w:t>. El área de seguridad pública fue reestructurada en su Dirección.</w:t>
      </w:r>
    </w:p>
    <w:p>
      <w:pPr>
        <w:pStyle w:val="BodyText"/>
        <w:spacing w:before="6"/>
        <w:rPr>
          <w:sz w:val="28"/>
        </w:rPr>
      </w:pPr>
    </w:p>
    <w:p>
      <w:pPr>
        <w:pStyle w:val="BodyText"/>
        <w:spacing w:line="285" w:lineRule="auto"/>
        <w:ind w:left="110" w:right="107"/>
        <w:jc w:val="both"/>
      </w:pPr>
      <w:r>
        <w:rPr>
          <w:color w:val="231F20"/>
          <w:spacing w:val="-4"/>
          <w:w w:val="105"/>
        </w:rPr>
        <w:t>Todas </w:t>
      </w:r>
      <w:r>
        <w:rPr>
          <w:color w:val="231F20"/>
          <w:w w:val="105"/>
        </w:rPr>
        <w:t>las acciones realizadas demuestran un avance en la infraestructura económica, social</w:t>
      </w:r>
      <w:r>
        <w:rPr>
          <w:color w:val="231F20"/>
          <w:spacing w:val="-5"/>
          <w:w w:val="105"/>
        </w:rPr>
        <w:t> </w:t>
      </w:r>
      <w:r>
        <w:rPr>
          <w:color w:val="231F20"/>
          <w:w w:val="105"/>
        </w:rPr>
        <w:t>y</w:t>
      </w:r>
      <w:r>
        <w:rPr>
          <w:color w:val="231F20"/>
          <w:spacing w:val="-5"/>
          <w:w w:val="105"/>
        </w:rPr>
        <w:t> </w:t>
      </w:r>
      <w:r>
        <w:rPr>
          <w:color w:val="231F20"/>
          <w:spacing w:val="2"/>
          <w:w w:val="105"/>
        </w:rPr>
        <w:t>cultural</w:t>
      </w:r>
      <w:r>
        <w:rPr>
          <w:color w:val="231F20"/>
          <w:spacing w:val="-5"/>
          <w:w w:val="105"/>
        </w:rPr>
        <w:t> </w:t>
      </w:r>
      <w:r>
        <w:rPr>
          <w:color w:val="231F20"/>
          <w:w w:val="105"/>
        </w:rPr>
        <w:t>del</w:t>
      </w:r>
      <w:r>
        <w:rPr>
          <w:color w:val="231F20"/>
          <w:spacing w:val="-5"/>
          <w:w w:val="105"/>
        </w:rPr>
        <w:t> </w:t>
      </w:r>
      <w:r>
        <w:rPr>
          <w:color w:val="231F20"/>
          <w:w w:val="105"/>
        </w:rPr>
        <w:t>municipio;</w:t>
      </w:r>
      <w:r>
        <w:rPr>
          <w:color w:val="231F20"/>
          <w:spacing w:val="-5"/>
          <w:w w:val="105"/>
        </w:rPr>
        <w:t> </w:t>
      </w:r>
      <w:r>
        <w:rPr>
          <w:color w:val="231F20"/>
          <w:w w:val="105"/>
        </w:rPr>
        <w:t>se</w:t>
      </w:r>
      <w:r>
        <w:rPr>
          <w:color w:val="231F20"/>
          <w:spacing w:val="-5"/>
          <w:w w:val="105"/>
        </w:rPr>
        <w:t> </w:t>
      </w:r>
      <w:r>
        <w:rPr>
          <w:color w:val="231F20"/>
          <w:w w:val="105"/>
        </w:rPr>
        <w:t>le</w:t>
      </w:r>
      <w:r>
        <w:rPr>
          <w:color w:val="231F20"/>
          <w:spacing w:val="-5"/>
          <w:w w:val="105"/>
        </w:rPr>
        <w:t> </w:t>
      </w:r>
      <w:r>
        <w:rPr>
          <w:color w:val="231F20"/>
          <w:w w:val="105"/>
        </w:rPr>
        <w:t>dio</w:t>
      </w:r>
      <w:r>
        <w:rPr>
          <w:color w:val="231F20"/>
          <w:spacing w:val="-5"/>
          <w:w w:val="105"/>
        </w:rPr>
        <w:t> </w:t>
      </w:r>
      <w:r>
        <w:rPr>
          <w:color w:val="231F20"/>
          <w:w w:val="105"/>
        </w:rPr>
        <w:t>una</w:t>
      </w:r>
      <w:r>
        <w:rPr>
          <w:color w:val="231F20"/>
          <w:spacing w:val="-5"/>
          <w:w w:val="105"/>
        </w:rPr>
        <w:t> </w:t>
      </w:r>
      <w:r>
        <w:rPr>
          <w:color w:val="231F20"/>
          <w:w w:val="105"/>
        </w:rPr>
        <w:t>gran</w:t>
      </w:r>
      <w:r>
        <w:rPr>
          <w:color w:val="231F20"/>
          <w:spacing w:val="-5"/>
          <w:w w:val="105"/>
        </w:rPr>
        <w:t> </w:t>
      </w:r>
      <w:r>
        <w:rPr>
          <w:color w:val="231F20"/>
          <w:w w:val="105"/>
        </w:rPr>
        <w:t>importancia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cabecera</w:t>
      </w:r>
      <w:r>
        <w:rPr>
          <w:color w:val="231F20"/>
          <w:spacing w:val="-5"/>
          <w:w w:val="105"/>
        </w:rPr>
        <w:t> </w:t>
      </w:r>
      <w:r>
        <w:rPr>
          <w:color w:val="231F20"/>
          <w:w w:val="105"/>
        </w:rPr>
        <w:t>municipal pues</w:t>
      </w:r>
      <w:r>
        <w:rPr>
          <w:color w:val="231F20"/>
          <w:spacing w:val="-4"/>
          <w:w w:val="105"/>
        </w:rPr>
        <w:t> </w:t>
      </w:r>
      <w:r>
        <w:rPr>
          <w:color w:val="231F20"/>
          <w:w w:val="105"/>
        </w:rPr>
        <w:t>fue</w:t>
      </w:r>
      <w:r>
        <w:rPr>
          <w:color w:val="231F20"/>
          <w:spacing w:val="-4"/>
          <w:w w:val="105"/>
        </w:rPr>
        <w:t> </w:t>
      </w:r>
      <w:r>
        <w:rPr>
          <w:color w:val="231F20"/>
          <w:spacing w:val="2"/>
          <w:w w:val="105"/>
        </w:rPr>
        <w:t>ahí</w:t>
      </w:r>
      <w:r>
        <w:rPr>
          <w:color w:val="231F20"/>
          <w:spacing w:val="-4"/>
          <w:w w:val="105"/>
        </w:rPr>
        <w:t> </w:t>
      </w:r>
      <w:r>
        <w:rPr>
          <w:color w:val="231F20"/>
          <w:spacing w:val="-3"/>
          <w:w w:val="105"/>
        </w:rPr>
        <w:t>donde</w:t>
      </w:r>
      <w:r>
        <w:rPr>
          <w:color w:val="231F20"/>
          <w:spacing w:val="-4"/>
          <w:w w:val="105"/>
        </w:rPr>
        <w:t> </w:t>
      </w:r>
      <w:r>
        <w:rPr>
          <w:color w:val="231F20"/>
          <w:w w:val="105"/>
        </w:rPr>
        <w:t>se</w:t>
      </w:r>
      <w:r>
        <w:rPr>
          <w:color w:val="231F20"/>
          <w:spacing w:val="-4"/>
          <w:w w:val="105"/>
        </w:rPr>
        <w:t> </w:t>
      </w:r>
      <w:r>
        <w:rPr>
          <w:color w:val="231F20"/>
          <w:w w:val="105"/>
        </w:rPr>
        <w:t>desarrollaron</w:t>
      </w:r>
      <w:r>
        <w:rPr>
          <w:color w:val="231F20"/>
          <w:spacing w:val="-4"/>
          <w:w w:val="105"/>
        </w:rPr>
        <w:t> </w:t>
      </w:r>
      <w:r>
        <w:rPr>
          <w:color w:val="231F20"/>
          <w:w w:val="105"/>
        </w:rPr>
        <w:t>la</w:t>
      </w:r>
      <w:r>
        <w:rPr>
          <w:color w:val="231F20"/>
          <w:spacing w:val="-4"/>
          <w:w w:val="105"/>
        </w:rPr>
        <w:t> </w:t>
      </w:r>
      <w:r>
        <w:rPr>
          <w:color w:val="231F20"/>
          <w:w w:val="105"/>
        </w:rPr>
        <w:t>mayor</w:t>
      </w:r>
      <w:r>
        <w:rPr>
          <w:color w:val="231F20"/>
          <w:spacing w:val="-4"/>
          <w:w w:val="105"/>
        </w:rPr>
        <w:t> </w:t>
      </w:r>
      <w:r>
        <w:rPr>
          <w:color w:val="231F20"/>
          <w:w w:val="105"/>
        </w:rPr>
        <w:t>parte</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obras</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reportan</w:t>
      </w:r>
      <w:r>
        <w:rPr>
          <w:color w:val="231F20"/>
          <w:spacing w:val="-4"/>
          <w:w w:val="105"/>
        </w:rPr>
        <w:t> </w:t>
      </w:r>
      <w:r>
        <w:rPr>
          <w:color w:val="231F20"/>
          <w:w w:val="105"/>
        </w:rPr>
        <w:t>en</w:t>
      </w:r>
      <w:r>
        <w:rPr>
          <w:color w:val="231F20"/>
          <w:spacing w:val="-4"/>
          <w:w w:val="105"/>
        </w:rPr>
        <w:t> </w:t>
      </w:r>
      <w:r>
        <w:rPr>
          <w:color w:val="231F20"/>
          <w:w w:val="105"/>
        </w:rPr>
        <w:t>este periodo;</w:t>
      </w:r>
      <w:r>
        <w:rPr>
          <w:color w:val="231F20"/>
          <w:spacing w:val="-7"/>
          <w:w w:val="105"/>
        </w:rPr>
        <w:t> </w:t>
      </w:r>
      <w:r>
        <w:rPr>
          <w:color w:val="231F20"/>
          <w:w w:val="105"/>
        </w:rPr>
        <w:t>además</w:t>
      </w:r>
      <w:r>
        <w:rPr>
          <w:color w:val="231F20"/>
          <w:spacing w:val="-7"/>
          <w:w w:val="105"/>
        </w:rPr>
        <w:t> </w:t>
      </w:r>
      <w:r>
        <w:rPr>
          <w:color w:val="231F20"/>
          <w:w w:val="105"/>
        </w:rPr>
        <w:t>también</w:t>
      </w:r>
      <w:r>
        <w:rPr>
          <w:color w:val="231F20"/>
          <w:spacing w:val="-7"/>
          <w:w w:val="105"/>
        </w:rPr>
        <w:t> </w:t>
      </w:r>
      <w:r>
        <w:rPr>
          <w:color w:val="231F20"/>
          <w:w w:val="105"/>
        </w:rPr>
        <w:t>existe</w:t>
      </w:r>
      <w:r>
        <w:rPr>
          <w:color w:val="231F20"/>
          <w:spacing w:val="-7"/>
          <w:w w:val="105"/>
        </w:rPr>
        <w:t> </w:t>
      </w:r>
      <w:r>
        <w:rPr>
          <w:color w:val="231F20"/>
          <w:w w:val="105"/>
        </w:rPr>
        <w:t>una</w:t>
      </w:r>
      <w:r>
        <w:rPr>
          <w:color w:val="231F20"/>
          <w:spacing w:val="-7"/>
          <w:w w:val="105"/>
        </w:rPr>
        <w:t> </w:t>
      </w:r>
      <w:r>
        <w:rPr>
          <w:color w:val="231F20"/>
          <w:w w:val="105"/>
        </w:rPr>
        <w:t>coherencia</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Plan</w:t>
      </w:r>
      <w:r>
        <w:rPr>
          <w:color w:val="231F20"/>
          <w:spacing w:val="-7"/>
          <w:w w:val="105"/>
        </w:rPr>
        <w:t> </w:t>
      </w:r>
      <w:r>
        <w:rPr>
          <w:color w:val="231F20"/>
          <w:w w:val="105"/>
        </w:rPr>
        <w:t>Municipal</w:t>
      </w:r>
      <w:r>
        <w:rPr>
          <w:color w:val="231F20"/>
          <w:spacing w:val="-7"/>
          <w:w w:val="105"/>
        </w:rPr>
        <w:t> </w:t>
      </w:r>
      <w:r>
        <w:rPr>
          <w:color w:val="231F20"/>
          <w:w w:val="105"/>
        </w:rPr>
        <w:t>respecto</w:t>
      </w:r>
      <w:r>
        <w:rPr>
          <w:color w:val="231F20"/>
          <w:spacing w:val="-7"/>
          <w:w w:val="105"/>
        </w:rPr>
        <w:t> </w:t>
      </w:r>
      <w:r>
        <w:rPr>
          <w:color w:val="231F20"/>
          <w:spacing w:val="2"/>
          <w:w w:val="105"/>
        </w:rPr>
        <w:t>al</w:t>
      </w:r>
      <w:r>
        <w:rPr>
          <w:color w:val="231F20"/>
          <w:spacing w:val="-7"/>
          <w:w w:val="105"/>
        </w:rPr>
        <w:t> </w:t>
      </w:r>
      <w:r>
        <w:rPr>
          <w:color w:val="231F20"/>
          <w:w w:val="105"/>
        </w:rPr>
        <w:t>apo- yo a los grupos vulnerables de la sociedad </w:t>
      </w:r>
      <w:r>
        <w:rPr>
          <w:color w:val="231F20"/>
          <w:spacing w:val="2"/>
          <w:w w:val="105"/>
        </w:rPr>
        <w:t>tal </w:t>
      </w:r>
      <w:r>
        <w:rPr>
          <w:color w:val="231F20"/>
          <w:w w:val="105"/>
        </w:rPr>
        <w:t>como los adultos mayores y las madres adolescentes. </w:t>
      </w:r>
      <w:r>
        <w:rPr>
          <w:color w:val="231F20"/>
          <w:spacing w:val="-3"/>
          <w:w w:val="105"/>
        </w:rPr>
        <w:t>También </w:t>
      </w:r>
      <w:r>
        <w:rPr>
          <w:color w:val="231F20"/>
          <w:w w:val="105"/>
        </w:rPr>
        <w:t>se da especial atención </w:t>
      </w:r>
      <w:r>
        <w:rPr>
          <w:color w:val="231F20"/>
          <w:spacing w:val="2"/>
          <w:w w:val="105"/>
        </w:rPr>
        <w:t>al </w:t>
      </w:r>
      <w:r>
        <w:rPr>
          <w:color w:val="231F20"/>
          <w:w w:val="105"/>
        </w:rPr>
        <w:t>problema del agua que es un asunto primordial</w:t>
      </w:r>
      <w:r>
        <w:rPr>
          <w:color w:val="231F20"/>
          <w:spacing w:val="-15"/>
          <w:w w:val="105"/>
        </w:rPr>
        <w:t> </w:t>
      </w:r>
      <w:r>
        <w:rPr>
          <w:color w:val="231F20"/>
          <w:w w:val="105"/>
        </w:rPr>
        <w:t>en</w:t>
      </w:r>
      <w:r>
        <w:rPr>
          <w:color w:val="231F20"/>
          <w:spacing w:val="-15"/>
          <w:w w:val="105"/>
        </w:rPr>
        <w:t> </w:t>
      </w:r>
      <w:r>
        <w:rPr>
          <w:color w:val="231F20"/>
          <w:w w:val="105"/>
        </w:rPr>
        <w:t>toda</w:t>
      </w:r>
      <w:r>
        <w:rPr>
          <w:color w:val="231F20"/>
          <w:spacing w:val="-15"/>
          <w:w w:val="105"/>
        </w:rPr>
        <w:t> </w:t>
      </w:r>
      <w:r>
        <w:rPr>
          <w:color w:val="231F20"/>
          <w:w w:val="105"/>
        </w:rPr>
        <w:t>la</w:t>
      </w:r>
      <w:r>
        <w:rPr>
          <w:color w:val="231F20"/>
          <w:spacing w:val="-15"/>
          <w:w w:val="105"/>
        </w:rPr>
        <w:t> </w:t>
      </w:r>
      <w:r>
        <w:rPr>
          <w:color w:val="231F20"/>
          <w:w w:val="105"/>
        </w:rPr>
        <w:t>región.</w:t>
      </w:r>
      <w:r>
        <w:rPr>
          <w:color w:val="231F20"/>
          <w:spacing w:val="-15"/>
          <w:w w:val="105"/>
        </w:rPr>
        <w:t> </w:t>
      </w:r>
      <w:r>
        <w:rPr>
          <w:color w:val="231F20"/>
          <w:w w:val="105"/>
        </w:rPr>
        <w:t>El</w:t>
      </w:r>
      <w:r>
        <w:rPr>
          <w:color w:val="231F20"/>
          <w:spacing w:val="-15"/>
          <w:w w:val="105"/>
        </w:rPr>
        <w:t> </w:t>
      </w:r>
      <w:r>
        <w:rPr>
          <w:color w:val="231F20"/>
          <w:w w:val="105"/>
        </w:rPr>
        <w:t>comercio</w:t>
      </w:r>
      <w:r>
        <w:rPr>
          <w:color w:val="231F20"/>
          <w:spacing w:val="-15"/>
          <w:w w:val="105"/>
        </w:rPr>
        <w:t> </w:t>
      </w:r>
      <w:r>
        <w:rPr>
          <w:color w:val="231F20"/>
          <w:w w:val="105"/>
        </w:rPr>
        <w:t>también</w:t>
      </w:r>
      <w:r>
        <w:rPr>
          <w:color w:val="231F20"/>
          <w:spacing w:val="-15"/>
          <w:w w:val="105"/>
        </w:rPr>
        <w:t> </w:t>
      </w:r>
      <w:r>
        <w:rPr>
          <w:color w:val="231F20"/>
          <w:w w:val="105"/>
        </w:rPr>
        <w:t>es</w:t>
      </w:r>
      <w:r>
        <w:rPr>
          <w:color w:val="231F20"/>
          <w:spacing w:val="-15"/>
          <w:w w:val="105"/>
        </w:rPr>
        <w:t> </w:t>
      </w:r>
      <w:r>
        <w:rPr>
          <w:color w:val="231F20"/>
          <w:w w:val="105"/>
        </w:rPr>
        <w:t>atendido</w:t>
      </w:r>
      <w:r>
        <w:rPr>
          <w:color w:val="231F20"/>
          <w:spacing w:val="-15"/>
          <w:w w:val="105"/>
        </w:rPr>
        <w:t> </w:t>
      </w:r>
      <w:r>
        <w:rPr>
          <w:color w:val="231F20"/>
          <w:w w:val="105"/>
        </w:rPr>
        <w:t>con</w:t>
      </w:r>
      <w:r>
        <w:rPr>
          <w:color w:val="231F20"/>
          <w:spacing w:val="-15"/>
          <w:w w:val="105"/>
        </w:rPr>
        <w:t> </w:t>
      </w:r>
      <w:r>
        <w:rPr>
          <w:color w:val="231F20"/>
          <w:w w:val="105"/>
        </w:rPr>
        <w:t>énfasis</w:t>
      </w:r>
      <w:r>
        <w:rPr>
          <w:color w:val="231F20"/>
          <w:spacing w:val="-15"/>
          <w:w w:val="105"/>
        </w:rPr>
        <w:t> </w:t>
      </w:r>
      <w:r>
        <w:rPr>
          <w:color w:val="231F20"/>
          <w:w w:val="105"/>
        </w:rPr>
        <w:t>puesto</w:t>
      </w:r>
      <w:r>
        <w:rPr>
          <w:color w:val="231F20"/>
          <w:spacing w:val="-15"/>
          <w:w w:val="105"/>
        </w:rPr>
        <w:t> </w:t>
      </w:r>
      <w:r>
        <w:rPr>
          <w:color w:val="231F20"/>
          <w:w w:val="105"/>
        </w:rPr>
        <w:t>que</w:t>
      </w:r>
      <w:r>
        <w:rPr>
          <w:color w:val="231F20"/>
          <w:spacing w:val="-15"/>
          <w:w w:val="105"/>
        </w:rPr>
        <w:t> </w:t>
      </w:r>
      <w:r>
        <w:rPr>
          <w:color w:val="231F20"/>
          <w:w w:val="105"/>
        </w:rPr>
        <w:t>es una</w:t>
      </w:r>
      <w:r>
        <w:rPr>
          <w:color w:val="231F20"/>
          <w:spacing w:val="-13"/>
          <w:w w:val="105"/>
        </w:rPr>
        <w:t> </w:t>
      </w:r>
      <w:r>
        <w:rPr>
          <w:color w:val="231F20"/>
          <w:w w:val="105"/>
        </w:rPr>
        <w:t>actividad</w:t>
      </w:r>
      <w:r>
        <w:rPr>
          <w:color w:val="231F20"/>
          <w:spacing w:val="-13"/>
          <w:w w:val="105"/>
        </w:rPr>
        <w:t> </w:t>
      </w:r>
      <w:r>
        <w:rPr>
          <w:color w:val="231F20"/>
          <w:w w:val="105"/>
        </w:rPr>
        <w:t>fundamental</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w w:val="105"/>
        </w:rPr>
        <w:t>municipal;</w:t>
      </w:r>
      <w:r>
        <w:rPr>
          <w:color w:val="231F20"/>
          <w:spacing w:val="-13"/>
          <w:w w:val="105"/>
        </w:rPr>
        <w:t> </w:t>
      </w:r>
      <w:r>
        <w:rPr>
          <w:color w:val="231F20"/>
          <w:w w:val="105"/>
        </w:rPr>
        <w:t>sin</w:t>
      </w:r>
      <w:r>
        <w:rPr>
          <w:color w:val="231F20"/>
          <w:spacing w:val="-13"/>
          <w:w w:val="105"/>
        </w:rPr>
        <w:t> </w:t>
      </w:r>
      <w:r>
        <w:rPr>
          <w:color w:val="231F20"/>
          <w:w w:val="105"/>
        </w:rPr>
        <w:t>embargo,</w:t>
      </w:r>
      <w:r>
        <w:rPr>
          <w:color w:val="231F20"/>
          <w:spacing w:val="-13"/>
          <w:w w:val="105"/>
        </w:rPr>
        <w:t> </w:t>
      </w:r>
      <w:r>
        <w:rPr>
          <w:color w:val="231F20"/>
          <w:w w:val="105"/>
        </w:rPr>
        <w:t>si</w:t>
      </w:r>
      <w:r>
        <w:rPr>
          <w:color w:val="231F20"/>
          <w:spacing w:val="-13"/>
          <w:w w:val="105"/>
        </w:rPr>
        <w:t> </w:t>
      </w:r>
      <w:r>
        <w:rPr>
          <w:color w:val="231F20"/>
          <w:w w:val="105"/>
        </w:rPr>
        <w:t>se</w:t>
      </w:r>
      <w:r>
        <w:rPr>
          <w:color w:val="231F20"/>
          <w:spacing w:val="-13"/>
          <w:w w:val="105"/>
        </w:rPr>
        <w:t> </w:t>
      </w:r>
      <w:r>
        <w:rPr>
          <w:color w:val="231F20"/>
          <w:spacing w:val="2"/>
          <w:w w:val="105"/>
        </w:rPr>
        <w:t>analizan</w:t>
      </w:r>
      <w:r>
        <w:rPr>
          <w:color w:val="231F20"/>
          <w:spacing w:val="-13"/>
          <w:w w:val="105"/>
        </w:rPr>
        <w:t> </w:t>
      </w:r>
      <w:r>
        <w:rPr>
          <w:color w:val="231F20"/>
          <w:w w:val="105"/>
        </w:rPr>
        <w:t>los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7"/>
        <w:jc w:val="both"/>
      </w:pPr>
      <w:r>
        <w:rPr>
          <w:color w:val="231F20"/>
        </w:rPr>
        <w:t>egresos municipales, se observará que la mayor parte de recursos se utilizan en servicios personales (nómina, prestaciones al personal, etcétera), y con ello se deja poco ingreso para las acciones sustantivas del  municipio.</w:t>
      </w:r>
    </w:p>
    <w:p>
      <w:pPr>
        <w:pStyle w:val="BodyText"/>
        <w:spacing w:before="1"/>
        <w:rPr>
          <w:sz w:val="26"/>
        </w:rPr>
      </w:pPr>
    </w:p>
    <w:p>
      <w:pPr>
        <w:pStyle w:val="BodyText"/>
        <w:spacing w:line="285" w:lineRule="auto"/>
        <w:ind w:left="110" w:right="108"/>
        <w:jc w:val="both"/>
      </w:pPr>
      <w:r>
        <w:rPr>
          <w:color w:val="231F20"/>
          <w:w w:val="105"/>
        </w:rPr>
        <w:t>Algo</w:t>
      </w:r>
      <w:r>
        <w:rPr>
          <w:color w:val="231F20"/>
          <w:spacing w:val="-16"/>
          <w:w w:val="105"/>
        </w:rPr>
        <w:t> </w:t>
      </w:r>
      <w:r>
        <w:rPr>
          <w:color w:val="231F20"/>
          <w:w w:val="105"/>
        </w:rPr>
        <w:t>muy</w:t>
      </w:r>
      <w:r>
        <w:rPr>
          <w:color w:val="231F20"/>
          <w:spacing w:val="-16"/>
          <w:w w:val="105"/>
        </w:rPr>
        <w:t> </w:t>
      </w:r>
      <w:r>
        <w:rPr>
          <w:color w:val="231F20"/>
          <w:w w:val="105"/>
        </w:rPr>
        <w:t>importante</w:t>
      </w:r>
      <w:r>
        <w:rPr>
          <w:color w:val="231F20"/>
          <w:spacing w:val="-16"/>
          <w:w w:val="105"/>
        </w:rPr>
        <w:t> </w:t>
      </w:r>
      <w:r>
        <w:rPr>
          <w:color w:val="231F20"/>
          <w:w w:val="105"/>
        </w:rPr>
        <w:t>es</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todas</w:t>
      </w:r>
      <w:r>
        <w:rPr>
          <w:color w:val="231F20"/>
          <w:spacing w:val="-16"/>
          <w:w w:val="105"/>
        </w:rPr>
        <w:t> </w:t>
      </w:r>
      <w:r>
        <w:rPr>
          <w:color w:val="231F20"/>
          <w:w w:val="105"/>
        </w:rPr>
        <w:t>las</w:t>
      </w:r>
      <w:r>
        <w:rPr>
          <w:color w:val="231F20"/>
          <w:spacing w:val="-16"/>
          <w:w w:val="105"/>
        </w:rPr>
        <w:t> </w:t>
      </w:r>
      <w:r>
        <w:rPr>
          <w:color w:val="231F20"/>
          <w:w w:val="105"/>
        </w:rPr>
        <w:t>acciones</w:t>
      </w:r>
      <w:r>
        <w:rPr>
          <w:color w:val="231F20"/>
          <w:spacing w:val="-16"/>
          <w:w w:val="105"/>
        </w:rPr>
        <w:t> </w:t>
      </w:r>
      <w:r>
        <w:rPr>
          <w:color w:val="231F20"/>
          <w:w w:val="105"/>
        </w:rPr>
        <w:t>no</w:t>
      </w:r>
      <w:r>
        <w:rPr>
          <w:color w:val="231F20"/>
          <w:spacing w:val="-16"/>
          <w:w w:val="105"/>
        </w:rPr>
        <w:t> </w:t>
      </w:r>
      <w:r>
        <w:rPr>
          <w:color w:val="231F20"/>
          <w:w w:val="105"/>
        </w:rPr>
        <w:t>se</w:t>
      </w:r>
      <w:r>
        <w:rPr>
          <w:color w:val="231F20"/>
          <w:spacing w:val="-16"/>
          <w:w w:val="105"/>
        </w:rPr>
        <w:t> </w:t>
      </w:r>
      <w:r>
        <w:rPr>
          <w:color w:val="231F20"/>
          <w:w w:val="105"/>
        </w:rPr>
        <w:t>menciona</w:t>
      </w:r>
      <w:r>
        <w:rPr>
          <w:color w:val="231F20"/>
          <w:spacing w:val="-16"/>
          <w:w w:val="105"/>
        </w:rPr>
        <w:t> </w:t>
      </w:r>
      <w:r>
        <w:rPr>
          <w:color w:val="231F20"/>
          <w:w w:val="105"/>
        </w:rPr>
        <w:t>el</w:t>
      </w:r>
      <w:r>
        <w:rPr>
          <w:color w:val="231F20"/>
          <w:spacing w:val="-16"/>
          <w:w w:val="105"/>
        </w:rPr>
        <w:t> </w:t>
      </w:r>
      <w:r>
        <w:rPr>
          <w:color w:val="231F20"/>
          <w:w w:val="105"/>
        </w:rPr>
        <w:t>grado</w:t>
      </w:r>
      <w:r>
        <w:rPr>
          <w:color w:val="231F20"/>
          <w:spacing w:val="-16"/>
          <w:w w:val="105"/>
        </w:rPr>
        <w:t> </w:t>
      </w:r>
      <w:r>
        <w:rPr>
          <w:color w:val="231F20"/>
          <w:w w:val="105"/>
        </w:rPr>
        <w:t>de</w:t>
      </w:r>
      <w:r>
        <w:rPr>
          <w:color w:val="231F20"/>
          <w:spacing w:val="-16"/>
          <w:w w:val="105"/>
        </w:rPr>
        <w:t> </w:t>
      </w:r>
      <w:r>
        <w:rPr>
          <w:color w:val="231F20"/>
          <w:w w:val="105"/>
        </w:rPr>
        <w:t>participa- ción</w:t>
      </w:r>
      <w:r>
        <w:rPr>
          <w:color w:val="231F20"/>
          <w:spacing w:val="-8"/>
          <w:w w:val="105"/>
        </w:rPr>
        <w:t> </w:t>
      </w:r>
      <w:r>
        <w:rPr>
          <w:color w:val="231F20"/>
          <w:w w:val="105"/>
        </w:rPr>
        <w:t>ciudadana,</w:t>
      </w:r>
      <w:r>
        <w:rPr>
          <w:color w:val="231F20"/>
          <w:spacing w:val="-8"/>
          <w:w w:val="105"/>
        </w:rPr>
        <w:t> </w:t>
      </w:r>
      <w:r>
        <w:rPr>
          <w:color w:val="231F20"/>
          <w:w w:val="105"/>
        </w:rPr>
        <w:t>que</w:t>
      </w:r>
      <w:r>
        <w:rPr>
          <w:color w:val="231F20"/>
          <w:spacing w:val="-8"/>
          <w:w w:val="105"/>
        </w:rPr>
        <w:t> </w:t>
      </w:r>
      <w:r>
        <w:rPr>
          <w:color w:val="231F20"/>
          <w:w w:val="105"/>
        </w:rPr>
        <w:t>pareciera</w:t>
      </w:r>
      <w:r>
        <w:rPr>
          <w:color w:val="231F20"/>
          <w:spacing w:val="-8"/>
          <w:w w:val="105"/>
        </w:rPr>
        <w:t> </w:t>
      </w:r>
      <w:r>
        <w:rPr>
          <w:color w:val="231F20"/>
          <w:w w:val="105"/>
        </w:rPr>
        <w:t>ser</w:t>
      </w:r>
      <w:r>
        <w:rPr>
          <w:color w:val="231F20"/>
          <w:spacing w:val="-8"/>
          <w:w w:val="105"/>
        </w:rPr>
        <w:t> </w:t>
      </w:r>
      <w:r>
        <w:rPr>
          <w:color w:val="231F20"/>
          <w:w w:val="105"/>
        </w:rPr>
        <w:t>que</w:t>
      </w:r>
      <w:r>
        <w:rPr>
          <w:color w:val="231F20"/>
          <w:spacing w:val="-8"/>
          <w:w w:val="105"/>
        </w:rPr>
        <w:t> </w:t>
      </w:r>
      <w:r>
        <w:rPr>
          <w:color w:val="231F20"/>
          <w:w w:val="105"/>
        </w:rPr>
        <w:t>sólo</w:t>
      </w:r>
      <w:r>
        <w:rPr>
          <w:color w:val="231F20"/>
          <w:spacing w:val="-8"/>
          <w:w w:val="105"/>
        </w:rPr>
        <w:t> </w:t>
      </w:r>
      <w:r>
        <w:rPr>
          <w:color w:val="231F20"/>
          <w:w w:val="105"/>
        </w:rPr>
        <w:t>se</w:t>
      </w:r>
      <w:r>
        <w:rPr>
          <w:color w:val="231F20"/>
          <w:spacing w:val="-8"/>
          <w:w w:val="105"/>
        </w:rPr>
        <w:t> </w:t>
      </w:r>
      <w:r>
        <w:rPr>
          <w:color w:val="231F20"/>
          <w:w w:val="105"/>
        </w:rPr>
        <w:t>dio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inicio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gestión</w:t>
      </w:r>
      <w:r>
        <w:rPr>
          <w:color w:val="231F20"/>
          <w:spacing w:val="-8"/>
          <w:w w:val="105"/>
        </w:rPr>
        <w:t> </w:t>
      </w:r>
      <w:r>
        <w:rPr>
          <w:color w:val="231F20"/>
          <w:w w:val="105"/>
        </w:rPr>
        <w:t>del</w:t>
      </w:r>
      <w:r>
        <w:rPr>
          <w:color w:val="231F20"/>
          <w:spacing w:val="-8"/>
          <w:w w:val="105"/>
        </w:rPr>
        <w:t> </w:t>
      </w:r>
      <w:r>
        <w:rPr>
          <w:color w:val="231F20"/>
          <w:w w:val="105"/>
        </w:rPr>
        <w:t>gobierno municipal</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demandas</w:t>
      </w:r>
      <w:r>
        <w:rPr>
          <w:color w:val="231F20"/>
          <w:spacing w:val="-13"/>
          <w:w w:val="105"/>
        </w:rPr>
        <w:t> </w:t>
      </w:r>
      <w:r>
        <w:rPr>
          <w:color w:val="231F20"/>
          <w:w w:val="105"/>
        </w:rPr>
        <w:t>de</w:t>
      </w:r>
      <w:r>
        <w:rPr>
          <w:color w:val="231F20"/>
          <w:spacing w:val="-13"/>
          <w:w w:val="105"/>
        </w:rPr>
        <w:t> </w:t>
      </w:r>
      <w:r>
        <w:rPr>
          <w:color w:val="231F20"/>
          <w:w w:val="105"/>
        </w:rPr>
        <w:t>obras</w:t>
      </w:r>
      <w:r>
        <w:rPr>
          <w:color w:val="231F20"/>
          <w:spacing w:val="-13"/>
          <w:w w:val="105"/>
        </w:rPr>
        <w:t> </w:t>
      </w:r>
      <w:r>
        <w:rPr>
          <w:color w:val="231F20"/>
          <w:w w:val="105"/>
        </w:rPr>
        <w:t>públicas.</w:t>
      </w:r>
    </w:p>
    <w:p>
      <w:pPr>
        <w:pStyle w:val="BodyText"/>
        <w:spacing w:before="1"/>
        <w:rPr>
          <w:sz w:val="26"/>
        </w:rPr>
      </w:pPr>
    </w:p>
    <w:p>
      <w:pPr>
        <w:pStyle w:val="BodyText"/>
        <w:spacing w:line="285" w:lineRule="auto"/>
        <w:ind w:left="110" w:right="108"/>
        <w:jc w:val="both"/>
      </w:pPr>
      <w:r>
        <w:rPr>
          <w:color w:val="231F20"/>
          <w:w w:val="105"/>
        </w:rPr>
        <w:t>El ejercicio del gobierno emanado del PT es entonces más bien pragmático, más que guiarse</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ideología</w:t>
      </w:r>
      <w:r>
        <w:rPr>
          <w:color w:val="231F20"/>
          <w:spacing w:val="-9"/>
          <w:w w:val="105"/>
        </w:rPr>
        <w:t> </w:t>
      </w:r>
      <w:r>
        <w:rPr>
          <w:color w:val="231F20"/>
          <w:w w:val="105"/>
        </w:rPr>
        <w:t>partidista</w:t>
      </w:r>
      <w:r>
        <w:rPr>
          <w:color w:val="231F20"/>
          <w:spacing w:val="-9"/>
          <w:w w:val="105"/>
        </w:rPr>
        <w:t> </w:t>
      </w:r>
      <w:r>
        <w:rPr>
          <w:color w:val="231F20"/>
          <w:w w:val="105"/>
        </w:rPr>
        <w:t>de</w:t>
      </w:r>
      <w:r>
        <w:rPr>
          <w:color w:val="231F20"/>
          <w:spacing w:val="-9"/>
          <w:w w:val="105"/>
        </w:rPr>
        <w:t> </w:t>
      </w:r>
      <w:r>
        <w:rPr>
          <w:color w:val="231F20"/>
          <w:w w:val="105"/>
        </w:rPr>
        <w:t>izquierda,</w:t>
      </w:r>
      <w:r>
        <w:rPr>
          <w:color w:val="231F20"/>
          <w:spacing w:val="-9"/>
          <w:w w:val="105"/>
        </w:rPr>
        <w:t> </w:t>
      </w:r>
      <w:r>
        <w:rPr>
          <w:color w:val="231F20"/>
          <w:w w:val="105"/>
        </w:rPr>
        <w:t>se</w:t>
      </w:r>
      <w:r>
        <w:rPr>
          <w:color w:val="231F20"/>
          <w:spacing w:val="-9"/>
          <w:w w:val="105"/>
        </w:rPr>
        <w:t> </w:t>
      </w:r>
      <w:r>
        <w:rPr>
          <w:color w:val="231F20"/>
          <w:w w:val="105"/>
        </w:rPr>
        <w:t>basa</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necesidades</w:t>
      </w:r>
      <w:r>
        <w:rPr>
          <w:color w:val="231F20"/>
          <w:spacing w:val="-9"/>
          <w:w w:val="105"/>
        </w:rPr>
        <w:t> </w:t>
      </w:r>
      <w:r>
        <w:rPr>
          <w:color w:val="231F20"/>
          <w:w w:val="105"/>
        </w:rPr>
        <w:t>y</w:t>
      </w:r>
      <w:r>
        <w:rPr>
          <w:color w:val="231F20"/>
          <w:spacing w:val="-9"/>
          <w:w w:val="105"/>
        </w:rPr>
        <w:t> </w:t>
      </w:r>
      <w:r>
        <w:rPr>
          <w:color w:val="231F20"/>
          <w:w w:val="105"/>
        </w:rPr>
        <w:t>exigencias sociales</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mismo</w:t>
      </w:r>
      <w:r>
        <w:rPr>
          <w:color w:val="231F20"/>
          <w:spacing w:val="-16"/>
          <w:w w:val="105"/>
        </w:rPr>
        <w:t> </w:t>
      </w:r>
      <w:r>
        <w:rPr>
          <w:color w:val="231F20"/>
          <w:w w:val="105"/>
        </w:rPr>
        <w:t>gobierno</w:t>
      </w:r>
      <w:r>
        <w:rPr>
          <w:color w:val="231F20"/>
          <w:spacing w:val="-16"/>
          <w:w w:val="105"/>
        </w:rPr>
        <w:t> </w:t>
      </w:r>
      <w:r>
        <w:rPr>
          <w:color w:val="231F20"/>
          <w:w w:val="105"/>
        </w:rPr>
        <w:t>prioriza</w:t>
      </w:r>
      <w:r>
        <w:rPr>
          <w:color w:val="231F20"/>
          <w:spacing w:val="-16"/>
          <w:w w:val="105"/>
        </w:rPr>
        <w:t> </w:t>
      </w: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a</w:t>
      </w:r>
      <w:r>
        <w:rPr>
          <w:color w:val="231F20"/>
          <w:spacing w:val="-16"/>
          <w:w w:val="105"/>
        </w:rPr>
        <w:t> </w:t>
      </w:r>
      <w:r>
        <w:rPr>
          <w:color w:val="231F20"/>
          <w:w w:val="105"/>
        </w:rPr>
        <w:t>sus</w:t>
      </w:r>
      <w:r>
        <w:rPr>
          <w:color w:val="231F20"/>
          <w:spacing w:val="-16"/>
          <w:w w:val="105"/>
        </w:rPr>
        <w:t> </w:t>
      </w:r>
      <w:r>
        <w:rPr>
          <w:color w:val="231F20"/>
          <w:w w:val="105"/>
        </w:rPr>
        <w:t>percepciones.</w:t>
      </w:r>
    </w:p>
    <w:p>
      <w:pPr>
        <w:pStyle w:val="BodyText"/>
        <w:spacing w:before="10"/>
      </w:pPr>
    </w:p>
    <w:p>
      <w:pPr>
        <w:pStyle w:val="Heading3"/>
        <w:numPr>
          <w:ilvl w:val="1"/>
          <w:numId w:val="33"/>
        </w:numPr>
        <w:tabs>
          <w:tab w:pos="514" w:val="left" w:leader="none"/>
        </w:tabs>
        <w:spacing w:line="240" w:lineRule="auto" w:before="0" w:after="0"/>
        <w:ind w:left="513" w:right="0" w:hanging="403"/>
        <w:jc w:val="both"/>
      </w:pPr>
      <w:r>
        <w:rPr>
          <w:color w:val="231F20"/>
          <w:spacing w:val="-3"/>
        </w:rPr>
        <w:t>Ejercicio</w:t>
      </w:r>
      <w:r>
        <w:rPr>
          <w:color w:val="231F20"/>
          <w:spacing w:val="53"/>
        </w:rPr>
        <w:t> </w:t>
      </w:r>
      <w:r>
        <w:rPr>
          <w:color w:val="231F20"/>
        </w:rPr>
        <w:t>Presupuestal</w:t>
      </w:r>
    </w:p>
    <w:p>
      <w:pPr>
        <w:pStyle w:val="BodyText"/>
        <w:spacing w:line="285" w:lineRule="auto" w:before="38"/>
        <w:ind w:left="110" w:right="107"/>
        <w:jc w:val="both"/>
      </w:pPr>
      <w:r>
        <w:rPr>
          <w:color w:val="231F20"/>
          <w:w w:val="105"/>
        </w:rPr>
        <w:t>Ahora,</w:t>
      </w:r>
      <w:r>
        <w:rPr>
          <w:color w:val="231F20"/>
          <w:spacing w:val="-20"/>
          <w:w w:val="105"/>
        </w:rPr>
        <w:t> </w:t>
      </w:r>
      <w:r>
        <w:rPr>
          <w:color w:val="231F20"/>
          <w:w w:val="105"/>
        </w:rPr>
        <w:t>es</w:t>
      </w:r>
      <w:r>
        <w:rPr>
          <w:color w:val="231F20"/>
          <w:spacing w:val="-20"/>
          <w:w w:val="105"/>
        </w:rPr>
        <w:t> </w:t>
      </w:r>
      <w:r>
        <w:rPr>
          <w:color w:val="231F20"/>
          <w:w w:val="105"/>
        </w:rPr>
        <w:t>importante</w:t>
      </w:r>
      <w:r>
        <w:rPr>
          <w:color w:val="231F20"/>
          <w:spacing w:val="-20"/>
          <w:w w:val="105"/>
        </w:rPr>
        <w:t> </w:t>
      </w:r>
      <w:r>
        <w:rPr>
          <w:color w:val="231F20"/>
          <w:w w:val="105"/>
        </w:rPr>
        <w:t>conocer</w:t>
      </w:r>
      <w:r>
        <w:rPr>
          <w:color w:val="231F20"/>
          <w:spacing w:val="-20"/>
          <w:w w:val="105"/>
        </w:rPr>
        <w:t> </w:t>
      </w:r>
      <w:r>
        <w:rPr>
          <w:color w:val="231F20"/>
          <w:w w:val="105"/>
        </w:rPr>
        <w:t>cómo</w:t>
      </w:r>
      <w:r>
        <w:rPr>
          <w:color w:val="231F20"/>
          <w:spacing w:val="-20"/>
          <w:w w:val="105"/>
        </w:rPr>
        <w:t> </w:t>
      </w:r>
      <w:r>
        <w:rPr>
          <w:color w:val="231F20"/>
          <w:w w:val="105"/>
        </w:rPr>
        <w:t>se</w:t>
      </w:r>
      <w:r>
        <w:rPr>
          <w:color w:val="231F20"/>
          <w:spacing w:val="-20"/>
          <w:w w:val="105"/>
        </w:rPr>
        <w:t> </w:t>
      </w:r>
      <w:r>
        <w:rPr>
          <w:color w:val="231F20"/>
          <w:w w:val="105"/>
        </w:rPr>
        <w:t>ejerce</w:t>
      </w:r>
      <w:r>
        <w:rPr>
          <w:color w:val="231F20"/>
          <w:spacing w:val="-20"/>
          <w:w w:val="105"/>
        </w:rPr>
        <w:t> </w:t>
      </w:r>
      <w:r>
        <w:rPr>
          <w:color w:val="231F20"/>
          <w:w w:val="105"/>
        </w:rPr>
        <w:t>el</w:t>
      </w:r>
      <w:r>
        <w:rPr>
          <w:color w:val="231F20"/>
          <w:spacing w:val="-20"/>
          <w:w w:val="105"/>
        </w:rPr>
        <w:t> </w:t>
      </w:r>
      <w:r>
        <w:rPr>
          <w:color w:val="231F20"/>
          <w:w w:val="105"/>
        </w:rPr>
        <w:t>gasto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municipio</w:t>
      </w:r>
      <w:r>
        <w:rPr>
          <w:color w:val="231F20"/>
          <w:spacing w:val="-20"/>
          <w:w w:val="105"/>
        </w:rPr>
        <w:t> </w:t>
      </w:r>
      <w:r>
        <w:rPr>
          <w:color w:val="231F20"/>
          <w:w w:val="105"/>
        </w:rPr>
        <w:t>para</w:t>
      </w:r>
      <w:r>
        <w:rPr>
          <w:color w:val="231F20"/>
          <w:spacing w:val="-20"/>
          <w:w w:val="105"/>
        </w:rPr>
        <w:t> </w:t>
      </w:r>
      <w:r>
        <w:rPr>
          <w:color w:val="231F20"/>
          <w:w w:val="105"/>
        </w:rPr>
        <w:t>con</w:t>
      </w:r>
      <w:r>
        <w:rPr>
          <w:color w:val="231F20"/>
          <w:spacing w:val="-20"/>
          <w:w w:val="105"/>
        </w:rPr>
        <w:t> </w:t>
      </w:r>
      <w:r>
        <w:rPr>
          <w:color w:val="231F20"/>
          <w:w w:val="105"/>
        </w:rPr>
        <w:t>ello</w:t>
      </w:r>
      <w:r>
        <w:rPr>
          <w:color w:val="231F20"/>
          <w:spacing w:val="-20"/>
          <w:w w:val="105"/>
        </w:rPr>
        <w:t> </w:t>
      </w:r>
      <w:r>
        <w:rPr>
          <w:color w:val="231F20"/>
          <w:w w:val="105"/>
        </w:rPr>
        <w:t>tener una visión sobre cuáles son las prioridades del gobierno municipal. A continuación se presenta</w:t>
      </w:r>
      <w:r>
        <w:rPr>
          <w:color w:val="231F20"/>
          <w:spacing w:val="-19"/>
          <w:w w:val="105"/>
        </w:rPr>
        <w:t> </w:t>
      </w:r>
      <w:r>
        <w:rPr>
          <w:color w:val="231F20"/>
          <w:w w:val="105"/>
        </w:rPr>
        <w:t>un</w:t>
      </w:r>
      <w:r>
        <w:rPr>
          <w:color w:val="231F20"/>
          <w:spacing w:val="-19"/>
          <w:w w:val="105"/>
        </w:rPr>
        <w:t> </w:t>
      </w:r>
      <w:r>
        <w:rPr>
          <w:color w:val="231F20"/>
          <w:w w:val="105"/>
        </w:rPr>
        <w:t>cuadro</w:t>
      </w:r>
      <w:r>
        <w:rPr>
          <w:color w:val="231F20"/>
          <w:spacing w:val="-19"/>
          <w:w w:val="105"/>
        </w:rPr>
        <w:t> </w:t>
      </w:r>
      <w:r>
        <w:rPr>
          <w:color w:val="231F20"/>
          <w:w w:val="105"/>
        </w:rPr>
        <w:t>y</w:t>
      </w:r>
      <w:r>
        <w:rPr>
          <w:color w:val="231F20"/>
          <w:spacing w:val="-19"/>
          <w:w w:val="105"/>
        </w:rPr>
        <w:t> </w:t>
      </w:r>
      <w:r>
        <w:rPr>
          <w:color w:val="231F20"/>
          <w:w w:val="105"/>
        </w:rPr>
        <w:t>una</w:t>
      </w:r>
      <w:r>
        <w:rPr>
          <w:color w:val="231F20"/>
          <w:spacing w:val="-19"/>
          <w:w w:val="105"/>
        </w:rPr>
        <w:t> </w:t>
      </w:r>
      <w:r>
        <w:rPr>
          <w:color w:val="231F20"/>
          <w:w w:val="105"/>
        </w:rPr>
        <w:t>gráfica</w:t>
      </w:r>
      <w:r>
        <w:rPr>
          <w:color w:val="231F20"/>
          <w:spacing w:val="-19"/>
          <w:w w:val="105"/>
        </w:rPr>
        <w:t> </w:t>
      </w:r>
      <w:r>
        <w:rPr>
          <w:color w:val="231F20"/>
          <w:spacing w:val="-3"/>
          <w:w w:val="105"/>
        </w:rPr>
        <w:t>donde</w:t>
      </w:r>
      <w:r>
        <w:rPr>
          <w:color w:val="231F20"/>
          <w:spacing w:val="-19"/>
          <w:w w:val="105"/>
        </w:rPr>
        <w:t> </w:t>
      </w:r>
      <w:r>
        <w:rPr>
          <w:color w:val="231F20"/>
          <w:w w:val="105"/>
        </w:rPr>
        <w:t>se</w:t>
      </w:r>
      <w:r>
        <w:rPr>
          <w:color w:val="231F20"/>
          <w:spacing w:val="-19"/>
          <w:w w:val="105"/>
        </w:rPr>
        <w:t> </w:t>
      </w:r>
      <w:r>
        <w:rPr>
          <w:color w:val="231F20"/>
          <w:w w:val="105"/>
        </w:rPr>
        <w:t>puede</w:t>
      </w:r>
      <w:r>
        <w:rPr>
          <w:color w:val="231F20"/>
          <w:spacing w:val="-19"/>
          <w:w w:val="105"/>
        </w:rPr>
        <w:t> </w:t>
      </w:r>
      <w:r>
        <w:rPr>
          <w:color w:val="231F20"/>
          <w:spacing w:val="2"/>
          <w:w w:val="105"/>
        </w:rPr>
        <w:t>visualizar</w:t>
      </w:r>
      <w:r>
        <w:rPr>
          <w:color w:val="231F20"/>
          <w:spacing w:val="-19"/>
          <w:w w:val="105"/>
        </w:rPr>
        <w:t> </w:t>
      </w:r>
      <w:r>
        <w:rPr>
          <w:color w:val="231F20"/>
          <w:w w:val="105"/>
        </w:rPr>
        <w:t>como</w:t>
      </w:r>
      <w:r>
        <w:rPr>
          <w:color w:val="231F20"/>
          <w:spacing w:val="-19"/>
          <w:w w:val="105"/>
        </w:rPr>
        <w:t> </w:t>
      </w:r>
      <w:r>
        <w:rPr>
          <w:color w:val="231F20"/>
          <w:w w:val="105"/>
        </w:rPr>
        <w:t>se</w:t>
      </w:r>
      <w:r>
        <w:rPr>
          <w:color w:val="231F20"/>
          <w:spacing w:val="-19"/>
          <w:w w:val="105"/>
        </w:rPr>
        <w:t> </w:t>
      </w:r>
      <w:r>
        <w:rPr>
          <w:color w:val="231F20"/>
          <w:w w:val="105"/>
        </w:rPr>
        <w:t>ejerce</w:t>
      </w:r>
      <w:r>
        <w:rPr>
          <w:color w:val="231F20"/>
          <w:spacing w:val="-19"/>
          <w:w w:val="105"/>
        </w:rPr>
        <w:t> </w:t>
      </w:r>
      <w:r>
        <w:rPr>
          <w:color w:val="231F20"/>
          <w:w w:val="105"/>
        </w:rPr>
        <w:t>el</w:t>
      </w:r>
      <w:r>
        <w:rPr>
          <w:color w:val="231F20"/>
          <w:spacing w:val="-19"/>
          <w:w w:val="105"/>
        </w:rPr>
        <w:t> </w:t>
      </w:r>
      <w:r>
        <w:rPr>
          <w:color w:val="231F20"/>
          <w:w w:val="105"/>
        </w:rPr>
        <w:t>presupues- to en Ozumba de</w:t>
      </w:r>
      <w:r>
        <w:rPr>
          <w:color w:val="231F20"/>
          <w:spacing w:val="-35"/>
          <w:w w:val="105"/>
        </w:rPr>
        <w:t> </w:t>
      </w:r>
      <w:r>
        <w:rPr>
          <w:color w:val="231F20"/>
          <w:w w:val="105"/>
        </w:rPr>
        <w:t>Alzate:</w:t>
      </w:r>
    </w:p>
    <w:p>
      <w:pPr>
        <w:pStyle w:val="BodyText"/>
        <w:spacing w:before="1"/>
        <w:rPr>
          <w:sz w:val="26"/>
        </w:rPr>
      </w:pPr>
    </w:p>
    <w:p>
      <w:pPr>
        <w:pStyle w:val="Heading5"/>
        <w:ind w:left="754"/>
      </w:pPr>
      <w:r>
        <w:rPr>
          <w:color w:val="231F20"/>
          <w:w w:val="105"/>
        </w:rPr>
        <w:t>Cuadro 7: Presupuesto definitivo por programas ejercicio fiscal 2009</w:t>
      </w:r>
    </w:p>
    <w:p>
      <w:pPr>
        <w:pStyle w:val="BodyText"/>
        <w:spacing w:before="10"/>
        <w:rPr>
          <w:b/>
          <w:sz w:val="28"/>
        </w:rPr>
      </w:pPr>
    </w:p>
    <w:tbl>
      <w:tblPr>
        <w:tblW w:w="0" w:type="auto"/>
        <w:jc w:val="left"/>
        <w:tblInd w:w="51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99"/>
        <w:gridCol w:w="2765"/>
        <w:gridCol w:w="1002"/>
        <w:gridCol w:w="966"/>
        <w:gridCol w:w="1379"/>
      </w:tblGrid>
      <w:tr>
        <w:trPr>
          <w:trHeight w:val="130" w:hRule="exact"/>
        </w:trPr>
        <w:tc>
          <w:tcPr>
            <w:tcW w:w="999" w:type="dxa"/>
          </w:tcPr>
          <w:p>
            <w:pPr>
              <w:pStyle w:val="TableParagraph"/>
              <w:spacing w:line="160" w:lineRule="exact"/>
              <w:rPr>
                <w:sz w:val="16"/>
              </w:rPr>
            </w:pPr>
            <w:r>
              <w:rPr>
                <w:color w:val="231F20"/>
                <w:w w:val="85"/>
                <w:sz w:val="16"/>
              </w:rPr>
              <w:t>CAPÍTULO</w:t>
            </w:r>
          </w:p>
        </w:tc>
        <w:tc>
          <w:tcPr>
            <w:tcW w:w="2765" w:type="dxa"/>
          </w:tcPr>
          <w:p>
            <w:pPr>
              <w:pStyle w:val="TableParagraph"/>
              <w:spacing w:line="160" w:lineRule="exact"/>
              <w:rPr>
                <w:sz w:val="16"/>
              </w:rPr>
            </w:pPr>
            <w:r>
              <w:rPr>
                <w:color w:val="231F20"/>
                <w:w w:val="80"/>
                <w:sz w:val="16"/>
              </w:rPr>
              <w:t>CONCEPTO</w:t>
            </w:r>
          </w:p>
        </w:tc>
        <w:tc>
          <w:tcPr>
            <w:tcW w:w="1002" w:type="dxa"/>
          </w:tcPr>
          <w:p>
            <w:pPr>
              <w:pStyle w:val="TableParagraph"/>
              <w:spacing w:line="160" w:lineRule="exact"/>
              <w:rPr>
                <w:sz w:val="16"/>
              </w:rPr>
            </w:pPr>
            <w:r>
              <w:rPr>
                <w:color w:val="231F20"/>
                <w:w w:val="75"/>
                <w:sz w:val="16"/>
              </w:rPr>
              <w:t>REAL 2007</w:t>
            </w:r>
          </w:p>
        </w:tc>
        <w:tc>
          <w:tcPr>
            <w:tcW w:w="966" w:type="dxa"/>
          </w:tcPr>
          <w:p>
            <w:pPr>
              <w:pStyle w:val="TableParagraph"/>
              <w:spacing w:line="160" w:lineRule="exact"/>
              <w:rPr>
                <w:sz w:val="16"/>
              </w:rPr>
            </w:pPr>
            <w:r>
              <w:rPr>
                <w:color w:val="231F20"/>
                <w:w w:val="75"/>
                <w:sz w:val="16"/>
              </w:rPr>
              <w:t>EJERCIDO 2008</w:t>
            </w:r>
          </w:p>
        </w:tc>
        <w:tc>
          <w:tcPr>
            <w:tcW w:w="1379" w:type="dxa"/>
          </w:tcPr>
          <w:p>
            <w:pPr>
              <w:pStyle w:val="TableParagraph"/>
              <w:spacing w:line="160" w:lineRule="exact"/>
              <w:ind w:left="102"/>
              <w:rPr>
                <w:sz w:val="16"/>
              </w:rPr>
            </w:pPr>
            <w:r>
              <w:rPr>
                <w:color w:val="231F20"/>
                <w:w w:val="75"/>
                <w:sz w:val="16"/>
              </w:rPr>
              <w:t>PRESUPUESTADO 2009</w:t>
            </w:r>
          </w:p>
        </w:tc>
      </w:tr>
      <w:tr>
        <w:trPr>
          <w:trHeight w:val="130" w:hRule="exact"/>
        </w:trPr>
        <w:tc>
          <w:tcPr>
            <w:tcW w:w="999" w:type="dxa"/>
          </w:tcPr>
          <w:p>
            <w:pPr>
              <w:pStyle w:val="TableParagraph"/>
              <w:spacing w:line="160" w:lineRule="exact"/>
              <w:rPr>
                <w:sz w:val="16"/>
              </w:rPr>
            </w:pPr>
            <w:r>
              <w:rPr>
                <w:color w:val="231F20"/>
                <w:w w:val="85"/>
                <w:sz w:val="16"/>
              </w:rPr>
              <w:t>6004</w:t>
            </w:r>
          </w:p>
        </w:tc>
        <w:tc>
          <w:tcPr>
            <w:tcW w:w="2765" w:type="dxa"/>
          </w:tcPr>
          <w:p>
            <w:pPr>
              <w:pStyle w:val="TableParagraph"/>
              <w:spacing w:line="160" w:lineRule="exact"/>
              <w:rPr>
                <w:sz w:val="16"/>
              </w:rPr>
            </w:pPr>
            <w:r>
              <w:rPr>
                <w:color w:val="231F20"/>
                <w:w w:val="75"/>
                <w:sz w:val="16"/>
              </w:rPr>
              <w:t>PRESUPUESTO AUTORIZADO DE EGRESOS</w:t>
            </w:r>
          </w:p>
        </w:tc>
        <w:tc>
          <w:tcPr>
            <w:tcW w:w="1002" w:type="dxa"/>
          </w:tcPr>
          <w:p>
            <w:pPr>
              <w:pStyle w:val="TableParagraph"/>
              <w:spacing w:line="160" w:lineRule="exact"/>
              <w:rPr>
                <w:sz w:val="16"/>
              </w:rPr>
            </w:pPr>
            <w:r>
              <w:rPr>
                <w:color w:val="231F20"/>
                <w:w w:val="85"/>
                <w:sz w:val="16"/>
              </w:rPr>
              <w:t>54,029,050.89</w:t>
            </w:r>
          </w:p>
        </w:tc>
        <w:tc>
          <w:tcPr>
            <w:tcW w:w="966" w:type="dxa"/>
          </w:tcPr>
          <w:p>
            <w:pPr>
              <w:pStyle w:val="TableParagraph"/>
              <w:spacing w:line="160" w:lineRule="exact"/>
              <w:rPr>
                <w:sz w:val="16"/>
              </w:rPr>
            </w:pPr>
            <w:r>
              <w:rPr>
                <w:color w:val="231F20"/>
                <w:w w:val="85"/>
                <w:sz w:val="16"/>
              </w:rPr>
              <w:t>71,446,414.31</w:t>
            </w:r>
          </w:p>
        </w:tc>
        <w:tc>
          <w:tcPr>
            <w:tcW w:w="1379" w:type="dxa"/>
          </w:tcPr>
          <w:p>
            <w:pPr>
              <w:pStyle w:val="TableParagraph"/>
              <w:spacing w:line="160" w:lineRule="exact"/>
              <w:ind w:left="102"/>
              <w:rPr>
                <w:sz w:val="16"/>
              </w:rPr>
            </w:pPr>
            <w:r>
              <w:rPr>
                <w:color w:val="231F20"/>
                <w:w w:val="85"/>
                <w:sz w:val="16"/>
              </w:rPr>
              <w:t>82,787,500.00</w:t>
            </w:r>
          </w:p>
        </w:tc>
      </w:tr>
      <w:tr>
        <w:trPr>
          <w:trHeight w:val="130" w:hRule="exact"/>
        </w:trPr>
        <w:tc>
          <w:tcPr>
            <w:tcW w:w="999" w:type="dxa"/>
          </w:tcPr>
          <w:p>
            <w:pPr>
              <w:pStyle w:val="TableParagraph"/>
              <w:spacing w:line="160" w:lineRule="exact"/>
              <w:rPr>
                <w:sz w:val="16"/>
              </w:rPr>
            </w:pPr>
            <w:r>
              <w:rPr>
                <w:color w:val="231F20"/>
                <w:w w:val="85"/>
                <w:sz w:val="16"/>
              </w:rPr>
              <w:t>1000</w:t>
            </w:r>
          </w:p>
        </w:tc>
        <w:tc>
          <w:tcPr>
            <w:tcW w:w="2765" w:type="dxa"/>
          </w:tcPr>
          <w:p>
            <w:pPr>
              <w:pStyle w:val="TableParagraph"/>
              <w:spacing w:line="160" w:lineRule="exact"/>
              <w:rPr>
                <w:sz w:val="16"/>
              </w:rPr>
            </w:pPr>
            <w:r>
              <w:rPr>
                <w:color w:val="231F20"/>
                <w:w w:val="75"/>
                <w:sz w:val="16"/>
              </w:rPr>
              <w:t>SERVICIOS PERSONALES</w:t>
            </w:r>
          </w:p>
        </w:tc>
        <w:tc>
          <w:tcPr>
            <w:tcW w:w="1002" w:type="dxa"/>
          </w:tcPr>
          <w:p>
            <w:pPr>
              <w:pStyle w:val="TableParagraph"/>
              <w:spacing w:line="160" w:lineRule="exact"/>
              <w:rPr>
                <w:sz w:val="16"/>
              </w:rPr>
            </w:pPr>
            <w:r>
              <w:rPr>
                <w:color w:val="231F20"/>
                <w:w w:val="85"/>
                <w:sz w:val="16"/>
              </w:rPr>
              <w:t>33,048,149.67</w:t>
            </w:r>
          </w:p>
        </w:tc>
        <w:tc>
          <w:tcPr>
            <w:tcW w:w="966" w:type="dxa"/>
          </w:tcPr>
          <w:p>
            <w:pPr>
              <w:pStyle w:val="TableParagraph"/>
              <w:spacing w:line="160" w:lineRule="exact"/>
              <w:rPr>
                <w:sz w:val="16"/>
              </w:rPr>
            </w:pPr>
            <w:r>
              <w:rPr>
                <w:color w:val="231F20"/>
                <w:w w:val="85"/>
                <w:sz w:val="16"/>
              </w:rPr>
              <w:t>34,983,276.98</w:t>
            </w:r>
          </w:p>
        </w:tc>
        <w:tc>
          <w:tcPr>
            <w:tcW w:w="1379" w:type="dxa"/>
          </w:tcPr>
          <w:p>
            <w:pPr>
              <w:pStyle w:val="TableParagraph"/>
              <w:spacing w:line="160" w:lineRule="exact"/>
              <w:ind w:left="102"/>
              <w:rPr>
                <w:sz w:val="16"/>
              </w:rPr>
            </w:pPr>
            <w:r>
              <w:rPr>
                <w:color w:val="231F20"/>
                <w:w w:val="85"/>
                <w:sz w:val="16"/>
              </w:rPr>
              <w:t>38,041,932.00</w:t>
            </w:r>
          </w:p>
        </w:tc>
      </w:tr>
      <w:tr>
        <w:trPr>
          <w:trHeight w:val="130" w:hRule="exact"/>
        </w:trPr>
        <w:tc>
          <w:tcPr>
            <w:tcW w:w="999" w:type="dxa"/>
          </w:tcPr>
          <w:p>
            <w:pPr>
              <w:pStyle w:val="TableParagraph"/>
              <w:spacing w:line="160" w:lineRule="exact"/>
              <w:rPr>
                <w:sz w:val="16"/>
              </w:rPr>
            </w:pPr>
            <w:r>
              <w:rPr>
                <w:color w:val="231F20"/>
                <w:w w:val="85"/>
                <w:sz w:val="16"/>
              </w:rPr>
              <w:t>2000</w:t>
            </w:r>
          </w:p>
        </w:tc>
        <w:tc>
          <w:tcPr>
            <w:tcW w:w="2765" w:type="dxa"/>
          </w:tcPr>
          <w:p>
            <w:pPr>
              <w:pStyle w:val="TableParagraph"/>
              <w:spacing w:line="160" w:lineRule="exact"/>
              <w:rPr>
                <w:sz w:val="16"/>
              </w:rPr>
            </w:pPr>
            <w:r>
              <w:rPr>
                <w:color w:val="231F20"/>
                <w:w w:val="75"/>
                <w:sz w:val="16"/>
              </w:rPr>
              <w:t>MATERIALES Y SUMINISTROS</w:t>
            </w:r>
          </w:p>
        </w:tc>
        <w:tc>
          <w:tcPr>
            <w:tcW w:w="1002" w:type="dxa"/>
          </w:tcPr>
          <w:p>
            <w:pPr>
              <w:pStyle w:val="TableParagraph"/>
              <w:spacing w:line="160" w:lineRule="exact"/>
              <w:rPr>
                <w:sz w:val="16"/>
              </w:rPr>
            </w:pPr>
            <w:r>
              <w:rPr>
                <w:color w:val="231F20"/>
                <w:w w:val="85"/>
                <w:sz w:val="16"/>
              </w:rPr>
              <w:t>2,693,421.23</w:t>
            </w:r>
          </w:p>
        </w:tc>
        <w:tc>
          <w:tcPr>
            <w:tcW w:w="966" w:type="dxa"/>
          </w:tcPr>
          <w:p>
            <w:pPr>
              <w:pStyle w:val="TableParagraph"/>
              <w:spacing w:line="160" w:lineRule="exact"/>
              <w:rPr>
                <w:sz w:val="16"/>
              </w:rPr>
            </w:pPr>
            <w:r>
              <w:rPr>
                <w:color w:val="231F20"/>
                <w:w w:val="85"/>
                <w:sz w:val="16"/>
              </w:rPr>
              <w:t>2,901,011.75</w:t>
            </w:r>
          </w:p>
        </w:tc>
        <w:tc>
          <w:tcPr>
            <w:tcW w:w="1379" w:type="dxa"/>
          </w:tcPr>
          <w:p>
            <w:pPr>
              <w:pStyle w:val="TableParagraph"/>
              <w:spacing w:line="160" w:lineRule="exact"/>
              <w:ind w:left="102"/>
              <w:rPr>
                <w:sz w:val="16"/>
              </w:rPr>
            </w:pPr>
            <w:r>
              <w:rPr>
                <w:color w:val="231F20"/>
                <w:w w:val="85"/>
                <w:sz w:val="16"/>
              </w:rPr>
              <w:t>3,312,267.00</w:t>
            </w:r>
          </w:p>
        </w:tc>
      </w:tr>
      <w:tr>
        <w:trPr>
          <w:trHeight w:val="130" w:hRule="exact"/>
        </w:trPr>
        <w:tc>
          <w:tcPr>
            <w:tcW w:w="999" w:type="dxa"/>
          </w:tcPr>
          <w:p>
            <w:pPr>
              <w:pStyle w:val="TableParagraph"/>
              <w:spacing w:line="160" w:lineRule="exact"/>
              <w:rPr>
                <w:sz w:val="16"/>
              </w:rPr>
            </w:pPr>
            <w:r>
              <w:rPr>
                <w:color w:val="231F20"/>
                <w:w w:val="85"/>
                <w:sz w:val="16"/>
              </w:rPr>
              <w:t>3000</w:t>
            </w:r>
          </w:p>
        </w:tc>
        <w:tc>
          <w:tcPr>
            <w:tcW w:w="2765" w:type="dxa"/>
          </w:tcPr>
          <w:p>
            <w:pPr>
              <w:pStyle w:val="TableParagraph"/>
              <w:spacing w:line="160" w:lineRule="exact"/>
              <w:rPr>
                <w:sz w:val="16"/>
              </w:rPr>
            </w:pPr>
            <w:r>
              <w:rPr>
                <w:color w:val="231F20"/>
                <w:w w:val="75"/>
                <w:sz w:val="16"/>
              </w:rPr>
              <w:t>SERVICIOS GENERALES</w:t>
            </w:r>
          </w:p>
        </w:tc>
        <w:tc>
          <w:tcPr>
            <w:tcW w:w="1002" w:type="dxa"/>
          </w:tcPr>
          <w:p>
            <w:pPr>
              <w:pStyle w:val="TableParagraph"/>
              <w:spacing w:line="160" w:lineRule="exact"/>
              <w:rPr>
                <w:sz w:val="16"/>
              </w:rPr>
            </w:pPr>
            <w:r>
              <w:rPr>
                <w:color w:val="231F20"/>
                <w:w w:val="85"/>
                <w:sz w:val="16"/>
              </w:rPr>
              <w:t>6,258,337.62</w:t>
            </w:r>
          </w:p>
        </w:tc>
        <w:tc>
          <w:tcPr>
            <w:tcW w:w="966" w:type="dxa"/>
          </w:tcPr>
          <w:p>
            <w:pPr>
              <w:pStyle w:val="TableParagraph"/>
              <w:spacing w:line="160" w:lineRule="exact"/>
              <w:rPr>
                <w:sz w:val="16"/>
              </w:rPr>
            </w:pPr>
            <w:r>
              <w:rPr>
                <w:color w:val="231F20"/>
                <w:w w:val="85"/>
                <w:sz w:val="16"/>
              </w:rPr>
              <w:t>11,697,689.63</w:t>
            </w:r>
          </w:p>
        </w:tc>
        <w:tc>
          <w:tcPr>
            <w:tcW w:w="1379" w:type="dxa"/>
          </w:tcPr>
          <w:p>
            <w:pPr>
              <w:pStyle w:val="TableParagraph"/>
              <w:spacing w:line="160" w:lineRule="exact"/>
              <w:ind w:left="102"/>
              <w:rPr>
                <w:sz w:val="16"/>
              </w:rPr>
            </w:pPr>
            <w:r>
              <w:rPr>
                <w:color w:val="231F20"/>
                <w:w w:val="85"/>
                <w:sz w:val="16"/>
              </w:rPr>
              <w:t>11,997,938.00</w:t>
            </w:r>
          </w:p>
        </w:tc>
      </w:tr>
      <w:tr>
        <w:trPr>
          <w:trHeight w:val="322" w:hRule="exact"/>
        </w:trPr>
        <w:tc>
          <w:tcPr>
            <w:tcW w:w="999" w:type="dxa"/>
          </w:tcPr>
          <w:p>
            <w:pPr>
              <w:pStyle w:val="TableParagraph"/>
              <w:spacing w:line="163" w:lineRule="exact"/>
              <w:rPr>
                <w:sz w:val="16"/>
              </w:rPr>
            </w:pPr>
            <w:r>
              <w:rPr>
                <w:color w:val="231F20"/>
                <w:w w:val="85"/>
                <w:sz w:val="16"/>
              </w:rPr>
              <w:t>4000</w:t>
            </w:r>
          </w:p>
        </w:tc>
        <w:tc>
          <w:tcPr>
            <w:tcW w:w="2765" w:type="dxa"/>
          </w:tcPr>
          <w:p>
            <w:pPr>
              <w:pStyle w:val="TableParagraph"/>
              <w:spacing w:line="161" w:lineRule="exact"/>
              <w:rPr>
                <w:sz w:val="16"/>
              </w:rPr>
            </w:pPr>
            <w:r>
              <w:rPr>
                <w:color w:val="231F20"/>
                <w:w w:val="75"/>
                <w:sz w:val="16"/>
              </w:rPr>
              <w:t>SUBSIDIOS, TRANSFERENCIAS, PREVISIONES</w:t>
            </w:r>
          </w:p>
          <w:p>
            <w:pPr>
              <w:pStyle w:val="TableParagraph"/>
              <w:spacing w:line="191" w:lineRule="exact"/>
              <w:rPr>
                <w:sz w:val="16"/>
              </w:rPr>
            </w:pPr>
            <w:r>
              <w:rPr>
                <w:color w:val="231F20"/>
                <w:w w:val="75"/>
                <w:sz w:val="16"/>
              </w:rPr>
              <w:t>ECONÓMICAS, AYUDAS, EROGACIONES Y PENSIONES</w:t>
            </w:r>
          </w:p>
        </w:tc>
        <w:tc>
          <w:tcPr>
            <w:tcW w:w="1002" w:type="dxa"/>
          </w:tcPr>
          <w:p>
            <w:pPr>
              <w:pStyle w:val="TableParagraph"/>
              <w:spacing w:line="163" w:lineRule="exact"/>
              <w:rPr>
                <w:sz w:val="16"/>
              </w:rPr>
            </w:pPr>
            <w:r>
              <w:rPr>
                <w:color w:val="231F20"/>
                <w:w w:val="85"/>
                <w:sz w:val="16"/>
              </w:rPr>
              <w:t>4,373,850.71</w:t>
            </w:r>
          </w:p>
        </w:tc>
        <w:tc>
          <w:tcPr>
            <w:tcW w:w="966" w:type="dxa"/>
          </w:tcPr>
          <w:p>
            <w:pPr>
              <w:pStyle w:val="TableParagraph"/>
              <w:spacing w:line="163" w:lineRule="exact"/>
              <w:rPr>
                <w:sz w:val="16"/>
              </w:rPr>
            </w:pPr>
            <w:r>
              <w:rPr>
                <w:color w:val="231F20"/>
                <w:w w:val="85"/>
                <w:sz w:val="16"/>
              </w:rPr>
              <w:t>5,166,747.77</w:t>
            </w:r>
          </w:p>
        </w:tc>
        <w:tc>
          <w:tcPr>
            <w:tcW w:w="1379" w:type="dxa"/>
          </w:tcPr>
          <w:p>
            <w:pPr>
              <w:pStyle w:val="TableParagraph"/>
              <w:spacing w:line="163" w:lineRule="exact"/>
              <w:ind w:left="102"/>
              <w:rPr>
                <w:sz w:val="16"/>
              </w:rPr>
            </w:pPr>
            <w:r>
              <w:rPr>
                <w:color w:val="231F20"/>
                <w:w w:val="85"/>
                <w:sz w:val="16"/>
              </w:rPr>
              <w:t>5,425,087.00</w:t>
            </w:r>
          </w:p>
        </w:tc>
      </w:tr>
      <w:tr>
        <w:trPr>
          <w:trHeight w:val="130" w:hRule="exact"/>
        </w:trPr>
        <w:tc>
          <w:tcPr>
            <w:tcW w:w="999" w:type="dxa"/>
          </w:tcPr>
          <w:p>
            <w:pPr>
              <w:pStyle w:val="TableParagraph"/>
              <w:spacing w:line="160" w:lineRule="exact"/>
              <w:rPr>
                <w:sz w:val="16"/>
              </w:rPr>
            </w:pPr>
            <w:r>
              <w:rPr>
                <w:color w:val="231F20"/>
                <w:w w:val="85"/>
                <w:sz w:val="16"/>
              </w:rPr>
              <w:t>5000</w:t>
            </w:r>
          </w:p>
        </w:tc>
        <w:tc>
          <w:tcPr>
            <w:tcW w:w="2765" w:type="dxa"/>
          </w:tcPr>
          <w:p>
            <w:pPr>
              <w:pStyle w:val="TableParagraph"/>
              <w:spacing w:line="160" w:lineRule="exact"/>
              <w:rPr>
                <w:sz w:val="16"/>
              </w:rPr>
            </w:pPr>
            <w:r>
              <w:rPr>
                <w:color w:val="231F20"/>
                <w:w w:val="75"/>
                <w:sz w:val="16"/>
              </w:rPr>
              <w:t>BIENES MUEBLES E INMUEBLES</w:t>
            </w:r>
          </w:p>
        </w:tc>
        <w:tc>
          <w:tcPr>
            <w:tcW w:w="1002" w:type="dxa"/>
          </w:tcPr>
          <w:p>
            <w:pPr>
              <w:pStyle w:val="TableParagraph"/>
              <w:spacing w:line="160" w:lineRule="exact"/>
              <w:rPr>
                <w:sz w:val="16"/>
              </w:rPr>
            </w:pPr>
            <w:r>
              <w:rPr>
                <w:color w:val="231F20"/>
                <w:w w:val="85"/>
                <w:sz w:val="16"/>
              </w:rPr>
              <w:t>529,453.63</w:t>
            </w:r>
          </w:p>
        </w:tc>
        <w:tc>
          <w:tcPr>
            <w:tcW w:w="966" w:type="dxa"/>
          </w:tcPr>
          <w:p>
            <w:pPr>
              <w:pStyle w:val="TableParagraph"/>
              <w:spacing w:line="160" w:lineRule="exact"/>
              <w:rPr>
                <w:sz w:val="16"/>
              </w:rPr>
            </w:pPr>
            <w:r>
              <w:rPr>
                <w:color w:val="231F20"/>
                <w:w w:val="85"/>
                <w:sz w:val="16"/>
              </w:rPr>
              <w:t>925,512.40</w:t>
            </w:r>
          </w:p>
        </w:tc>
        <w:tc>
          <w:tcPr>
            <w:tcW w:w="1379" w:type="dxa"/>
          </w:tcPr>
          <w:p>
            <w:pPr>
              <w:pStyle w:val="TableParagraph"/>
              <w:spacing w:line="160" w:lineRule="exact"/>
              <w:ind w:left="102"/>
              <w:rPr>
                <w:sz w:val="16"/>
              </w:rPr>
            </w:pPr>
            <w:r>
              <w:rPr>
                <w:color w:val="231F20"/>
                <w:w w:val="85"/>
                <w:sz w:val="16"/>
              </w:rPr>
              <w:t>4,424,061.00</w:t>
            </w:r>
          </w:p>
        </w:tc>
      </w:tr>
      <w:tr>
        <w:trPr>
          <w:trHeight w:val="130" w:hRule="exact"/>
        </w:trPr>
        <w:tc>
          <w:tcPr>
            <w:tcW w:w="999" w:type="dxa"/>
          </w:tcPr>
          <w:p>
            <w:pPr>
              <w:pStyle w:val="TableParagraph"/>
              <w:spacing w:line="160" w:lineRule="exact"/>
              <w:rPr>
                <w:sz w:val="16"/>
              </w:rPr>
            </w:pPr>
            <w:r>
              <w:rPr>
                <w:color w:val="231F20"/>
                <w:w w:val="85"/>
                <w:sz w:val="16"/>
              </w:rPr>
              <w:t>6000</w:t>
            </w:r>
          </w:p>
        </w:tc>
        <w:tc>
          <w:tcPr>
            <w:tcW w:w="2765" w:type="dxa"/>
          </w:tcPr>
          <w:p>
            <w:pPr>
              <w:pStyle w:val="TableParagraph"/>
              <w:spacing w:line="160" w:lineRule="exact"/>
              <w:rPr>
                <w:sz w:val="16"/>
              </w:rPr>
            </w:pPr>
            <w:r>
              <w:rPr>
                <w:color w:val="231F20"/>
                <w:w w:val="75"/>
                <w:sz w:val="16"/>
              </w:rPr>
              <w:t>OBRAS PÚBLICAS</w:t>
            </w:r>
          </w:p>
        </w:tc>
        <w:tc>
          <w:tcPr>
            <w:tcW w:w="1002" w:type="dxa"/>
          </w:tcPr>
          <w:p>
            <w:pPr>
              <w:pStyle w:val="TableParagraph"/>
              <w:spacing w:line="160" w:lineRule="exact"/>
              <w:rPr>
                <w:sz w:val="16"/>
              </w:rPr>
            </w:pPr>
            <w:r>
              <w:rPr>
                <w:color w:val="231F20"/>
                <w:w w:val="85"/>
                <w:sz w:val="16"/>
              </w:rPr>
              <w:t>6,277,918.70</w:t>
            </w:r>
          </w:p>
        </w:tc>
        <w:tc>
          <w:tcPr>
            <w:tcW w:w="966" w:type="dxa"/>
          </w:tcPr>
          <w:p>
            <w:pPr>
              <w:pStyle w:val="TableParagraph"/>
              <w:spacing w:line="160" w:lineRule="exact"/>
              <w:rPr>
                <w:sz w:val="16"/>
              </w:rPr>
            </w:pPr>
            <w:r>
              <w:rPr>
                <w:color w:val="231F20"/>
                <w:w w:val="85"/>
                <w:sz w:val="16"/>
              </w:rPr>
              <w:t>14,051,731.35</w:t>
            </w:r>
          </w:p>
        </w:tc>
        <w:tc>
          <w:tcPr>
            <w:tcW w:w="1379" w:type="dxa"/>
          </w:tcPr>
          <w:p>
            <w:pPr>
              <w:pStyle w:val="TableParagraph"/>
              <w:spacing w:line="160" w:lineRule="exact"/>
              <w:ind w:left="102"/>
              <w:rPr>
                <w:sz w:val="16"/>
              </w:rPr>
            </w:pPr>
            <w:r>
              <w:rPr>
                <w:color w:val="231F20"/>
                <w:w w:val="85"/>
                <w:sz w:val="16"/>
              </w:rPr>
              <w:t>17,661,277.00</w:t>
            </w:r>
          </w:p>
        </w:tc>
      </w:tr>
      <w:tr>
        <w:trPr>
          <w:trHeight w:val="130" w:hRule="exact"/>
        </w:trPr>
        <w:tc>
          <w:tcPr>
            <w:tcW w:w="999" w:type="dxa"/>
          </w:tcPr>
          <w:p>
            <w:pPr>
              <w:pStyle w:val="TableParagraph"/>
              <w:spacing w:line="160" w:lineRule="exact"/>
              <w:rPr>
                <w:sz w:val="16"/>
              </w:rPr>
            </w:pPr>
            <w:r>
              <w:rPr>
                <w:color w:val="231F20"/>
                <w:w w:val="85"/>
                <w:sz w:val="16"/>
              </w:rPr>
              <w:t>7000</w:t>
            </w:r>
          </w:p>
        </w:tc>
        <w:tc>
          <w:tcPr>
            <w:tcW w:w="2765" w:type="dxa"/>
          </w:tcPr>
          <w:p>
            <w:pPr>
              <w:pStyle w:val="TableParagraph"/>
              <w:spacing w:line="160" w:lineRule="exact"/>
              <w:rPr>
                <w:sz w:val="16"/>
              </w:rPr>
            </w:pPr>
            <w:r>
              <w:rPr>
                <w:color w:val="231F20"/>
                <w:w w:val="75"/>
                <w:sz w:val="16"/>
              </w:rPr>
              <w:t>INVERSIONES FINANCIERAS</w:t>
            </w:r>
          </w:p>
        </w:tc>
        <w:tc>
          <w:tcPr>
            <w:tcW w:w="1002" w:type="dxa"/>
          </w:tcPr>
          <w:p>
            <w:pPr>
              <w:pStyle w:val="TableParagraph"/>
              <w:spacing w:line="160" w:lineRule="exact"/>
              <w:rPr>
                <w:sz w:val="16"/>
              </w:rPr>
            </w:pPr>
            <w:r>
              <w:rPr>
                <w:color w:val="231F20"/>
                <w:w w:val="85"/>
                <w:sz w:val="16"/>
              </w:rPr>
              <w:t>0.00</w:t>
            </w:r>
          </w:p>
        </w:tc>
        <w:tc>
          <w:tcPr>
            <w:tcW w:w="966" w:type="dxa"/>
          </w:tcPr>
          <w:p>
            <w:pPr>
              <w:pStyle w:val="TableParagraph"/>
              <w:spacing w:line="160" w:lineRule="exact"/>
              <w:rPr>
                <w:sz w:val="16"/>
              </w:rPr>
            </w:pPr>
            <w:r>
              <w:rPr>
                <w:color w:val="231F20"/>
                <w:w w:val="85"/>
                <w:sz w:val="16"/>
              </w:rPr>
              <w:t>0.00</w:t>
            </w:r>
          </w:p>
        </w:tc>
        <w:tc>
          <w:tcPr>
            <w:tcW w:w="1379" w:type="dxa"/>
          </w:tcPr>
          <w:p>
            <w:pPr>
              <w:pStyle w:val="TableParagraph"/>
              <w:spacing w:line="160" w:lineRule="exact"/>
              <w:ind w:left="102"/>
              <w:rPr>
                <w:sz w:val="16"/>
              </w:rPr>
            </w:pPr>
            <w:r>
              <w:rPr>
                <w:color w:val="231F20"/>
                <w:w w:val="85"/>
                <w:sz w:val="16"/>
              </w:rPr>
              <w:t>0.00</w:t>
            </w:r>
          </w:p>
        </w:tc>
      </w:tr>
      <w:tr>
        <w:trPr>
          <w:trHeight w:val="322" w:hRule="exact"/>
        </w:trPr>
        <w:tc>
          <w:tcPr>
            <w:tcW w:w="999" w:type="dxa"/>
          </w:tcPr>
          <w:p>
            <w:pPr>
              <w:pStyle w:val="TableParagraph"/>
              <w:spacing w:line="162" w:lineRule="exact"/>
              <w:rPr>
                <w:sz w:val="16"/>
              </w:rPr>
            </w:pPr>
            <w:r>
              <w:rPr>
                <w:color w:val="231F20"/>
                <w:w w:val="85"/>
                <w:sz w:val="16"/>
              </w:rPr>
              <w:t>8000</w:t>
            </w:r>
          </w:p>
        </w:tc>
        <w:tc>
          <w:tcPr>
            <w:tcW w:w="2765" w:type="dxa"/>
          </w:tcPr>
          <w:p>
            <w:pPr>
              <w:pStyle w:val="TableParagraph"/>
              <w:spacing w:line="161" w:lineRule="exact"/>
              <w:rPr>
                <w:sz w:val="16"/>
              </w:rPr>
            </w:pPr>
            <w:r>
              <w:rPr>
                <w:color w:val="231F20"/>
                <w:w w:val="75"/>
                <w:sz w:val="16"/>
              </w:rPr>
              <w:t>PARTICIPACIONES Y APORTACIONES FEDERALES Y</w:t>
            </w:r>
          </w:p>
          <w:p>
            <w:pPr>
              <w:pStyle w:val="TableParagraph"/>
              <w:spacing w:line="191" w:lineRule="exact"/>
              <w:rPr>
                <w:sz w:val="16"/>
              </w:rPr>
            </w:pPr>
            <w:r>
              <w:rPr>
                <w:color w:val="231F20"/>
                <w:w w:val="85"/>
                <w:sz w:val="16"/>
              </w:rPr>
              <w:t>ESTATALES</w:t>
            </w:r>
          </w:p>
        </w:tc>
        <w:tc>
          <w:tcPr>
            <w:tcW w:w="1002" w:type="dxa"/>
          </w:tcPr>
          <w:p>
            <w:pPr>
              <w:pStyle w:val="TableParagraph"/>
              <w:spacing w:line="162" w:lineRule="exact"/>
              <w:rPr>
                <w:sz w:val="16"/>
              </w:rPr>
            </w:pPr>
            <w:r>
              <w:rPr>
                <w:color w:val="231F20"/>
                <w:w w:val="85"/>
                <w:sz w:val="16"/>
              </w:rPr>
              <w:t>0.00</w:t>
            </w:r>
          </w:p>
        </w:tc>
        <w:tc>
          <w:tcPr>
            <w:tcW w:w="966" w:type="dxa"/>
          </w:tcPr>
          <w:p>
            <w:pPr>
              <w:pStyle w:val="TableParagraph"/>
              <w:spacing w:line="162" w:lineRule="exact"/>
              <w:rPr>
                <w:sz w:val="16"/>
              </w:rPr>
            </w:pPr>
            <w:r>
              <w:rPr>
                <w:color w:val="231F20"/>
                <w:w w:val="85"/>
                <w:sz w:val="16"/>
              </w:rPr>
              <w:t>0.00</w:t>
            </w:r>
          </w:p>
        </w:tc>
        <w:tc>
          <w:tcPr>
            <w:tcW w:w="1379" w:type="dxa"/>
          </w:tcPr>
          <w:p>
            <w:pPr>
              <w:pStyle w:val="TableParagraph"/>
              <w:spacing w:line="162" w:lineRule="exact"/>
              <w:ind w:left="102"/>
              <w:rPr>
                <w:sz w:val="16"/>
              </w:rPr>
            </w:pPr>
            <w:r>
              <w:rPr>
                <w:color w:val="231F20"/>
                <w:w w:val="85"/>
                <w:sz w:val="16"/>
              </w:rPr>
              <w:t>0.00</w:t>
            </w:r>
          </w:p>
        </w:tc>
      </w:tr>
      <w:tr>
        <w:trPr>
          <w:trHeight w:val="130" w:hRule="exact"/>
        </w:trPr>
        <w:tc>
          <w:tcPr>
            <w:tcW w:w="999" w:type="dxa"/>
          </w:tcPr>
          <w:p>
            <w:pPr>
              <w:pStyle w:val="TableParagraph"/>
              <w:spacing w:line="160" w:lineRule="exact"/>
              <w:rPr>
                <w:sz w:val="16"/>
              </w:rPr>
            </w:pPr>
            <w:r>
              <w:rPr>
                <w:color w:val="231F20"/>
                <w:w w:val="85"/>
                <w:sz w:val="16"/>
              </w:rPr>
              <w:t>9000</w:t>
            </w:r>
          </w:p>
        </w:tc>
        <w:tc>
          <w:tcPr>
            <w:tcW w:w="2765" w:type="dxa"/>
          </w:tcPr>
          <w:p>
            <w:pPr>
              <w:pStyle w:val="TableParagraph"/>
              <w:spacing w:line="160" w:lineRule="exact"/>
              <w:rPr>
                <w:sz w:val="16"/>
              </w:rPr>
            </w:pPr>
            <w:r>
              <w:rPr>
                <w:color w:val="231F20"/>
                <w:w w:val="75"/>
                <w:sz w:val="16"/>
              </w:rPr>
              <w:t>DEUDA PÚBLICA</w:t>
            </w:r>
          </w:p>
        </w:tc>
        <w:tc>
          <w:tcPr>
            <w:tcW w:w="1002" w:type="dxa"/>
          </w:tcPr>
          <w:p>
            <w:pPr>
              <w:pStyle w:val="TableParagraph"/>
              <w:spacing w:line="160" w:lineRule="exact"/>
              <w:rPr>
                <w:sz w:val="16"/>
              </w:rPr>
            </w:pPr>
            <w:r>
              <w:rPr>
                <w:color w:val="231F20"/>
                <w:w w:val="85"/>
                <w:sz w:val="16"/>
              </w:rPr>
              <w:t>846,919.33</w:t>
            </w:r>
          </w:p>
        </w:tc>
        <w:tc>
          <w:tcPr>
            <w:tcW w:w="966" w:type="dxa"/>
          </w:tcPr>
          <w:p>
            <w:pPr>
              <w:pStyle w:val="TableParagraph"/>
              <w:spacing w:line="160" w:lineRule="exact"/>
              <w:rPr>
                <w:sz w:val="16"/>
              </w:rPr>
            </w:pPr>
            <w:r>
              <w:rPr>
                <w:color w:val="231F20"/>
                <w:w w:val="85"/>
                <w:sz w:val="16"/>
              </w:rPr>
              <w:t>1,720,444.43</w:t>
            </w:r>
          </w:p>
        </w:tc>
        <w:tc>
          <w:tcPr>
            <w:tcW w:w="1379" w:type="dxa"/>
          </w:tcPr>
          <w:p>
            <w:pPr>
              <w:pStyle w:val="TableParagraph"/>
              <w:spacing w:line="160" w:lineRule="exact"/>
              <w:ind w:left="102"/>
              <w:rPr>
                <w:sz w:val="16"/>
              </w:rPr>
            </w:pPr>
            <w:r>
              <w:rPr>
                <w:color w:val="231F20"/>
                <w:w w:val="85"/>
                <w:sz w:val="16"/>
              </w:rPr>
              <w:t>1,924,938.00</w:t>
            </w:r>
          </w:p>
        </w:tc>
      </w:tr>
      <w:tr>
        <w:trPr>
          <w:trHeight w:val="190" w:hRule="exact"/>
        </w:trPr>
        <w:tc>
          <w:tcPr>
            <w:tcW w:w="999" w:type="dxa"/>
          </w:tcPr>
          <w:p>
            <w:pPr/>
          </w:p>
        </w:tc>
        <w:tc>
          <w:tcPr>
            <w:tcW w:w="2765" w:type="dxa"/>
          </w:tcPr>
          <w:p>
            <w:pPr/>
          </w:p>
        </w:tc>
        <w:tc>
          <w:tcPr>
            <w:tcW w:w="1002" w:type="dxa"/>
          </w:tcPr>
          <w:p>
            <w:pPr/>
          </w:p>
        </w:tc>
        <w:tc>
          <w:tcPr>
            <w:tcW w:w="966" w:type="dxa"/>
          </w:tcPr>
          <w:p>
            <w:pPr/>
          </w:p>
        </w:tc>
        <w:tc>
          <w:tcPr>
            <w:tcW w:w="1379" w:type="dxa"/>
          </w:tcPr>
          <w:p>
            <w:pPr/>
          </w:p>
        </w:tc>
      </w:tr>
    </w:tbl>
    <w:p>
      <w:pPr>
        <w:pStyle w:val="BodyText"/>
        <w:spacing w:before="10"/>
        <w:rPr>
          <w:b/>
          <w:sz w:val="6"/>
        </w:rPr>
      </w:pPr>
    </w:p>
    <w:p>
      <w:pPr>
        <w:spacing w:before="74"/>
        <w:ind w:left="2151" w:right="-10" w:firstLine="0"/>
        <w:jc w:val="left"/>
        <w:rPr>
          <w:rFonts w:ascii="Calibri" w:hAnsi="Calibri"/>
          <w:sz w:val="16"/>
        </w:rPr>
      </w:pPr>
      <w:r>
        <w:rPr>
          <w:rFonts w:ascii="Calibri" w:hAnsi="Calibri"/>
          <w:color w:val="231F20"/>
          <w:sz w:val="16"/>
        </w:rPr>
        <w:t>Fuente: Órgano Superior de Fiscalización del Estado de México, (2009: Documento en línea).</w:t>
      </w:r>
    </w:p>
    <w:p>
      <w:pPr>
        <w:spacing w:after="0"/>
        <w:jc w:val="left"/>
        <w:rPr>
          <w:rFonts w:ascii="Calibri" w:hAnsi="Calibri"/>
          <w:sz w:val="16"/>
        </w:rPr>
        <w:sectPr>
          <w:pgSz w:w="9640" w:h="12190"/>
          <w:pgMar w:header="0" w:footer="743" w:top="1120" w:bottom="940" w:left="740" w:right="740"/>
        </w:sectPr>
      </w:pPr>
    </w:p>
    <w:p>
      <w:pPr>
        <w:pStyle w:val="Heading5"/>
        <w:spacing w:before="27"/>
        <w:ind w:right="102"/>
        <w:jc w:val="center"/>
      </w:pPr>
      <w:r>
        <w:rPr>
          <w:color w:val="231F20"/>
          <w:w w:val="105"/>
        </w:rPr>
        <w:t>Gráfica 2: Comportamiento de Egresos 2007-2009 Ozumba de Alzate</w:t>
      </w:r>
    </w:p>
    <w:p>
      <w:pPr>
        <w:pStyle w:val="BodyText"/>
        <w:rPr>
          <w:b/>
          <w:sz w:val="20"/>
        </w:rPr>
      </w:pPr>
    </w:p>
    <w:p>
      <w:pPr>
        <w:pStyle w:val="BodyText"/>
        <w:rPr>
          <w:b/>
          <w:sz w:val="18"/>
        </w:rPr>
      </w:pPr>
      <w:r>
        <w:rPr/>
        <w:pict>
          <v:group style="position:absolute;margin-left:143.529099pt;margin-top:12.326096pt;width:124.3pt;height:10.55pt;mso-position-horizontal-relative:page;mso-position-vertical-relative:paragraph;z-index:13936;mso-wrap-distance-left:0;mso-wrap-distance-right:0" coordorigin="2871,247" coordsize="2486,211">
            <v:shape style="position:absolute;left:2871;top:261;width:579;height:182" type="#_x0000_t75" stroked="false">
              <v:imagedata r:id="rId1196" o:title=""/>
            </v:shape>
            <v:shape style="position:absolute;left:3487;top:261;width:345;height:182" type="#_x0000_t75" stroked="false">
              <v:imagedata r:id="rId1197" o:title=""/>
            </v:shape>
            <v:shape style="position:absolute;left:3863;top:266;width:696;height:191" type="#_x0000_t75" stroked="false">
              <v:imagedata r:id="rId1198" o:title=""/>
            </v:shape>
            <v:shape style="position:absolute;left:4592;top:247;width:764;height:211" type="#_x0000_t75" stroked="false">
              <v:imagedata r:id="rId1199" o:title=""/>
            </v:shape>
            <w10:wrap type="topAndBottom"/>
          </v:group>
        </w:pict>
      </w:r>
      <w:r>
        <w:rPr/>
        <w:pict>
          <v:group style="position:absolute;margin-left:271.876495pt;margin-top:13.036298pt;width:64.1pt;height:9.1pt;mso-position-horizontal-relative:page;mso-position-vertical-relative:paragraph;z-index:13960;mso-wrap-distance-left:0;mso-wrap-distance-right:0" coordorigin="5438,261" coordsize="1282,182">
            <v:shape style="position:absolute;left:5438;top:262;width:360;height:181" type="#_x0000_t75" stroked="false">
              <v:imagedata r:id="rId1200" o:title=""/>
            </v:shape>
            <v:shape style="position:absolute;left:5835;top:266;width:153;height:172" type="#_x0000_t75" stroked="false">
              <v:imagedata r:id="rId1201" o:title=""/>
            </v:shape>
            <v:shape style="position:absolute;left:6002;top:261;width:717;height:182" type="#_x0000_t75" stroked="false">
              <v:imagedata r:id="rId1202" o:title=""/>
            </v:shape>
            <w10:wrap type="topAndBottom"/>
          </v:group>
        </w:pict>
      </w:r>
    </w:p>
    <w:p>
      <w:pPr>
        <w:pStyle w:val="BodyText"/>
        <w:spacing w:before="5"/>
        <w:rPr>
          <w:b/>
          <w:sz w:val="8"/>
        </w:rPr>
      </w:pPr>
    </w:p>
    <w:p>
      <w:pPr>
        <w:pStyle w:val="BodyText"/>
        <w:spacing w:line="105" w:lineRule="exact"/>
        <w:ind w:left="523"/>
        <w:rPr>
          <w:sz w:val="10"/>
        </w:rPr>
      </w:pPr>
      <w:r>
        <w:rPr>
          <w:position w:val="-1"/>
          <w:sz w:val="10"/>
        </w:rPr>
        <w:pict>
          <v:group style="width:54.75pt;height:5.3pt;mso-position-horizontal-relative:char;mso-position-vertical-relative:line" coordorigin="0,0" coordsize="1095,106">
            <v:shape style="position:absolute;left:0;top:0;width:442;height:105" type="#_x0000_t75" stroked="false">
              <v:imagedata r:id="rId1203" o:title=""/>
            </v:shape>
            <v:shape style="position:absolute;left:489;top:9;width:67;height:88" coordorigin="489,9" coordsize="67,88" path="m552,9l489,9,489,96,555,96,555,81,506,81,506,58,549,58,549,43,506,43,506,24,552,24,552,9xe" filled="true" fillcolor="#231f20" stroked="false">
              <v:path arrowok="t"/>
              <v:fill type="solid"/>
            </v:shape>
            <v:shape style="position:absolute;left:568;top:9;width:71;height:88" coordorigin="568,9" coordsize="71,88" path="m588,9l568,9,568,96,585,96,585,34,602,34,588,9xm602,34l585,34,621,96,639,96,639,70,622,70,602,34xm639,9l622,9,622,70,639,70,639,9xe" filled="true" fillcolor="#231f20" stroked="false">
              <v:path arrowok="t"/>
              <v:fill type="solid"/>
            </v:shape>
            <v:shape style="position:absolute;left:690;top:9;width:66;height:88" coordorigin="690,9" coordsize="66,88" path="m736,9l690,9,690,96,708,96,708,65,736,65,743,63,753,54,755,50,708,50,708,24,755,24,753,20,743,11,736,9xm755,24l729,24,732,25,737,29,738,32,738,41,737,45,732,49,729,50,755,50,756,47,756,27,755,24xe" filled="true" fillcolor="#231f20" stroked="false">
              <v:path arrowok="t"/>
              <v:fill type="solid"/>
            </v:shape>
            <v:shape style="position:absolute;left:771;top:9;width:67;height:88" coordorigin="771,9" coordsize="67,88" path="m835,9l771,9,771,96,837,96,837,81,789,81,789,58,831,58,831,43,789,43,789,24,835,24,835,9xe" filled="true" fillcolor="#231f20" stroked="false">
              <v:path arrowok="t"/>
              <v:fill type="solid"/>
            </v:shape>
            <v:shape style="position:absolute;left:847;top:7;width:73;height:92" coordorigin="847,7" coordsize="73,92" path="m864,69l847,69,847,79,850,85,864,96,873,98,895,98,904,96,916,85,917,84,876,84,871,82,866,76,865,73,864,69xm892,7l871,7,863,9,851,19,849,26,849,42,851,49,861,55,867,57,891,62,895,64,901,67,902,69,902,77,899,80,891,83,888,84,917,84,919,79,919,63,917,57,908,50,903,48,875,42,871,40,870,39,867,38,865,36,865,29,867,26,873,23,876,22,914,22,913,19,900,9,892,7xm914,22l885,22,889,22,896,26,899,30,899,35,917,35,916,26,914,22xe" filled="true" fillcolor="#231f20" stroked="false">
              <v:path arrowok="t"/>
              <v:fill type="solid"/>
            </v:shape>
            <v:shape style="position:absolute;left:929;top:6;width:84;height:93" coordorigin="929,6" coordsize="84,93" path="m983,6l958,6,949,10,942,17,933,25,929,37,929,68,933,80,942,88,949,95,958,99,983,99,993,95,999,88,1005,83,963,83,958,81,949,70,947,62,947,43,949,35,958,24,963,22,1005,22,999,17,993,10,983,6xm1005,22l978,22,984,24,984,25,992,35,994,43,994,62,992,70,984,81,978,83,1005,83,1008,80,1012,68,1012,37,1008,25,1005,22xe" filled="true" fillcolor="#231f20" stroked="false">
              <v:path arrowok="t"/>
              <v:fill type="solid"/>
            </v:shape>
            <v:shape style="position:absolute;left:1022;top:7;width:73;height:92" coordorigin="1022,7" coordsize="73,92" path="m1039,69l1022,69,1022,79,1025,85,1038,96,1047,98,1070,98,1079,96,1091,85,1092,84,1051,84,1046,82,1041,76,1040,73,1039,69xm1067,7l1046,7,1038,9,1026,19,1023,26,1023,42,1026,49,1036,55,1042,57,1066,62,1070,64,1075,67,1077,69,1077,77,1074,80,1066,83,1063,84,1092,84,1094,79,1094,63,1092,57,1083,50,1078,48,1050,42,1046,40,1045,39,1042,38,1040,36,1040,29,1042,26,1047,23,1051,22,1089,22,1088,19,1075,9,1067,7xm1089,22l1060,22,1064,22,1071,26,1074,30,1074,35,1091,35,1091,26,1089,22xe" filled="true" fillcolor="#231f20" stroked="false">
              <v:path arrowok="t"/>
              <v:fill type="solid"/>
            </v:shape>
          </v:group>
        </w:pict>
      </w:r>
      <w:r>
        <w:rPr>
          <w:position w:val="-1"/>
          <w:sz w:val="10"/>
        </w:rPr>
      </w:r>
    </w:p>
    <w:p>
      <w:pPr>
        <w:pStyle w:val="BodyText"/>
        <w:spacing w:before="9"/>
        <w:rPr>
          <w:b/>
        </w:rPr>
      </w:pPr>
      <w:r>
        <w:rPr/>
        <w:pict>
          <v:group style="position:absolute;margin-left:42.519405pt;margin-top:15.048002pt;width:342.75pt;height:160.8pt;mso-position-horizontal-relative:page;mso-position-vertical-relative:paragraph;z-index:14008;mso-wrap-distance-left:0;mso-wrap-distance-right:0" coordorigin="850,301" coordsize="6855,3216">
            <v:rect style="position:absolute;left:2386;top:383;width:5309;height:2992" filled="true" fillcolor="#bcbec0" stroked="false">
              <v:fill type="solid"/>
            </v:rect>
            <v:line style="position:absolute" from="2342,384" to="7695,384" stroked="true" strokeweight=".5pt" strokecolor="#231f20"/>
            <v:line style="position:absolute" from="2342,384" to="7695,384" stroked="true" strokeweight=".5pt" strokecolor="#231f20"/>
            <v:line style="position:absolute" from="6258,719" to="7695,719" stroked="true" strokeweight=".5pt" strokecolor="#231f20"/>
            <v:line style="position:absolute" from="2342,719" to="6100,719" stroked="true" strokeweight=".5pt" strokecolor="#231f20"/>
            <v:line style="position:absolute" from="6258,1035" to="7695,1035" stroked="true" strokeweight=".5pt" strokecolor="#231f20"/>
            <v:line style="position:absolute" from="4503,1035" to="6100,1035" stroked="true" strokeweight=".5pt" strokecolor="#231f20"/>
            <v:line style="position:absolute" from="2342,1035" to="4345,1035" stroked="true" strokeweight=".5pt" strokecolor="#231f20"/>
            <v:line style="position:absolute" from="6258,1371" to="7695,1371" stroked="true" strokeweight=".5pt" strokecolor="#231f20"/>
            <v:line style="position:absolute" from="4503,1371" to="6100,1371" stroked="true" strokeweight=".5pt" strokecolor="#231f20"/>
            <v:line style="position:absolute" from="2342,1371" to="4345,1371" stroked="true" strokeweight=".5pt" strokecolor="#231f20"/>
            <v:line style="position:absolute" from="6258,1692" to="7695,1692" stroked="true" strokeweight=".5pt" strokecolor="#231f20"/>
            <v:line style="position:absolute" from="4503,1692" to="6100,1692" stroked="true" strokeweight=".5pt" strokecolor="#231f20"/>
            <v:line style="position:absolute" from="2735,1692" to="4345,1692" stroked="true" strokeweight=".5pt" strokecolor="#231f20"/>
            <v:line style="position:absolute" from="2342,1692" to="2577,1692" stroked="true" strokeweight=".5pt" strokecolor="#231f20"/>
            <v:line style="position:absolute" from="6258,2028" to="7695,2028" stroked="true" strokeweight=".5pt" strokecolor="#231f20"/>
            <v:line style="position:absolute" from="4503,2028" to="6100,2028" stroked="true" strokeweight=".5pt" strokecolor="#231f20"/>
            <v:line style="position:absolute" from="2735,2028" to="4345,2028" stroked="true" strokeweight=".5pt" strokecolor="#231f20"/>
            <v:line style="position:absolute" from="2342,2028" to="2577,2028" stroked="true" strokeweight=".5pt" strokecolor="#231f20"/>
            <v:line style="position:absolute" from="6416,2359" to="7695,2359" stroked="true" strokeweight=".5pt" strokecolor="#231f20"/>
            <v:line style="position:absolute" from="4661,2359" to="6100,2359" stroked="true" strokeweight=".5pt" strokecolor="#231f20"/>
            <v:line style="position:absolute" from="2893,2359" to="4345,2359" stroked="true" strokeweight=".5pt" strokecolor="#231f20"/>
            <v:line style="position:absolute" from="2342,2359" to="2577,2359" stroked="true" strokeweight=".5pt" strokecolor="#231f20"/>
            <v:line style="position:absolute" from="6416,2685" to="7695,2685" stroked="true" strokeweight=".5pt" strokecolor="#231f20"/>
            <v:line style="position:absolute" from="4661,2685" to="6100,2685" stroked="true" strokeweight=".5pt" strokecolor="#231f20"/>
            <v:line style="position:absolute" from="2893,2685" to="4345,2685" stroked="true" strokeweight=".5pt" strokecolor="#231f20"/>
            <v:line style="position:absolute" from="2342,2685" to="2577,2685" stroked="true" strokeweight=".5pt" strokecolor="#231f20"/>
            <v:line style="position:absolute" from="7206,3045" to="7695,3045" stroked="true" strokeweight=".5pt" strokecolor="#231f20"/>
            <v:line style="position:absolute" from="6732,3045" to="7048,3045" stroked="true" strokeweight=".5pt" strokecolor="#231f20"/>
            <v:line style="position:absolute" from="6416,3045" to="6574,3045" stroked="true" strokeweight=".5pt" strokecolor="#231f20"/>
            <v:line style="position:absolute" from="5451,3045" to="6100,3045" stroked="true" strokeweight=".5pt" strokecolor="#231f20"/>
            <v:line style="position:absolute" from="4977,3045" to="5293,3045" stroked="true" strokeweight=".5pt" strokecolor="#231f20"/>
            <v:line style="position:absolute" from="4661,3045" to="4819,3045" stroked="true" strokeweight=".5pt" strokecolor="#231f20"/>
            <v:line style="position:absolute" from="2893,3045" to="4345,3045" stroked="true" strokeweight=".5pt" strokecolor="#231f20"/>
            <v:line style="position:absolute" from="2342,3045" to="2577,3045" stroked="true" strokeweight=".5pt" strokecolor="#231f20"/>
            <v:line style="position:absolute" from="2386,383" to="2386,3425" stroked="true" strokeweight="1pt" strokecolor="#231f20"/>
            <v:line style="position:absolute" from="4169,3337" to="4169,3425" stroked="true" strokeweight="1pt" strokecolor="#231f20"/>
            <v:line style="position:absolute" from="5932,3337" to="5932,3425" stroked="true" strokeweight="1pt" strokecolor="#231f20"/>
            <v:shape style="position:absolute;left:853;top:301;width:1168;height:201" type="#_x0000_t75" stroked="false">
              <v:imagedata r:id="rId1204" o:title=""/>
            </v:shape>
            <v:shape style="position:absolute;left:2039;top:301;width:312;height:170" type="#_x0000_t75" stroked="false">
              <v:imagedata r:id="rId1205" o:title=""/>
            </v:shape>
            <v:shape style="position:absolute;left:852;top:637;width:1169;height:201" type="#_x0000_t75" stroked="false">
              <v:imagedata r:id="rId1206" o:title=""/>
            </v:shape>
            <v:shape style="position:absolute;left:2039;top:637;width:312;height:170" type="#_x0000_t75" stroked="false">
              <v:imagedata r:id="rId1207" o:title=""/>
            </v:shape>
            <v:shape style="position:absolute;left:853;top:953;width:1168;height:201" type="#_x0000_t75" stroked="false">
              <v:imagedata r:id="rId1208" o:title=""/>
            </v:shape>
            <v:shape style="position:absolute;left:2039;top:953;width:312;height:170" type="#_x0000_t75" stroked="false">
              <v:imagedata r:id="rId1207" o:title=""/>
            </v:shape>
            <v:shape style="position:absolute;left:854;top:1288;width:1168;height:202" type="#_x0000_t75" stroked="false">
              <v:imagedata r:id="rId1209" o:title=""/>
            </v:shape>
            <v:shape style="position:absolute;left:2039;top:1289;width:312;height:170" type="#_x0000_t75" stroked="false">
              <v:imagedata r:id="rId1207" o:title=""/>
            </v:shape>
            <v:shape style="position:absolute;left:852;top:1625;width:1169;height:201" type="#_x0000_t75" stroked="false">
              <v:imagedata r:id="rId1210" o:title=""/>
            </v:shape>
            <v:shape style="position:absolute;left:2039;top:1625;width:312;height:170" type="#_x0000_t75" stroked="false">
              <v:imagedata r:id="rId1211" o:title=""/>
            </v:shape>
            <v:shape style="position:absolute;left:851;top:1941;width:1170;height:201" type="#_x0000_t75" stroked="false">
              <v:imagedata r:id="rId1212" o:title=""/>
            </v:shape>
            <v:shape style="position:absolute;left:2039;top:1941;width:312;height:170" type="#_x0000_t75" stroked="false">
              <v:imagedata r:id="rId1213" o:title=""/>
            </v:shape>
            <v:shape style="position:absolute;left:850;top:2277;width:1171;height:201" type="#_x0000_t75" stroked="false">
              <v:imagedata r:id="rId1214" o:title=""/>
            </v:shape>
            <v:shape style="position:absolute;left:2039;top:2277;width:312;height:170" type="#_x0000_t75" stroked="false">
              <v:imagedata r:id="rId1215" o:title=""/>
            </v:shape>
            <v:shape style="position:absolute;left:852;top:2592;width:1169;height:202" type="#_x0000_t75" stroked="false">
              <v:imagedata r:id="rId1216" o:title=""/>
            </v:shape>
            <v:shape style="position:absolute;left:2039;top:2593;width:312;height:170" type="#_x0000_t75" stroked="false">
              <v:imagedata r:id="rId1217" o:title=""/>
            </v:shape>
            <v:shape style="position:absolute;left:867;top:2949;width:1154;height:201" type="#_x0000_t75" stroked="false">
              <v:imagedata r:id="rId1218" o:title=""/>
            </v:shape>
            <v:shape style="position:absolute;left:2039;top:2949;width:312;height:170" type="#_x0000_t75" stroked="false">
              <v:imagedata r:id="rId1219" o:title=""/>
            </v:shape>
            <v:shape style="position:absolute;left:1907;top:3233;width:114;height:170" type="#_x0000_t75" stroked="false">
              <v:imagedata r:id="rId1220" o:title=""/>
            </v:shape>
            <v:shape style="position:absolute;left:2039;top:3233;width:312;height:170" type="#_x0000_t75" stroked="false">
              <v:imagedata r:id="rId1221" o:title=""/>
            </v:shape>
            <v:shape style="position:absolute;left:3008;top:3440;width:61;height:75" coordorigin="3008,3440" coordsize="61,75" path="m3047,3440l3008,3440,3008,3515,3018,3515,3018,3483,3062,3483,3060,3481,3058,3479,3055,3478,3059,3477,3061,3475,3018,3475,3018,3449,3064,3449,3062,3446,3055,3443,3052,3441,3047,3440xm3062,3483l3044,3483,3047,3483,3049,3484,3052,3486,3054,3489,3055,3507,3055,3511,3056,3513,3056,3514,3056,3515,3069,3515,3069,3513,3067,3512,3066,3511,3065,3507,3065,3505,3064,3488,3063,3485,3062,3483xm3064,3449l3045,3449,3048,3450,3054,3453,3056,3456,3056,3466,3054,3470,3049,3474,3045,3475,3061,3475,3061,3474,3065,3469,3066,3465,3066,3452,3064,3449xe" filled="true" fillcolor="#231f20" stroked="false">
              <v:path arrowok="t"/>
              <v:fill type="solid"/>
            </v:shape>
            <v:shape style="position:absolute;left:3082;top:3440;width:55;height:75" coordorigin="3082,3440" coordsize="55,75" path="m3136,3440l3082,3440,3082,3515,3137,3515,3137,3506,3092,3506,3092,3481,3133,3481,3133,3472,3092,3472,3092,3450,3136,3450,3136,3440xe" filled="true" fillcolor="#231f20" stroked="false">
              <v:path arrowok="t"/>
              <v:fill type="solid"/>
            </v:shape>
            <v:shape style="position:absolute;left:3144;top:3440;width:67;height:75" coordorigin="3144,3440" coordsize="67,75" path="m3184,3440l3172,3440,3144,3515,3155,3515,3163,3493,3203,3493,3200,3484,3166,3484,3178,3452,3188,3452,3184,3440xm3203,3493l3192,3493,3200,3515,3211,3515,3203,3493xm3188,3452l3178,3452,3189,3484,3200,3484,3188,3452xe" filled="true" fillcolor="#231f20" stroked="false">
              <v:path arrowok="t"/>
              <v:fill type="solid"/>
            </v:shape>
            <v:shape style="position:absolute;left:3220;top:3440;width:48;height:75" coordorigin="3220,3440" coordsize="48,75" path="m3230,3440l3220,3440,3220,3515,3267,3515,3267,3506,3230,3506,3230,3440xe" filled="true" fillcolor="#231f20" stroked="false">
              <v:path arrowok="t"/>
              <v:fill type="solid"/>
            </v:shape>
            <v:shape style="position:absolute;left:3298;top:3442;width:51;height:73" coordorigin="3298,3442" coordsize="51,73" path="m3343,3450l3328,3450,3331,3452,3336,3457,3338,3460,3338,3468,3336,3471,3334,3474,3332,3476,3329,3478,3308,3490,3304,3494,3299,3503,3298,3509,3298,3515,3347,3515,3347,3506,3308,3506,3309,3503,3311,3499,3316,3495,3319,3493,3335,3484,3339,3481,3346,3475,3348,3470,3348,3458,3346,3453,3343,3450xm3332,3442l3314,3442,3307,3446,3301,3457,3300,3462,3299,3468,3309,3468,3309,3464,3310,3460,3313,3453,3318,3450,3343,3450,3338,3444,3332,3442xe" filled="true" fillcolor="#231f20" stroked="false">
              <v:path arrowok="t"/>
              <v:fill type="solid"/>
            </v:shape>
            <v:shape style="position:absolute;left:3355;top:3442;width:50;height:75" coordorigin="3355,3442" coordsize="50,75" path="m3389,3442l3370,3442,3362,3448,3356,3465,3355,3471,3355,3491,3357,3499,3365,3513,3371,3517,3390,3517,3397,3512,3398,3508,3374,3508,3370,3505,3366,3494,3365,3488,3365,3471,3366,3463,3371,3453,3375,3451,3399,3451,3396,3446,3389,3442xm3399,3451l3386,3451,3390,3453,3394,3464,3395,3471,3395,3491,3394,3498,3388,3506,3385,3508,3398,3508,3404,3496,3405,3488,3405,3468,3404,3460,3399,3451xe" filled="true" fillcolor="#231f20" stroked="false">
              <v:path arrowok="t"/>
              <v:fill type="solid"/>
            </v:shape>
            <v:shape style="position:absolute;left:3413;top:3442;width:50;height:75" coordorigin="3413,3442" coordsize="50,75" path="m3447,3442l3427,3442,3420,3448,3414,3465,3413,3471,3413,3491,3415,3499,3422,3513,3429,3517,3447,3517,3454,3512,3456,3508,3432,3508,3428,3505,3423,3494,3423,3488,3423,3471,3424,3463,3429,3453,3433,3451,3456,3451,3454,3446,3447,3442xm3456,3451l3444,3451,3448,3453,3452,3464,3453,3471,3453,3491,3452,3498,3446,3506,3442,3508,3456,3508,3461,3496,3463,3488,3463,3468,3461,3460,3456,3451xe" filled="true" fillcolor="#231f20" stroked="false">
              <v:path arrowok="t"/>
              <v:fill type="solid"/>
            </v:shape>
            <v:shape style="position:absolute;left:3471;top:3444;width:51;height:72" coordorigin="3471,3444" coordsize="51,72" path="m3521,3444l3471,3444,3471,3453,3511,3453,3506,3459,3481,3515,3491,3515,3493,3507,3494,3502,3497,3493,3499,3488,3502,3481,3505,3475,3508,3469,3516,3458,3519,3454,3521,3451,3521,3444xe" filled="true" fillcolor="#231f20" stroked="false">
              <v:path arrowok="t"/>
              <v:fill type="solid"/>
            </v:shape>
            <v:shape style="position:absolute;left:4677;top:3438;width:770;height:79" type="#_x0000_t75" stroked="false">
              <v:imagedata r:id="rId1222" o:title=""/>
            </v:shape>
            <v:shape style="position:absolute;left:6248;top:3438;width:1165;height:79" type="#_x0000_t75" stroked="false">
              <v:imagedata r:id="rId1223" o:title=""/>
            </v:shape>
            <v:rect style="position:absolute;left:2577;top:1546;width:158;height:1829" filled="true" fillcolor="#bc8cbf" stroked="false">
              <v:fill type="solid"/>
            </v:rect>
            <v:rect style="position:absolute;left:2735;top:2241;width:158;height:1134" filled="true" fillcolor="#8b0d19" stroked="false">
              <v:fill type="solid"/>
            </v:rect>
            <v:rect style="position:absolute;left:2893;top:3237;width:158;height:138" filled="true" fillcolor="#dce9ae" stroked="false">
              <v:fill type="solid"/>
            </v:rect>
            <v:rect style="position:absolute;left:3051;top:3121;width:158;height:254" filled="true" fillcolor="#98cbcc" stroked="false">
              <v:fill type="solid"/>
            </v:rect>
            <v:rect style="position:absolute;left:3209;top:3177;width:158;height:198" filled="true" fillcolor="#9e1f63" stroked="false">
              <v:fill type="solid"/>
            </v:rect>
            <v:line style="position:absolute" from="3367,3340" to="3525,3340" stroked="true" strokeweight="3.461pt" strokecolor="#231f20"/>
            <v:line style="position:absolute" from="3683,3340" to="3841,3340" stroked="true" strokeweight="3.461pt" strokecolor="#c7c4e2"/>
            <v:line style="position:absolute" from="3841,3340" to="3999,3340" stroked="true" strokeweight="3.461pt" strokecolor="#2b3890"/>
            <v:line style="position:absolute" from="3999,3332" to="4157,3332" stroked="true" strokeweight="4.268pt" strokecolor="#ee2a7b"/>
            <v:rect style="position:absolute;left:3525;top:3121;width:158;height:254" filled="true" fillcolor="#1b75bc" stroked="false">
              <v:fill type="solid"/>
            </v:rect>
            <v:rect style="position:absolute;left:4345;top:973;width:158;height:2402" filled="true" fillcolor="#bc8cbf" stroked="false">
              <v:fill type="solid"/>
            </v:rect>
            <v:rect style="position:absolute;left:4503;top:2174;width:158;height:1201" filled="true" fillcolor="#8b0d19" stroked="false">
              <v:fill type="solid"/>
            </v:rect>
            <v:rect style="position:absolute;left:4661;top:3237;width:158;height:138" filled="true" fillcolor="#dce9ae" stroked="false">
              <v:fill type="solid"/>
            </v:rect>
            <v:rect style="position:absolute;left:4819;top:2941;width:158;height:434" filled="true" fillcolor="#98cbcc" stroked="false">
              <v:fill type="solid"/>
            </v:rect>
            <v:rect style="position:absolute;left:4977;top:3158;width:158;height:217" filled="true" fillcolor="#9e1f63" stroked="false">
              <v:fill type="solid"/>
            </v:rect>
            <v:line style="position:absolute" from="5135,3340" to="5293,3340" stroked="true" strokeweight="3.461pt" strokecolor="#231f20"/>
            <v:rect style="position:absolute;left:6890;top:3177;width:158;height:198" filled="true" fillcolor="#231f20" stroked="false">
              <v:fill type="solid"/>
            </v:rect>
            <v:line style="position:absolute" from="5451,3340" to="5609,3340" stroked="true" strokeweight="3.461pt" strokecolor="#c7c4e2"/>
            <v:line style="position:absolute" from="5609,3340" to="5767,3340" stroked="true" strokeweight="3.461pt" strokecolor="#2b3890"/>
            <v:line style="position:absolute" from="7206,3340" to="7364,3340" stroked="true" strokeweight="3.461pt" strokecolor="#c7c4e2"/>
            <v:line style="position:absolute" from="7364,3340" to="7522,3340" stroked="true" strokeweight="3.461pt" strokecolor="#2b3890"/>
            <v:line style="position:absolute" from="5767,3332" to="5925,3332" stroked="true" strokeweight="4.268pt" strokecolor="#ee2a7b"/>
            <v:rect style="position:absolute;left:5293;top:2862;width:158;height:513" filled="true" fillcolor="#1b75bc" stroked="false">
              <v:fill type="solid"/>
            </v:rect>
            <v:rect style="position:absolute;left:6100;top:600;width:158;height:2775" filled="true" fillcolor="#bc8cbf" stroked="false">
              <v:fill type="solid"/>
            </v:rect>
            <v:rect style="position:absolute;left:6258;top:2067;width:158;height:1308" filled="true" fillcolor="#8b0d19" stroked="false">
              <v:fill type="solid"/>
            </v:rect>
            <v:rect style="position:absolute;left:6416;top:3210;width:158;height:165" filled="true" fillcolor="#dce9ae" stroked="false">
              <v:fill type="solid"/>
            </v:rect>
            <v:rect style="position:absolute;left:6574;top:2941;width:158;height:434" filled="true" fillcolor="#98cbcc" stroked="false">
              <v:fill type="solid"/>
            </v:rect>
            <v:rect style="position:absolute;left:6732;top:3136;width:158;height:239" filled="true" fillcolor="#9e1f63" stroked="false">
              <v:fill type="solid"/>
            </v:rect>
            <v:rect style="position:absolute;left:7522;top:3248;width:173;height:127" filled="true" fillcolor="#ee2a7b" stroked="false">
              <v:fill type="solid"/>
            </v:rect>
            <v:rect style="position:absolute;left:7048;top:2740;width:158;height:635" filled="true" fillcolor="#1b75bc" stroked="false">
              <v:fill type="solid"/>
            </v:rect>
            <v:line style="position:absolute" from="2342,3375" to="7695,3375" stroked="true" strokeweight="1pt" strokecolor="#231f20"/>
            <v:line style="position:absolute" from="2342,3337" to="7695,3337" stroked="true" strokeweight="1pt" strokecolor="#231f20"/>
            <v:line style="position:absolute" from="7695,383" to="7695,3425" stroked="true" strokeweight="1pt" strokecolor="#231f20"/>
            <w10:wrap type="topAndBottom"/>
          </v:group>
        </w:pict>
      </w:r>
      <w:r>
        <w:rPr/>
        <w:pict>
          <v:group style="position:absolute;margin-left:397.734009pt;margin-top:23.865795pt;width:40.1pt;height:153.65pt;mso-position-horizontal-relative:page;mso-position-vertical-relative:paragraph;z-index:14032;mso-wrap-distance-left:0;mso-wrap-distance-right:0" coordorigin="7955,477" coordsize="802,3073">
            <v:shape style="position:absolute;left:8242;top:561;width:392;height:142" type="#_x0000_t75" stroked="false">
              <v:imagedata r:id="rId1224" o:title=""/>
            </v:shape>
            <v:shape style="position:absolute;left:8254;top:874;width:412;height:142" type="#_x0000_t75" stroked="false">
              <v:imagedata r:id="rId1225" o:title=""/>
            </v:shape>
            <v:shape style="position:absolute;left:8241;top:1173;width:424;height:142" type="#_x0000_t75" stroked="false">
              <v:imagedata r:id="rId1226" o:title=""/>
            </v:shape>
            <v:shape style="position:absolute;left:8239;top:1486;width:426;height:142" type="#_x0000_t75" stroked="false">
              <v:imagedata r:id="rId1227" o:title=""/>
            </v:shape>
            <v:shape style="position:absolute;left:8240;top:1799;width:426;height:142" type="#_x0000_t75" stroked="false">
              <v:imagedata r:id="rId1228" o:title=""/>
            </v:shape>
            <v:shape style="position:absolute;left:8241;top:2099;width:424;height:142" type="#_x0000_t75" stroked="false">
              <v:imagedata r:id="rId1229" o:title=""/>
            </v:shape>
            <v:shape style="position:absolute;left:8242;top:2411;width:423;height:142" type="#_x0000_t75" stroked="false">
              <v:imagedata r:id="rId1230" o:title=""/>
            </v:shape>
            <v:shape style="position:absolute;left:8242;top:2724;width:423;height:142" type="#_x0000_t75" stroked="false">
              <v:imagedata r:id="rId1231" o:title=""/>
            </v:shape>
            <v:shape style="position:absolute;left:8241;top:3037;width:424;height:142" type="#_x0000_t75" stroked="false">
              <v:imagedata r:id="rId1232" o:title=""/>
            </v:shape>
            <v:shape style="position:absolute;left:8242;top:3337;width:424;height:142" type="#_x0000_t75" stroked="false">
              <v:imagedata r:id="rId1233" o:title=""/>
            </v:shape>
            <v:rect style="position:absolute;left:7960;top:482;width:792;height:3062" filled="false" stroked="true" strokeweight=".5pt" strokecolor="#231f20"/>
            <v:rect style="position:absolute;left:8043;top:581;width:118;height:118" filled="true" fillcolor="#bc8cbf" stroked="false">
              <v:fill type="solid"/>
            </v:rect>
            <v:rect style="position:absolute;left:8043;top:902;width:118;height:118" filled="true" fillcolor="#8b0d19" stroked="false">
              <v:fill type="solid"/>
            </v:rect>
            <v:rect style="position:absolute;left:8043;top:1206;width:118;height:118" filled="true" fillcolor="#dce9ae" stroked="false">
              <v:fill type="solid"/>
            </v:rect>
            <v:rect style="position:absolute;left:8043;top:1527;width:118;height:118" filled="true" fillcolor="#98cbcc" stroked="false">
              <v:fill type="solid"/>
            </v:rect>
            <v:rect style="position:absolute;left:8043;top:1819;width:118;height:118" filled="true" fillcolor="#9e1f63" stroked="false">
              <v:fill type="solid"/>
            </v:rect>
            <v:rect style="position:absolute;left:8043;top:2140;width:118;height:118" filled="true" fillcolor="#231f20" stroked="false">
              <v:fill type="solid"/>
            </v:rect>
            <v:rect style="position:absolute;left:8043;top:2448;width:118;height:118" filled="true" fillcolor="#1b75bc" stroked="false">
              <v:fill type="solid"/>
            </v:rect>
            <v:rect style="position:absolute;left:8043;top:2749;width:118;height:118" filled="true" fillcolor="#c7c4e2" stroked="false">
              <v:fill type="solid"/>
            </v:rect>
            <v:rect style="position:absolute;left:8043;top:3060;width:118;height:118" filled="true" fillcolor="#2b3890" stroked="false">
              <v:fill type="solid"/>
            </v:rect>
            <v:rect style="position:absolute;left:8043;top:3362;width:118;height:118" filled="true" fillcolor="#ee2a7b" stroked="false">
              <v:fill type="solid"/>
            </v:rect>
            <w10:wrap type="topAndBottom"/>
          </v:group>
        </w:pict>
      </w:r>
    </w:p>
    <w:p>
      <w:pPr>
        <w:pStyle w:val="BodyText"/>
        <w:rPr>
          <w:b/>
        </w:rPr>
      </w:pPr>
    </w:p>
    <w:p>
      <w:pPr>
        <w:pStyle w:val="BodyText"/>
        <w:rPr>
          <w:b/>
          <w:sz w:val="25"/>
        </w:rPr>
      </w:pPr>
    </w:p>
    <w:p>
      <w:pPr>
        <w:spacing w:before="1"/>
        <w:ind w:left="0" w:right="108" w:firstLine="0"/>
        <w:jc w:val="right"/>
        <w:rPr>
          <w:rFonts w:ascii="Calibri" w:hAnsi="Calibri"/>
          <w:sz w:val="16"/>
        </w:rPr>
      </w:pPr>
      <w:r>
        <w:rPr>
          <w:rFonts w:ascii="Calibri" w:hAnsi="Calibri"/>
          <w:color w:val="231F20"/>
          <w:sz w:val="16"/>
        </w:rPr>
        <w:t>Fuente: Elaboración propia con datos del Órgano Superior de Fiscalización del Estado de México</w:t>
      </w:r>
    </w:p>
    <w:p>
      <w:pPr>
        <w:spacing w:before="104"/>
        <w:ind w:left="0" w:right="108" w:firstLine="0"/>
        <w:jc w:val="right"/>
        <w:rPr>
          <w:rFonts w:ascii="Calibri" w:hAnsi="Calibri"/>
          <w:sz w:val="16"/>
        </w:rPr>
      </w:pPr>
      <w:r>
        <w:rPr>
          <w:rFonts w:ascii="Calibri" w:hAnsi="Calibri"/>
          <w:color w:val="231F20"/>
          <w:sz w:val="16"/>
        </w:rPr>
        <w:t>(2009: Documento en línea).</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El comportamiento de los egresos en el municipio de Ozumba demuestra un aumen- to gradual año con año, </w:t>
      </w:r>
      <w:r>
        <w:rPr>
          <w:color w:val="231F20"/>
          <w:spacing w:val="-3"/>
          <w:w w:val="105"/>
        </w:rPr>
        <w:t>donde </w:t>
      </w:r>
      <w:r>
        <w:rPr>
          <w:color w:val="231F20"/>
          <w:w w:val="105"/>
        </w:rPr>
        <w:t>los Servicios Personales ocupan un lugar dominante </w:t>
      </w:r>
      <w:r>
        <w:rPr>
          <w:color w:val="231F20"/>
          <w:spacing w:val="2"/>
          <w:w w:val="105"/>
        </w:rPr>
        <w:t>al </w:t>
      </w:r>
      <w:r>
        <w:rPr>
          <w:color w:val="231F20"/>
          <w:w w:val="105"/>
        </w:rPr>
        <w:t>destinarse</w:t>
      </w:r>
      <w:r>
        <w:rPr>
          <w:color w:val="231F20"/>
          <w:spacing w:val="-11"/>
          <w:w w:val="105"/>
        </w:rPr>
        <w:t> </w:t>
      </w:r>
      <w:r>
        <w:rPr>
          <w:color w:val="231F20"/>
          <w:w w:val="105"/>
        </w:rPr>
        <w:t>casi</w:t>
      </w:r>
      <w:r>
        <w:rPr>
          <w:color w:val="231F20"/>
          <w:spacing w:val="-11"/>
          <w:w w:val="105"/>
        </w:rPr>
        <w:t> </w:t>
      </w:r>
      <w:r>
        <w:rPr>
          <w:color w:val="231F20"/>
          <w:w w:val="105"/>
        </w:rPr>
        <w:t>el</w:t>
      </w:r>
      <w:r>
        <w:rPr>
          <w:color w:val="231F20"/>
          <w:spacing w:val="-11"/>
          <w:w w:val="105"/>
        </w:rPr>
        <w:t> </w:t>
      </w:r>
      <w:r>
        <w:rPr>
          <w:color w:val="231F20"/>
          <w:w w:val="105"/>
        </w:rPr>
        <w:t>46%</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w w:val="105"/>
        </w:rPr>
        <w:t>2009.</w:t>
      </w:r>
      <w:r>
        <w:rPr>
          <w:color w:val="231F20"/>
          <w:spacing w:val="-11"/>
          <w:w w:val="105"/>
        </w:rPr>
        <w:t> </w:t>
      </w:r>
      <w:r>
        <w:rPr>
          <w:color w:val="231F20"/>
          <w:w w:val="105"/>
        </w:rPr>
        <w:t>Del</w:t>
      </w:r>
      <w:r>
        <w:rPr>
          <w:color w:val="231F20"/>
          <w:spacing w:val="-11"/>
          <w:w w:val="105"/>
        </w:rPr>
        <w:t> </w:t>
      </w:r>
      <w:r>
        <w:rPr>
          <w:color w:val="231F20"/>
          <w:w w:val="105"/>
        </w:rPr>
        <w:t>mismo</w:t>
      </w:r>
      <w:r>
        <w:rPr>
          <w:color w:val="231F20"/>
          <w:spacing w:val="-11"/>
          <w:w w:val="105"/>
        </w:rPr>
        <w:t> </w:t>
      </w:r>
      <w:r>
        <w:rPr>
          <w:color w:val="231F20"/>
          <w:w w:val="105"/>
        </w:rPr>
        <w:t>modo,</w:t>
      </w:r>
      <w:r>
        <w:rPr>
          <w:color w:val="231F20"/>
          <w:spacing w:val="-11"/>
          <w:w w:val="105"/>
        </w:rPr>
        <w:t> </w:t>
      </w:r>
      <w:r>
        <w:rPr>
          <w:color w:val="231F20"/>
          <w:w w:val="105"/>
        </w:rPr>
        <w:t>para</w:t>
      </w:r>
      <w:r>
        <w:rPr>
          <w:color w:val="231F20"/>
          <w:spacing w:val="-11"/>
          <w:w w:val="105"/>
        </w:rPr>
        <w:t> </w:t>
      </w:r>
      <w:r>
        <w:rPr>
          <w:color w:val="231F20"/>
          <w:w w:val="105"/>
        </w:rPr>
        <w:t>Obras</w:t>
      </w:r>
      <w:r>
        <w:rPr>
          <w:color w:val="231F20"/>
          <w:spacing w:val="-11"/>
          <w:w w:val="105"/>
        </w:rPr>
        <w:t> </w:t>
      </w:r>
      <w:r>
        <w:rPr>
          <w:color w:val="231F20"/>
          <w:w w:val="105"/>
        </w:rPr>
        <w:t>Públicas</w:t>
      </w:r>
      <w:r>
        <w:rPr>
          <w:color w:val="231F20"/>
          <w:spacing w:val="-11"/>
          <w:w w:val="105"/>
        </w:rPr>
        <w:t> </w:t>
      </w:r>
      <w:r>
        <w:rPr>
          <w:color w:val="231F20"/>
          <w:w w:val="105"/>
        </w:rPr>
        <w:t>se</w:t>
      </w:r>
      <w:r>
        <w:rPr>
          <w:color w:val="231F20"/>
          <w:spacing w:val="-11"/>
          <w:w w:val="105"/>
        </w:rPr>
        <w:t> </w:t>
      </w:r>
      <w:r>
        <w:rPr>
          <w:color w:val="231F20"/>
          <w:w w:val="105"/>
        </w:rPr>
        <w:t>tiene contemplado</w:t>
      </w:r>
      <w:r>
        <w:rPr>
          <w:color w:val="231F20"/>
          <w:spacing w:val="-21"/>
          <w:w w:val="105"/>
        </w:rPr>
        <w:t> </w:t>
      </w:r>
      <w:r>
        <w:rPr>
          <w:color w:val="231F20"/>
          <w:w w:val="105"/>
        </w:rPr>
        <w:t>gastar</w:t>
      </w:r>
      <w:r>
        <w:rPr>
          <w:color w:val="231F20"/>
          <w:spacing w:val="-21"/>
          <w:w w:val="105"/>
        </w:rPr>
        <w:t> </w:t>
      </w:r>
      <w:r>
        <w:rPr>
          <w:color w:val="231F20"/>
          <w:w w:val="105"/>
        </w:rPr>
        <w:t>un</w:t>
      </w:r>
      <w:r>
        <w:rPr>
          <w:color w:val="231F20"/>
          <w:spacing w:val="-21"/>
          <w:w w:val="105"/>
        </w:rPr>
        <w:t> </w:t>
      </w:r>
      <w:r>
        <w:rPr>
          <w:color w:val="231F20"/>
          <w:w w:val="105"/>
        </w:rPr>
        <w:t>21.33%</w:t>
      </w:r>
      <w:r>
        <w:rPr>
          <w:color w:val="231F20"/>
          <w:spacing w:val="-21"/>
          <w:w w:val="105"/>
        </w:rPr>
        <w:t> </w:t>
      </w:r>
      <w:r>
        <w:rPr>
          <w:color w:val="231F20"/>
          <w:w w:val="105"/>
        </w:rPr>
        <w:t>del</w:t>
      </w:r>
      <w:r>
        <w:rPr>
          <w:color w:val="231F20"/>
          <w:spacing w:val="-21"/>
          <w:w w:val="105"/>
        </w:rPr>
        <w:t> </w:t>
      </w:r>
      <w:r>
        <w:rPr>
          <w:color w:val="231F20"/>
          <w:w w:val="105"/>
        </w:rPr>
        <w:t>total,</w:t>
      </w:r>
      <w:r>
        <w:rPr>
          <w:color w:val="231F20"/>
          <w:spacing w:val="-21"/>
          <w:w w:val="105"/>
        </w:rPr>
        <w:t> </w:t>
      </w:r>
      <w:r>
        <w:rPr>
          <w:color w:val="231F20"/>
          <w:w w:val="105"/>
        </w:rPr>
        <w:t>en</w:t>
      </w:r>
      <w:r>
        <w:rPr>
          <w:color w:val="231F20"/>
          <w:spacing w:val="-21"/>
          <w:w w:val="105"/>
        </w:rPr>
        <w:t> </w:t>
      </w:r>
      <w:r>
        <w:rPr>
          <w:color w:val="231F20"/>
          <w:w w:val="105"/>
        </w:rPr>
        <w:t>comparación</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spacing w:val="2"/>
          <w:w w:val="105"/>
        </w:rPr>
        <w:t>2007</w:t>
      </w:r>
      <w:r>
        <w:rPr>
          <w:color w:val="231F20"/>
          <w:spacing w:val="-21"/>
          <w:w w:val="105"/>
        </w:rPr>
        <w:t> </w:t>
      </w:r>
      <w:r>
        <w:rPr>
          <w:color w:val="231F20"/>
          <w:spacing w:val="-3"/>
          <w:w w:val="105"/>
        </w:rPr>
        <w:t>donde</w:t>
      </w:r>
      <w:r>
        <w:rPr>
          <w:color w:val="231F20"/>
          <w:spacing w:val="-21"/>
          <w:w w:val="105"/>
        </w:rPr>
        <w:t> </w:t>
      </w:r>
      <w:r>
        <w:rPr>
          <w:color w:val="231F20"/>
          <w:w w:val="105"/>
        </w:rPr>
        <w:t>se</w:t>
      </w:r>
      <w:r>
        <w:rPr>
          <w:color w:val="231F20"/>
          <w:spacing w:val="-21"/>
          <w:w w:val="105"/>
        </w:rPr>
        <w:t> </w:t>
      </w:r>
      <w:r>
        <w:rPr>
          <w:color w:val="231F20"/>
          <w:w w:val="105"/>
        </w:rPr>
        <w:t>le</w:t>
      </w:r>
      <w:r>
        <w:rPr>
          <w:color w:val="231F20"/>
          <w:spacing w:val="-21"/>
          <w:w w:val="105"/>
        </w:rPr>
        <w:t> </w:t>
      </w:r>
      <w:r>
        <w:rPr>
          <w:color w:val="231F20"/>
          <w:w w:val="105"/>
        </w:rPr>
        <w:t>destinó sólo</w:t>
      </w:r>
      <w:r>
        <w:rPr>
          <w:color w:val="231F20"/>
          <w:spacing w:val="-22"/>
          <w:w w:val="105"/>
        </w:rPr>
        <w:t> </w:t>
      </w:r>
      <w:r>
        <w:rPr>
          <w:color w:val="231F20"/>
          <w:w w:val="105"/>
        </w:rPr>
        <w:t>el</w:t>
      </w:r>
      <w:r>
        <w:rPr>
          <w:color w:val="231F20"/>
          <w:spacing w:val="-22"/>
          <w:w w:val="105"/>
        </w:rPr>
        <w:t> </w:t>
      </w:r>
      <w:r>
        <w:rPr>
          <w:color w:val="231F20"/>
          <w:spacing w:val="-7"/>
          <w:w w:val="105"/>
        </w:rPr>
        <w:t>11%</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gastos.,</w:t>
      </w:r>
      <w:r>
        <w:rPr>
          <w:color w:val="231F20"/>
          <w:spacing w:val="-22"/>
          <w:w w:val="105"/>
        </w:rPr>
        <w:t> </w:t>
      </w:r>
      <w:r>
        <w:rPr>
          <w:color w:val="231F20"/>
          <w:w w:val="105"/>
        </w:rPr>
        <w:t>y</w:t>
      </w:r>
      <w:r>
        <w:rPr>
          <w:color w:val="231F20"/>
          <w:spacing w:val="-22"/>
          <w:w w:val="105"/>
        </w:rPr>
        <w:t> </w:t>
      </w:r>
      <w:r>
        <w:rPr>
          <w:color w:val="231F20"/>
          <w:w w:val="105"/>
        </w:rPr>
        <w:t>en</w:t>
      </w:r>
      <w:r>
        <w:rPr>
          <w:color w:val="231F20"/>
          <w:spacing w:val="-22"/>
          <w:w w:val="105"/>
        </w:rPr>
        <w:t> </w:t>
      </w:r>
      <w:r>
        <w:rPr>
          <w:color w:val="231F20"/>
          <w:spacing w:val="3"/>
          <w:w w:val="105"/>
        </w:rPr>
        <w:t>2008</w:t>
      </w:r>
      <w:r>
        <w:rPr>
          <w:color w:val="231F20"/>
          <w:spacing w:val="-22"/>
          <w:w w:val="105"/>
        </w:rPr>
        <w:t> </w:t>
      </w:r>
      <w:r>
        <w:rPr>
          <w:color w:val="231F20"/>
          <w:spacing w:val="-3"/>
          <w:w w:val="105"/>
        </w:rPr>
        <w:t>19.6%.</w:t>
      </w:r>
      <w:r>
        <w:rPr>
          <w:color w:val="231F20"/>
          <w:spacing w:val="-22"/>
          <w:w w:val="105"/>
        </w:rPr>
        <w:t> </w:t>
      </w:r>
      <w:r>
        <w:rPr>
          <w:color w:val="231F20"/>
          <w:w w:val="105"/>
        </w:rPr>
        <w:t>Ello</w:t>
      </w:r>
      <w:r>
        <w:rPr>
          <w:color w:val="231F20"/>
          <w:spacing w:val="-22"/>
          <w:w w:val="105"/>
        </w:rPr>
        <w:t> </w:t>
      </w:r>
      <w:r>
        <w:rPr>
          <w:color w:val="231F20"/>
          <w:w w:val="105"/>
        </w:rPr>
        <w:t>nos</w:t>
      </w:r>
      <w:r>
        <w:rPr>
          <w:color w:val="231F20"/>
          <w:spacing w:val="-22"/>
          <w:w w:val="105"/>
        </w:rPr>
        <w:t> </w:t>
      </w:r>
      <w:r>
        <w:rPr>
          <w:color w:val="231F20"/>
          <w:w w:val="105"/>
        </w:rPr>
        <w:t>demuestra</w:t>
      </w:r>
      <w:r>
        <w:rPr>
          <w:color w:val="231F20"/>
          <w:spacing w:val="-22"/>
          <w:w w:val="105"/>
        </w:rPr>
        <w:t> </w:t>
      </w:r>
      <w:r>
        <w:rPr>
          <w:color w:val="231F20"/>
          <w:w w:val="105"/>
        </w:rPr>
        <w:t>la</w:t>
      </w:r>
      <w:r>
        <w:rPr>
          <w:color w:val="231F20"/>
          <w:spacing w:val="-22"/>
          <w:w w:val="105"/>
        </w:rPr>
        <w:t> </w:t>
      </w:r>
      <w:r>
        <w:rPr>
          <w:color w:val="231F20"/>
          <w:w w:val="105"/>
        </w:rPr>
        <w:t>relevancia</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le</w:t>
      </w:r>
      <w:r>
        <w:rPr>
          <w:color w:val="231F20"/>
          <w:spacing w:val="-22"/>
          <w:w w:val="105"/>
        </w:rPr>
        <w:t> </w:t>
      </w:r>
      <w:r>
        <w:rPr>
          <w:color w:val="231F20"/>
          <w:w w:val="105"/>
        </w:rPr>
        <w:t>da a las Obras Públicas para el último año de gobierno en este municipio, pero también que los servicios personales ocupan la mayor parte del presupuesto, lo cual deja poco margen de acción para implementar más programas sociales que beneficien a mayor número de</w:t>
      </w:r>
      <w:r>
        <w:rPr>
          <w:color w:val="231F20"/>
          <w:spacing w:val="-20"/>
          <w:w w:val="105"/>
        </w:rPr>
        <w:t> </w:t>
      </w:r>
      <w:r>
        <w:rPr>
          <w:color w:val="231F20"/>
          <w:w w:val="105"/>
        </w:rPr>
        <w:t>ciudadanos.</w:t>
      </w:r>
    </w:p>
    <w:p>
      <w:pPr>
        <w:pStyle w:val="BodyText"/>
        <w:spacing w:before="1"/>
        <w:rPr>
          <w:sz w:val="26"/>
        </w:rPr>
      </w:pPr>
    </w:p>
    <w:p>
      <w:pPr>
        <w:pStyle w:val="BodyText"/>
        <w:ind w:left="110"/>
        <w:jc w:val="both"/>
      </w:pPr>
      <w:r>
        <w:rPr>
          <w:color w:val="231F20"/>
        </w:rPr>
        <w:t>En gestión pública se busca ante todo que las decisiones sean colectivas y que los   presu-</w:t>
      </w:r>
    </w:p>
    <w:p>
      <w:pPr>
        <w:spacing w:after="0"/>
        <w:jc w:val="both"/>
        <w:sectPr>
          <w:footerReference w:type="default" r:id="rId1195"/>
          <w:pgSz w:w="9640" w:h="12190"/>
          <w:pgMar w:footer="743" w:header="0" w:top="1120" w:bottom="940" w:left="740" w:right="740"/>
          <w:pgNumType w:start="480"/>
        </w:sectPr>
      </w:pPr>
    </w:p>
    <w:p>
      <w:pPr>
        <w:pStyle w:val="BodyText"/>
        <w:spacing w:before="3"/>
        <w:rPr>
          <w:sz w:val="11"/>
        </w:rPr>
      </w:pPr>
    </w:p>
    <w:p>
      <w:pPr>
        <w:pStyle w:val="BodyText"/>
        <w:spacing w:line="285" w:lineRule="auto" w:before="36"/>
        <w:ind w:left="110" w:right="108"/>
        <w:jc w:val="both"/>
      </w:pPr>
      <w:r>
        <w:rPr>
          <w:color w:val="231F20"/>
          <w:w w:val="105"/>
        </w:rPr>
        <w:t>puestos</w:t>
      </w:r>
      <w:r>
        <w:rPr>
          <w:color w:val="231F20"/>
          <w:spacing w:val="-22"/>
          <w:w w:val="105"/>
        </w:rPr>
        <w:t> </w:t>
      </w:r>
      <w:r>
        <w:rPr>
          <w:color w:val="231F20"/>
          <w:w w:val="105"/>
        </w:rPr>
        <w:t>se</w:t>
      </w:r>
      <w:r>
        <w:rPr>
          <w:color w:val="231F20"/>
          <w:spacing w:val="-22"/>
          <w:w w:val="105"/>
        </w:rPr>
        <w:t> </w:t>
      </w:r>
      <w:r>
        <w:rPr>
          <w:color w:val="231F20"/>
          <w:w w:val="105"/>
        </w:rPr>
        <w:t>asignen</w:t>
      </w:r>
      <w:r>
        <w:rPr>
          <w:color w:val="231F20"/>
          <w:spacing w:val="-22"/>
          <w:w w:val="105"/>
        </w:rPr>
        <w:t> </w:t>
      </w:r>
      <w:r>
        <w:rPr>
          <w:color w:val="231F20"/>
          <w:w w:val="105"/>
        </w:rPr>
        <w:t>a</w:t>
      </w:r>
      <w:r>
        <w:rPr>
          <w:color w:val="231F20"/>
          <w:spacing w:val="-22"/>
          <w:w w:val="105"/>
        </w:rPr>
        <w:t> </w:t>
      </w:r>
      <w:r>
        <w:rPr>
          <w:color w:val="231F20"/>
          <w:w w:val="105"/>
        </w:rPr>
        <w:t>sus</w:t>
      </w:r>
      <w:r>
        <w:rPr>
          <w:color w:val="231F20"/>
          <w:spacing w:val="-22"/>
          <w:w w:val="105"/>
        </w:rPr>
        <w:t> </w:t>
      </w:r>
      <w:r>
        <w:rPr>
          <w:color w:val="231F20"/>
          <w:w w:val="105"/>
        </w:rPr>
        <w:t>prioridades.</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participación</w:t>
      </w:r>
      <w:r>
        <w:rPr>
          <w:color w:val="231F20"/>
          <w:spacing w:val="-22"/>
          <w:w w:val="105"/>
        </w:rPr>
        <w:t> </w:t>
      </w:r>
      <w:r>
        <w:rPr>
          <w:color w:val="231F20"/>
          <w:w w:val="105"/>
        </w:rPr>
        <w:t>se</w:t>
      </w:r>
      <w:r>
        <w:rPr>
          <w:color w:val="231F20"/>
          <w:spacing w:val="-22"/>
          <w:w w:val="105"/>
        </w:rPr>
        <w:t> </w:t>
      </w:r>
      <w:r>
        <w:rPr>
          <w:color w:val="231F20"/>
          <w:w w:val="105"/>
        </w:rPr>
        <w:t>obtiene</w:t>
      </w:r>
      <w:r>
        <w:rPr>
          <w:color w:val="231F20"/>
          <w:spacing w:val="-22"/>
          <w:w w:val="105"/>
        </w:rPr>
        <w:t> </w:t>
      </w:r>
      <w:r>
        <w:rPr>
          <w:color w:val="231F20"/>
          <w:w w:val="105"/>
        </w:rPr>
        <w:t>legitimidad,</w:t>
      </w:r>
      <w:r>
        <w:rPr>
          <w:color w:val="231F20"/>
          <w:spacing w:val="-22"/>
          <w:w w:val="105"/>
        </w:rPr>
        <w:t> </w:t>
      </w:r>
      <w:r>
        <w:rPr>
          <w:color w:val="231F20"/>
          <w:w w:val="105"/>
        </w:rPr>
        <w:t>se</w:t>
      </w:r>
      <w:r>
        <w:rPr>
          <w:color w:val="231F20"/>
          <w:spacing w:val="-22"/>
          <w:w w:val="105"/>
        </w:rPr>
        <w:t> </w:t>
      </w:r>
      <w:r>
        <w:rPr>
          <w:color w:val="231F20"/>
          <w:w w:val="105"/>
        </w:rPr>
        <w:t>da</w:t>
      </w:r>
      <w:r>
        <w:rPr>
          <w:color w:val="231F20"/>
          <w:spacing w:val="-22"/>
          <w:w w:val="105"/>
        </w:rPr>
        <w:t> </w:t>
      </w:r>
      <w:r>
        <w:rPr>
          <w:color w:val="231F20"/>
          <w:w w:val="105"/>
        </w:rPr>
        <w:t>el </w:t>
      </w:r>
      <w:r>
        <w:rPr>
          <w:color w:val="231F20"/>
          <w:spacing w:val="-3"/>
          <w:w w:val="105"/>
        </w:rPr>
        <w:t>fenómeno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corresponsabilidad</w:t>
      </w:r>
      <w:r>
        <w:rPr>
          <w:color w:val="231F20"/>
          <w:spacing w:val="-21"/>
          <w:w w:val="105"/>
        </w:rPr>
        <w:t> </w:t>
      </w:r>
      <w:r>
        <w:rPr>
          <w:color w:val="231F20"/>
          <w:w w:val="105"/>
        </w:rPr>
        <w:t>y</w:t>
      </w:r>
      <w:r>
        <w:rPr>
          <w:color w:val="231F20"/>
          <w:spacing w:val="-21"/>
          <w:w w:val="105"/>
        </w:rPr>
        <w:t> </w:t>
      </w:r>
      <w:r>
        <w:rPr>
          <w:color w:val="231F20"/>
          <w:w w:val="105"/>
        </w:rPr>
        <w:t>se</w:t>
      </w:r>
      <w:r>
        <w:rPr>
          <w:color w:val="231F20"/>
          <w:spacing w:val="-21"/>
          <w:w w:val="105"/>
        </w:rPr>
        <w:t> </w:t>
      </w:r>
      <w:r>
        <w:rPr>
          <w:color w:val="231F20"/>
          <w:w w:val="105"/>
        </w:rPr>
        <w:t>crea</w:t>
      </w:r>
      <w:r>
        <w:rPr>
          <w:color w:val="231F20"/>
          <w:spacing w:val="-21"/>
          <w:w w:val="105"/>
        </w:rPr>
        <w:t> </w:t>
      </w:r>
      <w:r>
        <w:rPr>
          <w:color w:val="231F20"/>
          <w:w w:val="105"/>
        </w:rPr>
        <w:t>una</w:t>
      </w:r>
      <w:r>
        <w:rPr>
          <w:color w:val="231F20"/>
          <w:spacing w:val="-21"/>
          <w:w w:val="105"/>
        </w:rPr>
        <w:t> </w:t>
      </w:r>
      <w:r>
        <w:rPr>
          <w:color w:val="231F20"/>
          <w:w w:val="105"/>
        </w:rPr>
        <w:t>administración</w:t>
      </w:r>
      <w:r>
        <w:rPr>
          <w:color w:val="231F20"/>
          <w:spacing w:val="-21"/>
          <w:w w:val="105"/>
        </w:rPr>
        <w:t> </w:t>
      </w:r>
      <w:r>
        <w:rPr>
          <w:color w:val="231F20"/>
          <w:w w:val="105"/>
        </w:rPr>
        <w:t>pública</w:t>
      </w:r>
      <w:r>
        <w:rPr>
          <w:color w:val="231F20"/>
          <w:spacing w:val="-21"/>
          <w:w w:val="105"/>
        </w:rPr>
        <w:t> </w:t>
      </w:r>
      <w:r>
        <w:rPr>
          <w:color w:val="231F20"/>
          <w:w w:val="105"/>
        </w:rPr>
        <w:t>receptiva</w:t>
      </w:r>
      <w:r>
        <w:rPr>
          <w:color w:val="231F20"/>
          <w:spacing w:val="-21"/>
          <w:w w:val="105"/>
        </w:rPr>
        <w:t> </w:t>
      </w:r>
      <w:r>
        <w:rPr>
          <w:color w:val="231F20"/>
          <w:w w:val="105"/>
        </w:rPr>
        <w:t>y</w:t>
      </w:r>
      <w:r>
        <w:rPr>
          <w:color w:val="231F20"/>
          <w:spacing w:val="-21"/>
          <w:w w:val="105"/>
        </w:rPr>
        <w:t> </w:t>
      </w:r>
      <w:r>
        <w:rPr>
          <w:color w:val="231F20"/>
          <w:w w:val="105"/>
        </w:rPr>
        <w:t>sen- sible</w:t>
      </w:r>
      <w:r>
        <w:rPr>
          <w:color w:val="231F20"/>
          <w:spacing w:val="-19"/>
          <w:w w:val="105"/>
        </w:rPr>
        <w:t> </w:t>
      </w:r>
      <w:r>
        <w:rPr>
          <w:color w:val="231F20"/>
          <w:w w:val="105"/>
        </w:rPr>
        <w:t>hacia</w:t>
      </w:r>
      <w:r>
        <w:rPr>
          <w:color w:val="231F20"/>
          <w:spacing w:val="-19"/>
          <w:w w:val="105"/>
        </w:rPr>
        <w:t> </w:t>
      </w:r>
      <w:r>
        <w:rPr>
          <w:color w:val="231F20"/>
          <w:w w:val="105"/>
        </w:rPr>
        <w:t>los</w:t>
      </w:r>
      <w:r>
        <w:rPr>
          <w:color w:val="231F20"/>
          <w:spacing w:val="-19"/>
          <w:w w:val="105"/>
        </w:rPr>
        <w:t> </w:t>
      </w:r>
      <w:r>
        <w:rPr>
          <w:color w:val="231F20"/>
          <w:w w:val="105"/>
        </w:rPr>
        <w:t>ciudadanos.</w:t>
      </w:r>
      <w:r>
        <w:rPr>
          <w:color w:val="231F20"/>
          <w:spacing w:val="-19"/>
          <w:w w:val="105"/>
        </w:rPr>
        <w:t> </w:t>
      </w:r>
      <w:r>
        <w:rPr>
          <w:color w:val="231F20"/>
          <w:w w:val="105"/>
        </w:rPr>
        <w:t>Se</w:t>
      </w:r>
      <w:r>
        <w:rPr>
          <w:color w:val="231F20"/>
          <w:spacing w:val="-19"/>
          <w:w w:val="105"/>
        </w:rPr>
        <w:t> </w:t>
      </w:r>
      <w:r>
        <w:rPr>
          <w:color w:val="231F20"/>
          <w:w w:val="105"/>
        </w:rPr>
        <w:t>crea</w:t>
      </w:r>
      <w:r>
        <w:rPr>
          <w:color w:val="231F20"/>
          <w:spacing w:val="-19"/>
          <w:w w:val="105"/>
        </w:rPr>
        <w:t> </w:t>
      </w:r>
      <w:r>
        <w:rPr>
          <w:color w:val="231F20"/>
          <w:w w:val="105"/>
        </w:rPr>
        <w:t>un</w:t>
      </w:r>
      <w:r>
        <w:rPr>
          <w:color w:val="231F20"/>
          <w:spacing w:val="-19"/>
          <w:w w:val="105"/>
        </w:rPr>
        <w:t> </w:t>
      </w:r>
      <w:r>
        <w:rPr>
          <w:color w:val="231F20"/>
          <w:w w:val="105"/>
        </w:rPr>
        <w:t>clima</w:t>
      </w:r>
      <w:r>
        <w:rPr>
          <w:color w:val="231F20"/>
          <w:spacing w:val="-19"/>
          <w:w w:val="105"/>
        </w:rPr>
        <w:t> </w:t>
      </w:r>
      <w:r>
        <w:rPr>
          <w:color w:val="231F20"/>
          <w:w w:val="105"/>
        </w:rPr>
        <w:t>de</w:t>
      </w:r>
      <w:r>
        <w:rPr>
          <w:color w:val="231F20"/>
          <w:spacing w:val="-19"/>
          <w:w w:val="105"/>
        </w:rPr>
        <w:t> </w:t>
      </w:r>
      <w:r>
        <w:rPr>
          <w:color w:val="231F20"/>
          <w:w w:val="105"/>
        </w:rPr>
        <w:t>colaboración</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refleja</w:t>
      </w:r>
      <w:r>
        <w:rPr>
          <w:color w:val="231F20"/>
          <w:spacing w:val="-19"/>
          <w:w w:val="105"/>
        </w:rPr>
        <w:t> </w:t>
      </w:r>
      <w:r>
        <w:rPr>
          <w:color w:val="231F20"/>
          <w:w w:val="105"/>
        </w:rPr>
        <w:t>en</w:t>
      </w:r>
      <w:r>
        <w:rPr>
          <w:color w:val="231F20"/>
          <w:spacing w:val="-19"/>
          <w:w w:val="105"/>
        </w:rPr>
        <w:t> </w:t>
      </w:r>
      <w:r>
        <w:rPr>
          <w:color w:val="231F20"/>
          <w:w w:val="105"/>
        </w:rPr>
        <w:t>una</w:t>
      </w:r>
      <w:r>
        <w:rPr>
          <w:color w:val="231F20"/>
          <w:spacing w:val="-19"/>
          <w:w w:val="105"/>
        </w:rPr>
        <w:t> </w:t>
      </w:r>
      <w:r>
        <w:rPr>
          <w:color w:val="231F20"/>
          <w:w w:val="105"/>
        </w:rPr>
        <w:t>mayor vinculación</w:t>
      </w:r>
      <w:r>
        <w:rPr>
          <w:color w:val="231F20"/>
          <w:spacing w:val="-19"/>
          <w:w w:val="105"/>
        </w:rPr>
        <w:t> </w:t>
      </w:r>
      <w:r>
        <w:rPr>
          <w:color w:val="231F20"/>
          <w:w w:val="105"/>
        </w:rPr>
        <w:t>entre</w:t>
      </w:r>
      <w:r>
        <w:rPr>
          <w:color w:val="231F20"/>
          <w:spacing w:val="-19"/>
          <w:w w:val="105"/>
        </w:rPr>
        <w:t> </w:t>
      </w:r>
      <w:r>
        <w:rPr>
          <w:color w:val="231F20"/>
          <w:w w:val="105"/>
        </w:rPr>
        <w:t>el</w:t>
      </w:r>
      <w:r>
        <w:rPr>
          <w:color w:val="231F20"/>
          <w:spacing w:val="-19"/>
          <w:w w:val="105"/>
        </w:rPr>
        <w:t> </w:t>
      </w:r>
      <w:r>
        <w:rPr>
          <w:color w:val="231F20"/>
          <w:w w:val="105"/>
        </w:rPr>
        <w:t>ciudadano</w:t>
      </w:r>
      <w:r>
        <w:rPr>
          <w:color w:val="231F20"/>
          <w:spacing w:val="-19"/>
          <w:w w:val="105"/>
        </w:rPr>
        <w:t> </w:t>
      </w:r>
      <w:r>
        <w:rPr>
          <w:color w:val="231F20"/>
          <w:w w:val="105"/>
        </w:rPr>
        <w:t>y</w:t>
      </w:r>
      <w:r>
        <w:rPr>
          <w:color w:val="231F20"/>
          <w:spacing w:val="-19"/>
          <w:w w:val="105"/>
        </w:rPr>
        <w:t> </w:t>
      </w:r>
      <w:r>
        <w:rPr>
          <w:color w:val="231F20"/>
          <w:w w:val="105"/>
        </w:rPr>
        <w:t>su</w:t>
      </w:r>
      <w:r>
        <w:rPr>
          <w:color w:val="231F20"/>
          <w:spacing w:val="-19"/>
          <w:w w:val="105"/>
        </w:rPr>
        <w:t> </w:t>
      </w:r>
      <w:r>
        <w:rPr>
          <w:color w:val="231F20"/>
          <w:spacing w:val="-3"/>
          <w:w w:val="105"/>
        </w:rPr>
        <w:t>gobierno.</w:t>
      </w:r>
      <w:r>
        <w:rPr>
          <w:color w:val="231F20"/>
          <w:spacing w:val="-19"/>
          <w:w w:val="105"/>
        </w:rPr>
        <w:t> </w:t>
      </w:r>
      <w:r>
        <w:rPr>
          <w:color w:val="231F20"/>
          <w:w w:val="105"/>
        </w:rPr>
        <w:t>Con</w:t>
      </w:r>
      <w:r>
        <w:rPr>
          <w:color w:val="231F20"/>
          <w:spacing w:val="-19"/>
          <w:w w:val="105"/>
        </w:rPr>
        <w:t> </w:t>
      </w:r>
      <w:r>
        <w:rPr>
          <w:color w:val="231F20"/>
          <w:w w:val="105"/>
        </w:rPr>
        <w:t>lo</w:t>
      </w:r>
      <w:r>
        <w:rPr>
          <w:color w:val="231F20"/>
          <w:spacing w:val="-19"/>
          <w:w w:val="105"/>
        </w:rPr>
        <w:t> </w:t>
      </w:r>
      <w:r>
        <w:rPr>
          <w:color w:val="231F20"/>
          <w:spacing w:val="-3"/>
          <w:w w:val="105"/>
        </w:rPr>
        <w:t>anterior,</w:t>
      </w:r>
      <w:r>
        <w:rPr>
          <w:color w:val="231F20"/>
          <w:spacing w:val="-19"/>
          <w:w w:val="105"/>
        </w:rPr>
        <w:t> </w:t>
      </w:r>
      <w:r>
        <w:rPr>
          <w:color w:val="231F20"/>
          <w:w w:val="105"/>
        </w:rPr>
        <w:t>se</w:t>
      </w:r>
      <w:r>
        <w:rPr>
          <w:color w:val="231F20"/>
          <w:spacing w:val="-19"/>
          <w:w w:val="105"/>
        </w:rPr>
        <w:t> </w:t>
      </w:r>
      <w:r>
        <w:rPr>
          <w:color w:val="231F20"/>
          <w:w w:val="105"/>
        </w:rPr>
        <w:t>fomentan</w:t>
      </w:r>
      <w:r>
        <w:rPr>
          <w:color w:val="231F20"/>
          <w:spacing w:val="-19"/>
          <w:w w:val="105"/>
        </w:rPr>
        <w:t> </w:t>
      </w:r>
      <w:r>
        <w:rPr>
          <w:color w:val="231F20"/>
          <w:w w:val="105"/>
        </w:rPr>
        <w:t>los</w:t>
      </w:r>
      <w:r>
        <w:rPr>
          <w:color w:val="231F20"/>
          <w:spacing w:val="-18"/>
          <w:w w:val="105"/>
        </w:rPr>
        <w:t> </w:t>
      </w:r>
      <w:r>
        <w:rPr>
          <w:color w:val="231F20"/>
          <w:w w:val="105"/>
        </w:rPr>
        <w:t>gobiernos abiertos</w:t>
      </w:r>
      <w:r>
        <w:rPr>
          <w:color w:val="231F20"/>
          <w:spacing w:val="-15"/>
          <w:w w:val="105"/>
        </w:rPr>
        <w:t> </w:t>
      </w:r>
      <w:r>
        <w:rPr>
          <w:color w:val="231F20"/>
          <w:w w:val="105"/>
        </w:rPr>
        <w:t>que</w:t>
      </w:r>
      <w:r>
        <w:rPr>
          <w:color w:val="231F20"/>
          <w:spacing w:val="-15"/>
          <w:w w:val="105"/>
        </w:rPr>
        <w:t> </w:t>
      </w:r>
      <w:r>
        <w:rPr>
          <w:color w:val="231F20"/>
          <w:spacing w:val="-4"/>
          <w:w w:val="105"/>
        </w:rPr>
        <w:t>“son</w:t>
      </w:r>
      <w:r>
        <w:rPr>
          <w:color w:val="231F20"/>
          <w:spacing w:val="-15"/>
          <w:w w:val="105"/>
        </w:rPr>
        <w:t> </w:t>
      </w:r>
      <w:r>
        <w:rPr>
          <w:color w:val="231F20"/>
          <w:w w:val="105"/>
        </w:rPr>
        <w:t>una</w:t>
      </w:r>
      <w:r>
        <w:rPr>
          <w:color w:val="231F20"/>
          <w:spacing w:val="-15"/>
          <w:w w:val="105"/>
        </w:rPr>
        <w:t> </w:t>
      </w:r>
      <w:r>
        <w:rPr>
          <w:color w:val="231F20"/>
          <w:w w:val="105"/>
        </w:rPr>
        <w:t>tendencia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sociedades</w:t>
      </w:r>
      <w:r>
        <w:rPr>
          <w:color w:val="231F20"/>
          <w:spacing w:val="-15"/>
          <w:w w:val="105"/>
        </w:rPr>
        <w:t> </w:t>
      </w:r>
      <w:r>
        <w:rPr>
          <w:color w:val="231F20"/>
          <w:w w:val="105"/>
        </w:rPr>
        <w:t>que</w:t>
      </w:r>
      <w:r>
        <w:rPr>
          <w:color w:val="231F20"/>
          <w:spacing w:val="-15"/>
          <w:w w:val="105"/>
        </w:rPr>
        <w:t> </w:t>
      </w:r>
      <w:r>
        <w:rPr>
          <w:color w:val="231F20"/>
          <w:w w:val="105"/>
        </w:rPr>
        <w:t>han</w:t>
      </w:r>
      <w:r>
        <w:rPr>
          <w:color w:val="231F20"/>
          <w:spacing w:val="-15"/>
          <w:w w:val="105"/>
        </w:rPr>
        <w:t> </w:t>
      </w:r>
      <w:r>
        <w:rPr>
          <w:color w:val="231F20"/>
          <w:w w:val="105"/>
        </w:rPr>
        <w:t>optado</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fortalecimiento de las relaciones de civilidad, el intercambio, la participación y la corresponsabilidad para evitar la existencia de estructuras rígidas” (Uvalle, </w:t>
      </w:r>
      <w:r>
        <w:rPr>
          <w:color w:val="231F20"/>
          <w:spacing w:val="2"/>
          <w:w w:val="105"/>
        </w:rPr>
        <w:t>2005: </w:t>
      </w:r>
      <w:r>
        <w:rPr>
          <w:color w:val="231F20"/>
          <w:spacing w:val="-5"/>
          <w:w w:val="105"/>
        </w:rPr>
        <w:t>113). </w:t>
      </w:r>
      <w:r>
        <w:rPr>
          <w:color w:val="231F20"/>
          <w:w w:val="105"/>
        </w:rPr>
        <w:t>Sin embargo, las acciones del gobierno municipal petista no reflejan esa participación social que está prevista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Plan</w:t>
      </w:r>
      <w:r>
        <w:rPr>
          <w:color w:val="231F20"/>
          <w:spacing w:val="-12"/>
          <w:w w:val="105"/>
        </w:rPr>
        <w:t> </w:t>
      </w:r>
      <w:r>
        <w:rPr>
          <w:color w:val="231F20"/>
          <w:w w:val="105"/>
        </w:rPr>
        <w:t>de</w:t>
      </w:r>
      <w:r>
        <w:rPr>
          <w:color w:val="231F20"/>
          <w:spacing w:val="-12"/>
          <w:w w:val="105"/>
        </w:rPr>
        <w:t> </w:t>
      </w:r>
      <w:r>
        <w:rPr>
          <w:color w:val="231F20"/>
          <w:spacing w:val="-3"/>
          <w:w w:val="105"/>
        </w:rPr>
        <w:t>gobierno.</w:t>
      </w:r>
    </w:p>
    <w:p>
      <w:pPr>
        <w:pStyle w:val="BodyText"/>
        <w:spacing w:before="1"/>
        <w:rPr>
          <w:sz w:val="26"/>
        </w:rPr>
      </w:pPr>
    </w:p>
    <w:p>
      <w:pPr>
        <w:pStyle w:val="BodyText"/>
        <w:spacing w:line="285" w:lineRule="auto"/>
        <w:ind w:left="110" w:right="108"/>
        <w:jc w:val="both"/>
      </w:pPr>
      <w:r>
        <w:rPr>
          <w:color w:val="231F20"/>
          <w:w w:val="105"/>
        </w:rPr>
        <w:t>En</w:t>
      </w:r>
      <w:r>
        <w:rPr>
          <w:color w:val="231F20"/>
          <w:spacing w:val="-10"/>
          <w:w w:val="105"/>
        </w:rPr>
        <w:t> </w:t>
      </w:r>
      <w:r>
        <w:rPr>
          <w:color w:val="231F20"/>
          <w:w w:val="105"/>
        </w:rPr>
        <w:t>este</w:t>
      </w:r>
      <w:r>
        <w:rPr>
          <w:color w:val="231F20"/>
          <w:spacing w:val="-10"/>
          <w:w w:val="105"/>
        </w:rPr>
        <w:t> </w:t>
      </w:r>
      <w:r>
        <w:rPr>
          <w:color w:val="231F20"/>
          <w:spacing w:val="-3"/>
          <w:w w:val="105"/>
        </w:rPr>
        <w:t>contexto,</w:t>
      </w:r>
      <w:r>
        <w:rPr>
          <w:color w:val="231F20"/>
          <w:spacing w:val="-10"/>
          <w:w w:val="105"/>
        </w:rPr>
        <w:t> </w:t>
      </w:r>
      <w:r>
        <w:rPr>
          <w:color w:val="231F20"/>
          <w:spacing w:val="-3"/>
          <w:w w:val="105"/>
        </w:rPr>
        <w:t>los</w:t>
      </w:r>
      <w:r>
        <w:rPr>
          <w:color w:val="231F20"/>
          <w:spacing w:val="-10"/>
          <w:w w:val="105"/>
        </w:rPr>
        <w:t> </w:t>
      </w:r>
      <w:r>
        <w:rPr>
          <w:color w:val="231F20"/>
          <w:spacing w:val="-3"/>
          <w:w w:val="105"/>
        </w:rPr>
        <w:t>resultados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administración</w:t>
      </w:r>
      <w:r>
        <w:rPr>
          <w:color w:val="231F20"/>
          <w:spacing w:val="-10"/>
          <w:w w:val="105"/>
        </w:rPr>
        <w:t> </w:t>
      </w:r>
      <w:r>
        <w:rPr>
          <w:color w:val="231F20"/>
          <w:spacing w:val="-3"/>
          <w:w w:val="105"/>
        </w:rPr>
        <w:t>pública</w:t>
      </w:r>
      <w:r>
        <w:rPr>
          <w:color w:val="231F20"/>
          <w:spacing w:val="-10"/>
          <w:w w:val="105"/>
        </w:rPr>
        <w:t> </w:t>
      </w:r>
      <w:r>
        <w:rPr>
          <w:color w:val="231F20"/>
          <w:spacing w:val="-3"/>
          <w:w w:val="105"/>
        </w:rPr>
        <w:t>deben</w:t>
      </w:r>
      <w:r>
        <w:rPr>
          <w:color w:val="231F20"/>
          <w:spacing w:val="-10"/>
          <w:w w:val="105"/>
        </w:rPr>
        <w:t> </w:t>
      </w:r>
      <w:r>
        <w:rPr>
          <w:color w:val="231F20"/>
          <w:spacing w:val="-2"/>
          <w:w w:val="105"/>
        </w:rPr>
        <w:t>ser</w:t>
      </w:r>
      <w:r>
        <w:rPr>
          <w:color w:val="231F20"/>
          <w:spacing w:val="-10"/>
          <w:w w:val="105"/>
        </w:rPr>
        <w:t> </w:t>
      </w:r>
      <w:r>
        <w:rPr>
          <w:color w:val="231F20"/>
          <w:w w:val="105"/>
        </w:rPr>
        <w:t>claros,</w:t>
      </w:r>
      <w:r>
        <w:rPr>
          <w:color w:val="231F20"/>
          <w:spacing w:val="-10"/>
          <w:w w:val="105"/>
        </w:rPr>
        <w:t> </w:t>
      </w:r>
      <w:r>
        <w:rPr>
          <w:color w:val="231F20"/>
          <w:w w:val="105"/>
        </w:rPr>
        <w:t>tangibles, </w:t>
      </w:r>
      <w:r>
        <w:rPr>
          <w:color w:val="231F20"/>
          <w:spacing w:val="-3"/>
          <w:w w:val="105"/>
        </w:rPr>
        <w:t>pero</w:t>
      </w:r>
      <w:r>
        <w:rPr>
          <w:color w:val="231F20"/>
          <w:spacing w:val="-29"/>
          <w:w w:val="105"/>
        </w:rPr>
        <w:t> </w:t>
      </w:r>
      <w:r>
        <w:rPr>
          <w:color w:val="231F20"/>
          <w:w w:val="105"/>
        </w:rPr>
        <w:t>ante</w:t>
      </w:r>
      <w:r>
        <w:rPr>
          <w:color w:val="231F20"/>
          <w:spacing w:val="-29"/>
          <w:w w:val="105"/>
        </w:rPr>
        <w:t> </w:t>
      </w:r>
      <w:r>
        <w:rPr>
          <w:color w:val="231F20"/>
          <w:spacing w:val="-3"/>
          <w:w w:val="105"/>
        </w:rPr>
        <w:t>todo</w:t>
      </w:r>
      <w:r>
        <w:rPr>
          <w:color w:val="231F20"/>
          <w:spacing w:val="-29"/>
          <w:w w:val="105"/>
        </w:rPr>
        <w:t> </w:t>
      </w:r>
      <w:r>
        <w:rPr>
          <w:color w:val="231F20"/>
          <w:spacing w:val="-3"/>
          <w:w w:val="105"/>
        </w:rPr>
        <w:t>mesurables</w:t>
      </w:r>
      <w:r>
        <w:rPr>
          <w:color w:val="231F20"/>
          <w:spacing w:val="-29"/>
          <w:w w:val="105"/>
        </w:rPr>
        <w:t> </w:t>
      </w:r>
      <w:r>
        <w:rPr>
          <w:color w:val="231F20"/>
          <w:w w:val="105"/>
        </w:rPr>
        <w:t>y</w:t>
      </w:r>
      <w:r>
        <w:rPr>
          <w:color w:val="231F20"/>
          <w:spacing w:val="-29"/>
          <w:w w:val="105"/>
        </w:rPr>
        <w:t> </w:t>
      </w:r>
      <w:r>
        <w:rPr>
          <w:color w:val="231F20"/>
          <w:spacing w:val="-3"/>
          <w:w w:val="105"/>
        </w:rPr>
        <w:t>satisfactorios</w:t>
      </w:r>
      <w:r>
        <w:rPr>
          <w:color w:val="231F20"/>
          <w:spacing w:val="-29"/>
          <w:w w:val="105"/>
        </w:rPr>
        <w:t> </w:t>
      </w:r>
      <w:r>
        <w:rPr>
          <w:color w:val="231F20"/>
          <w:w w:val="105"/>
        </w:rPr>
        <w:t>para</w:t>
      </w:r>
      <w:r>
        <w:rPr>
          <w:color w:val="231F20"/>
          <w:spacing w:val="-29"/>
          <w:w w:val="105"/>
        </w:rPr>
        <w:t> </w:t>
      </w:r>
      <w:r>
        <w:rPr>
          <w:color w:val="231F20"/>
          <w:w w:val="105"/>
        </w:rPr>
        <w:t>la</w:t>
      </w:r>
      <w:r>
        <w:rPr>
          <w:color w:val="231F20"/>
          <w:spacing w:val="-29"/>
          <w:w w:val="105"/>
        </w:rPr>
        <w:t> </w:t>
      </w:r>
      <w:r>
        <w:rPr>
          <w:color w:val="231F20"/>
          <w:spacing w:val="-3"/>
          <w:w w:val="105"/>
        </w:rPr>
        <w:t>sociedad;</w:t>
      </w:r>
      <w:r>
        <w:rPr>
          <w:color w:val="231F20"/>
          <w:spacing w:val="-29"/>
          <w:w w:val="105"/>
        </w:rPr>
        <w:t> </w:t>
      </w:r>
      <w:r>
        <w:rPr>
          <w:color w:val="231F20"/>
          <w:spacing w:val="-3"/>
          <w:w w:val="105"/>
        </w:rPr>
        <w:t>con</w:t>
      </w:r>
      <w:r>
        <w:rPr>
          <w:color w:val="231F20"/>
          <w:spacing w:val="-29"/>
          <w:w w:val="105"/>
        </w:rPr>
        <w:t> </w:t>
      </w:r>
      <w:r>
        <w:rPr>
          <w:color w:val="231F20"/>
          <w:w w:val="105"/>
        </w:rPr>
        <w:t>ello</w:t>
      </w:r>
      <w:r>
        <w:rPr>
          <w:color w:val="231F20"/>
          <w:spacing w:val="-29"/>
          <w:w w:val="105"/>
        </w:rPr>
        <w:t> </w:t>
      </w:r>
      <w:r>
        <w:rPr>
          <w:color w:val="231F20"/>
          <w:w w:val="105"/>
        </w:rPr>
        <w:t>se</w:t>
      </w:r>
      <w:r>
        <w:rPr>
          <w:color w:val="231F20"/>
          <w:spacing w:val="-29"/>
          <w:w w:val="105"/>
        </w:rPr>
        <w:t> </w:t>
      </w:r>
      <w:r>
        <w:rPr>
          <w:color w:val="231F20"/>
          <w:w w:val="105"/>
        </w:rPr>
        <w:t>fortalece</w:t>
      </w:r>
      <w:r>
        <w:rPr>
          <w:color w:val="231F20"/>
          <w:spacing w:val="-29"/>
          <w:w w:val="105"/>
        </w:rPr>
        <w:t> </w:t>
      </w:r>
      <w:r>
        <w:rPr>
          <w:color w:val="231F20"/>
          <w:w w:val="105"/>
        </w:rPr>
        <w:t>el</w:t>
      </w:r>
      <w:r>
        <w:rPr>
          <w:color w:val="231F20"/>
          <w:spacing w:val="-29"/>
          <w:w w:val="105"/>
        </w:rPr>
        <w:t> </w:t>
      </w:r>
      <w:r>
        <w:rPr>
          <w:color w:val="231F20"/>
          <w:spacing w:val="-4"/>
          <w:w w:val="105"/>
        </w:rPr>
        <w:t>ejercicio </w:t>
      </w:r>
      <w:r>
        <w:rPr>
          <w:color w:val="231F20"/>
          <w:spacing w:val="-3"/>
          <w:w w:val="105"/>
        </w:rPr>
        <w:t>del</w:t>
      </w:r>
      <w:r>
        <w:rPr>
          <w:color w:val="231F20"/>
          <w:spacing w:val="-15"/>
          <w:w w:val="105"/>
        </w:rPr>
        <w:t> </w:t>
      </w:r>
      <w:r>
        <w:rPr>
          <w:color w:val="231F20"/>
          <w:spacing w:val="-4"/>
          <w:w w:val="105"/>
        </w:rPr>
        <w:t>gobierno</w:t>
      </w:r>
      <w:r>
        <w:rPr>
          <w:color w:val="231F20"/>
          <w:spacing w:val="-15"/>
          <w:w w:val="105"/>
        </w:rPr>
        <w:t> </w:t>
      </w:r>
      <w:r>
        <w:rPr>
          <w:color w:val="231F20"/>
          <w:spacing w:val="-3"/>
          <w:w w:val="105"/>
        </w:rPr>
        <w:t>que</w:t>
      </w:r>
      <w:r>
        <w:rPr>
          <w:color w:val="231F20"/>
          <w:spacing w:val="-15"/>
          <w:w w:val="105"/>
        </w:rPr>
        <w:t> </w:t>
      </w:r>
      <w:r>
        <w:rPr>
          <w:color w:val="231F20"/>
          <w:spacing w:val="-6"/>
          <w:w w:val="105"/>
        </w:rPr>
        <w:t>“es</w:t>
      </w:r>
      <w:r>
        <w:rPr>
          <w:color w:val="231F20"/>
          <w:spacing w:val="-15"/>
          <w:w w:val="105"/>
        </w:rPr>
        <w:t> </w:t>
      </w:r>
      <w:r>
        <w:rPr>
          <w:color w:val="231F20"/>
          <w:w w:val="105"/>
        </w:rPr>
        <w:t>la</w:t>
      </w:r>
      <w:r>
        <w:rPr>
          <w:color w:val="231F20"/>
          <w:spacing w:val="-15"/>
          <w:w w:val="105"/>
        </w:rPr>
        <w:t> </w:t>
      </w:r>
      <w:r>
        <w:rPr>
          <w:color w:val="231F20"/>
          <w:spacing w:val="-4"/>
          <w:w w:val="105"/>
        </w:rPr>
        <w:t>clave</w:t>
      </w:r>
      <w:r>
        <w:rPr>
          <w:color w:val="231F20"/>
          <w:spacing w:val="-15"/>
          <w:w w:val="105"/>
        </w:rPr>
        <w:t> </w:t>
      </w:r>
      <w:r>
        <w:rPr>
          <w:color w:val="231F20"/>
          <w:w w:val="105"/>
        </w:rPr>
        <w:t>para</w:t>
      </w:r>
      <w:r>
        <w:rPr>
          <w:color w:val="231F20"/>
          <w:spacing w:val="-15"/>
          <w:w w:val="105"/>
        </w:rPr>
        <w:t> </w:t>
      </w:r>
      <w:r>
        <w:rPr>
          <w:color w:val="231F20"/>
          <w:w w:val="105"/>
        </w:rPr>
        <w:t>identificar</w:t>
      </w:r>
      <w:r>
        <w:rPr>
          <w:color w:val="231F20"/>
          <w:spacing w:val="-15"/>
          <w:w w:val="105"/>
        </w:rPr>
        <w:t> </w:t>
      </w:r>
      <w:r>
        <w:rPr>
          <w:color w:val="231F20"/>
          <w:w w:val="105"/>
        </w:rPr>
        <w:t>el</w:t>
      </w:r>
      <w:r>
        <w:rPr>
          <w:color w:val="231F20"/>
          <w:spacing w:val="-15"/>
          <w:w w:val="105"/>
        </w:rPr>
        <w:t> </w:t>
      </w:r>
      <w:r>
        <w:rPr>
          <w:color w:val="231F20"/>
          <w:spacing w:val="-3"/>
          <w:w w:val="105"/>
        </w:rPr>
        <w:t>grado</w:t>
      </w:r>
      <w:r>
        <w:rPr>
          <w:color w:val="231F20"/>
          <w:spacing w:val="-15"/>
          <w:w w:val="105"/>
        </w:rPr>
        <w:t> </w:t>
      </w:r>
      <w:r>
        <w:rPr>
          <w:color w:val="231F20"/>
          <w:w w:val="105"/>
        </w:rPr>
        <w:t>de</w:t>
      </w:r>
      <w:r>
        <w:rPr>
          <w:color w:val="231F20"/>
          <w:spacing w:val="-15"/>
          <w:w w:val="105"/>
        </w:rPr>
        <w:t> </w:t>
      </w:r>
      <w:r>
        <w:rPr>
          <w:color w:val="231F20"/>
          <w:spacing w:val="-3"/>
          <w:w w:val="105"/>
        </w:rPr>
        <w:t>participación</w:t>
      </w:r>
      <w:r>
        <w:rPr>
          <w:color w:val="231F20"/>
          <w:spacing w:val="-15"/>
          <w:w w:val="105"/>
        </w:rPr>
        <w:t> </w:t>
      </w:r>
      <w:r>
        <w:rPr>
          <w:color w:val="231F20"/>
          <w:spacing w:val="-3"/>
          <w:w w:val="105"/>
        </w:rPr>
        <w:t>que</w:t>
      </w:r>
      <w:r>
        <w:rPr>
          <w:color w:val="231F20"/>
          <w:spacing w:val="-15"/>
          <w:w w:val="105"/>
        </w:rPr>
        <w:t> </w:t>
      </w:r>
      <w:r>
        <w:rPr>
          <w:color w:val="231F20"/>
          <w:spacing w:val="-3"/>
          <w:w w:val="105"/>
        </w:rPr>
        <w:t>los</w:t>
      </w:r>
      <w:r>
        <w:rPr>
          <w:color w:val="231F20"/>
          <w:spacing w:val="-15"/>
          <w:w w:val="105"/>
        </w:rPr>
        <w:t> </w:t>
      </w:r>
      <w:r>
        <w:rPr>
          <w:color w:val="231F20"/>
          <w:spacing w:val="-4"/>
          <w:w w:val="105"/>
        </w:rPr>
        <w:t>ciudadanos </w:t>
      </w:r>
      <w:r>
        <w:rPr>
          <w:color w:val="231F20"/>
          <w:spacing w:val="-3"/>
          <w:w w:val="105"/>
        </w:rPr>
        <w:t>tienen</w:t>
      </w:r>
      <w:r>
        <w:rPr>
          <w:color w:val="231F20"/>
          <w:spacing w:val="-25"/>
          <w:w w:val="105"/>
        </w:rPr>
        <w:t> </w:t>
      </w:r>
      <w:r>
        <w:rPr>
          <w:color w:val="231F20"/>
          <w:w w:val="105"/>
        </w:rPr>
        <w:t>para</w:t>
      </w:r>
      <w:r>
        <w:rPr>
          <w:color w:val="231F20"/>
          <w:spacing w:val="-25"/>
          <w:w w:val="105"/>
        </w:rPr>
        <w:t> </w:t>
      </w:r>
      <w:r>
        <w:rPr>
          <w:color w:val="231F20"/>
          <w:w w:val="105"/>
        </w:rPr>
        <w:t>dar</w:t>
      </w:r>
      <w:r>
        <w:rPr>
          <w:color w:val="231F20"/>
          <w:spacing w:val="-25"/>
          <w:w w:val="105"/>
        </w:rPr>
        <w:t> </w:t>
      </w:r>
      <w:r>
        <w:rPr>
          <w:color w:val="231F20"/>
          <w:w w:val="105"/>
        </w:rPr>
        <w:t>vida</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spacing w:val="-4"/>
          <w:w w:val="105"/>
        </w:rPr>
        <w:t>relaciones</w:t>
      </w:r>
      <w:r>
        <w:rPr>
          <w:color w:val="231F20"/>
          <w:spacing w:val="-25"/>
          <w:w w:val="105"/>
        </w:rPr>
        <w:t> </w:t>
      </w:r>
      <w:r>
        <w:rPr>
          <w:color w:val="231F20"/>
          <w:w w:val="105"/>
        </w:rPr>
        <w:t>de</w:t>
      </w:r>
      <w:r>
        <w:rPr>
          <w:color w:val="231F20"/>
          <w:spacing w:val="-25"/>
          <w:w w:val="105"/>
        </w:rPr>
        <w:t> </w:t>
      </w:r>
      <w:r>
        <w:rPr>
          <w:color w:val="231F20"/>
          <w:spacing w:val="-3"/>
          <w:w w:val="105"/>
        </w:rPr>
        <w:t>corresponsabilidad”</w:t>
      </w:r>
      <w:r>
        <w:rPr>
          <w:color w:val="231F20"/>
          <w:spacing w:val="-25"/>
          <w:w w:val="105"/>
        </w:rPr>
        <w:t> </w:t>
      </w:r>
      <w:r>
        <w:rPr>
          <w:color w:val="231F20"/>
          <w:w w:val="105"/>
        </w:rPr>
        <w:t>(Uvalle,</w:t>
      </w:r>
      <w:r>
        <w:rPr>
          <w:color w:val="231F20"/>
          <w:spacing w:val="-25"/>
          <w:w w:val="105"/>
        </w:rPr>
        <w:t> </w:t>
      </w:r>
      <w:r>
        <w:rPr>
          <w:color w:val="231F20"/>
          <w:w w:val="105"/>
        </w:rPr>
        <w:t>2005:</w:t>
      </w:r>
      <w:r>
        <w:rPr>
          <w:color w:val="231F20"/>
          <w:spacing w:val="-25"/>
          <w:w w:val="105"/>
        </w:rPr>
        <w:t> </w:t>
      </w:r>
      <w:r>
        <w:rPr>
          <w:color w:val="231F20"/>
          <w:spacing w:val="-5"/>
          <w:w w:val="105"/>
        </w:rPr>
        <w:t>137).</w:t>
      </w:r>
    </w:p>
    <w:p>
      <w:pPr>
        <w:pStyle w:val="BodyText"/>
        <w:spacing w:before="9"/>
      </w:pPr>
    </w:p>
    <w:p>
      <w:pPr>
        <w:pStyle w:val="Heading3"/>
        <w:numPr>
          <w:ilvl w:val="1"/>
          <w:numId w:val="33"/>
        </w:numPr>
        <w:tabs>
          <w:tab w:pos="521" w:val="left" w:leader="none"/>
        </w:tabs>
        <w:spacing w:line="240" w:lineRule="auto" w:before="0" w:after="0"/>
        <w:ind w:left="520" w:right="0" w:hanging="410"/>
        <w:jc w:val="both"/>
      </w:pPr>
      <w:r>
        <w:rPr>
          <w:color w:val="231F20"/>
          <w:w w:val="105"/>
        </w:rPr>
        <w:t>Grado</w:t>
      </w:r>
      <w:r>
        <w:rPr>
          <w:color w:val="231F20"/>
          <w:spacing w:val="-48"/>
          <w:w w:val="105"/>
        </w:rPr>
        <w:t> </w:t>
      </w:r>
      <w:r>
        <w:rPr>
          <w:color w:val="231F20"/>
          <w:w w:val="105"/>
        </w:rPr>
        <w:t>de</w:t>
      </w:r>
      <w:r>
        <w:rPr>
          <w:color w:val="231F20"/>
          <w:spacing w:val="-48"/>
          <w:w w:val="105"/>
        </w:rPr>
        <w:t> </w:t>
      </w:r>
      <w:r>
        <w:rPr>
          <w:color w:val="231F20"/>
          <w:w w:val="105"/>
        </w:rPr>
        <w:t>profesionalización</w:t>
      </w:r>
    </w:p>
    <w:p>
      <w:pPr>
        <w:pStyle w:val="BodyText"/>
        <w:spacing w:line="285" w:lineRule="auto" w:before="38"/>
        <w:ind w:left="110" w:right="107"/>
        <w:jc w:val="both"/>
      </w:pPr>
      <w:r>
        <w:rPr>
          <w:color w:val="231F20"/>
          <w:w w:val="105"/>
        </w:rPr>
        <w:t>En el marco de la Nueva Gestión Pública también es indispensable que exista una </w:t>
      </w:r>
      <w:r>
        <w:rPr>
          <w:color w:val="231F20"/>
          <w:spacing w:val="-3"/>
          <w:w w:val="105"/>
        </w:rPr>
        <w:t>ad- </w:t>
      </w:r>
      <w:r>
        <w:rPr>
          <w:color w:val="231F20"/>
          <w:w w:val="105"/>
        </w:rPr>
        <w:t>ministración profesional y moderna que tenga sus bases en la racionalidad </w:t>
      </w:r>
      <w:r>
        <w:rPr>
          <w:color w:val="231F20"/>
          <w:spacing w:val="-3"/>
          <w:w w:val="105"/>
        </w:rPr>
        <w:t>donde </w:t>
      </w:r>
      <w:r>
        <w:rPr>
          <w:color w:val="231F20"/>
          <w:w w:val="105"/>
        </w:rPr>
        <w:t>un instrumento indispensable sea la planeación. </w:t>
      </w:r>
      <w:r>
        <w:rPr>
          <w:color w:val="231F20"/>
          <w:spacing w:val="-6"/>
          <w:w w:val="105"/>
        </w:rPr>
        <w:t>Tener </w:t>
      </w:r>
      <w:r>
        <w:rPr>
          <w:color w:val="231F20"/>
          <w:w w:val="105"/>
        </w:rPr>
        <w:t>claros los fines y los programas prioritarios es un requisito para lograr los objetivos gubernamentales para que exista un impacto positivo y claramente perceptible en la sociedad. Sin embargo, el nivel de profesionalización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cargos</w:t>
      </w:r>
      <w:r>
        <w:rPr>
          <w:color w:val="231F20"/>
          <w:spacing w:val="-15"/>
          <w:w w:val="105"/>
        </w:rPr>
        <w:t> </w:t>
      </w:r>
      <w:r>
        <w:rPr>
          <w:color w:val="231F20"/>
          <w:w w:val="105"/>
        </w:rPr>
        <w:t>directivos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municipio</w:t>
      </w:r>
      <w:r>
        <w:rPr>
          <w:color w:val="231F20"/>
          <w:spacing w:val="-15"/>
          <w:w w:val="105"/>
        </w:rPr>
        <w:t> </w:t>
      </w:r>
      <w:r>
        <w:rPr>
          <w:color w:val="231F20"/>
          <w:w w:val="105"/>
        </w:rPr>
        <w:t>son</w:t>
      </w:r>
      <w:r>
        <w:rPr>
          <w:color w:val="231F20"/>
          <w:spacing w:val="-15"/>
          <w:w w:val="105"/>
        </w:rPr>
        <w:t> </w:t>
      </w:r>
      <w:r>
        <w:rPr>
          <w:color w:val="231F20"/>
          <w:w w:val="105"/>
        </w:rPr>
        <w:t>bajos;</w:t>
      </w:r>
      <w:r>
        <w:rPr>
          <w:color w:val="231F20"/>
          <w:spacing w:val="-15"/>
          <w:w w:val="105"/>
        </w:rPr>
        <w:t> </w:t>
      </w:r>
      <w:r>
        <w:rPr>
          <w:color w:val="231F20"/>
          <w:w w:val="105"/>
        </w:rPr>
        <w:t>a</w:t>
      </w:r>
      <w:r>
        <w:rPr>
          <w:color w:val="231F20"/>
          <w:spacing w:val="-15"/>
          <w:w w:val="105"/>
        </w:rPr>
        <w:t> </w:t>
      </w:r>
      <w:r>
        <w:rPr>
          <w:color w:val="231F20"/>
          <w:w w:val="105"/>
        </w:rPr>
        <w:t>continuación</w:t>
      </w:r>
      <w:r>
        <w:rPr>
          <w:color w:val="231F20"/>
          <w:spacing w:val="-15"/>
          <w:w w:val="105"/>
        </w:rPr>
        <w:t> </w:t>
      </w:r>
      <w:r>
        <w:rPr>
          <w:color w:val="231F20"/>
          <w:w w:val="105"/>
        </w:rPr>
        <w:t>se presenta un cuadro </w:t>
      </w:r>
      <w:r>
        <w:rPr>
          <w:color w:val="231F20"/>
          <w:spacing w:val="-3"/>
          <w:w w:val="105"/>
        </w:rPr>
        <w:t>donde </w:t>
      </w:r>
      <w:r>
        <w:rPr>
          <w:color w:val="231F20"/>
          <w:w w:val="105"/>
        </w:rPr>
        <w:t>se puede observar esta</w:t>
      </w:r>
      <w:r>
        <w:rPr>
          <w:color w:val="231F20"/>
          <w:spacing w:val="-34"/>
          <w:w w:val="105"/>
        </w:rPr>
        <w:t> </w:t>
      </w:r>
      <w:r>
        <w:rPr>
          <w:color w:val="231F20"/>
          <w:w w:val="105"/>
        </w:rPr>
        <w:t>situación:</w:t>
      </w:r>
    </w:p>
    <w:p>
      <w:pPr>
        <w:spacing w:after="0" w:line="285" w:lineRule="auto"/>
        <w:jc w:val="both"/>
        <w:sectPr>
          <w:pgSz w:w="9640" w:h="12190"/>
          <w:pgMar w:header="0" w:footer="743" w:top="1120" w:bottom="940" w:left="740" w:right="740"/>
        </w:sectPr>
      </w:pPr>
    </w:p>
    <w:p>
      <w:pPr>
        <w:pStyle w:val="Heading5"/>
        <w:spacing w:line="285" w:lineRule="auto" w:before="27"/>
        <w:ind w:left="2531" w:right="0" w:hanging="2427"/>
      </w:pPr>
      <w:r>
        <w:rPr>
          <w:color w:val="231F20"/>
          <w:w w:val="105"/>
        </w:rPr>
        <w:t>Cuadro</w:t>
      </w:r>
      <w:r>
        <w:rPr>
          <w:color w:val="231F20"/>
          <w:spacing w:val="-16"/>
          <w:w w:val="105"/>
        </w:rPr>
        <w:t> </w:t>
      </w:r>
      <w:r>
        <w:rPr>
          <w:color w:val="231F20"/>
          <w:w w:val="105"/>
        </w:rPr>
        <w:t>8:</w:t>
      </w:r>
      <w:r>
        <w:rPr>
          <w:color w:val="231F20"/>
          <w:spacing w:val="-16"/>
          <w:w w:val="105"/>
        </w:rPr>
        <w:t> </w:t>
      </w:r>
      <w:r>
        <w:rPr>
          <w:color w:val="231F20"/>
          <w:w w:val="105"/>
        </w:rPr>
        <w:t>Grado</w:t>
      </w:r>
      <w:r>
        <w:rPr>
          <w:color w:val="231F20"/>
          <w:spacing w:val="-16"/>
          <w:w w:val="105"/>
        </w:rPr>
        <w:t> </w:t>
      </w:r>
      <w:r>
        <w:rPr>
          <w:color w:val="231F20"/>
          <w:spacing w:val="2"/>
          <w:w w:val="105"/>
        </w:rPr>
        <w:t>Máximo</w:t>
      </w:r>
      <w:r>
        <w:rPr>
          <w:color w:val="231F20"/>
          <w:spacing w:val="-16"/>
          <w:w w:val="105"/>
        </w:rPr>
        <w:t> </w:t>
      </w:r>
      <w:r>
        <w:rPr>
          <w:color w:val="231F20"/>
          <w:w w:val="105"/>
        </w:rPr>
        <w:t>de</w:t>
      </w:r>
      <w:r>
        <w:rPr>
          <w:color w:val="231F20"/>
          <w:spacing w:val="-16"/>
          <w:w w:val="105"/>
        </w:rPr>
        <w:t> </w:t>
      </w:r>
      <w:r>
        <w:rPr>
          <w:color w:val="231F20"/>
          <w:w w:val="105"/>
        </w:rPr>
        <w:t>estudios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funcionarios</w:t>
      </w:r>
      <w:r>
        <w:rPr>
          <w:color w:val="231F20"/>
          <w:spacing w:val="-16"/>
          <w:w w:val="105"/>
        </w:rPr>
        <w:t> </w:t>
      </w:r>
      <w:r>
        <w:rPr>
          <w:color w:val="231F20"/>
          <w:w w:val="105"/>
        </w:rPr>
        <w:t>del</w:t>
      </w:r>
      <w:r>
        <w:rPr>
          <w:color w:val="231F20"/>
          <w:spacing w:val="-16"/>
          <w:w w:val="105"/>
        </w:rPr>
        <w:t> </w:t>
      </w:r>
      <w:r>
        <w:rPr>
          <w:color w:val="231F20"/>
          <w:w w:val="105"/>
        </w:rPr>
        <w:t>municipio</w:t>
      </w:r>
      <w:r>
        <w:rPr>
          <w:color w:val="231F20"/>
          <w:spacing w:val="-16"/>
          <w:w w:val="105"/>
        </w:rPr>
        <w:t> </w:t>
      </w:r>
      <w:r>
        <w:rPr>
          <w:color w:val="231F20"/>
          <w:w w:val="105"/>
        </w:rPr>
        <w:t>de Ozumba de Alzate</w:t>
      </w:r>
      <w:r>
        <w:rPr>
          <w:color w:val="231F20"/>
          <w:spacing w:val="-25"/>
          <w:w w:val="105"/>
        </w:rPr>
        <w:t> </w:t>
      </w:r>
      <w:r>
        <w:rPr>
          <w:color w:val="231F20"/>
          <w:spacing w:val="2"/>
          <w:w w:val="105"/>
        </w:rPr>
        <w:t>2009</w:t>
      </w:r>
    </w:p>
    <w:p>
      <w:pPr>
        <w:pStyle w:val="BodyText"/>
        <w:spacing w:before="10"/>
        <w:rPr>
          <w:b/>
          <w:sz w:val="24"/>
        </w:rPr>
      </w:pPr>
    </w:p>
    <w:tbl>
      <w:tblPr>
        <w:tblW w:w="0" w:type="auto"/>
        <w:jc w:val="left"/>
        <w:tblInd w:w="58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267"/>
        <w:gridCol w:w="2947"/>
      </w:tblGrid>
      <w:tr>
        <w:trPr>
          <w:trHeight w:val="130" w:hRule="exact"/>
        </w:trPr>
        <w:tc>
          <w:tcPr>
            <w:tcW w:w="3267" w:type="dxa"/>
          </w:tcPr>
          <w:p>
            <w:pPr>
              <w:pStyle w:val="TableParagraph"/>
              <w:spacing w:line="160" w:lineRule="exact"/>
              <w:rPr>
                <w:sz w:val="16"/>
              </w:rPr>
            </w:pPr>
            <w:r>
              <w:rPr>
                <w:color w:val="231F20"/>
                <w:w w:val="80"/>
                <w:sz w:val="16"/>
              </w:rPr>
              <w:t>CARGO</w:t>
            </w:r>
          </w:p>
        </w:tc>
        <w:tc>
          <w:tcPr>
            <w:tcW w:w="2947" w:type="dxa"/>
          </w:tcPr>
          <w:p>
            <w:pPr>
              <w:pStyle w:val="TableParagraph"/>
              <w:spacing w:line="160" w:lineRule="exact"/>
              <w:rPr>
                <w:sz w:val="16"/>
              </w:rPr>
            </w:pPr>
            <w:r>
              <w:rPr>
                <w:color w:val="231F20"/>
                <w:w w:val="75"/>
                <w:sz w:val="16"/>
              </w:rPr>
              <w:t>GRADO MAXIMO DE ESTUDIOS</w:t>
            </w:r>
          </w:p>
        </w:tc>
      </w:tr>
      <w:tr>
        <w:trPr>
          <w:trHeight w:val="221" w:hRule="exact"/>
        </w:trPr>
        <w:tc>
          <w:tcPr>
            <w:tcW w:w="3267" w:type="dxa"/>
          </w:tcPr>
          <w:p>
            <w:pPr>
              <w:pStyle w:val="TableParagraph"/>
              <w:spacing w:line="163" w:lineRule="exact"/>
              <w:rPr>
                <w:sz w:val="16"/>
              </w:rPr>
            </w:pPr>
            <w:r>
              <w:rPr>
                <w:color w:val="231F20"/>
                <w:w w:val="85"/>
                <w:sz w:val="16"/>
              </w:rPr>
              <w:t>PRESIDENTE</w:t>
            </w:r>
          </w:p>
        </w:tc>
        <w:tc>
          <w:tcPr>
            <w:tcW w:w="2947" w:type="dxa"/>
          </w:tcPr>
          <w:p>
            <w:pPr>
              <w:pStyle w:val="TableParagraph"/>
              <w:spacing w:line="163" w:lineRule="exact"/>
              <w:rPr>
                <w:sz w:val="16"/>
              </w:rPr>
            </w:pPr>
            <w:r>
              <w:rPr>
                <w:color w:val="231F20"/>
                <w:w w:val="85"/>
                <w:sz w:val="16"/>
              </w:rPr>
              <w:t>PREPARATORIA</w:t>
            </w:r>
          </w:p>
        </w:tc>
      </w:tr>
      <w:tr>
        <w:trPr>
          <w:trHeight w:val="207" w:hRule="exact"/>
        </w:trPr>
        <w:tc>
          <w:tcPr>
            <w:tcW w:w="3267" w:type="dxa"/>
          </w:tcPr>
          <w:p>
            <w:pPr>
              <w:pStyle w:val="TableParagraph"/>
              <w:spacing w:line="163" w:lineRule="exact"/>
              <w:rPr>
                <w:sz w:val="16"/>
              </w:rPr>
            </w:pPr>
            <w:r>
              <w:rPr>
                <w:color w:val="231F20"/>
                <w:w w:val="85"/>
                <w:sz w:val="16"/>
              </w:rPr>
              <w:t>SÍNDICO</w:t>
            </w:r>
          </w:p>
        </w:tc>
        <w:tc>
          <w:tcPr>
            <w:tcW w:w="2947" w:type="dxa"/>
          </w:tcPr>
          <w:p>
            <w:pPr>
              <w:pStyle w:val="TableParagraph"/>
              <w:spacing w:line="163" w:lineRule="exact"/>
              <w:rPr>
                <w:sz w:val="16"/>
              </w:rPr>
            </w:pPr>
            <w:r>
              <w:rPr>
                <w:color w:val="231F20"/>
                <w:w w:val="85"/>
                <w:sz w:val="16"/>
              </w:rPr>
              <w:t>PREPARATORIA</w:t>
            </w:r>
          </w:p>
        </w:tc>
      </w:tr>
      <w:tr>
        <w:trPr>
          <w:trHeight w:val="245" w:hRule="exact"/>
        </w:trPr>
        <w:tc>
          <w:tcPr>
            <w:tcW w:w="3267" w:type="dxa"/>
          </w:tcPr>
          <w:p>
            <w:pPr>
              <w:pStyle w:val="TableParagraph"/>
              <w:spacing w:line="163" w:lineRule="exact"/>
              <w:rPr>
                <w:sz w:val="16"/>
              </w:rPr>
            </w:pPr>
            <w:r>
              <w:rPr>
                <w:color w:val="231F20"/>
                <w:w w:val="70"/>
                <w:sz w:val="16"/>
              </w:rPr>
              <w:t>SECRETARIO DEL  AYUNTAMIENTO</w:t>
            </w:r>
          </w:p>
        </w:tc>
        <w:tc>
          <w:tcPr>
            <w:tcW w:w="2947" w:type="dxa"/>
          </w:tcPr>
          <w:p>
            <w:pPr>
              <w:pStyle w:val="TableParagraph"/>
              <w:spacing w:line="163" w:lineRule="exact"/>
              <w:rPr>
                <w:sz w:val="16"/>
              </w:rPr>
            </w:pPr>
            <w:r>
              <w:rPr>
                <w:color w:val="231F20"/>
                <w:w w:val="75"/>
                <w:sz w:val="16"/>
              </w:rPr>
              <w:t>MAESTRIA EDUCATIVA</w:t>
            </w:r>
          </w:p>
        </w:tc>
      </w:tr>
      <w:tr>
        <w:trPr>
          <w:trHeight w:val="243" w:hRule="exact"/>
        </w:trPr>
        <w:tc>
          <w:tcPr>
            <w:tcW w:w="3267" w:type="dxa"/>
          </w:tcPr>
          <w:p>
            <w:pPr>
              <w:pStyle w:val="TableParagraph"/>
              <w:spacing w:line="163" w:lineRule="exact"/>
              <w:rPr>
                <w:sz w:val="16"/>
              </w:rPr>
            </w:pPr>
            <w:r>
              <w:rPr>
                <w:color w:val="231F20"/>
                <w:w w:val="85"/>
                <w:sz w:val="16"/>
              </w:rPr>
              <w:t>TESORERO</w:t>
            </w:r>
          </w:p>
        </w:tc>
        <w:tc>
          <w:tcPr>
            <w:tcW w:w="2947" w:type="dxa"/>
          </w:tcPr>
          <w:p>
            <w:pPr>
              <w:pStyle w:val="TableParagraph"/>
              <w:spacing w:line="163" w:lineRule="exact"/>
              <w:rPr>
                <w:sz w:val="16"/>
              </w:rPr>
            </w:pPr>
            <w:r>
              <w:rPr>
                <w:color w:val="231F20"/>
                <w:w w:val="70"/>
                <w:sz w:val="16"/>
              </w:rPr>
              <w:t>CONTADOR  PÚBLICO</w:t>
            </w:r>
          </w:p>
        </w:tc>
      </w:tr>
      <w:tr>
        <w:trPr>
          <w:trHeight w:val="200" w:hRule="exact"/>
        </w:trPr>
        <w:tc>
          <w:tcPr>
            <w:tcW w:w="3267" w:type="dxa"/>
          </w:tcPr>
          <w:p>
            <w:pPr>
              <w:pStyle w:val="TableParagraph"/>
              <w:spacing w:line="163" w:lineRule="exact"/>
              <w:rPr>
                <w:sz w:val="16"/>
              </w:rPr>
            </w:pPr>
            <w:r>
              <w:rPr>
                <w:color w:val="231F20"/>
                <w:w w:val="75"/>
                <w:sz w:val="16"/>
              </w:rPr>
              <w:t>JUEZ CONCILIADOR</w:t>
            </w:r>
          </w:p>
        </w:tc>
        <w:tc>
          <w:tcPr>
            <w:tcW w:w="2947" w:type="dxa"/>
          </w:tcPr>
          <w:p>
            <w:pPr>
              <w:pStyle w:val="TableParagraph"/>
              <w:spacing w:line="163" w:lineRule="exact"/>
              <w:rPr>
                <w:sz w:val="16"/>
              </w:rPr>
            </w:pPr>
            <w:r>
              <w:rPr>
                <w:color w:val="231F20"/>
                <w:w w:val="75"/>
                <w:sz w:val="16"/>
              </w:rPr>
              <w:t>LIC. DERECHO</w:t>
            </w:r>
          </w:p>
        </w:tc>
      </w:tr>
      <w:tr>
        <w:trPr>
          <w:trHeight w:val="235" w:hRule="exact"/>
        </w:trPr>
        <w:tc>
          <w:tcPr>
            <w:tcW w:w="3267" w:type="dxa"/>
          </w:tcPr>
          <w:p>
            <w:pPr>
              <w:pStyle w:val="TableParagraph"/>
              <w:spacing w:line="163" w:lineRule="exact"/>
              <w:rPr>
                <w:sz w:val="16"/>
              </w:rPr>
            </w:pPr>
            <w:r>
              <w:rPr>
                <w:color w:val="231F20"/>
                <w:w w:val="75"/>
                <w:sz w:val="16"/>
              </w:rPr>
              <w:t>1ER. REGIDOR</w:t>
            </w:r>
          </w:p>
        </w:tc>
        <w:tc>
          <w:tcPr>
            <w:tcW w:w="2947" w:type="dxa"/>
          </w:tcPr>
          <w:p>
            <w:pPr>
              <w:pStyle w:val="TableParagraph"/>
              <w:spacing w:line="163" w:lineRule="exact"/>
              <w:rPr>
                <w:sz w:val="16"/>
              </w:rPr>
            </w:pPr>
            <w:r>
              <w:rPr>
                <w:color w:val="231F20"/>
                <w:w w:val="85"/>
                <w:sz w:val="16"/>
              </w:rPr>
              <w:t>SECUNDARIA</w:t>
            </w:r>
          </w:p>
        </w:tc>
      </w:tr>
      <w:tr>
        <w:trPr>
          <w:trHeight w:val="231" w:hRule="exact"/>
        </w:trPr>
        <w:tc>
          <w:tcPr>
            <w:tcW w:w="3267" w:type="dxa"/>
          </w:tcPr>
          <w:p>
            <w:pPr>
              <w:pStyle w:val="TableParagraph"/>
              <w:spacing w:line="163" w:lineRule="exact"/>
              <w:rPr>
                <w:sz w:val="16"/>
              </w:rPr>
            </w:pPr>
            <w:r>
              <w:rPr>
                <w:color w:val="231F20"/>
                <w:w w:val="75"/>
                <w:sz w:val="16"/>
              </w:rPr>
              <w:t>2º. REGIDOR</w:t>
            </w:r>
          </w:p>
        </w:tc>
        <w:tc>
          <w:tcPr>
            <w:tcW w:w="2947" w:type="dxa"/>
          </w:tcPr>
          <w:p>
            <w:pPr>
              <w:pStyle w:val="TableParagraph"/>
              <w:spacing w:line="163" w:lineRule="exact"/>
              <w:rPr>
                <w:sz w:val="16"/>
              </w:rPr>
            </w:pPr>
            <w:r>
              <w:rPr>
                <w:color w:val="231F20"/>
                <w:w w:val="80"/>
                <w:sz w:val="16"/>
              </w:rPr>
              <w:t>TECNICO</w:t>
            </w:r>
          </w:p>
        </w:tc>
      </w:tr>
      <w:tr>
        <w:trPr>
          <w:trHeight w:val="228" w:hRule="exact"/>
        </w:trPr>
        <w:tc>
          <w:tcPr>
            <w:tcW w:w="3267" w:type="dxa"/>
          </w:tcPr>
          <w:p>
            <w:pPr>
              <w:pStyle w:val="TableParagraph"/>
              <w:spacing w:line="163" w:lineRule="exact"/>
              <w:rPr>
                <w:sz w:val="16"/>
              </w:rPr>
            </w:pPr>
            <w:r>
              <w:rPr>
                <w:color w:val="231F20"/>
                <w:w w:val="75"/>
                <w:sz w:val="16"/>
              </w:rPr>
              <w:t>3er. REGIDOR</w:t>
            </w:r>
          </w:p>
        </w:tc>
        <w:tc>
          <w:tcPr>
            <w:tcW w:w="2947" w:type="dxa"/>
          </w:tcPr>
          <w:p>
            <w:pPr>
              <w:pStyle w:val="TableParagraph"/>
              <w:spacing w:line="163" w:lineRule="exact"/>
              <w:rPr>
                <w:sz w:val="16"/>
              </w:rPr>
            </w:pPr>
            <w:r>
              <w:rPr>
                <w:color w:val="231F20"/>
                <w:w w:val="85"/>
                <w:sz w:val="16"/>
              </w:rPr>
              <w:t>SECUNDARIA</w:t>
            </w:r>
          </w:p>
        </w:tc>
      </w:tr>
      <w:tr>
        <w:trPr>
          <w:trHeight w:val="206" w:hRule="exact"/>
        </w:trPr>
        <w:tc>
          <w:tcPr>
            <w:tcW w:w="3267" w:type="dxa"/>
          </w:tcPr>
          <w:p>
            <w:pPr>
              <w:pStyle w:val="TableParagraph"/>
              <w:spacing w:line="163" w:lineRule="exact"/>
              <w:rPr>
                <w:sz w:val="16"/>
              </w:rPr>
            </w:pPr>
            <w:r>
              <w:rPr>
                <w:color w:val="231F20"/>
                <w:w w:val="70"/>
                <w:sz w:val="16"/>
              </w:rPr>
              <w:t>4º. REGIDOR</w:t>
            </w:r>
          </w:p>
        </w:tc>
        <w:tc>
          <w:tcPr>
            <w:tcW w:w="2947" w:type="dxa"/>
          </w:tcPr>
          <w:p>
            <w:pPr>
              <w:pStyle w:val="TableParagraph"/>
              <w:spacing w:line="163" w:lineRule="exact"/>
              <w:rPr>
                <w:sz w:val="16"/>
              </w:rPr>
            </w:pPr>
            <w:r>
              <w:rPr>
                <w:color w:val="231F20"/>
                <w:w w:val="85"/>
                <w:sz w:val="16"/>
              </w:rPr>
              <w:t>SECUNDARIA</w:t>
            </w:r>
          </w:p>
        </w:tc>
      </w:tr>
      <w:tr>
        <w:trPr>
          <w:trHeight w:val="221" w:hRule="exact"/>
        </w:trPr>
        <w:tc>
          <w:tcPr>
            <w:tcW w:w="3267" w:type="dxa"/>
          </w:tcPr>
          <w:p>
            <w:pPr>
              <w:pStyle w:val="TableParagraph"/>
              <w:spacing w:line="163" w:lineRule="exact"/>
              <w:rPr>
                <w:sz w:val="16"/>
              </w:rPr>
            </w:pPr>
            <w:r>
              <w:rPr>
                <w:color w:val="231F20"/>
                <w:w w:val="75"/>
                <w:sz w:val="16"/>
              </w:rPr>
              <w:t>5º. REGIDOR</w:t>
            </w:r>
          </w:p>
        </w:tc>
        <w:tc>
          <w:tcPr>
            <w:tcW w:w="2947" w:type="dxa"/>
          </w:tcPr>
          <w:p>
            <w:pPr>
              <w:pStyle w:val="TableParagraph"/>
              <w:spacing w:line="163" w:lineRule="exact"/>
              <w:rPr>
                <w:sz w:val="16"/>
              </w:rPr>
            </w:pPr>
            <w:r>
              <w:rPr>
                <w:color w:val="231F20"/>
                <w:w w:val="85"/>
                <w:sz w:val="16"/>
              </w:rPr>
              <w:t>SECUNDARIA</w:t>
            </w:r>
          </w:p>
        </w:tc>
      </w:tr>
      <w:tr>
        <w:trPr>
          <w:trHeight w:val="248" w:hRule="exact"/>
        </w:trPr>
        <w:tc>
          <w:tcPr>
            <w:tcW w:w="3267" w:type="dxa"/>
          </w:tcPr>
          <w:p>
            <w:pPr>
              <w:pStyle w:val="TableParagraph"/>
              <w:spacing w:line="163" w:lineRule="exact"/>
              <w:rPr>
                <w:sz w:val="16"/>
              </w:rPr>
            </w:pPr>
            <w:r>
              <w:rPr>
                <w:color w:val="231F20"/>
                <w:w w:val="70"/>
                <w:sz w:val="16"/>
              </w:rPr>
              <w:t>6º. REGIDOR</w:t>
            </w:r>
          </w:p>
        </w:tc>
        <w:tc>
          <w:tcPr>
            <w:tcW w:w="2947" w:type="dxa"/>
          </w:tcPr>
          <w:p>
            <w:pPr>
              <w:pStyle w:val="TableParagraph"/>
              <w:spacing w:line="163" w:lineRule="exact"/>
              <w:rPr>
                <w:sz w:val="16"/>
              </w:rPr>
            </w:pPr>
            <w:r>
              <w:rPr>
                <w:color w:val="231F20"/>
                <w:w w:val="85"/>
                <w:sz w:val="16"/>
              </w:rPr>
              <w:t>INGENIERO</w:t>
            </w:r>
          </w:p>
        </w:tc>
      </w:tr>
      <w:tr>
        <w:trPr>
          <w:trHeight w:val="268" w:hRule="exact"/>
        </w:trPr>
        <w:tc>
          <w:tcPr>
            <w:tcW w:w="3267" w:type="dxa"/>
          </w:tcPr>
          <w:p>
            <w:pPr>
              <w:pStyle w:val="TableParagraph"/>
              <w:spacing w:line="163" w:lineRule="exact"/>
              <w:rPr>
                <w:sz w:val="16"/>
              </w:rPr>
            </w:pPr>
            <w:r>
              <w:rPr>
                <w:color w:val="231F20"/>
                <w:w w:val="70"/>
                <w:sz w:val="16"/>
              </w:rPr>
              <w:t>7º. REGIDOR</w:t>
            </w:r>
          </w:p>
        </w:tc>
        <w:tc>
          <w:tcPr>
            <w:tcW w:w="2947" w:type="dxa"/>
          </w:tcPr>
          <w:p>
            <w:pPr>
              <w:pStyle w:val="TableParagraph"/>
              <w:spacing w:line="163" w:lineRule="exact"/>
              <w:rPr>
                <w:sz w:val="16"/>
              </w:rPr>
            </w:pPr>
            <w:r>
              <w:rPr>
                <w:color w:val="231F20"/>
                <w:w w:val="85"/>
                <w:sz w:val="16"/>
              </w:rPr>
              <w:t>LICENCIATURA</w:t>
            </w:r>
          </w:p>
        </w:tc>
      </w:tr>
      <w:tr>
        <w:trPr>
          <w:trHeight w:val="240" w:hRule="exact"/>
        </w:trPr>
        <w:tc>
          <w:tcPr>
            <w:tcW w:w="3267" w:type="dxa"/>
          </w:tcPr>
          <w:p>
            <w:pPr>
              <w:pStyle w:val="TableParagraph"/>
              <w:spacing w:line="163" w:lineRule="exact"/>
              <w:rPr>
                <w:sz w:val="16"/>
              </w:rPr>
            </w:pPr>
            <w:r>
              <w:rPr>
                <w:color w:val="231F20"/>
                <w:w w:val="75"/>
                <w:sz w:val="16"/>
              </w:rPr>
              <w:t>8º. REGIDOR</w:t>
            </w:r>
          </w:p>
        </w:tc>
        <w:tc>
          <w:tcPr>
            <w:tcW w:w="2947" w:type="dxa"/>
          </w:tcPr>
          <w:p>
            <w:pPr>
              <w:pStyle w:val="TableParagraph"/>
              <w:spacing w:line="163" w:lineRule="exact"/>
              <w:rPr>
                <w:sz w:val="16"/>
              </w:rPr>
            </w:pPr>
            <w:r>
              <w:rPr>
                <w:color w:val="231F20"/>
                <w:w w:val="70"/>
                <w:sz w:val="16"/>
              </w:rPr>
              <w:t>TEC.  CONTABILIDAD</w:t>
            </w:r>
          </w:p>
        </w:tc>
      </w:tr>
      <w:tr>
        <w:trPr>
          <w:trHeight w:val="228" w:hRule="exact"/>
        </w:trPr>
        <w:tc>
          <w:tcPr>
            <w:tcW w:w="3267" w:type="dxa"/>
          </w:tcPr>
          <w:p>
            <w:pPr>
              <w:pStyle w:val="TableParagraph"/>
              <w:spacing w:line="163" w:lineRule="exact"/>
              <w:rPr>
                <w:sz w:val="16"/>
              </w:rPr>
            </w:pPr>
            <w:r>
              <w:rPr>
                <w:color w:val="231F20"/>
                <w:w w:val="75"/>
                <w:sz w:val="16"/>
              </w:rPr>
              <w:t>9º. REGIDOR</w:t>
            </w:r>
          </w:p>
        </w:tc>
        <w:tc>
          <w:tcPr>
            <w:tcW w:w="2947" w:type="dxa"/>
          </w:tcPr>
          <w:p>
            <w:pPr>
              <w:pStyle w:val="TableParagraph"/>
              <w:spacing w:line="163" w:lineRule="exact"/>
              <w:rPr>
                <w:sz w:val="16"/>
              </w:rPr>
            </w:pPr>
            <w:r>
              <w:rPr>
                <w:color w:val="231F20"/>
                <w:w w:val="85"/>
                <w:sz w:val="16"/>
              </w:rPr>
              <w:t>LICENCIATURA</w:t>
            </w:r>
          </w:p>
        </w:tc>
      </w:tr>
      <w:tr>
        <w:trPr>
          <w:trHeight w:val="219" w:hRule="exact"/>
        </w:trPr>
        <w:tc>
          <w:tcPr>
            <w:tcW w:w="3267" w:type="dxa"/>
          </w:tcPr>
          <w:p>
            <w:pPr>
              <w:pStyle w:val="TableParagraph"/>
              <w:spacing w:line="163" w:lineRule="exact"/>
              <w:rPr>
                <w:sz w:val="16"/>
              </w:rPr>
            </w:pPr>
            <w:r>
              <w:rPr>
                <w:color w:val="231F20"/>
                <w:w w:val="75"/>
                <w:sz w:val="16"/>
              </w:rPr>
              <w:t>10º. REGIDOR</w:t>
            </w:r>
          </w:p>
        </w:tc>
        <w:tc>
          <w:tcPr>
            <w:tcW w:w="2947" w:type="dxa"/>
          </w:tcPr>
          <w:p>
            <w:pPr>
              <w:pStyle w:val="TableParagraph"/>
              <w:spacing w:line="163" w:lineRule="exact"/>
              <w:rPr>
                <w:sz w:val="16"/>
              </w:rPr>
            </w:pPr>
            <w:r>
              <w:rPr>
                <w:color w:val="231F20"/>
                <w:w w:val="85"/>
                <w:sz w:val="16"/>
              </w:rPr>
              <w:t>SECUNDARIA</w:t>
            </w:r>
          </w:p>
        </w:tc>
      </w:tr>
      <w:tr>
        <w:trPr>
          <w:trHeight w:val="230" w:hRule="exact"/>
        </w:trPr>
        <w:tc>
          <w:tcPr>
            <w:tcW w:w="3267" w:type="dxa"/>
          </w:tcPr>
          <w:p>
            <w:pPr>
              <w:pStyle w:val="TableParagraph"/>
              <w:spacing w:line="163" w:lineRule="exact"/>
              <w:rPr>
                <w:sz w:val="16"/>
              </w:rPr>
            </w:pPr>
            <w:r>
              <w:rPr>
                <w:color w:val="231F20"/>
                <w:w w:val="75"/>
                <w:sz w:val="16"/>
              </w:rPr>
              <w:t>DIRECTOR ADMON. PERSONAL</w:t>
            </w:r>
          </w:p>
        </w:tc>
        <w:tc>
          <w:tcPr>
            <w:tcW w:w="2947" w:type="dxa"/>
          </w:tcPr>
          <w:p>
            <w:pPr>
              <w:pStyle w:val="TableParagraph"/>
              <w:spacing w:line="163" w:lineRule="exact"/>
              <w:rPr>
                <w:sz w:val="16"/>
              </w:rPr>
            </w:pPr>
            <w:r>
              <w:rPr>
                <w:color w:val="231F20"/>
                <w:w w:val="85"/>
                <w:sz w:val="16"/>
              </w:rPr>
              <w:t>PREPARATORIA</w:t>
            </w:r>
          </w:p>
        </w:tc>
      </w:tr>
      <w:tr>
        <w:trPr>
          <w:trHeight w:val="226" w:hRule="exact"/>
        </w:trPr>
        <w:tc>
          <w:tcPr>
            <w:tcW w:w="3267" w:type="dxa"/>
          </w:tcPr>
          <w:p>
            <w:pPr>
              <w:pStyle w:val="TableParagraph"/>
              <w:spacing w:line="163" w:lineRule="exact"/>
              <w:rPr>
                <w:sz w:val="16"/>
              </w:rPr>
            </w:pPr>
            <w:r>
              <w:rPr>
                <w:color w:val="231F20"/>
                <w:w w:val="75"/>
                <w:sz w:val="16"/>
              </w:rPr>
              <w:t>DIRECTOR SEGURIDAD PÚBLICA</w:t>
            </w:r>
          </w:p>
        </w:tc>
        <w:tc>
          <w:tcPr>
            <w:tcW w:w="2947" w:type="dxa"/>
          </w:tcPr>
          <w:p>
            <w:pPr>
              <w:pStyle w:val="TableParagraph"/>
              <w:spacing w:line="163" w:lineRule="exact"/>
              <w:rPr>
                <w:sz w:val="16"/>
              </w:rPr>
            </w:pPr>
            <w:r>
              <w:rPr>
                <w:color w:val="231F20"/>
                <w:w w:val="85"/>
                <w:sz w:val="16"/>
              </w:rPr>
              <w:t>SECUNDARIA</w:t>
            </w:r>
          </w:p>
        </w:tc>
      </w:tr>
      <w:tr>
        <w:trPr>
          <w:trHeight w:val="220" w:hRule="exact"/>
        </w:trPr>
        <w:tc>
          <w:tcPr>
            <w:tcW w:w="3267" w:type="dxa"/>
          </w:tcPr>
          <w:p>
            <w:pPr>
              <w:pStyle w:val="TableParagraph"/>
              <w:spacing w:line="163" w:lineRule="exact"/>
              <w:rPr>
                <w:sz w:val="16"/>
              </w:rPr>
            </w:pPr>
            <w:r>
              <w:rPr>
                <w:color w:val="231F20"/>
                <w:w w:val="85"/>
                <w:sz w:val="16"/>
              </w:rPr>
              <w:t>CONTRALOR</w:t>
            </w:r>
          </w:p>
        </w:tc>
        <w:tc>
          <w:tcPr>
            <w:tcW w:w="2947" w:type="dxa"/>
          </w:tcPr>
          <w:p>
            <w:pPr>
              <w:pStyle w:val="TableParagraph"/>
              <w:spacing w:line="163" w:lineRule="exact"/>
              <w:rPr>
                <w:sz w:val="16"/>
              </w:rPr>
            </w:pPr>
            <w:r>
              <w:rPr>
                <w:color w:val="231F20"/>
                <w:w w:val="85"/>
                <w:sz w:val="16"/>
              </w:rPr>
              <w:t>PREPARATORIA</w:t>
            </w:r>
          </w:p>
        </w:tc>
      </w:tr>
      <w:tr>
        <w:trPr>
          <w:trHeight w:val="219" w:hRule="exact"/>
        </w:trPr>
        <w:tc>
          <w:tcPr>
            <w:tcW w:w="3267" w:type="dxa"/>
          </w:tcPr>
          <w:p>
            <w:pPr>
              <w:pStyle w:val="TableParagraph"/>
              <w:spacing w:line="163" w:lineRule="exact"/>
              <w:rPr>
                <w:sz w:val="16"/>
              </w:rPr>
            </w:pPr>
            <w:r>
              <w:rPr>
                <w:color w:val="231F20"/>
                <w:w w:val="75"/>
                <w:sz w:val="16"/>
              </w:rPr>
              <w:t>DIRECTOR CASA CULTURA</w:t>
            </w:r>
          </w:p>
        </w:tc>
        <w:tc>
          <w:tcPr>
            <w:tcW w:w="2947" w:type="dxa"/>
          </w:tcPr>
          <w:p>
            <w:pPr>
              <w:pStyle w:val="TableParagraph"/>
              <w:spacing w:line="163" w:lineRule="exact"/>
              <w:rPr>
                <w:sz w:val="16"/>
              </w:rPr>
            </w:pPr>
            <w:r>
              <w:rPr>
                <w:color w:val="231F20"/>
                <w:w w:val="85"/>
                <w:sz w:val="16"/>
              </w:rPr>
              <w:t>INGENIERIA</w:t>
            </w:r>
          </w:p>
        </w:tc>
      </w:tr>
      <w:tr>
        <w:trPr>
          <w:trHeight w:val="246" w:hRule="exact"/>
        </w:trPr>
        <w:tc>
          <w:tcPr>
            <w:tcW w:w="3267" w:type="dxa"/>
          </w:tcPr>
          <w:p>
            <w:pPr>
              <w:pStyle w:val="TableParagraph"/>
              <w:spacing w:line="163" w:lineRule="exact"/>
              <w:rPr>
                <w:sz w:val="16"/>
              </w:rPr>
            </w:pPr>
            <w:r>
              <w:rPr>
                <w:color w:val="231F20"/>
                <w:w w:val="75"/>
                <w:sz w:val="16"/>
              </w:rPr>
              <w:t>DIRECTOR SERVS. PÚBLICOS</w:t>
            </w:r>
          </w:p>
        </w:tc>
        <w:tc>
          <w:tcPr>
            <w:tcW w:w="2947" w:type="dxa"/>
          </w:tcPr>
          <w:p>
            <w:pPr>
              <w:pStyle w:val="TableParagraph"/>
              <w:spacing w:line="163" w:lineRule="exact"/>
              <w:rPr>
                <w:sz w:val="16"/>
              </w:rPr>
            </w:pPr>
            <w:r>
              <w:rPr>
                <w:color w:val="231F20"/>
                <w:w w:val="85"/>
                <w:sz w:val="16"/>
              </w:rPr>
              <w:t>SECUNDARIA</w:t>
            </w:r>
          </w:p>
        </w:tc>
      </w:tr>
      <w:tr>
        <w:trPr>
          <w:trHeight w:val="230" w:hRule="exact"/>
        </w:trPr>
        <w:tc>
          <w:tcPr>
            <w:tcW w:w="3267" w:type="dxa"/>
          </w:tcPr>
          <w:p>
            <w:pPr>
              <w:pStyle w:val="TableParagraph"/>
              <w:spacing w:line="163" w:lineRule="exact"/>
              <w:rPr>
                <w:sz w:val="16"/>
              </w:rPr>
            </w:pPr>
            <w:r>
              <w:rPr>
                <w:color w:val="231F20"/>
                <w:w w:val="75"/>
                <w:sz w:val="16"/>
              </w:rPr>
              <w:t>DIRECTOR AGUA POTABLE</w:t>
            </w:r>
          </w:p>
        </w:tc>
        <w:tc>
          <w:tcPr>
            <w:tcW w:w="2947" w:type="dxa"/>
          </w:tcPr>
          <w:p>
            <w:pPr>
              <w:pStyle w:val="TableParagraph"/>
              <w:spacing w:line="163" w:lineRule="exact"/>
              <w:rPr>
                <w:sz w:val="16"/>
              </w:rPr>
            </w:pPr>
            <w:r>
              <w:rPr>
                <w:color w:val="231F20"/>
                <w:w w:val="85"/>
                <w:sz w:val="16"/>
              </w:rPr>
              <w:t>PREPARATORIA</w:t>
            </w:r>
          </w:p>
        </w:tc>
      </w:tr>
      <w:tr>
        <w:trPr>
          <w:trHeight w:val="199" w:hRule="exact"/>
        </w:trPr>
        <w:tc>
          <w:tcPr>
            <w:tcW w:w="3267" w:type="dxa"/>
          </w:tcPr>
          <w:p>
            <w:pPr>
              <w:pStyle w:val="TableParagraph"/>
              <w:spacing w:line="163" w:lineRule="exact"/>
              <w:rPr>
                <w:sz w:val="16"/>
              </w:rPr>
            </w:pPr>
            <w:r>
              <w:rPr>
                <w:color w:val="231F20"/>
                <w:w w:val="75"/>
                <w:sz w:val="16"/>
              </w:rPr>
              <w:t>OFICINA REG. CIVIL</w:t>
            </w:r>
          </w:p>
        </w:tc>
        <w:tc>
          <w:tcPr>
            <w:tcW w:w="2947" w:type="dxa"/>
          </w:tcPr>
          <w:p>
            <w:pPr>
              <w:pStyle w:val="TableParagraph"/>
              <w:spacing w:line="163" w:lineRule="exact"/>
              <w:rPr>
                <w:sz w:val="16"/>
              </w:rPr>
            </w:pPr>
            <w:r>
              <w:rPr>
                <w:color w:val="231F20"/>
                <w:w w:val="85"/>
                <w:sz w:val="16"/>
              </w:rPr>
              <w:t>LICENCIATURA</w:t>
            </w:r>
          </w:p>
        </w:tc>
      </w:tr>
      <w:tr>
        <w:trPr>
          <w:trHeight w:val="204" w:hRule="exact"/>
        </w:trPr>
        <w:tc>
          <w:tcPr>
            <w:tcW w:w="3267" w:type="dxa"/>
          </w:tcPr>
          <w:p>
            <w:pPr>
              <w:pStyle w:val="TableParagraph"/>
              <w:spacing w:line="163" w:lineRule="exact"/>
              <w:rPr>
                <w:sz w:val="16"/>
              </w:rPr>
            </w:pPr>
            <w:r>
              <w:rPr>
                <w:color w:val="231F20"/>
                <w:w w:val="70"/>
                <w:sz w:val="16"/>
              </w:rPr>
              <w:t>PROTECCION  CIVIL</w:t>
            </w:r>
          </w:p>
        </w:tc>
        <w:tc>
          <w:tcPr>
            <w:tcW w:w="2947" w:type="dxa"/>
          </w:tcPr>
          <w:p>
            <w:pPr>
              <w:pStyle w:val="TableParagraph"/>
              <w:spacing w:line="163" w:lineRule="exact"/>
              <w:rPr>
                <w:sz w:val="16"/>
              </w:rPr>
            </w:pPr>
            <w:r>
              <w:rPr>
                <w:color w:val="231F20"/>
                <w:w w:val="85"/>
                <w:sz w:val="16"/>
              </w:rPr>
              <w:t>SECUNDARIA</w:t>
            </w:r>
          </w:p>
        </w:tc>
      </w:tr>
      <w:tr>
        <w:trPr>
          <w:trHeight w:val="227" w:hRule="exact"/>
        </w:trPr>
        <w:tc>
          <w:tcPr>
            <w:tcW w:w="3267" w:type="dxa"/>
          </w:tcPr>
          <w:p>
            <w:pPr>
              <w:pStyle w:val="TableParagraph"/>
              <w:spacing w:line="163" w:lineRule="exact"/>
              <w:rPr>
                <w:sz w:val="16"/>
              </w:rPr>
            </w:pPr>
            <w:r>
              <w:rPr>
                <w:color w:val="231F20"/>
                <w:w w:val="85"/>
                <w:sz w:val="16"/>
              </w:rPr>
              <w:t>TRANSPARENCIA</w:t>
            </w:r>
          </w:p>
        </w:tc>
        <w:tc>
          <w:tcPr>
            <w:tcW w:w="2947" w:type="dxa"/>
          </w:tcPr>
          <w:p>
            <w:pPr>
              <w:pStyle w:val="TableParagraph"/>
              <w:spacing w:line="163" w:lineRule="exact"/>
              <w:rPr>
                <w:sz w:val="16"/>
              </w:rPr>
            </w:pPr>
            <w:r>
              <w:rPr>
                <w:color w:val="231F20"/>
                <w:w w:val="85"/>
                <w:sz w:val="16"/>
              </w:rPr>
              <w:t>SECUNDARIA</w:t>
            </w:r>
          </w:p>
        </w:tc>
      </w:tr>
    </w:tbl>
    <w:p>
      <w:pPr>
        <w:pStyle w:val="BodyText"/>
        <w:spacing w:before="9"/>
        <w:rPr>
          <w:b/>
          <w:sz w:val="21"/>
        </w:rPr>
      </w:pPr>
    </w:p>
    <w:p>
      <w:pPr>
        <w:spacing w:before="74"/>
        <w:ind w:left="443" w:right="0" w:firstLine="0"/>
        <w:jc w:val="left"/>
        <w:rPr>
          <w:rFonts w:ascii="Calibri" w:hAnsi="Calibri"/>
          <w:sz w:val="16"/>
        </w:rPr>
      </w:pPr>
      <w:r>
        <w:rPr>
          <w:rFonts w:ascii="Calibri" w:hAnsi="Calibri"/>
          <w:color w:val="231F20"/>
          <w:sz w:val="16"/>
        </w:rPr>
        <w:t>Fuente:</w:t>
      </w:r>
      <w:r>
        <w:rPr>
          <w:rFonts w:ascii="Calibri" w:hAnsi="Calibri"/>
          <w:color w:val="231F20"/>
          <w:spacing w:val="-14"/>
          <w:sz w:val="16"/>
        </w:rPr>
        <w:t> </w:t>
      </w:r>
      <w:r>
        <w:rPr>
          <w:rFonts w:ascii="Calibri" w:hAnsi="Calibri"/>
          <w:color w:val="231F20"/>
          <w:sz w:val="16"/>
        </w:rPr>
        <w:t>Elaboración</w:t>
      </w:r>
      <w:r>
        <w:rPr>
          <w:rFonts w:ascii="Calibri" w:hAnsi="Calibri"/>
          <w:color w:val="231F20"/>
          <w:spacing w:val="-14"/>
          <w:sz w:val="16"/>
        </w:rPr>
        <w:t> </w:t>
      </w:r>
      <w:r>
        <w:rPr>
          <w:rFonts w:ascii="Calibri" w:hAnsi="Calibri"/>
          <w:color w:val="231F20"/>
          <w:sz w:val="16"/>
        </w:rPr>
        <w:t>propia</w:t>
      </w:r>
      <w:r>
        <w:rPr>
          <w:rFonts w:ascii="Calibri" w:hAnsi="Calibri"/>
          <w:color w:val="231F20"/>
          <w:spacing w:val="-14"/>
          <w:sz w:val="16"/>
        </w:rPr>
        <w:t> </w:t>
      </w:r>
      <w:r>
        <w:rPr>
          <w:rFonts w:ascii="Calibri" w:hAnsi="Calibri"/>
          <w:color w:val="231F20"/>
          <w:sz w:val="16"/>
        </w:rPr>
        <w:t>en</w:t>
      </w:r>
      <w:r>
        <w:rPr>
          <w:rFonts w:ascii="Calibri" w:hAnsi="Calibri"/>
          <w:color w:val="231F20"/>
          <w:spacing w:val="-14"/>
          <w:sz w:val="16"/>
        </w:rPr>
        <w:t> </w:t>
      </w:r>
      <w:r>
        <w:rPr>
          <w:rFonts w:ascii="Calibri" w:hAnsi="Calibri"/>
          <w:color w:val="231F20"/>
          <w:sz w:val="16"/>
        </w:rPr>
        <w:t>base</w:t>
      </w:r>
      <w:r>
        <w:rPr>
          <w:rFonts w:ascii="Calibri" w:hAnsi="Calibri"/>
          <w:color w:val="231F20"/>
          <w:spacing w:val="-14"/>
          <w:sz w:val="16"/>
        </w:rPr>
        <w:t> </w:t>
      </w:r>
      <w:r>
        <w:rPr>
          <w:rFonts w:ascii="Calibri" w:hAnsi="Calibri"/>
          <w:color w:val="231F20"/>
          <w:sz w:val="16"/>
        </w:rPr>
        <w:t>a</w:t>
      </w:r>
      <w:r>
        <w:rPr>
          <w:rFonts w:ascii="Calibri" w:hAnsi="Calibri"/>
          <w:color w:val="231F20"/>
          <w:spacing w:val="-14"/>
          <w:sz w:val="16"/>
        </w:rPr>
        <w:t> </w:t>
      </w:r>
      <w:r>
        <w:rPr>
          <w:rFonts w:ascii="Calibri" w:hAnsi="Calibri"/>
          <w:color w:val="231F20"/>
          <w:sz w:val="16"/>
        </w:rPr>
        <w:t>la</w:t>
      </w:r>
      <w:r>
        <w:rPr>
          <w:rFonts w:ascii="Calibri" w:hAnsi="Calibri"/>
          <w:color w:val="231F20"/>
          <w:spacing w:val="-14"/>
          <w:sz w:val="16"/>
        </w:rPr>
        <w:t> </w:t>
      </w:r>
      <w:r>
        <w:rPr>
          <w:rFonts w:ascii="Calibri" w:hAnsi="Calibri"/>
          <w:color w:val="231F20"/>
          <w:sz w:val="16"/>
        </w:rPr>
        <w:t>Relación</w:t>
      </w:r>
      <w:r>
        <w:rPr>
          <w:rFonts w:ascii="Calibri" w:hAnsi="Calibri"/>
          <w:color w:val="231F20"/>
          <w:spacing w:val="-14"/>
          <w:sz w:val="16"/>
        </w:rPr>
        <w:t> </w:t>
      </w:r>
      <w:r>
        <w:rPr>
          <w:rFonts w:ascii="Calibri" w:hAnsi="Calibri"/>
          <w:color w:val="231F20"/>
          <w:sz w:val="16"/>
        </w:rPr>
        <w:t>de</w:t>
      </w:r>
      <w:r>
        <w:rPr>
          <w:rFonts w:ascii="Calibri" w:hAnsi="Calibri"/>
          <w:color w:val="231F20"/>
          <w:spacing w:val="-14"/>
          <w:sz w:val="16"/>
        </w:rPr>
        <w:t> </w:t>
      </w:r>
      <w:r>
        <w:rPr>
          <w:rFonts w:ascii="Calibri" w:hAnsi="Calibri"/>
          <w:color w:val="231F20"/>
          <w:sz w:val="16"/>
        </w:rPr>
        <w:t>personal</w:t>
      </w:r>
      <w:r>
        <w:rPr>
          <w:rFonts w:ascii="Calibri" w:hAnsi="Calibri"/>
          <w:color w:val="231F20"/>
          <w:spacing w:val="-14"/>
          <w:sz w:val="16"/>
        </w:rPr>
        <w:t> </w:t>
      </w:r>
      <w:r>
        <w:rPr>
          <w:rFonts w:ascii="Calibri" w:hAnsi="Calibri"/>
          <w:color w:val="231F20"/>
          <w:sz w:val="16"/>
        </w:rPr>
        <w:t>del</w:t>
      </w:r>
      <w:r>
        <w:rPr>
          <w:rFonts w:ascii="Calibri" w:hAnsi="Calibri"/>
          <w:color w:val="231F20"/>
          <w:spacing w:val="-14"/>
          <w:sz w:val="16"/>
        </w:rPr>
        <w:t> </w:t>
      </w:r>
      <w:r>
        <w:rPr>
          <w:rFonts w:ascii="Calibri" w:hAnsi="Calibri"/>
          <w:color w:val="231F20"/>
          <w:sz w:val="16"/>
        </w:rPr>
        <w:t>Ayuntamiento</w:t>
      </w:r>
      <w:r>
        <w:rPr>
          <w:rFonts w:ascii="Calibri" w:hAnsi="Calibri"/>
          <w:color w:val="231F20"/>
          <w:spacing w:val="-14"/>
          <w:sz w:val="16"/>
        </w:rPr>
        <w:t> </w:t>
      </w:r>
      <w:r>
        <w:rPr>
          <w:rFonts w:ascii="Calibri" w:hAnsi="Calibri"/>
          <w:color w:val="231F20"/>
          <w:sz w:val="16"/>
        </w:rPr>
        <w:t>de</w:t>
      </w:r>
      <w:r>
        <w:rPr>
          <w:rFonts w:ascii="Calibri" w:hAnsi="Calibri"/>
          <w:color w:val="231F20"/>
          <w:spacing w:val="-14"/>
          <w:sz w:val="16"/>
        </w:rPr>
        <w:t> </w:t>
      </w:r>
      <w:r>
        <w:rPr>
          <w:rFonts w:ascii="Calibri" w:hAnsi="Calibri"/>
          <w:color w:val="231F20"/>
          <w:sz w:val="16"/>
        </w:rPr>
        <w:t>Ozumba,</w:t>
      </w:r>
      <w:r>
        <w:rPr>
          <w:rFonts w:ascii="Calibri" w:hAnsi="Calibri"/>
          <w:color w:val="231F20"/>
          <w:spacing w:val="-14"/>
          <w:sz w:val="16"/>
        </w:rPr>
        <w:t> </w:t>
      </w:r>
      <w:r>
        <w:rPr>
          <w:rFonts w:ascii="Calibri" w:hAnsi="Calibri"/>
          <w:color w:val="231F20"/>
          <w:sz w:val="16"/>
        </w:rPr>
        <w:t>“Escolaridad”</w:t>
      </w:r>
      <w:r>
        <w:rPr>
          <w:rFonts w:ascii="Calibri" w:hAnsi="Calibri"/>
          <w:color w:val="231F20"/>
          <w:spacing w:val="-14"/>
          <w:sz w:val="16"/>
        </w:rPr>
        <w:t> </w:t>
      </w:r>
      <w:r>
        <w:rPr>
          <w:rFonts w:ascii="Calibri" w:hAnsi="Calibri"/>
          <w:color w:val="231F20"/>
          <w:sz w:val="16"/>
        </w:rPr>
        <w:t>(2009).</w:t>
      </w:r>
    </w:p>
    <w:p>
      <w:pPr>
        <w:spacing w:after="0"/>
        <w:jc w:val="left"/>
        <w:rPr>
          <w:rFonts w:ascii="Calibri" w:hAnsi="Calibri"/>
          <w:sz w:val="16"/>
        </w:rPr>
        <w:sectPr>
          <w:pgSz w:w="9640" w:h="12190"/>
          <w:pgMar w:header="0" w:footer="743" w:top="1120" w:bottom="940" w:left="1120" w:right="740"/>
        </w:sectPr>
      </w:pPr>
    </w:p>
    <w:p>
      <w:pPr>
        <w:pStyle w:val="Heading5"/>
        <w:spacing w:before="27"/>
        <w:ind w:left="467" w:right="-2"/>
      </w:pPr>
      <w:r>
        <w:rPr>
          <w:color w:val="231F20"/>
          <w:w w:val="105"/>
        </w:rPr>
        <w:t>Gráfica: 3 Escolaridad máxima en el Municipio de Ozumba de Alzate 2009</w:t>
      </w:r>
    </w:p>
    <w:p>
      <w:pPr>
        <w:pStyle w:val="BodyText"/>
        <w:rPr>
          <w:b/>
          <w:sz w:val="20"/>
        </w:rPr>
      </w:pPr>
    </w:p>
    <w:p>
      <w:pPr>
        <w:pStyle w:val="BodyText"/>
        <w:rPr>
          <w:b/>
          <w:sz w:val="20"/>
        </w:rPr>
      </w:pPr>
    </w:p>
    <w:p>
      <w:pPr>
        <w:pStyle w:val="BodyText"/>
        <w:rPr>
          <w:b/>
          <w:sz w:val="20"/>
        </w:rPr>
      </w:pPr>
    </w:p>
    <w:p>
      <w:pPr>
        <w:pStyle w:val="BodyText"/>
        <w:spacing w:before="8"/>
        <w:rPr>
          <w:b/>
          <w:sz w:val="17"/>
        </w:rPr>
      </w:pPr>
      <w:r>
        <w:rPr/>
        <w:pict>
          <v:shape style="position:absolute;margin-left:180.259399pt;margin-top:12.136349pt;width:3.25pt;height:8.75pt;mso-position-horizontal-relative:page;mso-position-vertical-relative:paragraph;z-index:14056;mso-wrap-distance-left:0;mso-wrap-distance-right:0" coordorigin="3605,243" coordsize="65,175" path="m3670,243l3653,243,3649,256,3645,265,3632,272,3621,275,3605,276,3605,293,3646,293,3646,417,3670,417,3670,243xe" filled="true" fillcolor="#231f20" stroked="false">
            <v:path arrowok="t"/>
            <v:fill type="solid"/>
            <w10:wrap type="topAndBottom"/>
          </v:shape>
        </w:pict>
      </w:r>
    </w:p>
    <w:p>
      <w:pPr>
        <w:pStyle w:val="BodyText"/>
        <w:spacing w:before="1"/>
        <w:rPr>
          <w:b/>
          <w:sz w:val="8"/>
        </w:rPr>
      </w:pPr>
    </w:p>
    <w:p>
      <w:pPr>
        <w:tabs>
          <w:tab w:pos="5842" w:val="left" w:leader="none"/>
        </w:tabs>
        <w:spacing w:line="240" w:lineRule="auto"/>
        <w:ind w:left="110" w:right="0" w:firstLine="0"/>
        <w:rPr>
          <w:sz w:val="20"/>
        </w:rPr>
      </w:pPr>
      <w:r>
        <w:rPr>
          <w:sz w:val="20"/>
        </w:rPr>
        <w:pict>
          <v:group style="width:243pt;height:107.8pt;mso-position-horizontal-relative:char;mso-position-vertical-relative:line" coordorigin="0,0" coordsize="4860,2156">
            <v:shape style="position:absolute;left:56;top:0;width:2378;height:1076" coordorigin="56,0" coordsize="2378,1076" path="m2433,0l2321,1,2210,3,2101,6,1994,11,1888,17,1784,24,1682,32,1581,42,1483,52,1387,64,1294,77,1203,91,1115,106,1029,121,946,138,866,156,789,175,715,194,645,215,578,236,514,258,454,280,398,304,297,353,213,404,145,458,96,513,66,571,56,630,61,673,102,757,182,837,236,876,300,913,373,949,455,983,546,1016,645,1046,753,1075,2433,627,2433,0xe" filled="true" fillcolor="#662d91" stroked="false">
              <v:path arrowok="t"/>
              <v:fill type="solid"/>
            </v:shape>
            <v:shape style="position:absolute;left:56;top:630;width:698;height:1115" coordorigin="56,630" coordsize="698,1115" path="m56,630l56,1298,61,1341,104,1425,187,1505,243,1544,307,1581,381,1616,462,1651,552,1683,649,1714,753,1744,753,1075,649,1046,552,1015,462,982,381,948,307,912,243,875,187,837,141,797,77,715,61,673,56,630xe" filled="true" fillcolor="#3b0156" stroked="false">
              <v:path arrowok="t"/>
              <v:fill type="solid"/>
            </v:shape>
            <v:shape style="position:absolute;left:2433;top:0;width:596;height:627" coordorigin="2433,0" coordsize="596,627" path="m2433,0l2433,627,3029,20,2863,10,2694,4,2521,0,2433,0xe" filled="true" fillcolor="#bc8cbf" stroked="false">
              <v:path arrowok="t"/>
              <v:fill type="solid"/>
            </v:shape>
            <v:shape style="position:absolute;left:2433;top:20;width:2378;height:935" coordorigin="2433,20" coordsize="2378,935" path="m3029,20l2433,627,4470,954,4562,910,4639,865,4702,820,4750,775,4804,680,4810,630,4807,596,4781,530,4730,467,4655,406,4558,347,4502,319,4441,292,4375,266,4304,241,4228,217,4148,194,4064,172,3976,151,3884,131,3789,112,3689,95,3587,79,3481,64,3372,51,3260,39,3146,29,3029,20xe" filled="true" fillcolor="#ad1927" stroked="false">
              <v:path arrowok="t"/>
              <v:fill type="solid"/>
            </v:shape>
            <v:shape style="position:absolute;left:4470;top:630;width:341;height:994" coordorigin="4470,630" coordsize="341,994" path="m4810,630l4781,729,4744,777,4695,824,4632,869,4557,913,4470,954,4470,1623,4557,1581,4632,1538,4695,1493,4744,1446,4781,1398,4810,1298,4810,630xe" filled="true" fillcolor="#7a0411" stroked="false">
              <v:path arrowok="t"/>
              <v:fill type="solid"/>
            </v:shape>
            <v:shape style="position:absolute;left:1794;top:627;width:2676;height:633" coordorigin="1794,627" coordsize="2676,633" path="m2433,627l1794,1236,1949,1246,2107,1253,2268,1258,2433,1259,2630,1257,2822,1252,2915,1248,3008,1243,3098,1237,3188,1230,3275,1222,3361,1213,3445,1204,3528,1193,3608,1182,3687,1170,3764,1157,3839,1143,3912,1128,3983,1112,4052,1095,4118,1078,4183,1059,4245,1040,4305,1020,4362,999,4470,954,2433,627xe" filled="true" fillcolor="#c4df9b" stroked="false">
              <v:path arrowok="t"/>
              <v:fill type="solid"/>
            </v:shape>
            <v:shape style="position:absolute;left:1794;top:954;width:2676;height:974" coordorigin="1794,954" coordsize="2676,974" path="m1794,1236l1794,1905,1949,1915,2107,1922,2268,1926,2433,1928,2532,1927,2630,1926,2728,1923,2823,1919,2918,1915,3011,1909,3103,1903,3194,1895,3282,1887,3369,1877,3455,1867,3538,1856,3620,1844,3699,1831,3777,1818,3852,1803,3925,1788,3996,1773,4065,1756,4131,1739,4194,1721,4255,1703,4313,1684,4368,1664,4421,1644,4470,1623,4470,1259,2433,1259,2268,1258,2107,1253,1949,1246,1794,1236xm4470,954l4421,975,4368,995,4313,1015,4255,1034,4194,1053,4131,1070,4065,1088,3996,1104,3925,1120,3852,1135,3777,1149,3699,1163,3620,1175,3538,1187,3455,1198,3369,1209,3282,1218,3194,1226,3103,1234,3011,1241,2918,1246,2823,1251,2728,1255,2630,1257,2532,1259,2433,1259,4470,1259,4470,954xe" filled="true" fillcolor="#70845c" stroked="false">
              <v:path arrowok="t"/>
              <v:fill type="solid"/>
            </v:shape>
            <v:shape style="position:absolute;left:753;top:627;width:1680;height:610" coordorigin="753,627" coordsize="1680,610" path="m2433,627l753,1075,819,1092,886,1109,955,1125,1025,1141,1097,1156,1172,1170,1249,1183,1330,1195,1414,1206,1502,1216,1595,1224,1692,1231,1794,1236,2433,627xe" filled="true" fillcolor="#c7eafb" stroked="false">
              <v:path arrowok="t"/>
              <v:fill type="solid"/>
            </v:shape>
            <v:shape style="position:absolute;left:753;top:1075;width:1042;height:830" coordorigin="753,1075" coordsize="1042,830" path="m753,1075l753,1744,820,1761,890,1777,962,1793,1036,1808,1112,1822,1191,1835,1272,1848,1354,1860,1439,1870,1525,1880,1613,1890,1703,1898,1794,1905,1794,1236,1703,1229,1613,1221,1525,1212,1439,1202,1354,1191,1272,1179,1191,1167,1112,1153,1036,1139,962,1124,890,1109,820,1092,753,1075xe" filled="true" fillcolor="#748a96" stroked="false">
              <v:path arrowok="t"/>
              <v:fill type="solid"/>
            </v:shape>
            <v:shape style="position:absolute;left:0;top:218;width:118;height:180" type="#_x0000_t75" stroked="false">
              <v:imagedata r:id="rId1234" o:title=""/>
            </v:shape>
            <v:shape style="position:absolute;left:1055;top:1950;width:121;height:176" type="#_x0000_t75" stroked="false">
              <v:imagedata r:id="rId1235" o:title=""/>
            </v:shape>
            <v:shape style="position:absolute;left:3439;top:1978;width:121;height:177" type="#_x0000_t75" stroked="false">
              <v:imagedata r:id="rId1236" o:title=""/>
            </v:shape>
            <v:shape style="position:absolute;left:4737;top:222;width:122;height:172" type="#_x0000_t75" stroked="false">
              <v:imagedata r:id="rId1237" o:title=""/>
            </v:shape>
          </v:group>
        </w:pict>
      </w:r>
      <w:r>
        <w:rPr>
          <w:sz w:val="20"/>
        </w:rPr>
      </w:r>
      <w:r>
        <w:rPr>
          <w:sz w:val="20"/>
        </w:rPr>
        <w:tab/>
      </w:r>
      <w:r>
        <w:rPr>
          <w:position w:val="22"/>
          <w:sz w:val="20"/>
        </w:rPr>
        <w:pict>
          <v:group style="width:110.3pt;height:97.05pt;mso-position-horizontal-relative:char;mso-position-vertical-relative:line" coordorigin="0,0" coordsize="2206,1941">
            <v:shape style="position:absolute;left:312;top:126;width:164;height:168" coordorigin="312,126" coordsize="164,168" path="m345,126l312,126,312,294,334,294,334,185,334,168,334,153,354,153,345,126xm354,153l334,153,383,294,405,294,414,268,394,268,354,153xm475,153l454,153,454,168,454,178,453,294,475,294,475,153xm475,126l443,126,394,268,414,268,454,153,475,153,475,126xe" filled="true" fillcolor="#231f20" stroked="false">
              <v:path arrowok="t"/>
              <v:fill type="solid"/>
            </v:shape>
            <v:shape style="position:absolute;left:496;top:126;width:152;height:168" coordorigin="496,126" coordsize="152,168" path="m586,126l560,126,496,294,520,294,538,244,629,244,622,225,545,225,572,151,595,151,586,126xm629,244l605,244,622,294,648,294,629,244xm595,151l572,151,598,225,622,225,595,151xe" filled="true" fillcolor="#231f20" stroked="false">
              <v:path arrowok="t"/>
              <v:fill type="solid"/>
            </v:shape>
            <v:shape style="position:absolute;left:671;top:126;width:126;height:168" coordorigin="671,126" coordsize="126,168" path="m794,126l671,126,671,294,796,294,796,274,693,274,693,217,786,217,786,198,693,198,693,147,794,147,794,126xe" filled="true" fillcolor="#231f20" stroked="false">
              <v:path arrowok="t"/>
              <v:fill type="solid"/>
            </v:shape>
            <v:shape style="position:absolute;left:820;top:122;width:133;height:177" coordorigin="820,122" coordsize="133,177" path="m841,240l820,240,821,253,824,264,829,274,837,283,847,290,858,295,871,298,885,299,898,298,910,296,922,292,932,287,941,280,941,279,887,279,874,278,863,275,855,270,848,263,844,257,842,249,841,240xm885,122l871,123,860,126,849,130,841,137,834,144,829,153,826,163,826,174,826,188,831,198,847,209,858,213,907,224,915,227,921,231,927,235,930,241,929,263,923,271,903,278,895,279,941,279,947,271,951,260,952,247,952,232,947,221,930,208,922,205,872,193,862,190,851,184,847,178,847,162,850,156,862,145,871,142,936,142,929,135,919,129,909,125,897,123,885,122xm936,142l900,142,912,146,922,160,924,166,925,175,947,175,946,163,946,162,942,151,937,142,936,142xe" filled="true" fillcolor="#231f20" stroked="false">
              <v:path arrowok="t"/>
              <v:fill type="solid"/>
            </v:shape>
            <v:line style="position:absolute" from="1039,146" to="1039,294" stroked="true" strokeweight="1.162pt" strokecolor="#231f20"/>
            <v:line style="position:absolute" from="970,136" to="1108,136" stroked="true" strokeweight=".997pt" strokecolor="#231f20"/>
            <v:shape style="position:absolute;left:1132;top:126;width:139;height:168" coordorigin="1132,126" coordsize="139,168" path="m1222,126l1132,126,1132,294,1155,294,1155,222,1255,222,1252,218,1247,214,1240,211,1248,208,1253,203,1155,203,1155,146,1257,146,1251,138,1241,132,1232,128,1222,126xm1255,222l1215,222,1222,223,1226,225,1234,229,1238,236,1240,281,1240,286,1241,290,1242,292,1243,294,1271,294,1271,290,1267,288,1265,285,1263,277,1262,272,1261,233,1259,226,1255,222xm1257,146l1217,146,1224,147,1228,149,1237,154,1241,162,1241,185,1238,192,1226,201,1217,203,1253,203,1254,202,1262,190,1264,181,1264,171,1263,158,1258,147,1257,146xe" filled="true" fillcolor="#231f20" stroked="false">
              <v:path arrowok="t"/>
              <v:fill type="solid"/>
            </v:shape>
            <v:shape style="position:absolute;left:1295;top:81;width:47;height:214" coordorigin="1295,81" coordsize="47,214" path="m1342,81l1316,81,1295,114,1311,114,1342,81xm1329,126l1306,126,1306,294,1329,294,1329,126xe" filled="true" fillcolor="#231f20" stroked="false">
              <v:path arrowok="t"/>
              <v:fill type="solid"/>
            </v:shape>
            <v:shape style="position:absolute;left:1352;top:126;width:152;height:168" coordorigin="1352,126" coordsize="152,168" path="m1442,126l1416,126,1352,294,1375,294,1394,244,1485,244,1478,225,1401,225,1428,151,1451,151,1442,126xm1485,244l1461,244,1478,294,1504,294,1485,244xm1451,151l1428,151,1454,225,1478,225,1451,151xe" filled="true" fillcolor="#231f20" stroked="false">
              <v:path arrowok="t"/>
              <v:fill type="solid"/>
            </v:shape>
            <v:line style="position:absolute" from="313,653" to="421,653" stroked="true" strokeweight="1pt" strokecolor="#231f20"/>
            <v:line style="position:absolute" from="324,495" to="324,643" stroked="true" strokeweight="1.152pt" strokecolor="#231f20"/>
            <v:shape style="position:absolute;left:450;top:483;width:202;height:191" type="#_x0000_t75" stroked="false">
              <v:imagedata r:id="rId1238" o:title=""/>
            </v:shape>
            <v:shape style="position:absolute;left:684;top:495;width:125;height:167" type="#_x0000_t75" stroked="false">
              <v:imagedata r:id="rId1239" o:title=""/>
            </v:shape>
            <v:shape style="position:absolute;left:840;top:490;width:313;height:176" type="#_x0000_t75" stroked="false">
              <v:imagedata r:id="rId1240" o:title=""/>
            </v:shape>
            <v:shape style="position:absolute;left:1187;top:483;width:482;height:191" type="#_x0000_t75" stroked="false">
              <v:imagedata r:id="rId1241" o:title=""/>
            </v:shape>
            <v:shape style="position:absolute;left:1707;top:495;width:306;height:167" type="#_x0000_t75" stroked="false">
              <v:imagedata r:id="rId1242" o:title=""/>
            </v:shape>
            <v:shape style="position:absolute;left:315;top:888;width:126;height:167" type="#_x0000_t75" stroked="false">
              <v:imagedata r:id="rId1243" o:title=""/>
            </v:shape>
            <v:shape style="position:absolute;left:474;top:888;width:139;height:167" type="#_x0000_t75" stroked="false">
              <v:imagedata r:id="rId1244" o:title=""/>
            </v:shape>
            <v:shape style="position:absolute;left:644;top:888;width:125;height:167" type="#_x0000_t75" stroked="false">
              <v:imagedata r:id="rId1245" o:title=""/>
            </v:shape>
            <v:shape style="position:absolute;left:802;top:888;width:127;height:168" coordorigin="802,888" coordsize="127,168" path="m893,888l802,888,802,1055,825,1055,825,985,878,985,890,984,901,981,909,977,916,970,920,966,825,966,825,908,922,908,906,892,893,888xm922,908l880,908,887,909,892,911,901,915,905,924,905,947,902,955,889,963,881,966,920,966,925,960,929,949,929,921,924,909,922,908xe" filled="true" fillcolor="#231f20" stroked="false">
              <v:path arrowok="t"/>
              <v:fill type="solid"/>
            </v:shape>
            <v:shape style="position:absolute;left:926;top:888;width:152;height:168" coordorigin="926,888" coordsize="152,168" path="m1016,888l990,888,926,1055,950,1055,968,1005,1060,1005,1053,987,975,987,1002,913,1026,913,1016,888xm1060,1005l1035,1005,1053,1055,1078,1055,1060,1005xm1026,913l1002,913,1029,987,1053,987,1026,913xe" filled="true" fillcolor="#231f20" stroked="false">
              <v:path arrowok="t"/>
              <v:fill type="solid"/>
            </v:shape>
            <v:shape style="position:absolute;left:1102;top:888;width:139;height:168" coordorigin="1102,888" coordsize="139,168" path="m1192,888l1102,888,1102,1055,1125,1055,1125,984,1225,984,1222,979,1217,976,1210,973,1217,969,1223,965,1125,965,1125,908,1227,908,1221,900,1210,894,1202,890,1192,888xm1225,984l1185,984,1191,985,1196,987,1203,990,1207,998,1209,1043,1210,1048,1211,1052,1211,1054,1212,1055,1240,1055,1240,1052,1237,1050,1234,1047,1232,1038,1232,1034,1230,995,1228,988,1225,984xm1227,908l1187,908,1193,909,1198,911,1206,915,1210,923,1210,946,1207,954,1195,963,1187,965,1223,965,1223,964,1232,951,1234,943,1234,933,1232,920,1228,909,1227,908xe" filled="true" fillcolor="#231f20" stroked="false">
              <v:path arrowok="t"/>
              <v:fill type="solid"/>
            </v:shape>
            <v:shape style="position:absolute;left:1256;top:888;width:152;height:168" coordorigin="1256,888" coordsize="152,168" path="m1346,888l1320,888,1256,1055,1279,1055,1298,1005,1389,1005,1382,987,1304,987,1332,913,1355,913,1346,888xm1389,1005l1364,1005,1382,1055,1407,1055,1389,1005xm1355,913l1332,913,1358,987,1382,987,1355,913xe" filled="true" fillcolor="#231f20" stroked="false">
              <v:path arrowok="t"/>
              <v:fill type="solid"/>
            </v:shape>
            <v:line style="position:absolute" from="1465,908" to="1465,1055" stroked="true" strokeweight="1.162pt" strokecolor="#231f20"/>
            <v:line style="position:absolute" from="1396,898" to="1534,898" stroked="true" strokeweight=".997pt" strokecolor="#231f20"/>
            <v:shape style="position:absolute;left:1542;top:883;width:166;height:177" coordorigin="1542,883" coordsize="166,177" path="m1624,883l1604,885,1587,891,1572,901,1559,914,1552,927,1547,941,1543,956,1543,969,1542,974,1544,991,1547,1007,1554,1022,1562,1035,1575,1046,1589,1054,1605,1059,1624,1060,1644,1059,1661,1053,1676,1044,1680,1040,1627,1040,1612,1039,1599,1035,1589,1029,1580,1021,1574,1011,1570,1000,1567,988,1566,974,1567,958,1570,944,1576,931,1583,922,1592,914,1602,908,1613,905,1626,904,1683,904,1679,900,1664,891,1646,885,1624,883xm1683,904l1626,904,1639,905,1650,908,1660,914,1669,922,1676,931,1681,943,1683,955,1684,969,1684,983,1681,996,1677,1008,1671,1019,1663,1028,1653,1035,1641,1039,1627,1040,1680,1040,1689,1031,1697,1018,1703,1003,1707,987,1708,969,1707,952,1704,937,1699,924,1691,912,1683,904xe" filled="true" fillcolor="#231f20" stroked="false">
              <v:path arrowok="t"/>
              <v:fill type="solid"/>
            </v:shape>
            <v:shape style="position:absolute;left:1738;top:888;width:139;height:167" type="#_x0000_t75" stroked="false">
              <v:imagedata r:id="rId1246" o:title=""/>
            </v:shape>
            <v:shape style="position:absolute;left:1912;top:876;width:198;height:191" type="#_x0000_t75" stroked="false">
              <v:imagedata r:id="rId1247" o:title=""/>
            </v:shape>
            <v:shape style="position:absolute;left:289;top:1235;width:632;height:225" type="#_x0000_t75" stroked="false">
              <v:imagedata r:id="rId1248" o:title=""/>
            </v:shape>
            <v:shape style="position:absolute;left:963;top:1270;width:389;height:191" type="#_x0000_t75" stroked="false">
              <v:imagedata r:id="rId1249" o:title=""/>
            </v:shape>
            <v:shape style="position:absolute;left:306;top:1670;width:132;height:176" type="#_x0000_t75" stroked="false">
              <v:imagedata r:id="rId1250" o:title=""/>
            </v:shape>
            <v:shape style="position:absolute;left:473;top:1670;width:297;height:176" type="#_x0000_t75" stroked="false">
              <v:imagedata r:id="rId1251" o:title=""/>
            </v:shape>
            <v:shape style="position:absolute;left:802;top:1674;width:134;height:172" type="#_x0000_t75" stroked="false">
              <v:imagedata r:id="rId1252" o:title=""/>
            </v:shape>
            <v:shape style="position:absolute;left:971;top:1674;width:134;height:167" type="#_x0000_t75" stroked="false">
              <v:imagedata r:id="rId1253" o:title=""/>
            </v:shape>
            <v:shape style="position:absolute;left:1143;top:1674;width:470;height:167" type="#_x0000_t75" stroked="false">
              <v:imagedata r:id="rId1254" o:title=""/>
            </v:shape>
            <v:shape style="position:absolute;left:1648;top:1663;width:198;height:191" type="#_x0000_t75" stroked="false">
              <v:imagedata r:id="rId1255" o:title=""/>
            </v:shape>
            <v:rect style="position:absolute;left:5;top:5;width:2195;height:1930" filled="false" stroked="true" strokeweight=".5pt" strokecolor="#231f20"/>
            <v:rect style="position:absolute;left:92;top:154;width:140;height:140" filled="true" fillcolor="#bc8cbf" stroked="false">
              <v:fill type="solid"/>
            </v:rect>
            <v:rect style="position:absolute;left:92;top:544;width:140;height:140" filled="true" fillcolor="#ad1927" stroked="false">
              <v:fill type="solid"/>
            </v:rect>
            <v:rect style="position:absolute;left:92;top:928;width:140;height:140" filled="true" fillcolor="#c4df9b" stroked="false">
              <v:fill type="solid"/>
            </v:rect>
            <v:rect style="position:absolute;left:92;top:1318;width:140;height:140" filled="true" fillcolor="#c7eafb" stroked="false">
              <v:fill type="solid"/>
            </v:rect>
            <v:rect style="position:absolute;left:92;top:1680;width:140;height:140" filled="true" fillcolor="#662d91" stroked="false">
              <v:fill type="solid"/>
            </v:rect>
          </v:group>
        </w:pict>
      </w:r>
      <w:r>
        <w:rPr>
          <w:position w:val="22"/>
          <w:sz w:val="20"/>
        </w:rPr>
      </w:r>
    </w:p>
    <w:p>
      <w:pPr>
        <w:pStyle w:val="BodyText"/>
        <w:rPr>
          <w:b/>
        </w:rPr>
      </w:pPr>
    </w:p>
    <w:p>
      <w:pPr>
        <w:pStyle w:val="BodyText"/>
        <w:rPr>
          <w:b/>
        </w:rPr>
      </w:pPr>
    </w:p>
    <w:p>
      <w:pPr>
        <w:pStyle w:val="BodyText"/>
        <w:rPr>
          <w:b/>
        </w:rPr>
      </w:pPr>
    </w:p>
    <w:p>
      <w:pPr>
        <w:pStyle w:val="BodyText"/>
        <w:rPr>
          <w:b/>
        </w:rPr>
      </w:pPr>
    </w:p>
    <w:p>
      <w:pPr>
        <w:pStyle w:val="BodyText"/>
        <w:spacing w:before="9"/>
        <w:rPr>
          <w:b/>
          <w:sz w:val="25"/>
        </w:rPr>
      </w:pPr>
    </w:p>
    <w:p>
      <w:pPr>
        <w:spacing w:before="1"/>
        <w:ind w:left="686" w:right="-2" w:firstLine="0"/>
        <w:jc w:val="left"/>
        <w:rPr>
          <w:rFonts w:ascii="Calibri" w:hAnsi="Calibri"/>
          <w:sz w:val="16"/>
        </w:rPr>
      </w:pPr>
      <w:r>
        <w:rPr>
          <w:rFonts w:ascii="Calibri" w:hAnsi="Calibri"/>
          <w:color w:val="231F20"/>
          <w:sz w:val="16"/>
        </w:rPr>
        <w:t>Fuente:</w:t>
      </w:r>
      <w:r>
        <w:rPr>
          <w:rFonts w:ascii="Calibri" w:hAnsi="Calibri"/>
          <w:color w:val="231F20"/>
          <w:spacing w:val="-13"/>
          <w:sz w:val="16"/>
        </w:rPr>
        <w:t> </w:t>
      </w:r>
      <w:r>
        <w:rPr>
          <w:rFonts w:ascii="Calibri" w:hAnsi="Calibri"/>
          <w:color w:val="231F20"/>
          <w:sz w:val="16"/>
        </w:rPr>
        <w:t>Elaboración</w:t>
      </w:r>
      <w:r>
        <w:rPr>
          <w:rFonts w:ascii="Calibri" w:hAnsi="Calibri"/>
          <w:color w:val="231F20"/>
          <w:spacing w:val="-13"/>
          <w:sz w:val="16"/>
        </w:rPr>
        <w:t> </w:t>
      </w:r>
      <w:r>
        <w:rPr>
          <w:rFonts w:ascii="Calibri" w:hAnsi="Calibri"/>
          <w:color w:val="231F20"/>
          <w:sz w:val="16"/>
        </w:rPr>
        <w:t>propia</w:t>
      </w:r>
      <w:r>
        <w:rPr>
          <w:rFonts w:ascii="Calibri" w:hAnsi="Calibri"/>
          <w:color w:val="231F20"/>
          <w:spacing w:val="-13"/>
          <w:sz w:val="16"/>
        </w:rPr>
        <w:t> </w:t>
      </w:r>
      <w:r>
        <w:rPr>
          <w:rFonts w:ascii="Calibri" w:hAnsi="Calibri"/>
          <w:color w:val="231F20"/>
          <w:sz w:val="16"/>
        </w:rPr>
        <w:t>en</w:t>
      </w:r>
      <w:r>
        <w:rPr>
          <w:rFonts w:ascii="Calibri" w:hAnsi="Calibri"/>
          <w:color w:val="231F20"/>
          <w:spacing w:val="-13"/>
          <w:sz w:val="16"/>
        </w:rPr>
        <w:t> </w:t>
      </w:r>
      <w:r>
        <w:rPr>
          <w:rFonts w:ascii="Calibri" w:hAnsi="Calibri"/>
          <w:color w:val="231F20"/>
          <w:sz w:val="16"/>
        </w:rPr>
        <w:t>base</w:t>
      </w:r>
      <w:r>
        <w:rPr>
          <w:rFonts w:ascii="Calibri" w:hAnsi="Calibri"/>
          <w:color w:val="231F20"/>
          <w:spacing w:val="-13"/>
          <w:sz w:val="16"/>
        </w:rPr>
        <w:t> </w:t>
      </w:r>
      <w:r>
        <w:rPr>
          <w:rFonts w:ascii="Calibri" w:hAnsi="Calibri"/>
          <w:color w:val="231F20"/>
          <w:sz w:val="16"/>
        </w:rPr>
        <w:t>a</w:t>
      </w:r>
      <w:r>
        <w:rPr>
          <w:rFonts w:ascii="Calibri" w:hAnsi="Calibri"/>
          <w:color w:val="231F20"/>
          <w:spacing w:val="-13"/>
          <w:sz w:val="16"/>
        </w:rPr>
        <w:t> </w:t>
      </w:r>
      <w:r>
        <w:rPr>
          <w:rFonts w:ascii="Calibri" w:hAnsi="Calibri"/>
          <w:color w:val="231F20"/>
          <w:sz w:val="16"/>
        </w:rPr>
        <w:t>la</w:t>
      </w:r>
      <w:r>
        <w:rPr>
          <w:rFonts w:ascii="Calibri" w:hAnsi="Calibri"/>
          <w:color w:val="231F20"/>
          <w:spacing w:val="-13"/>
          <w:sz w:val="16"/>
        </w:rPr>
        <w:t> </w:t>
      </w:r>
      <w:r>
        <w:rPr>
          <w:rFonts w:ascii="Calibri" w:hAnsi="Calibri"/>
          <w:color w:val="231F20"/>
          <w:sz w:val="16"/>
        </w:rPr>
        <w:t>Relación</w:t>
      </w:r>
      <w:r>
        <w:rPr>
          <w:rFonts w:ascii="Calibri" w:hAnsi="Calibri"/>
          <w:color w:val="231F20"/>
          <w:spacing w:val="-13"/>
          <w:sz w:val="16"/>
        </w:rPr>
        <w:t> </w:t>
      </w:r>
      <w:r>
        <w:rPr>
          <w:rFonts w:ascii="Calibri" w:hAnsi="Calibri"/>
          <w:color w:val="231F20"/>
          <w:sz w:val="16"/>
        </w:rPr>
        <w:t>de</w:t>
      </w:r>
      <w:r>
        <w:rPr>
          <w:rFonts w:ascii="Calibri" w:hAnsi="Calibri"/>
          <w:color w:val="231F20"/>
          <w:spacing w:val="-13"/>
          <w:sz w:val="16"/>
        </w:rPr>
        <w:t> </w:t>
      </w:r>
      <w:r>
        <w:rPr>
          <w:rFonts w:ascii="Calibri" w:hAnsi="Calibri"/>
          <w:color w:val="231F20"/>
          <w:sz w:val="16"/>
        </w:rPr>
        <w:t>personal</w:t>
      </w:r>
      <w:r>
        <w:rPr>
          <w:rFonts w:ascii="Calibri" w:hAnsi="Calibri"/>
          <w:color w:val="231F20"/>
          <w:spacing w:val="-13"/>
          <w:sz w:val="16"/>
        </w:rPr>
        <w:t> </w:t>
      </w:r>
      <w:r>
        <w:rPr>
          <w:rFonts w:ascii="Calibri" w:hAnsi="Calibri"/>
          <w:color w:val="231F20"/>
          <w:sz w:val="16"/>
        </w:rPr>
        <w:t>del</w:t>
      </w:r>
      <w:r>
        <w:rPr>
          <w:rFonts w:ascii="Calibri" w:hAnsi="Calibri"/>
          <w:color w:val="231F20"/>
          <w:spacing w:val="-13"/>
          <w:sz w:val="16"/>
        </w:rPr>
        <w:t> </w:t>
      </w:r>
      <w:r>
        <w:rPr>
          <w:rFonts w:ascii="Calibri" w:hAnsi="Calibri"/>
          <w:color w:val="231F20"/>
          <w:sz w:val="16"/>
        </w:rPr>
        <w:t>H.</w:t>
      </w:r>
      <w:r>
        <w:rPr>
          <w:rFonts w:ascii="Calibri" w:hAnsi="Calibri"/>
          <w:color w:val="231F20"/>
          <w:spacing w:val="-13"/>
          <w:sz w:val="16"/>
        </w:rPr>
        <w:t> </w:t>
      </w:r>
      <w:r>
        <w:rPr>
          <w:rFonts w:ascii="Calibri" w:hAnsi="Calibri"/>
          <w:color w:val="231F20"/>
          <w:sz w:val="16"/>
        </w:rPr>
        <w:t>Ayuntamiento</w:t>
      </w:r>
      <w:r>
        <w:rPr>
          <w:rFonts w:ascii="Calibri" w:hAnsi="Calibri"/>
          <w:color w:val="231F20"/>
          <w:spacing w:val="-13"/>
          <w:sz w:val="16"/>
        </w:rPr>
        <w:t> </w:t>
      </w:r>
      <w:r>
        <w:rPr>
          <w:rFonts w:ascii="Calibri" w:hAnsi="Calibri"/>
          <w:color w:val="231F20"/>
          <w:sz w:val="16"/>
        </w:rPr>
        <w:t>de</w:t>
      </w:r>
      <w:r>
        <w:rPr>
          <w:rFonts w:ascii="Calibri" w:hAnsi="Calibri"/>
          <w:color w:val="231F20"/>
          <w:spacing w:val="-13"/>
          <w:sz w:val="16"/>
        </w:rPr>
        <w:t> </w:t>
      </w:r>
      <w:r>
        <w:rPr>
          <w:rFonts w:ascii="Calibri" w:hAnsi="Calibri"/>
          <w:color w:val="231F20"/>
          <w:sz w:val="16"/>
        </w:rPr>
        <w:t>Ozumba</w:t>
      </w:r>
      <w:r>
        <w:rPr>
          <w:rFonts w:ascii="Calibri" w:hAnsi="Calibri"/>
          <w:color w:val="231F20"/>
          <w:spacing w:val="-13"/>
          <w:sz w:val="16"/>
        </w:rPr>
        <w:t> </w:t>
      </w:r>
      <w:r>
        <w:rPr>
          <w:rFonts w:ascii="Calibri" w:hAnsi="Calibri"/>
          <w:color w:val="231F20"/>
          <w:sz w:val="16"/>
        </w:rPr>
        <w:t>“Escolaridad”</w:t>
      </w:r>
      <w:r>
        <w:rPr>
          <w:rFonts w:ascii="Calibri" w:hAnsi="Calibri"/>
          <w:color w:val="231F20"/>
          <w:spacing w:val="-13"/>
          <w:sz w:val="16"/>
        </w:rPr>
        <w:t> </w:t>
      </w:r>
      <w:r>
        <w:rPr>
          <w:rFonts w:ascii="Calibri" w:hAnsi="Calibri"/>
          <w:color w:val="231F20"/>
          <w:sz w:val="16"/>
        </w:rPr>
        <w:t>(2009).</w:t>
      </w:r>
    </w:p>
    <w:p>
      <w:pPr>
        <w:pStyle w:val="BodyText"/>
        <w:rPr>
          <w:rFonts w:ascii="Calibri"/>
          <w:sz w:val="16"/>
        </w:rPr>
      </w:pPr>
    </w:p>
    <w:p>
      <w:pPr>
        <w:pStyle w:val="BodyText"/>
        <w:spacing w:before="9"/>
        <w:rPr>
          <w:rFonts w:ascii="Calibri"/>
          <w:sz w:val="12"/>
        </w:rPr>
      </w:pPr>
    </w:p>
    <w:p>
      <w:pPr>
        <w:pStyle w:val="BodyText"/>
        <w:spacing w:line="285" w:lineRule="auto" w:before="1"/>
        <w:ind w:left="110" w:right="107"/>
        <w:jc w:val="both"/>
      </w:pP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cuadro</w:t>
      </w:r>
      <w:r>
        <w:rPr>
          <w:color w:val="231F20"/>
          <w:spacing w:val="-4"/>
          <w:w w:val="105"/>
        </w:rPr>
        <w:t> </w:t>
      </w:r>
      <w:r>
        <w:rPr>
          <w:color w:val="231F20"/>
          <w:w w:val="105"/>
        </w:rPr>
        <w:t>y</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gráfica</w:t>
      </w:r>
      <w:r>
        <w:rPr>
          <w:color w:val="231F20"/>
          <w:spacing w:val="-4"/>
          <w:w w:val="105"/>
        </w:rPr>
        <w:t> </w:t>
      </w:r>
      <w:r>
        <w:rPr>
          <w:color w:val="231F20"/>
          <w:w w:val="105"/>
        </w:rPr>
        <w:t>se</w:t>
      </w:r>
      <w:r>
        <w:rPr>
          <w:color w:val="231F20"/>
          <w:spacing w:val="-4"/>
          <w:w w:val="105"/>
        </w:rPr>
        <w:t> </w:t>
      </w:r>
      <w:r>
        <w:rPr>
          <w:color w:val="231F20"/>
          <w:w w:val="105"/>
        </w:rPr>
        <w:t>observa</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nivel</w:t>
      </w:r>
      <w:r>
        <w:rPr>
          <w:color w:val="231F20"/>
          <w:spacing w:val="-4"/>
          <w:w w:val="105"/>
        </w:rPr>
        <w:t> </w:t>
      </w:r>
      <w:r>
        <w:rPr>
          <w:color w:val="231F20"/>
          <w:w w:val="105"/>
        </w:rPr>
        <w:t>escolar</w:t>
      </w:r>
      <w:r>
        <w:rPr>
          <w:color w:val="231F20"/>
          <w:spacing w:val="-4"/>
          <w:w w:val="105"/>
        </w:rPr>
        <w:t> </w:t>
      </w:r>
      <w:r>
        <w:rPr>
          <w:color w:val="231F20"/>
          <w:w w:val="105"/>
        </w:rPr>
        <w:t>que</w:t>
      </w:r>
      <w:r>
        <w:rPr>
          <w:color w:val="231F20"/>
          <w:spacing w:val="-4"/>
          <w:w w:val="105"/>
        </w:rPr>
        <w:t> </w:t>
      </w:r>
      <w:r>
        <w:rPr>
          <w:color w:val="231F20"/>
          <w:w w:val="105"/>
        </w:rPr>
        <w:t>más</w:t>
      </w:r>
      <w:r>
        <w:rPr>
          <w:color w:val="231F20"/>
          <w:spacing w:val="-4"/>
          <w:w w:val="105"/>
        </w:rPr>
        <w:t> </w:t>
      </w:r>
      <w:r>
        <w:rPr>
          <w:color w:val="231F20"/>
          <w:w w:val="105"/>
        </w:rPr>
        <w:t>se</w:t>
      </w:r>
      <w:r>
        <w:rPr>
          <w:color w:val="231F20"/>
          <w:spacing w:val="-4"/>
          <w:w w:val="105"/>
        </w:rPr>
        <w:t> </w:t>
      </w:r>
      <w:r>
        <w:rPr>
          <w:color w:val="231F20"/>
          <w:w w:val="105"/>
        </w:rPr>
        <w:t>repite</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al- tos mandos en el municipio tienen apenas el nivel de la secundaria, pero le siguen los de</w:t>
      </w:r>
      <w:r>
        <w:rPr>
          <w:color w:val="231F20"/>
          <w:spacing w:val="-6"/>
          <w:w w:val="105"/>
        </w:rPr>
        <w:t> </w:t>
      </w:r>
      <w:r>
        <w:rPr>
          <w:color w:val="231F20"/>
          <w:w w:val="105"/>
        </w:rPr>
        <w:t>licenciatura</w:t>
      </w:r>
      <w:r>
        <w:rPr>
          <w:color w:val="231F20"/>
          <w:spacing w:val="-6"/>
          <w:w w:val="105"/>
        </w:rPr>
        <w:t> </w:t>
      </w:r>
      <w:r>
        <w:rPr>
          <w:color w:val="231F20"/>
          <w:w w:val="105"/>
        </w:rPr>
        <w:t>y</w:t>
      </w:r>
      <w:r>
        <w:rPr>
          <w:color w:val="231F20"/>
          <w:spacing w:val="-6"/>
          <w:w w:val="105"/>
        </w:rPr>
        <w:t> </w:t>
      </w:r>
      <w:r>
        <w:rPr>
          <w:color w:val="231F20"/>
          <w:spacing w:val="-3"/>
          <w:w w:val="105"/>
        </w:rPr>
        <w:t>luego</w:t>
      </w:r>
      <w:r>
        <w:rPr>
          <w:color w:val="231F20"/>
          <w:spacing w:val="-6"/>
          <w:w w:val="105"/>
        </w:rPr>
        <w:t> </w:t>
      </w:r>
      <w:r>
        <w:rPr>
          <w:color w:val="231F20"/>
          <w:w w:val="105"/>
        </w:rPr>
        <w:t>los</w:t>
      </w:r>
      <w:r>
        <w:rPr>
          <w:color w:val="231F20"/>
          <w:spacing w:val="-6"/>
          <w:w w:val="105"/>
        </w:rPr>
        <w:t> </w:t>
      </w:r>
      <w:r>
        <w:rPr>
          <w:color w:val="231F20"/>
          <w:w w:val="105"/>
        </w:rPr>
        <w:t>de</w:t>
      </w:r>
      <w:r>
        <w:rPr>
          <w:color w:val="231F20"/>
          <w:spacing w:val="-6"/>
          <w:w w:val="105"/>
        </w:rPr>
        <w:t> </w:t>
      </w:r>
      <w:r>
        <w:rPr>
          <w:color w:val="231F20"/>
          <w:w w:val="105"/>
        </w:rPr>
        <w:t>preparatoria,</w:t>
      </w:r>
      <w:r>
        <w:rPr>
          <w:color w:val="231F20"/>
          <w:spacing w:val="-6"/>
          <w:w w:val="105"/>
        </w:rPr>
        <w:t> </w:t>
      </w:r>
      <w:r>
        <w:rPr>
          <w:color w:val="231F20"/>
          <w:w w:val="105"/>
        </w:rPr>
        <w:t>con</w:t>
      </w:r>
      <w:r>
        <w:rPr>
          <w:color w:val="231F20"/>
          <w:spacing w:val="-6"/>
          <w:w w:val="105"/>
        </w:rPr>
        <w:t> </w:t>
      </w:r>
      <w:r>
        <w:rPr>
          <w:color w:val="231F20"/>
          <w:w w:val="105"/>
        </w:rPr>
        <w:t>dos</w:t>
      </w:r>
      <w:r>
        <w:rPr>
          <w:color w:val="231F20"/>
          <w:spacing w:val="-6"/>
          <w:w w:val="105"/>
        </w:rPr>
        <w:t> </w:t>
      </w:r>
      <w:r>
        <w:rPr>
          <w:color w:val="231F20"/>
          <w:w w:val="105"/>
        </w:rPr>
        <w:t>de</w:t>
      </w:r>
      <w:r>
        <w:rPr>
          <w:color w:val="231F20"/>
          <w:spacing w:val="-6"/>
          <w:w w:val="105"/>
        </w:rPr>
        <w:t> </w:t>
      </w:r>
      <w:r>
        <w:rPr>
          <w:color w:val="231F20"/>
          <w:w w:val="105"/>
        </w:rPr>
        <w:t>nivel</w:t>
      </w:r>
      <w:r>
        <w:rPr>
          <w:color w:val="231F20"/>
          <w:spacing w:val="-6"/>
          <w:w w:val="105"/>
        </w:rPr>
        <w:t> </w:t>
      </w:r>
      <w:r>
        <w:rPr>
          <w:color w:val="231F20"/>
          <w:w w:val="105"/>
        </w:rPr>
        <w:t>técnico</w:t>
      </w:r>
      <w:r>
        <w:rPr>
          <w:color w:val="231F20"/>
          <w:spacing w:val="-6"/>
          <w:w w:val="105"/>
        </w:rPr>
        <w:t> </w:t>
      </w:r>
      <w:r>
        <w:rPr>
          <w:color w:val="231F20"/>
          <w:w w:val="105"/>
        </w:rPr>
        <w:t>y</w:t>
      </w:r>
      <w:r>
        <w:rPr>
          <w:color w:val="231F20"/>
          <w:spacing w:val="-6"/>
          <w:w w:val="105"/>
        </w:rPr>
        <w:t> </w:t>
      </w:r>
      <w:r>
        <w:rPr>
          <w:color w:val="231F20"/>
          <w:w w:val="105"/>
        </w:rPr>
        <w:t>una</w:t>
      </w:r>
      <w:r>
        <w:rPr>
          <w:color w:val="231F20"/>
          <w:spacing w:val="-6"/>
          <w:w w:val="105"/>
        </w:rPr>
        <w:t> </w:t>
      </w:r>
      <w:r>
        <w:rPr>
          <w:color w:val="231F20"/>
          <w:w w:val="105"/>
        </w:rPr>
        <w:t>maestría.</w:t>
      </w:r>
      <w:r>
        <w:rPr>
          <w:color w:val="231F20"/>
          <w:spacing w:val="-6"/>
          <w:w w:val="105"/>
        </w:rPr>
        <w:t> </w:t>
      </w:r>
      <w:r>
        <w:rPr>
          <w:color w:val="231F20"/>
          <w:w w:val="105"/>
        </w:rPr>
        <w:t>Lo anterior implica poca profesionalización incluso del presidente municipal que cuenta apenas</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preparatoria;</w:t>
      </w:r>
      <w:r>
        <w:rPr>
          <w:color w:val="231F20"/>
          <w:spacing w:val="-12"/>
          <w:w w:val="105"/>
        </w:rPr>
        <w:t> </w:t>
      </w:r>
      <w:r>
        <w:rPr>
          <w:color w:val="231F20"/>
          <w:w w:val="105"/>
        </w:rPr>
        <w:t>todo</w:t>
      </w:r>
      <w:r>
        <w:rPr>
          <w:color w:val="231F20"/>
          <w:spacing w:val="-12"/>
          <w:w w:val="105"/>
        </w:rPr>
        <w:t> </w:t>
      </w:r>
      <w:r>
        <w:rPr>
          <w:color w:val="231F20"/>
          <w:w w:val="105"/>
        </w:rPr>
        <w:t>ello</w:t>
      </w:r>
      <w:r>
        <w:rPr>
          <w:color w:val="231F20"/>
          <w:spacing w:val="-12"/>
          <w:w w:val="105"/>
        </w:rPr>
        <w:t> </w:t>
      </w:r>
      <w:r>
        <w:rPr>
          <w:color w:val="231F20"/>
          <w:w w:val="105"/>
        </w:rPr>
        <w:t>se</w:t>
      </w:r>
      <w:r>
        <w:rPr>
          <w:color w:val="231F20"/>
          <w:spacing w:val="-12"/>
          <w:w w:val="105"/>
        </w:rPr>
        <w:t> </w:t>
      </w:r>
      <w:r>
        <w:rPr>
          <w:color w:val="231F20"/>
          <w:w w:val="105"/>
        </w:rPr>
        <w:t>refleja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gestión,</w:t>
      </w:r>
      <w:r>
        <w:rPr>
          <w:color w:val="231F20"/>
          <w:spacing w:val="-12"/>
          <w:w w:val="105"/>
        </w:rPr>
        <w:t> </w:t>
      </w:r>
      <w:r>
        <w:rPr>
          <w:color w:val="231F20"/>
          <w:w w:val="105"/>
        </w:rPr>
        <w:t>pues</w:t>
      </w:r>
      <w:r>
        <w:rPr>
          <w:color w:val="231F20"/>
          <w:spacing w:val="-12"/>
          <w:w w:val="105"/>
        </w:rPr>
        <w:t> </w:t>
      </w:r>
      <w:r>
        <w:rPr>
          <w:color w:val="231F20"/>
          <w:w w:val="105"/>
        </w:rPr>
        <w:t>como</w:t>
      </w:r>
      <w:r>
        <w:rPr>
          <w:color w:val="231F20"/>
          <w:spacing w:val="-12"/>
          <w:w w:val="105"/>
        </w:rPr>
        <w:t> </w:t>
      </w:r>
      <w:r>
        <w:rPr>
          <w:color w:val="231F20"/>
          <w:w w:val="105"/>
        </w:rPr>
        <w:t>se</w:t>
      </w:r>
      <w:r>
        <w:rPr>
          <w:color w:val="231F20"/>
          <w:spacing w:val="-12"/>
          <w:w w:val="105"/>
        </w:rPr>
        <w:t> </w:t>
      </w:r>
      <w:r>
        <w:rPr>
          <w:color w:val="231F20"/>
          <w:w w:val="105"/>
        </w:rPr>
        <w:t>menciona</w:t>
      </w:r>
      <w:r>
        <w:rPr>
          <w:color w:val="231F20"/>
          <w:spacing w:val="-12"/>
          <w:w w:val="105"/>
        </w:rPr>
        <w:t> </w:t>
      </w:r>
      <w:r>
        <w:rPr>
          <w:color w:val="231F20"/>
          <w:w w:val="105"/>
        </w:rPr>
        <w:t>en el</w:t>
      </w:r>
      <w:r>
        <w:rPr>
          <w:color w:val="231F20"/>
          <w:spacing w:val="-21"/>
          <w:w w:val="105"/>
        </w:rPr>
        <w:t> </w:t>
      </w:r>
      <w:r>
        <w:rPr>
          <w:color w:val="231F20"/>
          <w:w w:val="105"/>
        </w:rPr>
        <w:t>informe,</w:t>
      </w:r>
      <w:r>
        <w:rPr>
          <w:color w:val="231F20"/>
          <w:spacing w:val="-21"/>
          <w:w w:val="105"/>
        </w:rPr>
        <w:t> </w:t>
      </w:r>
      <w:r>
        <w:rPr>
          <w:color w:val="231F20"/>
          <w:spacing w:val="2"/>
          <w:w w:val="105"/>
        </w:rPr>
        <w:t>al</w:t>
      </w:r>
      <w:r>
        <w:rPr>
          <w:color w:val="231F20"/>
          <w:spacing w:val="-21"/>
          <w:w w:val="105"/>
        </w:rPr>
        <w:t> </w:t>
      </w:r>
      <w:r>
        <w:rPr>
          <w:color w:val="231F20"/>
          <w:w w:val="105"/>
        </w:rPr>
        <w:t>carecer</w:t>
      </w:r>
      <w:r>
        <w:rPr>
          <w:color w:val="231F20"/>
          <w:spacing w:val="-21"/>
          <w:w w:val="105"/>
        </w:rPr>
        <w:t> </w:t>
      </w:r>
      <w:r>
        <w:rPr>
          <w:color w:val="231F20"/>
          <w:w w:val="105"/>
        </w:rPr>
        <w:t>de</w:t>
      </w:r>
      <w:r>
        <w:rPr>
          <w:color w:val="231F20"/>
          <w:spacing w:val="-21"/>
          <w:w w:val="105"/>
        </w:rPr>
        <w:t> </w:t>
      </w:r>
      <w:r>
        <w:rPr>
          <w:color w:val="231F20"/>
          <w:w w:val="105"/>
        </w:rPr>
        <w:t>personal</w:t>
      </w:r>
      <w:r>
        <w:rPr>
          <w:color w:val="231F20"/>
          <w:spacing w:val="-21"/>
          <w:w w:val="105"/>
        </w:rPr>
        <w:t> </w:t>
      </w:r>
      <w:r>
        <w:rPr>
          <w:color w:val="231F20"/>
          <w:w w:val="105"/>
        </w:rPr>
        <w:t>especializado</w:t>
      </w:r>
      <w:r>
        <w:rPr>
          <w:color w:val="231F20"/>
          <w:spacing w:val="-21"/>
          <w:w w:val="105"/>
        </w:rPr>
        <w:t> </w:t>
      </w:r>
      <w:r>
        <w:rPr>
          <w:color w:val="231F20"/>
          <w:w w:val="105"/>
        </w:rPr>
        <w:t>no</w:t>
      </w:r>
      <w:r>
        <w:rPr>
          <w:color w:val="231F20"/>
          <w:spacing w:val="-21"/>
          <w:w w:val="105"/>
        </w:rPr>
        <w:t> </w:t>
      </w:r>
      <w:r>
        <w:rPr>
          <w:color w:val="231F20"/>
          <w:w w:val="105"/>
        </w:rPr>
        <w:t>se</w:t>
      </w:r>
      <w:r>
        <w:rPr>
          <w:color w:val="231F20"/>
          <w:spacing w:val="-21"/>
          <w:w w:val="105"/>
        </w:rPr>
        <w:t> </w:t>
      </w:r>
      <w:r>
        <w:rPr>
          <w:color w:val="231F20"/>
          <w:w w:val="105"/>
        </w:rPr>
        <w:t>pueden</w:t>
      </w:r>
      <w:r>
        <w:rPr>
          <w:color w:val="231F20"/>
          <w:spacing w:val="-21"/>
          <w:w w:val="105"/>
        </w:rPr>
        <w:t> </w:t>
      </w:r>
      <w:r>
        <w:rPr>
          <w:color w:val="231F20"/>
          <w:w w:val="105"/>
        </w:rPr>
        <w:t>llevar</w:t>
      </w:r>
      <w:r>
        <w:rPr>
          <w:color w:val="231F20"/>
          <w:spacing w:val="-21"/>
          <w:w w:val="105"/>
        </w:rPr>
        <w:t> </w:t>
      </w:r>
      <w:r>
        <w:rPr>
          <w:color w:val="231F20"/>
          <w:w w:val="105"/>
        </w:rPr>
        <w:t>a</w:t>
      </w:r>
      <w:r>
        <w:rPr>
          <w:color w:val="231F20"/>
          <w:spacing w:val="-21"/>
          <w:w w:val="105"/>
        </w:rPr>
        <w:t> </w:t>
      </w:r>
      <w:r>
        <w:rPr>
          <w:color w:val="231F20"/>
          <w:w w:val="105"/>
        </w:rPr>
        <w:t>cabo</w:t>
      </w:r>
      <w:r>
        <w:rPr>
          <w:color w:val="231F20"/>
          <w:spacing w:val="-21"/>
          <w:w w:val="105"/>
        </w:rPr>
        <w:t> </w:t>
      </w:r>
      <w:r>
        <w:rPr>
          <w:color w:val="231F20"/>
          <w:w w:val="105"/>
        </w:rPr>
        <w:t>funciones</w:t>
      </w:r>
      <w:r>
        <w:rPr>
          <w:color w:val="231F20"/>
          <w:spacing w:val="-21"/>
          <w:w w:val="105"/>
        </w:rPr>
        <w:t> </w:t>
      </w:r>
      <w:r>
        <w:rPr>
          <w:color w:val="231F20"/>
          <w:spacing w:val="2"/>
          <w:w w:val="105"/>
        </w:rPr>
        <w:t>tan </w:t>
      </w:r>
      <w:r>
        <w:rPr>
          <w:color w:val="231F20"/>
          <w:w w:val="105"/>
        </w:rPr>
        <w:t>primordiales</w:t>
      </w:r>
      <w:r>
        <w:rPr>
          <w:color w:val="231F20"/>
          <w:spacing w:val="-21"/>
          <w:w w:val="105"/>
        </w:rPr>
        <w:t> </w:t>
      </w:r>
      <w:r>
        <w:rPr>
          <w:color w:val="231F20"/>
          <w:w w:val="105"/>
        </w:rPr>
        <w:t>como</w:t>
      </w:r>
      <w:r>
        <w:rPr>
          <w:color w:val="231F20"/>
          <w:spacing w:val="-21"/>
          <w:w w:val="105"/>
        </w:rPr>
        <w:t> </w:t>
      </w:r>
      <w:r>
        <w:rPr>
          <w:color w:val="231F20"/>
          <w:w w:val="105"/>
        </w:rPr>
        <w:t>las</w:t>
      </w:r>
      <w:r>
        <w:rPr>
          <w:color w:val="231F20"/>
          <w:spacing w:val="-21"/>
          <w:w w:val="105"/>
        </w:rPr>
        <w:t> </w:t>
      </w:r>
      <w:r>
        <w:rPr>
          <w:color w:val="231F20"/>
          <w:w w:val="105"/>
        </w:rPr>
        <w:t>de</w:t>
      </w:r>
      <w:r>
        <w:rPr>
          <w:color w:val="231F20"/>
          <w:spacing w:val="-21"/>
          <w:w w:val="105"/>
        </w:rPr>
        <w:t> </w:t>
      </w:r>
      <w:r>
        <w:rPr>
          <w:color w:val="231F20"/>
          <w:w w:val="105"/>
        </w:rPr>
        <w:t>planeación</w:t>
      </w:r>
      <w:r>
        <w:rPr>
          <w:color w:val="231F20"/>
          <w:spacing w:val="-21"/>
          <w:w w:val="105"/>
        </w:rPr>
        <w:t> </w:t>
      </w:r>
      <w:r>
        <w:rPr>
          <w:color w:val="231F20"/>
          <w:w w:val="105"/>
        </w:rPr>
        <w:t>y</w:t>
      </w:r>
      <w:r>
        <w:rPr>
          <w:color w:val="231F20"/>
          <w:spacing w:val="-21"/>
          <w:w w:val="105"/>
        </w:rPr>
        <w:t> </w:t>
      </w:r>
      <w:r>
        <w:rPr>
          <w:color w:val="231F20"/>
          <w:w w:val="105"/>
        </w:rPr>
        <w:t>evaluación.</w:t>
      </w:r>
    </w:p>
    <w:p>
      <w:pPr>
        <w:pStyle w:val="BodyText"/>
        <w:spacing w:before="9"/>
      </w:pPr>
    </w:p>
    <w:p>
      <w:pPr>
        <w:pStyle w:val="Heading3"/>
        <w:spacing w:before="1"/>
      </w:pPr>
      <w:r>
        <w:rPr>
          <w:color w:val="231F20"/>
          <w:w w:val="105"/>
        </w:rPr>
        <w:t>Conclusiones</w:t>
      </w:r>
    </w:p>
    <w:p>
      <w:pPr>
        <w:pStyle w:val="BodyText"/>
        <w:spacing w:line="285" w:lineRule="auto" w:before="38"/>
        <w:ind w:left="110" w:right="107"/>
        <w:jc w:val="both"/>
      </w:pPr>
      <w:r>
        <w:rPr>
          <w:color w:val="231F20"/>
          <w:w w:val="105"/>
        </w:rPr>
        <w:t>El</w:t>
      </w:r>
      <w:r>
        <w:rPr>
          <w:color w:val="231F20"/>
          <w:spacing w:val="-13"/>
          <w:w w:val="105"/>
        </w:rPr>
        <w:t> </w:t>
      </w:r>
      <w:r>
        <w:rPr>
          <w:color w:val="231F20"/>
          <w:w w:val="105"/>
        </w:rPr>
        <w:t>PT</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organización</w:t>
      </w:r>
      <w:r>
        <w:rPr>
          <w:color w:val="231F20"/>
          <w:spacing w:val="-13"/>
          <w:w w:val="105"/>
        </w:rPr>
        <w:t> </w:t>
      </w:r>
      <w:r>
        <w:rPr>
          <w:color w:val="231F20"/>
          <w:w w:val="105"/>
        </w:rPr>
        <w:t>política</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sus</w:t>
      </w:r>
      <w:r>
        <w:rPr>
          <w:color w:val="231F20"/>
          <w:spacing w:val="-13"/>
          <w:w w:val="105"/>
        </w:rPr>
        <w:t> </w:t>
      </w:r>
      <w:r>
        <w:rPr>
          <w:color w:val="231F20"/>
          <w:w w:val="105"/>
        </w:rPr>
        <w:t>documentos</w:t>
      </w:r>
      <w:r>
        <w:rPr>
          <w:color w:val="231F20"/>
          <w:spacing w:val="-13"/>
          <w:w w:val="105"/>
        </w:rPr>
        <w:t> </w:t>
      </w:r>
      <w:r>
        <w:rPr>
          <w:color w:val="231F20"/>
          <w:w w:val="105"/>
        </w:rPr>
        <w:t>básicos</w:t>
      </w:r>
      <w:r>
        <w:rPr>
          <w:color w:val="231F20"/>
          <w:spacing w:val="-13"/>
          <w:w w:val="105"/>
        </w:rPr>
        <w:t> </w:t>
      </w:r>
      <w:r>
        <w:rPr>
          <w:color w:val="231F20"/>
          <w:w w:val="105"/>
        </w:rPr>
        <w:t>tiene</w:t>
      </w:r>
      <w:r>
        <w:rPr>
          <w:color w:val="231F20"/>
          <w:spacing w:val="-13"/>
          <w:w w:val="105"/>
        </w:rPr>
        <w:t> </w:t>
      </w:r>
      <w:r>
        <w:rPr>
          <w:color w:val="231F20"/>
          <w:w w:val="105"/>
        </w:rPr>
        <w:t>como</w:t>
      </w:r>
      <w:r>
        <w:rPr>
          <w:color w:val="231F20"/>
          <w:spacing w:val="-13"/>
          <w:w w:val="105"/>
        </w:rPr>
        <w:t> </w:t>
      </w:r>
      <w:r>
        <w:rPr>
          <w:color w:val="231F20"/>
          <w:w w:val="105"/>
        </w:rPr>
        <w:t>finalidad eliminar las enormes diferencias sociales que existen en el país, que impulsa la deno- minada</w:t>
      </w:r>
      <w:r>
        <w:rPr>
          <w:color w:val="231F20"/>
          <w:spacing w:val="-5"/>
          <w:w w:val="105"/>
        </w:rPr>
        <w:t> </w:t>
      </w:r>
      <w:r>
        <w:rPr>
          <w:color w:val="231F20"/>
          <w:w w:val="105"/>
        </w:rPr>
        <w:t>línea</w:t>
      </w:r>
      <w:r>
        <w:rPr>
          <w:color w:val="231F20"/>
          <w:spacing w:val="-5"/>
          <w:w w:val="105"/>
        </w:rPr>
        <w:t> </w:t>
      </w:r>
      <w:r>
        <w:rPr>
          <w:color w:val="231F20"/>
          <w:w w:val="105"/>
        </w:rPr>
        <w:t>de</w:t>
      </w:r>
      <w:r>
        <w:rPr>
          <w:color w:val="231F20"/>
          <w:spacing w:val="-5"/>
          <w:w w:val="105"/>
        </w:rPr>
        <w:t> </w:t>
      </w:r>
      <w:r>
        <w:rPr>
          <w:color w:val="231F20"/>
          <w:w w:val="105"/>
        </w:rPr>
        <w:t>masas</w:t>
      </w:r>
      <w:r>
        <w:rPr>
          <w:color w:val="231F20"/>
          <w:spacing w:val="-5"/>
          <w:w w:val="105"/>
        </w:rPr>
        <w:t> </w:t>
      </w:r>
      <w:r>
        <w:rPr>
          <w:color w:val="231F20"/>
          <w:w w:val="105"/>
        </w:rPr>
        <w:t>como</w:t>
      </w:r>
      <w:r>
        <w:rPr>
          <w:color w:val="231F20"/>
          <w:spacing w:val="-5"/>
          <w:w w:val="105"/>
        </w:rPr>
        <w:t> </w:t>
      </w:r>
      <w:r>
        <w:rPr>
          <w:color w:val="231F20"/>
          <w:w w:val="105"/>
        </w:rPr>
        <w:t>su</w:t>
      </w:r>
      <w:r>
        <w:rPr>
          <w:color w:val="231F20"/>
          <w:spacing w:val="-5"/>
          <w:w w:val="105"/>
        </w:rPr>
        <w:t> </w:t>
      </w:r>
      <w:r>
        <w:rPr>
          <w:color w:val="231F20"/>
          <w:w w:val="105"/>
        </w:rPr>
        <w:t>principal</w:t>
      </w:r>
      <w:r>
        <w:rPr>
          <w:color w:val="231F20"/>
          <w:spacing w:val="-5"/>
          <w:w w:val="105"/>
        </w:rPr>
        <w:t> </w:t>
      </w:r>
      <w:r>
        <w:rPr>
          <w:color w:val="231F20"/>
          <w:w w:val="105"/>
        </w:rPr>
        <w:t>medio</w:t>
      </w:r>
      <w:r>
        <w:rPr>
          <w:color w:val="231F20"/>
          <w:spacing w:val="-5"/>
          <w:w w:val="105"/>
        </w:rPr>
        <w:t> </w:t>
      </w:r>
      <w:r>
        <w:rPr>
          <w:color w:val="231F20"/>
          <w:w w:val="105"/>
        </w:rPr>
        <w:t>de</w:t>
      </w:r>
      <w:r>
        <w:rPr>
          <w:color w:val="231F20"/>
          <w:spacing w:val="-5"/>
          <w:w w:val="105"/>
        </w:rPr>
        <w:t> </w:t>
      </w:r>
      <w:r>
        <w:rPr>
          <w:color w:val="231F20"/>
          <w:w w:val="105"/>
        </w:rPr>
        <w:t>acción</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ámbito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gestión gubernamental,</w:t>
      </w:r>
      <w:r>
        <w:rPr>
          <w:color w:val="231F20"/>
          <w:spacing w:val="-13"/>
          <w:w w:val="105"/>
        </w:rPr>
        <w:t> </w:t>
      </w:r>
      <w:r>
        <w:rPr>
          <w:color w:val="231F20"/>
          <w:w w:val="105"/>
        </w:rPr>
        <w:t>pero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ejercicio</w:t>
      </w:r>
      <w:r>
        <w:rPr>
          <w:color w:val="231F20"/>
          <w:spacing w:val="-13"/>
          <w:w w:val="105"/>
        </w:rPr>
        <w:t> </w:t>
      </w:r>
      <w:r>
        <w:rPr>
          <w:color w:val="231F20"/>
          <w:w w:val="105"/>
        </w:rPr>
        <w:t>del</w:t>
      </w:r>
      <w:r>
        <w:rPr>
          <w:color w:val="231F20"/>
          <w:spacing w:val="-13"/>
          <w:w w:val="105"/>
        </w:rPr>
        <w:t> </w:t>
      </w:r>
      <w:r>
        <w:rPr>
          <w:color w:val="231F20"/>
          <w:w w:val="105"/>
        </w:rPr>
        <w:t>poder</w:t>
      </w:r>
      <w:r>
        <w:rPr>
          <w:color w:val="231F20"/>
          <w:spacing w:val="-13"/>
          <w:w w:val="105"/>
        </w:rPr>
        <w:t> </w:t>
      </w:r>
      <w:r>
        <w:rPr>
          <w:color w:val="231F20"/>
          <w:w w:val="105"/>
        </w:rPr>
        <w:t>municipal</w:t>
      </w:r>
      <w:r>
        <w:rPr>
          <w:color w:val="231F20"/>
          <w:spacing w:val="-13"/>
          <w:w w:val="105"/>
        </w:rPr>
        <w:t> </w:t>
      </w:r>
      <w:r>
        <w:rPr>
          <w:color w:val="231F20"/>
          <w:w w:val="105"/>
        </w:rPr>
        <w:t>nunca</w:t>
      </w:r>
      <w:r>
        <w:rPr>
          <w:color w:val="231F20"/>
          <w:spacing w:val="-13"/>
          <w:w w:val="105"/>
        </w:rPr>
        <w:t> </w:t>
      </w:r>
      <w:r>
        <w:rPr>
          <w:color w:val="231F20"/>
          <w:w w:val="105"/>
        </w:rPr>
        <w:t>se</w:t>
      </w:r>
      <w:r>
        <w:rPr>
          <w:color w:val="231F20"/>
          <w:spacing w:val="-13"/>
          <w:w w:val="105"/>
        </w:rPr>
        <w:t> </w:t>
      </w:r>
      <w:r>
        <w:rPr>
          <w:color w:val="231F20"/>
          <w:w w:val="105"/>
        </w:rPr>
        <w:t>habla</w:t>
      </w:r>
      <w:r>
        <w:rPr>
          <w:color w:val="231F20"/>
          <w:spacing w:val="-13"/>
          <w:w w:val="105"/>
        </w:rPr>
        <w:t> </w:t>
      </w:r>
      <w:r>
        <w:rPr>
          <w:color w:val="231F20"/>
          <w:w w:val="105"/>
        </w:rPr>
        <w:t>de</w:t>
      </w:r>
      <w:r>
        <w:rPr>
          <w:color w:val="231F20"/>
          <w:spacing w:val="-13"/>
          <w:w w:val="105"/>
        </w:rPr>
        <w:t> </w:t>
      </w:r>
      <w:r>
        <w:rPr>
          <w:color w:val="231F20"/>
          <w:w w:val="105"/>
        </w:rPr>
        <w:t>ese</w:t>
      </w:r>
      <w:r>
        <w:rPr>
          <w:color w:val="231F20"/>
          <w:spacing w:val="-13"/>
          <w:w w:val="105"/>
        </w:rPr>
        <w:t> </w:t>
      </w:r>
      <w:r>
        <w:rPr>
          <w:color w:val="231F20"/>
          <w:w w:val="105"/>
        </w:rPr>
        <w:t>factor.</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line="285" w:lineRule="auto" w:before="36"/>
        <w:ind w:left="110" w:right="108"/>
        <w:jc w:val="both"/>
      </w:pPr>
      <w:r>
        <w:rPr>
          <w:color w:val="231F20"/>
          <w:w w:val="105"/>
        </w:rPr>
        <w:t>Ozumba</w:t>
      </w:r>
      <w:r>
        <w:rPr>
          <w:color w:val="231F20"/>
          <w:spacing w:val="-8"/>
          <w:w w:val="105"/>
        </w:rPr>
        <w:t> </w:t>
      </w:r>
      <w:r>
        <w:rPr>
          <w:color w:val="231F20"/>
          <w:w w:val="105"/>
        </w:rPr>
        <w:t>de</w:t>
      </w:r>
      <w:r>
        <w:rPr>
          <w:color w:val="231F20"/>
          <w:spacing w:val="-8"/>
          <w:w w:val="105"/>
        </w:rPr>
        <w:t> </w:t>
      </w:r>
      <w:r>
        <w:rPr>
          <w:color w:val="231F20"/>
          <w:w w:val="105"/>
        </w:rPr>
        <w:t>Alzate</w:t>
      </w:r>
      <w:r>
        <w:rPr>
          <w:color w:val="231F20"/>
          <w:spacing w:val="-8"/>
          <w:w w:val="105"/>
        </w:rPr>
        <w:t> </w:t>
      </w:r>
      <w:r>
        <w:rPr>
          <w:color w:val="231F20"/>
          <w:w w:val="105"/>
        </w:rPr>
        <w:t>es</w:t>
      </w:r>
      <w:r>
        <w:rPr>
          <w:color w:val="231F20"/>
          <w:spacing w:val="-8"/>
          <w:w w:val="105"/>
        </w:rPr>
        <w:t> </w:t>
      </w:r>
      <w:r>
        <w:rPr>
          <w:color w:val="231F20"/>
          <w:w w:val="105"/>
        </w:rPr>
        <w:t>un</w:t>
      </w:r>
      <w:r>
        <w:rPr>
          <w:color w:val="231F20"/>
          <w:spacing w:val="-8"/>
          <w:w w:val="105"/>
        </w:rPr>
        <w:t> </w:t>
      </w:r>
      <w:r>
        <w:rPr>
          <w:color w:val="231F20"/>
          <w:w w:val="105"/>
        </w:rPr>
        <w:t>municipio</w:t>
      </w:r>
      <w:r>
        <w:rPr>
          <w:color w:val="231F20"/>
          <w:spacing w:val="-8"/>
          <w:w w:val="105"/>
        </w:rPr>
        <w:t> </w:t>
      </w:r>
      <w:r>
        <w:rPr>
          <w:color w:val="231F20"/>
          <w:w w:val="105"/>
        </w:rPr>
        <w:t>semiurbano</w:t>
      </w:r>
      <w:r>
        <w:rPr>
          <w:color w:val="231F20"/>
          <w:spacing w:val="-8"/>
          <w:w w:val="105"/>
        </w:rPr>
        <w:t> </w:t>
      </w:r>
      <w:r>
        <w:rPr>
          <w:color w:val="231F20"/>
          <w:w w:val="105"/>
        </w:rPr>
        <w:t>que</w:t>
      </w:r>
      <w:r>
        <w:rPr>
          <w:color w:val="231F20"/>
          <w:spacing w:val="-8"/>
          <w:w w:val="105"/>
        </w:rPr>
        <w:t> </w:t>
      </w:r>
      <w:r>
        <w:rPr>
          <w:color w:val="231F20"/>
          <w:w w:val="105"/>
        </w:rPr>
        <w:t>depende</w:t>
      </w:r>
      <w:r>
        <w:rPr>
          <w:color w:val="231F20"/>
          <w:spacing w:val="-8"/>
          <w:w w:val="105"/>
        </w:rPr>
        <w:t> </w:t>
      </w:r>
      <w:r>
        <w:rPr>
          <w:color w:val="231F20"/>
          <w:w w:val="105"/>
        </w:rPr>
        <w:t>en</w:t>
      </w:r>
      <w:r>
        <w:rPr>
          <w:color w:val="231F20"/>
          <w:spacing w:val="-8"/>
          <w:w w:val="105"/>
        </w:rPr>
        <w:t> </w:t>
      </w:r>
      <w:r>
        <w:rPr>
          <w:color w:val="231F20"/>
          <w:w w:val="105"/>
        </w:rPr>
        <w:t>gran</w:t>
      </w:r>
      <w:r>
        <w:rPr>
          <w:color w:val="231F20"/>
          <w:spacing w:val="-8"/>
          <w:w w:val="105"/>
        </w:rPr>
        <w:t> </w:t>
      </w:r>
      <w:r>
        <w:rPr>
          <w:color w:val="231F20"/>
          <w:w w:val="105"/>
        </w:rPr>
        <w:t>medida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 cursos</w:t>
      </w:r>
      <w:r>
        <w:rPr>
          <w:color w:val="231F20"/>
          <w:spacing w:val="-18"/>
          <w:w w:val="105"/>
        </w:rPr>
        <w:t> </w:t>
      </w:r>
      <w:r>
        <w:rPr>
          <w:color w:val="231F20"/>
          <w:w w:val="105"/>
        </w:rPr>
        <w:t>federales</w:t>
      </w:r>
      <w:r>
        <w:rPr>
          <w:color w:val="231F20"/>
          <w:spacing w:val="-18"/>
          <w:w w:val="105"/>
        </w:rPr>
        <w:t> </w:t>
      </w:r>
      <w:r>
        <w:rPr>
          <w:color w:val="231F20"/>
          <w:w w:val="105"/>
        </w:rPr>
        <w:t>y</w:t>
      </w:r>
      <w:r>
        <w:rPr>
          <w:color w:val="231F20"/>
          <w:spacing w:val="-18"/>
          <w:w w:val="105"/>
        </w:rPr>
        <w:t> </w:t>
      </w:r>
      <w:r>
        <w:rPr>
          <w:color w:val="231F20"/>
          <w:w w:val="105"/>
        </w:rPr>
        <w:t>estatales</w:t>
      </w:r>
      <w:r>
        <w:rPr>
          <w:color w:val="231F20"/>
          <w:spacing w:val="-18"/>
          <w:w w:val="105"/>
        </w:rPr>
        <w:t> </w:t>
      </w:r>
      <w:r>
        <w:rPr>
          <w:color w:val="231F20"/>
          <w:w w:val="105"/>
        </w:rPr>
        <w:t>para</w:t>
      </w:r>
      <w:r>
        <w:rPr>
          <w:color w:val="231F20"/>
          <w:spacing w:val="-18"/>
          <w:w w:val="105"/>
        </w:rPr>
        <w:t> </w:t>
      </w:r>
      <w:r>
        <w:rPr>
          <w:color w:val="231F20"/>
          <w:w w:val="105"/>
        </w:rPr>
        <w:t>llevar</w:t>
      </w:r>
      <w:r>
        <w:rPr>
          <w:color w:val="231F20"/>
          <w:spacing w:val="-18"/>
          <w:w w:val="105"/>
        </w:rPr>
        <w:t> </w:t>
      </w:r>
      <w:r>
        <w:rPr>
          <w:color w:val="231F20"/>
          <w:w w:val="105"/>
        </w:rPr>
        <w:t>a</w:t>
      </w:r>
      <w:r>
        <w:rPr>
          <w:color w:val="231F20"/>
          <w:spacing w:val="-18"/>
          <w:w w:val="105"/>
        </w:rPr>
        <w:t> </w:t>
      </w:r>
      <w:r>
        <w:rPr>
          <w:color w:val="231F20"/>
          <w:w w:val="105"/>
        </w:rPr>
        <w:t>cabo</w:t>
      </w:r>
      <w:r>
        <w:rPr>
          <w:color w:val="231F20"/>
          <w:spacing w:val="-18"/>
          <w:w w:val="105"/>
        </w:rPr>
        <w:t> </w:t>
      </w:r>
      <w:r>
        <w:rPr>
          <w:color w:val="231F20"/>
          <w:w w:val="105"/>
        </w:rPr>
        <w:t>sus</w:t>
      </w:r>
      <w:r>
        <w:rPr>
          <w:color w:val="231F20"/>
          <w:spacing w:val="-18"/>
          <w:w w:val="105"/>
        </w:rPr>
        <w:t> </w:t>
      </w:r>
      <w:r>
        <w:rPr>
          <w:color w:val="231F20"/>
          <w:w w:val="105"/>
        </w:rPr>
        <w:t>programas</w:t>
      </w:r>
      <w:r>
        <w:rPr>
          <w:color w:val="231F20"/>
          <w:spacing w:val="-18"/>
          <w:w w:val="105"/>
        </w:rPr>
        <w:t> </w:t>
      </w:r>
      <w:r>
        <w:rPr>
          <w:color w:val="231F20"/>
          <w:w w:val="105"/>
        </w:rPr>
        <w:t>de</w:t>
      </w:r>
      <w:r>
        <w:rPr>
          <w:color w:val="231F20"/>
          <w:spacing w:val="-18"/>
          <w:w w:val="105"/>
        </w:rPr>
        <w:t> </w:t>
      </w:r>
      <w:r>
        <w:rPr>
          <w:color w:val="231F20"/>
          <w:w w:val="105"/>
        </w:rPr>
        <w:t>gobierno,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gran</w:t>
      </w:r>
      <w:r>
        <w:rPr>
          <w:color w:val="231F20"/>
          <w:spacing w:val="-18"/>
          <w:w w:val="105"/>
        </w:rPr>
        <w:t> </w:t>
      </w:r>
      <w:r>
        <w:rPr>
          <w:color w:val="231F20"/>
          <w:w w:val="105"/>
        </w:rPr>
        <w:t>parte de</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obtenidos</w:t>
      </w:r>
      <w:r>
        <w:rPr>
          <w:color w:val="231F20"/>
          <w:spacing w:val="-10"/>
          <w:w w:val="105"/>
        </w:rPr>
        <w:t> </w:t>
      </w:r>
      <w:r>
        <w:rPr>
          <w:color w:val="231F20"/>
          <w:w w:val="105"/>
        </w:rPr>
        <w:t>se</w:t>
      </w:r>
      <w:r>
        <w:rPr>
          <w:color w:val="231F20"/>
          <w:spacing w:val="-10"/>
          <w:w w:val="105"/>
        </w:rPr>
        <w:t> </w:t>
      </w:r>
      <w:r>
        <w:rPr>
          <w:color w:val="231F20"/>
          <w:w w:val="105"/>
        </w:rPr>
        <w:t>destinan</w:t>
      </w:r>
      <w:r>
        <w:rPr>
          <w:color w:val="231F20"/>
          <w:spacing w:val="-10"/>
          <w:w w:val="105"/>
        </w:rPr>
        <w:t> </w:t>
      </w:r>
      <w:r>
        <w:rPr>
          <w:color w:val="231F20"/>
          <w:w w:val="105"/>
        </w:rPr>
        <w:t>a</w:t>
      </w:r>
      <w:r>
        <w:rPr>
          <w:color w:val="231F20"/>
          <w:spacing w:val="-10"/>
          <w:w w:val="105"/>
        </w:rPr>
        <w:t> </w:t>
      </w:r>
      <w:r>
        <w:rPr>
          <w:color w:val="231F20"/>
          <w:w w:val="105"/>
        </w:rPr>
        <w:t>servicios</w:t>
      </w:r>
      <w:r>
        <w:rPr>
          <w:color w:val="231F20"/>
          <w:spacing w:val="-10"/>
          <w:w w:val="105"/>
        </w:rPr>
        <w:t> </w:t>
      </w:r>
      <w:r>
        <w:rPr>
          <w:color w:val="231F20"/>
          <w:w w:val="105"/>
        </w:rPr>
        <w:t>personales.</w:t>
      </w:r>
      <w:r>
        <w:rPr>
          <w:color w:val="231F20"/>
          <w:spacing w:val="-10"/>
          <w:w w:val="105"/>
        </w:rPr>
        <w:t> </w:t>
      </w:r>
      <w:r>
        <w:rPr>
          <w:color w:val="231F20"/>
          <w:w w:val="105"/>
        </w:rPr>
        <w:t>Con</w:t>
      </w:r>
      <w:r>
        <w:rPr>
          <w:color w:val="231F20"/>
          <w:spacing w:val="-10"/>
          <w:w w:val="105"/>
        </w:rPr>
        <w:t> </w:t>
      </w:r>
      <w:r>
        <w:rPr>
          <w:color w:val="231F20"/>
          <w:w w:val="105"/>
        </w:rPr>
        <w:t>ello</w:t>
      </w:r>
      <w:r>
        <w:rPr>
          <w:color w:val="231F20"/>
          <w:spacing w:val="-10"/>
          <w:w w:val="105"/>
        </w:rPr>
        <w:t> </w:t>
      </w:r>
      <w:r>
        <w:rPr>
          <w:color w:val="231F20"/>
          <w:w w:val="105"/>
        </w:rPr>
        <w:t>se</w:t>
      </w:r>
      <w:r>
        <w:rPr>
          <w:color w:val="231F20"/>
          <w:spacing w:val="-10"/>
          <w:w w:val="105"/>
        </w:rPr>
        <w:t> </w:t>
      </w:r>
      <w:r>
        <w:rPr>
          <w:color w:val="231F20"/>
          <w:w w:val="105"/>
        </w:rPr>
        <w:t>dejan</w:t>
      </w:r>
      <w:r>
        <w:rPr>
          <w:color w:val="231F20"/>
          <w:spacing w:val="-10"/>
          <w:w w:val="105"/>
        </w:rPr>
        <w:t> </w:t>
      </w:r>
      <w:r>
        <w:rPr>
          <w:color w:val="231F20"/>
          <w:w w:val="105"/>
        </w:rPr>
        <w:t>recursos insuficientes</w:t>
      </w:r>
      <w:r>
        <w:rPr>
          <w:color w:val="231F20"/>
          <w:spacing w:val="-10"/>
          <w:w w:val="105"/>
        </w:rPr>
        <w:t> </w:t>
      </w:r>
      <w:r>
        <w:rPr>
          <w:color w:val="231F20"/>
          <w:w w:val="105"/>
        </w:rPr>
        <w:t>para</w:t>
      </w:r>
      <w:r>
        <w:rPr>
          <w:color w:val="231F20"/>
          <w:spacing w:val="-10"/>
          <w:w w:val="105"/>
        </w:rPr>
        <w:t> </w:t>
      </w:r>
      <w:r>
        <w:rPr>
          <w:color w:val="231F20"/>
          <w:w w:val="105"/>
        </w:rPr>
        <w:t>atender</w:t>
      </w:r>
      <w:r>
        <w:rPr>
          <w:color w:val="231F20"/>
          <w:spacing w:val="-10"/>
          <w:w w:val="105"/>
        </w:rPr>
        <w:t> </w:t>
      </w:r>
      <w:r>
        <w:rPr>
          <w:color w:val="231F20"/>
          <w:w w:val="105"/>
        </w:rPr>
        <w:t>las</w:t>
      </w:r>
      <w:r>
        <w:rPr>
          <w:color w:val="231F20"/>
          <w:spacing w:val="-10"/>
          <w:w w:val="105"/>
        </w:rPr>
        <w:t> </w:t>
      </w:r>
      <w:r>
        <w:rPr>
          <w:color w:val="231F20"/>
          <w:w w:val="105"/>
        </w:rPr>
        <w:t>demandas</w:t>
      </w:r>
      <w:r>
        <w:rPr>
          <w:color w:val="231F20"/>
          <w:spacing w:val="-10"/>
          <w:w w:val="105"/>
        </w:rPr>
        <w:t> </w:t>
      </w:r>
      <w:r>
        <w:rPr>
          <w:color w:val="231F20"/>
          <w:w w:val="105"/>
        </w:rPr>
        <w:t>ciudadanas.</w:t>
      </w:r>
    </w:p>
    <w:p>
      <w:pPr>
        <w:pStyle w:val="BodyText"/>
        <w:spacing w:before="1"/>
        <w:rPr>
          <w:sz w:val="26"/>
        </w:rPr>
      </w:pPr>
    </w:p>
    <w:p>
      <w:pPr>
        <w:pStyle w:val="BodyText"/>
        <w:spacing w:line="285" w:lineRule="auto"/>
        <w:ind w:left="110" w:right="108"/>
        <w:jc w:val="both"/>
      </w:pPr>
      <w:r>
        <w:rPr>
          <w:color w:val="231F20"/>
        </w:rPr>
        <w:t>El Plan de desarrollo Municipal tiene coherencia con el Plan Estatal, pero el nivel de profesionalización es insuficiente para implementar mecanismos de seguimiento y eva- luación de las acciones realizadas.</w:t>
      </w:r>
    </w:p>
    <w:p>
      <w:pPr>
        <w:pStyle w:val="BodyText"/>
        <w:spacing w:before="1"/>
        <w:rPr>
          <w:sz w:val="26"/>
        </w:rPr>
      </w:pPr>
    </w:p>
    <w:p>
      <w:pPr>
        <w:pStyle w:val="BodyText"/>
        <w:spacing w:line="285" w:lineRule="auto"/>
        <w:ind w:left="110" w:right="108"/>
        <w:jc w:val="both"/>
      </w:pP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recursos</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destinan</w:t>
      </w:r>
      <w:r>
        <w:rPr>
          <w:color w:val="231F20"/>
          <w:spacing w:val="-11"/>
          <w:w w:val="105"/>
        </w:rPr>
        <w:t> </w:t>
      </w:r>
      <w:r>
        <w:rPr>
          <w:color w:val="231F20"/>
          <w:w w:val="105"/>
        </w:rPr>
        <w:t>a</w:t>
      </w:r>
      <w:r>
        <w:rPr>
          <w:color w:val="231F20"/>
          <w:spacing w:val="-11"/>
          <w:w w:val="105"/>
        </w:rPr>
        <w:t> </w:t>
      </w:r>
      <w:r>
        <w:rPr>
          <w:color w:val="231F20"/>
          <w:w w:val="105"/>
        </w:rPr>
        <w:t>servicios</w:t>
      </w:r>
      <w:r>
        <w:rPr>
          <w:color w:val="231F20"/>
          <w:spacing w:val="-11"/>
          <w:w w:val="105"/>
        </w:rPr>
        <w:t> </w:t>
      </w:r>
      <w:r>
        <w:rPr>
          <w:color w:val="231F20"/>
          <w:w w:val="105"/>
        </w:rPr>
        <w:t>personales,</w:t>
      </w:r>
      <w:r>
        <w:rPr>
          <w:color w:val="231F20"/>
          <w:spacing w:val="-11"/>
          <w:w w:val="105"/>
        </w:rPr>
        <w:t> </w:t>
      </w:r>
      <w:r>
        <w:rPr>
          <w:color w:val="231F20"/>
          <w:w w:val="105"/>
        </w:rPr>
        <w:t>el</w:t>
      </w:r>
      <w:r>
        <w:rPr>
          <w:color w:val="231F20"/>
          <w:spacing w:val="-11"/>
          <w:w w:val="105"/>
        </w:rPr>
        <w:t> </w:t>
      </w:r>
      <w:r>
        <w:rPr>
          <w:color w:val="231F20"/>
          <w:w w:val="105"/>
        </w:rPr>
        <w:t>rubro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obras</w:t>
      </w:r>
      <w:r>
        <w:rPr>
          <w:color w:val="231F20"/>
          <w:spacing w:val="-11"/>
          <w:w w:val="105"/>
        </w:rPr>
        <w:t> </w:t>
      </w:r>
      <w:r>
        <w:rPr>
          <w:color w:val="231F20"/>
          <w:w w:val="105"/>
        </w:rPr>
        <w:t>públicas es el más importante en cuanto </w:t>
      </w:r>
      <w:r>
        <w:rPr>
          <w:color w:val="231F20"/>
          <w:spacing w:val="2"/>
          <w:w w:val="105"/>
        </w:rPr>
        <w:t>al </w:t>
      </w:r>
      <w:r>
        <w:rPr>
          <w:color w:val="231F20"/>
          <w:w w:val="105"/>
        </w:rPr>
        <w:t>ejercicio del gasto. La cabecera municipal es la más beneficiada.</w:t>
      </w:r>
    </w:p>
    <w:p>
      <w:pPr>
        <w:pStyle w:val="BodyText"/>
        <w:spacing w:before="1"/>
        <w:rPr>
          <w:sz w:val="26"/>
        </w:rPr>
      </w:pPr>
    </w:p>
    <w:p>
      <w:pPr>
        <w:pStyle w:val="BodyText"/>
        <w:spacing w:line="285" w:lineRule="auto"/>
        <w:ind w:left="110" w:right="107"/>
        <w:jc w:val="both"/>
      </w:pPr>
      <w:r>
        <w:rPr>
          <w:color w:val="231F20"/>
          <w:w w:val="105"/>
        </w:rPr>
        <w:t>Existen programas que tienen la finalidad de atender a las personas marginadas de la población, pero sus beneficiarios son pocos.</w:t>
      </w:r>
    </w:p>
    <w:p>
      <w:pPr>
        <w:pStyle w:val="BodyText"/>
        <w:spacing w:before="1"/>
        <w:rPr>
          <w:sz w:val="26"/>
        </w:rPr>
      </w:pPr>
    </w:p>
    <w:p>
      <w:pPr>
        <w:pStyle w:val="BodyText"/>
        <w:spacing w:line="285" w:lineRule="auto"/>
        <w:ind w:left="110" w:right="108"/>
        <w:jc w:val="both"/>
      </w:pPr>
      <w:r>
        <w:rPr>
          <w:color w:val="231F20"/>
          <w:w w:val="105"/>
        </w:rPr>
        <w:t>No existe una participación ciudadana que afecte o impulse la gestión municipal; de ésta</w:t>
      </w:r>
      <w:r>
        <w:rPr>
          <w:color w:val="231F20"/>
          <w:spacing w:val="-16"/>
          <w:w w:val="105"/>
        </w:rPr>
        <w:t> </w:t>
      </w:r>
      <w:r>
        <w:rPr>
          <w:color w:val="231F20"/>
          <w:w w:val="105"/>
        </w:rPr>
        <w:t>sólo</w:t>
      </w:r>
      <w:r>
        <w:rPr>
          <w:color w:val="231F20"/>
          <w:spacing w:val="-16"/>
          <w:w w:val="105"/>
        </w:rPr>
        <w:t> </w:t>
      </w:r>
      <w:r>
        <w:rPr>
          <w:color w:val="231F20"/>
          <w:w w:val="105"/>
        </w:rPr>
        <w:t>se</w:t>
      </w:r>
      <w:r>
        <w:rPr>
          <w:color w:val="231F20"/>
          <w:spacing w:val="-16"/>
          <w:w w:val="105"/>
        </w:rPr>
        <w:t> </w:t>
      </w:r>
      <w:r>
        <w:rPr>
          <w:color w:val="231F20"/>
          <w:w w:val="105"/>
        </w:rPr>
        <w:t>tienen</w:t>
      </w:r>
      <w:r>
        <w:rPr>
          <w:color w:val="231F20"/>
          <w:spacing w:val="-16"/>
          <w:w w:val="105"/>
        </w:rPr>
        <w:t> </w:t>
      </w:r>
      <w:r>
        <w:rPr>
          <w:color w:val="231F20"/>
          <w:w w:val="105"/>
        </w:rPr>
        <w:t>referencias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Plan</w:t>
      </w:r>
      <w:r>
        <w:rPr>
          <w:color w:val="231F20"/>
          <w:spacing w:val="-16"/>
          <w:w w:val="105"/>
        </w:rPr>
        <w:t> </w:t>
      </w:r>
      <w:r>
        <w:rPr>
          <w:color w:val="231F20"/>
          <w:w w:val="105"/>
        </w:rPr>
        <w:t>de</w:t>
      </w:r>
      <w:r>
        <w:rPr>
          <w:color w:val="231F20"/>
          <w:spacing w:val="-16"/>
          <w:w w:val="105"/>
        </w:rPr>
        <w:t> </w:t>
      </w:r>
      <w:r>
        <w:rPr>
          <w:color w:val="231F20"/>
          <w:w w:val="105"/>
        </w:rPr>
        <w:t>Desarrollo</w:t>
      </w:r>
      <w:r>
        <w:rPr>
          <w:color w:val="231F20"/>
          <w:spacing w:val="-16"/>
          <w:w w:val="105"/>
        </w:rPr>
        <w:t> </w:t>
      </w:r>
      <w:r>
        <w:rPr>
          <w:color w:val="231F20"/>
          <w:w w:val="105"/>
        </w:rPr>
        <w:t>desde</w:t>
      </w:r>
      <w:r>
        <w:rPr>
          <w:color w:val="231F20"/>
          <w:spacing w:val="-16"/>
          <w:w w:val="105"/>
        </w:rPr>
        <w:t> </w:t>
      </w:r>
      <w:r>
        <w:rPr>
          <w:color w:val="231F20"/>
          <w:w w:val="105"/>
        </w:rPr>
        <w:t>una</w:t>
      </w:r>
      <w:r>
        <w:rPr>
          <w:color w:val="231F20"/>
          <w:spacing w:val="-16"/>
          <w:w w:val="105"/>
        </w:rPr>
        <w:t> </w:t>
      </w:r>
      <w:r>
        <w:rPr>
          <w:color w:val="231F20"/>
          <w:w w:val="105"/>
        </w:rPr>
        <w:t>perspectiva</w:t>
      </w:r>
      <w:r>
        <w:rPr>
          <w:color w:val="231F20"/>
          <w:spacing w:val="-16"/>
          <w:w w:val="105"/>
        </w:rPr>
        <w:t> </w:t>
      </w:r>
      <w:r>
        <w:rPr>
          <w:color w:val="231F20"/>
          <w:w w:val="105"/>
        </w:rPr>
        <w:t>de</w:t>
      </w:r>
      <w:r>
        <w:rPr>
          <w:color w:val="231F20"/>
          <w:spacing w:val="-16"/>
          <w:w w:val="105"/>
        </w:rPr>
        <w:t> </w:t>
      </w:r>
      <w:r>
        <w:rPr>
          <w:color w:val="231F20"/>
          <w:w w:val="105"/>
        </w:rPr>
        <w:t>deman- das de obra</w:t>
      </w:r>
      <w:r>
        <w:rPr>
          <w:color w:val="231F20"/>
          <w:spacing w:val="-43"/>
          <w:w w:val="105"/>
        </w:rPr>
        <w:t> </w:t>
      </w:r>
      <w:r>
        <w:rPr>
          <w:color w:val="231F20"/>
          <w:w w:val="105"/>
        </w:rPr>
        <w:t>pública.</w:t>
      </w:r>
    </w:p>
    <w:p>
      <w:pPr>
        <w:pStyle w:val="BodyText"/>
        <w:spacing w:before="1"/>
        <w:rPr>
          <w:sz w:val="26"/>
        </w:rPr>
      </w:pPr>
    </w:p>
    <w:p>
      <w:pPr>
        <w:pStyle w:val="BodyText"/>
        <w:spacing w:line="285" w:lineRule="auto"/>
        <w:ind w:left="110" w:right="108"/>
        <w:jc w:val="both"/>
      </w:pPr>
      <w:r>
        <w:rPr>
          <w:color w:val="231F20"/>
          <w:w w:val="105"/>
        </w:rPr>
        <w:t>Existe una reglamentación municipal y unas estructuras de gobierno adecuadas para poder desarrollar las acciones de gobierno; por lo que se cumple con los aspectos for- males de gobierno.</w:t>
      </w:r>
    </w:p>
    <w:p>
      <w:pPr>
        <w:pStyle w:val="BodyText"/>
        <w:spacing w:before="1"/>
        <w:rPr>
          <w:sz w:val="26"/>
        </w:rPr>
      </w:pPr>
    </w:p>
    <w:p>
      <w:pPr>
        <w:pStyle w:val="BodyText"/>
        <w:spacing w:line="285" w:lineRule="auto"/>
        <w:ind w:left="110" w:right="108"/>
        <w:jc w:val="both"/>
      </w:pPr>
      <w:r>
        <w:rPr>
          <w:color w:val="231F20"/>
          <w:w w:val="105"/>
        </w:rPr>
        <w:t>Los</w:t>
      </w:r>
      <w:r>
        <w:rPr>
          <w:color w:val="231F20"/>
          <w:spacing w:val="-27"/>
          <w:w w:val="105"/>
        </w:rPr>
        <w:t> </w:t>
      </w:r>
      <w:r>
        <w:rPr>
          <w:color w:val="231F20"/>
          <w:w w:val="105"/>
        </w:rPr>
        <w:t>servicios</w:t>
      </w:r>
      <w:r>
        <w:rPr>
          <w:color w:val="231F20"/>
          <w:spacing w:val="-27"/>
          <w:w w:val="105"/>
        </w:rPr>
        <w:t> </w:t>
      </w:r>
      <w:r>
        <w:rPr>
          <w:color w:val="231F20"/>
          <w:w w:val="105"/>
        </w:rPr>
        <w:t>municipales</w:t>
      </w:r>
      <w:r>
        <w:rPr>
          <w:color w:val="231F20"/>
          <w:spacing w:val="-27"/>
          <w:w w:val="105"/>
        </w:rPr>
        <w:t> </w:t>
      </w:r>
      <w:r>
        <w:rPr>
          <w:color w:val="231F20"/>
          <w:spacing w:val="-3"/>
          <w:w w:val="105"/>
        </w:rPr>
        <w:t>son</w:t>
      </w:r>
      <w:r>
        <w:rPr>
          <w:color w:val="231F20"/>
          <w:spacing w:val="-27"/>
          <w:w w:val="105"/>
        </w:rPr>
        <w:t> </w:t>
      </w:r>
      <w:r>
        <w:rPr>
          <w:color w:val="231F20"/>
          <w:w w:val="105"/>
        </w:rPr>
        <w:t>altamente</w:t>
      </w:r>
      <w:r>
        <w:rPr>
          <w:color w:val="231F20"/>
          <w:spacing w:val="-27"/>
          <w:w w:val="105"/>
        </w:rPr>
        <w:t> </w:t>
      </w:r>
      <w:r>
        <w:rPr>
          <w:color w:val="231F20"/>
          <w:spacing w:val="-4"/>
          <w:w w:val="105"/>
        </w:rPr>
        <w:t>atendidos</w:t>
      </w:r>
      <w:r>
        <w:rPr>
          <w:color w:val="231F20"/>
          <w:spacing w:val="-27"/>
          <w:w w:val="105"/>
        </w:rPr>
        <w:t> </w:t>
      </w:r>
      <w:r>
        <w:rPr>
          <w:color w:val="231F20"/>
          <w:spacing w:val="-3"/>
          <w:w w:val="105"/>
        </w:rPr>
        <w:t>por</w:t>
      </w:r>
      <w:r>
        <w:rPr>
          <w:color w:val="231F20"/>
          <w:spacing w:val="-27"/>
          <w:w w:val="105"/>
        </w:rPr>
        <w:t> </w:t>
      </w:r>
      <w:r>
        <w:rPr>
          <w:color w:val="231F20"/>
          <w:w w:val="105"/>
        </w:rPr>
        <w:t>la</w:t>
      </w:r>
      <w:r>
        <w:rPr>
          <w:color w:val="231F20"/>
          <w:spacing w:val="-27"/>
          <w:w w:val="105"/>
        </w:rPr>
        <w:t> </w:t>
      </w:r>
      <w:r>
        <w:rPr>
          <w:color w:val="231F20"/>
          <w:w w:val="105"/>
        </w:rPr>
        <w:t>administración</w:t>
      </w:r>
      <w:r>
        <w:rPr>
          <w:color w:val="231F20"/>
          <w:spacing w:val="-27"/>
          <w:w w:val="105"/>
        </w:rPr>
        <w:t> </w:t>
      </w:r>
      <w:r>
        <w:rPr>
          <w:color w:val="231F20"/>
          <w:w w:val="105"/>
        </w:rPr>
        <w:t>municipal</w:t>
      </w:r>
      <w:r>
        <w:rPr>
          <w:color w:val="231F20"/>
          <w:spacing w:val="-27"/>
          <w:w w:val="105"/>
        </w:rPr>
        <w:t> </w:t>
      </w:r>
      <w:r>
        <w:rPr>
          <w:color w:val="231F20"/>
          <w:w w:val="105"/>
        </w:rPr>
        <w:t>y</w:t>
      </w:r>
      <w:r>
        <w:rPr>
          <w:color w:val="231F20"/>
          <w:spacing w:val="-27"/>
          <w:w w:val="105"/>
        </w:rPr>
        <w:t> </w:t>
      </w:r>
      <w:r>
        <w:rPr>
          <w:color w:val="231F20"/>
          <w:w w:val="105"/>
        </w:rPr>
        <w:t>ello es</w:t>
      </w:r>
      <w:r>
        <w:rPr>
          <w:color w:val="231F20"/>
          <w:spacing w:val="-30"/>
          <w:w w:val="105"/>
        </w:rPr>
        <w:t> </w:t>
      </w:r>
      <w:r>
        <w:rPr>
          <w:color w:val="231F20"/>
          <w:w w:val="105"/>
        </w:rPr>
        <w:t>importante</w:t>
      </w:r>
      <w:r>
        <w:rPr>
          <w:color w:val="231F20"/>
          <w:spacing w:val="-30"/>
          <w:w w:val="105"/>
        </w:rPr>
        <w:t> </w:t>
      </w:r>
      <w:r>
        <w:rPr>
          <w:color w:val="231F20"/>
          <w:w w:val="105"/>
        </w:rPr>
        <w:t>para</w:t>
      </w:r>
      <w:r>
        <w:rPr>
          <w:color w:val="231F20"/>
          <w:spacing w:val="-30"/>
          <w:w w:val="105"/>
        </w:rPr>
        <w:t> </w:t>
      </w:r>
      <w:r>
        <w:rPr>
          <w:color w:val="231F20"/>
          <w:w w:val="105"/>
        </w:rPr>
        <w:t>una</w:t>
      </w:r>
      <w:r>
        <w:rPr>
          <w:color w:val="231F20"/>
          <w:spacing w:val="-30"/>
          <w:w w:val="105"/>
        </w:rPr>
        <w:t> </w:t>
      </w:r>
      <w:r>
        <w:rPr>
          <w:color w:val="231F20"/>
          <w:spacing w:val="-4"/>
          <w:w w:val="105"/>
        </w:rPr>
        <w:t>menor</w:t>
      </w:r>
      <w:r>
        <w:rPr>
          <w:color w:val="231F20"/>
          <w:spacing w:val="-30"/>
          <w:w w:val="105"/>
        </w:rPr>
        <w:t> </w:t>
      </w:r>
      <w:r>
        <w:rPr>
          <w:color w:val="231F20"/>
          <w:spacing w:val="-3"/>
          <w:w w:val="105"/>
        </w:rPr>
        <w:t>exigencia</w:t>
      </w:r>
      <w:r>
        <w:rPr>
          <w:color w:val="231F20"/>
          <w:spacing w:val="-30"/>
          <w:w w:val="105"/>
        </w:rPr>
        <w:t> </w:t>
      </w:r>
      <w:r>
        <w:rPr>
          <w:color w:val="231F20"/>
          <w:w w:val="105"/>
        </w:rPr>
        <w:t>social</w:t>
      </w:r>
      <w:r>
        <w:rPr>
          <w:color w:val="231F20"/>
          <w:spacing w:val="-30"/>
          <w:w w:val="105"/>
        </w:rPr>
        <w:t> </w:t>
      </w:r>
      <w:r>
        <w:rPr>
          <w:color w:val="231F20"/>
          <w:spacing w:val="-3"/>
          <w:w w:val="105"/>
        </w:rPr>
        <w:t>hacia</w:t>
      </w:r>
      <w:r>
        <w:rPr>
          <w:color w:val="231F20"/>
          <w:spacing w:val="-30"/>
          <w:w w:val="105"/>
        </w:rPr>
        <w:t> </w:t>
      </w:r>
      <w:r>
        <w:rPr>
          <w:color w:val="231F20"/>
          <w:w w:val="105"/>
        </w:rPr>
        <w:t>el</w:t>
      </w:r>
      <w:r>
        <w:rPr>
          <w:color w:val="231F20"/>
          <w:spacing w:val="-30"/>
          <w:w w:val="105"/>
        </w:rPr>
        <w:t> </w:t>
      </w:r>
      <w:r>
        <w:rPr>
          <w:color w:val="231F20"/>
          <w:spacing w:val="-4"/>
          <w:w w:val="105"/>
        </w:rPr>
        <w:t>gobierno.</w:t>
      </w:r>
      <w:r>
        <w:rPr>
          <w:color w:val="231F20"/>
          <w:spacing w:val="-30"/>
          <w:w w:val="105"/>
        </w:rPr>
        <w:t> </w:t>
      </w:r>
      <w:r>
        <w:rPr>
          <w:color w:val="231F20"/>
          <w:w w:val="105"/>
        </w:rPr>
        <w:t>Se</w:t>
      </w:r>
      <w:r>
        <w:rPr>
          <w:color w:val="231F20"/>
          <w:spacing w:val="-30"/>
          <w:w w:val="105"/>
        </w:rPr>
        <w:t> </w:t>
      </w:r>
      <w:r>
        <w:rPr>
          <w:color w:val="231F20"/>
          <w:spacing w:val="-3"/>
          <w:w w:val="105"/>
        </w:rPr>
        <w:t>pone</w:t>
      </w:r>
      <w:r>
        <w:rPr>
          <w:color w:val="231F20"/>
          <w:spacing w:val="-30"/>
          <w:w w:val="105"/>
        </w:rPr>
        <w:t> </w:t>
      </w:r>
      <w:r>
        <w:rPr>
          <w:color w:val="231F20"/>
          <w:w w:val="105"/>
        </w:rPr>
        <w:t>especial</w:t>
      </w:r>
      <w:r>
        <w:rPr>
          <w:color w:val="231F20"/>
          <w:spacing w:val="-30"/>
          <w:w w:val="105"/>
        </w:rPr>
        <w:t> </w:t>
      </w:r>
      <w:r>
        <w:rPr>
          <w:color w:val="231F20"/>
          <w:spacing w:val="-4"/>
          <w:w w:val="105"/>
        </w:rPr>
        <w:t>atención </w:t>
      </w:r>
      <w:r>
        <w:rPr>
          <w:color w:val="231F20"/>
          <w:w w:val="105"/>
        </w:rPr>
        <w:t>al</w:t>
      </w:r>
      <w:r>
        <w:rPr>
          <w:color w:val="231F20"/>
          <w:spacing w:val="-16"/>
          <w:w w:val="105"/>
        </w:rPr>
        <w:t> </w:t>
      </w:r>
      <w:r>
        <w:rPr>
          <w:color w:val="231F20"/>
          <w:w w:val="105"/>
        </w:rPr>
        <w:t>servicio</w:t>
      </w:r>
      <w:r>
        <w:rPr>
          <w:color w:val="231F20"/>
          <w:spacing w:val="-16"/>
          <w:w w:val="105"/>
        </w:rPr>
        <w:t> </w:t>
      </w:r>
      <w:r>
        <w:rPr>
          <w:color w:val="231F20"/>
          <w:w w:val="105"/>
        </w:rPr>
        <w:t>de</w:t>
      </w:r>
      <w:r>
        <w:rPr>
          <w:color w:val="231F20"/>
          <w:spacing w:val="-16"/>
          <w:w w:val="105"/>
        </w:rPr>
        <w:t> </w:t>
      </w:r>
      <w:r>
        <w:rPr>
          <w:color w:val="231F20"/>
          <w:w w:val="105"/>
        </w:rPr>
        <w:t>agua</w:t>
      </w:r>
      <w:r>
        <w:rPr>
          <w:color w:val="231F20"/>
          <w:spacing w:val="-16"/>
          <w:w w:val="105"/>
        </w:rPr>
        <w:t> </w:t>
      </w:r>
      <w:r>
        <w:rPr>
          <w:color w:val="231F20"/>
          <w:spacing w:val="-3"/>
          <w:w w:val="105"/>
        </w:rPr>
        <w:t>potable</w:t>
      </w:r>
      <w:r>
        <w:rPr>
          <w:color w:val="231F20"/>
          <w:spacing w:val="-16"/>
          <w:w w:val="105"/>
        </w:rPr>
        <w:t> </w:t>
      </w:r>
      <w:r>
        <w:rPr>
          <w:color w:val="231F20"/>
          <w:spacing w:val="-4"/>
          <w:w w:val="105"/>
        </w:rPr>
        <w:t>como</w:t>
      </w:r>
      <w:r>
        <w:rPr>
          <w:color w:val="231F20"/>
          <w:spacing w:val="-16"/>
          <w:w w:val="105"/>
        </w:rPr>
        <w:t> </w:t>
      </w:r>
      <w:r>
        <w:rPr>
          <w:color w:val="231F20"/>
          <w:w w:val="105"/>
        </w:rPr>
        <w:t>un</w:t>
      </w:r>
      <w:r>
        <w:rPr>
          <w:color w:val="231F20"/>
          <w:spacing w:val="-16"/>
          <w:w w:val="105"/>
        </w:rPr>
        <w:t> </w:t>
      </w:r>
      <w:r>
        <w:rPr>
          <w:color w:val="231F20"/>
          <w:spacing w:val="-3"/>
          <w:w w:val="105"/>
        </w:rPr>
        <w:t>factor</w:t>
      </w:r>
      <w:r>
        <w:rPr>
          <w:color w:val="231F20"/>
          <w:spacing w:val="-16"/>
          <w:w w:val="105"/>
        </w:rPr>
        <w:t> </w:t>
      </w:r>
      <w:r>
        <w:rPr>
          <w:color w:val="231F20"/>
          <w:w w:val="105"/>
        </w:rPr>
        <w:t>fundamental</w:t>
      </w:r>
      <w:r>
        <w:rPr>
          <w:color w:val="231F20"/>
          <w:spacing w:val="-16"/>
          <w:w w:val="105"/>
        </w:rPr>
        <w:t> </w:t>
      </w:r>
      <w:r>
        <w:rPr>
          <w:color w:val="231F20"/>
          <w:w w:val="105"/>
        </w:rPr>
        <w:t>para</w:t>
      </w:r>
      <w:r>
        <w:rPr>
          <w:color w:val="231F20"/>
          <w:spacing w:val="-16"/>
          <w:w w:val="105"/>
        </w:rPr>
        <w:t> </w:t>
      </w:r>
      <w:r>
        <w:rPr>
          <w:color w:val="231F20"/>
          <w:w w:val="105"/>
        </w:rPr>
        <w:t>la</w:t>
      </w:r>
      <w:r>
        <w:rPr>
          <w:color w:val="231F20"/>
          <w:spacing w:val="-16"/>
          <w:w w:val="105"/>
        </w:rPr>
        <w:t> </w:t>
      </w:r>
      <w:r>
        <w:rPr>
          <w:color w:val="231F20"/>
          <w:spacing w:val="-4"/>
          <w:w w:val="105"/>
        </w:rPr>
        <w:t>población</w:t>
      </w:r>
      <w:r>
        <w:rPr>
          <w:color w:val="231F20"/>
          <w:spacing w:val="-16"/>
          <w:w w:val="105"/>
        </w:rPr>
        <w:t> </w:t>
      </w:r>
      <w:r>
        <w:rPr>
          <w:color w:val="231F20"/>
          <w:w w:val="105"/>
        </w:rPr>
        <w:t>de</w:t>
      </w:r>
      <w:r>
        <w:rPr>
          <w:color w:val="231F20"/>
          <w:spacing w:val="-16"/>
          <w:w w:val="105"/>
        </w:rPr>
        <w:t> </w:t>
      </w:r>
      <w:r>
        <w:rPr>
          <w:color w:val="231F20"/>
          <w:w w:val="105"/>
        </w:rPr>
        <w:t>Ozumba.</w:t>
      </w:r>
    </w:p>
    <w:p>
      <w:pPr>
        <w:pStyle w:val="BodyText"/>
        <w:spacing w:before="1"/>
        <w:rPr>
          <w:sz w:val="26"/>
        </w:rPr>
      </w:pPr>
    </w:p>
    <w:p>
      <w:pPr>
        <w:pStyle w:val="BodyText"/>
        <w:spacing w:line="285" w:lineRule="auto"/>
        <w:ind w:left="110" w:right="107"/>
        <w:jc w:val="both"/>
      </w:pPr>
      <w:r>
        <w:rPr>
          <w:color w:val="231F20"/>
          <w:w w:val="105"/>
        </w:rPr>
        <w:t>Finalmente, cabe agregar que existe una reducida relación entre la ideología del PT y la gestión en el gobierno municipal de Ozumba, lo más cercano es el compromiso de trabajar para la gente que hace el presidente municipal en sus compromisos  políticos</w:t>
      </w:r>
    </w:p>
    <w:p>
      <w:pPr>
        <w:spacing w:after="0" w:line="285" w:lineRule="auto"/>
        <w:jc w:val="both"/>
        <w:sectPr>
          <w:pgSz w:w="9640" w:h="12190"/>
          <w:pgMar w:header="0" w:footer="743" w:top="1120" w:bottom="940" w:left="740" w:right="740"/>
        </w:sectPr>
      </w:pPr>
    </w:p>
    <w:p>
      <w:pPr>
        <w:pStyle w:val="BodyText"/>
        <w:spacing w:before="3"/>
        <w:rPr>
          <w:sz w:val="11"/>
        </w:rPr>
      </w:pPr>
    </w:p>
    <w:p>
      <w:pPr>
        <w:pStyle w:val="BodyText"/>
        <w:spacing w:before="36"/>
        <w:ind w:left="110" w:right="484"/>
      </w:pPr>
      <w:r>
        <w:rPr>
          <w:color w:val="231F20"/>
          <w:w w:val="105"/>
        </w:rPr>
        <w:t>expresados en el Plan de Desarrollo Municipal.</w:t>
      </w:r>
    </w:p>
    <w:p>
      <w:pPr>
        <w:pStyle w:val="BodyText"/>
        <w:spacing w:before="10"/>
        <w:rPr>
          <w:sz w:val="26"/>
        </w:rPr>
      </w:pPr>
    </w:p>
    <w:p>
      <w:pPr>
        <w:pStyle w:val="Heading3"/>
        <w:ind w:right="484"/>
        <w:jc w:val="left"/>
      </w:pPr>
      <w:r>
        <w:rPr>
          <w:color w:val="231F20"/>
          <w:w w:val="105"/>
        </w:rPr>
        <w:t>Fuentes de consulta</w:t>
      </w:r>
    </w:p>
    <w:p>
      <w:pPr>
        <w:spacing w:before="75"/>
        <w:ind w:left="110" w:right="484" w:firstLine="0"/>
        <w:jc w:val="left"/>
        <w:rPr>
          <w:sz w:val="18"/>
        </w:rPr>
      </w:pPr>
      <w:r>
        <w:rPr>
          <w:color w:val="231F20"/>
          <w:sz w:val="18"/>
        </w:rPr>
        <w:t>CABRERO MENDOZA, Enrique. (1997) Del Administrador al Gerente   Público.</w:t>
      </w:r>
    </w:p>
    <w:p>
      <w:pPr>
        <w:spacing w:before="93"/>
        <w:ind w:left="393" w:right="484" w:firstLine="0"/>
        <w:jc w:val="left"/>
        <w:rPr>
          <w:sz w:val="18"/>
        </w:rPr>
      </w:pPr>
      <w:r>
        <w:rPr>
          <w:color w:val="231F20"/>
          <w:sz w:val="18"/>
        </w:rPr>
        <w:t>México, INAP, Segunda  edición.</w:t>
      </w:r>
    </w:p>
    <w:p>
      <w:pPr>
        <w:spacing w:line="348" w:lineRule="auto" w:before="93"/>
        <w:ind w:left="393" w:right="3161" w:hanging="284"/>
        <w:jc w:val="left"/>
        <w:rPr>
          <w:sz w:val="18"/>
        </w:rPr>
      </w:pPr>
      <w:r>
        <w:rPr>
          <w:color w:val="231F20"/>
          <w:sz w:val="18"/>
        </w:rPr>
        <w:t>DUVERGER, Maurice. (1994) Los Partidos Políticos., México, FCE, 14ª. Reimpresión.</w:t>
      </w:r>
    </w:p>
    <w:p>
      <w:pPr>
        <w:spacing w:before="3"/>
        <w:ind w:left="110" w:right="484" w:firstLine="0"/>
        <w:jc w:val="left"/>
        <w:rPr>
          <w:sz w:val="18"/>
        </w:rPr>
      </w:pPr>
      <w:r>
        <w:rPr>
          <w:color w:val="231F20"/>
          <w:sz w:val="18"/>
        </w:rPr>
        <w:t>ENCICLOPEDIA DE LOS MUNICIPIOS EN MÉXICO, (2000)</w:t>
      </w:r>
    </w:p>
    <w:p>
      <w:pPr>
        <w:spacing w:line="348" w:lineRule="auto" w:before="93"/>
        <w:ind w:left="393" w:right="484" w:firstLine="0"/>
        <w:jc w:val="left"/>
        <w:rPr>
          <w:sz w:val="18"/>
        </w:rPr>
      </w:pPr>
      <w:r>
        <w:rPr>
          <w:color w:val="231F20"/>
          <w:w w:val="105"/>
          <w:sz w:val="18"/>
        </w:rPr>
        <w:t>Ozumba (Documento en línea) disponible en: </w:t>
      </w:r>
      <w:hyperlink r:id="rId1256">
        <w:r>
          <w:rPr>
            <w:color w:val="231F20"/>
            <w:w w:val="105"/>
            <w:sz w:val="18"/>
          </w:rPr>
          <w:t>www.e-local.gob.mx/wb2/ELOCAL/ELOC_</w:t>
        </w:r>
      </w:hyperlink>
      <w:r>
        <w:rPr>
          <w:color w:val="231F20"/>
          <w:w w:val="105"/>
          <w:sz w:val="18"/>
        </w:rPr>
        <w:t> Enciclopedia - 30k - (Acceso 20 de febrero de 2009)</w:t>
      </w:r>
    </w:p>
    <w:p>
      <w:pPr>
        <w:spacing w:line="348" w:lineRule="auto" w:before="3"/>
        <w:ind w:left="393" w:right="3161" w:hanging="284"/>
        <w:jc w:val="left"/>
        <w:rPr>
          <w:sz w:val="18"/>
        </w:rPr>
      </w:pPr>
      <w:r>
        <w:rPr>
          <w:color w:val="231F20"/>
          <w:sz w:val="18"/>
        </w:rPr>
        <w:t>GUERRERO, Omar. (2004) La Nueva Gerencia Pública, México,  Fontamara.</w:t>
      </w:r>
    </w:p>
    <w:p>
      <w:pPr>
        <w:spacing w:line="348" w:lineRule="auto" w:before="3"/>
        <w:ind w:left="393" w:right="359" w:hanging="284"/>
        <w:jc w:val="left"/>
        <w:rPr>
          <w:sz w:val="18"/>
        </w:rPr>
      </w:pPr>
      <w:r>
        <w:rPr>
          <w:color w:val="231F20"/>
          <w:sz w:val="18"/>
        </w:rPr>
        <w:t>AYUNTAMIENTO DE OZUMBA (2009) Relación de personal del H. Ayuntamiento de Ozumba 2006-2009. “Escolaridad”</w:t>
      </w:r>
    </w:p>
    <w:p>
      <w:pPr>
        <w:spacing w:before="3"/>
        <w:ind w:left="110" w:right="484" w:firstLine="0"/>
        <w:jc w:val="left"/>
        <w:rPr>
          <w:sz w:val="18"/>
        </w:rPr>
      </w:pPr>
      <w:r>
        <w:rPr>
          <w:color w:val="231F20"/>
          <w:sz w:val="18"/>
        </w:rPr>
        <w:t>IEEM. Resultados electorales (2006)   Ozumba</w:t>
      </w:r>
    </w:p>
    <w:p>
      <w:pPr>
        <w:spacing w:line="348" w:lineRule="auto" w:before="93"/>
        <w:ind w:left="393" w:right="484" w:firstLine="0"/>
        <w:jc w:val="left"/>
        <w:rPr>
          <w:sz w:val="18"/>
        </w:rPr>
      </w:pPr>
      <w:r>
        <w:rPr>
          <w:color w:val="231F20"/>
          <w:w w:val="105"/>
          <w:sz w:val="18"/>
        </w:rPr>
        <w:t>(Documento en línea) disponible en: </w:t>
      </w:r>
      <w:hyperlink r:id="rId1257">
        <w:r>
          <w:rPr>
            <w:color w:val="231F20"/>
            <w:w w:val="105"/>
            <w:sz w:val="18"/>
          </w:rPr>
          <w:t>http://www.ieem.org.mx/069ozumba_a.html.</w:t>
        </w:r>
      </w:hyperlink>
      <w:r>
        <w:rPr>
          <w:color w:val="231F20"/>
          <w:w w:val="105"/>
          <w:sz w:val="18"/>
        </w:rPr>
        <w:t> ( Acceso: 07 de febrero de 2009)</w:t>
      </w:r>
    </w:p>
    <w:p>
      <w:pPr>
        <w:spacing w:before="3"/>
        <w:ind w:left="110" w:right="484" w:firstLine="0"/>
        <w:jc w:val="left"/>
        <w:rPr>
          <w:sz w:val="18"/>
        </w:rPr>
      </w:pPr>
      <w:r>
        <w:rPr>
          <w:color w:val="231F20"/>
          <w:w w:val="105"/>
          <w:sz w:val="18"/>
        </w:rPr>
        <w:t>INEGI. Población Municipio Ozumba. (Documento en línea).</w:t>
      </w:r>
    </w:p>
    <w:p>
      <w:pPr>
        <w:spacing w:line="348" w:lineRule="auto" w:before="93"/>
        <w:ind w:left="393" w:right="484" w:firstLine="0"/>
        <w:jc w:val="left"/>
        <w:rPr>
          <w:sz w:val="18"/>
        </w:rPr>
      </w:pPr>
      <w:r>
        <w:rPr>
          <w:color w:val="231F20"/>
          <w:sz w:val="18"/>
        </w:rPr>
        <w:t>Disponible en: </w:t>
      </w:r>
      <w:hyperlink r:id="rId1258">
        <w:r>
          <w:rPr>
            <w:color w:val="231F20"/>
            <w:sz w:val="18"/>
          </w:rPr>
          <w:t>http://www.inegi.org.mx/lib/olap/general_ver4/MDXQueryDatosasp?#Regreso</w:t>
        </w:r>
      </w:hyperlink>
      <w:r>
        <w:rPr>
          <w:color w:val="231F20"/>
          <w:sz w:val="18"/>
        </w:rPr>
        <w:t> </w:t>
      </w:r>
      <w:r>
        <w:rPr>
          <w:color w:val="231F20"/>
          <w:w w:val="105"/>
          <w:sz w:val="18"/>
        </w:rPr>
        <w:t>&amp;c=10401, (Acceso 10 de enero 2009.)</w:t>
      </w:r>
    </w:p>
    <w:p>
      <w:pPr>
        <w:spacing w:before="3"/>
        <w:ind w:left="110" w:right="0" w:firstLine="0"/>
        <w:jc w:val="left"/>
        <w:rPr>
          <w:sz w:val="18"/>
        </w:rPr>
      </w:pPr>
      <w:r>
        <w:rPr>
          <w:color w:val="231F20"/>
          <w:sz w:val="18"/>
        </w:rPr>
        <w:t>ÓRGANO SUPERIOR DE FISCALIZACIÓN DEL ESTADO DE MÉXICO, (2008) Ingresos  Ozumba,</w:t>
      </w:r>
    </w:p>
    <w:p>
      <w:pPr>
        <w:spacing w:line="348" w:lineRule="auto" w:before="93"/>
        <w:ind w:left="393" w:right="0" w:firstLine="0"/>
        <w:jc w:val="left"/>
        <w:rPr>
          <w:sz w:val="18"/>
        </w:rPr>
      </w:pPr>
      <w:r>
        <w:rPr>
          <w:color w:val="231F20"/>
          <w:w w:val="105"/>
          <w:sz w:val="18"/>
        </w:rPr>
        <w:t>(Documento en línea) disponible en </w:t>
      </w:r>
      <w:hyperlink r:id="rId1259">
        <w:r>
          <w:rPr>
            <w:color w:val="231F20"/>
            <w:w w:val="105"/>
            <w:sz w:val="18"/>
          </w:rPr>
          <w:t>www.ozumba.gob.mx/transparencia/cariingresos2008.pdf</w:t>
        </w:r>
      </w:hyperlink>
      <w:r>
        <w:rPr>
          <w:color w:val="231F20"/>
          <w:w w:val="105"/>
          <w:sz w:val="18"/>
        </w:rPr>
        <w:t> (Acceso 20 de marzo de 2009)</w:t>
      </w:r>
    </w:p>
    <w:p>
      <w:pPr>
        <w:spacing w:before="3"/>
        <w:ind w:left="110" w:right="484" w:firstLine="0"/>
        <w:jc w:val="left"/>
        <w:rPr>
          <w:sz w:val="18"/>
        </w:rPr>
      </w:pPr>
      <w:r>
        <w:rPr>
          <w:color w:val="231F20"/>
          <w:sz w:val="18"/>
        </w:rPr>
        <w:t>ÓRGANO SUPERIOR DE FISCALIZACIÓN DEL ESTADO DE MÉXICO, (2009)</w:t>
      </w:r>
    </w:p>
    <w:p>
      <w:pPr>
        <w:spacing w:line="348" w:lineRule="auto" w:before="93"/>
        <w:ind w:left="393" w:right="359" w:firstLine="0"/>
        <w:jc w:val="left"/>
        <w:rPr>
          <w:sz w:val="18"/>
        </w:rPr>
      </w:pPr>
      <w:r>
        <w:rPr>
          <w:color w:val="231F20"/>
          <w:w w:val="105"/>
          <w:sz w:val="18"/>
        </w:rPr>
        <w:t>Egresos Ozumba, (Documento en línea) disponible en </w:t>
      </w:r>
      <w:hyperlink r:id="rId1260">
        <w:r>
          <w:rPr>
            <w:color w:val="231F20"/>
            <w:w w:val="105"/>
            <w:sz w:val="18"/>
          </w:rPr>
          <w:t>www.ozumba.gob.mx/transparencia/</w:t>
        </w:r>
      </w:hyperlink>
      <w:r>
        <w:rPr>
          <w:color w:val="231F20"/>
          <w:w w:val="105"/>
          <w:sz w:val="18"/>
        </w:rPr>
        <w:t> caregresos2009.pdf (Acceso 22 de marzo de 2009)</w:t>
      </w:r>
    </w:p>
    <w:p>
      <w:pPr>
        <w:spacing w:line="348" w:lineRule="auto" w:before="3"/>
        <w:ind w:left="393" w:right="1664" w:hanging="284"/>
        <w:jc w:val="left"/>
        <w:rPr>
          <w:sz w:val="18"/>
        </w:rPr>
      </w:pPr>
      <w:r>
        <w:rPr>
          <w:color w:val="231F20"/>
          <w:w w:val="105"/>
          <w:sz w:val="18"/>
        </w:rPr>
        <w:t>PARTIDO DEL TRABAJO. (2009a), Historia. (Documento en línea) disponible en: </w:t>
      </w:r>
      <w:hyperlink r:id="rId1261">
        <w:r>
          <w:rPr>
            <w:color w:val="231F20"/>
            <w:w w:val="105"/>
            <w:sz w:val="18"/>
          </w:rPr>
          <w:t>http://www.partidodeltrabajo.org.mx/www/historia.php,</w:t>
        </w:r>
      </w:hyperlink>
      <w:r>
        <w:rPr>
          <w:color w:val="231F20"/>
          <w:w w:val="105"/>
          <w:sz w:val="18"/>
        </w:rPr>
        <w:t> (Acceso el 15 de enero de 2009)</w:t>
      </w:r>
    </w:p>
    <w:p>
      <w:pPr>
        <w:spacing w:after="0" w:line="348" w:lineRule="auto"/>
        <w:jc w:val="left"/>
        <w:rPr>
          <w:sz w:val="18"/>
        </w:rPr>
        <w:sectPr>
          <w:pgSz w:w="9640" w:h="12190"/>
          <w:pgMar w:header="0" w:footer="743" w:top="1120" w:bottom="940" w:left="740" w:right="1100"/>
        </w:sectPr>
      </w:pPr>
    </w:p>
    <w:p>
      <w:pPr>
        <w:pStyle w:val="BodyText"/>
        <w:spacing w:before="6"/>
        <w:rPr>
          <w:sz w:val="13"/>
        </w:rPr>
      </w:pPr>
    </w:p>
    <w:p>
      <w:pPr>
        <w:spacing w:before="47"/>
        <w:ind w:left="110" w:right="1388" w:firstLine="0"/>
        <w:jc w:val="left"/>
        <w:rPr>
          <w:sz w:val="18"/>
        </w:rPr>
      </w:pPr>
      <w:r>
        <w:rPr>
          <w:color w:val="231F20"/>
          <w:sz w:val="18"/>
        </w:rPr>
        <w:t>PARTIDO DEL TRABAJO (2009b), Principios.</w:t>
      </w:r>
    </w:p>
    <w:p>
      <w:pPr>
        <w:spacing w:line="348" w:lineRule="auto" w:before="93"/>
        <w:ind w:left="393" w:right="114" w:firstLine="0"/>
        <w:jc w:val="left"/>
        <w:rPr>
          <w:sz w:val="18"/>
        </w:rPr>
      </w:pPr>
      <w:r>
        <w:rPr>
          <w:color w:val="231F20"/>
          <w:w w:val="105"/>
          <w:sz w:val="18"/>
        </w:rPr>
        <w:t>(Documento en línea) disponible en: </w:t>
      </w:r>
      <w:hyperlink r:id="rId1262">
        <w:r>
          <w:rPr>
            <w:color w:val="231F20"/>
            <w:w w:val="105"/>
            <w:sz w:val="18"/>
          </w:rPr>
          <w:t>http://www.partidodeltrabajo.org.mx/www/principios.php,</w:t>
        </w:r>
      </w:hyperlink>
      <w:r>
        <w:rPr>
          <w:color w:val="231F20"/>
          <w:w w:val="105"/>
          <w:sz w:val="18"/>
        </w:rPr>
        <w:t> (Acceso el 15 de enero de 2009)</w:t>
      </w:r>
    </w:p>
    <w:p>
      <w:pPr>
        <w:spacing w:line="348" w:lineRule="auto" w:before="3"/>
        <w:ind w:left="110" w:right="114" w:firstLine="0"/>
        <w:jc w:val="left"/>
        <w:rPr>
          <w:sz w:val="18"/>
        </w:rPr>
      </w:pPr>
      <w:r>
        <w:rPr>
          <w:color w:val="231F20"/>
          <w:w w:val="105"/>
          <w:sz w:val="18"/>
        </w:rPr>
        <w:t>PARTIDO</w:t>
      </w:r>
      <w:r>
        <w:rPr>
          <w:color w:val="231F20"/>
          <w:spacing w:val="-17"/>
          <w:w w:val="105"/>
          <w:sz w:val="18"/>
        </w:rPr>
        <w:t> </w:t>
      </w:r>
      <w:r>
        <w:rPr>
          <w:color w:val="231F20"/>
          <w:w w:val="105"/>
          <w:sz w:val="18"/>
        </w:rPr>
        <w:t>DEL</w:t>
      </w:r>
      <w:r>
        <w:rPr>
          <w:color w:val="231F20"/>
          <w:spacing w:val="-17"/>
          <w:w w:val="105"/>
          <w:sz w:val="18"/>
        </w:rPr>
        <w:t> </w:t>
      </w:r>
      <w:r>
        <w:rPr>
          <w:color w:val="231F20"/>
          <w:w w:val="105"/>
          <w:sz w:val="18"/>
        </w:rPr>
        <w:t>TRABAJO</w:t>
      </w:r>
      <w:r>
        <w:rPr>
          <w:color w:val="231F20"/>
          <w:spacing w:val="-17"/>
          <w:w w:val="105"/>
          <w:sz w:val="18"/>
        </w:rPr>
        <w:t> </w:t>
      </w:r>
      <w:r>
        <w:rPr>
          <w:color w:val="231F20"/>
          <w:w w:val="105"/>
          <w:sz w:val="18"/>
        </w:rPr>
        <w:t>(2009c),</w:t>
      </w:r>
      <w:r>
        <w:rPr>
          <w:color w:val="231F20"/>
          <w:spacing w:val="-17"/>
          <w:w w:val="105"/>
          <w:sz w:val="18"/>
        </w:rPr>
        <w:t> </w:t>
      </w:r>
      <w:r>
        <w:rPr>
          <w:color w:val="231F20"/>
          <w:w w:val="105"/>
          <w:sz w:val="18"/>
        </w:rPr>
        <w:t>Programa.</w:t>
      </w:r>
      <w:r>
        <w:rPr>
          <w:color w:val="231F20"/>
          <w:spacing w:val="-17"/>
          <w:w w:val="105"/>
          <w:sz w:val="18"/>
        </w:rPr>
        <w:t> </w:t>
      </w:r>
      <w:r>
        <w:rPr>
          <w:color w:val="231F20"/>
          <w:w w:val="105"/>
          <w:sz w:val="18"/>
        </w:rPr>
        <w:t>(Documento</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línea).</w:t>
      </w:r>
      <w:r>
        <w:rPr>
          <w:color w:val="231F20"/>
          <w:spacing w:val="-17"/>
          <w:w w:val="105"/>
          <w:sz w:val="18"/>
        </w:rPr>
        <w:t> </w:t>
      </w:r>
      <w:r>
        <w:rPr>
          <w:color w:val="231F20"/>
          <w:w w:val="105"/>
          <w:sz w:val="18"/>
        </w:rPr>
        <w:t>Disponible</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http://www.parti- dodeltrabajo.org.mx/www/programa.php,</w:t>
      </w:r>
      <w:r>
        <w:rPr>
          <w:color w:val="231F20"/>
          <w:spacing w:val="-11"/>
          <w:w w:val="105"/>
          <w:sz w:val="18"/>
        </w:rPr>
        <w:t> </w:t>
      </w:r>
      <w:r>
        <w:rPr>
          <w:color w:val="231F20"/>
          <w:w w:val="105"/>
          <w:sz w:val="18"/>
        </w:rPr>
        <w:t>(Acceso</w:t>
      </w:r>
      <w:r>
        <w:rPr>
          <w:color w:val="231F20"/>
          <w:spacing w:val="-11"/>
          <w:w w:val="105"/>
          <w:sz w:val="18"/>
        </w:rPr>
        <w:t> </w:t>
      </w:r>
      <w:r>
        <w:rPr>
          <w:color w:val="231F20"/>
          <w:w w:val="105"/>
          <w:sz w:val="18"/>
        </w:rPr>
        <w:t>el</w:t>
      </w:r>
      <w:r>
        <w:rPr>
          <w:color w:val="231F20"/>
          <w:spacing w:val="-11"/>
          <w:w w:val="105"/>
          <w:sz w:val="18"/>
        </w:rPr>
        <w:t> </w:t>
      </w:r>
      <w:r>
        <w:rPr>
          <w:color w:val="231F20"/>
          <w:spacing w:val="-4"/>
          <w:w w:val="105"/>
          <w:sz w:val="18"/>
        </w:rPr>
        <w:t>16</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enero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2009)</w:t>
      </w:r>
    </w:p>
    <w:p>
      <w:pPr>
        <w:spacing w:line="348" w:lineRule="auto" w:before="3"/>
        <w:ind w:left="393" w:right="3242" w:hanging="284"/>
        <w:jc w:val="left"/>
        <w:rPr>
          <w:sz w:val="18"/>
        </w:rPr>
      </w:pPr>
      <w:r>
        <w:rPr>
          <w:color w:val="231F20"/>
          <w:sz w:val="18"/>
        </w:rPr>
        <w:t>PLASCENCIA DÍAZ, Adriana. (1994), Gerencia Pública, México, CNCPyAP.</w:t>
      </w:r>
    </w:p>
    <w:p>
      <w:pPr>
        <w:spacing w:line="348" w:lineRule="auto" w:before="3"/>
        <w:ind w:left="393" w:right="742" w:hanging="284"/>
        <w:jc w:val="left"/>
        <w:rPr>
          <w:sz w:val="18"/>
        </w:rPr>
      </w:pPr>
      <w:r>
        <w:rPr>
          <w:color w:val="231F20"/>
          <w:spacing w:val="2"/>
          <w:w w:val="105"/>
          <w:sz w:val="18"/>
        </w:rPr>
        <w:t>REVELES</w:t>
      </w:r>
      <w:r>
        <w:rPr>
          <w:color w:val="231F20"/>
          <w:spacing w:val="-23"/>
          <w:w w:val="105"/>
          <w:sz w:val="18"/>
        </w:rPr>
        <w:t> </w:t>
      </w:r>
      <w:r>
        <w:rPr>
          <w:color w:val="231F20"/>
          <w:w w:val="105"/>
          <w:sz w:val="18"/>
        </w:rPr>
        <w:t>VÁZQUEZ,</w:t>
      </w:r>
      <w:r>
        <w:rPr>
          <w:color w:val="231F20"/>
          <w:spacing w:val="-23"/>
          <w:w w:val="105"/>
          <w:sz w:val="18"/>
        </w:rPr>
        <w:t> </w:t>
      </w:r>
      <w:r>
        <w:rPr>
          <w:color w:val="231F20"/>
          <w:w w:val="105"/>
          <w:sz w:val="18"/>
        </w:rPr>
        <w:t>Francisco.</w:t>
      </w:r>
      <w:r>
        <w:rPr>
          <w:color w:val="231F20"/>
          <w:spacing w:val="-23"/>
          <w:w w:val="105"/>
          <w:sz w:val="18"/>
        </w:rPr>
        <w:t> </w:t>
      </w:r>
      <w:r>
        <w:rPr>
          <w:color w:val="231F20"/>
          <w:w w:val="105"/>
          <w:sz w:val="18"/>
        </w:rPr>
        <w:t>(2008),</w:t>
      </w:r>
      <w:r>
        <w:rPr>
          <w:color w:val="231F20"/>
          <w:spacing w:val="-23"/>
          <w:w w:val="105"/>
          <w:sz w:val="18"/>
        </w:rPr>
        <w:t> </w:t>
      </w:r>
      <w:r>
        <w:rPr>
          <w:color w:val="231F20"/>
          <w:w w:val="105"/>
          <w:sz w:val="18"/>
        </w:rPr>
        <w:t>Partidos</w:t>
      </w:r>
      <w:r>
        <w:rPr>
          <w:color w:val="231F20"/>
          <w:spacing w:val="-23"/>
          <w:w w:val="105"/>
          <w:sz w:val="18"/>
        </w:rPr>
        <w:t> </w:t>
      </w:r>
      <w:r>
        <w:rPr>
          <w:color w:val="231F20"/>
          <w:w w:val="105"/>
          <w:sz w:val="18"/>
        </w:rPr>
        <w:t>Políticos</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México.</w:t>
      </w:r>
      <w:r>
        <w:rPr>
          <w:color w:val="231F20"/>
          <w:spacing w:val="-23"/>
          <w:w w:val="105"/>
          <w:sz w:val="18"/>
        </w:rPr>
        <w:t> </w:t>
      </w:r>
      <w:r>
        <w:rPr>
          <w:color w:val="231F20"/>
          <w:w w:val="105"/>
          <w:sz w:val="18"/>
        </w:rPr>
        <w:t>Apuntes</w:t>
      </w:r>
      <w:r>
        <w:rPr>
          <w:color w:val="231F20"/>
          <w:spacing w:val="-23"/>
          <w:w w:val="105"/>
          <w:sz w:val="18"/>
        </w:rPr>
        <w:t> </w:t>
      </w:r>
      <w:r>
        <w:rPr>
          <w:color w:val="231F20"/>
          <w:w w:val="105"/>
          <w:sz w:val="18"/>
        </w:rPr>
        <w:t>teóricos, </w:t>
      </w:r>
      <w:r>
        <w:rPr>
          <w:color w:val="231F20"/>
          <w:sz w:val="18"/>
        </w:rPr>
        <w:t>México, </w:t>
      </w:r>
      <w:r>
        <w:rPr>
          <w:color w:val="231F20"/>
          <w:spacing w:val="9"/>
          <w:sz w:val="18"/>
        </w:rPr>
        <w:t> </w:t>
      </w:r>
      <w:r>
        <w:rPr>
          <w:color w:val="231F20"/>
          <w:spacing w:val="2"/>
          <w:sz w:val="18"/>
        </w:rPr>
        <w:t>UNAM-Gernika.</w:t>
      </w:r>
    </w:p>
    <w:p>
      <w:pPr>
        <w:spacing w:before="3"/>
        <w:ind w:left="110" w:right="114" w:firstLine="0"/>
        <w:jc w:val="left"/>
        <w:rPr>
          <w:sz w:val="18"/>
        </w:rPr>
      </w:pPr>
      <w:r>
        <w:rPr>
          <w:color w:val="231F20"/>
          <w:sz w:val="18"/>
        </w:rPr>
        <w:t>RODRÍGUEZ ARAUJO, Octavio. (2002), Los partidos políticos en México. Origen y    desarrollo.</w:t>
      </w:r>
    </w:p>
    <w:p>
      <w:pPr>
        <w:spacing w:line="348" w:lineRule="auto" w:before="93"/>
        <w:ind w:left="393" w:right="1388" w:firstLine="0"/>
        <w:jc w:val="left"/>
        <w:rPr>
          <w:sz w:val="18"/>
        </w:rPr>
      </w:pPr>
      <w:r>
        <w:rPr>
          <w:color w:val="231F20"/>
          <w:sz w:val="18"/>
        </w:rPr>
        <w:t>En SIRVENT, Carlos (Coord.), Partidos Políticos y procesos electorales en México, México,  UNAM-Miguel  Ángel Porrúa.</w:t>
      </w:r>
    </w:p>
    <w:p>
      <w:pPr>
        <w:spacing w:line="348" w:lineRule="auto" w:before="3"/>
        <w:ind w:left="393" w:right="1897" w:hanging="284"/>
        <w:jc w:val="left"/>
        <w:rPr>
          <w:sz w:val="18"/>
        </w:rPr>
      </w:pPr>
      <w:r>
        <w:rPr>
          <w:color w:val="231F20"/>
          <w:sz w:val="18"/>
        </w:rPr>
        <w:t>TAMAYO REY, Magda. (2005), “Nueva Gestión Pública y Participación Social”, En Revista IAPEM, México, No. 61.</w:t>
      </w:r>
    </w:p>
    <w:p>
      <w:pPr>
        <w:spacing w:line="348" w:lineRule="auto" w:before="3"/>
        <w:ind w:left="393" w:right="34" w:hanging="284"/>
        <w:jc w:val="left"/>
        <w:rPr>
          <w:sz w:val="18"/>
        </w:rPr>
      </w:pPr>
      <w:r>
        <w:rPr>
          <w:color w:val="231F20"/>
          <w:w w:val="105"/>
          <w:sz w:val="18"/>
        </w:rPr>
        <w:t>UVALLE, Ricardo. (2005) La transformación procedimental y democrática de la administración pública, </w:t>
      </w:r>
      <w:r>
        <w:rPr>
          <w:color w:val="231F20"/>
          <w:sz w:val="18"/>
        </w:rPr>
        <w:t>México, IAPEM.</w:t>
      </w:r>
    </w:p>
    <w:p>
      <w:pPr>
        <w:pStyle w:val="BodyText"/>
        <w:spacing w:before="2"/>
        <w:rPr>
          <w:sz w:val="17"/>
        </w:rPr>
      </w:pPr>
    </w:p>
    <w:p>
      <w:pPr>
        <w:pStyle w:val="Heading4"/>
        <w:spacing w:before="1"/>
        <w:ind w:right="4637"/>
        <w:jc w:val="left"/>
        <w:rPr>
          <w:i/>
        </w:rPr>
      </w:pPr>
      <w:r>
        <w:rPr>
          <w:i/>
          <w:color w:val="231F20"/>
        </w:rPr>
        <w:t>Documentos:</w:t>
      </w:r>
    </w:p>
    <w:p>
      <w:pPr>
        <w:spacing w:line="348" w:lineRule="auto" w:before="54"/>
        <w:ind w:left="110" w:right="4447" w:firstLine="0"/>
        <w:jc w:val="left"/>
        <w:rPr>
          <w:sz w:val="18"/>
        </w:rPr>
      </w:pPr>
      <w:r>
        <w:rPr>
          <w:color w:val="231F20"/>
          <w:w w:val="105"/>
          <w:sz w:val="18"/>
        </w:rPr>
        <w:t>Plan de Desarrollo Municipal Ozumba (2006) Segundo Informe de Gobierno Ozumba (2008)</w:t>
      </w:r>
    </w:p>
    <w:p>
      <w:pPr>
        <w:spacing w:after="0" w:line="348" w:lineRule="auto"/>
        <w:jc w:val="left"/>
        <w:rPr>
          <w:sz w:val="18"/>
        </w:rPr>
        <w:sectPr>
          <w:pgSz w:w="9640" w:h="12190"/>
          <w:pgMar w:header="0" w:footer="743" w:top="1120" w:bottom="940" w:left="74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60"/>
        <w:ind w:left="914" w:right="914" w:firstLine="0"/>
        <w:jc w:val="center"/>
        <w:rPr>
          <w:b/>
          <w:i/>
          <w:sz w:val="14"/>
        </w:rPr>
      </w:pPr>
      <w:r>
        <w:rPr>
          <w:color w:val="231F20"/>
          <w:w w:val="105"/>
          <w:sz w:val="14"/>
        </w:rPr>
        <w:t>El libro </w:t>
      </w:r>
      <w:r>
        <w:rPr>
          <w:b/>
          <w:i/>
          <w:color w:val="231F20"/>
          <w:w w:val="105"/>
          <w:sz w:val="14"/>
        </w:rPr>
        <w:t>Gobiernos municipales y partidos políticos en el Estado de México</w:t>
      </w:r>
    </w:p>
    <w:p>
      <w:pPr>
        <w:spacing w:before="7"/>
        <w:ind w:left="914" w:right="914" w:firstLine="0"/>
        <w:jc w:val="center"/>
        <w:rPr>
          <w:sz w:val="14"/>
        </w:rPr>
      </w:pPr>
      <w:r>
        <w:rPr>
          <w:color w:val="231F20"/>
          <w:w w:val="105"/>
          <w:sz w:val="14"/>
        </w:rPr>
        <w:t>se publicó en forma digital en la Ciudad de México durante el mes de febrero de 2016.</w:t>
      </w:r>
    </w:p>
    <w:p>
      <w:pPr>
        <w:pStyle w:val="BodyText"/>
        <w:spacing w:before="2"/>
        <w:rPr>
          <w:sz w:val="15"/>
        </w:rPr>
      </w:pPr>
    </w:p>
    <w:p>
      <w:pPr>
        <w:spacing w:line="249" w:lineRule="auto" w:before="0"/>
        <w:ind w:left="1364" w:right="1362" w:firstLine="0"/>
        <w:jc w:val="center"/>
        <w:rPr>
          <w:sz w:val="14"/>
        </w:rPr>
      </w:pPr>
      <w:r>
        <w:rPr>
          <w:color w:val="231F20"/>
          <w:w w:val="105"/>
          <w:sz w:val="14"/>
        </w:rPr>
        <w:t>En</w:t>
      </w:r>
      <w:r>
        <w:rPr>
          <w:color w:val="231F20"/>
          <w:spacing w:val="-10"/>
          <w:w w:val="105"/>
          <w:sz w:val="14"/>
        </w:rPr>
        <w:t> </w:t>
      </w:r>
      <w:r>
        <w:rPr>
          <w:color w:val="231F20"/>
          <w:w w:val="105"/>
          <w:sz w:val="14"/>
        </w:rPr>
        <w:t>su</w:t>
      </w:r>
      <w:r>
        <w:rPr>
          <w:color w:val="231F20"/>
          <w:spacing w:val="-10"/>
          <w:w w:val="105"/>
          <w:sz w:val="14"/>
        </w:rPr>
        <w:t> </w:t>
      </w:r>
      <w:r>
        <w:rPr>
          <w:color w:val="231F20"/>
          <w:w w:val="105"/>
          <w:sz w:val="14"/>
        </w:rPr>
        <w:t>diseño</w:t>
      </w:r>
      <w:r>
        <w:rPr>
          <w:color w:val="231F20"/>
          <w:spacing w:val="-10"/>
          <w:w w:val="105"/>
          <w:sz w:val="14"/>
        </w:rPr>
        <w:t> </w:t>
      </w:r>
      <w:r>
        <w:rPr>
          <w:color w:val="231F20"/>
          <w:w w:val="105"/>
          <w:sz w:val="14"/>
        </w:rPr>
        <w:t>y</w:t>
      </w:r>
      <w:r>
        <w:rPr>
          <w:color w:val="231F20"/>
          <w:spacing w:val="-10"/>
          <w:w w:val="105"/>
          <w:sz w:val="14"/>
        </w:rPr>
        <w:t> </w:t>
      </w:r>
      <w:r>
        <w:rPr>
          <w:color w:val="231F20"/>
          <w:w w:val="105"/>
          <w:sz w:val="14"/>
        </w:rPr>
        <w:t>formación</w:t>
      </w:r>
      <w:r>
        <w:rPr>
          <w:color w:val="231F20"/>
          <w:spacing w:val="-10"/>
          <w:w w:val="105"/>
          <w:sz w:val="14"/>
        </w:rPr>
        <w:t> </w:t>
      </w:r>
      <w:r>
        <w:rPr>
          <w:color w:val="231F20"/>
          <w:w w:val="105"/>
          <w:sz w:val="14"/>
        </w:rPr>
        <w:t>se</w:t>
      </w:r>
      <w:r>
        <w:rPr>
          <w:color w:val="231F20"/>
          <w:spacing w:val="-10"/>
          <w:w w:val="105"/>
          <w:sz w:val="14"/>
        </w:rPr>
        <w:t> </w:t>
      </w:r>
      <w:r>
        <w:rPr>
          <w:color w:val="231F20"/>
          <w:w w:val="105"/>
          <w:sz w:val="14"/>
        </w:rPr>
        <w:t>utilizaron</w:t>
      </w:r>
      <w:r>
        <w:rPr>
          <w:color w:val="231F20"/>
          <w:spacing w:val="-10"/>
          <w:w w:val="105"/>
          <w:sz w:val="14"/>
        </w:rPr>
        <w:t> </w:t>
      </w:r>
      <w:r>
        <w:rPr>
          <w:color w:val="231F20"/>
          <w:w w:val="105"/>
          <w:sz w:val="14"/>
        </w:rPr>
        <w:t>fuentes</w:t>
      </w:r>
      <w:r>
        <w:rPr>
          <w:color w:val="231F20"/>
          <w:spacing w:val="-10"/>
          <w:w w:val="105"/>
          <w:sz w:val="14"/>
        </w:rPr>
        <w:t> </w:t>
      </w:r>
      <w:r>
        <w:rPr>
          <w:color w:val="231F20"/>
          <w:w w:val="105"/>
          <w:sz w:val="14"/>
        </w:rPr>
        <w:t>de</w:t>
      </w:r>
      <w:r>
        <w:rPr>
          <w:color w:val="231F20"/>
          <w:spacing w:val="-10"/>
          <w:w w:val="105"/>
          <w:sz w:val="14"/>
        </w:rPr>
        <w:t> </w:t>
      </w:r>
      <w:r>
        <w:rPr>
          <w:color w:val="231F20"/>
          <w:w w:val="105"/>
          <w:sz w:val="14"/>
        </w:rPr>
        <w:t>las</w:t>
      </w:r>
      <w:r>
        <w:rPr>
          <w:color w:val="231F20"/>
          <w:spacing w:val="-10"/>
          <w:w w:val="105"/>
          <w:sz w:val="14"/>
        </w:rPr>
        <w:t> </w:t>
      </w:r>
      <w:r>
        <w:rPr>
          <w:color w:val="231F20"/>
          <w:w w:val="105"/>
          <w:sz w:val="14"/>
        </w:rPr>
        <w:t>familias</w:t>
      </w:r>
      <w:r>
        <w:rPr>
          <w:color w:val="231F20"/>
          <w:spacing w:val="-10"/>
          <w:w w:val="105"/>
          <w:sz w:val="14"/>
        </w:rPr>
        <w:t> </w:t>
      </w:r>
      <w:r>
        <w:rPr>
          <w:color w:val="231F20"/>
          <w:w w:val="105"/>
          <w:sz w:val="14"/>
        </w:rPr>
        <w:t>Myriad</w:t>
      </w:r>
      <w:r>
        <w:rPr>
          <w:color w:val="231F20"/>
          <w:spacing w:val="-10"/>
          <w:w w:val="105"/>
          <w:sz w:val="14"/>
        </w:rPr>
        <w:t> </w:t>
      </w:r>
      <w:r>
        <w:rPr>
          <w:color w:val="231F20"/>
          <w:w w:val="105"/>
          <w:sz w:val="14"/>
        </w:rPr>
        <w:t>Pro y</w:t>
      </w:r>
      <w:r>
        <w:rPr>
          <w:color w:val="231F20"/>
          <w:spacing w:val="-10"/>
          <w:w w:val="105"/>
          <w:sz w:val="14"/>
        </w:rPr>
        <w:t> </w:t>
      </w:r>
      <w:r>
        <w:rPr>
          <w:color w:val="231F20"/>
          <w:w w:val="105"/>
          <w:sz w:val="14"/>
        </w:rPr>
        <w:t>Warnock</w:t>
      </w:r>
      <w:r>
        <w:rPr>
          <w:color w:val="231F20"/>
          <w:spacing w:val="-10"/>
          <w:w w:val="105"/>
          <w:sz w:val="14"/>
        </w:rPr>
        <w:t> </w:t>
      </w:r>
      <w:r>
        <w:rPr>
          <w:color w:val="231F20"/>
          <w:w w:val="105"/>
          <w:sz w:val="14"/>
        </w:rPr>
        <w:t>Pro</w:t>
      </w:r>
      <w:r>
        <w:rPr>
          <w:color w:val="231F20"/>
          <w:spacing w:val="-10"/>
          <w:w w:val="105"/>
          <w:sz w:val="14"/>
        </w:rPr>
        <w:t> </w:t>
      </w:r>
      <w:r>
        <w:rPr>
          <w:color w:val="231F20"/>
          <w:w w:val="105"/>
          <w:sz w:val="14"/>
        </w:rPr>
        <w:t>en</w:t>
      </w:r>
      <w:r>
        <w:rPr>
          <w:color w:val="231F20"/>
          <w:spacing w:val="-10"/>
          <w:w w:val="105"/>
          <w:sz w:val="14"/>
        </w:rPr>
        <w:t> </w:t>
      </w:r>
      <w:r>
        <w:rPr>
          <w:color w:val="231F20"/>
          <w:w w:val="105"/>
          <w:sz w:val="14"/>
        </w:rPr>
        <w:t>diferentes</w:t>
      </w:r>
      <w:r>
        <w:rPr>
          <w:color w:val="231F20"/>
          <w:spacing w:val="-10"/>
          <w:w w:val="105"/>
          <w:sz w:val="14"/>
        </w:rPr>
        <w:t> </w:t>
      </w:r>
      <w:r>
        <w:rPr>
          <w:color w:val="231F20"/>
          <w:w w:val="105"/>
          <w:sz w:val="14"/>
        </w:rPr>
        <w:t>variables</w:t>
      </w:r>
      <w:r>
        <w:rPr>
          <w:color w:val="231F20"/>
          <w:spacing w:val="-10"/>
          <w:w w:val="105"/>
          <w:sz w:val="14"/>
        </w:rPr>
        <w:t> </w:t>
      </w:r>
      <w:r>
        <w:rPr>
          <w:color w:val="231F20"/>
          <w:w w:val="105"/>
          <w:sz w:val="14"/>
        </w:rPr>
        <w:t>de</w:t>
      </w:r>
      <w:r>
        <w:rPr>
          <w:color w:val="231F20"/>
          <w:spacing w:val="-10"/>
          <w:w w:val="105"/>
          <w:sz w:val="14"/>
        </w:rPr>
        <w:t> </w:t>
      </w:r>
      <w:r>
        <w:rPr>
          <w:color w:val="231F20"/>
          <w:w w:val="105"/>
          <w:sz w:val="14"/>
        </w:rPr>
        <w:t>peso,</w:t>
      </w:r>
      <w:r>
        <w:rPr>
          <w:color w:val="231F20"/>
          <w:spacing w:val="-10"/>
          <w:w w:val="105"/>
          <w:sz w:val="14"/>
        </w:rPr>
        <w:t> </w:t>
      </w:r>
      <w:r>
        <w:rPr>
          <w:color w:val="231F20"/>
          <w:w w:val="105"/>
          <w:sz w:val="14"/>
        </w:rPr>
        <w:t>posición</w:t>
      </w:r>
      <w:r>
        <w:rPr>
          <w:color w:val="231F20"/>
          <w:spacing w:val="-10"/>
          <w:w w:val="105"/>
          <w:sz w:val="14"/>
        </w:rPr>
        <w:t> </w:t>
      </w:r>
      <w:r>
        <w:rPr>
          <w:color w:val="231F20"/>
          <w:w w:val="105"/>
          <w:sz w:val="14"/>
        </w:rPr>
        <w:t>y</w:t>
      </w:r>
      <w:r>
        <w:rPr>
          <w:color w:val="231F20"/>
          <w:spacing w:val="-10"/>
          <w:w w:val="105"/>
          <w:sz w:val="14"/>
        </w:rPr>
        <w:t> </w:t>
      </w:r>
      <w:r>
        <w:rPr>
          <w:color w:val="231F20"/>
          <w:w w:val="105"/>
          <w:sz w:val="14"/>
        </w:rPr>
        <w:t>tamaño.</w:t>
      </w:r>
    </w:p>
    <w:p>
      <w:pPr>
        <w:pStyle w:val="BodyText"/>
        <w:spacing w:before="7"/>
        <w:rPr>
          <w:sz w:val="14"/>
        </w:rPr>
      </w:pPr>
    </w:p>
    <w:p>
      <w:pPr>
        <w:spacing w:line="249" w:lineRule="auto" w:before="1"/>
        <w:ind w:left="1364" w:right="1362" w:firstLine="0"/>
        <w:jc w:val="center"/>
        <w:rPr>
          <w:sz w:val="14"/>
        </w:rPr>
      </w:pPr>
      <w:r>
        <w:rPr>
          <w:color w:val="231F20"/>
          <w:w w:val="105"/>
          <w:sz w:val="14"/>
        </w:rPr>
        <w:t>El diseño editorial corrió a cargo de Víctor M. Martínez </w:t>
      </w:r>
      <w:hyperlink r:id="rId1264">
        <w:r>
          <w:rPr>
            <w:color w:val="231F20"/>
            <w:w w:val="105"/>
            <w:sz w:val="14"/>
          </w:rPr>
          <w:t>(vmartinez68@hotmail.com</w:t>
        </w:r>
      </w:hyperlink>
      <w:r>
        <w:rPr>
          <w:color w:val="231F20"/>
          <w:w w:val="105"/>
          <w:sz w:val="14"/>
        </w:rPr>
        <w:t> / 044 55 1850 7809)</w:t>
      </w:r>
    </w:p>
    <w:p>
      <w:pPr>
        <w:spacing w:after="0" w:line="249" w:lineRule="auto"/>
        <w:jc w:val="center"/>
        <w:rPr>
          <w:sz w:val="14"/>
        </w:rPr>
        <w:sectPr>
          <w:footerReference w:type="default" r:id="rId1263"/>
          <w:pgSz w:w="9640" w:h="12190"/>
          <w:pgMar w:footer="0" w:header="0" w:top="112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BodyText"/>
        <w:ind w:left="2567"/>
        <w:rPr>
          <w:sz w:val="20"/>
        </w:rPr>
      </w:pPr>
      <w:r>
        <w:rPr>
          <w:sz w:val="20"/>
        </w:rPr>
        <w:drawing>
          <wp:inline distT="0" distB="0" distL="0" distR="0">
            <wp:extent cx="1150034" cy="726090"/>
            <wp:effectExtent l="0" t="0" r="0" b="0"/>
            <wp:docPr id="443" name="image1148.png" descr=""/>
            <wp:cNvGraphicFramePr>
              <a:graphicFrameLocks noChangeAspect="1"/>
            </wp:cNvGraphicFramePr>
            <a:graphic>
              <a:graphicData uri="http://schemas.openxmlformats.org/drawingml/2006/picture">
                <pic:pic>
                  <pic:nvPicPr>
                    <pic:cNvPr id="444" name="image1148.png"/>
                    <pic:cNvPicPr/>
                  </pic:nvPicPr>
                  <pic:blipFill>
                    <a:blip r:embed="rId1266" cstate="print"/>
                    <a:stretch>
                      <a:fillRect/>
                    </a:stretch>
                  </pic:blipFill>
                  <pic:spPr>
                    <a:xfrm>
                      <a:off x="0" y="0"/>
                      <a:ext cx="1150034" cy="726090"/>
                    </a:xfrm>
                    <a:prstGeom prst="rect">
                      <a:avLst/>
                    </a:prstGeom>
                  </pic:spPr>
                </pic:pic>
              </a:graphicData>
            </a:graphic>
          </wp:inline>
        </w:drawing>
      </w:r>
      <w:r>
        <w:rPr>
          <w:sz w:val="20"/>
        </w:rPr>
      </w:r>
    </w:p>
    <w:sectPr>
      <w:footerReference w:type="default" r:id="rId1265"/>
      <w:pgSz w:w="9640" w:h="12190"/>
      <w:pgMar w:footer="0" w:header="0" w:top="1120" w:bottom="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Cambria">
    <w:altName w:val="Cambria"/>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25.122406pt;margin-top:561.313049pt;width:31.7pt;height:14pt;mso-position-horizontal-relative:page;mso-position-vertical-relative:page;z-index:-600784" type="#_x0000_t202" filled="false" stroked="false">
          <v:textbox inset="0,0,0,0">
            <w:txbxContent>
              <w:p>
                <w:pPr>
                  <w:spacing w:line="226" w:lineRule="exact" w:before="0"/>
                  <w:ind w:left="20" w:right="0" w:firstLine="0"/>
                  <w:jc w:val="left"/>
                  <w:rPr>
                    <w:sz w:val="24"/>
                  </w:rPr>
                </w:pPr>
                <w:r>
                  <w:rPr>
                    <w:color w:val="231F20"/>
                    <w:w w:val="210"/>
                    <w:sz w:val="24"/>
                  </w:rPr>
                  <w:t>-</w:t>
                </w:r>
                <w:r>
                  <w:rPr>
                    <w:color w:val="231F20"/>
                    <w:spacing w:val="-94"/>
                    <w:w w:val="210"/>
                    <w:sz w:val="24"/>
                  </w:rPr>
                  <w:t> </w:t>
                </w:r>
                <w:r>
                  <w:rPr/>
                  <w:fldChar w:fldCharType="begin"/>
                </w:r>
                <w:r>
                  <w:rPr>
                    <w:color w:val="231F20"/>
                    <w:w w:val="125"/>
                    <w:sz w:val="24"/>
                  </w:rPr>
                  <w:instrText> PAGE </w:instrText>
                </w:r>
                <w:r>
                  <w:rPr/>
                  <w:fldChar w:fldCharType="separate"/>
                </w:r>
                <w:r>
                  <w:rPr/>
                  <w:t>6</w:t>
                </w:r>
                <w:r>
                  <w:rPr/>
                  <w:fldChar w:fldCharType="end"/>
                </w:r>
                <w:r>
                  <w:rPr>
                    <w:color w:val="231F20"/>
                    <w:w w:val="125"/>
                    <w:sz w:val="24"/>
                  </w:rPr>
                  <w:t> </w:t>
                </w:r>
                <w:r>
                  <w:rPr>
                    <w:color w:val="231F20"/>
                    <w:w w:val="210"/>
                    <w:sz w:val="24"/>
                  </w:rPr>
                  <w:t>-</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843399pt;margin-top:561.313049pt;width:38.25pt;height:14pt;mso-position-horizontal-relative:page;mso-position-vertical-relative:page;z-index:-600592"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107"/>
                    <w:w w:val="205"/>
                    <w:sz w:val="24"/>
                  </w:rPr>
                  <w:t> </w:t>
                </w:r>
                <w:r>
                  <w:rPr/>
                  <w:fldChar w:fldCharType="begin"/>
                </w:r>
                <w:r>
                  <w:rPr>
                    <w:color w:val="231F20"/>
                    <w:w w:val="125"/>
                    <w:sz w:val="24"/>
                  </w:rPr>
                  <w:instrText> PAGE </w:instrText>
                </w:r>
                <w:r>
                  <w:rPr/>
                  <w:fldChar w:fldCharType="separate"/>
                </w:r>
                <w:r>
                  <w:rPr/>
                  <w:t>60</w:t>
                </w:r>
                <w:r>
                  <w:rPr/>
                  <w:fldChar w:fldCharType="end"/>
                </w:r>
                <w:r>
                  <w:rPr>
                    <w:color w:val="231F20"/>
                    <w:w w:val="125"/>
                    <w:sz w:val="24"/>
                  </w:rPr>
                  <w:t> </w:t>
                </w:r>
                <w:r>
                  <w:rPr>
                    <w:color w:val="231F20"/>
                    <w:w w:val="205"/>
                    <w:sz w:val="24"/>
                  </w:rPr>
                  <w:t>-</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032394pt;margin-top:561.313049pt;width:37.9pt;height:14pt;mso-position-horizontal-relative:page;mso-position-vertical-relative:page;z-index:-600568" type="#_x0000_t202" filled="false" stroked="false">
          <v:textbox inset="0,0,0,0">
            <w:txbxContent>
              <w:p>
                <w:pPr>
                  <w:spacing w:line="226" w:lineRule="exact" w:before="0"/>
                  <w:ind w:left="20" w:right="-1" w:firstLine="0"/>
                  <w:jc w:val="left"/>
                  <w:rPr>
                    <w:sz w:val="24"/>
                  </w:rPr>
                </w:pPr>
                <w:r>
                  <w:rPr>
                    <w:color w:val="231F20"/>
                    <w:w w:val="205"/>
                    <w:sz w:val="24"/>
                  </w:rPr>
                  <w:t>-</w:t>
                </w:r>
                <w:r>
                  <w:rPr>
                    <w:color w:val="231F20"/>
                    <w:spacing w:val="-107"/>
                    <w:w w:val="205"/>
                    <w:sz w:val="24"/>
                  </w:rPr>
                  <w:t> </w:t>
                </w:r>
                <w:r>
                  <w:rPr/>
                  <w:fldChar w:fldCharType="begin"/>
                </w:r>
                <w:r>
                  <w:rPr>
                    <w:color w:val="231F20"/>
                    <w:w w:val="125"/>
                    <w:sz w:val="24"/>
                  </w:rPr>
                  <w:instrText> PAGE </w:instrText>
                </w:r>
                <w:r>
                  <w:rPr/>
                  <w:fldChar w:fldCharType="separate"/>
                </w:r>
                <w:r>
                  <w:rPr/>
                  <w:t>66</w:t>
                </w:r>
                <w:r>
                  <w:rPr/>
                  <w:fldChar w:fldCharType="end"/>
                </w:r>
                <w:r>
                  <w:rPr>
                    <w:color w:val="231F20"/>
                    <w:w w:val="125"/>
                    <w:sz w:val="24"/>
                  </w:rPr>
                  <w:t> </w:t>
                </w:r>
                <w:r>
                  <w:rPr>
                    <w:color w:val="231F20"/>
                    <w:w w:val="205"/>
                    <w:sz w:val="24"/>
                  </w:rPr>
                  <w:t>-</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290405pt;margin-top:561.313049pt;width:37.35pt;height:14pt;mso-position-horizontal-relative:page;mso-position-vertical-relative:page;z-index:-600544"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102"/>
                    <w:w w:val="205"/>
                    <w:sz w:val="24"/>
                  </w:rPr>
                  <w:t> </w:t>
                </w:r>
                <w:r>
                  <w:rPr/>
                  <w:fldChar w:fldCharType="begin"/>
                </w:r>
                <w:r>
                  <w:rPr>
                    <w:color w:val="231F20"/>
                    <w:w w:val="115"/>
                    <w:sz w:val="24"/>
                  </w:rPr>
                  <w:instrText> PAGE </w:instrText>
                </w:r>
                <w:r>
                  <w:rPr/>
                  <w:fldChar w:fldCharType="separate"/>
                </w:r>
                <w:r>
                  <w:rPr/>
                  <w:t>70</w:t>
                </w:r>
                <w:r>
                  <w:rPr/>
                  <w:fldChar w:fldCharType="end"/>
                </w:r>
                <w:r>
                  <w:rPr>
                    <w:color w:val="231F20"/>
                    <w:w w:val="115"/>
                    <w:sz w:val="24"/>
                  </w:rPr>
                  <w:t> </w:t>
                </w:r>
                <w:r>
                  <w:rPr>
                    <w:color w:val="231F20"/>
                    <w:w w:val="205"/>
                    <w:sz w:val="24"/>
                  </w:rPr>
                  <w:t>-</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428406pt;margin-top:561.313049pt;width:37.1pt;height:14pt;mso-position-horizontal-relative:page;mso-position-vertical-relative:page;z-index:-600520"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102"/>
                    <w:w w:val="205"/>
                    <w:sz w:val="24"/>
                  </w:rPr>
                  <w:t> </w:t>
                </w:r>
                <w:r>
                  <w:rPr/>
                  <w:fldChar w:fldCharType="begin"/>
                </w:r>
                <w:r>
                  <w:rPr>
                    <w:color w:val="231F20"/>
                    <w:w w:val="115"/>
                    <w:sz w:val="24"/>
                  </w:rPr>
                  <w:instrText> PAGE </w:instrText>
                </w:r>
                <w:r>
                  <w:rPr/>
                  <w:fldChar w:fldCharType="separate"/>
                </w:r>
                <w:r>
                  <w:rPr/>
                  <w:t>76</w:t>
                </w:r>
                <w:r>
                  <w:rPr/>
                  <w:fldChar w:fldCharType="end"/>
                </w:r>
                <w:r>
                  <w:rPr>
                    <w:color w:val="231F20"/>
                    <w:w w:val="115"/>
                    <w:sz w:val="24"/>
                  </w:rPr>
                  <w:t> </w:t>
                </w:r>
                <w:r>
                  <w:rPr>
                    <w:color w:val="231F20"/>
                    <w:w w:val="205"/>
                    <w:sz w:val="24"/>
                  </w:rPr>
                  <w:t>-</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056396pt;margin-top:561.313049pt;width:37.85pt;height:14pt;mso-position-horizontal-relative:page;mso-position-vertical-relative:page;z-index:-600496"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94"/>
                    <w:w w:val="205"/>
                    <w:sz w:val="24"/>
                  </w:rPr>
                  <w:t> </w:t>
                </w:r>
                <w:r>
                  <w:rPr/>
                  <w:fldChar w:fldCharType="begin"/>
                </w:r>
                <w:r>
                  <w:rPr>
                    <w:color w:val="231F20"/>
                    <w:w w:val="115"/>
                    <w:sz w:val="24"/>
                  </w:rPr>
                  <w:instrText> PAGE </w:instrText>
                </w:r>
                <w:r>
                  <w:rPr/>
                  <w:fldChar w:fldCharType="separate"/>
                </w:r>
                <w:r>
                  <w:rPr/>
                  <w:t>80</w:t>
                </w:r>
                <w:r>
                  <w:rPr/>
                  <w:fldChar w:fldCharType="end"/>
                </w:r>
                <w:r>
                  <w:rPr>
                    <w:color w:val="231F20"/>
                    <w:w w:val="115"/>
                    <w:sz w:val="24"/>
                  </w:rPr>
                  <w:t> </w:t>
                </w:r>
                <w:r>
                  <w:rPr>
                    <w:color w:val="231F20"/>
                    <w:w w:val="205"/>
                    <w:sz w:val="24"/>
                  </w:rPr>
                  <w:t>-</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951401pt;margin-top:561.313049pt;width:38.050pt;height:14pt;mso-position-horizontal-relative:page;mso-position-vertical-relative:page;z-index:-600472"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101"/>
                    <w:w w:val="205"/>
                    <w:sz w:val="24"/>
                  </w:rPr>
                  <w:t> </w:t>
                </w:r>
                <w:r>
                  <w:rPr/>
                  <w:fldChar w:fldCharType="begin"/>
                </w:r>
                <w:r>
                  <w:rPr>
                    <w:color w:val="231F20"/>
                    <w:w w:val="120"/>
                    <w:sz w:val="24"/>
                  </w:rPr>
                  <w:instrText> PAGE </w:instrText>
                </w:r>
                <w:r>
                  <w:rPr/>
                  <w:fldChar w:fldCharType="separate"/>
                </w:r>
                <w:r>
                  <w:rPr/>
                  <w:t>90</w:t>
                </w:r>
                <w:r>
                  <w:rPr/>
                  <w:fldChar w:fldCharType="end"/>
                </w:r>
                <w:r>
                  <w:rPr>
                    <w:color w:val="231F20"/>
                    <w:w w:val="120"/>
                    <w:sz w:val="24"/>
                  </w:rPr>
                  <w:t> </w:t>
                </w:r>
                <w:r>
                  <w:rPr>
                    <w:color w:val="231F20"/>
                    <w:w w:val="205"/>
                    <w:sz w:val="24"/>
                  </w:rPr>
                  <w:t>-</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539398pt;margin-top:561.313049pt;width:42.85pt;height:14pt;mso-position-horizontal-relative:page;mso-position-vertical-relative:page;z-index:-600448"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100</w:t>
                </w:r>
                <w:r>
                  <w:rPr/>
                  <w:fldChar w:fldCharType="end"/>
                </w:r>
                <w:r>
                  <w:rPr>
                    <w:color w:val="231F20"/>
                    <w:sz w:val="24"/>
                  </w:rPr>
                  <w:t> </w:t>
                </w:r>
                <w:r>
                  <w:rPr>
                    <w:color w:val="231F20"/>
                    <w:w w:val="200"/>
                    <w:sz w:val="24"/>
                  </w:rPr>
                  <w:t>-</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490402pt;margin-top:561.313049pt;width:40.950pt;height:14pt;mso-position-horizontal-relative:page;mso-position-vertical-relative:page;z-index:-600424"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110</w:t>
                </w:r>
                <w:r>
                  <w:rPr/>
                  <w:fldChar w:fldCharType="end"/>
                </w:r>
                <w:r>
                  <w:rPr>
                    <w:color w:val="231F20"/>
                    <w:sz w:val="24"/>
                  </w:rPr>
                  <w:t> </w:t>
                </w:r>
                <w:r>
                  <w:rPr>
                    <w:color w:val="231F20"/>
                    <w:w w:val="200"/>
                    <w:sz w:val="24"/>
                  </w:rPr>
                  <w:t>-</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683395pt;margin-top:561.313049pt;width:42.55pt;height:14pt;mso-position-horizontal-relative:page;mso-position-vertical-relative:page;z-index:-600400"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120</w:t>
                </w:r>
                <w:r>
                  <w:rPr/>
                  <w:fldChar w:fldCharType="end"/>
                </w:r>
                <w:r>
                  <w:rPr>
                    <w:color w:val="231F20"/>
                    <w:sz w:val="24"/>
                  </w:rPr>
                  <w:t> </w:t>
                </w:r>
                <w:r>
                  <w:rPr>
                    <w:color w:val="231F20"/>
                    <w:w w:val="200"/>
                    <w:sz w:val="24"/>
                  </w:rPr>
                  <w:t>-</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081207pt;margin-top:561.313049pt;width:41.8pt;height:14pt;mso-position-horizontal-relative:page;mso-position-vertical-relative:page;z-index:-600376"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130</w:t>
                </w:r>
                <w:r>
                  <w:rPr/>
                  <w:fldChar w:fldCharType="end"/>
                </w:r>
                <w:r>
                  <w:rPr>
                    <w:color w:val="231F20"/>
                    <w:sz w:val="24"/>
                  </w:rPr>
                  <w:t> </w:t>
                </w:r>
                <w:r>
                  <w:rPr>
                    <w:color w:val="231F20"/>
                    <w:w w:val="200"/>
                    <w:sz w:val="24"/>
                  </w:rPr>
                  <w:t>-</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818405pt;margin-top:561.313049pt;width:36.3pt;height:14pt;mso-position-horizontal-relative:page;mso-position-vertical-relative:page;z-index:-600760"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96"/>
                    <w:w w:val="205"/>
                    <w:sz w:val="24"/>
                  </w:rPr>
                  <w:t> </w:t>
                </w:r>
                <w:r>
                  <w:rPr/>
                  <w:fldChar w:fldCharType="begin"/>
                </w:r>
                <w:r>
                  <w:rPr>
                    <w:color w:val="231F20"/>
                    <w:sz w:val="24"/>
                  </w:rPr>
                  <w:instrText> PAGE </w:instrText>
                </w:r>
                <w:r>
                  <w:rPr/>
                  <w:fldChar w:fldCharType="separate"/>
                </w:r>
                <w:r>
                  <w:rPr/>
                  <w:t>10</w:t>
                </w:r>
                <w:r>
                  <w:rPr/>
                  <w:fldChar w:fldCharType="end"/>
                </w:r>
                <w:r>
                  <w:rPr>
                    <w:color w:val="231F20"/>
                    <w:sz w:val="24"/>
                  </w:rPr>
                  <w:t> </w:t>
                </w:r>
                <w:r>
                  <w:rPr>
                    <w:color w:val="231F20"/>
                    <w:w w:val="205"/>
                    <w:sz w:val="24"/>
                  </w:rPr>
                  <w:t>-</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536499pt;margin-top:561.313049pt;width:42.85pt;height:14pt;mso-position-horizontal-relative:page;mso-position-vertical-relative:page;z-index:-600352"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140</w:t>
                </w:r>
                <w:r>
                  <w:rPr/>
                  <w:fldChar w:fldCharType="end"/>
                </w:r>
                <w:r>
                  <w:rPr>
                    <w:color w:val="231F20"/>
                    <w:sz w:val="24"/>
                  </w:rPr>
                  <w:t> </w:t>
                </w:r>
                <w:r>
                  <w:rPr>
                    <w:color w:val="231F20"/>
                    <w:w w:val="200"/>
                    <w:sz w:val="24"/>
                  </w:rPr>
                  <w:t>-</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1754pt;margin-top:561.313049pt;width:41.6pt;height:14pt;mso-position-horizontal-relative:page;mso-position-vertical-relative:page;z-index:-600328"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150</w:t>
                </w:r>
                <w:r>
                  <w:rPr/>
                  <w:fldChar w:fldCharType="end"/>
                </w:r>
                <w:r>
                  <w:rPr>
                    <w:color w:val="231F20"/>
                    <w:sz w:val="24"/>
                  </w:rPr>
                  <w:t> </w:t>
                </w:r>
                <w:r>
                  <w:rPr>
                    <w:color w:val="231F20"/>
                    <w:w w:val="200"/>
                    <w:sz w:val="24"/>
                  </w:rPr>
                  <w:t>-</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729004pt;margin-top:561.313049pt;width:42.5pt;height:14pt;mso-position-horizontal-relative:page;mso-position-vertical-relative:page;z-index:-600304"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160</w:t>
                </w:r>
                <w:r>
                  <w:rPr/>
                  <w:fldChar w:fldCharType="end"/>
                </w:r>
                <w:r>
                  <w:rPr>
                    <w:color w:val="231F20"/>
                    <w:sz w:val="24"/>
                  </w:rPr>
                  <w:t> </w:t>
                </w:r>
                <w:r>
                  <w:rPr>
                    <w:color w:val="231F20"/>
                    <w:w w:val="200"/>
                    <w:sz w:val="24"/>
                  </w:rPr>
                  <w:t>-</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274399pt;margin-top:561.313049pt;width:41.4pt;height:14pt;mso-position-horizontal-relative:page;mso-position-vertical-relative:page;z-index:-600280"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170</w:t>
                </w:r>
                <w:r>
                  <w:rPr/>
                  <w:fldChar w:fldCharType="end"/>
                </w:r>
                <w:r>
                  <w:rPr>
                    <w:color w:val="231F20"/>
                    <w:sz w:val="24"/>
                  </w:rPr>
                  <w:t> </w:t>
                </w:r>
                <w:r>
                  <w:rPr>
                    <w:color w:val="231F20"/>
                    <w:w w:val="200"/>
                    <w:sz w:val="24"/>
                  </w:rPr>
                  <w:t>-</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854401pt;margin-top:561.313049pt;width:42.25pt;height:14pt;mso-position-horizontal-relative:page;mso-position-vertical-relative:page;z-index:-600256"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180</w:t>
                </w:r>
                <w:r>
                  <w:rPr/>
                  <w:fldChar w:fldCharType="end"/>
                </w:r>
                <w:r>
                  <w:rPr>
                    <w:color w:val="231F20"/>
                    <w:sz w:val="24"/>
                  </w:rPr>
                  <w:t> </w:t>
                </w:r>
                <w:r>
                  <w:rPr>
                    <w:color w:val="231F20"/>
                    <w:w w:val="200"/>
                    <w:sz w:val="24"/>
                  </w:rPr>
                  <w:t>-</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900101pt;margin-top:561.313049pt;width:42.15pt;height:14pt;mso-position-horizontal-relative:page;mso-position-vertical-relative:page;z-index:-600232"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6"/>
                    <w:w w:val="200"/>
                    <w:sz w:val="24"/>
                  </w:rPr>
                  <w:t> </w:t>
                </w:r>
                <w:r>
                  <w:rPr/>
                  <w:fldChar w:fldCharType="begin"/>
                </w:r>
                <w:r>
                  <w:rPr>
                    <w:color w:val="231F20"/>
                    <w:sz w:val="24"/>
                  </w:rPr>
                  <w:instrText> PAGE </w:instrText>
                </w:r>
                <w:r>
                  <w:rPr/>
                  <w:fldChar w:fldCharType="separate"/>
                </w:r>
                <w:r>
                  <w:rPr/>
                  <w:t>190</w:t>
                </w:r>
                <w:r>
                  <w:rPr/>
                  <w:fldChar w:fldCharType="end"/>
                </w:r>
                <w:r>
                  <w:rPr>
                    <w:color w:val="231F20"/>
                    <w:sz w:val="24"/>
                  </w:rPr>
                  <w:t> </w:t>
                </w:r>
                <w:r>
                  <w:rPr>
                    <w:color w:val="231F20"/>
                    <w:w w:val="200"/>
                    <w:sz w:val="24"/>
                  </w:rPr>
                  <w:t>-</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765503pt;margin-top:561.313049pt;width:44.4pt;height:14pt;mso-position-horizontal-relative:page;mso-position-vertical-relative:page;z-index:-600208"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200</w:t>
                </w:r>
                <w:r>
                  <w:rPr/>
                  <w:fldChar w:fldCharType="end"/>
                </w:r>
                <w:r>
                  <w:rPr>
                    <w:color w:val="231F20"/>
                    <w:w w:val="115"/>
                    <w:sz w:val="24"/>
                  </w:rPr>
                  <w:t> </w:t>
                </w:r>
                <w:r>
                  <w:rPr>
                    <w:color w:val="231F20"/>
                    <w:w w:val="200"/>
                    <w:sz w:val="24"/>
                  </w:rPr>
                  <w:t>-</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007401pt;margin-top:561.313049pt;width:41.9pt;height:14pt;mso-position-horizontal-relative:page;mso-position-vertical-relative:page;z-index:-600184" type="#_x0000_t202" filled="false" stroked="false">
          <v:textbox inset="0,0,0,0">
            <w:txbxContent>
              <w:p>
                <w:pPr>
                  <w:spacing w:line="226" w:lineRule="exact" w:before="0"/>
                  <w:ind w:left="20" w:right="-16"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210</w:t>
                </w:r>
                <w:r>
                  <w:rPr/>
                  <w:fldChar w:fldCharType="end"/>
                </w:r>
                <w:r>
                  <w:rPr>
                    <w:color w:val="231F20"/>
                    <w:spacing w:val="-29"/>
                    <w:w w:val="115"/>
                    <w:sz w:val="24"/>
                  </w:rPr>
                  <w:t> </w:t>
                </w:r>
                <w:r>
                  <w:rPr>
                    <w:color w:val="231F20"/>
                    <w:w w:val="200"/>
                    <w:sz w:val="24"/>
                  </w:rPr>
                  <w:t>-</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197495pt;margin-top:561.313049pt;width:43.55pt;height:14pt;mso-position-horizontal-relative:page;mso-position-vertical-relative:page;z-index:-600160" type="#_x0000_t202" filled="false" stroked="false">
          <v:textbox inset="0,0,0,0">
            <w:txbxContent>
              <w:p>
                <w:pPr>
                  <w:spacing w:line="226" w:lineRule="exact" w:before="0"/>
                  <w:ind w:left="20" w:right="-12"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220</w:t>
                </w:r>
                <w:r>
                  <w:rPr/>
                  <w:fldChar w:fldCharType="end"/>
                </w:r>
                <w:r>
                  <w:rPr>
                    <w:color w:val="231F20"/>
                    <w:w w:val="115"/>
                    <w:sz w:val="24"/>
                  </w:rPr>
                  <w:t> </w:t>
                </w:r>
                <w:r>
                  <w:rPr>
                    <w:color w:val="231F20"/>
                    <w:w w:val="200"/>
                    <w:sz w:val="24"/>
                  </w:rPr>
                  <w:t>-</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593506pt;margin-top:561.313049pt;width:42.75pt;height:14pt;mso-position-horizontal-relative:page;mso-position-vertical-relative:page;z-index:-600136"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230</w:t>
                </w:r>
                <w:r>
                  <w:rPr/>
                  <w:fldChar w:fldCharType="end"/>
                </w:r>
                <w:r>
                  <w:rPr>
                    <w:color w:val="231F20"/>
                    <w:spacing w:val="-29"/>
                    <w:w w:val="115"/>
                    <w:sz w:val="24"/>
                  </w:rPr>
                  <w:t> </w:t>
                </w:r>
                <w:r>
                  <w:rPr>
                    <w:color w:val="231F20"/>
                    <w:w w:val="200"/>
                    <w:sz w:val="24"/>
                  </w:rPr>
                  <w:t>-</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044403pt;margin-top:561.313049pt;width:37.85pt;height:14pt;mso-position-horizontal-relative:page;mso-position-vertical-relative:page;z-index:-600736"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97"/>
                    <w:w w:val="205"/>
                    <w:sz w:val="24"/>
                  </w:rPr>
                  <w:t> </w:t>
                </w:r>
                <w:r>
                  <w:rPr/>
                  <w:fldChar w:fldCharType="begin"/>
                </w:r>
                <w:r>
                  <w:rPr>
                    <w:color w:val="231F20"/>
                    <w:w w:val="115"/>
                    <w:sz w:val="24"/>
                  </w:rPr>
                  <w:instrText> PAGE </w:instrText>
                </w:r>
                <w:r>
                  <w:rPr/>
                  <w:fldChar w:fldCharType="separate"/>
                </w:r>
                <w:r>
                  <w:rPr/>
                  <w:t>20</w:t>
                </w:r>
                <w:r>
                  <w:rPr/>
                  <w:fldChar w:fldCharType="end"/>
                </w:r>
                <w:r>
                  <w:rPr>
                    <w:color w:val="231F20"/>
                    <w:w w:val="115"/>
                    <w:sz w:val="24"/>
                  </w:rPr>
                  <w:t> </w:t>
                </w:r>
                <w:r>
                  <w:rPr>
                    <w:color w:val="231F20"/>
                    <w:w w:val="205"/>
                    <w:sz w:val="24"/>
                  </w:rPr>
                  <w:t>-</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921707pt;margin-top:561.313049pt;width:42.1pt;height:14pt;mso-position-horizontal-relative:page;mso-position-vertical-relative:page;z-index:-600112" type="#_x0000_t202" filled="false" stroked="false">
          <v:textbox inset="0,0,0,0">
            <w:txbxContent>
              <w:p>
                <w:pPr>
                  <w:spacing w:line="226" w:lineRule="exact" w:before="0"/>
                  <w:ind w:left="20" w:right="-12"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239</w:t>
                </w:r>
                <w:r>
                  <w:rPr/>
                  <w:fldChar w:fldCharType="end"/>
                </w:r>
                <w:r>
                  <w:rPr>
                    <w:color w:val="231F20"/>
                    <w:spacing w:val="-29"/>
                    <w:w w:val="115"/>
                    <w:sz w:val="24"/>
                  </w:rPr>
                  <w:t> </w:t>
                </w:r>
                <w:r>
                  <w:rPr>
                    <w:color w:val="231F20"/>
                    <w:w w:val="200"/>
                    <w:sz w:val="24"/>
                  </w:rPr>
                  <w:t>-</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906494pt;margin-top:561.313049pt;width:44.1pt;height:14pt;mso-position-horizontal-relative:page;mso-position-vertical-relative:page;z-index:-600088" type="#_x0000_t202" filled="false" stroked="false">
          <v:textbox inset="0,0,0,0">
            <w:txbxContent>
              <w:p>
                <w:pPr>
                  <w:spacing w:line="226" w:lineRule="exact" w:before="0"/>
                  <w:ind w:left="20" w:right="-1"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240</w:t>
                </w:r>
                <w:r>
                  <w:rPr/>
                  <w:fldChar w:fldCharType="end"/>
                </w:r>
                <w:r>
                  <w:rPr>
                    <w:color w:val="231F20"/>
                    <w:w w:val="115"/>
                    <w:sz w:val="24"/>
                  </w:rPr>
                  <w:t> </w:t>
                </w:r>
                <w:r>
                  <w:rPr>
                    <w:color w:val="231F20"/>
                    <w:w w:val="200"/>
                    <w:sz w:val="24"/>
                  </w:rPr>
                  <w:t>-</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632401pt;margin-top:561.313049pt;width:42.65pt;height:14pt;mso-position-horizontal-relative:page;mso-position-vertical-relative:page;z-index:-600064" type="#_x0000_t202" filled="false" stroked="false">
          <v:textbox inset="0,0,0,0">
            <w:txbxContent>
              <w:p>
                <w:pPr>
                  <w:spacing w:line="226" w:lineRule="exact" w:before="0"/>
                  <w:ind w:left="20" w:right="-1"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250</w:t>
                </w:r>
                <w:r>
                  <w:rPr/>
                  <w:fldChar w:fldCharType="end"/>
                </w:r>
                <w:r>
                  <w:rPr>
                    <w:color w:val="231F20"/>
                    <w:spacing w:val="-29"/>
                    <w:w w:val="115"/>
                    <w:sz w:val="24"/>
                  </w:rPr>
                  <w:t> </w:t>
                </w:r>
                <w:r>
                  <w:rPr>
                    <w:color w:val="231F20"/>
                    <w:w w:val="200"/>
                    <w:sz w:val="24"/>
                  </w:rPr>
                  <w:t>-</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963501pt;margin-top:561.313049pt;width:44pt;height:14pt;mso-position-horizontal-relative:page;mso-position-vertical-relative:page;z-index:-600040" type="#_x0000_t202" filled="false" stroked="false">
          <v:textbox inset="0,0,0,0">
            <w:txbxContent>
              <w:p>
                <w:pPr>
                  <w:spacing w:line="226" w:lineRule="exact" w:before="0"/>
                  <w:ind w:left="20" w:right="-3"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260</w:t>
                </w:r>
                <w:r>
                  <w:rPr/>
                  <w:fldChar w:fldCharType="end"/>
                </w:r>
                <w:r>
                  <w:rPr>
                    <w:color w:val="231F20"/>
                    <w:w w:val="115"/>
                    <w:sz w:val="24"/>
                  </w:rPr>
                  <w:t> </w:t>
                </w:r>
                <w:r>
                  <w:rPr>
                    <w:color w:val="231F20"/>
                    <w:w w:val="200"/>
                    <w:sz w:val="24"/>
                  </w:rPr>
                  <w:t>-</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569504pt;margin-top:561.313049pt;width:42.8pt;height:14pt;mso-position-horizontal-relative:page;mso-position-vertical-relative:page;z-index:-600016"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270</w:t>
                </w:r>
                <w:r>
                  <w:rPr/>
                  <w:fldChar w:fldCharType="end"/>
                </w:r>
                <w:r>
                  <w:rPr>
                    <w:color w:val="231F20"/>
                    <w:spacing w:val="-29"/>
                    <w:w w:val="115"/>
                    <w:sz w:val="24"/>
                  </w:rPr>
                  <w:t> </w:t>
                </w:r>
                <w:r>
                  <w:rPr>
                    <w:color w:val="231F20"/>
                    <w:w w:val="200"/>
                    <w:sz w:val="24"/>
                  </w:rPr>
                  <w:t>-</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149399pt;margin-top:561.313049pt;width:43.65pt;height:14pt;mso-position-horizontal-relative:page;mso-position-vertical-relative:page;z-index:-599992"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5"/>
                    <w:w w:val="200"/>
                    <w:sz w:val="24"/>
                  </w:rPr>
                  <w:t> </w:t>
                </w:r>
                <w:r>
                  <w:rPr/>
                  <w:fldChar w:fldCharType="begin"/>
                </w:r>
                <w:r>
                  <w:rPr>
                    <w:color w:val="231F20"/>
                    <w:w w:val="115"/>
                    <w:sz w:val="24"/>
                  </w:rPr>
                  <w:instrText> PAGE </w:instrText>
                </w:r>
                <w:r>
                  <w:rPr/>
                  <w:fldChar w:fldCharType="separate"/>
                </w:r>
                <w:r>
                  <w:rPr/>
                  <w:t>280</w:t>
                </w:r>
                <w:r>
                  <w:rPr/>
                  <w:fldChar w:fldCharType="end"/>
                </w:r>
                <w:r>
                  <w:rPr>
                    <w:color w:val="231F20"/>
                    <w:w w:val="115"/>
                    <w:sz w:val="24"/>
                  </w:rPr>
                  <w:t> </w:t>
                </w:r>
                <w:r>
                  <w:rPr>
                    <w:color w:val="231F20"/>
                    <w:w w:val="200"/>
                    <w:sz w:val="24"/>
                  </w:rPr>
                  <w:t>-</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1315pt;margin-top:561.313049pt;width:43.7pt;height:14pt;mso-position-horizontal-relative:page;mso-position-vertical-relative:page;z-index:-599968" type="#_x0000_t202" filled="false" stroked="false">
          <v:textbox inset="0,0,0,0">
            <w:txbxContent>
              <w:p>
                <w:pPr>
                  <w:spacing w:line="226" w:lineRule="exact" w:before="0"/>
                  <w:ind w:left="20" w:right="-9" w:firstLine="0"/>
                  <w:jc w:val="left"/>
                  <w:rPr>
                    <w:sz w:val="24"/>
                  </w:rPr>
                </w:pPr>
                <w:r>
                  <w:rPr>
                    <w:color w:val="231F20"/>
                    <w:w w:val="200"/>
                    <w:sz w:val="24"/>
                  </w:rPr>
                  <w:t>-</w:t>
                </w:r>
                <w:r>
                  <w:rPr>
                    <w:color w:val="231F20"/>
                    <w:spacing w:val="-80"/>
                    <w:w w:val="200"/>
                    <w:sz w:val="24"/>
                  </w:rPr>
                  <w:t> </w:t>
                </w:r>
                <w:r>
                  <w:rPr/>
                  <w:fldChar w:fldCharType="begin"/>
                </w:r>
                <w:r>
                  <w:rPr>
                    <w:color w:val="231F20"/>
                    <w:w w:val="115"/>
                    <w:sz w:val="24"/>
                  </w:rPr>
                  <w:instrText> PAGE </w:instrText>
                </w:r>
                <w:r>
                  <w:rPr/>
                  <w:fldChar w:fldCharType="separate"/>
                </w:r>
                <w:r>
                  <w:rPr/>
                  <w:t>290</w:t>
                </w:r>
                <w:r>
                  <w:rPr/>
                  <w:fldChar w:fldCharType="end"/>
                </w:r>
                <w:r>
                  <w:rPr>
                    <w:color w:val="231F20"/>
                    <w:w w:val="115"/>
                    <w:sz w:val="24"/>
                  </w:rPr>
                  <w:t> </w:t>
                </w:r>
                <w:r>
                  <w:rPr>
                    <w:color w:val="231F20"/>
                    <w:w w:val="200"/>
                    <w:sz w:val="24"/>
                  </w:rPr>
                  <w:t>-</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046295pt;margin-top:561.313049pt;width:43.85pt;height:14pt;mso-position-horizontal-relative:page;mso-position-vertical-relative:page;z-index:-599944" type="#_x0000_t202" filled="false" stroked="false">
          <v:textbox inset="0,0,0,0">
            <w:txbxContent>
              <w:p>
                <w:pPr>
                  <w:spacing w:line="226" w:lineRule="exact" w:before="0"/>
                  <w:ind w:left="20" w:right="-7"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300</w:t>
                </w:r>
                <w:r>
                  <w:rPr/>
                  <w:fldChar w:fldCharType="end"/>
                </w:r>
                <w:r>
                  <w:rPr>
                    <w:color w:val="231F20"/>
                    <w:w w:val="110"/>
                    <w:sz w:val="24"/>
                  </w:rPr>
                  <w:t> </w:t>
                </w:r>
                <w:r>
                  <w:rPr>
                    <w:color w:val="231F20"/>
                    <w:w w:val="200"/>
                    <w:sz w:val="24"/>
                  </w:rPr>
                  <w:t>-</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148407pt;margin-top:561.313049pt;width:41.65pt;height:14pt;mso-position-horizontal-relative:page;mso-position-vertical-relative:page;z-index:-599920" type="#_x0000_t202" filled="false" stroked="false">
          <v:textbox inset="0,0,0,0">
            <w:txbxContent>
              <w:p>
                <w:pPr>
                  <w:spacing w:line="226" w:lineRule="exact" w:before="0"/>
                  <w:ind w:left="20" w:right="-5"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310</w:t>
                </w:r>
                <w:r>
                  <w:rPr/>
                  <w:fldChar w:fldCharType="end"/>
                </w:r>
                <w:r>
                  <w:rPr>
                    <w:color w:val="231F20"/>
                    <w:w w:val="110"/>
                    <w:sz w:val="24"/>
                  </w:rPr>
                  <w:t> </w:t>
                </w:r>
                <w:r>
                  <w:rPr>
                    <w:color w:val="231F20"/>
                    <w:w w:val="200"/>
                    <w:sz w:val="24"/>
                  </w:rPr>
                  <w:t>-</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19.713394pt;margin-top:561.313049pt;width:42.5pt;height:14pt;mso-position-horizontal-relative:page;mso-position-vertical-relative:page;z-index:-599896"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328</w:t>
                </w:r>
                <w:r>
                  <w:rPr/>
                  <w:fldChar w:fldCharType="end"/>
                </w:r>
                <w:r>
                  <w:rPr>
                    <w:color w:val="231F20"/>
                    <w:w w:val="110"/>
                    <w:sz w:val="24"/>
                  </w:rPr>
                  <w:t> </w:t>
                </w:r>
                <w:r>
                  <w:rPr>
                    <w:color w:val="231F20"/>
                    <w:w w:val="200"/>
                    <w:sz w:val="24"/>
                  </w:rPr>
                  <w:t>-</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718307pt;margin-top:561.313049pt;width:42.5pt;height:14pt;mso-position-horizontal-relative:page;mso-position-vertical-relative:page;z-index:-599872"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330</w:t>
                </w:r>
                <w:r>
                  <w:rPr/>
                  <w:fldChar w:fldCharType="end"/>
                </w:r>
                <w:r>
                  <w:rPr>
                    <w:color w:val="231F20"/>
                    <w:w w:val="110"/>
                    <w:sz w:val="24"/>
                  </w:rPr>
                  <w:t> </w:t>
                </w:r>
                <w:r>
                  <w:rPr>
                    <w:color w:val="231F20"/>
                    <w:w w:val="200"/>
                    <w:sz w:val="24"/>
                  </w:rPr>
                  <w:t>-</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116501pt;margin-top:561.313049pt;width:43.7pt;height:14pt;mso-position-horizontal-relative:page;mso-position-vertical-relative:page;z-index:-599848" type="#_x0000_t202" filled="false" stroked="false">
          <v:textbox inset="0,0,0,0">
            <w:txbxContent>
              <w:p>
                <w:pPr>
                  <w:spacing w:line="226" w:lineRule="exact" w:before="0"/>
                  <w:ind w:left="20" w:right="-9"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340</w:t>
                </w:r>
                <w:r>
                  <w:rPr/>
                  <w:fldChar w:fldCharType="end"/>
                </w:r>
                <w:r>
                  <w:rPr>
                    <w:color w:val="231F20"/>
                    <w:w w:val="110"/>
                    <w:sz w:val="24"/>
                  </w:rPr>
                  <w:t> </w:t>
                </w:r>
                <w:r>
                  <w:rPr>
                    <w:color w:val="231F20"/>
                    <w:w w:val="200"/>
                    <w:sz w:val="24"/>
                  </w:rPr>
                  <w:t>-</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815506pt;margin-top:561.313049pt;width:42.3pt;height:14pt;mso-position-horizontal-relative:page;mso-position-vertical-relative:page;z-index:-599824"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350</w:t>
                </w:r>
                <w:r>
                  <w:rPr/>
                  <w:fldChar w:fldCharType="end"/>
                </w:r>
                <w:r>
                  <w:rPr>
                    <w:color w:val="231F20"/>
                    <w:w w:val="110"/>
                    <w:sz w:val="24"/>
                  </w:rPr>
                  <w:t> </w:t>
                </w:r>
                <w:r>
                  <w:rPr>
                    <w:color w:val="231F20"/>
                    <w:w w:val="200"/>
                    <w:sz w:val="24"/>
                  </w:rPr>
                  <w:t>-</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899506pt;margin-top:561.313049pt;width:42.15pt;height:14pt;mso-position-horizontal-relative:page;mso-position-vertical-relative:page;z-index:-599800"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354</w:t>
                </w:r>
                <w:r>
                  <w:rPr/>
                  <w:fldChar w:fldCharType="end"/>
                </w:r>
                <w:r>
                  <w:rPr>
                    <w:color w:val="231F20"/>
                    <w:w w:val="110"/>
                    <w:sz w:val="24"/>
                  </w:rPr>
                  <w:t> </w:t>
                </w:r>
                <w:r>
                  <w:rPr>
                    <w:color w:val="231F20"/>
                    <w:w w:val="200"/>
                    <w:sz w:val="24"/>
                  </w:rPr>
                  <w:t>-</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219696pt;margin-top:561.313049pt;width:43.5pt;height:14pt;mso-position-horizontal-relative:page;mso-position-vertical-relative:page;z-index:-599776"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360</w:t>
                </w:r>
                <w:r>
                  <w:rPr/>
                  <w:fldChar w:fldCharType="end"/>
                </w:r>
                <w:r>
                  <w:rPr>
                    <w:color w:val="231F20"/>
                    <w:w w:val="110"/>
                    <w:sz w:val="24"/>
                  </w:rPr>
                  <w:t> </w:t>
                </w:r>
                <w:r>
                  <w:rPr>
                    <w:color w:val="231F20"/>
                    <w:w w:val="200"/>
                    <w:sz w:val="24"/>
                  </w:rPr>
                  <w:t>-</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701508pt;margin-top:561.313049pt;width:42.55pt;height:14pt;mso-position-horizontal-relative:page;mso-position-vertical-relative:page;z-index:-599752"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370</w:t>
                </w:r>
                <w:r>
                  <w:rPr/>
                  <w:fldChar w:fldCharType="end"/>
                </w:r>
                <w:r>
                  <w:rPr>
                    <w:color w:val="231F20"/>
                    <w:w w:val="110"/>
                    <w:sz w:val="24"/>
                  </w:rPr>
                  <w:t> </w:t>
                </w:r>
                <w:r>
                  <w:rPr>
                    <w:color w:val="231F20"/>
                    <w:w w:val="200"/>
                    <w:sz w:val="24"/>
                  </w:rPr>
                  <w:t>-</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4104pt;margin-top:561.313049pt;width:43.1pt;height:14pt;mso-position-horizontal-relative:page;mso-position-vertical-relative:page;z-index:-599728"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380</w:t>
                </w:r>
                <w:r>
                  <w:rPr/>
                  <w:fldChar w:fldCharType="end"/>
                </w:r>
                <w:r>
                  <w:rPr>
                    <w:color w:val="231F20"/>
                    <w:w w:val="110"/>
                    <w:sz w:val="24"/>
                  </w:rPr>
                  <w:t> </w:t>
                </w:r>
                <w:r>
                  <w:rPr>
                    <w:color w:val="231F20"/>
                    <w:w w:val="200"/>
                    <w:sz w:val="24"/>
                  </w:rPr>
                  <w:t>-</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374496pt;margin-top:561.313049pt;width:43.2pt;height:14pt;mso-position-horizontal-relative:page;mso-position-vertical-relative:page;z-index:-599704"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104"/>
                    <w:w w:val="200"/>
                    <w:sz w:val="24"/>
                  </w:rPr>
                  <w:t> </w:t>
                </w:r>
                <w:r>
                  <w:rPr/>
                  <w:fldChar w:fldCharType="begin"/>
                </w:r>
                <w:r>
                  <w:rPr>
                    <w:color w:val="231F20"/>
                    <w:w w:val="110"/>
                    <w:sz w:val="24"/>
                  </w:rPr>
                  <w:instrText> PAGE </w:instrText>
                </w:r>
                <w:r>
                  <w:rPr/>
                  <w:fldChar w:fldCharType="separate"/>
                </w:r>
                <w:r>
                  <w:rPr/>
                  <w:t>390</w:t>
                </w:r>
                <w:r>
                  <w:rPr/>
                  <w:fldChar w:fldCharType="end"/>
                </w:r>
                <w:r>
                  <w:rPr>
                    <w:color w:val="231F20"/>
                    <w:w w:val="110"/>
                    <w:sz w:val="24"/>
                  </w:rPr>
                  <w:t> </w:t>
                </w:r>
                <w:r>
                  <w:rPr>
                    <w:color w:val="231F20"/>
                    <w:w w:val="200"/>
                    <w:sz w:val="24"/>
                  </w:rPr>
                  <w:t>-</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4104pt;margin-top:561.313049pt;width:37.1pt;height:14pt;mso-position-horizontal-relative:page;mso-position-vertical-relative:page;z-index:-600712"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97"/>
                    <w:w w:val="205"/>
                    <w:sz w:val="24"/>
                  </w:rPr>
                  <w:t> </w:t>
                </w:r>
                <w:r>
                  <w:rPr/>
                  <w:fldChar w:fldCharType="begin"/>
                </w:r>
                <w:r>
                  <w:rPr>
                    <w:color w:val="231F20"/>
                    <w:w w:val="115"/>
                    <w:sz w:val="24"/>
                  </w:rPr>
                  <w:instrText> PAGE </w:instrText>
                </w:r>
                <w:r>
                  <w:rPr/>
                  <w:fldChar w:fldCharType="separate"/>
                </w:r>
                <w:r>
                  <w:rPr/>
                  <w:t>29</w:t>
                </w:r>
                <w:r>
                  <w:rPr/>
                  <w:fldChar w:fldCharType="end"/>
                </w:r>
                <w:r>
                  <w:rPr>
                    <w:color w:val="231F20"/>
                    <w:w w:val="115"/>
                    <w:sz w:val="24"/>
                  </w:rPr>
                  <w:t> </w:t>
                </w:r>
                <w:r>
                  <w:rPr>
                    <w:color w:val="231F20"/>
                    <w:w w:val="205"/>
                    <w:sz w:val="24"/>
                  </w:rPr>
                  <w:t>-</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546494pt;margin-top:561.313049pt;width:44.85pt;height:14pt;mso-position-horizontal-relative:page;mso-position-vertical-relative:page;z-index:-599680"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3"/>
                    <w:w w:val="200"/>
                    <w:sz w:val="24"/>
                  </w:rPr>
                  <w:t> </w:t>
                </w:r>
                <w:r>
                  <w:rPr/>
                  <w:fldChar w:fldCharType="begin"/>
                </w:r>
                <w:r>
                  <w:rPr>
                    <w:color w:val="231F20"/>
                    <w:w w:val="125"/>
                    <w:sz w:val="24"/>
                  </w:rPr>
                  <w:instrText> PAGE </w:instrText>
                </w:r>
                <w:r>
                  <w:rPr/>
                  <w:fldChar w:fldCharType="separate"/>
                </w:r>
                <w:r>
                  <w:rPr/>
                  <w:t>400</w:t>
                </w:r>
                <w:r>
                  <w:rPr/>
                  <w:fldChar w:fldCharType="end"/>
                </w:r>
                <w:r>
                  <w:rPr>
                    <w:color w:val="231F20"/>
                    <w:spacing w:val="-38"/>
                    <w:w w:val="125"/>
                    <w:sz w:val="24"/>
                  </w:rPr>
                  <w:t> </w:t>
                </w:r>
                <w:r>
                  <w:rPr>
                    <w:color w:val="231F20"/>
                    <w:w w:val="200"/>
                    <w:sz w:val="24"/>
                  </w:rPr>
                  <w:t>-</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740494pt;margin-top:561.313049pt;width:42.45pt;height:14pt;mso-position-horizontal-relative:page;mso-position-vertical-relative:page;z-index:-599656" type="#_x0000_t202" filled="false" stroked="false">
          <v:textbox inset="0,0,0,0">
            <w:txbxContent>
              <w:p>
                <w:pPr>
                  <w:spacing w:line="226" w:lineRule="exact" w:before="0"/>
                  <w:ind w:left="20" w:right="0" w:firstLine="0"/>
                  <w:jc w:val="left"/>
                  <w:rPr>
                    <w:sz w:val="24"/>
                  </w:rPr>
                </w:pPr>
                <w:r>
                  <w:rPr>
                    <w:color w:val="231F20"/>
                    <w:w w:val="200"/>
                    <w:sz w:val="24"/>
                  </w:rPr>
                  <w:t>- </w:t>
                </w:r>
                <w:r>
                  <w:rPr/>
                  <w:fldChar w:fldCharType="begin"/>
                </w:r>
                <w:r>
                  <w:rPr>
                    <w:color w:val="231F20"/>
                    <w:w w:val="125"/>
                    <w:sz w:val="24"/>
                  </w:rPr>
                  <w:instrText> PAGE </w:instrText>
                </w:r>
                <w:r>
                  <w:rPr/>
                  <w:fldChar w:fldCharType="separate"/>
                </w:r>
                <w:r>
                  <w:rPr/>
                  <w:t>410</w:t>
                </w:r>
                <w:r>
                  <w:rPr/>
                  <w:fldChar w:fldCharType="end"/>
                </w:r>
                <w:r>
                  <w:rPr>
                    <w:color w:val="231F20"/>
                    <w:w w:val="125"/>
                    <w:sz w:val="24"/>
                  </w:rPr>
                  <w:t> </w:t>
                </w:r>
                <w:r>
                  <w:rPr>
                    <w:color w:val="231F20"/>
                    <w:w w:val="200"/>
                    <w:sz w:val="24"/>
                  </w:rPr>
                  <w:t>-</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930496pt;margin-top:561.313049pt;width:44.1pt;height:14pt;mso-position-horizontal-relative:page;mso-position-vertical-relative:page;z-index:-599632" type="#_x0000_t202" filled="false" stroked="false">
          <v:textbox inset="0,0,0,0">
            <w:txbxContent>
              <w:p>
                <w:pPr>
                  <w:spacing w:line="226" w:lineRule="exact" w:before="0"/>
                  <w:ind w:left="20" w:right="-2" w:firstLine="0"/>
                  <w:jc w:val="left"/>
                  <w:rPr>
                    <w:sz w:val="24"/>
                  </w:rPr>
                </w:pPr>
                <w:r>
                  <w:rPr>
                    <w:color w:val="231F20"/>
                    <w:w w:val="200"/>
                    <w:sz w:val="24"/>
                  </w:rPr>
                  <w:t>-</w:t>
                </w:r>
                <w:r>
                  <w:rPr>
                    <w:color w:val="231F20"/>
                    <w:spacing w:val="-83"/>
                    <w:w w:val="200"/>
                    <w:sz w:val="24"/>
                  </w:rPr>
                  <w:t> </w:t>
                </w:r>
                <w:r>
                  <w:rPr/>
                  <w:fldChar w:fldCharType="begin"/>
                </w:r>
                <w:r>
                  <w:rPr>
                    <w:color w:val="231F20"/>
                    <w:w w:val="125"/>
                    <w:sz w:val="24"/>
                  </w:rPr>
                  <w:instrText> PAGE </w:instrText>
                </w:r>
                <w:r>
                  <w:rPr/>
                  <w:fldChar w:fldCharType="separate"/>
                </w:r>
                <w:r>
                  <w:rPr/>
                  <w:t>420</w:t>
                </w:r>
                <w:r>
                  <w:rPr/>
                  <w:fldChar w:fldCharType="end"/>
                </w:r>
                <w:r>
                  <w:rPr>
                    <w:color w:val="231F20"/>
                    <w:spacing w:val="-38"/>
                    <w:w w:val="125"/>
                    <w:sz w:val="24"/>
                  </w:rPr>
                  <w:t> </w:t>
                </w:r>
                <w:r>
                  <w:rPr>
                    <w:color w:val="231F20"/>
                    <w:w w:val="200"/>
                    <w:sz w:val="24"/>
                  </w:rPr>
                  <w:t>-</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410599pt;margin-top:561.313049pt;width:43.1pt;height:14pt;mso-position-horizontal-relative:page;mso-position-vertical-relative:page;z-index:-599608" type="#_x0000_t202" filled="false" stroked="false">
          <v:textbox inset="0,0,0,0">
            <w:txbxContent>
              <w:p>
                <w:pPr>
                  <w:spacing w:line="226" w:lineRule="exact" w:before="0"/>
                  <w:ind w:left="20" w:right="0" w:firstLine="0"/>
                  <w:jc w:val="left"/>
                  <w:rPr>
                    <w:sz w:val="24"/>
                  </w:rPr>
                </w:pPr>
                <w:r>
                  <w:rPr>
                    <w:color w:val="231F20"/>
                    <w:w w:val="200"/>
                    <w:sz w:val="24"/>
                  </w:rPr>
                  <w:t>- </w:t>
                </w:r>
                <w:r>
                  <w:rPr/>
                  <w:fldChar w:fldCharType="begin"/>
                </w:r>
                <w:r>
                  <w:rPr>
                    <w:color w:val="231F20"/>
                    <w:w w:val="125"/>
                    <w:sz w:val="24"/>
                  </w:rPr>
                  <w:instrText> PAGE </w:instrText>
                </w:r>
                <w:r>
                  <w:rPr/>
                  <w:fldChar w:fldCharType="separate"/>
                </w:r>
                <w:r>
                  <w:rPr/>
                  <w:t>434</w:t>
                </w:r>
                <w:r>
                  <w:rPr/>
                  <w:fldChar w:fldCharType="end"/>
                </w:r>
                <w:r>
                  <w:rPr>
                    <w:color w:val="231F20"/>
                    <w:w w:val="125"/>
                    <w:sz w:val="24"/>
                  </w:rPr>
                  <w:t> </w:t>
                </w:r>
                <w:r>
                  <w:rPr>
                    <w:color w:val="231F20"/>
                    <w:w w:val="200"/>
                    <w:sz w:val="24"/>
                  </w:rPr>
                  <w:t>-</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678604pt;margin-top:561.313049pt;width:44.6pt;height:14pt;mso-position-horizontal-relative:page;mso-position-vertical-relative:page;z-index:-599584"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3"/>
                    <w:w w:val="200"/>
                    <w:sz w:val="24"/>
                  </w:rPr>
                  <w:t> </w:t>
                </w:r>
                <w:r>
                  <w:rPr/>
                  <w:fldChar w:fldCharType="begin"/>
                </w:r>
                <w:r>
                  <w:rPr>
                    <w:color w:val="231F20"/>
                    <w:w w:val="125"/>
                    <w:sz w:val="24"/>
                  </w:rPr>
                  <w:instrText> PAGE </w:instrText>
                </w:r>
                <w:r>
                  <w:rPr/>
                  <w:fldChar w:fldCharType="separate"/>
                </w:r>
                <w:r>
                  <w:rPr/>
                  <w:t>440</w:t>
                </w:r>
                <w:r>
                  <w:rPr/>
                  <w:fldChar w:fldCharType="end"/>
                </w:r>
                <w:r>
                  <w:rPr>
                    <w:color w:val="231F20"/>
                    <w:spacing w:val="-38"/>
                    <w:w w:val="125"/>
                    <w:sz w:val="24"/>
                  </w:rPr>
                  <w:t> </w:t>
                </w:r>
                <w:r>
                  <w:rPr>
                    <w:color w:val="231F20"/>
                    <w:w w:val="200"/>
                    <w:sz w:val="24"/>
                  </w:rPr>
                  <w:t>-</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032593pt;margin-top:561.313049pt;width:43.85pt;height:14pt;mso-position-horizontal-relative:page;mso-position-vertical-relative:page;z-index:-599560" type="#_x0000_t202" filled="false" stroked="false">
          <v:textbox inset="0,0,0,0">
            <w:txbxContent>
              <w:p>
                <w:pPr>
                  <w:spacing w:line="226" w:lineRule="exact" w:before="0"/>
                  <w:ind w:left="20" w:right="-7" w:firstLine="0"/>
                  <w:jc w:val="left"/>
                  <w:rPr>
                    <w:sz w:val="24"/>
                  </w:rPr>
                </w:pPr>
                <w:r>
                  <w:rPr>
                    <w:color w:val="231F20"/>
                    <w:w w:val="200"/>
                    <w:sz w:val="24"/>
                  </w:rPr>
                  <w:t>-</w:t>
                </w:r>
                <w:r>
                  <w:rPr>
                    <w:color w:val="231F20"/>
                    <w:spacing w:val="-83"/>
                    <w:w w:val="200"/>
                    <w:sz w:val="24"/>
                  </w:rPr>
                  <w:t> </w:t>
                </w:r>
                <w:r>
                  <w:rPr/>
                  <w:fldChar w:fldCharType="begin"/>
                </w:r>
                <w:r>
                  <w:rPr>
                    <w:color w:val="231F20"/>
                    <w:w w:val="125"/>
                    <w:sz w:val="24"/>
                  </w:rPr>
                  <w:instrText> PAGE </w:instrText>
                </w:r>
                <w:r>
                  <w:rPr/>
                  <w:fldChar w:fldCharType="separate"/>
                </w:r>
                <w:r>
                  <w:rPr/>
                  <w:t>449</w:t>
                </w:r>
                <w:r>
                  <w:rPr/>
                  <w:fldChar w:fldCharType="end"/>
                </w:r>
                <w:r>
                  <w:rPr>
                    <w:color w:val="231F20"/>
                    <w:spacing w:val="-38"/>
                    <w:w w:val="125"/>
                    <w:sz w:val="24"/>
                  </w:rPr>
                  <w:t> </w:t>
                </w:r>
                <w:r>
                  <w:rPr>
                    <w:color w:val="231F20"/>
                    <w:w w:val="200"/>
                    <w:sz w:val="24"/>
                  </w:rPr>
                  <w:t>-</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392502pt;margin-top:561.313049pt;width:43.15pt;height:14pt;mso-position-horizontal-relative:page;mso-position-vertical-relative:page;z-index:-599536" type="#_x0000_t202" filled="false" stroked="false">
          <v:textbox inset="0,0,0,0">
            <w:txbxContent>
              <w:p>
                <w:pPr>
                  <w:spacing w:line="226" w:lineRule="exact" w:before="0"/>
                  <w:ind w:left="20" w:right="0" w:firstLine="0"/>
                  <w:jc w:val="left"/>
                  <w:rPr>
                    <w:sz w:val="24"/>
                  </w:rPr>
                </w:pPr>
                <w:r>
                  <w:rPr>
                    <w:color w:val="231F20"/>
                    <w:w w:val="200"/>
                    <w:sz w:val="24"/>
                  </w:rPr>
                  <w:t>- </w:t>
                </w:r>
                <w:r>
                  <w:rPr/>
                  <w:fldChar w:fldCharType="begin"/>
                </w:r>
                <w:r>
                  <w:rPr>
                    <w:color w:val="231F20"/>
                    <w:w w:val="125"/>
                    <w:sz w:val="24"/>
                  </w:rPr>
                  <w:instrText> PAGE </w:instrText>
                </w:r>
                <w:r>
                  <w:rPr/>
                  <w:fldChar w:fldCharType="separate"/>
                </w:r>
                <w:r>
                  <w:rPr/>
                  <w:t>450</w:t>
                </w:r>
                <w:r>
                  <w:rPr/>
                  <w:fldChar w:fldCharType="end"/>
                </w:r>
                <w:r>
                  <w:rPr>
                    <w:color w:val="231F20"/>
                    <w:w w:val="125"/>
                    <w:sz w:val="24"/>
                  </w:rPr>
                  <w:t> </w:t>
                </w:r>
                <w:r>
                  <w:rPr>
                    <w:color w:val="231F20"/>
                    <w:w w:val="200"/>
                    <w:sz w:val="24"/>
                  </w:rPr>
                  <w:t>-</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741501pt;margin-top:561.313049pt;width:44.45pt;height:14pt;mso-position-horizontal-relative:page;mso-position-vertical-relative:page;z-index:-599512" type="#_x0000_t202" filled="false" stroked="false">
          <v:textbox inset="0,0,0,0">
            <w:txbxContent>
              <w:p>
                <w:pPr>
                  <w:spacing w:line="226" w:lineRule="exact" w:before="0"/>
                  <w:ind w:left="20" w:right="0" w:firstLine="0"/>
                  <w:jc w:val="left"/>
                  <w:rPr>
                    <w:sz w:val="24"/>
                  </w:rPr>
                </w:pPr>
                <w:r>
                  <w:rPr>
                    <w:color w:val="231F20"/>
                    <w:w w:val="200"/>
                    <w:sz w:val="24"/>
                  </w:rPr>
                  <w:t>-</w:t>
                </w:r>
                <w:r>
                  <w:rPr>
                    <w:color w:val="231F20"/>
                    <w:spacing w:val="-83"/>
                    <w:w w:val="200"/>
                    <w:sz w:val="24"/>
                  </w:rPr>
                  <w:t> </w:t>
                </w:r>
                <w:r>
                  <w:rPr/>
                  <w:fldChar w:fldCharType="begin"/>
                </w:r>
                <w:r>
                  <w:rPr>
                    <w:color w:val="231F20"/>
                    <w:w w:val="125"/>
                    <w:sz w:val="24"/>
                  </w:rPr>
                  <w:instrText> PAGE </w:instrText>
                </w:r>
                <w:r>
                  <w:rPr/>
                  <w:fldChar w:fldCharType="separate"/>
                </w:r>
                <w:r>
                  <w:rPr/>
                  <w:t>460</w:t>
                </w:r>
                <w:r>
                  <w:rPr/>
                  <w:fldChar w:fldCharType="end"/>
                </w:r>
                <w:r>
                  <w:rPr>
                    <w:color w:val="231F20"/>
                    <w:spacing w:val="-38"/>
                    <w:w w:val="125"/>
                    <w:sz w:val="24"/>
                  </w:rPr>
                  <w:t> </w:t>
                </w:r>
                <w:r>
                  <w:rPr>
                    <w:color w:val="231F20"/>
                    <w:w w:val="200"/>
                    <w:sz w:val="24"/>
                  </w:rPr>
                  <w:t>-</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438095pt;margin-top:561.313049pt;width:43.05pt;height:14pt;mso-position-horizontal-relative:page;mso-position-vertical-relative:page;z-index:-599488" type="#_x0000_t202" filled="false" stroked="false">
          <v:textbox inset="0,0,0,0">
            <w:txbxContent>
              <w:p>
                <w:pPr>
                  <w:spacing w:line="226" w:lineRule="exact" w:before="0"/>
                  <w:ind w:left="20" w:right="0" w:firstLine="0"/>
                  <w:jc w:val="left"/>
                  <w:rPr>
                    <w:sz w:val="24"/>
                  </w:rPr>
                </w:pPr>
                <w:r>
                  <w:rPr>
                    <w:color w:val="231F20"/>
                    <w:w w:val="200"/>
                    <w:sz w:val="24"/>
                  </w:rPr>
                  <w:t>- </w:t>
                </w:r>
                <w:r>
                  <w:rPr/>
                  <w:fldChar w:fldCharType="begin"/>
                </w:r>
                <w:r>
                  <w:rPr>
                    <w:color w:val="231F20"/>
                    <w:w w:val="125"/>
                    <w:sz w:val="24"/>
                  </w:rPr>
                  <w:instrText> PAGE </w:instrText>
                </w:r>
                <w:r>
                  <w:rPr/>
                  <w:fldChar w:fldCharType="separate"/>
                </w:r>
                <w:r>
                  <w:rPr/>
                  <w:t>470</w:t>
                </w:r>
                <w:r>
                  <w:rPr/>
                  <w:fldChar w:fldCharType="end"/>
                </w:r>
                <w:r>
                  <w:rPr>
                    <w:color w:val="231F20"/>
                    <w:w w:val="125"/>
                    <w:sz w:val="24"/>
                  </w:rPr>
                  <w:t> </w:t>
                </w:r>
                <w:r>
                  <w:rPr>
                    <w:color w:val="231F20"/>
                    <w:w w:val="200"/>
                    <w:sz w:val="24"/>
                  </w:rPr>
                  <w:t>-</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325195pt;margin-top:561.313049pt;width:37.3pt;height:14pt;mso-position-horizontal-relative:page;mso-position-vertical-relative:page;z-index:-600688"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94"/>
                    <w:w w:val="205"/>
                    <w:sz w:val="24"/>
                  </w:rPr>
                  <w:t> </w:t>
                </w:r>
                <w:r>
                  <w:rPr/>
                  <w:fldChar w:fldCharType="begin"/>
                </w:r>
                <w:r>
                  <w:rPr>
                    <w:color w:val="231F20"/>
                    <w:w w:val="110"/>
                    <w:sz w:val="24"/>
                  </w:rPr>
                  <w:instrText> PAGE </w:instrText>
                </w:r>
                <w:r>
                  <w:rPr/>
                  <w:fldChar w:fldCharType="separate"/>
                </w:r>
                <w:r>
                  <w:rPr/>
                  <w:t>30</w:t>
                </w:r>
                <w:r>
                  <w:rPr/>
                  <w:fldChar w:fldCharType="end"/>
                </w:r>
                <w:r>
                  <w:rPr>
                    <w:color w:val="231F20"/>
                    <w:w w:val="110"/>
                    <w:sz w:val="24"/>
                  </w:rPr>
                  <w:t> </w:t>
                </w:r>
                <w:r>
                  <w:rPr>
                    <w:color w:val="231F20"/>
                    <w:w w:val="205"/>
                    <w:sz w:val="24"/>
                  </w:rPr>
                  <w:t>-</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936493pt;margin-top:561.313049pt;width:44.05pt;height:14pt;mso-position-horizontal-relative:page;mso-position-vertical-relative:page;z-index:-599464" type="#_x0000_t202" filled="false" stroked="false">
          <v:textbox inset="0,0,0,0">
            <w:txbxContent>
              <w:p>
                <w:pPr>
                  <w:spacing w:line="226" w:lineRule="exact" w:before="0"/>
                  <w:ind w:left="20" w:right="-3" w:firstLine="0"/>
                  <w:jc w:val="left"/>
                  <w:rPr>
                    <w:sz w:val="24"/>
                  </w:rPr>
                </w:pPr>
                <w:r>
                  <w:rPr>
                    <w:color w:val="231F20"/>
                    <w:w w:val="200"/>
                    <w:sz w:val="24"/>
                  </w:rPr>
                  <w:t>-</w:t>
                </w:r>
                <w:r>
                  <w:rPr>
                    <w:color w:val="231F20"/>
                    <w:spacing w:val="-83"/>
                    <w:w w:val="200"/>
                    <w:sz w:val="24"/>
                  </w:rPr>
                  <w:t> </w:t>
                </w:r>
                <w:r>
                  <w:rPr/>
                  <w:fldChar w:fldCharType="begin"/>
                </w:r>
                <w:r>
                  <w:rPr>
                    <w:color w:val="231F20"/>
                    <w:w w:val="125"/>
                    <w:sz w:val="24"/>
                  </w:rPr>
                  <w:instrText> PAGE </w:instrText>
                </w:r>
                <w:r>
                  <w:rPr/>
                  <w:fldChar w:fldCharType="separate"/>
                </w:r>
                <w:r>
                  <w:rPr/>
                  <w:t>480</w:t>
                </w:r>
                <w:r>
                  <w:rPr/>
                  <w:fldChar w:fldCharType="end"/>
                </w:r>
                <w:r>
                  <w:rPr>
                    <w:color w:val="231F20"/>
                    <w:spacing w:val="-38"/>
                    <w:w w:val="125"/>
                    <w:sz w:val="24"/>
                  </w:rPr>
                  <w:t> </w:t>
                </w:r>
                <w:r>
                  <w:rPr>
                    <w:color w:val="231F20"/>
                    <w:w w:val="200"/>
                    <w:sz w:val="24"/>
                  </w:rPr>
                  <w:t>-</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975pt;width:481.889pt;height:609.448pt;mso-position-horizontal-relative:page;mso-position-vertical-relative:page;z-index:-599440" filled="true" fillcolor="#ef4136" stroked="false">
          <v:fill type="solid"/>
          <w10:wrap type="none"/>
        </v:rect>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498596pt;margin-top:561.313049pt;width:36.950pt;height:14pt;mso-position-horizontal-relative:page;mso-position-vertical-relative:page;z-index:-600664"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94"/>
                    <w:w w:val="205"/>
                    <w:sz w:val="24"/>
                  </w:rPr>
                  <w:t> </w:t>
                </w:r>
                <w:r>
                  <w:rPr/>
                  <w:fldChar w:fldCharType="begin"/>
                </w:r>
                <w:r>
                  <w:rPr>
                    <w:color w:val="231F20"/>
                    <w:w w:val="110"/>
                    <w:sz w:val="24"/>
                  </w:rPr>
                  <w:instrText> PAGE </w:instrText>
                </w:r>
                <w:r>
                  <w:rPr/>
                  <w:fldChar w:fldCharType="separate"/>
                </w:r>
                <w:r>
                  <w:rPr/>
                  <w:t>36</w:t>
                </w:r>
                <w:r>
                  <w:rPr/>
                  <w:fldChar w:fldCharType="end"/>
                </w:r>
                <w:r>
                  <w:rPr>
                    <w:color w:val="231F20"/>
                    <w:w w:val="110"/>
                    <w:sz w:val="24"/>
                  </w:rPr>
                  <w:t> </w:t>
                </w:r>
                <w:r>
                  <w:rPr>
                    <w:color w:val="231F20"/>
                    <w:w w:val="205"/>
                    <w:sz w:val="24"/>
                  </w:rPr>
                  <w:t>-</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8255pt;margin-top:561.313049pt;width:38.3pt;height:14pt;mso-position-horizontal-relative:page;mso-position-vertical-relative:page;z-index:-600640"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107"/>
                    <w:w w:val="205"/>
                    <w:sz w:val="24"/>
                  </w:rPr>
                  <w:t> </w:t>
                </w:r>
                <w:r>
                  <w:rPr/>
                  <w:fldChar w:fldCharType="begin"/>
                </w:r>
                <w:r>
                  <w:rPr>
                    <w:color w:val="231F20"/>
                    <w:w w:val="125"/>
                    <w:sz w:val="24"/>
                  </w:rPr>
                  <w:instrText> PAGE </w:instrText>
                </w:r>
                <w:r>
                  <w:rPr/>
                  <w:fldChar w:fldCharType="separate"/>
                </w:r>
                <w:r>
                  <w:rPr/>
                  <w:t>40</w:t>
                </w:r>
                <w:r>
                  <w:rPr/>
                  <w:fldChar w:fldCharType="end"/>
                </w:r>
                <w:r>
                  <w:rPr>
                    <w:color w:val="231F20"/>
                    <w:w w:val="125"/>
                    <w:sz w:val="24"/>
                  </w:rPr>
                  <w:t> </w:t>
                </w:r>
                <w:r>
                  <w:rPr>
                    <w:color w:val="231F20"/>
                    <w:w w:val="205"/>
                    <w:sz w:val="24"/>
                  </w:rPr>
                  <w:t>-</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4254pt;margin-top:561.313049pt;width:37.1pt;height:14pt;mso-position-horizontal-relative:page;mso-position-vertical-relative:page;z-index:-600616" type="#_x0000_t202" filled="false" stroked="false">
          <v:textbox inset="0,0,0,0">
            <w:txbxContent>
              <w:p>
                <w:pPr>
                  <w:spacing w:line="226" w:lineRule="exact" w:before="0"/>
                  <w:ind w:left="20" w:right="0" w:firstLine="0"/>
                  <w:jc w:val="left"/>
                  <w:rPr>
                    <w:sz w:val="24"/>
                  </w:rPr>
                </w:pPr>
                <w:r>
                  <w:rPr>
                    <w:color w:val="231F20"/>
                    <w:w w:val="205"/>
                    <w:sz w:val="24"/>
                  </w:rPr>
                  <w:t>-</w:t>
                </w:r>
                <w:r>
                  <w:rPr>
                    <w:color w:val="231F20"/>
                    <w:spacing w:val="-89"/>
                    <w:w w:val="205"/>
                    <w:sz w:val="24"/>
                  </w:rPr>
                  <w:t> </w:t>
                </w:r>
                <w:r>
                  <w:rPr/>
                  <w:fldChar w:fldCharType="begin"/>
                </w:r>
                <w:r>
                  <w:rPr>
                    <w:color w:val="231F20"/>
                    <w:w w:val="105"/>
                    <w:sz w:val="24"/>
                  </w:rPr>
                  <w:instrText> PAGE </w:instrText>
                </w:r>
                <w:r>
                  <w:rPr/>
                  <w:fldChar w:fldCharType="separate"/>
                </w:r>
                <w:r>
                  <w:rPr/>
                  <w:t>50</w:t>
                </w:r>
                <w:r>
                  <w:rPr/>
                  <w:fldChar w:fldCharType="end"/>
                </w:r>
                <w:r>
                  <w:rPr>
                    <w:color w:val="231F20"/>
                    <w:w w:val="105"/>
                    <w:sz w:val="24"/>
                  </w:rPr>
                  <w:t> </w:t>
                </w:r>
                <w:r>
                  <w:rPr>
                    <w:color w:val="231F20"/>
                    <w:w w:val="205"/>
                    <w:sz w:val="24"/>
                  </w:rPr>
                  <w:t>-</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0">
    <w:multiLevelType w:val="hybridMultilevel"/>
    <w:lvl w:ilvl="0">
      <w:start w:val="4"/>
      <w:numFmt w:val="decimal"/>
      <w:lvlText w:val="%1."/>
      <w:lvlJc w:val="left"/>
      <w:pPr>
        <w:ind w:left="253" w:hanging="151"/>
        <w:jc w:val="left"/>
      </w:pPr>
      <w:rPr>
        <w:rFonts w:hint="default" w:ascii="Calibri" w:hAnsi="Calibri" w:eastAsia="Calibri" w:cs="Calibri"/>
        <w:color w:val="231F20"/>
        <w:spacing w:val="0"/>
        <w:w w:val="94"/>
        <w:sz w:val="16"/>
        <w:szCs w:val="16"/>
      </w:rPr>
    </w:lvl>
    <w:lvl w:ilvl="1">
      <w:start w:val="1"/>
      <w:numFmt w:val="decimal"/>
      <w:lvlText w:val="%1.%2."/>
      <w:lvlJc w:val="left"/>
      <w:pPr>
        <w:ind w:left="103" w:hanging="252"/>
        <w:jc w:val="left"/>
      </w:pPr>
      <w:rPr>
        <w:rFonts w:hint="default" w:ascii="Calibri" w:hAnsi="Calibri" w:eastAsia="Calibri" w:cs="Calibri"/>
        <w:color w:val="231F20"/>
        <w:spacing w:val="-9"/>
        <w:w w:val="81"/>
        <w:sz w:val="16"/>
        <w:szCs w:val="16"/>
      </w:rPr>
    </w:lvl>
    <w:lvl w:ilvl="2">
      <w:start w:val="1"/>
      <w:numFmt w:val="bullet"/>
      <w:lvlText w:val="•"/>
      <w:lvlJc w:val="left"/>
      <w:pPr>
        <w:ind w:left="663" w:hanging="252"/>
      </w:pPr>
      <w:rPr>
        <w:rFonts w:hint="default"/>
      </w:rPr>
    </w:lvl>
    <w:lvl w:ilvl="3">
      <w:start w:val="1"/>
      <w:numFmt w:val="bullet"/>
      <w:lvlText w:val="•"/>
      <w:lvlJc w:val="left"/>
      <w:pPr>
        <w:ind w:left="1067" w:hanging="252"/>
      </w:pPr>
      <w:rPr>
        <w:rFonts w:hint="default"/>
      </w:rPr>
    </w:lvl>
    <w:lvl w:ilvl="4">
      <w:start w:val="1"/>
      <w:numFmt w:val="bullet"/>
      <w:lvlText w:val="•"/>
      <w:lvlJc w:val="left"/>
      <w:pPr>
        <w:ind w:left="1470" w:hanging="252"/>
      </w:pPr>
      <w:rPr>
        <w:rFonts w:hint="default"/>
      </w:rPr>
    </w:lvl>
    <w:lvl w:ilvl="5">
      <w:start w:val="1"/>
      <w:numFmt w:val="bullet"/>
      <w:lvlText w:val="•"/>
      <w:lvlJc w:val="left"/>
      <w:pPr>
        <w:ind w:left="1874" w:hanging="252"/>
      </w:pPr>
      <w:rPr>
        <w:rFonts w:hint="default"/>
      </w:rPr>
    </w:lvl>
    <w:lvl w:ilvl="6">
      <w:start w:val="1"/>
      <w:numFmt w:val="bullet"/>
      <w:lvlText w:val="•"/>
      <w:lvlJc w:val="left"/>
      <w:pPr>
        <w:ind w:left="2278" w:hanging="252"/>
      </w:pPr>
      <w:rPr>
        <w:rFonts w:hint="default"/>
      </w:rPr>
    </w:lvl>
    <w:lvl w:ilvl="7">
      <w:start w:val="1"/>
      <w:numFmt w:val="bullet"/>
      <w:lvlText w:val="•"/>
      <w:lvlJc w:val="left"/>
      <w:pPr>
        <w:ind w:left="2681" w:hanging="252"/>
      </w:pPr>
      <w:rPr>
        <w:rFonts w:hint="default"/>
      </w:rPr>
    </w:lvl>
    <w:lvl w:ilvl="8">
      <w:start w:val="1"/>
      <w:numFmt w:val="bullet"/>
      <w:lvlText w:val="•"/>
      <w:lvlJc w:val="left"/>
      <w:pPr>
        <w:ind w:left="3085" w:hanging="252"/>
      </w:pPr>
      <w:rPr>
        <w:rFonts w:hint="default"/>
      </w:rPr>
    </w:lvl>
  </w:abstractNum>
  <w:abstractNum w:abstractNumId="39">
    <w:multiLevelType w:val="hybridMultilevel"/>
    <w:lvl w:ilvl="0">
      <w:start w:val="3"/>
      <w:numFmt w:val="decimal"/>
      <w:lvlText w:val="%1."/>
      <w:lvlJc w:val="left"/>
      <w:pPr>
        <w:ind w:left="252" w:hanging="150"/>
        <w:jc w:val="left"/>
      </w:pPr>
      <w:rPr>
        <w:rFonts w:hint="default" w:ascii="Calibri" w:hAnsi="Calibri" w:eastAsia="Calibri" w:cs="Calibri"/>
        <w:color w:val="231F20"/>
        <w:w w:val="81"/>
        <w:sz w:val="16"/>
        <w:szCs w:val="16"/>
      </w:rPr>
    </w:lvl>
    <w:lvl w:ilvl="1">
      <w:start w:val="1"/>
      <w:numFmt w:val="decimal"/>
      <w:lvlText w:val="%1.%2."/>
      <w:lvlJc w:val="left"/>
      <w:pPr>
        <w:ind w:left="353" w:hanging="251"/>
        <w:jc w:val="left"/>
      </w:pPr>
      <w:rPr>
        <w:rFonts w:hint="default" w:ascii="Calibri" w:hAnsi="Calibri" w:eastAsia="Calibri" w:cs="Calibri"/>
        <w:color w:val="231F20"/>
        <w:spacing w:val="-9"/>
        <w:w w:val="81"/>
        <w:sz w:val="16"/>
        <w:szCs w:val="16"/>
      </w:rPr>
    </w:lvl>
    <w:lvl w:ilvl="2">
      <w:start w:val="1"/>
      <w:numFmt w:val="bullet"/>
      <w:lvlText w:val="•"/>
      <w:lvlJc w:val="left"/>
      <w:pPr>
        <w:ind w:left="752" w:hanging="251"/>
      </w:pPr>
      <w:rPr>
        <w:rFonts w:hint="default"/>
      </w:rPr>
    </w:lvl>
    <w:lvl w:ilvl="3">
      <w:start w:val="1"/>
      <w:numFmt w:val="bullet"/>
      <w:lvlText w:val="•"/>
      <w:lvlJc w:val="left"/>
      <w:pPr>
        <w:ind w:left="1145" w:hanging="251"/>
      </w:pPr>
      <w:rPr>
        <w:rFonts w:hint="default"/>
      </w:rPr>
    </w:lvl>
    <w:lvl w:ilvl="4">
      <w:start w:val="1"/>
      <w:numFmt w:val="bullet"/>
      <w:lvlText w:val="•"/>
      <w:lvlJc w:val="left"/>
      <w:pPr>
        <w:ind w:left="1537" w:hanging="251"/>
      </w:pPr>
      <w:rPr>
        <w:rFonts w:hint="default"/>
      </w:rPr>
    </w:lvl>
    <w:lvl w:ilvl="5">
      <w:start w:val="1"/>
      <w:numFmt w:val="bullet"/>
      <w:lvlText w:val="•"/>
      <w:lvlJc w:val="left"/>
      <w:pPr>
        <w:ind w:left="1930" w:hanging="251"/>
      </w:pPr>
      <w:rPr>
        <w:rFonts w:hint="default"/>
      </w:rPr>
    </w:lvl>
    <w:lvl w:ilvl="6">
      <w:start w:val="1"/>
      <w:numFmt w:val="bullet"/>
      <w:lvlText w:val="•"/>
      <w:lvlJc w:val="left"/>
      <w:pPr>
        <w:ind w:left="2322" w:hanging="251"/>
      </w:pPr>
      <w:rPr>
        <w:rFonts w:hint="default"/>
      </w:rPr>
    </w:lvl>
    <w:lvl w:ilvl="7">
      <w:start w:val="1"/>
      <w:numFmt w:val="bullet"/>
      <w:lvlText w:val="•"/>
      <w:lvlJc w:val="left"/>
      <w:pPr>
        <w:ind w:left="2715" w:hanging="251"/>
      </w:pPr>
      <w:rPr>
        <w:rFonts w:hint="default"/>
      </w:rPr>
    </w:lvl>
    <w:lvl w:ilvl="8">
      <w:start w:val="1"/>
      <w:numFmt w:val="bullet"/>
      <w:lvlText w:val="•"/>
      <w:lvlJc w:val="left"/>
      <w:pPr>
        <w:ind w:left="3107" w:hanging="251"/>
      </w:pPr>
      <w:rPr>
        <w:rFonts w:hint="default"/>
      </w:rPr>
    </w:lvl>
  </w:abstractNum>
  <w:abstractNum w:abstractNumId="38">
    <w:multiLevelType w:val="hybridMultilevel"/>
    <w:lvl w:ilvl="0">
      <w:start w:val="2"/>
      <w:numFmt w:val="decimal"/>
      <w:lvlText w:val="%1."/>
      <w:lvlJc w:val="left"/>
      <w:pPr>
        <w:ind w:left="254" w:hanging="152"/>
        <w:jc w:val="left"/>
      </w:pPr>
      <w:rPr>
        <w:rFonts w:hint="default" w:ascii="Calibri" w:hAnsi="Calibri" w:eastAsia="Calibri" w:cs="Calibri"/>
        <w:color w:val="231F20"/>
        <w:spacing w:val="0"/>
        <w:w w:val="81"/>
        <w:sz w:val="16"/>
        <w:szCs w:val="16"/>
      </w:rPr>
    </w:lvl>
    <w:lvl w:ilvl="1">
      <w:start w:val="1"/>
      <w:numFmt w:val="decimal"/>
      <w:lvlText w:val="%1.%2."/>
      <w:lvlJc w:val="left"/>
      <w:pPr>
        <w:ind w:left="355" w:hanging="252"/>
        <w:jc w:val="left"/>
      </w:pPr>
      <w:rPr>
        <w:rFonts w:hint="default" w:ascii="Calibri" w:hAnsi="Calibri" w:eastAsia="Calibri" w:cs="Calibri"/>
        <w:color w:val="231F20"/>
        <w:spacing w:val="-9"/>
        <w:w w:val="81"/>
        <w:sz w:val="16"/>
        <w:szCs w:val="16"/>
      </w:rPr>
    </w:lvl>
    <w:lvl w:ilvl="2">
      <w:start w:val="1"/>
      <w:numFmt w:val="bullet"/>
      <w:lvlText w:val="•"/>
      <w:lvlJc w:val="left"/>
      <w:pPr>
        <w:ind w:left="752" w:hanging="252"/>
      </w:pPr>
      <w:rPr>
        <w:rFonts w:hint="default"/>
      </w:rPr>
    </w:lvl>
    <w:lvl w:ilvl="3">
      <w:start w:val="1"/>
      <w:numFmt w:val="bullet"/>
      <w:lvlText w:val="•"/>
      <w:lvlJc w:val="left"/>
      <w:pPr>
        <w:ind w:left="1145" w:hanging="252"/>
      </w:pPr>
      <w:rPr>
        <w:rFonts w:hint="default"/>
      </w:rPr>
    </w:lvl>
    <w:lvl w:ilvl="4">
      <w:start w:val="1"/>
      <w:numFmt w:val="bullet"/>
      <w:lvlText w:val="•"/>
      <w:lvlJc w:val="left"/>
      <w:pPr>
        <w:ind w:left="1537" w:hanging="252"/>
      </w:pPr>
      <w:rPr>
        <w:rFonts w:hint="default"/>
      </w:rPr>
    </w:lvl>
    <w:lvl w:ilvl="5">
      <w:start w:val="1"/>
      <w:numFmt w:val="bullet"/>
      <w:lvlText w:val="•"/>
      <w:lvlJc w:val="left"/>
      <w:pPr>
        <w:ind w:left="1930" w:hanging="252"/>
      </w:pPr>
      <w:rPr>
        <w:rFonts w:hint="default"/>
      </w:rPr>
    </w:lvl>
    <w:lvl w:ilvl="6">
      <w:start w:val="1"/>
      <w:numFmt w:val="bullet"/>
      <w:lvlText w:val="•"/>
      <w:lvlJc w:val="left"/>
      <w:pPr>
        <w:ind w:left="2322" w:hanging="252"/>
      </w:pPr>
      <w:rPr>
        <w:rFonts w:hint="default"/>
      </w:rPr>
    </w:lvl>
    <w:lvl w:ilvl="7">
      <w:start w:val="1"/>
      <w:numFmt w:val="bullet"/>
      <w:lvlText w:val="•"/>
      <w:lvlJc w:val="left"/>
      <w:pPr>
        <w:ind w:left="2715" w:hanging="252"/>
      </w:pPr>
      <w:rPr>
        <w:rFonts w:hint="default"/>
      </w:rPr>
    </w:lvl>
    <w:lvl w:ilvl="8">
      <w:start w:val="1"/>
      <w:numFmt w:val="bullet"/>
      <w:lvlText w:val="•"/>
      <w:lvlJc w:val="left"/>
      <w:pPr>
        <w:ind w:left="3107" w:hanging="252"/>
      </w:pPr>
      <w:rPr>
        <w:rFonts w:hint="default"/>
      </w:rPr>
    </w:lvl>
  </w:abstractNum>
  <w:abstractNum w:abstractNumId="37">
    <w:multiLevelType w:val="hybridMultilevel"/>
    <w:lvl w:ilvl="0">
      <w:start w:val="1"/>
      <w:numFmt w:val="decimal"/>
      <w:lvlText w:val="%1."/>
      <w:lvlJc w:val="left"/>
      <w:pPr>
        <w:ind w:left="246" w:hanging="144"/>
        <w:jc w:val="left"/>
      </w:pPr>
      <w:rPr>
        <w:rFonts w:hint="default" w:ascii="Calibri" w:hAnsi="Calibri" w:eastAsia="Calibri" w:cs="Calibri"/>
        <w:color w:val="231F20"/>
        <w:spacing w:val="-6"/>
        <w:w w:val="81"/>
        <w:sz w:val="16"/>
        <w:szCs w:val="16"/>
      </w:rPr>
    </w:lvl>
    <w:lvl w:ilvl="1">
      <w:start w:val="1"/>
      <w:numFmt w:val="decimal"/>
      <w:lvlText w:val="%1.%2."/>
      <w:lvlJc w:val="left"/>
      <w:pPr>
        <w:ind w:left="103" w:hanging="244"/>
        <w:jc w:val="left"/>
      </w:pPr>
      <w:rPr>
        <w:rFonts w:hint="default" w:ascii="Calibri" w:hAnsi="Calibri" w:eastAsia="Calibri" w:cs="Calibri"/>
        <w:color w:val="231F20"/>
        <w:spacing w:val="-9"/>
        <w:w w:val="81"/>
        <w:sz w:val="16"/>
        <w:szCs w:val="16"/>
      </w:rPr>
    </w:lvl>
    <w:lvl w:ilvl="2">
      <w:start w:val="1"/>
      <w:numFmt w:val="bullet"/>
      <w:lvlText w:val="•"/>
      <w:lvlJc w:val="left"/>
      <w:pPr>
        <w:ind w:left="645" w:hanging="244"/>
      </w:pPr>
      <w:rPr>
        <w:rFonts w:hint="default"/>
      </w:rPr>
    </w:lvl>
    <w:lvl w:ilvl="3">
      <w:start w:val="1"/>
      <w:numFmt w:val="bullet"/>
      <w:lvlText w:val="•"/>
      <w:lvlJc w:val="left"/>
      <w:pPr>
        <w:ind w:left="1051" w:hanging="244"/>
      </w:pPr>
      <w:rPr>
        <w:rFonts w:hint="default"/>
      </w:rPr>
    </w:lvl>
    <w:lvl w:ilvl="4">
      <w:start w:val="1"/>
      <w:numFmt w:val="bullet"/>
      <w:lvlText w:val="•"/>
      <w:lvlJc w:val="left"/>
      <w:pPr>
        <w:ind w:left="1457" w:hanging="244"/>
      </w:pPr>
      <w:rPr>
        <w:rFonts w:hint="default"/>
      </w:rPr>
    </w:lvl>
    <w:lvl w:ilvl="5">
      <w:start w:val="1"/>
      <w:numFmt w:val="bullet"/>
      <w:lvlText w:val="•"/>
      <w:lvlJc w:val="left"/>
      <w:pPr>
        <w:ind w:left="1863" w:hanging="244"/>
      </w:pPr>
      <w:rPr>
        <w:rFonts w:hint="default"/>
      </w:rPr>
    </w:lvl>
    <w:lvl w:ilvl="6">
      <w:start w:val="1"/>
      <w:numFmt w:val="bullet"/>
      <w:lvlText w:val="•"/>
      <w:lvlJc w:val="left"/>
      <w:pPr>
        <w:ind w:left="2269" w:hanging="244"/>
      </w:pPr>
      <w:rPr>
        <w:rFonts w:hint="default"/>
      </w:rPr>
    </w:lvl>
    <w:lvl w:ilvl="7">
      <w:start w:val="1"/>
      <w:numFmt w:val="bullet"/>
      <w:lvlText w:val="•"/>
      <w:lvlJc w:val="left"/>
      <w:pPr>
        <w:ind w:left="2675" w:hanging="244"/>
      </w:pPr>
      <w:rPr>
        <w:rFonts w:hint="default"/>
      </w:rPr>
    </w:lvl>
    <w:lvl w:ilvl="8">
      <w:start w:val="1"/>
      <w:numFmt w:val="bullet"/>
      <w:lvlText w:val="•"/>
      <w:lvlJc w:val="left"/>
      <w:pPr>
        <w:ind w:left="3080" w:hanging="244"/>
      </w:pPr>
      <w:rPr>
        <w:rFonts w:hint="default"/>
      </w:rPr>
    </w:lvl>
  </w:abstractNum>
  <w:abstractNum w:abstractNumId="36">
    <w:multiLevelType w:val="hybridMultilevel"/>
    <w:lvl w:ilvl="0">
      <w:start w:val="4"/>
      <w:numFmt w:val="decimal"/>
      <w:lvlText w:val="%1"/>
      <w:lvlJc w:val="left"/>
      <w:pPr>
        <w:ind w:left="103" w:hanging="353"/>
        <w:jc w:val="left"/>
      </w:pPr>
      <w:rPr>
        <w:rFonts w:hint="default"/>
      </w:rPr>
    </w:lvl>
    <w:lvl w:ilvl="1">
      <w:start w:val="25"/>
      <w:numFmt w:val="decimal"/>
      <w:lvlText w:val="%1.%2."/>
      <w:lvlJc w:val="left"/>
      <w:pPr>
        <w:ind w:left="103" w:hanging="353"/>
        <w:jc w:val="left"/>
      </w:pPr>
      <w:rPr>
        <w:rFonts w:hint="default" w:ascii="Calibri" w:hAnsi="Calibri" w:eastAsia="Calibri" w:cs="Calibri"/>
        <w:color w:val="231F20"/>
        <w:spacing w:val="-1"/>
        <w:w w:val="81"/>
        <w:sz w:val="16"/>
        <w:szCs w:val="16"/>
      </w:rPr>
    </w:lvl>
    <w:lvl w:ilvl="2">
      <w:start w:val="1"/>
      <w:numFmt w:val="bullet"/>
      <w:lvlText w:val="•"/>
      <w:lvlJc w:val="left"/>
      <w:pPr>
        <w:ind w:left="885" w:hanging="353"/>
      </w:pPr>
      <w:rPr>
        <w:rFonts w:hint="default"/>
      </w:rPr>
    </w:lvl>
    <w:lvl w:ilvl="3">
      <w:start w:val="1"/>
      <w:numFmt w:val="bullet"/>
      <w:lvlText w:val="•"/>
      <w:lvlJc w:val="left"/>
      <w:pPr>
        <w:ind w:left="1278" w:hanging="353"/>
      </w:pPr>
      <w:rPr>
        <w:rFonts w:hint="default"/>
      </w:rPr>
    </w:lvl>
    <w:lvl w:ilvl="4">
      <w:start w:val="1"/>
      <w:numFmt w:val="bullet"/>
      <w:lvlText w:val="•"/>
      <w:lvlJc w:val="left"/>
      <w:pPr>
        <w:ind w:left="1671" w:hanging="353"/>
      </w:pPr>
      <w:rPr>
        <w:rFonts w:hint="default"/>
      </w:rPr>
    </w:lvl>
    <w:lvl w:ilvl="5">
      <w:start w:val="1"/>
      <w:numFmt w:val="bullet"/>
      <w:lvlText w:val="•"/>
      <w:lvlJc w:val="left"/>
      <w:pPr>
        <w:ind w:left="2063" w:hanging="353"/>
      </w:pPr>
      <w:rPr>
        <w:rFonts w:hint="default"/>
      </w:rPr>
    </w:lvl>
    <w:lvl w:ilvl="6">
      <w:start w:val="1"/>
      <w:numFmt w:val="bullet"/>
      <w:lvlText w:val="•"/>
      <w:lvlJc w:val="left"/>
      <w:pPr>
        <w:ind w:left="2456" w:hanging="353"/>
      </w:pPr>
      <w:rPr>
        <w:rFonts w:hint="default"/>
      </w:rPr>
    </w:lvl>
    <w:lvl w:ilvl="7">
      <w:start w:val="1"/>
      <w:numFmt w:val="bullet"/>
      <w:lvlText w:val="•"/>
      <w:lvlJc w:val="left"/>
      <w:pPr>
        <w:ind w:left="2849" w:hanging="353"/>
      </w:pPr>
      <w:rPr>
        <w:rFonts w:hint="default"/>
      </w:rPr>
    </w:lvl>
    <w:lvl w:ilvl="8">
      <w:start w:val="1"/>
      <w:numFmt w:val="bullet"/>
      <w:lvlText w:val="•"/>
      <w:lvlJc w:val="left"/>
      <w:pPr>
        <w:ind w:left="3242" w:hanging="353"/>
      </w:pPr>
      <w:rPr>
        <w:rFonts w:hint="default"/>
      </w:rPr>
    </w:lvl>
  </w:abstractNum>
  <w:abstractNum w:abstractNumId="35">
    <w:multiLevelType w:val="hybridMultilevel"/>
    <w:lvl w:ilvl="0">
      <w:start w:val="3"/>
      <w:numFmt w:val="decimal"/>
      <w:lvlText w:val="%1"/>
      <w:lvlJc w:val="left"/>
      <w:pPr>
        <w:ind w:left="416" w:hanging="314"/>
        <w:jc w:val="left"/>
      </w:pPr>
      <w:rPr>
        <w:rFonts w:hint="default"/>
      </w:rPr>
    </w:lvl>
    <w:lvl w:ilvl="1">
      <w:start w:val="17"/>
      <w:numFmt w:val="decimal"/>
      <w:lvlText w:val="%1.%2."/>
      <w:lvlJc w:val="left"/>
      <w:pPr>
        <w:ind w:left="416" w:hanging="314"/>
        <w:jc w:val="left"/>
      </w:pPr>
      <w:rPr>
        <w:rFonts w:hint="default" w:ascii="Calibri" w:hAnsi="Calibri" w:eastAsia="Calibri" w:cs="Calibri"/>
        <w:color w:val="231F20"/>
        <w:spacing w:val="-14"/>
        <w:w w:val="81"/>
        <w:sz w:val="16"/>
        <w:szCs w:val="16"/>
      </w:rPr>
    </w:lvl>
    <w:lvl w:ilvl="2">
      <w:start w:val="1"/>
      <w:numFmt w:val="bullet"/>
      <w:lvlText w:val="•"/>
      <w:lvlJc w:val="left"/>
      <w:pPr>
        <w:ind w:left="1141" w:hanging="314"/>
      </w:pPr>
      <w:rPr>
        <w:rFonts w:hint="default"/>
      </w:rPr>
    </w:lvl>
    <w:lvl w:ilvl="3">
      <w:start w:val="1"/>
      <w:numFmt w:val="bullet"/>
      <w:lvlText w:val="•"/>
      <w:lvlJc w:val="left"/>
      <w:pPr>
        <w:ind w:left="1502" w:hanging="314"/>
      </w:pPr>
      <w:rPr>
        <w:rFonts w:hint="default"/>
      </w:rPr>
    </w:lvl>
    <w:lvl w:ilvl="4">
      <w:start w:val="1"/>
      <w:numFmt w:val="bullet"/>
      <w:lvlText w:val="•"/>
      <w:lvlJc w:val="left"/>
      <w:pPr>
        <w:ind w:left="1863" w:hanging="314"/>
      </w:pPr>
      <w:rPr>
        <w:rFonts w:hint="default"/>
      </w:rPr>
    </w:lvl>
    <w:lvl w:ilvl="5">
      <w:start w:val="1"/>
      <w:numFmt w:val="bullet"/>
      <w:lvlText w:val="•"/>
      <w:lvlJc w:val="left"/>
      <w:pPr>
        <w:ind w:left="2223" w:hanging="314"/>
      </w:pPr>
      <w:rPr>
        <w:rFonts w:hint="default"/>
      </w:rPr>
    </w:lvl>
    <w:lvl w:ilvl="6">
      <w:start w:val="1"/>
      <w:numFmt w:val="bullet"/>
      <w:lvlText w:val="•"/>
      <w:lvlJc w:val="left"/>
      <w:pPr>
        <w:ind w:left="2584" w:hanging="314"/>
      </w:pPr>
      <w:rPr>
        <w:rFonts w:hint="default"/>
      </w:rPr>
    </w:lvl>
    <w:lvl w:ilvl="7">
      <w:start w:val="1"/>
      <w:numFmt w:val="bullet"/>
      <w:lvlText w:val="•"/>
      <w:lvlJc w:val="left"/>
      <w:pPr>
        <w:ind w:left="2945" w:hanging="314"/>
      </w:pPr>
      <w:rPr>
        <w:rFonts w:hint="default"/>
      </w:rPr>
    </w:lvl>
    <w:lvl w:ilvl="8">
      <w:start w:val="1"/>
      <w:numFmt w:val="bullet"/>
      <w:lvlText w:val="•"/>
      <w:lvlJc w:val="left"/>
      <w:pPr>
        <w:ind w:left="3306" w:hanging="314"/>
      </w:pPr>
      <w:rPr>
        <w:rFonts w:hint="default"/>
      </w:rPr>
    </w:lvl>
  </w:abstractNum>
  <w:abstractNum w:abstractNumId="34">
    <w:multiLevelType w:val="hybridMultilevel"/>
    <w:lvl w:ilvl="0">
      <w:start w:val="2"/>
      <w:numFmt w:val="decimal"/>
      <w:lvlText w:val="%1"/>
      <w:lvlJc w:val="left"/>
      <w:pPr>
        <w:ind w:left="103" w:hanging="262"/>
        <w:jc w:val="left"/>
      </w:pPr>
      <w:rPr>
        <w:rFonts w:hint="default"/>
      </w:rPr>
    </w:lvl>
    <w:lvl w:ilvl="1">
      <w:start w:val="9"/>
      <w:numFmt w:val="decimal"/>
      <w:lvlText w:val="%1.%2."/>
      <w:lvlJc w:val="left"/>
      <w:pPr>
        <w:ind w:left="103" w:hanging="262"/>
        <w:jc w:val="left"/>
      </w:pPr>
      <w:rPr>
        <w:rFonts w:hint="default" w:ascii="Calibri" w:hAnsi="Calibri" w:eastAsia="Calibri" w:cs="Calibri"/>
        <w:color w:val="231F20"/>
        <w:spacing w:val="-4"/>
        <w:w w:val="81"/>
        <w:sz w:val="16"/>
        <w:szCs w:val="16"/>
      </w:rPr>
    </w:lvl>
    <w:lvl w:ilvl="2">
      <w:start w:val="1"/>
      <w:numFmt w:val="bullet"/>
      <w:lvlText w:val="•"/>
      <w:lvlJc w:val="left"/>
      <w:pPr>
        <w:ind w:left="885" w:hanging="262"/>
      </w:pPr>
      <w:rPr>
        <w:rFonts w:hint="default"/>
      </w:rPr>
    </w:lvl>
    <w:lvl w:ilvl="3">
      <w:start w:val="1"/>
      <w:numFmt w:val="bullet"/>
      <w:lvlText w:val="•"/>
      <w:lvlJc w:val="left"/>
      <w:pPr>
        <w:ind w:left="1278" w:hanging="262"/>
      </w:pPr>
      <w:rPr>
        <w:rFonts w:hint="default"/>
      </w:rPr>
    </w:lvl>
    <w:lvl w:ilvl="4">
      <w:start w:val="1"/>
      <w:numFmt w:val="bullet"/>
      <w:lvlText w:val="•"/>
      <w:lvlJc w:val="left"/>
      <w:pPr>
        <w:ind w:left="1671" w:hanging="262"/>
      </w:pPr>
      <w:rPr>
        <w:rFonts w:hint="default"/>
      </w:rPr>
    </w:lvl>
    <w:lvl w:ilvl="5">
      <w:start w:val="1"/>
      <w:numFmt w:val="bullet"/>
      <w:lvlText w:val="•"/>
      <w:lvlJc w:val="left"/>
      <w:pPr>
        <w:ind w:left="2063" w:hanging="262"/>
      </w:pPr>
      <w:rPr>
        <w:rFonts w:hint="default"/>
      </w:rPr>
    </w:lvl>
    <w:lvl w:ilvl="6">
      <w:start w:val="1"/>
      <w:numFmt w:val="bullet"/>
      <w:lvlText w:val="•"/>
      <w:lvlJc w:val="left"/>
      <w:pPr>
        <w:ind w:left="2456" w:hanging="262"/>
      </w:pPr>
      <w:rPr>
        <w:rFonts w:hint="default"/>
      </w:rPr>
    </w:lvl>
    <w:lvl w:ilvl="7">
      <w:start w:val="1"/>
      <w:numFmt w:val="bullet"/>
      <w:lvlText w:val="•"/>
      <w:lvlJc w:val="left"/>
      <w:pPr>
        <w:ind w:left="2849" w:hanging="262"/>
      </w:pPr>
      <w:rPr>
        <w:rFonts w:hint="default"/>
      </w:rPr>
    </w:lvl>
    <w:lvl w:ilvl="8">
      <w:start w:val="1"/>
      <w:numFmt w:val="bullet"/>
      <w:lvlText w:val="•"/>
      <w:lvlJc w:val="left"/>
      <w:pPr>
        <w:ind w:left="3242" w:hanging="262"/>
      </w:pPr>
      <w:rPr>
        <w:rFonts w:hint="default"/>
      </w:rPr>
    </w:lvl>
  </w:abstractNum>
  <w:abstractNum w:abstractNumId="33">
    <w:multiLevelType w:val="hybridMultilevel"/>
    <w:lvl w:ilvl="0">
      <w:start w:val="1"/>
      <w:numFmt w:val="decimal"/>
      <w:lvlText w:val="%1"/>
      <w:lvlJc w:val="left"/>
      <w:pPr>
        <w:ind w:left="347" w:hanging="244"/>
        <w:jc w:val="left"/>
      </w:pPr>
      <w:rPr>
        <w:rFonts w:hint="default"/>
      </w:rPr>
    </w:lvl>
    <w:lvl w:ilvl="1">
      <w:start w:val="1"/>
      <w:numFmt w:val="decimal"/>
      <w:lvlText w:val="%1.%2."/>
      <w:lvlJc w:val="left"/>
      <w:pPr>
        <w:ind w:left="103" w:hanging="244"/>
        <w:jc w:val="left"/>
      </w:pPr>
      <w:rPr>
        <w:rFonts w:hint="default" w:ascii="Calibri" w:hAnsi="Calibri" w:eastAsia="Calibri" w:cs="Calibri"/>
        <w:color w:val="231F20"/>
        <w:spacing w:val="-9"/>
        <w:w w:val="81"/>
        <w:sz w:val="16"/>
        <w:szCs w:val="16"/>
      </w:rPr>
    </w:lvl>
    <w:lvl w:ilvl="2">
      <w:start w:val="1"/>
      <w:numFmt w:val="bullet"/>
      <w:lvlText w:val="•"/>
      <w:lvlJc w:val="left"/>
      <w:pPr>
        <w:ind w:left="749" w:hanging="244"/>
      </w:pPr>
      <w:rPr>
        <w:rFonts w:hint="default"/>
      </w:rPr>
    </w:lvl>
    <w:lvl w:ilvl="3">
      <w:start w:val="1"/>
      <w:numFmt w:val="bullet"/>
      <w:lvlText w:val="•"/>
      <w:lvlJc w:val="left"/>
      <w:pPr>
        <w:ind w:left="1159" w:hanging="244"/>
      </w:pPr>
      <w:rPr>
        <w:rFonts w:hint="default"/>
      </w:rPr>
    </w:lvl>
    <w:lvl w:ilvl="4">
      <w:start w:val="1"/>
      <w:numFmt w:val="bullet"/>
      <w:lvlText w:val="•"/>
      <w:lvlJc w:val="left"/>
      <w:pPr>
        <w:ind w:left="1569" w:hanging="244"/>
      </w:pPr>
      <w:rPr>
        <w:rFonts w:hint="default"/>
      </w:rPr>
    </w:lvl>
    <w:lvl w:ilvl="5">
      <w:start w:val="1"/>
      <w:numFmt w:val="bullet"/>
      <w:lvlText w:val="•"/>
      <w:lvlJc w:val="left"/>
      <w:pPr>
        <w:ind w:left="1978" w:hanging="244"/>
      </w:pPr>
      <w:rPr>
        <w:rFonts w:hint="default"/>
      </w:rPr>
    </w:lvl>
    <w:lvl w:ilvl="6">
      <w:start w:val="1"/>
      <w:numFmt w:val="bullet"/>
      <w:lvlText w:val="•"/>
      <w:lvlJc w:val="left"/>
      <w:pPr>
        <w:ind w:left="2388" w:hanging="244"/>
      </w:pPr>
      <w:rPr>
        <w:rFonts w:hint="default"/>
      </w:rPr>
    </w:lvl>
    <w:lvl w:ilvl="7">
      <w:start w:val="1"/>
      <w:numFmt w:val="bullet"/>
      <w:lvlText w:val="•"/>
      <w:lvlJc w:val="left"/>
      <w:pPr>
        <w:ind w:left="2798" w:hanging="244"/>
      </w:pPr>
      <w:rPr>
        <w:rFonts w:hint="default"/>
      </w:rPr>
    </w:lvl>
    <w:lvl w:ilvl="8">
      <w:start w:val="1"/>
      <w:numFmt w:val="bullet"/>
      <w:lvlText w:val="•"/>
      <w:lvlJc w:val="left"/>
      <w:pPr>
        <w:ind w:left="3208" w:hanging="244"/>
      </w:pPr>
      <w:rPr>
        <w:rFonts w:hint="default"/>
      </w:rPr>
    </w:lvl>
  </w:abstractNum>
  <w:abstractNum w:abstractNumId="32">
    <w:multiLevelType w:val="hybridMultilevel"/>
    <w:lvl w:ilvl="0">
      <w:start w:val="3"/>
      <w:numFmt w:val="decimal"/>
      <w:lvlText w:val="%1."/>
      <w:lvlJc w:val="left"/>
      <w:pPr>
        <w:ind w:left="377" w:hanging="268"/>
        <w:jc w:val="left"/>
      </w:pPr>
      <w:rPr>
        <w:rFonts w:hint="default" w:ascii="Times New Roman" w:hAnsi="Times New Roman" w:eastAsia="Times New Roman" w:cs="Times New Roman"/>
        <w:b/>
        <w:bCs/>
        <w:color w:val="231F20"/>
        <w:spacing w:val="0"/>
        <w:w w:val="102"/>
        <w:sz w:val="26"/>
        <w:szCs w:val="26"/>
      </w:rPr>
    </w:lvl>
    <w:lvl w:ilvl="1">
      <w:start w:val="1"/>
      <w:numFmt w:val="decimal"/>
      <w:lvlText w:val="%1.%2"/>
      <w:lvlJc w:val="left"/>
      <w:pPr>
        <w:ind w:left="110" w:hanging="398"/>
        <w:jc w:val="left"/>
      </w:pPr>
      <w:rPr>
        <w:rFonts w:hint="default" w:ascii="Times New Roman" w:hAnsi="Times New Roman" w:eastAsia="Times New Roman" w:cs="Times New Roman"/>
        <w:b/>
        <w:bCs/>
        <w:color w:val="231F20"/>
        <w:spacing w:val="-11"/>
        <w:w w:val="102"/>
        <w:sz w:val="26"/>
        <w:szCs w:val="26"/>
      </w:rPr>
    </w:lvl>
    <w:lvl w:ilvl="2">
      <w:start w:val="1"/>
      <w:numFmt w:val="bullet"/>
      <w:lvlText w:val="•"/>
      <w:lvlJc w:val="left"/>
      <w:pPr>
        <w:ind w:left="1244" w:hanging="398"/>
      </w:pPr>
      <w:rPr>
        <w:rFonts w:hint="default"/>
      </w:rPr>
    </w:lvl>
    <w:lvl w:ilvl="3">
      <w:start w:val="1"/>
      <w:numFmt w:val="bullet"/>
      <w:lvlText w:val="•"/>
      <w:lvlJc w:val="left"/>
      <w:pPr>
        <w:ind w:left="2108" w:hanging="398"/>
      </w:pPr>
      <w:rPr>
        <w:rFonts w:hint="default"/>
      </w:rPr>
    </w:lvl>
    <w:lvl w:ilvl="4">
      <w:start w:val="1"/>
      <w:numFmt w:val="bullet"/>
      <w:lvlText w:val="•"/>
      <w:lvlJc w:val="left"/>
      <w:pPr>
        <w:ind w:left="2972" w:hanging="398"/>
      </w:pPr>
      <w:rPr>
        <w:rFonts w:hint="default"/>
      </w:rPr>
    </w:lvl>
    <w:lvl w:ilvl="5">
      <w:start w:val="1"/>
      <w:numFmt w:val="bullet"/>
      <w:lvlText w:val="•"/>
      <w:lvlJc w:val="left"/>
      <w:pPr>
        <w:ind w:left="3836" w:hanging="398"/>
      </w:pPr>
      <w:rPr>
        <w:rFonts w:hint="default"/>
      </w:rPr>
    </w:lvl>
    <w:lvl w:ilvl="6">
      <w:start w:val="1"/>
      <w:numFmt w:val="bullet"/>
      <w:lvlText w:val="•"/>
      <w:lvlJc w:val="left"/>
      <w:pPr>
        <w:ind w:left="4701" w:hanging="398"/>
      </w:pPr>
      <w:rPr>
        <w:rFonts w:hint="default"/>
      </w:rPr>
    </w:lvl>
    <w:lvl w:ilvl="7">
      <w:start w:val="1"/>
      <w:numFmt w:val="bullet"/>
      <w:lvlText w:val="•"/>
      <w:lvlJc w:val="left"/>
      <w:pPr>
        <w:ind w:left="5565" w:hanging="398"/>
      </w:pPr>
      <w:rPr>
        <w:rFonts w:hint="default"/>
      </w:rPr>
    </w:lvl>
    <w:lvl w:ilvl="8">
      <w:start w:val="1"/>
      <w:numFmt w:val="bullet"/>
      <w:lvlText w:val="•"/>
      <w:lvlJc w:val="left"/>
      <w:pPr>
        <w:ind w:left="6429" w:hanging="398"/>
      </w:pPr>
      <w:rPr>
        <w:rFonts w:hint="default"/>
      </w:rPr>
    </w:lvl>
  </w:abstractNum>
  <w:abstractNum w:abstractNumId="31">
    <w:multiLevelType w:val="hybridMultilevel"/>
    <w:lvl w:ilvl="0">
      <w:start w:val="1"/>
      <w:numFmt w:val="decimal"/>
      <w:lvlText w:val="%1."/>
      <w:lvlJc w:val="left"/>
      <w:pPr>
        <w:ind w:left="677" w:hanging="209"/>
        <w:jc w:val="left"/>
      </w:pPr>
      <w:rPr>
        <w:rFonts w:hint="default" w:ascii="Times New Roman" w:hAnsi="Times New Roman" w:eastAsia="Times New Roman" w:cs="Times New Roman"/>
        <w:color w:val="231F20"/>
        <w:spacing w:val="-4"/>
        <w:w w:val="97"/>
        <w:sz w:val="22"/>
        <w:szCs w:val="22"/>
      </w:rPr>
    </w:lvl>
    <w:lvl w:ilvl="1">
      <w:start w:val="1"/>
      <w:numFmt w:val="bullet"/>
      <w:lvlText w:val="•"/>
      <w:lvlJc w:val="left"/>
      <w:pPr>
        <w:ind w:left="1427" w:hanging="209"/>
      </w:pPr>
      <w:rPr>
        <w:rFonts w:hint="default"/>
      </w:rPr>
    </w:lvl>
    <w:lvl w:ilvl="2">
      <w:start w:val="1"/>
      <w:numFmt w:val="bullet"/>
      <w:lvlText w:val="•"/>
      <w:lvlJc w:val="left"/>
      <w:pPr>
        <w:ind w:left="2175" w:hanging="209"/>
      </w:pPr>
      <w:rPr>
        <w:rFonts w:hint="default"/>
      </w:rPr>
    </w:lvl>
    <w:lvl w:ilvl="3">
      <w:start w:val="1"/>
      <w:numFmt w:val="bullet"/>
      <w:lvlText w:val="•"/>
      <w:lvlJc w:val="left"/>
      <w:pPr>
        <w:ind w:left="2923" w:hanging="209"/>
      </w:pPr>
      <w:rPr>
        <w:rFonts w:hint="default"/>
      </w:rPr>
    </w:lvl>
    <w:lvl w:ilvl="4">
      <w:start w:val="1"/>
      <w:numFmt w:val="bullet"/>
      <w:lvlText w:val="•"/>
      <w:lvlJc w:val="left"/>
      <w:pPr>
        <w:ind w:left="3671" w:hanging="209"/>
      </w:pPr>
      <w:rPr>
        <w:rFonts w:hint="default"/>
      </w:rPr>
    </w:lvl>
    <w:lvl w:ilvl="5">
      <w:start w:val="1"/>
      <w:numFmt w:val="bullet"/>
      <w:lvlText w:val="•"/>
      <w:lvlJc w:val="left"/>
      <w:pPr>
        <w:ind w:left="4418" w:hanging="209"/>
      </w:pPr>
      <w:rPr>
        <w:rFonts w:hint="default"/>
      </w:rPr>
    </w:lvl>
    <w:lvl w:ilvl="6">
      <w:start w:val="1"/>
      <w:numFmt w:val="bullet"/>
      <w:lvlText w:val="•"/>
      <w:lvlJc w:val="left"/>
      <w:pPr>
        <w:ind w:left="5166" w:hanging="209"/>
      </w:pPr>
      <w:rPr>
        <w:rFonts w:hint="default"/>
      </w:rPr>
    </w:lvl>
    <w:lvl w:ilvl="7">
      <w:start w:val="1"/>
      <w:numFmt w:val="bullet"/>
      <w:lvlText w:val="•"/>
      <w:lvlJc w:val="left"/>
      <w:pPr>
        <w:ind w:left="5914" w:hanging="209"/>
      </w:pPr>
      <w:rPr>
        <w:rFonts w:hint="default"/>
      </w:rPr>
    </w:lvl>
    <w:lvl w:ilvl="8">
      <w:start w:val="1"/>
      <w:numFmt w:val="bullet"/>
      <w:lvlText w:val="•"/>
      <w:lvlJc w:val="left"/>
      <w:pPr>
        <w:ind w:left="6662" w:hanging="209"/>
      </w:pPr>
      <w:rPr>
        <w:rFonts w:hint="default"/>
      </w:rPr>
    </w:lvl>
  </w:abstractNum>
  <w:abstractNum w:abstractNumId="30">
    <w:multiLevelType w:val="hybridMultilevel"/>
    <w:lvl w:ilvl="0">
      <w:start w:val="5"/>
      <w:numFmt w:val="decimal"/>
      <w:lvlText w:val="%1"/>
      <w:lvlJc w:val="left"/>
      <w:pPr>
        <w:ind w:left="1039" w:hanging="362"/>
        <w:jc w:val="left"/>
      </w:pPr>
      <w:rPr>
        <w:rFonts w:hint="default"/>
      </w:rPr>
    </w:lvl>
    <w:lvl w:ilvl="1">
      <w:start w:val="1"/>
      <w:numFmt w:val="decimal"/>
      <w:lvlText w:val="%1.%2."/>
      <w:lvlJc w:val="left"/>
      <w:pPr>
        <w:ind w:left="1039" w:hanging="362"/>
        <w:jc w:val="left"/>
      </w:pPr>
      <w:rPr>
        <w:rFonts w:hint="default" w:ascii="Times New Roman" w:hAnsi="Times New Roman" w:eastAsia="Times New Roman" w:cs="Times New Roman"/>
        <w:color w:val="231F20"/>
        <w:spacing w:val="-7"/>
        <w:w w:val="91"/>
        <w:sz w:val="22"/>
        <w:szCs w:val="22"/>
      </w:rPr>
    </w:lvl>
    <w:lvl w:ilvl="2">
      <w:start w:val="1"/>
      <w:numFmt w:val="bullet"/>
      <w:lvlText w:val="•"/>
      <w:lvlJc w:val="left"/>
      <w:pPr>
        <w:ind w:left="2463" w:hanging="362"/>
      </w:pPr>
      <w:rPr>
        <w:rFonts w:hint="default"/>
      </w:rPr>
    </w:lvl>
    <w:lvl w:ilvl="3">
      <w:start w:val="1"/>
      <w:numFmt w:val="bullet"/>
      <w:lvlText w:val="•"/>
      <w:lvlJc w:val="left"/>
      <w:pPr>
        <w:ind w:left="3175" w:hanging="362"/>
      </w:pPr>
      <w:rPr>
        <w:rFonts w:hint="default"/>
      </w:rPr>
    </w:lvl>
    <w:lvl w:ilvl="4">
      <w:start w:val="1"/>
      <w:numFmt w:val="bullet"/>
      <w:lvlText w:val="•"/>
      <w:lvlJc w:val="left"/>
      <w:pPr>
        <w:ind w:left="3887" w:hanging="362"/>
      </w:pPr>
      <w:rPr>
        <w:rFonts w:hint="default"/>
      </w:rPr>
    </w:lvl>
    <w:lvl w:ilvl="5">
      <w:start w:val="1"/>
      <w:numFmt w:val="bullet"/>
      <w:lvlText w:val="•"/>
      <w:lvlJc w:val="left"/>
      <w:pPr>
        <w:ind w:left="4598" w:hanging="362"/>
      </w:pPr>
      <w:rPr>
        <w:rFonts w:hint="default"/>
      </w:rPr>
    </w:lvl>
    <w:lvl w:ilvl="6">
      <w:start w:val="1"/>
      <w:numFmt w:val="bullet"/>
      <w:lvlText w:val="•"/>
      <w:lvlJc w:val="left"/>
      <w:pPr>
        <w:ind w:left="5310" w:hanging="362"/>
      </w:pPr>
      <w:rPr>
        <w:rFonts w:hint="default"/>
      </w:rPr>
    </w:lvl>
    <w:lvl w:ilvl="7">
      <w:start w:val="1"/>
      <w:numFmt w:val="bullet"/>
      <w:lvlText w:val="•"/>
      <w:lvlJc w:val="left"/>
      <w:pPr>
        <w:ind w:left="6022" w:hanging="362"/>
      </w:pPr>
      <w:rPr>
        <w:rFonts w:hint="default"/>
      </w:rPr>
    </w:lvl>
    <w:lvl w:ilvl="8">
      <w:start w:val="1"/>
      <w:numFmt w:val="bullet"/>
      <w:lvlText w:val="•"/>
      <w:lvlJc w:val="left"/>
      <w:pPr>
        <w:ind w:left="6734" w:hanging="362"/>
      </w:pPr>
      <w:rPr>
        <w:rFonts w:hint="default"/>
      </w:rPr>
    </w:lvl>
  </w:abstractNum>
  <w:abstractNum w:abstractNumId="29">
    <w:multiLevelType w:val="hybridMultilevel"/>
    <w:lvl w:ilvl="0">
      <w:start w:val="1"/>
      <w:numFmt w:val="decimal"/>
      <w:lvlText w:val="%1."/>
      <w:lvlJc w:val="left"/>
      <w:pPr>
        <w:ind w:left="677" w:hanging="209"/>
        <w:jc w:val="left"/>
      </w:pPr>
      <w:rPr>
        <w:rFonts w:hint="default" w:ascii="Times New Roman" w:hAnsi="Times New Roman" w:eastAsia="Times New Roman" w:cs="Times New Roman"/>
        <w:color w:val="231F20"/>
        <w:spacing w:val="-4"/>
        <w:w w:val="91"/>
        <w:sz w:val="22"/>
        <w:szCs w:val="22"/>
      </w:rPr>
    </w:lvl>
    <w:lvl w:ilvl="1">
      <w:start w:val="1"/>
      <w:numFmt w:val="bullet"/>
      <w:lvlText w:val="•"/>
      <w:lvlJc w:val="left"/>
      <w:pPr>
        <w:ind w:left="1427" w:hanging="209"/>
      </w:pPr>
      <w:rPr>
        <w:rFonts w:hint="default"/>
      </w:rPr>
    </w:lvl>
    <w:lvl w:ilvl="2">
      <w:start w:val="1"/>
      <w:numFmt w:val="bullet"/>
      <w:lvlText w:val="•"/>
      <w:lvlJc w:val="left"/>
      <w:pPr>
        <w:ind w:left="2175" w:hanging="209"/>
      </w:pPr>
      <w:rPr>
        <w:rFonts w:hint="default"/>
      </w:rPr>
    </w:lvl>
    <w:lvl w:ilvl="3">
      <w:start w:val="1"/>
      <w:numFmt w:val="bullet"/>
      <w:lvlText w:val="•"/>
      <w:lvlJc w:val="left"/>
      <w:pPr>
        <w:ind w:left="2923" w:hanging="209"/>
      </w:pPr>
      <w:rPr>
        <w:rFonts w:hint="default"/>
      </w:rPr>
    </w:lvl>
    <w:lvl w:ilvl="4">
      <w:start w:val="1"/>
      <w:numFmt w:val="bullet"/>
      <w:lvlText w:val="•"/>
      <w:lvlJc w:val="left"/>
      <w:pPr>
        <w:ind w:left="3671" w:hanging="209"/>
      </w:pPr>
      <w:rPr>
        <w:rFonts w:hint="default"/>
      </w:rPr>
    </w:lvl>
    <w:lvl w:ilvl="5">
      <w:start w:val="1"/>
      <w:numFmt w:val="bullet"/>
      <w:lvlText w:val="•"/>
      <w:lvlJc w:val="left"/>
      <w:pPr>
        <w:ind w:left="4418" w:hanging="209"/>
      </w:pPr>
      <w:rPr>
        <w:rFonts w:hint="default"/>
      </w:rPr>
    </w:lvl>
    <w:lvl w:ilvl="6">
      <w:start w:val="1"/>
      <w:numFmt w:val="bullet"/>
      <w:lvlText w:val="•"/>
      <w:lvlJc w:val="left"/>
      <w:pPr>
        <w:ind w:left="5166" w:hanging="209"/>
      </w:pPr>
      <w:rPr>
        <w:rFonts w:hint="default"/>
      </w:rPr>
    </w:lvl>
    <w:lvl w:ilvl="7">
      <w:start w:val="1"/>
      <w:numFmt w:val="bullet"/>
      <w:lvlText w:val="•"/>
      <w:lvlJc w:val="left"/>
      <w:pPr>
        <w:ind w:left="5914" w:hanging="209"/>
      </w:pPr>
      <w:rPr>
        <w:rFonts w:hint="default"/>
      </w:rPr>
    </w:lvl>
    <w:lvl w:ilvl="8">
      <w:start w:val="1"/>
      <w:numFmt w:val="bullet"/>
      <w:lvlText w:val="•"/>
      <w:lvlJc w:val="left"/>
      <w:pPr>
        <w:ind w:left="6662" w:hanging="209"/>
      </w:pPr>
      <w:rPr>
        <w:rFonts w:hint="default"/>
      </w:rPr>
    </w:lvl>
  </w:abstractNum>
  <w:abstractNum w:abstractNumId="28">
    <w:multiLevelType w:val="hybridMultilevel"/>
    <w:lvl w:ilvl="0">
      <w:start w:val="1"/>
      <w:numFmt w:val="decimal"/>
      <w:lvlText w:val="%1."/>
      <w:lvlJc w:val="left"/>
      <w:pPr>
        <w:ind w:left="677" w:hanging="209"/>
        <w:jc w:val="left"/>
      </w:pPr>
      <w:rPr>
        <w:rFonts w:hint="default" w:ascii="Times New Roman" w:hAnsi="Times New Roman" w:eastAsia="Times New Roman" w:cs="Times New Roman"/>
        <w:color w:val="231F20"/>
        <w:spacing w:val="-4"/>
        <w:w w:val="91"/>
        <w:sz w:val="22"/>
        <w:szCs w:val="22"/>
      </w:rPr>
    </w:lvl>
    <w:lvl w:ilvl="1">
      <w:start w:val="1"/>
      <w:numFmt w:val="bullet"/>
      <w:lvlText w:val="•"/>
      <w:lvlJc w:val="left"/>
      <w:pPr>
        <w:ind w:left="1427" w:hanging="209"/>
      </w:pPr>
      <w:rPr>
        <w:rFonts w:hint="default"/>
      </w:rPr>
    </w:lvl>
    <w:lvl w:ilvl="2">
      <w:start w:val="1"/>
      <w:numFmt w:val="bullet"/>
      <w:lvlText w:val="•"/>
      <w:lvlJc w:val="left"/>
      <w:pPr>
        <w:ind w:left="2175" w:hanging="209"/>
      </w:pPr>
      <w:rPr>
        <w:rFonts w:hint="default"/>
      </w:rPr>
    </w:lvl>
    <w:lvl w:ilvl="3">
      <w:start w:val="1"/>
      <w:numFmt w:val="bullet"/>
      <w:lvlText w:val="•"/>
      <w:lvlJc w:val="left"/>
      <w:pPr>
        <w:ind w:left="2923" w:hanging="209"/>
      </w:pPr>
      <w:rPr>
        <w:rFonts w:hint="default"/>
      </w:rPr>
    </w:lvl>
    <w:lvl w:ilvl="4">
      <w:start w:val="1"/>
      <w:numFmt w:val="bullet"/>
      <w:lvlText w:val="•"/>
      <w:lvlJc w:val="left"/>
      <w:pPr>
        <w:ind w:left="3671" w:hanging="209"/>
      </w:pPr>
      <w:rPr>
        <w:rFonts w:hint="default"/>
      </w:rPr>
    </w:lvl>
    <w:lvl w:ilvl="5">
      <w:start w:val="1"/>
      <w:numFmt w:val="bullet"/>
      <w:lvlText w:val="•"/>
      <w:lvlJc w:val="left"/>
      <w:pPr>
        <w:ind w:left="4418" w:hanging="209"/>
      </w:pPr>
      <w:rPr>
        <w:rFonts w:hint="default"/>
      </w:rPr>
    </w:lvl>
    <w:lvl w:ilvl="6">
      <w:start w:val="1"/>
      <w:numFmt w:val="bullet"/>
      <w:lvlText w:val="•"/>
      <w:lvlJc w:val="left"/>
      <w:pPr>
        <w:ind w:left="5166" w:hanging="209"/>
      </w:pPr>
      <w:rPr>
        <w:rFonts w:hint="default"/>
      </w:rPr>
    </w:lvl>
    <w:lvl w:ilvl="7">
      <w:start w:val="1"/>
      <w:numFmt w:val="bullet"/>
      <w:lvlText w:val="•"/>
      <w:lvlJc w:val="left"/>
      <w:pPr>
        <w:ind w:left="5914" w:hanging="209"/>
      </w:pPr>
      <w:rPr>
        <w:rFonts w:hint="default"/>
      </w:rPr>
    </w:lvl>
    <w:lvl w:ilvl="8">
      <w:start w:val="1"/>
      <w:numFmt w:val="bullet"/>
      <w:lvlText w:val="•"/>
      <w:lvlJc w:val="left"/>
      <w:pPr>
        <w:ind w:left="6662" w:hanging="209"/>
      </w:pPr>
      <w:rPr>
        <w:rFonts w:hint="default"/>
      </w:rPr>
    </w:lvl>
  </w:abstractNum>
  <w:abstractNum w:abstractNumId="27">
    <w:multiLevelType w:val="hybridMultilevel"/>
    <w:lvl w:ilvl="0">
      <w:start w:val="1"/>
      <w:numFmt w:val="decimal"/>
      <w:lvlText w:val="%1."/>
      <w:lvlJc w:val="left"/>
      <w:pPr>
        <w:ind w:left="885" w:hanging="209"/>
        <w:jc w:val="left"/>
      </w:pPr>
      <w:rPr>
        <w:rFonts w:hint="default" w:ascii="Times New Roman" w:hAnsi="Times New Roman" w:eastAsia="Times New Roman" w:cs="Times New Roman"/>
        <w:color w:val="231F20"/>
        <w:spacing w:val="-4"/>
        <w:w w:val="91"/>
        <w:sz w:val="22"/>
        <w:szCs w:val="22"/>
      </w:rPr>
    </w:lvl>
    <w:lvl w:ilvl="1">
      <w:start w:val="1"/>
      <w:numFmt w:val="bullet"/>
      <w:lvlText w:val="•"/>
      <w:lvlJc w:val="left"/>
      <w:pPr>
        <w:ind w:left="1607" w:hanging="209"/>
      </w:pPr>
      <w:rPr>
        <w:rFonts w:hint="default"/>
      </w:rPr>
    </w:lvl>
    <w:lvl w:ilvl="2">
      <w:start w:val="1"/>
      <w:numFmt w:val="bullet"/>
      <w:lvlText w:val="•"/>
      <w:lvlJc w:val="left"/>
      <w:pPr>
        <w:ind w:left="2335" w:hanging="209"/>
      </w:pPr>
      <w:rPr>
        <w:rFonts w:hint="default"/>
      </w:rPr>
    </w:lvl>
    <w:lvl w:ilvl="3">
      <w:start w:val="1"/>
      <w:numFmt w:val="bullet"/>
      <w:lvlText w:val="•"/>
      <w:lvlJc w:val="left"/>
      <w:pPr>
        <w:ind w:left="3063" w:hanging="209"/>
      </w:pPr>
      <w:rPr>
        <w:rFonts w:hint="default"/>
      </w:rPr>
    </w:lvl>
    <w:lvl w:ilvl="4">
      <w:start w:val="1"/>
      <w:numFmt w:val="bullet"/>
      <w:lvlText w:val="•"/>
      <w:lvlJc w:val="left"/>
      <w:pPr>
        <w:ind w:left="3791" w:hanging="209"/>
      </w:pPr>
      <w:rPr>
        <w:rFonts w:hint="default"/>
      </w:rPr>
    </w:lvl>
    <w:lvl w:ilvl="5">
      <w:start w:val="1"/>
      <w:numFmt w:val="bullet"/>
      <w:lvlText w:val="•"/>
      <w:lvlJc w:val="left"/>
      <w:pPr>
        <w:ind w:left="4518" w:hanging="209"/>
      </w:pPr>
      <w:rPr>
        <w:rFonts w:hint="default"/>
      </w:rPr>
    </w:lvl>
    <w:lvl w:ilvl="6">
      <w:start w:val="1"/>
      <w:numFmt w:val="bullet"/>
      <w:lvlText w:val="•"/>
      <w:lvlJc w:val="left"/>
      <w:pPr>
        <w:ind w:left="5246" w:hanging="209"/>
      </w:pPr>
      <w:rPr>
        <w:rFonts w:hint="default"/>
      </w:rPr>
    </w:lvl>
    <w:lvl w:ilvl="7">
      <w:start w:val="1"/>
      <w:numFmt w:val="bullet"/>
      <w:lvlText w:val="•"/>
      <w:lvlJc w:val="left"/>
      <w:pPr>
        <w:ind w:left="5974" w:hanging="209"/>
      </w:pPr>
      <w:rPr>
        <w:rFonts w:hint="default"/>
      </w:rPr>
    </w:lvl>
    <w:lvl w:ilvl="8">
      <w:start w:val="1"/>
      <w:numFmt w:val="bullet"/>
      <w:lvlText w:val="•"/>
      <w:lvlJc w:val="left"/>
      <w:pPr>
        <w:ind w:left="6702" w:hanging="209"/>
      </w:pPr>
      <w:rPr>
        <w:rFonts w:hint="default"/>
      </w:rPr>
    </w:lvl>
  </w:abstractNum>
  <w:abstractNum w:abstractNumId="26">
    <w:multiLevelType w:val="hybridMultilevel"/>
    <w:lvl w:ilvl="0">
      <w:start w:val="1"/>
      <w:numFmt w:val="decimal"/>
      <w:lvlText w:val="%1."/>
      <w:lvlJc w:val="left"/>
      <w:pPr>
        <w:ind w:left="677" w:hanging="209"/>
        <w:jc w:val="left"/>
      </w:pPr>
      <w:rPr>
        <w:rFonts w:hint="default" w:ascii="Times New Roman" w:hAnsi="Times New Roman" w:eastAsia="Times New Roman" w:cs="Times New Roman"/>
        <w:color w:val="231F20"/>
        <w:spacing w:val="-4"/>
        <w:w w:val="91"/>
        <w:sz w:val="22"/>
        <w:szCs w:val="22"/>
      </w:rPr>
    </w:lvl>
    <w:lvl w:ilvl="1">
      <w:start w:val="1"/>
      <w:numFmt w:val="bullet"/>
      <w:lvlText w:val="•"/>
      <w:lvlJc w:val="left"/>
      <w:pPr>
        <w:ind w:left="1427" w:hanging="209"/>
      </w:pPr>
      <w:rPr>
        <w:rFonts w:hint="default"/>
      </w:rPr>
    </w:lvl>
    <w:lvl w:ilvl="2">
      <w:start w:val="1"/>
      <w:numFmt w:val="bullet"/>
      <w:lvlText w:val="•"/>
      <w:lvlJc w:val="left"/>
      <w:pPr>
        <w:ind w:left="2175" w:hanging="209"/>
      </w:pPr>
      <w:rPr>
        <w:rFonts w:hint="default"/>
      </w:rPr>
    </w:lvl>
    <w:lvl w:ilvl="3">
      <w:start w:val="1"/>
      <w:numFmt w:val="bullet"/>
      <w:lvlText w:val="•"/>
      <w:lvlJc w:val="left"/>
      <w:pPr>
        <w:ind w:left="2923" w:hanging="209"/>
      </w:pPr>
      <w:rPr>
        <w:rFonts w:hint="default"/>
      </w:rPr>
    </w:lvl>
    <w:lvl w:ilvl="4">
      <w:start w:val="1"/>
      <w:numFmt w:val="bullet"/>
      <w:lvlText w:val="•"/>
      <w:lvlJc w:val="left"/>
      <w:pPr>
        <w:ind w:left="3671" w:hanging="209"/>
      </w:pPr>
      <w:rPr>
        <w:rFonts w:hint="default"/>
      </w:rPr>
    </w:lvl>
    <w:lvl w:ilvl="5">
      <w:start w:val="1"/>
      <w:numFmt w:val="bullet"/>
      <w:lvlText w:val="•"/>
      <w:lvlJc w:val="left"/>
      <w:pPr>
        <w:ind w:left="4418" w:hanging="209"/>
      </w:pPr>
      <w:rPr>
        <w:rFonts w:hint="default"/>
      </w:rPr>
    </w:lvl>
    <w:lvl w:ilvl="6">
      <w:start w:val="1"/>
      <w:numFmt w:val="bullet"/>
      <w:lvlText w:val="•"/>
      <w:lvlJc w:val="left"/>
      <w:pPr>
        <w:ind w:left="5166" w:hanging="209"/>
      </w:pPr>
      <w:rPr>
        <w:rFonts w:hint="default"/>
      </w:rPr>
    </w:lvl>
    <w:lvl w:ilvl="7">
      <w:start w:val="1"/>
      <w:numFmt w:val="bullet"/>
      <w:lvlText w:val="•"/>
      <w:lvlJc w:val="left"/>
      <w:pPr>
        <w:ind w:left="5914" w:hanging="209"/>
      </w:pPr>
      <w:rPr>
        <w:rFonts w:hint="default"/>
      </w:rPr>
    </w:lvl>
    <w:lvl w:ilvl="8">
      <w:start w:val="1"/>
      <w:numFmt w:val="bullet"/>
      <w:lvlText w:val="•"/>
      <w:lvlJc w:val="left"/>
      <w:pPr>
        <w:ind w:left="6662" w:hanging="209"/>
      </w:pPr>
      <w:rPr>
        <w:rFonts w:hint="default"/>
      </w:rPr>
    </w:lvl>
  </w:abstractNum>
  <w:abstractNum w:abstractNumId="25">
    <w:multiLevelType w:val="hybridMultilevel"/>
    <w:lvl w:ilvl="0">
      <w:start w:val="1"/>
      <w:numFmt w:val="decimal"/>
      <w:lvlText w:val="%1."/>
      <w:lvlJc w:val="left"/>
      <w:pPr>
        <w:ind w:left="677" w:hanging="241"/>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427" w:hanging="241"/>
      </w:pPr>
      <w:rPr>
        <w:rFonts w:hint="default"/>
      </w:rPr>
    </w:lvl>
    <w:lvl w:ilvl="2">
      <w:start w:val="1"/>
      <w:numFmt w:val="bullet"/>
      <w:lvlText w:val="•"/>
      <w:lvlJc w:val="left"/>
      <w:pPr>
        <w:ind w:left="2175" w:hanging="241"/>
      </w:pPr>
      <w:rPr>
        <w:rFonts w:hint="default"/>
      </w:rPr>
    </w:lvl>
    <w:lvl w:ilvl="3">
      <w:start w:val="1"/>
      <w:numFmt w:val="bullet"/>
      <w:lvlText w:val="•"/>
      <w:lvlJc w:val="left"/>
      <w:pPr>
        <w:ind w:left="2923" w:hanging="241"/>
      </w:pPr>
      <w:rPr>
        <w:rFonts w:hint="default"/>
      </w:rPr>
    </w:lvl>
    <w:lvl w:ilvl="4">
      <w:start w:val="1"/>
      <w:numFmt w:val="bullet"/>
      <w:lvlText w:val="•"/>
      <w:lvlJc w:val="left"/>
      <w:pPr>
        <w:ind w:left="3671" w:hanging="241"/>
      </w:pPr>
      <w:rPr>
        <w:rFonts w:hint="default"/>
      </w:rPr>
    </w:lvl>
    <w:lvl w:ilvl="5">
      <w:start w:val="1"/>
      <w:numFmt w:val="bullet"/>
      <w:lvlText w:val="•"/>
      <w:lvlJc w:val="left"/>
      <w:pPr>
        <w:ind w:left="4418" w:hanging="241"/>
      </w:pPr>
      <w:rPr>
        <w:rFonts w:hint="default"/>
      </w:rPr>
    </w:lvl>
    <w:lvl w:ilvl="6">
      <w:start w:val="1"/>
      <w:numFmt w:val="bullet"/>
      <w:lvlText w:val="•"/>
      <w:lvlJc w:val="left"/>
      <w:pPr>
        <w:ind w:left="5166" w:hanging="241"/>
      </w:pPr>
      <w:rPr>
        <w:rFonts w:hint="default"/>
      </w:rPr>
    </w:lvl>
    <w:lvl w:ilvl="7">
      <w:start w:val="1"/>
      <w:numFmt w:val="bullet"/>
      <w:lvlText w:val="•"/>
      <w:lvlJc w:val="left"/>
      <w:pPr>
        <w:ind w:left="5914" w:hanging="241"/>
      </w:pPr>
      <w:rPr>
        <w:rFonts w:hint="default"/>
      </w:rPr>
    </w:lvl>
    <w:lvl w:ilvl="8">
      <w:start w:val="1"/>
      <w:numFmt w:val="bullet"/>
      <w:lvlText w:val="•"/>
      <w:lvlJc w:val="left"/>
      <w:pPr>
        <w:ind w:left="6662" w:hanging="241"/>
      </w:pPr>
      <w:rPr>
        <w:rFonts w:hint="default"/>
      </w:rPr>
    </w:lvl>
  </w:abstractNum>
  <w:abstractNum w:abstractNumId="24">
    <w:multiLevelType w:val="hybridMultilevel"/>
    <w:lvl w:ilvl="0">
      <w:start w:val="1"/>
      <w:numFmt w:val="upperRoman"/>
      <w:lvlText w:val="%1."/>
      <w:lvlJc w:val="left"/>
      <w:pPr>
        <w:ind w:left="677" w:hanging="185"/>
        <w:jc w:val="left"/>
      </w:pPr>
      <w:rPr>
        <w:rFonts w:hint="default" w:ascii="Times New Roman" w:hAnsi="Times New Roman" w:eastAsia="Times New Roman" w:cs="Times New Roman"/>
        <w:color w:val="231F20"/>
        <w:spacing w:val="0"/>
        <w:w w:val="91"/>
        <w:sz w:val="22"/>
        <w:szCs w:val="22"/>
      </w:rPr>
    </w:lvl>
    <w:lvl w:ilvl="1">
      <w:start w:val="1"/>
      <w:numFmt w:val="decimal"/>
      <w:lvlText w:val="%2."/>
      <w:lvlJc w:val="left"/>
      <w:pPr>
        <w:ind w:left="677" w:hanging="209"/>
        <w:jc w:val="left"/>
      </w:pPr>
      <w:rPr>
        <w:rFonts w:hint="default" w:ascii="Times New Roman" w:hAnsi="Times New Roman" w:eastAsia="Times New Roman" w:cs="Times New Roman"/>
        <w:color w:val="231F20"/>
        <w:spacing w:val="-4"/>
        <w:w w:val="91"/>
        <w:sz w:val="22"/>
        <w:szCs w:val="22"/>
      </w:rPr>
    </w:lvl>
    <w:lvl w:ilvl="2">
      <w:start w:val="1"/>
      <w:numFmt w:val="bullet"/>
      <w:lvlText w:val="•"/>
      <w:lvlJc w:val="left"/>
      <w:pPr>
        <w:ind w:left="2175" w:hanging="209"/>
      </w:pPr>
      <w:rPr>
        <w:rFonts w:hint="default"/>
      </w:rPr>
    </w:lvl>
    <w:lvl w:ilvl="3">
      <w:start w:val="1"/>
      <w:numFmt w:val="bullet"/>
      <w:lvlText w:val="•"/>
      <w:lvlJc w:val="left"/>
      <w:pPr>
        <w:ind w:left="2923" w:hanging="209"/>
      </w:pPr>
      <w:rPr>
        <w:rFonts w:hint="default"/>
      </w:rPr>
    </w:lvl>
    <w:lvl w:ilvl="4">
      <w:start w:val="1"/>
      <w:numFmt w:val="bullet"/>
      <w:lvlText w:val="•"/>
      <w:lvlJc w:val="left"/>
      <w:pPr>
        <w:ind w:left="3671" w:hanging="209"/>
      </w:pPr>
      <w:rPr>
        <w:rFonts w:hint="default"/>
      </w:rPr>
    </w:lvl>
    <w:lvl w:ilvl="5">
      <w:start w:val="1"/>
      <w:numFmt w:val="bullet"/>
      <w:lvlText w:val="•"/>
      <w:lvlJc w:val="left"/>
      <w:pPr>
        <w:ind w:left="4418" w:hanging="209"/>
      </w:pPr>
      <w:rPr>
        <w:rFonts w:hint="default"/>
      </w:rPr>
    </w:lvl>
    <w:lvl w:ilvl="6">
      <w:start w:val="1"/>
      <w:numFmt w:val="bullet"/>
      <w:lvlText w:val="•"/>
      <w:lvlJc w:val="left"/>
      <w:pPr>
        <w:ind w:left="5166" w:hanging="209"/>
      </w:pPr>
      <w:rPr>
        <w:rFonts w:hint="default"/>
      </w:rPr>
    </w:lvl>
    <w:lvl w:ilvl="7">
      <w:start w:val="1"/>
      <w:numFmt w:val="bullet"/>
      <w:lvlText w:val="•"/>
      <w:lvlJc w:val="left"/>
      <w:pPr>
        <w:ind w:left="5914" w:hanging="209"/>
      </w:pPr>
      <w:rPr>
        <w:rFonts w:hint="default"/>
      </w:rPr>
    </w:lvl>
    <w:lvl w:ilvl="8">
      <w:start w:val="1"/>
      <w:numFmt w:val="bullet"/>
      <w:lvlText w:val="•"/>
      <w:lvlJc w:val="left"/>
      <w:pPr>
        <w:ind w:left="6662" w:hanging="209"/>
      </w:pPr>
      <w:rPr>
        <w:rFonts w:hint="default"/>
      </w:rPr>
    </w:lvl>
  </w:abstractNum>
  <w:abstractNum w:abstractNumId="23">
    <w:multiLevelType w:val="hybridMultilevel"/>
    <w:lvl w:ilvl="0">
      <w:start w:val="1"/>
      <w:numFmt w:val="upperRoman"/>
      <w:lvlText w:val="%1."/>
      <w:lvlJc w:val="left"/>
      <w:pPr>
        <w:ind w:left="854" w:hanging="178"/>
        <w:jc w:val="left"/>
      </w:pPr>
      <w:rPr>
        <w:rFonts w:hint="default" w:ascii="Times New Roman" w:hAnsi="Times New Roman" w:eastAsia="Times New Roman" w:cs="Times New Roman"/>
        <w:color w:val="231F20"/>
        <w:spacing w:val="0"/>
        <w:w w:val="91"/>
        <w:sz w:val="22"/>
        <w:szCs w:val="22"/>
      </w:rPr>
    </w:lvl>
    <w:lvl w:ilvl="1">
      <w:start w:val="1"/>
      <w:numFmt w:val="bullet"/>
      <w:lvlText w:val="•"/>
      <w:lvlJc w:val="left"/>
      <w:pPr>
        <w:ind w:left="1589" w:hanging="178"/>
      </w:pPr>
      <w:rPr>
        <w:rFonts w:hint="default"/>
      </w:rPr>
    </w:lvl>
    <w:lvl w:ilvl="2">
      <w:start w:val="1"/>
      <w:numFmt w:val="bullet"/>
      <w:lvlText w:val="•"/>
      <w:lvlJc w:val="left"/>
      <w:pPr>
        <w:ind w:left="2319" w:hanging="178"/>
      </w:pPr>
      <w:rPr>
        <w:rFonts w:hint="default"/>
      </w:rPr>
    </w:lvl>
    <w:lvl w:ilvl="3">
      <w:start w:val="1"/>
      <w:numFmt w:val="bullet"/>
      <w:lvlText w:val="•"/>
      <w:lvlJc w:val="left"/>
      <w:pPr>
        <w:ind w:left="3049" w:hanging="178"/>
      </w:pPr>
      <w:rPr>
        <w:rFonts w:hint="default"/>
      </w:rPr>
    </w:lvl>
    <w:lvl w:ilvl="4">
      <w:start w:val="1"/>
      <w:numFmt w:val="bullet"/>
      <w:lvlText w:val="•"/>
      <w:lvlJc w:val="left"/>
      <w:pPr>
        <w:ind w:left="3779" w:hanging="178"/>
      </w:pPr>
      <w:rPr>
        <w:rFonts w:hint="default"/>
      </w:rPr>
    </w:lvl>
    <w:lvl w:ilvl="5">
      <w:start w:val="1"/>
      <w:numFmt w:val="bullet"/>
      <w:lvlText w:val="•"/>
      <w:lvlJc w:val="left"/>
      <w:pPr>
        <w:ind w:left="4508" w:hanging="178"/>
      </w:pPr>
      <w:rPr>
        <w:rFonts w:hint="default"/>
      </w:rPr>
    </w:lvl>
    <w:lvl w:ilvl="6">
      <w:start w:val="1"/>
      <w:numFmt w:val="bullet"/>
      <w:lvlText w:val="•"/>
      <w:lvlJc w:val="left"/>
      <w:pPr>
        <w:ind w:left="5238" w:hanging="178"/>
      </w:pPr>
      <w:rPr>
        <w:rFonts w:hint="default"/>
      </w:rPr>
    </w:lvl>
    <w:lvl w:ilvl="7">
      <w:start w:val="1"/>
      <w:numFmt w:val="bullet"/>
      <w:lvlText w:val="•"/>
      <w:lvlJc w:val="left"/>
      <w:pPr>
        <w:ind w:left="5968" w:hanging="178"/>
      </w:pPr>
      <w:rPr>
        <w:rFonts w:hint="default"/>
      </w:rPr>
    </w:lvl>
    <w:lvl w:ilvl="8">
      <w:start w:val="1"/>
      <w:numFmt w:val="bullet"/>
      <w:lvlText w:val="•"/>
      <w:lvlJc w:val="left"/>
      <w:pPr>
        <w:ind w:left="6698" w:hanging="178"/>
      </w:pPr>
      <w:rPr>
        <w:rFonts w:hint="default"/>
      </w:rPr>
    </w:lvl>
  </w:abstractNum>
  <w:abstractNum w:abstractNumId="22">
    <w:multiLevelType w:val="hybridMultilevel"/>
    <w:lvl w:ilvl="0">
      <w:start w:val="2"/>
      <w:numFmt w:val="decimal"/>
      <w:lvlText w:val="%1."/>
      <w:lvlJc w:val="left"/>
      <w:pPr>
        <w:ind w:left="381" w:hanging="271"/>
        <w:jc w:val="left"/>
      </w:pPr>
      <w:rPr>
        <w:rFonts w:hint="default" w:ascii="Times New Roman" w:hAnsi="Times New Roman" w:eastAsia="Times New Roman" w:cs="Times New Roman"/>
        <w:b/>
        <w:bCs/>
        <w:color w:val="231F20"/>
        <w:spacing w:val="0"/>
        <w:w w:val="102"/>
        <w:sz w:val="26"/>
        <w:szCs w:val="26"/>
      </w:rPr>
    </w:lvl>
    <w:lvl w:ilvl="1">
      <w:start w:val="1"/>
      <w:numFmt w:val="decimal"/>
      <w:lvlText w:val="%1.%2"/>
      <w:lvlJc w:val="left"/>
      <w:pPr>
        <w:ind w:left="511" w:hanging="401"/>
        <w:jc w:val="right"/>
      </w:pPr>
      <w:rPr>
        <w:rFonts w:hint="default"/>
        <w:b/>
        <w:bCs/>
        <w:spacing w:val="-11"/>
        <w:w w:val="102"/>
      </w:rPr>
    </w:lvl>
    <w:lvl w:ilvl="2">
      <w:start w:val="1"/>
      <w:numFmt w:val="bullet"/>
      <w:lvlText w:val="-"/>
      <w:lvlJc w:val="left"/>
      <w:pPr>
        <w:ind w:left="677" w:hanging="133"/>
      </w:pPr>
      <w:rPr>
        <w:rFonts w:hint="default" w:ascii="Times New Roman" w:hAnsi="Times New Roman" w:eastAsia="Times New Roman" w:cs="Times New Roman"/>
        <w:color w:val="231F20"/>
        <w:w w:val="110"/>
        <w:sz w:val="22"/>
        <w:szCs w:val="22"/>
      </w:rPr>
    </w:lvl>
    <w:lvl w:ilvl="3">
      <w:start w:val="1"/>
      <w:numFmt w:val="bullet"/>
      <w:lvlText w:val="•"/>
      <w:lvlJc w:val="left"/>
      <w:pPr>
        <w:ind w:left="1614" w:hanging="133"/>
      </w:pPr>
      <w:rPr>
        <w:rFonts w:hint="default"/>
      </w:rPr>
    </w:lvl>
    <w:lvl w:ilvl="4">
      <w:start w:val="1"/>
      <w:numFmt w:val="bullet"/>
      <w:lvlText w:val="•"/>
      <w:lvlJc w:val="left"/>
      <w:pPr>
        <w:ind w:left="2549" w:hanging="133"/>
      </w:pPr>
      <w:rPr>
        <w:rFonts w:hint="default"/>
      </w:rPr>
    </w:lvl>
    <w:lvl w:ilvl="5">
      <w:start w:val="1"/>
      <w:numFmt w:val="bullet"/>
      <w:lvlText w:val="•"/>
      <w:lvlJc w:val="left"/>
      <w:pPr>
        <w:ind w:left="3484" w:hanging="133"/>
      </w:pPr>
      <w:rPr>
        <w:rFonts w:hint="default"/>
      </w:rPr>
    </w:lvl>
    <w:lvl w:ilvl="6">
      <w:start w:val="1"/>
      <w:numFmt w:val="bullet"/>
      <w:lvlText w:val="•"/>
      <w:lvlJc w:val="left"/>
      <w:pPr>
        <w:ind w:left="4418" w:hanging="133"/>
      </w:pPr>
      <w:rPr>
        <w:rFonts w:hint="default"/>
      </w:rPr>
    </w:lvl>
    <w:lvl w:ilvl="7">
      <w:start w:val="1"/>
      <w:numFmt w:val="bullet"/>
      <w:lvlText w:val="•"/>
      <w:lvlJc w:val="left"/>
      <w:pPr>
        <w:ind w:left="5353" w:hanging="133"/>
      </w:pPr>
      <w:rPr>
        <w:rFonts w:hint="default"/>
      </w:rPr>
    </w:lvl>
    <w:lvl w:ilvl="8">
      <w:start w:val="1"/>
      <w:numFmt w:val="bullet"/>
      <w:lvlText w:val="•"/>
      <w:lvlJc w:val="left"/>
      <w:pPr>
        <w:ind w:left="6288" w:hanging="133"/>
      </w:pPr>
      <w:rPr>
        <w:rFonts w:hint="default"/>
      </w:rPr>
    </w:lvl>
  </w:abstractNum>
  <w:abstractNum w:abstractNumId="21">
    <w:multiLevelType w:val="hybridMultilevel"/>
    <w:lvl w:ilvl="0">
      <w:start w:val="1"/>
      <w:numFmt w:val="decimal"/>
      <w:lvlText w:val="%1"/>
      <w:lvlJc w:val="left"/>
      <w:pPr>
        <w:ind w:left="110" w:hanging="113"/>
        <w:jc w:val="left"/>
      </w:pPr>
      <w:rPr>
        <w:rFonts w:hint="default" w:ascii="Calibri" w:hAnsi="Calibri" w:eastAsia="Calibri" w:cs="Calibri"/>
        <w:color w:val="231F20"/>
        <w:w w:val="96"/>
        <w:sz w:val="16"/>
        <w:szCs w:val="16"/>
      </w:rPr>
    </w:lvl>
    <w:lvl w:ilvl="1">
      <w:start w:val="1"/>
      <w:numFmt w:val="bullet"/>
      <w:lvlText w:val="•"/>
      <w:lvlJc w:val="left"/>
      <w:pPr>
        <w:ind w:left="923" w:hanging="113"/>
      </w:pPr>
      <w:rPr>
        <w:rFonts w:hint="default"/>
      </w:rPr>
    </w:lvl>
    <w:lvl w:ilvl="2">
      <w:start w:val="1"/>
      <w:numFmt w:val="bullet"/>
      <w:lvlText w:val="•"/>
      <w:lvlJc w:val="left"/>
      <w:pPr>
        <w:ind w:left="1727" w:hanging="113"/>
      </w:pPr>
      <w:rPr>
        <w:rFonts w:hint="default"/>
      </w:rPr>
    </w:lvl>
    <w:lvl w:ilvl="3">
      <w:start w:val="1"/>
      <w:numFmt w:val="bullet"/>
      <w:lvlText w:val="•"/>
      <w:lvlJc w:val="left"/>
      <w:pPr>
        <w:ind w:left="2531" w:hanging="113"/>
      </w:pPr>
      <w:rPr>
        <w:rFonts w:hint="default"/>
      </w:rPr>
    </w:lvl>
    <w:lvl w:ilvl="4">
      <w:start w:val="1"/>
      <w:numFmt w:val="bullet"/>
      <w:lvlText w:val="•"/>
      <w:lvlJc w:val="left"/>
      <w:pPr>
        <w:ind w:left="3335" w:hanging="113"/>
      </w:pPr>
      <w:rPr>
        <w:rFonts w:hint="default"/>
      </w:rPr>
    </w:lvl>
    <w:lvl w:ilvl="5">
      <w:start w:val="1"/>
      <w:numFmt w:val="bullet"/>
      <w:lvlText w:val="•"/>
      <w:lvlJc w:val="left"/>
      <w:pPr>
        <w:ind w:left="4138" w:hanging="113"/>
      </w:pPr>
      <w:rPr>
        <w:rFonts w:hint="default"/>
      </w:rPr>
    </w:lvl>
    <w:lvl w:ilvl="6">
      <w:start w:val="1"/>
      <w:numFmt w:val="bullet"/>
      <w:lvlText w:val="•"/>
      <w:lvlJc w:val="left"/>
      <w:pPr>
        <w:ind w:left="4942" w:hanging="113"/>
      </w:pPr>
      <w:rPr>
        <w:rFonts w:hint="default"/>
      </w:rPr>
    </w:lvl>
    <w:lvl w:ilvl="7">
      <w:start w:val="1"/>
      <w:numFmt w:val="bullet"/>
      <w:lvlText w:val="•"/>
      <w:lvlJc w:val="left"/>
      <w:pPr>
        <w:ind w:left="5746" w:hanging="113"/>
      </w:pPr>
      <w:rPr>
        <w:rFonts w:hint="default"/>
      </w:rPr>
    </w:lvl>
    <w:lvl w:ilvl="8">
      <w:start w:val="1"/>
      <w:numFmt w:val="bullet"/>
      <w:lvlText w:val="•"/>
      <w:lvlJc w:val="left"/>
      <w:pPr>
        <w:ind w:left="6550" w:hanging="113"/>
      </w:pPr>
      <w:rPr>
        <w:rFonts w:hint="default"/>
      </w:rPr>
    </w:lvl>
  </w:abstractNum>
  <w:abstractNum w:abstractNumId="20">
    <w:multiLevelType w:val="hybridMultilevel"/>
    <w:lvl w:ilvl="0">
      <w:start w:val="1"/>
      <w:numFmt w:val="decimal"/>
      <w:lvlText w:val="%1"/>
      <w:lvlJc w:val="left"/>
      <w:pPr>
        <w:ind w:left="110" w:hanging="107"/>
        <w:jc w:val="left"/>
      </w:pPr>
      <w:rPr>
        <w:rFonts w:hint="default" w:ascii="Calibri" w:hAnsi="Calibri" w:eastAsia="Calibri" w:cs="Calibri"/>
        <w:color w:val="231F20"/>
        <w:w w:val="96"/>
        <w:sz w:val="16"/>
        <w:szCs w:val="16"/>
      </w:rPr>
    </w:lvl>
    <w:lvl w:ilvl="1">
      <w:start w:val="1"/>
      <w:numFmt w:val="bullet"/>
      <w:lvlText w:val="•"/>
      <w:lvlJc w:val="left"/>
      <w:pPr>
        <w:ind w:left="923" w:hanging="107"/>
      </w:pPr>
      <w:rPr>
        <w:rFonts w:hint="default"/>
      </w:rPr>
    </w:lvl>
    <w:lvl w:ilvl="2">
      <w:start w:val="1"/>
      <w:numFmt w:val="bullet"/>
      <w:lvlText w:val="•"/>
      <w:lvlJc w:val="left"/>
      <w:pPr>
        <w:ind w:left="1727" w:hanging="107"/>
      </w:pPr>
      <w:rPr>
        <w:rFonts w:hint="default"/>
      </w:rPr>
    </w:lvl>
    <w:lvl w:ilvl="3">
      <w:start w:val="1"/>
      <w:numFmt w:val="bullet"/>
      <w:lvlText w:val="•"/>
      <w:lvlJc w:val="left"/>
      <w:pPr>
        <w:ind w:left="2531" w:hanging="107"/>
      </w:pPr>
      <w:rPr>
        <w:rFonts w:hint="default"/>
      </w:rPr>
    </w:lvl>
    <w:lvl w:ilvl="4">
      <w:start w:val="1"/>
      <w:numFmt w:val="bullet"/>
      <w:lvlText w:val="•"/>
      <w:lvlJc w:val="left"/>
      <w:pPr>
        <w:ind w:left="3335" w:hanging="107"/>
      </w:pPr>
      <w:rPr>
        <w:rFonts w:hint="default"/>
      </w:rPr>
    </w:lvl>
    <w:lvl w:ilvl="5">
      <w:start w:val="1"/>
      <w:numFmt w:val="bullet"/>
      <w:lvlText w:val="•"/>
      <w:lvlJc w:val="left"/>
      <w:pPr>
        <w:ind w:left="4138" w:hanging="107"/>
      </w:pPr>
      <w:rPr>
        <w:rFonts w:hint="default"/>
      </w:rPr>
    </w:lvl>
    <w:lvl w:ilvl="6">
      <w:start w:val="1"/>
      <w:numFmt w:val="bullet"/>
      <w:lvlText w:val="•"/>
      <w:lvlJc w:val="left"/>
      <w:pPr>
        <w:ind w:left="4942" w:hanging="107"/>
      </w:pPr>
      <w:rPr>
        <w:rFonts w:hint="default"/>
      </w:rPr>
    </w:lvl>
    <w:lvl w:ilvl="7">
      <w:start w:val="1"/>
      <w:numFmt w:val="bullet"/>
      <w:lvlText w:val="•"/>
      <w:lvlJc w:val="left"/>
      <w:pPr>
        <w:ind w:left="5746" w:hanging="107"/>
      </w:pPr>
      <w:rPr>
        <w:rFonts w:hint="default"/>
      </w:rPr>
    </w:lvl>
    <w:lvl w:ilvl="8">
      <w:start w:val="1"/>
      <w:numFmt w:val="bullet"/>
      <w:lvlText w:val="•"/>
      <w:lvlJc w:val="left"/>
      <w:pPr>
        <w:ind w:left="6550" w:hanging="107"/>
      </w:pPr>
      <w:rPr>
        <w:rFonts w:hint="default"/>
      </w:rPr>
    </w:lvl>
  </w:abstractNum>
  <w:abstractNum w:abstractNumId="19">
    <w:multiLevelType w:val="hybridMultilevel"/>
    <w:lvl w:ilvl="0">
      <w:start w:val="8"/>
      <w:numFmt w:val="upperLetter"/>
      <w:lvlText w:val="%1."/>
      <w:lvlJc w:val="left"/>
      <w:pPr>
        <w:ind w:left="393" w:hanging="226"/>
        <w:jc w:val="left"/>
      </w:pPr>
      <w:rPr>
        <w:rFonts w:hint="default" w:ascii="Times New Roman" w:hAnsi="Times New Roman" w:eastAsia="Times New Roman" w:cs="Times New Roman"/>
        <w:color w:val="231F20"/>
        <w:spacing w:val="0"/>
        <w:w w:val="91"/>
        <w:sz w:val="18"/>
        <w:szCs w:val="18"/>
      </w:rPr>
    </w:lvl>
    <w:lvl w:ilvl="1">
      <w:start w:val="8"/>
      <w:numFmt w:val="upperLetter"/>
      <w:lvlText w:val="%2."/>
      <w:lvlJc w:val="left"/>
      <w:pPr>
        <w:ind w:left="619" w:hanging="226"/>
        <w:jc w:val="left"/>
      </w:pPr>
      <w:rPr>
        <w:rFonts w:hint="default" w:ascii="Times New Roman" w:hAnsi="Times New Roman" w:eastAsia="Times New Roman" w:cs="Times New Roman"/>
        <w:color w:val="231F20"/>
        <w:spacing w:val="0"/>
        <w:w w:val="91"/>
        <w:sz w:val="18"/>
        <w:szCs w:val="18"/>
      </w:rPr>
    </w:lvl>
    <w:lvl w:ilvl="2">
      <w:start w:val="1"/>
      <w:numFmt w:val="decimal"/>
      <w:lvlText w:val="%3."/>
      <w:lvlJc w:val="left"/>
      <w:pPr>
        <w:ind w:left="677" w:hanging="215"/>
        <w:jc w:val="right"/>
      </w:pPr>
      <w:rPr>
        <w:rFonts w:hint="default" w:ascii="Times New Roman" w:hAnsi="Times New Roman" w:eastAsia="Times New Roman" w:cs="Times New Roman"/>
        <w:color w:val="231F20"/>
        <w:spacing w:val="-4"/>
        <w:w w:val="91"/>
        <w:sz w:val="22"/>
        <w:szCs w:val="22"/>
      </w:rPr>
    </w:lvl>
    <w:lvl w:ilvl="3">
      <w:start w:val="1"/>
      <w:numFmt w:val="bullet"/>
      <w:lvlText w:val="•"/>
      <w:lvlJc w:val="left"/>
      <w:pPr>
        <w:ind w:left="1562" w:hanging="215"/>
      </w:pPr>
      <w:rPr>
        <w:rFonts w:hint="default"/>
      </w:rPr>
    </w:lvl>
    <w:lvl w:ilvl="4">
      <w:start w:val="1"/>
      <w:numFmt w:val="bullet"/>
      <w:lvlText w:val="•"/>
      <w:lvlJc w:val="left"/>
      <w:pPr>
        <w:ind w:left="2444" w:hanging="215"/>
      </w:pPr>
      <w:rPr>
        <w:rFonts w:hint="default"/>
      </w:rPr>
    </w:lvl>
    <w:lvl w:ilvl="5">
      <w:start w:val="1"/>
      <w:numFmt w:val="bullet"/>
      <w:lvlText w:val="•"/>
      <w:lvlJc w:val="left"/>
      <w:pPr>
        <w:ind w:left="3326" w:hanging="215"/>
      </w:pPr>
      <w:rPr>
        <w:rFonts w:hint="default"/>
      </w:rPr>
    </w:lvl>
    <w:lvl w:ilvl="6">
      <w:start w:val="1"/>
      <w:numFmt w:val="bullet"/>
      <w:lvlText w:val="•"/>
      <w:lvlJc w:val="left"/>
      <w:pPr>
        <w:ind w:left="4208" w:hanging="215"/>
      </w:pPr>
      <w:rPr>
        <w:rFonts w:hint="default"/>
      </w:rPr>
    </w:lvl>
    <w:lvl w:ilvl="7">
      <w:start w:val="1"/>
      <w:numFmt w:val="bullet"/>
      <w:lvlText w:val="•"/>
      <w:lvlJc w:val="left"/>
      <w:pPr>
        <w:ind w:left="5091" w:hanging="215"/>
      </w:pPr>
      <w:rPr>
        <w:rFonts w:hint="default"/>
      </w:rPr>
    </w:lvl>
    <w:lvl w:ilvl="8">
      <w:start w:val="1"/>
      <w:numFmt w:val="bullet"/>
      <w:lvlText w:val="•"/>
      <w:lvlJc w:val="left"/>
      <w:pPr>
        <w:ind w:left="5973" w:hanging="215"/>
      </w:pPr>
      <w:rPr>
        <w:rFonts w:hint="default"/>
      </w:rPr>
    </w:lvl>
  </w:abstractNum>
  <w:abstractNum w:abstractNumId="18">
    <w:multiLevelType w:val="hybridMultilevel"/>
    <w:lvl w:ilvl="0">
      <w:start w:val="1"/>
      <w:numFmt w:val="lowerLetter"/>
      <w:lvlText w:val="%1)"/>
      <w:lvlJc w:val="left"/>
      <w:pPr>
        <w:ind w:left="894" w:hanging="218"/>
        <w:jc w:val="left"/>
      </w:pPr>
      <w:rPr>
        <w:rFonts w:hint="default" w:ascii="Times New Roman" w:hAnsi="Times New Roman" w:eastAsia="Times New Roman" w:cs="Times New Roman"/>
        <w:color w:val="231F20"/>
        <w:spacing w:val="-7"/>
        <w:w w:val="97"/>
        <w:sz w:val="22"/>
        <w:szCs w:val="22"/>
      </w:rPr>
    </w:lvl>
    <w:lvl w:ilvl="1">
      <w:start w:val="1"/>
      <w:numFmt w:val="bullet"/>
      <w:lvlText w:val="•"/>
      <w:lvlJc w:val="left"/>
      <w:pPr>
        <w:ind w:left="1625" w:hanging="218"/>
      </w:pPr>
      <w:rPr>
        <w:rFonts w:hint="default"/>
      </w:rPr>
    </w:lvl>
    <w:lvl w:ilvl="2">
      <w:start w:val="1"/>
      <w:numFmt w:val="bullet"/>
      <w:lvlText w:val="•"/>
      <w:lvlJc w:val="left"/>
      <w:pPr>
        <w:ind w:left="2351" w:hanging="218"/>
      </w:pPr>
      <w:rPr>
        <w:rFonts w:hint="default"/>
      </w:rPr>
    </w:lvl>
    <w:lvl w:ilvl="3">
      <w:start w:val="1"/>
      <w:numFmt w:val="bullet"/>
      <w:lvlText w:val="•"/>
      <w:lvlJc w:val="left"/>
      <w:pPr>
        <w:ind w:left="3077" w:hanging="218"/>
      </w:pPr>
      <w:rPr>
        <w:rFonts w:hint="default"/>
      </w:rPr>
    </w:lvl>
    <w:lvl w:ilvl="4">
      <w:start w:val="1"/>
      <w:numFmt w:val="bullet"/>
      <w:lvlText w:val="•"/>
      <w:lvlJc w:val="left"/>
      <w:pPr>
        <w:ind w:left="3803" w:hanging="218"/>
      </w:pPr>
      <w:rPr>
        <w:rFonts w:hint="default"/>
      </w:rPr>
    </w:lvl>
    <w:lvl w:ilvl="5">
      <w:start w:val="1"/>
      <w:numFmt w:val="bullet"/>
      <w:lvlText w:val="•"/>
      <w:lvlJc w:val="left"/>
      <w:pPr>
        <w:ind w:left="4528" w:hanging="218"/>
      </w:pPr>
      <w:rPr>
        <w:rFonts w:hint="default"/>
      </w:rPr>
    </w:lvl>
    <w:lvl w:ilvl="6">
      <w:start w:val="1"/>
      <w:numFmt w:val="bullet"/>
      <w:lvlText w:val="•"/>
      <w:lvlJc w:val="left"/>
      <w:pPr>
        <w:ind w:left="5254" w:hanging="218"/>
      </w:pPr>
      <w:rPr>
        <w:rFonts w:hint="default"/>
      </w:rPr>
    </w:lvl>
    <w:lvl w:ilvl="7">
      <w:start w:val="1"/>
      <w:numFmt w:val="bullet"/>
      <w:lvlText w:val="•"/>
      <w:lvlJc w:val="left"/>
      <w:pPr>
        <w:ind w:left="5980" w:hanging="218"/>
      </w:pPr>
      <w:rPr>
        <w:rFonts w:hint="default"/>
      </w:rPr>
    </w:lvl>
    <w:lvl w:ilvl="8">
      <w:start w:val="1"/>
      <w:numFmt w:val="bullet"/>
      <w:lvlText w:val="•"/>
      <w:lvlJc w:val="left"/>
      <w:pPr>
        <w:ind w:left="6706" w:hanging="218"/>
      </w:pPr>
      <w:rPr>
        <w:rFonts w:hint="default"/>
      </w:rPr>
    </w:lvl>
  </w:abstractNum>
  <w:abstractNum w:abstractNumId="17">
    <w:multiLevelType w:val="hybridMultilevel"/>
    <w:lvl w:ilvl="0">
      <w:start w:val="1"/>
      <w:numFmt w:val="decimal"/>
      <w:lvlText w:val="%1"/>
      <w:lvlJc w:val="left"/>
      <w:pPr>
        <w:ind w:left="110" w:hanging="106"/>
        <w:jc w:val="left"/>
      </w:pPr>
      <w:rPr>
        <w:rFonts w:hint="default" w:ascii="Calibri" w:hAnsi="Calibri" w:eastAsia="Calibri" w:cs="Calibri"/>
        <w:color w:val="231F20"/>
        <w:w w:val="96"/>
        <w:sz w:val="16"/>
        <w:szCs w:val="16"/>
      </w:rPr>
    </w:lvl>
    <w:lvl w:ilvl="1">
      <w:start w:val="1"/>
      <w:numFmt w:val="upperRoman"/>
      <w:lvlText w:val="%2."/>
      <w:lvlJc w:val="left"/>
      <w:pPr>
        <w:ind w:left="854" w:hanging="178"/>
        <w:jc w:val="left"/>
      </w:pPr>
      <w:rPr>
        <w:rFonts w:hint="default" w:ascii="Times New Roman" w:hAnsi="Times New Roman" w:eastAsia="Times New Roman" w:cs="Times New Roman"/>
        <w:color w:val="231F20"/>
        <w:spacing w:val="0"/>
        <w:w w:val="91"/>
        <w:sz w:val="22"/>
        <w:szCs w:val="22"/>
      </w:rPr>
    </w:lvl>
    <w:lvl w:ilvl="2">
      <w:start w:val="1"/>
      <w:numFmt w:val="bullet"/>
      <w:lvlText w:val="•"/>
      <w:lvlJc w:val="left"/>
      <w:pPr>
        <w:ind w:left="1670" w:hanging="178"/>
      </w:pPr>
      <w:rPr>
        <w:rFonts w:hint="default"/>
      </w:rPr>
    </w:lvl>
    <w:lvl w:ilvl="3">
      <w:start w:val="1"/>
      <w:numFmt w:val="bullet"/>
      <w:lvlText w:val="•"/>
      <w:lvlJc w:val="left"/>
      <w:pPr>
        <w:ind w:left="2481" w:hanging="178"/>
      </w:pPr>
      <w:rPr>
        <w:rFonts w:hint="default"/>
      </w:rPr>
    </w:lvl>
    <w:lvl w:ilvl="4">
      <w:start w:val="1"/>
      <w:numFmt w:val="bullet"/>
      <w:lvlText w:val="•"/>
      <w:lvlJc w:val="left"/>
      <w:pPr>
        <w:ind w:left="3292" w:hanging="178"/>
      </w:pPr>
      <w:rPr>
        <w:rFonts w:hint="default"/>
      </w:rPr>
    </w:lvl>
    <w:lvl w:ilvl="5">
      <w:start w:val="1"/>
      <w:numFmt w:val="bullet"/>
      <w:lvlText w:val="•"/>
      <w:lvlJc w:val="left"/>
      <w:pPr>
        <w:ind w:left="4103" w:hanging="178"/>
      </w:pPr>
      <w:rPr>
        <w:rFonts w:hint="default"/>
      </w:rPr>
    </w:lvl>
    <w:lvl w:ilvl="6">
      <w:start w:val="1"/>
      <w:numFmt w:val="bullet"/>
      <w:lvlText w:val="•"/>
      <w:lvlJc w:val="left"/>
      <w:pPr>
        <w:ind w:left="4914" w:hanging="178"/>
      </w:pPr>
      <w:rPr>
        <w:rFonts w:hint="default"/>
      </w:rPr>
    </w:lvl>
    <w:lvl w:ilvl="7">
      <w:start w:val="1"/>
      <w:numFmt w:val="bullet"/>
      <w:lvlText w:val="•"/>
      <w:lvlJc w:val="left"/>
      <w:pPr>
        <w:ind w:left="5725" w:hanging="178"/>
      </w:pPr>
      <w:rPr>
        <w:rFonts w:hint="default"/>
      </w:rPr>
    </w:lvl>
    <w:lvl w:ilvl="8">
      <w:start w:val="1"/>
      <w:numFmt w:val="bullet"/>
      <w:lvlText w:val="•"/>
      <w:lvlJc w:val="left"/>
      <w:pPr>
        <w:ind w:left="6536" w:hanging="178"/>
      </w:pPr>
      <w:rPr>
        <w:rFonts w:hint="default"/>
      </w:rPr>
    </w:lvl>
  </w:abstractNum>
  <w:abstractNum w:abstractNumId="16">
    <w:multiLevelType w:val="hybridMultilevel"/>
    <w:lvl w:ilvl="0">
      <w:start w:val="36"/>
      <w:numFmt w:val="decimal"/>
      <w:lvlText w:val="%1"/>
      <w:lvlJc w:val="left"/>
      <w:pPr>
        <w:ind w:left="110" w:hanging="187"/>
        <w:jc w:val="left"/>
      </w:pPr>
      <w:rPr>
        <w:rFonts w:hint="default" w:ascii="Calibri" w:hAnsi="Calibri" w:eastAsia="Calibri" w:cs="Calibri"/>
        <w:color w:val="231F20"/>
        <w:spacing w:val="-2"/>
        <w:w w:val="96"/>
        <w:sz w:val="16"/>
        <w:szCs w:val="16"/>
      </w:rPr>
    </w:lvl>
    <w:lvl w:ilvl="1">
      <w:start w:val="1"/>
      <w:numFmt w:val="bullet"/>
      <w:lvlText w:val="•"/>
      <w:lvlJc w:val="left"/>
      <w:pPr>
        <w:ind w:left="923" w:hanging="187"/>
      </w:pPr>
      <w:rPr>
        <w:rFonts w:hint="default"/>
      </w:rPr>
    </w:lvl>
    <w:lvl w:ilvl="2">
      <w:start w:val="1"/>
      <w:numFmt w:val="bullet"/>
      <w:lvlText w:val="•"/>
      <w:lvlJc w:val="left"/>
      <w:pPr>
        <w:ind w:left="1727" w:hanging="187"/>
      </w:pPr>
      <w:rPr>
        <w:rFonts w:hint="default"/>
      </w:rPr>
    </w:lvl>
    <w:lvl w:ilvl="3">
      <w:start w:val="1"/>
      <w:numFmt w:val="bullet"/>
      <w:lvlText w:val="•"/>
      <w:lvlJc w:val="left"/>
      <w:pPr>
        <w:ind w:left="2531" w:hanging="187"/>
      </w:pPr>
      <w:rPr>
        <w:rFonts w:hint="default"/>
      </w:rPr>
    </w:lvl>
    <w:lvl w:ilvl="4">
      <w:start w:val="1"/>
      <w:numFmt w:val="bullet"/>
      <w:lvlText w:val="•"/>
      <w:lvlJc w:val="left"/>
      <w:pPr>
        <w:ind w:left="3335" w:hanging="187"/>
      </w:pPr>
      <w:rPr>
        <w:rFonts w:hint="default"/>
      </w:rPr>
    </w:lvl>
    <w:lvl w:ilvl="5">
      <w:start w:val="1"/>
      <w:numFmt w:val="bullet"/>
      <w:lvlText w:val="•"/>
      <w:lvlJc w:val="left"/>
      <w:pPr>
        <w:ind w:left="4138" w:hanging="187"/>
      </w:pPr>
      <w:rPr>
        <w:rFonts w:hint="default"/>
      </w:rPr>
    </w:lvl>
    <w:lvl w:ilvl="6">
      <w:start w:val="1"/>
      <w:numFmt w:val="bullet"/>
      <w:lvlText w:val="•"/>
      <w:lvlJc w:val="left"/>
      <w:pPr>
        <w:ind w:left="4942" w:hanging="187"/>
      </w:pPr>
      <w:rPr>
        <w:rFonts w:hint="default"/>
      </w:rPr>
    </w:lvl>
    <w:lvl w:ilvl="7">
      <w:start w:val="1"/>
      <w:numFmt w:val="bullet"/>
      <w:lvlText w:val="•"/>
      <w:lvlJc w:val="left"/>
      <w:pPr>
        <w:ind w:left="5746" w:hanging="187"/>
      </w:pPr>
      <w:rPr>
        <w:rFonts w:hint="default"/>
      </w:rPr>
    </w:lvl>
    <w:lvl w:ilvl="8">
      <w:start w:val="1"/>
      <w:numFmt w:val="bullet"/>
      <w:lvlText w:val="•"/>
      <w:lvlJc w:val="left"/>
      <w:pPr>
        <w:ind w:left="6550" w:hanging="187"/>
      </w:pPr>
      <w:rPr>
        <w:rFonts w:hint="default"/>
      </w:rPr>
    </w:lvl>
  </w:abstractNum>
  <w:abstractNum w:abstractNumId="15">
    <w:multiLevelType w:val="hybridMultilevel"/>
    <w:lvl w:ilvl="0">
      <w:start w:val="23"/>
      <w:numFmt w:val="decimal"/>
      <w:lvlText w:val="%1"/>
      <w:lvlJc w:val="left"/>
      <w:pPr>
        <w:ind w:left="110" w:hanging="227"/>
        <w:jc w:val="left"/>
      </w:pPr>
      <w:rPr>
        <w:rFonts w:hint="default" w:ascii="Calibri" w:hAnsi="Calibri" w:eastAsia="Calibri" w:cs="Calibri"/>
        <w:color w:val="231F20"/>
        <w:w w:val="96"/>
        <w:sz w:val="16"/>
        <w:szCs w:val="16"/>
      </w:rPr>
    </w:lvl>
    <w:lvl w:ilvl="1">
      <w:start w:val="1"/>
      <w:numFmt w:val="bullet"/>
      <w:lvlText w:val="•"/>
      <w:lvlJc w:val="left"/>
      <w:pPr>
        <w:ind w:left="923" w:hanging="227"/>
      </w:pPr>
      <w:rPr>
        <w:rFonts w:hint="default"/>
      </w:rPr>
    </w:lvl>
    <w:lvl w:ilvl="2">
      <w:start w:val="1"/>
      <w:numFmt w:val="bullet"/>
      <w:lvlText w:val="•"/>
      <w:lvlJc w:val="left"/>
      <w:pPr>
        <w:ind w:left="1727" w:hanging="227"/>
      </w:pPr>
      <w:rPr>
        <w:rFonts w:hint="default"/>
      </w:rPr>
    </w:lvl>
    <w:lvl w:ilvl="3">
      <w:start w:val="1"/>
      <w:numFmt w:val="bullet"/>
      <w:lvlText w:val="•"/>
      <w:lvlJc w:val="left"/>
      <w:pPr>
        <w:ind w:left="2531" w:hanging="227"/>
      </w:pPr>
      <w:rPr>
        <w:rFonts w:hint="default"/>
      </w:rPr>
    </w:lvl>
    <w:lvl w:ilvl="4">
      <w:start w:val="1"/>
      <w:numFmt w:val="bullet"/>
      <w:lvlText w:val="•"/>
      <w:lvlJc w:val="left"/>
      <w:pPr>
        <w:ind w:left="3335" w:hanging="227"/>
      </w:pPr>
      <w:rPr>
        <w:rFonts w:hint="default"/>
      </w:rPr>
    </w:lvl>
    <w:lvl w:ilvl="5">
      <w:start w:val="1"/>
      <w:numFmt w:val="bullet"/>
      <w:lvlText w:val="•"/>
      <w:lvlJc w:val="left"/>
      <w:pPr>
        <w:ind w:left="4138" w:hanging="227"/>
      </w:pPr>
      <w:rPr>
        <w:rFonts w:hint="default"/>
      </w:rPr>
    </w:lvl>
    <w:lvl w:ilvl="6">
      <w:start w:val="1"/>
      <w:numFmt w:val="bullet"/>
      <w:lvlText w:val="•"/>
      <w:lvlJc w:val="left"/>
      <w:pPr>
        <w:ind w:left="4942" w:hanging="227"/>
      </w:pPr>
      <w:rPr>
        <w:rFonts w:hint="default"/>
      </w:rPr>
    </w:lvl>
    <w:lvl w:ilvl="7">
      <w:start w:val="1"/>
      <w:numFmt w:val="bullet"/>
      <w:lvlText w:val="•"/>
      <w:lvlJc w:val="left"/>
      <w:pPr>
        <w:ind w:left="5746" w:hanging="227"/>
      </w:pPr>
      <w:rPr>
        <w:rFonts w:hint="default"/>
      </w:rPr>
    </w:lvl>
    <w:lvl w:ilvl="8">
      <w:start w:val="1"/>
      <w:numFmt w:val="bullet"/>
      <w:lvlText w:val="•"/>
      <w:lvlJc w:val="left"/>
      <w:pPr>
        <w:ind w:left="6550" w:hanging="227"/>
      </w:pPr>
      <w:rPr>
        <w:rFonts w:hint="default"/>
      </w:rPr>
    </w:lvl>
  </w:abstractNum>
  <w:abstractNum w:abstractNumId="14">
    <w:multiLevelType w:val="hybridMultilevel"/>
    <w:lvl w:ilvl="0">
      <w:start w:val="1"/>
      <w:numFmt w:val="decimal"/>
      <w:lvlText w:val="%1"/>
      <w:lvlJc w:val="left"/>
      <w:pPr>
        <w:ind w:left="110" w:hanging="112"/>
        <w:jc w:val="left"/>
      </w:pPr>
      <w:rPr>
        <w:rFonts w:hint="default" w:ascii="Calibri" w:hAnsi="Calibri" w:eastAsia="Calibri" w:cs="Calibri"/>
        <w:color w:val="231F20"/>
        <w:w w:val="96"/>
        <w:sz w:val="16"/>
        <w:szCs w:val="16"/>
      </w:rPr>
    </w:lvl>
    <w:lvl w:ilvl="1">
      <w:start w:val="1"/>
      <w:numFmt w:val="lowerLetter"/>
      <w:lvlText w:val="%2)"/>
      <w:lvlJc w:val="left"/>
      <w:pPr>
        <w:ind w:left="677" w:hanging="211"/>
        <w:jc w:val="left"/>
      </w:pPr>
      <w:rPr>
        <w:rFonts w:hint="default" w:ascii="Times New Roman" w:hAnsi="Times New Roman" w:eastAsia="Times New Roman" w:cs="Times New Roman"/>
        <w:color w:val="231F20"/>
        <w:spacing w:val="-7"/>
        <w:w w:val="97"/>
        <w:sz w:val="22"/>
        <w:szCs w:val="22"/>
      </w:rPr>
    </w:lvl>
    <w:lvl w:ilvl="2">
      <w:start w:val="1"/>
      <w:numFmt w:val="bullet"/>
      <w:lvlText w:val="•"/>
      <w:lvlJc w:val="left"/>
      <w:pPr>
        <w:ind w:left="1510" w:hanging="211"/>
      </w:pPr>
      <w:rPr>
        <w:rFonts w:hint="default"/>
      </w:rPr>
    </w:lvl>
    <w:lvl w:ilvl="3">
      <w:start w:val="1"/>
      <w:numFmt w:val="bullet"/>
      <w:lvlText w:val="•"/>
      <w:lvlJc w:val="left"/>
      <w:pPr>
        <w:ind w:left="2341" w:hanging="211"/>
      </w:pPr>
      <w:rPr>
        <w:rFonts w:hint="default"/>
      </w:rPr>
    </w:lvl>
    <w:lvl w:ilvl="4">
      <w:start w:val="1"/>
      <w:numFmt w:val="bullet"/>
      <w:lvlText w:val="•"/>
      <w:lvlJc w:val="left"/>
      <w:pPr>
        <w:ind w:left="3172" w:hanging="211"/>
      </w:pPr>
      <w:rPr>
        <w:rFonts w:hint="default"/>
      </w:rPr>
    </w:lvl>
    <w:lvl w:ilvl="5">
      <w:start w:val="1"/>
      <w:numFmt w:val="bullet"/>
      <w:lvlText w:val="•"/>
      <w:lvlJc w:val="left"/>
      <w:pPr>
        <w:ind w:left="4003" w:hanging="211"/>
      </w:pPr>
      <w:rPr>
        <w:rFonts w:hint="default"/>
      </w:rPr>
    </w:lvl>
    <w:lvl w:ilvl="6">
      <w:start w:val="1"/>
      <w:numFmt w:val="bullet"/>
      <w:lvlText w:val="•"/>
      <w:lvlJc w:val="left"/>
      <w:pPr>
        <w:ind w:left="4834" w:hanging="211"/>
      </w:pPr>
      <w:rPr>
        <w:rFonts w:hint="default"/>
      </w:rPr>
    </w:lvl>
    <w:lvl w:ilvl="7">
      <w:start w:val="1"/>
      <w:numFmt w:val="bullet"/>
      <w:lvlText w:val="•"/>
      <w:lvlJc w:val="left"/>
      <w:pPr>
        <w:ind w:left="5665" w:hanging="211"/>
      </w:pPr>
      <w:rPr>
        <w:rFonts w:hint="default"/>
      </w:rPr>
    </w:lvl>
    <w:lvl w:ilvl="8">
      <w:start w:val="1"/>
      <w:numFmt w:val="bullet"/>
      <w:lvlText w:val="•"/>
      <w:lvlJc w:val="left"/>
      <w:pPr>
        <w:ind w:left="6496" w:hanging="211"/>
      </w:pPr>
      <w:rPr>
        <w:rFonts w:hint="default"/>
      </w:rPr>
    </w:lvl>
  </w:abstractNum>
  <w:abstractNum w:abstractNumId="13">
    <w:multiLevelType w:val="hybridMultilevel"/>
    <w:lvl w:ilvl="0">
      <w:start w:val="9"/>
      <w:numFmt w:val="decimal"/>
      <w:lvlText w:val="%1"/>
      <w:lvlJc w:val="left"/>
      <w:pPr>
        <w:ind w:left="110" w:hanging="149"/>
        <w:jc w:val="left"/>
      </w:pPr>
      <w:rPr>
        <w:rFonts w:hint="default" w:ascii="Calibri" w:hAnsi="Calibri" w:eastAsia="Calibri" w:cs="Calibri"/>
        <w:color w:val="231F20"/>
        <w:w w:val="96"/>
        <w:sz w:val="16"/>
        <w:szCs w:val="16"/>
      </w:rPr>
    </w:lvl>
    <w:lvl w:ilvl="1">
      <w:start w:val="1"/>
      <w:numFmt w:val="bullet"/>
      <w:lvlText w:val="•"/>
      <w:lvlJc w:val="left"/>
      <w:pPr>
        <w:ind w:left="923" w:hanging="149"/>
      </w:pPr>
      <w:rPr>
        <w:rFonts w:hint="default"/>
      </w:rPr>
    </w:lvl>
    <w:lvl w:ilvl="2">
      <w:start w:val="1"/>
      <w:numFmt w:val="bullet"/>
      <w:lvlText w:val="•"/>
      <w:lvlJc w:val="left"/>
      <w:pPr>
        <w:ind w:left="1727" w:hanging="149"/>
      </w:pPr>
      <w:rPr>
        <w:rFonts w:hint="default"/>
      </w:rPr>
    </w:lvl>
    <w:lvl w:ilvl="3">
      <w:start w:val="1"/>
      <w:numFmt w:val="bullet"/>
      <w:lvlText w:val="•"/>
      <w:lvlJc w:val="left"/>
      <w:pPr>
        <w:ind w:left="2531" w:hanging="149"/>
      </w:pPr>
      <w:rPr>
        <w:rFonts w:hint="default"/>
      </w:rPr>
    </w:lvl>
    <w:lvl w:ilvl="4">
      <w:start w:val="1"/>
      <w:numFmt w:val="bullet"/>
      <w:lvlText w:val="•"/>
      <w:lvlJc w:val="left"/>
      <w:pPr>
        <w:ind w:left="3335" w:hanging="149"/>
      </w:pPr>
      <w:rPr>
        <w:rFonts w:hint="default"/>
      </w:rPr>
    </w:lvl>
    <w:lvl w:ilvl="5">
      <w:start w:val="1"/>
      <w:numFmt w:val="bullet"/>
      <w:lvlText w:val="•"/>
      <w:lvlJc w:val="left"/>
      <w:pPr>
        <w:ind w:left="4138" w:hanging="149"/>
      </w:pPr>
      <w:rPr>
        <w:rFonts w:hint="default"/>
      </w:rPr>
    </w:lvl>
    <w:lvl w:ilvl="6">
      <w:start w:val="1"/>
      <w:numFmt w:val="bullet"/>
      <w:lvlText w:val="•"/>
      <w:lvlJc w:val="left"/>
      <w:pPr>
        <w:ind w:left="4942" w:hanging="149"/>
      </w:pPr>
      <w:rPr>
        <w:rFonts w:hint="default"/>
      </w:rPr>
    </w:lvl>
    <w:lvl w:ilvl="7">
      <w:start w:val="1"/>
      <w:numFmt w:val="bullet"/>
      <w:lvlText w:val="•"/>
      <w:lvlJc w:val="left"/>
      <w:pPr>
        <w:ind w:left="5746" w:hanging="149"/>
      </w:pPr>
      <w:rPr>
        <w:rFonts w:hint="default"/>
      </w:rPr>
    </w:lvl>
    <w:lvl w:ilvl="8">
      <w:start w:val="1"/>
      <w:numFmt w:val="bullet"/>
      <w:lvlText w:val="•"/>
      <w:lvlJc w:val="left"/>
      <w:pPr>
        <w:ind w:left="6550" w:hanging="149"/>
      </w:pPr>
      <w:rPr>
        <w:rFonts w:hint="default"/>
      </w:rPr>
    </w:lvl>
  </w:abstractNum>
  <w:abstractNum w:abstractNumId="12">
    <w:multiLevelType w:val="hybridMultilevel"/>
    <w:lvl w:ilvl="0">
      <w:start w:val="1"/>
      <w:numFmt w:val="decimal"/>
      <w:lvlText w:val="%1"/>
      <w:lvlJc w:val="left"/>
      <w:pPr>
        <w:ind w:left="110" w:hanging="107"/>
        <w:jc w:val="left"/>
      </w:pPr>
      <w:rPr>
        <w:rFonts w:hint="default" w:ascii="Calibri" w:hAnsi="Calibri" w:eastAsia="Calibri" w:cs="Calibri"/>
        <w:color w:val="231F20"/>
        <w:w w:val="96"/>
        <w:sz w:val="16"/>
        <w:szCs w:val="16"/>
      </w:rPr>
    </w:lvl>
    <w:lvl w:ilvl="1">
      <w:start w:val="1"/>
      <w:numFmt w:val="bullet"/>
      <w:lvlText w:val="•"/>
      <w:lvlJc w:val="left"/>
      <w:pPr>
        <w:ind w:left="923" w:hanging="107"/>
      </w:pPr>
      <w:rPr>
        <w:rFonts w:hint="default"/>
      </w:rPr>
    </w:lvl>
    <w:lvl w:ilvl="2">
      <w:start w:val="1"/>
      <w:numFmt w:val="bullet"/>
      <w:lvlText w:val="•"/>
      <w:lvlJc w:val="left"/>
      <w:pPr>
        <w:ind w:left="1727" w:hanging="107"/>
      </w:pPr>
      <w:rPr>
        <w:rFonts w:hint="default"/>
      </w:rPr>
    </w:lvl>
    <w:lvl w:ilvl="3">
      <w:start w:val="1"/>
      <w:numFmt w:val="bullet"/>
      <w:lvlText w:val="•"/>
      <w:lvlJc w:val="left"/>
      <w:pPr>
        <w:ind w:left="2531" w:hanging="107"/>
      </w:pPr>
      <w:rPr>
        <w:rFonts w:hint="default"/>
      </w:rPr>
    </w:lvl>
    <w:lvl w:ilvl="4">
      <w:start w:val="1"/>
      <w:numFmt w:val="bullet"/>
      <w:lvlText w:val="•"/>
      <w:lvlJc w:val="left"/>
      <w:pPr>
        <w:ind w:left="3335" w:hanging="107"/>
      </w:pPr>
      <w:rPr>
        <w:rFonts w:hint="default"/>
      </w:rPr>
    </w:lvl>
    <w:lvl w:ilvl="5">
      <w:start w:val="1"/>
      <w:numFmt w:val="bullet"/>
      <w:lvlText w:val="•"/>
      <w:lvlJc w:val="left"/>
      <w:pPr>
        <w:ind w:left="4138" w:hanging="107"/>
      </w:pPr>
      <w:rPr>
        <w:rFonts w:hint="default"/>
      </w:rPr>
    </w:lvl>
    <w:lvl w:ilvl="6">
      <w:start w:val="1"/>
      <w:numFmt w:val="bullet"/>
      <w:lvlText w:val="•"/>
      <w:lvlJc w:val="left"/>
      <w:pPr>
        <w:ind w:left="4942" w:hanging="107"/>
      </w:pPr>
      <w:rPr>
        <w:rFonts w:hint="default"/>
      </w:rPr>
    </w:lvl>
    <w:lvl w:ilvl="7">
      <w:start w:val="1"/>
      <w:numFmt w:val="bullet"/>
      <w:lvlText w:val="•"/>
      <w:lvlJc w:val="left"/>
      <w:pPr>
        <w:ind w:left="5746" w:hanging="107"/>
      </w:pPr>
      <w:rPr>
        <w:rFonts w:hint="default"/>
      </w:rPr>
    </w:lvl>
    <w:lvl w:ilvl="8">
      <w:start w:val="1"/>
      <w:numFmt w:val="bullet"/>
      <w:lvlText w:val="•"/>
      <w:lvlJc w:val="left"/>
      <w:pPr>
        <w:ind w:left="6550" w:hanging="107"/>
      </w:pPr>
      <w:rPr>
        <w:rFonts w:hint="default"/>
      </w:rPr>
    </w:lvl>
  </w:abstractNum>
  <w:abstractNum w:abstractNumId="11">
    <w:multiLevelType w:val="hybridMultilevel"/>
    <w:lvl w:ilvl="0">
      <w:start w:val="1"/>
      <w:numFmt w:val="decimal"/>
      <w:lvlText w:val="%1"/>
      <w:lvlJc w:val="left"/>
      <w:pPr>
        <w:ind w:left="110" w:hanging="187"/>
        <w:jc w:val="left"/>
      </w:pPr>
      <w:rPr>
        <w:rFonts w:hint="default" w:ascii="Calibri" w:hAnsi="Calibri" w:eastAsia="Calibri" w:cs="Calibri"/>
        <w:color w:val="231F20"/>
        <w:w w:val="96"/>
        <w:sz w:val="16"/>
        <w:szCs w:val="16"/>
      </w:rPr>
    </w:lvl>
    <w:lvl w:ilvl="1">
      <w:start w:val="1"/>
      <w:numFmt w:val="bullet"/>
      <w:lvlText w:val="•"/>
      <w:lvlJc w:val="left"/>
      <w:pPr>
        <w:ind w:left="1340" w:hanging="187"/>
      </w:pPr>
      <w:rPr>
        <w:rFonts w:hint="default"/>
      </w:rPr>
    </w:lvl>
    <w:lvl w:ilvl="2">
      <w:start w:val="1"/>
      <w:numFmt w:val="bullet"/>
      <w:lvlText w:val="•"/>
      <w:lvlJc w:val="left"/>
      <w:pPr>
        <w:ind w:left="2097" w:hanging="187"/>
      </w:pPr>
      <w:rPr>
        <w:rFonts w:hint="default"/>
      </w:rPr>
    </w:lvl>
    <w:lvl w:ilvl="3">
      <w:start w:val="1"/>
      <w:numFmt w:val="bullet"/>
      <w:lvlText w:val="•"/>
      <w:lvlJc w:val="left"/>
      <w:pPr>
        <w:ind w:left="2855" w:hanging="187"/>
      </w:pPr>
      <w:rPr>
        <w:rFonts w:hint="default"/>
      </w:rPr>
    </w:lvl>
    <w:lvl w:ilvl="4">
      <w:start w:val="1"/>
      <w:numFmt w:val="bullet"/>
      <w:lvlText w:val="•"/>
      <w:lvlJc w:val="left"/>
      <w:pPr>
        <w:ind w:left="3612" w:hanging="187"/>
      </w:pPr>
      <w:rPr>
        <w:rFonts w:hint="default"/>
      </w:rPr>
    </w:lvl>
    <w:lvl w:ilvl="5">
      <w:start w:val="1"/>
      <w:numFmt w:val="bullet"/>
      <w:lvlText w:val="•"/>
      <w:lvlJc w:val="left"/>
      <w:pPr>
        <w:ind w:left="4370" w:hanging="187"/>
      </w:pPr>
      <w:rPr>
        <w:rFonts w:hint="default"/>
      </w:rPr>
    </w:lvl>
    <w:lvl w:ilvl="6">
      <w:start w:val="1"/>
      <w:numFmt w:val="bullet"/>
      <w:lvlText w:val="•"/>
      <w:lvlJc w:val="left"/>
      <w:pPr>
        <w:ind w:left="5127" w:hanging="187"/>
      </w:pPr>
      <w:rPr>
        <w:rFonts w:hint="default"/>
      </w:rPr>
    </w:lvl>
    <w:lvl w:ilvl="7">
      <w:start w:val="1"/>
      <w:numFmt w:val="bullet"/>
      <w:lvlText w:val="•"/>
      <w:lvlJc w:val="left"/>
      <w:pPr>
        <w:ind w:left="5885" w:hanging="187"/>
      </w:pPr>
      <w:rPr>
        <w:rFonts w:hint="default"/>
      </w:rPr>
    </w:lvl>
    <w:lvl w:ilvl="8">
      <w:start w:val="1"/>
      <w:numFmt w:val="bullet"/>
      <w:lvlText w:val="•"/>
      <w:lvlJc w:val="left"/>
      <w:pPr>
        <w:ind w:left="6642" w:hanging="187"/>
      </w:pPr>
      <w:rPr>
        <w:rFonts w:hint="default"/>
      </w:rPr>
    </w:lvl>
  </w:abstractNum>
  <w:abstractNum w:abstractNumId="10">
    <w:multiLevelType w:val="hybridMultilevel"/>
    <w:lvl w:ilvl="0">
      <w:start w:val="1"/>
      <w:numFmt w:val="decimal"/>
      <w:lvlText w:val="%1"/>
      <w:lvlJc w:val="left"/>
      <w:pPr>
        <w:ind w:left="110" w:hanging="153"/>
        <w:jc w:val="left"/>
      </w:pPr>
      <w:rPr>
        <w:rFonts w:hint="default" w:ascii="Calibri" w:hAnsi="Calibri" w:eastAsia="Calibri" w:cs="Calibri"/>
        <w:color w:val="231F20"/>
        <w:w w:val="96"/>
        <w:sz w:val="16"/>
        <w:szCs w:val="16"/>
      </w:rPr>
    </w:lvl>
    <w:lvl w:ilvl="1">
      <w:start w:val="1"/>
      <w:numFmt w:val="bullet"/>
      <w:lvlText w:val="•"/>
      <w:lvlJc w:val="left"/>
      <w:pPr>
        <w:ind w:left="923" w:hanging="153"/>
      </w:pPr>
      <w:rPr>
        <w:rFonts w:hint="default"/>
      </w:rPr>
    </w:lvl>
    <w:lvl w:ilvl="2">
      <w:start w:val="1"/>
      <w:numFmt w:val="bullet"/>
      <w:lvlText w:val="•"/>
      <w:lvlJc w:val="left"/>
      <w:pPr>
        <w:ind w:left="1727" w:hanging="153"/>
      </w:pPr>
      <w:rPr>
        <w:rFonts w:hint="default"/>
      </w:rPr>
    </w:lvl>
    <w:lvl w:ilvl="3">
      <w:start w:val="1"/>
      <w:numFmt w:val="bullet"/>
      <w:lvlText w:val="•"/>
      <w:lvlJc w:val="left"/>
      <w:pPr>
        <w:ind w:left="2531" w:hanging="153"/>
      </w:pPr>
      <w:rPr>
        <w:rFonts w:hint="default"/>
      </w:rPr>
    </w:lvl>
    <w:lvl w:ilvl="4">
      <w:start w:val="1"/>
      <w:numFmt w:val="bullet"/>
      <w:lvlText w:val="•"/>
      <w:lvlJc w:val="left"/>
      <w:pPr>
        <w:ind w:left="3335" w:hanging="153"/>
      </w:pPr>
      <w:rPr>
        <w:rFonts w:hint="default"/>
      </w:rPr>
    </w:lvl>
    <w:lvl w:ilvl="5">
      <w:start w:val="1"/>
      <w:numFmt w:val="bullet"/>
      <w:lvlText w:val="•"/>
      <w:lvlJc w:val="left"/>
      <w:pPr>
        <w:ind w:left="4138" w:hanging="153"/>
      </w:pPr>
      <w:rPr>
        <w:rFonts w:hint="default"/>
      </w:rPr>
    </w:lvl>
    <w:lvl w:ilvl="6">
      <w:start w:val="1"/>
      <w:numFmt w:val="bullet"/>
      <w:lvlText w:val="•"/>
      <w:lvlJc w:val="left"/>
      <w:pPr>
        <w:ind w:left="4942" w:hanging="153"/>
      </w:pPr>
      <w:rPr>
        <w:rFonts w:hint="default"/>
      </w:rPr>
    </w:lvl>
    <w:lvl w:ilvl="7">
      <w:start w:val="1"/>
      <w:numFmt w:val="bullet"/>
      <w:lvlText w:val="•"/>
      <w:lvlJc w:val="left"/>
      <w:pPr>
        <w:ind w:left="5746" w:hanging="153"/>
      </w:pPr>
      <w:rPr>
        <w:rFonts w:hint="default"/>
      </w:rPr>
    </w:lvl>
    <w:lvl w:ilvl="8">
      <w:start w:val="1"/>
      <w:numFmt w:val="bullet"/>
      <w:lvlText w:val="•"/>
      <w:lvlJc w:val="left"/>
      <w:pPr>
        <w:ind w:left="6550" w:hanging="153"/>
      </w:pPr>
      <w:rPr>
        <w:rFonts w:hint="default"/>
      </w:rPr>
    </w:lvl>
  </w:abstractNum>
  <w:abstractNum w:abstractNumId="9">
    <w:multiLevelType w:val="hybridMultilevel"/>
    <w:lvl w:ilvl="0">
      <w:start w:val="1"/>
      <w:numFmt w:val="decimal"/>
      <w:lvlText w:val="%1"/>
      <w:lvlJc w:val="left"/>
      <w:pPr>
        <w:ind w:left="110" w:hanging="163"/>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927" w:hanging="163"/>
      </w:pPr>
      <w:rPr>
        <w:rFonts w:hint="default"/>
      </w:rPr>
    </w:lvl>
    <w:lvl w:ilvl="2">
      <w:start w:val="1"/>
      <w:numFmt w:val="bullet"/>
      <w:lvlText w:val="•"/>
      <w:lvlJc w:val="left"/>
      <w:pPr>
        <w:ind w:left="1735" w:hanging="163"/>
      </w:pPr>
      <w:rPr>
        <w:rFonts w:hint="default"/>
      </w:rPr>
    </w:lvl>
    <w:lvl w:ilvl="3">
      <w:start w:val="1"/>
      <w:numFmt w:val="bullet"/>
      <w:lvlText w:val="•"/>
      <w:lvlJc w:val="left"/>
      <w:pPr>
        <w:ind w:left="2543" w:hanging="163"/>
      </w:pPr>
      <w:rPr>
        <w:rFonts w:hint="default"/>
      </w:rPr>
    </w:lvl>
    <w:lvl w:ilvl="4">
      <w:start w:val="1"/>
      <w:numFmt w:val="bullet"/>
      <w:lvlText w:val="•"/>
      <w:lvlJc w:val="left"/>
      <w:pPr>
        <w:ind w:left="3351" w:hanging="163"/>
      </w:pPr>
      <w:rPr>
        <w:rFonts w:hint="default"/>
      </w:rPr>
    </w:lvl>
    <w:lvl w:ilvl="5">
      <w:start w:val="1"/>
      <w:numFmt w:val="bullet"/>
      <w:lvlText w:val="•"/>
      <w:lvlJc w:val="left"/>
      <w:pPr>
        <w:ind w:left="4158" w:hanging="163"/>
      </w:pPr>
      <w:rPr>
        <w:rFonts w:hint="default"/>
      </w:rPr>
    </w:lvl>
    <w:lvl w:ilvl="6">
      <w:start w:val="1"/>
      <w:numFmt w:val="bullet"/>
      <w:lvlText w:val="•"/>
      <w:lvlJc w:val="left"/>
      <w:pPr>
        <w:ind w:left="4966" w:hanging="163"/>
      </w:pPr>
      <w:rPr>
        <w:rFonts w:hint="default"/>
      </w:rPr>
    </w:lvl>
    <w:lvl w:ilvl="7">
      <w:start w:val="1"/>
      <w:numFmt w:val="bullet"/>
      <w:lvlText w:val="•"/>
      <w:lvlJc w:val="left"/>
      <w:pPr>
        <w:ind w:left="5774" w:hanging="163"/>
      </w:pPr>
      <w:rPr>
        <w:rFonts w:hint="default"/>
      </w:rPr>
    </w:lvl>
    <w:lvl w:ilvl="8">
      <w:start w:val="1"/>
      <w:numFmt w:val="bullet"/>
      <w:lvlText w:val="•"/>
      <w:lvlJc w:val="left"/>
      <w:pPr>
        <w:ind w:left="6582" w:hanging="163"/>
      </w:pPr>
      <w:rPr>
        <w:rFonts w:hint="default"/>
      </w:rPr>
    </w:lvl>
  </w:abstractNum>
  <w:abstractNum w:abstractNumId="8">
    <w:multiLevelType w:val="hybridMultilevel"/>
    <w:lvl w:ilvl="0">
      <w:start w:val="1"/>
      <w:numFmt w:val="decimal"/>
      <w:lvlText w:val="%1"/>
      <w:lvlJc w:val="left"/>
      <w:pPr>
        <w:ind w:left="110" w:hanging="114"/>
        <w:jc w:val="left"/>
      </w:pPr>
      <w:rPr>
        <w:rFonts w:hint="default" w:ascii="Calibri" w:hAnsi="Calibri" w:eastAsia="Calibri" w:cs="Calibri"/>
        <w:color w:val="231F20"/>
        <w:w w:val="96"/>
        <w:sz w:val="16"/>
        <w:szCs w:val="16"/>
      </w:rPr>
    </w:lvl>
    <w:lvl w:ilvl="1">
      <w:start w:val="1"/>
      <w:numFmt w:val="bullet"/>
      <w:lvlText w:val="•"/>
      <w:lvlJc w:val="left"/>
      <w:pPr>
        <w:ind w:left="923" w:hanging="114"/>
      </w:pPr>
      <w:rPr>
        <w:rFonts w:hint="default"/>
      </w:rPr>
    </w:lvl>
    <w:lvl w:ilvl="2">
      <w:start w:val="1"/>
      <w:numFmt w:val="bullet"/>
      <w:lvlText w:val="•"/>
      <w:lvlJc w:val="left"/>
      <w:pPr>
        <w:ind w:left="1727" w:hanging="114"/>
      </w:pPr>
      <w:rPr>
        <w:rFonts w:hint="default"/>
      </w:rPr>
    </w:lvl>
    <w:lvl w:ilvl="3">
      <w:start w:val="1"/>
      <w:numFmt w:val="bullet"/>
      <w:lvlText w:val="•"/>
      <w:lvlJc w:val="left"/>
      <w:pPr>
        <w:ind w:left="2531" w:hanging="114"/>
      </w:pPr>
      <w:rPr>
        <w:rFonts w:hint="default"/>
      </w:rPr>
    </w:lvl>
    <w:lvl w:ilvl="4">
      <w:start w:val="1"/>
      <w:numFmt w:val="bullet"/>
      <w:lvlText w:val="•"/>
      <w:lvlJc w:val="left"/>
      <w:pPr>
        <w:ind w:left="3335" w:hanging="114"/>
      </w:pPr>
      <w:rPr>
        <w:rFonts w:hint="default"/>
      </w:rPr>
    </w:lvl>
    <w:lvl w:ilvl="5">
      <w:start w:val="1"/>
      <w:numFmt w:val="bullet"/>
      <w:lvlText w:val="•"/>
      <w:lvlJc w:val="left"/>
      <w:pPr>
        <w:ind w:left="4138" w:hanging="114"/>
      </w:pPr>
      <w:rPr>
        <w:rFonts w:hint="default"/>
      </w:rPr>
    </w:lvl>
    <w:lvl w:ilvl="6">
      <w:start w:val="1"/>
      <w:numFmt w:val="bullet"/>
      <w:lvlText w:val="•"/>
      <w:lvlJc w:val="left"/>
      <w:pPr>
        <w:ind w:left="4942" w:hanging="114"/>
      </w:pPr>
      <w:rPr>
        <w:rFonts w:hint="default"/>
      </w:rPr>
    </w:lvl>
    <w:lvl w:ilvl="7">
      <w:start w:val="1"/>
      <w:numFmt w:val="bullet"/>
      <w:lvlText w:val="•"/>
      <w:lvlJc w:val="left"/>
      <w:pPr>
        <w:ind w:left="5746" w:hanging="114"/>
      </w:pPr>
      <w:rPr>
        <w:rFonts w:hint="default"/>
      </w:rPr>
    </w:lvl>
    <w:lvl w:ilvl="8">
      <w:start w:val="1"/>
      <w:numFmt w:val="bullet"/>
      <w:lvlText w:val="•"/>
      <w:lvlJc w:val="left"/>
      <w:pPr>
        <w:ind w:left="6550" w:hanging="114"/>
      </w:pPr>
      <w:rPr>
        <w:rFonts w:hint="default"/>
      </w:rPr>
    </w:lvl>
  </w:abstractNum>
  <w:abstractNum w:abstractNumId="7">
    <w:multiLevelType w:val="hybridMultilevel"/>
    <w:lvl w:ilvl="0">
      <w:start w:val="1"/>
      <w:numFmt w:val="decimal"/>
      <w:lvlText w:val="%1."/>
      <w:lvlJc w:val="left"/>
      <w:pPr>
        <w:ind w:left="1252" w:hanging="135"/>
        <w:jc w:val="right"/>
      </w:pPr>
      <w:rPr>
        <w:rFonts w:hint="default" w:ascii="Calibri" w:hAnsi="Calibri" w:eastAsia="Calibri" w:cs="Calibri"/>
        <w:color w:val="231F20"/>
        <w:spacing w:val="-6"/>
        <w:w w:val="75"/>
        <w:sz w:val="19"/>
        <w:szCs w:val="19"/>
      </w:rPr>
    </w:lvl>
    <w:lvl w:ilvl="1">
      <w:start w:val="1"/>
      <w:numFmt w:val="bullet"/>
      <w:lvlText w:val="•"/>
      <w:lvlJc w:val="left"/>
      <w:pPr>
        <w:ind w:left="1508" w:hanging="135"/>
      </w:pPr>
      <w:rPr>
        <w:rFonts w:hint="default"/>
      </w:rPr>
    </w:lvl>
    <w:lvl w:ilvl="2">
      <w:start w:val="1"/>
      <w:numFmt w:val="bullet"/>
      <w:lvlText w:val="•"/>
      <w:lvlJc w:val="left"/>
      <w:pPr>
        <w:ind w:left="1757" w:hanging="135"/>
      </w:pPr>
      <w:rPr>
        <w:rFonts w:hint="default"/>
      </w:rPr>
    </w:lvl>
    <w:lvl w:ilvl="3">
      <w:start w:val="1"/>
      <w:numFmt w:val="bullet"/>
      <w:lvlText w:val="•"/>
      <w:lvlJc w:val="left"/>
      <w:pPr>
        <w:ind w:left="2005" w:hanging="135"/>
      </w:pPr>
      <w:rPr>
        <w:rFonts w:hint="default"/>
      </w:rPr>
    </w:lvl>
    <w:lvl w:ilvl="4">
      <w:start w:val="1"/>
      <w:numFmt w:val="bullet"/>
      <w:lvlText w:val="•"/>
      <w:lvlJc w:val="left"/>
      <w:pPr>
        <w:ind w:left="2254" w:hanging="135"/>
      </w:pPr>
      <w:rPr>
        <w:rFonts w:hint="default"/>
      </w:rPr>
    </w:lvl>
    <w:lvl w:ilvl="5">
      <w:start w:val="1"/>
      <w:numFmt w:val="bullet"/>
      <w:lvlText w:val="•"/>
      <w:lvlJc w:val="left"/>
      <w:pPr>
        <w:ind w:left="2503" w:hanging="135"/>
      </w:pPr>
      <w:rPr>
        <w:rFonts w:hint="default"/>
      </w:rPr>
    </w:lvl>
    <w:lvl w:ilvl="6">
      <w:start w:val="1"/>
      <w:numFmt w:val="bullet"/>
      <w:lvlText w:val="•"/>
      <w:lvlJc w:val="left"/>
      <w:pPr>
        <w:ind w:left="2751" w:hanging="135"/>
      </w:pPr>
      <w:rPr>
        <w:rFonts w:hint="default"/>
      </w:rPr>
    </w:lvl>
    <w:lvl w:ilvl="7">
      <w:start w:val="1"/>
      <w:numFmt w:val="bullet"/>
      <w:lvlText w:val="•"/>
      <w:lvlJc w:val="left"/>
      <w:pPr>
        <w:ind w:left="3000" w:hanging="135"/>
      </w:pPr>
      <w:rPr>
        <w:rFonts w:hint="default"/>
      </w:rPr>
    </w:lvl>
    <w:lvl w:ilvl="8">
      <w:start w:val="1"/>
      <w:numFmt w:val="bullet"/>
      <w:lvlText w:val="•"/>
      <w:lvlJc w:val="left"/>
      <w:pPr>
        <w:ind w:left="3249" w:hanging="135"/>
      </w:pPr>
      <w:rPr>
        <w:rFonts w:hint="default"/>
      </w:rPr>
    </w:lvl>
  </w:abstractNum>
  <w:abstractNum w:abstractNumId="6">
    <w:multiLevelType w:val="hybridMultilevel"/>
    <w:lvl w:ilvl="0">
      <w:start w:val="1"/>
      <w:numFmt w:val="decimal"/>
      <w:lvlText w:val="%1."/>
      <w:lvlJc w:val="left"/>
      <w:pPr>
        <w:ind w:left="1008" w:hanging="135"/>
        <w:jc w:val="right"/>
      </w:pPr>
      <w:rPr>
        <w:rFonts w:hint="default" w:ascii="Calibri" w:hAnsi="Calibri" w:eastAsia="Calibri" w:cs="Calibri"/>
        <w:color w:val="231F20"/>
        <w:spacing w:val="-6"/>
        <w:w w:val="75"/>
        <w:sz w:val="19"/>
        <w:szCs w:val="19"/>
      </w:rPr>
    </w:lvl>
    <w:lvl w:ilvl="1">
      <w:start w:val="1"/>
      <w:numFmt w:val="bullet"/>
      <w:lvlText w:val="•"/>
      <w:lvlJc w:val="left"/>
      <w:pPr>
        <w:ind w:left="1274" w:hanging="135"/>
      </w:pPr>
      <w:rPr>
        <w:rFonts w:hint="default"/>
      </w:rPr>
    </w:lvl>
    <w:lvl w:ilvl="2">
      <w:start w:val="1"/>
      <w:numFmt w:val="bullet"/>
      <w:lvlText w:val="•"/>
      <w:lvlJc w:val="left"/>
      <w:pPr>
        <w:ind w:left="1549" w:hanging="135"/>
      </w:pPr>
      <w:rPr>
        <w:rFonts w:hint="default"/>
      </w:rPr>
    </w:lvl>
    <w:lvl w:ilvl="3">
      <w:start w:val="1"/>
      <w:numFmt w:val="bullet"/>
      <w:lvlText w:val="•"/>
      <w:lvlJc w:val="left"/>
      <w:pPr>
        <w:ind w:left="1823" w:hanging="135"/>
      </w:pPr>
      <w:rPr>
        <w:rFonts w:hint="default"/>
      </w:rPr>
    </w:lvl>
    <w:lvl w:ilvl="4">
      <w:start w:val="1"/>
      <w:numFmt w:val="bullet"/>
      <w:lvlText w:val="•"/>
      <w:lvlJc w:val="left"/>
      <w:pPr>
        <w:ind w:left="2098" w:hanging="135"/>
      </w:pPr>
      <w:rPr>
        <w:rFonts w:hint="default"/>
      </w:rPr>
    </w:lvl>
    <w:lvl w:ilvl="5">
      <w:start w:val="1"/>
      <w:numFmt w:val="bullet"/>
      <w:lvlText w:val="•"/>
      <w:lvlJc w:val="left"/>
      <w:pPr>
        <w:ind w:left="2373" w:hanging="135"/>
      </w:pPr>
      <w:rPr>
        <w:rFonts w:hint="default"/>
      </w:rPr>
    </w:lvl>
    <w:lvl w:ilvl="6">
      <w:start w:val="1"/>
      <w:numFmt w:val="bullet"/>
      <w:lvlText w:val="•"/>
      <w:lvlJc w:val="left"/>
      <w:pPr>
        <w:ind w:left="2647" w:hanging="135"/>
      </w:pPr>
      <w:rPr>
        <w:rFonts w:hint="default"/>
      </w:rPr>
    </w:lvl>
    <w:lvl w:ilvl="7">
      <w:start w:val="1"/>
      <w:numFmt w:val="bullet"/>
      <w:lvlText w:val="•"/>
      <w:lvlJc w:val="left"/>
      <w:pPr>
        <w:ind w:left="2922" w:hanging="135"/>
      </w:pPr>
      <w:rPr>
        <w:rFonts w:hint="default"/>
      </w:rPr>
    </w:lvl>
    <w:lvl w:ilvl="8">
      <w:start w:val="1"/>
      <w:numFmt w:val="bullet"/>
      <w:lvlText w:val="•"/>
      <w:lvlJc w:val="left"/>
      <w:pPr>
        <w:ind w:left="3197" w:hanging="135"/>
      </w:pPr>
      <w:rPr>
        <w:rFonts w:hint="default"/>
      </w:rPr>
    </w:lvl>
  </w:abstractNum>
  <w:abstractNum w:abstractNumId="5">
    <w:multiLevelType w:val="hybridMultilevel"/>
    <w:lvl w:ilvl="0">
      <w:start w:val="1"/>
      <w:numFmt w:val="decimal"/>
      <w:lvlText w:val="%1."/>
      <w:lvlJc w:val="left"/>
      <w:pPr>
        <w:ind w:left="1307" w:hanging="115"/>
        <w:jc w:val="left"/>
      </w:pPr>
      <w:rPr>
        <w:rFonts w:hint="default" w:ascii="Calibri" w:hAnsi="Calibri" w:eastAsia="Calibri" w:cs="Calibri"/>
        <w:color w:val="231F20"/>
        <w:spacing w:val="-4"/>
        <w:w w:val="75"/>
        <w:sz w:val="16"/>
        <w:szCs w:val="16"/>
      </w:rPr>
    </w:lvl>
    <w:lvl w:ilvl="1">
      <w:start w:val="1"/>
      <w:numFmt w:val="bullet"/>
      <w:lvlText w:val="•"/>
      <w:lvlJc w:val="left"/>
      <w:pPr>
        <w:ind w:left="1544" w:hanging="115"/>
      </w:pPr>
      <w:rPr>
        <w:rFonts w:hint="default"/>
      </w:rPr>
    </w:lvl>
    <w:lvl w:ilvl="2">
      <w:start w:val="1"/>
      <w:numFmt w:val="bullet"/>
      <w:lvlText w:val="•"/>
      <w:lvlJc w:val="left"/>
      <w:pPr>
        <w:ind w:left="1789" w:hanging="115"/>
      </w:pPr>
      <w:rPr>
        <w:rFonts w:hint="default"/>
      </w:rPr>
    </w:lvl>
    <w:lvl w:ilvl="3">
      <w:start w:val="1"/>
      <w:numFmt w:val="bullet"/>
      <w:lvlText w:val="•"/>
      <w:lvlJc w:val="left"/>
      <w:pPr>
        <w:ind w:left="2033" w:hanging="115"/>
      </w:pPr>
      <w:rPr>
        <w:rFonts w:hint="default"/>
      </w:rPr>
    </w:lvl>
    <w:lvl w:ilvl="4">
      <w:start w:val="1"/>
      <w:numFmt w:val="bullet"/>
      <w:lvlText w:val="•"/>
      <w:lvlJc w:val="left"/>
      <w:pPr>
        <w:ind w:left="2278" w:hanging="115"/>
      </w:pPr>
      <w:rPr>
        <w:rFonts w:hint="default"/>
      </w:rPr>
    </w:lvl>
    <w:lvl w:ilvl="5">
      <w:start w:val="1"/>
      <w:numFmt w:val="bullet"/>
      <w:lvlText w:val="•"/>
      <w:lvlJc w:val="left"/>
      <w:pPr>
        <w:ind w:left="2523" w:hanging="115"/>
      </w:pPr>
      <w:rPr>
        <w:rFonts w:hint="default"/>
      </w:rPr>
    </w:lvl>
    <w:lvl w:ilvl="6">
      <w:start w:val="1"/>
      <w:numFmt w:val="bullet"/>
      <w:lvlText w:val="•"/>
      <w:lvlJc w:val="left"/>
      <w:pPr>
        <w:ind w:left="2767" w:hanging="115"/>
      </w:pPr>
      <w:rPr>
        <w:rFonts w:hint="default"/>
      </w:rPr>
    </w:lvl>
    <w:lvl w:ilvl="7">
      <w:start w:val="1"/>
      <w:numFmt w:val="bullet"/>
      <w:lvlText w:val="•"/>
      <w:lvlJc w:val="left"/>
      <w:pPr>
        <w:ind w:left="3012" w:hanging="115"/>
      </w:pPr>
      <w:rPr>
        <w:rFonts w:hint="default"/>
      </w:rPr>
    </w:lvl>
    <w:lvl w:ilvl="8">
      <w:start w:val="1"/>
      <w:numFmt w:val="bullet"/>
      <w:lvlText w:val="•"/>
      <w:lvlJc w:val="left"/>
      <w:pPr>
        <w:ind w:left="3257" w:hanging="115"/>
      </w:pPr>
      <w:rPr>
        <w:rFonts w:hint="default"/>
      </w:rPr>
    </w:lvl>
  </w:abstractNum>
  <w:abstractNum w:abstractNumId="4">
    <w:multiLevelType w:val="hybridMultilevel"/>
    <w:lvl w:ilvl="0">
      <w:start w:val="1"/>
      <w:numFmt w:val="decimal"/>
      <w:lvlText w:val="%1"/>
      <w:lvlJc w:val="left"/>
      <w:pPr>
        <w:ind w:left="110" w:hanging="116"/>
        <w:jc w:val="left"/>
      </w:pPr>
      <w:rPr>
        <w:rFonts w:hint="default" w:ascii="Calibri" w:hAnsi="Calibri" w:eastAsia="Calibri" w:cs="Calibri"/>
        <w:color w:val="231F20"/>
        <w:w w:val="96"/>
        <w:sz w:val="16"/>
        <w:szCs w:val="16"/>
      </w:rPr>
    </w:lvl>
    <w:lvl w:ilvl="1">
      <w:start w:val="1"/>
      <w:numFmt w:val="upperRoman"/>
      <w:lvlText w:val="%2."/>
      <w:lvlJc w:val="left"/>
      <w:pPr>
        <w:ind w:left="507" w:hanging="185"/>
        <w:jc w:val="left"/>
      </w:pPr>
      <w:rPr>
        <w:rFonts w:hint="default" w:ascii="Times New Roman" w:hAnsi="Times New Roman" w:eastAsia="Times New Roman" w:cs="Times New Roman"/>
        <w:color w:val="231F20"/>
        <w:spacing w:val="0"/>
        <w:w w:val="91"/>
        <w:sz w:val="22"/>
        <w:szCs w:val="22"/>
      </w:rPr>
    </w:lvl>
    <w:lvl w:ilvl="2">
      <w:start w:val="1"/>
      <w:numFmt w:val="bullet"/>
      <w:lvlText w:val="•"/>
      <w:lvlJc w:val="left"/>
      <w:pPr>
        <w:ind w:left="1350" w:hanging="185"/>
      </w:pPr>
      <w:rPr>
        <w:rFonts w:hint="default"/>
      </w:rPr>
    </w:lvl>
    <w:lvl w:ilvl="3">
      <w:start w:val="1"/>
      <w:numFmt w:val="bullet"/>
      <w:lvlText w:val="•"/>
      <w:lvlJc w:val="left"/>
      <w:pPr>
        <w:ind w:left="2201" w:hanging="185"/>
      </w:pPr>
      <w:rPr>
        <w:rFonts w:hint="default"/>
      </w:rPr>
    </w:lvl>
    <w:lvl w:ilvl="4">
      <w:start w:val="1"/>
      <w:numFmt w:val="bullet"/>
      <w:lvlText w:val="•"/>
      <w:lvlJc w:val="left"/>
      <w:pPr>
        <w:ind w:left="3052" w:hanging="185"/>
      </w:pPr>
      <w:rPr>
        <w:rFonts w:hint="default"/>
      </w:rPr>
    </w:lvl>
    <w:lvl w:ilvl="5">
      <w:start w:val="1"/>
      <w:numFmt w:val="bullet"/>
      <w:lvlText w:val="•"/>
      <w:lvlJc w:val="left"/>
      <w:pPr>
        <w:ind w:left="3903" w:hanging="185"/>
      </w:pPr>
      <w:rPr>
        <w:rFonts w:hint="default"/>
      </w:rPr>
    </w:lvl>
    <w:lvl w:ilvl="6">
      <w:start w:val="1"/>
      <w:numFmt w:val="bullet"/>
      <w:lvlText w:val="•"/>
      <w:lvlJc w:val="left"/>
      <w:pPr>
        <w:ind w:left="4754" w:hanging="185"/>
      </w:pPr>
      <w:rPr>
        <w:rFonts w:hint="default"/>
      </w:rPr>
    </w:lvl>
    <w:lvl w:ilvl="7">
      <w:start w:val="1"/>
      <w:numFmt w:val="bullet"/>
      <w:lvlText w:val="•"/>
      <w:lvlJc w:val="left"/>
      <w:pPr>
        <w:ind w:left="5605" w:hanging="185"/>
      </w:pPr>
      <w:rPr>
        <w:rFonts w:hint="default"/>
      </w:rPr>
    </w:lvl>
    <w:lvl w:ilvl="8">
      <w:start w:val="1"/>
      <w:numFmt w:val="bullet"/>
      <w:lvlText w:val="•"/>
      <w:lvlJc w:val="left"/>
      <w:pPr>
        <w:ind w:left="6456" w:hanging="185"/>
      </w:pPr>
      <w:rPr>
        <w:rFonts w:hint="default"/>
      </w:rPr>
    </w:lvl>
  </w:abstractNum>
  <w:abstractNum w:abstractNumId="3">
    <w:multiLevelType w:val="hybridMultilevel"/>
    <w:lvl w:ilvl="0">
      <w:start w:val="27"/>
      <w:numFmt w:val="decimal"/>
      <w:lvlText w:val="%1"/>
      <w:lvlJc w:val="left"/>
      <w:pPr>
        <w:ind w:left="110" w:hanging="189"/>
        <w:jc w:val="left"/>
      </w:pPr>
      <w:rPr>
        <w:rFonts w:hint="default" w:ascii="Calibri" w:hAnsi="Calibri" w:eastAsia="Calibri" w:cs="Calibri"/>
        <w:color w:val="231F20"/>
        <w:spacing w:val="-4"/>
        <w:w w:val="96"/>
        <w:sz w:val="16"/>
        <w:szCs w:val="16"/>
      </w:rPr>
    </w:lvl>
    <w:lvl w:ilvl="1">
      <w:start w:val="1"/>
      <w:numFmt w:val="bullet"/>
      <w:lvlText w:val="•"/>
      <w:lvlJc w:val="left"/>
      <w:pPr>
        <w:ind w:left="400" w:hanging="189"/>
      </w:pPr>
      <w:rPr>
        <w:rFonts w:hint="default"/>
      </w:rPr>
    </w:lvl>
    <w:lvl w:ilvl="2">
      <w:start w:val="1"/>
      <w:numFmt w:val="bullet"/>
      <w:lvlText w:val="•"/>
      <w:lvlJc w:val="left"/>
      <w:pPr>
        <w:ind w:left="1255" w:hanging="189"/>
      </w:pPr>
      <w:rPr>
        <w:rFonts w:hint="default"/>
      </w:rPr>
    </w:lvl>
    <w:lvl w:ilvl="3">
      <w:start w:val="1"/>
      <w:numFmt w:val="bullet"/>
      <w:lvlText w:val="•"/>
      <w:lvlJc w:val="left"/>
      <w:pPr>
        <w:ind w:left="2110" w:hanging="189"/>
      </w:pPr>
      <w:rPr>
        <w:rFonts w:hint="default"/>
      </w:rPr>
    </w:lvl>
    <w:lvl w:ilvl="4">
      <w:start w:val="1"/>
      <w:numFmt w:val="bullet"/>
      <w:lvlText w:val="•"/>
      <w:lvlJc w:val="left"/>
      <w:pPr>
        <w:ind w:left="2965" w:hanging="189"/>
      </w:pPr>
      <w:rPr>
        <w:rFonts w:hint="default"/>
      </w:rPr>
    </w:lvl>
    <w:lvl w:ilvl="5">
      <w:start w:val="1"/>
      <w:numFmt w:val="bullet"/>
      <w:lvlText w:val="•"/>
      <w:lvlJc w:val="left"/>
      <w:pPr>
        <w:ind w:left="3821" w:hanging="189"/>
      </w:pPr>
      <w:rPr>
        <w:rFonts w:hint="default"/>
      </w:rPr>
    </w:lvl>
    <w:lvl w:ilvl="6">
      <w:start w:val="1"/>
      <w:numFmt w:val="bullet"/>
      <w:lvlText w:val="•"/>
      <w:lvlJc w:val="left"/>
      <w:pPr>
        <w:ind w:left="4676" w:hanging="189"/>
      </w:pPr>
      <w:rPr>
        <w:rFonts w:hint="default"/>
      </w:rPr>
    </w:lvl>
    <w:lvl w:ilvl="7">
      <w:start w:val="1"/>
      <w:numFmt w:val="bullet"/>
      <w:lvlText w:val="•"/>
      <w:lvlJc w:val="left"/>
      <w:pPr>
        <w:ind w:left="5531" w:hanging="189"/>
      </w:pPr>
      <w:rPr>
        <w:rFonts w:hint="default"/>
      </w:rPr>
    </w:lvl>
    <w:lvl w:ilvl="8">
      <w:start w:val="1"/>
      <w:numFmt w:val="bullet"/>
      <w:lvlText w:val="•"/>
      <w:lvlJc w:val="left"/>
      <w:pPr>
        <w:ind w:left="6387" w:hanging="189"/>
      </w:pPr>
      <w:rPr>
        <w:rFonts w:hint="default"/>
      </w:rPr>
    </w:lvl>
  </w:abstractNum>
  <w:abstractNum w:abstractNumId="2">
    <w:multiLevelType w:val="hybridMultilevel"/>
    <w:lvl w:ilvl="0">
      <w:start w:val="8"/>
      <w:numFmt w:val="decimal"/>
      <w:lvlText w:val="%1"/>
      <w:lvlJc w:val="left"/>
      <w:pPr>
        <w:ind w:left="110" w:hanging="114"/>
        <w:jc w:val="left"/>
      </w:pPr>
      <w:rPr>
        <w:rFonts w:hint="default" w:ascii="Calibri" w:hAnsi="Calibri" w:eastAsia="Calibri" w:cs="Calibri"/>
        <w:color w:val="231F20"/>
        <w:w w:val="96"/>
        <w:sz w:val="16"/>
        <w:szCs w:val="16"/>
      </w:rPr>
    </w:lvl>
    <w:lvl w:ilvl="1">
      <w:start w:val="1"/>
      <w:numFmt w:val="bullet"/>
      <w:lvlText w:val="•"/>
      <w:lvlJc w:val="left"/>
      <w:pPr>
        <w:ind w:left="923" w:hanging="114"/>
      </w:pPr>
      <w:rPr>
        <w:rFonts w:hint="default"/>
      </w:rPr>
    </w:lvl>
    <w:lvl w:ilvl="2">
      <w:start w:val="1"/>
      <w:numFmt w:val="bullet"/>
      <w:lvlText w:val="•"/>
      <w:lvlJc w:val="left"/>
      <w:pPr>
        <w:ind w:left="1727" w:hanging="114"/>
      </w:pPr>
      <w:rPr>
        <w:rFonts w:hint="default"/>
      </w:rPr>
    </w:lvl>
    <w:lvl w:ilvl="3">
      <w:start w:val="1"/>
      <w:numFmt w:val="bullet"/>
      <w:lvlText w:val="•"/>
      <w:lvlJc w:val="left"/>
      <w:pPr>
        <w:ind w:left="2531" w:hanging="114"/>
      </w:pPr>
      <w:rPr>
        <w:rFonts w:hint="default"/>
      </w:rPr>
    </w:lvl>
    <w:lvl w:ilvl="4">
      <w:start w:val="1"/>
      <w:numFmt w:val="bullet"/>
      <w:lvlText w:val="•"/>
      <w:lvlJc w:val="left"/>
      <w:pPr>
        <w:ind w:left="3335" w:hanging="114"/>
      </w:pPr>
      <w:rPr>
        <w:rFonts w:hint="default"/>
      </w:rPr>
    </w:lvl>
    <w:lvl w:ilvl="5">
      <w:start w:val="1"/>
      <w:numFmt w:val="bullet"/>
      <w:lvlText w:val="•"/>
      <w:lvlJc w:val="left"/>
      <w:pPr>
        <w:ind w:left="4138" w:hanging="114"/>
      </w:pPr>
      <w:rPr>
        <w:rFonts w:hint="default"/>
      </w:rPr>
    </w:lvl>
    <w:lvl w:ilvl="6">
      <w:start w:val="1"/>
      <w:numFmt w:val="bullet"/>
      <w:lvlText w:val="•"/>
      <w:lvlJc w:val="left"/>
      <w:pPr>
        <w:ind w:left="4942" w:hanging="114"/>
      </w:pPr>
      <w:rPr>
        <w:rFonts w:hint="default"/>
      </w:rPr>
    </w:lvl>
    <w:lvl w:ilvl="7">
      <w:start w:val="1"/>
      <w:numFmt w:val="bullet"/>
      <w:lvlText w:val="•"/>
      <w:lvlJc w:val="left"/>
      <w:pPr>
        <w:ind w:left="5746" w:hanging="114"/>
      </w:pPr>
      <w:rPr>
        <w:rFonts w:hint="default"/>
      </w:rPr>
    </w:lvl>
    <w:lvl w:ilvl="8">
      <w:start w:val="1"/>
      <w:numFmt w:val="bullet"/>
      <w:lvlText w:val="•"/>
      <w:lvlJc w:val="left"/>
      <w:pPr>
        <w:ind w:left="6550" w:hanging="114"/>
      </w:pPr>
      <w:rPr>
        <w:rFonts w:hint="default"/>
      </w:rPr>
    </w:lvl>
  </w:abstractNum>
  <w:abstractNum w:abstractNumId="1">
    <w:multiLevelType w:val="hybridMultilevel"/>
    <w:lvl w:ilvl="0">
      <w:start w:val="1"/>
      <w:numFmt w:val="upperRoman"/>
      <w:lvlText w:val="%1."/>
      <w:lvlJc w:val="left"/>
      <w:pPr>
        <w:ind w:left="110" w:hanging="225"/>
        <w:jc w:val="left"/>
      </w:pPr>
      <w:rPr>
        <w:rFonts w:hint="default" w:ascii="Times New Roman" w:hAnsi="Times New Roman" w:eastAsia="Times New Roman" w:cs="Times New Roman"/>
        <w:b/>
        <w:bCs/>
        <w:color w:val="231F20"/>
        <w:w w:val="97"/>
        <w:sz w:val="26"/>
        <w:szCs w:val="26"/>
      </w:rPr>
    </w:lvl>
    <w:lvl w:ilvl="1">
      <w:start w:val="1"/>
      <w:numFmt w:val="decimal"/>
      <w:lvlText w:val="%1.%2."/>
      <w:lvlJc w:val="left"/>
      <w:pPr>
        <w:ind w:left="110" w:hanging="514"/>
        <w:jc w:val="left"/>
      </w:pPr>
      <w:rPr>
        <w:rFonts w:hint="default" w:ascii="Times New Roman" w:hAnsi="Times New Roman" w:eastAsia="Times New Roman" w:cs="Times New Roman"/>
        <w:b/>
        <w:bCs/>
        <w:color w:val="231F20"/>
        <w:spacing w:val="-11"/>
        <w:w w:val="97"/>
        <w:sz w:val="26"/>
        <w:szCs w:val="26"/>
      </w:rPr>
    </w:lvl>
    <w:lvl w:ilvl="2">
      <w:start w:val="1"/>
      <w:numFmt w:val="decimal"/>
      <w:lvlText w:val="%1.%2.%3."/>
      <w:lvlJc w:val="left"/>
      <w:pPr>
        <w:ind w:left="110" w:hanging="728"/>
        <w:jc w:val="left"/>
      </w:pPr>
      <w:rPr>
        <w:rFonts w:hint="default" w:ascii="Times New Roman" w:hAnsi="Times New Roman" w:eastAsia="Times New Roman" w:cs="Times New Roman"/>
        <w:b/>
        <w:bCs/>
        <w:color w:val="231F20"/>
        <w:spacing w:val="-11"/>
        <w:w w:val="97"/>
        <w:sz w:val="26"/>
        <w:szCs w:val="26"/>
      </w:rPr>
    </w:lvl>
    <w:lvl w:ilvl="3">
      <w:start w:val="1"/>
      <w:numFmt w:val="bullet"/>
      <w:lvlText w:val="•"/>
      <w:lvlJc w:val="left"/>
      <w:pPr>
        <w:ind w:left="2531" w:hanging="728"/>
      </w:pPr>
      <w:rPr>
        <w:rFonts w:hint="default"/>
      </w:rPr>
    </w:lvl>
    <w:lvl w:ilvl="4">
      <w:start w:val="1"/>
      <w:numFmt w:val="bullet"/>
      <w:lvlText w:val="•"/>
      <w:lvlJc w:val="left"/>
      <w:pPr>
        <w:ind w:left="3335" w:hanging="728"/>
      </w:pPr>
      <w:rPr>
        <w:rFonts w:hint="default"/>
      </w:rPr>
    </w:lvl>
    <w:lvl w:ilvl="5">
      <w:start w:val="1"/>
      <w:numFmt w:val="bullet"/>
      <w:lvlText w:val="•"/>
      <w:lvlJc w:val="left"/>
      <w:pPr>
        <w:ind w:left="4138" w:hanging="728"/>
      </w:pPr>
      <w:rPr>
        <w:rFonts w:hint="default"/>
      </w:rPr>
    </w:lvl>
    <w:lvl w:ilvl="6">
      <w:start w:val="1"/>
      <w:numFmt w:val="bullet"/>
      <w:lvlText w:val="•"/>
      <w:lvlJc w:val="left"/>
      <w:pPr>
        <w:ind w:left="4942" w:hanging="728"/>
      </w:pPr>
      <w:rPr>
        <w:rFonts w:hint="default"/>
      </w:rPr>
    </w:lvl>
    <w:lvl w:ilvl="7">
      <w:start w:val="1"/>
      <w:numFmt w:val="bullet"/>
      <w:lvlText w:val="•"/>
      <w:lvlJc w:val="left"/>
      <w:pPr>
        <w:ind w:left="5746" w:hanging="728"/>
      </w:pPr>
      <w:rPr>
        <w:rFonts w:hint="default"/>
      </w:rPr>
    </w:lvl>
    <w:lvl w:ilvl="8">
      <w:start w:val="1"/>
      <w:numFmt w:val="bullet"/>
      <w:lvlText w:val="•"/>
      <w:lvlJc w:val="left"/>
      <w:pPr>
        <w:ind w:left="6550" w:hanging="728"/>
      </w:pPr>
      <w:rPr>
        <w:rFonts w:hint="default"/>
      </w:rPr>
    </w:lvl>
  </w:abstractNum>
  <w:abstractNum w:abstractNumId="0">
    <w:multiLevelType w:val="hybridMultilevel"/>
    <w:lvl w:ilvl="0">
      <w:start w:val="1"/>
      <w:numFmt w:val="decimal"/>
      <w:lvlText w:val="%1"/>
      <w:lvlJc w:val="left"/>
      <w:pPr>
        <w:ind w:left="110" w:hanging="118"/>
        <w:jc w:val="left"/>
      </w:pPr>
      <w:rPr>
        <w:rFonts w:hint="default" w:ascii="Calibri" w:hAnsi="Calibri" w:eastAsia="Calibri" w:cs="Calibri"/>
        <w:color w:val="231F20"/>
        <w:w w:val="96"/>
        <w:sz w:val="16"/>
        <w:szCs w:val="16"/>
      </w:rPr>
    </w:lvl>
    <w:lvl w:ilvl="1">
      <w:start w:val="1"/>
      <w:numFmt w:val="bullet"/>
      <w:lvlText w:val="•"/>
      <w:lvlJc w:val="left"/>
      <w:pPr>
        <w:ind w:left="923" w:hanging="118"/>
      </w:pPr>
      <w:rPr>
        <w:rFonts w:hint="default"/>
      </w:rPr>
    </w:lvl>
    <w:lvl w:ilvl="2">
      <w:start w:val="1"/>
      <w:numFmt w:val="bullet"/>
      <w:lvlText w:val="•"/>
      <w:lvlJc w:val="left"/>
      <w:pPr>
        <w:ind w:left="1727" w:hanging="118"/>
      </w:pPr>
      <w:rPr>
        <w:rFonts w:hint="default"/>
      </w:rPr>
    </w:lvl>
    <w:lvl w:ilvl="3">
      <w:start w:val="1"/>
      <w:numFmt w:val="bullet"/>
      <w:lvlText w:val="•"/>
      <w:lvlJc w:val="left"/>
      <w:pPr>
        <w:ind w:left="2531" w:hanging="118"/>
      </w:pPr>
      <w:rPr>
        <w:rFonts w:hint="default"/>
      </w:rPr>
    </w:lvl>
    <w:lvl w:ilvl="4">
      <w:start w:val="1"/>
      <w:numFmt w:val="bullet"/>
      <w:lvlText w:val="•"/>
      <w:lvlJc w:val="left"/>
      <w:pPr>
        <w:ind w:left="3335" w:hanging="118"/>
      </w:pPr>
      <w:rPr>
        <w:rFonts w:hint="default"/>
      </w:rPr>
    </w:lvl>
    <w:lvl w:ilvl="5">
      <w:start w:val="1"/>
      <w:numFmt w:val="bullet"/>
      <w:lvlText w:val="•"/>
      <w:lvlJc w:val="left"/>
      <w:pPr>
        <w:ind w:left="4138" w:hanging="118"/>
      </w:pPr>
      <w:rPr>
        <w:rFonts w:hint="default"/>
      </w:rPr>
    </w:lvl>
    <w:lvl w:ilvl="6">
      <w:start w:val="1"/>
      <w:numFmt w:val="bullet"/>
      <w:lvlText w:val="•"/>
      <w:lvlJc w:val="left"/>
      <w:pPr>
        <w:ind w:left="4942" w:hanging="118"/>
      </w:pPr>
      <w:rPr>
        <w:rFonts w:hint="default"/>
      </w:rPr>
    </w:lvl>
    <w:lvl w:ilvl="7">
      <w:start w:val="1"/>
      <w:numFmt w:val="bullet"/>
      <w:lvlText w:val="•"/>
      <w:lvlJc w:val="left"/>
      <w:pPr>
        <w:ind w:left="5746" w:hanging="118"/>
      </w:pPr>
      <w:rPr>
        <w:rFonts w:hint="default"/>
      </w:rPr>
    </w:lvl>
    <w:lvl w:ilvl="8">
      <w:start w:val="1"/>
      <w:numFmt w:val="bullet"/>
      <w:lvlText w:val="•"/>
      <w:lvlJc w:val="left"/>
      <w:pPr>
        <w:ind w:left="6550" w:hanging="118"/>
      </w:pPr>
      <w:rPr>
        <w:rFonts w:hint="default"/>
      </w:rPr>
    </w:lvl>
  </w:abstract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65"/>
      <w:ind w:left="111"/>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line="389" w:lineRule="exact"/>
      <w:ind w:left="102" w:right="102"/>
      <w:jc w:val="center"/>
      <w:outlineLvl w:val="2"/>
    </w:pPr>
    <w:rPr>
      <w:rFonts w:ascii="Times New Roman" w:hAnsi="Times New Roman" w:eastAsia="Times New Roman" w:cs="Times New Roman"/>
      <w:b/>
      <w:bCs/>
      <w:sz w:val="34"/>
      <w:szCs w:val="34"/>
    </w:rPr>
  </w:style>
  <w:style w:styleId="Heading3" w:type="paragraph">
    <w:name w:val="Heading 3"/>
    <w:basedOn w:val="Normal"/>
    <w:uiPriority w:val="1"/>
    <w:qFormat/>
    <w:pPr>
      <w:ind w:left="110"/>
      <w:jc w:val="both"/>
      <w:outlineLvl w:val="3"/>
    </w:pPr>
    <w:rPr>
      <w:rFonts w:ascii="Times New Roman" w:hAnsi="Times New Roman" w:eastAsia="Times New Roman" w:cs="Times New Roman"/>
      <w:b/>
      <w:bCs/>
      <w:sz w:val="26"/>
      <w:szCs w:val="26"/>
    </w:rPr>
  </w:style>
  <w:style w:styleId="Heading4" w:type="paragraph">
    <w:name w:val="Heading 4"/>
    <w:basedOn w:val="Normal"/>
    <w:uiPriority w:val="1"/>
    <w:qFormat/>
    <w:pPr>
      <w:ind w:left="110"/>
      <w:jc w:val="both"/>
      <w:outlineLvl w:val="4"/>
    </w:pPr>
    <w:rPr>
      <w:rFonts w:ascii="Palatino Linotype" w:hAnsi="Palatino Linotype" w:eastAsia="Palatino Linotype" w:cs="Palatino Linotype"/>
      <w:i/>
      <w:sz w:val="26"/>
      <w:szCs w:val="26"/>
    </w:rPr>
  </w:style>
  <w:style w:styleId="Heading5" w:type="paragraph">
    <w:name w:val="Heading 5"/>
    <w:basedOn w:val="Normal"/>
    <w:uiPriority w:val="1"/>
    <w:qFormat/>
    <w:pPr>
      <w:ind w:left="102" w:right="574"/>
      <w:outlineLvl w:val="5"/>
    </w:pPr>
    <w:rPr>
      <w:rFonts w:ascii="Times New Roman" w:hAnsi="Times New Roman" w:eastAsia="Times New Roman" w:cs="Times New Roman"/>
      <w:b/>
      <w:bCs/>
      <w:sz w:val="22"/>
      <w:szCs w:val="22"/>
    </w:rPr>
  </w:style>
  <w:style w:styleId="Heading6" w:type="paragraph">
    <w:name w:val="Heading 6"/>
    <w:basedOn w:val="Normal"/>
    <w:uiPriority w:val="1"/>
    <w:qFormat/>
    <w:pPr>
      <w:ind w:left="110" w:right="159"/>
      <w:outlineLvl w:val="6"/>
    </w:pPr>
    <w:rPr>
      <w:rFonts w:ascii="Times New Roman" w:hAnsi="Times New Roman" w:eastAsia="Times New Roman" w:cs="Times New Roman"/>
      <w:b/>
      <w:bCs/>
      <w:i/>
      <w:sz w:val="22"/>
      <w:szCs w:val="22"/>
    </w:rPr>
  </w:style>
  <w:style w:styleId="ListParagraph" w:type="paragraph">
    <w:name w:val="List Paragraph"/>
    <w:basedOn w:val="Normal"/>
    <w:uiPriority w:val="1"/>
    <w:qFormat/>
    <w:pPr>
      <w:spacing w:before="47"/>
      <w:ind w:left="110"/>
    </w:pPr>
    <w:rPr>
      <w:rFonts w:ascii="Calibri" w:hAnsi="Calibri" w:eastAsia="Calibri" w:cs="Calibri"/>
    </w:rPr>
  </w:style>
  <w:style w:styleId="TableParagraph" w:type="paragraph">
    <w:name w:val="Table Paragraph"/>
    <w:basedOn w:val="Normal"/>
    <w:uiPriority w:val="1"/>
    <w:qFormat/>
    <w:pPr>
      <w:ind w:left="10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hyperlink" Target="http://www.iapas.mx/" TargetMode="External"/><Relationship Id="rId17" Type="http://schemas.openxmlformats.org/officeDocument/2006/relationships/hyperlink" Target="mailto:jorge.perez@iapas.mx" TargetMode="External"/><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hyperlink" Target="http://creativecommons.org/licenses/by-nc-nd/3.0/es/" TargetMode="Externa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footer" Target="footer3.xml"/><Relationship Id="rId27" Type="http://schemas.openxmlformats.org/officeDocument/2006/relationships/footer" Target="footer4.xml"/><Relationship Id="rId28" Type="http://schemas.openxmlformats.org/officeDocument/2006/relationships/footer" Target="footer5.xml"/><Relationship Id="rId29" Type="http://schemas.openxmlformats.org/officeDocument/2006/relationships/footer" Target="footer6.xml"/><Relationship Id="rId30" Type="http://schemas.openxmlformats.org/officeDocument/2006/relationships/footer" Target="footer7.xml"/><Relationship Id="rId31" Type="http://schemas.openxmlformats.org/officeDocument/2006/relationships/footer" Target="footer8.xml"/><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png"/><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hyperlink" Target="http://www.inafed.gob.mx/" TargetMode="External"/><Relationship Id="rId85" Type="http://schemas.openxmlformats.org/officeDocument/2006/relationships/image" Target="media/image69.png"/><Relationship Id="rId86" Type="http://schemas.openxmlformats.org/officeDocument/2006/relationships/image" Target="media/image70.png"/><Relationship Id="rId87" Type="http://schemas.openxmlformats.org/officeDocument/2006/relationships/image" Target="media/image71.png"/><Relationship Id="rId88" Type="http://schemas.openxmlformats.org/officeDocument/2006/relationships/image" Target="media/image72.png"/><Relationship Id="rId89" Type="http://schemas.openxmlformats.org/officeDocument/2006/relationships/image" Target="media/image73.png"/><Relationship Id="rId90" Type="http://schemas.openxmlformats.org/officeDocument/2006/relationships/image" Target="media/image74.png"/><Relationship Id="rId91" Type="http://schemas.openxmlformats.org/officeDocument/2006/relationships/image" Target="media/image75.png"/><Relationship Id="rId92" Type="http://schemas.openxmlformats.org/officeDocument/2006/relationships/image" Target="media/image76.png"/><Relationship Id="rId93" Type="http://schemas.openxmlformats.org/officeDocument/2006/relationships/image" Target="media/image77.png"/><Relationship Id="rId94" Type="http://schemas.openxmlformats.org/officeDocument/2006/relationships/image" Target="media/image78.png"/><Relationship Id="rId95" Type="http://schemas.openxmlformats.org/officeDocument/2006/relationships/image" Target="media/image79.png"/><Relationship Id="rId96" Type="http://schemas.openxmlformats.org/officeDocument/2006/relationships/image" Target="media/image80.png"/><Relationship Id="rId97" Type="http://schemas.openxmlformats.org/officeDocument/2006/relationships/image" Target="media/image81.png"/><Relationship Id="rId98" Type="http://schemas.openxmlformats.org/officeDocument/2006/relationships/image" Target="media/image82.png"/><Relationship Id="rId99" Type="http://schemas.openxmlformats.org/officeDocument/2006/relationships/image" Target="media/image83.png"/><Relationship Id="rId100" Type="http://schemas.openxmlformats.org/officeDocument/2006/relationships/image" Target="media/image84.png"/><Relationship Id="rId101" Type="http://schemas.openxmlformats.org/officeDocument/2006/relationships/image" Target="media/image85.png"/><Relationship Id="rId102" Type="http://schemas.openxmlformats.org/officeDocument/2006/relationships/image" Target="media/image86.png"/><Relationship Id="rId103" Type="http://schemas.openxmlformats.org/officeDocument/2006/relationships/image" Target="media/image87.png"/><Relationship Id="rId104" Type="http://schemas.openxmlformats.org/officeDocument/2006/relationships/image" Target="media/image88.png"/><Relationship Id="rId105" Type="http://schemas.openxmlformats.org/officeDocument/2006/relationships/image" Target="media/image89.png"/><Relationship Id="rId106" Type="http://schemas.openxmlformats.org/officeDocument/2006/relationships/image" Target="media/image90.png"/><Relationship Id="rId107" Type="http://schemas.openxmlformats.org/officeDocument/2006/relationships/image" Target="media/image91.png"/><Relationship Id="rId108" Type="http://schemas.openxmlformats.org/officeDocument/2006/relationships/image" Target="media/image92.png"/><Relationship Id="rId109" Type="http://schemas.openxmlformats.org/officeDocument/2006/relationships/image" Target="media/image93.png"/><Relationship Id="rId110" Type="http://schemas.openxmlformats.org/officeDocument/2006/relationships/image" Target="media/image94.png"/><Relationship Id="rId111" Type="http://schemas.openxmlformats.org/officeDocument/2006/relationships/image" Target="media/image95.png"/><Relationship Id="rId112" Type="http://schemas.openxmlformats.org/officeDocument/2006/relationships/image" Target="media/image96.png"/><Relationship Id="rId113" Type="http://schemas.openxmlformats.org/officeDocument/2006/relationships/image" Target="media/image97.png"/><Relationship Id="rId114" Type="http://schemas.openxmlformats.org/officeDocument/2006/relationships/image" Target="media/image98.png"/><Relationship Id="rId115" Type="http://schemas.openxmlformats.org/officeDocument/2006/relationships/image" Target="media/image99.png"/><Relationship Id="rId116" Type="http://schemas.openxmlformats.org/officeDocument/2006/relationships/footer" Target="footer9.xml"/><Relationship Id="rId117" Type="http://schemas.openxmlformats.org/officeDocument/2006/relationships/image" Target="media/image100.png"/><Relationship Id="rId118" Type="http://schemas.openxmlformats.org/officeDocument/2006/relationships/image" Target="media/image101.png"/><Relationship Id="rId119" Type="http://schemas.openxmlformats.org/officeDocument/2006/relationships/image" Target="media/image102.png"/><Relationship Id="rId120" Type="http://schemas.openxmlformats.org/officeDocument/2006/relationships/image" Target="media/image103.png"/><Relationship Id="rId121" Type="http://schemas.openxmlformats.org/officeDocument/2006/relationships/image" Target="media/image104.png"/><Relationship Id="rId122" Type="http://schemas.openxmlformats.org/officeDocument/2006/relationships/image" Target="media/image105.png"/><Relationship Id="rId123" Type="http://schemas.openxmlformats.org/officeDocument/2006/relationships/image" Target="media/image106.png"/><Relationship Id="rId124" Type="http://schemas.openxmlformats.org/officeDocument/2006/relationships/image" Target="media/image107.png"/><Relationship Id="rId125" Type="http://schemas.openxmlformats.org/officeDocument/2006/relationships/image" Target="media/image108.png"/><Relationship Id="rId126" Type="http://schemas.openxmlformats.org/officeDocument/2006/relationships/image" Target="media/image109.png"/><Relationship Id="rId127" Type="http://schemas.openxmlformats.org/officeDocument/2006/relationships/footer" Target="footer10.xml"/><Relationship Id="rId128" Type="http://schemas.openxmlformats.org/officeDocument/2006/relationships/footer" Target="footer11.xml"/><Relationship Id="rId129" Type="http://schemas.openxmlformats.org/officeDocument/2006/relationships/hyperlink" Target="http://www.huixquilucan.gob.mx/" TargetMode="External"/><Relationship Id="rId130" Type="http://schemas.openxmlformats.org/officeDocument/2006/relationships/hyperlink" Target="http://200.66.90.178/index.php?option=com_" TargetMode="External"/><Relationship Id="rId131" Type="http://schemas.openxmlformats.org/officeDocument/2006/relationships/footer" Target="footer12.xml"/><Relationship Id="rId132" Type="http://schemas.openxmlformats.org/officeDocument/2006/relationships/footer" Target="footer13.xml"/><Relationship Id="rId133" Type="http://schemas.openxmlformats.org/officeDocument/2006/relationships/hyperlink" Target="http://200.66.90.178/index.php?option=com_content&amp;amp;task=view&amp;amp;id=122&amp;amp;Itemid=250" TargetMode="External"/><Relationship Id="rId134" Type="http://schemas.openxmlformats.org/officeDocument/2006/relationships/hyperlink" Target="http://www.comce.org.mx/eventos/documentos/2009/INVI-DESAYUNO-PRESIDENTE-COSTA-" TargetMode="External"/><Relationship Id="rId135" Type="http://schemas.openxmlformats.org/officeDocument/2006/relationships/hyperlink" Target="http://www.portal-digital.com.mx/notacompleta" TargetMode="External"/><Relationship Id="rId136" Type="http://schemas.openxmlformats.org/officeDocument/2006/relationships/hyperlink" Target="http://www.ieem.org.mx/" TargetMode="External"/><Relationship Id="rId137" Type="http://schemas.openxmlformats.org/officeDocument/2006/relationships/hyperlink" Target="http://www.cidac.org/" TargetMode="External"/><Relationship Id="rId138" Type="http://schemas.openxmlformats.org/officeDocument/2006/relationships/hyperlink" Target="http://www.conapo.gob.mx/" TargetMode="External"/><Relationship Id="rId139" Type="http://schemas.openxmlformats.org/officeDocument/2006/relationships/hyperlink" Target="http://www.edomex.gob.mx/portal/page/portal/edomex/" TargetMode="External"/><Relationship Id="rId140" Type="http://schemas.openxmlformats.org/officeDocument/2006/relationships/hyperlink" Target="http://www.ife.org.mx/" TargetMode="External"/><Relationship Id="rId141" Type="http://schemas.openxmlformats.org/officeDocument/2006/relationships/hyperlink" Target="http://www.inegi.gob.mx/" TargetMode="External"/><Relationship Id="rId142" Type="http://schemas.openxmlformats.org/officeDocument/2006/relationships/hyperlink" Target="http://www.inafed.gob.mx/wb2/INAFED/inafed_Municipios" TargetMode="External"/><Relationship Id="rId143" Type="http://schemas.openxmlformats.org/officeDocument/2006/relationships/hyperlink" Target="http://www.siem.gob.mx/siem2008/estadisticas" TargetMode="External"/><Relationship Id="rId144" Type="http://schemas.openxmlformats.org/officeDocument/2006/relationships/footer" Target="footer14.xml"/><Relationship Id="rId145" Type="http://schemas.openxmlformats.org/officeDocument/2006/relationships/image" Target="media/image110.png"/><Relationship Id="rId146" Type="http://schemas.openxmlformats.org/officeDocument/2006/relationships/image" Target="media/image111.png"/><Relationship Id="rId147" Type="http://schemas.openxmlformats.org/officeDocument/2006/relationships/image" Target="media/image112.png"/><Relationship Id="rId148" Type="http://schemas.openxmlformats.org/officeDocument/2006/relationships/image" Target="media/image113.png"/><Relationship Id="rId149" Type="http://schemas.openxmlformats.org/officeDocument/2006/relationships/image" Target="media/image114.png"/><Relationship Id="rId150" Type="http://schemas.openxmlformats.org/officeDocument/2006/relationships/image" Target="media/image115.png"/><Relationship Id="rId151" Type="http://schemas.openxmlformats.org/officeDocument/2006/relationships/image" Target="media/image116.png"/><Relationship Id="rId152" Type="http://schemas.openxmlformats.org/officeDocument/2006/relationships/image" Target="media/image117.png"/><Relationship Id="rId153" Type="http://schemas.openxmlformats.org/officeDocument/2006/relationships/image" Target="media/image118.png"/><Relationship Id="rId154" Type="http://schemas.openxmlformats.org/officeDocument/2006/relationships/image" Target="media/image119.png"/><Relationship Id="rId155" Type="http://schemas.openxmlformats.org/officeDocument/2006/relationships/image" Target="media/image120.png"/><Relationship Id="rId156" Type="http://schemas.openxmlformats.org/officeDocument/2006/relationships/image" Target="media/image121.png"/><Relationship Id="rId157" Type="http://schemas.openxmlformats.org/officeDocument/2006/relationships/image" Target="media/image122.png"/><Relationship Id="rId158" Type="http://schemas.openxmlformats.org/officeDocument/2006/relationships/image" Target="media/image123.png"/><Relationship Id="rId159" Type="http://schemas.openxmlformats.org/officeDocument/2006/relationships/image" Target="media/image124.png"/><Relationship Id="rId160" Type="http://schemas.openxmlformats.org/officeDocument/2006/relationships/image" Target="media/image125.png"/><Relationship Id="rId161" Type="http://schemas.openxmlformats.org/officeDocument/2006/relationships/image" Target="media/image126.png"/><Relationship Id="rId162" Type="http://schemas.openxmlformats.org/officeDocument/2006/relationships/image" Target="media/image127.png"/><Relationship Id="rId163" Type="http://schemas.openxmlformats.org/officeDocument/2006/relationships/image" Target="media/image128.png"/><Relationship Id="rId164" Type="http://schemas.openxmlformats.org/officeDocument/2006/relationships/image" Target="media/image129.png"/><Relationship Id="rId165" Type="http://schemas.openxmlformats.org/officeDocument/2006/relationships/image" Target="media/image130.png"/><Relationship Id="rId166" Type="http://schemas.openxmlformats.org/officeDocument/2006/relationships/image" Target="media/image131.png"/><Relationship Id="rId167" Type="http://schemas.openxmlformats.org/officeDocument/2006/relationships/image" Target="media/image132.png"/><Relationship Id="rId168" Type="http://schemas.openxmlformats.org/officeDocument/2006/relationships/image" Target="media/image133.png"/><Relationship Id="rId169" Type="http://schemas.openxmlformats.org/officeDocument/2006/relationships/image" Target="media/image134.png"/><Relationship Id="rId170" Type="http://schemas.openxmlformats.org/officeDocument/2006/relationships/image" Target="media/image135.png"/><Relationship Id="rId171" Type="http://schemas.openxmlformats.org/officeDocument/2006/relationships/image" Target="media/image136.png"/><Relationship Id="rId172" Type="http://schemas.openxmlformats.org/officeDocument/2006/relationships/image" Target="media/image137.png"/><Relationship Id="rId173" Type="http://schemas.openxmlformats.org/officeDocument/2006/relationships/image" Target="media/image138.png"/><Relationship Id="rId174" Type="http://schemas.openxmlformats.org/officeDocument/2006/relationships/image" Target="media/image139.png"/><Relationship Id="rId175" Type="http://schemas.openxmlformats.org/officeDocument/2006/relationships/image" Target="media/image140.png"/><Relationship Id="rId176" Type="http://schemas.openxmlformats.org/officeDocument/2006/relationships/image" Target="media/image141.png"/><Relationship Id="rId177" Type="http://schemas.openxmlformats.org/officeDocument/2006/relationships/image" Target="media/image142.png"/><Relationship Id="rId178" Type="http://schemas.openxmlformats.org/officeDocument/2006/relationships/image" Target="media/image143.png"/><Relationship Id="rId179" Type="http://schemas.openxmlformats.org/officeDocument/2006/relationships/image" Target="media/image144.png"/><Relationship Id="rId180" Type="http://schemas.openxmlformats.org/officeDocument/2006/relationships/image" Target="media/image145.png"/><Relationship Id="rId181" Type="http://schemas.openxmlformats.org/officeDocument/2006/relationships/image" Target="media/image146.png"/><Relationship Id="rId182" Type="http://schemas.openxmlformats.org/officeDocument/2006/relationships/image" Target="media/image147.png"/><Relationship Id="rId183" Type="http://schemas.openxmlformats.org/officeDocument/2006/relationships/image" Target="media/image148.png"/><Relationship Id="rId184" Type="http://schemas.openxmlformats.org/officeDocument/2006/relationships/image" Target="media/image149.png"/><Relationship Id="rId185" Type="http://schemas.openxmlformats.org/officeDocument/2006/relationships/image" Target="media/image150.png"/><Relationship Id="rId186" Type="http://schemas.openxmlformats.org/officeDocument/2006/relationships/image" Target="media/image151.png"/><Relationship Id="rId187" Type="http://schemas.openxmlformats.org/officeDocument/2006/relationships/footer" Target="footer15.xml"/><Relationship Id="rId188" Type="http://schemas.openxmlformats.org/officeDocument/2006/relationships/image" Target="media/image152.png"/><Relationship Id="rId189" Type="http://schemas.openxmlformats.org/officeDocument/2006/relationships/image" Target="media/image153.png"/><Relationship Id="rId190" Type="http://schemas.openxmlformats.org/officeDocument/2006/relationships/image" Target="media/image154.png"/><Relationship Id="rId191" Type="http://schemas.openxmlformats.org/officeDocument/2006/relationships/image" Target="media/image155.png"/><Relationship Id="rId192" Type="http://schemas.openxmlformats.org/officeDocument/2006/relationships/image" Target="media/image156.png"/><Relationship Id="rId193" Type="http://schemas.openxmlformats.org/officeDocument/2006/relationships/image" Target="media/image157.png"/><Relationship Id="rId194" Type="http://schemas.openxmlformats.org/officeDocument/2006/relationships/image" Target="media/image158.png"/><Relationship Id="rId195" Type="http://schemas.openxmlformats.org/officeDocument/2006/relationships/image" Target="media/image159.png"/><Relationship Id="rId196" Type="http://schemas.openxmlformats.org/officeDocument/2006/relationships/image" Target="media/image160.png"/><Relationship Id="rId197" Type="http://schemas.openxmlformats.org/officeDocument/2006/relationships/image" Target="media/image161.png"/><Relationship Id="rId198" Type="http://schemas.openxmlformats.org/officeDocument/2006/relationships/image" Target="media/image162.png"/><Relationship Id="rId199" Type="http://schemas.openxmlformats.org/officeDocument/2006/relationships/image" Target="media/image163.png"/><Relationship Id="rId200" Type="http://schemas.openxmlformats.org/officeDocument/2006/relationships/image" Target="media/image164.png"/><Relationship Id="rId201" Type="http://schemas.openxmlformats.org/officeDocument/2006/relationships/image" Target="media/image165.png"/><Relationship Id="rId202" Type="http://schemas.openxmlformats.org/officeDocument/2006/relationships/image" Target="media/image166.png"/><Relationship Id="rId203" Type="http://schemas.openxmlformats.org/officeDocument/2006/relationships/image" Target="media/image167.png"/><Relationship Id="rId204" Type="http://schemas.openxmlformats.org/officeDocument/2006/relationships/image" Target="media/image168.png"/><Relationship Id="rId205" Type="http://schemas.openxmlformats.org/officeDocument/2006/relationships/image" Target="media/image169.png"/><Relationship Id="rId206" Type="http://schemas.openxmlformats.org/officeDocument/2006/relationships/image" Target="media/image170.png"/><Relationship Id="rId207" Type="http://schemas.openxmlformats.org/officeDocument/2006/relationships/image" Target="media/image171.png"/><Relationship Id="rId208" Type="http://schemas.openxmlformats.org/officeDocument/2006/relationships/image" Target="media/image172.png"/><Relationship Id="rId209" Type="http://schemas.openxmlformats.org/officeDocument/2006/relationships/image" Target="media/image173.png"/><Relationship Id="rId210" Type="http://schemas.openxmlformats.org/officeDocument/2006/relationships/image" Target="media/image174.png"/><Relationship Id="rId211" Type="http://schemas.openxmlformats.org/officeDocument/2006/relationships/image" Target="media/image175.png"/><Relationship Id="rId212" Type="http://schemas.openxmlformats.org/officeDocument/2006/relationships/image" Target="media/image176.png"/><Relationship Id="rId213" Type="http://schemas.openxmlformats.org/officeDocument/2006/relationships/image" Target="media/image177.png"/><Relationship Id="rId214" Type="http://schemas.openxmlformats.org/officeDocument/2006/relationships/image" Target="media/image178.png"/><Relationship Id="rId215" Type="http://schemas.openxmlformats.org/officeDocument/2006/relationships/image" Target="media/image179.png"/><Relationship Id="rId216" Type="http://schemas.openxmlformats.org/officeDocument/2006/relationships/image" Target="media/image180.png"/><Relationship Id="rId217" Type="http://schemas.openxmlformats.org/officeDocument/2006/relationships/image" Target="media/image181.png"/><Relationship Id="rId218" Type="http://schemas.openxmlformats.org/officeDocument/2006/relationships/image" Target="media/image182.png"/><Relationship Id="rId219" Type="http://schemas.openxmlformats.org/officeDocument/2006/relationships/image" Target="media/image183.png"/><Relationship Id="rId220" Type="http://schemas.openxmlformats.org/officeDocument/2006/relationships/image" Target="media/image184.png"/><Relationship Id="rId221" Type="http://schemas.openxmlformats.org/officeDocument/2006/relationships/image" Target="media/image185.png"/><Relationship Id="rId222" Type="http://schemas.openxmlformats.org/officeDocument/2006/relationships/image" Target="media/image186.png"/><Relationship Id="rId223" Type="http://schemas.openxmlformats.org/officeDocument/2006/relationships/image" Target="media/image187.png"/><Relationship Id="rId224" Type="http://schemas.openxmlformats.org/officeDocument/2006/relationships/footer" Target="footer16.xml"/><Relationship Id="rId225" Type="http://schemas.openxmlformats.org/officeDocument/2006/relationships/image" Target="media/image188.png"/><Relationship Id="rId226" Type="http://schemas.openxmlformats.org/officeDocument/2006/relationships/image" Target="media/image189.png"/><Relationship Id="rId227" Type="http://schemas.openxmlformats.org/officeDocument/2006/relationships/image" Target="media/image190.png"/><Relationship Id="rId228" Type="http://schemas.openxmlformats.org/officeDocument/2006/relationships/image" Target="media/image191.png"/><Relationship Id="rId229" Type="http://schemas.openxmlformats.org/officeDocument/2006/relationships/image" Target="media/image192.png"/><Relationship Id="rId230" Type="http://schemas.openxmlformats.org/officeDocument/2006/relationships/image" Target="media/image193.png"/><Relationship Id="rId231" Type="http://schemas.openxmlformats.org/officeDocument/2006/relationships/image" Target="media/image194.png"/><Relationship Id="rId232" Type="http://schemas.openxmlformats.org/officeDocument/2006/relationships/image" Target="media/image195.png"/><Relationship Id="rId233" Type="http://schemas.openxmlformats.org/officeDocument/2006/relationships/image" Target="media/image196.png"/><Relationship Id="rId234" Type="http://schemas.openxmlformats.org/officeDocument/2006/relationships/image" Target="media/image197.png"/><Relationship Id="rId235" Type="http://schemas.openxmlformats.org/officeDocument/2006/relationships/image" Target="media/image198.png"/><Relationship Id="rId236" Type="http://schemas.openxmlformats.org/officeDocument/2006/relationships/image" Target="media/image199.png"/><Relationship Id="rId237" Type="http://schemas.openxmlformats.org/officeDocument/2006/relationships/image" Target="media/image200.png"/><Relationship Id="rId238" Type="http://schemas.openxmlformats.org/officeDocument/2006/relationships/image" Target="media/image201.png"/><Relationship Id="rId239" Type="http://schemas.openxmlformats.org/officeDocument/2006/relationships/image" Target="media/image202.png"/><Relationship Id="rId240" Type="http://schemas.openxmlformats.org/officeDocument/2006/relationships/image" Target="media/image203.png"/><Relationship Id="rId241" Type="http://schemas.openxmlformats.org/officeDocument/2006/relationships/image" Target="media/image204.png"/><Relationship Id="rId242" Type="http://schemas.openxmlformats.org/officeDocument/2006/relationships/image" Target="media/image205.png"/><Relationship Id="rId243" Type="http://schemas.openxmlformats.org/officeDocument/2006/relationships/image" Target="media/image206.png"/><Relationship Id="rId244" Type="http://schemas.openxmlformats.org/officeDocument/2006/relationships/image" Target="media/image207.png"/><Relationship Id="rId245" Type="http://schemas.openxmlformats.org/officeDocument/2006/relationships/image" Target="media/image208.png"/><Relationship Id="rId246" Type="http://schemas.openxmlformats.org/officeDocument/2006/relationships/image" Target="media/image209.png"/><Relationship Id="rId247" Type="http://schemas.openxmlformats.org/officeDocument/2006/relationships/image" Target="media/image210.png"/><Relationship Id="rId248" Type="http://schemas.openxmlformats.org/officeDocument/2006/relationships/image" Target="media/image211.png"/><Relationship Id="rId249" Type="http://schemas.openxmlformats.org/officeDocument/2006/relationships/image" Target="media/image212.png"/><Relationship Id="rId250" Type="http://schemas.openxmlformats.org/officeDocument/2006/relationships/image" Target="media/image213.png"/><Relationship Id="rId251" Type="http://schemas.openxmlformats.org/officeDocument/2006/relationships/image" Target="media/image214.png"/><Relationship Id="rId252" Type="http://schemas.openxmlformats.org/officeDocument/2006/relationships/image" Target="media/image215.png"/><Relationship Id="rId253" Type="http://schemas.openxmlformats.org/officeDocument/2006/relationships/image" Target="media/image216.png"/><Relationship Id="rId254" Type="http://schemas.openxmlformats.org/officeDocument/2006/relationships/image" Target="media/image217.png"/><Relationship Id="rId255" Type="http://schemas.openxmlformats.org/officeDocument/2006/relationships/image" Target="media/image218.png"/><Relationship Id="rId256" Type="http://schemas.openxmlformats.org/officeDocument/2006/relationships/image" Target="media/image219.png"/><Relationship Id="rId257" Type="http://schemas.openxmlformats.org/officeDocument/2006/relationships/image" Target="media/image220.png"/><Relationship Id="rId258" Type="http://schemas.openxmlformats.org/officeDocument/2006/relationships/image" Target="media/image221.png"/><Relationship Id="rId259" Type="http://schemas.openxmlformats.org/officeDocument/2006/relationships/image" Target="media/image222.png"/><Relationship Id="rId260" Type="http://schemas.openxmlformats.org/officeDocument/2006/relationships/image" Target="media/image223.png"/><Relationship Id="rId261" Type="http://schemas.openxmlformats.org/officeDocument/2006/relationships/image" Target="media/image224.png"/><Relationship Id="rId262" Type="http://schemas.openxmlformats.org/officeDocument/2006/relationships/image" Target="media/image225.png"/><Relationship Id="rId263" Type="http://schemas.openxmlformats.org/officeDocument/2006/relationships/image" Target="media/image226.png"/><Relationship Id="rId264" Type="http://schemas.openxmlformats.org/officeDocument/2006/relationships/image" Target="media/image227.png"/><Relationship Id="rId265" Type="http://schemas.openxmlformats.org/officeDocument/2006/relationships/image" Target="media/image228.png"/><Relationship Id="rId266" Type="http://schemas.openxmlformats.org/officeDocument/2006/relationships/image" Target="media/image229.png"/><Relationship Id="rId267" Type="http://schemas.openxmlformats.org/officeDocument/2006/relationships/image" Target="media/image230.png"/><Relationship Id="rId268" Type="http://schemas.openxmlformats.org/officeDocument/2006/relationships/image" Target="media/image231.png"/><Relationship Id="rId269" Type="http://schemas.openxmlformats.org/officeDocument/2006/relationships/image" Target="media/image232.png"/><Relationship Id="rId270" Type="http://schemas.openxmlformats.org/officeDocument/2006/relationships/image" Target="media/image233.png"/><Relationship Id="rId271" Type="http://schemas.openxmlformats.org/officeDocument/2006/relationships/image" Target="media/image234.png"/><Relationship Id="rId272" Type="http://schemas.openxmlformats.org/officeDocument/2006/relationships/image" Target="media/image235.png"/><Relationship Id="rId273" Type="http://schemas.openxmlformats.org/officeDocument/2006/relationships/image" Target="media/image236.png"/><Relationship Id="rId274" Type="http://schemas.openxmlformats.org/officeDocument/2006/relationships/image" Target="media/image237.png"/><Relationship Id="rId275" Type="http://schemas.openxmlformats.org/officeDocument/2006/relationships/image" Target="media/image238.png"/><Relationship Id="rId276" Type="http://schemas.openxmlformats.org/officeDocument/2006/relationships/image" Target="media/image239.png"/><Relationship Id="rId277" Type="http://schemas.openxmlformats.org/officeDocument/2006/relationships/image" Target="media/image240.png"/><Relationship Id="rId278" Type="http://schemas.openxmlformats.org/officeDocument/2006/relationships/image" Target="media/image241.png"/><Relationship Id="rId279" Type="http://schemas.openxmlformats.org/officeDocument/2006/relationships/image" Target="media/image242.png"/><Relationship Id="rId280" Type="http://schemas.openxmlformats.org/officeDocument/2006/relationships/image" Target="media/image243.png"/><Relationship Id="rId281" Type="http://schemas.openxmlformats.org/officeDocument/2006/relationships/image" Target="media/image244.png"/><Relationship Id="rId282" Type="http://schemas.openxmlformats.org/officeDocument/2006/relationships/image" Target="media/image245.png"/><Relationship Id="rId283" Type="http://schemas.openxmlformats.org/officeDocument/2006/relationships/image" Target="media/image246.png"/><Relationship Id="rId284" Type="http://schemas.openxmlformats.org/officeDocument/2006/relationships/image" Target="media/image247.png"/><Relationship Id="rId285" Type="http://schemas.openxmlformats.org/officeDocument/2006/relationships/footer" Target="footer17.xml"/><Relationship Id="rId286" Type="http://schemas.openxmlformats.org/officeDocument/2006/relationships/hyperlink" Target="http://www.ixtapan.com.mx/" TargetMode="External"/><Relationship Id="rId287" Type="http://schemas.openxmlformats.org/officeDocument/2006/relationships/hyperlink" Target="http://www/" TargetMode="External"/><Relationship Id="rId288" Type="http://schemas.openxmlformats.org/officeDocument/2006/relationships/image" Target="media/image248.png"/><Relationship Id="rId289" Type="http://schemas.openxmlformats.org/officeDocument/2006/relationships/image" Target="media/image249.png"/><Relationship Id="rId290" Type="http://schemas.openxmlformats.org/officeDocument/2006/relationships/image" Target="media/image250.png"/><Relationship Id="rId291" Type="http://schemas.openxmlformats.org/officeDocument/2006/relationships/image" Target="media/image251.png"/><Relationship Id="rId292" Type="http://schemas.openxmlformats.org/officeDocument/2006/relationships/image" Target="media/image252.png"/><Relationship Id="rId293" Type="http://schemas.openxmlformats.org/officeDocument/2006/relationships/image" Target="media/image253.png"/><Relationship Id="rId294" Type="http://schemas.openxmlformats.org/officeDocument/2006/relationships/image" Target="media/image254.png"/><Relationship Id="rId295" Type="http://schemas.openxmlformats.org/officeDocument/2006/relationships/image" Target="media/image255.png"/><Relationship Id="rId296" Type="http://schemas.openxmlformats.org/officeDocument/2006/relationships/image" Target="media/image256.png"/><Relationship Id="rId297" Type="http://schemas.openxmlformats.org/officeDocument/2006/relationships/image" Target="media/image257.png"/><Relationship Id="rId298" Type="http://schemas.openxmlformats.org/officeDocument/2006/relationships/image" Target="media/image258.png"/><Relationship Id="rId299" Type="http://schemas.openxmlformats.org/officeDocument/2006/relationships/image" Target="media/image259.png"/><Relationship Id="rId300" Type="http://schemas.openxmlformats.org/officeDocument/2006/relationships/image" Target="media/image260.png"/><Relationship Id="rId301" Type="http://schemas.openxmlformats.org/officeDocument/2006/relationships/image" Target="media/image261.png"/><Relationship Id="rId302" Type="http://schemas.openxmlformats.org/officeDocument/2006/relationships/image" Target="media/image262.png"/><Relationship Id="rId303" Type="http://schemas.openxmlformats.org/officeDocument/2006/relationships/footer" Target="footer18.xml"/><Relationship Id="rId304" Type="http://schemas.openxmlformats.org/officeDocument/2006/relationships/image" Target="media/image263.png"/><Relationship Id="rId305" Type="http://schemas.openxmlformats.org/officeDocument/2006/relationships/image" Target="media/image264.png"/><Relationship Id="rId306" Type="http://schemas.openxmlformats.org/officeDocument/2006/relationships/image" Target="media/image265.png"/><Relationship Id="rId307" Type="http://schemas.openxmlformats.org/officeDocument/2006/relationships/hyperlink" Target="http://www.pri.org.mx/" TargetMode="External"/><Relationship Id="rId308" Type="http://schemas.openxmlformats.org/officeDocument/2006/relationships/footer" Target="footer19.xml"/><Relationship Id="rId309" Type="http://schemas.openxmlformats.org/officeDocument/2006/relationships/hyperlink" Target="http://www.conapo.org.mx/" TargetMode="External"/><Relationship Id="rId310" Type="http://schemas.openxmlformats.org/officeDocument/2006/relationships/hyperlink" Target="http://www.estadodemexico.org/ixtapandelasal.com" TargetMode="External"/><Relationship Id="rId311" Type="http://schemas.openxmlformats.org/officeDocument/2006/relationships/hyperlink" Target="http://www.inafed.org.mx/" TargetMode="External"/><Relationship Id="rId312" Type="http://schemas.openxmlformats.org/officeDocument/2006/relationships/hyperlink" Target="http://www.inegi.org.mx/" TargetMode="External"/><Relationship Id="rId313" Type="http://schemas.openxmlformats.org/officeDocument/2006/relationships/hyperlink" Target="http://www.pan.org.mx/" TargetMode="External"/><Relationship Id="rId314" Type="http://schemas.openxmlformats.org/officeDocument/2006/relationships/hyperlink" Target="http://www.pri.org/" TargetMode="External"/><Relationship Id="rId315" Type="http://schemas.openxmlformats.org/officeDocument/2006/relationships/hyperlink" Target="http://www.jornada.unam.mx/2006/02/12/" TargetMode="External"/><Relationship Id="rId316" Type="http://schemas.openxmlformats.org/officeDocument/2006/relationships/footer" Target="footer20.xml"/><Relationship Id="rId317" Type="http://schemas.openxmlformats.org/officeDocument/2006/relationships/image" Target="media/image266.png"/><Relationship Id="rId318" Type="http://schemas.openxmlformats.org/officeDocument/2006/relationships/image" Target="media/image267.png"/><Relationship Id="rId319" Type="http://schemas.openxmlformats.org/officeDocument/2006/relationships/image" Target="media/image268.png"/><Relationship Id="rId320" Type="http://schemas.openxmlformats.org/officeDocument/2006/relationships/image" Target="media/image269.png"/><Relationship Id="rId321" Type="http://schemas.openxmlformats.org/officeDocument/2006/relationships/image" Target="media/image270.png"/><Relationship Id="rId322" Type="http://schemas.openxmlformats.org/officeDocument/2006/relationships/image" Target="media/image271.png"/><Relationship Id="rId323" Type="http://schemas.openxmlformats.org/officeDocument/2006/relationships/image" Target="media/image272.png"/><Relationship Id="rId324" Type="http://schemas.openxmlformats.org/officeDocument/2006/relationships/image" Target="media/image273.png"/><Relationship Id="rId325" Type="http://schemas.openxmlformats.org/officeDocument/2006/relationships/image" Target="media/image274.png"/><Relationship Id="rId326" Type="http://schemas.openxmlformats.org/officeDocument/2006/relationships/image" Target="media/image275.png"/><Relationship Id="rId327" Type="http://schemas.openxmlformats.org/officeDocument/2006/relationships/image" Target="media/image276.png"/><Relationship Id="rId328" Type="http://schemas.openxmlformats.org/officeDocument/2006/relationships/image" Target="media/image277.png"/><Relationship Id="rId329" Type="http://schemas.openxmlformats.org/officeDocument/2006/relationships/image" Target="media/image278.png"/><Relationship Id="rId330" Type="http://schemas.openxmlformats.org/officeDocument/2006/relationships/image" Target="media/image279.png"/><Relationship Id="rId331" Type="http://schemas.openxmlformats.org/officeDocument/2006/relationships/image" Target="media/image280.png"/><Relationship Id="rId332" Type="http://schemas.openxmlformats.org/officeDocument/2006/relationships/image" Target="media/image281.png"/><Relationship Id="rId333" Type="http://schemas.openxmlformats.org/officeDocument/2006/relationships/image" Target="media/image282.png"/><Relationship Id="rId334" Type="http://schemas.openxmlformats.org/officeDocument/2006/relationships/image" Target="media/image283.png"/><Relationship Id="rId335" Type="http://schemas.openxmlformats.org/officeDocument/2006/relationships/image" Target="media/image284.png"/><Relationship Id="rId336" Type="http://schemas.openxmlformats.org/officeDocument/2006/relationships/image" Target="media/image285.png"/><Relationship Id="rId337" Type="http://schemas.openxmlformats.org/officeDocument/2006/relationships/image" Target="media/image286.png"/><Relationship Id="rId338" Type="http://schemas.openxmlformats.org/officeDocument/2006/relationships/image" Target="media/image287.png"/><Relationship Id="rId339" Type="http://schemas.openxmlformats.org/officeDocument/2006/relationships/image" Target="media/image288.png"/><Relationship Id="rId340" Type="http://schemas.openxmlformats.org/officeDocument/2006/relationships/image" Target="media/image289.png"/><Relationship Id="rId341" Type="http://schemas.openxmlformats.org/officeDocument/2006/relationships/image" Target="media/image290.png"/><Relationship Id="rId342" Type="http://schemas.openxmlformats.org/officeDocument/2006/relationships/image" Target="media/image291.png"/><Relationship Id="rId343" Type="http://schemas.openxmlformats.org/officeDocument/2006/relationships/image" Target="media/image292.png"/><Relationship Id="rId344" Type="http://schemas.openxmlformats.org/officeDocument/2006/relationships/image" Target="media/image293.png"/><Relationship Id="rId345" Type="http://schemas.openxmlformats.org/officeDocument/2006/relationships/image" Target="media/image294.png"/><Relationship Id="rId346" Type="http://schemas.openxmlformats.org/officeDocument/2006/relationships/image" Target="media/image295.png"/><Relationship Id="rId347" Type="http://schemas.openxmlformats.org/officeDocument/2006/relationships/image" Target="media/image296.png"/><Relationship Id="rId348" Type="http://schemas.openxmlformats.org/officeDocument/2006/relationships/image" Target="media/image297.png"/><Relationship Id="rId349" Type="http://schemas.openxmlformats.org/officeDocument/2006/relationships/image" Target="media/image298.png"/><Relationship Id="rId350" Type="http://schemas.openxmlformats.org/officeDocument/2006/relationships/image" Target="media/image299.png"/><Relationship Id="rId351" Type="http://schemas.openxmlformats.org/officeDocument/2006/relationships/image" Target="media/image300.png"/><Relationship Id="rId352" Type="http://schemas.openxmlformats.org/officeDocument/2006/relationships/image" Target="media/image301.png"/><Relationship Id="rId353" Type="http://schemas.openxmlformats.org/officeDocument/2006/relationships/image" Target="media/image302.png"/><Relationship Id="rId354" Type="http://schemas.openxmlformats.org/officeDocument/2006/relationships/image" Target="media/image303.png"/><Relationship Id="rId355" Type="http://schemas.openxmlformats.org/officeDocument/2006/relationships/image" Target="media/image304.png"/><Relationship Id="rId356" Type="http://schemas.openxmlformats.org/officeDocument/2006/relationships/image" Target="media/image305.png"/><Relationship Id="rId357" Type="http://schemas.openxmlformats.org/officeDocument/2006/relationships/image" Target="media/image306.png"/><Relationship Id="rId358" Type="http://schemas.openxmlformats.org/officeDocument/2006/relationships/image" Target="media/image307.png"/><Relationship Id="rId359" Type="http://schemas.openxmlformats.org/officeDocument/2006/relationships/image" Target="media/image308.png"/><Relationship Id="rId360" Type="http://schemas.openxmlformats.org/officeDocument/2006/relationships/image" Target="media/image309.png"/><Relationship Id="rId361" Type="http://schemas.openxmlformats.org/officeDocument/2006/relationships/image" Target="media/image310.png"/><Relationship Id="rId362" Type="http://schemas.openxmlformats.org/officeDocument/2006/relationships/image" Target="media/image311.png"/><Relationship Id="rId363" Type="http://schemas.openxmlformats.org/officeDocument/2006/relationships/image" Target="media/image312.png"/><Relationship Id="rId364" Type="http://schemas.openxmlformats.org/officeDocument/2006/relationships/footer" Target="footer21.xml"/><Relationship Id="rId365" Type="http://schemas.openxmlformats.org/officeDocument/2006/relationships/footer" Target="footer22.xml"/><Relationship Id="rId366" Type="http://schemas.openxmlformats.org/officeDocument/2006/relationships/image" Target="media/image313.png"/><Relationship Id="rId367" Type="http://schemas.openxmlformats.org/officeDocument/2006/relationships/image" Target="media/image314.png"/><Relationship Id="rId368" Type="http://schemas.openxmlformats.org/officeDocument/2006/relationships/image" Target="media/image315.png"/><Relationship Id="rId369" Type="http://schemas.openxmlformats.org/officeDocument/2006/relationships/image" Target="media/image316.png"/><Relationship Id="rId370" Type="http://schemas.openxmlformats.org/officeDocument/2006/relationships/image" Target="media/image317.png"/><Relationship Id="rId371" Type="http://schemas.openxmlformats.org/officeDocument/2006/relationships/image" Target="media/image318.png"/><Relationship Id="rId372" Type="http://schemas.openxmlformats.org/officeDocument/2006/relationships/image" Target="media/image319.png"/><Relationship Id="rId373" Type="http://schemas.openxmlformats.org/officeDocument/2006/relationships/image" Target="media/image320.png"/><Relationship Id="rId374" Type="http://schemas.openxmlformats.org/officeDocument/2006/relationships/image" Target="media/image321.png"/><Relationship Id="rId375" Type="http://schemas.openxmlformats.org/officeDocument/2006/relationships/image" Target="media/image322.png"/><Relationship Id="rId376" Type="http://schemas.openxmlformats.org/officeDocument/2006/relationships/image" Target="media/image323.png"/><Relationship Id="rId377" Type="http://schemas.openxmlformats.org/officeDocument/2006/relationships/image" Target="media/image324.png"/><Relationship Id="rId378" Type="http://schemas.openxmlformats.org/officeDocument/2006/relationships/image" Target="media/image325.png"/><Relationship Id="rId379" Type="http://schemas.openxmlformats.org/officeDocument/2006/relationships/image" Target="media/image326.png"/><Relationship Id="rId380" Type="http://schemas.openxmlformats.org/officeDocument/2006/relationships/image" Target="media/image327.png"/><Relationship Id="rId381" Type="http://schemas.openxmlformats.org/officeDocument/2006/relationships/image" Target="media/image328.png"/><Relationship Id="rId382" Type="http://schemas.openxmlformats.org/officeDocument/2006/relationships/image" Target="media/image329.png"/><Relationship Id="rId383" Type="http://schemas.openxmlformats.org/officeDocument/2006/relationships/image" Target="media/image330.png"/><Relationship Id="rId384" Type="http://schemas.openxmlformats.org/officeDocument/2006/relationships/image" Target="media/image331.png"/><Relationship Id="rId385" Type="http://schemas.openxmlformats.org/officeDocument/2006/relationships/image" Target="media/image332.png"/><Relationship Id="rId386" Type="http://schemas.openxmlformats.org/officeDocument/2006/relationships/image" Target="media/image333.png"/><Relationship Id="rId387" Type="http://schemas.openxmlformats.org/officeDocument/2006/relationships/image" Target="media/image334.png"/><Relationship Id="rId388" Type="http://schemas.openxmlformats.org/officeDocument/2006/relationships/image" Target="media/image335.png"/><Relationship Id="rId389" Type="http://schemas.openxmlformats.org/officeDocument/2006/relationships/image" Target="media/image336.png"/><Relationship Id="rId390" Type="http://schemas.openxmlformats.org/officeDocument/2006/relationships/image" Target="media/image337.png"/><Relationship Id="rId391" Type="http://schemas.openxmlformats.org/officeDocument/2006/relationships/image" Target="media/image338.png"/><Relationship Id="rId392" Type="http://schemas.openxmlformats.org/officeDocument/2006/relationships/image" Target="media/image339.png"/><Relationship Id="rId393" Type="http://schemas.openxmlformats.org/officeDocument/2006/relationships/image" Target="media/image340.png"/><Relationship Id="rId394" Type="http://schemas.openxmlformats.org/officeDocument/2006/relationships/image" Target="media/image341.png"/><Relationship Id="rId395" Type="http://schemas.openxmlformats.org/officeDocument/2006/relationships/image" Target="media/image342.png"/><Relationship Id="rId396" Type="http://schemas.openxmlformats.org/officeDocument/2006/relationships/image" Target="media/image343.png"/><Relationship Id="rId397" Type="http://schemas.openxmlformats.org/officeDocument/2006/relationships/image" Target="media/image344.png"/><Relationship Id="rId398" Type="http://schemas.openxmlformats.org/officeDocument/2006/relationships/image" Target="media/image345.png"/><Relationship Id="rId399" Type="http://schemas.openxmlformats.org/officeDocument/2006/relationships/image" Target="media/image346.png"/><Relationship Id="rId400" Type="http://schemas.openxmlformats.org/officeDocument/2006/relationships/image" Target="media/image347.png"/><Relationship Id="rId401" Type="http://schemas.openxmlformats.org/officeDocument/2006/relationships/image" Target="media/image348.png"/><Relationship Id="rId402" Type="http://schemas.openxmlformats.org/officeDocument/2006/relationships/image" Target="media/image349.png"/><Relationship Id="rId403" Type="http://schemas.openxmlformats.org/officeDocument/2006/relationships/image" Target="media/image350.png"/><Relationship Id="rId404" Type="http://schemas.openxmlformats.org/officeDocument/2006/relationships/image" Target="media/image351.png"/><Relationship Id="rId405" Type="http://schemas.openxmlformats.org/officeDocument/2006/relationships/footer" Target="footer23.xml"/><Relationship Id="rId406" Type="http://schemas.openxmlformats.org/officeDocument/2006/relationships/image" Target="media/image352.png"/><Relationship Id="rId407" Type="http://schemas.openxmlformats.org/officeDocument/2006/relationships/image" Target="media/image353.png"/><Relationship Id="rId408" Type="http://schemas.openxmlformats.org/officeDocument/2006/relationships/image" Target="media/image354.png"/><Relationship Id="rId409" Type="http://schemas.openxmlformats.org/officeDocument/2006/relationships/image" Target="media/image355.png"/><Relationship Id="rId410" Type="http://schemas.openxmlformats.org/officeDocument/2006/relationships/image" Target="media/image356.png"/><Relationship Id="rId411" Type="http://schemas.openxmlformats.org/officeDocument/2006/relationships/image" Target="media/image357.png"/><Relationship Id="rId412" Type="http://schemas.openxmlformats.org/officeDocument/2006/relationships/image" Target="media/image358.png"/><Relationship Id="rId413" Type="http://schemas.openxmlformats.org/officeDocument/2006/relationships/image" Target="media/image359.png"/><Relationship Id="rId414" Type="http://schemas.openxmlformats.org/officeDocument/2006/relationships/image" Target="media/image360.png"/><Relationship Id="rId415" Type="http://schemas.openxmlformats.org/officeDocument/2006/relationships/image" Target="media/image361.png"/><Relationship Id="rId416" Type="http://schemas.openxmlformats.org/officeDocument/2006/relationships/image" Target="media/image362.png"/><Relationship Id="rId417" Type="http://schemas.openxmlformats.org/officeDocument/2006/relationships/image" Target="media/image363.png"/><Relationship Id="rId418" Type="http://schemas.openxmlformats.org/officeDocument/2006/relationships/image" Target="media/image364.png"/><Relationship Id="rId419" Type="http://schemas.openxmlformats.org/officeDocument/2006/relationships/image" Target="media/image365.png"/><Relationship Id="rId420" Type="http://schemas.openxmlformats.org/officeDocument/2006/relationships/image" Target="media/image366.png"/><Relationship Id="rId421" Type="http://schemas.openxmlformats.org/officeDocument/2006/relationships/image" Target="media/image367.png"/><Relationship Id="rId422" Type="http://schemas.openxmlformats.org/officeDocument/2006/relationships/image" Target="media/image368.png"/><Relationship Id="rId423" Type="http://schemas.openxmlformats.org/officeDocument/2006/relationships/image" Target="media/image369.png"/><Relationship Id="rId424" Type="http://schemas.openxmlformats.org/officeDocument/2006/relationships/image" Target="media/image370.png"/><Relationship Id="rId425" Type="http://schemas.openxmlformats.org/officeDocument/2006/relationships/image" Target="media/image371.png"/><Relationship Id="rId426" Type="http://schemas.openxmlformats.org/officeDocument/2006/relationships/image" Target="media/image372.png"/><Relationship Id="rId427" Type="http://schemas.openxmlformats.org/officeDocument/2006/relationships/image" Target="media/image373.png"/><Relationship Id="rId428" Type="http://schemas.openxmlformats.org/officeDocument/2006/relationships/image" Target="media/image374.png"/><Relationship Id="rId429" Type="http://schemas.openxmlformats.org/officeDocument/2006/relationships/image" Target="media/image375.png"/><Relationship Id="rId430" Type="http://schemas.openxmlformats.org/officeDocument/2006/relationships/image" Target="media/image376.png"/><Relationship Id="rId431" Type="http://schemas.openxmlformats.org/officeDocument/2006/relationships/image" Target="media/image377.png"/><Relationship Id="rId432" Type="http://schemas.openxmlformats.org/officeDocument/2006/relationships/image" Target="media/image378.png"/><Relationship Id="rId433" Type="http://schemas.openxmlformats.org/officeDocument/2006/relationships/image" Target="media/image379.png"/><Relationship Id="rId434" Type="http://schemas.openxmlformats.org/officeDocument/2006/relationships/image" Target="media/image380.png"/><Relationship Id="rId435" Type="http://schemas.openxmlformats.org/officeDocument/2006/relationships/image" Target="media/image381.png"/><Relationship Id="rId436" Type="http://schemas.openxmlformats.org/officeDocument/2006/relationships/image" Target="media/image382.png"/><Relationship Id="rId437" Type="http://schemas.openxmlformats.org/officeDocument/2006/relationships/image" Target="media/image383.png"/><Relationship Id="rId438" Type="http://schemas.openxmlformats.org/officeDocument/2006/relationships/image" Target="media/image384.png"/><Relationship Id="rId439" Type="http://schemas.openxmlformats.org/officeDocument/2006/relationships/image" Target="media/image385.png"/><Relationship Id="rId440" Type="http://schemas.openxmlformats.org/officeDocument/2006/relationships/image" Target="media/image386.png"/><Relationship Id="rId441" Type="http://schemas.openxmlformats.org/officeDocument/2006/relationships/image" Target="media/image387.png"/><Relationship Id="rId442" Type="http://schemas.openxmlformats.org/officeDocument/2006/relationships/image" Target="media/image388.png"/><Relationship Id="rId443" Type="http://schemas.openxmlformats.org/officeDocument/2006/relationships/image" Target="media/image389.png"/><Relationship Id="rId444" Type="http://schemas.openxmlformats.org/officeDocument/2006/relationships/image" Target="media/image390.png"/><Relationship Id="rId445" Type="http://schemas.openxmlformats.org/officeDocument/2006/relationships/image" Target="media/image391.png"/><Relationship Id="rId446" Type="http://schemas.openxmlformats.org/officeDocument/2006/relationships/image" Target="media/image392.png"/><Relationship Id="rId447" Type="http://schemas.openxmlformats.org/officeDocument/2006/relationships/image" Target="media/image393.png"/><Relationship Id="rId448" Type="http://schemas.openxmlformats.org/officeDocument/2006/relationships/image" Target="media/image394.png"/><Relationship Id="rId449" Type="http://schemas.openxmlformats.org/officeDocument/2006/relationships/image" Target="media/image395.png"/><Relationship Id="rId450" Type="http://schemas.openxmlformats.org/officeDocument/2006/relationships/image" Target="media/image396.png"/><Relationship Id="rId451" Type="http://schemas.openxmlformats.org/officeDocument/2006/relationships/image" Target="media/image397.png"/><Relationship Id="rId452" Type="http://schemas.openxmlformats.org/officeDocument/2006/relationships/image" Target="media/image398.png"/><Relationship Id="rId453" Type="http://schemas.openxmlformats.org/officeDocument/2006/relationships/image" Target="media/image399.png"/><Relationship Id="rId454" Type="http://schemas.openxmlformats.org/officeDocument/2006/relationships/image" Target="media/image400.png"/><Relationship Id="rId455" Type="http://schemas.openxmlformats.org/officeDocument/2006/relationships/image" Target="media/image401.png"/><Relationship Id="rId456" Type="http://schemas.openxmlformats.org/officeDocument/2006/relationships/image" Target="media/image402.png"/><Relationship Id="rId457" Type="http://schemas.openxmlformats.org/officeDocument/2006/relationships/image" Target="media/image403.png"/><Relationship Id="rId458" Type="http://schemas.openxmlformats.org/officeDocument/2006/relationships/image" Target="media/image404.png"/><Relationship Id="rId459" Type="http://schemas.openxmlformats.org/officeDocument/2006/relationships/image" Target="media/image405.png"/><Relationship Id="rId460" Type="http://schemas.openxmlformats.org/officeDocument/2006/relationships/image" Target="media/image406.png"/><Relationship Id="rId461" Type="http://schemas.openxmlformats.org/officeDocument/2006/relationships/image" Target="media/image407.png"/><Relationship Id="rId462" Type="http://schemas.openxmlformats.org/officeDocument/2006/relationships/image" Target="media/image408.png"/><Relationship Id="rId463" Type="http://schemas.openxmlformats.org/officeDocument/2006/relationships/image" Target="media/image409.png"/><Relationship Id="rId464" Type="http://schemas.openxmlformats.org/officeDocument/2006/relationships/image" Target="media/image410.png"/><Relationship Id="rId465" Type="http://schemas.openxmlformats.org/officeDocument/2006/relationships/image" Target="media/image411.png"/><Relationship Id="rId466" Type="http://schemas.openxmlformats.org/officeDocument/2006/relationships/image" Target="media/image412.png"/><Relationship Id="rId467" Type="http://schemas.openxmlformats.org/officeDocument/2006/relationships/image" Target="media/image413.png"/><Relationship Id="rId468" Type="http://schemas.openxmlformats.org/officeDocument/2006/relationships/image" Target="media/image414.png"/><Relationship Id="rId469" Type="http://schemas.openxmlformats.org/officeDocument/2006/relationships/image" Target="media/image415.png"/><Relationship Id="rId470" Type="http://schemas.openxmlformats.org/officeDocument/2006/relationships/image" Target="media/image416.png"/><Relationship Id="rId471" Type="http://schemas.openxmlformats.org/officeDocument/2006/relationships/image" Target="media/image417.png"/><Relationship Id="rId472" Type="http://schemas.openxmlformats.org/officeDocument/2006/relationships/image" Target="media/image418.png"/><Relationship Id="rId473" Type="http://schemas.openxmlformats.org/officeDocument/2006/relationships/image" Target="media/image419.png"/><Relationship Id="rId474" Type="http://schemas.openxmlformats.org/officeDocument/2006/relationships/image" Target="media/image420.png"/><Relationship Id="rId475" Type="http://schemas.openxmlformats.org/officeDocument/2006/relationships/image" Target="media/image421.png"/><Relationship Id="rId476" Type="http://schemas.openxmlformats.org/officeDocument/2006/relationships/image" Target="media/image422.png"/><Relationship Id="rId477" Type="http://schemas.openxmlformats.org/officeDocument/2006/relationships/image" Target="media/image423.png"/><Relationship Id="rId478" Type="http://schemas.openxmlformats.org/officeDocument/2006/relationships/image" Target="media/image424.png"/><Relationship Id="rId479" Type="http://schemas.openxmlformats.org/officeDocument/2006/relationships/image" Target="media/image425.png"/><Relationship Id="rId480" Type="http://schemas.openxmlformats.org/officeDocument/2006/relationships/image" Target="media/image426.png"/><Relationship Id="rId481" Type="http://schemas.openxmlformats.org/officeDocument/2006/relationships/image" Target="media/image427.png"/><Relationship Id="rId482" Type="http://schemas.openxmlformats.org/officeDocument/2006/relationships/image" Target="media/image428.png"/><Relationship Id="rId483" Type="http://schemas.openxmlformats.org/officeDocument/2006/relationships/image" Target="media/image429.png"/><Relationship Id="rId484" Type="http://schemas.openxmlformats.org/officeDocument/2006/relationships/image" Target="media/image430.png"/><Relationship Id="rId485" Type="http://schemas.openxmlformats.org/officeDocument/2006/relationships/image" Target="media/image431.png"/><Relationship Id="rId486" Type="http://schemas.openxmlformats.org/officeDocument/2006/relationships/image" Target="media/image432.png"/><Relationship Id="rId487" Type="http://schemas.openxmlformats.org/officeDocument/2006/relationships/image" Target="media/image433.png"/><Relationship Id="rId488" Type="http://schemas.openxmlformats.org/officeDocument/2006/relationships/image" Target="media/image434.png"/><Relationship Id="rId489" Type="http://schemas.openxmlformats.org/officeDocument/2006/relationships/image" Target="media/image435.png"/><Relationship Id="rId490" Type="http://schemas.openxmlformats.org/officeDocument/2006/relationships/image" Target="media/image436.png"/><Relationship Id="rId491" Type="http://schemas.openxmlformats.org/officeDocument/2006/relationships/image" Target="media/image437.png"/><Relationship Id="rId492" Type="http://schemas.openxmlformats.org/officeDocument/2006/relationships/image" Target="media/image438.png"/><Relationship Id="rId493" Type="http://schemas.openxmlformats.org/officeDocument/2006/relationships/image" Target="media/image439.png"/><Relationship Id="rId494" Type="http://schemas.openxmlformats.org/officeDocument/2006/relationships/image" Target="media/image440.png"/><Relationship Id="rId495" Type="http://schemas.openxmlformats.org/officeDocument/2006/relationships/image" Target="media/image441.png"/><Relationship Id="rId496" Type="http://schemas.openxmlformats.org/officeDocument/2006/relationships/image" Target="media/image442.png"/><Relationship Id="rId497" Type="http://schemas.openxmlformats.org/officeDocument/2006/relationships/image" Target="media/image443.png"/><Relationship Id="rId498" Type="http://schemas.openxmlformats.org/officeDocument/2006/relationships/image" Target="media/image444.png"/><Relationship Id="rId499" Type="http://schemas.openxmlformats.org/officeDocument/2006/relationships/image" Target="media/image445.png"/><Relationship Id="rId500" Type="http://schemas.openxmlformats.org/officeDocument/2006/relationships/image" Target="media/image446.png"/><Relationship Id="rId501" Type="http://schemas.openxmlformats.org/officeDocument/2006/relationships/image" Target="media/image447.png"/><Relationship Id="rId502" Type="http://schemas.openxmlformats.org/officeDocument/2006/relationships/image" Target="media/image448.png"/><Relationship Id="rId503" Type="http://schemas.openxmlformats.org/officeDocument/2006/relationships/image" Target="media/image449.png"/><Relationship Id="rId504" Type="http://schemas.openxmlformats.org/officeDocument/2006/relationships/image" Target="media/image450.png"/><Relationship Id="rId505" Type="http://schemas.openxmlformats.org/officeDocument/2006/relationships/hyperlink" Target="http://www.pri.org.mx/PriistasTrabajando/pri/" TargetMode="External"/><Relationship Id="rId506" Type="http://schemas.openxmlformats.org/officeDocument/2006/relationships/hyperlink" Target="http://www1.edomexico.gob.mx/dgip/contenido/" TargetMode="External"/><Relationship Id="rId507" Type="http://schemas.openxmlformats.org/officeDocument/2006/relationships/hyperlink" Target="http://www.tejupilco.gob.mx/" TargetMode="External"/><Relationship Id="rId508" Type="http://schemas.openxmlformats.org/officeDocument/2006/relationships/image" Target="media/image451.jpeg"/><Relationship Id="rId509" Type="http://schemas.openxmlformats.org/officeDocument/2006/relationships/footer" Target="footer24.xml"/><Relationship Id="rId510" Type="http://schemas.openxmlformats.org/officeDocument/2006/relationships/image" Target="media/image452.png"/><Relationship Id="rId511" Type="http://schemas.openxmlformats.org/officeDocument/2006/relationships/image" Target="media/image453.png"/><Relationship Id="rId512" Type="http://schemas.openxmlformats.org/officeDocument/2006/relationships/image" Target="media/image454.png"/><Relationship Id="rId513" Type="http://schemas.openxmlformats.org/officeDocument/2006/relationships/image" Target="media/image455.png"/><Relationship Id="rId514" Type="http://schemas.openxmlformats.org/officeDocument/2006/relationships/image" Target="media/image456.png"/><Relationship Id="rId515" Type="http://schemas.openxmlformats.org/officeDocument/2006/relationships/image" Target="media/image457.png"/><Relationship Id="rId516" Type="http://schemas.openxmlformats.org/officeDocument/2006/relationships/image" Target="media/image458.png"/><Relationship Id="rId517" Type="http://schemas.openxmlformats.org/officeDocument/2006/relationships/image" Target="media/image459.png"/><Relationship Id="rId518" Type="http://schemas.openxmlformats.org/officeDocument/2006/relationships/image" Target="media/image460.png"/><Relationship Id="rId519" Type="http://schemas.openxmlformats.org/officeDocument/2006/relationships/image" Target="media/image461.png"/><Relationship Id="rId520" Type="http://schemas.openxmlformats.org/officeDocument/2006/relationships/image" Target="media/image462.png"/><Relationship Id="rId521" Type="http://schemas.openxmlformats.org/officeDocument/2006/relationships/image" Target="media/image463.png"/><Relationship Id="rId522" Type="http://schemas.openxmlformats.org/officeDocument/2006/relationships/image" Target="media/image464.png"/><Relationship Id="rId523" Type="http://schemas.openxmlformats.org/officeDocument/2006/relationships/image" Target="media/image465.png"/><Relationship Id="rId524" Type="http://schemas.openxmlformats.org/officeDocument/2006/relationships/image" Target="media/image466.png"/><Relationship Id="rId525" Type="http://schemas.openxmlformats.org/officeDocument/2006/relationships/image" Target="media/image467.png"/><Relationship Id="rId526" Type="http://schemas.openxmlformats.org/officeDocument/2006/relationships/image" Target="media/image468.png"/><Relationship Id="rId527" Type="http://schemas.openxmlformats.org/officeDocument/2006/relationships/image" Target="media/image469.png"/><Relationship Id="rId528" Type="http://schemas.openxmlformats.org/officeDocument/2006/relationships/image" Target="media/image470.png"/><Relationship Id="rId529" Type="http://schemas.openxmlformats.org/officeDocument/2006/relationships/image" Target="media/image471.png"/><Relationship Id="rId530" Type="http://schemas.openxmlformats.org/officeDocument/2006/relationships/image" Target="media/image472.png"/><Relationship Id="rId531" Type="http://schemas.openxmlformats.org/officeDocument/2006/relationships/image" Target="media/image473.png"/><Relationship Id="rId532" Type="http://schemas.openxmlformats.org/officeDocument/2006/relationships/image" Target="media/image474.png"/><Relationship Id="rId533" Type="http://schemas.openxmlformats.org/officeDocument/2006/relationships/image" Target="media/image475.png"/><Relationship Id="rId534" Type="http://schemas.openxmlformats.org/officeDocument/2006/relationships/image" Target="media/image476.png"/><Relationship Id="rId535" Type="http://schemas.openxmlformats.org/officeDocument/2006/relationships/image" Target="media/image477.png"/><Relationship Id="rId536" Type="http://schemas.openxmlformats.org/officeDocument/2006/relationships/image" Target="media/image478.png"/><Relationship Id="rId537" Type="http://schemas.openxmlformats.org/officeDocument/2006/relationships/image" Target="media/image479.png"/><Relationship Id="rId538" Type="http://schemas.openxmlformats.org/officeDocument/2006/relationships/image" Target="media/image480.png"/><Relationship Id="rId539" Type="http://schemas.openxmlformats.org/officeDocument/2006/relationships/image" Target="media/image481.png"/><Relationship Id="rId540" Type="http://schemas.openxmlformats.org/officeDocument/2006/relationships/image" Target="media/image482.png"/><Relationship Id="rId541" Type="http://schemas.openxmlformats.org/officeDocument/2006/relationships/image" Target="media/image483.png"/><Relationship Id="rId542" Type="http://schemas.openxmlformats.org/officeDocument/2006/relationships/image" Target="media/image484.png"/><Relationship Id="rId543" Type="http://schemas.openxmlformats.org/officeDocument/2006/relationships/image" Target="media/image485.png"/><Relationship Id="rId544" Type="http://schemas.openxmlformats.org/officeDocument/2006/relationships/image" Target="media/image486.png"/><Relationship Id="rId545" Type="http://schemas.openxmlformats.org/officeDocument/2006/relationships/image" Target="media/image487.png"/><Relationship Id="rId546" Type="http://schemas.openxmlformats.org/officeDocument/2006/relationships/image" Target="media/image488.png"/><Relationship Id="rId547" Type="http://schemas.openxmlformats.org/officeDocument/2006/relationships/image" Target="media/image489.png"/><Relationship Id="rId548" Type="http://schemas.openxmlformats.org/officeDocument/2006/relationships/image" Target="media/image490.png"/><Relationship Id="rId549" Type="http://schemas.openxmlformats.org/officeDocument/2006/relationships/image" Target="media/image491.png"/><Relationship Id="rId550" Type="http://schemas.openxmlformats.org/officeDocument/2006/relationships/image" Target="media/image492.png"/><Relationship Id="rId551" Type="http://schemas.openxmlformats.org/officeDocument/2006/relationships/image" Target="media/image493.png"/><Relationship Id="rId552" Type="http://schemas.openxmlformats.org/officeDocument/2006/relationships/image" Target="media/image494.png"/><Relationship Id="rId553" Type="http://schemas.openxmlformats.org/officeDocument/2006/relationships/image" Target="media/image495.png"/><Relationship Id="rId554" Type="http://schemas.openxmlformats.org/officeDocument/2006/relationships/image" Target="media/image496.png"/><Relationship Id="rId555" Type="http://schemas.openxmlformats.org/officeDocument/2006/relationships/image" Target="media/image497.png"/><Relationship Id="rId556" Type="http://schemas.openxmlformats.org/officeDocument/2006/relationships/image" Target="media/image498.png"/><Relationship Id="rId557" Type="http://schemas.openxmlformats.org/officeDocument/2006/relationships/image" Target="media/image499.png"/><Relationship Id="rId558" Type="http://schemas.openxmlformats.org/officeDocument/2006/relationships/image" Target="media/image500.png"/><Relationship Id="rId559" Type="http://schemas.openxmlformats.org/officeDocument/2006/relationships/image" Target="media/image501.png"/><Relationship Id="rId560" Type="http://schemas.openxmlformats.org/officeDocument/2006/relationships/image" Target="media/image502.png"/><Relationship Id="rId561" Type="http://schemas.openxmlformats.org/officeDocument/2006/relationships/image" Target="media/image503.png"/><Relationship Id="rId562" Type="http://schemas.openxmlformats.org/officeDocument/2006/relationships/image" Target="media/image504.png"/><Relationship Id="rId563" Type="http://schemas.openxmlformats.org/officeDocument/2006/relationships/image" Target="media/image505.png"/><Relationship Id="rId564" Type="http://schemas.openxmlformats.org/officeDocument/2006/relationships/image" Target="media/image506.png"/><Relationship Id="rId565" Type="http://schemas.openxmlformats.org/officeDocument/2006/relationships/image" Target="media/image507.png"/><Relationship Id="rId566" Type="http://schemas.openxmlformats.org/officeDocument/2006/relationships/image" Target="media/image508.png"/><Relationship Id="rId567" Type="http://schemas.openxmlformats.org/officeDocument/2006/relationships/image" Target="media/image509.png"/><Relationship Id="rId568" Type="http://schemas.openxmlformats.org/officeDocument/2006/relationships/image" Target="media/image510.png"/><Relationship Id="rId569" Type="http://schemas.openxmlformats.org/officeDocument/2006/relationships/image" Target="media/image511.png"/><Relationship Id="rId570" Type="http://schemas.openxmlformats.org/officeDocument/2006/relationships/image" Target="media/image512.png"/><Relationship Id="rId571" Type="http://schemas.openxmlformats.org/officeDocument/2006/relationships/image" Target="media/image513.png"/><Relationship Id="rId572" Type="http://schemas.openxmlformats.org/officeDocument/2006/relationships/image" Target="media/image514.png"/><Relationship Id="rId573" Type="http://schemas.openxmlformats.org/officeDocument/2006/relationships/image" Target="media/image515.png"/><Relationship Id="rId574" Type="http://schemas.openxmlformats.org/officeDocument/2006/relationships/image" Target="media/image516.png"/><Relationship Id="rId575" Type="http://schemas.openxmlformats.org/officeDocument/2006/relationships/image" Target="media/image517.png"/><Relationship Id="rId576" Type="http://schemas.openxmlformats.org/officeDocument/2006/relationships/image" Target="media/image518.png"/><Relationship Id="rId577" Type="http://schemas.openxmlformats.org/officeDocument/2006/relationships/image" Target="media/image519.png"/><Relationship Id="rId578" Type="http://schemas.openxmlformats.org/officeDocument/2006/relationships/image" Target="media/image520.png"/><Relationship Id="rId579" Type="http://schemas.openxmlformats.org/officeDocument/2006/relationships/image" Target="media/image521.png"/><Relationship Id="rId580" Type="http://schemas.openxmlformats.org/officeDocument/2006/relationships/image" Target="media/image522.png"/><Relationship Id="rId581" Type="http://schemas.openxmlformats.org/officeDocument/2006/relationships/image" Target="media/image523.jpeg"/><Relationship Id="rId582" Type="http://schemas.openxmlformats.org/officeDocument/2006/relationships/image" Target="media/image524.jpeg"/><Relationship Id="rId583" Type="http://schemas.openxmlformats.org/officeDocument/2006/relationships/image" Target="media/image525.jpeg"/><Relationship Id="rId584" Type="http://schemas.openxmlformats.org/officeDocument/2006/relationships/image" Target="media/image526.jpeg"/><Relationship Id="rId585" Type="http://schemas.openxmlformats.org/officeDocument/2006/relationships/image" Target="media/image527.jpeg"/><Relationship Id="rId586" Type="http://schemas.openxmlformats.org/officeDocument/2006/relationships/image" Target="media/image528.jpeg"/><Relationship Id="rId587" Type="http://schemas.openxmlformats.org/officeDocument/2006/relationships/hyperlink" Target="http://www.e-local.gob.mx/wb2/ELOCAL/EMM_mexico" TargetMode="External"/><Relationship Id="rId588" Type="http://schemas.openxmlformats.org/officeDocument/2006/relationships/footer" Target="footer25.xml"/><Relationship Id="rId589" Type="http://schemas.openxmlformats.org/officeDocument/2006/relationships/footer" Target="footer26.xml"/><Relationship Id="rId590" Type="http://schemas.openxmlformats.org/officeDocument/2006/relationships/image" Target="media/image529.jpeg"/><Relationship Id="rId591" Type="http://schemas.openxmlformats.org/officeDocument/2006/relationships/image" Target="media/image530.jpeg"/><Relationship Id="rId592" Type="http://schemas.openxmlformats.org/officeDocument/2006/relationships/image" Target="media/image531.jpeg"/><Relationship Id="rId593" Type="http://schemas.openxmlformats.org/officeDocument/2006/relationships/image" Target="media/image532.png"/><Relationship Id="rId594" Type="http://schemas.openxmlformats.org/officeDocument/2006/relationships/image" Target="media/image533.png"/><Relationship Id="rId595" Type="http://schemas.openxmlformats.org/officeDocument/2006/relationships/image" Target="media/image534.png"/><Relationship Id="rId596" Type="http://schemas.openxmlformats.org/officeDocument/2006/relationships/image" Target="media/image535.png"/><Relationship Id="rId597" Type="http://schemas.openxmlformats.org/officeDocument/2006/relationships/image" Target="media/image536.png"/><Relationship Id="rId598" Type="http://schemas.openxmlformats.org/officeDocument/2006/relationships/image" Target="media/image537.png"/><Relationship Id="rId599" Type="http://schemas.openxmlformats.org/officeDocument/2006/relationships/image" Target="media/image538.png"/><Relationship Id="rId600" Type="http://schemas.openxmlformats.org/officeDocument/2006/relationships/image" Target="media/image539.png"/><Relationship Id="rId601" Type="http://schemas.openxmlformats.org/officeDocument/2006/relationships/image" Target="media/image540.png"/><Relationship Id="rId602" Type="http://schemas.openxmlformats.org/officeDocument/2006/relationships/image" Target="media/image541.png"/><Relationship Id="rId603" Type="http://schemas.openxmlformats.org/officeDocument/2006/relationships/image" Target="media/image542.png"/><Relationship Id="rId604" Type="http://schemas.openxmlformats.org/officeDocument/2006/relationships/image" Target="media/image543.png"/><Relationship Id="rId605" Type="http://schemas.openxmlformats.org/officeDocument/2006/relationships/image" Target="media/image544.png"/><Relationship Id="rId606" Type="http://schemas.openxmlformats.org/officeDocument/2006/relationships/image" Target="media/image545.png"/><Relationship Id="rId607" Type="http://schemas.openxmlformats.org/officeDocument/2006/relationships/image" Target="media/image546.png"/><Relationship Id="rId608" Type="http://schemas.openxmlformats.org/officeDocument/2006/relationships/image" Target="media/image547.png"/><Relationship Id="rId609" Type="http://schemas.openxmlformats.org/officeDocument/2006/relationships/image" Target="media/image548.png"/><Relationship Id="rId610" Type="http://schemas.openxmlformats.org/officeDocument/2006/relationships/image" Target="media/image549.png"/><Relationship Id="rId611" Type="http://schemas.openxmlformats.org/officeDocument/2006/relationships/image" Target="media/image550.png"/><Relationship Id="rId612" Type="http://schemas.openxmlformats.org/officeDocument/2006/relationships/image" Target="media/image551.png"/><Relationship Id="rId613" Type="http://schemas.openxmlformats.org/officeDocument/2006/relationships/image" Target="media/image552.png"/><Relationship Id="rId614" Type="http://schemas.openxmlformats.org/officeDocument/2006/relationships/image" Target="media/image553.png"/><Relationship Id="rId615" Type="http://schemas.openxmlformats.org/officeDocument/2006/relationships/image" Target="media/image554.png"/><Relationship Id="rId616" Type="http://schemas.openxmlformats.org/officeDocument/2006/relationships/image" Target="media/image555.png"/><Relationship Id="rId617" Type="http://schemas.openxmlformats.org/officeDocument/2006/relationships/image" Target="media/image556.png"/><Relationship Id="rId618" Type="http://schemas.openxmlformats.org/officeDocument/2006/relationships/image" Target="media/image557.png"/><Relationship Id="rId619" Type="http://schemas.openxmlformats.org/officeDocument/2006/relationships/image" Target="media/image558.png"/><Relationship Id="rId620" Type="http://schemas.openxmlformats.org/officeDocument/2006/relationships/image" Target="media/image559.png"/><Relationship Id="rId621" Type="http://schemas.openxmlformats.org/officeDocument/2006/relationships/image" Target="media/image560.png"/><Relationship Id="rId622" Type="http://schemas.openxmlformats.org/officeDocument/2006/relationships/image" Target="media/image561.png"/><Relationship Id="rId623" Type="http://schemas.openxmlformats.org/officeDocument/2006/relationships/footer" Target="footer27.xml"/><Relationship Id="rId624" Type="http://schemas.openxmlformats.org/officeDocument/2006/relationships/footer" Target="footer28.xml"/><Relationship Id="rId625" Type="http://schemas.openxmlformats.org/officeDocument/2006/relationships/image" Target="media/image562.png"/><Relationship Id="rId626" Type="http://schemas.openxmlformats.org/officeDocument/2006/relationships/image" Target="media/image563.jpeg"/><Relationship Id="rId627" Type="http://schemas.openxmlformats.org/officeDocument/2006/relationships/image" Target="media/image564.png"/><Relationship Id="rId628" Type="http://schemas.openxmlformats.org/officeDocument/2006/relationships/footer" Target="footer29.xml"/><Relationship Id="rId629" Type="http://schemas.openxmlformats.org/officeDocument/2006/relationships/hyperlink" Target="http://iiigecem.edomex.gob.mx/descargas/" TargetMode="External"/><Relationship Id="rId630" Type="http://schemas.openxmlformats.org/officeDocument/2006/relationships/footer" Target="footer30.xml"/><Relationship Id="rId631" Type="http://schemas.openxmlformats.org/officeDocument/2006/relationships/footer" Target="footer31.xml"/><Relationship Id="rId632" Type="http://schemas.openxmlformats.org/officeDocument/2006/relationships/footer" Target="footer32.xml"/><Relationship Id="rId633" Type="http://schemas.openxmlformats.org/officeDocument/2006/relationships/image" Target="media/image565.png"/><Relationship Id="rId634" Type="http://schemas.openxmlformats.org/officeDocument/2006/relationships/image" Target="media/image566.png"/><Relationship Id="rId635" Type="http://schemas.openxmlformats.org/officeDocument/2006/relationships/image" Target="media/image567.png"/><Relationship Id="rId636" Type="http://schemas.openxmlformats.org/officeDocument/2006/relationships/image" Target="media/image568.png"/><Relationship Id="rId637" Type="http://schemas.openxmlformats.org/officeDocument/2006/relationships/image" Target="media/image569.png"/><Relationship Id="rId638" Type="http://schemas.openxmlformats.org/officeDocument/2006/relationships/image" Target="media/image570.png"/><Relationship Id="rId639" Type="http://schemas.openxmlformats.org/officeDocument/2006/relationships/image" Target="media/image571.png"/><Relationship Id="rId640" Type="http://schemas.openxmlformats.org/officeDocument/2006/relationships/image" Target="media/image572.png"/><Relationship Id="rId641" Type="http://schemas.openxmlformats.org/officeDocument/2006/relationships/image" Target="media/image573.png"/><Relationship Id="rId642" Type="http://schemas.openxmlformats.org/officeDocument/2006/relationships/image" Target="media/image574.png"/><Relationship Id="rId643" Type="http://schemas.openxmlformats.org/officeDocument/2006/relationships/footer" Target="footer33.xml"/><Relationship Id="rId644" Type="http://schemas.openxmlformats.org/officeDocument/2006/relationships/image" Target="media/image575.jpeg"/><Relationship Id="rId645" Type="http://schemas.openxmlformats.org/officeDocument/2006/relationships/image" Target="media/image576.jpeg"/><Relationship Id="rId646" Type="http://schemas.openxmlformats.org/officeDocument/2006/relationships/image" Target="media/image577.jpeg"/><Relationship Id="rId647" Type="http://schemas.openxmlformats.org/officeDocument/2006/relationships/footer" Target="footer34.xml"/><Relationship Id="rId648" Type="http://schemas.openxmlformats.org/officeDocument/2006/relationships/footer" Target="footer35.xml"/><Relationship Id="rId649" Type="http://schemas.openxmlformats.org/officeDocument/2006/relationships/footer" Target="footer36.xml"/><Relationship Id="rId650" Type="http://schemas.openxmlformats.org/officeDocument/2006/relationships/footer" Target="footer37.xml"/><Relationship Id="rId651" Type="http://schemas.openxmlformats.org/officeDocument/2006/relationships/image" Target="media/image578.png"/><Relationship Id="rId652" Type="http://schemas.openxmlformats.org/officeDocument/2006/relationships/image" Target="media/image579.png"/><Relationship Id="rId653" Type="http://schemas.openxmlformats.org/officeDocument/2006/relationships/image" Target="media/image580.png"/><Relationship Id="rId654" Type="http://schemas.openxmlformats.org/officeDocument/2006/relationships/image" Target="media/image581.png"/><Relationship Id="rId655" Type="http://schemas.openxmlformats.org/officeDocument/2006/relationships/image" Target="media/image582.png"/><Relationship Id="rId656" Type="http://schemas.openxmlformats.org/officeDocument/2006/relationships/image" Target="media/image583.png"/><Relationship Id="rId657" Type="http://schemas.openxmlformats.org/officeDocument/2006/relationships/image" Target="media/image584.png"/><Relationship Id="rId658" Type="http://schemas.openxmlformats.org/officeDocument/2006/relationships/image" Target="media/image585.png"/><Relationship Id="rId659" Type="http://schemas.openxmlformats.org/officeDocument/2006/relationships/image" Target="media/image586.png"/><Relationship Id="rId660" Type="http://schemas.openxmlformats.org/officeDocument/2006/relationships/image" Target="media/image587.png"/><Relationship Id="rId661" Type="http://schemas.openxmlformats.org/officeDocument/2006/relationships/image" Target="media/image588.png"/><Relationship Id="rId662" Type="http://schemas.openxmlformats.org/officeDocument/2006/relationships/image" Target="media/image589.png"/><Relationship Id="rId663" Type="http://schemas.openxmlformats.org/officeDocument/2006/relationships/image" Target="media/image590.png"/><Relationship Id="rId664" Type="http://schemas.openxmlformats.org/officeDocument/2006/relationships/image" Target="media/image591.png"/><Relationship Id="rId665" Type="http://schemas.openxmlformats.org/officeDocument/2006/relationships/image" Target="media/image592.png"/><Relationship Id="rId666" Type="http://schemas.openxmlformats.org/officeDocument/2006/relationships/hyperlink" Target="http://www.tlalnepantla.gob.mx/portal/" TargetMode="External"/><Relationship Id="rId667" Type="http://schemas.openxmlformats.org/officeDocument/2006/relationships/footer" Target="footer38.xml"/><Relationship Id="rId668" Type="http://schemas.openxmlformats.org/officeDocument/2006/relationships/hyperlink" Target="http://www.e-gobierno.gob.mx/" TargetMode="External"/><Relationship Id="rId669" Type="http://schemas.openxmlformats.org/officeDocument/2006/relationships/hyperlink" Target="http://www.ordenjuridico.gob.mx/Estatal/ESTADO%20DE%20MEXICO/Municipios/Tlalnepantla%20de%20Baz/" TargetMode="External"/><Relationship Id="rId670" Type="http://schemas.openxmlformats.org/officeDocument/2006/relationships/hyperlink" Target="http://www.undp.org.mx/desarrollohumano/" TargetMode="External"/><Relationship Id="rId671" Type="http://schemas.openxmlformats.org/officeDocument/2006/relationships/hyperlink" Target="http://www.edomexico.gob.mx/legistel/cnt/bdoest_Tlalnepantla.htm" TargetMode="External"/><Relationship Id="rId672" Type="http://schemas.openxmlformats.org/officeDocument/2006/relationships/footer" Target="footer39.xml"/><Relationship Id="rId673" Type="http://schemas.openxmlformats.org/officeDocument/2006/relationships/hyperlink" Target="http://www.capfce.gob.mx/" TargetMode="External"/><Relationship Id="rId674" Type="http://schemas.openxmlformats.org/officeDocument/2006/relationships/hyperlink" Target="http://www.ciudadnorte.info/746/afirma-ayuntamiento-de-tlalnepantla-ser-transparente/index.html" TargetMode="External"/><Relationship Id="rId675" Type="http://schemas.openxmlformats.org/officeDocument/2006/relationships/footer" Target="footer40.xml"/><Relationship Id="rId676" Type="http://schemas.openxmlformats.org/officeDocument/2006/relationships/hyperlink" Target="http://www.pan.org.mx/docs/pilares_humanismo.pdf" TargetMode="External"/><Relationship Id="rId677" Type="http://schemas.openxmlformats.org/officeDocument/2006/relationships/hyperlink" Target="http://www.ordenjuridico.gob.mx/Estatal/ESTADO%20DE%20MEXICO/Municipios/Tlalnepantla" TargetMode="External"/><Relationship Id="rId678" Type="http://schemas.openxmlformats.org/officeDocument/2006/relationships/hyperlink" Target="http://www.undp.org.mx/desarrollohumano" TargetMode="External"/><Relationship Id="rId679" Type="http://schemas.openxmlformats.org/officeDocument/2006/relationships/hyperlink" Target="http://www.tlalnepantla.gob.mx/" TargetMode="External"/><Relationship Id="rId680" Type="http://schemas.openxmlformats.org/officeDocument/2006/relationships/footer" Target="footer41.xml"/><Relationship Id="rId681" Type="http://schemas.openxmlformats.org/officeDocument/2006/relationships/footer" Target="footer42.xml"/><Relationship Id="rId682" Type="http://schemas.openxmlformats.org/officeDocument/2006/relationships/footer" Target="footer43.xml"/><Relationship Id="rId683" Type="http://schemas.openxmlformats.org/officeDocument/2006/relationships/footer" Target="footer44.xml"/><Relationship Id="rId684" Type="http://schemas.openxmlformats.org/officeDocument/2006/relationships/footer" Target="footer45.xml"/><Relationship Id="rId685" Type="http://schemas.openxmlformats.org/officeDocument/2006/relationships/image" Target="media/image593.png"/><Relationship Id="rId686" Type="http://schemas.openxmlformats.org/officeDocument/2006/relationships/image" Target="media/image594.png"/><Relationship Id="rId687" Type="http://schemas.openxmlformats.org/officeDocument/2006/relationships/image" Target="media/image595.png"/><Relationship Id="rId688" Type="http://schemas.openxmlformats.org/officeDocument/2006/relationships/image" Target="media/image596.png"/><Relationship Id="rId689" Type="http://schemas.openxmlformats.org/officeDocument/2006/relationships/image" Target="media/image597.png"/><Relationship Id="rId690" Type="http://schemas.openxmlformats.org/officeDocument/2006/relationships/image" Target="media/image598.png"/><Relationship Id="rId691" Type="http://schemas.openxmlformats.org/officeDocument/2006/relationships/image" Target="media/image599.png"/><Relationship Id="rId692" Type="http://schemas.openxmlformats.org/officeDocument/2006/relationships/image" Target="media/image600.png"/><Relationship Id="rId693" Type="http://schemas.openxmlformats.org/officeDocument/2006/relationships/image" Target="media/image601.png"/><Relationship Id="rId694" Type="http://schemas.openxmlformats.org/officeDocument/2006/relationships/image" Target="media/image602.png"/><Relationship Id="rId695" Type="http://schemas.openxmlformats.org/officeDocument/2006/relationships/image" Target="media/image603.png"/><Relationship Id="rId696" Type="http://schemas.openxmlformats.org/officeDocument/2006/relationships/image" Target="media/image604.png"/><Relationship Id="rId697" Type="http://schemas.openxmlformats.org/officeDocument/2006/relationships/image" Target="media/image605.png"/><Relationship Id="rId698" Type="http://schemas.openxmlformats.org/officeDocument/2006/relationships/image" Target="media/image606.png"/><Relationship Id="rId699" Type="http://schemas.openxmlformats.org/officeDocument/2006/relationships/image" Target="media/image607.png"/><Relationship Id="rId700" Type="http://schemas.openxmlformats.org/officeDocument/2006/relationships/image" Target="media/image608.png"/><Relationship Id="rId701" Type="http://schemas.openxmlformats.org/officeDocument/2006/relationships/image" Target="media/image609.png"/><Relationship Id="rId702" Type="http://schemas.openxmlformats.org/officeDocument/2006/relationships/image" Target="media/image610.png"/><Relationship Id="rId703" Type="http://schemas.openxmlformats.org/officeDocument/2006/relationships/image" Target="media/image611.png"/><Relationship Id="rId704" Type="http://schemas.openxmlformats.org/officeDocument/2006/relationships/image" Target="media/image612.png"/><Relationship Id="rId705" Type="http://schemas.openxmlformats.org/officeDocument/2006/relationships/image" Target="media/image613.png"/><Relationship Id="rId706" Type="http://schemas.openxmlformats.org/officeDocument/2006/relationships/image" Target="media/image614.png"/><Relationship Id="rId707" Type="http://schemas.openxmlformats.org/officeDocument/2006/relationships/image" Target="media/image615.png"/><Relationship Id="rId708" Type="http://schemas.openxmlformats.org/officeDocument/2006/relationships/image" Target="media/image616.png"/><Relationship Id="rId709" Type="http://schemas.openxmlformats.org/officeDocument/2006/relationships/image" Target="media/image617.png"/><Relationship Id="rId710" Type="http://schemas.openxmlformats.org/officeDocument/2006/relationships/image" Target="media/image618.png"/><Relationship Id="rId711" Type="http://schemas.openxmlformats.org/officeDocument/2006/relationships/image" Target="media/image619.png"/><Relationship Id="rId712" Type="http://schemas.openxmlformats.org/officeDocument/2006/relationships/image" Target="media/image620.png"/><Relationship Id="rId713" Type="http://schemas.openxmlformats.org/officeDocument/2006/relationships/image" Target="media/image621.png"/><Relationship Id="rId714" Type="http://schemas.openxmlformats.org/officeDocument/2006/relationships/image" Target="media/image622.png"/><Relationship Id="rId715" Type="http://schemas.openxmlformats.org/officeDocument/2006/relationships/image" Target="media/image623.png"/><Relationship Id="rId716" Type="http://schemas.openxmlformats.org/officeDocument/2006/relationships/image" Target="media/image624.png"/><Relationship Id="rId717" Type="http://schemas.openxmlformats.org/officeDocument/2006/relationships/image" Target="media/image625.png"/><Relationship Id="rId718" Type="http://schemas.openxmlformats.org/officeDocument/2006/relationships/image" Target="media/image626.png"/><Relationship Id="rId719" Type="http://schemas.openxmlformats.org/officeDocument/2006/relationships/image" Target="media/image627.png"/><Relationship Id="rId720" Type="http://schemas.openxmlformats.org/officeDocument/2006/relationships/image" Target="media/image628.png"/><Relationship Id="rId721" Type="http://schemas.openxmlformats.org/officeDocument/2006/relationships/image" Target="media/image629.png"/><Relationship Id="rId722" Type="http://schemas.openxmlformats.org/officeDocument/2006/relationships/image" Target="media/image630.png"/><Relationship Id="rId723" Type="http://schemas.openxmlformats.org/officeDocument/2006/relationships/image" Target="media/image631.png"/><Relationship Id="rId724" Type="http://schemas.openxmlformats.org/officeDocument/2006/relationships/image" Target="media/image632.png"/><Relationship Id="rId725" Type="http://schemas.openxmlformats.org/officeDocument/2006/relationships/image" Target="media/image633.png"/><Relationship Id="rId726" Type="http://schemas.openxmlformats.org/officeDocument/2006/relationships/image" Target="media/image634.png"/><Relationship Id="rId727" Type="http://schemas.openxmlformats.org/officeDocument/2006/relationships/image" Target="media/image635.png"/><Relationship Id="rId728" Type="http://schemas.openxmlformats.org/officeDocument/2006/relationships/image" Target="media/image636.png"/><Relationship Id="rId729" Type="http://schemas.openxmlformats.org/officeDocument/2006/relationships/image" Target="media/image637.png"/><Relationship Id="rId730" Type="http://schemas.openxmlformats.org/officeDocument/2006/relationships/image" Target="media/image638.png"/><Relationship Id="rId731" Type="http://schemas.openxmlformats.org/officeDocument/2006/relationships/image" Target="media/image639.png"/><Relationship Id="rId732" Type="http://schemas.openxmlformats.org/officeDocument/2006/relationships/image" Target="media/image640.png"/><Relationship Id="rId733" Type="http://schemas.openxmlformats.org/officeDocument/2006/relationships/image" Target="media/image641.png"/><Relationship Id="rId734" Type="http://schemas.openxmlformats.org/officeDocument/2006/relationships/image" Target="media/image642.png"/><Relationship Id="rId735" Type="http://schemas.openxmlformats.org/officeDocument/2006/relationships/image" Target="media/image643.png"/><Relationship Id="rId736" Type="http://schemas.openxmlformats.org/officeDocument/2006/relationships/image" Target="media/image644.png"/><Relationship Id="rId737" Type="http://schemas.openxmlformats.org/officeDocument/2006/relationships/image" Target="media/image645.png"/><Relationship Id="rId738" Type="http://schemas.openxmlformats.org/officeDocument/2006/relationships/footer" Target="footer46.xml"/><Relationship Id="rId739" Type="http://schemas.openxmlformats.org/officeDocument/2006/relationships/image" Target="media/image646.png"/><Relationship Id="rId740" Type="http://schemas.openxmlformats.org/officeDocument/2006/relationships/image" Target="media/image647.png"/><Relationship Id="rId741" Type="http://schemas.openxmlformats.org/officeDocument/2006/relationships/image" Target="media/image648.png"/><Relationship Id="rId742" Type="http://schemas.openxmlformats.org/officeDocument/2006/relationships/image" Target="media/image649.png"/><Relationship Id="rId743" Type="http://schemas.openxmlformats.org/officeDocument/2006/relationships/image" Target="media/image650.png"/><Relationship Id="rId744" Type="http://schemas.openxmlformats.org/officeDocument/2006/relationships/image" Target="media/image651.png"/><Relationship Id="rId745" Type="http://schemas.openxmlformats.org/officeDocument/2006/relationships/image" Target="media/image652.png"/><Relationship Id="rId746" Type="http://schemas.openxmlformats.org/officeDocument/2006/relationships/image" Target="media/image653.png"/><Relationship Id="rId747" Type="http://schemas.openxmlformats.org/officeDocument/2006/relationships/image" Target="media/image654.png"/><Relationship Id="rId748" Type="http://schemas.openxmlformats.org/officeDocument/2006/relationships/image" Target="media/image655.png"/><Relationship Id="rId749" Type="http://schemas.openxmlformats.org/officeDocument/2006/relationships/image" Target="media/image656.png"/><Relationship Id="rId750" Type="http://schemas.openxmlformats.org/officeDocument/2006/relationships/image" Target="media/image657.png"/><Relationship Id="rId751" Type="http://schemas.openxmlformats.org/officeDocument/2006/relationships/image" Target="media/image658.png"/><Relationship Id="rId752" Type="http://schemas.openxmlformats.org/officeDocument/2006/relationships/image" Target="media/image659.png"/><Relationship Id="rId753" Type="http://schemas.openxmlformats.org/officeDocument/2006/relationships/image" Target="media/image660.png"/><Relationship Id="rId754" Type="http://schemas.openxmlformats.org/officeDocument/2006/relationships/image" Target="media/image661.png"/><Relationship Id="rId755" Type="http://schemas.openxmlformats.org/officeDocument/2006/relationships/image" Target="media/image662.png"/><Relationship Id="rId756" Type="http://schemas.openxmlformats.org/officeDocument/2006/relationships/image" Target="media/image663.png"/><Relationship Id="rId757" Type="http://schemas.openxmlformats.org/officeDocument/2006/relationships/image" Target="media/image664.png"/><Relationship Id="rId758" Type="http://schemas.openxmlformats.org/officeDocument/2006/relationships/image" Target="media/image665.png"/><Relationship Id="rId759" Type="http://schemas.openxmlformats.org/officeDocument/2006/relationships/image" Target="media/image666.png"/><Relationship Id="rId760" Type="http://schemas.openxmlformats.org/officeDocument/2006/relationships/image" Target="media/image667.png"/><Relationship Id="rId761" Type="http://schemas.openxmlformats.org/officeDocument/2006/relationships/image" Target="media/image668.png"/><Relationship Id="rId762" Type="http://schemas.openxmlformats.org/officeDocument/2006/relationships/image" Target="media/image669.png"/><Relationship Id="rId763" Type="http://schemas.openxmlformats.org/officeDocument/2006/relationships/image" Target="media/image670.png"/><Relationship Id="rId764" Type="http://schemas.openxmlformats.org/officeDocument/2006/relationships/image" Target="media/image671.png"/><Relationship Id="rId765" Type="http://schemas.openxmlformats.org/officeDocument/2006/relationships/image" Target="media/image672.png"/><Relationship Id="rId766" Type="http://schemas.openxmlformats.org/officeDocument/2006/relationships/image" Target="media/image673.png"/><Relationship Id="rId767" Type="http://schemas.openxmlformats.org/officeDocument/2006/relationships/image" Target="media/image674.png"/><Relationship Id="rId768" Type="http://schemas.openxmlformats.org/officeDocument/2006/relationships/image" Target="media/image675.png"/><Relationship Id="rId769" Type="http://schemas.openxmlformats.org/officeDocument/2006/relationships/image" Target="media/image676.png"/><Relationship Id="rId770" Type="http://schemas.openxmlformats.org/officeDocument/2006/relationships/image" Target="media/image677.png"/><Relationship Id="rId771" Type="http://schemas.openxmlformats.org/officeDocument/2006/relationships/image" Target="media/image678.png"/><Relationship Id="rId772" Type="http://schemas.openxmlformats.org/officeDocument/2006/relationships/image" Target="media/image679.png"/><Relationship Id="rId773" Type="http://schemas.openxmlformats.org/officeDocument/2006/relationships/image" Target="media/image680.png"/><Relationship Id="rId774" Type="http://schemas.openxmlformats.org/officeDocument/2006/relationships/image" Target="media/image681.png"/><Relationship Id="rId775" Type="http://schemas.openxmlformats.org/officeDocument/2006/relationships/image" Target="media/image682.png"/><Relationship Id="rId776" Type="http://schemas.openxmlformats.org/officeDocument/2006/relationships/image" Target="media/image683.png"/><Relationship Id="rId777" Type="http://schemas.openxmlformats.org/officeDocument/2006/relationships/image" Target="media/image684.png"/><Relationship Id="rId778" Type="http://schemas.openxmlformats.org/officeDocument/2006/relationships/image" Target="media/image685.png"/><Relationship Id="rId779" Type="http://schemas.openxmlformats.org/officeDocument/2006/relationships/image" Target="media/image686.png"/><Relationship Id="rId780" Type="http://schemas.openxmlformats.org/officeDocument/2006/relationships/image" Target="media/image687.png"/><Relationship Id="rId781" Type="http://schemas.openxmlformats.org/officeDocument/2006/relationships/image" Target="media/image688.png"/><Relationship Id="rId782" Type="http://schemas.openxmlformats.org/officeDocument/2006/relationships/image" Target="media/image689.png"/><Relationship Id="rId783" Type="http://schemas.openxmlformats.org/officeDocument/2006/relationships/image" Target="media/image690.png"/><Relationship Id="rId784" Type="http://schemas.openxmlformats.org/officeDocument/2006/relationships/image" Target="media/image691.png"/><Relationship Id="rId785" Type="http://schemas.openxmlformats.org/officeDocument/2006/relationships/image" Target="media/image692.png"/><Relationship Id="rId786" Type="http://schemas.openxmlformats.org/officeDocument/2006/relationships/image" Target="media/image693.png"/><Relationship Id="rId787" Type="http://schemas.openxmlformats.org/officeDocument/2006/relationships/image" Target="media/image694.png"/><Relationship Id="rId788" Type="http://schemas.openxmlformats.org/officeDocument/2006/relationships/image" Target="media/image695.png"/><Relationship Id="rId789" Type="http://schemas.openxmlformats.org/officeDocument/2006/relationships/image" Target="media/image696.png"/><Relationship Id="rId790" Type="http://schemas.openxmlformats.org/officeDocument/2006/relationships/image" Target="media/image697.png"/><Relationship Id="rId791" Type="http://schemas.openxmlformats.org/officeDocument/2006/relationships/image" Target="media/image698.png"/><Relationship Id="rId792" Type="http://schemas.openxmlformats.org/officeDocument/2006/relationships/image" Target="media/image699.png"/><Relationship Id="rId793" Type="http://schemas.openxmlformats.org/officeDocument/2006/relationships/image" Target="media/image700.png"/><Relationship Id="rId794" Type="http://schemas.openxmlformats.org/officeDocument/2006/relationships/image" Target="media/image701.png"/><Relationship Id="rId795" Type="http://schemas.openxmlformats.org/officeDocument/2006/relationships/image" Target="media/image702.png"/><Relationship Id="rId796" Type="http://schemas.openxmlformats.org/officeDocument/2006/relationships/image" Target="media/image703.png"/><Relationship Id="rId797" Type="http://schemas.openxmlformats.org/officeDocument/2006/relationships/image" Target="media/image704.png"/><Relationship Id="rId798" Type="http://schemas.openxmlformats.org/officeDocument/2006/relationships/image" Target="media/image705.png"/><Relationship Id="rId799" Type="http://schemas.openxmlformats.org/officeDocument/2006/relationships/image" Target="media/image706.png"/><Relationship Id="rId800" Type="http://schemas.openxmlformats.org/officeDocument/2006/relationships/image" Target="media/image707.png"/><Relationship Id="rId801" Type="http://schemas.openxmlformats.org/officeDocument/2006/relationships/image" Target="media/image708.png"/><Relationship Id="rId802" Type="http://schemas.openxmlformats.org/officeDocument/2006/relationships/image" Target="media/image709.png"/><Relationship Id="rId803" Type="http://schemas.openxmlformats.org/officeDocument/2006/relationships/image" Target="media/image710.png"/><Relationship Id="rId804" Type="http://schemas.openxmlformats.org/officeDocument/2006/relationships/image" Target="media/image711.png"/><Relationship Id="rId805" Type="http://schemas.openxmlformats.org/officeDocument/2006/relationships/image" Target="media/image712.png"/><Relationship Id="rId806" Type="http://schemas.openxmlformats.org/officeDocument/2006/relationships/image" Target="media/image713.png"/><Relationship Id="rId807" Type="http://schemas.openxmlformats.org/officeDocument/2006/relationships/image" Target="media/image714.png"/><Relationship Id="rId808" Type="http://schemas.openxmlformats.org/officeDocument/2006/relationships/image" Target="media/image715.png"/><Relationship Id="rId809" Type="http://schemas.openxmlformats.org/officeDocument/2006/relationships/image" Target="media/image716.png"/><Relationship Id="rId810" Type="http://schemas.openxmlformats.org/officeDocument/2006/relationships/image" Target="media/image717.png"/><Relationship Id="rId811" Type="http://schemas.openxmlformats.org/officeDocument/2006/relationships/image" Target="media/image718.png"/><Relationship Id="rId812" Type="http://schemas.openxmlformats.org/officeDocument/2006/relationships/image" Target="media/image719.png"/><Relationship Id="rId813" Type="http://schemas.openxmlformats.org/officeDocument/2006/relationships/image" Target="media/image720.png"/><Relationship Id="rId814" Type="http://schemas.openxmlformats.org/officeDocument/2006/relationships/image" Target="media/image721.png"/><Relationship Id="rId815" Type="http://schemas.openxmlformats.org/officeDocument/2006/relationships/image" Target="media/image722.png"/><Relationship Id="rId816" Type="http://schemas.openxmlformats.org/officeDocument/2006/relationships/image" Target="media/image723.png"/><Relationship Id="rId817" Type="http://schemas.openxmlformats.org/officeDocument/2006/relationships/image" Target="media/image724.png"/><Relationship Id="rId818" Type="http://schemas.openxmlformats.org/officeDocument/2006/relationships/image" Target="media/image725.png"/><Relationship Id="rId819" Type="http://schemas.openxmlformats.org/officeDocument/2006/relationships/image" Target="media/image726.png"/><Relationship Id="rId820" Type="http://schemas.openxmlformats.org/officeDocument/2006/relationships/image" Target="media/image727.png"/><Relationship Id="rId821" Type="http://schemas.openxmlformats.org/officeDocument/2006/relationships/image" Target="media/image728.png"/><Relationship Id="rId822" Type="http://schemas.openxmlformats.org/officeDocument/2006/relationships/image" Target="media/image729.png"/><Relationship Id="rId823" Type="http://schemas.openxmlformats.org/officeDocument/2006/relationships/image" Target="media/image730.png"/><Relationship Id="rId824" Type="http://schemas.openxmlformats.org/officeDocument/2006/relationships/image" Target="media/image731.png"/><Relationship Id="rId825" Type="http://schemas.openxmlformats.org/officeDocument/2006/relationships/image" Target="media/image732.png"/><Relationship Id="rId826" Type="http://schemas.openxmlformats.org/officeDocument/2006/relationships/image" Target="media/image733.png"/><Relationship Id="rId827" Type="http://schemas.openxmlformats.org/officeDocument/2006/relationships/image" Target="media/image734.png"/><Relationship Id="rId828" Type="http://schemas.openxmlformats.org/officeDocument/2006/relationships/image" Target="media/image735.png"/><Relationship Id="rId829" Type="http://schemas.openxmlformats.org/officeDocument/2006/relationships/image" Target="media/image736.png"/><Relationship Id="rId830" Type="http://schemas.openxmlformats.org/officeDocument/2006/relationships/image" Target="media/image737.png"/><Relationship Id="rId831" Type="http://schemas.openxmlformats.org/officeDocument/2006/relationships/footer" Target="footer47.xml"/><Relationship Id="rId832" Type="http://schemas.openxmlformats.org/officeDocument/2006/relationships/footer" Target="footer48.xml"/><Relationship Id="rId833" Type="http://schemas.openxmlformats.org/officeDocument/2006/relationships/footer" Target="footer49.xml"/><Relationship Id="rId834" Type="http://schemas.openxmlformats.org/officeDocument/2006/relationships/image" Target="media/image738.png"/><Relationship Id="rId835" Type="http://schemas.openxmlformats.org/officeDocument/2006/relationships/image" Target="media/image739.png"/><Relationship Id="rId836" Type="http://schemas.openxmlformats.org/officeDocument/2006/relationships/image" Target="media/image740.png"/><Relationship Id="rId837" Type="http://schemas.openxmlformats.org/officeDocument/2006/relationships/image" Target="media/image741.png"/><Relationship Id="rId838" Type="http://schemas.openxmlformats.org/officeDocument/2006/relationships/image" Target="media/image742.png"/><Relationship Id="rId839" Type="http://schemas.openxmlformats.org/officeDocument/2006/relationships/image" Target="media/image743.png"/><Relationship Id="rId840" Type="http://schemas.openxmlformats.org/officeDocument/2006/relationships/image" Target="media/image744.png"/><Relationship Id="rId841" Type="http://schemas.openxmlformats.org/officeDocument/2006/relationships/image" Target="media/image745.png"/><Relationship Id="rId842" Type="http://schemas.openxmlformats.org/officeDocument/2006/relationships/image" Target="media/image746.png"/><Relationship Id="rId843" Type="http://schemas.openxmlformats.org/officeDocument/2006/relationships/image" Target="media/image747.png"/><Relationship Id="rId844" Type="http://schemas.openxmlformats.org/officeDocument/2006/relationships/image" Target="media/image748.png"/><Relationship Id="rId845" Type="http://schemas.openxmlformats.org/officeDocument/2006/relationships/image" Target="media/image749.png"/><Relationship Id="rId846" Type="http://schemas.openxmlformats.org/officeDocument/2006/relationships/image" Target="media/image750.png"/><Relationship Id="rId847" Type="http://schemas.openxmlformats.org/officeDocument/2006/relationships/image" Target="media/image751.png"/><Relationship Id="rId848" Type="http://schemas.openxmlformats.org/officeDocument/2006/relationships/image" Target="media/image752.png"/><Relationship Id="rId849" Type="http://schemas.openxmlformats.org/officeDocument/2006/relationships/image" Target="media/image753.png"/><Relationship Id="rId850" Type="http://schemas.openxmlformats.org/officeDocument/2006/relationships/image" Target="media/image754.png"/><Relationship Id="rId851" Type="http://schemas.openxmlformats.org/officeDocument/2006/relationships/image" Target="media/image755.png"/><Relationship Id="rId852" Type="http://schemas.openxmlformats.org/officeDocument/2006/relationships/image" Target="media/image756.png"/><Relationship Id="rId853" Type="http://schemas.openxmlformats.org/officeDocument/2006/relationships/image" Target="media/image757.png"/><Relationship Id="rId854" Type="http://schemas.openxmlformats.org/officeDocument/2006/relationships/image" Target="media/image758.png"/><Relationship Id="rId855" Type="http://schemas.openxmlformats.org/officeDocument/2006/relationships/image" Target="media/image759.png"/><Relationship Id="rId856" Type="http://schemas.openxmlformats.org/officeDocument/2006/relationships/image" Target="media/image760.png"/><Relationship Id="rId857" Type="http://schemas.openxmlformats.org/officeDocument/2006/relationships/image" Target="media/image761.png"/><Relationship Id="rId858" Type="http://schemas.openxmlformats.org/officeDocument/2006/relationships/image" Target="media/image762.png"/><Relationship Id="rId859" Type="http://schemas.openxmlformats.org/officeDocument/2006/relationships/image" Target="media/image763.png"/><Relationship Id="rId860" Type="http://schemas.openxmlformats.org/officeDocument/2006/relationships/image" Target="media/image764.png"/><Relationship Id="rId861" Type="http://schemas.openxmlformats.org/officeDocument/2006/relationships/image" Target="media/image765.png"/><Relationship Id="rId862" Type="http://schemas.openxmlformats.org/officeDocument/2006/relationships/image" Target="media/image766.png"/><Relationship Id="rId863" Type="http://schemas.openxmlformats.org/officeDocument/2006/relationships/image" Target="media/image767.png"/><Relationship Id="rId864" Type="http://schemas.openxmlformats.org/officeDocument/2006/relationships/image" Target="media/image768.png"/><Relationship Id="rId865" Type="http://schemas.openxmlformats.org/officeDocument/2006/relationships/image" Target="media/image769.png"/><Relationship Id="rId866" Type="http://schemas.openxmlformats.org/officeDocument/2006/relationships/image" Target="media/image770.png"/><Relationship Id="rId867" Type="http://schemas.openxmlformats.org/officeDocument/2006/relationships/image" Target="media/image771.png"/><Relationship Id="rId868" Type="http://schemas.openxmlformats.org/officeDocument/2006/relationships/image" Target="media/image772.png"/><Relationship Id="rId869" Type="http://schemas.openxmlformats.org/officeDocument/2006/relationships/footer" Target="footer50.xml"/><Relationship Id="rId870" Type="http://schemas.openxmlformats.org/officeDocument/2006/relationships/footer" Target="footer51.xml"/><Relationship Id="rId871" Type="http://schemas.openxmlformats.org/officeDocument/2006/relationships/footer" Target="footer52.xml"/><Relationship Id="rId872" Type="http://schemas.openxmlformats.org/officeDocument/2006/relationships/image" Target="media/image773.png"/><Relationship Id="rId873" Type="http://schemas.openxmlformats.org/officeDocument/2006/relationships/image" Target="media/image774.png"/><Relationship Id="rId874" Type="http://schemas.openxmlformats.org/officeDocument/2006/relationships/image" Target="media/image775.png"/><Relationship Id="rId875" Type="http://schemas.openxmlformats.org/officeDocument/2006/relationships/image" Target="media/image776.png"/><Relationship Id="rId876" Type="http://schemas.openxmlformats.org/officeDocument/2006/relationships/image" Target="media/image777.png"/><Relationship Id="rId877" Type="http://schemas.openxmlformats.org/officeDocument/2006/relationships/image" Target="media/image778.png"/><Relationship Id="rId878" Type="http://schemas.openxmlformats.org/officeDocument/2006/relationships/image" Target="media/image779.png"/><Relationship Id="rId879" Type="http://schemas.openxmlformats.org/officeDocument/2006/relationships/image" Target="media/image780.png"/><Relationship Id="rId880" Type="http://schemas.openxmlformats.org/officeDocument/2006/relationships/image" Target="media/image781.png"/><Relationship Id="rId881" Type="http://schemas.openxmlformats.org/officeDocument/2006/relationships/image" Target="media/image782.png"/><Relationship Id="rId882" Type="http://schemas.openxmlformats.org/officeDocument/2006/relationships/image" Target="media/image783.png"/><Relationship Id="rId883" Type="http://schemas.openxmlformats.org/officeDocument/2006/relationships/image" Target="media/image784.png"/><Relationship Id="rId884" Type="http://schemas.openxmlformats.org/officeDocument/2006/relationships/image" Target="media/image785.png"/><Relationship Id="rId885" Type="http://schemas.openxmlformats.org/officeDocument/2006/relationships/image" Target="media/image786.png"/><Relationship Id="rId886" Type="http://schemas.openxmlformats.org/officeDocument/2006/relationships/image" Target="media/image787.png"/><Relationship Id="rId887" Type="http://schemas.openxmlformats.org/officeDocument/2006/relationships/image" Target="media/image788.png"/><Relationship Id="rId888" Type="http://schemas.openxmlformats.org/officeDocument/2006/relationships/image" Target="media/image789.png"/><Relationship Id="rId889" Type="http://schemas.openxmlformats.org/officeDocument/2006/relationships/image" Target="media/image790.png"/><Relationship Id="rId890" Type="http://schemas.openxmlformats.org/officeDocument/2006/relationships/image" Target="media/image791.png"/><Relationship Id="rId891" Type="http://schemas.openxmlformats.org/officeDocument/2006/relationships/image" Target="media/image792.png"/><Relationship Id="rId892" Type="http://schemas.openxmlformats.org/officeDocument/2006/relationships/image" Target="media/image793.png"/><Relationship Id="rId893" Type="http://schemas.openxmlformats.org/officeDocument/2006/relationships/image" Target="media/image794.png"/><Relationship Id="rId894" Type="http://schemas.openxmlformats.org/officeDocument/2006/relationships/image" Target="media/image795.png"/><Relationship Id="rId895" Type="http://schemas.openxmlformats.org/officeDocument/2006/relationships/image" Target="media/image796.png"/><Relationship Id="rId896" Type="http://schemas.openxmlformats.org/officeDocument/2006/relationships/image" Target="media/image797.png"/><Relationship Id="rId897" Type="http://schemas.openxmlformats.org/officeDocument/2006/relationships/image" Target="media/image798.png"/><Relationship Id="rId898" Type="http://schemas.openxmlformats.org/officeDocument/2006/relationships/image" Target="media/image799.png"/><Relationship Id="rId899" Type="http://schemas.openxmlformats.org/officeDocument/2006/relationships/image" Target="media/image800.png"/><Relationship Id="rId900" Type="http://schemas.openxmlformats.org/officeDocument/2006/relationships/image" Target="media/image801.png"/><Relationship Id="rId901" Type="http://schemas.openxmlformats.org/officeDocument/2006/relationships/image" Target="media/image802.png"/><Relationship Id="rId902" Type="http://schemas.openxmlformats.org/officeDocument/2006/relationships/image" Target="media/image803.png"/><Relationship Id="rId903" Type="http://schemas.openxmlformats.org/officeDocument/2006/relationships/image" Target="media/image804.png"/><Relationship Id="rId904" Type="http://schemas.openxmlformats.org/officeDocument/2006/relationships/image" Target="media/image805.png"/><Relationship Id="rId905" Type="http://schemas.openxmlformats.org/officeDocument/2006/relationships/image" Target="media/image806.png"/><Relationship Id="rId906" Type="http://schemas.openxmlformats.org/officeDocument/2006/relationships/image" Target="media/image807.png"/><Relationship Id="rId907" Type="http://schemas.openxmlformats.org/officeDocument/2006/relationships/image" Target="media/image808.png"/><Relationship Id="rId908" Type="http://schemas.openxmlformats.org/officeDocument/2006/relationships/image" Target="media/image809.png"/><Relationship Id="rId909" Type="http://schemas.openxmlformats.org/officeDocument/2006/relationships/image" Target="media/image810.png"/><Relationship Id="rId910" Type="http://schemas.openxmlformats.org/officeDocument/2006/relationships/image" Target="media/image811.png"/><Relationship Id="rId911" Type="http://schemas.openxmlformats.org/officeDocument/2006/relationships/image" Target="media/image812.png"/><Relationship Id="rId912" Type="http://schemas.openxmlformats.org/officeDocument/2006/relationships/image" Target="media/image813.png"/><Relationship Id="rId913" Type="http://schemas.openxmlformats.org/officeDocument/2006/relationships/image" Target="media/image814.png"/><Relationship Id="rId914" Type="http://schemas.openxmlformats.org/officeDocument/2006/relationships/image" Target="media/image815.png"/><Relationship Id="rId915" Type="http://schemas.openxmlformats.org/officeDocument/2006/relationships/image" Target="media/image816.png"/><Relationship Id="rId916" Type="http://schemas.openxmlformats.org/officeDocument/2006/relationships/image" Target="media/image817.png"/><Relationship Id="rId917" Type="http://schemas.openxmlformats.org/officeDocument/2006/relationships/image" Target="media/image818.png"/><Relationship Id="rId918" Type="http://schemas.openxmlformats.org/officeDocument/2006/relationships/image" Target="media/image819.png"/><Relationship Id="rId919" Type="http://schemas.openxmlformats.org/officeDocument/2006/relationships/image" Target="media/image820.png"/><Relationship Id="rId920" Type="http://schemas.openxmlformats.org/officeDocument/2006/relationships/image" Target="media/image821.png"/><Relationship Id="rId921" Type="http://schemas.openxmlformats.org/officeDocument/2006/relationships/image" Target="media/image822.png"/><Relationship Id="rId922" Type="http://schemas.openxmlformats.org/officeDocument/2006/relationships/image" Target="media/image823.png"/><Relationship Id="rId923" Type="http://schemas.openxmlformats.org/officeDocument/2006/relationships/image" Target="media/image824.png"/><Relationship Id="rId924" Type="http://schemas.openxmlformats.org/officeDocument/2006/relationships/image" Target="media/image825.png"/><Relationship Id="rId925" Type="http://schemas.openxmlformats.org/officeDocument/2006/relationships/image" Target="media/image826.png"/><Relationship Id="rId926" Type="http://schemas.openxmlformats.org/officeDocument/2006/relationships/image" Target="media/image827.png"/><Relationship Id="rId927" Type="http://schemas.openxmlformats.org/officeDocument/2006/relationships/image" Target="media/image828.png"/><Relationship Id="rId928" Type="http://schemas.openxmlformats.org/officeDocument/2006/relationships/image" Target="media/image829.png"/><Relationship Id="rId929" Type="http://schemas.openxmlformats.org/officeDocument/2006/relationships/image" Target="media/image830.png"/><Relationship Id="rId930" Type="http://schemas.openxmlformats.org/officeDocument/2006/relationships/image" Target="media/image831.png"/><Relationship Id="rId931" Type="http://schemas.openxmlformats.org/officeDocument/2006/relationships/image" Target="media/image832.png"/><Relationship Id="rId932" Type="http://schemas.openxmlformats.org/officeDocument/2006/relationships/image" Target="media/image833.png"/><Relationship Id="rId933" Type="http://schemas.openxmlformats.org/officeDocument/2006/relationships/image" Target="media/image834.png"/><Relationship Id="rId934" Type="http://schemas.openxmlformats.org/officeDocument/2006/relationships/image" Target="media/image835.png"/><Relationship Id="rId935" Type="http://schemas.openxmlformats.org/officeDocument/2006/relationships/image" Target="media/image836.png"/><Relationship Id="rId936" Type="http://schemas.openxmlformats.org/officeDocument/2006/relationships/image" Target="media/image837.png"/><Relationship Id="rId937" Type="http://schemas.openxmlformats.org/officeDocument/2006/relationships/image" Target="media/image838.png"/><Relationship Id="rId938" Type="http://schemas.openxmlformats.org/officeDocument/2006/relationships/image" Target="media/image839.png"/><Relationship Id="rId939" Type="http://schemas.openxmlformats.org/officeDocument/2006/relationships/image" Target="media/image840.png"/><Relationship Id="rId940" Type="http://schemas.openxmlformats.org/officeDocument/2006/relationships/image" Target="media/image841.png"/><Relationship Id="rId941" Type="http://schemas.openxmlformats.org/officeDocument/2006/relationships/image" Target="media/image842.png"/><Relationship Id="rId942" Type="http://schemas.openxmlformats.org/officeDocument/2006/relationships/image" Target="media/image843.png"/><Relationship Id="rId943" Type="http://schemas.openxmlformats.org/officeDocument/2006/relationships/image" Target="media/image844.png"/><Relationship Id="rId944" Type="http://schemas.openxmlformats.org/officeDocument/2006/relationships/image" Target="media/image845.png"/><Relationship Id="rId945" Type="http://schemas.openxmlformats.org/officeDocument/2006/relationships/image" Target="media/image846.png"/><Relationship Id="rId946" Type="http://schemas.openxmlformats.org/officeDocument/2006/relationships/image" Target="media/image847.png"/><Relationship Id="rId947" Type="http://schemas.openxmlformats.org/officeDocument/2006/relationships/image" Target="media/image848.png"/><Relationship Id="rId948" Type="http://schemas.openxmlformats.org/officeDocument/2006/relationships/image" Target="media/image849.png"/><Relationship Id="rId949" Type="http://schemas.openxmlformats.org/officeDocument/2006/relationships/image" Target="media/image850.png"/><Relationship Id="rId950" Type="http://schemas.openxmlformats.org/officeDocument/2006/relationships/image" Target="media/image851.png"/><Relationship Id="rId951" Type="http://schemas.openxmlformats.org/officeDocument/2006/relationships/image" Target="media/image852.png"/><Relationship Id="rId952" Type="http://schemas.openxmlformats.org/officeDocument/2006/relationships/image" Target="media/image853.png"/><Relationship Id="rId953" Type="http://schemas.openxmlformats.org/officeDocument/2006/relationships/image" Target="media/image854.png"/><Relationship Id="rId954" Type="http://schemas.openxmlformats.org/officeDocument/2006/relationships/image" Target="media/image855.png"/><Relationship Id="rId955" Type="http://schemas.openxmlformats.org/officeDocument/2006/relationships/image" Target="media/image856.png"/><Relationship Id="rId956" Type="http://schemas.openxmlformats.org/officeDocument/2006/relationships/image" Target="media/image857.png"/><Relationship Id="rId957" Type="http://schemas.openxmlformats.org/officeDocument/2006/relationships/image" Target="media/image858.png"/><Relationship Id="rId958" Type="http://schemas.openxmlformats.org/officeDocument/2006/relationships/image" Target="media/image859.png"/><Relationship Id="rId959" Type="http://schemas.openxmlformats.org/officeDocument/2006/relationships/image" Target="media/image860.png"/><Relationship Id="rId960" Type="http://schemas.openxmlformats.org/officeDocument/2006/relationships/image" Target="media/image861.png"/><Relationship Id="rId961" Type="http://schemas.openxmlformats.org/officeDocument/2006/relationships/image" Target="media/image862.png"/><Relationship Id="rId962" Type="http://schemas.openxmlformats.org/officeDocument/2006/relationships/image" Target="media/image863.png"/><Relationship Id="rId963" Type="http://schemas.openxmlformats.org/officeDocument/2006/relationships/image" Target="media/image864.png"/><Relationship Id="rId964" Type="http://schemas.openxmlformats.org/officeDocument/2006/relationships/image" Target="media/image865.png"/><Relationship Id="rId965" Type="http://schemas.openxmlformats.org/officeDocument/2006/relationships/image" Target="media/image866.png"/><Relationship Id="rId966" Type="http://schemas.openxmlformats.org/officeDocument/2006/relationships/image" Target="media/image867.png"/><Relationship Id="rId967" Type="http://schemas.openxmlformats.org/officeDocument/2006/relationships/image" Target="media/image868.png"/><Relationship Id="rId968" Type="http://schemas.openxmlformats.org/officeDocument/2006/relationships/image" Target="media/image869.png"/><Relationship Id="rId969" Type="http://schemas.openxmlformats.org/officeDocument/2006/relationships/image" Target="media/image870.png"/><Relationship Id="rId970" Type="http://schemas.openxmlformats.org/officeDocument/2006/relationships/image" Target="media/image871.png"/><Relationship Id="rId971" Type="http://schemas.openxmlformats.org/officeDocument/2006/relationships/image" Target="media/image872.png"/><Relationship Id="rId972" Type="http://schemas.openxmlformats.org/officeDocument/2006/relationships/image" Target="media/image873.png"/><Relationship Id="rId973" Type="http://schemas.openxmlformats.org/officeDocument/2006/relationships/image" Target="media/image874.png"/><Relationship Id="rId974" Type="http://schemas.openxmlformats.org/officeDocument/2006/relationships/image" Target="media/image875.png"/><Relationship Id="rId975" Type="http://schemas.openxmlformats.org/officeDocument/2006/relationships/image" Target="media/image876.png"/><Relationship Id="rId976" Type="http://schemas.openxmlformats.org/officeDocument/2006/relationships/image" Target="media/image877.png"/><Relationship Id="rId977" Type="http://schemas.openxmlformats.org/officeDocument/2006/relationships/image" Target="media/image878.png"/><Relationship Id="rId978" Type="http://schemas.openxmlformats.org/officeDocument/2006/relationships/image" Target="media/image879.png"/><Relationship Id="rId979" Type="http://schemas.openxmlformats.org/officeDocument/2006/relationships/image" Target="media/image880.png"/><Relationship Id="rId980" Type="http://schemas.openxmlformats.org/officeDocument/2006/relationships/image" Target="media/image881.png"/><Relationship Id="rId981" Type="http://schemas.openxmlformats.org/officeDocument/2006/relationships/image" Target="media/image882.png"/><Relationship Id="rId982" Type="http://schemas.openxmlformats.org/officeDocument/2006/relationships/image" Target="media/image883.png"/><Relationship Id="rId983" Type="http://schemas.openxmlformats.org/officeDocument/2006/relationships/image" Target="media/image884.png"/><Relationship Id="rId984" Type="http://schemas.openxmlformats.org/officeDocument/2006/relationships/image" Target="media/image885.png"/><Relationship Id="rId985" Type="http://schemas.openxmlformats.org/officeDocument/2006/relationships/image" Target="media/image886.png"/><Relationship Id="rId986" Type="http://schemas.openxmlformats.org/officeDocument/2006/relationships/image" Target="media/image887.png"/><Relationship Id="rId987" Type="http://schemas.openxmlformats.org/officeDocument/2006/relationships/image" Target="media/image888.png"/><Relationship Id="rId988" Type="http://schemas.openxmlformats.org/officeDocument/2006/relationships/image" Target="media/image889.png"/><Relationship Id="rId989" Type="http://schemas.openxmlformats.org/officeDocument/2006/relationships/image" Target="media/image890.png"/><Relationship Id="rId990" Type="http://schemas.openxmlformats.org/officeDocument/2006/relationships/image" Target="media/image891.png"/><Relationship Id="rId991" Type="http://schemas.openxmlformats.org/officeDocument/2006/relationships/image" Target="media/image892.png"/><Relationship Id="rId992" Type="http://schemas.openxmlformats.org/officeDocument/2006/relationships/image" Target="media/image893.png"/><Relationship Id="rId993" Type="http://schemas.openxmlformats.org/officeDocument/2006/relationships/image" Target="media/image894.png"/><Relationship Id="rId994" Type="http://schemas.openxmlformats.org/officeDocument/2006/relationships/image" Target="media/image895.png"/><Relationship Id="rId995" Type="http://schemas.openxmlformats.org/officeDocument/2006/relationships/image" Target="media/image896.png"/><Relationship Id="rId996" Type="http://schemas.openxmlformats.org/officeDocument/2006/relationships/image" Target="media/image897.png"/><Relationship Id="rId997" Type="http://schemas.openxmlformats.org/officeDocument/2006/relationships/image" Target="media/image898.png"/><Relationship Id="rId998" Type="http://schemas.openxmlformats.org/officeDocument/2006/relationships/image" Target="media/image899.png"/><Relationship Id="rId999" Type="http://schemas.openxmlformats.org/officeDocument/2006/relationships/image" Target="media/image900.png"/><Relationship Id="rId1000" Type="http://schemas.openxmlformats.org/officeDocument/2006/relationships/image" Target="media/image901.png"/><Relationship Id="rId1001" Type="http://schemas.openxmlformats.org/officeDocument/2006/relationships/image" Target="media/image902.png"/><Relationship Id="rId1002" Type="http://schemas.openxmlformats.org/officeDocument/2006/relationships/image" Target="media/image903.png"/><Relationship Id="rId1003" Type="http://schemas.openxmlformats.org/officeDocument/2006/relationships/image" Target="media/image904.png"/><Relationship Id="rId1004" Type="http://schemas.openxmlformats.org/officeDocument/2006/relationships/image" Target="media/image905.png"/><Relationship Id="rId1005" Type="http://schemas.openxmlformats.org/officeDocument/2006/relationships/image" Target="media/image906.png"/><Relationship Id="rId1006" Type="http://schemas.openxmlformats.org/officeDocument/2006/relationships/image" Target="media/image907.png"/><Relationship Id="rId1007" Type="http://schemas.openxmlformats.org/officeDocument/2006/relationships/image" Target="media/image908.png"/><Relationship Id="rId1008" Type="http://schemas.openxmlformats.org/officeDocument/2006/relationships/image" Target="media/image909.png"/><Relationship Id="rId1009" Type="http://schemas.openxmlformats.org/officeDocument/2006/relationships/image" Target="media/image910.png"/><Relationship Id="rId1010" Type="http://schemas.openxmlformats.org/officeDocument/2006/relationships/image" Target="media/image911.png"/><Relationship Id="rId1011" Type="http://schemas.openxmlformats.org/officeDocument/2006/relationships/image" Target="media/image912.png"/><Relationship Id="rId1012" Type="http://schemas.openxmlformats.org/officeDocument/2006/relationships/image" Target="media/image913.png"/><Relationship Id="rId1013" Type="http://schemas.openxmlformats.org/officeDocument/2006/relationships/image" Target="media/image914.png"/><Relationship Id="rId1014" Type="http://schemas.openxmlformats.org/officeDocument/2006/relationships/image" Target="media/image915.png"/><Relationship Id="rId1015" Type="http://schemas.openxmlformats.org/officeDocument/2006/relationships/image" Target="media/image916.png"/><Relationship Id="rId1016" Type="http://schemas.openxmlformats.org/officeDocument/2006/relationships/image" Target="media/image917.png"/><Relationship Id="rId1017" Type="http://schemas.openxmlformats.org/officeDocument/2006/relationships/image" Target="media/image918.png"/><Relationship Id="rId1018" Type="http://schemas.openxmlformats.org/officeDocument/2006/relationships/image" Target="media/image919.png"/><Relationship Id="rId1019" Type="http://schemas.openxmlformats.org/officeDocument/2006/relationships/image" Target="media/image920.png"/><Relationship Id="rId1020" Type="http://schemas.openxmlformats.org/officeDocument/2006/relationships/image" Target="media/image921.png"/><Relationship Id="rId1021" Type="http://schemas.openxmlformats.org/officeDocument/2006/relationships/image" Target="media/image922.png"/><Relationship Id="rId1022" Type="http://schemas.openxmlformats.org/officeDocument/2006/relationships/image" Target="media/image923.png"/><Relationship Id="rId1023" Type="http://schemas.openxmlformats.org/officeDocument/2006/relationships/image" Target="media/image924.png"/><Relationship Id="rId1024" Type="http://schemas.openxmlformats.org/officeDocument/2006/relationships/image" Target="media/image925.png"/><Relationship Id="rId1025" Type="http://schemas.openxmlformats.org/officeDocument/2006/relationships/image" Target="media/image926.png"/><Relationship Id="rId1026" Type="http://schemas.openxmlformats.org/officeDocument/2006/relationships/image" Target="media/image927.png"/><Relationship Id="rId1027" Type="http://schemas.openxmlformats.org/officeDocument/2006/relationships/image" Target="media/image928.png"/><Relationship Id="rId1028" Type="http://schemas.openxmlformats.org/officeDocument/2006/relationships/image" Target="media/image929.png"/><Relationship Id="rId1029" Type="http://schemas.openxmlformats.org/officeDocument/2006/relationships/image" Target="media/image930.png"/><Relationship Id="rId1030" Type="http://schemas.openxmlformats.org/officeDocument/2006/relationships/image" Target="media/image931.png"/><Relationship Id="rId1031" Type="http://schemas.openxmlformats.org/officeDocument/2006/relationships/image" Target="media/image932.png"/><Relationship Id="rId1032" Type="http://schemas.openxmlformats.org/officeDocument/2006/relationships/image" Target="media/image933.png"/><Relationship Id="rId1033" Type="http://schemas.openxmlformats.org/officeDocument/2006/relationships/image" Target="media/image934.png"/><Relationship Id="rId1034" Type="http://schemas.openxmlformats.org/officeDocument/2006/relationships/image" Target="media/image935.png"/><Relationship Id="rId1035" Type="http://schemas.openxmlformats.org/officeDocument/2006/relationships/image" Target="media/image936.png"/><Relationship Id="rId1036" Type="http://schemas.openxmlformats.org/officeDocument/2006/relationships/image" Target="media/image937.png"/><Relationship Id="rId1037" Type="http://schemas.openxmlformats.org/officeDocument/2006/relationships/image" Target="media/image938.png"/><Relationship Id="rId1038" Type="http://schemas.openxmlformats.org/officeDocument/2006/relationships/image" Target="media/image939.png"/><Relationship Id="rId1039" Type="http://schemas.openxmlformats.org/officeDocument/2006/relationships/image" Target="media/image940.png"/><Relationship Id="rId1040" Type="http://schemas.openxmlformats.org/officeDocument/2006/relationships/image" Target="media/image941.png"/><Relationship Id="rId1041" Type="http://schemas.openxmlformats.org/officeDocument/2006/relationships/image" Target="media/image942.png"/><Relationship Id="rId1042" Type="http://schemas.openxmlformats.org/officeDocument/2006/relationships/image" Target="media/image943.png"/><Relationship Id="rId1043" Type="http://schemas.openxmlformats.org/officeDocument/2006/relationships/image" Target="media/image944.png"/><Relationship Id="rId1044" Type="http://schemas.openxmlformats.org/officeDocument/2006/relationships/image" Target="media/image945.png"/><Relationship Id="rId1045" Type="http://schemas.openxmlformats.org/officeDocument/2006/relationships/image" Target="media/image946.png"/><Relationship Id="rId1046" Type="http://schemas.openxmlformats.org/officeDocument/2006/relationships/image" Target="media/image947.png"/><Relationship Id="rId1047" Type="http://schemas.openxmlformats.org/officeDocument/2006/relationships/image" Target="media/image948.png"/><Relationship Id="rId1048" Type="http://schemas.openxmlformats.org/officeDocument/2006/relationships/image" Target="media/image949.png"/><Relationship Id="rId1049" Type="http://schemas.openxmlformats.org/officeDocument/2006/relationships/image" Target="media/image950.png"/><Relationship Id="rId1050" Type="http://schemas.openxmlformats.org/officeDocument/2006/relationships/image" Target="media/image951.png"/><Relationship Id="rId1051" Type="http://schemas.openxmlformats.org/officeDocument/2006/relationships/image" Target="media/image952.png"/><Relationship Id="rId1052" Type="http://schemas.openxmlformats.org/officeDocument/2006/relationships/image" Target="media/image953.png"/><Relationship Id="rId1053" Type="http://schemas.openxmlformats.org/officeDocument/2006/relationships/image" Target="media/image954.png"/><Relationship Id="rId1054" Type="http://schemas.openxmlformats.org/officeDocument/2006/relationships/image" Target="media/image955.png"/><Relationship Id="rId1055" Type="http://schemas.openxmlformats.org/officeDocument/2006/relationships/image" Target="media/image956.png"/><Relationship Id="rId1056" Type="http://schemas.openxmlformats.org/officeDocument/2006/relationships/image" Target="media/image957.png"/><Relationship Id="rId1057" Type="http://schemas.openxmlformats.org/officeDocument/2006/relationships/image" Target="media/image958.png"/><Relationship Id="rId1058" Type="http://schemas.openxmlformats.org/officeDocument/2006/relationships/image" Target="media/image959.png"/><Relationship Id="rId1059" Type="http://schemas.openxmlformats.org/officeDocument/2006/relationships/image" Target="media/image960.png"/><Relationship Id="rId1060" Type="http://schemas.openxmlformats.org/officeDocument/2006/relationships/image" Target="media/image961.png"/><Relationship Id="rId1061" Type="http://schemas.openxmlformats.org/officeDocument/2006/relationships/image" Target="media/image962.png"/><Relationship Id="rId1062" Type="http://schemas.openxmlformats.org/officeDocument/2006/relationships/image" Target="media/image963.png"/><Relationship Id="rId1063" Type="http://schemas.openxmlformats.org/officeDocument/2006/relationships/image" Target="media/image964.png"/><Relationship Id="rId1064" Type="http://schemas.openxmlformats.org/officeDocument/2006/relationships/image" Target="media/image965.png"/><Relationship Id="rId1065" Type="http://schemas.openxmlformats.org/officeDocument/2006/relationships/image" Target="media/image966.png"/><Relationship Id="rId1066" Type="http://schemas.openxmlformats.org/officeDocument/2006/relationships/image" Target="media/image967.png"/><Relationship Id="rId1067" Type="http://schemas.openxmlformats.org/officeDocument/2006/relationships/image" Target="media/image968.png"/><Relationship Id="rId1068" Type="http://schemas.openxmlformats.org/officeDocument/2006/relationships/image" Target="media/image969.png"/><Relationship Id="rId1069" Type="http://schemas.openxmlformats.org/officeDocument/2006/relationships/image" Target="media/image970.png"/><Relationship Id="rId1070" Type="http://schemas.openxmlformats.org/officeDocument/2006/relationships/image" Target="media/image971.png"/><Relationship Id="rId1071" Type="http://schemas.openxmlformats.org/officeDocument/2006/relationships/image" Target="media/image972.png"/><Relationship Id="rId1072" Type="http://schemas.openxmlformats.org/officeDocument/2006/relationships/image" Target="media/image973.png"/><Relationship Id="rId1073" Type="http://schemas.openxmlformats.org/officeDocument/2006/relationships/image" Target="media/image974.png"/><Relationship Id="rId1074" Type="http://schemas.openxmlformats.org/officeDocument/2006/relationships/image" Target="media/image975.png"/><Relationship Id="rId1075" Type="http://schemas.openxmlformats.org/officeDocument/2006/relationships/image" Target="media/image976.png"/><Relationship Id="rId1076" Type="http://schemas.openxmlformats.org/officeDocument/2006/relationships/image" Target="media/image977.png"/><Relationship Id="rId1077" Type="http://schemas.openxmlformats.org/officeDocument/2006/relationships/image" Target="media/image978.png"/><Relationship Id="rId1078" Type="http://schemas.openxmlformats.org/officeDocument/2006/relationships/image" Target="media/image979.png"/><Relationship Id="rId1079" Type="http://schemas.openxmlformats.org/officeDocument/2006/relationships/image" Target="media/image980.png"/><Relationship Id="rId1080" Type="http://schemas.openxmlformats.org/officeDocument/2006/relationships/image" Target="media/image981.png"/><Relationship Id="rId1081" Type="http://schemas.openxmlformats.org/officeDocument/2006/relationships/footer" Target="footer53.xml"/><Relationship Id="rId1082" Type="http://schemas.openxmlformats.org/officeDocument/2006/relationships/image" Target="media/image982.png"/><Relationship Id="rId1083" Type="http://schemas.openxmlformats.org/officeDocument/2006/relationships/image" Target="media/image983.png"/><Relationship Id="rId1084" Type="http://schemas.openxmlformats.org/officeDocument/2006/relationships/image" Target="media/image984.png"/><Relationship Id="rId1085" Type="http://schemas.openxmlformats.org/officeDocument/2006/relationships/image" Target="media/image985.png"/><Relationship Id="rId1086" Type="http://schemas.openxmlformats.org/officeDocument/2006/relationships/image" Target="media/image986.png"/><Relationship Id="rId1087" Type="http://schemas.openxmlformats.org/officeDocument/2006/relationships/image" Target="media/image987.png"/><Relationship Id="rId1088" Type="http://schemas.openxmlformats.org/officeDocument/2006/relationships/image" Target="media/image988.png"/><Relationship Id="rId1089" Type="http://schemas.openxmlformats.org/officeDocument/2006/relationships/image" Target="media/image989.png"/><Relationship Id="rId1090" Type="http://schemas.openxmlformats.org/officeDocument/2006/relationships/image" Target="media/image990.png"/><Relationship Id="rId1091" Type="http://schemas.openxmlformats.org/officeDocument/2006/relationships/image" Target="media/image991.png"/><Relationship Id="rId1092" Type="http://schemas.openxmlformats.org/officeDocument/2006/relationships/image" Target="media/image992.png"/><Relationship Id="rId1093" Type="http://schemas.openxmlformats.org/officeDocument/2006/relationships/image" Target="media/image993.png"/><Relationship Id="rId1094" Type="http://schemas.openxmlformats.org/officeDocument/2006/relationships/image" Target="media/image994.png"/><Relationship Id="rId1095" Type="http://schemas.openxmlformats.org/officeDocument/2006/relationships/image" Target="media/image995.png"/><Relationship Id="rId1096" Type="http://schemas.openxmlformats.org/officeDocument/2006/relationships/image" Target="media/image996.png"/><Relationship Id="rId1097" Type="http://schemas.openxmlformats.org/officeDocument/2006/relationships/image" Target="media/image997.png"/><Relationship Id="rId1098" Type="http://schemas.openxmlformats.org/officeDocument/2006/relationships/image" Target="media/image998.png"/><Relationship Id="rId1099" Type="http://schemas.openxmlformats.org/officeDocument/2006/relationships/image" Target="media/image999.png"/><Relationship Id="rId1100" Type="http://schemas.openxmlformats.org/officeDocument/2006/relationships/image" Target="media/image1000.png"/><Relationship Id="rId1101" Type="http://schemas.openxmlformats.org/officeDocument/2006/relationships/image" Target="media/image1001.png"/><Relationship Id="rId1102" Type="http://schemas.openxmlformats.org/officeDocument/2006/relationships/image" Target="media/image1002.png"/><Relationship Id="rId1103" Type="http://schemas.openxmlformats.org/officeDocument/2006/relationships/image" Target="media/image1003.png"/><Relationship Id="rId1104" Type="http://schemas.openxmlformats.org/officeDocument/2006/relationships/image" Target="media/image1004.png"/><Relationship Id="rId1105" Type="http://schemas.openxmlformats.org/officeDocument/2006/relationships/image" Target="media/image1005.png"/><Relationship Id="rId1106" Type="http://schemas.openxmlformats.org/officeDocument/2006/relationships/image" Target="media/image1006.png"/><Relationship Id="rId1107" Type="http://schemas.openxmlformats.org/officeDocument/2006/relationships/image" Target="media/image1007.png"/><Relationship Id="rId1108" Type="http://schemas.openxmlformats.org/officeDocument/2006/relationships/image" Target="media/image1008.png"/><Relationship Id="rId1109" Type="http://schemas.openxmlformats.org/officeDocument/2006/relationships/image" Target="media/image1009.png"/><Relationship Id="rId1110" Type="http://schemas.openxmlformats.org/officeDocument/2006/relationships/image" Target="media/image1010.png"/><Relationship Id="rId1111" Type="http://schemas.openxmlformats.org/officeDocument/2006/relationships/image" Target="media/image1011.png"/><Relationship Id="rId1112" Type="http://schemas.openxmlformats.org/officeDocument/2006/relationships/image" Target="media/image1012.png"/><Relationship Id="rId1113" Type="http://schemas.openxmlformats.org/officeDocument/2006/relationships/image" Target="media/image1013.png"/><Relationship Id="rId1114" Type="http://schemas.openxmlformats.org/officeDocument/2006/relationships/image" Target="media/image1014.png"/><Relationship Id="rId1115" Type="http://schemas.openxmlformats.org/officeDocument/2006/relationships/image" Target="media/image1015.png"/><Relationship Id="rId1116" Type="http://schemas.openxmlformats.org/officeDocument/2006/relationships/image" Target="media/image1016.png"/><Relationship Id="rId1117" Type="http://schemas.openxmlformats.org/officeDocument/2006/relationships/image" Target="media/image1017.png"/><Relationship Id="rId1118" Type="http://schemas.openxmlformats.org/officeDocument/2006/relationships/image" Target="media/image1018.png"/><Relationship Id="rId1119" Type="http://schemas.openxmlformats.org/officeDocument/2006/relationships/image" Target="media/image1019.png"/><Relationship Id="rId1120" Type="http://schemas.openxmlformats.org/officeDocument/2006/relationships/image" Target="media/image1020.png"/><Relationship Id="rId1121" Type="http://schemas.openxmlformats.org/officeDocument/2006/relationships/image" Target="media/image1021.png"/><Relationship Id="rId1122" Type="http://schemas.openxmlformats.org/officeDocument/2006/relationships/image" Target="media/image1022.png"/><Relationship Id="rId1123" Type="http://schemas.openxmlformats.org/officeDocument/2006/relationships/image" Target="media/image1023.png"/><Relationship Id="rId1124" Type="http://schemas.openxmlformats.org/officeDocument/2006/relationships/image" Target="media/image1024.png"/><Relationship Id="rId1125" Type="http://schemas.openxmlformats.org/officeDocument/2006/relationships/image" Target="media/image1025.png"/><Relationship Id="rId1126" Type="http://schemas.openxmlformats.org/officeDocument/2006/relationships/image" Target="media/image1026.png"/><Relationship Id="rId1127" Type="http://schemas.openxmlformats.org/officeDocument/2006/relationships/image" Target="media/image1027.png"/><Relationship Id="rId1128" Type="http://schemas.openxmlformats.org/officeDocument/2006/relationships/image" Target="media/image1028.png"/><Relationship Id="rId1129" Type="http://schemas.openxmlformats.org/officeDocument/2006/relationships/image" Target="media/image1029.png"/><Relationship Id="rId1130" Type="http://schemas.openxmlformats.org/officeDocument/2006/relationships/image" Target="media/image1030.png"/><Relationship Id="rId1131" Type="http://schemas.openxmlformats.org/officeDocument/2006/relationships/footer" Target="footer54.xml"/><Relationship Id="rId1132" Type="http://schemas.openxmlformats.org/officeDocument/2006/relationships/image" Target="media/image1031.png"/><Relationship Id="rId1133" Type="http://schemas.openxmlformats.org/officeDocument/2006/relationships/image" Target="media/image1032.png"/><Relationship Id="rId1134" Type="http://schemas.openxmlformats.org/officeDocument/2006/relationships/image" Target="media/image1033.png"/><Relationship Id="rId1135" Type="http://schemas.openxmlformats.org/officeDocument/2006/relationships/image" Target="media/image1034.png"/><Relationship Id="rId1136" Type="http://schemas.openxmlformats.org/officeDocument/2006/relationships/image" Target="media/image1035.png"/><Relationship Id="rId1137" Type="http://schemas.openxmlformats.org/officeDocument/2006/relationships/image" Target="media/image1036.png"/><Relationship Id="rId1138" Type="http://schemas.openxmlformats.org/officeDocument/2006/relationships/image" Target="media/image1037.png"/><Relationship Id="rId1139" Type="http://schemas.openxmlformats.org/officeDocument/2006/relationships/image" Target="media/image1038.png"/><Relationship Id="rId1140" Type="http://schemas.openxmlformats.org/officeDocument/2006/relationships/image" Target="media/image1039.png"/><Relationship Id="rId1141" Type="http://schemas.openxmlformats.org/officeDocument/2006/relationships/image" Target="media/image1040.png"/><Relationship Id="rId1142" Type="http://schemas.openxmlformats.org/officeDocument/2006/relationships/image" Target="media/image1041.png"/><Relationship Id="rId1143" Type="http://schemas.openxmlformats.org/officeDocument/2006/relationships/image" Target="media/image1042.png"/><Relationship Id="rId1144" Type="http://schemas.openxmlformats.org/officeDocument/2006/relationships/image" Target="media/image1043.png"/><Relationship Id="rId1145" Type="http://schemas.openxmlformats.org/officeDocument/2006/relationships/image" Target="media/image1044.png"/><Relationship Id="rId1146" Type="http://schemas.openxmlformats.org/officeDocument/2006/relationships/image" Target="media/image1045.png"/><Relationship Id="rId1147" Type="http://schemas.openxmlformats.org/officeDocument/2006/relationships/image" Target="media/image1046.png"/><Relationship Id="rId1148" Type="http://schemas.openxmlformats.org/officeDocument/2006/relationships/image" Target="media/image1047.png"/><Relationship Id="rId1149" Type="http://schemas.openxmlformats.org/officeDocument/2006/relationships/hyperlink" Target="http://www.fitchm&#233;xico.com.mx/" TargetMode="External"/><Relationship Id="rId1150" Type="http://schemas.openxmlformats.org/officeDocument/2006/relationships/footer" Target="footer55.xml"/><Relationship Id="rId1151" Type="http://schemas.openxmlformats.org/officeDocument/2006/relationships/footer" Target="footer56.xml"/><Relationship Id="rId1152" Type="http://schemas.openxmlformats.org/officeDocument/2006/relationships/footer" Target="footer57.xml"/><Relationship Id="rId1153" Type="http://schemas.openxmlformats.org/officeDocument/2006/relationships/image" Target="media/image1048.png"/><Relationship Id="rId1154" Type="http://schemas.openxmlformats.org/officeDocument/2006/relationships/image" Target="media/image1049.png"/><Relationship Id="rId1155" Type="http://schemas.openxmlformats.org/officeDocument/2006/relationships/image" Target="media/image1050.png"/><Relationship Id="rId1156" Type="http://schemas.openxmlformats.org/officeDocument/2006/relationships/image" Target="media/image1051.png"/><Relationship Id="rId1157" Type="http://schemas.openxmlformats.org/officeDocument/2006/relationships/image" Target="media/image1052.png"/><Relationship Id="rId1158" Type="http://schemas.openxmlformats.org/officeDocument/2006/relationships/footer" Target="footer58.xml"/><Relationship Id="rId1159" Type="http://schemas.openxmlformats.org/officeDocument/2006/relationships/footer" Target="footer59.xml"/><Relationship Id="rId1160" Type="http://schemas.openxmlformats.org/officeDocument/2006/relationships/image" Target="media/image1053.png"/><Relationship Id="rId1161" Type="http://schemas.openxmlformats.org/officeDocument/2006/relationships/image" Target="media/image1054.png"/><Relationship Id="rId1162" Type="http://schemas.openxmlformats.org/officeDocument/2006/relationships/image" Target="media/image1055.png"/><Relationship Id="rId1163" Type="http://schemas.openxmlformats.org/officeDocument/2006/relationships/image" Target="media/image1056.png"/><Relationship Id="rId1164" Type="http://schemas.openxmlformats.org/officeDocument/2006/relationships/image" Target="media/image1057.png"/><Relationship Id="rId1165" Type="http://schemas.openxmlformats.org/officeDocument/2006/relationships/image" Target="media/image1058.png"/><Relationship Id="rId1166" Type="http://schemas.openxmlformats.org/officeDocument/2006/relationships/image" Target="media/image1059.png"/><Relationship Id="rId1167" Type="http://schemas.openxmlformats.org/officeDocument/2006/relationships/image" Target="media/image1060.png"/><Relationship Id="rId1168" Type="http://schemas.openxmlformats.org/officeDocument/2006/relationships/image" Target="media/image1061.png"/><Relationship Id="rId1169" Type="http://schemas.openxmlformats.org/officeDocument/2006/relationships/image" Target="media/image1062.png"/><Relationship Id="rId1170" Type="http://schemas.openxmlformats.org/officeDocument/2006/relationships/image" Target="media/image1063.png"/><Relationship Id="rId1171" Type="http://schemas.openxmlformats.org/officeDocument/2006/relationships/image" Target="media/image1064.png"/><Relationship Id="rId1172" Type="http://schemas.openxmlformats.org/officeDocument/2006/relationships/image" Target="media/image1065.png"/><Relationship Id="rId1173" Type="http://schemas.openxmlformats.org/officeDocument/2006/relationships/image" Target="media/image1066.png"/><Relationship Id="rId1174" Type="http://schemas.openxmlformats.org/officeDocument/2006/relationships/image" Target="media/image1067.png"/><Relationship Id="rId1175" Type="http://schemas.openxmlformats.org/officeDocument/2006/relationships/image" Target="media/image1068.png"/><Relationship Id="rId1176" Type="http://schemas.openxmlformats.org/officeDocument/2006/relationships/image" Target="media/image1069.png"/><Relationship Id="rId1177" Type="http://schemas.openxmlformats.org/officeDocument/2006/relationships/image" Target="media/image1070.png"/><Relationship Id="rId1178" Type="http://schemas.openxmlformats.org/officeDocument/2006/relationships/image" Target="media/image1071.png"/><Relationship Id="rId1179" Type="http://schemas.openxmlformats.org/officeDocument/2006/relationships/image" Target="media/image1072.png"/><Relationship Id="rId1180" Type="http://schemas.openxmlformats.org/officeDocument/2006/relationships/image" Target="media/image1073.png"/><Relationship Id="rId1181" Type="http://schemas.openxmlformats.org/officeDocument/2006/relationships/image" Target="media/image1074.png"/><Relationship Id="rId1182" Type="http://schemas.openxmlformats.org/officeDocument/2006/relationships/image" Target="media/image1075.png"/><Relationship Id="rId1183" Type="http://schemas.openxmlformats.org/officeDocument/2006/relationships/image" Target="media/image1076.png"/><Relationship Id="rId1184" Type="http://schemas.openxmlformats.org/officeDocument/2006/relationships/image" Target="media/image1077.png"/><Relationship Id="rId1185" Type="http://schemas.openxmlformats.org/officeDocument/2006/relationships/image" Target="media/image1078.png"/><Relationship Id="rId1186" Type="http://schemas.openxmlformats.org/officeDocument/2006/relationships/image" Target="media/image1079.png"/><Relationship Id="rId1187" Type="http://schemas.openxmlformats.org/officeDocument/2006/relationships/image" Target="media/image1080.png"/><Relationship Id="rId1188" Type="http://schemas.openxmlformats.org/officeDocument/2006/relationships/image" Target="media/image1081.png"/><Relationship Id="rId1189" Type="http://schemas.openxmlformats.org/officeDocument/2006/relationships/image" Target="media/image1082.png"/><Relationship Id="rId1190" Type="http://schemas.openxmlformats.org/officeDocument/2006/relationships/image" Target="media/image1083.png"/><Relationship Id="rId1191" Type="http://schemas.openxmlformats.org/officeDocument/2006/relationships/image" Target="media/image1084.png"/><Relationship Id="rId1192" Type="http://schemas.openxmlformats.org/officeDocument/2006/relationships/image" Target="media/image1085.png"/><Relationship Id="rId1193" Type="http://schemas.openxmlformats.org/officeDocument/2006/relationships/image" Target="media/image1086.png"/><Relationship Id="rId1194" Type="http://schemas.openxmlformats.org/officeDocument/2006/relationships/image" Target="media/image1087.png"/><Relationship Id="rId1195" Type="http://schemas.openxmlformats.org/officeDocument/2006/relationships/footer" Target="footer60.xml"/><Relationship Id="rId1196" Type="http://schemas.openxmlformats.org/officeDocument/2006/relationships/image" Target="media/image1088.png"/><Relationship Id="rId1197" Type="http://schemas.openxmlformats.org/officeDocument/2006/relationships/image" Target="media/image1089.png"/><Relationship Id="rId1198" Type="http://schemas.openxmlformats.org/officeDocument/2006/relationships/image" Target="media/image1090.png"/><Relationship Id="rId1199" Type="http://schemas.openxmlformats.org/officeDocument/2006/relationships/image" Target="media/image1091.png"/><Relationship Id="rId1200" Type="http://schemas.openxmlformats.org/officeDocument/2006/relationships/image" Target="media/image1092.png"/><Relationship Id="rId1201" Type="http://schemas.openxmlformats.org/officeDocument/2006/relationships/image" Target="media/image1093.png"/><Relationship Id="rId1202" Type="http://schemas.openxmlformats.org/officeDocument/2006/relationships/image" Target="media/image1094.png"/><Relationship Id="rId1203" Type="http://schemas.openxmlformats.org/officeDocument/2006/relationships/image" Target="media/image1095.png"/><Relationship Id="rId1204" Type="http://schemas.openxmlformats.org/officeDocument/2006/relationships/image" Target="media/image1096.png"/><Relationship Id="rId1205" Type="http://schemas.openxmlformats.org/officeDocument/2006/relationships/image" Target="media/image1097.png"/><Relationship Id="rId1206" Type="http://schemas.openxmlformats.org/officeDocument/2006/relationships/image" Target="media/image1098.png"/><Relationship Id="rId1207" Type="http://schemas.openxmlformats.org/officeDocument/2006/relationships/image" Target="media/image1099.png"/><Relationship Id="rId1208" Type="http://schemas.openxmlformats.org/officeDocument/2006/relationships/image" Target="media/image1100.png"/><Relationship Id="rId1209" Type="http://schemas.openxmlformats.org/officeDocument/2006/relationships/image" Target="media/image1101.png"/><Relationship Id="rId1210" Type="http://schemas.openxmlformats.org/officeDocument/2006/relationships/image" Target="media/image1102.png"/><Relationship Id="rId1211" Type="http://schemas.openxmlformats.org/officeDocument/2006/relationships/image" Target="media/image1103.png"/><Relationship Id="rId1212" Type="http://schemas.openxmlformats.org/officeDocument/2006/relationships/image" Target="media/image1104.png"/><Relationship Id="rId1213" Type="http://schemas.openxmlformats.org/officeDocument/2006/relationships/image" Target="media/image1105.png"/><Relationship Id="rId1214" Type="http://schemas.openxmlformats.org/officeDocument/2006/relationships/image" Target="media/image1106.png"/><Relationship Id="rId1215" Type="http://schemas.openxmlformats.org/officeDocument/2006/relationships/image" Target="media/image1107.png"/><Relationship Id="rId1216" Type="http://schemas.openxmlformats.org/officeDocument/2006/relationships/image" Target="media/image1108.png"/><Relationship Id="rId1217" Type="http://schemas.openxmlformats.org/officeDocument/2006/relationships/image" Target="media/image1109.png"/><Relationship Id="rId1218" Type="http://schemas.openxmlformats.org/officeDocument/2006/relationships/image" Target="media/image1110.png"/><Relationship Id="rId1219" Type="http://schemas.openxmlformats.org/officeDocument/2006/relationships/image" Target="media/image1111.png"/><Relationship Id="rId1220" Type="http://schemas.openxmlformats.org/officeDocument/2006/relationships/image" Target="media/image1112.png"/><Relationship Id="rId1221" Type="http://schemas.openxmlformats.org/officeDocument/2006/relationships/image" Target="media/image1113.png"/><Relationship Id="rId1222" Type="http://schemas.openxmlformats.org/officeDocument/2006/relationships/image" Target="media/image1114.png"/><Relationship Id="rId1223" Type="http://schemas.openxmlformats.org/officeDocument/2006/relationships/image" Target="media/image1115.png"/><Relationship Id="rId1224" Type="http://schemas.openxmlformats.org/officeDocument/2006/relationships/image" Target="media/image1116.png"/><Relationship Id="rId1225" Type="http://schemas.openxmlformats.org/officeDocument/2006/relationships/image" Target="media/image1117.png"/><Relationship Id="rId1226" Type="http://schemas.openxmlformats.org/officeDocument/2006/relationships/image" Target="media/image1118.png"/><Relationship Id="rId1227" Type="http://schemas.openxmlformats.org/officeDocument/2006/relationships/image" Target="media/image1119.png"/><Relationship Id="rId1228" Type="http://schemas.openxmlformats.org/officeDocument/2006/relationships/image" Target="media/image1120.png"/><Relationship Id="rId1229" Type="http://schemas.openxmlformats.org/officeDocument/2006/relationships/image" Target="media/image1121.png"/><Relationship Id="rId1230" Type="http://schemas.openxmlformats.org/officeDocument/2006/relationships/image" Target="media/image1122.png"/><Relationship Id="rId1231" Type="http://schemas.openxmlformats.org/officeDocument/2006/relationships/image" Target="media/image1123.png"/><Relationship Id="rId1232" Type="http://schemas.openxmlformats.org/officeDocument/2006/relationships/image" Target="media/image1124.png"/><Relationship Id="rId1233" Type="http://schemas.openxmlformats.org/officeDocument/2006/relationships/image" Target="media/image1125.png"/><Relationship Id="rId1234" Type="http://schemas.openxmlformats.org/officeDocument/2006/relationships/image" Target="media/image1126.png"/><Relationship Id="rId1235" Type="http://schemas.openxmlformats.org/officeDocument/2006/relationships/image" Target="media/image1127.png"/><Relationship Id="rId1236" Type="http://schemas.openxmlformats.org/officeDocument/2006/relationships/image" Target="media/image1128.png"/><Relationship Id="rId1237" Type="http://schemas.openxmlformats.org/officeDocument/2006/relationships/image" Target="media/image1129.png"/><Relationship Id="rId1238" Type="http://schemas.openxmlformats.org/officeDocument/2006/relationships/image" Target="media/image1130.png"/><Relationship Id="rId1239" Type="http://schemas.openxmlformats.org/officeDocument/2006/relationships/image" Target="media/image1131.png"/><Relationship Id="rId1240" Type="http://schemas.openxmlformats.org/officeDocument/2006/relationships/image" Target="media/image1132.png"/><Relationship Id="rId1241" Type="http://schemas.openxmlformats.org/officeDocument/2006/relationships/image" Target="media/image1133.png"/><Relationship Id="rId1242" Type="http://schemas.openxmlformats.org/officeDocument/2006/relationships/image" Target="media/image1134.png"/><Relationship Id="rId1243" Type="http://schemas.openxmlformats.org/officeDocument/2006/relationships/image" Target="media/image1135.png"/><Relationship Id="rId1244" Type="http://schemas.openxmlformats.org/officeDocument/2006/relationships/image" Target="media/image1136.png"/><Relationship Id="rId1245" Type="http://schemas.openxmlformats.org/officeDocument/2006/relationships/image" Target="media/image1137.png"/><Relationship Id="rId1246" Type="http://schemas.openxmlformats.org/officeDocument/2006/relationships/image" Target="media/image1138.png"/><Relationship Id="rId1247" Type="http://schemas.openxmlformats.org/officeDocument/2006/relationships/image" Target="media/image1139.png"/><Relationship Id="rId1248" Type="http://schemas.openxmlformats.org/officeDocument/2006/relationships/image" Target="media/image1140.png"/><Relationship Id="rId1249" Type="http://schemas.openxmlformats.org/officeDocument/2006/relationships/image" Target="media/image1141.png"/><Relationship Id="rId1250" Type="http://schemas.openxmlformats.org/officeDocument/2006/relationships/image" Target="media/image1142.png"/><Relationship Id="rId1251" Type="http://schemas.openxmlformats.org/officeDocument/2006/relationships/image" Target="media/image1143.png"/><Relationship Id="rId1252" Type="http://schemas.openxmlformats.org/officeDocument/2006/relationships/image" Target="media/image1144.png"/><Relationship Id="rId1253" Type="http://schemas.openxmlformats.org/officeDocument/2006/relationships/image" Target="media/image1145.png"/><Relationship Id="rId1254" Type="http://schemas.openxmlformats.org/officeDocument/2006/relationships/image" Target="media/image1146.png"/><Relationship Id="rId1255" Type="http://schemas.openxmlformats.org/officeDocument/2006/relationships/image" Target="media/image1147.png"/><Relationship Id="rId1256" Type="http://schemas.openxmlformats.org/officeDocument/2006/relationships/hyperlink" Target="http://www.e-local.gob.mx/wb2/ELOCAL/ELOC_" TargetMode="External"/><Relationship Id="rId1257" Type="http://schemas.openxmlformats.org/officeDocument/2006/relationships/hyperlink" Target="http://www.ieem.org.mx/069ozumba_a.html" TargetMode="External"/><Relationship Id="rId1258" Type="http://schemas.openxmlformats.org/officeDocument/2006/relationships/hyperlink" Target="http://www.inegi.org.mx/lib/olap/general_ver4/MDXQueryDatosasp?&amp;amp;Regreso" TargetMode="External"/><Relationship Id="rId1259" Type="http://schemas.openxmlformats.org/officeDocument/2006/relationships/hyperlink" Target="http://www.ozumba.gob.mx/transparencia/cariingresos2008.pdf" TargetMode="External"/><Relationship Id="rId1260" Type="http://schemas.openxmlformats.org/officeDocument/2006/relationships/hyperlink" Target="http://www.ozumba.gob.mx/transparencia/" TargetMode="External"/><Relationship Id="rId1261" Type="http://schemas.openxmlformats.org/officeDocument/2006/relationships/hyperlink" Target="http://www.partidodeltrabajo.org.mx/www/historia.php" TargetMode="External"/><Relationship Id="rId1262" Type="http://schemas.openxmlformats.org/officeDocument/2006/relationships/hyperlink" Target="http://www.partidodeltrabajo.org.mx/www/principios.php" TargetMode="External"/><Relationship Id="rId1263" Type="http://schemas.openxmlformats.org/officeDocument/2006/relationships/footer" Target="footer61.xml"/><Relationship Id="rId1264" Type="http://schemas.openxmlformats.org/officeDocument/2006/relationships/hyperlink" Target="mailto:(vmartinez68@hotmail.com" TargetMode="External"/><Relationship Id="rId1265" Type="http://schemas.openxmlformats.org/officeDocument/2006/relationships/footer" Target="footer62.xml"/><Relationship Id="rId1266" Type="http://schemas.openxmlformats.org/officeDocument/2006/relationships/image" Target="media/image1148.png"/><Relationship Id="rId12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2017-06-01T01:21:01Z</dcterms:created>
  <dcterms:modified xsi:type="dcterms:W3CDTF">2017-06-01T01:21:01Z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2016-03-17T00:00:00Z</vt:filetime>
  </property>
  <property fmtid="{D5CDD505-2E9C-101B-9397-08002B2CF9AE}" pid="3" name="Creator">
    <vt:lpwstr>Adobe InDesign CC 2015 (Macintosh)</vt:lpwstr>
  </property>
  <property fmtid="{D5CDD505-2E9C-101B-9397-08002B2CF9AE}" pid="4" name="LastSaved">
    <vt:filetime>2017-05-31T00:00:00Z</vt:filetime>
  </property>
</Properties>
</file>